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22583" w:rsidRPr="00FF51DB" w:rsidRDefault="009240E0" w:rsidP="00C22583">
      <w:pPr>
        <w:tabs>
          <w:tab w:val="left" w:pos="0"/>
        </w:tabs>
        <w:rPr>
          <w:b/>
        </w:rPr>
      </w:pPr>
      <w:r>
        <w:rPr>
          <w:sz w:val="24"/>
          <w:szCs w:val="24"/>
        </w:rPr>
        <w:tab/>
      </w:r>
      <w:r w:rsidR="00C22583">
        <w:rPr>
          <w:sz w:val="24"/>
          <w:szCs w:val="24"/>
        </w:rPr>
        <w:tab/>
      </w:r>
      <w:r w:rsidR="00C22583">
        <w:rPr>
          <w:sz w:val="24"/>
          <w:szCs w:val="24"/>
        </w:rPr>
        <w:tab/>
      </w:r>
      <w:r w:rsidR="00C22583">
        <w:rPr>
          <w:sz w:val="24"/>
          <w:szCs w:val="24"/>
        </w:rPr>
        <w:tab/>
      </w:r>
      <w:r w:rsidR="00C22583">
        <w:rPr>
          <w:sz w:val="24"/>
          <w:szCs w:val="24"/>
        </w:rPr>
        <w:tab/>
      </w:r>
      <w:r w:rsidR="00C22583">
        <w:rPr>
          <w:sz w:val="24"/>
          <w:szCs w:val="24"/>
        </w:rPr>
        <w:tab/>
      </w:r>
      <w:r w:rsidR="005E2575">
        <w:rPr>
          <w:sz w:val="24"/>
          <w:szCs w:val="24"/>
        </w:rPr>
        <w:tab/>
      </w:r>
      <w:r w:rsidR="00C22583" w:rsidRPr="00FF51DB">
        <w:t>Додаток</w:t>
      </w:r>
    </w:p>
    <w:p w:rsidR="005E2575" w:rsidRDefault="00C22583" w:rsidP="005E2575">
      <w:pPr>
        <w:ind w:left="4956"/>
      </w:pPr>
      <w:r w:rsidRPr="00FF51DB">
        <w:t>до розпорядження</w:t>
      </w:r>
      <w:r w:rsidR="005E2575">
        <w:t xml:space="preserve"> начальника Сєвєродонецької міської </w:t>
      </w:r>
    </w:p>
    <w:p w:rsidR="00C22583" w:rsidRPr="00FF51DB" w:rsidRDefault="005E2575" w:rsidP="005E2575">
      <w:pPr>
        <w:ind w:left="4248" w:firstLine="708"/>
      </w:pPr>
      <w:r>
        <w:t>військової адміністрації</w:t>
      </w:r>
    </w:p>
    <w:p w:rsidR="00C22583" w:rsidRPr="00FF51DB" w:rsidRDefault="00C22583" w:rsidP="00C22583">
      <w:pPr>
        <w:rPr>
          <w:lang w:val="ru-RU"/>
        </w:rPr>
      </w:pPr>
      <w:r w:rsidRPr="00FF51DB">
        <w:t xml:space="preserve"> </w:t>
      </w:r>
      <w:r w:rsidRPr="00FF51DB">
        <w:tab/>
      </w:r>
      <w:r w:rsidRPr="00FF51DB">
        <w:tab/>
      </w:r>
      <w:r w:rsidRPr="00FF51DB">
        <w:tab/>
      </w:r>
      <w:r w:rsidRPr="00FF51DB">
        <w:tab/>
      </w:r>
      <w:r w:rsidRPr="00FF51DB">
        <w:tab/>
      </w:r>
      <w:r w:rsidRPr="00FF51DB">
        <w:tab/>
      </w:r>
      <w:r w:rsidR="005E2575">
        <w:tab/>
      </w:r>
      <w:r w:rsidRPr="00FF51DB">
        <w:t>від «</w:t>
      </w:r>
      <w:r>
        <w:t>__</w:t>
      </w:r>
      <w:r w:rsidRPr="00FF51DB">
        <w:t>»</w:t>
      </w:r>
      <w:r w:rsidRPr="00FF51DB">
        <w:rPr>
          <w:lang w:val="ru-RU"/>
        </w:rPr>
        <w:t xml:space="preserve"> </w:t>
      </w:r>
      <w:r>
        <w:rPr>
          <w:lang w:val="ru-RU"/>
        </w:rPr>
        <w:t>__________</w:t>
      </w:r>
      <w:r w:rsidRPr="00FF51DB">
        <w:rPr>
          <w:u w:val="single"/>
          <w:lang w:val="ru-RU"/>
        </w:rPr>
        <w:t xml:space="preserve">  </w:t>
      </w:r>
      <w:r w:rsidRPr="00FF51DB">
        <w:t>202</w:t>
      </w:r>
      <w:r>
        <w:t>3</w:t>
      </w:r>
      <w:r w:rsidRPr="00FF51DB">
        <w:t xml:space="preserve"> року № </w:t>
      </w:r>
    </w:p>
    <w:p w:rsidR="00C22583" w:rsidRPr="00D94859" w:rsidRDefault="00C22583" w:rsidP="009240E0">
      <w:pPr>
        <w:tabs>
          <w:tab w:val="left" w:pos="6946"/>
        </w:tabs>
        <w:ind w:firstLine="9"/>
        <w:jc w:val="right"/>
        <w:rPr>
          <w:sz w:val="24"/>
          <w:szCs w:val="24"/>
          <w:lang w:val="en-US"/>
        </w:rPr>
      </w:pPr>
    </w:p>
    <w:p w:rsidR="00C22583" w:rsidRDefault="00C22583" w:rsidP="009240E0">
      <w:pPr>
        <w:tabs>
          <w:tab w:val="left" w:pos="6946"/>
        </w:tabs>
        <w:ind w:firstLine="9"/>
        <w:jc w:val="right"/>
        <w:rPr>
          <w:sz w:val="24"/>
          <w:szCs w:val="24"/>
        </w:rPr>
      </w:pPr>
    </w:p>
    <w:p w:rsidR="00C22583" w:rsidRDefault="00C22583" w:rsidP="009240E0">
      <w:pPr>
        <w:tabs>
          <w:tab w:val="left" w:pos="6946"/>
        </w:tabs>
        <w:ind w:firstLine="9"/>
        <w:jc w:val="right"/>
        <w:rPr>
          <w:sz w:val="24"/>
          <w:szCs w:val="24"/>
        </w:rPr>
      </w:pPr>
    </w:p>
    <w:p w:rsidR="00C22583" w:rsidRDefault="00C22583" w:rsidP="009240E0">
      <w:pPr>
        <w:tabs>
          <w:tab w:val="left" w:pos="6946"/>
        </w:tabs>
        <w:ind w:firstLine="9"/>
        <w:jc w:val="right"/>
        <w:rPr>
          <w:sz w:val="24"/>
          <w:szCs w:val="24"/>
        </w:rPr>
      </w:pPr>
    </w:p>
    <w:p w:rsidR="00DC4929" w:rsidRPr="009240E0" w:rsidRDefault="009240E0" w:rsidP="00C22583">
      <w:pPr>
        <w:tabs>
          <w:tab w:val="left" w:pos="6946"/>
        </w:tabs>
        <w:ind w:firstLine="9"/>
        <w:jc w:val="right"/>
        <w:rPr>
          <w:b/>
          <w:sz w:val="32"/>
        </w:rPr>
      </w:pPr>
      <w:r w:rsidRPr="009240E0">
        <w:rPr>
          <w:b/>
          <w:bCs/>
          <w:sz w:val="32"/>
          <w:szCs w:val="32"/>
        </w:rPr>
        <w:t>ПРОЄКТ</w:t>
      </w:r>
    </w:p>
    <w:p w:rsidR="00DC4929" w:rsidRPr="00E95FB1" w:rsidRDefault="00DC4929" w:rsidP="00DC4929"/>
    <w:p w:rsidR="00DC4929" w:rsidRPr="00E95FB1" w:rsidRDefault="00DC4929" w:rsidP="00DC4929">
      <w:pPr>
        <w:jc w:val="center"/>
      </w:pPr>
      <w:r w:rsidRPr="00E95FB1">
        <w:rPr>
          <w:noProof/>
          <w:lang w:eastAsia="uk-UA"/>
        </w:rPr>
        <w:drawing>
          <wp:inline distT="0" distB="0" distL="0" distR="0">
            <wp:extent cx="4445651" cy="3524062"/>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cstate="print"/>
                    <a:srcRect/>
                    <a:stretch>
                      <a:fillRect/>
                    </a:stretch>
                  </pic:blipFill>
                  <pic:spPr>
                    <a:xfrm>
                      <a:off x="0" y="0"/>
                      <a:ext cx="4445651" cy="3524062"/>
                    </a:xfrm>
                    <a:prstGeom prst="rect">
                      <a:avLst/>
                    </a:prstGeom>
                    <a:ln/>
                  </pic:spPr>
                </pic:pic>
              </a:graphicData>
            </a:graphic>
          </wp:inline>
        </w:drawing>
      </w:r>
    </w:p>
    <w:p w:rsidR="00DC4929" w:rsidRPr="00E95FB1" w:rsidRDefault="00DC4929" w:rsidP="00DC4929">
      <w:pPr>
        <w:jc w:val="center"/>
      </w:pPr>
    </w:p>
    <w:p w:rsidR="00DC4929" w:rsidRPr="00E95FB1" w:rsidRDefault="00DC4929" w:rsidP="00DC4929"/>
    <w:p w:rsidR="00DC4929" w:rsidRPr="00E95FB1" w:rsidRDefault="00DC4929" w:rsidP="00DC4929">
      <w:pPr>
        <w:jc w:val="center"/>
        <w:rPr>
          <w:b/>
          <w:sz w:val="40"/>
          <w:szCs w:val="40"/>
        </w:rPr>
      </w:pPr>
      <w:r w:rsidRPr="00E95FB1">
        <w:rPr>
          <w:b/>
          <w:sz w:val="40"/>
          <w:szCs w:val="40"/>
        </w:rPr>
        <w:t xml:space="preserve">ПРОГРАМА </w:t>
      </w:r>
    </w:p>
    <w:p w:rsidR="00DC4929" w:rsidRPr="00E95FB1" w:rsidRDefault="00DC4929" w:rsidP="00DC4929">
      <w:pPr>
        <w:jc w:val="center"/>
        <w:rPr>
          <w:b/>
          <w:sz w:val="40"/>
          <w:szCs w:val="40"/>
        </w:rPr>
      </w:pPr>
      <w:r w:rsidRPr="00E95FB1">
        <w:rPr>
          <w:b/>
          <w:sz w:val="40"/>
          <w:szCs w:val="40"/>
        </w:rPr>
        <w:t>КОМПЛЕКСНОГО ВІДНОВЛЕННЯ</w:t>
      </w:r>
    </w:p>
    <w:p w:rsidR="00DC4929" w:rsidRPr="00E95FB1" w:rsidRDefault="00B74ED8" w:rsidP="00DC4929">
      <w:pPr>
        <w:jc w:val="center"/>
        <w:rPr>
          <w:b/>
          <w:sz w:val="40"/>
          <w:szCs w:val="40"/>
        </w:rPr>
      </w:pPr>
      <w:r>
        <w:rPr>
          <w:b/>
          <w:sz w:val="40"/>
          <w:szCs w:val="40"/>
        </w:rPr>
        <w:t xml:space="preserve">ТЕРИТОРІЇ </w:t>
      </w:r>
      <w:r w:rsidR="00DC4929" w:rsidRPr="00E95FB1">
        <w:rPr>
          <w:b/>
          <w:sz w:val="40"/>
          <w:szCs w:val="40"/>
        </w:rPr>
        <w:t xml:space="preserve">СЄВЄРОДОНЕЦЬКОЇ МІСЬКОЇ ТЕРИТОРІАЛЬНОЇ ГРОМАДИ </w:t>
      </w:r>
    </w:p>
    <w:p w:rsidR="00DC4929" w:rsidRPr="00E95FB1" w:rsidRDefault="00DC4929" w:rsidP="00DC4929">
      <w:pPr>
        <w:jc w:val="center"/>
      </w:pPr>
    </w:p>
    <w:p w:rsidR="00DC4929" w:rsidRPr="00E95FB1" w:rsidRDefault="00DC4929" w:rsidP="00DC4929">
      <w:pPr>
        <w:jc w:val="center"/>
      </w:pPr>
    </w:p>
    <w:p w:rsidR="00DC4929" w:rsidRPr="00E95FB1" w:rsidRDefault="00DC4929" w:rsidP="00DC4929">
      <w:pPr>
        <w:jc w:val="center"/>
      </w:pPr>
    </w:p>
    <w:p w:rsidR="00DC4929" w:rsidRPr="00E95FB1" w:rsidRDefault="00DC4929" w:rsidP="00DC4929">
      <w:pPr>
        <w:jc w:val="center"/>
      </w:pPr>
    </w:p>
    <w:p w:rsidR="00DC4929" w:rsidRPr="00E95FB1" w:rsidRDefault="00DC4929" w:rsidP="00DC4929">
      <w:pPr>
        <w:jc w:val="center"/>
      </w:pPr>
    </w:p>
    <w:p w:rsidR="00DC4929" w:rsidRPr="00E95FB1" w:rsidRDefault="00DC4929" w:rsidP="00DC4929">
      <w:pPr>
        <w:jc w:val="center"/>
      </w:pPr>
    </w:p>
    <w:p w:rsidR="00ED6118" w:rsidRDefault="00ED6118" w:rsidP="00DC4929">
      <w:pPr>
        <w:jc w:val="center"/>
        <w:rPr>
          <w:b/>
          <w:sz w:val="24"/>
          <w:szCs w:val="24"/>
        </w:rPr>
      </w:pPr>
    </w:p>
    <w:p w:rsidR="00DC4929" w:rsidRPr="00E95FB1" w:rsidRDefault="00DC4929" w:rsidP="00DC4929">
      <w:pPr>
        <w:jc w:val="center"/>
        <w:rPr>
          <w:b/>
          <w:sz w:val="24"/>
          <w:szCs w:val="24"/>
        </w:rPr>
      </w:pPr>
      <w:r w:rsidRPr="00E95FB1">
        <w:rPr>
          <w:b/>
          <w:sz w:val="24"/>
          <w:szCs w:val="24"/>
        </w:rPr>
        <w:t>СЄВЄРОДОНЕЦЬК – 2023</w:t>
      </w:r>
    </w:p>
    <w:p w:rsidR="00DC4929" w:rsidRPr="00E95FB1" w:rsidRDefault="00DC4929" w:rsidP="00DC4929">
      <w:pPr>
        <w:jc w:val="center"/>
        <w:rPr>
          <w:b/>
          <w:sz w:val="24"/>
          <w:szCs w:val="24"/>
        </w:rPr>
      </w:pPr>
      <w:bookmarkStart w:id="0" w:name="_GoBack"/>
      <w:bookmarkEnd w:id="0"/>
    </w:p>
    <w:sdt>
      <w:sdtPr>
        <w:id w:val="5393564"/>
        <w:docPartObj>
          <w:docPartGallery w:val="Table of Contents"/>
          <w:docPartUnique/>
        </w:docPartObj>
      </w:sdtPr>
      <w:sdtEndPr/>
      <w:sdtContent>
        <w:p w:rsidR="00DC4929" w:rsidRPr="00E95FB1" w:rsidRDefault="00DC4929" w:rsidP="00DC4929">
          <w:pPr>
            <w:jc w:val="center"/>
            <w:rPr>
              <w:b/>
              <w:color w:val="0070C0"/>
              <w:sz w:val="40"/>
              <w:szCs w:val="40"/>
            </w:rPr>
          </w:pPr>
          <w:r w:rsidRPr="00E95FB1">
            <w:rPr>
              <w:b/>
              <w:color w:val="0070C0"/>
              <w:sz w:val="40"/>
              <w:szCs w:val="40"/>
            </w:rPr>
            <w:t>ЗМІСТ</w:t>
          </w:r>
        </w:p>
        <w:p w:rsidR="00DC4929" w:rsidRPr="00E95FB1" w:rsidRDefault="00DC4929" w:rsidP="00DC4929">
          <w:pPr>
            <w:tabs>
              <w:tab w:val="center" w:pos="8200"/>
            </w:tabs>
            <w:ind w:left="4" w:hanging="4"/>
            <w:jc w:val="center"/>
            <w:rPr>
              <w:b/>
            </w:rPr>
          </w:pPr>
        </w:p>
        <w:p w:rsidR="00DC4929" w:rsidRPr="00E95FB1" w:rsidRDefault="00DC4929" w:rsidP="00DC4929">
          <w:pPr>
            <w:tabs>
              <w:tab w:val="center" w:pos="0"/>
              <w:tab w:val="left" w:pos="9214"/>
            </w:tabs>
            <w:ind w:left="4" w:hanging="4"/>
          </w:pPr>
          <w:r w:rsidRPr="00E95FB1">
            <w:rPr>
              <w:sz w:val="16"/>
              <w:szCs w:val="16"/>
            </w:rPr>
            <w:tab/>
          </w:r>
          <w:r w:rsidRPr="00E95FB1">
            <w:rPr>
              <w:b/>
            </w:rPr>
            <w:t>ВСТУП</w:t>
          </w:r>
          <w:r w:rsidRPr="00E95FB1">
            <w:t>………………………………………………………………………...……3</w:t>
          </w:r>
        </w:p>
        <w:p w:rsidR="00524DBF" w:rsidRDefault="001A7D7E">
          <w:pPr>
            <w:pStyle w:val="12"/>
            <w:tabs>
              <w:tab w:val="left" w:pos="440"/>
              <w:tab w:val="right" w:leader="dot" w:pos="9488"/>
            </w:tabs>
            <w:rPr>
              <w:rFonts w:asciiTheme="minorHAnsi" w:eastAsiaTheme="minorEastAsia" w:hAnsiTheme="minorHAnsi" w:cstheme="minorBidi"/>
              <w:noProof/>
              <w:sz w:val="22"/>
              <w:szCs w:val="22"/>
              <w:lang w:eastAsia="uk-UA"/>
            </w:rPr>
          </w:pPr>
          <w:r w:rsidRPr="00E95FB1">
            <w:fldChar w:fldCharType="begin"/>
          </w:r>
          <w:r w:rsidR="00DC4929" w:rsidRPr="00E95FB1">
            <w:instrText xml:space="preserve"> TOC \o "1-3" \h \z \u </w:instrText>
          </w:r>
          <w:r w:rsidRPr="00E95FB1">
            <w:fldChar w:fldCharType="separate"/>
          </w:r>
          <w:hyperlink w:anchor="_Toc143012467" w:history="1">
            <w:r w:rsidR="00524DBF" w:rsidRPr="006925B0">
              <w:rPr>
                <w:rStyle w:val="af3"/>
                <w:noProof/>
              </w:rPr>
              <w:t>I.</w:t>
            </w:r>
            <w:r w:rsidR="00524DBF">
              <w:rPr>
                <w:rFonts w:asciiTheme="minorHAnsi" w:eastAsiaTheme="minorEastAsia" w:hAnsiTheme="minorHAnsi" w:cstheme="minorBidi"/>
                <w:noProof/>
                <w:sz w:val="22"/>
                <w:szCs w:val="22"/>
                <w:lang w:eastAsia="uk-UA"/>
              </w:rPr>
              <w:tab/>
            </w:r>
            <w:r w:rsidR="00524DBF" w:rsidRPr="006925B0">
              <w:rPr>
                <w:rStyle w:val="af3"/>
                <w:noProof/>
              </w:rPr>
              <w:t>Характеристика демографічної ситуації територіальної громади, оцінка і аналіз потреб різних груп громадян та основні тенденції соціально-економічного розвитку, оцінка людського, природно-ресурсного, виробничого, трудового, наукового, фінансового та інноваційного потенціалу в умовах, що склалися в результаті збройної агресії проти України</w:t>
            </w:r>
            <w:r w:rsidR="00524DBF">
              <w:rPr>
                <w:noProof/>
                <w:webHidden/>
              </w:rPr>
              <w:tab/>
            </w:r>
            <w:r>
              <w:rPr>
                <w:noProof/>
                <w:webHidden/>
              </w:rPr>
              <w:fldChar w:fldCharType="begin"/>
            </w:r>
            <w:r w:rsidR="00524DBF">
              <w:rPr>
                <w:noProof/>
                <w:webHidden/>
              </w:rPr>
              <w:instrText xml:space="preserve"> PAGEREF _Toc143012467 \h </w:instrText>
            </w:r>
            <w:r>
              <w:rPr>
                <w:noProof/>
                <w:webHidden/>
              </w:rPr>
            </w:r>
            <w:r>
              <w:rPr>
                <w:noProof/>
                <w:webHidden/>
              </w:rPr>
              <w:fldChar w:fldCharType="separate"/>
            </w:r>
            <w:r w:rsidR="0058695F">
              <w:rPr>
                <w:noProof/>
                <w:webHidden/>
              </w:rPr>
              <w:t>6</w:t>
            </w:r>
            <w:r>
              <w:rPr>
                <w:noProof/>
                <w:webHidden/>
              </w:rPr>
              <w:fldChar w:fldCharType="end"/>
            </w:r>
          </w:hyperlink>
        </w:p>
        <w:p w:rsidR="00524DBF" w:rsidRDefault="00F722F8">
          <w:pPr>
            <w:pStyle w:val="12"/>
            <w:tabs>
              <w:tab w:val="left" w:pos="660"/>
              <w:tab w:val="right" w:leader="dot" w:pos="9488"/>
            </w:tabs>
            <w:rPr>
              <w:rFonts w:asciiTheme="minorHAnsi" w:eastAsiaTheme="minorEastAsia" w:hAnsiTheme="minorHAnsi" w:cstheme="minorBidi"/>
              <w:noProof/>
              <w:sz w:val="22"/>
              <w:szCs w:val="22"/>
              <w:lang w:eastAsia="uk-UA"/>
            </w:rPr>
          </w:pPr>
          <w:hyperlink w:anchor="_Toc143012468" w:history="1">
            <w:r w:rsidR="00524DBF" w:rsidRPr="006925B0">
              <w:rPr>
                <w:rStyle w:val="af3"/>
                <w:noProof/>
              </w:rPr>
              <w:t>II.</w:t>
            </w:r>
            <w:r w:rsidR="00524DBF">
              <w:rPr>
                <w:rFonts w:asciiTheme="minorHAnsi" w:eastAsiaTheme="minorEastAsia" w:hAnsiTheme="minorHAnsi" w:cstheme="minorBidi"/>
                <w:noProof/>
                <w:sz w:val="22"/>
                <w:szCs w:val="22"/>
                <w:lang w:eastAsia="uk-UA"/>
              </w:rPr>
              <w:tab/>
            </w:r>
            <w:r w:rsidR="00524DBF" w:rsidRPr="006925B0">
              <w:rPr>
                <w:rStyle w:val="af3"/>
                <w:noProof/>
              </w:rPr>
              <w:t>Інформація щодо населених пунктів, які мають зруйновані та/або пошкоджені об’єкти критичної інфраструктури, соціальної інфраструктури, об’єкти житлового та громадського призначення в результаті бойових дій, ступеню їх руйнування; оцінку завданих збитків».</w:t>
            </w:r>
            <w:r w:rsidR="00524DBF">
              <w:rPr>
                <w:noProof/>
                <w:webHidden/>
              </w:rPr>
              <w:tab/>
            </w:r>
            <w:r w:rsidR="001A7D7E">
              <w:rPr>
                <w:noProof/>
                <w:webHidden/>
              </w:rPr>
              <w:fldChar w:fldCharType="begin"/>
            </w:r>
            <w:r w:rsidR="00524DBF">
              <w:rPr>
                <w:noProof/>
                <w:webHidden/>
              </w:rPr>
              <w:instrText xml:space="preserve"> PAGEREF _Toc143012468 \h </w:instrText>
            </w:r>
            <w:r w:rsidR="001A7D7E">
              <w:rPr>
                <w:noProof/>
                <w:webHidden/>
              </w:rPr>
            </w:r>
            <w:r w:rsidR="001A7D7E">
              <w:rPr>
                <w:noProof/>
                <w:webHidden/>
              </w:rPr>
              <w:fldChar w:fldCharType="separate"/>
            </w:r>
            <w:r w:rsidR="0058695F">
              <w:rPr>
                <w:noProof/>
                <w:webHidden/>
              </w:rPr>
              <w:t>45</w:t>
            </w:r>
            <w:r w:rsidR="001A7D7E">
              <w:rPr>
                <w:noProof/>
                <w:webHidden/>
              </w:rPr>
              <w:fldChar w:fldCharType="end"/>
            </w:r>
          </w:hyperlink>
        </w:p>
        <w:p w:rsidR="00524DBF" w:rsidRDefault="00F722F8">
          <w:pPr>
            <w:pStyle w:val="12"/>
            <w:tabs>
              <w:tab w:val="left" w:pos="660"/>
              <w:tab w:val="right" w:leader="dot" w:pos="9488"/>
            </w:tabs>
            <w:rPr>
              <w:rFonts w:asciiTheme="minorHAnsi" w:eastAsiaTheme="minorEastAsia" w:hAnsiTheme="minorHAnsi" w:cstheme="minorBidi"/>
              <w:noProof/>
              <w:sz w:val="22"/>
              <w:szCs w:val="22"/>
              <w:lang w:eastAsia="uk-UA"/>
            </w:rPr>
          </w:pPr>
          <w:hyperlink w:anchor="_Toc143012469" w:history="1">
            <w:r w:rsidR="00524DBF" w:rsidRPr="006925B0">
              <w:rPr>
                <w:rStyle w:val="af3"/>
                <w:rFonts w:eastAsia="Calibri"/>
                <w:noProof/>
              </w:rPr>
              <w:t>III.</w:t>
            </w:r>
            <w:r w:rsidR="00524DBF">
              <w:rPr>
                <w:rFonts w:asciiTheme="minorHAnsi" w:eastAsiaTheme="minorEastAsia" w:hAnsiTheme="minorHAnsi" w:cstheme="minorBidi"/>
                <w:noProof/>
                <w:sz w:val="22"/>
                <w:szCs w:val="22"/>
                <w:lang w:eastAsia="uk-UA"/>
              </w:rPr>
              <w:tab/>
            </w:r>
            <w:r w:rsidR="00524DBF" w:rsidRPr="006925B0">
              <w:rPr>
                <w:rStyle w:val="af3"/>
                <w:noProof/>
              </w:rPr>
              <w:t>Стан об'єктів критичної та соціальної інфраструктури, об’єктів житлового та громадського призначення, які найбільше впливають на життя людей і функціонування яких має бути відновлене у максимально короткі терміни.</w:t>
            </w:r>
            <w:r w:rsidR="00524DBF">
              <w:rPr>
                <w:noProof/>
                <w:webHidden/>
              </w:rPr>
              <w:tab/>
            </w:r>
            <w:r w:rsidR="001A7D7E">
              <w:rPr>
                <w:noProof/>
                <w:webHidden/>
              </w:rPr>
              <w:fldChar w:fldCharType="begin"/>
            </w:r>
            <w:r w:rsidR="00524DBF">
              <w:rPr>
                <w:noProof/>
                <w:webHidden/>
              </w:rPr>
              <w:instrText xml:space="preserve"> PAGEREF _Toc143012469 \h </w:instrText>
            </w:r>
            <w:r w:rsidR="001A7D7E">
              <w:rPr>
                <w:noProof/>
                <w:webHidden/>
              </w:rPr>
            </w:r>
            <w:r w:rsidR="001A7D7E">
              <w:rPr>
                <w:noProof/>
                <w:webHidden/>
              </w:rPr>
              <w:fldChar w:fldCharType="separate"/>
            </w:r>
            <w:r w:rsidR="0058695F">
              <w:rPr>
                <w:noProof/>
                <w:webHidden/>
              </w:rPr>
              <w:t>53</w:t>
            </w:r>
            <w:r w:rsidR="001A7D7E">
              <w:rPr>
                <w:noProof/>
                <w:webHidden/>
              </w:rPr>
              <w:fldChar w:fldCharType="end"/>
            </w:r>
          </w:hyperlink>
        </w:p>
        <w:p w:rsidR="00524DBF" w:rsidRDefault="00F722F8">
          <w:pPr>
            <w:pStyle w:val="12"/>
            <w:tabs>
              <w:tab w:val="left" w:pos="660"/>
              <w:tab w:val="right" w:leader="dot" w:pos="9488"/>
            </w:tabs>
            <w:rPr>
              <w:rFonts w:asciiTheme="minorHAnsi" w:eastAsiaTheme="minorEastAsia" w:hAnsiTheme="minorHAnsi" w:cstheme="minorBidi"/>
              <w:noProof/>
              <w:sz w:val="22"/>
              <w:szCs w:val="22"/>
              <w:lang w:eastAsia="uk-UA"/>
            </w:rPr>
          </w:pPr>
          <w:hyperlink w:anchor="_Toc143012470" w:history="1">
            <w:r w:rsidR="00524DBF" w:rsidRPr="006925B0">
              <w:rPr>
                <w:rStyle w:val="af3"/>
                <w:noProof/>
              </w:rPr>
              <w:t>IV.</w:t>
            </w:r>
            <w:r w:rsidR="00524DBF">
              <w:rPr>
                <w:rFonts w:asciiTheme="minorHAnsi" w:eastAsiaTheme="minorEastAsia" w:hAnsiTheme="minorHAnsi" w:cstheme="minorBidi"/>
                <w:noProof/>
                <w:sz w:val="22"/>
                <w:szCs w:val="22"/>
                <w:lang w:eastAsia="uk-UA"/>
              </w:rPr>
              <w:tab/>
            </w:r>
            <w:r w:rsidR="00524DBF" w:rsidRPr="006925B0">
              <w:rPr>
                <w:rStyle w:val="af3"/>
                <w:noProof/>
              </w:rPr>
              <w:t>Оцінка потреб щодо відбудови повністю зруйнованих населених пунктів (окремих мікрорайонів міст)</w:t>
            </w:r>
            <w:r w:rsidR="00524DBF">
              <w:rPr>
                <w:noProof/>
                <w:webHidden/>
              </w:rPr>
              <w:tab/>
            </w:r>
            <w:r w:rsidR="001A7D7E">
              <w:rPr>
                <w:noProof/>
                <w:webHidden/>
              </w:rPr>
              <w:fldChar w:fldCharType="begin"/>
            </w:r>
            <w:r w:rsidR="00524DBF">
              <w:rPr>
                <w:noProof/>
                <w:webHidden/>
              </w:rPr>
              <w:instrText xml:space="preserve"> PAGEREF _Toc143012470 \h </w:instrText>
            </w:r>
            <w:r w:rsidR="001A7D7E">
              <w:rPr>
                <w:noProof/>
                <w:webHidden/>
              </w:rPr>
            </w:r>
            <w:r w:rsidR="001A7D7E">
              <w:rPr>
                <w:noProof/>
                <w:webHidden/>
              </w:rPr>
              <w:fldChar w:fldCharType="separate"/>
            </w:r>
            <w:r w:rsidR="0058695F">
              <w:rPr>
                <w:noProof/>
                <w:webHidden/>
              </w:rPr>
              <w:t>57</w:t>
            </w:r>
            <w:r w:rsidR="001A7D7E">
              <w:rPr>
                <w:noProof/>
                <w:webHidden/>
              </w:rPr>
              <w:fldChar w:fldCharType="end"/>
            </w:r>
          </w:hyperlink>
        </w:p>
        <w:p w:rsidR="00524DBF" w:rsidRDefault="00F722F8">
          <w:pPr>
            <w:pStyle w:val="12"/>
            <w:tabs>
              <w:tab w:val="left" w:pos="660"/>
              <w:tab w:val="right" w:leader="dot" w:pos="9488"/>
            </w:tabs>
            <w:rPr>
              <w:rFonts w:asciiTheme="minorHAnsi" w:eastAsiaTheme="minorEastAsia" w:hAnsiTheme="minorHAnsi" w:cstheme="minorBidi"/>
              <w:noProof/>
              <w:sz w:val="22"/>
              <w:szCs w:val="22"/>
              <w:lang w:eastAsia="uk-UA"/>
            </w:rPr>
          </w:pPr>
          <w:hyperlink w:anchor="_Toc143012471" w:history="1">
            <w:r w:rsidR="00524DBF" w:rsidRPr="006925B0">
              <w:rPr>
                <w:rStyle w:val="af3"/>
                <w:noProof/>
              </w:rPr>
              <w:t>V.</w:t>
            </w:r>
            <w:r w:rsidR="00524DBF">
              <w:rPr>
                <w:rFonts w:asciiTheme="minorHAnsi" w:eastAsiaTheme="minorEastAsia" w:hAnsiTheme="minorHAnsi" w:cstheme="minorBidi"/>
                <w:noProof/>
                <w:sz w:val="22"/>
                <w:szCs w:val="22"/>
                <w:lang w:eastAsia="uk-UA"/>
              </w:rPr>
              <w:tab/>
            </w:r>
            <w:r w:rsidR="00524DBF" w:rsidRPr="006925B0">
              <w:rPr>
                <w:rStyle w:val="af3"/>
                <w:noProof/>
              </w:rPr>
              <w:t>Оцінка спроможності та потреб інституційного забезпечення відновлення та розвитку регіону</w:t>
            </w:r>
            <w:r w:rsidR="00524DBF">
              <w:rPr>
                <w:noProof/>
                <w:webHidden/>
              </w:rPr>
              <w:tab/>
            </w:r>
            <w:r w:rsidR="001A7D7E">
              <w:rPr>
                <w:noProof/>
                <w:webHidden/>
              </w:rPr>
              <w:fldChar w:fldCharType="begin"/>
            </w:r>
            <w:r w:rsidR="00524DBF">
              <w:rPr>
                <w:noProof/>
                <w:webHidden/>
              </w:rPr>
              <w:instrText xml:space="preserve"> PAGEREF _Toc143012471 \h </w:instrText>
            </w:r>
            <w:r w:rsidR="001A7D7E">
              <w:rPr>
                <w:noProof/>
                <w:webHidden/>
              </w:rPr>
            </w:r>
            <w:r w:rsidR="001A7D7E">
              <w:rPr>
                <w:noProof/>
                <w:webHidden/>
              </w:rPr>
              <w:fldChar w:fldCharType="separate"/>
            </w:r>
            <w:r w:rsidR="0058695F">
              <w:rPr>
                <w:noProof/>
                <w:webHidden/>
              </w:rPr>
              <w:t>59</w:t>
            </w:r>
            <w:r w:rsidR="001A7D7E">
              <w:rPr>
                <w:noProof/>
                <w:webHidden/>
              </w:rPr>
              <w:fldChar w:fldCharType="end"/>
            </w:r>
          </w:hyperlink>
        </w:p>
        <w:p w:rsidR="00524DBF" w:rsidRDefault="00F722F8">
          <w:pPr>
            <w:pStyle w:val="12"/>
            <w:tabs>
              <w:tab w:val="left" w:pos="660"/>
              <w:tab w:val="right" w:leader="dot" w:pos="9488"/>
            </w:tabs>
            <w:rPr>
              <w:rFonts w:asciiTheme="minorHAnsi" w:eastAsiaTheme="minorEastAsia" w:hAnsiTheme="minorHAnsi" w:cstheme="minorBidi"/>
              <w:noProof/>
              <w:sz w:val="22"/>
              <w:szCs w:val="22"/>
              <w:lang w:eastAsia="uk-UA"/>
            </w:rPr>
          </w:pPr>
          <w:hyperlink w:anchor="_Toc143012472" w:history="1">
            <w:r w:rsidR="00524DBF" w:rsidRPr="006925B0">
              <w:rPr>
                <w:rStyle w:val="af3"/>
                <w:noProof/>
                <w:lang w:eastAsia="uk-UA"/>
              </w:rPr>
              <w:t>VI.</w:t>
            </w:r>
            <w:r w:rsidR="00524DBF">
              <w:rPr>
                <w:rFonts w:asciiTheme="minorHAnsi" w:eastAsiaTheme="minorEastAsia" w:hAnsiTheme="minorHAnsi" w:cstheme="minorBidi"/>
                <w:noProof/>
                <w:sz w:val="22"/>
                <w:szCs w:val="22"/>
                <w:lang w:eastAsia="uk-UA"/>
              </w:rPr>
              <w:tab/>
            </w:r>
            <w:r w:rsidR="00524DBF" w:rsidRPr="006925B0">
              <w:rPr>
                <w:rStyle w:val="af3"/>
                <w:noProof/>
                <w:lang w:eastAsia="uk-UA"/>
              </w:rPr>
              <w:t>Функціональні типи територій, до яких відноситься територіальна громада</w:t>
            </w:r>
            <w:r w:rsidR="00524DBF">
              <w:rPr>
                <w:noProof/>
                <w:webHidden/>
              </w:rPr>
              <w:tab/>
            </w:r>
            <w:r w:rsidR="001A7D7E">
              <w:rPr>
                <w:noProof/>
                <w:webHidden/>
              </w:rPr>
              <w:fldChar w:fldCharType="begin"/>
            </w:r>
            <w:r w:rsidR="00524DBF">
              <w:rPr>
                <w:noProof/>
                <w:webHidden/>
              </w:rPr>
              <w:instrText xml:space="preserve"> PAGEREF _Toc143012472 \h </w:instrText>
            </w:r>
            <w:r w:rsidR="001A7D7E">
              <w:rPr>
                <w:noProof/>
                <w:webHidden/>
              </w:rPr>
            </w:r>
            <w:r w:rsidR="001A7D7E">
              <w:rPr>
                <w:noProof/>
                <w:webHidden/>
              </w:rPr>
              <w:fldChar w:fldCharType="separate"/>
            </w:r>
            <w:r w:rsidR="0058695F">
              <w:rPr>
                <w:noProof/>
                <w:webHidden/>
              </w:rPr>
              <w:t>60</w:t>
            </w:r>
            <w:r w:rsidR="001A7D7E">
              <w:rPr>
                <w:noProof/>
                <w:webHidden/>
              </w:rPr>
              <w:fldChar w:fldCharType="end"/>
            </w:r>
          </w:hyperlink>
        </w:p>
        <w:p w:rsidR="00524DBF" w:rsidRDefault="00F722F8">
          <w:pPr>
            <w:pStyle w:val="12"/>
            <w:tabs>
              <w:tab w:val="left" w:pos="880"/>
              <w:tab w:val="right" w:leader="dot" w:pos="9488"/>
            </w:tabs>
            <w:rPr>
              <w:rFonts w:asciiTheme="minorHAnsi" w:eastAsiaTheme="minorEastAsia" w:hAnsiTheme="minorHAnsi" w:cstheme="minorBidi"/>
              <w:noProof/>
              <w:sz w:val="22"/>
              <w:szCs w:val="22"/>
              <w:lang w:eastAsia="uk-UA"/>
            </w:rPr>
          </w:pPr>
          <w:hyperlink w:anchor="_Toc143012473" w:history="1">
            <w:r w:rsidR="00524DBF" w:rsidRPr="006925B0">
              <w:rPr>
                <w:rStyle w:val="af3"/>
                <w:noProof/>
              </w:rPr>
              <w:t>VII.</w:t>
            </w:r>
            <w:r w:rsidR="00524DBF">
              <w:rPr>
                <w:rFonts w:asciiTheme="minorHAnsi" w:eastAsiaTheme="minorEastAsia" w:hAnsiTheme="minorHAnsi" w:cstheme="minorBidi"/>
                <w:noProof/>
                <w:sz w:val="22"/>
                <w:szCs w:val="22"/>
                <w:lang w:eastAsia="uk-UA"/>
              </w:rPr>
              <w:tab/>
            </w:r>
            <w:r w:rsidR="00524DBF" w:rsidRPr="006925B0">
              <w:rPr>
                <w:rStyle w:val="af3"/>
                <w:noProof/>
              </w:rPr>
              <w:t>Бачення розвитку територіальної громади після завершення відновлення, що формується з урахуванням визначеного у чинній стратегії розвитку територіальної громади.</w:t>
            </w:r>
            <w:r w:rsidR="00524DBF">
              <w:rPr>
                <w:noProof/>
                <w:webHidden/>
              </w:rPr>
              <w:tab/>
            </w:r>
            <w:r w:rsidR="001A7D7E">
              <w:rPr>
                <w:noProof/>
                <w:webHidden/>
              </w:rPr>
              <w:fldChar w:fldCharType="begin"/>
            </w:r>
            <w:r w:rsidR="00524DBF">
              <w:rPr>
                <w:noProof/>
                <w:webHidden/>
              </w:rPr>
              <w:instrText xml:space="preserve"> PAGEREF _Toc143012473 \h </w:instrText>
            </w:r>
            <w:r w:rsidR="001A7D7E">
              <w:rPr>
                <w:noProof/>
                <w:webHidden/>
              </w:rPr>
            </w:r>
            <w:r w:rsidR="001A7D7E">
              <w:rPr>
                <w:noProof/>
                <w:webHidden/>
              </w:rPr>
              <w:fldChar w:fldCharType="separate"/>
            </w:r>
            <w:r w:rsidR="0058695F">
              <w:rPr>
                <w:noProof/>
                <w:webHidden/>
              </w:rPr>
              <w:t>62</w:t>
            </w:r>
            <w:r w:rsidR="001A7D7E">
              <w:rPr>
                <w:noProof/>
                <w:webHidden/>
              </w:rPr>
              <w:fldChar w:fldCharType="end"/>
            </w:r>
          </w:hyperlink>
        </w:p>
        <w:p w:rsidR="00524DBF" w:rsidRDefault="00F722F8">
          <w:pPr>
            <w:pStyle w:val="12"/>
            <w:tabs>
              <w:tab w:val="left" w:pos="880"/>
              <w:tab w:val="right" w:leader="dot" w:pos="9488"/>
            </w:tabs>
            <w:rPr>
              <w:rFonts w:asciiTheme="minorHAnsi" w:eastAsiaTheme="minorEastAsia" w:hAnsiTheme="minorHAnsi" w:cstheme="minorBidi"/>
              <w:noProof/>
              <w:sz w:val="22"/>
              <w:szCs w:val="22"/>
              <w:lang w:eastAsia="uk-UA"/>
            </w:rPr>
          </w:pPr>
          <w:hyperlink w:anchor="_Toc143012474" w:history="1">
            <w:r w:rsidR="00524DBF" w:rsidRPr="006925B0">
              <w:rPr>
                <w:rStyle w:val="af3"/>
                <w:noProof/>
                <w:lang w:eastAsia="uk-UA"/>
              </w:rPr>
              <w:t>VIII.</w:t>
            </w:r>
            <w:r w:rsidR="00524DBF">
              <w:rPr>
                <w:rFonts w:asciiTheme="minorHAnsi" w:eastAsiaTheme="minorEastAsia" w:hAnsiTheme="minorHAnsi" w:cstheme="minorBidi"/>
                <w:noProof/>
                <w:sz w:val="22"/>
                <w:szCs w:val="22"/>
                <w:lang w:eastAsia="uk-UA"/>
              </w:rPr>
              <w:tab/>
            </w:r>
            <w:r w:rsidR="00524DBF" w:rsidRPr="006925B0">
              <w:rPr>
                <w:rStyle w:val="af3"/>
                <w:noProof/>
                <w:lang w:eastAsia="uk-UA"/>
              </w:rPr>
              <w:t>Завдання та заходи відновлення, які відповідають пріоритетним напрямам відновлення та розвитку</w:t>
            </w:r>
            <w:r w:rsidR="00524DBF">
              <w:rPr>
                <w:noProof/>
                <w:webHidden/>
              </w:rPr>
              <w:tab/>
            </w:r>
            <w:r w:rsidR="001A7D7E">
              <w:rPr>
                <w:noProof/>
                <w:webHidden/>
              </w:rPr>
              <w:fldChar w:fldCharType="begin"/>
            </w:r>
            <w:r w:rsidR="00524DBF">
              <w:rPr>
                <w:noProof/>
                <w:webHidden/>
              </w:rPr>
              <w:instrText xml:space="preserve"> PAGEREF _Toc143012474 \h </w:instrText>
            </w:r>
            <w:r w:rsidR="001A7D7E">
              <w:rPr>
                <w:noProof/>
                <w:webHidden/>
              </w:rPr>
            </w:r>
            <w:r w:rsidR="001A7D7E">
              <w:rPr>
                <w:noProof/>
                <w:webHidden/>
              </w:rPr>
              <w:fldChar w:fldCharType="separate"/>
            </w:r>
            <w:r w:rsidR="0058695F">
              <w:rPr>
                <w:noProof/>
                <w:webHidden/>
              </w:rPr>
              <w:t>81</w:t>
            </w:r>
            <w:r w:rsidR="001A7D7E">
              <w:rPr>
                <w:noProof/>
                <w:webHidden/>
              </w:rPr>
              <w:fldChar w:fldCharType="end"/>
            </w:r>
          </w:hyperlink>
        </w:p>
        <w:p w:rsidR="00524DBF" w:rsidRDefault="00F722F8">
          <w:pPr>
            <w:pStyle w:val="12"/>
            <w:tabs>
              <w:tab w:val="left" w:pos="660"/>
              <w:tab w:val="right" w:leader="dot" w:pos="9488"/>
            </w:tabs>
            <w:rPr>
              <w:rFonts w:asciiTheme="minorHAnsi" w:eastAsiaTheme="minorEastAsia" w:hAnsiTheme="minorHAnsi" w:cstheme="minorBidi"/>
              <w:noProof/>
              <w:sz w:val="22"/>
              <w:szCs w:val="22"/>
              <w:lang w:eastAsia="uk-UA"/>
            </w:rPr>
          </w:pPr>
          <w:hyperlink w:anchor="_Toc143012475" w:history="1">
            <w:r w:rsidR="00524DBF" w:rsidRPr="006925B0">
              <w:rPr>
                <w:rStyle w:val="af3"/>
                <w:noProof/>
                <w:lang w:eastAsia="uk-UA"/>
              </w:rPr>
              <w:t>IX.</w:t>
            </w:r>
            <w:r w:rsidR="00524DBF">
              <w:rPr>
                <w:rFonts w:asciiTheme="minorHAnsi" w:eastAsiaTheme="minorEastAsia" w:hAnsiTheme="minorHAnsi" w:cstheme="minorBidi"/>
                <w:noProof/>
                <w:sz w:val="22"/>
                <w:szCs w:val="22"/>
                <w:lang w:eastAsia="uk-UA"/>
              </w:rPr>
              <w:tab/>
            </w:r>
            <w:r w:rsidR="00524DBF" w:rsidRPr="006925B0">
              <w:rPr>
                <w:rStyle w:val="af3"/>
                <w:noProof/>
                <w:lang w:eastAsia="uk-UA"/>
              </w:rPr>
              <w:t>Етапи і механізми реалізації плану відновлення та розвитку територіальної громади</w:t>
            </w:r>
            <w:r w:rsidR="00524DBF">
              <w:rPr>
                <w:noProof/>
                <w:webHidden/>
              </w:rPr>
              <w:tab/>
            </w:r>
            <w:r w:rsidR="001A7D7E">
              <w:rPr>
                <w:noProof/>
                <w:webHidden/>
              </w:rPr>
              <w:fldChar w:fldCharType="begin"/>
            </w:r>
            <w:r w:rsidR="00524DBF">
              <w:rPr>
                <w:noProof/>
                <w:webHidden/>
              </w:rPr>
              <w:instrText xml:space="preserve"> PAGEREF _Toc143012475 \h </w:instrText>
            </w:r>
            <w:r w:rsidR="001A7D7E">
              <w:rPr>
                <w:noProof/>
                <w:webHidden/>
              </w:rPr>
            </w:r>
            <w:r w:rsidR="001A7D7E">
              <w:rPr>
                <w:noProof/>
                <w:webHidden/>
              </w:rPr>
              <w:fldChar w:fldCharType="separate"/>
            </w:r>
            <w:r w:rsidR="0058695F">
              <w:rPr>
                <w:noProof/>
                <w:webHidden/>
              </w:rPr>
              <w:t>82</w:t>
            </w:r>
            <w:r w:rsidR="001A7D7E">
              <w:rPr>
                <w:noProof/>
                <w:webHidden/>
              </w:rPr>
              <w:fldChar w:fldCharType="end"/>
            </w:r>
          </w:hyperlink>
        </w:p>
        <w:p w:rsidR="00524DBF" w:rsidRDefault="00F722F8">
          <w:pPr>
            <w:pStyle w:val="12"/>
            <w:tabs>
              <w:tab w:val="left" w:pos="660"/>
              <w:tab w:val="right" w:leader="dot" w:pos="9488"/>
            </w:tabs>
            <w:rPr>
              <w:rFonts w:asciiTheme="minorHAnsi" w:eastAsiaTheme="minorEastAsia" w:hAnsiTheme="minorHAnsi" w:cstheme="minorBidi"/>
              <w:noProof/>
              <w:sz w:val="22"/>
              <w:szCs w:val="22"/>
              <w:lang w:eastAsia="uk-UA"/>
            </w:rPr>
          </w:pPr>
          <w:hyperlink w:anchor="_Toc143012476" w:history="1">
            <w:r w:rsidR="00524DBF" w:rsidRPr="006925B0">
              <w:rPr>
                <w:rStyle w:val="af3"/>
                <w:noProof/>
              </w:rPr>
              <w:t>X.</w:t>
            </w:r>
            <w:r w:rsidR="00524DBF">
              <w:rPr>
                <w:rFonts w:asciiTheme="minorHAnsi" w:eastAsiaTheme="minorEastAsia" w:hAnsiTheme="minorHAnsi" w:cstheme="minorBidi"/>
                <w:noProof/>
                <w:sz w:val="22"/>
                <w:szCs w:val="22"/>
                <w:lang w:eastAsia="uk-UA"/>
              </w:rPr>
              <w:tab/>
            </w:r>
            <w:r w:rsidR="00524DBF" w:rsidRPr="006925B0">
              <w:rPr>
                <w:rStyle w:val="af3"/>
                <w:noProof/>
              </w:rPr>
              <w:t>Прогнозовані потреби у фінансових ресурсах та можливі джерела їх отримання</w:t>
            </w:r>
            <w:r w:rsidR="00524DBF">
              <w:rPr>
                <w:noProof/>
                <w:webHidden/>
              </w:rPr>
              <w:tab/>
            </w:r>
            <w:r w:rsidR="001A7D7E">
              <w:rPr>
                <w:noProof/>
                <w:webHidden/>
              </w:rPr>
              <w:fldChar w:fldCharType="begin"/>
            </w:r>
            <w:r w:rsidR="00524DBF">
              <w:rPr>
                <w:noProof/>
                <w:webHidden/>
              </w:rPr>
              <w:instrText xml:space="preserve"> PAGEREF _Toc143012476 \h </w:instrText>
            </w:r>
            <w:r w:rsidR="001A7D7E">
              <w:rPr>
                <w:noProof/>
                <w:webHidden/>
              </w:rPr>
            </w:r>
            <w:r w:rsidR="001A7D7E">
              <w:rPr>
                <w:noProof/>
                <w:webHidden/>
              </w:rPr>
              <w:fldChar w:fldCharType="separate"/>
            </w:r>
            <w:r w:rsidR="0058695F">
              <w:rPr>
                <w:noProof/>
                <w:webHidden/>
              </w:rPr>
              <w:t>84</w:t>
            </w:r>
            <w:r w:rsidR="001A7D7E">
              <w:rPr>
                <w:noProof/>
                <w:webHidden/>
              </w:rPr>
              <w:fldChar w:fldCharType="end"/>
            </w:r>
          </w:hyperlink>
        </w:p>
        <w:p w:rsidR="00524DBF" w:rsidRDefault="00F722F8">
          <w:pPr>
            <w:pStyle w:val="12"/>
            <w:tabs>
              <w:tab w:val="left" w:pos="660"/>
              <w:tab w:val="right" w:leader="dot" w:pos="9488"/>
            </w:tabs>
            <w:rPr>
              <w:rFonts w:asciiTheme="minorHAnsi" w:eastAsiaTheme="minorEastAsia" w:hAnsiTheme="minorHAnsi" w:cstheme="minorBidi"/>
              <w:noProof/>
              <w:sz w:val="22"/>
              <w:szCs w:val="22"/>
              <w:lang w:eastAsia="uk-UA"/>
            </w:rPr>
          </w:pPr>
          <w:hyperlink w:anchor="_Toc143012477" w:history="1">
            <w:r w:rsidR="00524DBF" w:rsidRPr="006925B0">
              <w:rPr>
                <w:rStyle w:val="af3"/>
                <w:noProof/>
                <w:spacing w:val="12"/>
                <w:lang w:eastAsia="uk-UA"/>
              </w:rPr>
              <w:t>XI.</w:t>
            </w:r>
            <w:r w:rsidR="00524DBF">
              <w:rPr>
                <w:rFonts w:asciiTheme="minorHAnsi" w:eastAsiaTheme="minorEastAsia" w:hAnsiTheme="minorHAnsi" w:cstheme="minorBidi"/>
                <w:noProof/>
                <w:sz w:val="22"/>
                <w:szCs w:val="22"/>
                <w:lang w:eastAsia="uk-UA"/>
              </w:rPr>
              <w:tab/>
            </w:r>
            <w:r w:rsidR="00524DBF" w:rsidRPr="006925B0">
              <w:rPr>
                <w:rStyle w:val="af3"/>
                <w:noProof/>
                <w:lang w:eastAsia="uk-UA"/>
              </w:rPr>
              <w:t>Система моніторингу та оцінювання реалізації, що передбачає кількісні та якісні індикатори</w:t>
            </w:r>
            <w:r w:rsidR="00524DBF">
              <w:rPr>
                <w:noProof/>
                <w:webHidden/>
              </w:rPr>
              <w:tab/>
            </w:r>
            <w:r w:rsidR="001A7D7E">
              <w:rPr>
                <w:noProof/>
                <w:webHidden/>
              </w:rPr>
              <w:fldChar w:fldCharType="begin"/>
            </w:r>
            <w:r w:rsidR="00524DBF">
              <w:rPr>
                <w:noProof/>
                <w:webHidden/>
              </w:rPr>
              <w:instrText xml:space="preserve"> PAGEREF _Toc143012477 \h </w:instrText>
            </w:r>
            <w:r w:rsidR="001A7D7E">
              <w:rPr>
                <w:noProof/>
                <w:webHidden/>
              </w:rPr>
            </w:r>
            <w:r w:rsidR="001A7D7E">
              <w:rPr>
                <w:noProof/>
                <w:webHidden/>
              </w:rPr>
              <w:fldChar w:fldCharType="separate"/>
            </w:r>
            <w:r w:rsidR="0058695F">
              <w:rPr>
                <w:noProof/>
                <w:webHidden/>
              </w:rPr>
              <w:t>86</w:t>
            </w:r>
            <w:r w:rsidR="001A7D7E">
              <w:rPr>
                <w:noProof/>
                <w:webHidden/>
              </w:rPr>
              <w:fldChar w:fldCharType="end"/>
            </w:r>
          </w:hyperlink>
        </w:p>
        <w:p w:rsidR="00524DBF" w:rsidRDefault="00F722F8">
          <w:pPr>
            <w:pStyle w:val="12"/>
            <w:tabs>
              <w:tab w:val="left" w:pos="880"/>
              <w:tab w:val="right" w:leader="dot" w:pos="9488"/>
            </w:tabs>
            <w:rPr>
              <w:rFonts w:asciiTheme="minorHAnsi" w:eastAsiaTheme="minorEastAsia" w:hAnsiTheme="minorHAnsi" w:cstheme="minorBidi"/>
              <w:noProof/>
              <w:sz w:val="22"/>
              <w:szCs w:val="22"/>
              <w:lang w:eastAsia="uk-UA"/>
            </w:rPr>
          </w:pPr>
          <w:hyperlink w:anchor="_Toc143012478" w:history="1">
            <w:r w:rsidR="00524DBF" w:rsidRPr="006925B0">
              <w:rPr>
                <w:rStyle w:val="af3"/>
                <w:noProof/>
              </w:rPr>
              <w:t>XII.</w:t>
            </w:r>
            <w:r w:rsidR="00524DBF">
              <w:rPr>
                <w:rFonts w:asciiTheme="minorHAnsi" w:eastAsiaTheme="minorEastAsia" w:hAnsiTheme="minorHAnsi" w:cstheme="minorBidi"/>
                <w:noProof/>
                <w:sz w:val="22"/>
                <w:szCs w:val="22"/>
                <w:lang w:eastAsia="uk-UA"/>
              </w:rPr>
              <w:tab/>
            </w:r>
            <w:r w:rsidR="00524DBF" w:rsidRPr="006925B0">
              <w:rPr>
                <w:rStyle w:val="af3"/>
                <w:noProof/>
              </w:rPr>
              <w:t>Перелік про</w:t>
            </w:r>
            <w:r w:rsidR="004B3C9A">
              <w:rPr>
                <w:rStyle w:val="af3"/>
                <w:noProof/>
              </w:rPr>
              <w:t>є</w:t>
            </w:r>
            <w:r w:rsidR="00524DBF" w:rsidRPr="006925B0">
              <w:rPr>
                <w:rStyle w:val="af3"/>
                <w:noProof/>
              </w:rPr>
              <w:t>ктів регіонального (місцевого) розвитку</w:t>
            </w:r>
            <w:r w:rsidR="00524DBF">
              <w:rPr>
                <w:noProof/>
                <w:webHidden/>
              </w:rPr>
              <w:tab/>
            </w:r>
            <w:r w:rsidR="001A7D7E">
              <w:rPr>
                <w:noProof/>
                <w:webHidden/>
              </w:rPr>
              <w:fldChar w:fldCharType="begin"/>
            </w:r>
            <w:r w:rsidR="00524DBF">
              <w:rPr>
                <w:noProof/>
                <w:webHidden/>
              </w:rPr>
              <w:instrText xml:space="preserve"> PAGEREF _Toc143012478 \h </w:instrText>
            </w:r>
            <w:r w:rsidR="001A7D7E">
              <w:rPr>
                <w:noProof/>
                <w:webHidden/>
              </w:rPr>
            </w:r>
            <w:r w:rsidR="001A7D7E">
              <w:rPr>
                <w:noProof/>
                <w:webHidden/>
              </w:rPr>
              <w:fldChar w:fldCharType="separate"/>
            </w:r>
            <w:r w:rsidR="0058695F">
              <w:rPr>
                <w:noProof/>
                <w:webHidden/>
              </w:rPr>
              <w:t>93</w:t>
            </w:r>
            <w:r w:rsidR="001A7D7E">
              <w:rPr>
                <w:noProof/>
                <w:webHidden/>
              </w:rPr>
              <w:fldChar w:fldCharType="end"/>
            </w:r>
          </w:hyperlink>
        </w:p>
        <w:p w:rsidR="00DC4929" w:rsidRPr="00E95FB1" w:rsidRDefault="001A7D7E" w:rsidP="00DC4929">
          <w:r w:rsidRPr="00E95FB1">
            <w:fldChar w:fldCharType="end"/>
          </w:r>
        </w:p>
      </w:sdtContent>
    </w:sdt>
    <w:p w:rsidR="00DC4929" w:rsidRPr="00E95FB1" w:rsidRDefault="00DC4929" w:rsidP="00DC4929">
      <w:pPr>
        <w:widowControl w:val="0"/>
        <w:pBdr>
          <w:top w:val="nil"/>
          <w:left w:val="nil"/>
          <w:bottom w:val="nil"/>
          <w:right w:val="nil"/>
          <w:between w:val="nil"/>
        </w:pBdr>
        <w:spacing w:line="276" w:lineRule="auto"/>
        <w:jc w:val="center"/>
        <w:rPr>
          <w:b/>
          <w:color w:val="000000"/>
          <w:sz w:val="32"/>
          <w:szCs w:val="32"/>
        </w:rPr>
      </w:pPr>
    </w:p>
    <w:p w:rsidR="00607CC8" w:rsidRDefault="00607CC8" w:rsidP="00AC499C">
      <w:pPr>
        <w:widowControl w:val="0"/>
        <w:pBdr>
          <w:top w:val="nil"/>
          <w:left w:val="nil"/>
          <w:bottom w:val="nil"/>
          <w:right w:val="nil"/>
          <w:between w:val="nil"/>
        </w:pBdr>
        <w:spacing w:line="276" w:lineRule="auto"/>
        <w:jc w:val="center"/>
        <w:rPr>
          <w:b/>
          <w:color w:val="000000"/>
          <w:sz w:val="32"/>
          <w:szCs w:val="32"/>
        </w:rPr>
      </w:pPr>
    </w:p>
    <w:p w:rsidR="008F612E" w:rsidRDefault="008F612E" w:rsidP="00AC499C">
      <w:pPr>
        <w:widowControl w:val="0"/>
        <w:pBdr>
          <w:top w:val="nil"/>
          <w:left w:val="nil"/>
          <w:bottom w:val="nil"/>
          <w:right w:val="nil"/>
          <w:between w:val="nil"/>
        </w:pBdr>
        <w:spacing w:line="276" w:lineRule="auto"/>
        <w:jc w:val="center"/>
        <w:rPr>
          <w:b/>
          <w:color w:val="000000"/>
          <w:sz w:val="32"/>
          <w:szCs w:val="32"/>
        </w:rPr>
      </w:pPr>
    </w:p>
    <w:p w:rsidR="00607CC8" w:rsidRDefault="00607CC8" w:rsidP="00AC499C">
      <w:pPr>
        <w:widowControl w:val="0"/>
        <w:pBdr>
          <w:top w:val="nil"/>
          <w:left w:val="nil"/>
          <w:bottom w:val="nil"/>
          <w:right w:val="nil"/>
          <w:between w:val="nil"/>
        </w:pBdr>
        <w:spacing w:line="276" w:lineRule="auto"/>
        <w:jc w:val="center"/>
        <w:rPr>
          <w:b/>
          <w:color w:val="000000"/>
          <w:sz w:val="32"/>
          <w:szCs w:val="32"/>
        </w:rPr>
      </w:pPr>
    </w:p>
    <w:p w:rsidR="00AC499C" w:rsidRPr="00E95FB1" w:rsidRDefault="00AC499C" w:rsidP="00AC499C">
      <w:pPr>
        <w:widowControl w:val="0"/>
        <w:pBdr>
          <w:top w:val="nil"/>
          <w:left w:val="nil"/>
          <w:bottom w:val="nil"/>
          <w:right w:val="nil"/>
          <w:between w:val="nil"/>
        </w:pBdr>
        <w:spacing w:line="276" w:lineRule="auto"/>
        <w:jc w:val="center"/>
        <w:rPr>
          <w:b/>
          <w:color w:val="000000"/>
        </w:rPr>
      </w:pPr>
      <w:r w:rsidRPr="00E95FB1">
        <w:rPr>
          <w:b/>
          <w:color w:val="000000"/>
          <w:sz w:val="32"/>
          <w:szCs w:val="32"/>
        </w:rPr>
        <w:lastRenderedPageBreak/>
        <w:t>ВСТУП</w:t>
      </w:r>
    </w:p>
    <w:p w:rsidR="00AC499C" w:rsidRPr="00E95FB1" w:rsidRDefault="00AC499C" w:rsidP="00AC499C">
      <w:pPr>
        <w:jc w:val="center"/>
        <w:rPr>
          <w:b/>
          <w:color w:val="0070C0"/>
        </w:rPr>
      </w:pPr>
    </w:p>
    <w:p w:rsidR="00AC499C" w:rsidRDefault="0093720F" w:rsidP="00AC499C">
      <w:pPr>
        <w:tabs>
          <w:tab w:val="center" w:pos="4819"/>
          <w:tab w:val="right" w:pos="9639"/>
        </w:tabs>
        <w:rPr>
          <w:bCs/>
          <w:color w:val="000000"/>
        </w:rPr>
      </w:pPr>
      <w:r w:rsidRPr="00C27B48">
        <w:rPr>
          <w:b/>
          <w:color w:val="000000"/>
        </w:rPr>
        <w:tab/>
        <w:t xml:space="preserve">      </w:t>
      </w:r>
      <w:r w:rsidR="00AC499C" w:rsidRPr="000F2082">
        <w:rPr>
          <w:b/>
          <w:color w:val="000000"/>
        </w:rPr>
        <w:t>Програма комплексного відновлення території Сєвєродонецької міської територіальної громади</w:t>
      </w:r>
      <w:r w:rsidR="00AC499C" w:rsidRPr="00B23B09">
        <w:rPr>
          <w:bCs/>
          <w:color w:val="000000"/>
        </w:rPr>
        <w:t xml:space="preserve"> </w:t>
      </w:r>
      <w:r w:rsidR="00AC499C">
        <w:rPr>
          <w:bCs/>
          <w:color w:val="000000"/>
        </w:rPr>
        <w:t>(надалі Програма) -</w:t>
      </w:r>
      <w:r w:rsidR="00AC499C" w:rsidRPr="00501B52">
        <w:rPr>
          <w:bCs/>
          <w:color w:val="000000"/>
        </w:rPr>
        <w:t xml:space="preserve"> це </w:t>
      </w:r>
      <w:r w:rsidR="00AC499C">
        <w:rPr>
          <w:bCs/>
          <w:color w:val="000000"/>
        </w:rPr>
        <w:t>приклад</w:t>
      </w:r>
      <w:r w:rsidR="00AC499C" w:rsidRPr="00501B52">
        <w:rPr>
          <w:bCs/>
          <w:color w:val="000000"/>
        </w:rPr>
        <w:t xml:space="preserve"> надії та рішучості, це прагнення піднятися з руїн та крокувати в майбутнє, спираючись на досвід минулого.</w:t>
      </w:r>
      <w:r w:rsidR="00AC499C">
        <w:rPr>
          <w:bCs/>
          <w:color w:val="000000"/>
        </w:rPr>
        <w:t xml:space="preserve"> </w:t>
      </w:r>
    </w:p>
    <w:p w:rsidR="00AC499C" w:rsidRDefault="00AC499C" w:rsidP="00AC499C">
      <w:pPr>
        <w:tabs>
          <w:tab w:val="center" w:pos="4819"/>
          <w:tab w:val="right" w:pos="9639"/>
        </w:tabs>
        <w:rPr>
          <w:bCs/>
          <w:color w:val="000000"/>
        </w:rPr>
      </w:pPr>
    </w:p>
    <w:p w:rsidR="00AC499C" w:rsidRDefault="0093720F" w:rsidP="00AC499C">
      <w:pPr>
        <w:tabs>
          <w:tab w:val="center" w:pos="4819"/>
          <w:tab w:val="right" w:pos="9639"/>
        </w:tabs>
        <w:rPr>
          <w:bCs/>
          <w:color w:val="000000"/>
          <w:lang w:val="ru-RU"/>
        </w:rPr>
      </w:pPr>
      <w:r w:rsidRPr="00C27B48">
        <w:rPr>
          <w:bCs/>
          <w:color w:val="000000"/>
        </w:rPr>
        <w:tab/>
        <w:t xml:space="preserve">     </w:t>
      </w:r>
      <w:r w:rsidR="00AC499C">
        <w:rPr>
          <w:bCs/>
          <w:color w:val="000000"/>
        </w:rPr>
        <w:t>А</w:t>
      </w:r>
      <w:r w:rsidR="00AC499C" w:rsidRPr="00501B52">
        <w:rPr>
          <w:bCs/>
          <w:color w:val="000000"/>
        </w:rPr>
        <w:t xml:space="preserve">гресія </w:t>
      </w:r>
      <w:r w:rsidR="00D239B6">
        <w:rPr>
          <w:bCs/>
          <w:color w:val="000000"/>
        </w:rPr>
        <w:t>РФ</w:t>
      </w:r>
      <w:r w:rsidR="00AC499C">
        <w:rPr>
          <w:bCs/>
          <w:color w:val="000000"/>
        </w:rPr>
        <w:t xml:space="preserve"> проти України </w:t>
      </w:r>
      <w:r w:rsidR="00AC499C" w:rsidRPr="00501B52">
        <w:rPr>
          <w:bCs/>
          <w:color w:val="000000"/>
        </w:rPr>
        <w:t xml:space="preserve">наклала свій </w:t>
      </w:r>
      <w:r w:rsidR="00AC499C">
        <w:rPr>
          <w:bCs/>
          <w:color w:val="000000"/>
        </w:rPr>
        <w:t xml:space="preserve">жахливий </w:t>
      </w:r>
      <w:r w:rsidR="00AC499C" w:rsidRPr="00501B52">
        <w:rPr>
          <w:bCs/>
          <w:color w:val="000000"/>
        </w:rPr>
        <w:t>відбиток на місті</w:t>
      </w:r>
      <w:r w:rsidR="00E2148A">
        <w:rPr>
          <w:bCs/>
          <w:color w:val="000000"/>
        </w:rPr>
        <w:t xml:space="preserve"> Сєвєродонецьк</w:t>
      </w:r>
      <w:r w:rsidR="00AC499C" w:rsidRPr="00501B52">
        <w:rPr>
          <w:bCs/>
          <w:color w:val="000000"/>
        </w:rPr>
        <w:t xml:space="preserve">, залишивши шрами на його обличчі. Проте під цими шрамами б'ється сильне серце нашої громади. </w:t>
      </w:r>
      <w:r w:rsidR="00AC499C">
        <w:rPr>
          <w:bCs/>
          <w:color w:val="000000"/>
        </w:rPr>
        <w:t>Зараз ми розкидані по світу. Але в</w:t>
      </w:r>
      <w:r w:rsidR="00AC499C" w:rsidRPr="00501B52">
        <w:rPr>
          <w:bCs/>
          <w:color w:val="000000"/>
        </w:rPr>
        <w:t xml:space="preserve">ідразу, коли світло миру повернеться до нас, дякуючи нашим героям та </w:t>
      </w:r>
      <w:r w:rsidR="00AC499C">
        <w:rPr>
          <w:bCs/>
          <w:color w:val="000000"/>
        </w:rPr>
        <w:t>героїням</w:t>
      </w:r>
      <w:r w:rsidR="00AC499C" w:rsidRPr="00501B52">
        <w:rPr>
          <w:bCs/>
          <w:color w:val="000000"/>
        </w:rPr>
        <w:t>, ми будемо прагнути відновити наше місто</w:t>
      </w:r>
      <w:r w:rsidR="00ED6C6E">
        <w:rPr>
          <w:bCs/>
          <w:color w:val="000000"/>
          <w:lang w:val="ru-RU"/>
        </w:rPr>
        <w:t xml:space="preserve"> та </w:t>
      </w:r>
      <w:r w:rsidR="00ED6C6E">
        <w:rPr>
          <w:bCs/>
          <w:color w:val="000000"/>
        </w:rPr>
        <w:t>громаду</w:t>
      </w:r>
      <w:r w:rsidR="00AC499C" w:rsidRPr="00501B52">
        <w:rPr>
          <w:bCs/>
          <w:color w:val="000000"/>
        </w:rPr>
        <w:t>.</w:t>
      </w:r>
      <w:r w:rsidR="00AC499C">
        <w:rPr>
          <w:bCs/>
          <w:color w:val="000000"/>
        </w:rPr>
        <w:t xml:space="preserve"> </w:t>
      </w:r>
    </w:p>
    <w:p w:rsidR="0093720F" w:rsidRPr="0093720F" w:rsidRDefault="0093720F" w:rsidP="00AC499C">
      <w:pPr>
        <w:tabs>
          <w:tab w:val="center" w:pos="4819"/>
          <w:tab w:val="right" w:pos="9639"/>
        </w:tabs>
        <w:rPr>
          <w:bCs/>
          <w:color w:val="000000"/>
          <w:lang w:val="ru-RU"/>
        </w:rPr>
      </w:pPr>
    </w:p>
    <w:p w:rsidR="00AC499C" w:rsidRDefault="0093720F" w:rsidP="00AC499C">
      <w:pPr>
        <w:tabs>
          <w:tab w:val="center" w:pos="4819"/>
          <w:tab w:val="right" w:pos="9639"/>
        </w:tabs>
        <w:rPr>
          <w:bCs/>
          <w:color w:val="000000"/>
        </w:rPr>
      </w:pPr>
      <w:r>
        <w:rPr>
          <w:bCs/>
          <w:color w:val="000000"/>
          <w:lang w:val="ru-RU"/>
        </w:rPr>
        <w:t xml:space="preserve">    </w:t>
      </w:r>
      <w:r w:rsidR="00AC499C">
        <w:rPr>
          <w:bCs/>
          <w:color w:val="000000"/>
        </w:rPr>
        <w:t>Ми не ставимо за мету зробити копію «довоєнного» міста. Ми усвідомлюємо, що м</w:t>
      </w:r>
      <w:r w:rsidR="00AC499C" w:rsidRPr="00501B52">
        <w:rPr>
          <w:bCs/>
          <w:color w:val="000000"/>
        </w:rPr>
        <w:t xml:space="preserve">инуле — це лише фундамент, на якому ми </w:t>
      </w:r>
      <w:r w:rsidR="00AC499C">
        <w:rPr>
          <w:bCs/>
          <w:color w:val="000000"/>
        </w:rPr>
        <w:t xml:space="preserve">будемо </w:t>
      </w:r>
      <w:r w:rsidR="00AC499C" w:rsidRPr="00501B52">
        <w:rPr>
          <w:bCs/>
          <w:color w:val="000000"/>
        </w:rPr>
        <w:t>буду</w:t>
      </w:r>
      <w:r w:rsidR="00AC499C">
        <w:rPr>
          <w:bCs/>
          <w:color w:val="000000"/>
        </w:rPr>
        <w:t>вати</w:t>
      </w:r>
      <w:r w:rsidR="00AC499C" w:rsidRPr="00501B52">
        <w:rPr>
          <w:bCs/>
          <w:color w:val="000000"/>
        </w:rPr>
        <w:t xml:space="preserve"> свій майбутній дім. Ми, мешканці Сєвєродонецьк</w:t>
      </w:r>
      <w:r w:rsidR="00D239B6" w:rsidRPr="00D64A67">
        <w:rPr>
          <w:bCs/>
          <w:color w:val="000000"/>
        </w:rPr>
        <w:t>о</w:t>
      </w:r>
      <w:r w:rsidR="00D17E22">
        <w:rPr>
          <w:bCs/>
          <w:color w:val="000000"/>
        </w:rPr>
        <w:t>ї</w:t>
      </w:r>
      <w:r w:rsidR="00D239B6" w:rsidRPr="00D64A67">
        <w:rPr>
          <w:bCs/>
          <w:color w:val="000000"/>
        </w:rPr>
        <w:t xml:space="preserve"> громади</w:t>
      </w:r>
      <w:r w:rsidR="00AC499C" w:rsidRPr="00501B52">
        <w:rPr>
          <w:bCs/>
          <w:color w:val="000000"/>
        </w:rPr>
        <w:t xml:space="preserve">, прагнемо більшого, ніж просто відновлення. Ми хочемо створити нове, сучасне та прогресивне </w:t>
      </w:r>
      <w:r w:rsidR="00AC499C">
        <w:rPr>
          <w:bCs/>
          <w:color w:val="000000"/>
        </w:rPr>
        <w:t xml:space="preserve">українське </w:t>
      </w:r>
      <w:r w:rsidR="00AC499C" w:rsidRPr="00501B52">
        <w:rPr>
          <w:bCs/>
          <w:color w:val="000000"/>
        </w:rPr>
        <w:t xml:space="preserve">місто, </w:t>
      </w:r>
      <w:r w:rsidR="00726E52">
        <w:rPr>
          <w:bCs/>
          <w:color w:val="000000"/>
        </w:rPr>
        <w:t xml:space="preserve">громаду, </w:t>
      </w:r>
      <w:r w:rsidR="00AC499C" w:rsidRPr="00501B52">
        <w:rPr>
          <w:bCs/>
          <w:color w:val="000000"/>
        </w:rPr>
        <w:t xml:space="preserve">де кожен з нас міг би відчувати себе </w:t>
      </w:r>
      <w:proofErr w:type="spellStart"/>
      <w:r w:rsidR="00AC499C" w:rsidRPr="00501B52">
        <w:rPr>
          <w:bCs/>
          <w:color w:val="000000"/>
        </w:rPr>
        <w:t>комфортно</w:t>
      </w:r>
      <w:proofErr w:type="spellEnd"/>
      <w:r w:rsidR="00AC499C" w:rsidRPr="00501B52">
        <w:rPr>
          <w:bCs/>
          <w:color w:val="000000"/>
        </w:rPr>
        <w:t xml:space="preserve"> та впевнено.</w:t>
      </w:r>
    </w:p>
    <w:p w:rsidR="00AC499C" w:rsidRDefault="00AC499C" w:rsidP="00AC499C">
      <w:pPr>
        <w:tabs>
          <w:tab w:val="center" w:pos="4819"/>
          <w:tab w:val="right" w:pos="9639"/>
        </w:tabs>
        <w:rPr>
          <w:bCs/>
          <w:color w:val="000000"/>
        </w:rPr>
      </w:pPr>
    </w:p>
    <w:p w:rsidR="00AC499C" w:rsidRPr="00501B52" w:rsidRDefault="0093720F" w:rsidP="00AC499C">
      <w:pPr>
        <w:tabs>
          <w:tab w:val="center" w:pos="4819"/>
          <w:tab w:val="right" w:pos="9639"/>
        </w:tabs>
        <w:rPr>
          <w:bCs/>
          <w:color w:val="000000"/>
        </w:rPr>
      </w:pPr>
      <w:r w:rsidRPr="00C27B48">
        <w:rPr>
          <w:bCs/>
          <w:color w:val="000000"/>
        </w:rPr>
        <w:t xml:space="preserve">   </w:t>
      </w:r>
      <w:r w:rsidR="001D4A1D" w:rsidRPr="00C27B48">
        <w:rPr>
          <w:bCs/>
          <w:color w:val="000000"/>
        </w:rPr>
        <w:t xml:space="preserve"> </w:t>
      </w:r>
      <w:r w:rsidR="00AC499C" w:rsidRPr="00501B52">
        <w:rPr>
          <w:bCs/>
          <w:color w:val="000000"/>
        </w:rPr>
        <w:t xml:space="preserve">Ця </w:t>
      </w:r>
      <w:r w:rsidR="009B2451">
        <w:rPr>
          <w:bCs/>
          <w:color w:val="000000"/>
        </w:rPr>
        <w:t>П</w:t>
      </w:r>
      <w:r w:rsidR="00AC499C" w:rsidRPr="00501B52">
        <w:rPr>
          <w:bCs/>
          <w:color w:val="000000"/>
        </w:rPr>
        <w:t xml:space="preserve">рограма не лише </w:t>
      </w:r>
      <w:r w:rsidR="00AC499C">
        <w:rPr>
          <w:bCs/>
          <w:color w:val="000000"/>
        </w:rPr>
        <w:t xml:space="preserve">про відновлення </w:t>
      </w:r>
      <w:r w:rsidR="00AC499C" w:rsidRPr="00501B52">
        <w:rPr>
          <w:bCs/>
          <w:color w:val="000000"/>
        </w:rPr>
        <w:t>будів</w:t>
      </w:r>
      <w:r w:rsidR="00AC499C">
        <w:rPr>
          <w:bCs/>
          <w:color w:val="000000"/>
        </w:rPr>
        <w:t xml:space="preserve">ель </w:t>
      </w:r>
      <w:r w:rsidR="00AC499C" w:rsidRPr="00501B52">
        <w:rPr>
          <w:bCs/>
          <w:color w:val="000000"/>
        </w:rPr>
        <w:t>та дор</w:t>
      </w:r>
      <w:r w:rsidR="00AC499C">
        <w:rPr>
          <w:bCs/>
          <w:color w:val="000000"/>
        </w:rPr>
        <w:t>іг</w:t>
      </w:r>
      <w:r w:rsidR="00AC499C" w:rsidRPr="00501B52">
        <w:rPr>
          <w:bCs/>
          <w:color w:val="000000"/>
        </w:rPr>
        <w:t xml:space="preserve">, але й </w:t>
      </w:r>
      <w:r w:rsidR="00AC499C">
        <w:rPr>
          <w:bCs/>
          <w:color w:val="000000"/>
        </w:rPr>
        <w:t xml:space="preserve">про </w:t>
      </w:r>
      <w:r w:rsidR="00AC499C" w:rsidRPr="00501B52">
        <w:rPr>
          <w:bCs/>
          <w:color w:val="000000"/>
        </w:rPr>
        <w:t>переосмисл</w:t>
      </w:r>
      <w:r w:rsidR="00AC499C">
        <w:rPr>
          <w:bCs/>
          <w:color w:val="000000"/>
        </w:rPr>
        <w:t>ення</w:t>
      </w:r>
      <w:r w:rsidR="00AC499C" w:rsidRPr="00501B52">
        <w:rPr>
          <w:bCs/>
          <w:color w:val="000000"/>
        </w:rPr>
        <w:t xml:space="preserve"> їх</w:t>
      </w:r>
      <w:r w:rsidR="00AC499C">
        <w:rPr>
          <w:bCs/>
          <w:color w:val="000000"/>
        </w:rPr>
        <w:t>ніх</w:t>
      </w:r>
      <w:r w:rsidR="00AC499C" w:rsidRPr="00501B52">
        <w:rPr>
          <w:bCs/>
          <w:color w:val="000000"/>
        </w:rPr>
        <w:t xml:space="preserve"> функці</w:t>
      </w:r>
      <w:r w:rsidR="00AC499C">
        <w:rPr>
          <w:bCs/>
          <w:color w:val="000000"/>
        </w:rPr>
        <w:t>й</w:t>
      </w:r>
      <w:r w:rsidR="00AC499C" w:rsidRPr="00501B52">
        <w:rPr>
          <w:bCs/>
          <w:color w:val="000000"/>
        </w:rPr>
        <w:t xml:space="preserve"> в сучасному світі. Ми мріємо про інноваційні рішення, які зроблять наше місто </w:t>
      </w:r>
      <w:r w:rsidR="004B7A8B">
        <w:rPr>
          <w:bCs/>
          <w:color w:val="000000"/>
        </w:rPr>
        <w:t xml:space="preserve">та нашу громаду </w:t>
      </w:r>
      <w:r w:rsidR="00AC499C" w:rsidRPr="00501B52">
        <w:rPr>
          <w:bCs/>
          <w:color w:val="000000"/>
        </w:rPr>
        <w:t>більш екологічним</w:t>
      </w:r>
      <w:r w:rsidR="004B7A8B">
        <w:rPr>
          <w:bCs/>
          <w:color w:val="000000"/>
        </w:rPr>
        <w:t>и</w:t>
      </w:r>
      <w:r w:rsidR="00AC499C" w:rsidRPr="00501B52">
        <w:rPr>
          <w:bCs/>
          <w:color w:val="000000"/>
        </w:rPr>
        <w:t>, ефективним</w:t>
      </w:r>
      <w:r w:rsidR="004B7A8B">
        <w:rPr>
          <w:bCs/>
          <w:color w:val="000000"/>
        </w:rPr>
        <w:t>и</w:t>
      </w:r>
      <w:r w:rsidR="00AC499C" w:rsidRPr="00501B52">
        <w:rPr>
          <w:bCs/>
          <w:color w:val="000000"/>
        </w:rPr>
        <w:t xml:space="preserve"> та зручним</w:t>
      </w:r>
      <w:r w:rsidR="004B7A8B">
        <w:rPr>
          <w:bCs/>
          <w:color w:val="000000"/>
        </w:rPr>
        <w:t>и</w:t>
      </w:r>
      <w:r w:rsidR="00AC499C" w:rsidRPr="00501B52">
        <w:rPr>
          <w:bCs/>
          <w:color w:val="000000"/>
        </w:rPr>
        <w:t xml:space="preserve"> для життя. Від розвитку сталої енергетики до створення сучасних центрів освіти</w:t>
      </w:r>
      <w:r w:rsidR="00AC499C">
        <w:rPr>
          <w:bCs/>
          <w:color w:val="000000"/>
        </w:rPr>
        <w:t>, науки</w:t>
      </w:r>
      <w:r w:rsidR="004B7A8B">
        <w:rPr>
          <w:bCs/>
          <w:color w:val="000000"/>
        </w:rPr>
        <w:t>,</w:t>
      </w:r>
      <w:r w:rsidR="00AC499C" w:rsidRPr="00501B52">
        <w:rPr>
          <w:bCs/>
          <w:color w:val="000000"/>
        </w:rPr>
        <w:t xml:space="preserve"> культури</w:t>
      </w:r>
      <w:r w:rsidR="00835C89">
        <w:rPr>
          <w:bCs/>
          <w:color w:val="000000"/>
        </w:rPr>
        <w:t xml:space="preserve"> та спорту</w:t>
      </w:r>
      <w:r w:rsidR="00842EB1">
        <w:rPr>
          <w:bCs/>
          <w:color w:val="000000"/>
          <w:lang w:val="ru-RU"/>
        </w:rPr>
        <w:t>. М</w:t>
      </w:r>
      <w:r w:rsidR="00AC499C" w:rsidRPr="00501B52">
        <w:rPr>
          <w:bCs/>
          <w:color w:val="000000"/>
        </w:rPr>
        <w:t>и прагнемо глибокого перетворення нашо</w:t>
      </w:r>
      <w:r w:rsidR="00842EB1">
        <w:rPr>
          <w:bCs/>
          <w:color w:val="000000"/>
        </w:rPr>
        <w:t>ї</w:t>
      </w:r>
      <w:r w:rsidR="00AC499C" w:rsidRPr="00501B52">
        <w:rPr>
          <w:bCs/>
          <w:color w:val="000000"/>
        </w:rPr>
        <w:t xml:space="preserve"> </w:t>
      </w:r>
      <w:r w:rsidR="00842EB1">
        <w:rPr>
          <w:bCs/>
          <w:color w:val="000000"/>
        </w:rPr>
        <w:t>громади</w:t>
      </w:r>
      <w:r w:rsidR="00AC499C" w:rsidRPr="00501B52">
        <w:rPr>
          <w:bCs/>
          <w:color w:val="000000"/>
        </w:rPr>
        <w:t>.</w:t>
      </w:r>
    </w:p>
    <w:p w:rsidR="00AC499C" w:rsidRDefault="00AC499C" w:rsidP="00AC499C">
      <w:pPr>
        <w:tabs>
          <w:tab w:val="center" w:pos="4819"/>
          <w:tab w:val="right" w:pos="9639"/>
        </w:tabs>
        <w:rPr>
          <w:bCs/>
          <w:color w:val="000000"/>
        </w:rPr>
      </w:pPr>
    </w:p>
    <w:p w:rsidR="00AC499C" w:rsidRPr="000F2082" w:rsidRDefault="001D4A1D" w:rsidP="00AC499C">
      <w:pPr>
        <w:tabs>
          <w:tab w:val="center" w:pos="4819"/>
          <w:tab w:val="right" w:pos="9639"/>
        </w:tabs>
        <w:rPr>
          <w:bCs/>
          <w:color w:val="000000"/>
        </w:rPr>
      </w:pPr>
      <w:r>
        <w:rPr>
          <w:bCs/>
          <w:color w:val="000000"/>
          <w:lang w:val="ru-RU"/>
        </w:rPr>
        <w:t xml:space="preserve">    </w:t>
      </w:r>
      <w:r w:rsidR="00AC499C" w:rsidRPr="00501B52">
        <w:rPr>
          <w:bCs/>
          <w:color w:val="000000"/>
        </w:rPr>
        <w:t xml:space="preserve">Програма </w:t>
      </w:r>
      <w:r w:rsidR="00AC499C">
        <w:rPr>
          <w:bCs/>
          <w:color w:val="000000"/>
        </w:rPr>
        <w:t>ґрунтується на</w:t>
      </w:r>
      <w:r w:rsidR="00AC499C" w:rsidRPr="00501B52">
        <w:rPr>
          <w:bCs/>
          <w:color w:val="000000"/>
        </w:rPr>
        <w:t xml:space="preserve"> практичних рішен</w:t>
      </w:r>
      <w:r w:rsidR="00AC499C">
        <w:rPr>
          <w:bCs/>
          <w:color w:val="000000"/>
        </w:rPr>
        <w:t>нях</w:t>
      </w:r>
      <w:r w:rsidR="00AC499C" w:rsidRPr="00501B52">
        <w:rPr>
          <w:bCs/>
          <w:color w:val="000000"/>
        </w:rPr>
        <w:t>, але невід'ємно пов'язана з нашою вірою у світле майбутнє. Ця віра буде тим мотором, що спонукає нас вдягнути рукави</w:t>
      </w:r>
      <w:r w:rsidR="00AC499C">
        <w:rPr>
          <w:bCs/>
          <w:color w:val="000000"/>
        </w:rPr>
        <w:t>ці</w:t>
      </w:r>
      <w:r w:rsidR="00AC499C" w:rsidRPr="00501B52">
        <w:rPr>
          <w:bCs/>
          <w:color w:val="000000"/>
        </w:rPr>
        <w:t xml:space="preserve"> і спільно працювати над відродженням Сєвєродонецька</w:t>
      </w:r>
      <w:r w:rsidR="00677B78">
        <w:rPr>
          <w:bCs/>
          <w:color w:val="000000"/>
        </w:rPr>
        <w:t xml:space="preserve"> та громади</w:t>
      </w:r>
      <w:r w:rsidR="00AC499C" w:rsidRPr="00501B52">
        <w:rPr>
          <w:bCs/>
          <w:color w:val="000000"/>
        </w:rPr>
        <w:t>.</w:t>
      </w:r>
      <w:r w:rsidR="00AC499C">
        <w:rPr>
          <w:bCs/>
          <w:color w:val="000000"/>
        </w:rPr>
        <w:t xml:space="preserve"> </w:t>
      </w:r>
      <w:r w:rsidR="00AC499C" w:rsidRPr="00501B52">
        <w:rPr>
          <w:bCs/>
          <w:color w:val="000000"/>
        </w:rPr>
        <w:t xml:space="preserve">Програма </w:t>
      </w:r>
      <w:r w:rsidR="00AC499C">
        <w:rPr>
          <w:bCs/>
          <w:color w:val="000000"/>
        </w:rPr>
        <w:t>-</w:t>
      </w:r>
      <w:r w:rsidR="00AC499C" w:rsidRPr="00501B52">
        <w:rPr>
          <w:bCs/>
          <w:color w:val="000000"/>
        </w:rPr>
        <w:t xml:space="preserve"> це наш спосіб впевнено крокувати в майбутнє, побудован</w:t>
      </w:r>
      <w:r w:rsidR="00AC499C">
        <w:rPr>
          <w:bCs/>
          <w:color w:val="000000"/>
        </w:rPr>
        <w:t>ий</w:t>
      </w:r>
      <w:r w:rsidR="00AC499C" w:rsidRPr="00501B52">
        <w:rPr>
          <w:bCs/>
          <w:color w:val="000000"/>
        </w:rPr>
        <w:t xml:space="preserve"> на нашій спільній волі та незламному оптимізмі.</w:t>
      </w:r>
    </w:p>
    <w:p w:rsidR="00AC499C" w:rsidRPr="00501B52" w:rsidRDefault="00AC499C" w:rsidP="00AC499C">
      <w:pPr>
        <w:tabs>
          <w:tab w:val="center" w:pos="4819"/>
          <w:tab w:val="right" w:pos="9639"/>
        </w:tabs>
        <w:rPr>
          <w:bCs/>
          <w:color w:val="000000"/>
        </w:rPr>
      </w:pPr>
    </w:p>
    <w:p w:rsidR="00AC499C" w:rsidRDefault="001D4A1D" w:rsidP="00AC499C">
      <w:pPr>
        <w:tabs>
          <w:tab w:val="center" w:pos="4819"/>
          <w:tab w:val="right" w:pos="9639"/>
        </w:tabs>
      </w:pPr>
      <w:r w:rsidRPr="001D4A1D">
        <w:rPr>
          <w:bCs/>
          <w:color w:val="000000"/>
        </w:rPr>
        <w:t xml:space="preserve">   </w:t>
      </w:r>
      <w:r w:rsidR="00AC499C" w:rsidRPr="000F2082">
        <w:rPr>
          <w:bCs/>
          <w:color w:val="000000"/>
        </w:rPr>
        <w:t>Програма відновлення</w:t>
      </w:r>
      <w:r w:rsidR="00AC499C" w:rsidRPr="00E95FB1">
        <w:rPr>
          <w:color w:val="000000"/>
        </w:rPr>
        <w:t xml:space="preserve"> розроблена </w:t>
      </w:r>
      <w:r w:rsidR="00AC499C" w:rsidRPr="00E95FB1">
        <w:t xml:space="preserve">з метою ліквідації негативних наслідків, отриманих в результаті збройної агресії </w:t>
      </w:r>
      <w:r w:rsidR="0076281D">
        <w:t>РФ</w:t>
      </w:r>
      <w:r w:rsidR="00AC499C">
        <w:t xml:space="preserve"> </w:t>
      </w:r>
      <w:r w:rsidR="00AC499C" w:rsidRPr="00E95FB1">
        <w:t xml:space="preserve">проти України, відновлення життєдіяльності громади, відбудови зруйнованих та/або пошкоджених об’єктів критичної інфраструктури, соціальної інфраструктури, об’єктів житлового та громадського призначення, повернення в регіон внутрішньо переміщених осіб та біженців, створення сприятливих умов для діяльності всіх суб'єктів господарювання </w:t>
      </w:r>
      <w:r w:rsidR="00AC499C">
        <w:t xml:space="preserve">заради </w:t>
      </w:r>
      <w:r w:rsidR="00AC499C" w:rsidRPr="00E95FB1">
        <w:t>досягнення сталого розвитку, покращення рівня життя населення в згуртованій, розумній, конкурентоспроможній і демократичній громаді, орієнтованій на людину</w:t>
      </w:r>
      <w:r w:rsidR="0040740A">
        <w:t xml:space="preserve"> та її потреби</w:t>
      </w:r>
      <w:r w:rsidR="00AC499C" w:rsidRPr="00E95FB1">
        <w:t>.</w:t>
      </w:r>
    </w:p>
    <w:p w:rsidR="00AC499C" w:rsidRPr="00E95FB1" w:rsidRDefault="00AC499C" w:rsidP="00AC499C">
      <w:pPr>
        <w:tabs>
          <w:tab w:val="center" w:pos="4819"/>
          <w:tab w:val="right" w:pos="9639"/>
        </w:tabs>
      </w:pPr>
    </w:p>
    <w:p w:rsidR="00A50CFB" w:rsidRDefault="00A50CFB" w:rsidP="00AC499C">
      <w:pPr>
        <w:pBdr>
          <w:top w:val="nil"/>
          <w:left w:val="nil"/>
          <w:bottom w:val="nil"/>
          <w:right w:val="nil"/>
          <w:between w:val="nil"/>
        </w:pBdr>
        <w:tabs>
          <w:tab w:val="center" w:pos="4819"/>
          <w:tab w:val="right" w:pos="9639"/>
        </w:tabs>
        <w:rPr>
          <w:color w:val="000000"/>
        </w:rPr>
      </w:pPr>
    </w:p>
    <w:p w:rsidR="00AC499C" w:rsidRPr="00E95FB1" w:rsidRDefault="00AC499C" w:rsidP="00A50CFB">
      <w:pPr>
        <w:pBdr>
          <w:top w:val="nil"/>
          <w:left w:val="nil"/>
          <w:bottom w:val="nil"/>
          <w:right w:val="nil"/>
          <w:between w:val="nil"/>
        </w:pBdr>
        <w:tabs>
          <w:tab w:val="center" w:pos="4819"/>
          <w:tab w:val="right" w:pos="9639"/>
        </w:tabs>
        <w:ind w:left="284"/>
        <w:rPr>
          <w:color w:val="000000"/>
        </w:rPr>
      </w:pPr>
      <w:r w:rsidRPr="00E95FB1">
        <w:rPr>
          <w:color w:val="000000"/>
        </w:rPr>
        <w:lastRenderedPageBreak/>
        <w:t>Законодавчою основою для розроблення Програми є:</w:t>
      </w:r>
    </w:p>
    <w:p w:rsidR="00AC499C" w:rsidRPr="00E95FB1" w:rsidRDefault="00AC499C" w:rsidP="000303D7">
      <w:pPr>
        <w:pStyle w:val="a7"/>
        <w:numPr>
          <w:ilvl w:val="0"/>
          <w:numId w:val="133"/>
        </w:numPr>
        <w:pBdr>
          <w:top w:val="nil"/>
          <w:left w:val="nil"/>
          <w:bottom w:val="nil"/>
          <w:right w:val="nil"/>
          <w:between w:val="nil"/>
        </w:pBdr>
      </w:pPr>
      <w:r w:rsidRPr="00E95FB1">
        <w:t xml:space="preserve">Закон України від 12.05.2015 р. № 389-VIII «Про правовий режим воєнного стану». </w:t>
      </w:r>
    </w:p>
    <w:p w:rsidR="00AC499C" w:rsidRPr="00E95FB1" w:rsidRDefault="00AC499C" w:rsidP="000303D7">
      <w:pPr>
        <w:pStyle w:val="a7"/>
        <w:numPr>
          <w:ilvl w:val="0"/>
          <w:numId w:val="133"/>
        </w:numPr>
        <w:pBdr>
          <w:top w:val="nil"/>
          <w:left w:val="nil"/>
          <w:bottom w:val="nil"/>
          <w:right w:val="nil"/>
          <w:between w:val="nil"/>
        </w:pBdr>
      </w:pPr>
      <w:r w:rsidRPr="00E95FB1">
        <w:t xml:space="preserve">Закон України від 21.05.1997 р. № 280/97-ВР «Про місцеве самоврядування в Україні». </w:t>
      </w:r>
    </w:p>
    <w:p w:rsidR="00AC499C" w:rsidRPr="00E95FB1" w:rsidRDefault="00AC499C" w:rsidP="000303D7">
      <w:pPr>
        <w:pStyle w:val="a7"/>
        <w:numPr>
          <w:ilvl w:val="0"/>
          <w:numId w:val="133"/>
        </w:numPr>
        <w:pBdr>
          <w:top w:val="nil"/>
          <w:left w:val="nil"/>
          <w:bottom w:val="nil"/>
          <w:right w:val="nil"/>
          <w:between w:val="nil"/>
        </w:pBdr>
      </w:pPr>
      <w:r w:rsidRPr="00E95FB1">
        <w:t>Закон України 17.02.2011 р. № 3038-VI від «Про регулювання містобудівної діяльності».</w:t>
      </w:r>
    </w:p>
    <w:p w:rsidR="00AC499C" w:rsidRPr="00E95FB1" w:rsidRDefault="00AC499C" w:rsidP="000303D7">
      <w:pPr>
        <w:numPr>
          <w:ilvl w:val="0"/>
          <w:numId w:val="133"/>
        </w:numPr>
        <w:pBdr>
          <w:top w:val="nil"/>
          <w:left w:val="nil"/>
          <w:bottom w:val="nil"/>
          <w:right w:val="nil"/>
          <w:between w:val="nil"/>
        </w:pBdr>
      </w:pPr>
      <w:r w:rsidRPr="00E95FB1">
        <w:t>Постанова Кабінету Міністрів України про внесення змін до постанови Кабінету Міністрів України від 11</w:t>
      </w:r>
      <w:r w:rsidR="00A44F4D">
        <w:t>.11.</w:t>
      </w:r>
      <w:r w:rsidRPr="00E95FB1">
        <w:t>2015 р. № 932 "Про затвердження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w:t>
      </w:r>
    </w:p>
    <w:p w:rsidR="00AC499C" w:rsidRPr="00E95FB1" w:rsidRDefault="00AC499C" w:rsidP="000303D7">
      <w:pPr>
        <w:numPr>
          <w:ilvl w:val="0"/>
          <w:numId w:val="133"/>
        </w:numPr>
        <w:pBdr>
          <w:top w:val="nil"/>
          <w:left w:val="nil"/>
          <w:bottom w:val="nil"/>
          <w:right w:val="nil"/>
          <w:between w:val="nil"/>
        </w:pBdr>
        <w:rPr>
          <w:bCs/>
        </w:rPr>
      </w:pPr>
      <w:r w:rsidRPr="00E95FB1">
        <w:t xml:space="preserve">Постанова Кабінету Міністрів України від </w:t>
      </w:r>
      <w:r w:rsidRPr="00E95FB1">
        <w:rPr>
          <w:bCs/>
        </w:rPr>
        <w:t>14</w:t>
      </w:r>
      <w:r w:rsidR="00A44F4D">
        <w:rPr>
          <w:bCs/>
        </w:rPr>
        <w:t>.10.</w:t>
      </w:r>
      <w:r w:rsidRPr="00E95FB1">
        <w:rPr>
          <w:bCs/>
        </w:rPr>
        <w:t>2022 р. № 1159 «Про затвердження Порядку розроблення, проведення громадського обговорення, погодження програм комплексного відновлення області, території територіальної громади (її частини) та внесення змін до них».</w:t>
      </w:r>
    </w:p>
    <w:p w:rsidR="00AC499C" w:rsidRPr="00E95FB1" w:rsidRDefault="00AC499C" w:rsidP="000303D7">
      <w:pPr>
        <w:numPr>
          <w:ilvl w:val="0"/>
          <w:numId w:val="133"/>
        </w:numPr>
        <w:pBdr>
          <w:top w:val="nil"/>
          <w:left w:val="nil"/>
          <w:bottom w:val="nil"/>
          <w:right w:val="nil"/>
          <w:between w:val="nil"/>
        </w:pBdr>
        <w:rPr>
          <w:bCs/>
        </w:rPr>
      </w:pPr>
      <w:r w:rsidRPr="00E95FB1">
        <w:t xml:space="preserve">Наказ </w:t>
      </w:r>
      <w:proofErr w:type="spellStart"/>
      <w:r w:rsidRPr="00E95FB1">
        <w:t>Мінрегіону</w:t>
      </w:r>
      <w:proofErr w:type="spellEnd"/>
      <w:r w:rsidRPr="00E95FB1">
        <w:t xml:space="preserve">  від 21.12.2022р. №265 «Методичні рекомендації щодо порядку розроблення, затвердження, реалізації, проведення моніторингу та оцінювання реалізації стратегій розвитку територіальних громад»</w:t>
      </w:r>
      <w:r w:rsidR="00DF5556">
        <w:t>.</w:t>
      </w:r>
      <w:r w:rsidRPr="00E95FB1">
        <w:t xml:space="preserve"> </w:t>
      </w:r>
    </w:p>
    <w:p w:rsidR="00AC499C" w:rsidRPr="00E95FB1" w:rsidRDefault="00AC499C" w:rsidP="00AC499C">
      <w:pPr>
        <w:pBdr>
          <w:top w:val="nil"/>
          <w:left w:val="nil"/>
          <w:bottom w:val="nil"/>
          <w:right w:val="nil"/>
          <w:between w:val="nil"/>
        </w:pBdr>
        <w:tabs>
          <w:tab w:val="center" w:pos="4819"/>
          <w:tab w:val="right" w:pos="9639"/>
        </w:tabs>
        <w:rPr>
          <w:color w:val="000000"/>
        </w:rPr>
      </w:pPr>
      <w:r w:rsidRPr="00E95FB1">
        <w:rPr>
          <w:color w:val="000000"/>
        </w:rPr>
        <w:t>Програму розроблено з урахуванням завдань і положень:</w:t>
      </w:r>
    </w:p>
    <w:p w:rsidR="00AC499C" w:rsidRPr="005E0C95" w:rsidRDefault="00AC499C" w:rsidP="000303D7">
      <w:pPr>
        <w:numPr>
          <w:ilvl w:val="0"/>
          <w:numId w:val="133"/>
        </w:numPr>
        <w:pBdr>
          <w:top w:val="nil"/>
          <w:left w:val="nil"/>
          <w:bottom w:val="nil"/>
          <w:right w:val="nil"/>
          <w:between w:val="nil"/>
        </w:pBdr>
      </w:pPr>
      <w:r w:rsidRPr="005E0C95">
        <w:t xml:space="preserve"> Стратегії розвитку Луганської області на 2021-2027 роки, затвердженої розпорядженням керівника обласної військово-цивільної адміністрації від 26.03.2015 № 246;</w:t>
      </w:r>
    </w:p>
    <w:p w:rsidR="00AC499C" w:rsidRPr="005E0C95" w:rsidRDefault="00AC499C" w:rsidP="000303D7">
      <w:pPr>
        <w:numPr>
          <w:ilvl w:val="0"/>
          <w:numId w:val="133"/>
        </w:numPr>
        <w:pBdr>
          <w:top w:val="nil"/>
          <w:left w:val="nil"/>
          <w:bottom w:val="nil"/>
          <w:right w:val="nil"/>
          <w:between w:val="nil"/>
        </w:pBdr>
      </w:pPr>
      <w:r w:rsidRPr="005E0C95">
        <w:t xml:space="preserve"> Плану заходів на 2021-2023 роки з реалізації Стратегії розвитку Луганської області на 2021-2027 роки, затвердженого розпорядженням голови обласної державної адміністрації – керівника обласної військово-цивільної адміністрації від 01.04.2020 № 262;</w:t>
      </w:r>
    </w:p>
    <w:p w:rsidR="00AC499C" w:rsidRPr="005E0C95" w:rsidRDefault="00AC499C" w:rsidP="000303D7">
      <w:pPr>
        <w:numPr>
          <w:ilvl w:val="0"/>
          <w:numId w:val="133"/>
        </w:numPr>
        <w:pBdr>
          <w:top w:val="nil"/>
          <w:left w:val="nil"/>
          <w:bottom w:val="nil"/>
          <w:right w:val="nil"/>
          <w:between w:val="nil"/>
        </w:pBdr>
      </w:pPr>
      <w:r w:rsidRPr="005E0C95">
        <w:t xml:space="preserve"> Стратегії розвитку Сєвєродонецької міської територіальної громади на  період 2021-2027 роки;</w:t>
      </w:r>
    </w:p>
    <w:p w:rsidR="00AC499C" w:rsidRPr="005E0C95" w:rsidRDefault="00AC499C" w:rsidP="000303D7">
      <w:pPr>
        <w:numPr>
          <w:ilvl w:val="0"/>
          <w:numId w:val="133"/>
        </w:numPr>
        <w:pBdr>
          <w:top w:val="nil"/>
          <w:left w:val="nil"/>
          <w:bottom w:val="nil"/>
          <w:right w:val="nil"/>
          <w:between w:val="nil"/>
        </w:pBdr>
      </w:pPr>
      <w:r w:rsidRPr="005E0C95">
        <w:t xml:space="preserve"> Плану реалізації Стратегії розвитку Сєвєродонецької міської територіальної громади на 2021-2023 роки.</w:t>
      </w:r>
    </w:p>
    <w:p w:rsidR="00AC499C" w:rsidRDefault="00AC499C" w:rsidP="00AC499C">
      <w:pPr>
        <w:pBdr>
          <w:top w:val="nil"/>
          <w:left w:val="nil"/>
          <w:bottom w:val="nil"/>
          <w:right w:val="nil"/>
          <w:between w:val="nil"/>
        </w:pBdr>
        <w:ind w:firstLine="709"/>
      </w:pPr>
    </w:p>
    <w:p w:rsidR="00AC499C" w:rsidRPr="00E95FB1" w:rsidRDefault="00AC499C" w:rsidP="00AC499C">
      <w:pPr>
        <w:pBdr>
          <w:top w:val="nil"/>
          <w:left w:val="nil"/>
          <w:bottom w:val="nil"/>
          <w:right w:val="nil"/>
          <w:between w:val="nil"/>
        </w:pBdr>
        <w:ind w:firstLine="709"/>
      </w:pPr>
      <w:r w:rsidRPr="00E95FB1">
        <w:t xml:space="preserve">Фінансування передбачених Програмою заходів буде здійснюватися за рахунок коштів державного </w:t>
      </w:r>
      <w:r>
        <w:t xml:space="preserve">та місцевих </w:t>
      </w:r>
      <w:r w:rsidRPr="00E95FB1">
        <w:t xml:space="preserve">бюджету, коштів </w:t>
      </w:r>
      <w:r>
        <w:t xml:space="preserve">інвесторів та спонсорів, коштів міжнародної технічної допомоги, коштів </w:t>
      </w:r>
      <w:r w:rsidRPr="00E95FB1">
        <w:t xml:space="preserve">приватних осіб та </w:t>
      </w:r>
      <w:r>
        <w:t xml:space="preserve">коштів, що будуть отримані з інших джерел, які не </w:t>
      </w:r>
      <w:r w:rsidR="002E27FC">
        <w:t xml:space="preserve">суперечать </w:t>
      </w:r>
      <w:r>
        <w:t>законодавству України</w:t>
      </w:r>
      <w:r w:rsidRPr="00E95FB1">
        <w:t>.</w:t>
      </w:r>
    </w:p>
    <w:p w:rsidR="00AC499C" w:rsidRDefault="00AC499C" w:rsidP="00AC499C">
      <w:pPr>
        <w:shd w:val="clear" w:color="auto" w:fill="FFFFFF"/>
        <w:ind w:firstLine="709"/>
      </w:pPr>
    </w:p>
    <w:p w:rsidR="00AC499C" w:rsidRDefault="00AC499C" w:rsidP="00AC499C">
      <w:pPr>
        <w:shd w:val="clear" w:color="auto" w:fill="FFFFFF"/>
        <w:ind w:firstLine="709"/>
      </w:pPr>
      <w:r w:rsidRPr="00E95FB1">
        <w:t>Відбудова громади, відновлення її економіки</w:t>
      </w:r>
      <w:r>
        <w:t xml:space="preserve">, повернення місцевих мешканців та забезпечення для них гідного рівня життя  </w:t>
      </w:r>
      <w:r w:rsidRPr="00E95FB1">
        <w:t xml:space="preserve">є важким і тривалим процесом, який потребує </w:t>
      </w:r>
      <w:r>
        <w:t>консолідації значних</w:t>
      </w:r>
      <w:r w:rsidRPr="00E95FB1">
        <w:t xml:space="preserve"> фінансових та людських ресурсів.</w:t>
      </w:r>
    </w:p>
    <w:p w:rsidR="00AC499C" w:rsidRDefault="00AC499C" w:rsidP="00AC499C">
      <w:pPr>
        <w:shd w:val="clear" w:color="auto" w:fill="FFFFFF"/>
        <w:ind w:firstLine="709"/>
      </w:pPr>
    </w:p>
    <w:p w:rsidR="00AC499C" w:rsidRDefault="00AC499C" w:rsidP="00AC499C">
      <w:pPr>
        <w:shd w:val="clear" w:color="auto" w:fill="FFFFFF"/>
        <w:ind w:firstLine="709"/>
      </w:pPr>
      <w:r w:rsidRPr="00E95FB1">
        <w:rPr>
          <w:bCs/>
        </w:rPr>
        <w:lastRenderedPageBreak/>
        <w:t>Відтак, перед нами стоїть кілька складних, але важливих для вирішення завдань</w:t>
      </w:r>
      <w:r w:rsidRPr="00E95FB1">
        <w:t>:</w:t>
      </w:r>
    </w:p>
    <w:p w:rsidR="00AC499C" w:rsidRPr="00E95FB1" w:rsidRDefault="00AC499C" w:rsidP="00AC499C">
      <w:pPr>
        <w:shd w:val="clear" w:color="auto" w:fill="FFFFFF"/>
        <w:ind w:firstLine="709"/>
      </w:pPr>
    </w:p>
    <w:p w:rsidR="00AC499C" w:rsidRPr="0026459D" w:rsidRDefault="00AC499C" w:rsidP="000303D7">
      <w:pPr>
        <w:numPr>
          <w:ilvl w:val="0"/>
          <w:numId w:val="133"/>
        </w:numPr>
        <w:pBdr>
          <w:top w:val="nil"/>
          <w:left w:val="nil"/>
          <w:bottom w:val="nil"/>
          <w:right w:val="nil"/>
          <w:between w:val="nil"/>
        </w:pBdr>
        <w:tabs>
          <w:tab w:val="num" w:pos="720"/>
        </w:tabs>
      </w:pPr>
      <w:r w:rsidRPr="0026459D">
        <w:t xml:space="preserve">Швидко, </w:t>
      </w:r>
      <w:proofErr w:type="spellStart"/>
      <w:r w:rsidRPr="0026459D">
        <w:t>професійно</w:t>
      </w:r>
      <w:proofErr w:type="spellEnd"/>
      <w:r w:rsidRPr="0026459D">
        <w:t xml:space="preserve"> та прозоро задокументувати завдані пошкодження та оцінити збитки, що сприятиме підвищенню довіри до прийнятих рішень як з боку місцевих мешканців, так і з боку міжнародних організацій, що візьмуть участь у відновленні </w:t>
      </w:r>
      <w:r w:rsidR="00F24F05" w:rsidRPr="00F24F05">
        <w:t>громади</w:t>
      </w:r>
      <w:r w:rsidRPr="0026459D">
        <w:t>.</w:t>
      </w:r>
    </w:p>
    <w:p w:rsidR="00AC499C" w:rsidRPr="0026459D" w:rsidRDefault="00AC499C" w:rsidP="000303D7">
      <w:pPr>
        <w:numPr>
          <w:ilvl w:val="0"/>
          <w:numId w:val="133"/>
        </w:numPr>
        <w:pBdr>
          <w:top w:val="nil"/>
          <w:left w:val="nil"/>
          <w:bottom w:val="nil"/>
          <w:right w:val="nil"/>
          <w:between w:val="nil"/>
        </w:pBdr>
        <w:tabs>
          <w:tab w:val="num" w:pos="720"/>
        </w:tabs>
      </w:pPr>
      <w:r w:rsidRPr="0026459D">
        <w:t>Вірно спланувати процес відновлення, враховуючи найбільш критичні та пріоритетні аспекти.</w:t>
      </w:r>
    </w:p>
    <w:p w:rsidR="00AC499C" w:rsidRPr="0026459D" w:rsidRDefault="00AC499C" w:rsidP="000303D7">
      <w:pPr>
        <w:numPr>
          <w:ilvl w:val="0"/>
          <w:numId w:val="133"/>
        </w:numPr>
        <w:pBdr>
          <w:top w:val="nil"/>
          <w:left w:val="nil"/>
          <w:bottom w:val="nil"/>
          <w:right w:val="nil"/>
          <w:between w:val="nil"/>
        </w:pBdr>
        <w:tabs>
          <w:tab w:val="num" w:pos="720"/>
        </w:tabs>
      </w:pPr>
      <w:r w:rsidRPr="0026459D">
        <w:t>Визначити першочергові завдання та методи відновлення інфраструктури на основі оцінки потреб мешканців територіальної громади та об'єктивних даних. Уникнути відновлення непотрібних об'єктів та</w:t>
      </w:r>
      <w:r w:rsidR="00446B7E">
        <w:t xml:space="preserve"> використання застарілих підходів</w:t>
      </w:r>
      <w:r w:rsidRPr="0026459D">
        <w:t>.</w:t>
      </w:r>
    </w:p>
    <w:p w:rsidR="00AC499C" w:rsidRPr="0026459D" w:rsidRDefault="00AC499C" w:rsidP="000303D7">
      <w:pPr>
        <w:numPr>
          <w:ilvl w:val="0"/>
          <w:numId w:val="133"/>
        </w:numPr>
        <w:pBdr>
          <w:top w:val="nil"/>
          <w:left w:val="nil"/>
          <w:bottom w:val="nil"/>
          <w:right w:val="nil"/>
          <w:between w:val="nil"/>
        </w:pBdr>
        <w:tabs>
          <w:tab w:val="num" w:pos="720"/>
        </w:tabs>
      </w:pPr>
      <w:r w:rsidRPr="0026459D">
        <w:t>Створити ефективні механізми координації робіт з відновлення в громаді.</w:t>
      </w:r>
    </w:p>
    <w:p w:rsidR="00AC499C" w:rsidRPr="0026459D" w:rsidRDefault="00AC499C" w:rsidP="000303D7">
      <w:pPr>
        <w:numPr>
          <w:ilvl w:val="0"/>
          <w:numId w:val="133"/>
        </w:numPr>
        <w:pBdr>
          <w:top w:val="nil"/>
          <w:left w:val="nil"/>
          <w:bottom w:val="nil"/>
          <w:right w:val="nil"/>
          <w:between w:val="nil"/>
        </w:pBdr>
        <w:tabs>
          <w:tab w:val="num" w:pos="720"/>
        </w:tabs>
      </w:pPr>
      <w:r w:rsidRPr="0026459D">
        <w:t>Забезпечити прозорість у фінансуванні та мінімізувати можливість корупційних ризиків.</w:t>
      </w:r>
    </w:p>
    <w:p w:rsidR="00AC499C" w:rsidRPr="0026459D" w:rsidRDefault="00AC499C" w:rsidP="000303D7">
      <w:pPr>
        <w:numPr>
          <w:ilvl w:val="0"/>
          <w:numId w:val="133"/>
        </w:numPr>
        <w:pBdr>
          <w:top w:val="nil"/>
          <w:left w:val="nil"/>
          <w:bottom w:val="nil"/>
          <w:right w:val="nil"/>
          <w:between w:val="nil"/>
        </w:pBdr>
        <w:tabs>
          <w:tab w:val="num" w:pos="720"/>
        </w:tabs>
        <w:rPr>
          <w:bCs/>
        </w:rPr>
      </w:pPr>
      <w:r w:rsidRPr="0026459D">
        <w:t>Орієнтувати відновлення на досягнення сталого розвитку громади, сприяючи її прискореному розвитку</w:t>
      </w:r>
      <w:r w:rsidRPr="0026459D">
        <w:rPr>
          <w:bCs/>
        </w:rPr>
        <w:t>.</w:t>
      </w:r>
    </w:p>
    <w:p w:rsidR="00AC499C" w:rsidRPr="0026459D" w:rsidRDefault="00AC499C" w:rsidP="00AC499C">
      <w:pPr>
        <w:shd w:val="clear" w:color="auto" w:fill="FFFFFF"/>
        <w:ind w:left="360" w:firstLine="360"/>
      </w:pPr>
    </w:p>
    <w:p w:rsidR="00AC499C" w:rsidRPr="00E95FB1" w:rsidRDefault="00AC499C" w:rsidP="00AC499C">
      <w:pPr>
        <w:shd w:val="clear" w:color="auto" w:fill="FFFFFF"/>
        <w:ind w:left="360" w:firstLine="360"/>
        <w:rPr>
          <w:shd w:val="clear" w:color="auto" w:fill="FFFFFF"/>
        </w:rPr>
      </w:pPr>
      <w:r w:rsidRPr="00E95FB1">
        <w:t xml:space="preserve">Програму розроблено комунальним підприємством «Сєвєродонецьке агентство інвестицій та розвитку» у тісній співпраці із </w:t>
      </w:r>
      <w:r w:rsidR="000171E5" w:rsidRPr="008D64AC">
        <w:rPr>
          <w:color w:val="000000"/>
          <w:shd w:val="clear" w:color="auto" w:fill="FFFFFF"/>
        </w:rPr>
        <w:t>Сєвєродонецько</w:t>
      </w:r>
      <w:r w:rsidR="000171E5">
        <w:rPr>
          <w:color w:val="000000"/>
          <w:shd w:val="clear" w:color="auto" w:fill="FFFFFF"/>
        </w:rPr>
        <w:t>ю</w:t>
      </w:r>
      <w:r w:rsidR="000171E5" w:rsidRPr="008D64AC">
        <w:rPr>
          <w:color w:val="000000"/>
          <w:shd w:val="clear" w:color="auto" w:fill="FFFFFF"/>
        </w:rPr>
        <w:t xml:space="preserve"> місько</w:t>
      </w:r>
      <w:r w:rsidR="000171E5">
        <w:rPr>
          <w:color w:val="000000"/>
          <w:shd w:val="clear" w:color="auto" w:fill="FFFFFF"/>
        </w:rPr>
        <w:t>ю</w:t>
      </w:r>
      <w:r w:rsidR="000171E5" w:rsidRPr="008D64AC">
        <w:rPr>
          <w:color w:val="000000"/>
          <w:shd w:val="clear" w:color="auto" w:fill="FFFFFF"/>
        </w:rPr>
        <w:t xml:space="preserve"> військово</w:t>
      </w:r>
      <w:r w:rsidR="000171E5">
        <w:rPr>
          <w:color w:val="000000"/>
          <w:shd w:val="clear" w:color="auto" w:fill="FFFFFF"/>
        </w:rPr>
        <w:t>ю</w:t>
      </w:r>
      <w:r w:rsidR="000171E5" w:rsidRPr="008D64AC">
        <w:rPr>
          <w:color w:val="000000"/>
          <w:shd w:val="clear" w:color="auto" w:fill="FFFFFF"/>
        </w:rPr>
        <w:t xml:space="preserve"> адміністраці</w:t>
      </w:r>
      <w:r w:rsidR="000171E5">
        <w:rPr>
          <w:color w:val="000000"/>
          <w:shd w:val="clear" w:color="auto" w:fill="FFFFFF"/>
        </w:rPr>
        <w:t>єю</w:t>
      </w:r>
      <w:r w:rsidR="000171E5" w:rsidRPr="008D64AC">
        <w:rPr>
          <w:color w:val="000000"/>
          <w:shd w:val="clear" w:color="auto" w:fill="FFFFFF"/>
        </w:rPr>
        <w:t xml:space="preserve"> Сєвєродонецького району Луганської області</w:t>
      </w:r>
      <w:r w:rsidR="000171E5">
        <w:rPr>
          <w:color w:val="000000"/>
          <w:shd w:val="clear" w:color="auto" w:fill="FFFFFF"/>
        </w:rPr>
        <w:t>, її</w:t>
      </w:r>
      <w:r w:rsidR="000171E5" w:rsidRPr="008D64AC">
        <w:rPr>
          <w:color w:val="000000"/>
          <w:shd w:val="clear" w:color="auto" w:fill="FFFFFF"/>
        </w:rPr>
        <w:t xml:space="preserve"> структурними підрозділами та виконавчими органами</w:t>
      </w:r>
      <w:r w:rsidR="000171E5">
        <w:rPr>
          <w:color w:val="000000"/>
          <w:shd w:val="clear" w:color="auto" w:fill="FFFFFF"/>
        </w:rPr>
        <w:t xml:space="preserve">, </w:t>
      </w:r>
      <w:r w:rsidRPr="00E95FB1">
        <w:t xml:space="preserve">Асоціацією міст України, Східноукраїнським національним університетом імені Володимира Даля, </w:t>
      </w:r>
      <w:r w:rsidRPr="00E95FB1">
        <w:rPr>
          <w:shd w:val="clear" w:color="auto" w:fill="FFFFFF"/>
        </w:rPr>
        <w:t>громадською організацією «Кризовий медіа-центр «Сіверський Донець»</w:t>
      </w:r>
      <w:r w:rsidR="00BD4E4C">
        <w:rPr>
          <w:shd w:val="clear" w:color="auto" w:fill="FFFFFF"/>
        </w:rPr>
        <w:t>»</w:t>
      </w:r>
      <w:r w:rsidRPr="00E95FB1">
        <w:rPr>
          <w:shd w:val="clear" w:color="auto" w:fill="FFFFFF"/>
        </w:rPr>
        <w:t xml:space="preserve"> та Асоціацією об'єднань співвласників багатоквартирних будинків «Фаворит»</w:t>
      </w:r>
      <w:r w:rsidR="000171E5">
        <w:rPr>
          <w:shd w:val="clear" w:color="auto" w:fill="FFFFFF"/>
        </w:rPr>
        <w:t xml:space="preserve">, </w:t>
      </w:r>
      <w:r w:rsidR="000171E5">
        <w:rPr>
          <w:color w:val="000000"/>
          <w:shd w:val="clear" w:color="auto" w:fill="FFFFFF"/>
        </w:rPr>
        <w:t>мешканц</w:t>
      </w:r>
      <w:r w:rsidR="00071DAA" w:rsidRPr="00071DAA">
        <w:rPr>
          <w:color w:val="000000"/>
          <w:shd w:val="clear" w:color="auto" w:fill="FFFFFF"/>
        </w:rPr>
        <w:t>ями</w:t>
      </w:r>
      <w:r w:rsidR="000171E5">
        <w:rPr>
          <w:color w:val="000000"/>
          <w:shd w:val="clear" w:color="auto" w:fill="FFFFFF"/>
        </w:rPr>
        <w:t xml:space="preserve"> Сєвєродонецької міської територіальної громади</w:t>
      </w:r>
      <w:r w:rsidRPr="00E95FB1">
        <w:rPr>
          <w:shd w:val="clear" w:color="auto" w:fill="FFFFFF"/>
        </w:rPr>
        <w:t>.</w:t>
      </w:r>
    </w:p>
    <w:p w:rsidR="00AC499C" w:rsidRDefault="00AC499C" w:rsidP="00AC499C">
      <w:pPr>
        <w:pBdr>
          <w:top w:val="nil"/>
          <w:left w:val="nil"/>
          <w:bottom w:val="nil"/>
          <w:right w:val="nil"/>
          <w:between w:val="nil"/>
        </w:pBdr>
        <w:ind w:firstLine="709"/>
        <w:rPr>
          <w:color w:val="0070C0"/>
        </w:rPr>
      </w:pPr>
    </w:p>
    <w:p w:rsidR="00AC499C" w:rsidRPr="00E95FB1" w:rsidRDefault="00AC499C" w:rsidP="00AC499C">
      <w:pPr>
        <w:pBdr>
          <w:top w:val="nil"/>
          <w:left w:val="nil"/>
          <w:bottom w:val="nil"/>
          <w:right w:val="nil"/>
          <w:between w:val="nil"/>
        </w:pBdr>
        <w:ind w:firstLine="709"/>
        <w:rPr>
          <w:color w:val="0070C0"/>
        </w:rPr>
      </w:pPr>
    </w:p>
    <w:p w:rsidR="00AC499C" w:rsidRPr="00E95FB1" w:rsidRDefault="00AC499C" w:rsidP="00AC499C">
      <w:pPr>
        <w:pBdr>
          <w:top w:val="nil"/>
          <w:left w:val="nil"/>
          <w:bottom w:val="nil"/>
          <w:right w:val="nil"/>
          <w:between w:val="nil"/>
        </w:pBdr>
        <w:ind w:firstLine="709"/>
        <w:rPr>
          <w:color w:val="0070C0"/>
        </w:rPr>
      </w:pPr>
    </w:p>
    <w:p w:rsidR="00AC499C" w:rsidRPr="00E95FB1" w:rsidRDefault="00AC499C" w:rsidP="00AC499C">
      <w:pPr>
        <w:pBdr>
          <w:top w:val="nil"/>
          <w:left w:val="nil"/>
          <w:bottom w:val="nil"/>
          <w:right w:val="nil"/>
          <w:between w:val="nil"/>
        </w:pBdr>
        <w:ind w:firstLine="709"/>
        <w:rPr>
          <w:color w:val="0070C0"/>
        </w:rPr>
      </w:pPr>
    </w:p>
    <w:p w:rsidR="00AC499C" w:rsidRPr="00E95FB1" w:rsidRDefault="00AC499C" w:rsidP="00AC499C">
      <w:pPr>
        <w:pBdr>
          <w:top w:val="nil"/>
          <w:left w:val="nil"/>
          <w:bottom w:val="nil"/>
          <w:right w:val="nil"/>
          <w:between w:val="nil"/>
        </w:pBdr>
        <w:ind w:firstLine="709"/>
        <w:rPr>
          <w:color w:val="0070C0"/>
        </w:rPr>
      </w:pPr>
    </w:p>
    <w:p w:rsidR="00AC499C" w:rsidRPr="00E95FB1" w:rsidRDefault="00AC499C" w:rsidP="00AC499C">
      <w:pPr>
        <w:pBdr>
          <w:top w:val="nil"/>
          <w:left w:val="nil"/>
          <w:bottom w:val="nil"/>
          <w:right w:val="nil"/>
          <w:between w:val="nil"/>
        </w:pBdr>
        <w:ind w:firstLine="709"/>
        <w:rPr>
          <w:color w:val="0070C0"/>
        </w:rPr>
      </w:pPr>
    </w:p>
    <w:p w:rsidR="00AC499C" w:rsidRDefault="00AC499C" w:rsidP="00AC499C">
      <w:pPr>
        <w:jc w:val="left"/>
        <w:rPr>
          <w:rFonts w:eastAsia="Arial" w:cs="Arial"/>
          <w:b/>
          <w:color w:val="0070C0"/>
          <w:szCs w:val="32"/>
        </w:rPr>
      </w:pPr>
      <w:bookmarkStart w:id="1" w:name="_Toc142141272"/>
      <w:r>
        <w:br w:type="page"/>
      </w:r>
    </w:p>
    <w:p w:rsidR="00AC499C" w:rsidRPr="00AC499C" w:rsidRDefault="00AC499C" w:rsidP="00AC499C">
      <w:pPr>
        <w:pStyle w:val="1"/>
      </w:pPr>
      <w:bookmarkStart w:id="2" w:name="_Toc143012467"/>
      <w:r w:rsidRPr="00AC499C">
        <w:lastRenderedPageBreak/>
        <w:t>Характеристика демографічної ситуації територіальної громади, оцінка і аналіз потреб різних груп громадян та основні тенденції соціально-економічного розвитку, оцінка людського, природно-ресурсного, виробничого, трудового, наукового, фінансового та інноваційного потенціалу в умовах, що склалися в результаті збройної агресії проти України</w:t>
      </w:r>
      <w:bookmarkEnd w:id="1"/>
      <w:bookmarkEnd w:id="2"/>
    </w:p>
    <w:p w:rsidR="00AC499C" w:rsidRDefault="00AC499C" w:rsidP="00AC499C"/>
    <w:p w:rsidR="00AC499C" w:rsidRPr="00C438AC" w:rsidRDefault="00AC499C" w:rsidP="00AC499C">
      <w:pPr>
        <w:ind w:firstLine="720"/>
        <w:rPr>
          <w:rFonts w:eastAsia="Calibri"/>
          <w:b/>
          <w:color w:val="002060"/>
        </w:rPr>
      </w:pPr>
      <w:r w:rsidRPr="00C438AC">
        <w:rPr>
          <w:rFonts w:eastAsia="Calibri"/>
          <w:b/>
          <w:color w:val="002060"/>
        </w:rPr>
        <w:t>Загальний опис громади</w:t>
      </w:r>
    </w:p>
    <w:p w:rsidR="00AC499C" w:rsidRPr="00E95FB1" w:rsidRDefault="00AC499C" w:rsidP="00AC499C"/>
    <w:p w:rsidR="00AC499C" w:rsidRDefault="00AC499C" w:rsidP="00AC499C">
      <w:pPr>
        <w:ind w:firstLine="720"/>
        <w:rPr>
          <w:rFonts w:eastAsia="Arial"/>
          <w:lang w:eastAsia="uk-UA"/>
        </w:rPr>
      </w:pPr>
      <w:r w:rsidRPr="00E95FB1">
        <w:rPr>
          <w:rFonts w:eastAsia="Arial"/>
          <w:lang w:eastAsia="uk-UA"/>
        </w:rPr>
        <w:t xml:space="preserve">Сєвєродонецька міська територіальна громада — територіальна громада в Україні, </w:t>
      </w:r>
      <w:r w:rsidR="00E61FB3">
        <w:rPr>
          <w:rFonts w:eastAsia="Arial"/>
          <w:lang w:eastAsia="uk-UA"/>
        </w:rPr>
        <w:t xml:space="preserve">яка знаходиться </w:t>
      </w:r>
      <w:r w:rsidRPr="00E95FB1">
        <w:rPr>
          <w:rFonts w:eastAsia="Arial"/>
          <w:lang w:eastAsia="uk-UA"/>
        </w:rPr>
        <w:t xml:space="preserve">в Сєвєродонецькому районі Луганської області, з адміністративним центром в місті Сєвєродонецьк. </w:t>
      </w:r>
    </w:p>
    <w:p w:rsidR="00AC499C" w:rsidRDefault="00AC499C" w:rsidP="00AC499C">
      <w:pPr>
        <w:ind w:firstLine="720"/>
        <w:rPr>
          <w:rFonts w:eastAsia="Arial"/>
          <w:lang w:eastAsia="uk-UA"/>
        </w:rPr>
      </w:pPr>
    </w:p>
    <w:p w:rsidR="00AC499C" w:rsidRPr="00EA0F91" w:rsidRDefault="00AC499C" w:rsidP="00AC499C">
      <w:pPr>
        <w:ind w:firstLine="720"/>
        <w:rPr>
          <w:rFonts w:eastAsia="Calibri"/>
        </w:rPr>
      </w:pPr>
      <w:r w:rsidRPr="00E95FB1">
        <w:rPr>
          <w:rFonts w:eastAsia="Arial"/>
          <w:lang w:eastAsia="uk-UA"/>
        </w:rPr>
        <w:t>Громада була утворена у</w:t>
      </w:r>
      <w:r w:rsidRPr="00E95FB1">
        <w:rPr>
          <w:rFonts w:eastAsia="Calibri"/>
        </w:rPr>
        <w:t xml:space="preserve"> відповідності до розпоряджень Кабінету Міністрів України: </w:t>
      </w:r>
      <w:r w:rsidRPr="00E95FB1">
        <w:rPr>
          <w:color w:val="000000"/>
        </w:rPr>
        <w:t>від 12</w:t>
      </w:r>
      <w:r w:rsidR="00111395">
        <w:rPr>
          <w:color w:val="000000"/>
        </w:rPr>
        <w:t>.06.</w:t>
      </w:r>
      <w:r w:rsidRPr="00E95FB1">
        <w:rPr>
          <w:color w:val="000000"/>
        </w:rPr>
        <w:t>2020 р</w:t>
      </w:r>
      <w:r w:rsidR="00111395">
        <w:rPr>
          <w:color w:val="000000"/>
        </w:rPr>
        <w:t>.</w:t>
      </w:r>
      <w:r w:rsidRPr="00E95FB1">
        <w:rPr>
          <w:color w:val="000000"/>
        </w:rPr>
        <w:t xml:space="preserve"> № 717-р</w:t>
      </w:r>
      <w:r w:rsidRPr="00E95FB1">
        <w:rPr>
          <w:rFonts w:eastAsia="Calibri"/>
        </w:rPr>
        <w:t xml:space="preserve"> та від 29</w:t>
      </w:r>
      <w:r w:rsidR="00111395">
        <w:rPr>
          <w:rFonts w:eastAsia="Calibri"/>
        </w:rPr>
        <w:t>.04.</w:t>
      </w:r>
      <w:r w:rsidRPr="00E95FB1">
        <w:rPr>
          <w:rFonts w:eastAsia="Calibri"/>
        </w:rPr>
        <w:t xml:space="preserve">2020 р. № 486-р, </w:t>
      </w:r>
      <w:r w:rsidR="00DB0CF6">
        <w:rPr>
          <w:rFonts w:eastAsia="Calibri"/>
        </w:rPr>
        <w:t>якими</w:t>
      </w:r>
      <w:r w:rsidRPr="00E95FB1">
        <w:rPr>
          <w:rFonts w:eastAsia="Calibri"/>
        </w:rPr>
        <w:t xml:space="preserve"> було визначено перелік громад</w:t>
      </w:r>
      <w:r>
        <w:rPr>
          <w:rFonts w:eastAsia="Calibri"/>
        </w:rPr>
        <w:t xml:space="preserve"> (</w:t>
      </w:r>
      <w:r w:rsidRPr="00C44B53">
        <w:rPr>
          <w:rFonts w:eastAsia="Calibri"/>
        </w:rPr>
        <w:t>населених пунктів</w:t>
      </w:r>
      <w:r>
        <w:rPr>
          <w:rFonts w:eastAsia="Calibri"/>
        </w:rPr>
        <w:t>)</w:t>
      </w:r>
      <w:r w:rsidRPr="00E95FB1">
        <w:rPr>
          <w:rFonts w:eastAsia="Calibri"/>
        </w:rPr>
        <w:t>, що входять до складу потенційної Сєвєродонецької міської  територіальної громади, назву адміністративного центру та назву р</w:t>
      </w:r>
      <w:r w:rsidR="00EA0F91">
        <w:rPr>
          <w:rFonts w:eastAsia="Calibri"/>
        </w:rPr>
        <w:t>айону, до якого входить громада</w:t>
      </w:r>
      <w:r w:rsidR="00EA0F91" w:rsidRPr="00EA0F91">
        <w:rPr>
          <w:rFonts w:eastAsia="Calibri"/>
        </w:rPr>
        <w:t>.</w:t>
      </w:r>
    </w:p>
    <w:p w:rsidR="00AC499C" w:rsidRDefault="00AC499C" w:rsidP="00AC499C">
      <w:pPr>
        <w:ind w:firstLine="720"/>
        <w:rPr>
          <w:rFonts w:eastAsia="Calibri"/>
        </w:rPr>
      </w:pPr>
    </w:p>
    <w:p w:rsidR="00AC499C" w:rsidRPr="00355733" w:rsidRDefault="00AC499C" w:rsidP="00AC499C">
      <w:pPr>
        <w:ind w:firstLine="720"/>
        <w:rPr>
          <w:rFonts w:eastAsia="Calibri"/>
        </w:rPr>
      </w:pPr>
      <w:r w:rsidRPr="00355733">
        <w:rPr>
          <w:rFonts w:eastAsia="Calibri"/>
        </w:rPr>
        <w:t xml:space="preserve">28 липня 2020 року </w:t>
      </w:r>
      <w:r w:rsidR="00EA0F91">
        <w:rPr>
          <w:rFonts w:eastAsia="Calibri"/>
        </w:rPr>
        <w:t>П</w:t>
      </w:r>
      <w:r w:rsidRPr="00355733">
        <w:rPr>
          <w:rFonts w:eastAsia="Calibri"/>
        </w:rPr>
        <w:t xml:space="preserve">резидент України Володимир </w:t>
      </w:r>
      <w:r w:rsidR="00F97023" w:rsidRPr="00355733">
        <w:rPr>
          <w:rFonts w:eastAsia="Calibri"/>
        </w:rPr>
        <w:t>ЗЕЛЕНСЬКИЙ</w:t>
      </w:r>
      <w:r w:rsidRPr="00355733">
        <w:rPr>
          <w:rFonts w:eastAsia="Calibri"/>
        </w:rPr>
        <w:t xml:space="preserve"> підписав указ про утворення військово-цивільної адміністрації (ВЦА) </w:t>
      </w:r>
      <w:r w:rsidR="00885D5C">
        <w:rPr>
          <w:rFonts w:ascii="Georgia" w:hAnsi="Georgia"/>
          <w:color w:val="333333"/>
          <w:sz w:val="27"/>
          <w:szCs w:val="27"/>
          <w:shd w:val="clear" w:color="auto" w:fill="FFFFFF"/>
        </w:rPr>
        <w:t>міста Сєвєродонецьк Луганської області</w:t>
      </w:r>
      <w:r w:rsidRPr="00355733">
        <w:rPr>
          <w:rFonts w:eastAsia="Calibri"/>
        </w:rPr>
        <w:t>.</w:t>
      </w:r>
    </w:p>
    <w:p w:rsidR="00AC499C" w:rsidRPr="00355733" w:rsidRDefault="00AC499C" w:rsidP="00AC499C">
      <w:pPr>
        <w:ind w:firstLine="720"/>
        <w:rPr>
          <w:rFonts w:eastAsia="Calibri"/>
        </w:rPr>
      </w:pPr>
    </w:p>
    <w:p w:rsidR="00AC499C" w:rsidRPr="00355733" w:rsidRDefault="00AC499C" w:rsidP="00AC499C">
      <w:pPr>
        <w:ind w:firstLine="720"/>
        <w:rPr>
          <w:rFonts w:eastAsia="Calibri"/>
        </w:rPr>
      </w:pPr>
      <w:r w:rsidRPr="00355733">
        <w:rPr>
          <w:rFonts w:eastAsia="Calibri"/>
        </w:rPr>
        <w:t xml:space="preserve">19 лютого 2021 </w:t>
      </w:r>
      <w:r w:rsidR="00B73BF7">
        <w:rPr>
          <w:rFonts w:eastAsia="Calibri"/>
        </w:rPr>
        <w:t xml:space="preserve">року </w:t>
      </w:r>
      <w:r w:rsidRPr="00355733">
        <w:rPr>
          <w:rFonts w:eastAsia="Calibri"/>
        </w:rPr>
        <w:t>Президент України своїм указом реорганізував та ліквідував ВЦА м. Сєвєродонецьк Луганської області та створив Сєвєродонецьку міську ВЦА Сєвєродонецького району Луганської області.</w:t>
      </w:r>
    </w:p>
    <w:p w:rsidR="00AC499C" w:rsidRPr="00355733" w:rsidRDefault="00AC499C" w:rsidP="00AC499C">
      <w:pPr>
        <w:ind w:firstLine="720"/>
        <w:rPr>
          <w:rFonts w:eastAsia="Calibri"/>
        </w:rPr>
      </w:pPr>
    </w:p>
    <w:p w:rsidR="00AC499C" w:rsidRPr="00355733" w:rsidRDefault="00AC499C" w:rsidP="00AC499C">
      <w:pPr>
        <w:ind w:firstLine="720"/>
        <w:rPr>
          <w:rFonts w:eastAsia="Calibri"/>
        </w:rPr>
      </w:pPr>
      <w:r w:rsidRPr="00355733">
        <w:rPr>
          <w:rFonts w:eastAsia="Calibri"/>
        </w:rPr>
        <w:t xml:space="preserve">24 березня 2023 року </w:t>
      </w:r>
      <w:r w:rsidR="002F5F34">
        <w:rPr>
          <w:rFonts w:eastAsia="Calibri"/>
        </w:rPr>
        <w:t>П</w:t>
      </w:r>
      <w:r w:rsidRPr="00355733">
        <w:rPr>
          <w:rFonts w:eastAsia="Calibri"/>
        </w:rPr>
        <w:t xml:space="preserve">резидент України Володимир </w:t>
      </w:r>
      <w:r w:rsidR="00A70B50" w:rsidRPr="00355733">
        <w:rPr>
          <w:rFonts w:eastAsia="Calibri"/>
        </w:rPr>
        <w:t>ЗЕЛЕНСЬКИЙ</w:t>
      </w:r>
      <w:r w:rsidRPr="00355733">
        <w:rPr>
          <w:rFonts w:eastAsia="Calibri"/>
        </w:rPr>
        <w:t xml:space="preserve"> підписав указ про утворення Сєвєродонецької міської військової адміністрації Сєвєродонецького району Луганської області.</w:t>
      </w:r>
    </w:p>
    <w:p w:rsidR="00AC499C" w:rsidRPr="00355733" w:rsidRDefault="00AC499C" w:rsidP="00AC499C">
      <w:pPr>
        <w:ind w:firstLine="720"/>
        <w:rPr>
          <w:rFonts w:eastAsia="Calibri"/>
        </w:rPr>
      </w:pPr>
    </w:p>
    <w:p w:rsidR="00AC499C" w:rsidRPr="00F5071D" w:rsidRDefault="00AC499C" w:rsidP="00524DBF">
      <w:pPr>
        <w:ind w:firstLine="720"/>
        <w:rPr>
          <w:rFonts w:eastAsia="Calibri"/>
        </w:rPr>
      </w:pPr>
      <w:r w:rsidRPr="00355733">
        <w:rPr>
          <w:rFonts w:eastAsia="Calibri"/>
        </w:rPr>
        <w:t xml:space="preserve">З лютого по червень 2022 року громада знаходилась в епіцентрі бойових дій, що відбувалися в ході повномасштабного вторгнення </w:t>
      </w:r>
      <w:r w:rsidR="00B2695D" w:rsidRPr="00355733">
        <w:rPr>
          <w:rFonts w:eastAsia="Calibri"/>
        </w:rPr>
        <w:t>РФ</w:t>
      </w:r>
      <w:r w:rsidRPr="00355733">
        <w:rPr>
          <w:rFonts w:eastAsia="Calibri"/>
        </w:rPr>
        <w:t xml:space="preserve"> в Україну. Чотири місяці – з лютого по червень 2022 року</w:t>
      </w:r>
      <w:r w:rsidR="00B2695D">
        <w:rPr>
          <w:rFonts w:eastAsia="Calibri"/>
        </w:rPr>
        <w:t xml:space="preserve"> -</w:t>
      </w:r>
      <w:r w:rsidRPr="00355733">
        <w:rPr>
          <w:rFonts w:eastAsia="Calibri"/>
        </w:rPr>
        <w:t xml:space="preserve"> місто нещадно обстрілювали та штурмували російські окупанти. Українські збройні сили чинили цьому героїчний супротив, виснажуючи супротивника та надаючи можливість Україні накопичити власні резерви та акумулювати допомогу від міжнародних партнерів. 25 червня 2022 року Генштаб ЗСУ повідомив, що </w:t>
      </w:r>
      <w:r w:rsidR="0068496F">
        <w:rPr>
          <w:rFonts w:eastAsia="Calibri"/>
        </w:rPr>
        <w:t xml:space="preserve">з </w:t>
      </w:r>
      <w:r w:rsidRPr="00355733">
        <w:rPr>
          <w:rFonts w:eastAsia="Calibri"/>
        </w:rPr>
        <w:t xml:space="preserve">цього дня територія громади вважається </w:t>
      </w:r>
      <w:r w:rsidR="00673EB0">
        <w:rPr>
          <w:rFonts w:eastAsia="Calibri"/>
        </w:rPr>
        <w:t xml:space="preserve">тимчасово </w:t>
      </w:r>
      <w:r w:rsidRPr="00355733">
        <w:rPr>
          <w:rFonts w:eastAsia="Calibri"/>
        </w:rPr>
        <w:t>окупованою</w:t>
      </w:r>
      <w:r w:rsidR="00740DE2">
        <w:rPr>
          <w:rFonts w:eastAsia="Calibri"/>
        </w:rPr>
        <w:t xml:space="preserve"> </w:t>
      </w:r>
      <w:r w:rsidR="00673EB0">
        <w:rPr>
          <w:rFonts w:eastAsia="Calibri"/>
        </w:rPr>
        <w:t>територією України</w:t>
      </w:r>
      <w:r w:rsidRPr="00355733">
        <w:rPr>
          <w:rFonts w:eastAsia="Calibri"/>
        </w:rPr>
        <w:t>. Це вже друга окупація в новітній історії міста. В 2014 році місто було окуповано приблизно 3 місяці і звільнено 22 липня 2014 року.</w:t>
      </w:r>
    </w:p>
    <w:p w:rsidR="00BC4A80" w:rsidRDefault="00BC4A80" w:rsidP="00AC499C">
      <w:pPr>
        <w:ind w:firstLine="720"/>
        <w:rPr>
          <w:rFonts w:eastAsia="Calibri"/>
          <w:b/>
          <w:color w:val="002060"/>
        </w:rPr>
      </w:pPr>
    </w:p>
    <w:p w:rsidR="00BC4A80" w:rsidRDefault="00BC4A80" w:rsidP="00AC499C">
      <w:pPr>
        <w:ind w:firstLine="720"/>
        <w:rPr>
          <w:rFonts w:eastAsia="Calibri"/>
          <w:b/>
          <w:color w:val="002060"/>
        </w:rPr>
      </w:pPr>
    </w:p>
    <w:p w:rsidR="00AC499C" w:rsidRPr="00E95FB1" w:rsidRDefault="00AC499C" w:rsidP="00AC499C">
      <w:pPr>
        <w:ind w:firstLine="720"/>
        <w:rPr>
          <w:rFonts w:eastAsia="Calibri"/>
          <w:b/>
          <w:color w:val="002060"/>
        </w:rPr>
      </w:pPr>
      <w:r w:rsidRPr="00E95FB1">
        <w:rPr>
          <w:rFonts w:eastAsia="Calibri"/>
          <w:b/>
          <w:color w:val="002060"/>
        </w:rPr>
        <w:lastRenderedPageBreak/>
        <w:t>Склад громади</w:t>
      </w:r>
    </w:p>
    <w:p w:rsidR="00AC499C" w:rsidRDefault="00AC499C" w:rsidP="00AC499C">
      <w:pPr>
        <w:ind w:firstLine="720"/>
        <w:rPr>
          <w:color w:val="000000"/>
        </w:rPr>
      </w:pPr>
    </w:p>
    <w:p w:rsidR="00AC499C" w:rsidRPr="00E95FB1" w:rsidRDefault="00AC499C" w:rsidP="00AC499C">
      <w:pPr>
        <w:ind w:firstLine="720"/>
        <w:rPr>
          <w:rFonts w:eastAsia="Calibri"/>
          <w:b/>
          <w:color w:val="002060"/>
        </w:rPr>
      </w:pPr>
      <w:r>
        <w:rPr>
          <w:color w:val="000000"/>
        </w:rPr>
        <w:t>Сєвєродонецька міська т</w:t>
      </w:r>
      <w:r w:rsidRPr="00E95FB1">
        <w:rPr>
          <w:color w:val="000000"/>
        </w:rPr>
        <w:t xml:space="preserve">ериторіальна громада об’єднала в собі наступні населені пункти: м. Сєвєродонецьк (з прилеглими селищами), Борівський </w:t>
      </w:r>
      <w:proofErr w:type="spellStart"/>
      <w:r w:rsidRPr="00E95FB1">
        <w:rPr>
          <w:color w:val="000000"/>
        </w:rPr>
        <w:t>старостинський</w:t>
      </w:r>
      <w:proofErr w:type="spellEnd"/>
      <w:r w:rsidRPr="00E95FB1">
        <w:rPr>
          <w:color w:val="000000"/>
        </w:rPr>
        <w:t xml:space="preserve"> округ, Сиротинський </w:t>
      </w:r>
      <w:proofErr w:type="spellStart"/>
      <w:r w:rsidRPr="00514199">
        <w:rPr>
          <w:color w:val="000000"/>
        </w:rPr>
        <w:t>старостинський</w:t>
      </w:r>
      <w:proofErr w:type="spellEnd"/>
      <w:r w:rsidRPr="00514199">
        <w:rPr>
          <w:color w:val="000000"/>
        </w:rPr>
        <w:t xml:space="preserve"> округ, </w:t>
      </w:r>
      <w:proofErr w:type="spellStart"/>
      <w:r w:rsidRPr="00514199">
        <w:rPr>
          <w:color w:val="000000"/>
        </w:rPr>
        <w:t>Боровенський</w:t>
      </w:r>
      <w:proofErr w:type="spellEnd"/>
      <w:r w:rsidRPr="00514199">
        <w:rPr>
          <w:color w:val="000000"/>
        </w:rPr>
        <w:t xml:space="preserve"> </w:t>
      </w:r>
      <w:proofErr w:type="spellStart"/>
      <w:r w:rsidRPr="00514199">
        <w:rPr>
          <w:color w:val="000000"/>
        </w:rPr>
        <w:t>старостинський</w:t>
      </w:r>
      <w:proofErr w:type="spellEnd"/>
      <w:r w:rsidRPr="00514199">
        <w:rPr>
          <w:color w:val="000000"/>
        </w:rPr>
        <w:t xml:space="preserve"> округ, </w:t>
      </w:r>
      <w:proofErr w:type="spellStart"/>
      <w:r w:rsidRPr="00514199">
        <w:rPr>
          <w:color w:val="000000"/>
        </w:rPr>
        <w:t>Єпіфанівський</w:t>
      </w:r>
      <w:proofErr w:type="spellEnd"/>
      <w:r w:rsidRPr="00514199">
        <w:rPr>
          <w:color w:val="000000"/>
        </w:rPr>
        <w:t xml:space="preserve"> </w:t>
      </w:r>
      <w:proofErr w:type="spellStart"/>
      <w:r w:rsidRPr="00514199">
        <w:rPr>
          <w:color w:val="000000"/>
        </w:rPr>
        <w:t>старостинський</w:t>
      </w:r>
      <w:proofErr w:type="spellEnd"/>
      <w:r w:rsidRPr="00514199">
        <w:rPr>
          <w:color w:val="000000"/>
        </w:rPr>
        <w:t xml:space="preserve"> округ, </w:t>
      </w:r>
      <w:proofErr w:type="spellStart"/>
      <w:r w:rsidRPr="00514199">
        <w:rPr>
          <w:color w:val="000000"/>
        </w:rPr>
        <w:t>Смолянинівський</w:t>
      </w:r>
      <w:proofErr w:type="spellEnd"/>
      <w:r w:rsidRPr="00514199">
        <w:rPr>
          <w:color w:val="000000"/>
        </w:rPr>
        <w:t xml:space="preserve"> </w:t>
      </w:r>
      <w:proofErr w:type="spellStart"/>
      <w:r w:rsidRPr="00514199">
        <w:rPr>
          <w:color w:val="000000"/>
        </w:rPr>
        <w:t>старостинський</w:t>
      </w:r>
      <w:proofErr w:type="spellEnd"/>
      <w:r w:rsidRPr="00514199">
        <w:rPr>
          <w:color w:val="000000"/>
        </w:rPr>
        <w:t xml:space="preserve"> округ, </w:t>
      </w:r>
      <w:proofErr w:type="spellStart"/>
      <w:r w:rsidRPr="00514199">
        <w:rPr>
          <w:color w:val="000000"/>
        </w:rPr>
        <w:t>Чабанівський</w:t>
      </w:r>
      <w:proofErr w:type="spellEnd"/>
      <w:r w:rsidRPr="00514199">
        <w:rPr>
          <w:color w:val="000000"/>
        </w:rPr>
        <w:t xml:space="preserve"> </w:t>
      </w:r>
      <w:proofErr w:type="spellStart"/>
      <w:r w:rsidRPr="00514199">
        <w:rPr>
          <w:color w:val="000000"/>
        </w:rPr>
        <w:t>старостинський</w:t>
      </w:r>
      <w:proofErr w:type="spellEnd"/>
      <w:r w:rsidRPr="00514199">
        <w:rPr>
          <w:color w:val="000000"/>
        </w:rPr>
        <w:t xml:space="preserve"> округ, </w:t>
      </w:r>
      <w:proofErr w:type="spellStart"/>
      <w:r w:rsidRPr="00514199">
        <w:rPr>
          <w:color w:val="000000"/>
        </w:rPr>
        <w:t>Новоастраханський</w:t>
      </w:r>
      <w:proofErr w:type="spellEnd"/>
      <w:r w:rsidRPr="00514199">
        <w:rPr>
          <w:color w:val="000000"/>
        </w:rPr>
        <w:t xml:space="preserve"> </w:t>
      </w:r>
      <w:proofErr w:type="spellStart"/>
      <w:r w:rsidRPr="00514199">
        <w:rPr>
          <w:color w:val="000000"/>
        </w:rPr>
        <w:t>старостинський</w:t>
      </w:r>
      <w:proofErr w:type="spellEnd"/>
      <w:r w:rsidRPr="00E95FB1">
        <w:rPr>
          <w:color w:val="000000"/>
        </w:rPr>
        <w:t xml:space="preserve"> округ.</w:t>
      </w:r>
    </w:p>
    <w:p w:rsidR="00AC499C" w:rsidRDefault="00AC499C" w:rsidP="00AC499C">
      <w:pPr>
        <w:ind w:firstLine="720"/>
        <w:rPr>
          <w:rFonts w:eastAsia="Calibri"/>
        </w:rPr>
      </w:pPr>
    </w:p>
    <w:p w:rsidR="00AC499C" w:rsidRPr="00E95FB1" w:rsidRDefault="00AC499C" w:rsidP="00AC499C">
      <w:pPr>
        <w:ind w:firstLine="720"/>
        <w:rPr>
          <w:rFonts w:eastAsia="Calibri"/>
        </w:rPr>
      </w:pPr>
      <w:r w:rsidRPr="00E95FB1">
        <w:rPr>
          <w:rFonts w:eastAsia="Calibri"/>
        </w:rPr>
        <w:t xml:space="preserve">До громади входить 20 населених пунктів, у тому числі, 1 місто, 3 селища, 4 селища міського типу,  12 </w:t>
      </w:r>
      <w:proofErr w:type="spellStart"/>
      <w:r w:rsidRPr="00E95FB1">
        <w:rPr>
          <w:rFonts w:eastAsia="Calibri"/>
        </w:rPr>
        <w:t>сел</w:t>
      </w:r>
      <w:proofErr w:type="spellEnd"/>
      <w:r w:rsidRPr="00E95FB1">
        <w:rPr>
          <w:rFonts w:eastAsia="Calibri"/>
        </w:rPr>
        <w:t>.</w:t>
      </w:r>
    </w:p>
    <w:p w:rsidR="00AC499C" w:rsidRDefault="00AC499C" w:rsidP="00AC499C">
      <w:pPr>
        <w:ind w:firstLine="720"/>
        <w:rPr>
          <w:rFonts w:eastAsia="Arial"/>
          <w:lang w:eastAsia="uk-UA"/>
        </w:rPr>
      </w:pPr>
    </w:p>
    <w:p w:rsidR="00AC499C" w:rsidRPr="00E95FB1" w:rsidRDefault="00524DBF" w:rsidP="00AC499C">
      <w:pPr>
        <w:ind w:firstLine="720"/>
        <w:rPr>
          <w:rFonts w:eastAsia="Arial"/>
          <w:lang w:eastAsia="uk-UA"/>
        </w:rPr>
      </w:pPr>
      <w:r>
        <w:rPr>
          <w:rFonts w:eastAsia="Arial"/>
          <w:noProof/>
          <w:lang w:eastAsia="uk-UA"/>
        </w:rPr>
        <w:drawing>
          <wp:anchor distT="0" distB="0" distL="114300" distR="114300" simplePos="0" relativeHeight="251660288" behindDoc="0" locked="0" layoutInCell="1" allowOverlap="1">
            <wp:simplePos x="0" y="0"/>
            <wp:positionH relativeFrom="margin">
              <wp:posOffset>2225040</wp:posOffset>
            </wp:positionH>
            <wp:positionV relativeFrom="margin">
              <wp:posOffset>2844800</wp:posOffset>
            </wp:positionV>
            <wp:extent cx="3762375" cy="5095875"/>
            <wp:effectExtent l="19050" t="0" r="9525" b="0"/>
            <wp:wrapSquare wrapText="bothSides"/>
            <wp:docPr id="5" name="Рисунок 5" descr="main_image_Сєвєродонець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_Сєвєродонецька.jpeg"/>
                    <pic:cNvPicPr/>
                  </pic:nvPicPr>
                  <pic:blipFill>
                    <a:blip r:embed="rId10" cstate="print"/>
                    <a:stretch>
                      <a:fillRect/>
                    </a:stretch>
                  </pic:blipFill>
                  <pic:spPr>
                    <a:xfrm>
                      <a:off x="0" y="0"/>
                      <a:ext cx="3762375" cy="5095875"/>
                    </a:xfrm>
                    <a:prstGeom prst="rect">
                      <a:avLst/>
                    </a:prstGeom>
                  </pic:spPr>
                </pic:pic>
              </a:graphicData>
            </a:graphic>
          </wp:anchor>
        </w:drawing>
      </w:r>
      <w:r w:rsidR="00AC499C" w:rsidRPr="00E95FB1">
        <w:rPr>
          <w:rFonts w:eastAsia="Arial"/>
          <w:lang w:eastAsia="uk-UA"/>
        </w:rPr>
        <w:t>До складу Сєвєродонецької міської територіальної громади входять такі населені пункти:</w:t>
      </w:r>
    </w:p>
    <w:p w:rsidR="00AC499C" w:rsidRPr="00E95FB1" w:rsidRDefault="00AC499C" w:rsidP="000303D7">
      <w:pPr>
        <w:pStyle w:val="a7"/>
        <w:numPr>
          <w:ilvl w:val="0"/>
          <w:numId w:val="7"/>
        </w:numPr>
        <w:rPr>
          <w:rFonts w:eastAsia="Arial"/>
        </w:rPr>
      </w:pPr>
      <w:r w:rsidRPr="00E95FB1">
        <w:rPr>
          <w:rFonts w:eastAsia="Arial"/>
        </w:rPr>
        <w:t>місто Сєвєродонецьк</w:t>
      </w:r>
    </w:p>
    <w:p w:rsidR="00AC499C" w:rsidRPr="00E95FB1" w:rsidRDefault="00AC499C" w:rsidP="000303D7">
      <w:pPr>
        <w:pStyle w:val="a7"/>
        <w:numPr>
          <w:ilvl w:val="0"/>
          <w:numId w:val="7"/>
        </w:numPr>
        <w:rPr>
          <w:rFonts w:eastAsia="Arial"/>
        </w:rPr>
      </w:pPr>
      <w:r w:rsidRPr="00E95FB1">
        <w:rPr>
          <w:rFonts w:eastAsia="Arial"/>
        </w:rPr>
        <w:t>село </w:t>
      </w:r>
      <w:r w:rsidRPr="00254DD7">
        <w:rPr>
          <w:rFonts w:eastAsia="Arial"/>
          <w:color w:val="000000"/>
        </w:rPr>
        <w:t>Воєводівка</w:t>
      </w:r>
    </w:p>
    <w:p w:rsidR="00AC499C" w:rsidRPr="00E95FB1" w:rsidRDefault="00AC499C" w:rsidP="000303D7">
      <w:pPr>
        <w:pStyle w:val="a7"/>
        <w:numPr>
          <w:ilvl w:val="0"/>
          <w:numId w:val="7"/>
        </w:numPr>
        <w:rPr>
          <w:rFonts w:eastAsia="Arial"/>
        </w:rPr>
      </w:pPr>
      <w:r w:rsidRPr="00E95FB1">
        <w:rPr>
          <w:rFonts w:eastAsia="Arial"/>
          <w:color w:val="000000"/>
        </w:rPr>
        <w:t>селище </w:t>
      </w:r>
      <w:r w:rsidRPr="00254DD7">
        <w:rPr>
          <w:rFonts w:eastAsia="Arial"/>
          <w:color w:val="000000"/>
        </w:rPr>
        <w:t>Лісна</w:t>
      </w:r>
      <w:r w:rsidRPr="00A30A9E">
        <w:rPr>
          <w:rFonts w:eastAsia="Arial"/>
          <w:color w:val="000000"/>
        </w:rPr>
        <w:t xml:space="preserve"> </w:t>
      </w:r>
      <w:r w:rsidRPr="00254DD7">
        <w:rPr>
          <w:rFonts w:eastAsia="Arial"/>
          <w:color w:val="000000"/>
        </w:rPr>
        <w:t>Дача</w:t>
      </w:r>
    </w:p>
    <w:p w:rsidR="00AC499C" w:rsidRPr="00E95FB1" w:rsidRDefault="00AC499C" w:rsidP="000303D7">
      <w:pPr>
        <w:pStyle w:val="a7"/>
        <w:numPr>
          <w:ilvl w:val="0"/>
          <w:numId w:val="7"/>
        </w:numPr>
        <w:rPr>
          <w:rFonts w:eastAsia="Arial"/>
          <w:color w:val="000000"/>
        </w:rPr>
      </w:pPr>
      <w:r w:rsidRPr="00E95FB1">
        <w:rPr>
          <w:rFonts w:eastAsia="Arial"/>
          <w:color w:val="000000"/>
        </w:rPr>
        <w:t>селище </w:t>
      </w:r>
      <w:hyperlink r:id="rId11" w:tooltip="Павлоград (селище)" w:history="1">
        <w:r w:rsidRPr="00E95FB1">
          <w:rPr>
            <w:rFonts w:eastAsia="Arial"/>
            <w:color w:val="000000"/>
          </w:rPr>
          <w:t>Павлоград</w:t>
        </w:r>
      </w:hyperlink>
    </w:p>
    <w:p w:rsidR="00AC499C" w:rsidRPr="00E95FB1" w:rsidRDefault="00AC499C" w:rsidP="000303D7">
      <w:pPr>
        <w:pStyle w:val="a7"/>
        <w:numPr>
          <w:ilvl w:val="0"/>
          <w:numId w:val="7"/>
        </w:numPr>
        <w:rPr>
          <w:rFonts w:eastAsia="Arial"/>
          <w:color w:val="000000"/>
        </w:rPr>
      </w:pPr>
      <w:r w:rsidRPr="00E95FB1">
        <w:rPr>
          <w:rFonts w:eastAsia="Arial"/>
          <w:color w:val="000000"/>
        </w:rPr>
        <w:t>селище </w:t>
      </w:r>
      <w:proofErr w:type="spellStart"/>
      <w:r w:rsidR="00533A39">
        <w:fldChar w:fldCharType="begin"/>
      </w:r>
      <w:r w:rsidR="00533A39">
        <w:instrText xml:space="preserve"> HYPERLINK "https://uk.wikipedia.org/wiki/%D0%A1%D0%B8%D0%BD%D0%B5%D1%86%D1%8C%D0%BA%D0%B8%D0%B9" \o "Синецький" </w:instrText>
      </w:r>
      <w:r w:rsidR="00533A39">
        <w:fldChar w:fldCharType="separate"/>
      </w:r>
      <w:r w:rsidRPr="00E95FB1">
        <w:rPr>
          <w:rFonts w:eastAsia="Arial"/>
          <w:color w:val="000000"/>
        </w:rPr>
        <w:t>Синецький</w:t>
      </w:r>
      <w:proofErr w:type="spellEnd"/>
      <w:r w:rsidR="00533A39">
        <w:rPr>
          <w:rFonts w:eastAsia="Arial"/>
          <w:color w:val="000000"/>
        </w:rPr>
        <w:fldChar w:fldCharType="end"/>
      </w:r>
    </w:p>
    <w:p w:rsidR="00AC499C" w:rsidRPr="00E95FB1" w:rsidRDefault="00AC499C" w:rsidP="000303D7">
      <w:pPr>
        <w:pStyle w:val="a7"/>
        <w:numPr>
          <w:ilvl w:val="0"/>
          <w:numId w:val="7"/>
        </w:numPr>
        <w:jc w:val="left"/>
        <w:rPr>
          <w:rFonts w:eastAsia="Arial"/>
          <w:color w:val="000000"/>
        </w:rPr>
      </w:pPr>
      <w:r w:rsidRPr="00E95FB1">
        <w:rPr>
          <w:rFonts w:eastAsia="Arial"/>
          <w:color w:val="000000"/>
        </w:rPr>
        <w:t>селище міського типу </w:t>
      </w:r>
      <w:hyperlink r:id="rId12" w:tooltip="Борівське (смт)" w:history="1">
        <w:r w:rsidRPr="00E95FB1">
          <w:rPr>
            <w:rFonts w:eastAsia="Arial"/>
            <w:color w:val="000000"/>
          </w:rPr>
          <w:t>Борівське</w:t>
        </w:r>
      </w:hyperlink>
    </w:p>
    <w:p w:rsidR="00AC499C" w:rsidRPr="00E95FB1" w:rsidRDefault="00AC499C" w:rsidP="000303D7">
      <w:pPr>
        <w:pStyle w:val="a7"/>
        <w:numPr>
          <w:ilvl w:val="0"/>
          <w:numId w:val="7"/>
        </w:numPr>
        <w:jc w:val="left"/>
        <w:rPr>
          <w:rFonts w:eastAsia="Arial"/>
          <w:color w:val="000000"/>
        </w:rPr>
      </w:pPr>
      <w:r w:rsidRPr="00E95FB1">
        <w:rPr>
          <w:rFonts w:eastAsia="Arial"/>
          <w:color w:val="000000"/>
        </w:rPr>
        <w:t>село </w:t>
      </w:r>
      <w:hyperlink r:id="rId13" w:tooltip="Боброве (Сєвєродонецька міська рада)" w:history="1">
        <w:r w:rsidRPr="00E95FB1">
          <w:rPr>
            <w:rFonts w:eastAsia="Arial"/>
            <w:color w:val="000000"/>
          </w:rPr>
          <w:t>Боброве</w:t>
        </w:r>
      </w:hyperlink>
    </w:p>
    <w:p w:rsidR="00AC499C" w:rsidRPr="00E95FB1" w:rsidRDefault="00AC499C" w:rsidP="000303D7">
      <w:pPr>
        <w:pStyle w:val="a7"/>
        <w:numPr>
          <w:ilvl w:val="0"/>
          <w:numId w:val="7"/>
        </w:numPr>
        <w:jc w:val="left"/>
        <w:rPr>
          <w:rFonts w:eastAsia="Arial"/>
          <w:color w:val="000000"/>
        </w:rPr>
      </w:pPr>
      <w:r w:rsidRPr="00E95FB1">
        <w:rPr>
          <w:rFonts w:eastAsia="Arial"/>
          <w:color w:val="000000"/>
        </w:rPr>
        <w:t>село </w:t>
      </w:r>
      <w:proofErr w:type="spellStart"/>
      <w:r w:rsidR="00533A39">
        <w:fldChar w:fldCharType="begin"/>
      </w:r>
      <w:r w:rsidR="00533A39">
        <w:instrText xml:space="preserve"> HYPERLINK "https://uk.wikipedia.org/wiki/%D0%9E%D1%81%D0%BA%D0%BE%D0%BB%D0%BE%D0%BD%D1%96%D0%B2%D0%BA%D0%B0" \o "Осколонівка" </w:instrText>
      </w:r>
      <w:r w:rsidR="00533A39">
        <w:fldChar w:fldCharType="separate"/>
      </w:r>
      <w:r w:rsidRPr="00E95FB1">
        <w:rPr>
          <w:rFonts w:eastAsia="Arial"/>
          <w:color w:val="000000"/>
        </w:rPr>
        <w:t>Осколонівка</w:t>
      </w:r>
      <w:proofErr w:type="spellEnd"/>
      <w:r w:rsidR="00533A39">
        <w:rPr>
          <w:rFonts w:eastAsia="Arial"/>
          <w:color w:val="000000"/>
        </w:rPr>
        <w:fldChar w:fldCharType="end"/>
      </w:r>
    </w:p>
    <w:p w:rsidR="00AC499C" w:rsidRPr="00E95FB1" w:rsidRDefault="00AC499C" w:rsidP="000303D7">
      <w:pPr>
        <w:pStyle w:val="a7"/>
        <w:numPr>
          <w:ilvl w:val="0"/>
          <w:numId w:val="7"/>
        </w:numPr>
        <w:jc w:val="left"/>
        <w:rPr>
          <w:rFonts w:eastAsia="Arial"/>
          <w:color w:val="000000"/>
        </w:rPr>
      </w:pPr>
      <w:r w:rsidRPr="00E95FB1">
        <w:rPr>
          <w:rFonts w:eastAsia="Arial"/>
          <w:color w:val="000000"/>
        </w:rPr>
        <w:t>селище міського типу </w:t>
      </w:r>
      <w:hyperlink r:id="rId14" w:tooltip="Сиротине (смт)" w:history="1">
        <w:r w:rsidRPr="00E95FB1">
          <w:rPr>
            <w:rFonts w:eastAsia="Arial"/>
            <w:color w:val="000000"/>
          </w:rPr>
          <w:t>Сиротине</w:t>
        </w:r>
      </w:hyperlink>
    </w:p>
    <w:p w:rsidR="00AC499C" w:rsidRPr="00E95FB1" w:rsidRDefault="00AC499C" w:rsidP="000303D7">
      <w:pPr>
        <w:pStyle w:val="a7"/>
        <w:numPr>
          <w:ilvl w:val="0"/>
          <w:numId w:val="7"/>
        </w:numPr>
        <w:jc w:val="left"/>
        <w:rPr>
          <w:rFonts w:eastAsia="Arial"/>
          <w:color w:val="000000"/>
        </w:rPr>
      </w:pPr>
      <w:r w:rsidRPr="00E95FB1">
        <w:rPr>
          <w:rFonts w:eastAsia="Arial"/>
          <w:color w:val="000000"/>
        </w:rPr>
        <w:t>селище міського типу </w:t>
      </w:r>
      <w:hyperlink r:id="rId15" w:tooltip="Воронове (смт)" w:history="1">
        <w:r w:rsidRPr="00E95FB1">
          <w:rPr>
            <w:rFonts w:eastAsia="Arial"/>
            <w:color w:val="000000"/>
          </w:rPr>
          <w:t>Воронове</w:t>
        </w:r>
      </w:hyperlink>
    </w:p>
    <w:p w:rsidR="00AC499C" w:rsidRPr="00E95FB1" w:rsidRDefault="00AC499C" w:rsidP="000303D7">
      <w:pPr>
        <w:pStyle w:val="a7"/>
        <w:numPr>
          <w:ilvl w:val="0"/>
          <w:numId w:val="7"/>
        </w:numPr>
        <w:jc w:val="left"/>
        <w:rPr>
          <w:rFonts w:eastAsia="Arial"/>
          <w:color w:val="000000"/>
        </w:rPr>
      </w:pPr>
      <w:r w:rsidRPr="00E95FB1">
        <w:rPr>
          <w:rFonts w:eastAsia="Arial"/>
          <w:color w:val="000000"/>
        </w:rPr>
        <w:t>селище міського типу </w:t>
      </w:r>
      <w:hyperlink r:id="rId16" w:tooltip="Метьолкіне" w:history="1">
        <w:r w:rsidRPr="00E95FB1">
          <w:rPr>
            <w:rFonts w:eastAsia="Arial"/>
            <w:color w:val="000000"/>
          </w:rPr>
          <w:t>Метьолкіне</w:t>
        </w:r>
      </w:hyperlink>
    </w:p>
    <w:p w:rsidR="00AC499C" w:rsidRPr="00E95FB1" w:rsidRDefault="00AC499C" w:rsidP="000303D7">
      <w:pPr>
        <w:pStyle w:val="a7"/>
        <w:numPr>
          <w:ilvl w:val="0"/>
          <w:numId w:val="7"/>
        </w:numPr>
        <w:jc w:val="left"/>
        <w:rPr>
          <w:rFonts w:eastAsia="Arial"/>
          <w:color w:val="000000"/>
        </w:rPr>
      </w:pPr>
      <w:r w:rsidRPr="00E95FB1">
        <w:rPr>
          <w:rFonts w:eastAsia="Arial"/>
          <w:color w:val="000000"/>
        </w:rPr>
        <w:t>село Чабанівка</w:t>
      </w:r>
    </w:p>
    <w:p w:rsidR="00AC499C" w:rsidRPr="00E95FB1" w:rsidRDefault="00AC499C" w:rsidP="000303D7">
      <w:pPr>
        <w:pStyle w:val="a7"/>
        <w:numPr>
          <w:ilvl w:val="0"/>
          <w:numId w:val="7"/>
        </w:numPr>
        <w:jc w:val="left"/>
        <w:rPr>
          <w:rFonts w:eastAsia="Arial"/>
          <w:color w:val="000000"/>
        </w:rPr>
      </w:pPr>
      <w:r w:rsidRPr="00E95FB1">
        <w:rPr>
          <w:rFonts w:eastAsia="Arial"/>
          <w:color w:val="000000"/>
        </w:rPr>
        <w:t>село Гаврилівка</w:t>
      </w:r>
    </w:p>
    <w:p w:rsidR="00AC499C" w:rsidRPr="00E95FB1" w:rsidRDefault="00AC499C" w:rsidP="000303D7">
      <w:pPr>
        <w:pStyle w:val="a7"/>
        <w:numPr>
          <w:ilvl w:val="0"/>
          <w:numId w:val="7"/>
        </w:numPr>
        <w:jc w:val="left"/>
        <w:rPr>
          <w:rFonts w:eastAsia="Arial"/>
          <w:color w:val="000000"/>
        </w:rPr>
      </w:pPr>
      <w:r w:rsidRPr="00E95FB1">
        <w:rPr>
          <w:rFonts w:eastAsia="Arial"/>
          <w:color w:val="000000"/>
        </w:rPr>
        <w:t>село Нижній Суходіл</w:t>
      </w:r>
    </w:p>
    <w:p w:rsidR="00AC499C" w:rsidRPr="00E95FB1" w:rsidRDefault="00AC499C" w:rsidP="000303D7">
      <w:pPr>
        <w:pStyle w:val="a7"/>
        <w:numPr>
          <w:ilvl w:val="0"/>
          <w:numId w:val="7"/>
        </w:numPr>
        <w:jc w:val="left"/>
        <w:rPr>
          <w:rFonts w:eastAsia="Arial"/>
          <w:color w:val="000000"/>
        </w:rPr>
      </w:pPr>
      <w:r w:rsidRPr="00E95FB1">
        <w:rPr>
          <w:rFonts w:eastAsia="Arial"/>
          <w:color w:val="000000"/>
        </w:rPr>
        <w:t>село Олександрівка</w:t>
      </w:r>
    </w:p>
    <w:p w:rsidR="00AC499C" w:rsidRPr="00E95FB1" w:rsidRDefault="00AC499C" w:rsidP="000303D7">
      <w:pPr>
        <w:pStyle w:val="a7"/>
        <w:numPr>
          <w:ilvl w:val="0"/>
          <w:numId w:val="7"/>
        </w:numPr>
        <w:jc w:val="left"/>
        <w:rPr>
          <w:rFonts w:eastAsia="Arial"/>
          <w:color w:val="000000"/>
        </w:rPr>
      </w:pPr>
      <w:r w:rsidRPr="00E95FB1">
        <w:rPr>
          <w:rFonts w:eastAsia="Arial"/>
          <w:color w:val="000000"/>
        </w:rPr>
        <w:t xml:space="preserve">село </w:t>
      </w:r>
      <w:proofErr w:type="spellStart"/>
      <w:r w:rsidRPr="00E95FB1">
        <w:rPr>
          <w:rFonts w:eastAsia="Arial"/>
          <w:color w:val="000000"/>
        </w:rPr>
        <w:t>Пурдівка</w:t>
      </w:r>
      <w:proofErr w:type="spellEnd"/>
      <w:r w:rsidRPr="00E95FB1">
        <w:rPr>
          <w:rFonts w:eastAsia="Arial"/>
          <w:color w:val="000000"/>
        </w:rPr>
        <w:t xml:space="preserve">                               </w:t>
      </w:r>
    </w:p>
    <w:p w:rsidR="00AC499C" w:rsidRPr="00E95FB1" w:rsidRDefault="00AC499C" w:rsidP="000303D7">
      <w:pPr>
        <w:pStyle w:val="a7"/>
        <w:numPr>
          <w:ilvl w:val="0"/>
          <w:numId w:val="7"/>
        </w:numPr>
        <w:jc w:val="left"/>
        <w:rPr>
          <w:rFonts w:eastAsia="Arial"/>
          <w:color w:val="000000"/>
        </w:rPr>
      </w:pPr>
      <w:r w:rsidRPr="00E95FB1">
        <w:rPr>
          <w:rFonts w:eastAsia="Arial"/>
          <w:color w:val="000000"/>
        </w:rPr>
        <w:t xml:space="preserve">село </w:t>
      </w:r>
      <w:proofErr w:type="spellStart"/>
      <w:r w:rsidRPr="00E95FB1">
        <w:rPr>
          <w:rFonts w:eastAsia="Arial"/>
          <w:color w:val="000000"/>
        </w:rPr>
        <w:t>Смолянинове</w:t>
      </w:r>
      <w:proofErr w:type="spellEnd"/>
      <w:r w:rsidRPr="00E95FB1">
        <w:rPr>
          <w:rFonts w:eastAsia="Arial"/>
          <w:color w:val="000000"/>
        </w:rPr>
        <w:t xml:space="preserve"> </w:t>
      </w:r>
    </w:p>
    <w:p w:rsidR="00AC499C" w:rsidRPr="00E95FB1" w:rsidRDefault="00AC499C" w:rsidP="000303D7">
      <w:pPr>
        <w:pStyle w:val="a7"/>
        <w:numPr>
          <w:ilvl w:val="0"/>
          <w:numId w:val="7"/>
        </w:numPr>
        <w:jc w:val="left"/>
        <w:rPr>
          <w:rFonts w:eastAsia="Arial"/>
          <w:color w:val="000000"/>
        </w:rPr>
      </w:pPr>
      <w:r w:rsidRPr="00E95FB1">
        <w:rPr>
          <w:rFonts w:eastAsia="Arial"/>
          <w:color w:val="000000"/>
        </w:rPr>
        <w:t xml:space="preserve">село </w:t>
      </w:r>
      <w:proofErr w:type="spellStart"/>
      <w:r w:rsidRPr="00E95FB1">
        <w:rPr>
          <w:rFonts w:eastAsia="Arial"/>
          <w:color w:val="000000"/>
        </w:rPr>
        <w:t>Єпіфанівка</w:t>
      </w:r>
      <w:proofErr w:type="spellEnd"/>
    </w:p>
    <w:p w:rsidR="00AC499C" w:rsidRPr="00E95FB1" w:rsidRDefault="00AC499C" w:rsidP="000303D7">
      <w:pPr>
        <w:pStyle w:val="a7"/>
        <w:numPr>
          <w:ilvl w:val="0"/>
          <w:numId w:val="7"/>
        </w:numPr>
        <w:jc w:val="left"/>
        <w:rPr>
          <w:rFonts w:eastAsia="Arial"/>
          <w:color w:val="000000"/>
        </w:rPr>
      </w:pPr>
      <w:r w:rsidRPr="00E95FB1">
        <w:rPr>
          <w:rFonts w:eastAsia="Arial"/>
          <w:color w:val="000000"/>
        </w:rPr>
        <w:t xml:space="preserve">село </w:t>
      </w:r>
      <w:proofErr w:type="spellStart"/>
      <w:r w:rsidRPr="00E95FB1">
        <w:rPr>
          <w:rFonts w:eastAsia="Arial"/>
          <w:color w:val="000000"/>
        </w:rPr>
        <w:t>Боровеньки</w:t>
      </w:r>
      <w:proofErr w:type="spellEnd"/>
    </w:p>
    <w:p w:rsidR="00AC499C" w:rsidRPr="00524DBF" w:rsidRDefault="00AC499C" w:rsidP="000303D7">
      <w:pPr>
        <w:pStyle w:val="a7"/>
        <w:numPr>
          <w:ilvl w:val="0"/>
          <w:numId w:val="7"/>
        </w:numPr>
        <w:jc w:val="left"/>
        <w:rPr>
          <w:rFonts w:eastAsia="Arial"/>
          <w:color w:val="0070C0"/>
          <w:sz w:val="18"/>
          <w:szCs w:val="18"/>
          <w:lang w:eastAsia="uk-UA"/>
        </w:rPr>
      </w:pPr>
      <w:r w:rsidRPr="00524DBF">
        <w:rPr>
          <w:rFonts w:eastAsia="Arial"/>
          <w:color w:val="000000"/>
        </w:rPr>
        <w:t>село Нова Астрахань.</w:t>
      </w:r>
      <w:r w:rsidRPr="00524DBF">
        <w:rPr>
          <w:rFonts w:eastAsia="Arial"/>
          <w:color w:val="0070C0"/>
          <w:sz w:val="18"/>
          <w:szCs w:val="18"/>
          <w:lang w:eastAsia="uk-UA"/>
        </w:rPr>
        <w:t xml:space="preserve">                                                                                                   </w:t>
      </w:r>
    </w:p>
    <w:p w:rsidR="00AC499C" w:rsidRPr="00E95FB1" w:rsidRDefault="00AC499C" w:rsidP="00AC499C">
      <w:pPr>
        <w:jc w:val="left"/>
        <w:rPr>
          <w:rFonts w:eastAsia="Arial"/>
          <w:color w:val="0070C0"/>
          <w:sz w:val="18"/>
          <w:szCs w:val="18"/>
          <w:lang w:eastAsia="uk-UA"/>
        </w:rPr>
      </w:pPr>
      <w:r w:rsidRPr="00E95FB1">
        <w:rPr>
          <w:rFonts w:eastAsia="Arial"/>
          <w:color w:val="0070C0"/>
          <w:sz w:val="18"/>
          <w:szCs w:val="18"/>
          <w:lang w:eastAsia="uk-UA"/>
        </w:rPr>
        <w:t xml:space="preserve">                                                                                            Мал.1 Карта </w:t>
      </w:r>
      <w:r w:rsidRPr="00E95FB1">
        <w:rPr>
          <w:rFonts w:eastAsia="Calibri"/>
          <w:color w:val="0070C0"/>
          <w:sz w:val="18"/>
          <w:szCs w:val="18"/>
        </w:rPr>
        <w:t>Сєвєродонецької міської  територіальної громади</w:t>
      </w:r>
    </w:p>
    <w:p w:rsidR="00AC499C" w:rsidRPr="00E95FB1" w:rsidRDefault="00AC499C" w:rsidP="00AC499C">
      <w:pPr>
        <w:jc w:val="left"/>
        <w:rPr>
          <w:rFonts w:eastAsia="Arial"/>
          <w:color w:val="0070C0"/>
          <w:sz w:val="18"/>
          <w:szCs w:val="18"/>
          <w:lang w:eastAsia="uk-UA"/>
        </w:rPr>
      </w:pPr>
      <w:r w:rsidRPr="00E95FB1">
        <w:rPr>
          <w:rFonts w:eastAsia="Arial"/>
          <w:color w:val="0070C0"/>
          <w:sz w:val="18"/>
          <w:szCs w:val="18"/>
          <w:lang w:eastAsia="uk-UA"/>
        </w:rPr>
        <w:t xml:space="preserve">                                                                                                Джерело https://decentralization.gov.ua/newgromada/4173/map</w:t>
      </w:r>
    </w:p>
    <w:p w:rsidR="00AC499C" w:rsidRPr="00E95FB1" w:rsidRDefault="00AC499C" w:rsidP="00AC499C">
      <w:pPr>
        <w:ind w:firstLine="720"/>
        <w:rPr>
          <w:rFonts w:eastAsia="Calibri"/>
        </w:rPr>
      </w:pPr>
    </w:p>
    <w:p w:rsidR="00AC499C" w:rsidRDefault="00A53871" w:rsidP="00AC499C">
      <w:pPr>
        <w:ind w:firstLine="720"/>
        <w:rPr>
          <w:rFonts w:eastAsia="Calibri"/>
        </w:rPr>
      </w:pPr>
      <w:r>
        <w:lastRenderedPageBreak/>
        <w:t xml:space="preserve">Адміністративним центром громади є місто Сєвєродонецьк. До складу міста входить територіально відокремлений житловий район </w:t>
      </w:r>
      <w:proofErr w:type="spellStart"/>
      <w:r>
        <w:t>Щедрищеве</w:t>
      </w:r>
      <w:proofErr w:type="spellEnd"/>
      <w:r>
        <w:t xml:space="preserve">. Селища Павлоград, </w:t>
      </w:r>
      <w:proofErr w:type="spellStart"/>
      <w:r>
        <w:t>Синецький</w:t>
      </w:r>
      <w:proofErr w:type="spellEnd"/>
      <w:r>
        <w:t xml:space="preserve">, Лісна Дача та село Воєводівка не входять до складу </w:t>
      </w:r>
      <w:proofErr w:type="spellStart"/>
      <w:r>
        <w:t>старостинських</w:t>
      </w:r>
      <w:proofErr w:type="spellEnd"/>
      <w:r>
        <w:t xml:space="preserve"> округів, а безпосередньо підпорядковані місту Сєвєродонецьк»</w:t>
      </w:r>
      <w:r w:rsidR="00AC499C" w:rsidRPr="00E95FB1">
        <w:rPr>
          <w:rFonts w:eastAsia="Calibri"/>
        </w:rPr>
        <w:t>.</w:t>
      </w:r>
    </w:p>
    <w:p w:rsidR="00AC499C" w:rsidRPr="00E95FB1" w:rsidRDefault="00AC499C" w:rsidP="00AC499C">
      <w:pPr>
        <w:rPr>
          <w:rFonts w:eastAsia="Calibri"/>
        </w:rPr>
      </w:pPr>
    </w:p>
    <w:p w:rsidR="00AC499C" w:rsidRDefault="00AC499C" w:rsidP="00AC499C">
      <w:pPr>
        <w:ind w:firstLine="720"/>
        <w:rPr>
          <w:rFonts w:eastAsia="Calibri"/>
          <w:b/>
          <w:color w:val="002060"/>
        </w:rPr>
      </w:pPr>
      <w:r w:rsidRPr="00E95FB1">
        <w:rPr>
          <w:rFonts w:eastAsia="Calibri"/>
          <w:b/>
          <w:color w:val="002060"/>
        </w:rPr>
        <w:t>Географічні особливості.</w:t>
      </w:r>
    </w:p>
    <w:p w:rsidR="00AC499C" w:rsidRDefault="00AC499C" w:rsidP="00AC499C">
      <w:pPr>
        <w:ind w:firstLine="720"/>
        <w:rPr>
          <w:rFonts w:eastAsia="Calibri"/>
          <w:b/>
          <w:color w:val="002060"/>
        </w:rPr>
      </w:pPr>
    </w:p>
    <w:p w:rsidR="00AC499C" w:rsidRPr="004169DB" w:rsidRDefault="00AC499C" w:rsidP="00AC499C">
      <w:pPr>
        <w:ind w:firstLine="720"/>
        <w:rPr>
          <w:rFonts w:eastAsia="Calibri"/>
          <w:bCs/>
        </w:rPr>
      </w:pPr>
      <w:r w:rsidRPr="004169DB">
        <w:rPr>
          <w:rFonts w:eastAsia="Calibri"/>
          <w:bCs/>
        </w:rPr>
        <w:t>Сєвєродонецьк</w:t>
      </w:r>
      <w:r>
        <w:rPr>
          <w:rFonts w:eastAsia="Calibri"/>
          <w:bCs/>
        </w:rPr>
        <w:t xml:space="preserve">а </w:t>
      </w:r>
      <w:r w:rsidR="00823628">
        <w:rPr>
          <w:rFonts w:eastAsia="Calibri"/>
          <w:bCs/>
        </w:rPr>
        <w:t xml:space="preserve">міська територіальна громада </w:t>
      </w:r>
      <w:r w:rsidRPr="004169DB">
        <w:rPr>
          <w:rFonts w:eastAsia="Calibri"/>
          <w:bCs/>
        </w:rPr>
        <w:t>розташован</w:t>
      </w:r>
      <w:r>
        <w:rPr>
          <w:rFonts w:eastAsia="Calibri"/>
          <w:bCs/>
        </w:rPr>
        <w:t>а</w:t>
      </w:r>
      <w:r w:rsidRPr="004169DB">
        <w:rPr>
          <w:rFonts w:eastAsia="Calibri"/>
          <w:bCs/>
        </w:rPr>
        <w:t xml:space="preserve"> на заході Луганської області на кордоні Донбасу та Слобожанщини.</w:t>
      </w:r>
    </w:p>
    <w:p w:rsidR="00AC499C" w:rsidRDefault="00AC499C" w:rsidP="00AC499C">
      <w:pPr>
        <w:ind w:firstLine="720"/>
        <w:rPr>
          <w:rFonts w:eastAsia="Arial"/>
          <w:lang w:eastAsia="uk-UA"/>
        </w:rPr>
      </w:pPr>
    </w:p>
    <w:p w:rsidR="00AC499C" w:rsidRDefault="00AC499C" w:rsidP="00AC499C">
      <w:pPr>
        <w:ind w:firstLine="720"/>
        <w:rPr>
          <w:rFonts w:eastAsia="Arial"/>
          <w:lang w:eastAsia="uk-UA"/>
        </w:rPr>
      </w:pPr>
      <w:r w:rsidRPr="00E95FB1">
        <w:rPr>
          <w:rFonts w:eastAsia="Arial"/>
          <w:lang w:eastAsia="uk-UA"/>
        </w:rPr>
        <w:t xml:space="preserve">Сєвєродонецька міська територіальна громада межує з Лисичанською, Рубіжанською та Гірською територіальними громадами Сєвєродонецького  району, Новоайдарською територіальною громадою </w:t>
      </w:r>
      <w:proofErr w:type="spellStart"/>
      <w:r w:rsidRPr="00E95FB1">
        <w:rPr>
          <w:rFonts w:eastAsia="Arial"/>
          <w:lang w:eastAsia="uk-UA"/>
        </w:rPr>
        <w:t>Щастинского</w:t>
      </w:r>
      <w:proofErr w:type="spellEnd"/>
      <w:r w:rsidRPr="00E95FB1">
        <w:rPr>
          <w:rFonts w:eastAsia="Arial"/>
          <w:lang w:eastAsia="uk-UA"/>
        </w:rPr>
        <w:t xml:space="preserve"> району та </w:t>
      </w:r>
      <w:proofErr w:type="spellStart"/>
      <w:r w:rsidRPr="00E95FB1">
        <w:rPr>
          <w:rFonts w:eastAsia="Arial"/>
          <w:lang w:eastAsia="uk-UA"/>
        </w:rPr>
        <w:t>Шульгінською</w:t>
      </w:r>
      <w:proofErr w:type="spellEnd"/>
      <w:r w:rsidRPr="00E95FB1">
        <w:rPr>
          <w:rFonts w:eastAsia="Arial"/>
          <w:lang w:eastAsia="uk-UA"/>
        </w:rPr>
        <w:t xml:space="preserve"> територіальною громадою Старобільського району Луганської області. </w:t>
      </w:r>
    </w:p>
    <w:p w:rsidR="00AC499C" w:rsidRDefault="00AC499C" w:rsidP="00AC499C">
      <w:pPr>
        <w:ind w:firstLine="720"/>
        <w:rPr>
          <w:rFonts w:eastAsia="Arial"/>
          <w:lang w:eastAsia="uk-UA"/>
        </w:rPr>
      </w:pPr>
    </w:p>
    <w:p w:rsidR="00AC499C" w:rsidRPr="00E95FB1" w:rsidRDefault="00AC499C" w:rsidP="00AC499C">
      <w:pPr>
        <w:ind w:firstLine="720"/>
        <w:rPr>
          <w:rFonts w:eastAsia="Arial"/>
          <w:lang w:eastAsia="uk-UA"/>
        </w:rPr>
      </w:pPr>
      <w:r w:rsidRPr="00E95FB1">
        <w:rPr>
          <w:rFonts w:eastAsia="Arial"/>
          <w:lang w:eastAsia="uk-UA"/>
        </w:rPr>
        <w:t>Громада знаходиться у чотирьох транспортних розв'язках. Через місто Сєвєродонецьк проходять такі траси: «Луганськ - Сєвєродонецьк», «Сєвєродонецьк - Старобільськ», «Сєвєродонецьк - Голубівка», «Сєвєродонецьк - Бахмут».</w:t>
      </w:r>
    </w:p>
    <w:p w:rsidR="00AC499C" w:rsidRDefault="00AC499C" w:rsidP="00AC499C">
      <w:pPr>
        <w:ind w:firstLine="720"/>
        <w:jc w:val="left"/>
        <w:rPr>
          <w:rFonts w:eastAsia="Calibri"/>
          <w:lang w:eastAsia="uk-UA"/>
        </w:rPr>
      </w:pPr>
    </w:p>
    <w:p w:rsidR="00AC499C" w:rsidRPr="00E95FB1" w:rsidRDefault="00AC499C" w:rsidP="002F1359">
      <w:pPr>
        <w:ind w:firstLine="720"/>
        <w:rPr>
          <w:rFonts w:eastAsia="Arial"/>
          <w:lang w:eastAsia="uk-UA"/>
        </w:rPr>
      </w:pPr>
      <w:r w:rsidRPr="00E95FB1">
        <w:rPr>
          <w:rFonts w:eastAsia="Calibri"/>
          <w:lang w:eastAsia="uk-UA"/>
        </w:rPr>
        <w:t>Відстань до найближчих залізничних станцій</w:t>
      </w:r>
      <w:r>
        <w:rPr>
          <w:rFonts w:eastAsia="Calibri"/>
          <w:lang w:eastAsia="uk-UA"/>
        </w:rPr>
        <w:t xml:space="preserve"> від адміністративного центру громади - міста Сєвєродонецьк</w:t>
      </w:r>
      <w:r w:rsidRPr="00E95FB1">
        <w:rPr>
          <w:rFonts w:eastAsia="Calibri"/>
          <w:lang w:eastAsia="uk-UA"/>
        </w:rPr>
        <w:t>: «Лисичанськ» - 10 км, «Рубіжне» - 5 км.</w:t>
      </w:r>
    </w:p>
    <w:p w:rsidR="00AC499C" w:rsidRDefault="00AC499C" w:rsidP="00AC499C">
      <w:pPr>
        <w:ind w:firstLine="720"/>
        <w:jc w:val="left"/>
        <w:rPr>
          <w:rFonts w:eastAsia="Calibri"/>
          <w:lang w:eastAsia="uk-UA"/>
        </w:rPr>
      </w:pPr>
    </w:p>
    <w:p w:rsidR="00AC499C" w:rsidRDefault="00AC499C" w:rsidP="007B5DCC">
      <w:pPr>
        <w:ind w:firstLine="720"/>
        <w:rPr>
          <w:rFonts w:eastAsia="Calibri"/>
          <w:lang w:eastAsia="uk-UA"/>
        </w:rPr>
      </w:pPr>
      <w:r w:rsidRPr="00E95FB1">
        <w:rPr>
          <w:rFonts w:eastAsia="Calibri"/>
          <w:lang w:eastAsia="uk-UA"/>
        </w:rPr>
        <w:t xml:space="preserve">Найближче </w:t>
      </w:r>
      <w:r>
        <w:rPr>
          <w:rFonts w:eastAsia="Calibri"/>
          <w:lang w:eastAsia="uk-UA"/>
        </w:rPr>
        <w:t xml:space="preserve">до Сєвєродонецька </w:t>
      </w:r>
      <w:r w:rsidRPr="00E95FB1">
        <w:rPr>
          <w:rFonts w:eastAsia="Calibri"/>
          <w:lang w:eastAsia="uk-UA"/>
        </w:rPr>
        <w:t xml:space="preserve">розташовані обласні центри – </w:t>
      </w:r>
      <w:proofErr w:type="spellStart"/>
      <w:r w:rsidR="003B2D33">
        <w:rPr>
          <w:rFonts w:eastAsia="Calibri"/>
          <w:lang w:eastAsia="uk-UA"/>
        </w:rPr>
        <w:t>м.</w:t>
      </w:r>
      <w:r>
        <w:rPr>
          <w:rFonts w:eastAsia="Calibri"/>
          <w:lang w:eastAsia="uk-UA"/>
        </w:rPr>
        <w:t>Луганськ</w:t>
      </w:r>
      <w:proofErr w:type="spellEnd"/>
      <w:r>
        <w:rPr>
          <w:rFonts w:eastAsia="Calibri"/>
          <w:lang w:eastAsia="uk-UA"/>
        </w:rPr>
        <w:t xml:space="preserve"> (</w:t>
      </w:r>
      <w:r w:rsidR="00673350">
        <w:rPr>
          <w:rFonts w:eastAsia="Calibri"/>
          <w:lang w:eastAsia="uk-UA"/>
        </w:rPr>
        <w:t xml:space="preserve">тимчасово </w:t>
      </w:r>
      <w:r>
        <w:rPr>
          <w:rFonts w:eastAsia="Calibri"/>
          <w:lang w:eastAsia="uk-UA"/>
        </w:rPr>
        <w:t xml:space="preserve">окупований з 2014 року), </w:t>
      </w:r>
      <w:proofErr w:type="spellStart"/>
      <w:r w:rsidR="003B2D33">
        <w:rPr>
          <w:rFonts w:eastAsia="Calibri"/>
          <w:lang w:eastAsia="uk-UA"/>
        </w:rPr>
        <w:t>м.</w:t>
      </w:r>
      <w:r>
        <w:rPr>
          <w:rFonts w:eastAsia="Calibri"/>
          <w:lang w:eastAsia="uk-UA"/>
        </w:rPr>
        <w:t>Донецьк</w:t>
      </w:r>
      <w:proofErr w:type="spellEnd"/>
      <w:r>
        <w:rPr>
          <w:rFonts w:eastAsia="Calibri"/>
          <w:lang w:eastAsia="uk-UA"/>
        </w:rPr>
        <w:t xml:space="preserve"> (</w:t>
      </w:r>
      <w:r w:rsidR="00673350">
        <w:rPr>
          <w:rFonts w:eastAsia="Calibri"/>
          <w:lang w:eastAsia="uk-UA"/>
        </w:rPr>
        <w:t xml:space="preserve">тимчасово </w:t>
      </w:r>
      <w:r>
        <w:rPr>
          <w:rFonts w:eastAsia="Calibri"/>
          <w:lang w:eastAsia="uk-UA"/>
        </w:rPr>
        <w:t xml:space="preserve">окупований з 2014 року), </w:t>
      </w:r>
      <w:r w:rsidRPr="00E95FB1">
        <w:rPr>
          <w:rFonts w:eastAsia="Calibri"/>
          <w:lang w:eastAsia="uk-UA"/>
        </w:rPr>
        <w:t xml:space="preserve">Харків, Дніпро, Запоріжжя. </w:t>
      </w:r>
    </w:p>
    <w:p w:rsidR="00AC499C" w:rsidRDefault="00AC499C" w:rsidP="00AC499C">
      <w:pPr>
        <w:ind w:firstLine="720"/>
        <w:jc w:val="left"/>
        <w:rPr>
          <w:rFonts w:eastAsia="Calibri"/>
          <w:lang w:eastAsia="uk-UA"/>
        </w:rPr>
      </w:pPr>
    </w:p>
    <w:p w:rsidR="00AC499C" w:rsidRDefault="0091600A" w:rsidP="00AC499C">
      <w:pPr>
        <w:jc w:val="left"/>
        <w:rPr>
          <w:sz w:val="24"/>
          <w:szCs w:val="24"/>
        </w:rPr>
      </w:pPr>
      <w:r>
        <w:rPr>
          <w:noProof/>
          <w:sz w:val="24"/>
          <w:szCs w:val="24"/>
          <w:lang w:val="ru-RU"/>
        </w:rPr>
        <mc:AlternateContent>
          <mc:Choice Requires="wps">
            <w:drawing>
              <wp:anchor distT="0" distB="0" distL="114300" distR="114300" simplePos="0" relativeHeight="251671552" behindDoc="0" locked="0" layoutInCell="1" allowOverlap="1">
                <wp:simplePos x="0" y="0"/>
                <wp:positionH relativeFrom="column">
                  <wp:posOffset>4223385</wp:posOffset>
                </wp:positionH>
                <wp:positionV relativeFrom="paragraph">
                  <wp:posOffset>1389380</wp:posOffset>
                </wp:positionV>
                <wp:extent cx="749300" cy="283210"/>
                <wp:effectExtent l="0" t="0" r="0" b="0"/>
                <wp:wrapNone/>
                <wp:docPr id="4"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904435">
                          <a:off x="0" y="0"/>
                          <a:ext cx="74930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86726" w:rsidRPr="00524DBF" w:rsidRDefault="00686726" w:rsidP="00524DBF">
                            <w:pPr>
                              <w:rPr>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37" o:spid="_x0000_s1026" type="#_x0000_t202" style="position:absolute;margin-left:332.55pt;margin-top:109.4pt;width:59pt;height:22.3pt;rotation:-987884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" filled="f" stroked="f" strokeweight=".5pt">
                <v:textbox>
                  <w:txbxContent>
                    <w:p w:rsidR="00686726" w:rsidRPr="00524DBF" w:rsidRDefault="00686726" w:rsidP="00524DBF">
                      <w:pPr>
                        <w:rPr>
                          <w:szCs w:val="18"/>
                        </w:rPr>
                      </w:pPr>
                    </w:p>
                  </w:txbxContent>
                </v:textbox>
              </v:shape>
            </w:pict>
          </mc:Fallback>
        </mc:AlternateContent>
      </w:r>
      <w:r w:rsidR="006D08A9">
        <w:rPr>
          <w:noProof/>
          <w:sz w:val="24"/>
          <w:szCs w:val="24"/>
          <w:lang w:eastAsia="uk-UA"/>
        </w:rPr>
        <w:drawing>
          <wp:inline distT="0" distB="0" distL="0" distR="0">
            <wp:extent cx="5652064" cy="3038475"/>
            <wp:effectExtent l="19050" t="0" r="5786" b="0"/>
            <wp:docPr id="7" name="Рисунок 6" descr="кар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png"/>
                    <pic:cNvPicPr/>
                  </pic:nvPicPr>
                  <pic:blipFill>
                    <a:blip r:embed="rId17" cstate="print"/>
                    <a:stretch>
                      <a:fillRect/>
                    </a:stretch>
                  </pic:blipFill>
                  <pic:spPr>
                    <a:xfrm>
                      <a:off x="0" y="0"/>
                      <a:ext cx="5652064" cy="3038475"/>
                    </a:xfrm>
                    <a:prstGeom prst="rect">
                      <a:avLst/>
                    </a:prstGeom>
                  </pic:spPr>
                </pic:pic>
              </a:graphicData>
            </a:graphic>
          </wp:inline>
        </w:drawing>
      </w:r>
    </w:p>
    <w:p w:rsidR="006A64AA" w:rsidRDefault="006A64AA" w:rsidP="00AC499C">
      <w:pPr>
        <w:jc w:val="left"/>
        <w:rPr>
          <w:sz w:val="24"/>
          <w:szCs w:val="24"/>
        </w:rPr>
      </w:pPr>
    </w:p>
    <w:p w:rsidR="00AC499C" w:rsidRDefault="00AC499C" w:rsidP="00AC499C">
      <w:pPr>
        <w:ind w:firstLine="720"/>
        <w:jc w:val="left"/>
        <w:rPr>
          <w:rFonts w:eastAsia="Calibri"/>
          <w:lang w:eastAsia="uk-UA"/>
        </w:rPr>
      </w:pPr>
      <w:r>
        <w:rPr>
          <w:rFonts w:eastAsia="Calibri"/>
          <w:lang w:eastAsia="uk-UA"/>
        </w:rPr>
        <w:t xml:space="preserve">Відстань від </w:t>
      </w:r>
      <w:r w:rsidR="006A64AA" w:rsidRPr="006A64AA">
        <w:rPr>
          <w:rFonts w:eastAsia="Calibri"/>
          <w:lang w:eastAsia="uk-UA"/>
        </w:rPr>
        <w:t>міста</w:t>
      </w:r>
      <w:r w:rsidR="006A64AA">
        <w:rPr>
          <w:rFonts w:eastAsia="Calibri"/>
          <w:lang w:eastAsia="uk-UA"/>
        </w:rPr>
        <w:t xml:space="preserve"> </w:t>
      </w:r>
      <w:r>
        <w:rPr>
          <w:rFonts w:eastAsia="Calibri"/>
          <w:lang w:eastAsia="uk-UA"/>
        </w:rPr>
        <w:t xml:space="preserve">Сєвєродонецька до </w:t>
      </w:r>
      <w:r w:rsidRPr="00E95FB1">
        <w:rPr>
          <w:rFonts w:eastAsia="Calibri"/>
        </w:rPr>
        <w:t>столиці України - міста Києва</w:t>
      </w:r>
      <w:r>
        <w:rPr>
          <w:rFonts w:eastAsia="Calibri"/>
        </w:rPr>
        <w:t xml:space="preserve"> – 750 км</w:t>
      </w:r>
      <w:r w:rsidR="00C85F46">
        <w:rPr>
          <w:rFonts w:eastAsia="Calibri"/>
        </w:rPr>
        <w:t>.</w:t>
      </w:r>
    </w:p>
    <w:p w:rsidR="00AC499C" w:rsidRDefault="00AC499C" w:rsidP="00AC499C">
      <w:pPr>
        <w:ind w:firstLine="720"/>
        <w:jc w:val="left"/>
        <w:rPr>
          <w:rFonts w:eastAsia="Calibri"/>
          <w:lang w:eastAsia="uk-UA"/>
        </w:rPr>
      </w:pPr>
    </w:p>
    <w:p w:rsidR="00AC499C" w:rsidRDefault="00AC499C" w:rsidP="0026628D">
      <w:pPr>
        <w:ind w:firstLine="720"/>
        <w:rPr>
          <w:rFonts w:eastAsia="Calibri"/>
          <w:lang w:eastAsia="uk-UA"/>
        </w:rPr>
      </w:pPr>
      <w:r w:rsidRPr="00E95FB1">
        <w:rPr>
          <w:rFonts w:eastAsia="Calibri"/>
          <w:lang w:eastAsia="uk-UA"/>
        </w:rPr>
        <w:t xml:space="preserve">З 2014 року після окупації РФ обласного центру </w:t>
      </w:r>
      <w:r w:rsidR="00CE490B">
        <w:rPr>
          <w:rFonts w:eastAsia="Calibri"/>
          <w:lang w:eastAsia="uk-UA"/>
        </w:rPr>
        <w:t xml:space="preserve">Луганської області </w:t>
      </w:r>
      <w:r w:rsidRPr="00E95FB1">
        <w:rPr>
          <w:rFonts w:eastAsia="Calibri"/>
          <w:lang w:eastAsia="uk-UA"/>
        </w:rPr>
        <w:t xml:space="preserve">- </w:t>
      </w:r>
      <w:proofErr w:type="spellStart"/>
      <w:r w:rsidRPr="00E95FB1">
        <w:rPr>
          <w:rFonts w:eastAsia="Calibri"/>
          <w:lang w:eastAsia="uk-UA"/>
        </w:rPr>
        <w:t>м.Луганськ</w:t>
      </w:r>
      <w:proofErr w:type="spellEnd"/>
      <w:r w:rsidRPr="00E95FB1">
        <w:rPr>
          <w:rFonts w:eastAsia="Calibri"/>
          <w:lang w:eastAsia="uk-UA"/>
        </w:rPr>
        <w:t xml:space="preserve"> функції адміністративного центру </w:t>
      </w:r>
      <w:r w:rsidRPr="00BC523C">
        <w:rPr>
          <w:rFonts w:eastAsia="Calibri"/>
          <w:lang w:eastAsia="uk-UA"/>
        </w:rPr>
        <w:t>було фактично покладено на м. Сєвєродонецьк</w:t>
      </w:r>
      <w:r w:rsidRPr="00E95FB1">
        <w:rPr>
          <w:rFonts w:eastAsia="Calibri"/>
          <w:lang w:eastAsia="uk-UA"/>
        </w:rPr>
        <w:t xml:space="preserve">. </w:t>
      </w:r>
      <w:r>
        <w:rPr>
          <w:rFonts w:eastAsia="Calibri"/>
          <w:lang w:eastAsia="uk-UA"/>
        </w:rPr>
        <w:t xml:space="preserve">На відстані 112 км </w:t>
      </w:r>
      <w:r w:rsidRPr="00E95FB1">
        <w:rPr>
          <w:rFonts w:eastAsia="Calibri"/>
          <w:lang w:eastAsia="uk-UA"/>
        </w:rPr>
        <w:t xml:space="preserve">знаходиться місто Краматорськ, яке </w:t>
      </w:r>
      <w:r>
        <w:rPr>
          <w:rFonts w:eastAsia="Calibri"/>
          <w:lang w:eastAsia="uk-UA"/>
        </w:rPr>
        <w:t xml:space="preserve">з 2014 року </w:t>
      </w:r>
      <w:r w:rsidRPr="00E95FB1">
        <w:rPr>
          <w:rFonts w:eastAsia="Calibri"/>
          <w:lang w:eastAsia="uk-UA"/>
        </w:rPr>
        <w:t>виконує функції адміністративного центру Донецької області.</w:t>
      </w:r>
    </w:p>
    <w:p w:rsidR="00AC499C" w:rsidRDefault="00AC499C" w:rsidP="00AC499C">
      <w:pPr>
        <w:rPr>
          <w:rFonts w:eastAsia="Calibri"/>
        </w:rPr>
      </w:pPr>
    </w:p>
    <w:p w:rsidR="00AC499C" w:rsidRPr="00E95FB1" w:rsidRDefault="00AC499C" w:rsidP="00AC499C">
      <w:pPr>
        <w:ind w:firstLine="720"/>
        <w:rPr>
          <w:rFonts w:eastAsia="Calibri"/>
        </w:rPr>
      </w:pPr>
      <w:r w:rsidRPr="00E95FB1">
        <w:rPr>
          <w:rFonts w:eastAsia="Calibri"/>
        </w:rPr>
        <w:t xml:space="preserve">В адміністративних межах </w:t>
      </w:r>
      <w:r w:rsidR="00331C96">
        <w:rPr>
          <w:rFonts w:eastAsia="Calibri"/>
        </w:rPr>
        <w:t>територіальної громади</w:t>
      </w:r>
      <w:r w:rsidRPr="00E95FB1">
        <w:rPr>
          <w:rFonts w:eastAsia="Calibri"/>
        </w:rPr>
        <w:t xml:space="preserve"> проходить залізнична магістраль Сватове - Попасна, а також автотраса Р- 66.</w:t>
      </w:r>
    </w:p>
    <w:p w:rsidR="00AC499C" w:rsidRDefault="00AC499C" w:rsidP="00AC499C">
      <w:pPr>
        <w:ind w:firstLine="720"/>
        <w:rPr>
          <w:rFonts w:eastAsia="Calibri"/>
        </w:rPr>
      </w:pPr>
    </w:p>
    <w:p w:rsidR="00AC499C" w:rsidRDefault="00AC499C" w:rsidP="00AC499C">
      <w:pPr>
        <w:ind w:firstLine="720"/>
        <w:rPr>
          <w:rFonts w:eastAsia="Calibri"/>
        </w:rPr>
      </w:pPr>
      <w:r w:rsidRPr="00E95FB1">
        <w:rPr>
          <w:rFonts w:eastAsia="Calibri"/>
        </w:rPr>
        <w:t>Площа міста Сєвєродонецька складає 42,1 км</w:t>
      </w:r>
      <w:r w:rsidRPr="00E95FB1">
        <w:rPr>
          <w:rFonts w:eastAsia="Calibri"/>
          <w:vertAlign w:val="superscript"/>
        </w:rPr>
        <w:t>2,</w:t>
      </w:r>
      <w:r w:rsidRPr="00E95FB1">
        <w:rPr>
          <w:shd w:val="clear" w:color="auto" w:fill="FFFFFF"/>
        </w:rPr>
        <w:t>.</w:t>
      </w:r>
      <w:r w:rsidRPr="00E95FB1">
        <w:rPr>
          <w:rFonts w:eastAsia="Calibri"/>
        </w:rPr>
        <w:t xml:space="preserve"> Довжина зі сходу на захід - 12 км, з півночі на південь - 10 км. </w:t>
      </w:r>
    </w:p>
    <w:p w:rsidR="00AC499C" w:rsidRPr="00E95FB1" w:rsidRDefault="00AC499C" w:rsidP="00AC499C">
      <w:pPr>
        <w:ind w:firstLine="720"/>
        <w:rPr>
          <w:rFonts w:eastAsia="Calibri"/>
        </w:rPr>
      </w:pPr>
    </w:p>
    <w:p w:rsidR="00AC499C" w:rsidRDefault="00AC499C" w:rsidP="00AC499C">
      <w:pPr>
        <w:ind w:firstLine="720"/>
        <w:rPr>
          <w:rFonts w:eastAsia="Calibri"/>
          <w:color w:val="000000"/>
        </w:rPr>
      </w:pPr>
      <w:r w:rsidRPr="00E95FB1">
        <w:rPr>
          <w:rFonts w:eastAsia="Calibri"/>
          <w:color w:val="000000"/>
        </w:rPr>
        <w:t xml:space="preserve">Місто Сєвєродонецьк належить до </w:t>
      </w:r>
      <w:proofErr w:type="spellStart"/>
      <w:r w:rsidRPr="00E95FB1">
        <w:rPr>
          <w:rFonts w:eastAsia="Calibri"/>
          <w:color w:val="000000"/>
        </w:rPr>
        <w:t>Сєвєродонецько</w:t>
      </w:r>
      <w:proofErr w:type="spellEnd"/>
      <w:r w:rsidRPr="00E95FB1">
        <w:rPr>
          <w:rFonts w:eastAsia="Calibri"/>
          <w:color w:val="000000"/>
        </w:rPr>
        <w:t>-Лисичанської агломерації.</w:t>
      </w:r>
      <w:r>
        <w:rPr>
          <w:rFonts w:eastAsia="Calibri"/>
          <w:color w:val="000000"/>
        </w:rPr>
        <w:t xml:space="preserve"> </w:t>
      </w:r>
      <w:r w:rsidRPr="00E95FB1">
        <w:rPr>
          <w:rFonts w:eastAsia="Calibri"/>
          <w:color w:val="000000"/>
        </w:rPr>
        <w:t>Це поліцентрична </w:t>
      </w:r>
      <w:hyperlink r:id="rId18" w:tooltip="Агломерація міська" w:history="1">
        <w:r w:rsidRPr="00E95FB1">
          <w:rPr>
            <w:rFonts w:eastAsia="Calibri"/>
            <w:color w:val="000000"/>
          </w:rPr>
          <w:t>агломерація</w:t>
        </w:r>
      </w:hyperlink>
      <w:r w:rsidRPr="00E95FB1">
        <w:rPr>
          <w:rFonts w:eastAsia="Calibri"/>
          <w:color w:val="000000"/>
        </w:rPr>
        <w:t>, розташована на берегах річки </w:t>
      </w:r>
      <w:hyperlink r:id="rId19" w:tooltip="Сіверський Донець" w:history="1">
        <w:r w:rsidRPr="00E95FB1">
          <w:rPr>
            <w:rFonts w:eastAsia="Calibri"/>
            <w:color w:val="000000"/>
          </w:rPr>
          <w:t>Сіверський Донець</w:t>
        </w:r>
      </w:hyperlink>
      <w:r w:rsidRPr="00E95FB1">
        <w:rPr>
          <w:rFonts w:eastAsia="Calibri"/>
          <w:color w:val="000000"/>
        </w:rPr>
        <w:t> у західній частині </w:t>
      </w:r>
      <w:hyperlink r:id="rId20" w:tooltip="Луганська область" w:history="1">
        <w:r w:rsidRPr="00E95FB1">
          <w:rPr>
            <w:rFonts w:eastAsia="Calibri"/>
            <w:color w:val="000000"/>
          </w:rPr>
          <w:t>Луганської області</w:t>
        </w:r>
      </w:hyperlink>
      <w:r w:rsidRPr="00E95FB1">
        <w:rPr>
          <w:rFonts w:eastAsia="Calibri"/>
          <w:color w:val="000000"/>
        </w:rPr>
        <w:t> </w:t>
      </w:r>
      <w:hyperlink r:id="rId21" w:tooltip="Україна" w:history="1">
        <w:r w:rsidRPr="00E95FB1">
          <w:rPr>
            <w:rFonts w:eastAsia="Calibri"/>
            <w:color w:val="000000"/>
          </w:rPr>
          <w:t>України</w:t>
        </w:r>
      </w:hyperlink>
      <w:r w:rsidRPr="00E95FB1">
        <w:rPr>
          <w:rFonts w:eastAsia="Calibri"/>
          <w:color w:val="000000"/>
        </w:rPr>
        <w:t>. Вона складається з міст-</w:t>
      </w:r>
      <w:proofErr w:type="spellStart"/>
      <w:r w:rsidRPr="00E95FB1">
        <w:rPr>
          <w:rFonts w:eastAsia="Calibri"/>
          <w:color w:val="000000"/>
        </w:rPr>
        <w:t>ядер</w:t>
      </w:r>
      <w:proofErr w:type="spellEnd"/>
      <w:r w:rsidRPr="00E95FB1">
        <w:rPr>
          <w:rFonts w:eastAsia="Calibri"/>
          <w:color w:val="000000"/>
        </w:rPr>
        <w:t> </w:t>
      </w:r>
      <w:hyperlink r:id="rId22" w:tooltip="Сєвєродонецьк" w:history="1">
        <w:r w:rsidRPr="00E95FB1">
          <w:rPr>
            <w:rFonts w:eastAsia="Calibri"/>
            <w:color w:val="000000"/>
          </w:rPr>
          <w:t>Сєвєродонецька</w:t>
        </w:r>
      </w:hyperlink>
      <w:r w:rsidRPr="00E95FB1">
        <w:rPr>
          <w:rFonts w:eastAsia="Calibri"/>
          <w:color w:val="000000"/>
        </w:rPr>
        <w:t>, </w:t>
      </w:r>
      <w:hyperlink r:id="rId23" w:tooltip="Лисичанськ" w:history="1">
        <w:r w:rsidRPr="00E95FB1">
          <w:rPr>
            <w:rFonts w:eastAsia="Calibri"/>
            <w:color w:val="000000"/>
          </w:rPr>
          <w:t>Лисичанська</w:t>
        </w:r>
      </w:hyperlink>
      <w:r w:rsidRPr="00E95FB1">
        <w:rPr>
          <w:rFonts w:eastAsia="Calibri"/>
          <w:color w:val="000000"/>
        </w:rPr>
        <w:t>, </w:t>
      </w:r>
      <w:hyperlink r:id="rId24" w:tooltip="Рубіжне" w:history="1">
        <w:r w:rsidRPr="00E95FB1">
          <w:rPr>
            <w:rFonts w:eastAsia="Calibri"/>
            <w:color w:val="000000"/>
          </w:rPr>
          <w:t>Рубіжного</w:t>
        </w:r>
      </w:hyperlink>
      <w:r w:rsidRPr="00E95FB1">
        <w:rPr>
          <w:rFonts w:eastAsia="Calibri"/>
          <w:color w:val="000000"/>
        </w:rPr>
        <w:t> та приміської зони тяжіння з низки містечок і селищ.</w:t>
      </w:r>
    </w:p>
    <w:p w:rsidR="00AC499C" w:rsidRDefault="00AC499C" w:rsidP="00AC499C">
      <w:pPr>
        <w:rPr>
          <w:rFonts w:eastAsia="Calibri"/>
          <w:color w:val="000000"/>
        </w:rPr>
      </w:pPr>
    </w:p>
    <w:p w:rsidR="00AC499C" w:rsidRDefault="00AC499C" w:rsidP="00AC499C">
      <w:pPr>
        <w:ind w:firstLine="720"/>
        <w:rPr>
          <w:rFonts w:eastAsia="Calibri"/>
          <w:color w:val="000000"/>
        </w:rPr>
      </w:pPr>
      <w:r w:rsidRPr="00C438AC">
        <w:rPr>
          <w:rFonts w:eastAsia="Calibri"/>
          <w:color w:val="000000"/>
        </w:rPr>
        <w:t xml:space="preserve">Клімат – </w:t>
      </w:r>
      <w:proofErr w:type="spellStart"/>
      <w:r w:rsidRPr="00C438AC">
        <w:rPr>
          <w:rFonts w:eastAsia="Calibri"/>
          <w:color w:val="000000"/>
        </w:rPr>
        <w:t>помірно</w:t>
      </w:r>
      <w:proofErr w:type="spellEnd"/>
      <w:r w:rsidRPr="00C438AC">
        <w:rPr>
          <w:rFonts w:eastAsia="Calibri"/>
          <w:color w:val="000000"/>
        </w:rPr>
        <w:t>-континентальн</w:t>
      </w:r>
      <w:r w:rsidR="00392A86">
        <w:rPr>
          <w:rFonts w:eastAsia="Calibri"/>
          <w:color w:val="000000"/>
        </w:rPr>
        <w:t>е</w:t>
      </w:r>
      <w:r w:rsidRPr="00C438AC">
        <w:rPr>
          <w:rFonts w:eastAsia="Calibri"/>
          <w:color w:val="000000"/>
        </w:rPr>
        <w:t xml:space="preserve"> з відносно нетривало</w:t>
      </w:r>
      <w:r w:rsidR="0099224B">
        <w:rPr>
          <w:rFonts w:eastAsia="Calibri"/>
          <w:color w:val="000000"/>
        </w:rPr>
        <w:t>ю</w:t>
      </w:r>
      <w:r w:rsidRPr="00C438AC">
        <w:rPr>
          <w:rFonts w:eastAsia="Calibri"/>
          <w:color w:val="000000"/>
        </w:rPr>
        <w:t xml:space="preserve"> холодною зимою і дуже жарким літом. Середня температура влітку: + 24 ... + 30 ° C. </w:t>
      </w:r>
      <w:r w:rsidR="008E7F98">
        <w:rPr>
          <w:rFonts w:eastAsia="Calibri"/>
          <w:color w:val="000000"/>
        </w:rPr>
        <w:t xml:space="preserve">Найбільш </w:t>
      </w:r>
      <w:r w:rsidRPr="00C438AC">
        <w:rPr>
          <w:rFonts w:eastAsia="Calibri"/>
          <w:color w:val="000000"/>
        </w:rPr>
        <w:t xml:space="preserve">спекотна погода – в середині липня. Червень - </w:t>
      </w:r>
      <w:proofErr w:type="spellStart"/>
      <w:r w:rsidR="00E81B69">
        <w:rPr>
          <w:rFonts w:eastAsia="Calibri"/>
          <w:color w:val="000000"/>
        </w:rPr>
        <w:t>найвітряніший</w:t>
      </w:r>
      <w:proofErr w:type="spellEnd"/>
      <w:r w:rsidR="00E81B69" w:rsidRPr="00C438AC">
        <w:rPr>
          <w:rFonts w:eastAsia="Calibri"/>
          <w:color w:val="000000"/>
        </w:rPr>
        <w:t xml:space="preserve"> </w:t>
      </w:r>
      <w:r w:rsidRPr="00C438AC">
        <w:rPr>
          <w:rFonts w:eastAsia="Calibri"/>
          <w:color w:val="000000"/>
        </w:rPr>
        <w:t xml:space="preserve">місяць. Повітря </w:t>
      </w:r>
      <w:r w:rsidR="004E7289">
        <w:rPr>
          <w:rFonts w:eastAsia="Calibri"/>
          <w:color w:val="000000"/>
        </w:rPr>
        <w:t>в цей період</w:t>
      </w:r>
      <w:r w:rsidR="004E7289" w:rsidRPr="00C438AC">
        <w:rPr>
          <w:rFonts w:eastAsia="Calibri"/>
          <w:color w:val="000000"/>
        </w:rPr>
        <w:t xml:space="preserve"> </w:t>
      </w:r>
      <w:r w:rsidRPr="00C438AC">
        <w:rPr>
          <w:rFonts w:eastAsia="Calibri"/>
          <w:color w:val="000000"/>
        </w:rPr>
        <w:t xml:space="preserve">прогрівається до + 36 ... + 40 ° C. Восени погода прохолодна і волога. Можливі ранні заморозки. Зима, як правило, починається в грудні. Середня температура </w:t>
      </w:r>
      <w:r w:rsidR="001F0365">
        <w:rPr>
          <w:rFonts w:eastAsia="Calibri"/>
          <w:color w:val="000000"/>
        </w:rPr>
        <w:t>взимку</w:t>
      </w:r>
      <w:r w:rsidRPr="00C438AC">
        <w:rPr>
          <w:rFonts w:eastAsia="Calibri"/>
          <w:color w:val="000000"/>
        </w:rPr>
        <w:t xml:space="preserve">: -2 ... -4 ° C. </w:t>
      </w:r>
      <w:r w:rsidR="00991419">
        <w:rPr>
          <w:rFonts w:eastAsia="Calibri"/>
          <w:color w:val="000000"/>
        </w:rPr>
        <w:t>Найхолодніший</w:t>
      </w:r>
      <w:r w:rsidRPr="00C438AC">
        <w:rPr>
          <w:rFonts w:eastAsia="Calibri"/>
          <w:color w:val="000000"/>
        </w:rPr>
        <w:t xml:space="preserve"> місяць - січень. Весна прохолодна і волога, грозові дощі йдуть в травні. Найтепліший місяць – липень (</w:t>
      </w:r>
      <w:r w:rsidR="00CA499E">
        <w:rPr>
          <w:rFonts w:eastAsia="Calibri"/>
          <w:color w:val="000000"/>
        </w:rPr>
        <w:t>+</w:t>
      </w:r>
      <w:r w:rsidRPr="00C438AC">
        <w:rPr>
          <w:rFonts w:eastAsia="Calibri"/>
          <w:color w:val="000000"/>
        </w:rPr>
        <w:t xml:space="preserve"> </w:t>
      </w:r>
      <w:r w:rsidR="00C85F46">
        <w:rPr>
          <w:rFonts w:eastAsia="Calibri"/>
          <w:color w:val="000000"/>
        </w:rPr>
        <w:t>30</w:t>
      </w:r>
      <w:r w:rsidRPr="00C438AC">
        <w:rPr>
          <w:rFonts w:eastAsia="Calibri"/>
          <w:color w:val="000000"/>
        </w:rPr>
        <w:t xml:space="preserve">.3 ° C). </w:t>
      </w:r>
      <w:r w:rsidR="00A313FC">
        <w:rPr>
          <w:rFonts w:eastAsia="Calibri"/>
          <w:color w:val="000000"/>
        </w:rPr>
        <w:t>В цей період х</w:t>
      </w:r>
      <w:r w:rsidRPr="00C438AC">
        <w:rPr>
          <w:rFonts w:eastAsia="Calibri"/>
          <w:color w:val="000000"/>
        </w:rPr>
        <w:t xml:space="preserve">арактерні східні та західні вітри. Кількість опадів на рік </w:t>
      </w:r>
      <w:r w:rsidR="003238D8">
        <w:rPr>
          <w:rFonts w:eastAsia="Calibri"/>
          <w:color w:val="000000"/>
        </w:rPr>
        <w:t xml:space="preserve">- </w:t>
      </w:r>
      <w:r w:rsidRPr="00C438AC">
        <w:rPr>
          <w:rFonts w:eastAsia="Calibri"/>
          <w:color w:val="000000"/>
        </w:rPr>
        <w:t xml:space="preserve">453 мм. Тривалість опалювального сезону </w:t>
      </w:r>
      <w:r w:rsidR="003238D8">
        <w:rPr>
          <w:rFonts w:eastAsia="Calibri"/>
          <w:color w:val="000000"/>
        </w:rPr>
        <w:t xml:space="preserve">- </w:t>
      </w:r>
      <w:r w:rsidRPr="00C438AC">
        <w:rPr>
          <w:rFonts w:eastAsia="Calibri"/>
          <w:color w:val="000000"/>
        </w:rPr>
        <w:t xml:space="preserve">180 днів на рік. Максимальна глибина промерзання ґрунту </w:t>
      </w:r>
      <w:r w:rsidR="003238D8">
        <w:rPr>
          <w:rFonts w:eastAsia="Calibri"/>
          <w:color w:val="000000"/>
        </w:rPr>
        <w:t xml:space="preserve">- </w:t>
      </w:r>
      <w:r w:rsidRPr="00C438AC">
        <w:rPr>
          <w:rFonts w:eastAsia="Calibri"/>
          <w:color w:val="000000"/>
        </w:rPr>
        <w:t>100 см</w:t>
      </w:r>
      <w:r w:rsidR="003238D8">
        <w:rPr>
          <w:rFonts w:eastAsia="Calibri"/>
          <w:color w:val="000000"/>
        </w:rPr>
        <w:t>.</w:t>
      </w:r>
    </w:p>
    <w:p w:rsidR="00AC499C" w:rsidRDefault="00AC499C" w:rsidP="00AC499C">
      <w:pPr>
        <w:ind w:firstLine="720"/>
        <w:rPr>
          <w:rFonts w:eastAsia="Calibri"/>
          <w:color w:val="000000"/>
        </w:rPr>
      </w:pPr>
    </w:p>
    <w:p w:rsidR="00AC499C" w:rsidRPr="00670B6C" w:rsidRDefault="00392A86" w:rsidP="00AC499C">
      <w:pPr>
        <w:ind w:firstLine="709"/>
        <w:rPr>
          <w:rFonts w:eastAsia="Calibri"/>
        </w:rPr>
      </w:pPr>
      <w:r>
        <w:rPr>
          <w:rFonts w:eastAsia="Calibri"/>
        </w:rPr>
        <w:t xml:space="preserve">Місто </w:t>
      </w:r>
      <w:r w:rsidR="00AC499C" w:rsidRPr="00670B6C">
        <w:rPr>
          <w:rFonts w:eastAsia="Calibri"/>
        </w:rPr>
        <w:t>Сєвєродонецьк розташований на лівому березі річки Сіверський Донець і її притоки Борової.</w:t>
      </w:r>
      <w:r w:rsidR="00AC499C" w:rsidRPr="00670B6C">
        <w:rPr>
          <w:rFonts w:eastAsia="Calibri"/>
          <w:color w:val="000000"/>
        </w:rPr>
        <w:t xml:space="preserve"> На території громади розташовані штучні та природні озера: Паркове, Чисте, Велике Глибоке, Молочне, Клешня, Кривеньке, </w:t>
      </w:r>
      <w:proofErr w:type="spellStart"/>
      <w:r w:rsidR="00AC499C" w:rsidRPr="00670B6C">
        <w:rPr>
          <w:rFonts w:eastAsia="Calibri"/>
          <w:color w:val="000000"/>
        </w:rPr>
        <w:t>Зімовне</w:t>
      </w:r>
      <w:proofErr w:type="spellEnd"/>
      <w:r w:rsidR="00AC499C" w:rsidRPr="00670B6C">
        <w:rPr>
          <w:rFonts w:eastAsia="Calibri"/>
          <w:color w:val="000000"/>
        </w:rPr>
        <w:t xml:space="preserve">, Піщане, Туба, Боброве. </w:t>
      </w:r>
      <w:r w:rsidR="00AC499C" w:rsidRPr="00670B6C">
        <w:rPr>
          <w:rFonts w:eastAsia="Calibri"/>
        </w:rPr>
        <w:t>Вони мають потенційн</w:t>
      </w:r>
      <w:r w:rsidR="00D17A07">
        <w:rPr>
          <w:rFonts w:eastAsia="Calibri"/>
        </w:rPr>
        <w:t>о</w:t>
      </w:r>
      <w:r w:rsidR="00AC499C" w:rsidRPr="00670B6C">
        <w:rPr>
          <w:rFonts w:eastAsia="Calibri"/>
        </w:rPr>
        <w:t xml:space="preserve"> велике рекреаційне значення для громади.</w:t>
      </w:r>
    </w:p>
    <w:p w:rsidR="00AC499C" w:rsidRPr="00642277" w:rsidRDefault="00AC499C" w:rsidP="00AC499C">
      <w:pPr>
        <w:ind w:firstLine="720"/>
        <w:rPr>
          <w:rFonts w:eastAsia="Calibri"/>
          <w:color w:val="000000"/>
          <w:lang w:val="ru-RU"/>
        </w:rPr>
      </w:pPr>
    </w:p>
    <w:p w:rsidR="00AC499C" w:rsidRDefault="00AC499C" w:rsidP="00AC499C">
      <w:pPr>
        <w:ind w:firstLine="720"/>
        <w:rPr>
          <w:rFonts w:eastAsia="Calibri"/>
          <w:b/>
          <w:bCs/>
          <w:color w:val="002060"/>
        </w:rPr>
      </w:pPr>
      <w:r w:rsidRPr="00E95FB1">
        <w:rPr>
          <w:rFonts w:eastAsia="Calibri"/>
          <w:b/>
          <w:bCs/>
          <w:color w:val="002060"/>
        </w:rPr>
        <w:t>Природні ресурси:</w:t>
      </w:r>
    </w:p>
    <w:p w:rsidR="00AC499C" w:rsidRDefault="00AC499C" w:rsidP="00AC499C">
      <w:pPr>
        <w:ind w:firstLine="720"/>
        <w:rPr>
          <w:rFonts w:eastAsia="Calibri"/>
          <w:b/>
          <w:bCs/>
          <w:color w:val="002060"/>
        </w:rPr>
      </w:pPr>
    </w:p>
    <w:p w:rsidR="00AC499C" w:rsidRPr="007C5395" w:rsidRDefault="00AC499C" w:rsidP="000303D7">
      <w:pPr>
        <w:pStyle w:val="a7"/>
        <w:numPr>
          <w:ilvl w:val="0"/>
          <w:numId w:val="8"/>
        </w:numPr>
        <w:rPr>
          <w:rFonts w:eastAsia="Calibri"/>
          <w:u w:val="single"/>
          <w:lang w:eastAsia="uk-UA"/>
        </w:rPr>
      </w:pPr>
      <w:r w:rsidRPr="007C5395">
        <w:rPr>
          <w:rFonts w:eastAsia="Calibri"/>
          <w:u w:val="single"/>
          <w:lang w:eastAsia="uk-UA"/>
        </w:rPr>
        <w:t>Земельні ресурси:</w:t>
      </w:r>
    </w:p>
    <w:p w:rsidR="00AC499C" w:rsidRDefault="00AC499C" w:rsidP="00AC499C">
      <w:pPr>
        <w:ind w:firstLine="720"/>
        <w:rPr>
          <w:rFonts w:eastAsia="Calibri"/>
          <w:b/>
        </w:rPr>
      </w:pPr>
    </w:p>
    <w:p w:rsidR="00AC499C" w:rsidRPr="00E95FB1" w:rsidRDefault="00AC499C" w:rsidP="00AC499C">
      <w:pPr>
        <w:ind w:firstLine="720"/>
        <w:rPr>
          <w:rFonts w:eastAsia="Calibri"/>
          <w:b/>
        </w:rPr>
      </w:pPr>
      <w:r w:rsidRPr="00E95FB1">
        <w:rPr>
          <w:rFonts w:eastAsia="Calibri"/>
          <w:b/>
        </w:rPr>
        <w:t xml:space="preserve">Площа громади – 712,8 </w:t>
      </w:r>
      <w:proofErr w:type="spellStart"/>
      <w:r w:rsidRPr="00E95FB1">
        <w:rPr>
          <w:rFonts w:eastAsia="Calibri"/>
          <w:b/>
        </w:rPr>
        <w:t>кв</w:t>
      </w:r>
      <w:proofErr w:type="spellEnd"/>
      <w:r w:rsidRPr="00E95FB1">
        <w:rPr>
          <w:rFonts w:eastAsia="Calibri"/>
          <w:b/>
        </w:rPr>
        <w:t>.</w:t>
      </w:r>
      <w:r>
        <w:rPr>
          <w:rFonts w:eastAsia="Calibri"/>
          <w:b/>
        </w:rPr>
        <w:t xml:space="preserve"> </w:t>
      </w:r>
      <w:r w:rsidRPr="00E95FB1">
        <w:rPr>
          <w:rFonts w:eastAsia="Calibri"/>
          <w:b/>
        </w:rPr>
        <w:t xml:space="preserve">км. </w:t>
      </w:r>
    </w:p>
    <w:p w:rsidR="00AC499C" w:rsidRDefault="00AC499C" w:rsidP="00AC499C">
      <w:pPr>
        <w:ind w:firstLine="720"/>
        <w:rPr>
          <w:rFonts w:eastAsia="Calibri"/>
        </w:rPr>
      </w:pPr>
    </w:p>
    <w:p w:rsidR="00AC499C" w:rsidRDefault="00AC499C" w:rsidP="00AC499C">
      <w:pPr>
        <w:ind w:firstLine="720"/>
        <w:rPr>
          <w:rFonts w:eastAsia="Calibri"/>
        </w:rPr>
      </w:pPr>
      <w:r w:rsidRPr="00E95FB1">
        <w:rPr>
          <w:rFonts w:eastAsia="Calibri"/>
        </w:rPr>
        <w:lastRenderedPageBreak/>
        <w:t xml:space="preserve">Площа сільськогосподарських угідь складає </w:t>
      </w:r>
      <w:r w:rsidRPr="001F6E62">
        <w:rPr>
          <w:rFonts w:eastAsia="Calibri"/>
        </w:rPr>
        <w:t>23340,28 га.</w:t>
      </w:r>
      <w:r w:rsidRPr="00E95FB1">
        <w:rPr>
          <w:rFonts w:eastAsia="Calibri"/>
        </w:rPr>
        <w:t xml:space="preserve"> </w:t>
      </w:r>
    </w:p>
    <w:p w:rsidR="00AC499C" w:rsidRDefault="00AC499C" w:rsidP="00AC499C">
      <w:pPr>
        <w:ind w:firstLine="720"/>
        <w:rPr>
          <w:rFonts w:eastAsia="Calibri"/>
        </w:rPr>
      </w:pPr>
      <w:r w:rsidRPr="00E95FB1">
        <w:rPr>
          <w:rFonts w:eastAsia="Calibri"/>
        </w:rPr>
        <w:t xml:space="preserve">Землі сільськогосподарського призначення дорівнюють 27248,17 га. </w:t>
      </w:r>
    </w:p>
    <w:p w:rsidR="00AC499C" w:rsidRPr="00E95FB1" w:rsidRDefault="00AC499C" w:rsidP="00AC499C">
      <w:pPr>
        <w:ind w:firstLine="720"/>
        <w:rPr>
          <w:rFonts w:eastAsia="Calibri"/>
        </w:rPr>
      </w:pPr>
      <w:r w:rsidRPr="00E95FB1">
        <w:rPr>
          <w:rFonts w:eastAsia="Calibri"/>
        </w:rPr>
        <w:t>Землі водного фонду складають 235,91 га.</w:t>
      </w:r>
    </w:p>
    <w:p w:rsidR="00AC499C" w:rsidRDefault="00AC499C" w:rsidP="00AC499C">
      <w:pPr>
        <w:ind w:firstLine="720"/>
        <w:rPr>
          <w:rFonts w:eastAsia="Arial"/>
          <w:lang w:eastAsia="uk-UA"/>
        </w:rPr>
      </w:pPr>
    </w:p>
    <w:p w:rsidR="00AC499C" w:rsidRPr="00E95FB1" w:rsidRDefault="00AC499C" w:rsidP="00AC499C">
      <w:pPr>
        <w:ind w:firstLine="720"/>
        <w:rPr>
          <w:rFonts w:eastAsia="Arial"/>
          <w:lang w:eastAsia="uk-UA"/>
        </w:rPr>
      </w:pPr>
    </w:p>
    <w:tbl>
      <w:tblPr>
        <w:tblW w:w="9781"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701"/>
        <w:gridCol w:w="1560"/>
        <w:gridCol w:w="1134"/>
        <w:gridCol w:w="1275"/>
        <w:gridCol w:w="1418"/>
        <w:gridCol w:w="1417"/>
        <w:gridCol w:w="1276"/>
      </w:tblGrid>
      <w:tr w:rsidR="00AC499C" w:rsidRPr="001F6E62" w:rsidTr="00BF0329">
        <w:trPr>
          <w:trHeight w:val="567"/>
        </w:trPr>
        <w:tc>
          <w:tcPr>
            <w:tcW w:w="1701" w:type="dxa"/>
            <w:vMerge w:val="restart"/>
            <w:shd w:val="clear" w:color="auto" w:fill="auto"/>
            <w:vAlign w:val="center"/>
          </w:tcPr>
          <w:p w:rsidR="00AC499C" w:rsidRPr="001F6E62" w:rsidRDefault="00AC499C" w:rsidP="00524DBF">
            <w:pPr>
              <w:jc w:val="center"/>
              <w:rPr>
                <w:rFonts w:eastAsia="Calibri"/>
                <w:b/>
                <w:sz w:val="20"/>
                <w:szCs w:val="20"/>
              </w:rPr>
            </w:pPr>
            <w:r w:rsidRPr="001F6E62">
              <w:rPr>
                <w:rFonts w:eastAsia="Calibri"/>
                <w:b/>
                <w:sz w:val="20"/>
                <w:szCs w:val="20"/>
              </w:rPr>
              <w:t>Власники землі,  землекористувачі та землі державної власності, не надані у власність або користування</w:t>
            </w:r>
          </w:p>
        </w:tc>
        <w:tc>
          <w:tcPr>
            <w:tcW w:w="1560" w:type="dxa"/>
            <w:vMerge w:val="restart"/>
            <w:shd w:val="clear" w:color="auto" w:fill="auto"/>
            <w:vAlign w:val="center"/>
          </w:tcPr>
          <w:p w:rsidR="00AC499C" w:rsidRPr="001F6E62" w:rsidRDefault="00AC499C" w:rsidP="00524DBF">
            <w:pPr>
              <w:jc w:val="center"/>
              <w:rPr>
                <w:rFonts w:eastAsia="Calibri"/>
                <w:b/>
                <w:bCs/>
                <w:sz w:val="20"/>
                <w:szCs w:val="20"/>
              </w:rPr>
            </w:pPr>
            <w:r w:rsidRPr="001F6E62">
              <w:rPr>
                <w:rFonts w:eastAsia="Calibri"/>
                <w:b/>
                <w:bCs/>
                <w:sz w:val="20"/>
                <w:szCs w:val="20"/>
              </w:rPr>
              <w:t>Сєвєродонецька міська  територіальна громада</w:t>
            </w:r>
            <w:r w:rsidR="00801C04">
              <w:rPr>
                <w:rFonts w:eastAsia="Calibri"/>
                <w:b/>
                <w:bCs/>
                <w:sz w:val="20"/>
                <w:szCs w:val="20"/>
              </w:rPr>
              <w:t>*</w:t>
            </w:r>
          </w:p>
        </w:tc>
        <w:tc>
          <w:tcPr>
            <w:tcW w:w="6520" w:type="dxa"/>
            <w:gridSpan w:val="5"/>
            <w:shd w:val="clear" w:color="auto" w:fill="auto"/>
            <w:vAlign w:val="center"/>
          </w:tcPr>
          <w:p w:rsidR="00AC499C" w:rsidRPr="001F6E62" w:rsidRDefault="00AC499C" w:rsidP="00524DBF">
            <w:pPr>
              <w:ind w:firstLine="720"/>
              <w:jc w:val="center"/>
              <w:rPr>
                <w:rFonts w:eastAsia="Calibri"/>
                <w:b/>
                <w:bCs/>
                <w:sz w:val="20"/>
                <w:szCs w:val="20"/>
              </w:rPr>
            </w:pPr>
            <w:proofErr w:type="spellStart"/>
            <w:r w:rsidRPr="001F6E62">
              <w:rPr>
                <w:rFonts w:eastAsia="Calibri"/>
                <w:b/>
                <w:bCs/>
                <w:sz w:val="20"/>
                <w:szCs w:val="20"/>
              </w:rPr>
              <w:t>Старостинські</w:t>
            </w:r>
            <w:proofErr w:type="spellEnd"/>
            <w:r w:rsidRPr="001F6E62">
              <w:rPr>
                <w:rFonts w:eastAsia="Calibri"/>
                <w:b/>
                <w:bCs/>
                <w:sz w:val="20"/>
                <w:szCs w:val="20"/>
              </w:rPr>
              <w:t xml:space="preserve"> округи</w:t>
            </w:r>
          </w:p>
        </w:tc>
      </w:tr>
      <w:tr w:rsidR="00AC499C" w:rsidRPr="001F6E62" w:rsidTr="00BF0329">
        <w:trPr>
          <w:trHeight w:val="65"/>
        </w:trPr>
        <w:tc>
          <w:tcPr>
            <w:tcW w:w="1701" w:type="dxa"/>
            <w:vMerge/>
            <w:shd w:val="clear" w:color="auto" w:fill="auto"/>
            <w:vAlign w:val="center"/>
            <w:hideMark/>
          </w:tcPr>
          <w:p w:rsidR="00AC499C" w:rsidRPr="001F6E62" w:rsidRDefault="00AC499C" w:rsidP="00524DBF">
            <w:pPr>
              <w:jc w:val="center"/>
              <w:rPr>
                <w:rFonts w:eastAsia="Calibri"/>
                <w:b/>
                <w:sz w:val="20"/>
                <w:szCs w:val="20"/>
              </w:rPr>
            </w:pPr>
          </w:p>
        </w:tc>
        <w:tc>
          <w:tcPr>
            <w:tcW w:w="1560" w:type="dxa"/>
            <w:vMerge/>
            <w:shd w:val="clear" w:color="auto" w:fill="auto"/>
            <w:vAlign w:val="center"/>
            <w:hideMark/>
          </w:tcPr>
          <w:p w:rsidR="00AC499C" w:rsidRPr="001F6E62" w:rsidRDefault="00AC499C" w:rsidP="00524DBF">
            <w:pPr>
              <w:jc w:val="center"/>
              <w:rPr>
                <w:rFonts w:eastAsia="Calibri"/>
                <w:b/>
                <w:bCs/>
                <w:sz w:val="20"/>
                <w:szCs w:val="20"/>
              </w:rPr>
            </w:pPr>
          </w:p>
        </w:tc>
        <w:tc>
          <w:tcPr>
            <w:tcW w:w="1134" w:type="dxa"/>
            <w:shd w:val="clear" w:color="auto" w:fill="auto"/>
            <w:vAlign w:val="center"/>
            <w:hideMark/>
          </w:tcPr>
          <w:p w:rsidR="00AC499C" w:rsidRPr="001F6E62" w:rsidRDefault="00AC499C" w:rsidP="00524DBF">
            <w:pPr>
              <w:jc w:val="center"/>
              <w:rPr>
                <w:rFonts w:eastAsia="Calibri"/>
                <w:b/>
                <w:bCs/>
                <w:sz w:val="16"/>
                <w:szCs w:val="16"/>
              </w:rPr>
            </w:pPr>
            <w:r w:rsidRPr="001F6E62">
              <w:rPr>
                <w:rFonts w:eastAsia="Calibri"/>
                <w:b/>
                <w:bCs/>
                <w:sz w:val="16"/>
                <w:szCs w:val="16"/>
              </w:rPr>
              <w:t xml:space="preserve">Борівський </w:t>
            </w:r>
          </w:p>
        </w:tc>
        <w:tc>
          <w:tcPr>
            <w:tcW w:w="1275" w:type="dxa"/>
            <w:shd w:val="clear" w:color="auto" w:fill="auto"/>
            <w:vAlign w:val="center"/>
            <w:hideMark/>
          </w:tcPr>
          <w:p w:rsidR="00AC499C" w:rsidRPr="001F6E62" w:rsidRDefault="00AC499C" w:rsidP="00524DBF">
            <w:pPr>
              <w:jc w:val="center"/>
              <w:rPr>
                <w:rFonts w:eastAsia="Calibri"/>
                <w:b/>
                <w:bCs/>
                <w:sz w:val="16"/>
                <w:szCs w:val="16"/>
              </w:rPr>
            </w:pPr>
            <w:proofErr w:type="spellStart"/>
            <w:r w:rsidRPr="001F6E62">
              <w:rPr>
                <w:rFonts w:eastAsia="Calibri"/>
                <w:b/>
                <w:bCs/>
                <w:sz w:val="16"/>
                <w:szCs w:val="16"/>
              </w:rPr>
              <w:t>Боровенський</w:t>
            </w:r>
            <w:proofErr w:type="spellEnd"/>
            <w:r w:rsidRPr="001F6E62">
              <w:rPr>
                <w:rFonts w:eastAsia="Calibri"/>
                <w:b/>
                <w:bCs/>
                <w:sz w:val="16"/>
                <w:szCs w:val="16"/>
              </w:rPr>
              <w:t xml:space="preserve"> </w:t>
            </w:r>
          </w:p>
        </w:tc>
        <w:tc>
          <w:tcPr>
            <w:tcW w:w="1418" w:type="dxa"/>
            <w:shd w:val="clear" w:color="auto" w:fill="auto"/>
            <w:vAlign w:val="center"/>
            <w:hideMark/>
          </w:tcPr>
          <w:p w:rsidR="00AC499C" w:rsidRPr="001F6E62" w:rsidRDefault="00AC499C" w:rsidP="00524DBF">
            <w:pPr>
              <w:jc w:val="center"/>
              <w:rPr>
                <w:rFonts w:eastAsia="Calibri"/>
                <w:b/>
                <w:bCs/>
                <w:sz w:val="16"/>
                <w:szCs w:val="16"/>
              </w:rPr>
            </w:pPr>
            <w:proofErr w:type="spellStart"/>
            <w:r w:rsidRPr="001F6E62">
              <w:rPr>
                <w:rFonts w:eastAsia="Calibri"/>
                <w:b/>
                <w:bCs/>
                <w:sz w:val="16"/>
                <w:szCs w:val="16"/>
              </w:rPr>
              <w:t>Єпіфанівський</w:t>
            </w:r>
            <w:proofErr w:type="spellEnd"/>
            <w:r w:rsidRPr="001F6E62">
              <w:rPr>
                <w:rFonts w:eastAsia="Calibri"/>
                <w:b/>
                <w:bCs/>
                <w:sz w:val="16"/>
                <w:szCs w:val="16"/>
              </w:rPr>
              <w:t xml:space="preserve"> </w:t>
            </w:r>
          </w:p>
        </w:tc>
        <w:tc>
          <w:tcPr>
            <w:tcW w:w="1417" w:type="dxa"/>
            <w:shd w:val="clear" w:color="auto" w:fill="auto"/>
            <w:vAlign w:val="center"/>
            <w:hideMark/>
          </w:tcPr>
          <w:p w:rsidR="00AC499C" w:rsidRPr="001F6E62" w:rsidRDefault="00AC499C" w:rsidP="00524DBF">
            <w:pPr>
              <w:jc w:val="center"/>
              <w:rPr>
                <w:rFonts w:eastAsia="Calibri"/>
                <w:b/>
                <w:bCs/>
                <w:sz w:val="16"/>
                <w:szCs w:val="16"/>
              </w:rPr>
            </w:pPr>
            <w:r w:rsidRPr="001F6E62">
              <w:rPr>
                <w:rFonts w:eastAsia="Calibri"/>
                <w:b/>
                <w:bCs/>
                <w:sz w:val="16"/>
                <w:szCs w:val="16"/>
              </w:rPr>
              <w:t>Сиротинський</w:t>
            </w:r>
          </w:p>
        </w:tc>
        <w:tc>
          <w:tcPr>
            <w:tcW w:w="1276" w:type="dxa"/>
            <w:shd w:val="clear" w:color="auto" w:fill="auto"/>
            <w:vAlign w:val="center"/>
          </w:tcPr>
          <w:p w:rsidR="00AC499C" w:rsidRPr="001F6E62" w:rsidRDefault="00AC499C" w:rsidP="00524DBF">
            <w:pPr>
              <w:rPr>
                <w:rFonts w:eastAsia="Calibri"/>
                <w:b/>
                <w:bCs/>
                <w:sz w:val="16"/>
                <w:szCs w:val="16"/>
              </w:rPr>
            </w:pPr>
            <w:proofErr w:type="spellStart"/>
            <w:r w:rsidRPr="001F6E62">
              <w:rPr>
                <w:rFonts w:eastAsia="Calibri"/>
                <w:b/>
                <w:bCs/>
                <w:sz w:val="16"/>
                <w:szCs w:val="16"/>
              </w:rPr>
              <w:t>Чабанівський</w:t>
            </w:r>
            <w:proofErr w:type="spellEnd"/>
          </w:p>
        </w:tc>
      </w:tr>
      <w:tr w:rsidR="00AC499C" w:rsidRPr="001F6E62" w:rsidTr="00BF0329">
        <w:trPr>
          <w:trHeight w:val="240"/>
        </w:trPr>
        <w:tc>
          <w:tcPr>
            <w:tcW w:w="1701" w:type="dxa"/>
            <w:shd w:val="clear" w:color="auto" w:fill="auto"/>
            <w:noWrap/>
            <w:vAlign w:val="bottom"/>
            <w:hideMark/>
          </w:tcPr>
          <w:p w:rsidR="00AC499C" w:rsidRPr="001F6E62" w:rsidRDefault="00AC499C" w:rsidP="00524DBF">
            <w:pPr>
              <w:jc w:val="center"/>
              <w:rPr>
                <w:rFonts w:eastAsia="Calibri"/>
                <w:b/>
                <w:bCs/>
                <w:sz w:val="20"/>
                <w:szCs w:val="20"/>
              </w:rPr>
            </w:pPr>
            <w:r w:rsidRPr="001F6E62">
              <w:rPr>
                <w:rFonts w:eastAsia="Calibri"/>
                <w:b/>
                <w:bCs/>
                <w:sz w:val="20"/>
                <w:szCs w:val="20"/>
              </w:rPr>
              <w:t>1</w:t>
            </w:r>
          </w:p>
        </w:tc>
        <w:tc>
          <w:tcPr>
            <w:tcW w:w="1560" w:type="dxa"/>
            <w:shd w:val="clear" w:color="auto" w:fill="auto"/>
            <w:noWrap/>
            <w:vAlign w:val="bottom"/>
            <w:hideMark/>
          </w:tcPr>
          <w:p w:rsidR="00AC499C" w:rsidRPr="001F6E62" w:rsidRDefault="00AC499C" w:rsidP="00524DBF">
            <w:pPr>
              <w:jc w:val="center"/>
              <w:rPr>
                <w:rFonts w:eastAsia="Calibri"/>
                <w:b/>
                <w:bCs/>
                <w:sz w:val="20"/>
                <w:szCs w:val="20"/>
              </w:rPr>
            </w:pPr>
            <w:r w:rsidRPr="001F6E62">
              <w:rPr>
                <w:rFonts w:eastAsia="Calibri"/>
                <w:b/>
                <w:bCs/>
                <w:sz w:val="20"/>
                <w:szCs w:val="20"/>
              </w:rPr>
              <w:t>2</w:t>
            </w:r>
          </w:p>
        </w:tc>
        <w:tc>
          <w:tcPr>
            <w:tcW w:w="1134" w:type="dxa"/>
            <w:shd w:val="clear" w:color="auto" w:fill="auto"/>
            <w:noWrap/>
            <w:vAlign w:val="bottom"/>
            <w:hideMark/>
          </w:tcPr>
          <w:p w:rsidR="00AC499C" w:rsidRPr="001F6E62" w:rsidRDefault="00AC499C" w:rsidP="00524DBF">
            <w:pPr>
              <w:jc w:val="center"/>
              <w:rPr>
                <w:rFonts w:eastAsia="Calibri"/>
                <w:b/>
                <w:bCs/>
                <w:sz w:val="20"/>
                <w:szCs w:val="20"/>
              </w:rPr>
            </w:pPr>
            <w:r w:rsidRPr="001F6E62">
              <w:rPr>
                <w:rFonts w:eastAsia="Calibri"/>
                <w:b/>
                <w:bCs/>
                <w:sz w:val="20"/>
                <w:szCs w:val="20"/>
              </w:rPr>
              <w:t>3</w:t>
            </w:r>
          </w:p>
        </w:tc>
        <w:tc>
          <w:tcPr>
            <w:tcW w:w="1275" w:type="dxa"/>
            <w:shd w:val="clear" w:color="auto" w:fill="auto"/>
            <w:noWrap/>
            <w:vAlign w:val="bottom"/>
            <w:hideMark/>
          </w:tcPr>
          <w:p w:rsidR="00AC499C" w:rsidRPr="001F6E62" w:rsidRDefault="00AC499C" w:rsidP="00524DBF">
            <w:pPr>
              <w:jc w:val="center"/>
              <w:rPr>
                <w:rFonts w:eastAsia="Calibri"/>
                <w:b/>
                <w:bCs/>
                <w:sz w:val="20"/>
                <w:szCs w:val="20"/>
              </w:rPr>
            </w:pPr>
            <w:r w:rsidRPr="001F6E62">
              <w:rPr>
                <w:rFonts w:eastAsia="Calibri"/>
                <w:b/>
                <w:bCs/>
                <w:sz w:val="20"/>
                <w:szCs w:val="20"/>
              </w:rPr>
              <w:t>4</w:t>
            </w:r>
          </w:p>
        </w:tc>
        <w:tc>
          <w:tcPr>
            <w:tcW w:w="1418" w:type="dxa"/>
            <w:shd w:val="clear" w:color="auto" w:fill="auto"/>
            <w:noWrap/>
            <w:vAlign w:val="bottom"/>
            <w:hideMark/>
          </w:tcPr>
          <w:p w:rsidR="00AC499C" w:rsidRPr="001F6E62" w:rsidRDefault="00AC499C" w:rsidP="00524DBF">
            <w:pPr>
              <w:jc w:val="center"/>
              <w:rPr>
                <w:rFonts w:eastAsia="Calibri"/>
                <w:b/>
                <w:bCs/>
                <w:sz w:val="20"/>
                <w:szCs w:val="20"/>
              </w:rPr>
            </w:pPr>
            <w:r w:rsidRPr="001F6E62">
              <w:rPr>
                <w:rFonts w:eastAsia="Calibri"/>
                <w:b/>
                <w:bCs/>
                <w:sz w:val="20"/>
                <w:szCs w:val="20"/>
              </w:rPr>
              <w:t>5</w:t>
            </w:r>
          </w:p>
        </w:tc>
        <w:tc>
          <w:tcPr>
            <w:tcW w:w="1417" w:type="dxa"/>
            <w:shd w:val="clear" w:color="auto" w:fill="auto"/>
            <w:noWrap/>
            <w:vAlign w:val="bottom"/>
            <w:hideMark/>
          </w:tcPr>
          <w:p w:rsidR="00AC499C" w:rsidRPr="001F6E62" w:rsidRDefault="00AC499C" w:rsidP="00524DBF">
            <w:pPr>
              <w:jc w:val="center"/>
              <w:rPr>
                <w:rFonts w:eastAsia="Calibri"/>
                <w:b/>
                <w:bCs/>
                <w:sz w:val="20"/>
                <w:szCs w:val="20"/>
              </w:rPr>
            </w:pPr>
            <w:r w:rsidRPr="001F6E62">
              <w:rPr>
                <w:rFonts w:eastAsia="Calibri"/>
                <w:b/>
                <w:bCs/>
                <w:sz w:val="20"/>
                <w:szCs w:val="20"/>
              </w:rPr>
              <w:t>6</w:t>
            </w:r>
          </w:p>
        </w:tc>
        <w:tc>
          <w:tcPr>
            <w:tcW w:w="1276" w:type="dxa"/>
            <w:shd w:val="clear" w:color="auto" w:fill="auto"/>
            <w:hideMark/>
          </w:tcPr>
          <w:p w:rsidR="00AC499C" w:rsidRPr="001F6E62" w:rsidRDefault="00AC499C" w:rsidP="00524DBF">
            <w:pPr>
              <w:jc w:val="center"/>
              <w:rPr>
                <w:rFonts w:eastAsia="Calibri"/>
                <w:b/>
                <w:bCs/>
                <w:sz w:val="20"/>
                <w:szCs w:val="20"/>
              </w:rPr>
            </w:pPr>
            <w:r w:rsidRPr="001F6E62">
              <w:rPr>
                <w:rFonts w:eastAsia="Calibri"/>
                <w:b/>
                <w:bCs/>
                <w:sz w:val="20"/>
                <w:szCs w:val="20"/>
              </w:rPr>
              <w:t>7</w:t>
            </w:r>
          </w:p>
        </w:tc>
      </w:tr>
      <w:tr w:rsidR="00AC499C" w:rsidRPr="001F6E62" w:rsidTr="00BF0329">
        <w:trPr>
          <w:trHeight w:val="510"/>
        </w:trPr>
        <w:tc>
          <w:tcPr>
            <w:tcW w:w="1701" w:type="dxa"/>
            <w:shd w:val="clear" w:color="auto" w:fill="auto"/>
            <w:vAlign w:val="center"/>
            <w:hideMark/>
          </w:tcPr>
          <w:p w:rsidR="00AC499C" w:rsidRPr="001F6E62" w:rsidRDefault="00AC499C" w:rsidP="00524DBF">
            <w:pPr>
              <w:jc w:val="center"/>
              <w:rPr>
                <w:rFonts w:eastAsia="Calibri"/>
                <w:b/>
                <w:sz w:val="20"/>
                <w:szCs w:val="20"/>
              </w:rPr>
            </w:pPr>
            <w:r w:rsidRPr="001F6E62">
              <w:rPr>
                <w:rFonts w:eastAsia="Calibri"/>
                <w:b/>
                <w:sz w:val="20"/>
                <w:szCs w:val="20"/>
              </w:rPr>
              <w:t xml:space="preserve">ВСЬОГО ЗЕМЕЛЬ </w:t>
            </w:r>
          </w:p>
          <w:p w:rsidR="00AC499C" w:rsidRPr="001F6E62" w:rsidRDefault="00AC499C" w:rsidP="00524DBF">
            <w:pPr>
              <w:jc w:val="center"/>
              <w:rPr>
                <w:rFonts w:eastAsia="Calibri"/>
                <w:b/>
                <w:sz w:val="20"/>
                <w:szCs w:val="20"/>
              </w:rPr>
            </w:pPr>
            <w:r w:rsidRPr="001F6E62">
              <w:rPr>
                <w:rFonts w:eastAsia="Calibri"/>
                <w:b/>
                <w:sz w:val="20"/>
                <w:szCs w:val="20"/>
              </w:rPr>
              <w:t>в межах  адміністративно-територіальних одиниць, у тому числі (га):</w:t>
            </w:r>
          </w:p>
        </w:tc>
        <w:tc>
          <w:tcPr>
            <w:tcW w:w="1560" w:type="dxa"/>
            <w:shd w:val="clear" w:color="auto" w:fill="auto"/>
            <w:noWrap/>
            <w:vAlign w:val="center"/>
            <w:hideMark/>
          </w:tcPr>
          <w:p w:rsidR="00AC499C" w:rsidRPr="001F6E62" w:rsidRDefault="00AC499C" w:rsidP="00524DBF">
            <w:pPr>
              <w:jc w:val="center"/>
              <w:rPr>
                <w:rFonts w:eastAsia="Calibri"/>
                <w:b/>
                <w:sz w:val="20"/>
                <w:szCs w:val="20"/>
              </w:rPr>
            </w:pPr>
            <w:r w:rsidRPr="001F6E62">
              <w:rPr>
                <w:rFonts w:eastAsia="Calibri"/>
                <w:b/>
                <w:sz w:val="20"/>
                <w:szCs w:val="20"/>
              </w:rPr>
              <w:t>4151.0</w:t>
            </w:r>
          </w:p>
        </w:tc>
        <w:tc>
          <w:tcPr>
            <w:tcW w:w="1134" w:type="dxa"/>
            <w:shd w:val="clear" w:color="auto" w:fill="auto"/>
            <w:noWrap/>
            <w:vAlign w:val="center"/>
            <w:hideMark/>
          </w:tcPr>
          <w:p w:rsidR="00AC499C" w:rsidRPr="001F6E62" w:rsidRDefault="00AC499C" w:rsidP="00524DBF">
            <w:pPr>
              <w:jc w:val="center"/>
              <w:rPr>
                <w:rFonts w:eastAsia="Calibri"/>
                <w:b/>
                <w:sz w:val="20"/>
                <w:szCs w:val="20"/>
              </w:rPr>
            </w:pPr>
            <w:r w:rsidRPr="001F6E62">
              <w:rPr>
                <w:rFonts w:eastAsia="Calibri"/>
                <w:b/>
                <w:sz w:val="20"/>
                <w:szCs w:val="20"/>
              </w:rPr>
              <w:t>1112.0</w:t>
            </w:r>
          </w:p>
        </w:tc>
        <w:tc>
          <w:tcPr>
            <w:tcW w:w="1275" w:type="dxa"/>
            <w:shd w:val="clear" w:color="auto" w:fill="auto"/>
            <w:noWrap/>
            <w:vAlign w:val="center"/>
            <w:hideMark/>
          </w:tcPr>
          <w:p w:rsidR="00AC499C" w:rsidRPr="001F6E62" w:rsidRDefault="00AC499C" w:rsidP="00524DBF">
            <w:pPr>
              <w:jc w:val="center"/>
              <w:rPr>
                <w:rFonts w:eastAsia="Calibri"/>
                <w:b/>
                <w:sz w:val="20"/>
                <w:szCs w:val="20"/>
              </w:rPr>
            </w:pPr>
            <w:r w:rsidRPr="001F6E62">
              <w:rPr>
                <w:rFonts w:eastAsia="Calibri"/>
                <w:b/>
                <w:sz w:val="20"/>
                <w:szCs w:val="20"/>
              </w:rPr>
              <w:t>9090.0</w:t>
            </w:r>
          </w:p>
        </w:tc>
        <w:tc>
          <w:tcPr>
            <w:tcW w:w="1418" w:type="dxa"/>
            <w:shd w:val="clear" w:color="auto" w:fill="auto"/>
            <w:noWrap/>
            <w:vAlign w:val="center"/>
            <w:hideMark/>
          </w:tcPr>
          <w:p w:rsidR="00AC499C" w:rsidRPr="001F6E62" w:rsidRDefault="00AC499C" w:rsidP="00524DBF">
            <w:pPr>
              <w:jc w:val="center"/>
              <w:rPr>
                <w:rFonts w:eastAsia="Calibri"/>
                <w:b/>
                <w:sz w:val="20"/>
                <w:szCs w:val="20"/>
              </w:rPr>
            </w:pPr>
            <w:r w:rsidRPr="001F6E62">
              <w:rPr>
                <w:rFonts w:eastAsia="Calibri"/>
                <w:b/>
                <w:sz w:val="20"/>
                <w:szCs w:val="20"/>
              </w:rPr>
              <w:t>6699,5</w:t>
            </w:r>
          </w:p>
        </w:tc>
        <w:tc>
          <w:tcPr>
            <w:tcW w:w="1417" w:type="dxa"/>
            <w:shd w:val="clear" w:color="auto" w:fill="auto"/>
            <w:noWrap/>
            <w:vAlign w:val="center"/>
            <w:hideMark/>
          </w:tcPr>
          <w:p w:rsidR="00AC499C" w:rsidRPr="001F6E62" w:rsidRDefault="00AC499C" w:rsidP="00524DBF">
            <w:pPr>
              <w:jc w:val="center"/>
              <w:rPr>
                <w:rFonts w:eastAsia="Calibri"/>
                <w:b/>
                <w:sz w:val="20"/>
                <w:szCs w:val="20"/>
              </w:rPr>
            </w:pPr>
            <w:r w:rsidRPr="001F6E62">
              <w:rPr>
                <w:rFonts w:eastAsia="Calibri"/>
                <w:b/>
                <w:sz w:val="20"/>
                <w:szCs w:val="20"/>
              </w:rPr>
              <w:t>533.0</w:t>
            </w:r>
          </w:p>
        </w:tc>
        <w:tc>
          <w:tcPr>
            <w:tcW w:w="1276" w:type="dxa"/>
            <w:shd w:val="clear" w:color="auto" w:fill="auto"/>
            <w:vAlign w:val="center"/>
            <w:hideMark/>
          </w:tcPr>
          <w:p w:rsidR="00AC499C" w:rsidRPr="001F6E62" w:rsidRDefault="00AC499C" w:rsidP="00524DBF">
            <w:pPr>
              <w:jc w:val="center"/>
              <w:rPr>
                <w:rFonts w:eastAsia="Calibri"/>
                <w:b/>
                <w:sz w:val="20"/>
                <w:szCs w:val="20"/>
              </w:rPr>
            </w:pPr>
            <w:r w:rsidRPr="001F6E62">
              <w:rPr>
                <w:rFonts w:eastAsia="Calibri"/>
                <w:b/>
                <w:sz w:val="20"/>
                <w:szCs w:val="20"/>
              </w:rPr>
              <w:t>12268,2</w:t>
            </w:r>
          </w:p>
        </w:tc>
      </w:tr>
      <w:tr w:rsidR="00AC499C" w:rsidRPr="001F6E62" w:rsidTr="00BF0329">
        <w:trPr>
          <w:trHeight w:val="300"/>
        </w:trPr>
        <w:tc>
          <w:tcPr>
            <w:tcW w:w="1701" w:type="dxa"/>
            <w:shd w:val="clear" w:color="auto" w:fill="auto"/>
            <w:vAlign w:val="center"/>
            <w:hideMark/>
          </w:tcPr>
          <w:p w:rsidR="00AC499C" w:rsidRPr="001F6E62" w:rsidRDefault="00AC499C" w:rsidP="00524DBF">
            <w:pPr>
              <w:jc w:val="left"/>
              <w:rPr>
                <w:rFonts w:eastAsia="Calibri"/>
                <w:sz w:val="20"/>
                <w:szCs w:val="20"/>
              </w:rPr>
            </w:pPr>
            <w:r w:rsidRPr="001F6E62">
              <w:rPr>
                <w:rFonts w:eastAsia="Calibri"/>
                <w:sz w:val="20"/>
                <w:szCs w:val="20"/>
              </w:rPr>
              <w:t xml:space="preserve">у </w:t>
            </w:r>
            <w:proofErr w:type="spellStart"/>
            <w:r w:rsidRPr="001F6E62">
              <w:rPr>
                <w:rFonts w:eastAsia="Calibri"/>
                <w:sz w:val="20"/>
                <w:szCs w:val="20"/>
              </w:rPr>
              <w:t>т.ч</w:t>
            </w:r>
            <w:proofErr w:type="spellEnd"/>
            <w:r w:rsidRPr="001F6E62">
              <w:rPr>
                <w:rFonts w:eastAsia="Calibri"/>
                <w:sz w:val="20"/>
                <w:szCs w:val="20"/>
              </w:rPr>
              <w:t>. с/г угідь:</w:t>
            </w:r>
          </w:p>
        </w:tc>
        <w:tc>
          <w:tcPr>
            <w:tcW w:w="1560"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904.4327</w:t>
            </w:r>
          </w:p>
        </w:tc>
        <w:tc>
          <w:tcPr>
            <w:tcW w:w="1134"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669.8614</w:t>
            </w:r>
          </w:p>
        </w:tc>
        <w:tc>
          <w:tcPr>
            <w:tcW w:w="1275"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3924.5083</w:t>
            </w:r>
          </w:p>
        </w:tc>
        <w:tc>
          <w:tcPr>
            <w:tcW w:w="1418"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4964,4345</w:t>
            </w:r>
          </w:p>
        </w:tc>
        <w:tc>
          <w:tcPr>
            <w:tcW w:w="1417"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384.3097</w:t>
            </w:r>
          </w:p>
        </w:tc>
        <w:tc>
          <w:tcPr>
            <w:tcW w:w="1276" w:type="dxa"/>
            <w:shd w:val="clear" w:color="auto" w:fill="auto"/>
            <w:vAlign w:val="center"/>
            <w:hideMark/>
          </w:tcPr>
          <w:p w:rsidR="00AC499C" w:rsidRPr="001F6E62" w:rsidRDefault="00AC499C" w:rsidP="00524DBF">
            <w:pPr>
              <w:jc w:val="center"/>
              <w:rPr>
                <w:rFonts w:eastAsia="Calibri"/>
                <w:sz w:val="20"/>
                <w:szCs w:val="20"/>
              </w:rPr>
            </w:pPr>
            <w:r w:rsidRPr="001F6E62">
              <w:rPr>
                <w:rFonts w:eastAsia="Calibri"/>
                <w:sz w:val="20"/>
                <w:szCs w:val="20"/>
              </w:rPr>
              <w:t>6714,0488</w:t>
            </w:r>
          </w:p>
        </w:tc>
      </w:tr>
      <w:tr w:rsidR="00AC499C" w:rsidRPr="001F6E62" w:rsidTr="00BF0329">
        <w:trPr>
          <w:trHeight w:val="300"/>
        </w:trPr>
        <w:tc>
          <w:tcPr>
            <w:tcW w:w="1701" w:type="dxa"/>
            <w:shd w:val="clear" w:color="auto" w:fill="auto"/>
            <w:vAlign w:val="center"/>
            <w:hideMark/>
          </w:tcPr>
          <w:p w:rsidR="00AC499C" w:rsidRPr="001F6E62" w:rsidRDefault="00AC499C" w:rsidP="00524DBF">
            <w:pPr>
              <w:jc w:val="left"/>
              <w:rPr>
                <w:rFonts w:eastAsia="Calibri"/>
                <w:sz w:val="20"/>
                <w:szCs w:val="20"/>
              </w:rPr>
            </w:pPr>
            <w:r w:rsidRPr="001F6E62">
              <w:rPr>
                <w:rFonts w:eastAsia="Calibri"/>
                <w:sz w:val="20"/>
                <w:szCs w:val="20"/>
              </w:rPr>
              <w:t>з них ріллі:</w:t>
            </w:r>
          </w:p>
        </w:tc>
        <w:tc>
          <w:tcPr>
            <w:tcW w:w="1560"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582.2304</w:t>
            </w:r>
          </w:p>
        </w:tc>
        <w:tc>
          <w:tcPr>
            <w:tcW w:w="1134"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498.7160</w:t>
            </w:r>
          </w:p>
        </w:tc>
        <w:tc>
          <w:tcPr>
            <w:tcW w:w="1275"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2656.2498</w:t>
            </w:r>
          </w:p>
        </w:tc>
        <w:tc>
          <w:tcPr>
            <w:tcW w:w="1418"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3281,6273</w:t>
            </w:r>
          </w:p>
        </w:tc>
        <w:tc>
          <w:tcPr>
            <w:tcW w:w="1417"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316.2475</w:t>
            </w:r>
          </w:p>
        </w:tc>
        <w:tc>
          <w:tcPr>
            <w:tcW w:w="1276" w:type="dxa"/>
            <w:shd w:val="clear" w:color="auto" w:fill="auto"/>
            <w:vAlign w:val="center"/>
            <w:hideMark/>
          </w:tcPr>
          <w:p w:rsidR="00AC499C" w:rsidRPr="001F6E62" w:rsidRDefault="00AC499C" w:rsidP="00524DBF">
            <w:pPr>
              <w:jc w:val="center"/>
              <w:rPr>
                <w:rFonts w:eastAsia="Calibri"/>
                <w:sz w:val="20"/>
                <w:szCs w:val="20"/>
              </w:rPr>
            </w:pPr>
            <w:r w:rsidRPr="001F6E62">
              <w:rPr>
                <w:rFonts w:eastAsia="Calibri"/>
                <w:sz w:val="20"/>
                <w:szCs w:val="20"/>
              </w:rPr>
              <w:t>4226,0502</w:t>
            </w:r>
          </w:p>
        </w:tc>
      </w:tr>
      <w:tr w:rsidR="00AC499C" w:rsidRPr="001F6E62" w:rsidTr="00BF0329">
        <w:trPr>
          <w:trHeight w:val="300"/>
        </w:trPr>
        <w:tc>
          <w:tcPr>
            <w:tcW w:w="1701" w:type="dxa"/>
            <w:shd w:val="clear" w:color="auto" w:fill="auto"/>
            <w:vAlign w:val="center"/>
            <w:hideMark/>
          </w:tcPr>
          <w:p w:rsidR="00AC499C" w:rsidRPr="001F6E62" w:rsidRDefault="00AC499C" w:rsidP="00524DBF">
            <w:pPr>
              <w:jc w:val="left"/>
              <w:rPr>
                <w:rFonts w:eastAsia="Calibri"/>
                <w:sz w:val="20"/>
                <w:szCs w:val="20"/>
              </w:rPr>
            </w:pPr>
            <w:r w:rsidRPr="001F6E62">
              <w:rPr>
                <w:rFonts w:eastAsia="Calibri"/>
                <w:sz w:val="20"/>
                <w:szCs w:val="20"/>
              </w:rPr>
              <w:t>Землі, які перебувають у власності:</w:t>
            </w:r>
          </w:p>
        </w:tc>
        <w:tc>
          <w:tcPr>
            <w:tcW w:w="1560" w:type="dxa"/>
            <w:shd w:val="clear" w:color="auto" w:fill="auto"/>
            <w:noWrap/>
            <w:vAlign w:val="center"/>
            <w:hideMark/>
          </w:tcPr>
          <w:p w:rsidR="00AC499C" w:rsidRPr="001F6E62" w:rsidRDefault="00AC499C" w:rsidP="00524DBF">
            <w:pPr>
              <w:ind w:firstLine="720"/>
              <w:jc w:val="center"/>
              <w:rPr>
                <w:rFonts w:eastAsia="Calibri"/>
                <w:sz w:val="20"/>
                <w:szCs w:val="20"/>
                <w:lang w:eastAsia="uk-UA"/>
              </w:rPr>
            </w:pPr>
          </w:p>
        </w:tc>
        <w:tc>
          <w:tcPr>
            <w:tcW w:w="1134" w:type="dxa"/>
            <w:shd w:val="clear" w:color="auto" w:fill="auto"/>
            <w:noWrap/>
            <w:vAlign w:val="center"/>
            <w:hideMark/>
          </w:tcPr>
          <w:p w:rsidR="00AC499C" w:rsidRPr="001F6E62" w:rsidRDefault="00AC499C" w:rsidP="00524DBF">
            <w:pPr>
              <w:ind w:firstLine="720"/>
              <w:jc w:val="center"/>
              <w:rPr>
                <w:rFonts w:eastAsia="Calibri"/>
                <w:sz w:val="20"/>
                <w:szCs w:val="20"/>
              </w:rPr>
            </w:pPr>
          </w:p>
        </w:tc>
        <w:tc>
          <w:tcPr>
            <w:tcW w:w="1275" w:type="dxa"/>
            <w:shd w:val="clear" w:color="auto" w:fill="auto"/>
            <w:noWrap/>
            <w:vAlign w:val="center"/>
            <w:hideMark/>
          </w:tcPr>
          <w:p w:rsidR="00AC499C" w:rsidRPr="001F6E62" w:rsidRDefault="00AC499C" w:rsidP="00524DBF">
            <w:pPr>
              <w:ind w:firstLine="720"/>
              <w:jc w:val="center"/>
              <w:rPr>
                <w:rFonts w:eastAsia="Calibri"/>
                <w:sz w:val="20"/>
                <w:szCs w:val="20"/>
              </w:rPr>
            </w:pPr>
          </w:p>
        </w:tc>
        <w:tc>
          <w:tcPr>
            <w:tcW w:w="1418" w:type="dxa"/>
            <w:shd w:val="clear" w:color="auto" w:fill="auto"/>
            <w:noWrap/>
            <w:vAlign w:val="center"/>
            <w:hideMark/>
          </w:tcPr>
          <w:p w:rsidR="00AC499C" w:rsidRPr="001F6E62" w:rsidRDefault="00AC499C" w:rsidP="00524DBF">
            <w:pPr>
              <w:ind w:firstLine="720"/>
              <w:jc w:val="center"/>
              <w:rPr>
                <w:rFonts w:eastAsia="Calibri"/>
                <w:sz w:val="20"/>
                <w:szCs w:val="20"/>
              </w:rPr>
            </w:pPr>
          </w:p>
        </w:tc>
        <w:tc>
          <w:tcPr>
            <w:tcW w:w="1417" w:type="dxa"/>
            <w:shd w:val="clear" w:color="auto" w:fill="auto"/>
            <w:noWrap/>
            <w:vAlign w:val="center"/>
            <w:hideMark/>
          </w:tcPr>
          <w:p w:rsidR="00AC499C" w:rsidRPr="001F6E62" w:rsidRDefault="00AC499C" w:rsidP="00524DBF">
            <w:pPr>
              <w:ind w:firstLine="720"/>
              <w:jc w:val="center"/>
              <w:rPr>
                <w:rFonts w:eastAsia="Calibri"/>
                <w:sz w:val="20"/>
                <w:szCs w:val="20"/>
              </w:rPr>
            </w:pPr>
          </w:p>
        </w:tc>
        <w:tc>
          <w:tcPr>
            <w:tcW w:w="1276" w:type="dxa"/>
            <w:shd w:val="clear" w:color="auto" w:fill="auto"/>
            <w:vAlign w:val="center"/>
          </w:tcPr>
          <w:p w:rsidR="00AC499C" w:rsidRPr="001F6E62" w:rsidRDefault="00AC499C" w:rsidP="00524DBF">
            <w:pPr>
              <w:ind w:firstLine="720"/>
              <w:jc w:val="center"/>
              <w:rPr>
                <w:rFonts w:eastAsia="Calibri"/>
                <w:sz w:val="20"/>
                <w:szCs w:val="20"/>
              </w:rPr>
            </w:pPr>
          </w:p>
        </w:tc>
      </w:tr>
      <w:tr w:rsidR="00AC499C" w:rsidRPr="001F6E62" w:rsidTr="00BF0329">
        <w:trPr>
          <w:trHeight w:val="300"/>
        </w:trPr>
        <w:tc>
          <w:tcPr>
            <w:tcW w:w="1701" w:type="dxa"/>
            <w:shd w:val="clear" w:color="auto" w:fill="auto"/>
            <w:vAlign w:val="center"/>
            <w:hideMark/>
          </w:tcPr>
          <w:p w:rsidR="00AC499C" w:rsidRPr="001F6E62" w:rsidRDefault="00AC499C" w:rsidP="00524DBF">
            <w:pPr>
              <w:jc w:val="left"/>
              <w:rPr>
                <w:rFonts w:eastAsia="Calibri"/>
                <w:sz w:val="20"/>
                <w:szCs w:val="20"/>
              </w:rPr>
            </w:pPr>
            <w:r w:rsidRPr="001F6E62">
              <w:rPr>
                <w:rFonts w:eastAsia="Calibri"/>
                <w:sz w:val="20"/>
                <w:szCs w:val="20"/>
              </w:rPr>
              <w:t>у державній</w:t>
            </w:r>
          </w:p>
        </w:tc>
        <w:tc>
          <w:tcPr>
            <w:tcW w:w="1560"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3045.5967</w:t>
            </w:r>
          </w:p>
        </w:tc>
        <w:tc>
          <w:tcPr>
            <w:tcW w:w="1134"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900.1599</w:t>
            </w:r>
          </w:p>
        </w:tc>
        <w:tc>
          <w:tcPr>
            <w:tcW w:w="1275"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5996.8814</w:t>
            </w:r>
          </w:p>
        </w:tc>
        <w:tc>
          <w:tcPr>
            <w:tcW w:w="1418" w:type="dxa"/>
            <w:shd w:val="clear" w:color="auto" w:fill="auto"/>
            <w:noWrap/>
            <w:vAlign w:val="center"/>
            <w:hideMark/>
          </w:tcPr>
          <w:p w:rsidR="00AC499C" w:rsidRPr="001F6E62" w:rsidRDefault="00AC499C" w:rsidP="00524DBF">
            <w:pPr>
              <w:ind w:firstLine="720"/>
              <w:jc w:val="center"/>
              <w:rPr>
                <w:rFonts w:eastAsia="Calibri"/>
                <w:sz w:val="20"/>
                <w:szCs w:val="20"/>
                <w:lang w:eastAsia="uk-UA"/>
              </w:rPr>
            </w:pPr>
          </w:p>
        </w:tc>
        <w:tc>
          <w:tcPr>
            <w:tcW w:w="1417"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411.8553</w:t>
            </w:r>
          </w:p>
        </w:tc>
        <w:tc>
          <w:tcPr>
            <w:tcW w:w="1276" w:type="dxa"/>
            <w:shd w:val="clear" w:color="auto" w:fill="auto"/>
            <w:vAlign w:val="center"/>
            <w:hideMark/>
          </w:tcPr>
          <w:p w:rsidR="00AC499C" w:rsidRPr="001F6E62" w:rsidRDefault="00AC499C" w:rsidP="00524DBF">
            <w:pPr>
              <w:jc w:val="center"/>
              <w:rPr>
                <w:rFonts w:eastAsia="Calibri"/>
                <w:sz w:val="20"/>
                <w:szCs w:val="20"/>
              </w:rPr>
            </w:pPr>
            <w:r w:rsidRPr="001F6E62">
              <w:rPr>
                <w:rFonts w:eastAsia="Calibri"/>
                <w:sz w:val="20"/>
                <w:szCs w:val="20"/>
              </w:rPr>
              <w:t>6555,3478</w:t>
            </w:r>
          </w:p>
        </w:tc>
      </w:tr>
      <w:tr w:rsidR="00AC499C" w:rsidRPr="001F6E62" w:rsidTr="00BF0329">
        <w:trPr>
          <w:trHeight w:val="300"/>
        </w:trPr>
        <w:tc>
          <w:tcPr>
            <w:tcW w:w="1701" w:type="dxa"/>
            <w:shd w:val="clear" w:color="auto" w:fill="auto"/>
            <w:vAlign w:val="center"/>
            <w:hideMark/>
          </w:tcPr>
          <w:p w:rsidR="00AC499C" w:rsidRPr="001F6E62" w:rsidRDefault="00AC499C" w:rsidP="00524DBF">
            <w:pPr>
              <w:jc w:val="left"/>
              <w:rPr>
                <w:rFonts w:eastAsia="Calibri"/>
                <w:sz w:val="20"/>
                <w:szCs w:val="20"/>
              </w:rPr>
            </w:pPr>
            <w:r w:rsidRPr="001F6E62">
              <w:rPr>
                <w:rFonts w:eastAsia="Calibri"/>
                <w:sz w:val="20"/>
                <w:szCs w:val="20"/>
              </w:rPr>
              <w:t xml:space="preserve">у </w:t>
            </w:r>
            <w:proofErr w:type="spellStart"/>
            <w:r w:rsidRPr="001F6E62">
              <w:rPr>
                <w:rFonts w:eastAsia="Calibri"/>
                <w:sz w:val="20"/>
                <w:szCs w:val="20"/>
              </w:rPr>
              <w:t>т.ч</w:t>
            </w:r>
            <w:proofErr w:type="spellEnd"/>
            <w:r w:rsidRPr="001F6E62">
              <w:rPr>
                <w:rFonts w:eastAsia="Calibri"/>
                <w:sz w:val="20"/>
                <w:szCs w:val="20"/>
              </w:rPr>
              <w:t>. с/г угідь:</w:t>
            </w:r>
          </w:p>
        </w:tc>
        <w:tc>
          <w:tcPr>
            <w:tcW w:w="1560"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574.5190</w:t>
            </w:r>
          </w:p>
        </w:tc>
        <w:tc>
          <w:tcPr>
            <w:tcW w:w="1134"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508.2445</w:t>
            </w:r>
          </w:p>
        </w:tc>
        <w:tc>
          <w:tcPr>
            <w:tcW w:w="1275"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839.5897</w:t>
            </w:r>
          </w:p>
        </w:tc>
        <w:tc>
          <w:tcPr>
            <w:tcW w:w="1418" w:type="dxa"/>
            <w:shd w:val="clear" w:color="auto" w:fill="auto"/>
            <w:noWrap/>
            <w:vAlign w:val="center"/>
            <w:hideMark/>
          </w:tcPr>
          <w:p w:rsidR="00AC499C" w:rsidRPr="001F6E62" w:rsidRDefault="00AC499C" w:rsidP="00524DBF">
            <w:pPr>
              <w:ind w:firstLine="720"/>
              <w:jc w:val="center"/>
              <w:rPr>
                <w:rFonts w:eastAsia="Calibri"/>
                <w:sz w:val="20"/>
                <w:szCs w:val="20"/>
                <w:lang w:eastAsia="uk-UA"/>
              </w:rPr>
            </w:pPr>
          </w:p>
        </w:tc>
        <w:tc>
          <w:tcPr>
            <w:tcW w:w="1417"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307.2964</w:t>
            </w:r>
          </w:p>
        </w:tc>
        <w:tc>
          <w:tcPr>
            <w:tcW w:w="1276" w:type="dxa"/>
            <w:shd w:val="clear" w:color="auto" w:fill="auto"/>
          </w:tcPr>
          <w:p w:rsidR="00AC499C" w:rsidRPr="001F6E62" w:rsidRDefault="00AC499C" w:rsidP="00524DBF">
            <w:pPr>
              <w:ind w:firstLine="720"/>
              <w:jc w:val="center"/>
              <w:rPr>
                <w:rFonts w:eastAsia="Calibri"/>
                <w:sz w:val="20"/>
                <w:szCs w:val="20"/>
              </w:rPr>
            </w:pPr>
          </w:p>
        </w:tc>
      </w:tr>
      <w:tr w:rsidR="00AC499C" w:rsidRPr="001F6E62" w:rsidTr="00BF0329">
        <w:trPr>
          <w:trHeight w:val="300"/>
        </w:trPr>
        <w:tc>
          <w:tcPr>
            <w:tcW w:w="1701" w:type="dxa"/>
            <w:shd w:val="clear" w:color="auto" w:fill="auto"/>
            <w:vAlign w:val="center"/>
            <w:hideMark/>
          </w:tcPr>
          <w:p w:rsidR="00AC499C" w:rsidRPr="001F6E62" w:rsidRDefault="00AC499C" w:rsidP="00524DBF">
            <w:pPr>
              <w:jc w:val="left"/>
              <w:rPr>
                <w:rFonts w:eastAsia="Calibri"/>
                <w:sz w:val="20"/>
                <w:szCs w:val="20"/>
              </w:rPr>
            </w:pPr>
            <w:r w:rsidRPr="001F6E62">
              <w:rPr>
                <w:rFonts w:eastAsia="Calibri"/>
                <w:sz w:val="20"/>
                <w:szCs w:val="20"/>
              </w:rPr>
              <w:t>у приватній</w:t>
            </w:r>
          </w:p>
        </w:tc>
        <w:tc>
          <w:tcPr>
            <w:tcW w:w="1560"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807.8698</w:t>
            </w:r>
          </w:p>
        </w:tc>
        <w:tc>
          <w:tcPr>
            <w:tcW w:w="1134"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210.7458</w:t>
            </w:r>
          </w:p>
        </w:tc>
        <w:tc>
          <w:tcPr>
            <w:tcW w:w="1275"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3093.1186</w:t>
            </w:r>
          </w:p>
        </w:tc>
        <w:tc>
          <w:tcPr>
            <w:tcW w:w="1418" w:type="dxa"/>
            <w:shd w:val="clear" w:color="auto" w:fill="auto"/>
            <w:noWrap/>
            <w:vAlign w:val="center"/>
            <w:hideMark/>
          </w:tcPr>
          <w:p w:rsidR="00AC499C" w:rsidRPr="001F6E62" w:rsidRDefault="00AC499C" w:rsidP="00524DBF">
            <w:pPr>
              <w:ind w:firstLine="720"/>
              <w:jc w:val="center"/>
              <w:rPr>
                <w:rFonts w:eastAsia="Calibri"/>
                <w:sz w:val="20"/>
                <w:szCs w:val="20"/>
                <w:lang w:eastAsia="uk-UA"/>
              </w:rPr>
            </w:pPr>
          </w:p>
        </w:tc>
        <w:tc>
          <w:tcPr>
            <w:tcW w:w="1417"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120.0315</w:t>
            </w:r>
          </w:p>
        </w:tc>
        <w:tc>
          <w:tcPr>
            <w:tcW w:w="1276" w:type="dxa"/>
            <w:shd w:val="clear" w:color="auto" w:fill="auto"/>
          </w:tcPr>
          <w:p w:rsidR="00AC499C" w:rsidRPr="001F6E62" w:rsidRDefault="00AC499C" w:rsidP="00524DBF">
            <w:pPr>
              <w:ind w:firstLine="720"/>
              <w:jc w:val="center"/>
              <w:rPr>
                <w:rFonts w:eastAsia="Calibri"/>
                <w:sz w:val="20"/>
                <w:szCs w:val="20"/>
              </w:rPr>
            </w:pPr>
          </w:p>
        </w:tc>
      </w:tr>
      <w:tr w:rsidR="00AC499C" w:rsidRPr="001F6E62" w:rsidTr="00BF0329">
        <w:trPr>
          <w:trHeight w:val="300"/>
        </w:trPr>
        <w:tc>
          <w:tcPr>
            <w:tcW w:w="1701" w:type="dxa"/>
            <w:shd w:val="clear" w:color="auto" w:fill="auto"/>
            <w:vAlign w:val="center"/>
            <w:hideMark/>
          </w:tcPr>
          <w:p w:rsidR="00AC499C" w:rsidRPr="001F6E62" w:rsidRDefault="00AC499C" w:rsidP="00524DBF">
            <w:pPr>
              <w:jc w:val="left"/>
              <w:rPr>
                <w:rFonts w:eastAsia="Calibri"/>
                <w:sz w:val="20"/>
                <w:szCs w:val="20"/>
              </w:rPr>
            </w:pPr>
            <w:r w:rsidRPr="001F6E62">
              <w:rPr>
                <w:rFonts w:eastAsia="Calibri"/>
                <w:sz w:val="20"/>
                <w:szCs w:val="20"/>
              </w:rPr>
              <w:t xml:space="preserve">у </w:t>
            </w:r>
            <w:proofErr w:type="spellStart"/>
            <w:r w:rsidRPr="001F6E62">
              <w:rPr>
                <w:rFonts w:eastAsia="Calibri"/>
                <w:sz w:val="20"/>
                <w:szCs w:val="20"/>
              </w:rPr>
              <w:t>т.ч</w:t>
            </w:r>
            <w:proofErr w:type="spellEnd"/>
            <w:r w:rsidRPr="001F6E62">
              <w:rPr>
                <w:rFonts w:eastAsia="Calibri"/>
                <w:sz w:val="20"/>
                <w:szCs w:val="20"/>
              </w:rPr>
              <w:t>. с/г угідь:</w:t>
            </w:r>
          </w:p>
        </w:tc>
        <w:tc>
          <w:tcPr>
            <w:tcW w:w="1560"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119.2238</w:t>
            </w:r>
          </w:p>
        </w:tc>
        <w:tc>
          <w:tcPr>
            <w:tcW w:w="1134"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161.6169</w:t>
            </w:r>
          </w:p>
        </w:tc>
        <w:tc>
          <w:tcPr>
            <w:tcW w:w="1275"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3084.9186</w:t>
            </w:r>
          </w:p>
        </w:tc>
        <w:tc>
          <w:tcPr>
            <w:tcW w:w="1418" w:type="dxa"/>
            <w:shd w:val="clear" w:color="auto" w:fill="auto"/>
            <w:noWrap/>
            <w:vAlign w:val="center"/>
            <w:hideMark/>
          </w:tcPr>
          <w:p w:rsidR="00AC499C" w:rsidRPr="001F6E62" w:rsidRDefault="00AC499C" w:rsidP="00524DBF">
            <w:pPr>
              <w:ind w:firstLine="720"/>
              <w:jc w:val="center"/>
              <w:rPr>
                <w:rFonts w:eastAsia="Calibri"/>
                <w:sz w:val="20"/>
                <w:szCs w:val="20"/>
                <w:lang w:eastAsia="uk-UA"/>
              </w:rPr>
            </w:pPr>
          </w:p>
        </w:tc>
        <w:tc>
          <w:tcPr>
            <w:tcW w:w="1417"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76.8951</w:t>
            </w:r>
          </w:p>
        </w:tc>
        <w:tc>
          <w:tcPr>
            <w:tcW w:w="1276" w:type="dxa"/>
            <w:shd w:val="clear" w:color="auto" w:fill="auto"/>
          </w:tcPr>
          <w:p w:rsidR="00AC499C" w:rsidRPr="001F6E62" w:rsidRDefault="00AC499C" w:rsidP="00524DBF">
            <w:pPr>
              <w:ind w:firstLine="720"/>
              <w:jc w:val="center"/>
              <w:rPr>
                <w:rFonts w:eastAsia="Calibri"/>
                <w:sz w:val="20"/>
                <w:szCs w:val="20"/>
              </w:rPr>
            </w:pPr>
          </w:p>
        </w:tc>
      </w:tr>
      <w:tr w:rsidR="00AC499C" w:rsidRPr="001F6E62" w:rsidTr="00BF0329">
        <w:trPr>
          <w:trHeight w:val="270"/>
        </w:trPr>
        <w:tc>
          <w:tcPr>
            <w:tcW w:w="1701" w:type="dxa"/>
            <w:shd w:val="clear" w:color="auto" w:fill="auto"/>
            <w:vAlign w:val="center"/>
            <w:hideMark/>
          </w:tcPr>
          <w:p w:rsidR="00AC499C" w:rsidRPr="001F6E62" w:rsidRDefault="00AC499C" w:rsidP="00524DBF">
            <w:pPr>
              <w:rPr>
                <w:rFonts w:eastAsia="Calibri"/>
                <w:sz w:val="20"/>
                <w:szCs w:val="20"/>
              </w:rPr>
            </w:pPr>
            <w:r w:rsidRPr="001F6E62">
              <w:rPr>
                <w:rFonts w:eastAsia="Calibri"/>
                <w:sz w:val="20"/>
                <w:szCs w:val="20"/>
              </w:rPr>
              <w:t>у колективній</w:t>
            </w:r>
          </w:p>
        </w:tc>
        <w:tc>
          <w:tcPr>
            <w:tcW w:w="1560"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260.7289</w:t>
            </w:r>
          </w:p>
        </w:tc>
        <w:tc>
          <w:tcPr>
            <w:tcW w:w="1134" w:type="dxa"/>
            <w:shd w:val="clear" w:color="auto" w:fill="auto"/>
            <w:noWrap/>
            <w:vAlign w:val="center"/>
            <w:hideMark/>
          </w:tcPr>
          <w:p w:rsidR="00AC499C" w:rsidRPr="001F6E62" w:rsidRDefault="00AC499C" w:rsidP="00524DBF">
            <w:pPr>
              <w:ind w:firstLine="720"/>
              <w:jc w:val="center"/>
              <w:rPr>
                <w:rFonts w:eastAsia="Calibri"/>
                <w:sz w:val="20"/>
                <w:szCs w:val="20"/>
              </w:rPr>
            </w:pPr>
            <w:r w:rsidRPr="001F6E62">
              <w:rPr>
                <w:rFonts w:eastAsia="Calibri"/>
                <w:sz w:val="20"/>
                <w:szCs w:val="20"/>
              </w:rPr>
              <w:t>—</w:t>
            </w:r>
          </w:p>
        </w:tc>
        <w:tc>
          <w:tcPr>
            <w:tcW w:w="1275" w:type="dxa"/>
            <w:shd w:val="clear" w:color="auto" w:fill="auto"/>
            <w:noWrap/>
            <w:vAlign w:val="center"/>
            <w:hideMark/>
          </w:tcPr>
          <w:p w:rsidR="00AC499C" w:rsidRPr="001F6E62" w:rsidRDefault="00AC499C" w:rsidP="00524DBF">
            <w:pPr>
              <w:ind w:firstLine="720"/>
              <w:jc w:val="center"/>
              <w:rPr>
                <w:rFonts w:eastAsia="Calibri"/>
                <w:sz w:val="20"/>
                <w:szCs w:val="20"/>
              </w:rPr>
            </w:pPr>
            <w:r w:rsidRPr="001F6E62">
              <w:rPr>
                <w:rFonts w:eastAsia="Calibri"/>
                <w:sz w:val="20"/>
                <w:szCs w:val="20"/>
              </w:rPr>
              <w:t>—</w:t>
            </w:r>
          </w:p>
        </w:tc>
        <w:tc>
          <w:tcPr>
            <w:tcW w:w="1418" w:type="dxa"/>
            <w:shd w:val="clear" w:color="auto" w:fill="auto"/>
            <w:noWrap/>
            <w:vAlign w:val="center"/>
            <w:hideMark/>
          </w:tcPr>
          <w:p w:rsidR="00AC499C" w:rsidRPr="001F6E62" w:rsidRDefault="00AC499C" w:rsidP="00524DBF">
            <w:pPr>
              <w:ind w:firstLine="720"/>
              <w:jc w:val="center"/>
              <w:rPr>
                <w:rFonts w:eastAsia="Calibri"/>
                <w:sz w:val="20"/>
                <w:szCs w:val="20"/>
                <w:lang w:eastAsia="uk-UA"/>
              </w:rPr>
            </w:pPr>
          </w:p>
        </w:tc>
        <w:tc>
          <w:tcPr>
            <w:tcW w:w="1417" w:type="dxa"/>
            <w:shd w:val="clear" w:color="auto" w:fill="auto"/>
            <w:noWrap/>
            <w:vAlign w:val="center"/>
            <w:hideMark/>
          </w:tcPr>
          <w:p w:rsidR="00AC499C" w:rsidRPr="001F6E62" w:rsidRDefault="00AC499C" w:rsidP="00524DBF">
            <w:pPr>
              <w:ind w:firstLine="720"/>
              <w:jc w:val="center"/>
              <w:rPr>
                <w:rFonts w:eastAsia="Calibri"/>
                <w:sz w:val="20"/>
                <w:szCs w:val="20"/>
              </w:rPr>
            </w:pPr>
            <w:r w:rsidRPr="001F6E62">
              <w:rPr>
                <w:rFonts w:eastAsia="Calibri"/>
                <w:sz w:val="20"/>
                <w:szCs w:val="20"/>
              </w:rPr>
              <w:t>—</w:t>
            </w:r>
          </w:p>
        </w:tc>
        <w:tc>
          <w:tcPr>
            <w:tcW w:w="1276" w:type="dxa"/>
            <w:shd w:val="clear" w:color="auto" w:fill="auto"/>
          </w:tcPr>
          <w:p w:rsidR="00AC499C" w:rsidRPr="001F6E62" w:rsidRDefault="00AC499C" w:rsidP="00524DBF">
            <w:pPr>
              <w:ind w:firstLine="720"/>
              <w:jc w:val="center"/>
              <w:rPr>
                <w:rFonts w:eastAsia="Calibri"/>
                <w:sz w:val="20"/>
                <w:szCs w:val="20"/>
              </w:rPr>
            </w:pPr>
          </w:p>
        </w:tc>
      </w:tr>
      <w:tr w:rsidR="00AC499C" w:rsidRPr="001F6E62" w:rsidTr="00BF0329">
        <w:trPr>
          <w:trHeight w:val="300"/>
        </w:trPr>
        <w:tc>
          <w:tcPr>
            <w:tcW w:w="1701" w:type="dxa"/>
            <w:shd w:val="clear" w:color="auto" w:fill="auto"/>
            <w:vAlign w:val="center"/>
            <w:hideMark/>
          </w:tcPr>
          <w:p w:rsidR="00AC499C" w:rsidRPr="001F6E62" w:rsidRDefault="00AC499C" w:rsidP="00524DBF">
            <w:pPr>
              <w:rPr>
                <w:rFonts w:eastAsia="Calibri"/>
                <w:sz w:val="20"/>
                <w:szCs w:val="20"/>
              </w:rPr>
            </w:pPr>
            <w:r w:rsidRPr="001F6E62">
              <w:rPr>
                <w:rFonts w:eastAsia="Calibri"/>
                <w:sz w:val="20"/>
                <w:szCs w:val="20"/>
              </w:rPr>
              <w:t xml:space="preserve">у </w:t>
            </w:r>
            <w:proofErr w:type="spellStart"/>
            <w:r w:rsidRPr="001F6E62">
              <w:rPr>
                <w:rFonts w:eastAsia="Calibri"/>
                <w:sz w:val="20"/>
                <w:szCs w:val="20"/>
              </w:rPr>
              <w:t>т.ч</w:t>
            </w:r>
            <w:proofErr w:type="spellEnd"/>
            <w:r w:rsidRPr="001F6E62">
              <w:rPr>
                <w:rFonts w:eastAsia="Calibri"/>
                <w:sz w:val="20"/>
                <w:szCs w:val="20"/>
              </w:rPr>
              <w:t>. с/г угідь:</w:t>
            </w:r>
          </w:p>
        </w:tc>
        <w:tc>
          <w:tcPr>
            <w:tcW w:w="1560"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210.3497</w:t>
            </w:r>
          </w:p>
        </w:tc>
        <w:tc>
          <w:tcPr>
            <w:tcW w:w="1134" w:type="dxa"/>
            <w:shd w:val="clear" w:color="auto" w:fill="auto"/>
            <w:noWrap/>
            <w:vAlign w:val="center"/>
            <w:hideMark/>
          </w:tcPr>
          <w:p w:rsidR="00AC499C" w:rsidRPr="001F6E62" w:rsidRDefault="00AC499C" w:rsidP="00524DBF">
            <w:pPr>
              <w:ind w:firstLine="720"/>
              <w:jc w:val="center"/>
              <w:rPr>
                <w:rFonts w:eastAsia="Calibri"/>
                <w:sz w:val="20"/>
                <w:szCs w:val="20"/>
              </w:rPr>
            </w:pPr>
            <w:r w:rsidRPr="001F6E62">
              <w:rPr>
                <w:rFonts w:eastAsia="Calibri"/>
                <w:sz w:val="20"/>
                <w:szCs w:val="20"/>
              </w:rPr>
              <w:t>—</w:t>
            </w:r>
          </w:p>
        </w:tc>
        <w:tc>
          <w:tcPr>
            <w:tcW w:w="1275" w:type="dxa"/>
            <w:shd w:val="clear" w:color="auto" w:fill="auto"/>
            <w:noWrap/>
            <w:vAlign w:val="center"/>
            <w:hideMark/>
          </w:tcPr>
          <w:p w:rsidR="00AC499C" w:rsidRPr="001F6E62" w:rsidRDefault="00AC499C" w:rsidP="00524DBF">
            <w:pPr>
              <w:ind w:firstLine="720"/>
              <w:jc w:val="center"/>
              <w:rPr>
                <w:rFonts w:eastAsia="Calibri"/>
                <w:sz w:val="20"/>
                <w:szCs w:val="20"/>
              </w:rPr>
            </w:pPr>
            <w:r w:rsidRPr="001F6E62">
              <w:rPr>
                <w:rFonts w:eastAsia="Calibri"/>
                <w:sz w:val="20"/>
                <w:szCs w:val="20"/>
              </w:rPr>
              <w:t>—</w:t>
            </w:r>
          </w:p>
        </w:tc>
        <w:tc>
          <w:tcPr>
            <w:tcW w:w="1418" w:type="dxa"/>
            <w:shd w:val="clear" w:color="auto" w:fill="auto"/>
            <w:noWrap/>
            <w:vAlign w:val="center"/>
            <w:hideMark/>
          </w:tcPr>
          <w:p w:rsidR="00AC499C" w:rsidRPr="001F6E62" w:rsidRDefault="00AC499C" w:rsidP="00524DBF">
            <w:pPr>
              <w:ind w:firstLine="720"/>
              <w:jc w:val="center"/>
              <w:rPr>
                <w:rFonts w:eastAsia="Calibri"/>
                <w:sz w:val="20"/>
                <w:szCs w:val="20"/>
                <w:lang w:eastAsia="uk-UA"/>
              </w:rPr>
            </w:pPr>
          </w:p>
        </w:tc>
        <w:tc>
          <w:tcPr>
            <w:tcW w:w="1417" w:type="dxa"/>
            <w:shd w:val="clear" w:color="auto" w:fill="auto"/>
            <w:noWrap/>
            <w:vAlign w:val="center"/>
            <w:hideMark/>
          </w:tcPr>
          <w:p w:rsidR="00AC499C" w:rsidRPr="001F6E62" w:rsidRDefault="00AC499C" w:rsidP="00524DBF">
            <w:pPr>
              <w:ind w:firstLine="720"/>
              <w:jc w:val="center"/>
              <w:rPr>
                <w:rFonts w:eastAsia="Calibri"/>
                <w:sz w:val="20"/>
                <w:szCs w:val="20"/>
              </w:rPr>
            </w:pPr>
            <w:r w:rsidRPr="001F6E62">
              <w:rPr>
                <w:rFonts w:eastAsia="Calibri"/>
                <w:sz w:val="20"/>
                <w:szCs w:val="20"/>
              </w:rPr>
              <w:t>—</w:t>
            </w:r>
          </w:p>
        </w:tc>
        <w:tc>
          <w:tcPr>
            <w:tcW w:w="1276" w:type="dxa"/>
            <w:shd w:val="clear" w:color="auto" w:fill="auto"/>
          </w:tcPr>
          <w:p w:rsidR="00AC499C" w:rsidRPr="001F6E62" w:rsidRDefault="00AC499C" w:rsidP="00524DBF">
            <w:pPr>
              <w:ind w:firstLine="720"/>
              <w:jc w:val="center"/>
              <w:rPr>
                <w:rFonts w:eastAsia="Calibri"/>
                <w:sz w:val="20"/>
                <w:szCs w:val="20"/>
              </w:rPr>
            </w:pPr>
          </w:p>
        </w:tc>
      </w:tr>
      <w:tr w:rsidR="00AC499C" w:rsidRPr="001F6E62" w:rsidTr="00BF0329">
        <w:trPr>
          <w:trHeight w:val="300"/>
        </w:trPr>
        <w:tc>
          <w:tcPr>
            <w:tcW w:w="1701" w:type="dxa"/>
            <w:shd w:val="clear" w:color="auto" w:fill="auto"/>
            <w:vAlign w:val="center"/>
            <w:hideMark/>
          </w:tcPr>
          <w:p w:rsidR="00AC499C" w:rsidRPr="001F6E62" w:rsidRDefault="00AC499C" w:rsidP="00524DBF">
            <w:pPr>
              <w:rPr>
                <w:rFonts w:eastAsia="Calibri"/>
                <w:sz w:val="20"/>
                <w:szCs w:val="20"/>
              </w:rPr>
            </w:pPr>
            <w:r w:rsidRPr="001F6E62">
              <w:rPr>
                <w:rFonts w:eastAsia="Calibri"/>
                <w:sz w:val="20"/>
                <w:szCs w:val="20"/>
              </w:rPr>
              <w:t>у комунальній</w:t>
            </w:r>
          </w:p>
        </w:tc>
        <w:tc>
          <w:tcPr>
            <w:tcW w:w="1560"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36.8046</w:t>
            </w:r>
          </w:p>
        </w:tc>
        <w:tc>
          <w:tcPr>
            <w:tcW w:w="1134"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1.0943</w:t>
            </w:r>
          </w:p>
        </w:tc>
        <w:tc>
          <w:tcPr>
            <w:tcW w:w="1275" w:type="dxa"/>
            <w:shd w:val="clear" w:color="auto" w:fill="auto"/>
            <w:noWrap/>
            <w:vAlign w:val="center"/>
            <w:hideMark/>
          </w:tcPr>
          <w:p w:rsidR="00AC499C" w:rsidRPr="001F6E62" w:rsidRDefault="00AC499C" w:rsidP="00524DBF">
            <w:pPr>
              <w:ind w:firstLine="720"/>
              <w:jc w:val="center"/>
              <w:rPr>
                <w:sz w:val="20"/>
                <w:szCs w:val="20"/>
              </w:rPr>
            </w:pPr>
            <w:r w:rsidRPr="001F6E62">
              <w:rPr>
                <w:sz w:val="20"/>
                <w:szCs w:val="20"/>
              </w:rPr>
              <w:t>—</w:t>
            </w:r>
          </w:p>
        </w:tc>
        <w:tc>
          <w:tcPr>
            <w:tcW w:w="1418" w:type="dxa"/>
            <w:shd w:val="clear" w:color="auto" w:fill="auto"/>
            <w:noWrap/>
            <w:vAlign w:val="center"/>
            <w:hideMark/>
          </w:tcPr>
          <w:p w:rsidR="00AC499C" w:rsidRPr="001F6E62" w:rsidRDefault="00AC499C" w:rsidP="00524DBF">
            <w:pPr>
              <w:ind w:firstLine="720"/>
              <w:jc w:val="center"/>
              <w:rPr>
                <w:rFonts w:eastAsia="Calibri"/>
                <w:sz w:val="20"/>
                <w:szCs w:val="20"/>
                <w:lang w:eastAsia="uk-UA"/>
              </w:rPr>
            </w:pPr>
          </w:p>
        </w:tc>
        <w:tc>
          <w:tcPr>
            <w:tcW w:w="1417"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1.1132</w:t>
            </w:r>
          </w:p>
        </w:tc>
        <w:tc>
          <w:tcPr>
            <w:tcW w:w="1276" w:type="dxa"/>
            <w:shd w:val="clear" w:color="auto" w:fill="auto"/>
          </w:tcPr>
          <w:p w:rsidR="00AC499C" w:rsidRPr="001F6E62" w:rsidRDefault="00AC499C" w:rsidP="00524DBF">
            <w:pPr>
              <w:ind w:firstLine="720"/>
              <w:jc w:val="center"/>
              <w:rPr>
                <w:rFonts w:eastAsia="Calibri"/>
                <w:sz w:val="20"/>
                <w:szCs w:val="20"/>
              </w:rPr>
            </w:pPr>
          </w:p>
        </w:tc>
      </w:tr>
      <w:tr w:rsidR="00AC499C" w:rsidRPr="00E95FB1" w:rsidTr="00BF0329">
        <w:trPr>
          <w:trHeight w:val="300"/>
        </w:trPr>
        <w:tc>
          <w:tcPr>
            <w:tcW w:w="1701" w:type="dxa"/>
            <w:shd w:val="clear" w:color="auto" w:fill="auto"/>
            <w:vAlign w:val="center"/>
            <w:hideMark/>
          </w:tcPr>
          <w:p w:rsidR="00AC499C" w:rsidRPr="001F6E62" w:rsidRDefault="00AC499C" w:rsidP="00524DBF">
            <w:pPr>
              <w:rPr>
                <w:rFonts w:eastAsia="Calibri"/>
                <w:sz w:val="20"/>
                <w:szCs w:val="20"/>
              </w:rPr>
            </w:pPr>
            <w:r w:rsidRPr="001F6E62">
              <w:rPr>
                <w:rFonts w:eastAsia="Calibri"/>
                <w:sz w:val="20"/>
                <w:szCs w:val="20"/>
              </w:rPr>
              <w:t xml:space="preserve">у </w:t>
            </w:r>
            <w:proofErr w:type="spellStart"/>
            <w:r w:rsidRPr="001F6E62">
              <w:rPr>
                <w:rFonts w:eastAsia="Calibri"/>
                <w:sz w:val="20"/>
                <w:szCs w:val="20"/>
              </w:rPr>
              <w:t>т.ч</w:t>
            </w:r>
            <w:proofErr w:type="spellEnd"/>
            <w:r w:rsidRPr="001F6E62">
              <w:rPr>
                <w:rFonts w:eastAsia="Calibri"/>
                <w:sz w:val="20"/>
                <w:szCs w:val="20"/>
              </w:rPr>
              <w:t>. с/г угідь:</w:t>
            </w:r>
          </w:p>
        </w:tc>
        <w:tc>
          <w:tcPr>
            <w:tcW w:w="1560"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0.3402</w:t>
            </w:r>
          </w:p>
        </w:tc>
        <w:tc>
          <w:tcPr>
            <w:tcW w:w="1134" w:type="dxa"/>
            <w:shd w:val="clear" w:color="auto" w:fill="auto"/>
            <w:noWrap/>
            <w:vAlign w:val="center"/>
            <w:hideMark/>
          </w:tcPr>
          <w:p w:rsidR="00AC499C" w:rsidRPr="001F6E62" w:rsidRDefault="00AC499C" w:rsidP="00524DBF">
            <w:pPr>
              <w:ind w:firstLine="720"/>
              <w:jc w:val="center"/>
              <w:rPr>
                <w:rFonts w:eastAsia="Calibri"/>
                <w:sz w:val="20"/>
                <w:szCs w:val="20"/>
              </w:rPr>
            </w:pPr>
            <w:r w:rsidRPr="001F6E62">
              <w:rPr>
                <w:rFonts w:eastAsia="Calibri"/>
                <w:sz w:val="20"/>
                <w:szCs w:val="20"/>
              </w:rPr>
              <w:t>—</w:t>
            </w:r>
          </w:p>
        </w:tc>
        <w:tc>
          <w:tcPr>
            <w:tcW w:w="1275" w:type="dxa"/>
            <w:shd w:val="clear" w:color="auto" w:fill="auto"/>
            <w:noWrap/>
            <w:vAlign w:val="center"/>
            <w:hideMark/>
          </w:tcPr>
          <w:p w:rsidR="00AC499C" w:rsidRPr="001F6E62" w:rsidRDefault="00AC499C" w:rsidP="00524DBF">
            <w:pPr>
              <w:ind w:firstLine="720"/>
              <w:jc w:val="center"/>
              <w:rPr>
                <w:rFonts w:eastAsia="Calibri"/>
                <w:sz w:val="20"/>
                <w:szCs w:val="20"/>
              </w:rPr>
            </w:pPr>
            <w:r w:rsidRPr="001F6E62">
              <w:rPr>
                <w:rFonts w:eastAsia="Calibri"/>
                <w:sz w:val="20"/>
                <w:szCs w:val="20"/>
              </w:rPr>
              <w:t>—</w:t>
            </w:r>
          </w:p>
        </w:tc>
        <w:tc>
          <w:tcPr>
            <w:tcW w:w="1418" w:type="dxa"/>
            <w:shd w:val="clear" w:color="auto" w:fill="auto"/>
            <w:noWrap/>
            <w:vAlign w:val="center"/>
            <w:hideMark/>
          </w:tcPr>
          <w:p w:rsidR="00AC499C" w:rsidRPr="001F6E62" w:rsidRDefault="00AC499C" w:rsidP="00524DBF">
            <w:pPr>
              <w:ind w:firstLine="720"/>
              <w:jc w:val="center"/>
              <w:rPr>
                <w:rFonts w:eastAsia="Calibri"/>
                <w:sz w:val="20"/>
                <w:szCs w:val="20"/>
                <w:lang w:eastAsia="uk-UA"/>
              </w:rPr>
            </w:pPr>
          </w:p>
        </w:tc>
        <w:tc>
          <w:tcPr>
            <w:tcW w:w="1417" w:type="dxa"/>
            <w:shd w:val="clear" w:color="auto" w:fill="auto"/>
            <w:noWrap/>
            <w:vAlign w:val="center"/>
            <w:hideMark/>
          </w:tcPr>
          <w:p w:rsidR="00AC499C" w:rsidRPr="00E95FB1" w:rsidRDefault="00AC499C" w:rsidP="00524DBF">
            <w:pPr>
              <w:jc w:val="center"/>
              <w:rPr>
                <w:rFonts w:eastAsia="Calibri"/>
                <w:sz w:val="20"/>
                <w:szCs w:val="20"/>
              </w:rPr>
            </w:pPr>
            <w:r w:rsidRPr="001F6E62">
              <w:rPr>
                <w:rFonts w:eastAsia="Calibri"/>
                <w:sz w:val="20"/>
                <w:szCs w:val="20"/>
              </w:rPr>
              <w:t>0.1182</w:t>
            </w:r>
          </w:p>
        </w:tc>
        <w:tc>
          <w:tcPr>
            <w:tcW w:w="1276" w:type="dxa"/>
            <w:shd w:val="clear" w:color="auto" w:fill="auto"/>
          </w:tcPr>
          <w:p w:rsidR="00AC499C" w:rsidRPr="00E95FB1" w:rsidRDefault="00AC499C" w:rsidP="00524DBF">
            <w:pPr>
              <w:ind w:firstLine="720"/>
              <w:jc w:val="center"/>
              <w:rPr>
                <w:rFonts w:eastAsia="Calibri"/>
                <w:sz w:val="20"/>
                <w:szCs w:val="20"/>
              </w:rPr>
            </w:pPr>
          </w:p>
        </w:tc>
      </w:tr>
    </w:tbl>
    <w:p w:rsidR="00AC499C" w:rsidRPr="00301050" w:rsidRDefault="00736188" w:rsidP="00AC499C">
      <w:pPr>
        <w:rPr>
          <w:rFonts w:eastAsia="Calibri"/>
          <w:sz w:val="22"/>
          <w:szCs w:val="22"/>
        </w:rPr>
      </w:pPr>
      <w:r w:rsidRPr="00301050">
        <w:rPr>
          <w:rFonts w:eastAsia="Calibri"/>
          <w:sz w:val="22"/>
          <w:szCs w:val="22"/>
        </w:rPr>
        <w:t>*</w:t>
      </w:r>
      <w:r w:rsidR="00301050" w:rsidRPr="00301050">
        <w:rPr>
          <w:rFonts w:eastAsia="Calibri"/>
          <w:sz w:val="22"/>
          <w:szCs w:val="22"/>
        </w:rPr>
        <w:t xml:space="preserve">У таблиці відсутні дані </w:t>
      </w:r>
      <w:r w:rsidR="00301050">
        <w:rPr>
          <w:rFonts w:eastAsia="Calibri"/>
          <w:sz w:val="22"/>
          <w:szCs w:val="22"/>
        </w:rPr>
        <w:t xml:space="preserve">по </w:t>
      </w:r>
      <w:proofErr w:type="spellStart"/>
      <w:r w:rsidR="007011CE" w:rsidRPr="007011CE">
        <w:rPr>
          <w:rFonts w:eastAsia="Calibri"/>
          <w:sz w:val="22"/>
          <w:szCs w:val="22"/>
        </w:rPr>
        <w:t>Смолянинівськ</w:t>
      </w:r>
      <w:r w:rsidR="007011CE">
        <w:rPr>
          <w:rFonts w:eastAsia="Calibri"/>
          <w:sz w:val="22"/>
          <w:szCs w:val="22"/>
        </w:rPr>
        <w:t>ому</w:t>
      </w:r>
      <w:proofErr w:type="spellEnd"/>
      <w:r w:rsidR="007011CE" w:rsidRPr="007011CE">
        <w:rPr>
          <w:rFonts w:eastAsia="Calibri"/>
          <w:sz w:val="22"/>
          <w:szCs w:val="22"/>
        </w:rPr>
        <w:t xml:space="preserve"> та </w:t>
      </w:r>
      <w:proofErr w:type="spellStart"/>
      <w:r w:rsidR="007011CE" w:rsidRPr="007011CE">
        <w:rPr>
          <w:rFonts w:eastAsia="Calibri"/>
          <w:sz w:val="22"/>
          <w:szCs w:val="22"/>
        </w:rPr>
        <w:t>Новоастраханськ</w:t>
      </w:r>
      <w:r w:rsidR="007011CE">
        <w:rPr>
          <w:rFonts w:eastAsia="Calibri"/>
          <w:sz w:val="22"/>
          <w:szCs w:val="22"/>
        </w:rPr>
        <w:t>ому</w:t>
      </w:r>
      <w:proofErr w:type="spellEnd"/>
      <w:r w:rsidR="007011CE" w:rsidRPr="007011CE">
        <w:rPr>
          <w:rFonts w:eastAsia="Calibri"/>
          <w:sz w:val="22"/>
          <w:szCs w:val="22"/>
        </w:rPr>
        <w:t xml:space="preserve"> </w:t>
      </w:r>
      <w:proofErr w:type="spellStart"/>
      <w:r w:rsidR="007011CE" w:rsidRPr="007011CE">
        <w:rPr>
          <w:rFonts w:eastAsia="Calibri"/>
          <w:sz w:val="22"/>
          <w:szCs w:val="22"/>
        </w:rPr>
        <w:t>старостинськи</w:t>
      </w:r>
      <w:r w:rsidR="007011CE">
        <w:rPr>
          <w:rFonts w:eastAsia="Calibri"/>
          <w:sz w:val="22"/>
          <w:szCs w:val="22"/>
        </w:rPr>
        <w:t>м</w:t>
      </w:r>
      <w:proofErr w:type="spellEnd"/>
      <w:r w:rsidR="007011CE" w:rsidRPr="007011CE">
        <w:rPr>
          <w:rFonts w:eastAsia="Calibri"/>
          <w:sz w:val="22"/>
          <w:szCs w:val="22"/>
        </w:rPr>
        <w:t xml:space="preserve"> округ</w:t>
      </w:r>
      <w:r w:rsidR="007011CE">
        <w:rPr>
          <w:rFonts w:eastAsia="Calibri"/>
          <w:sz w:val="22"/>
          <w:szCs w:val="22"/>
        </w:rPr>
        <w:t>ам. У зв</w:t>
      </w:r>
      <w:r w:rsidR="007011CE" w:rsidRPr="007011CE">
        <w:rPr>
          <w:rFonts w:eastAsia="Calibri"/>
          <w:sz w:val="22"/>
          <w:szCs w:val="22"/>
        </w:rPr>
        <w:t>’</w:t>
      </w:r>
      <w:r w:rsidR="007011CE">
        <w:rPr>
          <w:rFonts w:eastAsia="Calibri"/>
          <w:sz w:val="22"/>
          <w:szCs w:val="22"/>
        </w:rPr>
        <w:t xml:space="preserve">язку з тимчасовою окупацією Сєвєродонецької </w:t>
      </w:r>
      <w:r w:rsidR="00391393">
        <w:rPr>
          <w:rFonts w:eastAsia="Calibri"/>
          <w:sz w:val="22"/>
          <w:szCs w:val="22"/>
        </w:rPr>
        <w:t>м</w:t>
      </w:r>
      <w:r w:rsidR="007011CE">
        <w:rPr>
          <w:rFonts w:eastAsia="Calibri"/>
          <w:sz w:val="22"/>
          <w:szCs w:val="22"/>
        </w:rPr>
        <w:t>іської територіальної громад</w:t>
      </w:r>
      <w:r w:rsidR="00391393">
        <w:rPr>
          <w:rFonts w:eastAsia="Calibri"/>
          <w:sz w:val="22"/>
          <w:szCs w:val="22"/>
        </w:rPr>
        <w:t>и</w:t>
      </w:r>
      <w:r w:rsidR="007011CE">
        <w:rPr>
          <w:rFonts w:eastAsia="Calibri"/>
          <w:sz w:val="22"/>
          <w:szCs w:val="22"/>
        </w:rPr>
        <w:t xml:space="preserve"> наразі неможливо визначити  площу земель зазначених територій.</w:t>
      </w:r>
    </w:p>
    <w:p w:rsidR="00AC499C" w:rsidRDefault="00AC499C" w:rsidP="000303D7">
      <w:pPr>
        <w:pStyle w:val="a7"/>
        <w:numPr>
          <w:ilvl w:val="0"/>
          <w:numId w:val="8"/>
        </w:numPr>
        <w:rPr>
          <w:rFonts w:eastAsia="Calibri"/>
          <w:u w:val="single"/>
          <w:lang w:eastAsia="uk-UA"/>
        </w:rPr>
      </w:pPr>
      <w:r w:rsidRPr="004F13D4">
        <w:rPr>
          <w:rFonts w:eastAsia="Calibri"/>
          <w:u w:val="single"/>
          <w:lang w:eastAsia="uk-UA"/>
        </w:rPr>
        <w:t xml:space="preserve">Водні ресурси: </w:t>
      </w:r>
    </w:p>
    <w:p w:rsidR="00AC499C" w:rsidRDefault="00AC499C" w:rsidP="00AC499C">
      <w:pPr>
        <w:rPr>
          <w:rFonts w:eastAsia="Calibri"/>
        </w:rPr>
      </w:pPr>
    </w:p>
    <w:p w:rsidR="00AC499C" w:rsidRPr="00355733" w:rsidRDefault="00506413" w:rsidP="00AC499C">
      <w:pPr>
        <w:ind w:firstLine="720"/>
        <w:rPr>
          <w:rFonts w:eastAsia="Calibri"/>
        </w:rPr>
      </w:pPr>
      <w:r>
        <w:rPr>
          <w:rFonts w:eastAsia="Calibri"/>
        </w:rPr>
        <w:t>Водопостачання як самого міста, так і інших міст південної частини Луганської області здійснювалося за рахунок артезіанських вод</w:t>
      </w:r>
      <w:r w:rsidR="00AC499C" w:rsidRPr="00355733">
        <w:rPr>
          <w:rFonts w:eastAsia="Calibri"/>
        </w:rPr>
        <w:t>. До по</w:t>
      </w:r>
      <w:r w:rsidR="007268BC">
        <w:rPr>
          <w:rFonts w:eastAsia="Calibri"/>
        </w:rPr>
        <w:t>чатку військової агресії</w:t>
      </w:r>
      <w:r w:rsidR="00AC499C" w:rsidRPr="00355733">
        <w:rPr>
          <w:rFonts w:eastAsia="Calibri"/>
        </w:rPr>
        <w:t xml:space="preserve"> 2014 року артезіанська вода, що видобувалась в Сєвєродонецьку, покривала 70% всього водоспоживання області</w:t>
      </w:r>
      <w:r w:rsidR="00A43C57">
        <w:rPr>
          <w:rFonts w:eastAsia="Calibri"/>
        </w:rPr>
        <w:t>.</w:t>
      </w:r>
    </w:p>
    <w:p w:rsidR="00AC499C" w:rsidRPr="00355733" w:rsidRDefault="00AC499C" w:rsidP="00AC499C">
      <w:pPr>
        <w:ind w:firstLine="720"/>
        <w:rPr>
          <w:rFonts w:eastAsia="Calibri"/>
        </w:rPr>
      </w:pPr>
    </w:p>
    <w:p w:rsidR="00AC499C" w:rsidRPr="00B12E15" w:rsidRDefault="00AC499C" w:rsidP="00AC499C">
      <w:pPr>
        <w:ind w:firstLine="720"/>
        <w:rPr>
          <w:rFonts w:eastAsia="Calibri"/>
        </w:rPr>
      </w:pPr>
      <w:r w:rsidRPr="00355733">
        <w:rPr>
          <w:rFonts w:eastAsia="Calibri"/>
        </w:rPr>
        <w:t>Станом на 01.01.2021 в Луганській області нарахову</w:t>
      </w:r>
      <w:r w:rsidR="00C367E8">
        <w:rPr>
          <w:rFonts w:eastAsia="Calibri"/>
        </w:rPr>
        <w:t>валось</w:t>
      </w:r>
      <w:r w:rsidRPr="00355733">
        <w:rPr>
          <w:rFonts w:eastAsia="Calibri"/>
        </w:rPr>
        <w:t xml:space="preserve"> 52 ділянки родовищ питних підземних вод, експлуатаційні запаси яких складають 1228,937 тис. м</w:t>
      </w:r>
      <w:r w:rsidRPr="007268BC">
        <w:rPr>
          <w:rFonts w:eastAsia="Calibri"/>
          <w:vertAlign w:val="superscript"/>
        </w:rPr>
        <w:t>3</w:t>
      </w:r>
      <w:r w:rsidRPr="00355733">
        <w:rPr>
          <w:rFonts w:eastAsia="Calibri"/>
        </w:rPr>
        <w:t>/добу за категоріями А+В+С1. Крім цього, на території області експлуатується 2 водозабори (</w:t>
      </w:r>
      <w:proofErr w:type="spellStart"/>
      <w:r w:rsidRPr="00355733">
        <w:rPr>
          <w:rFonts w:eastAsia="Calibri"/>
        </w:rPr>
        <w:t>Мет</w:t>
      </w:r>
      <w:r w:rsidR="00635341">
        <w:rPr>
          <w:rFonts w:eastAsia="Calibri"/>
        </w:rPr>
        <w:t>ьо</w:t>
      </w:r>
      <w:r w:rsidRPr="00355733">
        <w:rPr>
          <w:rFonts w:eastAsia="Calibri"/>
        </w:rPr>
        <w:t>лкінський</w:t>
      </w:r>
      <w:proofErr w:type="spellEnd"/>
      <w:r w:rsidRPr="00355733">
        <w:rPr>
          <w:rFonts w:eastAsia="Calibri"/>
        </w:rPr>
        <w:t>, Ліс</w:t>
      </w:r>
      <w:r w:rsidR="00614D13">
        <w:rPr>
          <w:rFonts w:eastAsia="Calibri"/>
        </w:rPr>
        <w:t>н</w:t>
      </w:r>
      <w:r w:rsidRPr="00355733">
        <w:rPr>
          <w:rFonts w:eastAsia="Calibri"/>
        </w:rPr>
        <w:t>а Дача</w:t>
      </w:r>
      <w:r w:rsidR="006E6D86">
        <w:rPr>
          <w:rFonts w:eastAsia="Calibri"/>
        </w:rPr>
        <w:t>)</w:t>
      </w:r>
      <w:r w:rsidRPr="00355733">
        <w:rPr>
          <w:rFonts w:eastAsia="Calibri"/>
        </w:rPr>
        <w:t xml:space="preserve"> з продуктивністю &gt;1,0 тис. м3 /добу на незатверджених запасах підземних вод.</w:t>
      </w:r>
    </w:p>
    <w:p w:rsidR="00AC499C" w:rsidRDefault="00AC499C" w:rsidP="00AC499C">
      <w:pPr>
        <w:ind w:firstLine="720"/>
        <w:rPr>
          <w:rFonts w:eastAsia="Calibri"/>
          <w:lang w:eastAsia="uk-UA"/>
        </w:rPr>
      </w:pPr>
    </w:p>
    <w:p w:rsidR="00AC499C" w:rsidRDefault="00AC499C" w:rsidP="00AC499C">
      <w:pPr>
        <w:ind w:firstLine="720"/>
        <w:rPr>
          <w:rFonts w:eastAsia="Calibri"/>
          <w:lang w:eastAsia="uk-UA"/>
        </w:rPr>
      </w:pPr>
      <w:r w:rsidRPr="00E95FB1">
        <w:rPr>
          <w:rFonts w:eastAsia="Calibri"/>
          <w:lang w:eastAsia="uk-UA"/>
        </w:rPr>
        <w:t xml:space="preserve">До початку військової агресії </w:t>
      </w:r>
      <w:r w:rsidR="00614D13">
        <w:rPr>
          <w:rFonts w:eastAsia="Calibri"/>
          <w:lang w:eastAsia="uk-UA"/>
        </w:rPr>
        <w:t>РФ</w:t>
      </w:r>
      <w:r w:rsidRPr="00E95FB1">
        <w:rPr>
          <w:rFonts w:eastAsia="Calibri"/>
          <w:lang w:eastAsia="uk-UA"/>
        </w:rPr>
        <w:t xml:space="preserve"> проти України для забезпечення послуги централізованого водопостачання в м. Сєвєродонецьку, житловому районі </w:t>
      </w:r>
      <w:proofErr w:type="spellStart"/>
      <w:r w:rsidRPr="00E95FB1">
        <w:rPr>
          <w:rFonts w:eastAsia="Calibri"/>
          <w:lang w:eastAsia="uk-UA"/>
        </w:rPr>
        <w:t>Щедрищеве</w:t>
      </w:r>
      <w:proofErr w:type="spellEnd"/>
      <w:r w:rsidRPr="00E95FB1">
        <w:rPr>
          <w:rFonts w:eastAsia="Calibri"/>
          <w:lang w:eastAsia="uk-UA"/>
        </w:rPr>
        <w:t xml:space="preserve">, смт. Сиротине, с. Павлоград, с. </w:t>
      </w:r>
      <w:proofErr w:type="spellStart"/>
      <w:r w:rsidRPr="00E95FB1">
        <w:rPr>
          <w:rFonts w:eastAsia="Calibri"/>
          <w:lang w:eastAsia="uk-UA"/>
        </w:rPr>
        <w:t>Синецький</w:t>
      </w:r>
      <w:proofErr w:type="spellEnd"/>
      <w:r w:rsidRPr="00E95FB1">
        <w:rPr>
          <w:rFonts w:eastAsia="Calibri"/>
          <w:lang w:eastAsia="uk-UA"/>
        </w:rPr>
        <w:t xml:space="preserve"> та с. Лісна Дача підйом води здійснювався з 24 артезіанських свердловин </w:t>
      </w:r>
      <w:proofErr w:type="spellStart"/>
      <w:r w:rsidRPr="00E95FB1">
        <w:rPr>
          <w:rFonts w:eastAsia="Calibri"/>
          <w:lang w:eastAsia="uk-UA"/>
        </w:rPr>
        <w:t>Замулівського</w:t>
      </w:r>
      <w:proofErr w:type="spellEnd"/>
      <w:r w:rsidRPr="00E95FB1">
        <w:rPr>
          <w:rFonts w:eastAsia="Calibri"/>
          <w:lang w:eastAsia="uk-UA"/>
        </w:rPr>
        <w:t xml:space="preserve"> та </w:t>
      </w:r>
      <w:proofErr w:type="spellStart"/>
      <w:r w:rsidRPr="00E95FB1">
        <w:rPr>
          <w:rFonts w:eastAsia="Calibri"/>
          <w:lang w:eastAsia="uk-UA"/>
        </w:rPr>
        <w:t>Щедрищівського</w:t>
      </w:r>
      <w:proofErr w:type="spellEnd"/>
      <w:r w:rsidRPr="00E95FB1">
        <w:rPr>
          <w:rFonts w:eastAsia="Calibri"/>
          <w:lang w:eastAsia="uk-UA"/>
        </w:rPr>
        <w:t xml:space="preserve"> водозаборів та для централізованого водопостачання в смт. Воронове здійснювався підйом води з артезіанської свердловини смт. Воронове.</w:t>
      </w:r>
    </w:p>
    <w:p w:rsidR="00AC499C" w:rsidRPr="00E95FB1" w:rsidRDefault="00AC499C" w:rsidP="00AC499C">
      <w:pPr>
        <w:ind w:firstLine="720"/>
        <w:rPr>
          <w:rFonts w:eastAsia="Calibri"/>
          <w:lang w:eastAsia="uk-UA"/>
        </w:rPr>
      </w:pPr>
    </w:p>
    <w:p w:rsidR="00AC499C" w:rsidRDefault="00AC499C" w:rsidP="00AC499C">
      <w:pPr>
        <w:ind w:firstLine="720"/>
        <w:rPr>
          <w:rFonts w:eastAsia="Calibri"/>
          <w:lang w:eastAsia="uk-UA"/>
        </w:rPr>
      </w:pPr>
      <w:r w:rsidRPr="00E95FB1">
        <w:rPr>
          <w:rFonts w:eastAsia="Calibri"/>
          <w:lang w:eastAsia="uk-UA"/>
        </w:rPr>
        <w:t xml:space="preserve">Продуктивність </w:t>
      </w:r>
      <w:proofErr w:type="spellStart"/>
      <w:r w:rsidRPr="00E95FB1">
        <w:rPr>
          <w:rFonts w:eastAsia="Calibri"/>
          <w:lang w:eastAsia="uk-UA"/>
        </w:rPr>
        <w:t>Щедрищівського</w:t>
      </w:r>
      <w:proofErr w:type="spellEnd"/>
      <w:r w:rsidRPr="00E95FB1">
        <w:rPr>
          <w:rFonts w:eastAsia="Calibri"/>
          <w:lang w:eastAsia="uk-UA"/>
        </w:rPr>
        <w:t xml:space="preserve"> водозабору становила 25,0 тис. м</w:t>
      </w:r>
      <w:r w:rsidRPr="00E95FB1">
        <w:rPr>
          <w:rFonts w:eastAsia="Calibri"/>
          <w:vertAlign w:val="superscript"/>
          <w:lang w:eastAsia="uk-UA"/>
        </w:rPr>
        <w:t>3</w:t>
      </w:r>
      <w:r w:rsidRPr="00E95FB1">
        <w:rPr>
          <w:rFonts w:eastAsia="Calibri"/>
          <w:lang w:eastAsia="uk-UA"/>
        </w:rPr>
        <w:t xml:space="preserve">/добу. </w:t>
      </w:r>
    </w:p>
    <w:p w:rsidR="00AC499C" w:rsidRDefault="00AC499C" w:rsidP="00AC499C">
      <w:pPr>
        <w:ind w:firstLine="720"/>
        <w:rPr>
          <w:rFonts w:eastAsia="Calibri"/>
          <w:lang w:eastAsia="uk-UA"/>
        </w:rPr>
      </w:pPr>
      <w:r w:rsidRPr="00E95FB1">
        <w:rPr>
          <w:rFonts w:eastAsia="Calibri"/>
          <w:lang w:eastAsia="uk-UA"/>
        </w:rPr>
        <w:t xml:space="preserve">Продуктивність </w:t>
      </w:r>
      <w:proofErr w:type="spellStart"/>
      <w:r w:rsidRPr="00E95FB1">
        <w:rPr>
          <w:rFonts w:eastAsia="Calibri"/>
          <w:lang w:eastAsia="uk-UA"/>
        </w:rPr>
        <w:t>Замулівського</w:t>
      </w:r>
      <w:proofErr w:type="spellEnd"/>
      <w:r w:rsidRPr="00E95FB1">
        <w:rPr>
          <w:rFonts w:eastAsia="Calibri"/>
          <w:lang w:eastAsia="uk-UA"/>
        </w:rPr>
        <w:t xml:space="preserve"> водозабору становила 43,2 тис. м</w:t>
      </w:r>
      <w:r w:rsidRPr="00E95FB1">
        <w:rPr>
          <w:rFonts w:eastAsia="Calibri"/>
          <w:vertAlign w:val="superscript"/>
          <w:lang w:eastAsia="uk-UA"/>
        </w:rPr>
        <w:t>3</w:t>
      </w:r>
      <w:r w:rsidRPr="00E95FB1">
        <w:rPr>
          <w:rFonts w:eastAsia="Calibri"/>
          <w:lang w:eastAsia="uk-UA"/>
        </w:rPr>
        <w:t xml:space="preserve">/добу. </w:t>
      </w:r>
    </w:p>
    <w:p w:rsidR="00AC499C" w:rsidRDefault="00AC499C" w:rsidP="00AC499C">
      <w:pPr>
        <w:ind w:firstLine="720"/>
        <w:rPr>
          <w:rFonts w:eastAsia="Calibri"/>
          <w:lang w:eastAsia="uk-UA"/>
        </w:rPr>
      </w:pPr>
    </w:p>
    <w:p w:rsidR="00844F97" w:rsidRDefault="00AC499C" w:rsidP="00844F97">
      <w:pPr>
        <w:ind w:firstLine="720"/>
        <w:rPr>
          <w:rFonts w:eastAsia="Calibri"/>
          <w:lang w:eastAsia="uk-UA"/>
        </w:rPr>
      </w:pPr>
      <w:r w:rsidRPr="00E95FB1">
        <w:rPr>
          <w:rFonts w:eastAsia="Calibri"/>
          <w:lang w:eastAsia="uk-UA"/>
        </w:rPr>
        <w:t xml:space="preserve">Вода з артезіанських свердловин </w:t>
      </w:r>
      <w:proofErr w:type="spellStart"/>
      <w:r w:rsidRPr="00E95FB1">
        <w:rPr>
          <w:rFonts w:eastAsia="Calibri"/>
          <w:lang w:eastAsia="uk-UA"/>
        </w:rPr>
        <w:t>Щедрищівського</w:t>
      </w:r>
      <w:proofErr w:type="spellEnd"/>
      <w:r w:rsidRPr="00E95FB1">
        <w:rPr>
          <w:rFonts w:eastAsia="Calibri"/>
          <w:lang w:eastAsia="uk-UA"/>
        </w:rPr>
        <w:t xml:space="preserve"> та </w:t>
      </w:r>
      <w:proofErr w:type="spellStart"/>
      <w:r w:rsidRPr="00E95FB1">
        <w:rPr>
          <w:rFonts w:eastAsia="Calibri"/>
          <w:lang w:eastAsia="uk-UA"/>
        </w:rPr>
        <w:t>Замулівського</w:t>
      </w:r>
      <w:proofErr w:type="spellEnd"/>
      <w:r w:rsidRPr="00E95FB1">
        <w:rPr>
          <w:rFonts w:eastAsia="Calibri"/>
          <w:lang w:eastAsia="uk-UA"/>
        </w:rPr>
        <w:t xml:space="preserve"> водозаборів по водопровідній мережі подавалася в резервуари чистої води. Зараз ці водозабори зруйновані. </w:t>
      </w:r>
      <w:r w:rsidR="00844F97">
        <w:rPr>
          <w:rFonts w:eastAsia="Calibri"/>
          <w:lang w:eastAsia="uk-UA"/>
        </w:rPr>
        <w:t>Ці водозабори мають високе стратегічне значення, оскільки їх значимість для забезпечення водою потреб нашої громади є достатньо великою.</w:t>
      </w:r>
    </w:p>
    <w:p w:rsidR="00AC499C" w:rsidRPr="00E95FB1" w:rsidRDefault="00AC499C" w:rsidP="00AC499C">
      <w:pPr>
        <w:ind w:firstLine="720"/>
        <w:rPr>
          <w:rFonts w:eastAsia="Calibri"/>
          <w:lang w:eastAsia="uk-UA"/>
        </w:rPr>
      </w:pPr>
    </w:p>
    <w:p w:rsidR="00AC499C" w:rsidRPr="00B12E15" w:rsidRDefault="00AC499C" w:rsidP="000303D7">
      <w:pPr>
        <w:pStyle w:val="a7"/>
        <w:numPr>
          <w:ilvl w:val="0"/>
          <w:numId w:val="8"/>
        </w:numPr>
        <w:rPr>
          <w:rFonts w:eastAsia="Calibri"/>
          <w:u w:val="single"/>
          <w:lang w:eastAsia="uk-UA"/>
        </w:rPr>
      </w:pPr>
      <w:r w:rsidRPr="00B12E15">
        <w:rPr>
          <w:rFonts w:eastAsia="Calibri"/>
          <w:u w:val="single"/>
          <w:lang w:eastAsia="uk-UA"/>
        </w:rPr>
        <w:t>Геологія:</w:t>
      </w:r>
    </w:p>
    <w:p w:rsidR="00AC499C" w:rsidRDefault="00AC499C" w:rsidP="00AC499C">
      <w:pPr>
        <w:ind w:firstLine="720"/>
        <w:rPr>
          <w:rFonts w:eastAsia="Calibri"/>
        </w:rPr>
      </w:pPr>
    </w:p>
    <w:p w:rsidR="00AC499C" w:rsidRPr="00E95FB1" w:rsidRDefault="00AC499C" w:rsidP="00AC499C">
      <w:pPr>
        <w:ind w:firstLine="720"/>
        <w:rPr>
          <w:rFonts w:eastAsia="Calibri"/>
        </w:rPr>
      </w:pPr>
      <w:r w:rsidRPr="00E95FB1">
        <w:rPr>
          <w:rFonts w:eastAsia="Calibri"/>
        </w:rPr>
        <w:t xml:space="preserve">Фундаментом осадової товщі району Сєвєродонецької міської територіальної громади служать докембрійські кристалічні породи. Основну потужність осадових порід становить товща карбону потужністю 2,2 км, які перекриваються мезозойським осадовим чохлом потужністю 600 м. Товща тріасових </w:t>
      </w:r>
      <w:proofErr w:type="spellStart"/>
      <w:r w:rsidRPr="00E95FB1">
        <w:rPr>
          <w:rFonts w:eastAsia="Calibri"/>
        </w:rPr>
        <w:t>аргилитів</w:t>
      </w:r>
      <w:proofErr w:type="spellEnd"/>
      <w:r w:rsidRPr="00E95FB1">
        <w:rPr>
          <w:rFonts w:eastAsia="Calibri"/>
        </w:rPr>
        <w:t xml:space="preserve">, алевролітів, пісковиків перекрита </w:t>
      </w:r>
      <w:proofErr w:type="spellStart"/>
      <w:r w:rsidRPr="00E95FB1">
        <w:rPr>
          <w:rFonts w:eastAsia="Calibri"/>
        </w:rPr>
        <w:t>відкладеннями</w:t>
      </w:r>
      <w:proofErr w:type="spellEnd"/>
      <w:r w:rsidRPr="00E95FB1">
        <w:rPr>
          <w:rFonts w:eastAsia="Calibri"/>
        </w:rPr>
        <w:t xml:space="preserve"> верхньої крейди. Верхньокрейдяні відкладення складаються з мергелю, піщаної крейди, піскуватого мергелю.</w:t>
      </w:r>
    </w:p>
    <w:p w:rsidR="00AC499C" w:rsidRDefault="00AC499C" w:rsidP="00AC499C">
      <w:pPr>
        <w:ind w:firstLine="720"/>
        <w:rPr>
          <w:rFonts w:eastAsia="Calibri"/>
        </w:rPr>
      </w:pPr>
    </w:p>
    <w:p w:rsidR="00AC499C" w:rsidRPr="00E95FB1" w:rsidRDefault="00AC499C" w:rsidP="00AC499C">
      <w:pPr>
        <w:ind w:firstLine="720"/>
        <w:rPr>
          <w:rFonts w:eastAsia="Calibri"/>
        </w:rPr>
      </w:pPr>
      <w:r w:rsidRPr="00E95FB1">
        <w:rPr>
          <w:rFonts w:eastAsia="Calibri"/>
        </w:rPr>
        <w:t>Алювіальні піски залягають безпосередньо на крейдяних породах, а місцями крейда оголюється на поверхні. Літологічний склад представлений дрібнозернистими пісками загальною потужністю 12-25 м.</w:t>
      </w:r>
    </w:p>
    <w:p w:rsidR="00AC499C" w:rsidRDefault="00AC499C" w:rsidP="00AC499C">
      <w:pPr>
        <w:ind w:firstLine="720"/>
        <w:rPr>
          <w:rFonts w:eastAsia="Calibri"/>
        </w:rPr>
      </w:pPr>
    </w:p>
    <w:p w:rsidR="00AC499C" w:rsidRPr="00E95FB1" w:rsidRDefault="00AC499C" w:rsidP="00AC499C">
      <w:pPr>
        <w:ind w:firstLine="720"/>
        <w:rPr>
          <w:rFonts w:eastAsia="Calibri"/>
        </w:rPr>
      </w:pPr>
      <w:r w:rsidRPr="00E95FB1">
        <w:rPr>
          <w:rFonts w:eastAsia="Calibri"/>
        </w:rPr>
        <w:t>Еолові відкладення розвитку на четвертинних терасах річок Сіверський Донець та Борова представлені перевіяними пісками. Піски в розрізі зверху вниз змінюються від дрібнозернистих до крупнозернистих.</w:t>
      </w:r>
    </w:p>
    <w:p w:rsidR="00AC499C" w:rsidRDefault="00AC499C" w:rsidP="00AC499C">
      <w:pPr>
        <w:ind w:firstLine="720"/>
        <w:rPr>
          <w:rFonts w:eastAsia="Calibri"/>
        </w:rPr>
      </w:pPr>
    </w:p>
    <w:p w:rsidR="00AC499C" w:rsidRDefault="00AC499C" w:rsidP="00AC499C">
      <w:pPr>
        <w:ind w:firstLine="720"/>
        <w:rPr>
          <w:rFonts w:eastAsia="Calibri"/>
        </w:rPr>
      </w:pPr>
      <w:r w:rsidRPr="00E95FB1">
        <w:rPr>
          <w:rFonts w:eastAsia="Calibri"/>
        </w:rPr>
        <w:t>Бойові дії, які проводились на території громади, призвели до значного пошкодження ґрунтів. Тому вкрай необхідно проводити роботу з їх відновлення.</w:t>
      </w:r>
    </w:p>
    <w:p w:rsidR="00AC499C" w:rsidRPr="00E95FB1" w:rsidRDefault="00AC499C" w:rsidP="00AC499C">
      <w:pPr>
        <w:ind w:firstLine="720"/>
        <w:rPr>
          <w:rFonts w:eastAsia="Calibri"/>
        </w:rPr>
      </w:pPr>
      <w:r w:rsidRPr="00E95FB1">
        <w:rPr>
          <w:rFonts w:eastAsia="Calibri"/>
        </w:rPr>
        <w:t xml:space="preserve"> </w:t>
      </w:r>
    </w:p>
    <w:p w:rsidR="00AC499C" w:rsidRPr="00B12E15" w:rsidRDefault="00AC499C" w:rsidP="000303D7">
      <w:pPr>
        <w:pStyle w:val="a7"/>
        <w:numPr>
          <w:ilvl w:val="0"/>
          <w:numId w:val="8"/>
        </w:numPr>
        <w:rPr>
          <w:rFonts w:eastAsia="Calibri"/>
          <w:u w:val="single"/>
          <w:lang w:eastAsia="uk-UA"/>
        </w:rPr>
      </w:pPr>
      <w:r w:rsidRPr="00B12E15">
        <w:rPr>
          <w:rFonts w:eastAsia="Calibri"/>
          <w:u w:val="single"/>
          <w:lang w:eastAsia="uk-UA"/>
        </w:rPr>
        <w:t>Лісовий фонд:</w:t>
      </w:r>
    </w:p>
    <w:p w:rsidR="00AC499C" w:rsidRDefault="00AC499C" w:rsidP="00AC499C">
      <w:pPr>
        <w:ind w:firstLine="720"/>
        <w:rPr>
          <w:color w:val="000000"/>
        </w:rPr>
      </w:pPr>
    </w:p>
    <w:p w:rsidR="00AC499C" w:rsidRDefault="00AC499C" w:rsidP="00AC499C">
      <w:pPr>
        <w:ind w:firstLine="720"/>
        <w:rPr>
          <w:rFonts w:eastAsia="Calibri"/>
          <w:color w:val="000000"/>
        </w:rPr>
      </w:pPr>
      <w:r>
        <w:rPr>
          <w:rFonts w:eastAsia="Calibri"/>
          <w:color w:val="000000"/>
        </w:rPr>
        <w:lastRenderedPageBreak/>
        <w:t>Сєвєродонецьк</w:t>
      </w:r>
      <w:r w:rsidRPr="00E95FB1">
        <w:rPr>
          <w:rFonts w:eastAsia="Calibri"/>
          <w:color w:val="000000"/>
        </w:rPr>
        <w:t xml:space="preserve"> стоїть на піщаних ґрунтах, що призводить до певних проблем з озелененням. В 50-60 рок</w:t>
      </w:r>
      <w:r w:rsidR="002136B7">
        <w:rPr>
          <w:rFonts w:eastAsia="Calibri"/>
          <w:color w:val="000000"/>
        </w:rPr>
        <w:t>ах</w:t>
      </w:r>
      <w:r w:rsidRPr="00E95FB1">
        <w:rPr>
          <w:rFonts w:eastAsia="Calibri"/>
          <w:color w:val="000000"/>
        </w:rPr>
        <w:t xml:space="preserve"> ХХ століття навколо міста була висаджена сосна і Сєвєродонецьк з усіх боків </w:t>
      </w:r>
      <w:r>
        <w:rPr>
          <w:rFonts w:eastAsia="Calibri"/>
          <w:color w:val="000000"/>
        </w:rPr>
        <w:t xml:space="preserve">був </w:t>
      </w:r>
      <w:r w:rsidRPr="00E95FB1">
        <w:rPr>
          <w:rFonts w:eastAsia="Calibri"/>
          <w:color w:val="000000"/>
        </w:rPr>
        <w:t>захищ</w:t>
      </w:r>
      <w:r>
        <w:rPr>
          <w:rFonts w:eastAsia="Calibri"/>
          <w:color w:val="000000"/>
        </w:rPr>
        <w:t>еним</w:t>
      </w:r>
      <w:r w:rsidRPr="00E95FB1">
        <w:rPr>
          <w:rFonts w:eastAsia="Calibri"/>
          <w:color w:val="000000"/>
        </w:rPr>
        <w:t xml:space="preserve"> від вітрів штучн</w:t>
      </w:r>
      <w:r>
        <w:rPr>
          <w:rFonts w:eastAsia="Calibri"/>
          <w:color w:val="000000"/>
        </w:rPr>
        <w:t>ими</w:t>
      </w:r>
      <w:r w:rsidRPr="00E95FB1">
        <w:rPr>
          <w:rFonts w:eastAsia="Calibri"/>
          <w:color w:val="000000"/>
        </w:rPr>
        <w:t xml:space="preserve"> хвойн</w:t>
      </w:r>
      <w:r>
        <w:rPr>
          <w:rFonts w:eastAsia="Calibri"/>
          <w:color w:val="000000"/>
        </w:rPr>
        <w:t>ими</w:t>
      </w:r>
      <w:r w:rsidRPr="00E95FB1">
        <w:rPr>
          <w:rFonts w:eastAsia="Calibri"/>
          <w:color w:val="000000"/>
        </w:rPr>
        <w:t xml:space="preserve"> ліс</w:t>
      </w:r>
      <w:r>
        <w:rPr>
          <w:rFonts w:eastAsia="Calibri"/>
          <w:color w:val="000000"/>
        </w:rPr>
        <w:t>ами</w:t>
      </w:r>
      <w:r w:rsidRPr="00E95FB1">
        <w:rPr>
          <w:rFonts w:eastAsia="Calibri"/>
          <w:color w:val="000000"/>
        </w:rPr>
        <w:t>.</w:t>
      </w:r>
    </w:p>
    <w:p w:rsidR="00AC499C" w:rsidRDefault="00AC499C" w:rsidP="00AC499C">
      <w:pPr>
        <w:ind w:firstLine="720"/>
        <w:rPr>
          <w:color w:val="000000"/>
        </w:rPr>
      </w:pPr>
    </w:p>
    <w:p w:rsidR="00AC499C" w:rsidRPr="00E95FB1" w:rsidRDefault="00AC499C" w:rsidP="00AC499C">
      <w:pPr>
        <w:ind w:firstLine="720"/>
        <w:rPr>
          <w:color w:val="000000"/>
        </w:rPr>
      </w:pPr>
      <w:r w:rsidRPr="00E95FB1">
        <w:rPr>
          <w:color w:val="000000"/>
        </w:rPr>
        <w:t>Ліси Сєвєродонецької міської територіальної громади – це «легені» Луганської області. Вони мають безцінне екологічне, соціальне та економічне значення. Вони беруть участь у формуванні клімату території, забезпечують киснем, переробляють шкідливі викиди, зберігають водні ресурси та є середовищем існування безлічі рослин і тварин.</w:t>
      </w:r>
    </w:p>
    <w:p w:rsidR="00AC499C" w:rsidRDefault="00AC499C" w:rsidP="00AC499C">
      <w:pPr>
        <w:ind w:firstLine="720"/>
        <w:rPr>
          <w:rFonts w:eastAsia="Calibri"/>
          <w:color w:val="000000"/>
        </w:rPr>
      </w:pPr>
    </w:p>
    <w:p w:rsidR="00AC499C" w:rsidRDefault="00AC499C" w:rsidP="00AC499C">
      <w:pPr>
        <w:ind w:firstLine="720"/>
        <w:rPr>
          <w:rFonts w:eastAsia="Calibri"/>
          <w:color w:val="000000"/>
        </w:rPr>
      </w:pPr>
      <w:r w:rsidRPr="00E95FB1">
        <w:rPr>
          <w:rFonts w:eastAsia="Calibri"/>
          <w:color w:val="000000"/>
        </w:rPr>
        <w:t xml:space="preserve">Лісові ресурси </w:t>
      </w:r>
      <w:r>
        <w:rPr>
          <w:rFonts w:eastAsia="Calibri"/>
          <w:color w:val="000000"/>
        </w:rPr>
        <w:t xml:space="preserve">громади </w:t>
      </w:r>
      <w:r w:rsidRPr="00E95FB1">
        <w:rPr>
          <w:rFonts w:eastAsia="Calibri"/>
          <w:color w:val="000000"/>
        </w:rPr>
        <w:t xml:space="preserve">представлені масивами сухих і вологих хвойних </w:t>
      </w:r>
      <w:r w:rsidR="00975054">
        <w:rPr>
          <w:rFonts w:eastAsia="Calibri"/>
          <w:color w:val="000000"/>
        </w:rPr>
        <w:t>та</w:t>
      </w:r>
      <w:r w:rsidRPr="00E95FB1">
        <w:rPr>
          <w:rFonts w:eastAsia="Calibri"/>
          <w:color w:val="000000"/>
        </w:rPr>
        <w:t xml:space="preserve"> змішаних лісів. Природний склад </w:t>
      </w:r>
      <w:r w:rsidR="00975054">
        <w:rPr>
          <w:rFonts w:eastAsia="Calibri"/>
          <w:color w:val="000000"/>
        </w:rPr>
        <w:t xml:space="preserve">лісів </w:t>
      </w:r>
      <w:r w:rsidRPr="00E95FB1">
        <w:rPr>
          <w:rFonts w:eastAsia="Calibri"/>
          <w:color w:val="000000"/>
        </w:rPr>
        <w:t xml:space="preserve">представлений з таких порід як дуб, сосна. У заплаві Сіверського Донця - листяні ліси з переважанням вільхи, осики. Поблизу м. Сєвєродонецька зона соснових лісів включає урочище </w:t>
      </w:r>
      <w:proofErr w:type="spellStart"/>
      <w:r w:rsidRPr="00E95FB1">
        <w:rPr>
          <w:rFonts w:eastAsia="Calibri"/>
          <w:color w:val="000000"/>
        </w:rPr>
        <w:t>Щедрищеве</w:t>
      </w:r>
      <w:proofErr w:type="spellEnd"/>
      <w:r w:rsidRPr="00E95FB1">
        <w:rPr>
          <w:rFonts w:eastAsia="Calibri"/>
          <w:color w:val="000000"/>
        </w:rPr>
        <w:t>, Глухий Бор.</w:t>
      </w:r>
    </w:p>
    <w:p w:rsidR="00AC499C" w:rsidRDefault="00AC499C" w:rsidP="00AC499C">
      <w:pPr>
        <w:ind w:firstLine="720"/>
        <w:rPr>
          <w:color w:val="000000"/>
        </w:rPr>
      </w:pPr>
    </w:p>
    <w:p w:rsidR="00AC499C" w:rsidRPr="00E95FB1" w:rsidRDefault="00B30939" w:rsidP="00AC499C">
      <w:pPr>
        <w:ind w:firstLine="720"/>
        <w:rPr>
          <w:color w:val="000000"/>
        </w:rPr>
      </w:pPr>
      <w:r>
        <w:rPr>
          <w:color w:val="000000"/>
        </w:rPr>
        <w:t>Територіальна громада розташована в степовій зоні</w:t>
      </w:r>
      <w:r w:rsidR="00AC499C" w:rsidRPr="00E95FB1">
        <w:rPr>
          <w:color w:val="000000"/>
        </w:rPr>
        <w:t xml:space="preserve"> з жорсткими природно-кліматичними умовами, тому відтворення лісових насаджень є головним обов’язком підприємства лісового та мисливського господарства. Землі Сєвєродонецької </w:t>
      </w:r>
      <w:r w:rsidR="00AC499C">
        <w:rPr>
          <w:color w:val="000000"/>
        </w:rPr>
        <w:t>громади</w:t>
      </w:r>
      <w:r w:rsidR="00AC499C" w:rsidRPr="00E95FB1">
        <w:rPr>
          <w:color w:val="000000"/>
        </w:rPr>
        <w:t xml:space="preserve"> на 80-87 % еродовані. Значна частка лісокультурного фонду – це піски, </w:t>
      </w:r>
      <w:proofErr w:type="spellStart"/>
      <w:r w:rsidR="00AC499C" w:rsidRPr="00E95FB1">
        <w:rPr>
          <w:color w:val="000000"/>
        </w:rPr>
        <w:t>крейдяно</w:t>
      </w:r>
      <w:proofErr w:type="spellEnd"/>
      <w:r w:rsidR="00AC499C" w:rsidRPr="00E95FB1">
        <w:rPr>
          <w:color w:val="000000"/>
        </w:rPr>
        <w:t xml:space="preserve">-мергелеві відклади, змиті землі, кам’яні розсипи, </w:t>
      </w:r>
      <w:proofErr w:type="spellStart"/>
      <w:r w:rsidR="00AC499C" w:rsidRPr="00E95FB1">
        <w:rPr>
          <w:color w:val="000000"/>
        </w:rPr>
        <w:t>яружно</w:t>
      </w:r>
      <w:proofErr w:type="spellEnd"/>
      <w:r w:rsidR="00AC499C" w:rsidRPr="00E95FB1">
        <w:rPr>
          <w:color w:val="000000"/>
        </w:rPr>
        <w:t>-балочні землі. Більше 50% нових лісів створю</w:t>
      </w:r>
      <w:r w:rsidR="00551092">
        <w:rPr>
          <w:color w:val="000000"/>
        </w:rPr>
        <w:t>валось</w:t>
      </w:r>
      <w:r w:rsidR="00AC499C" w:rsidRPr="00E95FB1">
        <w:rPr>
          <w:color w:val="000000"/>
        </w:rPr>
        <w:t xml:space="preserve"> з хвойних порід (сосни кримської та звичайної) на бідних і  сухих ґрунтах. З метою покращення приживлюваності та збереженості лісових культур необхідно впроваджувати сучасні технології, застосовувати </w:t>
      </w:r>
      <w:proofErr w:type="spellStart"/>
      <w:r w:rsidR="00AC499C" w:rsidRPr="00E95FB1">
        <w:rPr>
          <w:color w:val="000000"/>
        </w:rPr>
        <w:t>вологонакопичувачі</w:t>
      </w:r>
      <w:proofErr w:type="spellEnd"/>
      <w:r w:rsidR="00AC499C" w:rsidRPr="00E95FB1">
        <w:rPr>
          <w:color w:val="000000"/>
        </w:rPr>
        <w:t>. </w:t>
      </w:r>
    </w:p>
    <w:p w:rsidR="00AC499C" w:rsidRDefault="00AC499C" w:rsidP="00AC499C">
      <w:pPr>
        <w:ind w:firstLine="720"/>
        <w:rPr>
          <w:rFonts w:eastAsia="Calibri"/>
          <w:iCs/>
          <w:shd w:val="clear" w:color="auto" w:fill="FFFFFF"/>
        </w:rPr>
      </w:pPr>
    </w:p>
    <w:p w:rsidR="00AC499C" w:rsidRPr="00E95FB1" w:rsidRDefault="00AC499C" w:rsidP="00AC499C">
      <w:pPr>
        <w:ind w:firstLine="720"/>
        <w:rPr>
          <w:rFonts w:eastAsia="Calibri"/>
          <w:iCs/>
        </w:rPr>
      </w:pPr>
      <w:r w:rsidRPr="00E95FB1">
        <w:rPr>
          <w:rFonts w:eastAsia="Calibri"/>
          <w:iCs/>
          <w:shd w:val="clear" w:color="auto" w:fill="FFFFFF"/>
        </w:rPr>
        <w:t xml:space="preserve">На території </w:t>
      </w:r>
      <w:proofErr w:type="spellStart"/>
      <w:r w:rsidRPr="00E95FB1">
        <w:rPr>
          <w:rFonts w:eastAsia="Calibri"/>
          <w:iCs/>
          <w:shd w:val="clear" w:color="auto" w:fill="FFFFFF"/>
        </w:rPr>
        <w:t>Боровенського</w:t>
      </w:r>
      <w:proofErr w:type="spellEnd"/>
      <w:r w:rsidRPr="00E95FB1">
        <w:rPr>
          <w:rFonts w:eastAsia="Calibri"/>
          <w:iCs/>
          <w:shd w:val="clear" w:color="auto" w:fill="FFFFFF"/>
        </w:rPr>
        <w:t xml:space="preserve"> </w:t>
      </w:r>
      <w:proofErr w:type="spellStart"/>
      <w:r w:rsidRPr="00E95FB1">
        <w:rPr>
          <w:rFonts w:eastAsia="Calibri"/>
          <w:iCs/>
          <w:shd w:val="clear" w:color="auto" w:fill="FFFFFF"/>
        </w:rPr>
        <w:t>старостинського</w:t>
      </w:r>
      <w:proofErr w:type="spellEnd"/>
      <w:r w:rsidRPr="00E95FB1">
        <w:rPr>
          <w:rFonts w:eastAsia="Calibri"/>
          <w:iCs/>
          <w:shd w:val="clear" w:color="auto" w:fill="FFFFFF"/>
        </w:rPr>
        <w:t xml:space="preserve"> округу розташовані землі Кремінського лісомисливського господарства площею 2</w:t>
      </w:r>
      <w:r w:rsidR="00203D15">
        <w:rPr>
          <w:rFonts w:eastAsia="Calibri"/>
          <w:iCs/>
          <w:shd w:val="clear" w:color="auto" w:fill="FFFFFF"/>
        </w:rPr>
        <w:t xml:space="preserve"> </w:t>
      </w:r>
      <w:r w:rsidRPr="00E95FB1">
        <w:rPr>
          <w:rFonts w:eastAsia="Calibri"/>
          <w:iCs/>
          <w:shd w:val="clear" w:color="auto" w:fill="FFFFFF"/>
        </w:rPr>
        <w:t>732 га та землі Сєвєродонецького лісництва площею 945 га.</w:t>
      </w:r>
    </w:p>
    <w:p w:rsidR="00AC499C" w:rsidRDefault="00AC499C" w:rsidP="00AC499C">
      <w:pPr>
        <w:ind w:firstLine="720"/>
        <w:rPr>
          <w:rFonts w:eastAsia="Calibri"/>
          <w:shd w:val="clear" w:color="auto" w:fill="FFFFFF"/>
        </w:rPr>
      </w:pPr>
    </w:p>
    <w:p w:rsidR="00AC499C" w:rsidRDefault="00AC499C" w:rsidP="00AC499C">
      <w:pPr>
        <w:ind w:firstLine="720"/>
        <w:rPr>
          <w:rFonts w:eastAsia="Calibri"/>
        </w:rPr>
      </w:pPr>
      <w:r w:rsidRPr="00E95FB1">
        <w:rPr>
          <w:rFonts w:eastAsia="Calibri"/>
          <w:shd w:val="clear" w:color="auto" w:fill="FFFFFF"/>
        </w:rPr>
        <w:t xml:space="preserve">На території </w:t>
      </w:r>
      <w:proofErr w:type="spellStart"/>
      <w:r w:rsidRPr="00E95FB1">
        <w:rPr>
          <w:rFonts w:eastAsia="Calibri"/>
          <w:shd w:val="clear" w:color="auto" w:fill="FFFFFF"/>
        </w:rPr>
        <w:t>Єпіфанівського</w:t>
      </w:r>
      <w:proofErr w:type="spellEnd"/>
      <w:r w:rsidRPr="00E95FB1">
        <w:rPr>
          <w:rFonts w:eastAsia="Calibri"/>
          <w:shd w:val="clear" w:color="auto" w:fill="FFFFFF"/>
        </w:rPr>
        <w:t xml:space="preserve"> </w:t>
      </w:r>
      <w:proofErr w:type="spellStart"/>
      <w:r w:rsidRPr="00E95FB1">
        <w:rPr>
          <w:rFonts w:eastAsia="Calibri"/>
          <w:shd w:val="clear" w:color="auto" w:fill="FFFFFF"/>
        </w:rPr>
        <w:t>старостинського</w:t>
      </w:r>
      <w:proofErr w:type="spellEnd"/>
      <w:r w:rsidRPr="00E95FB1">
        <w:rPr>
          <w:rFonts w:eastAsia="Calibri"/>
          <w:shd w:val="clear" w:color="auto" w:fill="FFFFFF"/>
        </w:rPr>
        <w:t xml:space="preserve"> округу  знаходиться лісовий масив площею 165,46 га.</w:t>
      </w:r>
      <w:r w:rsidRPr="00E95FB1">
        <w:rPr>
          <w:rFonts w:eastAsia="Calibri"/>
        </w:rPr>
        <w:t xml:space="preserve"> Лісові ресурси представлені масивами сухих, вологих хвойних і змішаних лісів.</w:t>
      </w:r>
    </w:p>
    <w:p w:rsidR="00AC499C" w:rsidRPr="00E95FB1" w:rsidRDefault="00AC499C" w:rsidP="00AC499C">
      <w:pPr>
        <w:ind w:firstLine="720"/>
        <w:rPr>
          <w:rFonts w:eastAsia="Calibri"/>
          <w:color w:val="000000"/>
        </w:rPr>
      </w:pPr>
    </w:p>
    <w:p w:rsidR="00AC499C" w:rsidRPr="00355733" w:rsidRDefault="00AC499C" w:rsidP="00AC499C">
      <w:pPr>
        <w:ind w:firstLine="720"/>
        <w:rPr>
          <w:rFonts w:eastAsia="Calibri"/>
          <w:color w:val="000000"/>
        </w:rPr>
      </w:pPr>
      <w:r w:rsidRPr="00355733">
        <w:rPr>
          <w:rFonts w:eastAsia="Calibri"/>
          <w:color w:val="000000"/>
        </w:rPr>
        <w:t xml:space="preserve">На даний час площа лісових масивів громади значно зменшилась. Пожежі 2020-го року на Луганщині випалили вогнем більше 30 тисяч гектарів лісу, значна частина якого знаходилась саме на території Сєвєродонецької </w:t>
      </w:r>
      <w:r w:rsidR="00152193">
        <w:rPr>
          <w:rFonts w:eastAsia="Calibri"/>
          <w:color w:val="000000"/>
        </w:rPr>
        <w:t xml:space="preserve">міської територіальної </w:t>
      </w:r>
      <w:r w:rsidRPr="00355733">
        <w:rPr>
          <w:rFonts w:eastAsia="Calibri"/>
          <w:color w:val="000000"/>
        </w:rPr>
        <w:t xml:space="preserve">громади. До подальшого знищення лісів призвели й </w:t>
      </w:r>
      <w:r w:rsidR="006E2CF6">
        <w:rPr>
          <w:rFonts w:eastAsia="Calibri"/>
          <w:color w:val="000000"/>
        </w:rPr>
        <w:t xml:space="preserve">активні </w:t>
      </w:r>
      <w:r w:rsidRPr="00355733">
        <w:rPr>
          <w:rFonts w:eastAsia="Calibri"/>
          <w:color w:val="000000"/>
        </w:rPr>
        <w:t>бойові дії на території громади в 2022 році.</w:t>
      </w:r>
    </w:p>
    <w:p w:rsidR="00AC499C" w:rsidRPr="00355733" w:rsidRDefault="00AC499C" w:rsidP="00AC499C">
      <w:pPr>
        <w:rPr>
          <w:rFonts w:eastAsia="Calibri"/>
        </w:rPr>
      </w:pPr>
    </w:p>
    <w:p w:rsidR="00AC499C" w:rsidRDefault="00AC499C" w:rsidP="00AC499C">
      <w:pPr>
        <w:ind w:firstLine="720"/>
        <w:rPr>
          <w:rFonts w:eastAsia="Calibri"/>
        </w:rPr>
      </w:pPr>
      <w:r w:rsidRPr="00355733">
        <w:rPr>
          <w:rFonts w:eastAsia="Calibri"/>
        </w:rPr>
        <w:lastRenderedPageBreak/>
        <w:t xml:space="preserve">В процесі відновлення громади варто враховувати, що регіону потрібен новий ландшафтний підхід, </w:t>
      </w:r>
      <w:r w:rsidR="0088181C">
        <w:rPr>
          <w:rFonts w:eastAsia="Calibri"/>
        </w:rPr>
        <w:t xml:space="preserve">більш </w:t>
      </w:r>
      <w:r w:rsidRPr="00355733">
        <w:rPr>
          <w:rFonts w:eastAsia="Calibri"/>
        </w:rPr>
        <w:t>стійкий до пожеж. Експерти зазначають, що варто створювати «лісову мозаїку». З одного боку густі ліси, з іншого паркові із зниженою лісистістю. Це суттєво знизить пожежонебезпеку, створюючи при цьому нові умови для біорізноманіття тварин і птахів.</w:t>
      </w:r>
    </w:p>
    <w:p w:rsidR="00AC499C" w:rsidRPr="00E95FB1" w:rsidRDefault="00AC499C" w:rsidP="00AC499C">
      <w:pPr>
        <w:rPr>
          <w:rFonts w:eastAsia="Calibri"/>
          <w:b/>
          <w:color w:val="002060"/>
        </w:rPr>
      </w:pPr>
    </w:p>
    <w:p w:rsidR="00AC499C" w:rsidRPr="00E95FB1" w:rsidRDefault="00AC499C" w:rsidP="00AC499C">
      <w:pPr>
        <w:ind w:firstLine="720"/>
        <w:rPr>
          <w:color w:val="002060"/>
        </w:rPr>
      </w:pPr>
      <w:r w:rsidRPr="00E95FB1">
        <w:rPr>
          <w:rFonts w:eastAsia="Calibri"/>
          <w:b/>
          <w:color w:val="002060"/>
        </w:rPr>
        <w:t>Демографічний стан.</w:t>
      </w:r>
      <w:r w:rsidRPr="00E95FB1">
        <w:rPr>
          <w:color w:val="002060"/>
        </w:rPr>
        <w:t xml:space="preserve"> </w:t>
      </w:r>
    </w:p>
    <w:p w:rsidR="00AC499C" w:rsidRDefault="00AC499C" w:rsidP="00AC499C">
      <w:pPr>
        <w:ind w:firstLine="720"/>
        <w:rPr>
          <w:rFonts w:eastAsia="Calibri"/>
          <w:lang w:eastAsia="uk-UA"/>
        </w:rPr>
      </w:pPr>
    </w:p>
    <w:p w:rsidR="00AC499C" w:rsidRDefault="00AC499C" w:rsidP="00AC499C">
      <w:pPr>
        <w:ind w:firstLine="720"/>
        <w:rPr>
          <w:rFonts w:eastAsia="Calibri"/>
          <w:lang w:eastAsia="uk-UA"/>
        </w:rPr>
      </w:pPr>
      <w:r w:rsidRPr="00E95FB1">
        <w:rPr>
          <w:rFonts w:eastAsia="Calibri"/>
          <w:lang w:eastAsia="uk-UA"/>
        </w:rPr>
        <w:t xml:space="preserve">Станом </w:t>
      </w:r>
      <w:r w:rsidRPr="00E95FB1">
        <w:rPr>
          <w:rFonts w:eastAsia="Calibri"/>
          <w:bCs/>
          <w:lang w:eastAsia="uk-UA"/>
        </w:rPr>
        <w:t>на 01.01.2022 року</w:t>
      </w:r>
      <w:r w:rsidRPr="00E95FB1">
        <w:rPr>
          <w:rFonts w:eastAsia="Calibri"/>
          <w:lang w:eastAsia="uk-UA"/>
        </w:rPr>
        <w:t xml:space="preserve"> </w:t>
      </w:r>
      <w:r w:rsidRPr="00E95FB1">
        <w:rPr>
          <w:rFonts w:eastAsia="Calibri"/>
          <w:bCs/>
          <w:lang w:eastAsia="uk-UA"/>
        </w:rPr>
        <w:t>чисельність населення</w:t>
      </w:r>
      <w:r w:rsidRPr="00E95FB1">
        <w:rPr>
          <w:rFonts w:eastAsia="Calibri"/>
          <w:lang w:eastAsia="uk-UA"/>
        </w:rPr>
        <w:t xml:space="preserve"> Сєвєродонецької міської територіальної громади становила </w:t>
      </w:r>
      <w:r w:rsidRPr="00E95FB1">
        <w:rPr>
          <w:rFonts w:eastAsia="Calibri"/>
          <w:bCs/>
          <w:lang w:eastAsia="uk-UA"/>
        </w:rPr>
        <w:t>115,444 тис. жителів</w:t>
      </w:r>
      <w:r>
        <w:rPr>
          <w:rFonts w:eastAsia="Calibri"/>
          <w:bCs/>
          <w:lang w:eastAsia="uk-UA"/>
        </w:rPr>
        <w:t xml:space="preserve">. Крім того на території громади </w:t>
      </w:r>
      <w:r>
        <w:rPr>
          <w:rFonts w:eastAsia="Calibri"/>
          <w:lang w:eastAsia="uk-UA"/>
        </w:rPr>
        <w:t>було зареєстровано</w:t>
      </w:r>
      <w:r w:rsidRPr="00E95FB1">
        <w:rPr>
          <w:rFonts w:eastAsia="Calibri"/>
          <w:lang w:eastAsia="uk-UA"/>
        </w:rPr>
        <w:t xml:space="preserve"> близько 52 тис. внутрішньо переміщених осіб. </w:t>
      </w:r>
      <w:r>
        <w:rPr>
          <w:rFonts w:eastAsia="Calibri"/>
          <w:lang w:eastAsia="uk-UA"/>
        </w:rPr>
        <w:t>В період активних бойових дій (лютий – червень 2022</w:t>
      </w:r>
      <w:r w:rsidR="005672D9">
        <w:rPr>
          <w:rFonts w:eastAsia="Calibri"/>
          <w:lang w:eastAsia="uk-UA"/>
        </w:rPr>
        <w:t xml:space="preserve"> року</w:t>
      </w:r>
      <w:r>
        <w:rPr>
          <w:rFonts w:eastAsia="Calibri"/>
          <w:lang w:eastAsia="uk-UA"/>
        </w:rPr>
        <w:t xml:space="preserve">) територію громади покинула переважна кількість мешканців. </w:t>
      </w:r>
      <w:r w:rsidRPr="00E95FB1">
        <w:rPr>
          <w:rFonts w:eastAsia="Calibri"/>
          <w:lang w:eastAsia="uk-UA"/>
        </w:rPr>
        <w:t xml:space="preserve">Значна кількість </w:t>
      </w:r>
      <w:proofErr w:type="spellStart"/>
      <w:r>
        <w:rPr>
          <w:rFonts w:eastAsia="Calibri"/>
          <w:lang w:eastAsia="uk-UA"/>
        </w:rPr>
        <w:t>сєвєродончан</w:t>
      </w:r>
      <w:proofErr w:type="spellEnd"/>
      <w:r w:rsidRPr="00E95FB1">
        <w:rPr>
          <w:rFonts w:eastAsia="Calibri"/>
          <w:lang w:eastAsia="uk-UA"/>
        </w:rPr>
        <w:t xml:space="preserve"> пере</w:t>
      </w:r>
      <w:r>
        <w:rPr>
          <w:rFonts w:eastAsia="Calibri"/>
          <w:lang w:eastAsia="uk-UA"/>
        </w:rPr>
        <w:t>містилася</w:t>
      </w:r>
      <w:r w:rsidRPr="00E95FB1">
        <w:rPr>
          <w:rFonts w:eastAsia="Calibri"/>
          <w:lang w:eastAsia="uk-UA"/>
        </w:rPr>
        <w:t xml:space="preserve"> на підконтрольну Україні територію або </w:t>
      </w:r>
      <w:r>
        <w:rPr>
          <w:rFonts w:eastAsia="Calibri"/>
          <w:lang w:eastAsia="uk-UA"/>
        </w:rPr>
        <w:t xml:space="preserve">виїхала за </w:t>
      </w:r>
      <w:r w:rsidRPr="00E95FB1">
        <w:rPr>
          <w:rFonts w:eastAsia="Calibri"/>
          <w:lang w:eastAsia="uk-UA"/>
        </w:rPr>
        <w:t>кордон.</w:t>
      </w:r>
      <w:r>
        <w:rPr>
          <w:rFonts w:eastAsia="Calibri"/>
          <w:lang w:eastAsia="uk-UA"/>
        </w:rPr>
        <w:t xml:space="preserve"> За експертними оцінками </w:t>
      </w:r>
      <w:r w:rsidRPr="00E95FB1">
        <w:rPr>
          <w:rFonts w:eastAsia="Calibri"/>
          <w:lang w:eastAsia="uk-UA"/>
        </w:rPr>
        <w:t xml:space="preserve">в громаді залишилось орієнтовно </w:t>
      </w:r>
      <w:r>
        <w:rPr>
          <w:rFonts w:eastAsia="Calibri"/>
          <w:lang w:eastAsia="uk-UA"/>
        </w:rPr>
        <w:t>8-</w:t>
      </w:r>
      <w:r w:rsidRPr="00E95FB1">
        <w:rPr>
          <w:rFonts w:eastAsia="Calibri"/>
          <w:lang w:eastAsia="uk-UA"/>
        </w:rPr>
        <w:t xml:space="preserve">10 тис. жителів. </w:t>
      </w:r>
    </w:p>
    <w:p w:rsidR="00AC499C" w:rsidRDefault="00AC499C" w:rsidP="00AC499C">
      <w:pPr>
        <w:ind w:firstLine="720"/>
        <w:rPr>
          <w:rFonts w:eastAsia="Calibri"/>
          <w:lang w:eastAsia="uk-UA"/>
        </w:rPr>
      </w:pPr>
    </w:p>
    <w:p w:rsidR="00AC499C" w:rsidRDefault="00AC499C" w:rsidP="00AC499C">
      <w:pPr>
        <w:widowControl w:val="0"/>
        <w:tabs>
          <w:tab w:val="left" w:pos="0"/>
        </w:tabs>
        <w:ind w:firstLine="851"/>
      </w:pPr>
      <w:r w:rsidRPr="00E95FB1">
        <w:t xml:space="preserve">До початку повномасштабного вторгнення </w:t>
      </w:r>
      <w:r w:rsidR="00AD30B0">
        <w:t>РФ</w:t>
      </w:r>
      <w:r w:rsidRPr="00E95FB1">
        <w:t xml:space="preserve"> на зміни кількості населення вплинуло природне скорочення. За 9 місяців 2021 року кількість народжених – 524 особи, кількість смертей – 2</w:t>
      </w:r>
      <w:r w:rsidR="00A21BB6">
        <w:t xml:space="preserve"> </w:t>
      </w:r>
      <w:r w:rsidRPr="00E95FB1">
        <w:t>052 особи, природне скорочення населення складає 1</w:t>
      </w:r>
      <w:r w:rsidR="00A21BB6">
        <w:t xml:space="preserve"> </w:t>
      </w:r>
      <w:r w:rsidRPr="00E95FB1">
        <w:t>528 осіб. Кількість прибулих до міста – 1</w:t>
      </w:r>
      <w:r w:rsidR="00A21BB6">
        <w:t xml:space="preserve"> </w:t>
      </w:r>
      <w:r w:rsidRPr="00E95FB1">
        <w:t>832 особи, кількість вибулих – 1</w:t>
      </w:r>
      <w:r w:rsidR="00A21BB6">
        <w:t xml:space="preserve"> </w:t>
      </w:r>
      <w:r w:rsidRPr="00E95FB1">
        <w:t>739 осіб, міграційне збільшення складає 93 особи.</w:t>
      </w:r>
    </w:p>
    <w:p w:rsidR="00AC499C" w:rsidRDefault="00AC499C" w:rsidP="00AC499C">
      <w:pPr>
        <w:widowControl w:val="0"/>
        <w:tabs>
          <w:tab w:val="left" w:pos="0"/>
        </w:tabs>
      </w:pPr>
    </w:p>
    <w:p w:rsidR="00AC499C" w:rsidRPr="00F53F41" w:rsidRDefault="00AC499C" w:rsidP="00AC499C">
      <w:pPr>
        <w:widowControl w:val="0"/>
        <w:tabs>
          <w:tab w:val="left" w:pos="0"/>
        </w:tabs>
        <w:ind w:firstLine="851"/>
      </w:pPr>
      <w:r w:rsidRPr="00355733">
        <w:t xml:space="preserve">Після </w:t>
      </w:r>
      <w:proofErr w:type="spellStart"/>
      <w:r w:rsidRPr="00355733">
        <w:t>деокупації</w:t>
      </w:r>
      <w:proofErr w:type="spellEnd"/>
      <w:r w:rsidRPr="00355733">
        <w:t xml:space="preserve"> Сєвєродонецької </w:t>
      </w:r>
      <w:r w:rsidR="00172997">
        <w:t>міської територіальної</w:t>
      </w:r>
      <w:r w:rsidR="00172997" w:rsidRPr="00355733">
        <w:t xml:space="preserve"> </w:t>
      </w:r>
      <w:r w:rsidRPr="00355733">
        <w:t xml:space="preserve">громади з високою імовірністю постануть суттєві демографічні виклики. По-перше, відтік більш молодого населення під час </w:t>
      </w:r>
      <w:r w:rsidR="00521984">
        <w:t>тимчасової</w:t>
      </w:r>
      <w:r w:rsidR="00521984" w:rsidRPr="00355733">
        <w:t xml:space="preserve"> </w:t>
      </w:r>
      <w:r w:rsidRPr="00355733">
        <w:t>окупації може призвести до зміщення популяційного складу в бік середнього та похилого віку. Ситуація ускладняються тим, що значна частина мешканців працездатного віку вже інтегрувал</w:t>
      </w:r>
      <w:r w:rsidR="00822A75">
        <w:t>а</w:t>
      </w:r>
      <w:r w:rsidRPr="00355733">
        <w:t xml:space="preserve">ся в інших регіонах та країнах і існує суттєвий ризик неповернення </w:t>
      </w:r>
      <w:r w:rsidR="00822A75">
        <w:t xml:space="preserve">цих мешканців </w:t>
      </w:r>
      <w:r w:rsidRPr="00355733">
        <w:t xml:space="preserve">в громаду. Цей фактор може змінити демографічний баланс, впливаючи на різні сфери, </w:t>
      </w:r>
      <w:r w:rsidR="00DB24A6">
        <w:t>зокрема</w:t>
      </w:r>
      <w:r w:rsidRPr="00355733">
        <w:t xml:space="preserve"> охорону здоров'я, соціальне обслуговування та робочу силу. Ефективне вирішення демографічних викликів вимагатиме зосереджених зусиль та координації </w:t>
      </w:r>
      <w:r w:rsidR="00DB24A6">
        <w:t xml:space="preserve">державних органів влади, органів місцевого </w:t>
      </w:r>
      <w:proofErr w:type="spellStart"/>
      <w:r w:rsidR="00DB24A6">
        <w:t>смоврядування</w:t>
      </w:r>
      <w:proofErr w:type="spellEnd"/>
      <w:r w:rsidRPr="00355733">
        <w:t>, громадських організацій та міжнародних партнерів для забезпечення сталого розвитку міста</w:t>
      </w:r>
      <w:r w:rsidR="009E080D">
        <w:t>, громади</w:t>
      </w:r>
      <w:r w:rsidRPr="00355733">
        <w:t xml:space="preserve"> та відновлення демографічної стабільності. Важливим завданням залишається раціоналізація структури зайнятості на базі поліпшення якості робочої сили, розвитку її професійної мобільності, удосконалення політики оплати праці та створення сучасних високотехнологічних робочих місць.</w:t>
      </w:r>
    </w:p>
    <w:p w:rsidR="00AC499C" w:rsidRDefault="00AC499C" w:rsidP="00AC499C">
      <w:pPr>
        <w:ind w:firstLine="720"/>
        <w:rPr>
          <w:rFonts w:eastAsia="Calibri"/>
        </w:rPr>
      </w:pPr>
    </w:p>
    <w:p w:rsidR="00ED78DE" w:rsidRDefault="00ED78DE" w:rsidP="00AC499C">
      <w:pPr>
        <w:ind w:firstLine="720"/>
        <w:rPr>
          <w:rFonts w:eastAsia="Calibri"/>
        </w:rPr>
      </w:pPr>
    </w:p>
    <w:p w:rsidR="00ED78DE" w:rsidRDefault="00ED78DE" w:rsidP="00AC499C">
      <w:pPr>
        <w:ind w:firstLine="720"/>
        <w:rPr>
          <w:rFonts w:eastAsia="Calibri"/>
        </w:rPr>
      </w:pPr>
    </w:p>
    <w:p w:rsidR="00ED78DE" w:rsidRPr="00E95FB1" w:rsidRDefault="00ED78DE" w:rsidP="00AC499C">
      <w:pPr>
        <w:ind w:firstLine="720"/>
        <w:rPr>
          <w:rFonts w:eastAsia="Calibri"/>
        </w:rPr>
      </w:pPr>
    </w:p>
    <w:p w:rsidR="00AC499C" w:rsidRPr="00E95FB1" w:rsidRDefault="00AC499C" w:rsidP="00AC499C">
      <w:pPr>
        <w:ind w:firstLine="720"/>
        <w:rPr>
          <w:rFonts w:eastAsia="Calibri"/>
          <w:b/>
          <w:color w:val="002060"/>
        </w:rPr>
      </w:pPr>
      <w:r w:rsidRPr="00E95FB1">
        <w:rPr>
          <w:rFonts w:eastAsia="Calibri"/>
          <w:b/>
          <w:color w:val="002060"/>
        </w:rPr>
        <w:lastRenderedPageBreak/>
        <w:t>Прийнята стратегія розвитку:</w:t>
      </w:r>
    </w:p>
    <w:p w:rsidR="00AC499C" w:rsidRDefault="00AC499C" w:rsidP="00AC499C">
      <w:pPr>
        <w:ind w:firstLine="720"/>
        <w:rPr>
          <w:rFonts w:eastAsia="Calibri"/>
        </w:rPr>
      </w:pPr>
    </w:p>
    <w:p w:rsidR="00AC499C" w:rsidRPr="00355733" w:rsidRDefault="00AC499C" w:rsidP="00AC499C">
      <w:pPr>
        <w:ind w:firstLine="720"/>
        <w:rPr>
          <w:rFonts w:eastAsia="Calibri"/>
        </w:rPr>
      </w:pPr>
      <w:r w:rsidRPr="00355733">
        <w:rPr>
          <w:rFonts w:eastAsia="Calibri"/>
        </w:rPr>
        <w:t xml:space="preserve">Розпорядження </w:t>
      </w:r>
      <w:r w:rsidR="00226A06">
        <w:rPr>
          <w:rFonts w:eastAsia="Calibri"/>
        </w:rPr>
        <w:t xml:space="preserve">керівника </w:t>
      </w:r>
      <w:r w:rsidR="00226A06">
        <w:t>військово-цивільної адміністрації міста Сєвєродонецьк Луганської</w:t>
      </w:r>
      <w:r w:rsidR="00226A06" w:rsidRPr="00355733">
        <w:rPr>
          <w:rFonts w:eastAsia="Calibri"/>
        </w:rPr>
        <w:t xml:space="preserve"> </w:t>
      </w:r>
      <w:r w:rsidR="00226A06">
        <w:rPr>
          <w:rFonts w:eastAsia="Calibri"/>
        </w:rPr>
        <w:t xml:space="preserve">області </w:t>
      </w:r>
      <w:r w:rsidRPr="00355733">
        <w:rPr>
          <w:rFonts w:eastAsia="Calibri"/>
        </w:rPr>
        <w:t>від 29.1</w:t>
      </w:r>
      <w:r w:rsidR="00F60324">
        <w:rPr>
          <w:rFonts w:eastAsia="Calibri"/>
        </w:rPr>
        <w:t>2</w:t>
      </w:r>
      <w:r w:rsidRPr="00355733">
        <w:rPr>
          <w:rFonts w:eastAsia="Calibri"/>
        </w:rPr>
        <w:t xml:space="preserve">.2020 року </w:t>
      </w:r>
      <w:r w:rsidR="00133774" w:rsidRPr="00355733">
        <w:rPr>
          <w:rFonts w:eastAsia="Calibri"/>
        </w:rPr>
        <w:t xml:space="preserve">№ 1279 </w:t>
      </w:r>
      <w:r w:rsidRPr="00355733">
        <w:rPr>
          <w:rFonts w:eastAsia="Calibri"/>
        </w:rPr>
        <w:t>«Про затвердження Плану реалізації Стратегії розвитку Сєвєродонецької міської територіальної громади на 2021-2023 роки».</w:t>
      </w:r>
    </w:p>
    <w:p w:rsidR="00AC499C" w:rsidRPr="00355733" w:rsidRDefault="00AC499C" w:rsidP="00AC499C">
      <w:pPr>
        <w:ind w:firstLine="720"/>
        <w:rPr>
          <w:rFonts w:eastAsia="Calibri"/>
        </w:rPr>
      </w:pPr>
    </w:p>
    <w:p w:rsidR="00AC499C" w:rsidRPr="00E95FB1" w:rsidRDefault="00AC499C" w:rsidP="00AC499C">
      <w:pPr>
        <w:ind w:firstLine="720"/>
        <w:rPr>
          <w:rFonts w:eastAsia="Calibri"/>
        </w:rPr>
      </w:pPr>
      <w:r w:rsidRPr="00355733">
        <w:rPr>
          <w:rFonts w:eastAsia="Calibri"/>
        </w:rPr>
        <w:t xml:space="preserve">Розпорядження </w:t>
      </w:r>
      <w:r w:rsidR="001249B5">
        <w:rPr>
          <w:rFonts w:eastAsia="Calibri"/>
        </w:rPr>
        <w:t xml:space="preserve">керівника </w:t>
      </w:r>
      <w:r w:rsidR="001249B5">
        <w:t>військово-цивільної адміністрації міста Сєвєродонецьк Луганської</w:t>
      </w:r>
      <w:r w:rsidR="001249B5" w:rsidRPr="00355733">
        <w:rPr>
          <w:rFonts w:eastAsia="Calibri"/>
        </w:rPr>
        <w:t xml:space="preserve"> </w:t>
      </w:r>
      <w:r w:rsidR="001249B5">
        <w:rPr>
          <w:rFonts w:eastAsia="Calibri"/>
        </w:rPr>
        <w:t xml:space="preserve">області </w:t>
      </w:r>
      <w:r w:rsidRPr="00355733">
        <w:rPr>
          <w:rFonts w:eastAsia="Calibri"/>
        </w:rPr>
        <w:t xml:space="preserve">від 30.12.2020 року </w:t>
      </w:r>
      <w:r w:rsidR="00133774" w:rsidRPr="00355733">
        <w:rPr>
          <w:rFonts w:eastAsia="Calibri"/>
        </w:rPr>
        <w:t xml:space="preserve">№ 1309 </w:t>
      </w:r>
      <w:r w:rsidRPr="00355733">
        <w:rPr>
          <w:rFonts w:eastAsia="Calibri"/>
        </w:rPr>
        <w:t>«Про затвердження «Стратегії розвитку Сєвєродонецької</w:t>
      </w:r>
      <w:r w:rsidRPr="00E95FB1">
        <w:rPr>
          <w:rFonts w:eastAsia="Calibri"/>
        </w:rPr>
        <w:t xml:space="preserve"> міської територіальної громади на період 2021-2027 роки». </w:t>
      </w:r>
    </w:p>
    <w:p w:rsidR="00AC499C" w:rsidRDefault="00AC499C" w:rsidP="00AC499C">
      <w:pPr>
        <w:ind w:firstLine="720"/>
        <w:rPr>
          <w:rFonts w:eastAsia="Calibri"/>
        </w:rPr>
      </w:pPr>
    </w:p>
    <w:p w:rsidR="00AC499C" w:rsidRPr="00E95FB1" w:rsidRDefault="00AC499C" w:rsidP="00AC499C">
      <w:pPr>
        <w:ind w:firstLine="720"/>
        <w:rPr>
          <w:rFonts w:eastAsia="Calibri"/>
        </w:rPr>
      </w:pPr>
    </w:p>
    <w:p w:rsidR="00AC499C" w:rsidRDefault="00AC499C" w:rsidP="00AC499C">
      <w:pPr>
        <w:ind w:firstLine="720"/>
        <w:rPr>
          <w:rFonts w:eastAsia="Calibri"/>
          <w:b/>
        </w:rPr>
      </w:pPr>
      <w:r w:rsidRPr="00E95FB1">
        <w:rPr>
          <w:rFonts w:eastAsia="Calibri"/>
          <w:b/>
          <w:color w:val="002060"/>
        </w:rPr>
        <w:t>Виробничий потенціал.</w:t>
      </w:r>
      <w:r w:rsidRPr="00E95FB1">
        <w:rPr>
          <w:rFonts w:eastAsia="Calibri"/>
          <w:b/>
        </w:rPr>
        <w:t xml:space="preserve"> </w:t>
      </w:r>
    </w:p>
    <w:p w:rsidR="00AC499C" w:rsidRDefault="00AC499C" w:rsidP="00AC499C">
      <w:pPr>
        <w:ind w:firstLine="720"/>
        <w:rPr>
          <w:rFonts w:eastAsia="Calibri"/>
          <w:b/>
        </w:rPr>
      </w:pPr>
    </w:p>
    <w:p w:rsidR="00AC499C" w:rsidRPr="00355733" w:rsidRDefault="00AC499C" w:rsidP="00AC499C">
      <w:pPr>
        <w:ind w:firstLine="720"/>
        <w:rPr>
          <w:rFonts w:eastAsia="Calibri"/>
          <w:bCs/>
        </w:rPr>
      </w:pPr>
      <w:r w:rsidRPr="00355733">
        <w:rPr>
          <w:rFonts w:eastAsia="Calibri"/>
          <w:bCs/>
        </w:rPr>
        <w:t xml:space="preserve">До повномасштабного вторгнення </w:t>
      </w:r>
      <w:r w:rsidR="002530CE" w:rsidRPr="00355733">
        <w:rPr>
          <w:rFonts w:eastAsia="Calibri"/>
          <w:bCs/>
        </w:rPr>
        <w:t>РФ</w:t>
      </w:r>
      <w:r w:rsidRPr="00355733">
        <w:rPr>
          <w:rFonts w:eastAsia="Calibri"/>
          <w:bCs/>
        </w:rPr>
        <w:t xml:space="preserve"> економіка Сєвєродонецької міської територіальної громади позиціонувалася як ядро SMART – спеціалізації Луганської області і мала хімічний, </w:t>
      </w:r>
      <w:r w:rsidR="00F3658F">
        <w:rPr>
          <w:rFonts w:eastAsia="Calibri"/>
          <w:bCs/>
        </w:rPr>
        <w:t>науковий,</w:t>
      </w:r>
      <w:r w:rsidR="00F3658F" w:rsidRPr="00355733">
        <w:rPr>
          <w:rFonts w:eastAsia="Calibri"/>
          <w:bCs/>
        </w:rPr>
        <w:t xml:space="preserve"> </w:t>
      </w:r>
      <w:proofErr w:type="spellStart"/>
      <w:r w:rsidRPr="00355733">
        <w:rPr>
          <w:rFonts w:eastAsia="Calibri"/>
          <w:bCs/>
        </w:rPr>
        <w:t>нжиніринговий</w:t>
      </w:r>
      <w:proofErr w:type="spellEnd"/>
      <w:r w:rsidRPr="00355733">
        <w:rPr>
          <w:rFonts w:eastAsia="Calibri"/>
          <w:bCs/>
        </w:rPr>
        <w:t xml:space="preserve"> та агропромисловий вектор розвитку, який був підкріплений приєднаними до громади сільськогосподарськими територіями.</w:t>
      </w:r>
    </w:p>
    <w:p w:rsidR="00AC499C" w:rsidRPr="00355733" w:rsidRDefault="00AC499C" w:rsidP="00AC499C">
      <w:pPr>
        <w:ind w:firstLine="720"/>
        <w:rPr>
          <w:rFonts w:eastAsia="Calibri"/>
          <w:bCs/>
        </w:rPr>
      </w:pPr>
    </w:p>
    <w:p w:rsidR="00AC499C" w:rsidRPr="00355733" w:rsidRDefault="00AC499C" w:rsidP="00AC499C">
      <w:pPr>
        <w:ind w:firstLine="720"/>
        <w:rPr>
          <w:rFonts w:eastAsia="Calibri"/>
          <w:bCs/>
        </w:rPr>
      </w:pPr>
      <w:r w:rsidRPr="00355733">
        <w:rPr>
          <w:rFonts w:eastAsia="Calibri"/>
          <w:bCs/>
        </w:rPr>
        <w:t xml:space="preserve">Внаслідок агресії </w:t>
      </w:r>
      <w:r w:rsidR="002530CE" w:rsidRPr="00355733">
        <w:rPr>
          <w:rFonts w:eastAsia="Calibri"/>
          <w:bCs/>
        </w:rPr>
        <w:t>РФ</w:t>
      </w:r>
      <w:r w:rsidRPr="00355733">
        <w:rPr>
          <w:rFonts w:eastAsia="Calibri"/>
          <w:bCs/>
        </w:rPr>
        <w:t xml:space="preserve"> проти України критично постраждав виробничий потенціал Сєвєродонецької </w:t>
      </w:r>
      <w:r w:rsidR="00ED5470">
        <w:rPr>
          <w:rFonts w:eastAsia="Calibri"/>
          <w:bCs/>
        </w:rPr>
        <w:t xml:space="preserve">міської територіальної </w:t>
      </w:r>
      <w:r w:rsidRPr="00355733">
        <w:rPr>
          <w:rFonts w:eastAsia="Calibri"/>
          <w:bCs/>
        </w:rPr>
        <w:t xml:space="preserve">громади. Багато виробничих об'єктів зазнали руйнувань та значних пошкоджень. Абсолютна більшість промислових підприємств була змушена </w:t>
      </w:r>
      <w:proofErr w:type="spellStart"/>
      <w:r w:rsidRPr="00355733">
        <w:rPr>
          <w:rFonts w:eastAsia="Calibri"/>
          <w:bCs/>
        </w:rPr>
        <w:t>релокуватися</w:t>
      </w:r>
      <w:proofErr w:type="spellEnd"/>
      <w:r w:rsidRPr="00355733">
        <w:rPr>
          <w:rFonts w:eastAsia="Calibri"/>
          <w:bCs/>
        </w:rPr>
        <w:t xml:space="preserve"> в більш безпечні регіони</w:t>
      </w:r>
      <w:r w:rsidR="0098596F">
        <w:rPr>
          <w:rFonts w:eastAsia="Calibri"/>
          <w:bCs/>
        </w:rPr>
        <w:t xml:space="preserve"> України</w:t>
      </w:r>
      <w:r w:rsidRPr="00355733">
        <w:rPr>
          <w:rFonts w:eastAsia="Calibri"/>
          <w:bCs/>
        </w:rPr>
        <w:t>, щоб зберегти функціонування та забезпечити безпеку працівників.</w:t>
      </w:r>
    </w:p>
    <w:p w:rsidR="00AC499C" w:rsidRPr="00355733" w:rsidRDefault="00AC499C" w:rsidP="00AC499C">
      <w:pPr>
        <w:ind w:firstLine="720"/>
        <w:rPr>
          <w:rFonts w:eastAsia="Calibri"/>
          <w:bCs/>
        </w:rPr>
      </w:pPr>
    </w:p>
    <w:p w:rsidR="00AC499C" w:rsidRPr="00355733" w:rsidRDefault="00AC499C" w:rsidP="00AC499C">
      <w:pPr>
        <w:ind w:firstLine="720"/>
        <w:rPr>
          <w:rFonts w:eastAsia="Calibri"/>
          <w:bCs/>
        </w:rPr>
      </w:pPr>
      <w:r w:rsidRPr="00355733">
        <w:rPr>
          <w:rFonts w:eastAsia="Calibri"/>
          <w:bCs/>
        </w:rPr>
        <w:t xml:space="preserve">Масивних обстрілів зазнав ПрАТ «Сєвєродонецьке об'єднання </w:t>
      </w:r>
      <w:r w:rsidR="002530CE" w:rsidRPr="002530CE">
        <w:rPr>
          <w:rFonts w:eastAsia="Calibri"/>
          <w:bCs/>
        </w:rPr>
        <w:t>«</w:t>
      </w:r>
      <w:r w:rsidRPr="00355733">
        <w:rPr>
          <w:rFonts w:eastAsia="Calibri"/>
          <w:bCs/>
        </w:rPr>
        <w:t>Азот»</w:t>
      </w:r>
      <w:r w:rsidR="002530CE" w:rsidRPr="002530CE">
        <w:rPr>
          <w:rFonts w:eastAsia="Calibri"/>
          <w:bCs/>
        </w:rPr>
        <w:t>»</w:t>
      </w:r>
      <w:r w:rsidRPr="00355733">
        <w:rPr>
          <w:rFonts w:eastAsia="Calibri"/>
          <w:bCs/>
        </w:rPr>
        <w:t xml:space="preserve"> (холдинг </w:t>
      </w:r>
      <w:proofErr w:type="spellStart"/>
      <w:r w:rsidRPr="00355733">
        <w:rPr>
          <w:rFonts w:eastAsia="Calibri"/>
          <w:bCs/>
        </w:rPr>
        <w:t>Ostchem</w:t>
      </w:r>
      <w:proofErr w:type="spellEnd"/>
      <w:r w:rsidRPr="00355733">
        <w:rPr>
          <w:rFonts w:eastAsia="Calibri"/>
          <w:bCs/>
        </w:rPr>
        <w:t xml:space="preserve">, що входить до </w:t>
      </w:r>
      <w:proofErr w:type="spellStart"/>
      <w:r w:rsidRPr="00355733">
        <w:rPr>
          <w:rFonts w:eastAsia="Calibri"/>
          <w:bCs/>
        </w:rPr>
        <w:t>Group</w:t>
      </w:r>
      <w:proofErr w:type="spellEnd"/>
      <w:r w:rsidRPr="00355733">
        <w:rPr>
          <w:rFonts w:eastAsia="Calibri"/>
          <w:bCs/>
        </w:rPr>
        <w:t xml:space="preserve"> DF) – </w:t>
      </w:r>
      <w:r w:rsidR="0019627E">
        <w:rPr>
          <w:rFonts w:eastAsia="Calibri"/>
          <w:bCs/>
        </w:rPr>
        <w:t>одне з найбільших</w:t>
      </w:r>
      <w:r w:rsidRPr="00355733">
        <w:rPr>
          <w:rFonts w:eastAsia="Calibri"/>
          <w:bCs/>
        </w:rPr>
        <w:t xml:space="preserve"> хімічн</w:t>
      </w:r>
      <w:r w:rsidR="0019627E">
        <w:rPr>
          <w:rFonts w:eastAsia="Calibri"/>
          <w:bCs/>
        </w:rPr>
        <w:t>их</w:t>
      </w:r>
      <w:r w:rsidRPr="00355733">
        <w:rPr>
          <w:rFonts w:eastAsia="Calibri"/>
          <w:bCs/>
        </w:rPr>
        <w:t xml:space="preserve"> виробництв України та Європи, яке, окрім виробництва аміаку, селітри та карбаміду, було лідером </w:t>
      </w:r>
      <w:proofErr w:type="spellStart"/>
      <w:r w:rsidRPr="00355733">
        <w:rPr>
          <w:rFonts w:eastAsia="Calibri"/>
          <w:bCs/>
        </w:rPr>
        <w:t>українського</w:t>
      </w:r>
      <w:proofErr w:type="spellEnd"/>
      <w:r w:rsidRPr="00355733">
        <w:rPr>
          <w:rFonts w:eastAsia="Calibri"/>
          <w:bCs/>
        </w:rPr>
        <w:t xml:space="preserve"> виробництва </w:t>
      </w:r>
      <w:proofErr w:type="spellStart"/>
      <w:r w:rsidRPr="00355733">
        <w:rPr>
          <w:rFonts w:eastAsia="Calibri"/>
          <w:bCs/>
        </w:rPr>
        <w:t>оцтовоі</w:t>
      </w:r>
      <w:proofErr w:type="spellEnd"/>
      <w:r w:rsidRPr="00355733">
        <w:rPr>
          <w:rFonts w:eastAsia="Calibri"/>
          <w:bCs/>
        </w:rPr>
        <w:t xml:space="preserve">̈ кислоти, метанолу і вінілацетату. У січні–вересні 2021 року </w:t>
      </w:r>
      <w:r w:rsidR="00C90BB2" w:rsidRPr="00355733">
        <w:rPr>
          <w:rFonts w:eastAsia="Calibri"/>
          <w:bCs/>
        </w:rPr>
        <w:t xml:space="preserve">ПрАТ </w:t>
      </w:r>
      <w:r w:rsidR="002530CE" w:rsidRPr="00355733">
        <w:rPr>
          <w:rFonts w:eastAsia="Calibri"/>
          <w:bCs/>
        </w:rPr>
        <w:t xml:space="preserve">«Сєвєродонецьке об'єднання </w:t>
      </w:r>
      <w:r w:rsidR="002530CE" w:rsidRPr="002530CE">
        <w:rPr>
          <w:rFonts w:eastAsia="Calibri"/>
          <w:bCs/>
        </w:rPr>
        <w:t>«</w:t>
      </w:r>
      <w:r w:rsidR="002530CE" w:rsidRPr="00355733">
        <w:rPr>
          <w:rFonts w:eastAsia="Calibri"/>
          <w:bCs/>
        </w:rPr>
        <w:t>Азот»</w:t>
      </w:r>
      <w:r w:rsidR="002530CE" w:rsidRPr="002530CE">
        <w:rPr>
          <w:rFonts w:eastAsia="Calibri"/>
          <w:bCs/>
        </w:rPr>
        <w:t>»</w:t>
      </w:r>
      <w:r w:rsidR="002530CE" w:rsidRPr="00355733">
        <w:rPr>
          <w:rFonts w:eastAsia="Calibri"/>
          <w:bCs/>
        </w:rPr>
        <w:t xml:space="preserve"> </w:t>
      </w:r>
      <w:r w:rsidRPr="00355733">
        <w:rPr>
          <w:rFonts w:eastAsia="Calibri"/>
          <w:bCs/>
        </w:rPr>
        <w:t>отримало прибуток в 2,2 млрд</w:t>
      </w:r>
      <w:r w:rsidR="007E5690">
        <w:rPr>
          <w:rFonts w:eastAsia="Calibri"/>
          <w:bCs/>
        </w:rPr>
        <w:t>.</w:t>
      </w:r>
      <w:r w:rsidRPr="00355733">
        <w:rPr>
          <w:rFonts w:eastAsia="Calibri"/>
          <w:bCs/>
        </w:rPr>
        <w:t xml:space="preserve"> </w:t>
      </w:r>
      <w:r w:rsidR="007E5690">
        <w:rPr>
          <w:rFonts w:eastAsia="Calibri"/>
          <w:bCs/>
        </w:rPr>
        <w:t>грн.</w:t>
      </w:r>
      <w:r w:rsidRPr="00355733">
        <w:rPr>
          <w:rFonts w:eastAsia="Calibri"/>
          <w:bCs/>
        </w:rPr>
        <w:t xml:space="preserve"> проти чистого збитку в 7 млрд</w:t>
      </w:r>
      <w:r w:rsidR="007E5690">
        <w:rPr>
          <w:rFonts w:eastAsia="Calibri"/>
          <w:bCs/>
        </w:rPr>
        <w:t>.</w:t>
      </w:r>
      <w:r w:rsidRPr="00355733">
        <w:rPr>
          <w:rFonts w:eastAsia="Calibri"/>
          <w:bCs/>
        </w:rPr>
        <w:t xml:space="preserve"> </w:t>
      </w:r>
      <w:r w:rsidR="007E5690">
        <w:rPr>
          <w:rFonts w:eastAsia="Calibri"/>
          <w:bCs/>
        </w:rPr>
        <w:t>грн.</w:t>
      </w:r>
      <w:r w:rsidRPr="00355733">
        <w:rPr>
          <w:rFonts w:eastAsia="Calibri"/>
          <w:bCs/>
        </w:rPr>
        <w:t xml:space="preserve"> за аналогічний період </w:t>
      </w:r>
      <w:r w:rsidR="007E5690">
        <w:rPr>
          <w:rFonts w:eastAsia="Calibri"/>
          <w:bCs/>
        </w:rPr>
        <w:t>2020</w:t>
      </w:r>
      <w:r w:rsidRPr="00355733">
        <w:rPr>
          <w:rFonts w:eastAsia="Calibri"/>
          <w:bCs/>
        </w:rPr>
        <w:t xml:space="preserve"> року. Покращити фінансові показники вдалося за рахунок відновлення виробництва карбаміду й аміаку в березні 2020 року. У 2021 році підприємство виробило 120 666 т аміаку, 422 322 т аміачної селітри, 372 808 т карбаміду, 145 910 </w:t>
      </w:r>
      <w:r w:rsidR="00AB6F9B">
        <w:rPr>
          <w:rFonts w:eastAsia="Calibri"/>
          <w:bCs/>
        </w:rPr>
        <w:t xml:space="preserve">т </w:t>
      </w:r>
      <w:proofErr w:type="spellStart"/>
      <w:r w:rsidRPr="00355733">
        <w:rPr>
          <w:rFonts w:eastAsia="Calibri"/>
          <w:bCs/>
        </w:rPr>
        <w:t>карбамідно</w:t>
      </w:r>
      <w:proofErr w:type="spellEnd"/>
      <w:r w:rsidRPr="00355733">
        <w:rPr>
          <w:rFonts w:eastAsia="Calibri"/>
          <w:bCs/>
        </w:rPr>
        <w:t xml:space="preserve">-аміачної суміші. </w:t>
      </w:r>
    </w:p>
    <w:p w:rsidR="00AC499C" w:rsidRPr="00355733" w:rsidRDefault="00AC499C" w:rsidP="00AC499C">
      <w:pPr>
        <w:ind w:firstLine="720"/>
        <w:rPr>
          <w:rFonts w:eastAsia="Calibri"/>
          <w:bCs/>
        </w:rPr>
      </w:pPr>
    </w:p>
    <w:p w:rsidR="00AC499C" w:rsidRPr="00355733" w:rsidRDefault="00AC499C" w:rsidP="00AC499C">
      <w:pPr>
        <w:ind w:firstLine="720"/>
        <w:rPr>
          <w:rFonts w:eastAsia="Calibri"/>
          <w:bCs/>
        </w:rPr>
      </w:pPr>
      <w:r w:rsidRPr="00355733">
        <w:rPr>
          <w:rFonts w:eastAsia="Calibri"/>
          <w:bCs/>
        </w:rPr>
        <w:t xml:space="preserve">Внаслідок ворожих обстрілів підприємство зруйновано на 70%. Зокрема, за даними холдингу </w:t>
      </w:r>
      <w:proofErr w:type="spellStart"/>
      <w:r w:rsidRPr="00355733">
        <w:rPr>
          <w:rFonts w:eastAsia="Calibri"/>
          <w:bCs/>
        </w:rPr>
        <w:t>Ostchem</w:t>
      </w:r>
      <w:proofErr w:type="spellEnd"/>
      <w:r w:rsidR="00A54B7D">
        <w:rPr>
          <w:rFonts w:eastAsia="Calibri"/>
          <w:bCs/>
          <w:lang w:val="ru-RU"/>
        </w:rPr>
        <w:t>,</w:t>
      </w:r>
      <w:r w:rsidRPr="00355733">
        <w:rPr>
          <w:rFonts w:eastAsia="Calibri"/>
          <w:bCs/>
        </w:rPr>
        <w:t xml:space="preserve"> основні та допоміжні цехи підприємства серйозно пошкоджено через </w:t>
      </w:r>
      <w:r w:rsidR="005B7867">
        <w:rPr>
          <w:rFonts w:eastAsia="Calibri"/>
          <w:bCs/>
        </w:rPr>
        <w:t>активні</w:t>
      </w:r>
      <w:r w:rsidR="005B7867" w:rsidRPr="00355733">
        <w:rPr>
          <w:rFonts w:eastAsia="Calibri"/>
          <w:bCs/>
        </w:rPr>
        <w:t xml:space="preserve"> </w:t>
      </w:r>
      <w:r w:rsidRPr="00355733">
        <w:rPr>
          <w:rFonts w:eastAsia="Calibri"/>
          <w:bCs/>
        </w:rPr>
        <w:t xml:space="preserve">бойові дії на території заводу. Внаслідок обстрілів пошкоджено обидва цехи аміаку 1-А (розбито піч первинного </w:t>
      </w:r>
      <w:proofErr w:type="spellStart"/>
      <w:r w:rsidRPr="00355733">
        <w:rPr>
          <w:rFonts w:eastAsia="Calibri"/>
          <w:bCs/>
        </w:rPr>
        <w:t>реформінгу</w:t>
      </w:r>
      <w:proofErr w:type="spellEnd"/>
      <w:r w:rsidRPr="00355733">
        <w:rPr>
          <w:rFonts w:eastAsia="Calibri"/>
          <w:bCs/>
        </w:rPr>
        <w:t>, пошкоджено реакційні труби) та 1-Б (пошкоджено пусковий котел, вакуум-</w:t>
      </w:r>
      <w:r w:rsidRPr="00355733">
        <w:rPr>
          <w:rFonts w:eastAsia="Calibri"/>
          <w:bCs/>
        </w:rPr>
        <w:lastRenderedPageBreak/>
        <w:t xml:space="preserve">витяжку системи конденсації відділення компресії), цех азотної кислоти (зруйновано будівлю цеху, естакади, пожежею пошкоджено приміщення ЦПУ, зруйновано </w:t>
      </w:r>
      <w:proofErr w:type="spellStart"/>
      <w:r w:rsidRPr="00355733">
        <w:rPr>
          <w:rFonts w:eastAsia="Calibri"/>
          <w:bCs/>
        </w:rPr>
        <w:t>контролерне</w:t>
      </w:r>
      <w:proofErr w:type="spellEnd"/>
      <w:r w:rsidRPr="00355733">
        <w:rPr>
          <w:rFonts w:eastAsia="Calibri"/>
          <w:bCs/>
        </w:rPr>
        <w:t xml:space="preserve"> керування технологічним процесом, </w:t>
      </w:r>
      <w:proofErr w:type="spellStart"/>
      <w:r w:rsidRPr="00355733">
        <w:rPr>
          <w:rFonts w:eastAsia="Calibri"/>
          <w:bCs/>
        </w:rPr>
        <w:t>маслосистему</w:t>
      </w:r>
      <w:proofErr w:type="spellEnd"/>
      <w:r w:rsidRPr="00355733">
        <w:rPr>
          <w:rFonts w:eastAsia="Calibri"/>
          <w:bCs/>
        </w:rPr>
        <w:t xml:space="preserve"> компресора ГТТ-3М). Також постраждала практично вся інфраструктура підприємства – системи водопостачання та водоочищення, система енергозабезпечення, логістичне та залізничне господарство (пошкоджено залізничне полотно, склад, вузли перевантаження), зруйновано два сховища метанолу, пошкоджено чотири сховища КАС. На думку експертів у відновлення </w:t>
      </w:r>
      <w:r w:rsidR="00A967CD" w:rsidRPr="00355733">
        <w:rPr>
          <w:rFonts w:eastAsia="Calibri"/>
          <w:bCs/>
        </w:rPr>
        <w:t xml:space="preserve">ПрАТ «Сєвєродонецьке об'єднання </w:t>
      </w:r>
      <w:r w:rsidR="00A967CD" w:rsidRPr="002530CE">
        <w:rPr>
          <w:rFonts w:eastAsia="Calibri"/>
          <w:bCs/>
        </w:rPr>
        <w:t>«</w:t>
      </w:r>
      <w:r w:rsidR="00A967CD" w:rsidRPr="00355733">
        <w:rPr>
          <w:rFonts w:eastAsia="Calibri"/>
          <w:bCs/>
        </w:rPr>
        <w:t>Азот»</w:t>
      </w:r>
      <w:r w:rsidR="00A967CD" w:rsidRPr="002530CE">
        <w:rPr>
          <w:rFonts w:eastAsia="Calibri"/>
          <w:bCs/>
        </w:rPr>
        <w:t>»</w:t>
      </w:r>
      <w:r w:rsidRPr="00355733">
        <w:rPr>
          <w:rFonts w:eastAsia="Calibri"/>
          <w:bCs/>
        </w:rPr>
        <w:t xml:space="preserve"> потрібно буде вкласти сотні мільйонів доларів. Крім того, завод може стикнутися з дефіцитом персоналу, який був змушений виїхати з міста. </w:t>
      </w:r>
      <w:proofErr w:type="spellStart"/>
      <w:r w:rsidRPr="00355733">
        <w:rPr>
          <w:rFonts w:eastAsia="Calibri"/>
          <w:bCs/>
        </w:rPr>
        <w:t>Group</w:t>
      </w:r>
      <w:proofErr w:type="spellEnd"/>
      <w:r w:rsidRPr="00355733">
        <w:rPr>
          <w:rFonts w:eastAsia="Calibri"/>
          <w:bCs/>
        </w:rPr>
        <w:t xml:space="preserve"> DF готує міжнародні позови для отримання відшкодування за завдані на </w:t>
      </w:r>
      <w:r w:rsidR="00A967CD" w:rsidRPr="00355733">
        <w:rPr>
          <w:rFonts w:eastAsia="Calibri"/>
          <w:bCs/>
        </w:rPr>
        <w:t xml:space="preserve">ПрАТ «Сєвєродонецьке об'єднання </w:t>
      </w:r>
      <w:r w:rsidR="00A967CD" w:rsidRPr="002530CE">
        <w:rPr>
          <w:rFonts w:eastAsia="Calibri"/>
          <w:bCs/>
        </w:rPr>
        <w:t>«</w:t>
      </w:r>
      <w:r w:rsidR="00A967CD" w:rsidRPr="00355733">
        <w:rPr>
          <w:rFonts w:eastAsia="Calibri"/>
          <w:bCs/>
        </w:rPr>
        <w:t>Азот»</w:t>
      </w:r>
      <w:r w:rsidR="00A967CD" w:rsidRPr="002530CE">
        <w:rPr>
          <w:rFonts w:eastAsia="Calibri"/>
          <w:bCs/>
        </w:rPr>
        <w:t>»</w:t>
      </w:r>
      <w:r w:rsidR="00A967CD" w:rsidRPr="00A967CD">
        <w:rPr>
          <w:rFonts w:eastAsia="Calibri"/>
          <w:bCs/>
        </w:rPr>
        <w:t xml:space="preserve"> </w:t>
      </w:r>
      <w:r w:rsidRPr="00355733">
        <w:rPr>
          <w:rFonts w:eastAsia="Calibri"/>
          <w:bCs/>
        </w:rPr>
        <w:t xml:space="preserve">збитки. </w:t>
      </w:r>
      <w:r w:rsidR="00A967CD">
        <w:rPr>
          <w:rFonts w:eastAsia="Calibri"/>
          <w:bCs/>
        </w:rPr>
        <w:t>Позови</w:t>
      </w:r>
      <w:r w:rsidRPr="00355733">
        <w:rPr>
          <w:rFonts w:eastAsia="Calibri"/>
          <w:bCs/>
        </w:rPr>
        <w:t xml:space="preserve"> будуть подані після </w:t>
      </w:r>
      <w:proofErr w:type="spellStart"/>
      <w:r w:rsidRPr="00355733">
        <w:rPr>
          <w:rFonts w:eastAsia="Calibri"/>
          <w:bCs/>
        </w:rPr>
        <w:t>деокупації</w:t>
      </w:r>
      <w:proofErr w:type="spellEnd"/>
      <w:r w:rsidR="00A967CD">
        <w:rPr>
          <w:rFonts w:eastAsia="Calibri"/>
          <w:bCs/>
          <w:lang w:val="ru-RU"/>
        </w:rPr>
        <w:t xml:space="preserve"> </w:t>
      </w:r>
      <w:r w:rsidR="00A967CD">
        <w:rPr>
          <w:rFonts w:eastAsia="Calibri"/>
          <w:bCs/>
        </w:rPr>
        <w:t>території нашої громади</w:t>
      </w:r>
      <w:r w:rsidRPr="00355733">
        <w:rPr>
          <w:rFonts w:eastAsia="Calibri"/>
          <w:bCs/>
        </w:rPr>
        <w:t xml:space="preserve">, коли компанія зможе провести оцінку завданих збитків. За підрахунками Київської Школи Економіки (КШЕ) втрати підприємства оцінені в 70 млрд. доларів. </w:t>
      </w:r>
    </w:p>
    <w:p w:rsidR="00AC499C" w:rsidRPr="00355733" w:rsidRDefault="00AC499C" w:rsidP="00AC499C">
      <w:pPr>
        <w:ind w:firstLine="720"/>
        <w:rPr>
          <w:rFonts w:eastAsia="Calibri"/>
          <w:bCs/>
        </w:rPr>
      </w:pPr>
    </w:p>
    <w:p w:rsidR="00AC499C" w:rsidRDefault="00AC499C" w:rsidP="00AC499C">
      <w:pPr>
        <w:ind w:firstLine="720"/>
        <w:rPr>
          <w:rFonts w:eastAsia="Calibri"/>
          <w:bCs/>
        </w:rPr>
      </w:pPr>
      <w:r w:rsidRPr="00355733">
        <w:rPr>
          <w:rFonts w:eastAsia="Calibri"/>
          <w:bCs/>
        </w:rPr>
        <w:t xml:space="preserve">Значних ушкоджень зазнали </w:t>
      </w:r>
      <w:r w:rsidR="00C745A6">
        <w:rPr>
          <w:rFonts w:eastAsia="Calibri"/>
          <w:bCs/>
        </w:rPr>
        <w:t>й</w:t>
      </w:r>
      <w:r w:rsidRPr="00355733">
        <w:rPr>
          <w:rFonts w:eastAsia="Calibri"/>
          <w:bCs/>
        </w:rPr>
        <w:t xml:space="preserve"> інші підприємства, що входили до промислового ядра міста</w:t>
      </w:r>
      <w:r w:rsidR="007065FB">
        <w:rPr>
          <w:rFonts w:eastAsia="Calibri"/>
          <w:bCs/>
        </w:rPr>
        <w:t>,</w:t>
      </w:r>
      <w:r w:rsidRPr="00355733">
        <w:rPr>
          <w:rFonts w:eastAsia="Calibri"/>
          <w:bCs/>
        </w:rPr>
        <w:t xml:space="preserve"> </w:t>
      </w:r>
      <w:r w:rsidR="00C745A6">
        <w:rPr>
          <w:rFonts w:eastAsia="Calibri"/>
          <w:bCs/>
        </w:rPr>
        <w:t>І</w:t>
      </w:r>
      <w:r w:rsidRPr="00355733">
        <w:rPr>
          <w:rFonts w:eastAsia="Calibri"/>
          <w:bCs/>
        </w:rPr>
        <w:t>нформація щодо даних підприємств надана в таблиці.</w:t>
      </w:r>
    </w:p>
    <w:p w:rsidR="00AC499C" w:rsidRDefault="00AC499C" w:rsidP="00AC499C">
      <w:pPr>
        <w:rPr>
          <w:rFonts w:eastAsia="Calibri"/>
          <w:bCs/>
        </w:rPr>
      </w:pPr>
    </w:p>
    <w:tbl>
      <w:tblPr>
        <w:tblStyle w:val="af"/>
        <w:tblW w:w="0" w:type="auto"/>
        <w:tblLook w:val="04A0" w:firstRow="1" w:lastRow="0" w:firstColumn="1" w:lastColumn="0" w:noHBand="0" w:noVBand="1"/>
      </w:tblPr>
      <w:tblGrid>
        <w:gridCol w:w="2669"/>
        <w:gridCol w:w="6819"/>
      </w:tblGrid>
      <w:tr w:rsidR="00AC499C" w:rsidRPr="00E95FB1" w:rsidTr="00524DBF">
        <w:tc>
          <w:tcPr>
            <w:tcW w:w="2689" w:type="dxa"/>
          </w:tcPr>
          <w:p w:rsidR="00AC499C" w:rsidRPr="00E95FB1" w:rsidRDefault="00AC499C" w:rsidP="00524DBF">
            <w:pPr>
              <w:jc w:val="center"/>
              <w:rPr>
                <w:rFonts w:eastAsia="Calibri"/>
                <w:b/>
                <w:color w:val="000000"/>
                <w:sz w:val="24"/>
                <w:szCs w:val="24"/>
                <w:lang w:eastAsia="uk-UA"/>
              </w:rPr>
            </w:pPr>
            <w:proofErr w:type="spellStart"/>
            <w:r w:rsidRPr="00E95FB1">
              <w:rPr>
                <w:rFonts w:eastAsia="Calibri"/>
                <w:b/>
                <w:color w:val="000000"/>
                <w:sz w:val="24"/>
                <w:szCs w:val="24"/>
                <w:lang w:eastAsia="uk-UA"/>
              </w:rPr>
              <w:t>Назва</w:t>
            </w:r>
            <w:proofErr w:type="spellEnd"/>
            <w:r w:rsidRPr="00E95FB1">
              <w:rPr>
                <w:rFonts w:eastAsia="Calibri"/>
                <w:b/>
                <w:color w:val="000000"/>
                <w:sz w:val="24"/>
                <w:szCs w:val="24"/>
                <w:lang w:eastAsia="uk-UA"/>
              </w:rPr>
              <w:t xml:space="preserve"> </w:t>
            </w:r>
            <w:proofErr w:type="spellStart"/>
            <w:r w:rsidRPr="00E95FB1">
              <w:rPr>
                <w:rFonts w:eastAsia="Calibri"/>
                <w:b/>
                <w:color w:val="000000"/>
                <w:sz w:val="24"/>
                <w:szCs w:val="24"/>
                <w:lang w:eastAsia="uk-UA"/>
              </w:rPr>
              <w:t>підприємства</w:t>
            </w:r>
            <w:proofErr w:type="spellEnd"/>
          </w:p>
        </w:tc>
        <w:tc>
          <w:tcPr>
            <w:tcW w:w="7025" w:type="dxa"/>
          </w:tcPr>
          <w:p w:rsidR="00AC499C" w:rsidRPr="00E95FB1" w:rsidRDefault="00AC499C" w:rsidP="00524DBF">
            <w:pPr>
              <w:jc w:val="center"/>
              <w:rPr>
                <w:rFonts w:eastAsia="Calibri"/>
                <w:b/>
                <w:color w:val="000000"/>
                <w:sz w:val="24"/>
                <w:szCs w:val="24"/>
                <w:lang w:eastAsia="uk-UA"/>
              </w:rPr>
            </w:pPr>
            <w:r w:rsidRPr="00E95FB1">
              <w:rPr>
                <w:rFonts w:eastAsia="Calibri"/>
                <w:b/>
                <w:color w:val="000000"/>
                <w:sz w:val="24"/>
                <w:szCs w:val="24"/>
                <w:lang w:eastAsia="uk-UA"/>
              </w:rPr>
              <w:t xml:space="preserve">Вид </w:t>
            </w:r>
            <w:proofErr w:type="spellStart"/>
            <w:r w:rsidRPr="00E95FB1">
              <w:rPr>
                <w:rFonts w:eastAsia="Calibri"/>
                <w:b/>
                <w:color w:val="000000"/>
                <w:sz w:val="24"/>
                <w:szCs w:val="24"/>
                <w:lang w:eastAsia="uk-UA"/>
              </w:rPr>
              <w:t>діяльності</w:t>
            </w:r>
            <w:proofErr w:type="spellEnd"/>
          </w:p>
        </w:tc>
      </w:tr>
      <w:tr w:rsidR="00AC499C" w:rsidRPr="00E95FB1" w:rsidTr="00524DBF">
        <w:trPr>
          <w:trHeight w:val="1431"/>
        </w:trPr>
        <w:tc>
          <w:tcPr>
            <w:tcW w:w="2689" w:type="dxa"/>
          </w:tcPr>
          <w:p w:rsidR="00AC499C" w:rsidRPr="00E95FB1" w:rsidRDefault="00AC499C" w:rsidP="00524DBF">
            <w:pPr>
              <w:rPr>
                <w:rFonts w:eastAsia="Calibri"/>
                <w:color w:val="000000"/>
                <w:sz w:val="24"/>
                <w:szCs w:val="24"/>
                <w:lang w:eastAsia="uk-UA"/>
              </w:rPr>
            </w:pPr>
            <w:proofErr w:type="spellStart"/>
            <w:r w:rsidRPr="00E95FB1">
              <w:rPr>
                <w:rFonts w:eastAsia="Calibri"/>
                <w:sz w:val="24"/>
                <w:szCs w:val="24"/>
                <w:lang w:eastAsia="uk-UA"/>
              </w:rPr>
              <w:t>ПрАТ</w:t>
            </w:r>
            <w:proofErr w:type="spellEnd"/>
            <w:r w:rsidRPr="00E95FB1">
              <w:rPr>
                <w:rFonts w:eastAsia="Calibri"/>
                <w:sz w:val="24"/>
                <w:szCs w:val="24"/>
                <w:lang w:eastAsia="uk-UA"/>
              </w:rPr>
              <w:t xml:space="preserve"> «</w:t>
            </w:r>
            <w:proofErr w:type="spellStart"/>
            <w:r w:rsidRPr="00E95FB1">
              <w:rPr>
                <w:rFonts w:eastAsia="Calibri"/>
                <w:sz w:val="24"/>
                <w:szCs w:val="24"/>
                <w:lang w:eastAsia="uk-UA"/>
              </w:rPr>
              <w:t>Сєвєродонецьке</w:t>
            </w:r>
            <w:proofErr w:type="spellEnd"/>
            <w:r w:rsidRPr="00E95FB1">
              <w:rPr>
                <w:rFonts w:eastAsia="Calibri"/>
                <w:sz w:val="24"/>
                <w:szCs w:val="24"/>
                <w:lang w:eastAsia="uk-UA"/>
              </w:rPr>
              <w:t xml:space="preserve"> </w:t>
            </w:r>
            <w:proofErr w:type="spellStart"/>
            <w:r w:rsidRPr="00E95FB1">
              <w:rPr>
                <w:rFonts w:eastAsia="Calibri"/>
                <w:sz w:val="24"/>
                <w:szCs w:val="24"/>
                <w:lang w:eastAsia="uk-UA"/>
              </w:rPr>
              <w:t>об’єднання</w:t>
            </w:r>
            <w:proofErr w:type="spellEnd"/>
            <w:r w:rsidRPr="00E95FB1">
              <w:rPr>
                <w:rFonts w:eastAsia="Calibri"/>
                <w:sz w:val="24"/>
                <w:szCs w:val="24"/>
                <w:lang w:eastAsia="uk-UA"/>
              </w:rPr>
              <w:t xml:space="preserve"> «АЗОТ»</w:t>
            </w:r>
            <w:r w:rsidR="00437099">
              <w:rPr>
                <w:rFonts w:eastAsia="Calibri"/>
                <w:sz w:val="24"/>
                <w:szCs w:val="24"/>
                <w:lang w:eastAsia="uk-UA"/>
              </w:rPr>
              <w:t>»</w:t>
            </w:r>
          </w:p>
        </w:tc>
        <w:tc>
          <w:tcPr>
            <w:tcW w:w="7025" w:type="dxa"/>
          </w:tcPr>
          <w:p w:rsidR="00AC499C" w:rsidRPr="00E95FB1" w:rsidRDefault="00A967CD" w:rsidP="00524DBF">
            <w:pPr>
              <w:rPr>
                <w:rFonts w:eastAsia="Calibri"/>
                <w:sz w:val="24"/>
                <w:szCs w:val="24"/>
                <w:lang w:eastAsia="uk-UA"/>
              </w:rPr>
            </w:pPr>
            <w:proofErr w:type="spellStart"/>
            <w:r>
              <w:rPr>
                <w:rFonts w:eastAsia="Calibri"/>
                <w:sz w:val="24"/>
                <w:szCs w:val="24"/>
                <w:lang w:eastAsia="uk-UA"/>
              </w:rPr>
              <w:t>одне</w:t>
            </w:r>
            <w:proofErr w:type="spellEnd"/>
            <w:r>
              <w:rPr>
                <w:rFonts w:eastAsia="Calibri"/>
                <w:sz w:val="24"/>
                <w:szCs w:val="24"/>
                <w:lang w:eastAsia="uk-UA"/>
              </w:rPr>
              <w:t xml:space="preserve"> з </w:t>
            </w:r>
            <w:proofErr w:type="spellStart"/>
            <w:r>
              <w:rPr>
                <w:rFonts w:eastAsia="Calibri"/>
                <w:sz w:val="24"/>
                <w:szCs w:val="24"/>
                <w:lang w:eastAsia="uk-UA"/>
              </w:rPr>
              <w:t>найбільших</w:t>
            </w:r>
            <w:proofErr w:type="spellEnd"/>
            <w:r w:rsidR="00AC499C" w:rsidRPr="00E95FB1">
              <w:rPr>
                <w:rFonts w:eastAsia="Calibri"/>
                <w:sz w:val="24"/>
                <w:szCs w:val="24"/>
                <w:lang w:eastAsia="uk-UA"/>
              </w:rPr>
              <w:t xml:space="preserve"> </w:t>
            </w:r>
            <w:proofErr w:type="spellStart"/>
            <w:r w:rsidR="00AC499C" w:rsidRPr="00E95FB1">
              <w:rPr>
                <w:rFonts w:eastAsia="Calibri"/>
                <w:sz w:val="24"/>
                <w:szCs w:val="24"/>
                <w:lang w:eastAsia="uk-UA"/>
              </w:rPr>
              <w:t>хімічн</w:t>
            </w:r>
            <w:r>
              <w:rPr>
                <w:rFonts w:eastAsia="Calibri"/>
                <w:sz w:val="24"/>
                <w:szCs w:val="24"/>
                <w:lang w:eastAsia="uk-UA"/>
              </w:rPr>
              <w:t>их</w:t>
            </w:r>
            <w:proofErr w:type="spellEnd"/>
            <w:r w:rsidR="00AC499C" w:rsidRPr="00E95FB1">
              <w:rPr>
                <w:rFonts w:eastAsia="Calibri"/>
                <w:sz w:val="24"/>
                <w:szCs w:val="24"/>
                <w:lang w:eastAsia="uk-UA"/>
              </w:rPr>
              <w:t xml:space="preserve"> </w:t>
            </w:r>
            <w:proofErr w:type="spellStart"/>
            <w:r w:rsidR="00AC499C" w:rsidRPr="00E95FB1">
              <w:rPr>
                <w:rFonts w:eastAsia="Calibri"/>
                <w:sz w:val="24"/>
                <w:szCs w:val="24"/>
                <w:lang w:eastAsia="uk-UA"/>
              </w:rPr>
              <w:t>підприємство</w:t>
            </w:r>
            <w:proofErr w:type="spellEnd"/>
            <w:r w:rsidR="00AC499C" w:rsidRPr="00E95FB1">
              <w:rPr>
                <w:rFonts w:eastAsia="Calibri"/>
                <w:sz w:val="24"/>
                <w:szCs w:val="24"/>
                <w:lang w:eastAsia="uk-UA"/>
              </w:rPr>
              <w:t xml:space="preserve"> </w:t>
            </w:r>
            <w:proofErr w:type="spellStart"/>
            <w:r w:rsidR="00AC499C" w:rsidRPr="00E95FB1">
              <w:rPr>
                <w:rFonts w:eastAsia="Calibri"/>
                <w:sz w:val="24"/>
                <w:szCs w:val="24"/>
                <w:lang w:eastAsia="uk-UA"/>
              </w:rPr>
              <w:t>України</w:t>
            </w:r>
            <w:proofErr w:type="spellEnd"/>
            <w:r w:rsidR="00AC499C" w:rsidRPr="00E95FB1">
              <w:rPr>
                <w:rFonts w:eastAsia="Calibri"/>
                <w:sz w:val="24"/>
                <w:szCs w:val="24"/>
                <w:lang w:eastAsia="uk-UA"/>
              </w:rPr>
              <w:t xml:space="preserve"> та </w:t>
            </w:r>
            <w:proofErr w:type="spellStart"/>
            <w:r w:rsidR="00AC499C" w:rsidRPr="00E95FB1">
              <w:rPr>
                <w:rFonts w:eastAsia="Calibri"/>
                <w:sz w:val="24"/>
                <w:szCs w:val="24"/>
                <w:lang w:eastAsia="uk-UA"/>
              </w:rPr>
              <w:t>Європи</w:t>
            </w:r>
            <w:proofErr w:type="spellEnd"/>
            <w:r w:rsidR="00AC499C" w:rsidRPr="00E95FB1">
              <w:rPr>
                <w:rFonts w:eastAsia="Calibri"/>
                <w:sz w:val="24"/>
                <w:szCs w:val="24"/>
                <w:lang w:eastAsia="uk-UA"/>
              </w:rPr>
              <w:t xml:space="preserve">, </w:t>
            </w:r>
            <w:proofErr w:type="spellStart"/>
            <w:r w:rsidR="00AC499C" w:rsidRPr="00E95FB1">
              <w:rPr>
                <w:rFonts w:eastAsia="Calibri"/>
                <w:sz w:val="24"/>
                <w:szCs w:val="24"/>
                <w:lang w:eastAsia="uk-UA"/>
              </w:rPr>
              <w:t>що</w:t>
            </w:r>
            <w:proofErr w:type="spellEnd"/>
            <w:r w:rsidR="00AC499C" w:rsidRPr="00E95FB1">
              <w:rPr>
                <w:rFonts w:eastAsia="Calibri"/>
                <w:sz w:val="24"/>
                <w:szCs w:val="24"/>
                <w:lang w:eastAsia="uk-UA"/>
              </w:rPr>
              <w:t xml:space="preserve"> входить </w:t>
            </w:r>
            <w:proofErr w:type="gramStart"/>
            <w:r w:rsidR="00AC499C" w:rsidRPr="00E95FB1">
              <w:rPr>
                <w:rFonts w:eastAsia="Calibri"/>
                <w:sz w:val="24"/>
                <w:szCs w:val="24"/>
                <w:lang w:eastAsia="uk-UA"/>
              </w:rPr>
              <w:t>до складу</w:t>
            </w:r>
            <w:proofErr w:type="gramEnd"/>
            <w:r w:rsidR="00AC499C" w:rsidRPr="00E95FB1">
              <w:rPr>
                <w:rFonts w:eastAsia="Calibri"/>
                <w:sz w:val="24"/>
                <w:szCs w:val="24"/>
                <w:lang w:eastAsia="uk-UA"/>
              </w:rPr>
              <w:t xml:space="preserve"> холдингу OSTCHEM (</w:t>
            </w:r>
            <w:proofErr w:type="spellStart"/>
            <w:r w:rsidR="00AC499C" w:rsidRPr="00E95FB1">
              <w:rPr>
                <w:rFonts w:eastAsia="Calibri"/>
                <w:sz w:val="24"/>
                <w:szCs w:val="24"/>
                <w:lang w:eastAsia="uk-UA"/>
              </w:rPr>
              <w:t>об’єднує</w:t>
            </w:r>
            <w:proofErr w:type="spellEnd"/>
            <w:r w:rsidR="00AC499C" w:rsidRPr="00E95FB1">
              <w:rPr>
                <w:rFonts w:eastAsia="Calibri"/>
                <w:sz w:val="24"/>
                <w:szCs w:val="24"/>
                <w:lang w:eastAsia="uk-UA"/>
              </w:rPr>
              <w:t xml:space="preserve"> </w:t>
            </w:r>
            <w:proofErr w:type="spellStart"/>
            <w:r w:rsidR="00AC499C" w:rsidRPr="00E95FB1">
              <w:rPr>
                <w:rFonts w:eastAsia="Calibri"/>
                <w:sz w:val="24"/>
                <w:szCs w:val="24"/>
                <w:lang w:eastAsia="uk-UA"/>
              </w:rPr>
              <w:t>підприємства</w:t>
            </w:r>
            <w:proofErr w:type="spellEnd"/>
            <w:r w:rsidR="00AC499C" w:rsidRPr="00E95FB1">
              <w:rPr>
                <w:rFonts w:eastAsia="Calibri"/>
                <w:sz w:val="24"/>
                <w:szCs w:val="24"/>
                <w:lang w:eastAsia="uk-UA"/>
              </w:rPr>
              <w:t xml:space="preserve"> </w:t>
            </w:r>
            <w:proofErr w:type="spellStart"/>
            <w:r w:rsidR="00AC499C" w:rsidRPr="00E95FB1">
              <w:rPr>
                <w:rFonts w:eastAsia="Calibri"/>
                <w:sz w:val="24"/>
                <w:szCs w:val="24"/>
                <w:lang w:eastAsia="uk-UA"/>
              </w:rPr>
              <w:t>азотної</w:t>
            </w:r>
            <w:proofErr w:type="spellEnd"/>
            <w:r w:rsidR="00AC499C" w:rsidRPr="00E95FB1">
              <w:rPr>
                <w:rFonts w:eastAsia="Calibri"/>
                <w:sz w:val="24"/>
                <w:szCs w:val="24"/>
                <w:lang w:eastAsia="uk-UA"/>
              </w:rPr>
              <w:t xml:space="preserve"> </w:t>
            </w:r>
            <w:proofErr w:type="spellStart"/>
            <w:r w:rsidR="00AC499C" w:rsidRPr="00E95FB1">
              <w:rPr>
                <w:rFonts w:eastAsia="Calibri"/>
                <w:sz w:val="24"/>
                <w:szCs w:val="24"/>
                <w:lang w:eastAsia="uk-UA"/>
              </w:rPr>
              <w:t>хімії</w:t>
            </w:r>
            <w:proofErr w:type="spellEnd"/>
            <w:r w:rsidR="00AC499C" w:rsidRPr="00E95FB1">
              <w:rPr>
                <w:rFonts w:eastAsia="Calibri"/>
                <w:sz w:val="24"/>
                <w:szCs w:val="24"/>
                <w:lang w:eastAsia="uk-UA"/>
              </w:rPr>
              <w:t xml:space="preserve"> </w:t>
            </w:r>
            <w:proofErr w:type="spellStart"/>
            <w:r w:rsidR="00AC499C" w:rsidRPr="00E95FB1">
              <w:rPr>
                <w:rFonts w:eastAsia="Calibri"/>
                <w:sz w:val="24"/>
                <w:szCs w:val="24"/>
                <w:lang w:eastAsia="uk-UA"/>
              </w:rPr>
              <w:t>Group</w:t>
            </w:r>
            <w:proofErr w:type="spellEnd"/>
            <w:r w:rsidR="00AC499C" w:rsidRPr="00E95FB1">
              <w:rPr>
                <w:rFonts w:eastAsia="Calibri"/>
                <w:sz w:val="24"/>
                <w:szCs w:val="24"/>
                <w:lang w:eastAsia="uk-UA"/>
              </w:rPr>
              <w:t xml:space="preserve"> DF). </w:t>
            </w:r>
            <w:proofErr w:type="spellStart"/>
            <w:r w:rsidR="00AC499C" w:rsidRPr="00E95FB1">
              <w:rPr>
                <w:rFonts w:eastAsia="Calibri"/>
                <w:sz w:val="24"/>
                <w:szCs w:val="24"/>
                <w:lang w:eastAsia="uk-UA"/>
              </w:rPr>
              <w:t>Підприємство</w:t>
            </w:r>
            <w:proofErr w:type="spellEnd"/>
            <w:r w:rsidR="00AC499C" w:rsidRPr="00E95FB1">
              <w:rPr>
                <w:rFonts w:eastAsia="Calibri"/>
                <w:sz w:val="24"/>
                <w:szCs w:val="24"/>
                <w:lang w:eastAsia="uk-UA"/>
              </w:rPr>
              <w:t xml:space="preserve"> </w:t>
            </w:r>
            <w:proofErr w:type="spellStart"/>
            <w:r w:rsidR="00AC499C" w:rsidRPr="00E95FB1">
              <w:rPr>
                <w:rFonts w:eastAsia="Calibri"/>
                <w:sz w:val="24"/>
                <w:szCs w:val="24"/>
                <w:lang w:eastAsia="uk-UA"/>
              </w:rPr>
              <w:t>спеціалізується</w:t>
            </w:r>
            <w:proofErr w:type="spellEnd"/>
            <w:r w:rsidR="00AC499C" w:rsidRPr="00E95FB1">
              <w:rPr>
                <w:rFonts w:eastAsia="Calibri"/>
                <w:sz w:val="24"/>
                <w:szCs w:val="24"/>
                <w:lang w:eastAsia="uk-UA"/>
              </w:rPr>
              <w:t xml:space="preserve"> на </w:t>
            </w:r>
            <w:proofErr w:type="spellStart"/>
            <w:r w:rsidR="00AC499C" w:rsidRPr="00E95FB1">
              <w:rPr>
                <w:rFonts w:eastAsia="Calibri"/>
                <w:sz w:val="24"/>
                <w:szCs w:val="24"/>
                <w:lang w:eastAsia="uk-UA"/>
              </w:rPr>
              <w:t>виробництві</w:t>
            </w:r>
            <w:proofErr w:type="spellEnd"/>
            <w:r w:rsidR="00AC499C" w:rsidRPr="00E95FB1">
              <w:rPr>
                <w:rFonts w:eastAsia="Calibri"/>
                <w:sz w:val="24"/>
                <w:szCs w:val="24"/>
                <w:lang w:eastAsia="uk-UA"/>
              </w:rPr>
              <w:t xml:space="preserve"> </w:t>
            </w:r>
            <w:proofErr w:type="spellStart"/>
            <w:r w:rsidR="00AC499C" w:rsidRPr="00E95FB1">
              <w:rPr>
                <w:rFonts w:eastAsia="Calibri"/>
                <w:sz w:val="24"/>
                <w:szCs w:val="24"/>
                <w:lang w:eastAsia="uk-UA"/>
              </w:rPr>
              <w:t>азотних</w:t>
            </w:r>
            <w:proofErr w:type="spellEnd"/>
            <w:r w:rsidR="00AC499C" w:rsidRPr="00E95FB1">
              <w:rPr>
                <w:rFonts w:eastAsia="Calibri"/>
                <w:sz w:val="24"/>
                <w:szCs w:val="24"/>
                <w:lang w:eastAsia="uk-UA"/>
              </w:rPr>
              <w:t xml:space="preserve"> добрив – </w:t>
            </w:r>
            <w:proofErr w:type="spellStart"/>
            <w:r w:rsidR="00AC499C" w:rsidRPr="00E95FB1">
              <w:rPr>
                <w:rFonts w:eastAsia="Calibri"/>
                <w:sz w:val="24"/>
                <w:szCs w:val="24"/>
                <w:lang w:eastAsia="uk-UA"/>
              </w:rPr>
              <w:t>аміаку</w:t>
            </w:r>
            <w:proofErr w:type="spellEnd"/>
            <w:r w:rsidR="00AC499C" w:rsidRPr="00E95FB1">
              <w:rPr>
                <w:rFonts w:eastAsia="Calibri"/>
                <w:sz w:val="24"/>
                <w:szCs w:val="24"/>
                <w:lang w:eastAsia="uk-UA"/>
              </w:rPr>
              <w:t xml:space="preserve">, </w:t>
            </w:r>
            <w:proofErr w:type="spellStart"/>
            <w:r w:rsidR="00AC499C" w:rsidRPr="00E95FB1">
              <w:rPr>
                <w:rFonts w:eastAsia="Calibri"/>
                <w:sz w:val="24"/>
                <w:szCs w:val="24"/>
                <w:lang w:eastAsia="uk-UA"/>
              </w:rPr>
              <w:t>карбаміду</w:t>
            </w:r>
            <w:proofErr w:type="spellEnd"/>
            <w:r w:rsidR="00AC499C" w:rsidRPr="00E95FB1">
              <w:rPr>
                <w:rFonts w:eastAsia="Calibri"/>
                <w:sz w:val="24"/>
                <w:szCs w:val="24"/>
                <w:lang w:eastAsia="uk-UA"/>
              </w:rPr>
              <w:t xml:space="preserve">, </w:t>
            </w:r>
            <w:proofErr w:type="spellStart"/>
            <w:r w:rsidR="00AC499C" w:rsidRPr="00E95FB1">
              <w:rPr>
                <w:rFonts w:eastAsia="Calibri"/>
                <w:sz w:val="24"/>
                <w:szCs w:val="24"/>
                <w:lang w:eastAsia="uk-UA"/>
              </w:rPr>
              <w:t>аміачної</w:t>
            </w:r>
            <w:proofErr w:type="spellEnd"/>
            <w:r w:rsidR="00AC499C" w:rsidRPr="00E95FB1">
              <w:rPr>
                <w:rFonts w:eastAsia="Calibri"/>
                <w:sz w:val="24"/>
                <w:szCs w:val="24"/>
                <w:lang w:eastAsia="uk-UA"/>
              </w:rPr>
              <w:t xml:space="preserve">, </w:t>
            </w:r>
            <w:proofErr w:type="spellStart"/>
            <w:r w:rsidR="00AC499C" w:rsidRPr="00E95FB1">
              <w:rPr>
                <w:rFonts w:eastAsia="Calibri"/>
                <w:sz w:val="24"/>
                <w:szCs w:val="24"/>
                <w:lang w:eastAsia="uk-UA"/>
              </w:rPr>
              <w:t>калієвої</w:t>
            </w:r>
            <w:proofErr w:type="spellEnd"/>
            <w:r w:rsidR="00AC499C" w:rsidRPr="00E95FB1">
              <w:rPr>
                <w:rFonts w:eastAsia="Calibri"/>
                <w:sz w:val="24"/>
                <w:szCs w:val="24"/>
                <w:lang w:eastAsia="uk-UA"/>
              </w:rPr>
              <w:t xml:space="preserve"> та </w:t>
            </w:r>
            <w:proofErr w:type="spellStart"/>
            <w:r w:rsidR="00AC499C" w:rsidRPr="00E95FB1">
              <w:rPr>
                <w:rFonts w:eastAsia="Calibri"/>
                <w:sz w:val="24"/>
                <w:szCs w:val="24"/>
                <w:lang w:eastAsia="uk-UA"/>
              </w:rPr>
              <w:t>натрієвої</w:t>
            </w:r>
            <w:proofErr w:type="spellEnd"/>
            <w:r w:rsidR="00AC499C" w:rsidRPr="00E95FB1">
              <w:rPr>
                <w:rFonts w:eastAsia="Calibri"/>
                <w:sz w:val="24"/>
                <w:szCs w:val="24"/>
                <w:lang w:eastAsia="uk-UA"/>
              </w:rPr>
              <w:t xml:space="preserve"> </w:t>
            </w:r>
            <w:proofErr w:type="spellStart"/>
            <w:r w:rsidR="00AC499C" w:rsidRPr="00E95FB1">
              <w:rPr>
                <w:rFonts w:eastAsia="Calibri"/>
                <w:sz w:val="24"/>
                <w:szCs w:val="24"/>
                <w:lang w:eastAsia="uk-UA"/>
              </w:rPr>
              <w:t>селітри</w:t>
            </w:r>
            <w:proofErr w:type="spellEnd"/>
            <w:r w:rsidR="00AC499C" w:rsidRPr="00E95FB1">
              <w:rPr>
                <w:rFonts w:eastAsia="Calibri"/>
                <w:sz w:val="24"/>
                <w:szCs w:val="24"/>
                <w:lang w:eastAsia="uk-UA"/>
              </w:rPr>
              <w:t>.</w:t>
            </w:r>
          </w:p>
        </w:tc>
      </w:tr>
      <w:tr w:rsidR="00AC499C" w:rsidRPr="00E95FB1" w:rsidTr="00524DBF">
        <w:tc>
          <w:tcPr>
            <w:tcW w:w="2689" w:type="dxa"/>
          </w:tcPr>
          <w:p w:rsidR="00AC499C" w:rsidRPr="00E95FB1" w:rsidRDefault="00AC499C" w:rsidP="00524DBF">
            <w:pPr>
              <w:rPr>
                <w:rFonts w:eastAsia="Calibri"/>
                <w:color w:val="000000"/>
                <w:sz w:val="24"/>
                <w:szCs w:val="24"/>
                <w:lang w:eastAsia="uk-UA"/>
              </w:rPr>
            </w:pPr>
            <w:r w:rsidRPr="00E95FB1">
              <w:rPr>
                <w:rFonts w:eastAsia="Calibri"/>
                <w:sz w:val="24"/>
                <w:szCs w:val="24"/>
                <w:lang w:eastAsia="uk-UA"/>
              </w:rPr>
              <w:t>ВКФ ТОВ «ТАНА»</w:t>
            </w:r>
          </w:p>
        </w:tc>
        <w:tc>
          <w:tcPr>
            <w:tcW w:w="7025" w:type="dxa"/>
          </w:tcPr>
          <w:p w:rsidR="00AC499C" w:rsidRPr="00E95FB1" w:rsidRDefault="00AC499C" w:rsidP="00524DBF">
            <w:pPr>
              <w:rPr>
                <w:rFonts w:eastAsia="Calibri"/>
                <w:color w:val="000000"/>
                <w:sz w:val="24"/>
                <w:szCs w:val="24"/>
                <w:lang w:eastAsia="uk-UA"/>
              </w:rPr>
            </w:pPr>
            <w:proofErr w:type="spellStart"/>
            <w:r w:rsidRPr="00E95FB1">
              <w:rPr>
                <w:rFonts w:eastAsia="Calibri"/>
                <w:sz w:val="24"/>
                <w:szCs w:val="24"/>
                <w:lang w:eastAsia="uk-UA"/>
              </w:rPr>
              <w:t>виробник</w:t>
            </w:r>
            <w:proofErr w:type="spellEnd"/>
            <w:r w:rsidRPr="00E95FB1">
              <w:rPr>
                <w:rFonts w:eastAsia="Calibri"/>
                <w:sz w:val="24"/>
                <w:szCs w:val="24"/>
                <w:lang w:eastAsia="uk-UA"/>
              </w:rPr>
              <w:t xml:space="preserve"> </w:t>
            </w:r>
            <w:proofErr w:type="spellStart"/>
            <w:r w:rsidRPr="00E95FB1">
              <w:rPr>
                <w:rFonts w:eastAsia="Calibri"/>
                <w:sz w:val="24"/>
                <w:szCs w:val="24"/>
                <w:lang w:eastAsia="uk-UA"/>
              </w:rPr>
              <w:t>композиційних</w:t>
            </w:r>
            <w:proofErr w:type="spellEnd"/>
            <w:r w:rsidRPr="00E95FB1">
              <w:rPr>
                <w:rFonts w:eastAsia="Calibri"/>
                <w:sz w:val="24"/>
                <w:szCs w:val="24"/>
                <w:lang w:eastAsia="uk-UA"/>
              </w:rPr>
              <w:t xml:space="preserve"> </w:t>
            </w:r>
            <w:proofErr w:type="spellStart"/>
            <w:r w:rsidRPr="00E95FB1">
              <w:rPr>
                <w:rFonts w:eastAsia="Calibri"/>
                <w:sz w:val="24"/>
                <w:szCs w:val="24"/>
                <w:lang w:eastAsia="uk-UA"/>
              </w:rPr>
              <w:t>полімерних</w:t>
            </w:r>
            <w:proofErr w:type="spellEnd"/>
            <w:r w:rsidRPr="00E95FB1">
              <w:rPr>
                <w:rFonts w:eastAsia="Calibri"/>
                <w:sz w:val="24"/>
                <w:szCs w:val="24"/>
                <w:lang w:eastAsia="uk-UA"/>
              </w:rPr>
              <w:t xml:space="preserve"> </w:t>
            </w:r>
            <w:proofErr w:type="spellStart"/>
            <w:r w:rsidRPr="00E95FB1">
              <w:rPr>
                <w:rFonts w:eastAsia="Calibri"/>
                <w:sz w:val="24"/>
                <w:szCs w:val="24"/>
                <w:lang w:eastAsia="uk-UA"/>
              </w:rPr>
              <w:t>матеріалів</w:t>
            </w:r>
            <w:proofErr w:type="spellEnd"/>
            <w:r w:rsidRPr="00E95FB1">
              <w:rPr>
                <w:rFonts w:eastAsia="Calibri"/>
                <w:sz w:val="24"/>
                <w:szCs w:val="24"/>
                <w:lang w:eastAsia="uk-UA"/>
              </w:rPr>
              <w:t xml:space="preserve">, </w:t>
            </w:r>
            <w:proofErr w:type="spellStart"/>
            <w:r w:rsidRPr="00E95FB1">
              <w:rPr>
                <w:rFonts w:eastAsia="Calibri"/>
                <w:sz w:val="24"/>
                <w:szCs w:val="24"/>
                <w:lang w:eastAsia="uk-UA"/>
              </w:rPr>
              <w:t>полімерних</w:t>
            </w:r>
            <w:proofErr w:type="spellEnd"/>
            <w:r w:rsidRPr="00E95FB1">
              <w:rPr>
                <w:rFonts w:eastAsia="Calibri"/>
                <w:sz w:val="24"/>
                <w:szCs w:val="24"/>
                <w:lang w:eastAsia="uk-UA"/>
              </w:rPr>
              <w:t xml:space="preserve"> </w:t>
            </w:r>
            <w:proofErr w:type="spellStart"/>
            <w:r w:rsidRPr="00E95FB1">
              <w:rPr>
                <w:rFonts w:eastAsia="Calibri"/>
                <w:sz w:val="24"/>
                <w:szCs w:val="24"/>
                <w:lang w:eastAsia="uk-UA"/>
              </w:rPr>
              <w:t>компаундів</w:t>
            </w:r>
            <w:proofErr w:type="spellEnd"/>
            <w:r w:rsidRPr="00E95FB1">
              <w:rPr>
                <w:rFonts w:eastAsia="Calibri"/>
                <w:sz w:val="24"/>
                <w:szCs w:val="24"/>
                <w:lang w:eastAsia="uk-UA"/>
              </w:rPr>
              <w:t xml:space="preserve"> та </w:t>
            </w:r>
            <w:proofErr w:type="spellStart"/>
            <w:r w:rsidRPr="00E95FB1">
              <w:rPr>
                <w:rFonts w:eastAsia="Calibri"/>
                <w:sz w:val="24"/>
                <w:szCs w:val="24"/>
                <w:lang w:eastAsia="uk-UA"/>
              </w:rPr>
              <w:t>термоеластопластів</w:t>
            </w:r>
            <w:proofErr w:type="spellEnd"/>
          </w:p>
        </w:tc>
      </w:tr>
      <w:tr w:rsidR="00AC499C" w:rsidRPr="00E95FB1" w:rsidTr="00524DBF">
        <w:tc>
          <w:tcPr>
            <w:tcW w:w="2689" w:type="dxa"/>
          </w:tcPr>
          <w:p w:rsidR="00AC499C" w:rsidRPr="00E95FB1" w:rsidRDefault="00AC499C" w:rsidP="00524DBF">
            <w:pPr>
              <w:rPr>
                <w:rFonts w:eastAsia="Calibri"/>
                <w:color w:val="000000"/>
                <w:sz w:val="24"/>
                <w:szCs w:val="24"/>
                <w:lang w:eastAsia="uk-UA"/>
              </w:rPr>
            </w:pPr>
            <w:r w:rsidRPr="00E95FB1">
              <w:rPr>
                <w:rFonts w:eastAsia="Calibri"/>
                <w:sz w:val="24"/>
                <w:szCs w:val="24"/>
                <w:lang w:eastAsia="uk-UA"/>
              </w:rPr>
              <w:t>ПП «</w:t>
            </w:r>
            <w:proofErr w:type="spellStart"/>
            <w:r w:rsidRPr="00E95FB1">
              <w:rPr>
                <w:rFonts w:eastAsia="Calibri"/>
                <w:sz w:val="24"/>
                <w:szCs w:val="24"/>
                <w:lang w:eastAsia="uk-UA"/>
              </w:rPr>
              <w:t>Хімпостачальник</w:t>
            </w:r>
            <w:proofErr w:type="spellEnd"/>
            <w:r w:rsidRPr="00E95FB1">
              <w:rPr>
                <w:rFonts w:eastAsia="Calibri"/>
                <w:sz w:val="24"/>
                <w:szCs w:val="24"/>
                <w:lang w:eastAsia="uk-UA"/>
              </w:rPr>
              <w:t>»</w:t>
            </w:r>
          </w:p>
        </w:tc>
        <w:tc>
          <w:tcPr>
            <w:tcW w:w="7025" w:type="dxa"/>
          </w:tcPr>
          <w:p w:rsidR="00AC499C" w:rsidRPr="00E95FB1" w:rsidRDefault="00AC499C" w:rsidP="00524DBF">
            <w:pPr>
              <w:rPr>
                <w:rFonts w:eastAsia="Calibri"/>
                <w:color w:val="000000"/>
                <w:sz w:val="24"/>
                <w:szCs w:val="24"/>
                <w:lang w:eastAsia="uk-UA"/>
              </w:rPr>
            </w:pPr>
            <w:proofErr w:type="spellStart"/>
            <w:r w:rsidRPr="00E95FB1">
              <w:rPr>
                <w:rFonts w:eastAsia="Calibri"/>
                <w:sz w:val="24"/>
                <w:szCs w:val="24"/>
                <w:lang w:eastAsia="uk-UA"/>
              </w:rPr>
              <w:t>виробник</w:t>
            </w:r>
            <w:proofErr w:type="spellEnd"/>
            <w:r w:rsidRPr="00E95FB1">
              <w:rPr>
                <w:rFonts w:eastAsia="Calibri"/>
                <w:sz w:val="24"/>
                <w:szCs w:val="24"/>
                <w:lang w:eastAsia="uk-UA"/>
              </w:rPr>
              <w:t xml:space="preserve"> </w:t>
            </w:r>
            <w:proofErr w:type="spellStart"/>
            <w:r w:rsidRPr="00E95FB1">
              <w:rPr>
                <w:rFonts w:eastAsia="Calibri"/>
                <w:sz w:val="24"/>
                <w:szCs w:val="24"/>
                <w:lang w:eastAsia="uk-UA"/>
              </w:rPr>
              <w:t>продукції</w:t>
            </w:r>
            <w:proofErr w:type="spellEnd"/>
            <w:r w:rsidRPr="00E95FB1">
              <w:rPr>
                <w:rFonts w:eastAsia="Calibri"/>
                <w:sz w:val="24"/>
                <w:szCs w:val="24"/>
                <w:lang w:eastAsia="uk-UA"/>
              </w:rPr>
              <w:t xml:space="preserve"> для </w:t>
            </w:r>
            <w:proofErr w:type="spellStart"/>
            <w:r w:rsidRPr="00E95FB1">
              <w:rPr>
                <w:rFonts w:eastAsia="Calibri"/>
                <w:sz w:val="24"/>
                <w:szCs w:val="24"/>
                <w:lang w:eastAsia="uk-UA"/>
              </w:rPr>
              <w:t>різних</w:t>
            </w:r>
            <w:proofErr w:type="spellEnd"/>
            <w:r w:rsidRPr="00E95FB1">
              <w:rPr>
                <w:rFonts w:eastAsia="Calibri"/>
                <w:sz w:val="24"/>
                <w:szCs w:val="24"/>
                <w:lang w:eastAsia="uk-UA"/>
              </w:rPr>
              <w:t xml:space="preserve"> </w:t>
            </w:r>
            <w:proofErr w:type="spellStart"/>
            <w:r w:rsidRPr="00E95FB1">
              <w:rPr>
                <w:rFonts w:eastAsia="Calibri"/>
                <w:sz w:val="24"/>
                <w:szCs w:val="24"/>
                <w:lang w:eastAsia="uk-UA"/>
              </w:rPr>
              <w:t>сегментів</w:t>
            </w:r>
            <w:proofErr w:type="spellEnd"/>
            <w:r w:rsidRPr="00E95FB1">
              <w:rPr>
                <w:rFonts w:eastAsia="Calibri"/>
                <w:sz w:val="24"/>
                <w:szCs w:val="24"/>
                <w:lang w:eastAsia="uk-UA"/>
              </w:rPr>
              <w:t xml:space="preserve"> ринку: комплексу </w:t>
            </w:r>
            <w:proofErr w:type="spellStart"/>
            <w:r w:rsidRPr="00E95FB1">
              <w:rPr>
                <w:rFonts w:eastAsia="Calibri"/>
                <w:sz w:val="24"/>
                <w:szCs w:val="24"/>
                <w:lang w:eastAsia="uk-UA"/>
              </w:rPr>
              <w:t>аддитивів</w:t>
            </w:r>
            <w:proofErr w:type="spellEnd"/>
            <w:r w:rsidRPr="00E95FB1">
              <w:rPr>
                <w:rFonts w:eastAsia="Calibri"/>
                <w:sz w:val="24"/>
                <w:szCs w:val="24"/>
                <w:lang w:eastAsia="uk-UA"/>
              </w:rPr>
              <w:t xml:space="preserve"> і </w:t>
            </w:r>
            <w:proofErr w:type="spellStart"/>
            <w:r w:rsidRPr="00E95FB1">
              <w:rPr>
                <w:rFonts w:eastAsia="Calibri"/>
                <w:sz w:val="24"/>
                <w:szCs w:val="24"/>
                <w:lang w:eastAsia="uk-UA"/>
              </w:rPr>
              <w:t>сполучних</w:t>
            </w:r>
            <w:proofErr w:type="spellEnd"/>
            <w:r w:rsidRPr="00E95FB1">
              <w:rPr>
                <w:rFonts w:eastAsia="Calibri"/>
                <w:sz w:val="24"/>
                <w:szCs w:val="24"/>
                <w:lang w:eastAsia="uk-UA"/>
              </w:rPr>
              <w:t xml:space="preserve"> для </w:t>
            </w:r>
            <w:proofErr w:type="spellStart"/>
            <w:r w:rsidRPr="00E95FB1">
              <w:rPr>
                <w:rFonts w:eastAsia="Calibri"/>
                <w:sz w:val="24"/>
                <w:szCs w:val="24"/>
                <w:lang w:eastAsia="uk-UA"/>
              </w:rPr>
              <w:t>лакофарбових</w:t>
            </w:r>
            <w:proofErr w:type="spellEnd"/>
            <w:r w:rsidRPr="00E95FB1">
              <w:rPr>
                <w:rFonts w:eastAsia="Calibri"/>
                <w:sz w:val="24"/>
                <w:szCs w:val="24"/>
                <w:lang w:eastAsia="uk-UA"/>
              </w:rPr>
              <w:t xml:space="preserve"> </w:t>
            </w:r>
            <w:proofErr w:type="spellStart"/>
            <w:r w:rsidRPr="00E95FB1">
              <w:rPr>
                <w:rFonts w:eastAsia="Calibri"/>
                <w:sz w:val="24"/>
                <w:szCs w:val="24"/>
                <w:lang w:eastAsia="uk-UA"/>
              </w:rPr>
              <w:t>матеріалів</w:t>
            </w:r>
            <w:proofErr w:type="spellEnd"/>
            <w:r w:rsidRPr="00E95FB1">
              <w:rPr>
                <w:rFonts w:eastAsia="Calibri"/>
                <w:sz w:val="24"/>
                <w:szCs w:val="24"/>
                <w:lang w:eastAsia="uk-UA"/>
              </w:rPr>
              <w:t xml:space="preserve"> </w:t>
            </w:r>
            <w:proofErr w:type="spellStart"/>
            <w:r w:rsidRPr="00E95FB1">
              <w:rPr>
                <w:rFonts w:eastAsia="Calibri"/>
                <w:sz w:val="24"/>
                <w:szCs w:val="24"/>
                <w:lang w:eastAsia="uk-UA"/>
              </w:rPr>
              <w:t>будівельного</w:t>
            </w:r>
            <w:proofErr w:type="spellEnd"/>
            <w:r w:rsidRPr="00E95FB1">
              <w:rPr>
                <w:rFonts w:eastAsia="Calibri"/>
                <w:sz w:val="24"/>
                <w:szCs w:val="24"/>
                <w:lang w:eastAsia="uk-UA"/>
              </w:rPr>
              <w:t xml:space="preserve"> та </w:t>
            </w:r>
            <w:proofErr w:type="spellStart"/>
            <w:r w:rsidRPr="00E95FB1">
              <w:rPr>
                <w:rFonts w:eastAsia="Calibri"/>
                <w:sz w:val="24"/>
                <w:szCs w:val="24"/>
                <w:lang w:eastAsia="uk-UA"/>
              </w:rPr>
              <w:t>індустріального</w:t>
            </w:r>
            <w:proofErr w:type="spellEnd"/>
            <w:r w:rsidRPr="00E95FB1">
              <w:rPr>
                <w:rFonts w:eastAsia="Calibri"/>
                <w:sz w:val="24"/>
                <w:szCs w:val="24"/>
                <w:lang w:eastAsia="uk-UA"/>
              </w:rPr>
              <w:t xml:space="preserve"> </w:t>
            </w:r>
            <w:proofErr w:type="spellStart"/>
            <w:r w:rsidRPr="00E95FB1">
              <w:rPr>
                <w:rFonts w:eastAsia="Calibri"/>
                <w:sz w:val="24"/>
                <w:szCs w:val="24"/>
                <w:lang w:eastAsia="uk-UA"/>
              </w:rPr>
              <w:t>призначення</w:t>
            </w:r>
            <w:proofErr w:type="spellEnd"/>
            <w:r w:rsidRPr="00E95FB1">
              <w:rPr>
                <w:rFonts w:eastAsia="Calibri"/>
                <w:sz w:val="24"/>
                <w:szCs w:val="24"/>
                <w:lang w:eastAsia="uk-UA"/>
              </w:rPr>
              <w:t xml:space="preserve">; комплексу </w:t>
            </w:r>
            <w:proofErr w:type="spellStart"/>
            <w:r w:rsidRPr="00E95FB1">
              <w:rPr>
                <w:rFonts w:eastAsia="Calibri"/>
                <w:sz w:val="24"/>
                <w:szCs w:val="24"/>
                <w:lang w:eastAsia="uk-UA"/>
              </w:rPr>
              <w:t>аддитивів</w:t>
            </w:r>
            <w:proofErr w:type="spellEnd"/>
            <w:r w:rsidRPr="00E95FB1">
              <w:rPr>
                <w:rFonts w:eastAsia="Calibri"/>
                <w:sz w:val="24"/>
                <w:szCs w:val="24"/>
                <w:lang w:eastAsia="uk-UA"/>
              </w:rPr>
              <w:t xml:space="preserve"> для </w:t>
            </w:r>
            <w:proofErr w:type="spellStart"/>
            <w:r w:rsidRPr="00E95FB1">
              <w:rPr>
                <w:rFonts w:eastAsia="Calibri"/>
                <w:sz w:val="24"/>
                <w:szCs w:val="24"/>
                <w:lang w:eastAsia="uk-UA"/>
              </w:rPr>
              <w:t>переробки</w:t>
            </w:r>
            <w:proofErr w:type="spellEnd"/>
            <w:r w:rsidRPr="00E95FB1">
              <w:rPr>
                <w:rFonts w:eastAsia="Calibri"/>
                <w:sz w:val="24"/>
                <w:szCs w:val="24"/>
                <w:lang w:eastAsia="uk-UA"/>
              </w:rPr>
              <w:t xml:space="preserve"> ПВХ; смоли для </w:t>
            </w:r>
            <w:proofErr w:type="spellStart"/>
            <w:r w:rsidRPr="00E95FB1">
              <w:rPr>
                <w:rFonts w:eastAsia="Calibri"/>
                <w:sz w:val="24"/>
                <w:szCs w:val="24"/>
                <w:lang w:eastAsia="uk-UA"/>
              </w:rPr>
              <w:t>просочення</w:t>
            </w:r>
            <w:proofErr w:type="spellEnd"/>
            <w:r w:rsidRPr="00E95FB1">
              <w:rPr>
                <w:rFonts w:eastAsia="Calibri"/>
                <w:sz w:val="24"/>
                <w:szCs w:val="24"/>
                <w:lang w:eastAsia="uk-UA"/>
              </w:rPr>
              <w:t xml:space="preserve"> </w:t>
            </w:r>
            <w:proofErr w:type="spellStart"/>
            <w:r w:rsidRPr="00E95FB1">
              <w:rPr>
                <w:rFonts w:eastAsia="Calibri"/>
                <w:sz w:val="24"/>
                <w:szCs w:val="24"/>
                <w:lang w:eastAsia="uk-UA"/>
              </w:rPr>
              <w:t>паперу</w:t>
            </w:r>
            <w:proofErr w:type="spellEnd"/>
            <w:r w:rsidRPr="00E95FB1">
              <w:rPr>
                <w:rFonts w:eastAsia="Calibri"/>
                <w:sz w:val="24"/>
                <w:szCs w:val="24"/>
                <w:lang w:eastAsia="uk-UA"/>
              </w:rPr>
              <w:t xml:space="preserve"> </w:t>
            </w:r>
            <w:proofErr w:type="spellStart"/>
            <w:r w:rsidRPr="00E95FB1">
              <w:rPr>
                <w:rFonts w:eastAsia="Calibri"/>
                <w:sz w:val="24"/>
                <w:szCs w:val="24"/>
                <w:lang w:eastAsia="uk-UA"/>
              </w:rPr>
              <w:t>під</w:t>
            </w:r>
            <w:proofErr w:type="spellEnd"/>
            <w:r w:rsidRPr="00E95FB1">
              <w:rPr>
                <w:rFonts w:eastAsia="Calibri"/>
                <w:sz w:val="24"/>
                <w:szCs w:val="24"/>
                <w:lang w:eastAsia="uk-UA"/>
              </w:rPr>
              <w:t xml:space="preserve"> </w:t>
            </w:r>
            <w:proofErr w:type="spellStart"/>
            <w:r w:rsidRPr="00E95FB1">
              <w:rPr>
                <w:rFonts w:eastAsia="Calibri"/>
                <w:sz w:val="24"/>
                <w:szCs w:val="24"/>
                <w:lang w:eastAsia="uk-UA"/>
              </w:rPr>
              <w:t>ламінування</w:t>
            </w:r>
            <w:proofErr w:type="spellEnd"/>
            <w:r w:rsidRPr="00E95FB1">
              <w:rPr>
                <w:rFonts w:eastAsia="Calibri"/>
                <w:sz w:val="24"/>
                <w:szCs w:val="24"/>
                <w:lang w:eastAsia="uk-UA"/>
              </w:rPr>
              <w:t xml:space="preserve"> ДСП; </w:t>
            </w:r>
            <w:proofErr w:type="spellStart"/>
            <w:r w:rsidRPr="00E95FB1">
              <w:rPr>
                <w:rFonts w:eastAsia="Calibri"/>
                <w:sz w:val="24"/>
                <w:szCs w:val="24"/>
                <w:lang w:eastAsia="uk-UA"/>
              </w:rPr>
              <w:t>ненасичених</w:t>
            </w:r>
            <w:proofErr w:type="spellEnd"/>
            <w:r w:rsidRPr="00E95FB1">
              <w:rPr>
                <w:rFonts w:eastAsia="Calibri"/>
                <w:sz w:val="24"/>
                <w:szCs w:val="24"/>
                <w:lang w:eastAsia="uk-UA"/>
              </w:rPr>
              <w:t xml:space="preserve"> </w:t>
            </w:r>
            <w:proofErr w:type="spellStart"/>
            <w:r w:rsidRPr="00E95FB1">
              <w:rPr>
                <w:rFonts w:eastAsia="Calibri"/>
                <w:sz w:val="24"/>
                <w:szCs w:val="24"/>
                <w:lang w:eastAsia="uk-UA"/>
              </w:rPr>
              <w:t>поліефірних</w:t>
            </w:r>
            <w:proofErr w:type="spellEnd"/>
            <w:r w:rsidRPr="00E95FB1">
              <w:rPr>
                <w:rFonts w:eastAsia="Calibri"/>
                <w:sz w:val="24"/>
                <w:szCs w:val="24"/>
                <w:lang w:eastAsia="uk-UA"/>
              </w:rPr>
              <w:t xml:space="preserve"> смол і </w:t>
            </w:r>
            <w:proofErr w:type="spellStart"/>
            <w:r w:rsidRPr="00E95FB1">
              <w:rPr>
                <w:rFonts w:eastAsia="Calibri"/>
                <w:sz w:val="24"/>
                <w:szCs w:val="24"/>
                <w:lang w:eastAsia="uk-UA"/>
              </w:rPr>
              <w:t>багато</w:t>
            </w:r>
            <w:proofErr w:type="spellEnd"/>
            <w:r w:rsidRPr="00E95FB1">
              <w:rPr>
                <w:rFonts w:eastAsia="Calibri"/>
                <w:sz w:val="24"/>
                <w:szCs w:val="24"/>
                <w:lang w:eastAsia="uk-UA"/>
              </w:rPr>
              <w:t xml:space="preserve"> </w:t>
            </w:r>
            <w:proofErr w:type="spellStart"/>
            <w:r w:rsidRPr="00E95FB1">
              <w:rPr>
                <w:rFonts w:eastAsia="Calibri"/>
                <w:sz w:val="24"/>
                <w:szCs w:val="24"/>
                <w:lang w:eastAsia="uk-UA"/>
              </w:rPr>
              <w:t>іншого</w:t>
            </w:r>
            <w:proofErr w:type="spellEnd"/>
            <w:r w:rsidRPr="00E95FB1">
              <w:rPr>
                <w:rFonts w:eastAsia="Calibri"/>
                <w:sz w:val="24"/>
                <w:szCs w:val="24"/>
                <w:lang w:eastAsia="uk-UA"/>
              </w:rPr>
              <w:t>.</w:t>
            </w:r>
          </w:p>
        </w:tc>
      </w:tr>
      <w:tr w:rsidR="00AC499C" w:rsidRPr="00E95FB1" w:rsidTr="00524DBF">
        <w:tc>
          <w:tcPr>
            <w:tcW w:w="2689" w:type="dxa"/>
          </w:tcPr>
          <w:p w:rsidR="00AC499C" w:rsidRPr="00E95FB1" w:rsidRDefault="00AC499C" w:rsidP="00524DBF">
            <w:pPr>
              <w:jc w:val="left"/>
              <w:rPr>
                <w:rFonts w:eastAsia="Calibri"/>
                <w:color w:val="000000"/>
                <w:sz w:val="24"/>
                <w:szCs w:val="24"/>
                <w:lang w:eastAsia="uk-UA"/>
              </w:rPr>
            </w:pPr>
            <w:r w:rsidRPr="00E95FB1">
              <w:rPr>
                <w:rFonts w:eastAsia="Calibri"/>
                <w:sz w:val="24"/>
                <w:szCs w:val="24"/>
                <w:lang w:eastAsia="uk-UA"/>
              </w:rPr>
              <w:t>ТОВ «НВП «</w:t>
            </w:r>
            <w:proofErr w:type="spellStart"/>
            <w:r w:rsidRPr="00E95FB1">
              <w:rPr>
                <w:rFonts w:eastAsia="Calibri"/>
                <w:sz w:val="24"/>
                <w:szCs w:val="24"/>
                <w:lang w:eastAsia="uk-UA"/>
              </w:rPr>
              <w:t>Мікротерм</w:t>
            </w:r>
            <w:proofErr w:type="spellEnd"/>
            <w:r w:rsidRPr="00E95FB1">
              <w:rPr>
                <w:rFonts w:eastAsia="Calibri"/>
                <w:sz w:val="24"/>
                <w:szCs w:val="24"/>
                <w:lang w:eastAsia="uk-UA"/>
              </w:rPr>
              <w:t>»</w:t>
            </w:r>
          </w:p>
        </w:tc>
        <w:tc>
          <w:tcPr>
            <w:tcW w:w="7025" w:type="dxa"/>
          </w:tcPr>
          <w:p w:rsidR="00AC499C" w:rsidRPr="00E95FB1" w:rsidRDefault="00AC499C" w:rsidP="00524DBF">
            <w:pPr>
              <w:rPr>
                <w:rFonts w:eastAsia="Calibri"/>
                <w:color w:val="000000"/>
                <w:sz w:val="24"/>
                <w:szCs w:val="24"/>
                <w:lang w:eastAsia="uk-UA"/>
              </w:rPr>
            </w:pPr>
            <w:proofErr w:type="spellStart"/>
            <w:r w:rsidRPr="00E95FB1">
              <w:rPr>
                <w:rFonts w:eastAsia="Calibri"/>
                <w:sz w:val="24"/>
                <w:szCs w:val="24"/>
                <w:lang w:eastAsia="uk-UA"/>
              </w:rPr>
              <w:t>розробник</w:t>
            </w:r>
            <w:proofErr w:type="spellEnd"/>
            <w:r w:rsidRPr="00E95FB1">
              <w:rPr>
                <w:rFonts w:eastAsia="Calibri"/>
                <w:sz w:val="24"/>
                <w:szCs w:val="24"/>
                <w:lang w:eastAsia="uk-UA"/>
              </w:rPr>
              <w:t xml:space="preserve"> та </w:t>
            </w:r>
            <w:proofErr w:type="spellStart"/>
            <w:r w:rsidRPr="00E95FB1">
              <w:rPr>
                <w:rFonts w:eastAsia="Calibri"/>
                <w:sz w:val="24"/>
                <w:szCs w:val="24"/>
                <w:lang w:eastAsia="uk-UA"/>
              </w:rPr>
              <w:t>виробник</w:t>
            </w:r>
            <w:proofErr w:type="spellEnd"/>
            <w:r w:rsidRPr="00E95FB1">
              <w:rPr>
                <w:rFonts w:eastAsia="Calibri"/>
                <w:sz w:val="24"/>
                <w:szCs w:val="24"/>
                <w:lang w:eastAsia="uk-UA"/>
              </w:rPr>
              <w:t xml:space="preserve"> </w:t>
            </w:r>
            <w:proofErr w:type="spellStart"/>
            <w:r w:rsidRPr="00E95FB1">
              <w:rPr>
                <w:rFonts w:eastAsia="Calibri"/>
                <w:sz w:val="24"/>
                <w:szCs w:val="24"/>
                <w:lang w:eastAsia="uk-UA"/>
              </w:rPr>
              <w:t>приладів</w:t>
            </w:r>
            <w:proofErr w:type="spellEnd"/>
            <w:r w:rsidRPr="00E95FB1">
              <w:rPr>
                <w:rFonts w:eastAsia="Calibri"/>
                <w:sz w:val="24"/>
                <w:szCs w:val="24"/>
                <w:lang w:eastAsia="uk-UA"/>
              </w:rPr>
              <w:t xml:space="preserve"> контролю і </w:t>
            </w:r>
            <w:proofErr w:type="spellStart"/>
            <w:r w:rsidRPr="00E95FB1">
              <w:rPr>
                <w:rFonts w:eastAsia="Calibri"/>
                <w:sz w:val="24"/>
                <w:szCs w:val="24"/>
                <w:lang w:eastAsia="uk-UA"/>
              </w:rPr>
              <w:t>регулювання</w:t>
            </w:r>
            <w:proofErr w:type="spellEnd"/>
            <w:r w:rsidRPr="00E95FB1">
              <w:rPr>
                <w:rFonts w:eastAsia="Calibri"/>
                <w:sz w:val="24"/>
                <w:szCs w:val="24"/>
                <w:lang w:eastAsia="uk-UA"/>
              </w:rPr>
              <w:t xml:space="preserve"> </w:t>
            </w:r>
            <w:proofErr w:type="spellStart"/>
            <w:r w:rsidRPr="00E95FB1">
              <w:rPr>
                <w:rFonts w:eastAsia="Calibri"/>
                <w:sz w:val="24"/>
                <w:szCs w:val="24"/>
                <w:lang w:eastAsia="uk-UA"/>
              </w:rPr>
              <w:t>технологічних</w:t>
            </w:r>
            <w:proofErr w:type="spellEnd"/>
            <w:r w:rsidRPr="00E95FB1">
              <w:rPr>
                <w:rFonts w:eastAsia="Calibri"/>
                <w:sz w:val="24"/>
                <w:szCs w:val="24"/>
                <w:lang w:eastAsia="uk-UA"/>
              </w:rPr>
              <w:t xml:space="preserve"> </w:t>
            </w:r>
            <w:proofErr w:type="spellStart"/>
            <w:r w:rsidRPr="00E95FB1">
              <w:rPr>
                <w:rFonts w:eastAsia="Calibri"/>
                <w:sz w:val="24"/>
                <w:szCs w:val="24"/>
                <w:lang w:eastAsia="uk-UA"/>
              </w:rPr>
              <w:t>процесів</w:t>
            </w:r>
            <w:proofErr w:type="spellEnd"/>
            <w:r w:rsidRPr="00E95FB1">
              <w:rPr>
                <w:rFonts w:eastAsia="Calibri"/>
                <w:sz w:val="24"/>
                <w:szCs w:val="24"/>
                <w:lang w:eastAsia="uk-UA"/>
              </w:rPr>
              <w:t xml:space="preserve">, а </w:t>
            </w:r>
            <w:proofErr w:type="spellStart"/>
            <w:r w:rsidRPr="00E95FB1">
              <w:rPr>
                <w:rFonts w:eastAsia="Calibri"/>
                <w:sz w:val="24"/>
                <w:szCs w:val="24"/>
                <w:lang w:eastAsia="uk-UA"/>
              </w:rPr>
              <w:t>також</w:t>
            </w:r>
            <w:proofErr w:type="spellEnd"/>
            <w:r w:rsidRPr="00E95FB1">
              <w:rPr>
                <w:rFonts w:eastAsia="Calibri"/>
                <w:sz w:val="24"/>
                <w:szCs w:val="24"/>
                <w:lang w:eastAsia="uk-UA"/>
              </w:rPr>
              <w:t xml:space="preserve"> </w:t>
            </w:r>
            <w:proofErr w:type="spellStart"/>
            <w:r w:rsidRPr="00E95FB1">
              <w:rPr>
                <w:rFonts w:eastAsia="Calibri"/>
                <w:sz w:val="24"/>
                <w:szCs w:val="24"/>
                <w:lang w:eastAsia="uk-UA"/>
              </w:rPr>
              <w:t>засобів</w:t>
            </w:r>
            <w:proofErr w:type="spellEnd"/>
            <w:r w:rsidRPr="00E95FB1">
              <w:rPr>
                <w:rFonts w:eastAsia="Calibri"/>
                <w:sz w:val="24"/>
                <w:szCs w:val="24"/>
                <w:lang w:eastAsia="uk-UA"/>
              </w:rPr>
              <w:t xml:space="preserve"> </w:t>
            </w:r>
            <w:proofErr w:type="spellStart"/>
            <w:r w:rsidRPr="00E95FB1">
              <w:rPr>
                <w:rFonts w:eastAsia="Calibri"/>
                <w:sz w:val="24"/>
                <w:szCs w:val="24"/>
                <w:lang w:eastAsia="uk-UA"/>
              </w:rPr>
              <w:t>автоматизації</w:t>
            </w:r>
            <w:proofErr w:type="spellEnd"/>
            <w:r w:rsidRPr="00E95FB1">
              <w:rPr>
                <w:rFonts w:eastAsia="Calibri"/>
                <w:sz w:val="24"/>
                <w:szCs w:val="24"/>
                <w:lang w:eastAsia="uk-UA"/>
              </w:rPr>
              <w:t xml:space="preserve"> в </w:t>
            </w:r>
            <w:proofErr w:type="spellStart"/>
            <w:r w:rsidRPr="00E95FB1">
              <w:rPr>
                <w:rFonts w:eastAsia="Calibri"/>
                <w:sz w:val="24"/>
                <w:szCs w:val="24"/>
                <w:lang w:eastAsia="uk-UA"/>
              </w:rPr>
              <w:t>різних</w:t>
            </w:r>
            <w:proofErr w:type="spellEnd"/>
            <w:r w:rsidRPr="00E95FB1">
              <w:rPr>
                <w:rFonts w:eastAsia="Calibri"/>
                <w:sz w:val="24"/>
                <w:szCs w:val="24"/>
                <w:lang w:eastAsia="uk-UA"/>
              </w:rPr>
              <w:t xml:space="preserve"> </w:t>
            </w:r>
            <w:proofErr w:type="spellStart"/>
            <w:r w:rsidRPr="00E95FB1">
              <w:rPr>
                <w:rFonts w:eastAsia="Calibri"/>
                <w:sz w:val="24"/>
                <w:szCs w:val="24"/>
                <w:lang w:eastAsia="uk-UA"/>
              </w:rPr>
              <w:t>галузях</w:t>
            </w:r>
            <w:proofErr w:type="spellEnd"/>
            <w:r w:rsidRPr="00E95FB1">
              <w:rPr>
                <w:rFonts w:eastAsia="Calibri"/>
                <w:sz w:val="24"/>
                <w:szCs w:val="24"/>
                <w:lang w:eastAsia="uk-UA"/>
              </w:rPr>
              <w:t xml:space="preserve"> народного </w:t>
            </w:r>
            <w:proofErr w:type="spellStart"/>
            <w:r w:rsidRPr="00E95FB1">
              <w:rPr>
                <w:rFonts w:eastAsia="Calibri"/>
                <w:sz w:val="24"/>
                <w:szCs w:val="24"/>
                <w:lang w:eastAsia="uk-UA"/>
              </w:rPr>
              <w:t>господарства</w:t>
            </w:r>
            <w:proofErr w:type="spellEnd"/>
            <w:r w:rsidRPr="00E95FB1">
              <w:rPr>
                <w:rFonts w:eastAsia="Calibri"/>
                <w:sz w:val="24"/>
                <w:szCs w:val="24"/>
                <w:lang w:eastAsia="uk-UA"/>
              </w:rPr>
              <w:t xml:space="preserve">: для </w:t>
            </w:r>
            <w:proofErr w:type="spellStart"/>
            <w:r w:rsidRPr="00E95FB1">
              <w:rPr>
                <w:rFonts w:eastAsia="Calibri"/>
                <w:sz w:val="24"/>
                <w:szCs w:val="24"/>
                <w:lang w:eastAsia="uk-UA"/>
              </w:rPr>
              <w:t>вимірювання</w:t>
            </w:r>
            <w:proofErr w:type="spellEnd"/>
            <w:r w:rsidRPr="00E95FB1">
              <w:rPr>
                <w:rFonts w:eastAsia="Calibri"/>
                <w:sz w:val="24"/>
                <w:szCs w:val="24"/>
                <w:lang w:eastAsia="uk-UA"/>
              </w:rPr>
              <w:t xml:space="preserve"> </w:t>
            </w:r>
            <w:proofErr w:type="spellStart"/>
            <w:r w:rsidRPr="00E95FB1">
              <w:rPr>
                <w:rFonts w:eastAsia="Calibri"/>
                <w:sz w:val="24"/>
                <w:szCs w:val="24"/>
                <w:lang w:eastAsia="uk-UA"/>
              </w:rPr>
              <w:t>температури</w:t>
            </w:r>
            <w:proofErr w:type="spellEnd"/>
            <w:r w:rsidRPr="00E95FB1">
              <w:rPr>
                <w:rFonts w:eastAsia="Calibri"/>
                <w:sz w:val="24"/>
                <w:szCs w:val="24"/>
                <w:lang w:eastAsia="uk-UA"/>
              </w:rPr>
              <w:t xml:space="preserve">, </w:t>
            </w:r>
            <w:proofErr w:type="spellStart"/>
            <w:r w:rsidRPr="00E95FB1">
              <w:rPr>
                <w:rFonts w:eastAsia="Calibri"/>
                <w:sz w:val="24"/>
                <w:szCs w:val="24"/>
                <w:lang w:eastAsia="uk-UA"/>
              </w:rPr>
              <w:t>тиску</w:t>
            </w:r>
            <w:proofErr w:type="spellEnd"/>
            <w:r w:rsidRPr="00E95FB1">
              <w:rPr>
                <w:rFonts w:eastAsia="Calibri"/>
                <w:sz w:val="24"/>
                <w:szCs w:val="24"/>
                <w:lang w:eastAsia="uk-UA"/>
              </w:rPr>
              <w:t xml:space="preserve">, </w:t>
            </w:r>
            <w:proofErr w:type="spellStart"/>
            <w:r w:rsidRPr="00E95FB1">
              <w:rPr>
                <w:rFonts w:eastAsia="Calibri"/>
                <w:sz w:val="24"/>
                <w:szCs w:val="24"/>
                <w:lang w:eastAsia="uk-UA"/>
              </w:rPr>
              <w:t>рівня</w:t>
            </w:r>
            <w:proofErr w:type="spellEnd"/>
            <w:r w:rsidRPr="00E95FB1">
              <w:rPr>
                <w:rFonts w:eastAsia="Calibri"/>
                <w:sz w:val="24"/>
                <w:szCs w:val="24"/>
                <w:lang w:eastAsia="uk-UA"/>
              </w:rPr>
              <w:t xml:space="preserve">; </w:t>
            </w:r>
            <w:proofErr w:type="spellStart"/>
            <w:r w:rsidRPr="00E95FB1">
              <w:rPr>
                <w:rFonts w:eastAsia="Calibri"/>
                <w:sz w:val="24"/>
                <w:szCs w:val="24"/>
                <w:lang w:eastAsia="uk-UA"/>
              </w:rPr>
              <w:t>широкої</w:t>
            </w:r>
            <w:proofErr w:type="spellEnd"/>
            <w:r w:rsidRPr="00E95FB1">
              <w:rPr>
                <w:rFonts w:eastAsia="Calibri"/>
                <w:sz w:val="24"/>
                <w:szCs w:val="24"/>
                <w:lang w:eastAsia="uk-UA"/>
              </w:rPr>
              <w:t xml:space="preserve"> </w:t>
            </w:r>
            <w:proofErr w:type="spellStart"/>
            <w:r w:rsidRPr="00E95FB1">
              <w:rPr>
                <w:rFonts w:eastAsia="Calibri"/>
                <w:sz w:val="24"/>
                <w:szCs w:val="24"/>
                <w:lang w:eastAsia="uk-UA"/>
              </w:rPr>
              <w:t>номенклатури</w:t>
            </w:r>
            <w:proofErr w:type="spellEnd"/>
            <w:r w:rsidRPr="00E95FB1">
              <w:rPr>
                <w:rFonts w:eastAsia="Calibri"/>
                <w:sz w:val="24"/>
                <w:szCs w:val="24"/>
                <w:lang w:eastAsia="uk-UA"/>
              </w:rPr>
              <w:t xml:space="preserve"> </w:t>
            </w:r>
            <w:proofErr w:type="spellStart"/>
            <w:r w:rsidRPr="00E95FB1">
              <w:rPr>
                <w:rFonts w:eastAsia="Calibri"/>
                <w:sz w:val="24"/>
                <w:szCs w:val="24"/>
                <w:lang w:eastAsia="uk-UA"/>
              </w:rPr>
              <w:t>пневмоелектричних</w:t>
            </w:r>
            <w:proofErr w:type="spellEnd"/>
            <w:r w:rsidRPr="00E95FB1">
              <w:rPr>
                <w:rFonts w:eastAsia="Calibri"/>
                <w:sz w:val="24"/>
                <w:szCs w:val="24"/>
                <w:lang w:eastAsia="uk-UA"/>
              </w:rPr>
              <w:t xml:space="preserve"> </w:t>
            </w:r>
            <w:proofErr w:type="spellStart"/>
            <w:r w:rsidRPr="00E95FB1">
              <w:rPr>
                <w:rFonts w:eastAsia="Calibri"/>
                <w:sz w:val="24"/>
                <w:szCs w:val="24"/>
                <w:lang w:eastAsia="uk-UA"/>
              </w:rPr>
              <w:t>пристроїв</w:t>
            </w:r>
            <w:proofErr w:type="spellEnd"/>
            <w:r w:rsidRPr="00E95FB1">
              <w:rPr>
                <w:rFonts w:eastAsia="Calibri"/>
                <w:sz w:val="24"/>
                <w:szCs w:val="24"/>
                <w:lang w:eastAsia="uk-UA"/>
              </w:rPr>
              <w:t xml:space="preserve">, </w:t>
            </w:r>
            <w:proofErr w:type="spellStart"/>
            <w:r w:rsidRPr="00E95FB1">
              <w:rPr>
                <w:rFonts w:eastAsia="Calibri"/>
                <w:sz w:val="24"/>
                <w:szCs w:val="24"/>
                <w:lang w:eastAsia="uk-UA"/>
              </w:rPr>
              <w:t>бар’єрів</w:t>
            </w:r>
            <w:proofErr w:type="spellEnd"/>
            <w:r w:rsidRPr="00E95FB1">
              <w:rPr>
                <w:rFonts w:eastAsia="Calibri"/>
                <w:sz w:val="24"/>
                <w:szCs w:val="24"/>
                <w:lang w:eastAsia="uk-UA"/>
              </w:rPr>
              <w:t xml:space="preserve"> </w:t>
            </w:r>
            <w:proofErr w:type="spellStart"/>
            <w:r w:rsidRPr="00E95FB1">
              <w:rPr>
                <w:rFonts w:eastAsia="Calibri"/>
                <w:sz w:val="24"/>
                <w:szCs w:val="24"/>
                <w:lang w:eastAsia="uk-UA"/>
              </w:rPr>
              <w:t>іскробезпеки</w:t>
            </w:r>
            <w:proofErr w:type="spellEnd"/>
            <w:r w:rsidRPr="00E95FB1">
              <w:rPr>
                <w:rFonts w:eastAsia="Calibri"/>
                <w:sz w:val="24"/>
                <w:szCs w:val="24"/>
                <w:lang w:eastAsia="uk-UA"/>
              </w:rPr>
              <w:t xml:space="preserve">, </w:t>
            </w:r>
            <w:proofErr w:type="spellStart"/>
            <w:r w:rsidRPr="00E95FB1">
              <w:rPr>
                <w:rFonts w:eastAsia="Calibri"/>
                <w:sz w:val="24"/>
                <w:szCs w:val="24"/>
                <w:lang w:eastAsia="uk-UA"/>
              </w:rPr>
              <w:t>цифрових</w:t>
            </w:r>
            <w:proofErr w:type="spellEnd"/>
            <w:r w:rsidRPr="00E95FB1">
              <w:rPr>
                <w:rFonts w:eastAsia="Calibri"/>
                <w:sz w:val="24"/>
                <w:szCs w:val="24"/>
                <w:lang w:eastAsia="uk-UA"/>
              </w:rPr>
              <w:t xml:space="preserve"> </w:t>
            </w:r>
            <w:proofErr w:type="spellStart"/>
            <w:r w:rsidRPr="00E95FB1">
              <w:rPr>
                <w:rFonts w:eastAsia="Calibri"/>
                <w:sz w:val="24"/>
                <w:szCs w:val="24"/>
                <w:lang w:eastAsia="uk-UA"/>
              </w:rPr>
              <w:t>індикаторів</w:t>
            </w:r>
            <w:proofErr w:type="spellEnd"/>
            <w:r w:rsidRPr="00E95FB1">
              <w:rPr>
                <w:rFonts w:eastAsia="Calibri"/>
                <w:sz w:val="24"/>
                <w:szCs w:val="24"/>
                <w:lang w:eastAsia="uk-UA"/>
              </w:rPr>
              <w:t xml:space="preserve">, </w:t>
            </w:r>
            <w:proofErr w:type="spellStart"/>
            <w:r w:rsidRPr="00E95FB1">
              <w:rPr>
                <w:rFonts w:eastAsia="Calibri"/>
                <w:sz w:val="24"/>
                <w:szCs w:val="24"/>
                <w:lang w:eastAsia="uk-UA"/>
              </w:rPr>
              <w:t>реєстраторів</w:t>
            </w:r>
            <w:proofErr w:type="spellEnd"/>
            <w:r w:rsidRPr="00E95FB1">
              <w:rPr>
                <w:rFonts w:eastAsia="Calibri"/>
                <w:sz w:val="24"/>
                <w:szCs w:val="24"/>
                <w:lang w:eastAsia="uk-UA"/>
              </w:rPr>
              <w:t xml:space="preserve"> та </w:t>
            </w:r>
            <w:proofErr w:type="spellStart"/>
            <w:r w:rsidRPr="00E95FB1">
              <w:rPr>
                <w:rFonts w:eastAsia="Calibri"/>
                <w:sz w:val="24"/>
                <w:szCs w:val="24"/>
                <w:lang w:eastAsia="uk-UA"/>
              </w:rPr>
              <w:t>інших</w:t>
            </w:r>
            <w:proofErr w:type="spellEnd"/>
            <w:r w:rsidRPr="00E95FB1">
              <w:rPr>
                <w:rFonts w:eastAsia="Calibri"/>
                <w:sz w:val="24"/>
                <w:szCs w:val="24"/>
                <w:lang w:eastAsia="uk-UA"/>
              </w:rPr>
              <w:t xml:space="preserve"> </w:t>
            </w:r>
            <w:proofErr w:type="spellStart"/>
            <w:r w:rsidRPr="00E95FB1">
              <w:rPr>
                <w:rFonts w:eastAsia="Calibri"/>
                <w:sz w:val="24"/>
                <w:szCs w:val="24"/>
                <w:lang w:eastAsia="uk-UA"/>
              </w:rPr>
              <w:t>пристроїв</w:t>
            </w:r>
            <w:proofErr w:type="spellEnd"/>
            <w:r w:rsidRPr="00E95FB1">
              <w:rPr>
                <w:rFonts w:eastAsia="Calibri"/>
                <w:sz w:val="24"/>
                <w:szCs w:val="24"/>
                <w:lang w:eastAsia="uk-UA"/>
              </w:rPr>
              <w:t>.</w:t>
            </w:r>
          </w:p>
        </w:tc>
      </w:tr>
      <w:tr w:rsidR="00AC499C" w:rsidRPr="00E95FB1" w:rsidTr="00524DBF">
        <w:tc>
          <w:tcPr>
            <w:tcW w:w="2689" w:type="dxa"/>
          </w:tcPr>
          <w:p w:rsidR="00AC499C" w:rsidRPr="00E95FB1" w:rsidRDefault="00AC499C" w:rsidP="00524DBF">
            <w:pPr>
              <w:jc w:val="left"/>
              <w:rPr>
                <w:rFonts w:eastAsia="Calibri"/>
                <w:color w:val="000000"/>
                <w:sz w:val="24"/>
                <w:szCs w:val="24"/>
                <w:lang w:eastAsia="uk-UA"/>
              </w:rPr>
            </w:pPr>
            <w:proofErr w:type="spellStart"/>
            <w:r w:rsidRPr="00E95FB1">
              <w:rPr>
                <w:rFonts w:eastAsia="Calibri"/>
                <w:sz w:val="24"/>
                <w:szCs w:val="24"/>
                <w:lang w:eastAsia="uk-UA"/>
              </w:rPr>
              <w:t>ПрАТ</w:t>
            </w:r>
            <w:proofErr w:type="spellEnd"/>
            <w:r w:rsidRPr="00E95FB1">
              <w:rPr>
                <w:rFonts w:eastAsia="Calibri"/>
                <w:sz w:val="24"/>
                <w:szCs w:val="24"/>
                <w:lang w:eastAsia="uk-UA"/>
              </w:rPr>
              <w:t xml:space="preserve"> «СНВО «</w:t>
            </w:r>
            <w:proofErr w:type="spellStart"/>
            <w:r w:rsidRPr="00E95FB1">
              <w:rPr>
                <w:rFonts w:eastAsia="Calibri"/>
                <w:sz w:val="24"/>
                <w:szCs w:val="24"/>
                <w:lang w:eastAsia="uk-UA"/>
              </w:rPr>
              <w:t>Імпульс</w:t>
            </w:r>
            <w:proofErr w:type="spellEnd"/>
            <w:r w:rsidRPr="00E95FB1">
              <w:rPr>
                <w:rFonts w:eastAsia="Calibri"/>
                <w:sz w:val="24"/>
                <w:szCs w:val="24"/>
                <w:lang w:eastAsia="uk-UA"/>
              </w:rPr>
              <w:t>»</w:t>
            </w:r>
          </w:p>
        </w:tc>
        <w:tc>
          <w:tcPr>
            <w:tcW w:w="7025" w:type="dxa"/>
          </w:tcPr>
          <w:p w:rsidR="00AC499C" w:rsidRPr="00800069" w:rsidRDefault="00AC499C" w:rsidP="00524DBF">
            <w:pPr>
              <w:rPr>
                <w:rFonts w:eastAsia="Calibri"/>
                <w:sz w:val="24"/>
                <w:szCs w:val="24"/>
                <w:lang w:eastAsia="uk-UA"/>
              </w:rPr>
            </w:pPr>
            <w:proofErr w:type="spellStart"/>
            <w:r w:rsidRPr="00E95FB1">
              <w:rPr>
                <w:rFonts w:eastAsia="Calibri"/>
                <w:sz w:val="24"/>
                <w:szCs w:val="24"/>
                <w:lang w:eastAsia="uk-UA"/>
              </w:rPr>
              <w:t>розробник</w:t>
            </w:r>
            <w:proofErr w:type="spellEnd"/>
            <w:r w:rsidRPr="00E95FB1">
              <w:rPr>
                <w:rFonts w:eastAsia="Calibri"/>
                <w:sz w:val="24"/>
                <w:szCs w:val="24"/>
                <w:lang w:eastAsia="uk-UA"/>
              </w:rPr>
              <w:t xml:space="preserve"> </w:t>
            </w:r>
            <w:proofErr w:type="spellStart"/>
            <w:r w:rsidRPr="00E95FB1">
              <w:rPr>
                <w:rFonts w:eastAsia="Calibri"/>
                <w:sz w:val="24"/>
                <w:szCs w:val="24"/>
                <w:lang w:eastAsia="uk-UA"/>
              </w:rPr>
              <w:t>програмно-технічних</w:t>
            </w:r>
            <w:proofErr w:type="spellEnd"/>
            <w:r w:rsidRPr="00E95FB1">
              <w:rPr>
                <w:rFonts w:eastAsia="Calibri"/>
                <w:sz w:val="24"/>
                <w:szCs w:val="24"/>
                <w:lang w:eastAsia="uk-UA"/>
              </w:rPr>
              <w:t xml:space="preserve"> </w:t>
            </w:r>
            <w:proofErr w:type="spellStart"/>
            <w:r w:rsidRPr="00E95FB1">
              <w:rPr>
                <w:rFonts w:eastAsia="Calibri"/>
                <w:sz w:val="24"/>
                <w:szCs w:val="24"/>
                <w:lang w:eastAsia="uk-UA"/>
              </w:rPr>
              <w:t>комплексів</w:t>
            </w:r>
            <w:proofErr w:type="spellEnd"/>
            <w:r w:rsidRPr="00E95FB1">
              <w:rPr>
                <w:rFonts w:eastAsia="Calibri"/>
                <w:sz w:val="24"/>
                <w:szCs w:val="24"/>
                <w:lang w:eastAsia="uk-UA"/>
              </w:rPr>
              <w:t xml:space="preserve"> систем контролю та </w:t>
            </w:r>
            <w:proofErr w:type="spellStart"/>
            <w:r w:rsidRPr="00E95FB1">
              <w:rPr>
                <w:rFonts w:eastAsia="Calibri"/>
                <w:sz w:val="24"/>
                <w:szCs w:val="24"/>
                <w:lang w:eastAsia="uk-UA"/>
              </w:rPr>
              <w:t>управління</w:t>
            </w:r>
            <w:proofErr w:type="spellEnd"/>
            <w:r w:rsidRPr="00E95FB1">
              <w:rPr>
                <w:rFonts w:eastAsia="Calibri"/>
                <w:sz w:val="24"/>
                <w:szCs w:val="24"/>
                <w:lang w:eastAsia="uk-UA"/>
              </w:rPr>
              <w:t xml:space="preserve"> для </w:t>
            </w:r>
            <w:proofErr w:type="spellStart"/>
            <w:r w:rsidRPr="00E95FB1">
              <w:rPr>
                <w:rFonts w:eastAsia="Calibri"/>
                <w:sz w:val="24"/>
                <w:szCs w:val="24"/>
                <w:lang w:eastAsia="uk-UA"/>
              </w:rPr>
              <w:t>атомної</w:t>
            </w:r>
            <w:proofErr w:type="spellEnd"/>
            <w:r w:rsidRPr="00E95FB1">
              <w:rPr>
                <w:rFonts w:eastAsia="Calibri"/>
                <w:sz w:val="24"/>
                <w:szCs w:val="24"/>
                <w:lang w:eastAsia="uk-UA"/>
              </w:rPr>
              <w:t xml:space="preserve"> та </w:t>
            </w:r>
            <w:proofErr w:type="spellStart"/>
            <w:r w:rsidRPr="00E95FB1">
              <w:rPr>
                <w:rFonts w:eastAsia="Calibri"/>
                <w:sz w:val="24"/>
                <w:szCs w:val="24"/>
                <w:lang w:eastAsia="uk-UA"/>
              </w:rPr>
              <w:t>теплової</w:t>
            </w:r>
            <w:proofErr w:type="spellEnd"/>
            <w:r w:rsidRPr="00E95FB1">
              <w:rPr>
                <w:rFonts w:eastAsia="Calibri"/>
                <w:sz w:val="24"/>
                <w:szCs w:val="24"/>
                <w:lang w:eastAsia="uk-UA"/>
              </w:rPr>
              <w:t xml:space="preserve"> </w:t>
            </w:r>
            <w:proofErr w:type="spellStart"/>
            <w:r w:rsidRPr="00E95FB1">
              <w:rPr>
                <w:rFonts w:eastAsia="Calibri"/>
                <w:sz w:val="24"/>
                <w:szCs w:val="24"/>
                <w:lang w:eastAsia="uk-UA"/>
              </w:rPr>
              <w:t>енергетики</w:t>
            </w:r>
            <w:proofErr w:type="spellEnd"/>
            <w:r w:rsidRPr="00E95FB1">
              <w:rPr>
                <w:rFonts w:eastAsia="Calibri"/>
                <w:sz w:val="24"/>
                <w:szCs w:val="24"/>
                <w:lang w:eastAsia="uk-UA"/>
              </w:rPr>
              <w:t xml:space="preserve">, </w:t>
            </w:r>
            <w:proofErr w:type="spellStart"/>
            <w:r w:rsidRPr="00E95FB1">
              <w:rPr>
                <w:rFonts w:eastAsia="Calibri"/>
                <w:sz w:val="24"/>
                <w:szCs w:val="24"/>
                <w:lang w:eastAsia="uk-UA"/>
              </w:rPr>
              <w:t>нафтогазового</w:t>
            </w:r>
            <w:proofErr w:type="spellEnd"/>
            <w:r w:rsidRPr="00E95FB1">
              <w:rPr>
                <w:rFonts w:eastAsia="Calibri"/>
                <w:sz w:val="24"/>
                <w:szCs w:val="24"/>
                <w:lang w:eastAsia="uk-UA"/>
              </w:rPr>
              <w:t xml:space="preserve"> комплексу, </w:t>
            </w:r>
            <w:proofErr w:type="spellStart"/>
            <w:r w:rsidRPr="00E95FB1">
              <w:rPr>
                <w:rFonts w:eastAsia="Calibri"/>
                <w:sz w:val="24"/>
                <w:szCs w:val="24"/>
                <w:lang w:eastAsia="uk-UA"/>
              </w:rPr>
              <w:t>хімії</w:t>
            </w:r>
            <w:proofErr w:type="spellEnd"/>
            <w:r w:rsidRPr="00E95FB1">
              <w:rPr>
                <w:rFonts w:eastAsia="Calibri"/>
                <w:sz w:val="24"/>
                <w:szCs w:val="24"/>
                <w:lang w:eastAsia="uk-UA"/>
              </w:rPr>
              <w:t xml:space="preserve">, </w:t>
            </w:r>
            <w:proofErr w:type="spellStart"/>
            <w:r w:rsidRPr="00E95FB1">
              <w:rPr>
                <w:rFonts w:eastAsia="Calibri"/>
                <w:sz w:val="24"/>
                <w:szCs w:val="24"/>
                <w:lang w:eastAsia="uk-UA"/>
              </w:rPr>
              <w:t>залізничного</w:t>
            </w:r>
            <w:proofErr w:type="spellEnd"/>
            <w:r w:rsidRPr="00E95FB1">
              <w:rPr>
                <w:rFonts w:eastAsia="Calibri"/>
                <w:sz w:val="24"/>
                <w:szCs w:val="24"/>
                <w:lang w:eastAsia="uk-UA"/>
              </w:rPr>
              <w:t xml:space="preserve"> транспорту, </w:t>
            </w:r>
            <w:proofErr w:type="spellStart"/>
            <w:r w:rsidRPr="00E95FB1">
              <w:rPr>
                <w:rFonts w:eastAsia="Calibri"/>
                <w:sz w:val="24"/>
                <w:szCs w:val="24"/>
                <w:lang w:eastAsia="uk-UA"/>
              </w:rPr>
              <w:t>аерофлоту</w:t>
            </w:r>
            <w:proofErr w:type="spellEnd"/>
            <w:r w:rsidRPr="00E95FB1">
              <w:rPr>
                <w:rFonts w:eastAsia="Calibri"/>
                <w:sz w:val="24"/>
                <w:szCs w:val="24"/>
                <w:lang w:eastAsia="uk-UA"/>
              </w:rPr>
              <w:t xml:space="preserve">, космосу, </w:t>
            </w:r>
            <w:proofErr w:type="spellStart"/>
            <w:r w:rsidRPr="00E95FB1">
              <w:rPr>
                <w:rFonts w:eastAsia="Calibri"/>
                <w:sz w:val="24"/>
                <w:szCs w:val="24"/>
                <w:lang w:eastAsia="uk-UA"/>
              </w:rPr>
              <w:t>металургії</w:t>
            </w:r>
            <w:proofErr w:type="spellEnd"/>
            <w:r w:rsidRPr="00E95FB1">
              <w:rPr>
                <w:rFonts w:eastAsia="Calibri"/>
                <w:sz w:val="24"/>
                <w:szCs w:val="24"/>
                <w:lang w:eastAsia="uk-UA"/>
              </w:rPr>
              <w:t xml:space="preserve">, </w:t>
            </w:r>
            <w:proofErr w:type="spellStart"/>
            <w:r w:rsidRPr="00E95FB1">
              <w:rPr>
                <w:rFonts w:eastAsia="Calibri"/>
                <w:sz w:val="24"/>
                <w:szCs w:val="24"/>
                <w:lang w:eastAsia="uk-UA"/>
              </w:rPr>
              <w:t>машинобудування</w:t>
            </w:r>
            <w:proofErr w:type="spellEnd"/>
            <w:r w:rsidRPr="00E95FB1">
              <w:rPr>
                <w:rFonts w:eastAsia="Calibri"/>
                <w:sz w:val="24"/>
                <w:szCs w:val="24"/>
                <w:lang w:eastAsia="uk-UA"/>
              </w:rPr>
              <w:t>.</w:t>
            </w:r>
          </w:p>
        </w:tc>
      </w:tr>
      <w:tr w:rsidR="00AC499C" w:rsidRPr="00E95FB1" w:rsidTr="00524DBF">
        <w:tc>
          <w:tcPr>
            <w:tcW w:w="2689" w:type="dxa"/>
          </w:tcPr>
          <w:p w:rsidR="00AC499C" w:rsidRPr="00E95FB1" w:rsidRDefault="00AC499C" w:rsidP="00524DBF">
            <w:pPr>
              <w:jc w:val="left"/>
              <w:rPr>
                <w:rFonts w:eastAsia="Calibri"/>
                <w:color w:val="000000"/>
                <w:sz w:val="24"/>
                <w:szCs w:val="24"/>
                <w:lang w:eastAsia="uk-UA"/>
              </w:rPr>
            </w:pPr>
            <w:r w:rsidRPr="00E95FB1">
              <w:rPr>
                <w:rFonts w:eastAsia="Calibri"/>
                <w:sz w:val="24"/>
                <w:szCs w:val="24"/>
                <w:lang w:eastAsia="uk-UA"/>
              </w:rPr>
              <w:lastRenderedPageBreak/>
              <w:t>ТОВ «</w:t>
            </w:r>
            <w:proofErr w:type="spellStart"/>
            <w:r w:rsidRPr="00E95FB1">
              <w:rPr>
                <w:rFonts w:eastAsia="Calibri"/>
                <w:sz w:val="24"/>
                <w:szCs w:val="24"/>
                <w:lang w:eastAsia="uk-UA"/>
              </w:rPr>
              <w:t>Науково-виробниче</w:t>
            </w:r>
            <w:proofErr w:type="spellEnd"/>
            <w:r w:rsidRPr="00E95FB1">
              <w:rPr>
                <w:rFonts w:eastAsia="Calibri"/>
                <w:sz w:val="24"/>
                <w:szCs w:val="24"/>
                <w:lang w:eastAsia="uk-UA"/>
              </w:rPr>
              <w:t xml:space="preserve"> </w:t>
            </w:r>
            <w:proofErr w:type="spellStart"/>
            <w:r w:rsidRPr="00E95FB1">
              <w:rPr>
                <w:rFonts w:eastAsia="Calibri"/>
                <w:sz w:val="24"/>
                <w:szCs w:val="24"/>
                <w:lang w:eastAsia="uk-UA"/>
              </w:rPr>
              <w:t>об’єднання</w:t>
            </w:r>
            <w:proofErr w:type="spellEnd"/>
            <w:r w:rsidRPr="00E95FB1">
              <w:rPr>
                <w:rFonts w:eastAsia="Calibri"/>
                <w:sz w:val="24"/>
                <w:szCs w:val="24"/>
                <w:lang w:eastAsia="uk-UA"/>
              </w:rPr>
              <w:t xml:space="preserve"> «</w:t>
            </w:r>
            <w:proofErr w:type="spellStart"/>
            <w:r w:rsidRPr="00E95FB1">
              <w:rPr>
                <w:rFonts w:eastAsia="Calibri"/>
                <w:sz w:val="24"/>
                <w:szCs w:val="24"/>
                <w:lang w:eastAsia="uk-UA"/>
              </w:rPr>
              <w:t>Склопластик</w:t>
            </w:r>
            <w:proofErr w:type="spellEnd"/>
            <w:r w:rsidRPr="00E95FB1">
              <w:rPr>
                <w:rFonts w:eastAsia="Calibri"/>
                <w:sz w:val="24"/>
                <w:szCs w:val="24"/>
                <w:lang w:eastAsia="uk-UA"/>
              </w:rPr>
              <w:t>»</w:t>
            </w:r>
          </w:p>
        </w:tc>
        <w:tc>
          <w:tcPr>
            <w:tcW w:w="7025" w:type="dxa"/>
          </w:tcPr>
          <w:p w:rsidR="00AC499C" w:rsidRPr="00E95FB1" w:rsidRDefault="00AC499C" w:rsidP="00524DBF">
            <w:pPr>
              <w:rPr>
                <w:rFonts w:eastAsia="Calibri"/>
                <w:color w:val="000000"/>
                <w:sz w:val="24"/>
                <w:szCs w:val="24"/>
                <w:lang w:eastAsia="uk-UA"/>
              </w:rPr>
            </w:pPr>
            <w:proofErr w:type="spellStart"/>
            <w:r w:rsidRPr="00E95FB1">
              <w:rPr>
                <w:rFonts w:eastAsia="Calibri"/>
                <w:sz w:val="24"/>
                <w:szCs w:val="24"/>
                <w:lang w:eastAsia="uk-UA"/>
              </w:rPr>
              <w:t>виробництво</w:t>
            </w:r>
            <w:proofErr w:type="spellEnd"/>
            <w:r w:rsidRPr="00E95FB1">
              <w:rPr>
                <w:rFonts w:eastAsia="Calibri"/>
                <w:sz w:val="24"/>
                <w:szCs w:val="24"/>
                <w:lang w:eastAsia="uk-UA"/>
              </w:rPr>
              <w:t xml:space="preserve"> </w:t>
            </w:r>
            <w:proofErr w:type="spellStart"/>
            <w:r w:rsidRPr="00E95FB1">
              <w:rPr>
                <w:rFonts w:eastAsia="Calibri"/>
                <w:sz w:val="24"/>
                <w:szCs w:val="24"/>
                <w:lang w:eastAsia="uk-UA"/>
              </w:rPr>
              <w:t>скловолокна</w:t>
            </w:r>
            <w:proofErr w:type="spellEnd"/>
            <w:r w:rsidRPr="00E95FB1">
              <w:rPr>
                <w:rFonts w:eastAsia="Calibri"/>
                <w:sz w:val="24"/>
                <w:szCs w:val="24"/>
                <w:lang w:eastAsia="uk-UA"/>
              </w:rPr>
              <w:t xml:space="preserve">, </w:t>
            </w:r>
            <w:proofErr w:type="spellStart"/>
            <w:r w:rsidRPr="00E95FB1">
              <w:rPr>
                <w:rFonts w:eastAsia="Calibri"/>
                <w:sz w:val="24"/>
                <w:szCs w:val="24"/>
                <w:lang w:eastAsia="uk-UA"/>
              </w:rPr>
              <w:t>пултрузійних</w:t>
            </w:r>
            <w:proofErr w:type="spellEnd"/>
            <w:r w:rsidRPr="00E95FB1">
              <w:rPr>
                <w:rFonts w:eastAsia="Calibri"/>
                <w:sz w:val="24"/>
                <w:szCs w:val="24"/>
                <w:lang w:eastAsia="uk-UA"/>
              </w:rPr>
              <w:t xml:space="preserve"> </w:t>
            </w:r>
            <w:proofErr w:type="spellStart"/>
            <w:r w:rsidRPr="00E95FB1">
              <w:rPr>
                <w:rFonts w:eastAsia="Calibri"/>
                <w:sz w:val="24"/>
                <w:szCs w:val="24"/>
                <w:lang w:eastAsia="uk-UA"/>
              </w:rPr>
              <w:t>склопластиків</w:t>
            </w:r>
            <w:proofErr w:type="spellEnd"/>
            <w:r w:rsidRPr="00E95FB1">
              <w:rPr>
                <w:rFonts w:eastAsia="Calibri"/>
                <w:sz w:val="24"/>
                <w:szCs w:val="24"/>
                <w:lang w:eastAsia="uk-UA"/>
              </w:rPr>
              <w:t xml:space="preserve">, </w:t>
            </w:r>
            <w:proofErr w:type="spellStart"/>
            <w:r w:rsidRPr="00E95FB1">
              <w:rPr>
                <w:rFonts w:eastAsia="Calibri"/>
                <w:sz w:val="24"/>
                <w:szCs w:val="24"/>
                <w:lang w:eastAsia="uk-UA"/>
              </w:rPr>
              <w:t>штукатурної</w:t>
            </w:r>
            <w:proofErr w:type="spellEnd"/>
            <w:r w:rsidRPr="00E95FB1">
              <w:rPr>
                <w:rFonts w:eastAsia="Calibri"/>
                <w:sz w:val="24"/>
                <w:szCs w:val="24"/>
                <w:lang w:eastAsia="uk-UA"/>
              </w:rPr>
              <w:t xml:space="preserve"> </w:t>
            </w:r>
            <w:proofErr w:type="spellStart"/>
            <w:r w:rsidRPr="00E95FB1">
              <w:rPr>
                <w:rFonts w:eastAsia="Calibri"/>
                <w:sz w:val="24"/>
                <w:szCs w:val="24"/>
                <w:lang w:eastAsia="uk-UA"/>
              </w:rPr>
              <w:t>склопластики</w:t>
            </w:r>
            <w:proofErr w:type="spellEnd"/>
            <w:r w:rsidRPr="00E95FB1">
              <w:rPr>
                <w:rFonts w:eastAsia="Calibri"/>
                <w:sz w:val="24"/>
                <w:szCs w:val="24"/>
                <w:lang w:eastAsia="uk-UA"/>
              </w:rPr>
              <w:t>.</w:t>
            </w:r>
          </w:p>
        </w:tc>
      </w:tr>
      <w:tr w:rsidR="00AC499C" w:rsidRPr="00E95FB1" w:rsidTr="00524DBF">
        <w:tc>
          <w:tcPr>
            <w:tcW w:w="2689" w:type="dxa"/>
          </w:tcPr>
          <w:p w:rsidR="00AC499C" w:rsidRPr="00E95FB1" w:rsidRDefault="00AC499C" w:rsidP="00524DBF">
            <w:pPr>
              <w:jc w:val="left"/>
              <w:rPr>
                <w:rFonts w:eastAsia="Calibri"/>
                <w:color w:val="000000"/>
                <w:sz w:val="24"/>
                <w:szCs w:val="24"/>
                <w:lang w:eastAsia="uk-UA"/>
              </w:rPr>
            </w:pPr>
            <w:proofErr w:type="spellStart"/>
            <w:r w:rsidRPr="00E95FB1">
              <w:rPr>
                <w:rFonts w:eastAsia="Calibri"/>
                <w:sz w:val="24"/>
                <w:szCs w:val="24"/>
                <w:lang w:eastAsia="uk-UA"/>
              </w:rPr>
              <w:t>ПрАТ</w:t>
            </w:r>
            <w:proofErr w:type="spellEnd"/>
            <w:r w:rsidRPr="00E95FB1">
              <w:rPr>
                <w:rFonts w:eastAsia="Calibri"/>
                <w:sz w:val="24"/>
                <w:szCs w:val="24"/>
                <w:lang w:eastAsia="uk-UA"/>
              </w:rPr>
              <w:t xml:space="preserve"> «</w:t>
            </w:r>
            <w:proofErr w:type="spellStart"/>
            <w:r w:rsidRPr="00E95FB1">
              <w:rPr>
                <w:rFonts w:eastAsia="Calibri"/>
                <w:sz w:val="24"/>
                <w:szCs w:val="24"/>
                <w:lang w:eastAsia="uk-UA"/>
              </w:rPr>
              <w:t>Сєвєродонецький</w:t>
            </w:r>
            <w:proofErr w:type="spellEnd"/>
            <w:r w:rsidRPr="00E95FB1">
              <w:rPr>
                <w:rFonts w:eastAsia="Calibri"/>
                <w:sz w:val="24"/>
                <w:szCs w:val="24"/>
                <w:lang w:eastAsia="uk-UA"/>
              </w:rPr>
              <w:t xml:space="preserve"> ОРГХІМ»</w:t>
            </w:r>
          </w:p>
        </w:tc>
        <w:tc>
          <w:tcPr>
            <w:tcW w:w="7025" w:type="dxa"/>
          </w:tcPr>
          <w:p w:rsidR="00AC499C" w:rsidRPr="00E95FB1" w:rsidRDefault="00AC499C" w:rsidP="00524DBF">
            <w:pPr>
              <w:rPr>
                <w:rFonts w:eastAsia="Calibri"/>
                <w:color w:val="000000"/>
                <w:sz w:val="24"/>
                <w:szCs w:val="24"/>
                <w:lang w:eastAsia="uk-UA"/>
              </w:rPr>
            </w:pPr>
            <w:proofErr w:type="spellStart"/>
            <w:r w:rsidRPr="00E95FB1">
              <w:rPr>
                <w:rFonts w:eastAsia="Calibri"/>
                <w:sz w:val="24"/>
                <w:szCs w:val="24"/>
                <w:lang w:eastAsia="uk-UA"/>
              </w:rPr>
              <w:t>надає</w:t>
            </w:r>
            <w:proofErr w:type="spellEnd"/>
            <w:r w:rsidRPr="00E95FB1">
              <w:rPr>
                <w:rFonts w:eastAsia="Calibri"/>
                <w:sz w:val="24"/>
                <w:szCs w:val="24"/>
                <w:lang w:eastAsia="uk-UA"/>
              </w:rPr>
              <w:t xml:space="preserve"> </w:t>
            </w:r>
            <w:r w:rsidRPr="00E95FB1">
              <w:rPr>
                <w:rFonts w:eastAsia="Calibri"/>
                <w:color w:val="000000"/>
                <w:sz w:val="24"/>
                <w:szCs w:val="24"/>
                <w:lang w:eastAsia="uk-UA"/>
              </w:rPr>
              <w:t xml:space="preserve">комплекс </w:t>
            </w:r>
            <w:proofErr w:type="spellStart"/>
            <w:r w:rsidRPr="00E95FB1">
              <w:rPr>
                <w:rFonts w:eastAsia="Calibri"/>
                <w:color w:val="000000"/>
                <w:sz w:val="24"/>
                <w:szCs w:val="24"/>
                <w:lang w:eastAsia="uk-UA"/>
              </w:rPr>
              <w:t>інжинірингових</w:t>
            </w:r>
            <w:proofErr w:type="spellEnd"/>
            <w:r w:rsidRPr="00E95FB1">
              <w:rPr>
                <w:rFonts w:eastAsia="Calibri"/>
                <w:color w:val="000000"/>
                <w:sz w:val="24"/>
                <w:szCs w:val="24"/>
                <w:lang w:eastAsia="uk-UA"/>
              </w:rPr>
              <w:t xml:space="preserve"> </w:t>
            </w:r>
            <w:proofErr w:type="spellStart"/>
            <w:r w:rsidRPr="00E95FB1">
              <w:rPr>
                <w:rFonts w:eastAsia="Calibri"/>
                <w:color w:val="000000"/>
                <w:sz w:val="24"/>
                <w:szCs w:val="24"/>
                <w:lang w:eastAsia="uk-UA"/>
              </w:rPr>
              <w:t>послуг</w:t>
            </w:r>
            <w:proofErr w:type="spellEnd"/>
            <w:r w:rsidRPr="00E95FB1">
              <w:rPr>
                <w:rFonts w:eastAsia="Calibri"/>
                <w:color w:val="000000"/>
                <w:sz w:val="24"/>
                <w:szCs w:val="24"/>
                <w:lang w:eastAsia="uk-UA"/>
              </w:rPr>
              <w:t xml:space="preserve"> з </w:t>
            </w:r>
            <w:proofErr w:type="spellStart"/>
            <w:r w:rsidRPr="00E95FB1">
              <w:rPr>
                <w:rFonts w:eastAsia="Calibri"/>
                <w:color w:val="000000"/>
                <w:sz w:val="24"/>
                <w:szCs w:val="24"/>
                <w:lang w:eastAsia="uk-UA"/>
              </w:rPr>
              <w:t>технологічного</w:t>
            </w:r>
            <w:proofErr w:type="spellEnd"/>
            <w:r w:rsidRPr="00E95FB1">
              <w:rPr>
                <w:rFonts w:eastAsia="Calibri"/>
                <w:color w:val="000000"/>
                <w:sz w:val="24"/>
                <w:szCs w:val="24"/>
                <w:lang w:eastAsia="uk-UA"/>
              </w:rPr>
              <w:t xml:space="preserve">, </w:t>
            </w:r>
            <w:proofErr w:type="spellStart"/>
            <w:r w:rsidRPr="00E95FB1">
              <w:rPr>
                <w:rFonts w:eastAsia="Calibri"/>
                <w:color w:val="000000"/>
                <w:sz w:val="24"/>
                <w:szCs w:val="24"/>
                <w:lang w:eastAsia="uk-UA"/>
              </w:rPr>
              <w:t>теплоенергетичного</w:t>
            </w:r>
            <w:proofErr w:type="spellEnd"/>
            <w:r w:rsidRPr="00E95FB1">
              <w:rPr>
                <w:rFonts w:eastAsia="Calibri"/>
                <w:color w:val="000000"/>
                <w:sz w:val="24"/>
                <w:szCs w:val="24"/>
                <w:lang w:eastAsia="uk-UA"/>
              </w:rPr>
              <w:t xml:space="preserve">, </w:t>
            </w:r>
            <w:proofErr w:type="spellStart"/>
            <w:r w:rsidRPr="00E95FB1">
              <w:rPr>
                <w:rFonts w:eastAsia="Calibri"/>
                <w:color w:val="000000"/>
                <w:sz w:val="24"/>
                <w:szCs w:val="24"/>
                <w:lang w:eastAsia="uk-UA"/>
              </w:rPr>
              <w:t>електричного</w:t>
            </w:r>
            <w:proofErr w:type="spellEnd"/>
            <w:r w:rsidRPr="00E95FB1">
              <w:rPr>
                <w:rFonts w:eastAsia="Calibri"/>
                <w:color w:val="000000"/>
                <w:sz w:val="24"/>
                <w:szCs w:val="24"/>
                <w:lang w:eastAsia="uk-UA"/>
              </w:rPr>
              <w:t xml:space="preserve"> </w:t>
            </w:r>
            <w:proofErr w:type="spellStart"/>
            <w:r w:rsidRPr="00E95FB1">
              <w:rPr>
                <w:rFonts w:eastAsia="Calibri"/>
                <w:color w:val="000000"/>
                <w:sz w:val="24"/>
                <w:szCs w:val="24"/>
                <w:lang w:eastAsia="uk-UA"/>
              </w:rPr>
              <w:t>устаткування</w:t>
            </w:r>
            <w:proofErr w:type="spellEnd"/>
          </w:p>
        </w:tc>
      </w:tr>
    </w:tbl>
    <w:p w:rsidR="00AC499C" w:rsidRDefault="00AC499C" w:rsidP="00AC499C">
      <w:pPr>
        <w:ind w:firstLine="720"/>
        <w:rPr>
          <w:rFonts w:eastAsia="Calibri"/>
          <w:bCs/>
        </w:rPr>
      </w:pPr>
    </w:p>
    <w:p w:rsidR="00135F62" w:rsidRPr="00355733" w:rsidRDefault="00AC499C" w:rsidP="00135F62">
      <w:pPr>
        <w:ind w:firstLine="720"/>
        <w:rPr>
          <w:rFonts w:eastAsia="Calibri"/>
          <w:color w:val="000000"/>
          <w:lang w:eastAsia="uk-UA"/>
        </w:rPr>
      </w:pPr>
      <w:r w:rsidRPr="00355733">
        <w:rPr>
          <w:rFonts w:eastAsia="Calibri"/>
          <w:bCs/>
        </w:rPr>
        <w:t xml:space="preserve">Відновлення та підтримка виробничого потенціалу стануть ключовими аспектами в розвитку </w:t>
      </w:r>
      <w:r w:rsidR="007972BA">
        <w:rPr>
          <w:rFonts w:eastAsia="Calibri"/>
          <w:bCs/>
        </w:rPr>
        <w:t>громади</w:t>
      </w:r>
      <w:r w:rsidRPr="00355733">
        <w:rPr>
          <w:rFonts w:eastAsia="Calibri"/>
          <w:bCs/>
        </w:rPr>
        <w:t xml:space="preserve"> після відновлення контролю </w:t>
      </w:r>
      <w:r w:rsidR="00F5071D">
        <w:rPr>
          <w:rFonts w:eastAsia="Calibri"/>
          <w:bCs/>
        </w:rPr>
        <w:t xml:space="preserve">легітимною владою </w:t>
      </w:r>
      <w:r w:rsidRPr="00355733">
        <w:rPr>
          <w:rFonts w:eastAsia="Calibri"/>
          <w:bCs/>
        </w:rPr>
        <w:t>над н</w:t>
      </w:r>
      <w:r w:rsidR="007972BA">
        <w:rPr>
          <w:rFonts w:eastAsia="Calibri"/>
          <w:bCs/>
        </w:rPr>
        <w:t>ею</w:t>
      </w:r>
      <w:r w:rsidRPr="00355733">
        <w:rPr>
          <w:rFonts w:eastAsia="Calibri"/>
          <w:bCs/>
        </w:rPr>
        <w:t xml:space="preserve">. Залучення інвестицій, створення сприятливого бізнес-середовища та сприяння новим підприємницьким ініціативам можуть допомогти відновити економічний рух в Сєвєродонецькій </w:t>
      </w:r>
      <w:r w:rsidR="00F5071D">
        <w:rPr>
          <w:rFonts w:eastAsia="Calibri"/>
          <w:bCs/>
        </w:rPr>
        <w:t>міській територіальній</w:t>
      </w:r>
      <w:r w:rsidR="00F5071D" w:rsidRPr="00355733">
        <w:rPr>
          <w:rFonts w:eastAsia="Calibri"/>
          <w:bCs/>
        </w:rPr>
        <w:t xml:space="preserve"> </w:t>
      </w:r>
      <w:r w:rsidRPr="00355733">
        <w:rPr>
          <w:rFonts w:eastAsia="Calibri"/>
          <w:bCs/>
        </w:rPr>
        <w:t xml:space="preserve">громаді та позитивно вплинути на майбутні перспективи </w:t>
      </w:r>
      <w:r w:rsidR="00F5071D">
        <w:rPr>
          <w:rFonts w:eastAsia="Calibri"/>
          <w:bCs/>
        </w:rPr>
        <w:t>його</w:t>
      </w:r>
      <w:r w:rsidR="00F5071D" w:rsidRPr="00355733">
        <w:rPr>
          <w:rFonts w:eastAsia="Calibri"/>
          <w:bCs/>
        </w:rPr>
        <w:t xml:space="preserve"> </w:t>
      </w:r>
      <w:r w:rsidRPr="00355733">
        <w:rPr>
          <w:rFonts w:eastAsia="Calibri"/>
          <w:bCs/>
        </w:rPr>
        <w:t xml:space="preserve">розвитку. Варто підкреслити, що </w:t>
      </w:r>
      <w:r w:rsidRPr="00355733">
        <w:rPr>
          <w:rFonts w:eastAsia="Calibri"/>
          <w:color w:val="000000"/>
          <w:lang w:eastAsia="uk-UA"/>
        </w:rPr>
        <w:t xml:space="preserve">Сєвєродонецька </w:t>
      </w:r>
      <w:r w:rsidR="00B56E52">
        <w:rPr>
          <w:rFonts w:eastAsia="Calibri"/>
          <w:bCs/>
        </w:rPr>
        <w:t>міська територіальна</w:t>
      </w:r>
      <w:r w:rsidR="00B56E52" w:rsidRPr="00355733">
        <w:rPr>
          <w:rFonts w:eastAsia="Calibri"/>
          <w:color w:val="000000"/>
          <w:lang w:eastAsia="uk-UA"/>
        </w:rPr>
        <w:t xml:space="preserve"> </w:t>
      </w:r>
      <w:r w:rsidRPr="00355733">
        <w:rPr>
          <w:rFonts w:eastAsia="Calibri"/>
          <w:color w:val="000000"/>
          <w:lang w:eastAsia="uk-UA"/>
        </w:rPr>
        <w:t xml:space="preserve">громада до початку повномасштабного вторгнення </w:t>
      </w:r>
      <w:r w:rsidR="00437099" w:rsidRPr="00355733">
        <w:rPr>
          <w:rFonts w:eastAsia="Calibri"/>
          <w:color w:val="000000"/>
          <w:lang w:eastAsia="uk-UA"/>
        </w:rPr>
        <w:t>РФ</w:t>
      </w:r>
      <w:r w:rsidRPr="00355733">
        <w:rPr>
          <w:rFonts w:eastAsia="Calibri"/>
          <w:color w:val="000000"/>
          <w:lang w:eastAsia="uk-UA"/>
        </w:rPr>
        <w:t xml:space="preserve"> мала в структурі економіки велику кількість науково-дослідних і </w:t>
      </w:r>
      <w:proofErr w:type="spellStart"/>
      <w:r w:rsidRPr="00355733">
        <w:rPr>
          <w:rFonts w:eastAsia="Calibri"/>
          <w:color w:val="000000"/>
          <w:lang w:eastAsia="uk-UA"/>
        </w:rPr>
        <w:t>проєктних</w:t>
      </w:r>
      <w:proofErr w:type="spellEnd"/>
      <w:r w:rsidRPr="00355733">
        <w:rPr>
          <w:rFonts w:eastAsia="Calibri"/>
          <w:color w:val="000000"/>
          <w:lang w:eastAsia="uk-UA"/>
        </w:rPr>
        <w:t xml:space="preserve"> інститутів та науково-виробничих підприємств, які спеціалізуються на наукових та технічних розробках та інжинірингу, частка експорту яких в структурі зовнішньої торгівлі послугами Луганської області складали 67,5%.</w:t>
      </w:r>
      <w:r w:rsidR="00135F62">
        <w:rPr>
          <w:rFonts w:eastAsia="Calibri"/>
          <w:color w:val="000000"/>
          <w:lang w:eastAsia="uk-UA"/>
        </w:rPr>
        <w:t xml:space="preserve"> Ці інститути є перспективною сферою послуг для громади.</w:t>
      </w:r>
    </w:p>
    <w:p w:rsidR="00AC499C" w:rsidRPr="00355733" w:rsidRDefault="00AC499C" w:rsidP="00AC499C">
      <w:pPr>
        <w:rPr>
          <w:rFonts w:eastAsia="Calibri"/>
          <w:bCs/>
        </w:rPr>
      </w:pPr>
    </w:p>
    <w:p w:rsidR="00AC499C" w:rsidRPr="00355733" w:rsidRDefault="00AC499C" w:rsidP="00AC499C">
      <w:pPr>
        <w:ind w:firstLine="708"/>
        <w:rPr>
          <w:rFonts w:eastAsia="Calibri"/>
          <w:bCs/>
        </w:rPr>
      </w:pPr>
      <w:r w:rsidRPr="00355733">
        <w:rPr>
          <w:rFonts w:eastAsia="Calibri"/>
          <w:bCs/>
        </w:rPr>
        <w:t>Крім того, зрозуміло, що для відбудови зруйнованого</w:t>
      </w:r>
      <w:r w:rsidR="001E512D">
        <w:rPr>
          <w:rFonts w:eastAsia="Calibri"/>
          <w:bCs/>
        </w:rPr>
        <w:t>,</w:t>
      </w:r>
      <w:r w:rsidRPr="00355733">
        <w:rPr>
          <w:rFonts w:eastAsia="Calibri"/>
          <w:bCs/>
        </w:rPr>
        <w:t xml:space="preserve"> окрім значного фінансового ресурсу, знадобиться й величезна кількість сучасних будівельних матеріалів. За даними Конфедерації будівельників України для відбудови лише зруйнованого війною житлового фонду буде потрібно не менше 3,9 млн</w:t>
      </w:r>
      <w:r w:rsidR="007972BA">
        <w:rPr>
          <w:rFonts w:eastAsia="Calibri"/>
          <w:bCs/>
        </w:rPr>
        <w:t xml:space="preserve">. </w:t>
      </w:r>
      <w:proofErr w:type="spellStart"/>
      <w:r w:rsidR="007972BA">
        <w:rPr>
          <w:rFonts w:eastAsia="Calibri"/>
          <w:bCs/>
        </w:rPr>
        <w:t>кв.м</w:t>
      </w:r>
      <w:proofErr w:type="spellEnd"/>
      <w:r w:rsidRPr="00355733">
        <w:rPr>
          <w:rFonts w:eastAsia="Calibri"/>
          <w:bCs/>
        </w:rPr>
        <w:t xml:space="preserve"> скла, 5,7 млн</w:t>
      </w:r>
      <w:r w:rsidR="007972BA">
        <w:rPr>
          <w:rFonts w:eastAsia="Calibri"/>
          <w:bCs/>
        </w:rPr>
        <w:t>.</w:t>
      </w:r>
      <w:r w:rsidRPr="00355733">
        <w:rPr>
          <w:rFonts w:eastAsia="Calibri"/>
          <w:bCs/>
        </w:rPr>
        <w:t xml:space="preserve"> кубометрів (11,9 млн</w:t>
      </w:r>
      <w:r w:rsidR="007972BA">
        <w:rPr>
          <w:rFonts w:eastAsia="Calibri"/>
          <w:bCs/>
        </w:rPr>
        <w:t>.</w:t>
      </w:r>
      <w:r w:rsidRPr="00355733">
        <w:rPr>
          <w:rFonts w:eastAsia="Calibri"/>
          <w:bCs/>
        </w:rPr>
        <w:t xml:space="preserve"> т) бетону, 39,3 млн</w:t>
      </w:r>
      <w:r w:rsidR="007972BA">
        <w:rPr>
          <w:rFonts w:eastAsia="Calibri"/>
          <w:bCs/>
        </w:rPr>
        <w:t>.</w:t>
      </w:r>
      <w:r w:rsidRPr="00355733">
        <w:rPr>
          <w:rFonts w:eastAsia="Calibri"/>
          <w:bCs/>
        </w:rPr>
        <w:t xml:space="preserve"> кубометрів (або 14 млрд</w:t>
      </w:r>
      <w:r w:rsidR="007972BA">
        <w:rPr>
          <w:rFonts w:eastAsia="Calibri"/>
          <w:bCs/>
        </w:rPr>
        <w:t>.</w:t>
      </w:r>
      <w:r w:rsidRPr="00355733">
        <w:rPr>
          <w:rFonts w:eastAsia="Calibri"/>
          <w:bCs/>
        </w:rPr>
        <w:t xml:space="preserve"> </w:t>
      </w:r>
      <w:r w:rsidR="001E512D">
        <w:rPr>
          <w:rFonts w:eastAsia="Calibri"/>
          <w:bCs/>
        </w:rPr>
        <w:t>одиниць</w:t>
      </w:r>
      <w:r w:rsidRPr="00355733">
        <w:rPr>
          <w:rFonts w:eastAsia="Calibri"/>
          <w:bCs/>
        </w:rPr>
        <w:t>) цегли, 45 млн</w:t>
      </w:r>
      <w:r w:rsidR="007972BA">
        <w:rPr>
          <w:rFonts w:eastAsia="Calibri"/>
          <w:bCs/>
        </w:rPr>
        <w:t>.</w:t>
      </w:r>
      <w:r w:rsidRPr="00355733">
        <w:rPr>
          <w:rFonts w:eastAsia="Calibri"/>
          <w:bCs/>
        </w:rPr>
        <w:t xml:space="preserve"> </w:t>
      </w:r>
      <w:proofErr w:type="spellStart"/>
      <w:r w:rsidRPr="00355733">
        <w:rPr>
          <w:rFonts w:eastAsia="Calibri"/>
          <w:bCs/>
        </w:rPr>
        <w:t>кв.м</w:t>
      </w:r>
      <w:proofErr w:type="spellEnd"/>
      <w:r w:rsidRPr="00355733">
        <w:rPr>
          <w:rFonts w:eastAsia="Calibri"/>
          <w:bCs/>
        </w:rPr>
        <w:t xml:space="preserve"> черепиці. Для забезпечення відповідних потреб нам знадобляться нові потужні виробництва будівельних матеріалів. Зокрема, варто розглянути можливості пошуку інвестицій для виробництва </w:t>
      </w:r>
      <w:proofErr w:type="spellStart"/>
      <w:r w:rsidRPr="00355733">
        <w:rPr>
          <w:rFonts w:eastAsia="Calibri"/>
          <w:bCs/>
        </w:rPr>
        <w:t>флоат</w:t>
      </w:r>
      <w:proofErr w:type="spellEnd"/>
      <w:r w:rsidRPr="00355733">
        <w:rPr>
          <w:rFonts w:eastAsia="Calibri"/>
          <w:bCs/>
        </w:rPr>
        <w:t xml:space="preserve">-скла. Адже, поміж іншого, маємо великі запаси кремнеземного піску та кварцу. Родовища будівельного піску та цегельно-черепична сировина (глина, суглинок, аргіліти, сланці глинисті, пісок) можуть стати основою для відновлення виробництва цементу, цегли та будівельної кераміки. На користь перспективності такого напрямку свідчить те, що в попередні роки в </w:t>
      </w:r>
      <w:proofErr w:type="spellStart"/>
      <w:r w:rsidR="00822BDD">
        <w:rPr>
          <w:rFonts w:eastAsia="Calibri"/>
          <w:bCs/>
        </w:rPr>
        <w:t>м.</w:t>
      </w:r>
      <w:r w:rsidRPr="00355733">
        <w:rPr>
          <w:rFonts w:eastAsia="Calibri"/>
          <w:bCs/>
        </w:rPr>
        <w:t>Сєвєродонецьк</w:t>
      </w:r>
      <w:proofErr w:type="spellEnd"/>
      <w:r w:rsidRPr="00355733">
        <w:rPr>
          <w:rFonts w:eastAsia="Calibri"/>
          <w:bCs/>
        </w:rPr>
        <w:t xml:space="preserve"> була достатньо розвинутою галузь виробництва будівельних матеріалів. Зокрема, мова йде про завод залізобетонних виробів, завод силікатної цегли, Сєвєродонецький завод будівельної кераміки, завод будівельних конструкцій тощо. Також, в даному контексті варто звернути увагу і на інноваційні можливості використання будівельного сміття, що в значній кількості накопичилось на території громади після руйнувань. Демонтаж пошкоджених/зруйнованих будівель та переробка отриманої сировини також може стати одним </w:t>
      </w:r>
      <w:r w:rsidR="00822BDD">
        <w:rPr>
          <w:rFonts w:eastAsia="Calibri"/>
          <w:bCs/>
        </w:rPr>
        <w:t>і</w:t>
      </w:r>
      <w:r w:rsidRPr="00355733">
        <w:rPr>
          <w:rFonts w:eastAsia="Calibri"/>
          <w:bCs/>
        </w:rPr>
        <w:t xml:space="preserve">з цікавих напрямків залучення інвестицій.   </w:t>
      </w:r>
    </w:p>
    <w:p w:rsidR="00AC499C" w:rsidRPr="00355733" w:rsidRDefault="00AC499C" w:rsidP="00AC499C">
      <w:pPr>
        <w:rPr>
          <w:rFonts w:eastAsia="Calibri"/>
          <w:bCs/>
        </w:rPr>
      </w:pPr>
    </w:p>
    <w:p w:rsidR="00AC499C" w:rsidRPr="00D72C2B" w:rsidRDefault="00AC499C" w:rsidP="00AC499C">
      <w:pPr>
        <w:ind w:firstLine="720"/>
        <w:rPr>
          <w:rFonts w:eastAsia="Calibri"/>
          <w:bCs/>
        </w:rPr>
      </w:pPr>
      <w:r w:rsidRPr="00355733">
        <w:rPr>
          <w:rFonts w:eastAsia="Calibri"/>
          <w:bCs/>
        </w:rPr>
        <w:t xml:space="preserve">Отже, повоєнна відбудова має потенціал створити фундамент для сталого розвитку громади через створення сучасного, інноваційного та </w:t>
      </w:r>
      <w:r w:rsidRPr="00355733">
        <w:rPr>
          <w:rFonts w:eastAsia="Calibri"/>
          <w:bCs/>
        </w:rPr>
        <w:lastRenderedPageBreak/>
        <w:t>конкурентоспроможного промислового середовища, яке відповідає вимогам сучасної економіки та сприяє розвитку та процвітанню міста.</w:t>
      </w:r>
    </w:p>
    <w:p w:rsidR="00AC499C" w:rsidRPr="00D72C2B" w:rsidRDefault="00AC499C" w:rsidP="00AC499C">
      <w:pPr>
        <w:rPr>
          <w:rFonts w:eastAsia="Calibri"/>
          <w:bCs/>
        </w:rPr>
      </w:pPr>
    </w:p>
    <w:p w:rsidR="00AC499C" w:rsidRPr="00767FDB" w:rsidRDefault="00AC499C" w:rsidP="00AC499C">
      <w:pPr>
        <w:ind w:firstLine="720"/>
        <w:rPr>
          <w:rFonts w:eastAsia="Calibri"/>
          <w:b/>
          <w:bCs/>
          <w:color w:val="1F497D" w:themeColor="text2"/>
          <w:lang w:eastAsia="uk-UA"/>
        </w:rPr>
      </w:pPr>
      <w:r w:rsidRPr="00767FDB">
        <w:rPr>
          <w:rFonts w:eastAsia="Calibri"/>
          <w:b/>
          <w:bCs/>
          <w:color w:val="1F497D" w:themeColor="text2"/>
          <w:lang w:eastAsia="uk-UA"/>
        </w:rPr>
        <w:t>Малий та середній бізнес</w:t>
      </w:r>
    </w:p>
    <w:p w:rsidR="00AC499C" w:rsidRPr="00E95FB1" w:rsidRDefault="00AC499C" w:rsidP="00AC499C">
      <w:pPr>
        <w:ind w:firstLine="720"/>
        <w:rPr>
          <w:rFonts w:eastAsia="Calibri"/>
          <w:bCs/>
          <w:lang w:eastAsia="uk-UA"/>
        </w:rPr>
      </w:pPr>
    </w:p>
    <w:p w:rsidR="00AC499C" w:rsidRPr="00E95FB1" w:rsidRDefault="00AC499C" w:rsidP="00AC499C">
      <w:pPr>
        <w:ind w:firstLine="851"/>
      </w:pPr>
      <w:r w:rsidRPr="00E95FB1">
        <w:t>Підприємництво є важливим сектором економіки, який сприяє вирішенню багатьох соціальних проблем, насамперед, забезпеченню зайнятості населення, створенню нових робочих місць, зменшенню безробіття, насиченню ринку необхідними товарами та послугами, створенню здорової конкуренції, яка сприятливо впливає на розвиток економіки та забезпечує стабільність регіону в цілому, поповнює бюджети всіх рівнів.</w:t>
      </w:r>
    </w:p>
    <w:p w:rsidR="00AC499C" w:rsidRDefault="00AC499C" w:rsidP="00AC499C">
      <w:pPr>
        <w:ind w:left="3" w:firstLine="848"/>
      </w:pPr>
    </w:p>
    <w:p w:rsidR="00AC499C" w:rsidRDefault="00AC499C" w:rsidP="00AC499C">
      <w:pPr>
        <w:ind w:left="3" w:firstLine="848"/>
      </w:pPr>
      <w:r w:rsidRPr="00E95FB1">
        <w:t xml:space="preserve">Мале та середнє підприємництво (МСП), що здійснювало діяльність в  Сєвєродонецькій міській територіальній громаді, станом на 01.10.2021 </w:t>
      </w:r>
      <w:r>
        <w:t xml:space="preserve">було </w:t>
      </w:r>
      <w:r w:rsidRPr="00E95FB1">
        <w:t>представлено 6</w:t>
      </w:r>
      <w:r w:rsidR="005638F3">
        <w:t xml:space="preserve"> </w:t>
      </w:r>
      <w:r w:rsidRPr="00E95FB1">
        <w:t>638 суб’єктами</w:t>
      </w:r>
      <w:r>
        <w:t>. Це на 14% більше</w:t>
      </w:r>
      <w:r w:rsidR="00144005">
        <w:t>,</w:t>
      </w:r>
      <w:r>
        <w:t xml:space="preserve"> ніж в </w:t>
      </w:r>
      <w:r w:rsidRPr="00E95FB1">
        <w:t>2020 ро</w:t>
      </w:r>
      <w:r>
        <w:t>ці</w:t>
      </w:r>
      <w:r w:rsidRPr="00E95FB1">
        <w:t xml:space="preserve"> (5</w:t>
      </w:r>
      <w:r w:rsidR="005638F3">
        <w:t xml:space="preserve"> </w:t>
      </w:r>
      <w:r w:rsidRPr="00E95FB1">
        <w:t>716 суб’єкт</w:t>
      </w:r>
      <w:r>
        <w:t>ів</w:t>
      </w:r>
      <w:r w:rsidRPr="00E95FB1">
        <w:t>)</w:t>
      </w:r>
      <w:r>
        <w:t>.</w:t>
      </w:r>
      <w:r w:rsidRPr="00E95FB1">
        <w:t xml:space="preserve"> </w:t>
      </w:r>
    </w:p>
    <w:p w:rsidR="00AC499C" w:rsidRPr="00E95FB1" w:rsidRDefault="00AC499C" w:rsidP="00AC499C">
      <w:pPr>
        <w:ind w:left="3" w:firstLine="848"/>
      </w:pPr>
      <w:r>
        <w:t>В структурі МСП були представлені:</w:t>
      </w:r>
    </w:p>
    <w:p w:rsidR="00AC499C" w:rsidRPr="00E95FB1" w:rsidRDefault="00AC499C" w:rsidP="000303D7">
      <w:pPr>
        <w:pStyle w:val="a7"/>
        <w:numPr>
          <w:ilvl w:val="0"/>
          <w:numId w:val="134"/>
        </w:numPr>
        <w:ind w:left="1418" w:hanging="425"/>
      </w:pPr>
      <w:r w:rsidRPr="00E95FB1">
        <w:t>64 середніх підприємства;</w:t>
      </w:r>
    </w:p>
    <w:p w:rsidR="00AC499C" w:rsidRPr="00E95FB1" w:rsidRDefault="00AC499C" w:rsidP="000303D7">
      <w:pPr>
        <w:pStyle w:val="a7"/>
        <w:numPr>
          <w:ilvl w:val="0"/>
          <w:numId w:val="134"/>
        </w:numPr>
        <w:ind w:left="1418" w:hanging="425"/>
      </w:pPr>
      <w:r w:rsidRPr="00E95FB1">
        <w:t>1</w:t>
      </w:r>
      <w:r w:rsidR="005638F3">
        <w:t xml:space="preserve"> </w:t>
      </w:r>
      <w:r w:rsidRPr="00E95FB1">
        <w:t>355 малих підприємств;</w:t>
      </w:r>
    </w:p>
    <w:p w:rsidR="00AC499C" w:rsidRPr="00E95FB1" w:rsidRDefault="00AC499C" w:rsidP="000303D7">
      <w:pPr>
        <w:pStyle w:val="a7"/>
        <w:numPr>
          <w:ilvl w:val="0"/>
          <w:numId w:val="134"/>
        </w:numPr>
        <w:ind w:left="1418" w:hanging="425"/>
      </w:pPr>
      <w:r w:rsidRPr="00E95FB1">
        <w:t>5</w:t>
      </w:r>
      <w:r w:rsidR="005638F3">
        <w:t xml:space="preserve"> </w:t>
      </w:r>
      <w:r w:rsidRPr="00E95FB1">
        <w:t>219 фізичних осіб-підприємців.</w:t>
      </w:r>
    </w:p>
    <w:p w:rsidR="00AC499C" w:rsidRDefault="00AC499C" w:rsidP="00AC499C">
      <w:pPr>
        <w:ind w:firstLine="851"/>
      </w:pPr>
    </w:p>
    <w:p w:rsidR="00AC499C" w:rsidRPr="00E95FB1" w:rsidRDefault="00AC499C" w:rsidP="00AC499C">
      <w:pPr>
        <w:ind w:firstLine="851"/>
      </w:pPr>
      <w:r w:rsidRPr="00E95FB1">
        <w:t>Через свою кількість мале та середнє підприємництво забезпечувало більшу зайнятість населення громади, ніж великі підприємства</w:t>
      </w:r>
      <w:r>
        <w:t xml:space="preserve">. </w:t>
      </w:r>
      <w:r w:rsidRPr="00E95FB1">
        <w:t>Кількість зайнятих у МСП склада</w:t>
      </w:r>
      <w:r>
        <w:t>ло</w:t>
      </w:r>
      <w:r w:rsidRPr="00E95FB1">
        <w:t xml:space="preserve"> 19</w:t>
      </w:r>
      <w:r w:rsidR="005638F3">
        <w:t xml:space="preserve"> </w:t>
      </w:r>
      <w:r w:rsidRPr="00E95FB1">
        <w:t>358 осіб, проти 12</w:t>
      </w:r>
      <w:r w:rsidR="005638F3">
        <w:t xml:space="preserve"> </w:t>
      </w:r>
      <w:r w:rsidRPr="00E95FB1">
        <w:t xml:space="preserve">287 осіб – на великих підприємствах. В тому числі </w:t>
      </w:r>
      <w:r>
        <w:t xml:space="preserve">було </w:t>
      </w:r>
      <w:r w:rsidRPr="00E95FB1">
        <w:t>зайнято:</w:t>
      </w:r>
    </w:p>
    <w:p w:rsidR="00AC499C" w:rsidRPr="00E95FB1" w:rsidRDefault="00AC499C" w:rsidP="000303D7">
      <w:pPr>
        <w:pStyle w:val="a7"/>
        <w:numPr>
          <w:ilvl w:val="0"/>
          <w:numId w:val="134"/>
        </w:numPr>
        <w:ind w:left="1418" w:hanging="425"/>
      </w:pPr>
      <w:r w:rsidRPr="00E95FB1">
        <w:t>на середніх підприємствах – 9</w:t>
      </w:r>
      <w:r w:rsidR="005638F3">
        <w:t xml:space="preserve"> </w:t>
      </w:r>
      <w:r w:rsidRPr="00E95FB1">
        <w:t>589 осіб;</w:t>
      </w:r>
    </w:p>
    <w:p w:rsidR="00AC499C" w:rsidRPr="004C163C" w:rsidRDefault="00AC499C" w:rsidP="000303D7">
      <w:pPr>
        <w:pStyle w:val="a7"/>
        <w:numPr>
          <w:ilvl w:val="0"/>
          <w:numId w:val="134"/>
        </w:numPr>
        <w:ind w:left="1418" w:hanging="425"/>
      </w:pPr>
      <w:r w:rsidRPr="00E95FB1">
        <w:t>на малих підприємствах – 5</w:t>
      </w:r>
      <w:r w:rsidR="005638F3">
        <w:t xml:space="preserve"> </w:t>
      </w:r>
      <w:r w:rsidRPr="00E95FB1">
        <w:t>672 особи</w:t>
      </w:r>
      <w:r w:rsidRPr="004C163C">
        <w:t>.</w:t>
      </w:r>
    </w:p>
    <w:p w:rsidR="00AC499C" w:rsidRDefault="00AC499C" w:rsidP="00AC499C"/>
    <w:p w:rsidR="00AC499C" w:rsidRDefault="00AC499C" w:rsidP="00AC499C">
      <w:pPr>
        <w:ind w:firstLine="851"/>
      </w:pPr>
      <w:r>
        <w:t xml:space="preserve">Така пропорція </w:t>
      </w:r>
      <w:r w:rsidRPr="00E95FB1">
        <w:t>значно знижу</w:t>
      </w:r>
      <w:r>
        <w:t>вала</w:t>
      </w:r>
      <w:r w:rsidRPr="00E95FB1">
        <w:t xml:space="preserve"> напруженість у суспільстві,</w:t>
      </w:r>
      <w:r>
        <w:t xml:space="preserve"> </w:t>
      </w:r>
      <w:r w:rsidRPr="00E95FB1">
        <w:t xml:space="preserve">пов’язану з безробіттям. </w:t>
      </w:r>
    </w:p>
    <w:p w:rsidR="00AC499C" w:rsidRDefault="00AC499C" w:rsidP="00AC499C">
      <w:pPr>
        <w:ind w:firstLine="851"/>
      </w:pPr>
    </w:p>
    <w:p w:rsidR="00AC499C" w:rsidRPr="00355733" w:rsidRDefault="00AC499C" w:rsidP="00AC499C">
      <w:pPr>
        <w:ind w:firstLine="851"/>
        <w:rPr>
          <w:rFonts w:eastAsia="Calibri"/>
        </w:rPr>
      </w:pPr>
      <w:r w:rsidRPr="00355733">
        <w:t xml:space="preserve">Під час активних бойових дій на території </w:t>
      </w:r>
      <w:r w:rsidRPr="00355733">
        <w:rPr>
          <w:rFonts w:eastAsia="Calibri"/>
        </w:rPr>
        <w:t xml:space="preserve">Сєвєродонецької </w:t>
      </w:r>
      <w:r w:rsidR="00116318">
        <w:rPr>
          <w:rFonts w:eastAsia="Calibri"/>
        </w:rPr>
        <w:t xml:space="preserve">міської територіальної </w:t>
      </w:r>
      <w:r w:rsidRPr="00355733">
        <w:rPr>
          <w:rFonts w:eastAsia="Calibri"/>
        </w:rPr>
        <w:t>громади велика кількість малих та середніх підприємств зазнала втрат</w:t>
      </w:r>
      <w:r w:rsidR="00E1419E" w:rsidRPr="00E1419E">
        <w:rPr>
          <w:rFonts w:eastAsia="Calibri"/>
        </w:rPr>
        <w:t>:</w:t>
      </w:r>
      <w:r w:rsidRPr="00355733">
        <w:rPr>
          <w:rFonts w:eastAsia="Calibri"/>
        </w:rPr>
        <w:t xml:space="preserve"> зруйновані приміщення, пошкоджене або викрадене майно та обладнання. Частина підприємців повністю припинила діяльність, частина </w:t>
      </w:r>
      <w:proofErr w:type="spellStart"/>
      <w:r w:rsidRPr="00355733">
        <w:rPr>
          <w:rFonts w:eastAsia="Calibri"/>
        </w:rPr>
        <w:t>релокувалася</w:t>
      </w:r>
      <w:proofErr w:type="spellEnd"/>
      <w:r w:rsidRPr="00355733">
        <w:rPr>
          <w:rFonts w:eastAsia="Calibri"/>
        </w:rPr>
        <w:t xml:space="preserve"> в більш безпечні регіони, де відновила діяльність. В окремих випадках підприємці продовжують здійснювати діяльність на </w:t>
      </w:r>
      <w:r w:rsidR="00116318">
        <w:rPr>
          <w:rFonts w:eastAsia="Calibri"/>
        </w:rPr>
        <w:t>тимчасово</w:t>
      </w:r>
      <w:r w:rsidR="00116318" w:rsidRPr="00355733">
        <w:rPr>
          <w:rFonts w:eastAsia="Calibri"/>
        </w:rPr>
        <w:t xml:space="preserve"> </w:t>
      </w:r>
      <w:r w:rsidRPr="00355733">
        <w:rPr>
          <w:rFonts w:eastAsia="Calibri"/>
        </w:rPr>
        <w:t xml:space="preserve">окупованих </w:t>
      </w:r>
      <w:proofErr w:type="spellStart"/>
      <w:r w:rsidRPr="00355733">
        <w:rPr>
          <w:rFonts w:eastAsia="Calibri"/>
        </w:rPr>
        <w:t>теріторіях</w:t>
      </w:r>
      <w:proofErr w:type="spellEnd"/>
      <w:r w:rsidR="00116318">
        <w:rPr>
          <w:rFonts w:eastAsia="Calibri"/>
        </w:rPr>
        <w:t xml:space="preserve"> Луганської області</w:t>
      </w:r>
      <w:r w:rsidRPr="00355733">
        <w:rPr>
          <w:rFonts w:eastAsia="Calibri"/>
        </w:rPr>
        <w:t>.</w:t>
      </w:r>
    </w:p>
    <w:p w:rsidR="00AC499C" w:rsidRPr="00355733" w:rsidRDefault="00AC499C" w:rsidP="00AC499C">
      <w:pPr>
        <w:ind w:firstLine="851"/>
        <w:rPr>
          <w:rFonts w:eastAsia="Calibri"/>
        </w:rPr>
      </w:pPr>
    </w:p>
    <w:p w:rsidR="00AC499C" w:rsidRPr="00355733" w:rsidRDefault="00AC499C" w:rsidP="00AC499C">
      <w:pPr>
        <w:ind w:firstLine="851"/>
        <w:rPr>
          <w:rFonts w:eastAsia="Calibri"/>
        </w:rPr>
      </w:pPr>
      <w:r w:rsidRPr="00355733">
        <w:rPr>
          <w:rFonts w:eastAsia="Calibri"/>
        </w:rPr>
        <w:t xml:space="preserve">Втрата переважної більшості представників малого та середнього бізнесу через бойові дії та </w:t>
      </w:r>
      <w:r w:rsidR="00B745A6">
        <w:rPr>
          <w:rFonts w:eastAsia="Calibri"/>
        </w:rPr>
        <w:t>тимчасову</w:t>
      </w:r>
      <w:r w:rsidR="00B745A6" w:rsidRPr="00355733">
        <w:rPr>
          <w:rFonts w:eastAsia="Calibri"/>
        </w:rPr>
        <w:t xml:space="preserve"> </w:t>
      </w:r>
      <w:r w:rsidRPr="00355733">
        <w:rPr>
          <w:rFonts w:eastAsia="Calibri"/>
        </w:rPr>
        <w:t xml:space="preserve">окупацію має </w:t>
      </w:r>
      <w:r w:rsidR="00B745A6">
        <w:rPr>
          <w:rFonts w:eastAsia="Calibri"/>
        </w:rPr>
        <w:t>загрозу</w:t>
      </w:r>
      <w:r w:rsidRPr="00355733">
        <w:rPr>
          <w:rFonts w:eastAsia="Calibri"/>
        </w:rPr>
        <w:t xml:space="preserve"> призвести до серйозних наслідків для Сєвєродонецької </w:t>
      </w:r>
      <w:r w:rsidR="00B745A6">
        <w:rPr>
          <w:rFonts w:eastAsia="Calibri"/>
        </w:rPr>
        <w:t xml:space="preserve">міської територіальної </w:t>
      </w:r>
      <w:r w:rsidRPr="00355733">
        <w:rPr>
          <w:rFonts w:eastAsia="Calibri"/>
        </w:rPr>
        <w:t xml:space="preserve">громади. </w:t>
      </w:r>
      <w:r w:rsidRPr="00355733">
        <w:rPr>
          <w:rFonts w:eastAsia="Calibri"/>
        </w:rPr>
        <w:lastRenderedPageBreak/>
        <w:t>Основні виклики, які можуть виникнути, полягають у економічній вразливості, загрозі занепаду та втраті робочих місць.</w:t>
      </w:r>
    </w:p>
    <w:p w:rsidR="00AC499C" w:rsidRPr="00355733" w:rsidRDefault="00AC499C" w:rsidP="00AC499C">
      <w:pPr>
        <w:ind w:firstLine="851"/>
        <w:rPr>
          <w:rFonts w:eastAsia="Calibri"/>
        </w:rPr>
      </w:pPr>
    </w:p>
    <w:p w:rsidR="00AC499C" w:rsidRPr="00355733" w:rsidRDefault="00AC499C" w:rsidP="00AC499C">
      <w:pPr>
        <w:ind w:firstLine="851"/>
        <w:rPr>
          <w:rFonts w:eastAsia="Calibri"/>
        </w:rPr>
      </w:pPr>
      <w:r w:rsidRPr="00355733">
        <w:rPr>
          <w:rFonts w:eastAsia="Calibri"/>
        </w:rPr>
        <w:t xml:space="preserve">Однак після </w:t>
      </w:r>
      <w:proofErr w:type="spellStart"/>
      <w:r w:rsidRPr="00355733">
        <w:rPr>
          <w:rFonts w:eastAsia="Calibri"/>
        </w:rPr>
        <w:t>деокупації</w:t>
      </w:r>
      <w:proofErr w:type="spellEnd"/>
      <w:r w:rsidRPr="00355733">
        <w:rPr>
          <w:rFonts w:eastAsia="Calibri"/>
        </w:rPr>
        <w:t xml:space="preserve"> </w:t>
      </w:r>
      <w:r w:rsidR="00981740">
        <w:rPr>
          <w:rFonts w:eastAsia="Calibri"/>
        </w:rPr>
        <w:t xml:space="preserve">територій </w:t>
      </w:r>
      <w:r w:rsidRPr="00355733">
        <w:rPr>
          <w:rFonts w:eastAsia="Calibri"/>
        </w:rPr>
        <w:t xml:space="preserve">виникає можливість для позитивного перетворення ситуації. Повернення підприємців може бути обумовлене емоційним зв'язком з рідним містом, бажанням сприяти його відновленню та розвитку. Крім того, можливе відновлення попиту на товари та послуги, що може створити нові можливості для бізнесу. Підтримка від </w:t>
      </w:r>
      <w:r w:rsidR="00A60066">
        <w:rPr>
          <w:rFonts w:eastAsia="Calibri"/>
        </w:rPr>
        <w:t>органів влади</w:t>
      </w:r>
      <w:r w:rsidRPr="00355733">
        <w:rPr>
          <w:rFonts w:eastAsia="Calibri"/>
        </w:rPr>
        <w:t>, місцевої громади та міжнародних партнерів може стати додатковим стимулом для підприємців. Фінансова допомога, податкові пільги та консультаційна підтримка можуть сприяти поверненню та відновленню бізнесу. Нарешті, підприємці можуть бачити стратегічний потенціал у відновленні та розвитку свого міста. Позитивні зміни в інфраструктурі, підвищення попиту та нові можливості для розвитку можуть стимулювати їх повернутися та допомогти відновити промислову базу та економіку громади походження.</w:t>
      </w:r>
    </w:p>
    <w:p w:rsidR="00AC499C" w:rsidRPr="00355733" w:rsidRDefault="00AC499C" w:rsidP="00AC499C">
      <w:pPr>
        <w:ind w:firstLine="851"/>
        <w:rPr>
          <w:rFonts w:eastAsia="Calibri"/>
        </w:rPr>
      </w:pPr>
    </w:p>
    <w:p w:rsidR="00AC499C" w:rsidRPr="00355733" w:rsidRDefault="00AC499C" w:rsidP="00AC499C">
      <w:pPr>
        <w:ind w:firstLine="851"/>
        <w:rPr>
          <w:rFonts w:eastAsia="Calibri"/>
        </w:rPr>
      </w:pPr>
      <w:r w:rsidRPr="00355733">
        <w:rPr>
          <w:rFonts w:eastAsia="Calibri"/>
        </w:rPr>
        <w:t xml:space="preserve">Варто зазначити, що після </w:t>
      </w:r>
      <w:proofErr w:type="spellStart"/>
      <w:r w:rsidRPr="00355733">
        <w:rPr>
          <w:rFonts w:eastAsia="Calibri"/>
        </w:rPr>
        <w:t>деокупації</w:t>
      </w:r>
      <w:proofErr w:type="spellEnd"/>
      <w:r w:rsidRPr="00355733">
        <w:rPr>
          <w:rFonts w:eastAsia="Calibri"/>
        </w:rPr>
        <w:t>, коли територія звільн</w:t>
      </w:r>
      <w:r w:rsidR="00144005">
        <w:rPr>
          <w:rFonts w:eastAsia="Calibri"/>
        </w:rPr>
        <w:t>и</w:t>
      </w:r>
      <w:r w:rsidRPr="00355733">
        <w:rPr>
          <w:rFonts w:eastAsia="Calibri"/>
        </w:rPr>
        <w:t>ться від ворожого впливу і військової окупації, регіон може стати місцем, де буде зосереджена значна кількість воєнних формувань та силових структур. Ця ситуація може виникнути з метою забезпечення стабільності, відновлення правопорядку, захисту населення та національної безпеки. Військові формування можуть бути також залучені для допомоги у відновленні інфраструктури, гуманітарної допомоги та інших аспектів громадського життя. Одним з можливих наслідків зосередження військових та силових структур є вплив на місцевий бізнес. Місцеві підприємства можуть змінити свою спрямованість, зосереджуючись на виробництві та наданні товарів та послуг, які відповідають потребам силових формувань. Це може включати постачання спеціального обладнання, засобів зв'язку, харчування, транспорту та іншого, необхідного для їх діяльності.</w:t>
      </w:r>
    </w:p>
    <w:p w:rsidR="00AC499C" w:rsidRDefault="00AC499C" w:rsidP="00AC499C">
      <w:pPr>
        <w:rPr>
          <w:rFonts w:eastAsia="Arial"/>
          <w:b/>
          <w:color w:val="002060"/>
        </w:rPr>
      </w:pPr>
    </w:p>
    <w:p w:rsidR="00AC499C" w:rsidRPr="00E95FB1" w:rsidRDefault="00AC499C" w:rsidP="00AC499C">
      <w:pPr>
        <w:ind w:firstLine="567"/>
        <w:rPr>
          <w:rFonts w:eastAsia="Arial"/>
          <w:b/>
          <w:color w:val="002060"/>
        </w:rPr>
      </w:pPr>
      <w:r w:rsidRPr="00E95FB1">
        <w:rPr>
          <w:rFonts w:eastAsia="Arial"/>
          <w:b/>
          <w:color w:val="002060"/>
        </w:rPr>
        <w:t xml:space="preserve">Досвід співпраці з міжнародними </w:t>
      </w:r>
      <w:proofErr w:type="spellStart"/>
      <w:r w:rsidRPr="00E95FB1">
        <w:rPr>
          <w:rFonts w:eastAsia="Arial"/>
          <w:b/>
          <w:color w:val="002060"/>
        </w:rPr>
        <w:t>про</w:t>
      </w:r>
      <w:r w:rsidR="00144005">
        <w:rPr>
          <w:rFonts w:eastAsia="Arial"/>
          <w:b/>
          <w:color w:val="002060"/>
        </w:rPr>
        <w:t>є</w:t>
      </w:r>
      <w:r w:rsidRPr="00E95FB1">
        <w:rPr>
          <w:rFonts w:eastAsia="Arial"/>
          <w:b/>
          <w:color w:val="002060"/>
        </w:rPr>
        <w:t>ктами</w:t>
      </w:r>
      <w:proofErr w:type="spellEnd"/>
    </w:p>
    <w:p w:rsidR="00AC499C" w:rsidRPr="00E95FB1" w:rsidRDefault="00AC499C" w:rsidP="00AC499C"/>
    <w:p w:rsidR="00AC499C" w:rsidRDefault="00AC499C" w:rsidP="00AC499C">
      <w:pPr>
        <w:ind w:firstLine="851"/>
      </w:pPr>
      <w:r w:rsidRPr="00E95FB1">
        <w:t xml:space="preserve">Сєвєродонецька </w:t>
      </w:r>
      <w:r w:rsidR="00ED1124">
        <w:t>міська територіальна</w:t>
      </w:r>
      <w:r w:rsidR="00ED1124" w:rsidRPr="00E95FB1">
        <w:t xml:space="preserve"> </w:t>
      </w:r>
      <w:r w:rsidRPr="00E95FB1">
        <w:t>громада має успішний досвід співпраці з міжнародними партнерами.</w:t>
      </w:r>
    </w:p>
    <w:p w:rsidR="00AC499C" w:rsidRPr="00E95FB1" w:rsidRDefault="00AC499C" w:rsidP="00AC499C">
      <w:pPr>
        <w:ind w:firstLine="851"/>
      </w:pPr>
    </w:p>
    <w:p w:rsidR="00AC499C" w:rsidRDefault="00AC499C" w:rsidP="00AC499C">
      <w:pPr>
        <w:ind w:firstLine="708"/>
        <w:rPr>
          <w:bCs/>
        </w:rPr>
      </w:pPr>
      <w:r w:rsidRPr="00E95FB1">
        <w:t xml:space="preserve">Прикладом є успішний досвід роботи з </w:t>
      </w:r>
      <w:proofErr w:type="spellStart"/>
      <w:r w:rsidRPr="00E95FB1">
        <w:t>про</w:t>
      </w:r>
      <w:r w:rsidR="00401B6A">
        <w:t>є</w:t>
      </w:r>
      <w:r w:rsidRPr="00E95FB1">
        <w:t>ктом</w:t>
      </w:r>
      <w:proofErr w:type="spellEnd"/>
      <w:r w:rsidRPr="00E95FB1">
        <w:t xml:space="preserve"> «Енергоефективність у громадах ІІ», де Сєвєродонецьк виступав в якості міста - ментора. В рамках цього проекту, який реалізується компанією «</w:t>
      </w:r>
      <w:proofErr w:type="spellStart"/>
      <w:r w:rsidRPr="00E95FB1">
        <w:t>Deutsche</w:t>
      </w:r>
      <w:proofErr w:type="spellEnd"/>
      <w:r w:rsidRPr="00E95FB1">
        <w:t xml:space="preserve"> </w:t>
      </w:r>
      <w:proofErr w:type="spellStart"/>
      <w:r w:rsidRPr="00E95FB1">
        <w:t>Gesellschaft</w:t>
      </w:r>
      <w:proofErr w:type="spellEnd"/>
      <w:r w:rsidRPr="00E95FB1">
        <w:t xml:space="preserve"> </w:t>
      </w:r>
      <w:proofErr w:type="spellStart"/>
      <w:r w:rsidRPr="00E95FB1">
        <w:t>für</w:t>
      </w:r>
      <w:proofErr w:type="spellEnd"/>
      <w:r w:rsidRPr="00E95FB1">
        <w:t xml:space="preserve"> </w:t>
      </w:r>
      <w:proofErr w:type="spellStart"/>
      <w:r w:rsidRPr="00E95FB1">
        <w:t>Internationale</w:t>
      </w:r>
      <w:proofErr w:type="spellEnd"/>
      <w:r w:rsidRPr="00E95FB1">
        <w:t xml:space="preserve"> </w:t>
      </w:r>
      <w:proofErr w:type="spellStart"/>
      <w:r w:rsidRPr="00E95FB1">
        <w:t>Zusammenarbeit</w:t>
      </w:r>
      <w:proofErr w:type="spellEnd"/>
      <w:r w:rsidRPr="00E95FB1">
        <w:t xml:space="preserve"> (GIZ) </w:t>
      </w:r>
      <w:proofErr w:type="spellStart"/>
      <w:r w:rsidRPr="00E95FB1">
        <w:t>GmbH</w:t>
      </w:r>
      <w:proofErr w:type="spellEnd"/>
      <w:r w:rsidRPr="00E95FB1">
        <w:t xml:space="preserve">» за дорученням Федерального міністерства економічного співробітництва та розвитку Німеччини (BMZ), для партнерів </w:t>
      </w:r>
      <w:proofErr w:type="spellStart"/>
      <w:r w:rsidRPr="00E95FB1">
        <w:t>про</w:t>
      </w:r>
      <w:r w:rsidR="00401B6A">
        <w:t>є</w:t>
      </w:r>
      <w:r w:rsidRPr="00E95FB1">
        <w:t>кту</w:t>
      </w:r>
      <w:proofErr w:type="spellEnd"/>
      <w:r w:rsidRPr="00E95FB1">
        <w:t xml:space="preserve"> передбачено Механізм підтримки послуг з енергоефективності для громадських будівель, а саме надання фінансової підтримки на здійснення різних видів </w:t>
      </w:r>
      <w:proofErr w:type="spellStart"/>
      <w:r w:rsidRPr="00E95FB1">
        <w:t>енергоаудитів</w:t>
      </w:r>
      <w:proofErr w:type="spellEnd"/>
      <w:r w:rsidRPr="00E95FB1">
        <w:t xml:space="preserve"> (експрес, детальний чи </w:t>
      </w:r>
      <w:r w:rsidRPr="00E95FB1">
        <w:lastRenderedPageBreak/>
        <w:t xml:space="preserve">інвестиційний); аналізу економічної доцільності проведення заходів з підвищення енергоефективності; впровадження он-лайн системи </w:t>
      </w:r>
      <w:proofErr w:type="spellStart"/>
      <w:r w:rsidRPr="00E95FB1">
        <w:t>енергомоніторингу</w:t>
      </w:r>
      <w:proofErr w:type="spellEnd"/>
      <w:r w:rsidRPr="00E95FB1">
        <w:t xml:space="preserve">; розробка </w:t>
      </w:r>
      <w:proofErr w:type="spellStart"/>
      <w:r w:rsidRPr="00E95FB1">
        <w:t>про</w:t>
      </w:r>
      <w:r w:rsidR="00401B6A">
        <w:t>є</w:t>
      </w:r>
      <w:r w:rsidRPr="00E95FB1">
        <w:t>ктної</w:t>
      </w:r>
      <w:proofErr w:type="spellEnd"/>
      <w:r w:rsidRPr="00E95FB1">
        <w:t xml:space="preserve"> документації для заходів зі зменшення потреб в енергії, </w:t>
      </w:r>
      <w:proofErr w:type="spellStart"/>
      <w:r w:rsidRPr="00E95FB1">
        <w:t>термомодернізації</w:t>
      </w:r>
      <w:proofErr w:type="spellEnd"/>
      <w:r w:rsidRPr="00E95FB1">
        <w:t>, встановлення ІТП; інші консультаційні послуги, які спрямовані на підвищення енергоефективності громадських будівель.</w:t>
      </w:r>
      <w:r w:rsidRPr="00E95FB1">
        <w:rPr>
          <w:b/>
          <w:bCs/>
        </w:rPr>
        <w:t xml:space="preserve"> </w:t>
      </w:r>
      <w:r w:rsidRPr="00E95FB1">
        <w:rPr>
          <w:bCs/>
        </w:rPr>
        <w:t>Залучено</w:t>
      </w:r>
      <w:r w:rsidRPr="00E95FB1">
        <w:rPr>
          <w:b/>
          <w:bCs/>
        </w:rPr>
        <w:t xml:space="preserve"> </w:t>
      </w:r>
      <w:r w:rsidRPr="00E95FB1">
        <w:rPr>
          <w:bCs/>
        </w:rPr>
        <w:t>2,0 тис. євро на проведення повних енергоефективних аудитів в бюджетній сфері.</w:t>
      </w:r>
    </w:p>
    <w:p w:rsidR="00AC499C" w:rsidRPr="00E95FB1" w:rsidRDefault="00AC499C" w:rsidP="00AC499C">
      <w:pPr>
        <w:ind w:firstLine="708"/>
        <w:rPr>
          <w:bCs/>
        </w:rPr>
      </w:pPr>
    </w:p>
    <w:p w:rsidR="00AC499C" w:rsidRDefault="00AC499C" w:rsidP="00AC499C">
      <w:pPr>
        <w:ind w:firstLine="708"/>
      </w:pPr>
      <w:r w:rsidRPr="00E95FB1">
        <w:t>В рамках приєднання міста Сєвєродонецька до Європейської Ініціативи «Мери за економічне зростання» (M4EG) було розроблено План місцевого економічного розвитку.</w:t>
      </w:r>
    </w:p>
    <w:p w:rsidR="00AC499C" w:rsidRPr="00E95FB1" w:rsidRDefault="00AC499C" w:rsidP="00AC499C">
      <w:pPr>
        <w:ind w:firstLine="708"/>
      </w:pPr>
    </w:p>
    <w:p w:rsidR="00AC499C" w:rsidRDefault="00AC499C" w:rsidP="00AC499C">
      <w:pPr>
        <w:ind w:firstLine="567"/>
        <w:rPr>
          <w:rFonts w:eastAsia="Arial"/>
        </w:rPr>
      </w:pPr>
      <w:r w:rsidRPr="00E95FB1">
        <w:rPr>
          <w:rFonts w:eastAsia="Arial"/>
        </w:rPr>
        <w:t xml:space="preserve">Громада успішно співпрацювала з Агентством США з міжнародного розвитку (USAID) в Донецькій та Луганській областях. Це </w:t>
      </w:r>
      <w:proofErr w:type="spellStart"/>
      <w:r w:rsidRPr="00E95FB1">
        <w:rPr>
          <w:rFonts w:eastAsia="Arial"/>
        </w:rPr>
        <w:t>про</w:t>
      </w:r>
      <w:r w:rsidR="00401B6A">
        <w:rPr>
          <w:rFonts w:eastAsia="Arial"/>
        </w:rPr>
        <w:t>є</w:t>
      </w:r>
      <w:r w:rsidRPr="00E95FB1">
        <w:rPr>
          <w:rFonts w:eastAsia="Arial"/>
        </w:rPr>
        <w:t>кти</w:t>
      </w:r>
      <w:proofErr w:type="spellEnd"/>
      <w:r w:rsidRPr="00E95FB1">
        <w:rPr>
          <w:rFonts w:eastAsia="Arial"/>
        </w:rPr>
        <w:t xml:space="preserve"> «Економічна підтримка Східної України» та «Демократичне врядування у Східній Україні».</w:t>
      </w:r>
    </w:p>
    <w:p w:rsidR="00AC499C" w:rsidRPr="00E95FB1" w:rsidRDefault="00AC499C" w:rsidP="00AC499C">
      <w:pPr>
        <w:ind w:firstLine="567"/>
        <w:rPr>
          <w:rFonts w:eastAsia="Arial"/>
        </w:rPr>
      </w:pPr>
    </w:p>
    <w:p w:rsidR="00AC499C" w:rsidRDefault="00AC499C" w:rsidP="00AC499C">
      <w:pPr>
        <w:ind w:firstLine="708"/>
      </w:pPr>
      <w:r w:rsidRPr="00E95FB1">
        <w:t xml:space="preserve">У липні 2018 року між польським містом </w:t>
      </w:r>
      <w:proofErr w:type="spellStart"/>
      <w:r w:rsidRPr="00E95FB1">
        <w:t>Єленя</w:t>
      </w:r>
      <w:proofErr w:type="spellEnd"/>
      <w:r w:rsidRPr="00E95FB1">
        <w:t xml:space="preserve"> </w:t>
      </w:r>
      <w:proofErr w:type="spellStart"/>
      <w:r w:rsidRPr="00E95FB1">
        <w:t>Гура</w:t>
      </w:r>
      <w:proofErr w:type="spellEnd"/>
      <w:r w:rsidRPr="00E95FB1">
        <w:t xml:space="preserve"> та містом Сєвєродонецьк Луганської області було підписано Угоду про економічне та культурне співробітництво. Ці міста є містами-побратимами.</w:t>
      </w:r>
    </w:p>
    <w:p w:rsidR="00AC499C" w:rsidRPr="00E95FB1" w:rsidRDefault="00AC499C" w:rsidP="00AC499C">
      <w:pPr>
        <w:ind w:firstLine="708"/>
      </w:pPr>
    </w:p>
    <w:p w:rsidR="00AC499C" w:rsidRDefault="00AC499C" w:rsidP="00AC499C">
      <w:pPr>
        <w:ind w:firstLine="851"/>
        <w:rPr>
          <w:highlight w:val="white"/>
        </w:rPr>
      </w:pPr>
      <w:r w:rsidRPr="00E95FB1">
        <w:rPr>
          <w:highlight w:val="white"/>
        </w:rPr>
        <w:t>З 2021 року в Сєвєродонецькій міській територіальній громаді діє спеціалізоване агентство із залучення інвестицій та обслуговування інвесторів КП «Сєвєродонецьке агентство інвестицій та розвитку», яке</w:t>
      </w:r>
      <w:r w:rsidRPr="00E95FB1">
        <w:rPr>
          <w:b/>
          <w:highlight w:val="white"/>
        </w:rPr>
        <w:t xml:space="preserve"> </w:t>
      </w:r>
      <w:r w:rsidRPr="00E95FB1">
        <w:t xml:space="preserve">працює за принципом «єдиного вікна» для інвесторів, що полегшує процес їх входження до бізнесового середовища громади, а також </w:t>
      </w:r>
      <w:r w:rsidRPr="00E95FB1">
        <w:rPr>
          <w:highlight w:val="white"/>
        </w:rPr>
        <w:t xml:space="preserve">є «точкою контактів» для налагодження </w:t>
      </w:r>
      <w:proofErr w:type="spellStart"/>
      <w:r w:rsidRPr="00E95FB1">
        <w:rPr>
          <w:highlight w:val="white"/>
        </w:rPr>
        <w:t>зв’язків</w:t>
      </w:r>
      <w:proofErr w:type="spellEnd"/>
      <w:r w:rsidRPr="00E95FB1">
        <w:rPr>
          <w:highlight w:val="white"/>
        </w:rPr>
        <w:t xml:space="preserve"> інвесторів з органами влади, ОСББ територіальної громади.  Агентство  забезпечує супровід інвесторів на всіх етапах підготовки та реалізації деяких </w:t>
      </w:r>
      <w:proofErr w:type="spellStart"/>
      <w:r w:rsidRPr="00E95FB1">
        <w:rPr>
          <w:highlight w:val="white"/>
        </w:rPr>
        <w:t>про</w:t>
      </w:r>
      <w:r w:rsidR="00B82030">
        <w:rPr>
          <w:highlight w:val="white"/>
        </w:rPr>
        <w:t>є</w:t>
      </w:r>
      <w:r w:rsidRPr="00E95FB1">
        <w:rPr>
          <w:highlight w:val="white"/>
        </w:rPr>
        <w:t>ктів</w:t>
      </w:r>
      <w:proofErr w:type="spellEnd"/>
      <w:r w:rsidRPr="00E95FB1">
        <w:rPr>
          <w:highlight w:val="white"/>
        </w:rPr>
        <w:t>, тісно співпрацює з міжнародними партнерами для надання інвесторам ключової інформації, необхідної для прийняття рішень.</w:t>
      </w:r>
    </w:p>
    <w:p w:rsidR="00AC499C" w:rsidRPr="00E95FB1" w:rsidRDefault="00AC499C" w:rsidP="00AC499C">
      <w:pPr>
        <w:ind w:firstLine="851"/>
        <w:rPr>
          <w:highlight w:val="white"/>
        </w:rPr>
      </w:pPr>
    </w:p>
    <w:p w:rsidR="00AC499C" w:rsidRDefault="00AC499C" w:rsidP="00AC499C">
      <w:pPr>
        <w:ind w:left="1" w:firstLine="850"/>
      </w:pPr>
      <w:r w:rsidRPr="00E95FB1">
        <w:t xml:space="preserve">В 2021 році реалізувався </w:t>
      </w:r>
      <w:proofErr w:type="spellStart"/>
      <w:r w:rsidRPr="00E95FB1">
        <w:t>проєкт</w:t>
      </w:r>
      <w:proofErr w:type="spellEnd"/>
      <w:r w:rsidRPr="00E95FB1">
        <w:t xml:space="preserve"> «Сприяння розвитку соціальної інфраструктури, УФСІ VI» (далі - </w:t>
      </w:r>
      <w:proofErr w:type="spellStart"/>
      <w:r w:rsidRPr="00E95FB1">
        <w:t>Проєкт</w:t>
      </w:r>
      <w:proofErr w:type="spellEnd"/>
      <w:r w:rsidRPr="00E95FB1">
        <w:t xml:space="preserve">), який фінансувався Урядом Федеративної Республіки Німеччини через Німецький банк розвитку </w:t>
      </w:r>
      <w:proofErr w:type="spellStart"/>
      <w:r w:rsidRPr="00E95FB1">
        <w:t>KfW</w:t>
      </w:r>
      <w:proofErr w:type="spellEnd"/>
      <w:r w:rsidRPr="00E95FB1">
        <w:t xml:space="preserve">. Основною метою </w:t>
      </w:r>
      <w:proofErr w:type="spellStart"/>
      <w:r w:rsidRPr="00E95FB1">
        <w:t>Проєкту</w:t>
      </w:r>
      <w:proofErr w:type="spellEnd"/>
      <w:r w:rsidRPr="00E95FB1">
        <w:t xml:space="preserve"> є підтримка інфраструктурних заходів в українських громадах з високою часткою ВПО шляхом створення для них житла та ремонту об’єктів соціальної сфери, таких як школи та дитячі садки.   </w:t>
      </w:r>
      <w:proofErr w:type="spellStart"/>
      <w:r w:rsidR="00F97437">
        <w:rPr>
          <w:lang w:val="ru-RU"/>
        </w:rPr>
        <w:t>Отже</w:t>
      </w:r>
      <w:proofErr w:type="spellEnd"/>
      <w:r w:rsidR="00F97437">
        <w:rPr>
          <w:lang w:val="ru-RU"/>
        </w:rPr>
        <w:t>,</w:t>
      </w:r>
      <w:r w:rsidRPr="00E95FB1">
        <w:t xml:space="preserve"> 19 сімей ВПО отримали житло для поліпшення своїх житлових умов в м. Сєвєродонецьк за </w:t>
      </w:r>
      <w:proofErr w:type="spellStart"/>
      <w:r w:rsidRPr="00E95FB1">
        <w:t>адресою</w:t>
      </w:r>
      <w:proofErr w:type="spellEnd"/>
      <w:r w:rsidRPr="00E95FB1">
        <w:t xml:space="preserve"> пр. Космонавтів, 18-а.</w:t>
      </w:r>
    </w:p>
    <w:p w:rsidR="00AC499C" w:rsidRPr="00E95FB1" w:rsidRDefault="00AC499C" w:rsidP="00AC499C">
      <w:pPr>
        <w:ind w:left="1" w:firstLine="850"/>
      </w:pPr>
    </w:p>
    <w:p w:rsidR="00AC499C" w:rsidRDefault="00AC499C" w:rsidP="00AC499C">
      <w:pPr>
        <w:ind w:firstLine="567"/>
      </w:pPr>
      <w:r w:rsidRPr="00E95FB1">
        <w:t xml:space="preserve">Триває співробітництво з Міжнародною організацією з міграції (МОМ) по реалізації </w:t>
      </w:r>
      <w:proofErr w:type="spellStart"/>
      <w:r w:rsidRPr="00E95FB1">
        <w:t>проєкту</w:t>
      </w:r>
      <w:proofErr w:type="spellEnd"/>
      <w:r w:rsidRPr="00E95FB1">
        <w:t xml:space="preserve"> «Житло для внутрішньо переміщених осіб» по забезпеченню житлом ВПО, фінансування якого може реалізовуватись за підтримки </w:t>
      </w:r>
      <w:r w:rsidRPr="00E95FB1">
        <w:lastRenderedPageBreak/>
        <w:t>Кредитної установи для відбудови (</w:t>
      </w:r>
      <w:proofErr w:type="spellStart"/>
      <w:r w:rsidRPr="00E95FB1">
        <w:t>KfW</w:t>
      </w:r>
      <w:proofErr w:type="spellEnd"/>
      <w:r w:rsidRPr="00E95FB1">
        <w:t>). Підписано Меморандум про співпрацю з Міністерством з питань реінтеграції тимчасово окупованих територій України, Міською радою Краматорська та Сєвєродонецькою міською військово-цивільною адміністрацією.</w:t>
      </w:r>
    </w:p>
    <w:p w:rsidR="00AC499C" w:rsidRPr="00E95FB1" w:rsidRDefault="00AC499C" w:rsidP="00AC499C">
      <w:pPr>
        <w:ind w:firstLine="567"/>
      </w:pPr>
    </w:p>
    <w:p w:rsidR="00AC499C" w:rsidRDefault="00AC499C" w:rsidP="00AC499C">
      <w:pPr>
        <w:ind w:firstLine="567"/>
      </w:pPr>
      <w:r w:rsidRPr="00E95FB1">
        <w:t xml:space="preserve">У 2021 році Сєвєродонецька міська територіальна громада була відібрана для участі у </w:t>
      </w:r>
      <w:proofErr w:type="spellStart"/>
      <w:r w:rsidRPr="00E95FB1">
        <w:t>проєкті</w:t>
      </w:r>
      <w:proofErr w:type="spellEnd"/>
      <w:r w:rsidRPr="00E95FB1">
        <w:t xml:space="preserve"> EXСITE програми "Горизонт 2020", який, зокрема, передбачає впровадження системи сертифікації муніципалітетів «Європейська Енергетична Відзнака». Сєвєродонецька міська територіальна громада давно співпрацює з командою Асоціації </w:t>
      </w:r>
      <w:r w:rsidR="00D6390A">
        <w:t>«</w:t>
      </w:r>
      <w:r w:rsidRPr="00E95FB1">
        <w:t>Енергоефективні міста України</w:t>
      </w:r>
      <w:r w:rsidR="00D6390A">
        <w:t>»</w:t>
      </w:r>
      <w:r w:rsidRPr="00E95FB1">
        <w:t xml:space="preserve">, яка в цьому </w:t>
      </w:r>
      <w:proofErr w:type="spellStart"/>
      <w:r w:rsidRPr="00E95FB1">
        <w:t>проєкті</w:t>
      </w:r>
      <w:proofErr w:type="spellEnd"/>
      <w:r w:rsidRPr="00E95FB1">
        <w:t xml:space="preserve"> ще виконує функції національного офісу Європейської Енергетичної Відзнаки.</w:t>
      </w:r>
    </w:p>
    <w:p w:rsidR="00AC499C" w:rsidRPr="00E95FB1" w:rsidRDefault="00AC499C" w:rsidP="00AC499C">
      <w:pPr>
        <w:ind w:firstLine="567"/>
      </w:pPr>
    </w:p>
    <w:p w:rsidR="00AC499C" w:rsidRDefault="00AC499C" w:rsidP="00AC499C">
      <w:pPr>
        <w:tabs>
          <w:tab w:val="left" w:pos="0"/>
        </w:tabs>
        <w:ind w:firstLine="851"/>
        <w:rPr>
          <w:b/>
        </w:rPr>
      </w:pPr>
      <w:r w:rsidRPr="00E95FB1">
        <w:t xml:space="preserve">Також в 2021 році був розроблений та представлений громадськості  унікальний бренд Сєвєродонецької міської територіальної громади. Бренд розроблявся за </w:t>
      </w:r>
      <w:proofErr w:type="spellStart"/>
      <w:r w:rsidRPr="00E95FB1">
        <w:t>підтримк</w:t>
      </w:r>
      <w:proofErr w:type="spellEnd"/>
      <w:r w:rsidR="00510C04">
        <w:rPr>
          <w:lang w:val="ru-RU"/>
        </w:rPr>
        <w:t>и</w:t>
      </w:r>
      <w:r w:rsidRPr="00E95FB1">
        <w:t xml:space="preserve"> Програми розвитку ООН з відновлення та розбудови миру та за підтримк</w:t>
      </w:r>
      <w:r w:rsidR="00510C04">
        <w:t>и</w:t>
      </w:r>
      <w:r w:rsidRPr="00E95FB1">
        <w:t xml:space="preserve"> </w:t>
      </w:r>
      <w:proofErr w:type="spellStart"/>
      <w:r w:rsidRPr="00E95FB1">
        <w:t>проєкту</w:t>
      </w:r>
      <w:proofErr w:type="spellEnd"/>
      <w:r w:rsidRPr="00E95FB1">
        <w:rPr>
          <w:b/>
        </w:rPr>
        <w:t xml:space="preserve"> </w:t>
      </w:r>
      <w:proofErr w:type="spellStart"/>
      <w:r w:rsidRPr="00E95FB1">
        <w:t>Brandville</w:t>
      </w:r>
      <w:proofErr w:type="spellEnd"/>
      <w:r w:rsidRPr="00E95FB1">
        <w:t xml:space="preserve">.  Це був соціальний </w:t>
      </w:r>
      <w:proofErr w:type="spellStart"/>
      <w:r w:rsidRPr="00E95FB1">
        <w:t>проєкт</w:t>
      </w:r>
      <w:proofErr w:type="spellEnd"/>
      <w:r w:rsidRPr="00E95FB1">
        <w:t xml:space="preserve"> студії дизайну </w:t>
      </w:r>
      <w:proofErr w:type="spellStart"/>
      <w:r w:rsidRPr="00E95FB1">
        <w:t>Logogo</w:t>
      </w:r>
      <w:proofErr w:type="spellEnd"/>
      <w:r w:rsidRPr="00E95FB1">
        <w:t xml:space="preserve"> та </w:t>
      </w:r>
      <w:proofErr w:type="spellStart"/>
      <w:r w:rsidRPr="00E95FB1">
        <w:t>Congress</w:t>
      </w:r>
      <w:proofErr w:type="spellEnd"/>
      <w:r w:rsidRPr="00E95FB1">
        <w:t xml:space="preserve"> </w:t>
      </w:r>
      <w:proofErr w:type="spellStart"/>
      <w:r w:rsidRPr="00E95FB1">
        <w:t>of</w:t>
      </w:r>
      <w:proofErr w:type="spellEnd"/>
      <w:r w:rsidRPr="00E95FB1">
        <w:t xml:space="preserve"> </w:t>
      </w:r>
      <w:proofErr w:type="spellStart"/>
      <w:r w:rsidRPr="00E95FB1">
        <w:t>Cultural</w:t>
      </w:r>
      <w:proofErr w:type="spellEnd"/>
      <w:r w:rsidRPr="00E95FB1">
        <w:t xml:space="preserve"> </w:t>
      </w:r>
      <w:proofErr w:type="spellStart"/>
      <w:r w:rsidRPr="00E95FB1">
        <w:t>Activists</w:t>
      </w:r>
      <w:proofErr w:type="spellEnd"/>
      <w:r w:rsidRPr="00E95FB1">
        <w:t xml:space="preserve">, спрямований на покращення візуального іміджу українських громад. </w:t>
      </w:r>
      <w:r w:rsidRPr="00E95FB1">
        <w:rPr>
          <w:b/>
        </w:rPr>
        <w:t xml:space="preserve"> </w:t>
      </w:r>
    </w:p>
    <w:p w:rsidR="00AC499C" w:rsidRPr="00E95FB1" w:rsidRDefault="00AC499C" w:rsidP="00AC499C">
      <w:pPr>
        <w:tabs>
          <w:tab w:val="left" w:pos="0"/>
        </w:tabs>
        <w:ind w:firstLine="851"/>
      </w:pPr>
    </w:p>
    <w:p w:rsidR="00AC499C" w:rsidRDefault="00AC499C" w:rsidP="00AC499C">
      <w:pPr>
        <w:ind w:firstLine="708"/>
      </w:pPr>
      <w:r w:rsidRPr="00E95FB1">
        <w:t xml:space="preserve">У січні 2022 року </w:t>
      </w:r>
      <w:r w:rsidRPr="00E95FB1">
        <w:rPr>
          <w:rFonts w:eastAsia="Calibri"/>
          <w:lang w:eastAsia="en-US"/>
        </w:rPr>
        <w:t xml:space="preserve">між Сєвєродонецькою міською військово-цивільною адміністрацією Сєвєродонецького району Луганської області Держави Україна та </w:t>
      </w:r>
      <w:proofErr w:type="spellStart"/>
      <w:r w:rsidRPr="00E95FB1">
        <w:rPr>
          <w:rFonts w:eastAsia="Calibri"/>
          <w:lang w:eastAsia="en-US"/>
        </w:rPr>
        <w:t>Вількавішкіським</w:t>
      </w:r>
      <w:proofErr w:type="spellEnd"/>
      <w:r w:rsidRPr="00E95FB1">
        <w:rPr>
          <w:rFonts w:eastAsia="Calibri"/>
          <w:lang w:eastAsia="en-US"/>
        </w:rPr>
        <w:t xml:space="preserve"> районним муніципалітетом Литовської Республіки </w:t>
      </w:r>
      <w:r w:rsidRPr="00E95FB1">
        <w:t>було підписано Угоду про економічне та культурне співробітництво.</w:t>
      </w:r>
    </w:p>
    <w:p w:rsidR="00AC499C" w:rsidRDefault="00AC499C" w:rsidP="00AC499C">
      <w:pPr>
        <w:ind w:firstLine="708"/>
      </w:pPr>
    </w:p>
    <w:p w:rsidR="00AC499C" w:rsidRPr="00E95FB1" w:rsidRDefault="00AC499C" w:rsidP="00AC499C">
      <w:pPr>
        <w:ind w:firstLine="708"/>
      </w:pPr>
      <w:r w:rsidRPr="00355733">
        <w:t xml:space="preserve">Крім того, значний досвід співпраці з міжнародними програмами мають інститути громадянського суспільства Сєвєродонецької </w:t>
      </w:r>
      <w:r w:rsidR="007802E8">
        <w:t xml:space="preserve">міської територіальної </w:t>
      </w:r>
      <w:r w:rsidRPr="00355733">
        <w:t>громади.</w:t>
      </w:r>
      <w:r>
        <w:t xml:space="preserve"> </w:t>
      </w:r>
    </w:p>
    <w:p w:rsidR="00AC499C" w:rsidRDefault="00AC499C" w:rsidP="00AC499C"/>
    <w:p w:rsidR="00EF084D" w:rsidRDefault="00EF084D" w:rsidP="00EF084D">
      <w:pPr>
        <w:ind w:firstLine="708"/>
        <w:rPr>
          <w:b/>
          <w:color w:val="002060"/>
        </w:rPr>
      </w:pPr>
      <w:r>
        <w:rPr>
          <w:b/>
          <w:color w:val="002060"/>
        </w:rPr>
        <w:t>Публічність та прозорість бюджетних процесів</w:t>
      </w:r>
    </w:p>
    <w:p w:rsidR="00EF084D" w:rsidRDefault="00EF084D" w:rsidP="00EF084D">
      <w:pPr>
        <w:ind w:firstLine="708"/>
        <w:rPr>
          <w:b/>
          <w:color w:val="002060"/>
        </w:rPr>
      </w:pPr>
    </w:p>
    <w:p w:rsidR="00EF084D" w:rsidRDefault="00EF084D" w:rsidP="00EF084D">
      <w:pPr>
        <w:ind w:firstLine="708"/>
      </w:pPr>
      <w:r w:rsidRPr="00EF084D">
        <w:t xml:space="preserve">Публічність та прозорість бюджетних процесів є ознакою  демократичного розвитку громади. Так, на офіційному сайті Сєвєродонецької міської військової адміністрації   постійно оновлюється актуальними даними розділ «Бюджет»,   щорічно проводяться публічні представлення </w:t>
      </w:r>
      <w:proofErr w:type="spellStart"/>
      <w:r w:rsidRPr="00EF084D">
        <w:t>проєктів</w:t>
      </w:r>
      <w:proofErr w:type="spellEnd"/>
      <w:r w:rsidRPr="00EF084D">
        <w:t xml:space="preserve"> бюджету на наступний рік та звітів за попередній рік. Такі публічні заходи супроводжуються візуалізацією бюджетних показників у вигляді презентацій, доступ до яких постійно зберігається на офіційному сайті Сєвєродонецької міської військової адміністрації. Крім того, регулярними є інформування мешканців щодо стану виконання бюджету протягом року в засобах масової інформації: місцеве та регіональне телебачення, інтернет-медіа, газети, соцмережі тощо. Таким чином, публічність та прозорість дозволяє громадськості  підвищити фінансову грамотність щодо бюджетних процесів, </w:t>
      </w:r>
      <w:r w:rsidRPr="00EF084D">
        <w:lastRenderedPageBreak/>
        <w:t xml:space="preserve">мати розуміння  складності  та альтернатив бюджетних рішень, впливати на органи місцевої влади через представлення та захист інтересів мешканців громади.  Важливо, що органи  </w:t>
      </w:r>
      <w:r w:rsidR="00824F3F">
        <w:t>місцевого самоврядування</w:t>
      </w:r>
      <w:r w:rsidR="00824F3F" w:rsidRPr="00EF084D">
        <w:t xml:space="preserve"> </w:t>
      </w:r>
      <w:r w:rsidRPr="00EF084D">
        <w:t>завдяки цьому мають можливість враховувати громадську думку при прийнятті тих чи інших бюджетних рішень. Все це сприяє досягненню  головної мети  - підвищенню довіри мешканців громади до місцевих органів влади, тому що розуміння дій представників органів влади є передумовою громадської підтримки</w:t>
      </w:r>
      <w:r w:rsidRPr="00E51E3E">
        <w:t>.</w:t>
      </w:r>
    </w:p>
    <w:p w:rsidR="00EF084D" w:rsidRDefault="00EF084D" w:rsidP="00EF084D">
      <w:pPr>
        <w:spacing w:line="360" w:lineRule="auto"/>
        <w:ind w:firstLine="851"/>
      </w:pPr>
    </w:p>
    <w:p w:rsidR="00EF084D" w:rsidRDefault="00EF084D" w:rsidP="00F658E6">
      <w:pPr>
        <w:ind w:firstLine="708"/>
        <w:rPr>
          <w:b/>
          <w:color w:val="002060"/>
        </w:rPr>
      </w:pPr>
      <w:r w:rsidRPr="00F658E6">
        <w:rPr>
          <w:b/>
          <w:color w:val="002060"/>
        </w:rPr>
        <w:t>Громадський бюджет та місцева демократія</w:t>
      </w:r>
    </w:p>
    <w:p w:rsidR="00B82030" w:rsidRPr="00F658E6" w:rsidRDefault="00B82030" w:rsidP="00F658E6">
      <w:pPr>
        <w:ind w:firstLine="708"/>
        <w:rPr>
          <w:b/>
          <w:color w:val="002060"/>
        </w:rPr>
      </w:pPr>
    </w:p>
    <w:p w:rsidR="00EF084D" w:rsidRDefault="00EF084D" w:rsidP="00EF084D">
      <w:pPr>
        <w:ind w:firstLine="708"/>
        <w:rPr>
          <w:b/>
          <w:color w:val="002060"/>
        </w:rPr>
      </w:pPr>
      <w:r w:rsidRPr="00E51E3E">
        <w:t>Сєвєродонецьк</w:t>
      </w:r>
      <w:r>
        <w:t>а міська територіальна громада</w:t>
      </w:r>
      <w:r w:rsidRPr="00E51E3E">
        <w:t xml:space="preserve">  </w:t>
      </w:r>
      <w:r>
        <w:t>постійно</w:t>
      </w:r>
      <w:r w:rsidRPr="00E51E3E">
        <w:t xml:space="preserve"> слідкує за сучасними тенденціями розвитку громад, то ж наразі громада має три повних цикли впровадження громадського бюджету. </w:t>
      </w:r>
      <w:r>
        <w:rPr>
          <w:rFonts w:eastAsia="Calibri"/>
          <w:lang w:eastAsia="uk-UA"/>
        </w:rPr>
        <w:t>Це інструмент</w:t>
      </w:r>
      <w:r w:rsidRPr="00E51E3E">
        <w:rPr>
          <w:rFonts w:eastAsia="Calibri"/>
          <w:lang w:eastAsia="uk-UA"/>
        </w:rPr>
        <w:t xml:space="preserve"> розвитку місцевої демократії за допомогою інформаційно-комунікаційних технологій (електронна демократія), що сприяє розвитку місцевого самоврядування та громадської активності,  через залучення </w:t>
      </w:r>
      <w:r>
        <w:rPr>
          <w:rFonts w:eastAsia="Calibri"/>
          <w:lang w:eastAsia="uk-UA"/>
        </w:rPr>
        <w:t>громади</w:t>
      </w:r>
      <w:r w:rsidRPr="00E51E3E">
        <w:rPr>
          <w:rFonts w:eastAsia="Calibri"/>
          <w:lang w:eastAsia="uk-UA"/>
        </w:rPr>
        <w:t xml:space="preserve"> до участі в бюджетному процесі, а саме надає можливість кожному </w:t>
      </w:r>
      <w:r>
        <w:rPr>
          <w:rFonts w:eastAsia="Calibri"/>
          <w:lang w:eastAsia="uk-UA"/>
        </w:rPr>
        <w:t>мешканцю  Сєвєродонецької міської територіальної громади</w:t>
      </w:r>
      <w:r w:rsidRPr="00E51E3E">
        <w:rPr>
          <w:rFonts w:eastAsia="Calibri"/>
          <w:lang w:eastAsia="uk-UA"/>
        </w:rPr>
        <w:t xml:space="preserve"> брати участь в р</w:t>
      </w:r>
      <w:r>
        <w:rPr>
          <w:rFonts w:eastAsia="Calibri"/>
          <w:lang w:eastAsia="uk-UA"/>
        </w:rPr>
        <w:t>озподілі частини коштів місцевого</w:t>
      </w:r>
      <w:r w:rsidRPr="00E51E3E">
        <w:rPr>
          <w:rFonts w:eastAsia="Calibri"/>
          <w:lang w:eastAsia="uk-UA"/>
        </w:rPr>
        <w:t xml:space="preserve"> бюджету через створен</w:t>
      </w:r>
      <w:r>
        <w:rPr>
          <w:rFonts w:eastAsia="Calibri"/>
          <w:lang w:eastAsia="uk-UA"/>
        </w:rPr>
        <w:t xml:space="preserve">ня </w:t>
      </w:r>
      <w:proofErr w:type="spellStart"/>
      <w:r>
        <w:rPr>
          <w:rFonts w:eastAsia="Calibri"/>
          <w:lang w:eastAsia="uk-UA"/>
        </w:rPr>
        <w:t>про</w:t>
      </w:r>
      <w:r w:rsidR="0068732F">
        <w:rPr>
          <w:rFonts w:eastAsia="Calibri"/>
          <w:lang w:eastAsia="uk-UA"/>
        </w:rPr>
        <w:t>є</w:t>
      </w:r>
      <w:r>
        <w:rPr>
          <w:rFonts w:eastAsia="Calibri"/>
          <w:lang w:eastAsia="uk-UA"/>
        </w:rPr>
        <w:t>ктів</w:t>
      </w:r>
      <w:proofErr w:type="spellEnd"/>
      <w:r>
        <w:rPr>
          <w:rFonts w:eastAsia="Calibri"/>
          <w:lang w:eastAsia="uk-UA"/>
        </w:rPr>
        <w:t xml:space="preserve"> для покращення громади</w:t>
      </w:r>
      <w:r w:rsidRPr="00E51E3E">
        <w:rPr>
          <w:rFonts w:eastAsia="Calibri"/>
          <w:lang w:eastAsia="uk-UA"/>
        </w:rPr>
        <w:t xml:space="preserve"> та/або голосування за них.</w:t>
      </w:r>
      <w:r>
        <w:rPr>
          <w:rFonts w:eastAsia="Calibri"/>
          <w:lang w:eastAsia="uk-UA"/>
        </w:rPr>
        <w:t xml:space="preserve"> Слід зазначити, що за результатами 2021 року громадський бюджет </w:t>
      </w:r>
      <w:proofErr w:type="spellStart"/>
      <w:r w:rsidR="00BD6C61">
        <w:rPr>
          <w:rFonts w:eastAsia="Calibri"/>
          <w:lang w:eastAsia="uk-UA"/>
        </w:rPr>
        <w:t>м.</w:t>
      </w:r>
      <w:r>
        <w:rPr>
          <w:rFonts w:eastAsia="Calibri"/>
          <w:lang w:eastAsia="uk-UA"/>
        </w:rPr>
        <w:t>Сєвєродонецька</w:t>
      </w:r>
      <w:proofErr w:type="spellEnd"/>
      <w:r>
        <w:rPr>
          <w:rFonts w:eastAsia="Calibri"/>
          <w:lang w:eastAsia="uk-UA"/>
        </w:rPr>
        <w:t xml:space="preserve"> став лідером в Україні в залученні мешканців до голосування за </w:t>
      </w:r>
      <w:proofErr w:type="spellStart"/>
      <w:r>
        <w:rPr>
          <w:rFonts w:eastAsia="Calibri"/>
          <w:lang w:eastAsia="uk-UA"/>
        </w:rPr>
        <w:t>проєкти</w:t>
      </w:r>
      <w:proofErr w:type="spellEnd"/>
      <w:r>
        <w:rPr>
          <w:rFonts w:eastAsia="Calibri"/>
          <w:lang w:eastAsia="uk-UA"/>
        </w:rPr>
        <w:t xml:space="preserve"> громадського бюджету. Так, </w:t>
      </w:r>
      <w:proofErr w:type="spellStart"/>
      <w:r>
        <w:rPr>
          <w:rFonts w:eastAsia="Calibri"/>
          <w:lang w:eastAsia="uk-UA"/>
        </w:rPr>
        <w:t>проєкти</w:t>
      </w:r>
      <w:proofErr w:type="spellEnd"/>
      <w:r>
        <w:rPr>
          <w:rFonts w:eastAsia="Calibri"/>
          <w:lang w:eastAsia="uk-UA"/>
        </w:rPr>
        <w:t xml:space="preserve"> громадського бюджету підтримали під час голосування 20 000 мешканців громади, це 17% від загальної кількості мешканців громади. Успіх Сєвєродонецької </w:t>
      </w:r>
      <w:r w:rsidR="00022706">
        <w:rPr>
          <w:rFonts w:eastAsia="Calibri"/>
          <w:lang w:eastAsia="uk-UA"/>
        </w:rPr>
        <w:t xml:space="preserve">міської територіальної </w:t>
      </w:r>
      <w:r>
        <w:rPr>
          <w:rFonts w:eastAsia="Calibri"/>
          <w:lang w:eastAsia="uk-UA"/>
        </w:rPr>
        <w:t xml:space="preserve">громади неодноразово підкреслював міжнародний партнер, що впроваджує   </w:t>
      </w:r>
      <w:proofErr w:type="spellStart"/>
      <w:r>
        <w:rPr>
          <w:rFonts w:eastAsia="Calibri"/>
          <w:lang w:eastAsia="uk-UA"/>
        </w:rPr>
        <w:t>партисипативну</w:t>
      </w:r>
      <w:proofErr w:type="spellEnd"/>
      <w:r>
        <w:rPr>
          <w:rFonts w:eastAsia="Calibri"/>
          <w:lang w:eastAsia="uk-UA"/>
        </w:rPr>
        <w:t xml:space="preserve"> демократію в Україні</w:t>
      </w:r>
      <w:r w:rsidRPr="0073422E">
        <w:rPr>
          <w:rFonts w:eastAsia="Calibri"/>
          <w:lang w:eastAsia="uk-UA"/>
        </w:rPr>
        <w:t xml:space="preserve"> - Програма «Електронне урядування задля підзвітності влади та участі громади» (EGAP)</w:t>
      </w:r>
      <w:r>
        <w:rPr>
          <w:rFonts w:eastAsia="Calibri"/>
          <w:lang w:eastAsia="uk-UA"/>
        </w:rPr>
        <w:t xml:space="preserve">, що </w:t>
      </w:r>
      <w:r w:rsidRPr="0073422E">
        <w:rPr>
          <w:rFonts w:eastAsia="Calibri"/>
          <w:lang w:eastAsia="uk-UA"/>
        </w:rPr>
        <w:t xml:space="preserve">фінансується Швейцарією і виконується Фондом Східна Європа у співпраці з </w:t>
      </w:r>
      <w:proofErr w:type="spellStart"/>
      <w:r w:rsidRPr="0073422E">
        <w:rPr>
          <w:rFonts w:eastAsia="Calibri"/>
          <w:lang w:eastAsia="uk-UA"/>
        </w:rPr>
        <w:t>Мінцифрою</w:t>
      </w:r>
      <w:proofErr w:type="spellEnd"/>
      <w:r w:rsidRPr="0073422E">
        <w:rPr>
          <w:rFonts w:eastAsia="Calibri"/>
          <w:lang w:eastAsia="uk-UA"/>
        </w:rPr>
        <w:t xml:space="preserve"> та Фондом </w:t>
      </w:r>
      <w:proofErr w:type="spellStart"/>
      <w:r w:rsidRPr="0073422E">
        <w:rPr>
          <w:rFonts w:eastAsia="Calibri"/>
          <w:lang w:eastAsia="uk-UA"/>
        </w:rPr>
        <w:t>Innovabridge</w:t>
      </w:r>
      <w:proofErr w:type="spellEnd"/>
      <w:r w:rsidRPr="0073422E">
        <w:rPr>
          <w:rFonts w:eastAsia="Calibri"/>
          <w:lang w:eastAsia="uk-UA"/>
        </w:rPr>
        <w:t xml:space="preserve"> протягом 2015-2023 років.</w:t>
      </w:r>
      <w:r>
        <w:rPr>
          <w:rFonts w:eastAsia="Calibri"/>
          <w:lang w:eastAsia="uk-UA"/>
        </w:rPr>
        <w:t xml:space="preserve">   Таким чином, вдалий розвиток громадського бюджету згуртував мешканців   заради покращення громади, підвищив фінансову грамотність та довіру до органу місцевої влади.</w:t>
      </w:r>
    </w:p>
    <w:p w:rsidR="00EF084D" w:rsidRDefault="00EF084D" w:rsidP="00EF084D">
      <w:pPr>
        <w:ind w:firstLine="851"/>
      </w:pPr>
      <w:r>
        <w:t>Слід зазначити, що громадський бюджет – це один з  інструментів розвитку місцевої демократії, серед решти: петиції, громадські слухання, місцеві ініціативи, громадська рада, консул</w:t>
      </w:r>
      <w:r w:rsidR="008F7EF7">
        <w:t>ьтації, партнерські меморандуми</w:t>
      </w:r>
      <w:r>
        <w:t xml:space="preserve"> тощо.</w:t>
      </w:r>
    </w:p>
    <w:p w:rsidR="006261B0" w:rsidRDefault="006261B0" w:rsidP="00EF084D">
      <w:pPr>
        <w:ind w:firstLine="851"/>
      </w:pPr>
    </w:p>
    <w:p w:rsidR="006261B0" w:rsidRDefault="006261B0" w:rsidP="00EF084D">
      <w:pPr>
        <w:ind w:firstLine="851"/>
      </w:pPr>
    </w:p>
    <w:p w:rsidR="006261B0" w:rsidRDefault="006261B0" w:rsidP="00EF084D">
      <w:pPr>
        <w:ind w:firstLine="851"/>
      </w:pPr>
    </w:p>
    <w:p w:rsidR="006261B0" w:rsidRDefault="006261B0" w:rsidP="00EF084D">
      <w:pPr>
        <w:ind w:firstLine="851"/>
      </w:pPr>
    </w:p>
    <w:p w:rsidR="006261B0" w:rsidRDefault="006261B0" w:rsidP="00EF084D">
      <w:pPr>
        <w:ind w:firstLine="851"/>
      </w:pPr>
    </w:p>
    <w:p w:rsidR="006261B0" w:rsidRDefault="006261B0" w:rsidP="00EF084D">
      <w:pPr>
        <w:ind w:firstLine="851"/>
      </w:pPr>
    </w:p>
    <w:p w:rsidR="00AC499C" w:rsidRPr="00355733" w:rsidRDefault="00AC499C" w:rsidP="00AC499C">
      <w:pPr>
        <w:rPr>
          <w:rFonts w:eastAsia="Arial"/>
          <w:b/>
          <w:color w:val="FF0000"/>
        </w:rPr>
      </w:pPr>
    </w:p>
    <w:p w:rsidR="00AC499C" w:rsidRPr="00E95FB1" w:rsidRDefault="00AC499C" w:rsidP="006D08A9">
      <w:pPr>
        <w:jc w:val="left"/>
        <w:rPr>
          <w:rFonts w:eastAsia="Arial"/>
          <w:b/>
          <w:color w:val="002060"/>
        </w:rPr>
      </w:pPr>
      <w:r w:rsidRPr="00355733">
        <w:rPr>
          <w:rFonts w:eastAsia="Arial"/>
          <w:b/>
          <w:color w:val="002060"/>
        </w:rPr>
        <w:lastRenderedPageBreak/>
        <w:t>Гуманітарна сфера</w:t>
      </w:r>
    </w:p>
    <w:p w:rsidR="00AC499C" w:rsidRPr="00E95FB1" w:rsidRDefault="00AC499C" w:rsidP="00AC499C">
      <w:pPr>
        <w:ind w:firstLine="567"/>
        <w:rPr>
          <w:rFonts w:eastAsia="Arial"/>
          <w:b/>
          <w:color w:val="002060"/>
        </w:rPr>
      </w:pPr>
    </w:p>
    <w:p w:rsidR="00AC499C" w:rsidRPr="00E95FB1" w:rsidRDefault="00AC499C" w:rsidP="00AC499C">
      <w:pPr>
        <w:ind w:firstLine="567"/>
        <w:rPr>
          <w:rFonts w:eastAsia="Arial"/>
          <w:b/>
          <w:color w:val="002060"/>
        </w:rPr>
      </w:pPr>
      <w:r w:rsidRPr="00E95FB1">
        <w:rPr>
          <w:rFonts w:eastAsia="Arial"/>
          <w:b/>
          <w:color w:val="002060"/>
        </w:rPr>
        <w:t>Медичні послуги</w:t>
      </w:r>
    </w:p>
    <w:p w:rsidR="00AC499C" w:rsidRDefault="00AC499C" w:rsidP="00AC499C">
      <w:pPr>
        <w:tabs>
          <w:tab w:val="left" w:pos="1418"/>
        </w:tabs>
        <w:ind w:left="142" w:firstLine="425"/>
      </w:pPr>
    </w:p>
    <w:p w:rsidR="00AC499C" w:rsidRPr="00E95FB1" w:rsidRDefault="00AC499C" w:rsidP="00AC499C">
      <w:pPr>
        <w:tabs>
          <w:tab w:val="left" w:pos="1418"/>
        </w:tabs>
        <w:ind w:left="142" w:firstLine="425"/>
      </w:pPr>
      <w:r w:rsidRPr="00E95FB1">
        <w:t xml:space="preserve">До структури управління охорони здоров’я Сєвєродонецької міської військової адміністрації Сєвєродонецького району Луганської області входять </w:t>
      </w:r>
      <w:r w:rsidR="004F3D12">
        <w:t xml:space="preserve">п’ять </w:t>
      </w:r>
      <w:r w:rsidR="004F3D12" w:rsidRPr="00E95FB1">
        <w:t xml:space="preserve"> підпорядкован</w:t>
      </w:r>
      <w:r w:rsidR="004F3D12">
        <w:t>их</w:t>
      </w:r>
      <w:r w:rsidR="004F3D12" w:rsidRPr="00E95FB1">
        <w:t xml:space="preserve"> підприємств</w:t>
      </w:r>
      <w:r w:rsidRPr="00E95FB1">
        <w:t xml:space="preserve">: </w:t>
      </w:r>
    </w:p>
    <w:p w:rsidR="00AC499C" w:rsidRPr="00E95FB1" w:rsidRDefault="00AC499C" w:rsidP="000303D7">
      <w:pPr>
        <w:pStyle w:val="a7"/>
        <w:numPr>
          <w:ilvl w:val="0"/>
          <w:numId w:val="5"/>
        </w:numPr>
        <w:tabs>
          <w:tab w:val="left" w:pos="1418"/>
        </w:tabs>
        <w:spacing w:after="160" w:line="259" w:lineRule="auto"/>
        <w:ind w:left="1134" w:hanging="567"/>
      </w:pPr>
      <w:r w:rsidRPr="00E95FB1">
        <w:t>Комунальне некомерційне підприємство «Сєвєродонецька міська багатопрофільна лікарня» Сєвєродонецької міської ради;</w:t>
      </w:r>
    </w:p>
    <w:p w:rsidR="00AC499C" w:rsidRPr="00E95FB1" w:rsidRDefault="00AC499C" w:rsidP="000303D7">
      <w:pPr>
        <w:pStyle w:val="a7"/>
        <w:numPr>
          <w:ilvl w:val="0"/>
          <w:numId w:val="5"/>
        </w:numPr>
        <w:tabs>
          <w:tab w:val="left" w:pos="1418"/>
        </w:tabs>
        <w:spacing w:after="160" w:line="259" w:lineRule="auto"/>
        <w:ind w:left="1134" w:hanging="567"/>
      </w:pPr>
      <w:r w:rsidRPr="00E95FB1">
        <w:t>Комунальне некомерційне підприємство «Центр первинної медико-санітарної допомоги» Сєвєродонецької міської ради;</w:t>
      </w:r>
    </w:p>
    <w:p w:rsidR="00AC499C" w:rsidRPr="00E95FB1" w:rsidRDefault="00AC499C" w:rsidP="000303D7">
      <w:pPr>
        <w:pStyle w:val="a7"/>
        <w:numPr>
          <w:ilvl w:val="0"/>
          <w:numId w:val="5"/>
        </w:numPr>
        <w:tabs>
          <w:tab w:val="left" w:pos="1418"/>
        </w:tabs>
        <w:spacing w:after="160" w:line="259" w:lineRule="auto"/>
        <w:ind w:left="1134" w:hanging="567"/>
      </w:pPr>
      <w:r w:rsidRPr="00E95FB1">
        <w:t>Комунальне некомерційне підприємство «Консультативно-діагностичний центр» Сєвєродонецької міської ради;</w:t>
      </w:r>
    </w:p>
    <w:p w:rsidR="00AC499C" w:rsidRDefault="00AC499C" w:rsidP="000303D7">
      <w:pPr>
        <w:pStyle w:val="a7"/>
        <w:numPr>
          <w:ilvl w:val="0"/>
          <w:numId w:val="5"/>
        </w:numPr>
        <w:tabs>
          <w:tab w:val="left" w:pos="1418"/>
        </w:tabs>
        <w:spacing w:line="259" w:lineRule="auto"/>
        <w:ind w:left="1134" w:hanging="567"/>
      </w:pPr>
      <w:r w:rsidRPr="00E95FB1">
        <w:t>Комунальне некомерційне підприємство «Міська стоматологічна поліклініка» Сєвєродонецької міської ради.</w:t>
      </w:r>
    </w:p>
    <w:p w:rsidR="00E65F38" w:rsidRDefault="00E65F38" w:rsidP="00E65F38">
      <w:pPr>
        <w:pStyle w:val="a7"/>
        <w:numPr>
          <w:ilvl w:val="0"/>
          <w:numId w:val="5"/>
        </w:numPr>
        <w:tabs>
          <w:tab w:val="left" w:pos="1418"/>
        </w:tabs>
        <w:spacing w:line="259" w:lineRule="auto"/>
        <w:ind w:left="1134" w:hanging="567"/>
      </w:pPr>
      <w:r>
        <w:t xml:space="preserve">Комунальне </w:t>
      </w:r>
      <w:r w:rsidRPr="00E95FB1">
        <w:t xml:space="preserve">некомерційне підприємство </w:t>
      </w:r>
      <w:r>
        <w:t>«</w:t>
      </w:r>
      <w:r w:rsidRPr="00221758">
        <w:t>У</w:t>
      </w:r>
      <w:r>
        <w:t>країнський реабілітаційний центр»</w:t>
      </w:r>
      <w:r w:rsidRPr="00221758">
        <w:t xml:space="preserve"> </w:t>
      </w:r>
      <w:r>
        <w:t>Сєвєродонецької міської ради.</w:t>
      </w:r>
    </w:p>
    <w:p w:rsidR="00AC499C" w:rsidRDefault="00AC499C" w:rsidP="00AC499C">
      <w:pPr>
        <w:tabs>
          <w:tab w:val="left" w:pos="1418"/>
        </w:tabs>
        <w:spacing w:line="259" w:lineRule="auto"/>
      </w:pPr>
    </w:p>
    <w:p w:rsidR="00AC499C" w:rsidRPr="00355733" w:rsidRDefault="00042D97" w:rsidP="00AC499C">
      <w:pPr>
        <w:pBdr>
          <w:top w:val="nil"/>
          <w:left w:val="nil"/>
          <w:bottom w:val="nil"/>
          <w:right w:val="nil"/>
          <w:between w:val="nil"/>
        </w:pBdr>
        <w:tabs>
          <w:tab w:val="left" w:pos="1022"/>
        </w:tabs>
      </w:pPr>
      <w:r>
        <w:t xml:space="preserve">      </w:t>
      </w:r>
      <w:r w:rsidR="00AC499C" w:rsidRPr="00355733">
        <w:t xml:space="preserve">Відновлення медичних послуг у Сєвєродонецькій </w:t>
      </w:r>
      <w:r w:rsidR="00C34470">
        <w:t xml:space="preserve">міській територіальній </w:t>
      </w:r>
      <w:r w:rsidR="00AC499C" w:rsidRPr="00355733">
        <w:t xml:space="preserve">громаді після </w:t>
      </w:r>
      <w:proofErr w:type="spellStart"/>
      <w:r w:rsidR="00AC499C" w:rsidRPr="00355733">
        <w:t>деокупації</w:t>
      </w:r>
      <w:proofErr w:type="spellEnd"/>
      <w:r w:rsidR="00AC499C" w:rsidRPr="00355733">
        <w:t xml:space="preserve"> </w:t>
      </w:r>
      <w:r w:rsidR="00C34470">
        <w:t>території</w:t>
      </w:r>
      <w:r w:rsidR="00C34470" w:rsidRPr="00355733">
        <w:t xml:space="preserve"> </w:t>
      </w:r>
      <w:r w:rsidR="00AC499C" w:rsidRPr="00355733">
        <w:t>вимагає цілеспрямованих зусиль та впровадження стратегічного підходу. Основні кроки, які мають бути враховані при відбудові, включають:</w:t>
      </w:r>
    </w:p>
    <w:p w:rsidR="00AC499C" w:rsidRPr="00355733" w:rsidRDefault="00AC499C" w:rsidP="00AC499C">
      <w:pPr>
        <w:pBdr>
          <w:top w:val="nil"/>
          <w:left w:val="nil"/>
          <w:bottom w:val="nil"/>
          <w:right w:val="nil"/>
          <w:between w:val="nil"/>
        </w:pBdr>
        <w:tabs>
          <w:tab w:val="left" w:pos="1022"/>
        </w:tabs>
      </w:pPr>
    </w:p>
    <w:p w:rsidR="00AC499C" w:rsidRPr="00355733" w:rsidRDefault="00AC499C" w:rsidP="00AC499C">
      <w:pPr>
        <w:pBdr>
          <w:top w:val="nil"/>
          <w:left w:val="nil"/>
          <w:bottom w:val="nil"/>
          <w:right w:val="nil"/>
          <w:between w:val="nil"/>
        </w:pBdr>
        <w:tabs>
          <w:tab w:val="left" w:pos="1022"/>
        </w:tabs>
      </w:pPr>
      <w:r w:rsidRPr="00355733">
        <w:rPr>
          <w:b/>
          <w:bCs/>
          <w:u w:val="single"/>
        </w:rPr>
        <w:t>Оцінка пошкоджень та потреб</w:t>
      </w:r>
      <w:r w:rsidR="00E61A67">
        <w:t>.</w:t>
      </w:r>
      <w:r w:rsidRPr="00355733">
        <w:t xml:space="preserve"> Першим етапом буде проведення докладної оцінки пошкоджень медичних закладів, втрати обладнання та ресурсів. На цій основі визнач</w:t>
      </w:r>
      <w:r w:rsidR="00E61A67">
        <w:t>а</w:t>
      </w:r>
      <w:r w:rsidRPr="00355733">
        <w:t>тимуться першочергові потреби для відновлення.</w:t>
      </w:r>
    </w:p>
    <w:p w:rsidR="00AC499C" w:rsidRPr="00355733" w:rsidRDefault="00AC499C" w:rsidP="00AC499C">
      <w:pPr>
        <w:pBdr>
          <w:top w:val="nil"/>
          <w:left w:val="nil"/>
          <w:bottom w:val="nil"/>
          <w:right w:val="nil"/>
          <w:between w:val="nil"/>
        </w:pBdr>
        <w:tabs>
          <w:tab w:val="left" w:pos="1022"/>
        </w:tabs>
      </w:pPr>
    </w:p>
    <w:p w:rsidR="00AC499C" w:rsidRPr="00355733" w:rsidRDefault="00AC499C" w:rsidP="00AC499C">
      <w:pPr>
        <w:pBdr>
          <w:top w:val="nil"/>
          <w:left w:val="nil"/>
          <w:bottom w:val="nil"/>
          <w:right w:val="nil"/>
          <w:between w:val="nil"/>
        </w:pBdr>
        <w:tabs>
          <w:tab w:val="left" w:pos="1022"/>
        </w:tabs>
      </w:pPr>
      <w:r w:rsidRPr="00355733">
        <w:rPr>
          <w:b/>
          <w:bCs/>
          <w:u w:val="single"/>
        </w:rPr>
        <w:t>Планування інфраструктури</w:t>
      </w:r>
      <w:r w:rsidR="00E61A67">
        <w:rPr>
          <w:b/>
          <w:bCs/>
          <w:u w:val="single"/>
        </w:rPr>
        <w:t>.</w:t>
      </w:r>
      <w:r w:rsidRPr="00355733">
        <w:t xml:space="preserve"> Розробити план відновлення приміщень медичних закладів. Це може включати реконструкцію та ремонт зруйнованих будівель, відновлення електромереж, водопостачання та інших комунікацій.</w:t>
      </w:r>
    </w:p>
    <w:p w:rsidR="00AC499C" w:rsidRPr="00355733" w:rsidRDefault="00AC499C" w:rsidP="00AC499C">
      <w:pPr>
        <w:pBdr>
          <w:top w:val="nil"/>
          <w:left w:val="nil"/>
          <w:bottom w:val="nil"/>
          <w:right w:val="nil"/>
          <w:between w:val="nil"/>
        </w:pBdr>
        <w:tabs>
          <w:tab w:val="left" w:pos="1022"/>
        </w:tabs>
      </w:pPr>
    </w:p>
    <w:p w:rsidR="00AC499C" w:rsidRPr="00355733" w:rsidRDefault="00AC499C" w:rsidP="00AC499C">
      <w:pPr>
        <w:pBdr>
          <w:top w:val="nil"/>
          <w:left w:val="nil"/>
          <w:bottom w:val="nil"/>
          <w:right w:val="nil"/>
          <w:between w:val="nil"/>
        </w:pBdr>
        <w:tabs>
          <w:tab w:val="left" w:pos="1022"/>
        </w:tabs>
      </w:pPr>
      <w:r w:rsidRPr="00355733">
        <w:rPr>
          <w:b/>
          <w:bCs/>
          <w:u w:val="single"/>
        </w:rPr>
        <w:t>Забезпечення обладнання</w:t>
      </w:r>
      <w:r w:rsidR="00E61A67">
        <w:rPr>
          <w:b/>
          <w:bCs/>
          <w:u w:val="single"/>
        </w:rPr>
        <w:t>м.</w:t>
      </w:r>
      <w:r w:rsidRPr="00355733">
        <w:t xml:space="preserve"> Одним із головних викликів буде забезпечення медичних закладів необхідним обладнанням. Це може включати замовлення та поставку медичного обладнання, яке втрачено під час </w:t>
      </w:r>
      <w:r w:rsidR="00F14732">
        <w:t xml:space="preserve">збройного </w:t>
      </w:r>
      <w:r w:rsidRPr="00355733">
        <w:t>конфлікту.</w:t>
      </w:r>
    </w:p>
    <w:p w:rsidR="00AC499C" w:rsidRPr="00355733" w:rsidRDefault="00AC499C" w:rsidP="00AC499C">
      <w:pPr>
        <w:pBdr>
          <w:top w:val="nil"/>
          <w:left w:val="nil"/>
          <w:bottom w:val="nil"/>
          <w:right w:val="nil"/>
          <w:between w:val="nil"/>
        </w:pBdr>
        <w:tabs>
          <w:tab w:val="left" w:pos="1022"/>
        </w:tabs>
      </w:pPr>
    </w:p>
    <w:p w:rsidR="00AC499C" w:rsidRPr="00355733" w:rsidRDefault="00AC499C" w:rsidP="00AC499C">
      <w:pPr>
        <w:pBdr>
          <w:top w:val="nil"/>
          <w:left w:val="nil"/>
          <w:bottom w:val="nil"/>
          <w:right w:val="nil"/>
          <w:between w:val="nil"/>
        </w:pBdr>
        <w:tabs>
          <w:tab w:val="left" w:pos="1022"/>
        </w:tabs>
      </w:pPr>
      <w:proofErr w:type="spellStart"/>
      <w:r w:rsidRPr="00355733">
        <w:rPr>
          <w:b/>
          <w:bCs/>
          <w:u w:val="single"/>
        </w:rPr>
        <w:t>Рекрутинг</w:t>
      </w:r>
      <w:proofErr w:type="spellEnd"/>
      <w:r w:rsidRPr="00355733">
        <w:rPr>
          <w:b/>
          <w:bCs/>
          <w:u w:val="single"/>
        </w:rPr>
        <w:t xml:space="preserve"> та навчання медичного персоналу</w:t>
      </w:r>
      <w:r w:rsidR="00E61A67">
        <w:rPr>
          <w:b/>
          <w:bCs/>
          <w:u w:val="single"/>
        </w:rPr>
        <w:t>.</w:t>
      </w:r>
      <w:r w:rsidRPr="00355733">
        <w:t xml:space="preserve"> Для успішного відновлення </w:t>
      </w:r>
      <w:r w:rsidR="00E43552" w:rsidRPr="00355733">
        <w:t>потріб</w:t>
      </w:r>
      <w:r w:rsidR="00E43552">
        <w:t>ен</w:t>
      </w:r>
      <w:r w:rsidRPr="00355733">
        <w:t xml:space="preserve"> кваліфікований медичний персонал. Важливо взяти до уваги, що частина кадрового потенціалу може бути втрачена через </w:t>
      </w:r>
      <w:proofErr w:type="spellStart"/>
      <w:r w:rsidRPr="00355733">
        <w:t>релокацію</w:t>
      </w:r>
      <w:proofErr w:type="spellEnd"/>
      <w:r w:rsidRPr="00355733">
        <w:t xml:space="preserve">. Необхідно розробити план </w:t>
      </w:r>
      <w:proofErr w:type="spellStart"/>
      <w:r w:rsidRPr="00355733">
        <w:t>рекрутингу</w:t>
      </w:r>
      <w:proofErr w:type="spellEnd"/>
      <w:r w:rsidRPr="00355733">
        <w:t xml:space="preserve"> та навчання нових фахівців.</w:t>
      </w:r>
    </w:p>
    <w:p w:rsidR="00AC499C" w:rsidRPr="00355733" w:rsidRDefault="00AC499C" w:rsidP="00AC499C">
      <w:pPr>
        <w:pBdr>
          <w:top w:val="nil"/>
          <w:left w:val="nil"/>
          <w:bottom w:val="nil"/>
          <w:right w:val="nil"/>
          <w:between w:val="nil"/>
        </w:pBdr>
        <w:tabs>
          <w:tab w:val="left" w:pos="1022"/>
        </w:tabs>
      </w:pPr>
    </w:p>
    <w:p w:rsidR="00AC499C" w:rsidRPr="00355733" w:rsidRDefault="00AC499C" w:rsidP="00AC499C">
      <w:pPr>
        <w:pBdr>
          <w:top w:val="nil"/>
          <w:left w:val="nil"/>
          <w:bottom w:val="nil"/>
          <w:right w:val="nil"/>
          <w:between w:val="nil"/>
        </w:pBdr>
        <w:tabs>
          <w:tab w:val="left" w:pos="1022"/>
        </w:tabs>
      </w:pPr>
      <w:r w:rsidRPr="00355733">
        <w:rPr>
          <w:b/>
          <w:bCs/>
          <w:u w:val="single"/>
        </w:rPr>
        <w:t>Партнерство з міжнародними організаціями</w:t>
      </w:r>
      <w:r w:rsidR="00E61A67">
        <w:rPr>
          <w:b/>
          <w:bCs/>
          <w:u w:val="single"/>
        </w:rPr>
        <w:t>.</w:t>
      </w:r>
      <w:r w:rsidRPr="00355733">
        <w:t xml:space="preserve"> Співпраця з міжнародними організаціями, які мають досвід у відновленні медичних послуг в зоні </w:t>
      </w:r>
      <w:r w:rsidR="00BA2793">
        <w:lastRenderedPageBreak/>
        <w:t xml:space="preserve">збройного </w:t>
      </w:r>
      <w:r w:rsidRPr="00355733">
        <w:t>конфлікту, може допомогти впровадити ефективні практики та отримати підтримку у відновленні.</w:t>
      </w:r>
    </w:p>
    <w:p w:rsidR="00AC499C" w:rsidRPr="00355733" w:rsidRDefault="00AC499C" w:rsidP="00AC499C">
      <w:pPr>
        <w:pBdr>
          <w:top w:val="nil"/>
          <w:left w:val="nil"/>
          <w:bottom w:val="nil"/>
          <w:right w:val="nil"/>
          <w:between w:val="nil"/>
        </w:pBdr>
        <w:tabs>
          <w:tab w:val="left" w:pos="1022"/>
        </w:tabs>
      </w:pPr>
    </w:p>
    <w:p w:rsidR="00AC499C" w:rsidRPr="00355733" w:rsidRDefault="00AC499C" w:rsidP="00AC499C">
      <w:pPr>
        <w:pBdr>
          <w:top w:val="nil"/>
          <w:left w:val="nil"/>
          <w:bottom w:val="nil"/>
          <w:right w:val="nil"/>
          <w:between w:val="nil"/>
        </w:pBdr>
        <w:tabs>
          <w:tab w:val="left" w:pos="1022"/>
        </w:tabs>
      </w:pPr>
      <w:r w:rsidRPr="00355733">
        <w:rPr>
          <w:b/>
          <w:bCs/>
          <w:u w:val="single"/>
        </w:rPr>
        <w:t>Залучення інвестицій</w:t>
      </w:r>
      <w:r w:rsidR="00E61A67">
        <w:rPr>
          <w:b/>
          <w:bCs/>
          <w:u w:val="single"/>
        </w:rPr>
        <w:t>.</w:t>
      </w:r>
      <w:r w:rsidRPr="00355733">
        <w:t xml:space="preserve"> Для успішного відновлення </w:t>
      </w:r>
      <w:r w:rsidR="00E43552">
        <w:t>надання</w:t>
      </w:r>
      <w:r w:rsidR="00E43552" w:rsidRPr="00355733">
        <w:t xml:space="preserve"> </w:t>
      </w:r>
      <w:r w:rsidRPr="00355733">
        <w:t>медичних послуг буде потрібне фінансування. Залучення інвестицій від держави, благодійних організацій та приватного сектору може бути ключовим аспектом стратегії.</w:t>
      </w:r>
    </w:p>
    <w:p w:rsidR="00AC499C" w:rsidRPr="00355733" w:rsidRDefault="00AC499C" w:rsidP="00AC499C">
      <w:pPr>
        <w:pBdr>
          <w:top w:val="nil"/>
          <w:left w:val="nil"/>
          <w:bottom w:val="nil"/>
          <w:right w:val="nil"/>
          <w:between w:val="nil"/>
        </w:pBdr>
        <w:tabs>
          <w:tab w:val="left" w:pos="1022"/>
        </w:tabs>
      </w:pPr>
    </w:p>
    <w:p w:rsidR="00AC499C" w:rsidRPr="00B23B09" w:rsidRDefault="002B4CFC" w:rsidP="00AC499C">
      <w:pPr>
        <w:pBdr>
          <w:top w:val="nil"/>
          <w:left w:val="nil"/>
          <w:bottom w:val="nil"/>
          <w:right w:val="nil"/>
          <w:between w:val="nil"/>
        </w:pBdr>
        <w:tabs>
          <w:tab w:val="left" w:pos="1022"/>
        </w:tabs>
      </w:pPr>
      <w:r>
        <w:tab/>
      </w:r>
      <w:r w:rsidR="00AC499C" w:rsidRPr="00355733">
        <w:t xml:space="preserve">Ця стратегія спрямована на поступове відновлення </w:t>
      </w:r>
      <w:r w:rsidR="00BB3E15">
        <w:t>надання</w:t>
      </w:r>
      <w:r w:rsidR="00BB3E15" w:rsidRPr="00355733">
        <w:t xml:space="preserve"> </w:t>
      </w:r>
      <w:r w:rsidR="00AC499C" w:rsidRPr="00355733">
        <w:t>медичних послуг у громаді. Важливим аспектом буде забезпечення координації між різними зацікавленими сторонами, впровадження інноваційних підходів та створення сталого фундаменту для подальшого розвитку медичного сектору.</w:t>
      </w:r>
    </w:p>
    <w:p w:rsidR="00AC499C" w:rsidRPr="00E95FB1" w:rsidRDefault="00AC499C" w:rsidP="00AC499C">
      <w:pPr>
        <w:pStyle w:val="a7"/>
        <w:tabs>
          <w:tab w:val="left" w:pos="1418"/>
        </w:tabs>
        <w:spacing w:line="259" w:lineRule="auto"/>
        <w:ind w:left="567"/>
        <w:rPr>
          <w:color w:val="FF0000"/>
        </w:rPr>
      </w:pPr>
    </w:p>
    <w:p w:rsidR="009F6EFE" w:rsidRDefault="009F6EFE" w:rsidP="00AC499C">
      <w:pPr>
        <w:pStyle w:val="a7"/>
        <w:tabs>
          <w:tab w:val="left" w:pos="1418"/>
        </w:tabs>
        <w:spacing w:line="259" w:lineRule="auto"/>
        <w:ind w:left="567"/>
        <w:rPr>
          <w:b/>
          <w:color w:val="002060"/>
        </w:rPr>
      </w:pPr>
    </w:p>
    <w:p w:rsidR="00AC499C" w:rsidRPr="003B7581" w:rsidRDefault="00AC499C" w:rsidP="00AC499C">
      <w:pPr>
        <w:pStyle w:val="a7"/>
        <w:tabs>
          <w:tab w:val="left" w:pos="1418"/>
        </w:tabs>
        <w:spacing w:line="259" w:lineRule="auto"/>
        <w:ind w:left="567"/>
        <w:rPr>
          <w:b/>
          <w:color w:val="002060"/>
        </w:rPr>
      </w:pPr>
      <w:r w:rsidRPr="00E95FB1">
        <w:rPr>
          <w:b/>
          <w:color w:val="002060"/>
        </w:rPr>
        <w:t>Розвиток освіти</w:t>
      </w:r>
    </w:p>
    <w:p w:rsidR="00AC499C" w:rsidRDefault="00AC499C" w:rsidP="00AC499C">
      <w:pPr>
        <w:shd w:val="clear" w:color="auto" w:fill="FFFFFF"/>
        <w:tabs>
          <w:tab w:val="left" w:pos="709"/>
        </w:tabs>
        <w:rPr>
          <w:color w:val="002060"/>
        </w:rPr>
      </w:pPr>
    </w:p>
    <w:p w:rsidR="00AC499C" w:rsidRDefault="00AC499C" w:rsidP="00AC499C">
      <w:pPr>
        <w:ind w:firstLine="567"/>
      </w:pPr>
      <w:r w:rsidRPr="00512385">
        <w:t xml:space="preserve">На території Сєвєродонецької міської територіальної громади функціонувало 45 закладів та установ шкільної та дошкільної освіти. Дошкільною освітою </w:t>
      </w:r>
      <w:r w:rsidRPr="00E95FB1">
        <w:t xml:space="preserve">забезпечували дітей 16 комунальних дошкільних закладів освіти, 4 дошкільних підрозділи у складі Гімназії «ГАРМОНІЯ», Борівського НВК, </w:t>
      </w:r>
      <w:proofErr w:type="spellStart"/>
      <w:r w:rsidRPr="00E95FB1">
        <w:t>Єпіфанівської</w:t>
      </w:r>
      <w:proofErr w:type="spellEnd"/>
      <w:r w:rsidRPr="00E95FB1">
        <w:t xml:space="preserve"> гімназії, </w:t>
      </w:r>
      <w:proofErr w:type="spellStart"/>
      <w:r w:rsidRPr="00E95FB1">
        <w:t>Новоастраханського</w:t>
      </w:r>
      <w:proofErr w:type="spellEnd"/>
      <w:r w:rsidRPr="00E95FB1">
        <w:t xml:space="preserve"> ліцею. </w:t>
      </w:r>
    </w:p>
    <w:p w:rsidR="00AC499C" w:rsidRDefault="00AC499C" w:rsidP="00AC499C">
      <w:pPr>
        <w:ind w:firstLine="567"/>
      </w:pPr>
    </w:p>
    <w:p w:rsidR="00AC499C" w:rsidRPr="00E95FB1" w:rsidRDefault="00AC499C" w:rsidP="00AC499C">
      <w:pPr>
        <w:ind w:firstLine="567"/>
      </w:pPr>
      <w:r w:rsidRPr="00E95FB1">
        <w:t xml:space="preserve">Усіма формами дошкільної освіти були охоплені практично 100 % дітей дошкільного віку. Останні 7 років спостерігалось збільшення кількості дітей з особливими освітніми потребами, які потребували особливих освітніх послуг та корекційної роботи фахівців з ними. Після </w:t>
      </w:r>
      <w:r>
        <w:t>повномасштабного вторгнення</w:t>
      </w:r>
      <w:r w:rsidRPr="00E95FB1">
        <w:t xml:space="preserve"> </w:t>
      </w:r>
      <w:r w:rsidR="00EA3F9A">
        <w:t>РФ</w:t>
      </w:r>
      <w:r w:rsidRPr="00E95FB1">
        <w:t xml:space="preserve"> </w:t>
      </w:r>
      <w:r>
        <w:t>в</w:t>
      </w:r>
      <w:r w:rsidRPr="00E95FB1">
        <w:t xml:space="preserve"> Україн</w:t>
      </w:r>
      <w:r>
        <w:t>у</w:t>
      </w:r>
      <w:r w:rsidRPr="00E95FB1">
        <w:t xml:space="preserve"> усі заклади дошкільної освіти громади з 24 лютого 2022 року були виведені на простій. Під час </w:t>
      </w:r>
      <w:r w:rsidR="0082539E">
        <w:t>активних бойових дій на території нашої громади</w:t>
      </w:r>
      <w:r w:rsidR="0082539E" w:rsidRPr="00E95FB1">
        <w:t xml:space="preserve"> </w:t>
      </w:r>
      <w:r w:rsidRPr="00E95FB1">
        <w:t xml:space="preserve">всі будівлі дитячих садків були пошкоджені, але підлягають відновленню. Тому заплановано відновлення роботи закладів дошкільної освіти комунальної власності. </w:t>
      </w:r>
    </w:p>
    <w:p w:rsidR="00AC499C" w:rsidRDefault="00AC499C" w:rsidP="00AC499C">
      <w:pPr>
        <w:ind w:firstLine="567"/>
      </w:pPr>
    </w:p>
    <w:p w:rsidR="00AC499C" w:rsidRPr="00E95FB1" w:rsidRDefault="00AC499C" w:rsidP="00AC499C">
      <w:pPr>
        <w:ind w:firstLine="567"/>
      </w:pPr>
      <w:r w:rsidRPr="00E95FB1">
        <w:t>Для задоволення освітніх потреб, з метою створення умов для здобуття якісної освіти, у Сєвєродонецькій міській територіальній громаді на початку 2022 року працювало 24 заклади загальної середньої освіти. З них 23 - комунальні заклади та 1 приватний заклад. У цих закладах здобували освіту 10</w:t>
      </w:r>
      <w:r w:rsidR="0082539E">
        <w:t xml:space="preserve"> </w:t>
      </w:r>
      <w:r w:rsidRPr="00E95FB1">
        <w:t xml:space="preserve">700 учнів у 428 класах (комунальні заклади), 23 учні в 3 класах (приватний заклад). У зв’язку зі збройною агресією </w:t>
      </w:r>
      <w:r w:rsidR="00EA3F9A">
        <w:t>РФ</w:t>
      </w:r>
      <w:r w:rsidR="00EA3F9A" w:rsidRPr="00E95FB1">
        <w:t xml:space="preserve"> </w:t>
      </w:r>
      <w:r w:rsidRPr="00E95FB1">
        <w:t>проти України, починаючи з 24.02.2022 року, освітній процес у закладах був призупинений, а з 15.04.2022 року по теперішній час був відновлений та переведений у режим дистанційного навчання</w:t>
      </w:r>
      <w:r w:rsidRPr="00E95FB1">
        <w:rPr>
          <w:color w:val="FF0000"/>
        </w:rPr>
        <w:t xml:space="preserve">. </w:t>
      </w:r>
      <w:r w:rsidRPr="00E95FB1">
        <w:t xml:space="preserve">З 01.09.2022 року розпочали свою роботу 20 закладів загальної середньої освіти. Три комунальні заклади загальної середньої освіти, а саме: Борівський навчально-виховний комплекс (загальноосвітній навчальний заклад І-ІІІ ступенів - дошкільний навчальний заклад (ясла-садок)) Сєвєродонецької </w:t>
      </w:r>
      <w:r w:rsidRPr="00E95FB1">
        <w:lastRenderedPageBreak/>
        <w:t>міської ради Луганської області</w:t>
      </w:r>
      <w:r w:rsidR="00EA3F9A">
        <w:t>,</w:t>
      </w:r>
      <w:r w:rsidRPr="00E95FB1">
        <w:t xml:space="preserve"> </w:t>
      </w:r>
      <w:proofErr w:type="spellStart"/>
      <w:r w:rsidRPr="00E95FB1">
        <w:t>Новоастраханський</w:t>
      </w:r>
      <w:proofErr w:type="spellEnd"/>
      <w:r w:rsidRPr="00E95FB1">
        <w:t xml:space="preserve"> ліцей Сєвєродонецького району Луганської області, </w:t>
      </w:r>
      <w:proofErr w:type="spellStart"/>
      <w:r w:rsidRPr="00E95FB1">
        <w:t>Єпіфанівська</w:t>
      </w:r>
      <w:proofErr w:type="spellEnd"/>
      <w:r w:rsidRPr="00E95FB1">
        <w:t xml:space="preserve"> гімназія Сєвєродонецького району Луганської області не змогли розпочати свою діяльність та знаходяться на простої. Приватний заклад «Сєвєродонецька початкова школа «НЬЮ ДЖЕН» Луганської області тимчасово припини</w:t>
      </w:r>
      <w:r w:rsidR="00EA3F9A">
        <w:t>ла</w:t>
      </w:r>
      <w:r w:rsidRPr="00E95FB1">
        <w:t xml:space="preserve"> свою роботу. Ці події суттєво вплинули і на мережу ЗЗСО. </w:t>
      </w:r>
    </w:p>
    <w:p w:rsidR="00AC499C" w:rsidRDefault="00AC499C" w:rsidP="00AC499C">
      <w:pPr>
        <w:ind w:firstLine="567"/>
      </w:pPr>
    </w:p>
    <w:p w:rsidR="00AC499C" w:rsidRPr="00E95FB1" w:rsidRDefault="00AC499C" w:rsidP="00AC499C">
      <w:pPr>
        <w:ind w:firstLine="567"/>
      </w:pPr>
      <w:r w:rsidRPr="00E95FB1">
        <w:t xml:space="preserve">Широкомасштабна агресія </w:t>
      </w:r>
      <w:r w:rsidR="00F23909">
        <w:t>РФ</w:t>
      </w:r>
      <w:r w:rsidR="00F23909" w:rsidRPr="00E95FB1">
        <w:t xml:space="preserve"> </w:t>
      </w:r>
      <w:r w:rsidRPr="00E95FB1">
        <w:t xml:space="preserve">проти України спричинила низку гострих проблем також у кадровій політиці. Одна з найголовніших - це збереження наявних керівних та педагогічних кадрів. Існує постійна наявність вакансій. Аналіз забезпеченості педагогічними кадрами закладів освіти громади показує, що існує потреба в кваліфікованих учителях природничо-математичного циклу (математика, фізика, інформатика, біологія, хімія, географія), з’явилася потреба в учителях української мови та літератури, англійської мови, кваліфікованих вихователях закладів дошкільної освіти. </w:t>
      </w:r>
      <w:proofErr w:type="spellStart"/>
      <w:r w:rsidRPr="00E95FB1">
        <w:t>Інклюзивно</w:t>
      </w:r>
      <w:proofErr w:type="spellEnd"/>
      <w:r w:rsidRPr="00E95FB1">
        <w:t>-ресурсний центр потребує вчителя-</w:t>
      </w:r>
      <w:proofErr w:type="spellStart"/>
      <w:r w:rsidRPr="00E95FB1">
        <w:t>реабілітолога</w:t>
      </w:r>
      <w:proofErr w:type="spellEnd"/>
      <w:r w:rsidRPr="00E95FB1">
        <w:t xml:space="preserve">. Але більш значиму проблему кадрової політики було відчуто в роботі освітянської галузі в 2022-2023 навчальному році, де в умовах воєнного стану та бойових дій, в умовах внесення змін до трудового законодавства на воєнний час відбулося масове припинення та призупинення трудової діяльності як серед педагогічних працівників, так і серед інших працівників у закладах освіти Сєвєродонецької міської територіальної громади. </w:t>
      </w:r>
    </w:p>
    <w:p w:rsidR="00AC499C" w:rsidRDefault="00AC499C" w:rsidP="00AC499C">
      <w:pPr>
        <w:ind w:firstLine="567"/>
      </w:pPr>
    </w:p>
    <w:p w:rsidR="00AC499C" w:rsidRDefault="00AC499C" w:rsidP="00AC499C">
      <w:pPr>
        <w:ind w:firstLine="567"/>
      </w:pPr>
      <w:r w:rsidRPr="00E95FB1">
        <w:t xml:space="preserve">Для забезпечення сучасної якісної освіти постійно здійснювалися процедури публічних </w:t>
      </w:r>
      <w:proofErr w:type="spellStart"/>
      <w:r w:rsidRPr="00E95FB1">
        <w:t>закупівель</w:t>
      </w:r>
      <w:proofErr w:type="spellEnd"/>
      <w:r w:rsidRPr="00E95FB1">
        <w:t xml:space="preserve">. Так, у 2021р. були придбані:  ноутбуки, мультимедійні інтерактивні комплекси, мультимедійні </w:t>
      </w:r>
      <w:proofErr w:type="spellStart"/>
      <w:r w:rsidRPr="00E95FB1">
        <w:t>про</w:t>
      </w:r>
      <w:r w:rsidR="006C2264">
        <w:t>є</w:t>
      </w:r>
      <w:r w:rsidRPr="00E95FB1">
        <w:t>ктори</w:t>
      </w:r>
      <w:proofErr w:type="spellEnd"/>
      <w:r w:rsidRPr="00E95FB1">
        <w:t xml:space="preserve"> з короткофокусним об’єктивом для всіх закладів загальної середньої освіти. Було оновлено меблі для початкових класів (парти та стільці), комплекс ігрового обладнання для потреб осіб з особливими освітніми потребами, ігрове обладнання для оснащення інклюзивних груп, електричні побутові прилади, різноманітне обладнання, кондиціонери, кухонне приладдя для харчоблоків ЗЗСО. Були обладнані навчальні кабінети початкової школи ЗЗСО дидактичним обладнанням з урахуванням вимог новітніх освітніх технологій і методів навчання в початковій школі. </w:t>
      </w:r>
      <w:r w:rsidR="006C2264">
        <w:t>Наприкінці</w:t>
      </w:r>
      <w:r w:rsidR="006C2264" w:rsidRPr="00E95FB1">
        <w:t xml:space="preserve"> </w:t>
      </w:r>
      <w:r w:rsidRPr="00E95FB1">
        <w:t xml:space="preserve">2020 року були оснащені інклюзивні групи принтерами, моноблоками та ноутбуками, інтерактивним обладнанням, меблями. У закладах освіти постійно проводилися </w:t>
      </w:r>
      <w:proofErr w:type="spellStart"/>
      <w:r w:rsidRPr="00E95FB1">
        <w:t>відновлювально</w:t>
      </w:r>
      <w:proofErr w:type="spellEnd"/>
      <w:r w:rsidRPr="00E95FB1">
        <w:t xml:space="preserve">-ремонтні роботи. На жаль, через воєнні дії у зв’язку зі збройною агресією </w:t>
      </w:r>
      <w:r w:rsidR="00303A23">
        <w:t>РФ</w:t>
      </w:r>
      <w:r w:rsidR="00303A23" w:rsidRPr="00E95FB1">
        <w:t xml:space="preserve"> </w:t>
      </w:r>
      <w:r w:rsidRPr="00E95FB1">
        <w:t>проти України, тимчасовою окупацією території Сєвєродонецької міської територіальної громади, майже все майно закладів освіти було втрачено та потребує оновлення. Усі заклади і установи освіти зазнали значних пошкоджень та руйнувань і потребують часткового або повного відновлення чи відбудови, нового оснащення. Деякі будівлі необхідно буде демонтувати.</w:t>
      </w:r>
    </w:p>
    <w:p w:rsidR="00AC499C" w:rsidRDefault="00AC499C" w:rsidP="00AC499C">
      <w:pPr>
        <w:ind w:firstLine="567"/>
      </w:pPr>
    </w:p>
    <w:p w:rsidR="00AC499C" w:rsidRPr="00512385" w:rsidRDefault="00AC499C" w:rsidP="00AC499C">
      <w:pPr>
        <w:shd w:val="clear" w:color="auto" w:fill="FFFFFF"/>
        <w:tabs>
          <w:tab w:val="left" w:pos="709"/>
        </w:tabs>
        <w:rPr>
          <w:color w:val="000000" w:themeColor="text1"/>
        </w:rPr>
      </w:pPr>
      <w:r w:rsidRPr="00512385">
        <w:rPr>
          <w:color w:val="000000" w:themeColor="text1"/>
        </w:rPr>
        <w:t xml:space="preserve">Система </w:t>
      </w:r>
      <w:r w:rsidRPr="00512385">
        <w:rPr>
          <w:iCs/>
          <w:color w:val="000000" w:themeColor="text1"/>
        </w:rPr>
        <w:t>вищої освіти</w:t>
      </w:r>
      <w:r w:rsidRPr="00512385">
        <w:rPr>
          <w:color w:val="000000" w:themeColor="text1"/>
        </w:rPr>
        <w:t xml:space="preserve"> громади складалась із закладів вищої освіти:</w:t>
      </w:r>
    </w:p>
    <w:p w:rsidR="00AC499C" w:rsidRPr="00512385" w:rsidRDefault="00AC499C" w:rsidP="000303D7">
      <w:pPr>
        <w:numPr>
          <w:ilvl w:val="0"/>
          <w:numId w:val="10"/>
        </w:numPr>
        <w:shd w:val="clear" w:color="auto" w:fill="FFFFFF"/>
        <w:tabs>
          <w:tab w:val="left" w:pos="709"/>
        </w:tabs>
        <w:rPr>
          <w:color w:val="000000" w:themeColor="text1"/>
        </w:rPr>
      </w:pPr>
      <w:r w:rsidRPr="00512385">
        <w:rPr>
          <w:color w:val="000000" w:themeColor="text1"/>
        </w:rPr>
        <w:lastRenderedPageBreak/>
        <w:t>Східноукраїнський національний університет імені Володимира Даля;</w:t>
      </w:r>
    </w:p>
    <w:p w:rsidR="00AC499C" w:rsidRPr="00512385" w:rsidRDefault="00AC499C" w:rsidP="000303D7">
      <w:pPr>
        <w:numPr>
          <w:ilvl w:val="0"/>
          <w:numId w:val="10"/>
        </w:numPr>
        <w:shd w:val="clear" w:color="auto" w:fill="FFFFFF"/>
        <w:tabs>
          <w:tab w:val="left" w:pos="709"/>
        </w:tabs>
        <w:rPr>
          <w:color w:val="000000" w:themeColor="text1"/>
        </w:rPr>
      </w:pPr>
      <w:r w:rsidRPr="00512385">
        <w:rPr>
          <w:color w:val="000000" w:themeColor="text1"/>
        </w:rPr>
        <w:t>Сєвєродонецький інститут ПрАТ «ЗВО «Міжрегіональна Академія управління персоналом»;</w:t>
      </w:r>
    </w:p>
    <w:p w:rsidR="00AC499C" w:rsidRPr="00512385" w:rsidRDefault="00AC499C" w:rsidP="000303D7">
      <w:pPr>
        <w:numPr>
          <w:ilvl w:val="0"/>
          <w:numId w:val="10"/>
        </w:numPr>
        <w:shd w:val="clear" w:color="auto" w:fill="FFFFFF"/>
        <w:tabs>
          <w:tab w:val="left" w:pos="709"/>
        </w:tabs>
        <w:rPr>
          <w:color w:val="000000" w:themeColor="text1"/>
        </w:rPr>
      </w:pPr>
      <w:r w:rsidRPr="00512385">
        <w:rPr>
          <w:color w:val="000000" w:themeColor="text1"/>
        </w:rPr>
        <w:t xml:space="preserve">Луганський державний університет внутрішніх справ імені Е.О. </w:t>
      </w:r>
      <w:proofErr w:type="spellStart"/>
      <w:r w:rsidRPr="00512385">
        <w:rPr>
          <w:color w:val="000000" w:themeColor="text1"/>
        </w:rPr>
        <w:t>Дідоренка</w:t>
      </w:r>
      <w:proofErr w:type="spellEnd"/>
      <w:r w:rsidRPr="00512385">
        <w:rPr>
          <w:color w:val="000000" w:themeColor="text1"/>
        </w:rPr>
        <w:t>;</w:t>
      </w:r>
    </w:p>
    <w:p w:rsidR="00AC499C" w:rsidRPr="00512385" w:rsidRDefault="00AC499C" w:rsidP="000303D7">
      <w:pPr>
        <w:numPr>
          <w:ilvl w:val="0"/>
          <w:numId w:val="10"/>
        </w:numPr>
        <w:shd w:val="clear" w:color="auto" w:fill="FFFFFF"/>
        <w:tabs>
          <w:tab w:val="left" w:pos="709"/>
        </w:tabs>
        <w:rPr>
          <w:color w:val="000000" w:themeColor="text1"/>
        </w:rPr>
      </w:pPr>
      <w:r w:rsidRPr="00512385">
        <w:rPr>
          <w:color w:val="000000" w:themeColor="text1"/>
        </w:rPr>
        <w:t>Обласний комунальний заклад "Сєвєродонецький коледж культури і мистецтв імені Сергія Прокоф`єва"</w:t>
      </w:r>
    </w:p>
    <w:p w:rsidR="00AC499C" w:rsidRPr="00512385" w:rsidRDefault="00AC499C" w:rsidP="00AC499C">
      <w:pPr>
        <w:shd w:val="clear" w:color="auto" w:fill="FFFFFF"/>
        <w:tabs>
          <w:tab w:val="left" w:pos="709"/>
        </w:tabs>
        <w:ind w:left="1211"/>
        <w:rPr>
          <w:color w:val="000000" w:themeColor="text1"/>
        </w:rPr>
      </w:pPr>
    </w:p>
    <w:p w:rsidR="00AC499C" w:rsidRPr="00512385" w:rsidRDefault="00AC499C" w:rsidP="00AC499C">
      <w:pPr>
        <w:shd w:val="clear" w:color="auto" w:fill="FFFFFF"/>
        <w:tabs>
          <w:tab w:val="left" w:pos="709"/>
        </w:tabs>
        <w:rPr>
          <w:color w:val="000000" w:themeColor="text1"/>
        </w:rPr>
      </w:pPr>
      <w:r w:rsidRPr="00512385">
        <w:rPr>
          <w:color w:val="000000" w:themeColor="text1"/>
        </w:rPr>
        <w:t>Мережа закладів професійної (професійно-технічної) освіти громади, які проводили підготовку кваліфікованих робітників, складалась з 5 одиниць, а саме:</w:t>
      </w:r>
    </w:p>
    <w:p w:rsidR="00AC499C" w:rsidRPr="00512385" w:rsidRDefault="00AC499C" w:rsidP="000303D7">
      <w:pPr>
        <w:numPr>
          <w:ilvl w:val="0"/>
          <w:numId w:val="11"/>
        </w:numPr>
        <w:shd w:val="clear" w:color="auto" w:fill="FFFFFF"/>
        <w:tabs>
          <w:tab w:val="left" w:pos="709"/>
        </w:tabs>
        <w:rPr>
          <w:color w:val="000000" w:themeColor="text1"/>
        </w:rPr>
      </w:pPr>
      <w:r w:rsidRPr="00512385">
        <w:rPr>
          <w:color w:val="000000" w:themeColor="text1"/>
        </w:rPr>
        <w:t>Вище професійне училище № 92 (напрями підготовки: кондитер, кухар, кухар-кондитер, продавець продовольчих та непродовольчих товарів, майстер ресторанного обслуговування, агент з постачання);</w:t>
      </w:r>
    </w:p>
    <w:p w:rsidR="00AC499C" w:rsidRPr="00512385" w:rsidRDefault="00AC499C" w:rsidP="000303D7">
      <w:pPr>
        <w:numPr>
          <w:ilvl w:val="0"/>
          <w:numId w:val="11"/>
        </w:numPr>
        <w:shd w:val="clear" w:color="auto" w:fill="FFFFFF"/>
        <w:tabs>
          <w:tab w:val="left" w:pos="709"/>
        </w:tabs>
        <w:rPr>
          <w:color w:val="000000" w:themeColor="text1"/>
        </w:rPr>
      </w:pPr>
      <w:r w:rsidRPr="00512385">
        <w:rPr>
          <w:color w:val="000000" w:themeColor="text1"/>
        </w:rPr>
        <w:t>Державний навчальний заклад «Сєвєродонецьке вище професійне училище»;</w:t>
      </w:r>
    </w:p>
    <w:p w:rsidR="00AC499C" w:rsidRPr="00512385" w:rsidRDefault="00AC499C" w:rsidP="000303D7">
      <w:pPr>
        <w:numPr>
          <w:ilvl w:val="0"/>
          <w:numId w:val="11"/>
        </w:numPr>
        <w:shd w:val="clear" w:color="auto" w:fill="FFFFFF"/>
        <w:tabs>
          <w:tab w:val="left" w:pos="709"/>
        </w:tabs>
        <w:rPr>
          <w:color w:val="000000" w:themeColor="text1"/>
        </w:rPr>
      </w:pPr>
      <w:r w:rsidRPr="00512385">
        <w:rPr>
          <w:color w:val="000000" w:themeColor="text1"/>
        </w:rPr>
        <w:t>Державний навчальний заклад «Сєвєродонецький професійний будівельний ліцей»;</w:t>
      </w:r>
    </w:p>
    <w:p w:rsidR="00AC499C" w:rsidRPr="00512385" w:rsidRDefault="00AC499C" w:rsidP="000303D7">
      <w:pPr>
        <w:numPr>
          <w:ilvl w:val="0"/>
          <w:numId w:val="11"/>
        </w:numPr>
        <w:shd w:val="clear" w:color="auto" w:fill="FFFFFF"/>
        <w:tabs>
          <w:tab w:val="left" w:pos="709"/>
        </w:tabs>
        <w:rPr>
          <w:color w:val="000000" w:themeColor="text1"/>
        </w:rPr>
      </w:pPr>
      <w:r w:rsidRPr="00512385">
        <w:rPr>
          <w:color w:val="000000" w:themeColor="text1"/>
        </w:rPr>
        <w:t>Навчально-методичний центр цивільного захисту та безпеки життєдіяльності Луганської області;</w:t>
      </w:r>
    </w:p>
    <w:p w:rsidR="00AC499C" w:rsidRPr="00512385" w:rsidRDefault="00AC499C" w:rsidP="000303D7">
      <w:pPr>
        <w:numPr>
          <w:ilvl w:val="0"/>
          <w:numId w:val="11"/>
        </w:numPr>
        <w:shd w:val="clear" w:color="auto" w:fill="FFFFFF"/>
        <w:tabs>
          <w:tab w:val="left" w:pos="709"/>
        </w:tabs>
        <w:rPr>
          <w:color w:val="000000" w:themeColor="text1"/>
        </w:rPr>
      </w:pPr>
      <w:r w:rsidRPr="00512385">
        <w:rPr>
          <w:color w:val="000000" w:themeColor="text1"/>
        </w:rPr>
        <w:t xml:space="preserve">Державний навчальний заклад «Луганський центр професійно-технічної освіти», який здійснював перекваліфікацію дорослого населення. </w:t>
      </w:r>
    </w:p>
    <w:p w:rsidR="00AC499C" w:rsidRDefault="00AC499C" w:rsidP="00AC499C"/>
    <w:p w:rsidR="00AC499C" w:rsidRPr="00355733" w:rsidRDefault="00AC499C" w:rsidP="00AC499C">
      <w:pPr>
        <w:ind w:firstLine="567"/>
      </w:pPr>
      <w:r w:rsidRPr="00355733">
        <w:t xml:space="preserve">Стратегія відновлення освітньої галузі в Сєвєродонецькій </w:t>
      </w:r>
      <w:r w:rsidR="00511188">
        <w:t>міській територіальній</w:t>
      </w:r>
      <w:r w:rsidR="00511188" w:rsidRPr="00355733">
        <w:t xml:space="preserve"> </w:t>
      </w:r>
      <w:r w:rsidRPr="00355733">
        <w:t xml:space="preserve">громаді після </w:t>
      </w:r>
      <w:proofErr w:type="spellStart"/>
      <w:r w:rsidRPr="00355733">
        <w:t>деокупації</w:t>
      </w:r>
      <w:proofErr w:type="spellEnd"/>
      <w:r w:rsidRPr="00355733">
        <w:t xml:space="preserve"> вимагає комплексних та цілеспрямованих заходів для забезпечення доступу до якісної освіти для всіх жителів громади. Перед </w:t>
      </w:r>
      <w:r w:rsidR="001A6829">
        <w:t>органами влади</w:t>
      </w:r>
      <w:r w:rsidR="001A6829" w:rsidRPr="00355733">
        <w:t xml:space="preserve"> </w:t>
      </w:r>
      <w:r w:rsidRPr="00355733">
        <w:t>та спільнотою стоїть завдання не лише відновити зруйновані освітні заклади, але й створити надійну та стійку систему освіти, що забезпечує якість навчання, розвиток молоді та формування майбутнього громади.</w:t>
      </w:r>
    </w:p>
    <w:p w:rsidR="00AC499C" w:rsidRPr="00355733" w:rsidRDefault="00AC499C" w:rsidP="00AC499C">
      <w:pPr>
        <w:ind w:firstLine="567"/>
      </w:pPr>
    </w:p>
    <w:p w:rsidR="00AC499C" w:rsidRPr="00355733" w:rsidRDefault="00AC499C" w:rsidP="00AC499C">
      <w:pPr>
        <w:ind w:firstLine="567"/>
      </w:pPr>
      <w:r w:rsidRPr="00355733">
        <w:rPr>
          <w:b/>
          <w:bCs/>
          <w:u w:val="single"/>
        </w:rPr>
        <w:t>Оцінка пошкоджень та потреб</w:t>
      </w:r>
      <w:r w:rsidR="007C487C">
        <w:rPr>
          <w:b/>
          <w:bCs/>
          <w:u w:val="single"/>
        </w:rPr>
        <w:t>.</w:t>
      </w:r>
      <w:r w:rsidRPr="00355733">
        <w:t xml:space="preserve"> Перший крок - це провести </w:t>
      </w:r>
      <w:r w:rsidR="00C43BE8">
        <w:t>детальну</w:t>
      </w:r>
      <w:r w:rsidRPr="00355733">
        <w:t xml:space="preserve"> інвентаризацію пошкоджених приміщень, втраченого обладнання та засобів навчання. На основі цієї оцінки можна визначити обсяг робіт та фінансові потреби.</w:t>
      </w:r>
    </w:p>
    <w:p w:rsidR="00AC499C" w:rsidRPr="00355733" w:rsidRDefault="00AC499C" w:rsidP="00AC499C">
      <w:pPr>
        <w:ind w:firstLine="567"/>
      </w:pPr>
    </w:p>
    <w:p w:rsidR="00AC499C" w:rsidRPr="00355733" w:rsidRDefault="00AC499C" w:rsidP="00AC499C">
      <w:pPr>
        <w:ind w:firstLine="567"/>
      </w:pPr>
      <w:r w:rsidRPr="00355733">
        <w:rPr>
          <w:b/>
          <w:bCs/>
          <w:u w:val="single"/>
        </w:rPr>
        <w:t>Відновлення інфраструктури</w:t>
      </w:r>
      <w:r w:rsidR="007C487C">
        <w:rPr>
          <w:b/>
          <w:bCs/>
          <w:u w:val="single"/>
        </w:rPr>
        <w:t>.</w:t>
      </w:r>
      <w:r w:rsidRPr="00355733">
        <w:t xml:space="preserve"> Реконструкція та ремонт зруйнованих приміщень шкіл та дитячих садків має стати пріоритетом. Важливо створити безпечне та стимулююче навчальне середовище для дітей.</w:t>
      </w:r>
    </w:p>
    <w:p w:rsidR="00AC499C" w:rsidRPr="00355733" w:rsidRDefault="00AC499C" w:rsidP="00AC499C">
      <w:pPr>
        <w:ind w:firstLine="567"/>
      </w:pPr>
    </w:p>
    <w:p w:rsidR="00AC499C" w:rsidRPr="00355733" w:rsidRDefault="00AC499C" w:rsidP="00AC499C">
      <w:pPr>
        <w:ind w:firstLine="567"/>
      </w:pPr>
      <w:r w:rsidRPr="00355733">
        <w:rPr>
          <w:b/>
          <w:bCs/>
          <w:u w:val="single"/>
        </w:rPr>
        <w:lastRenderedPageBreak/>
        <w:t>Забезпечення обладнання</w:t>
      </w:r>
      <w:r w:rsidR="007C487C">
        <w:rPr>
          <w:b/>
          <w:bCs/>
          <w:u w:val="single"/>
        </w:rPr>
        <w:t>м.</w:t>
      </w:r>
      <w:r w:rsidRPr="00355733">
        <w:t xml:space="preserve"> Відновлення навчального процесу потребує нового обладнання та засобів навчання. Необхідно організувати закупівлю та постачання підручників, комп'ютерів, лабораторного обладнання тощо.</w:t>
      </w:r>
    </w:p>
    <w:p w:rsidR="00AC499C" w:rsidRPr="00355733" w:rsidRDefault="00AC499C" w:rsidP="00AC499C">
      <w:pPr>
        <w:ind w:firstLine="567"/>
      </w:pPr>
    </w:p>
    <w:p w:rsidR="00AC499C" w:rsidRPr="00355733" w:rsidRDefault="00AC499C" w:rsidP="00AC499C">
      <w:pPr>
        <w:ind w:firstLine="567"/>
      </w:pPr>
      <w:r w:rsidRPr="00355733">
        <w:rPr>
          <w:b/>
          <w:bCs/>
          <w:u w:val="single"/>
        </w:rPr>
        <w:t>Відновлення кадрового потенціалу</w:t>
      </w:r>
      <w:r w:rsidR="007C487C">
        <w:rPr>
          <w:b/>
          <w:bCs/>
          <w:u w:val="single"/>
        </w:rPr>
        <w:t>.</w:t>
      </w:r>
      <w:r w:rsidRPr="00355733">
        <w:t xml:space="preserve"> Після </w:t>
      </w:r>
      <w:proofErr w:type="spellStart"/>
      <w:r w:rsidRPr="00355733">
        <w:t>деокупації</w:t>
      </w:r>
      <w:proofErr w:type="spellEnd"/>
      <w:r w:rsidRPr="00355733">
        <w:t xml:space="preserve"> </w:t>
      </w:r>
      <w:r w:rsidR="00864070">
        <w:t>території</w:t>
      </w:r>
      <w:r w:rsidR="00864070" w:rsidRPr="00355733">
        <w:t xml:space="preserve"> </w:t>
      </w:r>
      <w:r w:rsidRPr="00355733">
        <w:t>може бути важливим завданням організувати перепідготовку та підвищення кваліфікації педагогічних кадрів. Важливо залучити досвідчених вчителів, а також підтримати молодих фахівців.</w:t>
      </w:r>
    </w:p>
    <w:p w:rsidR="00AC499C" w:rsidRPr="00355733" w:rsidRDefault="00AC499C" w:rsidP="00AC499C">
      <w:pPr>
        <w:ind w:firstLine="567"/>
      </w:pPr>
    </w:p>
    <w:p w:rsidR="00AC499C" w:rsidRPr="00355733" w:rsidRDefault="00AC499C" w:rsidP="00AC499C">
      <w:pPr>
        <w:ind w:firstLine="567"/>
      </w:pPr>
      <w:r w:rsidRPr="00355733">
        <w:rPr>
          <w:b/>
          <w:bCs/>
          <w:u w:val="single"/>
        </w:rPr>
        <w:t>Впровадження інновацій</w:t>
      </w:r>
      <w:r w:rsidR="007C487C">
        <w:rPr>
          <w:b/>
          <w:bCs/>
          <w:u w:val="single"/>
        </w:rPr>
        <w:t>.</w:t>
      </w:r>
      <w:r w:rsidRPr="00355733">
        <w:t xml:space="preserve"> Під час відновлення освітньої галузі слід враховувати сучасні освітні підходи та технології. Впровадження електронних платформ, онлайн-навчання та інших інновацій може забезпечити більш ефективне та цікаве навчання.</w:t>
      </w:r>
    </w:p>
    <w:p w:rsidR="00AC499C" w:rsidRPr="00355733" w:rsidRDefault="00AC499C" w:rsidP="00AC499C">
      <w:pPr>
        <w:ind w:firstLine="567"/>
      </w:pPr>
    </w:p>
    <w:p w:rsidR="00AC499C" w:rsidRPr="00355733" w:rsidRDefault="00AC499C" w:rsidP="00AC499C">
      <w:pPr>
        <w:ind w:firstLine="567"/>
      </w:pPr>
      <w:r w:rsidRPr="00355733">
        <w:rPr>
          <w:b/>
          <w:bCs/>
          <w:u w:val="single"/>
        </w:rPr>
        <w:t>Створення надійних бомбосховищ</w:t>
      </w:r>
      <w:r w:rsidR="007C487C">
        <w:rPr>
          <w:b/>
          <w:bCs/>
          <w:u w:val="single"/>
        </w:rPr>
        <w:t>.</w:t>
      </w:r>
      <w:r w:rsidRPr="00355733">
        <w:t xml:space="preserve"> У зв'язку з непередбачуваними загрозами </w:t>
      </w:r>
      <w:r w:rsidR="00BC24AE">
        <w:t xml:space="preserve">збройного </w:t>
      </w:r>
      <w:r w:rsidRPr="00355733">
        <w:t>конфлікту важливо розробити план та створити надійні бомбосховища для захисту учнів та педагогічних працівників у разі потенційної небезпеки.</w:t>
      </w:r>
    </w:p>
    <w:p w:rsidR="00AC499C" w:rsidRPr="00355733" w:rsidRDefault="00AC499C" w:rsidP="00AC499C">
      <w:pPr>
        <w:ind w:firstLine="567"/>
      </w:pPr>
    </w:p>
    <w:p w:rsidR="00AC499C" w:rsidRPr="00355733" w:rsidRDefault="00AC499C" w:rsidP="00AC499C">
      <w:pPr>
        <w:ind w:firstLine="567"/>
      </w:pPr>
      <w:r w:rsidRPr="00355733">
        <w:rPr>
          <w:b/>
          <w:bCs/>
          <w:u w:val="single"/>
        </w:rPr>
        <w:t>Партнерство з міжнародними організаціями</w:t>
      </w:r>
      <w:r w:rsidR="003031FF">
        <w:rPr>
          <w:b/>
          <w:bCs/>
          <w:u w:val="single"/>
        </w:rPr>
        <w:t>.</w:t>
      </w:r>
      <w:r w:rsidRPr="00355733">
        <w:t xml:space="preserve"> Співпраця з міжнародними партнерами може сприяти отриманню фінансової та технічної підтримки для відновлення освітніх закладів.</w:t>
      </w:r>
    </w:p>
    <w:p w:rsidR="00AC499C" w:rsidRPr="00355733" w:rsidRDefault="00AC499C" w:rsidP="00AC499C">
      <w:pPr>
        <w:ind w:firstLine="567"/>
      </w:pPr>
    </w:p>
    <w:p w:rsidR="00AC499C" w:rsidRPr="00355733" w:rsidRDefault="00AC499C" w:rsidP="00AC499C">
      <w:pPr>
        <w:ind w:firstLine="567"/>
      </w:pPr>
      <w:r w:rsidRPr="00355733">
        <w:rPr>
          <w:b/>
          <w:bCs/>
          <w:u w:val="single"/>
        </w:rPr>
        <w:t>Залучення громадськості</w:t>
      </w:r>
      <w:r w:rsidR="003031FF">
        <w:rPr>
          <w:b/>
          <w:bCs/>
          <w:u w:val="single"/>
        </w:rPr>
        <w:t>.</w:t>
      </w:r>
      <w:r w:rsidRPr="00355733">
        <w:t xml:space="preserve"> Залучення батьків, учнів та громадських організацій може сприяти реалізації ефективних рішень щодо відновлення та подальшого розвитку освітньої системи.</w:t>
      </w:r>
    </w:p>
    <w:p w:rsidR="00AC499C" w:rsidRPr="00355733" w:rsidRDefault="00AC499C" w:rsidP="00AC499C">
      <w:pPr>
        <w:ind w:firstLine="567"/>
      </w:pPr>
    </w:p>
    <w:p w:rsidR="00AC499C" w:rsidRPr="003B7581" w:rsidRDefault="00AC499C" w:rsidP="00AC499C">
      <w:pPr>
        <w:ind w:firstLine="567"/>
      </w:pPr>
      <w:r w:rsidRPr="00355733">
        <w:t>Ця стратегія враховує не тільки технічні аспекти відновлення, але й важливість створення стабільної, якісної та безпечної освітньої системи, що сприятиме розвитку громади та підготовці молодого покоління до викликів майбутнього.</w:t>
      </w:r>
    </w:p>
    <w:p w:rsidR="00AC499C" w:rsidRPr="003B7581" w:rsidRDefault="00AC499C" w:rsidP="00AC499C">
      <w:pPr>
        <w:ind w:firstLine="567"/>
      </w:pPr>
    </w:p>
    <w:p w:rsidR="00AC499C" w:rsidRPr="00914B9B" w:rsidRDefault="00AC499C" w:rsidP="00AC499C">
      <w:pPr>
        <w:ind w:firstLine="567"/>
        <w:rPr>
          <w:b/>
          <w:color w:val="17365D" w:themeColor="text2" w:themeShade="BF"/>
        </w:rPr>
      </w:pPr>
      <w:r w:rsidRPr="00914B9B">
        <w:rPr>
          <w:b/>
          <w:color w:val="17365D" w:themeColor="text2" w:themeShade="BF"/>
        </w:rPr>
        <w:t>Культура, туризм</w:t>
      </w:r>
    </w:p>
    <w:p w:rsidR="00AC499C" w:rsidRPr="00E95FB1" w:rsidRDefault="00AC499C" w:rsidP="00AC499C">
      <w:pPr>
        <w:ind w:firstLine="567"/>
        <w:rPr>
          <w:b/>
          <w:color w:val="FF0000"/>
        </w:rPr>
      </w:pPr>
    </w:p>
    <w:p w:rsidR="00AC499C" w:rsidRDefault="00AB5D39" w:rsidP="00AC499C">
      <w:pPr>
        <w:pStyle w:val="13"/>
        <w:tabs>
          <w:tab w:val="left" w:pos="993"/>
        </w:tabs>
        <w:ind w:firstLine="567"/>
        <w:jc w:val="both"/>
        <w:rPr>
          <w:szCs w:val="28"/>
          <w:lang w:val="uk-UA"/>
        </w:rPr>
      </w:pPr>
      <w:r>
        <w:rPr>
          <w:szCs w:val="28"/>
          <w:lang w:val="uk-UA" w:eastAsia="ar-SA"/>
        </w:rPr>
        <w:t>Місто</w:t>
      </w:r>
      <w:r w:rsidRPr="00E95FB1">
        <w:rPr>
          <w:szCs w:val="28"/>
          <w:lang w:val="uk-UA" w:eastAsia="ar-SA"/>
        </w:rPr>
        <w:t xml:space="preserve"> </w:t>
      </w:r>
      <w:r w:rsidR="00AC499C" w:rsidRPr="00E95FB1">
        <w:rPr>
          <w:szCs w:val="28"/>
          <w:lang w:val="uk-UA" w:eastAsia="ar-SA"/>
        </w:rPr>
        <w:t xml:space="preserve">Сєвєродонецьк до збройної агресії РФ проти України був </w:t>
      </w:r>
      <w:r w:rsidR="00AC499C">
        <w:rPr>
          <w:szCs w:val="28"/>
          <w:lang w:val="uk-UA" w:eastAsia="ar-SA"/>
        </w:rPr>
        <w:t xml:space="preserve">провідним регіональним </w:t>
      </w:r>
      <w:r w:rsidR="00AC499C" w:rsidRPr="00E95FB1">
        <w:rPr>
          <w:szCs w:val="28"/>
          <w:lang w:val="uk-UA" w:eastAsia="ar-SA"/>
        </w:rPr>
        <w:t>центром культурного розвитку.</w:t>
      </w:r>
      <w:r w:rsidR="00AC499C" w:rsidRPr="00E95FB1">
        <w:rPr>
          <w:szCs w:val="28"/>
          <w:lang w:val="uk-UA"/>
        </w:rPr>
        <w:t xml:space="preserve"> Культурні потреби населення Сєвєродонецької </w:t>
      </w:r>
      <w:r>
        <w:rPr>
          <w:szCs w:val="28"/>
          <w:lang w:val="uk-UA"/>
        </w:rPr>
        <w:t xml:space="preserve">міської територіальної </w:t>
      </w:r>
      <w:r w:rsidR="00AC499C" w:rsidRPr="00E95FB1">
        <w:rPr>
          <w:szCs w:val="28"/>
          <w:lang w:val="uk-UA"/>
        </w:rPr>
        <w:t>громади задовольняли дев’ять комунальних закладів:</w:t>
      </w:r>
    </w:p>
    <w:p w:rsidR="00AC499C" w:rsidRDefault="00AC499C" w:rsidP="00AC499C">
      <w:pPr>
        <w:pStyle w:val="13"/>
        <w:tabs>
          <w:tab w:val="left" w:pos="993"/>
        </w:tabs>
        <w:ind w:firstLine="567"/>
        <w:jc w:val="both"/>
        <w:rPr>
          <w:szCs w:val="28"/>
          <w:lang w:val="uk-UA"/>
        </w:rPr>
      </w:pPr>
    </w:p>
    <w:p w:rsidR="00AC499C" w:rsidRDefault="00AC499C" w:rsidP="000303D7">
      <w:pPr>
        <w:pStyle w:val="13"/>
        <w:numPr>
          <w:ilvl w:val="0"/>
          <w:numId w:val="136"/>
        </w:numPr>
        <w:tabs>
          <w:tab w:val="left" w:pos="993"/>
        </w:tabs>
        <w:jc w:val="both"/>
      </w:pPr>
      <w:proofErr w:type="spellStart"/>
      <w:r w:rsidRPr="00E95FB1">
        <w:t>Комунальний</w:t>
      </w:r>
      <w:proofErr w:type="spellEnd"/>
      <w:r w:rsidRPr="00E95FB1">
        <w:t xml:space="preserve"> заклад «</w:t>
      </w:r>
      <w:proofErr w:type="spellStart"/>
      <w:r w:rsidRPr="00E95FB1">
        <w:t>Сєвєродонецький</w:t>
      </w:r>
      <w:proofErr w:type="spellEnd"/>
      <w:r w:rsidRPr="00E95FB1">
        <w:t xml:space="preserve"> </w:t>
      </w:r>
      <w:proofErr w:type="spellStart"/>
      <w:r w:rsidRPr="00E95FB1">
        <w:t>міський</w:t>
      </w:r>
      <w:proofErr w:type="spellEnd"/>
      <w:r w:rsidRPr="00E95FB1">
        <w:t xml:space="preserve"> Палац </w:t>
      </w:r>
      <w:proofErr w:type="spellStart"/>
      <w:r w:rsidRPr="00E95FB1">
        <w:t>культури</w:t>
      </w:r>
      <w:proofErr w:type="spellEnd"/>
      <w:r w:rsidRPr="00E95FB1">
        <w:t>»</w:t>
      </w:r>
      <w:r>
        <w:rPr>
          <w:lang w:val="uk-UA"/>
        </w:rPr>
        <w:t>. Має</w:t>
      </w:r>
      <w:r w:rsidRPr="00E95FB1">
        <w:t xml:space="preserve"> 5 </w:t>
      </w:r>
      <w:proofErr w:type="spellStart"/>
      <w:r w:rsidRPr="00E95FB1">
        <w:t>філій</w:t>
      </w:r>
      <w:proofErr w:type="spellEnd"/>
      <w:r w:rsidR="00C079A9">
        <w:rPr>
          <w:lang w:val="uk-UA"/>
        </w:rPr>
        <w:t>.</w:t>
      </w:r>
    </w:p>
    <w:p w:rsidR="00AC499C" w:rsidRPr="00E95FB1" w:rsidRDefault="00AC499C" w:rsidP="000303D7">
      <w:pPr>
        <w:pStyle w:val="13"/>
        <w:numPr>
          <w:ilvl w:val="0"/>
          <w:numId w:val="136"/>
        </w:numPr>
        <w:jc w:val="both"/>
        <w:rPr>
          <w:szCs w:val="28"/>
          <w:lang w:val="uk-UA"/>
        </w:rPr>
      </w:pPr>
      <w:r w:rsidRPr="00E95FB1">
        <w:rPr>
          <w:szCs w:val="28"/>
          <w:lang w:val="uk-UA"/>
        </w:rPr>
        <w:t>Комунальний заклад «Сєвєродонецька музична школа №1»</w:t>
      </w:r>
      <w:r w:rsidR="001C7A75">
        <w:rPr>
          <w:szCs w:val="28"/>
          <w:lang w:val="uk-UA"/>
        </w:rPr>
        <w:t>.</w:t>
      </w:r>
      <w:r w:rsidRPr="00E95FB1">
        <w:rPr>
          <w:szCs w:val="28"/>
          <w:lang w:val="uk-UA"/>
        </w:rPr>
        <w:t xml:space="preserve"> </w:t>
      </w:r>
    </w:p>
    <w:p w:rsidR="00AC499C" w:rsidRPr="00E95FB1" w:rsidRDefault="00AC499C" w:rsidP="000303D7">
      <w:pPr>
        <w:pStyle w:val="13"/>
        <w:numPr>
          <w:ilvl w:val="0"/>
          <w:numId w:val="136"/>
        </w:numPr>
        <w:jc w:val="both"/>
        <w:rPr>
          <w:szCs w:val="28"/>
          <w:lang w:val="uk-UA"/>
        </w:rPr>
      </w:pPr>
      <w:r w:rsidRPr="00E95FB1">
        <w:rPr>
          <w:szCs w:val="28"/>
          <w:lang w:val="uk-UA"/>
        </w:rPr>
        <w:t>Комунальний заклад «Сєвєродонецька музична школа №2</w:t>
      </w:r>
      <w:r w:rsidRPr="00E95FB1">
        <w:rPr>
          <w:b/>
          <w:i/>
          <w:szCs w:val="28"/>
          <w:lang w:val="uk-UA"/>
        </w:rPr>
        <w:t>»</w:t>
      </w:r>
      <w:r w:rsidR="001C7A75">
        <w:rPr>
          <w:szCs w:val="28"/>
          <w:lang w:val="uk-UA"/>
        </w:rPr>
        <w:t>.</w:t>
      </w:r>
    </w:p>
    <w:p w:rsidR="00AC499C" w:rsidRPr="00E95FB1" w:rsidRDefault="00AC499C" w:rsidP="000303D7">
      <w:pPr>
        <w:pStyle w:val="13"/>
        <w:numPr>
          <w:ilvl w:val="0"/>
          <w:numId w:val="136"/>
        </w:numPr>
        <w:jc w:val="both"/>
        <w:rPr>
          <w:szCs w:val="28"/>
          <w:lang w:val="uk-UA"/>
        </w:rPr>
      </w:pPr>
      <w:r w:rsidRPr="00E95FB1">
        <w:rPr>
          <w:szCs w:val="28"/>
          <w:lang w:val="uk-UA"/>
        </w:rPr>
        <w:lastRenderedPageBreak/>
        <w:t>Комунальний заклад «Сєвєродонецька художня школа»</w:t>
      </w:r>
      <w:r w:rsidR="001C7A75">
        <w:rPr>
          <w:szCs w:val="28"/>
          <w:lang w:val="uk-UA"/>
        </w:rPr>
        <w:t>.</w:t>
      </w:r>
      <w:r w:rsidRPr="00E95FB1">
        <w:rPr>
          <w:szCs w:val="28"/>
          <w:lang w:val="uk-UA"/>
        </w:rPr>
        <w:t xml:space="preserve">  </w:t>
      </w:r>
    </w:p>
    <w:p w:rsidR="00AC499C" w:rsidRPr="002C34F0" w:rsidRDefault="00AC499C" w:rsidP="000303D7">
      <w:pPr>
        <w:pStyle w:val="13"/>
        <w:numPr>
          <w:ilvl w:val="0"/>
          <w:numId w:val="136"/>
        </w:numPr>
        <w:jc w:val="both"/>
        <w:rPr>
          <w:szCs w:val="28"/>
          <w:lang w:val="uk-UA"/>
        </w:rPr>
      </w:pPr>
      <w:r w:rsidRPr="00E95FB1">
        <w:rPr>
          <w:szCs w:val="28"/>
          <w:lang w:val="uk-UA"/>
        </w:rPr>
        <w:t xml:space="preserve">Комунальний заклад </w:t>
      </w:r>
      <w:r w:rsidRPr="00E95FB1">
        <w:rPr>
          <w:szCs w:val="28"/>
          <w:lang w:val="uk-UA" w:eastAsia="ru-RU"/>
        </w:rPr>
        <w:t>«Борівська школа мистецтв»</w:t>
      </w:r>
      <w:r w:rsidR="001C7A75">
        <w:rPr>
          <w:szCs w:val="28"/>
          <w:lang w:val="uk-UA" w:eastAsia="ru-RU"/>
        </w:rPr>
        <w:t>.</w:t>
      </w:r>
      <w:r w:rsidRPr="00E95FB1">
        <w:rPr>
          <w:szCs w:val="28"/>
          <w:lang w:val="uk-UA"/>
        </w:rPr>
        <w:t xml:space="preserve"> </w:t>
      </w:r>
    </w:p>
    <w:p w:rsidR="00AC499C" w:rsidRPr="00E95FB1" w:rsidRDefault="00AC499C" w:rsidP="000303D7">
      <w:pPr>
        <w:pStyle w:val="af7"/>
        <w:numPr>
          <w:ilvl w:val="0"/>
          <w:numId w:val="136"/>
        </w:numPr>
        <w:tabs>
          <w:tab w:val="left" w:pos="993"/>
        </w:tabs>
        <w:jc w:val="both"/>
      </w:pPr>
      <w:r w:rsidRPr="00E95FB1">
        <w:t xml:space="preserve">Комунальний заклад «Сєвєродонецька міська бібліотека для юнацтва ім. Й. Б. </w:t>
      </w:r>
      <w:proofErr w:type="spellStart"/>
      <w:r w:rsidRPr="00E95FB1">
        <w:t>Курлата</w:t>
      </w:r>
      <w:proofErr w:type="spellEnd"/>
      <w:r w:rsidRPr="00E95FB1">
        <w:t>»</w:t>
      </w:r>
      <w:r w:rsidR="001C7A75">
        <w:t>.</w:t>
      </w:r>
    </w:p>
    <w:p w:rsidR="00AC499C" w:rsidRPr="00FA5606" w:rsidRDefault="00AC499C" w:rsidP="000303D7">
      <w:pPr>
        <w:pStyle w:val="31"/>
        <w:numPr>
          <w:ilvl w:val="0"/>
          <w:numId w:val="136"/>
        </w:numPr>
        <w:rPr>
          <w:rFonts w:ascii="Times New Roman" w:hAnsi="Times New Roman" w:cs="Times New Roman"/>
          <w:bCs/>
          <w:sz w:val="28"/>
          <w:szCs w:val="28"/>
          <w:lang w:val="uk-UA"/>
        </w:rPr>
      </w:pPr>
      <w:r w:rsidRPr="00E95FB1">
        <w:rPr>
          <w:rFonts w:ascii="Times New Roman" w:hAnsi="Times New Roman" w:cs="Times New Roman"/>
          <w:sz w:val="28"/>
          <w:szCs w:val="28"/>
          <w:lang w:val="uk-UA"/>
        </w:rPr>
        <w:t xml:space="preserve">Комунальний заклад </w:t>
      </w:r>
      <w:r w:rsidRPr="00E95FB1">
        <w:rPr>
          <w:rFonts w:ascii="Times New Roman" w:hAnsi="Times New Roman" w:cs="Times New Roman"/>
          <w:bCs/>
          <w:sz w:val="28"/>
          <w:szCs w:val="28"/>
          <w:lang w:val="uk-UA"/>
        </w:rPr>
        <w:t>«Сєвєродонецька міська бібліотека для дітей».</w:t>
      </w:r>
      <w:r>
        <w:rPr>
          <w:rFonts w:ascii="Times New Roman" w:hAnsi="Times New Roman" w:cs="Times New Roman"/>
          <w:bCs/>
          <w:sz w:val="28"/>
          <w:szCs w:val="28"/>
          <w:lang w:val="uk-UA"/>
        </w:rPr>
        <w:t xml:space="preserve"> </w:t>
      </w:r>
      <w:r w:rsidRPr="00E95FB1">
        <w:rPr>
          <w:rFonts w:ascii="Times New Roman" w:hAnsi="Times New Roman" w:cs="Times New Roman"/>
          <w:bCs/>
          <w:sz w:val="28"/>
          <w:szCs w:val="28"/>
          <w:lang w:val="uk-UA"/>
        </w:rPr>
        <w:t xml:space="preserve">Має філію в селище </w:t>
      </w:r>
      <w:proofErr w:type="spellStart"/>
      <w:r w:rsidRPr="00E95FB1">
        <w:rPr>
          <w:rFonts w:ascii="Times New Roman" w:hAnsi="Times New Roman" w:cs="Times New Roman"/>
          <w:bCs/>
          <w:sz w:val="28"/>
          <w:szCs w:val="28"/>
          <w:lang w:val="uk-UA"/>
        </w:rPr>
        <w:t>Сиротіне</w:t>
      </w:r>
      <w:proofErr w:type="spellEnd"/>
      <w:r w:rsidR="001C7A75">
        <w:rPr>
          <w:rFonts w:ascii="Times New Roman" w:hAnsi="Times New Roman" w:cs="Times New Roman"/>
          <w:bCs/>
          <w:sz w:val="28"/>
          <w:szCs w:val="28"/>
          <w:lang w:val="uk-UA"/>
        </w:rPr>
        <w:t>.</w:t>
      </w:r>
    </w:p>
    <w:p w:rsidR="00AC499C" w:rsidRDefault="00AC499C" w:rsidP="000303D7">
      <w:pPr>
        <w:pStyle w:val="31"/>
        <w:numPr>
          <w:ilvl w:val="0"/>
          <w:numId w:val="136"/>
        </w:numPr>
        <w:rPr>
          <w:rFonts w:ascii="Times New Roman" w:hAnsi="Times New Roman" w:cs="Times New Roman"/>
          <w:bCs/>
          <w:sz w:val="28"/>
          <w:szCs w:val="28"/>
          <w:lang w:val="uk-UA"/>
        </w:rPr>
      </w:pPr>
      <w:r w:rsidRPr="00E95FB1">
        <w:rPr>
          <w:rFonts w:ascii="Times New Roman" w:hAnsi="Times New Roman" w:cs="Times New Roman"/>
          <w:sz w:val="28"/>
          <w:szCs w:val="28"/>
          <w:lang w:val="uk-UA"/>
        </w:rPr>
        <w:t xml:space="preserve">Комунальний заклад </w:t>
      </w:r>
      <w:r w:rsidRPr="00E95FB1">
        <w:rPr>
          <w:rFonts w:ascii="Times New Roman" w:hAnsi="Times New Roman" w:cs="Times New Roman"/>
          <w:bCs/>
          <w:sz w:val="28"/>
          <w:szCs w:val="28"/>
          <w:lang w:val="uk-UA"/>
        </w:rPr>
        <w:t>«Сєвєродонецька міська публічна бібліотека».</w:t>
      </w:r>
      <w:r>
        <w:rPr>
          <w:rFonts w:ascii="Times New Roman" w:hAnsi="Times New Roman" w:cs="Times New Roman"/>
          <w:bCs/>
          <w:sz w:val="28"/>
          <w:szCs w:val="28"/>
          <w:lang w:val="uk-UA"/>
        </w:rPr>
        <w:t xml:space="preserve"> </w:t>
      </w:r>
      <w:r w:rsidRPr="00E95FB1">
        <w:rPr>
          <w:rFonts w:ascii="Times New Roman" w:hAnsi="Times New Roman" w:cs="Times New Roman"/>
          <w:bCs/>
          <w:sz w:val="28"/>
          <w:szCs w:val="28"/>
          <w:lang w:val="uk-UA"/>
        </w:rPr>
        <w:t>Має 6 філій</w:t>
      </w:r>
      <w:r w:rsidR="001C7A75">
        <w:rPr>
          <w:rFonts w:ascii="Times New Roman" w:hAnsi="Times New Roman" w:cs="Times New Roman"/>
          <w:bCs/>
          <w:sz w:val="28"/>
          <w:szCs w:val="28"/>
          <w:lang w:val="uk-UA"/>
        </w:rPr>
        <w:t>.</w:t>
      </w:r>
    </w:p>
    <w:p w:rsidR="00AC499C" w:rsidRPr="001F6E62" w:rsidRDefault="00AC499C" w:rsidP="000303D7">
      <w:pPr>
        <w:pStyle w:val="31"/>
        <w:numPr>
          <w:ilvl w:val="0"/>
          <w:numId w:val="136"/>
        </w:numPr>
        <w:rPr>
          <w:rFonts w:ascii="Times New Roman" w:hAnsi="Times New Roman" w:cs="Times New Roman"/>
          <w:bCs/>
          <w:sz w:val="28"/>
          <w:szCs w:val="28"/>
          <w:lang w:val="uk-UA"/>
        </w:rPr>
      </w:pPr>
      <w:r w:rsidRPr="00FA5606">
        <w:rPr>
          <w:rFonts w:ascii="Times New Roman" w:hAnsi="Times New Roman" w:cs="Times New Roman"/>
          <w:bCs/>
          <w:sz w:val="28"/>
          <w:szCs w:val="28"/>
          <w:lang w:val="uk-UA"/>
        </w:rPr>
        <w:t xml:space="preserve">Комунальний заклад «Сєвєродонецька галерея </w:t>
      </w:r>
      <w:r w:rsidRPr="001F6E62">
        <w:rPr>
          <w:rFonts w:ascii="Times New Roman" w:hAnsi="Times New Roman" w:cs="Times New Roman"/>
          <w:bCs/>
          <w:sz w:val="28"/>
          <w:szCs w:val="28"/>
          <w:lang w:val="uk-UA"/>
        </w:rPr>
        <w:t>мистецтв»</w:t>
      </w:r>
      <w:r w:rsidR="001C7A75">
        <w:rPr>
          <w:rFonts w:ascii="Times New Roman" w:hAnsi="Times New Roman" w:cs="Times New Roman"/>
          <w:bCs/>
          <w:sz w:val="28"/>
          <w:szCs w:val="28"/>
          <w:lang w:val="uk-UA"/>
        </w:rPr>
        <w:t>.</w:t>
      </w:r>
    </w:p>
    <w:p w:rsidR="00AC499C" w:rsidRDefault="00AC499C" w:rsidP="00AC499C">
      <w:pPr>
        <w:pStyle w:val="af7"/>
        <w:jc w:val="both"/>
      </w:pPr>
    </w:p>
    <w:p w:rsidR="00AC499C" w:rsidRPr="00E95FB1" w:rsidRDefault="00AC499C" w:rsidP="00AC499C">
      <w:pPr>
        <w:pStyle w:val="af7"/>
        <w:ind w:firstLine="708"/>
        <w:jc w:val="both"/>
        <w:rPr>
          <w:rFonts w:eastAsia="Times New Roman"/>
        </w:rPr>
      </w:pPr>
      <w:r w:rsidRPr="00E95FB1">
        <w:rPr>
          <w:rFonts w:eastAsia="Times New Roman"/>
        </w:rPr>
        <w:t>Міський Палац культури був побудований як Палац культури будівельників. З 1992 р. Палац знаходиться в комунальній власності і називається міським. Міський Палац культури має універсально-комплексний характер діяльності</w:t>
      </w:r>
      <w:r>
        <w:rPr>
          <w:rFonts w:eastAsia="Times New Roman"/>
        </w:rPr>
        <w:t>. Він був</w:t>
      </w:r>
      <w:r w:rsidRPr="00E95FB1">
        <w:rPr>
          <w:rFonts w:eastAsia="Times New Roman"/>
        </w:rPr>
        <w:t xml:space="preserve"> одним з улюблених центрів дозвілля</w:t>
      </w:r>
      <w:r w:rsidRPr="0018176B">
        <w:rPr>
          <w:rFonts w:eastAsia="Times New Roman"/>
        </w:rPr>
        <w:t xml:space="preserve"> </w:t>
      </w:r>
      <w:r w:rsidRPr="00E95FB1">
        <w:rPr>
          <w:rFonts w:eastAsia="Times New Roman"/>
        </w:rPr>
        <w:t xml:space="preserve">населення, духовного спілкування та інформації. </w:t>
      </w:r>
    </w:p>
    <w:p w:rsidR="00AC499C" w:rsidRDefault="00AC499C" w:rsidP="00AC499C">
      <w:pPr>
        <w:pStyle w:val="af7"/>
        <w:ind w:firstLine="708"/>
        <w:jc w:val="both"/>
        <w:rPr>
          <w:rFonts w:eastAsia="Times New Roman"/>
        </w:rPr>
      </w:pPr>
    </w:p>
    <w:p w:rsidR="00AC499C" w:rsidRPr="00E95FB1" w:rsidRDefault="00AC499C" w:rsidP="00AC499C">
      <w:pPr>
        <w:pStyle w:val="af7"/>
        <w:ind w:firstLine="708"/>
        <w:jc w:val="both"/>
        <w:rPr>
          <w:rFonts w:eastAsia="Times New Roman"/>
        </w:rPr>
      </w:pPr>
      <w:r w:rsidRPr="00E95FB1">
        <w:rPr>
          <w:rFonts w:eastAsia="Times New Roman"/>
        </w:rPr>
        <w:t>Робота КЗ «СМПК»  базується на основних функціях і напрямках, а саме:</w:t>
      </w:r>
    </w:p>
    <w:p w:rsidR="00AC499C" w:rsidRDefault="00AC499C" w:rsidP="000303D7">
      <w:pPr>
        <w:pStyle w:val="af7"/>
        <w:numPr>
          <w:ilvl w:val="0"/>
          <w:numId w:val="11"/>
        </w:numPr>
        <w:jc w:val="both"/>
        <w:rPr>
          <w:rFonts w:eastAsia="Times New Roman"/>
        </w:rPr>
      </w:pPr>
      <w:r w:rsidRPr="00E95FB1">
        <w:rPr>
          <w:rFonts w:eastAsia="Times New Roman"/>
        </w:rPr>
        <w:t>культурно-освітня</w:t>
      </w:r>
      <w:r w:rsidR="006B5B39">
        <w:rPr>
          <w:rFonts w:eastAsia="Times New Roman"/>
        </w:rPr>
        <w:t>;</w:t>
      </w:r>
    </w:p>
    <w:p w:rsidR="00AC499C" w:rsidRDefault="00AC499C" w:rsidP="000303D7">
      <w:pPr>
        <w:pStyle w:val="af7"/>
        <w:numPr>
          <w:ilvl w:val="0"/>
          <w:numId w:val="11"/>
        </w:numPr>
        <w:jc w:val="both"/>
        <w:rPr>
          <w:rFonts w:eastAsia="Times New Roman"/>
        </w:rPr>
      </w:pPr>
      <w:proofErr w:type="spellStart"/>
      <w:r w:rsidRPr="00E95FB1">
        <w:rPr>
          <w:rFonts w:eastAsia="Times New Roman"/>
        </w:rPr>
        <w:t>розважально</w:t>
      </w:r>
      <w:proofErr w:type="spellEnd"/>
      <w:r w:rsidRPr="00E95FB1">
        <w:rPr>
          <w:rFonts w:eastAsia="Times New Roman"/>
        </w:rPr>
        <w:t>-рекреаційна</w:t>
      </w:r>
      <w:r w:rsidR="006B5B39">
        <w:rPr>
          <w:rFonts w:eastAsia="Times New Roman"/>
        </w:rPr>
        <w:t>;</w:t>
      </w:r>
    </w:p>
    <w:p w:rsidR="00AC499C" w:rsidRPr="00E95FB1" w:rsidRDefault="00AC499C" w:rsidP="000303D7">
      <w:pPr>
        <w:pStyle w:val="af7"/>
        <w:numPr>
          <w:ilvl w:val="0"/>
          <w:numId w:val="11"/>
        </w:numPr>
        <w:jc w:val="both"/>
        <w:rPr>
          <w:rFonts w:eastAsia="Times New Roman"/>
        </w:rPr>
      </w:pPr>
      <w:r w:rsidRPr="00E95FB1">
        <w:rPr>
          <w:rFonts w:eastAsia="Times New Roman"/>
        </w:rPr>
        <w:t>розвиток творчих здібностей</w:t>
      </w:r>
      <w:r w:rsidR="006B5B39">
        <w:rPr>
          <w:rFonts w:eastAsia="Times New Roman"/>
        </w:rPr>
        <w:t>;</w:t>
      </w:r>
    </w:p>
    <w:p w:rsidR="00AC499C" w:rsidRPr="0018176B" w:rsidRDefault="00AC499C" w:rsidP="000303D7">
      <w:pPr>
        <w:pStyle w:val="af7"/>
        <w:numPr>
          <w:ilvl w:val="0"/>
          <w:numId w:val="11"/>
        </w:numPr>
        <w:jc w:val="both"/>
        <w:rPr>
          <w:rFonts w:eastAsia="Times New Roman"/>
        </w:rPr>
      </w:pPr>
      <w:r w:rsidRPr="0018176B">
        <w:rPr>
          <w:rFonts w:eastAsia="Times New Roman"/>
        </w:rPr>
        <w:t>інформаційно-освітня, яка забезпечується роботою бібліотечного відділу</w:t>
      </w:r>
      <w:r w:rsidR="006B5B39">
        <w:rPr>
          <w:rFonts w:eastAsia="Times New Roman"/>
        </w:rPr>
        <w:t>.</w:t>
      </w:r>
    </w:p>
    <w:p w:rsidR="00AC499C" w:rsidRDefault="00AC499C" w:rsidP="00AC499C">
      <w:pPr>
        <w:pStyle w:val="af7"/>
        <w:ind w:firstLine="708"/>
        <w:jc w:val="both"/>
        <w:rPr>
          <w:rFonts w:eastAsia="Times New Roman"/>
        </w:rPr>
      </w:pPr>
    </w:p>
    <w:p w:rsidR="00AC499C" w:rsidRPr="00E95FB1" w:rsidRDefault="00AC499C" w:rsidP="00AC499C">
      <w:pPr>
        <w:pStyle w:val="af7"/>
        <w:ind w:firstLine="708"/>
        <w:jc w:val="both"/>
        <w:rPr>
          <w:rFonts w:eastAsia="Times New Roman"/>
        </w:rPr>
      </w:pPr>
      <w:r w:rsidRPr="00E95FB1">
        <w:rPr>
          <w:rFonts w:eastAsia="Times New Roman"/>
        </w:rPr>
        <w:t>За цими напрямками роботу ве</w:t>
      </w:r>
      <w:r>
        <w:rPr>
          <w:rFonts w:eastAsia="Times New Roman"/>
        </w:rPr>
        <w:t>ли</w:t>
      </w:r>
      <w:r w:rsidRPr="00E95FB1">
        <w:rPr>
          <w:rFonts w:eastAsia="Times New Roman"/>
        </w:rPr>
        <w:t xml:space="preserve"> 3 відділи: позашкільний, культурно-масовий, художній.</w:t>
      </w:r>
    </w:p>
    <w:p w:rsidR="00AC499C" w:rsidRPr="00E95FB1" w:rsidRDefault="00AC499C" w:rsidP="00AC499C">
      <w:pPr>
        <w:ind w:firstLine="708"/>
        <w:jc w:val="center"/>
        <w:rPr>
          <w:b/>
          <w:bCs/>
          <w:color w:val="FF0000"/>
          <w:sz w:val="24"/>
        </w:rPr>
      </w:pPr>
    </w:p>
    <w:p w:rsidR="00AC499C" w:rsidRPr="00E95FB1" w:rsidRDefault="00AC499C" w:rsidP="00AC499C">
      <w:pPr>
        <w:pStyle w:val="af7"/>
        <w:ind w:firstLine="708"/>
        <w:jc w:val="both"/>
      </w:pPr>
      <w:r w:rsidRPr="00E95FB1">
        <w:t xml:space="preserve">На базі Сєвєродонецького міського палацу культури  працювало 20 колективів художньої самодіяльності. В них займалось майже 900 учасників. </w:t>
      </w:r>
    </w:p>
    <w:p w:rsidR="00AC499C" w:rsidRDefault="00AC499C" w:rsidP="00AC499C">
      <w:pPr>
        <w:jc w:val="center"/>
        <w:rPr>
          <w:b/>
        </w:rPr>
      </w:pPr>
    </w:p>
    <w:p w:rsidR="00AC499C" w:rsidRPr="00E95FB1" w:rsidRDefault="00AC499C" w:rsidP="00AC499C">
      <w:pPr>
        <w:jc w:val="center"/>
        <w:rPr>
          <w:b/>
        </w:rPr>
      </w:pPr>
      <w:r w:rsidRPr="00E95FB1">
        <w:rPr>
          <w:b/>
        </w:rPr>
        <w:t xml:space="preserve">Перелік колективів художньої самодіяльності КЗ «Сєвєродонецький міський Палац культури» </w:t>
      </w:r>
    </w:p>
    <w:p w:rsidR="00AC499C" w:rsidRPr="00E95FB1" w:rsidRDefault="00AC499C" w:rsidP="00AC499C">
      <w:pPr>
        <w:jc w:val="center"/>
        <w:rPr>
          <w:b/>
          <w:sz w:val="16"/>
          <w:szCs w:val="16"/>
        </w:rPr>
      </w:pPr>
    </w:p>
    <w:tbl>
      <w:tblPr>
        <w:tblW w:w="9072" w:type="dxa"/>
        <w:tblInd w:w="108" w:type="dxa"/>
        <w:tblLayout w:type="fixed"/>
        <w:tblLook w:val="04A0" w:firstRow="1" w:lastRow="0" w:firstColumn="1" w:lastColumn="0" w:noHBand="0" w:noVBand="1"/>
      </w:tblPr>
      <w:tblGrid>
        <w:gridCol w:w="522"/>
        <w:gridCol w:w="5715"/>
        <w:gridCol w:w="1276"/>
        <w:gridCol w:w="1559"/>
      </w:tblGrid>
      <w:tr w:rsidR="00AC499C" w:rsidRPr="00A958AD" w:rsidTr="00A958AD">
        <w:trPr>
          <w:trHeight w:val="276"/>
        </w:trPr>
        <w:tc>
          <w:tcPr>
            <w:tcW w:w="522"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rPr>
                <w:sz w:val="24"/>
                <w:szCs w:val="24"/>
              </w:rPr>
            </w:pPr>
            <w:r w:rsidRPr="00A958AD">
              <w:rPr>
                <w:sz w:val="24"/>
                <w:szCs w:val="24"/>
              </w:rPr>
              <w:t xml:space="preserve">№     </w:t>
            </w:r>
          </w:p>
        </w:tc>
        <w:tc>
          <w:tcPr>
            <w:tcW w:w="5715" w:type="dxa"/>
            <w:tcBorders>
              <w:top w:val="single" w:sz="4" w:space="0" w:color="000000"/>
              <w:left w:val="single" w:sz="4" w:space="0" w:color="auto"/>
              <w:bottom w:val="single" w:sz="4" w:space="0" w:color="000000"/>
              <w:right w:val="nil"/>
            </w:tcBorders>
          </w:tcPr>
          <w:p w:rsidR="00AC499C" w:rsidRPr="00A958AD" w:rsidRDefault="00AC499C" w:rsidP="00524DBF">
            <w:pPr>
              <w:snapToGrid w:val="0"/>
              <w:rPr>
                <w:sz w:val="24"/>
                <w:szCs w:val="24"/>
              </w:rPr>
            </w:pPr>
            <w:r w:rsidRPr="00A958AD">
              <w:rPr>
                <w:sz w:val="24"/>
                <w:szCs w:val="24"/>
              </w:rPr>
              <w:t>Назва гуртка</w:t>
            </w:r>
          </w:p>
        </w:tc>
        <w:tc>
          <w:tcPr>
            <w:tcW w:w="1276" w:type="dxa"/>
            <w:tcBorders>
              <w:top w:val="single" w:sz="4" w:space="0" w:color="000000"/>
              <w:left w:val="single" w:sz="4" w:space="0" w:color="000000"/>
              <w:bottom w:val="single" w:sz="4" w:space="0" w:color="000000"/>
              <w:right w:val="nil"/>
            </w:tcBorders>
          </w:tcPr>
          <w:p w:rsidR="00AC499C" w:rsidRPr="00A958AD" w:rsidRDefault="00AC499C" w:rsidP="00524DBF">
            <w:pPr>
              <w:snapToGrid w:val="0"/>
              <w:jc w:val="center"/>
              <w:rPr>
                <w:sz w:val="24"/>
                <w:szCs w:val="24"/>
              </w:rPr>
            </w:pPr>
            <w:r w:rsidRPr="00A958AD">
              <w:rPr>
                <w:sz w:val="24"/>
                <w:szCs w:val="24"/>
              </w:rPr>
              <w:t>Рік  створення</w:t>
            </w:r>
          </w:p>
        </w:tc>
        <w:tc>
          <w:tcPr>
            <w:tcW w:w="1559"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rPr>
                <w:sz w:val="24"/>
                <w:szCs w:val="24"/>
              </w:rPr>
            </w:pPr>
            <w:r w:rsidRPr="00A958AD">
              <w:rPr>
                <w:sz w:val="24"/>
                <w:szCs w:val="24"/>
              </w:rPr>
              <w:t>Кількість учасників</w:t>
            </w:r>
          </w:p>
        </w:tc>
      </w:tr>
      <w:tr w:rsidR="00AC499C" w:rsidRPr="00A958AD" w:rsidTr="00A958AD">
        <w:trPr>
          <w:trHeight w:val="276"/>
        </w:trPr>
        <w:tc>
          <w:tcPr>
            <w:tcW w:w="522"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rPr>
                <w:sz w:val="24"/>
                <w:szCs w:val="24"/>
              </w:rPr>
            </w:pPr>
            <w:r w:rsidRPr="00A958AD">
              <w:rPr>
                <w:sz w:val="24"/>
                <w:szCs w:val="24"/>
              </w:rPr>
              <w:t>1.</w:t>
            </w:r>
          </w:p>
        </w:tc>
        <w:tc>
          <w:tcPr>
            <w:tcW w:w="5715" w:type="dxa"/>
            <w:tcBorders>
              <w:top w:val="single" w:sz="4" w:space="0" w:color="000000"/>
              <w:left w:val="single" w:sz="4" w:space="0" w:color="auto"/>
              <w:bottom w:val="single" w:sz="4" w:space="0" w:color="000000"/>
              <w:right w:val="nil"/>
            </w:tcBorders>
          </w:tcPr>
          <w:p w:rsidR="00AC499C" w:rsidRPr="00A958AD" w:rsidRDefault="00AC499C" w:rsidP="00524DBF">
            <w:pPr>
              <w:snapToGrid w:val="0"/>
              <w:rPr>
                <w:sz w:val="24"/>
                <w:szCs w:val="24"/>
              </w:rPr>
            </w:pPr>
            <w:r w:rsidRPr="00A958AD">
              <w:rPr>
                <w:sz w:val="24"/>
                <w:szCs w:val="24"/>
              </w:rPr>
              <w:t>Народний  хор «Козачі наспіви»</w:t>
            </w:r>
          </w:p>
        </w:tc>
        <w:tc>
          <w:tcPr>
            <w:tcW w:w="1276" w:type="dxa"/>
            <w:tcBorders>
              <w:top w:val="single" w:sz="4" w:space="0" w:color="000000"/>
              <w:left w:val="single" w:sz="4" w:space="0" w:color="000000"/>
              <w:bottom w:val="single" w:sz="4" w:space="0" w:color="000000"/>
              <w:right w:val="nil"/>
            </w:tcBorders>
          </w:tcPr>
          <w:p w:rsidR="00AC499C" w:rsidRPr="00A958AD" w:rsidRDefault="00AC499C" w:rsidP="00524DBF">
            <w:pPr>
              <w:snapToGrid w:val="0"/>
              <w:jc w:val="center"/>
              <w:rPr>
                <w:sz w:val="24"/>
                <w:szCs w:val="24"/>
              </w:rPr>
            </w:pPr>
            <w:r w:rsidRPr="00A958AD">
              <w:rPr>
                <w:sz w:val="24"/>
                <w:szCs w:val="24"/>
              </w:rPr>
              <w:t>1973</w:t>
            </w:r>
          </w:p>
        </w:tc>
        <w:tc>
          <w:tcPr>
            <w:tcW w:w="1559"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jc w:val="center"/>
              <w:rPr>
                <w:bCs/>
                <w:sz w:val="24"/>
                <w:szCs w:val="24"/>
              </w:rPr>
            </w:pPr>
            <w:r w:rsidRPr="00A958AD">
              <w:rPr>
                <w:bCs/>
                <w:sz w:val="24"/>
                <w:szCs w:val="24"/>
              </w:rPr>
              <w:t>28</w:t>
            </w:r>
          </w:p>
        </w:tc>
      </w:tr>
      <w:tr w:rsidR="00AC499C" w:rsidRPr="00A958AD" w:rsidTr="00A958AD">
        <w:trPr>
          <w:trHeight w:val="276"/>
        </w:trPr>
        <w:tc>
          <w:tcPr>
            <w:tcW w:w="522"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rPr>
                <w:sz w:val="24"/>
                <w:szCs w:val="24"/>
              </w:rPr>
            </w:pPr>
            <w:r w:rsidRPr="00A958AD">
              <w:rPr>
                <w:sz w:val="24"/>
                <w:szCs w:val="24"/>
              </w:rPr>
              <w:t>2.</w:t>
            </w:r>
          </w:p>
        </w:tc>
        <w:tc>
          <w:tcPr>
            <w:tcW w:w="5715" w:type="dxa"/>
            <w:tcBorders>
              <w:top w:val="single" w:sz="4" w:space="0" w:color="000000"/>
              <w:left w:val="single" w:sz="4" w:space="0" w:color="auto"/>
              <w:bottom w:val="single" w:sz="4" w:space="0" w:color="000000"/>
              <w:right w:val="nil"/>
            </w:tcBorders>
          </w:tcPr>
          <w:p w:rsidR="00AC499C" w:rsidRPr="00A958AD" w:rsidRDefault="00AC499C" w:rsidP="00524DBF">
            <w:pPr>
              <w:snapToGrid w:val="0"/>
              <w:rPr>
                <w:sz w:val="24"/>
                <w:szCs w:val="24"/>
              </w:rPr>
            </w:pPr>
            <w:r w:rsidRPr="00A958AD">
              <w:rPr>
                <w:sz w:val="24"/>
                <w:szCs w:val="24"/>
              </w:rPr>
              <w:t>Народний хор ветеранів «Надія»</w:t>
            </w:r>
          </w:p>
        </w:tc>
        <w:tc>
          <w:tcPr>
            <w:tcW w:w="1276" w:type="dxa"/>
            <w:tcBorders>
              <w:top w:val="single" w:sz="4" w:space="0" w:color="000000"/>
              <w:left w:val="single" w:sz="4" w:space="0" w:color="000000"/>
              <w:bottom w:val="single" w:sz="4" w:space="0" w:color="000000"/>
              <w:right w:val="nil"/>
            </w:tcBorders>
          </w:tcPr>
          <w:p w:rsidR="00AC499C" w:rsidRPr="00A958AD" w:rsidRDefault="00AC499C" w:rsidP="00524DBF">
            <w:pPr>
              <w:snapToGrid w:val="0"/>
              <w:jc w:val="center"/>
              <w:rPr>
                <w:sz w:val="24"/>
                <w:szCs w:val="24"/>
              </w:rPr>
            </w:pPr>
            <w:r w:rsidRPr="00A958AD">
              <w:rPr>
                <w:sz w:val="24"/>
                <w:szCs w:val="24"/>
              </w:rPr>
              <w:t>1967</w:t>
            </w:r>
          </w:p>
        </w:tc>
        <w:tc>
          <w:tcPr>
            <w:tcW w:w="1559"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jc w:val="center"/>
              <w:rPr>
                <w:bCs/>
                <w:sz w:val="24"/>
                <w:szCs w:val="24"/>
              </w:rPr>
            </w:pPr>
            <w:r w:rsidRPr="00A958AD">
              <w:rPr>
                <w:bCs/>
                <w:sz w:val="24"/>
                <w:szCs w:val="24"/>
              </w:rPr>
              <w:t>34</w:t>
            </w:r>
          </w:p>
        </w:tc>
      </w:tr>
      <w:tr w:rsidR="00AC499C" w:rsidRPr="00A958AD" w:rsidTr="00A958AD">
        <w:trPr>
          <w:trHeight w:val="238"/>
        </w:trPr>
        <w:tc>
          <w:tcPr>
            <w:tcW w:w="522" w:type="dxa"/>
            <w:tcBorders>
              <w:top w:val="single" w:sz="4" w:space="0" w:color="000000"/>
              <w:left w:val="single" w:sz="4" w:space="0" w:color="000000"/>
              <w:bottom w:val="single" w:sz="4" w:space="0" w:color="auto"/>
              <w:right w:val="single" w:sz="4" w:space="0" w:color="auto"/>
            </w:tcBorders>
          </w:tcPr>
          <w:p w:rsidR="00AC499C" w:rsidRPr="00A958AD" w:rsidRDefault="00AC499C" w:rsidP="00524DBF">
            <w:pPr>
              <w:snapToGrid w:val="0"/>
              <w:rPr>
                <w:sz w:val="24"/>
                <w:szCs w:val="24"/>
              </w:rPr>
            </w:pPr>
            <w:r w:rsidRPr="00A958AD">
              <w:rPr>
                <w:sz w:val="24"/>
                <w:szCs w:val="24"/>
              </w:rPr>
              <w:t>3.</w:t>
            </w:r>
          </w:p>
        </w:tc>
        <w:tc>
          <w:tcPr>
            <w:tcW w:w="5715" w:type="dxa"/>
            <w:tcBorders>
              <w:top w:val="single" w:sz="4" w:space="0" w:color="000000"/>
              <w:left w:val="single" w:sz="4" w:space="0" w:color="auto"/>
              <w:bottom w:val="single" w:sz="4" w:space="0" w:color="auto"/>
              <w:right w:val="nil"/>
            </w:tcBorders>
          </w:tcPr>
          <w:p w:rsidR="00AC499C" w:rsidRPr="00A958AD" w:rsidRDefault="00AC499C" w:rsidP="00524DBF">
            <w:pPr>
              <w:snapToGrid w:val="0"/>
              <w:rPr>
                <w:sz w:val="24"/>
                <w:szCs w:val="24"/>
              </w:rPr>
            </w:pPr>
            <w:r w:rsidRPr="00A958AD">
              <w:rPr>
                <w:sz w:val="24"/>
                <w:szCs w:val="24"/>
              </w:rPr>
              <w:t>Народний ансамбль бального танцю  «Еврика»</w:t>
            </w:r>
          </w:p>
        </w:tc>
        <w:tc>
          <w:tcPr>
            <w:tcW w:w="1276" w:type="dxa"/>
            <w:tcBorders>
              <w:top w:val="single" w:sz="4" w:space="0" w:color="000000"/>
              <w:left w:val="single" w:sz="4" w:space="0" w:color="000000"/>
              <w:bottom w:val="single" w:sz="4" w:space="0" w:color="auto"/>
              <w:right w:val="nil"/>
            </w:tcBorders>
          </w:tcPr>
          <w:p w:rsidR="00AC499C" w:rsidRPr="00A958AD" w:rsidRDefault="00AC499C" w:rsidP="00524DBF">
            <w:pPr>
              <w:snapToGrid w:val="0"/>
              <w:jc w:val="center"/>
              <w:rPr>
                <w:sz w:val="24"/>
                <w:szCs w:val="24"/>
              </w:rPr>
            </w:pPr>
            <w:r w:rsidRPr="00A958AD">
              <w:rPr>
                <w:sz w:val="24"/>
                <w:szCs w:val="24"/>
              </w:rPr>
              <w:t>1986</w:t>
            </w:r>
          </w:p>
        </w:tc>
        <w:tc>
          <w:tcPr>
            <w:tcW w:w="1559" w:type="dxa"/>
            <w:tcBorders>
              <w:top w:val="single" w:sz="4" w:space="0" w:color="000000"/>
              <w:left w:val="single" w:sz="4" w:space="0" w:color="000000"/>
              <w:bottom w:val="single" w:sz="4" w:space="0" w:color="auto"/>
              <w:right w:val="single" w:sz="4" w:space="0" w:color="auto"/>
            </w:tcBorders>
          </w:tcPr>
          <w:p w:rsidR="00AC499C" w:rsidRPr="00A958AD" w:rsidRDefault="00AC499C" w:rsidP="00524DBF">
            <w:pPr>
              <w:snapToGrid w:val="0"/>
              <w:jc w:val="center"/>
              <w:rPr>
                <w:bCs/>
                <w:sz w:val="24"/>
                <w:szCs w:val="24"/>
              </w:rPr>
            </w:pPr>
            <w:r w:rsidRPr="00A958AD">
              <w:rPr>
                <w:bCs/>
                <w:sz w:val="24"/>
                <w:szCs w:val="24"/>
              </w:rPr>
              <w:t>120</w:t>
            </w:r>
          </w:p>
        </w:tc>
      </w:tr>
      <w:tr w:rsidR="00AC499C" w:rsidRPr="00A958AD" w:rsidTr="00A958AD">
        <w:trPr>
          <w:trHeight w:val="276"/>
        </w:trPr>
        <w:tc>
          <w:tcPr>
            <w:tcW w:w="522"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rPr>
                <w:sz w:val="24"/>
                <w:szCs w:val="24"/>
              </w:rPr>
            </w:pPr>
            <w:r w:rsidRPr="00A958AD">
              <w:rPr>
                <w:sz w:val="24"/>
                <w:szCs w:val="24"/>
              </w:rPr>
              <w:t>4.</w:t>
            </w:r>
          </w:p>
        </w:tc>
        <w:tc>
          <w:tcPr>
            <w:tcW w:w="5715" w:type="dxa"/>
            <w:tcBorders>
              <w:top w:val="single" w:sz="4" w:space="0" w:color="000000"/>
              <w:left w:val="single" w:sz="4" w:space="0" w:color="auto"/>
              <w:bottom w:val="single" w:sz="4" w:space="0" w:color="000000"/>
              <w:right w:val="nil"/>
            </w:tcBorders>
          </w:tcPr>
          <w:p w:rsidR="00AC499C" w:rsidRPr="00A958AD" w:rsidRDefault="00AC499C" w:rsidP="00524DBF">
            <w:pPr>
              <w:snapToGrid w:val="0"/>
              <w:rPr>
                <w:sz w:val="24"/>
                <w:szCs w:val="24"/>
              </w:rPr>
            </w:pPr>
            <w:r w:rsidRPr="00A958AD">
              <w:rPr>
                <w:sz w:val="24"/>
                <w:szCs w:val="24"/>
              </w:rPr>
              <w:t>Народний ансамбль естрадної пісні «Луч»</w:t>
            </w:r>
          </w:p>
        </w:tc>
        <w:tc>
          <w:tcPr>
            <w:tcW w:w="1276" w:type="dxa"/>
            <w:tcBorders>
              <w:top w:val="single" w:sz="4" w:space="0" w:color="000000"/>
              <w:left w:val="single" w:sz="4" w:space="0" w:color="000000"/>
              <w:bottom w:val="single" w:sz="4" w:space="0" w:color="000000"/>
              <w:right w:val="nil"/>
            </w:tcBorders>
          </w:tcPr>
          <w:p w:rsidR="00AC499C" w:rsidRPr="00A958AD" w:rsidRDefault="00AC499C" w:rsidP="00524DBF">
            <w:pPr>
              <w:snapToGrid w:val="0"/>
              <w:jc w:val="center"/>
              <w:rPr>
                <w:sz w:val="24"/>
                <w:szCs w:val="24"/>
              </w:rPr>
            </w:pPr>
            <w:r w:rsidRPr="00A958AD">
              <w:rPr>
                <w:sz w:val="24"/>
                <w:szCs w:val="24"/>
              </w:rPr>
              <w:t>2003</w:t>
            </w:r>
          </w:p>
        </w:tc>
        <w:tc>
          <w:tcPr>
            <w:tcW w:w="1559"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jc w:val="center"/>
              <w:rPr>
                <w:bCs/>
                <w:sz w:val="24"/>
                <w:szCs w:val="24"/>
              </w:rPr>
            </w:pPr>
            <w:r w:rsidRPr="00A958AD">
              <w:rPr>
                <w:bCs/>
                <w:sz w:val="24"/>
                <w:szCs w:val="24"/>
              </w:rPr>
              <w:t>38</w:t>
            </w:r>
          </w:p>
        </w:tc>
      </w:tr>
      <w:tr w:rsidR="00AC499C" w:rsidRPr="00A958AD" w:rsidTr="00A958AD">
        <w:trPr>
          <w:trHeight w:val="276"/>
        </w:trPr>
        <w:tc>
          <w:tcPr>
            <w:tcW w:w="522"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rPr>
                <w:sz w:val="24"/>
                <w:szCs w:val="24"/>
              </w:rPr>
            </w:pPr>
            <w:r w:rsidRPr="00A958AD">
              <w:rPr>
                <w:sz w:val="24"/>
                <w:szCs w:val="24"/>
              </w:rPr>
              <w:t>5.</w:t>
            </w:r>
          </w:p>
        </w:tc>
        <w:tc>
          <w:tcPr>
            <w:tcW w:w="5715" w:type="dxa"/>
            <w:tcBorders>
              <w:top w:val="single" w:sz="4" w:space="0" w:color="000000"/>
              <w:left w:val="single" w:sz="4" w:space="0" w:color="auto"/>
              <w:bottom w:val="single" w:sz="4" w:space="0" w:color="000000"/>
              <w:right w:val="nil"/>
            </w:tcBorders>
          </w:tcPr>
          <w:p w:rsidR="00AC499C" w:rsidRPr="00A958AD" w:rsidRDefault="00AC499C" w:rsidP="00524DBF">
            <w:pPr>
              <w:snapToGrid w:val="0"/>
              <w:rPr>
                <w:sz w:val="24"/>
                <w:szCs w:val="24"/>
              </w:rPr>
            </w:pPr>
            <w:r w:rsidRPr="00A958AD">
              <w:rPr>
                <w:sz w:val="24"/>
                <w:szCs w:val="24"/>
              </w:rPr>
              <w:t>Студія бального танцю</w:t>
            </w:r>
          </w:p>
        </w:tc>
        <w:tc>
          <w:tcPr>
            <w:tcW w:w="1276" w:type="dxa"/>
            <w:tcBorders>
              <w:top w:val="single" w:sz="4" w:space="0" w:color="000000"/>
              <w:left w:val="single" w:sz="4" w:space="0" w:color="000000"/>
              <w:bottom w:val="single" w:sz="4" w:space="0" w:color="000000"/>
              <w:right w:val="nil"/>
            </w:tcBorders>
          </w:tcPr>
          <w:p w:rsidR="00AC499C" w:rsidRPr="00A958AD" w:rsidRDefault="00AC499C" w:rsidP="00524DBF">
            <w:pPr>
              <w:snapToGrid w:val="0"/>
              <w:jc w:val="center"/>
              <w:rPr>
                <w:sz w:val="24"/>
                <w:szCs w:val="24"/>
              </w:rPr>
            </w:pPr>
            <w:r w:rsidRPr="00A958AD">
              <w:rPr>
                <w:sz w:val="24"/>
                <w:szCs w:val="24"/>
              </w:rPr>
              <w:t>2019</w:t>
            </w:r>
          </w:p>
        </w:tc>
        <w:tc>
          <w:tcPr>
            <w:tcW w:w="1559"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jc w:val="center"/>
              <w:rPr>
                <w:bCs/>
                <w:sz w:val="24"/>
                <w:szCs w:val="24"/>
              </w:rPr>
            </w:pPr>
            <w:r w:rsidRPr="00A958AD">
              <w:rPr>
                <w:bCs/>
                <w:sz w:val="24"/>
                <w:szCs w:val="24"/>
              </w:rPr>
              <w:t>15</w:t>
            </w:r>
          </w:p>
        </w:tc>
      </w:tr>
      <w:tr w:rsidR="00AC499C" w:rsidRPr="00A958AD" w:rsidTr="00A958AD">
        <w:trPr>
          <w:trHeight w:val="276"/>
        </w:trPr>
        <w:tc>
          <w:tcPr>
            <w:tcW w:w="522"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rPr>
                <w:sz w:val="24"/>
                <w:szCs w:val="24"/>
              </w:rPr>
            </w:pPr>
            <w:r w:rsidRPr="00A958AD">
              <w:rPr>
                <w:sz w:val="24"/>
                <w:szCs w:val="24"/>
              </w:rPr>
              <w:t>6.</w:t>
            </w:r>
          </w:p>
        </w:tc>
        <w:tc>
          <w:tcPr>
            <w:tcW w:w="5715" w:type="dxa"/>
            <w:tcBorders>
              <w:top w:val="single" w:sz="4" w:space="0" w:color="000000"/>
              <w:left w:val="single" w:sz="4" w:space="0" w:color="auto"/>
              <w:bottom w:val="single" w:sz="4" w:space="0" w:color="000000"/>
              <w:right w:val="nil"/>
            </w:tcBorders>
          </w:tcPr>
          <w:p w:rsidR="00AC499C" w:rsidRPr="00A958AD" w:rsidRDefault="00AC499C" w:rsidP="00524DBF">
            <w:pPr>
              <w:snapToGrid w:val="0"/>
              <w:rPr>
                <w:sz w:val="24"/>
                <w:szCs w:val="24"/>
              </w:rPr>
            </w:pPr>
            <w:r w:rsidRPr="00A958AD">
              <w:rPr>
                <w:sz w:val="24"/>
                <w:szCs w:val="24"/>
              </w:rPr>
              <w:t>Зразковий ансамбль бального танцю «Мрія»</w:t>
            </w:r>
          </w:p>
        </w:tc>
        <w:tc>
          <w:tcPr>
            <w:tcW w:w="1276" w:type="dxa"/>
            <w:tcBorders>
              <w:top w:val="single" w:sz="4" w:space="0" w:color="000000"/>
              <w:left w:val="single" w:sz="4" w:space="0" w:color="000000"/>
              <w:bottom w:val="single" w:sz="4" w:space="0" w:color="000000"/>
              <w:right w:val="nil"/>
            </w:tcBorders>
          </w:tcPr>
          <w:p w:rsidR="00AC499C" w:rsidRPr="00A958AD" w:rsidRDefault="00AC499C" w:rsidP="00524DBF">
            <w:pPr>
              <w:snapToGrid w:val="0"/>
              <w:jc w:val="center"/>
              <w:rPr>
                <w:sz w:val="24"/>
                <w:szCs w:val="24"/>
              </w:rPr>
            </w:pPr>
            <w:r w:rsidRPr="00A958AD">
              <w:rPr>
                <w:sz w:val="24"/>
                <w:szCs w:val="24"/>
              </w:rPr>
              <w:t>1989</w:t>
            </w:r>
          </w:p>
        </w:tc>
        <w:tc>
          <w:tcPr>
            <w:tcW w:w="1559"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jc w:val="center"/>
              <w:rPr>
                <w:bCs/>
                <w:sz w:val="24"/>
                <w:szCs w:val="24"/>
              </w:rPr>
            </w:pPr>
            <w:r w:rsidRPr="00A958AD">
              <w:rPr>
                <w:bCs/>
                <w:sz w:val="24"/>
                <w:szCs w:val="24"/>
              </w:rPr>
              <w:t>117</w:t>
            </w:r>
          </w:p>
        </w:tc>
      </w:tr>
      <w:tr w:rsidR="00AC499C" w:rsidRPr="00A958AD" w:rsidTr="00A958AD">
        <w:trPr>
          <w:trHeight w:val="276"/>
        </w:trPr>
        <w:tc>
          <w:tcPr>
            <w:tcW w:w="522"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rPr>
                <w:sz w:val="24"/>
                <w:szCs w:val="24"/>
              </w:rPr>
            </w:pPr>
            <w:r w:rsidRPr="00A958AD">
              <w:rPr>
                <w:sz w:val="24"/>
                <w:szCs w:val="24"/>
              </w:rPr>
              <w:t>7.</w:t>
            </w:r>
          </w:p>
        </w:tc>
        <w:tc>
          <w:tcPr>
            <w:tcW w:w="5715" w:type="dxa"/>
            <w:tcBorders>
              <w:top w:val="single" w:sz="4" w:space="0" w:color="000000"/>
              <w:left w:val="single" w:sz="4" w:space="0" w:color="auto"/>
              <w:bottom w:val="single" w:sz="4" w:space="0" w:color="000000"/>
              <w:right w:val="nil"/>
            </w:tcBorders>
          </w:tcPr>
          <w:p w:rsidR="00AC499C" w:rsidRPr="00A958AD" w:rsidRDefault="00AC499C" w:rsidP="00524DBF">
            <w:pPr>
              <w:snapToGrid w:val="0"/>
              <w:rPr>
                <w:sz w:val="24"/>
                <w:szCs w:val="24"/>
              </w:rPr>
            </w:pPr>
            <w:r w:rsidRPr="00A958AD">
              <w:rPr>
                <w:sz w:val="24"/>
                <w:szCs w:val="24"/>
              </w:rPr>
              <w:t>Зразковий  ансамбль  естрадного танцю  «Талісман»</w:t>
            </w:r>
          </w:p>
        </w:tc>
        <w:tc>
          <w:tcPr>
            <w:tcW w:w="1276" w:type="dxa"/>
            <w:tcBorders>
              <w:top w:val="single" w:sz="4" w:space="0" w:color="000000"/>
              <w:left w:val="single" w:sz="4" w:space="0" w:color="000000"/>
              <w:bottom w:val="single" w:sz="4" w:space="0" w:color="000000"/>
              <w:right w:val="nil"/>
            </w:tcBorders>
          </w:tcPr>
          <w:p w:rsidR="00AC499C" w:rsidRPr="00A958AD" w:rsidRDefault="00AC499C" w:rsidP="00524DBF">
            <w:pPr>
              <w:snapToGrid w:val="0"/>
              <w:jc w:val="center"/>
              <w:rPr>
                <w:sz w:val="24"/>
                <w:szCs w:val="24"/>
              </w:rPr>
            </w:pPr>
            <w:r w:rsidRPr="00A958AD">
              <w:rPr>
                <w:sz w:val="24"/>
                <w:szCs w:val="24"/>
              </w:rPr>
              <w:t>2005</w:t>
            </w:r>
          </w:p>
        </w:tc>
        <w:tc>
          <w:tcPr>
            <w:tcW w:w="1559"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jc w:val="center"/>
              <w:rPr>
                <w:bCs/>
                <w:sz w:val="24"/>
                <w:szCs w:val="24"/>
              </w:rPr>
            </w:pPr>
            <w:r w:rsidRPr="00A958AD">
              <w:rPr>
                <w:bCs/>
                <w:sz w:val="24"/>
                <w:szCs w:val="24"/>
              </w:rPr>
              <w:t>92</w:t>
            </w:r>
          </w:p>
        </w:tc>
      </w:tr>
      <w:tr w:rsidR="00AC499C" w:rsidRPr="00A958AD" w:rsidTr="00A958AD">
        <w:trPr>
          <w:trHeight w:val="276"/>
        </w:trPr>
        <w:tc>
          <w:tcPr>
            <w:tcW w:w="522"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rPr>
                <w:sz w:val="24"/>
                <w:szCs w:val="24"/>
              </w:rPr>
            </w:pPr>
            <w:r w:rsidRPr="00A958AD">
              <w:rPr>
                <w:sz w:val="24"/>
                <w:szCs w:val="24"/>
              </w:rPr>
              <w:t>8.</w:t>
            </w:r>
          </w:p>
        </w:tc>
        <w:tc>
          <w:tcPr>
            <w:tcW w:w="5715" w:type="dxa"/>
            <w:tcBorders>
              <w:top w:val="single" w:sz="4" w:space="0" w:color="000000"/>
              <w:left w:val="single" w:sz="4" w:space="0" w:color="auto"/>
              <w:bottom w:val="single" w:sz="4" w:space="0" w:color="000000"/>
              <w:right w:val="nil"/>
            </w:tcBorders>
          </w:tcPr>
          <w:p w:rsidR="00AC499C" w:rsidRPr="00A958AD" w:rsidRDefault="00AC499C" w:rsidP="00524DBF">
            <w:pPr>
              <w:snapToGrid w:val="0"/>
              <w:rPr>
                <w:sz w:val="24"/>
                <w:szCs w:val="24"/>
              </w:rPr>
            </w:pPr>
            <w:r w:rsidRPr="00A958AD">
              <w:rPr>
                <w:sz w:val="24"/>
                <w:szCs w:val="24"/>
              </w:rPr>
              <w:t>Ансамбль бального танцю «Ровесник»</w:t>
            </w:r>
          </w:p>
        </w:tc>
        <w:tc>
          <w:tcPr>
            <w:tcW w:w="1276" w:type="dxa"/>
            <w:tcBorders>
              <w:top w:val="single" w:sz="4" w:space="0" w:color="000000"/>
              <w:left w:val="single" w:sz="4" w:space="0" w:color="000000"/>
              <w:bottom w:val="single" w:sz="4" w:space="0" w:color="000000"/>
              <w:right w:val="nil"/>
            </w:tcBorders>
          </w:tcPr>
          <w:p w:rsidR="00AC499C" w:rsidRPr="00A958AD" w:rsidRDefault="00AC499C" w:rsidP="00524DBF">
            <w:pPr>
              <w:snapToGrid w:val="0"/>
              <w:jc w:val="center"/>
              <w:rPr>
                <w:sz w:val="24"/>
                <w:szCs w:val="24"/>
              </w:rPr>
            </w:pPr>
            <w:r w:rsidRPr="00A958AD">
              <w:rPr>
                <w:sz w:val="24"/>
                <w:szCs w:val="24"/>
              </w:rPr>
              <w:t>1977</w:t>
            </w:r>
          </w:p>
        </w:tc>
        <w:tc>
          <w:tcPr>
            <w:tcW w:w="1559"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jc w:val="center"/>
              <w:rPr>
                <w:bCs/>
                <w:sz w:val="24"/>
                <w:szCs w:val="24"/>
              </w:rPr>
            </w:pPr>
            <w:r w:rsidRPr="00A958AD">
              <w:rPr>
                <w:bCs/>
                <w:sz w:val="24"/>
                <w:szCs w:val="24"/>
              </w:rPr>
              <w:t>68</w:t>
            </w:r>
          </w:p>
        </w:tc>
      </w:tr>
      <w:tr w:rsidR="00AC499C" w:rsidRPr="00A958AD" w:rsidTr="00A958AD">
        <w:trPr>
          <w:trHeight w:val="276"/>
        </w:trPr>
        <w:tc>
          <w:tcPr>
            <w:tcW w:w="522"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rPr>
                <w:sz w:val="24"/>
                <w:szCs w:val="24"/>
              </w:rPr>
            </w:pPr>
            <w:r w:rsidRPr="00A958AD">
              <w:rPr>
                <w:sz w:val="24"/>
                <w:szCs w:val="24"/>
              </w:rPr>
              <w:t>9.</w:t>
            </w:r>
          </w:p>
        </w:tc>
        <w:tc>
          <w:tcPr>
            <w:tcW w:w="5715" w:type="dxa"/>
            <w:tcBorders>
              <w:top w:val="single" w:sz="4" w:space="0" w:color="000000"/>
              <w:left w:val="single" w:sz="4" w:space="0" w:color="auto"/>
              <w:bottom w:val="single" w:sz="4" w:space="0" w:color="000000"/>
              <w:right w:val="nil"/>
            </w:tcBorders>
          </w:tcPr>
          <w:p w:rsidR="00AC499C" w:rsidRPr="00A958AD" w:rsidRDefault="00AC499C" w:rsidP="00524DBF">
            <w:pPr>
              <w:snapToGrid w:val="0"/>
              <w:rPr>
                <w:sz w:val="24"/>
                <w:szCs w:val="24"/>
              </w:rPr>
            </w:pPr>
            <w:r w:rsidRPr="00A958AD">
              <w:rPr>
                <w:sz w:val="24"/>
                <w:szCs w:val="24"/>
              </w:rPr>
              <w:t>Колектив   сучасної хореографії «</w:t>
            </w:r>
            <w:proofErr w:type="spellStart"/>
            <w:r w:rsidRPr="00A958AD">
              <w:rPr>
                <w:sz w:val="24"/>
                <w:szCs w:val="24"/>
              </w:rPr>
              <w:t>Dkdance</w:t>
            </w:r>
            <w:proofErr w:type="spellEnd"/>
            <w:r w:rsidRPr="00A958AD">
              <w:rPr>
                <w:sz w:val="24"/>
                <w:szCs w:val="24"/>
              </w:rPr>
              <w:t>»</w:t>
            </w:r>
          </w:p>
        </w:tc>
        <w:tc>
          <w:tcPr>
            <w:tcW w:w="1276" w:type="dxa"/>
            <w:tcBorders>
              <w:top w:val="single" w:sz="4" w:space="0" w:color="000000"/>
              <w:left w:val="single" w:sz="4" w:space="0" w:color="000000"/>
              <w:bottom w:val="single" w:sz="4" w:space="0" w:color="000000"/>
              <w:right w:val="nil"/>
            </w:tcBorders>
          </w:tcPr>
          <w:p w:rsidR="00AC499C" w:rsidRPr="00A958AD" w:rsidRDefault="00AC499C" w:rsidP="00524DBF">
            <w:pPr>
              <w:snapToGrid w:val="0"/>
              <w:jc w:val="center"/>
              <w:rPr>
                <w:sz w:val="24"/>
                <w:szCs w:val="24"/>
              </w:rPr>
            </w:pPr>
            <w:r w:rsidRPr="00A958AD">
              <w:rPr>
                <w:sz w:val="24"/>
                <w:szCs w:val="24"/>
              </w:rPr>
              <w:t>2012</w:t>
            </w:r>
          </w:p>
        </w:tc>
        <w:tc>
          <w:tcPr>
            <w:tcW w:w="1559"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jc w:val="center"/>
              <w:rPr>
                <w:bCs/>
                <w:sz w:val="24"/>
                <w:szCs w:val="24"/>
              </w:rPr>
            </w:pPr>
            <w:r w:rsidRPr="00A958AD">
              <w:rPr>
                <w:bCs/>
                <w:sz w:val="24"/>
                <w:szCs w:val="24"/>
              </w:rPr>
              <w:t>56</w:t>
            </w:r>
          </w:p>
        </w:tc>
      </w:tr>
      <w:tr w:rsidR="00AC499C" w:rsidRPr="00A958AD" w:rsidTr="00A958AD">
        <w:trPr>
          <w:trHeight w:val="160"/>
        </w:trPr>
        <w:tc>
          <w:tcPr>
            <w:tcW w:w="522"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rPr>
                <w:sz w:val="24"/>
                <w:szCs w:val="24"/>
              </w:rPr>
            </w:pPr>
            <w:r w:rsidRPr="00A958AD">
              <w:rPr>
                <w:sz w:val="24"/>
                <w:szCs w:val="24"/>
              </w:rPr>
              <w:t>10.</w:t>
            </w:r>
          </w:p>
        </w:tc>
        <w:tc>
          <w:tcPr>
            <w:tcW w:w="5715" w:type="dxa"/>
            <w:tcBorders>
              <w:top w:val="single" w:sz="4" w:space="0" w:color="000000"/>
              <w:left w:val="single" w:sz="4" w:space="0" w:color="auto"/>
              <w:bottom w:val="single" w:sz="4" w:space="0" w:color="000000"/>
              <w:right w:val="nil"/>
            </w:tcBorders>
          </w:tcPr>
          <w:p w:rsidR="00AC499C" w:rsidRPr="00A958AD" w:rsidRDefault="00AC499C" w:rsidP="00524DBF">
            <w:pPr>
              <w:snapToGrid w:val="0"/>
              <w:rPr>
                <w:sz w:val="24"/>
                <w:szCs w:val="24"/>
              </w:rPr>
            </w:pPr>
            <w:r w:rsidRPr="00A958AD">
              <w:rPr>
                <w:sz w:val="24"/>
                <w:szCs w:val="24"/>
              </w:rPr>
              <w:t>Колектив  акробатичного  рок-н-ролу «Мега»</w:t>
            </w:r>
          </w:p>
        </w:tc>
        <w:tc>
          <w:tcPr>
            <w:tcW w:w="1276" w:type="dxa"/>
            <w:tcBorders>
              <w:top w:val="single" w:sz="4" w:space="0" w:color="000000"/>
              <w:left w:val="single" w:sz="4" w:space="0" w:color="000000"/>
              <w:bottom w:val="single" w:sz="4" w:space="0" w:color="000000"/>
              <w:right w:val="nil"/>
            </w:tcBorders>
          </w:tcPr>
          <w:p w:rsidR="00AC499C" w:rsidRPr="00A958AD" w:rsidRDefault="00AC499C" w:rsidP="00524DBF">
            <w:pPr>
              <w:snapToGrid w:val="0"/>
              <w:jc w:val="center"/>
              <w:rPr>
                <w:sz w:val="24"/>
                <w:szCs w:val="24"/>
              </w:rPr>
            </w:pPr>
            <w:r w:rsidRPr="00A958AD">
              <w:rPr>
                <w:sz w:val="24"/>
                <w:szCs w:val="24"/>
              </w:rPr>
              <w:t>2006</w:t>
            </w:r>
          </w:p>
        </w:tc>
        <w:tc>
          <w:tcPr>
            <w:tcW w:w="1559"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jc w:val="center"/>
              <w:rPr>
                <w:bCs/>
                <w:sz w:val="24"/>
                <w:szCs w:val="24"/>
              </w:rPr>
            </w:pPr>
            <w:r w:rsidRPr="00A958AD">
              <w:rPr>
                <w:bCs/>
                <w:sz w:val="24"/>
                <w:szCs w:val="24"/>
              </w:rPr>
              <w:t>35</w:t>
            </w:r>
          </w:p>
        </w:tc>
      </w:tr>
      <w:tr w:rsidR="00AC499C" w:rsidRPr="00A958AD" w:rsidTr="00A958AD">
        <w:trPr>
          <w:trHeight w:val="276"/>
        </w:trPr>
        <w:tc>
          <w:tcPr>
            <w:tcW w:w="522"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rPr>
                <w:sz w:val="24"/>
                <w:szCs w:val="24"/>
              </w:rPr>
            </w:pPr>
            <w:r w:rsidRPr="00A958AD">
              <w:rPr>
                <w:sz w:val="24"/>
                <w:szCs w:val="24"/>
              </w:rPr>
              <w:t>11.</w:t>
            </w:r>
          </w:p>
        </w:tc>
        <w:tc>
          <w:tcPr>
            <w:tcW w:w="5715" w:type="dxa"/>
            <w:tcBorders>
              <w:top w:val="single" w:sz="4" w:space="0" w:color="000000"/>
              <w:left w:val="single" w:sz="4" w:space="0" w:color="auto"/>
              <w:bottom w:val="single" w:sz="4" w:space="0" w:color="000000"/>
              <w:right w:val="nil"/>
            </w:tcBorders>
          </w:tcPr>
          <w:p w:rsidR="00AC499C" w:rsidRPr="00A958AD" w:rsidRDefault="00AC499C" w:rsidP="00524DBF">
            <w:pPr>
              <w:snapToGrid w:val="0"/>
              <w:rPr>
                <w:sz w:val="24"/>
                <w:szCs w:val="24"/>
              </w:rPr>
            </w:pPr>
            <w:r w:rsidRPr="00A958AD">
              <w:rPr>
                <w:sz w:val="24"/>
                <w:szCs w:val="24"/>
              </w:rPr>
              <w:t>Дитячий танцювальний колектив «Пролісок»</w:t>
            </w:r>
          </w:p>
        </w:tc>
        <w:tc>
          <w:tcPr>
            <w:tcW w:w="1276" w:type="dxa"/>
            <w:tcBorders>
              <w:top w:val="single" w:sz="4" w:space="0" w:color="000000"/>
              <w:left w:val="single" w:sz="4" w:space="0" w:color="000000"/>
              <w:bottom w:val="single" w:sz="4" w:space="0" w:color="000000"/>
              <w:right w:val="nil"/>
            </w:tcBorders>
          </w:tcPr>
          <w:p w:rsidR="00AC499C" w:rsidRPr="00A958AD" w:rsidRDefault="00AC499C" w:rsidP="00524DBF">
            <w:pPr>
              <w:snapToGrid w:val="0"/>
              <w:jc w:val="center"/>
              <w:rPr>
                <w:sz w:val="24"/>
                <w:szCs w:val="24"/>
              </w:rPr>
            </w:pPr>
            <w:r w:rsidRPr="00A958AD">
              <w:rPr>
                <w:sz w:val="24"/>
                <w:szCs w:val="24"/>
              </w:rPr>
              <w:t>2006</w:t>
            </w:r>
          </w:p>
        </w:tc>
        <w:tc>
          <w:tcPr>
            <w:tcW w:w="1559"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jc w:val="center"/>
              <w:rPr>
                <w:bCs/>
                <w:sz w:val="24"/>
                <w:szCs w:val="24"/>
              </w:rPr>
            </w:pPr>
            <w:r w:rsidRPr="00A958AD">
              <w:rPr>
                <w:bCs/>
                <w:sz w:val="24"/>
                <w:szCs w:val="24"/>
              </w:rPr>
              <w:t>38</w:t>
            </w:r>
          </w:p>
        </w:tc>
      </w:tr>
      <w:tr w:rsidR="00AC499C" w:rsidRPr="00A958AD" w:rsidTr="00A958AD">
        <w:trPr>
          <w:trHeight w:val="276"/>
        </w:trPr>
        <w:tc>
          <w:tcPr>
            <w:tcW w:w="522"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rPr>
                <w:sz w:val="24"/>
                <w:szCs w:val="24"/>
              </w:rPr>
            </w:pPr>
            <w:r w:rsidRPr="00A958AD">
              <w:rPr>
                <w:sz w:val="24"/>
                <w:szCs w:val="24"/>
              </w:rPr>
              <w:t>12.</w:t>
            </w:r>
          </w:p>
        </w:tc>
        <w:tc>
          <w:tcPr>
            <w:tcW w:w="5715" w:type="dxa"/>
            <w:tcBorders>
              <w:top w:val="single" w:sz="4" w:space="0" w:color="000000"/>
              <w:left w:val="single" w:sz="4" w:space="0" w:color="auto"/>
              <w:bottom w:val="single" w:sz="4" w:space="0" w:color="000000"/>
              <w:right w:val="nil"/>
            </w:tcBorders>
          </w:tcPr>
          <w:p w:rsidR="00AC499C" w:rsidRPr="00A958AD" w:rsidRDefault="00AC499C" w:rsidP="00524DBF">
            <w:pPr>
              <w:snapToGrid w:val="0"/>
              <w:rPr>
                <w:sz w:val="24"/>
                <w:szCs w:val="24"/>
              </w:rPr>
            </w:pPr>
            <w:r w:rsidRPr="00A958AD">
              <w:rPr>
                <w:sz w:val="24"/>
                <w:szCs w:val="24"/>
              </w:rPr>
              <w:t>Вокально-інструментальна студія</w:t>
            </w:r>
          </w:p>
        </w:tc>
        <w:tc>
          <w:tcPr>
            <w:tcW w:w="1276" w:type="dxa"/>
            <w:tcBorders>
              <w:top w:val="single" w:sz="4" w:space="0" w:color="000000"/>
              <w:left w:val="single" w:sz="4" w:space="0" w:color="000000"/>
              <w:bottom w:val="single" w:sz="4" w:space="0" w:color="000000"/>
              <w:right w:val="nil"/>
            </w:tcBorders>
          </w:tcPr>
          <w:p w:rsidR="00AC499C" w:rsidRPr="00A958AD" w:rsidRDefault="00AC499C" w:rsidP="00524DBF">
            <w:pPr>
              <w:snapToGrid w:val="0"/>
              <w:jc w:val="center"/>
              <w:rPr>
                <w:sz w:val="24"/>
                <w:szCs w:val="24"/>
              </w:rPr>
            </w:pPr>
            <w:r w:rsidRPr="00A958AD">
              <w:rPr>
                <w:sz w:val="24"/>
                <w:szCs w:val="24"/>
              </w:rPr>
              <w:t>2008</w:t>
            </w:r>
          </w:p>
        </w:tc>
        <w:tc>
          <w:tcPr>
            <w:tcW w:w="1559"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jc w:val="center"/>
              <w:rPr>
                <w:sz w:val="24"/>
                <w:szCs w:val="24"/>
              </w:rPr>
            </w:pPr>
            <w:r w:rsidRPr="00A958AD">
              <w:rPr>
                <w:sz w:val="24"/>
                <w:szCs w:val="24"/>
              </w:rPr>
              <w:t>30</w:t>
            </w:r>
          </w:p>
        </w:tc>
      </w:tr>
      <w:tr w:rsidR="00AC499C" w:rsidRPr="00A958AD" w:rsidTr="00A958AD">
        <w:trPr>
          <w:trHeight w:val="276"/>
        </w:trPr>
        <w:tc>
          <w:tcPr>
            <w:tcW w:w="522"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rPr>
                <w:sz w:val="24"/>
                <w:szCs w:val="24"/>
              </w:rPr>
            </w:pPr>
            <w:r w:rsidRPr="00A958AD">
              <w:rPr>
                <w:sz w:val="24"/>
                <w:szCs w:val="24"/>
              </w:rPr>
              <w:t>13.</w:t>
            </w:r>
          </w:p>
        </w:tc>
        <w:tc>
          <w:tcPr>
            <w:tcW w:w="5715" w:type="dxa"/>
            <w:tcBorders>
              <w:top w:val="single" w:sz="4" w:space="0" w:color="000000"/>
              <w:left w:val="single" w:sz="4" w:space="0" w:color="auto"/>
              <w:bottom w:val="single" w:sz="4" w:space="0" w:color="000000"/>
              <w:right w:val="nil"/>
            </w:tcBorders>
          </w:tcPr>
          <w:p w:rsidR="00AC499C" w:rsidRPr="00A958AD" w:rsidRDefault="00AC499C" w:rsidP="00524DBF">
            <w:pPr>
              <w:snapToGrid w:val="0"/>
              <w:rPr>
                <w:sz w:val="24"/>
                <w:szCs w:val="24"/>
              </w:rPr>
            </w:pPr>
            <w:r w:rsidRPr="00A958AD">
              <w:rPr>
                <w:sz w:val="24"/>
                <w:szCs w:val="24"/>
              </w:rPr>
              <w:t xml:space="preserve">Театр ляльок «Оле </w:t>
            </w:r>
            <w:proofErr w:type="spellStart"/>
            <w:r w:rsidRPr="00A958AD">
              <w:rPr>
                <w:sz w:val="24"/>
                <w:szCs w:val="24"/>
              </w:rPr>
              <w:t>Лукойє</w:t>
            </w:r>
            <w:proofErr w:type="spellEnd"/>
            <w:r w:rsidRPr="00A958AD">
              <w:rPr>
                <w:sz w:val="24"/>
                <w:szCs w:val="24"/>
              </w:rPr>
              <w:t>»</w:t>
            </w:r>
          </w:p>
        </w:tc>
        <w:tc>
          <w:tcPr>
            <w:tcW w:w="1276" w:type="dxa"/>
            <w:tcBorders>
              <w:top w:val="single" w:sz="4" w:space="0" w:color="000000"/>
              <w:left w:val="single" w:sz="4" w:space="0" w:color="000000"/>
              <w:bottom w:val="single" w:sz="4" w:space="0" w:color="000000"/>
              <w:right w:val="nil"/>
            </w:tcBorders>
          </w:tcPr>
          <w:p w:rsidR="00AC499C" w:rsidRPr="00A958AD" w:rsidRDefault="00AC499C" w:rsidP="00524DBF">
            <w:pPr>
              <w:snapToGrid w:val="0"/>
              <w:jc w:val="center"/>
              <w:rPr>
                <w:sz w:val="24"/>
                <w:szCs w:val="24"/>
              </w:rPr>
            </w:pPr>
            <w:r w:rsidRPr="00A958AD">
              <w:rPr>
                <w:sz w:val="24"/>
                <w:szCs w:val="24"/>
              </w:rPr>
              <w:t>2019</w:t>
            </w:r>
          </w:p>
        </w:tc>
        <w:tc>
          <w:tcPr>
            <w:tcW w:w="1559"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jc w:val="center"/>
              <w:rPr>
                <w:sz w:val="24"/>
                <w:szCs w:val="24"/>
              </w:rPr>
            </w:pPr>
            <w:r w:rsidRPr="00A958AD">
              <w:rPr>
                <w:sz w:val="24"/>
                <w:szCs w:val="24"/>
              </w:rPr>
              <w:t>35</w:t>
            </w:r>
          </w:p>
        </w:tc>
      </w:tr>
      <w:tr w:rsidR="00AC499C" w:rsidRPr="00A958AD" w:rsidTr="00A958AD">
        <w:trPr>
          <w:trHeight w:val="276"/>
        </w:trPr>
        <w:tc>
          <w:tcPr>
            <w:tcW w:w="522"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rPr>
                <w:sz w:val="24"/>
                <w:szCs w:val="24"/>
              </w:rPr>
            </w:pPr>
            <w:r w:rsidRPr="00A958AD">
              <w:rPr>
                <w:sz w:val="24"/>
                <w:szCs w:val="24"/>
              </w:rPr>
              <w:lastRenderedPageBreak/>
              <w:t>14.</w:t>
            </w:r>
          </w:p>
        </w:tc>
        <w:tc>
          <w:tcPr>
            <w:tcW w:w="5715" w:type="dxa"/>
            <w:tcBorders>
              <w:top w:val="single" w:sz="4" w:space="0" w:color="000000"/>
              <w:left w:val="single" w:sz="4" w:space="0" w:color="auto"/>
              <w:bottom w:val="single" w:sz="4" w:space="0" w:color="000000"/>
              <w:right w:val="nil"/>
            </w:tcBorders>
          </w:tcPr>
          <w:p w:rsidR="00AC499C" w:rsidRPr="00A958AD" w:rsidRDefault="00AC499C" w:rsidP="00524DBF">
            <w:pPr>
              <w:snapToGrid w:val="0"/>
              <w:rPr>
                <w:sz w:val="24"/>
                <w:szCs w:val="24"/>
              </w:rPr>
            </w:pPr>
            <w:r w:rsidRPr="00A958AD">
              <w:rPr>
                <w:sz w:val="24"/>
                <w:szCs w:val="24"/>
              </w:rPr>
              <w:t>Хореографічний колектив «Зоряни»</w:t>
            </w:r>
          </w:p>
        </w:tc>
        <w:tc>
          <w:tcPr>
            <w:tcW w:w="1276" w:type="dxa"/>
            <w:tcBorders>
              <w:top w:val="single" w:sz="4" w:space="0" w:color="000000"/>
              <w:left w:val="single" w:sz="4" w:space="0" w:color="000000"/>
              <w:bottom w:val="single" w:sz="4" w:space="0" w:color="000000"/>
              <w:right w:val="nil"/>
            </w:tcBorders>
          </w:tcPr>
          <w:p w:rsidR="00AC499C" w:rsidRPr="00A958AD" w:rsidRDefault="00AC499C" w:rsidP="00524DBF">
            <w:pPr>
              <w:snapToGrid w:val="0"/>
              <w:jc w:val="center"/>
              <w:rPr>
                <w:sz w:val="24"/>
                <w:szCs w:val="24"/>
              </w:rPr>
            </w:pPr>
            <w:r w:rsidRPr="00A958AD">
              <w:rPr>
                <w:sz w:val="24"/>
                <w:szCs w:val="24"/>
              </w:rPr>
              <w:t>2015</w:t>
            </w:r>
          </w:p>
        </w:tc>
        <w:tc>
          <w:tcPr>
            <w:tcW w:w="1559"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jc w:val="center"/>
              <w:rPr>
                <w:sz w:val="24"/>
                <w:szCs w:val="24"/>
              </w:rPr>
            </w:pPr>
            <w:r w:rsidRPr="00A958AD">
              <w:rPr>
                <w:sz w:val="24"/>
                <w:szCs w:val="24"/>
              </w:rPr>
              <w:t>26</w:t>
            </w:r>
          </w:p>
        </w:tc>
      </w:tr>
      <w:tr w:rsidR="00AC499C" w:rsidRPr="00A958AD" w:rsidTr="00A958AD">
        <w:trPr>
          <w:trHeight w:val="276"/>
        </w:trPr>
        <w:tc>
          <w:tcPr>
            <w:tcW w:w="522"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rPr>
                <w:sz w:val="24"/>
                <w:szCs w:val="24"/>
              </w:rPr>
            </w:pPr>
            <w:r w:rsidRPr="00A958AD">
              <w:rPr>
                <w:sz w:val="24"/>
                <w:szCs w:val="24"/>
              </w:rPr>
              <w:t>15.</w:t>
            </w:r>
          </w:p>
        </w:tc>
        <w:tc>
          <w:tcPr>
            <w:tcW w:w="5715" w:type="dxa"/>
            <w:tcBorders>
              <w:top w:val="single" w:sz="4" w:space="0" w:color="000000"/>
              <w:left w:val="single" w:sz="4" w:space="0" w:color="auto"/>
              <w:bottom w:val="single" w:sz="4" w:space="0" w:color="000000"/>
              <w:right w:val="nil"/>
            </w:tcBorders>
          </w:tcPr>
          <w:p w:rsidR="00AC499C" w:rsidRPr="00A958AD" w:rsidRDefault="00AC499C" w:rsidP="00524DBF">
            <w:pPr>
              <w:snapToGrid w:val="0"/>
              <w:rPr>
                <w:sz w:val="24"/>
                <w:szCs w:val="24"/>
              </w:rPr>
            </w:pPr>
            <w:r w:rsidRPr="00A958AD">
              <w:rPr>
                <w:sz w:val="24"/>
                <w:szCs w:val="24"/>
              </w:rPr>
              <w:t>Вокальний колектив «Перлина»</w:t>
            </w:r>
          </w:p>
        </w:tc>
        <w:tc>
          <w:tcPr>
            <w:tcW w:w="1276" w:type="dxa"/>
            <w:tcBorders>
              <w:top w:val="single" w:sz="4" w:space="0" w:color="000000"/>
              <w:left w:val="single" w:sz="4" w:space="0" w:color="000000"/>
              <w:bottom w:val="single" w:sz="4" w:space="0" w:color="000000"/>
              <w:right w:val="nil"/>
            </w:tcBorders>
          </w:tcPr>
          <w:p w:rsidR="00AC499C" w:rsidRPr="00A958AD" w:rsidRDefault="00AC499C" w:rsidP="00524DBF">
            <w:pPr>
              <w:snapToGrid w:val="0"/>
              <w:jc w:val="center"/>
              <w:rPr>
                <w:sz w:val="24"/>
                <w:szCs w:val="24"/>
              </w:rPr>
            </w:pPr>
            <w:r w:rsidRPr="00A958AD">
              <w:rPr>
                <w:sz w:val="24"/>
                <w:szCs w:val="24"/>
              </w:rPr>
              <w:t>2016</w:t>
            </w:r>
          </w:p>
        </w:tc>
        <w:tc>
          <w:tcPr>
            <w:tcW w:w="1559"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jc w:val="center"/>
              <w:rPr>
                <w:sz w:val="24"/>
                <w:szCs w:val="24"/>
              </w:rPr>
            </w:pPr>
            <w:r w:rsidRPr="00A958AD">
              <w:rPr>
                <w:sz w:val="24"/>
                <w:szCs w:val="24"/>
              </w:rPr>
              <w:t>25</w:t>
            </w:r>
          </w:p>
        </w:tc>
      </w:tr>
      <w:tr w:rsidR="00AC499C" w:rsidRPr="00A958AD" w:rsidTr="00A958AD">
        <w:trPr>
          <w:trHeight w:val="276"/>
        </w:trPr>
        <w:tc>
          <w:tcPr>
            <w:tcW w:w="522"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rPr>
                <w:sz w:val="24"/>
                <w:szCs w:val="24"/>
              </w:rPr>
            </w:pPr>
            <w:r w:rsidRPr="00A958AD">
              <w:rPr>
                <w:sz w:val="24"/>
                <w:szCs w:val="24"/>
              </w:rPr>
              <w:t>16.</w:t>
            </w:r>
          </w:p>
        </w:tc>
        <w:tc>
          <w:tcPr>
            <w:tcW w:w="5715" w:type="dxa"/>
            <w:tcBorders>
              <w:top w:val="single" w:sz="4" w:space="0" w:color="000000"/>
              <w:left w:val="single" w:sz="4" w:space="0" w:color="auto"/>
              <w:bottom w:val="single" w:sz="4" w:space="0" w:color="000000"/>
              <w:right w:val="nil"/>
            </w:tcBorders>
          </w:tcPr>
          <w:p w:rsidR="00AC499C" w:rsidRPr="00A958AD" w:rsidRDefault="00AC499C" w:rsidP="00524DBF">
            <w:pPr>
              <w:snapToGrid w:val="0"/>
              <w:rPr>
                <w:sz w:val="24"/>
                <w:szCs w:val="24"/>
              </w:rPr>
            </w:pPr>
            <w:r w:rsidRPr="00A958AD">
              <w:rPr>
                <w:sz w:val="24"/>
                <w:szCs w:val="24"/>
              </w:rPr>
              <w:t>Театр Юного глядача</w:t>
            </w:r>
          </w:p>
        </w:tc>
        <w:tc>
          <w:tcPr>
            <w:tcW w:w="1276" w:type="dxa"/>
            <w:tcBorders>
              <w:top w:val="single" w:sz="4" w:space="0" w:color="000000"/>
              <w:left w:val="single" w:sz="4" w:space="0" w:color="000000"/>
              <w:bottom w:val="single" w:sz="4" w:space="0" w:color="000000"/>
              <w:right w:val="nil"/>
            </w:tcBorders>
          </w:tcPr>
          <w:p w:rsidR="00AC499C" w:rsidRPr="00A958AD" w:rsidRDefault="00AC499C" w:rsidP="00524DBF">
            <w:pPr>
              <w:snapToGrid w:val="0"/>
              <w:jc w:val="center"/>
              <w:rPr>
                <w:sz w:val="24"/>
                <w:szCs w:val="24"/>
              </w:rPr>
            </w:pPr>
            <w:r w:rsidRPr="00A958AD">
              <w:rPr>
                <w:sz w:val="24"/>
                <w:szCs w:val="24"/>
              </w:rPr>
              <w:t>2017</w:t>
            </w:r>
          </w:p>
        </w:tc>
        <w:tc>
          <w:tcPr>
            <w:tcW w:w="1559"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jc w:val="center"/>
              <w:rPr>
                <w:sz w:val="24"/>
                <w:szCs w:val="24"/>
              </w:rPr>
            </w:pPr>
            <w:r w:rsidRPr="00A958AD">
              <w:rPr>
                <w:sz w:val="24"/>
                <w:szCs w:val="24"/>
              </w:rPr>
              <w:t>38</w:t>
            </w:r>
          </w:p>
        </w:tc>
      </w:tr>
      <w:tr w:rsidR="00AC499C" w:rsidRPr="00A958AD" w:rsidTr="00A958AD">
        <w:trPr>
          <w:trHeight w:val="276"/>
        </w:trPr>
        <w:tc>
          <w:tcPr>
            <w:tcW w:w="522"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rPr>
                <w:sz w:val="24"/>
                <w:szCs w:val="24"/>
              </w:rPr>
            </w:pPr>
            <w:r w:rsidRPr="00A958AD">
              <w:rPr>
                <w:sz w:val="24"/>
                <w:szCs w:val="24"/>
              </w:rPr>
              <w:t xml:space="preserve">17. </w:t>
            </w:r>
          </w:p>
        </w:tc>
        <w:tc>
          <w:tcPr>
            <w:tcW w:w="5715" w:type="dxa"/>
            <w:tcBorders>
              <w:top w:val="single" w:sz="4" w:space="0" w:color="000000"/>
              <w:left w:val="single" w:sz="4" w:space="0" w:color="auto"/>
              <w:bottom w:val="single" w:sz="4" w:space="0" w:color="000000"/>
              <w:right w:val="nil"/>
            </w:tcBorders>
          </w:tcPr>
          <w:p w:rsidR="00AC499C" w:rsidRPr="00A958AD" w:rsidRDefault="00AC499C" w:rsidP="00524DBF">
            <w:pPr>
              <w:snapToGrid w:val="0"/>
              <w:rPr>
                <w:sz w:val="24"/>
                <w:szCs w:val="24"/>
              </w:rPr>
            </w:pPr>
            <w:r w:rsidRPr="00A958AD">
              <w:rPr>
                <w:sz w:val="24"/>
                <w:szCs w:val="24"/>
              </w:rPr>
              <w:t>Студія бального танцю «Хобі-клас»</w:t>
            </w:r>
          </w:p>
        </w:tc>
        <w:tc>
          <w:tcPr>
            <w:tcW w:w="1276" w:type="dxa"/>
            <w:tcBorders>
              <w:top w:val="single" w:sz="4" w:space="0" w:color="000000"/>
              <w:left w:val="single" w:sz="4" w:space="0" w:color="000000"/>
              <w:bottom w:val="single" w:sz="4" w:space="0" w:color="000000"/>
              <w:right w:val="nil"/>
            </w:tcBorders>
          </w:tcPr>
          <w:p w:rsidR="00AC499C" w:rsidRPr="00A958AD" w:rsidRDefault="00AC499C" w:rsidP="00524DBF">
            <w:pPr>
              <w:snapToGrid w:val="0"/>
              <w:jc w:val="center"/>
              <w:rPr>
                <w:sz w:val="24"/>
                <w:szCs w:val="24"/>
              </w:rPr>
            </w:pPr>
            <w:r w:rsidRPr="00A958AD">
              <w:rPr>
                <w:sz w:val="24"/>
                <w:szCs w:val="24"/>
              </w:rPr>
              <w:t>2005</w:t>
            </w:r>
          </w:p>
        </w:tc>
        <w:tc>
          <w:tcPr>
            <w:tcW w:w="1559"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jc w:val="center"/>
              <w:rPr>
                <w:sz w:val="24"/>
                <w:szCs w:val="24"/>
              </w:rPr>
            </w:pPr>
            <w:r w:rsidRPr="00A958AD">
              <w:rPr>
                <w:sz w:val="24"/>
                <w:szCs w:val="24"/>
              </w:rPr>
              <w:t>20</w:t>
            </w:r>
          </w:p>
        </w:tc>
      </w:tr>
      <w:tr w:rsidR="00AC499C" w:rsidRPr="00A958AD" w:rsidTr="00A958AD">
        <w:trPr>
          <w:trHeight w:val="276"/>
        </w:trPr>
        <w:tc>
          <w:tcPr>
            <w:tcW w:w="522"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rPr>
                <w:sz w:val="24"/>
                <w:szCs w:val="24"/>
              </w:rPr>
            </w:pPr>
            <w:r w:rsidRPr="00A958AD">
              <w:rPr>
                <w:sz w:val="24"/>
                <w:szCs w:val="24"/>
              </w:rPr>
              <w:t>18.</w:t>
            </w:r>
          </w:p>
        </w:tc>
        <w:tc>
          <w:tcPr>
            <w:tcW w:w="5715" w:type="dxa"/>
            <w:tcBorders>
              <w:top w:val="single" w:sz="4" w:space="0" w:color="000000"/>
              <w:left w:val="single" w:sz="4" w:space="0" w:color="auto"/>
              <w:bottom w:val="single" w:sz="4" w:space="0" w:color="000000"/>
              <w:right w:val="nil"/>
            </w:tcBorders>
          </w:tcPr>
          <w:p w:rsidR="00AC499C" w:rsidRPr="00A958AD" w:rsidRDefault="00AC499C" w:rsidP="00524DBF">
            <w:pPr>
              <w:snapToGrid w:val="0"/>
              <w:rPr>
                <w:sz w:val="24"/>
                <w:szCs w:val="24"/>
              </w:rPr>
            </w:pPr>
            <w:r w:rsidRPr="00A958AD">
              <w:rPr>
                <w:sz w:val="24"/>
                <w:szCs w:val="24"/>
              </w:rPr>
              <w:t>Клуб любителів вишивки «Червона ниточка»</w:t>
            </w:r>
          </w:p>
        </w:tc>
        <w:tc>
          <w:tcPr>
            <w:tcW w:w="1276" w:type="dxa"/>
            <w:tcBorders>
              <w:top w:val="single" w:sz="4" w:space="0" w:color="000000"/>
              <w:left w:val="single" w:sz="4" w:space="0" w:color="000000"/>
              <w:bottom w:val="single" w:sz="4" w:space="0" w:color="000000"/>
              <w:right w:val="nil"/>
            </w:tcBorders>
          </w:tcPr>
          <w:p w:rsidR="00AC499C" w:rsidRPr="00A958AD" w:rsidRDefault="00AC499C" w:rsidP="00524DBF">
            <w:pPr>
              <w:snapToGrid w:val="0"/>
              <w:jc w:val="center"/>
              <w:rPr>
                <w:sz w:val="24"/>
                <w:szCs w:val="24"/>
              </w:rPr>
            </w:pPr>
            <w:r w:rsidRPr="00A958AD">
              <w:rPr>
                <w:sz w:val="24"/>
                <w:szCs w:val="24"/>
              </w:rPr>
              <w:t>1993</w:t>
            </w:r>
          </w:p>
        </w:tc>
        <w:tc>
          <w:tcPr>
            <w:tcW w:w="1559"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jc w:val="center"/>
              <w:rPr>
                <w:sz w:val="24"/>
                <w:szCs w:val="24"/>
              </w:rPr>
            </w:pPr>
            <w:r w:rsidRPr="00A958AD">
              <w:rPr>
                <w:sz w:val="24"/>
                <w:szCs w:val="24"/>
              </w:rPr>
              <w:t>20</w:t>
            </w:r>
          </w:p>
        </w:tc>
      </w:tr>
      <w:tr w:rsidR="00AC499C" w:rsidRPr="00A958AD" w:rsidTr="00A958AD">
        <w:trPr>
          <w:trHeight w:val="276"/>
        </w:trPr>
        <w:tc>
          <w:tcPr>
            <w:tcW w:w="522"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rPr>
                <w:sz w:val="24"/>
                <w:szCs w:val="24"/>
              </w:rPr>
            </w:pPr>
            <w:r w:rsidRPr="00A958AD">
              <w:rPr>
                <w:sz w:val="24"/>
                <w:szCs w:val="24"/>
              </w:rPr>
              <w:t>19.</w:t>
            </w:r>
          </w:p>
        </w:tc>
        <w:tc>
          <w:tcPr>
            <w:tcW w:w="5715" w:type="dxa"/>
            <w:tcBorders>
              <w:top w:val="single" w:sz="4" w:space="0" w:color="000000"/>
              <w:left w:val="single" w:sz="4" w:space="0" w:color="auto"/>
              <w:bottom w:val="single" w:sz="4" w:space="0" w:color="000000"/>
              <w:right w:val="nil"/>
            </w:tcBorders>
          </w:tcPr>
          <w:p w:rsidR="00AC499C" w:rsidRPr="00A958AD" w:rsidRDefault="00AC499C" w:rsidP="00524DBF">
            <w:pPr>
              <w:snapToGrid w:val="0"/>
              <w:rPr>
                <w:sz w:val="24"/>
                <w:szCs w:val="24"/>
              </w:rPr>
            </w:pPr>
            <w:r w:rsidRPr="00A958AD">
              <w:rPr>
                <w:sz w:val="24"/>
                <w:szCs w:val="24"/>
              </w:rPr>
              <w:t>Клуб авторської пісні «Діалог»</w:t>
            </w:r>
          </w:p>
        </w:tc>
        <w:tc>
          <w:tcPr>
            <w:tcW w:w="1276" w:type="dxa"/>
            <w:tcBorders>
              <w:top w:val="single" w:sz="4" w:space="0" w:color="000000"/>
              <w:left w:val="single" w:sz="4" w:space="0" w:color="000000"/>
              <w:bottom w:val="single" w:sz="4" w:space="0" w:color="000000"/>
              <w:right w:val="nil"/>
            </w:tcBorders>
          </w:tcPr>
          <w:p w:rsidR="00AC499C" w:rsidRPr="00A958AD" w:rsidRDefault="00AC499C" w:rsidP="00524DBF">
            <w:pPr>
              <w:snapToGrid w:val="0"/>
              <w:jc w:val="center"/>
              <w:rPr>
                <w:sz w:val="24"/>
                <w:szCs w:val="24"/>
              </w:rPr>
            </w:pPr>
            <w:r w:rsidRPr="00A958AD">
              <w:rPr>
                <w:sz w:val="24"/>
                <w:szCs w:val="24"/>
              </w:rPr>
              <w:t>1977</w:t>
            </w:r>
          </w:p>
        </w:tc>
        <w:tc>
          <w:tcPr>
            <w:tcW w:w="1559"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jc w:val="center"/>
              <w:rPr>
                <w:sz w:val="24"/>
                <w:szCs w:val="24"/>
              </w:rPr>
            </w:pPr>
            <w:r w:rsidRPr="00A958AD">
              <w:rPr>
                <w:sz w:val="24"/>
                <w:szCs w:val="24"/>
              </w:rPr>
              <w:t>20</w:t>
            </w:r>
          </w:p>
        </w:tc>
      </w:tr>
      <w:tr w:rsidR="00AC499C" w:rsidRPr="00A958AD" w:rsidTr="00A958AD">
        <w:trPr>
          <w:trHeight w:val="276"/>
        </w:trPr>
        <w:tc>
          <w:tcPr>
            <w:tcW w:w="522"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rPr>
                <w:sz w:val="24"/>
                <w:szCs w:val="24"/>
              </w:rPr>
            </w:pPr>
            <w:r w:rsidRPr="00A958AD">
              <w:rPr>
                <w:sz w:val="24"/>
                <w:szCs w:val="24"/>
              </w:rPr>
              <w:t>20.</w:t>
            </w:r>
          </w:p>
        </w:tc>
        <w:tc>
          <w:tcPr>
            <w:tcW w:w="5715" w:type="dxa"/>
            <w:tcBorders>
              <w:top w:val="single" w:sz="4" w:space="0" w:color="000000"/>
              <w:left w:val="single" w:sz="4" w:space="0" w:color="auto"/>
              <w:bottom w:val="single" w:sz="4" w:space="0" w:color="000000"/>
              <w:right w:val="nil"/>
            </w:tcBorders>
          </w:tcPr>
          <w:p w:rsidR="00AC499C" w:rsidRPr="00A958AD" w:rsidRDefault="00AC499C" w:rsidP="00524DBF">
            <w:pPr>
              <w:snapToGrid w:val="0"/>
              <w:rPr>
                <w:sz w:val="24"/>
                <w:szCs w:val="24"/>
              </w:rPr>
            </w:pPr>
            <w:r w:rsidRPr="00A958AD">
              <w:rPr>
                <w:sz w:val="24"/>
                <w:szCs w:val="24"/>
              </w:rPr>
              <w:t xml:space="preserve">Клуб людей елегантного віку «Сузір’я» </w:t>
            </w:r>
          </w:p>
        </w:tc>
        <w:tc>
          <w:tcPr>
            <w:tcW w:w="1276" w:type="dxa"/>
            <w:tcBorders>
              <w:top w:val="single" w:sz="4" w:space="0" w:color="000000"/>
              <w:left w:val="single" w:sz="4" w:space="0" w:color="000000"/>
              <w:bottom w:val="single" w:sz="4" w:space="0" w:color="000000"/>
              <w:right w:val="nil"/>
            </w:tcBorders>
          </w:tcPr>
          <w:p w:rsidR="00AC499C" w:rsidRPr="00A958AD" w:rsidRDefault="00AC499C" w:rsidP="00524DBF">
            <w:pPr>
              <w:snapToGrid w:val="0"/>
              <w:jc w:val="center"/>
              <w:rPr>
                <w:sz w:val="24"/>
                <w:szCs w:val="24"/>
              </w:rPr>
            </w:pPr>
            <w:r w:rsidRPr="00A958AD">
              <w:rPr>
                <w:sz w:val="24"/>
                <w:szCs w:val="24"/>
              </w:rPr>
              <w:t>2000</w:t>
            </w:r>
          </w:p>
        </w:tc>
        <w:tc>
          <w:tcPr>
            <w:tcW w:w="1559"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jc w:val="center"/>
              <w:rPr>
                <w:sz w:val="24"/>
                <w:szCs w:val="24"/>
              </w:rPr>
            </w:pPr>
            <w:r w:rsidRPr="00A958AD">
              <w:rPr>
                <w:sz w:val="24"/>
                <w:szCs w:val="24"/>
              </w:rPr>
              <w:t>17</w:t>
            </w:r>
          </w:p>
        </w:tc>
      </w:tr>
    </w:tbl>
    <w:p w:rsidR="00AC499C" w:rsidRPr="00E95FB1" w:rsidRDefault="00AC499C" w:rsidP="00AC499C">
      <w:pPr>
        <w:pStyle w:val="af7"/>
        <w:jc w:val="both"/>
      </w:pPr>
    </w:p>
    <w:p w:rsidR="00AC499C" w:rsidRDefault="00AC499C" w:rsidP="00AC499C">
      <w:pPr>
        <w:pStyle w:val="af7"/>
        <w:ind w:firstLine="708"/>
        <w:jc w:val="both"/>
      </w:pPr>
      <w:r w:rsidRPr="00FF40D8">
        <w:t>На базі КЗ «Сєвєродонецький міський Палац культури» на регулярній основі організовувались культурно-масові заходи різного спрямування: виставки творів мистецтва; вистави та концерти аматорських та професійних колективів, культурно-освітні, суспільно-політичні та розважальні заходи. Зазначеними заходами охоплювалось близько 60% мешканців громади.</w:t>
      </w:r>
    </w:p>
    <w:p w:rsidR="00AC499C" w:rsidRPr="00E95FB1" w:rsidRDefault="00AC499C" w:rsidP="00AC499C">
      <w:pPr>
        <w:pStyle w:val="af7"/>
        <w:rPr>
          <w:b/>
          <w:i/>
          <w:color w:val="FF0000"/>
        </w:rPr>
      </w:pPr>
    </w:p>
    <w:p w:rsidR="00AC499C" w:rsidRPr="00E95FB1" w:rsidRDefault="00AC499C" w:rsidP="00AC499C">
      <w:pPr>
        <w:pStyle w:val="13"/>
        <w:ind w:firstLine="708"/>
        <w:jc w:val="both"/>
        <w:rPr>
          <w:szCs w:val="28"/>
          <w:lang w:val="uk-UA"/>
        </w:rPr>
      </w:pPr>
      <w:r w:rsidRPr="00E95FB1">
        <w:rPr>
          <w:szCs w:val="28"/>
          <w:lang w:val="uk-UA"/>
        </w:rPr>
        <w:t xml:space="preserve">В Сєвєродонецькій </w:t>
      </w:r>
      <w:r w:rsidR="009B4097">
        <w:rPr>
          <w:szCs w:val="28"/>
          <w:lang w:val="uk-UA"/>
        </w:rPr>
        <w:t>міській</w:t>
      </w:r>
      <w:r w:rsidR="009B4097" w:rsidRPr="00E95FB1">
        <w:rPr>
          <w:szCs w:val="28"/>
          <w:lang w:val="uk-UA"/>
        </w:rPr>
        <w:t xml:space="preserve"> </w:t>
      </w:r>
      <w:r w:rsidRPr="00E95FB1">
        <w:rPr>
          <w:szCs w:val="28"/>
          <w:lang w:val="uk-UA"/>
        </w:rPr>
        <w:t>територіальній громаді було 4 школи естетичного виховання (2 музичні школи, 1 художня школа, 1 школа мистецтв):</w:t>
      </w:r>
    </w:p>
    <w:p w:rsidR="00AC499C" w:rsidRPr="00E95FB1" w:rsidRDefault="00AC499C" w:rsidP="000303D7">
      <w:pPr>
        <w:pStyle w:val="13"/>
        <w:numPr>
          <w:ilvl w:val="0"/>
          <w:numId w:val="138"/>
        </w:numPr>
        <w:jc w:val="both"/>
        <w:rPr>
          <w:szCs w:val="28"/>
          <w:lang w:val="uk-UA"/>
        </w:rPr>
      </w:pPr>
      <w:r w:rsidRPr="00E95FB1">
        <w:rPr>
          <w:szCs w:val="28"/>
          <w:lang w:val="uk-UA"/>
        </w:rPr>
        <w:t xml:space="preserve">Комунальний заклад «Сєвєродонецька музична школа №1»  надавала початкову спеціальну мистецьку освіту у напрямку  «музичне мистецтво».  </w:t>
      </w:r>
    </w:p>
    <w:p w:rsidR="00AC499C" w:rsidRPr="00E95FB1" w:rsidRDefault="00AC499C" w:rsidP="000303D7">
      <w:pPr>
        <w:pStyle w:val="13"/>
        <w:numPr>
          <w:ilvl w:val="0"/>
          <w:numId w:val="138"/>
        </w:numPr>
        <w:jc w:val="both"/>
        <w:rPr>
          <w:szCs w:val="28"/>
          <w:lang w:val="uk-UA"/>
        </w:rPr>
      </w:pPr>
      <w:r w:rsidRPr="00E95FB1">
        <w:rPr>
          <w:szCs w:val="28"/>
          <w:lang w:val="uk-UA"/>
        </w:rPr>
        <w:t>Комунальний заклад «Сєвєродонецька музична школа №2</w:t>
      </w:r>
      <w:r w:rsidRPr="00E95FB1">
        <w:rPr>
          <w:b/>
          <w:i/>
          <w:szCs w:val="28"/>
          <w:lang w:val="uk-UA"/>
        </w:rPr>
        <w:t>»</w:t>
      </w:r>
      <w:r w:rsidRPr="00E95FB1">
        <w:rPr>
          <w:szCs w:val="28"/>
          <w:lang w:val="uk-UA"/>
        </w:rPr>
        <w:t xml:space="preserve"> надавала початкову спеціальну мистецьку освіту у напрямку «музичне мистецтво». </w:t>
      </w:r>
    </w:p>
    <w:p w:rsidR="00AC499C" w:rsidRPr="00E95FB1" w:rsidRDefault="00AC499C" w:rsidP="000303D7">
      <w:pPr>
        <w:pStyle w:val="13"/>
        <w:numPr>
          <w:ilvl w:val="0"/>
          <w:numId w:val="138"/>
        </w:numPr>
        <w:jc w:val="both"/>
        <w:rPr>
          <w:szCs w:val="28"/>
          <w:lang w:val="uk-UA"/>
        </w:rPr>
      </w:pPr>
      <w:r w:rsidRPr="00E95FB1">
        <w:rPr>
          <w:szCs w:val="28"/>
          <w:lang w:val="uk-UA"/>
        </w:rPr>
        <w:t xml:space="preserve">Комунальний заклад «Сєвєродонецька художня школа»  надавала початкову спеціальну мистецьку освіту у напрямку «художнє мистецтво». </w:t>
      </w:r>
    </w:p>
    <w:p w:rsidR="00AC499C" w:rsidRPr="00E95FB1" w:rsidRDefault="00AC499C" w:rsidP="000303D7">
      <w:pPr>
        <w:pStyle w:val="13"/>
        <w:numPr>
          <w:ilvl w:val="0"/>
          <w:numId w:val="138"/>
        </w:numPr>
        <w:jc w:val="both"/>
        <w:rPr>
          <w:szCs w:val="28"/>
          <w:lang w:val="uk-UA"/>
        </w:rPr>
      </w:pPr>
      <w:r w:rsidRPr="00E95FB1">
        <w:rPr>
          <w:szCs w:val="28"/>
          <w:lang w:val="uk-UA"/>
        </w:rPr>
        <w:t xml:space="preserve">Комунальний заклад </w:t>
      </w:r>
      <w:r w:rsidRPr="00E95FB1">
        <w:rPr>
          <w:szCs w:val="28"/>
          <w:lang w:val="uk-UA" w:eastAsia="ru-RU"/>
        </w:rPr>
        <w:t>«Борівська школа мистецтв»</w:t>
      </w:r>
      <w:r w:rsidRPr="00E95FB1">
        <w:rPr>
          <w:szCs w:val="28"/>
          <w:lang w:val="uk-UA"/>
        </w:rPr>
        <w:t xml:space="preserve"> надавала початкову спеціальну мистецьку освіту у напрямку «музичне мистецтво». </w:t>
      </w:r>
    </w:p>
    <w:p w:rsidR="00AC499C" w:rsidRDefault="00AC499C" w:rsidP="00AC499C">
      <w:pPr>
        <w:pStyle w:val="31"/>
        <w:ind w:firstLine="567"/>
        <w:jc w:val="both"/>
        <w:rPr>
          <w:rFonts w:ascii="Times New Roman" w:hAnsi="Times New Roman" w:cs="Times New Roman"/>
          <w:sz w:val="28"/>
          <w:szCs w:val="28"/>
          <w:lang w:val="uk-UA"/>
        </w:rPr>
      </w:pPr>
      <w:r w:rsidRPr="00E95FB1">
        <w:rPr>
          <w:rFonts w:ascii="Times New Roman" w:hAnsi="Times New Roman" w:cs="Times New Roman"/>
          <w:sz w:val="28"/>
          <w:szCs w:val="28"/>
          <w:lang w:val="uk-UA"/>
        </w:rPr>
        <w:t xml:space="preserve">  </w:t>
      </w:r>
    </w:p>
    <w:p w:rsidR="00AC499C" w:rsidRPr="00E95FB1" w:rsidRDefault="00AC499C" w:rsidP="00AC499C">
      <w:pPr>
        <w:pStyle w:val="31"/>
        <w:ind w:firstLine="567"/>
        <w:jc w:val="both"/>
        <w:rPr>
          <w:rFonts w:ascii="Times New Roman" w:hAnsi="Times New Roman" w:cs="Times New Roman"/>
          <w:sz w:val="28"/>
          <w:szCs w:val="28"/>
          <w:lang w:val="uk-UA"/>
        </w:rPr>
      </w:pPr>
      <w:r w:rsidRPr="00E95FB1">
        <w:rPr>
          <w:rFonts w:ascii="Times New Roman" w:hAnsi="Times New Roman" w:cs="Times New Roman"/>
          <w:sz w:val="28"/>
          <w:szCs w:val="28"/>
          <w:lang w:val="uk-UA"/>
        </w:rPr>
        <w:t>Загальний контингент комунальних позашкільних навчальних закладів міста Сєвєродонецька у 2021-2022 навчальному році складав 1</w:t>
      </w:r>
      <w:r w:rsidR="009B4097">
        <w:rPr>
          <w:rFonts w:ascii="Times New Roman" w:hAnsi="Times New Roman" w:cs="Times New Roman"/>
          <w:sz w:val="28"/>
          <w:szCs w:val="28"/>
          <w:lang w:val="uk-UA"/>
        </w:rPr>
        <w:t xml:space="preserve"> </w:t>
      </w:r>
      <w:r w:rsidRPr="00E95FB1">
        <w:rPr>
          <w:rFonts w:ascii="Times New Roman" w:hAnsi="Times New Roman" w:cs="Times New Roman"/>
          <w:sz w:val="28"/>
          <w:szCs w:val="28"/>
          <w:lang w:val="uk-UA"/>
        </w:rPr>
        <w:t>000 учнів, що становить 10,93 % від загальної кількості дітей шкільного віку, але на теперішній час всі роз’їхались по різним містам, деякі з дітей розпочали навчання за місцем їх перебування. Щорічно дві третини учнів брали  участь у конкурсах і фестивалях міського, обласного, всеукраїнського та міжнародного  рівнів - в Польщі, Литві, Латвії, Франції, Румунії, Ірані, Японії тощо.</w:t>
      </w:r>
    </w:p>
    <w:p w:rsidR="00AC499C" w:rsidRDefault="00AC499C" w:rsidP="00AC499C">
      <w:pPr>
        <w:pStyle w:val="af7"/>
        <w:tabs>
          <w:tab w:val="left" w:pos="709"/>
        </w:tabs>
        <w:jc w:val="both"/>
      </w:pPr>
      <w:r w:rsidRPr="00E95FB1">
        <w:tab/>
      </w:r>
    </w:p>
    <w:p w:rsidR="00AC499C" w:rsidRPr="00E95FB1" w:rsidRDefault="00AC499C" w:rsidP="00AC499C">
      <w:pPr>
        <w:pStyle w:val="af7"/>
        <w:tabs>
          <w:tab w:val="left" w:pos="709"/>
        </w:tabs>
        <w:jc w:val="both"/>
      </w:pPr>
      <w:r>
        <w:tab/>
      </w:r>
      <w:r w:rsidRPr="00E95FB1">
        <w:t xml:space="preserve">В Сєвєродонецькій </w:t>
      </w:r>
      <w:r w:rsidR="009B4097">
        <w:t>міській</w:t>
      </w:r>
      <w:r w:rsidR="009B4097" w:rsidRPr="00E95FB1">
        <w:t xml:space="preserve"> </w:t>
      </w:r>
      <w:r w:rsidRPr="00E95FB1">
        <w:t xml:space="preserve">територіальній громаді </w:t>
      </w:r>
      <w:r>
        <w:t>працювало</w:t>
      </w:r>
      <w:r w:rsidRPr="00E95FB1">
        <w:t xml:space="preserve"> 4 бібліотеки та 7 філій бібліотек: </w:t>
      </w:r>
    </w:p>
    <w:p w:rsidR="00AC499C" w:rsidRPr="00FF40D8" w:rsidRDefault="00AC499C" w:rsidP="000303D7">
      <w:pPr>
        <w:pStyle w:val="13"/>
        <w:numPr>
          <w:ilvl w:val="0"/>
          <w:numId w:val="138"/>
        </w:numPr>
        <w:jc w:val="both"/>
        <w:rPr>
          <w:szCs w:val="28"/>
          <w:lang w:val="uk-UA"/>
        </w:rPr>
      </w:pPr>
      <w:r w:rsidRPr="00FF40D8">
        <w:rPr>
          <w:szCs w:val="28"/>
          <w:lang w:val="uk-UA"/>
        </w:rPr>
        <w:t xml:space="preserve">Комунальний заклад «Сєвєродонецька міська бібліотека для юнацтва ім. Й. Б. </w:t>
      </w:r>
      <w:proofErr w:type="spellStart"/>
      <w:r w:rsidRPr="00FF40D8">
        <w:rPr>
          <w:szCs w:val="28"/>
          <w:lang w:val="uk-UA"/>
        </w:rPr>
        <w:t>Курлата</w:t>
      </w:r>
      <w:proofErr w:type="spellEnd"/>
      <w:r w:rsidRPr="00FF40D8">
        <w:rPr>
          <w:szCs w:val="28"/>
          <w:lang w:val="uk-UA"/>
        </w:rPr>
        <w:t>».</w:t>
      </w:r>
    </w:p>
    <w:p w:rsidR="00AC499C" w:rsidRPr="00FF40D8" w:rsidRDefault="00AC499C" w:rsidP="000303D7">
      <w:pPr>
        <w:pStyle w:val="13"/>
        <w:numPr>
          <w:ilvl w:val="0"/>
          <w:numId w:val="138"/>
        </w:numPr>
        <w:jc w:val="both"/>
        <w:rPr>
          <w:szCs w:val="28"/>
          <w:lang w:val="uk-UA"/>
        </w:rPr>
      </w:pPr>
      <w:r w:rsidRPr="00E95FB1">
        <w:rPr>
          <w:szCs w:val="28"/>
          <w:lang w:val="uk-UA"/>
        </w:rPr>
        <w:t xml:space="preserve">Комунальний заклад </w:t>
      </w:r>
      <w:r w:rsidRPr="00FF40D8">
        <w:rPr>
          <w:szCs w:val="28"/>
          <w:lang w:val="uk-UA"/>
        </w:rPr>
        <w:t xml:space="preserve">«Сєвєродонецька міська бібліотека для дітей». Мав філію в селище </w:t>
      </w:r>
      <w:proofErr w:type="spellStart"/>
      <w:r w:rsidRPr="00FF40D8">
        <w:rPr>
          <w:szCs w:val="28"/>
          <w:lang w:val="uk-UA"/>
        </w:rPr>
        <w:t>Сиротіне</w:t>
      </w:r>
      <w:proofErr w:type="spellEnd"/>
      <w:r w:rsidRPr="00FF40D8">
        <w:rPr>
          <w:szCs w:val="28"/>
          <w:lang w:val="uk-UA"/>
        </w:rPr>
        <w:t>.</w:t>
      </w:r>
    </w:p>
    <w:p w:rsidR="00AC499C" w:rsidRPr="00FF40D8" w:rsidRDefault="00AC499C" w:rsidP="000303D7">
      <w:pPr>
        <w:pStyle w:val="13"/>
        <w:numPr>
          <w:ilvl w:val="0"/>
          <w:numId w:val="138"/>
        </w:numPr>
        <w:jc w:val="both"/>
        <w:rPr>
          <w:szCs w:val="28"/>
          <w:lang w:val="uk-UA"/>
        </w:rPr>
      </w:pPr>
      <w:r w:rsidRPr="00E95FB1">
        <w:rPr>
          <w:szCs w:val="28"/>
          <w:lang w:val="uk-UA"/>
        </w:rPr>
        <w:t xml:space="preserve">Комунальний заклад </w:t>
      </w:r>
      <w:r w:rsidRPr="00FF40D8">
        <w:rPr>
          <w:szCs w:val="28"/>
          <w:lang w:val="uk-UA"/>
        </w:rPr>
        <w:t>«Сєвєродонецька міська публічна бібліотека».</w:t>
      </w:r>
      <w:r>
        <w:rPr>
          <w:szCs w:val="28"/>
          <w:lang w:val="uk-UA"/>
        </w:rPr>
        <w:t xml:space="preserve"> </w:t>
      </w:r>
      <w:r w:rsidRPr="00FF40D8">
        <w:rPr>
          <w:szCs w:val="28"/>
          <w:lang w:val="uk-UA"/>
        </w:rPr>
        <w:t xml:space="preserve">Мав 6 філій: </w:t>
      </w:r>
    </w:p>
    <w:p w:rsidR="00AC499C" w:rsidRPr="00E95FB1" w:rsidRDefault="00AC499C" w:rsidP="00AC499C">
      <w:pPr>
        <w:pStyle w:val="31"/>
        <w:ind w:firstLine="993"/>
        <w:rPr>
          <w:rFonts w:ascii="Times New Roman" w:hAnsi="Times New Roman" w:cs="Times New Roman"/>
          <w:bCs/>
          <w:sz w:val="28"/>
          <w:szCs w:val="28"/>
          <w:lang w:val="uk-UA"/>
        </w:rPr>
      </w:pPr>
      <w:r w:rsidRPr="00E95FB1">
        <w:rPr>
          <w:rFonts w:ascii="Times New Roman" w:hAnsi="Times New Roman" w:cs="Times New Roman"/>
          <w:sz w:val="28"/>
          <w:szCs w:val="28"/>
          <w:lang w:val="uk-UA"/>
        </w:rPr>
        <w:t>- Ф</w:t>
      </w:r>
      <w:r w:rsidRPr="00E95FB1">
        <w:rPr>
          <w:rFonts w:ascii="Times New Roman" w:hAnsi="Times New Roman" w:cs="Times New Roman"/>
          <w:bCs/>
          <w:sz w:val="28"/>
          <w:szCs w:val="28"/>
          <w:lang w:val="uk-UA"/>
        </w:rPr>
        <w:t>ілія в селище Борівському;</w:t>
      </w:r>
    </w:p>
    <w:p w:rsidR="00AC499C" w:rsidRPr="00E95FB1" w:rsidRDefault="00AC499C" w:rsidP="00AC499C">
      <w:pPr>
        <w:pStyle w:val="31"/>
        <w:ind w:firstLine="993"/>
        <w:rPr>
          <w:rFonts w:ascii="Times New Roman" w:hAnsi="Times New Roman" w:cs="Times New Roman"/>
          <w:bCs/>
          <w:sz w:val="28"/>
          <w:szCs w:val="28"/>
          <w:lang w:val="uk-UA"/>
        </w:rPr>
      </w:pPr>
      <w:r w:rsidRPr="00E95FB1">
        <w:rPr>
          <w:rFonts w:ascii="Times New Roman" w:hAnsi="Times New Roman" w:cs="Times New Roman"/>
          <w:sz w:val="28"/>
          <w:szCs w:val="28"/>
          <w:lang w:val="uk-UA"/>
        </w:rPr>
        <w:lastRenderedPageBreak/>
        <w:t>- Ф</w:t>
      </w:r>
      <w:r w:rsidRPr="00E95FB1">
        <w:rPr>
          <w:rFonts w:ascii="Times New Roman" w:hAnsi="Times New Roman" w:cs="Times New Roman"/>
          <w:bCs/>
          <w:sz w:val="28"/>
          <w:szCs w:val="28"/>
          <w:lang w:val="uk-UA"/>
        </w:rPr>
        <w:t>ілія в селище Чабанівка;</w:t>
      </w:r>
    </w:p>
    <w:p w:rsidR="00AC499C" w:rsidRPr="00E95FB1" w:rsidRDefault="00AC499C" w:rsidP="00AC499C">
      <w:pPr>
        <w:pStyle w:val="31"/>
        <w:ind w:firstLine="993"/>
        <w:rPr>
          <w:rFonts w:ascii="Times New Roman" w:hAnsi="Times New Roman" w:cs="Times New Roman"/>
          <w:bCs/>
          <w:sz w:val="28"/>
          <w:szCs w:val="28"/>
          <w:lang w:val="uk-UA"/>
        </w:rPr>
      </w:pPr>
      <w:r w:rsidRPr="00E95FB1">
        <w:rPr>
          <w:rFonts w:ascii="Times New Roman" w:hAnsi="Times New Roman" w:cs="Times New Roman"/>
          <w:bCs/>
          <w:sz w:val="28"/>
          <w:szCs w:val="28"/>
          <w:lang w:val="uk-UA"/>
        </w:rPr>
        <w:t xml:space="preserve">- </w:t>
      </w:r>
      <w:r w:rsidRPr="00E95FB1">
        <w:rPr>
          <w:rFonts w:ascii="Times New Roman" w:hAnsi="Times New Roman" w:cs="Times New Roman"/>
          <w:sz w:val="28"/>
          <w:szCs w:val="28"/>
          <w:lang w:val="uk-UA"/>
        </w:rPr>
        <w:t>Ф</w:t>
      </w:r>
      <w:r w:rsidRPr="00E95FB1">
        <w:rPr>
          <w:rFonts w:ascii="Times New Roman" w:hAnsi="Times New Roman" w:cs="Times New Roman"/>
          <w:bCs/>
          <w:sz w:val="28"/>
          <w:szCs w:val="28"/>
          <w:lang w:val="uk-UA"/>
        </w:rPr>
        <w:t xml:space="preserve">ілія в селище </w:t>
      </w:r>
      <w:proofErr w:type="spellStart"/>
      <w:r w:rsidRPr="00E95FB1">
        <w:rPr>
          <w:rFonts w:ascii="Times New Roman" w:hAnsi="Times New Roman" w:cs="Times New Roman"/>
          <w:bCs/>
          <w:sz w:val="28"/>
          <w:szCs w:val="28"/>
          <w:lang w:val="uk-UA"/>
        </w:rPr>
        <w:t>Боровеньки</w:t>
      </w:r>
      <w:proofErr w:type="spellEnd"/>
      <w:r w:rsidRPr="00E95FB1">
        <w:rPr>
          <w:rFonts w:ascii="Times New Roman" w:hAnsi="Times New Roman" w:cs="Times New Roman"/>
          <w:bCs/>
          <w:sz w:val="28"/>
          <w:szCs w:val="28"/>
          <w:lang w:val="uk-UA"/>
        </w:rPr>
        <w:t>;</w:t>
      </w:r>
    </w:p>
    <w:p w:rsidR="00AC499C" w:rsidRPr="00E95FB1" w:rsidRDefault="00AC499C" w:rsidP="00AC499C">
      <w:pPr>
        <w:pStyle w:val="31"/>
        <w:ind w:firstLine="993"/>
        <w:rPr>
          <w:rFonts w:ascii="Times New Roman" w:hAnsi="Times New Roman" w:cs="Times New Roman"/>
          <w:bCs/>
          <w:sz w:val="28"/>
          <w:szCs w:val="28"/>
          <w:lang w:val="uk-UA"/>
        </w:rPr>
      </w:pPr>
      <w:r w:rsidRPr="00E95FB1">
        <w:rPr>
          <w:rFonts w:ascii="Times New Roman" w:hAnsi="Times New Roman" w:cs="Times New Roman"/>
          <w:sz w:val="28"/>
          <w:szCs w:val="28"/>
          <w:lang w:val="uk-UA"/>
        </w:rPr>
        <w:t>- Ф</w:t>
      </w:r>
      <w:r w:rsidRPr="00E95FB1">
        <w:rPr>
          <w:rFonts w:ascii="Times New Roman" w:hAnsi="Times New Roman" w:cs="Times New Roman"/>
          <w:bCs/>
          <w:sz w:val="28"/>
          <w:szCs w:val="28"/>
          <w:lang w:val="uk-UA"/>
        </w:rPr>
        <w:t xml:space="preserve">ілія в селище </w:t>
      </w:r>
      <w:proofErr w:type="spellStart"/>
      <w:r w:rsidRPr="00E95FB1">
        <w:rPr>
          <w:rFonts w:ascii="Times New Roman" w:hAnsi="Times New Roman" w:cs="Times New Roman"/>
          <w:bCs/>
          <w:sz w:val="28"/>
          <w:szCs w:val="28"/>
          <w:lang w:val="uk-UA"/>
        </w:rPr>
        <w:t>Єпіфанівка</w:t>
      </w:r>
      <w:proofErr w:type="spellEnd"/>
      <w:r w:rsidRPr="00E95FB1">
        <w:rPr>
          <w:rFonts w:ascii="Times New Roman" w:hAnsi="Times New Roman" w:cs="Times New Roman"/>
          <w:bCs/>
          <w:sz w:val="28"/>
          <w:szCs w:val="28"/>
          <w:lang w:val="uk-UA"/>
        </w:rPr>
        <w:t>;</w:t>
      </w:r>
    </w:p>
    <w:p w:rsidR="00AC499C" w:rsidRPr="00E95FB1" w:rsidRDefault="00AC499C" w:rsidP="00AC499C">
      <w:pPr>
        <w:pStyle w:val="31"/>
        <w:ind w:firstLine="993"/>
        <w:rPr>
          <w:rFonts w:ascii="Times New Roman" w:hAnsi="Times New Roman" w:cs="Times New Roman"/>
          <w:bCs/>
          <w:sz w:val="28"/>
          <w:szCs w:val="28"/>
          <w:lang w:val="uk-UA"/>
        </w:rPr>
      </w:pPr>
      <w:r w:rsidRPr="00E95FB1">
        <w:rPr>
          <w:rFonts w:ascii="Times New Roman" w:hAnsi="Times New Roman" w:cs="Times New Roman"/>
          <w:sz w:val="28"/>
          <w:szCs w:val="28"/>
          <w:lang w:val="uk-UA"/>
        </w:rPr>
        <w:t>- Ф</w:t>
      </w:r>
      <w:r w:rsidRPr="00E95FB1">
        <w:rPr>
          <w:rFonts w:ascii="Times New Roman" w:hAnsi="Times New Roman" w:cs="Times New Roman"/>
          <w:bCs/>
          <w:sz w:val="28"/>
          <w:szCs w:val="28"/>
          <w:lang w:val="uk-UA"/>
        </w:rPr>
        <w:t>ілія в селище Нова Астрахань;</w:t>
      </w:r>
    </w:p>
    <w:p w:rsidR="00AC499C" w:rsidRPr="00E95FB1" w:rsidRDefault="00AC499C" w:rsidP="00AC499C">
      <w:pPr>
        <w:pStyle w:val="31"/>
        <w:ind w:firstLine="993"/>
        <w:rPr>
          <w:rFonts w:ascii="Times New Roman" w:hAnsi="Times New Roman" w:cs="Times New Roman"/>
          <w:bCs/>
          <w:sz w:val="28"/>
          <w:szCs w:val="28"/>
          <w:lang w:val="uk-UA"/>
        </w:rPr>
      </w:pPr>
      <w:r w:rsidRPr="00E95FB1">
        <w:rPr>
          <w:rFonts w:ascii="Times New Roman" w:hAnsi="Times New Roman" w:cs="Times New Roman"/>
          <w:bCs/>
          <w:sz w:val="28"/>
          <w:szCs w:val="28"/>
          <w:lang w:val="uk-UA"/>
        </w:rPr>
        <w:t xml:space="preserve">- </w:t>
      </w:r>
      <w:r w:rsidRPr="00E95FB1">
        <w:rPr>
          <w:rFonts w:ascii="Times New Roman" w:hAnsi="Times New Roman" w:cs="Times New Roman"/>
          <w:sz w:val="28"/>
          <w:szCs w:val="28"/>
          <w:lang w:val="uk-UA"/>
        </w:rPr>
        <w:t>Ф</w:t>
      </w:r>
      <w:r w:rsidRPr="00E95FB1">
        <w:rPr>
          <w:rFonts w:ascii="Times New Roman" w:hAnsi="Times New Roman" w:cs="Times New Roman"/>
          <w:bCs/>
          <w:sz w:val="28"/>
          <w:szCs w:val="28"/>
          <w:lang w:val="uk-UA"/>
        </w:rPr>
        <w:t xml:space="preserve">ілія в селище </w:t>
      </w:r>
      <w:proofErr w:type="spellStart"/>
      <w:r w:rsidRPr="00E95FB1">
        <w:rPr>
          <w:rFonts w:ascii="Times New Roman" w:hAnsi="Times New Roman" w:cs="Times New Roman"/>
          <w:bCs/>
          <w:sz w:val="28"/>
          <w:szCs w:val="28"/>
          <w:lang w:val="uk-UA"/>
        </w:rPr>
        <w:t>Смолянинове</w:t>
      </w:r>
      <w:proofErr w:type="spellEnd"/>
      <w:r w:rsidRPr="00E95FB1">
        <w:rPr>
          <w:rFonts w:ascii="Times New Roman" w:hAnsi="Times New Roman" w:cs="Times New Roman"/>
          <w:bCs/>
          <w:sz w:val="28"/>
          <w:szCs w:val="28"/>
          <w:lang w:val="uk-UA"/>
        </w:rPr>
        <w:t>.</w:t>
      </w:r>
    </w:p>
    <w:p w:rsidR="00AC499C" w:rsidRDefault="00AC499C" w:rsidP="00AC499C">
      <w:pPr>
        <w:pStyle w:val="af7"/>
        <w:ind w:firstLine="567"/>
        <w:jc w:val="both"/>
        <w:rPr>
          <w:rFonts w:eastAsia="Times New Roman"/>
        </w:rPr>
      </w:pPr>
    </w:p>
    <w:p w:rsidR="00AC499C" w:rsidRPr="00E95FB1" w:rsidRDefault="00AC499C" w:rsidP="00AA5933">
      <w:pPr>
        <w:pStyle w:val="af7"/>
        <w:ind w:firstLine="708"/>
        <w:jc w:val="both"/>
        <w:rPr>
          <w:rFonts w:eastAsia="Times New Roman"/>
        </w:rPr>
      </w:pPr>
      <w:r w:rsidRPr="00E95FB1">
        <w:rPr>
          <w:rFonts w:eastAsia="Times New Roman"/>
        </w:rPr>
        <w:t xml:space="preserve">Бібліотеки мали потужний потенціал для консолідації суспільства, спрямування його на дотримання європейських цінностей, інтеграцію України у європейське співтовариство, для підвищення якості життя, рівного доступу до інформації, знань і культурного надбання. </w:t>
      </w:r>
    </w:p>
    <w:p w:rsidR="00AC499C" w:rsidRDefault="00AC499C" w:rsidP="00AC499C">
      <w:pPr>
        <w:pStyle w:val="af5"/>
        <w:shd w:val="clear" w:color="auto" w:fill="FFFFFF"/>
        <w:tabs>
          <w:tab w:val="left" w:pos="851"/>
        </w:tabs>
        <w:jc w:val="both"/>
        <w:rPr>
          <w:bCs/>
          <w:sz w:val="28"/>
          <w:szCs w:val="28"/>
        </w:rPr>
      </w:pPr>
    </w:p>
    <w:p w:rsidR="00AC499C" w:rsidRDefault="00AA5933" w:rsidP="00AC499C">
      <w:pPr>
        <w:pStyle w:val="af5"/>
        <w:shd w:val="clear" w:color="auto" w:fill="FFFFFF"/>
        <w:tabs>
          <w:tab w:val="left" w:pos="851"/>
        </w:tabs>
        <w:jc w:val="both"/>
        <w:rPr>
          <w:sz w:val="28"/>
          <w:szCs w:val="28"/>
        </w:rPr>
      </w:pPr>
      <w:r>
        <w:rPr>
          <w:bCs/>
          <w:sz w:val="28"/>
          <w:szCs w:val="28"/>
        </w:rPr>
        <w:tab/>
      </w:r>
      <w:r w:rsidR="00AC499C" w:rsidRPr="00E95FB1">
        <w:rPr>
          <w:bCs/>
          <w:sz w:val="28"/>
          <w:szCs w:val="28"/>
        </w:rPr>
        <w:t>Комунальний заклад «Сєвєродонецька галерея мистецтв»</w:t>
      </w:r>
      <w:r w:rsidR="00AC499C" w:rsidRPr="00E95FB1">
        <w:rPr>
          <w:b/>
          <w:bCs/>
          <w:i/>
          <w:sz w:val="28"/>
          <w:szCs w:val="28"/>
        </w:rPr>
        <w:t xml:space="preserve"> </w:t>
      </w:r>
      <w:r w:rsidR="00AC499C" w:rsidRPr="00E95FB1">
        <w:rPr>
          <w:sz w:val="28"/>
          <w:szCs w:val="28"/>
        </w:rPr>
        <w:t>відвідувало понад 20 тисяч мешканців міста та регіону на рік.</w:t>
      </w:r>
    </w:p>
    <w:p w:rsidR="00901370" w:rsidRPr="003246CC" w:rsidRDefault="00901370" w:rsidP="00AC499C">
      <w:pPr>
        <w:pStyle w:val="af5"/>
        <w:shd w:val="clear" w:color="auto" w:fill="FFFFFF"/>
        <w:tabs>
          <w:tab w:val="left" w:pos="851"/>
        </w:tabs>
        <w:jc w:val="both"/>
        <w:rPr>
          <w:sz w:val="28"/>
          <w:szCs w:val="28"/>
        </w:rPr>
      </w:pPr>
      <w:r>
        <w:rPr>
          <w:sz w:val="28"/>
          <w:szCs w:val="28"/>
        </w:rPr>
        <w:tab/>
      </w:r>
      <w:r w:rsidR="003246CC" w:rsidRPr="003246CC">
        <w:rPr>
          <w:sz w:val="28"/>
          <w:szCs w:val="28"/>
        </w:rPr>
        <w:t xml:space="preserve">В </w:t>
      </w:r>
      <w:proofErr w:type="spellStart"/>
      <w:r w:rsidR="003246CC" w:rsidRPr="003246CC">
        <w:rPr>
          <w:sz w:val="28"/>
          <w:szCs w:val="28"/>
        </w:rPr>
        <w:t>м.Сєвєродонецьк</w:t>
      </w:r>
      <w:proofErr w:type="spellEnd"/>
      <w:r w:rsidR="003246CC" w:rsidRPr="003246CC">
        <w:rPr>
          <w:sz w:val="28"/>
          <w:szCs w:val="28"/>
        </w:rPr>
        <w:t xml:space="preserve"> </w:t>
      </w:r>
      <w:r w:rsidR="001C48DD">
        <w:rPr>
          <w:sz w:val="28"/>
          <w:szCs w:val="28"/>
        </w:rPr>
        <w:t>д</w:t>
      </w:r>
      <w:r w:rsidR="003246CC" w:rsidRPr="003246CC">
        <w:rPr>
          <w:sz w:val="28"/>
          <w:szCs w:val="28"/>
        </w:rPr>
        <w:t>іяли культурні заклади, в яких постійно проводились концерти, вистави, культурно-освітні, суспільно-політичні та розважальні заходи. Серед них Палац культури «Хімік», Луганський обласний музично-драматичний театр, концертний зал «Сєвєродонецького коледжу культури і мистецтв імені Сергія Прокоф`єва», Льодовий палац</w:t>
      </w:r>
      <w:r w:rsidR="001C48DD">
        <w:rPr>
          <w:sz w:val="28"/>
          <w:szCs w:val="28"/>
        </w:rPr>
        <w:t xml:space="preserve"> спорту.</w:t>
      </w:r>
    </w:p>
    <w:p w:rsidR="00AC499C" w:rsidRPr="003246CC" w:rsidRDefault="00AC499C" w:rsidP="00AC499C">
      <w:pPr>
        <w:pStyle w:val="31"/>
        <w:tabs>
          <w:tab w:val="left" w:pos="851"/>
        </w:tabs>
        <w:jc w:val="both"/>
        <w:rPr>
          <w:rFonts w:ascii="Times New Roman" w:hAnsi="Times New Roman" w:cs="Times New Roman"/>
          <w:b/>
          <w:sz w:val="28"/>
          <w:szCs w:val="28"/>
          <w:lang w:val="uk-UA"/>
        </w:rPr>
      </w:pPr>
      <w:r w:rsidRPr="003246CC">
        <w:rPr>
          <w:rFonts w:ascii="Times New Roman" w:hAnsi="Times New Roman" w:cs="Times New Roman"/>
          <w:b/>
          <w:sz w:val="28"/>
          <w:szCs w:val="28"/>
          <w:lang w:val="uk-UA"/>
        </w:rPr>
        <w:tab/>
      </w:r>
    </w:p>
    <w:p w:rsidR="00AC499C" w:rsidRPr="00E95FB1" w:rsidRDefault="00AA5933" w:rsidP="00AC499C">
      <w:pPr>
        <w:pStyle w:val="31"/>
        <w:tabs>
          <w:tab w:val="left" w:pos="851"/>
        </w:tabs>
        <w:jc w:val="both"/>
        <w:rPr>
          <w:rFonts w:ascii="Times New Roman" w:hAnsi="Times New Roman" w:cs="Times New Roman"/>
          <w:sz w:val="28"/>
          <w:szCs w:val="28"/>
          <w:lang w:val="uk-UA"/>
        </w:rPr>
      </w:pPr>
      <w:r>
        <w:rPr>
          <w:rFonts w:ascii="Times New Roman" w:hAnsi="Times New Roman" w:cs="Times New Roman"/>
          <w:b/>
          <w:sz w:val="28"/>
          <w:szCs w:val="28"/>
          <w:lang w:val="uk-UA"/>
        </w:rPr>
        <w:tab/>
      </w:r>
      <w:r w:rsidR="00AC499C" w:rsidRPr="00E95FB1">
        <w:rPr>
          <w:rFonts w:ascii="Times New Roman" w:hAnsi="Times New Roman" w:cs="Times New Roman"/>
          <w:b/>
          <w:sz w:val="28"/>
          <w:szCs w:val="28"/>
          <w:lang w:val="uk-UA"/>
        </w:rPr>
        <w:t>Культурна спадщина територіальної громади Сєвєродонецька є невід’ємною частиною культурного надбання України</w:t>
      </w:r>
      <w:r w:rsidR="00AC499C" w:rsidRPr="00E95FB1">
        <w:rPr>
          <w:rFonts w:ascii="Times New Roman" w:hAnsi="Times New Roman" w:cs="Times New Roman"/>
          <w:sz w:val="28"/>
          <w:szCs w:val="28"/>
          <w:lang w:val="uk-UA"/>
        </w:rPr>
        <w:t xml:space="preserve">, а відтак світового культурного надбання, тому питання дотримання </w:t>
      </w:r>
      <w:proofErr w:type="spellStart"/>
      <w:r w:rsidR="00AC499C" w:rsidRPr="00E95FB1">
        <w:rPr>
          <w:rFonts w:ascii="Times New Roman" w:hAnsi="Times New Roman" w:cs="Times New Roman"/>
          <w:sz w:val="28"/>
          <w:szCs w:val="28"/>
          <w:lang w:val="uk-UA"/>
        </w:rPr>
        <w:t>пам’яткоохоронного</w:t>
      </w:r>
      <w:proofErr w:type="spellEnd"/>
      <w:r w:rsidR="00AC499C" w:rsidRPr="00E95FB1">
        <w:rPr>
          <w:rFonts w:ascii="Times New Roman" w:hAnsi="Times New Roman" w:cs="Times New Roman"/>
          <w:sz w:val="28"/>
          <w:szCs w:val="28"/>
          <w:lang w:val="uk-UA"/>
        </w:rPr>
        <w:t xml:space="preserve"> законодавства особливо актуальне. </w:t>
      </w:r>
    </w:p>
    <w:p w:rsidR="00AC499C" w:rsidRPr="00E95FB1" w:rsidRDefault="00AC499C" w:rsidP="00AC499C">
      <w:pPr>
        <w:pStyle w:val="31"/>
        <w:ind w:firstLine="567"/>
        <w:rPr>
          <w:rFonts w:ascii="Times New Roman" w:hAnsi="Times New Roman" w:cs="Times New Roman"/>
          <w:sz w:val="28"/>
          <w:szCs w:val="28"/>
          <w:shd w:val="clear" w:color="auto" w:fill="FFFFFF"/>
          <w:lang w:val="uk-UA"/>
        </w:rPr>
      </w:pPr>
      <w:r w:rsidRPr="00E95FB1">
        <w:rPr>
          <w:rFonts w:ascii="Times New Roman" w:hAnsi="Times New Roman" w:cs="Times New Roman"/>
          <w:sz w:val="28"/>
          <w:szCs w:val="28"/>
          <w:shd w:val="clear" w:color="auto" w:fill="FFFFFF"/>
          <w:lang w:val="uk-UA"/>
        </w:rPr>
        <w:t>До переліку пам’яток культурної спадщини занесені 65 пам’яток, з них:</w:t>
      </w:r>
    </w:p>
    <w:p w:rsidR="00AC499C" w:rsidRPr="00E95FB1" w:rsidRDefault="00AC499C" w:rsidP="00AC499C">
      <w:pPr>
        <w:pStyle w:val="31"/>
        <w:ind w:firstLine="567"/>
        <w:rPr>
          <w:rFonts w:ascii="Times New Roman" w:hAnsi="Times New Roman" w:cs="Times New Roman"/>
          <w:sz w:val="28"/>
          <w:szCs w:val="28"/>
          <w:shd w:val="clear" w:color="auto" w:fill="FFFFFF"/>
          <w:lang w:val="uk-UA"/>
        </w:rPr>
      </w:pPr>
      <w:r w:rsidRPr="00E95FB1">
        <w:rPr>
          <w:rFonts w:ascii="Times New Roman" w:hAnsi="Times New Roman" w:cs="Times New Roman"/>
          <w:sz w:val="28"/>
          <w:szCs w:val="28"/>
          <w:shd w:val="clear" w:color="auto" w:fill="FFFFFF"/>
          <w:lang w:val="uk-UA"/>
        </w:rPr>
        <w:t xml:space="preserve">пам’яток археології </w:t>
      </w:r>
      <w:r w:rsidRPr="00E95FB1">
        <w:rPr>
          <w:rFonts w:ascii="Times New Roman" w:hAnsi="Times New Roman" w:cs="Times New Roman"/>
          <w:sz w:val="28"/>
          <w:szCs w:val="28"/>
          <w:lang w:val="uk-UA"/>
        </w:rPr>
        <w:t>–</w:t>
      </w:r>
      <w:r w:rsidRPr="00E95FB1">
        <w:rPr>
          <w:rFonts w:ascii="Times New Roman" w:hAnsi="Times New Roman" w:cs="Times New Roman"/>
          <w:sz w:val="28"/>
          <w:szCs w:val="28"/>
          <w:shd w:val="clear" w:color="auto" w:fill="FFFFFF"/>
          <w:lang w:val="uk-UA"/>
        </w:rPr>
        <w:t xml:space="preserve"> 24;</w:t>
      </w:r>
    </w:p>
    <w:p w:rsidR="00AC499C" w:rsidRPr="00E95FB1" w:rsidRDefault="00AC499C" w:rsidP="00AC499C">
      <w:pPr>
        <w:pStyle w:val="31"/>
        <w:ind w:firstLine="567"/>
        <w:rPr>
          <w:rFonts w:ascii="Times New Roman" w:hAnsi="Times New Roman" w:cs="Times New Roman"/>
          <w:sz w:val="28"/>
          <w:szCs w:val="28"/>
          <w:shd w:val="clear" w:color="auto" w:fill="FFFFFF"/>
          <w:lang w:val="uk-UA"/>
        </w:rPr>
      </w:pPr>
      <w:r w:rsidRPr="00E95FB1">
        <w:rPr>
          <w:rFonts w:ascii="Times New Roman" w:hAnsi="Times New Roman" w:cs="Times New Roman"/>
          <w:sz w:val="28"/>
          <w:szCs w:val="28"/>
          <w:shd w:val="clear" w:color="auto" w:fill="FFFFFF"/>
          <w:lang w:val="uk-UA"/>
        </w:rPr>
        <w:t xml:space="preserve">пам’яток історії </w:t>
      </w:r>
      <w:r w:rsidRPr="00E95FB1">
        <w:rPr>
          <w:rFonts w:ascii="Times New Roman" w:hAnsi="Times New Roman" w:cs="Times New Roman"/>
          <w:sz w:val="28"/>
          <w:szCs w:val="28"/>
          <w:lang w:val="uk-UA"/>
        </w:rPr>
        <w:t>–</w:t>
      </w:r>
      <w:r w:rsidRPr="00E95FB1">
        <w:rPr>
          <w:rFonts w:ascii="Times New Roman" w:hAnsi="Times New Roman" w:cs="Times New Roman"/>
          <w:sz w:val="28"/>
          <w:szCs w:val="28"/>
          <w:shd w:val="clear" w:color="auto" w:fill="FFFFFF"/>
          <w:lang w:val="uk-UA"/>
        </w:rPr>
        <w:t xml:space="preserve"> 28;</w:t>
      </w:r>
    </w:p>
    <w:p w:rsidR="00AC499C" w:rsidRPr="00E95FB1" w:rsidRDefault="00AC499C" w:rsidP="00AC499C">
      <w:pPr>
        <w:pStyle w:val="31"/>
        <w:ind w:firstLine="567"/>
        <w:rPr>
          <w:rFonts w:ascii="Times New Roman" w:hAnsi="Times New Roman" w:cs="Times New Roman"/>
          <w:sz w:val="28"/>
          <w:szCs w:val="28"/>
          <w:shd w:val="clear" w:color="auto" w:fill="FFFFFF"/>
          <w:lang w:val="uk-UA"/>
        </w:rPr>
      </w:pPr>
      <w:r w:rsidRPr="00E95FB1">
        <w:rPr>
          <w:rFonts w:ascii="Times New Roman" w:hAnsi="Times New Roman" w:cs="Times New Roman"/>
          <w:sz w:val="28"/>
          <w:szCs w:val="28"/>
          <w:shd w:val="clear" w:color="auto" w:fill="FFFFFF"/>
          <w:lang w:val="uk-UA"/>
        </w:rPr>
        <w:t xml:space="preserve">пам’яток архітектури </w:t>
      </w:r>
      <w:r w:rsidRPr="00E95FB1">
        <w:rPr>
          <w:rFonts w:ascii="Times New Roman" w:hAnsi="Times New Roman" w:cs="Times New Roman"/>
          <w:sz w:val="28"/>
          <w:szCs w:val="28"/>
          <w:lang w:val="uk-UA"/>
        </w:rPr>
        <w:t>–</w:t>
      </w:r>
      <w:r w:rsidRPr="00E95FB1">
        <w:rPr>
          <w:rFonts w:ascii="Times New Roman" w:hAnsi="Times New Roman" w:cs="Times New Roman"/>
          <w:sz w:val="28"/>
          <w:szCs w:val="28"/>
          <w:shd w:val="clear" w:color="auto" w:fill="FFFFFF"/>
          <w:lang w:val="uk-UA"/>
        </w:rPr>
        <w:t xml:space="preserve"> 3;</w:t>
      </w:r>
    </w:p>
    <w:p w:rsidR="00AC499C" w:rsidRPr="00E95FB1" w:rsidRDefault="00AC499C" w:rsidP="00AC499C">
      <w:pPr>
        <w:pStyle w:val="31"/>
        <w:ind w:firstLine="567"/>
        <w:rPr>
          <w:rFonts w:ascii="Times New Roman" w:hAnsi="Times New Roman" w:cs="Times New Roman"/>
          <w:sz w:val="28"/>
          <w:szCs w:val="28"/>
          <w:shd w:val="clear" w:color="auto" w:fill="FFFFFF"/>
          <w:lang w:val="uk-UA"/>
        </w:rPr>
      </w:pPr>
      <w:r w:rsidRPr="00E95FB1">
        <w:rPr>
          <w:rFonts w:ascii="Times New Roman" w:hAnsi="Times New Roman" w:cs="Times New Roman"/>
          <w:sz w:val="28"/>
          <w:szCs w:val="28"/>
          <w:shd w:val="clear" w:color="auto" w:fill="FFFFFF"/>
          <w:lang w:val="uk-UA"/>
        </w:rPr>
        <w:t xml:space="preserve">пам’яток монументального мистецтва </w:t>
      </w:r>
      <w:r w:rsidRPr="00E95FB1">
        <w:rPr>
          <w:rFonts w:ascii="Times New Roman" w:hAnsi="Times New Roman" w:cs="Times New Roman"/>
          <w:sz w:val="28"/>
          <w:szCs w:val="28"/>
          <w:lang w:val="uk-UA"/>
        </w:rPr>
        <w:t xml:space="preserve">– </w:t>
      </w:r>
      <w:r w:rsidRPr="00E95FB1">
        <w:rPr>
          <w:rFonts w:ascii="Times New Roman" w:hAnsi="Times New Roman" w:cs="Times New Roman"/>
          <w:sz w:val="28"/>
          <w:szCs w:val="28"/>
          <w:shd w:val="clear" w:color="auto" w:fill="FFFFFF"/>
          <w:lang w:val="uk-UA"/>
        </w:rPr>
        <w:t>10.</w:t>
      </w:r>
    </w:p>
    <w:p w:rsidR="00AC499C" w:rsidRDefault="00AC499C" w:rsidP="00AC499C">
      <w:pPr>
        <w:pStyle w:val="31"/>
        <w:tabs>
          <w:tab w:val="left" w:pos="851"/>
        </w:tabs>
        <w:jc w:val="both"/>
        <w:rPr>
          <w:rFonts w:ascii="Times New Roman" w:hAnsi="Times New Roman" w:cs="Times New Roman"/>
          <w:b/>
          <w:sz w:val="28"/>
          <w:szCs w:val="28"/>
          <w:lang w:val="uk-UA"/>
        </w:rPr>
      </w:pPr>
    </w:p>
    <w:p w:rsidR="00AC499C" w:rsidRDefault="00AC499C" w:rsidP="00AC499C">
      <w:pPr>
        <w:pStyle w:val="13"/>
        <w:ind w:firstLine="567"/>
        <w:jc w:val="both"/>
        <w:rPr>
          <w:lang w:val="uk-UA"/>
        </w:rPr>
      </w:pPr>
      <w:r w:rsidRPr="00E95FB1">
        <w:rPr>
          <w:lang w:val="uk-UA"/>
        </w:rPr>
        <w:t xml:space="preserve">До відомих пам'яток </w:t>
      </w:r>
      <w:r w:rsidR="009B4097">
        <w:rPr>
          <w:lang w:val="uk-UA"/>
        </w:rPr>
        <w:t>міста</w:t>
      </w:r>
      <w:r w:rsidR="009B4097" w:rsidRPr="00E95FB1">
        <w:rPr>
          <w:lang w:val="uk-UA"/>
        </w:rPr>
        <w:t xml:space="preserve"> </w:t>
      </w:r>
      <w:r w:rsidRPr="00E95FB1">
        <w:rPr>
          <w:lang w:val="uk-UA"/>
        </w:rPr>
        <w:t>Сєвєродонецька відносяться культові споруди церковної архітектури, серед яких виділяється духовна перлина міста</w:t>
      </w:r>
      <w:r>
        <w:rPr>
          <w:lang w:val="uk-UA"/>
        </w:rPr>
        <w:t xml:space="preserve"> </w:t>
      </w:r>
      <w:r w:rsidRPr="00E95FB1">
        <w:rPr>
          <w:lang w:val="uk-UA"/>
        </w:rPr>
        <w:t xml:space="preserve">- храмовий комплекс на честь ікони Божої Матері </w:t>
      </w:r>
      <w:r w:rsidR="0054754A">
        <w:rPr>
          <w:lang w:val="uk-UA"/>
        </w:rPr>
        <w:t>«</w:t>
      </w:r>
      <w:r w:rsidRPr="00E95FB1">
        <w:rPr>
          <w:lang w:val="uk-UA"/>
        </w:rPr>
        <w:t>Стягнення загиблих</w:t>
      </w:r>
      <w:r w:rsidR="0054754A">
        <w:rPr>
          <w:lang w:val="uk-UA"/>
        </w:rPr>
        <w:t>»</w:t>
      </w:r>
      <w:r w:rsidRPr="00E95FB1">
        <w:rPr>
          <w:lang w:val="uk-UA"/>
        </w:rPr>
        <w:t>. Комплекс розташований на околиці міста в селищі Ліс</w:t>
      </w:r>
      <w:r w:rsidR="008D5987">
        <w:rPr>
          <w:lang w:val="uk-UA"/>
        </w:rPr>
        <w:t>н</w:t>
      </w:r>
      <w:r w:rsidRPr="00E95FB1">
        <w:rPr>
          <w:lang w:val="uk-UA"/>
        </w:rPr>
        <w:t>а Дача. На території храмового комплексу знаходиться Свято-</w:t>
      </w:r>
      <w:proofErr w:type="spellStart"/>
      <w:r w:rsidRPr="00E95FB1">
        <w:rPr>
          <w:lang w:val="uk-UA"/>
        </w:rPr>
        <w:t>Хрестовоздвиженський</w:t>
      </w:r>
      <w:proofErr w:type="spellEnd"/>
      <w:r w:rsidRPr="00E95FB1">
        <w:rPr>
          <w:lang w:val="uk-UA"/>
        </w:rPr>
        <w:t xml:space="preserve"> храм, Свято-Миколаївська каплиця на честь перенесення </w:t>
      </w:r>
      <w:proofErr w:type="spellStart"/>
      <w:r w:rsidRPr="00E95FB1">
        <w:rPr>
          <w:lang w:val="uk-UA"/>
        </w:rPr>
        <w:t>мощей</w:t>
      </w:r>
      <w:proofErr w:type="spellEnd"/>
      <w:r w:rsidRPr="00E95FB1">
        <w:rPr>
          <w:lang w:val="uk-UA"/>
        </w:rPr>
        <w:t xml:space="preserve"> святителя Миколая чудотворця, а також безліч святинь. </w:t>
      </w:r>
    </w:p>
    <w:p w:rsidR="00AC499C" w:rsidRDefault="00AC499C" w:rsidP="00AC499C">
      <w:pPr>
        <w:pStyle w:val="13"/>
        <w:ind w:firstLine="567"/>
        <w:jc w:val="both"/>
        <w:rPr>
          <w:lang w:val="uk-UA"/>
        </w:rPr>
      </w:pPr>
    </w:p>
    <w:p w:rsidR="00AC499C" w:rsidRDefault="00AC499C" w:rsidP="00AC499C">
      <w:pPr>
        <w:pStyle w:val="13"/>
        <w:ind w:firstLine="567"/>
        <w:jc w:val="both"/>
        <w:rPr>
          <w:lang w:val="uk-UA"/>
        </w:rPr>
      </w:pPr>
      <w:r w:rsidRPr="00E95FB1">
        <w:rPr>
          <w:lang w:val="uk-UA"/>
        </w:rPr>
        <w:t xml:space="preserve">Особливе надбання храмового комплексу - Музей-ризниця, серед експонатів якого хрест та ікони, які були у вогні, але зовсім не пошкодилися, земля з місця </w:t>
      </w:r>
      <w:proofErr w:type="spellStart"/>
      <w:r w:rsidRPr="00E95FB1">
        <w:rPr>
          <w:lang w:val="uk-UA"/>
        </w:rPr>
        <w:t>різдва</w:t>
      </w:r>
      <w:proofErr w:type="spellEnd"/>
      <w:r w:rsidRPr="00E95FB1">
        <w:rPr>
          <w:lang w:val="uk-UA"/>
        </w:rPr>
        <w:t xml:space="preserve"> Пресвятої Богородиці, старовинні церковні облачення та багато іншого. </w:t>
      </w:r>
    </w:p>
    <w:p w:rsidR="00AC499C" w:rsidRDefault="00AC499C" w:rsidP="00AC499C">
      <w:pPr>
        <w:pStyle w:val="13"/>
        <w:ind w:firstLine="567"/>
        <w:jc w:val="both"/>
        <w:rPr>
          <w:lang w:val="uk-UA"/>
        </w:rPr>
      </w:pPr>
    </w:p>
    <w:p w:rsidR="00096F18" w:rsidRPr="001E2640" w:rsidRDefault="00096F18" w:rsidP="00096F18">
      <w:pPr>
        <w:pStyle w:val="13"/>
        <w:ind w:firstLine="567"/>
        <w:jc w:val="both"/>
        <w:rPr>
          <w:lang w:val="uk-UA"/>
        </w:rPr>
      </w:pPr>
      <w:r w:rsidRPr="001E2640">
        <w:rPr>
          <w:szCs w:val="28"/>
          <w:lang w:val="uk-UA"/>
        </w:rPr>
        <w:lastRenderedPageBreak/>
        <w:t xml:space="preserve">У </w:t>
      </w:r>
      <w:proofErr w:type="spellStart"/>
      <w:r w:rsidR="006C1E73">
        <w:rPr>
          <w:szCs w:val="28"/>
          <w:lang w:val="uk-UA"/>
        </w:rPr>
        <w:t>м.</w:t>
      </w:r>
      <w:r w:rsidRPr="001E2640">
        <w:rPr>
          <w:szCs w:val="28"/>
          <w:lang w:val="uk-UA"/>
        </w:rPr>
        <w:t>Сєвєродонецьк</w:t>
      </w:r>
      <w:proofErr w:type="spellEnd"/>
      <w:r w:rsidRPr="001E2640">
        <w:rPr>
          <w:szCs w:val="28"/>
          <w:lang w:val="uk-UA"/>
        </w:rPr>
        <w:t xml:space="preserve"> є 4 православні релігійні установи, представлені  </w:t>
      </w:r>
      <w:hyperlink r:id="rId25" w:tooltip="Православна церква України" w:history="1">
        <w:r w:rsidRPr="001E2640">
          <w:rPr>
            <w:szCs w:val="28"/>
            <w:lang w:val="uk-UA"/>
          </w:rPr>
          <w:t>Православною  церквою України</w:t>
        </w:r>
      </w:hyperlink>
      <w:r w:rsidR="008D5987">
        <w:rPr>
          <w:szCs w:val="28"/>
          <w:lang w:val="uk-UA"/>
        </w:rPr>
        <w:t>.</w:t>
      </w:r>
      <w:r>
        <w:rPr>
          <w:szCs w:val="28"/>
          <w:lang w:val="uk-UA"/>
        </w:rPr>
        <w:t xml:space="preserve"> </w:t>
      </w:r>
      <w:r w:rsidR="008D5987">
        <w:rPr>
          <w:szCs w:val="28"/>
          <w:lang w:val="uk-UA"/>
        </w:rPr>
        <w:t>Ц</w:t>
      </w:r>
      <w:r>
        <w:rPr>
          <w:szCs w:val="28"/>
          <w:lang w:val="uk-UA"/>
        </w:rPr>
        <w:t xml:space="preserve">е </w:t>
      </w:r>
      <w:r w:rsidRPr="001E2640">
        <w:rPr>
          <w:szCs w:val="28"/>
          <w:lang w:val="uk-UA"/>
        </w:rPr>
        <w:t xml:space="preserve">Парафія Святого Пророка Іллі, Христо-Різдвяний кафедральний собор, </w:t>
      </w:r>
      <w:hyperlink r:id="rId26" w:tooltip="Храм" w:history="1">
        <w:r w:rsidRPr="001E2640">
          <w:rPr>
            <w:szCs w:val="28"/>
            <w:lang w:val="uk-UA"/>
          </w:rPr>
          <w:t>Храм</w:t>
        </w:r>
      </w:hyperlink>
      <w:r w:rsidRPr="001E2640">
        <w:rPr>
          <w:szCs w:val="28"/>
          <w:lang w:val="uk-UA"/>
        </w:rPr>
        <w:t xml:space="preserve"> Розчулення, </w:t>
      </w:r>
      <w:proofErr w:type="spellStart"/>
      <w:r w:rsidRPr="001E2640">
        <w:rPr>
          <w:szCs w:val="28"/>
          <w:lang w:val="uk-UA"/>
        </w:rPr>
        <w:t>Хресто</w:t>
      </w:r>
      <w:proofErr w:type="spellEnd"/>
      <w:r w:rsidRPr="001E2640">
        <w:rPr>
          <w:szCs w:val="28"/>
          <w:lang w:val="uk-UA"/>
        </w:rPr>
        <w:t xml:space="preserve">-Воздвиженський  </w:t>
      </w:r>
      <w:hyperlink r:id="rId27" w:tooltip="Храм" w:history="1">
        <w:r w:rsidRPr="001E2640">
          <w:rPr>
            <w:szCs w:val="28"/>
            <w:lang w:val="uk-UA"/>
          </w:rPr>
          <w:t>храм</w:t>
        </w:r>
      </w:hyperlink>
      <w:r w:rsidRPr="001E2640">
        <w:rPr>
          <w:szCs w:val="28"/>
          <w:lang w:val="uk-UA"/>
        </w:rPr>
        <w:t xml:space="preserve">. </w:t>
      </w:r>
      <w:hyperlink r:id="rId28" w:tooltip="Українська греко-католицька церква" w:history="1">
        <w:r w:rsidRPr="001E2640">
          <w:rPr>
            <w:lang w:val="uk-UA"/>
          </w:rPr>
          <w:t>Українська греко-католицька церква</w:t>
        </w:r>
      </w:hyperlink>
      <w:r w:rsidRPr="001E2640">
        <w:rPr>
          <w:lang w:val="uk-UA"/>
        </w:rPr>
        <w:t xml:space="preserve"> у місті представлена 1 установою - Пасторально-соціальна місія УГКЦ у Сєвєродонецьку. </w:t>
      </w:r>
      <w:hyperlink r:id="rId29" w:tooltip="Протестантизм" w:history="1">
        <w:r w:rsidRPr="001E2640">
          <w:rPr>
            <w:lang w:val="uk-UA"/>
          </w:rPr>
          <w:t>Протестантизм</w:t>
        </w:r>
      </w:hyperlink>
      <w:r w:rsidRPr="001E2640">
        <w:rPr>
          <w:lang w:val="uk-UA"/>
        </w:rPr>
        <w:t> у місті представлено 2-ма установами</w:t>
      </w:r>
      <w:r w:rsidR="008D5987">
        <w:rPr>
          <w:lang w:val="uk-UA"/>
        </w:rPr>
        <w:t>.</w:t>
      </w:r>
      <w:r w:rsidRPr="001E2640">
        <w:rPr>
          <w:lang w:val="uk-UA"/>
        </w:rPr>
        <w:t xml:space="preserve"> </w:t>
      </w:r>
      <w:r w:rsidR="008D5987">
        <w:rPr>
          <w:lang w:val="uk-UA"/>
        </w:rPr>
        <w:t>Ц</w:t>
      </w:r>
      <w:r w:rsidRPr="001E2640">
        <w:rPr>
          <w:lang w:val="uk-UA"/>
        </w:rPr>
        <w:t>е Сєвєродонецька церква </w:t>
      </w:r>
      <w:hyperlink r:id="rId30" w:tooltip="Всеукраїнський союз церков євангельських християн-баптистів" w:history="1">
        <w:r w:rsidRPr="001E2640">
          <w:rPr>
            <w:lang w:val="uk-UA"/>
          </w:rPr>
          <w:t>(ВСЦ ЄХБ</w:t>
        </w:r>
      </w:hyperlink>
      <w:r w:rsidR="008D5987">
        <w:rPr>
          <w:lang w:val="uk-UA"/>
        </w:rPr>
        <w:t>) у</w:t>
      </w:r>
      <w:r w:rsidRPr="001E2640">
        <w:rPr>
          <w:lang w:val="uk-UA"/>
        </w:rPr>
        <w:t xml:space="preserve"> с. Метьолкіне та Церква Святої Трійці.</w:t>
      </w:r>
      <w:r w:rsidRPr="008D5987">
        <w:rPr>
          <w:lang w:val="uk-UA"/>
        </w:rPr>
        <w:t xml:space="preserve"> </w:t>
      </w:r>
      <w:hyperlink r:id="rId31" w:tooltip="Іслам" w:history="1">
        <w:r w:rsidRPr="001E2640">
          <w:rPr>
            <w:lang w:val="uk-UA"/>
          </w:rPr>
          <w:t>Іслам</w:t>
        </w:r>
      </w:hyperlink>
      <w:r w:rsidRPr="001E2640">
        <w:rPr>
          <w:lang w:val="uk-UA"/>
        </w:rPr>
        <w:t> у місті представлено 1 установою</w:t>
      </w:r>
      <w:r w:rsidR="008D5987">
        <w:rPr>
          <w:lang w:val="uk-UA"/>
        </w:rPr>
        <w:t>.</w:t>
      </w:r>
      <w:r w:rsidRPr="001E2640">
        <w:rPr>
          <w:lang w:val="uk-UA"/>
        </w:rPr>
        <w:t xml:space="preserve"> </w:t>
      </w:r>
      <w:r w:rsidR="008D5987">
        <w:rPr>
          <w:lang w:val="uk-UA"/>
        </w:rPr>
        <w:t>Ц</w:t>
      </w:r>
      <w:r w:rsidRPr="001E2640">
        <w:rPr>
          <w:lang w:val="uk-UA"/>
        </w:rPr>
        <w:t xml:space="preserve">е </w:t>
      </w:r>
      <w:hyperlink r:id="rId32" w:tooltip="Ісламський культурний центр та мечеть (Сєвєродонецьк)" w:history="1">
        <w:r w:rsidRPr="001E2640">
          <w:rPr>
            <w:lang w:val="uk-UA"/>
          </w:rPr>
          <w:t xml:space="preserve">Ісламський культурний центр </w:t>
        </w:r>
        <w:r>
          <w:rPr>
            <w:lang w:val="uk-UA"/>
          </w:rPr>
          <w:t>і</w:t>
        </w:r>
        <w:r w:rsidRPr="001E2640">
          <w:rPr>
            <w:lang w:val="uk-UA"/>
          </w:rPr>
          <w:t xml:space="preserve"> мечеть</w:t>
        </w:r>
      </w:hyperlink>
      <w:r w:rsidR="008D5987">
        <w:rPr>
          <w:lang w:val="uk-UA"/>
        </w:rPr>
        <w:t>,</w:t>
      </w:r>
      <w:r w:rsidRPr="001E2640">
        <w:rPr>
          <w:lang w:val="uk-UA"/>
        </w:rPr>
        <w:t> які були відкриті у 2019 році.</w:t>
      </w:r>
    </w:p>
    <w:p w:rsidR="00096F18" w:rsidRPr="001E2640" w:rsidRDefault="00096F18" w:rsidP="00096F18">
      <w:pPr>
        <w:pStyle w:val="13"/>
        <w:jc w:val="both"/>
        <w:rPr>
          <w:lang w:val="uk-UA"/>
        </w:rPr>
      </w:pPr>
    </w:p>
    <w:p w:rsidR="00096F18" w:rsidRPr="006A45A3" w:rsidRDefault="00096F18" w:rsidP="00D55184">
      <w:pPr>
        <w:pStyle w:val="4"/>
        <w:shd w:val="clear" w:color="auto" w:fill="FFFFFF"/>
        <w:spacing w:before="72"/>
        <w:jc w:val="both"/>
        <w:rPr>
          <w:b w:val="0"/>
          <w:color w:val="000000"/>
        </w:rPr>
      </w:pPr>
      <w:r w:rsidRPr="006A45A3">
        <w:rPr>
          <w:b w:val="0"/>
        </w:rPr>
        <w:t xml:space="preserve">Одними з улюблених місць відпочинку городян і гостей міста </w:t>
      </w:r>
      <w:r>
        <w:rPr>
          <w:b w:val="0"/>
        </w:rPr>
        <w:t>є</w:t>
      </w:r>
      <w:r w:rsidR="00D55184">
        <w:rPr>
          <w:b w:val="0"/>
        </w:rPr>
        <w:t xml:space="preserve"> </w:t>
      </w:r>
      <w:r w:rsidRPr="006A45A3">
        <w:rPr>
          <w:b w:val="0"/>
        </w:rPr>
        <w:t>Сєвєродонецький</w:t>
      </w:r>
      <w:r>
        <w:rPr>
          <w:b w:val="0"/>
        </w:rPr>
        <w:t xml:space="preserve"> </w:t>
      </w:r>
      <w:r w:rsidRPr="006A45A3">
        <w:rPr>
          <w:b w:val="0"/>
        </w:rPr>
        <w:t xml:space="preserve"> Парк,  </w:t>
      </w:r>
      <w:r w:rsidRPr="006A45A3">
        <w:rPr>
          <w:rStyle w:val="mw-headline"/>
          <w:b w:val="0"/>
          <w:color w:val="000000"/>
        </w:rPr>
        <w:t>Сквер ім. С.</w:t>
      </w:r>
      <w:r>
        <w:rPr>
          <w:rStyle w:val="mw-headline"/>
          <w:b w:val="0"/>
          <w:color w:val="000000"/>
        </w:rPr>
        <w:t xml:space="preserve"> </w:t>
      </w:r>
      <w:proofErr w:type="spellStart"/>
      <w:r w:rsidRPr="006A45A3">
        <w:rPr>
          <w:rStyle w:val="mw-headline"/>
          <w:b w:val="0"/>
          <w:color w:val="000000"/>
        </w:rPr>
        <w:t>Губанова</w:t>
      </w:r>
      <w:proofErr w:type="spellEnd"/>
      <w:r>
        <w:rPr>
          <w:rStyle w:val="mw-headline"/>
          <w:b w:val="0"/>
          <w:color w:val="000000"/>
        </w:rPr>
        <w:t xml:space="preserve"> з Алеєю</w:t>
      </w:r>
      <w:r w:rsidRPr="008F5FC8">
        <w:rPr>
          <w:rStyle w:val="mw-headline"/>
          <w:b w:val="0"/>
          <w:color w:val="000000"/>
        </w:rPr>
        <w:t xml:space="preserve"> пам'яті загиблих воїнів АТО Луганщини </w:t>
      </w:r>
      <w:r>
        <w:rPr>
          <w:rStyle w:val="mw-headline"/>
          <w:b w:val="0"/>
          <w:color w:val="000000"/>
        </w:rPr>
        <w:t xml:space="preserve">та </w:t>
      </w:r>
      <w:r w:rsidRPr="008F5FC8">
        <w:rPr>
          <w:rStyle w:val="mw-headline"/>
          <w:b w:val="0"/>
          <w:color w:val="000000"/>
        </w:rPr>
        <w:t>зроблен</w:t>
      </w:r>
      <w:r>
        <w:rPr>
          <w:rStyle w:val="mw-headline"/>
          <w:b w:val="0"/>
          <w:color w:val="000000"/>
        </w:rPr>
        <w:t xml:space="preserve">ими стелами, </w:t>
      </w:r>
      <w:r w:rsidRPr="006A45A3">
        <w:rPr>
          <w:b w:val="0"/>
        </w:rPr>
        <w:t>Сквер ім. Гоголя</w:t>
      </w:r>
      <w:r w:rsidRPr="006A45A3">
        <w:t xml:space="preserve"> </w:t>
      </w:r>
      <w:r w:rsidRPr="006A45A3">
        <w:rPr>
          <w:b w:val="0"/>
        </w:rPr>
        <w:t>з його</w:t>
      </w:r>
      <w:r>
        <w:t xml:space="preserve"> </w:t>
      </w:r>
      <w:r>
        <w:rPr>
          <w:b w:val="0"/>
        </w:rPr>
        <w:t>н</w:t>
      </w:r>
      <w:r w:rsidRPr="006A45A3">
        <w:rPr>
          <w:b w:val="0"/>
        </w:rPr>
        <w:t>езвичайн</w:t>
      </w:r>
      <w:r>
        <w:rPr>
          <w:b w:val="0"/>
        </w:rPr>
        <w:t>ою</w:t>
      </w:r>
      <w:r w:rsidRPr="006A45A3">
        <w:rPr>
          <w:b w:val="0"/>
        </w:rPr>
        <w:t xml:space="preserve"> скульптур</w:t>
      </w:r>
      <w:r>
        <w:rPr>
          <w:b w:val="0"/>
        </w:rPr>
        <w:t>ою</w:t>
      </w:r>
      <w:r w:rsidRPr="006A45A3">
        <w:rPr>
          <w:b w:val="0"/>
        </w:rPr>
        <w:t xml:space="preserve"> за мотивами гоголівсь</w:t>
      </w:r>
      <w:r>
        <w:rPr>
          <w:b w:val="0"/>
        </w:rPr>
        <w:t xml:space="preserve">кої повісті </w:t>
      </w:r>
      <w:r w:rsidR="0054754A">
        <w:rPr>
          <w:b w:val="0"/>
        </w:rPr>
        <w:t>«</w:t>
      </w:r>
      <w:r>
        <w:rPr>
          <w:b w:val="0"/>
        </w:rPr>
        <w:t>Ніч перед Різдвом</w:t>
      </w:r>
      <w:r w:rsidR="0054754A">
        <w:rPr>
          <w:b w:val="0"/>
        </w:rPr>
        <w:t>»</w:t>
      </w:r>
      <w:r>
        <w:rPr>
          <w:b w:val="0"/>
        </w:rPr>
        <w:t xml:space="preserve">, </w:t>
      </w:r>
      <w:r w:rsidRPr="006A45A3">
        <w:rPr>
          <w:b w:val="0"/>
        </w:rPr>
        <w:t>встановлен</w:t>
      </w:r>
      <w:r>
        <w:rPr>
          <w:b w:val="0"/>
        </w:rPr>
        <w:t>ою</w:t>
      </w:r>
      <w:r w:rsidRPr="006A45A3">
        <w:rPr>
          <w:b w:val="0"/>
        </w:rPr>
        <w:t xml:space="preserve"> в рамках </w:t>
      </w:r>
      <w:proofErr w:type="spellStart"/>
      <w:r w:rsidRPr="006A45A3">
        <w:rPr>
          <w:b w:val="0"/>
        </w:rPr>
        <w:t>про</w:t>
      </w:r>
      <w:r w:rsidR="00D55184">
        <w:rPr>
          <w:b w:val="0"/>
        </w:rPr>
        <w:t>є</w:t>
      </w:r>
      <w:r w:rsidRPr="006A45A3">
        <w:rPr>
          <w:b w:val="0"/>
        </w:rPr>
        <w:t>кту</w:t>
      </w:r>
      <w:proofErr w:type="spellEnd"/>
      <w:r w:rsidRPr="006A45A3">
        <w:rPr>
          <w:b w:val="0"/>
        </w:rPr>
        <w:t xml:space="preserve"> </w:t>
      </w:r>
      <w:r w:rsidR="0054754A">
        <w:rPr>
          <w:b w:val="0"/>
        </w:rPr>
        <w:t>«</w:t>
      </w:r>
      <w:r w:rsidRPr="006A45A3">
        <w:rPr>
          <w:b w:val="0"/>
        </w:rPr>
        <w:t>Гоголь-сквер - місце дій та надій</w:t>
      </w:r>
      <w:r w:rsidR="0054754A">
        <w:rPr>
          <w:b w:val="0"/>
        </w:rPr>
        <w:t>»</w:t>
      </w:r>
      <w:r w:rsidRPr="006A45A3">
        <w:rPr>
          <w:b w:val="0"/>
        </w:rPr>
        <w:t>, що реалізу</w:t>
      </w:r>
      <w:r>
        <w:rPr>
          <w:b w:val="0"/>
        </w:rPr>
        <w:t>вався</w:t>
      </w:r>
      <w:r w:rsidRPr="006A45A3">
        <w:rPr>
          <w:b w:val="0"/>
        </w:rPr>
        <w:t xml:space="preserve"> за рах</w:t>
      </w:r>
      <w:r>
        <w:rPr>
          <w:b w:val="0"/>
        </w:rPr>
        <w:t>унок коштів ООН та уряду Японії</w:t>
      </w:r>
      <w:r w:rsidR="00B428E4">
        <w:rPr>
          <w:b w:val="0"/>
        </w:rPr>
        <w:t>,</w:t>
      </w:r>
      <w:r w:rsidRPr="006A45A3">
        <w:rPr>
          <w:b w:val="0"/>
        </w:rPr>
        <w:t xml:space="preserve"> </w:t>
      </w:r>
      <w:r>
        <w:rPr>
          <w:b w:val="0"/>
        </w:rPr>
        <w:t>і</w:t>
      </w:r>
      <w:r w:rsidRPr="006A45A3">
        <w:rPr>
          <w:b w:val="0"/>
        </w:rPr>
        <w:t xml:space="preserve">  Сквер слави з визначною пам'яткою</w:t>
      </w:r>
      <w:r w:rsidR="00B428E4">
        <w:rPr>
          <w:b w:val="0"/>
        </w:rPr>
        <w:t>,</w:t>
      </w:r>
      <w:r w:rsidRPr="006A45A3">
        <w:rPr>
          <w:b w:val="0"/>
        </w:rPr>
        <w:t xml:space="preserve"> яко</w:t>
      </w:r>
      <w:r w:rsidR="00B428E4">
        <w:rPr>
          <w:b w:val="0"/>
        </w:rPr>
        <w:t>ю</w:t>
      </w:r>
      <w:r w:rsidRPr="006A45A3">
        <w:rPr>
          <w:b w:val="0"/>
        </w:rPr>
        <w:t xml:space="preserve"> є меморіал воїнам-визволителям - танк Т-34, що стоїть на високому символічному постаменті. </w:t>
      </w:r>
    </w:p>
    <w:p w:rsidR="00096F18" w:rsidRDefault="00096F18" w:rsidP="00096F18">
      <w:pPr>
        <w:pStyle w:val="13"/>
        <w:ind w:firstLine="567"/>
        <w:jc w:val="both"/>
        <w:rPr>
          <w:lang w:val="uk-UA"/>
        </w:rPr>
      </w:pPr>
    </w:p>
    <w:p w:rsidR="00096F18" w:rsidRDefault="00096F18" w:rsidP="00096F18">
      <w:pPr>
        <w:pStyle w:val="13"/>
        <w:ind w:firstLine="567"/>
        <w:jc w:val="both"/>
        <w:rPr>
          <w:lang w:val="uk-UA"/>
        </w:rPr>
      </w:pPr>
      <w:r w:rsidRPr="00037CA8">
        <w:rPr>
          <w:lang w:val="uk-UA"/>
        </w:rPr>
        <w:t>У місті є монументи, присвячені</w:t>
      </w:r>
      <w:r w:rsidRPr="00037CA8">
        <w:t> </w:t>
      </w:r>
      <w:hyperlink r:id="rId33" w:tooltip="Пам'ятник-стела переможцям у Великій Вітчизняній війні (Сєвєродонецьк)" w:history="1">
        <w:r w:rsidRPr="00037CA8">
          <w:rPr>
            <w:lang w:val="uk-UA"/>
          </w:rPr>
          <w:t>переможцям у німецько-радянській війні</w:t>
        </w:r>
      </w:hyperlink>
      <w:r w:rsidRPr="00037CA8">
        <w:t> </w:t>
      </w:r>
      <w:hyperlink r:id="rId34" w:tooltip="Пам'ятник воїнам-визволителям міста Сєвєродонецька Танк Т-34" w:history="1">
        <w:r w:rsidRPr="00037CA8">
          <w:rPr>
            <w:lang w:val="uk-UA"/>
          </w:rPr>
          <w:t>визволителям міста</w:t>
        </w:r>
      </w:hyperlink>
      <w:r w:rsidRPr="00037CA8">
        <w:rPr>
          <w:lang w:val="uk-UA"/>
        </w:rPr>
        <w:t>,</w:t>
      </w:r>
      <w:r w:rsidRPr="00037CA8">
        <w:t> </w:t>
      </w:r>
      <w:hyperlink r:id="rId35" w:tooltip="Пам'ятник воїнам-інтернаціоналістам (Сєвєродонецьк)" w:history="1">
        <w:r w:rsidRPr="00037CA8">
          <w:rPr>
            <w:lang w:val="uk-UA"/>
          </w:rPr>
          <w:t>воїнам-інтернаціоналістам</w:t>
        </w:r>
      </w:hyperlink>
      <w:r w:rsidRPr="00037CA8">
        <w:rPr>
          <w:lang w:val="uk-UA"/>
        </w:rPr>
        <w:t>,</w:t>
      </w:r>
      <w:r w:rsidRPr="00037CA8">
        <w:t> </w:t>
      </w:r>
      <w:hyperlink r:id="rId36" w:tooltip="Пам'ятник героям Чорнобиля (Сєвєродонецьк)" w:history="1">
        <w:r w:rsidRPr="00037CA8">
          <w:rPr>
            <w:lang w:val="uk-UA"/>
          </w:rPr>
          <w:t>героям Чорнобиля</w:t>
        </w:r>
      </w:hyperlink>
      <w:r>
        <w:rPr>
          <w:lang w:val="uk-UA"/>
        </w:rPr>
        <w:t>, пам'яті жертв Голодомору</w:t>
      </w:r>
      <w:r w:rsidRPr="00037CA8">
        <w:rPr>
          <w:lang w:val="uk-UA"/>
        </w:rPr>
        <w:t>,</w:t>
      </w:r>
      <w:r w:rsidRPr="00037CA8">
        <w:t> </w:t>
      </w:r>
      <w:hyperlink r:id="rId37" w:tooltip="Пам'ятник Миколі Гоголю (Сєвєродонецьк)" w:history="1">
        <w:r w:rsidRPr="00037CA8">
          <w:rPr>
            <w:lang w:val="uk-UA"/>
          </w:rPr>
          <w:t>Миколі Гоголю</w:t>
        </w:r>
      </w:hyperlink>
      <w:r w:rsidRPr="00037CA8">
        <w:rPr>
          <w:lang w:val="uk-UA"/>
        </w:rPr>
        <w:t xml:space="preserve">, </w:t>
      </w:r>
      <w:hyperlink r:id="rId38" w:tooltip="Пам'ятник Дмитру Менделєєву (Сєвєродонецьк)" w:history="1">
        <w:r w:rsidRPr="00037CA8">
          <w:rPr>
            <w:lang w:val="uk-UA"/>
          </w:rPr>
          <w:t>Дмитру Менделєєву</w:t>
        </w:r>
      </w:hyperlink>
      <w:r w:rsidRPr="00037CA8">
        <w:rPr>
          <w:lang w:val="uk-UA"/>
        </w:rPr>
        <w:t>,</w:t>
      </w:r>
      <w:r w:rsidRPr="00037CA8">
        <w:t> </w:t>
      </w:r>
      <w:hyperlink r:id="rId39" w:tooltip="Пам'ятник Івану Франку (Сєвєродонецьк)" w:history="1">
        <w:r w:rsidRPr="00037CA8">
          <w:rPr>
            <w:lang w:val="uk-UA"/>
          </w:rPr>
          <w:t>Іванові Франку</w:t>
        </w:r>
      </w:hyperlink>
      <w:r w:rsidRPr="00037CA8">
        <w:t> </w:t>
      </w:r>
      <w:r w:rsidRPr="00037CA8">
        <w:rPr>
          <w:lang w:val="uk-UA"/>
        </w:rPr>
        <w:t xml:space="preserve">та </w:t>
      </w:r>
      <w:r>
        <w:rPr>
          <w:lang w:val="uk-UA"/>
        </w:rPr>
        <w:t xml:space="preserve">навіть </w:t>
      </w:r>
      <w:hyperlink r:id="rId40" w:tooltip="Пам'ятник козакам (Сєвєродонецьк)" w:history="1">
        <w:r>
          <w:rPr>
            <w:lang w:val="uk-UA"/>
          </w:rPr>
          <w:t>К</w:t>
        </w:r>
        <w:r w:rsidRPr="00037CA8">
          <w:rPr>
            <w:lang w:val="uk-UA"/>
          </w:rPr>
          <w:t>озакам</w:t>
        </w:r>
      </w:hyperlink>
      <w:r w:rsidRPr="00037CA8">
        <w:rPr>
          <w:lang w:val="uk-UA"/>
        </w:rPr>
        <w:t>.</w:t>
      </w:r>
      <w:r w:rsidRPr="00E95FB1">
        <w:rPr>
          <w:lang w:val="uk-UA"/>
        </w:rPr>
        <w:t xml:space="preserve"> Серед пам'ятників монументальної архітектури міста виділяються Меморіальний комплекс на братській могилі радянських воїнів із запаленим Вічним вогнем і Меморіальний комплекс </w:t>
      </w:r>
      <w:r w:rsidR="002F7BA6">
        <w:rPr>
          <w:lang w:val="uk-UA"/>
        </w:rPr>
        <w:t>«</w:t>
      </w:r>
      <w:r w:rsidRPr="00E95FB1">
        <w:rPr>
          <w:lang w:val="uk-UA"/>
        </w:rPr>
        <w:t>Скорботна мати</w:t>
      </w:r>
      <w:r w:rsidR="002F7BA6">
        <w:rPr>
          <w:lang w:val="uk-UA"/>
        </w:rPr>
        <w:t>»</w:t>
      </w:r>
      <w:r w:rsidRPr="00E95FB1">
        <w:rPr>
          <w:lang w:val="uk-UA"/>
        </w:rPr>
        <w:t xml:space="preserve">. </w:t>
      </w:r>
    </w:p>
    <w:p w:rsidR="00096F18" w:rsidRDefault="00096F18" w:rsidP="00096F18">
      <w:pPr>
        <w:pStyle w:val="13"/>
        <w:ind w:firstLine="567"/>
        <w:jc w:val="both"/>
        <w:rPr>
          <w:lang w:val="uk-UA"/>
        </w:rPr>
      </w:pPr>
    </w:p>
    <w:p w:rsidR="00096F18" w:rsidRPr="00096F18" w:rsidRDefault="00096F18" w:rsidP="00096F18">
      <w:pPr>
        <w:pStyle w:val="13"/>
        <w:ind w:firstLine="567"/>
        <w:jc w:val="both"/>
        <w:rPr>
          <w:lang w:val="uk-UA"/>
        </w:rPr>
      </w:pPr>
      <w:r w:rsidRPr="00E95FB1">
        <w:rPr>
          <w:lang w:val="uk-UA"/>
        </w:rPr>
        <w:t xml:space="preserve">Крім міських визначних пам'яток Сєвєродонецька земля багата своїми природними місцями, перш за все, це мальовничий берег і ліси </w:t>
      </w:r>
      <w:r w:rsidRPr="00096F18">
        <w:rPr>
          <w:lang w:val="uk-UA"/>
        </w:rPr>
        <w:t>вздовж річок Сіверський Донець  та його лів</w:t>
      </w:r>
      <w:r w:rsidR="00B50013">
        <w:rPr>
          <w:lang w:val="uk-UA"/>
        </w:rPr>
        <w:t>ого</w:t>
      </w:r>
      <w:r w:rsidRPr="00096F18">
        <w:rPr>
          <w:lang w:val="uk-UA"/>
        </w:rPr>
        <w:t xml:space="preserve"> приток</w:t>
      </w:r>
      <w:r w:rsidR="00B50013">
        <w:rPr>
          <w:lang w:val="uk-UA"/>
        </w:rPr>
        <w:t>у -</w:t>
      </w:r>
      <w:r w:rsidRPr="00096F18">
        <w:rPr>
          <w:lang w:val="uk-UA"/>
        </w:rPr>
        <w:t xml:space="preserve"> річк</w:t>
      </w:r>
      <w:r w:rsidR="00B50013">
        <w:rPr>
          <w:lang w:val="uk-UA"/>
        </w:rPr>
        <w:t>и</w:t>
      </w:r>
      <w:r w:rsidRPr="00096F18">
        <w:rPr>
          <w:lang w:val="uk-UA"/>
        </w:rPr>
        <w:t xml:space="preserve"> Борова</w:t>
      </w:r>
      <w:r w:rsidR="00B50013">
        <w:rPr>
          <w:lang w:val="uk-UA"/>
        </w:rPr>
        <w:t>.</w:t>
      </w:r>
      <w:r w:rsidRPr="00096F18">
        <w:rPr>
          <w:lang w:val="uk-UA"/>
        </w:rPr>
        <w:t xml:space="preserve"> </w:t>
      </w:r>
      <w:r w:rsidR="00B50013">
        <w:rPr>
          <w:lang w:val="uk-UA"/>
        </w:rPr>
        <w:t>П</w:t>
      </w:r>
      <w:r w:rsidRPr="00E91056">
        <w:rPr>
          <w:lang w:val="uk-UA"/>
        </w:rPr>
        <w:t xml:space="preserve">о берегах річки </w:t>
      </w:r>
      <w:r w:rsidR="00B50013">
        <w:rPr>
          <w:lang w:val="uk-UA"/>
        </w:rPr>
        <w:t>Бор</w:t>
      </w:r>
      <w:r w:rsidR="002F7BA6">
        <w:rPr>
          <w:lang w:val="uk-UA"/>
        </w:rPr>
        <w:t>о</w:t>
      </w:r>
      <w:r w:rsidR="00B50013">
        <w:rPr>
          <w:lang w:val="uk-UA"/>
        </w:rPr>
        <w:t xml:space="preserve">ва </w:t>
      </w:r>
      <w:r w:rsidRPr="00E91056">
        <w:rPr>
          <w:lang w:val="uk-UA"/>
        </w:rPr>
        <w:t>рос</w:t>
      </w:r>
      <w:r>
        <w:rPr>
          <w:lang w:val="uk-UA"/>
        </w:rPr>
        <w:t>туть</w:t>
      </w:r>
      <w:r w:rsidRPr="00E91056">
        <w:rPr>
          <w:lang w:val="uk-UA"/>
        </w:rPr>
        <w:t xml:space="preserve"> великі листяні та змішані ліси (бори), що й спричинил</w:t>
      </w:r>
      <w:r>
        <w:rPr>
          <w:lang w:val="uk-UA"/>
        </w:rPr>
        <w:t>и</w:t>
      </w:r>
      <w:r w:rsidRPr="00E91056">
        <w:rPr>
          <w:lang w:val="uk-UA"/>
        </w:rPr>
        <w:t xml:space="preserve"> назву річки Борова.</w:t>
      </w:r>
    </w:p>
    <w:p w:rsidR="00096F18" w:rsidRPr="00096F18" w:rsidRDefault="00096F18" w:rsidP="00096F18">
      <w:pPr>
        <w:pStyle w:val="13"/>
        <w:ind w:firstLine="567"/>
        <w:jc w:val="both"/>
        <w:rPr>
          <w:lang w:val="uk-UA"/>
        </w:rPr>
      </w:pPr>
      <w:r w:rsidRPr="00096F18">
        <w:rPr>
          <w:lang w:val="uk-UA"/>
        </w:rPr>
        <w:t xml:space="preserve">Навкруги </w:t>
      </w:r>
      <w:proofErr w:type="spellStart"/>
      <w:r w:rsidR="000B3428">
        <w:rPr>
          <w:lang w:val="uk-UA"/>
        </w:rPr>
        <w:t>м.</w:t>
      </w:r>
      <w:r w:rsidRPr="00096F18">
        <w:rPr>
          <w:lang w:val="uk-UA"/>
        </w:rPr>
        <w:t>Сєвєродонецька</w:t>
      </w:r>
      <w:proofErr w:type="spellEnd"/>
      <w:r w:rsidRPr="00096F18">
        <w:rPr>
          <w:lang w:val="uk-UA"/>
        </w:rPr>
        <w:t xml:space="preserve"> багато озер</w:t>
      </w:r>
      <w:r w:rsidR="00A14DA0">
        <w:rPr>
          <w:lang w:val="uk-UA"/>
        </w:rPr>
        <w:t>.</w:t>
      </w:r>
      <w:r w:rsidRPr="00096F18">
        <w:rPr>
          <w:lang w:val="uk-UA"/>
        </w:rPr>
        <w:t xml:space="preserve"> </w:t>
      </w:r>
      <w:r w:rsidR="00A14DA0">
        <w:rPr>
          <w:lang w:val="uk-UA"/>
        </w:rPr>
        <w:t>Ц</w:t>
      </w:r>
      <w:r w:rsidRPr="00096F18">
        <w:rPr>
          <w:lang w:val="uk-UA"/>
        </w:rPr>
        <w:t>е і штучні озера Чисте та Паркове</w:t>
      </w:r>
      <w:r w:rsidR="00A14DA0">
        <w:rPr>
          <w:lang w:val="uk-UA"/>
        </w:rPr>
        <w:t>,</w:t>
      </w:r>
      <w:r w:rsidRPr="00096F18">
        <w:rPr>
          <w:lang w:val="uk-UA"/>
        </w:rPr>
        <w:t xml:space="preserve"> і природні озера Клішня та Кривеньке</w:t>
      </w:r>
      <w:r>
        <w:rPr>
          <w:lang w:val="uk-UA"/>
        </w:rPr>
        <w:t>.</w:t>
      </w:r>
    </w:p>
    <w:p w:rsidR="003D6DDE" w:rsidRDefault="003D6DDE" w:rsidP="00AC499C">
      <w:pPr>
        <w:pStyle w:val="31"/>
        <w:tabs>
          <w:tab w:val="left" w:pos="851"/>
        </w:tabs>
        <w:ind w:firstLine="567"/>
        <w:jc w:val="both"/>
        <w:rPr>
          <w:rFonts w:ascii="Times New Roman" w:hAnsi="Times New Roman" w:cs="Times New Roman"/>
          <w:b/>
          <w:sz w:val="28"/>
          <w:szCs w:val="28"/>
          <w:lang w:val="uk-UA"/>
        </w:rPr>
      </w:pPr>
    </w:p>
    <w:p w:rsidR="00AC499C" w:rsidRPr="00E95FB1" w:rsidRDefault="00AC499C" w:rsidP="00AC499C">
      <w:pPr>
        <w:pStyle w:val="31"/>
        <w:tabs>
          <w:tab w:val="left" w:pos="851"/>
        </w:tabs>
        <w:ind w:firstLine="567"/>
        <w:jc w:val="both"/>
        <w:rPr>
          <w:rFonts w:ascii="Times New Roman" w:hAnsi="Times New Roman" w:cs="Times New Roman"/>
          <w:b/>
          <w:sz w:val="28"/>
          <w:szCs w:val="28"/>
          <w:lang w:val="uk-UA"/>
        </w:rPr>
      </w:pPr>
      <w:r w:rsidRPr="00E95FB1">
        <w:rPr>
          <w:rFonts w:ascii="Times New Roman" w:hAnsi="Times New Roman" w:cs="Times New Roman"/>
          <w:b/>
          <w:sz w:val="28"/>
          <w:szCs w:val="28"/>
          <w:lang w:val="uk-UA"/>
        </w:rPr>
        <w:t>Туристичний потенціал громади, історична цінність, культурний потенціал.</w:t>
      </w:r>
    </w:p>
    <w:p w:rsidR="00AC499C" w:rsidRDefault="00AC499C" w:rsidP="00AC499C">
      <w:pPr>
        <w:pStyle w:val="31"/>
        <w:tabs>
          <w:tab w:val="left" w:pos="993"/>
        </w:tabs>
        <w:ind w:firstLine="567"/>
        <w:jc w:val="both"/>
        <w:rPr>
          <w:rFonts w:ascii="Times New Roman" w:hAnsi="Times New Roman" w:cs="Times New Roman"/>
          <w:sz w:val="28"/>
          <w:szCs w:val="28"/>
          <w:lang w:val="uk-UA"/>
        </w:rPr>
      </w:pPr>
      <w:r w:rsidRPr="00E95FB1">
        <w:rPr>
          <w:rFonts w:ascii="Times New Roman" w:hAnsi="Times New Roman" w:cs="Times New Roman"/>
          <w:sz w:val="28"/>
          <w:szCs w:val="28"/>
          <w:lang w:val="uk-UA"/>
        </w:rPr>
        <w:t xml:space="preserve"> </w:t>
      </w:r>
    </w:p>
    <w:p w:rsidR="00AC499C" w:rsidRPr="00355733" w:rsidRDefault="00AC499C" w:rsidP="00AC499C">
      <w:pPr>
        <w:pStyle w:val="31"/>
        <w:tabs>
          <w:tab w:val="left" w:pos="993"/>
        </w:tabs>
        <w:ind w:firstLine="567"/>
        <w:jc w:val="both"/>
        <w:rPr>
          <w:rFonts w:ascii="Times New Roman" w:hAnsi="Times New Roman" w:cs="Times New Roman"/>
          <w:sz w:val="28"/>
          <w:szCs w:val="28"/>
          <w:lang w:val="uk-UA"/>
        </w:rPr>
      </w:pPr>
      <w:r w:rsidRPr="00355733">
        <w:rPr>
          <w:rFonts w:ascii="Times New Roman" w:hAnsi="Times New Roman" w:cs="Times New Roman"/>
          <w:sz w:val="28"/>
          <w:szCs w:val="28"/>
          <w:lang w:val="uk-UA"/>
        </w:rPr>
        <w:t xml:space="preserve">Після масштабних руйнувань, спричинених збройною агресією </w:t>
      </w:r>
      <w:r w:rsidR="00BA5F8D" w:rsidRPr="00BA5F8D">
        <w:rPr>
          <w:rFonts w:ascii="Times New Roman" w:hAnsi="Times New Roman" w:cs="Times New Roman"/>
        </w:rPr>
        <w:t>РФ</w:t>
      </w:r>
      <w:r w:rsidRPr="00355733">
        <w:rPr>
          <w:rFonts w:ascii="Times New Roman" w:hAnsi="Times New Roman" w:cs="Times New Roman"/>
          <w:sz w:val="28"/>
          <w:szCs w:val="28"/>
          <w:lang w:val="uk-UA"/>
        </w:rPr>
        <w:t xml:space="preserve"> проти України, туристичний потенціал громади може бути переосмислений в контексті збереження історичної пам'яті про героїчний супротив українського народу окупантам. Це може мати важливе значення для відновлення регіону та </w:t>
      </w:r>
      <w:r w:rsidRPr="00355733">
        <w:rPr>
          <w:rFonts w:ascii="Times New Roman" w:hAnsi="Times New Roman" w:cs="Times New Roman"/>
          <w:sz w:val="28"/>
          <w:szCs w:val="28"/>
          <w:lang w:val="uk-UA"/>
        </w:rPr>
        <w:lastRenderedPageBreak/>
        <w:t>підтримки патріотичного духу в суспільстві. Зокрема при розробці цього підходу варто врахувати наступні аспекти</w:t>
      </w:r>
      <w:r w:rsidR="00D86C93">
        <w:rPr>
          <w:rFonts w:ascii="Times New Roman" w:hAnsi="Times New Roman" w:cs="Times New Roman"/>
          <w:sz w:val="28"/>
          <w:szCs w:val="28"/>
          <w:lang w:val="uk-UA"/>
        </w:rPr>
        <w:t>.</w:t>
      </w:r>
    </w:p>
    <w:p w:rsidR="00AC499C" w:rsidRPr="00355733" w:rsidRDefault="00AC499C" w:rsidP="00AC499C">
      <w:pPr>
        <w:pStyle w:val="31"/>
        <w:tabs>
          <w:tab w:val="left" w:pos="993"/>
        </w:tabs>
        <w:ind w:firstLine="567"/>
        <w:jc w:val="both"/>
        <w:rPr>
          <w:rFonts w:ascii="Times New Roman" w:hAnsi="Times New Roman" w:cs="Times New Roman"/>
          <w:sz w:val="28"/>
          <w:szCs w:val="28"/>
          <w:lang w:val="uk-UA"/>
        </w:rPr>
      </w:pPr>
      <w:r w:rsidRPr="00355733">
        <w:rPr>
          <w:rFonts w:ascii="Times New Roman" w:hAnsi="Times New Roman" w:cs="Times New Roman"/>
          <w:b/>
          <w:bCs/>
          <w:sz w:val="28"/>
          <w:szCs w:val="28"/>
          <w:u w:val="single"/>
          <w:lang w:val="uk-UA"/>
        </w:rPr>
        <w:t>Історична спадщина</w:t>
      </w:r>
      <w:r w:rsidR="00D86C93">
        <w:rPr>
          <w:rFonts w:ascii="Times New Roman" w:hAnsi="Times New Roman" w:cs="Times New Roman"/>
          <w:b/>
          <w:bCs/>
          <w:sz w:val="28"/>
          <w:szCs w:val="28"/>
          <w:u w:val="single"/>
          <w:lang w:val="uk-UA"/>
        </w:rPr>
        <w:t>.</w:t>
      </w:r>
      <w:r w:rsidRPr="00355733">
        <w:rPr>
          <w:rFonts w:ascii="Times New Roman" w:hAnsi="Times New Roman" w:cs="Times New Roman"/>
          <w:sz w:val="28"/>
          <w:szCs w:val="28"/>
          <w:lang w:val="uk-UA"/>
        </w:rPr>
        <w:t xml:space="preserve"> Після </w:t>
      </w:r>
      <w:proofErr w:type="spellStart"/>
      <w:r w:rsidRPr="00355733">
        <w:rPr>
          <w:rFonts w:ascii="Times New Roman" w:hAnsi="Times New Roman" w:cs="Times New Roman"/>
          <w:sz w:val="28"/>
          <w:szCs w:val="28"/>
          <w:lang w:val="uk-UA"/>
        </w:rPr>
        <w:t>деокупації</w:t>
      </w:r>
      <w:proofErr w:type="spellEnd"/>
      <w:r w:rsidRPr="00355733">
        <w:rPr>
          <w:rFonts w:ascii="Times New Roman" w:hAnsi="Times New Roman" w:cs="Times New Roman"/>
          <w:sz w:val="28"/>
          <w:szCs w:val="28"/>
          <w:lang w:val="uk-UA"/>
        </w:rPr>
        <w:t xml:space="preserve"> </w:t>
      </w:r>
      <w:r w:rsidR="00020F55">
        <w:rPr>
          <w:rFonts w:ascii="Times New Roman" w:hAnsi="Times New Roman" w:cs="Times New Roman"/>
          <w:sz w:val="28"/>
          <w:szCs w:val="28"/>
          <w:lang w:val="uk-UA"/>
        </w:rPr>
        <w:t xml:space="preserve">території </w:t>
      </w:r>
      <w:r w:rsidR="00AC5060">
        <w:rPr>
          <w:rFonts w:ascii="Times New Roman" w:hAnsi="Times New Roman" w:cs="Times New Roman"/>
          <w:sz w:val="28"/>
          <w:szCs w:val="28"/>
          <w:lang w:val="uk-UA"/>
        </w:rPr>
        <w:t xml:space="preserve"> </w:t>
      </w:r>
      <w:r w:rsidRPr="00355733">
        <w:rPr>
          <w:rFonts w:ascii="Times New Roman" w:hAnsi="Times New Roman" w:cs="Times New Roman"/>
          <w:sz w:val="28"/>
          <w:szCs w:val="28"/>
          <w:lang w:val="uk-UA"/>
        </w:rPr>
        <w:t>громада може володіти важливою історичною спадщиною, пов'язаною з героїчним супротивом українського народу під час збройної агресії</w:t>
      </w:r>
      <w:r w:rsidR="00AC5060">
        <w:rPr>
          <w:rFonts w:ascii="Times New Roman" w:hAnsi="Times New Roman" w:cs="Times New Roman"/>
          <w:sz w:val="28"/>
          <w:szCs w:val="28"/>
          <w:lang w:val="uk-UA"/>
        </w:rPr>
        <w:t xml:space="preserve"> РФ</w:t>
      </w:r>
      <w:r w:rsidRPr="00355733">
        <w:rPr>
          <w:rFonts w:ascii="Times New Roman" w:hAnsi="Times New Roman" w:cs="Times New Roman"/>
          <w:sz w:val="28"/>
          <w:szCs w:val="28"/>
          <w:lang w:val="uk-UA"/>
        </w:rPr>
        <w:t>. Це може бути пам'ятки, меморіали, сліди подій тощо, які відображають важливі моменти в історії та показують дух національного об'єднання.</w:t>
      </w:r>
    </w:p>
    <w:p w:rsidR="00AC499C" w:rsidRPr="00355733" w:rsidRDefault="00AC499C" w:rsidP="00AC499C">
      <w:pPr>
        <w:pStyle w:val="31"/>
        <w:tabs>
          <w:tab w:val="left" w:pos="993"/>
        </w:tabs>
        <w:ind w:firstLine="567"/>
        <w:jc w:val="both"/>
        <w:rPr>
          <w:rFonts w:ascii="Times New Roman" w:hAnsi="Times New Roman" w:cs="Times New Roman"/>
          <w:sz w:val="28"/>
          <w:szCs w:val="28"/>
          <w:lang w:val="uk-UA"/>
        </w:rPr>
      </w:pPr>
      <w:r w:rsidRPr="00355733">
        <w:rPr>
          <w:rFonts w:ascii="Times New Roman" w:hAnsi="Times New Roman" w:cs="Times New Roman"/>
          <w:b/>
          <w:bCs/>
          <w:sz w:val="28"/>
          <w:szCs w:val="28"/>
          <w:u w:val="single"/>
          <w:lang w:val="uk-UA"/>
        </w:rPr>
        <w:t>Туризм пам'яті</w:t>
      </w:r>
      <w:r w:rsidR="00D86C93">
        <w:rPr>
          <w:rFonts w:ascii="Times New Roman" w:hAnsi="Times New Roman" w:cs="Times New Roman"/>
          <w:b/>
          <w:bCs/>
          <w:sz w:val="28"/>
          <w:szCs w:val="28"/>
          <w:u w:val="single"/>
          <w:lang w:val="uk-UA"/>
        </w:rPr>
        <w:t>.</w:t>
      </w:r>
      <w:r w:rsidRPr="00355733">
        <w:rPr>
          <w:rFonts w:ascii="Times New Roman" w:hAnsi="Times New Roman" w:cs="Times New Roman"/>
          <w:sz w:val="28"/>
          <w:szCs w:val="28"/>
          <w:lang w:val="uk-UA"/>
        </w:rPr>
        <w:t xml:space="preserve"> Розвиток туризму пам'яті може допомогти привернути увагу та інтерес туристів до регіону. Відвідування місць боїв, меморіалів та інших історичних об'єктів може надати можливість вивчати минуле, вшановувати героїв та сприяти національній пам'яті.</w:t>
      </w:r>
    </w:p>
    <w:p w:rsidR="00AC499C" w:rsidRPr="00355733" w:rsidRDefault="00AC499C" w:rsidP="00AC499C">
      <w:pPr>
        <w:pStyle w:val="31"/>
        <w:tabs>
          <w:tab w:val="left" w:pos="993"/>
        </w:tabs>
        <w:ind w:firstLine="567"/>
        <w:jc w:val="both"/>
        <w:rPr>
          <w:rFonts w:ascii="Times New Roman" w:hAnsi="Times New Roman" w:cs="Times New Roman"/>
          <w:sz w:val="28"/>
          <w:szCs w:val="28"/>
          <w:lang w:val="uk-UA"/>
        </w:rPr>
      </w:pPr>
      <w:r w:rsidRPr="00355733">
        <w:rPr>
          <w:rFonts w:ascii="Times New Roman" w:hAnsi="Times New Roman" w:cs="Times New Roman"/>
          <w:b/>
          <w:bCs/>
          <w:sz w:val="28"/>
          <w:szCs w:val="28"/>
          <w:u w:val="single"/>
          <w:lang w:val="uk-UA"/>
        </w:rPr>
        <w:t>Екскурсії та музеї</w:t>
      </w:r>
      <w:r w:rsidR="00D86C93">
        <w:rPr>
          <w:rFonts w:ascii="Times New Roman" w:hAnsi="Times New Roman" w:cs="Times New Roman"/>
          <w:b/>
          <w:bCs/>
          <w:sz w:val="28"/>
          <w:szCs w:val="28"/>
          <w:u w:val="single"/>
          <w:lang w:val="uk-UA"/>
        </w:rPr>
        <w:t>.</w:t>
      </w:r>
      <w:r w:rsidRPr="00355733">
        <w:rPr>
          <w:rFonts w:ascii="Times New Roman" w:hAnsi="Times New Roman" w:cs="Times New Roman"/>
          <w:sz w:val="28"/>
          <w:szCs w:val="28"/>
          <w:lang w:val="uk-UA"/>
        </w:rPr>
        <w:t xml:space="preserve"> Створення музеїв, виставок та інших інтерактивних платформ може допомогти пояснити історію та контекст героїчного супротиву. Екскурсії з фахівцями, які добре орієнтуються в історичних подіях, можуть збагатити знання та розуміння потенційних туристів.</w:t>
      </w:r>
    </w:p>
    <w:p w:rsidR="00AC499C" w:rsidRPr="00355733" w:rsidRDefault="00AC499C" w:rsidP="00AC499C">
      <w:pPr>
        <w:pStyle w:val="13"/>
        <w:ind w:firstLine="567"/>
        <w:jc w:val="both"/>
        <w:rPr>
          <w:lang w:val="uk-UA"/>
        </w:rPr>
      </w:pPr>
      <w:r w:rsidRPr="00355733">
        <w:rPr>
          <w:b/>
          <w:bCs/>
          <w:szCs w:val="28"/>
          <w:u w:val="single"/>
          <w:lang w:val="uk-UA"/>
        </w:rPr>
        <w:t>Розвиток інфраструктури</w:t>
      </w:r>
      <w:r w:rsidR="00D86C93">
        <w:rPr>
          <w:b/>
          <w:bCs/>
          <w:szCs w:val="28"/>
          <w:u w:val="single"/>
          <w:lang w:val="uk-UA"/>
        </w:rPr>
        <w:t>.</w:t>
      </w:r>
      <w:r w:rsidRPr="00355733">
        <w:rPr>
          <w:szCs w:val="28"/>
          <w:lang w:val="uk-UA"/>
        </w:rPr>
        <w:t xml:space="preserve"> Відновлення та розвиток інфраструктури, пов'язаної з історичними пам'ятками, може сприяти туристичній активності. Готелі, ресторани, транспортні засоби та інші послуги мають стати доступними для туристів, які бажають вивчати історію регіону. Варто зазначити, що до повномасштабного вторгнення </w:t>
      </w:r>
      <w:r w:rsidR="00390575">
        <w:rPr>
          <w:szCs w:val="28"/>
          <w:lang w:val="uk-UA"/>
        </w:rPr>
        <w:t xml:space="preserve">РФ на територію України </w:t>
      </w:r>
      <w:r w:rsidRPr="00355733">
        <w:rPr>
          <w:lang w:val="uk-UA"/>
        </w:rPr>
        <w:t xml:space="preserve">для гостей міста були відкриті готелі </w:t>
      </w:r>
      <w:r w:rsidR="00390575">
        <w:rPr>
          <w:lang w:val="uk-UA"/>
        </w:rPr>
        <w:t>«</w:t>
      </w:r>
      <w:r w:rsidRPr="00355733">
        <w:rPr>
          <w:lang w:val="uk-UA"/>
        </w:rPr>
        <w:t>Мир</w:t>
      </w:r>
      <w:r w:rsidR="00390575">
        <w:rPr>
          <w:lang w:val="uk-UA"/>
        </w:rPr>
        <w:t>»</w:t>
      </w:r>
      <w:r w:rsidRPr="00355733">
        <w:rPr>
          <w:lang w:val="uk-UA"/>
        </w:rPr>
        <w:t xml:space="preserve">, </w:t>
      </w:r>
      <w:r w:rsidR="00390575">
        <w:rPr>
          <w:lang w:val="uk-UA"/>
        </w:rPr>
        <w:t>«</w:t>
      </w:r>
      <w:r w:rsidRPr="00355733">
        <w:rPr>
          <w:lang w:val="uk-UA"/>
        </w:rPr>
        <w:t>Центральна</w:t>
      </w:r>
      <w:r w:rsidR="00390575">
        <w:rPr>
          <w:lang w:val="uk-UA"/>
        </w:rPr>
        <w:t>»</w:t>
      </w:r>
      <w:r w:rsidRPr="00355733">
        <w:rPr>
          <w:lang w:val="uk-UA"/>
        </w:rPr>
        <w:t xml:space="preserve">, </w:t>
      </w:r>
      <w:r w:rsidR="00390575">
        <w:rPr>
          <w:lang w:val="uk-UA"/>
        </w:rPr>
        <w:t>«</w:t>
      </w:r>
      <w:r w:rsidRPr="00355733">
        <w:rPr>
          <w:lang w:val="uk-UA"/>
        </w:rPr>
        <w:t>Сєвєродонецьк</w:t>
      </w:r>
      <w:r w:rsidR="00390575">
        <w:rPr>
          <w:lang w:val="uk-UA"/>
        </w:rPr>
        <w:t>»</w:t>
      </w:r>
      <w:r w:rsidRPr="00355733">
        <w:rPr>
          <w:lang w:val="uk-UA"/>
        </w:rPr>
        <w:t xml:space="preserve">, </w:t>
      </w:r>
      <w:r w:rsidR="00390575">
        <w:rPr>
          <w:lang w:val="uk-UA"/>
        </w:rPr>
        <w:t>«</w:t>
      </w:r>
      <w:r w:rsidRPr="00355733">
        <w:rPr>
          <w:lang w:val="uk-UA"/>
        </w:rPr>
        <w:t>Околиця</w:t>
      </w:r>
      <w:r w:rsidR="00390575">
        <w:rPr>
          <w:lang w:val="uk-UA"/>
        </w:rPr>
        <w:t>»</w:t>
      </w:r>
      <w:r w:rsidRPr="00355733">
        <w:rPr>
          <w:lang w:val="uk-UA"/>
        </w:rPr>
        <w:t xml:space="preserve">, </w:t>
      </w:r>
      <w:r w:rsidR="00390575">
        <w:rPr>
          <w:lang w:val="uk-UA"/>
        </w:rPr>
        <w:t>«</w:t>
      </w:r>
      <w:r w:rsidRPr="00355733">
        <w:rPr>
          <w:lang w:val="uk-UA"/>
        </w:rPr>
        <w:t>Голден Палас</w:t>
      </w:r>
      <w:r w:rsidR="00390575">
        <w:rPr>
          <w:lang w:val="uk-UA"/>
        </w:rPr>
        <w:t>»</w:t>
      </w:r>
      <w:r w:rsidRPr="00355733">
        <w:rPr>
          <w:lang w:val="uk-UA"/>
        </w:rPr>
        <w:t xml:space="preserve">, </w:t>
      </w:r>
      <w:r w:rsidR="00390575">
        <w:rPr>
          <w:lang w:val="uk-UA"/>
        </w:rPr>
        <w:t>«</w:t>
      </w:r>
      <w:r w:rsidRPr="00355733">
        <w:rPr>
          <w:lang w:val="uk-UA"/>
        </w:rPr>
        <w:t>Ріо</w:t>
      </w:r>
      <w:r w:rsidR="00390575">
        <w:rPr>
          <w:lang w:val="uk-UA"/>
        </w:rPr>
        <w:t>»</w:t>
      </w:r>
      <w:r w:rsidRPr="00355733">
        <w:rPr>
          <w:lang w:val="uk-UA"/>
        </w:rPr>
        <w:t xml:space="preserve">, </w:t>
      </w:r>
      <w:r w:rsidR="00390575">
        <w:rPr>
          <w:lang w:val="uk-UA"/>
        </w:rPr>
        <w:t>«</w:t>
      </w:r>
      <w:proofErr w:type="spellStart"/>
      <w:r w:rsidRPr="00355733">
        <w:rPr>
          <w:lang w:val="uk-UA"/>
        </w:rPr>
        <w:t>Ксанаду</w:t>
      </w:r>
      <w:proofErr w:type="spellEnd"/>
      <w:r w:rsidR="00390575">
        <w:rPr>
          <w:lang w:val="uk-UA"/>
        </w:rPr>
        <w:t>»</w:t>
      </w:r>
      <w:r w:rsidRPr="00355733">
        <w:rPr>
          <w:lang w:val="uk-UA"/>
        </w:rPr>
        <w:t xml:space="preserve">, </w:t>
      </w:r>
      <w:r w:rsidR="00390575">
        <w:rPr>
          <w:lang w:val="uk-UA"/>
        </w:rPr>
        <w:t>«</w:t>
      </w:r>
      <w:r w:rsidRPr="00355733">
        <w:rPr>
          <w:lang w:val="uk-UA"/>
        </w:rPr>
        <w:t>Місто</w:t>
      </w:r>
      <w:r w:rsidR="00390575">
        <w:rPr>
          <w:lang w:val="uk-UA"/>
        </w:rPr>
        <w:t>»</w:t>
      </w:r>
      <w:r w:rsidRPr="00355733">
        <w:rPr>
          <w:lang w:val="uk-UA"/>
        </w:rPr>
        <w:t xml:space="preserve"> та ін.</w:t>
      </w:r>
    </w:p>
    <w:p w:rsidR="00AC499C" w:rsidRPr="00355733" w:rsidRDefault="00AC499C" w:rsidP="00AC499C">
      <w:pPr>
        <w:pStyle w:val="31"/>
        <w:tabs>
          <w:tab w:val="left" w:pos="993"/>
        </w:tabs>
        <w:ind w:firstLine="567"/>
        <w:rPr>
          <w:rFonts w:ascii="Times New Roman" w:hAnsi="Times New Roman" w:cs="Times New Roman"/>
          <w:sz w:val="28"/>
          <w:szCs w:val="28"/>
          <w:lang w:val="uk-UA"/>
        </w:rPr>
      </w:pPr>
    </w:p>
    <w:p w:rsidR="00AC499C" w:rsidRPr="00355733" w:rsidRDefault="00AC499C" w:rsidP="00AC499C">
      <w:pPr>
        <w:pStyle w:val="31"/>
        <w:tabs>
          <w:tab w:val="left" w:pos="993"/>
        </w:tabs>
        <w:ind w:firstLine="567"/>
        <w:jc w:val="both"/>
        <w:rPr>
          <w:rFonts w:ascii="Times New Roman" w:hAnsi="Times New Roman" w:cs="Times New Roman"/>
          <w:sz w:val="28"/>
          <w:szCs w:val="28"/>
          <w:lang w:val="uk-UA"/>
        </w:rPr>
      </w:pPr>
      <w:r w:rsidRPr="00355733">
        <w:rPr>
          <w:rFonts w:ascii="Times New Roman" w:hAnsi="Times New Roman" w:cs="Times New Roman"/>
          <w:sz w:val="28"/>
          <w:szCs w:val="28"/>
          <w:lang w:val="uk-UA"/>
        </w:rPr>
        <w:t xml:space="preserve">Звертаючи увагу на історичну спадщину та героїчний дух українського народу, громада може не лише відновити свою ідентичність після деструкції, спричиненої збройною агресією, але й привернути увагу та підтримку туристів, що відвідують місця, де відбувалися важливі історичні події.  </w:t>
      </w:r>
    </w:p>
    <w:p w:rsidR="00AC499C" w:rsidRPr="00355733" w:rsidRDefault="00AC499C" w:rsidP="00AC499C">
      <w:pPr>
        <w:pStyle w:val="31"/>
        <w:tabs>
          <w:tab w:val="left" w:pos="993"/>
        </w:tabs>
        <w:ind w:firstLine="567"/>
        <w:jc w:val="both"/>
        <w:rPr>
          <w:rFonts w:ascii="Times New Roman" w:hAnsi="Times New Roman" w:cs="Times New Roman"/>
          <w:sz w:val="28"/>
          <w:szCs w:val="28"/>
          <w:lang w:val="uk-UA"/>
        </w:rPr>
      </w:pPr>
    </w:p>
    <w:p w:rsidR="00AC499C" w:rsidRDefault="00AC499C" w:rsidP="00AC499C">
      <w:pPr>
        <w:pStyle w:val="31"/>
        <w:tabs>
          <w:tab w:val="left" w:pos="993"/>
        </w:tabs>
        <w:ind w:firstLine="567"/>
        <w:jc w:val="both"/>
        <w:rPr>
          <w:rFonts w:ascii="Times New Roman" w:hAnsi="Times New Roman" w:cs="Times New Roman"/>
          <w:sz w:val="28"/>
          <w:szCs w:val="28"/>
          <w:lang w:val="uk-UA"/>
        </w:rPr>
      </w:pPr>
      <w:r w:rsidRPr="00355733">
        <w:rPr>
          <w:rFonts w:ascii="Times New Roman" w:hAnsi="Times New Roman" w:cs="Times New Roman"/>
          <w:sz w:val="28"/>
          <w:szCs w:val="28"/>
          <w:lang w:val="uk-UA"/>
        </w:rPr>
        <w:t xml:space="preserve">Також варто зазначити, що навіть в умовах окупації </w:t>
      </w:r>
      <w:r w:rsidR="00FB5F78">
        <w:rPr>
          <w:rFonts w:ascii="Times New Roman" w:hAnsi="Times New Roman" w:cs="Times New Roman"/>
          <w:sz w:val="28"/>
          <w:szCs w:val="28"/>
          <w:lang w:val="uk-UA"/>
        </w:rPr>
        <w:t>території</w:t>
      </w:r>
      <w:r w:rsidR="00FB5F78" w:rsidRPr="00355733">
        <w:rPr>
          <w:rFonts w:ascii="Times New Roman" w:hAnsi="Times New Roman" w:cs="Times New Roman"/>
          <w:sz w:val="28"/>
          <w:szCs w:val="28"/>
          <w:lang w:val="uk-UA"/>
        </w:rPr>
        <w:t xml:space="preserve"> </w:t>
      </w:r>
      <w:r w:rsidRPr="00355733">
        <w:rPr>
          <w:rFonts w:ascii="Times New Roman" w:hAnsi="Times New Roman" w:cs="Times New Roman"/>
          <w:sz w:val="28"/>
          <w:szCs w:val="28"/>
          <w:lang w:val="uk-UA"/>
        </w:rPr>
        <w:t xml:space="preserve">важливе значення має діяльність, що полягає в підтримці інтересу до громади з боків різних </w:t>
      </w:r>
      <w:proofErr w:type="spellStart"/>
      <w:r w:rsidRPr="00355733">
        <w:rPr>
          <w:rFonts w:ascii="Times New Roman" w:hAnsi="Times New Roman" w:cs="Times New Roman"/>
          <w:sz w:val="28"/>
          <w:szCs w:val="28"/>
          <w:lang w:val="uk-UA"/>
        </w:rPr>
        <w:t>стекхолдерів</w:t>
      </w:r>
      <w:proofErr w:type="spellEnd"/>
      <w:r w:rsidRPr="00355733">
        <w:rPr>
          <w:rFonts w:ascii="Times New Roman" w:hAnsi="Times New Roman" w:cs="Times New Roman"/>
          <w:sz w:val="28"/>
          <w:szCs w:val="28"/>
          <w:lang w:val="uk-UA"/>
        </w:rPr>
        <w:t>. З метою формування іміджу Сєвєродонец</w:t>
      </w:r>
      <w:r w:rsidRPr="00CF25C3">
        <w:rPr>
          <w:rFonts w:ascii="Times New Roman" w:hAnsi="Times New Roman" w:cs="Times New Roman"/>
          <w:sz w:val="28"/>
          <w:szCs w:val="28"/>
          <w:lang w:val="uk-UA"/>
        </w:rPr>
        <w:t xml:space="preserve">ької міської територіальної громади як європейської, інноваційної громади - громади культури, налагодження міжнародного співробітництва, реалізації кращих європейських практик, презентації культурної ідентичності міської територіальної громади протягом 2023-2025 років заплановано заходи щодо розвитку </w:t>
      </w:r>
      <w:proofErr w:type="spellStart"/>
      <w:r w:rsidRPr="00CF25C3">
        <w:rPr>
          <w:rFonts w:ascii="Times New Roman" w:hAnsi="Times New Roman" w:cs="Times New Roman"/>
          <w:sz w:val="28"/>
          <w:szCs w:val="28"/>
          <w:lang w:val="uk-UA"/>
        </w:rPr>
        <w:t>інтер</w:t>
      </w:r>
      <w:proofErr w:type="spellEnd"/>
      <w:r w:rsidRPr="00CF25C3">
        <w:rPr>
          <w:rFonts w:ascii="Times New Roman" w:hAnsi="Times New Roman" w:cs="Times New Roman"/>
          <w:sz w:val="28"/>
          <w:szCs w:val="28"/>
          <w:lang w:val="uk-UA"/>
        </w:rPr>
        <w:t xml:space="preserve">-культурного діалогу між містами та закладами культури громади, участь інституцій громадянського суспільства у міжнародних культурно-мистецьких </w:t>
      </w:r>
      <w:proofErr w:type="spellStart"/>
      <w:r w:rsidRPr="00CF25C3">
        <w:rPr>
          <w:rFonts w:ascii="Times New Roman" w:hAnsi="Times New Roman" w:cs="Times New Roman"/>
          <w:sz w:val="28"/>
          <w:szCs w:val="28"/>
          <w:lang w:val="uk-UA"/>
        </w:rPr>
        <w:t>проєктах</w:t>
      </w:r>
      <w:proofErr w:type="spellEnd"/>
      <w:r w:rsidRPr="00CF25C3">
        <w:rPr>
          <w:rFonts w:ascii="Times New Roman" w:hAnsi="Times New Roman" w:cs="Times New Roman"/>
          <w:sz w:val="28"/>
          <w:szCs w:val="28"/>
          <w:lang w:val="uk-UA"/>
        </w:rPr>
        <w:t xml:space="preserve">, запровадження власних культурно-мистецьких </w:t>
      </w:r>
      <w:proofErr w:type="spellStart"/>
      <w:r w:rsidRPr="00CF25C3">
        <w:rPr>
          <w:rFonts w:ascii="Times New Roman" w:hAnsi="Times New Roman" w:cs="Times New Roman"/>
          <w:sz w:val="28"/>
          <w:szCs w:val="28"/>
          <w:lang w:val="uk-UA"/>
        </w:rPr>
        <w:t>проєктiв</w:t>
      </w:r>
      <w:proofErr w:type="spellEnd"/>
      <w:r w:rsidRPr="00CF25C3">
        <w:rPr>
          <w:rFonts w:ascii="Times New Roman" w:hAnsi="Times New Roman" w:cs="Times New Roman"/>
          <w:sz w:val="28"/>
          <w:szCs w:val="28"/>
          <w:lang w:val="uk-UA"/>
        </w:rPr>
        <w:t xml:space="preserve"> міжнародного рівня.</w:t>
      </w:r>
      <w:r w:rsidRPr="00E95FB1">
        <w:rPr>
          <w:rFonts w:ascii="Times New Roman" w:hAnsi="Times New Roman" w:cs="Times New Roman"/>
          <w:sz w:val="28"/>
          <w:szCs w:val="28"/>
          <w:lang w:val="uk-UA"/>
        </w:rPr>
        <w:t xml:space="preserve"> </w:t>
      </w:r>
    </w:p>
    <w:p w:rsidR="00AC499C" w:rsidRDefault="00AC499C" w:rsidP="00AC499C">
      <w:pPr>
        <w:pStyle w:val="31"/>
        <w:spacing w:line="240" w:lineRule="auto"/>
        <w:rPr>
          <w:rFonts w:ascii="Times New Roman" w:hAnsi="Times New Roman" w:cs="Times New Roman"/>
          <w:b/>
          <w:color w:val="0070C0"/>
          <w:sz w:val="28"/>
          <w:szCs w:val="28"/>
          <w:lang w:val="uk-UA"/>
        </w:rPr>
      </w:pPr>
    </w:p>
    <w:p w:rsidR="00805475" w:rsidRDefault="00805475" w:rsidP="00AC499C">
      <w:pPr>
        <w:pStyle w:val="31"/>
        <w:spacing w:line="240" w:lineRule="auto"/>
        <w:ind w:left="720"/>
        <w:rPr>
          <w:rFonts w:ascii="Times New Roman" w:hAnsi="Times New Roman" w:cs="Times New Roman"/>
          <w:b/>
          <w:color w:val="0070C0"/>
          <w:sz w:val="28"/>
          <w:szCs w:val="28"/>
          <w:lang w:val="uk-UA"/>
        </w:rPr>
      </w:pPr>
      <w:r>
        <w:rPr>
          <w:rFonts w:ascii="Times New Roman" w:hAnsi="Times New Roman" w:cs="Times New Roman"/>
          <w:b/>
          <w:color w:val="0070C0"/>
          <w:sz w:val="28"/>
          <w:szCs w:val="28"/>
          <w:lang w:val="uk-UA"/>
        </w:rPr>
        <w:br/>
      </w:r>
    </w:p>
    <w:p w:rsidR="00805475" w:rsidRDefault="00805475" w:rsidP="00AC499C">
      <w:pPr>
        <w:pStyle w:val="31"/>
        <w:spacing w:line="240" w:lineRule="auto"/>
        <w:ind w:left="720"/>
        <w:rPr>
          <w:rFonts w:ascii="Times New Roman" w:hAnsi="Times New Roman" w:cs="Times New Roman"/>
          <w:b/>
          <w:color w:val="0070C0"/>
          <w:sz w:val="28"/>
          <w:szCs w:val="28"/>
          <w:lang w:val="uk-UA"/>
        </w:rPr>
      </w:pPr>
    </w:p>
    <w:p w:rsidR="00AC499C" w:rsidRPr="00805475" w:rsidRDefault="00AC499C" w:rsidP="00AC499C">
      <w:pPr>
        <w:pStyle w:val="31"/>
        <w:spacing w:line="240" w:lineRule="auto"/>
        <w:ind w:left="720"/>
        <w:rPr>
          <w:rFonts w:ascii="Times New Roman" w:hAnsi="Times New Roman" w:cs="Times New Roman"/>
          <w:b/>
          <w:color w:val="17365D" w:themeColor="text2" w:themeShade="BF"/>
          <w:sz w:val="28"/>
          <w:szCs w:val="28"/>
          <w:lang w:val="uk-UA"/>
        </w:rPr>
      </w:pPr>
      <w:r w:rsidRPr="00805475">
        <w:rPr>
          <w:rFonts w:ascii="Times New Roman" w:hAnsi="Times New Roman" w:cs="Times New Roman"/>
          <w:b/>
          <w:color w:val="17365D" w:themeColor="text2" w:themeShade="BF"/>
          <w:sz w:val="28"/>
          <w:szCs w:val="28"/>
          <w:lang w:val="uk-UA"/>
        </w:rPr>
        <w:lastRenderedPageBreak/>
        <w:t>Спорт</w:t>
      </w:r>
    </w:p>
    <w:p w:rsidR="00AC499C" w:rsidRPr="00E95FB1" w:rsidRDefault="00AC499C" w:rsidP="00AC499C">
      <w:pPr>
        <w:pStyle w:val="31"/>
        <w:spacing w:line="240" w:lineRule="auto"/>
        <w:ind w:left="720"/>
        <w:rPr>
          <w:rFonts w:ascii="Times New Roman" w:hAnsi="Times New Roman" w:cs="Times New Roman"/>
          <w:b/>
          <w:color w:val="00B050"/>
          <w:sz w:val="28"/>
          <w:szCs w:val="28"/>
          <w:lang w:val="uk-UA"/>
        </w:rPr>
      </w:pPr>
    </w:p>
    <w:p w:rsidR="00AC499C" w:rsidRDefault="00AC499C" w:rsidP="00AC499C">
      <w:pPr>
        <w:ind w:firstLine="709"/>
      </w:pPr>
      <w:r w:rsidRPr="00E95FB1">
        <w:t>Система фізичної культури і спорту Сєвєродонецької міської територіальної громади</w:t>
      </w:r>
      <w:r>
        <w:t xml:space="preserve"> </w:t>
      </w:r>
      <w:r w:rsidRPr="00E95FB1">
        <w:t xml:space="preserve">спрямована на розвиток різноманітних об’єктів спортивної інфраструктури, розвиток видів спорту, гуртків та секцій. </w:t>
      </w:r>
    </w:p>
    <w:p w:rsidR="00AC499C" w:rsidRPr="00E95FB1" w:rsidRDefault="00AC499C" w:rsidP="00AC499C">
      <w:pPr>
        <w:ind w:firstLine="709"/>
      </w:pPr>
    </w:p>
    <w:p w:rsidR="003D6DDE" w:rsidRPr="003D6DDE" w:rsidRDefault="003D6DDE" w:rsidP="003D6DDE">
      <w:pPr>
        <w:ind w:firstLine="708"/>
        <w:rPr>
          <w:sz w:val="24"/>
          <w:szCs w:val="24"/>
          <w:lang w:eastAsia="uk-UA"/>
        </w:rPr>
      </w:pPr>
      <w:r w:rsidRPr="003D6DDE">
        <w:rPr>
          <w:color w:val="000000"/>
          <w:lang w:eastAsia="uk-UA"/>
        </w:rPr>
        <w:t>Станом на 24.02.2022</w:t>
      </w:r>
      <w:r w:rsidR="00F41223">
        <w:rPr>
          <w:color w:val="000000"/>
          <w:lang w:eastAsia="uk-UA"/>
        </w:rPr>
        <w:t>р.</w:t>
      </w:r>
      <w:r w:rsidRPr="003D6DDE">
        <w:rPr>
          <w:color w:val="000000"/>
          <w:lang w:eastAsia="uk-UA"/>
        </w:rPr>
        <w:t xml:space="preserve"> в Сєвєродонецькій міській територіальній громаді заняттями з фізичної культури та спортом було охоплено 3</w:t>
      </w:r>
      <w:r w:rsidR="005716B5">
        <w:rPr>
          <w:color w:val="000000"/>
          <w:lang w:eastAsia="uk-UA"/>
        </w:rPr>
        <w:t xml:space="preserve"> </w:t>
      </w:r>
      <w:r w:rsidRPr="003D6DDE">
        <w:rPr>
          <w:color w:val="000000"/>
          <w:lang w:eastAsia="uk-UA"/>
        </w:rPr>
        <w:t>500 осіб</w:t>
      </w:r>
      <w:r w:rsidR="00196D00">
        <w:rPr>
          <w:color w:val="000000"/>
          <w:lang w:eastAsia="uk-UA"/>
        </w:rPr>
        <w:t>.</w:t>
      </w:r>
      <w:r w:rsidRPr="003D6DDE">
        <w:rPr>
          <w:color w:val="000000"/>
          <w:lang w:eastAsia="uk-UA"/>
        </w:rPr>
        <w:t xml:space="preserve"> </w:t>
      </w:r>
      <w:r w:rsidR="00196D00">
        <w:rPr>
          <w:color w:val="000000"/>
          <w:lang w:eastAsia="uk-UA"/>
        </w:rPr>
        <w:t>М</w:t>
      </w:r>
      <w:r w:rsidRPr="003D6DDE">
        <w:rPr>
          <w:color w:val="000000"/>
          <w:lang w:eastAsia="uk-UA"/>
        </w:rPr>
        <w:t>ережа закладів фізичної культури і спорту знаходилась в задовільному стані та складалась з</w:t>
      </w:r>
      <w:r w:rsidR="00196D00">
        <w:rPr>
          <w:color w:val="000000"/>
          <w:lang w:eastAsia="uk-UA"/>
        </w:rPr>
        <w:t xml:space="preserve"> наступних об</w:t>
      </w:r>
      <w:r w:rsidR="00196D00" w:rsidRPr="00196D00">
        <w:rPr>
          <w:color w:val="000000"/>
          <w:lang w:val="ru-RU" w:eastAsia="uk-UA"/>
        </w:rPr>
        <w:t>’</w:t>
      </w:r>
      <w:proofErr w:type="spellStart"/>
      <w:r w:rsidR="00196D00">
        <w:rPr>
          <w:color w:val="000000"/>
          <w:lang w:eastAsia="uk-UA"/>
        </w:rPr>
        <w:t>єктів</w:t>
      </w:r>
      <w:proofErr w:type="spellEnd"/>
      <w:r w:rsidR="00196D00">
        <w:rPr>
          <w:color w:val="000000"/>
          <w:lang w:eastAsia="uk-UA"/>
        </w:rPr>
        <w:t>.</w:t>
      </w:r>
    </w:p>
    <w:p w:rsidR="003D6DDE" w:rsidRPr="003D6DDE" w:rsidRDefault="00196D00" w:rsidP="003D6DDE">
      <w:pPr>
        <w:rPr>
          <w:sz w:val="24"/>
          <w:szCs w:val="24"/>
          <w:lang w:eastAsia="uk-UA"/>
        </w:rPr>
      </w:pPr>
      <w:r>
        <w:rPr>
          <w:color w:val="000000"/>
          <w:lang w:eastAsia="uk-UA"/>
        </w:rPr>
        <w:t>- Стадіони</w:t>
      </w:r>
      <w:r w:rsidR="003D6DDE" w:rsidRPr="003D6DDE">
        <w:rPr>
          <w:color w:val="000000"/>
          <w:lang w:eastAsia="uk-UA"/>
        </w:rPr>
        <w:t xml:space="preserve"> – 1;</w:t>
      </w:r>
    </w:p>
    <w:p w:rsidR="003D6DDE" w:rsidRPr="003D6DDE" w:rsidRDefault="003D6DDE" w:rsidP="003D6DDE">
      <w:pPr>
        <w:rPr>
          <w:sz w:val="24"/>
          <w:szCs w:val="24"/>
          <w:lang w:eastAsia="uk-UA"/>
        </w:rPr>
      </w:pPr>
      <w:r w:rsidRPr="003D6DDE">
        <w:rPr>
          <w:color w:val="000000"/>
          <w:lang w:eastAsia="uk-UA"/>
        </w:rPr>
        <w:t xml:space="preserve">- </w:t>
      </w:r>
      <w:r w:rsidR="00196D00">
        <w:rPr>
          <w:color w:val="000000"/>
          <w:lang w:eastAsia="uk-UA"/>
        </w:rPr>
        <w:t>с</w:t>
      </w:r>
      <w:r w:rsidRPr="003D6DDE">
        <w:rPr>
          <w:color w:val="000000"/>
          <w:lang w:eastAsia="uk-UA"/>
        </w:rPr>
        <w:t>портзали - 46;</w:t>
      </w:r>
    </w:p>
    <w:p w:rsidR="003D6DDE" w:rsidRPr="003D6DDE" w:rsidRDefault="003D6DDE" w:rsidP="003D6DDE">
      <w:pPr>
        <w:rPr>
          <w:sz w:val="24"/>
          <w:szCs w:val="24"/>
          <w:lang w:eastAsia="uk-UA"/>
        </w:rPr>
      </w:pPr>
      <w:r w:rsidRPr="003D6DDE">
        <w:rPr>
          <w:color w:val="000000"/>
          <w:lang w:eastAsia="uk-UA"/>
        </w:rPr>
        <w:t xml:space="preserve">- </w:t>
      </w:r>
      <w:r w:rsidR="00196D00">
        <w:rPr>
          <w:color w:val="000000"/>
          <w:lang w:eastAsia="uk-UA"/>
        </w:rPr>
        <w:t>п</w:t>
      </w:r>
      <w:r w:rsidRPr="003D6DDE">
        <w:rPr>
          <w:color w:val="000000"/>
          <w:lang w:eastAsia="uk-UA"/>
        </w:rPr>
        <w:t>лавальні басейни - 3;</w:t>
      </w:r>
    </w:p>
    <w:p w:rsidR="003D6DDE" w:rsidRPr="003D6DDE" w:rsidRDefault="003D6DDE" w:rsidP="003D6DDE">
      <w:pPr>
        <w:rPr>
          <w:sz w:val="24"/>
          <w:szCs w:val="24"/>
          <w:lang w:eastAsia="uk-UA"/>
        </w:rPr>
      </w:pPr>
      <w:r w:rsidRPr="003D6DDE">
        <w:rPr>
          <w:color w:val="000000"/>
          <w:lang w:eastAsia="uk-UA"/>
        </w:rPr>
        <w:t xml:space="preserve">- </w:t>
      </w:r>
      <w:r w:rsidR="00196D00">
        <w:rPr>
          <w:color w:val="000000"/>
          <w:lang w:eastAsia="uk-UA"/>
        </w:rPr>
        <w:t>с</w:t>
      </w:r>
      <w:r w:rsidRPr="003D6DDE">
        <w:rPr>
          <w:color w:val="000000"/>
          <w:lang w:eastAsia="uk-UA"/>
        </w:rPr>
        <w:t>портивні майданчики - 73;</w:t>
      </w:r>
    </w:p>
    <w:p w:rsidR="003D6DDE" w:rsidRPr="003D6DDE" w:rsidRDefault="003D6DDE" w:rsidP="003D6DDE">
      <w:pPr>
        <w:rPr>
          <w:sz w:val="24"/>
          <w:szCs w:val="24"/>
          <w:lang w:eastAsia="uk-UA"/>
        </w:rPr>
      </w:pPr>
      <w:r w:rsidRPr="003D6DDE">
        <w:rPr>
          <w:color w:val="000000"/>
          <w:lang w:eastAsia="uk-UA"/>
        </w:rPr>
        <w:t>- підприємств</w:t>
      </w:r>
      <w:r w:rsidR="00196D00">
        <w:rPr>
          <w:color w:val="000000"/>
          <w:lang w:eastAsia="uk-UA"/>
        </w:rPr>
        <w:t>а</w:t>
      </w:r>
      <w:r w:rsidRPr="003D6DDE">
        <w:rPr>
          <w:color w:val="000000"/>
          <w:lang w:eastAsia="uk-UA"/>
        </w:rPr>
        <w:t>, установ</w:t>
      </w:r>
      <w:r w:rsidR="00196D00">
        <w:rPr>
          <w:color w:val="000000"/>
          <w:lang w:eastAsia="uk-UA"/>
        </w:rPr>
        <w:t>и</w:t>
      </w:r>
      <w:r w:rsidRPr="003D6DDE">
        <w:rPr>
          <w:color w:val="000000"/>
          <w:lang w:eastAsia="uk-UA"/>
        </w:rPr>
        <w:t>, організаці</w:t>
      </w:r>
      <w:r w:rsidR="00196D00">
        <w:rPr>
          <w:color w:val="000000"/>
          <w:lang w:eastAsia="uk-UA"/>
        </w:rPr>
        <w:t>ї</w:t>
      </w:r>
      <w:r w:rsidRPr="003D6DDE">
        <w:rPr>
          <w:color w:val="000000"/>
          <w:lang w:eastAsia="uk-UA"/>
        </w:rPr>
        <w:t>, де проводиться фізкультурно-оздоровча робота - 8;</w:t>
      </w:r>
    </w:p>
    <w:p w:rsidR="003D6DDE" w:rsidRPr="003D6DDE" w:rsidRDefault="003D6DDE" w:rsidP="003D6DDE">
      <w:pPr>
        <w:rPr>
          <w:sz w:val="24"/>
          <w:szCs w:val="24"/>
          <w:lang w:eastAsia="uk-UA"/>
        </w:rPr>
      </w:pPr>
      <w:r w:rsidRPr="003D6DDE">
        <w:rPr>
          <w:color w:val="000000"/>
          <w:lang w:eastAsia="uk-UA"/>
        </w:rPr>
        <w:t>- фізкультурно-спортивн</w:t>
      </w:r>
      <w:r w:rsidR="00196D00">
        <w:rPr>
          <w:color w:val="000000"/>
          <w:lang w:eastAsia="uk-UA"/>
        </w:rPr>
        <w:t>і</w:t>
      </w:r>
      <w:r w:rsidRPr="003D6DDE">
        <w:rPr>
          <w:color w:val="000000"/>
          <w:lang w:eastAsia="uk-UA"/>
        </w:rPr>
        <w:t xml:space="preserve"> клуб</w:t>
      </w:r>
      <w:r w:rsidR="00196D00">
        <w:rPr>
          <w:color w:val="000000"/>
          <w:lang w:eastAsia="uk-UA"/>
        </w:rPr>
        <w:t>и</w:t>
      </w:r>
      <w:r w:rsidRPr="003D6DDE">
        <w:rPr>
          <w:color w:val="000000"/>
          <w:lang w:eastAsia="uk-UA"/>
        </w:rPr>
        <w:t xml:space="preserve"> за місцем проживання населення - 8;</w:t>
      </w:r>
    </w:p>
    <w:p w:rsidR="003D6DDE" w:rsidRPr="003D6DDE" w:rsidRDefault="003D6DDE" w:rsidP="003D6DDE">
      <w:pPr>
        <w:rPr>
          <w:sz w:val="24"/>
          <w:szCs w:val="24"/>
          <w:lang w:eastAsia="uk-UA"/>
        </w:rPr>
      </w:pPr>
      <w:r w:rsidRPr="003D6DDE">
        <w:rPr>
          <w:color w:val="000000"/>
          <w:lang w:eastAsia="uk-UA"/>
        </w:rPr>
        <w:t>- дитячо-юнацьк</w:t>
      </w:r>
      <w:r w:rsidR="00196D00">
        <w:rPr>
          <w:color w:val="000000"/>
          <w:lang w:eastAsia="uk-UA"/>
        </w:rPr>
        <w:t>і</w:t>
      </w:r>
      <w:r w:rsidRPr="003D6DDE">
        <w:rPr>
          <w:color w:val="000000"/>
          <w:lang w:eastAsia="uk-UA"/>
        </w:rPr>
        <w:t xml:space="preserve"> спортивн</w:t>
      </w:r>
      <w:r w:rsidR="00196D00">
        <w:rPr>
          <w:color w:val="000000"/>
          <w:lang w:eastAsia="uk-UA"/>
        </w:rPr>
        <w:t>і</w:t>
      </w:r>
      <w:r w:rsidRPr="003D6DDE">
        <w:rPr>
          <w:color w:val="000000"/>
          <w:lang w:eastAsia="uk-UA"/>
        </w:rPr>
        <w:t xml:space="preserve"> шк</w:t>
      </w:r>
      <w:r w:rsidR="00196D00">
        <w:rPr>
          <w:color w:val="000000"/>
          <w:lang w:eastAsia="uk-UA"/>
        </w:rPr>
        <w:t>о</w:t>
      </w:r>
      <w:r w:rsidRPr="003D6DDE">
        <w:rPr>
          <w:color w:val="000000"/>
          <w:lang w:eastAsia="uk-UA"/>
        </w:rPr>
        <w:t>л</w:t>
      </w:r>
      <w:r w:rsidR="00196D00">
        <w:rPr>
          <w:color w:val="000000"/>
          <w:lang w:eastAsia="uk-UA"/>
        </w:rPr>
        <w:t>и</w:t>
      </w:r>
      <w:r w:rsidRPr="003D6DDE">
        <w:rPr>
          <w:color w:val="000000"/>
          <w:lang w:eastAsia="uk-UA"/>
        </w:rPr>
        <w:t xml:space="preserve"> - 5.</w:t>
      </w:r>
    </w:p>
    <w:p w:rsidR="003D6DDE" w:rsidRDefault="003D6DDE" w:rsidP="003D6DDE">
      <w:pPr>
        <w:ind w:firstLine="708"/>
        <w:rPr>
          <w:color w:val="000000"/>
          <w:lang w:eastAsia="uk-UA"/>
        </w:rPr>
      </w:pPr>
    </w:p>
    <w:p w:rsidR="003D6DDE" w:rsidRPr="003D6DDE" w:rsidRDefault="003D6DDE" w:rsidP="003D6DDE">
      <w:pPr>
        <w:ind w:firstLine="708"/>
        <w:rPr>
          <w:sz w:val="24"/>
          <w:szCs w:val="24"/>
          <w:lang w:eastAsia="uk-UA"/>
        </w:rPr>
      </w:pPr>
      <w:r w:rsidRPr="003D6DDE">
        <w:rPr>
          <w:color w:val="000000"/>
          <w:lang w:eastAsia="uk-UA"/>
        </w:rPr>
        <w:t>В ДЮСШ розвивались 25 видів спорту. На початок 2022 року заняттями з фізичної культури та спортом в місті було охоплено близько 2</w:t>
      </w:r>
      <w:r w:rsidR="005716B5">
        <w:rPr>
          <w:color w:val="000000"/>
          <w:lang w:eastAsia="uk-UA"/>
        </w:rPr>
        <w:t xml:space="preserve"> </w:t>
      </w:r>
      <w:r w:rsidRPr="003D6DDE">
        <w:rPr>
          <w:color w:val="000000"/>
          <w:lang w:eastAsia="uk-UA"/>
        </w:rPr>
        <w:t>166 осіб на безоплатній основі (за рахунок коштів міс</w:t>
      </w:r>
      <w:r w:rsidR="00816E1A">
        <w:rPr>
          <w:color w:val="000000"/>
          <w:lang w:eastAsia="uk-UA"/>
        </w:rPr>
        <w:t>цевого</w:t>
      </w:r>
      <w:r w:rsidRPr="003D6DDE">
        <w:rPr>
          <w:color w:val="000000"/>
          <w:lang w:eastAsia="uk-UA"/>
        </w:rPr>
        <w:t xml:space="preserve"> бюджету). </w:t>
      </w:r>
    </w:p>
    <w:p w:rsidR="003D6DDE" w:rsidRDefault="003D6DDE" w:rsidP="003D6DDE">
      <w:pPr>
        <w:ind w:firstLine="720"/>
        <w:rPr>
          <w:color w:val="000000"/>
          <w:lang w:eastAsia="uk-UA"/>
        </w:rPr>
      </w:pPr>
    </w:p>
    <w:p w:rsidR="003D6DDE" w:rsidRPr="003D6DDE" w:rsidRDefault="003D6DDE" w:rsidP="003D6DDE">
      <w:pPr>
        <w:ind w:firstLine="720"/>
        <w:rPr>
          <w:sz w:val="24"/>
          <w:szCs w:val="24"/>
          <w:lang w:eastAsia="uk-UA"/>
        </w:rPr>
      </w:pPr>
      <w:r w:rsidRPr="003D6DDE">
        <w:rPr>
          <w:color w:val="000000"/>
          <w:lang w:eastAsia="uk-UA"/>
        </w:rPr>
        <w:t>Спортсмени нашого міста приймали участь в змаганнях міського, обласного, національного та міжнародного рівнів. </w:t>
      </w:r>
    </w:p>
    <w:p w:rsidR="003D6DDE" w:rsidRDefault="003D6DDE" w:rsidP="003D6DDE">
      <w:pPr>
        <w:ind w:firstLine="706"/>
        <w:rPr>
          <w:color w:val="000000"/>
          <w:lang w:eastAsia="uk-UA"/>
        </w:rPr>
      </w:pPr>
    </w:p>
    <w:p w:rsidR="003D6DDE" w:rsidRPr="003D6DDE" w:rsidRDefault="003D6DDE" w:rsidP="003D6DDE">
      <w:pPr>
        <w:ind w:firstLine="706"/>
        <w:rPr>
          <w:sz w:val="24"/>
          <w:szCs w:val="24"/>
          <w:lang w:eastAsia="uk-UA"/>
        </w:rPr>
      </w:pPr>
      <w:r w:rsidRPr="003D6DDE">
        <w:rPr>
          <w:color w:val="000000"/>
          <w:lang w:eastAsia="uk-UA"/>
        </w:rPr>
        <w:t>З початком військової агр</w:t>
      </w:r>
      <w:r w:rsidR="00196D00">
        <w:rPr>
          <w:color w:val="000000"/>
          <w:lang w:eastAsia="uk-UA"/>
        </w:rPr>
        <w:t xml:space="preserve">есії з боку </w:t>
      </w:r>
      <w:r w:rsidR="00814857" w:rsidRPr="00BA5F8D">
        <w:t>РФ</w:t>
      </w:r>
      <w:r w:rsidRPr="003D6DDE">
        <w:rPr>
          <w:color w:val="000000"/>
          <w:lang w:eastAsia="uk-UA"/>
        </w:rPr>
        <w:t xml:space="preserve">, сфера фізичної культури і спорту зазнала втрат, які обмежили можливості громадянам України займатися обраними видами рухової активності та спортом, спричинили порушення навчально-тренувального процесу з підготовки спортсменів до найважливіших стартів. Внаслідок широкомасштабної збройної агресії </w:t>
      </w:r>
      <w:r w:rsidR="00814857" w:rsidRPr="00BA5F8D">
        <w:t>РФ</w:t>
      </w:r>
      <w:r w:rsidRPr="003D6DDE">
        <w:rPr>
          <w:color w:val="000000"/>
          <w:lang w:eastAsia="uk-UA"/>
        </w:rPr>
        <w:t xml:space="preserve"> проти України призупинено проведення фізкультурно-оздоровчих заходів в дитячо-юнацьких спортивних школах, робота гуртків та секцій у закладах позашкільної  освіти. Унеможливлено проведення фізкультурно-оздоровчих заходів в місцях масового відпочинку, проживання та роботи. Пошкоджено та зруйновано частину локацій для занять фізичною культурою і спортом на території Сєвєродонецької міської територіальної громади внаслідок  проведення </w:t>
      </w:r>
      <w:r w:rsidR="005716B5">
        <w:rPr>
          <w:color w:val="000000"/>
          <w:lang w:eastAsia="uk-UA"/>
        </w:rPr>
        <w:t>активних</w:t>
      </w:r>
      <w:r w:rsidR="005716B5" w:rsidRPr="003D6DDE">
        <w:rPr>
          <w:color w:val="000000"/>
          <w:lang w:eastAsia="uk-UA"/>
        </w:rPr>
        <w:t xml:space="preserve"> </w:t>
      </w:r>
      <w:r w:rsidRPr="003D6DDE">
        <w:rPr>
          <w:color w:val="000000"/>
          <w:lang w:eastAsia="uk-UA"/>
        </w:rPr>
        <w:t>бойових дій.   </w:t>
      </w:r>
    </w:p>
    <w:p w:rsidR="003D6DDE" w:rsidRDefault="003D6DDE" w:rsidP="003D6DDE">
      <w:pPr>
        <w:ind w:firstLine="709"/>
        <w:rPr>
          <w:color w:val="000000"/>
          <w:lang w:eastAsia="uk-UA"/>
        </w:rPr>
      </w:pPr>
    </w:p>
    <w:p w:rsidR="003D6DDE" w:rsidRPr="003D6DDE" w:rsidRDefault="003D6DDE" w:rsidP="003D6DDE">
      <w:pPr>
        <w:ind w:firstLine="709"/>
        <w:rPr>
          <w:sz w:val="24"/>
          <w:szCs w:val="24"/>
          <w:lang w:eastAsia="uk-UA"/>
        </w:rPr>
      </w:pPr>
      <w:r w:rsidRPr="003D6DDE">
        <w:rPr>
          <w:color w:val="000000"/>
          <w:lang w:eastAsia="uk-UA"/>
        </w:rPr>
        <w:t xml:space="preserve">На теперішній час внаслідок розпочатої військової агресії </w:t>
      </w:r>
      <w:r w:rsidR="00F416A5" w:rsidRPr="00BA5F8D">
        <w:t>РФ</w:t>
      </w:r>
      <w:r w:rsidRPr="003D6DDE">
        <w:rPr>
          <w:color w:val="000000"/>
          <w:lang w:eastAsia="uk-UA"/>
        </w:rPr>
        <w:t xml:space="preserve"> проти України та веденн</w:t>
      </w:r>
      <w:r w:rsidR="00AB07AB">
        <w:rPr>
          <w:color w:val="000000"/>
          <w:lang w:eastAsia="uk-UA"/>
        </w:rPr>
        <w:t>я</w:t>
      </w:r>
      <w:r w:rsidRPr="003D6DDE">
        <w:rPr>
          <w:color w:val="000000"/>
          <w:lang w:eastAsia="uk-UA"/>
        </w:rPr>
        <w:t xml:space="preserve"> активних бойових дій на території Сєвєродонецької міської територіальної громади з 24.02.2022 року всі структурні підрозділи відділу молоді та спорту Сєвєродонецької міської ВА, адміністрація та </w:t>
      </w:r>
      <w:proofErr w:type="spellStart"/>
      <w:r w:rsidRPr="003D6DDE">
        <w:rPr>
          <w:color w:val="000000"/>
          <w:lang w:eastAsia="uk-UA"/>
        </w:rPr>
        <w:t>тренерсько</w:t>
      </w:r>
      <w:proofErr w:type="spellEnd"/>
      <w:r w:rsidRPr="003D6DDE">
        <w:rPr>
          <w:color w:val="000000"/>
          <w:lang w:eastAsia="uk-UA"/>
        </w:rPr>
        <w:t>-</w:t>
      </w:r>
      <w:r w:rsidRPr="003D6DDE">
        <w:rPr>
          <w:color w:val="000000"/>
          <w:lang w:eastAsia="uk-UA"/>
        </w:rPr>
        <w:lastRenderedPageBreak/>
        <w:t>викладацький склад виїхали та працюють з вихованцями на підконтрольній території України в режимі он-лайн або дистанційно.</w:t>
      </w:r>
    </w:p>
    <w:p w:rsidR="003D6DDE" w:rsidRDefault="003D6DDE" w:rsidP="003D6DDE">
      <w:pPr>
        <w:ind w:firstLine="709"/>
        <w:rPr>
          <w:color w:val="000000"/>
          <w:lang w:eastAsia="uk-UA"/>
        </w:rPr>
      </w:pPr>
    </w:p>
    <w:p w:rsidR="003D6DDE" w:rsidRPr="003D6DDE" w:rsidRDefault="003D6DDE" w:rsidP="003D6DDE">
      <w:pPr>
        <w:ind w:firstLine="709"/>
        <w:rPr>
          <w:sz w:val="24"/>
          <w:szCs w:val="24"/>
          <w:lang w:eastAsia="uk-UA"/>
        </w:rPr>
      </w:pPr>
      <w:r w:rsidRPr="003D6DDE">
        <w:rPr>
          <w:color w:val="000000"/>
          <w:lang w:eastAsia="uk-UA"/>
        </w:rPr>
        <w:t>Незалежно від часу та обставин протягом 2022</w:t>
      </w:r>
      <w:r w:rsidR="00491E40">
        <w:rPr>
          <w:color w:val="000000"/>
          <w:lang w:eastAsia="uk-UA"/>
        </w:rPr>
        <w:t>-2023 років</w:t>
      </w:r>
      <w:r w:rsidRPr="003D6DDE">
        <w:rPr>
          <w:color w:val="000000"/>
          <w:lang w:eastAsia="uk-UA"/>
        </w:rPr>
        <w:t xml:space="preserve"> наші спортсмени прийняли участь у понад 250 змаганнях за місцем свого </w:t>
      </w:r>
      <w:r w:rsidR="006E3D7B">
        <w:rPr>
          <w:color w:val="000000"/>
          <w:lang w:eastAsia="uk-UA"/>
        </w:rPr>
        <w:t>п</w:t>
      </w:r>
      <w:r w:rsidR="00832B28">
        <w:rPr>
          <w:color w:val="000000"/>
          <w:lang w:eastAsia="uk-UA"/>
        </w:rPr>
        <w:t>еребування</w:t>
      </w:r>
      <w:r w:rsidRPr="003D6DDE">
        <w:rPr>
          <w:color w:val="000000"/>
          <w:lang w:eastAsia="uk-UA"/>
        </w:rPr>
        <w:t xml:space="preserve">. Спортивні результати, тренування вихованців та робота тренерів-викладачів висвітлюються на сторінці у </w:t>
      </w:r>
      <w:proofErr w:type="spellStart"/>
      <w:r w:rsidRPr="003D6DDE">
        <w:rPr>
          <w:color w:val="000000"/>
          <w:lang w:eastAsia="uk-UA"/>
        </w:rPr>
        <w:t>Facebook</w:t>
      </w:r>
      <w:proofErr w:type="spellEnd"/>
      <w:r w:rsidRPr="003D6DDE">
        <w:rPr>
          <w:color w:val="000000"/>
          <w:lang w:eastAsia="uk-UA"/>
        </w:rPr>
        <w:t xml:space="preserve"> кожної школи окремо та на сторінці відділу молоді та спорту Сєвєродонецької міської ВА. Країни, в яких вихованці спортивних закладів приймали участь у змаганнях: Україна, Румунія, Німеччина, Угорщина, Польща, Бельгія, Данія, Нідерланди, Чехія, Швейцарія, Велика Британія, Болгарія, Естонія, Грузія, Франція тощо.</w:t>
      </w:r>
    </w:p>
    <w:p w:rsidR="00AC499C" w:rsidRPr="00E95FB1" w:rsidRDefault="00AC499C" w:rsidP="00AC499C">
      <w:pPr>
        <w:pStyle w:val="31"/>
        <w:spacing w:line="240" w:lineRule="auto"/>
        <w:rPr>
          <w:rFonts w:ascii="Times New Roman" w:hAnsi="Times New Roman" w:cs="Times New Roman"/>
          <w:b/>
          <w:color w:val="00B050"/>
          <w:sz w:val="28"/>
          <w:szCs w:val="28"/>
          <w:lang w:val="uk-UA"/>
        </w:rPr>
      </w:pPr>
    </w:p>
    <w:p w:rsidR="00AC499C" w:rsidRPr="002017EA" w:rsidRDefault="00AC499C" w:rsidP="00AC499C">
      <w:pPr>
        <w:pStyle w:val="31"/>
        <w:spacing w:line="240" w:lineRule="auto"/>
        <w:ind w:left="720"/>
        <w:rPr>
          <w:rFonts w:ascii="Times New Roman" w:hAnsi="Times New Roman" w:cs="Times New Roman"/>
          <w:b/>
          <w:color w:val="365F91" w:themeColor="accent1" w:themeShade="BF"/>
          <w:sz w:val="28"/>
          <w:szCs w:val="28"/>
          <w:lang w:val="uk-UA"/>
        </w:rPr>
      </w:pPr>
      <w:r w:rsidRPr="002017EA">
        <w:rPr>
          <w:rFonts w:ascii="Times New Roman" w:hAnsi="Times New Roman" w:cs="Times New Roman"/>
          <w:b/>
          <w:color w:val="365F91" w:themeColor="accent1" w:themeShade="BF"/>
          <w:sz w:val="28"/>
          <w:szCs w:val="28"/>
          <w:lang w:val="uk-UA"/>
        </w:rPr>
        <w:t>Соціальний захист</w:t>
      </w:r>
    </w:p>
    <w:p w:rsidR="00AC499C" w:rsidRPr="00E95FB1" w:rsidRDefault="00AC499C" w:rsidP="00AC499C">
      <w:pPr>
        <w:pStyle w:val="31"/>
        <w:spacing w:line="240" w:lineRule="auto"/>
        <w:ind w:left="720"/>
        <w:rPr>
          <w:rFonts w:ascii="Times New Roman" w:hAnsi="Times New Roman" w:cs="Times New Roman"/>
          <w:b/>
          <w:color w:val="0070C0"/>
          <w:sz w:val="28"/>
          <w:szCs w:val="28"/>
          <w:lang w:val="uk-UA"/>
        </w:rPr>
      </w:pPr>
    </w:p>
    <w:p w:rsidR="00AC499C" w:rsidRPr="00E95FB1" w:rsidRDefault="00AC499C" w:rsidP="00AC499C">
      <w:pPr>
        <w:ind w:firstLine="851"/>
      </w:pPr>
      <w:r w:rsidRPr="00E95FB1">
        <w:t>Забезпечення реалізації державної політики у сфері соціального захисту населення на території Сєвєродонецької міської територіальної громади здійснює Управління соціального захисту населення Сєвєродонецької міської військової адміністрації Сєвєродонецького району Луганської області (далі - УСЗН Сєвєродонецької міської ВА).</w:t>
      </w:r>
    </w:p>
    <w:p w:rsidR="00AC499C" w:rsidRPr="00E95FB1" w:rsidRDefault="00AC499C" w:rsidP="00AC499C">
      <w:pPr>
        <w:ind w:firstLine="851"/>
      </w:pPr>
      <w:r w:rsidRPr="00E95FB1">
        <w:t>Станом на 24.02.2022 року на обліку в УСЗН Сєвєродонецької міської ВА перебувало 108</w:t>
      </w:r>
      <w:r w:rsidR="00121121">
        <w:t xml:space="preserve"> </w:t>
      </w:r>
      <w:r w:rsidRPr="00E95FB1">
        <w:t>690 одержувачів різних видів державної соціальної допомоги, в тому числі:</w:t>
      </w:r>
    </w:p>
    <w:p w:rsidR="00AC499C" w:rsidRPr="00E95FB1" w:rsidRDefault="00AC499C" w:rsidP="00AC499C">
      <w:pPr>
        <w:ind w:firstLine="851"/>
      </w:pPr>
      <w:r w:rsidRPr="00E95FB1">
        <w:t>•</w:t>
      </w:r>
      <w:r w:rsidRPr="00E95FB1">
        <w:tab/>
        <w:t>5</w:t>
      </w:r>
      <w:r w:rsidR="00121121">
        <w:t xml:space="preserve"> </w:t>
      </w:r>
      <w:r w:rsidRPr="00E95FB1">
        <w:t>031 одержувачів державної соціальної допомоги;</w:t>
      </w:r>
    </w:p>
    <w:p w:rsidR="00AC499C" w:rsidRPr="00E95FB1" w:rsidRDefault="00AC499C" w:rsidP="00AC499C">
      <w:pPr>
        <w:ind w:firstLine="851"/>
      </w:pPr>
      <w:r w:rsidRPr="00E95FB1">
        <w:t>•</w:t>
      </w:r>
      <w:r w:rsidRPr="00E95FB1">
        <w:tab/>
        <w:t>15</w:t>
      </w:r>
      <w:r w:rsidR="00121121">
        <w:t xml:space="preserve"> </w:t>
      </w:r>
      <w:r w:rsidRPr="00E95FB1">
        <w:t>889 отримувачів житлової субсидії (домогосподарства);</w:t>
      </w:r>
    </w:p>
    <w:p w:rsidR="00AC499C" w:rsidRPr="00E95FB1" w:rsidRDefault="00AC499C" w:rsidP="00AC499C">
      <w:pPr>
        <w:ind w:firstLine="851"/>
      </w:pPr>
      <w:r w:rsidRPr="00E95FB1">
        <w:t>•</w:t>
      </w:r>
      <w:r w:rsidRPr="00E95FB1">
        <w:tab/>
        <w:t>34</w:t>
      </w:r>
      <w:r w:rsidR="00121121">
        <w:t xml:space="preserve"> </w:t>
      </w:r>
      <w:r w:rsidRPr="00E95FB1">
        <w:t>786 отримувачів пільг;</w:t>
      </w:r>
    </w:p>
    <w:p w:rsidR="00AC499C" w:rsidRPr="00E95FB1" w:rsidRDefault="00AC499C" w:rsidP="00AC499C">
      <w:pPr>
        <w:ind w:firstLine="851"/>
      </w:pPr>
      <w:r w:rsidRPr="00E95FB1">
        <w:t>•</w:t>
      </w:r>
      <w:r w:rsidRPr="00E95FB1">
        <w:tab/>
        <w:t>52</w:t>
      </w:r>
      <w:r w:rsidR="00121121">
        <w:t xml:space="preserve"> </w:t>
      </w:r>
      <w:r w:rsidRPr="00E95FB1">
        <w:t>984 облікованих внутрішньо переміщених осіб, серед них:</w:t>
      </w:r>
    </w:p>
    <w:p w:rsidR="00AC499C" w:rsidRPr="00E95FB1" w:rsidRDefault="00AC499C" w:rsidP="00AC499C">
      <w:pPr>
        <w:ind w:firstLine="2268"/>
      </w:pPr>
      <w:r w:rsidRPr="00E95FB1">
        <w:t>дітей — 3</w:t>
      </w:r>
      <w:r w:rsidR="00121121">
        <w:t xml:space="preserve"> </w:t>
      </w:r>
      <w:r w:rsidRPr="00E95FB1">
        <w:t>326;</w:t>
      </w:r>
    </w:p>
    <w:p w:rsidR="00AC499C" w:rsidRPr="00E95FB1" w:rsidRDefault="00AC499C" w:rsidP="00AC499C">
      <w:pPr>
        <w:ind w:firstLine="2268"/>
      </w:pPr>
      <w:r w:rsidRPr="00E95FB1">
        <w:t>громадян похилого віку — 32</w:t>
      </w:r>
      <w:r w:rsidR="00121121">
        <w:t xml:space="preserve"> </w:t>
      </w:r>
      <w:r w:rsidRPr="00E95FB1">
        <w:t>153;</w:t>
      </w:r>
    </w:p>
    <w:p w:rsidR="00AC499C" w:rsidRPr="00E95FB1" w:rsidRDefault="00AC499C" w:rsidP="00AC499C">
      <w:pPr>
        <w:ind w:firstLine="2268"/>
      </w:pPr>
      <w:r w:rsidRPr="00E95FB1">
        <w:t>осіб працездатного віку — 15</w:t>
      </w:r>
      <w:r w:rsidR="00121121">
        <w:t xml:space="preserve"> </w:t>
      </w:r>
      <w:r w:rsidRPr="00E95FB1">
        <w:t>887;</w:t>
      </w:r>
    </w:p>
    <w:p w:rsidR="00AC499C" w:rsidRPr="00E95FB1" w:rsidRDefault="00AC499C" w:rsidP="00AC499C">
      <w:pPr>
        <w:ind w:firstLine="2268"/>
      </w:pPr>
      <w:r w:rsidRPr="00E95FB1">
        <w:t>осіб з інвалідністю — 1</w:t>
      </w:r>
      <w:r w:rsidR="00121121">
        <w:t xml:space="preserve"> </w:t>
      </w:r>
      <w:r w:rsidRPr="00E95FB1">
        <w:t>618.</w:t>
      </w:r>
    </w:p>
    <w:p w:rsidR="00AC499C" w:rsidRPr="00E95FB1" w:rsidRDefault="00AC499C" w:rsidP="00AC499C">
      <w:pPr>
        <w:ind w:firstLine="851"/>
      </w:pPr>
      <w:r w:rsidRPr="00E95FB1">
        <w:t xml:space="preserve">Згідно </w:t>
      </w:r>
      <w:r w:rsidR="00973010">
        <w:t xml:space="preserve">з </w:t>
      </w:r>
      <w:r w:rsidR="00973010" w:rsidRPr="00E95FB1">
        <w:t>чинн</w:t>
      </w:r>
      <w:r w:rsidR="00973010">
        <w:t>им</w:t>
      </w:r>
      <w:r w:rsidR="00973010" w:rsidRPr="00E95FB1">
        <w:t xml:space="preserve"> законодавств</w:t>
      </w:r>
      <w:r w:rsidR="00973010">
        <w:t>ом</w:t>
      </w:r>
      <w:r w:rsidRPr="00E95FB1">
        <w:t xml:space="preserve"> відбувалося призначення 48 видів державних соціальних допомог. Загальний обсяг фінансування в 2022 році склав 63</w:t>
      </w:r>
      <w:r w:rsidR="00121121">
        <w:t xml:space="preserve"> </w:t>
      </w:r>
      <w:r w:rsidRPr="00E95FB1">
        <w:t>307,120 тис. грн., у тому числі проведено виплату соціальних допомог, адресних виплат та компенсацій на загальну суму 61</w:t>
      </w:r>
      <w:r w:rsidR="00121121">
        <w:t xml:space="preserve"> </w:t>
      </w:r>
      <w:r w:rsidRPr="00E95FB1">
        <w:t>630,982 тис. грн.</w:t>
      </w:r>
    </w:p>
    <w:p w:rsidR="00AC499C" w:rsidRDefault="00AC499C" w:rsidP="00AC499C">
      <w:pPr>
        <w:pStyle w:val="af5"/>
        <w:ind w:firstLine="851"/>
        <w:jc w:val="both"/>
        <w:rPr>
          <w:color w:val="000000"/>
          <w:sz w:val="28"/>
          <w:szCs w:val="28"/>
        </w:rPr>
      </w:pPr>
    </w:p>
    <w:p w:rsidR="00AC499C" w:rsidRDefault="00AC499C" w:rsidP="00AC499C">
      <w:pPr>
        <w:pStyle w:val="af5"/>
        <w:ind w:firstLine="851"/>
        <w:jc w:val="both"/>
        <w:rPr>
          <w:color w:val="000000"/>
          <w:sz w:val="28"/>
          <w:szCs w:val="28"/>
        </w:rPr>
      </w:pPr>
      <w:r w:rsidRPr="00001895">
        <w:rPr>
          <w:color w:val="000000"/>
          <w:sz w:val="28"/>
          <w:szCs w:val="28"/>
        </w:rPr>
        <w:t>Щомісячну адресну допомогу ВПО для покриття витрат на проживання, в тому числі на оплату житлово-комунальних послуг (далі грошова допомога) отримували 6</w:t>
      </w:r>
      <w:r w:rsidR="00470884">
        <w:rPr>
          <w:color w:val="000000"/>
          <w:sz w:val="28"/>
          <w:szCs w:val="28"/>
        </w:rPr>
        <w:t xml:space="preserve"> </w:t>
      </w:r>
      <w:r w:rsidRPr="00001895">
        <w:rPr>
          <w:color w:val="000000"/>
          <w:sz w:val="28"/>
          <w:szCs w:val="28"/>
        </w:rPr>
        <w:t xml:space="preserve">350 сімей ВПО. Профінансовано з державного бюджету грошової допомоги на загальну суму </w:t>
      </w:r>
      <w:r w:rsidRPr="00001895">
        <w:rPr>
          <w:rStyle w:val="14"/>
          <w:sz w:val="28"/>
          <w:szCs w:val="28"/>
        </w:rPr>
        <w:t>16</w:t>
      </w:r>
      <w:r w:rsidR="00470884">
        <w:rPr>
          <w:rStyle w:val="14"/>
          <w:sz w:val="28"/>
          <w:szCs w:val="28"/>
        </w:rPr>
        <w:t xml:space="preserve"> </w:t>
      </w:r>
      <w:r w:rsidRPr="00001895">
        <w:rPr>
          <w:rStyle w:val="14"/>
          <w:sz w:val="28"/>
          <w:szCs w:val="28"/>
        </w:rPr>
        <w:t>157,395</w:t>
      </w:r>
      <w:r w:rsidRPr="00001895">
        <w:rPr>
          <w:color w:val="000000"/>
          <w:sz w:val="28"/>
          <w:szCs w:val="28"/>
        </w:rPr>
        <w:t xml:space="preserve"> тис. грн.</w:t>
      </w:r>
    </w:p>
    <w:p w:rsidR="00AC499C" w:rsidRPr="00E95FB1" w:rsidRDefault="00AC499C" w:rsidP="00AC499C">
      <w:pPr>
        <w:pStyle w:val="af5"/>
        <w:ind w:firstLine="851"/>
        <w:jc w:val="both"/>
        <w:rPr>
          <w:sz w:val="28"/>
          <w:szCs w:val="28"/>
        </w:rPr>
      </w:pPr>
    </w:p>
    <w:p w:rsidR="00AC499C" w:rsidRPr="00E95FB1" w:rsidRDefault="00AC499C" w:rsidP="00AC499C">
      <w:pPr>
        <w:ind w:firstLine="851"/>
      </w:pPr>
      <w:bookmarkStart w:id="3" w:name="_Hlk138170784"/>
      <w:r w:rsidRPr="00E95FB1">
        <w:t>УСЗН Сєвєродонецької міської ВА</w:t>
      </w:r>
      <w:bookmarkEnd w:id="3"/>
      <w:r w:rsidRPr="00E95FB1">
        <w:t xml:space="preserve"> є розробником 5 програм, які направлені на підтримку найбільш вразливих категорій громадян: осіб з інвалідністю, сімей, в яких виховуються діти з інвалідністю, учасників </w:t>
      </w:r>
      <w:r w:rsidRPr="00E95FB1">
        <w:lastRenderedPageBreak/>
        <w:t>ліквідації аварії на ЧАЕС та членів їх сімей, учасників АТО/ООС та їх сімей, багатодітних сімей тощо.</w:t>
      </w:r>
    </w:p>
    <w:p w:rsidR="00AC499C" w:rsidRDefault="00AC499C" w:rsidP="00AC499C">
      <w:pPr>
        <w:tabs>
          <w:tab w:val="left" w:pos="708"/>
        </w:tabs>
        <w:ind w:firstLine="851"/>
      </w:pPr>
    </w:p>
    <w:p w:rsidR="00AC499C" w:rsidRPr="00E95FB1" w:rsidRDefault="00AC499C" w:rsidP="00AC499C">
      <w:pPr>
        <w:tabs>
          <w:tab w:val="left" w:pos="708"/>
        </w:tabs>
        <w:ind w:firstLine="851"/>
      </w:pPr>
      <w:r w:rsidRPr="00E95FB1">
        <w:t xml:space="preserve">Для покращення якості надання соціально-побутових, медичних та педагогічних послуг, які надавались </w:t>
      </w:r>
      <w:r w:rsidR="00973010">
        <w:t>Т</w:t>
      </w:r>
      <w:r w:rsidRPr="00E95FB1">
        <w:t xml:space="preserve">ериторіальним центром соціального обслуговування (надання соціальних послуг), працювала </w:t>
      </w:r>
      <w:proofErr w:type="spellStart"/>
      <w:r w:rsidRPr="00E95FB1">
        <w:t>мульти</w:t>
      </w:r>
      <w:proofErr w:type="spellEnd"/>
      <w:r w:rsidRPr="00E95FB1">
        <w:t xml:space="preserve"> - дисциплінарна команда для комплексного обслуговування населення. </w:t>
      </w:r>
    </w:p>
    <w:p w:rsidR="00AC499C" w:rsidRDefault="00AC499C" w:rsidP="00AC499C">
      <w:pPr>
        <w:ind w:left="40" w:firstLine="851"/>
      </w:pPr>
    </w:p>
    <w:p w:rsidR="00AC499C" w:rsidRPr="00E95FB1" w:rsidRDefault="00AC499C" w:rsidP="00AC499C">
      <w:pPr>
        <w:ind w:left="40" w:firstLine="851"/>
      </w:pPr>
      <w:r w:rsidRPr="00E95FB1">
        <w:t xml:space="preserve">Працював обмінний фонд, який надавав у тимчасове користування громадянам міста, які не мають статусу інваліда та особам з інвалідністю, засоби пересування, інвалідне приладдя та предмети догляду за хворими. </w:t>
      </w:r>
    </w:p>
    <w:p w:rsidR="00AC499C" w:rsidRDefault="00AC499C" w:rsidP="00AC499C">
      <w:pPr>
        <w:ind w:firstLine="851"/>
      </w:pPr>
    </w:p>
    <w:p w:rsidR="00AC499C" w:rsidRPr="00E95FB1" w:rsidRDefault="00AC499C" w:rsidP="00AC499C">
      <w:pPr>
        <w:ind w:firstLine="851"/>
      </w:pPr>
      <w:r w:rsidRPr="00E95FB1">
        <w:t>У громаді діяв Центр комплексної реабілітації для дітей та осіб з інвалідністю, який займався питаннями соціальної, психолого - педагогічної та фізичної реабілітації дітей з порушеннями розвитку та інвалідністю.</w:t>
      </w:r>
    </w:p>
    <w:p w:rsidR="00AC499C" w:rsidRDefault="00AC499C" w:rsidP="00AC499C">
      <w:pPr>
        <w:ind w:left="40" w:firstLine="709"/>
        <w:rPr>
          <w:color w:val="0070C0"/>
        </w:rPr>
      </w:pPr>
      <w:r w:rsidRPr="00E95FB1">
        <w:rPr>
          <w:color w:val="0070C0"/>
        </w:rPr>
        <w:t xml:space="preserve"> </w:t>
      </w:r>
    </w:p>
    <w:p w:rsidR="00AC499C" w:rsidRPr="003E5189" w:rsidRDefault="00AC499C" w:rsidP="00AC499C">
      <w:pPr>
        <w:ind w:firstLine="567"/>
        <w:rPr>
          <w:rFonts w:eastAsia="Arial"/>
          <w:b/>
          <w:color w:val="002060"/>
        </w:rPr>
      </w:pPr>
      <w:r>
        <w:rPr>
          <w:color w:val="0070C0"/>
        </w:rPr>
        <w:br w:type="page"/>
      </w:r>
      <w:r w:rsidRPr="003E5189">
        <w:rPr>
          <w:rFonts w:eastAsia="Arial"/>
          <w:b/>
          <w:color w:val="002060"/>
        </w:rPr>
        <w:lastRenderedPageBreak/>
        <w:t xml:space="preserve">Пропозиції  мешканців громади щодо відновлення Сєвєродонецької </w:t>
      </w:r>
      <w:r w:rsidR="00973010">
        <w:rPr>
          <w:rFonts w:eastAsia="Arial"/>
          <w:b/>
          <w:color w:val="002060"/>
        </w:rPr>
        <w:t xml:space="preserve">міської </w:t>
      </w:r>
      <w:r w:rsidRPr="003E5189">
        <w:rPr>
          <w:rFonts w:eastAsia="Arial"/>
          <w:b/>
          <w:color w:val="002060"/>
        </w:rPr>
        <w:t xml:space="preserve">територіальної громади - анкетування жителів </w:t>
      </w:r>
    </w:p>
    <w:p w:rsidR="00AC499C" w:rsidRDefault="00AC499C" w:rsidP="00AC499C">
      <w:pPr>
        <w:rPr>
          <w:b/>
          <w:color w:val="000000" w:themeColor="text1"/>
        </w:rPr>
      </w:pPr>
    </w:p>
    <w:p w:rsidR="00AC499C" w:rsidRPr="00DB635C" w:rsidRDefault="00AC499C" w:rsidP="00503909">
      <w:pPr>
        <w:ind w:firstLine="567"/>
        <w:rPr>
          <w:rFonts w:eastAsia="Arial"/>
          <w:b/>
          <w:color w:val="000000" w:themeColor="text1"/>
        </w:rPr>
      </w:pPr>
      <w:r w:rsidRPr="00355733">
        <w:rPr>
          <w:color w:val="000000" w:themeColor="text1"/>
        </w:rPr>
        <w:t>В період з лютого по квітень 2023 року було</w:t>
      </w:r>
      <w:r>
        <w:rPr>
          <w:color w:val="000000" w:themeColor="text1"/>
        </w:rPr>
        <w:t xml:space="preserve"> проведене </w:t>
      </w:r>
      <w:r w:rsidRPr="00DB635C">
        <w:rPr>
          <w:color w:val="000000" w:themeColor="text1"/>
        </w:rPr>
        <w:t>опитування мешканців Сєвєродонецької міської територіальної громади</w:t>
      </w:r>
      <w:r>
        <w:rPr>
          <w:color w:val="000000" w:themeColor="text1"/>
        </w:rPr>
        <w:t xml:space="preserve"> </w:t>
      </w:r>
      <w:r w:rsidRPr="00DB635C">
        <w:rPr>
          <w:color w:val="000000" w:themeColor="text1"/>
        </w:rPr>
        <w:t xml:space="preserve"> щодо відновлення території громади після </w:t>
      </w:r>
      <w:proofErr w:type="spellStart"/>
      <w:r w:rsidRPr="00DB635C">
        <w:rPr>
          <w:color w:val="000000" w:themeColor="text1"/>
        </w:rPr>
        <w:t>деокупації</w:t>
      </w:r>
      <w:proofErr w:type="spellEnd"/>
      <w:r w:rsidR="008E243F">
        <w:rPr>
          <w:color w:val="000000" w:themeColor="text1"/>
        </w:rPr>
        <w:t xml:space="preserve"> її території</w:t>
      </w:r>
      <w:r>
        <w:rPr>
          <w:color w:val="000000" w:themeColor="text1"/>
        </w:rPr>
        <w:t xml:space="preserve">. Опитування проводилось шляхом анкетування з використанням </w:t>
      </w:r>
      <w:proofErr w:type="spellStart"/>
      <w:r w:rsidRPr="00DB635C">
        <w:rPr>
          <w:color w:val="000000" w:themeColor="text1"/>
        </w:rPr>
        <w:t>google</w:t>
      </w:r>
      <w:proofErr w:type="spellEnd"/>
      <w:r w:rsidRPr="00DB635C">
        <w:rPr>
          <w:color w:val="000000" w:themeColor="text1"/>
        </w:rPr>
        <w:t xml:space="preserve"> форми (посилання на форму: </w:t>
      </w:r>
      <w:hyperlink r:id="rId41" w:history="1">
        <w:r w:rsidR="00503909" w:rsidRPr="00F16E52">
          <w:rPr>
            <w:rStyle w:val="af3"/>
          </w:rPr>
          <w:t>https://docs.google.com/forms/d/167wEufXkzu-qCFKiXUDtmiQWt1LJ8zrOAfeTFfmzYrU/edit?pli=1</w:t>
        </w:r>
      </w:hyperlink>
      <w:r w:rsidRPr="00DB635C">
        <w:rPr>
          <w:color w:val="000000" w:themeColor="text1"/>
        </w:rPr>
        <w:t>)</w:t>
      </w:r>
      <w:r w:rsidR="00503909">
        <w:rPr>
          <w:color w:val="000000" w:themeColor="text1"/>
        </w:rPr>
        <w:t>.</w:t>
      </w:r>
    </w:p>
    <w:p w:rsidR="00AC499C" w:rsidRDefault="00AC499C" w:rsidP="00AC499C">
      <w:pPr>
        <w:ind w:firstLine="567"/>
        <w:rPr>
          <w:color w:val="FF0000"/>
        </w:rPr>
      </w:pPr>
    </w:p>
    <w:p w:rsidR="00AC499C" w:rsidRDefault="00503909" w:rsidP="00AC499C">
      <w:pPr>
        <w:tabs>
          <w:tab w:val="left" w:pos="1134"/>
        </w:tabs>
        <w:rPr>
          <w:color w:val="000000" w:themeColor="text1"/>
        </w:rPr>
      </w:pPr>
      <w:r>
        <w:rPr>
          <w:color w:val="000000" w:themeColor="text1"/>
        </w:rPr>
        <w:tab/>
      </w:r>
      <w:r w:rsidR="00AC499C">
        <w:rPr>
          <w:color w:val="000000" w:themeColor="text1"/>
        </w:rPr>
        <w:t>В цілому</w:t>
      </w:r>
      <w:r w:rsidR="00D64A67">
        <w:rPr>
          <w:color w:val="000000" w:themeColor="text1"/>
        </w:rPr>
        <w:t>,</w:t>
      </w:r>
      <w:r w:rsidR="00AC499C">
        <w:rPr>
          <w:color w:val="000000" w:themeColor="text1"/>
        </w:rPr>
        <w:t xml:space="preserve"> в опитуванні взяло участь </w:t>
      </w:r>
      <w:r w:rsidR="00AC499C" w:rsidRPr="009A1C6D">
        <w:rPr>
          <w:color w:val="000000" w:themeColor="text1"/>
        </w:rPr>
        <w:t>801</w:t>
      </w:r>
      <w:r w:rsidR="00AC499C">
        <w:rPr>
          <w:color w:val="000000" w:themeColor="text1"/>
        </w:rPr>
        <w:t xml:space="preserve"> респондент. При цьому </w:t>
      </w:r>
      <w:r w:rsidR="00AC499C" w:rsidRPr="009A1C6D">
        <w:rPr>
          <w:color w:val="000000" w:themeColor="text1"/>
        </w:rPr>
        <w:t>510 осіб залишили свої контактні дані</w:t>
      </w:r>
      <w:r w:rsidR="00AC499C">
        <w:rPr>
          <w:color w:val="000000" w:themeColor="text1"/>
        </w:rPr>
        <w:t xml:space="preserve"> для подальшої комунікації щодо результатів дослідження. Крім того</w:t>
      </w:r>
      <w:r w:rsidR="00D64A67">
        <w:rPr>
          <w:color w:val="000000" w:themeColor="text1"/>
        </w:rPr>
        <w:t>,</w:t>
      </w:r>
      <w:r w:rsidR="00AC499C">
        <w:rPr>
          <w:color w:val="000000" w:themeColor="text1"/>
        </w:rPr>
        <w:t xml:space="preserve"> від учасників опитування надійшло </w:t>
      </w:r>
      <w:r w:rsidR="00AC499C" w:rsidRPr="009A1C6D">
        <w:rPr>
          <w:color w:val="000000" w:themeColor="text1"/>
        </w:rPr>
        <w:t xml:space="preserve">2 </w:t>
      </w:r>
      <w:proofErr w:type="spellStart"/>
      <w:r w:rsidR="00AC499C" w:rsidRPr="009A1C6D">
        <w:rPr>
          <w:color w:val="000000" w:themeColor="text1"/>
        </w:rPr>
        <w:t>проєктні</w:t>
      </w:r>
      <w:proofErr w:type="spellEnd"/>
      <w:r w:rsidR="00AC499C" w:rsidRPr="009A1C6D">
        <w:rPr>
          <w:color w:val="000000" w:themeColor="text1"/>
        </w:rPr>
        <w:t xml:space="preserve"> пропозиції і 1 комерційна пропозиція</w:t>
      </w:r>
      <w:r w:rsidR="00AC499C">
        <w:rPr>
          <w:color w:val="000000" w:themeColor="text1"/>
        </w:rPr>
        <w:t>.</w:t>
      </w:r>
    </w:p>
    <w:p w:rsidR="00AC499C" w:rsidRDefault="00AC499C" w:rsidP="00AC499C">
      <w:pPr>
        <w:tabs>
          <w:tab w:val="left" w:pos="1134"/>
        </w:tabs>
        <w:rPr>
          <w:color w:val="000000" w:themeColor="text1"/>
        </w:rPr>
      </w:pPr>
    </w:p>
    <w:p w:rsidR="00AC499C" w:rsidRPr="009A1C6D" w:rsidRDefault="00503909" w:rsidP="00AC499C">
      <w:pPr>
        <w:tabs>
          <w:tab w:val="left" w:pos="1134"/>
        </w:tabs>
        <w:rPr>
          <w:color w:val="000000" w:themeColor="text1"/>
        </w:rPr>
      </w:pPr>
      <w:r>
        <w:rPr>
          <w:color w:val="000000" w:themeColor="text1"/>
        </w:rPr>
        <w:tab/>
      </w:r>
      <w:r w:rsidR="00AC499C">
        <w:rPr>
          <w:color w:val="000000" w:themeColor="text1"/>
        </w:rPr>
        <w:t>Для переважної більшості учасників дослідження (89%) Сєвєродонецьк або є рідним містом</w:t>
      </w:r>
      <w:r w:rsidR="00D64A67">
        <w:rPr>
          <w:color w:val="000000" w:themeColor="text1"/>
        </w:rPr>
        <w:t>,</w:t>
      </w:r>
      <w:r w:rsidR="00AC499C">
        <w:rPr>
          <w:color w:val="000000" w:themeColor="text1"/>
        </w:rPr>
        <w:t xml:space="preserve"> або вони прожили в ньому більшу частину свого життя. При цьому, 10% учасників опитування перемістилися до міста після 2014 року після </w:t>
      </w:r>
      <w:r w:rsidR="003054D0">
        <w:rPr>
          <w:color w:val="000000" w:themeColor="text1"/>
        </w:rPr>
        <w:t xml:space="preserve">тимчасової </w:t>
      </w:r>
      <w:r w:rsidR="00AC499C">
        <w:rPr>
          <w:color w:val="000000" w:themeColor="text1"/>
        </w:rPr>
        <w:t>окупації частини Луганської області.</w:t>
      </w:r>
    </w:p>
    <w:p w:rsidR="00AC499C" w:rsidRDefault="00AC499C" w:rsidP="00AC499C">
      <w:pPr>
        <w:tabs>
          <w:tab w:val="left" w:pos="1134"/>
        </w:tabs>
        <w:rPr>
          <w:color w:val="FF0000"/>
        </w:rPr>
      </w:pPr>
    </w:p>
    <w:p w:rsidR="00AC499C" w:rsidRDefault="00AC499C" w:rsidP="00AC499C">
      <w:pPr>
        <w:tabs>
          <w:tab w:val="left" w:pos="1134"/>
        </w:tabs>
        <w:jc w:val="center"/>
        <w:rPr>
          <w:color w:val="FF0000"/>
        </w:rPr>
      </w:pPr>
      <w:r>
        <w:rPr>
          <w:noProof/>
          <w:lang w:eastAsia="uk-UA"/>
        </w:rPr>
        <w:drawing>
          <wp:inline distT="0" distB="0" distL="0" distR="0">
            <wp:extent cx="3383068" cy="2029841"/>
            <wp:effectExtent l="0" t="0" r="0" b="254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3402278" cy="2041367"/>
                    </a:xfrm>
                    <a:prstGeom prst="rect">
                      <a:avLst/>
                    </a:prstGeom>
                  </pic:spPr>
                </pic:pic>
              </a:graphicData>
            </a:graphic>
          </wp:inline>
        </w:drawing>
      </w:r>
    </w:p>
    <w:p w:rsidR="00AC499C" w:rsidRDefault="00AC499C" w:rsidP="00AC499C">
      <w:pPr>
        <w:tabs>
          <w:tab w:val="left" w:pos="1134"/>
        </w:tabs>
        <w:rPr>
          <w:color w:val="FF0000"/>
        </w:rPr>
      </w:pPr>
    </w:p>
    <w:p w:rsidR="00AC499C" w:rsidRDefault="00503909" w:rsidP="00AC499C">
      <w:pPr>
        <w:tabs>
          <w:tab w:val="left" w:pos="1134"/>
        </w:tabs>
        <w:rPr>
          <w:color w:val="000000" w:themeColor="text1"/>
        </w:rPr>
      </w:pPr>
      <w:r>
        <w:rPr>
          <w:color w:val="000000" w:themeColor="text1"/>
        </w:rPr>
        <w:tab/>
      </w:r>
      <w:r w:rsidR="00AC499C" w:rsidRPr="00364787">
        <w:rPr>
          <w:color w:val="000000" w:themeColor="text1"/>
        </w:rPr>
        <w:t xml:space="preserve">В дослідженні взяли участь 75% жінок та 25% чоловіків. Переважна кількість респондентів </w:t>
      </w:r>
      <w:r w:rsidR="00AC499C">
        <w:rPr>
          <w:color w:val="000000" w:themeColor="text1"/>
        </w:rPr>
        <w:t>(73%) люди віку активної економічної діяльності – від 25 до 54 років. При цьому до опитування долучилися також молоді люди до 24 років (8%) та більш старші люди (55+) – 19%.</w:t>
      </w:r>
    </w:p>
    <w:p w:rsidR="00AC499C" w:rsidRPr="00364787" w:rsidRDefault="00AC499C" w:rsidP="00AC499C">
      <w:pPr>
        <w:tabs>
          <w:tab w:val="left" w:pos="1134"/>
        </w:tabs>
        <w:rPr>
          <w:color w:val="000000" w:themeColor="text1"/>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8"/>
        <w:gridCol w:w="4720"/>
      </w:tblGrid>
      <w:tr w:rsidR="00AC499C" w:rsidTr="00524DBF">
        <w:tc>
          <w:tcPr>
            <w:tcW w:w="4885" w:type="dxa"/>
          </w:tcPr>
          <w:p w:rsidR="00AC499C" w:rsidRDefault="00AC499C" w:rsidP="00524DBF">
            <w:pPr>
              <w:tabs>
                <w:tab w:val="left" w:pos="1134"/>
              </w:tabs>
              <w:rPr>
                <w:color w:val="FF0000"/>
              </w:rPr>
            </w:pPr>
            <w:r>
              <w:rPr>
                <w:noProof/>
                <w:lang w:eastAsia="uk-UA"/>
              </w:rPr>
              <w:lastRenderedPageBreak/>
              <w:drawing>
                <wp:inline distT="0" distB="0" distL="0" distR="0">
                  <wp:extent cx="3006570" cy="1777365"/>
                  <wp:effectExtent l="0" t="0" r="3810" b="635"/>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3081151" cy="1821454"/>
                          </a:xfrm>
                          <a:prstGeom prst="rect">
                            <a:avLst/>
                          </a:prstGeom>
                        </pic:spPr>
                      </pic:pic>
                    </a:graphicData>
                  </a:graphic>
                </wp:inline>
              </w:drawing>
            </w:r>
          </w:p>
        </w:tc>
        <w:tc>
          <w:tcPr>
            <w:tcW w:w="4886" w:type="dxa"/>
          </w:tcPr>
          <w:p w:rsidR="00AC499C" w:rsidRDefault="00AC499C" w:rsidP="00524DBF">
            <w:pPr>
              <w:tabs>
                <w:tab w:val="left" w:pos="1134"/>
              </w:tabs>
              <w:rPr>
                <w:color w:val="FF0000"/>
              </w:rPr>
            </w:pPr>
            <w:r>
              <w:rPr>
                <w:noProof/>
                <w:lang w:eastAsia="uk-UA"/>
              </w:rPr>
              <w:drawing>
                <wp:inline distT="0" distB="0" distL="0" distR="0">
                  <wp:extent cx="2971165" cy="1777761"/>
                  <wp:effectExtent l="0" t="0" r="635" b="635"/>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2992002" cy="1790229"/>
                          </a:xfrm>
                          <a:prstGeom prst="rect">
                            <a:avLst/>
                          </a:prstGeom>
                        </pic:spPr>
                      </pic:pic>
                    </a:graphicData>
                  </a:graphic>
                </wp:inline>
              </w:drawing>
            </w:r>
          </w:p>
        </w:tc>
      </w:tr>
    </w:tbl>
    <w:p w:rsidR="00AC499C" w:rsidRDefault="00AC499C" w:rsidP="00AC499C">
      <w:pPr>
        <w:tabs>
          <w:tab w:val="left" w:pos="1134"/>
        </w:tabs>
        <w:rPr>
          <w:color w:val="FF0000"/>
        </w:rPr>
      </w:pPr>
    </w:p>
    <w:p w:rsidR="00AC499C" w:rsidRDefault="00AC499C" w:rsidP="00AC499C">
      <w:pPr>
        <w:tabs>
          <w:tab w:val="left" w:pos="1134"/>
        </w:tabs>
        <w:rPr>
          <w:color w:val="FF0000"/>
        </w:rPr>
      </w:pPr>
    </w:p>
    <w:p w:rsidR="00AC499C" w:rsidRPr="00364787" w:rsidRDefault="00503909" w:rsidP="00AC499C">
      <w:pPr>
        <w:tabs>
          <w:tab w:val="left" w:pos="1134"/>
        </w:tabs>
        <w:rPr>
          <w:color w:val="000000" w:themeColor="text1"/>
        </w:rPr>
      </w:pPr>
      <w:r>
        <w:rPr>
          <w:color w:val="000000" w:themeColor="text1"/>
        </w:rPr>
        <w:tab/>
      </w:r>
      <w:r w:rsidR="00AC499C" w:rsidRPr="00364787">
        <w:rPr>
          <w:color w:val="000000" w:themeColor="text1"/>
        </w:rPr>
        <w:t xml:space="preserve">Щодо роду </w:t>
      </w:r>
      <w:r w:rsidR="0033389E">
        <w:rPr>
          <w:color w:val="000000" w:themeColor="text1"/>
        </w:rPr>
        <w:t>зайнятості</w:t>
      </w:r>
      <w:r w:rsidR="00AC499C" w:rsidRPr="00364787">
        <w:rPr>
          <w:color w:val="000000" w:themeColor="text1"/>
        </w:rPr>
        <w:t xml:space="preserve"> учасників дослідження до 24 лютого 2022 року, то майже половина з них наймані працівники (47%). Також серед респондентів представлені: держслужбовці, підприємці, пенсіонери, керівники, домогосподарки, студенти, </w:t>
      </w:r>
      <w:proofErr w:type="spellStart"/>
      <w:r w:rsidR="00AC499C" w:rsidRPr="00364787">
        <w:rPr>
          <w:color w:val="000000" w:themeColor="text1"/>
        </w:rPr>
        <w:t>фрилансери</w:t>
      </w:r>
      <w:proofErr w:type="spellEnd"/>
      <w:r w:rsidR="00AC499C" w:rsidRPr="00364787">
        <w:rPr>
          <w:color w:val="000000" w:themeColor="text1"/>
        </w:rPr>
        <w:t>, учні, безробітні, військовослужбовці.</w:t>
      </w:r>
    </w:p>
    <w:p w:rsidR="00AC499C" w:rsidRDefault="00AC499C" w:rsidP="00AC499C">
      <w:pPr>
        <w:tabs>
          <w:tab w:val="left" w:pos="1134"/>
        </w:tabs>
        <w:ind w:left="709"/>
        <w:rPr>
          <w:color w:val="FF0000"/>
        </w:rPr>
      </w:pPr>
    </w:p>
    <w:p w:rsidR="00AC499C" w:rsidRDefault="00AC499C" w:rsidP="00AC499C">
      <w:pPr>
        <w:tabs>
          <w:tab w:val="left" w:pos="1134"/>
        </w:tabs>
        <w:ind w:left="709"/>
        <w:rPr>
          <w:color w:val="FF0000"/>
        </w:rPr>
      </w:pPr>
      <w:r>
        <w:rPr>
          <w:noProof/>
          <w:lang w:eastAsia="uk-UA"/>
        </w:rPr>
        <w:drawing>
          <wp:inline distT="0" distB="0" distL="0" distR="0">
            <wp:extent cx="5238974" cy="2846436"/>
            <wp:effectExtent l="0" t="0" r="0" b="0"/>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298641" cy="2878854"/>
                    </a:xfrm>
                    <a:prstGeom prst="rect">
                      <a:avLst/>
                    </a:prstGeom>
                  </pic:spPr>
                </pic:pic>
              </a:graphicData>
            </a:graphic>
          </wp:inline>
        </w:drawing>
      </w:r>
    </w:p>
    <w:p w:rsidR="00AC499C" w:rsidRDefault="00AC499C" w:rsidP="00AC499C">
      <w:pPr>
        <w:tabs>
          <w:tab w:val="left" w:pos="1134"/>
        </w:tabs>
        <w:ind w:left="709"/>
        <w:rPr>
          <w:color w:val="FF0000"/>
        </w:rPr>
      </w:pPr>
    </w:p>
    <w:p w:rsidR="00AC499C" w:rsidRPr="005A7AB1" w:rsidRDefault="00503909" w:rsidP="006D08A9">
      <w:pPr>
        <w:tabs>
          <w:tab w:val="left" w:pos="1134"/>
        </w:tabs>
        <w:rPr>
          <w:color w:val="000000" w:themeColor="text1"/>
        </w:rPr>
      </w:pPr>
      <w:r>
        <w:rPr>
          <w:color w:val="000000" w:themeColor="text1"/>
        </w:rPr>
        <w:tab/>
      </w:r>
      <w:r w:rsidR="00AC499C" w:rsidRPr="005A7AB1">
        <w:rPr>
          <w:color w:val="000000" w:themeColor="text1"/>
        </w:rPr>
        <w:t xml:space="preserve">Суттєва кількість учасників дослідження працює в сфері освіти (23%). Значна кількість задіяна в </w:t>
      </w:r>
      <w:r w:rsidR="009C3026">
        <w:rPr>
          <w:color w:val="000000" w:themeColor="text1"/>
        </w:rPr>
        <w:t>роботі</w:t>
      </w:r>
      <w:r w:rsidR="00AC499C" w:rsidRPr="005A7AB1">
        <w:rPr>
          <w:color w:val="000000" w:themeColor="text1"/>
        </w:rPr>
        <w:t xml:space="preserve"> органів державної влади та </w:t>
      </w:r>
      <w:r w:rsidR="009C3026">
        <w:rPr>
          <w:color w:val="000000" w:themeColor="text1"/>
        </w:rPr>
        <w:t>органів</w:t>
      </w:r>
      <w:r w:rsidR="009C3026" w:rsidRPr="005A7AB1">
        <w:rPr>
          <w:color w:val="000000" w:themeColor="text1"/>
        </w:rPr>
        <w:t xml:space="preserve"> </w:t>
      </w:r>
      <w:r w:rsidR="00AC499C" w:rsidRPr="005A7AB1">
        <w:rPr>
          <w:color w:val="000000" w:themeColor="text1"/>
        </w:rPr>
        <w:t>місцевого самоврядування (15%), торгівлі (14%), хімічній галузі (12%).</w:t>
      </w:r>
    </w:p>
    <w:p w:rsidR="00AC499C" w:rsidRDefault="00AC499C" w:rsidP="00AC499C">
      <w:pPr>
        <w:tabs>
          <w:tab w:val="left" w:pos="1134"/>
        </w:tabs>
        <w:ind w:left="709"/>
        <w:rPr>
          <w:color w:val="FF0000"/>
        </w:rPr>
      </w:pPr>
    </w:p>
    <w:p w:rsidR="00AC499C" w:rsidRDefault="00AC499C" w:rsidP="00AC499C">
      <w:pPr>
        <w:tabs>
          <w:tab w:val="left" w:pos="1134"/>
        </w:tabs>
        <w:ind w:left="709"/>
        <w:rPr>
          <w:color w:val="FF0000"/>
        </w:rPr>
      </w:pPr>
      <w:r>
        <w:rPr>
          <w:noProof/>
          <w:lang w:eastAsia="uk-UA"/>
        </w:rPr>
        <w:lastRenderedPageBreak/>
        <w:drawing>
          <wp:inline distT="0" distB="0" distL="0" distR="0">
            <wp:extent cx="5236845" cy="2294466"/>
            <wp:effectExtent l="0" t="0" r="0" b="4445"/>
            <wp:docPr id="2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365989" cy="2351049"/>
                    </a:xfrm>
                    <a:prstGeom prst="rect">
                      <a:avLst/>
                    </a:prstGeom>
                  </pic:spPr>
                </pic:pic>
              </a:graphicData>
            </a:graphic>
          </wp:inline>
        </w:drawing>
      </w:r>
    </w:p>
    <w:p w:rsidR="00AC499C" w:rsidRDefault="00AC499C" w:rsidP="00AC499C">
      <w:pPr>
        <w:tabs>
          <w:tab w:val="left" w:pos="1134"/>
        </w:tabs>
        <w:ind w:left="709"/>
        <w:rPr>
          <w:color w:val="FF0000"/>
        </w:rPr>
      </w:pPr>
    </w:p>
    <w:p w:rsidR="00AC499C" w:rsidRDefault="00AC499C" w:rsidP="00AC499C">
      <w:pPr>
        <w:tabs>
          <w:tab w:val="left" w:pos="1134"/>
        </w:tabs>
        <w:ind w:left="709"/>
        <w:rPr>
          <w:color w:val="FF0000"/>
        </w:rPr>
      </w:pPr>
    </w:p>
    <w:p w:rsidR="00AC499C" w:rsidRPr="005A7AB1" w:rsidRDefault="00503909" w:rsidP="006D08A9">
      <w:pPr>
        <w:tabs>
          <w:tab w:val="left" w:pos="1134"/>
        </w:tabs>
        <w:rPr>
          <w:color w:val="000000" w:themeColor="text1"/>
        </w:rPr>
      </w:pPr>
      <w:r>
        <w:rPr>
          <w:color w:val="000000" w:themeColor="text1"/>
        </w:rPr>
        <w:tab/>
      </w:r>
      <w:r w:rsidR="00AC499C" w:rsidRPr="005A7AB1">
        <w:rPr>
          <w:color w:val="000000" w:themeColor="text1"/>
        </w:rPr>
        <w:t xml:space="preserve">98% респондентів на момент дослідження знаходилися поза межами </w:t>
      </w:r>
      <w:r w:rsidR="00832711">
        <w:rPr>
          <w:color w:val="000000" w:themeColor="text1"/>
        </w:rPr>
        <w:t>тимчасово</w:t>
      </w:r>
      <w:r w:rsidR="00832711" w:rsidRPr="005A7AB1">
        <w:rPr>
          <w:color w:val="000000" w:themeColor="text1"/>
        </w:rPr>
        <w:t xml:space="preserve"> </w:t>
      </w:r>
      <w:r w:rsidR="00AC499C" w:rsidRPr="005A7AB1">
        <w:rPr>
          <w:color w:val="000000" w:themeColor="text1"/>
        </w:rPr>
        <w:t>окупованої громади: 80% - в Україні, 17% - за кордоном, 1% - інший тимчасово окупований населений пункт)</w:t>
      </w:r>
    </w:p>
    <w:p w:rsidR="00AC499C" w:rsidRDefault="00AC499C" w:rsidP="00AC499C">
      <w:pPr>
        <w:tabs>
          <w:tab w:val="left" w:pos="1134"/>
        </w:tabs>
        <w:ind w:left="709"/>
        <w:rPr>
          <w:color w:val="FF0000"/>
        </w:rPr>
      </w:pPr>
    </w:p>
    <w:p w:rsidR="00AC499C" w:rsidRDefault="00AC499C" w:rsidP="00AC499C">
      <w:pPr>
        <w:tabs>
          <w:tab w:val="left" w:pos="1134"/>
        </w:tabs>
        <w:ind w:left="709"/>
        <w:jc w:val="center"/>
        <w:rPr>
          <w:color w:val="FF0000"/>
        </w:rPr>
      </w:pPr>
      <w:r>
        <w:rPr>
          <w:noProof/>
          <w:lang w:eastAsia="uk-UA"/>
        </w:rPr>
        <w:drawing>
          <wp:inline distT="0" distB="0" distL="0" distR="0">
            <wp:extent cx="2504652" cy="1866347"/>
            <wp:effectExtent l="0" t="0" r="0" b="635"/>
            <wp:docPr id="2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2531914" cy="1886662"/>
                    </a:xfrm>
                    <a:prstGeom prst="rect">
                      <a:avLst/>
                    </a:prstGeom>
                  </pic:spPr>
                </pic:pic>
              </a:graphicData>
            </a:graphic>
          </wp:inline>
        </w:drawing>
      </w:r>
    </w:p>
    <w:p w:rsidR="00AC499C" w:rsidRDefault="00AC499C" w:rsidP="00AC499C">
      <w:pPr>
        <w:tabs>
          <w:tab w:val="left" w:pos="1134"/>
        </w:tabs>
        <w:ind w:left="709"/>
        <w:rPr>
          <w:color w:val="FF0000"/>
        </w:rPr>
      </w:pPr>
    </w:p>
    <w:p w:rsidR="00AC499C" w:rsidRPr="00927E91" w:rsidRDefault="00503909" w:rsidP="006D08A9">
      <w:pPr>
        <w:tabs>
          <w:tab w:val="left" w:pos="1134"/>
        </w:tabs>
        <w:rPr>
          <w:color w:val="000000" w:themeColor="text1"/>
        </w:rPr>
      </w:pPr>
      <w:r>
        <w:rPr>
          <w:color w:val="000000" w:themeColor="text1"/>
        </w:rPr>
        <w:tab/>
      </w:r>
      <w:r w:rsidR="00AC499C" w:rsidRPr="00927E91">
        <w:rPr>
          <w:color w:val="000000" w:themeColor="text1"/>
        </w:rPr>
        <w:t>В якості джерела достовірної інформації 38% респондентів використовують Телеграм-канали. Значна кількість (34%) користуються офіційними джерелами інформації. Цікаво, що ЗМІ сприймають як джерело достовірної інформації лише 2% респондентів.</w:t>
      </w:r>
    </w:p>
    <w:p w:rsidR="00AC499C" w:rsidRDefault="00AC499C" w:rsidP="00AC499C">
      <w:pPr>
        <w:tabs>
          <w:tab w:val="left" w:pos="1134"/>
        </w:tabs>
        <w:ind w:left="709"/>
        <w:rPr>
          <w:color w:val="FF0000"/>
        </w:rPr>
      </w:pPr>
    </w:p>
    <w:p w:rsidR="00AC499C" w:rsidRDefault="00AC499C" w:rsidP="00AC499C">
      <w:pPr>
        <w:tabs>
          <w:tab w:val="left" w:pos="1134"/>
        </w:tabs>
        <w:ind w:left="709"/>
        <w:jc w:val="center"/>
        <w:rPr>
          <w:color w:val="FF0000"/>
        </w:rPr>
      </w:pPr>
      <w:r>
        <w:rPr>
          <w:noProof/>
          <w:lang w:eastAsia="uk-UA"/>
        </w:rPr>
        <w:drawing>
          <wp:inline distT="0" distB="0" distL="0" distR="0">
            <wp:extent cx="2673962" cy="2236945"/>
            <wp:effectExtent l="0" t="0" r="6350" b="0"/>
            <wp:docPr id="3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2684632" cy="2245872"/>
                    </a:xfrm>
                    <a:prstGeom prst="rect">
                      <a:avLst/>
                    </a:prstGeom>
                  </pic:spPr>
                </pic:pic>
              </a:graphicData>
            </a:graphic>
          </wp:inline>
        </w:drawing>
      </w:r>
    </w:p>
    <w:p w:rsidR="00AC499C" w:rsidRDefault="00AC499C" w:rsidP="00AC499C">
      <w:pPr>
        <w:tabs>
          <w:tab w:val="left" w:pos="1134"/>
        </w:tabs>
        <w:rPr>
          <w:color w:val="FF0000"/>
        </w:rPr>
      </w:pPr>
    </w:p>
    <w:p w:rsidR="00AC499C" w:rsidRPr="003E5189" w:rsidRDefault="00503909" w:rsidP="006D08A9">
      <w:pPr>
        <w:tabs>
          <w:tab w:val="left" w:pos="1134"/>
        </w:tabs>
        <w:rPr>
          <w:color w:val="000000" w:themeColor="text1"/>
        </w:rPr>
      </w:pPr>
      <w:r>
        <w:rPr>
          <w:color w:val="000000" w:themeColor="text1"/>
        </w:rPr>
        <w:tab/>
      </w:r>
      <w:r w:rsidR="00AC499C" w:rsidRPr="005F6FF4">
        <w:rPr>
          <w:color w:val="000000" w:themeColor="text1"/>
        </w:rPr>
        <w:t xml:space="preserve">До повномасштабного вторгнення проведення вільного часу у учасників дослідження відрізнялось різноманітністю. Більшість респондентів проводила вільний час вдома, в гостях, у друзів або рідних (518 відповідей). Також багато учасників дослідження надавали перевагу перебуванню на свіжому повітрі (на вулиці, в парках, скверах, біля озера в місті тощо) – 524 відповідей. Третій за популярністю варіант відповідей - відвідували заклади культури (259 відповідей). </w:t>
      </w:r>
    </w:p>
    <w:p w:rsidR="00AC499C" w:rsidRDefault="00AC499C" w:rsidP="00AC499C">
      <w:pPr>
        <w:tabs>
          <w:tab w:val="left" w:pos="1134"/>
        </w:tabs>
        <w:ind w:left="709"/>
        <w:jc w:val="center"/>
        <w:rPr>
          <w:color w:val="FF0000"/>
        </w:rPr>
      </w:pPr>
      <w:r>
        <w:rPr>
          <w:noProof/>
          <w:lang w:eastAsia="uk-UA"/>
        </w:rPr>
        <w:drawing>
          <wp:inline distT="0" distB="0" distL="0" distR="0">
            <wp:extent cx="3667125" cy="1825152"/>
            <wp:effectExtent l="19050" t="0" r="9525" b="0"/>
            <wp:docPr id="3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3686589" cy="1834839"/>
                    </a:xfrm>
                    <a:prstGeom prst="rect">
                      <a:avLst/>
                    </a:prstGeom>
                  </pic:spPr>
                </pic:pic>
              </a:graphicData>
            </a:graphic>
          </wp:inline>
        </w:drawing>
      </w:r>
    </w:p>
    <w:p w:rsidR="00AC499C" w:rsidRDefault="00AC499C" w:rsidP="00AC499C">
      <w:pPr>
        <w:tabs>
          <w:tab w:val="left" w:pos="1134"/>
        </w:tabs>
        <w:ind w:left="709"/>
        <w:rPr>
          <w:color w:val="FF0000"/>
        </w:rPr>
      </w:pPr>
    </w:p>
    <w:p w:rsidR="00AC499C" w:rsidRPr="005F6FF4" w:rsidRDefault="00623B4C" w:rsidP="006D08A9">
      <w:pPr>
        <w:tabs>
          <w:tab w:val="left" w:pos="1134"/>
        </w:tabs>
        <w:rPr>
          <w:color w:val="000000" w:themeColor="text1"/>
        </w:rPr>
      </w:pPr>
      <w:r>
        <w:rPr>
          <w:color w:val="000000" w:themeColor="text1"/>
        </w:rPr>
        <w:tab/>
      </w:r>
      <w:r w:rsidR="00AC499C" w:rsidRPr="005F6FF4">
        <w:rPr>
          <w:color w:val="000000" w:themeColor="text1"/>
        </w:rPr>
        <w:t>Описуючи</w:t>
      </w:r>
      <w:r>
        <w:rPr>
          <w:color w:val="000000" w:themeColor="text1"/>
        </w:rPr>
        <w:t>,</w:t>
      </w:r>
      <w:r w:rsidR="00AC499C" w:rsidRPr="005F6FF4">
        <w:rPr>
          <w:color w:val="000000" w:themeColor="text1"/>
        </w:rPr>
        <w:t xml:space="preserve"> що на їхню думк</w:t>
      </w:r>
      <w:r>
        <w:rPr>
          <w:color w:val="000000" w:themeColor="text1"/>
        </w:rPr>
        <w:t>у</w:t>
      </w:r>
      <w:r w:rsidR="00AC499C" w:rsidRPr="005F6FF4">
        <w:rPr>
          <w:color w:val="000000" w:themeColor="text1"/>
        </w:rPr>
        <w:t xml:space="preserve"> було в</w:t>
      </w:r>
      <w:r w:rsidR="00B132CB">
        <w:rPr>
          <w:color w:val="000000" w:themeColor="text1"/>
        </w:rPr>
        <w:t>і</w:t>
      </w:r>
      <w:r w:rsidR="00AC499C" w:rsidRPr="005F6FF4">
        <w:rPr>
          <w:color w:val="000000" w:themeColor="text1"/>
        </w:rPr>
        <w:t xml:space="preserve">зитівкою Сєвєродонецька, респонденти частіше за все називали три наступних об’єкти: </w:t>
      </w:r>
    </w:p>
    <w:p w:rsidR="00AC499C" w:rsidRPr="005F6FF4" w:rsidRDefault="00AC499C" w:rsidP="00AC499C">
      <w:pPr>
        <w:tabs>
          <w:tab w:val="left" w:pos="1134"/>
        </w:tabs>
        <w:ind w:left="709"/>
        <w:rPr>
          <w:color w:val="000000" w:themeColor="text1"/>
        </w:rPr>
      </w:pPr>
      <w:r w:rsidRPr="005F6FF4">
        <w:rPr>
          <w:color w:val="000000" w:themeColor="text1"/>
        </w:rPr>
        <w:t xml:space="preserve">Льодовий палац </w:t>
      </w:r>
      <w:r w:rsidR="003C2AAD">
        <w:rPr>
          <w:color w:val="000000" w:themeColor="text1"/>
        </w:rPr>
        <w:t>спорту</w:t>
      </w:r>
      <w:r w:rsidR="003C2AAD" w:rsidRPr="005F6FF4">
        <w:rPr>
          <w:color w:val="000000" w:themeColor="text1"/>
        </w:rPr>
        <w:t xml:space="preserve"> </w:t>
      </w:r>
      <w:r w:rsidRPr="005F6FF4">
        <w:rPr>
          <w:color w:val="000000" w:themeColor="text1"/>
        </w:rPr>
        <w:t>– 298 відповідей</w:t>
      </w:r>
      <w:r w:rsidR="00623B4C">
        <w:rPr>
          <w:color w:val="000000" w:themeColor="text1"/>
        </w:rPr>
        <w:t>.</w:t>
      </w:r>
    </w:p>
    <w:p w:rsidR="00AC499C" w:rsidRPr="005F6FF4" w:rsidRDefault="00170729" w:rsidP="00AC499C">
      <w:pPr>
        <w:tabs>
          <w:tab w:val="left" w:pos="1134"/>
        </w:tabs>
        <w:ind w:left="709"/>
        <w:rPr>
          <w:color w:val="000000" w:themeColor="text1"/>
        </w:rPr>
      </w:pPr>
      <w:r w:rsidRPr="00E64867">
        <w:rPr>
          <w:color w:val="000000" w:themeColor="text1"/>
        </w:rPr>
        <w:t>Луганський обласний академічний український музично-драматичний театр</w:t>
      </w:r>
      <w:r w:rsidR="00AC499C" w:rsidRPr="005F6FF4">
        <w:rPr>
          <w:color w:val="000000" w:themeColor="text1"/>
        </w:rPr>
        <w:t xml:space="preserve"> – 178 відповідей</w:t>
      </w:r>
    </w:p>
    <w:p w:rsidR="00AC499C" w:rsidRPr="005F6FF4" w:rsidRDefault="00170729" w:rsidP="00AC499C">
      <w:pPr>
        <w:tabs>
          <w:tab w:val="left" w:pos="1134"/>
        </w:tabs>
        <w:ind w:left="709"/>
        <w:rPr>
          <w:color w:val="000000" w:themeColor="text1"/>
        </w:rPr>
      </w:pPr>
      <w:r>
        <w:rPr>
          <w:color w:val="000000" w:themeColor="text1"/>
        </w:rPr>
        <w:t>ПрАТ «Сєвєродонецьке об’єднання</w:t>
      </w:r>
      <w:r w:rsidR="00AC499C" w:rsidRPr="005F6FF4">
        <w:rPr>
          <w:color w:val="000000" w:themeColor="text1"/>
        </w:rPr>
        <w:t xml:space="preserve"> </w:t>
      </w:r>
      <w:r w:rsidR="00146C22">
        <w:rPr>
          <w:color w:val="000000" w:themeColor="text1"/>
        </w:rPr>
        <w:t xml:space="preserve">«Азот»» </w:t>
      </w:r>
      <w:r w:rsidR="00AC499C" w:rsidRPr="005F6FF4">
        <w:rPr>
          <w:color w:val="000000" w:themeColor="text1"/>
        </w:rPr>
        <w:t>– 135 відповідей</w:t>
      </w:r>
      <w:r w:rsidR="00623B4C">
        <w:rPr>
          <w:color w:val="000000" w:themeColor="text1"/>
        </w:rPr>
        <w:t>.</w:t>
      </w:r>
    </w:p>
    <w:p w:rsidR="00AC499C" w:rsidRPr="005F6FF4" w:rsidRDefault="00AC499C" w:rsidP="00AC499C">
      <w:pPr>
        <w:tabs>
          <w:tab w:val="left" w:pos="1134"/>
        </w:tabs>
        <w:ind w:left="709"/>
        <w:rPr>
          <w:color w:val="000000" w:themeColor="text1"/>
        </w:rPr>
      </w:pPr>
    </w:p>
    <w:p w:rsidR="00AC499C" w:rsidRPr="005F6FF4" w:rsidRDefault="00AC499C" w:rsidP="006D08A9">
      <w:pPr>
        <w:tabs>
          <w:tab w:val="left" w:pos="1134"/>
        </w:tabs>
        <w:rPr>
          <w:color w:val="000000" w:themeColor="text1"/>
        </w:rPr>
      </w:pPr>
      <w:r w:rsidRPr="005F6FF4">
        <w:rPr>
          <w:color w:val="000000" w:themeColor="text1"/>
        </w:rPr>
        <w:t>В 41 випадку було зазначено, що візитівкою є все місто</w:t>
      </w:r>
    </w:p>
    <w:p w:rsidR="00AC499C" w:rsidRPr="005F6FF4" w:rsidRDefault="00AC499C" w:rsidP="00AC499C">
      <w:pPr>
        <w:tabs>
          <w:tab w:val="left" w:pos="1134"/>
        </w:tabs>
        <w:ind w:left="709"/>
        <w:rPr>
          <w:color w:val="000000" w:themeColor="text1"/>
        </w:rPr>
      </w:pPr>
    </w:p>
    <w:p w:rsidR="00AC499C" w:rsidRDefault="00AC499C" w:rsidP="00AC499C">
      <w:pPr>
        <w:tabs>
          <w:tab w:val="left" w:pos="1134"/>
        </w:tabs>
        <w:ind w:left="709"/>
        <w:jc w:val="center"/>
        <w:rPr>
          <w:color w:val="FF0000"/>
        </w:rPr>
      </w:pPr>
      <w:r>
        <w:rPr>
          <w:noProof/>
          <w:lang w:eastAsia="uk-UA"/>
        </w:rPr>
        <w:drawing>
          <wp:inline distT="0" distB="0" distL="0" distR="0">
            <wp:extent cx="3792431" cy="2279660"/>
            <wp:effectExtent l="0" t="0" r="5080" b="0"/>
            <wp:docPr id="3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3813381" cy="2292253"/>
                    </a:xfrm>
                    <a:prstGeom prst="rect">
                      <a:avLst/>
                    </a:prstGeom>
                  </pic:spPr>
                </pic:pic>
              </a:graphicData>
            </a:graphic>
          </wp:inline>
        </w:drawing>
      </w:r>
    </w:p>
    <w:p w:rsidR="00AC499C" w:rsidRDefault="00AC499C" w:rsidP="00AC499C">
      <w:pPr>
        <w:tabs>
          <w:tab w:val="left" w:pos="1134"/>
        </w:tabs>
        <w:ind w:left="709"/>
        <w:rPr>
          <w:color w:val="FF0000"/>
        </w:rPr>
      </w:pPr>
    </w:p>
    <w:p w:rsidR="00AC499C" w:rsidRPr="005F6FF4" w:rsidRDefault="002A0515" w:rsidP="006D08A9">
      <w:pPr>
        <w:tabs>
          <w:tab w:val="left" w:pos="1134"/>
        </w:tabs>
        <w:rPr>
          <w:color w:val="000000" w:themeColor="text1"/>
        </w:rPr>
      </w:pPr>
      <w:r>
        <w:rPr>
          <w:color w:val="000000" w:themeColor="text1"/>
        </w:rPr>
        <w:tab/>
      </w:r>
      <w:r w:rsidR="00AC499C" w:rsidRPr="005F6FF4">
        <w:rPr>
          <w:color w:val="000000" w:themeColor="text1"/>
        </w:rPr>
        <w:t xml:space="preserve">При описі візитівки у майбутньому Льодовий палац </w:t>
      </w:r>
      <w:r w:rsidR="002C22BF">
        <w:rPr>
          <w:color w:val="000000" w:themeColor="text1"/>
        </w:rPr>
        <w:t xml:space="preserve">спорту </w:t>
      </w:r>
      <w:r w:rsidR="00AC499C" w:rsidRPr="005F6FF4">
        <w:rPr>
          <w:color w:val="000000" w:themeColor="text1"/>
        </w:rPr>
        <w:t xml:space="preserve">зберіг лідерські позиції. Його бачать візитівкою міста 178 респондентів. Але важливо, що в трійку найбільш популярних відповідей увійшли цього разу публічні простори: парки (150 відповідей) та площі (98 відповідей). </w:t>
      </w:r>
    </w:p>
    <w:p w:rsidR="00AC499C" w:rsidRDefault="00AC499C" w:rsidP="00AC499C">
      <w:pPr>
        <w:tabs>
          <w:tab w:val="left" w:pos="1134"/>
        </w:tabs>
        <w:ind w:left="709"/>
        <w:rPr>
          <w:color w:val="FF0000"/>
        </w:rPr>
      </w:pPr>
    </w:p>
    <w:p w:rsidR="00AC499C" w:rsidRDefault="00AC499C" w:rsidP="00AC499C">
      <w:pPr>
        <w:tabs>
          <w:tab w:val="left" w:pos="1134"/>
        </w:tabs>
        <w:ind w:left="709"/>
        <w:jc w:val="center"/>
        <w:rPr>
          <w:color w:val="FF0000"/>
        </w:rPr>
      </w:pPr>
      <w:r>
        <w:rPr>
          <w:noProof/>
          <w:lang w:eastAsia="uk-UA"/>
        </w:rPr>
        <w:drawing>
          <wp:inline distT="0" distB="0" distL="0" distR="0">
            <wp:extent cx="3915259" cy="2353493"/>
            <wp:effectExtent l="0" t="0" r="0" b="0"/>
            <wp:docPr id="3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3945280" cy="2371539"/>
                    </a:xfrm>
                    <a:prstGeom prst="rect">
                      <a:avLst/>
                    </a:prstGeom>
                  </pic:spPr>
                </pic:pic>
              </a:graphicData>
            </a:graphic>
          </wp:inline>
        </w:drawing>
      </w:r>
    </w:p>
    <w:p w:rsidR="00AC499C" w:rsidRDefault="00AC499C" w:rsidP="00AC499C">
      <w:pPr>
        <w:tabs>
          <w:tab w:val="left" w:pos="1134"/>
        </w:tabs>
        <w:ind w:left="709"/>
        <w:rPr>
          <w:color w:val="000000" w:themeColor="text1"/>
        </w:rPr>
      </w:pPr>
    </w:p>
    <w:p w:rsidR="00AC499C" w:rsidRPr="007D200E" w:rsidRDefault="002A0515" w:rsidP="006D08A9">
      <w:pPr>
        <w:tabs>
          <w:tab w:val="left" w:pos="1134"/>
        </w:tabs>
        <w:rPr>
          <w:color w:val="000000" w:themeColor="text1"/>
        </w:rPr>
      </w:pPr>
      <w:r>
        <w:rPr>
          <w:color w:val="000000" w:themeColor="text1"/>
        </w:rPr>
        <w:tab/>
      </w:r>
      <w:r w:rsidR="00AC499C" w:rsidRPr="007D200E">
        <w:rPr>
          <w:color w:val="000000" w:themeColor="text1"/>
        </w:rPr>
        <w:t>Коли респонденти відповідали на питання щодо символів</w:t>
      </w:r>
      <w:r w:rsidR="006B6CF0">
        <w:rPr>
          <w:color w:val="000000" w:themeColor="text1"/>
        </w:rPr>
        <w:t>,</w:t>
      </w:r>
      <w:r w:rsidR="00AC499C" w:rsidRPr="007D200E">
        <w:rPr>
          <w:color w:val="000000" w:themeColor="text1"/>
        </w:rPr>
        <w:t xml:space="preserve"> без яких неможливо було уявити місто до 24 лютого 2022 року, то лідерські позиції займали ті самі об’єкти, що і при визначенні візитівки:</w:t>
      </w:r>
    </w:p>
    <w:p w:rsidR="00AC499C" w:rsidRPr="007D200E" w:rsidRDefault="00AC499C" w:rsidP="00AC499C">
      <w:pPr>
        <w:tabs>
          <w:tab w:val="left" w:pos="1134"/>
        </w:tabs>
        <w:ind w:left="709"/>
        <w:rPr>
          <w:color w:val="000000" w:themeColor="text1"/>
        </w:rPr>
      </w:pPr>
      <w:r w:rsidRPr="007D200E">
        <w:rPr>
          <w:color w:val="000000" w:themeColor="text1"/>
        </w:rPr>
        <w:t xml:space="preserve">Льодовий палац </w:t>
      </w:r>
      <w:r w:rsidR="0045204F">
        <w:rPr>
          <w:color w:val="000000" w:themeColor="text1"/>
        </w:rPr>
        <w:t>спорту</w:t>
      </w:r>
      <w:r w:rsidR="0045204F" w:rsidRPr="007D200E">
        <w:rPr>
          <w:color w:val="000000" w:themeColor="text1"/>
        </w:rPr>
        <w:t xml:space="preserve"> </w:t>
      </w:r>
      <w:r w:rsidRPr="007D200E">
        <w:rPr>
          <w:color w:val="000000" w:themeColor="text1"/>
        </w:rPr>
        <w:t>– 295 відповідей</w:t>
      </w:r>
      <w:r w:rsidR="006B6CF0">
        <w:rPr>
          <w:color w:val="000000" w:themeColor="text1"/>
        </w:rPr>
        <w:t>.</w:t>
      </w:r>
    </w:p>
    <w:p w:rsidR="00AC499C" w:rsidRPr="007D200E" w:rsidRDefault="00135E88" w:rsidP="00AC499C">
      <w:pPr>
        <w:tabs>
          <w:tab w:val="left" w:pos="1134"/>
        </w:tabs>
        <w:ind w:left="709"/>
        <w:rPr>
          <w:color w:val="000000" w:themeColor="text1"/>
        </w:rPr>
      </w:pPr>
      <w:r>
        <w:rPr>
          <w:color w:val="000000" w:themeColor="text1"/>
        </w:rPr>
        <w:t>ПрАТ «Сєвєродонецьке об’єднання</w:t>
      </w:r>
      <w:r w:rsidRPr="005F6FF4">
        <w:rPr>
          <w:color w:val="000000" w:themeColor="text1"/>
        </w:rPr>
        <w:t xml:space="preserve"> </w:t>
      </w:r>
      <w:r>
        <w:rPr>
          <w:color w:val="000000" w:themeColor="text1"/>
        </w:rPr>
        <w:t xml:space="preserve">«Азот»» </w:t>
      </w:r>
      <w:r w:rsidR="00AC499C" w:rsidRPr="007D200E">
        <w:rPr>
          <w:color w:val="000000" w:themeColor="text1"/>
        </w:rPr>
        <w:t>– 279 відповідей</w:t>
      </w:r>
      <w:r w:rsidR="006B6CF0">
        <w:rPr>
          <w:color w:val="000000" w:themeColor="text1"/>
        </w:rPr>
        <w:t>.</w:t>
      </w:r>
    </w:p>
    <w:p w:rsidR="00AC499C" w:rsidRPr="005F6FF4" w:rsidRDefault="0045204F" w:rsidP="00AC499C">
      <w:pPr>
        <w:tabs>
          <w:tab w:val="left" w:pos="1134"/>
        </w:tabs>
        <w:ind w:left="709"/>
        <w:rPr>
          <w:color w:val="000000" w:themeColor="text1"/>
        </w:rPr>
      </w:pPr>
      <w:r w:rsidRPr="00E64867">
        <w:rPr>
          <w:color w:val="000000" w:themeColor="text1"/>
        </w:rPr>
        <w:t>Луганський обласний академічний український музично-драматичний театр</w:t>
      </w:r>
      <w:r w:rsidR="00AC499C" w:rsidRPr="005F6FF4">
        <w:rPr>
          <w:color w:val="000000" w:themeColor="text1"/>
        </w:rPr>
        <w:t xml:space="preserve"> – </w:t>
      </w:r>
      <w:r w:rsidR="00AC499C">
        <w:rPr>
          <w:color w:val="000000" w:themeColor="text1"/>
        </w:rPr>
        <w:t>201</w:t>
      </w:r>
      <w:r w:rsidR="00AC499C" w:rsidRPr="005F6FF4">
        <w:rPr>
          <w:color w:val="000000" w:themeColor="text1"/>
        </w:rPr>
        <w:t xml:space="preserve"> відповід</w:t>
      </w:r>
      <w:r w:rsidR="00AC499C">
        <w:rPr>
          <w:color w:val="000000" w:themeColor="text1"/>
        </w:rPr>
        <w:t>ь</w:t>
      </w:r>
    </w:p>
    <w:p w:rsidR="00AC499C" w:rsidRDefault="00AC499C" w:rsidP="00AC499C">
      <w:pPr>
        <w:tabs>
          <w:tab w:val="left" w:pos="1134"/>
        </w:tabs>
        <w:ind w:left="709"/>
        <w:rPr>
          <w:color w:val="FF0000"/>
        </w:rPr>
      </w:pPr>
    </w:p>
    <w:p w:rsidR="00AC499C" w:rsidRDefault="00AC499C" w:rsidP="00AC499C">
      <w:pPr>
        <w:tabs>
          <w:tab w:val="left" w:pos="1134"/>
        </w:tabs>
        <w:ind w:left="709"/>
        <w:jc w:val="center"/>
        <w:rPr>
          <w:color w:val="FF0000"/>
        </w:rPr>
      </w:pPr>
      <w:r>
        <w:rPr>
          <w:noProof/>
          <w:lang w:eastAsia="uk-UA"/>
        </w:rPr>
        <w:drawing>
          <wp:inline distT="0" distB="0" distL="0" distR="0">
            <wp:extent cx="2836227" cy="1704878"/>
            <wp:effectExtent l="0" t="0" r="0" b="0"/>
            <wp:docPr id="3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2854422" cy="1715815"/>
                    </a:xfrm>
                    <a:prstGeom prst="rect">
                      <a:avLst/>
                    </a:prstGeom>
                  </pic:spPr>
                </pic:pic>
              </a:graphicData>
            </a:graphic>
          </wp:inline>
        </w:drawing>
      </w:r>
    </w:p>
    <w:p w:rsidR="00AC499C" w:rsidRDefault="00AC499C" w:rsidP="00AC499C">
      <w:pPr>
        <w:tabs>
          <w:tab w:val="left" w:pos="1134"/>
        </w:tabs>
        <w:ind w:left="709"/>
        <w:rPr>
          <w:color w:val="FF0000"/>
        </w:rPr>
      </w:pPr>
    </w:p>
    <w:p w:rsidR="00AC499C" w:rsidRPr="007D200E" w:rsidRDefault="00AC499C" w:rsidP="006D08A9">
      <w:pPr>
        <w:tabs>
          <w:tab w:val="left" w:pos="1134"/>
        </w:tabs>
        <w:rPr>
          <w:color w:val="000000" w:themeColor="text1"/>
        </w:rPr>
      </w:pPr>
      <w:r w:rsidRPr="007D200E">
        <w:rPr>
          <w:color w:val="000000" w:themeColor="text1"/>
        </w:rPr>
        <w:t>При цьому респонденти надавали наступну аргументацію своєму вибору.</w:t>
      </w:r>
    </w:p>
    <w:p w:rsidR="00AC499C" w:rsidRDefault="00AC499C" w:rsidP="00AC499C">
      <w:pPr>
        <w:tabs>
          <w:tab w:val="left" w:pos="1134"/>
        </w:tabs>
        <w:ind w:left="709"/>
        <w:rPr>
          <w:color w:val="FF0000"/>
        </w:rPr>
      </w:pPr>
    </w:p>
    <w:tbl>
      <w:tblPr>
        <w:tblStyle w:val="af"/>
        <w:tblW w:w="9072" w:type="dxa"/>
        <w:tblInd w:w="704" w:type="dxa"/>
        <w:tblLook w:val="04A0" w:firstRow="1" w:lastRow="0" w:firstColumn="1" w:lastColumn="0" w:noHBand="0" w:noVBand="1"/>
      </w:tblPr>
      <w:tblGrid>
        <w:gridCol w:w="2174"/>
        <w:gridCol w:w="6898"/>
      </w:tblGrid>
      <w:tr w:rsidR="00AC499C" w:rsidRPr="00AC2323" w:rsidTr="00BC11BA">
        <w:trPr>
          <w:trHeight w:val="320"/>
        </w:trPr>
        <w:tc>
          <w:tcPr>
            <w:tcW w:w="2174" w:type="dxa"/>
            <w:noWrap/>
          </w:tcPr>
          <w:p w:rsidR="00AC499C" w:rsidRPr="00AC2323" w:rsidRDefault="00AC499C" w:rsidP="00524DBF">
            <w:pPr>
              <w:tabs>
                <w:tab w:val="left" w:pos="1134"/>
              </w:tabs>
              <w:ind w:left="23" w:right="157"/>
              <w:jc w:val="center"/>
              <w:rPr>
                <w:b/>
                <w:bCs/>
                <w:color w:val="000000" w:themeColor="text1"/>
                <w:sz w:val="24"/>
                <w:szCs w:val="24"/>
              </w:rPr>
            </w:pPr>
            <w:r w:rsidRPr="00AC2323">
              <w:rPr>
                <w:b/>
                <w:bCs/>
                <w:color w:val="000000" w:themeColor="text1"/>
                <w:sz w:val="24"/>
                <w:szCs w:val="24"/>
              </w:rPr>
              <w:t>Символ</w:t>
            </w:r>
          </w:p>
        </w:tc>
        <w:tc>
          <w:tcPr>
            <w:tcW w:w="6898" w:type="dxa"/>
            <w:noWrap/>
          </w:tcPr>
          <w:p w:rsidR="00AC499C" w:rsidRPr="00AC2323" w:rsidRDefault="00AC499C" w:rsidP="00524DBF">
            <w:pPr>
              <w:tabs>
                <w:tab w:val="left" w:pos="1134"/>
              </w:tabs>
              <w:ind w:left="23" w:right="157"/>
              <w:jc w:val="center"/>
              <w:rPr>
                <w:b/>
                <w:bCs/>
                <w:color w:val="000000" w:themeColor="text1"/>
                <w:sz w:val="24"/>
                <w:szCs w:val="24"/>
              </w:rPr>
            </w:pPr>
            <w:proofErr w:type="spellStart"/>
            <w:r w:rsidRPr="00AC2323">
              <w:rPr>
                <w:b/>
                <w:bCs/>
                <w:color w:val="000000" w:themeColor="text1"/>
                <w:sz w:val="24"/>
                <w:szCs w:val="24"/>
              </w:rPr>
              <w:t>Обґрунтування</w:t>
            </w:r>
            <w:proofErr w:type="spellEnd"/>
          </w:p>
        </w:tc>
      </w:tr>
      <w:tr w:rsidR="00AC499C" w:rsidRPr="00AC2323" w:rsidTr="00BC11BA">
        <w:trPr>
          <w:trHeight w:val="320"/>
        </w:trPr>
        <w:tc>
          <w:tcPr>
            <w:tcW w:w="2174" w:type="dxa"/>
            <w:noWrap/>
            <w:hideMark/>
          </w:tcPr>
          <w:p w:rsidR="00AC499C" w:rsidRPr="00AC2323" w:rsidRDefault="00AC499C" w:rsidP="00524DBF">
            <w:pPr>
              <w:tabs>
                <w:tab w:val="left" w:pos="1134"/>
              </w:tabs>
              <w:ind w:left="23" w:right="157"/>
              <w:jc w:val="left"/>
              <w:rPr>
                <w:color w:val="000000" w:themeColor="text1"/>
                <w:sz w:val="24"/>
                <w:szCs w:val="24"/>
              </w:rPr>
            </w:pPr>
            <w:proofErr w:type="spellStart"/>
            <w:r w:rsidRPr="00AC2323">
              <w:rPr>
                <w:color w:val="000000" w:themeColor="text1"/>
                <w:sz w:val="24"/>
                <w:szCs w:val="24"/>
              </w:rPr>
              <w:t>Льодовий</w:t>
            </w:r>
            <w:proofErr w:type="spellEnd"/>
            <w:r w:rsidRPr="00AC2323">
              <w:rPr>
                <w:color w:val="000000" w:themeColor="text1"/>
                <w:sz w:val="24"/>
                <w:szCs w:val="24"/>
              </w:rPr>
              <w:t xml:space="preserve"> палац</w:t>
            </w:r>
            <w:r w:rsidR="00782208">
              <w:rPr>
                <w:color w:val="000000" w:themeColor="text1"/>
                <w:sz w:val="24"/>
                <w:szCs w:val="24"/>
              </w:rPr>
              <w:t xml:space="preserve"> спорту</w:t>
            </w:r>
          </w:p>
        </w:tc>
        <w:tc>
          <w:tcPr>
            <w:tcW w:w="6898" w:type="dxa"/>
            <w:noWrap/>
            <w:hideMark/>
          </w:tcPr>
          <w:p w:rsidR="00AC499C" w:rsidRPr="00AC2323" w:rsidRDefault="00AC499C" w:rsidP="00524DBF">
            <w:pPr>
              <w:tabs>
                <w:tab w:val="left" w:pos="1134"/>
              </w:tabs>
              <w:ind w:left="23" w:right="157"/>
              <w:jc w:val="left"/>
              <w:rPr>
                <w:color w:val="000000" w:themeColor="text1"/>
                <w:sz w:val="24"/>
                <w:szCs w:val="24"/>
              </w:rPr>
            </w:pPr>
            <w:proofErr w:type="spellStart"/>
            <w:r w:rsidRPr="00AC2323">
              <w:rPr>
                <w:color w:val="000000" w:themeColor="text1"/>
                <w:sz w:val="24"/>
                <w:szCs w:val="24"/>
              </w:rPr>
              <w:t>архітектурна</w:t>
            </w:r>
            <w:proofErr w:type="spellEnd"/>
            <w:r w:rsidRPr="00AC2323">
              <w:rPr>
                <w:color w:val="000000" w:themeColor="text1"/>
                <w:sz w:val="24"/>
                <w:szCs w:val="24"/>
              </w:rPr>
              <w:t xml:space="preserve"> </w:t>
            </w:r>
            <w:proofErr w:type="spellStart"/>
            <w:r w:rsidRPr="00AC2323">
              <w:rPr>
                <w:color w:val="000000" w:themeColor="text1"/>
                <w:sz w:val="24"/>
                <w:szCs w:val="24"/>
              </w:rPr>
              <w:t>пам’ятка</w:t>
            </w:r>
            <w:proofErr w:type="spellEnd"/>
            <w:r w:rsidRPr="00AC2323">
              <w:rPr>
                <w:color w:val="000000" w:themeColor="text1"/>
                <w:sz w:val="24"/>
                <w:szCs w:val="24"/>
              </w:rPr>
              <w:t xml:space="preserve"> </w:t>
            </w:r>
            <w:proofErr w:type="spellStart"/>
            <w:r w:rsidRPr="00AC2323">
              <w:rPr>
                <w:color w:val="000000" w:themeColor="text1"/>
                <w:sz w:val="24"/>
                <w:szCs w:val="24"/>
              </w:rPr>
              <w:t>міста</w:t>
            </w:r>
            <w:proofErr w:type="spellEnd"/>
            <w:r w:rsidRPr="00AC2323">
              <w:rPr>
                <w:color w:val="000000" w:themeColor="text1"/>
                <w:sz w:val="24"/>
                <w:szCs w:val="24"/>
              </w:rPr>
              <w:t xml:space="preserve">, </w:t>
            </w:r>
            <w:proofErr w:type="spellStart"/>
            <w:r w:rsidRPr="00AC2323">
              <w:rPr>
                <w:color w:val="000000" w:themeColor="text1"/>
                <w:sz w:val="24"/>
                <w:szCs w:val="24"/>
              </w:rPr>
              <w:t>місце</w:t>
            </w:r>
            <w:proofErr w:type="spellEnd"/>
            <w:r w:rsidR="00645B79">
              <w:rPr>
                <w:color w:val="000000" w:themeColor="text1"/>
                <w:sz w:val="24"/>
                <w:szCs w:val="24"/>
              </w:rPr>
              <w:t>,</w:t>
            </w:r>
            <w:r w:rsidRPr="00AC2323">
              <w:rPr>
                <w:color w:val="000000" w:themeColor="text1"/>
                <w:sz w:val="24"/>
                <w:szCs w:val="24"/>
              </w:rPr>
              <w:t xml:space="preserve"> де </w:t>
            </w:r>
            <w:proofErr w:type="spellStart"/>
            <w:r w:rsidRPr="00AC2323">
              <w:rPr>
                <w:color w:val="000000" w:themeColor="text1"/>
                <w:sz w:val="24"/>
                <w:szCs w:val="24"/>
              </w:rPr>
              <w:t>збирались</w:t>
            </w:r>
            <w:proofErr w:type="spellEnd"/>
            <w:r w:rsidRPr="00AC2323">
              <w:rPr>
                <w:color w:val="000000" w:themeColor="text1"/>
                <w:sz w:val="24"/>
                <w:szCs w:val="24"/>
              </w:rPr>
              <w:t xml:space="preserve"> на </w:t>
            </w:r>
            <w:proofErr w:type="spellStart"/>
            <w:r w:rsidRPr="00AC2323">
              <w:rPr>
                <w:color w:val="000000" w:themeColor="text1"/>
                <w:sz w:val="24"/>
                <w:szCs w:val="24"/>
              </w:rPr>
              <w:t>великі</w:t>
            </w:r>
            <w:proofErr w:type="spellEnd"/>
            <w:r w:rsidRPr="00AC2323">
              <w:rPr>
                <w:color w:val="000000" w:themeColor="text1"/>
                <w:sz w:val="24"/>
                <w:szCs w:val="24"/>
              </w:rPr>
              <w:t xml:space="preserve"> </w:t>
            </w:r>
            <w:proofErr w:type="spellStart"/>
            <w:r w:rsidRPr="00AC2323">
              <w:rPr>
                <w:color w:val="000000" w:themeColor="text1"/>
                <w:sz w:val="24"/>
                <w:szCs w:val="24"/>
              </w:rPr>
              <w:t>концертні</w:t>
            </w:r>
            <w:proofErr w:type="spellEnd"/>
            <w:r w:rsidRPr="00AC2323">
              <w:rPr>
                <w:color w:val="000000" w:themeColor="text1"/>
                <w:sz w:val="24"/>
                <w:szCs w:val="24"/>
              </w:rPr>
              <w:t xml:space="preserve"> </w:t>
            </w:r>
            <w:proofErr w:type="spellStart"/>
            <w:r w:rsidRPr="00AC2323">
              <w:rPr>
                <w:color w:val="000000" w:themeColor="text1"/>
                <w:sz w:val="24"/>
                <w:szCs w:val="24"/>
              </w:rPr>
              <w:t>програми</w:t>
            </w:r>
            <w:proofErr w:type="spellEnd"/>
            <w:r w:rsidRPr="00AC2323">
              <w:rPr>
                <w:color w:val="000000" w:themeColor="text1"/>
                <w:sz w:val="24"/>
                <w:szCs w:val="24"/>
              </w:rPr>
              <w:t xml:space="preserve"> та </w:t>
            </w:r>
            <w:proofErr w:type="spellStart"/>
            <w:r w:rsidRPr="00AC2323">
              <w:rPr>
                <w:color w:val="000000" w:themeColor="text1"/>
                <w:sz w:val="24"/>
                <w:szCs w:val="24"/>
              </w:rPr>
              <w:t>випускники</w:t>
            </w:r>
            <w:proofErr w:type="spellEnd"/>
          </w:p>
        </w:tc>
      </w:tr>
      <w:tr w:rsidR="00AC499C" w:rsidRPr="00AC2323" w:rsidTr="00BC11BA">
        <w:trPr>
          <w:trHeight w:val="320"/>
        </w:trPr>
        <w:tc>
          <w:tcPr>
            <w:tcW w:w="2174" w:type="dxa"/>
            <w:noWrap/>
            <w:hideMark/>
          </w:tcPr>
          <w:p w:rsidR="00AC499C" w:rsidRPr="00AC2323" w:rsidRDefault="00A25FBC" w:rsidP="00524DBF">
            <w:pPr>
              <w:tabs>
                <w:tab w:val="left" w:pos="1134"/>
              </w:tabs>
              <w:ind w:left="23" w:right="157"/>
              <w:jc w:val="left"/>
              <w:rPr>
                <w:color w:val="000000" w:themeColor="text1"/>
                <w:sz w:val="24"/>
                <w:szCs w:val="24"/>
              </w:rPr>
            </w:pPr>
            <w:proofErr w:type="spellStart"/>
            <w:r w:rsidRPr="00A25FBC">
              <w:rPr>
                <w:color w:val="000000" w:themeColor="text1"/>
                <w:sz w:val="22"/>
                <w:szCs w:val="22"/>
              </w:rPr>
              <w:t>ПрАТ</w:t>
            </w:r>
            <w:proofErr w:type="spellEnd"/>
            <w:r w:rsidRPr="00A25FBC">
              <w:rPr>
                <w:color w:val="000000" w:themeColor="text1"/>
                <w:sz w:val="22"/>
                <w:szCs w:val="22"/>
              </w:rPr>
              <w:t xml:space="preserve"> </w:t>
            </w:r>
            <w:r w:rsidR="00782208" w:rsidRPr="00972591">
              <w:rPr>
                <w:color w:val="000000" w:themeColor="text1"/>
                <w:sz w:val="24"/>
                <w:szCs w:val="24"/>
              </w:rPr>
              <w:t>«</w:t>
            </w:r>
            <w:proofErr w:type="spellStart"/>
            <w:r w:rsidR="00782208" w:rsidRPr="00972591">
              <w:rPr>
                <w:color w:val="000000" w:themeColor="text1"/>
                <w:sz w:val="24"/>
                <w:szCs w:val="24"/>
              </w:rPr>
              <w:t>Сєвєродонецьке</w:t>
            </w:r>
            <w:proofErr w:type="spellEnd"/>
            <w:r w:rsidR="00782208" w:rsidRPr="00972591">
              <w:rPr>
                <w:color w:val="000000" w:themeColor="text1"/>
                <w:sz w:val="24"/>
                <w:szCs w:val="24"/>
              </w:rPr>
              <w:t xml:space="preserve"> </w:t>
            </w:r>
            <w:proofErr w:type="spellStart"/>
            <w:r w:rsidR="00782208" w:rsidRPr="00972591">
              <w:rPr>
                <w:color w:val="000000" w:themeColor="text1"/>
                <w:sz w:val="24"/>
                <w:szCs w:val="24"/>
              </w:rPr>
              <w:t>об</w:t>
            </w:r>
            <w:r w:rsidR="00782208">
              <w:rPr>
                <w:color w:val="000000" w:themeColor="text1"/>
                <w:sz w:val="24"/>
                <w:szCs w:val="24"/>
              </w:rPr>
              <w:t>'</w:t>
            </w:r>
            <w:r w:rsidR="00782208" w:rsidRPr="00972591">
              <w:rPr>
                <w:color w:val="000000" w:themeColor="text1"/>
                <w:sz w:val="24"/>
                <w:szCs w:val="24"/>
              </w:rPr>
              <w:t>єднання</w:t>
            </w:r>
            <w:proofErr w:type="spellEnd"/>
            <w:r w:rsidR="00782208" w:rsidRPr="00972591">
              <w:rPr>
                <w:color w:val="000000" w:themeColor="text1"/>
                <w:sz w:val="24"/>
                <w:szCs w:val="24"/>
              </w:rPr>
              <w:t xml:space="preserve"> «Азот»»</w:t>
            </w:r>
          </w:p>
        </w:tc>
        <w:tc>
          <w:tcPr>
            <w:tcW w:w="6898" w:type="dxa"/>
            <w:noWrap/>
            <w:hideMark/>
          </w:tcPr>
          <w:p w:rsidR="00AC499C" w:rsidRPr="00AC2323" w:rsidRDefault="00AC499C" w:rsidP="00524DBF">
            <w:pPr>
              <w:tabs>
                <w:tab w:val="left" w:pos="1134"/>
              </w:tabs>
              <w:ind w:left="23" w:right="157"/>
              <w:jc w:val="left"/>
              <w:rPr>
                <w:color w:val="000000" w:themeColor="text1"/>
                <w:sz w:val="24"/>
                <w:szCs w:val="24"/>
              </w:rPr>
            </w:pPr>
            <w:r w:rsidRPr="00AC2323">
              <w:rPr>
                <w:color w:val="000000" w:themeColor="text1"/>
                <w:sz w:val="24"/>
                <w:szCs w:val="24"/>
              </w:rPr>
              <w:t xml:space="preserve">без </w:t>
            </w:r>
            <w:proofErr w:type="spellStart"/>
            <w:r w:rsidRPr="00AC2323">
              <w:rPr>
                <w:color w:val="000000" w:themeColor="text1"/>
                <w:sz w:val="24"/>
                <w:szCs w:val="24"/>
              </w:rPr>
              <w:t>нього</w:t>
            </w:r>
            <w:proofErr w:type="spellEnd"/>
            <w:r w:rsidRPr="00AC2323">
              <w:rPr>
                <w:color w:val="000000" w:themeColor="text1"/>
                <w:sz w:val="24"/>
                <w:szCs w:val="24"/>
              </w:rPr>
              <w:t xml:space="preserve"> не </w:t>
            </w:r>
            <w:proofErr w:type="spellStart"/>
            <w:r w:rsidRPr="00AC2323">
              <w:rPr>
                <w:color w:val="000000" w:themeColor="text1"/>
                <w:sz w:val="24"/>
                <w:szCs w:val="24"/>
              </w:rPr>
              <w:t>було</w:t>
            </w:r>
            <w:proofErr w:type="spellEnd"/>
            <w:r w:rsidRPr="00AC2323">
              <w:rPr>
                <w:color w:val="000000" w:themeColor="text1"/>
                <w:sz w:val="24"/>
                <w:szCs w:val="24"/>
              </w:rPr>
              <w:t xml:space="preserve"> б </w:t>
            </w:r>
            <w:proofErr w:type="spellStart"/>
            <w:r w:rsidRPr="00AC2323">
              <w:rPr>
                <w:color w:val="000000" w:themeColor="text1"/>
                <w:sz w:val="24"/>
                <w:szCs w:val="24"/>
              </w:rPr>
              <w:t>міста</w:t>
            </w:r>
            <w:proofErr w:type="spellEnd"/>
            <w:r w:rsidRPr="00AC2323">
              <w:rPr>
                <w:color w:val="000000" w:themeColor="text1"/>
                <w:sz w:val="24"/>
                <w:szCs w:val="24"/>
              </w:rPr>
              <w:t xml:space="preserve">; </w:t>
            </w:r>
            <w:proofErr w:type="spellStart"/>
            <w:r w:rsidRPr="00AC2323">
              <w:rPr>
                <w:color w:val="000000" w:themeColor="text1"/>
                <w:sz w:val="24"/>
                <w:szCs w:val="24"/>
              </w:rPr>
              <w:t>податки</w:t>
            </w:r>
            <w:proofErr w:type="spellEnd"/>
            <w:r w:rsidRPr="00AC2323">
              <w:rPr>
                <w:color w:val="000000" w:themeColor="text1"/>
                <w:sz w:val="24"/>
                <w:szCs w:val="24"/>
              </w:rPr>
              <w:t xml:space="preserve">, </w:t>
            </w:r>
            <w:proofErr w:type="spellStart"/>
            <w:r w:rsidRPr="00AC2323">
              <w:rPr>
                <w:color w:val="000000" w:themeColor="text1"/>
                <w:sz w:val="24"/>
                <w:szCs w:val="24"/>
              </w:rPr>
              <w:t>працевлаштування</w:t>
            </w:r>
            <w:proofErr w:type="spellEnd"/>
            <w:r w:rsidRPr="00AC2323">
              <w:rPr>
                <w:color w:val="000000" w:themeColor="text1"/>
                <w:sz w:val="24"/>
                <w:szCs w:val="24"/>
              </w:rPr>
              <w:t xml:space="preserve">; </w:t>
            </w:r>
            <w:proofErr w:type="spellStart"/>
            <w:r w:rsidRPr="00AC2323">
              <w:rPr>
                <w:color w:val="000000" w:themeColor="text1"/>
                <w:sz w:val="24"/>
                <w:szCs w:val="24"/>
              </w:rPr>
              <w:t>серце</w:t>
            </w:r>
            <w:proofErr w:type="spellEnd"/>
            <w:r w:rsidRPr="00AC2323">
              <w:rPr>
                <w:color w:val="000000" w:themeColor="text1"/>
                <w:sz w:val="24"/>
                <w:szCs w:val="24"/>
              </w:rPr>
              <w:t xml:space="preserve"> </w:t>
            </w:r>
            <w:proofErr w:type="spellStart"/>
            <w:r w:rsidRPr="00AC2323">
              <w:rPr>
                <w:color w:val="000000" w:themeColor="text1"/>
                <w:sz w:val="24"/>
                <w:szCs w:val="24"/>
              </w:rPr>
              <w:t>міста</w:t>
            </w:r>
            <w:proofErr w:type="spellEnd"/>
            <w:r w:rsidRPr="00AC2323">
              <w:rPr>
                <w:color w:val="000000" w:themeColor="text1"/>
                <w:sz w:val="24"/>
                <w:szCs w:val="24"/>
              </w:rPr>
              <w:t xml:space="preserve">; </w:t>
            </w:r>
            <w:proofErr w:type="spellStart"/>
            <w:r w:rsidRPr="00AC2323">
              <w:rPr>
                <w:color w:val="000000" w:themeColor="text1"/>
                <w:sz w:val="24"/>
                <w:szCs w:val="24"/>
              </w:rPr>
              <w:t>містоутворююче</w:t>
            </w:r>
            <w:proofErr w:type="spellEnd"/>
            <w:r w:rsidRPr="00AC2323">
              <w:rPr>
                <w:color w:val="000000" w:themeColor="text1"/>
                <w:sz w:val="24"/>
                <w:szCs w:val="24"/>
              </w:rPr>
              <w:t xml:space="preserve"> </w:t>
            </w:r>
            <w:proofErr w:type="spellStart"/>
            <w:r w:rsidRPr="00AC2323">
              <w:rPr>
                <w:color w:val="000000" w:themeColor="text1"/>
                <w:sz w:val="24"/>
                <w:szCs w:val="24"/>
              </w:rPr>
              <w:t>підприємство</w:t>
            </w:r>
            <w:proofErr w:type="spellEnd"/>
          </w:p>
        </w:tc>
      </w:tr>
      <w:tr w:rsidR="00AC499C" w:rsidRPr="00AC2323" w:rsidTr="00BC11BA">
        <w:trPr>
          <w:trHeight w:val="320"/>
        </w:trPr>
        <w:tc>
          <w:tcPr>
            <w:tcW w:w="2174" w:type="dxa"/>
            <w:noWrap/>
            <w:hideMark/>
          </w:tcPr>
          <w:p w:rsidR="00AC499C" w:rsidRPr="00782208" w:rsidRDefault="00782208" w:rsidP="00524DBF">
            <w:pPr>
              <w:tabs>
                <w:tab w:val="left" w:pos="1134"/>
              </w:tabs>
              <w:ind w:left="23" w:right="157"/>
              <w:jc w:val="left"/>
              <w:rPr>
                <w:color w:val="000000" w:themeColor="text1"/>
                <w:sz w:val="24"/>
                <w:szCs w:val="24"/>
              </w:rPr>
            </w:pPr>
            <w:proofErr w:type="spellStart"/>
            <w:r w:rsidRPr="00782208">
              <w:rPr>
                <w:color w:val="000000" w:themeColor="text1"/>
                <w:sz w:val="24"/>
                <w:szCs w:val="24"/>
              </w:rPr>
              <w:t>Луганський</w:t>
            </w:r>
            <w:proofErr w:type="spellEnd"/>
            <w:r w:rsidRPr="00782208">
              <w:rPr>
                <w:color w:val="000000" w:themeColor="text1"/>
                <w:sz w:val="24"/>
                <w:szCs w:val="24"/>
              </w:rPr>
              <w:t xml:space="preserve"> </w:t>
            </w:r>
            <w:proofErr w:type="spellStart"/>
            <w:r w:rsidRPr="00782208">
              <w:rPr>
                <w:color w:val="000000" w:themeColor="text1"/>
                <w:sz w:val="24"/>
                <w:szCs w:val="24"/>
              </w:rPr>
              <w:t>обласний</w:t>
            </w:r>
            <w:proofErr w:type="spellEnd"/>
            <w:r w:rsidRPr="00782208">
              <w:rPr>
                <w:color w:val="000000" w:themeColor="text1"/>
                <w:sz w:val="24"/>
                <w:szCs w:val="24"/>
              </w:rPr>
              <w:t xml:space="preserve"> </w:t>
            </w:r>
            <w:proofErr w:type="spellStart"/>
            <w:r w:rsidRPr="00782208">
              <w:rPr>
                <w:color w:val="000000" w:themeColor="text1"/>
                <w:sz w:val="24"/>
                <w:szCs w:val="24"/>
              </w:rPr>
              <w:t>академічний</w:t>
            </w:r>
            <w:proofErr w:type="spellEnd"/>
            <w:r w:rsidRPr="00782208">
              <w:rPr>
                <w:color w:val="000000" w:themeColor="text1"/>
                <w:sz w:val="24"/>
                <w:szCs w:val="24"/>
              </w:rPr>
              <w:t xml:space="preserve"> </w:t>
            </w:r>
            <w:proofErr w:type="spellStart"/>
            <w:r w:rsidRPr="00782208">
              <w:rPr>
                <w:color w:val="000000" w:themeColor="text1"/>
                <w:sz w:val="24"/>
                <w:szCs w:val="24"/>
              </w:rPr>
              <w:t>український</w:t>
            </w:r>
            <w:proofErr w:type="spellEnd"/>
            <w:r w:rsidRPr="00782208">
              <w:rPr>
                <w:color w:val="000000" w:themeColor="text1"/>
                <w:sz w:val="24"/>
                <w:szCs w:val="24"/>
              </w:rPr>
              <w:t xml:space="preserve"> </w:t>
            </w:r>
            <w:proofErr w:type="spellStart"/>
            <w:r w:rsidRPr="00782208">
              <w:rPr>
                <w:color w:val="000000" w:themeColor="text1"/>
                <w:sz w:val="24"/>
                <w:szCs w:val="24"/>
              </w:rPr>
              <w:t>музично-</w:t>
            </w:r>
            <w:r w:rsidRPr="00782208">
              <w:rPr>
                <w:color w:val="000000" w:themeColor="text1"/>
                <w:sz w:val="24"/>
                <w:szCs w:val="24"/>
              </w:rPr>
              <w:lastRenderedPageBreak/>
              <w:t>драматичний</w:t>
            </w:r>
            <w:proofErr w:type="spellEnd"/>
            <w:r w:rsidRPr="00782208">
              <w:rPr>
                <w:color w:val="000000" w:themeColor="text1"/>
                <w:sz w:val="24"/>
                <w:szCs w:val="24"/>
              </w:rPr>
              <w:t xml:space="preserve"> театр</w:t>
            </w:r>
          </w:p>
        </w:tc>
        <w:tc>
          <w:tcPr>
            <w:tcW w:w="6898" w:type="dxa"/>
            <w:noWrap/>
            <w:hideMark/>
          </w:tcPr>
          <w:p w:rsidR="00AC499C" w:rsidRPr="00AC2323" w:rsidRDefault="00AC499C" w:rsidP="00524DBF">
            <w:pPr>
              <w:tabs>
                <w:tab w:val="left" w:pos="1134"/>
              </w:tabs>
              <w:ind w:left="23" w:right="157"/>
              <w:jc w:val="left"/>
              <w:rPr>
                <w:color w:val="000000" w:themeColor="text1"/>
                <w:sz w:val="24"/>
                <w:szCs w:val="24"/>
              </w:rPr>
            </w:pPr>
            <w:proofErr w:type="spellStart"/>
            <w:r w:rsidRPr="00AC2323">
              <w:rPr>
                <w:color w:val="000000" w:themeColor="text1"/>
                <w:sz w:val="24"/>
                <w:szCs w:val="24"/>
              </w:rPr>
              <w:lastRenderedPageBreak/>
              <w:t>талановиті</w:t>
            </w:r>
            <w:proofErr w:type="spellEnd"/>
            <w:r w:rsidRPr="00AC2323">
              <w:rPr>
                <w:color w:val="000000" w:themeColor="text1"/>
                <w:sz w:val="24"/>
                <w:szCs w:val="24"/>
              </w:rPr>
              <w:t xml:space="preserve"> </w:t>
            </w:r>
            <w:proofErr w:type="spellStart"/>
            <w:r w:rsidRPr="00AC2323">
              <w:rPr>
                <w:color w:val="000000" w:themeColor="text1"/>
                <w:sz w:val="24"/>
                <w:szCs w:val="24"/>
              </w:rPr>
              <w:t>артисти</w:t>
            </w:r>
            <w:proofErr w:type="spellEnd"/>
            <w:r w:rsidRPr="00AC2323">
              <w:rPr>
                <w:color w:val="000000" w:themeColor="text1"/>
                <w:sz w:val="24"/>
                <w:szCs w:val="24"/>
              </w:rPr>
              <w:t xml:space="preserve">, </w:t>
            </w:r>
            <w:proofErr w:type="spellStart"/>
            <w:r w:rsidRPr="00AC2323">
              <w:rPr>
                <w:color w:val="000000" w:themeColor="text1"/>
                <w:sz w:val="24"/>
                <w:szCs w:val="24"/>
              </w:rPr>
              <w:t>місце</w:t>
            </w:r>
            <w:proofErr w:type="spellEnd"/>
            <w:r w:rsidR="00645B79">
              <w:rPr>
                <w:color w:val="000000" w:themeColor="text1"/>
                <w:sz w:val="24"/>
                <w:szCs w:val="24"/>
              </w:rPr>
              <w:t>,</w:t>
            </w:r>
            <w:r w:rsidRPr="00AC2323">
              <w:rPr>
                <w:color w:val="000000" w:themeColor="text1"/>
                <w:sz w:val="24"/>
                <w:szCs w:val="24"/>
              </w:rPr>
              <w:t xml:space="preserve"> де </w:t>
            </w:r>
            <w:proofErr w:type="spellStart"/>
            <w:r w:rsidRPr="00AC2323">
              <w:rPr>
                <w:color w:val="000000" w:themeColor="text1"/>
                <w:sz w:val="24"/>
                <w:szCs w:val="24"/>
              </w:rPr>
              <w:t>можна</w:t>
            </w:r>
            <w:proofErr w:type="spellEnd"/>
            <w:r w:rsidRPr="00AC2323">
              <w:rPr>
                <w:color w:val="000000" w:themeColor="text1"/>
                <w:sz w:val="24"/>
                <w:szCs w:val="24"/>
              </w:rPr>
              <w:t xml:space="preserve"> </w:t>
            </w:r>
            <w:proofErr w:type="spellStart"/>
            <w:r w:rsidRPr="00AC2323">
              <w:rPr>
                <w:color w:val="000000" w:themeColor="text1"/>
                <w:sz w:val="24"/>
                <w:szCs w:val="24"/>
              </w:rPr>
              <w:t>було</w:t>
            </w:r>
            <w:proofErr w:type="spellEnd"/>
            <w:r w:rsidRPr="00AC2323">
              <w:rPr>
                <w:color w:val="000000" w:themeColor="text1"/>
                <w:sz w:val="24"/>
                <w:szCs w:val="24"/>
              </w:rPr>
              <w:t xml:space="preserve"> </w:t>
            </w:r>
            <w:proofErr w:type="spellStart"/>
            <w:r w:rsidRPr="00AC2323">
              <w:rPr>
                <w:color w:val="000000" w:themeColor="text1"/>
                <w:sz w:val="24"/>
                <w:szCs w:val="24"/>
              </w:rPr>
              <w:t>відпочити</w:t>
            </w:r>
            <w:proofErr w:type="spellEnd"/>
          </w:p>
        </w:tc>
      </w:tr>
    </w:tbl>
    <w:p w:rsidR="00AC499C" w:rsidRDefault="00AC499C" w:rsidP="00AC499C">
      <w:pPr>
        <w:tabs>
          <w:tab w:val="left" w:pos="1134"/>
        </w:tabs>
        <w:ind w:left="709"/>
        <w:rPr>
          <w:color w:val="FF0000"/>
        </w:rPr>
      </w:pPr>
    </w:p>
    <w:p w:rsidR="00AC499C" w:rsidRPr="007D200E" w:rsidRDefault="00645B79" w:rsidP="006D08A9">
      <w:pPr>
        <w:tabs>
          <w:tab w:val="left" w:pos="1134"/>
        </w:tabs>
        <w:rPr>
          <w:color w:val="000000" w:themeColor="text1"/>
        </w:rPr>
      </w:pPr>
      <w:r>
        <w:rPr>
          <w:color w:val="000000" w:themeColor="text1"/>
        </w:rPr>
        <w:tab/>
      </w:r>
      <w:r w:rsidR="00AC499C" w:rsidRPr="007D200E">
        <w:rPr>
          <w:color w:val="000000" w:themeColor="text1"/>
        </w:rPr>
        <w:t>При розмірковуванні щодо символів</w:t>
      </w:r>
      <w:r w:rsidR="001D209C">
        <w:rPr>
          <w:color w:val="000000" w:themeColor="text1"/>
        </w:rPr>
        <w:t>,</w:t>
      </w:r>
      <w:r w:rsidR="00AC499C" w:rsidRPr="007D200E">
        <w:rPr>
          <w:color w:val="000000" w:themeColor="text1"/>
        </w:rPr>
        <w:t xml:space="preserve"> без яких неможливо бу</w:t>
      </w:r>
      <w:r w:rsidR="00AC499C">
        <w:rPr>
          <w:color w:val="000000" w:themeColor="text1"/>
        </w:rPr>
        <w:t>де</w:t>
      </w:r>
      <w:r w:rsidR="00AC499C" w:rsidRPr="007D200E">
        <w:rPr>
          <w:color w:val="000000" w:themeColor="text1"/>
        </w:rPr>
        <w:t xml:space="preserve"> уявити місто </w:t>
      </w:r>
      <w:r w:rsidR="00AC499C">
        <w:rPr>
          <w:color w:val="000000" w:themeColor="text1"/>
        </w:rPr>
        <w:t>в майбутньому</w:t>
      </w:r>
      <w:r w:rsidR="00AC499C" w:rsidRPr="007D200E">
        <w:rPr>
          <w:color w:val="000000" w:themeColor="text1"/>
        </w:rPr>
        <w:t xml:space="preserve">, лідерські позиції </w:t>
      </w:r>
      <w:r w:rsidR="00AC499C">
        <w:rPr>
          <w:color w:val="000000" w:themeColor="text1"/>
        </w:rPr>
        <w:t>зберегли</w:t>
      </w:r>
      <w:r w:rsidR="00AC499C" w:rsidRPr="007D200E">
        <w:rPr>
          <w:color w:val="000000" w:themeColor="text1"/>
        </w:rPr>
        <w:t xml:space="preserve"> Льодовий палац </w:t>
      </w:r>
      <w:r w:rsidR="009218AC">
        <w:rPr>
          <w:color w:val="000000" w:themeColor="text1"/>
        </w:rPr>
        <w:t>спорту</w:t>
      </w:r>
      <w:r w:rsidR="00AC499C" w:rsidRPr="007D200E">
        <w:rPr>
          <w:color w:val="000000" w:themeColor="text1"/>
        </w:rPr>
        <w:t>– 2</w:t>
      </w:r>
      <w:r w:rsidR="00AC499C">
        <w:rPr>
          <w:color w:val="000000" w:themeColor="text1"/>
        </w:rPr>
        <w:t>27</w:t>
      </w:r>
      <w:r w:rsidR="006D08A9">
        <w:rPr>
          <w:color w:val="000000" w:themeColor="text1"/>
        </w:rPr>
        <w:t xml:space="preserve"> відповідей</w:t>
      </w:r>
      <w:r w:rsidR="006D08A9" w:rsidRPr="006D08A9">
        <w:rPr>
          <w:color w:val="000000" w:themeColor="text1"/>
        </w:rPr>
        <w:t xml:space="preserve"> </w:t>
      </w:r>
      <w:r w:rsidR="00AC499C">
        <w:rPr>
          <w:color w:val="000000" w:themeColor="text1"/>
        </w:rPr>
        <w:t xml:space="preserve">та </w:t>
      </w:r>
      <w:r w:rsidR="003A0591">
        <w:rPr>
          <w:color w:val="000000" w:themeColor="text1"/>
        </w:rPr>
        <w:t>ПрАТ</w:t>
      </w:r>
      <w:r w:rsidR="003A0591" w:rsidRPr="009218AC">
        <w:rPr>
          <w:color w:val="000000" w:themeColor="text1"/>
        </w:rPr>
        <w:t xml:space="preserve"> </w:t>
      </w:r>
      <w:r w:rsidR="009218AC" w:rsidRPr="009218AC">
        <w:rPr>
          <w:color w:val="000000" w:themeColor="text1"/>
        </w:rPr>
        <w:t>«Сєвєродонецьке об'єднання «Азот»</w:t>
      </w:r>
      <w:r w:rsidR="009218AC" w:rsidRPr="00972591">
        <w:rPr>
          <w:color w:val="000000" w:themeColor="text1"/>
          <w:sz w:val="24"/>
          <w:szCs w:val="24"/>
        </w:rPr>
        <w:t>»</w:t>
      </w:r>
      <w:r w:rsidR="00AC499C" w:rsidRPr="007D200E">
        <w:rPr>
          <w:color w:val="000000" w:themeColor="text1"/>
        </w:rPr>
        <w:t xml:space="preserve">– </w:t>
      </w:r>
      <w:r w:rsidR="00AC499C">
        <w:rPr>
          <w:color w:val="000000" w:themeColor="text1"/>
        </w:rPr>
        <w:t>193</w:t>
      </w:r>
      <w:r w:rsidR="00AC499C" w:rsidRPr="007D200E">
        <w:rPr>
          <w:color w:val="000000" w:themeColor="text1"/>
        </w:rPr>
        <w:t xml:space="preserve"> відповід</w:t>
      </w:r>
      <w:r w:rsidR="001D209C">
        <w:rPr>
          <w:color w:val="000000" w:themeColor="text1"/>
        </w:rPr>
        <w:t>і</w:t>
      </w:r>
      <w:r w:rsidR="00AC499C">
        <w:rPr>
          <w:color w:val="000000" w:themeColor="text1"/>
        </w:rPr>
        <w:t>. Проте 218 респондентів зазначили, що такими символами мають стати парки та сквери.</w:t>
      </w:r>
    </w:p>
    <w:p w:rsidR="00AC499C" w:rsidRDefault="00AC499C" w:rsidP="00AC499C">
      <w:pPr>
        <w:tabs>
          <w:tab w:val="left" w:pos="1134"/>
        </w:tabs>
        <w:ind w:left="709"/>
        <w:rPr>
          <w:color w:val="FF0000"/>
        </w:rPr>
      </w:pPr>
    </w:p>
    <w:p w:rsidR="00AC499C" w:rsidRDefault="00AC499C" w:rsidP="00AC499C">
      <w:pPr>
        <w:tabs>
          <w:tab w:val="left" w:pos="1134"/>
        </w:tabs>
        <w:ind w:left="709"/>
        <w:jc w:val="center"/>
        <w:rPr>
          <w:color w:val="FF0000"/>
        </w:rPr>
      </w:pPr>
      <w:r>
        <w:rPr>
          <w:noProof/>
          <w:lang w:eastAsia="uk-UA"/>
        </w:rPr>
        <w:drawing>
          <wp:inline distT="0" distB="0" distL="0" distR="0">
            <wp:extent cx="2887445" cy="1735667"/>
            <wp:effectExtent l="0" t="0" r="0" b="4445"/>
            <wp:docPr id="4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2897223" cy="1741545"/>
                    </a:xfrm>
                    <a:prstGeom prst="rect">
                      <a:avLst/>
                    </a:prstGeom>
                  </pic:spPr>
                </pic:pic>
              </a:graphicData>
            </a:graphic>
          </wp:inline>
        </w:drawing>
      </w:r>
    </w:p>
    <w:p w:rsidR="00AC499C" w:rsidRDefault="00AC499C" w:rsidP="00AC499C">
      <w:pPr>
        <w:tabs>
          <w:tab w:val="left" w:pos="1134"/>
        </w:tabs>
        <w:ind w:left="709"/>
        <w:rPr>
          <w:color w:val="FF0000"/>
        </w:rPr>
      </w:pPr>
    </w:p>
    <w:p w:rsidR="00AC499C" w:rsidRPr="007D200E" w:rsidRDefault="00AC499C" w:rsidP="006D08A9">
      <w:pPr>
        <w:tabs>
          <w:tab w:val="left" w:pos="1134"/>
        </w:tabs>
        <w:rPr>
          <w:color w:val="000000" w:themeColor="text1"/>
        </w:rPr>
      </w:pPr>
      <w:r>
        <w:rPr>
          <w:color w:val="000000" w:themeColor="text1"/>
        </w:rPr>
        <w:t>У цьому випадку аргументація була наступною</w:t>
      </w:r>
      <w:r w:rsidRPr="007D200E">
        <w:rPr>
          <w:color w:val="000000" w:themeColor="text1"/>
        </w:rPr>
        <w:t>.</w:t>
      </w:r>
    </w:p>
    <w:p w:rsidR="00AC499C" w:rsidRDefault="00AC499C" w:rsidP="00AC499C">
      <w:pPr>
        <w:tabs>
          <w:tab w:val="left" w:pos="1134"/>
        </w:tabs>
        <w:ind w:left="709"/>
        <w:rPr>
          <w:color w:val="FF0000"/>
        </w:rPr>
      </w:pPr>
    </w:p>
    <w:tbl>
      <w:tblPr>
        <w:tblStyle w:val="af"/>
        <w:tblW w:w="9072" w:type="dxa"/>
        <w:tblInd w:w="704" w:type="dxa"/>
        <w:tblLook w:val="04A0" w:firstRow="1" w:lastRow="0" w:firstColumn="1" w:lastColumn="0" w:noHBand="0" w:noVBand="1"/>
      </w:tblPr>
      <w:tblGrid>
        <w:gridCol w:w="2268"/>
        <w:gridCol w:w="6804"/>
      </w:tblGrid>
      <w:tr w:rsidR="00AC499C" w:rsidRPr="00AC2323" w:rsidTr="00524DBF">
        <w:trPr>
          <w:trHeight w:val="320"/>
        </w:trPr>
        <w:tc>
          <w:tcPr>
            <w:tcW w:w="2268" w:type="dxa"/>
            <w:noWrap/>
          </w:tcPr>
          <w:p w:rsidR="00AC499C" w:rsidRPr="00AC2323" w:rsidRDefault="00AC499C" w:rsidP="00524DBF">
            <w:pPr>
              <w:tabs>
                <w:tab w:val="left" w:pos="1134"/>
              </w:tabs>
              <w:ind w:left="23" w:right="157"/>
              <w:jc w:val="center"/>
              <w:rPr>
                <w:b/>
                <w:bCs/>
                <w:color w:val="000000" w:themeColor="text1"/>
                <w:sz w:val="24"/>
                <w:szCs w:val="24"/>
              </w:rPr>
            </w:pPr>
            <w:r w:rsidRPr="00AC2323">
              <w:rPr>
                <w:b/>
                <w:bCs/>
                <w:color w:val="000000" w:themeColor="text1"/>
                <w:sz w:val="24"/>
                <w:szCs w:val="24"/>
              </w:rPr>
              <w:t>Символ</w:t>
            </w:r>
          </w:p>
        </w:tc>
        <w:tc>
          <w:tcPr>
            <w:tcW w:w="6804" w:type="dxa"/>
            <w:noWrap/>
          </w:tcPr>
          <w:p w:rsidR="00AC499C" w:rsidRPr="00AC2323" w:rsidRDefault="00AC499C" w:rsidP="00524DBF">
            <w:pPr>
              <w:tabs>
                <w:tab w:val="left" w:pos="1134"/>
              </w:tabs>
              <w:ind w:left="23" w:right="157"/>
              <w:jc w:val="center"/>
              <w:rPr>
                <w:b/>
                <w:bCs/>
                <w:color w:val="000000" w:themeColor="text1"/>
                <w:sz w:val="24"/>
                <w:szCs w:val="24"/>
              </w:rPr>
            </w:pPr>
            <w:proofErr w:type="spellStart"/>
            <w:r w:rsidRPr="00AC2323">
              <w:rPr>
                <w:b/>
                <w:bCs/>
                <w:color w:val="000000" w:themeColor="text1"/>
                <w:sz w:val="24"/>
                <w:szCs w:val="24"/>
              </w:rPr>
              <w:t>Обґрунтування</w:t>
            </w:r>
            <w:proofErr w:type="spellEnd"/>
          </w:p>
        </w:tc>
      </w:tr>
      <w:tr w:rsidR="00AC499C" w:rsidRPr="00AC2323" w:rsidTr="00524DBF">
        <w:trPr>
          <w:trHeight w:val="320"/>
        </w:trPr>
        <w:tc>
          <w:tcPr>
            <w:tcW w:w="2268" w:type="dxa"/>
            <w:noWrap/>
            <w:hideMark/>
          </w:tcPr>
          <w:p w:rsidR="00AC499C" w:rsidRPr="00AC2323" w:rsidRDefault="00AC499C" w:rsidP="00524DBF">
            <w:pPr>
              <w:tabs>
                <w:tab w:val="left" w:pos="1134"/>
              </w:tabs>
              <w:ind w:left="23" w:right="157"/>
              <w:jc w:val="left"/>
              <w:rPr>
                <w:color w:val="000000"/>
                <w:sz w:val="24"/>
                <w:szCs w:val="24"/>
              </w:rPr>
            </w:pPr>
            <w:proofErr w:type="spellStart"/>
            <w:r w:rsidRPr="00AC2323">
              <w:rPr>
                <w:color w:val="000000"/>
                <w:sz w:val="24"/>
                <w:szCs w:val="24"/>
              </w:rPr>
              <w:t>Льодовий</w:t>
            </w:r>
            <w:proofErr w:type="spellEnd"/>
            <w:r w:rsidRPr="00AC2323">
              <w:rPr>
                <w:color w:val="000000"/>
                <w:sz w:val="24"/>
                <w:szCs w:val="24"/>
              </w:rPr>
              <w:t xml:space="preserve"> палац</w:t>
            </w:r>
            <w:r w:rsidR="009218AC">
              <w:rPr>
                <w:color w:val="000000"/>
                <w:sz w:val="24"/>
                <w:szCs w:val="24"/>
              </w:rPr>
              <w:t xml:space="preserve"> спорту</w:t>
            </w:r>
          </w:p>
        </w:tc>
        <w:tc>
          <w:tcPr>
            <w:tcW w:w="6804" w:type="dxa"/>
            <w:noWrap/>
            <w:hideMark/>
          </w:tcPr>
          <w:p w:rsidR="00AC499C" w:rsidRPr="00AC2323" w:rsidRDefault="00AC499C" w:rsidP="00524DBF">
            <w:pPr>
              <w:tabs>
                <w:tab w:val="left" w:pos="1134"/>
              </w:tabs>
              <w:ind w:left="23" w:right="157"/>
              <w:jc w:val="left"/>
              <w:rPr>
                <w:color w:val="000000" w:themeColor="text1"/>
                <w:sz w:val="24"/>
                <w:szCs w:val="24"/>
              </w:rPr>
            </w:pPr>
            <w:proofErr w:type="spellStart"/>
            <w:r w:rsidRPr="00AC2323">
              <w:rPr>
                <w:color w:val="000000"/>
                <w:sz w:val="24"/>
                <w:szCs w:val="24"/>
              </w:rPr>
              <w:t>культурний</w:t>
            </w:r>
            <w:proofErr w:type="spellEnd"/>
            <w:r w:rsidRPr="00AC2323">
              <w:rPr>
                <w:color w:val="000000"/>
                <w:sz w:val="24"/>
                <w:szCs w:val="24"/>
              </w:rPr>
              <w:t xml:space="preserve"> та </w:t>
            </w:r>
            <w:proofErr w:type="spellStart"/>
            <w:r w:rsidRPr="00AC2323">
              <w:rPr>
                <w:color w:val="000000"/>
                <w:sz w:val="24"/>
                <w:szCs w:val="24"/>
              </w:rPr>
              <w:t>спортивний</w:t>
            </w:r>
            <w:proofErr w:type="spellEnd"/>
            <w:r w:rsidRPr="00AC2323">
              <w:rPr>
                <w:color w:val="000000"/>
                <w:sz w:val="24"/>
                <w:szCs w:val="24"/>
              </w:rPr>
              <w:t xml:space="preserve"> центр </w:t>
            </w:r>
            <w:proofErr w:type="spellStart"/>
            <w:r w:rsidRPr="00AC2323">
              <w:rPr>
                <w:color w:val="000000"/>
                <w:sz w:val="24"/>
                <w:szCs w:val="24"/>
              </w:rPr>
              <w:t>області</w:t>
            </w:r>
            <w:proofErr w:type="spellEnd"/>
            <w:r w:rsidRPr="00AC2323">
              <w:rPr>
                <w:color w:val="000000"/>
                <w:sz w:val="24"/>
                <w:szCs w:val="24"/>
              </w:rPr>
              <w:t xml:space="preserve">, </w:t>
            </w:r>
            <w:proofErr w:type="spellStart"/>
            <w:r w:rsidRPr="00AC2323">
              <w:rPr>
                <w:color w:val="000000"/>
                <w:sz w:val="24"/>
                <w:szCs w:val="24"/>
              </w:rPr>
              <w:t>місце</w:t>
            </w:r>
            <w:proofErr w:type="spellEnd"/>
            <w:r w:rsidRPr="00AC2323">
              <w:rPr>
                <w:color w:val="000000"/>
                <w:sz w:val="24"/>
                <w:szCs w:val="24"/>
              </w:rPr>
              <w:t xml:space="preserve"> </w:t>
            </w:r>
            <w:proofErr w:type="spellStart"/>
            <w:r w:rsidRPr="00AC2323">
              <w:rPr>
                <w:color w:val="000000"/>
                <w:sz w:val="24"/>
                <w:szCs w:val="24"/>
              </w:rPr>
              <w:t>відпочинку</w:t>
            </w:r>
            <w:proofErr w:type="spellEnd"/>
            <w:r w:rsidRPr="00AC2323">
              <w:rPr>
                <w:color w:val="000000"/>
                <w:sz w:val="24"/>
                <w:szCs w:val="24"/>
              </w:rPr>
              <w:t xml:space="preserve">, </w:t>
            </w:r>
            <w:proofErr w:type="spellStart"/>
            <w:r w:rsidRPr="00AC2323">
              <w:rPr>
                <w:color w:val="000000"/>
                <w:sz w:val="24"/>
                <w:szCs w:val="24"/>
              </w:rPr>
              <w:t>розвитку</w:t>
            </w:r>
            <w:proofErr w:type="spellEnd"/>
            <w:r w:rsidRPr="00AC2323">
              <w:rPr>
                <w:color w:val="000000"/>
                <w:sz w:val="24"/>
                <w:szCs w:val="24"/>
              </w:rPr>
              <w:t xml:space="preserve"> спорту та </w:t>
            </w:r>
            <w:proofErr w:type="spellStart"/>
            <w:r w:rsidRPr="00AC2323">
              <w:rPr>
                <w:color w:val="000000"/>
                <w:sz w:val="24"/>
                <w:szCs w:val="24"/>
              </w:rPr>
              <w:t>культури</w:t>
            </w:r>
            <w:proofErr w:type="spellEnd"/>
          </w:p>
        </w:tc>
      </w:tr>
      <w:tr w:rsidR="00AC499C" w:rsidRPr="00AC2323" w:rsidTr="00524DBF">
        <w:trPr>
          <w:trHeight w:val="320"/>
        </w:trPr>
        <w:tc>
          <w:tcPr>
            <w:tcW w:w="2268" w:type="dxa"/>
            <w:noWrap/>
            <w:hideMark/>
          </w:tcPr>
          <w:p w:rsidR="00AC499C" w:rsidRPr="00AC2323" w:rsidRDefault="00AC499C" w:rsidP="00524DBF">
            <w:pPr>
              <w:tabs>
                <w:tab w:val="left" w:pos="1134"/>
              </w:tabs>
              <w:ind w:left="23" w:right="157"/>
              <w:jc w:val="left"/>
              <w:rPr>
                <w:color w:val="000000"/>
                <w:sz w:val="24"/>
                <w:szCs w:val="24"/>
              </w:rPr>
            </w:pPr>
            <w:r w:rsidRPr="00AC2323">
              <w:rPr>
                <w:color w:val="000000"/>
                <w:sz w:val="24"/>
                <w:szCs w:val="24"/>
              </w:rPr>
              <w:t>Парки, озера</w:t>
            </w:r>
          </w:p>
        </w:tc>
        <w:tc>
          <w:tcPr>
            <w:tcW w:w="6804" w:type="dxa"/>
            <w:noWrap/>
            <w:hideMark/>
          </w:tcPr>
          <w:p w:rsidR="00AC499C" w:rsidRPr="00AC2323" w:rsidRDefault="00AC499C" w:rsidP="00524DBF">
            <w:pPr>
              <w:tabs>
                <w:tab w:val="left" w:pos="1134"/>
              </w:tabs>
              <w:ind w:left="23" w:right="157"/>
              <w:jc w:val="left"/>
              <w:rPr>
                <w:color w:val="000000" w:themeColor="text1"/>
                <w:sz w:val="24"/>
                <w:szCs w:val="24"/>
              </w:rPr>
            </w:pPr>
            <w:proofErr w:type="spellStart"/>
            <w:r w:rsidRPr="00AC2323">
              <w:rPr>
                <w:color w:val="000000"/>
                <w:sz w:val="24"/>
                <w:szCs w:val="24"/>
              </w:rPr>
              <w:t>місця</w:t>
            </w:r>
            <w:proofErr w:type="spellEnd"/>
            <w:r w:rsidRPr="00AC2323">
              <w:rPr>
                <w:color w:val="000000"/>
                <w:sz w:val="24"/>
                <w:szCs w:val="24"/>
              </w:rPr>
              <w:t xml:space="preserve"> для </w:t>
            </w:r>
            <w:proofErr w:type="spellStart"/>
            <w:r w:rsidRPr="00AC2323">
              <w:rPr>
                <w:color w:val="000000"/>
                <w:sz w:val="24"/>
                <w:szCs w:val="24"/>
              </w:rPr>
              <w:t>прогулянок</w:t>
            </w:r>
            <w:proofErr w:type="spellEnd"/>
          </w:p>
        </w:tc>
      </w:tr>
      <w:tr w:rsidR="00AC499C" w:rsidRPr="00AC2323" w:rsidTr="00524DBF">
        <w:trPr>
          <w:trHeight w:val="320"/>
        </w:trPr>
        <w:tc>
          <w:tcPr>
            <w:tcW w:w="2268" w:type="dxa"/>
            <w:noWrap/>
            <w:hideMark/>
          </w:tcPr>
          <w:p w:rsidR="00AC499C" w:rsidRPr="00AC2323" w:rsidRDefault="00770772" w:rsidP="00524DBF">
            <w:pPr>
              <w:tabs>
                <w:tab w:val="left" w:pos="1134"/>
              </w:tabs>
              <w:ind w:left="23" w:right="157"/>
              <w:jc w:val="left"/>
              <w:rPr>
                <w:color w:val="000000"/>
                <w:sz w:val="24"/>
                <w:szCs w:val="24"/>
              </w:rPr>
            </w:pPr>
            <w:proofErr w:type="spellStart"/>
            <w:r w:rsidRPr="00770772">
              <w:rPr>
                <w:color w:val="000000" w:themeColor="text1"/>
                <w:sz w:val="22"/>
                <w:szCs w:val="22"/>
              </w:rPr>
              <w:t>ПрАТ</w:t>
            </w:r>
            <w:proofErr w:type="spellEnd"/>
            <w:r w:rsidRPr="00770772">
              <w:rPr>
                <w:color w:val="000000" w:themeColor="text1"/>
                <w:sz w:val="22"/>
                <w:szCs w:val="22"/>
              </w:rPr>
              <w:t xml:space="preserve"> </w:t>
            </w:r>
            <w:r w:rsidR="009218AC" w:rsidRPr="00972591">
              <w:rPr>
                <w:color w:val="000000" w:themeColor="text1"/>
                <w:sz w:val="24"/>
                <w:szCs w:val="24"/>
              </w:rPr>
              <w:t>«</w:t>
            </w:r>
            <w:proofErr w:type="spellStart"/>
            <w:r w:rsidR="009218AC" w:rsidRPr="00972591">
              <w:rPr>
                <w:color w:val="000000" w:themeColor="text1"/>
                <w:sz w:val="24"/>
                <w:szCs w:val="24"/>
              </w:rPr>
              <w:t>Сєвєродонецьке</w:t>
            </w:r>
            <w:proofErr w:type="spellEnd"/>
            <w:r w:rsidR="009218AC" w:rsidRPr="00972591">
              <w:rPr>
                <w:color w:val="000000" w:themeColor="text1"/>
                <w:sz w:val="24"/>
                <w:szCs w:val="24"/>
              </w:rPr>
              <w:t xml:space="preserve"> </w:t>
            </w:r>
            <w:proofErr w:type="spellStart"/>
            <w:r w:rsidR="009218AC" w:rsidRPr="00972591">
              <w:rPr>
                <w:color w:val="000000" w:themeColor="text1"/>
                <w:sz w:val="24"/>
                <w:szCs w:val="24"/>
              </w:rPr>
              <w:t>об</w:t>
            </w:r>
            <w:r w:rsidR="009218AC">
              <w:rPr>
                <w:color w:val="000000" w:themeColor="text1"/>
                <w:sz w:val="24"/>
                <w:szCs w:val="24"/>
              </w:rPr>
              <w:t>'</w:t>
            </w:r>
            <w:r w:rsidR="009218AC" w:rsidRPr="00972591">
              <w:rPr>
                <w:color w:val="000000" w:themeColor="text1"/>
                <w:sz w:val="24"/>
                <w:szCs w:val="24"/>
              </w:rPr>
              <w:t>єднання</w:t>
            </w:r>
            <w:proofErr w:type="spellEnd"/>
            <w:r w:rsidR="009218AC" w:rsidRPr="00972591">
              <w:rPr>
                <w:color w:val="000000" w:themeColor="text1"/>
                <w:sz w:val="24"/>
                <w:szCs w:val="24"/>
              </w:rPr>
              <w:t xml:space="preserve"> «Азот»»</w:t>
            </w:r>
          </w:p>
        </w:tc>
        <w:tc>
          <w:tcPr>
            <w:tcW w:w="6804" w:type="dxa"/>
            <w:noWrap/>
            <w:hideMark/>
          </w:tcPr>
          <w:p w:rsidR="00AC499C" w:rsidRPr="00AC2323" w:rsidRDefault="00AC499C" w:rsidP="00524DBF">
            <w:pPr>
              <w:tabs>
                <w:tab w:val="left" w:pos="1134"/>
              </w:tabs>
              <w:ind w:left="23" w:right="157"/>
              <w:jc w:val="left"/>
              <w:rPr>
                <w:color w:val="000000" w:themeColor="text1"/>
                <w:sz w:val="24"/>
                <w:szCs w:val="24"/>
              </w:rPr>
            </w:pPr>
            <w:proofErr w:type="spellStart"/>
            <w:r w:rsidRPr="00AC2323">
              <w:rPr>
                <w:color w:val="000000"/>
                <w:sz w:val="24"/>
                <w:szCs w:val="24"/>
              </w:rPr>
              <w:t>містоутворююче</w:t>
            </w:r>
            <w:proofErr w:type="spellEnd"/>
            <w:r w:rsidRPr="00AC2323">
              <w:rPr>
                <w:color w:val="000000"/>
                <w:sz w:val="24"/>
                <w:szCs w:val="24"/>
              </w:rPr>
              <w:t xml:space="preserve"> </w:t>
            </w:r>
            <w:proofErr w:type="spellStart"/>
            <w:r w:rsidRPr="00AC2323">
              <w:rPr>
                <w:color w:val="000000"/>
                <w:sz w:val="24"/>
                <w:szCs w:val="24"/>
              </w:rPr>
              <w:t>підприємство</w:t>
            </w:r>
            <w:proofErr w:type="spellEnd"/>
            <w:r w:rsidRPr="00AC2323">
              <w:rPr>
                <w:color w:val="000000"/>
                <w:sz w:val="24"/>
                <w:szCs w:val="24"/>
              </w:rPr>
              <w:t xml:space="preserve">, </w:t>
            </w:r>
            <w:proofErr w:type="spellStart"/>
            <w:r w:rsidRPr="00AC2323">
              <w:rPr>
                <w:color w:val="000000"/>
                <w:sz w:val="24"/>
                <w:szCs w:val="24"/>
              </w:rPr>
              <w:t>робочі</w:t>
            </w:r>
            <w:proofErr w:type="spellEnd"/>
            <w:r w:rsidRPr="00AC2323">
              <w:rPr>
                <w:color w:val="000000"/>
                <w:sz w:val="24"/>
                <w:szCs w:val="24"/>
              </w:rPr>
              <w:t xml:space="preserve"> </w:t>
            </w:r>
            <w:proofErr w:type="spellStart"/>
            <w:r w:rsidRPr="00AC2323">
              <w:rPr>
                <w:color w:val="000000"/>
                <w:sz w:val="24"/>
                <w:szCs w:val="24"/>
              </w:rPr>
              <w:t>місця</w:t>
            </w:r>
            <w:proofErr w:type="spellEnd"/>
          </w:p>
        </w:tc>
      </w:tr>
    </w:tbl>
    <w:p w:rsidR="00AC499C" w:rsidRDefault="00AC499C" w:rsidP="00AC499C">
      <w:pPr>
        <w:tabs>
          <w:tab w:val="left" w:pos="1134"/>
        </w:tabs>
        <w:ind w:left="709"/>
        <w:rPr>
          <w:color w:val="FF0000"/>
        </w:rPr>
      </w:pPr>
    </w:p>
    <w:p w:rsidR="00AC499C" w:rsidRPr="00AC2323" w:rsidRDefault="00C61C61" w:rsidP="006D08A9">
      <w:pPr>
        <w:tabs>
          <w:tab w:val="left" w:pos="1134"/>
        </w:tabs>
        <w:rPr>
          <w:color w:val="000000" w:themeColor="text1"/>
        </w:rPr>
      </w:pPr>
      <w:r>
        <w:rPr>
          <w:color w:val="000000" w:themeColor="text1"/>
        </w:rPr>
        <w:tab/>
      </w:r>
      <w:r w:rsidR="00AC499C" w:rsidRPr="007D200E">
        <w:rPr>
          <w:color w:val="000000" w:themeColor="text1"/>
        </w:rPr>
        <w:t xml:space="preserve">Намагаючись </w:t>
      </w:r>
      <w:r w:rsidR="00AC499C">
        <w:rPr>
          <w:color w:val="000000" w:themeColor="text1"/>
        </w:rPr>
        <w:t>о</w:t>
      </w:r>
      <w:r w:rsidR="00AC499C" w:rsidRPr="00AC2323">
        <w:rPr>
          <w:color w:val="000000" w:themeColor="text1"/>
        </w:rPr>
        <w:t>характеризу</w:t>
      </w:r>
      <w:r w:rsidR="00AC499C">
        <w:rPr>
          <w:color w:val="000000" w:themeColor="text1"/>
        </w:rPr>
        <w:t>вати</w:t>
      </w:r>
      <w:r w:rsidR="00AC499C" w:rsidRPr="00AC2323">
        <w:rPr>
          <w:color w:val="000000" w:themeColor="text1"/>
        </w:rPr>
        <w:t xml:space="preserve"> </w:t>
      </w:r>
      <w:proofErr w:type="spellStart"/>
      <w:r w:rsidR="004720C1">
        <w:rPr>
          <w:color w:val="000000" w:themeColor="text1"/>
        </w:rPr>
        <w:t>м.</w:t>
      </w:r>
      <w:r w:rsidR="00AC499C" w:rsidRPr="00AC2323">
        <w:rPr>
          <w:color w:val="000000" w:themeColor="text1"/>
        </w:rPr>
        <w:t>Сєвєродонецьк</w:t>
      </w:r>
      <w:proofErr w:type="spellEnd"/>
      <w:r w:rsidR="00AC499C" w:rsidRPr="00AC2323">
        <w:rPr>
          <w:color w:val="000000" w:themeColor="text1"/>
        </w:rPr>
        <w:t xml:space="preserve"> до подій 24 лютого 2022 року трьома словами</w:t>
      </w:r>
      <w:r>
        <w:rPr>
          <w:color w:val="000000" w:themeColor="text1"/>
        </w:rPr>
        <w:t>,</w:t>
      </w:r>
      <w:r w:rsidR="00AC499C">
        <w:rPr>
          <w:color w:val="000000" w:themeColor="text1"/>
        </w:rPr>
        <w:t xml:space="preserve"> </w:t>
      </w:r>
      <w:proofErr w:type="spellStart"/>
      <w:r w:rsidR="00AC499C">
        <w:rPr>
          <w:color w:val="000000" w:themeColor="text1"/>
        </w:rPr>
        <w:t>сєвєродончани</w:t>
      </w:r>
      <w:proofErr w:type="spellEnd"/>
      <w:r w:rsidR="00AC499C">
        <w:rPr>
          <w:color w:val="000000" w:themeColor="text1"/>
        </w:rPr>
        <w:t xml:space="preserve"> використовували наступні вислови</w:t>
      </w:r>
      <w:r w:rsidR="00AC499C" w:rsidRPr="00AC2323">
        <w:rPr>
          <w:color w:val="000000" w:themeColor="text1"/>
        </w:rPr>
        <w:t xml:space="preserve">: </w:t>
      </w:r>
    </w:p>
    <w:p w:rsidR="00AC499C" w:rsidRPr="00AC2323" w:rsidRDefault="00AC499C" w:rsidP="000303D7">
      <w:pPr>
        <w:pStyle w:val="a7"/>
        <w:numPr>
          <w:ilvl w:val="0"/>
          <w:numId w:val="135"/>
        </w:numPr>
        <w:tabs>
          <w:tab w:val="left" w:pos="1134"/>
        </w:tabs>
        <w:ind w:left="709" w:firstLine="851"/>
        <w:rPr>
          <w:color w:val="000000" w:themeColor="text1"/>
        </w:rPr>
      </w:pPr>
      <w:r w:rsidRPr="00AC2323">
        <w:rPr>
          <w:color w:val="000000" w:themeColor="text1"/>
        </w:rPr>
        <w:t>«Моє рідне місто!»</w:t>
      </w:r>
      <w:r w:rsidR="00C61C61">
        <w:rPr>
          <w:color w:val="000000" w:themeColor="text1"/>
        </w:rPr>
        <w:t>.</w:t>
      </w:r>
    </w:p>
    <w:p w:rsidR="00AC499C" w:rsidRPr="00AC2323" w:rsidRDefault="00AC499C" w:rsidP="000303D7">
      <w:pPr>
        <w:pStyle w:val="a7"/>
        <w:numPr>
          <w:ilvl w:val="0"/>
          <w:numId w:val="135"/>
        </w:numPr>
        <w:tabs>
          <w:tab w:val="left" w:pos="1134"/>
        </w:tabs>
        <w:ind w:left="709" w:firstLine="851"/>
        <w:rPr>
          <w:color w:val="000000" w:themeColor="text1"/>
        </w:rPr>
      </w:pPr>
      <w:r w:rsidRPr="00AC2323">
        <w:rPr>
          <w:color w:val="000000" w:themeColor="text1"/>
        </w:rPr>
        <w:t>«Затишне місто»</w:t>
      </w:r>
      <w:r w:rsidR="00C61C61">
        <w:rPr>
          <w:color w:val="000000" w:themeColor="text1"/>
        </w:rPr>
        <w:t>.</w:t>
      </w:r>
    </w:p>
    <w:p w:rsidR="00AC499C" w:rsidRPr="00AC2323" w:rsidRDefault="00AC499C" w:rsidP="000303D7">
      <w:pPr>
        <w:pStyle w:val="a7"/>
        <w:numPr>
          <w:ilvl w:val="0"/>
          <w:numId w:val="135"/>
        </w:numPr>
        <w:tabs>
          <w:tab w:val="left" w:pos="1134"/>
        </w:tabs>
        <w:ind w:left="709" w:firstLine="851"/>
        <w:rPr>
          <w:color w:val="000000" w:themeColor="text1"/>
        </w:rPr>
      </w:pPr>
      <w:r w:rsidRPr="00AC2323">
        <w:rPr>
          <w:color w:val="000000" w:themeColor="text1"/>
        </w:rPr>
        <w:t>«Місто, що розвивалось»</w:t>
      </w:r>
      <w:r w:rsidR="00C61C61">
        <w:rPr>
          <w:color w:val="000000" w:themeColor="text1"/>
        </w:rPr>
        <w:t>.</w:t>
      </w:r>
    </w:p>
    <w:p w:rsidR="00AC499C" w:rsidRDefault="00AC499C" w:rsidP="00AC499C">
      <w:pPr>
        <w:tabs>
          <w:tab w:val="left" w:pos="1134"/>
        </w:tabs>
        <w:rPr>
          <w:color w:val="FF0000"/>
        </w:rPr>
      </w:pPr>
    </w:p>
    <w:p w:rsidR="00AC499C" w:rsidRDefault="00C61C61" w:rsidP="006D08A9">
      <w:pPr>
        <w:tabs>
          <w:tab w:val="left" w:pos="1134"/>
        </w:tabs>
        <w:rPr>
          <w:color w:val="000000" w:themeColor="text1"/>
        </w:rPr>
      </w:pPr>
      <w:r>
        <w:rPr>
          <w:color w:val="000000" w:themeColor="text1"/>
        </w:rPr>
        <w:tab/>
      </w:r>
      <w:r w:rsidR="00AC499C">
        <w:rPr>
          <w:color w:val="000000" w:themeColor="text1"/>
        </w:rPr>
        <w:t>Визначаючи т</w:t>
      </w:r>
      <w:r w:rsidR="00AC499C" w:rsidRPr="00AC2323">
        <w:rPr>
          <w:color w:val="000000" w:themeColor="text1"/>
        </w:rPr>
        <w:t>ри основні характеристики майбутнього відродженого</w:t>
      </w:r>
      <w:r w:rsidR="00AC499C">
        <w:rPr>
          <w:color w:val="000000" w:themeColor="text1"/>
        </w:rPr>
        <w:t xml:space="preserve"> </w:t>
      </w:r>
      <w:proofErr w:type="spellStart"/>
      <w:r w:rsidR="004720C1">
        <w:rPr>
          <w:color w:val="000000" w:themeColor="text1"/>
        </w:rPr>
        <w:t>м.</w:t>
      </w:r>
      <w:r w:rsidR="00AC499C" w:rsidRPr="00AC2323">
        <w:rPr>
          <w:color w:val="000000" w:themeColor="text1"/>
        </w:rPr>
        <w:t>Сєвєродонецька</w:t>
      </w:r>
      <w:proofErr w:type="spellEnd"/>
      <w:r w:rsidR="00AC499C" w:rsidRPr="00AC2323">
        <w:rPr>
          <w:color w:val="000000" w:themeColor="text1"/>
        </w:rPr>
        <w:t>, які повинні бути притаманні йому</w:t>
      </w:r>
      <w:r w:rsidR="00AC499C">
        <w:rPr>
          <w:color w:val="000000" w:themeColor="text1"/>
        </w:rPr>
        <w:t>, респонденти надали наступні варіанти:</w:t>
      </w:r>
    </w:p>
    <w:p w:rsidR="00AC499C" w:rsidRPr="00AC2323" w:rsidRDefault="00AC499C" w:rsidP="000303D7">
      <w:pPr>
        <w:pStyle w:val="a7"/>
        <w:numPr>
          <w:ilvl w:val="0"/>
          <w:numId w:val="135"/>
        </w:numPr>
        <w:tabs>
          <w:tab w:val="left" w:pos="1134"/>
        </w:tabs>
        <w:ind w:left="709" w:firstLine="851"/>
        <w:rPr>
          <w:color w:val="000000" w:themeColor="text1"/>
        </w:rPr>
      </w:pPr>
      <w:r w:rsidRPr="00AC2323">
        <w:rPr>
          <w:color w:val="000000" w:themeColor="text1"/>
        </w:rPr>
        <w:t>«Чистий, затишний, новітній»</w:t>
      </w:r>
      <w:r w:rsidR="00894819">
        <w:rPr>
          <w:color w:val="000000" w:themeColor="text1"/>
        </w:rPr>
        <w:t>.</w:t>
      </w:r>
    </w:p>
    <w:p w:rsidR="00AC499C" w:rsidRPr="00AC2323" w:rsidRDefault="00AC499C" w:rsidP="000303D7">
      <w:pPr>
        <w:pStyle w:val="a7"/>
        <w:numPr>
          <w:ilvl w:val="0"/>
          <w:numId w:val="135"/>
        </w:numPr>
        <w:tabs>
          <w:tab w:val="left" w:pos="1134"/>
        </w:tabs>
        <w:ind w:left="709" w:firstLine="851"/>
        <w:rPr>
          <w:color w:val="000000" w:themeColor="text1"/>
        </w:rPr>
      </w:pPr>
      <w:r w:rsidRPr="00AC2323">
        <w:rPr>
          <w:color w:val="000000" w:themeColor="text1"/>
        </w:rPr>
        <w:t>«Розвиток, технології, прозорість влади, робочі місця»</w:t>
      </w:r>
      <w:r w:rsidR="00894819">
        <w:rPr>
          <w:color w:val="000000" w:themeColor="text1"/>
        </w:rPr>
        <w:t>.</w:t>
      </w:r>
    </w:p>
    <w:p w:rsidR="00AC499C" w:rsidRDefault="00AC499C" w:rsidP="000303D7">
      <w:pPr>
        <w:pStyle w:val="a7"/>
        <w:numPr>
          <w:ilvl w:val="0"/>
          <w:numId w:val="135"/>
        </w:numPr>
        <w:tabs>
          <w:tab w:val="left" w:pos="1134"/>
        </w:tabs>
        <w:ind w:left="709" w:firstLine="851"/>
        <w:rPr>
          <w:color w:val="000000" w:themeColor="text1"/>
        </w:rPr>
      </w:pPr>
      <w:r w:rsidRPr="00AC2323">
        <w:rPr>
          <w:color w:val="000000" w:themeColor="text1"/>
        </w:rPr>
        <w:t>«Розвиток бізнесу, науки, культури»</w:t>
      </w:r>
      <w:r w:rsidR="00894819">
        <w:rPr>
          <w:color w:val="000000" w:themeColor="text1"/>
        </w:rPr>
        <w:t>.</w:t>
      </w:r>
    </w:p>
    <w:p w:rsidR="00A958AD" w:rsidRDefault="00A958AD" w:rsidP="006D08A9">
      <w:pPr>
        <w:tabs>
          <w:tab w:val="left" w:pos="1134"/>
        </w:tabs>
        <w:rPr>
          <w:color w:val="000000" w:themeColor="text1"/>
          <w:lang w:val="en-US"/>
        </w:rPr>
      </w:pPr>
    </w:p>
    <w:p w:rsidR="00AC499C" w:rsidRPr="00AC2323" w:rsidRDefault="00894819" w:rsidP="006D08A9">
      <w:pPr>
        <w:tabs>
          <w:tab w:val="left" w:pos="1134"/>
        </w:tabs>
        <w:rPr>
          <w:color w:val="000000" w:themeColor="text1"/>
        </w:rPr>
      </w:pPr>
      <w:r>
        <w:rPr>
          <w:color w:val="000000" w:themeColor="text1"/>
        </w:rPr>
        <w:lastRenderedPageBreak/>
        <w:tab/>
      </w:r>
      <w:r w:rsidR="00AC499C">
        <w:rPr>
          <w:color w:val="000000" w:themeColor="text1"/>
        </w:rPr>
        <w:t>Визначаючи т</w:t>
      </w:r>
      <w:r w:rsidR="00AC499C" w:rsidRPr="00AC2323">
        <w:rPr>
          <w:color w:val="000000" w:themeColor="text1"/>
        </w:rPr>
        <w:t>ри види економічної діяльності, які</w:t>
      </w:r>
      <w:r w:rsidR="00AC499C">
        <w:rPr>
          <w:color w:val="000000" w:themeColor="text1"/>
        </w:rPr>
        <w:t xml:space="preserve"> </w:t>
      </w:r>
      <w:r w:rsidR="00AC499C" w:rsidRPr="00AC2323">
        <w:rPr>
          <w:color w:val="000000" w:themeColor="text1"/>
        </w:rPr>
        <w:t xml:space="preserve">є найбільш важливими для перспективи розвитку </w:t>
      </w:r>
      <w:r w:rsidR="004720C1">
        <w:rPr>
          <w:color w:val="000000" w:themeColor="text1"/>
        </w:rPr>
        <w:t>міста</w:t>
      </w:r>
      <w:r w:rsidR="004720C1" w:rsidRPr="00AC2323">
        <w:rPr>
          <w:color w:val="000000" w:themeColor="text1"/>
        </w:rPr>
        <w:t xml:space="preserve"> </w:t>
      </w:r>
      <w:r w:rsidR="00AC499C" w:rsidRPr="00AC2323">
        <w:rPr>
          <w:color w:val="000000" w:themeColor="text1"/>
        </w:rPr>
        <w:t>Сєвєродонецька</w:t>
      </w:r>
      <w:r w:rsidR="00AC499C">
        <w:rPr>
          <w:color w:val="000000" w:themeColor="text1"/>
        </w:rPr>
        <w:t xml:space="preserve">, учасники дослідження зазначили такі відповіді: </w:t>
      </w:r>
    </w:p>
    <w:p w:rsidR="00AC499C" w:rsidRDefault="00992330" w:rsidP="000303D7">
      <w:pPr>
        <w:pStyle w:val="a7"/>
        <w:numPr>
          <w:ilvl w:val="0"/>
          <w:numId w:val="135"/>
        </w:numPr>
        <w:tabs>
          <w:tab w:val="left" w:pos="1134"/>
        </w:tabs>
        <w:ind w:left="709" w:firstLine="851"/>
        <w:rPr>
          <w:color w:val="000000" w:themeColor="text1"/>
        </w:rPr>
      </w:pPr>
      <w:r>
        <w:rPr>
          <w:color w:val="000000" w:themeColor="text1"/>
        </w:rPr>
        <w:t>х</w:t>
      </w:r>
      <w:r w:rsidR="00AC499C" w:rsidRPr="00AC2323">
        <w:rPr>
          <w:color w:val="000000" w:themeColor="text1"/>
        </w:rPr>
        <w:t>імічна</w:t>
      </w:r>
      <w:r>
        <w:rPr>
          <w:color w:val="000000" w:themeColor="text1"/>
        </w:rPr>
        <w:t>;</w:t>
      </w:r>
    </w:p>
    <w:p w:rsidR="00AC499C" w:rsidRDefault="00AC499C" w:rsidP="000303D7">
      <w:pPr>
        <w:pStyle w:val="a7"/>
        <w:numPr>
          <w:ilvl w:val="0"/>
          <w:numId w:val="135"/>
        </w:numPr>
        <w:tabs>
          <w:tab w:val="left" w:pos="1134"/>
        </w:tabs>
        <w:ind w:left="709" w:firstLine="851"/>
        <w:rPr>
          <w:color w:val="000000" w:themeColor="text1"/>
        </w:rPr>
      </w:pPr>
      <w:r w:rsidRPr="00AC2323">
        <w:rPr>
          <w:color w:val="000000" w:themeColor="text1"/>
        </w:rPr>
        <w:t>наукова</w:t>
      </w:r>
      <w:r w:rsidR="00992330">
        <w:rPr>
          <w:color w:val="000000" w:themeColor="text1"/>
        </w:rPr>
        <w:t>;</w:t>
      </w:r>
    </w:p>
    <w:p w:rsidR="00AC499C" w:rsidRPr="00AC2323" w:rsidRDefault="00AC499C" w:rsidP="000303D7">
      <w:pPr>
        <w:pStyle w:val="a7"/>
        <w:numPr>
          <w:ilvl w:val="0"/>
          <w:numId w:val="135"/>
        </w:numPr>
        <w:tabs>
          <w:tab w:val="left" w:pos="1134"/>
        </w:tabs>
        <w:ind w:left="709" w:firstLine="851"/>
        <w:rPr>
          <w:color w:val="000000" w:themeColor="text1"/>
        </w:rPr>
      </w:pPr>
      <w:r w:rsidRPr="00AC2323">
        <w:rPr>
          <w:color w:val="000000" w:themeColor="text1"/>
        </w:rPr>
        <w:t>будів</w:t>
      </w:r>
      <w:r>
        <w:rPr>
          <w:color w:val="000000" w:themeColor="text1"/>
        </w:rPr>
        <w:t>ельна</w:t>
      </w:r>
      <w:r w:rsidR="00992330">
        <w:rPr>
          <w:color w:val="000000" w:themeColor="text1"/>
        </w:rPr>
        <w:t>.</w:t>
      </w:r>
    </w:p>
    <w:p w:rsidR="00AC499C" w:rsidRDefault="00AC499C" w:rsidP="00AC499C">
      <w:pPr>
        <w:tabs>
          <w:tab w:val="left" w:pos="1134"/>
        </w:tabs>
        <w:rPr>
          <w:color w:val="FF0000"/>
        </w:rPr>
      </w:pPr>
    </w:p>
    <w:p w:rsidR="00AC499C" w:rsidRPr="007D200E" w:rsidRDefault="00992330" w:rsidP="006D08A9">
      <w:pPr>
        <w:tabs>
          <w:tab w:val="left" w:pos="1134"/>
        </w:tabs>
        <w:rPr>
          <w:color w:val="000000" w:themeColor="text1"/>
        </w:rPr>
      </w:pPr>
      <w:r>
        <w:rPr>
          <w:color w:val="000000" w:themeColor="text1"/>
        </w:rPr>
        <w:tab/>
      </w:r>
      <w:r w:rsidR="00AC499C" w:rsidRPr="007D200E">
        <w:rPr>
          <w:color w:val="000000" w:themeColor="text1"/>
        </w:rPr>
        <w:t xml:space="preserve">Більшість учасників дослідження в якості пріоритетного напрямку розвитку обрали варіант «Місто для комфортного життя» - 55% респондентів. </w:t>
      </w:r>
    </w:p>
    <w:p w:rsidR="00AC499C" w:rsidRDefault="00AC499C" w:rsidP="00AC499C">
      <w:pPr>
        <w:tabs>
          <w:tab w:val="left" w:pos="1134"/>
        </w:tabs>
        <w:rPr>
          <w:color w:val="FF0000"/>
        </w:rPr>
      </w:pPr>
    </w:p>
    <w:p w:rsidR="00AC499C" w:rsidRDefault="00AC499C" w:rsidP="00AC499C">
      <w:pPr>
        <w:tabs>
          <w:tab w:val="left" w:pos="1134"/>
        </w:tabs>
        <w:jc w:val="center"/>
        <w:rPr>
          <w:color w:val="FF0000"/>
        </w:rPr>
      </w:pPr>
      <w:r>
        <w:rPr>
          <w:noProof/>
          <w:lang w:eastAsia="uk-UA"/>
        </w:rPr>
        <w:drawing>
          <wp:inline distT="0" distB="0" distL="0" distR="0">
            <wp:extent cx="4380305" cy="2633037"/>
            <wp:effectExtent l="0" t="0" r="1270" b="0"/>
            <wp:docPr id="4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4384260" cy="2635414"/>
                    </a:xfrm>
                    <a:prstGeom prst="rect">
                      <a:avLst/>
                    </a:prstGeom>
                  </pic:spPr>
                </pic:pic>
              </a:graphicData>
            </a:graphic>
          </wp:inline>
        </w:drawing>
      </w:r>
    </w:p>
    <w:p w:rsidR="00AC499C" w:rsidRPr="00AC2323" w:rsidRDefault="00AC499C" w:rsidP="00AC499C">
      <w:pPr>
        <w:tabs>
          <w:tab w:val="left" w:pos="1134"/>
        </w:tabs>
        <w:rPr>
          <w:color w:val="FF0000"/>
        </w:rPr>
      </w:pPr>
    </w:p>
    <w:p w:rsidR="00AC499C" w:rsidRPr="009A1C6D" w:rsidRDefault="00052AE3" w:rsidP="006D08A9">
      <w:pPr>
        <w:tabs>
          <w:tab w:val="left" w:pos="1134"/>
        </w:tabs>
        <w:rPr>
          <w:color w:val="000000" w:themeColor="text1"/>
        </w:rPr>
      </w:pPr>
      <w:r>
        <w:rPr>
          <w:color w:val="000000" w:themeColor="text1"/>
        </w:rPr>
        <w:tab/>
      </w:r>
      <w:r w:rsidR="00AC499C">
        <w:rPr>
          <w:color w:val="000000" w:themeColor="text1"/>
        </w:rPr>
        <w:t xml:space="preserve">Серед місць </w:t>
      </w:r>
      <w:r w:rsidR="00AC499C" w:rsidRPr="009A1C6D">
        <w:rPr>
          <w:color w:val="000000" w:themeColor="text1"/>
        </w:rPr>
        <w:t>у Сєвєродонецьку, які через події після 24 лютого 2022 року набули символічного значення</w:t>
      </w:r>
      <w:r>
        <w:rPr>
          <w:color w:val="000000" w:themeColor="text1"/>
        </w:rPr>
        <w:t>,</w:t>
      </w:r>
      <w:r w:rsidR="00AC499C">
        <w:rPr>
          <w:color w:val="000000" w:themeColor="text1"/>
        </w:rPr>
        <w:t xml:space="preserve"> знову лунали вже знайомі відповіді:</w:t>
      </w:r>
      <w:r w:rsidR="00AC499C" w:rsidRPr="009A1C6D">
        <w:rPr>
          <w:color w:val="000000" w:themeColor="text1"/>
        </w:rPr>
        <w:t xml:space="preserve"> </w:t>
      </w:r>
    </w:p>
    <w:p w:rsidR="00AC499C" w:rsidRPr="009A1C6D" w:rsidRDefault="00AC499C" w:rsidP="000303D7">
      <w:pPr>
        <w:pStyle w:val="a7"/>
        <w:numPr>
          <w:ilvl w:val="0"/>
          <w:numId w:val="135"/>
        </w:numPr>
        <w:tabs>
          <w:tab w:val="left" w:pos="1134"/>
        </w:tabs>
        <w:ind w:left="709" w:firstLine="851"/>
        <w:rPr>
          <w:color w:val="000000" w:themeColor="text1"/>
        </w:rPr>
      </w:pPr>
      <w:r w:rsidRPr="009A1C6D">
        <w:rPr>
          <w:color w:val="000000" w:themeColor="text1"/>
        </w:rPr>
        <w:t>Льодовий палац</w:t>
      </w:r>
      <w:r w:rsidR="004720C1">
        <w:rPr>
          <w:color w:val="000000" w:themeColor="text1"/>
        </w:rPr>
        <w:t xml:space="preserve"> спорту</w:t>
      </w:r>
      <w:r w:rsidR="00052AE3">
        <w:rPr>
          <w:color w:val="000000" w:themeColor="text1"/>
        </w:rPr>
        <w:t>.</w:t>
      </w:r>
    </w:p>
    <w:p w:rsidR="00AC499C" w:rsidRPr="009A1C6D" w:rsidRDefault="004720C1" w:rsidP="000303D7">
      <w:pPr>
        <w:pStyle w:val="a7"/>
        <w:numPr>
          <w:ilvl w:val="0"/>
          <w:numId w:val="135"/>
        </w:numPr>
        <w:tabs>
          <w:tab w:val="left" w:pos="1134"/>
        </w:tabs>
        <w:ind w:left="709" w:firstLine="851"/>
        <w:rPr>
          <w:color w:val="000000" w:themeColor="text1"/>
        </w:rPr>
      </w:pPr>
      <w:r w:rsidRPr="00E64867">
        <w:rPr>
          <w:color w:val="000000" w:themeColor="text1"/>
        </w:rPr>
        <w:t>Луганський обласний академічний український музично-драматичний театр</w:t>
      </w:r>
      <w:r w:rsidR="00052AE3">
        <w:rPr>
          <w:color w:val="000000" w:themeColor="text1"/>
        </w:rPr>
        <w:t>.</w:t>
      </w:r>
    </w:p>
    <w:p w:rsidR="00AC499C" w:rsidRPr="009A1C6D" w:rsidRDefault="00AC499C" w:rsidP="000303D7">
      <w:pPr>
        <w:pStyle w:val="a7"/>
        <w:numPr>
          <w:ilvl w:val="0"/>
          <w:numId w:val="135"/>
        </w:numPr>
        <w:tabs>
          <w:tab w:val="left" w:pos="1134"/>
        </w:tabs>
        <w:ind w:left="709" w:firstLine="851"/>
        <w:rPr>
          <w:color w:val="000000" w:themeColor="text1"/>
        </w:rPr>
      </w:pPr>
      <w:r w:rsidRPr="009A1C6D">
        <w:rPr>
          <w:color w:val="000000" w:themeColor="text1"/>
        </w:rPr>
        <w:t>Все місто</w:t>
      </w:r>
      <w:r w:rsidR="00052AE3">
        <w:rPr>
          <w:color w:val="000000" w:themeColor="text1"/>
        </w:rPr>
        <w:t>.</w:t>
      </w:r>
    </w:p>
    <w:p w:rsidR="00AC499C" w:rsidRDefault="00AC499C" w:rsidP="00AC499C">
      <w:pPr>
        <w:tabs>
          <w:tab w:val="left" w:pos="1134"/>
        </w:tabs>
        <w:rPr>
          <w:color w:val="FF0000"/>
        </w:rPr>
      </w:pPr>
    </w:p>
    <w:p w:rsidR="00AC499C" w:rsidRPr="007E1AAA" w:rsidRDefault="00052AE3" w:rsidP="00AC499C">
      <w:pPr>
        <w:tabs>
          <w:tab w:val="left" w:pos="1134"/>
        </w:tabs>
        <w:rPr>
          <w:color w:val="000000" w:themeColor="text1"/>
        </w:rPr>
      </w:pPr>
      <w:r>
        <w:rPr>
          <w:color w:val="000000" w:themeColor="text1"/>
        </w:rPr>
        <w:tab/>
      </w:r>
      <w:r w:rsidR="00AC499C" w:rsidRPr="007E1AAA">
        <w:rPr>
          <w:color w:val="000000" w:themeColor="text1"/>
        </w:rPr>
        <w:t>Визначаючи пріоритетні напрямки відновлення міста, більшість респондентів в якості такого пріоритету назвали відновлення критичної інфраструктури (768 відповідей). 697 респондентів вважають за пріоритет відновлення житла, а 605 назвали пріоритетом відновлення медичних послуг. Цікаво, що пріоритет, пов’язаний з безпековими питаннями</w:t>
      </w:r>
      <w:r w:rsidR="00D97923">
        <w:rPr>
          <w:color w:val="000000" w:themeColor="text1"/>
        </w:rPr>
        <w:t>,</w:t>
      </w:r>
      <w:r w:rsidR="00AC499C" w:rsidRPr="007E1AAA">
        <w:rPr>
          <w:color w:val="000000" w:themeColor="text1"/>
        </w:rPr>
        <w:t xml:space="preserve"> респонденти поставили лише на п’яте місце.    </w:t>
      </w:r>
    </w:p>
    <w:p w:rsidR="00AC499C" w:rsidRDefault="00AC499C" w:rsidP="00AC499C">
      <w:pPr>
        <w:tabs>
          <w:tab w:val="left" w:pos="1134"/>
        </w:tabs>
        <w:rPr>
          <w:color w:val="FF0000"/>
        </w:rPr>
      </w:pPr>
    </w:p>
    <w:p w:rsidR="00AC499C" w:rsidRDefault="00AC499C" w:rsidP="00AC499C">
      <w:pPr>
        <w:tabs>
          <w:tab w:val="left" w:pos="1134"/>
        </w:tabs>
        <w:jc w:val="center"/>
        <w:rPr>
          <w:color w:val="FF0000"/>
        </w:rPr>
      </w:pPr>
      <w:r>
        <w:rPr>
          <w:noProof/>
          <w:lang w:eastAsia="uk-UA"/>
        </w:rPr>
        <w:lastRenderedPageBreak/>
        <w:drawing>
          <wp:inline distT="0" distB="0" distL="0" distR="0">
            <wp:extent cx="5731510" cy="3184263"/>
            <wp:effectExtent l="0" t="0" r="0" b="3810"/>
            <wp:docPr id="4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5733982" cy="3185636"/>
                    </a:xfrm>
                    <a:prstGeom prst="rect">
                      <a:avLst/>
                    </a:prstGeom>
                  </pic:spPr>
                </pic:pic>
              </a:graphicData>
            </a:graphic>
          </wp:inline>
        </w:drawing>
      </w:r>
    </w:p>
    <w:p w:rsidR="00AC499C" w:rsidRPr="009A1C6D" w:rsidRDefault="00AC499C" w:rsidP="00AC499C">
      <w:pPr>
        <w:tabs>
          <w:tab w:val="left" w:pos="1134"/>
        </w:tabs>
        <w:rPr>
          <w:color w:val="000000" w:themeColor="text1"/>
        </w:rPr>
      </w:pPr>
    </w:p>
    <w:p w:rsidR="00AC499C" w:rsidRDefault="00D97923" w:rsidP="00A958AD">
      <w:pPr>
        <w:tabs>
          <w:tab w:val="left" w:pos="1134"/>
        </w:tabs>
        <w:rPr>
          <w:color w:val="000000" w:themeColor="text1"/>
        </w:rPr>
      </w:pPr>
      <w:r>
        <w:rPr>
          <w:color w:val="000000" w:themeColor="text1"/>
        </w:rPr>
        <w:tab/>
      </w:r>
      <w:r w:rsidR="00AC499C">
        <w:rPr>
          <w:color w:val="000000" w:themeColor="text1"/>
        </w:rPr>
        <w:t xml:space="preserve">Учасники дослідження вважають, що </w:t>
      </w:r>
      <w:r w:rsidR="00AC499C" w:rsidRPr="009A1C6D">
        <w:rPr>
          <w:color w:val="000000" w:themeColor="text1"/>
        </w:rPr>
        <w:t xml:space="preserve">не потребують відновлення у нашій громаді </w:t>
      </w:r>
      <w:r w:rsidR="00AC499C">
        <w:rPr>
          <w:color w:val="000000" w:themeColor="text1"/>
        </w:rPr>
        <w:t xml:space="preserve">наступні </w:t>
      </w:r>
      <w:r w:rsidR="00AC499C" w:rsidRPr="009A1C6D">
        <w:rPr>
          <w:color w:val="000000" w:themeColor="text1"/>
        </w:rPr>
        <w:t>об’єкти, зруйновані війною</w:t>
      </w:r>
      <w:r w:rsidR="005F7561">
        <w:rPr>
          <w:color w:val="000000" w:themeColor="text1"/>
        </w:rPr>
        <w:t>.</w:t>
      </w:r>
    </w:p>
    <w:p w:rsidR="00AC499C" w:rsidRDefault="00AC499C" w:rsidP="000303D7">
      <w:pPr>
        <w:pStyle w:val="a7"/>
        <w:numPr>
          <w:ilvl w:val="0"/>
          <w:numId w:val="135"/>
        </w:numPr>
        <w:tabs>
          <w:tab w:val="left" w:pos="1134"/>
        </w:tabs>
        <w:ind w:left="709" w:firstLine="851"/>
        <w:rPr>
          <w:color w:val="000000" w:themeColor="text1"/>
        </w:rPr>
      </w:pPr>
      <w:r w:rsidRPr="009A1C6D">
        <w:rPr>
          <w:color w:val="000000" w:themeColor="text1"/>
        </w:rPr>
        <w:t>Старі будівлі</w:t>
      </w:r>
      <w:r w:rsidR="005F7561">
        <w:rPr>
          <w:color w:val="000000" w:themeColor="text1"/>
        </w:rPr>
        <w:t>.</w:t>
      </w:r>
    </w:p>
    <w:p w:rsidR="00AC499C" w:rsidRDefault="00AC499C" w:rsidP="000303D7">
      <w:pPr>
        <w:pStyle w:val="a7"/>
        <w:numPr>
          <w:ilvl w:val="0"/>
          <w:numId w:val="135"/>
        </w:numPr>
        <w:tabs>
          <w:tab w:val="left" w:pos="1134"/>
        </w:tabs>
        <w:ind w:left="709" w:firstLine="851"/>
        <w:rPr>
          <w:color w:val="000000" w:themeColor="text1"/>
        </w:rPr>
      </w:pPr>
      <w:r>
        <w:rPr>
          <w:color w:val="000000" w:themeColor="text1"/>
        </w:rPr>
        <w:t>П</w:t>
      </w:r>
      <w:r w:rsidRPr="009A1C6D">
        <w:rPr>
          <w:color w:val="000000" w:themeColor="text1"/>
        </w:rPr>
        <w:t>овністю зруйновані будівлі</w:t>
      </w:r>
      <w:r w:rsidR="005F7561">
        <w:rPr>
          <w:color w:val="000000" w:themeColor="text1"/>
        </w:rPr>
        <w:t>.</w:t>
      </w:r>
    </w:p>
    <w:p w:rsidR="00AC499C" w:rsidRDefault="005F7561" w:rsidP="00A958AD">
      <w:pPr>
        <w:tabs>
          <w:tab w:val="left" w:pos="1134"/>
        </w:tabs>
        <w:rPr>
          <w:color w:val="000000" w:themeColor="text1"/>
        </w:rPr>
      </w:pPr>
      <w:r>
        <w:rPr>
          <w:color w:val="000000" w:themeColor="text1"/>
        </w:rPr>
        <w:tab/>
      </w:r>
      <w:r w:rsidR="00AC499C">
        <w:rPr>
          <w:color w:val="000000" w:themeColor="text1"/>
        </w:rPr>
        <w:t xml:space="preserve">На думку респондентів вони не потребують відновлення через те, що на їх місці потрібно </w:t>
      </w:r>
      <w:r w:rsidR="00AC499C" w:rsidRPr="009A1C6D">
        <w:rPr>
          <w:color w:val="000000" w:themeColor="text1"/>
        </w:rPr>
        <w:t>збудувати нові</w:t>
      </w:r>
      <w:r w:rsidR="00AC499C">
        <w:rPr>
          <w:color w:val="000000" w:themeColor="text1"/>
        </w:rPr>
        <w:t>,</w:t>
      </w:r>
      <w:r w:rsidR="00AC499C" w:rsidRPr="009A1C6D">
        <w:rPr>
          <w:color w:val="000000" w:themeColor="text1"/>
        </w:rPr>
        <w:t xml:space="preserve"> сучасні</w:t>
      </w:r>
      <w:r w:rsidR="00AC499C">
        <w:rPr>
          <w:color w:val="000000" w:themeColor="text1"/>
        </w:rPr>
        <w:t xml:space="preserve"> споруди. «Це мають бути н</w:t>
      </w:r>
      <w:r w:rsidR="00AC499C" w:rsidRPr="009A1C6D">
        <w:rPr>
          <w:color w:val="000000" w:themeColor="text1"/>
        </w:rPr>
        <w:t>ові сучасні житлові будинки, сквери, навчальні заклади</w:t>
      </w:r>
      <w:r w:rsidR="00AC499C">
        <w:rPr>
          <w:color w:val="000000" w:themeColor="text1"/>
        </w:rPr>
        <w:t xml:space="preserve">», - прокоментувала свою відповідь одна </w:t>
      </w:r>
      <w:r w:rsidR="00845F4A">
        <w:rPr>
          <w:color w:val="000000" w:themeColor="text1"/>
        </w:rPr>
        <w:t xml:space="preserve">з </w:t>
      </w:r>
      <w:proofErr w:type="spellStart"/>
      <w:r w:rsidR="00AC499C">
        <w:rPr>
          <w:color w:val="000000" w:themeColor="text1"/>
        </w:rPr>
        <w:t>респонденток</w:t>
      </w:r>
      <w:proofErr w:type="spellEnd"/>
      <w:r w:rsidR="00AC499C">
        <w:rPr>
          <w:color w:val="000000" w:themeColor="text1"/>
        </w:rPr>
        <w:t>.</w:t>
      </w:r>
    </w:p>
    <w:p w:rsidR="00AC499C" w:rsidRDefault="00AC499C" w:rsidP="00AC499C">
      <w:pPr>
        <w:tabs>
          <w:tab w:val="left" w:pos="1134"/>
        </w:tabs>
        <w:rPr>
          <w:color w:val="000000" w:themeColor="text1"/>
        </w:rPr>
      </w:pPr>
    </w:p>
    <w:p w:rsidR="00AC499C" w:rsidRDefault="005F7561" w:rsidP="00A958AD">
      <w:pPr>
        <w:tabs>
          <w:tab w:val="left" w:pos="1134"/>
        </w:tabs>
        <w:rPr>
          <w:color w:val="000000" w:themeColor="text1"/>
        </w:rPr>
      </w:pPr>
      <w:r>
        <w:rPr>
          <w:color w:val="000000" w:themeColor="text1"/>
        </w:rPr>
        <w:tab/>
      </w:r>
      <w:r w:rsidR="00AC499C">
        <w:rPr>
          <w:color w:val="000000" w:themeColor="text1"/>
        </w:rPr>
        <w:t>Відповідаючи на питання, ч</w:t>
      </w:r>
      <w:r w:rsidR="00AC499C" w:rsidRPr="009A1C6D">
        <w:rPr>
          <w:color w:val="000000" w:themeColor="text1"/>
        </w:rPr>
        <w:t xml:space="preserve">ого </w:t>
      </w:r>
      <w:r w:rsidR="00AC499C">
        <w:rPr>
          <w:color w:val="000000" w:themeColor="text1"/>
        </w:rPr>
        <w:t>в цілому</w:t>
      </w:r>
      <w:r w:rsidR="00AC499C" w:rsidRPr="009A1C6D">
        <w:rPr>
          <w:color w:val="000000" w:themeColor="text1"/>
        </w:rPr>
        <w:t xml:space="preserve"> не вистачало в </w:t>
      </w:r>
      <w:proofErr w:type="spellStart"/>
      <w:r w:rsidR="00ED2803">
        <w:rPr>
          <w:color w:val="000000" w:themeColor="text1"/>
        </w:rPr>
        <w:t>м.</w:t>
      </w:r>
      <w:r w:rsidR="00AC499C" w:rsidRPr="009A1C6D">
        <w:rPr>
          <w:color w:val="000000" w:themeColor="text1"/>
        </w:rPr>
        <w:t>Сєвєродонецьк</w:t>
      </w:r>
      <w:proofErr w:type="spellEnd"/>
      <w:r w:rsidR="00AC499C">
        <w:rPr>
          <w:color w:val="000000" w:themeColor="text1"/>
        </w:rPr>
        <w:t>, респонденти надавали наступні відповіді:</w:t>
      </w:r>
    </w:p>
    <w:p w:rsidR="00AC499C" w:rsidRDefault="00AC499C" w:rsidP="000303D7">
      <w:pPr>
        <w:pStyle w:val="a7"/>
        <w:numPr>
          <w:ilvl w:val="0"/>
          <w:numId w:val="135"/>
        </w:numPr>
        <w:tabs>
          <w:tab w:val="left" w:pos="1134"/>
        </w:tabs>
        <w:ind w:left="709" w:firstLine="851"/>
        <w:rPr>
          <w:color w:val="000000" w:themeColor="text1"/>
        </w:rPr>
      </w:pPr>
      <w:r>
        <w:rPr>
          <w:color w:val="000000" w:themeColor="text1"/>
        </w:rPr>
        <w:t>П</w:t>
      </w:r>
      <w:r w:rsidRPr="009A1C6D">
        <w:rPr>
          <w:color w:val="000000" w:themeColor="text1"/>
        </w:rPr>
        <w:t>арків</w:t>
      </w:r>
      <w:r w:rsidR="002B1AE2">
        <w:rPr>
          <w:color w:val="000000" w:themeColor="text1"/>
        </w:rPr>
        <w:t>.</w:t>
      </w:r>
    </w:p>
    <w:p w:rsidR="00AC499C" w:rsidRDefault="00AC499C" w:rsidP="000303D7">
      <w:pPr>
        <w:pStyle w:val="a7"/>
        <w:numPr>
          <w:ilvl w:val="0"/>
          <w:numId w:val="135"/>
        </w:numPr>
        <w:tabs>
          <w:tab w:val="left" w:pos="1134"/>
        </w:tabs>
        <w:ind w:left="709" w:firstLine="851"/>
        <w:rPr>
          <w:color w:val="000000" w:themeColor="text1"/>
        </w:rPr>
      </w:pPr>
      <w:r>
        <w:rPr>
          <w:color w:val="000000" w:themeColor="text1"/>
        </w:rPr>
        <w:t>З</w:t>
      </w:r>
      <w:r w:rsidRPr="009A1C6D">
        <w:rPr>
          <w:color w:val="000000" w:themeColor="text1"/>
        </w:rPr>
        <w:t>алізничного вокзалу</w:t>
      </w:r>
      <w:r w:rsidR="002B1AE2">
        <w:rPr>
          <w:color w:val="000000" w:themeColor="text1"/>
        </w:rPr>
        <w:t>.</w:t>
      </w:r>
    </w:p>
    <w:p w:rsidR="00AC499C" w:rsidRDefault="00AC499C" w:rsidP="000303D7">
      <w:pPr>
        <w:pStyle w:val="a7"/>
        <w:numPr>
          <w:ilvl w:val="0"/>
          <w:numId w:val="135"/>
        </w:numPr>
        <w:tabs>
          <w:tab w:val="left" w:pos="1134"/>
        </w:tabs>
        <w:ind w:left="709" w:firstLine="851"/>
        <w:rPr>
          <w:color w:val="000000" w:themeColor="text1"/>
        </w:rPr>
      </w:pPr>
      <w:r>
        <w:rPr>
          <w:color w:val="000000" w:themeColor="text1"/>
        </w:rPr>
        <w:t>З</w:t>
      </w:r>
      <w:r w:rsidRPr="009A1C6D">
        <w:rPr>
          <w:color w:val="000000" w:themeColor="text1"/>
        </w:rPr>
        <w:t>он для паркування</w:t>
      </w:r>
      <w:r w:rsidR="002B1AE2">
        <w:rPr>
          <w:color w:val="000000" w:themeColor="text1"/>
        </w:rPr>
        <w:t>.</w:t>
      </w:r>
    </w:p>
    <w:p w:rsidR="00AC499C" w:rsidRPr="009A1C6D" w:rsidRDefault="00AC499C" w:rsidP="000303D7">
      <w:pPr>
        <w:pStyle w:val="a7"/>
        <w:numPr>
          <w:ilvl w:val="0"/>
          <w:numId w:val="135"/>
        </w:numPr>
        <w:tabs>
          <w:tab w:val="left" w:pos="1134"/>
        </w:tabs>
        <w:ind w:left="709" w:firstLine="851"/>
        <w:rPr>
          <w:color w:val="000000" w:themeColor="text1"/>
        </w:rPr>
      </w:pPr>
      <w:r>
        <w:rPr>
          <w:color w:val="000000" w:themeColor="text1"/>
        </w:rPr>
        <w:t>Н</w:t>
      </w:r>
      <w:r w:rsidRPr="009A1C6D">
        <w:rPr>
          <w:color w:val="000000" w:themeColor="text1"/>
        </w:rPr>
        <w:t>ових житлових будівель</w:t>
      </w:r>
      <w:r w:rsidR="002B1AE2">
        <w:rPr>
          <w:color w:val="000000" w:themeColor="text1"/>
        </w:rPr>
        <w:t>.</w:t>
      </w:r>
    </w:p>
    <w:p w:rsidR="00AC499C" w:rsidRDefault="00AC499C" w:rsidP="00AC499C">
      <w:pPr>
        <w:tabs>
          <w:tab w:val="left" w:pos="1134"/>
        </w:tabs>
        <w:rPr>
          <w:color w:val="FF0000"/>
        </w:rPr>
      </w:pPr>
    </w:p>
    <w:p w:rsidR="00AC499C" w:rsidRDefault="002B1AE2" w:rsidP="00A958AD">
      <w:pPr>
        <w:tabs>
          <w:tab w:val="left" w:pos="1134"/>
        </w:tabs>
        <w:rPr>
          <w:color w:val="000000" w:themeColor="text1"/>
        </w:rPr>
      </w:pPr>
      <w:r>
        <w:rPr>
          <w:color w:val="000000" w:themeColor="text1"/>
        </w:rPr>
        <w:tab/>
      </w:r>
      <w:r w:rsidR="00AC499C">
        <w:rPr>
          <w:color w:val="000000" w:themeColor="text1"/>
        </w:rPr>
        <w:t xml:space="preserve">Локалізуючи питання на рівні </w:t>
      </w:r>
      <w:r w:rsidR="00AC499C" w:rsidRPr="009A1C6D">
        <w:rPr>
          <w:color w:val="000000" w:themeColor="text1"/>
        </w:rPr>
        <w:t>район</w:t>
      </w:r>
      <w:r w:rsidR="00AC499C">
        <w:rPr>
          <w:color w:val="000000" w:themeColor="text1"/>
        </w:rPr>
        <w:t>у</w:t>
      </w:r>
      <w:r w:rsidR="00AC499C" w:rsidRPr="009A1C6D">
        <w:rPr>
          <w:color w:val="000000" w:themeColor="text1"/>
        </w:rPr>
        <w:t>/квартал</w:t>
      </w:r>
      <w:r w:rsidR="00AC499C">
        <w:rPr>
          <w:color w:val="000000" w:themeColor="text1"/>
        </w:rPr>
        <w:t>у</w:t>
      </w:r>
      <w:r w:rsidR="00AC499C" w:rsidRPr="009A1C6D">
        <w:rPr>
          <w:color w:val="000000" w:themeColor="text1"/>
        </w:rPr>
        <w:t xml:space="preserve"> проживання</w:t>
      </w:r>
      <w:r w:rsidR="00AC499C">
        <w:rPr>
          <w:color w:val="000000" w:themeColor="text1"/>
        </w:rPr>
        <w:t>, респонденти переважно зазначали, що їм не вистачало:</w:t>
      </w:r>
      <w:r w:rsidR="00AC499C" w:rsidRPr="009A1C6D">
        <w:rPr>
          <w:color w:val="000000" w:themeColor="text1"/>
        </w:rPr>
        <w:t xml:space="preserve"> </w:t>
      </w:r>
    </w:p>
    <w:p w:rsidR="00AC499C" w:rsidRDefault="00AC499C" w:rsidP="000303D7">
      <w:pPr>
        <w:pStyle w:val="a7"/>
        <w:numPr>
          <w:ilvl w:val="0"/>
          <w:numId w:val="135"/>
        </w:numPr>
        <w:tabs>
          <w:tab w:val="left" w:pos="1134"/>
        </w:tabs>
        <w:ind w:left="709" w:firstLine="851"/>
        <w:rPr>
          <w:color w:val="000000" w:themeColor="text1"/>
        </w:rPr>
      </w:pPr>
      <w:r w:rsidRPr="009A1C6D">
        <w:rPr>
          <w:color w:val="000000" w:themeColor="text1"/>
        </w:rPr>
        <w:t>Зон для відпочинку</w:t>
      </w:r>
      <w:r w:rsidR="002B1AE2">
        <w:rPr>
          <w:color w:val="000000" w:themeColor="text1"/>
        </w:rPr>
        <w:t>.</w:t>
      </w:r>
    </w:p>
    <w:p w:rsidR="00AC499C" w:rsidRDefault="00AC499C" w:rsidP="000303D7">
      <w:pPr>
        <w:pStyle w:val="a7"/>
        <w:numPr>
          <w:ilvl w:val="0"/>
          <w:numId w:val="135"/>
        </w:numPr>
        <w:tabs>
          <w:tab w:val="left" w:pos="1134"/>
        </w:tabs>
        <w:ind w:left="709" w:firstLine="851"/>
        <w:rPr>
          <w:color w:val="000000" w:themeColor="text1"/>
        </w:rPr>
      </w:pPr>
      <w:r>
        <w:rPr>
          <w:color w:val="000000" w:themeColor="text1"/>
        </w:rPr>
        <w:t>Д</w:t>
      </w:r>
      <w:r w:rsidRPr="009A1C6D">
        <w:rPr>
          <w:color w:val="000000" w:themeColor="text1"/>
        </w:rPr>
        <w:t>итячих майданчиків</w:t>
      </w:r>
      <w:r w:rsidR="002B1AE2">
        <w:rPr>
          <w:color w:val="000000" w:themeColor="text1"/>
        </w:rPr>
        <w:t>.</w:t>
      </w:r>
    </w:p>
    <w:p w:rsidR="00AC499C" w:rsidRDefault="00AC499C" w:rsidP="000303D7">
      <w:pPr>
        <w:pStyle w:val="a7"/>
        <w:numPr>
          <w:ilvl w:val="0"/>
          <w:numId w:val="135"/>
        </w:numPr>
        <w:tabs>
          <w:tab w:val="left" w:pos="1134"/>
        </w:tabs>
        <w:ind w:left="709" w:firstLine="851"/>
        <w:rPr>
          <w:color w:val="000000" w:themeColor="text1"/>
        </w:rPr>
      </w:pPr>
      <w:r>
        <w:rPr>
          <w:color w:val="000000" w:themeColor="text1"/>
        </w:rPr>
        <w:t>С</w:t>
      </w:r>
      <w:r w:rsidRPr="009A1C6D">
        <w:rPr>
          <w:color w:val="000000" w:themeColor="text1"/>
        </w:rPr>
        <w:t>міттєвих баків</w:t>
      </w:r>
      <w:r w:rsidR="002B1AE2">
        <w:rPr>
          <w:color w:val="000000" w:themeColor="text1"/>
        </w:rPr>
        <w:t>.</w:t>
      </w:r>
    </w:p>
    <w:p w:rsidR="00AC499C" w:rsidRPr="009A1C6D" w:rsidRDefault="00AC499C" w:rsidP="000303D7">
      <w:pPr>
        <w:pStyle w:val="a7"/>
        <w:numPr>
          <w:ilvl w:val="0"/>
          <w:numId w:val="135"/>
        </w:numPr>
        <w:tabs>
          <w:tab w:val="left" w:pos="1134"/>
        </w:tabs>
        <w:ind w:left="709" w:firstLine="851"/>
        <w:rPr>
          <w:color w:val="000000" w:themeColor="text1"/>
        </w:rPr>
      </w:pPr>
      <w:r>
        <w:rPr>
          <w:color w:val="000000" w:themeColor="text1"/>
        </w:rPr>
        <w:t>Р</w:t>
      </w:r>
      <w:r w:rsidRPr="009A1C6D">
        <w:rPr>
          <w:color w:val="000000" w:themeColor="text1"/>
        </w:rPr>
        <w:t>івних доріг</w:t>
      </w:r>
      <w:r w:rsidR="002B1AE2">
        <w:rPr>
          <w:color w:val="000000" w:themeColor="text1"/>
        </w:rPr>
        <w:t>.</w:t>
      </w:r>
    </w:p>
    <w:p w:rsidR="00AC499C" w:rsidRDefault="00AC499C" w:rsidP="00AC499C">
      <w:pPr>
        <w:tabs>
          <w:tab w:val="left" w:pos="1134"/>
        </w:tabs>
        <w:rPr>
          <w:color w:val="FF0000"/>
        </w:rPr>
      </w:pPr>
    </w:p>
    <w:p w:rsidR="00AC499C" w:rsidRPr="003E5189" w:rsidRDefault="002B1AE2" w:rsidP="00A958AD">
      <w:pPr>
        <w:tabs>
          <w:tab w:val="left" w:pos="1134"/>
        </w:tabs>
        <w:rPr>
          <w:color w:val="000000" w:themeColor="text1"/>
        </w:rPr>
      </w:pPr>
      <w:r>
        <w:rPr>
          <w:color w:val="000000" w:themeColor="text1"/>
        </w:rPr>
        <w:tab/>
      </w:r>
      <w:r w:rsidR="00AC499C" w:rsidRPr="003E5189">
        <w:rPr>
          <w:color w:val="000000" w:themeColor="text1"/>
        </w:rPr>
        <w:t xml:space="preserve">Абсолютна більшість </w:t>
      </w:r>
      <w:proofErr w:type="spellStart"/>
      <w:r w:rsidR="00AC499C" w:rsidRPr="003E5189">
        <w:rPr>
          <w:color w:val="000000" w:themeColor="text1"/>
        </w:rPr>
        <w:t>сєвєродончан</w:t>
      </w:r>
      <w:proofErr w:type="spellEnd"/>
      <w:r w:rsidR="00AC499C" w:rsidRPr="003E5189">
        <w:rPr>
          <w:color w:val="000000" w:themeColor="text1"/>
        </w:rPr>
        <w:t xml:space="preserve"> дуже високо оцінюють значення фрази «Я – СЄВЄРОДОНЧАНИН! І пишаюся цим!». 653 учасника дослідження оцінили цю тезу в максимальні 10 балів. І в цілому серед відповідей не було варіантів менш ніж у 7 балів.</w:t>
      </w:r>
    </w:p>
    <w:p w:rsidR="00AC499C" w:rsidRDefault="00AC499C" w:rsidP="00AC499C">
      <w:pPr>
        <w:tabs>
          <w:tab w:val="left" w:pos="1134"/>
        </w:tabs>
        <w:rPr>
          <w:color w:val="FF0000"/>
        </w:rPr>
      </w:pPr>
    </w:p>
    <w:p w:rsidR="00AC499C" w:rsidRDefault="00AC499C" w:rsidP="00AC499C">
      <w:pPr>
        <w:tabs>
          <w:tab w:val="left" w:pos="1134"/>
        </w:tabs>
        <w:jc w:val="center"/>
        <w:rPr>
          <w:color w:val="FF0000"/>
        </w:rPr>
      </w:pPr>
      <w:r>
        <w:rPr>
          <w:noProof/>
          <w:lang w:eastAsia="uk-UA"/>
        </w:rPr>
        <w:drawing>
          <wp:inline distT="0" distB="0" distL="0" distR="0">
            <wp:extent cx="4584700" cy="2755900"/>
            <wp:effectExtent l="0" t="0" r="0" b="0"/>
            <wp:docPr id="4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4584700" cy="2755900"/>
                    </a:xfrm>
                    <a:prstGeom prst="rect">
                      <a:avLst/>
                    </a:prstGeom>
                  </pic:spPr>
                </pic:pic>
              </a:graphicData>
            </a:graphic>
          </wp:inline>
        </w:drawing>
      </w:r>
    </w:p>
    <w:p w:rsidR="00A958AD" w:rsidRDefault="00A958AD" w:rsidP="00A958AD">
      <w:pPr>
        <w:tabs>
          <w:tab w:val="left" w:pos="1134"/>
        </w:tabs>
        <w:rPr>
          <w:color w:val="000000" w:themeColor="text1"/>
          <w:lang w:val="en-US"/>
        </w:rPr>
      </w:pPr>
    </w:p>
    <w:p w:rsidR="00AC499C" w:rsidRPr="003E5189" w:rsidRDefault="0075636A" w:rsidP="00A958AD">
      <w:pPr>
        <w:tabs>
          <w:tab w:val="left" w:pos="1134"/>
        </w:tabs>
        <w:rPr>
          <w:color w:val="000000" w:themeColor="text1"/>
        </w:rPr>
      </w:pPr>
      <w:r>
        <w:rPr>
          <w:color w:val="000000" w:themeColor="text1"/>
        </w:rPr>
        <w:tab/>
      </w:r>
      <w:r w:rsidR="00AC499C" w:rsidRPr="003E5189">
        <w:rPr>
          <w:color w:val="000000" w:themeColor="text1"/>
        </w:rPr>
        <w:t xml:space="preserve">Ще для більшої кількості </w:t>
      </w:r>
      <w:proofErr w:type="spellStart"/>
      <w:r w:rsidR="00AC499C" w:rsidRPr="003E5189">
        <w:rPr>
          <w:color w:val="000000" w:themeColor="text1"/>
        </w:rPr>
        <w:t>сєвєродончан</w:t>
      </w:r>
      <w:proofErr w:type="spellEnd"/>
      <w:r w:rsidR="00AC499C" w:rsidRPr="003E5189">
        <w:rPr>
          <w:color w:val="000000" w:themeColor="text1"/>
        </w:rPr>
        <w:t xml:space="preserve"> дуже важливим є твердження «Майбутнє Сєвєродонецька, його відновлення та відбудова - важливі для мене!». 725 респондентів оцінили цю тезу в максимальні 10 балів. І в цілому серед відповідей не було варіантів менш ніж у 8 балів.</w:t>
      </w:r>
    </w:p>
    <w:p w:rsidR="00AC499C" w:rsidRPr="003E5189" w:rsidRDefault="00AC499C" w:rsidP="00AC499C">
      <w:pPr>
        <w:tabs>
          <w:tab w:val="left" w:pos="1134"/>
        </w:tabs>
        <w:ind w:left="709"/>
        <w:rPr>
          <w:color w:val="000000" w:themeColor="text1"/>
        </w:rPr>
      </w:pPr>
    </w:p>
    <w:p w:rsidR="00AC499C" w:rsidRDefault="00AC499C" w:rsidP="00AC499C">
      <w:pPr>
        <w:tabs>
          <w:tab w:val="left" w:pos="1134"/>
        </w:tabs>
        <w:jc w:val="center"/>
        <w:rPr>
          <w:color w:val="FF0000"/>
        </w:rPr>
      </w:pPr>
      <w:r>
        <w:rPr>
          <w:noProof/>
          <w:lang w:eastAsia="uk-UA"/>
        </w:rPr>
        <w:drawing>
          <wp:inline distT="0" distB="0" distL="0" distR="0">
            <wp:extent cx="4584700" cy="2755900"/>
            <wp:effectExtent l="0" t="0" r="0" b="0"/>
            <wp:docPr id="4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4584700" cy="2755900"/>
                    </a:xfrm>
                    <a:prstGeom prst="rect">
                      <a:avLst/>
                    </a:prstGeom>
                  </pic:spPr>
                </pic:pic>
              </a:graphicData>
            </a:graphic>
          </wp:inline>
        </w:drawing>
      </w:r>
    </w:p>
    <w:p w:rsidR="00A958AD" w:rsidRDefault="00A958AD" w:rsidP="00A958AD">
      <w:pPr>
        <w:tabs>
          <w:tab w:val="left" w:pos="1134"/>
        </w:tabs>
        <w:rPr>
          <w:color w:val="FF0000"/>
          <w:lang w:val="en-US"/>
        </w:rPr>
      </w:pPr>
    </w:p>
    <w:p w:rsidR="00AC499C" w:rsidRPr="003E5189" w:rsidRDefault="00331662" w:rsidP="00A958AD">
      <w:pPr>
        <w:tabs>
          <w:tab w:val="left" w:pos="1134"/>
        </w:tabs>
        <w:rPr>
          <w:color w:val="000000" w:themeColor="text1"/>
        </w:rPr>
      </w:pPr>
      <w:r>
        <w:rPr>
          <w:color w:val="000000" w:themeColor="text1"/>
        </w:rPr>
        <w:tab/>
      </w:r>
      <w:r w:rsidR="00AC499C" w:rsidRPr="003E5189">
        <w:rPr>
          <w:color w:val="000000" w:themeColor="text1"/>
        </w:rPr>
        <w:t xml:space="preserve">Виходячи з важливості для респондентів зазначених тез, цілком очікуваними є плани повернення в громаду після </w:t>
      </w:r>
      <w:proofErr w:type="spellStart"/>
      <w:r w:rsidR="00AC499C" w:rsidRPr="003E5189">
        <w:rPr>
          <w:color w:val="000000" w:themeColor="text1"/>
        </w:rPr>
        <w:t>деокупації</w:t>
      </w:r>
      <w:proofErr w:type="spellEnd"/>
      <w:r w:rsidR="00C0432F">
        <w:rPr>
          <w:color w:val="000000" w:themeColor="text1"/>
        </w:rPr>
        <w:t xml:space="preserve"> її території</w:t>
      </w:r>
      <w:r w:rsidR="00AC499C" w:rsidRPr="003E5189">
        <w:rPr>
          <w:color w:val="000000" w:themeColor="text1"/>
        </w:rPr>
        <w:t>. 83% учасників дослідження</w:t>
      </w:r>
      <w:r w:rsidR="008109C1">
        <w:rPr>
          <w:color w:val="000000" w:themeColor="text1"/>
        </w:rPr>
        <w:t xml:space="preserve"> </w:t>
      </w:r>
      <w:r w:rsidR="00AC499C" w:rsidRPr="003E5189">
        <w:rPr>
          <w:color w:val="000000" w:themeColor="text1"/>
        </w:rPr>
        <w:t xml:space="preserve">впевнено заявили про свою готовність до повернення. І тільки 2% вже прийняли остаточне рішення залишитися в нових місцях перебування. 15% - ще остаточно не визначились з цим доленосним рішенням. </w:t>
      </w:r>
    </w:p>
    <w:p w:rsidR="00AC499C" w:rsidRPr="003E5189" w:rsidRDefault="00AC499C" w:rsidP="00AC499C">
      <w:pPr>
        <w:tabs>
          <w:tab w:val="left" w:pos="1134"/>
        </w:tabs>
        <w:rPr>
          <w:color w:val="000000" w:themeColor="text1"/>
        </w:rPr>
      </w:pPr>
    </w:p>
    <w:p w:rsidR="00AC499C" w:rsidRDefault="00AC499C" w:rsidP="00AC499C">
      <w:pPr>
        <w:tabs>
          <w:tab w:val="left" w:pos="1134"/>
        </w:tabs>
        <w:jc w:val="center"/>
        <w:rPr>
          <w:color w:val="FF0000"/>
        </w:rPr>
      </w:pPr>
      <w:r>
        <w:rPr>
          <w:noProof/>
          <w:lang w:eastAsia="uk-UA"/>
        </w:rPr>
        <w:lastRenderedPageBreak/>
        <w:drawing>
          <wp:inline distT="0" distB="0" distL="0" distR="0">
            <wp:extent cx="4584700" cy="2755900"/>
            <wp:effectExtent l="0" t="0" r="0" b="0"/>
            <wp:docPr id="45"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4584700" cy="2755900"/>
                    </a:xfrm>
                    <a:prstGeom prst="rect">
                      <a:avLst/>
                    </a:prstGeom>
                  </pic:spPr>
                </pic:pic>
              </a:graphicData>
            </a:graphic>
          </wp:inline>
        </w:drawing>
      </w:r>
    </w:p>
    <w:p w:rsidR="00A958AD" w:rsidRDefault="00A958AD" w:rsidP="00A958AD">
      <w:pPr>
        <w:tabs>
          <w:tab w:val="left" w:pos="1134"/>
        </w:tabs>
        <w:rPr>
          <w:color w:val="FF0000"/>
          <w:lang w:val="en-US"/>
        </w:rPr>
      </w:pPr>
    </w:p>
    <w:p w:rsidR="00AC499C" w:rsidRPr="003E5189" w:rsidRDefault="001E2873" w:rsidP="00A958AD">
      <w:pPr>
        <w:tabs>
          <w:tab w:val="left" w:pos="1134"/>
        </w:tabs>
        <w:rPr>
          <w:color w:val="000000" w:themeColor="text1"/>
        </w:rPr>
      </w:pPr>
      <w:r>
        <w:rPr>
          <w:color w:val="000000" w:themeColor="text1"/>
        </w:rPr>
        <w:tab/>
      </w:r>
      <w:r w:rsidR="00AC499C" w:rsidRPr="003E5189">
        <w:rPr>
          <w:color w:val="000000" w:themeColor="text1"/>
        </w:rPr>
        <w:t xml:space="preserve">Важливо також зазначити, що переважна кількість </w:t>
      </w:r>
      <w:proofErr w:type="spellStart"/>
      <w:r w:rsidR="00AC499C" w:rsidRPr="003E5189">
        <w:rPr>
          <w:color w:val="000000" w:themeColor="text1"/>
        </w:rPr>
        <w:t>сєвєродончан</w:t>
      </w:r>
      <w:proofErr w:type="spellEnd"/>
      <w:r w:rsidR="00AC499C" w:rsidRPr="003E5189">
        <w:rPr>
          <w:color w:val="000000" w:themeColor="text1"/>
        </w:rPr>
        <w:t xml:space="preserve"> (80%) проголошують про особисту готовність долучитися до процесів відбудови.</w:t>
      </w:r>
    </w:p>
    <w:p w:rsidR="00AC499C" w:rsidRDefault="00AC499C" w:rsidP="00AC499C">
      <w:pPr>
        <w:tabs>
          <w:tab w:val="left" w:pos="1134"/>
        </w:tabs>
        <w:rPr>
          <w:color w:val="FF0000"/>
        </w:rPr>
      </w:pPr>
    </w:p>
    <w:p w:rsidR="00AC499C" w:rsidRDefault="00AC499C" w:rsidP="00AC499C">
      <w:pPr>
        <w:tabs>
          <w:tab w:val="left" w:pos="1134"/>
        </w:tabs>
        <w:jc w:val="center"/>
        <w:rPr>
          <w:color w:val="FF0000"/>
        </w:rPr>
      </w:pPr>
      <w:r>
        <w:rPr>
          <w:noProof/>
          <w:lang w:eastAsia="uk-UA"/>
        </w:rPr>
        <w:drawing>
          <wp:inline distT="0" distB="0" distL="0" distR="0">
            <wp:extent cx="4584700" cy="2755900"/>
            <wp:effectExtent l="0" t="0" r="0" b="0"/>
            <wp:docPr id="4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4584700" cy="2755900"/>
                    </a:xfrm>
                    <a:prstGeom prst="rect">
                      <a:avLst/>
                    </a:prstGeom>
                  </pic:spPr>
                </pic:pic>
              </a:graphicData>
            </a:graphic>
          </wp:inline>
        </w:drawing>
      </w:r>
    </w:p>
    <w:p w:rsidR="00A958AD" w:rsidRDefault="00A958AD" w:rsidP="00A958AD">
      <w:pPr>
        <w:tabs>
          <w:tab w:val="left" w:pos="1134"/>
        </w:tabs>
        <w:rPr>
          <w:color w:val="FF0000"/>
          <w:lang w:val="en-US"/>
        </w:rPr>
      </w:pPr>
    </w:p>
    <w:p w:rsidR="00AC499C" w:rsidRPr="009A1C6D" w:rsidRDefault="001E2873" w:rsidP="00A958AD">
      <w:pPr>
        <w:tabs>
          <w:tab w:val="left" w:pos="1134"/>
        </w:tabs>
        <w:rPr>
          <w:color w:val="000000" w:themeColor="text1"/>
        </w:rPr>
      </w:pPr>
      <w:r>
        <w:rPr>
          <w:color w:val="000000" w:themeColor="text1"/>
        </w:rPr>
        <w:tab/>
      </w:r>
      <w:r w:rsidR="00AC499C">
        <w:rPr>
          <w:color w:val="000000" w:themeColor="text1"/>
        </w:rPr>
        <w:t xml:space="preserve">При цьому окремі респонденти дуже </w:t>
      </w:r>
      <w:proofErr w:type="spellStart"/>
      <w:r w:rsidR="00AC499C">
        <w:rPr>
          <w:color w:val="000000" w:themeColor="text1"/>
        </w:rPr>
        <w:t>емоційно</w:t>
      </w:r>
      <w:proofErr w:type="spellEnd"/>
      <w:r w:rsidR="00AC499C">
        <w:rPr>
          <w:color w:val="000000" w:themeColor="text1"/>
        </w:rPr>
        <w:t xml:space="preserve"> коментують таку свою готовність</w:t>
      </w:r>
      <w:r w:rsidR="00E93690">
        <w:rPr>
          <w:color w:val="000000" w:themeColor="text1"/>
        </w:rPr>
        <w:t>.</w:t>
      </w:r>
    </w:p>
    <w:p w:rsidR="00AC499C" w:rsidRPr="003E5189" w:rsidRDefault="00AC499C" w:rsidP="000303D7">
      <w:pPr>
        <w:pStyle w:val="a7"/>
        <w:numPr>
          <w:ilvl w:val="0"/>
          <w:numId w:val="137"/>
        </w:numPr>
        <w:tabs>
          <w:tab w:val="left" w:pos="1134"/>
        </w:tabs>
        <w:rPr>
          <w:color w:val="000000" w:themeColor="text1"/>
        </w:rPr>
      </w:pPr>
      <w:r w:rsidRPr="003E5189">
        <w:rPr>
          <w:color w:val="000000" w:themeColor="text1"/>
        </w:rPr>
        <w:t>«</w:t>
      </w:r>
      <w:proofErr w:type="spellStart"/>
      <w:r w:rsidRPr="003E5189">
        <w:rPr>
          <w:color w:val="000000" w:themeColor="text1"/>
        </w:rPr>
        <w:t>Как</w:t>
      </w:r>
      <w:proofErr w:type="spellEnd"/>
      <w:r w:rsidRPr="003E5189">
        <w:rPr>
          <w:color w:val="000000" w:themeColor="text1"/>
        </w:rPr>
        <w:t xml:space="preserve"> </w:t>
      </w:r>
      <w:proofErr w:type="spellStart"/>
      <w:r w:rsidRPr="003E5189">
        <w:rPr>
          <w:color w:val="000000" w:themeColor="text1"/>
        </w:rPr>
        <w:t>только</w:t>
      </w:r>
      <w:proofErr w:type="spellEnd"/>
      <w:r w:rsidRPr="003E5189">
        <w:rPr>
          <w:color w:val="000000" w:themeColor="text1"/>
        </w:rPr>
        <w:t xml:space="preserve"> </w:t>
      </w:r>
      <w:proofErr w:type="spellStart"/>
      <w:r w:rsidRPr="003E5189">
        <w:rPr>
          <w:color w:val="000000" w:themeColor="text1"/>
        </w:rPr>
        <w:t>Север</w:t>
      </w:r>
      <w:proofErr w:type="spellEnd"/>
      <w:r w:rsidRPr="003E5189">
        <w:rPr>
          <w:color w:val="000000" w:themeColor="text1"/>
        </w:rPr>
        <w:t xml:space="preserve"> </w:t>
      </w:r>
      <w:proofErr w:type="spellStart"/>
      <w:r w:rsidRPr="003E5189">
        <w:rPr>
          <w:color w:val="000000" w:themeColor="text1"/>
        </w:rPr>
        <w:t>будет</w:t>
      </w:r>
      <w:proofErr w:type="spellEnd"/>
      <w:r w:rsidRPr="003E5189">
        <w:rPr>
          <w:color w:val="000000" w:themeColor="text1"/>
        </w:rPr>
        <w:t xml:space="preserve"> </w:t>
      </w:r>
      <w:proofErr w:type="spellStart"/>
      <w:r w:rsidRPr="003E5189">
        <w:rPr>
          <w:color w:val="000000" w:themeColor="text1"/>
        </w:rPr>
        <w:t>деок</w:t>
      </w:r>
      <w:r w:rsidR="00AB4448">
        <w:rPr>
          <w:color w:val="000000" w:themeColor="text1"/>
        </w:rPr>
        <w:t>к</w:t>
      </w:r>
      <w:r w:rsidRPr="003E5189">
        <w:rPr>
          <w:color w:val="000000" w:themeColor="text1"/>
        </w:rPr>
        <w:t>упирован</w:t>
      </w:r>
      <w:proofErr w:type="spellEnd"/>
      <w:r w:rsidRPr="003E5189">
        <w:rPr>
          <w:color w:val="000000" w:themeColor="text1"/>
        </w:rPr>
        <w:t xml:space="preserve">, я буду в </w:t>
      </w:r>
      <w:proofErr w:type="spellStart"/>
      <w:r w:rsidRPr="003E5189">
        <w:rPr>
          <w:color w:val="000000" w:themeColor="text1"/>
        </w:rPr>
        <w:t>первых</w:t>
      </w:r>
      <w:proofErr w:type="spellEnd"/>
      <w:r w:rsidRPr="003E5189">
        <w:rPr>
          <w:color w:val="000000" w:themeColor="text1"/>
        </w:rPr>
        <w:t xml:space="preserve"> рядах </w:t>
      </w:r>
      <w:proofErr w:type="spellStart"/>
      <w:r w:rsidR="00AB4448">
        <w:rPr>
          <w:color w:val="000000" w:themeColor="text1"/>
        </w:rPr>
        <w:t>тех</w:t>
      </w:r>
      <w:proofErr w:type="spellEnd"/>
      <w:r w:rsidR="00AB4448">
        <w:rPr>
          <w:color w:val="000000" w:themeColor="text1"/>
        </w:rPr>
        <w:t>,</w:t>
      </w:r>
      <w:r w:rsidRPr="003E5189">
        <w:rPr>
          <w:color w:val="000000" w:themeColor="text1"/>
        </w:rPr>
        <w:t xml:space="preserve"> </w:t>
      </w:r>
      <w:proofErr w:type="spellStart"/>
      <w:r w:rsidRPr="003E5189">
        <w:rPr>
          <w:color w:val="000000" w:themeColor="text1"/>
        </w:rPr>
        <w:t>кто</w:t>
      </w:r>
      <w:proofErr w:type="spellEnd"/>
      <w:r w:rsidRPr="003E5189">
        <w:rPr>
          <w:color w:val="000000" w:themeColor="text1"/>
        </w:rPr>
        <w:t xml:space="preserve"> </w:t>
      </w:r>
      <w:proofErr w:type="spellStart"/>
      <w:r w:rsidRPr="003E5189">
        <w:rPr>
          <w:color w:val="000000" w:themeColor="text1"/>
        </w:rPr>
        <w:t>устр</w:t>
      </w:r>
      <w:r w:rsidR="00823E8E">
        <w:rPr>
          <w:color w:val="000000" w:themeColor="text1"/>
        </w:rPr>
        <w:t>е</w:t>
      </w:r>
      <w:r w:rsidRPr="003E5189">
        <w:rPr>
          <w:color w:val="000000" w:themeColor="text1"/>
        </w:rPr>
        <w:t>мится</w:t>
      </w:r>
      <w:proofErr w:type="spellEnd"/>
      <w:r w:rsidRPr="003E5189">
        <w:rPr>
          <w:color w:val="000000" w:themeColor="text1"/>
        </w:rPr>
        <w:t xml:space="preserve"> </w:t>
      </w:r>
      <w:proofErr w:type="spellStart"/>
      <w:r w:rsidRPr="003E5189">
        <w:rPr>
          <w:color w:val="000000" w:themeColor="text1"/>
        </w:rPr>
        <w:t>домой</w:t>
      </w:r>
      <w:proofErr w:type="spellEnd"/>
      <w:r w:rsidRPr="003E5189">
        <w:rPr>
          <w:color w:val="000000" w:themeColor="text1"/>
        </w:rPr>
        <w:t xml:space="preserve">! Я буду </w:t>
      </w:r>
      <w:proofErr w:type="spellStart"/>
      <w:r w:rsidRPr="003E5189">
        <w:rPr>
          <w:color w:val="000000" w:themeColor="text1"/>
        </w:rPr>
        <w:t>работать</w:t>
      </w:r>
      <w:proofErr w:type="spellEnd"/>
      <w:r w:rsidRPr="003E5189">
        <w:rPr>
          <w:color w:val="000000" w:themeColor="text1"/>
        </w:rPr>
        <w:t xml:space="preserve"> за </w:t>
      </w:r>
      <w:proofErr w:type="spellStart"/>
      <w:r w:rsidRPr="003E5189">
        <w:rPr>
          <w:color w:val="000000" w:themeColor="text1"/>
        </w:rPr>
        <w:t>еду</w:t>
      </w:r>
      <w:proofErr w:type="spellEnd"/>
      <w:r w:rsidRPr="003E5189">
        <w:rPr>
          <w:color w:val="000000" w:themeColor="text1"/>
        </w:rPr>
        <w:t xml:space="preserve">! </w:t>
      </w:r>
      <w:proofErr w:type="spellStart"/>
      <w:r w:rsidRPr="003E5189">
        <w:rPr>
          <w:color w:val="000000" w:themeColor="text1"/>
        </w:rPr>
        <w:t>Лишь</w:t>
      </w:r>
      <w:proofErr w:type="spellEnd"/>
      <w:r w:rsidRPr="003E5189">
        <w:rPr>
          <w:color w:val="000000" w:themeColor="text1"/>
        </w:rPr>
        <w:t xml:space="preserve"> </w:t>
      </w:r>
      <w:proofErr w:type="spellStart"/>
      <w:r w:rsidRPr="003E5189">
        <w:rPr>
          <w:color w:val="000000" w:themeColor="text1"/>
        </w:rPr>
        <w:t>бы</w:t>
      </w:r>
      <w:proofErr w:type="spellEnd"/>
      <w:r w:rsidRPr="003E5189">
        <w:rPr>
          <w:color w:val="000000" w:themeColor="text1"/>
        </w:rPr>
        <w:t xml:space="preserve"> дали </w:t>
      </w:r>
      <w:proofErr w:type="spellStart"/>
      <w:r w:rsidRPr="003E5189">
        <w:rPr>
          <w:color w:val="000000" w:themeColor="text1"/>
        </w:rPr>
        <w:t>возможность</w:t>
      </w:r>
      <w:proofErr w:type="spellEnd"/>
      <w:r w:rsidRPr="003E5189">
        <w:rPr>
          <w:color w:val="000000" w:themeColor="text1"/>
        </w:rPr>
        <w:t xml:space="preserve"> </w:t>
      </w:r>
      <w:proofErr w:type="spellStart"/>
      <w:r w:rsidRPr="003E5189">
        <w:rPr>
          <w:color w:val="000000" w:themeColor="text1"/>
        </w:rPr>
        <w:t>принять</w:t>
      </w:r>
      <w:proofErr w:type="spellEnd"/>
      <w:r w:rsidRPr="003E5189">
        <w:rPr>
          <w:color w:val="000000" w:themeColor="text1"/>
        </w:rPr>
        <w:t xml:space="preserve"> </w:t>
      </w:r>
      <w:proofErr w:type="spellStart"/>
      <w:r w:rsidRPr="003E5189">
        <w:rPr>
          <w:color w:val="000000" w:themeColor="text1"/>
        </w:rPr>
        <w:t>участие</w:t>
      </w:r>
      <w:proofErr w:type="spellEnd"/>
      <w:r w:rsidRPr="003E5189">
        <w:rPr>
          <w:color w:val="000000" w:themeColor="text1"/>
        </w:rPr>
        <w:t xml:space="preserve"> в </w:t>
      </w:r>
      <w:proofErr w:type="spellStart"/>
      <w:r w:rsidRPr="003E5189">
        <w:rPr>
          <w:color w:val="000000" w:themeColor="text1"/>
        </w:rPr>
        <w:t>работах</w:t>
      </w:r>
      <w:proofErr w:type="spellEnd"/>
      <w:r w:rsidRPr="003E5189">
        <w:rPr>
          <w:color w:val="000000" w:themeColor="text1"/>
        </w:rPr>
        <w:t xml:space="preserve"> по </w:t>
      </w:r>
      <w:proofErr w:type="spellStart"/>
      <w:r w:rsidRPr="003E5189">
        <w:rPr>
          <w:color w:val="000000" w:themeColor="text1"/>
        </w:rPr>
        <w:t>восстановлению</w:t>
      </w:r>
      <w:proofErr w:type="spellEnd"/>
      <w:r w:rsidRPr="003E5189">
        <w:rPr>
          <w:color w:val="000000" w:themeColor="text1"/>
        </w:rPr>
        <w:t>! Я хочу</w:t>
      </w:r>
      <w:r w:rsidR="00E93690">
        <w:rPr>
          <w:color w:val="000000" w:themeColor="text1"/>
        </w:rPr>
        <w:t>,</w:t>
      </w:r>
      <w:r w:rsidRPr="003E5189">
        <w:rPr>
          <w:color w:val="000000" w:themeColor="text1"/>
        </w:rPr>
        <w:t xml:space="preserve"> </w:t>
      </w:r>
      <w:proofErr w:type="spellStart"/>
      <w:r w:rsidRPr="003E5189">
        <w:rPr>
          <w:color w:val="000000" w:themeColor="text1"/>
        </w:rPr>
        <w:t>чтобы</w:t>
      </w:r>
      <w:proofErr w:type="spellEnd"/>
      <w:r w:rsidRPr="003E5189">
        <w:rPr>
          <w:color w:val="000000" w:themeColor="text1"/>
        </w:rPr>
        <w:t xml:space="preserve"> </w:t>
      </w:r>
      <w:proofErr w:type="spellStart"/>
      <w:r w:rsidRPr="003E5189">
        <w:rPr>
          <w:color w:val="000000" w:themeColor="text1"/>
        </w:rPr>
        <w:t>мой</w:t>
      </w:r>
      <w:proofErr w:type="spellEnd"/>
      <w:r w:rsidRPr="003E5189">
        <w:rPr>
          <w:color w:val="000000" w:themeColor="text1"/>
        </w:rPr>
        <w:t xml:space="preserve"> город </w:t>
      </w:r>
      <w:proofErr w:type="spellStart"/>
      <w:r w:rsidRPr="003E5189">
        <w:rPr>
          <w:color w:val="000000" w:themeColor="text1"/>
        </w:rPr>
        <w:t>снова</w:t>
      </w:r>
      <w:proofErr w:type="spellEnd"/>
      <w:r w:rsidRPr="003E5189">
        <w:rPr>
          <w:color w:val="000000" w:themeColor="text1"/>
        </w:rPr>
        <w:t xml:space="preserve"> </w:t>
      </w:r>
      <w:proofErr w:type="spellStart"/>
      <w:r w:rsidRPr="003E5189">
        <w:rPr>
          <w:color w:val="000000" w:themeColor="text1"/>
        </w:rPr>
        <w:t>стал</w:t>
      </w:r>
      <w:proofErr w:type="spellEnd"/>
      <w:r w:rsidRPr="003E5189">
        <w:rPr>
          <w:color w:val="000000" w:themeColor="text1"/>
        </w:rPr>
        <w:t xml:space="preserve"> </w:t>
      </w:r>
      <w:proofErr w:type="spellStart"/>
      <w:r w:rsidRPr="003E5189">
        <w:rPr>
          <w:color w:val="000000" w:themeColor="text1"/>
        </w:rPr>
        <w:t>молодым</w:t>
      </w:r>
      <w:proofErr w:type="spellEnd"/>
      <w:r w:rsidRPr="003E5189">
        <w:rPr>
          <w:color w:val="000000" w:themeColor="text1"/>
        </w:rPr>
        <w:t xml:space="preserve"> и </w:t>
      </w:r>
      <w:proofErr w:type="spellStart"/>
      <w:r w:rsidRPr="003E5189">
        <w:rPr>
          <w:color w:val="000000" w:themeColor="text1"/>
        </w:rPr>
        <w:t>светлым</w:t>
      </w:r>
      <w:proofErr w:type="spellEnd"/>
      <w:r w:rsidRPr="003E5189">
        <w:rPr>
          <w:color w:val="000000" w:themeColor="text1"/>
        </w:rPr>
        <w:t>!»</w:t>
      </w:r>
    </w:p>
    <w:p w:rsidR="00AC499C" w:rsidRDefault="00AC499C" w:rsidP="000303D7">
      <w:pPr>
        <w:pStyle w:val="a7"/>
        <w:numPr>
          <w:ilvl w:val="0"/>
          <w:numId w:val="137"/>
        </w:numPr>
        <w:tabs>
          <w:tab w:val="left" w:pos="1134"/>
        </w:tabs>
        <w:rPr>
          <w:color w:val="000000" w:themeColor="text1"/>
        </w:rPr>
      </w:pPr>
      <w:r w:rsidRPr="003E5189">
        <w:rPr>
          <w:color w:val="000000" w:themeColor="text1"/>
        </w:rPr>
        <w:t>«Бажано, щоб при відновленні міста зберегли архітектуру, дух і мікроклімат кожного з кварталів, районів міста, особливо старих районів, на місці зруйнованих будинків побудували максимально схожі на зруйновані, але сучасні всередині. При відновленні максимально врахували думку мешканців міста»</w:t>
      </w:r>
    </w:p>
    <w:p w:rsidR="00AC499C" w:rsidRDefault="00AC499C" w:rsidP="00AC499C">
      <w:pPr>
        <w:tabs>
          <w:tab w:val="left" w:pos="1134"/>
        </w:tabs>
        <w:rPr>
          <w:color w:val="000000" w:themeColor="text1"/>
        </w:rPr>
      </w:pPr>
    </w:p>
    <w:p w:rsidR="00AC499C" w:rsidRDefault="00E93690" w:rsidP="00AC499C">
      <w:pPr>
        <w:tabs>
          <w:tab w:val="left" w:pos="1134"/>
        </w:tabs>
        <w:rPr>
          <w:color w:val="000000" w:themeColor="text1"/>
        </w:rPr>
      </w:pPr>
      <w:r>
        <w:rPr>
          <w:color w:val="000000" w:themeColor="text1"/>
        </w:rPr>
        <w:tab/>
      </w:r>
      <w:r w:rsidR="00AC499C">
        <w:rPr>
          <w:color w:val="000000" w:themeColor="text1"/>
        </w:rPr>
        <w:t>Ключові висновки за результатами дослідження</w:t>
      </w:r>
      <w:r w:rsidR="00B4525C">
        <w:rPr>
          <w:color w:val="000000" w:themeColor="text1"/>
        </w:rPr>
        <w:t>.</w:t>
      </w:r>
    </w:p>
    <w:p w:rsidR="00AC499C" w:rsidRDefault="00AC499C" w:rsidP="000303D7">
      <w:pPr>
        <w:pStyle w:val="a7"/>
        <w:numPr>
          <w:ilvl w:val="0"/>
          <w:numId w:val="137"/>
        </w:numPr>
        <w:tabs>
          <w:tab w:val="left" w:pos="1134"/>
        </w:tabs>
        <w:rPr>
          <w:color w:val="000000" w:themeColor="text1"/>
        </w:rPr>
      </w:pPr>
      <w:r>
        <w:rPr>
          <w:color w:val="000000" w:themeColor="text1"/>
        </w:rPr>
        <w:t>У</w:t>
      </w:r>
      <w:r w:rsidRPr="00F35411">
        <w:rPr>
          <w:color w:val="000000" w:themeColor="text1"/>
        </w:rPr>
        <w:t xml:space="preserve"> мешканців Сєвєродонецька спостерігається високий рівень емоційного зв’язку з громадою навіть в умовах вимушеного переміщення</w:t>
      </w:r>
      <w:r>
        <w:rPr>
          <w:color w:val="000000" w:themeColor="text1"/>
        </w:rPr>
        <w:t xml:space="preserve">, що </w:t>
      </w:r>
      <w:r w:rsidRPr="00F35411">
        <w:rPr>
          <w:color w:val="000000" w:themeColor="text1"/>
        </w:rPr>
        <w:t xml:space="preserve">свідчить про сильну спільноту та </w:t>
      </w:r>
      <w:r>
        <w:rPr>
          <w:color w:val="000000" w:themeColor="text1"/>
        </w:rPr>
        <w:t>прагнення</w:t>
      </w:r>
      <w:r w:rsidRPr="00F35411">
        <w:rPr>
          <w:color w:val="000000" w:themeColor="text1"/>
        </w:rPr>
        <w:t xml:space="preserve"> мешканців Сєвєродонецька зберегти свою ідентичність</w:t>
      </w:r>
      <w:r>
        <w:rPr>
          <w:color w:val="000000" w:themeColor="text1"/>
        </w:rPr>
        <w:t>.</w:t>
      </w:r>
    </w:p>
    <w:p w:rsidR="00AC499C" w:rsidRDefault="00AC499C" w:rsidP="000303D7">
      <w:pPr>
        <w:pStyle w:val="a7"/>
        <w:numPr>
          <w:ilvl w:val="0"/>
          <w:numId w:val="137"/>
        </w:numPr>
        <w:tabs>
          <w:tab w:val="left" w:pos="1134"/>
        </w:tabs>
        <w:rPr>
          <w:color w:val="000000" w:themeColor="text1"/>
        </w:rPr>
      </w:pPr>
      <w:r>
        <w:rPr>
          <w:color w:val="000000" w:themeColor="text1"/>
        </w:rPr>
        <w:t xml:space="preserve">Головними «магнітами» для мешканців громади є </w:t>
      </w:r>
      <w:r w:rsidR="00697D89">
        <w:rPr>
          <w:color w:val="000000" w:themeColor="text1"/>
        </w:rPr>
        <w:t>ПрАТ «Сєвєродонецьке об’єднання</w:t>
      </w:r>
      <w:r w:rsidR="00B43993">
        <w:rPr>
          <w:color w:val="000000" w:themeColor="text1"/>
          <w:lang w:val="ru-RU"/>
        </w:rPr>
        <w:t xml:space="preserve"> </w:t>
      </w:r>
      <w:r w:rsidR="00697D89">
        <w:rPr>
          <w:color w:val="000000" w:themeColor="text1"/>
        </w:rPr>
        <w:t xml:space="preserve">«Азот»», </w:t>
      </w:r>
      <w:r w:rsidR="00697D89" w:rsidRPr="00E64867">
        <w:rPr>
          <w:color w:val="000000" w:themeColor="text1"/>
        </w:rPr>
        <w:t>Луганський обласний академічний український музично-драматичний театр</w:t>
      </w:r>
      <w:r w:rsidR="00697D89" w:rsidRPr="00E64867" w:rsidDel="00B046BB">
        <w:rPr>
          <w:color w:val="000000" w:themeColor="text1"/>
        </w:rPr>
        <w:t xml:space="preserve"> </w:t>
      </w:r>
      <w:r>
        <w:rPr>
          <w:color w:val="000000" w:themeColor="text1"/>
        </w:rPr>
        <w:t>та Льодовий палац</w:t>
      </w:r>
      <w:r w:rsidR="00697D89">
        <w:rPr>
          <w:color w:val="000000" w:themeColor="text1"/>
        </w:rPr>
        <w:t xml:space="preserve"> спорту</w:t>
      </w:r>
      <w:r>
        <w:rPr>
          <w:color w:val="000000" w:themeColor="text1"/>
        </w:rPr>
        <w:t xml:space="preserve">. Цікаво, що всі три символічні об’єкти не є власністю громади, проте саме вони викликали найбільший емоційний відгук у учасників дослідження. Відповідно, відбудова хоча б одного з цих об’єктів буде мати принципове значення. </w:t>
      </w:r>
    </w:p>
    <w:p w:rsidR="00AC499C" w:rsidRDefault="00AC499C" w:rsidP="000303D7">
      <w:pPr>
        <w:pStyle w:val="a7"/>
        <w:numPr>
          <w:ilvl w:val="0"/>
          <w:numId w:val="137"/>
        </w:numPr>
        <w:tabs>
          <w:tab w:val="left" w:pos="1134"/>
        </w:tabs>
        <w:rPr>
          <w:color w:val="000000" w:themeColor="text1"/>
        </w:rPr>
      </w:pPr>
      <w:r>
        <w:rPr>
          <w:color w:val="000000" w:themeColor="text1"/>
        </w:rPr>
        <w:t>Розмірковуючи над майбутнім громади</w:t>
      </w:r>
      <w:r w:rsidR="00B4525C">
        <w:rPr>
          <w:color w:val="000000" w:themeColor="text1"/>
        </w:rPr>
        <w:t>,</w:t>
      </w:r>
      <w:r>
        <w:rPr>
          <w:color w:val="000000" w:themeColor="text1"/>
        </w:rPr>
        <w:t xml:space="preserve"> до символічних символів додаються публічні простори – парки, сквери та площі</w:t>
      </w:r>
      <w:r w:rsidR="00B4525C">
        <w:rPr>
          <w:color w:val="000000" w:themeColor="text1"/>
        </w:rPr>
        <w:t>.</w:t>
      </w:r>
      <w:r>
        <w:rPr>
          <w:color w:val="000000" w:themeColor="text1"/>
        </w:rPr>
        <w:t xml:space="preserve"> </w:t>
      </w:r>
      <w:r w:rsidR="00B4525C">
        <w:rPr>
          <w:color w:val="000000" w:themeColor="text1"/>
        </w:rPr>
        <w:t>Ц</w:t>
      </w:r>
      <w:r>
        <w:rPr>
          <w:color w:val="000000" w:themeColor="text1"/>
        </w:rPr>
        <w:t>е може створити підґрунтя для розбудови ландшафтної інфраструктури як важливої складової локальної ідентичності.</w:t>
      </w:r>
    </w:p>
    <w:p w:rsidR="00AC499C" w:rsidRDefault="00AC499C" w:rsidP="000303D7">
      <w:pPr>
        <w:pStyle w:val="a7"/>
        <w:numPr>
          <w:ilvl w:val="0"/>
          <w:numId w:val="137"/>
        </w:numPr>
        <w:tabs>
          <w:tab w:val="left" w:pos="1134"/>
        </w:tabs>
        <w:rPr>
          <w:color w:val="000000" w:themeColor="text1"/>
        </w:rPr>
      </w:pPr>
      <w:r>
        <w:rPr>
          <w:color w:val="000000" w:themeColor="text1"/>
        </w:rPr>
        <w:t xml:space="preserve">Серед пріоритетів відновлення, на думку більшості респондентів, найбільш актуальними є наступні: </w:t>
      </w:r>
      <w:r w:rsidRPr="007E1AAA">
        <w:rPr>
          <w:color w:val="000000" w:themeColor="text1"/>
        </w:rPr>
        <w:t>відновлення критичної інфраструктури</w:t>
      </w:r>
      <w:r w:rsidR="00010BC3">
        <w:rPr>
          <w:color w:val="000000" w:themeColor="text1"/>
        </w:rPr>
        <w:t>,</w:t>
      </w:r>
      <w:r>
        <w:rPr>
          <w:color w:val="000000" w:themeColor="text1"/>
        </w:rPr>
        <w:t xml:space="preserve"> </w:t>
      </w:r>
      <w:r w:rsidRPr="007E1AAA">
        <w:rPr>
          <w:color w:val="000000" w:themeColor="text1"/>
        </w:rPr>
        <w:t>відновлення житла, відновлення медичних послуг.</w:t>
      </w:r>
    </w:p>
    <w:p w:rsidR="00AC499C" w:rsidRDefault="00AC499C" w:rsidP="000303D7">
      <w:pPr>
        <w:pStyle w:val="a7"/>
        <w:numPr>
          <w:ilvl w:val="0"/>
          <w:numId w:val="137"/>
        </w:numPr>
        <w:tabs>
          <w:tab w:val="left" w:pos="1134"/>
        </w:tabs>
        <w:rPr>
          <w:color w:val="000000" w:themeColor="text1"/>
        </w:rPr>
      </w:pPr>
      <w:r>
        <w:rPr>
          <w:color w:val="000000" w:themeColor="text1"/>
        </w:rPr>
        <w:t>Учасники дослідження переконані, що відновлення сильно зруйнованих будівель в громаді може бути недоцільним. Варто на місці таких споруд створити нові об’єкти, що будуть відповідати сучасним нормам та потребам мешканців.</w:t>
      </w:r>
    </w:p>
    <w:p w:rsidR="00AC499C" w:rsidRPr="00BB3DFA" w:rsidRDefault="00AC499C" w:rsidP="000303D7">
      <w:pPr>
        <w:pStyle w:val="a7"/>
        <w:numPr>
          <w:ilvl w:val="0"/>
          <w:numId w:val="137"/>
        </w:numPr>
        <w:tabs>
          <w:tab w:val="left" w:pos="1134"/>
        </w:tabs>
        <w:rPr>
          <w:color w:val="000000" w:themeColor="text1"/>
        </w:rPr>
      </w:pPr>
      <w:r>
        <w:rPr>
          <w:color w:val="000000" w:themeColor="text1"/>
        </w:rPr>
        <w:t xml:space="preserve">Абсолютна більшість учасників дослідження планує повернення до громади після </w:t>
      </w:r>
      <w:proofErr w:type="spellStart"/>
      <w:r>
        <w:rPr>
          <w:color w:val="000000" w:themeColor="text1"/>
        </w:rPr>
        <w:t>деокупації</w:t>
      </w:r>
      <w:proofErr w:type="spellEnd"/>
      <w:r w:rsidR="00AC76FD">
        <w:rPr>
          <w:color w:val="000000" w:themeColor="text1"/>
        </w:rPr>
        <w:t xml:space="preserve"> її </w:t>
      </w:r>
      <w:proofErr w:type="spellStart"/>
      <w:r w:rsidR="00AC76FD">
        <w:rPr>
          <w:color w:val="000000" w:themeColor="text1"/>
        </w:rPr>
        <w:t>теритторії</w:t>
      </w:r>
      <w:proofErr w:type="spellEnd"/>
      <w:r>
        <w:rPr>
          <w:color w:val="000000" w:themeColor="text1"/>
        </w:rPr>
        <w:t xml:space="preserve">. Більш того, значна кількість респондентів готова особисто долучитися до процесів відновлення. </w:t>
      </w:r>
      <w:r w:rsidRPr="00C16F2B">
        <w:rPr>
          <w:color w:val="000000" w:themeColor="text1"/>
        </w:rPr>
        <w:t>Це дуже обнаді</w:t>
      </w:r>
      <w:r>
        <w:rPr>
          <w:color w:val="000000" w:themeColor="text1"/>
        </w:rPr>
        <w:t>йлива інформація</w:t>
      </w:r>
      <w:r w:rsidRPr="00C16F2B">
        <w:rPr>
          <w:color w:val="000000" w:themeColor="text1"/>
        </w:rPr>
        <w:t>, як</w:t>
      </w:r>
      <w:r>
        <w:rPr>
          <w:color w:val="000000" w:themeColor="text1"/>
        </w:rPr>
        <w:t>а</w:t>
      </w:r>
      <w:r w:rsidRPr="00C16F2B">
        <w:rPr>
          <w:color w:val="000000" w:themeColor="text1"/>
        </w:rPr>
        <w:t xml:space="preserve"> вказу</w:t>
      </w:r>
      <w:r>
        <w:rPr>
          <w:color w:val="000000" w:themeColor="text1"/>
        </w:rPr>
        <w:t>є</w:t>
      </w:r>
      <w:r w:rsidRPr="00C16F2B">
        <w:rPr>
          <w:color w:val="000000" w:themeColor="text1"/>
        </w:rPr>
        <w:t xml:space="preserve"> на глибок</w:t>
      </w:r>
      <w:r>
        <w:rPr>
          <w:color w:val="000000" w:themeColor="text1"/>
        </w:rPr>
        <w:t>ий</w:t>
      </w:r>
      <w:r w:rsidRPr="00C16F2B">
        <w:rPr>
          <w:color w:val="000000" w:themeColor="text1"/>
        </w:rPr>
        <w:t xml:space="preserve"> зв'язок </w:t>
      </w:r>
      <w:proofErr w:type="spellStart"/>
      <w:r>
        <w:rPr>
          <w:color w:val="000000" w:themeColor="text1"/>
        </w:rPr>
        <w:t>сєвєродончан</w:t>
      </w:r>
      <w:proofErr w:type="spellEnd"/>
      <w:r w:rsidRPr="00C16F2B">
        <w:rPr>
          <w:color w:val="000000" w:themeColor="text1"/>
        </w:rPr>
        <w:t xml:space="preserve"> </w:t>
      </w:r>
      <w:r>
        <w:rPr>
          <w:color w:val="000000" w:themeColor="text1"/>
        </w:rPr>
        <w:t>зі своїм</w:t>
      </w:r>
      <w:r w:rsidRPr="00C16F2B">
        <w:rPr>
          <w:color w:val="000000" w:themeColor="text1"/>
        </w:rPr>
        <w:t xml:space="preserve"> міст</w:t>
      </w:r>
      <w:r>
        <w:rPr>
          <w:color w:val="000000" w:themeColor="text1"/>
        </w:rPr>
        <w:t>ом</w:t>
      </w:r>
      <w:r w:rsidRPr="00C16F2B">
        <w:rPr>
          <w:color w:val="000000" w:themeColor="text1"/>
        </w:rPr>
        <w:t>.</w:t>
      </w:r>
      <w:r>
        <w:rPr>
          <w:color w:val="000000" w:themeColor="text1"/>
        </w:rPr>
        <w:t xml:space="preserve"> Ця єдність може </w:t>
      </w:r>
      <w:r w:rsidRPr="00C16F2B">
        <w:rPr>
          <w:color w:val="000000" w:themeColor="text1"/>
        </w:rPr>
        <w:t>стати основою для майбутнього розвитку та зміцнення Сєвєродонецьк</w:t>
      </w:r>
      <w:r>
        <w:rPr>
          <w:color w:val="000000" w:themeColor="text1"/>
        </w:rPr>
        <w:t xml:space="preserve">ої </w:t>
      </w:r>
      <w:r w:rsidR="00B4329A">
        <w:rPr>
          <w:color w:val="000000" w:themeColor="text1"/>
        </w:rPr>
        <w:t xml:space="preserve">міської територіальної </w:t>
      </w:r>
      <w:r>
        <w:rPr>
          <w:color w:val="000000" w:themeColor="text1"/>
        </w:rPr>
        <w:t>громади</w:t>
      </w:r>
      <w:r w:rsidRPr="00C16F2B">
        <w:rPr>
          <w:color w:val="000000" w:themeColor="text1"/>
        </w:rPr>
        <w:t xml:space="preserve"> після </w:t>
      </w:r>
      <w:proofErr w:type="spellStart"/>
      <w:r w:rsidRPr="00C16F2B">
        <w:rPr>
          <w:color w:val="000000" w:themeColor="text1"/>
        </w:rPr>
        <w:t>деокупації</w:t>
      </w:r>
      <w:proofErr w:type="spellEnd"/>
      <w:r w:rsidRPr="00C16F2B">
        <w:rPr>
          <w:color w:val="000000" w:themeColor="text1"/>
        </w:rPr>
        <w:t>.</w:t>
      </w:r>
    </w:p>
    <w:p w:rsidR="00AC499C" w:rsidRPr="00E95FB1" w:rsidRDefault="00AC499C" w:rsidP="00AC499C">
      <w:pPr>
        <w:pStyle w:val="1"/>
      </w:pPr>
      <w:bookmarkStart w:id="4" w:name="_Toc142141273"/>
      <w:bookmarkStart w:id="5" w:name="_Toc143012468"/>
      <w:r w:rsidRPr="00E95FB1">
        <w:t>Інформація щодо населених пунктів, які мають зруйновані та/або пошкоджені об’єкти критичної інфраструктури, соціальної інфраструктури, об’єкти житлового та громадського призначення в результаті бойових дій, ступеню їх руйнування; оцінку завданих збитків».</w:t>
      </w:r>
      <w:bookmarkEnd w:id="4"/>
      <w:bookmarkEnd w:id="5"/>
    </w:p>
    <w:p w:rsidR="00AC499C" w:rsidRPr="00E95FB1" w:rsidRDefault="00AC499C" w:rsidP="00AC499C"/>
    <w:p w:rsidR="00AC499C" w:rsidRDefault="00AC499C" w:rsidP="00AC499C">
      <w:pPr>
        <w:ind w:firstLine="567"/>
        <w:rPr>
          <w:rFonts w:eastAsia="Calibri"/>
        </w:rPr>
      </w:pPr>
      <w:r w:rsidRPr="00E95FB1">
        <w:rPr>
          <w:rFonts w:eastAsia="Calibri"/>
        </w:rPr>
        <w:t xml:space="preserve">До повномасштабного вторгнення </w:t>
      </w:r>
      <w:r w:rsidR="00823E8E">
        <w:rPr>
          <w:rFonts w:eastAsia="Calibri"/>
        </w:rPr>
        <w:t>РФ</w:t>
      </w:r>
      <w:r w:rsidRPr="00E95FB1">
        <w:rPr>
          <w:rFonts w:eastAsia="Calibri"/>
        </w:rPr>
        <w:t xml:space="preserve"> на територію України 24 лютого 2022 року населені пукти Сєвєродонецької міської територіальної громади характеризувалися розвинутою критичною та соціальною інфраструктурою, належним рівнем забезпеченості об’єктів житлового та громадського призначення.</w:t>
      </w:r>
    </w:p>
    <w:p w:rsidR="00AC499C" w:rsidRPr="00E95FB1" w:rsidRDefault="00AC499C" w:rsidP="00AC499C">
      <w:pPr>
        <w:ind w:firstLine="567"/>
        <w:rPr>
          <w:rFonts w:eastAsia="Calibri"/>
        </w:rPr>
      </w:pPr>
    </w:p>
    <w:p w:rsidR="00AC499C" w:rsidRDefault="00AC499C" w:rsidP="00AC499C">
      <w:pPr>
        <w:ind w:firstLine="567"/>
        <w:rPr>
          <w:rFonts w:eastAsia="Calibri"/>
        </w:rPr>
      </w:pPr>
      <w:r w:rsidRPr="00E95FB1">
        <w:rPr>
          <w:rFonts w:eastAsia="Calibri"/>
        </w:rPr>
        <w:lastRenderedPageBreak/>
        <w:t xml:space="preserve">Через військову агресію </w:t>
      </w:r>
      <w:r w:rsidR="00823E8E">
        <w:rPr>
          <w:rFonts w:eastAsia="Calibri"/>
        </w:rPr>
        <w:t>РФ</w:t>
      </w:r>
      <w:r w:rsidR="00823E8E" w:rsidRPr="00E95FB1">
        <w:rPr>
          <w:rFonts w:eastAsia="Calibri"/>
        </w:rPr>
        <w:t xml:space="preserve"> </w:t>
      </w:r>
      <w:r w:rsidRPr="00E95FB1">
        <w:rPr>
          <w:rFonts w:eastAsia="Calibri"/>
        </w:rPr>
        <w:t>проти України та знаходженням всіх населених пунктів Сєвєродонецької міської територіальної громади під постійним обстрілом, ведення активних бойових дій на цих територіях в період з 24.02.2022 по 24.06.2022 та тимчасову окупацію в період з 25.06.2022 об’єкти критичної та соціальної інфраструктури, а також об’єкти житлового та громадського призначення зазнали суттєвих руйнувань (близько 95 %).</w:t>
      </w:r>
    </w:p>
    <w:p w:rsidR="00AC499C" w:rsidRDefault="00AC499C" w:rsidP="00AC499C">
      <w:pPr>
        <w:rPr>
          <w:rFonts w:eastAsia="Calibri"/>
        </w:rPr>
      </w:pPr>
    </w:p>
    <w:p w:rsidR="00AC499C" w:rsidRPr="00355733" w:rsidRDefault="00AC499C" w:rsidP="00AC499C">
      <w:pPr>
        <w:ind w:firstLine="720"/>
        <w:rPr>
          <w:rFonts w:eastAsia="Calibri"/>
        </w:rPr>
      </w:pPr>
      <w:r w:rsidRPr="00355733">
        <w:rPr>
          <w:rFonts w:eastAsia="Calibri"/>
        </w:rPr>
        <w:t xml:space="preserve">Так, у м. Сєвєродонецьк повністю зруйновано 99 житлових приміщень (багатоквартирні будинки), 3 адміністративні будівлі (будівлі органів влади), 1 інший не військовий) об’єкт, 2 заклади освіти, 2 заклади культури, 3 заклади спорту, 2 транспортних інфраструктури (1 міст, 1 тролейбусне управління), та практично всі заклади медичних установ зазнали пошкоджень. </w:t>
      </w:r>
    </w:p>
    <w:p w:rsidR="00AC499C" w:rsidRPr="00355733" w:rsidRDefault="00AC499C" w:rsidP="00AC499C">
      <w:pPr>
        <w:ind w:firstLine="720"/>
        <w:rPr>
          <w:rFonts w:eastAsia="Calibri"/>
        </w:rPr>
      </w:pPr>
    </w:p>
    <w:p w:rsidR="00AC499C" w:rsidRDefault="00AC499C" w:rsidP="00AC499C">
      <w:pPr>
        <w:ind w:firstLine="720"/>
        <w:rPr>
          <w:rFonts w:eastAsia="Calibri"/>
        </w:rPr>
      </w:pPr>
      <w:r w:rsidRPr="00355733">
        <w:rPr>
          <w:rFonts w:eastAsia="Calibri"/>
        </w:rPr>
        <w:t>Частково зруйновані 710 житлов</w:t>
      </w:r>
      <w:r w:rsidR="00C27B48" w:rsidRPr="00C27B48">
        <w:rPr>
          <w:rFonts w:eastAsia="Calibri"/>
        </w:rPr>
        <w:t>их</w:t>
      </w:r>
      <w:r w:rsidRPr="00355733">
        <w:rPr>
          <w:rFonts w:eastAsia="Calibri"/>
        </w:rPr>
        <w:t xml:space="preserve"> приміщен</w:t>
      </w:r>
      <w:r w:rsidR="00C27B48" w:rsidRPr="00C27B48">
        <w:rPr>
          <w:rFonts w:eastAsia="Calibri"/>
        </w:rPr>
        <w:t>ь</w:t>
      </w:r>
      <w:r w:rsidRPr="00355733">
        <w:rPr>
          <w:rFonts w:eastAsia="Calibri"/>
        </w:rPr>
        <w:t xml:space="preserve"> (багатоквартирні будинки), 15 адміністративних будівель, 27 інших не військових) об’єктів, 43 заклади освіти, 5 закладів культури, 13 закладів спорту (1 - спортивний клуб/комплекс, 9 спортивних залів, 1 стадіон, 2 басейни/тири), 5 закладів культури, 642 об’єкта торгівлі, 1 транспортна інфраструктура - автовокзал), 4 об’єкта життєзабезпечення</w:t>
      </w:r>
      <w:r w:rsidRPr="00E95FB1">
        <w:rPr>
          <w:rFonts w:eastAsia="Calibri"/>
        </w:rPr>
        <w:t xml:space="preserve"> (КП «</w:t>
      </w:r>
      <w:proofErr w:type="spellStart"/>
      <w:r w:rsidRPr="00E95FB1">
        <w:rPr>
          <w:rFonts w:eastAsia="Calibri"/>
        </w:rPr>
        <w:t>Сєвєродонецькліфт</w:t>
      </w:r>
      <w:proofErr w:type="spellEnd"/>
      <w:r w:rsidRPr="00E95FB1">
        <w:rPr>
          <w:rFonts w:eastAsia="Calibri"/>
        </w:rPr>
        <w:t>», КП «</w:t>
      </w:r>
      <w:proofErr w:type="spellStart"/>
      <w:r w:rsidRPr="00E95FB1">
        <w:rPr>
          <w:rFonts w:eastAsia="Calibri"/>
        </w:rPr>
        <w:t>Сєвєродонецьктеплокомуненерго</w:t>
      </w:r>
      <w:proofErr w:type="spellEnd"/>
      <w:r w:rsidRPr="00E95FB1">
        <w:rPr>
          <w:rFonts w:eastAsia="Calibri"/>
        </w:rPr>
        <w:t xml:space="preserve">», КП </w:t>
      </w:r>
      <w:proofErr w:type="spellStart"/>
      <w:r w:rsidR="00A356DC">
        <w:rPr>
          <w:rFonts w:eastAsia="Calibri"/>
        </w:rPr>
        <w:t>Житлосервіс</w:t>
      </w:r>
      <w:proofErr w:type="spellEnd"/>
      <w:r w:rsidR="00A356DC" w:rsidRPr="00E95FB1">
        <w:rPr>
          <w:rFonts w:eastAsia="Calibri"/>
        </w:rPr>
        <w:t xml:space="preserve"> </w:t>
      </w:r>
      <w:r w:rsidRPr="00E95FB1">
        <w:rPr>
          <w:rFonts w:eastAsia="Calibri"/>
        </w:rPr>
        <w:t>«Світанок», КП «</w:t>
      </w:r>
      <w:proofErr w:type="spellStart"/>
      <w:r w:rsidRPr="00E95FB1">
        <w:rPr>
          <w:rFonts w:eastAsia="Calibri"/>
        </w:rPr>
        <w:t>Сєвєродонецькводоканал</w:t>
      </w:r>
      <w:proofErr w:type="spellEnd"/>
      <w:r w:rsidRPr="00E95FB1">
        <w:rPr>
          <w:rFonts w:eastAsia="Calibri"/>
        </w:rPr>
        <w:t xml:space="preserve">»), 2 об’єкта соціального захисту. </w:t>
      </w:r>
    </w:p>
    <w:p w:rsidR="00AC499C" w:rsidRPr="00E95FB1" w:rsidRDefault="00AC499C" w:rsidP="00AC499C">
      <w:pPr>
        <w:rPr>
          <w:rFonts w:eastAsia="Calibri"/>
          <w:color w:val="FF0000"/>
          <w:lang w:eastAsia="uk-UA"/>
        </w:rPr>
      </w:pPr>
    </w:p>
    <w:p w:rsidR="00AC499C" w:rsidRPr="00E95FB1" w:rsidRDefault="00AC499C" w:rsidP="00AC499C">
      <w:pPr>
        <w:rPr>
          <w:rFonts w:eastAsia="Calibri"/>
          <w:color w:val="FF0000"/>
          <w:lang w:eastAsia="uk-UA"/>
        </w:rPr>
      </w:pPr>
      <w:r w:rsidRPr="00E95FB1">
        <w:rPr>
          <w:rFonts w:eastAsia="Calibri"/>
          <w:noProof/>
          <w:color w:val="FF0000"/>
          <w:lang w:eastAsia="uk-UA"/>
        </w:rPr>
        <w:drawing>
          <wp:inline distT="0" distB="0" distL="0" distR="0">
            <wp:extent cx="2784303" cy="1857375"/>
            <wp:effectExtent l="19050" t="0" r="0" b="0"/>
            <wp:docPr id="47" name="Рисунок 12" descr="Театр до 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атр до 24.02.jpg"/>
                    <pic:cNvPicPr/>
                  </pic:nvPicPr>
                  <pic:blipFill>
                    <a:blip r:embed="rId60" cstate="print"/>
                    <a:stretch>
                      <a:fillRect/>
                    </a:stretch>
                  </pic:blipFill>
                  <pic:spPr>
                    <a:xfrm>
                      <a:off x="0" y="0"/>
                      <a:ext cx="2789074" cy="1860558"/>
                    </a:xfrm>
                    <a:prstGeom prst="rect">
                      <a:avLst/>
                    </a:prstGeom>
                  </pic:spPr>
                </pic:pic>
              </a:graphicData>
            </a:graphic>
          </wp:inline>
        </w:drawing>
      </w:r>
      <w:r w:rsidRPr="00E95FB1">
        <w:rPr>
          <w:rFonts w:eastAsia="Calibri"/>
          <w:color w:val="FF0000"/>
          <w:lang w:eastAsia="uk-UA"/>
        </w:rPr>
        <w:t xml:space="preserve"> </w:t>
      </w:r>
      <w:r w:rsidRPr="00E95FB1">
        <w:rPr>
          <w:rFonts w:eastAsia="Calibri"/>
          <w:noProof/>
          <w:color w:val="FF0000"/>
          <w:lang w:eastAsia="uk-UA"/>
        </w:rPr>
        <w:drawing>
          <wp:inline distT="0" distB="0" distL="0" distR="0">
            <wp:extent cx="2830714" cy="1885950"/>
            <wp:effectExtent l="19050" t="0" r="7736" b="0"/>
            <wp:docPr id="48" name="Рисунок 14" descr="Театр после 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атр после 24.02.jpg"/>
                    <pic:cNvPicPr/>
                  </pic:nvPicPr>
                  <pic:blipFill>
                    <a:blip r:embed="rId61" cstate="print"/>
                    <a:stretch>
                      <a:fillRect/>
                    </a:stretch>
                  </pic:blipFill>
                  <pic:spPr>
                    <a:xfrm>
                      <a:off x="0" y="0"/>
                      <a:ext cx="2833395" cy="1887736"/>
                    </a:xfrm>
                    <a:prstGeom prst="rect">
                      <a:avLst/>
                    </a:prstGeom>
                  </pic:spPr>
                </pic:pic>
              </a:graphicData>
            </a:graphic>
          </wp:inline>
        </w:drawing>
      </w:r>
    </w:p>
    <w:p w:rsidR="00AC499C" w:rsidRPr="00E95FB1" w:rsidRDefault="00AC499C" w:rsidP="00AC499C">
      <w:pPr>
        <w:rPr>
          <w:rFonts w:eastAsia="Calibri"/>
          <w:color w:val="0070C0"/>
          <w:sz w:val="24"/>
          <w:szCs w:val="24"/>
        </w:rPr>
      </w:pPr>
      <w:r w:rsidRPr="00E95FB1">
        <w:rPr>
          <w:rFonts w:eastAsia="Calibri"/>
          <w:iCs/>
          <w:color w:val="0070C0"/>
          <w:sz w:val="24"/>
          <w:szCs w:val="24"/>
        </w:rPr>
        <w:t xml:space="preserve">          Луганський обласний академічний український музично-драматичний театр</w:t>
      </w:r>
    </w:p>
    <w:p w:rsidR="00AC499C" w:rsidRPr="00E95FB1" w:rsidRDefault="00AC499C" w:rsidP="00AC499C">
      <w:pPr>
        <w:ind w:firstLine="708"/>
        <w:rPr>
          <w:rFonts w:eastAsia="Calibri"/>
          <w:color w:val="0070C0"/>
          <w:sz w:val="24"/>
          <w:szCs w:val="24"/>
          <w:lang w:eastAsia="uk-UA"/>
        </w:rPr>
      </w:pPr>
      <w:r w:rsidRPr="00E95FB1">
        <w:rPr>
          <w:rFonts w:eastAsia="Calibri"/>
          <w:color w:val="0070C0"/>
          <w:sz w:val="24"/>
          <w:szCs w:val="24"/>
          <w:lang w:eastAsia="uk-UA"/>
        </w:rPr>
        <w:t xml:space="preserve">           до 24.02.2022 р                                               після 24.02.2022 р</w:t>
      </w:r>
    </w:p>
    <w:p w:rsidR="00AC499C" w:rsidRPr="00E95FB1" w:rsidRDefault="00AC499C" w:rsidP="00AC499C">
      <w:pPr>
        <w:rPr>
          <w:rFonts w:eastAsia="Calibri"/>
          <w:color w:val="0070C0"/>
          <w:sz w:val="24"/>
          <w:szCs w:val="24"/>
        </w:rPr>
      </w:pPr>
      <w:r w:rsidRPr="00E95FB1">
        <w:rPr>
          <w:rFonts w:eastAsia="Calibri"/>
          <w:noProof/>
          <w:color w:val="0070C0"/>
          <w:sz w:val="24"/>
          <w:szCs w:val="24"/>
          <w:lang w:eastAsia="uk-UA"/>
        </w:rPr>
        <w:drawing>
          <wp:inline distT="0" distB="0" distL="0" distR="0">
            <wp:extent cx="2719184" cy="1819275"/>
            <wp:effectExtent l="19050" t="0" r="4966" b="0"/>
            <wp:docPr id="49" name="Рисунок 17" descr="Ледовый_дворец_спорта_(Северодонец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довый_дворец_спорта_(Северодонецк).jpg"/>
                    <pic:cNvPicPr/>
                  </pic:nvPicPr>
                  <pic:blipFill>
                    <a:blip r:embed="rId62" cstate="print"/>
                    <a:stretch>
                      <a:fillRect/>
                    </a:stretch>
                  </pic:blipFill>
                  <pic:spPr>
                    <a:xfrm>
                      <a:off x="0" y="0"/>
                      <a:ext cx="2719184" cy="1819275"/>
                    </a:xfrm>
                    <a:prstGeom prst="rect">
                      <a:avLst/>
                    </a:prstGeom>
                  </pic:spPr>
                </pic:pic>
              </a:graphicData>
            </a:graphic>
          </wp:inline>
        </w:drawing>
      </w:r>
      <w:r w:rsidRPr="00E95FB1">
        <w:rPr>
          <w:rFonts w:eastAsia="Calibri"/>
          <w:color w:val="0070C0"/>
          <w:sz w:val="24"/>
          <w:szCs w:val="24"/>
        </w:rPr>
        <w:t xml:space="preserve"> </w:t>
      </w:r>
      <w:r w:rsidRPr="00E95FB1">
        <w:rPr>
          <w:rFonts w:eastAsia="Calibri"/>
          <w:noProof/>
          <w:color w:val="0070C0"/>
          <w:sz w:val="24"/>
          <w:szCs w:val="24"/>
          <w:lang w:eastAsia="uk-UA"/>
        </w:rPr>
        <w:drawing>
          <wp:inline distT="0" distB="0" distL="0" distR="0">
            <wp:extent cx="2741317" cy="2105025"/>
            <wp:effectExtent l="19050" t="0" r="1883" b="0"/>
            <wp:docPr id="50" name="Рисунок 19" descr="snimok_ekrana_2022-12-17_v_22.4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mok_ekrana_2022-12-17_v_22.47.00.png"/>
                    <pic:cNvPicPr/>
                  </pic:nvPicPr>
                  <pic:blipFill>
                    <a:blip r:embed="rId63" cstate="print"/>
                    <a:stretch>
                      <a:fillRect/>
                    </a:stretch>
                  </pic:blipFill>
                  <pic:spPr>
                    <a:xfrm>
                      <a:off x="0" y="0"/>
                      <a:ext cx="2741700" cy="2105319"/>
                    </a:xfrm>
                    <a:prstGeom prst="rect">
                      <a:avLst/>
                    </a:prstGeom>
                  </pic:spPr>
                </pic:pic>
              </a:graphicData>
            </a:graphic>
          </wp:inline>
        </w:drawing>
      </w:r>
    </w:p>
    <w:p w:rsidR="00AC499C" w:rsidRPr="00E95FB1" w:rsidRDefault="00AC499C" w:rsidP="00AC499C">
      <w:pPr>
        <w:ind w:firstLine="708"/>
        <w:rPr>
          <w:rFonts w:eastAsia="Calibri"/>
          <w:color w:val="0070C0"/>
          <w:sz w:val="24"/>
          <w:szCs w:val="24"/>
          <w:lang w:eastAsia="uk-UA"/>
        </w:rPr>
      </w:pPr>
      <w:r w:rsidRPr="00E95FB1">
        <w:rPr>
          <w:rFonts w:eastAsia="Calibri"/>
          <w:iCs/>
          <w:color w:val="0070C0"/>
          <w:sz w:val="24"/>
          <w:szCs w:val="24"/>
        </w:rPr>
        <w:lastRenderedPageBreak/>
        <w:t xml:space="preserve">                                        Льодовий палац спорту</w:t>
      </w:r>
    </w:p>
    <w:p w:rsidR="00AC499C" w:rsidRPr="00E95FB1" w:rsidRDefault="00AC499C" w:rsidP="00AC499C">
      <w:pPr>
        <w:ind w:firstLine="708"/>
        <w:rPr>
          <w:rFonts w:eastAsia="Calibri"/>
          <w:color w:val="0070C0"/>
          <w:sz w:val="24"/>
          <w:szCs w:val="24"/>
          <w:lang w:eastAsia="uk-UA"/>
        </w:rPr>
      </w:pPr>
      <w:r w:rsidRPr="00E95FB1">
        <w:rPr>
          <w:rFonts w:eastAsia="Calibri"/>
          <w:color w:val="0070C0"/>
          <w:sz w:val="24"/>
          <w:szCs w:val="24"/>
          <w:lang w:eastAsia="uk-UA"/>
        </w:rPr>
        <w:t xml:space="preserve">           до 24.02.2022 р                                               після 24.02.2022 р</w:t>
      </w:r>
    </w:p>
    <w:p w:rsidR="00AC499C" w:rsidRPr="00E95FB1" w:rsidRDefault="00AC499C" w:rsidP="00AC499C">
      <w:pPr>
        <w:jc w:val="left"/>
        <w:rPr>
          <w:rFonts w:eastAsia="Calibri"/>
          <w:color w:val="FF0000"/>
          <w:lang w:eastAsia="uk-UA"/>
        </w:rPr>
      </w:pPr>
      <w:r w:rsidRPr="00E95FB1">
        <w:rPr>
          <w:rFonts w:eastAsia="Calibri"/>
          <w:noProof/>
          <w:color w:val="FF0000"/>
          <w:lang w:eastAsia="uk-UA"/>
        </w:rPr>
        <w:drawing>
          <wp:inline distT="0" distB="0" distL="0" distR="0">
            <wp:extent cx="3437225" cy="1933575"/>
            <wp:effectExtent l="19050" t="0" r="0" b="0"/>
            <wp:docPr id="51" name="Рисунок 20" descr="бу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д1.jpg"/>
                    <pic:cNvPicPr/>
                  </pic:nvPicPr>
                  <pic:blipFill>
                    <a:blip r:embed="rId64" cstate="print"/>
                    <a:stretch>
                      <a:fillRect/>
                    </a:stretch>
                  </pic:blipFill>
                  <pic:spPr>
                    <a:xfrm>
                      <a:off x="0" y="0"/>
                      <a:ext cx="3445704" cy="1938345"/>
                    </a:xfrm>
                    <a:prstGeom prst="rect">
                      <a:avLst/>
                    </a:prstGeom>
                  </pic:spPr>
                </pic:pic>
              </a:graphicData>
            </a:graphic>
          </wp:inline>
        </w:drawing>
      </w:r>
      <w:r w:rsidRPr="00E95FB1">
        <w:rPr>
          <w:rFonts w:eastAsia="Calibri"/>
          <w:color w:val="FF0000"/>
          <w:lang w:eastAsia="uk-UA"/>
        </w:rPr>
        <w:t xml:space="preserve"> </w:t>
      </w:r>
      <w:r w:rsidRPr="00E95FB1">
        <w:rPr>
          <w:rFonts w:eastAsia="Calibri"/>
          <w:noProof/>
          <w:color w:val="FF0000"/>
          <w:lang w:eastAsia="uk-UA"/>
        </w:rPr>
        <w:drawing>
          <wp:inline distT="0" distB="0" distL="0" distR="0">
            <wp:extent cx="2114550" cy="2372802"/>
            <wp:effectExtent l="19050" t="0" r="0" b="0"/>
            <wp:docPr id="52" name="Рисунок 24" descr="mycollag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collages_1.jpg"/>
                    <pic:cNvPicPr/>
                  </pic:nvPicPr>
                  <pic:blipFill>
                    <a:blip r:embed="rId65" cstate="print"/>
                    <a:stretch>
                      <a:fillRect/>
                    </a:stretch>
                  </pic:blipFill>
                  <pic:spPr>
                    <a:xfrm>
                      <a:off x="0" y="0"/>
                      <a:ext cx="2114550" cy="2372802"/>
                    </a:xfrm>
                    <a:prstGeom prst="rect">
                      <a:avLst/>
                    </a:prstGeom>
                  </pic:spPr>
                </pic:pic>
              </a:graphicData>
            </a:graphic>
          </wp:inline>
        </w:drawing>
      </w:r>
    </w:p>
    <w:p w:rsidR="00AC499C" w:rsidRPr="00CF25C3" w:rsidRDefault="00AC499C" w:rsidP="00AC499C">
      <w:pPr>
        <w:ind w:firstLine="708"/>
        <w:rPr>
          <w:rFonts w:eastAsia="Calibri"/>
          <w:color w:val="0070C0"/>
          <w:sz w:val="24"/>
          <w:szCs w:val="24"/>
          <w:lang w:eastAsia="uk-UA"/>
        </w:rPr>
      </w:pPr>
      <w:r w:rsidRPr="00E95FB1">
        <w:rPr>
          <w:rFonts w:eastAsia="Calibri"/>
          <w:iCs/>
          <w:color w:val="0070C0"/>
          <w:sz w:val="24"/>
          <w:szCs w:val="24"/>
        </w:rPr>
        <w:t xml:space="preserve">                                        Зруйновані житлові будинки</w:t>
      </w:r>
    </w:p>
    <w:p w:rsidR="00AC499C" w:rsidRDefault="00AC499C" w:rsidP="00AC499C">
      <w:pPr>
        <w:ind w:firstLine="567"/>
        <w:jc w:val="left"/>
      </w:pPr>
    </w:p>
    <w:p w:rsidR="00AC499C" w:rsidRPr="00355733" w:rsidRDefault="00AC499C" w:rsidP="00AC499C">
      <w:pPr>
        <w:ind w:firstLine="567"/>
      </w:pPr>
      <w:r w:rsidRPr="00355733">
        <w:t xml:space="preserve">Через влучання артилерії по </w:t>
      </w:r>
      <w:r w:rsidR="00A8676C">
        <w:t>котельному</w:t>
      </w:r>
      <w:r w:rsidRPr="00355733">
        <w:t xml:space="preserve"> обладнанню, машинному залу, по підстанціях суттєво пошкоджені та не підлягають відновленню підприємства, що забезпечували </w:t>
      </w:r>
      <w:proofErr w:type="spellStart"/>
      <w:r w:rsidR="00B52976">
        <w:t>м.</w:t>
      </w:r>
      <w:r w:rsidRPr="00355733">
        <w:t>Сєвєродонецьк</w:t>
      </w:r>
      <w:proofErr w:type="spellEnd"/>
      <w:r w:rsidRPr="00355733">
        <w:t xml:space="preserve"> теплом: КП </w:t>
      </w:r>
      <w:r w:rsidRPr="00355733">
        <w:rPr>
          <w:rFonts w:eastAsia="Calibri"/>
        </w:rPr>
        <w:t>«</w:t>
      </w:r>
      <w:proofErr w:type="spellStart"/>
      <w:r w:rsidRPr="00355733">
        <w:rPr>
          <w:rFonts w:eastAsia="Calibri"/>
        </w:rPr>
        <w:t>Сєвєродонецьктеплокомуненерго</w:t>
      </w:r>
      <w:proofErr w:type="spellEnd"/>
      <w:r w:rsidRPr="00355733">
        <w:rPr>
          <w:rFonts w:eastAsia="Calibri"/>
        </w:rPr>
        <w:t>» та АТ «Сєвєродонецька ТЕЦ».</w:t>
      </w:r>
    </w:p>
    <w:p w:rsidR="00AC499C" w:rsidRPr="00355733" w:rsidRDefault="00AC499C" w:rsidP="00AC499C">
      <w:pPr>
        <w:ind w:firstLine="567"/>
        <w:jc w:val="left"/>
      </w:pPr>
    </w:p>
    <w:p w:rsidR="00AC499C" w:rsidRPr="00355733" w:rsidRDefault="00AC499C" w:rsidP="00AC499C">
      <w:pPr>
        <w:ind w:firstLine="567"/>
      </w:pPr>
      <w:r w:rsidRPr="00355733">
        <w:t xml:space="preserve">Зруйнований цех нейтралізації та очистки промислових стоків (НОПС) ПрАТ «Сєвєродонецьке об'єднання </w:t>
      </w:r>
      <w:r w:rsidR="00823E8E">
        <w:t>«</w:t>
      </w:r>
      <w:r w:rsidRPr="00355733">
        <w:t>Азот»</w:t>
      </w:r>
      <w:r w:rsidR="00823E8E">
        <w:t>»</w:t>
      </w:r>
      <w:r w:rsidRPr="00355733">
        <w:t xml:space="preserve"> приймав на обробку стічні води всього міста. Місто поділене на три басейни каналізування, що обслуговувалися відповідно каналізаційними насосними станціями КНС-1 та КНС-2, які перекачували стічні води в головний самопливний колектор третього басейну каналізування. Після цього сто</w:t>
      </w:r>
      <w:r w:rsidR="00A934DA">
        <w:t xml:space="preserve">ки надходили до очисних споруд </w:t>
      </w:r>
      <w:r w:rsidR="003F3FB5" w:rsidRPr="00355733">
        <w:t xml:space="preserve">ПрАТ «Сєвєродонецьке об'єднання </w:t>
      </w:r>
      <w:r w:rsidR="003F3FB5">
        <w:rPr>
          <w:lang w:val="ru-RU"/>
        </w:rPr>
        <w:t>«</w:t>
      </w:r>
      <w:r w:rsidR="003F3FB5" w:rsidRPr="00355733">
        <w:t>Азот</w:t>
      </w:r>
      <w:r w:rsidR="003F3FB5">
        <w:t>»</w:t>
      </w:r>
      <w:r w:rsidR="00A934DA">
        <w:t>»</w:t>
      </w:r>
      <w:r w:rsidRPr="00355733">
        <w:t xml:space="preserve"> і після очищення скидалися в Сіверський Донець. Наразі каналізація не працює і неочищені стоки самопливом надходять в річку. Лише на 2021 рік комунальне підприємство </w:t>
      </w:r>
      <w:r w:rsidR="008E598E">
        <w:t>«</w:t>
      </w:r>
      <w:proofErr w:type="spellStart"/>
      <w:r w:rsidRPr="00355733">
        <w:t>Сєвєродонецькводоканал</w:t>
      </w:r>
      <w:proofErr w:type="spellEnd"/>
      <w:r w:rsidR="008E598E">
        <w:t>»</w:t>
      </w:r>
      <w:r w:rsidRPr="00355733">
        <w:t xml:space="preserve"> уклало з ПрАТ </w:t>
      </w:r>
      <w:r w:rsidR="00056253" w:rsidRPr="00056253">
        <w:t>«</w:t>
      </w:r>
      <w:r w:rsidRPr="00355733">
        <w:t xml:space="preserve">Сєвєродонецьке об’єднання </w:t>
      </w:r>
      <w:r w:rsidR="00465CD5" w:rsidRPr="00465CD5">
        <w:t>«</w:t>
      </w:r>
      <w:r w:rsidR="00465CD5" w:rsidRPr="00355733">
        <w:t>Азот</w:t>
      </w:r>
      <w:r w:rsidR="00823E8E">
        <w:t>»</w:t>
      </w:r>
      <w:r w:rsidR="00465CD5">
        <w:t>»</w:t>
      </w:r>
      <w:r w:rsidR="00465CD5" w:rsidRPr="00355733">
        <w:t xml:space="preserve"> </w:t>
      </w:r>
      <w:r w:rsidRPr="00355733">
        <w:t>договір на очистку стічних вод обсягом 4,23 млн. м</w:t>
      </w:r>
      <w:r w:rsidRPr="00355733">
        <w:rPr>
          <w:vertAlign w:val="superscript"/>
        </w:rPr>
        <w:t>3</w:t>
      </w:r>
      <w:r w:rsidR="00465CD5">
        <w:rPr>
          <w:vertAlign w:val="superscript"/>
        </w:rPr>
        <w:t>.</w:t>
      </w:r>
      <w:r w:rsidRPr="00355733">
        <w:t xml:space="preserve"> </w:t>
      </w:r>
      <w:r w:rsidR="00465CD5">
        <w:t>. Ц</w:t>
      </w:r>
      <w:r w:rsidRPr="00355733">
        <w:t xml:space="preserve">і дані дозволяють уявити середній річний обсяг стічних вод, що утворюється в місті. В 2020 році сумарний обсяг скидів стічних вод </w:t>
      </w:r>
      <w:r w:rsidR="008E598E" w:rsidRPr="00355733">
        <w:t xml:space="preserve">ПрАТ </w:t>
      </w:r>
      <w:r w:rsidR="008E598E">
        <w:t>«</w:t>
      </w:r>
      <w:r w:rsidR="008E598E" w:rsidRPr="00355733">
        <w:t xml:space="preserve">Сєвєродонецьке об’єднання </w:t>
      </w:r>
      <w:r w:rsidR="008E598E" w:rsidRPr="00465CD5">
        <w:t>«</w:t>
      </w:r>
      <w:r w:rsidR="008E598E" w:rsidRPr="00355733">
        <w:t>Азот</w:t>
      </w:r>
      <w:r w:rsidR="008E598E">
        <w:t xml:space="preserve">»» </w:t>
      </w:r>
      <w:r w:rsidR="00465CD5" w:rsidRPr="00355733">
        <w:t xml:space="preserve"> </w:t>
      </w:r>
      <w:r w:rsidRPr="00355733">
        <w:t>становив 6,309 млн м</w:t>
      </w:r>
      <w:r w:rsidRPr="00355733">
        <w:rPr>
          <w:vertAlign w:val="superscript"/>
        </w:rPr>
        <w:t>3</w:t>
      </w:r>
      <w:r w:rsidRPr="00355733">
        <w:t xml:space="preserve">. Після встановлення в місті окупаційного режиму неможливо одержати дані про те, який обсяг неочищених скидів потрапляє в </w:t>
      </w:r>
      <w:proofErr w:type="spellStart"/>
      <w:r w:rsidR="00690340">
        <w:t>р.</w:t>
      </w:r>
      <w:r w:rsidRPr="00355733">
        <w:t>Сіверський</w:t>
      </w:r>
      <w:proofErr w:type="spellEnd"/>
      <w:r w:rsidRPr="00355733">
        <w:t xml:space="preserve"> Донець, проте немає сумнівів, що це створює локальну екологічну катастрофу і серйозно погіршує хімічні й бактеріологічні показники води на значній території.</w:t>
      </w:r>
    </w:p>
    <w:p w:rsidR="00AC499C" w:rsidRPr="00355733" w:rsidRDefault="00AC499C" w:rsidP="00AC499C">
      <w:pPr>
        <w:ind w:firstLine="567"/>
        <w:jc w:val="left"/>
      </w:pPr>
    </w:p>
    <w:p w:rsidR="00AC499C" w:rsidRPr="003B5FE4" w:rsidRDefault="00AC499C" w:rsidP="00AC499C">
      <w:pPr>
        <w:ind w:firstLine="567"/>
      </w:pPr>
      <w:r w:rsidRPr="00355733">
        <w:t>В липні 2022 року єдиним джерелом питної води в місті залишалася  свердловина на</w:t>
      </w:r>
      <w:r w:rsidR="00C255FB">
        <w:t xml:space="preserve"> території храмового комплексу «</w:t>
      </w:r>
      <w:r w:rsidRPr="00355733">
        <w:t>Ліс</w:t>
      </w:r>
      <w:r w:rsidR="00823E8E">
        <w:t>н</w:t>
      </w:r>
      <w:r w:rsidRPr="00355733">
        <w:t>а дача</w:t>
      </w:r>
      <w:r w:rsidR="00C255FB">
        <w:t>»</w:t>
      </w:r>
      <w:r w:rsidRPr="00355733">
        <w:t>, біля якого облашт</w:t>
      </w:r>
      <w:r w:rsidR="00823E8E">
        <w:t>о</w:t>
      </w:r>
      <w:r w:rsidRPr="00355733">
        <w:t xml:space="preserve">ване стихійне кладовище, яке віддалене від зони водозабору всього на 15-20 метрів при нормативній ширині санітарної зони від кладовищ до територій водозабору в 300 м, як передбачено Гігієнічними вимогами щодо </w:t>
      </w:r>
      <w:r w:rsidRPr="00355733">
        <w:lastRenderedPageBreak/>
        <w:t>облаштування і утримання кладовищ в населених пунктах України (</w:t>
      </w:r>
      <w:proofErr w:type="spellStart"/>
      <w:r w:rsidRPr="00355733">
        <w:t>ДСанПіН</w:t>
      </w:r>
      <w:proofErr w:type="spellEnd"/>
      <w:r w:rsidRPr="00355733">
        <w:t xml:space="preserve"> 2.2.2.028-99). Зважаючи на цю ситуацію, а також велику кількість інших стихійних поховань, якими окупаційна влада не переймається, існує можливість потрапляння продуктів розкладу тіл в ґрунтові води.</w:t>
      </w:r>
    </w:p>
    <w:p w:rsidR="00AC499C" w:rsidRPr="00E95FB1" w:rsidRDefault="00AC499C" w:rsidP="00AC499C">
      <w:pPr>
        <w:rPr>
          <w:rFonts w:eastAsia="Calibri"/>
        </w:rPr>
      </w:pPr>
    </w:p>
    <w:p w:rsidR="00AC499C" w:rsidRPr="00E95FB1" w:rsidRDefault="00AC499C" w:rsidP="00AC499C">
      <w:pPr>
        <w:ind w:firstLine="567"/>
        <w:jc w:val="center"/>
        <w:rPr>
          <w:rFonts w:eastAsia="Calibri"/>
        </w:rPr>
      </w:pPr>
      <w:r>
        <w:rPr>
          <w:rFonts w:eastAsia="Calibri"/>
        </w:rPr>
        <w:t>Узагальнена і</w:t>
      </w:r>
      <w:r w:rsidRPr="00E95FB1">
        <w:rPr>
          <w:rFonts w:eastAsia="Calibri"/>
        </w:rPr>
        <w:t>нформація щодо стану, ступеню руйнації об’єктів критичної інфраструктури, соціальної інфраструктури, об’єкт</w:t>
      </w:r>
      <w:r w:rsidR="00C255FB">
        <w:rPr>
          <w:rFonts w:eastAsia="Calibri"/>
        </w:rPr>
        <w:t>ів</w:t>
      </w:r>
      <w:r w:rsidRPr="00E95FB1">
        <w:rPr>
          <w:rFonts w:eastAsia="Calibri"/>
        </w:rPr>
        <w:t xml:space="preserve"> житлового та громадського призначення м. Сєвєродонецьк</w:t>
      </w:r>
    </w:p>
    <w:p w:rsidR="00AC499C" w:rsidRPr="00E95FB1" w:rsidRDefault="00AC499C" w:rsidP="00AC499C">
      <w:pPr>
        <w:ind w:firstLine="567"/>
        <w:rPr>
          <w:rFonts w:eastAsia="Calibri"/>
        </w:rPr>
      </w:pPr>
    </w:p>
    <w:tbl>
      <w:tblPr>
        <w:tblStyle w:val="11"/>
        <w:tblW w:w="0" w:type="auto"/>
        <w:tblLook w:val="04A0" w:firstRow="1" w:lastRow="0" w:firstColumn="1" w:lastColumn="0" w:noHBand="0" w:noVBand="1"/>
      </w:tblPr>
      <w:tblGrid>
        <w:gridCol w:w="2636"/>
        <w:gridCol w:w="6852"/>
      </w:tblGrid>
      <w:tr w:rsidR="00AC499C" w:rsidRPr="00E95FB1" w:rsidTr="00524DBF">
        <w:tc>
          <w:tcPr>
            <w:tcW w:w="2590" w:type="dxa"/>
          </w:tcPr>
          <w:p w:rsidR="00AC499C" w:rsidRPr="00E95FB1" w:rsidRDefault="00AC499C" w:rsidP="00524DBF">
            <w:pPr>
              <w:jc w:val="center"/>
              <w:rPr>
                <w:rFonts w:eastAsia="Calibri"/>
                <w:i/>
              </w:rPr>
            </w:pPr>
            <w:proofErr w:type="spellStart"/>
            <w:r w:rsidRPr="00E95FB1">
              <w:rPr>
                <w:rFonts w:eastAsia="Calibri"/>
                <w:i/>
              </w:rPr>
              <w:t>Складова</w:t>
            </w:r>
            <w:proofErr w:type="spellEnd"/>
            <w:r w:rsidRPr="00E95FB1">
              <w:rPr>
                <w:rFonts w:eastAsia="Calibri"/>
                <w:i/>
              </w:rPr>
              <w:t xml:space="preserve"> </w:t>
            </w:r>
            <w:proofErr w:type="spellStart"/>
            <w:r w:rsidRPr="00E95FB1">
              <w:rPr>
                <w:rFonts w:eastAsia="Calibri"/>
                <w:i/>
              </w:rPr>
              <w:t>об’єкту</w:t>
            </w:r>
            <w:proofErr w:type="spellEnd"/>
          </w:p>
        </w:tc>
        <w:tc>
          <w:tcPr>
            <w:tcW w:w="6981" w:type="dxa"/>
          </w:tcPr>
          <w:p w:rsidR="00AC499C" w:rsidRPr="00E95FB1" w:rsidRDefault="00AC499C" w:rsidP="00524DBF">
            <w:pPr>
              <w:jc w:val="center"/>
              <w:rPr>
                <w:rFonts w:eastAsia="Calibri"/>
                <w:i/>
              </w:rPr>
            </w:pPr>
            <w:r w:rsidRPr="00E95FB1">
              <w:rPr>
                <w:rFonts w:eastAsia="Calibri"/>
                <w:i/>
              </w:rPr>
              <w:t>Характеристика</w:t>
            </w:r>
          </w:p>
        </w:tc>
      </w:tr>
      <w:tr w:rsidR="00AC499C" w:rsidRPr="00E95FB1" w:rsidTr="00524DBF">
        <w:tc>
          <w:tcPr>
            <w:tcW w:w="2590" w:type="dxa"/>
          </w:tcPr>
          <w:p w:rsidR="00AC499C" w:rsidRPr="00E95FB1" w:rsidRDefault="00AC499C" w:rsidP="00524DBF">
            <w:pPr>
              <w:rPr>
                <w:rFonts w:eastAsia="Calibri"/>
              </w:rPr>
            </w:pPr>
            <w:proofErr w:type="spellStart"/>
            <w:r w:rsidRPr="00E95FB1">
              <w:rPr>
                <w:rFonts w:eastAsia="Calibri"/>
              </w:rPr>
              <w:t>Надання</w:t>
            </w:r>
            <w:proofErr w:type="spellEnd"/>
            <w:r w:rsidRPr="00E95FB1">
              <w:rPr>
                <w:rFonts w:eastAsia="Calibri"/>
              </w:rPr>
              <w:t xml:space="preserve"> </w:t>
            </w:r>
            <w:proofErr w:type="spellStart"/>
            <w:r w:rsidRPr="00E95FB1">
              <w:rPr>
                <w:rFonts w:eastAsia="Calibri"/>
              </w:rPr>
              <w:t>публічних</w:t>
            </w:r>
            <w:proofErr w:type="spellEnd"/>
            <w:r w:rsidRPr="00E95FB1">
              <w:rPr>
                <w:rFonts w:eastAsia="Calibri"/>
              </w:rPr>
              <w:t xml:space="preserve"> (</w:t>
            </w:r>
            <w:proofErr w:type="spellStart"/>
            <w:r w:rsidRPr="00E95FB1">
              <w:rPr>
                <w:rFonts w:eastAsia="Calibri"/>
              </w:rPr>
              <w:t>адміністративних</w:t>
            </w:r>
            <w:proofErr w:type="spellEnd"/>
            <w:r w:rsidRPr="00E95FB1">
              <w:rPr>
                <w:rFonts w:eastAsia="Calibri"/>
              </w:rPr>
              <w:t xml:space="preserve">) </w:t>
            </w:r>
            <w:proofErr w:type="spellStart"/>
            <w:r w:rsidRPr="00E95FB1">
              <w:rPr>
                <w:rFonts w:eastAsia="Calibri"/>
              </w:rPr>
              <w:t>послуг</w:t>
            </w:r>
            <w:proofErr w:type="spellEnd"/>
          </w:p>
        </w:tc>
        <w:tc>
          <w:tcPr>
            <w:tcW w:w="6981" w:type="dxa"/>
          </w:tcPr>
          <w:p w:rsidR="00AC499C" w:rsidRPr="00E95FB1" w:rsidRDefault="00AC499C" w:rsidP="000303D7">
            <w:pPr>
              <w:numPr>
                <w:ilvl w:val="0"/>
                <w:numId w:val="1"/>
              </w:numPr>
              <w:ind w:left="58" w:firstLine="0"/>
              <w:contextualSpacing/>
              <w:rPr>
                <w:rFonts w:eastAsia="Calibri"/>
              </w:rPr>
            </w:pPr>
            <w:proofErr w:type="spellStart"/>
            <w:r w:rsidRPr="00E95FB1">
              <w:rPr>
                <w:rFonts w:eastAsia="Calibri"/>
              </w:rPr>
              <w:t>адміністративна</w:t>
            </w:r>
            <w:proofErr w:type="spellEnd"/>
            <w:r w:rsidRPr="00E95FB1">
              <w:rPr>
                <w:rFonts w:eastAsia="Calibri"/>
              </w:rPr>
              <w:t xml:space="preserve"> </w:t>
            </w:r>
            <w:proofErr w:type="spellStart"/>
            <w:r w:rsidRPr="00E95FB1">
              <w:rPr>
                <w:rFonts w:eastAsia="Calibri"/>
              </w:rPr>
              <w:t>будівля</w:t>
            </w:r>
            <w:proofErr w:type="spellEnd"/>
            <w:r w:rsidRPr="00E95FB1">
              <w:rPr>
                <w:rFonts w:eastAsia="Calibri"/>
              </w:rPr>
              <w:t xml:space="preserve"> ЦНАП </w:t>
            </w:r>
            <w:proofErr w:type="spellStart"/>
            <w:r w:rsidRPr="00E95FB1">
              <w:rPr>
                <w:rFonts w:eastAsia="Calibri"/>
              </w:rPr>
              <w:t>зазнала</w:t>
            </w:r>
            <w:proofErr w:type="spellEnd"/>
            <w:r w:rsidRPr="00E95FB1">
              <w:rPr>
                <w:rFonts w:eastAsia="Calibri"/>
              </w:rPr>
              <w:t xml:space="preserve"> </w:t>
            </w:r>
            <w:proofErr w:type="spellStart"/>
            <w:r w:rsidRPr="00E95FB1">
              <w:rPr>
                <w:rFonts w:eastAsia="Calibri"/>
              </w:rPr>
              <w:t>пошкоджень</w:t>
            </w:r>
            <w:proofErr w:type="spellEnd"/>
            <w:r w:rsidRPr="00E95FB1">
              <w:rPr>
                <w:rFonts w:eastAsia="Calibri"/>
              </w:rPr>
              <w:t>;</w:t>
            </w:r>
          </w:p>
          <w:p w:rsidR="00AC499C" w:rsidRPr="00E95FB1" w:rsidRDefault="00A4212F" w:rsidP="000303D7">
            <w:pPr>
              <w:numPr>
                <w:ilvl w:val="0"/>
                <w:numId w:val="1"/>
              </w:numPr>
              <w:ind w:left="58" w:hanging="662"/>
              <w:contextualSpacing/>
              <w:rPr>
                <w:rFonts w:eastAsia="Calibri"/>
              </w:rPr>
            </w:pPr>
            <w:r>
              <w:rPr>
                <w:rFonts w:eastAsia="Calibri"/>
              </w:rPr>
              <w:t xml:space="preserve">- </w:t>
            </w:r>
            <w:proofErr w:type="spellStart"/>
            <w:r w:rsidR="00AC499C" w:rsidRPr="00E95FB1">
              <w:rPr>
                <w:rFonts w:eastAsia="Calibri"/>
              </w:rPr>
              <w:t>матеріально-технічна</w:t>
            </w:r>
            <w:proofErr w:type="spellEnd"/>
            <w:r w:rsidR="00AC499C" w:rsidRPr="00E95FB1">
              <w:rPr>
                <w:rFonts w:eastAsia="Calibri"/>
              </w:rPr>
              <w:t xml:space="preserve"> база </w:t>
            </w:r>
            <w:proofErr w:type="spellStart"/>
            <w:r w:rsidR="00AC499C" w:rsidRPr="00E95FB1">
              <w:rPr>
                <w:rFonts w:eastAsia="Calibri"/>
              </w:rPr>
              <w:t>пошкоджена</w:t>
            </w:r>
            <w:proofErr w:type="spellEnd"/>
            <w:r w:rsidR="00AC499C" w:rsidRPr="00E95FB1">
              <w:rPr>
                <w:rFonts w:eastAsia="Calibri"/>
              </w:rPr>
              <w:t xml:space="preserve"> та </w:t>
            </w:r>
            <w:proofErr w:type="spellStart"/>
            <w:r w:rsidR="00AC499C" w:rsidRPr="00E95FB1">
              <w:rPr>
                <w:rFonts w:eastAsia="Calibri"/>
              </w:rPr>
              <w:t>розграбована</w:t>
            </w:r>
            <w:proofErr w:type="spellEnd"/>
            <w:r w:rsidR="00AC499C" w:rsidRPr="00E95FB1">
              <w:rPr>
                <w:rFonts w:eastAsia="Calibri"/>
              </w:rPr>
              <w:t>;</w:t>
            </w:r>
          </w:p>
          <w:p w:rsidR="00AC499C" w:rsidRPr="00E95FB1" w:rsidRDefault="00AC499C" w:rsidP="000303D7">
            <w:pPr>
              <w:numPr>
                <w:ilvl w:val="0"/>
                <w:numId w:val="1"/>
              </w:numPr>
              <w:ind w:hanging="662"/>
              <w:contextualSpacing/>
              <w:rPr>
                <w:rFonts w:eastAsia="Calibri"/>
              </w:rPr>
            </w:pPr>
            <w:proofErr w:type="spellStart"/>
            <w:r w:rsidRPr="00E95FB1">
              <w:rPr>
                <w:rFonts w:eastAsia="Calibri"/>
              </w:rPr>
              <w:t>забезпеченість</w:t>
            </w:r>
            <w:proofErr w:type="spellEnd"/>
            <w:r w:rsidRPr="00E95FB1">
              <w:rPr>
                <w:rFonts w:eastAsia="Calibri"/>
              </w:rPr>
              <w:t xml:space="preserve"> </w:t>
            </w:r>
            <w:proofErr w:type="spellStart"/>
            <w:r w:rsidRPr="00E95FB1">
              <w:rPr>
                <w:rFonts w:eastAsia="Calibri"/>
              </w:rPr>
              <w:t>спеціалістами</w:t>
            </w:r>
            <w:proofErr w:type="spellEnd"/>
            <w:r w:rsidRPr="00E95FB1">
              <w:rPr>
                <w:rFonts w:eastAsia="Calibri"/>
              </w:rPr>
              <w:t xml:space="preserve"> ___ %;</w:t>
            </w:r>
          </w:p>
          <w:p w:rsidR="00AC499C" w:rsidRPr="00E95FB1" w:rsidRDefault="00AC499C" w:rsidP="000303D7">
            <w:pPr>
              <w:numPr>
                <w:ilvl w:val="0"/>
                <w:numId w:val="1"/>
              </w:numPr>
              <w:ind w:hanging="662"/>
              <w:contextualSpacing/>
              <w:rPr>
                <w:rFonts w:eastAsia="Calibri"/>
              </w:rPr>
            </w:pPr>
            <w:proofErr w:type="spellStart"/>
            <w:r w:rsidRPr="00E95FB1">
              <w:rPr>
                <w:rFonts w:eastAsia="Calibri"/>
              </w:rPr>
              <w:t>відсутній</w:t>
            </w:r>
            <w:proofErr w:type="spellEnd"/>
            <w:r w:rsidRPr="00E95FB1">
              <w:rPr>
                <w:rFonts w:eastAsia="Calibri"/>
              </w:rPr>
              <w:t xml:space="preserve"> </w:t>
            </w:r>
            <w:proofErr w:type="spellStart"/>
            <w:r w:rsidRPr="00E95FB1">
              <w:rPr>
                <w:rFonts w:eastAsia="Calibri"/>
              </w:rPr>
              <w:t>чи</w:t>
            </w:r>
            <w:proofErr w:type="spellEnd"/>
            <w:r w:rsidRPr="00E95FB1">
              <w:rPr>
                <w:rFonts w:eastAsia="Calibri"/>
              </w:rPr>
              <w:t xml:space="preserve"> </w:t>
            </w:r>
            <w:proofErr w:type="spellStart"/>
            <w:r w:rsidRPr="00E95FB1">
              <w:rPr>
                <w:rFonts w:eastAsia="Calibri"/>
              </w:rPr>
              <w:t>повністю</w:t>
            </w:r>
            <w:proofErr w:type="spellEnd"/>
            <w:r w:rsidRPr="00E95FB1">
              <w:rPr>
                <w:rFonts w:eastAsia="Calibri"/>
              </w:rPr>
              <w:t xml:space="preserve"> </w:t>
            </w:r>
            <w:proofErr w:type="spellStart"/>
            <w:r w:rsidRPr="00E95FB1">
              <w:rPr>
                <w:rFonts w:eastAsia="Calibri"/>
              </w:rPr>
              <w:t>обмежений</w:t>
            </w:r>
            <w:proofErr w:type="spellEnd"/>
            <w:r w:rsidRPr="00E95FB1">
              <w:rPr>
                <w:rFonts w:eastAsia="Calibri"/>
              </w:rPr>
              <w:t xml:space="preserve"> доступ до </w:t>
            </w:r>
            <w:proofErr w:type="spellStart"/>
            <w:r w:rsidRPr="00E95FB1">
              <w:rPr>
                <w:rFonts w:eastAsia="Calibri"/>
              </w:rPr>
              <w:t>державних</w:t>
            </w:r>
            <w:proofErr w:type="spellEnd"/>
            <w:r w:rsidRPr="00E95FB1">
              <w:rPr>
                <w:rFonts w:eastAsia="Calibri"/>
              </w:rPr>
              <w:t xml:space="preserve"> </w:t>
            </w:r>
            <w:proofErr w:type="spellStart"/>
            <w:r w:rsidRPr="00E95FB1">
              <w:rPr>
                <w:rFonts w:eastAsia="Calibri"/>
              </w:rPr>
              <w:t>реєстрів</w:t>
            </w:r>
            <w:proofErr w:type="spellEnd"/>
            <w:r w:rsidRPr="00E95FB1">
              <w:rPr>
                <w:rFonts w:eastAsia="Calibri"/>
              </w:rPr>
              <w:t xml:space="preserve"> та систем;</w:t>
            </w:r>
          </w:p>
          <w:p w:rsidR="00AC499C" w:rsidRPr="00E95FB1" w:rsidRDefault="00AC499C" w:rsidP="00BF03A9">
            <w:pPr>
              <w:numPr>
                <w:ilvl w:val="0"/>
                <w:numId w:val="1"/>
              </w:numPr>
              <w:ind w:hanging="635"/>
              <w:contextualSpacing/>
              <w:rPr>
                <w:rFonts w:eastAsia="Calibri"/>
              </w:rPr>
            </w:pPr>
            <w:proofErr w:type="spellStart"/>
            <w:r w:rsidRPr="00E95FB1">
              <w:rPr>
                <w:rFonts w:eastAsia="Calibri"/>
              </w:rPr>
              <w:t>завдані</w:t>
            </w:r>
            <w:proofErr w:type="spellEnd"/>
            <w:r w:rsidRPr="00E95FB1">
              <w:rPr>
                <w:rFonts w:eastAsia="Calibri"/>
              </w:rPr>
              <w:t xml:space="preserve"> </w:t>
            </w:r>
            <w:proofErr w:type="spellStart"/>
            <w:r w:rsidRPr="00E95FB1">
              <w:rPr>
                <w:rFonts w:eastAsia="Calibri"/>
              </w:rPr>
              <w:t>збитки</w:t>
            </w:r>
            <w:proofErr w:type="spellEnd"/>
            <w:r w:rsidRPr="00E95FB1">
              <w:rPr>
                <w:rFonts w:eastAsia="Calibri"/>
              </w:rPr>
              <w:t xml:space="preserve"> ______.</w:t>
            </w:r>
          </w:p>
        </w:tc>
      </w:tr>
      <w:tr w:rsidR="00AC499C" w:rsidRPr="00E95FB1" w:rsidTr="00524DBF">
        <w:tc>
          <w:tcPr>
            <w:tcW w:w="2590" w:type="dxa"/>
          </w:tcPr>
          <w:p w:rsidR="00AC499C" w:rsidRPr="00E95FB1" w:rsidRDefault="00AC499C" w:rsidP="00524DBF">
            <w:pPr>
              <w:rPr>
                <w:rFonts w:eastAsia="Calibri"/>
              </w:rPr>
            </w:pPr>
            <w:proofErr w:type="spellStart"/>
            <w:r w:rsidRPr="00E95FB1">
              <w:rPr>
                <w:rFonts w:eastAsia="Calibri"/>
              </w:rPr>
              <w:t>Енергозабезпечення</w:t>
            </w:r>
            <w:proofErr w:type="spellEnd"/>
            <w:r w:rsidRPr="00E95FB1">
              <w:rPr>
                <w:rFonts w:eastAsia="Calibri"/>
              </w:rPr>
              <w:t xml:space="preserve"> (у тому </w:t>
            </w:r>
            <w:proofErr w:type="spellStart"/>
            <w:r w:rsidRPr="00E95FB1">
              <w:rPr>
                <w:rFonts w:eastAsia="Calibri"/>
              </w:rPr>
              <w:t>числі</w:t>
            </w:r>
            <w:proofErr w:type="spellEnd"/>
            <w:r w:rsidRPr="00E95FB1">
              <w:rPr>
                <w:rFonts w:eastAsia="Calibri"/>
              </w:rPr>
              <w:t xml:space="preserve"> </w:t>
            </w:r>
            <w:proofErr w:type="spellStart"/>
            <w:r w:rsidRPr="00E95FB1">
              <w:rPr>
                <w:rFonts w:eastAsia="Calibri"/>
              </w:rPr>
              <w:t>постачання</w:t>
            </w:r>
            <w:proofErr w:type="spellEnd"/>
            <w:r w:rsidRPr="00E95FB1">
              <w:rPr>
                <w:rFonts w:eastAsia="Calibri"/>
              </w:rPr>
              <w:t xml:space="preserve"> </w:t>
            </w:r>
            <w:proofErr w:type="spellStart"/>
            <w:r w:rsidRPr="00E95FB1">
              <w:rPr>
                <w:rFonts w:eastAsia="Calibri"/>
              </w:rPr>
              <w:t>теплової</w:t>
            </w:r>
            <w:proofErr w:type="spellEnd"/>
            <w:r w:rsidRPr="00E95FB1">
              <w:rPr>
                <w:rFonts w:eastAsia="Calibri"/>
              </w:rPr>
              <w:t xml:space="preserve"> </w:t>
            </w:r>
            <w:proofErr w:type="spellStart"/>
            <w:r w:rsidRPr="00E95FB1">
              <w:rPr>
                <w:rFonts w:eastAsia="Calibri"/>
              </w:rPr>
              <w:t>енергії</w:t>
            </w:r>
            <w:proofErr w:type="spellEnd"/>
            <w:r w:rsidRPr="00E95FB1">
              <w:rPr>
                <w:rFonts w:eastAsia="Calibri"/>
              </w:rPr>
              <w:t>)</w:t>
            </w:r>
          </w:p>
        </w:tc>
        <w:tc>
          <w:tcPr>
            <w:tcW w:w="6981" w:type="dxa"/>
          </w:tcPr>
          <w:p w:rsidR="00AC499C" w:rsidRPr="00E95FB1" w:rsidRDefault="00AC499C" w:rsidP="000303D7">
            <w:pPr>
              <w:numPr>
                <w:ilvl w:val="0"/>
                <w:numId w:val="1"/>
              </w:numPr>
              <w:ind w:left="-38" w:firstLine="283"/>
              <w:contextualSpacing/>
              <w:rPr>
                <w:rFonts w:eastAsia="Calibri"/>
              </w:rPr>
            </w:pPr>
            <w:proofErr w:type="spellStart"/>
            <w:r w:rsidRPr="00E95FB1">
              <w:rPr>
                <w:rFonts w:eastAsia="Calibri"/>
              </w:rPr>
              <w:t>теплопостачання</w:t>
            </w:r>
            <w:proofErr w:type="spellEnd"/>
            <w:r w:rsidRPr="00E95FB1">
              <w:rPr>
                <w:rFonts w:eastAsia="Calibri"/>
              </w:rPr>
              <w:t xml:space="preserve"> (</w:t>
            </w:r>
            <w:proofErr w:type="spellStart"/>
            <w:r w:rsidRPr="00E95FB1">
              <w:rPr>
                <w:rFonts w:eastAsia="Calibri"/>
              </w:rPr>
              <w:t>надавач</w:t>
            </w:r>
            <w:proofErr w:type="spellEnd"/>
            <w:r w:rsidRPr="00E95FB1">
              <w:rPr>
                <w:rFonts w:eastAsia="Calibri"/>
              </w:rPr>
              <w:t xml:space="preserve"> </w:t>
            </w:r>
            <w:r w:rsidRPr="00EE4BA6">
              <w:rPr>
                <w:rFonts w:eastAsia="Calibri"/>
                <w:lang w:val="uk-UA"/>
              </w:rPr>
              <w:t>послуг</w:t>
            </w:r>
            <w:r w:rsidRPr="00E95FB1">
              <w:rPr>
                <w:rFonts w:eastAsia="Calibri"/>
              </w:rPr>
              <w:t xml:space="preserve"> КП «</w:t>
            </w:r>
            <w:proofErr w:type="spellStart"/>
            <w:r w:rsidRPr="00E95FB1">
              <w:rPr>
                <w:rFonts w:eastAsia="Calibri"/>
              </w:rPr>
              <w:t>Сєвєродонецьктеплокомуненерго</w:t>
            </w:r>
            <w:proofErr w:type="spellEnd"/>
            <w:r w:rsidRPr="00E95FB1">
              <w:rPr>
                <w:rFonts w:eastAsia="Calibri"/>
              </w:rPr>
              <w:t xml:space="preserve">» та </w:t>
            </w:r>
            <w:r w:rsidR="00954172" w:rsidRPr="00355733">
              <w:rPr>
                <w:rFonts w:eastAsia="Calibri"/>
              </w:rPr>
              <w:t>АТ «</w:t>
            </w:r>
            <w:proofErr w:type="spellStart"/>
            <w:r w:rsidR="00954172" w:rsidRPr="00355733">
              <w:rPr>
                <w:rFonts w:eastAsia="Calibri"/>
              </w:rPr>
              <w:t>Сєвєродонецька</w:t>
            </w:r>
            <w:proofErr w:type="spellEnd"/>
            <w:r w:rsidR="00954172" w:rsidRPr="00355733">
              <w:rPr>
                <w:rFonts w:eastAsia="Calibri"/>
              </w:rPr>
              <w:t xml:space="preserve"> ТЕЦ»</w:t>
            </w:r>
            <w:r w:rsidRPr="00E95FB1">
              <w:rPr>
                <w:rFonts w:eastAsia="Calibri"/>
              </w:rPr>
              <w:t xml:space="preserve">): </w:t>
            </w:r>
            <w:proofErr w:type="spellStart"/>
            <w:r w:rsidRPr="00E95FB1">
              <w:rPr>
                <w:rFonts w:eastAsia="Calibri"/>
              </w:rPr>
              <w:t>готовність</w:t>
            </w:r>
            <w:proofErr w:type="spellEnd"/>
            <w:r w:rsidRPr="00E95FB1">
              <w:rPr>
                <w:rFonts w:eastAsia="Calibri"/>
              </w:rPr>
              <w:t xml:space="preserve"> до </w:t>
            </w:r>
            <w:proofErr w:type="spellStart"/>
            <w:r w:rsidRPr="00E95FB1">
              <w:rPr>
                <w:rFonts w:eastAsia="Calibri"/>
              </w:rPr>
              <w:t>надання</w:t>
            </w:r>
            <w:proofErr w:type="spellEnd"/>
            <w:r w:rsidRPr="00E95FB1">
              <w:rPr>
                <w:rFonts w:eastAsia="Calibri"/>
              </w:rPr>
              <w:t xml:space="preserve"> </w:t>
            </w:r>
            <w:proofErr w:type="spellStart"/>
            <w:r w:rsidRPr="00E95FB1">
              <w:rPr>
                <w:rFonts w:eastAsia="Calibri"/>
              </w:rPr>
              <w:t>послуги</w:t>
            </w:r>
            <w:proofErr w:type="spellEnd"/>
            <w:r w:rsidRPr="00E95FB1">
              <w:rPr>
                <w:rFonts w:eastAsia="Calibri"/>
              </w:rPr>
              <w:t xml:space="preserve"> </w:t>
            </w:r>
            <w:r>
              <w:rPr>
                <w:rFonts w:eastAsia="Calibri"/>
              </w:rPr>
              <w:t>__</w:t>
            </w:r>
            <w:r w:rsidRPr="00E95FB1">
              <w:rPr>
                <w:rFonts w:eastAsia="Calibri"/>
              </w:rPr>
              <w:t xml:space="preserve"> % (</w:t>
            </w:r>
            <w:proofErr w:type="spellStart"/>
            <w:r w:rsidRPr="00E95FB1">
              <w:rPr>
                <w:rFonts w:eastAsia="Calibri"/>
              </w:rPr>
              <w:t>об'єкти</w:t>
            </w:r>
            <w:proofErr w:type="spellEnd"/>
            <w:r w:rsidRPr="00E95FB1">
              <w:rPr>
                <w:rFonts w:eastAsia="Calibri"/>
              </w:rPr>
              <w:t xml:space="preserve"> </w:t>
            </w:r>
            <w:proofErr w:type="spellStart"/>
            <w:r w:rsidRPr="00E95FB1">
              <w:rPr>
                <w:rFonts w:eastAsia="Calibri"/>
              </w:rPr>
              <w:t>виробничих</w:t>
            </w:r>
            <w:proofErr w:type="spellEnd"/>
            <w:r w:rsidRPr="00E95FB1">
              <w:rPr>
                <w:rFonts w:eastAsia="Calibri"/>
              </w:rPr>
              <w:t xml:space="preserve"> </w:t>
            </w:r>
            <w:proofErr w:type="spellStart"/>
            <w:r w:rsidRPr="00E95FB1">
              <w:rPr>
                <w:rFonts w:eastAsia="Calibri"/>
              </w:rPr>
              <w:t>потужностей</w:t>
            </w:r>
            <w:proofErr w:type="spellEnd"/>
            <w:r w:rsidRPr="00E95FB1">
              <w:rPr>
                <w:rFonts w:eastAsia="Calibri"/>
              </w:rPr>
              <w:t xml:space="preserve"> </w:t>
            </w:r>
            <w:r w:rsidRPr="00EE4BA6">
              <w:rPr>
                <w:rFonts w:eastAsia="Calibri"/>
                <w:lang w:val="uk-UA"/>
              </w:rPr>
              <w:t xml:space="preserve">частково зруйновані; стан </w:t>
            </w:r>
            <w:proofErr w:type="spellStart"/>
            <w:r w:rsidRPr="00EE4BA6">
              <w:rPr>
                <w:rFonts w:eastAsia="Calibri"/>
                <w:lang w:val="uk-UA"/>
              </w:rPr>
              <w:t>внутрішньобудинкових</w:t>
            </w:r>
            <w:proofErr w:type="spellEnd"/>
            <w:r w:rsidRPr="00EE4BA6">
              <w:rPr>
                <w:rFonts w:eastAsia="Calibri"/>
                <w:lang w:val="uk-UA"/>
              </w:rPr>
              <w:t xml:space="preserve"> та зовнішніх</w:t>
            </w:r>
            <w:r w:rsidRPr="00E95FB1">
              <w:rPr>
                <w:rFonts w:eastAsia="Calibri"/>
              </w:rPr>
              <w:t xml:space="preserve"> мереж </w:t>
            </w:r>
            <w:proofErr w:type="spellStart"/>
            <w:r w:rsidRPr="00E95FB1">
              <w:rPr>
                <w:rFonts w:eastAsia="Calibri"/>
              </w:rPr>
              <w:t>незадовільний</w:t>
            </w:r>
            <w:proofErr w:type="spellEnd"/>
            <w:r w:rsidRPr="00E95FB1">
              <w:rPr>
                <w:rFonts w:eastAsia="Calibri"/>
              </w:rPr>
              <w:t xml:space="preserve">, </w:t>
            </w:r>
            <w:proofErr w:type="spellStart"/>
            <w:r w:rsidRPr="00E95FB1">
              <w:rPr>
                <w:rFonts w:eastAsia="Calibri"/>
              </w:rPr>
              <w:t>матеріально-технічна</w:t>
            </w:r>
            <w:proofErr w:type="spellEnd"/>
            <w:r w:rsidRPr="00E95FB1">
              <w:rPr>
                <w:rFonts w:eastAsia="Calibri"/>
              </w:rPr>
              <w:t xml:space="preserve"> база </w:t>
            </w:r>
            <w:proofErr w:type="spellStart"/>
            <w:r w:rsidRPr="00E95FB1">
              <w:rPr>
                <w:rFonts w:eastAsia="Calibri"/>
              </w:rPr>
              <w:t>пошкоджена</w:t>
            </w:r>
            <w:proofErr w:type="spellEnd"/>
            <w:r w:rsidRPr="00E95FB1">
              <w:rPr>
                <w:rFonts w:eastAsia="Calibri"/>
              </w:rPr>
              <w:t xml:space="preserve"> та </w:t>
            </w:r>
            <w:proofErr w:type="spellStart"/>
            <w:r w:rsidRPr="00E95FB1">
              <w:rPr>
                <w:rFonts w:eastAsia="Calibri"/>
              </w:rPr>
              <w:t>розграбована</w:t>
            </w:r>
            <w:proofErr w:type="spellEnd"/>
            <w:r w:rsidRPr="00E95FB1">
              <w:rPr>
                <w:rFonts w:eastAsia="Calibri"/>
              </w:rPr>
              <w:t xml:space="preserve">, </w:t>
            </w:r>
            <w:proofErr w:type="spellStart"/>
            <w:r w:rsidRPr="00E95FB1">
              <w:rPr>
                <w:rFonts w:eastAsia="Calibri"/>
              </w:rPr>
              <w:t>забезпеченість</w:t>
            </w:r>
            <w:proofErr w:type="spellEnd"/>
            <w:r w:rsidRPr="00E95FB1">
              <w:rPr>
                <w:rFonts w:eastAsia="Calibri"/>
              </w:rPr>
              <w:t xml:space="preserve"> персоналом ___ %);</w:t>
            </w:r>
          </w:p>
          <w:p w:rsidR="00AC499C" w:rsidRPr="00E95FB1" w:rsidRDefault="00AC499C" w:rsidP="000303D7">
            <w:pPr>
              <w:numPr>
                <w:ilvl w:val="0"/>
                <w:numId w:val="1"/>
              </w:numPr>
              <w:ind w:left="-38" w:firstLine="283"/>
              <w:contextualSpacing/>
              <w:rPr>
                <w:rFonts w:eastAsia="Calibri"/>
              </w:rPr>
            </w:pPr>
            <w:proofErr w:type="spellStart"/>
            <w:r w:rsidRPr="00E95FB1">
              <w:rPr>
                <w:rFonts w:eastAsia="Calibri"/>
              </w:rPr>
              <w:t>електропостачання</w:t>
            </w:r>
            <w:proofErr w:type="spellEnd"/>
            <w:r w:rsidRPr="00E95FB1">
              <w:rPr>
                <w:rFonts w:eastAsia="Calibri"/>
              </w:rPr>
              <w:t xml:space="preserve">: </w:t>
            </w:r>
            <w:proofErr w:type="spellStart"/>
            <w:r w:rsidRPr="00E95FB1">
              <w:rPr>
                <w:rFonts w:eastAsia="Calibri"/>
              </w:rPr>
              <w:t>готовність</w:t>
            </w:r>
            <w:proofErr w:type="spellEnd"/>
            <w:r w:rsidRPr="00E95FB1">
              <w:rPr>
                <w:rFonts w:eastAsia="Calibri"/>
              </w:rPr>
              <w:t xml:space="preserve"> до </w:t>
            </w:r>
            <w:proofErr w:type="spellStart"/>
            <w:r w:rsidRPr="00E95FB1">
              <w:rPr>
                <w:rFonts w:eastAsia="Calibri"/>
              </w:rPr>
              <w:t>надання</w:t>
            </w:r>
            <w:proofErr w:type="spellEnd"/>
            <w:r w:rsidRPr="00E95FB1">
              <w:rPr>
                <w:rFonts w:eastAsia="Calibri"/>
              </w:rPr>
              <w:t xml:space="preserve"> </w:t>
            </w:r>
            <w:proofErr w:type="spellStart"/>
            <w:r w:rsidRPr="00E95FB1">
              <w:rPr>
                <w:rFonts w:eastAsia="Calibri"/>
              </w:rPr>
              <w:t>послуги</w:t>
            </w:r>
            <w:proofErr w:type="spellEnd"/>
            <w:r w:rsidRPr="00E95FB1">
              <w:rPr>
                <w:rFonts w:eastAsia="Calibri"/>
              </w:rPr>
              <w:t xml:space="preserve"> ____% (</w:t>
            </w:r>
            <w:proofErr w:type="spellStart"/>
            <w:r w:rsidRPr="00E95FB1">
              <w:rPr>
                <w:rFonts w:eastAsia="Calibri"/>
              </w:rPr>
              <w:t>пошкодження</w:t>
            </w:r>
            <w:proofErr w:type="spellEnd"/>
            <w:r w:rsidRPr="00E95FB1">
              <w:rPr>
                <w:rFonts w:eastAsia="Calibri"/>
              </w:rPr>
              <w:t xml:space="preserve"> </w:t>
            </w:r>
            <w:proofErr w:type="spellStart"/>
            <w:r w:rsidRPr="00E95FB1">
              <w:rPr>
                <w:rFonts w:eastAsia="Calibri"/>
              </w:rPr>
              <w:t>електромереж</w:t>
            </w:r>
            <w:proofErr w:type="spellEnd"/>
            <w:r w:rsidRPr="00E95FB1">
              <w:rPr>
                <w:rFonts w:eastAsia="Calibri"/>
              </w:rPr>
              <w:t xml:space="preserve"> ___ %; </w:t>
            </w:r>
            <w:proofErr w:type="spellStart"/>
            <w:r w:rsidRPr="00E95FB1">
              <w:rPr>
                <w:rFonts w:eastAsia="Calibri"/>
              </w:rPr>
              <w:t>пошкодження</w:t>
            </w:r>
            <w:proofErr w:type="spellEnd"/>
            <w:r w:rsidRPr="00E95FB1">
              <w:rPr>
                <w:rFonts w:eastAsia="Calibri"/>
              </w:rPr>
              <w:t xml:space="preserve"> та </w:t>
            </w:r>
            <w:proofErr w:type="spellStart"/>
            <w:r w:rsidRPr="00E95FB1">
              <w:rPr>
                <w:rFonts w:eastAsia="Calibri"/>
              </w:rPr>
              <w:t>руйнація</w:t>
            </w:r>
            <w:proofErr w:type="spellEnd"/>
            <w:r w:rsidRPr="00E95FB1">
              <w:rPr>
                <w:rFonts w:eastAsia="Calibri"/>
              </w:rPr>
              <w:t xml:space="preserve"> </w:t>
            </w:r>
            <w:proofErr w:type="spellStart"/>
            <w:r w:rsidRPr="00E95FB1">
              <w:rPr>
                <w:rFonts w:eastAsia="Calibri"/>
              </w:rPr>
              <w:t>електропідстанцій</w:t>
            </w:r>
            <w:proofErr w:type="spellEnd"/>
            <w:r w:rsidRPr="00E95FB1">
              <w:rPr>
                <w:rFonts w:eastAsia="Calibri"/>
              </w:rPr>
              <w:t xml:space="preserve"> _______ %, </w:t>
            </w:r>
            <w:proofErr w:type="spellStart"/>
            <w:r w:rsidRPr="00E95FB1">
              <w:rPr>
                <w:rFonts w:eastAsia="Calibri"/>
              </w:rPr>
              <w:t>відсутність</w:t>
            </w:r>
            <w:proofErr w:type="spellEnd"/>
            <w:r w:rsidRPr="00E95FB1">
              <w:rPr>
                <w:rFonts w:eastAsia="Calibri"/>
              </w:rPr>
              <w:t>/</w:t>
            </w:r>
            <w:proofErr w:type="spellStart"/>
            <w:r w:rsidRPr="00E95FB1">
              <w:rPr>
                <w:rFonts w:eastAsia="Calibri"/>
              </w:rPr>
              <w:t>наявність</w:t>
            </w:r>
            <w:proofErr w:type="spellEnd"/>
            <w:r w:rsidRPr="00E95FB1">
              <w:rPr>
                <w:rFonts w:eastAsia="Calibri"/>
              </w:rPr>
              <w:t xml:space="preserve"> (</w:t>
            </w:r>
            <w:proofErr w:type="spellStart"/>
            <w:r w:rsidRPr="00E95FB1">
              <w:rPr>
                <w:rFonts w:eastAsia="Calibri"/>
              </w:rPr>
              <w:t>рівень</w:t>
            </w:r>
            <w:proofErr w:type="spellEnd"/>
            <w:r w:rsidRPr="00E95FB1">
              <w:rPr>
                <w:rFonts w:eastAsia="Calibri"/>
              </w:rPr>
              <w:t xml:space="preserve">) </w:t>
            </w:r>
            <w:proofErr w:type="spellStart"/>
            <w:r w:rsidRPr="00E95FB1">
              <w:rPr>
                <w:rFonts w:eastAsia="Calibri"/>
              </w:rPr>
              <w:t>організації</w:t>
            </w:r>
            <w:proofErr w:type="spellEnd"/>
            <w:r w:rsidRPr="00E95FB1">
              <w:rPr>
                <w:rFonts w:eastAsia="Calibri"/>
              </w:rPr>
              <w:t xml:space="preserve"> з </w:t>
            </w:r>
            <w:proofErr w:type="spellStart"/>
            <w:r w:rsidRPr="00E95FB1">
              <w:rPr>
                <w:rFonts w:eastAsia="Calibri"/>
              </w:rPr>
              <w:t>постачання</w:t>
            </w:r>
            <w:proofErr w:type="spellEnd"/>
            <w:r w:rsidRPr="00E95FB1">
              <w:rPr>
                <w:rFonts w:eastAsia="Calibri"/>
              </w:rPr>
              <w:t xml:space="preserve"> </w:t>
            </w:r>
            <w:proofErr w:type="spellStart"/>
            <w:r w:rsidRPr="00E95FB1">
              <w:rPr>
                <w:rFonts w:eastAsia="Calibri"/>
              </w:rPr>
              <w:t>електроенергії</w:t>
            </w:r>
            <w:proofErr w:type="spellEnd"/>
            <w:r w:rsidRPr="00E95FB1">
              <w:rPr>
                <w:rFonts w:eastAsia="Calibri"/>
              </w:rPr>
              <w:t xml:space="preserve"> та </w:t>
            </w:r>
            <w:proofErr w:type="spellStart"/>
            <w:r w:rsidRPr="00E95FB1">
              <w:rPr>
                <w:rFonts w:eastAsia="Calibri"/>
              </w:rPr>
              <w:t>забезпеченість</w:t>
            </w:r>
            <w:proofErr w:type="spellEnd"/>
            <w:r w:rsidRPr="00E95FB1">
              <w:rPr>
                <w:rFonts w:eastAsia="Calibri"/>
              </w:rPr>
              <w:t xml:space="preserve"> </w:t>
            </w:r>
            <w:proofErr w:type="spellStart"/>
            <w:r w:rsidRPr="00E95FB1">
              <w:rPr>
                <w:rFonts w:eastAsia="Calibri"/>
              </w:rPr>
              <w:t>її</w:t>
            </w:r>
            <w:proofErr w:type="spellEnd"/>
            <w:r w:rsidRPr="00E95FB1">
              <w:rPr>
                <w:rFonts w:eastAsia="Calibri"/>
              </w:rPr>
              <w:t xml:space="preserve"> персоналом ___ %;</w:t>
            </w:r>
          </w:p>
          <w:p w:rsidR="00AC499C" w:rsidRPr="00E95FB1" w:rsidRDefault="00AC499C" w:rsidP="000303D7">
            <w:pPr>
              <w:numPr>
                <w:ilvl w:val="0"/>
                <w:numId w:val="1"/>
              </w:numPr>
              <w:ind w:left="-38" w:firstLine="283"/>
              <w:contextualSpacing/>
              <w:rPr>
                <w:rFonts w:eastAsia="Calibri"/>
              </w:rPr>
            </w:pPr>
            <w:proofErr w:type="spellStart"/>
            <w:r w:rsidRPr="00E95FB1">
              <w:rPr>
                <w:rFonts w:eastAsia="Calibri"/>
              </w:rPr>
              <w:t>газопостачання</w:t>
            </w:r>
            <w:proofErr w:type="spellEnd"/>
            <w:r w:rsidRPr="00E95FB1">
              <w:rPr>
                <w:rFonts w:eastAsia="Calibri"/>
              </w:rPr>
              <w:t xml:space="preserve">: </w:t>
            </w:r>
            <w:proofErr w:type="spellStart"/>
            <w:r w:rsidRPr="00E95FB1">
              <w:rPr>
                <w:rFonts w:eastAsia="Calibri"/>
              </w:rPr>
              <w:t>готовність</w:t>
            </w:r>
            <w:proofErr w:type="spellEnd"/>
            <w:r w:rsidRPr="00E95FB1">
              <w:rPr>
                <w:rFonts w:eastAsia="Calibri"/>
              </w:rPr>
              <w:t xml:space="preserve"> до </w:t>
            </w:r>
            <w:proofErr w:type="spellStart"/>
            <w:r w:rsidRPr="00E95FB1">
              <w:rPr>
                <w:rFonts w:eastAsia="Calibri"/>
              </w:rPr>
              <w:t>надання</w:t>
            </w:r>
            <w:proofErr w:type="spellEnd"/>
            <w:r w:rsidRPr="00E95FB1">
              <w:rPr>
                <w:rFonts w:eastAsia="Calibri"/>
              </w:rPr>
              <w:t xml:space="preserve"> </w:t>
            </w:r>
            <w:proofErr w:type="spellStart"/>
            <w:r w:rsidRPr="00E95FB1">
              <w:rPr>
                <w:rFonts w:eastAsia="Calibri"/>
              </w:rPr>
              <w:t>послуги</w:t>
            </w:r>
            <w:proofErr w:type="spellEnd"/>
            <w:r w:rsidRPr="00E95FB1">
              <w:rPr>
                <w:rFonts w:eastAsia="Calibri"/>
              </w:rPr>
              <w:t xml:space="preserve"> ____% (</w:t>
            </w:r>
            <w:proofErr w:type="spellStart"/>
            <w:r w:rsidRPr="00E95FB1">
              <w:rPr>
                <w:rFonts w:eastAsia="Calibri"/>
              </w:rPr>
              <w:t>об'єкти</w:t>
            </w:r>
            <w:proofErr w:type="spellEnd"/>
            <w:r w:rsidRPr="00E95FB1">
              <w:rPr>
                <w:rFonts w:eastAsia="Calibri"/>
              </w:rPr>
              <w:t xml:space="preserve"> </w:t>
            </w:r>
            <w:proofErr w:type="spellStart"/>
            <w:r w:rsidRPr="00E95FB1">
              <w:rPr>
                <w:rFonts w:eastAsia="Calibri"/>
              </w:rPr>
              <w:t>виробничих</w:t>
            </w:r>
            <w:proofErr w:type="spellEnd"/>
            <w:r w:rsidRPr="00E95FB1">
              <w:rPr>
                <w:rFonts w:eastAsia="Calibri"/>
              </w:rPr>
              <w:t xml:space="preserve"> </w:t>
            </w:r>
            <w:proofErr w:type="spellStart"/>
            <w:r w:rsidRPr="00E95FB1">
              <w:rPr>
                <w:rFonts w:eastAsia="Calibri"/>
              </w:rPr>
              <w:t>потужностей</w:t>
            </w:r>
            <w:proofErr w:type="spellEnd"/>
            <w:r w:rsidRPr="00E95FB1">
              <w:rPr>
                <w:rFonts w:eastAsia="Calibri"/>
              </w:rPr>
              <w:t xml:space="preserve"> </w:t>
            </w:r>
            <w:proofErr w:type="spellStart"/>
            <w:r w:rsidRPr="00E95FB1">
              <w:rPr>
                <w:rFonts w:eastAsia="Calibri"/>
              </w:rPr>
              <w:t>частково</w:t>
            </w:r>
            <w:proofErr w:type="spellEnd"/>
            <w:r w:rsidRPr="00E95FB1">
              <w:rPr>
                <w:rFonts w:eastAsia="Calibri"/>
              </w:rPr>
              <w:t xml:space="preserve"> </w:t>
            </w:r>
            <w:proofErr w:type="spellStart"/>
            <w:r w:rsidRPr="00E95FB1">
              <w:rPr>
                <w:rFonts w:eastAsia="Calibri"/>
              </w:rPr>
              <w:t>зруйновані</w:t>
            </w:r>
            <w:proofErr w:type="spellEnd"/>
            <w:r w:rsidRPr="00E95FB1">
              <w:rPr>
                <w:rFonts w:eastAsia="Calibri"/>
              </w:rPr>
              <w:t xml:space="preserve">; стан </w:t>
            </w:r>
            <w:proofErr w:type="spellStart"/>
            <w:r w:rsidRPr="00E95FB1">
              <w:rPr>
                <w:rFonts w:eastAsia="Calibri"/>
              </w:rPr>
              <w:t>внутрішньобудинкових</w:t>
            </w:r>
            <w:proofErr w:type="spellEnd"/>
            <w:r w:rsidRPr="00E95FB1">
              <w:rPr>
                <w:rFonts w:eastAsia="Calibri"/>
              </w:rPr>
              <w:t xml:space="preserve"> та </w:t>
            </w:r>
            <w:proofErr w:type="spellStart"/>
            <w:r w:rsidRPr="00E95FB1">
              <w:rPr>
                <w:rFonts w:eastAsia="Calibri"/>
              </w:rPr>
              <w:t>зовнішніх</w:t>
            </w:r>
            <w:proofErr w:type="spellEnd"/>
            <w:r w:rsidRPr="00E95FB1">
              <w:rPr>
                <w:rFonts w:eastAsia="Calibri"/>
              </w:rPr>
              <w:t xml:space="preserve"> мереж </w:t>
            </w:r>
            <w:proofErr w:type="spellStart"/>
            <w:r w:rsidRPr="00E95FB1">
              <w:rPr>
                <w:rFonts w:eastAsia="Calibri"/>
              </w:rPr>
              <w:t>незадовільний</w:t>
            </w:r>
            <w:proofErr w:type="spellEnd"/>
            <w:r w:rsidRPr="00E95FB1">
              <w:rPr>
                <w:rFonts w:eastAsia="Calibri"/>
              </w:rPr>
              <w:t xml:space="preserve">, </w:t>
            </w:r>
            <w:proofErr w:type="spellStart"/>
            <w:r w:rsidRPr="00E95FB1">
              <w:rPr>
                <w:rFonts w:eastAsia="Calibri"/>
              </w:rPr>
              <w:t>матеріально-технічна</w:t>
            </w:r>
            <w:proofErr w:type="spellEnd"/>
            <w:r w:rsidRPr="00E95FB1">
              <w:rPr>
                <w:rFonts w:eastAsia="Calibri"/>
              </w:rPr>
              <w:t xml:space="preserve"> база </w:t>
            </w:r>
            <w:proofErr w:type="spellStart"/>
            <w:r w:rsidRPr="00E95FB1">
              <w:rPr>
                <w:rFonts w:eastAsia="Calibri"/>
              </w:rPr>
              <w:t>пошкоджена</w:t>
            </w:r>
            <w:proofErr w:type="spellEnd"/>
            <w:r w:rsidRPr="00E95FB1">
              <w:rPr>
                <w:rFonts w:eastAsia="Calibri"/>
              </w:rPr>
              <w:t xml:space="preserve"> та </w:t>
            </w:r>
            <w:proofErr w:type="spellStart"/>
            <w:r w:rsidRPr="00E95FB1">
              <w:rPr>
                <w:rFonts w:eastAsia="Calibri"/>
              </w:rPr>
              <w:t>пограбована</w:t>
            </w:r>
            <w:proofErr w:type="spellEnd"/>
            <w:r w:rsidRPr="00E95FB1">
              <w:rPr>
                <w:rFonts w:eastAsia="Calibri"/>
              </w:rPr>
              <w:t xml:space="preserve">, </w:t>
            </w:r>
            <w:proofErr w:type="spellStart"/>
            <w:r w:rsidRPr="00E95FB1">
              <w:rPr>
                <w:rFonts w:eastAsia="Calibri"/>
              </w:rPr>
              <w:t>відсутність</w:t>
            </w:r>
            <w:proofErr w:type="spellEnd"/>
            <w:r w:rsidRPr="00E95FB1">
              <w:rPr>
                <w:rFonts w:eastAsia="Calibri"/>
              </w:rPr>
              <w:t>/</w:t>
            </w:r>
            <w:proofErr w:type="spellStart"/>
            <w:r w:rsidRPr="00E95FB1">
              <w:rPr>
                <w:rFonts w:eastAsia="Calibri"/>
              </w:rPr>
              <w:t>наявність</w:t>
            </w:r>
            <w:proofErr w:type="spellEnd"/>
            <w:r w:rsidRPr="00E95FB1">
              <w:rPr>
                <w:rFonts w:eastAsia="Calibri"/>
              </w:rPr>
              <w:t xml:space="preserve"> (</w:t>
            </w:r>
            <w:proofErr w:type="spellStart"/>
            <w:r w:rsidRPr="00E95FB1">
              <w:rPr>
                <w:rFonts w:eastAsia="Calibri"/>
              </w:rPr>
              <w:t>рівень</w:t>
            </w:r>
            <w:proofErr w:type="spellEnd"/>
            <w:r w:rsidRPr="00E95FB1">
              <w:rPr>
                <w:rFonts w:eastAsia="Calibri"/>
              </w:rPr>
              <w:t xml:space="preserve">) </w:t>
            </w:r>
            <w:proofErr w:type="spellStart"/>
            <w:r w:rsidRPr="00E95FB1">
              <w:rPr>
                <w:rFonts w:eastAsia="Calibri"/>
              </w:rPr>
              <w:t>організації</w:t>
            </w:r>
            <w:proofErr w:type="spellEnd"/>
            <w:r w:rsidRPr="00E95FB1">
              <w:rPr>
                <w:rFonts w:eastAsia="Calibri"/>
              </w:rPr>
              <w:t xml:space="preserve"> з </w:t>
            </w:r>
            <w:proofErr w:type="spellStart"/>
            <w:r w:rsidRPr="00E95FB1">
              <w:rPr>
                <w:rFonts w:eastAsia="Calibri"/>
              </w:rPr>
              <w:t>газопостачання</w:t>
            </w:r>
            <w:proofErr w:type="spellEnd"/>
            <w:r w:rsidRPr="00E95FB1">
              <w:rPr>
                <w:rFonts w:eastAsia="Calibri"/>
              </w:rPr>
              <w:t xml:space="preserve"> та </w:t>
            </w:r>
            <w:proofErr w:type="spellStart"/>
            <w:r w:rsidRPr="00E95FB1">
              <w:rPr>
                <w:rFonts w:eastAsia="Calibri"/>
              </w:rPr>
              <w:t>забезпеченість</w:t>
            </w:r>
            <w:proofErr w:type="spellEnd"/>
            <w:r w:rsidRPr="00E95FB1">
              <w:rPr>
                <w:rFonts w:eastAsia="Calibri"/>
              </w:rPr>
              <w:t xml:space="preserve"> </w:t>
            </w:r>
            <w:proofErr w:type="spellStart"/>
            <w:r w:rsidRPr="00E95FB1">
              <w:rPr>
                <w:rFonts w:eastAsia="Calibri"/>
              </w:rPr>
              <w:t>її</w:t>
            </w:r>
            <w:proofErr w:type="spellEnd"/>
            <w:r w:rsidRPr="00E95FB1">
              <w:rPr>
                <w:rFonts w:eastAsia="Calibri"/>
              </w:rPr>
              <w:t xml:space="preserve"> </w:t>
            </w:r>
            <w:proofErr w:type="gramStart"/>
            <w:r w:rsidRPr="00E95FB1">
              <w:rPr>
                <w:rFonts w:eastAsia="Calibri"/>
              </w:rPr>
              <w:t>персоналом)_</w:t>
            </w:r>
            <w:proofErr w:type="gramEnd"/>
            <w:r w:rsidRPr="00E95FB1">
              <w:rPr>
                <w:rFonts w:eastAsia="Calibri"/>
              </w:rPr>
              <w:t>___%;</w:t>
            </w:r>
          </w:p>
          <w:p w:rsidR="00AC499C" w:rsidRPr="00E95FB1" w:rsidRDefault="00AC499C" w:rsidP="000303D7">
            <w:pPr>
              <w:numPr>
                <w:ilvl w:val="0"/>
                <w:numId w:val="1"/>
              </w:numPr>
              <w:ind w:left="-38" w:firstLine="283"/>
              <w:contextualSpacing/>
              <w:rPr>
                <w:rFonts w:eastAsia="Calibri"/>
              </w:rPr>
            </w:pPr>
            <w:proofErr w:type="spellStart"/>
            <w:r w:rsidRPr="00E95FB1">
              <w:rPr>
                <w:rFonts w:eastAsia="Calibri"/>
              </w:rPr>
              <w:t>завдані</w:t>
            </w:r>
            <w:proofErr w:type="spellEnd"/>
            <w:r w:rsidRPr="00E95FB1">
              <w:rPr>
                <w:rFonts w:eastAsia="Calibri"/>
              </w:rPr>
              <w:t xml:space="preserve"> </w:t>
            </w:r>
            <w:proofErr w:type="spellStart"/>
            <w:r w:rsidRPr="00E95FB1">
              <w:rPr>
                <w:rFonts w:eastAsia="Calibri"/>
              </w:rPr>
              <w:t>збитки</w:t>
            </w:r>
            <w:proofErr w:type="spellEnd"/>
            <w:r w:rsidRPr="00E95FB1">
              <w:rPr>
                <w:rFonts w:eastAsia="Calibri"/>
              </w:rPr>
              <w:t xml:space="preserve"> ______.</w:t>
            </w:r>
          </w:p>
        </w:tc>
      </w:tr>
      <w:tr w:rsidR="00AC499C" w:rsidRPr="00E95FB1" w:rsidTr="00524DBF">
        <w:tc>
          <w:tcPr>
            <w:tcW w:w="2590" w:type="dxa"/>
          </w:tcPr>
          <w:p w:rsidR="00AC499C" w:rsidRPr="00E95FB1" w:rsidRDefault="00AC499C" w:rsidP="00524DBF">
            <w:pPr>
              <w:rPr>
                <w:rFonts w:eastAsia="Calibri"/>
              </w:rPr>
            </w:pPr>
            <w:proofErr w:type="spellStart"/>
            <w:r w:rsidRPr="00E95FB1">
              <w:rPr>
                <w:rFonts w:eastAsia="Calibri"/>
              </w:rPr>
              <w:t>Водопостачання</w:t>
            </w:r>
            <w:proofErr w:type="spellEnd"/>
            <w:r w:rsidRPr="00E95FB1">
              <w:rPr>
                <w:rFonts w:eastAsia="Calibri"/>
              </w:rPr>
              <w:t xml:space="preserve"> та </w:t>
            </w:r>
            <w:proofErr w:type="spellStart"/>
            <w:r w:rsidRPr="00E95FB1">
              <w:rPr>
                <w:rFonts w:eastAsia="Calibri"/>
              </w:rPr>
              <w:t>водовідведення</w:t>
            </w:r>
            <w:proofErr w:type="spellEnd"/>
          </w:p>
        </w:tc>
        <w:tc>
          <w:tcPr>
            <w:tcW w:w="6981" w:type="dxa"/>
          </w:tcPr>
          <w:p w:rsidR="00AC499C" w:rsidRPr="00EE4BA6" w:rsidRDefault="00AC499C" w:rsidP="000303D7">
            <w:pPr>
              <w:numPr>
                <w:ilvl w:val="0"/>
                <w:numId w:val="1"/>
              </w:numPr>
              <w:ind w:left="0" w:firstLine="199"/>
              <w:contextualSpacing/>
              <w:rPr>
                <w:rFonts w:eastAsia="Calibri"/>
                <w:lang w:val="uk-UA"/>
              </w:rPr>
            </w:pPr>
            <w:proofErr w:type="spellStart"/>
            <w:r w:rsidRPr="00E95FB1">
              <w:rPr>
                <w:rFonts w:eastAsia="Calibri"/>
              </w:rPr>
              <w:t>централізоване</w:t>
            </w:r>
            <w:proofErr w:type="spellEnd"/>
            <w:r w:rsidRPr="00E95FB1">
              <w:rPr>
                <w:rFonts w:eastAsia="Calibri"/>
              </w:rPr>
              <w:t xml:space="preserve"> </w:t>
            </w:r>
            <w:proofErr w:type="spellStart"/>
            <w:r w:rsidRPr="00E95FB1">
              <w:rPr>
                <w:rFonts w:eastAsia="Calibri"/>
              </w:rPr>
              <w:t>водопостачання</w:t>
            </w:r>
            <w:proofErr w:type="spellEnd"/>
            <w:r w:rsidRPr="00E95FB1">
              <w:rPr>
                <w:rFonts w:eastAsia="Calibri"/>
              </w:rPr>
              <w:t xml:space="preserve"> та </w:t>
            </w:r>
            <w:proofErr w:type="spellStart"/>
            <w:r w:rsidRPr="00E95FB1">
              <w:rPr>
                <w:rFonts w:eastAsia="Calibri"/>
              </w:rPr>
              <w:t>централізоване</w:t>
            </w:r>
            <w:proofErr w:type="spellEnd"/>
            <w:r w:rsidRPr="00E95FB1">
              <w:rPr>
                <w:rFonts w:eastAsia="Calibri"/>
              </w:rPr>
              <w:t xml:space="preserve"> </w:t>
            </w:r>
            <w:proofErr w:type="spellStart"/>
            <w:r w:rsidRPr="00E95FB1">
              <w:rPr>
                <w:rFonts w:eastAsia="Calibri"/>
              </w:rPr>
              <w:t>водовідведення</w:t>
            </w:r>
            <w:proofErr w:type="spellEnd"/>
            <w:r w:rsidRPr="00E95FB1">
              <w:rPr>
                <w:rFonts w:eastAsia="Calibri"/>
              </w:rPr>
              <w:t xml:space="preserve"> </w:t>
            </w:r>
            <w:proofErr w:type="spellStart"/>
            <w:r w:rsidRPr="00E95FB1">
              <w:rPr>
                <w:rFonts w:eastAsia="Calibri"/>
              </w:rPr>
              <w:t>всіх</w:t>
            </w:r>
            <w:proofErr w:type="spellEnd"/>
            <w:r w:rsidRPr="00E95FB1">
              <w:rPr>
                <w:rFonts w:eastAsia="Calibri"/>
              </w:rPr>
              <w:t xml:space="preserve"> </w:t>
            </w:r>
            <w:r w:rsidRPr="00EE4BA6">
              <w:rPr>
                <w:rFonts w:eastAsia="Calibri"/>
                <w:lang w:val="uk-UA"/>
              </w:rPr>
              <w:t xml:space="preserve">категорій споживачів в </w:t>
            </w:r>
            <w:proofErr w:type="spellStart"/>
            <w:r w:rsidRPr="00EE4BA6">
              <w:rPr>
                <w:rFonts w:eastAsia="Calibri"/>
                <w:lang w:val="uk-UA"/>
              </w:rPr>
              <w:t>м.Сєвєродонецьк</w:t>
            </w:r>
            <w:proofErr w:type="spellEnd"/>
            <w:r w:rsidRPr="00EE4BA6">
              <w:rPr>
                <w:rFonts w:eastAsia="Calibri"/>
                <w:lang w:val="uk-UA"/>
              </w:rPr>
              <w:t xml:space="preserve">, житловому районі </w:t>
            </w:r>
            <w:proofErr w:type="spellStart"/>
            <w:r w:rsidRPr="00EE4BA6">
              <w:rPr>
                <w:rFonts w:eastAsia="Calibri"/>
                <w:lang w:val="uk-UA"/>
              </w:rPr>
              <w:lastRenderedPageBreak/>
              <w:t>Щедрищеве</w:t>
            </w:r>
            <w:proofErr w:type="spellEnd"/>
            <w:r w:rsidRPr="00EE4BA6">
              <w:rPr>
                <w:rFonts w:eastAsia="Calibri"/>
                <w:lang w:val="uk-UA"/>
              </w:rPr>
              <w:t xml:space="preserve">, селищах </w:t>
            </w:r>
            <w:proofErr w:type="spellStart"/>
            <w:r w:rsidRPr="00EE4BA6">
              <w:rPr>
                <w:rFonts w:eastAsia="Calibri"/>
                <w:lang w:val="uk-UA"/>
              </w:rPr>
              <w:t>Синецький</w:t>
            </w:r>
            <w:proofErr w:type="spellEnd"/>
            <w:r w:rsidRPr="00EE4BA6">
              <w:rPr>
                <w:rFonts w:eastAsia="Calibri"/>
                <w:lang w:val="uk-UA"/>
              </w:rPr>
              <w:t xml:space="preserve"> і Павлоград, селищах міського типу Сиротине і Воронове, селах Боброве, Чабанівка, Гаврилівка, експлуатацію водопровідних і каналізаційних мереж та споруд до 24.02.202</w:t>
            </w:r>
            <w:r w:rsidR="0080525E">
              <w:rPr>
                <w:rFonts w:eastAsia="Calibri"/>
                <w:lang w:val="uk-UA"/>
              </w:rPr>
              <w:t>2</w:t>
            </w:r>
            <w:r w:rsidRPr="00EE4BA6">
              <w:rPr>
                <w:rFonts w:eastAsia="Calibri"/>
                <w:lang w:val="uk-UA"/>
              </w:rPr>
              <w:t xml:space="preserve"> здійснювало КП «</w:t>
            </w:r>
            <w:proofErr w:type="spellStart"/>
            <w:r w:rsidRPr="00EE4BA6">
              <w:rPr>
                <w:rFonts w:eastAsia="Calibri"/>
                <w:lang w:val="uk-UA"/>
              </w:rPr>
              <w:t>Сєвєродонецькводоканал</w:t>
            </w:r>
            <w:proofErr w:type="spellEnd"/>
            <w:r w:rsidRPr="00EE4BA6">
              <w:rPr>
                <w:rFonts w:eastAsia="Calibri"/>
                <w:lang w:val="uk-UA"/>
              </w:rPr>
              <w:t>»</w:t>
            </w:r>
            <w:r w:rsidR="00A31587">
              <w:rPr>
                <w:rFonts w:eastAsia="Calibri"/>
              </w:rPr>
              <w:t>;</w:t>
            </w:r>
          </w:p>
          <w:p w:rsidR="00AC499C" w:rsidRPr="00EE4BA6" w:rsidRDefault="00AC499C" w:rsidP="000303D7">
            <w:pPr>
              <w:numPr>
                <w:ilvl w:val="0"/>
                <w:numId w:val="1"/>
              </w:numPr>
              <w:ind w:left="-38" w:firstLine="142"/>
              <w:contextualSpacing/>
              <w:rPr>
                <w:rFonts w:eastAsia="Calibri"/>
                <w:lang w:val="uk-UA"/>
              </w:rPr>
            </w:pPr>
            <w:r w:rsidRPr="00EE4BA6">
              <w:rPr>
                <w:rFonts w:eastAsia="Calibri"/>
                <w:lang w:val="uk-UA"/>
              </w:rPr>
              <w:t>пошкодження/руйнація інженерного обладнання, комунікацій та мереж насосних агрегатів для подачі води, насосів для відкачки стоків, водопровідних мереж;</w:t>
            </w:r>
          </w:p>
          <w:p w:rsidR="00AC499C" w:rsidRPr="00E95FB1" w:rsidRDefault="00AC499C" w:rsidP="000303D7">
            <w:pPr>
              <w:numPr>
                <w:ilvl w:val="0"/>
                <w:numId w:val="1"/>
              </w:numPr>
              <w:ind w:left="-38" w:firstLine="142"/>
              <w:contextualSpacing/>
              <w:rPr>
                <w:rFonts w:eastAsia="Calibri"/>
              </w:rPr>
            </w:pPr>
            <w:r w:rsidRPr="00EE4BA6">
              <w:rPr>
                <w:rFonts w:eastAsia="Calibri"/>
                <w:lang w:val="uk-UA"/>
              </w:rPr>
              <w:t xml:space="preserve">рівень руйнації </w:t>
            </w:r>
            <w:proofErr w:type="spellStart"/>
            <w:r w:rsidRPr="00EE4BA6">
              <w:rPr>
                <w:rFonts w:eastAsia="Calibri"/>
                <w:lang w:val="uk-UA"/>
              </w:rPr>
              <w:t>Щедрищевського</w:t>
            </w:r>
            <w:proofErr w:type="spellEnd"/>
            <w:r w:rsidRPr="00EE4BA6">
              <w:rPr>
                <w:rFonts w:eastAsia="Calibri"/>
                <w:lang w:val="uk-UA"/>
              </w:rPr>
              <w:t xml:space="preserve"> в</w:t>
            </w:r>
            <w:proofErr w:type="spellStart"/>
            <w:r w:rsidRPr="00E95FB1">
              <w:rPr>
                <w:rFonts w:eastAsia="Calibri"/>
              </w:rPr>
              <w:t>одозабору</w:t>
            </w:r>
            <w:proofErr w:type="spellEnd"/>
            <w:r w:rsidRPr="00E95FB1">
              <w:rPr>
                <w:rFonts w:eastAsia="Calibri"/>
              </w:rPr>
              <w:t xml:space="preserve"> – </w:t>
            </w:r>
            <w:r w:rsidRPr="00E95FB1">
              <w:rPr>
                <w:rFonts w:eastAsia="Calibri"/>
              </w:rPr>
              <w:br/>
            </w:r>
            <w:r>
              <w:rPr>
                <w:rFonts w:eastAsia="Calibri"/>
              </w:rPr>
              <w:t>__</w:t>
            </w:r>
            <w:r w:rsidRPr="00E95FB1">
              <w:rPr>
                <w:rFonts w:eastAsia="Calibri"/>
              </w:rPr>
              <w:t xml:space="preserve"> %;</w:t>
            </w:r>
          </w:p>
          <w:p w:rsidR="00AC499C" w:rsidRPr="00E95FB1" w:rsidRDefault="00AC499C" w:rsidP="000303D7">
            <w:pPr>
              <w:numPr>
                <w:ilvl w:val="0"/>
                <w:numId w:val="1"/>
              </w:numPr>
              <w:ind w:left="-38" w:firstLine="142"/>
              <w:contextualSpacing/>
              <w:rPr>
                <w:rFonts w:eastAsia="Calibri"/>
              </w:rPr>
            </w:pPr>
            <w:proofErr w:type="spellStart"/>
            <w:r w:rsidRPr="00E95FB1">
              <w:rPr>
                <w:rFonts w:eastAsia="Calibri"/>
              </w:rPr>
              <w:t>водопровідні</w:t>
            </w:r>
            <w:proofErr w:type="spellEnd"/>
            <w:r w:rsidRPr="00E95FB1">
              <w:rPr>
                <w:rFonts w:eastAsia="Calibri"/>
              </w:rPr>
              <w:t xml:space="preserve"> </w:t>
            </w:r>
            <w:proofErr w:type="spellStart"/>
            <w:r w:rsidRPr="00E95FB1">
              <w:rPr>
                <w:rFonts w:eastAsia="Calibri"/>
              </w:rPr>
              <w:t>мережі</w:t>
            </w:r>
            <w:proofErr w:type="spellEnd"/>
            <w:r w:rsidRPr="00E95FB1">
              <w:rPr>
                <w:rFonts w:eastAsia="Calibri"/>
              </w:rPr>
              <w:t xml:space="preserve"> </w:t>
            </w:r>
            <w:proofErr w:type="spellStart"/>
            <w:r w:rsidRPr="00E95FB1">
              <w:rPr>
                <w:rFonts w:eastAsia="Calibri"/>
              </w:rPr>
              <w:t>зруйновані</w:t>
            </w:r>
            <w:proofErr w:type="spellEnd"/>
            <w:r w:rsidRPr="00E95FB1">
              <w:rPr>
                <w:rFonts w:eastAsia="Calibri"/>
              </w:rPr>
              <w:t xml:space="preserve"> на </w:t>
            </w:r>
            <w:r>
              <w:rPr>
                <w:rFonts w:eastAsia="Calibri"/>
              </w:rPr>
              <w:t>___</w:t>
            </w:r>
            <w:r w:rsidRPr="00E95FB1">
              <w:rPr>
                <w:rFonts w:eastAsia="Calibri"/>
              </w:rPr>
              <w:t xml:space="preserve"> %;</w:t>
            </w:r>
          </w:p>
          <w:p w:rsidR="00AC499C" w:rsidRPr="00E95FB1" w:rsidRDefault="00AC499C" w:rsidP="000303D7">
            <w:pPr>
              <w:numPr>
                <w:ilvl w:val="0"/>
                <w:numId w:val="1"/>
              </w:numPr>
              <w:ind w:left="-38" w:firstLine="142"/>
              <w:contextualSpacing/>
              <w:rPr>
                <w:rFonts w:eastAsia="Calibri"/>
              </w:rPr>
            </w:pPr>
            <w:proofErr w:type="spellStart"/>
            <w:r w:rsidRPr="00E95FB1">
              <w:rPr>
                <w:rFonts w:eastAsia="Calibri"/>
              </w:rPr>
              <w:t>будівлі</w:t>
            </w:r>
            <w:proofErr w:type="spellEnd"/>
            <w:r w:rsidRPr="00E95FB1">
              <w:rPr>
                <w:rFonts w:eastAsia="Calibri"/>
              </w:rPr>
              <w:t xml:space="preserve"> </w:t>
            </w:r>
            <w:proofErr w:type="spellStart"/>
            <w:r w:rsidRPr="00E95FB1">
              <w:rPr>
                <w:rFonts w:eastAsia="Calibri"/>
              </w:rPr>
              <w:t>каналізаційних</w:t>
            </w:r>
            <w:proofErr w:type="spellEnd"/>
            <w:r w:rsidRPr="00E95FB1">
              <w:rPr>
                <w:rFonts w:eastAsia="Calibri"/>
              </w:rPr>
              <w:t xml:space="preserve"> </w:t>
            </w:r>
            <w:proofErr w:type="spellStart"/>
            <w:r w:rsidRPr="00E95FB1">
              <w:rPr>
                <w:rFonts w:eastAsia="Calibri"/>
              </w:rPr>
              <w:t>насосних</w:t>
            </w:r>
            <w:proofErr w:type="spellEnd"/>
            <w:r w:rsidRPr="00E95FB1">
              <w:rPr>
                <w:rFonts w:eastAsia="Calibri"/>
              </w:rPr>
              <w:t xml:space="preserve"> </w:t>
            </w:r>
            <w:proofErr w:type="spellStart"/>
            <w:r w:rsidRPr="00E95FB1">
              <w:rPr>
                <w:rFonts w:eastAsia="Calibri"/>
              </w:rPr>
              <w:t>станцій</w:t>
            </w:r>
            <w:proofErr w:type="spellEnd"/>
            <w:r w:rsidRPr="00E95FB1">
              <w:rPr>
                <w:rFonts w:eastAsia="Calibri"/>
              </w:rPr>
              <w:t xml:space="preserve"> </w:t>
            </w:r>
            <w:proofErr w:type="spellStart"/>
            <w:r w:rsidRPr="00E95FB1">
              <w:rPr>
                <w:rFonts w:eastAsia="Calibri"/>
              </w:rPr>
              <w:t>зруйновані</w:t>
            </w:r>
            <w:proofErr w:type="spellEnd"/>
            <w:r w:rsidRPr="00E95FB1">
              <w:rPr>
                <w:rFonts w:eastAsia="Calibri"/>
              </w:rPr>
              <w:t xml:space="preserve"> на </w:t>
            </w:r>
            <w:r>
              <w:rPr>
                <w:rFonts w:eastAsia="Calibri"/>
              </w:rPr>
              <w:t>___</w:t>
            </w:r>
            <w:r w:rsidRPr="00E95FB1">
              <w:rPr>
                <w:rFonts w:eastAsia="Calibri"/>
              </w:rPr>
              <w:t xml:space="preserve"> %, </w:t>
            </w:r>
            <w:proofErr w:type="spellStart"/>
            <w:r w:rsidRPr="00E95FB1">
              <w:rPr>
                <w:rFonts w:eastAsia="Calibri"/>
              </w:rPr>
              <w:t>каналізаційні</w:t>
            </w:r>
            <w:proofErr w:type="spellEnd"/>
            <w:r w:rsidRPr="00E95FB1">
              <w:rPr>
                <w:rFonts w:eastAsia="Calibri"/>
              </w:rPr>
              <w:t xml:space="preserve"> </w:t>
            </w:r>
            <w:proofErr w:type="spellStart"/>
            <w:r w:rsidRPr="00E95FB1">
              <w:rPr>
                <w:rFonts w:eastAsia="Calibri"/>
              </w:rPr>
              <w:t>мережі</w:t>
            </w:r>
            <w:proofErr w:type="spellEnd"/>
            <w:r w:rsidRPr="00E95FB1">
              <w:rPr>
                <w:rFonts w:eastAsia="Calibri"/>
              </w:rPr>
              <w:t xml:space="preserve"> – на </w:t>
            </w:r>
            <w:r>
              <w:rPr>
                <w:rFonts w:eastAsia="Calibri"/>
              </w:rPr>
              <w:t>__</w:t>
            </w:r>
            <w:r w:rsidRPr="00E95FB1">
              <w:rPr>
                <w:rFonts w:eastAsia="Calibri"/>
              </w:rPr>
              <w:t xml:space="preserve"> %;</w:t>
            </w:r>
          </w:p>
          <w:p w:rsidR="00AC499C" w:rsidRPr="00E95FB1" w:rsidRDefault="00AC499C" w:rsidP="000303D7">
            <w:pPr>
              <w:numPr>
                <w:ilvl w:val="0"/>
                <w:numId w:val="1"/>
              </w:numPr>
              <w:ind w:left="-38" w:firstLine="142"/>
              <w:contextualSpacing/>
              <w:rPr>
                <w:rFonts w:eastAsia="Calibri"/>
              </w:rPr>
            </w:pPr>
            <w:r w:rsidRPr="00E95FB1">
              <w:rPr>
                <w:rFonts w:eastAsia="Calibri"/>
              </w:rPr>
              <w:t xml:space="preserve">система </w:t>
            </w:r>
            <w:proofErr w:type="spellStart"/>
            <w:r w:rsidRPr="00E95FB1">
              <w:rPr>
                <w:rFonts w:eastAsia="Calibri"/>
              </w:rPr>
              <w:t>очисних</w:t>
            </w:r>
            <w:proofErr w:type="spellEnd"/>
            <w:r w:rsidRPr="00E95FB1">
              <w:rPr>
                <w:rFonts w:eastAsia="Calibri"/>
              </w:rPr>
              <w:t xml:space="preserve"> </w:t>
            </w:r>
            <w:proofErr w:type="spellStart"/>
            <w:r w:rsidRPr="00E95FB1">
              <w:rPr>
                <w:rFonts w:eastAsia="Calibri"/>
              </w:rPr>
              <w:t>споруд</w:t>
            </w:r>
            <w:proofErr w:type="spellEnd"/>
            <w:r w:rsidRPr="00E95FB1">
              <w:rPr>
                <w:rFonts w:eastAsia="Calibri"/>
              </w:rPr>
              <w:t xml:space="preserve">, </w:t>
            </w:r>
            <w:proofErr w:type="spellStart"/>
            <w:r w:rsidRPr="00E95FB1">
              <w:rPr>
                <w:rFonts w:eastAsia="Calibri"/>
              </w:rPr>
              <w:t>що</w:t>
            </w:r>
            <w:proofErr w:type="spellEnd"/>
            <w:r w:rsidRPr="00E95FB1">
              <w:rPr>
                <w:rFonts w:eastAsia="Calibri"/>
              </w:rPr>
              <w:t xml:space="preserve"> </w:t>
            </w:r>
            <w:proofErr w:type="spellStart"/>
            <w:r w:rsidRPr="00E95FB1">
              <w:rPr>
                <w:rFonts w:eastAsia="Calibri"/>
              </w:rPr>
              <w:t>функціонувала</w:t>
            </w:r>
            <w:proofErr w:type="spellEnd"/>
            <w:r w:rsidRPr="00E95FB1">
              <w:rPr>
                <w:rFonts w:eastAsia="Calibri"/>
              </w:rPr>
              <w:t xml:space="preserve"> в </w:t>
            </w:r>
            <w:proofErr w:type="spellStart"/>
            <w:r w:rsidRPr="00E95FB1">
              <w:rPr>
                <w:rFonts w:eastAsia="Calibri"/>
              </w:rPr>
              <w:t>місті</w:t>
            </w:r>
            <w:proofErr w:type="spellEnd"/>
            <w:r w:rsidRPr="00E95FB1">
              <w:rPr>
                <w:rFonts w:eastAsia="Calibri"/>
              </w:rPr>
              <w:t xml:space="preserve"> до 24.02.202</w:t>
            </w:r>
            <w:r w:rsidR="00D153B4">
              <w:rPr>
                <w:rFonts w:eastAsia="Calibri"/>
              </w:rPr>
              <w:t>2</w:t>
            </w:r>
            <w:r w:rsidRPr="00E95FB1">
              <w:rPr>
                <w:rFonts w:eastAsia="Calibri"/>
              </w:rPr>
              <w:t xml:space="preserve"> не </w:t>
            </w:r>
            <w:proofErr w:type="spellStart"/>
            <w:r w:rsidRPr="00E95FB1">
              <w:rPr>
                <w:rFonts w:eastAsia="Calibri"/>
              </w:rPr>
              <w:t>підлягає</w:t>
            </w:r>
            <w:proofErr w:type="spellEnd"/>
            <w:r w:rsidRPr="00E95FB1">
              <w:rPr>
                <w:rFonts w:eastAsia="Calibri"/>
              </w:rPr>
              <w:t xml:space="preserve"> </w:t>
            </w:r>
            <w:proofErr w:type="spellStart"/>
            <w:r w:rsidRPr="00E95FB1">
              <w:rPr>
                <w:rFonts w:eastAsia="Calibri"/>
              </w:rPr>
              <w:t>відновленню</w:t>
            </w:r>
            <w:proofErr w:type="spellEnd"/>
            <w:r w:rsidRPr="00E95FB1">
              <w:rPr>
                <w:rFonts w:eastAsia="Calibri"/>
              </w:rPr>
              <w:t>;</w:t>
            </w:r>
          </w:p>
          <w:p w:rsidR="00AC499C" w:rsidRPr="00E95FB1" w:rsidRDefault="00AC499C" w:rsidP="000303D7">
            <w:pPr>
              <w:numPr>
                <w:ilvl w:val="0"/>
                <w:numId w:val="1"/>
              </w:numPr>
              <w:ind w:left="-38" w:firstLine="142"/>
              <w:contextualSpacing/>
              <w:rPr>
                <w:rFonts w:eastAsia="Calibri"/>
              </w:rPr>
            </w:pPr>
            <w:proofErr w:type="spellStart"/>
            <w:r w:rsidRPr="00E95FB1">
              <w:rPr>
                <w:rFonts w:eastAsia="Calibri"/>
              </w:rPr>
              <w:t>матеріально-технічна</w:t>
            </w:r>
            <w:proofErr w:type="spellEnd"/>
            <w:r w:rsidRPr="00E95FB1">
              <w:rPr>
                <w:rFonts w:eastAsia="Calibri"/>
              </w:rPr>
              <w:t xml:space="preserve"> база </w:t>
            </w:r>
            <w:proofErr w:type="spellStart"/>
            <w:r w:rsidRPr="00E95FB1">
              <w:rPr>
                <w:rFonts w:eastAsia="Calibri"/>
              </w:rPr>
              <w:t>пошкоджена</w:t>
            </w:r>
            <w:proofErr w:type="spellEnd"/>
            <w:r w:rsidRPr="00E95FB1">
              <w:rPr>
                <w:rFonts w:eastAsia="Calibri"/>
              </w:rPr>
              <w:t xml:space="preserve"> та </w:t>
            </w:r>
            <w:proofErr w:type="spellStart"/>
            <w:r w:rsidRPr="00E95FB1">
              <w:rPr>
                <w:rFonts w:eastAsia="Calibri"/>
              </w:rPr>
              <w:t>розграбована</w:t>
            </w:r>
            <w:proofErr w:type="spellEnd"/>
            <w:r w:rsidRPr="00E95FB1">
              <w:rPr>
                <w:rFonts w:eastAsia="Calibri"/>
              </w:rPr>
              <w:t>;</w:t>
            </w:r>
          </w:p>
          <w:p w:rsidR="00AC499C" w:rsidRPr="00E95FB1" w:rsidRDefault="00AC499C" w:rsidP="000303D7">
            <w:pPr>
              <w:numPr>
                <w:ilvl w:val="0"/>
                <w:numId w:val="1"/>
              </w:numPr>
              <w:ind w:left="58" w:firstLine="0"/>
              <w:contextualSpacing/>
              <w:rPr>
                <w:rFonts w:eastAsia="Calibri"/>
              </w:rPr>
            </w:pPr>
            <w:proofErr w:type="spellStart"/>
            <w:r w:rsidRPr="00E95FB1">
              <w:rPr>
                <w:rFonts w:eastAsia="Calibri"/>
              </w:rPr>
              <w:t>забезпеченість</w:t>
            </w:r>
            <w:proofErr w:type="spellEnd"/>
            <w:r w:rsidRPr="00E95FB1">
              <w:rPr>
                <w:rFonts w:eastAsia="Calibri"/>
              </w:rPr>
              <w:t xml:space="preserve"> </w:t>
            </w:r>
            <w:proofErr w:type="spellStart"/>
            <w:r w:rsidRPr="00E95FB1">
              <w:rPr>
                <w:rFonts w:eastAsia="Calibri"/>
              </w:rPr>
              <w:t>спеціалістами</w:t>
            </w:r>
            <w:proofErr w:type="spellEnd"/>
            <w:r w:rsidRPr="00E95FB1">
              <w:rPr>
                <w:rFonts w:eastAsia="Calibri"/>
              </w:rPr>
              <w:t xml:space="preserve"> ___ %;</w:t>
            </w:r>
          </w:p>
          <w:p w:rsidR="00AC499C" w:rsidRPr="00E95FB1" w:rsidRDefault="00AC499C" w:rsidP="000303D7">
            <w:pPr>
              <w:numPr>
                <w:ilvl w:val="0"/>
                <w:numId w:val="1"/>
              </w:numPr>
              <w:ind w:hanging="662"/>
              <w:contextualSpacing/>
              <w:rPr>
                <w:rFonts w:eastAsia="Calibri"/>
              </w:rPr>
            </w:pPr>
            <w:proofErr w:type="spellStart"/>
            <w:r w:rsidRPr="00E95FB1">
              <w:rPr>
                <w:rFonts w:eastAsia="Calibri"/>
              </w:rPr>
              <w:t>готовність</w:t>
            </w:r>
            <w:proofErr w:type="spellEnd"/>
            <w:r w:rsidRPr="00E95FB1">
              <w:rPr>
                <w:rFonts w:eastAsia="Calibri"/>
              </w:rPr>
              <w:t xml:space="preserve"> до </w:t>
            </w:r>
            <w:proofErr w:type="spellStart"/>
            <w:r w:rsidRPr="00E95FB1">
              <w:rPr>
                <w:rFonts w:eastAsia="Calibri"/>
              </w:rPr>
              <w:t>надання</w:t>
            </w:r>
            <w:proofErr w:type="spellEnd"/>
            <w:r w:rsidRPr="00E95FB1">
              <w:rPr>
                <w:rFonts w:eastAsia="Calibri"/>
              </w:rPr>
              <w:t xml:space="preserve"> </w:t>
            </w:r>
            <w:proofErr w:type="spellStart"/>
            <w:r w:rsidRPr="00E95FB1">
              <w:rPr>
                <w:rFonts w:eastAsia="Calibri"/>
              </w:rPr>
              <w:t>послуги</w:t>
            </w:r>
            <w:proofErr w:type="spellEnd"/>
            <w:r w:rsidRPr="00E95FB1">
              <w:rPr>
                <w:rFonts w:eastAsia="Calibri"/>
              </w:rPr>
              <w:t xml:space="preserve"> ___ %;</w:t>
            </w:r>
          </w:p>
          <w:p w:rsidR="00AC499C" w:rsidRPr="00E95FB1" w:rsidRDefault="00AC499C" w:rsidP="000303D7">
            <w:pPr>
              <w:numPr>
                <w:ilvl w:val="0"/>
                <w:numId w:val="1"/>
              </w:numPr>
              <w:ind w:hanging="662"/>
              <w:contextualSpacing/>
              <w:rPr>
                <w:rFonts w:eastAsia="Calibri"/>
              </w:rPr>
            </w:pPr>
            <w:proofErr w:type="spellStart"/>
            <w:r w:rsidRPr="00E95FB1">
              <w:rPr>
                <w:rFonts w:eastAsia="Calibri"/>
              </w:rPr>
              <w:t>завдані</w:t>
            </w:r>
            <w:proofErr w:type="spellEnd"/>
            <w:r w:rsidRPr="00E95FB1">
              <w:rPr>
                <w:rFonts w:eastAsia="Calibri"/>
              </w:rPr>
              <w:t xml:space="preserve"> </w:t>
            </w:r>
            <w:proofErr w:type="spellStart"/>
            <w:r w:rsidRPr="00E95FB1">
              <w:rPr>
                <w:rFonts w:eastAsia="Calibri"/>
              </w:rPr>
              <w:t>збитки</w:t>
            </w:r>
            <w:proofErr w:type="spellEnd"/>
            <w:r w:rsidRPr="00E95FB1">
              <w:rPr>
                <w:rFonts w:eastAsia="Calibri"/>
              </w:rPr>
              <w:t xml:space="preserve"> ______.</w:t>
            </w:r>
          </w:p>
          <w:p w:rsidR="00AC499C" w:rsidRPr="00E95FB1" w:rsidRDefault="00AC499C" w:rsidP="00524DBF">
            <w:pPr>
              <w:ind w:firstLine="567"/>
              <w:rPr>
                <w:rFonts w:eastAsia="Calibri"/>
              </w:rPr>
            </w:pPr>
          </w:p>
        </w:tc>
      </w:tr>
      <w:tr w:rsidR="00AC499C" w:rsidRPr="00E95FB1" w:rsidTr="00524DBF">
        <w:tc>
          <w:tcPr>
            <w:tcW w:w="2590" w:type="dxa"/>
          </w:tcPr>
          <w:p w:rsidR="00AC499C" w:rsidRPr="00E95FB1" w:rsidRDefault="00AC499C" w:rsidP="00524DBF">
            <w:pPr>
              <w:rPr>
                <w:rFonts w:eastAsia="Calibri"/>
              </w:rPr>
            </w:pPr>
            <w:proofErr w:type="spellStart"/>
            <w:r w:rsidRPr="00E95FB1">
              <w:rPr>
                <w:rFonts w:eastAsia="Calibri"/>
              </w:rPr>
              <w:lastRenderedPageBreak/>
              <w:t>Вивіз</w:t>
            </w:r>
            <w:proofErr w:type="spellEnd"/>
            <w:r w:rsidRPr="00E95FB1">
              <w:rPr>
                <w:rFonts w:eastAsia="Calibri"/>
              </w:rPr>
              <w:t xml:space="preserve"> </w:t>
            </w:r>
            <w:proofErr w:type="spellStart"/>
            <w:r w:rsidRPr="00E95FB1">
              <w:rPr>
                <w:rFonts w:eastAsia="Calibri"/>
              </w:rPr>
              <w:t>твердих</w:t>
            </w:r>
            <w:proofErr w:type="spellEnd"/>
            <w:r w:rsidRPr="00E95FB1">
              <w:rPr>
                <w:rFonts w:eastAsia="Calibri"/>
              </w:rPr>
              <w:t xml:space="preserve"> </w:t>
            </w:r>
            <w:proofErr w:type="spellStart"/>
            <w:r w:rsidRPr="00E95FB1">
              <w:rPr>
                <w:rFonts w:eastAsia="Calibri"/>
              </w:rPr>
              <w:t>побутових</w:t>
            </w:r>
            <w:proofErr w:type="spellEnd"/>
            <w:r w:rsidRPr="00E95FB1">
              <w:rPr>
                <w:rFonts w:eastAsia="Calibri"/>
              </w:rPr>
              <w:t xml:space="preserve"> </w:t>
            </w:r>
            <w:proofErr w:type="spellStart"/>
            <w:r w:rsidRPr="00E95FB1">
              <w:rPr>
                <w:rFonts w:eastAsia="Calibri"/>
              </w:rPr>
              <w:t>відходів</w:t>
            </w:r>
            <w:proofErr w:type="spellEnd"/>
            <w:r w:rsidRPr="00E95FB1">
              <w:rPr>
                <w:rFonts w:eastAsia="Calibri"/>
              </w:rPr>
              <w:t xml:space="preserve"> (ТПВ)</w:t>
            </w:r>
          </w:p>
        </w:tc>
        <w:tc>
          <w:tcPr>
            <w:tcW w:w="6981" w:type="dxa"/>
          </w:tcPr>
          <w:p w:rsidR="00AC499C" w:rsidRPr="00E95FB1" w:rsidRDefault="00AC499C" w:rsidP="000303D7">
            <w:pPr>
              <w:numPr>
                <w:ilvl w:val="0"/>
                <w:numId w:val="1"/>
              </w:numPr>
              <w:ind w:left="-88" w:firstLine="448"/>
              <w:contextualSpacing/>
              <w:rPr>
                <w:rFonts w:eastAsia="Calibri"/>
              </w:rPr>
            </w:pPr>
            <w:proofErr w:type="spellStart"/>
            <w:r w:rsidRPr="00E95FB1">
              <w:rPr>
                <w:rFonts w:eastAsia="Calibri"/>
              </w:rPr>
              <w:t>надавач</w:t>
            </w:r>
            <w:proofErr w:type="spellEnd"/>
            <w:r w:rsidRPr="00E95FB1">
              <w:rPr>
                <w:rFonts w:eastAsia="Calibri"/>
              </w:rPr>
              <w:t xml:space="preserve"> </w:t>
            </w:r>
            <w:proofErr w:type="spellStart"/>
            <w:r w:rsidRPr="00E95FB1">
              <w:rPr>
                <w:rFonts w:eastAsia="Calibri"/>
              </w:rPr>
              <w:t>послуг</w:t>
            </w:r>
            <w:proofErr w:type="spellEnd"/>
            <w:r w:rsidRPr="00E95FB1">
              <w:rPr>
                <w:rFonts w:eastAsia="Calibri"/>
              </w:rPr>
              <w:t xml:space="preserve"> КП «</w:t>
            </w:r>
            <w:proofErr w:type="spellStart"/>
            <w:r w:rsidRPr="00E95FB1">
              <w:rPr>
                <w:rFonts w:eastAsia="Calibri"/>
              </w:rPr>
              <w:t>Сєвєродонецьккомунсервіс</w:t>
            </w:r>
            <w:proofErr w:type="spellEnd"/>
            <w:r w:rsidRPr="00E95FB1">
              <w:rPr>
                <w:rFonts w:eastAsia="Calibri"/>
              </w:rPr>
              <w:t>»;</w:t>
            </w:r>
          </w:p>
          <w:p w:rsidR="00AC499C" w:rsidRPr="00E95FB1" w:rsidRDefault="00AC499C" w:rsidP="000303D7">
            <w:pPr>
              <w:numPr>
                <w:ilvl w:val="0"/>
                <w:numId w:val="1"/>
              </w:numPr>
              <w:ind w:left="-38" w:firstLine="283"/>
              <w:contextualSpacing/>
              <w:rPr>
                <w:rFonts w:eastAsia="Calibri"/>
              </w:rPr>
            </w:pPr>
            <w:proofErr w:type="spellStart"/>
            <w:r w:rsidRPr="00E95FB1">
              <w:rPr>
                <w:rFonts w:eastAsia="Calibri"/>
              </w:rPr>
              <w:t>високий</w:t>
            </w:r>
            <w:proofErr w:type="spellEnd"/>
            <w:r w:rsidRPr="00E95FB1">
              <w:rPr>
                <w:rFonts w:eastAsia="Calibri"/>
              </w:rPr>
              <w:t xml:space="preserve"> </w:t>
            </w:r>
            <w:proofErr w:type="spellStart"/>
            <w:r w:rsidRPr="00E95FB1">
              <w:rPr>
                <w:rFonts w:eastAsia="Calibri"/>
              </w:rPr>
              <w:t>рівень</w:t>
            </w:r>
            <w:proofErr w:type="spellEnd"/>
            <w:r w:rsidRPr="00E95FB1">
              <w:rPr>
                <w:rFonts w:eastAsia="Calibri"/>
              </w:rPr>
              <w:t xml:space="preserve"> </w:t>
            </w:r>
            <w:proofErr w:type="spellStart"/>
            <w:r w:rsidRPr="00E95FB1">
              <w:rPr>
                <w:rFonts w:eastAsia="Calibri"/>
              </w:rPr>
              <w:t>наявності</w:t>
            </w:r>
            <w:proofErr w:type="spellEnd"/>
            <w:r w:rsidRPr="00E95FB1">
              <w:rPr>
                <w:rFonts w:eastAsia="Calibri"/>
              </w:rPr>
              <w:t xml:space="preserve"> </w:t>
            </w:r>
            <w:proofErr w:type="spellStart"/>
            <w:r w:rsidRPr="00E95FB1">
              <w:rPr>
                <w:rFonts w:eastAsia="Calibri"/>
              </w:rPr>
              <w:t>сміття</w:t>
            </w:r>
            <w:proofErr w:type="spellEnd"/>
            <w:r w:rsidRPr="00E95FB1">
              <w:rPr>
                <w:rFonts w:eastAsia="Calibri"/>
              </w:rPr>
              <w:t xml:space="preserve"> на </w:t>
            </w:r>
            <w:proofErr w:type="spellStart"/>
            <w:r w:rsidRPr="00E95FB1">
              <w:rPr>
                <w:rFonts w:eastAsia="Calibri"/>
              </w:rPr>
              <w:t>території</w:t>
            </w:r>
            <w:proofErr w:type="spellEnd"/>
            <w:r w:rsidRPr="00E95FB1">
              <w:rPr>
                <w:rFonts w:eastAsia="Calibri"/>
              </w:rPr>
              <w:t xml:space="preserve"> </w:t>
            </w:r>
            <w:proofErr w:type="spellStart"/>
            <w:r w:rsidRPr="00E95FB1">
              <w:rPr>
                <w:rFonts w:eastAsia="Calibri"/>
              </w:rPr>
              <w:t>міста</w:t>
            </w:r>
            <w:proofErr w:type="spellEnd"/>
            <w:r w:rsidRPr="00E95FB1">
              <w:rPr>
                <w:rFonts w:eastAsia="Calibri"/>
              </w:rPr>
              <w:t>;</w:t>
            </w:r>
          </w:p>
          <w:p w:rsidR="00AC499C" w:rsidRPr="00E95FB1" w:rsidRDefault="00AC499C" w:rsidP="000303D7">
            <w:pPr>
              <w:numPr>
                <w:ilvl w:val="0"/>
                <w:numId w:val="1"/>
              </w:numPr>
              <w:ind w:left="-38" w:firstLine="283"/>
              <w:contextualSpacing/>
              <w:rPr>
                <w:rFonts w:eastAsia="Calibri"/>
              </w:rPr>
            </w:pPr>
            <w:proofErr w:type="spellStart"/>
            <w:r w:rsidRPr="00E95FB1">
              <w:rPr>
                <w:rFonts w:eastAsia="Calibri"/>
              </w:rPr>
              <w:t>матеріально-технічна</w:t>
            </w:r>
            <w:proofErr w:type="spellEnd"/>
            <w:r w:rsidRPr="00E95FB1">
              <w:rPr>
                <w:rFonts w:eastAsia="Calibri"/>
              </w:rPr>
              <w:t xml:space="preserve"> база </w:t>
            </w:r>
            <w:proofErr w:type="spellStart"/>
            <w:r w:rsidRPr="00E95FB1">
              <w:rPr>
                <w:rFonts w:eastAsia="Calibri"/>
              </w:rPr>
              <w:t>пошкоджена</w:t>
            </w:r>
            <w:proofErr w:type="spellEnd"/>
            <w:r w:rsidRPr="00E95FB1">
              <w:rPr>
                <w:rFonts w:eastAsia="Calibri"/>
              </w:rPr>
              <w:t xml:space="preserve"> та </w:t>
            </w:r>
            <w:proofErr w:type="spellStart"/>
            <w:r w:rsidRPr="00E95FB1">
              <w:rPr>
                <w:rFonts w:eastAsia="Calibri"/>
              </w:rPr>
              <w:t>розграбована</w:t>
            </w:r>
            <w:proofErr w:type="spellEnd"/>
            <w:r w:rsidRPr="00E95FB1">
              <w:rPr>
                <w:rFonts w:eastAsia="Calibri"/>
              </w:rPr>
              <w:t>;</w:t>
            </w:r>
          </w:p>
          <w:p w:rsidR="00AC499C" w:rsidRPr="00E95FB1" w:rsidRDefault="00AC499C" w:rsidP="000303D7">
            <w:pPr>
              <w:numPr>
                <w:ilvl w:val="0"/>
                <w:numId w:val="1"/>
              </w:numPr>
              <w:ind w:left="-38" w:firstLine="283"/>
              <w:contextualSpacing/>
              <w:rPr>
                <w:rFonts w:eastAsia="Calibri"/>
              </w:rPr>
            </w:pPr>
            <w:r w:rsidRPr="00E95FB1">
              <w:rPr>
                <w:rFonts w:eastAsia="Calibri"/>
              </w:rPr>
              <w:t xml:space="preserve">стан </w:t>
            </w:r>
            <w:proofErr w:type="spellStart"/>
            <w:r w:rsidRPr="00E95FB1">
              <w:rPr>
                <w:rFonts w:eastAsia="Calibri"/>
              </w:rPr>
              <w:t>полігону</w:t>
            </w:r>
            <w:proofErr w:type="spellEnd"/>
            <w:r w:rsidRPr="00E95FB1">
              <w:rPr>
                <w:rFonts w:eastAsia="Calibri"/>
              </w:rPr>
              <w:t xml:space="preserve"> ТПВ ______;</w:t>
            </w:r>
          </w:p>
          <w:p w:rsidR="00AC499C" w:rsidRPr="00E95FB1" w:rsidRDefault="00AC499C" w:rsidP="000303D7">
            <w:pPr>
              <w:numPr>
                <w:ilvl w:val="0"/>
                <w:numId w:val="1"/>
              </w:numPr>
              <w:ind w:left="-38" w:firstLine="283"/>
              <w:contextualSpacing/>
              <w:rPr>
                <w:rFonts w:eastAsia="Calibri"/>
              </w:rPr>
            </w:pPr>
            <w:r w:rsidRPr="00E95FB1">
              <w:rPr>
                <w:rFonts w:eastAsia="Calibri"/>
              </w:rPr>
              <w:t xml:space="preserve">потреба </w:t>
            </w:r>
            <w:proofErr w:type="spellStart"/>
            <w:r w:rsidRPr="00E95FB1">
              <w:rPr>
                <w:rFonts w:eastAsia="Calibri"/>
              </w:rPr>
              <w:t>розробки</w:t>
            </w:r>
            <w:proofErr w:type="spellEnd"/>
            <w:r w:rsidRPr="00E95FB1">
              <w:rPr>
                <w:rFonts w:eastAsia="Calibri"/>
              </w:rPr>
              <w:t xml:space="preserve"> </w:t>
            </w:r>
            <w:proofErr w:type="spellStart"/>
            <w:r w:rsidRPr="00E95FB1">
              <w:rPr>
                <w:rFonts w:eastAsia="Calibri"/>
              </w:rPr>
              <w:t>карти</w:t>
            </w:r>
            <w:proofErr w:type="spellEnd"/>
            <w:r w:rsidRPr="00E95FB1">
              <w:rPr>
                <w:rFonts w:eastAsia="Calibri"/>
              </w:rPr>
              <w:t xml:space="preserve"> </w:t>
            </w:r>
            <w:proofErr w:type="spellStart"/>
            <w:r w:rsidRPr="00E95FB1">
              <w:rPr>
                <w:rFonts w:eastAsia="Calibri"/>
              </w:rPr>
              <w:t>подальшого</w:t>
            </w:r>
            <w:proofErr w:type="spellEnd"/>
            <w:r w:rsidRPr="00E95FB1">
              <w:rPr>
                <w:rFonts w:eastAsia="Calibri"/>
              </w:rPr>
              <w:t xml:space="preserve"> </w:t>
            </w:r>
            <w:proofErr w:type="spellStart"/>
            <w:r w:rsidRPr="00E95FB1">
              <w:rPr>
                <w:rFonts w:eastAsia="Calibri"/>
              </w:rPr>
              <w:t>поховання</w:t>
            </w:r>
            <w:proofErr w:type="spellEnd"/>
            <w:r w:rsidRPr="00E95FB1">
              <w:rPr>
                <w:rFonts w:eastAsia="Calibri"/>
              </w:rPr>
              <w:t xml:space="preserve"> ТПВ;</w:t>
            </w:r>
          </w:p>
          <w:p w:rsidR="00AC499C" w:rsidRPr="00E95FB1" w:rsidRDefault="00AC499C" w:rsidP="000303D7">
            <w:pPr>
              <w:numPr>
                <w:ilvl w:val="0"/>
                <w:numId w:val="1"/>
              </w:numPr>
              <w:ind w:left="-38" w:firstLine="283"/>
              <w:contextualSpacing/>
              <w:rPr>
                <w:rFonts w:eastAsia="Calibri"/>
              </w:rPr>
            </w:pPr>
            <w:r w:rsidRPr="00E95FB1">
              <w:rPr>
                <w:rFonts w:eastAsia="Calibri"/>
              </w:rPr>
              <w:t xml:space="preserve">стан </w:t>
            </w:r>
            <w:proofErr w:type="spellStart"/>
            <w:r w:rsidRPr="00E95FB1">
              <w:rPr>
                <w:rFonts w:eastAsia="Calibri"/>
              </w:rPr>
              <w:t>ливневої</w:t>
            </w:r>
            <w:proofErr w:type="spellEnd"/>
            <w:r w:rsidRPr="00E95FB1">
              <w:rPr>
                <w:rFonts w:eastAsia="Calibri"/>
              </w:rPr>
              <w:t xml:space="preserve"> </w:t>
            </w:r>
            <w:proofErr w:type="spellStart"/>
            <w:r w:rsidRPr="00E95FB1">
              <w:rPr>
                <w:rFonts w:eastAsia="Calibri"/>
              </w:rPr>
              <w:t>зливової</w:t>
            </w:r>
            <w:proofErr w:type="spellEnd"/>
            <w:r w:rsidRPr="00E95FB1">
              <w:rPr>
                <w:rFonts w:eastAsia="Calibri"/>
              </w:rPr>
              <w:t xml:space="preserve"> </w:t>
            </w:r>
            <w:proofErr w:type="spellStart"/>
            <w:r w:rsidRPr="00E95FB1">
              <w:rPr>
                <w:rFonts w:eastAsia="Calibri"/>
              </w:rPr>
              <w:t>каналізації</w:t>
            </w:r>
            <w:proofErr w:type="spellEnd"/>
            <w:r w:rsidRPr="00E95FB1">
              <w:rPr>
                <w:rFonts w:eastAsia="Calibri"/>
              </w:rPr>
              <w:t xml:space="preserve"> ___;</w:t>
            </w:r>
          </w:p>
          <w:p w:rsidR="00AC499C" w:rsidRPr="00E95FB1" w:rsidRDefault="00AC499C" w:rsidP="000303D7">
            <w:pPr>
              <w:numPr>
                <w:ilvl w:val="0"/>
                <w:numId w:val="1"/>
              </w:numPr>
              <w:ind w:hanging="521"/>
              <w:contextualSpacing/>
              <w:rPr>
                <w:rFonts w:eastAsia="Calibri"/>
              </w:rPr>
            </w:pPr>
            <w:proofErr w:type="spellStart"/>
            <w:r w:rsidRPr="00E95FB1">
              <w:rPr>
                <w:rFonts w:eastAsia="Calibri"/>
              </w:rPr>
              <w:t>забезпеченість</w:t>
            </w:r>
            <w:proofErr w:type="spellEnd"/>
            <w:r w:rsidRPr="00E95FB1">
              <w:rPr>
                <w:rFonts w:eastAsia="Calibri"/>
              </w:rPr>
              <w:t xml:space="preserve"> </w:t>
            </w:r>
            <w:proofErr w:type="spellStart"/>
            <w:r w:rsidRPr="00E95FB1">
              <w:rPr>
                <w:rFonts w:eastAsia="Calibri"/>
              </w:rPr>
              <w:t>спеціалістами</w:t>
            </w:r>
            <w:proofErr w:type="spellEnd"/>
            <w:r w:rsidRPr="00E95FB1">
              <w:rPr>
                <w:rFonts w:eastAsia="Calibri"/>
              </w:rPr>
              <w:t xml:space="preserve"> ___ %;</w:t>
            </w:r>
          </w:p>
          <w:p w:rsidR="00AC499C" w:rsidRPr="00E95FB1" w:rsidRDefault="00AC499C" w:rsidP="000303D7">
            <w:pPr>
              <w:numPr>
                <w:ilvl w:val="0"/>
                <w:numId w:val="1"/>
              </w:numPr>
              <w:ind w:hanging="521"/>
              <w:contextualSpacing/>
              <w:rPr>
                <w:rFonts w:eastAsia="Calibri"/>
              </w:rPr>
            </w:pPr>
            <w:proofErr w:type="spellStart"/>
            <w:r w:rsidRPr="00E95FB1">
              <w:rPr>
                <w:rFonts w:eastAsia="Calibri"/>
              </w:rPr>
              <w:t>готовність</w:t>
            </w:r>
            <w:proofErr w:type="spellEnd"/>
            <w:r w:rsidRPr="00E95FB1">
              <w:rPr>
                <w:rFonts w:eastAsia="Calibri"/>
              </w:rPr>
              <w:t xml:space="preserve"> до </w:t>
            </w:r>
            <w:proofErr w:type="spellStart"/>
            <w:r w:rsidRPr="00E95FB1">
              <w:rPr>
                <w:rFonts w:eastAsia="Calibri"/>
              </w:rPr>
              <w:t>надання</w:t>
            </w:r>
            <w:proofErr w:type="spellEnd"/>
            <w:r w:rsidRPr="00E95FB1">
              <w:rPr>
                <w:rFonts w:eastAsia="Calibri"/>
              </w:rPr>
              <w:t xml:space="preserve"> </w:t>
            </w:r>
            <w:proofErr w:type="spellStart"/>
            <w:r w:rsidRPr="00E95FB1">
              <w:rPr>
                <w:rFonts w:eastAsia="Calibri"/>
              </w:rPr>
              <w:t>послуги</w:t>
            </w:r>
            <w:proofErr w:type="spellEnd"/>
            <w:r w:rsidRPr="00E95FB1">
              <w:rPr>
                <w:rFonts w:eastAsia="Calibri"/>
              </w:rPr>
              <w:t xml:space="preserve"> ___ %;</w:t>
            </w:r>
          </w:p>
          <w:p w:rsidR="00AC499C" w:rsidRPr="00E95FB1" w:rsidRDefault="00AC499C" w:rsidP="000303D7">
            <w:pPr>
              <w:numPr>
                <w:ilvl w:val="0"/>
                <w:numId w:val="1"/>
              </w:numPr>
              <w:ind w:hanging="521"/>
              <w:contextualSpacing/>
              <w:rPr>
                <w:rFonts w:eastAsia="Calibri"/>
              </w:rPr>
            </w:pPr>
            <w:proofErr w:type="spellStart"/>
            <w:r w:rsidRPr="00E95FB1">
              <w:rPr>
                <w:rFonts w:eastAsia="Calibri"/>
              </w:rPr>
              <w:t>завдані</w:t>
            </w:r>
            <w:proofErr w:type="spellEnd"/>
            <w:r w:rsidRPr="00E95FB1">
              <w:rPr>
                <w:rFonts w:eastAsia="Calibri"/>
              </w:rPr>
              <w:t xml:space="preserve"> </w:t>
            </w:r>
            <w:proofErr w:type="spellStart"/>
            <w:r w:rsidRPr="00E95FB1">
              <w:rPr>
                <w:rFonts w:eastAsia="Calibri"/>
              </w:rPr>
              <w:t>збитки</w:t>
            </w:r>
            <w:proofErr w:type="spellEnd"/>
            <w:r w:rsidRPr="00E95FB1">
              <w:rPr>
                <w:rFonts w:eastAsia="Calibri"/>
              </w:rPr>
              <w:t xml:space="preserve"> ______.</w:t>
            </w:r>
          </w:p>
        </w:tc>
      </w:tr>
      <w:tr w:rsidR="00AC499C" w:rsidRPr="00E95FB1" w:rsidTr="00524DBF">
        <w:tc>
          <w:tcPr>
            <w:tcW w:w="2590" w:type="dxa"/>
          </w:tcPr>
          <w:p w:rsidR="00AC499C" w:rsidRPr="00355733" w:rsidRDefault="00AC499C" w:rsidP="00524DBF">
            <w:pPr>
              <w:rPr>
                <w:rFonts w:eastAsia="Calibri"/>
              </w:rPr>
            </w:pPr>
            <w:proofErr w:type="spellStart"/>
            <w:r w:rsidRPr="00355733">
              <w:rPr>
                <w:rFonts w:eastAsia="Calibri"/>
              </w:rPr>
              <w:t>Об’єкти</w:t>
            </w:r>
            <w:proofErr w:type="spellEnd"/>
            <w:r w:rsidRPr="00355733">
              <w:rPr>
                <w:rFonts w:eastAsia="Calibri"/>
              </w:rPr>
              <w:t xml:space="preserve"> </w:t>
            </w:r>
            <w:proofErr w:type="spellStart"/>
            <w:r w:rsidRPr="00355733">
              <w:rPr>
                <w:rFonts w:eastAsia="Calibri"/>
              </w:rPr>
              <w:t>торгівлі</w:t>
            </w:r>
            <w:proofErr w:type="spellEnd"/>
            <w:r w:rsidRPr="00355733">
              <w:rPr>
                <w:rFonts w:eastAsia="Calibri"/>
              </w:rPr>
              <w:t xml:space="preserve">, </w:t>
            </w:r>
            <w:proofErr w:type="spellStart"/>
            <w:r w:rsidRPr="00355733">
              <w:rPr>
                <w:rFonts w:eastAsia="Calibri"/>
              </w:rPr>
              <w:t>побутового</w:t>
            </w:r>
            <w:proofErr w:type="spellEnd"/>
            <w:r w:rsidRPr="00355733">
              <w:rPr>
                <w:rFonts w:eastAsia="Calibri"/>
              </w:rPr>
              <w:t xml:space="preserve"> </w:t>
            </w:r>
            <w:proofErr w:type="spellStart"/>
            <w:r w:rsidRPr="00355733">
              <w:rPr>
                <w:rFonts w:eastAsia="Calibri"/>
              </w:rPr>
              <w:t>обслуговування</w:t>
            </w:r>
            <w:proofErr w:type="spellEnd"/>
            <w:r w:rsidRPr="00355733">
              <w:rPr>
                <w:rFonts w:eastAsia="Calibri"/>
              </w:rPr>
              <w:t xml:space="preserve"> та </w:t>
            </w:r>
            <w:proofErr w:type="spellStart"/>
            <w:r w:rsidRPr="00355733">
              <w:rPr>
                <w:rFonts w:eastAsia="Calibri"/>
              </w:rPr>
              <w:t>інше</w:t>
            </w:r>
            <w:proofErr w:type="spellEnd"/>
          </w:p>
        </w:tc>
        <w:tc>
          <w:tcPr>
            <w:tcW w:w="6981" w:type="dxa"/>
          </w:tcPr>
          <w:p w:rsidR="00AC499C" w:rsidRPr="00355733" w:rsidRDefault="00AC499C" w:rsidP="000303D7">
            <w:pPr>
              <w:numPr>
                <w:ilvl w:val="0"/>
                <w:numId w:val="1"/>
              </w:numPr>
              <w:ind w:left="-38" w:firstLine="142"/>
              <w:contextualSpacing/>
              <w:rPr>
                <w:rFonts w:eastAsia="Calibri"/>
                <w:lang w:val="uk-UA"/>
              </w:rPr>
            </w:pPr>
            <w:r w:rsidRPr="00355733">
              <w:rPr>
                <w:rFonts w:eastAsia="Calibri"/>
                <w:lang w:val="uk-UA"/>
              </w:rPr>
              <w:t>частково пошкоджено ___ об’єкта торгівлі;</w:t>
            </w:r>
          </w:p>
          <w:p w:rsidR="00AC499C" w:rsidRPr="00355733" w:rsidRDefault="00AC499C" w:rsidP="000303D7">
            <w:pPr>
              <w:numPr>
                <w:ilvl w:val="0"/>
                <w:numId w:val="1"/>
              </w:numPr>
              <w:ind w:left="-38" w:firstLine="142"/>
              <w:contextualSpacing/>
              <w:rPr>
                <w:rFonts w:eastAsia="Calibri"/>
                <w:lang w:val="uk-UA"/>
              </w:rPr>
            </w:pPr>
            <w:r w:rsidRPr="00355733">
              <w:rPr>
                <w:rFonts w:eastAsia="Calibri"/>
                <w:shd w:val="clear" w:color="auto" w:fill="FFFFFF"/>
                <w:lang w:val="uk-UA"/>
              </w:rPr>
              <w:t>частково або повністю зруйновані ___ СТО, __ АЗС, ___ склади, __ готелі, __ відділень банків, __ заклад</w:t>
            </w:r>
            <w:r w:rsidR="005B016D">
              <w:rPr>
                <w:rFonts w:eastAsia="Calibri"/>
                <w:shd w:val="clear" w:color="auto" w:fill="FFFFFF"/>
                <w:lang w:val="uk-UA"/>
              </w:rPr>
              <w:t>ів</w:t>
            </w:r>
            <w:r w:rsidRPr="00355733">
              <w:rPr>
                <w:rFonts w:eastAsia="Calibri"/>
                <w:shd w:val="clear" w:color="auto" w:fill="FFFFFF"/>
                <w:lang w:val="uk-UA"/>
              </w:rPr>
              <w:t xml:space="preserve"> харчування, ___ закладів побутового обслуговування, ____ заклад</w:t>
            </w:r>
            <w:r w:rsidR="005B016D">
              <w:rPr>
                <w:rFonts w:eastAsia="Calibri"/>
                <w:shd w:val="clear" w:color="auto" w:fill="FFFFFF"/>
                <w:lang w:val="uk-UA"/>
              </w:rPr>
              <w:t>ів</w:t>
            </w:r>
            <w:r w:rsidRPr="00355733">
              <w:rPr>
                <w:rFonts w:eastAsia="Calibri"/>
                <w:shd w:val="clear" w:color="auto" w:fill="FFFFFF"/>
                <w:lang w:val="uk-UA"/>
              </w:rPr>
              <w:t xml:space="preserve"> торгівлі;</w:t>
            </w:r>
          </w:p>
          <w:p w:rsidR="00AC499C" w:rsidRPr="00355733" w:rsidRDefault="00AC499C" w:rsidP="000303D7">
            <w:pPr>
              <w:numPr>
                <w:ilvl w:val="0"/>
                <w:numId w:val="1"/>
              </w:numPr>
              <w:ind w:left="-38" w:firstLine="142"/>
              <w:contextualSpacing/>
              <w:rPr>
                <w:rFonts w:eastAsia="Calibri"/>
              </w:rPr>
            </w:pPr>
            <w:proofErr w:type="spellStart"/>
            <w:r w:rsidRPr="00355733">
              <w:rPr>
                <w:rFonts w:eastAsia="Calibri"/>
              </w:rPr>
              <w:t>матеріально-технічна</w:t>
            </w:r>
            <w:proofErr w:type="spellEnd"/>
            <w:r w:rsidRPr="00355733">
              <w:rPr>
                <w:rFonts w:eastAsia="Calibri"/>
              </w:rPr>
              <w:t xml:space="preserve"> база </w:t>
            </w:r>
            <w:proofErr w:type="spellStart"/>
            <w:r w:rsidRPr="00355733">
              <w:rPr>
                <w:rFonts w:eastAsia="Calibri"/>
              </w:rPr>
              <w:t>підприємств</w:t>
            </w:r>
            <w:proofErr w:type="spellEnd"/>
            <w:r w:rsidRPr="00355733">
              <w:rPr>
                <w:rFonts w:eastAsia="Calibri"/>
              </w:rPr>
              <w:t xml:space="preserve"> </w:t>
            </w:r>
            <w:proofErr w:type="spellStart"/>
            <w:r w:rsidRPr="00355733">
              <w:rPr>
                <w:rFonts w:eastAsia="Calibri"/>
              </w:rPr>
              <w:t>цієї</w:t>
            </w:r>
            <w:proofErr w:type="spellEnd"/>
            <w:r w:rsidRPr="00355733">
              <w:rPr>
                <w:rFonts w:eastAsia="Calibri"/>
              </w:rPr>
              <w:t xml:space="preserve"> </w:t>
            </w:r>
            <w:proofErr w:type="spellStart"/>
            <w:r w:rsidRPr="00355733">
              <w:rPr>
                <w:rFonts w:eastAsia="Calibri"/>
              </w:rPr>
              <w:t>сфери</w:t>
            </w:r>
            <w:proofErr w:type="spellEnd"/>
            <w:r w:rsidRPr="00355733">
              <w:rPr>
                <w:rFonts w:eastAsia="Calibri"/>
              </w:rPr>
              <w:t xml:space="preserve"> </w:t>
            </w:r>
            <w:proofErr w:type="spellStart"/>
            <w:r w:rsidRPr="00355733">
              <w:rPr>
                <w:rFonts w:eastAsia="Calibri"/>
              </w:rPr>
              <w:t>пошкоджена</w:t>
            </w:r>
            <w:proofErr w:type="spellEnd"/>
            <w:r w:rsidRPr="00355733">
              <w:rPr>
                <w:rFonts w:eastAsia="Calibri"/>
              </w:rPr>
              <w:t xml:space="preserve"> та </w:t>
            </w:r>
            <w:proofErr w:type="spellStart"/>
            <w:r w:rsidRPr="00355733">
              <w:rPr>
                <w:rFonts w:eastAsia="Calibri"/>
              </w:rPr>
              <w:t>розграбована</w:t>
            </w:r>
            <w:proofErr w:type="spellEnd"/>
            <w:r w:rsidRPr="00355733">
              <w:rPr>
                <w:rFonts w:eastAsia="Calibri"/>
              </w:rPr>
              <w:t>;</w:t>
            </w:r>
          </w:p>
          <w:p w:rsidR="00AC499C" w:rsidRPr="00355733" w:rsidRDefault="00AC499C" w:rsidP="000303D7">
            <w:pPr>
              <w:numPr>
                <w:ilvl w:val="0"/>
                <w:numId w:val="1"/>
              </w:numPr>
              <w:ind w:left="-38" w:firstLine="142"/>
              <w:contextualSpacing/>
              <w:rPr>
                <w:rFonts w:eastAsia="Calibri"/>
              </w:rPr>
            </w:pPr>
            <w:proofErr w:type="spellStart"/>
            <w:r w:rsidRPr="00355733">
              <w:rPr>
                <w:rFonts w:eastAsia="Calibri"/>
                <w:shd w:val="clear" w:color="auto" w:fill="FFFFFF"/>
              </w:rPr>
              <w:t>готовність</w:t>
            </w:r>
            <w:proofErr w:type="spellEnd"/>
            <w:r w:rsidRPr="00355733">
              <w:rPr>
                <w:rFonts w:eastAsia="Calibri"/>
                <w:shd w:val="clear" w:color="auto" w:fill="FFFFFF"/>
              </w:rPr>
              <w:t xml:space="preserve"> до </w:t>
            </w:r>
            <w:proofErr w:type="spellStart"/>
            <w:r w:rsidRPr="00355733">
              <w:rPr>
                <w:rFonts w:eastAsia="Calibri"/>
                <w:shd w:val="clear" w:color="auto" w:fill="FFFFFF"/>
              </w:rPr>
              <w:t>надання</w:t>
            </w:r>
            <w:proofErr w:type="spellEnd"/>
            <w:r w:rsidRPr="00355733">
              <w:rPr>
                <w:rFonts w:eastAsia="Calibri"/>
                <w:shd w:val="clear" w:color="auto" w:fill="FFFFFF"/>
              </w:rPr>
              <w:t xml:space="preserve"> </w:t>
            </w:r>
            <w:proofErr w:type="spellStart"/>
            <w:r w:rsidRPr="00355733">
              <w:rPr>
                <w:rFonts w:eastAsia="Calibri"/>
                <w:shd w:val="clear" w:color="auto" w:fill="FFFFFF"/>
              </w:rPr>
              <w:t>послуг</w:t>
            </w:r>
            <w:proofErr w:type="spellEnd"/>
            <w:r w:rsidRPr="00355733">
              <w:rPr>
                <w:rFonts w:eastAsia="Calibri"/>
                <w:shd w:val="clear" w:color="auto" w:fill="FFFFFF"/>
              </w:rPr>
              <w:t xml:space="preserve"> ___ %;</w:t>
            </w:r>
          </w:p>
          <w:p w:rsidR="00AC499C" w:rsidRPr="00355733" w:rsidRDefault="00AC499C" w:rsidP="000303D7">
            <w:pPr>
              <w:numPr>
                <w:ilvl w:val="0"/>
                <w:numId w:val="1"/>
              </w:numPr>
              <w:ind w:left="-38" w:firstLine="142"/>
              <w:contextualSpacing/>
              <w:rPr>
                <w:rFonts w:eastAsia="Calibri"/>
              </w:rPr>
            </w:pPr>
            <w:proofErr w:type="spellStart"/>
            <w:r w:rsidRPr="00355733">
              <w:rPr>
                <w:rFonts w:eastAsia="Calibri"/>
                <w:shd w:val="clear" w:color="auto" w:fill="FFFFFF"/>
              </w:rPr>
              <w:t>завдані</w:t>
            </w:r>
            <w:proofErr w:type="spellEnd"/>
            <w:r w:rsidRPr="00355733">
              <w:rPr>
                <w:rFonts w:eastAsia="Calibri"/>
                <w:shd w:val="clear" w:color="auto" w:fill="FFFFFF"/>
              </w:rPr>
              <w:t xml:space="preserve"> </w:t>
            </w:r>
            <w:proofErr w:type="spellStart"/>
            <w:r w:rsidRPr="00355733">
              <w:rPr>
                <w:rFonts w:eastAsia="Calibri"/>
                <w:shd w:val="clear" w:color="auto" w:fill="FFFFFF"/>
              </w:rPr>
              <w:t>збитки</w:t>
            </w:r>
            <w:proofErr w:type="spellEnd"/>
            <w:r w:rsidRPr="00355733">
              <w:rPr>
                <w:rFonts w:eastAsia="Calibri"/>
                <w:shd w:val="clear" w:color="auto" w:fill="FFFFFF"/>
              </w:rPr>
              <w:t xml:space="preserve"> _____.</w:t>
            </w:r>
          </w:p>
        </w:tc>
      </w:tr>
      <w:tr w:rsidR="00AC499C" w:rsidRPr="00E95FB1" w:rsidTr="00524DBF">
        <w:tc>
          <w:tcPr>
            <w:tcW w:w="2590" w:type="dxa"/>
          </w:tcPr>
          <w:p w:rsidR="00AC499C" w:rsidRPr="00E95FB1" w:rsidRDefault="00AC499C" w:rsidP="00524DBF">
            <w:pPr>
              <w:rPr>
                <w:rFonts w:eastAsia="Calibri"/>
              </w:rPr>
            </w:pPr>
            <w:proofErr w:type="spellStart"/>
            <w:r w:rsidRPr="00E95FB1">
              <w:rPr>
                <w:rFonts w:eastAsia="Calibri"/>
              </w:rPr>
              <w:lastRenderedPageBreak/>
              <w:t>Охорона</w:t>
            </w:r>
            <w:proofErr w:type="spellEnd"/>
            <w:r w:rsidRPr="00E95FB1">
              <w:rPr>
                <w:rFonts w:eastAsia="Calibri"/>
              </w:rPr>
              <w:t xml:space="preserve"> </w:t>
            </w:r>
            <w:proofErr w:type="spellStart"/>
            <w:r w:rsidRPr="00E95FB1">
              <w:rPr>
                <w:rFonts w:eastAsia="Calibri"/>
              </w:rPr>
              <w:t>здоров’я</w:t>
            </w:r>
            <w:proofErr w:type="spellEnd"/>
          </w:p>
        </w:tc>
        <w:tc>
          <w:tcPr>
            <w:tcW w:w="6981" w:type="dxa"/>
          </w:tcPr>
          <w:p w:rsidR="00AC499C" w:rsidRPr="00EE4BA6" w:rsidRDefault="00AC499C" w:rsidP="000303D7">
            <w:pPr>
              <w:numPr>
                <w:ilvl w:val="0"/>
                <w:numId w:val="1"/>
              </w:numPr>
              <w:ind w:left="-38" w:firstLine="142"/>
              <w:contextualSpacing/>
              <w:rPr>
                <w:rFonts w:eastAsia="Calibri"/>
              </w:rPr>
            </w:pPr>
            <w:proofErr w:type="spellStart"/>
            <w:r w:rsidRPr="00EE4BA6">
              <w:rPr>
                <w:rFonts w:eastAsia="Calibri"/>
              </w:rPr>
              <w:t>часткова</w:t>
            </w:r>
            <w:proofErr w:type="spellEnd"/>
            <w:r w:rsidRPr="00EE4BA6">
              <w:rPr>
                <w:rFonts w:eastAsia="Calibri"/>
              </w:rPr>
              <w:t xml:space="preserve"> </w:t>
            </w:r>
            <w:proofErr w:type="spellStart"/>
            <w:r w:rsidRPr="00EE4BA6">
              <w:rPr>
                <w:rFonts w:eastAsia="Calibri"/>
              </w:rPr>
              <w:t>чи</w:t>
            </w:r>
            <w:proofErr w:type="spellEnd"/>
            <w:r w:rsidRPr="00EE4BA6">
              <w:rPr>
                <w:rFonts w:eastAsia="Calibri"/>
              </w:rPr>
              <w:t xml:space="preserve"> </w:t>
            </w:r>
            <w:proofErr w:type="spellStart"/>
            <w:r w:rsidRPr="00EE4BA6">
              <w:rPr>
                <w:rFonts w:eastAsia="Calibri"/>
              </w:rPr>
              <w:t>повна</w:t>
            </w:r>
            <w:proofErr w:type="spellEnd"/>
            <w:r w:rsidRPr="00EE4BA6">
              <w:rPr>
                <w:rFonts w:eastAsia="Calibri"/>
              </w:rPr>
              <w:t xml:space="preserve"> </w:t>
            </w:r>
            <w:proofErr w:type="spellStart"/>
            <w:r w:rsidRPr="00EE4BA6">
              <w:rPr>
                <w:rFonts w:eastAsia="Calibri"/>
              </w:rPr>
              <w:t>руйнація</w:t>
            </w:r>
            <w:proofErr w:type="spellEnd"/>
            <w:r w:rsidRPr="00EE4BA6">
              <w:rPr>
                <w:rFonts w:eastAsia="Calibri"/>
              </w:rPr>
              <w:t xml:space="preserve"> </w:t>
            </w:r>
            <w:proofErr w:type="spellStart"/>
            <w:r w:rsidRPr="00EE4BA6">
              <w:rPr>
                <w:rFonts w:eastAsia="Calibri"/>
              </w:rPr>
              <w:t>закладів</w:t>
            </w:r>
            <w:proofErr w:type="spellEnd"/>
            <w:r w:rsidRPr="00EE4BA6">
              <w:rPr>
                <w:rFonts w:eastAsia="Calibri"/>
              </w:rPr>
              <w:t xml:space="preserve"> </w:t>
            </w:r>
            <w:proofErr w:type="spellStart"/>
            <w:r w:rsidRPr="00EE4BA6">
              <w:rPr>
                <w:rFonts w:eastAsia="Calibri"/>
              </w:rPr>
              <w:t>охорони</w:t>
            </w:r>
            <w:proofErr w:type="spellEnd"/>
            <w:r w:rsidRPr="00EE4BA6">
              <w:rPr>
                <w:rFonts w:eastAsia="Calibri"/>
              </w:rPr>
              <w:t xml:space="preserve"> </w:t>
            </w:r>
            <w:proofErr w:type="spellStart"/>
            <w:r w:rsidRPr="00EE4BA6">
              <w:rPr>
                <w:rFonts w:eastAsia="Calibri"/>
              </w:rPr>
              <w:t>здоров’я</w:t>
            </w:r>
            <w:proofErr w:type="spellEnd"/>
            <w:r w:rsidRPr="00EE4BA6">
              <w:rPr>
                <w:rFonts w:eastAsia="Calibri"/>
              </w:rPr>
              <w:t xml:space="preserve">; </w:t>
            </w:r>
          </w:p>
          <w:p w:rsidR="00AC499C" w:rsidRPr="00EE4BA6" w:rsidRDefault="00AC499C" w:rsidP="000303D7">
            <w:pPr>
              <w:numPr>
                <w:ilvl w:val="0"/>
                <w:numId w:val="1"/>
              </w:numPr>
              <w:ind w:left="-38" w:firstLine="142"/>
              <w:contextualSpacing/>
              <w:rPr>
                <w:rFonts w:eastAsia="Calibri"/>
              </w:rPr>
            </w:pPr>
            <w:proofErr w:type="spellStart"/>
            <w:r w:rsidRPr="00EE4BA6">
              <w:rPr>
                <w:rFonts w:eastAsia="Calibri"/>
              </w:rPr>
              <w:t>матеріально-технічна</w:t>
            </w:r>
            <w:proofErr w:type="spellEnd"/>
            <w:r w:rsidRPr="00EE4BA6">
              <w:rPr>
                <w:rFonts w:eastAsia="Calibri"/>
              </w:rPr>
              <w:t xml:space="preserve"> база </w:t>
            </w:r>
            <w:proofErr w:type="spellStart"/>
            <w:r w:rsidRPr="00EE4BA6">
              <w:rPr>
                <w:rFonts w:eastAsia="Calibri"/>
              </w:rPr>
              <w:t>пошкоджена</w:t>
            </w:r>
            <w:proofErr w:type="spellEnd"/>
            <w:r w:rsidRPr="00EE4BA6">
              <w:rPr>
                <w:rFonts w:eastAsia="Calibri"/>
              </w:rPr>
              <w:t xml:space="preserve"> та </w:t>
            </w:r>
            <w:proofErr w:type="spellStart"/>
            <w:r w:rsidRPr="00EE4BA6">
              <w:rPr>
                <w:rFonts w:eastAsia="Calibri"/>
              </w:rPr>
              <w:t>розграбована</w:t>
            </w:r>
            <w:proofErr w:type="spellEnd"/>
            <w:r w:rsidRPr="00EE4BA6">
              <w:rPr>
                <w:rFonts w:eastAsia="Calibri"/>
              </w:rPr>
              <w:t>;</w:t>
            </w:r>
          </w:p>
          <w:p w:rsidR="00AC499C" w:rsidRPr="00EE4BA6" w:rsidRDefault="00AC499C" w:rsidP="000303D7">
            <w:pPr>
              <w:numPr>
                <w:ilvl w:val="0"/>
                <w:numId w:val="1"/>
              </w:numPr>
              <w:ind w:left="-38" w:firstLine="142"/>
              <w:contextualSpacing/>
              <w:rPr>
                <w:rFonts w:eastAsia="Calibri"/>
              </w:rPr>
            </w:pPr>
            <w:proofErr w:type="spellStart"/>
            <w:r w:rsidRPr="00EE4BA6">
              <w:rPr>
                <w:rFonts w:eastAsia="Calibri"/>
              </w:rPr>
              <w:t>забезпеченість</w:t>
            </w:r>
            <w:proofErr w:type="spellEnd"/>
            <w:r w:rsidRPr="00EE4BA6">
              <w:rPr>
                <w:rFonts w:eastAsia="Calibri"/>
              </w:rPr>
              <w:t xml:space="preserve"> </w:t>
            </w:r>
            <w:proofErr w:type="spellStart"/>
            <w:r w:rsidRPr="00EE4BA6">
              <w:rPr>
                <w:rFonts w:eastAsia="Calibri"/>
              </w:rPr>
              <w:t>спеціалістами</w:t>
            </w:r>
            <w:proofErr w:type="spellEnd"/>
            <w:r w:rsidRPr="00EE4BA6">
              <w:rPr>
                <w:rFonts w:eastAsia="Calibri"/>
              </w:rPr>
              <w:t xml:space="preserve"> ___ %;</w:t>
            </w:r>
          </w:p>
          <w:p w:rsidR="00AC499C" w:rsidRPr="00EE4BA6" w:rsidRDefault="00AC499C" w:rsidP="000303D7">
            <w:pPr>
              <w:numPr>
                <w:ilvl w:val="0"/>
                <w:numId w:val="1"/>
              </w:numPr>
              <w:ind w:left="-38" w:firstLine="142"/>
              <w:contextualSpacing/>
              <w:rPr>
                <w:rFonts w:eastAsia="Calibri"/>
              </w:rPr>
            </w:pPr>
            <w:proofErr w:type="spellStart"/>
            <w:r w:rsidRPr="00EE4BA6">
              <w:rPr>
                <w:rFonts w:eastAsia="Calibri"/>
              </w:rPr>
              <w:t>завдані</w:t>
            </w:r>
            <w:proofErr w:type="spellEnd"/>
            <w:r w:rsidRPr="00EE4BA6">
              <w:rPr>
                <w:rFonts w:eastAsia="Calibri"/>
              </w:rPr>
              <w:t xml:space="preserve"> </w:t>
            </w:r>
            <w:proofErr w:type="spellStart"/>
            <w:r w:rsidRPr="00EE4BA6">
              <w:rPr>
                <w:rFonts w:eastAsia="Calibri"/>
              </w:rPr>
              <w:t>збитки</w:t>
            </w:r>
            <w:proofErr w:type="spellEnd"/>
            <w:r w:rsidRPr="00EE4BA6">
              <w:rPr>
                <w:rFonts w:eastAsia="Calibri"/>
              </w:rPr>
              <w:t xml:space="preserve"> ______.</w:t>
            </w:r>
          </w:p>
        </w:tc>
      </w:tr>
      <w:tr w:rsidR="00AC499C" w:rsidRPr="00E95FB1" w:rsidTr="00524DBF">
        <w:tc>
          <w:tcPr>
            <w:tcW w:w="2590" w:type="dxa"/>
          </w:tcPr>
          <w:p w:rsidR="00AC499C" w:rsidRPr="00E95FB1" w:rsidRDefault="00AC499C" w:rsidP="00524DBF">
            <w:pPr>
              <w:rPr>
                <w:rFonts w:eastAsia="Calibri"/>
              </w:rPr>
            </w:pPr>
            <w:proofErr w:type="spellStart"/>
            <w:r w:rsidRPr="00E95FB1">
              <w:rPr>
                <w:rFonts w:eastAsia="Calibri"/>
              </w:rPr>
              <w:t>Фармацевтична</w:t>
            </w:r>
            <w:proofErr w:type="spellEnd"/>
            <w:r w:rsidRPr="00E95FB1">
              <w:rPr>
                <w:rFonts w:eastAsia="Calibri"/>
              </w:rPr>
              <w:t xml:space="preserve"> </w:t>
            </w:r>
            <w:proofErr w:type="spellStart"/>
            <w:r w:rsidRPr="00E95FB1">
              <w:rPr>
                <w:rFonts w:eastAsia="Calibri"/>
              </w:rPr>
              <w:t>промисловість</w:t>
            </w:r>
            <w:proofErr w:type="spellEnd"/>
            <w:r w:rsidRPr="00E95FB1">
              <w:rPr>
                <w:rFonts w:eastAsia="Calibri"/>
              </w:rPr>
              <w:t xml:space="preserve"> та </w:t>
            </w:r>
            <w:proofErr w:type="spellStart"/>
            <w:r w:rsidRPr="00E95FB1">
              <w:rPr>
                <w:rFonts w:eastAsia="Calibri"/>
              </w:rPr>
              <w:t>виготовлення</w:t>
            </w:r>
            <w:proofErr w:type="spellEnd"/>
            <w:r w:rsidRPr="00E95FB1">
              <w:rPr>
                <w:rFonts w:eastAsia="Calibri"/>
              </w:rPr>
              <w:t xml:space="preserve"> вакцин, </w:t>
            </w:r>
            <w:proofErr w:type="spellStart"/>
            <w:r w:rsidRPr="00E95FB1">
              <w:rPr>
                <w:rFonts w:eastAsia="Calibri"/>
              </w:rPr>
              <w:t>стале</w:t>
            </w:r>
            <w:proofErr w:type="spellEnd"/>
            <w:r w:rsidRPr="00E95FB1">
              <w:rPr>
                <w:rFonts w:eastAsia="Calibri"/>
              </w:rPr>
              <w:t xml:space="preserve"> </w:t>
            </w:r>
            <w:proofErr w:type="spellStart"/>
            <w:r w:rsidRPr="00E95FB1">
              <w:rPr>
                <w:rFonts w:eastAsia="Calibri"/>
              </w:rPr>
              <w:t>функціонування</w:t>
            </w:r>
            <w:proofErr w:type="spellEnd"/>
            <w:r w:rsidRPr="00E95FB1">
              <w:rPr>
                <w:rFonts w:eastAsia="Calibri"/>
              </w:rPr>
              <w:t xml:space="preserve"> </w:t>
            </w:r>
            <w:proofErr w:type="spellStart"/>
            <w:r w:rsidRPr="00E95FB1">
              <w:rPr>
                <w:rFonts w:eastAsia="Calibri"/>
              </w:rPr>
              <w:t>біолабораторій</w:t>
            </w:r>
            <w:proofErr w:type="spellEnd"/>
          </w:p>
        </w:tc>
        <w:tc>
          <w:tcPr>
            <w:tcW w:w="6981" w:type="dxa"/>
          </w:tcPr>
          <w:p w:rsidR="00AC499C" w:rsidRPr="00E95FB1" w:rsidRDefault="00AC499C" w:rsidP="000303D7">
            <w:pPr>
              <w:numPr>
                <w:ilvl w:val="0"/>
                <w:numId w:val="1"/>
              </w:numPr>
              <w:ind w:left="-38" w:firstLine="142"/>
              <w:contextualSpacing/>
              <w:rPr>
                <w:rFonts w:eastAsia="Calibri"/>
              </w:rPr>
            </w:pPr>
            <w:proofErr w:type="spellStart"/>
            <w:r w:rsidRPr="00E95FB1">
              <w:rPr>
                <w:rFonts w:eastAsia="Calibri"/>
              </w:rPr>
              <w:t>відсутність</w:t>
            </w:r>
            <w:proofErr w:type="spellEnd"/>
            <w:r w:rsidRPr="00E95FB1">
              <w:rPr>
                <w:rFonts w:eastAsia="Calibri"/>
              </w:rPr>
              <w:t xml:space="preserve"> </w:t>
            </w:r>
            <w:proofErr w:type="spellStart"/>
            <w:r w:rsidRPr="00E95FB1">
              <w:rPr>
                <w:rFonts w:eastAsia="Calibri"/>
              </w:rPr>
              <w:t>функціонуючих</w:t>
            </w:r>
            <w:proofErr w:type="spellEnd"/>
            <w:r w:rsidRPr="00E95FB1">
              <w:rPr>
                <w:rFonts w:eastAsia="Calibri"/>
              </w:rPr>
              <w:t xml:space="preserve"> аптек;</w:t>
            </w:r>
          </w:p>
          <w:p w:rsidR="00AC499C" w:rsidRPr="00E95FB1" w:rsidRDefault="00AC499C" w:rsidP="000303D7">
            <w:pPr>
              <w:numPr>
                <w:ilvl w:val="0"/>
                <w:numId w:val="1"/>
              </w:numPr>
              <w:ind w:left="-38" w:firstLine="142"/>
              <w:contextualSpacing/>
              <w:rPr>
                <w:rFonts w:eastAsia="Calibri"/>
              </w:rPr>
            </w:pPr>
            <w:r w:rsidRPr="00EE4BA6">
              <w:rPr>
                <w:rFonts w:eastAsia="Calibri"/>
                <w:lang w:val="uk-UA"/>
              </w:rPr>
              <w:t xml:space="preserve">відсутність функціонуючих </w:t>
            </w:r>
            <w:proofErr w:type="spellStart"/>
            <w:r w:rsidRPr="00EE4BA6">
              <w:rPr>
                <w:rFonts w:eastAsia="Calibri"/>
                <w:lang w:val="uk-UA"/>
              </w:rPr>
              <w:t>біолабораторій</w:t>
            </w:r>
            <w:proofErr w:type="spellEnd"/>
            <w:r w:rsidRPr="00E95FB1">
              <w:rPr>
                <w:rFonts w:eastAsia="Calibri"/>
              </w:rPr>
              <w:t>;</w:t>
            </w:r>
          </w:p>
          <w:p w:rsidR="00AC499C" w:rsidRPr="00E95FB1" w:rsidRDefault="00AC499C" w:rsidP="000303D7">
            <w:pPr>
              <w:numPr>
                <w:ilvl w:val="0"/>
                <w:numId w:val="1"/>
              </w:numPr>
              <w:ind w:left="-38" w:firstLine="142"/>
              <w:contextualSpacing/>
              <w:rPr>
                <w:rFonts w:eastAsia="Calibri"/>
              </w:rPr>
            </w:pPr>
            <w:proofErr w:type="spellStart"/>
            <w:r w:rsidRPr="00E95FB1">
              <w:rPr>
                <w:rFonts w:eastAsia="Calibri"/>
              </w:rPr>
              <w:t>відсутність</w:t>
            </w:r>
            <w:proofErr w:type="spellEnd"/>
            <w:r w:rsidRPr="00E95FB1">
              <w:rPr>
                <w:rFonts w:eastAsia="Calibri"/>
              </w:rPr>
              <w:t xml:space="preserve"> </w:t>
            </w:r>
            <w:proofErr w:type="spellStart"/>
            <w:r w:rsidRPr="00E95FB1">
              <w:rPr>
                <w:rFonts w:eastAsia="Calibri"/>
              </w:rPr>
              <w:t>постачальників</w:t>
            </w:r>
            <w:proofErr w:type="spellEnd"/>
            <w:r w:rsidRPr="00E95FB1">
              <w:rPr>
                <w:rFonts w:eastAsia="Calibri"/>
              </w:rPr>
              <w:t xml:space="preserve"> вакцин;</w:t>
            </w:r>
          </w:p>
          <w:p w:rsidR="00AC499C" w:rsidRPr="00E95FB1" w:rsidRDefault="00AC499C" w:rsidP="000303D7">
            <w:pPr>
              <w:numPr>
                <w:ilvl w:val="0"/>
                <w:numId w:val="1"/>
              </w:numPr>
              <w:ind w:left="-38" w:firstLine="142"/>
              <w:contextualSpacing/>
              <w:rPr>
                <w:rFonts w:eastAsia="Calibri"/>
              </w:rPr>
            </w:pPr>
            <w:proofErr w:type="spellStart"/>
            <w:r w:rsidRPr="00E95FB1">
              <w:rPr>
                <w:rFonts w:eastAsia="Calibri"/>
              </w:rPr>
              <w:t>готовність</w:t>
            </w:r>
            <w:proofErr w:type="spellEnd"/>
            <w:r w:rsidRPr="00E95FB1">
              <w:rPr>
                <w:rFonts w:eastAsia="Calibri"/>
              </w:rPr>
              <w:t xml:space="preserve"> до </w:t>
            </w:r>
            <w:proofErr w:type="spellStart"/>
            <w:r w:rsidRPr="00E95FB1">
              <w:rPr>
                <w:rFonts w:eastAsia="Calibri"/>
              </w:rPr>
              <w:t>надання</w:t>
            </w:r>
            <w:proofErr w:type="spellEnd"/>
            <w:r w:rsidRPr="00E95FB1">
              <w:rPr>
                <w:rFonts w:eastAsia="Calibri"/>
              </w:rPr>
              <w:t xml:space="preserve"> </w:t>
            </w:r>
            <w:proofErr w:type="spellStart"/>
            <w:r w:rsidRPr="00E95FB1">
              <w:rPr>
                <w:rFonts w:eastAsia="Calibri"/>
              </w:rPr>
              <w:t>послуг</w:t>
            </w:r>
            <w:proofErr w:type="spellEnd"/>
            <w:r w:rsidRPr="00E95FB1">
              <w:rPr>
                <w:rFonts w:eastAsia="Calibri"/>
              </w:rPr>
              <w:t xml:space="preserve"> ___%:</w:t>
            </w:r>
          </w:p>
          <w:p w:rsidR="00AC499C" w:rsidRPr="00E95FB1" w:rsidRDefault="00AC499C" w:rsidP="000303D7">
            <w:pPr>
              <w:numPr>
                <w:ilvl w:val="0"/>
                <w:numId w:val="1"/>
              </w:numPr>
              <w:ind w:left="-38" w:firstLine="142"/>
              <w:contextualSpacing/>
              <w:rPr>
                <w:rFonts w:eastAsia="Calibri"/>
              </w:rPr>
            </w:pPr>
            <w:proofErr w:type="spellStart"/>
            <w:r w:rsidRPr="00E95FB1">
              <w:rPr>
                <w:rFonts w:eastAsia="Calibri"/>
              </w:rPr>
              <w:t>завдані</w:t>
            </w:r>
            <w:proofErr w:type="spellEnd"/>
            <w:r w:rsidRPr="00E95FB1">
              <w:rPr>
                <w:rFonts w:eastAsia="Calibri"/>
              </w:rPr>
              <w:t xml:space="preserve"> </w:t>
            </w:r>
            <w:proofErr w:type="spellStart"/>
            <w:r w:rsidRPr="00E95FB1">
              <w:rPr>
                <w:rFonts w:eastAsia="Calibri"/>
              </w:rPr>
              <w:t>збитки</w:t>
            </w:r>
            <w:proofErr w:type="spellEnd"/>
            <w:r w:rsidRPr="00E95FB1">
              <w:rPr>
                <w:rFonts w:eastAsia="Calibri"/>
              </w:rPr>
              <w:t xml:space="preserve"> ______.</w:t>
            </w:r>
          </w:p>
        </w:tc>
      </w:tr>
      <w:tr w:rsidR="00AC499C" w:rsidRPr="00EE4BA6" w:rsidTr="00524DBF">
        <w:tc>
          <w:tcPr>
            <w:tcW w:w="2590" w:type="dxa"/>
          </w:tcPr>
          <w:p w:rsidR="00AC499C" w:rsidRPr="00EE4BA6" w:rsidRDefault="00AC499C" w:rsidP="00524DBF">
            <w:pPr>
              <w:rPr>
                <w:rFonts w:eastAsia="Calibri"/>
              </w:rPr>
            </w:pPr>
            <w:proofErr w:type="spellStart"/>
            <w:r w:rsidRPr="00EE4BA6">
              <w:rPr>
                <w:rFonts w:eastAsia="Calibri"/>
              </w:rPr>
              <w:t>Інформаційні</w:t>
            </w:r>
            <w:proofErr w:type="spellEnd"/>
            <w:r w:rsidRPr="00EE4BA6">
              <w:rPr>
                <w:rFonts w:eastAsia="Calibri"/>
              </w:rPr>
              <w:t xml:space="preserve"> </w:t>
            </w:r>
            <w:proofErr w:type="spellStart"/>
            <w:r w:rsidRPr="00EE4BA6">
              <w:rPr>
                <w:rFonts w:eastAsia="Calibri"/>
              </w:rPr>
              <w:t>послуги</w:t>
            </w:r>
            <w:proofErr w:type="spellEnd"/>
          </w:p>
        </w:tc>
        <w:tc>
          <w:tcPr>
            <w:tcW w:w="6981" w:type="dxa"/>
          </w:tcPr>
          <w:p w:rsidR="00AC499C" w:rsidRPr="00EE4BA6" w:rsidRDefault="00AC499C" w:rsidP="000303D7">
            <w:pPr>
              <w:numPr>
                <w:ilvl w:val="0"/>
                <w:numId w:val="1"/>
              </w:numPr>
              <w:ind w:left="-38" w:firstLine="142"/>
              <w:contextualSpacing/>
              <w:rPr>
                <w:rFonts w:eastAsia="Calibri"/>
              </w:rPr>
            </w:pPr>
            <w:proofErr w:type="spellStart"/>
            <w:r w:rsidRPr="00EE4BA6">
              <w:rPr>
                <w:rFonts w:eastAsia="Calibri"/>
              </w:rPr>
              <w:t>відсутність</w:t>
            </w:r>
            <w:proofErr w:type="spellEnd"/>
            <w:r w:rsidRPr="00EE4BA6">
              <w:rPr>
                <w:rFonts w:eastAsia="Calibri"/>
              </w:rPr>
              <w:t xml:space="preserve"> </w:t>
            </w:r>
            <w:proofErr w:type="spellStart"/>
            <w:r w:rsidRPr="00EE4BA6">
              <w:rPr>
                <w:rFonts w:eastAsia="Calibri"/>
              </w:rPr>
              <w:t>чи</w:t>
            </w:r>
            <w:proofErr w:type="spellEnd"/>
            <w:r w:rsidRPr="00EE4BA6">
              <w:rPr>
                <w:rFonts w:eastAsia="Calibri"/>
              </w:rPr>
              <w:t xml:space="preserve"> </w:t>
            </w:r>
            <w:proofErr w:type="spellStart"/>
            <w:r w:rsidRPr="00EE4BA6">
              <w:rPr>
                <w:rFonts w:eastAsia="Calibri"/>
              </w:rPr>
              <w:t>значне</w:t>
            </w:r>
            <w:proofErr w:type="spellEnd"/>
            <w:r w:rsidRPr="00EE4BA6">
              <w:rPr>
                <w:rFonts w:eastAsia="Calibri"/>
              </w:rPr>
              <w:t xml:space="preserve"> </w:t>
            </w:r>
            <w:proofErr w:type="spellStart"/>
            <w:r w:rsidRPr="00EE4BA6">
              <w:rPr>
                <w:rFonts w:eastAsia="Calibri"/>
              </w:rPr>
              <w:t>пошкодження</w:t>
            </w:r>
            <w:proofErr w:type="spellEnd"/>
            <w:r w:rsidRPr="00EE4BA6">
              <w:rPr>
                <w:rFonts w:eastAsia="Calibri"/>
              </w:rPr>
              <w:t xml:space="preserve"> </w:t>
            </w:r>
            <w:proofErr w:type="spellStart"/>
            <w:r w:rsidRPr="00EE4BA6">
              <w:rPr>
                <w:rFonts w:eastAsia="Calibri"/>
              </w:rPr>
              <w:t>системи</w:t>
            </w:r>
            <w:proofErr w:type="spellEnd"/>
            <w:r w:rsidRPr="00EE4BA6">
              <w:rPr>
                <w:rFonts w:eastAsia="Calibri"/>
              </w:rPr>
              <w:t xml:space="preserve"> </w:t>
            </w:r>
            <w:proofErr w:type="spellStart"/>
            <w:r w:rsidRPr="00EE4BA6">
              <w:rPr>
                <w:rFonts w:eastAsia="Calibri"/>
              </w:rPr>
              <w:t>функціонування</w:t>
            </w:r>
            <w:proofErr w:type="spellEnd"/>
            <w:r w:rsidRPr="00EE4BA6">
              <w:rPr>
                <w:rFonts w:eastAsia="Calibri"/>
              </w:rPr>
              <w:t xml:space="preserve"> </w:t>
            </w:r>
            <w:proofErr w:type="spellStart"/>
            <w:r w:rsidRPr="00EE4BA6">
              <w:rPr>
                <w:rFonts w:eastAsia="Calibri"/>
              </w:rPr>
              <w:t>українського</w:t>
            </w:r>
            <w:proofErr w:type="spellEnd"/>
            <w:r w:rsidRPr="00EE4BA6">
              <w:rPr>
                <w:rFonts w:eastAsia="Calibri"/>
              </w:rPr>
              <w:t xml:space="preserve"> </w:t>
            </w:r>
            <w:proofErr w:type="spellStart"/>
            <w:r w:rsidRPr="00EE4BA6">
              <w:rPr>
                <w:rFonts w:eastAsia="Calibri"/>
              </w:rPr>
              <w:t>телебачення</w:t>
            </w:r>
            <w:proofErr w:type="spellEnd"/>
            <w:r w:rsidRPr="00EE4BA6">
              <w:rPr>
                <w:rFonts w:eastAsia="Calibri"/>
              </w:rPr>
              <w:t xml:space="preserve">, </w:t>
            </w:r>
            <w:proofErr w:type="spellStart"/>
            <w:r w:rsidRPr="00EE4BA6">
              <w:rPr>
                <w:rFonts w:eastAsia="Calibri"/>
              </w:rPr>
              <w:t>радіомовлення</w:t>
            </w:r>
            <w:proofErr w:type="spellEnd"/>
            <w:r w:rsidRPr="00EE4BA6">
              <w:rPr>
                <w:rFonts w:eastAsia="Calibri"/>
              </w:rPr>
              <w:t xml:space="preserve"> </w:t>
            </w:r>
            <w:proofErr w:type="spellStart"/>
            <w:r w:rsidRPr="00EE4BA6">
              <w:rPr>
                <w:rFonts w:eastAsia="Calibri"/>
              </w:rPr>
              <w:t>тощо</w:t>
            </w:r>
            <w:proofErr w:type="spellEnd"/>
            <w:r w:rsidRPr="00EE4BA6">
              <w:rPr>
                <w:rFonts w:eastAsia="Calibri"/>
              </w:rPr>
              <w:t>;</w:t>
            </w:r>
          </w:p>
          <w:p w:rsidR="00AC499C" w:rsidRPr="00EE4BA6" w:rsidRDefault="00AC499C" w:rsidP="000303D7">
            <w:pPr>
              <w:numPr>
                <w:ilvl w:val="0"/>
                <w:numId w:val="1"/>
              </w:numPr>
              <w:ind w:left="-38" w:firstLine="142"/>
              <w:contextualSpacing/>
              <w:rPr>
                <w:rFonts w:eastAsia="Calibri"/>
              </w:rPr>
            </w:pPr>
            <w:proofErr w:type="spellStart"/>
            <w:r w:rsidRPr="00EE4BA6">
              <w:rPr>
                <w:rFonts w:eastAsia="Calibri"/>
              </w:rPr>
              <w:t>готовність</w:t>
            </w:r>
            <w:proofErr w:type="spellEnd"/>
            <w:r w:rsidRPr="00EE4BA6">
              <w:rPr>
                <w:rFonts w:eastAsia="Calibri"/>
              </w:rPr>
              <w:t xml:space="preserve"> до </w:t>
            </w:r>
            <w:proofErr w:type="spellStart"/>
            <w:r w:rsidRPr="00EE4BA6">
              <w:rPr>
                <w:rFonts w:eastAsia="Calibri"/>
              </w:rPr>
              <w:t>надання</w:t>
            </w:r>
            <w:proofErr w:type="spellEnd"/>
            <w:r w:rsidRPr="00EE4BA6">
              <w:rPr>
                <w:rFonts w:eastAsia="Calibri"/>
              </w:rPr>
              <w:t xml:space="preserve"> </w:t>
            </w:r>
            <w:proofErr w:type="spellStart"/>
            <w:r w:rsidRPr="00EE4BA6">
              <w:rPr>
                <w:rFonts w:eastAsia="Calibri"/>
              </w:rPr>
              <w:t>послуг</w:t>
            </w:r>
            <w:proofErr w:type="spellEnd"/>
            <w:r w:rsidRPr="00EE4BA6">
              <w:rPr>
                <w:rFonts w:eastAsia="Calibri"/>
              </w:rPr>
              <w:t xml:space="preserve"> ___ %;</w:t>
            </w:r>
          </w:p>
          <w:p w:rsidR="00AC499C" w:rsidRPr="00EE4BA6" w:rsidRDefault="00AC499C" w:rsidP="000303D7">
            <w:pPr>
              <w:numPr>
                <w:ilvl w:val="0"/>
                <w:numId w:val="1"/>
              </w:numPr>
              <w:ind w:left="-38" w:firstLine="142"/>
              <w:contextualSpacing/>
              <w:rPr>
                <w:rFonts w:eastAsia="Calibri"/>
              </w:rPr>
            </w:pPr>
            <w:proofErr w:type="spellStart"/>
            <w:r w:rsidRPr="00EE4BA6">
              <w:rPr>
                <w:rFonts w:eastAsia="Calibri"/>
              </w:rPr>
              <w:t>завдані</w:t>
            </w:r>
            <w:proofErr w:type="spellEnd"/>
            <w:r w:rsidRPr="00EE4BA6">
              <w:rPr>
                <w:rFonts w:eastAsia="Calibri"/>
              </w:rPr>
              <w:t xml:space="preserve"> </w:t>
            </w:r>
            <w:proofErr w:type="spellStart"/>
            <w:r w:rsidRPr="00EE4BA6">
              <w:rPr>
                <w:rFonts w:eastAsia="Calibri"/>
              </w:rPr>
              <w:t>збитки</w:t>
            </w:r>
            <w:proofErr w:type="spellEnd"/>
            <w:r w:rsidRPr="00EE4BA6">
              <w:rPr>
                <w:rFonts w:eastAsia="Calibri"/>
              </w:rPr>
              <w:t xml:space="preserve"> ______.</w:t>
            </w:r>
          </w:p>
        </w:tc>
      </w:tr>
      <w:tr w:rsidR="00AC499C" w:rsidRPr="00EE4BA6" w:rsidTr="00524DBF">
        <w:tc>
          <w:tcPr>
            <w:tcW w:w="2590" w:type="dxa"/>
          </w:tcPr>
          <w:p w:rsidR="00AC499C" w:rsidRPr="00EE4BA6" w:rsidRDefault="00AC499C" w:rsidP="00524DBF">
            <w:pPr>
              <w:rPr>
                <w:rFonts w:eastAsia="Calibri"/>
              </w:rPr>
            </w:pPr>
            <w:proofErr w:type="spellStart"/>
            <w:r w:rsidRPr="00EE4BA6">
              <w:rPr>
                <w:rFonts w:eastAsia="Calibri"/>
              </w:rPr>
              <w:t>Електронні</w:t>
            </w:r>
            <w:proofErr w:type="spellEnd"/>
            <w:r w:rsidRPr="00EE4BA6">
              <w:rPr>
                <w:rFonts w:eastAsia="Calibri"/>
              </w:rPr>
              <w:t xml:space="preserve"> </w:t>
            </w:r>
            <w:proofErr w:type="spellStart"/>
            <w:r w:rsidRPr="00EE4BA6">
              <w:rPr>
                <w:rFonts w:eastAsia="Calibri"/>
              </w:rPr>
              <w:t>комунікації</w:t>
            </w:r>
            <w:proofErr w:type="spellEnd"/>
          </w:p>
        </w:tc>
        <w:tc>
          <w:tcPr>
            <w:tcW w:w="6981" w:type="dxa"/>
          </w:tcPr>
          <w:p w:rsidR="00AC499C" w:rsidRPr="00EE4BA6" w:rsidRDefault="00AC499C" w:rsidP="000303D7">
            <w:pPr>
              <w:numPr>
                <w:ilvl w:val="0"/>
                <w:numId w:val="1"/>
              </w:numPr>
              <w:ind w:left="-38" w:firstLine="142"/>
              <w:contextualSpacing/>
              <w:rPr>
                <w:rFonts w:eastAsia="Calibri"/>
              </w:rPr>
            </w:pPr>
            <w:proofErr w:type="spellStart"/>
            <w:r w:rsidRPr="00EE4BA6">
              <w:rPr>
                <w:rFonts w:eastAsia="Calibri"/>
              </w:rPr>
              <w:t>відсутність</w:t>
            </w:r>
            <w:proofErr w:type="spellEnd"/>
            <w:r w:rsidRPr="00EE4BA6">
              <w:rPr>
                <w:rFonts w:eastAsia="Calibri"/>
              </w:rPr>
              <w:t xml:space="preserve"> </w:t>
            </w:r>
            <w:proofErr w:type="spellStart"/>
            <w:r w:rsidRPr="00EE4BA6">
              <w:rPr>
                <w:rFonts w:eastAsia="Calibri"/>
              </w:rPr>
              <w:t>Інтернет</w:t>
            </w:r>
            <w:proofErr w:type="spellEnd"/>
            <w:r w:rsidRPr="00EE4BA6">
              <w:rPr>
                <w:rFonts w:eastAsia="Calibri"/>
              </w:rPr>
              <w:t xml:space="preserve"> </w:t>
            </w:r>
            <w:proofErr w:type="spellStart"/>
            <w:r w:rsidRPr="00EE4BA6">
              <w:rPr>
                <w:rFonts w:eastAsia="Calibri"/>
              </w:rPr>
              <w:t>провайдерів</w:t>
            </w:r>
            <w:proofErr w:type="spellEnd"/>
            <w:r w:rsidRPr="00EE4BA6">
              <w:rPr>
                <w:rFonts w:eastAsia="Calibri"/>
              </w:rPr>
              <w:t>;</w:t>
            </w:r>
          </w:p>
          <w:p w:rsidR="00AC499C" w:rsidRPr="00EE4BA6" w:rsidRDefault="00AC499C" w:rsidP="000303D7">
            <w:pPr>
              <w:numPr>
                <w:ilvl w:val="0"/>
                <w:numId w:val="1"/>
              </w:numPr>
              <w:ind w:left="-38" w:firstLine="142"/>
              <w:contextualSpacing/>
              <w:rPr>
                <w:rFonts w:eastAsia="Calibri"/>
              </w:rPr>
            </w:pPr>
            <w:r w:rsidRPr="00EE4BA6">
              <w:rPr>
                <w:rFonts w:eastAsia="Calibri"/>
                <w:shd w:val="clear" w:color="auto" w:fill="FFFFFF"/>
              </w:rPr>
              <w:t xml:space="preserve">все </w:t>
            </w:r>
            <w:proofErr w:type="spellStart"/>
            <w:r w:rsidRPr="00EE4BA6">
              <w:rPr>
                <w:rFonts w:eastAsia="Calibri"/>
                <w:shd w:val="clear" w:color="auto" w:fill="FFFFFF"/>
              </w:rPr>
              <w:t>обладнання</w:t>
            </w:r>
            <w:proofErr w:type="spellEnd"/>
            <w:r w:rsidRPr="00EE4BA6">
              <w:rPr>
                <w:rFonts w:eastAsia="Calibri"/>
                <w:shd w:val="clear" w:color="auto" w:fill="FFFFFF"/>
              </w:rPr>
              <w:t xml:space="preserve"> </w:t>
            </w:r>
            <w:proofErr w:type="spellStart"/>
            <w:r w:rsidRPr="00EE4BA6">
              <w:rPr>
                <w:rFonts w:eastAsia="Calibri"/>
                <w:shd w:val="clear" w:color="auto" w:fill="FFFFFF"/>
              </w:rPr>
              <w:t>провайдерів</w:t>
            </w:r>
            <w:proofErr w:type="spellEnd"/>
            <w:r w:rsidRPr="00EE4BA6">
              <w:rPr>
                <w:rFonts w:eastAsia="Calibri"/>
                <w:shd w:val="clear" w:color="auto" w:fill="FFFFFF"/>
              </w:rPr>
              <w:t xml:space="preserve"> </w:t>
            </w:r>
            <w:proofErr w:type="spellStart"/>
            <w:r w:rsidRPr="00EE4BA6">
              <w:rPr>
                <w:rFonts w:eastAsia="Calibri"/>
                <w:shd w:val="clear" w:color="auto" w:fill="FFFFFF"/>
              </w:rPr>
              <w:t>зруйновано</w:t>
            </w:r>
            <w:proofErr w:type="spellEnd"/>
            <w:r w:rsidRPr="00EE4BA6">
              <w:rPr>
                <w:rFonts w:eastAsia="Calibri"/>
                <w:shd w:val="clear" w:color="auto" w:fill="FFFFFF"/>
              </w:rPr>
              <w:t>;</w:t>
            </w:r>
          </w:p>
          <w:p w:rsidR="00AC499C" w:rsidRPr="00EE4BA6" w:rsidRDefault="00AC499C" w:rsidP="000303D7">
            <w:pPr>
              <w:numPr>
                <w:ilvl w:val="0"/>
                <w:numId w:val="1"/>
              </w:numPr>
              <w:ind w:left="-38" w:firstLine="142"/>
              <w:contextualSpacing/>
              <w:rPr>
                <w:rFonts w:eastAsia="Calibri"/>
              </w:rPr>
            </w:pPr>
            <w:proofErr w:type="spellStart"/>
            <w:r w:rsidRPr="00EE4BA6">
              <w:rPr>
                <w:rFonts w:eastAsia="Calibri"/>
              </w:rPr>
              <w:t>відсутність</w:t>
            </w:r>
            <w:proofErr w:type="spellEnd"/>
            <w:r w:rsidRPr="00EE4BA6">
              <w:rPr>
                <w:rFonts w:eastAsia="Calibri"/>
              </w:rPr>
              <w:t xml:space="preserve"> </w:t>
            </w:r>
            <w:proofErr w:type="spellStart"/>
            <w:r w:rsidRPr="00EE4BA6">
              <w:rPr>
                <w:rFonts w:eastAsia="Calibri"/>
              </w:rPr>
              <w:t>мобільного</w:t>
            </w:r>
            <w:proofErr w:type="spellEnd"/>
            <w:r w:rsidRPr="00EE4BA6">
              <w:rPr>
                <w:rFonts w:eastAsia="Calibri"/>
              </w:rPr>
              <w:t xml:space="preserve"> </w:t>
            </w:r>
            <w:proofErr w:type="spellStart"/>
            <w:r w:rsidRPr="00EE4BA6">
              <w:rPr>
                <w:rFonts w:eastAsia="Calibri"/>
              </w:rPr>
              <w:t>зв’язку</w:t>
            </w:r>
            <w:proofErr w:type="spellEnd"/>
            <w:r w:rsidRPr="00EE4BA6">
              <w:rPr>
                <w:rFonts w:eastAsia="Calibri"/>
              </w:rPr>
              <w:t xml:space="preserve">, стан </w:t>
            </w:r>
            <w:proofErr w:type="spellStart"/>
            <w:r w:rsidRPr="00EE4BA6">
              <w:rPr>
                <w:rFonts w:eastAsia="Calibri"/>
              </w:rPr>
              <w:t>станцій</w:t>
            </w:r>
            <w:proofErr w:type="spellEnd"/>
            <w:r w:rsidRPr="00EE4BA6">
              <w:rPr>
                <w:rFonts w:eastAsia="Calibri"/>
              </w:rPr>
              <w:t xml:space="preserve"> </w:t>
            </w:r>
            <w:proofErr w:type="spellStart"/>
            <w:r w:rsidRPr="00EE4BA6">
              <w:rPr>
                <w:rFonts w:eastAsia="Calibri"/>
              </w:rPr>
              <w:t>мобільного</w:t>
            </w:r>
            <w:proofErr w:type="spellEnd"/>
            <w:r w:rsidRPr="00EE4BA6">
              <w:rPr>
                <w:rFonts w:eastAsia="Calibri"/>
              </w:rPr>
              <w:t xml:space="preserve"> </w:t>
            </w:r>
            <w:proofErr w:type="spellStart"/>
            <w:r w:rsidRPr="00EE4BA6">
              <w:rPr>
                <w:rFonts w:eastAsia="Calibri"/>
              </w:rPr>
              <w:t>зв’язку</w:t>
            </w:r>
            <w:proofErr w:type="spellEnd"/>
            <w:r w:rsidRPr="00EE4BA6">
              <w:rPr>
                <w:rFonts w:eastAsia="Calibri"/>
              </w:rPr>
              <w:t xml:space="preserve"> _____;</w:t>
            </w:r>
          </w:p>
          <w:p w:rsidR="00AC499C" w:rsidRPr="00EE4BA6" w:rsidRDefault="00AC499C" w:rsidP="000303D7">
            <w:pPr>
              <w:numPr>
                <w:ilvl w:val="0"/>
                <w:numId w:val="1"/>
              </w:numPr>
              <w:ind w:left="-38" w:firstLine="142"/>
              <w:contextualSpacing/>
              <w:rPr>
                <w:rFonts w:eastAsia="Calibri"/>
              </w:rPr>
            </w:pPr>
            <w:proofErr w:type="spellStart"/>
            <w:r w:rsidRPr="00EE4BA6">
              <w:rPr>
                <w:rFonts w:eastAsia="Calibri"/>
              </w:rPr>
              <w:t>готовність</w:t>
            </w:r>
            <w:proofErr w:type="spellEnd"/>
            <w:r w:rsidRPr="00EE4BA6">
              <w:rPr>
                <w:rFonts w:eastAsia="Calibri"/>
              </w:rPr>
              <w:t xml:space="preserve"> до </w:t>
            </w:r>
            <w:proofErr w:type="spellStart"/>
            <w:r w:rsidRPr="00EE4BA6">
              <w:rPr>
                <w:rFonts w:eastAsia="Calibri"/>
              </w:rPr>
              <w:t>надання</w:t>
            </w:r>
            <w:proofErr w:type="spellEnd"/>
            <w:r w:rsidRPr="00EE4BA6">
              <w:rPr>
                <w:rFonts w:eastAsia="Calibri"/>
              </w:rPr>
              <w:t xml:space="preserve"> </w:t>
            </w:r>
            <w:proofErr w:type="spellStart"/>
            <w:r w:rsidRPr="00EE4BA6">
              <w:rPr>
                <w:rFonts w:eastAsia="Calibri"/>
              </w:rPr>
              <w:t>послуг</w:t>
            </w:r>
            <w:proofErr w:type="spellEnd"/>
            <w:r w:rsidRPr="00EE4BA6">
              <w:rPr>
                <w:rFonts w:eastAsia="Calibri"/>
              </w:rPr>
              <w:t xml:space="preserve"> ___ %;</w:t>
            </w:r>
          </w:p>
          <w:p w:rsidR="00AC499C" w:rsidRPr="00EE4BA6" w:rsidRDefault="00AC499C" w:rsidP="000303D7">
            <w:pPr>
              <w:numPr>
                <w:ilvl w:val="0"/>
                <w:numId w:val="1"/>
              </w:numPr>
              <w:ind w:left="-38" w:firstLine="142"/>
              <w:contextualSpacing/>
              <w:rPr>
                <w:rFonts w:eastAsia="Calibri"/>
              </w:rPr>
            </w:pPr>
            <w:proofErr w:type="spellStart"/>
            <w:r w:rsidRPr="00EE4BA6">
              <w:rPr>
                <w:rFonts w:eastAsia="Calibri"/>
              </w:rPr>
              <w:t>завдані</w:t>
            </w:r>
            <w:proofErr w:type="spellEnd"/>
            <w:r w:rsidRPr="00EE4BA6">
              <w:rPr>
                <w:rFonts w:eastAsia="Calibri"/>
              </w:rPr>
              <w:t xml:space="preserve"> </w:t>
            </w:r>
            <w:proofErr w:type="spellStart"/>
            <w:r w:rsidRPr="00EE4BA6">
              <w:rPr>
                <w:rFonts w:eastAsia="Calibri"/>
              </w:rPr>
              <w:t>збитки</w:t>
            </w:r>
            <w:proofErr w:type="spellEnd"/>
            <w:r w:rsidRPr="00EE4BA6">
              <w:rPr>
                <w:rFonts w:eastAsia="Calibri"/>
              </w:rPr>
              <w:t xml:space="preserve"> ______.</w:t>
            </w:r>
          </w:p>
        </w:tc>
      </w:tr>
      <w:tr w:rsidR="00AC499C" w:rsidRPr="00EE4BA6" w:rsidTr="00524DBF">
        <w:tc>
          <w:tcPr>
            <w:tcW w:w="2590" w:type="dxa"/>
          </w:tcPr>
          <w:p w:rsidR="00AC499C" w:rsidRPr="00EE4BA6" w:rsidRDefault="00AC499C" w:rsidP="00524DBF">
            <w:pPr>
              <w:rPr>
                <w:rFonts w:eastAsia="Calibri"/>
              </w:rPr>
            </w:pPr>
            <w:proofErr w:type="spellStart"/>
            <w:r w:rsidRPr="00EE4BA6">
              <w:rPr>
                <w:rFonts w:eastAsia="Calibri"/>
              </w:rPr>
              <w:t>Фінансові</w:t>
            </w:r>
            <w:proofErr w:type="spellEnd"/>
            <w:r w:rsidRPr="00EE4BA6">
              <w:rPr>
                <w:rFonts w:eastAsia="Calibri"/>
              </w:rPr>
              <w:t xml:space="preserve"> </w:t>
            </w:r>
            <w:proofErr w:type="spellStart"/>
            <w:r w:rsidRPr="00EE4BA6">
              <w:rPr>
                <w:rFonts w:eastAsia="Calibri"/>
              </w:rPr>
              <w:t>послуги</w:t>
            </w:r>
            <w:proofErr w:type="spellEnd"/>
          </w:p>
        </w:tc>
        <w:tc>
          <w:tcPr>
            <w:tcW w:w="6981" w:type="dxa"/>
          </w:tcPr>
          <w:p w:rsidR="00AC499C" w:rsidRPr="00EE4BA6" w:rsidRDefault="00AC499C" w:rsidP="000303D7">
            <w:pPr>
              <w:numPr>
                <w:ilvl w:val="0"/>
                <w:numId w:val="1"/>
              </w:numPr>
              <w:ind w:left="-38" w:firstLine="398"/>
              <w:contextualSpacing/>
              <w:rPr>
                <w:rFonts w:eastAsia="Calibri"/>
              </w:rPr>
            </w:pPr>
            <w:proofErr w:type="spellStart"/>
            <w:r w:rsidRPr="00EE4BA6">
              <w:rPr>
                <w:rFonts w:eastAsia="Calibri"/>
              </w:rPr>
              <w:t>будівлі</w:t>
            </w:r>
            <w:proofErr w:type="spellEnd"/>
            <w:r w:rsidRPr="00EE4BA6">
              <w:rPr>
                <w:rFonts w:eastAsia="Calibri"/>
              </w:rPr>
              <w:t xml:space="preserve"> </w:t>
            </w:r>
            <w:proofErr w:type="spellStart"/>
            <w:r w:rsidRPr="00EE4BA6">
              <w:rPr>
                <w:rFonts w:eastAsia="Calibri"/>
              </w:rPr>
              <w:t>фінансових</w:t>
            </w:r>
            <w:proofErr w:type="spellEnd"/>
            <w:r w:rsidRPr="00EE4BA6">
              <w:rPr>
                <w:rFonts w:eastAsia="Calibri"/>
              </w:rPr>
              <w:t xml:space="preserve"> </w:t>
            </w:r>
            <w:proofErr w:type="spellStart"/>
            <w:r w:rsidRPr="00EE4BA6">
              <w:rPr>
                <w:rFonts w:eastAsia="Calibri"/>
              </w:rPr>
              <w:t>установ</w:t>
            </w:r>
            <w:proofErr w:type="spellEnd"/>
            <w:r w:rsidRPr="00EE4BA6">
              <w:rPr>
                <w:rFonts w:eastAsia="Calibri"/>
              </w:rPr>
              <w:t xml:space="preserve">: </w:t>
            </w:r>
            <w:proofErr w:type="spellStart"/>
            <w:r w:rsidRPr="00EE4BA6">
              <w:rPr>
                <w:rFonts w:eastAsia="Calibri"/>
              </w:rPr>
              <w:t>банків</w:t>
            </w:r>
            <w:proofErr w:type="spellEnd"/>
            <w:r w:rsidRPr="00EE4BA6">
              <w:rPr>
                <w:rFonts w:eastAsia="Calibri"/>
              </w:rPr>
              <w:t xml:space="preserve">, казначейства </w:t>
            </w:r>
            <w:proofErr w:type="spellStart"/>
            <w:r w:rsidRPr="00EE4BA6">
              <w:rPr>
                <w:rFonts w:eastAsia="Calibri"/>
              </w:rPr>
              <w:t>зазнали</w:t>
            </w:r>
            <w:proofErr w:type="spellEnd"/>
            <w:r w:rsidRPr="00EE4BA6">
              <w:rPr>
                <w:rFonts w:eastAsia="Calibri"/>
              </w:rPr>
              <w:t xml:space="preserve"> </w:t>
            </w:r>
            <w:proofErr w:type="spellStart"/>
            <w:r w:rsidRPr="00EE4BA6">
              <w:rPr>
                <w:rFonts w:eastAsia="Calibri"/>
              </w:rPr>
              <w:t>значних</w:t>
            </w:r>
            <w:proofErr w:type="spellEnd"/>
            <w:r w:rsidRPr="00EE4BA6">
              <w:rPr>
                <w:rFonts w:eastAsia="Calibri"/>
              </w:rPr>
              <w:t xml:space="preserve"> </w:t>
            </w:r>
            <w:proofErr w:type="spellStart"/>
            <w:r w:rsidRPr="00EE4BA6">
              <w:rPr>
                <w:rFonts w:eastAsia="Calibri"/>
              </w:rPr>
              <w:t>руйнувань</w:t>
            </w:r>
            <w:proofErr w:type="spellEnd"/>
            <w:r w:rsidRPr="00EE4BA6">
              <w:rPr>
                <w:rFonts w:eastAsia="Calibri"/>
              </w:rPr>
              <w:t>;</w:t>
            </w:r>
          </w:p>
          <w:p w:rsidR="00AC499C" w:rsidRPr="00EE4BA6" w:rsidRDefault="00AC499C" w:rsidP="000303D7">
            <w:pPr>
              <w:numPr>
                <w:ilvl w:val="0"/>
                <w:numId w:val="1"/>
              </w:numPr>
              <w:ind w:left="-38" w:firstLine="398"/>
              <w:contextualSpacing/>
              <w:rPr>
                <w:rFonts w:eastAsia="Calibri"/>
              </w:rPr>
            </w:pPr>
            <w:proofErr w:type="spellStart"/>
            <w:r w:rsidRPr="00EE4BA6">
              <w:rPr>
                <w:rFonts w:eastAsia="Calibri"/>
              </w:rPr>
              <w:t>матеріально-технічна</w:t>
            </w:r>
            <w:proofErr w:type="spellEnd"/>
            <w:r w:rsidRPr="00EE4BA6">
              <w:rPr>
                <w:rFonts w:eastAsia="Calibri"/>
              </w:rPr>
              <w:t xml:space="preserve"> база </w:t>
            </w:r>
            <w:proofErr w:type="spellStart"/>
            <w:r w:rsidRPr="00EE4BA6">
              <w:rPr>
                <w:rFonts w:eastAsia="Calibri"/>
              </w:rPr>
              <w:t>пошкоджена</w:t>
            </w:r>
            <w:proofErr w:type="spellEnd"/>
            <w:r w:rsidRPr="00EE4BA6">
              <w:rPr>
                <w:rFonts w:eastAsia="Calibri"/>
              </w:rPr>
              <w:t xml:space="preserve"> та </w:t>
            </w:r>
            <w:proofErr w:type="spellStart"/>
            <w:r w:rsidRPr="00EE4BA6">
              <w:rPr>
                <w:rFonts w:eastAsia="Calibri"/>
              </w:rPr>
              <w:t>розграбована</w:t>
            </w:r>
            <w:proofErr w:type="spellEnd"/>
            <w:r w:rsidRPr="00EE4BA6">
              <w:rPr>
                <w:rFonts w:eastAsia="Calibri"/>
              </w:rPr>
              <w:t>;</w:t>
            </w:r>
          </w:p>
          <w:p w:rsidR="00AC499C" w:rsidRPr="00EE4BA6" w:rsidRDefault="00AC499C" w:rsidP="000303D7">
            <w:pPr>
              <w:numPr>
                <w:ilvl w:val="0"/>
                <w:numId w:val="1"/>
              </w:numPr>
              <w:ind w:left="-38" w:firstLine="398"/>
              <w:contextualSpacing/>
              <w:rPr>
                <w:rFonts w:eastAsia="Calibri"/>
              </w:rPr>
            </w:pPr>
            <w:proofErr w:type="spellStart"/>
            <w:r w:rsidRPr="00EE4BA6">
              <w:rPr>
                <w:rFonts w:eastAsia="Calibri"/>
              </w:rPr>
              <w:t>готовність</w:t>
            </w:r>
            <w:proofErr w:type="spellEnd"/>
            <w:r w:rsidRPr="00EE4BA6">
              <w:rPr>
                <w:rFonts w:eastAsia="Calibri"/>
              </w:rPr>
              <w:t xml:space="preserve"> до </w:t>
            </w:r>
            <w:proofErr w:type="spellStart"/>
            <w:r w:rsidRPr="00EE4BA6">
              <w:rPr>
                <w:rFonts w:eastAsia="Calibri"/>
              </w:rPr>
              <w:t>надання</w:t>
            </w:r>
            <w:proofErr w:type="spellEnd"/>
            <w:r w:rsidRPr="00EE4BA6">
              <w:rPr>
                <w:rFonts w:eastAsia="Calibri"/>
              </w:rPr>
              <w:t xml:space="preserve"> </w:t>
            </w:r>
            <w:proofErr w:type="spellStart"/>
            <w:r w:rsidRPr="00EE4BA6">
              <w:rPr>
                <w:rFonts w:eastAsia="Calibri"/>
              </w:rPr>
              <w:t>послуг</w:t>
            </w:r>
            <w:proofErr w:type="spellEnd"/>
            <w:r w:rsidRPr="00EE4BA6">
              <w:rPr>
                <w:rFonts w:eastAsia="Calibri"/>
              </w:rPr>
              <w:t xml:space="preserve"> ___ %;</w:t>
            </w:r>
          </w:p>
          <w:p w:rsidR="00AC499C" w:rsidRPr="00EE4BA6" w:rsidRDefault="00AC499C" w:rsidP="000303D7">
            <w:pPr>
              <w:numPr>
                <w:ilvl w:val="0"/>
                <w:numId w:val="1"/>
              </w:numPr>
              <w:ind w:left="-38" w:firstLine="398"/>
              <w:contextualSpacing/>
              <w:rPr>
                <w:rFonts w:eastAsia="Calibri"/>
              </w:rPr>
            </w:pPr>
            <w:proofErr w:type="spellStart"/>
            <w:r w:rsidRPr="00EE4BA6">
              <w:rPr>
                <w:rFonts w:eastAsia="Calibri"/>
              </w:rPr>
              <w:t>завдані</w:t>
            </w:r>
            <w:proofErr w:type="spellEnd"/>
            <w:r w:rsidRPr="00EE4BA6">
              <w:rPr>
                <w:rFonts w:eastAsia="Calibri"/>
              </w:rPr>
              <w:t xml:space="preserve"> </w:t>
            </w:r>
            <w:proofErr w:type="spellStart"/>
            <w:r w:rsidRPr="00EE4BA6">
              <w:rPr>
                <w:rFonts w:eastAsia="Calibri"/>
              </w:rPr>
              <w:t>збитки</w:t>
            </w:r>
            <w:proofErr w:type="spellEnd"/>
            <w:r w:rsidRPr="00EE4BA6">
              <w:rPr>
                <w:rFonts w:eastAsia="Calibri"/>
              </w:rPr>
              <w:t xml:space="preserve"> ______.</w:t>
            </w:r>
          </w:p>
        </w:tc>
      </w:tr>
      <w:tr w:rsidR="00AC499C" w:rsidRPr="00EE4BA6" w:rsidTr="00524DBF">
        <w:tc>
          <w:tcPr>
            <w:tcW w:w="2590" w:type="dxa"/>
          </w:tcPr>
          <w:p w:rsidR="00AC499C" w:rsidRPr="00EE4BA6" w:rsidRDefault="00AC499C" w:rsidP="00524DBF">
            <w:pPr>
              <w:rPr>
                <w:rFonts w:eastAsia="Calibri"/>
              </w:rPr>
            </w:pPr>
            <w:proofErr w:type="spellStart"/>
            <w:r w:rsidRPr="00EE4BA6">
              <w:rPr>
                <w:rFonts w:eastAsia="Calibri"/>
              </w:rPr>
              <w:t>Транспортне</w:t>
            </w:r>
            <w:proofErr w:type="spellEnd"/>
            <w:r w:rsidRPr="00EE4BA6">
              <w:rPr>
                <w:rFonts w:eastAsia="Calibri"/>
              </w:rPr>
              <w:t xml:space="preserve"> </w:t>
            </w:r>
            <w:proofErr w:type="spellStart"/>
            <w:r w:rsidRPr="00EE4BA6">
              <w:rPr>
                <w:rFonts w:eastAsia="Calibri"/>
              </w:rPr>
              <w:t>забезпечення</w:t>
            </w:r>
            <w:proofErr w:type="spellEnd"/>
          </w:p>
        </w:tc>
        <w:tc>
          <w:tcPr>
            <w:tcW w:w="6981" w:type="dxa"/>
          </w:tcPr>
          <w:p w:rsidR="00AC499C" w:rsidRPr="00EE4BA6" w:rsidRDefault="00AC499C" w:rsidP="000303D7">
            <w:pPr>
              <w:numPr>
                <w:ilvl w:val="0"/>
                <w:numId w:val="1"/>
              </w:numPr>
              <w:ind w:left="-38" w:firstLine="283"/>
              <w:contextualSpacing/>
              <w:rPr>
                <w:rFonts w:eastAsia="Calibri"/>
              </w:rPr>
            </w:pPr>
            <w:proofErr w:type="spellStart"/>
            <w:r w:rsidRPr="00EE4BA6">
              <w:rPr>
                <w:rFonts w:eastAsia="Calibri"/>
              </w:rPr>
              <w:t>повністю</w:t>
            </w:r>
            <w:proofErr w:type="spellEnd"/>
            <w:r w:rsidRPr="00EE4BA6">
              <w:rPr>
                <w:rFonts w:eastAsia="Calibri"/>
              </w:rPr>
              <w:t xml:space="preserve"> </w:t>
            </w:r>
            <w:proofErr w:type="spellStart"/>
            <w:r w:rsidRPr="00EE4BA6">
              <w:rPr>
                <w:rFonts w:eastAsia="Calibri"/>
              </w:rPr>
              <w:t>зруйноване</w:t>
            </w:r>
            <w:proofErr w:type="spellEnd"/>
            <w:r w:rsidRPr="00EE4BA6">
              <w:rPr>
                <w:rFonts w:eastAsia="Calibri"/>
              </w:rPr>
              <w:t xml:space="preserve"> та </w:t>
            </w:r>
            <w:proofErr w:type="spellStart"/>
            <w:r w:rsidRPr="00EE4BA6">
              <w:rPr>
                <w:rFonts w:eastAsia="Calibri"/>
              </w:rPr>
              <w:t>розграбоване</w:t>
            </w:r>
            <w:proofErr w:type="spellEnd"/>
            <w:r w:rsidRPr="00EE4BA6">
              <w:rPr>
                <w:rFonts w:eastAsia="Calibri"/>
              </w:rPr>
              <w:t xml:space="preserve"> </w:t>
            </w:r>
            <w:proofErr w:type="spellStart"/>
            <w:r w:rsidRPr="00EE4BA6">
              <w:rPr>
                <w:rFonts w:eastAsia="Calibri"/>
              </w:rPr>
              <w:t>міське</w:t>
            </w:r>
            <w:proofErr w:type="spellEnd"/>
            <w:r w:rsidRPr="00EE4BA6">
              <w:rPr>
                <w:rFonts w:eastAsia="Calibri"/>
              </w:rPr>
              <w:t xml:space="preserve"> </w:t>
            </w:r>
            <w:proofErr w:type="spellStart"/>
            <w:r w:rsidRPr="00EE4BA6">
              <w:rPr>
                <w:rFonts w:eastAsia="Calibri"/>
              </w:rPr>
              <w:t>тролейбусне</w:t>
            </w:r>
            <w:proofErr w:type="spellEnd"/>
            <w:r w:rsidRPr="00EE4BA6">
              <w:rPr>
                <w:rFonts w:eastAsia="Calibri"/>
              </w:rPr>
              <w:t xml:space="preserve"> депо (</w:t>
            </w:r>
            <w:proofErr w:type="spellStart"/>
            <w:r w:rsidRPr="00EE4BA6">
              <w:rPr>
                <w:rFonts w:eastAsia="Calibri"/>
              </w:rPr>
              <w:t>громадський</w:t>
            </w:r>
            <w:proofErr w:type="spellEnd"/>
            <w:r w:rsidRPr="00EE4BA6">
              <w:rPr>
                <w:rFonts w:eastAsia="Calibri"/>
              </w:rPr>
              <w:t xml:space="preserve"> транспорт);</w:t>
            </w:r>
          </w:p>
          <w:p w:rsidR="00AC499C" w:rsidRPr="00EE4BA6" w:rsidRDefault="00AC499C" w:rsidP="000303D7">
            <w:pPr>
              <w:numPr>
                <w:ilvl w:val="0"/>
                <w:numId w:val="1"/>
              </w:numPr>
              <w:ind w:left="-38" w:firstLine="283"/>
              <w:contextualSpacing/>
              <w:rPr>
                <w:rFonts w:eastAsia="Calibri"/>
              </w:rPr>
            </w:pPr>
            <w:proofErr w:type="spellStart"/>
            <w:r w:rsidRPr="00EE4BA6">
              <w:rPr>
                <w:rFonts w:eastAsia="Calibri"/>
              </w:rPr>
              <w:t>готовність</w:t>
            </w:r>
            <w:proofErr w:type="spellEnd"/>
            <w:r w:rsidRPr="00EE4BA6">
              <w:rPr>
                <w:rFonts w:eastAsia="Calibri"/>
              </w:rPr>
              <w:t xml:space="preserve"> до </w:t>
            </w:r>
            <w:proofErr w:type="spellStart"/>
            <w:r w:rsidRPr="00EE4BA6">
              <w:rPr>
                <w:rFonts w:eastAsia="Calibri"/>
              </w:rPr>
              <w:t>надання</w:t>
            </w:r>
            <w:proofErr w:type="spellEnd"/>
            <w:r w:rsidRPr="00EE4BA6">
              <w:rPr>
                <w:rFonts w:eastAsia="Calibri"/>
              </w:rPr>
              <w:t xml:space="preserve"> </w:t>
            </w:r>
            <w:proofErr w:type="spellStart"/>
            <w:r w:rsidRPr="00EE4BA6">
              <w:rPr>
                <w:rFonts w:eastAsia="Calibri"/>
              </w:rPr>
              <w:t>послуг</w:t>
            </w:r>
            <w:proofErr w:type="spellEnd"/>
            <w:r w:rsidRPr="00EE4BA6">
              <w:rPr>
                <w:rFonts w:eastAsia="Calibri"/>
              </w:rPr>
              <w:t xml:space="preserve"> ___ %;</w:t>
            </w:r>
          </w:p>
          <w:p w:rsidR="00AC499C" w:rsidRPr="00EE4BA6" w:rsidRDefault="00AC499C" w:rsidP="000303D7">
            <w:pPr>
              <w:numPr>
                <w:ilvl w:val="0"/>
                <w:numId w:val="1"/>
              </w:numPr>
              <w:ind w:left="-38" w:firstLine="283"/>
              <w:contextualSpacing/>
              <w:rPr>
                <w:rFonts w:eastAsia="Calibri"/>
              </w:rPr>
            </w:pPr>
            <w:proofErr w:type="spellStart"/>
            <w:r w:rsidRPr="00EE4BA6">
              <w:rPr>
                <w:rFonts w:eastAsia="Calibri"/>
              </w:rPr>
              <w:t>основний</w:t>
            </w:r>
            <w:proofErr w:type="spellEnd"/>
            <w:r w:rsidRPr="00EE4BA6">
              <w:rPr>
                <w:rFonts w:eastAsia="Calibri"/>
              </w:rPr>
              <w:t xml:space="preserve"> </w:t>
            </w:r>
            <w:proofErr w:type="spellStart"/>
            <w:r w:rsidRPr="00EE4BA6">
              <w:rPr>
                <w:rFonts w:eastAsia="Calibri"/>
              </w:rPr>
              <w:t>надавач</w:t>
            </w:r>
            <w:proofErr w:type="spellEnd"/>
            <w:r w:rsidRPr="00EE4BA6">
              <w:rPr>
                <w:rFonts w:eastAsia="Calibri"/>
              </w:rPr>
              <w:t xml:space="preserve"> </w:t>
            </w:r>
            <w:proofErr w:type="spellStart"/>
            <w:r w:rsidRPr="00EE4BA6">
              <w:rPr>
                <w:rFonts w:eastAsia="Calibri"/>
              </w:rPr>
              <w:t>послуг</w:t>
            </w:r>
            <w:proofErr w:type="spellEnd"/>
            <w:r w:rsidRPr="00EE4BA6">
              <w:rPr>
                <w:rFonts w:eastAsia="Calibri"/>
              </w:rPr>
              <w:t xml:space="preserve"> КП «</w:t>
            </w:r>
            <w:proofErr w:type="spellStart"/>
            <w:r w:rsidRPr="00EE4BA6">
              <w:rPr>
                <w:rFonts w:eastAsia="Calibri"/>
              </w:rPr>
              <w:t>Сєвєродонецьке</w:t>
            </w:r>
            <w:proofErr w:type="spellEnd"/>
            <w:r w:rsidRPr="00EE4BA6">
              <w:rPr>
                <w:rFonts w:eastAsia="Calibri"/>
              </w:rPr>
              <w:t xml:space="preserve"> </w:t>
            </w:r>
            <w:proofErr w:type="spellStart"/>
            <w:r w:rsidRPr="00EE4BA6">
              <w:rPr>
                <w:rFonts w:eastAsia="Calibri"/>
              </w:rPr>
              <w:t>тролейбусне</w:t>
            </w:r>
            <w:proofErr w:type="spellEnd"/>
            <w:r w:rsidRPr="00EE4BA6">
              <w:rPr>
                <w:rFonts w:eastAsia="Calibri"/>
              </w:rPr>
              <w:t xml:space="preserve"> </w:t>
            </w:r>
            <w:proofErr w:type="spellStart"/>
            <w:r w:rsidRPr="00EE4BA6">
              <w:rPr>
                <w:rFonts w:eastAsia="Calibri"/>
              </w:rPr>
              <w:t>управління</w:t>
            </w:r>
            <w:proofErr w:type="spellEnd"/>
            <w:r w:rsidRPr="00EE4BA6">
              <w:rPr>
                <w:rFonts w:eastAsia="Calibri"/>
              </w:rPr>
              <w:t>»;</w:t>
            </w:r>
          </w:p>
          <w:p w:rsidR="00AC499C" w:rsidRPr="00EE4BA6" w:rsidRDefault="00AC499C" w:rsidP="000303D7">
            <w:pPr>
              <w:numPr>
                <w:ilvl w:val="0"/>
                <w:numId w:val="1"/>
              </w:numPr>
              <w:ind w:left="-38" w:firstLine="283"/>
              <w:contextualSpacing/>
              <w:rPr>
                <w:rFonts w:eastAsia="Calibri"/>
              </w:rPr>
            </w:pPr>
            <w:proofErr w:type="spellStart"/>
            <w:r w:rsidRPr="00EE4BA6">
              <w:rPr>
                <w:rFonts w:eastAsia="Calibri"/>
              </w:rPr>
              <w:t>зруйнований</w:t>
            </w:r>
            <w:proofErr w:type="spellEnd"/>
            <w:r w:rsidRPr="00EE4BA6">
              <w:rPr>
                <w:rFonts w:eastAsia="Calibri"/>
              </w:rPr>
              <w:t xml:space="preserve"> автовокзал, стан автопарку _____;</w:t>
            </w:r>
          </w:p>
          <w:p w:rsidR="00AC499C" w:rsidRPr="00EE4BA6" w:rsidRDefault="00AC499C" w:rsidP="000303D7">
            <w:pPr>
              <w:numPr>
                <w:ilvl w:val="0"/>
                <w:numId w:val="1"/>
              </w:numPr>
              <w:ind w:left="-38" w:firstLine="283"/>
              <w:contextualSpacing/>
              <w:rPr>
                <w:rFonts w:eastAsia="Calibri"/>
              </w:rPr>
            </w:pPr>
            <w:proofErr w:type="spellStart"/>
            <w:r w:rsidRPr="00EE4BA6">
              <w:rPr>
                <w:rFonts w:eastAsia="Calibri"/>
              </w:rPr>
              <w:t>значна</w:t>
            </w:r>
            <w:proofErr w:type="spellEnd"/>
            <w:r w:rsidRPr="00EE4BA6">
              <w:rPr>
                <w:rFonts w:eastAsia="Calibri"/>
              </w:rPr>
              <w:t xml:space="preserve"> проблема </w:t>
            </w:r>
            <w:proofErr w:type="spellStart"/>
            <w:r w:rsidRPr="00EE4BA6">
              <w:rPr>
                <w:rFonts w:eastAsia="Calibri"/>
              </w:rPr>
              <w:t>міжміського</w:t>
            </w:r>
            <w:proofErr w:type="spellEnd"/>
            <w:r w:rsidRPr="00EE4BA6">
              <w:rPr>
                <w:rFonts w:eastAsia="Calibri"/>
              </w:rPr>
              <w:t xml:space="preserve"> </w:t>
            </w:r>
            <w:proofErr w:type="spellStart"/>
            <w:r w:rsidRPr="00EE4BA6">
              <w:rPr>
                <w:rFonts w:eastAsia="Calibri"/>
              </w:rPr>
              <w:t>сполучення</w:t>
            </w:r>
            <w:proofErr w:type="spellEnd"/>
            <w:r w:rsidRPr="00EE4BA6">
              <w:rPr>
                <w:rFonts w:eastAsia="Calibri"/>
              </w:rPr>
              <w:t xml:space="preserve"> через </w:t>
            </w:r>
            <w:proofErr w:type="spellStart"/>
            <w:r w:rsidRPr="00EE4BA6">
              <w:rPr>
                <w:rFonts w:eastAsia="Calibri"/>
              </w:rPr>
              <w:t>високу</w:t>
            </w:r>
            <w:proofErr w:type="spellEnd"/>
            <w:r w:rsidRPr="00EE4BA6">
              <w:rPr>
                <w:rFonts w:eastAsia="Calibri"/>
              </w:rPr>
              <w:t xml:space="preserve"> </w:t>
            </w:r>
            <w:proofErr w:type="spellStart"/>
            <w:r w:rsidRPr="00EE4BA6">
              <w:rPr>
                <w:rFonts w:eastAsia="Calibri"/>
              </w:rPr>
              <w:t>руйнацію</w:t>
            </w:r>
            <w:proofErr w:type="spellEnd"/>
            <w:r w:rsidRPr="00EE4BA6">
              <w:rPr>
                <w:rFonts w:eastAsia="Calibri"/>
              </w:rPr>
              <w:t xml:space="preserve"> </w:t>
            </w:r>
            <w:proofErr w:type="spellStart"/>
            <w:r w:rsidRPr="00EE4BA6">
              <w:rPr>
                <w:rFonts w:eastAsia="Calibri"/>
              </w:rPr>
              <w:t>дор</w:t>
            </w:r>
            <w:r w:rsidR="003120E3">
              <w:rPr>
                <w:rFonts w:eastAsia="Calibri"/>
              </w:rPr>
              <w:t>і</w:t>
            </w:r>
            <w:r w:rsidRPr="00EE4BA6">
              <w:rPr>
                <w:rFonts w:eastAsia="Calibri"/>
              </w:rPr>
              <w:t>г</w:t>
            </w:r>
            <w:proofErr w:type="spellEnd"/>
            <w:r w:rsidRPr="00EE4BA6">
              <w:rPr>
                <w:rFonts w:eastAsia="Calibri"/>
              </w:rPr>
              <w:t xml:space="preserve"> та </w:t>
            </w:r>
            <w:proofErr w:type="spellStart"/>
            <w:r w:rsidRPr="00EE4BA6">
              <w:rPr>
                <w:rFonts w:eastAsia="Calibri"/>
              </w:rPr>
              <w:t>мостів</w:t>
            </w:r>
            <w:proofErr w:type="spellEnd"/>
            <w:r w:rsidRPr="00EE4BA6">
              <w:rPr>
                <w:rFonts w:eastAsia="Calibri"/>
              </w:rPr>
              <w:t>;</w:t>
            </w:r>
          </w:p>
          <w:p w:rsidR="00AC499C" w:rsidRPr="00EE4BA6" w:rsidRDefault="00AC499C" w:rsidP="000303D7">
            <w:pPr>
              <w:numPr>
                <w:ilvl w:val="0"/>
                <w:numId w:val="1"/>
              </w:numPr>
              <w:ind w:left="-38" w:firstLine="283"/>
              <w:contextualSpacing/>
              <w:rPr>
                <w:rFonts w:eastAsia="Calibri"/>
              </w:rPr>
            </w:pPr>
            <w:proofErr w:type="spellStart"/>
            <w:r w:rsidRPr="00EE4BA6">
              <w:rPr>
                <w:rFonts w:eastAsia="Calibri"/>
              </w:rPr>
              <w:t>завдані</w:t>
            </w:r>
            <w:proofErr w:type="spellEnd"/>
            <w:r w:rsidRPr="00EE4BA6">
              <w:rPr>
                <w:rFonts w:eastAsia="Calibri"/>
              </w:rPr>
              <w:t xml:space="preserve"> </w:t>
            </w:r>
            <w:proofErr w:type="spellStart"/>
            <w:r w:rsidRPr="00EE4BA6">
              <w:rPr>
                <w:rFonts w:eastAsia="Calibri"/>
              </w:rPr>
              <w:t>збитки</w:t>
            </w:r>
            <w:proofErr w:type="spellEnd"/>
            <w:r w:rsidRPr="00EE4BA6">
              <w:rPr>
                <w:rFonts w:eastAsia="Calibri"/>
              </w:rPr>
              <w:t xml:space="preserve"> ______.</w:t>
            </w:r>
          </w:p>
        </w:tc>
      </w:tr>
      <w:tr w:rsidR="00AC499C" w:rsidRPr="00EE4BA6" w:rsidTr="00524DBF">
        <w:tc>
          <w:tcPr>
            <w:tcW w:w="2590" w:type="dxa"/>
          </w:tcPr>
          <w:p w:rsidR="00AC499C" w:rsidRPr="00EE4BA6" w:rsidRDefault="00AC499C" w:rsidP="00524DBF">
            <w:pPr>
              <w:rPr>
                <w:rFonts w:eastAsia="Calibri"/>
              </w:rPr>
            </w:pPr>
            <w:r w:rsidRPr="00EE4BA6">
              <w:rPr>
                <w:rFonts w:eastAsia="Calibri"/>
              </w:rPr>
              <w:t xml:space="preserve">Правопорядок, </w:t>
            </w:r>
            <w:proofErr w:type="spellStart"/>
            <w:r w:rsidRPr="00EE4BA6">
              <w:rPr>
                <w:rFonts w:eastAsia="Calibri"/>
              </w:rPr>
              <w:t>здійснення</w:t>
            </w:r>
            <w:proofErr w:type="spellEnd"/>
            <w:r w:rsidRPr="00EE4BA6">
              <w:rPr>
                <w:rFonts w:eastAsia="Calibri"/>
              </w:rPr>
              <w:t xml:space="preserve"> </w:t>
            </w:r>
            <w:proofErr w:type="spellStart"/>
            <w:r w:rsidRPr="00EE4BA6">
              <w:rPr>
                <w:rFonts w:eastAsia="Calibri"/>
              </w:rPr>
              <w:t>правосуддя</w:t>
            </w:r>
            <w:proofErr w:type="spellEnd"/>
          </w:p>
        </w:tc>
        <w:tc>
          <w:tcPr>
            <w:tcW w:w="6981" w:type="dxa"/>
          </w:tcPr>
          <w:p w:rsidR="00AC499C" w:rsidRPr="00EE4BA6" w:rsidRDefault="00AC499C" w:rsidP="000303D7">
            <w:pPr>
              <w:numPr>
                <w:ilvl w:val="0"/>
                <w:numId w:val="1"/>
              </w:numPr>
              <w:ind w:left="-38" w:firstLine="142"/>
              <w:contextualSpacing/>
              <w:rPr>
                <w:rFonts w:eastAsia="Calibri"/>
              </w:rPr>
            </w:pPr>
            <w:proofErr w:type="spellStart"/>
            <w:r w:rsidRPr="00EE4BA6">
              <w:rPr>
                <w:rFonts w:eastAsia="Calibri"/>
              </w:rPr>
              <w:t>адміністративні</w:t>
            </w:r>
            <w:proofErr w:type="spellEnd"/>
            <w:r w:rsidRPr="00EE4BA6">
              <w:rPr>
                <w:rFonts w:eastAsia="Calibri"/>
              </w:rPr>
              <w:t xml:space="preserve"> </w:t>
            </w:r>
            <w:proofErr w:type="spellStart"/>
            <w:r w:rsidRPr="00EE4BA6">
              <w:rPr>
                <w:rFonts w:eastAsia="Calibri"/>
              </w:rPr>
              <w:t>будівлі</w:t>
            </w:r>
            <w:proofErr w:type="spellEnd"/>
            <w:r w:rsidRPr="00EE4BA6">
              <w:rPr>
                <w:rFonts w:eastAsia="Calibri"/>
              </w:rPr>
              <w:t xml:space="preserve">, в </w:t>
            </w:r>
            <w:proofErr w:type="spellStart"/>
            <w:r w:rsidRPr="00EE4BA6">
              <w:rPr>
                <w:rFonts w:eastAsia="Calibri"/>
              </w:rPr>
              <w:t>яких</w:t>
            </w:r>
            <w:proofErr w:type="spellEnd"/>
            <w:r w:rsidRPr="00EE4BA6">
              <w:rPr>
                <w:rFonts w:eastAsia="Calibri"/>
              </w:rPr>
              <w:t xml:space="preserve"> </w:t>
            </w:r>
            <w:proofErr w:type="spellStart"/>
            <w:r w:rsidRPr="00EE4BA6">
              <w:rPr>
                <w:rFonts w:eastAsia="Calibri"/>
              </w:rPr>
              <w:t>розміщувалися</w:t>
            </w:r>
            <w:proofErr w:type="spellEnd"/>
            <w:r w:rsidRPr="00EE4BA6">
              <w:rPr>
                <w:rFonts w:eastAsia="Calibri"/>
              </w:rPr>
              <w:t xml:space="preserve"> </w:t>
            </w:r>
            <w:proofErr w:type="spellStart"/>
            <w:r w:rsidRPr="00EE4BA6">
              <w:rPr>
                <w:rFonts w:eastAsia="Calibri"/>
              </w:rPr>
              <w:t>правоохоронні</w:t>
            </w:r>
            <w:proofErr w:type="spellEnd"/>
            <w:r w:rsidRPr="00EE4BA6">
              <w:rPr>
                <w:rFonts w:eastAsia="Calibri"/>
              </w:rPr>
              <w:t xml:space="preserve"> </w:t>
            </w:r>
            <w:proofErr w:type="spellStart"/>
            <w:r w:rsidRPr="00EE4BA6">
              <w:rPr>
                <w:rFonts w:eastAsia="Calibri"/>
              </w:rPr>
              <w:t>органи</w:t>
            </w:r>
            <w:proofErr w:type="spellEnd"/>
            <w:r w:rsidRPr="00EE4BA6">
              <w:rPr>
                <w:rFonts w:eastAsia="Calibri"/>
              </w:rPr>
              <w:t xml:space="preserve">, </w:t>
            </w:r>
            <w:proofErr w:type="spellStart"/>
            <w:r w:rsidRPr="00EE4BA6">
              <w:rPr>
                <w:rFonts w:eastAsia="Calibri"/>
              </w:rPr>
              <w:t>зазнали</w:t>
            </w:r>
            <w:proofErr w:type="spellEnd"/>
            <w:r w:rsidRPr="00EE4BA6">
              <w:rPr>
                <w:rFonts w:eastAsia="Calibri"/>
              </w:rPr>
              <w:t xml:space="preserve"> </w:t>
            </w:r>
            <w:proofErr w:type="spellStart"/>
            <w:r w:rsidRPr="00EE4BA6">
              <w:rPr>
                <w:rFonts w:eastAsia="Calibri"/>
              </w:rPr>
              <w:t>значних</w:t>
            </w:r>
            <w:proofErr w:type="spellEnd"/>
            <w:r w:rsidRPr="00EE4BA6">
              <w:rPr>
                <w:rFonts w:eastAsia="Calibri"/>
              </w:rPr>
              <w:t xml:space="preserve"> </w:t>
            </w:r>
            <w:proofErr w:type="spellStart"/>
            <w:r w:rsidRPr="00EE4BA6">
              <w:rPr>
                <w:rFonts w:eastAsia="Calibri"/>
              </w:rPr>
              <w:t>руйнувань</w:t>
            </w:r>
            <w:proofErr w:type="spellEnd"/>
            <w:r w:rsidRPr="00EE4BA6">
              <w:rPr>
                <w:rFonts w:eastAsia="Calibri"/>
              </w:rPr>
              <w:t xml:space="preserve">, </w:t>
            </w:r>
            <w:proofErr w:type="spellStart"/>
            <w:r w:rsidRPr="00EE4BA6">
              <w:rPr>
                <w:rFonts w:eastAsia="Calibri"/>
              </w:rPr>
              <w:t>пограбувань</w:t>
            </w:r>
            <w:proofErr w:type="spellEnd"/>
            <w:r w:rsidRPr="00EE4BA6">
              <w:rPr>
                <w:rFonts w:eastAsia="Calibri"/>
              </w:rPr>
              <w:t>;</w:t>
            </w:r>
          </w:p>
          <w:p w:rsidR="00AC499C" w:rsidRPr="00EE4BA6" w:rsidRDefault="00AC499C" w:rsidP="000303D7">
            <w:pPr>
              <w:numPr>
                <w:ilvl w:val="0"/>
                <w:numId w:val="1"/>
              </w:numPr>
              <w:ind w:left="-38" w:firstLine="142"/>
              <w:contextualSpacing/>
              <w:rPr>
                <w:rFonts w:eastAsia="Calibri"/>
              </w:rPr>
            </w:pPr>
            <w:proofErr w:type="spellStart"/>
            <w:r w:rsidRPr="00EE4BA6">
              <w:rPr>
                <w:rFonts w:eastAsia="Calibri"/>
              </w:rPr>
              <w:lastRenderedPageBreak/>
              <w:t>більшість</w:t>
            </w:r>
            <w:proofErr w:type="spellEnd"/>
            <w:r w:rsidRPr="00EE4BA6">
              <w:rPr>
                <w:rFonts w:eastAsia="Calibri"/>
              </w:rPr>
              <w:t xml:space="preserve"> таких </w:t>
            </w:r>
            <w:proofErr w:type="spellStart"/>
            <w:r w:rsidRPr="00EE4BA6">
              <w:rPr>
                <w:rFonts w:eastAsia="Calibri"/>
              </w:rPr>
              <w:t>будівель</w:t>
            </w:r>
            <w:proofErr w:type="spellEnd"/>
            <w:r w:rsidRPr="00EE4BA6">
              <w:rPr>
                <w:rFonts w:eastAsia="Calibri"/>
              </w:rPr>
              <w:t xml:space="preserve"> </w:t>
            </w:r>
            <w:proofErr w:type="spellStart"/>
            <w:r w:rsidRPr="00EE4BA6">
              <w:rPr>
                <w:rFonts w:eastAsia="Calibri"/>
              </w:rPr>
              <w:t>перебували</w:t>
            </w:r>
            <w:proofErr w:type="spellEnd"/>
            <w:r w:rsidRPr="00EE4BA6">
              <w:rPr>
                <w:rFonts w:eastAsia="Calibri"/>
              </w:rPr>
              <w:t xml:space="preserve"> в </w:t>
            </w:r>
            <w:proofErr w:type="spellStart"/>
            <w:r w:rsidRPr="00EE4BA6">
              <w:rPr>
                <w:rFonts w:eastAsia="Calibri"/>
              </w:rPr>
              <w:t>комунальній</w:t>
            </w:r>
            <w:proofErr w:type="spellEnd"/>
            <w:r w:rsidRPr="00EE4BA6">
              <w:rPr>
                <w:rFonts w:eastAsia="Calibri"/>
              </w:rPr>
              <w:t xml:space="preserve"> </w:t>
            </w:r>
            <w:proofErr w:type="spellStart"/>
            <w:r w:rsidRPr="00EE4BA6">
              <w:rPr>
                <w:rFonts w:eastAsia="Calibri"/>
              </w:rPr>
              <w:t>власності</w:t>
            </w:r>
            <w:proofErr w:type="spellEnd"/>
            <w:r w:rsidRPr="00EE4BA6">
              <w:rPr>
                <w:rFonts w:eastAsia="Calibri"/>
              </w:rPr>
              <w:t xml:space="preserve"> та </w:t>
            </w:r>
            <w:proofErr w:type="spellStart"/>
            <w:r w:rsidRPr="00EE4BA6">
              <w:rPr>
                <w:rFonts w:eastAsia="Calibri"/>
              </w:rPr>
              <w:t>надавалися</w:t>
            </w:r>
            <w:proofErr w:type="spellEnd"/>
            <w:r w:rsidRPr="00EE4BA6">
              <w:rPr>
                <w:rFonts w:eastAsia="Calibri"/>
              </w:rPr>
              <w:t xml:space="preserve"> </w:t>
            </w:r>
            <w:proofErr w:type="spellStart"/>
            <w:r w:rsidRPr="00EE4BA6">
              <w:rPr>
                <w:rFonts w:eastAsia="Calibri"/>
              </w:rPr>
              <w:t>правоохоронним</w:t>
            </w:r>
            <w:proofErr w:type="spellEnd"/>
            <w:r w:rsidRPr="00EE4BA6">
              <w:rPr>
                <w:rFonts w:eastAsia="Calibri"/>
              </w:rPr>
              <w:t xml:space="preserve"> </w:t>
            </w:r>
            <w:proofErr w:type="spellStart"/>
            <w:r w:rsidRPr="00EE4BA6">
              <w:rPr>
                <w:rFonts w:eastAsia="Calibri"/>
              </w:rPr>
              <w:t>організаціям</w:t>
            </w:r>
            <w:proofErr w:type="spellEnd"/>
            <w:r w:rsidRPr="00EE4BA6">
              <w:rPr>
                <w:rFonts w:eastAsia="Calibri"/>
              </w:rPr>
              <w:t xml:space="preserve"> в </w:t>
            </w:r>
            <w:proofErr w:type="spellStart"/>
            <w:r w:rsidRPr="00EE4BA6">
              <w:rPr>
                <w:rFonts w:eastAsia="Calibri"/>
              </w:rPr>
              <w:t>оренду</w:t>
            </w:r>
            <w:proofErr w:type="spellEnd"/>
            <w:r w:rsidRPr="00EE4BA6">
              <w:rPr>
                <w:rFonts w:eastAsia="Calibri"/>
              </w:rPr>
              <w:t>;</w:t>
            </w:r>
          </w:p>
          <w:p w:rsidR="00AC499C" w:rsidRPr="00EE4BA6" w:rsidRDefault="00AC499C" w:rsidP="000303D7">
            <w:pPr>
              <w:numPr>
                <w:ilvl w:val="0"/>
                <w:numId w:val="1"/>
              </w:numPr>
              <w:ind w:left="-38" w:firstLine="142"/>
              <w:contextualSpacing/>
              <w:rPr>
                <w:rFonts w:eastAsia="Calibri"/>
              </w:rPr>
            </w:pPr>
            <w:proofErr w:type="spellStart"/>
            <w:r w:rsidRPr="00EE4BA6">
              <w:rPr>
                <w:rFonts w:eastAsia="Calibri"/>
              </w:rPr>
              <w:t>відсутність</w:t>
            </w:r>
            <w:proofErr w:type="spellEnd"/>
            <w:r w:rsidRPr="00EE4BA6">
              <w:rPr>
                <w:rFonts w:eastAsia="Calibri"/>
              </w:rPr>
              <w:t xml:space="preserve"> </w:t>
            </w:r>
            <w:proofErr w:type="spellStart"/>
            <w:r w:rsidRPr="00EE4BA6">
              <w:rPr>
                <w:rFonts w:eastAsia="Calibri"/>
              </w:rPr>
              <w:t>нежитлових</w:t>
            </w:r>
            <w:proofErr w:type="spellEnd"/>
            <w:r w:rsidRPr="00EE4BA6">
              <w:rPr>
                <w:rFonts w:eastAsia="Calibri"/>
              </w:rPr>
              <w:t xml:space="preserve"> </w:t>
            </w:r>
            <w:proofErr w:type="spellStart"/>
            <w:r w:rsidRPr="00EE4BA6">
              <w:rPr>
                <w:rFonts w:eastAsia="Calibri"/>
              </w:rPr>
              <w:t>приміщень</w:t>
            </w:r>
            <w:proofErr w:type="spellEnd"/>
            <w:r w:rsidRPr="00EE4BA6">
              <w:rPr>
                <w:rFonts w:eastAsia="Calibri"/>
              </w:rPr>
              <w:t xml:space="preserve"> </w:t>
            </w:r>
            <w:proofErr w:type="spellStart"/>
            <w:r w:rsidRPr="00EE4BA6">
              <w:rPr>
                <w:rFonts w:eastAsia="Calibri"/>
              </w:rPr>
              <w:t>комунальної</w:t>
            </w:r>
            <w:proofErr w:type="spellEnd"/>
            <w:r w:rsidRPr="00EE4BA6">
              <w:rPr>
                <w:rFonts w:eastAsia="Calibri"/>
              </w:rPr>
              <w:t xml:space="preserve"> </w:t>
            </w:r>
            <w:proofErr w:type="spellStart"/>
            <w:r w:rsidRPr="00EE4BA6">
              <w:rPr>
                <w:rFonts w:eastAsia="Calibri"/>
              </w:rPr>
              <w:t>власності</w:t>
            </w:r>
            <w:proofErr w:type="spellEnd"/>
            <w:r w:rsidRPr="00EE4BA6">
              <w:rPr>
                <w:rFonts w:eastAsia="Calibri"/>
              </w:rPr>
              <w:t xml:space="preserve">, </w:t>
            </w:r>
            <w:proofErr w:type="spellStart"/>
            <w:r w:rsidRPr="00EE4BA6">
              <w:rPr>
                <w:rFonts w:eastAsia="Calibri"/>
              </w:rPr>
              <w:t>готових</w:t>
            </w:r>
            <w:proofErr w:type="spellEnd"/>
            <w:r w:rsidRPr="00EE4BA6">
              <w:rPr>
                <w:rFonts w:eastAsia="Calibri"/>
              </w:rPr>
              <w:t xml:space="preserve"> до </w:t>
            </w:r>
            <w:proofErr w:type="spellStart"/>
            <w:r w:rsidRPr="00EE4BA6">
              <w:rPr>
                <w:rFonts w:eastAsia="Calibri"/>
              </w:rPr>
              <w:t>розміщення</w:t>
            </w:r>
            <w:proofErr w:type="spellEnd"/>
            <w:r w:rsidRPr="00EE4BA6">
              <w:rPr>
                <w:rFonts w:eastAsia="Calibri"/>
              </w:rPr>
              <w:t xml:space="preserve"> </w:t>
            </w:r>
            <w:proofErr w:type="spellStart"/>
            <w:r w:rsidRPr="00EE4BA6">
              <w:rPr>
                <w:rFonts w:eastAsia="Calibri"/>
              </w:rPr>
              <w:t>даних</w:t>
            </w:r>
            <w:proofErr w:type="spellEnd"/>
            <w:r w:rsidRPr="00EE4BA6">
              <w:rPr>
                <w:rFonts w:eastAsia="Calibri"/>
              </w:rPr>
              <w:t xml:space="preserve"> </w:t>
            </w:r>
            <w:proofErr w:type="spellStart"/>
            <w:r w:rsidRPr="00EE4BA6">
              <w:rPr>
                <w:rFonts w:eastAsia="Calibri"/>
              </w:rPr>
              <w:t>установ</w:t>
            </w:r>
            <w:proofErr w:type="spellEnd"/>
            <w:r w:rsidRPr="00EE4BA6">
              <w:rPr>
                <w:rFonts w:eastAsia="Calibri"/>
              </w:rPr>
              <w:t>;</w:t>
            </w:r>
          </w:p>
          <w:p w:rsidR="00AC499C" w:rsidRPr="00EE4BA6" w:rsidRDefault="00AC499C" w:rsidP="000303D7">
            <w:pPr>
              <w:numPr>
                <w:ilvl w:val="0"/>
                <w:numId w:val="1"/>
              </w:numPr>
              <w:ind w:left="-38" w:firstLine="142"/>
              <w:contextualSpacing/>
              <w:rPr>
                <w:rFonts w:eastAsia="Calibri"/>
              </w:rPr>
            </w:pPr>
            <w:proofErr w:type="spellStart"/>
            <w:r w:rsidRPr="00EE4BA6">
              <w:rPr>
                <w:rFonts w:eastAsia="Calibri"/>
              </w:rPr>
              <w:t>готовність</w:t>
            </w:r>
            <w:proofErr w:type="spellEnd"/>
            <w:r w:rsidRPr="00EE4BA6">
              <w:rPr>
                <w:rFonts w:eastAsia="Calibri"/>
              </w:rPr>
              <w:t xml:space="preserve"> до </w:t>
            </w:r>
            <w:proofErr w:type="spellStart"/>
            <w:r w:rsidRPr="00EE4BA6">
              <w:rPr>
                <w:rFonts w:eastAsia="Calibri"/>
              </w:rPr>
              <w:t>надання</w:t>
            </w:r>
            <w:proofErr w:type="spellEnd"/>
            <w:r w:rsidRPr="00EE4BA6">
              <w:rPr>
                <w:rFonts w:eastAsia="Calibri"/>
              </w:rPr>
              <w:t xml:space="preserve"> </w:t>
            </w:r>
            <w:proofErr w:type="spellStart"/>
            <w:r w:rsidRPr="00EE4BA6">
              <w:rPr>
                <w:rFonts w:eastAsia="Calibri"/>
              </w:rPr>
              <w:t>послуг</w:t>
            </w:r>
            <w:proofErr w:type="spellEnd"/>
            <w:r w:rsidRPr="00EE4BA6">
              <w:rPr>
                <w:rFonts w:eastAsia="Calibri"/>
              </w:rPr>
              <w:t xml:space="preserve"> ___ %;</w:t>
            </w:r>
          </w:p>
          <w:p w:rsidR="00AC499C" w:rsidRPr="00EE4BA6" w:rsidRDefault="00AC499C" w:rsidP="000303D7">
            <w:pPr>
              <w:numPr>
                <w:ilvl w:val="0"/>
                <w:numId w:val="1"/>
              </w:numPr>
              <w:ind w:left="-38" w:firstLine="142"/>
              <w:contextualSpacing/>
              <w:rPr>
                <w:rFonts w:eastAsia="Calibri"/>
              </w:rPr>
            </w:pPr>
            <w:proofErr w:type="spellStart"/>
            <w:r w:rsidRPr="00EE4BA6">
              <w:rPr>
                <w:rFonts w:eastAsia="Calibri"/>
              </w:rPr>
              <w:t>завдані</w:t>
            </w:r>
            <w:proofErr w:type="spellEnd"/>
            <w:r w:rsidRPr="00EE4BA6">
              <w:rPr>
                <w:rFonts w:eastAsia="Calibri"/>
              </w:rPr>
              <w:t xml:space="preserve"> </w:t>
            </w:r>
            <w:proofErr w:type="spellStart"/>
            <w:r w:rsidRPr="00EE4BA6">
              <w:rPr>
                <w:rFonts w:eastAsia="Calibri"/>
              </w:rPr>
              <w:t>збитки</w:t>
            </w:r>
            <w:proofErr w:type="spellEnd"/>
            <w:r w:rsidRPr="00EE4BA6">
              <w:rPr>
                <w:rFonts w:eastAsia="Calibri"/>
              </w:rPr>
              <w:t xml:space="preserve"> ______.</w:t>
            </w:r>
          </w:p>
        </w:tc>
      </w:tr>
      <w:tr w:rsidR="00AC499C" w:rsidRPr="00EE4BA6" w:rsidTr="00524DBF">
        <w:tc>
          <w:tcPr>
            <w:tcW w:w="2590" w:type="dxa"/>
          </w:tcPr>
          <w:p w:rsidR="00AC499C" w:rsidRPr="00EE4BA6" w:rsidRDefault="00AC499C" w:rsidP="00524DBF">
            <w:pPr>
              <w:rPr>
                <w:rFonts w:eastAsia="Calibri"/>
              </w:rPr>
            </w:pPr>
            <w:proofErr w:type="spellStart"/>
            <w:r w:rsidRPr="00EE4BA6">
              <w:rPr>
                <w:rFonts w:eastAsia="Calibri"/>
              </w:rPr>
              <w:lastRenderedPageBreak/>
              <w:t>Цивільний</w:t>
            </w:r>
            <w:proofErr w:type="spellEnd"/>
            <w:r w:rsidRPr="00EE4BA6">
              <w:rPr>
                <w:rFonts w:eastAsia="Calibri"/>
              </w:rPr>
              <w:t xml:space="preserve"> </w:t>
            </w:r>
            <w:proofErr w:type="spellStart"/>
            <w:r w:rsidRPr="00EE4BA6">
              <w:rPr>
                <w:rFonts w:eastAsia="Calibri"/>
              </w:rPr>
              <w:t>захист</w:t>
            </w:r>
            <w:proofErr w:type="spellEnd"/>
            <w:r w:rsidRPr="00EE4BA6">
              <w:rPr>
                <w:rFonts w:eastAsia="Calibri"/>
              </w:rPr>
              <w:t xml:space="preserve"> </w:t>
            </w:r>
            <w:proofErr w:type="spellStart"/>
            <w:r w:rsidRPr="00EE4BA6">
              <w:rPr>
                <w:rFonts w:eastAsia="Calibri"/>
              </w:rPr>
              <w:t>населення</w:t>
            </w:r>
            <w:proofErr w:type="spellEnd"/>
            <w:r w:rsidRPr="00EE4BA6">
              <w:rPr>
                <w:rFonts w:eastAsia="Calibri"/>
              </w:rPr>
              <w:t xml:space="preserve"> та </w:t>
            </w:r>
            <w:proofErr w:type="spellStart"/>
            <w:r w:rsidRPr="00EE4BA6">
              <w:rPr>
                <w:rFonts w:eastAsia="Calibri"/>
              </w:rPr>
              <w:t>територій</w:t>
            </w:r>
            <w:proofErr w:type="spellEnd"/>
            <w:r w:rsidRPr="00EE4BA6">
              <w:rPr>
                <w:rFonts w:eastAsia="Calibri"/>
              </w:rPr>
              <w:t xml:space="preserve">, </w:t>
            </w:r>
            <w:proofErr w:type="spellStart"/>
            <w:r w:rsidRPr="00EE4BA6">
              <w:rPr>
                <w:rFonts w:eastAsia="Calibri"/>
              </w:rPr>
              <w:t>служби</w:t>
            </w:r>
            <w:proofErr w:type="spellEnd"/>
            <w:r w:rsidRPr="00EE4BA6">
              <w:rPr>
                <w:rFonts w:eastAsia="Calibri"/>
              </w:rPr>
              <w:t xml:space="preserve"> </w:t>
            </w:r>
            <w:proofErr w:type="spellStart"/>
            <w:r w:rsidRPr="00EE4BA6">
              <w:rPr>
                <w:rFonts w:eastAsia="Calibri"/>
              </w:rPr>
              <w:t>порятунку</w:t>
            </w:r>
            <w:proofErr w:type="spellEnd"/>
          </w:p>
        </w:tc>
        <w:tc>
          <w:tcPr>
            <w:tcW w:w="6981" w:type="dxa"/>
          </w:tcPr>
          <w:p w:rsidR="00AC499C" w:rsidRPr="00EE4BA6" w:rsidRDefault="00AC499C" w:rsidP="000303D7">
            <w:pPr>
              <w:numPr>
                <w:ilvl w:val="0"/>
                <w:numId w:val="1"/>
              </w:numPr>
              <w:ind w:left="-38" w:firstLine="245"/>
              <w:contextualSpacing/>
              <w:rPr>
                <w:rFonts w:eastAsia="Calibri"/>
              </w:rPr>
            </w:pPr>
            <w:proofErr w:type="spellStart"/>
            <w:r w:rsidRPr="00EE4BA6">
              <w:rPr>
                <w:rFonts w:eastAsia="Calibri"/>
              </w:rPr>
              <w:t>низький</w:t>
            </w:r>
            <w:proofErr w:type="spellEnd"/>
            <w:r w:rsidRPr="00EE4BA6">
              <w:rPr>
                <w:rFonts w:eastAsia="Calibri"/>
              </w:rPr>
              <w:t xml:space="preserve"> </w:t>
            </w:r>
            <w:proofErr w:type="spellStart"/>
            <w:r w:rsidRPr="00EE4BA6">
              <w:rPr>
                <w:rFonts w:eastAsia="Calibri"/>
              </w:rPr>
              <w:t>рівень</w:t>
            </w:r>
            <w:proofErr w:type="spellEnd"/>
            <w:r w:rsidRPr="00EE4BA6">
              <w:rPr>
                <w:rFonts w:eastAsia="Calibri"/>
              </w:rPr>
              <w:t xml:space="preserve"> </w:t>
            </w:r>
            <w:proofErr w:type="spellStart"/>
            <w:r w:rsidRPr="00EE4BA6">
              <w:rPr>
                <w:rFonts w:eastAsia="Calibri"/>
              </w:rPr>
              <w:t>наявності</w:t>
            </w:r>
            <w:proofErr w:type="spellEnd"/>
            <w:r w:rsidRPr="00EE4BA6">
              <w:rPr>
                <w:rFonts w:eastAsia="Calibri"/>
              </w:rPr>
              <w:t xml:space="preserve"> та </w:t>
            </w:r>
            <w:proofErr w:type="spellStart"/>
            <w:r w:rsidRPr="00EE4BA6">
              <w:rPr>
                <w:rFonts w:eastAsia="Calibri"/>
              </w:rPr>
              <w:t>належного</w:t>
            </w:r>
            <w:proofErr w:type="spellEnd"/>
            <w:r w:rsidRPr="00EE4BA6">
              <w:rPr>
                <w:rFonts w:eastAsia="Calibri"/>
              </w:rPr>
              <w:t xml:space="preserve"> </w:t>
            </w:r>
            <w:proofErr w:type="spellStart"/>
            <w:r w:rsidRPr="00EE4BA6">
              <w:rPr>
                <w:rFonts w:eastAsia="Calibri"/>
              </w:rPr>
              <w:t>функціонування</w:t>
            </w:r>
            <w:proofErr w:type="spellEnd"/>
            <w:r w:rsidRPr="00EE4BA6">
              <w:rPr>
                <w:rFonts w:eastAsia="Calibri"/>
              </w:rPr>
              <w:t xml:space="preserve"> </w:t>
            </w:r>
            <w:proofErr w:type="spellStart"/>
            <w:r w:rsidRPr="00EE4BA6">
              <w:rPr>
                <w:rFonts w:eastAsia="Calibri"/>
              </w:rPr>
              <w:t>складових</w:t>
            </w:r>
            <w:proofErr w:type="spellEnd"/>
            <w:r w:rsidRPr="00EE4BA6">
              <w:rPr>
                <w:rFonts w:eastAsia="Calibri"/>
              </w:rPr>
              <w:t xml:space="preserve"> </w:t>
            </w:r>
            <w:proofErr w:type="spellStart"/>
            <w:r w:rsidRPr="00EE4BA6">
              <w:rPr>
                <w:rFonts w:eastAsia="Calibri"/>
              </w:rPr>
              <w:t>цивільного</w:t>
            </w:r>
            <w:proofErr w:type="spellEnd"/>
            <w:r w:rsidRPr="00EE4BA6">
              <w:rPr>
                <w:rFonts w:eastAsia="Calibri"/>
              </w:rPr>
              <w:t xml:space="preserve"> </w:t>
            </w:r>
            <w:proofErr w:type="spellStart"/>
            <w:r w:rsidRPr="00EE4BA6">
              <w:rPr>
                <w:rFonts w:eastAsia="Calibri"/>
              </w:rPr>
              <w:t>захисту</w:t>
            </w:r>
            <w:proofErr w:type="spellEnd"/>
            <w:r w:rsidRPr="00EE4BA6">
              <w:rPr>
                <w:rFonts w:eastAsia="Calibri"/>
              </w:rPr>
              <w:t xml:space="preserve"> (</w:t>
            </w:r>
            <w:proofErr w:type="spellStart"/>
            <w:r w:rsidRPr="00EE4BA6">
              <w:rPr>
                <w:rFonts w:eastAsia="Calibri"/>
              </w:rPr>
              <w:t>бомбосховищ</w:t>
            </w:r>
            <w:proofErr w:type="spellEnd"/>
            <w:r w:rsidRPr="00EE4BA6">
              <w:rPr>
                <w:rFonts w:eastAsia="Calibri"/>
              </w:rPr>
              <w:t>, сирен-</w:t>
            </w:r>
            <w:proofErr w:type="spellStart"/>
            <w:r w:rsidRPr="00EE4BA6">
              <w:rPr>
                <w:rFonts w:eastAsia="Calibri"/>
              </w:rPr>
              <w:t>сповіщень</w:t>
            </w:r>
            <w:proofErr w:type="spellEnd"/>
            <w:r w:rsidRPr="00EE4BA6">
              <w:rPr>
                <w:rFonts w:eastAsia="Calibri"/>
              </w:rPr>
              <w:t xml:space="preserve"> про </w:t>
            </w:r>
            <w:proofErr w:type="spellStart"/>
            <w:r w:rsidRPr="00EE4BA6">
              <w:rPr>
                <w:rFonts w:eastAsia="Calibri"/>
              </w:rPr>
              <w:t>небезпеку</w:t>
            </w:r>
            <w:proofErr w:type="spellEnd"/>
            <w:r w:rsidRPr="00EE4BA6">
              <w:rPr>
                <w:rFonts w:eastAsia="Calibri"/>
              </w:rPr>
              <w:t xml:space="preserve"> </w:t>
            </w:r>
            <w:proofErr w:type="spellStart"/>
            <w:r w:rsidRPr="00EE4BA6">
              <w:rPr>
                <w:rFonts w:eastAsia="Calibri"/>
              </w:rPr>
              <w:t>тощо</w:t>
            </w:r>
            <w:proofErr w:type="spellEnd"/>
            <w:r w:rsidRPr="00EE4BA6">
              <w:rPr>
                <w:rFonts w:eastAsia="Calibri"/>
              </w:rPr>
              <w:t>);</w:t>
            </w:r>
          </w:p>
          <w:p w:rsidR="00AC499C" w:rsidRPr="00EE4BA6" w:rsidRDefault="00AC499C" w:rsidP="000303D7">
            <w:pPr>
              <w:numPr>
                <w:ilvl w:val="0"/>
                <w:numId w:val="1"/>
              </w:numPr>
              <w:ind w:left="-38" w:firstLine="245"/>
              <w:contextualSpacing/>
              <w:rPr>
                <w:rFonts w:eastAsia="Calibri"/>
              </w:rPr>
            </w:pPr>
            <w:proofErr w:type="spellStart"/>
            <w:r w:rsidRPr="00EE4BA6">
              <w:rPr>
                <w:rFonts w:eastAsia="Calibri"/>
              </w:rPr>
              <w:t>значна</w:t>
            </w:r>
            <w:proofErr w:type="spellEnd"/>
            <w:r w:rsidRPr="00EE4BA6">
              <w:rPr>
                <w:rFonts w:eastAsia="Calibri"/>
              </w:rPr>
              <w:t xml:space="preserve"> </w:t>
            </w:r>
            <w:proofErr w:type="spellStart"/>
            <w:r w:rsidRPr="00EE4BA6">
              <w:rPr>
                <w:rFonts w:eastAsia="Calibri"/>
              </w:rPr>
              <w:t>руйнація</w:t>
            </w:r>
            <w:proofErr w:type="spellEnd"/>
            <w:r w:rsidRPr="00EE4BA6">
              <w:rPr>
                <w:rFonts w:eastAsia="Calibri"/>
              </w:rPr>
              <w:t xml:space="preserve"> </w:t>
            </w:r>
            <w:proofErr w:type="spellStart"/>
            <w:r w:rsidRPr="00EE4BA6">
              <w:rPr>
                <w:rFonts w:eastAsia="Calibri"/>
              </w:rPr>
              <w:t>складових</w:t>
            </w:r>
            <w:proofErr w:type="spellEnd"/>
            <w:r w:rsidRPr="00EE4BA6">
              <w:rPr>
                <w:rFonts w:eastAsia="Calibri"/>
              </w:rPr>
              <w:t xml:space="preserve"> </w:t>
            </w:r>
            <w:proofErr w:type="spellStart"/>
            <w:r w:rsidRPr="00EE4BA6">
              <w:rPr>
                <w:rFonts w:eastAsia="Calibri"/>
              </w:rPr>
              <w:t>цивільного</w:t>
            </w:r>
            <w:proofErr w:type="spellEnd"/>
            <w:r w:rsidRPr="00EE4BA6">
              <w:rPr>
                <w:rFonts w:eastAsia="Calibri"/>
              </w:rPr>
              <w:t xml:space="preserve"> </w:t>
            </w:r>
            <w:proofErr w:type="spellStart"/>
            <w:r w:rsidRPr="00EE4BA6">
              <w:rPr>
                <w:rFonts w:eastAsia="Calibri"/>
              </w:rPr>
              <w:t>захисту</w:t>
            </w:r>
            <w:proofErr w:type="spellEnd"/>
            <w:r w:rsidRPr="00EE4BA6">
              <w:rPr>
                <w:rFonts w:eastAsia="Calibri"/>
              </w:rPr>
              <w:t>;</w:t>
            </w:r>
          </w:p>
          <w:p w:rsidR="00AC499C" w:rsidRPr="00EE4BA6" w:rsidRDefault="00AC499C" w:rsidP="000303D7">
            <w:pPr>
              <w:numPr>
                <w:ilvl w:val="0"/>
                <w:numId w:val="1"/>
              </w:numPr>
              <w:ind w:left="-38" w:firstLine="245"/>
              <w:contextualSpacing/>
              <w:rPr>
                <w:rFonts w:eastAsia="Calibri"/>
              </w:rPr>
            </w:pPr>
            <w:proofErr w:type="spellStart"/>
            <w:r w:rsidRPr="00EE4BA6">
              <w:rPr>
                <w:rFonts w:eastAsia="Calibri"/>
              </w:rPr>
              <w:t>матеріально-технічна</w:t>
            </w:r>
            <w:proofErr w:type="spellEnd"/>
            <w:r w:rsidRPr="00EE4BA6">
              <w:rPr>
                <w:rFonts w:eastAsia="Calibri"/>
              </w:rPr>
              <w:t xml:space="preserve"> база служб </w:t>
            </w:r>
            <w:proofErr w:type="spellStart"/>
            <w:r w:rsidRPr="00EE4BA6">
              <w:rPr>
                <w:rFonts w:eastAsia="Calibri"/>
              </w:rPr>
              <w:t>порятунку</w:t>
            </w:r>
            <w:proofErr w:type="spellEnd"/>
            <w:r w:rsidRPr="00EE4BA6">
              <w:rPr>
                <w:rFonts w:eastAsia="Calibri"/>
              </w:rPr>
              <w:t xml:space="preserve">, </w:t>
            </w:r>
            <w:proofErr w:type="spellStart"/>
            <w:r w:rsidRPr="00EE4BA6">
              <w:rPr>
                <w:rFonts w:eastAsia="Calibri"/>
              </w:rPr>
              <w:t>наявна</w:t>
            </w:r>
            <w:proofErr w:type="spellEnd"/>
            <w:r w:rsidRPr="00EE4BA6">
              <w:rPr>
                <w:rFonts w:eastAsia="Calibri"/>
              </w:rPr>
              <w:t xml:space="preserve"> до 24.02.202</w:t>
            </w:r>
            <w:r w:rsidR="00036411">
              <w:rPr>
                <w:rFonts w:eastAsia="Calibri"/>
              </w:rPr>
              <w:t>2</w:t>
            </w:r>
            <w:r w:rsidRPr="00EE4BA6">
              <w:rPr>
                <w:rFonts w:eastAsia="Calibri"/>
              </w:rPr>
              <w:t xml:space="preserve">, </w:t>
            </w:r>
            <w:proofErr w:type="spellStart"/>
            <w:r w:rsidRPr="00EE4BA6">
              <w:rPr>
                <w:rFonts w:eastAsia="Calibri"/>
              </w:rPr>
              <w:t>розграбована</w:t>
            </w:r>
            <w:proofErr w:type="spellEnd"/>
            <w:r w:rsidRPr="00EE4BA6">
              <w:rPr>
                <w:rFonts w:eastAsia="Calibri"/>
              </w:rPr>
              <w:t xml:space="preserve"> та </w:t>
            </w:r>
            <w:proofErr w:type="spellStart"/>
            <w:r w:rsidRPr="00EE4BA6">
              <w:rPr>
                <w:rFonts w:eastAsia="Calibri"/>
              </w:rPr>
              <w:t>знищена</w:t>
            </w:r>
            <w:proofErr w:type="spellEnd"/>
            <w:r w:rsidRPr="00EE4BA6">
              <w:rPr>
                <w:rFonts w:eastAsia="Calibri"/>
              </w:rPr>
              <w:t>;</w:t>
            </w:r>
          </w:p>
          <w:p w:rsidR="00AC499C" w:rsidRPr="00EE4BA6" w:rsidRDefault="00AC499C" w:rsidP="000303D7">
            <w:pPr>
              <w:numPr>
                <w:ilvl w:val="0"/>
                <w:numId w:val="1"/>
              </w:numPr>
              <w:ind w:left="-38" w:firstLine="245"/>
              <w:contextualSpacing/>
              <w:rPr>
                <w:rFonts w:eastAsia="Calibri"/>
              </w:rPr>
            </w:pPr>
            <w:proofErr w:type="spellStart"/>
            <w:r w:rsidRPr="00EE4BA6">
              <w:rPr>
                <w:rFonts w:eastAsia="Calibri"/>
              </w:rPr>
              <w:t>готовність</w:t>
            </w:r>
            <w:proofErr w:type="spellEnd"/>
            <w:r w:rsidRPr="00EE4BA6">
              <w:rPr>
                <w:rFonts w:eastAsia="Calibri"/>
              </w:rPr>
              <w:t xml:space="preserve"> до </w:t>
            </w:r>
            <w:proofErr w:type="spellStart"/>
            <w:r w:rsidRPr="00EE4BA6">
              <w:rPr>
                <w:rFonts w:eastAsia="Calibri"/>
              </w:rPr>
              <w:t>надання</w:t>
            </w:r>
            <w:proofErr w:type="spellEnd"/>
            <w:r w:rsidRPr="00EE4BA6">
              <w:rPr>
                <w:rFonts w:eastAsia="Calibri"/>
              </w:rPr>
              <w:t xml:space="preserve"> </w:t>
            </w:r>
            <w:proofErr w:type="spellStart"/>
            <w:r w:rsidRPr="00EE4BA6">
              <w:rPr>
                <w:rFonts w:eastAsia="Calibri"/>
              </w:rPr>
              <w:t>послуг</w:t>
            </w:r>
            <w:proofErr w:type="spellEnd"/>
            <w:r w:rsidRPr="00EE4BA6">
              <w:rPr>
                <w:rFonts w:eastAsia="Calibri"/>
              </w:rPr>
              <w:t xml:space="preserve"> ___ %;</w:t>
            </w:r>
          </w:p>
          <w:p w:rsidR="00AC499C" w:rsidRPr="00EE4BA6" w:rsidRDefault="00AC499C" w:rsidP="000303D7">
            <w:pPr>
              <w:numPr>
                <w:ilvl w:val="0"/>
                <w:numId w:val="1"/>
              </w:numPr>
              <w:ind w:left="-38" w:firstLine="245"/>
              <w:contextualSpacing/>
              <w:rPr>
                <w:rFonts w:eastAsia="Calibri"/>
              </w:rPr>
            </w:pPr>
            <w:proofErr w:type="spellStart"/>
            <w:r w:rsidRPr="00EE4BA6">
              <w:rPr>
                <w:rFonts w:eastAsia="Calibri"/>
              </w:rPr>
              <w:t>завдані</w:t>
            </w:r>
            <w:proofErr w:type="spellEnd"/>
            <w:r w:rsidRPr="00EE4BA6">
              <w:rPr>
                <w:rFonts w:eastAsia="Calibri"/>
              </w:rPr>
              <w:t xml:space="preserve"> </w:t>
            </w:r>
            <w:proofErr w:type="spellStart"/>
            <w:r w:rsidRPr="00EE4BA6">
              <w:rPr>
                <w:rFonts w:eastAsia="Calibri"/>
              </w:rPr>
              <w:t>збитки</w:t>
            </w:r>
            <w:proofErr w:type="spellEnd"/>
            <w:r w:rsidRPr="00EE4BA6">
              <w:rPr>
                <w:rFonts w:eastAsia="Calibri"/>
              </w:rPr>
              <w:t xml:space="preserve"> ______.</w:t>
            </w:r>
          </w:p>
        </w:tc>
      </w:tr>
      <w:tr w:rsidR="00AC499C" w:rsidRPr="00EE4BA6" w:rsidTr="00524DBF">
        <w:tc>
          <w:tcPr>
            <w:tcW w:w="2590" w:type="dxa"/>
          </w:tcPr>
          <w:p w:rsidR="00AC499C" w:rsidRPr="00EE4BA6" w:rsidRDefault="00AC499C" w:rsidP="00524DBF">
            <w:pPr>
              <w:rPr>
                <w:rFonts w:eastAsia="Calibri"/>
              </w:rPr>
            </w:pPr>
            <w:proofErr w:type="spellStart"/>
            <w:r w:rsidRPr="00EE4BA6">
              <w:rPr>
                <w:rFonts w:eastAsia="Calibri"/>
              </w:rPr>
              <w:t>Освіта</w:t>
            </w:r>
            <w:proofErr w:type="spellEnd"/>
          </w:p>
        </w:tc>
        <w:tc>
          <w:tcPr>
            <w:tcW w:w="6981" w:type="dxa"/>
          </w:tcPr>
          <w:p w:rsidR="00AC499C" w:rsidRPr="00EE4BA6" w:rsidRDefault="00AC499C" w:rsidP="000303D7">
            <w:pPr>
              <w:numPr>
                <w:ilvl w:val="0"/>
                <w:numId w:val="1"/>
              </w:numPr>
              <w:ind w:left="-38" w:firstLine="142"/>
              <w:contextualSpacing/>
              <w:rPr>
                <w:rFonts w:eastAsia="Calibri"/>
                <w:lang w:val="uk-UA"/>
              </w:rPr>
            </w:pPr>
            <w:r w:rsidRPr="00EE4BA6">
              <w:rPr>
                <w:rFonts w:eastAsia="Calibri"/>
                <w:lang w:val="uk-UA"/>
              </w:rPr>
              <w:t>повністю зруйновано __ заклад</w:t>
            </w:r>
            <w:r w:rsidR="001F4974">
              <w:rPr>
                <w:rFonts w:eastAsia="Calibri"/>
                <w:lang w:val="uk-UA"/>
              </w:rPr>
              <w:t>ів</w:t>
            </w:r>
            <w:r w:rsidRPr="00EE4BA6">
              <w:rPr>
                <w:rFonts w:eastAsia="Calibri"/>
                <w:lang w:val="uk-UA"/>
              </w:rPr>
              <w:t xml:space="preserve"> освіти;</w:t>
            </w:r>
          </w:p>
          <w:p w:rsidR="00AC499C" w:rsidRPr="00EE4BA6" w:rsidRDefault="00AC499C" w:rsidP="000303D7">
            <w:pPr>
              <w:numPr>
                <w:ilvl w:val="0"/>
                <w:numId w:val="1"/>
              </w:numPr>
              <w:ind w:left="-38" w:firstLine="142"/>
              <w:contextualSpacing/>
              <w:rPr>
                <w:rFonts w:eastAsia="Calibri"/>
                <w:lang w:val="uk-UA"/>
              </w:rPr>
            </w:pPr>
            <w:r w:rsidRPr="00EE4BA6">
              <w:rPr>
                <w:rFonts w:eastAsia="Calibri"/>
                <w:lang w:val="uk-UA"/>
              </w:rPr>
              <w:t>частково пошкоджено ___ заклад</w:t>
            </w:r>
            <w:r w:rsidR="001F4974">
              <w:rPr>
                <w:rFonts w:eastAsia="Calibri"/>
                <w:lang w:val="uk-UA"/>
              </w:rPr>
              <w:t>ів</w:t>
            </w:r>
            <w:r w:rsidRPr="00EE4BA6">
              <w:rPr>
                <w:rFonts w:eastAsia="Calibri"/>
                <w:lang w:val="uk-UA"/>
              </w:rPr>
              <w:t xml:space="preserve"> освіти;</w:t>
            </w:r>
          </w:p>
          <w:p w:rsidR="00AC499C" w:rsidRPr="00EE4BA6" w:rsidRDefault="00AC499C" w:rsidP="000303D7">
            <w:pPr>
              <w:numPr>
                <w:ilvl w:val="0"/>
                <w:numId w:val="1"/>
              </w:numPr>
              <w:ind w:left="-38" w:firstLine="142"/>
              <w:contextualSpacing/>
              <w:rPr>
                <w:rFonts w:eastAsia="Calibri"/>
                <w:lang w:val="uk-UA"/>
              </w:rPr>
            </w:pPr>
            <w:r w:rsidRPr="00EE4BA6">
              <w:rPr>
                <w:rFonts w:eastAsia="Calibri"/>
                <w:shd w:val="clear" w:color="auto" w:fill="FFFFFF"/>
                <w:lang w:val="uk-UA"/>
              </w:rPr>
              <w:t>майже все майно закладів освіти було втрачено і потребує оновлення;</w:t>
            </w:r>
          </w:p>
          <w:p w:rsidR="00AC499C" w:rsidRPr="00EE4BA6" w:rsidRDefault="00AC499C" w:rsidP="000303D7">
            <w:pPr>
              <w:numPr>
                <w:ilvl w:val="0"/>
                <w:numId w:val="1"/>
              </w:numPr>
              <w:ind w:left="-38" w:firstLine="142"/>
              <w:contextualSpacing/>
              <w:rPr>
                <w:rFonts w:eastAsia="Calibri"/>
                <w:lang w:val="uk-UA"/>
              </w:rPr>
            </w:pPr>
            <w:r w:rsidRPr="00EE4BA6">
              <w:rPr>
                <w:rFonts w:eastAsia="Calibri"/>
                <w:shd w:val="clear" w:color="auto" w:fill="FFFFFF"/>
                <w:lang w:val="uk-UA"/>
              </w:rPr>
              <w:t xml:space="preserve"> заклади освіти і установи зазнали значних пошкоджень та руйнувань і потребують часткового або повного відновлення чи відбудови, нового оснащення, деякі будівлі необхідно буде демонтувати;</w:t>
            </w:r>
          </w:p>
          <w:p w:rsidR="00AC499C" w:rsidRPr="00EE4BA6" w:rsidRDefault="00AC499C" w:rsidP="000303D7">
            <w:pPr>
              <w:numPr>
                <w:ilvl w:val="0"/>
                <w:numId w:val="1"/>
              </w:numPr>
              <w:ind w:left="-38" w:firstLine="142"/>
              <w:contextualSpacing/>
              <w:rPr>
                <w:rFonts w:eastAsia="Calibri"/>
                <w:lang w:val="uk-UA"/>
              </w:rPr>
            </w:pPr>
            <w:r w:rsidRPr="00EE4BA6">
              <w:rPr>
                <w:rFonts w:eastAsia="Calibri"/>
                <w:shd w:val="clear" w:color="auto" w:fill="FFFFFF"/>
                <w:lang w:val="uk-UA"/>
              </w:rPr>
              <w:t>відновленню підлягають 45 закладів освіти;</w:t>
            </w:r>
          </w:p>
          <w:p w:rsidR="00AC499C" w:rsidRPr="00EE4BA6" w:rsidRDefault="00AC499C" w:rsidP="000303D7">
            <w:pPr>
              <w:numPr>
                <w:ilvl w:val="0"/>
                <w:numId w:val="1"/>
              </w:numPr>
              <w:ind w:left="-38" w:firstLine="142"/>
              <w:contextualSpacing/>
              <w:rPr>
                <w:rFonts w:eastAsia="Calibri"/>
                <w:lang w:val="uk-UA"/>
              </w:rPr>
            </w:pPr>
            <w:r w:rsidRPr="00EE4BA6">
              <w:rPr>
                <w:rFonts w:eastAsia="Calibri"/>
                <w:lang w:val="uk-UA"/>
              </w:rPr>
              <w:t>забезпеченість спеціалістами _____ %</w:t>
            </w:r>
          </w:p>
          <w:p w:rsidR="00AC499C" w:rsidRPr="00EE4BA6" w:rsidRDefault="00AC499C" w:rsidP="000303D7">
            <w:pPr>
              <w:numPr>
                <w:ilvl w:val="0"/>
                <w:numId w:val="1"/>
              </w:numPr>
              <w:ind w:left="-38" w:firstLine="142"/>
              <w:contextualSpacing/>
              <w:rPr>
                <w:rFonts w:eastAsia="Calibri"/>
                <w:lang w:val="uk-UA"/>
              </w:rPr>
            </w:pPr>
            <w:r w:rsidRPr="00EE4BA6">
              <w:rPr>
                <w:rFonts w:eastAsia="Calibri"/>
                <w:lang w:val="uk-UA"/>
              </w:rPr>
              <w:t>готовність до надання послуг _____ %</w:t>
            </w:r>
          </w:p>
          <w:p w:rsidR="00AC499C" w:rsidRPr="00EE4BA6" w:rsidRDefault="00AC499C" w:rsidP="000303D7">
            <w:pPr>
              <w:numPr>
                <w:ilvl w:val="0"/>
                <w:numId w:val="1"/>
              </w:numPr>
              <w:ind w:left="-38" w:firstLine="142"/>
              <w:contextualSpacing/>
              <w:rPr>
                <w:rFonts w:eastAsia="Calibri"/>
              </w:rPr>
            </w:pPr>
            <w:r w:rsidRPr="00EE4BA6">
              <w:rPr>
                <w:rFonts w:eastAsia="Calibri"/>
                <w:lang w:val="uk-UA"/>
              </w:rPr>
              <w:t>завдані збитки ______.</w:t>
            </w:r>
          </w:p>
        </w:tc>
      </w:tr>
      <w:tr w:rsidR="00AC499C" w:rsidRPr="00EE4BA6" w:rsidTr="00524DBF">
        <w:tc>
          <w:tcPr>
            <w:tcW w:w="2590" w:type="dxa"/>
          </w:tcPr>
          <w:p w:rsidR="00AC499C" w:rsidRPr="00EE4BA6" w:rsidRDefault="00AC499C" w:rsidP="00524DBF">
            <w:pPr>
              <w:rPr>
                <w:rFonts w:eastAsia="Calibri"/>
              </w:rPr>
            </w:pPr>
            <w:r w:rsidRPr="00EE4BA6">
              <w:rPr>
                <w:rFonts w:eastAsia="Calibri"/>
              </w:rPr>
              <w:t>Культура</w:t>
            </w:r>
          </w:p>
        </w:tc>
        <w:tc>
          <w:tcPr>
            <w:tcW w:w="6981" w:type="dxa"/>
          </w:tcPr>
          <w:p w:rsidR="00AC499C" w:rsidRPr="00EE4BA6" w:rsidRDefault="00AC499C" w:rsidP="000303D7">
            <w:pPr>
              <w:numPr>
                <w:ilvl w:val="0"/>
                <w:numId w:val="1"/>
              </w:numPr>
              <w:ind w:left="-38" w:firstLine="142"/>
              <w:contextualSpacing/>
              <w:rPr>
                <w:rFonts w:eastAsia="Calibri"/>
              </w:rPr>
            </w:pPr>
            <w:proofErr w:type="spellStart"/>
            <w:r w:rsidRPr="00EE4BA6">
              <w:rPr>
                <w:rFonts w:eastAsia="Calibri"/>
              </w:rPr>
              <w:t>повністю</w:t>
            </w:r>
            <w:proofErr w:type="spellEnd"/>
            <w:r w:rsidRPr="00EE4BA6">
              <w:rPr>
                <w:rFonts w:eastAsia="Calibri"/>
              </w:rPr>
              <w:t xml:space="preserve"> </w:t>
            </w:r>
            <w:proofErr w:type="spellStart"/>
            <w:r w:rsidRPr="00EE4BA6">
              <w:rPr>
                <w:rFonts w:eastAsia="Calibri"/>
              </w:rPr>
              <w:t>зруйновано</w:t>
            </w:r>
            <w:proofErr w:type="spellEnd"/>
            <w:r w:rsidRPr="00EE4BA6">
              <w:rPr>
                <w:rFonts w:eastAsia="Calibri"/>
              </w:rPr>
              <w:t xml:space="preserve"> 2 </w:t>
            </w:r>
            <w:proofErr w:type="spellStart"/>
            <w:r w:rsidRPr="00EE4BA6">
              <w:rPr>
                <w:rFonts w:eastAsia="Calibri"/>
              </w:rPr>
              <w:t>заклади</w:t>
            </w:r>
            <w:proofErr w:type="spellEnd"/>
            <w:r w:rsidRPr="00EE4BA6">
              <w:rPr>
                <w:rFonts w:eastAsia="Calibri"/>
              </w:rPr>
              <w:t xml:space="preserve"> </w:t>
            </w:r>
            <w:proofErr w:type="spellStart"/>
            <w:r w:rsidRPr="00EE4BA6">
              <w:rPr>
                <w:rFonts w:eastAsia="Calibri"/>
              </w:rPr>
              <w:t>культури</w:t>
            </w:r>
            <w:proofErr w:type="spellEnd"/>
            <w:r w:rsidRPr="00EE4BA6">
              <w:rPr>
                <w:rFonts w:eastAsia="Calibri"/>
              </w:rPr>
              <w:t>;</w:t>
            </w:r>
          </w:p>
          <w:p w:rsidR="00AC499C" w:rsidRPr="00EE4BA6" w:rsidRDefault="00AC499C" w:rsidP="000303D7">
            <w:pPr>
              <w:numPr>
                <w:ilvl w:val="0"/>
                <w:numId w:val="1"/>
              </w:numPr>
              <w:ind w:left="-38" w:firstLine="142"/>
              <w:contextualSpacing/>
              <w:rPr>
                <w:rFonts w:eastAsia="Calibri"/>
              </w:rPr>
            </w:pPr>
            <w:proofErr w:type="spellStart"/>
            <w:r w:rsidRPr="00EE4BA6">
              <w:rPr>
                <w:rFonts w:eastAsia="Calibri"/>
              </w:rPr>
              <w:t>частково</w:t>
            </w:r>
            <w:proofErr w:type="spellEnd"/>
            <w:r w:rsidRPr="00EE4BA6">
              <w:rPr>
                <w:rFonts w:eastAsia="Calibri"/>
              </w:rPr>
              <w:t xml:space="preserve"> </w:t>
            </w:r>
            <w:proofErr w:type="spellStart"/>
            <w:r w:rsidRPr="00EE4BA6">
              <w:rPr>
                <w:rFonts w:eastAsia="Calibri"/>
              </w:rPr>
              <w:t>пошкоджено</w:t>
            </w:r>
            <w:proofErr w:type="spellEnd"/>
            <w:r w:rsidRPr="00EE4BA6">
              <w:rPr>
                <w:rFonts w:eastAsia="Calibri"/>
              </w:rPr>
              <w:t xml:space="preserve"> 5 </w:t>
            </w:r>
            <w:proofErr w:type="spellStart"/>
            <w:r w:rsidRPr="00EE4BA6">
              <w:rPr>
                <w:rFonts w:eastAsia="Calibri"/>
              </w:rPr>
              <w:t>закладів</w:t>
            </w:r>
            <w:proofErr w:type="spellEnd"/>
            <w:r w:rsidRPr="00EE4BA6">
              <w:rPr>
                <w:rFonts w:eastAsia="Calibri"/>
              </w:rPr>
              <w:t xml:space="preserve"> </w:t>
            </w:r>
            <w:proofErr w:type="spellStart"/>
            <w:r w:rsidRPr="00EE4BA6">
              <w:rPr>
                <w:rFonts w:eastAsia="Calibri"/>
              </w:rPr>
              <w:t>культури</w:t>
            </w:r>
            <w:proofErr w:type="spellEnd"/>
            <w:r w:rsidRPr="00EE4BA6">
              <w:rPr>
                <w:rFonts w:eastAsia="Calibri"/>
              </w:rPr>
              <w:t>;</w:t>
            </w:r>
          </w:p>
          <w:p w:rsidR="00AC499C" w:rsidRPr="00EE4BA6" w:rsidRDefault="00AC499C" w:rsidP="000303D7">
            <w:pPr>
              <w:numPr>
                <w:ilvl w:val="0"/>
                <w:numId w:val="1"/>
              </w:numPr>
              <w:ind w:left="-38" w:firstLine="142"/>
              <w:contextualSpacing/>
              <w:rPr>
                <w:rFonts w:eastAsia="Calibri"/>
              </w:rPr>
            </w:pPr>
            <w:proofErr w:type="spellStart"/>
            <w:r w:rsidRPr="00EE4BA6">
              <w:rPr>
                <w:rFonts w:eastAsia="Calibri"/>
                <w:shd w:val="clear" w:color="auto" w:fill="FFFFFF"/>
              </w:rPr>
              <w:t>втрата</w:t>
            </w:r>
            <w:proofErr w:type="spellEnd"/>
            <w:r w:rsidRPr="00EE4BA6">
              <w:rPr>
                <w:rFonts w:eastAsia="Calibri"/>
                <w:shd w:val="clear" w:color="auto" w:fill="FFFFFF"/>
              </w:rPr>
              <w:t xml:space="preserve"> </w:t>
            </w:r>
            <w:proofErr w:type="spellStart"/>
            <w:r w:rsidRPr="00EE4BA6">
              <w:rPr>
                <w:rFonts w:eastAsia="Calibri"/>
                <w:shd w:val="clear" w:color="auto" w:fill="FFFFFF"/>
              </w:rPr>
              <w:t>матеріально-технічної</w:t>
            </w:r>
            <w:proofErr w:type="spellEnd"/>
            <w:r w:rsidRPr="00EE4BA6">
              <w:rPr>
                <w:rFonts w:eastAsia="Calibri"/>
                <w:shd w:val="clear" w:color="auto" w:fill="FFFFFF"/>
              </w:rPr>
              <w:t xml:space="preserve"> </w:t>
            </w:r>
            <w:proofErr w:type="spellStart"/>
            <w:r w:rsidRPr="00EE4BA6">
              <w:rPr>
                <w:rFonts w:eastAsia="Calibri"/>
                <w:shd w:val="clear" w:color="auto" w:fill="FFFFFF"/>
              </w:rPr>
              <w:t>бази</w:t>
            </w:r>
            <w:proofErr w:type="spellEnd"/>
            <w:r w:rsidRPr="00EE4BA6">
              <w:rPr>
                <w:rFonts w:eastAsia="Calibri"/>
                <w:shd w:val="clear" w:color="auto" w:fill="FFFFFF"/>
              </w:rPr>
              <w:t xml:space="preserve"> </w:t>
            </w:r>
            <w:proofErr w:type="spellStart"/>
            <w:r w:rsidRPr="00EE4BA6">
              <w:rPr>
                <w:rFonts w:eastAsia="Calibri"/>
                <w:shd w:val="clear" w:color="auto" w:fill="FFFFFF"/>
              </w:rPr>
              <w:t>майже</w:t>
            </w:r>
            <w:proofErr w:type="spellEnd"/>
            <w:r w:rsidRPr="00EE4BA6">
              <w:rPr>
                <w:rFonts w:eastAsia="Calibri"/>
                <w:shd w:val="clear" w:color="auto" w:fill="FFFFFF"/>
              </w:rPr>
              <w:t xml:space="preserve"> </w:t>
            </w:r>
            <w:proofErr w:type="spellStart"/>
            <w:r w:rsidRPr="00EE4BA6">
              <w:rPr>
                <w:rFonts w:eastAsia="Calibri"/>
                <w:shd w:val="clear" w:color="auto" w:fill="FFFFFF"/>
              </w:rPr>
              <w:t>стовідсотково</w:t>
            </w:r>
            <w:proofErr w:type="spellEnd"/>
            <w:r w:rsidRPr="00EE4BA6">
              <w:rPr>
                <w:rFonts w:eastAsia="Calibri"/>
                <w:shd w:val="clear" w:color="auto" w:fill="FFFFFF"/>
              </w:rPr>
              <w:t xml:space="preserve"> у </w:t>
            </w:r>
            <w:proofErr w:type="spellStart"/>
            <w:r w:rsidRPr="00EE4BA6">
              <w:rPr>
                <w:rFonts w:eastAsia="Calibri"/>
                <w:shd w:val="clear" w:color="auto" w:fill="FFFFFF"/>
              </w:rPr>
              <w:t>більшості</w:t>
            </w:r>
            <w:proofErr w:type="spellEnd"/>
            <w:r w:rsidRPr="00EE4BA6">
              <w:rPr>
                <w:rFonts w:eastAsia="Calibri"/>
                <w:shd w:val="clear" w:color="auto" w:fill="FFFFFF"/>
              </w:rPr>
              <w:t xml:space="preserve"> </w:t>
            </w:r>
            <w:proofErr w:type="spellStart"/>
            <w:r w:rsidRPr="00EE4BA6">
              <w:rPr>
                <w:rFonts w:eastAsia="Calibri"/>
                <w:shd w:val="clear" w:color="auto" w:fill="FFFFFF"/>
              </w:rPr>
              <w:t>закладів</w:t>
            </w:r>
            <w:proofErr w:type="spellEnd"/>
            <w:r w:rsidRPr="00EE4BA6">
              <w:rPr>
                <w:rFonts w:eastAsia="Calibri"/>
                <w:shd w:val="clear" w:color="auto" w:fill="FFFFFF"/>
              </w:rPr>
              <w:t xml:space="preserve"> </w:t>
            </w:r>
            <w:proofErr w:type="spellStart"/>
            <w:r w:rsidRPr="00EE4BA6">
              <w:rPr>
                <w:rFonts w:eastAsia="Calibri"/>
                <w:shd w:val="clear" w:color="auto" w:fill="FFFFFF"/>
              </w:rPr>
              <w:t>культури</w:t>
            </w:r>
            <w:proofErr w:type="spellEnd"/>
            <w:r w:rsidRPr="00EE4BA6">
              <w:rPr>
                <w:rFonts w:eastAsia="Calibri"/>
                <w:shd w:val="clear" w:color="auto" w:fill="FFFFFF"/>
              </w:rPr>
              <w:t>;</w:t>
            </w:r>
          </w:p>
          <w:p w:rsidR="00AC499C" w:rsidRPr="00EE4BA6" w:rsidRDefault="00AC499C" w:rsidP="000303D7">
            <w:pPr>
              <w:numPr>
                <w:ilvl w:val="0"/>
                <w:numId w:val="1"/>
              </w:numPr>
              <w:ind w:left="-38" w:firstLine="142"/>
              <w:contextualSpacing/>
              <w:rPr>
                <w:rFonts w:eastAsia="Calibri"/>
              </w:rPr>
            </w:pPr>
            <w:proofErr w:type="spellStart"/>
            <w:r w:rsidRPr="00EE4BA6">
              <w:rPr>
                <w:rFonts w:eastAsia="Calibri"/>
                <w:shd w:val="clear" w:color="auto" w:fill="FFFFFF"/>
              </w:rPr>
              <w:t>знищено</w:t>
            </w:r>
            <w:proofErr w:type="spellEnd"/>
            <w:r w:rsidRPr="00EE4BA6">
              <w:rPr>
                <w:rFonts w:eastAsia="Calibri"/>
                <w:shd w:val="clear" w:color="auto" w:fill="FFFFFF"/>
              </w:rPr>
              <w:t xml:space="preserve"> </w:t>
            </w:r>
            <w:proofErr w:type="spellStart"/>
            <w:r w:rsidRPr="00EE4BA6">
              <w:rPr>
                <w:rFonts w:eastAsia="Calibri"/>
                <w:shd w:val="clear" w:color="auto" w:fill="FFFFFF"/>
              </w:rPr>
              <w:t>бібліотечні</w:t>
            </w:r>
            <w:proofErr w:type="spellEnd"/>
            <w:r w:rsidRPr="00EE4BA6">
              <w:rPr>
                <w:rFonts w:eastAsia="Calibri"/>
                <w:shd w:val="clear" w:color="auto" w:fill="FFFFFF"/>
              </w:rPr>
              <w:t xml:space="preserve"> </w:t>
            </w:r>
            <w:proofErr w:type="spellStart"/>
            <w:r w:rsidRPr="00EE4BA6">
              <w:rPr>
                <w:rFonts w:eastAsia="Calibri"/>
                <w:shd w:val="clear" w:color="auto" w:fill="FFFFFF"/>
              </w:rPr>
              <w:t>фонди</w:t>
            </w:r>
            <w:proofErr w:type="spellEnd"/>
            <w:r w:rsidRPr="00EE4BA6">
              <w:rPr>
                <w:rFonts w:eastAsia="Calibri"/>
                <w:shd w:val="clear" w:color="auto" w:fill="FFFFFF"/>
              </w:rPr>
              <w:t xml:space="preserve">, </w:t>
            </w:r>
            <w:proofErr w:type="spellStart"/>
            <w:r w:rsidRPr="00EE4BA6">
              <w:rPr>
                <w:rFonts w:eastAsia="Calibri"/>
                <w:shd w:val="clear" w:color="auto" w:fill="FFFFFF"/>
              </w:rPr>
              <w:t>склади</w:t>
            </w:r>
            <w:proofErr w:type="spellEnd"/>
            <w:r w:rsidRPr="00EE4BA6">
              <w:rPr>
                <w:rFonts w:eastAsia="Calibri"/>
                <w:shd w:val="clear" w:color="auto" w:fill="FFFFFF"/>
              </w:rPr>
              <w:t xml:space="preserve"> </w:t>
            </w:r>
            <w:proofErr w:type="spellStart"/>
            <w:r w:rsidRPr="00EE4BA6">
              <w:rPr>
                <w:rFonts w:eastAsia="Calibri"/>
                <w:shd w:val="clear" w:color="auto" w:fill="FFFFFF"/>
              </w:rPr>
              <w:t>декорацій</w:t>
            </w:r>
            <w:proofErr w:type="spellEnd"/>
            <w:r w:rsidRPr="00EE4BA6">
              <w:rPr>
                <w:rFonts w:eastAsia="Calibri"/>
                <w:shd w:val="clear" w:color="auto" w:fill="FFFFFF"/>
              </w:rPr>
              <w:t>;</w:t>
            </w:r>
          </w:p>
          <w:p w:rsidR="00AC499C" w:rsidRPr="00EE4BA6" w:rsidRDefault="00AC499C" w:rsidP="000303D7">
            <w:pPr>
              <w:numPr>
                <w:ilvl w:val="0"/>
                <w:numId w:val="1"/>
              </w:numPr>
              <w:ind w:left="-38" w:firstLine="142"/>
              <w:contextualSpacing/>
              <w:rPr>
                <w:rFonts w:eastAsia="Calibri"/>
                <w:shd w:val="clear" w:color="auto" w:fill="FFFFFF"/>
              </w:rPr>
            </w:pPr>
            <w:r w:rsidRPr="00EE4BA6">
              <w:rPr>
                <w:rFonts w:eastAsia="Calibri"/>
                <w:shd w:val="clear" w:color="auto" w:fill="FFFFFF"/>
              </w:rPr>
              <w:t xml:space="preserve"> стан </w:t>
            </w:r>
            <w:proofErr w:type="spellStart"/>
            <w:r w:rsidRPr="00EE4BA6">
              <w:rPr>
                <w:rFonts w:eastAsia="Calibri"/>
                <w:shd w:val="clear" w:color="auto" w:fill="FFFFFF"/>
              </w:rPr>
              <w:t>пам’яток</w:t>
            </w:r>
            <w:proofErr w:type="spellEnd"/>
            <w:r w:rsidRPr="00EE4BA6">
              <w:rPr>
                <w:rFonts w:eastAsia="Calibri"/>
                <w:shd w:val="clear" w:color="auto" w:fill="FFFFFF"/>
              </w:rPr>
              <w:t xml:space="preserve"> </w:t>
            </w:r>
            <w:proofErr w:type="spellStart"/>
            <w:r w:rsidRPr="00EE4BA6">
              <w:rPr>
                <w:rFonts w:eastAsia="Calibri"/>
                <w:shd w:val="clear" w:color="auto" w:fill="FFFFFF"/>
              </w:rPr>
              <w:t>культури</w:t>
            </w:r>
            <w:proofErr w:type="spellEnd"/>
            <w:r w:rsidRPr="00EE4BA6">
              <w:rPr>
                <w:rFonts w:eastAsia="Calibri"/>
                <w:shd w:val="clear" w:color="auto" w:fill="FFFFFF"/>
              </w:rPr>
              <w:t xml:space="preserve"> – </w:t>
            </w:r>
            <w:proofErr w:type="spellStart"/>
            <w:r w:rsidRPr="00EE4BA6">
              <w:rPr>
                <w:rFonts w:eastAsia="Calibri"/>
                <w:shd w:val="clear" w:color="auto" w:fill="FFFFFF"/>
              </w:rPr>
              <w:t>наявні</w:t>
            </w:r>
            <w:proofErr w:type="spellEnd"/>
            <w:r w:rsidRPr="00EE4BA6">
              <w:rPr>
                <w:rFonts w:eastAsia="Calibri"/>
                <w:shd w:val="clear" w:color="auto" w:fill="FFFFFF"/>
              </w:rPr>
              <w:t xml:space="preserve"> </w:t>
            </w:r>
            <w:proofErr w:type="spellStart"/>
            <w:r w:rsidRPr="00EE4BA6">
              <w:rPr>
                <w:rFonts w:eastAsia="Calibri"/>
                <w:shd w:val="clear" w:color="auto" w:fill="FFFFFF"/>
              </w:rPr>
              <w:t>пошкодження</w:t>
            </w:r>
            <w:proofErr w:type="spellEnd"/>
            <w:r w:rsidRPr="00EE4BA6">
              <w:rPr>
                <w:rFonts w:eastAsia="Calibri"/>
                <w:shd w:val="clear" w:color="auto" w:fill="FFFFFF"/>
              </w:rPr>
              <w:t>_____</w:t>
            </w:r>
          </w:p>
          <w:p w:rsidR="00AC499C" w:rsidRPr="00EE4BA6" w:rsidRDefault="00AC499C" w:rsidP="000303D7">
            <w:pPr>
              <w:numPr>
                <w:ilvl w:val="0"/>
                <w:numId w:val="1"/>
              </w:numPr>
              <w:ind w:left="-38" w:firstLine="142"/>
              <w:contextualSpacing/>
              <w:rPr>
                <w:rFonts w:eastAsia="Calibri"/>
              </w:rPr>
            </w:pPr>
            <w:proofErr w:type="spellStart"/>
            <w:r w:rsidRPr="00EE4BA6">
              <w:rPr>
                <w:rFonts w:eastAsia="Calibri"/>
              </w:rPr>
              <w:t>забезпечення</w:t>
            </w:r>
            <w:proofErr w:type="spellEnd"/>
            <w:r w:rsidRPr="00EE4BA6">
              <w:rPr>
                <w:rFonts w:eastAsia="Calibri"/>
              </w:rPr>
              <w:t xml:space="preserve"> </w:t>
            </w:r>
            <w:proofErr w:type="spellStart"/>
            <w:r w:rsidRPr="00EE4BA6">
              <w:rPr>
                <w:rFonts w:eastAsia="Calibri"/>
              </w:rPr>
              <w:t>спеціалістами</w:t>
            </w:r>
            <w:proofErr w:type="spellEnd"/>
            <w:r w:rsidRPr="00EE4BA6">
              <w:rPr>
                <w:rFonts w:eastAsia="Calibri"/>
              </w:rPr>
              <w:t>_____ %;</w:t>
            </w:r>
          </w:p>
          <w:p w:rsidR="00AC499C" w:rsidRPr="00EE4BA6" w:rsidRDefault="00AC499C" w:rsidP="000303D7">
            <w:pPr>
              <w:numPr>
                <w:ilvl w:val="0"/>
                <w:numId w:val="1"/>
              </w:numPr>
              <w:ind w:left="-38" w:firstLine="142"/>
              <w:contextualSpacing/>
              <w:rPr>
                <w:rFonts w:eastAsia="Calibri"/>
              </w:rPr>
            </w:pPr>
            <w:r w:rsidRPr="00EE4BA6">
              <w:rPr>
                <w:rFonts w:eastAsia="Calibri"/>
              </w:rPr>
              <w:t xml:space="preserve"> </w:t>
            </w:r>
            <w:proofErr w:type="spellStart"/>
            <w:r w:rsidRPr="00EE4BA6">
              <w:rPr>
                <w:rFonts w:eastAsia="Calibri"/>
              </w:rPr>
              <w:t>завдані</w:t>
            </w:r>
            <w:proofErr w:type="spellEnd"/>
            <w:r w:rsidRPr="00EE4BA6">
              <w:rPr>
                <w:rFonts w:eastAsia="Calibri"/>
              </w:rPr>
              <w:t xml:space="preserve"> </w:t>
            </w:r>
            <w:proofErr w:type="spellStart"/>
            <w:r w:rsidRPr="00EE4BA6">
              <w:rPr>
                <w:rFonts w:eastAsia="Calibri"/>
              </w:rPr>
              <w:t>збитки</w:t>
            </w:r>
            <w:proofErr w:type="spellEnd"/>
            <w:r w:rsidRPr="00EE4BA6">
              <w:rPr>
                <w:rFonts w:eastAsia="Calibri"/>
              </w:rPr>
              <w:t xml:space="preserve"> ______.</w:t>
            </w:r>
          </w:p>
        </w:tc>
      </w:tr>
      <w:tr w:rsidR="00AC499C" w:rsidRPr="00EE4BA6" w:rsidTr="00524DBF">
        <w:tc>
          <w:tcPr>
            <w:tcW w:w="2590" w:type="dxa"/>
          </w:tcPr>
          <w:p w:rsidR="00AC499C" w:rsidRPr="00EE4BA6" w:rsidRDefault="00AC499C" w:rsidP="00524DBF">
            <w:pPr>
              <w:rPr>
                <w:rFonts w:eastAsia="Calibri"/>
              </w:rPr>
            </w:pPr>
            <w:r w:rsidRPr="00EE4BA6">
              <w:rPr>
                <w:rFonts w:eastAsia="Calibri"/>
              </w:rPr>
              <w:t>Спорт</w:t>
            </w:r>
          </w:p>
        </w:tc>
        <w:tc>
          <w:tcPr>
            <w:tcW w:w="6981" w:type="dxa"/>
          </w:tcPr>
          <w:p w:rsidR="00AC499C" w:rsidRPr="00EE4BA6" w:rsidRDefault="00AC499C" w:rsidP="00524DBF">
            <w:pPr>
              <w:ind w:firstLine="245"/>
              <w:rPr>
                <w:rFonts w:eastAsia="Calibri"/>
              </w:rPr>
            </w:pPr>
            <w:r w:rsidRPr="00EE4BA6">
              <w:rPr>
                <w:rFonts w:eastAsia="Calibri"/>
              </w:rPr>
              <w:t xml:space="preserve">- </w:t>
            </w:r>
            <w:proofErr w:type="spellStart"/>
            <w:r w:rsidRPr="00EE4BA6">
              <w:rPr>
                <w:rFonts w:eastAsia="Calibri"/>
              </w:rPr>
              <w:t>повністю</w:t>
            </w:r>
            <w:proofErr w:type="spellEnd"/>
            <w:r w:rsidRPr="00EE4BA6">
              <w:rPr>
                <w:rFonts w:eastAsia="Calibri"/>
              </w:rPr>
              <w:t xml:space="preserve"> </w:t>
            </w:r>
            <w:proofErr w:type="spellStart"/>
            <w:r w:rsidRPr="00EE4BA6">
              <w:rPr>
                <w:rFonts w:eastAsia="Calibri"/>
              </w:rPr>
              <w:t>зруйновано</w:t>
            </w:r>
            <w:proofErr w:type="spellEnd"/>
            <w:r w:rsidRPr="00EE4BA6">
              <w:rPr>
                <w:rFonts w:eastAsia="Calibri"/>
              </w:rPr>
              <w:t xml:space="preserve"> </w:t>
            </w:r>
            <w:proofErr w:type="spellStart"/>
            <w:r w:rsidRPr="00EE4BA6">
              <w:rPr>
                <w:rFonts w:eastAsia="Calibri"/>
              </w:rPr>
              <w:t>об’єкти</w:t>
            </w:r>
            <w:proofErr w:type="spellEnd"/>
            <w:r w:rsidRPr="00EE4BA6">
              <w:rPr>
                <w:rFonts w:eastAsia="Calibri"/>
              </w:rPr>
              <w:t xml:space="preserve"> </w:t>
            </w:r>
            <w:r>
              <w:rPr>
                <w:rFonts w:eastAsia="Calibri"/>
              </w:rPr>
              <w:t>___</w:t>
            </w:r>
            <w:r w:rsidRPr="00EE4BA6">
              <w:rPr>
                <w:rFonts w:eastAsia="Calibri"/>
              </w:rPr>
              <w:t xml:space="preserve"> </w:t>
            </w:r>
            <w:proofErr w:type="spellStart"/>
            <w:r w:rsidRPr="00EE4BA6">
              <w:rPr>
                <w:rFonts w:eastAsia="Calibri"/>
              </w:rPr>
              <w:t>закладів</w:t>
            </w:r>
            <w:proofErr w:type="spellEnd"/>
            <w:r w:rsidRPr="00EE4BA6">
              <w:rPr>
                <w:rFonts w:eastAsia="Calibri"/>
              </w:rPr>
              <w:t xml:space="preserve"> спорту;</w:t>
            </w:r>
          </w:p>
          <w:p w:rsidR="00AC499C" w:rsidRPr="00EE4BA6" w:rsidRDefault="00AC499C" w:rsidP="00524DBF">
            <w:pPr>
              <w:ind w:firstLine="245"/>
              <w:rPr>
                <w:rFonts w:eastAsia="Calibri"/>
              </w:rPr>
            </w:pPr>
            <w:r w:rsidRPr="00EE4BA6">
              <w:rPr>
                <w:rFonts w:eastAsia="Calibri"/>
              </w:rPr>
              <w:t xml:space="preserve">- </w:t>
            </w:r>
            <w:proofErr w:type="spellStart"/>
            <w:r w:rsidRPr="00EE4BA6">
              <w:rPr>
                <w:rFonts w:eastAsia="Calibri"/>
              </w:rPr>
              <w:t>частково</w:t>
            </w:r>
            <w:proofErr w:type="spellEnd"/>
            <w:r w:rsidRPr="00EE4BA6">
              <w:rPr>
                <w:rFonts w:eastAsia="Calibri"/>
              </w:rPr>
              <w:t xml:space="preserve"> </w:t>
            </w:r>
            <w:proofErr w:type="spellStart"/>
            <w:r w:rsidRPr="00EE4BA6">
              <w:rPr>
                <w:rFonts w:eastAsia="Calibri"/>
              </w:rPr>
              <w:t>пошкоджено</w:t>
            </w:r>
            <w:proofErr w:type="spellEnd"/>
            <w:r w:rsidRPr="00EE4BA6">
              <w:rPr>
                <w:rFonts w:eastAsia="Calibri"/>
              </w:rPr>
              <w:t xml:space="preserve"> </w:t>
            </w:r>
            <w:r>
              <w:rPr>
                <w:rFonts w:eastAsia="Calibri"/>
              </w:rPr>
              <w:t>___</w:t>
            </w:r>
            <w:r w:rsidRPr="00EE4BA6">
              <w:rPr>
                <w:rFonts w:eastAsia="Calibri"/>
              </w:rPr>
              <w:t xml:space="preserve"> </w:t>
            </w:r>
            <w:proofErr w:type="spellStart"/>
            <w:r w:rsidRPr="00EE4BA6">
              <w:rPr>
                <w:rFonts w:eastAsia="Calibri"/>
              </w:rPr>
              <w:t>об’єктів</w:t>
            </w:r>
            <w:proofErr w:type="spellEnd"/>
            <w:r w:rsidRPr="00EE4BA6">
              <w:rPr>
                <w:rFonts w:eastAsia="Calibri"/>
              </w:rPr>
              <w:t xml:space="preserve"> спорту (</w:t>
            </w:r>
            <w:r>
              <w:rPr>
                <w:rFonts w:eastAsia="Calibri"/>
              </w:rPr>
              <w:t>__</w:t>
            </w:r>
            <w:r w:rsidRPr="00EE4BA6">
              <w:rPr>
                <w:rFonts w:eastAsia="Calibri"/>
              </w:rPr>
              <w:t xml:space="preserve">- </w:t>
            </w:r>
            <w:proofErr w:type="spellStart"/>
            <w:r w:rsidRPr="00EE4BA6">
              <w:rPr>
                <w:rFonts w:eastAsia="Calibri"/>
              </w:rPr>
              <w:t>спортивний</w:t>
            </w:r>
            <w:proofErr w:type="spellEnd"/>
            <w:r w:rsidRPr="00EE4BA6">
              <w:rPr>
                <w:rFonts w:eastAsia="Calibri"/>
              </w:rPr>
              <w:t xml:space="preserve"> клуб/комплекс, </w:t>
            </w:r>
            <w:r>
              <w:rPr>
                <w:rFonts w:eastAsia="Calibri"/>
              </w:rPr>
              <w:t>___</w:t>
            </w:r>
            <w:r w:rsidRPr="00EE4BA6">
              <w:rPr>
                <w:rFonts w:eastAsia="Calibri"/>
              </w:rPr>
              <w:t xml:space="preserve"> </w:t>
            </w:r>
            <w:proofErr w:type="spellStart"/>
            <w:r w:rsidRPr="00EE4BA6">
              <w:rPr>
                <w:rFonts w:eastAsia="Calibri"/>
              </w:rPr>
              <w:t>спортивних</w:t>
            </w:r>
            <w:proofErr w:type="spellEnd"/>
            <w:r w:rsidRPr="00EE4BA6">
              <w:rPr>
                <w:rFonts w:eastAsia="Calibri"/>
              </w:rPr>
              <w:t xml:space="preserve"> </w:t>
            </w:r>
            <w:proofErr w:type="spellStart"/>
            <w:r w:rsidRPr="00EE4BA6">
              <w:rPr>
                <w:rFonts w:eastAsia="Calibri"/>
              </w:rPr>
              <w:t>залів</w:t>
            </w:r>
            <w:proofErr w:type="spellEnd"/>
            <w:r w:rsidRPr="00EE4BA6">
              <w:rPr>
                <w:rFonts w:eastAsia="Calibri"/>
              </w:rPr>
              <w:t xml:space="preserve">, </w:t>
            </w:r>
            <w:r>
              <w:rPr>
                <w:rFonts w:eastAsia="Calibri"/>
              </w:rPr>
              <w:t>___</w:t>
            </w:r>
            <w:r w:rsidRPr="00EE4BA6">
              <w:rPr>
                <w:rFonts w:eastAsia="Calibri"/>
              </w:rPr>
              <w:t xml:space="preserve"> </w:t>
            </w:r>
            <w:proofErr w:type="spellStart"/>
            <w:r w:rsidRPr="00EE4BA6">
              <w:rPr>
                <w:rFonts w:eastAsia="Calibri"/>
              </w:rPr>
              <w:t>стадіон</w:t>
            </w:r>
            <w:proofErr w:type="spellEnd"/>
            <w:r w:rsidRPr="00EE4BA6">
              <w:rPr>
                <w:rFonts w:eastAsia="Calibri"/>
              </w:rPr>
              <w:t xml:space="preserve">, </w:t>
            </w:r>
            <w:r>
              <w:rPr>
                <w:rFonts w:eastAsia="Calibri"/>
              </w:rPr>
              <w:t>___</w:t>
            </w:r>
            <w:r w:rsidRPr="00EE4BA6">
              <w:rPr>
                <w:rFonts w:eastAsia="Calibri"/>
              </w:rPr>
              <w:t xml:space="preserve"> </w:t>
            </w:r>
            <w:proofErr w:type="spellStart"/>
            <w:r w:rsidRPr="00EE4BA6">
              <w:rPr>
                <w:rFonts w:eastAsia="Calibri"/>
              </w:rPr>
              <w:t>басейни</w:t>
            </w:r>
            <w:proofErr w:type="spellEnd"/>
            <w:r w:rsidRPr="00EE4BA6">
              <w:rPr>
                <w:rFonts w:eastAsia="Calibri"/>
              </w:rPr>
              <w:t xml:space="preserve">, </w:t>
            </w:r>
            <w:proofErr w:type="spellStart"/>
            <w:r w:rsidRPr="00EE4BA6">
              <w:rPr>
                <w:rFonts w:eastAsia="Calibri"/>
              </w:rPr>
              <w:t>тири</w:t>
            </w:r>
            <w:proofErr w:type="spellEnd"/>
            <w:r w:rsidRPr="00EE4BA6">
              <w:rPr>
                <w:rFonts w:eastAsia="Calibri"/>
              </w:rPr>
              <w:t>);</w:t>
            </w:r>
          </w:p>
          <w:p w:rsidR="00AC499C" w:rsidRPr="00EE4BA6" w:rsidRDefault="00AC499C" w:rsidP="000303D7">
            <w:pPr>
              <w:numPr>
                <w:ilvl w:val="0"/>
                <w:numId w:val="1"/>
              </w:numPr>
              <w:ind w:left="-38" w:firstLine="142"/>
              <w:contextualSpacing/>
              <w:rPr>
                <w:rFonts w:eastAsia="Calibri"/>
              </w:rPr>
            </w:pPr>
            <w:proofErr w:type="spellStart"/>
            <w:r w:rsidRPr="00EE4BA6">
              <w:rPr>
                <w:rFonts w:eastAsia="Calibri"/>
                <w:shd w:val="clear" w:color="auto" w:fill="FFFFFF"/>
              </w:rPr>
              <w:t>повністю</w:t>
            </w:r>
            <w:proofErr w:type="spellEnd"/>
            <w:r w:rsidRPr="00EE4BA6">
              <w:rPr>
                <w:rFonts w:eastAsia="Calibri"/>
                <w:shd w:val="clear" w:color="auto" w:fill="FFFFFF"/>
              </w:rPr>
              <w:t xml:space="preserve"> </w:t>
            </w:r>
            <w:proofErr w:type="spellStart"/>
            <w:r w:rsidRPr="00EE4BA6">
              <w:rPr>
                <w:rFonts w:eastAsia="Calibri"/>
                <w:shd w:val="clear" w:color="auto" w:fill="FFFFFF"/>
              </w:rPr>
              <w:t>зруйновано</w:t>
            </w:r>
            <w:proofErr w:type="spellEnd"/>
            <w:r w:rsidRPr="00EE4BA6">
              <w:rPr>
                <w:rFonts w:eastAsia="Calibri"/>
                <w:shd w:val="clear" w:color="auto" w:fill="FFFFFF"/>
              </w:rPr>
              <w:t xml:space="preserve"> </w:t>
            </w:r>
            <w:proofErr w:type="spellStart"/>
            <w:r w:rsidRPr="00EE4BA6">
              <w:rPr>
                <w:rFonts w:eastAsia="Calibri"/>
                <w:shd w:val="clear" w:color="auto" w:fill="FFFFFF"/>
              </w:rPr>
              <w:t>Льодовий</w:t>
            </w:r>
            <w:proofErr w:type="spellEnd"/>
            <w:r w:rsidRPr="00EE4BA6">
              <w:rPr>
                <w:rFonts w:eastAsia="Calibri"/>
                <w:shd w:val="clear" w:color="auto" w:fill="FFFFFF"/>
              </w:rPr>
              <w:t xml:space="preserve"> палац спорту – «</w:t>
            </w:r>
            <w:proofErr w:type="spellStart"/>
            <w:r w:rsidRPr="00EE4BA6">
              <w:rPr>
                <w:rFonts w:eastAsia="Calibri"/>
                <w:shd w:val="clear" w:color="auto" w:fill="FFFFFF"/>
              </w:rPr>
              <w:t>візитівка</w:t>
            </w:r>
            <w:proofErr w:type="spellEnd"/>
            <w:r w:rsidRPr="00EE4BA6">
              <w:rPr>
                <w:rFonts w:eastAsia="Calibri"/>
                <w:shd w:val="clear" w:color="auto" w:fill="FFFFFF"/>
              </w:rPr>
              <w:t xml:space="preserve">» </w:t>
            </w:r>
            <w:proofErr w:type="spellStart"/>
            <w:r w:rsidRPr="00EE4BA6">
              <w:rPr>
                <w:rFonts w:eastAsia="Calibri"/>
                <w:shd w:val="clear" w:color="auto" w:fill="FFFFFF"/>
              </w:rPr>
              <w:t>міста</w:t>
            </w:r>
            <w:proofErr w:type="spellEnd"/>
            <w:r w:rsidRPr="00EE4BA6">
              <w:rPr>
                <w:rFonts w:eastAsia="Calibri"/>
                <w:shd w:val="clear" w:color="auto" w:fill="FFFFFF"/>
              </w:rPr>
              <w:t>;</w:t>
            </w:r>
          </w:p>
          <w:p w:rsidR="00AC499C" w:rsidRPr="00EE4BA6" w:rsidRDefault="00AC499C" w:rsidP="00524DBF">
            <w:pPr>
              <w:ind w:firstLine="245"/>
              <w:rPr>
                <w:rFonts w:eastAsia="Calibri"/>
              </w:rPr>
            </w:pPr>
            <w:r w:rsidRPr="00EE4BA6">
              <w:rPr>
                <w:rFonts w:eastAsia="Calibri"/>
              </w:rPr>
              <w:t xml:space="preserve">- </w:t>
            </w:r>
            <w:proofErr w:type="spellStart"/>
            <w:r w:rsidRPr="00EE4BA6">
              <w:rPr>
                <w:rFonts w:eastAsia="Calibri"/>
              </w:rPr>
              <w:t>забезпеченість</w:t>
            </w:r>
            <w:proofErr w:type="spellEnd"/>
            <w:r w:rsidRPr="00EE4BA6">
              <w:rPr>
                <w:rFonts w:eastAsia="Calibri"/>
              </w:rPr>
              <w:t xml:space="preserve"> </w:t>
            </w:r>
            <w:proofErr w:type="spellStart"/>
            <w:r w:rsidRPr="00EE4BA6">
              <w:rPr>
                <w:rFonts w:eastAsia="Calibri"/>
              </w:rPr>
              <w:t>спеціалістами</w:t>
            </w:r>
            <w:proofErr w:type="spellEnd"/>
            <w:r w:rsidRPr="00EE4BA6">
              <w:rPr>
                <w:rFonts w:eastAsia="Calibri"/>
              </w:rPr>
              <w:t xml:space="preserve"> ____ %</w:t>
            </w:r>
          </w:p>
          <w:p w:rsidR="00AC499C" w:rsidRPr="00EE4BA6" w:rsidRDefault="00AC499C" w:rsidP="00524DBF">
            <w:pPr>
              <w:ind w:firstLine="245"/>
              <w:rPr>
                <w:rFonts w:eastAsia="Calibri"/>
              </w:rPr>
            </w:pPr>
            <w:r w:rsidRPr="00EE4BA6">
              <w:rPr>
                <w:rFonts w:eastAsia="Calibri"/>
              </w:rPr>
              <w:lastRenderedPageBreak/>
              <w:t xml:space="preserve">- </w:t>
            </w:r>
            <w:proofErr w:type="spellStart"/>
            <w:r w:rsidRPr="00EE4BA6">
              <w:rPr>
                <w:rFonts w:eastAsia="Calibri"/>
              </w:rPr>
              <w:t>завдані</w:t>
            </w:r>
            <w:proofErr w:type="spellEnd"/>
            <w:r w:rsidRPr="00EE4BA6">
              <w:rPr>
                <w:rFonts w:eastAsia="Calibri"/>
              </w:rPr>
              <w:t xml:space="preserve"> </w:t>
            </w:r>
            <w:proofErr w:type="spellStart"/>
            <w:r w:rsidRPr="00EE4BA6">
              <w:rPr>
                <w:rFonts w:eastAsia="Calibri"/>
              </w:rPr>
              <w:t>збитки</w:t>
            </w:r>
            <w:proofErr w:type="spellEnd"/>
            <w:r w:rsidRPr="00EE4BA6">
              <w:rPr>
                <w:rFonts w:eastAsia="Calibri"/>
              </w:rPr>
              <w:t xml:space="preserve"> ______.</w:t>
            </w:r>
          </w:p>
        </w:tc>
      </w:tr>
      <w:tr w:rsidR="00AC499C" w:rsidRPr="00EE4BA6" w:rsidTr="00524DBF">
        <w:tc>
          <w:tcPr>
            <w:tcW w:w="2590" w:type="dxa"/>
          </w:tcPr>
          <w:p w:rsidR="00AC499C" w:rsidRPr="00EE4BA6" w:rsidRDefault="00AC499C" w:rsidP="00524DBF">
            <w:pPr>
              <w:rPr>
                <w:rFonts w:eastAsia="Calibri"/>
              </w:rPr>
            </w:pPr>
            <w:proofErr w:type="spellStart"/>
            <w:r w:rsidRPr="00EE4BA6">
              <w:rPr>
                <w:rFonts w:eastAsia="Calibri"/>
              </w:rPr>
              <w:lastRenderedPageBreak/>
              <w:t>Житло</w:t>
            </w:r>
            <w:proofErr w:type="spellEnd"/>
          </w:p>
        </w:tc>
        <w:tc>
          <w:tcPr>
            <w:tcW w:w="6981" w:type="dxa"/>
          </w:tcPr>
          <w:p w:rsidR="00AC499C" w:rsidRPr="00EE4BA6" w:rsidRDefault="00AC499C" w:rsidP="000303D7">
            <w:pPr>
              <w:numPr>
                <w:ilvl w:val="0"/>
                <w:numId w:val="1"/>
              </w:numPr>
              <w:ind w:left="-38" w:firstLine="283"/>
              <w:contextualSpacing/>
              <w:rPr>
                <w:rFonts w:eastAsia="Calibri"/>
                <w:lang w:val="uk-UA"/>
              </w:rPr>
            </w:pPr>
            <w:proofErr w:type="spellStart"/>
            <w:r w:rsidRPr="00EE4BA6">
              <w:rPr>
                <w:rFonts w:eastAsia="Calibri"/>
              </w:rPr>
              <w:t>частково</w:t>
            </w:r>
            <w:proofErr w:type="spellEnd"/>
            <w:r w:rsidRPr="00EE4BA6">
              <w:rPr>
                <w:rFonts w:eastAsia="Calibri"/>
              </w:rPr>
              <w:t xml:space="preserve"> </w:t>
            </w:r>
            <w:proofErr w:type="spellStart"/>
            <w:r w:rsidRPr="00EE4BA6">
              <w:rPr>
                <w:rFonts w:eastAsia="Calibri"/>
              </w:rPr>
              <w:t>зруйновані</w:t>
            </w:r>
            <w:proofErr w:type="spellEnd"/>
            <w:r w:rsidRPr="00EE4BA6">
              <w:rPr>
                <w:rFonts w:eastAsia="Calibri"/>
              </w:rPr>
              <w:t xml:space="preserve"> 710 </w:t>
            </w:r>
            <w:proofErr w:type="spellStart"/>
            <w:r w:rsidRPr="00EE4BA6">
              <w:rPr>
                <w:rFonts w:eastAsia="Calibri"/>
              </w:rPr>
              <w:t>житлови</w:t>
            </w:r>
            <w:r w:rsidR="00983DA9">
              <w:rPr>
                <w:rFonts w:eastAsia="Calibri"/>
              </w:rPr>
              <w:t>х</w:t>
            </w:r>
            <w:proofErr w:type="spellEnd"/>
            <w:r w:rsidRPr="00EE4BA6">
              <w:rPr>
                <w:rFonts w:eastAsia="Calibri"/>
              </w:rPr>
              <w:t xml:space="preserve"> </w:t>
            </w:r>
            <w:r w:rsidRPr="00EE4BA6">
              <w:rPr>
                <w:rFonts w:eastAsia="Calibri"/>
                <w:lang w:val="uk-UA"/>
              </w:rPr>
              <w:t>багатоквартирни</w:t>
            </w:r>
            <w:r w:rsidR="00983DA9">
              <w:rPr>
                <w:rFonts w:eastAsia="Calibri"/>
                <w:lang w:val="uk-UA"/>
              </w:rPr>
              <w:t>х</w:t>
            </w:r>
            <w:r w:rsidRPr="00EE4BA6">
              <w:rPr>
                <w:rFonts w:eastAsia="Calibri"/>
                <w:lang w:val="uk-UA"/>
              </w:rPr>
              <w:t xml:space="preserve"> будинк</w:t>
            </w:r>
            <w:r w:rsidR="00983DA9">
              <w:rPr>
                <w:rFonts w:eastAsia="Calibri"/>
                <w:lang w:val="uk-UA"/>
              </w:rPr>
              <w:t>ів</w:t>
            </w:r>
            <w:r w:rsidRPr="00EE4BA6">
              <w:rPr>
                <w:rFonts w:eastAsia="Calibri"/>
                <w:lang w:val="uk-UA"/>
              </w:rPr>
              <w:t>;</w:t>
            </w:r>
          </w:p>
          <w:p w:rsidR="00AC499C" w:rsidRPr="00EE4BA6" w:rsidRDefault="00AC499C" w:rsidP="000303D7">
            <w:pPr>
              <w:numPr>
                <w:ilvl w:val="0"/>
                <w:numId w:val="1"/>
              </w:numPr>
              <w:ind w:left="-38" w:firstLine="283"/>
              <w:contextualSpacing/>
              <w:rPr>
                <w:rFonts w:eastAsia="Calibri"/>
                <w:lang w:val="uk-UA"/>
              </w:rPr>
            </w:pPr>
            <w:r w:rsidRPr="00EE4BA6">
              <w:rPr>
                <w:rFonts w:eastAsia="Calibri"/>
                <w:lang w:val="uk-UA"/>
              </w:rPr>
              <w:t>повністю зруйновано 99 житлових багатоквартирних будинків;</w:t>
            </w:r>
          </w:p>
          <w:p w:rsidR="00AC499C" w:rsidRPr="00EE4BA6" w:rsidRDefault="00AC499C" w:rsidP="000303D7">
            <w:pPr>
              <w:numPr>
                <w:ilvl w:val="0"/>
                <w:numId w:val="1"/>
              </w:numPr>
              <w:ind w:left="-38" w:firstLine="283"/>
              <w:contextualSpacing/>
              <w:rPr>
                <w:rFonts w:eastAsia="Calibri"/>
                <w:lang w:val="uk-UA"/>
              </w:rPr>
            </w:pPr>
            <w:r w:rsidRPr="00EE4BA6">
              <w:rPr>
                <w:rFonts w:eastAsia="Calibri"/>
                <w:lang w:val="uk-UA"/>
              </w:rPr>
              <w:t>значна руйнація приватного сектору;</w:t>
            </w:r>
          </w:p>
          <w:p w:rsidR="00AC499C" w:rsidRPr="00EE4BA6" w:rsidRDefault="00AC499C" w:rsidP="000303D7">
            <w:pPr>
              <w:numPr>
                <w:ilvl w:val="0"/>
                <w:numId w:val="1"/>
              </w:numPr>
              <w:ind w:left="-38" w:firstLine="425"/>
              <w:contextualSpacing/>
              <w:rPr>
                <w:rFonts w:eastAsia="Calibri"/>
                <w:lang w:val="uk-UA"/>
              </w:rPr>
            </w:pPr>
            <w:r w:rsidRPr="00EE4BA6">
              <w:rPr>
                <w:rFonts w:eastAsia="Calibri"/>
                <w:lang w:val="uk-UA"/>
              </w:rPr>
              <w:t>забезпеченість житлом близько __ % від стану забезпеченості до 24.02.202</w:t>
            </w:r>
            <w:r w:rsidR="001F4974">
              <w:rPr>
                <w:rFonts w:eastAsia="Calibri"/>
                <w:lang w:val="uk-UA"/>
              </w:rPr>
              <w:t>2</w:t>
            </w:r>
            <w:r w:rsidRPr="00EE4BA6">
              <w:rPr>
                <w:rFonts w:eastAsia="Calibri"/>
                <w:lang w:val="uk-UA"/>
              </w:rPr>
              <w:t>;</w:t>
            </w:r>
          </w:p>
          <w:p w:rsidR="00AC499C" w:rsidRPr="00EE4BA6" w:rsidRDefault="00AC499C" w:rsidP="000303D7">
            <w:pPr>
              <w:numPr>
                <w:ilvl w:val="0"/>
                <w:numId w:val="1"/>
              </w:numPr>
              <w:ind w:left="-38" w:firstLine="425"/>
              <w:contextualSpacing/>
              <w:rPr>
                <w:rFonts w:eastAsia="Calibri"/>
                <w:lang w:val="uk-UA"/>
              </w:rPr>
            </w:pPr>
            <w:r w:rsidRPr="00EE4BA6">
              <w:rPr>
                <w:rFonts w:eastAsia="Calibri"/>
                <w:lang w:val="uk-UA"/>
              </w:rPr>
              <w:t>відсутність більшості ОСББ (їх голів) – управляючих по ____ % житлового фонду;</w:t>
            </w:r>
          </w:p>
          <w:p w:rsidR="00AC499C" w:rsidRPr="00EE4BA6" w:rsidRDefault="00AC499C" w:rsidP="000303D7">
            <w:pPr>
              <w:numPr>
                <w:ilvl w:val="0"/>
                <w:numId w:val="1"/>
              </w:numPr>
              <w:ind w:left="-38" w:firstLine="283"/>
              <w:contextualSpacing/>
              <w:rPr>
                <w:rFonts w:eastAsia="Calibri"/>
                <w:lang w:val="uk-UA"/>
              </w:rPr>
            </w:pPr>
            <w:r w:rsidRPr="00EE4BA6">
              <w:rPr>
                <w:rFonts w:eastAsia="Calibri"/>
                <w:lang w:val="uk-UA"/>
              </w:rPr>
              <w:t>значних збитків зазнав управитель КП «</w:t>
            </w:r>
            <w:proofErr w:type="spellStart"/>
            <w:r w:rsidRPr="00EE4BA6">
              <w:rPr>
                <w:rFonts w:eastAsia="Calibri"/>
                <w:lang w:val="uk-UA"/>
              </w:rPr>
              <w:t>Житлосервіс</w:t>
            </w:r>
            <w:proofErr w:type="spellEnd"/>
            <w:r w:rsidRPr="00EE4BA6">
              <w:rPr>
                <w:rFonts w:eastAsia="Calibri"/>
                <w:lang w:val="uk-UA"/>
              </w:rPr>
              <w:t xml:space="preserve"> «Світанок»</w:t>
            </w:r>
            <w:r w:rsidR="00983DA9">
              <w:rPr>
                <w:rFonts w:eastAsia="Calibri"/>
                <w:lang w:val="uk-UA"/>
              </w:rPr>
              <w:t>»</w:t>
            </w:r>
            <w:r w:rsidRPr="00EE4BA6">
              <w:rPr>
                <w:rFonts w:eastAsia="Calibri"/>
                <w:lang w:val="uk-UA"/>
              </w:rPr>
              <w:t xml:space="preserve">, що спеціалізується на обслуговуванні та утриманні багатоквартирних будинків - ____ % житлового фонду, а також іншими об'єктами нерухомості; </w:t>
            </w:r>
          </w:p>
          <w:p w:rsidR="00AC499C" w:rsidRPr="00EE4BA6" w:rsidRDefault="00AC499C" w:rsidP="000303D7">
            <w:pPr>
              <w:numPr>
                <w:ilvl w:val="0"/>
                <w:numId w:val="1"/>
              </w:numPr>
              <w:ind w:left="-38" w:firstLine="283"/>
              <w:contextualSpacing/>
              <w:rPr>
                <w:rFonts w:eastAsia="Calibri"/>
                <w:lang w:val="uk-UA"/>
              </w:rPr>
            </w:pPr>
            <w:r w:rsidRPr="00EE4BA6">
              <w:rPr>
                <w:rFonts w:eastAsia="Calibri"/>
                <w:lang w:val="uk-UA"/>
              </w:rPr>
              <w:t xml:space="preserve">зруйновано або потребує капітального відновлення ___ % будівель, управителем яких є </w:t>
            </w:r>
            <w:r w:rsidRPr="00EE4BA6">
              <w:rPr>
                <w:rFonts w:eastAsia="Calibri"/>
                <w:lang w:val="uk-UA"/>
              </w:rPr>
              <w:br/>
              <w:t>КП «</w:t>
            </w:r>
            <w:proofErr w:type="spellStart"/>
            <w:r w:rsidRPr="00EE4BA6">
              <w:rPr>
                <w:rFonts w:eastAsia="Calibri"/>
                <w:lang w:val="uk-UA"/>
              </w:rPr>
              <w:t>Житлосервіс</w:t>
            </w:r>
            <w:proofErr w:type="spellEnd"/>
            <w:r w:rsidRPr="00EE4BA6">
              <w:rPr>
                <w:rFonts w:eastAsia="Calibri"/>
                <w:lang w:val="uk-UA"/>
              </w:rPr>
              <w:t xml:space="preserve"> «Світанок»</w:t>
            </w:r>
            <w:r w:rsidR="00983DA9">
              <w:rPr>
                <w:rFonts w:eastAsia="Calibri"/>
                <w:lang w:val="uk-UA"/>
              </w:rPr>
              <w:t>»</w:t>
            </w:r>
            <w:r w:rsidRPr="00EE4BA6">
              <w:rPr>
                <w:rFonts w:eastAsia="Calibri"/>
                <w:lang w:val="uk-UA"/>
              </w:rPr>
              <w:t>;</w:t>
            </w:r>
          </w:p>
          <w:p w:rsidR="00AC499C" w:rsidRPr="00EE4BA6" w:rsidRDefault="00AC499C" w:rsidP="000303D7">
            <w:pPr>
              <w:numPr>
                <w:ilvl w:val="0"/>
                <w:numId w:val="1"/>
              </w:numPr>
              <w:ind w:left="-38" w:firstLine="283"/>
              <w:contextualSpacing/>
              <w:rPr>
                <w:rFonts w:eastAsia="Calibri"/>
                <w:lang w:val="uk-UA"/>
              </w:rPr>
            </w:pPr>
            <w:r w:rsidRPr="00EE4BA6">
              <w:rPr>
                <w:rFonts w:eastAsia="Calibri"/>
                <w:lang w:val="uk-UA"/>
              </w:rPr>
              <w:t>зруйновано або потребує капітального відновлення більше ніж ___ % адміністративних будівель даного комунального підприємства, дитячі майданчики та сквери;</w:t>
            </w:r>
          </w:p>
          <w:p w:rsidR="00AC499C" w:rsidRPr="00EE4BA6" w:rsidRDefault="00AC499C" w:rsidP="000303D7">
            <w:pPr>
              <w:numPr>
                <w:ilvl w:val="0"/>
                <w:numId w:val="1"/>
              </w:numPr>
              <w:ind w:left="-38" w:firstLine="283"/>
              <w:contextualSpacing/>
              <w:rPr>
                <w:rFonts w:eastAsia="Calibri"/>
                <w:lang w:val="uk-UA"/>
              </w:rPr>
            </w:pPr>
            <w:r w:rsidRPr="00EE4BA6">
              <w:rPr>
                <w:rFonts w:eastAsia="Calibri"/>
                <w:lang w:val="uk-UA"/>
              </w:rPr>
              <w:t xml:space="preserve"> матеріально-технічна база пошкоджена та розграбована (знищено 37 одиниць спецтехніки, 42 одиниці обладнання);</w:t>
            </w:r>
          </w:p>
          <w:p w:rsidR="00AC499C" w:rsidRPr="00EE4BA6" w:rsidRDefault="00AC499C" w:rsidP="000303D7">
            <w:pPr>
              <w:numPr>
                <w:ilvl w:val="0"/>
                <w:numId w:val="1"/>
              </w:numPr>
              <w:ind w:left="-38" w:firstLine="283"/>
              <w:contextualSpacing/>
              <w:rPr>
                <w:rFonts w:eastAsia="Calibri"/>
                <w:lang w:val="uk-UA"/>
              </w:rPr>
            </w:pPr>
            <w:r w:rsidRPr="00EE4BA6">
              <w:rPr>
                <w:rFonts w:eastAsia="Calibri"/>
                <w:lang w:val="uk-UA"/>
              </w:rPr>
              <w:t>готовність до відбудови пошкоджених об’єктів житла ____ %.</w:t>
            </w:r>
          </w:p>
          <w:p w:rsidR="00AC499C" w:rsidRPr="00EE4BA6" w:rsidRDefault="00AC499C" w:rsidP="000303D7">
            <w:pPr>
              <w:numPr>
                <w:ilvl w:val="0"/>
                <w:numId w:val="1"/>
              </w:numPr>
              <w:ind w:left="-38" w:firstLine="283"/>
              <w:contextualSpacing/>
              <w:rPr>
                <w:rFonts w:eastAsia="Calibri"/>
              </w:rPr>
            </w:pPr>
            <w:r w:rsidRPr="00EE4BA6">
              <w:rPr>
                <w:rFonts w:eastAsia="Calibri"/>
                <w:lang w:val="uk-UA"/>
              </w:rPr>
              <w:t>завдані збитки ______.</w:t>
            </w:r>
          </w:p>
        </w:tc>
      </w:tr>
      <w:tr w:rsidR="00AC499C" w:rsidRPr="00EE4BA6" w:rsidTr="00524DBF">
        <w:tc>
          <w:tcPr>
            <w:tcW w:w="2590" w:type="dxa"/>
          </w:tcPr>
          <w:p w:rsidR="00AC499C" w:rsidRPr="00EE4BA6" w:rsidRDefault="00AC499C" w:rsidP="00524DBF">
            <w:pPr>
              <w:rPr>
                <w:rFonts w:eastAsia="Calibri"/>
              </w:rPr>
            </w:pPr>
            <w:r w:rsidRPr="00EE4BA6">
              <w:rPr>
                <w:rFonts w:eastAsia="Calibri"/>
              </w:rPr>
              <w:t xml:space="preserve">Автодороги та </w:t>
            </w:r>
            <w:proofErr w:type="spellStart"/>
            <w:r w:rsidRPr="00EE4BA6">
              <w:rPr>
                <w:rFonts w:eastAsia="Calibri"/>
              </w:rPr>
              <w:t>об’єкти</w:t>
            </w:r>
            <w:proofErr w:type="spellEnd"/>
            <w:r w:rsidRPr="00EE4BA6">
              <w:rPr>
                <w:rFonts w:eastAsia="Calibri"/>
              </w:rPr>
              <w:t xml:space="preserve"> </w:t>
            </w:r>
            <w:proofErr w:type="spellStart"/>
            <w:r w:rsidRPr="00EE4BA6">
              <w:rPr>
                <w:rFonts w:eastAsia="Calibri"/>
              </w:rPr>
              <w:t>безпеки</w:t>
            </w:r>
            <w:proofErr w:type="spellEnd"/>
            <w:r w:rsidRPr="00EE4BA6">
              <w:rPr>
                <w:rFonts w:eastAsia="Calibri"/>
              </w:rPr>
              <w:t xml:space="preserve"> </w:t>
            </w:r>
            <w:proofErr w:type="spellStart"/>
            <w:r w:rsidRPr="00EE4BA6">
              <w:rPr>
                <w:rFonts w:eastAsia="Calibri"/>
              </w:rPr>
              <w:t>дорожнього</w:t>
            </w:r>
            <w:proofErr w:type="spellEnd"/>
            <w:r w:rsidRPr="00EE4BA6">
              <w:rPr>
                <w:rFonts w:eastAsia="Calibri"/>
              </w:rPr>
              <w:t xml:space="preserve"> руху</w:t>
            </w:r>
          </w:p>
        </w:tc>
        <w:tc>
          <w:tcPr>
            <w:tcW w:w="6981" w:type="dxa"/>
          </w:tcPr>
          <w:p w:rsidR="00A31587" w:rsidRDefault="00AC499C" w:rsidP="000303D7">
            <w:pPr>
              <w:numPr>
                <w:ilvl w:val="0"/>
                <w:numId w:val="1"/>
              </w:numPr>
              <w:ind w:left="-38" w:firstLine="425"/>
              <w:contextualSpacing/>
              <w:rPr>
                <w:rFonts w:eastAsia="Calibri"/>
                <w:lang w:val="uk-UA"/>
              </w:rPr>
            </w:pPr>
            <w:r w:rsidRPr="00EE4BA6">
              <w:rPr>
                <w:rFonts w:eastAsia="Calibri"/>
                <w:lang w:val="uk-UA"/>
              </w:rPr>
              <w:t>надавачі послуг:</w:t>
            </w:r>
          </w:p>
          <w:p w:rsidR="00AC499C" w:rsidRPr="00EE4BA6" w:rsidRDefault="00AC499C" w:rsidP="00A31587">
            <w:pPr>
              <w:ind w:left="387"/>
              <w:contextualSpacing/>
              <w:rPr>
                <w:rFonts w:eastAsia="Calibri"/>
                <w:lang w:val="uk-UA"/>
              </w:rPr>
            </w:pPr>
            <w:r w:rsidRPr="00EE4BA6">
              <w:rPr>
                <w:rFonts w:eastAsia="Calibri"/>
                <w:lang w:val="uk-UA"/>
              </w:rPr>
              <w:t xml:space="preserve"> КП «</w:t>
            </w:r>
            <w:proofErr w:type="spellStart"/>
            <w:r w:rsidRPr="00EE4BA6">
              <w:rPr>
                <w:rFonts w:eastAsia="Calibri"/>
                <w:lang w:val="uk-UA"/>
              </w:rPr>
              <w:t>Сєвєродонецьккомунсервіс</w:t>
            </w:r>
            <w:proofErr w:type="spellEnd"/>
            <w:r w:rsidRPr="00EE4BA6">
              <w:rPr>
                <w:rFonts w:eastAsia="Calibri"/>
                <w:lang w:val="uk-UA"/>
              </w:rPr>
              <w:t>» та КП «</w:t>
            </w:r>
            <w:proofErr w:type="spellStart"/>
            <w:r w:rsidRPr="00EE4BA6">
              <w:rPr>
                <w:rFonts w:eastAsia="Calibri"/>
                <w:lang w:val="uk-UA"/>
              </w:rPr>
              <w:t>Сєвєродонецькліфт</w:t>
            </w:r>
            <w:proofErr w:type="spellEnd"/>
            <w:r w:rsidRPr="00EE4BA6">
              <w:rPr>
                <w:rFonts w:eastAsia="Calibri"/>
                <w:lang w:val="uk-UA"/>
              </w:rPr>
              <w:t>»;</w:t>
            </w:r>
          </w:p>
          <w:p w:rsidR="00AC499C" w:rsidRPr="00EE4BA6" w:rsidRDefault="00AC499C" w:rsidP="000303D7">
            <w:pPr>
              <w:numPr>
                <w:ilvl w:val="0"/>
                <w:numId w:val="1"/>
              </w:numPr>
              <w:ind w:left="-38" w:firstLine="425"/>
              <w:contextualSpacing/>
              <w:rPr>
                <w:rFonts w:eastAsia="Calibri"/>
                <w:lang w:val="uk-UA"/>
              </w:rPr>
            </w:pPr>
            <w:r w:rsidRPr="00EE4BA6">
              <w:rPr>
                <w:rFonts w:eastAsia="Calibri"/>
                <w:lang w:val="uk-UA"/>
              </w:rPr>
              <w:t>високий ступінь руйнації автошляхів міського та міжміського сполучення;</w:t>
            </w:r>
          </w:p>
          <w:p w:rsidR="00AC499C" w:rsidRPr="00EE4BA6" w:rsidRDefault="00AC499C" w:rsidP="000303D7">
            <w:pPr>
              <w:numPr>
                <w:ilvl w:val="0"/>
                <w:numId w:val="1"/>
              </w:numPr>
              <w:ind w:left="-38" w:firstLine="425"/>
              <w:contextualSpacing/>
              <w:rPr>
                <w:rFonts w:eastAsia="Calibri"/>
                <w:lang w:val="uk-UA"/>
              </w:rPr>
            </w:pPr>
            <w:r w:rsidRPr="00EE4BA6">
              <w:rPr>
                <w:rFonts w:eastAsia="Calibri"/>
                <w:lang w:val="uk-UA"/>
              </w:rPr>
              <w:t>один міст повністю зруйнований;</w:t>
            </w:r>
          </w:p>
          <w:p w:rsidR="00AC499C" w:rsidRPr="00EE4BA6" w:rsidRDefault="00AC499C" w:rsidP="000303D7">
            <w:pPr>
              <w:numPr>
                <w:ilvl w:val="0"/>
                <w:numId w:val="1"/>
              </w:numPr>
              <w:ind w:left="-38" w:firstLine="425"/>
              <w:contextualSpacing/>
              <w:rPr>
                <w:rFonts w:eastAsia="Calibri"/>
                <w:lang w:val="uk-UA"/>
              </w:rPr>
            </w:pPr>
            <w:r w:rsidRPr="00EE4BA6">
              <w:rPr>
                <w:rFonts w:eastAsia="Calibri"/>
                <w:lang w:val="uk-UA"/>
              </w:rPr>
              <w:t>пошкодження та руйнація світлофорів та міського зовнішнього освітлення;</w:t>
            </w:r>
          </w:p>
          <w:p w:rsidR="00AC499C" w:rsidRPr="00EE4BA6" w:rsidRDefault="00AC499C" w:rsidP="000303D7">
            <w:pPr>
              <w:numPr>
                <w:ilvl w:val="0"/>
                <w:numId w:val="1"/>
              </w:numPr>
              <w:ind w:left="-38" w:firstLine="425"/>
              <w:contextualSpacing/>
              <w:rPr>
                <w:rFonts w:eastAsia="Calibri"/>
              </w:rPr>
            </w:pPr>
            <w:r w:rsidRPr="00EE4BA6">
              <w:rPr>
                <w:rFonts w:eastAsia="Calibri"/>
                <w:lang w:val="uk-UA"/>
              </w:rPr>
              <w:t>завдані збитки ______.</w:t>
            </w:r>
          </w:p>
        </w:tc>
      </w:tr>
      <w:tr w:rsidR="00AC499C" w:rsidRPr="00EE4BA6" w:rsidTr="00524DBF">
        <w:tc>
          <w:tcPr>
            <w:tcW w:w="2590" w:type="dxa"/>
          </w:tcPr>
          <w:p w:rsidR="00AC499C" w:rsidRPr="00EE4BA6" w:rsidRDefault="00AC499C" w:rsidP="00524DBF">
            <w:pPr>
              <w:rPr>
                <w:rFonts w:eastAsia="Calibri"/>
              </w:rPr>
            </w:pPr>
            <w:proofErr w:type="spellStart"/>
            <w:r w:rsidRPr="00EE4BA6">
              <w:rPr>
                <w:rFonts w:eastAsia="Calibri"/>
              </w:rPr>
              <w:t>Послуги</w:t>
            </w:r>
            <w:proofErr w:type="spellEnd"/>
            <w:r w:rsidRPr="00EE4BA6">
              <w:rPr>
                <w:rFonts w:eastAsia="Calibri"/>
              </w:rPr>
              <w:t xml:space="preserve"> </w:t>
            </w:r>
            <w:proofErr w:type="spellStart"/>
            <w:r w:rsidRPr="00EE4BA6">
              <w:rPr>
                <w:rFonts w:eastAsia="Calibri"/>
              </w:rPr>
              <w:t>поштового</w:t>
            </w:r>
            <w:proofErr w:type="spellEnd"/>
            <w:r w:rsidRPr="00EE4BA6">
              <w:rPr>
                <w:rFonts w:eastAsia="Calibri"/>
              </w:rPr>
              <w:t xml:space="preserve"> </w:t>
            </w:r>
            <w:proofErr w:type="spellStart"/>
            <w:r w:rsidRPr="00EE4BA6">
              <w:rPr>
                <w:rFonts w:eastAsia="Calibri"/>
              </w:rPr>
              <w:t>зв’язку</w:t>
            </w:r>
            <w:proofErr w:type="spellEnd"/>
            <w:r w:rsidRPr="00EE4BA6">
              <w:rPr>
                <w:rFonts w:eastAsia="Calibri"/>
              </w:rPr>
              <w:t xml:space="preserve">, </w:t>
            </w:r>
            <w:proofErr w:type="spellStart"/>
            <w:r w:rsidRPr="00EE4BA6">
              <w:rPr>
                <w:rFonts w:eastAsia="Calibri"/>
              </w:rPr>
              <w:t>сполучення</w:t>
            </w:r>
            <w:proofErr w:type="spellEnd"/>
          </w:p>
        </w:tc>
        <w:tc>
          <w:tcPr>
            <w:tcW w:w="6981" w:type="dxa"/>
          </w:tcPr>
          <w:p w:rsidR="00AC499C" w:rsidRPr="00EE4BA6" w:rsidRDefault="00AC499C" w:rsidP="000303D7">
            <w:pPr>
              <w:numPr>
                <w:ilvl w:val="0"/>
                <w:numId w:val="1"/>
              </w:numPr>
              <w:ind w:left="-38" w:firstLine="283"/>
              <w:contextualSpacing/>
              <w:rPr>
                <w:rFonts w:eastAsia="Calibri"/>
              </w:rPr>
            </w:pPr>
            <w:proofErr w:type="spellStart"/>
            <w:r w:rsidRPr="00EE4BA6">
              <w:rPr>
                <w:rFonts w:eastAsia="Calibri"/>
                <w:shd w:val="clear" w:color="auto" w:fill="FFFFFF"/>
              </w:rPr>
              <w:t>зруйновано</w:t>
            </w:r>
            <w:proofErr w:type="spellEnd"/>
            <w:r w:rsidRPr="00EE4BA6">
              <w:rPr>
                <w:rFonts w:eastAsia="Calibri"/>
                <w:shd w:val="clear" w:color="auto" w:fill="FFFFFF"/>
              </w:rPr>
              <w:t xml:space="preserve"> ___</w:t>
            </w:r>
            <w:proofErr w:type="spellStart"/>
            <w:r w:rsidRPr="00EE4BA6">
              <w:rPr>
                <w:rFonts w:eastAsia="Calibri"/>
                <w:shd w:val="clear" w:color="auto" w:fill="FFFFFF"/>
              </w:rPr>
              <w:t>приміщень</w:t>
            </w:r>
            <w:proofErr w:type="spellEnd"/>
            <w:r w:rsidRPr="00EE4BA6">
              <w:rPr>
                <w:rFonts w:eastAsia="Calibri"/>
                <w:shd w:val="clear" w:color="auto" w:fill="FFFFFF"/>
              </w:rPr>
              <w:t xml:space="preserve"> </w:t>
            </w:r>
            <w:proofErr w:type="spellStart"/>
            <w:r w:rsidRPr="00EE4BA6">
              <w:rPr>
                <w:rFonts w:eastAsia="Calibri"/>
                <w:shd w:val="clear" w:color="auto" w:fill="FFFFFF"/>
              </w:rPr>
              <w:t>відділень</w:t>
            </w:r>
            <w:proofErr w:type="spellEnd"/>
            <w:r w:rsidRPr="00EE4BA6">
              <w:rPr>
                <w:rFonts w:eastAsia="Calibri"/>
                <w:shd w:val="clear" w:color="auto" w:fill="FFFFFF"/>
              </w:rPr>
              <w:t xml:space="preserve"> </w:t>
            </w:r>
            <w:proofErr w:type="spellStart"/>
            <w:r w:rsidRPr="00EE4BA6">
              <w:rPr>
                <w:rFonts w:eastAsia="Calibri"/>
                <w:shd w:val="clear" w:color="auto" w:fill="FFFFFF"/>
              </w:rPr>
              <w:t>Укрпошти</w:t>
            </w:r>
            <w:proofErr w:type="spellEnd"/>
            <w:r w:rsidRPr="00EE4BA6">
              <w:rPr>
                <w:rFonts w:eastAsia="Calibri"/>
                <w:shd w:val="clear" w:color="auto" w:fill="FFFFFF"/>
              </w:rPr>
              <w:t>, ____</w:t>
            </w:r>
            <w:proofErr w:type="spellStart"/>
            <w:r w:rsidRPr="00EE4BA6">
              <w:rPr>
                <w:rFonts w:eastAsia="Calibri"/>
                <w:shd w:val="clear" w:color="auto" w:fill="FFFFFF"/>
              </w:rPr>
              <w:t>Нової</w:t>
            </w:r>
            <w:proofErr w:type="spellEnd"/>
            <w:r w:rsidRPr="00EE4BA6">
              <w:rPr>
                <w:rFonts w:eastAsia="Calibri"/>
                <w:shd w:val="clear" w:color="auto" w:fill="FFFFFF"/>
              </w:rPr>
              <w:t xml:space="preserve"> </w:t>
            </w:r>
            <w:proofErr w:type="spellStart"/>
            <w:r w:rsidRPr="00EE4BA6">
              <w:rPr>
                <w:rFonts w:eastAsia="Calibri"/>
                <w:shd w:val="clear" w:color="auto" w:fill="FFFFFF"/>
              </w:rPr>
              <w:t>пошти</w:t>
            </w:r>
            <w:proofErr w:type="spellEnd"/>
            <w:r w:rsidRPr="00EE4BA6">
              <w:rPr>
                <w:rFonts w:eastAsia="Calibri"/>
                <w:shd w:val="clear" w:color="auto" w:fill="FFFFFF"/>
              </w:rPr>
              <w:t xml:space="preserve"> та </w:t>
            </w:r>
            <w:proofErr w:type="spellStart"/>
            <w:r w:rsidRPr="00EE4BA6">
              <w:rPr>
                <w:rFonts w:eastAsia="Calibri"/>
                <w:shd w:val="clear" w:color="auto" w:fill="FFFFFF"/>
              </w:rPr>
              <w:t>інших</w:t>
            </w:r>
            <w:proofErr w:type="spellEnd"/>
            <w:r w:rsidRPr="00EE4BA6">
              <w:rPr>
                <w:rFonts w:eastAsia="Calibri"/>
                <w:shd w:val="clear" w:color="auto" w:fill="FFFFFF"/>
              </w:rPr>
              <w:t xml:space="preserve"> </w:t>
            </w:r>
            <w:proofErr w:type="spellStart"/>
            <w:r w:rsidRPr="00EE4BA6">
              <w:rPr>
                <w:rFonts w:eastAsia="Calibri"/>
                <w:shd w:val="clear" w:color="auto" w:fill="FFFFFF"/>
              </w:rPr>
              <w:t>надавачів</w:t>
            </w:r>
            <w:proofErr w:type="spellEnd"/>
            <w:r w:rsidRPr="00EE4BA6">
              <w:rPr>
                <w:rFonts w:eastAsia="Calibri"/>
                <w:shd w:val="clear" w:color="auto" w:fill="FFFFFF"/>
              </w:rPr>
              <w:t xml:space="preserve"> </w:t>
            </w:r>
            <w:proofErr w:type="spellStart"/>
            <w:r w:rsidRPr="00EE4BA6">
              <w:rPr>
                <w:rFonts w:eastAsia="Calibri"/>
                <w:shd w:val="clear" w:color="auto" w:fill="FFFFFF"/>
              </w:rPr>
              <w:t>послуг</w:t>
            </w:r>
            <w:proofErr w:type="spellEnd"/>
            <w:r w:rsidRPr="00EE4BA6">
              <w:rPr>
                <w:rFonts w:eastAsia="Calibri"/>
                <w:shd w:val="clear" w:color="auto" w:fill="FFFFFF"/>
              </w:rPr>
              <w:t xml:space="preserve"> </w:t>
            </w:r>
            <w:proofErr w:type="spellStart"/>
            <w:r w:rsidRPr="00EE4BA6">
              <w:rPr>
                <w:rFonts w:eastAsia="Calibri"/>
                <w:shd w:val="clear" w:color="auto" w:fill="FFFFFF"/>
              </w:rPr>
              <w:t>поштового</w:t>
            </w:r>
            <w:proofErr w:type="spellEnd"/>
            <w:r w:rsidRPr="00EE4BA6">
              <w:rPr>
                <w:rFonts w:eastAsia="Calibri"/>
                <w:shd w:val="clear" w:color="auto" w:fill="FFFFFF"/>
              </w:rPr>
              <w:t xml:space="preserve"> </w:t>
            </w:r>
            <w:proofErr w:type="spellStart"/>
            <w:r w:rsidRPr="00EE4BA6">
              <w:rPr>
                <w:rFonts w:eastAsia="Calibri"/>
                <w:shd w:val="clear" w:color="auto" w:fill="FFFFFF"/>
              </w:rPr>
              <w:t>зв’язку</w:t>
            </w:r>
            <w:proofErr w:type="spellEnd"/>
            <w:r w:rsidRPr="00EE4BA6">
              <w:rPr>
                <w:rFonts w:eastAsia="Calibri"/>
                <w:shd w:val="clear" w:color="auto" w:fill="FFFFFF"/>
              </w:rPr>
              <w:t>;</w:t>
            </w:r>
          </w:p>
          <w:p w:rsidR="00AC499C" w:rsidRPr="00EE4BA6" w:rsidRDefault="00AC499C" w:rsidP="000303D7">
            <w:pPr>
              <w:numPr>
                <w:ilvl w:val="0"/>
                <w:numId w:val="1"/>
              </w:numPr>
              <w:ind w:left="-38" w:firstLine="283"/>
              <w:contextualSpacing/>
              <w:rPr>
                <w:rFonts w:eastAsia="Calibri"/>
              </w:rPr>
            </w:pPr>
            <w:proofErr w:type="spellStart"/>
            <w:r w:rsidRPr="00EE4BA6">
              <w:rPr>
                <w:rFonts w:eastAsia="Calibri"/>
              </w:rPr>
              <w:t>матеріально-технічна</w:t>
            </w:r>
            <w:proofErr w:type="spellEnd"/>
            <w:r w:rsidRPr="00EE4BA6">
              <w:rPr>
                <w:rFonts w:eastAsia="Calibri"/>
              </w:rPr>
              <w:t xml:space="preserve"> база </w:t>
            </w:r>
            <w:proofErr w:type="spellStart"/>
            <w:r w:rsidRPr="00EE4BA6">
              <w:rPr>
                <w:rFonts w:eastAsia="Calibri"/>
              </w:rPr>
              <w:t>пошкоджена</w:t>
            </w:r>
            <w:proofErr w:type="spellEnd"/>
            <w:r w:rsidRPr="00EE4BA6">
              <w:rPr>
                <w:rFonts w:eastAsia="Calibri"/>
              </w:rPr>
              <w:t xml:space="preserve"> та </w:t>
            </w:r>
            <w:proofErr w:type="spellStart"/>
            <w:r w:rsidRPr="00EE4BA6">
              <w:rPr>
                <w:rFonts w:eastAsia="Calibri"/>
              </w:rPr>
              <w:t>розграбована</w:t>
            </w:r>
            <w:proofErr w:type="spellEnd"/>
          </w:p>
          <w:p w:rsidR="00AC499C" w:rsidRPr="00EE4BA6" w:rsidRDefault="00AC499C" w:rsidP="000303D7">
            <w:pPr>
              <w:numPr>
                <w:ilvl w:val="0"/>
                <w:numId w:val="1"/>
              </w:numPr>
              <w:ind w:left="-38" w:firstLine="283"/>
              <w:contextualSpacing/>
              <w:rPr>
                <w:rFonts w:eastAsia="Calibri"/>
              </w:rPr>
            </w:pPr>
            <w:proofErr w:type="spellStart"/>
            <w:r w:rsidRPr="00EE4BA6">
              <w:rPr>
                <w:rFonts w:eastAsia="Calibri"/>
              </w:rPr>
              <w:t>готовність</w:t>
            </w:r>
            <w:proofErr w:type="spellEnd"/>
            <w:r w:rsidRPr="00EE4BA6">
              <w:rPr>
                <w:rFonts w:eastAsia="Calibri"/>
              </w:rPr>
              <w:t xml:space="preserve"> до </w:t>
            </w:r>
            <w:proofErr w:type="spellStart"/>
            <w:r w:rsidRPr="00EE4BA6">
              <w:rPr>
                <w:rFonts w:eastAsia="Calibri"/>
              </w:rPr>
              <w:t>надання</w:t>
            </w:r>
            <w:proofErr w:type="spellEnd"/>
            <w:r w:rsidRPr="00EE4BA6">
              <w:rPr>
                <w:rFonts w:eastAsia="Calibri"/>
              </w:rPr>
              <w:t xml:space="preserve"> </w:t>
            </w:r>
            <w:proofErr w:type="spellStart"/>
            <w:r w:rsidRPr="00EE4BA6">
              <w:rPr>
                <w:rFonts w:eastAsia="Calibri"/>
              </w:rPr>
              <w:t>послуг</w:t>
            </w:r>
            <w:proofErr w:type="spellEnd"/>
            <w:r w:rsidRPr="00EE4BA6">
              <w:rPr>
                <w:rFonts w:eastAsia="Calibri"/>
              </w:rPr>
              <w:t xml:space="preserve"> _____ %;</w:t>
            </w:r>
          </w:p>
          <w:p w:rsidR="00AC499C" w:rsidRPr="00EE4BA6" w:rsidRDefault="00AC499C" w:rsidP="000303D7">
            <w:pPr>
              <w:numPr>
                <w:ilvl w:val="0"/>
                <w:numId w:val="1"/>
              </w:numPr>
              <w:ind w:left="-38" w:firstLine="283"/>
              <w:contextualSpacing/>
              <w:rPr>
                <w:rFonts w:eastAsia="Calibri"/>
              </w:rPr>
            </w:pPr>
            <w:proofErr w:type="spellStart"/>
            <w:r w:rsidRPr="00EE4BA6">
              <w:rPr>
                <w:rFonts w:eastAsia="Calibri"/>
              </w:rPr>
              <w:lastRenderedPageBreak/>
              <w:t>завдані</w:t>
            </w:r>
            <w:proofErr w:type="spellEnd"/>
            <w:r w:rsidRPr="00EE4BA6">
              <w:rPr>
                <w:rFonts w:eastAsia="Calibri"/>
              </w:rPr>
              <w:t xml:space="preserve"> </w:t>
            </w:r>
            <w:proofErr w:type="spellStart"/>
            <w:r w:rsidRPr="00EE4BA6">
              <w:rPr>
                <w:rFonts w:eastAsia="Calibri"/>
              </w:rPr>
              <w:t>збитки</w:t>
            </w:r>
            <w:proofErr w:type="spellEnd"/>
            <w:r w:rsidRPr="00EE4BA6">
              <w:rPr>
                <w:rFonts w:eastAsia="Calibri"/>
              </w:rPr>
              <w:t xml:space="preserve"> ______.</w:t>
            </w:r>
          </w:p>
        </w:tc>
      </w:tr>
    </w:tbl>
    <w:p w:rsidR="00AC499C" w:rsidRPr="00EE4BA6" w:rsidRDefault="00AC499C" w:rsidP="00AC499C">
      <w:pPr>
        <w:ind w:firstLine="708"/>
        <w:rPr>
          <w:rFonts w:eastAsia="Calibri"/>
        </w:rPr>
      </w:pPr>
    </w:p>
    <w:p w:rsidR="00AC499C" w:rsidRPr="00E95FB1" w:rsidRDefault="00AC499C" w:rsidP="00AC499C">
      <w:pPr>
        <w:ind w:firstLine="567"/>
        <w:rPr>
          <w:rFonts w:eastAsia="Calibri"/>
        </w:rPr>
      </w:pPr>
      <w:r w:rsidRPr="00EE4BA6">
        <w:rPr>
          <w:rFonts w:eastAsia="Calibri"/>
        </w:rPr>
        <w:t>Інформація щодо стану, ступеню руйнації об’єктів критичної та соціальної інфраструктури, об’єктів житлового</w:t>
      </w:r>
      <w:r w:rsidRPr="00E95FB1">
        <w:rPr>
          <w:rFonts w:eastAsia="Calibri"/>
        </w:rPr>
        <w:t xml:space="preserve"> та громадського призначення інших населених пунктів </w:t>
      </w:r>
      <w:proofErr w:type="spellStart"/>
      <w:r w:rsidRPr="00E95FB1">
        <w:rPr>
          <w:rFonts w:eastAsia="Calibri"/>
        </w:rPr>
        <w:t>Сєвєрдоонецької</w:t>
      </w:r>
      <w:proofErr w:type="spellEnd"/>
      <w:r w:rsidRPr="00E95FB1">
        <w:rPr>
          <w:rFonts w:eastAsia="Calibri"/>
        </w:rPr>
        <w:t xml:space="preserve"> міської територіальної громади: ___________________________________.</w:t>
      </w:r>
    </w:p>
    <w:p w:rsidR="00AC499C" w:rsidRPr="00E95FB1" w:rsidRDefault="00AC499C" w:rsidP="00AC499C">
      <w:pPr>
        <w:ind w:firstLine="567"/>
        <w:rPr>
          <w:rFonts w:eastAsia="Calibri"/>
        </w:rPr>
      </w:pPr>
    </w:p>
    <w:p w:rsidR="00AC499C" w:rsidRPr="00E95FB1" w:rsidRDefault="00AC499C" w:rsidP="00AC499C">
      <w:pPr>
        <w:pStyle w:val="1"/>
        <w:rPr>
          <w:rFonts w:eastAsia="Calibri"/>
        </w:rPr>
      </w:pPr>
      <w:bookmarkStart w:id="6" w:name="_Toc142141274"/>
      <w:bookmarkStart w:id="7" w:name="_Toc143012469"/>
      <w:r w:rsidRPr="00E95FB1">
        <w:t>Стан об'єктів критичної та соціальної інфраструктури, об’єктів житлового та громадського призначення, які найбільше впливають на життя людей і функціонування яких має бути відновлене у максимально короткі терміни.</w:t>
      </w:r>
      <w:bookmarkEnd w:id="6"/>
      <w:bookmarkEnd w:id="7"/>
      <w:r w:rsidRPr="00E95FB1">
        <w:rPr>
          <w:color w:val="FF0000"/>
        </w:rPr>
        <w:t xml:space="preserve"> </w:t>
      </w:r>
      <w:r w:rsidRPr="00E95FB1">
        <w:rPr>
          <w:rFonts w:eastAsia="Calibri"/>
          <w:color w:val="FF0000"/>
        </w:rPr>
        <w:t xml:space="preserve"> </w:t>
      </w:r>
    </w:p>
    <w:p w:rsidR="00AC499C" w:rsidRPr="00E95FB1" w:rsidRDefault="00AC499C" w:rsidP="00AC499C">
      <w:pPr>
        <w:rPr>
          <w:rFonts w:eastAsia="Calibri"/>
        </w:rPr>
      </w:pPr>
    </w:p>
    <w:p w:rsidR="00AC499C" w:rsidRPr="00E95FB1" w:rsidRDefault="00AC499C" w:rsidP="00AC499C">
      <w:pPr>
        <w:shd w:val="clear" w:color="auto" w:fill="FFFFFF"/>
        <w:ind w:firstLine="709"/>
        <w:rPr>
          <w:lang w:eastAsia="uk-UA"/>
        </w:rPr>
      </w:pPr>
      <w:r w:rsidRPr="00E95FB1">
        <w:rPr>
          <w:spacing w:val="12"/>
          <w:shd w:val="clear" w:color="auto" w:fill="FFFFFF"/>
          <w:lang w:eastAsia="uk-UA"/>
        </w:rPr>
        <w:t xml:space="preserve">Згідно </w:t>
      </w:r>
      <w:r w:rsidR="00F52A81">
        <w:rPr>
          <w:spacing w:val="12"/>
          <w:shd w:val="clear" w:color="auto" w:fill="FFFFFF"/>
          <w:lang w:eastAsia="uk-UA"/>
        </w:rPr>
        <w:t xml:space="preserve">із </w:t>
      </w:r>
      <w:r w:rsidRPr="00E95FB1">
        <w:rPr>
          <w:spacing w:val="12"/>
          <w:shd w:val="clear" w:color="auto" w:fill="FFFFFF"/>
          <w:lang w:eastAsia="uk-UA"/>
        </w:rPr>
        <w:t>Закон</w:t>
      </w:r>
      <w:r w:rsidR="00F52A81">
        <w:rPr>
          <w:spacing w:val="12"/>
          <w:shd w:val="clear" w:color="auto" w:fill="FFFFFF"/>
          <w:lang w:eastAsia="uk-UA"/>
        </w:rPr>
        <w:t>ом</w:t>
      </w:r>
      <w:r w:rsidRPr="00E95FB1">
        <w:rPr>
          <w:spacing w:val="12"/>
          <w:shd w:val="clear" w:color="auto" w:fill="FFFFFF"/>
          <w:lang w:eastAsia="uk-UA"/>
        </w:rPr>
        <w:t xml:space="preserve"> України «Про засади державної регіональної політики» </w:t>
      </w:r>
      <w:r w:rsidRPr="00E95FB1">
        <w:rPr>
          <w:shd w:val="clear" w:color="auto" w:fill="FFFFFF"/>
          <w:lang w:eastAsia="uk-UA"/>
        </w:rPr>
        <w:t>відновлення територій, що постраждали внаслідок збройної агресії проти України – це комплекс першочергових організаційних, фінансових та інших заходів, що спрямовуються на прискорене відновлення об’єктів критичної інфраструктури, соціальної інфраструктури, об’єктів житлового та громадського призначення до стану, що дозволяє забезпечити повернення в регіон внутрішньо переміщених осіб та біженців, створення сприятливих умов для діяльності всіх суб’єктів господарювання.</w:t>
      </w:r>
      <w:bookmarkStart w:id="8" w:name="_Hlk137471733"/>
    </w:p>
    <w:bookmarkEnd w:id="8"/>
    <w:p w:rsidR="00AC499C" w:rsidRDefault="00AC499C" w:rsidP="00AC499C">
      <w:pPr>
        <w:rPr>
          <w:rFonts w:eastAsia="Calibri"/>
          <w:shd w:val="clear" w:color="auto" w:fill="FFFFFF"/>
        </w:rPr>
      </w:pPr>
    </w:p>
    <w:p w:rsidR="00AC499C" w:rsidRPr="00E95FB1" w:rsidRDefault="00AC499C" w:rsidP="00AC499C">
      <w:pPr>
        <w:ind w:firstLine="709"/>
        <w:rPr>
          <w:rFonts w:eastAsia="Calibri"/>
          <w:shd w:val="clear" w:color="auto" w:fill="FFFFFF"/>
        </w:rPr>
      </w:pPr>
      <w:r w:rsidRPr="00E95FB1">
        <w:rPr>
          <w:rFonts w:eastAsia="Calibri"/>
          <w:shd w:val="clear" w:color="auto" w:fill="FFFFFF"/>
        </w:rPr>
        <w:t xml:space="preserve">У </w:t>
      </w:r>
      <w:proofErr w:type="spellStart"/>
      <w:r w:rsidRPr="00E95FB1">
        <w:rPr>
          <w:rFonts w:eastAsia="Calibri"/>
          <w:shd w:val="clear" w:color="auto" w:fill="FFFFFF"/>
        </w:rPr>
        <w:t>деокупованих</w:t>
      </w:r>
      <w:proofErr w:type="spellEnd"/>
      <w:r w:rsidRPr="00E95FB1">
        <w:rPr>
          <w:rFonts w:eastAsia="Calibri"/>
          <w:shd w:val="clear" w:color="auto" w:fill="FFFFFF"/>
        </w:rPr>
        <w:t xml:space="preserve"> населених пунктах проводяться першочергові заходи з базового забезпечення життєдіяльності громад (електромережі, водопостачання, водовідведення, газопостачання, зв’язок, українське </w:t>
      </w:r>
      <w:proofErr w:type="spellStart"/>
      <w:r w:rsidRPr="00E95FB1">
        <w:rPr>
          <w:rFonts w:eastAsia="Calibri"/>
          <w:shd w:val="clear" w:color="auto" w:fill="FFFFFF"/>
        </w:rPr>
        <w:t>теле</w:t>
      </w:r>
      <w:proofErr w:type="spellEnd"/>
      <w:r w:rsidRPr="00E95FB1">
        <w:rPr>
          <w:rFonts w:eastAsia="Calibri"/>
          <w:shd w:val="clear" w:color="auto" w:fill="FFFFFF"/>
        </w:rPr>
        <w:t>-радіомовлення, розмінування тощо).</w:t>
      </w:r>
    </w:p>
    <w:p w:rsidR="00AC499C" w:rsidRDefault="00AC499C" w:rsidP="00AC499C">
      <w:pPr>
        <w:ind w:firstLine="709"/>
        <w:rPr>
          <w:rFonts w:eastAsia="Calibri"/>
        </w:rPr>
      </w:pPr>
    </w:p>
    <w:p w:rsidR="00AC499C" w:rsidRDefault="00AC499C" w:rsidP="00AC499C">
      <w:pPr>
        <w:ind w:firstLine="709"/>
        <w:rPr>
          <w:rFonts w:eastAsia="Calibri"/>
        </w:rPr>
      </w:pPr>
      <w:r w:rsidRPr="00E95FB1">
        <w:rPr>
          <w:rFonts w:eastAsia="Calibri"/>
        </w:rPr>
        <w:t xml:space="preserve">За даними на початок 2021 року житловий фонд міста складав </w:t>
      </w:r>
      <w:r w:rsidRPr="00C2154F">
        <w:rPr>
          <w:rFonts w:eastAsia="Calibri"/>
        </w:rPr>
        <w:t>80</w:t>
      </w:r>
      <w:r>
        <w:rPr>
          <w:rFonts w:eastAsia="Calibri"/>
        </w:rPr>
        <w:t>9</w:t>
      </w:r>
      <w:r w:rsidRPr="00E95FB1">
        <w:rPr>
          <w:rFonts w:eastAsia="Calibri"/>
        </w:rPr>
        <w:t xml:space="preserve"> будинків, управителем більшості з яких є Житлово-експлуатаційне підприємство КП «</w:t>
      </w:r>
      <w:proofErr w:type="spellStart"/>
      <w:r w:rsidRPr="00E95FB1">
        <w:rPr>
          <w:rFonts w:eastAsia="Calibri"/>
        </w:rPr>
        <w:t>Житлосервіс</w:t>
      </w:r>
      <w:proofErr w:type="spellEnd"/>
      <w:r w:rsidRPr="00E95FB1">
        <w:rPr>
          <w:rFonts w:eastAsia="Calibri"/>
        </w:rPr>
        <w:t xml:space="preserve"> </w:t>
      </w:r>
      <w:r w:rsidR="00614495">
        <w:rPr>
          <w:rFonts w:eastAsia="Calibri"/>
        </w:rPr>
        <w:t>«</w:t>
      </w:r>
      <w:r w:rsidRPr="00E95FB1">
        <w:rPr>
          <w:rFonts w:eastAsia="Calibri"/>
        </w:rPr>
        <w:t>Світанок</w:t>
      </w:r>
      <w:r w:rsidR="00614495">
        <w:rPr>
          <w:rFonts w:eastAsia="Calibri"/>
        </w:rPr>
        <w:t>»</w:t>
      </w:r>
      <w:r w:rsidRPr="00E95FB1">
        <w:rPr>
          <w:rFonts w:eastAsia="Calibri"/>
        </w:rPr>
        <w:t xml:space="preserve">». Проблемою в місті був застарілий житловий та ліфтовий фонд міста. </w:t>
      </w:r>
    </w:p>
    <w:p w:rsidR="00AC499C" w:rsidRDefault="00AC499C" w:rsidP="00AC499C">
      <w:pPr>
        <w:ind w:firstLine="709"/>
        <w:rPr>
          <w:rFonts w:eastAsia="Calibri"/>
        </w:rPr>
      </w:pPr>
    </w:p>
    <w:p w:rsidR="00AC499C" w:rsidRPr="00E95FB1" w:rsidRDefault="00AC499C" w:rsidP="00AC499C">
      <w:pPr>
        <w:ind w:firstLine="709"/>
        <w:rPr>
          <w:rFonts w:eastAsia="Calibri"/>
        </w:rPr>
      </w:pPr>
      <w:r w:rsidRPr="00E95FB1">
        <w:rPr>
          <w:rFonts w:eastAsia="Calibri"/>
        </w:rPr>
        <w:t xml:space="preserve">Водопровідно-каналізаційне господарство міста налічувало 3 водозабори підземних вод та 253,8 км мереж водопостачання, 2 каналізаційні насосні станції та 154,7 км мереж каналізації.  </w:t>
      </w:r>
    </w:p>
    <w:p w:rsidR="00AC499C" w:rsidRDefault="00AC499C" w:rsidP="00AC499C">
      <w:pPr>
        <w:ind w:firstLine="709"/>
        <w:rPr>
          <w:rFonts w:eastAsia="Calibri"/>
        </w:rPr>
      </w:pPr>
    </w:p>
    <w:p w:rsidR="00AC499C" w:rsidRPr="00E95FB1" w:rsidRDefault="00AC499C" w:rsidP="00AC499C">
      <w:pPr>
        <w:ind w:firstLine="709"/>
        <w:rPr>
          <w:rFonts w:eastAsia="Calibri"/>
        </w:rPr>
      </w:pPr>
      <w:r w:rsidRPr="00E95FB1">
        <w:rPr>
          <w:rFonts w:eastAsia="Calibri"/>
        </w:rPr>
        <w:t xml:space="preserve">Ще до проведення </w:t>
      </w:r>
      <w:r w:rsidR="006508BD">
        <w:rPr>
          <w:rFonts w:eastAsia="Calibri"/>
        </w:rPr>
        <w:t>активних</w:t>
      </w:r>
      <w:r w:rsidR="006508BD" w:rsidRPr="00E95FB1">
        <w:rPr>
          <w:rFonts w:eastAsia="Calibri"/>
        </w:rPr>
        <w:t xml:space="preserve"> </w:t>
      </w:r>
      <w:r w:rsidRPr="00E95FB1">
        <w:rPr>
          <w:rFonts w:eastAsia="Calibri"/>
        </w:rPr>
        <w:t>бойових дій комунальна інфраструктура, інженерні мережі були зношені.</w:t>
      </w:r>
    </w:p>
    <w:p w:rsidR="00AC499C" w:rsidRDefault="00AC499C" w:rsidP="00AC499C">
      <w:pPr>
        <w:ind w:firstLine="709"/>
        <w:rPr>
          <w:rFonts w:eastAsia="Calibri"/>
        </w:rPr>
      </w:pPr>
    </w:p>
    <w:p w:rsidR="00AC499C" w:rsidRPr="00E95FB1" w:rsidRDefault="00AC499C" w:rsidP="00AC499C">
      <w:pPr>
        <w:ind w:firstLine="709"/>
        <w:rPr>
          <w:rFonts w:eastAsia="Calibri"/>
        </w:rPr>
      </w:pPr>
      <w:r w:rsidRPr="00E95FB1">
        <w:rPr>
          <w:rFonts w:eastAsia="Calibri"/>
        </w:rPr>
        <w:t xml:space="preserve">Теплопостачання м. Сєвєродонецька здійснювалось централізованими та частково децентралізованими системами. Основними джерелами централізованого теплопостачання міста були: </w:t>
      </w:r>
      <w:r w:rsidR="006508BD">
        <w:rPr>
          <w:rFonts w:eastAsia="Calibri"/>
        </w:rPr>
        <w:t>АТ</w:t>
      </w:r>
      <w:r w:rsidRPr="00E95FB1">
        <w:rPr>
          <w:rFonts w:eastAsia="Calibri"/>
        </w:rPr>
        <w:t xml:space="preserve"> «Сєвєродонецька теплоелектроцентраль» та 2 опалювальні котельні (районна та квартальна), які </w:t>
      </w:r>
      <w:r w:rsidRPr="00E95FB1">
        <w:rPr>
          <w:rFonts w:eastAsia="Calibri"/>
        </w:rPr>
        <w:lastRenderedPageBreak/>
        <w:t>належать комунальному підприємству «</w:t>
      </w:r>
      <w:proofErr w:type="spellStart"/>
      <w:r w:rsidRPr="00E95FB1">
        <w:rPr>
          <w:rFonts w:eastAsia="Calibri"/>
        </w:rPr>
        <w:t>Сєвєродонецьктеплокомуненерго</w:t>
      </w:r>
      <w:proofErr w:type="spellEnd"/>
      <w:r w:rsidRPr="00E95FB1">
        <w:rPr>
          <w:rFonts w:eastAsia="Calibri"/>
        </w:rPr>
        <w:t>». Загальна довжина мереж теплопостачання у місті становил</w:t>
      </w:r>
      <w:r w:rsidR="00D02E4E">
        <w:rPr>
          <w:rFonts w:eastAsia="Calibri"/>
        </w:rPr>
        <w:t>а</w:t>
      </w:r>
      <w:r w:rsidRPr="00E95FB1">
        <w:rPr>
          <w:rFonts w:eastAsia="Calibri"/>
        </w:rPr>
        <w:t xml:space="preserve"> 167,1 км, з них вважались фізично зношеними ще до проведення </w:t>
      </w:r>
      <w:proofErr w:type="spellStart"/>
      <w:r w:rsidR="003A4E10">
        <w:rPr>
          <w:rFonts w:eastAsia="Calibri"/>
          <w:lang w:val="ru-RU"/>
        </w:rPr>
        <w:t>активних</w:t>
      </w:r>
      <w:proofErr w:type="spellEnd"/>
      <w:r w:rsidR="003A4E10">
        <w:rPr>
          <w:rFonts w:eastAsia="Calibri"/>
          <w:lang w:val="ru-RU"/>
        </w:rPr>
        <w:t xml:space="preserve"> </w:t>
      </w:r>
      <w:r w:rsidRPr="00E95FB1">
        <w:rPr>
          <w:rFonts w:eastAsia="Calibri"/>
        </w:rPr>
        <w:t xml:space="preserve">бойових дій в місті більше ніж 70 % мереж. Схема теплопостачання міста застаріла та потребувала оновлення. Перед початком </w:t>
      </w:r>
      <w:r w:rsidR="00846037">
        <w:rPr>
          <w:rFonts w:eastAsia="Calibri"/>
        </w:rPr>
        <w:t>збройної</w:t>
      </w:r>
      <w:r w:rsidRPr="00E95FB1">
        <w:rPr>
          <w:rFonts w:eastAsia="Calibri"/>
        </w:rPr>
        <w:t xml:space="preserve"> агресії </w:t>
      </w:r>
      <w:r w:rsidR="00140343">
        <w:rPr>
          <w:rFonts w:eastAsia="Calibri"/>
        </w:rPr>
        <w:t>РФ</w:t>
      </w:r>
      <w:r w:rsidRPr="00E95FB1">
        <w:rPr>
          <w:rFonts w:eastAsia="Calibri"/>
        </w:rPr>
        <w:t xml:space="preserve"> проти України Сєвєродонецька міська територіальна громада за підтримки </w:t>
      </w:r>
      <w:r w:rsidRPr="00E95FB1">
        <w:rPr>
          <w:color w:val="222222"/>
          <w:shd w:val="clear" w:color="auto" w:fill="FFFFFF"/>
        </w:rPr>
        <w:t xml:space="preserve">USAID </w:t>
      </w:r>
      <w:r w:rsidR="00D02E4E">
        <w:rPr>
          <w:color w:val="222222"/>
          <w:shd w:val="clear" w:color="auto" w:fill="FFFFFF"/>
        </w:rPr>
        <w:t>«</w:t>
      </w:r>
      <w:proofErr w:type="spellStart"/>
      <w:r w:rsidRPr="00E95FB1">
        <w:rPr>
          <w:color w:val="222222"/>
          <w:shd w:val="clear" w:color="auto" w:fill="FFFFFF"/>
        </w:rPr>
        <w:t>Проєкт</w:t>
      </w:r>
      <w:proofErr w:type="spellEnd"/>
      <w:r w:rsidRPr="00E95FB1">
        <w:rPr>
          <w:color w:val="222222"/>
          <w:shd w:val="clear" w:color="auto" w:fill="FFFFFF"/>
        </w:rPr>
        <w:t xml:space="preserve"> енергетичної безпеки</w:t>
      </w:r>
      <w:r w:rsidR="00D02E4E">
        <w:rPr>
          <w:color w:val="222222"/>
          <w:shd w:val="clear" w:color="auto" w:fill="FFFFFF"/>
        </w:rPr>
        <w:t>»</w:t>
      </w:r>
      <w:r w:rsidRPr="00E95FB1">
        <w:rPr>
          <w:color w:val="222222"/>
          <w:shd w:val="clear" w:color="auto" w:fill="FFFFFF"/>
        </w:rPr>
        <w:t xml:space="preserve"> розпочала розробку схеми теплопостачання м.</w:t>
      </w:r>
      <w:r>
        <w:rPr>
          <w:color w:val="222222"/>
          <w:shd w:val="clear" w:color="auto" w:fill="FFFFFF"/>
        </w:rPr>
        <w:t xml:space="preserve"> </w:t>
      </w:r>
      <w:r w:rsidRPr="00E95FB1">
        <w:rPr>
          <w:color w:val="222222"/>
          <w:shd w:val="clear" w:color="auto" w:fill="FFFFFF"/>
        </w:rPr>
        <w:t>Сєвєродонецьк.</w:t>
      </w:r>
    </w:p>
    <w:p w:rsidR="00AC499C" w:rsidRDefault="00AC499C" w:rsidP="00AC499C">
      <w:pPr>
        <w:shd w:val="clear" w:color="auto" w:fill="FFFFFF"/>
        <w:ind w:firstLine="709"/>
        <w:rPr>
          <w:lang w:eastAsia="uk-UA"/>
        </w:rPr>
      </w:pPr>
    </w:p>
    <w:p w:rsidR="00AC499C" w:rsidRDefault="00AC499C" w:rsidP="00AC499C">
      <w:pPr>
        <w:shd w:val="clear" w:color="auto" w:fill="FFFFFF"/>
        <w:ind w:firstLine="709"/>
        <w:rPr>
          <w:lang w:eastAsia="uk-UA"/>
        </w:rPr>
      </w:pPr>
      <w:r w:rsidRPr="00E95FB1">
        <w:rPr>
          <w:lang w:eastAsia="uk-UA"/>
        </w:rPr>
        <w:t xml:space="preserve">Тобто, житловий фонд та інфраструктура міста вже давно потребувала оновлення та модернізації. З одного боку, після </w:t>
      </w:r>
      <w:proofErr w:type="spellStart"/>
      <w:r w:rsidRPr="00E95FB1">
        <w:rPr>
          <w:lang w:eastAsia="uk-UA"/>
        </w:rPr>
        <w:t>деокупації</w:t>
      </w:r>
      <w:proofErr w:type="spellEnd"/>
      <w:r w:rsidRPr="00E95FB1">
        <w:rPr>
          <w:lang w:eastAsia="uk-UA"/>
        </w:rPr>
        <w:t xml:space="preserve"> </w:t>
      </w:r>
      <w:r w:rsidR="00847FC8">
        <w:rPr>
          <w:lang w:eastAsia="uk-UA"/>
        </w:rPr>
        <w:t>території</w:t>
      </w:r>
      <w:r w:rsidR="00847FC8" w:rsidRPr="00E95FB1">
        <w:rPr>
          <w:lang w:eastAsia="uk-UA"/>
        </w:rPr>
        <w:t xml:space="preserve"> </w:t>
      </w:r>
      <w:r w:rsidRPr="00E95FB1">
        <w:rPr>
          <w:lang w:eastAsia="uk-UA"/>
        </w:rPr>
        <w:t xml:space="preserve">необхідно в максимально короткі строки відновити житловий фонд та інфраструктуру для того, щоб населення, яке буде повертатись в місто, було забезпечено житлом та всіма комунальними послугами. Але, з іншого боку, просте </w:t>
      </w:r>
      <w:r w:rsidR="003D4095">
        <w:rPr>
          <w:lang w:eastAsia="uk-UA"/>
        </w:rPr>
        <w:t>«</w:t>
      </w:r>
      <w:r w:rsidRPr="00E95FB1">
        <w:rPr>
          <w:lang w:eastAsia="uk-UA"/>
        </w:rPr>
        <w:t>закриття дірок</w:t>
      </w:r>
      <w:r w:rsidR="003D4095">
        <w:rPr>
          <w:lang w:eastAsia="uk-UA"/>
        </w:rPr>
        <w:t>»</w:t>
      </w:r>
      <w:r w:rsidRPr="00E95FB1">
        <w:rPr>
          <w:lang w:eastAsia="uk-UA"/>
        </w:rPr>
        <w:t>, тимчасові заходи так і можуть залишитись довгостроковими. В зв’язку з цим балансоутримувачі комунальних об’єктів, об’єктів соціальної інфраструктури, що забезпечують життєдіяльність міста, повинні збалансовано підійти до питання відновлення житла та інфраструктури міста, визначити потреби жителів у відновленні та встановити обсяги відновлення – що потрібно відновити з застосуванням сучасних методів та матеріалів, а що потребує повної реконструкції або демонтажу та нового будівництва.</w:t>
      </w:r>
    </w:p>
    <w:p w:rsidR="00AC499C" w:rsidRPr="00E95FB1" w:rsidRDefault="00AC499C" w:rsidP="00AC499C">
      <w:pPr>
        <w:shd w:val="clear" w:color="auto" w:fill="FFFFFF"/>
        <w:ind w:firstLine="709"/>
        <w:rPr>
          <w:lang w:eastAsia="uk-UA"/>
        </w:rPr>
      </w:pPr>
    </w:p>
    <w:p w:rsidR="00AC499C" w:rsidRDefault="00AC499C" w:rsidP="00AC499C">
      <w:pPr>
        <w:shd w:val="clear" w:color="auto" w:fill="FFFFFF"/>
        <w:ind w:firstLine="709"/>
        <w:rPr>
          <w:lang w:eastAsia="uk-UA"/>
        </w:rPr>
      </w:pPr>
      <w:r w:rsidRPr="00E95FB1">
        <w:rPr>
          <w:lang w:eastAsia="uk-UA"/>
        </w:rPr>
        <w:t xml:space="preserve">Реконструкція існуючих </w:t>
      </w:r>
      <w:bookmarkStart w:id="9" w:name="_Hlk137473105"/>
      <w:r w:rsidRPr="00E95FB1">
        <w:rPr>
          <w:lang w:eastAsia="uk-UA"/>
        </w:rPr>
        <w:t>об’єктів</w:t>
      </w:r>
      <w:bookmarkEnd w:id="9"/>
      <w:r w:rsidRPr="00E95FB1">
        <w:rPr>
          <w:lang w:eastAsia="uk-UA"/>
        </w:rPr>
        <w:t xml:space="preserve">, нове будівництво або зміна функціонального призначення об’єктів повинно </w:t>
      </w:r>
      <w:proofErr w:type="spellStart"/>
      <w:r w:rsidRPr="00E95FB1">
        <w:rPr>
          <w:lang w:eastAsia="uk-UA"/>
        </w:rPr>
        <w:t>здійснюватись</w:t>
      </w:r>
      <w:proofErr w:type="spellEnd"/>
      <w:r w:rsidRPr="00E95FB1">
        <w:rPr>
          <w:lang w:eastAsia="uk-UA"/>
        </w:rPr>
        <w:t xml:space="preserve"> на підставі генплану міста та іншої містобудівної документації з дотриманням законодавства у будівельній сфері, а також з дотриманням вимог щодо </w:t>
      </w:r>
      <w:proofErr w:type="spellStart"/>
      <w:r w:rsidRPr="00E95FB1">
        <w:rPr>
          <w:lang w:eastAsia="uk-UA"/>
        </w:rPr>
        <w:t>інклюзивності</w:t>
      </w:r>
      <w:proofErr w:type="spellEnd"/>
      <w:r w:rsidRPr="00E95FB1">
        <w:rPr>
          <w:lang w:eastAsia="uk-UA"/>
        </w:rPr>
        <w:t xml:space="preserve"> та доступності для маломобільних груп населення.</w:t>
      </w:r>
    </w:p>
    <w:p w:rsidR="00AC499C" w:rsidRPr="00E95FB1" w:rsidRDefault="00AC499C" w:rsidP="00AC499C">
      <w:pPr>
        <w:shd w:val="clear" w:color="auto" w:fill="FFFFFF"/>
        <w:ind w:firstLine="709"/>
        <w:rPr>
          <w:lang w:eastAsia="uk-UA"/>
        </w:rPr>
      </w:pPr>
    </w:p>
    <w:p w:rsidR="00AC499C" w:rsidRPr="00E95FB1" w:rsidRDefault="00AC499C" w:rsidP="00AC499C">
      <w:pPr>
        <w:autoSpaceDE w:val="0"/>
        <w:autoSpaceDN w:val="0"/>
        <w:adjustRightInd w:val="0"/>
        <w:ind w:firstLine="709"/>
        <w:rPr>
          <w:rFonts w:eastAsia="Calibri"/>
        </w:rPr>
      </w:pPr>
      <w:r w:rsidRPr="00E95FB1">
        <w:rPr>
          <w:rFonts w:eastAsia="Calibri"/>
        </w:rPr>
        <w:t>Щодо стану зруйнованих об’єктів</w:t>
      </w:r>
      <w:r w:rsidR="00FE59A3">
        <w:rPr>
          <w:rFonts w:eastAsia="Calibri"/>
        </w:rPr>
        <w:t>,</w:t>
      </w:r>
      <w:r w:rsidRPr="00E95FB1">
        <w:rPr>
          <w:rFonts w:eastAsia="Calibri"/>
        </w:rPr>
        <w:t xml:space="preserve"> після </w:t>
      </w:r>
      <w:proofErr w:type="spellStart"/>
      <w:r w:rsidRPr="00E95FB1">
        <w:rPr>
          <w:rFonts w:eastAsia="Calibri"/>
        </w:rPr>
        <w:t>деокупації</w:t>
      </w:r>
      <w:proofErr w:type="spellEnd"/>
      <w:r w:rsidRPr="00E95FB1">
        <w:rPr>
          <w:rFonts w:eastAsia="Calibri"/>
        </w:rPr>
        <w:t xml:space="preserve"> </w:t>
      </w:r>
      <w:r w:rsidR="00905D4D">
        <w:rPr>
          <w:rFonts w:eastAsia="Calibri"/>
        </w:rPr>
        <w:t xml:space="preserve">території </w:t>
      </w:r>
      <w:r w:rsidRPr="00E95FB1">
        <w:rPr>
          <w:rFonts w:eastAsia="Calibri"/>
        </w:rPr>
        <w:t xml:space="preserve">Сєвєродонецької міської територіальної громади в максимально короткі строки необхідно провести моніторинг завданих пошкоджень та руйнувань </w:t>
      </w:r>
      <w:bookmarkStart w:id="10" w:name="_Hlk137200634"/>
      <w:r w:rsidRPr="00E95FB1">
        <w:rPr>
          <w:rFonts w:eastAsia="Calibri"/>
        </w:rPr>
        <w:t>об'єктів</w:t>
      </w:r>
      <w:bookmarkEnd w:id="10"/>
      <w:r w:rsidRPr="00E95FB1">
        <w:rPr>
          <w:rFonts w:eastAsia="Calibri"/>
        </w:rPr>
        <w:t xml:space="preserve"> критичної та соціальної інфраструктури, об’єктів житлового та громадського призначення, розташованих в межах населених пунктів громади. Зруйновані об'єкти, які стали непридатними для використання та становлять загрозу мешканцям населених пунктів, необхідно терміново загородити та провести роботи з їх демонтажу. Після демонтажу провести рекультивацію території.</w:t>
      </w:r>
    </w:p>
    <w:p w:rsidR="00AC499C" w:rsidRDefault="00AC499C" w:rsidP="00AC499C">
      <w:pPr>
        <w:autoSpaceDE w:val="0"/>
        <w:autoSpaceDN w:val="0"/>
        <w:adjustRightInd w:val="0"/>
        <w:ind w:firstLine="709"/>
        <w:rPr>
          <w:rFonts w:eastAsia="Calibri"/>
        </w:rPr>
      </w:pPr>
      <w:r w:rsidRPr="00E95FB1">
        <w:rPr>
          <w:rFonts w:eastAsia="Calibri"/>
        </w:rPr>
        <w:t>Питання демонтажу об’єктів слід приймати із залученням представників різних органів, зокрема, ДСНС, по кожному об’єкту та кожній сфері в індивідуальному порядку.</w:t>
      </w:r>
    </w:p>
    <w:p w:rsidR="00AC499C" w:rsidRPr="00E95FB1" w:rsidRDefault="00AC499C" w:rsidP="00AC499C">
      <w:pPr>
        <w:autoSpaceDE w:val="0"/>
        <w:autoSpaceDN w:val="0"/>
        <w:adjustRightInd w:val="0"/>
        <w:ind w:firstLine="709"/>
        <w:rPr>
          <w:rFonts w:eastAsia="Calibri"/>
        </w:rPr>
      </w:pPr>
    </w:p>
    <w:p w:rsidR="00AC499C" w:rsidRPr="00E95FB1" w:rsidRDefault="00AC499C" w:rsidP="00AC499C">
      <w:pPr>
        <w:ind w:firstLine="567"/>
        <w:rPr>
          <w:rFonts w:eastAsia="Calibri"/>
        </w:rPr>
      </w:pPr>
      <w:r w:rsidRPr="00E95FB1">
        <w:rPr>
          <w:rFonts w:eastAsia="Calibri"/>
        </w:rPr>
        <w:t xml:space="preserve">Після </w:t>
      </w:r>
      <w:proofErr w:type="spellStart"/>
      <w:r w:rsidRPr="00E95FB1">
        <w:rPr>
          <w:rFonts w:eastAsia="Calibri"/>
        </w:rPr>
        <w:t>деокупації</w:t>
      </w:r>
      <w:proofErr w:type="spellEnd"/>
      <w:r w:rsidRPr="00E95FB1">
        <w:rPr>
          <w:rFonts w:eastAsia="Calibri"/>
        </w:rPr>
        <w:t xml:space="preserve"> території Сєвєродонецької міської територіальної громади та створення безпечних умов (очищення території від вибухонебезпечних засобів) пріоритетними напрямками першочергового обстеження та відновлення повинні бути об'єкти критичної та соціальної </w:t>
      </w:r>
      <w:r w:rsidRPr="00E95FB1">
        <w:rPr>
          <w:rFonts w:eastAsia="Calibri"/>
        </w:rPr>
        <w:lastRenderedPageBreak/>
        <w:t xml:space="preserve">інфраструктури, об’єкти житлового та громадського призначення, які найбільше впливають на життєдіяльність мешканців, з урахуванням пори року, в якій здійснена </w:t>
      </w:r>
      <w:proofErr w:type="spellStart"/>
      <w:r w:rsidRPr="00E95FB1">
        <w:rPr>
          <w:rFonts w:eastAsia="Calibri"/>
        </w:rPr>
        <w:t>деокупація</w:t>
      </w:r>
      <w:proofErr w:type="spellEnd"/>
      <w:r w:rsidRPr="00E95FB1">
        <w:rPr>
          <w:rFonts w:eastAsia="Calibri"/>
        </w:rPr>
        <w:t xml:space="preserve"> території громади. </w:t>
      </w:r>
    </w:p>
    <w:p w:rsidR="00AC499C" w:rsidRDefault="00AC499C" w:rsidP="00AC499C">
      <w:pPr>
        <w:ind w:firstLine="567"/>
        <w:rPr>
          <w:rFonts w:eastAsia="Calibri"/>
        </w:rPr>
      </w:pPr>
    </w:p>
    <w:p w:rsidR="00AC499C" w:rsidRPr="00E95FB1" w:rsidRDefault="00AC499C" w:rsidP="00AC499C">
      <w:pPr>
        <w:ind w:firstLine="567"/>
        <w:rPr>
          <w:rFonts w:eastAsia="Calibri"/>
        </w:rPr>
      </w:pPr>
      <w:r w:rsidRPr="00E95FB1">
        <w:rPr>
          <w:rFonts w:eastAsia="Calibri"/>
        </w:rPr>
        <w:t xml:space="preserve">Адже, осінньо-зимовий період, враховуючи, зокрема можливість опадів, ожеледиці, температурний перепад, не є сприятливим для відновлення, зокрема автодоріг та зовнішніх мереж теплопостачання, газопостачання, водопостачання та водовідведення, електропостачання, відбудови багатоквартирних будинків тощо. Проте, в цей період є можливим проведення обстеження найбільш значущих об’єктів критичної інфраструктури з метою виявлення та оцінки стану їх руйнації, перспективи відбудови чи повного перетворення, розробки відповідних </w:t>
      </w:r>
      <w:proofErr w:type="spellStart"/>
      <w:r w:rsidRPr="00E95FB1">
        <w:rPr>
          <w:rFonts w:eastAsia="Calibri"/>
        </w:rPr>
        <w:t>проєктів</w:t>
      </w:r>
      <w:proofErr w:type="spellEnd"/>
      <w:r w:rsidRPr="00E95FB1">
        <w:rPr>
          <w:rFonts w:eastAsia="Calibri"/>
        </w:rPr>
        <w:t xml:space="preserve"> та їх узгодження. Також вірогідність масового повернення населення території Сєвєродонецької міської територіальної громади, здебільшого міського, в осінньо-зимовий період не висока.</w:t>
      </w:r>
    </w:p>
    <w:p w:rsidR="00AC499C" w:rsidRDefault="00AC499C" w:rsidP="00AC499C">
      <w:pPr>
        <w:ind w:firstLine="567"/>
        <w:rPr>
          <w:rFonts w:eastAsia="Calibri"/>
        </w:rPr>
      </w:pPr>
    </w:p>
    <w:p w:rsidR="00AC499C" w:rsidRDefault="00AC499C" w:rsidP="00AC499C">
      <w:pPr>
        <w:ind w:firstLine="567"/>
        <w:rPr>
          <w:rFonts w:eastAsia="Calibri"/>
        </w:rPr>
      </w:pPr>
      <w:r w:rsidRPr="00E95FB1">
        <w:rPr>
          <w:rFonts w:eastAsia="Calibri"/>
        </w:rPr>
        <w:t xml:space="preserve">Після </w:t>
      </w:r>
      <w:proofErr w:type="spellStart"/>
      <w:r w:rsidRPr="00E95FB1">
        <w:rPr>
          <w:rFonts w:eastAsia="Calibri"/>
        </w:rPr>
        <w:t>деокупації</w:t>
      </w:r>
      <w:proofErr w:type="spellEnd"/>
      <w:r w:rsidRPr="00E95FB1">
        <w:rPr>
          <w:rFonts w:eastAsia="Calibri"/>
        </w:rPr>
        <w:t xml:space="preserve"> та створенн</w:t>
      </w:r>
      <w:r w:rsidR="00C901DD">
        <w:rPr>
          <w:rFonts w:eastAsia="Calibri"/>
        </w:rPr>
        <w:t>я</w:t>
      </w:r>
      <w:r w:rsidRPr="00E95FB1">
        <w:rPr>
          <w:rFonts w:eastAsia="Calibri"/>
        </w:rPr>
        <w:t xml:space="preserve"> безпечних умов на території Сєвєродонецької міської територіальної громади першочергово обстеженню та якнайшвидшому оновленню/відбудові підлягають наступні об'єкти критичної та соціальної інфраструктури, об’єкти житлового та громадського призначення, які найбільше впливають на життєдіяльність мешканців:</w:t>
      </w:r>
    </w:p>
    <w:p w:rsidR="00AC499C" w:rsidRPr="00E95FB1" w:rsidRDefault="00AC499C" w:rsidP="00AC499C">
      <w:pPr>
        <w:ind w:firstLine="567"/>
        <w:rPr>
          <w:rFonts w:eastAsia="Calibri"/>
        </w:rPr>
      </w:pPr>
    </w:p>
    <w:p w:rsidR="00AC499C" w:rsidRPr="00E95FB1" w:rsidRDefault="00E76D69" w:rsidP="000303D7">
      <w:pPr>
        <w:numPr>
          <w:ilvl w:val="0"/>
          <w:numId w:val="2"/>
        </w:numPr>
        <w:contextualSpacing/>
        <w:rPr>
          <w:rFonts w:eastAsia="Calibri"/>
        </w:rPr>
      </w:pPr>
      <w:r>
        <w:rPr>
          <w:rFonts w:eastAsia="Calibri"/>
          <w:lang w:val="ru-RU"/>
        </w:rPr>
        <w:t>с</w:t>
      </w:r>
      <w:proofErr w:type="spellStart"/>
      <w:r w:rsidR="00AC499C" w:rsidRPr="00E95FB1">
        <w:rPr>
          <w:rFonts w:eastAsia="Calibri"/>
        </w:rPr>
        <w:t>тан</w:t>
      </w:r>
      <w:proofErr w:type="spellEnd"/>
      <w:r w:rsidR="00AC499C" w:rsidRPr="00E95FB1">
        <w:rPr>
          <w:rFonts w:eastAsia="Calibri"/>
        </w:rPr>
        <w:t xml:space="preserve"> доріг та мостів як внутрішньо міських, так і міжміських.</w:t>
      </w:r>
    </w:p>
    <w:p w:rsidR="00AC499C" w:rsidRPr="00E95FB1" w:rsidRDefault="00AC499C" w:rsidP="00AC499C">
      <w:pPr>
        <w:ind w:firstLine="709"/>
        <w:contextualSpacing/>
        <w:rPr>
          <w:rFonts w:eastAsia="Calibri"/>
        </w:rPr>
      </w:pPr>
      <w:r w:rsidRPr="00E95FB1">
        <w:rPr>
          <w:rFonts w:eastAsia="Calibri"/>
        </w:rPr>
        <w:t xml:space="preserve">Значення: необхідні для створення необхідної продовольчої бази та налагодження постачання продуктів та інших необхідних товарів, у </w:t>
      </w:r>
      <w:proofErr w:type="spellStart"/>
      <w:r w:rsidRPr="00E95FB1">
        <w:rPr>
          <w:rFonts w:eastAsia="Calibri"/>
        </w:rPr>
        <w:t>т.ч</w:t>
      </w:r>
      <w:proofErr w:type="spellEnd"/>
      <w:r w:rsidRPr="00E95FB1">
        <w:rPr>
          <w:rFonts w:eastAsia="Calibri"/>
        </w:rPr>
        <w:t>. особистого вжитку, матеріально-технічного забезпечення для обстеження та відновлення основних об’єктів критичної інфраструктури, зокрема будівельних матеріалів, інструментарію, технологій тощо.</w:t>
      </w:r>
    </w:p>
    <w:p w:rsidR="00AC499C" w:rsidRDefault="00AC499C" w:rsidP="00AC499C">
      <w:pPr>
        <w:ind w:firstLine="709"/>
        <w:contextualSpacing/>
        <w:rPr>
          <w:rFonts w:eastAsia="Calibri"/>
        </w:rPr>
      </w:pPr>
      <w:r w:rsidRPr="00E95FB1">
        <w:rPr>
          <w:rFonts w:eastAsia="Calibri"/>
        </w:rPr>
        <w:t>Примітка: вирішення питання відбудови чи будівництва з «нуля».</w:t>
      </w:r>
    </w:p>
    <w:p w:rsidR="00AC499C" w:rsidRPr="00E95FB1" w:rsidRDefault="00AC499C" w:rsidP="00AC499C">
      <w:pPr>
        <w:ind w:firstLine="709"/>
        <w:contextualSpacing/>
        <w:rPr>
          <w:rFonts w:eastAsia="Calibri"/>
        </w:rPr>
      </w:pPr>
    </w:p>
    <w:p w:rsidR="00AC499C" w:rsidRPr="00E95FB1" w:rsidRDefault="00AC499C" w:rsidP="001C62C9">
      <w:pPr>
        <w:numPr>
          <w:ilvl w:val="0"/>
          <w:numId w:val="2"/>
        </w:numPr>
        <w:tabs>
          <w:tab w:val="left" w:pos="709"/>
        </w:tabs>
        <w:ind w:hanging="218"/>
        <w:contextualSpacing/>
        <w:rPr>
          <w:rFonts w:eastAsia="Calibri"/>
          <w:u w:val="single"/>
        </w:rPr>
      </w:pPr>
      <w:r w:rsidRPr="00E95FB1">
        <w:rPr>
          <w:rFonts w:eastAsia="Calibri"/>
        </w:rPr>
        <w:t>Житло, на першому етапі</w:t>
      </w:r>
      <w:r w:rsidRPr="00EC48C8">
        <w:rPr>
          <w:rFonts w:eastAsia="Calibri"/>
        </w:rPr>
        <w:t>.</w:t>
      </w:r>
      <w:r w:rsidRPr="00E95FB1">
        <w:rPr>
          <w:rFonts w:eastAsia="Calibri"/>
          <w:u w:val="single"/>
        </w:rPr>
        <w:t xml:space="preserve"> </w:t>
      </w:r>
    </w:p>
    <w:p w:rsidR="00AC499C" w:rsidRPr="00E95FB1" w:rsidRDefault="00AC499C" w:rsidP="00AC499C">
      <w:pPr>
        <w:ind w:firstLine="567"/>
        <w:contextualSpacing/>
        <w:rPr>
          <w:rFonts w:eastAsia="Calibri"/>
        </w:rPr>
      </w:pPr>
      <w:r w:rsidRPr="00E95FB1">
        <w:rPr>
          <w:rFonts w:eastAsia="Calibri"/>
        </w:rPr>
        <w:t>Значення: для забезпечення проживання працівників, які будуть проводити першочергове обстеження та відновлення пріоритетних складових об’єктів критичної інфраструктури.</w:t>
      </w:r>
    </w:p>
    <w:p w:rsidR="00AC499C" w:rsidRDefault="00AC499C" w:rsidP="00AC499C">
      <w:pPr>
        <w:ind w:firstLine="567"/>
        <w:contextualSpacing/>
        <w:rPr>
          <w:rFonts w:eastAsia="Calibri"/>
        </w:rPr>
      </w:pPr>
      <w:r w:rsidRPr="00E95FB1">
        <w:rPr>
          <w:rFonts w:eastAsia="Calibri"/>
        </w:rPr>
        <w:t>Примітка: розгляд можливості зведення модульних містечок чи відновлення будинку-гуртожитку міста, який зазнав найменших ушкоджень від бойових дій та тимчасової окупації.</w:t>
      </w:r>
    </w:p>
    <w:p w:rsidR="00AC499C" w:rsidRPr="00E95FB1" w:rsidRDefault="00AC499C" w:rsidP="00AC499C">
      <w:pPr>
        <w:ind w:firstLine="567"/>
        <w:contextualSpacing/>
        <w:rPr>
          <w:rFonts w:eastAsia="Calibri"/>
          <w:u w:val="single"/>
        </w:rPr>
      </w:pPr>
    </w:p>
    <w:p w:rsidR="00AC499C" w:rsidRPr="00E95FB1" w:rsidRDefault="00AC499C" w:rsidP="001C62C9">
      <w:pPr>
        <w:numPr>
          <w:ilvl w:val="0"/>
          <w:numId w:val="2"/>
        </w:numPr>
        <w:tabs>
          <w:tab w:val="left" w:pos="567"/>
        </w:tabs>
        <w:ind w:hanging="218"/>
        <w:contextualSpacing/>
        <w:rPr>
          <w:rFonts w:eastAsia="Calibri"/>
        </w:rPr>
      </w:pPr>
      <w:r w:rsidRPr="00E95FB1">
        <w:rPr>
          <w:rFonts w:eastAsia="Calibri"/>
        </w:rPr>
        <w:t>Правопорядок та діяльність спеціальних служб.</w:t>
      </w:r>
    </w:p>
    <w:p w:rsidR="00AC499C" w:rsidRPr="00E95FB1" w:rsidRDefault="00AC499C" w:rsidP="00AC499C">
      <w:pPr>
        <w:ind w:firstLine="567"/>
        <w:contextualSpacing/>
        <w:rPr>
          <w:rFonts w:eastAsia="Calibri"/>
        </w:rPr>
      </w:pPr>
      <w:r w:rsidRPr="00E95FB1">
        <w:rPr>
          <w:rFonts w:eastAsia="Calibri"/>
        </w:rPr>
        <w:t>Значення: забезпечення правопорядку, цивільного захисту населення та територій, діяльність служби порятунку.</w:t>
      </w:r>
    </w:p>
    <w:p w:rsidR="00AC499C" w:rsidRDefault="00AC499C" w:rsidP="00AC499C">
      <w:pPr>
        <w:ind w:firstLine="567"/>
        <w:contextualSpacing/>
        <w:rPr>
          <w:rFonts w:eastAsia="Calibri"/>
        </w:rPr>
      </w:pPr>
      <w:r w:rsidRPr="00E95FB1">
        <w:rPr>
          <w:rFonts w:eastAsia="Calibri"/>
        </w:rPr>
        <w:t xml:space="preserve">Примітка: реалізація шляхом повернення правоохоронних органів, легітимної влади, відповідних структурних підрозділів можливо </w:t>
      </w:r>
      <w:r w:rsidRPr="00E95FB1">
        <w:rPr>
          <w:rFonts w:eastAsia="Calibri"/>
        </w:rPr>
        <w:lastRenderedPageBreak/>
        <w:t>функціонування в тестовому режимі, не на всю «потужність» як стосовно укомплектованості персоналу, так і матеріально-технічного забезпечення: невеликі групи – представники різних структур.</w:t>
      </w:r>
    </w:p>
    <w:p w:rsidR="00AC499C" w:rsidRPr="00E95FB1" w:rsidRDefault="00AC499C" w:rsidP="00AC499C">
      <w:pPr>
        <w:ind w:firstLine="567"/>
        <w:contextualSpacing/>
        <w:rPr>
          <w:rFonts w:eastAsia="Calibri"/>
        </w:rPr>
      </w:pPr>
    </w:p>
    <w:p w:rsidR="00AC499C" w:rsidRPr="00E95FB1" w:rsidRDefault="00AC499C" w:rsidP="000303D7">
      <w:pPr>
        <w:numPr>
          <w:ilvl w:val="0"/>
          <w:numId w:val="2"/>
        </w:numPr>
        <w:tabs>
          <w:tab w:val="left" w:pos="993"/>
        </w:tabs>
        <w:ind w:left="0" w:firstLine="567"/>
        <w:contextualSpacing/>
        <w:rPr>
          <w:rFonts w:eastAsia="Calibri"/>
        </w:rPr>
      </w:pPr>
      <w:r w:rsidRPr="00E95FB1">
        <w:rPr>
          <w:rFonts w:eastAsia="Calibri"/>
        </w:rPr>
        <w:t>Житлово-комунальні послуги - складові об’єктів критичної інфраструктури за напрямками: водопостачання та водовідведення, теплопостачання, енергозабезпечення, газопостачання, вивіз сміття, житло.</w:t>
      </w:r>
    </w:p>
    <w:p w:rsidR="00AC499C" w:rsidRPr="00E95FB1" w:rsidRDefault="00AC499C" w:rsidP="00AC499C">
      <w:pPr>
        <w:ind w:firstLine="567"/>
        <w:contextualSpacing/>
        <w:rPr>
          <w:rFonts w:eastAsia="Calibri"/>
        </w:rPr>
      </w:pPr>
      <w:r w:rsidRPr="00E95FB1">
        <w:rPr>
          <w:rFonts w:eastAsia="Calibri"/>
        </w:rPr>
        <w:t>Значення: забезпечення населення міста належного рівня житлово-комунальними послугами та забезпечення нормальної життєдіяльності всієї територіальної громади.</w:t>
      </w:r>
    </w:p>
    <w:p w:rsidR="00AC499C" w:rsidRDefault="00AC499C" w:rsidP="00AC499C">
      <w:pPr>
        <w:ind w:firstLine="567"/>
        <w:contextualSpacing/>
        <w:rPr>
          <w:rFonts w:eastAsia="Calibri"/>
        </w:rPr>
      </w:pPr>
      <w:r w:rsidRPr="00E95FB1">
        <w:rPr>
          <w:rFonts w:eastAsia="Calibri"/>
        </w:rPr>
        <w:t>Примітка: паралельне обстеження стану руйнації, вирішення питання щодо раціональності відновлення чи будівництва нового з урахуванням вимог енергоефективності, щодо теплопостачання</w:t>
      </w:r>
      <w:r w:rsidR="004834C1">
        <w:rPr>
          <w:rFonts w:eastAsia="Calibri"/>
        </w:rPr>
        <w:t xml:space="preserve"> -</w:t>
      </w:r>
      <w:r w:rsidRPr="00E95FB1">
        <w:rPr>
          <w:rFonts w:eastAsia="Calibri"/>
        </w:rPr>
        <w:t xml:space="preserve"> вирішення питання централізованості чи індивідуального постачання теплової енергії.</w:t>
      </w:r>
    </w:p>
    <w:p w:rsidR="00AC499C" w:rsidRPr="00E95FB1" w:rsidRDefault="00AC499C" w:rsidP="00AC499C">
      <w:pPr>
        <w:ind w:firstLine="567"/>
        <w:contextualSpacing/>
        <w:rPr>
          <w:rFonts w:eastAsia="Calibri"/>
        </w:rPr>
      </w:pPr>
    </w:p>
    <w:p w:rsidR="00AC499C" w:rsidRPr="00E95FB1" w:rsidRDefault="00AC499C" w:rsidP="00AC1E57">
      <w:pPr>
        <w:numPr>
          <w:ilvl w:val="0"/>
          <w:numId w:val="2"/>
        </w:numPr>
        <w:tabs>
          <w:tab w:val="left" w:pos="993"/>
        </w:tabs>
        <w:ind w:firstLine="207"/>
        <w:contextualSpacing/>
        <w:rPr>
          <w:rFonts w:eastAsia="Calibri"/>
        </w:rPr>
      </w:pPr>
      <w:r w:rsidRPr="00E95FB1">
        <w:rPr>
          <w:rFonts w:eastAsia="Calibri"/>
        </w:rPr>
        <w:t>Охорона здоров’я, перший етап.</w:t>
      </w:r>
    </w:p>
    <w:p w:rsidR="00AC499C" w:rsidRPr="00E95FB1" w:rsidRDefault="00AC499C" w:rsidP="00AC499C">
      <w:pPr>
        <w:ind w:firstLine="567"/>
        <w:contextualSpacing/>
        <w:rPr>
          <w:rFonts w:eastAsia="Calibri"/>
        </w:rPr>
      </w:pPr>
      <w:r w:rsidRPr="00E95FB1">
        <w:rPr>
          <w:rFonts w:eastAsia="Calibri"/>
        </w:rPr>
        <w:t>Значення: надання першочергової та екстреної медичної допомоги з прибуттям невеликих груп населення та в подальшому надання спеціалізованої медичної допомоги.</w:t>
      </w:r>
    </w:p>
    <w:p w:rsidR="00AC499C" w:rsidRDefault="00AC499C" w:rsidP="00AC499C">
      <w:pPr>
        <w:ind w:firstLine="567"/>
        <w:contextualSpacing/>
        <w:rPr>
          <w:rFonts w:eastAsia="Calibri"/>
        </w:rPr>
      </w:pPr>
      <w:r w:rsidRPr="00E95FB1">
        <w:rPr>
          <w:rFonts w:eastAsia="Calibri"/>
        </w:rPr>
        <w:t>Примітка: організація тимчасових пунктів охорони здоров’я, одночасно з цим проведення обстеження стану руйнації всіх об’єктів охорони здоров’я, які функціонували на території Сєвєродонецької міської територіальної громади до 24.02.2022р., вирішення питання їх відновлення чи будівництва з «нуля», забезпечення всією необхідною матеріально-технічною базою.</w:t>
      </w:r>
    </w:p>
    <w:p w:rsidR="00AC499C" w:rsidRPr="00E95FB1" w:rsidRDefault="00AC499C" w:rsidP="00AC499C">
      <w:pPr>
        <w:ind w:firstLine="567"/>
        <w:contextualSpacing/>
        <w:rPr>
          <w:rFonts w:eastAsia="Calibri"/>
        </w:rPr>
      </w:pPr>
    </w:p>
    <w:p w:rsidR="00AC499C" w:rsidRPr="00E95FB1" w:rsidRDefault="00AC499C" w:rsidP="00AC1E57">
      <w:pPr>
        <w:numPr>
          <w:ilvl w:val="0"/>
          <w:numId w:val="2"/>
        </w:numPr>
        <w:tabs>
          <w:tab w:val="left" w:pos="993"/>
        </w:tabs>
        <w:ind w:left="0" w:firstLine="567"/>
        <w:contextualSpacing/>
        <w:rPr>
          <w:rFonts w:eastAsia="Calibri"/>
        </w:rPr>
      </w:pPr>
      <w:r w:rsidRPr="00E95FB1">
        <w:rPr>
          <w:rFonts w:eastAsia="Calibri"/>
        </w:rPr>
        <w:t xml:space="preserve">Продовольче забезпечення та забезпечення товарами першої необхідності. </w:t>
      </w:r>
    </w:p>
    <w:p w:rsidR="00AC499C" w:rsidRPr="00E95FB1" w:rsidRDefault="00AC499C" w:rsidP="00AC499C">
      <w:pPr>
        <w:ind w:firstLine="567"/>
        <w:rPr>
          <w:rFonts w:eastAsia="Calibri"/>
        </w:rPr>
      </w:pPr>
      <w:r w:rsidRPr="00E95FB1">
        <w:rPr>
          <w:rFonts w:eastAsia="Calibri"/>
        </w:rPr>
        <w:t>Значення: забезпечення населення територіальної громади первісно необхідними засобами продовольчого та побутового споживання для нормального життєзабезпечення.</w:t>
      </w:r>
    </w:p>
    <w:p w:rsidR="00AC499C" w:rsidRDefault="00AC499C" w:rsidP="00AC499C">
      <w:pPr>
        <w:ind w:firstLine="567"/>
        <w:rPr>
          <w:rFonts w:eastAsia="Calibri"/>
        </w:rPr>
      </w:pPr>
      <w:r w:rsidRPr="00E95FB1">
        <w:rPr>
          <w:rFonts w:eastAsia="Calibri"/>
        </w:rPr>
        <w:t>Примітка: налагодження логістики та місць реалізації.</w:t>
      </w:r>
    </w:p>
    <w:p w:rsidR="00AC499C" w:rsidRPr="00E95FB1" w:rsidRDefault="00AC499C" w:rsidP="00AC499C">
      <w:pPr>
        <w:ind w:firstLine="567"/>
        <w:rPr>
          <w:rFonts w:eastAsia="Calibri"/>
        </w:rPr>
      </w:pPr>
    </w:p>
    <w:p w:rsidR="00AC499C" w:rsidRPr="00E95FB1" w:rsidRDefault="00AC499C" w:rsidP="000303D7">
      <w:pPr>
        <w:numPr>
          <w:ilvl w:val="0"/>
          <w:numId w:val="2"/>
        </w:numPr>
        <w:tabs>
          <w:tab w:val="left" w:pos="993"/>
        </w:tabs>
        <w:ind w:left="0" w:firstLine="567"/>
        <w:contextualSpacing/>
        <w:rPr>
          <w:rFonts w:eastAsia="Calibri"/>
        </w:rPr>
      </w:pPr>
      <w:r w:rsidRPr="00E95FB1">
        <w:rPr>
          <w:rFonts w:eastAsia="Calibri"/>
        </w:rPr>
        <w:t>Сфера комунікації, інформатизації, фінансових установ та сполучення з іншими територіями області та України в цілому.</w:t>
      </w:r>
    </w:p>
    <w:p w:rsidR="00AC499C" w:rsidRPr="00E95FB1" w:rsidRDefault="00AC499C" w:rsidP="00AC499C">
      <w:pPr>
        <w:ind w:firstLine="567"/>
        <w:contextualSpacing/>
        <w:rPr>
          <w:rFonts w:eastAsia="Calibri"/>
        </w:rPr>
      </w:pPr>
      <w:r w:rsidRPr="00E95FB1">
        <w:rPr>
          <w:rFonts w:eastAsia="Calibri"/>
        </w:rPr>
        <w:t>Значення: налагодження роботи Укрпошти, Нової Пошти, банківських установ, інтернет-провайдерів, операторів мобільного зв’язку, телебачення, радіомовлення тощо.</w:t>
      </w:r>
    </w:p>
    <w:p w:rsidR="00AC499C" w:rsidRDefault="00AC499C" w:rsidP="00AC499C">
      <w:pPr>
        <w:ind w:firstLine="567"/>
        <w:contextualSpacing/>
        <w:rPr>
          <w:rFonts w:eastAsia="Calibri"/>
        </w:rPr>
      </w:pPr>
      <w:r w:rsidRPr="00E95FB1">
        <w:rPr>
          <w:rFonts w:eastAsia="Calibri"/>
        </w:rPr>
        <w:t>Примітка: створення сприятливих умов.</w:t>
      </w:r>
    </w:p>
    <w:p w:rsidR="00AC499C" w:rsidRPr="00E95FB1" w:rsidRDefault="00AC499C" w:rsidP="00AC499C">
      <w:pPr>
        <w:ind w:firstLine="567"/>
        <w:contextualSpacing/>
        <w:rPr>
          <w:rFonts w:eastAsia="Calibri"/>
        </w:rPr>
      </w:pPr>
    </w:p>
    <w:p w:rsidR="00AC499C" w:rsidRPr="00E95FB1" w:rsidRDefault="00AC499C" w:rsidP="000303D7">
      <w:pPr>
        <w:numPr>
          <w:ilvl w:val="0"/>
          <w:numId w:val="2"/>
        </w:numPr>
        <w:tabs>
          <w:tab w:val="left" w:pos="993"/>
        </w:tabs>
        <w:ind w:firstLine="207"/>
        <w:contextualSpacing/>
        <w:rPr>
          <w:rFonts w:eastAsia="Calibri"/>
          <w:u w:val="single"/>
        </w:rPr>
      </w:pPr>
      <w:r w:rsidRPr="00E95FB1">
        <w:rPr>
          <w:rFonts w:eastAsia="Calibri"/>
        </w:rPr>
        <w:t>Адміністративні (публічні) послуги</w:t>
      </w:r>
      <w:r w:rsidRPr="00EC48C8">
        <w:rPr>
          <w:rFonts w:eastAsia="Calibri"/>
        </w:rPr>
        <w:t>.</w:t>
      </w:r>
    </w:p>
    <w:p w:rsidR="00AC499C" w:rsidRPr="00E95FB1" w:rsidRDefault="00AC499C" w:rsidP="00AC499C">
      <w:pPr>
        <w:ind w:firstLine="567"/>
        <w:contextualSpacing/>
        <w:rPr>
          <w:rFonts w:eastAsia="Calibri"/>
        </w:rPr>
      </w:pPr>
      <w:r w:rsidRPr="00E95FB1">
        <w:rPr>
          <w:rFonts w:eastAsia="Calibri"/>
        </w:rPr>
        <w:t>Значення: забезпечення населення територіальної громади мінімально необхідним спектром адміністративних, публічних послуг.</w:t>
      </w:r>
    </w:p>
    <w:p w:rsidR="00AC499C" w:rsidRDefault="00AC499C" w:rsidP="00AC499C">
      <w:pPr>
        <w:ind w:firstLine="567"/>
        <w:contextualSpacing/>
        <w:rPr>
          <w:rFonts w:eastAsia="Calibri"/>
        </w:rPr>
      </w:pPr>
      <w:r w:rsidRPr="00E95FB1">
        <w:rPr>
          <w:rFonts w:eastAsia="Calibri"/>
        </w:rPr>
        <w:lastRenderedPageBreak/>
        <w:t xml:space="preserve">Примітка: перед плановим поверненням частини населення Сєвєродонецької міської територіальної громади, яке проживало на її території до повномасштабного вторгнення </w:t>
      </w:r>
      <w:r w:rsidR="00882031">
        <w:rPr>
          <w:rFonts w:eastAsia="Calibri"/>
        </w:rPr>
        <w:t>РФ</w:t>
      </w:r>
      <w:r w:rsidRPr="00E95FB1">
        <w:rPr>
          <w:rFonts w:eastAsia="Calibri"/>
        </w:rPr>
        <w:t>, забезпечення функціонування надавачів публічних (адміністративних) послуг можливо шляхом мобільно-пересувних пунктів (отримати послуги в одному місці з різних питань).</w:t>
      </w:r>
    </w:p>
    <w:p w:rsidR="00AC499C" w:rsidRPr="00E95FB1" w:rsidRDefault="00AC499C" w:rsidP="00AC499C">
      <w:pPr>
        <w:ind w:firstLine="567"/>
        <w:contextualSpacing/>
        <w:rPr>
          <w:rFonts w:eastAsia="Calibri"/>
        </w:rPr>
      </w:pPr>
    </w:p>
    <w:p w:rsidR="00AC499C" w:rsidRPr="00E95FB1" w:rsidRDefault="00AC499C" w:rsidP="000303D7">
      <w:pPr>
        <w:numPr>
          <w:ilvl w:val="0"/>
          <w:numId w:val="2"/>
        </w:numPr>
        <w:tabs>
          <w:tab w:val="left" w:pos="993"/>
        </w:tabs>
        <w:ind w:firstLine="207"/>
        <w:contextualSpacing/>
        <w:rPr>
          <w:rFonts w:eastAsia="Calibri"/>
        </w:rPr>
      </w:pPr>
      <w:r w:rsidRPr="00E95FB1">
        <w:rPr>
          <w:rFonts w:eastAsia="Calibri"/>
        </w:rPr>
        <w:t>Освіта, культура, спорт.</w:t>
      </w:r>
    </w:p>
    <w:p w:rsidR="00AC499C" w:rsidRPr="00E95FB1" w:rsidRDefault="00AC499C" w:rsidP="00AC499C">
      <w:pPr>
        <w:ind w:firstLine="567"/>
        <w:rPr>
          <w:rFonts w:eastAsia="Calibri"/>
        </w:rPr>
      </w:pPr>
      <w:r w:rsidRPr="00E95FB1">
        <w:rPr>
          <w:rFonts w:eastAsia="Calibri"/>
        </w:rPr>
        <w:t>Значення: забезпечення різновікового населення територіальної громади мінімально необхідним спектром послуг в культурному, освітньому та спортивному напрямках.</w:t>
      </w:r>
    </w:p>
    <w:p w:rsidR="00AC499C" w:rsidRDefault="00AC499C" w:rsidP="00AC499C">
      <w:pPr>
        <w:ind w:firstLine="567"/>
        <w:rPr>
          <w:rFonts w:eastAsia="Calibri"/>
        </w:rPr>
      </w:pPr>
      <w:r w:rsidRPr="00E95FB1">
        <w:rPr>
          <w:rFonts w:eastAsia="Calibri"/>
        </w:rPr>
        <w:t xml:space="preserve">Примітка: проведення обстеження стану руйнації всіх об’єктів освіти, культури, спорту, які функціонували на території </w:t>
      </w:r>
      <w:bookmarkStart w:id="11" w:name="_Hlk138154413"/>
      <w:r w:rsidRPr="00E95FB1">
        <w:rPr>
          <w:rFonts w:eastAsia="Calibri"/>
        </w:rPr>
        <w:t xml:space="preserve">Сєвєродонецької міської </w:t>
      </w:r>
      <w:bookmarkEnd w:id="11"/>
      <w:r w:rsidRPr="00E95FB1">
        <w:rPr>
          <w:rFonts w:eastAsia="Calibri"/>
        </w:rPr>
        <w:t xml:space="preserve">територіальної громади до 24.02.2022р., вирішення питання їх відновлення чи будівництва з «нуля», забезпечення всією необхідною матеріально-технічною базою. Створення мінімальної кількості надавачів відповідних послуг, які </w:t>
      </w:r>
      <w:proofErr w:type="spellStart"/>
      <w:r w:rsidRPr="00E95FB1">
        <w:rPr>
          <w:rFonts w:eastAsia="Calibri"/>
        </w:rPr>
        <w:t>задовольнять</w:t>
      </w:r>
      <w:proofErr w:type="spellEnd"/>
      <w:r w:rsidRPr="00E95FB1">
        <w:rPr>
          <w:rFonts w:eastAsia="Calibri"/>
        </w:rPr>
        <w:t xml:space="preserve"> потреби першої хвилі населення. </w:t>
      </w:r>
    </w:p>
    <w:p w:rsidR="00AC499C" w:rsidRPr="00E95FB1" w:rsidRDefault="00AC499C" w:rsidP="00AC499C">
      <w:pPr>
        <w:ind w:firstLine="567"/>
        <w:rPr>
          <w:rFonts w:eastAsia="Calibri"/>
        </w:rPr>
      </w:pPr>
    </w:p>
    <w:p w:rsidR="00AC499C" w:rsidRPr="00E95FB1" w:rsidRDefault="00AC499C" w:rsidP="000303D7">
      <w:pPr>
        <w:numPr>
          <w:ilvl w:val="0"/>
          <w:numId w:val="2"/>
        </w:numPr>
        <w:tabs>
          <w:tab w:val="left" w:pos="1134"/>
        </w:tabs>
        <w:ind w:firstLine="207"/>
        <w:contextualSpacing/>
        <w:rPr>
          <w:rFonts w:eastAsia="Calibri"/>
        </w:rPr>
      </w:pPr>
      <w:r w:rsidRPr="00E95FB1">
        <w:rPr>
          <w:rFonts w:eastAsia="Calibri"/>
        </w:rPr>
        <w:t>Громадський транспорт.</w:t>
      </w:r>
    </w:p>
    <w:p w:rsidR="00AC499C" w:rsidRPr="00E95FB1" w:rsidRDefault="00AC499C" w:rsidP="00AC499C">
      <w:pPr>
        <w:ind w:firstLine="567"/>
        <w:rPr>
          <w:rFonts w:eastAsia="Calibri"/>
        </w:rPr>
      </w:pPr>
      <w:r w:rsidRPr="00E95FB1">
        <w:rPr>
          <w:rFonts w:eastAsia="Calibri"/>
        </w:rPr>
        <w:t xml:space="preserve">Значення: забезпечення населення Сєвєродонецької міської територіальної громади транспортними послугами. </w:t>
      </w:r>
    </w:p>
    <w:p w:rsidR="00AC499C" w:rsidRPr="00E95FB1" w:rsidRDefault="00AC499C" w:rsidP="00AC499C">
      <w:pPr>
        <w:ind w:firstLine="567"/>
        <w:rPr>
          <w:rFonts w:eastAsia="Calibri"/>
        </w:rPr>
      </w:pPr>
      <w:r w:rsidRPr="00E95FB1">
        <w:rPr>
          <w:rFonts w:eastAsia="Calibri"/>
        </w:rPr>
        <w:t>Примітка: враховуючи протяжність м. Сєвєродонецьк як адміністративного центру та інших населених пунктів, що входять до складу Сєвєродонецької міської територіальної громади, вікову категорію населення, здебільшого повернення «дорослої» частини населення, необхідність пересування на місця роботи, освіти тощо, функціонування громадського транспорту (міжміського та міського сполучення) є необхідним.</w:t>
      </w:r>
    </w:p>
    <w:p w:rsidR="00AC499C" w:rsidRPr="00E95FB1" w:rsidRDefault="00AC499C" w:rsidP="00AC499C">
      <w:pPr>
        <w:ind w:firstLine="567"/>
        <w:rPr>
          <w:rFonts w:eastAsia="Calibri"/>
        </w:rPr>
      </w:pPr>
    </w:p>
    <w:p w:rsidR="00AC499C" w:rsidRPr="00E95FB1" w:rsidRDefault="00AC499C" w:rsidP="00AC499C">
      <w:pPr>
        <w:pStyle w:val="1"/>
      </w:pPr>
      <w:bookmarkStart w:id="12" w:name="_Toc142141275"/>
      <w:bookmarkStart w:id="13" w:name="_Toc143012470"/>
      <w:r w:rsidRPr="00E95FB1">
        <w:t>Оцінка потреб щодо відбудови повністю зруйнованих населених пунктів (окремих мікрорайонів міст)</w:t>
      </w:r>
      <w:bookmarkEnd w:id="12"/>
      <w:bookmarkEnd w:id="13"/>
    </w:p>
    <w:p w:rsidR="00AC499C" w:rsidRPr="00E95FB1" w:rsidRDefault="00AC499C" w:rsidP="00AC499C">
      <w:pPr>
        <w:tabs>
          <w:tab w:val="center" w:pos="0"/>
          <w:tab w:val="left" w:pos="9214"/>
        </w:tabs>
        <w:ind w:left="360"/>
      </w:pPr>
    </w:p>
    <w:p w:rsidR="00AC499C" w:rsidRPr="00E95FB1" w:rsidRDefault="00AC499C" w:rsidP="00AC499C">
      <w:pPr>
        <w:autoSpaceDE w:val="0"/>
        <w:autoSpaceDN w:val="0"/>
        <w:adjustRightInd w:val="0"/>
        <w:ind w:firstLine="709"/>
        <w:rPr>
          <w:rFonts w:eastAsia="Calibri"/>
        </w:rPr>
      </w:pPr>
      <w:r w:rsidRPr="00E95FB1">
        <w:rPr>
          <w:rFonts w:eastAsia="Calibri"/>
        </w:rPr>
        <w:t>Повністю зруйновані населені пункти на території Сєвєродонецької міської територіальної громади відсутні.</w:t>
      </w:r>
    </w:p>
    <w:p w:rsidR="00AC499C" w:rsidRDefault="00AC499C" w:rsidP="00AC499C">
      <w:pPr>
        <w:autoSpaceDE w:val="0"/>
        <w:autoSpaceDN w:val="0"/>
        <w:adjustRightInd w:val="0"/>
        <w:ind w:firstLine="709"/>
        <w:rPr>
          <w:rFonts w:eastAsia="Calibri"/>
        </w:rPr>
      </w:pPr>
    </w:p>
    <w:p w:rsidR="00AC499C" w:rsidRDefault="00AC499C" w:rsidP="00AC499C">
      <w:pPr>
        <w:autoSpaceDE w:val="0"/>
        <w:autoSpaceDN w:val="0"/>
        <w:adjustRightInd w:val="0"/>
        <w:ind w:firstLine="709"/>
        <w:rPr>
          <w:rFonts w:eastAsia="Calibri"/>
        </w:rPr>
      </w:pPr>
      <w:r w:rsidRPr="00E95FB1">
        <w:rPr>
          <w:rFonts w:eastAsia="Calibri"/>
        </w:rPr>
        <w:t xml:space="preserve">В результаті бойових дій найбільш постраждало місто Сєвєродонецьк. В </w:t>
      </w:r>
      <w:proofErr w:type="spellStart"/>
      <w:r w:rsidRPr="00E95FB1">
        <w:rPr>
          <w:rFonts w:eastAsia="Calibri"/>
        </w:rPr>
        <w:t>сельбищній</w:t>
      </w:r>
      <w:proofErr w:type="spellEnd"/>
      <w:r w:rsidRPr="00E95FB1">
        <w:rPr>
          <w:rFonts w:eastAsia="Calibri"/>
        </w:rPr>
        <w:t xml:space="preserve"> зоні міста є квартали та мікрорайони, які повністю або частково зруйновані.</w:t>
      </w:r>
    </w:p>
    <w:p w:rsidR="00AC499C" w:rsidRPr="00E95FB1" w:rsidRDefault="00AC499C" w:rsidP="00AC499C">
      <w:pPr>
        <w:autoSpaceDE w:val="0"/>
        <w:autoSpaceDN w:val="0"/>
        <w:adjustRightInd w:val="0"/>
        <w:ind w:firstLine="709"/>
        <w:rPr>
          <w:rFonts w:eastAsia="Calibri"/>
        </w:rPr>
      </w:pPr>
    </w:p>
    <w:p w:rsidR="00AC499C" w:rsidRPr="00E95FB1" w:rsidRDefault="00AC499C" w:rsidP="00AC499C">
      <w:pPr>
        <w:autoSpaceDE w:val="0"/>
        <w:autoSpaceDN w:val="0"/>
        <w:adjustRightInd w:val="0"/>
        <w:ind w:firstLine="709"/>
        <w:rPr>
          <w:rFonts w:eastAsia="Calibri"/>
        </w:rPr>
      </w:pPr>
      <w:r w:rsidRPr="00E95FB1">
        <w:rPr>
          <w:rFonts w:eastAsia="Calibri"/>
        </w:rPr>
        <w:t xml:space="preserve">Існуючу планувальну структуру міста Сєвєродонецьк (квартали та мікрорайони) необхідно зберегти. Місто будувалось згідно затверджених генпланів, і час показав зручність такої планувальної структури. </w:t>
      </w:r>
      <w:proofErr w:type="spellStart"/>
      <w:r w:rsidRPr="00E95FB1">
        <w:rPr>
          <w:rFonts w:eastAsia="Calibri"/>
        </w:rPr>
        <w:t>Вулично-дорожна</w:t>
      </w:r>
      <w:proofErr w:type="spellEnd"/>
      <w:r w:rsidRPr="00E95FB1">
        <w:rPr>
          <w:rFonts w:eastAsia="Calibri"/>
        </w:rPr>
        <w:t xml:space="preserve"> мережа міста має зручну пішохідну та транспортну доступність до будь-якого кварталу та мікрорайону. Згідно генплану планувальна структура міста підкреслює екологічний каркас міста та має зручні та надійні транспортні </w:t>
      </w:r>
      <w:r w:rsidRPr="00E95FB1">
        <w:rPr>
          <w:rFonts w:eastAsia="Calibri"/>
        </w:rPr>
        <w:lastRenderedPageBreak/>
        <w:t>зв’язки з місцями праці, проживання та відпочинку, може забезпечити високий рівень благоустрою та розвитку інженерної інфраструктури.</w:t>
      </w:r>
    </w:p>
    <w:p w:rsidR="00AC499C" w:rsidRDefault="00AC499C" w:rsidP="00AC499C">
      <w:pPr>
        <w:autoSpaceDE w:val="0"/>
        <w:autoSpaceDN w:val="0"/>
        <w:adjustRightInd w:val="0"/>
        <w:ind w:firstLine="709"/>
        <w:rPr>
          <w:rFonts w:eastAsia="Calibri"/>
        </w:rPr>
      </w:pPr>
    </w:p>
    <w:p w:rsidR="00AC499C" w:rsidRDefault="00AC499C" w:rsidP="00AC499C">
      <w:pPr>
        <w:autoSpaceDE w:val="0"/>
        <w:autoSpaceDN w:val="0"/>
        <w:adjustRightInd w:val="0"/>
        <w:ind w:firstLine="709"/>
        <w:rPr>
          <w:rFonts w:eastAsia="Calibri"/>
        </w:rPr>
      </w:pPr>
      <w:r w:rsidRPr="00E95FB1">
        <w:rPr>
          <w:rFonts w:eastAsia="Calibri"/>
        </w:rPr>
        <w:t>Питання відбудови потрібно розглядати окремо по кожному кварталу та мікрорайону.</w:t>
      </w:r>
    </w:p>
    <w:p w:rsidR="00AC499C" w:rsidRPr="00E95FB1" w:rsidRDefault="00AC499C" w:rsidP="00AC499C">
      <w:pPr>
        <w:autoSpaceDE w:val="0"/>
        <w:autoSpaceDN w:val="0"/>
        <w:adjustRightInd w:val="0"/>
        <w:ind w:firstLine="709"/>
        <w:rPr>
          <w:rFonts w:eastAsia="Calibri"/>
        </w:rPr>
      </w:pPr>
    </w:p>
    <w:p w:rsidR="00AC499C" w:rsidRDefault="00AC499C" w:rsidP="00AC499C">
      <w:pPr>
        <w:autoSpaceDE w:val="0"/>
        <w:autoSpaceDN w:val="0"/>
        <w:adjustRightInd w:val="0"/>
        <w:ind w:firstLine="709"/>
        <w:rPr>
          <w:rFonts w:eastAsia="Calibri"/>
        </w:rPr>
      </w:pPr>
      <w:r w:rsidRPr="00E95FB1">
        <w:rPr>
          <w:rFonts w:eastAsia="Calibri"/>
        </w:rPr>
        <w:t xml:space="preserve">За результатами аналізу забудови кварталів та мікрорайонів міста, свого часу проведеному відділом містобудування та архітектури Сєвєродонецької міської ради, забудова кварталів в так званій «старій» частині міста не відповідала сучасним нормам благоустрою території житлової забудови, а саме: недостатньо місць розташування дитячих та спортивних майданчиків, зон відпочинку та </w:t>
      </w:r>
      <w:proofErr w:type="spellStart"/>
      <w:r w:rsidRPr="00E95FB1">
        <w:rPr>
          <w:rFonts w:eastAsia="Calibri"/>
        </w:rPr>
        <w:t>паркувальних</w:t>
      </w:r>
      <w:proofErr w:type="spellEnd"/>
      <w:r w:rsidRPr="00E95FB1">
        <w:rPr>
          <w:rFonts w:eastAsia="Calibri"/>
        </w:rPr>
        <w:t xml:space="preserve"> місць. В зв’язку з цим при розгляді питання відбудови житлових кварталів «старої» частини міста необхідно буде врахувати норми благоустрою та, в разі демонтажу зруйнованих об’єктів в кварталі, замість демонтованих об’єктів розміщ</w:t>
      </w:r>
      <w:r w:rsidR="000B6A56">
        <w:rPr>
          <w:rFonts w:eastAsia="Calibri"/>
        </w:rPr>
        <w:t>ув</w:t>
      </w:r>
      <w:r w:rsidRPr="00E95FB1">
        <w:rPr>
          <w:rFonts w:eastAsia="Calibri"/>
        </w:rPr>
        <w:t>ати об’єкти благоустрою, а для збереження чисельності населення в кварталі провести реконструкцію житлових будинків зі збільшенням поверховості будинків.</w:t>
      </w:r>
    </w:p>
    <w:p w:rsidR="00AC499C" w:rsidRPr="00E95FB1" w:rsidRDefault="00AC499C" w:rsidP="00AC499C">
      <w:pPr>
        <w:autoSpaceDE w:val="0"/>
        <w:autoSpaceDN w:val="0"/>
        <w:adjustRightInd w:val="0"/>
        <w:ind w:firstLine="709"/>
        <w:rPr>
          <w:rFonts w:eastAsia="Calibri"/>
        </w:rPr>
      </w:pPr>
    </w:p>
    <w:p w:rsidR="00AC499C" w:rsidRPr="00E95FB1" w:rsidRDefault="00AC499C" w:rsidP="00AC499C">
      <w:pPr>
        <w:autoSpaceDE w:val="0"/>
        <w:autoSpaceDN w:val="0"/>
        <w:adjustRightInd w:val="0"/>
        <w:ind w:firstLine="709"/>
        <w:rPr>
          <w:rFonts w:eastAsia="Calibri"/>
        </w:rPr>
      </w:pPr>
      <w:r w:rsidRPr="00E95FB1">
        <w:rPr>
          <w:rFonts w:eastAsia="Calibri"/>
        </w:rPr>
        <w:t>«Нові» мікрорайони міста будувались з врахуванням норм благоустрою території житлової забудови, тому при відбудові мікрорайонів необхідно зберегти всі елементи благоустрою.</w:t>
      </w:r>
    </w:p>
    <w:p w:rsidR="00AC499C" w:rsidRPr="00E95FB1" w:rsidRDefault="00AC499C" w:rsidP="00AC499C">
      <w:pPr>
        <w:autoSpaceDE w:val="0"/>
        <w:autoSpaceDN w:val="0"/>
        <w:adjustRightInd w:val="0"/>
        <w:ind w:firstLine="709"/>
        <w:rPr>
          <w:rFonts w:eastAsia="Calibri"/>
        </w:rPr>
      </w:pPr>
      <w:r w:rsidRPr="00E95FB1">
        <w:rPr>
          <w:rFonts w:eastAsia="Calibri"/>
        </w:rPr>
        <w:t xml:space="preserve">При відбудові кварталів та мікрорайонів необхідно забезпечити наявність, згідно норм, дитячих дошкільних закладів, шкіл, об’єктів торгівлі, громадського харчування та інших </w:t>
      </w:r>
      <w:bookmarkStart w:id="14" w:name="_Hlk137207814"/>
      <w:r w:rsidRPr="00E95FB1">
        <w:rPr>
          <w:rFonts w:eastAsia="Calibri"/>
        </w:rPr>
        <w:t>об’єктів громадського призначення</w:t>
      </w:r>
      <w:bookmarkEnd w:id="14"/>
      <w:r w:rsidRPr="00E95FB1">
        <w:rPr>
          <w:rFonts w:eastAsia="Calibri"/>
        </w:rPr>
        <w:t>. Розміщення об’єктів громадського призначення в кварталах та мікрорайонах повинно відповідати генплану міста та іншій містобудівній документації. Генеральним планом передбачено забезпечення населення міста всіма видами підприємств і установ соціально-культурного обслуговування.</w:t>
      </w:r>
    </w:p>
    <w:p w:rsidR="00AC499C" w:rsidRDefault="00AC499C" w:rsidP="00AC499C">
      <w:pPr>
        <w:autoSpaceDE w:val="0"/>
        <w:autoSpaceDN w:val="0"/>
        <w:adjustRightInd w:val="0"/>
        <w:ind w:firstLine="709"/>
        <w:rPr>
          <w:rFonts w:eastAsia="Calibri"/>
        </w:rPr>
      </w:pPr>
    </w:p>
    <w:p w:rsidR="00AC499C" w:rsidRPr="00E95FB1" w:rsidRDefault="00AC499C" w:rsidP="00AC499C">
      <w:pPr>
        <w:autoSpaceDE w:val="0"/>
        <w:autoSpaceDN w:val="0"/>
        <w:adjustRightInd w:val="0"/>
        <w:ind w:firstLine="709"/>
        <w:rPr>
          <w:rFonts w:eastAsia="Calibri"/>
        </w:rPr>
      </w:pPr>
      <w:r w:rsidRPr="00E95FB1">
        <w:rPr>
          <w:rFonts w:eastAsia="Calibri"/>
        </w:rPr>
        <w:t>Відбудова міста повинна відбуватись в напрямку доведення до нормативних показників забезпеченості населення об'єктами обслуговування у всіх районах міста.</w:t>
      </w:r>
    </w:p>
    <w:p w:rsidR="00AC499C" w:rsidRDefault="00AC499C" w:rsidP="00AC499C">
      <w:pPr>
        <w:autoSpaceDE w:val="0"/>
        <w:autoSpaceDN w:val="0"/>
        <w:adjustRightInd w:val="0"/>
        <w:ind w:firstLine="709"/>
        <w:rPr>
          <w:rFonts w:eastAsia="Calibri"/>
        </w:rPr>
      </w:pPr>
    </w:p>
    <w:p w:rsidR="00AC499C" w:rsidRPr="00E95FB1" w:rsidRDefault="00AC499C" w:rsidP="00AC499C">
      <w:pPr>
        <w:autoSpaceDE w:val="0"/>
        <w:autoSpaceDN w:val="0"/>
        <w:adjustRightInd w:val="0"/>
        <w:ind w:firstLine="709"/>
        <w:rPr>
          <w:rFonts w:eastAsia="Calibri"/>
        </w:rPr>
      </w:pPr>
      <w:r w:rsidRPr="00E95FB1">
        <w:rPr>
          <w:rFonts w:eastAsia="Calibri"/>
        </w:rPr>
        <w:t xml:space="preserve">Загальноміський центр міста складається з кварталів громадської забудови вздовж проспекту Центральний, який зв’язав між собою дві рекреаційні зони міста – існуючий парк міста та парк, що </w:t>
      </w:r>
      <w:proofErr w:type="spellStart"/>
      <w:r w:rsidRPr="00E95FB1">
        <w:rPr>
          <w:rFonts w:eastAsia="Calibri"/>
        </w:rPr>
        <w:t>проєктується</w:t>
      </w:r>
      <w:proofErr w:type="spellEnd"/>
      <w:r w:rsidRPr="00E95FB1">
        <w:rPr>
          <w:rFonts w:eastAsia="Calibri"/>
        </w:rPr>
        <w:t xml:space="preserve">. Згідно Стратегії розвитку Сєвєродонецької міської територіальної громади до 2027 року планується перетворити місто Сєвєродонецьк </w:t>
      </w:r>
      <w:r w:rsidRPr="00E95FB1">
        <w:rPr>
          <w:rFonts w:eastAsia="Arial"/>
        </w:rPr>
        <w:t xml:space="preserve">в сучасний регіональний адміністративний центр, в зв’язку з цим необхідна відбудова загальноміського центру міста з об’єктами громадського призначення. </w:t>
      </w:r>
      <w:r w:rsidRPr="00E95FB1">
        <w:rPr>
          <w:rFonts w:eastAsia="Calibri"/>
        </w:rPr>
        <w:t>Відбудову кварталів центру міста необхідно проводити згідно генплану міста Сєвєродонецьк та іншої затвердженої містобудівної документації.</w:t>
      </w:r>
    </w:p>
    <w:p w:rsidR="00AC499C" w:rsidRDefault="00AC499C" w:rsidP="00AC499C">
      <w:pPr>
        <w:autoSpaceDE w:val="0"/>
        <w:autoSpaceDN w:val="0"/>
        <w:adjustRightInd w:val="0"/>
        <w:ind w:firstLine="709"/>
        <w:rPr>
          <w:rFonts w:eastAsia="Calibri"/>
        </w:rPr>
      </w:pPr>
    </w:p>
    <w:p w:rsidR="00AC499C" w:rsidRPr="00E95FB1" w:rsidRDefault="00AC499C" w:rsidP="00AC499C">
      <w:pPr>
        <w:autoSpaceDE w:val="0"/>
        <w:autoSpaceDN w:val="0"/>
        <w:adjustRightInd w:val="0"/>
        <w:ind w:firstLine="709"/>
        <w:rPr>
          <w:rFonts w:eastAsia="Calibri"/>
        </w:rPr>
      </w:pPr>
      <w:r w:rsidRPr="00E95FB1">
        <w:rPr>
          <w:rFonts w:eastAsia="Calibri"/>
        </w:rPr>
        <w:lastRenderedPageBreak/>
        <w:t xml:space="preserve">Житлова та громадська забудова повинна виконуватись з дотриманням санітарно-гігієнічних, інсоляційних, аераційних та протипожежних вимог, а також вимог щодо </w:t>
      </w:r>
      <w:proofErr w:type="spellStart"/>
      <w:r w:rsidRPr="00E95FB1">
        <w:rPr>
          <w:rFonts w:eastAsia="Calibri"/>
        </w:rPr>
        <w:t>інклюзивності</w:t>
      </w:r>
      <w:proofErr w:type="spellEnd"/>
      <w:r w:rsidRPr="00E95FB1">
        <w:rPr>
          <w:rFonts w:eastAsia="Calibri"/>
        </w:rPr>
        <w:t xml:space="preserve"> та доступності для маломобільних груп населення.</w:t>
      </w:r>
    </w:p>
    <w:p w:rsidR="00AC499C" w:rsidRPr="00E95FB1" w:rsidRDefault="00AC499C" w:rsidP="00AC499C"/>
    <w:p w:rsidR="00AC499C" w:rsidRPr="00E95FB1" w:rsidRDefault="00AC499C" w:rsidP="00AC499C">
      <w:pPr>
        <w:pStyle w:val="1"/>
      </w:pPr>
      <w:bookmarkStart w:id="15" w:name="_Toc142141276"/>
      <w:bookmarkStart w:id="16" w:name="_Toc143012471"/>
      <w:r w:rsidRPr="00E95FB1">
        <w:t>Оцінка спроможності та потреб інституційного забезпечення відновлення та розвитку регіону</w:t>
      </w:r>
      <w:bookmarkEnd w:id="15"/>
      <w:bookmarkEnd w:id="16"/>
    </w:p>
    <w:p w:rsidR="00AC499C" w:rsidRPr="00E95FB1" w:rsidRDefault="00AC499C" w:rsidP="00AC499C">
      <w:pPr>
        <w:ind w:firstLine="709"/>
        <w:rPr>
          <w:color w:val="000000"/>
          <w:shd w:val="clear" w:color="auto" w:fill="FFFFFF"/>
        </w:rPr>
      </w:pPr>
      <w:bookmarkStart w:id="17" w:name="_Hlk137462586"/>
    </w:p>
    <w:p w:rsidR="00AC499C" w:rsidRDefault="00AC499C" w:rsidP="00AC499C">
      <w:pPr>
        <w:autoSpaceDE w:val="0"/>
        <w:autoSpaceDN w:val="0"/>
        <w:adjustRightInd w:val="0"/>
        <w:ind w:firstLine="709"/>
        <w:rPr>
          <w:color w:val="000000"/>
          <w:shd w:val="clear" w:color="auto" w:fill="FFFFFF"/>
        </w:rPr>
      </w:pPr>
      <w:r w:rsidRPr="00E95FB1">
        <w:t xml:space="preserve">Внаслідок бойових дій, спричинених військовою агресією </w:t>
      </w:r>
      <w:r w:rsidR="00412540">
        <w:rPr>
          <w:rFonts w:eastAsia="Calibri"/>
        </w:rPr>
        <w:t>РФ</w:t>
      </w:r>
      <w:r w:rsidRPr="00E95FB1">
        <w:t>,</w:t>
      </w:r>
      <w:r w:rsidRPr="00E95FB1">
        <w:rPr>
          <w:color w:val="000000"/>
          <w:shd w:val="clear" w:color="auto" w:fill="FFFFFF"/>
        </w:rPr>
        <w:t xml:space="preserve"> більшість населення міста Сєвєродонецька евакуювалось в більш безпечні міста, але після закінчення війни значна частина мешканців повернеться до міста, якщо побачить, що місто відбудовується. </w:t>
      </w:r>
    </w:p>
    <w:p w:rsidR="00AC499C" w:rsidRDefault="00AC499C" w:rsidP="00AC499C">
      <w:pPr>
        <w:autoSpaceDE w:val="0"/>
        <w:autoSpaceDN w:val="0"/>
        <w:adjustRightInd w:val="0"/>
        <w:ind w:firstLine="709"/>
        <w:rPr>
          <w:color w:val="000000"/>
          <w:shd w:val="clear" w:color="auto" w:fill="FFFFFF"/>
        </w:rPr>
      </w:pPr>
    </w:p>
    <w:p w:rsidR="00AC499C" w:rsidRPr="00E95FB1" w:rsidRDefault="00AC499C" w:rsidP="00AC499C">
      <w:pPr>
        <w:autoSpaceDE w:val="0"/>
        <w:autoSpaceDN w:val="0"/>
        <w:adjustRightInd w:val="0"/>
        <w:ind w:firstLine="709"/>
        <w:rPr>
          <w:rFonts w:cs="SegoeUI"/>
          <w:color w:val="000000"/>
        </w:rPr>
      </w:pPr>
      <w:r w:rsidRPr="00E95FB1">
        <w:rPr>
          <w:rFonts w:cs="SegoeUI"/>
        </w:rPr>
        <w:t>Будь-яка криза – це можливість переглянути існуючі правила управління, підходи та закласти основу для якісних змін.</w:t>
      </w:r>
      <w:r w:rsidRPr="00E95FB1">
        <w:rPr>
          <w:color w:val="000000"/>
          <w:shd w:val="clear" w:color="auto" w:fill="FFFFFF"/>
        </w:rPr>
        <w:t xml:space="preserve"> Програма відновлення Сєвєродонецької </w:t>
      </w:r>
      <w:r w:rsidR="004566BA">
        <w:rPr>
          <w:color w:val="000000"/>
          <w:shd w:val="clear" w:color="auto" w:fill="FFFFFF"/>
        </w:rPr>
        <w:t>міської</w:t>
      </w:r>
      <w:r w:rsidR="004566BA" w:rsidRPr="00E95FB1">
        <w:rPr>
          <w:color w:val="000000"/>
          <w:shd w:val="clear" w:color="auto" w:fill="FFFFFF"/>
        </w:rPr>
        <w:t xml:space="preserve"> </w:t>
      </w:r>
      <w:r w:rsidRPr="00E95FB1">
        <w:rPr>
          <w:color w:val="000000"/>
          <w:shd w:val="clear" w:color="auto" w:fill="FFFFFF"/>
        </w:rPr>
        <w:t xml:space="preserve">територіальної громади спрямована на </w:t>
      </w:r>
      <w:r w:rsidRPr="00E95FB1">
        <w:rPr>
          <w:rFonts w:cs="SegoeUI"/>
          <w:color w:val="000000"/>
        </w:rPr>
        <w:t xml:space="preserve">соціально, економічно та екологічно збалансований розвиток території громади, спрямована на створення економічного потенціалу, повноцінного життєвого середовища, технологічного </w:t>
      </w:r>
      <w:r w:rsidR="00217449">
        <w:rPr>
          <w:rFonts w:cs="SegoeUI"/>
          <w:color w:val="000000"/>
        </w:rPr>
        <w:t>та інноваційного</w:t>
      </w:r>
      <w:r w:rsidR="00217449" w:rsidRPr="00E95FB1">
        <w:rPr>
          <w:rFonts w:cs="SegoeUI"/>
          <w:color w:val="000000"/>
        </w:rPr>
        <w:t xml:space="preserve"> </w:t>
      </w:r>
      <w:r w:rsidRPr="00E95FB1">
        <w:rPr>
          <w:rFonts w:cs="SegoeUI"/>
          <w:color w:val="000000"/>
        </w:rPr>
        <w:t xml:space="preserve">переоснащення і реструктуризації підприємств, удосконалення соціальної, виробничої, транспортної, </w:t>
      </w:r>
      <w:proofErr w:type="spellStart"/>
      <w:r w:rsidRPr="00E95FB1">
        <w:rPr>
          <w:rFonts w:cs="SegoeUI"/>
          <w:color w:val="000000"/>
        </w:rPr>
        <w:t>комунікаційно</w:t>
      </w:r>
      <w:proofErr w:type="spellEnd"/>
      <w:r w:rsidRPr="00E95FB1">
        <w:rPr>
          <w:rFonts w:cs="SegoeUI"/>
          <w:color w:val="000000"/>
        </w:rPr>
        <w:t xml:space="preserve">-інформаційної, інженерної, екологічної інфраструктури, поліпшення умов проживання, </w:t>
      </w:r>
      <w:r w:rsidR="00D956BD">
        <w:rPr>
          <w:rFonts w:cs="SegoeUI"/>
          <w:color w:val="000000"/>
        </w:rPr>
        <w:t>праці, навчання,</w:t>
      </w:r>
      <w:r w:rsidR="00D956BD" w:rsidRPr="00E95FB1">
        <w:rPr>
          <w:rFonts w:cs="SegoeUI"/>
          <w:color w:val="000000"/>
        </w:rPr>
        <w:t xml:space="preserve"> </w:t>
      </w:r>
      <w:r w:rsidRPr="00E95FB1">
        <w:rPr>
          <w:rFonts w:cs="SegoeUI"/>
          <w:color w:val="000000"/>
        </w:rPr>
        <w:t xml:space="preserve">відпочинку та оздоровлення. </w:t>
      </w:r>
    </w:p>
    <w:p w:rsidR="00AC499C" w:rsidRDefault="00AC499C" w:rsidP="00AC499C">
      <w:pPr>
        <w:shd w:val="clear" w:color="auto" w:fill="FFFFFF"/>
        <w:ind w:firstLine="709"/>
        <w:rPr>
          <w:shd w:val="clear" w:color="auto" w:fill="FFFFFF"/>
        </w:rPr>
      </w:pPr>
    </w:p>
    <w:p w:rsidR="00EA0644" w:rsidRPr="00E95FB1" w:rsidRDefault="00AC499C" w:rsidP="00EA0644">
      <w:pPr>
        <w:shd w:val="clear" w:color="auto" w:fill="FFFFFF"/>
        <w:ind w:firstLine="709"/>
        <w:rPr>
          <w:b/>
          <w:bCs/>
          <w:shd w:val="clear" w:color="auto" w:fill="FFFFFF"/>
          <w:lang w:eastAsia="uk-UA"/>
        </w:rPr>
      </w:pPr>
      <w:r w:rsidRPr="00E95FB1">
        <w:rPr>
          <w:shd w:val="clear" w:color="auto" w:fill="FFFFFF"/>
        </w:rPr>
        <w:t xml:space="preserve">Відбудовуватимуться всі </w:t>
      </w:r>
      <w:r w:rsidR="00AA2809">
        <w:rPr>
          <w:shd w:val="clear" w:color="auto" w:fill="FFFFFF"/>
        </w:rPr>
        <w:t>пошкоджені</w:t>
      </w:r>
      <w:r w:rsidRPr="00E95FB1">
        <w:rPr>
          <w:shd w:val="clear" w:color="auto" w:fill="FFFFFF"/>
        </w:rPr>
        <w:t xml:space="preserve"> об’єкти. Головним пріоритетом відбудови буде продумана система безпеки та відновлення економічної спроможності громади. Цей процес здійснюватиметься за європейськими стандартами, перевіреними досвідом, які зобов’язують більш стало вести господарство та зберігати довкілля. Інфраструктура  має бути орієнтованою на людину </w:t>
      </w:r>
      <w:r w:rsidR="00EA0644">
        <w:rPr>
          <w:shd w:val="clear" w:color="auto" w:fill="FFFFFF"/>
        </w:rPr>
        <w:t>її потреби</w:t>
      </w:r>
      <w:r w:rsidR="00EA0644" w:rsidRPr="00E95FB1">
        <w:rPr>
          <w:shd w:val="clear" w:color="auto" w:fill="FFFFFF"/>
        </w:rPr>
        <w:t xml:space="preserve"> </w:t>
      </w:r>
      <w:r w:rsidRPr="00E95FB1">
        <w:rPr>
          <w:shd w:val="clear" w:color="auto" w:fill="FFFFFF"/>
        </w:rPr>
        <w:t xml:space="preserve">та комфорт – безпечні та доступні громадські простори, озеленення та </w:t>
      </w:r>
      <w:proofErr w:type="spellStart"/>
      <w:r w:rsidRPr="00E95FB1">
        <w:rPr>
          <w:shd w:val="clear" w:color="auto" w:fill="FFFFFF"/>
        </w:rPr>
        <w:t>природоорієнтовані</w:t>
      </w:r>
      <w:proofErr w:type="spellEnd"/>
      <w:r w:rsidRPr="00E95FB1">
        <w:rPr>
          <w:shd w:val="clear" w:color="auto" w:fill="FFFFFF"/>
        </w:rPr>
        <w:t xml:space="preserve"> рішення, зручна мережа громадського транспорту та </w:t>
      </w:r>
      <w:proofErr w:type="spellStart"/>
      <w:r w:rsidRPr="00E95FB1">
        <w:rPr>
          <w:shd w:val="clear" w:color="auto" w:fill="FFFFFF"/>
        </w:rPr>
        <w:t>велоінфраструктура</w:t>
      </w:r>
      <w:proofErr w:type="spellEnd"/>
      <w:r w:rsidRPr="00E95FB1">
        <w:rPr>
          <w:shd w:val="clear" w:color="auto" w:fill="FFFFFF"/>
        </w:rPr>
        <w:t>.</w:t>
      </w:r>
      <w:r w:rsidR="00EA0644">
        <w:rPr>
          <w:shd w:val="clear" w:color="auto" w:fill="FFFFFF"/>
        </w:rPr>
        <w:t xml:space="preserve"> Всі складові інфраструктури майбутнього міста Сєвєродонецьк повинні відбудовуватися з урахуванням інклюзивного підходу.</w:t>
      </w:r>
    </w:p>
    <w:p w:rsidR="00AC499C" w:rsidRDefault="00AC499C" w:rsidP="00AC499C">
      <w:pPr>
        <w:autoSpaceDE w:val="0"/>
        <w:autoSpaceDN w:val="0"/>
        <w:adjustRightInd w:val="0"/>
        <w:ind w:firstLine="709"/>
        <w:rPr>
          <w:color w:val="000000"/>
          <w:shd w:val="clear" w:color="auto" w:fill="FFFFFF"/>
        </w:rPr>
      </w:pPr>
    </w:p>
    <w:p w:rsidR="00AC499C" w:rsidRPr="00E95FB1" w:rsidRDefault="00AC499C" w:rsidP="00AC499C">
      <w:pPr>
        <w:autoSpaceDE w:val="0"/>
        <w:autoSpaceDN w:val="0"/>
        <w:adjustRightInd w:val="0"/>
        <w:ind w:firstLine="709"/>
        <w:rPr>
          <w:color w:val="000000"/>
          <w:shd w:val="clear" w:color="auto" w:fill="FFFFFF"/>
        </w:rPr>
      </w:pPr>
      <w:r w:rsidRPr="00E95FB1">
        <w:rPr>
          <w:color w:val="000000"/>
          <w:shd w:val="clear" w:color="auto" w:fill="FFFFFF"/>
        </w:rPr>
        <w:t xml:space="preserve">Відбудову територій України планується здійснювати із залученням глобальних фінансових ресурсів. З набуттям Україною статусу кандидата в члени ЄС суттєво зростають шанси українських територій швидко модернізувати свій економічний потенціал завдяки розширенню джерел фінансування. Попередньою умовою фінансування з європейських структурних та інвестиційних фондів є розробка регіонами якісно обґрунтованих стратегій розумної спеціалізації та відповідних </w:t>
      </w:r>
      <w:proofErr w:type="spellStart"/>
      <w:r w:rsidRPr="00E95FB1">
        <w:rPr>
          <w:color w:val="000000"/>
          <w:shd w:val="clear" w:color="auto" w:fill="FFFFFF"/>
        </w:rPr>
        <w:t>проєктів</w:t>
      </w:r>
      <w:proofErr w:type="spellEnd"/>
      <w:r w:rsidRPr="00E95FB1">
        <w:rPr>
          <w:color w:val="000000"/>
          <w:shd w:val="clear" w:color="auto" w:fill="FFFFFF"/>
        </w:rPr>
        <w:t xml:space="preserve">. Сєвєродонецькою </w:t>
      </w:r>
      <w:r w:rsidR="006718D2">
        <w:rPr>
          <w:color w:val="000000"/>
          <w:shd w:val="clear" w:color="auto" w:fill="FFFFFF"/>
        </w:rPr>
        <w:t xml:space="preserve">міською </w:t>
      </w:r>
      <w:r w:rsidRPr="00E95FB1">
        <w:rPr>
          <w:color w:val="000000"/>
          <w:shd w:val="clear" w:color="auto" w:fill="FFFFFF"/>
        </w:rPr>
        <w:t xml:space="preserve">військовою адміністрацією вже розробляються </w:t>
      </w:r>
      <w:proofErr w:type="spellStart"/>
      <w:r w:rsidRPr="00E95FB1">
        <w:rPr>
          <w:color w:val="000000"/>
          <w:shd w:val="clear" w:color="auto" w:fill="FFFFFF"/>
        </w:rPr>
        <w:t>про</w:t>
      </w:r>
      <w:r w:rsidR="003342EF">
        <w:rPr>
          <w:color w:val="000000"/>
          <w:shd w:val="clear" w:color="auto" w:fill="FFFFFF"/>
        </w:rPr>
        <w:t>є</w:t>
      </w:r>
      <w:r w:rsidRPr="00E95FB1">
        <w:rPr>
          <w:color w:val="000000"/>
          <w:shd w:val="clear" w:color="auto" w:fill="FFFFFF"/>
        </w:rPr>
        <w:t>кти</w:t>
      </w:r>
      <w:proofErr w:type="spellEnd"/>
      <w:r w:rsidRPr="00E95FB1">
        <w:rPr>
          <w:color w:val="000000"/>
          <w:shd w:val="clear" w:color="auto" w:fill="FFFFFF"/>
        </w:rPr>
        <w:t xml:space="preserve"> відновлення та </w:t>
      </w:r>
      <w:r w:rsidRPr="00E95FB1">
        <w:rPr>
          <w:color w:val="000000"/>
          <w:shd w:val="clear" w:color="auto" w:fill="FFFFFF"/>
        </w:rPr>
        <w:lastRenderedPageBreak/>
        <w:t>розвитку території міста для включення в регіональний перспективний план розвитку для можливості фінансування робіт.</w:t>
      </w:r>
    </w:p>
    <w:p w:rsidR="00AC499C" w:rsidRDefault="00AC499C" w:rsidP="00AC499C">
      <w:pPr>
        <w:autoSpaceDE w:val="0"/>
        <w:autoSpaceDN w:val="0"/>
        <w:adjustRightInd w:val="0"/>
        <w:ind w:firstLine="709"/>
        <w:rPr>
          <w:color w:val="000000"/>
          <w:shd w:val="clear" w:color="auto" w:fill="FFFFFF"/>
        </w:rPr>
      </w:pPr>
    </w:p>
    <w:p w:rsidR="00AC499C" w:rsidRDefault="00AC499C" w:rsidP="00AC499C">
      <w:pPr>
        <w:autoSpaceDE w:val="0"/>
        <w:autoSpaceDN w:val="0"/>
        <w:adjustRightInd w:val="0"/>
        <w:ind w:firstLine="709"/>
        <w:rPr>
          <w:color w:val="000000"/>
          <w:shd w:val="clear" w:color="auto" w:fill="FFFFFF"/>
        </w:rPr>
      </w:pPr>
      <w:r w:rsidRPr="00E95FB1">
        <w:rPr>
          <w:color w:val="000000"/>
          <w:shd w:val="clear" w:color="auto" w:fill="FFFFFF"/>
        </w:rPr>
        <w:t xml:space="preserve">Місто Сєвєродонецьк, що будувалось навколо промислового гіганта (ПрАТ «Сєвєродонецьке об’єднання </w:t>
      </w:r>
      <w:r w:rsidR="00BF0037">
        <w:rPr>
          <w:color w:val="000000"/>
          <w:shd w:val="clear" w:color="auto" w:fill="FFFFFF"/>
        </w:rPr>
        <w:t>«</w:t>
      </w:r>
      <w:r w:rsidRPr="00E95FB1">
        <w:rPr>
          <w:color w:val="000000"/>
          <w:shd w:val="clear" w:color="auto" w:fill="FFFFFF"/>
        </w:rPr>
        <w:t>Азот»</w:t>
      </w:r>
      <w:r w:rsidR="0069507F">
        <w:rPr>
          <w:color w:val="000000"/>
          <w:shd w:val="clear" w:color="auto" w:fill="FFFFFF"/>
        </w:rPr>
        <w:t>»</w:t>
      </w:r>
      <w:r w:rsidRPr="00E95FB1">
        <w:rPr>
          <w:color w:val="000000"/>
          <w:shd w:val="clear" w:color="auto" w:fill="FFFFFF"/>
        </w:rPr>
        <w:t>) має розвинену інфраструктуру, що, в разі створення вільної економічної зони на території сходу України, може дати поштовх для розвитку малого та середнього бізнесу промислового спрямування.</w:t>
      </w:r>
    </w:p>
    <w:p w:rsidR="00AC499C" w:rsidRDefault="00AC499C" w:rsidP="00AC499C">
      <w:pPr>
        <w:autoSpaceDE w:val="0"/>
        <w:autoSpaceDN w:val="0"/>
        <w:adjustRightInd w:val="0"/>
        <w:ind w:firstLine="709"/>
        <w:rPr>
          <w:color w:val="000000"/>
          <w:shd w:val="clear" w:color="auto" w:fill="FFFFFF"/>
        </w:rPr>
      </w:pPr>
    </w:p>
    <w:p w:rsidR="00AC499C" w:rsidRPr="00E95FB1" w:rsidRDefault="00AC499C" w:rsidP="00AC499C">
      <w:pPr>
        <w:autoSpaceDE w:val="0"/>
        <w:autoSpaceDN w:val="0"/>
        <w:adjustRightInd w:val="0"/>
        <w:ind w:firstLine="709"/>
        <w:rPr>
          <w:color w:val="000000"/>
          <w:shd w:val="clear" w:color="auto" w:fill="FFFFFF"/>
        </w:rPr>
      </w:pPr>
      <w:r w:rsidRPr="00E95FB1">
        <w:rPr>
          <w:color w:val="000000"/>
          <w:shd w:val="clear" w:color="auto" w:fill="FFFFFF"/>
        </w:rPr>
        <w:t xml:space="preserve">Включення до складу громади великої кількості земель сільськогосподарського призначення дає можливість створення та розвитку сучасних підприємств </w:t>
      </w:r>
      <w:proofErr w:type="spellStart"/>
      <w:r w:rsidRPr="00E95FB1">
        <w:rPr>
          <w:color w:val="000000"/>
          <w:shd w:val="clear" w:color="auto" w:fill="FFFFFF"/>
        </w:rPr>
        <w:t>агропереробної</w:t>
      </w:r>
      <w:proofErr w:type="spellEnd"/>
      <w:r w:rsidRPr="00E95FB1">
        <w:rPr>
          <w:color w:val="000000"/>
          <w:shd w:val="clear" w:color="auto" w:fill="FFFFFF"/>
        </w:rPr>
        <w:t xml:space="preserve"> сфери.</w:t>
      </w:r>
    </w:p>
    <w:p w:rsidR="00AC499C" w:rsidRPr="00E95FB1" w:rsidRDefault="00AC499C" w:rsidP="00AC499C">
      <w:pPr>
        <w:pStyle w:val="1"/>
        <w:rPr>
          <w:lang w:eastAsia="uk-UA"/>
        </w:rPr>
      </w:pPr>
      <w:bookmarkStart w:id="18" w:name="_Toc142141277"/>
      <w:bookmarkStart w:id="19" w:name="_Toc143012472"/>
      <w:bookmarkEnd w:id="17"/>
      <w:r w:rsidRPr="00E95FB1">
        <w:rPr>
          <w:lang w:eastAsia="uk-UA"/>
        </w:rPr>
        <w:t>Функціональні типи територій, до яких відноситься територіальна громада</w:t>
      </w:r>
      <w:bookmarkEnd w:id="18"/>
      <w:bookmarkEnd w:id="19"/>
    </w:p>
    <w:p w:rsidR="00AC499C" w:rsidRPr="00E95FB1" w:rsidRDefault="00AC499C" w:rsidP="00AC499C">
      <w:pPr>
        <w:autoSpaceDE w:val="0"/>
        <w:autoSpaceDN w:val="0"/>
        <w:adjustRightInd w:val="0"/>
        <w:ind w:firstLine="709"/>
        <w:rPr>
          <w:rFonts w:eastAsia="Calibri"/>
        </w:rPr>
      </w:pPr>
    </w:p>
    <w:p w:rsidR="00AC499C" w:rsidRPr="00E95FB1" w:rsidRDefault="00FE6A61" w:rsidP="00AC499C">
      <w:pPr>
        <w:autoSpaceDE w:val="0"/>
        <w:autoSpaceDN w:val="0"/>
        <w:adjustRightInd w:val="0"/>
        <w:ind w:firstLine="709"/>
        <w:rPr>
          <w:rFonts w:eastAsia="Calibri"/>
          <w:shd w:val="clear" w:color="auto" w:fill="FFFFFF"/>
        </w:rPr>
      </w:pPr>
      <w:r>
        <w:rPr>
          <w:rFonts w:eastAsia="Calibri"/>
        </w:rPr>
        <w:t>Відповідно</w:t>
      </w:r>
      <w:r w:rsidR="00AC499C" w:rsidRPr="00E95FB1">
        <w:rPr>
          <w:rFonts w:eastAsia="Calibri"/>
        </w:rPr>
        <w:t xml:space="preserve"> до </w:t>
      </w:r>
      <w:proofErr w:type="spellStart"/>
      <w:r w:rsidR="00AC499C" w:rsidRPr="00E95FB1">
        <w:rPr>
          <w:rFonts w:eastAsia="Calibri"/>
        </w:rPr>
        <w:t>статтей</w:t>
      </w:r>
      <w:proofErr w:type="spellEnd"/>
      <w:r w:rsidR="00AC499C" w:rsidRPr="00E95FB1">
        <w:rPr>
          <w:rFonts w:eastAsia="Calibri"/>
        </w:rPr>
        <w:t xml:space="preserve"> 1, 11</w:t>
      </w:r>
      <w:r w:rsidR="00AC499C" w:rsidRPr="00E95FB1">
        <w:rPr>
          <w:rFonts w:eastAsia="Calibri"/>
          <w:vertAlign w:val="superscript"/>
        </w:rPr>
        <w:t xml:space="preserve"> </w:t>
      </w:r>
      <w:r w:rsidR="00AC499C" w:rsidRPr="00E95FB1">
        <w:rPr>
          <w:rFonts w:eastAsia="Calibri"/>
        </w:rPr>
        <w:t>Закону України «</w:t>
      </w:r>
      <w:r w:rsidR="00AC499C" w:rsidRPr="00E95FB1">
        <w:rPr>
          <w:rFonts w:eastAsia="Calibri"/>
          <w:shd w:val="clear" w:color="auto" w:fill="FFFFFF"/>
        </w:rPr>
        <w:t>Про засади державної регіональної політики»</w:t>
      </w:r>
      <w:r w:rsidR="00AC499C" w:rsidRPr="00E95FB1">
        <w:rPr>
          <w:rFonts w:eastAsia="Calibri"/>
          <w:b/>
          <w:bCs/>
          <w:shd w:val="clear" w:color="auto" w:fill="FFFFFF"/>
        </w:rPr>
        <w:t xml:space="preserve"> </w:t>
      </w:r>
      <w:r w:rsidR="00AC499C" w:rsidRPr="00E95FB1">
        <w:rPr>
          <w:rFonts w:eastAsia="Calibri"/>
          <w:shd w:val="clear" w:color="auto" w:fill="FFFFFF"/>
        </w:rPr>
        <w:t xml:space="preserve">функціональний тип території – це </w:t>
      </w:r>
      <w:proofErr w:type="spellStart"/>
      <w:r w:rsidR="00AC499C" w:rsidRPr="00E95FB1">
        <w:rPr>
          <w:rFonts w:eastAsia="Calibri"/>
          <w:shd w:val="clear" w:color="auto" w:fill="FFFFFF"/>
        </w:rPr>
        <w:t>макрорегіон</w:t>
      </w:r>
      <w:proofErr w:type="spellEnd"/>
      <w:r w:rsidR="00AC499C" w:rsidRPr="00E95FB1">
        <w:rPr>
          <w:rFonts w:eastAsia="Calibri"/>
          <w:shd w:val="clear" w:color="auto" w:fill="FFFFFF"/>
        </w:rPr>
        <w:t xml:space="preserve">, </w:t>
      </w:r>
      <w:proofErr w:type="spellStart"/>
      <w:r w:rsidR="00AC499C" w:rsidRPr="00E95FB1">
        <w:rPr>
          <w:rFonts w:eastAsia="Calibri"/>
          <w:shd w:val="clear" w:color="auto" w:fill="FFFFFF"/>
        </w:rPr>
        <w:t>мікрорегіон</w:t>
      </w:r>
      <w:proofErr w:type="spellEnd"/>
      <w:r w:rsidR="00AC499C" w:rsidRPr="00E95FB1">
        <w:rPr>
          <w:rFonts w:eastAsia="Calibri"/>
          <w:shd w:val="clear" w:color="auto" w:fill="FFFFFF"/>
        </w:rPr>
        <w:t xml:space="preserve"> чи територіальна громада, які характеризуються сукупністю спільних соціальних, просторових, екологічних, економічних, безпекових та інших особливостей.</w:t>
      </w:r>
    </w:p>
    <w:p w:rsidR="00AC499C" w:rsidRDefault="00AC499C" w:rsidP="00AC499C">
      <w:pPr>
        <w:shd w:val="clear" w:color="auto" w:fill="FFFFFF"/>
        <w:ind w:firstLine="709"/>
        <w:rPr>
          <w:lang w:eastAsia="uk-UA"/>
        </w:rPr>
      </w:pPr>
    </w:p>
    <w:p w:rsidR="00AC499C" w:rsidRPr="00E95FB1" w:rsidRDefault="00AC499C" w:rsidP="00AC499C">
      <w:pPr>
        <w:shd w:val="clear" w:color="auto" w:fill="FFFFFF"/>
        <w:ind w:firstLine="709"/>
        <w:rPr>
          <w:lang w:eastAsia="uk-UA"/>
        </w:rPr>
      </w:pPr>
      <w:r w:rsidRPr="00E95FB1">
        <w:rPr>
          <w:lang w:eastAsia="uk-UA"/>
        </w:rPr>
        <w:t>Для планування відновлення та стимулювання розвитку регіонів та територій, а також з метою запровадження органами виконавчої влади та органами місцевого самоврядування спеціальних механізмів та інструментів визначаються такі функціональні типи територій:</w:t>
      </w:r>
    </w:p>
    <w:p w:rsidR="00AC499C" w:rsidRPr="00E95FB1" w:rsidRDefault="00AC499C" w:rsidP="00AC499C">
      <w:pPr>
        <w:shd w:val="clear" w:color="auto" w:fill="FFFFFF"/>
        <w:ind w:firstLine="709"/>
        <w:rPr>
          <w:lang w:eastAsia="uk-UA"/>
        </w:rPr>
      </w:pPr>
      <w:bookmarkStart w:id="20" w:name="n357"/>
      <w:bookmarkEnd w:id="20"/>
      <w:r w:rsidRPr="00E95FB1">
        <w:rPr>
          <w:lang w:eastAsia="uk-UA"/>
        </w:rPr>
        <w:t>1) території відновлення;</w:t>
      </w:r>
    </w:p>
    <w:p w:rsidR="00AC499C" w:rsidRPr="00E95FB1" w:rsidRDefault="00AC499C" w:rsidP="00AC499C">
      <w:pPr>
        <w:shd w:val="clear" w:color="auto" w:fill="FFFFFF"/>
        <w:ind w:firstLine="709"/>
        <w:rPr>
          <w:lang w:eastAsia="uk-UA"/>
        </w:rPr>
      </w:pPr>
      <w:bookmarkStart w:id="21" w:name="n358"/>
      <w:bookmarkEnd w:id="21"/>
      <w:r w:rsidRPr="00E95FB1">
        <w:rPr>
          <w:lang w:eastAsia="uk-UA"/>
        </w:rPr>
        <w:t>2) регіональні полюси зростання;</w:t>
      </w:r>
    </w:p>
    <w:p w:rsidR="00AC499C" w:rsidRPr="00E95FB1" w:rsidRDefault="00AC499C" w:rsidP="00AC499C">
      <w:pPr>
        <w:shd w:val="clear" w:color="auto" w:fill="FFFFFF"/>
        <w:ind w:firstLine="709"/>
        <w:rPr>
          <w:lang w:eastAsia="uk-UA"/>
        </w:rPr>
      </w:pPr>
      <w:bookmarkStart w:id="22" w:name="n359"/>
      <w:bookmarkEnd w:id="22"/>
      <w:r w:rsidRPr="00E95FB1">
        <w:rPr>
          <w:lang w:eastAsia="uk-UA"/>
        </w:rPr>
        <w:t>3) території з особливими умовами для розвитку;</w:t>
      </w:r>
    </w:p>
    <w:p w:rsidR="00AC499C" w:rsidRPr="00E95FB1" w:rsidRDefault="00AC499C" w:rsidP="00AC499C">
      <w:pPr>
        <w:shd w:val="clear" w:color="auto" w:fill="FFFFFF"/>
        <w:ind w:firstLine="709"/>
        <w:rPr>
          <w:lang w:eastAsia="uk-UA"/>
        </w:rPr>
      </w:pPr>
      <w:bookmarkStart w:id="23" w:name="n360"/>
      <w:bookmarkEnd w:id="23"/>
      <w:r w:rsidRPr="00E95FB1">
        <w:rPr>
          <w:lang w:eastAsia="uk-UA"/>
        </w:rPr>
        <w:t>4) території сталого розвитку.</w:t>
      </w:r>
    </w:p>
    <w:p w:rsidR="00AC499C" w:rsidRDefault="00AC499C" w:rsidP="00AC499C">
      <w:pPr>
        <w:autoSpaceDE w:val="0"/>
        <w:autoSpaceDN w:val="0"/>
        <w:adjustRightInd w:val="0"/>
        <w:ind w:firstLine="709"/>
        <w:rPr>
          <w:rFonts w:eastAsia="Calibri"/>
          <w:shd w:val="clear" w:color="auto" w:fill="FFFFFF"/>
        </w:rPr>
      </w:pPr>
    </w:p>
    <w:p w:rsidR="00AC499C" w:rsidRPr="00E95FB1" w:rsidRDefault="00AC499C" w:rsidP="00AC499C">
      <w:pPr>
        <w:autoSpaceDE w:val="0"/>
        <w:autoSpaceDN w:val="0"/>
        <w:adjustRightInd w:val="0"/>
        <w:ind w:firstLine="709"/>
        <w:rPr>
          <w:rFonts w:eastAsia="Calibri"/>
          <w:shd w:val="clear" w:color="auto" w:fill="FFFFFF"/>
        </w:rPr>
      </w:pPr>
      <w:r w:rsidRPr="00E95FB1">
        <w:rPr>
          <w:rFonts w:eastAsia="Calibri"/>
          <w:shd w:val="clear" w:color="auto" w:fill="FFFFFF"/>
        </w:rPr>
        <w:t>Перелік функціональних типів територій, а також вимоги щодо показників для віднесення територій до різних функціональних типів визначаються Кабінетом Міністрів України. На теперішній час вимоги щодо показників для віднесення територій до різних функціональних типів Кабінетом Міністрів України не визначені.</w:t>
      </w:r>
    </w:p>
    <w:p w:rsidR="00AC499C" w:rsidRDefault="00AC499C" w:rsidP="00AC499C">
      <w:pPr>
        <w:shd w:val="clear" w:color="auto" w:fill="FFFFFF"/>
        <w:ind w:firstLine="709"/>
        <w:rPr>
          <w:lang w:eastAsia="uk-UA"/>
        </w:rPr>
      </w:pPr>
    </w:p>
    <w:p w:rsidR="00AC499C" w:rsidRPr="00E95FB1" w:rsidRDefault="00AC499C" w:rsidP="00AC499C">
      <w:pPr>
        <w:shd w:val="clear" w:color="auto" w:fill="FFFFFF"/>
        <w:ind w:firstLine="709"/>
        <w:rPr>
          <w:lang w:eastAsia="uk-UA"/>
        </w:rPr>
      </w:pPr>
      <w:r w:rsidRPr="00E95FB1">
        <w:rPr>
          <w:lang w:eastAsia="uk-UA"/>
        </w:rPr>
        <w:t xml:space="preserve">Центральний орган виконавчої влади, що забезпечує формування державної регіональної політики, утворює відповідну комісію для оцінки і віднесення територій до функціональних типів, до складу якої входять члени комітету Верховної Ради України, до предмета відання якого належать питання регіональної політики та містобудування за рішенням цього комітету (чисельністю не менше 50 відсотків складу такої комісії). Така комісія здійснює оцінку та визначає склад функціональних типів територій України, що </w:t>
      </w:r>
      <w:r w:rsidRPr="00E95FB1">
        <w:rPr>
          <w:lang w:eastAsia="uk-UA"/>
        </w:rPr>
        <w:lastRenderedPageBreak/>
        <w:t>затверджується Кабінетом Міністрів України у Державній стратегії регіонального розвитку України.</w:t>
      </w:r>
    </w:p>
    <w:p w:rsidR="00AC499C" w:rsidRPr="00E95FB1" w:rsidRDefault="00AC499C" w:rsidP="00AC499C">
      <w:pPr>
        <w:shd w:val="clear" w:color="auto" w:fill="FFFFFF"/>
        <w:ind w:firstLine="709"/>
        <w:rPr>
          <w:lang w:eastAsia="uk-UA"/>
        </w:rPr>
      </w:pPr>
      <w:bookmarkStart w:id="24" w:name="n368"/>
      <w:bookmarkEnd w:id="24"/>
      <w:r w:rsidRPr="00E95FB1">
        <w:rPr>
          <w:lang w:eastAsia="uk-UA"/>
        </w:rPr>
        <w:t>За необхідності внесення змін до складу функціональних типів територій, затверджених Кабінетом Міністрів України у Державній стратегії регіонального розвитку України, комісія приймає відповідне рішення.</w:t>
      </w:r>
      <w:bookmarkStart w:id="25" w:name="_Hlk137727969"/>
    </w:p>
    <w:bookmarkEnd w:id="25"/>
    <w:p w:rsidR="00AC499C" w:rsidRDefault="00AC499C" w:rsidP="00AC499C">
      <w:pPr>
        <w:autoSpaceDE w:val="0"/>
        <w:autoSpaceDN w:val="0"/>
        <w:adjustRightInd w:val="0"/>
        <w:ind w:firstLine="709"/>
        <w:rPr>
          <w:rFonts w:eastAsia="Calibri"/>
        </w:rPr>
      </w:pPr>
    </w:p>
    <w:p w:rsidR="00AC499C" w:rsidRPr="00E95FB1" w:rsidRDefault="00AC499C" w:rsidP="00AC499C">
      <w:pPr>
        <w:autoSpaceDE w:val="0"/>
        <w:autoSpaceDN w:val="0"/>
        <w:adjustRightInd w:val="0"/>
        <w:ind w:firstLine="709"/>
        <w:rPr>
          <w:rFonts w:eastAsia="Calibri"/>
          <w:shd w:val="clear" w:color="auto" w:fill="FFFFFF"/>
        </w:rPr>
      </w:pPr>
      <w:r w:rsidRPr="00E95FB1">
        <w:rPr>
          <w:rFonts w:eastAsia="Calibri"/>
        </w:rPr>
        <w:t xml:space="preserve">Згідно </w:t>
      </w:r>
      <w:r w:rsidR="00C12043">
        <w:rPr>
          <w:rFonts w:eastAsia="Calibri"/>
        </w:rPr>
        <w:t xml:space="preserve">із </w:t>
      </w:r>
      <w:r w:rsidR="00C12043" w:rsidRPr="00E95FB1">
        <w:rPr>
          <w:rFonts w:eastAsia="Calibri"/>
        </w:rPr>
        <w:t>статт</w:t>
      </w:r>
      <w:r w:rsidR="00C12043">
        <w:rPr>
          <w:rFonts w:eastAsia="Calibri"/>
        </w:rPr>
        <w:t>ею</w:t>
      </w:r>
      <w:r w:rsidR="00C12043" w:rsidRPr="00E95FB1">
        <w:rPr>
          <w:rFonts w:eastAsia="Calibri"/>
        </w:rPr>
        <w:t xml:space="preserve"> </w:t>
      </w:r>
      <w:r w:rsidRPr="00E95FB1">
        <w:rPr>
          <w:rFonts w:eastAsia="Calibri"/>
        </w:rPr>
        <w:t>11</w:t>
      </w:r>
      <w:r w:rsidRPr="00E95FB1">
        <w:rPr>
          <w:rFonts w:eastAsia="Calibri"/>
          <w:vertAlign w:val="superscript"/>
        </w:rPr>
        <w:t xml:space="preserve"> </w:t>
      </w:r>
      <w:r w:rsidRPr="00E95FB1">
        <w:rPr>
          <w:rFonts w:eastAsia="Calibri"/>
        </w:rPr>
        <w:t>Закону України «</w:t>
      </w:r>
      <w:r w:rsidRPr="00E95FB1">
        <w:rPr>
          <w:rFonts w:eastAsia="Calibri"/>
          <w:shd w:val="clear" w:color="auto" w:fill="FFFFFF"/>
        </w:rPr>
        <w:t>Про засади державної регіональної політики»</w:t>
      </w:r>
      <w:r w:rsidRPr="00E95FB1">
        <w:rPr>
          <w:rFonts w:eastAsia="Calibri"/>
          <w:b/>
          <w:bCs/>
          <w:shd w:val="clear" w:color="auto" w:fill="FFFFFF"/>
        </w:rPr>
        <w:t xml:space="preserve"> </w:t>
      </w:r>
      <w:r w:rsidRPr="00E95FB1">
        <w:rPr>
          <w:rFonts w:eastAsia="Calibri"/>
          <w:shd w:val="clear" w:color="auto" w:fill="FFFFFF"/>
        </w:rPr>
        <w:t xml:space="preserve">функціональний тип території Сєвєродонецької міської територіальної громади можна віднести до типу </w:t>
      </w:r>
      <w:bookmarkStart w:id="26" w:name="_Hlk137727821"/>
      <w:r w:rsidRPr="00E95FB1">
        <w:rPr>
          <w:rFonts w:eastAsia="Calibri"/>
          <w:shd w:val="clear" w:color="auto" w:fill="FFFFFF"/>
        </w:rPr>
        <w:t>«Територія відновлення»</w:t>
      </w:r>
      <w:bookmarkEnd w:id="26"/>
      <w:r w:rsidRPr="00E95FB1">
        <w:rPr>
          <w:rFonts w:eastAsia="Calibri"/>
          <w:shd w:val="clear" w:color="auto" w:fill="FFFFFF"/>
        </w:rPr>
        <w:t>.</w:t>
      </w:r>
    </w:p>
    <w:p w:rsidR="00AC499C" w:rsidRDefault="00AC499C" w:rsidP="00AC499C">
      <w:pPr>
        <w:shd w:val="clear" w:color="auto" w:fill="FFFFFF"/>
        <w:ind w:firstLine="709"/>
        <w:rPr>
          <w:shd w:val="clear" w:color="auto" w:fill="FFFFFF"/>
          <w:lang w:eastAsia="uk-UA"/>
        </w:rPr>
      </w:pPr>
    </w:p>
    <w:p w:rsidR="00AC499C" w:rsidRPr="00E95FB1" w:rsidRDefault="00AC499C" w:rsidP="00AC499C">
      <w:pPr>
        <w:shd w:val="clear" w:color="auto" w:fill="FFFFFF"/>
        <w:ind w:firstLine="709"/>
        <w:rPr>
          <w:lang w:eastAsia="uk-UA"/>
        </w:rPr>
      </w:pPr>
      <w:r w:rsidRPr="00E95FB1">
        <w:rPr>
          <w:shd w:val="clear" w:color="auto" w:fill="FFFFFF"/>
          <w:lang w:eastAsia="uk-UA"/>
        </w:rPr>
        <w:t xml:space="preserve">«Територія відновлення» – це </w:t>
      </w:r>
      <w:proofErr w:type="spellStart"/>
      <w:r w:rsidRPr="00E95FB1">
        <w:rPr>
          <w:shd w:val="clear" w:color="auto" w:fill="FFFFFF"/>
          <w:lang w:eastAsia="uk-UA"/>
        </w:rPr>
        <w:t>мікрорегіони</w:t>
      </w:r>
      <w:proofErr w:type="spellEnd"/>
      <w:r w:rsidRPr="00E95FB1">
        <w:rPr>
          <w:shd w:val="clear" w:color="auto" w:fill="FFFFFF"/>
          <w:lang w:eastAsia="uk-UA"/>
        </w:rPr>
        <w:t>, територіальні громади, на території яких відбувалися бойові дії та/або які були тимчасово окуповані, та/або території яких зазнали руйнувань об’єктів критичної інфраструктури, соціальної інфраструктури, об’єктів житлового фонду внаслідок ведення бойових дій, а також які характеризуються різким погіршенням рівня соціально-економічного розвитку та значним переміщенням населення до інших регіонів та/або інших держав.</w:t>
      </w:r>
    </w:p>
    <w:p w:rsidR="00AC499C" w:rsidRDefault="00AC499C" w:rsidP="00AC499C">
      <w:pPr>
        <w:shd w:val="clear" w:color="auto" w:fill="FFFFFF"/>
        <w:ind w:firstLine="709"/>
        <w:rPr>
          <w:shd w:val="clear" w:color="auto" w:fill="FFFFFF"/>
          <w:lang w:eastAsia="uk-UA"/>
        </w:rPr>
      </w:pPr>
    </w:p>
    <w:p w:rsidR="00AC499C" w:rsidRPr="00E95FB1" w:rsidRDefault="00AC499C" w:rsidP="00AC499C">
      <w:pPr>
        <w:shd w:val="clear" w:color="auto" w:fill="FFFFFF"/>
        <w:ind w:firstLine="709"/>
        <w:rPr>
          <w:lang w:eastAsia="uk-UA"/>
        </w:rPr>
      </w:pPr>
      <w:r w:rsidRPr="00E95FB1">
        <w:rPr>
          <w:shd w:val="clear" w:color="auto" w:fill="FFFFFF"/>
          <w:lang w:eastAsia="uk-UA"/>
        </w:rPr>
        <w:t>На теперішній час детального поділу, до якого із функціональних типів належать регіони України, поки що не оприлюднено.</w:t>
      </w:r>
    </w:p>
    <w:p w:rsidR="00AC499C" w:rsidRDefault="00AC499C" w:rsidP="00AC499C">
      <w:pPr>
        <w:jc w:val="left"/>
      </w:pPr>
      <w:r>
        <w:br w:type="page"/>
      </w:r>
    </w:p>
    <w:p w:rsidR="00AC499C" w:rsidRPr="00E95FB1" w:rsidRDefault="00AC499C" w:rsidP="00AC499C"/>
    <w:p w:rsidR="00AC499C" w:rsidRDefault="00AC499C" w:rsidP="00AC499C">
      <w:pPr>
        <w:pStyle w:val="1"/>
      </w:pPr>
      <w:bookmarkStart w:id="27" w:name="_Toc142141278"/>
      <w:bookmarkStart w:id="28" w:name="_Toc143012473"/>
      <w:r w:rsidRPr="00E95FB1">
        <w:t xml:space="preserve">Бачення </w:t>
      </w:r>
      <w:r>
        <w:t xml:space="preserve">розвитку </w:t>
      </w:r>
      <w:r w:rsidRPr="00E95FB1">
        <w:t xml:space="preserve">територіальної громади після завершення відновлення, що формується з урахуванням </w:t>
      </w:r>
      <w:r w:rsidRPr="00C2154F">
        <w:t>визначеного</w:t>
      </w:r>
      <w:r w:rsidRPr="00E95FB1">
        <w:t xml:space="preserve"> у чинній стратегії розвитку територіальної громади.</w:t>
      </w:r>
      <w:bookmarkEnd w:id="27"/>
      <w:bookmarkEnd w:id="28"/>
    </w:p>
    <w:p w:rsidR="00AC499C" w:rsidRDefault="00AC499C" w:rsidP="00AC499C"/>
    <w:p w:rsidR="00AC499C" w:rsidRPr="00091F39" w:rsidRDefault="00AC499C" w:rsidP="00AC499C">
      <w:pPr>
        <w:ind w:firstLine="709"/>
        <w:rPr>
          <w:b/>
          <w:bCs/>
          <w:color w:val="244061" w:themeColor="accent1" w:themeShade="80"/>
        </w:rPr>
      </w:pPr>
      <w:r w:rsidRPr="00091F39">
        <w:rPr>
          <w:b/>
          <w:bCs/>
          <w:color w:val="244061" w:themeColor="accent1" w:themeShade="80"/>
        </w:rPr>
        <w:t>Базові підходи при формуванні бачення</w:t>
      </w:r>
    </w:p>
    <w:p w:rsidR="00AC499C" w:rsidRDefault="00AC499C" w:rsidP="00AC499C"/>
    <w:p w:rsidR="00AC499C" w:rsidRPr="001A5E9D" w:rsidRDefault="00AC499C" w:rsidP="00EC660A">
      <w:pPr>
        <w:ind w:firstLine="708"/>
      </w:pPr>
      <w:r w:rsidRPr="001A5E9D">
        <w:t>Формування бачення територіальної громади після завершення відновлення є важливим етапом в розвитку спільноти. Воно допомагає визначити мету, цілі та напрямки розвитку після складних подій, таких як бойові дії, окупація та відновлення. Це бачення може базуватися на чинній стратегії розвитку територіальної громади, але враховувати також специфічні виклики та потреби, що виникли внаслідок окупації та періоду відновлення. Нижче наведено декілька ключових аспектів, які можуть бути включені у таке бачення</w:t>
      </w:r>
      <w:r w:rsidR="00467B97">
        <w:rPr>
          <w:lang w:val="ru-RU"/>
        </w:rPr>
        <w:t>.</w:t>
      </w:r>
    </w:p>
    <w:p w:rsidR="00AC499C" w:rsidRPr="001A5E9D" w:rsidRDefault="00AC499C" w:rsidP="00AC499C"/>
    <w:p w:rsidR="00AC499C" w:rsidRPr="001A5E9D" w:rsidRDefault="00AC499C" w:rsidP="00B27DFA">
      <w:pPr>
        <w:ind w:firstLine="708"/>
      </w:pPr>
      <w:r w:rsidRPr="001A5E9D">
        <w:rPr>
          <w:b/>
          <w:bCs/>
          <w:u w:val="single"/>
        </w:rPr>
        <w:t>Відновлення критичної інфраструктури та налагодження системи надання комунальних послуг</w:t>
      </w:r>
      <w:r w:rsidR="001D5ADC" w:rsidRPr="001D5ADC">
        <w:rPr>
          <w:b/>
          <w:bCs/>
          <w:u w:val="single"/>
        </w:rPr>
        <w:t>.</w:t>
      </w:r>
      <w:r w:rsidRPr="001A5E9D">
        <w:rPr>
          <w:b/>
          <w:bCs/>
        </w:rPr>
        <w:t xml:space="preserve"> </w:t>
      </w:r>
      <w:r w:rsidRPr="001A5E9D">
        <w:t>Відновлення та покращення критичної інфраструктури, такої як енергетика, опалення, водопостачання, каналізація та інші комунальні послуги, забезпечивши стійкість та якість надання послуг для всіх мешканців.</w:t>
      </w:r>
    </w:p>
    <w:p w:rsidR="00AC499C" w:rsidRPr="001A5E9D" w:rsidRDefault="00AC499C" w:rsidP="00AC499C"/>
    <w:p w:rsidR="00AC499C" w:rsidRPr="001A5E9D" w:rsidRDefault="00AC499C" w:rsidP="00B27DFA">
      <w:pPr>
        <w:ind w:firstLine="708"/>
      </w:pPr>
      <w:r w:rsidRPr="001A5E9D">
        <w:rPr>
          <w:b/>
          <w:bCs/>
          <w:u w:val="single"/>
        </w:rPr>
        <w:t>Економічний розвиток</w:t>
      </w:r>
      <w:r w:rsidR="001D5ADC">
        <w:rPr>
          <w:b/>
          <w:bCs/>
          <w:u w:val="single"/>
          <w:lang w:val="ru-RU"/>
        </w:rPr>
        <w:t>.</w:t>
      </w:r>
      <w:r w:rsidRPr="001A5E9D">
        <w:t xml:space="preserve"> Відновлення може надати можливість зосередитися на розвитку економіки та інфраструктури. Розробка стратегій для залучення інвестицій, розвитку підприємництва та створення робочих місць може стати ключовим завданням.</w:t>
      </w:r>
    </w:p>
    <w:p w:rsidR="00AC499C" w:rsidRPr="001A5E9D" w:rsidRDefault="00AC499C" w:rsidP="00AC499C"/>
    <w:p w:rsidR="00AC499C" w:rsidRPr="001A5E9D" w:rsidRDefault="00AC499C" w:rsidP="001D5ADC">
      <w:pPr>
        <w:ind w:firstLine="708"/>
      </w:pPr>
      <w:r w:rsidRPr="001A5E9D">
        <w:rPr>
          <w:b/>
          <w:bCs/>
          <w:u w:val="single"/>
        </w:rPr>
        <w:t>Логістика та транспортна інфраструктура</w:t>
      </w:r>
      <w:r w:rsidR="001D5ADC" w:rsidRPr="001D5ADC">
        <w:rPr>
          <w:b/>
          <w:bCs/>
          <w:u w:val="single"/>
        </w:rPr>
        <w:t>.</w:t>
      </w:r>
      <w:r w:rsidRPr="001A5E9D">
        <w:t xml:space="preserve"> Покращити логістику, забезпечити зручний та ефективний транспортний доступ для всіх мешканців, сприяючи мобільності, розвитку та підвищенню якості життя.</w:t>
      </w:r>
    </w:p>
    <w:p w:rsidR="00AC499C" w:rsidRPr="001A5E9D" w:rsidRDefault="00AC499C" w:rsidP="00AC499C"/>
    <w:p w:rsidR="00AC499C" w:rsidRPr="001A5E9D" w:rsidRDefault="00AC499C" w:rsidP="001D5ADC">
      <w:pPr>
        <w:ind w:firstLine="708"/>
      </w:pPr>
      <w:r w:rsidRPr="001A5E9D">
        <w:rPr>
          <w:b/>
          <w:bCs/>
          <w:u w:val="single"/>
        </w:rPr>
        <w:t>Соціальна сфера</w:t>
      </w:r>
      <w:r w:rsidR="009A640D">
        <w:rPr>
          <w:b/>
          <w:bCs/>
          <w:u w:val="single"/>
          <w:lang w:val="ru-RU"/>
        </w:rPr>
        <w:t>.</w:t>
      </w:r>
      <w:r w:rsidRPr="001A5E9D">
        <w:t xml:space="preserve"> Після важких подій, які вплинули на соціальний стан спільноти, важливо підтримати соціальну сферу. Це може включати розвиток освіти, охорони здоров'я, культурних програм та соціальної підтримки.</w:t>
      </w:r>
    </w:p>
    <w:p w:rsidR="00AC499C" w:rsidRPr="001A5E9D" w:rsidRDefault="00AC499C" w:rsidP="00AC499C"/>
    <w:p w:rsidR="00AC499C" w:rsidRPr="001A5E9D" w:rsidRDefault="00AC499C" w:rsidP="001D5ADC">
      <w:pPr>
        <w:ind w:firstLine="708"/>
      </w:pPr>
      <w:r w:rsidRPr="001A5E9D">
        <w:rPr>
          <w:b/>
          <w:bCs/>
          <w:u w:val="single"/>
        </w:rPr>
        <w:t>Екологічний розвиток</w:t>
      </w:r>
      <w:r w:rsidR="009A640D">
        <w:rPr>
          <w:b/>
          <w:bCs/>
          <w:u w:val="single"/>
          <w:lang w:val="ru-RU"/>
        </w:rPr>
        <w:t>.</w:t>
      </w:r>
      <w:r w:rsidRPr="001A5E9D">
        <w:t xml:space="preserve"> Збереження та відновлення навколишнього середовища може бути важливим аспектом. Стратегії сталого розвитку, екологічного благоустрою та охорони природи можуть бути частиною бачення.</w:t>
      </w:r>
    </w:p>
    <w:p w:rsidR="00AC499C" w:rsidRPr="001A5E9D" w:rsidRDefault="00AC499C" w:rsidP="00AC499C"/>
    <w:p w:rsidR="00AC499C" w:rsidRPr="001A5E9D" w:rsidRDefault="00AC499C" w:rsidP="009A640D">
      <w:pPr>
        <w:ind w:firstLine="708"/>
      </w:pPr>
      <w:r w:rsidRPr="001A5E9D">
        <w:rPr>
          <w:b/>
          <w:bCs/>
          <w:u w:val="single"/>
        </w:rPr>
        <w:t>Благоустрій та розбудова системи парків</w:t>
      </w:r>
      <w:r w:rsidR="00C12043">
        <w:rPr>
          <w:b/>
          <w:bCs/>
          <w:u w:val="single"/>
        </w:rPr>
        <w:t>, алей, спортивних майданчиків</w:t>
      </w:r>
      <w:r w:rsidRPr="001A5E9D">
        <w:rPr>
          <w:b/>
          <w:bCs/>
          <w:u w:val="single"/>
        </w:rPr>
        <w:t xml:space="preserve"> та скверів</w:t>
      </w:r>
      <w:r w:rsidR="007174B5">
        <w:rPr>
          <w:b/>
          <w:bCs/>
          <w:u w:val="single"/>
          <w:lang w:val="ru-RU"/>
        </w:rPr>
        <w:t>.</w:t>
      </w:r>
      <w:r w:rsidRPr="001A5E9D">
        <w:t xml:space="preserve"> Створення природних та культурних просторів для відпочинку, активного дозвілля та зміцнення локальної ідентичності мешканців територіальної громади.</w:t>
      </w:r>
    </w:p>
    <w:p w:rsidR="00AC499C" w:rsidRPr="001A5E9D" w:rsidRDefault="00AC499C" w:rsidP="00AC499C"/>
    <w:p w:rsidR="00AC499C" w:rsidRPr="001A5E9D" w:rsidRDefault="00AC499C" w:rsidP="007174B5">
      <w:pPr>
        <w:ind w:firstLine="708"/>
      </w:pPr>
      <w:r w:rsidRPr="001A5E9D">
        <w:rPr>
          <w:b/>
          <w:bCs/>
          <w:u w:val="single"/>
        </w:rPr>
        <w:t>Соціокультурна ідентичність</w:t>
      </w:r>
      <w:r w:rsidR="007174B5">
        <w:rPr>
          <w:b/>
          <w:bCs/>
          <w:u w:val="single"/>
          <w:lang w:val="ru-RU"/>
        </w:rPr>
        <w:t>.</w:t>
      </w:r>
      <w:r w:rsidRPr="001A5E9D">
        <w:t xml:space="preserve"> Важливо підтримати та відновити соціокультурну ідентичність спільноти. Заходи для збереження та підтримки місцевих традицій, культурних заходів та спадщини можуть сприяти підвищенню самосвідомості та єдності.</w:t>
      </w:r>
    </w:p>
    <w:p w:rsidR="00AC499C" w:rsidRPr="001A5E9D" w:rsidRDefault="00AC499C" w:rsidP="00AC499C"/>
    <w:p w:rsidR="00AC499C" w:rsidRPr="001A5E9D" w:rsidRDefault="00AC499C" w:rsidP="007174B5">
      <w:pPr>
        <w:ind w:firstLine="708"/>
      </w:pPr>
      <w:r w:rsidRPr="001A5E9D">
        <w:rPr>
          <w:b/>
          <w:bCs/>
          <w:u w:val="single"/>
        </w:rPr>
        <w:t>Участь громадян</w:t>
      </w:r>
      <w:r w:rsidR="001F639D">
        <w:rPr>
          <w:b/>
          <w:bCs/>
          <w:u w:val="single"/>
          <w:lang w:val="ru-RU"/>
        </w:rPr>
        <w:t>.</w:t>
      </w:r>
      <w:r w:rsidRPr="001A5E9D">
        <w:t xml:space="preserve"> Бачення повинно враховувати думки та погляди громадян. </w:t>
      </w:r>
      <w:proofErr w:type="spellStart"/>
      <w:r w:rsidRPr="001A5E9D">
        <w:t>Партисипативний</w:t>
      </w:r>
      <w:proofErr w:type="spellEnd"/>
      <w:r w:rsidRPr="001A5E9D">
        <w:t xml:space="preserve"> підхід, діалог та врахування ініціатив громадян можуть сприяти більш успішному впровадженню стратегії.</w:t>
      </w:r>
    </w:p>
    <w:p w:rsidR="00AC499C" w:rsidRPr="001A5E9D" w:rsidRDefault="00AC499C" w:rsidP="00AC499C"/>
    <w:p w:rsidR="00AC499C" w:rsidRPr="001A5E9D" w:rsidRDefault="00AC499C" w:rsidP="007174B5">
      <w:pPr>
        <w:ind w:firstLine="708"/>
      </w:pPr>
      <w:r w:rsidRPr="001A5E9D">
        <w:rPr>
          <w:b/>
          <w:bCs/>
          <w:u w:val="single"/>
        </w:rPr>
        <w:t>Інновації та технологічний розвиток</w:t>
      </w:r>
      <w:r w:rsidR="001F639D" w:rsidRPr="001F639D">
        <w:rPr>
          <w:b/>
          <w:bCs/>
          <w:u w:val="single"/>
        </w:rPr>
        <w:t>.</w:t>
      </w:r>
      <w:r w:rsidRPr="001A5E9D">
        <w:t xml:space="preserve"> Впровадження інновацій та новітніх технологій може зміцнити економіку, підвищити ефективність та сприяти розвитку.</w:t>
      </w:r>
    </w:p>
    <w:p w:rsidR="00AC499C" w:rsidRPr="001A5E9D" w:rsidRDefault="00AC499C" w:rsidP="00AC499C"/>
    <w:p w:rsidR="00AC499C" w:rsidRPr="001A5E9D" w:rsidRDefault="00AC499C" w:rsidP="001F639D">
      <w:pPr>
        <w:ind w:firstLine="708"/>
      </w:pPr>
      <w:r w:rsidRPr="001A5E9D">
        <w:rPr>
          <w:b/>
          <w:bCs/>
          <w:u w:val="single"/>
        </w:rPr>
        <w:t>Партнерство та співпраця</w:t>
      </w:r>
      <w:r w:rsidR="001F639D" w:rsidRPr="001F639D">
        <w:rPr>
          <w:b/>
          <w:bCs/>
          <w:u w:val="single"/>
        </w:rPr>
        <w:t>.</w:t>
      </w:r>
      <w:r w:rsidRPr="001A5E9D">
        <w:t xml:space="preserve"> Співпраця з іншими містами, організаціями та державними і міжнародними структурами може підтримати реалізацію стратегії та забезпечити підтримку у реалізації </w:t>
      </w:r>
      <w:proofErr w:type="spellStart"/>
      <w:r w:rsidRPr="001A5E9D">
        <w:t>про</w:t>
      </w:r>
      <w:r w:rsidR="001F639D">
        <w:t>є</w:t>
      </w:r>
      <w:r w:rsidRPr="001A5E9D">
        <w:t>ктів</w:t>
      </w:r>
      <w:proofErr w:type="spellEnd"/>
      <w:r w:rsidRPr="001A5E9D">
        <w:t>.</w:t>
      </w:r>
    </w:p>
    <w:p w:rsidR="00AC499C" w:rsidRPr="001A5E9D" w:rsidRDefault="00AC499C" w:rsidP="00AC499C"/>
    <w:p w:rsidR="002B62C8" w:rsidRDefault="00AC499C" w:rsidP="002B62C8">
      <w:pPr>
        <w:ind w:firstLine="708"/>
      </w:pPr>
      <w:r w:rsidRPr="001A5E9D">
        <w:t xml:space="preserve">Це лише деякі можливі напрямки та аспекти, які можна включити у бачення </w:t>
      </w:r>
      <w:r w:rsidR="00CA1985">
        <w:t>розвитку</w:t>
      </w:r>
      <w:r w:rsidR="00CA1985" w:rsidRPr="001A5E9D">
        <w:t xml:space="preserve"> </w:t>
      </w:r>
      <w:r w:rsidRPr="001A5E9D">
        <w:t>територіальної громади після завершення відновлення. Важливо, щоб це бачення відображало потреби, цінності та прагнення мешканців та було підтримане спільнотою.</w:t>
      </w:r>
      <w:r w:rsidR="002B62C8">
        <w:t xml:space="preserve"> А також бачення розвитку Сєвєродонецької міської т</w:t>
      </w:r>
      <w:r w:rsidR="002B62C8" w:rsidRPr="001A5E9D">
        <w:t>ериторіальної громади</w:t>
      </w:r>
      <w:r w:rsidR="002B62C8">
        <w:t xml:space="preserve"> повинно обов’язкового бути пронизано врахуванням </w:t>
      </w:r>
      <w:proofErr w:type="spellStart"/>
      <w:r w:rsidR="002B62C8">
        <w:t>інклюзивності</w:t>
      </w:r>
      <w:proofErr w:type="spellEnd"/>
      <w:r w:rsidR="002B62C8">
        <w:t>.</w:t>
      </w:r>
    </w:p>
    <w:p w:rsidR="002B62C8" w:rsidRDefault="002B62C8" w:rsidP="002B62C8"/>
    <w:p w:rsidR="00AC499C" w:rsidRDefault="00AC499C" w:rsidP="00AC499C"/>
    <w:p w:rsidR="00AC499C" w:rsidRPr="00091F39" w:rsidRDefault="00AC499C" w:rsidP="00AC499C">
      <w:pPr>
        <w:ind w:firstLine="709"/>
        <w:rPr>
          <w:b/>
          <w:bCs/>
          <w:color w:val="244061" w:themeColor="accent1" w:themeShade="80"/>
        </w:rPr>
      </w:pPr>
      <w:r w:rsidRPr="00091F39">
        <w:rPr>
          <w:b/>
          <w:bCs/>
          <w:color w:val="244061" w:themeColor="accent1" w:themeShade="80"/>
        </w:rPr>
        <w:t xml:space="preserve">Обґрунтування потреби підходу </w:t>
      </w:r>
      <w:r w:rsidRPr="00091F39">
        <w:rPr>
          <w:b/>
          <w:bCs/>
          <w:color w:val="244061" w:themeColor="accent1" w:themeShade="80"/>
          <w:shd w:val="clear" w:color="auto" w:fill="FFFFFF"/>
        </w:rPr>
        <w:t>SMART трансформації економіки в процесі відновлення громади</w:t>
      </w:r>
    </w:p>
    <w:p w:rsidR="00AC499C" w:rsidRDefault="00AC499C" w:rsidP="00AC499C">
      <w:pPr>
        <w:ind w:firstLine="709"/>
        <w:rPr>
          <w:color w:val="000000"/>
          <w:shd w:val="clear" w:color="auto" w:fill="FFFFFF"/>
        </w:rPr>
      </w:pPr>
    </w:p>
    <w:p w:rsidR="00AC499C" w:rsidRDefault="00AC499C" w:rsidP="00AC499C">
      <w:pPr>
        <w:ind w:firstLine="709"/>
        <w:rPr>
          <w:color w:val="000000"/>
          <w:shd w:val="clear" w:color="auto" w:fill="FFFFFF"/>
        </w:rPr>
      </w:pPr>
      <w:r w:rsidRPr="00E95FB1">
        <w:rPr>
          <w:color w:val="000000"/>
          <w:shd w:val="clear" w:color="auto" w:fill="FFFFFF"/>
        </w:rPr>
        <w:t xml:space="preserve">SMART (розумна) трансформація економіки передбачає структурні зміни економічної системи, які стають результатом використання унікальних місцевих знань і впровадження інновацій. </w:t>
      </w:r>
    </w:p>
    <w:p w:rsidR="00AC499C" w:rsidRDefault="00AC499C" w:rsidP="00AC499C">
      <w:pPr>
        <w:ind w:firstLine="709"/>
        <w:rPr>
          <w:color w:val="000000"/>
          <w:shd w:val="clear" w:color="auto" w:fill="FFFFFF"/>
        </w:rPr>
      </w:pPr>
    </w:p>
    <w:p w:rsidR="00AC499C" w:rsidRPr="00E95FB1" w:rsidRDefault="00AC499C" w:rsidP="00AC499C">
      <w:pPr>
        <w:ind w:firstLine="709"/>
        <w:rPr>
          <w:color w:val="000000"/>
          <w:shd w:val="clear" w:color="auto" w:fill="FFFFFF"/>
        </w:rPr>
      </w:pPr>
      <w:r w:rsidRPr="00E95FB1">
        <w:rPr>
          <w:color w:val="000000"/>
          <w:shd w:val="clear" w:color="auto" w:fill="FFFFFF"/>
        </w:rPr>
        <w:t xml:space="preserve">Розумний підхід передбачає інвестиційну зосередженість на обмеженій кількості обґрунтовано відібраних стратегічних сфер, які визначаються за результатами аналізу зовнішнього середовища і локального економічного, інноваційного потенціалу території із залученням широкого кола місцевих </w:t>
      </w:r>
      <w:proofErr w:type="spellStart"/>
      <w:r w:rsidRPr="00E95FB1">
        <w:rPr>
          <w:color w:val="000000"/>
          <w:shd w:val="clear" w:color="auto" w:fill="FFFFFF"/>
        </w:rPr>
        <w:t>стейкхолдерів</w:t>
      </w:r>
      <w:proofErr w:type="spellEnd"/>
      <w:r w:rsidRPr="00E95FB1">
        <w:rPr>
          <w:color w:val="000000"/>
          <w:shd w:val="clear" w:color="auto" w:fill="FFFFFF"/>
        </w:rPr>
        <w:t xml:space="preserve">. Такий підхід в європейській практиці регіонального управління відомий під назвою </w:t>
      </w:r>
      <w:proofErr w:type="spellStart"/>
      <w:r w:rsidRPr="00E95FB1">
        <w:rPr>
          <w:color w:val="000000"/>
          <w:shd w:val="clear" w:color="auto" w:fill="FFFFFF"/>
        </w:rPr>
        <w:t>smart</w:t>
      </w:r>
      <w:proofErr w:type="spellEnd"/>
      <w:r w:rsidRPr="00E95FB1">
        <w:rPr>
          <w:color w:val="000000"/>
          <w:shd w:val="clear" w:color="auto" w:fill="FFFFFF"/>
        </w:rPr>
        <w:t xml:space="preserve">-спеціалізація (повна назва </w:t>
      </w:r>
      <w:proofErr w:type="spellStart"/>
      <w:r w:rsidRPr="00E95FB1">
        <w:rPr>
          <w:i/>
          <w:iCs/>
          <w:color w:val="000000"/>
          <w:shd w:val="clear" w:color="auto" w:fill="FFFFFF"/>
        </w:rPr>
        <w:t>Research</w:t>
      </w:r>
      <w:proofErr w:type="spellEnd"/>
      <w:r w:rsidRPr="00E95FB1">
        <w:rPr>
          <w:i/>
          <w:iCs/>
          <w:color w:val="000000"/>
          <w:shd w:val="clear" w:color="auto" w:fill="FFFFFF"/>
        </w:rPr>
        <w:t xml:space="preserve"> </w:t>
      </w:r>
      <w:proofErr w:type="spellStart"/>
      <w:r w:rsidRPr="00E95FB1">
        <w:rPr>
          <w:i/>
          <w:iCs/>
          <w:color w:val="000000"/>
          <w:shd w:val="clear" w:color="auto" w:fill="FFFFFF"/>
        </w:rPr>
        <w:t>and</w:t>
      </w:r>
      <w:proofErr w:type="spellEnd"/>
      <w:r w:rsidRPr="00E95FB1">
        <w:rPr>
          <w:i/>
          <w:iCs/>
          <w:color w:val="000000"/>
          <w:shd w:val="clear" w:color="auto" w:fill="FFFFFF"/>
        </w:rPr>
        <w:t xml:space="preserve"> </w:t>
      </w:r>
      <w:proofErr w:type="spellStart"/>
      <w:r w:rsidRPr="00E95FB1">
        <w:rPr>
          <w:i/>
          <w:iCs/>
          <w:color w:val="000000"/>
          <w:shd w:val="clear" w:color="auto" w:fill="FFFFFF"/>
        </w:rPr>
        <w:t>Innovation</w:t>
      </w:r>
      <w:proofErr w:type="spellEnd"/>
      <w:r w:rsidRPr="00E95FB1">
        <w:rPr>
          <w:i/>
          <w:iCs/>
          <w:color w:val="000000"/>
          <w:shd w:val="clear" w:color="auto" w:fill="FFFFFF"/>
        </w:rPr>
        <w:t xml:space="preserve"> </w:t>
      </w:r>
      <w:proofErr w:type="spellStart"/>
      <w:r w:rsidRPr="00E95FB1">
        <w:rPr>
          <w:i/>
          <w:iCs/>
          <w:color w:val="000000"/>
          <w:shd w:val="clear" w:color="auto" w:fill="FFFFFF"/>
        </w:rPr>
        <w:t>Strategies</w:t>
      </w:r>
      <w:proofErr w:type="spellEnd"/>
      <w:r w:rsidRPr="00E95FB1">
        <w:rPr>
          <w:i/>
          <w:iCs/>
          <w:color w:val="000000"/>
          <w:shd w:val="clear" w:color="auto" w:fill="FFFFFF"/>
        </w:rPr>
        <w:t xml:space="preserve"> </w:t>
      </w:r>
      <w:proofErr w:type="spellStart"/>
      <w:r w:rsidRPr="00E95FB1">
        <w:rPr>
          <w:i/>
          <w:iCs/>
          <w:color w:val="000000"/>
          <w:shd w:val="clear" w:color="auto" w:fill="FFFFFF"/>
        </w:rPr>
        <w:t>for</w:t>
      </w:r>
      <w:proofErr w:type="spellEnd"/>
      <w:r w:rsidRPr="00E95FB1">
        <w:rPr>
          <w:i/>
          <w:iCs/>
          <w:color w:val="000000"/>
          <w:shd w:val="clear" w:color="auto" w:fill="FFFFFF"/>
        </w:rPr>
        <w:t xml:space="preserve"> </w:t>
      </w:r>
      <w:proofErr w:type="spellStart"/>
      <w:r w:rsidRPr="00E95FB1">
        <w:rPr>
          <w:i/>
          <w:iCs/>
          <w:color w:val="000000"/>
          <w:shd w:val="clear" w:color="auto" w:fill="FFFFFF"/>
        </w:rPr>
        <w:t>Smart</w:t>
      </w:r>
      <w:proofErr w:type="spellEnd"/>
      <w:r w:rsidRPr="00E95FB1">
        <w:rPr>
          <w:i/>
          <w:iCs/>
          <w:color w:val="000000"/>
          <w:shd w:val="clear" w:color="auto" w:fill="FFFFFF"/>
        </w:rPr>
        <w:t xml:space="preserve"> </w:t>
      </w:r>
      <w:proofErr w:type="spellStart"/>
      <w:r w:rsidRPr="00E95FB1">
        <w:rPr>
          <w:i/>
          <w:iCs/>
          <w:color w:val="000000"/>
          <w:shd w:val="clear" w:color="auto" w:fill="FFFFFF"/>
        </w:rPr>
        <w:t>Specialisation</w:t>
      </w:r>
      <w:proofErr w:type="spellEnd"/>
      <w:r w:rsidRPr="00E95FB1">
        <w:rPr>
          <w:i/>
          <w:iCs/>
          <w:color w:val="000000"/>
          <w:shd w:val="clear" w:color="auto" w:fill="FFFFFF"/>
        </w:rPr>
        <w:t xml:space="preserve"> – RIS3</w:t>
      </w:r>
      <w:r w:rsidRPr="00E95FB1">
        <w:rPr>
          <w:color w:val="000000"/>
          <w:shd w:val="clear" w:color="auto" w:fill="FFFFFF"/>
        </w:rPr>
        <w:t xml:space="preserve">). </w:t>
      </w:r>
      <w:r w:rsidRPr="00E95FB1">
        <w:rPr>
          <w:i/>
          <w:iCs/>
          <w:color w:val="000000"/>
          <w:shd w:val="clear" w:color="auto" w:fill="FFFFFF"/>
        </w:rPr>
        <w:t>RIS3</w:t>
      </w:r>
      <w:r w:rsidRPr="00E95FB1">
        <w:rPr>
          <w:color w:val="000000"/>
          <w:shd w:val="clear" w:color="auto" w:fill="FFFFFF"/>
        </w:rPr>
        <w:t xml:space="preserve"> – це ефективний сучасний інструмент залучення інвестицій в регіональні економіки. </w:t>
      </w:r>
    </w:p>
    <w:p w:rsidR="00AC499C" w:rsidRDefault="00AC499C" w:rsidP="00AC499C">
      <w:pPr>
        <w:ind w:firstLine="709"/>
        <w:rPr>
          <w:iCs/>
          <w:color w:val="000000"/>
        </w:rPr>
      </w:pPr>
    </w:p>
    <w:p w:rsidR="00AC499C" w:rsidRPr="00E95FB1" w:rsidRDefault="00AC499C" w:rsidP="00AC499C">
      <w:pPr>
        <w:ind w:firstLine="709"/>
        <w:rPr>
          <w:color w:val="000000"/>
        </w:rPr>
      </w:pPr>
      <w:r w:rsidRPr="00E95FB1">
        <w:rPr>
          <w:iCs/>
          <w:color w:val="000000"/>
        </w:rPr>
        <w:lastRenderedPageBreak/>
        <w:t xml:space="preserve">Програма комплексного відновлення території Сєвєродонецької міської територіальної громади </w:t>
      </w:r>
      <w:r w:rsidRPr="00E95FB1">
        <w:rPr>
          <w:color w:val="000000"/>
        </w:rPr>
        <w:t xml:space="preserve">розробляється </w:t>
      </w:r>
      <w:r w:rsidRPr="00E95FB1">
        <w:rPr>
          <w:iCs/>
          <w:color w:val="000000"/>
        </w:rPr>
        <w:t xml:space="preserve">на засадах </w:t>
      </w:r>
      <w:proofErr w:type="spellStart"/>
      <w:r w:rsidRPr="00E95FB1">
        <w:rPr>
          <w:iCs/>
          <w:color w:val="000000"/>
        </w:rPr>
        <w:t>смартспеціалізації</w:t>
      </w:r>
      <w:proofErr w:type="spellEnd"/>
      <w:r w:rsidRPr="00E95FB1">
        <w:rPr>
          <w:color w:val="000000"/>
        </w:rPr>
        <w:t xml:space="preserve"> узгоджено з </w:t>
      </w:r>
      <w:r w:rsidRPr="00E95FB1">
        <w:rPr>
          <w:iCs/>
          <w:color w:val="000000"/>
        </w:rPr>
        <w:t>Планом відновлення України</w:t>
      </w:r>
      <w:r w:rsidRPr="00E95FB1">
        <w:rPr>
          <w:color w:val="000000"/>
        </w:rPr>
        <w:t xml:space="preserve"> і згідно з  </w:t>
      </w:r>
      <w:r w:rsidRPr="00E95FB1">
        <w:rPr>
          <w:iCs/>
          <w:color w:val="000000"/>
        </w:rPr>
        <w:t>Програмою відбудови Луганщини</w:t>
      </w:r>
      <w:r w:rsidRPr="00E95FB1">
        <w:rPr>
          <w:color w:val="000000"/>
        </w:rPr>
        <w:t>.</w:t>
      </w:r>
    </w:p>
    <w:p w:rsidR="00AC499C" w:rsidRDefault="00AC499C" w:rsidP="00AC499C">
      <w:pPr>
        <w:ind w:firstLine="709"/>
      </w:pPr>
    </w:p>
    <w:p w:rsidR="00AC499C" w:rsidRPr="00E95FB1" w:rsidRDefault="00AC499C" w:rsidP="00AC499C">
      <w:pPr>
        <w:ind w:firstLine="709"/>
      </w:pPr>
      <w:r w:rsidRPr="00091F39">
        <w:t xml:space="preserve">Задля створення якісних інвестиційних продуктів, сприятливих умов для інвестування, просування </w:t>
      </w:r>
      <w:proofErr w:type="spellStart"/>
      <w:r w:rsidRPr="00091F39">
        <w:t>цифровізації</w:t>
      </w:r>
      <w:proofErr w:type="spellEnd"/>
      <w:r w:rsidRPr="00091F39">
        <w:t xml:space="preserve"> в підприємницькому секторі, ефективної підтримки розвитку науки та інновацій, розвитку інфраструктури та послуг для бізнесу буде використано на місцевому рівні технологію процесу підприємницького відкриття, який стане складовою частиною регіонального процесу вибору пріоритетних сфер розвитку Луганщини.</w:t>
      </w:r>
      <w:r w:rsidRPr="00E95FB1">
        <w:t xml:space="preserve"> </w:t>
      </w:r>
    </w:p>
    <w:p w:rsidR="00AC499C" w:rsidRDefault="00AC499C" w:rsidP="00AC499C">
      <w:pPr>
        <w:ind w:firstLine="709"/>
      </w:pPr>
    </w:p>
    <w:p w:rsidR="00AC499C" w:rsidRPr="00E95FB1" w:rsidRDefault="00AC499C" w:rsidP="00AC499C">
      <w:pPr>
        <w:ind w:firstLine="709"/>
      </w:pPr>
      <w:r w:rsidRPr="00E95FB1">
        <w:t xml:space="preserve">Будуть проводитись такі дії, які спрямовуватимуться на забезпечення більш повної ідентифікації зацікавлених сторін та високої результативності процесу пошуку </w:t>
      </w:r>
      <w:proofErr w:type="spellStart"/>
      <w:r w:rsidRPr="00E95FB1">
        <w:t>смартпріоритетів</w:t>
      </w:r>
      <w:proofErr w:type="spellEnd"/>
      <w:r w:rsidRPr="00E95FB1">
        <w:t>:</w:t>
      </w:r>
    </w:p>
    <w:p w:rsidR="00AC499C" w:rsidRPr="00322689" w:rsidRDefault="00AC499C" w:rsidP="000303D7">
      <w:pPr>
        <w:pStyle w:val="a7"/>
        <w:numPr>
          <w:ilvl w:val="0"/>
          <w:numId w:val="139"/>
        </w:numPr>
        <w:tabs>
          <w:tab w:val="left" w:pos="1134"/>
          <w:tab w:val="left" w:pos="1276"/>
        </w:tabs>
        <w:ind w:left="0" w:firstLine="709"/>
        <w:rPr>
          <w:iCs/>
        </w:rPr>
      </w:pPr>
      <w:r w:rsidRPr="00E95FB1">
        <w:t>Виявлення перспективних сфер діяльності (напрямів бізнесу) з найбільшою концентрацію підприємництва та/або високим потенціалом розвитку.</w:t>
      </w:r>
    </w:p>
    <w:p w:rsidR="00AC499C" w:rsidRPr="00322689" w:rsidRDefault="00AC499C" w:rsidP="000303D7">
      <w:pPr>
        <w:pStyle w:val="a7"/>
        <w:numPr>
          <w:ilvl w:val="0"/>
          <w:numId w:val="139"/>
        </w:numPr>
        <w:tabs>
          <w:tab w:val="left" w:pos="1134"/>
          <w:tab w:val="left" w:pos="1276"/>
        </w:tabs>
        <w:ind w:left="0" w:firstLine="709"/>
        <w:rPr>
          <w:iCs/>
        </w:rPr>
      </w:pPr>
      <w:r w:rsidRPr="00E95FB1">
        <w:t xml:space="preserve">За ідентифікованими сферами діяльності (напрямами бізнесу) визначення зацікавлених підприємницьких суб’єктів, встановлення комунікацій з ними та проведення попередніх консультацій (круглих столів, </w:t>
      </w:r>
      <w:proofErr w:type="spellStart"/>
      <w:r w:rsidRPr="00E95FB1">
        <w:t>вебінарів</w:t>
      </w:r>
      <w:proofErr w:type="spellEnd"/>
      <w:r w:rsidRPr="00E95FB1">
        <w:t>, опитувань тощо).</w:t>
      </w:r>
    </w:p>
    <w:p w:rsidR="00AC499C" w:rsidRPr="00322689" w:rsidRDefault="00AC499C" w:rsidP="000303D7">
      <w:pPr>
        <w:pStyle w:val="a7"/>
        <w:numPr>
          <w:ilvl w:val="0"/>
          <w:numId w:val="139"/>
        </w:numPr>
        <w:tabs>
          <w:tab w:val="left" w:pos="1134"/>
          <w:tab w:val="left" w:pos="1276"/>
        </w:tabs>
        <w:ind w:left="0" w:firstLine="709"/>
        <w:rPr>
          <w:iCs/>
        </w:rPr>
      </w:pPr>
      <w:r w:rsidRPr="00E95FB1">
        <w:t xml:space="preserve">Оцінка </w:t>
      </w:r>
      <w:proofErr w:type="spellStart"/>
      <w:r w:rsidRPr="00E95FB1">
        <w:t>освітньо</w:t>
      </w:r>
      <w:proofErr w:type="spellEnd"/>
      <w:r w:rsidRPr="00E95FB1">
        <w:t>-дослідницького та інноваційного потенціалу регіону, встановлення комунікацій з профільними кафедрами ЗВО, провідними інжиніринговими к</w:t>
      </w:r>
      <w:r w:rsidR="00E83C06">
        <w:t>омпаніями, науковими установами</w:t>
      </w:r>
      <w:r w:rsidRPr="00E95FB1">
        <w:t xml:space="preserve"> з метою формування групи науковців  для співпраці з місцевим бізнесом.</w:t>
      </w:r>
    </w:p>
    <w:p w:rsidR="00AC499C" w:rsidRPr="00322689" w:rsidRDefault="00AC499C" w:rsidP="000303D7">
      <w:pPr>
        <w:pStyle w:val="a7"/>
        <w:numPr>
          <w:ilvl w:val="0"/>
          <w:numId w:val="139"/>
        </w:numPr>
        <w:tabs>
          <w:tab w:val="left" w:pos="1134"/>
          <w:tab w:val="left" w:pos="1276"/>
        </w:tabs>
        <w:ind w:left="0" w:firstLine="709"/>
        <w:rPr>
          <w:iCs/>
        </w:rPr>
      </w:pPr>
      <w:r w:rsidRPr="00E95FB1">
        <w:t>Створення попереднього дизайну локальної інноваційної екосистеми з урахуванням ключових факторів та наявних/перспективних ланцюгів вартості, визначення потенціалу і критеріїв її розширення на основі міжгалузевого, міжрегіонального та міжнародного співробітництва.</w:t>
      </w:r>
    </w:p>
    <w:p w:rsidR="00AC499C" w:rsidRPr="00322689" w:rsidRDefault="00AC499C" w:rsidP="000303D7">
      <w:pPr>
        <w:pStyle w:val="a7"/>
        <w:numPr>
          <w:ilvl w:val="0"/>
          <w:numId w:val="139"/>
        </w:numPr>
        <w:tabs>
          <w:tab w:val="left" w:pos="1134"/>
          <w:tab w:val="left" w:pos="1276"/>
        </w:tabs>
        <w:ind w:left="0" w:firstLine="709"/>
        <w:rPr>
          <w:iCs/>
        </w:rPr>
      </w:pPr>
      <w:r w:rsidRPr="00E95FB1">
        <w:t xml:space="preserve">За результатами взаємодії </w:t>
      </w:r>
      <w:proofErr w:type="spellStart"/>
      <w:r w:rsidRPr="00E95FB1">
        <w:t>стейкхолдерів</w:t>
      </w:r>
      <w:proofErr w:type="spellEnd"/>
      <w:r w:rsidRPr="00E95FB1">
        <w:t xml:space="preserve"> в межах зазначеної локальної екосистеми визначення потреби в організації кластерів, створення інноваційної інфраструктури (бізнес-центру, бізнес-інкубатору, центру трансферу технологій тощо). Розроблення дорожньої карти їх формування та обґрунтування попереднього концепту.</w:t>
      </w:r>
    </w:p>
    <w:p w:rsidR="00AC499C" w:rsidRDefault="00AC499C" w:rsidP="00AC499C">
      <w:pPr>
        <w:ind w:firstLine="709"/>
      </w:pPr>
    </w:p>
    <w:p w:rsidR="00AC499C" w:rsidRPr="00E95FB1" w:rsidRDefault="00AC499C" w:rsidP="00AC499C">
      <w:pPr>
        <w:ind w:firstLine="709"/>
      </w:pPr>
      <w:r w:rsidRPr="00E95FB1">
        <w:t xml:space="preserve">Буде організовано інформаційну підтримку та налагоджено ефективну комунікацію зацікавлених </w:t>
      </w:r>
      <w:proofErr w:type="spellStart"/>
      <w:r w:rsidRPr="00E95FB1">
        <w:t>стейкхолдерів</w:t>
      </w:r>
      <w:proofErr w:type="spellEnd"/>
      <w:r w:rsidRPr="00E95FB1">
        <w:t>. Задля цього необхідно створити певний координаційний механізм, наприклад, у вигляді цифрової платформи (бажано, щоб вона поєднувалася із загальною регіональною платформою), яка забезпечить доступність, відкритість і регулярність діяльності.</w:t>
      </w:r>
    </w:p>
    <w:p w:rsidR="00AC499C" w:rsidRDefault="00AC499C" w:rsidP="00AC499C">
      <w:pPr>
        <w:ind w:firstLine="709"/>
        <w:rPr>
          <w:iCs/>
        </w:rPr>
      </w:pPr>
    </w:p>
    <w:p w:rsidR="00AC499C" w:rsidRDefault="00AC499C" w:rsidP="00AC499C">
      <w:pPr>
        <w:ind w:firstLine="709"/>
        <w:rPr>
          <w:iCs/>
          <w:color w:val="000000"/>
          <w:shd w:val="clear" w:color="auto" w:fill="FFFFFF"/>
        </w:rPr>
      </w:pPr>
      <w:r w:rsidRPr="00E95FB1">
        <w:rPr>
          <w:iCs/>
        </w:rPr>
        <w:t xml:space="preserve">Враховуючи </w:t>
      </w:r>
      <w:r w:rsidRPr="00E95FB1">
        <w:rPr>
          <w:iCs/>
          <w:color w:val="000000"/>
          <w:shd w:val="clear" w:color="auto" w:fill="FFFFFF"/>
        </w:rPr>
        <w:t xml:space="preserve">спричинені війною втрати кадрового, виробничого, інфраструктурного потенціалів, при розробленні та подальшій реалізації </w:t>
      </w:r>
      <w:r w:rsidRPr="00E95FB1">
        <w:rPr>
          <w:iCs/>
          <w:color w:val="000000"/>
          <w:shd w:val="clear" w:color="auto" w:fill="FFFFFF"/>
        </w:rPr>
        <w:lastRenderedPageBreak/>
        <w:t>стратегічних документів доцільно додатково зосередитися на залученні механізмів міжрегіонального партнерства, державно-приватного партнерства. Ефективна співпраця з іншими регіональними, національними та транскордонними інноваційними екосистемами значно розширить можливості місцевих економік започатковувати і розвивати перспективні види економічної діяльності.</w:t>
      </w:r>
    </w:p>
    <w:p w:rsidR="00AC499C" w:rsidRPr="00E95FB1" w:rsidRDefault="00AC499C" w:rsidP="00AC499C">
      <w:pPr>
        <w:ind w:firstLine="709"/>
        <w:rPr>
          <w:iCs/>
          <w:color w:val="000000"/>
          <w:shd w:val="clear" w:color="auto" w:fill="FFFFFF"/>
        </w:rPr>
      </w:pPr>
    </w:p>
    <w:p w:rsidR="00AC499C" w:rsidRPr="00E95FB1" w:rsidRDefault="00AC499C" w:rsidP="00AC499C">
      <w:pPr>
        <w:ind w:firstLine="709"/>
        <w:rPr>
          <w:iCs/>
          <w:color w:val="000000"/>
          <w:shd w:val="clear" w:color="auto" w:fill="FFFFFF"/>
        </w:rPr>
      </w:pPr>
      <w:r w:rsidRPr="00E95FB1">
        <w:rPr>
          <w:iCs/>
          <w:color w:val="000000"/>
          <w:shd w:val="clear" w:color="auto" w:fill="FFFFFF"/>
        </w:rPr>
        <w:t xml:space="preserve">Відкритість </w:t>
      </w:r>
      <w:proofErr w:type="spellStart"/>
      <w:r w:rsidRPr="00E95FB1">
        <w:rPr>
          <w:iCs/>
          <w:color w:val="000000"/>
          <w:shd w:val="clear" w:color="auto" w:fill="FFFFFF"/>
        </w:rPr>
        <w:t>смартспеціалізації</w:t>
      </w:r>
      <w:proofErr w:type="spellEnd"/>
      <w:r w:rsidRPr="00E95FB1">
        <w:rPr>
          <w:iCs/>
          <w:color w:val="000000"/>
          <w:shd w:val="clear" w:color="auto" w:fill="FFFFFF"/>
        </w:rPr>
        <w:t xml:space="preserve"> та її спрямованість назовні дає регіонам доступ до широких бізнес- та </w:t>
      </w:r>
      <w:proofErr w:type="spellStart"/>
      <w:r w:rsidRPr="00E95FB1">
        <w:rPr>
          <w:iCs/>
          <w:color w:val="000000"/>
          <w:shd w:val="clear" w:color="auto" w:fill="FFFFFF"/>
        </w:rPr>
        <w:t>знаннєвих</w:t>
      </w:r>
      <w:proofErr w:type="spellEnd"/>
      <w:r w:rsidRPr="00E95FB1">
        <w:rPr>
          <w:iCs/>
          <w:color w:val="000000"/>
          <w:shd w:val="clear" w:color="auto" w:fill="FFFFFF"/>
        </w:rPr>
        <w:t xml:space="preserve"> мереж, дозволяє зміцнити свій дослідницький потенціал, вийти на інші ринки, розширити підприємницькі можливості, посилити власні сильні сторони, інтегруватися у глобальні ланцюги доданої вартості та наростити інвестиції у регіональні економіки.</w:t>
      </w:r>
    </w:p>
    <w:p w:rsidR="00AC499C" w:rsidRDefault="00AC499C" w:rsidP="00AC499C">
      <w:pPr>
        <w:ind w:firstLine="709"/>
        <w:rPr>
          <w:color w:val="000000"/>
          <w:shd w:val="clear" w:color="auto" w:fill="FFFFFF"/>
        </w:rPr>
      </w:pPr>
    </w:p>
    <w:p w:rsidR="00AC499C" w:rsidRPr="00E95FB1" w:rsidRDefault="00AC499C" w:rsidP="00AC499C">
      <w:pPr>
        <w:ind w:firstLine="709"/>
        <w:rPr>
          <w:color w:val="000000"/>
          <w:shd w:val="clear" w:color="auto" w:fill="FFFFFF"/>
        </w:rPr>
      </w:pPr>
      <w:r w:rsidRPr="00E95FB1">
        <w:rPr>
          <w:color w:val="000000"/>
          <w:shd w:val="clear" w:color="auto" w:fill="FFFFFF"/>
        </w:rPr>
        <w:t xml:space="preserve">Саме через міжрегіональне і транснаціональне </w:t>
      </w:r>
      <w:proofErr w:type="spellStart"/>
      <w:r w:rsidRPr="00E95FB1">
        <w:rPr>
          <w:color w:val="000000"/>
          <w:shd w:val="clear" w:color="auto" w:fill="FFFFFF"/>
        </w:rPr>
        <w:t>європартнерство</w:t>
      </w:r>
      <w:proofErr w:type="spellEnd"/>
      <w:r w:rsidRPr="00E95FB1">
        <w:rPr>
          <w:color w:val="000000"/>
          <w:shd w:val="clear" w:color="auto" w:fill="FFFFFF"/>
        </w:rPr>
        <w:t xml:space="preserve"> в рамках стратегій досліджень та інновацій для </w:t>
      </w:r>
      <w:proofErr w:type="spellStart"/>
      <w:r w:rsidRPr="00E95FB1">
        <w:rPr>
          <w:color w:val="000000"/>
          <w:shd w:val="clear" w:color="auto" w:fill="FFFFFF"/>
        </w:rPr>
        <w:t>смартспеціалізації</w:t>
      </w:r>
      <w:proofErr w:type="spellEnd"/>
      <w:r w:rsidRPr="00E95FB1">
        <w:rPr>
          <w:color w:val="000000"/>
          <w:shd w:val="clear" w:color="auto" w:fill="FFFFFF"/>
        </w:rPr>
        <w:t xml:space="preserve"> українські регіони можуть отримати доступ до інвестиційних ресурсів Європейського Союзу. Фінансування дослідницької та інноваційної діяльності відбувається через такі основні програми ЄС, як Горизонт Європа (</w:t>
      </w:r>
      <w:proofErr w:type="spellStart"/>
      <w:r w:rsidRPr="00E95FB1">
        <w:rPr>
          <w:i/>
          <w:iCs/>
          <w:color w:val="000000"/>
          <w:shd w:val="clear" w:color="auto" w:fill="FFFFFF"/>
        </w:rPr>
        <w:t>Horizon</w:t>
      </w:r>
      <w:proofErr w:type="spellEnd"/>
      <w:r w:rsidRPr="00E95FB1">
        <w:rPr>
          <w:i/>
          <w:iCs/>
          <w:color w:val="000000"/>
          <w:shd w:val="clear" w:color="auto" w:fill="FFFFFF"/>
        </w:rPr>
        <w:t xml:space="preserve"> </w:t>
      </w:r>
      <w:proofErr w:type="spellStart"/>
      <w:r w:rsidRPr="00E95FB1">
        <w:rPr>
          <w:i/>
          <w:iCs/>
          <w:color w:val="000000"/>
          <w:shd w:val="clear" w:color="auto" w:fill="FFFFFF"/>
        </w:rPr>
        <w:t>Europe</w:t>
      </w:r>
      <w:proofErr w:type="spellEnd"/>
      <w:r w:rsidRPr="00E95FB1">
        <w:rPr>
          <w:color w:val="000000"/>
          <w:shd w:val="clear" w:color="auto" w:fill="FFFFFF"/>
        </w:rPr>
        <w:t>), Довкілля та клімат (</w:t>
      </w:r>
      <w:r w:rsidRPr="00E95FB1">
        <w:rPr>
          <w:i/>
          <w:iCs/>
          <w:color w:val="000000"/>
          <w:shd w:val="clear" w:color="auto" w:fill="FFFFFF"/>
        </w:rPr>
        <w:t>LIFE</w:t>
      </w:r>
      <w:r w:rsidRPr="00E95FB1">
        <w:rPr>
          <w:color w:val="000000"/>
          <w:shd w:val="clear" w:color="auto" w:fill="FFFFFF"/>
        </w:rPr>
        <w:t>), Підтримка структурних реформ (</w:t>
      </w:r>
      <w:r w:rsidRPr="00E95FB1">
        <w:rPr>
          <w:i/>
          <w:iCs/>
          <w:color w:val="000000"/>
          <w:shd w:val="clear" w:color="auto" w:fill="FFFFFF"/>
        </w:rPr>
        <w:t>SRSP</w:t>
      </w:r>
      <w:r w:rsidRPr="00E95FB1">
        <w:rPr>
          <w:color w:val="000000"/>
          <w:shd w:val="clear" w:color="auto" w:fill="FFFFFF"/>
        </w:rPr>
        <w:t>), а також програми Фонду згуртованості (</w:t>
      </w:r>
      <w:proofErr w:type="spellStart"/>
      <w:r w:rsidRPr="00E95FB1">
        <w:rPr>
          <w:i/>
          <w:iCs/>
          <w:color w:val="000000"/>
          <w:shd w:val="clear" w:color="auto" w:fill="FFFFFF"/>
        </w:rPr>
        <w:t>Cohesion</w:t>
      </w:r>
      <w:proofErr w:type="spellEnd"/>
      <w:r w:rsidRPr="00E95FB1">
        <w:rPr>
          <w:i/>
          <w:iCs/>
          <w:color w:val="000000"/>
          <w:shd w:val="clear" w:color="auto" w:fill="FFFFFF"/>
        </w:rPr>
        <w:t xml:space="preserve"> </w:t>
      </w:r>
      <w:proofErr w:type="spellStart"/>
      <w:r w:rsidRPr="00E95FB1">
        <w:rPr>
          <w:i/>
          <w:iCs/>
          <w:color w:val="000000"/>
          <w:shd w:val="clear" w:color="auto" w:fill="FFFFFF"/>
        </w:rPr>
        <w:t>Fund</w:t>
      </w:r>
      <w:proofErr w:type="spellEnd"/>
      <w:r w:rsidRPr="00E95FB1">
        <w:rPr>
          <w:color w:val="000000"/>
          <w:shd w:val="clear" w:color="auto" w:fill="FFFFFF"/>
        </w:rPr>
        <w:t>), Європейського фонду регіонального розвитку (</w:t>
      </w:r>
      <w:r w:rsidRPr="00E95FB1">
        <w:rPr>
          <w:i/>
          <w:iCs/>
          <w:color w:val="000000"/>
          <w:shd w:val="clear" w:color="auto" w:fill="FFFFFF"/>
        </w:rPr>
        <w:t>ERDF</w:t>
      </w:r>
      <w:r w:rsidRPr="00E95FB1">
        <w:rPr>
          <w:color w:val="000000"/>
          <w:shd w:val="clear" w:color="auto" w:fill="FFFFFF"/>
        </w:rPr>
        <w:t xml:space="preserve">) та ін. </w:t>
      </w:r>
    </w:p>
    <w:p w:rsidR="00AC499C" w:rsidRDefault="00AC499C" w:rsidP="00AC499C">
      <w:pPr>
        <w:ind w:firstLine="709"/>
        <w:rPr>
          <w:color w:val="000000"/>
          <w:shd w:val="clear" w:color="auto" w:fill="FFFFFF"/>
        </w:rPr>
      </w:pPr>
    </w:p>
    <w:p w:rsidR="00791682" w:rsidRPr="00E95FB1" w:rsidRDefault="00AC499C" w:rsidP="00791682">
      <w:pPr>
        <w:ind w:firstLine="709"/>
        <w:rPr>
          <w:color w:val="000000"/>
          <w:shd w:val="clear" w:color="auto" w:fill="FFFFFF"/>
        </w:rPr>
      </w:pPr>
      <w:r w:rsidRPr="00E95FB1">
        <w:rPr>
          <w:color w:val="000000"/>
          <w:shd w:val="clear" w:color="auto" w:fill="FFFFFF"/>
        </w:rPr>
        <w:t xml:space="preserve">Безпрецедентною у практиці ЄС стало підписання угоди про приєднання України до </w:t>
      </w:r>
      <w:hyperlink r:id="rId66" w:tgtFrame="_blank" w:history="1">
        <w:r w:rsidRPr="00E95FB1">
          <w:rPr>
            <w:color w:val="000000"/>
          </w:rPr>
          <w:t xml:space="preserve">програми </w:t>
        </w:r>
        <w:r w:rsidRPr="00E95FB1">
          <w:rPr>
            <w:i/>
            <w:iCs/>
            <w:color w:val="000000"/>
          </w:rPr>
          <w:t>LIFE</w:t>
        </w:r>
      </w:hyperlink>
      <w:r w:rsidRPr="00E95FB1">
        <w:rPr>
          <w:color w:val="000000"/>
          <w:shd w:val="clear" w:color="auto" w:fill="FFFFFF"/>
        </w:rPr>
        <w:t xml:space="preserve">. Це перший випадок, коли країна, що не є членом ЄС, долучена до цієї програми. Ми отримали додаткову можливість для вирішення регіональних екологічних проблем, </w:t>
      </w:r>
      <w:r w:rsidR="00791682">
        <w:rPr>
          <w:color w:val="000000"/>
          <w:shd w:val="clear" w:color="auto" w:fill="FFFFFF"/>
        </w:rPr>
        <w:t>кількість</w:t>
      </w:r>
      <w:r w:rsidR="00791682" w:rsidRPr="00E95FB1">
        <w:rPr>
          <w:color w:val="000000"/>
          <w:shd w:val="clear" w:color="auto" w:fill="FFFFFF"/>
        </w:rPr>
        <w:t xml:space="preserve"> </w:t>
      </w:r>
      <w:r w:rsidRPr="00E95FB1">
        <w:rPr>
          <w:color w:val="000000"/>
          <w:shd w:val="clear" w:color="auto" w:fill="FFFFFF"/>
        </w:rPr>
        <w:t xml:space="preserve">яких значно </w:t>
      </w:r>
      <w:proofErr w:type="spellStart"/>
      <w:r w:rsidRPr="00E95FB1">
        <w:rPr>
          <w:color w:val="000000"/>
          <w:shd w:val="clear" w:color="auto" w:fill="FFFFFF"/>
        </w:rPr>
        <w:t>побільшал</w:t>
      </w:r>
      <w:proofErr w:type="spellEnd"/>
      <w:r w:rsidR="008D43AD">
        <w:rPr>
          <w:color w:val="000000"/>
          <w:shd w:val="clear" w:color="auto" w:fill="FFFFFF"/>
          <w:lang w:val="ru-RU"/>
        </w:rPr>
        <w:t>а</w:t>
      </w:r>
      <w:r w:rsidRPr="00E95FB1">
        <w:rPr>
          <w:color w:val="000000"/>
          <w:shd w:val="clear" w:color="auto" w:fill="FFFFFF"/>
        </w:rPr>
        <w:t xml:space="preserve"> внаслідок російського вторгнення</w:t>
      </w:r>
      <w:r w:rsidR="00791682">
        <w:rPr>
          <w:color w:val="000000"/>
          <w:shd w:val="clear" w:color="auto" w:fill="FFFFFF"/>
        </w:rPr>
        <w:t xml:space="preserve"> на територію України</w:t>
      </w:r>
      <w:r w:rsidR="00791682" w:rsidRPr="00E95FB1">
        <w:rPr>
          <w:color w:val="000000"/>
          <w:shd w:val="clear" w:color="auto" w:fill="FFFFFF"/>
        </w:rPr>
        <w:t>.</w:t>
      </w:r>
    </w:p>
    <w:p w:rsidR="00AC499C" w:rsidRDefault="00AC499C" w:rsidP="00AC499C">
      <w:pPr>
        <w:ind w:firstLine="709"/>
        <w:rPr>
          <w:color w:val="000000"/>
          <w:shd w:val="clear" w:color="auto" w:fill="FFFFFF"/>
        </w:rPr>
      </w:pPr>
    </w:p>
    <w:p w:rsidR="00AC499C" w:rsidRPr="00E95FB1" w:rsidRDefault="00AC499C" w:rsidP="00AC499C">
      <w:pPr>
        <w:ind w:firstLine="709"/>
        <w:rPr>
          <w:color w:val="000000"/>
          <w:shd w:val="clear" w:color="auto" w:fill="FFFFFF"/>
        </w:rPr>
      </w:pPr>
      <w:r w:rsidRPr="00E95FB1">
        <w:rPr>
          <w:color w:val="000000"/>
          <w:shd w:val="clear" w:color="auto" w:fill="FFFFFF"/>
        </w:rPr>
        <w:t>Відбудову територій України планується здійснювати із залученням глобальних фінансових ресурсів. Європейська комісія запропонувала створити механізм «</w:t>
      </w:r>
      <w:proofErr w:type="spellStart"/>
      <w:r w:rsidRPr="00E95FB1">
        <w:rPr>
          <w:i/>
          <w:iCs/>
          <w:color w:val="000000"/>
          <w:shd w:val="clear" w:color="auto" w:fill="FFFFFF"/>
        </w:rPr>
        <w:t>Rebuild</w:t>
      </w:r>
      <w:proofErr w:type="spellEnd"/>
      <w:r w:rsidR="00711C06" w:rsidRPr="00711C06">
        <w:rPr>
          <w:i/>
          <w:iCs/>
          <w:color w:val="000000"/>
          <w:shd w:val="clear" w:color="auto" w:fill="FFFFFF"/>
        </w:rPr>
        <w:t xml:space="preserve"> </w:t>
      </w:r>
      <w:proofErr w:type="spellStart"/>
      <w:r w:rsidRPr="00E95FB1">
        <w:rPr>
          <w:i/>
          <w:iCs/>
          <w:color w:val="000000"/>
          <w:shd w:val="clear" w:color="auto" w:fill="FFFFFF"/>
        </w:rPr>
        <w:t>Ukraine</w:t>
      </w:r>
      <w:proofErr w:type="spellEnd"/>
      <w:r w:rsidRPr="00E95FB1">
        <w:rPr>
          <w:color w:val="000000"/>
          <w:shd w:val="clear" w:color="auto" w:fill="FFFFFF"/>
        </w:rPr>
        <w:t>» як основний правовий інструмент для підтримки української економіки через поєднання грантів і позик. Відповідний механізм буде закладено до бюджету ЄС для забезпечення прозорості, підзвітності й надійного фінансового управління зазначеною ініціативою з чітким зв’язком інвестицій та реформ. Розроблення такого механізму базуватиметься на досвіді ЄС у рамках Фонду відновлення та стійкості (</w:t>
      </w:r>
      <w:proofErr w:type="spellStart"/>
      <w:r w:rsidRPr="00E95FB1">
        <w:rPr>
          <w:i/>
          <w:iCs/>
          <w:color w:val="000000"/>
          <w:shd w:val="clear" w:color="auto" w:fill="FFFFFF"/>
        </w:rPr>
        <w:t>Recovery</w:t>
      </w:r>
      <w:proofErr w:type="spellEnd"/>
      <w:r w:rsidRPr="00E95FB1">
        <w:rPr>
          <w:i/>
          <w:iCs/>
          <w:color w:val="000000"/>
          <w:shd w:val="clear" w:color="auto" w:fill="FFFFFF"/>
        </w:rPr>
        <w:t xml:space="preserve"> </w:t>
      </w:r>
      <w:proofErr w:type="spellStart"/>
      <w:r w:rsidRPr="00E95FB1">
        <w:rPr>
          <w:i/>
          <w:iCs/>
          <w:color w:val="000000"/>
          <w:shd w:val="clear" w:color="auto" w:fill="FFFFFF"/>
        </w:rPr>
        <w:t>and</w:t>
      </w:r>
      <w:proofErr w:type="spellEnd"/>
      <w:r w:rsidRPr="00E95FB1">
        <w:rPr>
          <w:i/>
          <w:iCs/>
          <w:color w:val="000000"/>
          <w:shd w:val="clear" w:color="auto" w:fill="FFFFFF"/>
        </w:rPr>
        <w:t xml:space="preserve"> </w:t>
      </w:r>
      <w:proofErr w:type="spellStart"/>
      <w:r w:rsidRPr="00E95FB1">
        <w:rPr>
          <w:i/>
          <w:iCs/>
          <w:color w:val="000000"/>
          <w:shd w:val="clear" w:color="auto" w:fill="FFFFFF"/>
        </w:rPr>
        <w:t>Resilience</w:t>
      </w:r>
      <w:proofErr w:type="spellEnd"/>
      <w:r w:rsidRPr="00E95FB1">
        <w:rPr>
          <w:i/>
          <w:iCs/>
          <w:color w:val="000000"/>
          <w:shd w:val="clear" w:color="auto" w:fill="FFFFFF"/>
        </w:rPr>
        <w:t xml:space="preserve"> </w:t>
      </w:r>
      <w:proofErr w:type="spellStart"/>
      <w:r w:rsidRPr="00E95FB1">
        <w:rPr>
          <w:i/>
          <w:iCs/>
          <w:color w:val="000000"/>
          <w:shd w:val="clear" w:color="auto" w:fill="FFFFFF"/>
        </w:rPr>
        <w:t>Facility</w:t>
      </w:r>
      <w:proofErr w:type="spellEnd"/>
      <w:r w:rsidRPr="00E95FB1">
        <w:rPr>
          <w:color w:val="000000"/>
          <w:shd w:val="clear" w:color="auto" w:fill="FFFFFF"/>
        </w:rPr>
        <w:t>), але адаптуватиметься до безпрецедентних викликів відбудови України та супроводу її на європейському шляху.</w:t>
      </w:r>
    </w:p>
    <w:p w:rsidR="00AC499C" w:rsidRDefault="00AC499C" w:rsidP="00AC499C">
      <w:pPr>
        <w:ind w:firstLine="709"/>
        <w:rPr>
          <w:color w:val="000000"/>
          <w:shd w:val="clear" w:color="auto" w:fill="FFFFFF"/>
        </w:rPr>
      </w:pPr>
    </w:p>
    <w:p w:rsidR="00AC499C" w:rsidRPr="00E95FB1" w:rsidRDefault="00AC499C" w:rsidP="00AC499C">
      <w:pPr>
        <w:ind w:firstLine="709"/>
        <w:rPr>
          <w:color w:val="000000"/>
          <w:shd w:val="clear" w:color="auto" w:fill="FFFFFF"/>
        </w:rPr>
      </w:pPr>
      <w:r w:rsidRPr="00E95FB1">
        <w:rPr>
          <w:color w:val="000000"/>
          <w:shd w:val="clear" w:color="auto" w:fill="FFFFFF"/>
        </w:rPr>
        <w:t xml:space="preserve">З набуттям Україною статусу кандидата в члени ЄС суттєво зростають шанси українських територій швидко модернізувати свій економічний потенціал завдяки розширенню джерел фінансування. Але зацікавлені сторони мають чітко розуміти, що </w:t>
      </w:r>
      <w:r w:rsidRPr="00E95FB1">
        <w:rPr>
          <w:iCs/>
          <w:color w:val="000000"/>
          <w:shd w:val="clear" w:color="auto" w:fill="FFFFFF"/>
        </w:rPr>
        <w:t xml:space="preserve">попередньою умовою фінансування з європейських </w:t>
      </w:r>
      <w:r w:rsidRPr="00E95FB1">
        <w:rPr>
          <w:iCs/>
          <w:color w:val="000000"/>
          <w:shd w:val="clear" w:color="auto" w:fill="FFFFFF"/>
        </w:rPr>
        <w:lastRenderedPageBreak/>
        <w:t xml:space="preserve">структурних та інвестиційних фондів є розробка регіонами якісно обґрунтованих стратегій розумної спеціалізації та відповідних </w:t>
      </w:r>
      <w:proofErr w:type="spellStart"/>
      <w:r w:rsidRPr="00E95FB1">
        <w:rPr>
          <w:iCs/>
          <w:color w:val="000000"/>
          <w:shd w:val="clear" w:color="auto" w:fill="FFFFFF"/>
        </w:rPr>
        <w:t>проєктів</w:t>
      </w:r>
      <w:proofErr w:type="spellEnd"/>
      <w:r w:rsidRPr="00E95FB1">
        <w:rPr>
          <w:color w:val="000000"/>
          <w:shd w:val="clear" w:color="auto" w:fill="FFFFFF"/>
        </w:rPr>
        <w:t xml:space="preserve">. Формування </w:t>
      </w:r>
      <w:r w:rsidRPr="00E95FB1">
        <w:rPr>
          <w:i/>
          <w:iCs/>
          <w:color w:val="000000"/>
          <w:shd w:val="clear" w:color="auto" w:fill="FFFFFF"/>
        </w:rPr>
        <w:t>RIS3</w:t>
      </w:r>
      <w:r w:rsidRPr="00E95FB1">
        <w:rPr>
          <w:color w:val="000000"/>
          <w:shd w:val="clear" w:color="auto" w:fill="FFFFFF"/>
        </w:rPr>
        <w:t xml:space="preserve"> має базуватися на європейських цінностях та орієнтуватися на визначені ЄС пріоритети, зокрема зелений та цифровий переходи. </w:t>
      </w:r>
    </w:p>
    <w:p w:rsidR="00AC499C" w:rsidRDefault="00AC499C" w:rsidP="00AC499C">
      <w:pPr>
        <w:ind w:firstLine="709"/>
      </w:pPr>
    </w:p>
    <w:p w:rsidR="00AC499C" w:rsidRPr="00E95FB1" w:rsidRDefault="00AC499C" w:rsidP="00AC499C">
      <w:pPr>
        <w:ind w:firstLine="709"/>
      </w:pPr>
      <w:r w:rsidRPr="00E95FB1">
        <w:t xml:space="preserve">Узагальнюючи результати дослідження досвіду </w:t>
      </w:r>
      <w:proofErr w:type="spellStart"/>
      <w:r w:rsidRPr="00E95FB1">
        <w:t>смартпріоритизації</w:t>
      </w:r>
      <w:proofErr w:type="spellEnd"/>
      <w:r w:rsidRPr="00E95FB1">
        <w:t xml:space="preserve">, зокрема в країнах Центральної і Східної Європи (ЦСЄ) українським регіонам при формуванні стратегій </w:t>
      </w:r>
      <w:proofErr w:type="spellStart"/>
      <w:r w:rsidRPr="00E95FB1">
        <w:t>смартспеціалізації</w:t>
      </w:r>
      <w:proofErr w:type="spellEnd"/>
      <w:r w:rsidRPr="00E95FB1">
        <w:t xml:space="preserve"> слід неодмінно брати до уваги </w:t>
      </w:r>
      <w:r w:rsidRPr="00E95FB1">
        <w:rPr>
          <w:iCs/>
        </w:rPr>
        <w:t>європейські тенденції посилення вимог сталого розвитку економіки</w:t>
      </w:r>
      <w:r w:rsidRPr="00E95FB1">
        <w:t>, спиратися на наявні конкурентні переваги економічних секторів території, їхній потенціал інноваційного розвитку з врахуванням можливостей міжгалузевої, міжрегіональної та транскордонної взаємодії.</w:t>
      </w:r>
    </w:p>
    <w:p w:rsidR="00AC499C" w:rsidRDefault="00AC499C" w:rsidP="00AC499C">
      <w:pPr>
        <w:ind w:firstLine="709"/>
      </w:pPr>
    </w:p>
    <w:p w:rsidR="00AC499C" w:rsidRDefault="00AC499C" w:rsidP="00AC499C">
      <w:pPr>
        <w:ind w:firstLine="709"/>
      </w:pPr>
      <w:r w:rsidRPr="00E95FB1">
        <w:t xml:space="preserve">Слід зазначити, що залучення різних видів економічної діяльності до створення сталих інновацій показують, що обрані країнами ЦСЄ </w:t>
      </w:r>
      <w:r w:rsidRPr="00E95FB1">
        <w:rPr>
          <w:iCs/>
        </w:rPr>
        <w:t>пріоритети</w:t>
      </w:r>
      <w:r w:rsidRPr="00E95FB1">
        <w:t xml:space="preserve"> значною мірою </w:t>
      </w:r>
      <w:r w:rsidRPr="00E95FB1">
        <w:rPr>
          <w:iCs/>
        </w:rPr>
        <w:t>ґрунтуються на потенціалі переробної промисловості, сільського, лісного і рибного господарств, секторів інформації та телекомунікацій, науково-технічної діяльності</w:t>
      </w:r>
      <w:r w:rsidRPr="00E95FB1">
        <w:t xml:space="preserve">, а також </w:t>
      </w:r>
      <w:r w:rsidRPr="00E95FB1">
        <w:rPr>
          <w:iCs/>
        </w:rPr>
        <w:t>спрямовані на зелений розвиток енергетики, будівництва й сфери поводження з відходами</w:t>
      </w:r>
      <w:r w:rsidRPr="00E95FB1">
        <w:t xml:space="preserve">. Саме промисловому виробництву відводиться провідна роль у впровадженні інноваційних рішень із забезпечення сталого розвитку економіки. Дослідження також показують, що подібна тенденція характерна і для </w:t>
      </w:r>
      <w:r w:rsidRPr="00E95FB1">
        <w:rPr>
          <w:bCs/>
        </w:rPr>
        <w:t>європейських регіонів-лідерів у сфері інновацій</w:t>
      </w:r>
      <w:r w:rsidRPr="00E95FB1">
        <w:t>.</w:t>
      </w:r>
    </w:p>
    <w:p w:rsidR="00AC499C" w:rsidRDefault="00AC499C" w:rsidP="00AC499C">
      <w:pPr>
        <w:ind w:firstLine="709"/>
      </w:pPr>
    </w:p>
    <w:p w:rsidR="00AC499C" w:rsidRPr="00091F39" w:rsidRDefault="00AC499C" w:rsidP="00AC499C">
      <w:pPr>
        <w:ind w:firstLine="709"/>
        <w:rPr>
          <w:b/>
          <w:bCs/>
          <w:color w:val="244061" w:themeColor="accent1" w:themeShade="80"/>
        </w:rPr>
      </w:pPr>
      <w:r w:rsidRPr="001A5E9D">
        <w:rPr>
          <w:b/>
          <w:bCs/>
          <w:color w:val="244061" w:themeColor="accent1" w:themeShade="80"/>
        </w:rPr>
        <w:t>Можливі варіанти відновлення промислового потенціалу</w:t>
      </w:r>
    </w:p>
    <w:p w:rsidR="00AC499C" w:rsidRDefault="00AC499C" w:rsidP="00AC499C">
      <w:pPr>
        <w:ind w:firstLine="708"/>
      </w:pPr>
    </w:p>
    <w:p w:rsidR="00AC499C" w:rsidRPr="00E95FB1" w:rsidRDefault="00AC499C" w:rsidP="00AC499C">
      <w:pPr>
        <w:ind w:firstLine="708"/>
      </w:pPr>
      <w:r w:rsidRPr="00091F39">
        <w:t xml:space="preserve">Відновлення промисловості </w:t>
      </w:r>
      <w:r>
        <w:t xml:space="preserve">Сєвєродонецької </w:t>
      </w:r>
      <w:r w:rsidR="00F77108">
        <w:t xml:space="preserve">міської територіальної </w:t>
      </w:r>
      <w:r>
        <w:t xml:space="preserve">громади та </w:t>
      </w:r>
      <w:proofErr w:type="spellStart"/>
      <w:r>
        <w:t>Сєвєродонецько</w:t>
      </w:r>
      <w:proofErr w:type="spellEnd"/>
      <w:r>
        <w:t xml:space="preserve">-Лисичанської </w:t>
      </w:r>
      <w:r w:rsidRPr="00091F39">
        <w:t xml:space="preserve">агломерації </w:t>
      </w:r>
      <w:r>
        <w:t xml:space="preserve">в цілому </w:t>
      </w:r>
      <w:r w:rsidRPr="00091F39">
        <w:t xml:space="preserve">у вигляді, який вона мала до повномасштабного вторгнення, навряд чи має сенс. </w:t>
      </w:r>
      <w:r>
        <w:t>Обмеженість</w:t>
      </w:r>
      <w:r w:rsidRPr="00091F39">
        <w:t xml:space="preserve"> сировинної бази та застарілі технології ставлять під питання відновлення тих підприємств, які працювали </w:t>
      </w:r>
      <w:r>
        <w:t>до повномасштабного вторгнення</w:t>
      </w:r>
      <w:r w:rsidRPr="00091F39">
        <w:t>.</w:t>
      </w:r>
      <w:r>
        <w:t xml:space="preserve"> </w:t>
      </w:r>
    </w:p>
    <w:p w:rsidR="00AC499C" w:rsidRDefault="00AC499C" w:rsidP="00AC499C">
      <w:pPr>
        <w:ind w:firstLine="708"/>
      </w:pPr>
    </w:p>
    <w:p w:rsidR="00AC499C" w:rsidRPr="005941DD" w:rsidRDefault="00AC499C" w:rsidP="00AC499C">
      <w:pPr>
        <w:ind w:firstLine="708"/>
        <w:rPr>
          <w:lang w:val="ru-RU"/>
        </w:rPr>
      </w:pPr>
      <w:r w:rsidRPr="00F6453E">
        <w:t>Можливість створення та розвитку сучасного промислового кластеру по переробці відходів промислових підприємств регіону</w:t>
      </w:r>
      <w:r w:rsidR="005941DD">
        <w:rPr>
          <w:lang w:val="ru-RU"/>
        </w:rPr>
        <w:t>.</w:t>
      </w:r>
    </w:p>
    <w:p w:rsidR="00AC499C" w:rsidRDefault="00AC499C" w:rsidP="00AC499C">
      <w:pPr>
        <w:ind w:firstLine="708"/>
      </w:pPr>
    </w:p>
    <w:p w:rsidR="00AC499C" w:rsidRDefault="00AC499C" w:rsidP="00AC499C">
      <w:pPr>
        <w:ind w:firstLine="708"/>
      </w:pPr>
      <w:r>
        <w:t>Д</w:t>
      </w:r>
      <w:r w:rsidRPr="00E95FB1">
        <w:t xml:space="preserve">ля відновлення промисловості регіону слід визначитися з сировинною базою. </w:t>
      </w:r>
    </w:p>
    <w:p w:rsidR="00AC499C" w:rsidRPr="00E95FB1" w:rsidRDefault="00AC499C" w:rsidP="00AC499C">
      <w:pPr>
        <w:ind w:firstLine="708"/>
      </w:pPr>
    </w:p>
    <w:p w:rsidR="00AC499C" w:rsidRPr="00E95FB1" w:rsidRDefault="00AC499C" w:rsidP="00AC499C">
      <w:pPr>
        <w:ind w:firstLine="708"/>
      </w:pPr>
      <w:r w:rsidRPr="00E95FB1">
        <w:t xml:space="preserve">За останні 20 років було проведено певну кількість пошукових робіт щодо природних покладів та встановлено наявність покладів природного газу в </w:t>
      </w:r>
      <w:r w:rsidR="00C03FA0">
        <w:t>селищах міського типу</w:t>
      </w:r>
      <w:r w:rsidRPr="00E95FB1">
        <w:t xml:space="preserve"> Борівське</w:t>
      </w:r>
      <w:r w:rsidR="00C03FA0">
        <w:t xml:space="preserve"> та </w:t>
      </w:r>
      <w:r w:rsidRPr="00E95FB1">
        <w:t xml:space="preserve">Воєводівка, </w:t>
      </w:r>
      <w:r w:rsidR="00C03FA0">
        <w:t>селі</w:t>
      </w:r>
      <w:r w:rsidRPr="00E95FB1">
        <w:t xml:space="preserve"> </w:t>
      </w:r>
      <w:proofErr w:type="spellStart"/>
      <w:r w:rsidRPr="00E95FB1">
        <w:t>Гречишкіно</w:t>
      </w:r>
      <w:proofErr w:type="spellEnd"/>
      <w:r w:rsidRPr="00E95FB1">
        <w:t>. Однак промислова потужність цих родовищ ще не доведена.</w:t>
      </w:r>
    </w:p>
    <w:p w:rsidR="00AC499C" w:rsidRDefault="00AC499C" w:rsidP="00AC499C">
      <w:pPr>
        <w:ind w:firstLine="708"/>
      </w:pPr>
    </w:p>
    <w:p w:rsidR="00AC499C" w:rsidRPr="00E95FB1" w:rsidRDefault="00AC499C" w:rsidP="00AC499C">
      <w:pPr>
        <w:ind w:firstLine="708"/>
      </w:pPr>
      <w:r w:rsidRPr="00E95FB1">
        <w:lastRenderedPageBreak/>
        <w:t xml:space="preserve">Проте за майже сторіччя роботи промислових підприємств регіону було утворено мільйони тон техногенних відходів, що звалювалися та зберігалися поруч з цими ж підприємствами. Якщо ці звалища розглядати як поклади певних мінералів та побудувати технологічні лінії, що будуть проводити їх збагачення чи вилучення, можна говорити про будівництво комплексу підприємств. </w:t>
      </w:r>
    </w:p>
    <w:p w:rsidR="00AC499C" w:rsidRDefault="00AC499C" w:rsidP="00AC499C">
      <w:pPr>
        <w:ind w:firstLine="708"/>
      </w:pPr>
    </w:p>
    <w:p w:rsidR="00AC499C" w:rsidRPr="00E95FB1" w:rsidRDefault="00AC499C" w:rsidP="00AC499C">
      <w:pPr>
        <w:ind w:firstLine="708"/>
      </w:pPr>
      <w:r w:rsidRPr="00E95FB1">
        <w:t xml:space="preserve">Полігон відвалів заводу </w:t>
      </w:r>
      <w:proofErr w:type="spellStart"/>
      <w:r w:rsidRPr="00E95FB1">
        <w:t>Донсода</w:t>
      </w:r>
      <w:proofErr w:type="spellEnd"/>
      <w:r w:rsidRPr="00E95FB1">
        <w:t xml:space="preserve"> можна розглядати як родовище для видобутку вапна, лугів, кислот (соляної та сірчаної), гіпсу тощо. Скоб з полігонів відвалів Рубіжанського картонно-тарного комбінату можна розглядати як наповнювач (до 30%) паливних брикетів. </w:t>
      </w:r>
      <w:proofErr w:type="spellStart"/>
      <w:r w:rsidRPr="00E95FB1">
        <w:t>Каталізаторні</w:t>
      </w:r>
      <w:proofErr w:type="spellEnd"/>
      <w:r w:rsidRPr="00E95FB1">
        <w:t xml:space="preserve"> поля на ПрАТ «Сєвєродонецьке об’єднання «АЗОТ»» можна розглядати як сировину для отримання таких металів як ванадій, нікель, кобальт тощо.</w:t>
      </w:r>
    </w:p>
    <w:p w:rsidR="00AC499C" w:rsidRDefault="00AC499C" w:rsidP="00AC499C">
      <w:pPr>
        <w:ind w:firstLine="708"/>
      </w:pPr>
    </w:p>
    <w:p w:rsidR="00AC499C" w:rsidRDefault="00AC499C" w:rsidP="00AC499C">
      <w:pPr>
        <w:ind w:firstLine="708"/>
      </w:pPr>
      <w:r w:rsidRPr="00E95FB1">
        <w:t>Наявність великої кількості зруйнованих будівель та виробни</w:t>
      </w:r>
      <w:r w:rsidR="00631408">
        <w:t>чих приміщень</w:t>
      </w:r>
      <w:r w:rsidRPr="00E95FB1">
        <w:t xml:space="preserve"> можна розглядати як сировинну базу для виробництва будівельних матеріалів, а також для підприємств з переробки та утилізації пластику, скла, електричних дротів тощо.</w:t>
      </w:r>
    </w:p>
    <w:p w:rsidR="00AC499C" w:rsidRPr="00E95FB1" w:rsidRDefault="00AC499C" w:rsidP="00AC499C">
      <w:pPr>
        <w:ind w:firstLine="708"/>
      </w:pPr>
    </w:p>
    <w:p w:rsidR="00AA619E" w:rsidRDefault="00AC499C" w:rsidP="00AA619E">
      <w:pPr>
        <w:pStyle w:val="a7"/>
        <w:ind w:left="0" w:firstLine="709"/>
        <w:rPr>
          <w:color w:val="000000"/>
          <w:shd w:val="clear" w:color="auto" w:fill="FFFFFF"/>
        </w:rPr>
      </w:pPr>
      <w:r w:rsidRPr="00E95FB1">
        <w:t xml:space="preserve">Місцеві звалища побутових відходів (при умові сортування) можна розглядати як сировинне джерело пластику. Крім того, доцільно розглянути можливість звезення пластикових відходів, зношених покришок, відпрацьованих дротів (автомобільна проводка тощо) </w:t>
      </w:r>
      <w:r w:rsidR="00AA619E" w:rsidRPr="009570F3">
        <w:rPr>
          <w:color w:val="000000"/>
          <w:shd w:val="clear" w:color="auto" w:fill="FFFFFF"/>
        </w:rPr>
        <w:t>з</w:t>
      </w:r>
      <w:r w:rsidR="00AA619E">
        <w:rPr>
          <w:color w:val="000000"/>
          <w:shd w:val="clear" w:color="auto" w:fill="FFFFFF"/>
        </w:rPr>
        <w:t xml:space="preserve"> регіонів, що межують із Сєвєродонецькою міською територіальною громадою в межах Луганської області, з наступним розглядом можливості охоплення регіонів сусідніх областей України.</w:t>
      </w:r>
    </w:p>
    <w:p w:rsidR="00AC499C" w:rsidRDefault="00AC499C" w:rsidP="00AC499C">
      <w:pPr>
        <w:ind w:firstLine="708"/>
      </w:pPr>
    </w:p>
    <w:p w:rsidR="00AC499C" w:rsidRPr="00E95FB1" w:rsidRDefault="00AC499C" w:rsidP="00AC499C">
      <w:pPr>
        <w:ind w:firstLine="708"/>
      </w:pPr>
      <w:r w:rsidRPr="00E95FB1">
        <w:t xml:space="preserve">Таким чином можна сформувати сировинну базу для потужного виробництва з переробки та утилізації пластику. Продуктами такого виробництва можуть бути синтетичні рідини, що є похідними метанолу, бензини, дизельне пальне, мазут, соляна та сірчана кислоти, вторинний ПВХ тощо. Крім того, відходи поліетилену, поліпропілену, ПВХ тощо можна розглядати як основу для формування паливних брикетів для побутових потреб агломерації. </w:t>
      </w:r>
    </w:p>
    <w:p w:rsidR="00AC499C" w:rsidRDefault="00AC499C" w:rsidP="00AC499C">
      <w:pPr>
        <w:ind w:firstLine="708"/>
      </w:pPr>
    </w:p>
    <w:p w:rsidR="00AC499C" w:rsidRPr="00E95FB1" w:rsidRDefault="00AC499C" w:rsidP="00AC499C">
      <w:pPr>
        <w:ind w:firstLine="708"/>
        <w:rPr>
          <w:b/>
        </w:rPr>
      </w:pPr>
      <w:r w:rsidRPr="00E95FB1">
        <w:t>Окремо слід розглянути можливість використання пластику в якості сировини для отримання синтез-газу. Це відкриває принципово нові можливості для виробництва мінеральних добрив та виробництва органічних речовин, таких як метанол, формалін, оцтова кислота тощо. Так, з однієї тони пластику при перетворенні його в синтез-газ можна отримати близько 2,2 тони метанолу (з якого можна отримати, наприклад, 3,7 тон оцтової кислоти), 1,3 тони аміаку, 8 тон нітратної кислоти (56%), 2,8 тони аміачної селітри.</w:t>
      </w:r>
    </w:p>
    <w:p w:rsidR="00AC499C" w:rsidRDefault="00AC499C" w:rsidP="00AC499C">
      <w:pPr>
        <w:ind w:firstLine="708"/>
      </w:pPr>
    </w:p>
    <w:p w:rsidR="00AC499C" w:rsidRPr="00E95FB1" w:rsidRDefault="00AC499C" w:rsidP="00AC499C">
      <w:pPr>
        <w:ind w:firstLine="708"/>
      </w:pPr>
      <w:r w:rsidRPr="00E95FB1">
        <w:lastRenderedPageBreak/>
        <w:t>Дуже цікавим активом Луганщини є терикони покинутих та непрацюючих шахт. Кількість таких шахт на території Луганської області перевищує 100. Попередній аналіз складу відвалів териконів вказує на те, що вони містять до 30% вугілля, оксид алюмінію, сполуки заліза, хрому, ванадію, вольфраму, нікелю, кобальту тощо. З врахуванням того, що ця порода вже піднята з глибин понад 600 метрів і може видобуватися відкритим способом, терикони можна розглядати як сировинне джерело для виробництв зі збагачення відповідних руд (отримання концентратів для подальшої більш глибокої переробки).</w:t>
      </w:r>
    </w:p>
    <w:p w:rsidR="00AC499C" w:rsidRDefault="00AC499C" w:rsidP="00AC499C">
      <w:pPr>
        <w:ind w:firstLine="708"/>
      </w:pPr>
    </w:p>
    <w:p w:rsidR="00AC499C" w:rsidRPr="00E95FB1" w:rsidRDefault="00AC499C" w:rsidP="00AC499C">
      <w:pPr>
        <w:ind w:firstLine="708"/>
      </w:pPr>
      <w:r w:rsidRPr="00E95FB1">
        <w:t>При організації правильного сортування металу можна організувати переплавку металу в злитки вагою, наприклад, 1</w:t>
      </w:r>
      <w:r w:rsidR="00D95CC5">
        <w:t xml:space="preserve"> </w:t>
      </w:r>
      <w:r w:rsidRPr="00E95FB1">
        <w:t xml:space="preserve">500 кг. Проведення аналізу складу кожного злитка з оформленням відповідного сертифікату більш ніж вдвічі збільшить вартість отриманого лому. Слід відмітити, що при організації такого виробництва саме в </w:t>
      </w:r>
      <w:proofErr w:type="spellStart"/>
      <w:r w:rsidR="00D95CC5">
        <w:t>м.</w:t>
      </w:r>
      <w:r w:rsidRPr="00E95FB1">
        <w:t>Сєвєродонецьку</w:t>
      </w:r>
      <w:proofErr w:type="spellEnd"/>
      <w:r w:rsidRPr="00E95FB1">
        <w:t xml:space="preserve"> переважна більшість цього металу піде на вторинне використання саме на території агломерації.</w:t>
      </w:r>
    </w:p>
    <w:p w:rsidR="00AC499C" w:rsidRDefault="00AC499C" w:rsidP="00AC499C">
      <w:pPr>
        <w:ind w:firstLine="708"/>
      </w:pPr>
    </w:p>
    <w:p w:rsidR="00AC499C" w:rsidRPr="00E95FB1" w:rsidRDefault="00AC499C" w:rsidP="00AC499C">
      <w:pPr>
        <w:ind w:firstLine="708"/>
      </w:pPr>
      <w:r w:rsidRPr="00E95FB1">
        <w:t xml:space="preserve">Таким чином, аналізуючи сказане, доцільно говорити про створення комплексу переробних виробництв на території Сєвєродонецької </w:t>
      </w:r>
      <w:r w:rsidR="00615D7E">
        <w:t>міської територіальної</w:t>
      </w:r>
      <w:r w:rsidR="00615D7E" w:rsidRPr="00E95FB1">
        <w:t xml:space="preserve"> </w:t>
      </w:r>
      <w:r w:rsidRPr="00E95FB1">
        <w:t xml:space="preserve">громади, які за сировинну базу використовували б перелічені ресурси. </w:t>
      </w:r>
    </w:p>
    <w:p w:rsidR="00AC499C" w:rsidRDefault="00AC499C" w:rsidP="00AC499C">
      <w:pPr>
        <w:ind w:firstLine="708"/>
      </w:pPr>
    </w:p>
    <w:p w:rsidR="00AC499C" w:rsidRPr="00E95FB1" w:rsidRDefault="00AC499C" w:rsidP="00AC499C">
      <w:pPr>
        <w:ind w:firstLine="708"/>
      </w:pPr>
      <w:r w:rsidRPr="00E95FB1">
        <w:t>Наявну матеріально-технічну базу місцевих виробництв слід розглядати як сировину, матеріали і (частково) як обладнання для організації нових виробництв.</w:t>
      </w:r>
    </w:p>
    <w:p w:rsidR="00AC499C" w:rsidRDefault="00AC499C" w:rsidP="00AC499C">
      <w:pPr>
        <w:ind w:firstLine="708"/>
      </w:pPr>
    </w:p>
    <w:p w:rsidR="00AC499C" w:rsidRPr="00E95FB1" w:rsidRDefault="00AC499C" w:rsidP="00AC499C">
      <w:pPr>
        <w:ind w:firstLine="708"/>
      </w:pPr>
      <w:r w:rsidRPr="00E95FB1">
        <w:t>Вціліле обладнання підприємств можна використати в якості основи майбутньої промислової бази нових виробництв регіону шляхом активного використання при побудові нових технологічних ліній.</w:t>
      </w:r>
    </w:p>
    <w:p w:rsidR="00AC499C" w:rsidRDefault="00AC499C" w:rsidP="00AC499C">
      <w:pPr>
        <w:ind w:firstLine="708"/>
      </w:pPr>
    </w:p>
    <w:p w:rsidR="00AC499C" w:rsidRPr="00E95FB1" w:rsidRDefault="00AC499C" w:rsidP="00AC499C">
      <w:pPr>
        <w:ind w:firstLine="708"/>
      </w:pPr>
      <w:r w:rsidRPr="00E95FB1">
        <w:t xml:space="preserve">Зруйноване обладнання пропонується переплавляти в злитки вагою </w:t>
      </w:r>
      <w:r w:rsidR="00F63D52">
        <w:t xml:space="preserve"> </w:t>
      </w:r>
      <w:r w:rsidRPr="00E95FB1">
        <w:t xml:space="preserve">по </w:t>
      </w:r>
      <w:r w:rsidR="00F63D52">
        <w:t xml:space="preserve">    </w:t>
      </w:r>
      <w:r w:rsidRPr="00E95FB1">
        <w:t>1</w:t>
      </w:r>
      <w:r w:rsidR="00F63D52">
        <w:t xml:space="preserve"> </w:t>
      </w:r>
      <w:r w:rsidRPr="00E95FB1">
        <w:t xml:space="preserve">500 кг з проведенням аналізу якісного складу.  </w:t>
      </w:r>
    </w:p>
    <w:p w:rsidR="00AC499C" w:rsidRDefault="00AC499C" w:rsidP="00AC499C">
      <w:pPr>
        <w:ind w:firstLine="708"/>
      </w:pPr>
    </w:p>
    <w:p w:rsidR="00AC499C" w:rsidRPr="00E95FB1" w:rsidRDefault="00AC499C" w:rsidP="00AC499C">
      <w:pPr>
        <w:ind w:firstLine="708"/>
      </w:pPr>
      <w:r w:rsidRPr="00E95FB1">
        <w:t xml:space="preserve">До роботи необхідно долучити спеціалістів, які мають середню спеціальну або вищу технічну освіту, що спрямована саме на хімічні виробництва (хіміки-технологи, механіки, електрики, спеціалісти з </w:t>
      </w:r>
      <w:proofErr w:type="spellStart"/>
      <w:r w:rsidRPr="00E95FB1">
        <w:t>КВПіА</w:t>
      </w:r>
      <w:proofErr w:type="spellEnd"/>
      <w:r w:rsidRPr="00E95FB1">
        <w:t xml:space="preserve"> тощо). Цього ресурсу має цілком вистачити для забезпечення нових підприємств кваліфікованими кадрами.</w:t>
      </w:r>
    </w:p>
    <w:p w:rsidR="00AC499C" w:rsidRDefault="00AC499C" w:rsidP="00AC499C">
      <w:pPr>
        <w:ind w:firstLine="708"/>
      </w:pPr>
    </w:p>
    <w:p w:rsidR="00AC499C" w:rsidRPr="00E95FB1" w:rsidRDefault="00AC499C" w:rsidP="00AC499C">
      <w:pPr>
        <w:ind w:firstLine="708"/>
      </w:pPr>
      <w:r w:rsidRPr="00E95FB1">
        <w:t>В якості основного промислового майданчика</w:t>
      </w:r>
      <w:r>
        <w:t xml:space="preserve"> (у разі домовленості з власником)</w:t>
      </w:r>
      <w:r w:rsidRPr="00E95FB1">
        <w:t xml:space="preserve"> пропонується розглядати територію заводу ПрАТ «Сєвєродонецьке об’єднання «АЗОТ»». Територія знаходиться в промзоні міста, має велику площу, що дозволить організувати не тільки виробництво, а також складання </w:t>
      </w:r>
      <w:r w:rsidRPr="00E95FB1">
        <w:lastRenderedPageBreak/>
        <w:t xml:space="preserve">пластикових відходів, їх сортування, підготовку з них сировини для виробництва; має розгалужену систему </w:t>
      </w:r>
      <w:proofErr w:type="spellStart"/>
      <w:r w:rsidRPr="00E95FB1">
        <w:t>під’їзніх</w:t>
      </w:r>
      <w:proofErr w:type="spellEnd"/>
      <w:r w:rsidRPr="00E95FB1">
        <w:t xml:space="preserve"> шляхів; має залізничне сполучення зі станцією «Рубіжне»; має систему енергопостачання, водопостачання; зручне сполучення з містом тощо.</w:t>
      </w:r>
    </w:p>
    <w:p w:rsidR="00AC499C" w:rsidRDefault="00AC499C" w:rsidP="00AC499C">
      <w:pPr>
        <w:ind w:firstLine="708"/>
      </w:pPr>
    </w:p>
    <w:p w:rsidR="00AC499C" w:rsidRDefault="00AC499C" w:rsidP="00AC499C">
      <w:pPr>
        <w:ind w:firstLine="708"/>
      </w:pPr>
      <w:r w:rsidRPr="00E95FB1">
        <w:t>На території ПрАТ «Сєвєродонецьке об’єднання «АЗОТ»» планується створити підприємство з сортування та переробки металобрухту</w:t>
      </w:r>
      <w:r>
        <w:t xml:space="preserve"> (у разі домовленості з власником)</w:t>
      </w:r>
      <w:r w:rsidRPr="00E95FB1">
        <w:t>. Встановлення декількох індукційних печей дозволить ефективно здійснювати переплавку металу. Це дозволить суттєво зменшити об’єм (у разі перевезень), отримувати якісну сировину для металургійних виробництв і в кінцевому рахунку суттєво збільшити додану вартість.</w:t>
      </w:r>
    </w:p>
    <w:p w:rsidR="00AC499C" w:rsidRPr="00E95FB1" w:rsidRDefault="00AC499C" w:rsidP="00AC499C">
      <w:pPr>
        <w:ind w:firstLine="708"/>
      </w:pPr>
    </w:p>
    <w:p w:rsidR="00AC499C" w:rsidRPr="00E95FB1" w:rsidRDefault="00AC499C" w:rsidP="00AC499C">
      <w:pPr>
        <w:ind w:firstLine="708"/>
      </w:pPr>
      <w:r w:rsidRPr="00E95FB1">
        <w:t xml:space="preserve">На території відвалів техногенних та побутових відходів або у безпосередній близькості до них пропонується розташувати підприємства первинної переробки або збагачення. Так, у шахтарських поселеннях біля териконів планується відкриття збагачувальних </w:t>
      </w:r>
      <w:proofErr w:type="spellStart"/>
      <w:r w:rsidRPr="00E95FB1">
        <w:t>фабрик</w:t>
      </w:r>
      <w:proofErr w:type="spellEnd"/>
      <w:r w:rsidRPr="00E95FB1">
        <w:t xml:space="preserve">, продукт з яких буде перевозитися в </w:t>
      </w:r>
      <w:proofErr w:type="spellStart"/>
      <w:r w:rsidR="00A83085">
        <w:t>м.</w:t>
      </w:r>
      <w:r w:rsidRPr="00E95FB1">
        <w:t>Сєвєродонецьк</w:t>
      </w:r>
      <w:proofErr w:type="spellEnd"/>
      <w:r w:rsidRPr="00E95FB1">
        <w:t xml:space="preserve"> або безпосередньо споживачу (покупцю).</w:t>
      </w:r>
    </w:p>
    <w:p w:rsidR="00AC499C" w:rsidRDefault="00AC499C" w:rsidP="00AC499C">
      <w:pPr>
        <w:ind w:firstLine="708"/>
      </w:pPr>
    </w:p>
    <w:p w:rsidR="00AC499C" w:rsidRPr="00E95FB1" w:rsidRDefault="00AC499C" w:rsidP="00AC499C">
      <w:pPr>
        <w:ind w:firstLine="708"/>
      </w:pPr>
      <w:r w:rsidRPr="00E95FB1">
        <w:t>Біля відвалів Рубіжанського КТК планується розташувати виробництво паливних брикетів. Як було сказано вище, основними інгредієнтами цих брикетів є пластик, скоб виробництва Рубіжанського КТК, відходи сільського та лісового господарств тощо.</w:t>
      </w:r>
    </w:p>
    <w:p w:rsidR="00AC499C" w:rsidRDefault="00AC499C" w:rsidP="00AC499C">
      <w:pPr>
        <w:ind w:firstLine="708"/>
      </w:pPr>
    </w:p>
    <w:p w:rsidR="00AC499C" w:rsidRPr="0046245D" w:rsidRDefault="00AC499C" w:rsidP="00AC499C">
      <w:pPr>
        <w:ind w:firstLine="708"/>
        <w:rPr>
          <w:color w:val="244061" w:themeColor="accent1" w:themeShade="80"/>
        </w:rPr>
      </w:pPr>
      <w:r w:rsidRPr="0046245D">
        <w:rPr>
          <w:color w:val="244061" w:themeColor="accent1" w:themeShade="80"/>
        </w:rPr>
        <w:t>Створення низки ЕСКО-к</w:t>
      </w:r>
      <w:r w:rsidR="00D22A1D">
        <w:rPr>
          <w:color w:val="244061" w:themeColor="accent1" w:themeShade="80"/>
        </w:rPr>
        <w:t>о</w:t>
      </w:r>
      <w:r w:rsidRPr="0046245D">
        <w:rPr>
          <w:color w:val="244061" w:themeColor="accent1" w:themeShade="80"/>
        </w:rPr>
        <w:t xml:space="preserve">мпаній та </w:t>
      </w:r>
      <w:proofErr w:type="spellStart"/>
      <w:r w:rsidRPr="0046245D">
        <w:rPr>
          <w:color w:val="244061" w:themeColor="accent1" w:themeShade="80"/>
        </w:rPr>
        <w:t>мінікотелень</w:t>
      </w:r>
      <w:proofErr w:type="spellEnd"/>
    </w:p>
    <w:p w:rsidR="00AC499C" w:rsidRDefault="00AC499C" w:rsidP="00AC499C">
      <w:pPr>
        <w:ind w:firstLine="708"/>
      </w:pPr>
    </w:p>
    <w:p w:rsidR="00AC499C" w:rsidRDefault="00AC499C" w:rsidP="00AC499C">
      <w:pPr>
        <w:ind w:firstLine="708"/>
      </w:pPr>
      <w:r w:rsidRPr="00E95FB1">
        <w:t xml:space="preserve">Для забезпечення </w:t>
      </w:r>
      <w:r>
        <w:t xml:space="preserve">Сєвєродонецької </w:t>
      </w:r>
      <w:r w:rsidR="002242C0">
        <w:t xml:space="preserve">міської територіальної </w:t>
      </w:r>
      <w:r>
        <w:t xml:space="preserve">громади та </w:t>
      </w:r>
      <w:r w:rsidRPr="00E95FB1">
        <w:t>міст агломерації теплом та гарячою водою планується створення низки ЕСКО-к</w:t>
      </w:r>
      <w:r w:rsidR="00D22A1D">
        <w:t>о</w:t>
      </w:r>
      <w:r w:rsidRPr="00E95FB1">
        <w:t xml:space="preserve">мпаній та </w:t>
      </w:r>
      <w:proofErr w:type="spellStart"/>
      <w:r w:rsidRPr="00E95FB1">
        <w:t>мінікотелен</w:t>
      </w:r>
      <w:proofErr w:type="spellEnd"/>
      <w:r w:rsidRPr="00E95FB1">
        <w:t>.</w:t>
      </w:r>
    </w:p>
    <w:p w:rsidR="00AC499C" w:rsidRDefault="00AC499C" w:rsidP="00AC499C">
      <w:pPr>
        <w:ind w:firstLine="708"/>
      </w:pPr>
    </w:p>
    <w:p w:rsidR="00AC499C" w:rsidRDefault="00AC499C" w:rsidP="00AC499C">
      <w:pPr>
        <w:ind w:firstLine="708"/>
      </w:pPr>
      <w:r>
        <w:t>Створення низки ЕСКО-к</w:t>
      </w:r>
      <w:r w:rsidR="00D22A1D">
        <w:t>о</w:t>
      </w:r>
      <w:r>
        <w:t xml:space="preserve">мпаній та </w:t>
      </w:r>
      <w:proofErr w:type="spellStart"/>
      <w:r>
        <w:t>мінікотелень</w:t>
      </w:r>
      <w:proofErr w:type="spellEnd"/>
      <w:r>
        <w:t xml:space="preserve"> у </w:t>
      </w:r>
      <w:proofErr w:type="spellStart"/>
      <w:r>
        <w:t>деокупованій</w:t>
      </w:r>
      <w:proofErr w:type="spellEnd"/>
      <w:r>
        <w:t xml:space="preserve"> </w:t>
      </w:r>
      <w:r w:rsidR="00C1797E">
        <w:t xml:space="preserve">територіальній </w:t>
      </w:r>
      <w:r>
        <w:t>громаді, де фактично зруйноване централізоване теплопостачання, має на меті вирішення проблеми енергетичної сталості та забезпечення населення та підприємств надійним та ефективним теплопостачанням. Ця ініціатива спрямована на поєднання сучасних технологій та інноваційних підходів для покращення якості життя мешканців та розвитку сталої енергетики.</w:t>
      </w:r>
    </w:p>
    <w:p w:rsidR="00AC499C" w:rsidRDefault="00AC499C" w:rsidP="00AC499C">
      <w:pPr>
        <w:ind w:firstLine="708"/>
      </w:pPr>
    </w:p>
    <w:p w:rsidR="00AC499C" w:rsidRDefault="00AC499C" w:rsidP="00AC499C">
      <w:pPr>
        <w:ind w:firstLine="708"/>
      </w:pPr>
      <w:r w:rsidRPr="0046245D">
        <w:rPr>
          <w:u w:val="single"/>
        </w:rPr>
        <w:t>ЕСКО-к</w:t>
      </w:r>
      <w:r w:rsidR="00D22A1D">
        <w:rPr>
          <w:u w:val="single"/>
        </w:rPr>
        <w:t>о</w:t>
      </w:r>
      <w:r w:rsidRPr="0046245D">
        <w:rPr>
          <w:u w:val="single"/>
        </w:rPr>
        <w:t>мпанії (Енергозберігаючі Контракти)</w:t>
      </w:r>
      <w:r>
        <w:t xml:space="preserve"> – це підприємства, що надають послуги з енергозбереження та ефективного використання енергії. Вони пропонують комплексні рішення з оптимізації енергоспоживання, модернізації енергетичної інфраструктури та використання відновлювальних джерел енергії. ЕСКО-к</w:t>
      </w:r>
      <w:r w:rsidR="00D22A1D">
        <w:t>о</w:t>
      </w:r>
      <w:r>
        <w:t xml:space="preserve">мпанії можуть провести аудит енергопостачання, </w:t>
      </w:r>
      <w:r>
        <w:lastRenderedPageBreak/>
        <w:t xml:space="preserve">розробити та реалізувати </w:t>
      </w:r>
      <w:proofErr w:type="spellStart"/>
      <w:r>
        <w:t>про</w:t>
      </w:r>
      <w:r w:rsidR="00D22A1D">
        <w:t>є</w:t>
      </w:r>
      <w:r>
        <w:t>кти</w:t>
      </w:r>
      <w:proofErr w:type="spellEnd"/>
      <w:r>
        <w:t xml:space="preserve"> зі зменшення витрат енергії, а також забезпечити фінансування для впровадження цих рішень.</w:t>
      </w:r>
    </w:p>
    <w:p w:rsidR="00AC499C" w:rsidRDefault="00AC499C" w:rsidP="00AC499C">
      <w:pPr>
        <w:ind w:firstLine="708"/>
      </w:pPr>
    </w:p>
    <w:p w:rsidR="00AC499C" w:rsidRDefault="00AC499C" w:rsidP="00AC499C">
      <w:pPr>
        <w:ind w:firstLine="708"/>
      </w:pPr>
      <w:proofErr w:type="spellStart"/>
      <w:r w:rsidRPr="0046245D">
        <w:rPr>
          <w:u w:val="single"/>
        </w:rPr>
        <w:t>Мінікотел</w:t>
      </w:r>
      <w:r w:rsidR="00D22A1D">
        <w:rPr>
          <w:u w:val="single"/>
        </w:rPr>
        <w:t>ь</w:t>
      </w:r>
      <w:r w:rsidRPr="0046245D">
        <w:rPr>
          <w:u w:val="single"/>
        </w:rPr>
        <w:t>ні</w:t>
      </w:r>
      <w:proofErr w:type="spellEnd"/>
      <w:r>
        <w:t xml:space="preserve"> – це малогабаритні </w:t>
      </w:r>
      <w:proofErr w:type="spellStart"/>
      <w:r>
        <w:t>теплогенеруючі</w:t>
      </w:r>
      <w:proofErr w:type="spellEnd"/>
      <w:r>
        <w:t xml:space="preserve"> установки, які можуть базуватися на альтернативних джерелах енергії (сонячні панелі, вітрові турбіни, біогазові установки та інші технології) та/або на використанні </w:t>
      </w:r>
      <w:r w:rsidRPr="00E95FB1">
        <w:t>паливн</w:t>
      </w:r>
      <w:r>
        <w:t>их</w:t>
      </w:r>
      <w:r w:rsidRPr="00E95FB1">
        <w:t xml:space="preserve"> брикет</w:t>
      </w:r>
      <w:r>
        <w:t>ів</w:t>
      </w:r>
      <w:r w:rsidRPr="00E95FB1">
        <w:t xml:space="preserve"> власного виробництва</w:t>
      </w:r>
      <w:r>
        <w:t xml:space="preserve">. </w:t>
      </w:r>
      <w:proofErr w:type="spellStart"/>
      <w:r>
        <w:t>Мінікотел</w:t>
      </w:r>
      <w:r w:rsidR="00D22A1D">
        <w:t>ь</w:t>
      </w:r>
      <w:r>
        <w:t>ні</w:t>
      </w:r>
      <w:proofErr w:type="spellEnd"/>
      <w:r>
        <w:t xml:space="preserve"> спрямовані на забезпечення теплопостачання для житлових будинків, громадських споруд та підприємств без використання традиційних джерел пального. </w:t>
      </w:r>
      <w:r w:rsidRPr="00E95FB1">
        <w:t xml:space="preserve">Встановлення </w:t>
      </w:r>
      <w:proofErr w:type="spellStart"/>
      <w:r w:rsidRPr="00E95FB1">
        <w:t>мінікотелен</w:t>
      </w:r>
      <w:proofErr w:type="spellEnd"/>
      <w:r w:rsidRPr="00E95FB1">
        <w:t xml:space="preserve"> в лікарнях, школах, дитячих садочках, мікрорайонах </w:t>
      </w:r>
      <w:r w:rsidR="009105FE">
        <w:t>міста</w:t>
      </w:r>
      <w:r w:rsidR="009105FE" w:rsidRPr="00E95FB1">
        <w:t xml:space="preserve"> </w:t>
      </w:r>
      <w:r w:rsidRPr="00E95FB1">
        <w:t xml:space="preserve">та переведення їх на паливні брикети власного виробництва </w:t>
      </w:r>
      <w:r>
        <w:t xml:space="preserve">або на альтернативні джерела енергії </w:t>
      </w:r>
      <w:r w:rsidRPr="00E95FB1">
        <w:t>дозволить відмовитися від природного газу для опалення (економічна безпека країни)</w:t>
      </w:r>
      <w:r>
        <w:t xml:space="preserve">. Це </w:t>
      </w:r>
      <w:r w:rsidRPr="00E95FB1">
        <w:t>суттєво спростит</w:t>
      </w:r>
      <w:r>
        <w:t>ь</w:t>
      </w:r>
      <w:r w:rsidRPr="00E95FB1">
        <w:t xml:space="preserve"> вирішення проблеми теплозабезпечення </w:t>
      </w:r>
      <w:r>
        <w:t>громади</w:t>
      </w:r>
      <w:r w:rsidRPr="00E95FB1">
        <w:t xml:space="preserve"> та </w:t>
      </w:r>
      <w:r>
        <w:t xml:space="preserve">сприятиме </w:t>
      </w:r>
      <w:r w:rsidRPr="00E95FB1">
        <w:t>скоро</w:t>
      </w:r>
      <w:r>
        <w:t>ченню</w:t>
      </w:r>
      <w:r w:rsidRPr="00E95FB1">
        <w:t xml:space="preserve"> витрат на утримання інфраструктури.</w:t>
      </w:r>
    </w:p>
    <w:p w:rsidR="00AC499C" w:rsidRDefault="00AC499C" w:rsidP="00AC499C">
      <w:pPr>
        <w:ind w:firstLine="708"/>
      </w:pPr>
    </w:p>
    <w:p w:rsidR="00AC499C" w:rsidRDefault="00AC499C" w:rsidP="00AC499C">
      <w:pPr>
        <w:ind w:firstLine="708"/>
      </w:pPr>
      <w:r>
        <w:t xml:space="preserve">В </w:t>
      </w:r>
      <w:proofErr w:type="spellStart"/>
      <w:r>
        <w:t>деокупованій</w:t>
      </w:r>
      <w:proofErr w:type="spellEnd"/>
      <w:r>
        <w:t xml:space="preserve"> громаді, де централізоване теплопостачання зруйноване, створення ЕСКО-к</w:t>
      </w:r>
      <w:r w:rsidR="00FD15EC">
        <w:t>о</w:t>
      </w:r>
      <w:r>
        <w:t xml:space="preserve">мпаній та </w:t>
      </w:r>
      <w:proofErr w:type="spellStart"/>
      <w:r>
        <w:t>мінікотелень</w:t>
      </w:r>
      <w:proofErr w:type="spellEnd"/>
      <w:r>
        <w:t xml:space="preserve"> може мати значущий позитивний вплив:</w:t>
      </w:r>
    </w:p>
    <w:p w:rsidR="00AC499C" w:rsidRDefault="00AC499C" w:rsidP="00AC499C">
      <w:pPr>
        <w:ind w:firstLine="708"/>
      </w:pPr>
      <w:r w:rsidRPr="0046245D">
        <w:rPr>
          <w:b/>
          <w:bCs/>
          <w:u w:val="single"/>
        </w:rPr>
        <w:t>Енергоефективність</w:t>
      </w:r>
      <w:r w:rsidR="00FD15EC">
        <w:rPr>
          <w:b/>
          <w:bCs/>
          <w:u w:val="single"/>
        </w:rPr>
        <w:t>.</w:t>
      </w:r>
      <w:r>
        <w:t xml:space="preserve"> Спільно з ЕСКО-к</w:t>
      </w:r>
      <w:r w:rsidR="00FD15EC">
        <w:t>о</w:t>
      </w:r>
      <w:r>
        <w:t>мпаніями можна впровадити енергоефективні рішення, що дозволять ефективніше використовувати енергію та знизити її витрати.</w:t>
      </w:r>
    </w:p>
    <w:p w:rsidR="00AC499C" w:rsidRDefault="00AC499C" w:rsidP="00AC499C">
      <w:pPr>
        <w:ind w:firstLine="708"/>
      </w:pPr>
      <w:r w:rsidRPr="0046245D">
        <w:rPr>
          <w:b/>
          <w:bCs/>
          <w:u w:val="single"/>
        </w:rPr>
        <w:t xml:space="preserve">Сталий </w:t>
      </w:r>
      <w:r w:rsidR="00FD15EC">
        <w:rPr>
          <w:b/>
          <w:bCs/>
          <w:u w:val="single"/>
        </w:rPr>
        <w:t>р</w:t>
      </w:r>
      <w:r w:rsidRPr="0046245D">
        <w:rPr>
          <w:b/>
          <w:bCs/>
          <w:u w:val="single"/>
        </w:rPr>
        <w:t>озвиток</w:t>
      </w:r>
      <w:r w:rsidR="00FD15EC">
        <w:rPr>
          <w:b/>
          <w:bCs/>
          <w:u w:val="single"/>
        </w:rPr>
        <w:t>.</w:t>
      </w:r>
      <w:r>
        <w:t xml:space="preserve"> Розгорнуті </w:t>
      </w:r>
      <w:proofErr w:type="spellStart"/>
      <w:r>
        <w:t>мінікотел</w:t>
      </w:r>
      <w:r w:rsidR="00FD15EC">
        <w:t>ь</w:t>
      </w:r>
      <w:r>
        <w:t>ні</w:t>
      </w:r>
      <w:proofErr w:type="spellEnd"/>
      <w:r>
        <w:t xml:space="preserve"> на базі альтернативних джерел енергії допоможуть зменшити викиди CO</w:t>
      </w:r>
      <w:r w:rsidRPr="0046245D">
        <w:rPr>
          <w:vertAlign w:val="subscript"/>
        </w:rPr>
        <w:t>2</w:t>
      </w:r>
      <w:r>
        <w:t xml:space="preserve"> та знизити негативний вплив на довкілля.</w:t>
      </w:r>
    </w:p>
    <w:p w:rsidR="00AC499C" w:rsidRDefault="00AC499C" w:rsidP="00AC499C">
      <w:pPr>
        <w:ind w:firstLine="708"/>
      </w:pPr>
      <w:r w:rsidRPr="0046245D">
        <w:rPr>
          <w:b/>
          <w:bCs/>
          <w:u w:val="single"/>
        </w:rPr>
        <w:t xml:space="preserve">Економічна </w:t>
      </w:r>
      <w:r w:rsidR="00FD15EC">
        <w:rPr>
          <w:b/>
          <w:bCs/>
          <w:u w:val="single"/>
        </w:rPr>
        <w:t>в</w:t>
      </w:r>
      <w:r w:rsidRPr="0046245D">
        <w:rPr>
          <w:b/>
          <w:bCs/>
          <w:u w:val="single"/>
        </w:rPr>
        <w:t>игода</w:t>
      </w:r>
      <w:r w:rsidR="00FD15EC">
        <w:rPr>
          <w:b/>
          <w:bCs/>
          <w:u w:val="single"/>
        </w:rPr>
        <w:t>.</w:t>
      </w:r>
      <w:r>
        <w:t xml:space="preserve"> Використання енергозберігаючих технологій та альтернативних джерел енергії може привести до зменшення витрат на опалення та енергопостачання.</w:t>
      </w:r>
    </w:p>
    <w:p w:rsidR="00904C04" w:rsidRDefault="00AC499C" w:rsidP="00904C04">
      <w:pPr>
        <w:ind w:firstLine="708"/>
      </w:pPr>
      <w:r w:rsidRPr="0046245D">
        <w:rPr>
          <w:b/>
          <w:bCs/>
          <w:u w:val="single"/>
        </w:rPr>
        <w:t xml:space="preserve">Створення </w:t>
      </w:r>
      <w:r w:rsidR="00FD15EC">
        <w:rPr>
          <w:b/>
          <w:bCs/>
          <w:u w:val="single"/>
        </w:rPr>
        <w:t>р</w:t>
      </w:r>
      <w:r w:rsidRPr="0046245D">
        <w:rPr>
          <w:b/>
          <w:bCs/>
          <w:u w:val="single"/>
        </w:rPr>
        <w:t xml:space="preserve">обочих </w:t>
      </w:r>
      <w:r w:rsidR="00FD15EC">
        <w:rPr>
          <w:b/>
          <w:bCs/>
          <w:u w:val="single"/>
        </w:rPr>
        <w:t>м</w:t>
      </w:r>
      <w:r w:rsidRPr="0046245D">
        <w:rPr>
          <w:b/>
          <w:bCs/>
          <w:u w:val="single"/>
        </w:rPr>
        <w:t>ісць</w:t>
      </w:r>
      <w:r w:rsidR="00FD15EC">
        <w:rPr>
          <w:b/>
          <w:bCs/>
          <w:u w:val="single"/>
        </w:rPr>
        <w:t>.</w:t>
      </w:r>
      <w:r>
        <w:t xml:space="preserve"> Створення та розвиток ЕСКО-к</w:t>
      </w:r>
      <w:r w:rsidR="00FD15EC">
        <w:t>о</w:t>
      </w:r>
      <w:r>
        <w:t xml:space="preserve">мпаній та </w:t>
      </w:r>
      <w:proofErr w:type="spellStart"/>
      <w:r>
        <w:t>мінікотелень</w:t>
      </w:r>
      <w:proofErr w:type="spellEnd"/>
      <w:r>
        <w:t xml:space="preserve"> сприятиме виникненню нових робочих місць та підтримці місцевої економіки</w:t>
      </w:r>
      <w:r w:rsidR="00904C04">
        <w:t>, а також стимулюватиме повернення громадян нашого міста додому.</w:t>
      </w:r>
    </w:p>
    <w:p w:rsidR="00AC499C" w:rsidRDefault="00AC499C" w:rsidP="00AC499C">
      <w:pPr>
        <w:ind w:firstLine="708"/>
      </w:pPr>
      <w:r w:rsidRPr="0046245D">
        <w:rPr>
          <w:b/>
          <w:bCs/>
          <w:u w:val="single"/>
        </w:rPr>
        <w:t xml:space="preserve">Залучення </w:t>
      </w:r>
      <w:r w:rsidR="00FD15EC">
        <w:rPr>
          <w:b/>
          <w:bCs/>
          <w:u w:val="single"/>
        </w:rPr>
        <w:t>г</w:t>
      </w:r>
      <w:r w:rsidRPr="0046245D">
        <w:rPr>
          <w:b/>
          <w:bCs/>
          <w:u w:val="single"/>
        </w:rPr>
        <w:t>ромади</w:t>
      </w:r>
      <w:r w:rsidR="00FD15EC">
        <w:rPr>
          <w:b/>
          <w:bCs/>
          <w:u w:val="single"/>
        </w:rPr>
        <w:t>.</w:t>
      </w:r>
      <w:r>
        <w:t xml:space="preserve"> Можливість співпраці з ЕСКО-к</w:t>
      </w:r>
      <w:r w:rsidR="00FD15EC">
        <w:t>о</w:t>
      </w:r>
      <w:r>
        <w:t xml:space="preserve">мпаніями та участь у реалізації </w:t>
      </w:r>
      <w:proofErr w:type="spellStart"/>
      <w:r>
        <w:t>про</w:t>
      </w:r>
      <w:r w:rsidR="00FD15EC">
        <w:t>є</w:t>
      </w:r>
      <w:r>
        <w:t>ктів</w:t>
      </w:r>
      <w:proofErr w:type="spellEnd"/>
      <w:r>
        <w:t xml:space="preserve"> з енергозбереження залучить громаду до питань сталого розвитку та енергоефективності.</w:t>
      </w:r>
    </w:p>
    <w:p w:rsidR="00AC499C" w:rsidRDefault="00AC499C" w:rsidP="00AC499C">
      <w:pPr>
        <w:ind w:firstLine="708"/>
      </w:pPr>
    </w:p>
    <w:p w:rsidR="00AC499C" w:rsidRPr="00E95FB1" w:rsidRDefault="00AC499C" w:rsidP="00AC499C">
      <w:pPr>
        <w:ind w:firstLine="708"/>
      </w:pPr>
      <w:r>
        <w:t>Створення ЕСКО-к</w:t>
      </w:r>
      <w:r w:rsidR="00FD15EC">
        <w:t>о</w:t>
      </w:r>
      <w:r>
        <w:t xml:space="preserve">мпаній та </w:t>
      </w:r>
      <w:proofErr w:type="spellStart"/>
      <w:r>
        <w:t>мінікотелень</w:t>
      </w:r>
      <w:proofErr w:type="spellEnd"/>
      <w:r>
        <w:t xml:space="preserve"> в </w:t>
      </w:r>
      <w:proofErr w:type="spellStart"/>
      <w:r>
        <w:t>деокупованій</w:t>
      </w:r>
      <w:proofErr w:type="spellEnd"/>
      <w:r>
        <w:t xml:space="preserve"> громаді є важливим кроком у напрямку сталого та ефективного використання енергії, забезпечення комфорту для мешканців та сприяння розвитку екологічно чистих технологій.</w:t>
      </w:r>
    </w:p>
    <w:p w:rsidR="00AC499C" w:rsidRPr="00E95FB1" w:rsidRDefault="00AC499C" w:rsidP="00AC499C">
      <w:pPr>
        <w:rPr>
          <w:b/>
        </w:rPr>
      </w:pPr>
    </w:p>
    <w:p w:rsidR="00AC499C" w:rsidRPr="00FD15EC" w:rsidRDefault="00AC499C" w:rsidP="00AC499C">
      <w:pPr>
        <w:ind w:firstLine="708"/>
        <w:rPr>
          <w:b/>
        </w:rPr>
      </w:pPr>
      <w:r w:rsidRPr="00FD15EC">
        <w:rPr>
          <w:b/>
        </w:rPr>
        <w:t>Створенні сучасної системи поводження з відходами</w:t>
      </w:r>
      <w:r w:rsidRPr="00FD15EC">
        <w:rPr>
          <w:b/>
          <w:color w:val="244061" w:themeColor="accent1" w:themeShade="80"/>
        </w:rPr>
        <w:t xml:space="preserve"> (</w:t>
      </w:r>
      <w:proofErr w:type="spellStart"/>
      <w:r w:rsidRPr="00FD15EC">
        <w:rPr>
          <w:b/>
        </w:rPr>
        <w:t>Сміттєпереробний</w:t>
      </w:r>
      <w:proofErr w:type="spellEnd"/>
      <w:r w:rsidRPr="00FD15EC">
        <w:rPr>
          <w:b/>
        </w:rPr>
        <w:t xml:space="preserve"> завод)</w:t>
      </w:r>
      <w:r w:rsidR="00FD15EC" w:rsidRPr="00FD15EC">
        <w:rPr>
          <w:b/>
        </w:rPr>
        <w:t>.</w:t>
      </w:r>
    </w:p>
    <w:p w:rsidR="00AC499C" w:rsidRDefault="00AC499C" w:rsidP="00AC499C">
      <w:pPr>
        <w:ind w:firstLine="708"/>
      </w:pPr>
    </w:p>
    <w:p w:rsidR="00AC499C" w:rsidRPr="0031299F" w:rsidRDefault="00AC499C" w:rsidP="00AC499C">
      <w:pPr>
        <w:ind w:firstLine="708"/>
      </w:pPr>
      <w:r w:rsidRPr="00E95FB1">
        <w:lastRenderedPageBreak/>
        <w:t xml:space="preserve">Сєвєродонецька міська територіальна громада зацікавлена в </w:t>
      </w:r>
      <w:r w:rsidRPr="0031299F">
        <w:t>створенн</w:t>
      </w:r>
      <w:r>
        <w:t>і</w:t>
      </w:r>
      <w:r w:rsidRPr="0031299F">
        <w:t xml:space="preserve"> сучасної системи поводження з відходами</w:t>
      </w:r>
      <w:r>
        <w:t>.</w:t>
      </w:r>
    </w:p>
    <w:p w:rsidR="00AC499C" w:rsidRDefault="00AC499C" w:rsidP="00AC499C">
      <w:pPr>
        <w:ind w:firstLine="708"/>
      </w:pPr>
    </w:p>
    <w:p w:rsidR="00AC499C" w:rsidRPr="0031299F" w:rsidRDefault="00AC499C" w:rsidP="00AC499C">
      <w:pPr>
        <w:ind w:firstLine="708"/>
      </w:pPr>
      <w:r w:rsidRPr="0031299F">
        <w:t xml:space="preserve">Концепція системи поводження з відходами передбачає створення сучасного </w:t>
      </w:r>
      <w:proofErr w:type="spellStart"/>
      <w:r w:rsidRPr="0031299F">
        <w:t>сміттєпереробного</w:t>
      </w:r>
      <w:proofErr w:type="spellEnd"/>
      <w:r w:rsidRPr="0031299F">
        <w:t xml:space="preserve"> комплексу, спрямованого на ефективну утилізацію твердих побутових відходів, генерацію теплової та електричної енергії з альтернативних джерел, а також на вирішення екологічних проблем, пов'язаних з забрудненням навколишнього середовища. Цей комплекс також буде сприяти створенню додаткових робочих місць та збільшенню доходів місцевого бюджету.</w:t>
      </w:r>
    </w:p>
    <w:p w:rsidR="00AC499C" w:rsidRPr="0031299F" w:rsidRDefault="00AC499C" w:rsidP="00AC499C">
      <w:pPr>
        <w:ind w:firstLine="708"/>
      </w:pPr>
    </w:p>
    <w:p w:rsidR="00AC499C" w:rsidRPr="0031299F" w:rsidRDefault="00AC499C" w:rsidP="00AC499C">
      <w:pPr>
        <w:ind w:firstLine="708"/>
      </w:pPr>
      <w:r w:rsidRPr="0031299F">
        <w:t>Головними принципами цієї концепції є ефективна утилізація відходів через їх сортування та переробку, використання альтернативних джерел енергії для виробництва тепла та електрики, а також дотримання високих екологічних стандартів для зменшення негативного впливу на природу</w:t>
      </w:r>
      <w:r w:rsidR="008B3516">
        <w:t xml:space="preserve"> та навколишнє середовище</w:t>
      </w:r>
      <w:r w:rsidRPr="0031299F">
        <w:t>.</w:t>
      </w:r>
    </w:p>
    <w:p w:rsidR="00AC499C" w:rsidRPr="0031299F" w:rsidRDefault="00AC499C" w:rsidP="00AC499C">
      <w:pPr>
        <w:ind w:firstLine="708"/>
      </w:pPr>
    </w:p>
    <w:p w:rsidR="00AC499C" w:rsidRPr="0031299F" w:rsidRDefault="00AC499C" w:rsidP="00AC499C">
      <w:pPr>
        <w:ind w:firstLine="708"/>
      </w:pPr>
      <w:r w:rsidRPr="0031299F">
        <w:t xml:space="preserve">Основні кроки реалізації включають створення детального </w:t>
      </w:r>
      <w:proofErr w:type="spellStart"/>
      <w:r w:rsidRPr="0031299F">
        <w:t>про</w:t>
      </w:r>
      <w:r w:rsidR="00DB31AB">
        <w:t>є</w:t>
      </w:r>
      <w:r w:rsidRPr="0031299F">
        <w:t>кту</w:t>
      </w:r>
      <w:proofErr w:type="spellEnd"/>
      <w:r w:rsidRPr="0031299F">
        <w:t xml:space="preserve"> комплексу, будівництво необхідної інфраструктури, встановлення сучасного технологічного обладнання, тестування та оптимізацію процесів роботи, постійний контроль над екологічною безпекою, залучення інвестицій та організацію навчальних програм для громадян.</w:t>
      </w:r>
    </w:p>
    <w:p w:rsidR="00AC499C" w:rsidRPr="0031299F" w:rsidRDefault="00AC499C" w:rsidP="00AC499C">
      <w:pPr>
        <w:ind w:firstLine="708"/>
      </w:pPr>
    </w:p>
    <w:p w:rsidR="00AC499C" w:rsidRPr="0031299F" w:rsidRDefault="00AC499C" w:rsidP="00AC499C">
      <w:pPr>
        <w:ind w:firstLine="708"/>
      </w:pPr>
      <w:r w:rsidRPr="0031299F">
        <w:t xml:space="preserve">Ця концепція спрямована на розв'язання важливих завдань, таких як зменшення відходів, використання відновлювальних джерел енергії, покращення екологічної ситуації в громаді та створення сприятливого економічного середовища через залучення інвестицій та збільшення доходів від </w:t>
      </w:r>
      <w:proofErr w:type="spellStart"/>
      <w:r w:rsidRPr="0031299F">
        <w:t>сміттєпереробки</w:t>
      </w:r>
      <w:proofErr w:type="spellEnd"/>
      <w:r w:rsidRPr="0031299F">
        <w:t xml:space="preserve"> та виробництва енергії.</w:t>
      </w:r>
    </w:p>
    <w:p w:rsidR="00AC499C" w:rsidRDefault="00AC499C" w:rsidP="00AC499C"/>
    <w:p w:rsidR="00AC499C" w:rsidRPr="00E95FB1" w:rsidRDefault="00AC499C" w:rsidP="00AC499C">
      <w:pPr>
        <w:ind w:firstLine="708"/>
      </w:pPr>
      <w:r w:rsidRPr="00E95FB1">
        <w:t xml:space="preserve">Будівництво </w:t>
      </w:r>
      <w:proofErr w:type="spellStart"/>
      <w:r w:rsidRPr="00E95FB1">
        <w:t>сміттє</w:t>
      </w:r>
      <w:r>
        <w:t>переробного</w:t>
      </w:r>
      <w:proofErr w:type="spellEnd"/>
      <w:r>
        <w:t xml:space="preserve"> комплексу</w:t>
      </w:r>
      <w:r w:rsidRPr="00E95FB1">
        <w:t xml:space="preserve"> на території міста Сєвєродонецьк дозволить вирішити ряд проблемних питань:                   </w:t>
      </w:r>
    </w:p>
    <w:p w:rsidR="00AC499C" w:rsidRDefault="0007742C" w:rsidP="000303D7">
      <w:pPr>
        <w:pStyle w:val="a7"/>
        <w:numPr>
          <w:ilvl w:val="0"/>
          <w:numId w:val="140"/>
        </w:numPr>
      </w:pPr>
      <w:r>
        <w:t>т</w:t>
      </w:r>
      <w:r w:rsidR="00AC499C" w:rsidRPr="00E95FB1">
        <w:t>верді побутові відходи утилізуються без шкоди д</w:t>
      </w:r>
      <w:r>
        <w:t>ля</w:t>
      </w:r>
      <w:r w:rsidR="00AC499C" w:rsidRPr="00E95FB1">
        <w:t xml:space="preserve"> навколишнього середовища</w:t>
      </w:r>
      <w:r>
        <w:t>;</w:t>
      </w:r>
      <w:r w:rsidR="00AC499C" w:rsidRPr="00E95FB1">
        <w:t xml:space="preserve">  </w:t>
      </w:r>
    </w:p>
    <w:p w:rsidR="00AC499C" w:rsidRPr="00E95FB1" w:rsidRDefault="0007742C" w:rsidP="000303D7">
      <w:pPr>
        <w:pStyle w:val="a7"/>
        <w:numPr>
          <w:ilvl w:val="0"/>
          <w:numId w:val="140"/>
        </w:numPr>
      </w:pPr>
      <w:r>
        <w:t>е</w:t>
      </w:r>
      <w:r w:rsidR="00AC499C" w:rsidRPr="00E95FB1">
        <w:t xml:space="preserve">нергія після спалювання перетворюється в електроенергію та теплову енергію, що забезпечує громаду, а це дасть можливість повністю відмовитись від </w:t>
      </w:r>
      <w:r w:rsidR="00071F26">
        <w:t>імпортного</w:t>
      </w:r>
      <w:r w:rsidR="00AC499C" w:rsidRPr="00E95FB1">
        <w:t xml:space="preserve"> газу.</w:t>
      </w:r>
    </w:p>
    <w:p w:rsidR="00AC499C" w:rsidRDefault="00AC499C" w:rsidP="00AC499C">
      <w:pPr>
        <w:ind w:firstLine="708"/>
      </w:pPr>
    </w:p>
    <w:p w:rsidR="00AC499C" w:rsidRPr="00E95FB1" w:rsidRDefault="00AC499C" w:rsidP="00AC499C">
      <w:pPr>
        <w:ind w:firstLine="708"/>
      </w:pPr>
      <w:r w:rsidRPr="00E95FB1">
        <w:t xml:space="preserve">Концепція впровадження в Україні сучасних </w:t>
      </w:r>
      <w:proofErr w:type="spellStart"/>
      <w:r w:rsidRPr="00E95FB1">
        <w:t>сміттє</w:t>
      </w:r>
      <w:r>
        <w:t>переробних</w:t>
      </w:r>
      <w:proofErr w:type="spellEnd"/>
      <w:r w:rsidRPr="00E95FB1">
        <w:t xml:space="preserve"> екологічно чистих заводів</w:t>
      </w:r>
      <w:r>
        <w:t xml:space="preserve"> </w:t>
      </w:r>
      <w:r w:rsidRPr="00E95FB1">
        <w:t xml:space="preserve"> базується на наступних засадах:</w:t>
      </w:r>
    </w:p>
    <w:p w:rsidR="00AC499C" w:rsidRPr="00E95FB1" w:rsidRDefault="00AC499C" w:rsidP="000303D7">
      <w:pPr>
        <w:pStyle w:val="a7"/>
        <w:numPr>
          <w:ilvl w:val="0"/>
          <w:numId w:val="140"/>
        </w:numPr>
      </w:pPr>
      <w:r w:rsidRPr="00E95FB1">
        <w:t>впровадження комерційно успішних, енергоефективних технологій в кооперації з визнаними європейськими виробниками;</w:t>
      </w:r>
    </w:p>
    <w:p w:rsidR="00AC499C" w:rsidRPr="00E95FB1" w:rsidRDefault="00AC499C" w:rsidP="000303D7">
      <w:pPr>
        <w:pStyle w:val="a7"/>
        <w:numPr>
          <w:ilvl w:val="0"/>
          <w:numId w:val="140"/>
        </w:numPr>
      </w:pPr>
      <w:r>
        <w:t>з</w:t>
      </w:r>
      <w:r w:rsidRPr="00E95FB1">
        <w:t xml:space="preserve">абезпечення в </w:t>
      </w:r>
      <w:proofErr w:type="spellStart"/>
      <w:r w:rsidRPr="00E95FB1">
        <w:t>про</w:t>
      </w:r>
      <w:r w:rsidR="003D4BDC">
        <w:t>є</w:t>
      </w:r>
      <w:r w:rsidRPr="00E95FB1">
        <w:t>кті</w:t>
      </w:r>
      <w:proofErr w:type="spellEnd"/>
      <w:r w:rsidRPr="00E95FB1">
        <w:t xml:space="preserve"> максимальної долі Європейського виробництва;</w:t>
      </w:r>
    </w:p>
    <w:p w:rsidR="00AC499C" w:rsidRPr="00E95FB1" w:rsidRDefault="00AC499C" w:rsidP="000303D7">
      <w:pPr>
        <w:pStyle w:val="a7"/>
        <w:numPr>
          <w:ilvl w:val="0"/>
          <w:numId w:val="140"/>
        </w:numPr>
      </w:pPr>
      <w:r w:rsidRPr="00E95FB1">
        <w:t xml:space="preserve">високі техніко-економічні показники </w:t>
      </w:r>
      <w:proofErr w:type="spellStart"/>
      <w:r w:rsidRPr="00E95FB1">
        <w:t>про</w:t>
      </w:r>
      <w:r w:rsidR="003D4BDC">
        <w:t>є</w:t>
      </w:r>
      <w:r w:rsidRPr="00E95FB1">
        <w:t>кту</w:t>
      </w:r>
      <w:proofErr w:type="spellEnd"/>
      <w:r w:rsidRPr="00E95FB1">
        <w:t>;</w:t>
      </w:r>
    </w:p>
    <w:p w:rsidR="00AC499C" w:rsidRPr="00E95FB1" w:rsidRDefault="00AC499C" w:rsidP="000303D7">
      <w:pPr>
        <w:pStyle w:val="a7"/>
        <w:numPr>
          <w:ilvl w:val="0"/>
          <w:numId w:val="140"/>
        </w:numPr>
      </w:pPr>
      <w:r>
        <w:lastRenderedPageBreak/>
        <w:t>д</w:t>
      </w:r>
      <w:r w:rsidRPr="00E95FB1">
        <w:t xml:space="preserve">осягнення в </w:t>
      </w:r>
      <w:proofErr w:type="spellStart"/>
      <w:r w:rsidRPr="00E95FB1">
        <w:t>про</w:t>
      </w:r>
      <w:r w:rsidR="003D4BDC">
        <w:t>є</w:t>
      </w:r>
      <w:r w:rsidRPr="00E95FB1">
        <w:t>кті</w:t>
      </w:r>
      <w:proofErr w:type="spellEnd"/>
      <w:r w:rsidRPr="00E95FB1">
        <w:t xml:space="preserve"> жорстких європейських екологічних нормативів та можливість експорту електроенергії в ЄС;</w:t>
      </w:r>
    </w:p>
    <w:p w:rsidR="00AC499C" w:rsidRDefault="00AC499C" w:rsidP="000303D7">
      <w:pPr>
        <w:pStyle w:val="a7"/>
        <w:numPr>
          <w:ilvl w:val="0"/>
          <w:numId w:val="140"/>
        </w:numPr>
      </w:pPr>
      <w:r w:rsidRPr="00E95FB1">
        <w:t>забезпечення комплексного підходу на етапі залучення та обґрунтування Європейських інвестицій</w:t>
      </w:r>
      <w:r w:rsidRPr="00D23EB9">
        <w:t>.</w:t>
      </w:r>
    </w:p>
    <w:p w:rsidR="003D4BDC" w:rsidRDefault="003D4BDC" w:rsidP="003D4BDC"/>
    <w:p w:rsidR="00AC499C" w:rsidRDefault="00AC499C" w:rsidP="00AC499C"/>
    <w:p w:rsidR="00AC499C" w:rsidRPr="00F675D5" w:rsidRDefault="00AC499C" w:rsidP="00AC499C">
      <w:pPr>
        <w:ind w:firstLine="708"/>
        <w:rPr>
          <w:b/>
          <w:color w:val="002060"/>
        </w:rPr>
      </w:pPr>
      <w:r w:rsidRPr="00F675D5">
        <w:rPr>
          <w:b/>
          <w:color w:val="002060"/>
        </w:rPr>
        <w:t>Створення низки підприємств з виготовлення будівельних матеріалів</w:t>
      </w:r>
      <w:r w:rsidR="003F3F9F" w:rsidRPr="00F675D5">
        <w:rPr>
          <w:b/>
          <w:color w:val="002060"/>
        </w:rPr>
        <w:t>.</w:t>
      </w:r>
    </w:p>
    <w:p w:rsidR="00AC499C" w:rsidRDefault="00AC499C" w:rsidP="00AC499C">
      <w:pPr>
        <w:ind w:firstLine="708"/>
        <w:rPr>
          <w:color w:val="000000" w:themeColor="text1"/>
        </w:rPr>
      </w:pPr>
    </w:p>
    <w:p w:rsidR="00AC499C" w:rsidRPr="0079291D" w:rsidRDefault="00AC499C" w:rsidP="00AC499C">
      <w:pPr>
        <w:ind w:firstLine="708"/>
        <w:rPr>
          <w:color w:val="000000" w:themeColor="text1"/>
        </w:rPr>
      </w:pPr>
      <w:r w:rsidRPr="0079291D">
        <w:rPr>
          <w:color w:val="000000" w:themeColor="text1"/>
        </w:rPr>
        <w:t>Створення низки підприємств з виготовлення будівельних матеріалів в громаді, яка відновлюється після війни</w:t>
      </w:r>
      <w:r>
        <w:rPr>
          <w:color w:val="000000" w:themeColor="text1"/>
        </w:rPr>
        <w:t xml:space="preserve"> та має</w:t>
      </w:r>
      <w:r w:rsidRPr="0079291D">
        <w:rPr>
          <w:color w:val="000000" w:themeColor="text1"/>
        </w:rPr>
        <w:t xml:space="preserve"> велик</w:t>
      </w:r>
      <w:r>
        <w:rPr>
          <w:color w:val="000000" w:themeColor="text1"/>
        </w:rPr>
        <w:t>і</w:t>
      </w:r>
      <w:r w:rsidRPr="0079291D">
        <w:rPr>
          <w:color w:val="000000" w:themeColor="text1"/>
        </w:rPr>
        <w:t xml:space="preserve"> </w:t>
      </w:r>
      <w:r>
        <w:rPr>
          <w:color w:val="000000" w:themeColor="text1"/>
        </w:rPr>
        <w:t xml:space="preserve">покладу </w:t>
      </w:r>
      <w:r w:rsidRPr="0079291D">
        <w:rPr>
          <w:color w:val="000000" w:themeColor="text1"/>
        </w:rPr>
        <w:t>піс</w:t>
      </w:r>
      <w:r>
        <w:rPr>
          <w:color w:val="000000" w:themeColor="text1"/>
        </w:rPr>
        <w:t>ку</w:t>
      </w:r>
      <w:r w:rsidRPr="0079291D">
        <w:rPr>
          <w:color w:val="000000" w:themeColor="text1"/>
        </w:rPr>
        <w:t>, є надзвичайно важливим кроком у досягненні сталої відбудови та розвитку. Ця концепція враховує потребу в ефективних та якісних будівельних матеріалах, раціонально використовує наявні ресурси, забезпечує зайнятість та підвищує економічний потенціал громади.</w:t>
      </w:r>
    </w:p>
    <w:p w:rsidR="00AC499C" w:rsidRPr="0079291D" w:rsidRDefault="00AC499C" w:rsidP="00AC499C">
      <w:pPr>
        <w:ind w:firstLine="708"/>
        <w:rPr>
          <w:color w:val="000000" w:themeColor="text1"/>
        </w:rPr>
      </w:pPr>
    </w:p>
    <w:p w:rsidR="00AC499C" w:rsidRDefault="00AC499C" w:rsidP="00AC499C">
      <w:pPr>
        <w:ind w:firstLine="708"/>
        <w:rPr>
          <w:color w:val="000000" w:themeColor="text1"/>
        </w:rPr>
      </w:pPr>
      <w:r w:rsidRPr="0079291D">
        <w:rPr>
          <w:color w:val="000000" w:themeColor="text1"/>
        </w:rPr>
        <w:t xml:space="preserve">На першому етапі необхідно провести детальний аналіз </w:t>
      </w:r>
      <w:proofErr w:type="spellStart"/>
      <w:r w:rsidRPr="0079291D">
        <w:rPr>
          <w:color w:val="000000" w:themeColor="text1"/>
        </w:rPr>
        <w:t>пісчаних</w:t>
      </w:r>
      <w:proofErr w:type="spellEnd"/>
      <w:r w:rsidRPr="0079291D">
        <w:rPr>
          <w:color w:val="000000" w:themeColor="text1"/>
        </w:rPr>
        <w:t xml:space="preserve"> ресурсів, щоб з'ясувати їхню доступність, якість та кількість. Це допоможе визначити оптимальний обсяг виробництва та види будівельних матеріалів, які можуть бути виготовлені на їхній основі, наприклад, </w:t>
      </w:r>
      <w:proofErr w:type="spellStart"/>
      <w:r w:rsidRPr="0079291D">
        <w:rPr>
          <w:color w:val="000000" w:themeColor="text1"/>
        </w:rPr>
        <w:t>піскоблоки</w:t>
      </w:r>
      <w:proofErr w:type="spellEnd"/>
      <w:r w:rsidRPr="0079291D">
        <w:rPr>
          <w:color w:val="000000" w:themeColor="text1"/>
        </w:rPr>
        <w:t>, бетон, цегла тощо.</w:t>
      </w:r>
      <w:r>
        <w:rPr>
          <w:color w:val="000000" w:themeColor="text1"/>
        </w:rPr>
        <w:t xml:space="preserve"> </w:t>
      </w:r>
      <w:r w:rsidRPr="0079291D">
        <w:rPr>
          <w:color w:val="000000" w:themeColor="text1"/>
        </w:rPr>
        <w:t>Слід розробити ефективні технології для переробки піску та виробництва матеріалів. Це може включати в себе використання сучасного обладнання для змішування, формування та обробки піску відповідно до вимог якості. При цьому важливо дотримуватися екологічних стандартів та норм безпеки.</w:t>
      </w:r>
      <w:r>
        <w:rPr>
          <w:color w:val="000000" w:themeColor="text1"/>
        </w:rPr>
        <w:t xml:space="preserve"> </w:t>
      </w:r>
      <w:r w:rsidRPr="0079291D">
        <w:rPr>
          <w:color w:val="000000" w:themeColor="text1"/>
        </w:rPr>
        <w:t>Також важливо розробити систему контролю якості, яка гарантуватиме, що вироблені матеріали відповідають вимогам будівельних стандартів та задовольняють потреби споживачів.</w:t>
      </w:r>
    </w:p>
    <w:p w:rsidR="00AC499C" w:rsidRPr="0079291D" w:rsidRDefault="00AC499C" w:rsidP="00AC499C">
      <w:pPr>
        <w:ind w:firstLine="708"/>
        <w:rPr>
          <w:color w:val="000000" w:themeColor="text1"/>
        </w:rPr>
      </w:pPr>
    </w:p>
    <w:p w:rsidR="00AC499C" w:rsidRPr="0079291D" w:rsidRDefault="00AC499C" w:rsidP="00AC499C">
      <w:pPr>
        <w:ind w:firstLine="708"/>
        <w:rPr>
          <w:color w:val="000000" w:themeColor="text1"/>
        </w:rPr>
      </w:pPr>
      <w:r w:rsidRPr="0079291D">
        <w:rPr>
          <w:color w:val="000000" w:themeColor="text1"/>
        </w:rPr>
        <w:t xml:space="preserve">Для забезпечення успіху цього </w:t>
      </w:r>
      <w:proofErr w:type="spellStart"/>
      <w:r w:rsidRPr="0079291D">
        <w:rPr>
          <w:color w:val="000000" w:themeColor="text1"/>
        </w:rPr>
        <w:t>про</w:t>
      </w:r>
      <w:r w:rsidR="00E2453A">
        <w:rPr>
          <w:color w:val="000000" w:themeColor="text1"/>
        </w:rPr>
        <w:t>є</w:t>
      </w:r>
      <w:r w:rsidRPr="0079291D">
        <w:rPr>
          <w:color w:val="000000" w:themeColor="text1"/>
        </w:rPr>
        <w:t>кту</w:t>
      </w:r>
      <w:proofErr w:type="spellEnd"/>
      <w:r w:rsidRPr="0079291D">
        <w:rPr>
          <w:color w:val="000000" w:themeColor="text1"/>
        </w:rPr>
        <w:t xml:space="preserve"> важливо враховувати не лише економічні показники, але й соціальні та екологічні аспекти. Створення робочих місць для місцевого населення, надання навичок та можливостей для розвитку, а також дотримання екологічних стандартів сприятимуть позитивному впливу на громаду.</w:t>
      </w:r>
    </w:p>
    <w:p w:rsidR="00AC499C" w:rsidRPr="0079291D" w:rsidRDefault="00AC499C" w:rsidP="00AC499C">
      <w:pPr>
        <w:ind w:firstLine="708"/>
        <w:rPr>
          <w:color w:val="000000" w:themeColor="text1"/>
        </w:rPr>
      </w:pPr>
    </w:p>
    <w:p w:rsidR="00AC499C" w:rsidRPr="0079291D" w:rsidRDefault="00AC499C" w:rsidP="00AC499C">
      <w:pPr>
        <w:ind w:firstLine="708"/>
        <w:rPr>
          <w:color w:val="000000" w:themeColor="text1"/>
        </w:rPr>
      </w:pPr>
      <w:r w:rsidRPr="0079291D">
        <w:rPr>
          <w:color w:val="000000" w:themeColor="text1"/>
        </w:rPr>
        <w:t>У плані маркетингу необхідно ретельно вивчити потреби будівельного ринку в регіоні, конкурентну обстановку та розробити стратегію просування продукції. Варто враховувати попит на різні типи будівельних матеріалів та пропонувати високоякісну продукцію за конкурентоспроможними цінами.</w:t>
      </w:r>
    </w:p>
    <w:p w:rsidR="00AC499C" w:rsidRDefault="00AC499C" w:rsidP="00AC499C">
      <w:pPr>
        <w:ind w:firstLine="708"/>
        <w:rPr>
          <w:color w:val="000000" w:themeColor="text1"/>
        </w:rPr>
      </w:pPr>
    </w:p>
    <w:p w:rsidR="00AC499C" w:rsidRDefault="00AC499C" w:rsidP="00AC499C">
      <w:pPr>
        <w:ind w:firstLine="708"/>
        <w:rPr>
          <w:color w:val="000000" w:themeColor="text1"/>
        </w:rPr>
      </w:pPr>
      <w:r w:rsidRPr="0079291D">
        <w:rPr>
          <w:color w:val="000000" w:themeColor="text1"/>
        </w:rPr>
        <w:t xml:space="preserve">Узагалі, створення низки підприємств </w:t>
      </w:r>
      <w:r w:rsidR="00E2453A">
        <w:rPr>
          <w:color w:val="000000" w:themeColor="text1"/>
        </w:rPr>
        <w:t>з</w:t>
      </w:r>
      <w:r w:rsidRPr="0079291D">
        <w:rPr>
          <w:color w:val="000000" w:themeColor="text1"/>
        </w:rPr>
        <w:t xml:space="preserve"> виробництв</w:t>
      </w:r>
      <w:r w:rsidR="00E2453A">
        <w:rPr>
          <w:color w:val="000000" w:themeColor="text1"/>
        </w:rPr>
        <w:t>а</w:t>
      </w:r>
      <w:r w:rsidRPr="0079291D">
        <w:rPr>
          <w:color w:val="000000" w:themeColor="text1"/>
        </w:rPr>
        <w:t xml:space="preserve"> будівельних матеріалів на основі піску є комплексним завданням, яке вимагає злагодженого планування, інвестицій, наукового дослідження та відповідального підходу до </w:t>
      </w:r>
      <w:r w:rsidRPr="0079291D">
        <w:rPr>
          <w:color w:val="000000" w:themeColor="text1"/>
        </w:rPr>
        <w:lastRenderedPageBreak/>
        <w:t>виробництва. Це може не лише сприяти відновленню регіону, але й створити основу для стабільного розвитку та процвітання громади в майбутньому.</w:t>
      </w:r>
    </w:p>
    <w:p w:rsidR="00E2453A" w:rsidRDefault="00E2453A" w:rsidP="00AC499C">
      <w:pPr>
        <w:ind w:firstLine="708"/>
        <w:rPr>
          <w:color w:val="000000" w:themeColor="text1"/>
        </w:rPr>
      </w:pPr>
    </w:p>
    <w:p w:rsidR="00AC499C" w:rsidRDefault="00AC499C" w:rsidP="00AC499C">
      <w:pPr>
        <w:rPr>
          <w:color w:val="244061" w:themeColor="accent1" w:themeShade="80"/>
        </w:rPr>
      </w:pPr>
    </w:p>
    <w:p w:rsidR="00AC499C" w:rsidRPr="00E2453A" w:rsidRDefault="00AC499C" w:rsidP="00AC499C">
      <w:pPr>
        <w:ind w:firstLine="708"/>
        <w:rPr>
          <w:b/>
          <w:color w:val="244061" w:themeColor="accent1" w:themeShade="80"/>
        </w:rPr>
      </w:pPr>
      <w:r w:rsidRPr="00E2453A">
        <w:rPr>
          <w:b/>
          <w:color w:val="244061" w:themeColor="accent1" w:themeShade="80"/>
        </w:rPr>
        <w:t>Регіональний кластер підтримки виробників сільськогосподарської продукції в Луганській області</w:t>
      </w:r>
      <w:r w:rsidR="00E2453A">
        <w:rPr>
          <w:b/>
          <w:color w:val="244061" w:themeColor="accent1" w:themeShade="80"/>
        </w:rPr>
        <w:t>.</w:t>
      </w:r>
    </w:p>
    <w:p w:rsidR="00AC499C" w:rsidRDefault="00AC499C" w:rsidP="00AC499C"/>
    <w:p w:rsidR="00AC499C" w:rsidRPr="0079291D" w:rsidRDefault="00AC499C" w:rsidP="00E81205">
      <w:pPr>
        <w:ind w:firstLine="708"/>
      </w:pPr>
      <w:r w:rsidRPr="0079291D">
        <w:t xml:space="preserve">Створення регіонального кластеру підтримки виробників сільськогосподарської продукції в Луганській області після </w:t>
      </w:r>
      <w:proofErr w:type="spellStart"/>
      <w:r w:rsidRPr="0079291D">
        <w:t>деокупації</w:t>
      </w:r>
      <w:proofErr w:type="spellEnd"/>
      <w:r w:rsidRPr="0079291D">
        <w:t xml:space="preserve"> </w:t>
      </w:r>
      <w:r w:rsidR="00E66B37">
        <w:t>її території</w:t>
      </w:r>
      <w:r w:rsidR="00E66B37" w:rsidRPr="0079291D">
        <w:t xml:space="preserve"> </w:t>
      </w:r>
      <w:r w:rsidRPr="0079291D">
        <w:t xml:space="preserve">є важливим та перспективним кроком для відновлення та розвитку аграрного сектору регіону. Такий кластер може сприяти збільшенню виробництва, покращенню якості продукції та розвитку сільськогосподарського бізнесу в цілому. </w:t>
      </w:r>
      <w:r>
        <w:t>Зокрема, в громаді можуть бути розвинуті наступні</w:t>
      </w:r>
      <w:r w:rsidRPr="0079291D">
        <w:t xml:space="preserve"> елементи </w:t>
      </w:r>
      <w:r>
        <w:t xml:space="preserve">такого </w:t>
      </w:r>
      <w:r w:rsidRPr="0079291D">
        <w:t>кластер</w:t>
      </w:r>
      <w:r>
        <w:t>у</w:t>
      </w:r>
      <w:r w:rsidR="00097B17">
        <w:t>.</w:t>
      </w:r>
    </w:p>
    <w:p w:rsidR="00AC499C" w:rsidRPr="0079291D" w:rsidRDefault="00AC499C" w:rsidP="00AC499C"/>
    <w:p w:rsidR="00AC499C" w:rsidRPr="0079291D" w:rsidRDefault="00AC499C" w:rsidP="00AC499C">
      <w:r w:rsidRPr="0079291D">
        <w:rPr>
          <w:b/>
          <w:bCs/>
          <w:u w:val="single"/>
        </w:rPr>
        <w:t>Виробництво мінеральних добрив</w:t>
      </w:r>
      <w:r w:rsidR="00097B17">
        <w:rPr>
          <w:b/>
          <w:bCs/>
          <w:u w:val="single"/>
        </w:rPr>
        <w:t>.</w:t>
      </w:r>
      <w:r w:rsidRPr="0079291D">
        <w:t xml:space="preserve"> Виробництво мінеральних добрив є важливою складовою сільськогосподарського виробництва. Створення власного виробництва добрив може знизити витрати на їх придбання та забезпечити доступність якісних добрив для місцевих аграріїв.</w:t>
      </w:r>
    </w:p>
    <w:p w:rsidR="00AC499C" w:rsidRPr="0079291D" w:rsidRDefault="00AC499C" w:rsidP="00AC499C">
      <w:r w:rsidRPr="0079291D">
        <w:rPr>
          <w:b/>
          <w:bCs/>
          <w:u w:val="single"/>
        </w:rPr>
        <w:t>Логістичний хаб</w:t>
      </w:r>
      <w:r w:rsidR="00097B17">
        <w:rPr>
          <w:b/>
          <w:bCs/>
          <w:u w:val="single"/>
        </w:rPr>
        <w:t>.</w:t>
      </w:r>
      <w:r w:rsidRPr="0079291D">
        <w:t xml:space="preserve"> Створення логістичного хабу дозволить оптимізувати постачання сировини для виробництва, а також організацію збуту готової сільськогосподарської продукції. Ефективна логістика зменшить затрати та підвищить конкурентоспроможність продукції.</w:t>
      </w:r>
    </w:p>
    <w:p w:rsidR="00AC499C" w:rsidRPr="0079291D" w:rsidRDefault="00AC499C" w:rsidP="00AC499C">
      <w:r w:rsidRPr="0079291D">
        <w:rPr>
          <w:b/>
          <w:bCs/>
          <w:u w:val="single"/>
        </w:rPr>
        <w:t>Сучасні лабораторії</w:t>
      </w:r>
      <w:r w:rsidR="00097B17">
        <w:rPr>
          <w:b/>
          <w:bCs/>
          <w:u w:val="single"/>
        </w:rPr>
        <w:t>.</w:t>
      </w:r>
      <w:r w:rsidRPr="0079291D">
        <w:t xml:space="preserve"> Лабораторії, обладнані сучасними технологіями, дозволять контролювати якість продукції на всіх етапах виробництва</w:t>
      </w:r>
      <w:r w:rsidR="00097B17">
        <w:t xml:space="preserve"> -</w:t>
      </w:r>
      <w:r w:rsidRPr="0079291D">
        <w:t xml:space="preserve"> від внесення добрив до готової продукції. Це забезпечить дотримання стандартів якості та безпеки.</w:t>
      </w:r>
    </w:p>
    <w:p w:rsidR="00AC499C" w:rsidRPr="0079291D" w:rsidRDefault="00AC499C" w:rsidP="00AC499C">
      <w:r w:rsidRPr="0079291D">
        <w:rPr>
          <w:b/>
          <w:bCs/>
          <w:u w:val="single"/>
        </w:rPr>
        <w:t>Підприємства по переробці сільськогосподарської продукції</w:t>
      </w:r>
      <w:r w:rsidR="00097B17">
        <w:rPr>
          <w:b/>
          <w:bCs/>
          <w:u w:val="single"/>
        </w:rPr>
        <w:t>.</w:t>
      </w:r>
      <w:r w:rsidRPr="0079291D">
        <w:t xml:space="preserve"> Розвиток переробних підприємств </w:t>
      </w:r>
      <w:r w:rsidR="001D4126">
        <w:t xml:space="preserve">підвищить продуктивність виробництва фермерами та власниками земель сільськогосподарських угідь, підвищити їх стимул до розвитку даного напрямку переробки </w:t>
      </w:r>
      <w:r w:rsidR="001D4126" w:rsidRPr="00D1153D">
        <w:t>сільськогоспо</w:t>
      </w:r>
      <w:r w:rsidR="001D4126">
        <w:t>дарської продукції</w:t>
      </w:r>
      <w:r w:rsidRPr="0079291D">
        <w:t xml:space="preserve"> </w:t>
      </w:r>
      <w:r w:rsidR="001D4126">
        <w:t>дозволить</w:t>
      </w:r>
      <w:r w:rsidR="001D4126" w:rsidRPr="0079291D">
        <w:t xml:space="preserve"> </w:t>
      </w:r>
      <w:r w:rsidRPr="0079291D">
        <w:t>створити нові робочі місця</w:t>
      </w:r>
      <w:r w:rsidR="001D4126">
        <w:t xml:space="preserve">, а що найголовніше – збалансувати економічний інтерес обох сторін даного процесу: споживачів – отримання якісної, відносно доступної за ціновою політикою товару, а виробників </w:t>
      </w:r>
      <w:r w:rsidR="001D4126" w:rsidRPr="00D1153D">
        <w:t>сільськогоспо</w:t>
      </w:r>
      <w:r w:rsidR="001D4126">
        <w:t xml:space="preserve">дарської продукції - </w:t>
      </w:r>
      <w:r w:rsidR="001D4126" w:rsidRPr="0079291D">
        <w:t xml:space="preserve"> </w:t>
      </w:r>
      <w:r w:rsidR="001D4126">
        <w:t>збільшення кількості виробництва продукції, зменшення витрат на логістику своєї продукції до кінцевого споживача та отримання додаткового прибутку.</w:t>
      </w:r>
      <w:r w:rsidRPr="0079291D">
        <w:t xml:space="preserve"> Це може включати </w:t>
      </w:r>
      <w:r w:rsidR="00097B17">
        <w:t>в</w:t>
      </w:r>
      <w:r w:rsidRPr="0079291D">
        <w:t xml:space="preserve"> себе консервування, сушіння, фасування тощо.</w:t>
      </w:r>
    </w:p>
    <w:p w:rsidR="00AC499C" w:rsidRPr="0079291D" w:rsidRDefault="00AC499C" w:rsidP="00AC499C">
      <w:r w:rsidRPr="00C844E4">
        <w:rPr>
          <w:b/>
          <w:bCs/>
          <w:u w:val="single"/>
        </w:rPr>
        <w:t>Аграрний консалт</w:t>
      </w:r>
      <w:r w:rsidR="003574A5">
        <w:rPr>
          <w:b/>
          <w:bCs/>
          <w:u w:val="single"/>
        </w:rPr>
        <w:t>и</w:t>
      </w:r>
      <w:r w:rsidRPr="00C844E4">
        <w:rPr>
          <w:b/>
          <w:bCs/>
          <w:u w:val="single"/>
        </w:rPr>
        <w:t>нговий центр</w:t>
      </w:r>
      <w:r w:rsidR="003574A5">
        <w:rPr>
          <w:b/>
          <w:bCs/>
          <w:u w:val="single"/>
        </w:rPr>
        <w:t>.</w:t>
      </w:r>
      <w:r w:rsidRPr="0079291D">
        <w:t xml:space="preserve"> Створення консалт</w:t>
      </w:r>
      <w:r w:rsidR="003574A5">
        <w:t>и</w:t>
      </w:r>
      <w:r w:rsidRPr="0079291D">
        <w:t>нгового центру сприятиме розповсюдженню новітніх знань та практик в галузі сільського господарства серед місцевих фермерів. Це може включати консультації з агрономії, менеджменту, маркетингу та інших аспектів аграрного бізнесу.</w:t>
      </w:r>
    </w:p>
    <w:p w:rsidR="00AC499C" w:rsidRPr="0079291D" w:rsidRDefault="00AC499C" w:rsidP="00AC499C"/>
    <w:p w:rsidR="00AC499C" w:rsidRPr="0079291D" w:rsidRDefault="00AC499C" w:rsidP="003574A5">
      <w:pPr>
        <w:ind w:firstLine="708"/>
      </w:pPr>
      <w:r w:rsidRPr="0079291D">
        <w:lastRenderedPageBreak/>
        <w:t xml:space="preserve">Залучення державних та приватних інвестицій, співпраця з науковими установами та вищими навчальними закладами можуть значно підсилити успішність реалізації </w:t>
      </w:r>
      <w:proofErr w:type="spellStart"/>
      <w:r w:rsidRPr="0079291D">
        <w:t>про</w:t>
      </w:r>
      <w:r w:rsidR="005E2874">
        <w:t>є</w:t>
      </w:r>
      <w:r w:rsidRPr="0079291D">
        <w:t>кту</w:t>
      </w:r>
      <w:proofErr w:type="spellEnd"/>
      <w:r w:rsidRPr="0079291D">
        <w:t>. Для успішного функціонування кластера важливо створити сприятливу бізнес-середу, сприяти інноваціям, а також забезпечити підтримку малих та середніх аграрних підприємств.</w:t>
      </w:r>
      <w:r>
        <w:t xml:space="preserve"> </w:t>
      </w:r>
      <w:r w:rsidRPr="0079291D">
        <w:t xml:space="preserve">Цей кластер може стати ключовим фактором у відновленні сільськогосподарського сектору Луганської області після </w:t>
      </w:r>
      <w:proofErr w:type="spellStart"/>
      <w:r w:rsidRPr="0079291D">
        <w:t>деокупації</w:t>
      </w:r>
      <w:proofErr w:type="spellEnd"/>
      <w:r w:rsidR="00EE16EE">
        <w:t xml:space="preserve"> її території</w:t>
      </w:r>
      <w:r w:rsidRPr="0079291D">
        <w:t>, сприяючи стійкому економічному зростанню та покращенню якості життя місцевого населення.</w:t>
      </w:r>
    </w:p>
    <w:p w:rsidR="005E2874" w:rsidRDefault="005E2874" w:rsidP="00AC499C">
      <w:pPr>
        <w:rPr>
          <w:b/>
          <w:bCs/>
          <w:color w:val="244061" w:themeColor="accent1" w:themeShade="80"/>
        </w:rPr>
      </w:pPr>
    </w:p>
    <w:p w:rsidR="005E2874" w:rsidRDefault="005E2874" w:rsidP="00AC499C">
      <w:pPr>
        <w:rPr>
          <w:b/>
          <w:bCs/>
          <w:color w:val="244061" w:themeColor="accent1" w:themeShade="80"/>
        </w:rPr>
      </w:pPr>
    </w:p>
    <w:p w:rsidR="00AC499C" w:rsidRPr="009E7F5B" w:rsidRDefault="00AC499C" w:rsidP="00AC499C">
      <w:pPr>
        <w:rPr>
          <w:b/>
          <w:bCs/>
          <w:color w:val="244061" w:themeColor="accent1" w:themeShade="80"/>
        </w:rPr>
      </w:pPr>
      <w:r w:rsidRPr="009E7F5B">
        <w:rPr>
          <w:b/>
          <w:bCs/>
          <w:color w:val="244061" w:themeColor="accent1" w:themeShade="80"/>
        </w:rPr>
        <w:t>Можливі варіанти відновлення логістичного потенціалу</w:t>
      </w:r>
      <w:r w:rsidR="009E7F5B">
        <w:rPr>
          <w:b/>
          <w:bCs/>
          <w:color w:val="244061" w:themeColor="accent1" w:themeShade="80"/>
        </w:rPr>
        <w:t>.</w:t>
      </w:r>
    </w:p>
    <w:p w:rsidR="00AC499C" w:rsidRDefault="00AC499C" w:rsidP="00AC499C">
      <w:pPr>
        <w:rPr>
          <w:color w:val="244061" w:themeColor="accent1" w:themeShade="80"/>
        </w:rPr>
      </w:pPr>
    </w:p>
    <w:p w:rsidR="00AC499C" w:rsidRPr="00E95FB1" w:rsidRDefault="00AC499C" w:rsidP="00AC499C">
      <w:pPr>
        <w:ind w:firstLine="708"/>
      </w:pPr>
      <w:r w:rsidRPr="00E95FB1">
        <w:t xml:space="preserve">Основними логістичними шляхами для підприємств регіону є залізниця та автошляхи. Залізниця є неелектрифікованою. Залізниця сполучає міста Лисичанськ, Рубіжне з Харківською та Донецькою областями. Місто Сєвєродонецьк не має свого залізничного вокзалу, але є </w:t>
      </w:r>
      <w:r>
        <w:t>гілка</w:t>
      </w:r>
      <w:r w:rsidRPr="00E95FB1">
        <w:t xml:space="preserve">, що сполучає ПрАТ «Сєвєродонецьке об’єднання «АЗОТ»» зі станцією «Рубіжне». Ця </w:t>
      </w:r>
      <w:r>
        <w:t>гілка</w:t>
      </w:r>
      <w:r w:rsidRPr="00E95FB1">
        <w:t xml:space="preserve"> в напрямку м. Сєвєродонецьк є </w:t>
      </w:r>
      <w:r w:rsidR="0019583A">
        <w:t>«</w:t>
      </w:r>
      <w:r w:rsidRPr="00E95FB1">
        <w:t>тупиковою</w:t>
      </w:r>
      <w:r w:rsidR="0019583A">
        <w:t>»</w:t>
      </w:r>
      <w:r w:rsidRPr="00E95FB1">
        <w:t xml:space="preserve">. Отже, доцільно було б </w:t>
      </w:r>
      <w:r>
        <w:t>подовжити</w:t>
      </w:r>
      <w:r w:rsidRPr="00E95FB1">
        <w:t xml:space="preserve"> </w:t>
      </w:r>
      <w:r>
        <w:t>гілку</w:t>
      </w:r>
      <w:r w:rsidRPr="00E95FB1">
        <w:t xml:space="preserve"> залізничного сполучення </w:t>
      </w:r>
      <w:r>
        <w:t xml:space="preserve">та поєднати її </w:t>
      </w:r>
      <w:r w:rsidRPr="00E95FB1">
        <w:t>зі станцією «Новоайдар» або «Старобільськ». Крім того, електрифікація залізниці дозволить суттєво скоротити транспортні витрати та збільшити швидкість руху вантажів, що в кінцевому рахунку позитивно вплине на економіку регіону.</w:t>
      </w:r>
    </w:p>
    <w:p w:rsidR="00AC499C" w:rsidRDefault="00AC499C" w:rsidP="00AC499C">
      <w:pPr>
        <w:ind w:firstLine="708"/>
      </w:pPr>
    </w:p>
    <w:p w:rsidR="00AC499C" w:rsidRPr="00E95FB1" w:rsidRDefault="00AC499C" w:rsidP="00AC499C">
      <w:pPr>
        <w:ind w:firstLine="708"/>
      </w:pPr>
      <w:r w:rsidRPr="00E95FB1">
        <w:t>Мережа автошляхів є розвиненою та знаходиться в задовільному стані. Придатна для руху великих автопоїздів та габаритного автотранспорту.</w:t>
      </w:r>
    </w:p>
    <w:p w:rsidR="00AC499C" w:rsidRDefault="00AC499C" w:rsidP="00AC499C">
      <w:pPr>
        <w:ind w:firstLine="708"/>
      </w:pPr>
    </w:p>
    <w:p w:rsidR="00AC499C" w:rsidRDefault="00AC499C" w:rsidP="00AC499C">
      <w:pPr>
        <w:ind w:firstLine="567"/>
      </w:pPr>
      <w:r>
        <w:t xml:space="preserve">В перспективі, після </w:t>
      </w:r>
      <w:proofErr w:type="spellStart"/>
      <w:r>
        <w:t>деокупації</w:t>
      </w:r>
      <w:proofErr w:type="spellEnd"/>
      <w:r>
        <w:t xml:space="preserve">, розгляд створення або відновлення діяльності аеропорту </w:t>
      </w:r>
      <w:r w:rsidR="008662C4">
        <w:t>«</w:t>
      </w:r>
      <w:r>
        <w:t>Сєвєродонецьк</w:t>
      </w:r>
      <w:r w:rsidR="008662C4">
        <w:t>»</w:t>
      </w:r>
      <w:r>
        <w:t xml:space="preserve"> в Сєвєродонецькій </w:t>
      </w:r>
      <w:r w:rsidR="00733ED4">
        <w:t xml:space="preserve">міській територіальній </w:t>
      </w:r>
      <w:r>
        <w:t xml:space="preserve">громаді може бути важливим кроком для розвитку та відновлення регіону. Аеропорт може стати ключовим об'єктом для покращення </w:t>
      </w:r>
      <w:proofErr w:type="spellStart"/>
      <w:r>
        <w:t>зв'язків</w:t>
      </w:r>
      <w:proofErr w:type="spellEnd"/>
      <w:r>
        <w:t>, залучення інвестицій та підвищення економічного потенціалу громади.</w:t>
      </w:r>
    </w:p>
    <w:p w:rsidR="00AC499C" w:rsidRDefault="00AC499C" w:rsidP="00AC499C">
      <w:pPr>
        <w:ind w:firstLine="567"/>
      </w:pPr>
    </w:p>
    <w:p w:rsidR="00AC499C" w:rsidRDefault="00AC499C" w:rsidP="00AC499C">
      <w:pPr>
        <w:ind w:firstLine="567"/>
      </w:pPr>
      <w:r>
        <w:t xml:space="preserve">Планування та реалізація </w:t>
      </w:r>
      <w:proofErr w:type="spellStart"/>
      <w:r>
        <w:t>про</w:t>
      </w:r>
      <w:r w:rsidR="009E7F5B">
        <w:t>є</w:t>
      </w:r>
      <w:r>
        <w:t>кту</w:t>
      </w:r>
      <w:proofErr w:type="spellEnd"/>
      <w:r>
        <w:t xml:space="preserve"> повинні враховувати різноманітні аспекти, включаючи фінансування, інфраструктурні зміни, вимоги безпеки та дотримання стандартів авіаційної індустрії. Також важливо забезпечити співпрацю з </w:t>
      </w:r>
      <w:r w:rsidR="0063424A">
        <w:t>органами виконавчої влади на всіх рівнях</w:t>
      </w:r>
      <w:r>
        <w:t xml:space="preserve">, експертами та громадськістю для забезпечення підтримки та успішної реалізації </w:t>
      </w:r>
      <w:proofErr w:type="spellStart"/>
      <w:r>
        <w:t>про</w:t>
      </w:r>
      <w:r w:rsidR="009E7F5B">
        <w:t>є</w:t>
      </w:r>
      <w:r>
        <w:t>кту</w:t>
      </w:r>
      <w:proofErr w:type="spellEnd"/>
      <w:r>
        <w:t>.</w:t>
      </w:r>
    </w:p>
    <w:p w:rsidR="00AC499C" w:rsidRDefault="00AC499C" w:rsidP="00AC499C">
      <w:pPr>
        <w:ind w:firstLine="567"/>
      </w:pPr>
    </w:p>
    <w:p w:rsidR="00AC499C" w:rsidRDefault="00AC499C" w:rsidP="00AC499C">
      <w:pPr>
        <w:ind w:firstLine="567"/>
      </w:pPr>
      <w:r>
        <w:t>Проте, перед тим</w:t>
      </w:r>
      <w:r w:rsidR="00CC563B">
        <w:t>,</w:t>
      </w:r>
      <w:r>
        <w:t xml:space="preserve"> як приймати рішення про створення або відновлення аеропорту, важливо провести детальну економічну та фінансову оцінку </w:t>
      </w:r>
      <w:proofErr w:type="spellStart"/>
      <w:r>
        <w:t>про</w:t>
      </w:r>
      <w:r w:rsidR="002D0D5B">
        <w:t>є</w:t>
      </w:r>
      <w:r>
        <w:t>кту</w:t>
      </w:r>
      <w:proofErr w:type="spellEnd"/>
      <w:r>
        <w:t xml:space="preserve">, зважити на всі ризики та можливості. Успіх такого </w:t>
      </w:r>
      <w:proofErr w:type="spellStart"/>
      <w:r>
        <w:t>про</w:t>
      </w:r>
      <w:r w:rsidR="002D0D5B">
        <w:t>є</w:t>
      </w:r>
      <w:r>
        <w:t>кту</w:t>
      </w:r>
      <w:proofErr w:type="spellEnd"/>
      <w:r>
        <w:t xml:space="preserve"> </w:t>
      </w:r>
      <w:proofErr w:type="spellStart"/>
      <w:r>
        <w:t>залеж</w:t>
      </w:r>
      <w:r w:rsidR="002D0D5B">
        <w:t>и</w:t>
      </w:r>
      <w:r>
        <w:t>тиме</w:t>
      </w:r>
      <w:proofErr w:type="spellEnd"/>
      <w:r>
        <w:t xml:space="preserve"> від ретельного планування, співпраці з експертами та підтримки з боку громадськості.</w:t>
      </w:r>
    </w:p>
    <w:p w:rsidR="00AC499C" w:rsidRDefault="00AC499C" w:rsidP="00AC499C">
      <w:pPr>
        <w:ind w:firstLine="567"/>
      </w:pPr>
    </w:p>
    <w:p w:rsidR="00AC499C" w:rsidRPr="002D0D5B" w:rsidRDefault="00AC499C" w:rsidP="00AC499C">
      <w:pPr>
        <w:ind w:firstLine="567"/>
        <w:rPr>
          <w:b/>
          <w:color w:val="244061" w:themeColor="accent1" w:themeShade="80"/>
        </w:rPr>
      </w:pPr>
      <w:r w:rsidRPr="002D0D5B">
        <w:rPr>
          <w:b/>
          <w:color w:val="244061" w:themeColor="accent1" w:themeShade="80"/>
        </w:rPr>
        <w:t>Розбудова системи комунального транспорту на основі електробусів</w:t>
      </w:r>
      <w:r w:rsidR="002D0D5B" w:rsidRPr="002D0D5B">
        <w:rPr>
          <w:b/>
          <w:color w:val="244061" w:themeColor="accent1" w:themeShade="80"/>
        </w:rPr>
        <w:t>.</w:t>
      </w:r>
    </w:p>
    <w:p w:rsidR="00AC499C" w:rsidRDefault="00AC499C" w:rsidP="00AC499C">
      <w:pPr>
        <w:ind w:firstLine="567"/>
      </w:pPr>
    </w:p>
    <w:p w:rsidR="00B64191" w:rsidRDefault="00AC499C" w:rsidP="00B64191">
      <w:pPr>
        <w:ind w:firstLine="567"/>
      </w:pPr>
      <w:r w:rsidRPr="00D23EB9">
        <w:t xml:space="preserve">Після </w:t>
      </w:r>
      <w:proofErr w:type="spellStart"/>
      <w:r w:rsidRPr="00D23EB9">
        <w:t>деокупації</w:t>
      </w:r>
      <w:proofErr w:type="spellEnd"/>
      <w:r w:rsidRPr="00D23EB9">
        <w:t xml:space="preserve"> </w:t>
      </w:r>
      <w:r w:rsidR="00CA7B98">
        <w:t>території</w:t>
      </w:r>
      <w:r w:rsidR="00CA7B98" w:rsidRPr="00D23EB9">
        <w:t xml:space="preserve"> </w:t>
      </w:r>
      <w:r w:rsidRPr="00D23EB9">
        <w:t xml:space="preserve">міста та в процесі </w:t>
      </w:r>
      <w:r w:rsidR="002D0D5B">
        <w:t xml:space="preserve">його </w:t>
      </w:r>
      <w:r w:rsidRPr="00D23EB9">
        <w:t xml:space="preserve">відбудови концепція розбудови системи комунального транспорту на основі електробусів набуває ще більшої важливості як частина сталого розвитку та відновлення інфраструктури. </w:t>
      </w:r>
      <w:r w:rsidR="00B64191">
        <w:t>Адже, відновлення існуючої до 24.02.2022</w:t>
      </w:r>
      <w:r w:rsidR="00623647" w:rsidRPr="00623647">
        <w:t>р.</w:t>
      </w:r>
      <w:r w:rsidR="00B64191">
        <w:t xml:space="preserve"> мережі громадського транспорту – тролейбусів є нераціональною та неефективною: </w:t>
      </w:r>
      <w:proofErr w:type="spellStart"/>
      <w:r w:rsidR="00B64191">
        <w:t>дороговартісне</w:t>
      </w:r>
      <w:proofErr w:type="spellEnd"/>
      <w:r w:rsidR="00B64191">
        <w:t xml:space="preserve"> відновлення електричних тролейбусних мереж, опор цих мереж, закупка тролейбусів (пошкоджені та знищені під час активних </w:t>
      </w:r>
      <w:proofErr w:type="spellStart"/>
      <w:r w:rsidR="00B64191">
        <w:t>боєйових</w:t>
      </w:r>
      <w:proofErr w:type="spellEnd"/>
      <w:r w:rsidR="00B64191">
        <w:t xml:space="preserve"> дій на території нашої громади) тощо. Проте, потреба в існуванні громадського транспорту є необхідною, враховуючи протяжність  м. Сєвєродонецьк, необхідність в задоволенні потреб громадян в комфортному пересуванні по місту, а також розгляду питання транспортного з’єднання з населеними пунктами всієї Сєвєродонецької міської територіальної громади.</w:t>
      </w:r>
    </w:p>
    <w:p w:rsidR="00AC499C" w:rsidRPr="00D23EB9" w:rsidRDefault="00B64191" w:rsidP="00B64191">
      <w:pPr>
        <w:ind w:firstLine="567"/>
      </w:pPr>
      <w:r>
        <w:t>Запропонована</w:t>
      </w:r>
      <w:r w:rsidRPr="00D23EB9">
        <w:t xml:space="preserve"> </w:t>
      </w:r>
      <w:r w:rsidR="00AC499C" w:rsidRPr="00D23EB9">
        <w:t>концепція спрямована на створення сучасної та екологічно чистої системи громадського транспорту, яка задовольнятиме потреби місцевого населення та сприятиме відновленню економічного та соціального становища міста.</w:t>
      </w:r>
    </w:p>
    <w:p w:rsidR="00AC499C" w:rsidRPr="00D23EB9" w:rsidRDefault="00AC499C" w:rsidP="00AC499C">
      <w:pPr>
        <w:ind w:firstLine="567"/>
      </w:pPr>
    </w:p>
    <w:p w:rsidR="00AC499C" w:rsidRPr="00D23EB9" w:rsidRDefault="00AC499C" w:rsidP="00AC499C">
      <w:pPr>
        <w:ind w:firstLine="567"/>
      </w:pPr>
      <w:r w:rsidRPr="00D23EB9">
        <w:t xml:space="preserve">Основні </w:t>
      </w:r>
      <w:r w:rsidR="002D0D5B">
        <w:t>к</w:t>
      </w:r>
      <w:r w:rsidRPr="00D23EB9">
        <w:t xml:space="preserve">роки та </w:t>
      </w:r>
      <w:r w:rsidR="002D0D5B">
        <w:t>п</w:t>
      </w:r>
      <w:r w:rsidRPr="00D23EB9">
        <w:t>ринципи:</w:t>
      </w:r>
    </w:p>
    <w:p w:rsidR="00AC499C" w:rsidRPr="00D23EB9" w:rsidRDefault="00AC499C" w:rsidP="00AC499C">
      <w:pPr>
        <w:ind w:firstLine="567"/>
      </w:pPr>
      <w:r w:rsidRPr="00D23EB9">
        <w:rPr>
          <w:b/>
          <w:bCs/>
          <w:u w:val="single"/>
        </w:rPr>
        <w:t xml:space="preserve">Оцінка </w:t>
      </w:r>
      <w:r w:rsidR="002D0D5B">
        <w:rPr>
          <w:b/>
          <w:bCs/>
          <w:u w:val="single"/>
        </w:rPr>
        <w:t>с</w:t>
      </w:r>
      <w:r w:rsidRPr="00D23EB9">
        <w:rPr>
          <w:b/>
          <w:bCs/>
          <w:u w:val="single"/>
        </w:rPr>
        <w:t xml:space="preserve">тану </w:t>
      </w:r>
      <w:r w:rsidR="002D0D5B">
        <w:rPr>
          <w:b/>
          <w:bCs/>
          <w:u w:val="single"/>
        </w:rPr>
        <w:t>т</w:t>
      </w:r>
      <w:r w:rsidRPr="00D23EB9">
        <w:rPr>
          <w:b/>
          <w:bCs/>
          <w:u w:val="single"/>
        </w:rPr>
        <w:t xml:space="preserve">ранспортної </w:t>
      </w:r>
      <w:r w:rsidR="002D0D5B">
        <w:rPr>
          <w:b/>
          <w:bCs/>
          <w:u w:val="single"/>
        </w:rPr>
        <w:t>і</w:t>
      </w:r>
      <w:r w:rsidRPr="00D23EB9">
        <w:rPr>
          <w:b/>
          <w:bCs/>
          <w:u w:val="single"/>
        </w:rPr>
        <w:t>нфраструктури</w:t>
      </w:r>
      <w:r w:rsidR="002D0D5B">
        <w:t>.</w:t>
      </w:r>
      <w:r w:rsidR="008B2CE2">
        <w:rPr>
          <w:lang w:val="ru-RU"/>
        </w:rPr>
        <w:t xml:space="preserve"> </w:t>
      </w:r>
      <w:r w:rsidRPr="00D23EB9">
        <w:t>Провести оцінку потреб та можливостей для впровадження електробусів, визначити оптимальні маршрути та місця розташування зарядних станцій.</w:t>
      </w:r>
    </w:p>
    <w:p w:rsidR="00AC499C" w:rsidRPr="00D23EB9" w:rsidRDefault="00AC499C" w:rsidP="00AC499C">
      <w:pPr>
        <w:ind w:firstLine="567"/>
      </w:pPr>
      <w:r w:rsidRPr="00D23EB9">
        <w:rPr>
          <w:b/>
          <w:bCs/>
          <w:u w:val="single"/>
        </w:rPr>
        <w:t xml:space="preserve">Співпраця з </w:t>
      </w:r>
      <w:r w:rsidR="002D0D5B">
        <w:rPr>
          <w:b/>
          <w:bCs/>
          <w:u w:val="single"/>
        </w:rPr>
        <w:t>і</w:t>
      </w:r>
      <w:r w:rsidRPr="00D23EB9">
        <w:rPr>
          <w:b/>
          <w:bCs/>
          <w:u w:val="single"/>
        </w:rPr>
        <w:t>нвесторами</w:t>
      </w:r>
      <w:r w:rsidR="002D0D5B">
        <w:rPr>
          <w:b/>
          <w:bCs/>
          <w:u w:val="single"/>
        </w:rPr>
        <w:t>.</w:t>
      </w:r>
      <w:r w:rsidRPr="00D23EB9">
        <w:t xml:space="preserve"> Залучити інвесторів та партнерів для фінансування та підтримки </w:t>
      </w:r>
      <w:proofErr w:type="spellStart"/>
      <w:r w:rsidRPr="00D23EB9">
        <w:t>про</w:t>
      </w:r>
      <w:r w:rsidR="002D0D5B">
        <w:t>є</w:t>
      </w:r>
      <w:r w:rsidRPr="00D23EB9">
        <w:t>кту</w:t>
      </w:r>
      <w:proofErr w:type="spellEnd"/>
      <w:r w:rsidRPr="00D23EB9">
        <w:t>, включаючи придбання електробусів та зарядних станцій.</w:t>
      </w:r>
    </w:p>
    <w:p w:rsidR="00AC499C" w:rsidRPr="00D23EB9" w:rsidRDefault="00AC499C" w:rsidP="00AC499C">
      <w:pPr>
        <w:ind w:firstLine="567"/>
      </w:pPr>
      <w:r w:rsidRPr="00D23EB9">
        <w:rPr>
          <w:b/>
          <w:bCs/>
          <w:u w:val="single"/>
        </w:rPr>
        <w:t xml:space="preserve">Закупівля </w:t>
      </w:r>
      <w:r w:rsidR="002D0D5B">
        <w:rPr>
          <w:b/>
          <w:bCs/>
          <w:u w:val="single"/>
        </w:rPr>
        <w:t>т</w:t>
      </w:r>
      <w:r w:rsidRPr="00D23EB9">
        <w:rPr>
          <w:b/>
          <w:bCs/>
          <w:u w:val="single"/>
        </w:rPr>
        <w:t>ехніки</w:t>
      </w:r>
      <w:r w:rsidR="002D0D5B">
        <w:rPr>
          <w:b/>
          <w:bCs/>
          <w:u w:val="single"/>
        </w:rPr>
        <w:t>.</w:t>
      </w:r>
      <w:r w:rsidRPr="00D23EB9">
        <w:t xml:space="preserve"> Закупити сучасні електробуси з урахуванням потреб та вимог міста, включаючи розумне планування кількості одиниць.</w:t>
      </w:r>
    </w:p>
    <w:p w:rsidR="00AC499C" w:rsidRPr="00D23EB9" w:rsidRDefault="00AC499C" w:rsidP="00AC499C">
      <w:pPr>
        <w:ind w:firstLine="567"/>
      </w:pPr>
      <w:r w:rsidRPr="00D23EB9">
        <w:rPr>
          <w:b/>
          <w:bCs/>
          <w:u w:val="single"/>
        </w:rPr>
        <w:t xml:space="preserve">Будівництво </w:t>
      </w:r>
      <w:r w:rsidR="002D0D5B">
        <w:rPr>
          <w:b/>
          <w:bCs/>
          <w:u w:val="single"/>
        </w:rPr>
        <w:t>і</w:t>
      </w:r>
      <w:r w:rsidRPr="00D23EB9">
        <w:rPr>
          <w:b/>
          <w:bCs/>
          <w:u w:val="single"/>
        </w:rPr>
        <w:t>нфраструктури</w:t>
      </w:r>
      <w:r w:rsidR="002D0D5B">
        <w:rPr>
          <w:b/>
          <w:bCs/>
          <w:u w:val="single"/>
        </w:rPr>
        <w:t>.</w:t>
      </w:r>
      <w:r w:rsidRPr="00D23EB9">
        <w:t xml:space="preserve"> Почати будівництво зарядних станцій та інфраструктури, необхідної для підтримки роботи електробусів.</w:t>
      </w:r>
    </w:p>
    <w:p w:rsidR="00AC499C" w:rsidRPr="00D23EB9" w:rsidRDefault="00AC499C" w:rsidP="00AC499C">
      <w:pPr>
        <w:ind w:firstLine="567"/>
      </w:pPr>
      <w:r w:rsidRPr="00D23EB9">
        <w:rPr>
          <w:b/>
          <w:bCs/>
          <w:u w:val="single"/>
        </w:rPr>
        <w:t xml:space="preserve">Технічне </w:t>
      </w:r>
      <w:r w:rsidR="002D0D5B">
        <w:rPr>
          <w:b/>
          <w:bCs/>
          <w:u w:val="single"/>
        </w:rPr>
        <w:t>о</w:t>
      </w:r>
      <w:r w:rsidRPr="00D23EB9">
        <w:rPr>
          <w:b/>
          <w:bCs/>
          <w:u w:val="single"/>
        </w:rPr>
        <w:t>бслуговування</w:t>
      </w:r>
      <w:r w:rsidR="002D0D5B">
        <w:rPr>
          <w:b/>
          <w:bCs/>
          <w:u w:val="single"/>
        </w:rPr>
        <w:t>.</w:t>
      </w:r>
      <w:r w:rsidRPr="00D23EB9">
        <w:t xml:space="preserve"> Розробити план технічного обслуговування та ремонту електробусів для забезпечення їх надійності та тривалого функціонування.</w:t>
      </w:r>
    </w:p>
    <w:p w:rsidR="00AC499C" w:rsidRPr="00D23EB9" w:rsidRDefault="00AC499C" w:rsidP="00AC499C">
      <w:pPr>
        <w:ind w:firstLine="567"/>
      </w:pPr>
      <w:r w:rsidRPr="00D23EB9">
        <w:rPr>
          <w:b/>
          <w:bCs/>
          <w:u w:val="single"/>
        </w:rPr>
        <w:t xml:space="preserve">Освіта та </w:t>
      </w:r>
      <w:r w:rsidR="002D0D5B">
        <w:rPr>
          <w:b/>
          <w:bCs/>
          <w:u w:val="single"/>
        </w:rPr>
        <w:t>с</w:t>
      </w:r>
      <w:r w:rsidRPr="00D23EB9">
        <w:rPr>
          <w:b/>
          <w:bCs/>
          <w:u w:val="single"/>
        </w:rPr>
        <w:t>відомість</w:t>
      </w:r>
      <w:r w:rsidR="002D0D5B">
        <w:rPr>
          <w:b/>
          <w:bCs/>
          <w:u w:val="single"/>
        </w:rPr>
        <w:t>.</w:t>
      </w:r>
      <w:r w:rsidRPr="00D23EB9">
        <w:t xml:space="preserve"> Організувати інформаційні кампанії серед населення щодо переваг електротранспорту та екологічних переваг.</w:t>
      </w:r>
    </w:p>
    <w:p w:rsidR="00AC499C" w:rsidRPr="00D23EB9" w:rsidRDefault="00AC499C" w:rsidP="00AC499C">
      <w:pPr>
        <w:ind w:firstLine="567"/>
      </w:pPr>
      <w:r w:rsidRPr="00D23EB9">
        <w:rPr>
          <w:b/>
          <w:bCs/>
          <w:u w:val="single"/>
        </w:rPr>
        <w:t xml:space="preserve">Впровадження </w:t>
      </w:r>
      <w:r w:rsidR="002D0D5B">
        <w:rPr>
          <w:b/>
          <w:bCs/>
          <w:u w:val="single"/>
        </w:rPr>
        <w:t>з</w:t>
      </w:r>
      <w:r w:rsidRPr="00D23EB9">
        <w:rPr>
          <w:b/>
          <w:bCs/>
          <w:u w:val="single"/>
        </w:rPr>
        <w:t xml:space="preserve">елених </w:t>
      </w:r>
      <w:r w:rsidR="002D0D5B">
        <w:rPr>
          <w:b/>
          <w:bCs/>
          <w:u w:val="single"/>
        </w:rPr>
        <w:t>т</w:t>
      </w:r>
      <w:r w:rsidRPr="00D23EB9">
        <w:rPr>
          <w:b/>
          <w:bCs/>
          <w:u w:val="single"/>
        </w:rPr>
        <w:t>ехнологій</w:t>
      </w:r>
      <w:r w:rsidR="002D0D5B">
        <w:rPr>
          <w:b/>
          <w:bCs/>
          <w:u w:val="single"/>
        </w:rPr>
        <w:t>.</w:t>
      </w:r>
      <w:r w:rsidRPr="00D23EB9">
        <w:t xml:space="preserve"> Врахувати можливості впровадження відновлювальних джерел енергії для живлення зарядних станцій та енергоспоживання електробусів.</w:t>
      </w:r>
    </w:p>
    <w:p w:rsidR="00AC499C" w:rsidRPr="00D23EB9" w:rsidRDefault="00AC499C" w:rsidP="00AC499C">
      <w:pPr>
        <w:ind w:firstLine="567"/>
      </w:pPr>
      <w:r w:rsidRPr="00D23EB9">
        <w:rPr>
          <w:b/>
          <w:bCs/>
          <w:u w:val="single"/>
        </w:rPr>
        <w:t xml:space="preserve">Моніторинг та </w:t>
      </w:r>
      <w:r w:rsidR="006E3AB1">
        <w:rPr>
          <w:b/>
          <w:bCs/>
          <w:u w:val="single"/>
          <w:lang w:val="ru-RU"/>
        </w:rPr>
        <w:t>о</w:t>
      </w:r>
      <w:proofErr w:type="spellStart"/>
      <w:r w:rsidRPr="00D23EB9">
        <w:rPr>
          <w:b/>
          <w:bCs/>
          <w:u w:val="single"/>
        </w:rPr>
        <w:t>цінка</w:t>
      </w:r>
      <w:proofErr w:type="spellEnd"/>
      <w:r w:rsidRPr="00D23EB9">
        <w:t>: Встановити систему моніторингу для оцінки ефективності та впливу електробусів на довкілля.</w:t>
      </w:r>
    </w:p>
    <w:p w:rsidR="00AC499C" w:rsidRPr="00D23EB9" w:rsidRDefault="00AC499C" w:rsidP="00AC499C">
      <w:pPr>
        <w:ind w:firstLine="567"/>
      </w:pPr>
      <w:proofErr w:type="spellStart"/>
      <w:r w:rsidRPr="00D23EB9">
        <w:rPr>
          <w:b/>
          <w:bCs/>
          <w:u w:val="single"/>
        </w:rPr>
        <w:lastRenderedPageBreak/>
        <w:t>Інклюзивність</w:t>
      </w:r>
      <w:proofErr w:type="spellEnd"/>
      <w:r w:rsidRPr="00D23EB9">
        <w:rPr>
          <w:b/>
          <w:bCs/>
          <w:u w:val="single"/>
        </w:rPr>
        <w:t xml:space="preserve"> та </w:t>
      </w:r>
      <w:r w:rsidR="002D0D5B">
        <w:rPr>
          <w:b/>
          <w:bCs/>
          <w:u w:val="single"/>
        </w:rPr>
        <w:t>д</w:t>
      </w:r>
      <w:r w:rsidRPr="00D23EB9">
        <w:rPr>
          <w:b/>
          <w:bCs/>
          <w:u w:val="single"/>
        </w:rPr>
        <w:t>оступність</w:t>
      </w:r>
      <w:r w:rsidR="002D0D5B">
        <w:rPr>
          <w:b/>
          <w:bCs/>
          <w:u w:val="single"/>
        </w:rPr>
        <w:t>.</w:t>
      </w:r>
      <w:r w:rsidRPr="00D23EB9">
        <w:t xml:space="preserve"> Забезпечити інклюзивний підхід до розбудови системи комунального транспорту, зокрема електробусів, з урахуванням потреб людей з інвалідністю та маломобільних груп населення.</w:t>
      </w:r>
    </w:p>
    <w:p w:rsidR="00AC499C" w:rsidRPr="00D23EB9" w:rsidRDefault="00AC499C" w:rsidP="00AC499C">
      <w:pPr>
        <w:ind w:firstLine="567"/>
      </w:pPr>
    </w:p>
    <w:p w:rsidR="00AC499C" w:rsidRPr="00D23EB9" w:rsidRDefault="00AC499C" w:rsidP="00AC499C">
      <w:pPr>
        <w:ind w:firstLine="567"/>
      </w:pPr>
      <w:r w:rsidRPr="00D23EB9">
        <w:t xml:space="preserve">Ця концепція створення системи комунального транспорту на основі електробусів після </w:t>
      </w:r>
      <w:proofErr w:type="spellStart"/>
      <w:r w:rsidRPr="00D23EB9">
        <w:t>деокупації</w:t>
      </w:r>
      <w:proofErr w:type="spellEnd"/>
      <w:r w:rsidRPr="00D23EB9">
        <w:t xml:space="preserve"> </w:t>
      </w:r>
      <w:r w:rsidR="006052BA">
        <w:t xml:space="preserve">території </w:t>
      </w:r>
      <w:r w:rsidRPr="00D23EB9">
        <w:t xml:space="preserve">міста буде сприяти відновленню міської інфраструктури, покращенню якості повітря, зниженню викидів вуглецевого діоксиду та інших забруднюючих речовин, а також створенню зручного та екологічно чистого транспортного сервісу для громадян, враховуючи потреби та доступність для всіх </w:t>
      </w:r>
      <w:r w:rsidR="00C17C7F">
        <w:t>прошарків</w:t>
      </w:r>
      <w:r w:rsidRPr="00D23EB9">
        <w:t xml:space="preserve"> населення.</w:t>
      </w:r>
    </w:p>
    <w:p w:rsidR="00AC499C" w:rsidRDefault="00AC499C" w:rsidP="00AC499C">
      <w:pPr>
        <w:ind w:firstLine="567"/>
      </w:pPr>
    </w:p>
    <w:p w:rsidR="00AC499C" w:rsidRDefault="00AC499C" w:rsidP="00AC499C">
      <w:pPr>
        <w:ind w:firstLine="567"/>
      </w:pPr>
      <w:r w:rsidRPr="00E95FB1">
        <w:t>Для швидкого вирішення проблеми перевезення пасажирів планується придбання електробусів із запасом ходу від 200 км</w:t>
      </w:r>
      <w:r>
        <w:t xml:space="preserve">. </w:t>
      </w:r>
      <w:r w:rsidRPr="00E95FB1">
        <w:t xml:space="preserve">Електробуси - екологічний транспорт (без вихлопних газів та шуму). Вони мають можливість будь-якого міського маршруту (немає прив’язки до колії та мережі). Також це найкращий соціальний транспорт для усіх верств населення, у </w:t>
      </w:r>
      <w:proofErr w:type="spellStart"/>
      <w:r w:rsidRPr="00E95FB1">
        <w:t>т.ч</w:t>
      </w:r>
      <w:proofErr w:type="spellEnd"/>
      <w:r w:rsidRPr="00E95FB1">
        <w:t xml:space="preserve">. і вразливих категорій (низька підлога, кондиціонер, спеціально обладнані місця, електричні розсувні двері </w:t>
      </w:r>
      <w:r w:rsidR="006052BA">
        <w:t>подібно</w:t>
      </w:r>
      <w:r w:rsidRPr="00E95FB1">
        <w:t xml:space="preserve"> метро).</w:t>
      </w:r>
    </w:p>
    <w:p w:rsidR="00AC499C" w:rsidRDefault="00AC499C" w:rsidP="00AC499C">
      <w:pPr>
        <w:ind w:firstLine="567"/>
      </w:pPr>
    </w:p>
    <w:p w:rsidR="0079336A" w:rsidRDefault="0079336A" w:rsidP="00AC499C">
      <w:pPr>
        <w:ind w:firstLine="567"/>
      </w:pPr>
    </w:p>
    <w:p w:rsidR="00AC499C" w:rsidRPr="0079336A" w:rsidRDefault="00AC499C" w:rsidP="00AC499C">
      <w:pPr>
        <w:ind w:firstLine="567"/>
        <w:rPr>
          <w:b/>
          <w:color w:val="002060"/>
        </w:rPr>
      </w:pPr>
      <w:r w:rsidRPr="0079336A">
        <w:rPr>
          <w:b/>
          <w:color w:val="002060"/>
        </w:rPr>
        <w:t xml:space="preserve">Ефективна система транспортного сполучення </w:t>
      </w:r>
      <w:r w:rsidR="0079336A">
        <w:rPr>
          <w:b/>
          <w:color w:val="002060"/>
        </w:rPr>
        <w:t>між населеними пунктами громади.</w:t>
      </w:r>
    </w:p>
    <w:p w:rsidR="00AC499C" w:rsidRDefault="00AC499C" w:rsidP="00AC499C">
      <w:pPr>
        <w:ind w:firstLine="567"/>
      </w:pPr>
    </w:p>
    <w:p w:rsidR="00AC499C" w:rsidRDefault="00AC499C" w:rsidP="00AC499C">
      <w:pPr>
        <w:ind w:firstLine="567"/>
      </w:pPr>
      <w:r>
        <w:t xml:space="preserve">Після </w:t>
      </w:r>
      <w:proofErr w:type="spellStart"/>
      <w:r>
        <w:t>деокупації</w:t>
      </w:r>
      <w:proofErr w:type="spellEnd"/>
      <w:r>
        <w:t xml:space="preserve"> </w:t>
      </w:r>
      <w:r w:rsidR="006052BA">
        <w:t xml:space="preserve">території </w:t>
      </w:r>
      <w:r>
        <w:t xml:space="preserve">громади важливо налагодити ефективну систему транспортного сполучення між </w:t>
      </w:r>
      <w:proofErr w:type="spellStart"/>
      <w:r w:rsidR="00280734">
        <w:t>м.</w:t>
      </w:r>
      <w:r>
        <w:t>Сєвєродонецьком</w:t>
      </w:r>
      <w:proofErr w:type="spellEnd"/>
      <w:r>
        <w:t xml:space="preserve"> та розташованими віддаленими селами та селищами. Це вигідно для забезпечення зв'язку, розвитку економіки та поліпшення якості життя мешканців.</w:t>
      </w:r>
    </w:p>
    <w:p w:rsidR="00AC499C" w:rsidRDefault="00AC499C" w:rsidP="00AC499C">
      <w:pPr>
        <w:ind w:firstLine="567"/>
      </w:pPr>
    </w:p>
    <w:p w:rsidR="00AC499C" w:rsidRDefault="00AC499C" w:rsidP="00AC499C">
      <w:pPr>
        <w:ind w:firstLine="567"/>
      </w:pPr>
      <w:r>
        <w:t>При цьому важливо планувати оптимальні маршрути автобусів, забезпечувати регулярний розклад та ділянки обслуговування, а також створити механізми для забезпечення доступності для всіх верств населення.</w:t>
      </w:r>
    </w:p>
    <w:p w:rsidR="00AC499C" w:rsidRDefault="00AC499C" w:rsidP="00AC499C">
      <w:pPr>
        <w:ind w:firstLine="567"/>
      </w:pPr>
    </w:p>
    <w:p w:rsidR="00AC499C" w:rsidRDefault="00AC499C" w:rsidP="00AC499C">
      <w:pPr>
        <w:ind w:firstLine="567"/>
      </w:pPr>
      <w:r>
        <w:t>Розширення та вдосконалення дорожньої інфраструктури є також важливою частиною плану розвитку. Гуманітарне розмінування, покращення якості доріг, включаючи віддалені маршрути, допоможе підвищити ефективність руху, зменшити час подорожі та покращити зв'язок між населеними пунктами.</w:t>
      </w:r>
    </w:p>
    <w:p w:rsidR="00AC499C" w:rsidRDefault="00AC499C" w:rsidP="00AC499C">
      <w:pPr>
        <w:ind w:firstLine="567"/>
      </w:pPr>
    </w:p>
    <w:p w:rsidR="00AC499C" w:rsidRDefault="00AC499C" w:rsidP="00AC499C">
      <w:pPr>
        <w:ind w:firstLine="567"/>
      </w:pPr>
      <w:r>
        <w:t>Заохочення використання велосипедних маршрутів позитивно вплине на здоров'я мешканців і допоможе зменшити навантаження на транспортну систему. Створення відповідної інфраструктури для такого типу переміщення може підвищити рівень комфорту та безпеки.</w:t>
      </w:r>
    </w:p>
    <w:p w:rsidR="00AC499C" w:rsidRDefault="00AC499C" w:rsidP="00AC499C">
      <w:pPr>
        <w:ind w:firstLine="567"/>
      </w:pPr>
    </w:p>
    <w:p w:rsidR="00AC499C" w:rsidRDefault="00AC499C" w:rsidP="00AC499C">
      <w:pPr>
        <w:ind w:firstLine="567"/>
      </w:pPr>
      <w:r>
        <w:lastRenderedPageBreak/>
        <w:t>Успішне відновлення транспортного сполучення також вимагає ретельного планування та координації. Варто враховувати різноманітні потреби населення, зокрема</w:t>
      </w:r>
      <w:r w:rsidR="00FA0109">
        <w:t>,</w:t>
      </w:r>
      <w:r>
        <w:t xml:space="preserve"> враховуючи специфіку сільських районів. Важливо забезпечити доступ до освіти, медичних закладів та інших важливих сервісів для всіх мешканців громади.</w:t>
      </w:r>
    </w:p>
    <w:p w:rsidR="00AC499C" w:rsidRDefault="00AC499C" w:rsidP="00AC499C">
      <w:pPr>
        <w:ind w:firstLine="567"/>
      </w:pPr>
    </w:p>
    <w:p w:rsidR="00AC499C" w:rsidRDefault="00AC499C" w:rsidP="00AC499C">
      <w:pPr>
        <w:ind w:firstLine="567"/>
      </w:pPr>
      <w:r>
        <w:t xml:space="preserve">Загалом, відновлення системи транспортного сполучення є необхідною складовою для сталого розвитку та відновлення після </w:t>
      </w:r>
      <w:proofErr w:type="spellStart"/>
      <w:r>
        <w:t>деокупації</w:t>
      </w:r>
      <w:proofErr w:type="spellEnd"/>
      <w:r w:rsidR="007325A5">
        <w:t xml:space="preserve"> території Сєвєродонецької міської територіальної громади</w:t>
      </w:r>
      <w:r>
        <w:t>. Це вимагає співпраці між громадськістю, владою та експертами для створення ефективної, зручної та доступної транспортної інфраструктури, яка відповідатиме потребам всіх верств населення.</w:t>
      </w:r>
    </w:p>
    <w:p w:rsidR="00AC499C" w:rsidRDefault="00AC499C" w:rsidP="00AC499C">
      <w:pPr>
        <w:rPr>
          <w:color w:val="244061" w:themeColor="accent1" w:themeShade="80"/>
        </w:rPr>
      </w:pPr>
    </w:p>
    <w:p w:rsidR="00AC499C" w:rsidRPr="000405E5" w:rsidRDefault="00AC499C" w:rsidP="00AC499C">
      <w:pPr>
        <w:rPr>
          <w:b/>
          <w:bCs/>
          <w:color w:val="244061" w:themeColor="accent1" w:themeShade="80"/>
        </w:rPr>
      </w:pPr>
      <w:r w:rsidRPr="000405E5">
        <w:rPr>
          <w:b/>
          <w:bCs/>
          <w:color w:val="244061" w:themeColor="accent1" w:themeShade="80"/>
        </w:rPr>
        <w:t xml:space="preserve">Благоустрій території Сєверодонецької </w:t>
      </w:r>
      <w:r w:rsidR="007720F9">
        <w:rPr>
          <w:b/>
          <w:bCs/>
          <w:color w:val="244061" w:themeColor="accent1" w:themeShade="80"/>
        </w:rPr>
        <w:t xml:space="preserve">міської територіальної </w:t>
      </w:r>
      <w:r w:rsidRPr="000405E5">
        <w:rPr>
          <w:b/>
          <w:bCs/>
          <w:color w:val="244061" w:themeColor="accent1" w:themeShade="80"/>
        </w:rPr>
        <w:t>громади</w:t>
      </w:r>
      <w:r w:rsidR="00FA0109">
        <w:rPr>
          <w:b/>
          <w:bCs/>
          <w:color w:val="244061" w:themeColor="accent1" w:themeShade="80"/>
        </w:rPr>
        <w:t>.</w:t>
      </w:r>
    </w:p>
    <w:p w:rsidR="00AC499C" w:rsidRPr="000405E5" w:rsidRDefault="00AC499C" w:rsidP="00AC499C">
      <w:pPr>
        <w:ind w:firstLine="567"/>
        <w:rPr>
          <w:color w:val="244061" w:themeColor="accent1" w:themeShade="80"/>
        </w:rPr>
      </w:pPr>
    </w:p>
    <w:p w:rsidR="00AC499C" w:rsidRPr="00E95FB1" w:rsidRDefault="00AC499C" w:rsidP="00FA0109">
      <w:pPr>
        <w:ind w:firstLine="708"/>
      </w:pPr>
      <w:r w:rsidRPr="00E95FB1">
        <w:t xml:space="preserve">Після визволення </w:t>
      </w:r>
      <w:r w:rsidR="001A54A8">
        <w:t xml:space="preserve">міста </w:t>
      </w:r>
      <w:proofErr w:type="spellStart"/>
      <w:r w:rsidRPr="00E95FB1">
        <w:t>Северодонецька</w:t>
      </w:r>
      <w:proofErr w:type="spellEnd"/>
      <w:r w:rsidRPr="00E95FB1">
        <w:t xml:space="preserve"> та області планується провести велику </w:t>
      </w:r>
      <w:r>
        <w:t>роботу</w:t>
      </w:r>
      <w:r w:rsidRPr="00E95FB1">
        <w:t xml:space="preserve"> з відбудови  міста. Спочатку треба буде дослідити всі зелені насадження міста та громади -  видалити пошкоджені, зламані або згорілі. Засохлі дерева та кущі, висаджені у 2021 році,  які не пережили спекотне літо 2022 року, будуть замінені на живі рослини.  </w:t>
      </w:r>
      <w:r w:rsidR="001A54A8">
        <w:t xml:space="preserve">Місто </w:t>
      </w:r>
      <w:proofErr w:type="spellStart"/>
      <w:r w:rsidRPr="00E95FB1">
        <w:t>Северодонецьк</w:t>
      </w:r>
      <w:proofErr w:type="spellEnd"/>
      <w:r w:rsidRPr="00E95FB1">
        <w:t xml:space="preserve"> має геометричне креслення проспектів</w:t>
      </w:r>
      <w:r w:rsidR="008C6FB3">
        <w:rPr>
          <w:lang w:val="ru-RU"/>
        </w:rPr>
        <w:t>,</w:t>
      </w:r>
      <w:r w:rsidRPr="00E95FB1">
        <w:t xml:space="preserve"> вулиць,</w:t>
      </w:r>
      <w:r w:rsidR="0067715E">
        <w:t xml:space="preserve"> шосе, бульвару, провулків. Т</w:t>
      </w:r>
      <w:r w:rsidRPr="00E95FB1">
        <w:t>ому озеленення всього міста має нести більш м’який характер.  За допомогою рослин створиться  образ  сучасного,  романтичного та квітучого міста, що у майбутньому якомога менше  буде нагадувати  про страшні руйнування в часи  війни.</w:t>
      </w:r>
    </w:p>
    <w:p w:rsidR="00AC499C" w:rsidRPr="00E95FB1" w:rsidRDefault="00AC499C" w:rsidP="00AC499C">
      <w:r w:rsidRPr="00E95FB1">
        <w:t xml:space="preserve">  </w:t>
      </w:r>
      <w:r w:rsidRPr="00E95FB1">
        <w:tab/>
        <w:t xml:space="preserve">Для такого глобального озеленення всієї площі </w:t>
      </w:r>
      <w:proofErr w:type="spellStart"/>
      <w:r w:rsidRPr="00E95FB1">
        <w:t>Северодонецької</w:t>
      </w:r>
      <w:proofErr w:type="spellEnd"/>
      <w:r w:rsidRPr="00E95FB1">
        <w:t xml:space="preserve"> </w:t>
      </w:r>
      <w:r w:rsidR="004C0CB5">
        <w:t>міської територіальної</w:t>
      </w:r>
      <w:r w:rsidR="004C0CB5" w:rsidRPr="00E95FB1">
        <w:t xml:space="preserve"> </w:t>
      </w:r>
      <w:r w:rsidRPr="00E95FB1">
        <w:t>громади треба буде велика кількість посадкового матеріалу. Для забезпечення обсягів  в рослинах планується їх вирощувати у власному розсаднику КП «Зелене місто». Дерева, чагарники, хвойники  та багаторічники, літні квітучі рослини – це власне той обсяг, яким буде  відновлено місто та  усю громаду.</w:t>
      </w:r>
    </w:p>
    <w:p w:rsidR="00AC499C" w:rsidRPr="00E95FB1" w:rsidRDefault="00AC499C" w:rsidP="00AC499C">
      <w:pPr>
        <w:ind w:firstLine="708"/>
      </w:pPr>
      <w:r w:rsidRPr="00E95FB1">
        <w:t xml:space="preserve">У першу чергу відновленню підлягає зелена смуга по проспекту Центральний від Льодового палацу </w:t>
      </w:r>
      <w:r w:rsidR="00011B0F">
        <w:t>спорту</w:t>
      </w:r>
      <w:r w:rsidR="00011B0F" w:rsidRPr="00E95FB1">
        <w:t xml:space="preserve"> </w:t>
      </w:r>
      <w:r w:rsidRPr="00E95FB1">
        <w:t xml:space="preserve">до МПК «Хімік» з метою створення зон відпочинку громадян, і які не будуть задіяні при відновленні житлових будинків по  проспекту Центральний. По цій лінії буде створено низку скверів з </w:t>
      </w:r>
      <w:r w:rsidRPr="00C2154F">
        <w:rPr>
          <w:rStyle w:val="10"/>
          <w:b w:val="0"/>
          <w:color w:val="auto"/>
        </w:rPr>
        <w:t>особливими</w:t>
      </w:r>
      <w:r w:rsidRPr="00E95FB1">
        <w:t xml:space="preserve"> рисами, які здатні  впливати на настрій містян, будуть сприяти відновленню </w:t>
      </w:r>
      <w:r w:rsidR="00C55E82">
        <w:t>психологічного стану</w:t>
      </w:r>
      <w:r w:rsidRPr="00E95FB1">
        <w:t xml:space="preserve"> людей та віри в майбутнє України.</w:t>
      </w:r>
    </w:p>
    <w:p w:rsidR="00AC499C" w:rsidRDefault="00AC499C" w:rsidP="00AC499C">
      <w:pPr>
        <w:ind w:firstLine="708"/>
      </w:pPr>
    </w:p>
    <w:p w:rsidR="00AC499C" w:rsidRPr="00E95FB1" w:rsidRDefault="00AC499C" w:rsidP="00AC499C">
      <w:pPr>
        <w:ind w:firstLine="708"/>
      </w:pPr>
      <w:r w:rsidRPr="00E95FB1">
        <w:t>Які будуть сквери міста.</w:t>
      </w:r>
    </w:p>
    <w:p w:rsidR="00AC499C" w:rsidRDefault="00AC499C" w:rsidP="00AC499C">
      <w:pPr>
        <w:ind w:firstLine="708"/>
        <w:rPr>
          <w:rStyle w:val="10"/>
        </w:rPr>
      </w:pPr>
      <w:bookmarkStart w:id="29" w:name="_Toc142141279"/>
    </w:p>
    <w:p w:rsidR="00AC499C" w:rsidRPr="00E95FB1" w:rsidRDefault="00AC499C" w:rsidP="00AC499C">
      <w:pPr>
        <w:ind w:firstLine="708"/>
      </w:pPr>
      <w:r w:rsidRPr="00BB58B7">
        <w:rPr>
          <w:b/>
          <w:color w:val="0070C0"/>
        </w:rPr>
        <w:t>Сквер Перемоги</w:t>
      </w:r>
      <w:bookmarkEnd w:id="29"/>
      <w:r w:rsidRPr="00E95FB1">
        <w:t xml:space="preserve"> – рослини підібрані в рожевому, пурпуровому,  білому</w:t>
      </w:r>
      <w:r w:rsidR="00FA0109">
        <w:t xml:space="preserve">, </w:t>
      </w:r>
      <w:r w:rsidRPr="00E95FB1">
        <w:t xml:space="preserve">яскраво-жовтому  та помаранчевому кольорах. Таке поєднання контрастних барв  рослин </w:t>
      </w:r>
      <w:proofErr w:type="spellStart"/>
      <w:r w:rsidRPr="00E95FB1">
        <w:t>надасть</w:t>
      </w:r>
      <w:proofErr w:type="spellEnd"/>
      <w:r w:rsidRPr="00E95FB1">
        <w:t xml:space="preserve"> відчуття радості перемоги, сприйняття навколишнього </w:t>
      </w:r>
      <w:r w:rsidRPr="00E95FB1">
        <w:lastRenderedPageBreak/>
        <w:t xml:space="preserve">середовища як свята життя через колір  рослин.   У квітні </w:t>
      </w:r>
      <w:r w:rsidR="006B0CC8">
        <w:t>спалахнуть</w:t>
      </w:r>
      <w:r w:rsidRPr="00E95FB1">
        <w:t xml:space="preserve"> пурпурові  </w:t>
      </w:r>
      <w:proofErr w:type="spellStart"/>
      <w:r w:rsidRPr="00E95FB1">
        <w:t>церциси</w:t>
      </w:r>
      <w:proofErr w:type="spellEnd"/>
      <w:r w:rsidRPr="00E95FB1">
        <w:t xml:space="preserve"> та жовті </w:t>
      </w:r>
      <w:proofErr w:type="spellStart"/>
      <w:r w:rsidRPr="00E95FB1">
        <w:t>форзиції</w:t>
      </w:r>
      <w:proofErr w:type="spellEnd"/>
      <w:r w:rsidRPr="00E95FB1">
        <w:t xml:space="preserve">.  Травень  буде рясно квітнути білими </w:t>
      </w:r>
      <w:proofErr w:type="spellStart"/>
      <w:r w:rsidRPr="00E95FB1">
        <w:t>спіреями</w:t>
      </w:r>
      <w:proofErr w:type="spellEnd"/>
      <w:r w:rsidRPr="00E95FB1">
        <w:t xml:space="preserve">  Ванн </w:t>
      </w:r>
      <w:proofErr w:type="spellStart"/>
      <w:r w:rsidRPr="00E95FB1">
        <w:t>Гутта</w:t>
      </w:r>
      <w:proofErr w:type="spellEnd"/>
      <w:r w:rsidRPr="00E95FB1">
        <w:t xml:space="preserve"> та Ірг</w:t>
      </w:r>
      <w:r w:rsidR="00ED36E7">
        <w:t>и</w:t>
      </w:r>
      <w:r w:rsidRPr="00E95FB1">
        <w:t xml:space="preserve"> канадської, потім сквер вкриється рожевими хмарами яблуні </w:t>
      </w:r>
      <w:proofErr w:type="spellStart"/>
      <w:r w:rsidRPr="00E95FB1">
        <w:t>Незведського</w:t>
      </w:r>
      <w:proofErr w:type="spellEnd"/>
      <w:r w:rsidRPr="00E95FB1">
        <w:t xml:space="preserve">, бузку Імператор. Влітку  весь сквер заповниться рожевими квітами </w:t>
      </w:r>
      <w:proofErr w:type="spellStart"/>
      <w:r w:rsidRPr="00E95FB1">
        <w:t>гортензіі</w:t>
      </w:r>
      <w:proofErr w:type="spellEnd"/>
      <w:r w:rsidRPr="00E95FB1">
        <w:t xml:space="preserve">  </w:t>
      </w:r>
      <w:proofErr w:type="spellStart"/>
      <w:r w:rsidRPr="00E95FB1">
        <w:t>Пінкі</w:t>
      </w:r>
      <w:proofErr w:type="spellEnd"/>
      <w:r w:rsidRPr="00E95FB1">
        <w:t xml:space="preserve">  </w:t>
      </w:r>
      <w:proofErr w:type="spellStart"/>
      <w:r w:rsidRPr="00E95FB1">
        <w:t>Вінкі</w:t>
      </w:r>
      <w:proofErr w:type="spellEnd"/>
      <w:r w:rsidRPr="00E95FB1">
        <w:t xml:space="preserve">, пурпуровим  листям сливи </w:t>
      </w:r>
      <w:proofErr w:type="spellStart"/>
      <w:r w:rsidRPr="00E95FB1">
        <w:t>Піссарді</w:t>
      </w:r>
      <w:proofErr w:type="spellEnd"/>
      <w:r w:rsidRPr="00E95FB1">
        <w:t xml:space="preserve">  та яскраво-жовтими </w:t>
      </w:r>
      <w:proofErr w:type="spellStart"/>
      <w:r w:rsidRPr="00E95FB1">
        <w:t>пухиріплідниками</w:t>
      </w:r>
      <w:proofErr w:type="spellEnd"/>
      <w:r w:rsidRPr="00E95FB1">
        <w:t xml:space="preserve">.  Восени  спалахне яскравим помаранчевим листям  </w:t>
      </w:r>
      <w:proofErr w:type="spellStart"/>
      <w:r w:rsidRPr="00E95FB1">
        <w:t>Церцису</w:t>
      </w:r>
      <w:proofErr w:type="spellEnd"/>
      <w:r w:rsidRPr="00E95FB1">
        <w:t xml:space="preserve">  та  Ірги канадської,  </w:t>
      </w:r>
      <w:proofErr w:type="spellStart"/>
      <w:r w:rsidRPr="00E95FB1">
        <w:t>кізильника</w:t>
      </w:r>
      <w:proofErr w:type="spellEnd"/>
      <w:r w:rsidRPr="00E95FB1">
        <w:t xml:space="preserve"> горизонтального.</w:t>
      </w:r>
    </w:p>
    <w:p w:rsidR="00AC499C" w:rsidRDefault="00AC499C" w:rsidP="00AC499C">
      <w:pPr>
        <w:ind w:firstLine="708"/>
        <w:rPr>
          <w:rStyle w:val="10"/>
        </w:rPr>
      </w:pPr>
      <w:bookmarkStart w:id="30" w:name="_Toc142141280"/>
    </w:p>
    <w:p w:rsidR="00AC499C" w:rsidRPr="00E95FB1" w:rsidRDefault="00AC499C" w:rsidP="00AC499C">
      <w:pPr>
        <w:ind w:firstLine="708"/>
      </w:pPr>
      <w:r w:rsidRPr="00BB58B7">
        <w:rPr>
          <w:b/>
          <w:color w:val="0070C0"/>
        </w:rPr>
        <w:t>Сквер Гоголя</w:t>
      </w:r>
      <w:bookmarkEnd w:id="30"/>
      <w:r w:rsidRPr="00E95FB1">
        <w:t xml:space="preserve"> – місце </w:t>
      </w:r>
      <w:r w:rsidR="00ED36E7">
        <w:t>важливих</w:t>
      </w:r>
      <w:r w:rsidR="00ED36E7" w:rsidRPr="00E95FB1">
        <w:t xml:space="preserve"> </w:t>
      </w:r>
      <w:r w:rsidRPr="00E95FB1">
        <w:t xml:space="preserve">дій та </w:t>
      </w:r>
      <w:r w:rsidR="00ED36E7">
        <w:t>значимих</w:t>
      </w:r>
      <w:r w:rsidR="00ED36E7" w:rsidRPr="00E95FB1">
        <w:t xml:space="preserve"> </w:t>
      </w:r>
      <w:r w:rsidRPr="00E95FB1">
        <w:t xml:space="preserve">подій </w:t>
      </w:r>
      <w:proofErr w:type="spellStart"/>
      <w:r w:rsidRPr="00E95FB1">
        <w:t>Северодонецька</w:t>
      </w:r>
      <w:proofErr w:type="spellEnd"/>
      <w:r w:rsidRPr="00E95FB1">
        <w:t>. Сквер, за яким волонтери опікувались з 2012 по 2022</w:t>
      </w:r>
      <w:r w:rsidR="00672D2C">
        <w:rPr>
          <w:lang w:val="ru-RU"/>
        </w:rPr>
        <w:t xml:space="preserve"> </w:t>
      </w:r>
      <w:r w:rsidRPr="00E95FB1">
        <w:t xml:space="preserve">рік. Це  місце має особливе значення для городян, бо ми там єдналися разом у 2014, 2015 роках. Він як символ того, що  разом </w:t>
      </w:r>
      <w:proofErr w:type="spellStart"/>
      <w:r w:rsidRPr="00E95FB1">
        <w:t>сєв</w:t>
      </w:r>
      <w:r w:rsidR="00A20BBF">
        <w:t>є</w:t>
      </w:r>
      <w:r w:rsidRPr="00E95FB1">
        <w:t>родончани</w:t>
      </w:r>
      <w:proofErr w:type="spellEnd"/>
      <w:r w:rsidRPr="00E95FB1">
        <w:t xml:space="preserve">  можуть  змінити своє навколишнє середовище на краще. Треба замінити посохлі дерева та кущі, посаджені містянами на толоках у минулі роки.</w:t>
      </w:r>
    </w:p>
    <w:p w:rsidR="00AC499C" w:rsidRDefault="00AC499C" w:rsidP="00AC499C">
      <w:pPr>
        <w:ind w:firstLine="708"/>
        <w:rPr>
          <w:rStyle w:val="10"/>
        </w:rPr>
      </w:pPr>
      <w:bookmarkStart w:id="31" w:name="_Toc142141281"/>
    </w:p>
    <w:p w:rsidR="00AC499C" w:rsidRPr="00E95FB1" w:rsidRDefault="00AC499C" w:rsidP="00AC499C">
      <w:pPr>
        <w:ind w:firstLine="708"/>
      </w:pPr>
      <w:r w:rsidRPr="00BB58B7">
        <w:rPr>
          <w:b/>
          <w:color w:val="0070C0"/>
        </w:rPr>
        <w:t xml:space="preserve">Сквер ім. </w:t>
      </w:r>
      <w:proofErr w:type="spellStart"/>
      <w:r w:rsidRPr="00BB58B7">
        <w:rPr>
          <w:b/>
          <w:color w:val="0070C0"/>
        </w:rPr>
        <w:t>Губанова</w:t>
      </w:r>
      <w:bookmarkEnd w:id="31"/>
      <w:proofErr w:type="spellEnd"/>
      <w:r w:rsidRPr="00E95FB1">
        <w:t xml:space="preserve"> – місце  пам`яті по загиблим у війні з </w:t>
      </w:r>
      <w:r w:rsidR="00832989">
        <w:t>РФ</w:t>
      </w:r>
      <w:r w:rsidRPr="00E95FB1">
        <w:t xml:space="preserve">.  Рослини підібрані в пурпурово – </w:t>
      </w:r>
      <w:proofErr w:type="spellStart"/>
      <w:r w:rsidRPr="00E95FB1">
        <w:t>червоно</w:t>
      </w:r>
      <w:proofErr w:type="spellEnd"/>
      <w:r w:rsidR="00A20BBF">
        <w:t xml:space="preserve"> </w:t>
      </w:r>
      <w:r w:rsidRPr="00E95FB1">
        <w:t>-</w:t>
      </w:r>
      <w:r w:rsidR="00A20BBF">
        <w:t xml:space="preserve"> </w:t>
      </w:r>
      <w:r w:rsidRPr="00E95FB1">
        <w:t xml:space="preserve">білому кольорах. Таким чином буде створено  образ світлої пам`яті захисникам </w:t>
      </w:r>
      <w:r w:rsidR="00C51EE0">
        <w:t xml:space="preserve">і захисницям </w:t>
      </w:r>
      <w:r w:rsidRPr="00E95FB1">
        <w:t xml:space="preserve">України і напруження </w:t>
      </w:r>
      <w:proofErr w:type="spellStart"/>
      <w:r w:rsidRPr="00E95FB1">
        <w:t>червоно</w:t>
      </w:r>
      <w:proofErr w:type="spellEnd"/>
      <w:r w:rsidRPr="00E95FB1">
        <w:t xml:space="preserve">-пурпурового кольору  пролитої крові. Багато червоних троянд, білих гортензій, червонолистих яблунь Роялті Ред, кленів, </w:t>
      </w:r>
      <w:proofErr w:type="spellStart"/>
      <w:r w:rsidRPr="00E95FB1">
        <w:t>барбарисів</w:t>
      </w:r>
      <w:proofErr w:type="spellEnd"/>
      <w:r w:rsidRPr="00E95FB1">
        <w:t xml:space="preserve">, </w:t>
      </w:r>
      <w:proofErr w:type="spellStart"/>
      <w:r w:rsidRPr="00E95FB1">
        <w:t>пухириплідників</w:t>
      </w:r>
      <w:proofErr w:type="spellEnd"/>
      <w:r w:rsidRPr="00E95FB1">
        <w:t>.</w:t>
      </w:r>
    </w:p>
    <w:p w:rsidR="00AC499C" w:rsidRDefault="00AC499C" w:rsidP="00AC499C">
      <w:r w:rsidRPr="00E95FB1">
        <w:t xml:space="preserve">  </w:t>
      </w:r>
      <w:r w:rsidRPr="00E95FB1">
        <w:tab/>
      </w:r>
    </w:p>
    <w:p w:rsidR="00AC499C" w:rsidRPr="00E95FB1" w:rsidRDefault="00AC499C" w:rsidP="00AC499C">
      <w:pPr>
        <w:ind w:firstLine="708"/>
      </w:pPr>
      <w:r w:rsidRPr="00E95FB1">
        <w:t xml:space="preserve">Куточок </w:t>
      </w:r>
      <w:r w:rsidRPr="00BB58B7">
        <w:rPr>
          <w:color w:val="0070C0"/>
        </w:rPr>
        <w:t>«</w:t>
      </w:r>
      <w:r w:rsidRPr="00BB58B7">
        <w:rPr>
          <w:b/>
          <w:color w:val="0070C0"/>
        </w:rPr>
        <w:t xml:space="preserve">Я люблю </w:t>
      </w:r>
      <w:proofErr w:type="spellStart"/>
      <w:r w:rsidRPr="00BB58B7">
        <w:rPr>
          <w:b/>
          <w:color w:val="0070C0"/>
        </w:rPr>
        <w:t>Сев</w:t>
      </w:r>
      <w:r w:rsidR="00811F4D">
        <w:rPr>
          <w:b/>
          <w:color w:val="0070C0"/>
        </w:rPr>
        <w:t>є</w:t>
      </w:r>
      <w:r w:rsidRPr="00BB58B7">
        <w:rPr>
          <w:b/>
          <w:color w:val="0070C0"/>
        </w:rPr>
        <w:t>родонецьк</w:t>
      </w:r>
      <w:proofErr w:type="spellEnd"/>
      <w:r w:rsidRPr="00BB58B7">
        <w:rPr>
          <w:color w:val="0070C0"/>
        </w:rPr>
        <w:t>!»</w:t>
      </w:r>
      <w:r w:rsidRPr="00E95FB1">
        <w:t xml:space="preserve"> між МБК «Хімік» та будівлею Сєвєродонецької </w:t>
      </w:r>
      <w:r w:rsidR="00F658BC">
        <w:t>міської</w:t>
      </w:r>
      <w:r w:rsidR="00F658BC" w:rsidRPr="00E95FB1">
        <w:t xml:space="preserve"> </w:t>
      </w:r>
      <w:r w:rsidRPr="00E95FB1">
        <w:t xml:space="preserve">адміністрації. Квітник синьо – жовтого кольору прапору України. Це наші улюблені барви свободи  та незалежності. Планується додати велику кількість весняних </w:t>
      </w:r>
      <w:proofErr w:type="spellStart"/>
      <w:r w:rsidRPr="00E95FB1">
        <w:t>цибулькових</w:t>
      </w:r>
      <w:proofErr w:type="spellEnd"/>
      <w:r w:rsidRPr="00E95FB1">
        <w:t xml:space="preserve"> синіх </w:t>
      </w:r>
      <w:proofErr w:type="spellStart"/>
      <w:r w:rsidRPr="00E95FB1">
        <w:t>мускарі</w:t>
      </w:r>
      <w:proofErr w:type="spellEnd"/>
      <w:r w:rsidRPr="00E95FB1">
        <w:t xml:space="preserve"> та жовтих тюльпанів. Восени квітники вкриються жовтими хризантемами, трояндами та синіми  </w:t>
      </w:r>
      <w:proofErr w:type="spellStart"/>
      <w:r w:rsidRPr="00E95FB1">
        <w:t>котовніками</w:t>
      </w:r>
      <w:proofErr w:type="spellEnd"/>
      <w:r w:rsidRPr="00E95FB1">
        <w:t xml:space="preserve">. Відбудеться заміна посохлих </w:t>
      </w:r>
      <w:proofErr w:type="spellStart"/>
      <w:r w:rsidRPr="00E95FB1">
        <w:t>ялівців</w:t>
      </w:r>
      <w:proofErr w:type="spellEnd"/>
      <w:r w:rsidRPr="00E95FB1">
        <w:t xml:space="preserve"> та троянд на верхньому квітнику.</w:t>
      </w:r>
    </w:p>
    <w:p w:rsidR="00AC499C" w:rsidRDefault="00AC499C" w:rsidP="00AC499C">
      <w:r w:rsidRPr="00E95FB1">
        <w:t xml:space="preserve"> </w:t>
      </w:r>
      <w:r w:rsidRPr="00E95FB1">
        <w:tab/>
      </w:r>
    </w:p>
    <w:p w:rsidR="00AC499C" w:rsidRPr="00E95FB1" w:rsidRDefault="00AC499C" w:rsidP="00AC499C">
      <w:pPr>
        <w:ind w:firstLine="708"/>
      </w:pPr>
      <w:r w:rsidRPr="00E95FB1">
        <w:t xml:space="preserve">Сквер </w:t>
      </w:r>
      <w:r w:rsidRPr="00BB58B7">
        <w:rPr>
          <w:color w:val="0070C0"/>
        </w:rPr>
        <w:t>«</w:t>
      </w:r>
      <w:r w:rsidRPr="00BB58B7">
        <w:rPr>
          <w:b/>
          <w:color w:val="0070C0"/>
        </w:rPr>
        <w:t>Східний</w:t>
      </w:r>
      <w:r w:rsidRPr="00BB58B7">
        <w:rPr>
          <w:color w:val="0070C0"/>
        </w:rPr>
        <w:t>»</w:t>
      </w:r>
      <w:r w:rsidRPr="00E95FB1">
        <w:t xml:space="preserve">  (пр</w:t>
      </w:r>
      <w:r w:rsidR="00F658BC">
        <w:t>.</w:t>
      </w:r>
      <w:r w:rsidRPr="00E95FB1">
        <w:t xml:space="preserve"> Гвардійський між ПриватБанком та  кафе «Стойка»). Велика кількість злаків та лаванди в сріблясто – бузковому кольорі  </w:t>
      </w:r>
      <w:proofErr w:type="spellStart"/>
      <w:r w:rsidRPr="00E95FB1">
        <w:t>надасть</w:t>
      </w:r>
      <w:proofErr w:type="spellEnd"/>
      <w:r w:rsidRPr="00E95FB1">
        <w:t xml:space="preserve"> цьому куточку романтичного та мрійливого настрою. Тонкі листя злаків колихатимуться  від подиху вітерця і навіють  людям стан умиротворення та </w:t>
      </w:r>
      <w:proofErr w:type="spellStart"/>
      <w:r w:rsidRPr="00E95FB1">
        <w:t>релаксу</w:t>
      </w:r>
      <w:proofErr w:type="spellEnd"/>
      <w:r w:rsidRPr="00E95FB1">
        <w:t>. Зручні лавочки в тіні дерев дадуть спроможність містянам відпочивати в спекотні літні дні та відновлювати  душевний спокій після всіх страхів війни.</w:t>
      </w:r>
    </w:p>
    <w:p w:rsidR="00AC499C" w:rsidRDefault="00AC499C" w:rsidP="00AC499C">
      <w:pPr>
        <w:ind w:firstLine="708"/>
      </w:pPr>
    </w:p>
    <w:p w:rsidR="00AC499C" w:rsidRPr="00E95FB1" w:rsidRDefault="00AC499C" w:rsidP="00AC499C">
      <w:pPr>
        <w:ind w:firstLine="708"/>
      </w:pPr>
      <w:r w:rsidRPr="00E95FB1">
        <w:t xml:space="preserve">Сквер </w:t>
      </w:r>
      <w:r w:rsidRPr="00BB58B7">
        <w:rPr>
          <w:color w:val="0070C0"/>
        </w:rPr>
        <w:t>«</w:t>
      </w:r>
      <w:r w:rsidRPr="00BB58B7">
        <w:rPr>
          <w:b/>
          <w:color w:val="0070C0"/>
        </w:rPr>
        <w:t>Меморіал пам’яті</w:t>
      </w:r>
      <w:r w:rsidRPr="00BB58B7">
        <w:rPr>
          <w:color w:val="0070C0"/>
        </w:rPr>
        <w:t>»</w:t>
      </w:r>
      <w:r w:rsidRPr="00E95FB1">
        <w:t xml:space="preserve"> загиблим у </w:t>
      </w:r>
      <w:r w:rsidR="00F658BC">
        <w:t>Д</w:t>
      </w:r>
      <w:r>
        <w:t>ругій світовій війні</w:t>
      </w:r>
      <w:r w:rsidRPr="00E95FB1">
        <w:t xml:space="preserve">. Планується відновити композицію прапору та тризубу України в жовто – блакитному кольорі з додаванням червоних  та пурпурових рослин урочистого смутку за загиблими в тій війні. Скульптурні композиції підлягають реставруванню. </w:t>
      </w:r>
    </w:p>
    <w:p w:rsidR="00AC499C" w:rsidRDefault="00AC499C" w:rsidP="00AC499C">
      <w:r w:rsidRPr="00E95FB1">
        <w:t xml:space="preserve">   </w:t>
      </w:r>
      <w:r w:rsidRPr="00E95FB1">
        <w:tab/>
      </w:r>
      <w:bookmarkStart w:id="32" w:name="_Toc142141282"/>
    </w:p>
    <w:p w:rsidR="00AC499C" w:rsidRPr="00E95FB1" w:rsidRDefault="00AC499C" w:rsidP="00AC499C">
      <w:pPr>
        <w:ind w:firstLine="708"/>
      </w:pPr>
      <w:r w:rsidRPr="00BB58B7">
        <w:rPr>
          <w:b/>
          <w:color w:val="0070C0"/>
        </w:rPr>
        <w:lastRenderedPageBreak/>
        <w:t>Еко-Сквер</w:t>
      </w:r>
      <w:bookmarkEnd w:id="32"/>
      <w:r w:rsidRPr="00E95FB1">
        <w:t xml:space="preserve"> (пр</w:t>
      </w:r>
      <w:r w:rsidR="00F658BC">
        <w:t>.</w:t>
      </w:r>
      <w:r w:rsidRPr="00E95FB1">
        <w:t xml:space="preserve"> Космонавтів між сквером біля храму та вул. Новікова). Організація екологічно цілісних та життєздатних систем сталого простору, яка ґрунтується  на розмаїтті  багаторічних  культур на основі принципів </w:t>
      </w:r>
      <w:proofErr w:type="spellStart"/>
      <w:r w:rsidRPr="00E95FB1">
        <w:t>пермакультури</w:t>
      </w:r>
      <w:proofErr w:type="spellEnd"/>
      <w:r w:rsidRPr="00E95FB1">
        <w:t xml:space="preserve">. Уся площа скверу буде розділена на дві частини, які будуть відображати різні природні  зони Луганської області  - степову піщану зону та лісову чорноземну. </w:t>
      </w:r>
    </w:p>
    <w:p w:rsidR="00AC499C" w:rsidRDefault="00AC499C" w:rsidP="00AC499C">
      <w:pPr>
        <w:ind w:firstLine="708"/>
      </w:pPr>
    </w:p>
    <w:p w:rsidR="00AC499C" w:rsidRPr="00E95FB1" w:rsidRDefault="00AC499C" w:rsidP="00AC499C">
      <w:pPr>
        <w:ind w:firstLine="708"/>
      </w:pPr>
      <w:r w:rsidRPr="00E95FB1">
        <w:t>Ці дві зони будуть ґрунтуватися на природних екологічних моделях. Піщана  буде засаджена соснами та рослинами нижнього ярусу, притаманними  для цієї природної степової  зони. Лісова модель буде сформована деревами, чагарниками та багаторічниками лісів чорноземної  зони Луганської області. Усі посадки будуть взаємодіяти між собою, як в природних умовах.  Сквер буде учбовою площею, де діти та дорослі будуть спостерігати, як можна відновити нашу природу від тяжких поранень війни – артилерійських вибухів та пожеж за часи воєнних дій. Також це буде затишне місце спокою та відпочинку з запашними рослинами, які властиві нашим степам та лісовим галявинам.</w:t>
      </w:r>
    </w:p>
    <w:p w:rsidR="00AC499C" w:rsidRDefault="00AC499C" w:rsidP="00AC499C">
      <w:r w:rsidRPr="00E95FB1">
        <w:t xml:space="preserve">   </w:t>
      </w:r>
      <w:r w:rsidRPr="00E95FB1">
        <w:tab/>
      </w:r>
    </w:p>
    <w:p w:rsidR="00AC499C" w:rsidRPr="00E95FB1" w:rsidRDefault="00AC499C" w:rsidP="00AC499C">
      <w:pPr>
        <w:ind w:firstLine="708"/>
      </w:pPr>
      <w:r w:rsidRPr="00811F4D">
        <w:rPr>
          <w:b/>
          <w:color w:val="4F81BD" w:themeColor="accent1"/>
        </w:rPr>
        <w:t>Сквер</w:t>
      </w:r>
      <w:r w:rsidRPr="0020305E">
        <w:t xml:space="preserve"> </w:t>
      </w:r>
      <w:r w:rsidRPr="00E95FB1">
        <w:t>на розі вул. Донецька та пр</w:t>
      </w:r>
      <w:r w:rsidR="00F658BC">
        <w:t>.</w:t>
      </w:r>
      <w:r w:rsidRPr="00E95FB1">
        <w:t xml:space="preserve">  Гвардійський.  Буде створено простір  стрижених рослин у формі кубів та трикутників. Чіткі лінії геометричних фігур в поєднанні з трояндами пурпурового кольору </w:t>
      </w:r>
      <w:proofErr w:type="spellStart"/>
      <w:r w:rsidRPr="00E95FB1">
        <w:t>створять</w:t>
      </w:r>
      <w:proofErr w:type="spellEnd"/>
      <w:r w:rsidRPr="00E95FB1">
        <w:t xml:space="preserve"> простір безвихідної трагедії тих подій.</w:t>
      </w:r>
    </w:p>
    <w:p w:rsidR="00AC499C" w:rsidRDefault="00AC499C" w:rsidP="00AC499C">
      <w:pPr>
        <w:ind w:firstLine="708"/>
        <w:rPr>
          <w:b/>
        </w:rPr>
      </w:pPr>
    </w:p>
    <w:p w:rsidR="00AC499C" w:rsidRPr="00E95FB1" w:rsidRDefault="00AC499C" w:rsidP="00AC499C">
      <w:pPr>
        <w:ind w:firstLine="708"/>
      </w:pPr>
      <w:r w:rsidRPr="00C41378">
        <w:rPr>
          <w:b/>
          <w:color w:val="4F81BD" w:themeColor="accent1"/>
        </w:rPr>
        <w:t>Сквер</w:t>
      </w:r>
      <w:r w:rsidRPr="00E95FB1">
        <w:t xml:space="preserve"> </w:t>
      </w:r>
      <w:r w:rsidRPr="00BB58B7">
        <w:rPr>
          <w:color w:val="0070C0"/>
        </w:rPr>
        <w:t>«</w:t>
      </w:r>
      <w:r w:rsidRPr="00BB58B7">
        <w:rPr>
          <w:b/>
          <w:color w:val="0070C0"/>
        </w:rPr>
        <w:t xml:space="preserve">Наше </w:t>
      </w:r>
      <w:proofErr w:type="spellStart"/>
      <w:r w:rsidRPr="00BB58B7">
        <w:rPr>
          <w:b/>
          <w:color w:val="0070C0"/>
        </w:rPr>
        <w:t>майбутне</w:t>
      </w:r>
      <w:proofErr w:type="spellEnd"/>
      <w:r w:rsidRPr="00BB58B7">
        <w:rPr>
          <w:color w:val="0070C0"/>
        </w:rPr>
        <w:t>» (</w:t>
      </w:r>
      <w:r w:rsidRPr="00E95FB1">
        <w:t>пр</w:t>
      </w:r>
      <w:r w:rsidR="00F658BC">
        <w:t>.</w:t>
      </w:r>
      <w:r w:rsidRPr="00E95FB1">
        <w:t xml:space="preserve"> Космонавтів, буд 29.)  Спортивно – ігрову зону буде оздоблено квітучими чагарниками та квітниками, збудованими по вертикальному принципу. Це місце буде експериментальним  майданчиком </w:t>
      </w:r>
      <w:r w:rsidR="00F658BC">
        <w:t>з</w:t>
      </w:r>
      <w:r w:rsidR="00F658BC" w:rsidRPr="00E95FB1">
        <w:t xml:space="preserve"> новітнім</w:t>
      </w:r>
      <w:r w:rsidR="00F658BC">
        <w:t>и</w:t>
      </w:r>
      <w:r w:rsidR="00F658BC" w:rsidRPr="00E95FB1">
        <w:t xml:space="preserve"> ідеям</w:t>
      </w:r>
      <w:r w:rsidR="00F658BC">
        <w:t>и</w:t>
      </w:r>
      <w:r w:rsidR="00F658BC" w:rsidRPr="00E95FB1">
        <w:t xml:space="preserve"> </w:t>
      </w:r>
      <w:r w:rsidRPr="00E95FB1">
        <w:t>озеленення.</w:t>
      </w:r>
    </w:p>
    <w:p w:rsidR="00AC499C" w:rsidRDefault="00AC499C" w:rsidP="00AC499C">
      <w:r w:rsidRPr="00E95FB1">
        <w:t xml:space="preserve"> </w:t>
      </w:r>
      <w:r w:rsidRPr="00E95FB1">
        <w:tab/>
      </w:r>
    </w:p>
    <w:p w:rsidR="00AC499C" w:rsidRPr="00E95FB1" w:rsidRDefault="00AC499C" w:rsidP="00AC499C">
      <w:pPr>
        <w:ind w:firstLine="708"/>
      </w:pPr>
      <w:r w:rsidRPr="000B6761">
        <w:rPr>
          <w:b/>
          <w:color w:val="4F81BD" w:themeColor="accent1"/>
        </w:rPr>
        <w:t>«ЕКО – сквер»,  сквер «Наше майбутнє»</w:t>
      </w:r>
      <w:r w:rsidRPr="003761B4">
        <w:rPr>
          <w:color w:val="4F81BD" w:themeColor="accent1"/>
        </w:rPr>
        <w:t xml:space="preserve"> </w:t>
      </w:r>
      <w:r w:rsidRPr="00E95FB1">
        <w:t>будуть відновлюватись після завершення будівельних  робіт по ремонту будинків по проспекту Космонавтів, вздовж  яких вони розташовані.</w:t>
      </w:r>
    </w:p>
    <w:p w:rsidR="00AC499C" w:rsidRDefault="00AC499C" w:rsidP="00AC499C">
      <w:r w:rsidRPr="00E95FB1">
        <w:t xml:space="preserve">       </w:t>
      </w:r>
      <w:r w:rsidRPr="00E95FB1">
        <w:tab/>
      </w:r>
    </w:p>
    <w:p w:rsidR="00AC499C" w:rsidRPr="00E95FB1" w:rsidRDefault="00AC499C" w:rsidP="00AC499C">
      <w:pPr>
        <w:ind w:firstLine="708"/>
      </w:pPr>
      <w:r w:rsidRPr="00E95FB1">
        <w:t xml:space="preserve">Планується  продовження кольорової  полоси   посеред  проспекту  Гвардійський (від вул. </w:t>
      </w:r>
      <w:proofErr w:type="spellStart"/>
      <w:r w:rsidRPr="00E95FB1">
        <w:t>Віл</w:t>
      </w:r>
      <w:r w:rsidR="004B5BC3">
        <w:t>є</w:t>
      </w:r>
      <w:r w:rsidRPr="00E95FB1">
        <w:t>сова</w:t>
      </w:r>
      <w:proofErr w:type="spellEnd"/>
      <w:r w:rsidRPr="00E95FB1">
        <w:t xml:space="preserve"> до вул. Партизанська), створеної з чагарників різного кольору листя  та різного часу квітнення. В першу чергу </w:t>
      </w:r>
      <w:proofErr w:type="spellStart"/>
      <w:r w:rsidRPr="00E95FB1">
        <w:t>проведеться</w:t>
      </w:r>
      <w:proofErr w:type="spellEnd"/>
      <w:r w:rsidRPr="00E95FB1">
        <w:t xml:space="preserve"> заміна посохлих рослин по </w:t>
      </w:r>
      <w:r w:rsidR="00F658BC">
        <w:t>пр.</w:t>
      </w:r>
      <w:r w:rsidR="001B7696">
        <w:rPr>
          <w:lang w:val="ru-RU"/>
        </w:rPr>
        <w:t xml:space="preserve"> </w:t>
      </w:r>
      <w:r w:rsidRPr="00E95FB1">
        <w:t>Гвардійському від  вул.</w:t>
      </w:r>
      <w:r>
        <w:t xml:space="preserve"> </w:t>
      </w:r>
      <w:r w:rsidRPr="00E95FB1">
        <w:t>Курчатова до пр</w:t>
      </w:r>
      <w:r w:rsidR="00F658BC">
        <w:t>.</w:t>
      </w:r>
      <w:r w:rsidRPr="00E95FB1">
        <w:t xml:space="preserve"> Космонавтів.</w:t>
      </w:r>
    </w:p>
    <w:p w:rsidR="00AC499C" w:rsidRDefault="00AC499C" w:rsidP="00AC499C">
      <w:r w:rsidRPr="00E95FB1">
        <w:t xml:space="preserve">     </w:t>
      </w:r>
      <w:r w:rsidRPr="00E95FB1">
        <w:tab/>
      </w:r>
    </w:p>
    <w:p w:rsidR="00AC499C" w:rsidRPr="00E95FB1" w:rsidRDefault="00AC499C" w:rsidP="00AC499C">
      <w:pPr>
        <w:ind w:firstLine="708"/>
      </w:pPr>
      <w:r w:rsidRPr="00E95FB1">
        <w:t xml:space="preserve">КП «Зелене місто» буде і надалі проводити посадки з застосуванням </w:t>
      </w:r>
      <w:proofErr w:type="spellStart"/>
      <w:r w:rsidRPr="00E95FB1">
        <w:t>подріблених</w:t>
      </w:r>
      <w:proofErr w:type="spellEnd"/>
      <w:r w:rsidRPr="00E95FB1">
        <w:t xml:space="preserve">  гілок – мульчи. Наразі цей агротехнічний захід буде дуже актуальним, бо це дозволяє економити час та воду  на догляд за посадками. Рослинні відходи і надалі будуть перероблюватися у поживний матеріал для мульчування у спекотні місяці від перегріву та пересихання </w:t>
      </w:r>
      <w:proofErr w:type="spellStart"/>
      <w:r w:rsidRPr="00E95FB1">
        <w:t>грунту</w:t>
      </w:r>
      <w:proofErr w:type="spellEnd"/>
      <w:r w:rsidRPr="00E95FB1">
        <w:t xml:space="preserve"> по всьому </w:t>
      </w:r>
      <w:r w:rsidRPr="00E95FB1">
        <w:lastRenderedPageBreak/>
        <w:t xml:space="preserve">місту.  Планується закласти велику площу на переробку рослинних залишків на </w:t>
      </w:r>
      <w:proofErr w:type="spellStart"/>
      <w:r w:rsidRPr="00E95FB1">
        <w:t>біогумус</w:t>
      </w:r>
      <w:proofErr w:type="spellEnd"/>
      <w:r w:rsidRPr="00E95FB1">
        <w:t>,  використовуючи спеціальних черв’яків Старатель.</w:t>
      </w:r>
    </w:p>
    <w:p w:rsidR="00AC499C" w:rsidRDefault="00AC499C" w:rsidP="00AC499C">
      <w:r w:rsidRPr="00E95FB1">
        <w:t xml:space="preserve">  </w:t>
      </w:r>
      <w:r w:rsidRPr="00E95FB1">
        <w:tab/>
      </w:r>
    </w:p>
    <w:p w:rsidR="00AC499C" w:rsidRPr="00E95FB1" w:rsidRDefault="00AC499C" w:rsidP="00AC499C">
      <w:pPr>
        <w:ind w:firstLine="360"/>
      </w:pPr>
      <w:r w:rsidRPr="00E95FB1">
        <w:t xml:space="preserve">Також у всіх сільських громадах будуть створені сквери пам’яті героям – захисникам України у часи </w:t>
      </w:r>
      <w:r w:rsidR="001B7696" w:rsidRPr="001B7696">
        <w:t>зброй</w:t>
      </w:r>
      <w:r w:rsidR="001B7696">
        <w:t>ної агресії РФ проти України</w:t>
      </w:r>
      <w:r w:rsidRPr="00E95FB1">
        <w:t xml:space="preserve">. Планується висаджувати дерева, хвойні рослини, квітучі чагарники, багаторічники з розплідника КП «Зелене місто».  </w:t>
      </w:r>
    </w:p>
    <w:p w:rsidR="00AC499C" w:rsidRDefault="00AC499C" w:rsidP="00AC499C">
      <w:pPr>
        <w:jc w:val="left"/>
        <w:rPr>
          <w:bCs/>
          <w:shd w:val="clear" w:color="auto" w:fill="FFFFFF"/>
          <w:lang w:eastAsia="uk-UA"/>
        </w:rPr>
      </w:pPr>
      <w:r>
        <w:rPr>
          <w:bCs/>
          <w:shd w:val="clear" w:color="auto" w:fill="FFFFFF"/>
          <w:lang w:eastAsia="uk-UA"/>
        </w:rPr>
        <w:br w:type="page"/>
      </w:r>
    </w:p>
    <w:p w:rsidR="00AC499C" w:rsidRPr="00E95FB1" w:rsidRDefault="00AC499C" w:rsidP="00AC499C">
      <w:pPr>
        <w:pStyle w:val="1"/>
        <w:rPr>
          <w:lang w:eastAsia="uk-UA"/>
        </w:rPr>
      </w:pPr>
      <w:bookmarkStart w:id="33" w:name="_Toc142141283"/>
      <w:bookmarkStart w:id="34" w:name="_Toc143012474"/>
      <w:r w:rsidRPr="00E95FB1">
        <w:rPr>
          <w:lang w:eastAsia="uk-UA"/>
        </w:rPr>
        <w:lastRenderedPageBreak/>
        <w:t>Завдання та заходи відновлення, які відповідають пріоритетним напрямам відновлення та розвитку</w:t>
      </w:r>
      <w:bookmarkEnd w:id="33"/>
      <w:bookmarkEnd w:id="34"/>
    </w:p>
    <w:p w:rsidR="00AC499C" w:rsidRPr="00E95FB1" w:rsidRDefault="00AC499C" w:rsidP="00AC499C">
      <w:pPr>
        <w:shd w:val="clear" w:color="auto" w:fill="FFFFFF"/>
        <w:ind w:firstLine="709"/>
        <w:rPr>
          <w:lang w:eastAsia="uk-UA"/>
        </w:rPr>
      </w:pPr>
    </w:p>
    <w:p w:rsidR="00580D79" w:rsidRPr="00355733" w:rsidRDefault="00580D79" w:rsidP="00580D79">
      <w:pPr>
        <w:ind w:firstLine="708"/>
        <w:rPr>
          <w:lang w:val="ru-RU"/>
        </w:rPr>
      </w:pPr>
      <w:r w:rsidRPr="00355733">
        <w:rPr>
          <w:b/>
        </w:rPr>
        <w:t>Комплекс завдань і заходів</w:t>
      </w:r>
      <w:r w:rsidRPr="00355733">
        <w:t xml:space="preserve"> – це сукупність функціонально однорідних видів діяльності, </w:t>
      </w:r>
      <w:r w:rsidR="00903B5D">
        <w:t>в</w:t>
      </w:r>
      <w:r w:rsidRPr="00355733">
        <w:t xml:space="preserve"> результаті реалізації яких територіальна громада досягне стану відновлення та розвитку за визначений часовий проміжок. Заходи деталізуються на завдання та </w:t>
      </w:r>
      <w:proofErr w:type="spellStart"/>
      <w:r w:rsidRPr="00355733">
        <w:t>проєкти</w:t>
      </w:r>
      <w:proofErr w:type="spellEnd"/>
      <w:r w:rsidRPr="00355733">
        <w:t xml:space="preserve">. Комплекс завдань і заходів визначається на підставі стану та потреб громади, а також у відповідності до нормативно-правових актів (Постанов та Наказів Уряду, національних та регіональних програм відновлення тощо). </w:t>
      </w:r>
    </w:p>
    <w:p w:rsidR="00A958AD" w:rsidRPr="00355733" w:rsidRDefault="00580D79" w:rsidP="00A958AD">
      <w:pPr>
        <w:ind w:firstLine="708"/>
        <w:rPr>
          <w:lang w:val="ru-RU"/>
        </w:rPr>
      </w:pPr>
      <w:r w:rsidRPr="00355733">
        <w:rPr>
          <w:lang w:val="ru-RU"/>
        </w:rPr>
        <w:t>Комплекс</w:t>
      </w:r>
      <w:r w:rsidRPr="00355733">
        <w:t xml:space="preserve"> завдань і заходів є універсальним, з можливістю редагування, і відповідно, під час реалізації Програми можуть з’являтися нові </w:t>
      </w:r>
      <w:proofErr w:type="spellStart"/>
      <w:r w:rsidRPr="00355733">
        <w:t>проєкти</w:t>
      </w:r>
      <w:proofErr w:type="spellEnd"/>
      <w:r w:rsidRPr="00355733">
        <w:t xml:space="preserve"> на заміну тим, що втратили актуальність. </w:t>
      </w:r>
    </w:p>
    <w:p w:rsidR="00580D79" w:rsidRPr="00355733" w:rsidRDefault="00580D79" w:rsidP="00A958AD">
      <w:pPr>
        <w:ind w:firstLine="708"/>
      </w:pPr>
      <w:r w:rsidRPr="00355733">
        <w:t xml:space="preserve">У таблиці наведено Ключові заходи, завдання та індикатори заходів </w:t>
      </w:r>
      <w:r w:rsidRPr="00355733">
        <w:rPr>
          <w:color w:val="000000"/>
        </w:rPr>
        <w:t>Програми комплексного відновлення території Сєвєродонецької міської територіальної громади</w:t>
      </w:r>
      <w:r w:rsidRPr="00355733">
        <w:t xml:space="preserve">, які покладено </w:t>
      </w:r>
      <w:r w:rsidR="00221BBD">
        <w:t>в</w:t>
      </w:r>
      <w:r w:rsidRPr="00355733">
        <w:t xml:space="preserve"> основу процесу управління, контролю, моніторингу реалізації Програми. Заплановані до реалізації заходи і </w:t>
      </w:r>
      <w:proofErr w:type="spellStart"/>
      <w:r w:rsidRPr="00355733">
        <w:t>проєкти</w:t>
      </w:r>
      <w:proofErr w:type="spellEnd"/>
      <w:r w:rsidRPr="00355733">
        <w:t xml:space="preserve"> з відновлення та розвитку мають відповідати ключовим пріоритетам розвитку громади та актуальним потребам.</w:t>
      </w:r>
    </w:p>
    <w:p w:rsidR="00580D79" w:rsidRPr="00355733" w:rsidRDefault="00580D79" w:rsidP="00AC499C"/>
    <w:p w:rsidR="00A80848" w:rsidRPr="00355733" w:rsidRDefault="00A80848" w:rsidP="00AC499C"/>
    <w:tbl>
      <w:tblPr>
        <w:tblStyle w:val="af"/>
        <w:tblW w:w="9464"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3794"/>
        <w:gridCol w:w="5670"/>
      </w:tblGrid>
      <w:tr w:rsidR="00355733" w:rsidRPr="00355733" w:rsidTr="00355733">
        <w:trPr>
          <w:tblHeader/>
        </w:trPr>
        <w:tc>
          <w:tcPr>
            <w:tcW w:w="3794" w:type="dxa"/>
            <w:shd w:val="clear" w:color="auto" w:fill="31849B" w:themeFill="accent5" w:themeFillShade="BF"/>
          </w:tcPr>
          <w:p w:rsidR="00355733" w:rsidRPr="00355733" w:rsidRDefault="00355733" w:rsidP="00284E97">
            <w:pPr>
              <w:pStyle w:val="210"/>
              <w:keepNext w:val="0"/>
              <w:keepLines w:val="0"/>
              <w:widowControl w:val="0"/>
              <w:shd w:val="clear" w:color="auto" w:fill="0070C0"/>
              <w:spacing w:before="0" w:line="240" w:lineRule="auto"/>
              <w:ind w:firstLine="0"/>
              <w:jc w:val="center"/>
              <w:rPr>
                <w:rFonts w:ascii="Times New Roman" w:eastAsia="Times New Roman" w:hAnsi="Times New Roman" w:cs="Times New Roman"/>
                <w:b/>
                <w:color w:val="FFFFFF" w:themeColor="background1"/>
                <w:sz w:val="24"/>
                <w:szCs w:val="24"/>
                <w:lang w:eastAsia="uk-UA"/>
              </w:rPr>
            </w:pPr>
            <w:r w:rsidRPr="00355733">
              <w:rPr>
                <w:rFonts w:ascii="Times New Roman" w:eastAsia="Times New Roman" w:hAnsi="Times New Roman" w:cs="Times New Roman"/>
                <w:b/>
                <w:color w:val="FFFFFF" w:themeColor="background1"/>
                <w:sz w:val="24"/>
                <w:szCs w:val="24"/>
                <w:lang w:eastAsia="uk-UA"/>
              </w:rPr>
              <w:t xml:space="preserve">Заходи з </w:t>
            </w:r>
            <w:proofErr w:type="spellStart"/>
            <w:r w:rsidRPr="00355733">
              <w:rPr>
                <w:rFonts w:ascii="Times New Roman" w:eastAsia="Times New Roman" w:hAnsi="Times New Roman" w:cs="Times New Roman"/>
                <w:b/>
                <w:color w:val="FFFFFF" w:themeColor="background1"/>
                <w:sz w:val="24"/>
                <w:szCs w:val="24"/>
                <w:lang w:eastAsia="uk-UA"/>
              </w:rPr>
              <w:t>відновлення</w:t>
            </w:r>
            <w:proofErr w:type="spellEnd"/>
            <w:r w:rsidRPr="00355733">
              <w:rPr>
                <w:rFonts w:ascii="Times New Roman" w:eastAsia="Times New Roman" w:hAnsi="Times New Roman" w:cs="Times New Roman"/>
                <w:b/>
                <w:color w:val="FFFFFF" w:themeColor="background1"/>
                <w:sz w:val="24"/>
                <w:szCs w:val="24"/>
                <w:lang w:eastAsia="uk-UA"/>
              </w:rPr>
              <w:t xml:space="preserve"> та </w:t>
            </w:r>
            <w:proofErr w:type="spellStart"/>
            <w:r w:rsidRPr="00355733">
              <w:rPr>
                <w:rFonts w:ascii="Times New Roman" w:eastAsia="Times New Roman" w:hAnsi="Times New Roman" w:cs="Times New Roman"/>
                <w:b/>
                <w:color w:val="FFFFFF" w:themeColor="background1"/>
                <w:sz w:val="24"/>
                <w:szCs w:val="24"/>
                <w:lang w:eastAsia="uk-UA"/>
              </w:rPr>
              <w:t>розвитку</w:t>
            </w:r>
            <w:proofErr w:type="spellEnd"/>
            <w:r w:rsidRPr="00355733">
              <w:rPr>
                <w:rFonts w:ascii="Times New Roman" w:eastAsia="Times New Roman" w:hAnsi="Times New Roman" w:cs="Times New Roman"/>
                <w:b/>
                <w:color w:val="FFFFFF" w:themeColor="background1"/>
                <w:sz w:val="24"/>
                <w:szCs w:val="24"/>
                <w:lang w:eastAsia="uk-UA"/>
              </w:rPr>
              <w:t xml:space="preserve"> </w:t>
            </w:r>
            <w:proofErr w:type="spellStart"/>
            <w:r w:rsidRPr="00355733">
              <w:rPr>
                <w:rFonts w:ascii="Times New Roman" w:eastAsia="Times New Roman" w:hAnsi="Times New Roman" w:cs="Times New Roman"/>
                <w:b/>
                <w:color w:val="FFFFFF" w:themeColor="background1"/>
                <w:sz w:val="24"/>
                <w:szCs w:val="24"/>
                <w:lang w:eastAsia="uk-UA"/>
              </w:rPr>
              <w:t>громади</w:t>
            </w:r>
            <w:proofErr w:type="spellEnd"/>
          </w:p>
        </w:tc>
        <w:tc>
          <w:tcPr>
            <w:tcW w:w="5670" w:type="dxa"/>
            <w:shd w:val="clear" w:color="auto" w:fill="31849B" w:themeFill="accent5" w:themeFillShade="BF"/>
          </w:tcPr>
          <w:p w:rsidR="00355733" w:rsidRPr="00355733" w:rsidRDefault="00355733" w:rsidP="00284E97">
            <w:pPr>
              <w:pStyle w:val="210"/>
              <w:keepNext w:val="0"/>
              <w:keepLines w:val="0"/>
              <w:widowControl w:val="0"/>
              <w:shd w:val="clear" w:color="auto" w:fill="0070C0"/>
              <w:spacing w:before="0" w:line="240" w:lineRule="auto"/>
              <w:ind w:firstLine="0"/>
              <w:jc w:val="center"/>
              <w:rPr>
                <w:rFonts w:ascii="Times New Roman" w:eastAsia="Times New Roman" w:hAnsi="Times New Roman" w:cs="Times New Roman"/>
                <w:b/>
                <w:color w:val="FFFFFF" w:themeColor="background1"/>
                <w:sz w:val="24"/>
                <w:szCs w:val="24"/>
                <w:lang w:eastAsia="uk-UA"/>
              </w:rPr>
            </w:pPr>
            <w:proofErr w:type="spellStart"/>
            <w:r w:rsidRPr="00355733">
              <w:rPr>
                <w:rFonts w:ascii="Times New Roman" w:eastAsia="Times New Roman" w:hAnsi="Times New Roman" w:cs="Times New Roman"/>
                <w:b/>
                <w:color w:val="FFFFFF" w:themeColor="background1"/>
                <w:sz w:val="24"/>
                <w:szCs w:val="24"/>
                <w:lang w:eastAsia="uk-UA"/>
              </w:rPr>
              <w:t>Завдання</w:t>
            </w:r>
            <w:proofErr w:type="spellEnd"/>
            <w:r w:rsidRPr="00355733">
              <w:rPr>
                <w:rFonts w:ascii="Times New Roman" w:eastAsia="Times New Roman" w:hAnsi="Times New Roman" w:cs="Times New Roman"/>
                <w:b/>
                <w:color w:val="FFFFFF" w:themeColor="background1"/>
                <w:sz w:val="24"/>
                <w:szCs w:val="24"/>
                <w:lang w:eastAsia="uk-UA"/>
              </w:rPr>
              <w:t xml:space="preserve"> </w:t>
            </w:r>
            <w:proofErr w:type="spellStart"/>
            <w:r w:rsidRPr="00355733">
              <w:rPr>
                <w:rFonts w:ascii="Times New Roman" w:eastAsia="Times New Roman" w:hAnsi="Times New Roman" w:cs="Times New Roman"/>
                <w:b/>
                <w:color w:val="FFFFFF" w:themeColor="background1"/>
                <w:sz w:val="24"/>
                <w:szCs w:val="24"/>
                <w:lang w:eastAsia="uk-UA"/>
              </w:rPr>
              <w:t>заходів</w:t>
            </w:r>
            <w:proofErr w:type="spellEnd"/>
          </w:p>
        </w:tc>
      </w:tr>
      <w:tr w:rsidR="00355733" w:rsidRPr="00355733" w:rsidTr="00355733">
        <w:tc>
          <w:tcPr>
            <w:tcW w:w="3794" w:type="dxa"/>
            <w:vMerge w:val="restart"/>
            <w:vAlign w:val="center"/>
          </w:tcPr>
          <w:p w:rsidR="00355733" w:rsidRPr="00355733" w:rsidRDefault="00355733" w:rsidP="00284E97">
            <w:pPr>
              <w:widowControl w:val="0"/>
              <w:rPr>
                <w:rFonts w:eastAsia="Calibri"/>
                <w:sz w:val="24"/>
                <w:szCs w:val="24"/>
              </w:rPr>
            </w:pPr>
            <w:r w:rsidRPr="00355733">
              <w:rPr>
                <w:rFonts w:eastAsia="Calibri"/>
                <w:sz w:val="24"/>
                <w:szCs w:val="24"/>
              </w:rPr>
              <w:t xml:space="preserve">1. </w:t>
            </w:r>
            <w:proofErr w:type="spellStart"/>
            <w:r w:rsidRPr="00355733">
              <w:rPr>
                <w:rFonts w:eastAsia="Calibri"/>
                <w:sz w:val="24"/>
                <w:szCs w:val="24"/>
              </w:rPr>
              <w:t>Відновлення</w:t>
            </w:r>
            <w:proofErr w:type="spellEnd"/>
            <w:r w:rsidRPr="00355733">
              <w:rPr>
                <w:rFonts w:eastAsia="Calibri"/>
                <w:sz w:val="24"/>
                <w:szCs w:val="24"/>
              </w:rPr>
              <w:t xml:space="preserve"> </w:t>
            </w:r>
            <w:proofErr w:type="spellStart"/>
            <w:r w:rsidRPr="00355733">
              <w:rPr>
                <w:rFonts w:eastAsia="Calibri"/>
                <w:sz w:val="24"/>
                <w:szCs w:val="24"/>
              </w:rPr>
              <w:t>житлового</w:t>
            </w:r>
            <w:proofErr w:type="spellEnd"/>
            <w:r w:rsidRPr="00355733">
              <w:rPr>
                <w:rFonts w:eastAsia="Calibri"/>
                <w:sz w:val="24"/>
                <w:szCs w:val="24"/>
              </w:rPr>
              <w:t xml:space="preserve"> фонду</w:t>
            </w:r>
            <w:r w:rsidR="005F120D">
              <w:rPr>
                <w:rFonts w:eastAsia="Calibri"/>
                <w:sz w:val="24"/>
                <w:szCs w:val="24"/>
              </w:rPr>
              <w:t>.</w:t>
            </w:r>
          </w:p>
          <w:p w:rsidR="00355733" w:rsidRPr="00355733" w:rsidRDefault="00355733" w:rsidP="00284E97">
            <w:pPr>
              <w:widowControl w:val="0"/>
              <w:rPr>
                <w:rFonts w:eastAsia="Calibri"/>
                <w:sz w:val="24"/>
                <w:szCs w:val="24"/>
              </w:rPr>
            </w:pPr>
            <w:r w:rsidRPr="00355733">
              <w:rPr>
                <w:rFonts w:eastAsia="Calibri"/>
                <w:sz w:val="24"/>
                <w:szCs w:val="24"/>
              </w:rPr>
              <w:t xml:space="preserve">2. </w:t>
            </w:r>
            <w:proofErr w:type="spellStart"/>
            <w:r w:rsidRPr="00355733">
              <w:rPr>
                <w:rFonts w:eastAsia="Calibri"/>
                <w:sz w:val="24"/>
                <w:szCs w:val="24"/>
              </w:rPr>
              <w:t>Відбудова</w:t>
            </w:r>
            <w:proofErr w:type="spellEnd"/>
            <w:r w:rsidRPr="00355733">
              <w:rPr>
                <w:rFonts w:eastAsia="Calibri"/>
                <w:sz w:val="24"/>
                <w:szCs w:val="24"/>
              </w:rPr>
              <w:t xml:space="preserve"> </w:t>
            </w:r>
            <w:proofErr w:type="spellStart"/>
            <w:r w:rsidRPr="00355733">
              <w:rPr>
                <w:rFonts w:eastAsia="Calibri"/>
                <w:sz w:val="24"/>
                <w:szCs w:val="24"/>
              </w:rPr>
              <w:t>об’єктів</w:t>
            </w:r>
            <w:proofErr w:type="spellEnd"/>
            <w:r w:rsidRPr="00355733">
              <w:rPr>
                <w:rFonts w:eastAsia="Calibri"/>
                <w:sz w:val="24"/>
                <w:szCs w:val="24"/>
              </w:rPr>
              <w:t xml:space="preserve"> </w:t>
            </w:r>
            <w:proofErr w:type="spellStart"/>
            <w:r>
              <w:rPr>
                <w:rFonts w:eastAsia="Calibri"/>
                <w:sz w:val="24"/>
                <w:szCs w:val="24"/>
              </w:rPr>
              <w:t>медицини</w:t>
            </w:r>
            <w:proofErr w:type="spellEnd"/>
            <w:r>
              <w:rPr>
                <w:rFonts w:eastAsia="Calibri"/>
                <w:sz w:val="24"/>
                <w:szCs w:val="24"/>
              </w:rPr>
              <w:t xml:space="preserve"> та </w:t>
            </w:r>
            <w:proofErr w:type="spellStart"/>
            <w:r w:rsidRPr="00355733">
              <w:rPr>
                <w:rFonts w:eastAsia="Calibri"/>
                <w:sz w:val="24"/>
                <w:szCs w:val="24"/>
              </w:rPr>
              <w:t>соціальної</w:t>
            </w:r>
            <w:proofErr w:type="spellEnd"/>
            <w:r w:rsidRPr="00355733">
              <w:rPr>
                <w:rFonts w:eastAsia="Calibri"/>
                <w:sz w:val="24"/>
                <w:szCs w:val="24"/>
              </w:rPr>
              <w:t xml:space="preserve"> </w:t>
            </w:r>
            <w:proofErr w:type="spellStart"/>
            <w:proofErr w:type="gramStart"/>
            <w:r w:rsidRPr="00355733">
              <w:rPr>
                <w:rFonts w:eastAsia="Calibri"/>
                <w:sz w:val="24"/>
                <w:szCs w:val="24"/>
              </w:rPr>
              <w:t>інфраструктури</w:t>
            </w:r>
            <w:proofErr w:type="spellEnd"/>
            <w:r w:rsidRPr="00355733">
              <w:rPr>
                <w:rFonts w:eastAsia="Calibri"/>
                <w:sz w:val="24"/>
                <w:szCs w:val="24"/>
              </w:rPr>
              <w:t xml:space="preserve"> </w:t>
            </w:r>
            <w:r w:rsidR="005F120D">
              <w:rPr>
                <w:rFonts w:eastAsia="Calibri"/>
                <w:sz w:val="24"/>
                <w:szCs w:val="24"/>
              </w:rPr>
              <w:t>.</w:t>
            </w:r>
            <w:proofErr w:type="gramEnd"/>
          </w:p>
          <w:p w:rsidR="00355733" w:rsidRPr="00355733" w:rsidRDefault="00355733" w:rsidP="00284E97">
            <w:pPr>
              <w:widowControl w:val="0"/>
              <w:rPr>
                <w:rFonts w:eastAsia="Calibri"/>
                <w:sz w:val="24"/>
                <w:szCs w:val="24"/>
              </w:rPr>
            </w:pPr>
            <w:r w:rsidRPr="00355733">
              <w:rPr>
                <w:rFonts w:eastAsia="Calibri"/>
                <w:sz w:val="24"/>
                <w:szCs w:val="24"/>
              </w:rPr>
              <w:t xml:space="preserve">3. </w:t>
            </w:r>
            <w:proofErr w:type="spellStart"/>
            <w:r w:rsidRPr="00355733">
              <w:rPr>
                <w:rFonts w:eastAsia="Calibri"/>
                <w:sz w:val="24"/>
                <w:szCs w:val="24"/>
              </w:rPr>
              <w:t>Відбудова</w:t>
            </w:r>
            <w:proofErr w:type="spellEnd"/>
            <w:r w:rsidRPr="00355733">
              <w:rPr>
                <w:rFonts w:eastAsia="Calibri"/>
                <w:sz w:val="24"/>
                <w:szCs w:val="24"/>
              </w:rPr>
              <w:t xml:space="preserve"> </w:t>
            </w:r>
            <w:proofErr w:type="spellStart"/>
            <w:r w:rsidRPr="00355733">
              <w:rPr>
                <w:rFonts w:eastAsia="Calibri"/>
                <w:sz w:val="24"/>
                <w:szCs w:val="24"/>
              </w:rPr>
              <w:t>об’єктів</w:t>
            </w:r>
            <w:proofErr w:type="spellEnd"/>
            <w:r w:rsidRPr="00355733">
              <w:rPr>
                <w:rFonts w:eastAsia="Calibri"/>
                <w:sz w:val="24"/>
                <w:szCs w:val="24"/>
              </w:rPr>
              <w:t xml:space="preserve"> </w:t>
            </w:r>
            <w:proofErr w:type="spellStart"/>
            <w:r w:rsidRPr="00355733">
              <w:rPr>
                <w:rFonts w:eastAsia="Calibri"/>
                <w:sz w:val="24"/>
                <w:szCs w:val="24"/>
              </w:rPr>
              <w:t>житлово-комунального</w:t>
            </w:r>
            <w:proofErr w:type="spellEnd"/>
            <w:r w:rsidRPr="00355733">
              <w:rPr>
                <w:rFonts w:eastAsia="Calibri"/>
                <w:sz w:val="24"/>
                <w:szCs w:val="24"/>
              </w:rPr>
              <w:t xml:space="preserve"> </w:t>
            </w:r>
            <w:proofErr w:type="spellStart"/>
            <w:r w:rsidRPr="00355733">
              <w:rPr>
                <w:rFonts w:eastAsia="Calibri"/>
                <w:sz w:val="24"/>
                <w:szCs w:val="24"/>
              </w:rPr>
              <w:t>господарства</w:t>
            </w:r>
            <w:proofErr w:type="spellEnd"/>
            <w:r w:rsidR="005F120D">
              <w:rPr>
                <w:rFonts w:eastAsia="Calibri"/>
                <w:sz w:val="24"/>
                <w:szCs w:val="24"/>
              </w:rPr>
              <w:t>.</w:t>
            </w:r>
          </w:p>
          <w:p w:rsidR="00355733" w:rsidRPr="00355733" w:rsidRDefault="00355733" w:rsidP="00284E97">
            <w:pPr>
              <w:widowControl w:val="0"/>
              <w:rPr>
                <w:rFonts w:eastAsia="Calibri"/>
                <w:sz w:val="24"/>
                <w:szCs w:val="24"/>
              </w:rPr>
            </w:pPr>
            <w:r w:rsidRPr="00355733">
              <w:rPr>
                <w:rFonts w:eastAsia="Calibri"/>
                <w:sz w:val="24"/>
                <w:szCs w:val="24"/>
              </w:rPr>
              <w:t xml:space="preserve">4. </w:t>
            </w:r>
            <w:proofErr w:type="spellStart"/>
            <w:r w:rsidRPr="00355733">
              <w:rPr>
                <w:rFonts w:eastAsia="Calibri"/>
                <w:sz w:val="24"/>
                <w:szCs w:val="24"/>
              </w:rPr>
              <w:t>Відбудова</w:t>
            </w:r>
            <w:proofErr w:type="spellEnd"/>
            <w:r w:rsidRPr="00355733">
              <w:rPr>
                <w:rFonts w:eastAsia="Calibri"/>
                <w:sz w:val="24"/>
                <w:szCs w:val="24"/>
              </w:rPr>
              <w:t xml:space="preserve"> </w:t>
            </w:r>
            <w:proofErr w:type="spellStart"/>
            <w:r w:rsidRPr="00355733">
              <w:rPr>
                <w:rFonts w:eastAsia="Calibri"/>
                <w:sz w:val="24"/>
                <w:szCs w:val="24"/>
              </w:rPr>
              <w:t>об’єктів</w:t>
            </w:r>
            <w:proofErr w:type="spellEnd"/>
            <w:r w:rsidRPr="00355733">
              <w:rPr>
                <w:rFonts w:eastAsia="Calibri"/>
                <w:sz w:val="24"/>
                <w:szCs w:val="24"/>
              </w:rPr>
              <w:t xml:space="preserve"> </w:t>
            </w:r>
            <w:proofErr w:type="spellStart"/>
            <w:r w:rsidRPr="00355733">
              <w:rPr>
                <w:rFonts w:eastAsia="Calibri"/>
                <w:sz w:val="24"/>
                <w:szCs w:val="24"/>
              </w:rPr>
              <w:t>енергетичної</w:t>
            </w:r>
            <w:proofErr w:type="spellEnd"/>
            <w:r w:rsidRPr="00355733">
              <w:rPr>
                <w:rFonts w:eastAsia="Calibri"/>
                <w:sz w:val="24"/>
                <w:szCs w:val="24"/>
              </w:rPr>
              <w:t xml:space="preserve"> </w:t>
            </w:r>
            <w:proofErr w:type="spellStart"/>
            <w:r w:rsidRPr="00355733">
              <w:rPr>
                <w:rFonts w:eastAsia="Calibri"/>
                <w:sz w:val="24"/>
                <w:szCs w:val="24"/>
              </w:rPr>
              <w:t>інфраструктури</w:t>
            </w:r>
            <w:proofErr w:type="spellEnd"/>
            <w:r w:rsidR="005F120D">
              <w:rPr>
                <w:rFonts w:eastAsia="Calibri"/>
                <w:sz w:val="24"/>
                <w:szCs w:val="24"/>
              </w:rPr>
              <w:t>.</w:t>
            </w:r>
          </w:p>
          <w:p w:rsidR="00355733" w:rsidRPr="00355733" w:rsidRDefault="00355733" w:rsidP="00284E97">
            <w:pPr>
              <w:widowControl w:val="0"/>
              <w:rPr>
                <w:rFonts w:eastAsia="Calibri"/>
                <w:sz w:val="24"/>
                <w:szCs w:val="24"/>
              </w:rPr>
            </w:pPr>
            <w:r w:rsidRPr="00355733">
              <w:rPr>
                <w:rFonts w:eastAsia="Calibri"/>
                <w:sz w:val="24"/>
                <w:szCs w:val="24"/>
              </w:rPr>
              <w:t xml:space="preserve">5. </w:t>
            </w:r>
            <w:proofErr w:type="spellStart"/>
            <w:r w:rsidRPr="00355733">
              <w:rPr>
                <w:rFonts w:eastAsia="Calibri"/>
                <w:sz w:val="24"/>
                <w:szCs w:val="24"/>
              </w:rPr>
              <w:t>Відбудова</w:t>
            </w:r>
            <w:proofErr w:type="spellEnd"/>
            <w:r w:rsidRPr="00355733">
              <w:rPr>
                <w:rFonts w:eastAsia="Calibri"/>
                <w:sz w:val="24"/>
                <w:szCs w:val="24"/>
              </w:rPr>
              <w:t xml:space="preserve"> </w:t>
            </w:r>
            <w:proofErr w:type="spellStart"/>
            <w:r w:rsidRPr="00355733">
              <w:rPr>
                <w:rFonts w:eastAsia="Calibri"/>
                <w:sz w:val="24"/>
                <w:szCs w:val="24"/>
              </w:rPr>
              <w:t>об’єктів</w:t>
            </w:r>
            <w:proofErr w:type="spellEnd"/>
            <w:r w:rsidRPr="00355733">
              <w:rPr>
                <w:rFonts w:eastAsia="Calibri"/>
                <w:sz w:val="24"/>
                <w:szCs w:val="24"/>
              </w:rPr>
              <w:t xml:space="preserve"> </w:t>
            </w:r>
            <w:proofErr w:type="spellStart"/>
            <w:r w:rsidRPr="00355733">
              <w:rPr>
                <w:rFonts w:eastAsia="Calibri"/>
                <w:sz w:val="24"/>
                <w:szCs w:val="24"/>
              </w:rPr>
              <w:t>дорожньо-транспортної</w:t>
            </w:r>
            <w:proofErr w:type="spellEnd"/>
            <w:r w:rsidRPr="00355733">
              <w:rPr>
                <w:rFonts w:eastAsia="Calibri"/>
                <w:sz w:val="24"/>
                <w:szCs w:val="24"/>
              </w:rPr>
              <w:t xml:space="preserve"> та </w:t>
            </w:r>
            <w:proofErr w:type="spellStart"/>
            <w:r w:rsidRPr="00355733">
              <w:rPr>
                <w:rFonts w:eastAsia="Calibri"/>
                <w:sz w:val="24"/>
                <w:szCs w:val="24"/>
              </w:rPr>
              <w:t>мостової</w:t>
            </w:r>
            <w:proofErr w:type="spellEnd"/>
            <w:r w:rsidRPr="00355733">
              <w:rPr>
                <w:rFonts w:eastAsia="Calibri"/>
                <w:sz w:val="24"/>
                <w:szCs w:val="24"/>
              </w:rPr>
              <w:t xml:space="preserve"> </w:t>
            </w:r>
            <w:proofErr w:type="spellStart"/>
            <w:r w:rsidRPr="00355733">
              <w:rPr>
                <w:rFonts w:eastAsia="Calibri"/>
                <w:sz w:val="24"/>
                <w:szCs w:val="24"/>
              </w:rPr>
              <w:t>інфраструктури</w:t>
            </w:r>
            <w:proofErr w:type="spellEnd"/>
          </w:p>
          <w:p w:rsidR="00355733" w:rsidRPr="00355733" w:rsidRDefault="00355733" w:rsidP="00284E97">
            <w:pPr>
              <w:widowControl w:val="0"/>
              <w:rPr>
                <w:rFonts w:eastAsia="Calibri"/>
                <w:sz w:val="24"/>
                <w:szCs w:val="24"/>
              </w:rPr>
            </w:pPr>
            <w:r w:rsidRPr="00355733">
              <w:rPr>
                <w:rFonts w:eastAsia="Calibri"/>
                <w:sz w:val="24"/>
                <w:szCs w:val="24"/>
              </w:rPr>
              <w:t xml:space="preserve">6. </w:t>
            </w:r>
            <w:proofErr w:type="spellStart"/>
            <w:r w:rsidRPr="00355733">
              <w:rPr>
                <w:rFonts w:eastAsia="Calibri"/>
                <w:sz w:val="24"/>
                <w:szCs w:val="24"/>
              </w:rPr>
              <w:t>Відновлення</w:t>
            </w:r>
            <w:proofErr w:type="spellEnd"/>
            <w:r w:rsidRPr="00355733">
              <w:rPr>
                <w:rFonts w:eastAsia="Calibri"/>
                <w:sz w:val="24"/>
                <w:szCs w:val="24"/>
              </w:rPr>
              <w:t xml:space="preserve"> </w:t>
            </w:r>
            <w:proofErr w:type="spellStart"/>
            <w:proofErr w:type="gramStart"/>
            <w:r w:rsidRPr="00355733">
              <w:rPr>
                <w:rFonts w:eastAsia="Calibri"/>
                <w:sz w:val="24"/>
                <w:szCs w:val="24"/>
              </w:rPr>
              <w:t>об’єктів</w:t>
            </w:r>
            <w:proofErr w:type="spellEnd"/>
            <w:r w:rsidRPr="00355733">
              <w:rPr>
                <w:rFonts w:eastAsia="Calibri"/>
                <w:sz w:val="24"/>
                <w:szCs w:val="24"/>
              </w:rPr>
              <w:t xml:space="preserve">  </w:t>
            </w:r>
            <w:proofErr w:type="spellStart"/>
            <w:r w:rsidRPr="00355733">
              <w:rPr>
                <w:rFonts w:eastAsia="Calibri"/>
                <w:sz w:val="24"/>
                <w:szCs w:val="24"/>
              </w:rPr>
              <w:t>інфраструктури</w:t>
            </w:r>
            <w:proofErr w:type="spellEnd"/>
            <w:proofErr w:type="gramEnd"/>
            <w:r w:rsidRPr="00355733">
              <w:rPr>
                <w:rFonts w:eastAsia="Calibri"/>
                <w:sz w:val="24"/>
                <w:szCs w:val="24"/>
              </w:rPr>
              <w:t xml:space="preserve"> </w:t>
            </w:r>
            <w:proofErr w:type="spellStart"/>
            <w:r w:rsidRPr="00355733">
              <w:rPr>
                <w:rFonts w:eastAsia="Calibri"/>
                <w:sz w:val="24"/>
                <w:szCs w:val="24"/>
              </w:rPr>
              <w:t>електронних</w:t>
            </w:r>
            <w:proofErr w:type="spellEnd"/>
            <w:r w:rsidRPr="00355733">
              <w:rPr>
                <w:rFonts w:eastAsia="Calibri"/>
                <w:sz w:val="24"/>
                <w:szCs w:val="24"/>
              </w:rPr>
              <w:t xml:space="preserve"> </w:t>
            </w:r>
            <w:proofErr w:type="spellStart"/>
            <w:r w:rsidRPr="00355733">
              <w:rPr>
                <w:rFonts w:eastAsia="Calibri"/>
                <w:sz w:val="24"/>
                <w:szCs w:val="24"/>
              </w:rPr>
              <w:t>комунікаційних</w:t>
            </w:r>
            <w:proofErr w:type="spellEnd"/>
            <w:r w:rsidRPr="00355733">
              <w:rPr>
                <w:rFonts w:eastAsia="Calibri"/>
                <w:sz w:val="24"/>
                <w:szCs w:val="24"/>
              </w:rPr>
              <w:t xml:space="preserve"> мереж</w:t>
            </w:r>
            <w:r w:rsidR="005F120D">
              <w:rPr>
                <w:rFonts w:eastAsia="Calibri"/>
                <w:sz w:val="24"/>
                <w:szCs w:val="24"/>
              </w:rPr>
              <w:t>.</w:t>
            </w:r>
          </w:p>
        </w:tc>
        <w:tc>
          <w:tcPr>
            <w:tcW w:w="5670" w:type="dxa"/>
          </w:tcPr>
          <w:p w:rsidR="00355733" w:rsidRPr="00355733" w:rsidRDefault="00355733" w:rsidP="00284E97">
            <w:pPr>
              <w:widowControl w:val="0"/>
              <w:rPr>
                <w:rFonts w:eastAsia="Calibri"/>
                <w:sz w:val="24"/>
                <w:szCs w:val="24"/>
              </w:rPr>
            </w:pPr>
            <w:proofErr w:type="spellStart"/>
            <w:r w:rsidRPr="00355733">
              <w:rPr>
                <w:rFonts w:eastAsia="Calibri"/>
                <w:sz w:val="24"/>
                <w:szCs w:val="24"/>
              </w:rPr>
              <w:t>Інвентаризація</w:t>
            </w:r>
            <w:proofErr w:type="spellEnd"/>
            <w:r w:rsidRPr="00355733">
              <w:rPr>
                <w:rFonts w:eastAsia="Calibri"/>
                <w:sz w:val="24"/>
                <w:szCs w:val="24"/>
              </w:rPr>
              <w:t xml:space="preserve"> та </w:t>
            </w:r>
            <w:proofErr w:type="spellStart"/>
            <w:r w:rsidRPr="00355733">
              <w:rPr>
                <w:rFonts w:eastAsia="Calibri"/>
                <w:sz w:val="24"/>
                <w:szCs w:val="24"/>
              </w:rPr>
              <w:t>оцінка</w:t>
            </w:r>
            <w:proofErr w:type="spellEnd"/>
            <w:r w:rsidRPr="00355733">
              <w:rPr>
                <w:rFonts w:eastAsia="Calibri"/>
                <w:sz w:val="24"/>
                <w:szCs w:val="24"/>
              </w:rPr>
              <w:t xml:space="preserve"> </w:t>
            </w:r>
            <w:proofErr w:type="spellStart"/>
            <w:r w:rsidRPr="00355733">
              <w:rPr>
                <w:rFonts w:eastAsia="Calibri"/>
                <w:sz w:val="24"/>
                <w:szCs w:val="24"/>
              </w:rPr>
              <w:t>ступеня</w:t>
            </w:r>
            <w:proofErr w:type="spellEnd"/>
            <w:r w:rsidRPr="00355733">
              <w:rPr>
                <w:rFonts w:eastAsia="Calibri"/>
                <w:sz w:val="24"/>
                <w:szCs w:val="24"/>
              </w:rPr>
              <w:t xml:space="preserve"> </w:t>
            </w:r>
            <w:proofErr w:type="spellStart"/>
            <w:r w:rsidRPr="00355733">
              <w:rPr>
                <w:rFonts w:eastAsia="Calibri"/>
                <w:sz w:val="24"/>
                <w:szCs w:val="24"/>
              </w:rPr>
              <w:t>руйнувань</w:t>
            </w:r>
            <w:proofErr w:type="spellEnd"/>
            <w:r w:rsidRPr="00355733">
              <w:rPr>
                <w:rFonts w:eastAsia="Calibri"/>
                <w:sz w:val="24"/>
                <w:szCs w:val="24"/>
              </w:rPr>
              <w:t xml:space="preserve"> та </w:t>
            </w:r>
            <w:proofErr w:type="spellStart"/>
            <w:r w:rsidRPr="00355733">
              <w:rPr>
                <w:rFonts w:eastAsia="Calibri"/>
                <w:sz w:val="24"/>
                <w:szCs w:val="24"/>
              </w:rPr>
              <w:t>пошкоджень</w:t>
            </w:r>
            <w:proofErr w:type="spellEnd"/>
            <w:r w:rsidRPr="00355733">
              <w:rPr>
                <w:rFonts w:eastAsia="Calibri"/>
                <w:sz w:val="24"/>
                <w:szCs w:val="24"/>
              </w:rPr>
              <w:t xml:space="preserve"> </w:t>
            </w:r>
            <w:proofErr w:type="spellStart"/>
            <w:r w:rsidRPr="00355733">
              <w:rPr>
                <w:rFonts w:eastAsia="Calibri"/>
                <w:sz w:val="24"/>
                <w:szCs w:val="24"/>
              </w:rPr>
              <w:t>об’єктів</w:t>
            </w:r>
            <w:proofErr w:type="spellEnd"/>
            <w:r w:rsidRPr="00355733">
              <w:rPr>
                <w:rFonts w:eastAsia="Calibri"/>
                <w:sz w:val="24"/>
                <w:szCs w:val="24"/>
              </w:rPr>
              <w:t xml:space="preserve">, </w:t>
            </w:r>
            <w:proofErr w:type="spellStart"/>
            <w:r w:rsidRPr="00355733">
              <w:rPr>
                <w:rFonts w:eastAsia="Calibri"/>
                <w:sz w:val="24"/>
                <w:szCs w:val="24"/>
              </w:rPr>
              <w:t>що</w:t>
            </w:r>
            <w:proofErr w:type="spellEnd"/>
            <w:r w:rsidRPr="00355733">
              <w:rPr>
                <w:rFonts w:eastAsia="Calibri"/>
                <w:sz w:val="24"/>
                <w:szCs w:val="24"/>
              </w:rPr>
              <w:t xml:space="preserve"> </w:t>
            </w:r>
            <w:proofErr w:type="spellStart"/>
            <w:r w:rsidRPr="00355733">
              <w:rPr>
                <w:rFonts w:eastAsia="Calibri"/>
                <w:sz w:val="24"/>
                <w:szCs w:val="24"/>
              </w:rPr>
              <w:t>підлягають</w:t>
            </w:r>
            <w:proofErr w:type="spellEnd"/>
            <w:r w:rsidRPr="00355733">
              <w:rPr>
                <w:rFonts w:eastAsia="Calibri"/>
                <w:sz w:val="24"/>
                <w:szCs w:val="24"/>
              </w:rPr>
              <w:t xml:space="preserve"> </w:t>
            </w:r>
            <w:proofErr w:type="spellStart"/>
            <w:r w:rsidRPr="00355733">
              <w:rPr>
                <w:rFonts w:eastAsia="Calibri"/>
                <w:sz w:val="24"/>
                <w:szCs w:val="24"/>
              </w:rPr>
              <w:t>відновленню</w:t>
            </w:r>
            <w:proofErr w:type="spellEnd"/>
            <w:r w:rsidRPr="00355733">
              <w:rPr>
                <w:rFonts w:eastAsia="Calibri"/>
                <w:sz w:val="24"/>
                <w:szCs w:val="24"/>
              </w:rPr>
              <w:t xml:space="preserve">. </w:t>
            </w:r>
            <w:proofErr w:type="spellStart"/>
            <w:r w:rsidRPr="00355733">
              <w:rPr>
                <w:rFonts w:eastAsia="Calibri"/>
                <w:sz w:val="24"/>
                <w:szCs w:val="24"/>
              </w:rPr>
              <w:t>Визначення</w:t>
            </w:r>
            <w:proofErr w:type="spellEnd"/>
            <w:r w:rsidRPr="00355733">
              <w:rPr>
                <w:rFonts w:eastAsia="Calibri"/>
                <w:sz w:val="24"/>
                <w:szCs w:val="24"/>
              </w:rPr>
              <w:t xml:space="preserve"> </w:t>
            </w:r>
            <w:proofErr w:type="gramStart"/>
            <w:r w:rsidRPr="00355733">
              <w:rPr>
                <w:rFonts w:eastAsia="Calibri"/>
                <w:sz w:val="24"/>
                <w:szCs w:val="24"/>
              </w:rPr>
              <w:t xml:space="preserve">потреб,  </w:t>
            </w:r>
            <w:proofErr w:type="spellStart"/>
            <w:r w:rsidRPr="00355733">
              <w:rPr>
                <w:rFonts w:eastAsia="Calibri"/>
                <w:sz w:val="24"/>
                <w:szCs w:val="24"/>
              </w:rPr>
              <w:t>пріоритетності</w:t>
            </w:r>
            <w:proofErr w:type="spellEnd"/>
            <w:proofErr w:type="gramEnd"/>
            <w:r w:rsidRPr="00355733">
              <w:rPr>
                <w:rFonts w:eastAsia="Calibri"/>
                <w:sz w:val="24"/>
                <w:szCs w:val="24"/>
              </w:rPr>
              <w:t xml:space="preserve"> та </w:t>
            </w:r>
            <w:proofErr w:type="spellStart"/>
            <w:r w:rsidRPr="00355733">
              <w:rPr>
                <w:rFonts w:eastAsia="Calibri"/>
                <w:sz w:val="24"/>
                <w:szCs w:val="24"/>
              </w:rPr>
              <w:t>черговості</w:t>
            </w:r>
            <w:proofErr w:type="spellEnd"/>
            <w:r w:rsidRPr="00355733">
              <w:rPr>
                <w:rFonts w:eastAsia="Calibri"/>
                <w:sz w:val="24"/>
                <w:szCs w:val="24"/>
              </w:rPr>
              <w:t xml:space="preserve"> </w:t>
            </w:r>
            <w:proofErr w:type="spellStart"/>
            <w:r w:rsidRPr="00355733">
              <w:rPr>
                <w:rFonts w:eastAsia="Calibri"/>
                <w:sz w:val="24"/>
                <w:szCs w:val="24"/>
              </w:rPr>
              <w:t>відновлення</w:t>
            </w:r>
            <w:proofErr w:type="spellEnd"/>
            <w:r w:rsidRPr="00355733">
              <w:rPr>
                <w:rFonts w:eastAsia="Calibri"/>
                <w:sz w:val="24"/>
                <w:szCs w:val="24"/>
              </w:rPr>
              <w:t xml:space="preserve"> </w:t>
            </w:r>
            <w:proofErr w:type="spellStart"/>
            <w:r w:rsidRPr="00355733">
              <w:rPr>
                <w:rFonts w:eastAsia="Calibri"/>
                <w:sz w:val="24"/>
                <w:szCs w:val="24"/>
              </w:rPr>
              <w:t>об’єктів</w:t>
            </w:r>
            <w:proofErr w:type="spellEnd"/>
            <w:r w:rsidRPr="00355733">
              <w:rPr>
                <w:rFonts w:eastAsia="Calibri"/>
                <w:sz w:val="24"/>
                <w:szCs w:val="24"/>
              </w:rPr>
              <w:t>.</w:t>
            </w:r>
          </w:p>
        </w:tc>
      </w:tr>
      <w:tr w:rsidR="00355733" w:rsidRPr="00355733" w:rsidTr="00355733">
        <w:tc>
          <w:tcPr>
            <w:tcW w:w="3794" w:type="dxa"/>
            <w:vMerge/>
          </w:tcPr>
          <w:p w:rsidR="00355733" w:rsidRPr="00355733" w:rsidRDefault="00355733" w:rsidP="00284E97">
            <w:pPr>
              <w:widowControl w:val="0"/>
              <w:rPr>
                <w:rFonts w:eastAsia="Calibri"/>
                <w:sz w:val="24"/>
                <w:szCs w:val="24"/>
              </w:rPr>
            </w:pPr>
          </w:p>
        </w:tc>
        <w:tc>
          <w:tcPr>
            <w:tcW w:w="5670" w:type="dxa"/>
          </w:tcPr>
          <w:p w:rsidR="00355733" w:rsidRPr="00355733" w:rsidRDefault="00355733" w:rsidP="00284E97">
            <w:pPr>
              <w:widowControl w:val="0"/>
              <w:rPr>
                <w:rFonts w:eastAsia="Calibri"/>
                <w:sz w:val="24"/>
                <w:szCs w:val="24"/>
              </w:rPr>
            </w:pPr>
            <w:proofErr w:type="spellStart"/>
            <w:r w:rsidRPr="00355733">
              <w:rPr>
                <w:rFonts w:eastAsia="Calibri"/>
                <w:sz w:val="24"/>
                <w:szCs w:val="24"/>
              </w:rPr>
              <w:t>Розробка</w:t>
            </w:r>
            <w:proofErr w:type="spellEnd"/>
            <w:r w:rsidRPr="00355733">
              <w:rPr>
                <w:rFonts w:eastAsia="Calibri"/>
                <w:sz w:val="24"/>
                <w:szCs w:val="24"/>
              </w:rPr>
              <w:t xml:space="preserve"> та </w:t>
            </w:r>
            <w:proofErr w:type="spellStart"/>
            <w:r w:rsidRPr="00355733">
              <w:rPr>
                <w:rFonts w:eastAsia="Calibri"/>
                <w:sz w:val="24"/>
                <w:szCs w:val="24"/>
              </w:rPr>
              <w:t>затвердження</w:t>
            </w:r>
            <w:proofErr w:type="spellEnd"/>
            <w:r w:rsidRPr="00355733">
              <w:rPr>
                <w:rFonts w:eastAsia="Calibri"/>
                <w:sz w:val="24"/>
                <w:szCs w:val="24"/>
              </w:rPr>
              <w:t xml:space="preserve"> </w:t>
            </w:r>
            <w:proofErr w:type="spellStart"/>
            <w:r w:rsidRPr="00355733">
              <w:rPr>
                <w:rFonts w:eastAsia="Calibri"/>
                <w:sz w:val="24"/>
                <w:szCs w:val="24"/>
              </w:rPr>
              <w:t>проєктної</w:t>
            </w:r>
            <w:proofErr w:type="spellEnd"/>
            <w:r w:rsidRPr="00355733">
              <w:rPr>
                <w:rFonts w:eastAsia="Calibri"/>
                <w:sz w:val="24"/>
                <w:szCs w:val="24"/>
              </w:rPr>
              <w:t xml:space="preserve"> та </w:t>
            </w:r>
            <w:proofErr w:type="spellStart"/>
            <w:r w:rsidRPr="00355733">
              <w:rPr>
                <w:rFonts w:eastAsia="Calibri"/>
                <w:sz w:val="24"/>
                <w:szCs w:val="24"/>
              </w:rPr>
              <w:t>дозвільної</w:t>
            </w:r>
            <w:proofErr w:type="spellEnd"/>
            <w:r w:rsidRPr="00355733">
              <w:rPr>
                <w:rFonts w:eastAsia="Calibri"/>
                <w:sz w:val="24"/>
                <w:szCs w:val="24"/>
              </w:rPr>
              <w:t xml:space="preserve"> </w:t>
            </w:r>
            <w:proofErr w:type="spellStart"/>
            <w:r w:rsidRPr="00355733">
              <w:rPr>
                <w:rFonts w:eastAsia="Calibri"/>
                <w:sz w:val="24"/>
                <w:szCs w:val="24"/>
              </w:rPr>
              <w:t>документації</w:t>
            </w:r>
            <w:proofErr w:type="spellEnd"/>
            <w:r w:rsidRPr="00355733">
              <w:rPr>
                <w:rFonts w:eastAsia="Calibri"/>
                <w:sz w:val="24"/>
                <w:szCs w:val="24"/>
              </w:rPr>
              <w:t xml:space="preserve">. </w:t>
            </w:r>
            <w:proofErr w:type="spellStart"/>
            <w:r w:rsidRPr="00355733">
              <w:rPr>
                <w:rFonts w:eastAsia="Calibri"/>
                <w:sz w:val="24"/>
                <w:szCs w:val="24"/>
              </w:rPr>
              <w:t>Відбір</w:t>
            </w:r>
            <w:proofErr w:type="spellEnd"/>
            <w:r w:rsidRPr="00355733">
              <w:rPr>
                <w:rFonts w:eastAsia="Calibri"/>
                <w:sz w:val="24"/>
                <w:szCs w:val="24"/>
              </w:rPr>
              <w:t xml:space="preserve"> </w:t>
            </w:r>
            <w:proofErr w:type="spellStart"/>
            <w:r w:rsidRPr="00355733">
              <w:rPr>
                <w:rFonts w:eastAsia="Calibri"/>
                <w:sz w:val="24"/>
                <w:szCs w:val="24"/>
              </w:rPr>
              <w:t>виконавців</w:t>
            </w:r>
            <w:proofErr w:type="spellEnd"/>
            <w:r w:rsidRPr="00355733">
              <w:rPr>
                <w:rFonts w:eastAsia="Calibri"/>
                <w:sz w:val="24"/>
                <w:szCs w:val="24"/>
              </w:rPr>
              <w:t xml:space="preserve"> та </w:t>
            </w:r>
            <w:proofErr w:type="spellStart"/>
            <w:r w:rsidRPr="00355733">
              <w:rPr>
                <w:rFonts w:eastAsia="Calibri"/>
                <w:sz w:val="24"/>
                <w:szCs w:val="24"/>
              </w:rPr>
              <w:t>визначення</w:t>
            </w:r>
            <w:proofErr w:type="spellEnd"/>
            <w:r w:rsidRPr="00355733">
              <w:rPr>
                <w:rFonts w:eastAsia="Calibri"/>
                <w:sz w:val="24"/>
                <w:szCs w:val="24"/>
              </w:rPr>
              <w:t xml:space="preserve"> </w:t>
            </w:r>
            <w:proofErr w:type="spellStart"/>
            <w:r w:rsidRPr="00355733">
              <w:rPr>
                <w:rFonts w:eastAsia="Calibri"/>
                <w:sz w:val="24"/>
                <w:szCs w:val="24"/>
              </w:rPr>
              <w:t>джерел</w:t>
            </w:r>
            <w:proofErr w:type="spellEnd"/>
            <w:r w:rsidRPr="00355733">
              <w:rPr>
                <w:rFonts w:eastAsia="Calibri"/>
                <w:sz w:val="24"/>
                <w:szCs w:val="24"/>
              </w:rPr>
              <w:t xml:space="preserve"> </w:t>
            </w:r>
            <w:proofErr w:type="spellStart"/>
            <w:r w:rsidRPr="00355733">
              <w:rPr>
                <w:rFonts w:eastAsia="Calibri"/>
                <w:sz w:val="24"/>
                <w:szCs w:val="24"/>
              </w:rPr>
              <w:t>фінансування</w:t>
            </w:r>
            <w:proofErr w:type="spellEnd"/>
            <w:r w:rsidRPr="00355733">
              <w:rPr>
                <w:rFonts w:eastAsia="Calibri"/>
                <w:sz w:val="24"/>
                <w:szCs w:val="24"/>
              </w:rPr>
              <w:t>.</w:t>
            </w:r>
          </w:p>
        </w:tc>
      </w:tr>
      <w:tr w:rsidR="00355733" w:rsidRPr="00355733" w:rsidTr="00355733">
        <w:tc>
          <w:tcPr>
            <w:tcW w:w="3794" w:type="dxa"/>
            <w:vMerge/>
          </w:tcPr>
          <w:p w:rsidR="00355733" w:rsidRPr="00355733" w:rsidRDefault="00355733" w:rsidP="00284E97">
            <w:pPr>
              <w:widowControl w:val="0"/>
              <w:rPr>
                <w:rFonts w:eastAsia="Calibri"/>
                <w:sz w:val="24"/>
                <w:szCs w:val="24"/>
              </w:rPr>
            </w:pPr>
          </w:p>
        </w:tc>
        <w:tc>
          <w:tcPr>
            <w:tcW w:w="5670" w:type="dxa"/>
          </w:tcPr>
          <w:p w:rsidR="00355733" w:rsidRPr="00355733" w:rsidRDefault="00355733" w:rsidP="00284E97">
            <w:pPr>
              <w:widowControl w:val="0"/>
              <w:rPr>
                <w:rFonts w:eastAsia="Calibri"/>
                <w:sz w:val="24"/>
                <w:szCs w:val="24"/>
              </w:rPr>
            </w:pPr>
            <w:proofErr w:type="spellStart"/>
            <w:r w:rsidRPr="00355733">
              <w:rPr>
                <w:rFonts w:eastAsia="Calibri"/>
                <w:sz w:val="24"/>
                <w:szCs w:val="24"/>
              </w:rPr>
              <w:t>Розмінування</w:t>
            </w:r>
            <w:proofErr w:type="spellEnd"/>
            <w:r w:rsidRPr="00355733">
              <w:rPr>
                <w:rFonts w:eastAsia="Calibri"/>
                <w:sz w:val="24"/>
                <w:szCs w:val="24"/>
              </w:rPr>
              <w:t xml:space="preserve"> та </w:t>
            </w:r>
            <w:proofErr w:type="spellStart"/>
            <w:r w:rsidRPr="00355733">
              <w:rPr>
                <w:rFonts w:eastAsia="Calibri"/>
                <w:sz w:val="24"/>
                <w:szCs w:val="24"/>
              </w:rPr>
              <w:t>прибирання</w:t>
            </w:r>
            <w:proofErr w:type="spellEnd"/>
            <w:r w:rsidRPr="00355733">
              <w:rPr>
                <w:rFonts w:eastAsia="Calibri"/>
                <w:sz w:val="24"/>
                <w:szCs w:val="24"/>
              </w:rPr>
              <w:t xml:space="preserve"> </w:t>
            </w:r>
            <w:proofErr w:type="spellStart"/>
            <w:r w:rsidRPr="00355733">
              <w:rPr>
                <w:rFonts w:eastAsia="Calibri"/>
                <w:sz w:val="24"/>
                <w:szCs w:val="24"/>
              </w:rPr>
              <w:t>території</w:t>
            </w:r>
            <w:proofErr w:type="spellEnd"/>
            <w:r w:rsidRPr="00355733">
              <w:rPr>
                <w:rFonts w:eastAsia="Calibri"/>
                <w:sz w:val="24"/>
                <w:szCs w:val="24"/>
              </w:rPr>
              <w:t xml:space="preserve"> </w:t>
            </w:r>
            <w:proofErr w:type="spellStart"/>
            <w:r w:rsidRPr="00355733">
              <w:rPr>
                <w:rFonts w:eastAsia="Calibri"/>
                <w:sz w:val="24"/>
                <w:szCs w:val="24"/>
              </w:rPr>
              <w:t>відновлення</w:t>
            </w:r>
            <w:proofErr w:type="spellEnd"/>
            <w:r w:rsidRPr="00355733">
              <w:rPr>
                <w:rFonts w:eastAsia="Calibri"/>
                <w:sz w:val="24"/>
                <w:szCs w:val="24"/>
              </w:rPr>
              <w:t xml:space="preserve"> для </w:t>
            </w:r>
            <w:proofErr w:type="spellStart"/>
            <w:r w:rsidRPr="00355733">
              <w:rPr>
                <w:rFonts w:eastAsia="Calibri"/>
                <w:sz w:val="24"/>
                <w:szCs w:val="24"/>
              </w:rPr>
              <w:t>проведення</w:t>
            </w:r>
            <w:proofErr w:type="spellEnd"/>
            <w:r w:rsidRPr="00355733">
              <w:rPr>
                <w:rFonts w:eastAsia="Calibri"/>
                <w:sz w:val="24"/>
                <w:szCs w:val="24"/>
              </w:rPr>
              <w:t xml:space="preserve"> </w:t>
            </w:r>
            <w:proofErr w:type="spellStart"/>
            <w:r w:rsidRPr="00355733">
              <w:rPr>
                <w:rFonts w:eastAsia="Calibri"/>
                <w:sz w:val="24"/>
                <w:szCs w:val="24"/>
              </w:rPr>
              <w:t>будівельних</w:t>
            </w:r>
            <w:proofErr w:type="spellEnd"/>
            <w:r w:rsidRPr="00355733">
              <w:rPr>
                <w:rFonts w:eastAsia="Calibri"/>
                <w:sz w:val="24"/>
                <w:szCs w:val="24"/>
              </w:rPr>
              <w:t xml:space="preserve"> </w:t>
            </w:r>
            <w:proofErr w:type="spellStart"/>
            <w:r w:rsidRPr="00355733">
              <w:rPr>
                <w:rFonts w:eastAsia="Calibri"/>
                <w:sz w:val="24"/>
                <w:szCs w:val="24"/>
              </w:rPr>
              <w:t>робіт</w:t>
            </w:r>
            <w:proofErr w:type="spellEnd"/>
            <w:r w:rsidRPr="00355733">
              <w:rPr>
                <w:rFonts w:eastAsia="Calibri"/>
                <w:sz w:val="24"/>
                <w:szCs w:val="24"/>
              </w:rPr>
              <w:t xml:space="preserve"> та </w:t>
            </w:r>
            <w:proofErr w:type="spellStart"/>
            <w:r w:rsidRPr="00355733">
              <w:rPr>
                <w:rFonts w:eastAsia="Calibri"/>
                <w:sz w:val="24"/>
                <w:szCs w:val="24"/>
              </w:rPr>
              <w:t>покращення</w:t>
            </w:r>
            <w:proofErr w:type="spellEnd"/>
            <w:r w:rsidRPr="00355733">
              <w:rPr>
                <w:rFonts w:eastAsia="Calibri"/>
                <w:sz w:val="24"/>
                <w:szCs w:val="24"/>
              </w:rPr>
              <w:t xml:space="preserve"> </w:t>
            </w:r>
            <w:proofErr w:type="spellStart"/>
            <w:r w:rsidRPr="00355733">
              <w:rPr>
                <w:rFonts w:eastAsia="Calibri"/>
                <w:sz w:val="24"/>
                <w:szCs w:val="24"/>
              </w:rPr>
              <w:t>екологічної</w:t>
            </w:r>
            <w:proofErr w:type="spellEnd"/>
            <w:r w:rsidRPr="00355733">
              <w:rPr>
                <w:rFonts w:eastAsia="Calibri"/>
                <w:sz w:val="24"/>
                <w:szCs w:val="24"/>
              </w:rPr>
              <w:t xml:space="preserve"> </w:t>
            </w:r>
            <w:proofErr w:type="spellStart"/>
            <w:r w:rsidRPr="00355733">
              <w:rPr>
                <w:rFonts w:eastAsia="Calibri"/>
                <w:sz w:val="24"/>
                <w:szCs w:val="24"/>
              </w:rPr>
              <w:t>ситуації</w:t>
            </w:r>
            <w:proofErr w:type="spellEnd"/>
            <w:r w:rsidRPr="00355733">
              <w:rPr>
                <w:rFonts w:eastAsia="Calibri"/>
                <w:sz w:val="24"/>
                <w:szCs w:val="24"/>
              </w:rPr>
              <w:t>.</w:t>
            </w:r>
          </w:p>
        </w:tc>
      </w:tr>
      <w:tr w:rsidR="00355733" w:rsidRPr="00355733" w:rsidTr="00355733">
        <w:tc>
          <w:tcPr>
            <w:tcW w:w="3794" w:type="dxa"/>
            <w:vMerge/>
          </w:tcPr>
          <w:p w:rsidR="00355733" w:rsidRPr="00355733" w:rsidRDefault="00355733" w:rsidP="00284E97">
            <w:pPr>
              <w:widowControl w:val="0"/>
              <w:rPr>
                <w:rFonts w:eastAsia="Calibri"/>
                <w:sz w:val="24"/>
                <w:szCs w:val="24"/>
              </w:rPr>
            </w:pPr>
          </w:p>
        </w:tc>
        <w:tc>
          <w:tcPr>
            <w:tcW w:w="5670" w:type="dxa"/>
          </w:tcPr>
          <w:p w:rsidR="00355733" w:rsidRPr="00355733" w:rsidRDefault="00355733" w:rsidP="00284E97">
            <w:pPr>
              <w:widowControl w:val="0"/>
              <w:rPr>
                <w:rFonts w:eastAsia="Calibri"/>
                <w:sz w:val="24"/>
                <w:szCs w:val="24"/>
              </w:rPr>
            </w:pPr>
            <w:proofErr w:type="spellStart"/>
            <w:r w:rsidRPr="00355733">
              <w:rPr>
                <w:rFonts w:eastAsia="Calibri"/>
                <w:sz w:val="24"/>
                <w:szCs w:val="24"/>
              </w:rPr>
              <w:t>Проведення</w:t>
            </w:r>
            <w:proofErr w:type="spellEnd"/>
            <w:r w:rsidRPr="00355733">
              <w:rPr>
                <w:rFonts w:eastAsia="Calibri"/>
                <w:sz w:val="24"/>
                <w:szCs w:val="24"/>
              </w:rPr>
              <w:t xml:space="preserve"> </w:t>
            </w:r>
            <w:proofErr w:type="spellStart"/>
            <w:r w:rsidRPr="00355733">
              <w:rPr>
                <w:rFonts w:eastAsia="Calibri"/>
                <w:sz w:val="24"/>
                <w:szCs w:val="24"/>
              </w:rPr>
              <w:t>ремонтних</w:t>
            </w:r>
            <w:proofErr w:type="spellEnd"/>
            <w:r w:rsidRPr="00355733">
              <w:rPr>
                <w:rFonts w:eastAsia="Calibri"/>
                <w:sz w:val="24"/>
                <w:szCs w:val="24"/>
              </w:rPr>
              <w:t xml:space="preserve"> та </w:t>
            </w:r>
            <w:proofErr w:type="spellStart"/>
            <w:r w:rsidRPr="00355733">
              <w:rPr>
                <w:rFonts w:eastAsia="Calibri"/>
                <w:sz w:val="24"/>
                <w:szCs w:val="24"/>
              </w:rPr>
              <w:t>будівельних</w:t>
            </w:r>
            <w:proofErr w:type="spellEnd"/>
            <w:r w:rsidRPr="00355733">
              <w:rPr>
                <w:rFonts w:eastAsia="Calibri"/>
                <w:sz w:val="24"/>
                <w:szCs w:val="24"/>
              </w:rPr>
              <w:t xml:space="preserve"> </w:t>
            </w:r>
            <w:proofErr w:type="spellStart"/>
            <w:r w:rsidRPr="00355733">
              <w:rPr>
                <w:rFonts w:eastAsia="Calibri"/>
                <w:sz w:val="24"/>
                <w:szCs w:val="24"/>
              </w:rPr>
              <w:t>робіт</w:t>
            </w:r>
            <w:proofErr w:type="spellEnd"/>
            <w:r w:rsidRPr="00355733">
              <w:rPr>
                <w:rFonts w:eastAsia="Calibri"/>
                <w:sz w:val="24"/>
                <w:szCs w:val="24"/>
              </w:rPr>
              <w:t xml:space="preserve">. </w:t>
            </w:r>
            <w:proofErr w:type="spellStart"/>
            <w:r w:rsidRPr="00355733">
              <w:rPr>
                <w:rFonts w:eastAsia="Calibri"/>
                <w:sz w:val="24"/>
                <w:szCs w:val="24"/>
              </w:rPr>
              <w:t>Перевірка</w:t>
            </w:r>
            <w:proofErr w:type="spellEnd"/>
            <w:r w:rsidRPr="00355733">
              <w:rPr>
                <w:rFonts w:eastAsia="Calibri"/>
                <w:sz w:val="24"/>
                <w:szCs w:val="24"/>
              </w:rPr>
              <w:t xml:space="preserve"> </w:t>
            </w:r>
            <w:proofErr w:type="spellStart"/>
            <w:r w:rsidRPr="00355733">
              <w:rPr>
                <w:rFonts w:eastAsia="Calibri"/>
                <w:sz w:val="24"/>
                <w:szCs w:val="24"/>
              </w:rPr>
              <w:t>проєктних</w:t>
            </w:r>
            <w:proofErr w:type="spellEnd"/>
            <w:r w:rsidRPr="00355733">
              <w:rPr>
                <w:rFonts w:eastAsia="Calibri"/>
                <w:sz w:val="24"/>
                <w:szCs w:val="24"/>
              </w:rPr>
              <w:t xml:space="preserve"> </w:t>
            </w:r>
            <w:proofErr w:type="spellStart"/>
            <w:r w:rsidRPr="00355733">
              <w:rPr>
                <w:rFonts w:eastAsia="Calibri"/>
                <w:sz w:val="24"/>
                <w:szCs w:val="24"/>
              </w:rPr>
              <w:t>вимог</w:t>
            </w:r>
            <w:proofErr w:type="spellEnd"/>
            <w:r w:rsidRPr="00355733">
              <w:rPr>
                <w:rFonts w:eastAsia="Calibri"/>
                <w:sz w:val="24"/>
                <w:szCs w:val="24"/>
              </w:rPr>
              <w:t xml:space="preserve"> та </w:t>
            </w:r>
            <w:proofErr w:type="spellStart"/>
            <w:r w:rsidRPr="00355733">
              <w:rPr>
                <w:rFonts w:eastAsia="Calibri"/>
                <w:sz w:val="24"/>
                <w:szCs w:val="24"/>
              </w:rPr>
              <w:t>забезпечення</w:t>
            </w:r>
            <w:proofErr w:type="spellEnd"/>
            <w:r w:rsidRPr="00355733">
              <w:rPr>
                <w:rFonts w:eastAsia="Calibri"/>
                <w:sz w:val="24"/>
                <w:szCs w:val="24"/>
              </w:rPr>
              <w:t xml:space="preserve"> </w:t>
            </w:r>
            <w:proofErr w:type="spellStart"/>
            <w:r w:rsidRPr="00355733">
              <w:rPr>
                <w:rFonts w:eastAsia="Calibri"/>
                <w:sz w:val="24"/>
                <w:szCs w:val="24"/>
              </w:rPr>
              <w:t>безпеки</w:t>
            </w:r>
            <w:proofErr w:type="spellEnd"/>
            <w:r w:rsidRPr="00355733">
              <w:rPr>
                <w:rFonts w:eastAsia="Calibri"/>
                <w:sz w:val="24"/>
                <w:szCs w:val="24"/>
              </w:rPr>
              <w:t xml:space="preserve"> </w:t>
            </w:r>
            <w:proofErr w:type="spellStart"/>
            <w:r w:rsidRPr="00355733">
              <w:rPr>
                <w:rFonts w:eastAsia="Calibri"/>
                <w:sz w:val="24"/>
                <w:szCs w:val="24"/>
              </w:rPr>
              <w:t>відновлених</w:t>
            </w:r>
            <w:proofErr w:type="spellEnd"/>
            <w:r w:rsidRPr="00355733">
              <w:rPr>
                <w:rFonts w:eastAsia="Calibri"/>
                <w:sz w:val="24"/>
                <w:szCs w:val="24"/>
              </w:rPr>
              <w:t xml:space="preserve"> </w:t>
            </w:r>
            <w:proofErr w:type="spellStart"/>
            <w:r w:rsidRPr="00355733">
              <w:rPr>
                <w:rFonts w:eastAsia="Calibri"/>
                <w:sz w:val="24"/>
                <w:szCs w:val="24"/>
              </w:rPr>
              <w:t>об’єктів</w:t>
            </w:r>
            <w:proofErr w:type="spellEnd"/>
            <w:r w:rsidRPr="00355733">
              <w:rPr>
                <w:rFonts w:eastAsia="Calibri"/>
                <w:sz w:val="24"/>
                <w:szCs w:val="24"/>
              </w:rPr>
              <w:t>.</w:t>
            </w:r>
          </w:p>
        </w:tc>
      </w:tr>
      <w:tr w:rsidR="00355733" w:rsidRPr="00355733" w:rsidTr="00355733">
        <w:tc>
          <w:tcPr>
            <w:tcW w:w="3794" w:type="dxa"/>
            <w:vMerge w:val="restart"/>
            <w:vAlign w:val="center"/>
          </w:tcPr>
          <w:p w:rsidR="00355733" w:rsidRPr="00355733" w:rsidRDefault="00355733" w:rsidP="00E11735">
            <w:pPr>
              <w:widowControl w:val="0"/>
              <w:rPr>
                <w:rFonts w:eastAsia="Calibri"/>
                <w:sz w:val="24"/>
                <w:szCs w:val="24"/>
              </w:rPr>
            </w:pPr>
            <w:r w:rsidRPr="00355733">
              <w:rPr>
                <w:rFonts w:eastAsia="Calibri"/>
                <w:sz w:val="24"/>
                <w:szCs w:val="24"/>
              </w:rPr>
              <w:t xml:space="preserve">7. </w:t>
            </w:r>
            <w:proofErr w:type="spellStart"/>
            <w:r w:rsidRPr="00355733">
              <w:rPr>
                <w:rFonts w:eastAsia="Calibri"/>
                <w:sz w:val="24"/>
                <w:szCs w:val="24"/>
              </w:rPr>
              <w:t>Відновлення</w:t>
            </w:r>
            <w:proofErr w:type="spellEnd"/>
            <w:r w:rsidRPr="00355733">
              <w:rPr>
                <w:rFonts w:eastAsia="Calibri"/>
                <w:sz w:val="24"/>
                <w:szCs w:val="24"/>
              </w:rPr>
              <w:t xml:space="preserve"> </w:t>
            </w:r>
            <w:proofErr w:type="spellStart"/>
            <w:r w:rsidRPr="00355733">
              <w:rPr>
                <w:rFonts w:eastAsia="Calibri"/>
                <w:sz w:val="24"/>
                <w:szCs w:val="24"/>
              </w:rPr>
              <w:t>системи</w:t>
            </w:r>
            <w:proofErr w:type="spellEnd"/>
            <w:r w:rsidRPr="00355733">
              <w:rPr>
                <w:rFonts w:eastAsia="Calibri"/>
                <w:sz w:val="24"/>
                <w:szCs w:val="24"/>
              </w:rPr>
              <w:t xml:space="preserve"> </w:t>
            </w:r>
            <w:proofErr w:type="spellStart"/>
            <w:r w:rsidRPr="00355733">
              <w:rPr>
                <w:rFonts w:eastAsia="Calibri"/>
                <w:sz w:val="24"/>
                <w:szCs w:val="24"/>
              </w:rPr>
              <w:t>соціального</w:t>
            </w:r>
            <w:proofErr w:type="spellEnd"/>
            <w:r w:rsidRPr="00355733">
              <w:rPr>
                <w:rFonts w:eastAsia="Calibri"/>
                <w:sz w:val="24"/>
                <w:szCs w:val="24"/>
              </w:rPr>
              <w:t xml:space="preserve"> </w:t>
            </w:r>
            <w:proofErr w:type="spellStart"/>
            <w:r w:rsidRPr="00355733">
              <w:rPr>
                <w:rFonts w:eastAsia="Calibri"/>
                <w:sz w:val="24"/>
                <w:szCs w:val="24"/>
              </w:rPr>
              <w:t>захисту</w:t>
            </w:r>
            <w:proofErr w:type="spellEnd"/>
            <w:r w:rsidRPr="00355733">
              <w:rPr>
                <w:rFonts w:eastAsia="Calibri"/>
                <w:sz w:val="24"/>
                <w:szCs w:val="24"/>
              </w:rPr>
              <w:t xml:space="preserve"> та </w:t>
            </w:r>
            <w:proofErr w:type="spellStart"/>
            <w:r w:rsidR="00E11735">
              <w:rPr>
                <w:rFonts w:eastAsia="Calibri"/>
                <w:sz w:val="24"/>
                <w:szCs w:val="24"/>
              </w:rPr>
              <w:t>п</w:t>
            </w:r>
            <w:r w:rsidRPr="00355733">
              <w:rPr>
                <w:rFonts w:eastAsia="Calibri"/>
                <w:sz w:val="24"/>
                <w:szCs w:val="24"/>
              </w:rPr>
              <w:t>іклування</w:t>
            </w:r>
            <w:proofErr w:type="spellEnd"/>
            <w:r w:rsidR="005F120D">
              <w:rPr>
                <w:rFonts w:eastAsia="Calibri"/>
                <w:sz w:val="24"/>
                <w:szCs w:val="24"/>
              </w:rPr>
              <w:t>.</w:t>
            </w:r>
          </w:p>
          <w:p w:rsidR="00355733" w:rsidRPr="00355733" w:rsidRDefault="00355733" w:rsidP="00284E97">
            <w:pPr>
              <w:widowControl w:val="0"/>
              <w:rPr>
                <w:rFonts w:eastAsia="Calibri"/>
                <w:sz w:val="24"/>
                <w:szCs w:val="24"/>
              </w:rPr>
            </w:pPr>
            <w:r w:rsidRPr="00355733">
              <w:rPr>
                <w:rFonts w:eastAsia="Calibri"/>
                <w:sz w:val="24"/>
                <w:szCs w:val="24"/>
              </w:rPr>
              <w:t xml:space="preserve">8. </w:t>
            </w:r>
            <w:proofErr w:type="spellStart"/>
            <w:r w:rsidRPr="00355733">
              <w:rPr>
                <w:rFonts w:eastAsia="Calibri"/>
                <w:sz w:val="24"/>
                <w:szCs w:val="24"/>
              </w:rPr>
              <w:t>Відновлення</w:t>
            </w:r>
            <w:proofErr w:type="spellEnd"/>
            <w:r w:rsidRPr="00355733">
              <w:rPr>
                <w:rFonts w:eastAsia="Calibri"/>
                <w:sz w:val="24"/>
                <w:szCs w:val="24"/>
              </w:rPr>
              <w:t xml:space="preserve"> </w:t>
            </w:r>
            <w:proofErr w:type="spellStart"/>
            <w:r w:rsidRPr="00355733">
              <w:rPr>
                <w:rFonts w:eastAsia="Calibri"/>
                <w:sz w:val="24"/>
                <w:szCs w:val="24"/>
              </w:rPr>
              <w:t>системи</w:t>
            </w:r>
            <w:proofErr w:type="spellEnd"/>
            <w:r w:rsidRPr="00355733">
              <w:rPr>
                <w:rFonts w:eastAsia="Calibri"/>
                <w:sz w:val="24"/>
                <w:szCs w:val="24"/>
              </w:rPr>
              <w:t xml:space="preserve"> </w:t>
            </w:r>
            <w:proofErr w:type="spellStart"/>
            <w:r w:rsidRPr="00355733">
              <w:rPr>
                <w:rFonts w:eastAsia="Calibri"/>
                <w:sz w:val="24"/>
                <w:szCs w:val="24"/>
              </w:rPr>
              <w:t>надання</w:t>
            </w:r>
            <w:proofErr w:type="spellEnd"/>
            <w:r w:rsidRPr="00355733">
              <w:rPr>
                <w:rFonts w:eastAsia="Calibri"/>
                <w:sz w:val="24"/>
                <w:szCs w:val="24"/>
              </w:rPr>
              <w:t xml:space="preserve"> </w:t>
            </w:r>
            <w:proofErr w:type="spellStart"/>
            <w:r w:rsidRPr="00355733">
              <w:rPr>
                <w:rFonts w:eastAsia="Calibri"/>
                <w:sz w:val="24"/>
                <w:szCs w:val="24"/>
              </w:rPr>
              <w:t>публічних</w:t>
            </w:r>
            <w:proofErr w:type="spellEnd"/>
            <w:r w:rsidRPr="00355733">
              <w:rPr>
                <w:rFonts w:eastAsia="Calibri"/>
                <w:sz w:val="24"/>
                <w:szCs w:val="24"/>
              </w:rPr>
              <w:t xml:space="preserve"> </w:t>
            </w:r>
            <w:proofErr w:type="spellStart"/>
            <w:r w:rsidRPr="00355733">
              <w:rPr>
                <w:rFonts w:eastAsia="Calibri"/>
                <w:sz w:val="24"/>
                <w:szCs w:val="24"/>
              </w:rPr>
              <w:t>сервісів</w:t>
            </w:r>
            <w:proofErr w:type="spellEnd"/>
            <w:r w:rsidRPr="00355733">
              <w:rPr>
                <w:rFonts w:eastAsia="Calibri"/>
                <w:sz w:val="24"/>
                <w:szCs w:val="24"/>
              </w:rPr>
              <w:t xml:space="preserve"> та </w:t>
            </w:r>
            <w:proofErr w:type="spellStart"/>
            <w:r w:rsidRPr="00355733">
              <w:rPr>
                <w:rFonts w:eastAsia="Calibri"/>
                <w:sz w:val="24"/>
                <w:szCs w:val="24"/>
              </w:rPr>
              <w:t>послуг</w:t>
            </w:r>
            <w:proofErr w:type="spellEnd"/>
            <w:r w:rsidRPr="00355733">
              <w:rPr>
                <w:rFonts w:eastAsia="Calibri"/>
                <w:sz w:val="24"/>
                <w:szCs w:val="24"/>
              </w:rPr>
              <w:t xml:space="preserve"> (</w:t>
            </w:r>
            <w:proofErr w:type="spellStart"/>
            <w:r w:rsidRPr="00355733">
              <w:rPr>
                <w:rFonts w:eastAsia="Calibri"/>
                <w:sz w:val="24"/>
                <w:szCs w:val="24"/>
              </w:rPr>
              <w:t>адміністративні</w:t>
            </w:r>
            <w:proofErr w:type="spellEnd"/>
            <w:r w:rsidRPr="00355733">
              <w:rPr>
                <w:rFonts w:eastAsia="Calibri"/>
                <w:sz w:val="24"/>
                <w:szCs w:val="24"/>
              </w:rPr>
              <w:t xml:space="preserve"> </w:t>
            </w:r>
            <w:proofErr w:type="spellStart"/>
            <w:r w:rsidRPr="00355733">
              <w:rPr>
                <w:rFonts w:eastAsia="Calibri"/>
                <w:sz w:val="24"/>
                <w:szCs w:val="24"/>
              </w:rPr>
              <w:t>будівлі</w:t>
            </w:r>
            <w:proofErr w:type="spellEnd"/>
            <w:r w:rsidRPr="00355733">
              <w:rPr>
                <w:rFonts w:eastAsia="Calibri"/>
                <w:sz w:val="24"/>
                <w:szCs w:val="24"/>
              </w:rPr>
              <w:t xml:space="preserve"> </w:t>
            </w:r>
            <w:proofErr w:type="spellStart"/>
            <w:r w:rsidRPr="00355733">
              <w:rPr>
                <w:rFonts w:eastAsia="Calibri"/>
                <w:sz w:val="24"/>
                <w:szCs w:val="24"/>
              </w:rPr>
              <w:t>органів</w:t>
            </w:r>
            <w:proofErr w:type="spellEnd"/>
            <w:r w:rsidRPr="00355733">
              <w:rPr>
                <w:rFonts w:eastAsia="Calibri"/>
                <w:sz w:val="24"/>
                <w:szCs w:val="24"/>
              </w:rPr>
              <w:t xml:space="preserve"> </w:t>
            </w:r>
            <w:proofErr w:type="spellStart"/>
            <w:r w:rsidRPr="00355733">
              <w:rPr>
                <w:rFonts w:eastAsia="Calibri"/>
                <w:sz w:val="24"/>
                <w:szCs w:val="24"/>
              </w:rPr>
              <w:t>влади</w:t>
            </w:r>
            <w:proofErr w:type="spellEnd"/>
            <w:r w:rsidRPr="00355733">
              <w:rPr>
                <w:rFonts w:eastAsia="Calibri"/>
                <w:sz w:val="24"/>
                <w:szCs w:val="24"/>
              </w:rPr>
              <w:t xml:space="preserve">, </w:t>
            </w:r>
            <w:proofErr w:type="spellStart"/>
            <w:r w:rsidRPr="00355733">
              <w:rPr>
                <w:rFonts w:eastAsia="Calibri"/>
                <w:sz w:val="24"/>
                <w:szCs w:val="24"/>
              </w:rPr>
              <w:t>приміщення</w:t>
            </w:r>
            <w:proofErr w:type="spellEnd"/>
            <w:r w:rsidRPr="00355733">
              <w:rPr>
                <w:rFonts w:eastAsia="Calibri"/>
                <w:sz w:val="24"/>
                <w:szCs w:val="24"/>
              </w:rPr>
              <w:t xml:space="preserve"> та </w:t>
            </w:r>
            <w:proofErr w:type="spellStart"/>
            <w:r w:rsidRPr="00355733">
              <w:rPr>
                <w:rFonts w:eastAsia="Calibri"/>
                <w:sz w:val="24"/>
                <w:szCs w:val="24"/>
              </w:rPr>
              <w:t>обладнання</w:t>
            </w:r>
            <w:proofErr w:type="spellEnd"/>
            <w:r w:rsidRPr="00355733">
              <w:rPr>
                <w:rFonts w:eastAsia="Calibri"/>
                <w:sz w:val="24"/>
                <w:szCs w:val="24"/>
              </w:rPr>
              <w:t xml:space="preserve"> </w:t>
            </w:r>
            <w:proofErr w:type="spellStart"/>
            <w:r w:rsidRPr="00355733">
              <w:rPr>
                <w:rFonts w:eastAsia="Calibri"/>
                <w:sz w:val="24"/>
                <w:szCs w:val="24"/>
              </w:rPr>
              <w:t>центрів</w:t>
            </w:r>
            <w:proofErr w:type="spellEnd"/>
            <w:r w:rsidRPr="00355733">
              <w:rPr>
                <w:rFonts w:eastAsia="Calibri"/>
                <w:sz w:val="24"/>
                <w:szCs w:val="24"/>
              </w:rPr>
              <w:t xml:space="preserve"> </w:t>
            </w:r>
            <w:proofErr w:type="spellStart"/>
            <w:r w:rsidRPr="00355733">
              <w:rPr>
                <w:rFonts w:eastAsia="Calibri"/>
                <w:sz w:val="24"/>
                <w:szCs w:val="24"/>
              </w:rPr>
              <w:t>надання</w:t>
            </w:r>
            <w:proofErr w:type="spellEnd"/>
            <w:r w:rsidRPr="00355733">
              <w:rPr>
                <w:rFonts w:eastAsia="Calibri"/>
                <w:sz w:val="24"/>
                <w:szCs w:val="24"/>
              </w:rPr>
              <w:t xml:space="preserve"> </w:t>
            </w:r>
            <w:proofErr w:type="spellStart"/>
            <w:r w:rsidRPr="00355733">
              <w:rPr>
                <w:rFonts w:eastAsia="Calibri"/>
                <w:sz w:val="24"/>
                <w:szCs w:val="24"/>
              </w:rPr>
              <w:t>адміністративних</w:t>
            </w:r>
            <w:proofErr w:type="spellEnd"/>
            <w:r w:rsidRPr="00355733">
              <w:rPr>
                <w:rFonts w:eastAsia="Calibri"/>
                <w:sz w:val="24"/>
                <w:szCs w:val="24"/>
              </w:rPr>
              <w:t xml:space="preserve"> </w:t>
            </w:r>
            <w:proofErr w:type="spellStart"/>
            <w:r w:rsidRPr="00355733">
              <w:rPr>
                <w:rFonts w:eastAsia="Calibri"/>
                <w:sz w:val="24"/>
                <w:szCs w:val="24"/>
              </w:rPr>
              <w:t>послуг</w:t>
            </w:r>
            <w:proofErr w:type="spellEnd"/>
            <w:r w:rsidRPr="00355733">
              <w:rPr>
                <w:rFonts w:eastAsia="Calibri"/>
                <w:sz w:val="24"/>
                <w:szCs w:val="24"/>
              </w:rPr>
              <w:t xml:space="preserve"> </w:t>
            </w:r>
            <w:proofErr w:type="spellStart"/>
            <w:r w:rsidRPr="00355733">
              <w:rPr>
                <w:rFonts w:eastAsia="Calibri"/>
                <w:sz w:val="24"/>
                <w:szCs w:val="24"/>
              </w:rPr>
              <w:t>тощо</w:t>
            </w:r>
            <w:proofErr w:type="spellEnd"/>
            <w:r w:rsidRPr="00355733">
              <w:rPr>
                <w:rFonts w:eastAsia="Calibri"/>
                <w:sz w:val="24"/>
                <w:szCs w:val="24"/>
              </w:rPr>
              <w:t>)</w:t>
            </w:r>
          </w:p>
          <w:p w:rsidR="00355733" w:rsidRPr="00355733" w:rsidRDefault="00355733" w:rsidP="00284E97">
            <w:pPr>
              <w:widowControl w:val="0"/>
              <w:rPr>
                <w:rFonts w:eastAsia="Calibri"/>
                <w:sz w:val="24"/>
                <w:szCs w:val="24"/>
              </w:rPr>
            </w:pPr>
            <w:r w:rsidRPr="00355733">
              <w:rPr>
                <w:rFonts w:eastAsia="Calibri"/>
                <w:sz w:val="24"/>
                <w:szCs w:val="24"/>
              </w:rPr>
              <w:t xml:space="preserve">9. </w:t>
            </w:r>
            <w:proofErr w:type="spellStart"/>
            <w:r w:rsidRPr="00355733">
              <w:rPr>
                <w:rFonts w:eastAsia="Calibri"/>
                <w:sz w:val="24"/>
                <w:szCs w:val="24"/>
              </w:rPr>
              <w:t>Відновлення</w:t>
            </w:r>
            <w:proofErr w:type="spellEnd"/>
            <w:r w:rsidRPr="00355733">
              <w:rPr>
                <w:rFonts w:eastAsia="Calibri"/>
                <w:sz w:val="24"/>
                <w:szCs w:val="24"/>
              </w:rPr>
              <w:t xml:space="preserve"> </w:t>
            </w:r>
            <w:proofErr w:type="spellStart"/>
            <w:r w:rsidRPr="00355733">
              <w:rPr>
                <w:rFonts w:eastAsia="Calibri"/>
                <w:sz w:val="24"/>
                <w:szCs w:val="24"/>
              </w:rPr>
              <w:t>функціонування</w:t>
            </w:r>
            <w:proofErr w:type="spellEnd"/>
            <w:r w:rsidRPr="00355733">
              <w:rPr>
                <w:rFonts w:eastAsia="Calibri"/>
                <w:sz w:val="24"/>
                <w:szCs w:val="24"/>
              </w:rPr>
              <w:t xml:space="preserve"> </w:t>
            </w:r>
            <w:proofErr w:type="spellStart"/>
            <w:r w:rsidRPr="00355733">
              <w:rPr>
                <w:rFonts w:eastAsia="Calibri"/>
                <w:sz w:val="24"/>
                <w:szCs w:val="24"/>
              </w:rPr>
              <w:t>закладів</w:t>
            </w:r>
            <w:proofErr w:type="spellEnd"/>
            <w:r w:rsidRPr="00355733">
              <w:rPr>
                <w:rFonts w:eastAsia="Calibri"/>
                <w:sz w:val="24"/>
                <w:szCs w:val="24"/>
              </w:rPr>
              <w:t xml:space="preserve"> </w:t>
            </w:r>
            <w:proofErr w:type="spellStart"/>
            <w:r w:rsidRPr="00355733">
              <w:rPr>
                <w:rFonts w:eastAsia="Calibri"/>
                <w:sz w:val="24"/>
                <w:szCs w:val="24"/>
              </w:rPr>
              <w:t>культури</w:t>
            </w:r>
            <w:proofErr w:type="spellEnd"/>
            <w:r w:rsidRPr="00355733">
              <w:rPr>
                <w:rFonts w:eastAsia="Calibri"/>
                <w:sz w:val="24"/>
                <w:szCs w:val="24"/>
              </w:rPr>
              <w:t xml:space="preserve"> та </w:t>
            </w:r>
            <w:proofErr w:type="spellStart"/>
            <w:r w:rsidRPr="00355733">
              <w:rPr>
                <w:rFonts w:eastAsia="Calibri"/>
                <w:sz w:val="24"/>
                <w:szCs w:val="24"/>
              </w:rPr>
              <w:t>надання</w:t>
            </w:r>
            <w:proofErr w:type="spellEnd"/>
            <w:r w:rsidRPr="00355733">
              <w:rPr>
                <w:rFonts w:eastAsia="Calibri"/>
                <w:sz w:val="24"/>
                <w:szCs w:val="24"/>
              </w:rPr>
              <w:t xml:space="preserve"> </w:t>
            </w:r>
            <w:proofErr w:type="spellStart"/>
            <w:r w:rsidRPr="00355733">
              <w:rPr>
                <w:rFonts w:eastAsia="Calibri"/>
                <w:sz w:val="24"/>
                <w:szCs w:val="24"/>
              </w:rPr>
              <w:t>культурних</w:t>
            </w:r>
            <w:proofErr w:type="spellEnd"/>
            <w:r w:rsidRPr="00355733">
              <w:rPr>
                <w:rFonts w:eastAsia="Calibri"/>
                <w:sz w:val="24"/>
                <w:szCs w:val="24"/>
              </w:rPr>
              <w:t xml:space="preserve"> </w:t>
            </w:r>
            <w:proofErr w:type="spellStart"/>
            <w:r w:rsidRPr="00355733">
              <w:rPr>
                <w:rFonts w:eastAsia="Calibri"/>
                <w:sz w:val="24"/>
                <w:szCs w:val="24"/>
              </w:rPr>
              <w:t>послуг</w:t>
            </w:r>
            <w:proofErr w:type="spellEnd"/>
            <w:r w:rsidR="00797033">
              <w:rPr>
                <w:rFonts w:eastAsia="Calibri"/>
                <w:sz w:val="24"/>
                <w:szCs w:val="24"/>
              </w:rPr>
              <w:t>.</w:t>
            </w:r>
          </w:p>
          <w:p w:rsidR="00355733" w:rsidRPr="00355733" w:rsidRDefault="00355733" w:rsidP="00355733">
            <w:pPr>
              <w:widowControl w:val="0"/>
              <w:rPr>
                <w:rFonts w:eastAsia="Calibri"/>
                <w:sz w:val="24"/>
                <w:szCs w:val="24"/>
              </w:rPr>
            </w:pPr>
            <w:r w:rsidRPr="00355733">
              <w:rPr>
                <w:rFonts w:eastAsia="Calibri"/>
                <w:sz w:val="24"/>
                <w:szCs w:val="24"/>
              </w:rPr>
              <w:lastRenderedPageBreak/>
              <w:t>10.</w:t>
            </w:r>
            <w:r w:rsidRPr="00355733">
              <w:rPr>
                <w:sz w:val="24"/>
                <w:szCs w:val="24"/>
                <w:lang w:eastAsia="uk-UA"/>
              </w:rPr>
              <w:t xml:space="preserve"> </w:t>
            </w:r>
            <w:proofErr w:type="spellStart"/>
            <w:r w:rsidRPr="00355733">
              <w:rPr>
                <w:rFonts w:eastAsia="Calibri"/>
                <w:sz w:val="24"/>
                <w:szCs w:val="24"/>
              </w:rPr>
              <w:t>Відновлення</w:t>
            </w:r>
            <w:proofErr w:type="spellEnd"/>
            <w:r w:rsidRPr="00355733">
              <w:rPr>
                <w:sz w:val="24"/>
                <w:szCs w:val="24"/>
                <w:lang w:eastAsia="uk-UA"/>
              </w:rPr>
              <w:t xml:space="preserve"> </w:t>
            </w:r>
            <w:proofErr w:type="spellStart"/>
            <w:r w:rsidRPr="00355733">
              <w:rPr>
                <w:sz w:val="24"/>
                <w:szCs w:val="24"/>
                <w:lang w:eastAsia="uk-UA"/>
              </w:rPr>
              <w:t>об’єктів</w:t>
            </w:r>
            <w:proofErr w:type="spellEnd"/>
            <w:r w:rsidRPr="00355733">
              <w:rPr>
                <w:sz w:val="24"/>
                <w:szCs w:val="24"/>
                <w:lang w:eastAsia="uk-UA"/>
              </w:rPr>
              <w:t xml:space="preserve"> благоустрою</w:t>
            </w:r>
            <w:r w:rsidR="00797033">
              <w:rPr>
                <w:sz w:val="24"/>
                <w:szCs w:val="24"/>
                <w:lang w:eastAsia="uk-UA"/>
              </w:rPr>
              <w:t>.</w:t>
            </w:r>
          </w:p>
        </w:tc>
        <w:tc>
          <w:tcPr>
            <w:tcW w:w="5670" w:type="dxa"/>
          </w:tcPr>
          <w:p w:rsidR="00355733" w:rsidRPr="00355733" w:rsidRDefault="00355733" w:rsidP="00284E97">
            <w:pPr>
              <w:widowControl w:val="0"/>
              <w:rPr>
                <w:rFonts w:eastAsia="Calibri"/>
                <w:sz w:val="24"/>
                <w:szCs w:val="24"/>
              </w:rPr>
            </w:pPr>
            <w:proofErr w:type="spellStart"/>
            <w:r w:rsidRPr="00355733">
              <w:rPr>
                <w:rFonts w:eastAsia="Calibri"/>
                <w:sz w:val="24"/>
                <w:szCs w:val="24"/>
              </w:rPr>
              <w:lastRenderedPageBreak/>
              <w:t>Оцінка</w:t>
            </w:r>
            <w:proofErr w:type="spellEnd"/>
            <w:r w:rsidRPr="00355733">
              <w:rPr>
                <w:rFonts w:eastAsia="Calibri"/>
                <w:sz w:val="24"/>
                <w:szCs w:val="24"/>
              </w:rPr>
              <w:t xml:space="preserve"> стану систем, </w:t>
            </w:r>
            <w:proofErr w:type="spellStart"/>
            <w:r w:rsidRPr="00355733">
              <w:rPr>
                <w:rFonts w:eastAsia="Calibri"/>
                <w:sz w:val="24"/>
                <w:szCs w:val="24"/>
              </w:rPr>
              <w:t>оцінка</w:t>
            </w:r>
            <w:proofErr w:type="spellEnd"/>
            <w:r w:rsidRPr="00355733">
              <w:rPr>
                <w:rFonts w:eastAsia="Calibri"/>
                <w:sz w:val="24"/>
                <w:szCs w:val="24"/>
              </w:rPr>
              <w:t xml:space="preserve"> потреб </w:t>
            </w:r>
            <w:proofErr w:type="spellStart"/>
            <w:r w:rsidRPr="00355733">
              <w:rPr>
                <w:rFonts w:eastAsia="Calibri"/>
                <w:sz w:val="24"/>
                <w:szCs w:val="24"/>
              </w:rPr>
              <w:t>наявного</w:t>
            </w:r>
            <w:proofErr w:type="spellEnd"/>
            <w:r w:rsidRPr="00355733">
              <w:rPr>
                <w:rFonts w:eastAsia="Calibri"/>
                <w:sz w:val="24"/>
                <w:szCs w:val="24"/>
              </w:rPr>
              <w:t xml:space="preserve"> </w:t>
            </w:r>
            <w:proofErr w:type="spellStart"/>
            <w:r w:rsidRPr="00355733">
              <w:rPr>
                <w:rFonts w:eastAsia="Calibri"/>
                <w:sz w:val="24"/>
                <w:szCs w:val="24"/>
              </w:rPr>
              <w:t>населення</w:t>
            </w:r>
            <w:proofErr w:type="spellEnd"/>
            <w:r w:rsidRPr="00355733">
              <w:rPr>
                <w:rFonts w:eastAsia="Calibri"/>
                <w:sz w:val="24"/>
                <w:szCs w:val="24"/>
              </w:rPr>
              <w:t xml:space="preserve"> громад у </w:t>
            </w:r>
            <w:proofErr w:type="spellStart"/>
            <w:r w:rsidRPr="00355733">
              <w:rPr>
                <w:rFonts w:eastAsia="Calibri"/>
                <w:sz w:val="24"/>
                <w:szCs w:val="24"/>
              </w:rPr>
              <w:t>послугах</w:t>
            </w:r>
            <w:proofErr w:type="spellEnd"/>
            <w:r w:rsidRPr="00355733">
              <w:rPr>
                <w:rFonts w:eastAsia="Calibri"/>
                <w:sz w:val="24"/>
                <w:szCs w:val="24"/>
              </w:rPr>
              <w:t xml:space="preserve"> </w:t>
            </w:r>
            <w:proofErr w:type="spellStart"/>
            <w:r w:rsidRPr="00355733">
              <w:rPr>
                <w:rFonts w:eastAsia="Calibri"/>
                <w:sz w:val="24"/>
                <w:szCs w:val="24"/>
              </w:rPr>
              <w:t>окремих</w:t>
            </w:r>
            <w:proofErr w:type="spellEnd"/>
            <w:r w:rsidRPr="00355733">
              <w:rPr>
                <w:rFonts w:eastAsia="Calibri"/>
                <w:sz w:val="24"/>
                <w:szCs w:val="24"/>
              </w:rPr>
              <w:t xml:space="preserve"> систем, </w:t>
            </w:r>
            <w:proofErr w:type="spellStart"/>
            <w:r w:rsidRPr="00355733">
              <w:rPr>
                <w:rFonts w:eastAsia="Calibri"/>
                <w:sz w:val="24"/>
                <w:szCs w:val="24"/>
              </w:rPr>
              <w:t>визначення</w:t>
            </w:r>
            <w:proofErr w:type="spellEnd"/>
            <w:r w:rsidRPr="00355733">
              <w:rPr>
                <w:rFonts w:eastAsia="Calibri"/>
                <w:sz w:val="24"/>
                <w:szCs w:val="24"/>
              </w:rPr>
              <w:t xml:space="preserve"> </w:t>
            </w:r>
            <w:proofErr w:type="spellStart"/>
            <w:r w:rsidRPr="00355733">
              <w:rPr>
                <w:rFonts w:eastAsia="Calibri"/>
                <w:sz w:val="24"/>
                <w:szCs w:val="24"/>
              </w:rPr>
              <w:t>пріоритетів</w:t>
            </w:r>
            <w:proofErr w:type="spellEnd"/>
            <w:r w:rsidRPr="00355733">
              <w:rPr>
                <w:rFonts w:eastAsia="Calibri"/>
                <w:sz w:val="24"/>
                <w:szCs w:val="24"/>
              </w:rPr>
              <w:t xml:space="preserve"> </w:t>
            </w:r>
            <w:proofErr w:type="spellStart"/>
            <w:r w:rsidRPr="00355733">
              <w:rPr>
                <w:rFonts w:eastAsia="Calibri"/>
                <w:sz w:val="24"/>
                <w:szCs w:val="24"/>
              </w:rPr>
              <w:t>відновлення</w:t>
            </w:r>
            <w:proofErr w:type="spellEnd"/>
            <w:r w:rsidRPr="00355733">
              <w:rPr>
                <w:rFonts w:eastAsia="Calibri"/>
                <w:sz w:val="24"/>
                <w:szCs w:val="24"/>
              </w:rPr>
              <w:t xml:space="preserve">. </w:t>
            </w:r>
          </w:p>
        </w:tc>
      </w:tr>
      <w:tr w:rsidR="00355733" w:rsidRPr="00355733" w:rsidTr="00355733">
        <w:tc>
          <w:tcPr>
            <w:tcW w:w="3794" w:type="dxa"/>
            <w:vMerge/>
          </w:tcPr>
          <w:p w:rsidR="00355733" w:rsidRPr="00355733" w:rsidRDefault="00355733" w:rsidP="00284E97">
            <w:pPr>
              <w:widowControl w:val="0"/>
              <w:rPr>
                <w:rFonts w:eastAsia="Calibri"/>
                <w:sz w:val="24"/>
                <w:szCs w:val="24"/>
              </w:rPr>
            </w:pPr>
          </w:p>
        </w:tc>
        <w:tc>
          <w:tcPr>
            <w:tcW w:w="5670" w:type="dxa"/>
          </w:tcPr>
          <w:p w:rsidR="00355733" w:rsidRPr="00355733" w:rsidRDefault="00355733" w:rsidP="00284E97">
            <w:pPr>
              <w:widowControl w:val="0"/>
              <w:rPr>
                <w:rFonts w:eastAsia="Calibri"/>
                <w:sz w:val="24"/>
                <w:szCs w:val="24"/>
              </w:rPr>
            </w:pPr>
            <w:proofErr w:type="spellStart"/>
            <w:r w:rsidRPr="00355733">
              <w:rPr>
                <w:rFonts w:eastAsia="Calibri"/>
                <w:sz w:val="24"/>
                <w:szCs w:val="24"/>
              </w:rPr>
              <w:t>Розробка</w:t>
            </w:r>
            <w:proofErr w:type="spellEnd"/>
            <w:r w:rsidRPr="00355733">
              <w:rPr>
                <w:rFonts w:eastAsia="Calibri"/>
                <w:sz w:val="24"/>
                <w:szCs w:val="24"/>
              </w:rPr>
              <w:t xml:space="preserve"> </w:t>
            </w:r>
            <w:proofErr w:type="spellStart"/>
            <w:r w:rsidRPr="00355733">
              <w:rPr>
                <w:rFonts w:eastAsia="Calibri"/>
                <w:sz w:val="24"/>
                <w:szCs w:val="24"/>
              </w:rPr>
              <w:t>стратегій</w:t>
            </w:r>
            <w:proofErr w:type="spellEnd"/>
            <w:r w:rsidRPr="00355733">
              <w:rPr>
                <w:rFonts w:eastAsia="Calibri"/>
                <w:sz w:val="24"/>
                <w:szCs w:val="24"/>
              </w:rPr>
              <w:t xml:space="preserve"> та </w:t>
            </w:r>
            <w:proofErr w:type="spellStart"/>
            <w:r w:rsidRPr="00355733">
              <w:rPr>
                <w:rFonts w:eastAsia="Calibri"/>
                <w:sz w:val="24"/>
                <w:szCs w:val="24"/>
              </w:rPr>
              <w:t>програм</w:t>
            </w:r>
            <w:proofErr w:type="spellEnd"/>
            <w:r w:rsidRPr="00355733">
              <w:rPr>
                <w:rFonts w:eastAsia="Calibri"/>
                <w:sz w:val="24"/>
                <w:szCs w:val="24"/>
              </w:rPr>
              <w:t xml:space="preserve"> </w:t>
            </w:r>
            <w:proofErr w:type="spellStart"/>
            <w:r w:rsidRPr="00355733">
              <w:rPr>
                <w:rFonts w:eastAsia="Calibri"/>
                <w:sz w:val="24"/>
                <w:szCs w:val="24"/>
              </w:rPr>
              <w:t>відновлення</w:t>
            </w:r>
            <w:proofErr w:type="spellEnd"/>
            <w:r w:rsidRPr="00355733">
              <w:rPr>
                <w:rFonts w:eastAsia="Calibri"/>
                <w:sz w:val="24"/>
                <w:szCs w:val="24"/>
              </w:rPr>
              <w:t xml:space="preserve"> з </w:t>
            </w:r>
            <w:proofErr w:type="spellStart"/>
            <w:r w:rsidRPr="00355733">
              <w:rPr>
                <w:rFonts w:eastAsia="Calibri"/>
                <w:sz w:val="24"/>
                <w:szCs w:val="24"/>
              </w:rPr>
              <w:t>врахуванням</w:t>
            </w:r>
            <w:proofErr w:type="spellEnd"/>
            <w:r w:rsidRPr="00355733">
              <w:rPr>
                <w:rFonts w:eastAsia="Calibri"/>
                <w:sz w:val="24"/>
                <w:szCs w:val="24"/>
              </w:rPr>
              <w:t xml:space="preserve"> </w:t>
            </w:r>
            <w:proofErr w:type="spellStart"/>
            <w:r w:rsidRPr="00355733">
              <w:rPr>
                <w:rFonts w:eastAsia="Calibri"/>
                <w:sz w:val="24"/>
                <w:szCs w:val="24"/>
              </w:rPr>
              <w:t>наявних</w:t>
            </w:r>
            <w:proofErr w:type="spellEnd"/>
            <w:r w:rsidRPr="00355733">
              <w:rPr>
                <w:rFonts w:eastAsia="Calibri"/>
                <w:sz w:val="24"/>
                <w:szCs w:val="24"/>
              </w:rPr>
              <w:t xml:space="preserve"> </w:t>
            </w:r>
            <w:proofErr w:type="spellStart"/>
            <w:r w:rsidRPr="00355733">
              <w:rPr>
                <w:rFonts w:eastAsia="Calibri"/>
                <w:sz w:val="24"/>
                <w:szCs w:val="24"/>
              </w:rPr>
              <w:t>можливостей</w:t>
            </w:r>
            <w:proofErr w:type="spellEnd"/>
            <w:r w:rsidRPr="00355733">
              <w:rPr>
                <w:rFonts w:eastAsia="Calibri"/>
                <w:sz w:val="24"/>
                <w:szCs w:val="24"/>
              </w:rPr>
              <w:t xml:space="preserve"> </w:t>
            </w:r>
            <w:proofErr w:type="spellStart"/>
            <w:r w:rsidRPr="00355733">
              <w:rPr>
                <w:rFonts w:eastAsia="Calibri"/>
                <w:sz w:val="24"/>
                <w:szCs w:val="24"/>
              </w:rPr>
              <w:t>фінансування</w:t>
            </w:r>
            <w:proofErr w:type="spellEnd"/>
            <w:r w:rsidRPr="00355733">
              <w:rPr>
                <w:rFonts w:eastAsia="Calibri"/>
                <w:sz w:val="24"/>
                <w:szCs w:val="24"/>
              </w:rPr>
              <w:t xml:space="preserve">. </w:t>
            </w:r>
            <w:proofErr w:type="spellStart"/>
            <w:r w:rsidRPr="00355733">
              <w:rPr>
                <w:rFonts w:eastAsia="Calibri"/>
                <w:sz w:val="24"/>
                <w:szCs w:val="24"/>
              </w:rPr>
              <w:t>Розробка</w:t>
            </w:r>
            <w:proofErr w:type="spellEnd"/>
            <w:r w:rsidRPr="00355733">
              <w:rPr>
                <w:rFonts w:eastAsia="Calibri"/>
                <w:sz w:val="24"/>
                <w:szCs w:val="24"/>
              </w:rPr>
              <w:t xml:space="preserve"> </w:t>
            </w:r>
            <w:proofErr w:type="spellStart"/>
            <w:r w:rsidRPr="00355733">
              <w:rPr>
                <w:rFonts w:eastAsia="Calibri"/>
                <w:sz w:val="24"/>
                <w:szCs w:val="24"/>
              </w:rPr>
              <w:t>проєктів</w:t>
            </w:r>
            <w:proofErr w:type="spellEnd"/>
            <w:r w:rsidRPr="00355733">
              <w:rPr>
                <w:rFonts w:eastAsia="Calibri"/>
                <w:sz w:val="24"/>
                <w:szCs w:val="24"/>
              </w:rPr>
              <w:t xml:space="preserve"> </w:t>
            </w:r>
            <w:proofErr w:type="spellStart"/>
            <w:r w:rsidRPr="00355733">
              <w:rPr>
                <w:rFonts w:eastAsia="Calibri"/>
                <w:sz w:val="24"/>
                <w:szCs w:val="24"/>
              </w:rPr>
              <w:t>відновлення</w:t>
            </w:r>
            <w:proofErr w:type="spellEnd"/>
            <w:r w:rsidRPr="00355733">
              <w:rPr>
                <w:rFonts w:eastAsia="Calibri"/>
                <w:sz w:val="24"/>
                <w:szCs w:val="24"/>
              </w:rPr>
              <w:t>.</w:t>
            </w:r>
          </w:p>
        </w:tc>
      </w:tr>
      <w:tr w:rsidR="00355733" w:rsidRPr="00355733" w:rsidTr="00355733">
        <w:tc>
          <w:tcPr>
            <w:tcW w:w="3794" w:type="dxa"/>
            <w:vMerge/>
          </w:tcPr>
          <w:p w:rsidR="00355733" w:rsidRPr="00355733" w:rsidRDefault="00355733" w:rsidP="00284E97">
            <w:pPr>
              <w:widowControl w:val="0"/>
              <w:rPr>
                <w:rFonts w:eastAsia="Calibri"/>
                <w:sz w:val="24"/>
                <w:szCs w:val="24"/>
              </w:rPr>
            </w:pPr>
          </w:p>
        </w:tc>
        <w:tc>
          <w:tcPr>
            <w:tcW w:w="5670" w:type="dxa"/>
          </w:tcPr>
          <w:p w:rsidR="00355733" w:rsidRPr="00355733" w:rsidRDefault="00355733" w:rsidP="00284E97">
            <w:pPr>
              <w:widowControl w:val="0"/>
              <w:rPr>
                <w:rFonts w:eastAsia="Calibri"/>
                <w:sz w:val="24"/>
                <w:szCs w:val="24"/>
              </w:rPr>
            </w:pPr>
            <w:proofErr w:type="spellStart"/>
            <w:r w:rsidRPr="00355733">
              <w:rPr>
                <w:rFonts w:eastAsia="Calibri"/>
                <w:sz w:val="24"/>
                <w:szCs w:val="24"/>
              </w:rPr>
              <w:t>Відбудова</w:t>
            </w:r>
            <w:proofErr w:type="spellEnd"/>
            <w:r w:rsidRPr="00355733">
              <w:rPr>
                <w:rFonts w:eastAsia="Calibri"/>
                <w:sz w:val="24"/>
                <w:szCs w:val="24"/>
              </w:rPr>
              <w:t xml:space="preserve">, ремонт та </w:t>
            </w:r>
            <w:proofErr w:type="spellStart"/>
            <w:r w:rsidRPr="00355733">
              <w:rPr>
                <w:rFonts w:eastAsia="Calibri"/>
                <w:sz w:val="24"/>
                <w:szCs w:val="24"/>
              </w:rPr>
              <w:t>відновлення</w:t>
            </w:r>
            <w:proofErr w:type="spellEnd"/>
            <w:r w:rsidRPr="00355733">
              <w:rPr>
                <w:rFonts w:eastAsia="Calibri"/>
                <w:sz w:val="24"/>
                <w:szCs w:val="24"/>
              </w:rPr>
              <w:t xml:space="preserve"> </w:t>
            </w:r>
            <w:proofErr w:type="spellStart"/>
            <w:r w:rsidRPr="00355733">
              <w:rPr>
                <w:rFonts w:eastAsia="Calibri"/>
                <w:sz w:val="24"/>
                <w:szCs w:val="24"/>
              </w:rPr>
              <w:t>матеріальних</w:t>
            </w:r>
            <w:proofErr w:type="spellEnd"/>
            <w:r w:rsidRPr="00355733">
              <w:rPr>
                <w:rFonts w:eastAsia="Calibri"/>
                <w:sz w:val="24"/>
                <w:szCs w:val="24"/>
              </w:rPr>
              <w:t xml:space="preserve"> </w:t>
            </w:r>
            <w:proofErr w:type="spellStart"/>
            <w:r w:rsidRPr="00355733">
              <w:rPr>
                <w:rFonts w:eastAsia="Calibri"/>
                <w:sz w:val="24"/>
                <w:szCs w:val="24"/>
              </w:rPr>
              <w:t>об’єктів</w:t>
            </w:r>
            <w:proofErr w:type="spellEnd"/>
            <w:r w:rsidRPr="00355733">
              <w:rPr>
                <w:rFonts w:eastAsia="Calibri"/>
                <w:sz w:val="24"/>
                <w:szCs w:val="24"/>
              </w:rPr>
              <w:t xml:space="preserve"> </w:t>
            </w:r>
            <w:proofErr w:type="spellStart"/>
            <w:r w:rsidRPr="00355733">
              <w:rPr>
                <w:rFonts w:eastAsia="Calibri"/>
                <w:sz w:val="24"/>
                <w:szCs w:val="24"/>
              </w:rPr>
              <w:t>інфраструктури</w:t>
            </w:r>
            <w:proofErr w:type="spellEnd"/>
            <w:r w:rsidRPr="00355733">
              <w:rPr>
                <w:rFonts w:eastAsia="Calibri"/>
                <w:sz w:val="24"/>
                <w:szCs w:val="24"/>
              </w:rPr>
              <w:t xml:space="preserve"> </w:t>
            </w:r>
            <w:proofErr w:type="spellStart"/>
            <w:r w:rsidRPr="00355733">
              <w:rPr>
                <w:rFonts w:eastAsia="Calibri"/>
                <w:sz w:val="24"/>
                <w:szCs w:val="24"/>
              </w:rPr>
              <w:t>надання</w:t>
            </w:r>
            <w:proofErr w:type="spellEnd"/>
            <w:r w:rsidRPr="00355733">
              <w:rPr>
                <w:rFonts w:eastAsia="Calibri"/>
                <w:sz w:val="24"/>
                <w:szCs w:val="24"/>
              </w:rPr>
              <w:t xml:space="preserve"> </w:t>
            </w:r>
            <w:proofErr w:type="spellStart"/>
            <w:r w:rsidRPr="00355733">
              <w:rPr>
                <w:rFonts w:eastAsia="Calibri"/>
                <w:sz w:val="24"/>
                <w:szCs w:val="24"/>
              </w:rPr>
              <w:t>публічних</w:t>
            </w:r>
            <w:proofErr w:type="spellEnd"/>
            <w:r w:rsidRPr="00355733">
              <w:rPr>
                <w:rFonts w:eastAsia="Calibri"/>
                <w:sz w:val="24"/>
                <w:szCs w:val="24"/>
              </w:rPr>
              <w:t xml:space="preserve">, </w:t>
            </w:r>
            <w:proofErr w:type="spellStart"/>
            <w:r w:rsidRPr="00355733">
              <w:rPr>
                <w:rFonts w:eastAsia="Calibri"/>
                <w:sz w:val="24"/>
                <w:szCs w:val="24"/>
              </w:rPr>
              <w:t>соціальних</w:t>
            </w:r>
            <w:proofErr w:type="spellEnd"/>
            <w:r w:rsidRPr="00355733">
              <w:rPr>
                <w:rFonts w:eastAsia="Calibri"/>
                <w:sz w:val="24"/>
                <w:szCs w:val="24"/>
              </w:rPr>
              <w:t xml:space="preserve"> та </w:t>
            </w:r>
            <w:proofErr w:type="spellStart"/>
            <w:r w:rsidRPr="00355733">
              <w:rPr>
                <w:rFonts w:eastAsia="Calibri"/>
                <w:sz w:val="24"/>
                <w:szCs w:val="24"/>
              </w:rPr>
              <w:t>культурних</w:t>
            </w:r>
            <w:proofErr w:type="spellEnd"/>
            <w:r w:rsidRPr="00355733">
              <w:rPr>
                <w:rFonts w:eastAsia="Calibri"/>
                <w:sz w:val="24"/>
                <w:szCs w:val="24"/>
              </w:rPr>
              <w:t xml:space="preserve"> </w:t>
            </w:r>
            <w:proofErr w:type="spellStart"/>
            <w:r w:rsidRPr="00355733">
              <w:rPr>
                <w:rFonts w:eastAsia="Calibri"/>
                <w:sz w:val="24"/>
                <w:szCs w:val="24"/>
              </w:rPr>
              <w:t>послуг</w:t>
            </w:r>
            <w:proofErr w:type="spellEnd"/>
            <w:r w:rsidRPr="00355733">
              <w:rPr>
                <w:rFonts w:eastAsia="Calibri"/>
                <w:sz w:val="24"/>
                <w:szCs w:val="24"/>
              </w:rPr>
              <w:t>.</w:t>
            </w:r>
          </w:p>
        </w:tc>
      </w:tr>
      <w:tr w:rsidR="00355733" w:rsidRPr="00355733" w:rsidTr="00355733">
        <w:tc>
          <w:tcPr>
            <w:tcW w:w="3794" w:type="dxa"/>
            <w:vMerge/>
          </w:tcPr>
          <w:p w:rsidR="00355733" w:rsidRPr="00355733" w:rsidRDefault="00355733" w:rsidP="00284E97">
            <w:pPr>
              <w:widowControl w:val="0"/>
              <w:rPr>
                <w:rFonts w:eastAsia="Calibri"/>
                <w:sz w:val="24"/>
                <w:szCs w:val="24"/>
              </w:rPr>
            </w:pPr>
          </w:p>
        </w:tc>
        <w:tc>
          <w:tcPr>
            <w:tcW w:w="5670" w:type="dxa"/>
          </w:tcPr>
          <w:p w:rsidR="00355733" w:rsidRPr="00355733" w:rsidRDefault="00355733" w:rsidP="00284E97">
            <w:pPr>
              <w:widowControl w:val="0"/>
              <w:rPr>
                <w:rFonts w:eastAsia="Calibri"/>
                <w:sz w:val="24"/>
                <w:szCs w:val="24"/>
              </w:rPr>
            </w:pPr>
            <w:proofErr w:type="spellStart"/>
            <w:r w:rsidRPr="00355733">
              <w:rPr>
                <w:rFonts w:eastAsia="Calibri"/>
                <w:sz w:val="24"/>
                <w:szCs w:val="24"/>
              </w:rPr>
              <w:t>Збільшення</w:t>
            </w:r>
            <w:proofErr w:type="spellEnd"/>
            <w:r w:rsidRPr="00355733">
              <w:rPr>
                <w:rFonts w:eastAsia="Calibri"/>
                <w:sz w:val="24"/>
                <w:szCs w:val="24"/>
              </w:rPr>
              <w:t xml:space="preserve"> </w:t>
            </w:r>
            <w:proofErr w:type="spellStart"/>
            <w:r w:rsidRPr="00355733">
              <w:rPr>
                <w:rFonts w:eastAsia="Calibri"/>
                <w:sz w:val="24"/>
                <w:szCs w:val="24"/>
              </w:rPr>
              <w:t>кількості</w:t>
            </w:r>
            <w:proofErr w:type="spellEnd"/>
            <w:r w:rsidRPr="00355733">
              <w:rPr>
                <w:rFonts w:eastAsia="Calibri"/>
                <w:sz w:val="24"/>
                <w:szCs w:val="24"/>
              </w:rPr>
              <w:t xml:space="preserve"> та </w:t>
            </w:r>
            <w:proofErr w:type="spellStart"/>
            <w:r w:rsidRPr="00355733">
              <w:rPr>
                <w:rFonts w:eastAsia="Calibri"/>
                <w:sz w:val="24"/>
                <w:szCs w:val="24"/>
              </w:rPr>
              <w:t>якості</w:t>
            </w:r>
            <w:proofErr w:type="spellEnd"/>
            <w:r w:rsidRPr="00355733">
              <w:rPr>
                <w:rFonts w:eastAsia="Calibri"/>
                <w:sz w:val="24"/>
                <w:szCs w:val="24"/>
              </w:rPr>
              <w:t xml:space="preserve"> </w:t>
            </w:r>
            <w:proofErr w:type="spellStart"/>
            <w:r w:rsidRPr="00355733">
              <w:rPr>
                <w:rFonts w:eastAsia="Calibri"/>
                <w:sz w:val="24"/>
                <w:szCs w:val="24"/>
              </w:rPr>
              <w:t>наданих</w:t>
            </w:r>
            <w:proofErr w:type="spellEnd"/>
            <w:r w:rsidRPr="00355733">
              <w:rPr>
                <w:rFonts w:eastAsia="Calibri"/>
                <w:sz w:val="24"/>
                <w:szCs w:val="24"/>
              </w:rPr>
              <w:t xml:space="preserve"> </w:t>
            </w:r>
            <w:proofErr w:type="spellStart"/>
            <w:r w:rsidRPr="00355733">
              <w:rPr>
                <w:rFonts w:eastAsia="Calibri"/>
                <w:sz w:val="24"/>
                <w:szCs w:val="24"/>
              </w:rPr>
              <w:t>населенню</w:t>
            </w:r>
            <w:proofErr w:type="spellEnd"/>
            <w:r w:rsidRPr="00355733">
              <w:rPr>
                <w:rFonts w:eastAsia="Calibri"/>
                <w:sz w:val="24"/>
                <w:szCs w:val="24"/>
              </w:rPr>
              <w:t xml:space="preserve"> </w:t>
            </w:r>
            <w:proofErr w:type="spellStart"/>
            <w:r w:rsidRPr="00355733">
              <w:rPr>
                <w:rFonts w:eastAsia="Calibri"/>
                <w:sz w:val="24"/>
                <w:szCs w:val="24"/>
              </w:rPr>
              <w:t>публічних</w:t>
            </w:r>
            <w:proofErr w:type="spellEnd"/>
            <w:r w:rsidRPr="00355733">
              <w:rPr>
                <w:rFonts w:eastAsia="Calibri"/>
                <w:sz w:val="24"/>
                <w:szCs w:val="24"/>
              </w:rPr>
              <w:t xml:space="preserve">, </w:t>
            </w:r>
            <w:proofErr w:type="spellStart"/>
            <w:r w:rsidRPr="00355733">
              <w:rPr>
                <w:rFonts w:eastAsia="Calibri"/>
                <w:sz w:val="24"/>
                <w:szCs w:val="24"/>
              </w:rPr>
              <w:t>соціальних</w:t>
            </w:r>
            <w:proofErr w:type="spellEnd"/>
            <w:r w:rsidRPr="00355733">
              <w:rPr>
                <w:rFonts w:eastAsia="Calibri"/>
                <w:sz w:val="24"/>
                <w:szCs w:val="24"/>
              </w:rPr>
              <w:t xml:space="preserve"> та </w:t>
            </w:r>
            <w:proofErr w:type="spellStart"/>
            <w:r w:rsidRPr="00355733">
              <w:rPr>
                <w:rFonts w:eastAsia="Calibri"/>
                <w:sz w:val="24"/>
                <w:szCs w:val="24"/>
              </w:rPr>
              <w:t>культурних</w:t>
            </w:r>
            <w:proofErr w:type="spellEnd"/>
            <w:r w:rsidRPr="00355733">
              <w:rPr>
                <w:rFonts w:eastAsia="Calibri"/>
                <w:sz w:val="24"/>
                <w:szCs w:val="24"/>
              </w:rPr>
              <w:t xml:space="preserve"> </w:t>
            </w:r>
            <w:proofErr w:type="spellStart"/>
            <w:r w:rsidRPr="00355733">
              <w:rPr>
                <w:rFonts w:eastAsia="Calibri"/>
                <w:sz w:val="24"/>
                <w:szCs w:val="24"/>
              </w:rPr>
              <w:t>послуг</w:t>
            </w:r>
            <w:proofErr w:type="spellEnd"/>
            <w:r w:rsidRPr="00355733">
              <w:rPr>
                <w:rFonts w:eastAsia="Calibri"/>
                <w:sz w:val="24"/>
                <w:szCs w:val="24"/>
              </w:rPr>
              <w:t xml:space="preserve"> у </w:t>
            </w:r>
            <w:proofErr w:type="spellStart"/>
            <w:r w:rsidRPr="00355733">
              <w:rPr>
                <w:rFonts w:eastAsia="Calibri"/>
                <w:sz w:val="24"/>
                <w:szCs w:val="24"/>
              </w:rPr>
              <w:lastRenderedPageBreak/>
              <w:t>населених</w:t>
            </w:r>
            <w:proofErr w:type="spellEnd"/>
            <w:r w:rsidRPr="00355733">
              <w:rPr>
                <w:rFonts w:eastAsia="Calibri"/>
                <w:sz w:val="24"/>
                <w:szCs w:val="24"/>
              </w:rPr>
              <w:t xml:space="preserve"> пунктах </w:t>
            </w:r>
            <w:proofErr w:type="spellStart"/>
            <w:r w:rsidRPr="00355733">
              <w:rPr>
                <w:rFonts w:eastAsia="Calibri"/>
                <w:sz w:val="24"/>
                <w:szCs w:val="24"/>
              </w:rPr>
              <w:t>громади</w:t>
            </w:r>
            <w:proofErr w:type="spellEnd"/>
            <w:r w:rsidRPr="00355733">
              <w:rPr>
                <w:rFonts w:eastAsia="Calibri"/>
                <w:sz w:val="24"/>
                <w:szCs w:val="24"/>
              </w:rPr>
              <w:t>.</w:t>
            </w:r>
          </w:p>
        </w:tc>
      </w:tr>
      <w:tr w:rsidR="00355733" w:rsidRPr="00355733" w:rsidTr="00355733">
        <w:tc>
          <w:tcPr>
            <w:tcW w:w="3794" w:type="dxa"/>
            <w:vMerge w:val="restart"/>
            <w:vAlign w:val="center"/>
          </w:tcPr>
          <w:p w:rsidR="00355733" w:rsidRPr="00355733" w:rsidRDefault="00355733" w:rsidP="00284E97">
            <w:pPr>
              <w:widowControl w:val="0"/>
              <w:rPr>
                <w:rFonts w:eastAsia="Calibri"/>
                <w:sz w:val="24"/>
                <w:szCs w:val="24"/>
              </w:rPr>
            </w:pPr>
            <w:r w:rsidRPr="00355733">
              <w:rPr>
                <w:rFonts w:eastAsia="Calibri"/>
                <w:sz w:val="24"/>
                <w:szCs w:val="24"/>
              </w:rPr>
              <w:lastRenderedPageBreak/>
              <w:t xml:space="preserve">11. </w:t>
            </w:r>
            <w:proofErr w:type="spellStart"/>
            <w:r w:rsidRPr="00355733">
              <w:rPr>
                <w:rFonts w:eastAsia="Calibri"/>
                <w:sz w:val="24"/>
                <w:szCs w:val="24"/>
              </w:rPr>
              <w:t>Відновлення</w:t>
            </w:r>
            <w:proofErr w:type="spellEnd"/>
            <w:r w:rsidRPr="00355733">
              <w:rPr>
                <w:rFonts w:eastAsia="Calibri"/>
                <w:sz w:val="24"/>
                <w:szCs w:val="24"/>
              </w:rPr>
              <w:t xml:space="preserve"> та </w:t>
            </w:r>
            <w:proofErr w:type="spellStart"/>
            <w:r w:rsidRPr="00355733">
              <w:rPr>
                <w:rFonts w:eastAsia="Calibri"/>
                <w:sz w:val="24"/>
                <w:szCs w:val="24"/>
              </w:rPr>
              <w:t>розвиток</w:t>
            </w:r>
            <w:proofErr w:type="spellEnd"/>
            <w:r w:rsidRPr="00355733">
              <w:rPr>
                <w:rFonts w:eastAsia="Calibri"/>
                <w:sz w:val="24"/>
                <w:szCs w:val="24"/>
              </w:rPr>
              <w:t xml:space="preserve"> </w:t>
            </w:r>
            <w:proofErr w:type="spellStart"/>
            <w:r w:rsidRPr="00355733">
              <w:rPr>
                <w:rFonts w:eastAsia="Calibri"/>
                <w:sz w:val="24"/>
                <w:szCs w:val="24"/>
              </w:rPr>
              <w:t>регіональної</w:t>
            </w:r>
            <w:proofErr w:type="spellEnd"/>
            <w:r w:rsidRPr="00355733">
              <w:rPr>
                <w:rFonts w:eastAsia="Calibri"/>
                <w:sz w:val="24"/>
                <w:szCs w:val="24"/>
              </w:rPr>
              <w:t xml:space="preserve"> та </w:t>
            </w:r>
            <w:proofErr w:type="spellStart"/>
            <w:r w:rsidRPr="00355733">
              <w:rPr>
                <w:rFonts w:eastAsia="Calibri"/>
                <w:sz w:val="24"/>
                <w:szCs w:val="24"/>
              </w:rPr>
              <w:t>місцевої</w:t>
            </w:r>
            <w:proofErr w:type="spellEnd"/>
            <w:r w:rsidRPr="00355733">
              <w:rPr>
                <w:rFonts w:eastAsia="Calibri"/>
                <w:sz w:val="24"/>
                <w:szCs w:val="24"/>
              </w:rPr>
              <w:t xml:space="preserve"> </w:t>
            </w:r>
            <w:proofErr w:type="spellStart"/>
            <w:r w:rsidRPr="00355733">
              <w:rPr>
                <w:rFonts w:eastAsia="Calibri"/>
                <w:sz w:val="24"/>
                <w:szCs w:val="24"/>
              </w:rPr>
              <w:t>економіки</w:t>
            </w:r>
            <w:proofErr w:type="spellEnd"/>
            <w:r w:rsidRPr="00355733">
              <w:rPr>
                <w:rFonts w:eastAsia="Calibri"/>
                <w:sz w:val="24"/>
                <w:szCs w:val="24"/>
              </w:rPr>
              <w:t xml:space="preserve">, </w:t>
            </w:r>
            <w:proofErr w:type="spellStart"/>
            <w:r w:rsidRPr="00355733">
              <w:rPr>
                <w:rFonts w:eastAsia="Calibri"/>
                <w:sz w:val="24"/>
                <w:szCs w:val="24"/>
              </w:rPr>
              <w:t>створення</w:t>
            </w:r>
            <w:proofErr w:type="spellEnd"/>
            <w:r w:rsidRPr="00355733">
              <w:rPr>
                <w:rFonts w:eastAsia="Calibri"/>
                <w:sz w:val="24"/>
                <w:szCs w:val="24"/>
              </w:rPr>
              <w:t xml:space="preserve"> </w:t>
            </w:r>
            <w:proofErr w:type="spellStart"/>
            <w:r w:rsidRPr="00355733">
              <w:rPr>
                <w:rFonts w:eastAsia="Calibri"/>
                <w:sz w:val="24"/>
                <w:szCs w:val="24"/>
              </w:rPr>
              <w:t>нових</w:t>
            </w:r>
            <w:proofErr w:type="spellEnd"/>
            <w:r w:rsidRPr="00355733">
              <w:rPr>
                <w:rFonts w:eastAsia="Calibri"/>
                <w:sz w:val="24"/>
                <w:szCs w:val="24"/>
              </w:rPr>
              <w:t xml:space="preserve"> </w:t>
            </w:r>
            <w:proofErr w:type="spellStart"/>
            <w:r w:rsidRPr="00355733">
              <w:rPr>
                <w:rFonts w:eastAsia="Calibri"/>
                <w:sz w:val="24"/>
                <w:szCs w:val="24"/>
              </w:rPr>
              <w:t>робочих</w:t>
            </w:r>
            <w:proofErr w:type="spellEnd"/>
            <w:r w:rsidRPr="00355733">
              <w:rPr>
                <w:rFonts w:eastAsia="Calibri"/>
                <w:sz w:val="24"/>
                <w:szCs w:val="24"/>
              </w:rPr>
              <w:t xml:space="preserve"> </w:t>
            </w:r>
            <w:proofErr w:type="spellStart"/>
            <w:r w:rsidRPr="00355733">
              <w:rPr>
                <w:rFonts w:eastAsia="Calibri"/>
                <w:sz w:val="24"/>
                <w:szCs w:val="24"/>
              </w:rPr>
              <w:t>місць</w:t>
            </w:r>
            <w:proofErr w:type="spellEnd"/>
            <w:r w:rsidRPr="00355733">
              <w:rPr>
                <w:rFonts w:eastAsia="Calibri"/>
                <w:sz w:val="24"/>
                <w:szCs w:val="24"/>
              </w:rPr>
              <w:t xml:space="preserve"> у </w:t>
            </w:r>
            <w:proofErr w:type="spellStart"/>
            <w:r w:rsidRPr="00355733">
              <w:rPr>
                <w:rFonts w:eastAsia="Calibri"/>
                <w:sz w:val="24"/>
                <w:szCs w:val="24"/>
              </w:rPr>
              <w:t>громаді</w:t>
            </w:r>
            <w:proofErr w:type="spellEnd"/>
          </w:p>
        </w:tc>
        <w:tc>
          <w:tcPr>
            <w:tcW w:w="5670" w:type="dxa"/>
          </w:tcPr>
          <w:p w:rsidR="00355733" w:rsidRPr="00355733" w:rsidRDefault="00355733" w:rsidP="00284E97">
            <w:pPr>
              <w:widowControl w:val="0"/>
              <w:rPr>
                <w:rFonts w:eastAsia="Calibri"/>
                <w:sz w:val="24"/>
                <w:szCs w:val="24"/>
              </w:rPr>
            </w:pPr>
            <w:proofErr w:type="spellStart"/>
            <w:r w:rsidRPr="00355733">
              <w:rPr>
                <w:rFonts w:eastAsia="Calibri"/>
                <w:sz w:val="24"/>
                <w:szCs w:val="24"/>
              </w:rPr>
              <w:t>Оцінка</w:t>
            </w:r>
            <w:proofErr w:type="spellEnd"/>
            <w:r w:rsidRPr="00355733">
              <w:rPr>
                <w:rFonts w:eastAsia="Calibri"/>
                <w:sz w:val="24"/>
                <w:szCs w:val="24"/>
              </w:rPr>
              <w:t xml:space="preserve"> </w:t>
            </w:r>
            <w:proofErr w:type="spellStart"/>
            <w:r w:rsidRPr="00355733">
              <w:rPr>
                <w:rFonts w:eastAsia="Calibri"/>
                <w:sz w:val="24"/>
                <w:szCs w:val="24"/>
              </w:rPr>
              <w:t>повоєнного</w:t>
            </w:r>
            <w:proofErr w:type="spellEnd"/>
            <w:r w:rsidRPr="00355733">
              <w:rPr>
                <w:rFonts w:eastAsia="Calibri"/>
                <w:sz w:val="24"/>
                <w:szCs w:val="24"/>
              </w:rPr>
              <w:t xml:space="preserve"> </w:t>
            </w:r>
            <w:proofErr w:type="spellStart"/>
            <w:r w:rsidRPr="00355733">
              <w:rPr>
                <w:rFonts w:eastAsia="Calibri"/>
                <w:sz w:val="24"/>
                <w:szCs w:val="24"/>
              </w:rPr>
              <w:t>економічного</w:t>
            </w:r>
            <w:proofErr w:type="spellEnd"/>
            <w:r w:rsidRPr="00355733">
              <w:rPr>
                <w:rFonts w:eastAsia="Calibri"/>
                <w:sz w:val="24"/>
                <w:szCs w:val="24"/>
              </w:rPr>
              <w:t xml:space="preserve"> </w:t>
            </w:r>
            <w:proofErr w:type="spellStart"/>
            <w:r w:rsidRPr="00355733">
              <w:rPr>
                <w:rFonts w:eastAsia="Calibri"/>
                <w:sz w:val="24"/>
                <w:szCs w:val="24"/>
              </w:rPr>
              <w:t>потенціалу</w:t>
            </w:r>
            <w:proofErr w:type="spellEnd"/>
            <w:r w:rsidRPr="00355733">
              <w:rPr>
                <w:rFonts w:eastAsia="Calibri"/>
                <w:sz w:val="24"/>
                <w:szCs w:val="24"/>
              </w:rPr>
              <w:t xml:space="preserve"> </w:t>
            </w:r>
            <w:proofErr w:type="spellStart"/>
            <w:r w:rsidRPr="00355733">
              <w:rPr>
                <w:rFonts w:eastAsia="Calibri"/>
                <w:sz w:val="24"/>
                <w:szCs w:val="24"/>
              </w:rPr>
              <w:t>громади</w:t>
            </w:r>
            <w:proofErr w:type="spellEnd"/>
            <w:r w:rsidRPr="00355733">
              <w:rPr>
                <w:rFonts w:eastAsia="Calibri"/>
                <w:sz w:val="24"/>
                <w:szCs w:val="24"/>
              </w:rPr>
              <w:t xml:space="preserve">, </w:t>
            </w:r>
            <w:proofErr w:type="spellStart"/>
            <w:r w:rsidRPr="00355733">
              <w:rPr>
                <w:rFonts w:eastAsia="Calibri"/>
                <w:sz w:val="24"/>
                <w:szCs w:val="24"/>
              </w:rPr>
              <w:t>визначення</w:t>
            </w:r>
            <w:proofErr w:type="spellEnd"/>
            <w:r w:rsidRPr="00355733">
              <w:rPr>
                <w:rFonts w:eastAsia="Calibri"/>
                <w:sz w:val="24"/>
                <w:szCs w:val="24"/>
              </w:rPr>
              <w:t xml:space="preserve"> </w:t>
            </w:r>
            <w:proofErr w:type="spellStart"/>
            <w:r w:rsidRPr="00355733">
              <w:rPr>
                <w:rFonts w:eastAsia="Calibri"/>
                <w:sz w:val="24"/>
                <w:szCs w:val="24"/>
              </w:rPr>
              <w:t>можливостей</w:t>
            </w:r>
            <w:proofErr w:type="spellEnd"/>
            <w:r w:rsidRPr="00355733">
              <w:rPr>
                <w:rFonts w:eastAsia="Calibri"/>
                <w:sz w:val="24"/>
                <w:szCs w:val="24"/>
              </w:rPr>
              <w:t xml:space="preserve"> та </w:t>
            </w:r>
            <w:proofErr w:type="spellStart"/>
            <w:r w:rsidRPr="00355733">
              <w:rPr>
                <w:rFonts w:eastAsia="Calibri"/>
                <w:sz w:val="24"/>
                <w:szCs w:val="24"/>
              </w:rPr>
              <w:t>темпів</w:t>
            </w:r>
            <w:proofErr w:type="spellEnd"/>
            <w:r w:rsidRPr="00355733">
              <w:rPr>
                <w:rFonts w:eastAsia="Calibri"/>
                <w:sz w:val="24"/>
                <w:szCs w:val="24"/>
              </w:rPr>
              <w:t xml:space="preserve"> </w:t>
            </w:r>
            <w:proofErr w:type="spellStart"/>
            <w:r w:rsidRPr="00355733">
              <w:rPr>
                <w:rFonts w:eastAsia="Calibri"/>
                <w:sz w:val="24"/>
                <w:szCs w:val="24"/>
              </w:rPr>
              <w:t>розвитку</w:t>
            </w:r>
            <w:proofErr w:type="spellEnd"/>
            <w:r w:rsidRPr="00355733">
              <w:rPr>
                <w:rFonts w:eastAsia="Calibri"/>
                <w:sz w:val="24"/>
                <w:szCs w:val="24"/>
              </w:rPr>
              <w:t xml:space="preserve">, </w:t>
            </w:r>
            <w:proofErr w:type="spellStart"/>
            <w:r w:rsidRPr="00355733">
              <w:rPr>
                <w:rFonts w:eastAsia="Calibri"/>
                <w:sz w:val="24"/>
                <w:szCs w:val="24"/>
              </w:rPr>
              <w:t>потенційних</w:t>
            </w:r>
            <w:proofErr w:type="spellEnd"/>
            <w:r w:rsidRPr="00355733">
              <w:rPr>
                <w:rFonts w:eastAsia="Calibri"/>
                <w:sz w:val="24"/>
                <w:szCs w:val="24"/>
              </w:rPr>
              <w:t xml:space="preserve"> </w:t>
            </w:r>
            <w:proofErr w:type="spellStart"/>
            <w:r w:rsidRPr="00355733">
              <w:rPr>
                <w:rFonts w:eastAsia="Calibri"/>
                <w:sz w:val="24"/>
                <w:szCs w:val="24"/>
              </w:rPr>
              <w:t>напрямів</w:t>
            </w:r>
            <w:proofErr w:type="spellEnd"/>
            <w:r w:rsidRPr="00355733">
              <w:rPr>
                <w:rFonts w:eastAsia="Calibri"/>
                <w:sz w:val="24"/>
                <w:szCs w:val="24"/>
              </w:rPr>
              <w:t xml:space="preserve"> </w:t>
            </w:r>
            <w:proofErr w:type="spellStart"/>
            <w:r w:rsidRPr="00355733">
              <w:rPr>
                <w:rFonts w:eastAsia="Calibri"/>
                <w:sz w:val="24"/>
                <w:szCs w:val="24"/>
              </w:rPr>
              <w:t>інвестування</w:t>
            </w:r>
            <w:proofErr w:type="spellEnd"/>
            <w:r w:rsidRPr="00355733">
              <w:rPr>
                <w:rFonts w:eastAsia="Calibri"/>
                <w:sz w:val="24"/>
                <w:szCs w:val="24"/>
              </w:rPr>
              <w:t>.</w:t>
            </w:r>
          </w:p>
        </w:tc>
      </w:tr>
      <w:tr w:rsidR="00355733" w:rsidRPr="00355733" w:rsidTr="00355733">
        <w:tc>
          <w:tcPr>
            <w:tcW w:w="3794" w:type="dxa"/>
            <w:vMerge/>
          </w:tcPr>
          <w:p w:rsidR="00355733" w:rsidRPr="00355733" w:rsidRDefault="00355733" w:rsidP="00284E97">
            <w:pPr>
              <w:widowControl w:val="0"/>
              <w:rPr>
                <w:rFonts w:eastAsia="Calibri"/>
                <w:sz w:val="24"/>
                <w:szCs w:val="24"/>
              </w:rPr>
            </w:pPr>
          </w:p>
        </w:tc>
        <w:tc>
          <w:tcPr>
            <w:tcW w:w="5670" w:type="dxa"/>
          </w:tcPr>
          <w:p w:rsidR="00355733" w:rsidRPr="00355733" w:rsidRDefault="00355733" w:rsidP="00284E97">
            <w:pPr>
              <w:widowControl w:val="0"/>
              <w:rPr>
                <w:rFonts w:eastAsia="Calibri"/>
                <w:sz w:val="24"/>
                <w:szCs w:val="24"/>
              </w:rPr>
            </w:pPr>
            <w:proofErr w:type="spellStart"/>
            <w:r w:rsidRPr="00355733">
              <w:rPr>
                <w:rFonts w:eastAsia="Calibri"/>
                <w:sz w:val="24"/>
                <w:szCs w:val="24"/>
              </w:rPr>
              <w:t>Розробка</w:t>
            </w:r>
            <w:proofErr w:type="spellEnd"/>
            <w:r w:rsidRPr="00355733">
              <w:rPr>
                <w:rFonts w:eastAsia="Calibri"/>
                <w:sz w:val="24"/>
                <w:szCs w:val="24"/>
              </w:rPr>
              <w:t xml:space="preserve"> та </w:t>
            </w:r>
            <w:proofErr w:type="spellStart"/>
            <w:r w:rsidRPr="00355733">
              <w:rPr>
                <w:rFonts w:eastAsia="Calibri"/>
                <w:sz w:val="24"/>
                <w:szCs w:val="24"/>
              </w:rPr>
              <w:t>реалізація</w:t>
            </w:r>
            <w:proofErr w:type="spellEnd"/>
            <w:r w:rsidRPr="00355733">
              <w:rPr>
                <w:rFonts w:eastAsia="Calibri"/>
                <w:sz w:val="24"/>
                <w:szCs w:val="24"/>
              </w:rPr>
              <w:t xml:space="preserve"> </w:t>
            </w:r>
            <w:proofErr w:type="spellStart"/>
            <w:r w:rsidRPr="00355733">
              <w:rPr>
                <w:rFonts w:eastAsia="Calibri"/>
                <w:sz w:val="24"/>
                <w:szCs w:val="24"/>
              </w:rPr>
              <w:t>проєктів</w:t>
            </w:r>
            <w:proofErr w:type="spellEnd"/>
            <w:r w:rsidRPr="00355733">
              <w:rPr>
                <w:rFonts w:eastAsia="Calibri"/>
                <w:sz w:val="24"/>
                <w:szCs w:val="24"/>
              </w:rPr>
              <w:t xml:space="preserve">, </w:t>
            </w:r>
            <w:proofErr w:type="spellStart"/>
            <w:r w:rsidRPr="00355733">
              <w:rPr>
                <w:rFonts w:eastAsia="Calibri"/>
                <w:sz w:val="24"/>
                <w:szCs w:val="24"/>
              </w:rPr>
              <w:t>які</w:t>
            </w:r>
            <w:proofErr w:type="spellEnd"/>
            <w:r w:rsidRPr="00355733">
              <w:rPr>
                <w:rFonts w:eastAsia="Calibri"/>
                <w:sz w:val="24"/>
                <w:szCs w:val="24"/>
              </w:rPr>
              <w:t xml:space="preserve"> </w:t>
            </w:r>
            <w:proofErr w:type="spellStart"/>
            <w:r w:rsidRPr="00355733">
              <w:rPr>
                <w:rFonts w:eastAsia="Calibri"/>
                <w:sz w:val="24"/>
                <w:szCs w:val="24"/>
              </w:rPr>
              <w:t>спрямовані</w:t>
            </w:r>
            <w:proofErr w:type="spellEnd"/>
            <w:r w:rsidRPr="00355733">
              <w:rPr>
                <w:rFonts w:eastAsia="Calibri"/>
                <w:sz w:val="24"/>
                <w:szCs w:val="24"/>
              </w:rPr>
              <w:t xml:space="preserve"> на </w:t>
            </w:r>
            <w:proofErr w:type="spellStart"/>
            <w:r w:rsidRPr="00355733">
              <w:rPr>
                <w:rFonts w:eastAsia="Calibri"/>
                <w:sz w:val="24"/>
                <w:szCs w:val="24"/>
              </w:rPr>
              <w:t>підтримку</w:t>
            </w:r>
            <w:proofErr w:type="spellEnd"/>
            <w:r w:rsidRPr="00355733">
              <w:rPr>
                <w:rFonts w:eastAsia="Calibri"/>
                <w:sz w:val="24"/>
                <w:szCs w:val="24"/>
              </w:rPr>
              <w:t xml:space="preserve"> </w:t>
            </w:r>
            <w:proofErr w:type="spellStart"/>
            <w:r w:rsidRPr="00355733">
              <w:rPr>
                <w:rFonts w:eastAsia="Calibri"/>
                <w:sz w:val="24"/>
                <w:szCs w:val="24"/>
              </w:rPr>
              <w:t>розвитку</w:t>
            </w:r>
            <w:proofErr w:type="spellEnd"/>
            <w:r w:rsidRPr="00355733">
              <w:rPr>
                <w:rFonts w:eastAsia="Calibri"/>
                <w:sz w:val="24"/>
                <w:szCs w:val="24"/>
              </w:rPr>
              <w:t xml:space="preserve"> </w:t>
            </w:r>
            <w:proofErr w:type="spellStart"/>
            <w:r w:rsidRPr="00355733">
              <w:rPr>
                <w:rFonts w:eastAsia="Calibri"/>
                <w:sz w:val="24"/>
                <w:szCs w:val="24"/>
              </w:rPr>
              <w:t>економіки</w:t>
            </w:r>
            <w:proofErr w:type="spellEnd"/>
            <w:r w:rsidRPr="00355733">
              <w:rPr>
                <w:rFonts w:eastAsia="Calibri"/>
                <w:sz w:val="24"/>
                <w:szCs w:val="24"/>
              </w:rPr>
              <w:t xml:space="preserve"> </w:t>
            </w:r>
            <w:proofErr w:type="spellStart"/>
            <w:r w:rsidRPr="00355733">
              <w:rPr>
                <w:rFonts w:eastAsia="Calibri"/>
                <w:sz w:val="24"/>
                <w:szCs w:val="24"/>
              </w:rPr>
              <w:t>території</w:t>
            </w:r>
            <w:proofErr w:type="spellEnd"/>
            <w:r w:rsidRPr="00355733">
              <w:rPr>
                <w:rFonts w:eastAsia="Calibri"/>
                <w:sz w:val="24"/>
                <w:szCs w:val="24"/>
              </w:rPr>
              <w:t xml:space="preserve">, </w:t>
            </w:r>
            <w:proofErr w:type="spellStart"/>
            <w:r w:rsidRPr="00355733">
              <w:rPr>
                <w:rFonts w:eastAsia="Calibri"/>
                <w:sz w:val="24"/>
                <w:szCs w:val="24"/>
              </w:rPr>
              <w:t>створення</w:t>
            </w:r>
            <w:proofErr w:type="spellEnd"/>
            <w:r w:rsidRPr="00355733">
              <w:rPr>
                <w:rFonts w:eastAsia="Calibri"/>
                <w:sz w:val="24"/>
                <w:szCs w:val="24"/>
              </w:rPr>
              <w:t xml:space="preserve"> </w:t>
            </w:r>
            <w:proofErr w:type="spellStart"/>
            <w:r w:rsidRPr="00355733">
              <w:rPr>
                <w:rFonts w:eastAsia="Calibri"/>
                <w:sz w:val="24"/>
                <w:szCs w:val="24"/>
              </w:rPr>
              <w:t>робочих</w:t>
            </w:r>
            <w:proofErr w:type="spellEnd"/>
            <w:r w:rsidRPr="00355733">
              <w:rPr>
                <w:rFonts w:eastAsia="Calibri"/>
                <w:sz w:val="24"/>
                <w:szCs w:val="24"/>
              </w:rPr>
              <w:t xml:space="preserve"> </w:t>
            </w:r>
            <w:proofErr w:type="spellStart"/>
            <w:r w:rsidRPr="00355733">
              <w:rPr>
                <w:rFonts w:eastAsia="Calibri"/>
                <w:sz w:val="24"/>
                <w:szCs w:val="24"/>
              </w:rPr>
              <w:t>місць</w:t>
            </w:r>
            <w:proofErr w:type="spellEnd"/>
            <w:r w:rsidRPr="00355733">
              <w:rPr>
                <w:rFonts w:eastAsia="Calibri"/>
                <w:sz w:val="24"/>
                <w:szCs w:val="24"/>
              </w:rPr>
              <w:t xml:space="preserve">, </w:t>
            </w:r>
            <w:proofErr w:type="spellStart"/>
            <w:r w:rsidRPr="00355733">
              <w:rPr>
                <w:rFonts w:eastAsia="Calibri"/>
                <w:sz w:val="24"/>
                <w:szCs w:val="24"/>
              </w:rPr>
              <w:t>підвищення</w:t>
            </w:r>
            <w:proofErr w:type="spellEnd"/>
            <w:r w:rsidRPr="00355733">
              <w:rPr>
                <w:rFonts w:eastAsia="Calibri"/>
                <w:sz w:val="24"/>
                <w:szCs w:val="24"/>
              </w:rPr>
              <w:t xml:space="preserve"> </w:t>
            </w:r>
            <w:proofErr w:type="spellStart"/>
            <w:r w:rsidRPr="00355733">
              <w:rPr>
                <w:rFonts w:eastAsia="Calibri"/>
                <w:sz w:val="24"/>
                <w:szCs w:val="24"/>
              </w:rPr>
              <w:t>рівня</w:t>
            </w:r>
            <w:proofErr w:type="spellEnd"/>
            <w:r w:rsidRPr="00355733">
              <w:rPr>
                <w:rFonts w:eastAsia="Calibri"/>
                <w:sz w:val="24"/>
                <w:szCs w:val="24"/>
              </w:rPr>
              <w:t xml:space="preserve"> </w:t>
            </w:r>
            <w:proofErr w:type="spellStart"/>
            <w:r w:rsidRPr="00355733">
              <w:rPr>
                <w:rFonts w:eastAsia="Calibri"/>
                <w:sz w:val="24"/>
                <w:szCs w:val="24"/>
              </w:rPr>
              <w:t>життя</w:t>
            </w:r>
            <w:proofErr w:type="spellEnd"/>
            <w:r w:rsidRPr="00355733">
              <w:rPr>
                <w:rFonts w:eastAsia="Calibri"/>
                <w:sz w:val="24"/>
                <w:szCs w:val="24"/>
              </w:rPr>
              <w:t xml:space="preserve"> </w:t>
            </w:r>
            <w:proofErr w:type="spellStart"/>
            <w:r w:rsidRPr="00355733">
              <w:rPr>
                <w:rFonts w:eastAsia="Calibri"/>
                <w:sz w:val="24"/>
                <w:szCs w:val="24"/>
              </w:rPr>
              <w:t>населення</w:t>
            </w:r>
            <w:proofErr w:type="spellEnd"/>
            <w:r w:rsidRPr="00355733">
              <w:rPr>
                <w:rFonts w:eastAsia="Calibri"/>
                <w:sz w:val="24"/>
                <w:szCs w:val="24"/>
              </w:rPr>
              <w:t xml:space="preserve"> та </w:t>
            </w:r>
            <w:proofErr w:type="spellStart"/>
            <w:r w:rsidRPr="00355733">
              <w:rPr>
                <w:rFonts w:eastAsia="Calibri"/>
                <w:sz w:val="24"/>
                <w:szCs w:val="24"/>
              </w:rPr>
              <w:t>підвищення</w:t>
            </w:r>
            <w:proofErr w:type="spellEnd"/>
            <w:r w:rsidRPr="00355733">
              <w:rPr>
                <w:rFonts w:eastAsia="Calibri"/>
                <w:sz w:val="24"/>
                <w:szCs w:val="24"/>
              </w:rPr>
              <w:t xml:space="preserve"> </w:t>
            </w:r>
            <w:proofErr w:type="spellStart"/>
            <w:r w:rsidRPr="00355733">
              <w:rPr>
                <w:rFonts w:eastAsia="Calibri"/>
                <w:sz w:val="24"/>
                <w:szCs w:val="24"/>
              </w:rPr>
              <w:t>економічного</w:t>
            </w:r>
            <w:proofErr w:type="spellEnd"/>
            <w:r w:rsidRPr="00355733">
              <w:rPr>
                <w:rFonts w:eastAsia="Calibri"/>
                <w:sz w:val="24"/>
                <w:szCs w:val="24"/>
              </w:rPr>
              <w:t xml:space="preserve"> </w:t>
            </w:r>
            <w:proofErr w:type="spellStart"/>
            <w:r w:rsidRPr="00355733">
              <w:rPr>
                <w:rFonts w:eastAsia="Calibri"/>
                <w:sz w:val="24"/>
                <w:szCs w:val="24"/>
              </w:rPr>
              <w:t>потенціалу</w:t>
            </w:r>
            <w:proofErr w:type="spellEnd"/>
            <w:r w:rsidRPr="00355733">
              <w:rPr>
                <w:rFonts w:eastAsia="Calibri"/>
                <w:sz w:val="24"/>
                <w:szCs w:val="24"/>
              </w:rPr>
              <w:t xml:space="preserve"> </w:t>
            </w:r>
            <w:proofErr w:type="spellStart"/>
            <w:r w:rsidRPr="00355733">
              <w:rPr>
                <w:rFonts w:eastAsia="Calibri"/>
                <w:sz w:val="24"/>
                <w:szCs w:val="24"/>
              </w:rPr>
              <w:t>території</w:t>
            </w:r>
            <w:proofErr w:type="spellEnd"/>
            <w:r w:rsidRPr="00355733">
              <w:rPr>
                <w:rFonts w:eastAsia="Calibri"/>
                <w:sz w:val="24"/>
                <w:szCs w:val="24"/>
              </w:rPr>
              <w:t>.</w:t>
            </w:r>
          </w:p>
        </w:tc>
      </w:tr>
      <w:tr w:rsidR="00355733" w:rsidRPr="00355733" w:rsidTr="00355733">
        <w:tc>
          <w:tcPr>
            <w:tcW w:w="3794" w:type="dxa"/>
            <w:vMerge w:val="restart"/>
            <w:vAlign w:val="center"/>
          </w:tcPr>
          <w:p w:rsidR="00355733" w:rsidRPr="00355733" w:rsidRDefault="00355733" w:rsidP="00355733">
            <w:pPr>
              <w:widowControl w:val="0"/>
              <w:jc w:val="left"/>
              <w:rPr>
                <w:rFonts w:eastAsia="Calibri"/>
                <w:sz w:val="24"/>
                <w:szCs w:val="24"/>
              </w:rPr>
            </w:pPr>
            <w:r w:rsidRPr="00355733">
              <w:rPr>
                <w:rFonts w:eastAsia="Calibri"/>
                <w:sz w:val="24"/>
                <w:szCs w:val="24"/>
              </w:rPr>
              <w:t xml:space="preserve">12. </w:t>
            </w:r>
            <w:proofErr w:type="spellStart"/>
            <w:r w:rsidRPr="00355733">
              <w:rPr>
                <w:rFonts w:eastAsia="Calibri"/>
                <w:sz w:val="24"/>
                <w:szCs w:val="24"/>
              </w:rPr>
              <w:t>Відновлення</w:t>
            </w:r>
            <w:proofErr w:type="spellEnd"/>
            <w:r w:rsidRPr="00355733">
              <w:rPr>
                <w:rFonts w:eastAsia="Calibri"/>
                <w:sz w:val="24"/>
                <w:szCs w:val="24"/>
              </w:rPr>
              <w:t xml:space="preserve"> </w:t>
            </w:r>
            <w:proofErr w:type="spellStart"/>
            <w:r w:rsidRPr="00355733">
              <w:rPr>
                <w:rFonts w:eastAsia="Calibri"/>
                <w:sz w:val="24"/>
                <w:szCs w:val="24"/>
              </w:rPr>
              <w:t>агропромислового</w:t>
            </w:r>
            <w:proofErr w:type="spellEnd"/>
            <w:r w:rsidRPr="00355733">
              <w:rPr>
                <w:rFonts w:eastAsia="Calibri"/>
                <w:sz w:val="24"/>
                <w:szCs w:val="24"/>
              </w:rPr>
              <w:t xml:space="preserve"> сектору </w:t>
            </w:r>
            <w:proofErr w:type="spellStart"/>
            <w:r w:rsidRPr="00355733">
              <w:rPr>
                <w:rFonts w:eastAsia="Calibri"/>
                <w:sz w:val="24"/>
                <w:szCs w:val="24"/>
              </w:rPr>
              <w:t>громади</w:t>
            </w:r>
            <w:proofErr w:type="spellEnd"/>
          </w:p>
        </w:tc>
        <w:tc>
          <w:tcPr>
            <w:tcW w:w="5670" w:type="dxa"/>
          </w:tcPr>
          <w:p w:rsidR="00355733" w:rsidRPr="00355733" w:rsidRDefault="00355733" w:rsidP="00284E97">
            <w:pPr>
              <w:widowControl w:val="0"/>
              <w:rPr>
                <w:rFonts w:eastAsia="Calibri"/>
                <w:sz w:val="24"/>
                <w:szCs w:val="24"/>
              </w:rPr>
            </w:pPr>
            <w:proofErr w:type="spellStart"/>
            <w:r w:rsidRPr="00355733">
              <w:rPr>
                <w:rFonts w:eastAsia="Calibri"/>
                <w:sz w:val="24"/>
                <w:szCs w:val="24"/>
              </w:rPr>
              <w:t>Розмінування</w:t>
            </w:r>
            <w:proofErr w:type="spellEnd"/>
            <w:r w:rsidRPr="00355733">
              <w:rPr>
                <w:rFonts w:eastAsia="Calibri"/>
                <w:sz w:val="24"/>
                <w:szCs w:val="24"/>
              </w:rPr>
              <w:t xml:space="preserve"> земель </w:t>
            </w:r>
            <w:proofErr w:type="spellStart"/>
            <w:r w:rsidRPr="00355733">
              <w:rPr>
                <w:rFonts w:eastAsia="Calibri"/>
                <w:sz w:val="24"/>
                <w:szCs w:val="24"/>
              </w:rPr>
              <w:t>сільськогосподарського</w:t>
            </w:r>
            <w:proofErr w:type="spellEnd"/>
            <w:r w:rsidRPr="00355733">
              <w:rPr>
                <w:rFonts w:eastAsia="Calibri"/>
                <w:sz w:val="24"/>
                <w:szCs w:val="24"/>
              </w:rPr>
              <w:t xml:space="preserve"> </w:t>
            </w:r>
            <w:proofErr w:type="spellStart"/>
            <w:r w:rsidRPr="00355733">
              <w:rPr>
                <w:rFonts w:eastAsia="Calibri"/>
                <w:sz w:val="24"/>
                <w:szCs w:val="24"/>
              </w:rPr>
              <w:t>призначення</w:t>
            </w:r>
            <w:proofErr w:type="spellEnd"/>
            <w:r w:rsidRPr="00355733">
              <w:rPr>
                <w:rFonts w:eastAsia="Calibri"/>
                <w:sz w:val="24"/>
                <w:szCs w:val="24"/>
              </w:rPr>
              <w:t>.</w:t>
            </w:r>
          </w:p>
        </w:tc>
      </w:tr>
      <w:tr w:rsidR="00355733" w:rsidRPr="00A80848" w:rsidTr="00355733">
        <w:tc>
          <w:tcPr>
            <w:tcW w:w="3794" w:type="dxa"/>
            <w:vMerge/>
          </w:tcPr>
          <w:p w:rsidR="00355733" w:rsidRPr="00355733" w:rsidRDefault="00355733" w:rsidP="00284E97">
            <w:pPr>
              <w:widowControl w:val="0"/>
              <w:rPr>
                <w:rFonts w:eastAsia="Calibri"/>
                <w:sz w:val="24"/>
                <w:szCs w:val="24"/>
              </w:rPr>
            </w:pPr>
          </w:p>
        </w:tc>
        <w:tc>
          <w:tcPr>
            <w:tcW w:w="5670" w:type="dxa"/>
          </w:tcPr>
          <w:p w:rsidR="00355733" w:rsidRPr="00355733" w:rsidRDefault="00355733" w:rsidP="00284E97">
            <w:pPr>
              <w:widowControl w:val="0"/>
              <w:rPr>
                <w:rFonts w:eastAsia="Calibri"/>
                <w:sz w:val="24"/>
                <w:szCs w:val="24"/>
              </w:rPr>
            </w:pPr>
            <w:proofErr w:type="spellStart"/>
            <w:r w:rsidRPr="00355733">
              <w:rPr>
                <w:rFonts w:eastAsia="Calibri"/>
                <w:sz w:val="24"/>
                <w:szCs w:val="24"/>
              </w:rPr>
              <w:t>Створення</w:t>
            </w:r>
            <w:proofErr w:type="spellEnd"/>
            <w:r w:rsidRPr="00355733">
              <w:rPr>
                <w:rFonts w:eastAsia="Calibri"/>
                <w:sz w:val="24"/>
                <w:szCs w:val="24"/>
              </w:rPr>
              <w:t xml:space="preserve"> на </w:t>
            </w:r>
            <w:proofErr w:type="spellStart"/>
            <w:r w:rsidRPr="00355733">
              <w:rPr>
                <w:rFonts w:eastAsia="Calibri"/>
                <w:sz w:val="24"/>
                <w:szCs w:val="24"/>
              </w:rPr>
              <w:t>території</w:t>
            </w:r>
            <w:proofErr w:type="spellEnd"/>
            <w:r w:rsidRPr="00355733">
              <w:rPr>
                <w:rFonts w:eastAsia="Calibri"/>
                <w:sz w:val="24"/>
                <w:szCs w:val="24"/>
              </w:rPr>
              <w:t xml:space="preserve"> </w:t>
            </w:r>
            <w:proofErr w:type="spellStart"/>
            <w:r w:rsidRPr="00355733">
              <w:rPr>
                <w:rFonts w:eastAsia="Calibri"/>
                <w:sz w:val="24"/>
                <w:szCs w:val="24"/>
              </w:rPr>
              <w:t>громади</w:t>
            </w:r>
            <w:proofErr w:type="spellEnd"/>
            <w:r w:rsidRPr="00355733">
              <w:rPr>
                <w:rFonts w:eastAsia="Calibri"/>
                <w:sz w:val="24"/>
                <w:szCs w:val="24"/>
              </w:rPr>
              <w:t xml:space="preserve"> </w:t>
            </w:r>
            <w:proofErr w:type="spellStart"/>
            <w:r w:rsidRPr="00355733">
              <w:rPr>
                <w:rFonts w:eastAsia="Calibri"/>
                <w:sz w:val="24"/>
                <w:szCs w:val="24"/>
              </w:rPr>
              <w:t>підприємницьких</w:t>
            </w:r>
            <w:proofErr w:type="spellEnd"/>
            <w:r w:rsidRPr="00355733">
              <w:rPr>
                <w:rFonts w:eastAsia="Calibri"/>
                <w:sz w:val="24"/>
                <w:szCs w:val="24"/>
              </w:rPr>
              <w:t xml:space="preserve"> форм з </w:t>
            </w:r>
            <w:proofErr w:type="spellStart"/>
            <w:r w:rsidRPr="00355733">
              <w:rPr>
                <w:rFonts w:eastAsia="Calibri"/>
                <w:sz w:val="24"/>
                <w:szCs w:val="24"/>
              </w:rPr>
              <w:t>переробки</w:t>
            </w:r>
            <w:proofErr w:type="spellEnd"/>
            <w:r w:rsidRPr="00355733">
              <w:rPr>
                <w:rFonts w:eastAsia="Calibri"/>
                <w:sz w:val="24"/>
                <w:szCs w:val="24"/>
              </w:rPr>
              <w:t xml:space="preserve"> </w:t>
            </w:r>
            <w:proofErr w:type="spellStart"/>
            <w:r w:rsidRPr="00355733">
              <w:rPr>
                <w:rFonts w:eastAsia="Calibri"/>
                <w:sz w:val="24"/>
                <w:szCs w:val="24"/>
              </w:rPr>
              <w:t>продукції</w:t>
            </w:r>
            <w:proofErr w:type="spellEnd"/>
            <w:r w:rsidRPr="00355733">
              <w:rPr>
                <w:rFonts w:eastAsia="Calibri"/>
                <w:sz w:val="24"/>
                <w:szCs w:val="24"/>
              </w:rPr>
              <w:t xml:space="preserve"> АПК та </w:t>
            </w:r>
            <w:proofErr w:type="spellStart"/>
            <w:r w:rsidRPr="00355733">
              <w:rPr>
                <w:rFonts w:eastAsia="Calibri"/>
                <w:sz w:val="24"/>
                <w:szCs w:val="24"/>
              </w:rPr>
              <w:t>виробництва</w:t>
            </w:r>
            <w:proofErr w:type="spellEnd"/>
            <w:r w:rsidRPr="00355733">
              <w:rPr>
                <w:rFonts w:eastAsia="Calibri"/>
                <w:sz w:val="24"/>
                <w:szCs w:val="24"/>
              </w:rPr>
              <w:t xml:space="preserve"> </w:t>
            </w:r>
            <w:proofErr w:type="spellStart"/>
            <w:r w:rsidRPr="00355733">
              <w:rPr>
                <w:rFonts w:eastAsia="Calibri"/>
                <w:sz w:val="24"/>
                <w:szCs w:val="24"/>
              </w:rPr>
              <w:t>продукції</w:t>
            </w:r>
            <w:proofErr w:type="spellEnd"/>
            <w:r w:rsidRPr="00355733">
              <w:rPr>
                <w:rFonts w:eastAsia="Calibri"/>
                <w:sz w:val="24"/>
                <w:szCs w:val="24"/>
              </w:rPr>
              <w:t xml:space="preserve"> </w:t>
            </w:r>
            <w:proofErr w:type="spellStart"/>
            <w:r w:rsidRPr="00355733">
              <w:rPr>
                <w:rFonts w:eastAsia="Calibri"/>
                <w:sz w:val="24"/>
                <w:szCs w:val="24"/>
              </w:rPr>
              <w:t>кінцевого</w:t>
            </w:r>
            <w:proofErr w:type="spellEnd"/>
            <w:r w:rsidRPr="00355733">
              <w:rPr>
                <w:rFonts w:eastAsia="Calibri"/>
                <w:sz w:val="24"/>
                <w:szCs w:val="24"/>
              </w:rPr>
              <w:t xml:space="preserve"> </w:t>
            </w:r>
            <w:proofErr w:type="spellStart"/>
            <w:r w:rsidRPr="00355733">
              <w:rPr>
                <w:rFonts w:eastAsia="Calibri"/>
                <w:sz w:val="24"/>
                <w:szCs w:val="24"/>
              </w:rPr>
              <w:t>споживання</w:t>
            </w:r>
            <w:proofErr w:type="spellEnd"/>
            <w:r w:rsidRPr="00355733">
              <w:rPr>
                <w:rFonts w:eastAsia="Calibri"/>
                <w:sz w:val="24"/>
                <w:szCs w:val="24"/>
              </w:rPr>
              <w:t>.</w:t>
            </w:r>
          </w:p>
        </w:tc>
      </w:tr>
    </w:tbl>
    <w:p w:rsidR="00A80848" w:rsidRDefault="00A80848" w:rsidP="00AC499C">
      <w:pPr>
        <w:rPr>
          <w:lang w:val="ru-RU"/>
        </w:rPr>
      </w:pPr>
    </w:p>
    <w:p w:rsidR="00A80848" w:rsidRPr="00A80848" w:rsidRDefault="00A80848" w:rsidP="00AC499C">
      <w:pPr>
        <w:rPr>
          <w:lang w:val="ru-RU"/>
        </w:rPr>
      </w:pPr>
    </w:p>
    <w:p w:rsidR="00AC499C" w:rsidRPr="00E95FB1" w:rsidRDefault="00AC499C" w:rsidP="00AC499C">
      <w:pPr>
        <w:pStyle w:val="1"/>
        <w:rPr>
          <w:lang w:eastAsia="uk-UA"/>
        </w:rPr>
      </w:pPr>
      <w:bookmarkStart w:id="35" w:name="_Toc142141284"/>
      <w:bookmarkStart w:id="36" w:name="_Toc143012475"/>
      <w:r w:rsidRPr="00E95FB1">
        <w:rPr>
          <w:lang w:eastAsia="uk-UA"/>
        </w:rPr>
        <w:t xml:space="preserve">Етапи і механізми реалізації </w:t>
      </w:r>
      <w:proofErr w:type="spellStart"/>
      <w:r w:rsidR="00A80848">
        <w:rPr>
          <w:lang w:val="ru-RU" w:eastAsia="uk-UA"/>
        </w:rPr>
        <w:t>Програми</w:t>
      </w:r>
      <w:proofErr w:type="spellEnd"/>
      <w:r w:rsidRPr="00E95FB1">
        <w:rPr>
          <w:lang w:eastAsia="uk-UA"/>
        </w:rPr>
        <w:t xml:space="preserve"> відновлення та розвитку територіальної громади</w:t>
      </w:r>
      <w:bookmarkEnd w:id="35"/>
      <w:bookmarkEnd w:id="36"/>
    </w:p>
    <w:p w:rsidR="00AC499C" w:rsidRPr="00E95FB1" w:rsidRDefault="00AC499C" w:rsidP="00AC499C">
      <w:pPr>
        <w:shd w:val="clear" w:color="auto" w:fill="FFFFFF"/>
        <w:ind w:firstLine="709"/>
        <w:rPr>
          <w:lang w:eastAsia="uk-UA"/>
        </w:rPr>
      </w:pPr>
    </w:p>
    <w:p w:rsidR="00AC499C" w:rsidRPr="00E95FB1" w:rsidRDefault="00AC499C" w:rsidP="00AC499C">
      <w:pPr>
        <w:autoSpaceDE w:val="0"/>
        <w:autoSpaceDN w:val="0"/>
        <w:adjustRightInd w:val="0"/>
        <w:ind w:firstLine="709"/>
        <w:rPr>
          <w:rFonts w:eastAsia="Calibri"/>
        </w:rPr>
      </w:pPr>
      <w:r w:rsidRPr="00E95FB1">
        <w:rPr>
          <w:rFonts w:eastAsia="Calibri"/>
        </w:rPr>
        <w:t xml:space="preserve">Для реалізації </w:t>
      </w:r>
      <w:r w:rsidR="00A80848" w:rsidRPr="00A80848">
        <w:rPr>
          <w:rFonts w:eastAsia="Calibri"/>
        </w:rPr>
        <w:t>Програми</w:t>
      </w:r>
      <w:r w:rsidRPr="00E95FB1">
        <w:rPr>
          <w:rFonts w:eastAsia="Calibri"/>
        </w:rPr>
        <w:t xml:space="preserve"> відновлення території територіальної громади проводяться невідкладні роботи, метою яких є ліквідація небезпечних наслідків збройної агресії </w:t>
      </w:r>
      <w:r w:rsidR="00BE25C5" w:rsidRPr="00E95FB1">
        <w:rPr>
          <w:rFonts w:eastAsia="Calibri"/>
        </w:rPr>
        <w:t>РФ</w:t>
      </w:r>
      <w:r w:rsidRPr="00E95FB1">
        <w:rPr>
          <w:rFonts w:eastAsia="Calibri"/>
        </w:rPr>
        <w:t xml:space="preserve">, пов’язаних із пошкодженням будівель і споруд, об’єктів незавершеного будівництва, запобігання загибелі людей, зменшення обсягів можливих матеріальних втрат. Розроблення </w:t>
      </w:r>
      <w:r w:rsidRPr="00E95FB1">
        <w:rPr>
          <w:rFonts w:eastAsia="Arial"/>
        </w:rPr>
        <w:t xml:space="preserve">сучасної </w:t>
      </w:r>
      <w:bookmarkStart w:id="37" w:name="_Hlk138066210"/>
      <w:r w:rsidRPr="00E95FB1">
        <w:rPr>
          <w:rFonts w:eastAsia="Arial"/>
        </w:rPr>
        <w:t>просторово-планувальної документації</w:t>
      </w:r>
      <w:r w:rsidRPr="00E95FB1">
        <w:rPr>
          <w:rFonts w:eastAsia="Calibri"/>
        </w:rPr>
        <w:t xml:space="preserve"> </w:t>
      </w:r>
      <w:bookmarkEnd w:id="37"/>
      <w:r w:rsidRPr="00E95FB1">
        <w:rPr>
          <w:rFonts w:eastAsia="Calibri"/>
        </w:rPr>
        <w:t>не належить до невідкладних робіт, але, водночас, не може бути відкладене на довгий строк.</w:t>
      </w:r>
    </w:p>
    <w:p w:rsidR="00AC499C" w:rsidRDefault="00AC499C" w:rsidP="00AC499C">
      <w:pPr>
        <w:shd w:val="clear" w:color="auto" w:fill="FFFFFF"/>
        <w:ind w:firstLine="709"/>
        <w:rPr>
          <w:lang w:eastAsia="uk-UA"/>
        </w:rPr>
      </w:pPr>
    </w:p>
    <w:p w:rsidR="00AC499C" w:rsidRPr="00E95FB1" w:rsidRDefault="00AC499C" w:rsidP="00AC499C">
      <w:pPr>
        <w:shd w:val="clear" w:color="auto" w:fill="FFFFFF"/>
        <w:ind w:firstLine="709"/>
        <w:rPr>
          <w:lang w:eastAsia="uk-UA"/>
        </w:rPr>
      </w:pPr>
      <w:r w:rsidRPr="00E95FB1">
        <w:rPr>
          <w:lang w:eastAsia="uk-UA"/>
        </w:rPr>
        <w:t xml:space="preserve">Адже, чим раніше буде розпочато роботи з підготовки розроблення </w:t>
      </w:r>
      <w:r w:rsidRPr="00E95FB1">
        <w:rPr>
          <w:rFonts w:eastAsia="Arial"/>
          <w:lang w:eastAsia="uk-UA"/>
        </w:rPr>
        <w:t>просторово-планувальної документації</w:t>
      </w:r>
      <w:r w:rsidRPr="00E95FB1">
        <w:rPr>
          <w:lang w:eastAsia="uk-UA"/>
        </w:rPr>
        <w:t xml:space="preserve">, тим раніше буде можливість перейти до реалізації </w:t>
      </w:r>
      <w:proofErr w:type="spellStart"/>
      <w:r w:rsidRPr="00E95FB1">
        <w:rPr>
          <w:lang w:eastAsia="uk-UA"/>
        </w:rPr>
        <w:t>проєктів</w:t>
      </w:r>
      <w:proofErr w:type="spellEnd"/>
      <w:r w:rsidRPr="00E95FB1">
        <w:rPr>
          <w:lang w:eastAsia="uk-UA"/>
        </w:rPr>
        <w:t xml:space="preserve"> з </w:t>
      </w:r>
      <w:r w:rsidRPr="00E95FB1">
        <w:rPr>
          <w:shd w:val="clear" w:color="auto" w:fill="FFFFFF"/>
          <w:lang w:eastAsia="uk-UA"/>
        </w:rPr>
        <w:t>реконструкції або нового будівництва об’єктів на відведених земельних ділянках у відповідності до затвердженої містобудівної та іншої просторово-планувальної документації,</w:t>
      </w:r>
      <w:r w:rsidRPr="00E95FB1">
        <w:rPr>
          <w:lang w:eastAsia="uk-UA"/>
        </w:rPr>
        <w:t xml:space="preserve"> відбудови інфраструктурних об’єктів та відновлення й розвитку територіальної громади.</w:t>
      </w:r>
    </w:p>
    <w:p w:rsidR="00AC499C" w:rsidRDefault="00AC499C" w:rsidP="00AC499C">
      <w:pPr>
        <w:autoSpaceDE w:val="0"/>
        <w:autoSpaceDN w:val="0"/>
        <w:adjustRightInd w:val="0"/>
        <w:ind w:firstLine="709"/>
        <w:rPr>
          <w:rFonts w:eastAsia="Calibri"/>
        </w:rPr>
      </w:pPr>
    </w:p>
    <w:p w:rsidR="00AC499C" w:rsidRPr="00E95FB1" w:rsidRDefault="00AC499C" w:rsidP="00AC499C">
      <w:pPr>
        <w:autoSpaceDE w:val="0"/>
        <w:autoSpaceDN w:val="0"/>
        <w:adjustRightInd w:val="0"/>
        <w:ind w:firstLine="709"/>
        <w:rPr>
          <w:rFonts w:eastAsia="Calibri"/>
        </w:rPr>
      </w:pPr>
      <w:proofErr w:type="spellStart"/>
      <w:r w:rsidRPr="00E95FB1">
        <w:rPr>
          <w:rFonts w:eastAsia="Calibri"/>
        </w:rPr>
        <w:t>Проєктно</w:t>
      </w:r>
      <w:proofErr w:type="spellEnd"/>
      <w:r w:rsidRPr="00E95FB1">
        <w:rPr>
          <w:rFonts w:eastAsia="Calibri"/>
        </w:rPr>
        <w:t xml:space="preserve">-просторова документація розробляється на паперових і електронних носіях на оновленій картографічній основі в цифровій формі, тому, по-перше, необхідно </w:t>
      </w:r>
      <w:bookmarkStart w:id="38" w:name="_Hlk137742620"/>
      <w:r w:rsidRPr="00E95FB1">
        <w:rPr>
          <w:rFonts w:eastAsia="Calibri"/>
        </w:rPr>
        <w:t xml:space="preserve">проведення топографо-геодезичних робіт </w:t>
      </w:r>
      <w:bookmarkEnd w:id="38"/>
      <w:r w:rsidRPr="00E95FB1">
        <w:rPr>
          <w:rFonts w:eastAsia="Calibri"/>
        </w:rPr>
        <w:t xml:space="preserve">для створення картографічних планів території Сєвєродонецької міської територіальної громади в електронному вигляді М 1:10 000. До проведення топографо-геодезичних робіт можливо приступити невідкладно після розмінування території. Топографо-геодезичні роботи </w:t>
      </w:r>
      <w:bookmarkStart w:id="39" w:name="_Hlk138075592"/>
      <w:r w:rsidRPr="00E95FB1">
        <w:rPr>
          <w:rFonts w:eastAsia="Calibri"/>
        </w:rPr>
        <w:t xml:space="preserve">виконуються </w:t>
      </w:r>
      <w:bookmarkStart w:id="40" w:name="_Hlk138069948"/>
      <w:r w:rsidRPr="00E95FB1">
        <w:rPr>
          <w:rFonts w:eastAsia="Calibri"/>
        </w:rPr>
        <w:t>спеціалізованими організаціями та сертифікованими спеціалістами</w:t>
      </w:r>
      <w:bookmarkEnd w:id="39"/>
      <w:bookmarkEnd w:id="40"/>
      <w:r w:rsidRPr="00E95FB1">
        <w:rPr>
          <w:rFonts w:eastAsia="Calibri"/>
        </w:rPr>
        <w:t xml:space="preserve">. Для </w:t>
      </w:r>
      <w:r w:rsidRPr="00E95FB1">
        <w:rPr>
          <w:rFonts w:eastAsia="Calibri"/>
        </w:rPr>
        <w:lastRenderedPageBreak/>
        <w:t>проведення топографо-геодезичних робіт необхідно визначити джерела фінансування та провести процедуру закупівлі послуг та визначення виконавців робіт.</w:t>
      </w:r>
    </w:p>
    <w:p w:rsidR="00AC499C" w:rsidRDefault="00AC499C" w:rsidP="00AC499C">
      <w:pPr>
        <w:shd w:val="clear" w:color="auto" w:fill="FFFFFF"/>
        <w:ind w:firstLine="709"/>
        <w:rPr>
          <w:rFonts w:eastAsia="Calibri"/>
          <w:lang w:eastAsia="uk-UA"/>
        </w:rPr>
      </w:pPr>
    </w:p>
    <w:p w:rsidR="00AC499C" w:rsidRDefault="00AC499C" w:rsidP="00AC499C">
      <w:pPr>
        <w:shd w:val="clear" w:color="auto" w:fill="FFFFFF"/>
        <w:ind w:firstLine="709"/>
        <w:rPr>
          <w:rFonts w:eastAsia="Calibri"/>
          <w:lang w:eastAsia="uk-UA"/>
        </w:rPr>
      </w:pPr>
      <w:r w:rsidRPr="00E95FB1">
        <w:rPr>
          <w:rFonts w:eastAsia="Calibri"/>
          <w:lang w:eastAsia="uk-UA"/>
        </w:rPr>
        <w:t>Одночасно, після проведення обстеження території громади, можливо готувати вихідні дані для розроблення Комплексного плану</w:t>
      </w:r>
      <w:r w:rsidRPr="00E95FB1">
        <w:rPr>
          <w:lang w:eastAsia="uk-UA"/>
        </w:rPr>
        <w:t xml:space="preserve"> просторового розвитку території Сєвєродонецької міської територіальної громади (Комплексний план)</w:t>
      </w:r>
      <w:r w:rsidRPr="00E95FB1">
        <w:rPr>
          <w:rFonts w:eastAsia="Calibri"/>
          <w:lang w:eastAsia="uk-UA"/>
        </w:rPr>
        <w:t xml:space="preserve">. Комплексні плани виконуються </w:t>
      </w:r>
      <w:r w:rsidRPr="00E95FB1">
        <w:rPr>
          <w:lang w:eastAsia="uk-UA"/>
        </w:rPr>
        <w:t>спеціалізованими організаціями та сертифікованими спеціалістами.</w:t>
      </w:r>
      <w:r w:rsidRPr="00E95FB1">
        <w:rPr>
          <w:rFonts w:eastAsia="Calibri"/>
          <w:lang w:eastAsia="uk-UA"/>
        </w:rPr>
        <w:t xml:space="preserve"> Вихідні дані готуються на підставі статистичних даних, даних комунальних підприємств, органів облдержадміністрації, відділів</w:t>
      </w:r>
      <w:r w:rsidR="00B53BC5">
        <w:rPr>
          <w:rFonts w:eastAsia="Calibri"/>
          <w:lang w:eastAsia="uk-UA"/>
        </w:rPr>
        <w:t>,</w:t>
      </w:r>
      <w:r w:rsidRPr="00E95FB1">
        <w:rPr>
          <w:rFonts w:eastAsia="Calibri"/>
          <w:lang w:eastAsia="uk-UA"/>
        </w:rPr>
        <w:t xml:space="preserve"> управлінь</w:t>
      </w:r>
      <w:r w:rsidR="00B53BC5">
        <w:rPr>
          <w:rFonts w:eastAsia="Calibri"/>
          <w:lang w:eastAsia="uk-UA"/>
        </w:rPr>
        <w:t>, структурних підрозділів та виконавчих органів</w:t>
      </w:r>
      <w:r w:rsidRPr="00E95FB1">
        <w:rPr>
          <w:rFonts w:eastAsia="Calibri"/>
          <w:lang w:eastAsia="uk-UA"/>
        </w:rPr>
        <w:t xml:space="preserve"> військової адміністрації та інших підприємств</w:t>
      </w:r>
      <w:r w:rsidR="001D058E">
        <w:rPr>
          <w:rFonts w:eastAsia="Calibri"/>
          <w:lang w:eastAsia="uk-UA"/>
        </w:rPr>
        <w:t>,</w:t>
      </w:r>
      <w:r w:rsidRPr="00E95FB1">
        <w:rPr>
          <w:rFonts w:eastAsia="Calibri"/>
          <w:lang w:eastAsia="uk-UA"/>
        </w:rPr>
        <w:t xml:space="preserve"> </w:t>
      </w:r>
      <w:r w:rsidR="001D058E">
        <w:rPr>
          <w:rFonts w:eastAsia="Calibri"/>
          <w:lang w:eastAsia="uk-UA"/>
        </w:rPr>
        <w:t>установ та</w:t>
      </w:r>
      <w:r w:rsidR="001D058E" w:rsidRPr="00E95FB1">
        <w:rPr>
          <w:rFonts w:eastAsia="Calibri"/>
          <w:lang w:eastAsia="uk-UA"/>
        </w:rPr>
        <w:t xml:space="preserve"> організацій</w:t>
      </w:r>
      <w:r w:rsidR="001D058E">
        <w:rPr>
          <w:rFonts w:eastAsia="Calibri"/>
          <w:lang w:eastAsia="uk-UA"/>
        </w:rPr>
        <w:t xml:space="preserve"> різних форм власності</w:t>
      </w:r>
      <w:r w:rsidRPr="00E95FB1">
        <w:rPr>
          <w:rFonts w:eastAsia="Calibri"/>
          <w:lang w:eastAsia="uk-UA"/>
        </w:rPr>
        <w:t xml:space="preserve">. </w:t>
      </w:r>
    </w:p>
    <w:p w:rsidR="00AC499C" w:rsidRDefault="00AC499C" w:rsidP="00AC499C">
      <w:pPr>
        <w:shd w:val="clear" w:color="auto" w:fill="FFFFFF"/>
        <w:ind w:firstLine="709"/>
        <w:rPr>
          <w:rFonts w:eastAsia="Calibri"/>
          <w:lang w:eastAsia="uk-UA"/>
        </w:rPr>
      </w:pPr>
    </w:p>
    <w:p w:rsidR="00AC499C" w:rsidRPr="00E95FB1" w:rsidRDefault="00AC499C" w:rsidP="00AC499C">
      <w:pPr>
        <w:shd w:val="clear" w:color="auto" w:fill="FFFFFF"/>
        <w:ind w:firstLine="709"/>
        <w:rPr>
          <w:lang w:eastAsia="uk-UA"/>
        </w:rPr>
      </w:pPr>
      <w:r w:rsidRPr="00E95FB1">
        <w:rPr>
          <w:rFonts w:eastAsia="Calibri"/>
          <w:lang w:eastAsia="uk-UA"/>
        </w:rPr>
        <w:t>На підставі зібраних вихідних даних та виконаних картографічних планів можливо розпочати процедуру розроблення Комплексного плану, яка складається з:</w:t>
      </w:r>
    </w:p>
    <w:p w:rsidR="00AC499C" w:rsidRPr="00E95FB1" w:rsidRDefault="00AC499C" w:rsidP="000303D7">
      <w:pPr>
        <w:numPr>
          <w:ilvl w:val="0"/>
          <w:numId w:val="3"/>
        </w:numPr>
        <w:tabs>
          <w:tab w:val="left" w:pos="851"/>
        </w:tabs>
        <w:autoSpaceDE w:val="0"/>
        <w:autoSpaceDN w:val="0"/>
        <w:adjustRightInd w:val="0"/>
        <w:contextualSpacing/>
        <w:rPr>
          <w:rFonts w:eastAsia="Calibri"/>
        </w:rPr>
      </w:pPr>
      <w:r w:rsidRPr="00E95FB1">
        <w:rPr>
          <w:rFonts w:eastAsia="Calibri"/>
        </w:rPr>
        <w:t>визначення джерела фінансування;</w:t>
      </w:r>
    </w:p>
    <w:p w:rsidR="00AC499C" w:rsidRPr="00E95FB1" w:rsidRDefault="00AC499C" w:rsidP="000303D7">
      <w:pPr>
        <w:numPr>
          <w:ilvl w:val="0"/>
          <w:numId w:val="3"/>
        </w:numPr>
        <w:tabs>
          <w:tab w:val="left" w:pos="851"/>
        </w:tabs>
        <w:autoSpaceDE w:val="0"/>
        <w:autoSpaceDN w:val="0"/>
        <w:adjustRightInd w:val="0"/>
        <w:contextualSpacing/>
        <w:rPr>
          <w:rFonts w:eastAsia="Calibri"/>
        </w:rPr>
      </w:pPr>
      <w:r w:rsidRPr="00E95FB1">
        <w:rPr>
          <w:rFonts w:eastAsia="Calibri"/>
        </w:rPr>
        <w:t xml:space="preserve">створення робочої групи для підготовки завдання на </w:t>
      </w:r>
      <w:proofErr w:type="spellStart"/>
      <w:r w:rsidRPr="00E95FB1">
        <w:rPr>
          <w:rFonts w:eastAsia="Calibri"/>
        </w:rPr>
        <w:t>проєктування</w:t>
      </w:r>
      <w:proofErr w:type="spellEnd"/>
      <w:r w:rsidRPr="00E95FB1">
        <w:rPr>
          <w:rFonts w:eastAsia="Calibri"/>
        </w:rPr>
        <w:t xml:space="preserve"> Комплексного плану, збору пропозицій, громадського обговорення завдання на </w:t>
      </w:r>
      <w:proofErr w:type="spellStart"/>
      <w:r w:rsidRPr="00E95FB1">
        <w:rPr>
          <w:rFonts w:eastAsia="Calibri"/>
        </w:rPr>
        <w:t>проєктування</w:t>
      </w:r>
      <w:proofErr w:type="spellEnd"/>
      <w:r w:rsidRPr="00E95FB1">
        <w:rPr>
          <w:rFonts w:eastAsia="Calibri"/>
        </w:rPr>
        <w:t>;</w:t>
      </w:r>
    </w:p>
    <w:p w:rsidR="00AC499C" w:rsidRPr="00E95FB1" w:rsidRDefault="00AC499C" w:rsidP="000303D7">
      <w:pPr>
        <w:numPr>
          <w:ilvl w:val="0"/>
          <w:numId w:val="3"/>
        </w:numPr>
        <w:tabs>
          <w:tab w:val="left" w:pos="851"/>
        </w:tabs>
        <w:autoSpaceDE w:val="0"/>
        <w:autoSpaceDN w:val="0"/>
        <w:adjustRightInd w:val="0"/>
        <w:rPr>
          <w:rFonts w:eastAsia="Calibri"/>
        </w:rPr>
      </w:pPr>
      <w:r w:rsidRPr="00E95FB1">
        <w:rPr>
          <w:rFonts w:eastAsia="Calibri"/>
        </w:rPr>
        <w:t xml:space="preserve">затвердження завдання на </w:t>
      </w:r>
      <w:proofErr w:type="spellStart"/>
      <w:r w:rsidRPr="00E95FB1">
        <w:rPr>
          <w:rFonts w:eastAsia="Calibri"/>
        </w:rPr>
        <w:t>проєктування</w:t>
      </w:r>
      <w:proofErr w:type="spellEnd"/>
      <w:r w:rsidRPr="00E95FB1">
        <w:rPr>
          <w:rFonts w:eastAsia="Calibri"/>
        </w:rPr>
        <w:t>;</w:t>
      </w:r>
    </w:p>
    <w:p w:rsidR="00AC499C" w:rsidRPr="00E95FB1" w:rsidRDefault="00AC499C" w:rsidP="000303D7">
      <w:pPr>
        <w:numPr>
          <w:ilvl w:val="0"/>
          <w:numId w:val="3"/>
        </w:numPr>
        <w:tabs>
          <w:tab w:val="left" w:pos="851"/>
        </w:tabs>
        <w:autoSpaceDE w:val="0"/>
        <w:autoSpaceDN w:val="0"/>
        <w:adjustRightInd w:val="0"/>
        <w:rPr>
          <w:rFonts w:eastAsia="Calibri"/>
        </w:rPr>
      </w:pPr>
      <w:r w:rsidRPr="00E95FB1">
        <w:rPr>
          <w:rFonts w:eastAsia="Calibri"/>
        </w:rPr>
        <w:t>проведення процедури закупівлі послуг та визначення виконавців робіт;</w:t>
      </w:r>
    </w:p>
    <w:p w:rsidR="00AC499C" w:rsidRPr="00E95FB1" w:rsidRDefault="00AC499C" w:rsidP="000303D7">
      <w:pPr>
        <w:numPr>
          <w:ilvl w:val="0"/>
          <w:numId w:val="3"/>
        </w:numPr>
        <w:tabs>
          <w:tab w:val="left" w:pos="851"/>
        </w:tabs>
        <w:autoSpaceDE w:val="0"/>
        <w:autoSpaceDN w:val="0"/>
        <w:adjustRightInd w:val="0"/>
        <w:rPr>
          <w:rFonts w:eastAsia="Calibri"/>
        </w:rPr>
      </w:pPr>
      <w:r w:rsidRPr="00E95FB1">
        <w:rPr>
          <w:rFonts w:eastAsia="Calibri"/>
        </w:rPr>
        <w:t>розроблення Комплексного плану;</w:t>
      </w:r>
    </w:p>
    <w:p w:rsidR="00AC499C" w:rsidRPr="00E95FB1" w:rsidRDefault="00AC499C" w:rsidP="000303D7">
      <w:pPr>
        <w:numPr>
          <w:ilvl w:val="0"/>
          <w:numId w:val="3"/>
        </w:numPr>
        <w:tabs>
          <w:tab w:val="left" w:pos="851"/>
        </w:tabs>
        <w:autoSpaceDE w:val="0"/>
        <w:autoSpaceDN w:val="0"/>
        <w:adjustRightInd w:val="0"/>
        <w:rPr>
          <w:rFonts w:eastAsia="Calibri"/>
        </w:rPr>
      </w:pPr>
      <w:r w:rsidRPr="00E95FB1">
        <w:rPr>
          <w:rFonts w:eastAsia="Calibri"/>
        </w:rPr>
        <w:t>громадського обговорення та затвердження Комплексного плану.</w:t>
      </w:r>
    </w:p>
    <w:p w:rsidR="00AC499C" w:rsidRDefault="00AC499C" w:rsidP="00AC499C">
      <w:pPr>
        <w:autoSpaceDE w:val="0"/>
        <w:autoSpaceDN w:val="0"/>
        <w:adjustRightInd w:val="0"/>
        <w:ind w:firstLine="709"/>
        <w:rPr>
          <w:rFonts w:eastAsia="Calibri"/>
        </w:rPr>
      </w:pPr>
    </w:p>
    <w:p w:rsidR="00AC499C" w:rsidRDefault="00AC499C" w:rsidP="00AC499C">
      <w:pPr>
        <w:autoSpaceDE w:val="0"/>
        <w:autoSpaceDN w:val="0"/>
        <w:adjustRightInd w:val="0"/>
        <w:ind w:firstLine="709"/>
        <w:rPr>
          <w:rFonts w:eastAsia="Calibri"/>
        </w:rPr>
      </w:pPr>
      <w:r w:rsidRPr="00E95FB1">
        <w:rPr>
          <w:rFonts w:eastAsia="Calibri"/>
        </w:rPr>
        <w:t>Також на підставі зібраних вихідних даних та виконаних картографічних планів можливо розпочати процедуру розроблення</w:t>
      </w:r>
      <w:r w:rsidRPr="00E95FB1">
        <w:rPr>
          <w:rFonts w:eastAsia="Arial"/>
        </w:rPr>
        <w:t xml:space="preserve"> технічної документації з нормативної грошової оцінки населених пунктів Сєвєродонецької міської територіальної громади.</w:t>
      </w:r>
      <w:r w:rsidRPr="00E95FB1">
        <w:rPr>
          <w:rFonts w:eastAsia="Calibri"/>
        </w:rPr>
        <w:t xml:space="preserve"> Нормативна грошова оцінка виконується спеціалізованими організаціями та сертифікованими  спеціалістами. Для розроблення</w:t>
      </w:r>
      <w:r w:rsidRPr="00E95FB1">
        <w:rPr>
          <w:rFonts w:eastAsia="Arial"/>
        </w:rPr>
        <w:t xml:space="preserve"> технічної документації з нормативної грошової оцінки</w:t>
      </w:r>
      <w:r w:rsidRPr="00E95FB1">
        <w:rPr>
          <w:rFonts w:eastAsia="Calibri"/>
        </w:rPr>
        <w:t xml:space="preserve"> необхідно визначити джерела фінансування та провести процедуру закупівлі послуг та визначення виконавців робіт.</w:t>
      </w:r>
    </w:p>
    <w:p w:rsidR="009664B6" w:rsidRDefault="009664B6" w:rsidP="00AC499C">
      <w:pPr>
        <w:autoSpaceDE w:val="0"/>
        <w:autoSpaceDN w:val="0"/>
        <w:adjustRightInd w:val="0"/>
        <w:ind w:firstLine="709"/>
        <w:rPr>
          <w:rFonts w:eastAsia="Calibri"/>
        </w:rPr>
      </w:pPr>
    </w:p>
    <w:p w:rsidR="00A14827" w:rsidRPr="00355733" w:rsidRDefault="00A14827" w:rsidP="00A14827">
      <w:pPr>
        <w:jc w:val="center"/>
        <w:rPr>
          <w:rFonts w:eastAsiaTheme="minorHAnsi"/>
          <w:color w:val="000000"/>
          <w:shd w:val="clear" w:color="auto" w:fill="FFFFFF"/>
        </w:rPr>
      </w:pPr>
      <w:r w:rsidRPr="00355733">
        <w:rPr>
          <w:color w:val="000000"/>
          <w:shd w:val="clear" w:color="auto" w:fill="FFFFFF"/>
        </w:rPr>
        <w:t xml:space="preserve">Етапи та механізми реалізації Програми </w:t>
      </w:r>
      <w:r w:rsidRPr="00355733">
        <w:rPr>
          <w:rFonts w:eastAsiaTheme="minorHAnsi"/>
          <w:color w:val="000000"/>
          <w:shd w:val="clear" w:color="auto" w:fill="FFFFFF"/>
        </w:rPr>
        <w:t>комплексного відновлення</w:t>
      </w:r>
    </w:p>
    <w:p w:rsidR="00A14827" w:rsidRPr="00355733" w:rsidRDefault="00A14827" w:rsidP="00A14827">
      <w:pPr>
        <w:jc w:val="center"/>
        <w:rPr>
          <w:color w:val="000000"/>
          <w:shd w:val="clear" w:color="auto" w:fill="FFFFFF"/>
        </w:rPr>
      </w:pPr>
    </w:p>
    <w:tbl>
      <w:tblPr>
        <w:tblStyle w:val="af"/>
        <w:tblW w:w="0" w:type="auto"/>
        <w:tblLook w:val="04A0" w:firstRow="1" w:lastRow="0" w:firstColumn="1" w:lastColumn="0" w:noHBand="0" w:noVBand="1"/>
      </w:tblPr>
      <w:tblGrid>
        <w:gridCol w:w="1574"/>
        <w:gridCol w:w="5988"/>
        <w:gridCol w:w="1926"/>
      </w:tblGrid>
      <w:tr w:rsidR="00A14827" w:rsidRPr="00355733" w:rsidTr="00254DD7">
        <w:tc>
          <w:tcPr>
            <w:tcW w:w="1579" w:type="dxa"/>
            <w:vAlign w:val="center"/>
          </w:tcPr>
          <w:p w:rsidR="00A14827" w:rsidRPr="00355733" w:rsidRDefault="00A14827" w:rsidP="00254DD7">
            <w:pPr>
              <w:jc w:val="center"/>
              <w:rPr>
                <w:color w:val="000000"/>
                <w:sz w:val="24"/>
                <w:szCs w:val="24"/>
                <w:shd w:val="clear" w:color="auto" w:fill="FFFFFF"/>
              </w:rPr>
            </w:pPr>
            <w:proofErr w:type="spellStart"/>
            <w:r w:rsidRPr="00355733">
              <w:rPr>
                <w:color w:val="000000"/>
                <w:sz w:val="24"/>
                <w:szCs w:val="24"/>
                <w:shd w:val="clear" w:color="auto" w:fill="FFFFFF"/>
              </w:rPr>
              <w:t>Невідкладне</w:t>
            </w:r>
            <w:proofErr w:type="spellEnd"/>
            <w:r w:rsidRPr="00355733">
              <w:rPr>
                <w:color w:val="000000"/>
                <w:sz w:val="24"/>
                <w:szCs w:val="24"/>
                <w:shd w:val="clear" w:color="auto" w:fill="FFFFFF"/>
              </w:rPr>
              <w:t xml:space="preserve"> </w:t>
            </w:r>
            <w:proofErr w:type="spellStart"/>
            <w:r w:rsidRPr="00355733">
              <w:rPr>
                <w:color w:val="000000"/>
                <w:sz w:val="24"/>
                <w:szCs w:val="24"/>
                <w:shd w:val="clear" w:color="auto" w:fill="FFFFFF"/>
              </w:rPr>
              <w:t>реагування</w:t>
            </w:r>
            <w:proofErr w:type="spellEnd"/>
          </w:p>
        </w:tc>
        <w:tc>
          <w:tcPr>
            <w:tcW w:w="6326" w:type="dxa"/>
          </w:tcPr>
          <w:p w:rsidR="00A14827" w:rsidRPr="00355733" w:rsidRDefault="00A14827" w:rsidP="00254DD7">
            <w:pPr>
              <w:rPr>
                <w:color w:val="000000"/>
                <w:sz w:val="24"/>
                <w:szCs w:val="24"/>
                <w:shd w:val="clear" w:color="auto" w:fill="FFFFFF"/>
              </w:rPr>
            </w:pPr>
            <w:proofErr w:type="spellStart"/>
            <w:r w:rsidRPr="00355733">
              <w:rPr>
                <w:color w:val="000000"/>
                <w:sz w:val="24"/>
                <w:szCs w:val="24"/>
                <w:shd w:val="clear" w:color="auto" w:fill="FFFFFF"/>
              </w:rPr>
              <w:t>Проведення</w:t>
            </w:r>
            <w:proofErr w:type="spellEnd"/>
            <w:r w:rsidRPr="00355733">
              <w:rPr>
                <w:color w:val="000000"/>
                <w:sz w:val="24"/>
                <w:szCs w:val="24"/>
                <w:shd w:val="clear" w:color="auto" w:fill="FFFFFF"/>
              </w:rPr>
              <w:t xml:space="preserve"> </w:t>
            </w:r>
            <w:proofErr w:type="spellStart"/>
            <w:r w:rsidRPr="00355733">
              <w:rPr>
                <w:color w:val="000000"/>
                <w:sz w:val="24"/>
                <w:szCs w:val="24"/>
                <w:shd w:val="clear" w:color="auto" w:fill="FFFFFF"/>
              </w:rPr>
              <w:t>невідкладних</w:t>
            </w:r>
            <w:proofErr w:type="spellEnd"/>
            <w:r w:rsidRPr="00355733">
              <w:rPr>
                <w:color w:val="000000"/>
                <w:sz w:val="24"/>
                <w:szCs w:val="24"/>
                <w:shd w:val="clear" w:color="auto" w:fill="FFFFFF"/>
              </w:rPr>
              <w:t xml:space="preserve"> </w:t>
            </w:r>
            <w:proofErr w:type="spellStart"/>
            <w:r w:rsidRPr="00355733">
              <w:rPr>
                <w:color w:val="000000"/>
                <w:sz w:val="24"/>
                <w:szCs w:val="24"/>
                <w:shd w:val="clear" w:color="auto" w:fill="FFFFFF"/>
              </w:rPr>
              <w:t>заходів</w:t>
            </w:r>
            <w:proofErr w:type="spellEnd"/>
            <w:r w:rsidRPr="00355733">
              <w:rPr>
                <w:color w:val="000000"/>
                <w:sz w:val="24"/>
                <w:szCs w:val="24"/>
                <w:shd w:val="clear" w:color="auto" w:fill="FFFFFF"/>
              </w:rPr>
              <w:t xml:space="preserve"> критичного </w:t>
            </w:r>
            <w:proofErr w:type="spellStart"/>
            <w:r w:rsidRPr="00355733">
              <w:rPr>
                <w:color w:val="000000"/>
                <w:sz w:val="24"/>
                <w:szCs w:val="24"/>
                <w:shd w:val="clear" w:color="auto" w:fill="FFFFFF"/>
              </w:rPr>
              <w:t>відновлення</w:t>
            </w:r>
            <w:proofErr w:type="spellEnd"/>
            <w:r w:rsidRPr="00355733">
              <w:rPr>
                <w:color w:val="000000"/>
                <w:sz w:val="24"/>
                <w:szCs w:val="24"/>
                <w:shd w:val="clear" w:color="auto" w:fill="FFFFFF"/>
              </w:rPr>
              <w:t xml:space="preserve"> (</w:t>
            </w:r>
            <w:proofErr w:type="spellStart"/>
            <w:r w:rsidRPr="00355733">
              <w:rPr>
                <w:color w:val="000000"/>
                <w:sz w:val="24"/>
                <w:szCs w:val="24"/>
                <w:shd w:val="clear" w:color="auto" w:fill="FFFFFF"/>
              </w:rPr>
              <w:t>поновлення</w:t>
            </w:r>
            <w:proofErr w:type="spellEnd"/>
            <w:r w:rsidRPr="00355733">
              <w:rPr>
                <w:color w:val="000000"/>
                <w:sz w:val="24"/>
                <w:szCs w:val="24"/>
                <w:shd w:val="clear" w:color="auto" w:fill="FFFFFF"/>
              </w:rPr>
              <w:t xml:space="preserve"> </w:t>
            </w:r>
            <w:proofErr w:type="spellStart"/>
            <w:r w:rsidRPr="00355733">
              <w:rPr>
                <w:color w:val="000000"/>
                <w:sz w:val="24"/>
                <w:szCs w:val="24"/>
                <w:shd w:val="clear" w:color="auto" w:fill="FFFFFF"/>
              </w:rPr>
              <w:t>електропостачання</w:t>
            </w:r>
            <w:proofErr w:type="spellEnd"/>
            <w:r w:rsidRPr="00355733">
              <w:rPr>
                <w:color w:val="000000"/>
                <w:sz w:val="24"/>
                <w:szCs w:val="24"/>
                <w:shd w:val="clear" w:color="auto" w:fill="FFFFFF"/>
              </w:rPr>
              <w:t xml:space="preserve">, </w:t>
            </w:r>
            <w:proofErr w:type="spellStart"/>
            <w:r w:rsidRPr="00355733">
              <w:rPr>
                <w:color w:val="000000"/>
                <w:sz w:val="24"/>
                <w:szCs w:val="24"/>
                <w:shd w:val="clear" w:color="auto" w:fill="FFFFFF"/>
              </w:rPr>
              <w:t>водопостачання</w:t>
            </w:r>
            <w:proofErr w:type="spellEnd"/>
            <w:r w:rsidRPr="00355733">
              <w:rPr>
                <w:color w:val="000000"/>
                <w:sz w:val="24"/>
                <w:szCs w:val="24"/>
                <w:shd w:val="clear" w:color="auto" w:fill="FFFFFF"/>
              </w:rPr>
              <w:t xml:space="preserve">, </w:t>
            </w:r>
            <w:proofErr w:type="spellStart"/>
            <w:r w:rsidRPr="00355733">
              <w:rPr>
                <w:color w:val="000000"/>
                <w:sz w:val="24"/>
                <w:szCs w:val="24"/>
                <w:shd w:val="clear" w:color="auto" w:fill="FFFFFF"/>
              </w:rPr>
              <w:t>збирання</w:t>
            </w:r>
            <w:proofErr w:type="spellEnd"/>
            <w:r w:rsidRPr="00355733">
              <w:rPr>
                <w:color w:val="000000"/>
                <w:sz w:val="24"/>
                <w:szCs w:val="24"/>
                <w:shd w:val="clear" w:color="auto" w:fill="FFFFFF"/>
              </w:rPr>
              <w:t xml:space="preserve"> і </w:t>
            </w:r>
            <w:proofErr w:type="spellStart"/>
            <w:r w:rsidRPr="00355733">
              <w:rPr>
                <w:color w:val="000000"/>
                <w:sz w:val="24"/>
                <w:szCs w:val="24"/>
                <w:shd w:val="clear" w:color="auto" w:fill="FFFFFF"/>
              </w:rPr>
              <w:t>виведення</w:t>
            </w:r>
            <w:proofErr w:type="spellEnd"/>
            <w:r w:rsidRPr="00355733">
              <w:rPr>
                <w:color w:val="000000"/>
                <w:sz w:val="24"/>
                <w:szCs w:val="24"/>
                <w:shd w:val="clear" w:color="auto" w:fill="FFFFFF"/>
              </w:rPr>
              <w:t xml:space="preserve"> </w:t>
            </w:r>
            <w:proofErr w:type="spellStart"/>
            <w:r w:rsidRPr="00355733">
              <w:rPr>
                <w:color w:val="000000"/>
                <w:sz w:val="24"/>
                <w:szCs w:val="24"/>
                <w:shd w:val="clear" w:color="auto" w:fill="FFFFFF"/>
              </w:rPr>
              <w:t>стічних</w:t>
            </w:r>
            <w:proofErr w:type="spellEnd"/>
            <w:r w:rsidRPr="00355733">
              <w:rPr>
                <w:color w:val="000000"/>
                <w:sz w:val="24"/>
                <w:szCs w:val="24"/>
                <w:shd w:val="clear" w:color="auto" w:fill="FFFFFF"/>
              </w:rPr>
              <w:t xml:space="preserve"> вод, </w:t>
            </w:r>
            <w:proofErr w:type="spellStart"/>
            <w:r w:rsidRPr="00355733">
              <w:rPr>
                <w:color w:val="000000"/>
                <w:sz w:val="24"/>
                <w:szCs w:val="24"/>
                <w:shd w:val="clear" w:color="auto" w:fill="FFFFFF"/>
              </w:rPr>
              <w:t>логістичне</w:t>
            </w:r>
            <w:proofErr w:type="spellEnd"/>
            <w:r w:rsidRPr="00355733">
              <w:rPr>
                <w:color w:val="000000"/>
                <w:sz w:val="24"/>
                <w:szCs w:val="24"/>
                <w:shd w:val="clear" w:color="auto" w:fill="FFFFFF"/>
              </w:rPr>
              <w:t xml:space="preserve"> </w:t>
            </w:r>
            <w:proofErr w:type="spellStart"/>
            <w:r w:rsidRPr="00355733">
              <w:rPr>
                <w:color w:val="000000"/>
                <w:sz w:val="24"/>
                <w:szCs w:val="24"/>
                <w:shd w:val="clear" w:color="auto" w:fill="FFFFFF"/>
              </w:rPr>
              <w:t>забезпечення</w:t>
            </w:r>
            <w:proofErr w:type="spellEnd"/>
            <w:r w:rsidRPr="00355733">
              <w:rPr>
                <w:color w:val="000000"/>
                <w:sz w:val="24"/>
                <w:szCs w:val="24"/>
                <w:shd w:val="clear" w:color="auto" w:fill="FFFFFF"/>
              </w:rPr>
              <w:t xml:space="preserve">, а </w:t>
            </w:r>
            <w:proofErr w:type="spellStart"/>
            <w:r w:rsidRPr="00355733">
              <w:rPr>
                <w:color w:val="000000"/>
                <w:sz w:val="24"/>
                <w:szCs w:val="24"/>
                <w:shd w:val="clear" w:color="auto" w:fill="FFFFFF"/>
              </w:rPr>
              <w:t>також</w:t>
            </w:r>
            <w:proofErr w:type="spellEnd"/>
            <w:r w:rsidRPr="00355733">
              <w:rPr>
                <w:color w:val="000000"/>
                <w:sz w:val="24"/>
                <w:szCs w:val="24"/>
                <w:shd w:val="clear" w:color="auto" w:fill="FFFFFF"/>
              </w:rPr>
              <w:t xml:space="preserve"> </w:t>
            </w:r>
            <w:proofErr w:type="spellStart"/>
            <w:r w:rsidRPr="00355733">
              <w:rPr>
                <w:color w:val="000000"/>
                <w:sz w:val="24"/>
                <w:szCs w:val="24"/>
                <w:shd w:val="clear" w:color="auto" w:fill="FFFFFF"/>
              </w:rPr>
              <w:t>функціонування</w:t>
            </w:r>
            <w:proofErr w:type="spellEnd"/>
            <w:r w:rsidRPr="00355733">
              <w:rPr>
                <w:color w:val="000000"/>
                <w:sz w:val="24"/>
                <w:szCs w:val="24"/>
                <w:shd w:val="clear" w:color="auto" w:fill="FFFFFF"/>
              </w:rPr>
              <w:t xml:space="preserve"> </w:t>
            </w:r>
            <w:proofErr w:type="spellStart"/>
            <w:r w:rsidRPr="00355733">
              <w:rPr>
                <w:color w:val="000000"/>
                <w:sz w:val="24"/>
                <w:szCs w:val="24"/>
                <w:shd w:val="clear" w:color="auto" w:fill="FFFFFF"/>
              </w:rPr>
              <w:t>всього</w:t>
            </w:r>
            <w:proofErr w:type="spellEnd"/>
            <w:r w:rsidRPr="00355733">
              <w:rPr>
                <w:color w:val="000000"/>
                <w:sz w:val="24"/>
                <w:szCs w:val="24"/>
                <w:shd w:val="clear" w:color="auto" w:fill="FFFFFF"/>
              </w:rPr>
              <w:t xml:space="preserve"> комплексу </w:t>
            </w:r>
            <w:proofErr w:type="spellStart"/>
            <w:r w:rsidRPr="00355733">
              <w:rPr>
                <w:color w:val="000000"/>
                <w:sz w:val="24"/>
                <w:szCs w:val="24"/>
                <w:shd w:val="clear" w:color="auto" w:fill="FFFFFF"/>
              </w:rPr>
              <w:t>критичної</w:t>
            </w:r>
            <w:proofErr w:type="spellEnd"/>
            <w:r w:rsidRPr="00355733">
              <w:rPr>
                <w:color w:val="000000"/>
                <w:sz w:val="24"/>
                <w:szCs w:val="24"/>
                <w:shd w:val="clear" w:color="auto" w:fill="FFFFFF"/>
              </w:rPr>
              <w:t xml:space="preserve"> </w:t>
            </w:r>
            <w:proofErr w:type="spellStart"/>
            <w:r w:rsidRPr="00355733">
              <w:rPr>
                <w:color w:val="000000"/>
                <w:sz w:val="24"/>
                <w:szCs w:val="24"/>
                <w:shd w:val="clear" w:color="auto" w:fill="FFFFFF"/>
              </w:rPr>
              <w:t>інфраструктури</w:t>
            </w:r>
            <w:proofErr w:type="spellEnd"/>
            <w:r w:rsidRPr="00355733">
              <w:rPr>
                <w:color w:val="000000"/>
                <w:sz w:val="24"/>
                <w:szCs w:val="24"/>
                <w:shd w:val="clear" w:color="auto" w:fill="FFFFFF"/>
              </w:rPr>
              <w:t xml:space="preserve"> </w:t>
            </w:r>
            <w:proofErr w:type="spellStart"/>
            <w:r w:rsidRPr="00355733">
              <w:rPr>
                <w:color w:val="000000"/>
                <w:sz w:val="24"/>
                <w:szCs w:val="24"/>
                <w:shd w:val="clear" w:color="auto" w:fill="FFFFFF"/>
              </w:rPr>
              <w:t>комунального</w:t>
            </w:r>
            <w:proofErr w:type="spellEnd"/>
            <w:r w:rsidRPr="00355733">
              <w:rPr>
                <w:color w:val="000000"/>
                <w:sz w:val="24"/>
                <w:szCs w:val="24"/>
                <w:shd w:val="clear" w:color="auto" w:fill="FFFFFF"/>
              </w:rPr>
              <w:t xml:space="preserve"> </w:t>
            </w:r>
            <w:proofErr w:type="spellStart"/>
            <w:r w:rsidRPr="00355733">
              <w:rPr>
                <w:color w:val="000000"/>
                <w:sz w:val="24"/>
                <w:szCs w:val="24"/>
                <w:shd w:val="clear" w:color="auto" w:fill="FFFFFF"/>
              </w:rPr>
              <w:t>господарства</w:t>
            </w:r>
            <w:proofErr w:type="spellEnd"/>
            <w:r w:rsidRPr="00355733">
              <w:rPr>
                <w:color w:val="000000"/>
                <w:sz w:val="24"/>
                <w:szCs w:val="24"/>
                <w:shd w:val="clear" w:color="auto" w:fill="FFFFFF"/>
              </w:rPr>
              <w:t xml:space="preserve">, </w:t>
            </w:r>
            <w:proofErr w:type="spellStart"/>
            <w:r w:rsidRPr="00355733">
              <w:rPr>
                <w:color w:val="000000"/>
                <w:sz w:val="24"/>
                <w:szCs w:val="24"/>
                <w:shd w:val="clear" w:color="auto" w:fill="FFFFFF"/>
              </w:rPr>
              <w:t>відновлення</w:t>
            </w:r>
            <w:proofErr w:type="spellEnd"/>
            <w:r w:rsidRPr="00355733">
              <w:rPr>
                <w:color w:val="000000"/>
                <w:sz w:val="24"/>
                <w:szCs w:val="24"/>
                <w:shd w:val="clear" w:color="auto" w:fill="FFFFFF"/>
              </w:rPr>
              <w:t xml:space="preserve"> транспортного </w:t>
            </w:r>
            <w:proofErr w:type="spellStart"/>
            <w:r w:rsidRPr="00355733">
              <w:rPr>
                <w:color w:val="000000"/>
                <w:sz w:val="24"/>
                <w:szCs w:val="24"/>
                <w:shd w:val="clear" w:color="auto" w:fill="FFFFFF"/>
              </w:rPr>
              <w:t>сполучення</w:t>
            </w:r>
            <w:proofErr w:type="spellEnd"/>
            <w:r w:rsidRPr="00355733">
              <w:rPr>
                <w:color w:val="000000"/>
                <w:sz w:val="24"/>
                <w:szCs w:val="24"/>
                <w:shd w:val="clear" w:color="auto" w:fill="FFFFFF"/>
              </w:rPr>
              <w:t>)</w:t>
            </w:r>
          </w:p>
        </w:tc>
        <w:tc>
          <w:tcPr>
            <w:tcW w:w="1950" w:type="dxa"/>
            <w:vMerge w:val="restart"/>
            <w:vAlign w:val="center"/>
          </w:tcPr>
          <w:p w:rsidR="00A14827" w:rsidRPr="00355733" w:rsidRDefault="00A14827" w:rsidP="00254DD7">
            <w:pPr>
              <w:jc w:val="center"/>
              <w:rPr>
                <w:color w:val="000000"/>
                <w:sz w:val="24"/>
                <w:szCs w:val="24"/>
                <w:shd w:val="clear" w:color="auto" w:fill="FFFFFF"/>
              </w:rPr>
            </w:pPr>
            <w:proofErr w:type="spellStart"/>
            <w:r w:rsidRPr="00355733">
              <w:rPr>
                <w:color w:val="000000"/>
                <w:sz w:val="24"/>
                <w:szCs w:val="24"/>
                <w:shd w:val="clear" w:color="auto" w:fill="FFFFFF"/>
              </w:rPr>
              <w:t>Реалізація</w:t>
            </w:r>
            <w:proofErr w:type="spellEnd"/>
            <w:r w:rsidRPr="00355733">
              <w:rPr>
                <w:color w:val="000000"/>
                <w:sz w:val="24"/>
                <w:szCs w:val="24"/>
                <w:shd w:val="clear" w:color="auto" w:fill="FFFFFF"/>
              </w:rPr>
              <w:t xml:space="preserve"> </w:t>
            </w:r>
            <w:proofErr w:type="spellStart"/>
            <w:r w:rsidRPr="00355733">
              <w:rPr>
                <w:color w:val="000000"/>
                <w:sz w:val="24"/>
                <w:szCs w:val="24"/>
                <w:shd w:val="clear" w:color="auto" w:fill="FFFFFF"/>
              </w:rPr>
              <w:t>проєктів</w:t>
            </w:r>
            <w:proofErr w:type="spellEnd"/>
            <w:r w:rsidRPr="00355733">
              <w:rPr>
                <w:color w:val="000000"/>
                <w:sz w:val="24"/>
                <w:szCs w:val="24"/>
                <w:shd w:val="clear" w:color="auto" w:fill="FFFFFF"/>
              </w:rPr>
              <w:t xml:space="preserve"> </w:t>
            </w:r>
            <w:proofErr w:type="spellStart"/>
            <w:r w:rsidRPr="00355733">
              <w:rPr>
                <w:color w:val="000000"/>
                <w:sz w:val="24"/>
                <w:szCs w:val="24"/>
                <w:shd w:val="clear" w:color="auto" w:fill="FFFFFF"/>
              </w:rPr>
              <w:t>регіонального</w:t>
            </w:r>
            <w:proofErr w:type="spellEnd"/>
            <w:r w:rsidRPr="00355733">
              <w:rPr>
                <w:color w:val="000000"/>
                <w:sz w:val="24"/>
                <w:szCs w:val="24"/>
                <w:shd w:val="clear" w:color="auto" w:fill="FFFFFF"/>
              </w:rPr>
              <w:t xml:space="preserve"> (</w:t>
            </w:r>
            <w:proofErr w:type="spellStart"/>
            <w:r w:rsidRPr="00355733">
              <w:rPr>
                <w:color w:val="000000"/>
                <w:sz w:val="24"/>
                <w:szCs w:val="24"/>
                <w:shd w:val="clear" w:color="auto" w:fill="FFFFFF"/>
              </w:rPr>
              <w:t>місцевого</w:t>
            </w:r>
            <w:proofErr w:type="spellEnd"/>
            <w:r w:rsidRPr="00355733">
              <w:rPr>
                <w:color w:val="000000"/>
                <w:sz w:val="24"/>
                <w:szCs w:val="24"/>
                <w:shd w:val="clear" w:color="auto" w:fill="FFFFFF"/>
              </w:rPr>
              <w:t xml:space="preserve">) </w:t>
            </w:r>
            <w:proofErr w:type="spellStart"/>
            <w:r w:rsidRPr="00355733">
              <w:rPr>
                <w:color w:val="000000"/>
                <w:sz w:val="24"/>
                <w:szCs w:val="24"/>
                <w:shd w:val="clear" w:color="auto" w:fill="FFFFFF"/>
              </w:rPr>
              <w:t>розвитку</w:t>
            </w:r>
            <w:proofErr w:type="spellEnd"/>
          </w:p>
        </w:tc>
      </w:tr>
      <w:tr w:rsidR="00A14827" w:rsidRPr="00355733" w:rsidTr="00254DD7">
        <w:tc>
          <w:tcPr>
            <w:tcW w:w="1579" w:type="dxa"/>
            <w:vAlign w:val="center"/>
          </w:tcPr>
          <w:p w:rsidR="00A14827" w:rsidRPr="00355733" w:rsidRDefault="00A14827" w:rsidP="00254DD7">
            <w:pPr>
              <w:jc w:val="center"/>
              <w:rPr>
                <w:color w:val="000000"/>
                <w:sz w:val="24"/>
                <w:szCs w:val="24"/>
                <w:shd w:val="clear" w:color="auto" w:fill="FFFFFF"/>
              </w:rPr>
            </w:pPr>
            <w:proofErr w:type="spellStart"/>
            <w:r w:rsidRPr="00355733">
              <w:rPr>
                <w:color w:val="000000"/>
                <w:sz w:val="24"/>
                <w:szCs w:val="24"/>
                <w:shd w:val="clear" w:color="auto" w:fill="FFFFFF"/>
              </w:rPr>
              <w:lastRenderedPageBreak/>
              <w:t>Відновлення</w:t>
            </w:r>
            <w:proofErr w:type="spellEnd"/>
          </w:p>
        </w:tc>
        <w:tc>
          <w:tcPr>
            <w:tcW w:w="6326" w:type="dxa"/>
          </w:tcPr>
          <w:p w:rsidR="00A14827" w:rsidRPr="00355733" w:rsidRDefault="00A14827" w:rsidP="00254DD7">
            <w:pPr>
              <w:rPr>
                <w:color w:val="000000"/>
                <w:sz w:val="24"/>
                <w:szCs w:val="24"/>
                <w:shd w:val="clear" w:color="auto" w:fill="FFFFFF"/>
              </w:rPr>
            </w:pPr>
            <w:proofErr w:type="spellStart"/>
            <w:r w:rsidRPr="00355733">
              <w:rPr>
                <w:color w:val="000000"/>
                <w:sz w:val="24"/>
                <w:szCs w:val="24"/>
                <w:shd w:val="clear" w:color="auto" w:fill="FFFFFF"/>
              </w:rPr>
              <w:t>Відновлення</w:t>
            </w:r>
            <w:proofErr w:type="spellEnd"/>
            <w:r w:rsidRPr="00355733">
              <w:rPr>
                <w:color w:val="000000"/>
                <w:sz w:val="24"/>
                <w:szCs w:val="24"/>
                <w:shd w:val="clear" w:color="auto" w:fill="FFFFFF"/>
              </w:rPr>
              <w:t xml:space="preserve"> </w:t>
            </w:r>
            <w:proofErr w:type="spellStart"/>
            <w:r w:rsidRPr="00355733">
              <w:rPr>
                <w:color w:val="000000"/>
                <w:sz w:val="24"/>
                <w:szCs w:val="24"/>
                <w:shd w:val="clear" w:color="auto" w:fill="FFFFFF"/>
              </w:rPr>
              <w:t>телекомунікацій</w:t>
            </w:r>
            <w:proofErr w:type="spellEnd"/>
            <w:r w:rsidRPr="00355733">
              <w:rPr>
                <w:color w:val="000000"/>
                <w:sz w:val="24"/>
                <w:szCs w:val="24"/>
                <w:shd w:val="clear" w:color="auto" w:fill="FFFFFF"/>
              </w:rPr>
              <w:t xml:space="preserve"> та </w:t>
            </w:r>
            <w:proofErr w:type="spellStart"/>
            <w:r w:rsidRPr="00355733">
              <w:rPr>
                <w:color w:val="000000"/>
                <w:sz w:val="24"/>
                <w:szCs w:val="24"/>
                <w:shd w:val="clear" w:color="auto" w:fill="FFFFFF"/>
              </w:rPr>
              <w:t>зв'язку</w:t>
            </w:r>
            <w:proofErr w:type="spellEnd"/>
            <w:r w:rsidRPr="00355733">
              <w:rPr>
                <w:color w:val="000000"/>
                <w:sz w:val="24"/>
                <w:szCs w:val="24"/>
                <w:shd w:val="clear" w:color="auto" w:fill="FFFFFF"/>
              </w:rPr>
              <w:t xml:space="preserve">, </w:t>
            </w:r>
            <w:proofErr w:type="spellStart"/>
            <w:r w:rsidR="00ED1408">
              <w:rPr>
                <w:color w:val="000000"/>
                <w:sz w:val="24"/>
                <w:szCs w:val="24"/>
                <w:shd w:val="clear" w:color="auto" w:fill="FFFFFF"/>
              </w:rPr>
              <w:t>І</w:t>
            </w:r>
            <w:r w:rsidRPr="00355733">
              <w:rPr>
                <w:color w:val="000000"/>
                <w:sz w:val="24"/>
                <w:szCs w:val="24"/>
                <w:shd w:val="clear" w:color="auto" w:fill="FFFFFF"/>
              </w:rPr>
              <w:t>нтернету</w:t>
            </w:r>
            <w:proofErr w:type="spellEnd"/>
            <w:r w:rsidRPr="00355733">
              <w:rPr>
                <w:color w:val="000000"/>
                <w:sz w:val="24"/>
                <w:szCs w:val="24"/>
                <w:shd w:val="clear" w:color="auto" w:fill="FFFFFF"/>
              </w:rPr>
              <w:t xml:space="preserve">, </w:t>
            </w:r>
            <w:proofErr w:type="spellStart"/>
            <w:r w:rsidRPr="00355733">
              <w:rPr>
                <w:color w:val="000000"/>
                <w:sz w:val="24"/>
                <w:szCs w:val="24"/>
                <w:shd w:val="clear" w:color="auto" w:fill="FFFFFF"/>
              </w:rPr>
              <w:t>базових</w:t>
            </w:r>
            <w:proofErr w:type="spellEnd"/>
            <w:r w:rsidRPr="00355733">
              <w:rPr>
                <w:color w:val="000000"/>
                <w:sz w:val="24"/>
                <w:szCs w:val="24"/>
                <w:shd w:val="clear" w:color="auto" w:fill="FFFFFF"/>
              </w:rPr>
              <w:t xml:space="preserve"> </w:t>
            </w:r>
            <w:proofErr w:type="spellStart"/>
            <w:r w:rsidRPr="00355733">
              <w:rPr>
                <w:color w:val="000000"/>
                <w:sz w:val="24"/>
                <w:szCs w:val="24"/>
                <w:shd w:val="clear" w:color="auto" w:fill="FFFFFF"/>
              </w:rPr>
              <w:t>послуг</w:t>
            </w:r>
            <w:proofErr w:type="spellEnd"/>
            <w:r w:rsidRPr="00355733">
              <w:rPr>
                <w:color w:val="000000"/>
                <w:sz w:val="24"/>
                <w:szCs w:val="24"/>
                <w:shd w:val="clear" w:color="auto" w:fill="FFFFFF"/>
              </w:rPr>
              <w:t xml:space="preserve"> </w:t>
            </w:r>
            <w:proofErr w:type="spellStart"/>
            <w:r w:rsidRPr="00355733">
              <w:rPr>
                <w:color w:val="000000"/>
                <w:sz w:val="24"/>
                <w:szCs w:val="24"/>
                <w:shd w:val="clear" w:color="auto" w:fill="FFFFFF"/>
              </w:rPr>
              <w:t>забезпечення</w:t>
            </w:r>
            <w:proofErr w:type="spellEnd"/>
            <w:r w:rsidRPr="00355733">
              <w:rPr>
                <w:color w:val="000000"/>
                <w:sz w:val="24"/>
                <w:szCs w:val="24"/>
                <w:shd w:val="clear" w:color="auto" w:fill="FFFFFF"/>
              </w:rPr>
              <w:t xml:space="preserve"> </w:t>
            </w:r>
            <w:proofErr w:type="spellStart"/>
            <w:r w:rsidRPr="00355733">
              <w:rPr>
                <w:color w:val="000000"/>
                <w:sz w:val="24"/>
                <w:szCs w:val="24"/>
                <w:shd w:val="clear" w:color="auto" w:fill="FFFFFF"/>
              </w:rPr>
              <w:t>функціонування</w:t>
            </w:r>
            <w:proofErr w:type="spellEnd"/>
            <w:r w:rsidRPr="00355733">
              <w:rPr>
                <w:color w:val="000000"/>
                <w:sz w:val="24"/>
                <w:szCs w:val="24"/>
                <w:shd w:val="clear" w:color="auto" w:fill="FFFFFF"/>
              </w:rPr>
              <w:t xml:space="preserve"> </w:t>
            </w:r>
            <w:proofErr w:type="spellStart"/>
            <w:r w:rsidRPr="00355733">
              <w:rPr>
                <w:color w:val="000000"/>
                <w:sz w:val="24"/>
                <w:szCs w:val="24"/>
                <w:shd w:val="clear" w:color="auto" w:fill="FFFFFF"/>
              </w:rPr>
              <w:t>системи</w:t>
            </w:r>
            <w:proofErr w:type="spellEnd"/>
            <w:r w:rsidRPr="00355733">
              <w:rPr>
                <w:color w:val="000000"/>
                <w:sz w:val="24"/>
                <w:szCs w:val="24"/>
                <w:shd w:val="clear" w:color="auto" w:fill="FFFFFF"/>
              </w:rPr>
              <w:t xml:space="preserve"> </w:t>
            </w:r>
            <w:proofErr w:type="spellStart"/>
            <w:r w:rsidRPr="00355733">
              <w:rPr>
                <w:color w:val="000000"/>
                <w:sz w:val="24"/>
                <w:szCs w:val="24"/>
                <w:shd w:val="clear" w:color="auto" w:fill="FFFFFF"/>
              </w:rPr>
              <w:t>екстрених</w:t>
            </w:r>
            <w:proofErr w:type="spellEnd"/>
            <w:r w:rsidRPr="00355733">
              <w:rPr>
                <w:color w:val="000000"/>
                <w:sz w:val="24"/>
                <w:szCs w:val="24"/>
                <w:shd w:val="clear" w:color="auto" w:fill="FFFFFF"/>
              </w:rPr>
              <w:t xml:space="preserve"> служб.</w:t>
            </w:r>
          </w:p>
          <w:p w:rsidR="00A14827" w:rsidRPr="00355733" w:rsidRDefault="00A14827" w:rsidP="00254DD7">
            <w:pPr>
              <w:rPr>
                <w:color w:val="000000"/>
                <w:sz w:val="24"/>
                <w:szCs w:val="24"/>
                <w:shd w:val="clear" w:color="auto" w:fill="FFFFFF"/>
              </w:rPr>
            </w:pPr>
            <w:proofErr w:type="spellStart"/>
            <w:r w:rsidRPr="00355733">
              <w:rPr>
                <w:color w:val="000000"/>
                <w:sz w:val="24"/>
                <w:szCs w:val="24"/>
                <w:shd w:val="clear" w:color="auto" w:fill="FFFFFF"/>
              </w:rPr>
              <w:t>Відновлен</w:t>
            </w:r>
            <w:r w:rsidR="00903B5D">
              <w:rPr>
                <w:color w:val="000000"/>
                <w:sz w:val="24"/>
                <w:szCs w:val="24"/>
                <w:shd w:val="clear" w:color="auto" w:fill="FFFFFF"/>
              </w:rPr>
              <w:t>ня</w:t>
            </w:r>
            <w:proofErr w:type="spellEnd"/>
            <w:r w:rsidR="00903B5D">
              <w:rPr>
                <w:color w:val="000000"/>
                <w:sz w:val="24"/>
                <w:szCs w:val="24"/>
                <w:shd w:val="clear" w:color="auto" w:fill="FFFFFF"/>
              </w:rPr>
              <w:t xml:space="preserve"> </w:t>
            </w:r>
            <w:proofErr w:type="spellStart"/>
            <w:r w:rsidRPr="00355733">
              <w:rPr>
                <w:color w:val="000000"/>
                <w:sz w:val="24"/>
                <w:szCs w:val="24"/>
                <w:shd w:val="clear" w:color="auto" w:fill="FFFFFF"/>
              </w:rPr>
              <w:t>функціонування</w:t>
            </w:r>
            <w:proofErr w:type="spellEnd"/>
            <w:r w:rsidRPr="00355733">
              <w:rPr>
                <w:color w:val="000000"/>
                <w:sz w:val="24"/>
                <w:szCs w:val="24"/>
                <w:shd w:val="clear" w:color="auto" w:fill="FFFFFF"/>
              </w:rPr>
              <w:t xml:space="preserve"> критичного </w:t>
            </w:r>
            <w:proofErr w:type="spellStart"/>
            <w:r w:rsidRPr="00355733">
              <w:rPr>
                <w:color w:val="000000"/>
                <w:sz w:val="24"/>
                <w:szCs w:val="24"/>
                <w:shd w:val="clear" w:color="auto" w:fill="FFFFFF"/>
              </w:rPr>
              <w:t>бізнесу</w:t>
            </w:r>
            <w:proofErr w:type="spellEnd"/>
            <w:r w:rsidRPr="00355733">
              <w:rPr>
                <w:color w:val="000000"/>
                <w:sz w:val="24"/>
                <w:szCs w:val="24"/>
                <w:shd w:val="clear" w:color="auto" w:fill="FFFFFF"/>
              </w:rPr>
              <w:t xml:space="preserve">, </w:t>
            </w:r>
            <w:proofErr w:type="gramStart"/>
            <w:r w:rsidRPr="00355733">
              <w:rPr>
                <w:color w:val="000000"/>
                <w:sz w:val="24"/>
                <w:szCs w:val="24"/>
                <w:shd w:val="clear" w:color="auto" w:fill="FFFFFF"/>
              </w:rPr>
              <w:t>у сферах</w:t>
            </w:r>
            <w:proofErr w:type="gramEnd"/>
            <w:r w:rsidR="00BE25C5">
              <w:rPr>
                <w:color w:val="000000"/>
                <w:sz w:val="24"/>
                <w:szCs w:val="24"/>
                <w:shd w:val="clear" w:color="auto" w:fill="FFFFFF"/>
              </w:rPr>
              <w:t>,</w:t>
            </w:r>
            <w:r w:rsidRPr="00355733">
              <w:rPr>
                <w:color w:val="000000"/>
                <w:sz w:val="24"/>
                <w:szCs w:val="24"/>
                <w:shd w:val="clear" w:color="auto" w:fill="FFFFFF"/>
              </w:rPr>
              <w:t xml:space="preserve"> </w:t>
            </w:r>
            <w:proofErr w:type="spellStart"/>
            <w:r w:rsidRPr="00355733">
              <w:rPr>
                <w:color w:val="000000"/>
                <w:sz w:val="24"/>
                <w:szCs w:val="24"/>
                <w:shd w:val="clear" w:color="auto" w:fill="FFFFFF"/>
              </w:rPr>
              <w:t>які</w:t>
            </w:r>
            <w:proofErr w:type="spellEnd"/>
            <w:r w:rsidRPr="00355733">
              <w:rPr>
                <w:color w:val="000000"/>
                <w:sz w:val="24"/>
                <w:szCs w:val="24"/>
                <w:shd w:val="clear" w:color="auto" w:fill="FFFFFF"/>
              </w:rPr>
              <w:t xml:space="preserve"> </w:t>
            </w:r>
            <w:proofErr w:type="spellStart"/>
            <w:r w:rsidRPr="00355733">
              <w:rPr>
                <w:color w:val="000000"/>
                <w:sz w:val="24"/>
                <w:szCs w:val="24"/>
                <w:shd w:val="clear" w:color="auto" w:fill="FFFFFF"/>
              </w:rPr>
              <w:t>спрямовані</w:t>
            </w:r>
            <w:proofErr w:type="spellEnd"/>
            <w:r w:rsidRPr="00355733">
              <w:rPr>
                <w:color w:val="000000"/>
                <w:sz w:val="24"/>
                <w:szCs w:val="24"/>
                <w:shd w:val="clear" w:color="auto" w:fill="FFFFFF"/>
              </w:rPr>
              <w:t xml:space="preserve"> на </w:t>
            </w:r>
            <w:proofErr w:type="spellStart"/>
            <w:r w:rsidRPr="00355733">
              <w:rPr>
                <w:color w:val="000000"/>
                <w:sz w:val="24"/>
                <w:szCs w:val="24"/>
                <w:shd w:val="clear" w:color="auto" w:fill="FFFFFF"/>
              </w:rPr>
              <w:t>підтримку</w:t>
            </w:r>
            <w:proofErr w:type="spellEnd"/>
            <w:r w:rsidRPr="00355733">
              <w:rPr>
                <w:color w:val="000000"/>
                <w:sz w:val="24"/>
                <w:szCs w:val="24"/>
                <w:shd w:val="clear" w:color="auto" w:fill="FFFFFF"/>
              </w:rPr>
              <w:t xml:space="preserve"> </w:t>
            </w:r>
            <w:proofErr w:type="spellStart"/>
            <w:r w:rsidRPr="00355733">
              <w:rPr>
                <w:color w:val="000000"/>
                <w:sz w:val="24"/>
                <w:szCs w:val="24"/>
                <w:shd w:val="clear" w:color="auto" w:fill="FFFFFF"/>
              </w:rPr>
              <w:t>життєдіяльності</w:t>
            </w:r>
            <w:proofErr w:type="spellEnd"/>
            <w:r w:rsidRPr="00355733">
              <w:rPr>
                <w:color w:val="000000"/>
                <w:sz w:val="24"/>
                <w:szCs w:val="24"/>
                <w:shd w:val="clear" w:color="auto" w:fill="FFFFFF"/>
              </w:rPr>
              <w:t xml:space="preserve"> </w:t>
            </w:r>
            <w:proofErr w:type="spellStart"/>
            <w:r w:rsidRPr="00355733">
              <w:rPr>
                <w:color w:val="000000"/>
                <w:sz w:val="24"/>
                <w:szCs w:val="24"/>
                <w:shd w:val="clear" w:color="auto" w:fill="FFFFFF"/>
              </w:rPr>
              <w:t>міста</w:t>
            </w:r>
            <w:proofErr w:type="spellEnd"/>
            <w:r w:rsidRPr="00355733">
              <w:rPr>
                <w:color w:val="000000"/>
                <w:sz w:val="24"/>
                <w:szCs w:val="24"/>
                <w:shd w:val="clear" w:color="auto" w:fill="FFFFFF"/>
              </w:rPr>
              <w:t xml:space="preserve"> (</w:t>
            </w:r>
            <w:proofErr w:type="spellStart"/>
            <w:r w:rsidRPr="00355733">
              <w:rPr>
                <w:color w:val="000000"/>
                <w:sz w:val="24"/>
                <w:szCs w:val="24"/>
                <w:shd w:val="clear" w:color="auto" w:fill="FFFFFF"/>
              </w:rPr>
              <w:t>продукти</w:t>
            </w:r>
            <w:proofErr w:type="spellEnd"/>
            <w:r w:rsidRPr="00355733">
              <w:rPr>
                <w:color w:val="000000"/>
                <w:sz w:val="24"/>
                <w:szCs w:val="24"/>
                <w:shd w:val="clear" w:color="auto" w:fill="FFFFFF"/>
              </w:rPr>
              <w:t xml:space="preserve">, </w:t>
            </w:r>
            <w:proofErr w:type="spellStart"/>
            <w:r w:rsidRPr="00355733">
              <w:rPr>
                <w:color w:val="000000"/>
                <w:sz w:val="24"/>
                <w:szCs w:val="24"/>
                <w:shd w:val="clear" w:color="auto" w:fill="FFFFFF"/>
              </w:rPr>
              <w:t>ліки</w:t>
            </w:r>
            <w:proofErr w:type="spellEnd"/>
            <w:r w:rsidRPr="00355733">
              <w:rPr>
                <w:color w:val="000000"/>
                <w:sz w:val="24"/>
                <w:szCs w:val="24"/>
                <w:shd w:val="clear" w:color="auto" w:fill="FFFFFF"/>
              </w:rPr>
              <w:t xml:space="preserve">, </w:t>
            </w:r>
            <w:proofErr w:type="spellStart"/>
            <w:r w:rsidRPr="00355733">
              <w:rPr>
                <w:color w:val="000000"/>
                <w:sz w:val="24"/>
                <w:szCs w:val="24"/>
                <w:shd w:val="clear" w:color="auto" w:fill="FFFFFF"/>
              </w:rPr>
              <w:t>транспортне</w:t>
            </w:r>
            <w:proofErr w:type="spellEnd"/>
            <w:r w:rsidRPr="00355733">
              <w:rPr>
                <w:color w:val="000000"/>
                <w:sz w:val="24"/>
                <w:szCs w:val="24"/>
                <w:shd w:val="clear" w:color="auto" w:fill="FFFFFF"/>
              </w:rPr>
              <w:t xml:space="preserve"> </w:t>
            </w:r>
            <w:proofErr w:type="spellStart"/>
            <w:r w:rsidRPr="00355733">
              <w:rPr>
                <w:color w:val="000000"/>
                <w:sz w:val="24"/>
                <w:szCs w:val="24"/>
                <w:shd w:val="clear" w:color="auto" w:fill="FFFFFF"/>
              </w:rPr>
              <w:t>сполучення</w:t>
            </w:r>
            <w:proofErr w:type="spellEnd"/>
            <w:r w:rsidRPr="00355733">
              <w:rPr>
                <w:color w:val="000000"/>
                <w:sz w:val="24"/>
                <w:szCs w:val="24"/>
                <w:shd w:val="clear" w:color="auto" w:fill="FFFFFF"/>
              </w:rPr>
              <w:t>)</w:t>
            </w:r>
            <w:r w:rsidR="00BE25C5">
              <w:rPr>
                <w:color w:val="000000"/>
                <w:sz w:val="24"/>
                <w:szCs w:val="24"/>
                <w:shd w:val="clear" w:color="auto" w:fill="FFFFFF"/>
              </w:rPr>
              <w:t>.</w:t>
            </w:r>
          </w:p>
          <w:p w:rsidR="00A14827" w:rsidRPr="00355733" w:rsidRDefault="00A14827" w:rsidP="00254DD7">
            <w:pPr>
              <w:rPr>
                <w:color w:val="000000"/>
                <w:sz w:val="24"/>
                <w:szCs w:val="24"/>
                <w:shd w:val="clear" w:color="auto" w:fill="FFFFFF"/>
              </w:rPr>
            </w:pPr>
            <w:proofErr w:type="spellStart"/>
            <w:r w:rsidRPr="00355733">
              <w:rPr>
                <w:color w:val="000000"/>
                <w:sz w:val="24"/>
                <w:szCs w:val="24"/>
                <w:shd w:val="clear" w:color="auto" w:fill="FFFFFF"/>
              </w:rPr>
              <w:t>Відновлення</w:t>
            </w:r>
            <w:proofErr w:type="spellEnd"/>
            <w:r w:rsidRPr="00355733">
              <w:rPr>
                <w:color w:val="000000"/>
                <w:sz w:val="24"/>
                <w:szCs w:val="24"/>
                <w:shd w:val="clear" w:color="auto" w:fill="FFFFFF"/>
              </w:rPr>
              <w:t xml:space="preserve"> </w:t>
            </w:r>
            <w:proofErr w:type="spellStart"/>
            <w:r w:rsidRPr="00355733">
              <w:rPr>
                <w:color w:val="000000"/>
                <w:sz w:val="24"/>
                <w:szCs w:val="24"/>
                <w:shd w:val="clear" w:color="auto" w:fill="FFFFFF"/>
              </w:rPr>
              <w:t>роботи</w:t>
            </w:r>
            <w:proofErr w:type="spellEnd"/>
            <w:r w:rsidRPr="00355733">
              <w:rPr>
                <w:color w:val="000000"/>
                <w:sz w:val="24"/>
                <w:szCs w:val="24"/>
                <w:shd w:val="clear" w:color="auto" w:fill="FFFFFF"/>
              </w:rPr>
              <w:t xml:space="preserve"> </w:t>
            </w:r>
            <w:proofErr w:type="spellStart"/>
            <w:r w:rsidRPr="00355733">
              <w:rPr>
                <w:color w:val="000000"/>
                <w:sz w:val="24"/>
                <w:szCs w:val="24"/>
                <w:shd w:val="clear" w:color="auto" w:fill="FFFFFF"/>
              </w:rPr>
              <w:t>закладів</w:t>
            </w:r>
            <w:proofErr w:type="spellEnd"/>
            <w:r w:rsidRPr="00355733">
              <w:rPr>
                <w:color w:val="000000"/>
                <w:sz w:val="24"/>
                <w:szCs w:val="24"/>
                <w:shd w:val="clear" w:color="auto" w:fill="FFFFFF"/>
              </w:rPr>
              <w:t xml:space="preserve"> </w:t>
            </w:r>
            <w:proofErr w:type="spellStart"/>
            <w:r w:rsidRPr="00355733">
              <w:rPr>
                <w:color w:val="000000"/>
                <w:sz w:val="24"/>
                <w:szCs w:val="24"/>
                <w:shd w:val="clear" w:color="auto" w:fill="FFFFFF"/>
              </w:rPr>
              <w:t>охорони</w:t>
            </w:r>
            <w:proofErr w:type="spellEnd"/>
            <w:r w:rsidRPr="00355733">
              <w:rPr>
                <w:color w:val="000000"/>
                <w:sz w:val="24"/>
                <w:szCs w:val="24"/>
                <w:shd w:val="clear" w:color="auto" w:fill="FFFFFF"/>
              </w:rPr>
              <w:t xml:space="preserve"> </w:t>
            </w:r>
            <w:proofErr w:type="spellStart"/>
            <w:r w:rsidRPr="00355733">
              <w:rPr>
                <w:color w:val="000000"/>
                <w:sz w:val="24"/>
                <w:szCs w:val="24"/>
                <w:shd w:val="clear" w:color="auto" w:fill="FFFFFF"/>
              </w:rPr>
              <w:t>здоров'я</w:t>
            </w:r>
            <w:proofErr w:type="spellEnd"/>
            <w:r w:rsidRPr="00355733">
              <w:rPr>
                <w:color w:val="000000"/>
                <w:sz w:val="24"/>
                <w:szCs w:val="24"/>
                <w:shd w:val="clear" w:color="auto" w:fill="FFFFFF"/>
              </w:rPr>
              <w:t xml:space="preserve">, </w:t>
            </w:r>
            <w:proofErr w:type="spellStart"/>
            <w:r w:rsidRPr="00355733">
              <w:rPr>
                <w:color w:val="000000"/>
                <w:sz w:val="24"/>
                <w:szCs w:val="24"/>
                <w:shd w:val="clear" w:color="auto" w:fill="FFFFFF"/>
              </w:rPr>
              <w:t>сфери</w:t>
            </w:r>
            <w:proofErr w:type="spellEnd"/>
            <w:r w:rsidRPr="00355733">
              <w:rPr>
                <w:color w:val="000000"/>
                <w:sz w:val="24"/>
                <w:szCs w:val="24"/>
                <w:shd w:val="clear" w:color="auto" w:fill="FFFFFF"/>
              </w:rPr>
              <w:t xml:space="preserve"> </w:t>
            </w:r>
            <w:proofErr w:type="spellStart"/>
            <w:r w:rsidRPr="00355733">
              <w:rPr>
                <w:color w:val="000000"/>
                <w:sz w:val="24"/>
                <w:szCs w:val="24"/>
                <w:shd w:val="clear" w:color="auto" w:fill="FFFFFF"/>
              </w:rPr>
              <w:t>освіти</w:t>
            </w:r>
            <w:proofErr w:type="spellEnd"/>
            <w:r w:rsidRPr="00355733">
              <w:rPr>
                <w:color w:val="000000"/>
                <w:sz w:val="24"/>
                <w:szCs w:val="24"/>
                <w:shd w:val="clear" w:color="auto" w:fill="FFFFFF"/>
              </w:rPr>
              <w:t xml:space="preserve">, </w:t>
            </w:r>
            <w:proofErr w:type="spellStart"/>
            <w:r w:rsidRPr="00355733">
              <w:rPr>
                <w:color w:val="000000"/>
                <w:sz w:val="24"/>
                <w:szCs w:val="24"/>
                <w:shd w:val="clear" w:color="auto" w:fill="FFFFFF"/>
              </w:rPr>
              <w:t>бізнесу</w:t>
            </w:r>
            <w:proofErr w:type="spellEnd"/>
            <w:r w:rsidRPr="00355733">
              <w:rPr>
                <w:color w:val="000000"/>
                <w:sz w:val="24"/>
                <w:szCs w:val="24"/>
                <w:shd w:val="clear" w:color="auto" w:fill="FFFFFF"/>
              </w:rPr>
              <w:t xml:space="preserve"> </w:t>
            </w:r>
            <w:proofErr w:type="spellStart"/>
            <w:r w:rsidRPr="00355733">
              <w:rPr>
                <w:color w:val="000000"/>
                <w:sz w:val="24"/>
                <w:szCs w:val="24"/>
                <w:shd w:val="clear" w:color="auto" w:fill="FFFFFF"/>
              </w:rPr>
              <w:t>тощо</w:t>
            </w:r>
            <w:proofErr w:type="spellEnd"/>
            <w:r w:rsidRPr="00355733">
              <w:rPr>
                <w:color w:val="000000"/>
                <w:sz w:val="24"/>
                <w:szCs w:val="24"/>
                <w:shd w:val="clear" w:color="auto" w:fill="FFFFFF"/>
              </w:rPr>
              <w:t>.</w:t>
            </w:r>
          </w:p>
        </w:tc>
        <w:tc>
          <w:tcPr>
            <w:tcW w:w="1950" w:type="dxa"/>
            <w:vMerge/>
          </w:tcPr>
          <w:p w:rsidR="00A14827" w:rsidRPr="00355733" w:rsidRDefault="00A14827" w:rsidP="00254DD7">
            <w:pPr>
              <w:rPr>
                <w:color w:val="000000"/>
                <w:sz w:val="24"/>
                <w:szCs w:val="24"/>
                <w:shd w:val="clear" w:color="auto" w:fill="FFFFFF"/>
              </w:rPr>
            </w:pPr>
          </w:p>
        </w:tc>
      </w:tr>
      <w:tr w:rsidR="00A14827" w:rsidRPr="00A14827" w:rsidTr="00254DD7">
        <w:tc>
          <w:tcPr>
            <w:tcW w:w="1579" w:type="dxa"/>
            <w:vAlign w:val="center"/>
          </w:tcPr>
          <w:p w:rsidR="00A14827" w:rsidRPr="00355733" w:rsidRDefault="00A14827" w:rsidP="00254DD7">
            <w:pPr>
              <w:jc w:val="center"/>
              <w:rPr>
                <w:color w:val="000000"/>
                <w:sz w:val="24"/>
                <w:szCs w:val="24"/>
                <w:shd w:val="clear" w:color="auto" w:fill="FFFFFF"/>
              </w:rPr>
            </w:pPr>
            <w:proofErr w:type="spellStart"/>
            <w:r w:rsidRPr="00355733">
              <w:rPr>
                <w:color w:val="000000"/>
                <w:sz w:val="24"/>
                <w:szCs w:val="24"/>
                <w:shd w:val="clear" w:color="auto" w:fill="FFFFFF"/>
              </w:rPr>
              <w:t>Розвиток</w:t>
            </w:r>
            <w:proofErr w:type="spellEnd"/>
          </w:p>
        </w:tc>
        <w:tc>
          <w:tcPr>
            <w:tcW w:w="6326" w:type="dxa"/>
          </w:tcPr>
          <w:p w:rsidR="00A14827" w:rsidRPr="00A14827" w:rsidRDefault="00A14827" w:rsidP="00254DD7">
            <w:pPr>
              <w:rPr>
                <w:color w:val="000000"/>
                <w:sz w:val="24"/>
                <w:szCs w:val="24"/>
                <w:shd w:val="clear" w:color="auto" w:fill="FFFFFF"/>
              </w:rPr>
            </w:pPr>
            <w:proofErr w:type="spellStart"/>
            <w:r w:rsidRPr="00355733">
              <w:rPr>
                <w:color w:val="000000"/>
                <w:sz w:val="24"/>
                <w:szCs w:val="24"/>
                <w:shd w:val="clear" w:color="auto" w:fill="FFFFFF"/>
              </w:rPr>
              <w:t>Визначення</w:t>
            </w:r>
            <w:proofErr w:type="spellEnd"/>
            <w:r w:rsidRPr="00355733">
              <w:rPr>
                <w:color w:val="000000"/>
                <w:sz w:val="24"/>
                <w:szCs w:val="24"/>
                <w:shd w:val="clear" w:color="auto" w:fill="FFFFFF"/>
              </w:rPr>
              <w:t xml:space="preserve"> </w:t>
            </w:r>
            <w:proofErr w:type="spellStart"/>
            <w:r w:rsidRPr="00355733">
              <w:rPr>
                <w:color w:val="000000"/>
                <w:sz w:val="24"/>
                <w:szCs w:val="24"/>
                <w:shd w:val="clear" w:color="auto" w:fill="FFFFFF"/>
              </w:rPr>
              <w:t>актуальних</w:t>
            </w:r>
            <w:proofErr w:type="spellEnd"/>
            <w:r w:rsidRPr="00355733">
              <w:rPr>
                <w:color w:val="000000"/>
                <w:sz w:val="24"/>
                <w:szCs w:val="24"/>
                <w:shd w:val="clear" w:color="auto" w:fill="FFFFFF"/>
              </w:rPr>
              <w:t xml:space="preserve"> потреб </w:t>
            </w:r>
            <w:proofErr w:type="spellStart"/>
            <w:r w:rsidRPr="00355733">
              <w:rPr>
                <w:color w:val="000000"/>
                <w:sz w:val="24"/>
                <w:szCs w:val="24"/>
                <w:shd w:val="clear" w:color="auto" w:fill="FFFFFF"/>
              </w:rPr>
              <w:t>громади</w:t>
            </w:r>
            <w:proofErr w:type="spellEnd"/>
            <w:r w:rsidRPr="00355733">
              <w:rPr>
                <w:color w:val="000000"/>
                <w:sz w:val="24"/>
                <w:szCs w:val="24"/>
                <w:shd w:val="clear" w:color="auto" w:fill="FFFFFF"/>
              </w:rPr>
              <w:t xml:space="preserve">, а </w:t>
            </w:r>
            <w:proofErr w:type="spellStart"/>
            <w:r w:rsidRPr="00355733">
              <w:rPr>
                <w:color w:val="000000"/>
                <w:sz w:val="24"/>
                <w:szCs w:val="24"/>
                <w:shd w:val="clear" w:color="auto" w:fill="FFFFFF"/>
              </w:rPr>
              <w:t>також</w:t>
            </w:r>
            <w:proofErr w:type="spellEnd"/>
            <w:r w:rsidRPr="00355733">
              <w:rPr>
                <w:color w:val="000000"/>
                <w:sz w:val="24"/>
                <w:szCs w:val="24"/>
                <w:shd w:val="clear" w:color="auto" w:fill="FFFFFF"/>
              </w:rPr>
              <w:t xml:space="preserve"> </w:t>
            </w:r>
            <w:proofErr w:type="spellStart"/>
            <w:r w:rsidRPr="00355733">
              <w:rPr>
                <w:color w:val="000000"/>
                <w:sz w:val="24"/>
                <w:szCs w:val="24"/>
                <w:shd w:val="clear" w:color="auto" w:fill="FFFFFF"/>
              </w:rPr>
              <w:t>стратегічне</w:t>
            </w:r>
            <w:proofErr w:type="spellEnd"/>
            <w:r w:rsidRPr="00355733">
              <w:rPr>
                <w:color w:val="000000"/>
                <w:sz w:val="24"/>
                <w:szCs w:val="24"/>
                <w:shd w:val="clear" w:color="auto" w:fill="FFFFFF"/>
              </w:rPr>
              <w:t xml:space="preserve"> </w:t>
            </w:r>
            <w:proofErr w:type="spellStart"/>
            <w:r w:rsidRPr="00355733">
              <w:rPr>
                <w:color w:val="000000"/>
                <w:sz w:val="24"/>
                <w:szCs w:val="24"/>
                <w:shd w:val="clear" w:color="auto" w:fill="FFFFFF"/>
              </w:rPr>
              <w:t>бачення</w:t>
            </w:r>
            <w:proofErr w:type="spellEnd"/>
            <w:r w:rsidRPr="00355733">
              <w:rPr>
                <w:color w:val="000000"/>
                <w:sz w:val="24"/>
                <w:szCs w:val="24"/>
                <w:shd w:val="clear" w:color="auto" w:fill="FFFFFF"/>
              </w:rPr>
              <w:t xml:space="preserve"> </w:t>
            </w:r>
            <w:proofErr w:type="spellStart"/>
            <w:r w:rsidRPr="00355733">
              <w:rPr>
                <w:color w:val="000000"/>
                <w:sz w:val="24"/>
                <w:szCs w:val="24"/>
                <w:shd w:val="clear" w:color="auto" w:fill="FFFFFF"/>
              </w:rPr>
              <w:t>відновлення</w:t>
            </w:r>
            <w:proofErr w:type="spellEnd"/>
            <w:r w:rsidRPr="00355733">
              <w:rPr>
                <w:color w:val="000000"/>
                <w:sz w:val="24"/>
                <w:szCs w:val="24"/>
                <w:shd w:val="clear" w:color="auto" w:fill="FFFFFF"/>
              </w:rPr>
              <w:t xml:space="preserve"> та </w:t>
            </w:r>
            <w:proofErr w:type="spellStart"/>
            <w:r w:rsidRPr="00355733">
              <w:rPr>
                <w:color w:val="000000"/>
                <w:sz w:val="24"/>
                <w:szCs w:val="24"/>
                <w:shd w:val="clear" w:color="auto" w:fill="FFFFFF"/>
              </w:rPr>
              <w:t>перебудови</w:t>
            </w:r>
            <w:proofErr w:type="spellEnd"/>
            <w:r w:rsidRPr="00355733">
              <w:rPr>
                <w:color w:val="000000"/>
                <w:sz w:val="24"/>
                <w:szCs w:val="24"/>
                <w:shd w:val="clear" w:color="auto" w:fill="FFFFFF"/>
              </w:rPr>
              <w:t xml:space="preserve"> </w:t>
            </w:r>
            <w:proofErr w:type="spellStart"/>
            <w:r w:rsidRPr="00355733">
              <w:rPr>
                <w:color w:val="000000"/>
                <w:sz w:val="24"/>
                <w:szCs w:val="24"/>
                <w:shd w:val="clear" w:color="auto" w:fill="FFFFFF"/>
              </w:rPr>
              <w:t>інфраструктури</w:t>
            </w:r>
            <w:proofErr w:type="spellEnd"/>
          </w:p>
        </w:tc>
        <w:tc>
          <w:tcPr>
            <w:tcW w:w="1950" w:type="dxa"/>
            <w:vMerge/>
          </w:tcPr>
          <w:p w:rsidR="00A14827" w:rsidRPr="00A14827" w:rsidRDefault="00A14827" w:rsidP="00254DD7">
            <w:pPr>
              <w:rPr>
                <w:color w:val="000000"/>
                <w:sz w:val="24"/>
                <w:szCs w:val="24"/>
                <w:shd w:val="clear" w:color="auto" w:fill="FFFFFF"/>
              </w:rPr>
            </w:pPr>
          </w:p>
        </w:tc>
      </w:tr>
    </w:tbl>
    <w:p w:rsidR="009664B6" w:rsidRPr="00A14827" w:rsidRDefault="009664B6" w:rsidP="00AC499C">
      <w:pPr>
        <w:autoSpaceDE w:val="0"/>
        <w:autoSpaceDN w:val="0"/>
        <w:adjustRightInd w:val="0"/>
        <w:ind w:firstLine="709"/>
        <w:rPr>
          <w:rFonts w:eastAsia="Calibri"/>
        </w:rPr>
      </w:pPr>
    </w:p>
    <w:p w:rsidR="00AC499C" w:rsidRPr="00E95FB1" w:rsidRDefault="00AC499C" w:rsidP="00AC499C">
      <w:pPr>
        <w:pStyle w:val="1"/>
      </w:pPr>
      <w:bookmarkStart w:id="41" w:name="_Toc142141285"/>
      <w:bookmarkStart w:id="42" w:name="_Toc143012476"/>
      <w:r w:rsidRPr="00E95FB1">
        <w:t>Прогнозовані потреби у фінансових ресурсах та можливі джерела їх отримання</w:t>
      </w:r>
      <w:bookmarkEnd w:id="41"/>
      <w:bookmarkEnd w:id="42"/>
    </w:p>
    <w:p w:rsidR="00AC499C" w:rsidRPr="00E95FB1" w:rsidRDefault="00AC499C" w:rsidP="00AC499C">
      <w:pPr>
        <w:shd w:val="clear" w:color="auto" w:fill="FFFFFF"/>
        <w:ind w:firstLine="709"/>
        <w:rPr>
          <w:b/>
          <w:bCs/>
          <w:shd w:val="clear" w:color="auto" w:fill="FFFFFF"/>
          <w:lang w:eastAsia="uk-UA"/>
        </w:rPr>
      </w:pPr>
    </w:p>
    <w:p w:rsidR="003C117C" w:rsidRPr="00464EDA" w:rsidRDefault="003C117C" w:rsidP="003E7FAF">
      <w:pPr>
        <w:ind w:firstLine="720"/>
      </w:pPr>
      <w:r w:rsidRPr="00464EDA">
        <w:t xml:space="preserve">З початку повномасштабного вторгнення </w:t>
      </w:r>
      <w:r>
        <w:t xml:space="preserve">РФ </w:t>
      </w:r>
      <w:r w:rsidRPr="00464EDA">
        <w:t>в Україну Сєвєродонецька міська територіальна громада перебува</w:t>
      </w:r>
      <w:r>
        <w:t>є</w:t>
      </w:r>
      <w:r w:rsidRPr="00464EDA">
        <w:t xml:space="preserve"> у зоні ведення </w:t>
      </w:r>
      <w:r w:rsidR="00ED1408">
        <w:t>активних</w:t>
      </w:r>
      <w:r w:rsidR="00ED1408" w:rsidRPr="00464EDA">
        <w:t xml:space="preserve"> </w:t>
      </w:r>
      <w:r w:rsidRPr="00464EDA">
        <w:t xml:space="preserve">бойових дій, </w:t>
      </w:r>
      <w:r w:rsidR="00F842F6">
        <w:t xml:space="preserve">її територія </w:t>
      </w:r>
      <w:r w:rsidRPr="00464EDA">
        <w:t xml:space="preserve">була </w:t>
      </w:r>
      <w:r>
        <w:t>частково та є</w:t>
      </w:r>
      <w:r w:rsidRPr="00464EDA">
        <w:t xml:space="preserve">  </w:t>
      </w:r>
      <w:r>
        <w:t xml:space="preserve">повністю </w:t>
      </w:r>
      <w:r w:rsidR="00E6363A">
        <w:t>тимчасово оку</w:t>
      </w:r>
      <w:r w:rsidR="00E6363A" w:rsidRPr="00464EDA">
        <w:t>пован</w:t>
      </w:r>
      <w:r w:rsidR="00E6363A">
        <w:t>ою</w:t>
      </w:r>
      <w:r w:rsidRPr="00464EDA">
        <w:t>, що не могло не вплинути на виконання бюджету громади. Спостерігається зменшення майже усіх видів надходжень</w:t>
      </w:r>
      <w:r w:rsidR="00B24C45">
        <w:t>.</w:t>
      </w:r>
      <w:r w:rsidRPr="00464EDA">
        <w:t xml:space="preserve"> </w:t>
      </w:r>
      <w:r w:rsidR="00B24C45">
        <w:t>У</w:t>
      </w:r>
      <w:r w:rsidRPr="00464EDA">
        <w:t xml:space="preserve"> зв’язку з веденням бойов</w:t>
      </w:r>
      <w:r>
        <w:t>их дій</w:t>
      </w:r>
      <w:r w:rsidRPr="00464EDA">
        <w:t>, руйнування</w:t>
      </w:r>
      <w:r>
        <w:t>м</w:t>
      </w:r>
      <w:r w:rsidRPr="00464EDA">
        <w:t xml:space="preserve"> інфраструктури,  існуванням загрози для життя і здоров’я мирного населення малий та середній бізнеси були </w:t>
      </w:r>
      <w:proofErr w:type="spellStart"/>
      <w:r w:rsidRPr="00464EDA">
        <w:t>релоковані</w:t>
      </w:r>
      <w:proofErr w:type="spellEnd"/>
      <w:r w:rsidRPr="00464EDA">
        <w:t xml:space="preserve"> або ж зовсім припинені. Багато суб’єктів господарювання повністю або частково втратили можливість працювати через </w:t>
      </w:r>
      <w:r w:rsidR="00837F83">
        <w:t>тимчасову</w:t>
      </w:r>
      <w:r w:rsidR="00837F83" w:rsidRPr="00464EDA">
        <w:t xml:space="preserve"> </w:t>
      </w:r>
      <w:r w:rsidRPr="00464EDA">
        <w:t>окупацію, бойові дії або їх загрозу.</w:t>
      </w:r>
    </w:p>
    <w:p w:rsidR="003C117C" w:rsidRPr="00464EDA" w:rsidRDefault="003C117C" w:rsidP="003E7FAF">
      <w:pPr>
        <w:ind w:firstLine="720"/>
      </w:pPr>
      <w:r w:rsidRPr="00464EDA">
        <w:t xml:space="preserve">Так, за 2022 рік до загального фонду бюджету Сєвєродонецької міської ТГ надійшло 1 143 330 736 грн, що складає 84,0% уточненого плану (1 361 248 695 грн), що у порівнянні з обсягами надходжень за відповідний період 2021 року менше на 449 662 603  грн (1 592 993 339 грн). </w:t>
      </w:r>
    </w:p>
    <w:p w:rsidR="003C117C" w:rsidRDefault="003C117C" w:rsidP="003E7FAF">
      <w:pPr>
        <w:ind w:firstLine="720"/>
      </w:pPr>
      <w:r w:rsidRPr="00464EDA">
        <w:t xml:space="preserve">Спостерігається подальше зменшення надходжень до бюджету громади у 2023 році. Так, за </w:t>
      </w:r>
      <w:r>
        <w:t>ІІІ квартали</w:t>
      </w:r>
      <w:r w:rsidRPr="00464EDA">
        <w:t xml:space="preserve"> 2023 року до загального фонду бюджету Сєвєродонецької міської ТГ надійшло 428 361 824 грн, що складає 61,9% уточненого плану (691 981 605 грн). У порівнянні з обсягами надходжень за відповідний період 202</w:t>
      </w:r>
      <w:r>
        <w:t>2</w:t>
      </w:r>
      <w:r w:rsidRPr="00464EDA">
        <w:t xml:space="preserve"> року спостерігається зменшення надходжень на 485 501 413 грн або на 53,1% (913 863 237 грн).</w:t>
      </w:r>
    </w:p>
    <w:p w:rsidR="003C117C" w:rsidRDefault="003C117C" w:rsidP="003E7FAF">
      <w:pPr>
        <w:ind w:firstLine="720"/>
      </w:pPr>
      <w:r>
        <w:t>Прогнозована потреба у фінансових ресурсах на виконання Програми комплексного відновлення території Сєвєродонецької міської територіальної громади з</w:t>
      </w:r>
      <w:r w:rsidRPr="000C3778">
        <w:t xml:space="preserve">а розрахунками головних розпорядників та одержувачів бюджетних коштів </w:t>
      </w:r>
      <w:r>
        <w:t xml:space="preserve">складає </w:t>
      </w:r>
      <w:r w:rsidRPr="004256DA">
        <w:t>60 948</w:t>
      </w:r>
      <w:r>
        <w:t> </w:t>
      </w:r>
      <w:r w:rsidRPr="004256DA">
        <w:t>810</w:t>
      </w:r>
      <w:r>
        <w:t xml:space="preserve">,050 тис грн, з яких фінансування лише захищених статей бюджету в 2024 році складе 904 677,70892 тис грн. </w:t>
      </w:r>
      <w:r w:rsidRPr="000C3778">
        <w:t xml:space="preserve">Станом на 01.11.2023 року відсутня можливість спрогнозувати доходи бюджету громади на 2024 рік </w:t>
      </w:r>
      <w:r w:rsidR="001F1652">
        <w:t>у</w:t>
      </w:r>
      <w:r w:rsidRPr="000C3778">
        <w:t xml:space="preserve"> зв’язку з анонсованими Урядом та наразі незатвердженими Верховною Радою України суттєвими змінами до бюджетного законодавства  та відповідно до структури надходжень до місцевих бюджетів.</w:t>
      </w:r>
      <w:r>
        <w:t xml:space="preserve"> Проте в умовах збереження тенденції зменшення надходжень до бюджету громади беззаперечним є факт, </w:t>
      </w:r>
      <w:r>
        <w:lastRenderedPageBreak/>
        <w:t xml:space="preserve">що Сєвєродонецька міська територіальна громада за умови </w:t>
      </w:r>
      <w:proofErr w:type="spellStart"/>
      <w:r>
        <w:t>деокупації</w:t>
      </w:r>
      <w:proofErr w:type="spellEnd"/>
      <w:r>
        <w:t xml:space="preserve"> </w:t>
      </w:r>
      <w:r w:rsidR="00761E58">
        <w:t xml:space="preserve">її території </w:t>
      </w:r>
      <w:r>
        <w:t>потребує кошти державного бюджету  майже в повному обсязі від потреби, в тому числі на забезпечення фінансування захищених статей бюджету.</w:t>
      </w:r>
    </w:p>
    <w:p w:rsidR="003E7FAF" w:rsidRDefault="003E7FAF" w:rsidP="003E7FAF">
      <w:pPr>
        <w:ind w:firstLine="720"/>
      </w:pPr>
    </w:p>
    <w:tbl>
      <w:tblPr>
        <w:tblW w:w="9639" w:type="dxa"/>
        <w:tblInd w:w="108" w:type="dxa"/>
        <w:tblLayout w:type="fixed"/>
        <w:tblLook w:val="04A0" w:firstRow="1" w:lastRow="0" w:firstColumn="1" w:lastColumn="0" w:noHBand="0" w:noVBand="1"/>
      </w:tblPr>
      <w:tblGrid>
        <w:gridCol w:w="1985"/>
        <w:gridCol w:w="1701"/>
        <w:gridCol w:w="1417"/>
        <w:gridCol w:w="1418"/>
        <w:gridCol w:w="1417"/>
        <w:gridCol w:w="1701"/>
      </w:tblGrid>
      <w:tr w:rsidR="003C117C" w:rsidRPr="008D21CC" w:rsidTr="003C117C">
        <w:trPr>
          <w:trHeight w:val="312"/>
        </w:trPr>
        <w:tc>
          <w:tcPr>
            <w:tcW w:w="9639" w:type="dxa"/>
            <w:gridSpan w:val="6"/>
            <w:tcBorders>
              <w:top w:val="nil"/>
              <w:left w:val="nil"/>
              <w:bottom w:val="nil"/>
              <w:right w:val="nil"/>
            </w:tcBorders>
            <w:shd w:val="clear" w:color="auto" w:fill="auto"/>
            <w:vAlign w:val="center"/>
            <w:hideMark/>
          </w:tcPr>
          <w:p w:rsidR="003C117C" w:rsidRPr="00E266B2" w:rsidRDefault="003C117C" w:rsidP="00686726">
            <w:pPr>
              <w:jc w:val="center"/>
              <w:rPr>
                <w:b/>
                <w:bCs/>
                <w:color w:val="000000"/>
                <w:sz w:val="24"/>
                <w:szCs w:val="24"/>
                <w:lang w:eastAsia="uk-UA"/>
              </w:rPr>
            </w:pPr>
            <w:r w:rsidRPr="00E266B2">
              <w:rPr>
                <w:b/>
                <w:bCs/>
                <w:color w:val="000000"/>
                <w:sz w:val="24"/>
                <w:szCs w:val="24"/>
                <w:lang w:eastAsia="uk-UA"/>
              </w:rPr>
              <w:t xml:space="preserve">Прогнозована потреба у фінансових ресурсах на виконання Програми комплексного </w:t>
            </w:r>
            <w:proofErr w:type="spellStart"/>
            <w:r w:rsidRPr="00E266B2">
              <w:rPr>
                <w:b/>
                <w:bCs/>
                <w:color w:val="000000"/>
                <w:sz w:val="24"/>
                <w:szCs w:val="24"/>
                <w:lang w:eastAsia="uk-UA"/>
              </w:rPr>
              <w:t>вiдновлення</w:t>
            </w:r>
            <w:proofErr w:type="spellEnd"/>
            <w:r w:rsidRPr="00E266B2">
              <w:rPr>
                <w:b/>
                <w:bCs/>
                <w:color w:val="000000"/>
                <w:sz w:val="24"/>
                <w:szCs w:val="24"/>
                <w:lang w:eastAsia="uk-UA"/>
              </w:rPr>
              <w:t xml:space="preserve"> </w:t>
            </w:r>
            <w:proofErr w:type="spellStart"/>
            <w:r w:rsidRPr="00E266B2">
              <w:rPr>
                <w:b/>
                <w:bCs/>
                <w:color w:val="000000"/>
                <w:sz w:val="24"/>
                <w:szCs w:val="24"/>
                <w:lang w:eastAsia="uk-UA"/>
              </w:rPr>
              <w:t>територiї</w:t>
            </w:r>
            <w:proofErr w:type="spellEnd"/>
          </w:p>
        </w:tc>
      </w:tr>
      <w:tr w:rsidR="003C117C" w:rsidRPr="008D21CC" w:rsidTr="003C117C">
        <w:trPr>
          <w:trHeight w:val="312"/>
        </w:trPr>
        <w:tc>
          <w:tcPr>
            <w:tcW w:w="9639" w:type="dxa"/>
            <w:gridSpan w:val="6"/>
            <w:tcBorders>
              <w:top w:val="nil"/>
              <w:left w:val="nil"/>
              <w:bottom w:val="nil"/>
              <w:right w:val="nil"/>
            </w:tcBorders>
            <w:shd w:val="clear" w:color="auto" w:fill="auto"/>
            <w:vAlign w:val="bottom"/>
            <w:hideMark/>
          </w:tcPr>
          <w:p w:rsidR="003C117C" w:rsidRPr="00E266B2" w:rsidRDefault="003C117C" w:rsidP="00686726">
            <w:pPr>
              <w:jc w:val="center"/>
              <w:rPr>
                <w:b/>
                <w:bCs/>
                <w:color w:val="000000"/>
                <w:sz w:val="24"/>
                <w:szCs w:val="24"/>
                <w:lang w:eastAsia="uk-UA"/>
              </w:rPr>
            </w:pPr>
            <w:r w:rsidRPr="00E266B2">
              <w:rPr>
                <w:b/>
                <w:bCs/>
                <w:color w:val="000000"/>
                <w:sz w:val="24"/>
                <w:szCs w:val="24"/>
                <w:lang w:eastAsia="uk-UA"/>
              </w:rPr>
              <w:t xml:space="preserve"> Сєвєродонецької міської територіальної громади</w:t>
            </w:r>
          </w:p>
        </w:tc>
      </w:tr>
      <w:tr w:rsidR="003C117C" w:rsidRPr="008D21CC" w:rsidTr="003C117C">
        <w:trPr>
          <w:trHeight w:val="312"/>
        </w:trPr>
        <w:tc>
          <w:tcPr>
            <w:tcW w:w="1985" w:type="dxa"/>
            <w:tcBorders>
              <w:top w:val="nil"/>
              <w:left w:val="nil"/>
              <w:bottom w:val="nil"/>
              <w:right w:val="nil"/>
            </w:tcBorders>
            <w:shd w:val="clear" w:color="auto" w:fill="auto"/>
            <w:noWrap/>
            <w:vAlign w:val="bottom"/>
            <w:hideMark/>
          </w:tcPr>
          <w:p w:rsidR="003C117C" w:rsidRPr="008D21CC" w:rsidRDefault="003C117C" w:rsidP="00686726">
            <w:pPr>
              <w:jc w:val="center"/>
              <w:rPr>
                <w:b/>
                <w:bCs/>
                <w:color w:val="000000"/>
                <w:sz w:val="18"/>
                <w:szCs w:val="18"/>
                <w:lang w:eastAsia="uk-UA"/>
              </w:rPr>
            </w:pPr>
          </w:p>
        </w:tc>
        <w:tc>
          <w:tcPr>
            <w:tcW w:w="1701" w:type="dxa"/>
            <w:tcBorders>
              <w:top w:val="nil"/>
              <w:left w:val="nil"/>
              <w:bottom w:val="nil"/>
              <w:right w:val="nil"/>
            </w:tcBorders>
            <w:shd w:val="clear" w:color="auto" w:fill="auto"/>
            <w:noWrap/>
            <w:vAlign w:val="bottom"/>
            <w:hideMark/>
          </w:tcPr>
          <w:p w:rsidR="003C117C" w:rsidRPr="008D21CC" w:rsidRDefault="003C117C" w:rsidP="00686726">
            <w:pPr>
              <w:jc w:val="left"/>
              <w:rPr>
                <w:sz w:val="18"/>
                <w:szCs w:val="18"/>
                <w:lang w:eastAsia="uk-UA"/>
              </w:rPr>
            </w:pPr>
          </w:p>
        </w:tc>
        <w:tc>
          <w:tcPr>
            <w:tcW w:w="1417" w:type="dxa"/>
            <w:tcBorders>
              <w:top w:val="nil"/>
              <w:left w:val="nil"/>
              <w:bottom w:val="nil"/>
              <w:right w:val="nil"/>
            </w:tcBorders>
            <w:shd w:val="clear" w:color="auto" w:fill="auto"/>
            <w:noWrap/>
            <w:vAlign w:val="bottom"/>
            <w:hideMark/>
          </w:tcPr>
          <w:p w:rsidR="003C117C" w:rsidRPr="008D21CC" w:rsidRDefault="003C117C" w:rsidP="00686726">
            <w:pPr>
              <w:jc w:val="left"/>
              <w:rPr>
                <w:sz w:val="18"/>
                <w:szCs w:val="18"/>
                <w:lang w:eastAsia="uk-UA"/>
              </w:rPr>
            </w:pPr>
          </w:p>
        </w:tc>
        <w:tc>
          <w:tcPr>
            <w:tcW w:w="1418" w:type="dxa"/>
            <w:tcBorders>
              <w:top w:val="nil"/>
              <w:left w:val="nil"/>
              <w:bottom w:val="nil"/>
              <w:right w:val="nil"/>
            </w:tcBorders>
            <w:shd w:val="clear" w:color="auto" w:fill="auto"/>
            <w:noWrap/>
            <w:vAlign w:val="bottom"/>
            <w:hideMark/>
          </w:tcPr>
          <w:p w:rsidR="003C117C" w:rsidRPr="008D21CC" w:rsidRDefault="003C117C" w:rsidP="00686726">
            <w:pPr>
              <w:jc w:val="left"/>
              <w:rPr>
                <w:sz w:val="18"/>
                <w:szCs w:val="18"/>
                <w:lang w:eastAsia="uk-UA"/>
              </w:rPr>
            </w:pPr>
          </w:p>
        </w:tc>
        <w:tc>
          <w:tcPr>
            <w:tcW w:w="1417" w:type="dxa"/>
            <w:tcBorders>
              <w:top w:val="nil"/>
              <w:left w:val="nil"/>
              <w:bottom w:val="nil"/>
              <w:right w:val="nil"/>
            </w:tcBorders>
            <w:shd w:val="clear" w:color="auto" w:fill="auto"/>
            <w:noWrap/>
            <w:vAlign w:val="bottom"/>
            <w:hideMark/>
          </w:tcPr>
          <w:p w:rsidR="003C117C" w:rsidRPr="008D21CC" w:rsidRDefault="003C117C" w:rsidP="00686726">
            <w:pPr>
              <w:jc w:val="left"/>
              <w:rPr>
                <w:sz w:val="18"/>
                <w:szCs w:val="18"/>
                <w:lang w:eastAsia="uk-UA"/>
              </w:rPr>
            </w:pPr>
          </w:p>
        </w:tc>
        <w:tc>
          <w:tcPr>
            <w:tcW w:w="1701" w:type="dxa"/>
            <w:tcBorders>
              <w:top w:val="nil"/>
              <w:left w:val="nil"/>
              <w:bottom w:val="nil"/>
              <w:right w:val="nil"/>
            </w:tcBorders>
            <w:shd w:val="clear" w:color="auto" w:fill="auto"/>
            <w:noWrap/>
            <w:vAlign w:val="bottom"/>
            <w:hideMark/>
          </w:tcPr>
          <w:p w:rsidR="003C117C" w:rsidRPr="008D21CC" w:rsidRDefault="003C117C" w:rsidP="00686726">
            <w:pPr>
              <w:jc w:val="left"/>
              <w:rPr>
                <w:sz w:val="18"/>
                <w:szCs w:val="18"/>
                <w:lang w:eastAsia="uk-UA"/>
              </w:rPr>
            </w:pPr>
          </w:p>
        </w:tc>
      </w:tr>
      <w:tr w:rsidR="003C117C" w:rsidRPr="008D21CC" w:rsidTr="003C117C">
        <w:trPr>
          <w:trHeight w:val="288"/>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117C" w:rsidRPr="008D21CC" w:rsidRDefault="003C117C" w:rsidP="00686726">
            <w:pPr>
              <w:jc w:val="center"/>
              <w:rPr>
                <w:b/>
                <w:bCs/>
                <w:color w:val="000000"/>
                <w:sz w:val="18"/>
                <w:szCs w:val="18"/>
                <w:lang w:eastAsia="uk-UA"/>
              </w:rPr>
            </w:pPr>
            <w:r w:rsidRPr="008D21CC">
              <w:rPr>
                <w:b/>
                <w:bCs/>
                <w:color w:val="000000"/>
                <w:sz w:val="18"/>
                <w:szCs w:val="18"/>
                <w:lang w:eastAsia="uk-UA"/>
              </w:rPr>
              <w:t>Розпорядники/одержувачі бюджетних коштів</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117C" w:rsidRPr="008D21CC" w:rsidRDefault="003C117C" w:rsidP="00686726">
            <w:pPr>
              <w:jc w:val="center"/>
              <w:rPr>
                <w:b/>
                <w:bCs/>
                <w:color w:val="000000"/>
                <w:sz w:val="18"/>
                <w:szCs w:val="18"/>
                <w:lang w:eastAsia="uk-UA"/>
              </w:rPr>
            </w:pPr>
            <w:r w:rsidRPr="008D21CC">
              <w:rPr>
                <w:b/>
                <w:bCs/>
                <w:color w:val="000000"/>
                <w:sz w:val="18"/>
                <w:szCs w:val="18"/>
                <w:lang w:eastAsia="uk-UA"/>
              </w:rPr>
              <w:t>Всього, грн</w:t>
            </w:r>
          </w:p>
        </w:tc>
        <w:tc>
          <w:tcPr>
            <w:tcW w:w="5953" w:type="dxa"/>
            <w:gridSpan w:val="4"/>
            <w:tcBorders>
              <w:top w:val="single" w:sz="4" w:space="0" w:color="auto"/>
              <w:left w:val="nil"/>
              <w:bottom w:val="single" w:sz="4" w:space="0" w:color="auto"/>
              <w:right w:val="single" w:sz="4" w:space="0" w:color="auto"/>
            </w:tcBorders>
            <w:shd w:val="clear" w:color="auto" w:fill="auto"/>
            <w:vAlign w:val="center"/>
            <w:hideMark/>
          </w:tcPr>
          <w:p w:rsidR="003C117C" w:rsidRPr="008D21CC" w:rsidRDefault="003C117C" w:rsidP="00686726">
            <w:pPr>
              <w:jc w:val="center"/>
              <w:rPr>
                <w:b/>
                <w:bCs/>
                <w:color w:val="000000"/>
                <w:sz w:val="18"/>
                <w:szCs w:val="18"/>
                <w:lang w:eastAsia="uk-UA"/>
              </w:rPr>
            </w:pPr>
            <w:r w:rsidRPr="008D21CC">
              <w:rPr>
                <w:b/>
                <w:bCs/>
                <w:color w:val="000000"/>
                <w:sz w:val="18"/>
                <w:szCs w:val="18"/>
                <w:lang w:eastAsia="uk-UA"/>
              </w:rPr>
              <w:t xml:space="preserve">в </w:t>
            </w:r>
            <w:proofErr w:type="spellStart"/>
            <w:r w:rsidRPr="008D21CC">
              <w:rPr>
                <w:b/>
                <w:bCs/>
                <w:color w:val="000000"/>
                <w:sz w:val="18"/>
                <w:szCs w:val="18"/>
                <w:lang w:eastAsia="uk-UA"/>
              </w:rPr>
              <w:t>т.ч</w:t>
            </w:r>
            <w:proofErr w:type="spellEnd"/>
            <w:r w:rsidRPr="008D21CC">
              <w:rPr>
                <w:b/>
                <w:bCs/>
                <w:color w:val="000000"/>
                <w:sz w:val="18"/>
                <w:szCs w:val="18"/>
                <w:lang w:eastAsia="uk-UA"/>
              </w:rPr>
              <w:t>.</w:t>
            </w:r>
          </w:p>
        </w:tc>
      </w:tr>
      <w:tr w:rsidR="003C117C" w:rsidRPr="008D21CC" w:rsidTr="003C117C">
        <w:trPr>
          <w:trHeight w:val="288"/>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3C117C" w:rsidRPr="008D21CC" w:rsidRDefault="003C117C" w:rsidP="00686726">
            <w:pPr>
              <w:jc w:val="left"/>
              <w:rPr>
                <w:b/>
                <w:bCs/>
                <w:color w:val="000000"/>
                <w:sz w:val="18"/>
                <w:szCs w:val="18"/>
                <w:lang w:eastAsia="uk-U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C117C" w:rsidRPr="008D21CC" w:rsidRDefault="003C117C" w:rsidP="00686726">
            <w:pPr>
              <w:jc w:val="left"/>
              <w:rPr>
                <w:b/>
                <w:bCs/>
                <w:color w:val="000000"/>
                <w:sz w:val="18"/>
                <w:szCs w:val="18"/>
                <w:lang w:eastAsia="uk-UA"/>
              </w:rPr>
            </w:pP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3C117C" w:rsidRPr="008D21CC" w:rsidRDefault="003C117C" w:rsidP="00686726">
            <w:pPr>
              <w:jc w:val="center"/>
              <w:rPr>
                <w:b/>
                <w:bCs/>
                <w:color w:val="000000"/>
                <w:sz w:val="18"/>
                <w:szCs w:val="18"/>
                <w:lang w:eastAsia="uk-UA"/>
              </w:rPr>
            </w:pPr>
            <w:r w:rsidRPr="008D21CC">
              <w:rPr>
                <w:b/>
                <w:bCs/>
                <w:color w:val="000000"/>
                <w:sz w:val="18"/>
                <w:szCs w:val="18"/>
                <w:lang w:eastAsia="uk-UA"/>
              </w:rPr>
              <w:t>бюджет громади</w:t>
            </w:r>
            <w:r>
              <w:rPr>
                <w:b/>
                <w:bCs/>
                <w:color w:val="000000"/>
                <w:sz w:val="18"/>
                <w:szCs w:val="18"/>
                <w:lang w:eastAsia="uk-UA"/>
              </w:rPr>
              <w:t xml:space="preserve"> та кошти держбюджету</w:t>
            </w:r>
            <w:r w:rsidRPr="008D21CC">
              <w:rPr>
                <w:b/>
                <w:bCs/>
                <w:color w:val="000000"/>
                <w:sz w:val="18"/>
                <w:szCs w:val="18"/>
                <w:lang w:eastAsia="uk-UA"/>
              </w:rPr>
              <w:t xml:space="preserve"> (захищені статті видатків)</w:t>
            </w:r>
          </w:p>
        </w:tc>
        <w:tc>
          <w:tcPr>
            <w:tcW w:w="4536" w:type="dxa"/>
            <w:gridSpan w:val="3"/>
            <w:tcBorders>
              <w:top w:val="single" w:sz="4" w:space="0" w:color="auto"/>
              <w:left w:val="nil"/>
              <w:bottom w:val="single" w:sz="4" w:space="0" w:color="auto"/>
              <w:right w:val="single" w:sz="4" w:space="0" w:color="auto"/>
            </w:tcBorders>
            <w:shd w:val="clear" w:color="auto" w:fill="auto"/>
            <w:vAlign w:val="center"/>
            <w:hideMark/>
          </w:tcPr>
          <w:p w:rsidR="003C117C" w:rsidRPr="008D21CC" w:rsidRDefault="003C117C" w:rsidP="00686726">
            <w:pPr>
              <w:jc w:val="center"/>
              <w:rPr>
                <w:b/>
                <w:bCs/>
                <w:color w:val="000000"/>
                <w:sz w:val="18"/>
                <w:szCs w:val="18"/>
                <w:lang w:eastAsia="uk-UA"/>
              </w:rPr>
            </w:pPr>
            <w:r w:rsidRPr="008D21CC">
              <w:rPr>
                <w:b/>
                <w:bCs/>
                <w:color w:val="000000"/>
                <w:sz w:val="18"/>
                <w:szCs w:val="18"/>
                <w:lang w:eastAsia="uk-UA"/>
              </w:rPr>
              <w:t>державний бюджет</w:t>
            </w:r>
          </w:p>
        </w:tc>
      </w:tr>
      <w:tr w:rsidR="003C117C" w:rsidRPr="008D21CC" w:rsidTr="003C117C">
        <w:trPr>
          <w:trHeight w:val="1231"/>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3C117C" w:rsidRPr="008D21CC" w:rsidRDefault="003C117C" w:rsidP="00686726">
            <w:pPr>
              <w:jc w:val="left"/>
              <w:rPr>
                <w:b/>
                <w:bCs/>
                <w:color w:val="000000"/>
                <w:sz w:val="18"/>
                <w:szCs w:val="18"/>
                <w:lang w:eastAsia="uk-U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C117C" w:rsidRPr="008D21CC" w:rsidRDefault="003C117C" w:rsidP="00686726">
            <w:pPr>
              <w:jc w:val="left"/>
              <w:rPr>
                <w:b/>
                <w:bCs/>
                <w:color w:val="000000"/>
                <w:sz w:val="18"/>
                <w:szCs w:val="18"/>
                <w:lang w:eastAsia="uk-UA"/>
              </w:rPr>
            </w:pPr>
          </w:p>
        </w:tc>
        <w:tc>
          <w:tcPr>
            <w:tcW w:w="1417" w:type="dxa"/>
            <w:vMerge/>
            <w:tcBorders>
              <w:top w:val="nil"/>
              <w:left w:val="single" w:sz="4" w:space="0" w:color="auto"/>
              <w:bottom w:val="single" w:sz="4" w:space="0" w:color="auto"/>
              <w:right w:val="single" w:sz="4" w:space="0" w:color="auto"/>
            </w:tcBorders>
            <w:vAlign w:val="center"/>
            <w:hideMark/>
          </w:tcPr>
          <w:p w:rsidR="003C117C" w:rsidRPr="008D21CC" w:rsidRDefault="003C117C" w:rsidP="00686726">
            <w:pPr>
              <w:jc w:val="left"/>
              <w:rPr>
                <w:b/>
                <w:bCs/>
                <w:color w:val="000000"/>
                <w:sz w:val="18"/>
                <w:szCs w:val="18"/>
                <w:lang w:eastAsia="uk-UA"/>
              </w:rPr>
            </w:pPr>
          </w:p>
        </w:tc>
        <w:tc>
          <w:tcPr>
            <w:tcW w:w="1418" w:type="dxa"/>
            <w:tcBorders>
              <w:top w:val="nil"/>
              <w:left w:val="nil"/>
              <w:bottom w:val="single" w:sz="4" w:space="0" w:color="auto"/>
              <w:right w:val="single" w:sz="4" w:space="0" w:color="auto"/>
            </w:tcBorders>
            <w:shd w:val="clear" w:color="auto" w:fill="auto"/>
            <w:vAlign w:val="center"/>
            <w:hideMark/>
          </w:tcPr>
          <w:p w:rsidR="003C117C" w:rsidRPr="008D21CC" w:rsidRDefault="003C117C" w:rsidP="00686726">
            <w:pPr>
              <w:jc w:val="center"/>
              <w:rPr>
                <w:b/>
                <w:bCs/>
                <w:color w:val="000000"/>
                <w:sz w:val="18"/>
                <w:szCs w:val="18"/>
                <w:lang w:eastAsia="uk-UA"/>
              </w:rPr>
            </w:pPr>
            <w:r w:rsidRPr="008D21CC">
              <w:rPr>
                <w:b/>
                <w:bCs/>
                <w:color w:val="000000"/>
                <w:sz w:val="18"/>
                <w:szCs w:val="18"/>
                <w:lang w:eastAsia="uk-UA"/>
              </w:rPr>
              <w:t>освітня субвенція</w:t>
            </w:r>
          </w:p>
        </w:tc>
        <w:tc>
          <w:tcPr>
            <w:tcW w:w="1417" w:type="dxa"/>
            <w:tcBorders>
              <w:top w:val="nil"/>
              <w:left w:val="nil"/>
              <w:bottom w:val="single" w:sz="4" w:space="0" w:color="auto"/>
              <w:right w:val="single" w:sz="4" w:space="0" w:color="auto"/>
            </w:tcBorders>
            <w:shd w:val="clear" w:color="auto" w:fill="auto"/>
            <w:vAlign w:val="center"/>
            <w:hideMark/>
          </w:tcPr>
          <w:p w:rsidR="003C117C" w:rsidRPr="008D21CC" w:rsidRDefault="003C117C" w:rsidP="00686726">
            <w:pPr>
              <w:jc w:val="center"/>
              <w:rPr>
                <w:b/>
                <w:bCs/>
                <w:color w:val="000000"/>
                <w:sz w:val="18"/>
                <w:szCs w:val="18"/>
                <w:lang w:eastAsia="uk-UA"/>
              </w:rPr>
            </w:pPr>
            <w:r w:rsidRPr="008D21CC">
              <w:rPr>
                <w:b/>
                <w:bCs/>
                <w:color w:val="000000"/>
                <w:sz w:val="18"/>
                <w:szCs w:val="18"/>
                <w:lang w:eastAsia="uk-UA"/>
              </w:rPr>
              <w:t>відновлення поточної діяльності</w:t>
            </w:r>
          </w:p>
        </w:tc>
        <w:tc>
          <w:tcPr>
            <w:tcW w:w="1701" w:type="dxa"/>
            <w:tcBorders>
              <w:top w:val="nil"/>
              <w:left w:val="nil"/>
              <w:bottom w:val="single" w:sz="4" w:space="0" w:color="auto"/>
              <w:right w:val="single" w:sz="4" w:space="0" w:color="auto"/>
            </w:tcBorders>
            <w:shd w:val="clear" w:color="auto" w:fill="auto"/>
            <w:vAlign w:val="center"/>
            <w:hideMark/>
          </w:tcPr>
          <w:p w:rsidR="003C117C" w:rsidRPr="008D21CC" w:rsidRDefault="003C117C" w:rsidP="00686726">
            <w:pPr>
              <w:jc w:val="center"/>
              <w:rPr>
                <w:b/>
                <w:bCs/>
                <w:color w:val="000000"/>
                <w:sz w:val="18"/>
                <w:szCs w:val="18"/>
                <w:lang w:eastAsia="uk-UA"/>
              </w:rPr>
            </w:pPr>
            <w:r w:rsidRPr="008D21CC">
              <w:rPr>
                <w:b/>
                <w:bCs/>
                <w:color w:val="000000"/>
                <w:sz w:val="18"/>
                <w:szCs w:val="18"/>
                <w:lang w:eastAsia="uk-UA"/>
              </w:rPr>
              <w:t>капітальні видатки, проекти розвитку</w:t>
            </w:r>
          </w:p>
        </w:tc>
      </w:tr>
      <w:tr w:rsidR="003C117C" w:rsidRPr="008D21CC" w:rsidTr="003C117C">
        <w:trPr>
          <w:trHeight w:val="288"/>
        </w:trPr>
        <w:tc>
          <w:tcPr>
            <w:tcW w:w="963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3C117C" w:rsidRPr="008D21CC" w:rsidRDefault="003C117C" w:rsidP="00686726">
            <w:pPr>
              <w:jc w:val="center"/>
              <w:rPr>
                <w:b/>
                <w:bCs/>
                <w:color w:val="000000"/>
                <w:sz w:val="18"/>
                <w:szCs w:val="18"/>
                <w:lang w:eastAsia="uk-UA"/>
              </w:rPr>
            </w:pPr>
            <w:r w:rsidRPr="008D21CC">
              <w:rPr>
                <w:b/>
                <w:bCs/>
                <w:color w:val="000000"/>
                <w:sz w:val="18"/>
                <w:szCs w:val="18"/>
                <w:lang w:eastAsia="uk-UA"/>
              </w:rPr>
              <w:t>РОЗПОРЯДНИКИ БЮДЖЕТНИХ КОШТІВ:</w:t>
            </w:r>
          </w:p>
        </w:tc>
      </w:tr>
      <w:tr w:rsidR="003C117C" w:rsidRPr="003E43BE" w:rsidTr="003C117C">
        <w:trPr>
          <w:trHeight w:val="288"/>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b/>
                <w:bCs/>
                <w:color w:val="000000"/>
                <w:sz w:val="18"/>
                <w:szCs w:val="18"/>
                <w:lang w:eastAsia="uk-UA"/>
              </w:rPr>
            </w:pPr>
            <w:r w:rsidRPr="008D21CC">
              <w:rPr>
                <w:b/>
                <w:bCs/>
                <w:color w:val="000000"/>
                <w:sz w:val="18"/>
                <w:szCs w:val="18"/>
                <w:lang w:eastAsia="uk-UA"/>
              </w:rPr>
              <w:t>Управління освіти</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117C" w:rsidRPr="00B77354" w:rsidRDefault="003C117C" w:rsidP="003C117C">
            <w:pPr>
              <w:jc w:val="left"/>
              <w:rPr>
                <w:b/>
                <w:bCs/>
                <w:color w:val="000000"/>
                <w:sz w:val="18"/>
                <w:szCs w:val="18"/>
                <w:lang w:eastAsia="uk-UA"/>
              </w:rPr>
            </w:pPr>
            <w:r w:rsidRPr="00B77354">
              <w:rPr>
                <w:b/>
                <w:bCs/>
                <w:color w:val="000000"/>
                <w:sz w:val="18"/>
                <w:szCs w:val="18"/>
              </w:rPr>
              <w:t xml:space="preserve">4 113 274 198,25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207 815 143,00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sz w:val="18"/>
                <w:szCs w:val="18"/>
              </w:rPr>
            </w:pPr>
            <w:r w:rsidRPr="00B77354">
              <w:rPr>
                <w:b/>
                <w:bCs/>
                <w:sz w:val="18"/>
                <w:szCs w:val="18"/>
              </w:rPr>
              <w:t xml:space="preserve">132 822 900,00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8 686 380,95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3C117C" w:rsidRPr="003E43BE" w:rsidRDefault="003C117C" w:rsidP="00686726">
            <w:pPr>
              <w:jc w:val="right"/>
              <w:rPr>
                <w:b/>
                <w:bCs/>
                <w:sz w:val="18"/>
                <w:szCs w:val="18"/>
              </w:rPr>
            </w:pPr>
            <w:r w:rsidRPr="003E43BE">
              <w:rPr>
                <w:b/>
                <w:bCs/>
                <w:sz w:val="18"/>
                <w:szCs w:val="18"/>
              </w:rPr>
              <w:t xml:space="preserve">3 763 949 774,30 </w:t>
            </w:r>
          </w:p>
        </w:tc>
      </w:tr>
      <w:tr w:rsidR="003C117C" w:rsidRPr="003E43BE" w:rsidTr="003C117C">
        <w:trPr>
          <w:trHeight w:val="288"/>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СДЮК "Юність"</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C117C" w:rsidRPr="00B77354" w:rsidRDefault="003C117C" w:rsidP="00686726">
            <w:pPr>
              <w:jc w:val="right"/>
              <w:rPr>
                <w:color w:val="000000"/>
                <w:sz w:val="18"/>
                <w:szCs w:val="18"/>
              </w:rPr>
            </w:pPr>
            <w:r w:rsidRPr="00B77354">
              <w:rPr>
                <w:color w:val="000000"/>
                <w:sz w:val="18"/>
                <w:szCs w:val="18"/>
              </w:rPr>
              <w:t xml:space="preserve">65 297 375,00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color w:val="000000"/>
                <w:sz w:val="18"/>
                <w:szCs w:val="18"/>
              </w:rPr>
            </w:pPr>
            <w:r w:rsidRPr="00B77354">
              <w:rPr>
                <w:color w:val="000000"/>
                <w:sz w:val="18"/>
                <w:szCs w:val="18"/>
              </w:rPr>
              <w:t xml:space="preserve">9 484 384,00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left"/>
              <w:rPr>
                <w:color w:val="000000"/>
                <w:sz w:val="18"/>
                <w:szCs w:val="18"/>
              </w:rPr>
            </w:pPr>
            <w:r w:rsidRPr="00B77354">
              <w:rPr>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color w:val="000000"/>
                <w:sz w:val="18"/>
                <w:szCs w:val="18"/>
              </w:rPr>
            </w:pPr>
            <w:r w:rsidRPr="00B77354">
              <w:rPr>
                <w:color w:val="000000"/>
                <w:sz w:val="18"/>
                <w:szCs w:val="18"/>
              </w:rPr>
              <w:t xml:space="preserve">705 102,00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3E43BE" w:rsidRDefault="003C117C" w:rsidP="00686726">
            <w:pPr>
              <w:jc w:val="right"/>
              <w:rPr>
                <w:sz w:val="18"/>
                <w:szCs w:val="18"/>
              </w:rPr>
            </w:pPr>
            <w:r w:rsidRPr="003E43BE">
              <w:rPr>
                <w:sz w:val="18"/>
                <w:szCs w:val="18"/>
              </w:rPr>
              <w:t xml:space="preserve">55 107 889,00 </w:t>
            </w:r>
          </w:p>
        </w:tc>
      </w:tr>
      <w:tr w:rsidR="003C117C" w:rsidRPr="008D21CC" w:rsidTr="003C117C">
        <w:trPr>
          <w:trHeight w:val="288"/>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b/>
                <w:bCs/>
                <w:color w:val="000000"/>
                <w:sz w:val="18"/>
                <w:szCs w:val="18"/>
                <w:lang w:eastAsia="uk-UA"/>
              </w:rPr>
            </w:pPr>
            <w:r w:rsidRPr="008D21CC">
              <w:rPr>
                <w:b/>
                <w:bCs/>
                <w:color w:val="000000"/>
                <w:sz w:val="18"/>
                <w:szCs w:val="18"/>
                <w:lang w:eastAsia="uk-UA"/>
              </w:rPr>
              <w:t>Управління охорони здоров'я</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5 807 800,00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4 897 000,00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left"/>
              <w:rPr>
                <w:b/>
                <w:bCs/>
                <w:color w:val="000000"/>
                <w:sz w:val="18"/>
                <w:szCs w:val="18"/>
              </w:rPr>
            </w:pPr>
            <w:r w:rsidRPr="00B77354">
              <w:rPr>
                <w:b/>
                <w:bCs/>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910 800,00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0,00 </w:t>
            </w:r>
          </w:p>
        </w:tc>
      </w:tr>
      <w:tr w:rsidR="003C117C" w:rsidRPr="008D21CC" w:rsidTr="003C117C">
        <w:trPr>
          <w:trHeight w:val="288"/>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3C117C" w:rsidRPr="008D21CC" w:rsidRDefault="003C117C" w:rsidP="00686726">
            <w:pPr>
              <w:jc w:val="left"/>
              <w:rPr>
                <w:b/>
                <w:bCs/>
                <w:color w:val="000000"/>
                <w:sz w:val="18"/>
                <w:szCs w:val="18"/>
                <w:lang w:eastAsia="uk-UA"/>
              </w:rPr>
            </w:pPr>
            <w:r w:rsidRPr="008D21CC">
              <w:rPr>
                <w:b/>
                <w:bCs/>
                <w:color w:val="000000"/>
                <w:sz w:val="18"/>
                <w:szCs w:val="18"/>
                <w:lang w:eastAsia="uk-UA"/>
              </w:rPr>
              <w:t>Управління соціального захисту населення</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313 863 330,50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31 130 734,00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left"/>
              <w:rPr>
                <w:b/>
                <w:bCs/>
                <w:color w:val="000000"/>
                <w:sz w:val="18"/>
                <w:szCs w:val="18"/>
              </w:rPr>
            </w:pPr>
            <w:r w:rsidRPr="00B77354">
              <w:rPr>
                <w:b/>
                <w:bCs/>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11 418 955,20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271 313 641,30 </w:t>
            </w:r>
          </w:p>
        </w:tc>
      </w:tr>
      <w:tr w:rsidR="003C117C" w:rsidRPr="008D21CC" w:rsidTr="003C117C">
        <w:trPr>
          <w:trHeight w:val="564"/>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КЗ "Сєвєродонецький міський центр соціальних служб"</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C117C" w:rsidRPr="00B77354" w:rsidRDefault="003C117C" w:rsidP="00686726">
            <w:pPr>
              <w:jc w:val="right"/>
              <w:rPr>
                <w:color w:val="000000"/>
                <w:sz w:val="18"/>
                <w:szCs w:val="18"/>
              </w:rPr>
            </w:pPr>
            <w:r w:rsidRPr="00B77354">
              <w:rPr>
                <w:color w:val="000000"/>
                <w:sz w:val="18"/>
                <w:szCs w:val="18"/>
              </w:rPr>
              <w:t xml:space="preserve">11 880 741,42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color w:val="000000"/>
                <w:sz w:val="18"/>
                <w:szCs w:val="18"/>
              </w:rPr>
            </w:pPr>
            <w:r w:rsidRPr="00B77354">
              <w:rPr>
                <w:color w:val="000000"/>
                <w:sz w:val="18"/>
                <w:szCs w:val="18"/>
              </w:rPr>
              <w:t xml:space="preserve">3 047 499,46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left"/>
              <w:rPr>
                <w:color w:val="000000"/>
                <w:sz w:val="18"/>
                <w:szCs w:val="18"/>
              </w:rPr>
            </w:pPr>
            <w:r w:rsidRPr="00B77354">
              <w:rPr>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color w:val="000000"/>
                <w:sz w:val="18"/>
                <w:szCs w:val="18"/>
              </w:rPr>
            </w:pPr>
            <w:r w:rsidRPr="00B77354">
              <w:rPr>
                <w:color w:val="000000"/>
                <w:sz w:val="18"/>
                <w:szCs w:val="18"/>
              </w:rPr>
              <w:t xml:space="preserve">1 347 541,96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color w:val="000000"/>
                <w:sz w:val="18"/>
                <w:szCs w:val="18"/>
              </w:rPr>
            </w:pPr>
            <w:r w:rsidRPr="00B77354">
              <w:rPr>
                <w:color w:val="000000"/>
                <w:sz w:val="18"/>
                <w:szCs w:val="18"/>
              </w:rPr>
              <w:t xml:space="preserve">7 485 700,00 </w:t>
            </w:r>
          </w:p>
        </w:tc>
      </w:tr>
      <w:tr w:rsidR="003C117C" w:rsidRPr="008D21CC" w:rsidTr="003C117C">
        <w:trPr>
          <w:trHeight w:val="576"/>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Територіальний  центр соціального обслуговування (надання соціальних послуг)</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C117C" w:rsidRPr="00B77354" w:rsidRDefault="003C117C" w:rsidP="00686726">
            <w:pPr>
              <w:jc w:val="right"/>
              <w:rPr>
                <w:color w:val="000000"/>
                <w:sz w:val="18"/>
                <w:szCs w:val="18"/>
              </w:rPr>
            </w:pPr>
            <w:r w:rsidRPr="00B77354">
              <w:rPr>
                <w:color w:val="000000"/>
                <w:sz w:val="18"/>
                <w:szCs w:val="18"/>
              </w:rPr>
              <w:t xml:space="preserve">24 375 815,28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color w:val="000000"/>
                <w:sz w:val="18"/>
                <w:szCs w:val="18"/>
              </w:rPr>
            </w:pPr>
            <w:r w:rsidRPr="00B77354">
              <w:rPr>
                <w:color w:val="000000"/>
                <w:sz w:val="18"/>
                <w:szCs w:val="18"/>
              </w:rPr>
              <w:t xml:space="preserve">15 723 861,29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left"/>
              <w:rPr>
                <w:color w:val="000000"/>
                <w:sz w:val="18"/>
                <w:szCs w:val="18"/>
              </w:rPr>
            </w:pPr>
            <w:r w:rsidRPr="00B77354">
              <w:rPr>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color w:val="000000"/>
                <w:sz w:val="18"/>
                <w:szCs w:val="18"/>
              </w:rPr>
            </w:pPr>
            <w:r w:rsidRPr="00B77354">
              <w:rPr>
                <w:color w:val="000000"/>
                <w:sz w:val="18"/>
                <w:szCs w:val="18"/>
              </w:rPr>
              <w:t xml:space="preserve">6 693 059,99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color w:val="000000"/>
                <w:sz w:val="18"/>
                <w:szCs w:val="18"/>
              </w:rPr>
            </w:pPr>
            <w:r w:rsidRPr="00B77354">
              <w:rPr>
                <w:color w:val="000000"/>
                <w:sz w:val="18"/>
                <w:szCs w:val="18"/>
              </w:rPr>
              <w:t xml:space="preserve">1 958 894,00 </w:t>
            </w:r>
          </w:p>
        </w:tc>
      </w:tr>
      <w:tr w:rsidR="003C117C" w:rsidRPr="008D21CC" w:rsidTr="003C117C">
        <w:trPr>
          <w:trHeight w:val="564"/>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Центр комплексної реабілітації для дітей та осіб з інвалідністю</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C117C" w:rsidRPr="00B77354" w:rsidRDefault="003C117C" w:rsidP="00686726">
            <w:pPr>
              <w:jc w:val="right"/>
              <w:rPr>
                <w:color w:val="000000"/>
                <w:sz w:val="18"/>
                <w:szCs w:val="18"/>
              </w:rPr>
            </w:pPr>
            <w:r w:rsidRPr="00B77354">
              <w:rPr>
                <w:color w:val="000000"/>
                <w:sz w:val="18"/>
                <w:szCs w:val="18"/>
              </w:rPr>
              <w:t xml:space="preserve">145 603 560,00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color w:val="000000"/>
                <w:sz w:val="18"/>
                <w:szCs w:val="18"/>
              </w:rPr>
            </w:pPr>
            <w:r w:rsidRPr="00B77354">
              <w:rPr>
                <w:color w:val="000000"/>
                <w:sz w:val="18"/>
                <w:szCs w:val="18"/>
              </w:rPr>
              <w:t xml:space="preserve">8 360 800,00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left"/>
              <w:rPr>
                <w:color w:val="000000"/>
                <w:sz w:val="18"/>
                <w:szCs w:val="18"/>
              </w:rPr>
            </w:pPr>
            <w:r w:rsidRPr="00B77354">
              <w:rPr>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color w:val="000000"/>
                <w:sz w:val="18"/>
                <w:szCs w:val="18"/>
              </w:rPr>
            </w:pPr>
            <w:r w:rsidRPr="00B77354">
              <w:rPr>
                <w:color w:val="000000"/>
                <w:sz w:val="18"/>
                <w:szCs w:val="18"/>
              </w:rPr>
              <w:t xml:space="preserve">9 027 760,00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color w:val="000000"/>
                <w:sz w:val="18"/>
                <w:szCs w:val="18"/>
              </w:rPr>
            </w:pPr>
            <w:r w:rsidRPr="00B77354">
              <w:rPr>
                <w:color w:val="000000"/>
                <w:sz w:val="18"/>
                <w:szCs w:val="18"/>
              </w:rPr>
              <w:t xml:space="preserve">128 215 000,00 </w:t>
            </w:r>
          </w:p>
        </w:tc>
      </w:tr>
      <w:tr w:rsidR="003C117C" w:rsidRPr="008D21CC" w:rsidTr="003C117C">
        <w:trPr>
          <w:trHeight w:val="288"/>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3C117C" w:rsidRPr="008D21CC" w:rsidRDefault="003C117C" w:rsidP="00686726">
            <w:pPr>
              <w:jc w:val="left"/>
              <w:rPr>
                <w:b/>
                <w:bCs/>
                <w:color w:val="000000"/>
                <w:sz w:val="18"/>
                <w:szCs w:val="18"/>
                <w:lang w:eastAsia="uk-UA"/>
              </w:rPr>
            </w:pPr>
            <w:r w:rsidRPr="008D21CC">
              <w:rPr>
                <w:b/>
                <w:bCs/>
                <w:color w:val="000000"/>
                <w:sz w:val="18"/>
                <w:szCs w:val="18"/>
                <w:lang w:eastAsia="uk-UA"/>
              </w:rPr>
              <w:t>Відділ культури</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2 902 941 394,00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55 303 692,00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left"/>
              <w:rPr>
                <w:b/>
                <w:bCs/>
                <w:color w:val="000000"/>
                <w:sz w:val="18"/>
                <w:szCs w:val="18"/>
              </w:rPr>
            </w:pPr>
            <w:r w:rsidRPr="00B77354">
              <w:rPr>
                <w:b/>
                <w:bCs/>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192 637 702,00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2 655 000 000,00 </w:t>
            </w:r>
          </w:p>
        </w:tc>
      </w:tr>
      <w:tr w:rsidR="003C117C" w:rsidRPr="008D21CC" w:rsidTr="003C117C">
        <w:trPr>
          <w:trHeight w:val="288"/>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3C117C" w:rsidRPr="008D21CC" w:rsidRDefault="003C117C" w:rsidP="00686726">
            <w:pPr>
              <w:jc w:val="left"/>
              <w:rPr>
                <w:b/>
                <w:bCs/>
                <w:color w:val="000000"/>
                <w:sz w:val="18"/>
                <w:szCs w:val="18"/>
                <w:lang w:eastAsia="uk-UA"/>
              </w:rPr>
            </w:pPr>
            <w:r w:rsidRPr="008D21CC">
              <w:rPr>
                <w:b/>
                <w:bCs/>
                <w:color w:val="000000"/>
                <w:sz w:val="18"/>
                <w:szCs w:val="18"/>
                <w:lang w:eastAsia="uk-UA"/>
              </w:rPr>
              <w:t>Відділ молоді та спорту</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2 077 272 267,04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25 818 702,04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left"/>
              <w:rPr>
                <w:b/>
                <w:bCs/>
                <w:color w:val="000000"/>
                <w:sz w:val="18"/>
                <w:szCs w:val="18"/>
              </w:rPr>
            </w:pPr>
            <w:r w:rsidRPr="00B77354">
              <w:rPr>
                <w:b/>
                <w:bCs/>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37 674 565,00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2 013 779 000,00 </w:t>
            </w:r>
          </w:p>
        </w:tc>
      </w:tr>
      <w:tr w:rsidR="003C117C" w:rsidRPr="008D21CC" w:rsidTr="003C117C">
        <w:trPr>
          <w:trHeight w:val="288"/>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КДЮСШ 4</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C117C" w:rsidRPr="00B77354" w:rsidRDefault="003C117C" w:rsidP="00686726">
            <w:pPr>
              <w:jc w:val="right"/>
              <w:rPr>
                <w:color w:val="000000"/>
                <w:sz w:val="18"/>
                <w:szCs w:val="18"/>
              </w:rPr>
            </w:pPr>
            <w:r w:rsidRPr="00B77354">
              <w:rPr>
                <w:color w:val="000000"/>
                <w:sz w:val="18"/>
                <w:szCs w:val="18"/>
              </w:rPr>
              <w:t xml:space="preserve">113 413 602,00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color w:val="000000"/>
                <w:sz w:val="18"/>
                <w:szCs w:val="18"/>
              </w:rPr>
            </w:pPr>
            <w:r w:rsidRPr="00B77354">
              <w:rPr>
                <w:color w:val="000000"/>
                <w:sz w:val="18"/>
                <w:szCs w:val="18"/>
              </w:rPr>
              <w:t xml:space="preserve">20 849 943,00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left"/>
              <w:rPr>
                <w:color w:val="000000"/>
                <w:sz w:val="18"/>
                <w:szCs w:val="18"/>
              </w:rPr>
            </w:pPr>
            <w:r w:rsidRPr="00B77354">
              <w:rPr>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color w:val="000000"/>
                <w:sz w:val="18"/>
                <w:szCs w:val="18"/>
              </w:rPr>
            </w:pPr>
            <w:r w:rsidRPr="00B77354">
              <w:rPr>
                <w:color w:val="000000"/>
                <w:sz w:val="18"/>
                <w:szCs w:val="18"/>
              </w:rPr>
              <w:t xml:space="preserve">11 524 059,00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color w:val="000000"/>
                <w:sz w:val="18"/>
                <w:szCs w:val="18"/>
              </w:rPr>
            </w:pPr>
            <w:r w:rsidRPr="00B77354">
              <w:rPr>
                <w:color w:val="000000"/>
                <w:sz w:val="18"/>
                <w:szCs w:val="18"/>
              </w:rPr>
              <w:t xml:space="preserve">81 039 600,00 </w:t>
            </w:r>
          </w:p>
        </w:tc>
      </w:tr>
      <w:tr w:rsidR="003C117C" w:rsidRPr="008D21CC" w:rsidTr="003C117C">
        <w:trPr>
          <w:trHeight w:val="288"/>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ДЮСШ ВВС "Садко"</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C117C" w:rsidRPr="00B77354" w:rsidRDefault="003C117C" w:rsidP="00686726">
            <w:pPr>
              <w:jc w:val="right"/>
              <w:rPr>
                <w:color w:val="000000"/>
                <w:sz w:val="18"/>
                <w:szCs w:val="18"/>
              </w:rPr>
            </w:pPr>
            <w:r w:rsidRPr="00B77354">
              <w:rPr>
                <w:color w:val="000000"/>
                <w:sz w:val="18"/>
                <w:szCs w:val="18"/>
              </w:rPr>
              <w:t xml:space="preserve">39 742 811,64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color w:val="000000"/>
                <w:sz w:val="18"/>
                <w:szCs w:val="18"/>
              </w:rPr>
            </w:pPr>
            <w:r w:rsidRPr="00B77354">
              <w:rPr>
                <w:color w:val="000000"/>
                <w:sz w:val="18"/>
                <w:szCs w:val="18"/>
              </w:rPr>
              <w:t xml:space="preserve">9 626 602,84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left"/>
              <w:rPr>
                <w:color w:val="000000"/>
                <w:sz w:val="18"/>
                <w:szCs w:val="18"/>
              </w:rPr>
            </w:pPr>
            <w:r w:rsidRPr="00B77354">
              <w:rPr>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color w:val="000000"/>
                <w:sz w:val="18"/>
                <w:szCs w:val="18"/>
              </w:rPr>
            </w:pPr>
            <w:r w:rsidRPr="00B77354">
              <w:rPr>
                <w:color w:val="000000"/>
                <w:sz w:val="18"/>
                <w:szCs w:val="18"/>
              </w:rPr>
              <w:t xml:space="preserve">7 265 708,80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color w:val="000000"/>
                <w:sz w:val="18"/>
                <w:szCs w:val="18"/>
              </w:rPr>
            </w:pPr>
            <w:r w:rsidRPr="00B77354">
              <w:rPr>
                <w:color w:val="000000"/>
                <w:sz w:val="18"/>
                <w:szCs w:val="18"/>
              </w:rPr>
              <w:t xml:space="preserve">22 850 500,00 </w:t>
            </w:r>
          </w:p>
        </w:tc>
      </w:tr>
      <w:tr w:rsidR="003C117C" w:rsidRPr="008D21CC" w:rsidTr="003C117C">
        <w:trPr>
          <w:trHeight w:val="288"/>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3C117C" w:rsidRPr="008D21CC" w:rsidRDefault="003C117C" w:rsidP="00686726">
            <w:pPr>
              <w:jc w:val="left"/>
              <w:rPr>
                <w:b/>
                <w:bCs/>
                <w:color w:val="000000"/>
                <w:sz w:val="18"/>
                <w:szCs w:val="18"/>
                <w:lang w:eastAsia="uk-UA"/>
              </w:rPr>
            </w:pPr>
            <w:r w:rsidRPr="008D21CC">
              <w:rPr>
                <w:b/>
                <w:bCs/>
                <w:color w:val="000000"/>
                <w:sz w:val="18"/>
                <w:szCs w:val="18"/>
                <w:lang w:eastAsia="uk-UA"/>
              </w:rPr>
              <w:t xml:space="preserve">Управління житлово-комунального господарства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986 247 957,97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13 112 954,97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left"/>
              <w:rPr>
                <w:b/>
                <w:bCs/>
                <w:color w:val="000000"/>
                <w:sz w:val="18"/>
                <w:szCs w:val="18"/>
              </w:rPr>
            </w:pPr>
            <w:r w:rsidRPr="00B77354">
              <w:rPr>
                <w:b/>
                <w:bCs/>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5 647 523,00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sz w:val="18"/>
                <w:szCs w:val="18"/>
              </w:rPr>
            </w:pPr>
            <w:r w:rsidRPr="00B77354">
              <w:rPr>
                <w:b/>
                <w:bCs/>
                <w:sz w:val="18"/>
                <w:szCs w:val="18"/>
              </w:rPr>
              <w:t xml:space="preserve">967 487 480,00 </w:t>
            </w:r>
          </w:p>
        </w:tc>
      </w:tr>
      <w:tr w:rsidR="003C117C" w:rsidRPr="008D21CC" w:rsidTr="003C117C">
        <w:trPr>
          <w:trHeight w:val="288"/>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3C117C" w:rsidRPr="008D21CC" w:rsidRDefault="003C117C" w:rsidP="00686726">
            <w:pPr>
              <w:jc w:val="left"/>
              <w:rPr>
                <w:b/>
                <w:bCs/>
                <w:color w:val="000000"/>
                <w:sz w:val="18"/>
                <w:szCs w:val="18"/>
                <w:lang w:eastAsia="uk-UA"/>
              </w:rPr>
            </w:pPr>
            <w:r w:rsidRPr="008D21CC">
              <w:rPr>
                <w:b/>
                <w:bCs/>
                <w:color w:val="000000"/>
                <w:sz w:val="18"/>
                <w:szCs w:val="18"/>
                <w:lang w:eastAsia="uk-UA"/>
              </w:rPr>
              <w:t>Відділ капітального будівництва</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10 616 122,21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3 000 748,21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left"/>
              <w:rPr>
                <w:b/>
                <w:bCs/>
                <w:color w:val="000000"/>
                <w:sz w:val="18"/>
                <w:szCs w:val="18"/>
              </w:rPr>
            </w:pPr>
            <w:r w:rsidRPr="00B77354">
              <w:rPr>
                <w:b/>
                <w:bCs/>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1 521 264,00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6 094 110,00 </w:t>
            </w:r>
          </w:p>
        </w:tc>
      </w:tr>
      <w:tr w:rsidR="003C117C" w:rsidRPr="008D21CC" w:rsidTr="003C117C">
        <w:trPr>
          <w:trHeight w:val="288"/>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b/>
                <w:bCs/>
                <w:color w:val="000000"/>
                <w:sz w:val="18"/>
                <w:szCs w:val="18"/>
                <w:lang w:eastAsia="uk-UA"/>
              </w:rPr>
            </w:pPr>
            <w:r w:rsidRPr="008D21CC">
              <w:rPr>
                <w:b/>
                <w:bCs/>
                <w:color w:val="000000"/>
                <w:sz w:val="18"/>
                <w:szCs w:val="18"/>
                <w:lang w:eastAsia="uk-UA"/>
              </w:rPr>
              <w:t>Фонд комунального майна</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98 188 883,00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5 848 087,00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left"/>
              <w:rPr>
                <w:b/>
                <w:bCs/>
                <w:color w:val="000000"/>
                <w:sz w:val="18"/>
                <w:szCs w:val="18"/>
              </w:rPr>
            </w:pPr>
            <w:r w:rsidRPr="00B77354">
              <w:rPr>
                <w:b/>
                <w:bCs/>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2 201 000,00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90 139 796,00 </w:t>
            </w:r>
          </w:p>
        </w:tc>
      </w:tr>
      <w:tr w:rsidR="003C117C" w:rsidRPr="008D21CC" w:rsidTr="003C117C">
        <w:trPr>
          <w:trHeight w:val="288"/>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b/>
                <w:bCs/>
                <w:color w:val="000000"/>
                <w:sz w:val="18"/>
                <w:szCs w:val="18"/>
                <w:lang w:eastAsia="uk-UA"/>
              </w:rPr>
            </w:pPr>
            <w:r w:rsidRPr="008D21CC">
              <w:rPr>
                <w:b/>
                <w:bCs/>
                <w:color w:val="000000"/>
                <w:sz w:val="18"/>
                <w:szCs w:val="18"/>
                <w:lang w:eastAsia="uk-UA"/>
              </w:rPr>
              <w:t>Фінансове управління</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10 596 894,00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6 514 770,00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left"/>
              <w:rPr>
                <w:b/>
                <w:bCs/>
                <w:color w:val="000000"/>
                <w:sz w:val="18"/>
                <w:szCs w:val="18"/>
              </w:rPr>
            </w:pPr>
            <w:r w:rsidRPr="00B77354">
              <w:rPr>
                <w:b/>
                <w:bCs/>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3 312 874,00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769 250,00 </w:t>
            </w:r>
          </w:p>
        </w:tc>
      </w:tr>
      <w:tr w:rsidR="003C117C" w:rsidRPr="008D21CC" w:rsidTr="003C117C">
        <w:trPr>
          <w:trHeight w:val="288"/>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b/>
                <w:bCs/>
                <w:color w:val="000000"/>
                <w:sz w:val="18"/>
                <w:szCs w:val="18"/>
                <w:lang w:eastAsia="uk-UA"/>
              </w:rPr>
            </w:pPr>
            <w:r w:rsidRPr="008D21CC">
              <w:rPr>
                <w:b/>
                <w:bCs/>
                <w:color w:val="000000"/>
                <w:sz w:val="18"/>
                <w:szCs w:val="18"/>
                <w:lang w:eastAsia="uk-UA"/>
              </w:rPr>
              <w:t>Військова адміністрація</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228 026 699,46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54 454 379,86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left"/>
              <w:rPr>
                <w:b/>
                <w:bCs/>
                <w:color w:val="000000"/>
                <w:sz w:val="18"/>
                <w:szCs w:val="18"/>
              </w:rPr>
            </w:pPr>
            <w:r w:rsidRPr="00B77354">
              <w:rPr>
                <w:b/>
                <w:bCs/>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27 260 762,00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146 311 557,60 </w:t>
            </w:r>
          </w:p>
        </w:tc>
      </w:tr>
      <w:tr w:rsidR="003C117C" w:rsidRPr="008D21CC" w:rsidTr="003C117C">
        <w:trPr>
          <w:trHeight w:val="288"/>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b/>
                <w:bCs/>
                <w:color w:val="000000"/>
                <w:sz w:val="18"/>
                <w:szCs w:val="18"/>
                <w:lang w:eastAsia="uk-UA"/>
              </w:rPr>
            </w:pPr>
            <w:r w:rsidRPr="008D21CC">
              <w:rPr>
                <w:b/>
                <w:bCs/>
                <w:color w:val="000000"/>
                <w:sz w:val="18"/>
                <w:szCs w:val="18"/>
                <w:lang w:eastAsia="uk-UA"/>
              </w:rPr>
              <w:t>Служба у справах дітей</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1 815 188,00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1 351 663,00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left"/>
              <w:rPr>
                <w:b/>
                <w:bCs/>
                <w:color w:val="000000"/>
                <w:sz w:val="18"/>
                <w:szCs w:val="18"/>
              </w:rPr>
            </w:pPr>
            <w:r w:rsidRPr="00B77354">
              <w:rPr>
                <w:b/>
                <w:bCs/>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463 525,00 </w:t>
            </w:r>
          </w:p>
        </w:tc>
        <w:tc>
          <w:tcPr>
            <w:tcW w:w="1701" w:type="dxa"/>
            <w:tcBorders>
              <w:top w:val="nil"/>
              <w:left w:val="nil"/>
              <w:bottom w:val="single" w:sz="4" w:space="0" w:color="auto"/>
              <w:right w:val="single" w:sz="4" w:space="0" w:color="auto"/>
            </w:tcBorders>
            <w:shd w:val="clear" w:color="000000" w:fill="FFFFFF"/>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0,00 </w:t>
            </w:r>
          </w:p>
        </w:tc>
      </w:tr>
      <w:tr w:rsidR="003C117C" w:rsidRPr="008D21CC" w:rsidTr="003C117C">
        <w:trPr>
          <w:trHeight w:val="288"/>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right"/>
              <w:rPr>
                <w:b/>
                <w:bCs/>
                <w:color w:val="000000"/>
                <w:sz w:val="18"/>
                <w:szCs w:val="18"/>
                <w:lang w:eastAsia="uk-UA"/>
              </w:rPr>
            </w:pPr>
            <w:r w:rsidRPr="008D21CC">
              <w:rPr>
                <w:b/>
                <w:bCs/>
                <w:color w:val="000000"/>
                <w:sz w:val="18"/>
                <w:szCs w:val="18"/>
                <w:lang w:eastAsia="uk-UA"/>
              </w:rPr>
              <w:t>РАЗОМ РОЗПОРЯДНИКИ:</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11 148 964 639,77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476 340 964,67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132 822 900,00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328 298 582,90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10 211 502 192,20 </w:t>
            </w:r>
          </w:p>
        </w:tc>
      </w:tr>
      <w:tr w:rsidR="003C117C" w:rsidRPr="008D21CC" w:rsidTr="003C117C">
        <w:trPr>
          <w:trHeight w:val="314"/>
        </w:trPr>
        <w:tc>
          <w:tcPr>
            <w:tcW w:w="9639" w:type="dxa"/>
            <w:gridSpan w:val="6"/>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spacing w:line="276" w:lineRule="auto"/>
              <w:jc w:val="center"/>
              <w:rPr>
                <w:b/>
                <w:bCs/>
                <w:color w:val="000000"/>
                <w:sz w:val="18"/>
                <w:szCs w:val="18"/>
                <w:lang w:eastAsia="uk-UA"/>
              </w:rPr>
            </w:pPr>
            <w:r w:rsidRPr="008D21CC">
              <w:rPr>
                <w:b/>
                <w:bCs/>
                <w:color w:val="000000"/>
                <w:sz w:val="18"/>
                <w:szCs w:val="18"/>
                <w:lang w:eastAsia="uk-UA"/>
              </w:rPr>
              <w:t>КОМУНАЛЬНІ НЕКОМЕРЦІЙНІ ПІДПРИЄМСТВА:</w:t>
            </w:r>
          </w:p>
          <w:p w:rsidR="003C117C" w:rsidRPr="008D21CC" w:rsidRDefault="003C117C" w:rsidP="00686726">
            <w:pPr>
              <w:jc w:val="center"/>
              <w:rPr>
                <w:b/>
                <w:bCs/>
                <w:color w:val="000000"/>
                <w:sz w:val="18"/>
                <w:szCs w:val="18"/>
                <w:lang w:eastAsia="uk-UA"/>
              </w:rPr>
            </w:pPr>
          </w:p>
        </w:tc>
      </w:tr>
      <w:tr w:rsidR="003C117C" w:rsidRPr="008D21CC" w:rsidTr="003C117C">
        <w:trPr>
          <w:trHeight w:val="288"/>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lastRenderedPageBreak/>
              <w:t>КНП "Консультативно-діагностичний центр"</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210 652 376,00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48 000 000,00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5 000 000,00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157 652 376,00 </w:t>
            </w:r>
          </w:p>
        </w:tc>
      </w:tr>
      <w:tr w:rsidR="003C117C" w:rsidRPr="008D21CC" w:rsidTr="003C117C">
        <w:trPr>
          <w:trHeight w:val="564"/>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КНП "Сєвєродонецька міська багатопрофільна лікарня"</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1 535 140 000,00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73 640 000,00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45 000 000,00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1 416 500 000,00 </w:t>
            </w:r>
          </w:p>
        </w:tc>
      </w:tr>
      <w:tr w:rsidR="003C117C" w:rsidRPr="008D21CC" w:rsidTr="003C117C">
        <w:trPr>
          <w:trHeight w:val="564"/>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КНП "Сєвєродонецький центр первинної медико-санітарної допомоги"</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347 533 200,00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55 000 000,00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3 586 790,00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288 946 410,00 </w:t>
            </w:r>
          </w:p>
        </w:tc>
      </w:tr>
      <w:tr w:rsidR="003C117C" w:rsidRPr="008D21CC" w:rsidTr="003C117C">
        <w:trPr>
          <w:trHeight w:val="288"/>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КНП "Міська стоматологічна поліклініка"</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82 760 560,00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11 340 560,00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900 000,00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70 520 000,00 </w:t>
            </w:r>
          </w:p>
        </w:tc>
      </w:tr>
      <w:tr w:rsidR="003C117C" w:rsidRPr="008D21CC" w:rsidTr="003C117C">
        <w:trPr>
          <w:trHeight w:val="288"/>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right"/>
              <w:rPr>
                <w:b/>
                <w:bCs/>
                <w:color w:val="000000"/>
                <w:sz w:val="18"/>
                <w:szCs w:val="18"/>
                <w:lang w:eastAsia="uk-UA"/>
              </w:rPr>
            </w:pPr>
            <w:r w:rsidRPr="008D21CC">
              <w:rPr>
                <w:b/>
                <w:bCs/>
                <w:color w:val="000000"/>
                <w:sz w:val="18"/>
                <w:szCs w:val="18"/>
                <w:lang w:eastAsia="uk-UA"/>
              </w:rPr>
              <w:t>РАЗОМ КНП:</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b/>
                <w:bCs/>
                <w:color w:val="000000"/>
                <w:sz w:val="18"/>
                <w:szCs w:val="18"/>
                <w:lang w:eastAsia="uk-UA"/>
              </w:rPr>
            </w:pPr>
            <w:r w:rsidRPr="008D21CC">
              <w:rPr>
                <w:b/>
                <w:bCs/>
                <w:color w:val="000000"/>
                <w:sz w:val="18"/>
                <w:szCs w:val="18"/>
                <w:lang w:eastAsia="uk-UA"/>
              </w:rPr>
              <w:t xml:space="preserve">2 176 086 136,00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b/>
                <w:bCs/>
                <w:color w:val="000000"/>
                <w:sz w:val="18"/>
                <w:szCs w:val="18"/>
                <w:lang w:eastAsia="uk-UA"/>
              </w:rPr>
            </w:pPr>
            <w:r w:rsidRPr="008D21CC">
              <w:rPr>
                <w:b/>
                <w:bCs/>
                <w:color w:val="000000"/>
                <w:sz w:val="18"/>
                <w:szCs w:val="18"/>
                <w:lang w:eastAsia="uk-UA"/>
              </w:rPr>
              <w:t xml:space="preserve">187 980 560,00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left"/>
              <w:rPr>
                <w:b/>
                <w:bCs/>
                <w:color w:val="000000"/>
                <w:sz w:val="18"/>
                <w:szCs w:val="18"/>
                <w:lang w:eastAsia="uk-UA"/>
              </w:rPr>
            </w:pPr>
            <w:r w:rsidRPr="008D21CC">
              <w:rPr>
                <w:b/>
                <w:bCs/>
                <w:color w:val="000000"/>
                <w:sz w:val="18"/>
                <w:szCs w:val="18"/>
                <w:lang w:eastAsia="uk-UA"/>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b/>
                <w:bCs/>
                <w:color w:val="000000"/>
                <w:sz w:val="18"/>
                <w:szCs w:val="18"/>
                <w:lang w:eastAsia="uk-UA"/>
              </w:rPr>
            </w:pPr>
            <w:r w:rsidRPr="008D21CC">
              <w:rPr>
                <w:b/>
                <w:bCs/>
                <w:color w:val="000000"/>
                <w:sz w:val="18"/>
                <w:szCs w:val="18"/>
                <w:lang w:eastAsia="uk-UA"/>
              </w:rPr>
              <w:t xml:space="preserve">54 486 790,00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b/>
                <w:bCs/>
                <w:color w:val="000000"/>
                <w:sz w:val="18"/>
                <w:szCs w:val="18"/>
                <w:lang w:eastAsia="uk-UA"/>
              </w:rPr>
            </w:pPr>
            <w:r w:rsidRPr="008D21CC">
              <w:rPr>
                <w:b/>
                <w:bCs/>
                <w:color w:val="000000"/>
                <w:sz w:val="18"/>
                <w:szCs w:val="18"/>
                <w:lang w:eastAsia="uk-UA"/>
              </w:rPr>
              <w:t xml:space="preserve">1 933 618 786,00 </w:t>
            </w:r>
          </w:p>
        </w:tc>
      </w:tr>
      <w:tr w:rsidR="003C117C" w:rsidRPr="008D21CC" w:rsidTr="003C117C">
        <w:trPr>
          <w:trHeight w:val="288"/>
        </w:trPr>
        <w:tc>
          <w:tcPr>
            <w:tcW w:w="9639" w:type="dxa"/>
            <w:gridSpan w:val="6"/>
            <w:tcBorders>
              <w:top w:val="nil"/>
              <w:left w:val="single" w:sz="4" w:space="0" w:color="auto"/>
              <w:bottom w:val="single" w:sz="4" w:space="0" w:color="auto"/>
              <w:right w:val="single" w:sz="4" w:space="0" w:color="auto"/>
            </w:tcBorders>
            <w:shd w:val="clear" w:color="auto" w:fill="auto"/>
            <w:noWrap/>
            <w:vAlign w:val="bottom"/>
            <w:hideMark/>
          </w:tcPr>
          <w:p w:rsidR="003C117C" w:rsidRPr="008D21CC" w:rsidRDefault="003C117C" w:rsidP="00686726">
            <w:pPr>
              <w:spacing w:line="276" w:lineRule="auto"/>
              <w:jc w:val="center"/>
              <w:rPr>
                <w:b/>
                <w:bCs/>
                <w:color w:val="000000"/>
                <w:sz w:val="18"/>
                <w:szCs w:val="18"/>
                <w:lang w:eastAsia="uk-UA"/>
              </w:rPr>
            </w:pPr>
            <w:r w:rsidRPr="008D21CC">
              <w:rPr>
                <w:b/>
                <w:bCs/>
                <w:color w:val="000000"/>
                <w:sz w:val="18"/>
                <w:szCs w:val="18"/>
                <w:lang w:eastAsia="uk-UA"/>
              </w:rPr>
              <w:t>КОМУНАЛЬНІ ПІДПРИЄМСТВА:</w:t>
            </w:r>
          </w:p>
          <w:p w:rsidR="003C117C" w:rsidRPr="008D21CC" w:rsidRDefault="003C117C" w:rsidP="00686726">
            <w:pPr>
              <w:spacing w:line="276" w:lineRule="auto"/>
              <w:jc w:val="left"/>
              <w:rPr>
                <w:b/>
                <w:bCs/>
                <w:color w:val="000000"/>
                <w:sz w:val="18"/>
                <w:szCs w:val="18"/>
                <w:lang w:eastAsia="uk-UA"/>
              </w:rPr>
            </w:pPr>
          </w:p>
        </w:tc>
      </w:tr>
      <w:tr w:rsidR="003C117C" w:rsidRPr="008D21CC" w:rsidTr="003C117C">
        <w:trPr>
          <w:trHeight w:val="288"/>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 xml:space="preserve">КУ "Трудовий архів </w:t>
            </w:r>
            <w:proofErr w:type="spellStart"/>
            <w:r w:rsidRPr="008D21CC">
              <w:rPr>
                <w:color w:val="000000"/>
                <w:sz w:val="18"/>
                <w:szCs w:val="18"/>
                <w:lang w:eastAsia="uk-UA"/>
              </w:rPr>
              <w:t>м.Сєвєродонецька</w:t>
            </w:r>
            <w:proofErr w:type="spellEnd"/>
            <w:r w:rsidRPr="008D21CC">
              <w:rPr>
                <w:color w:val="000000"/>
                <w:sz w:val="18"/>
                <w:szCs w:val="18"/>
                <w:lang w:eastAsia="uk-UA"/>
              </w:rPr>
              <w:t>"</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5 614 595,00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2 121 296,00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3 493 299,00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0,00 </w:t>
            </w:r>
          </w:p>
        </w:tc>
      </w:tr>
      <w:tr w:rsidR="003C117C" w:rsidRPr="008D21CC" w:rsidTr="003C117C">
        <w:trPr>
          <w:trHeight w:val="288"/>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КП "Землевпорядник"</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2 392 100,00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911 200,00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1 362 900,00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118 000,00 </w:t>
            </w:r>
          </w:p>
        </w:tc>
      </w:tr>
      <w:tr w:rsidR="003C117C" w:rsidRPr="008D21CC" w:rsidTr="003C117C">
        <w:trPr>
          <w:trHeight w:val="288"/>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КП "Зелене місто"</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5 648 720 462,55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7 547 385,00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2 729 347,55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5 638 443 730,00 </w:t>
            </w:r>
          </w:p>
        </w:tc>
      </w:tr>
      <w:tr w:rsidR="003C117C" w:rsidRPr="008D21CC" w:rsidTr="003C117C">
        <w:trPr>
          <w:trHeight w:val="564"/>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КП "</w:t>
            </w:r>
            <w:proofErr w:type="spellStart"/>
            <w:r w:rsidRPr="008D21CC">
              <w:rPr>
                <w:color w:val="000000"/>
                <w:sz w:val="18"/>
                <w:szCs w:val="18"/>
                <w:lang w:eastAsia="uk-UA"/>
              </w:rPr>
              <w:t>Сєвєродонецке</w:t>
            </w:r>
            <w:proofErr w:type="spellEnd"/>
            <w:r w:rsidRPr="008D21CC">
              <w:rPr>
                <w:color w:val="000000"/>
                <w:sz w:val="18"/>
                <w:szCs w:val="18"/>
                <w:lang w:eastAsia="uk-UA"/>
              </w:rPr>
              <w:t xml:space="preserve"> підприємство благоустрою та ритуальної служби"</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15 552 799,73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4 783 799,73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397 700,00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10 371 300,00 </w:t>
            </w:r>
          </w:p>
        </w:tc>
      </w:tr>
      <w:tr w:rsidR="003C117C" w:rsidRPr="008D21CC" w:rsidTr="003C117C">
        <w:trPr>
          <w:trHeight w:val="288"/>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КП "</w:t>
            </w:r>
            <w:proofErr w:type="spellStart"/>
            <w:r w:rsidRPr="008D21CC">
              <w:rPr>
                <w:color w:val="000000"/>
                <w:sz w:val="18"/>
                <w:szCs w:val="18"/>
                <w:lang w:eastAsia="uk-UA"/>
              </w:rPr>
              <w:t>Житлосервіс</w:t>
            </w:r>
            <w:proofErr w:type="spellEnd"/>
            <w:r w:rsidRPr="008D21CC">
              <w:rPr>
                <w:color w:val="000000"/>
                <w:sz w:val="18"/>
                <w:szCs w:val="18"/>
                <w:lang w:eastAsia="uk-UA"/>
              </w:rPr>
              <w:t xml:space="preserve"> "Світанок"</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28 072 092 000,00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73 200 000,00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34 000 000,00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27 964 892 000,00 </w:t>
            </w:r>
          </w:p>
        </w:tc>
      </w:tr>
      <w:tr w:rsidR="003C117C" w:rsidRPr="008D21CC" w:rsidTr="003C117C">
        <w:trPr>
          <w:trHeight w:val="288"/>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КП "</w:t>
            </w:r>
            <w:proofErr w:type="spellStart"/>
            <w:r w:rsidRPr="008D21CC">
              <w:rPr>
                <w:color w:val="000000"/>
                <w:sz w:val="18"/>
                <w:szCs w:val="18"/>
                <w:lang w:eastAsia="uk-UA"/>
              </w:rPr>
              <w:t>Сєвєродонецькліфт</w:t>
            </w:r>
            <w:proofErr w:type="spellEnd"/>
            <w:r w:rsidRPr="008D21CC">
              <w:rPr>
                <w:color w:val="000000"/>
                <w:sz w:val="18"/>
                <w:szCs w:val="18"/>
                <w:lang w:eastAsia="uk-UA"/>
              </w:rPr>
              <w:t xml:space="preserve">"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251 000 000,00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8 500 000,00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42 860 000,00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199 640 000,00 </w:t>
            </w:r>
          </w:p>
        </w:tc>
      </w:tr>
      <w:tr w:rsidR="003C117C" w:rsidRPr="008D21CC" w:rsidTr="003C117C">
        <w:trPr>
          <w:trHeight w:val="30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КП "</w:t>
            </w:r>
            <w:proofErr w:type="spellStart"/>
            <w:r w:rsidRPr="008D21CC">
              <w:rPr>
                <w:color w:val="000000"/>
                <w:sz w:val="18"/>
                <w:szCs w:val="18"/>
                <w:lang w:eastAsia="uk-UA"/>
              </w:rPr>
              <w:t>Сєвєродонецькводоканал</w:t>
            </w:r>
            <w:proofErr w:type="spellEnd"/>
            <w:r w:rsidRPr="008D21CC">
              <w:rPr>
                <w:color w:val="000000"/>
                <w:sz w:val="18"/>
                <w:szCs w:val="18"/>
                <w:lang w:eastAsia="uk-UA"/>
              </w:rPr>
              <w:t>"</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2 927 715 000,00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45 590 000,00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3 765 000,00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2 878 360 000,00 </w:t>
            </w:r>
          </w:p>
        </w:tc>
      </w:tr>
      <w:tr w:rsidR="003C117C" w:rsidRPr="008D21CC" w:rsidTr="003C117C">
        <w:trPr>
          <w:trHeight w:val="30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 xml:space="preserve">КП "Сєвєродонецьке тролейбусне управління"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1 083 211 743,74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29 381 240,80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6 766 642,94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1 047 063 860,00 </w:t>
            </w:r>
          </w:p>
        </w:tc>
      </w:tr>
      <w:tr w:rsidR="003C117C" w:rsidRPr="008D21CC" w:rsidTr="003C117C">
        <w:trPr>
          <w:trHeight w:val="288"/>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КП "</w:t>
            </w:r>
            <w:proofErr w:type="spellStart"/>
            <w:r w:rsidRPr="008D21CC">
              <w:rPr>
                <w:color w:val="000000"/>
                <w:sz w:val="18"/>
                <w:szCs w:val="18"/>
                <w:lang w:eastAsia="uk-UA"/>
              </w:rPr>
              <w:t>Сєвєродонецьккомунсервіс</w:t>
            </w:r>
            <w:proofErr w:type="spellEnd"/>
            <w:r w:rsidRPr="008D21CC">
              <w:rPr>
                <w:color w:val="000000"/>
                <w:sz w:val="18"/>
                <w:szCs w:val="18"/>
                <w:lang w:eastAsia="uk-UA"/>
              </w:rPr>
              <w:t>"</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8 409 762 346,13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870 863,13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7 293 115,00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8 401 598 368,00 </w:t>
            </w:r>
          </w:p>
        </w:tc>
      </w:tr>
      <w:tr w:rsidR="003C117C" w:rsidRPr="008D21CC" w:rsidTr="003C117C">
        <w:trPr>
          <w:trHeight w:val="288"/>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КП "</w:t>
            </w:r>
            <w:proofErr w:type="spellStart"/>
            <w:r w:rsidRPr="008D21CC">
              <w:rPr>
                <w:color w:val="000000"/>
                <w:sz w:val="18"/>
                <w:szCs w:val="18"/>
                <w:lang w:eastAsia="uk-UA"/>
              </w:rPr>
              <w:t>Сєвєродонецьктеплокомуненерго</w:t>
            </w:r>
            <w:proofErr w:type="spellEnd"/>
            <w:r w:rsidRPr="008D21CC">
              <w:rPr>
                <w:color w:val="000000"/>
                <w:sz w:val="18"/>
                <w:szCs w:val="18"/>
                <w:lang w:eastAsia="uk-UA"/>
              </w:rPr>
              <w:t>"</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1 187 104 056,28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63 003 110,28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2 342 946,00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1 121 758 000,00 </w:t>
            </w:r>
          </w:p>
        </w:tc>
      </w:tr>
      <w:tr w:rsidR="003C117C" w:rsidRPr="008D21CC" w:rsidTr="003C117C">
        <w:trPr>
          <w:trHeight w:val="30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КП "Сєвєродонецьке бюро технічної  інвентаризації"</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16 449 260,86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2 409 476,26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908 759,40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13 131 025,20 </w:t>
            </w:r>
          </w:p>
        </w:tc>
      </w:tr>
      <w:tr w:rsidR="003C117C" w:rsidRPr="008D21CC" w:rsidTr="003C117C">
        <w:trPr>
          <w:trHeight w:val="30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 xml:space="preserve">КП "Сєвєродонецьке </w:t>
            </w:r>
            <w:proofErr w:type="spellStart"/>
            <w:r w:rsidRPr="008D21CC">
              <w:rPr>
                <w:color w:val="000000"/>
                <w:sz w:val="18"/>
                <w:szCs w:val="18"/>
                <w:lang w:eastAsia="uk-UA"/>
              </w:rPr>
              <w:t>агенство</w:t>
            </w:r>
            <w:proofErr w:type="spellEnd"/>
            <w:r w:rsidRPr="008D21CC">
              <w:rPr>
                <w:color w:val="000000"/>
                <w:sz w:val="18"/>
                <w:szCs w:val="18"/>
                <w:lang w:eastAsia="uk-UA"/>
              </w:rPr>
              <w:t xml:space="preserve"> інвестицій та розвитку"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4 144 910,05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2 037 813,05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775 570,00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1 331 527,00 </w:t>
            </w:r>
          </w:p>
        </w:tc>
      </w:tr>
      <w:tr w:rsidR="003C117C" w:rsidRPr="008D21CC" w:rsidTr="003C117C">
        <w:trPr>
          <w:trHeight w:val="288"/>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right"/>
              <w:rPr>
                <w:b/>
                <w:bCs/>
                <w:color w:val="000000"/>
                <w:sz w:val="18"/>
                <w:szCs w:val="18"/>
                <w:lang w:eastAsia="uk-UA"/>
              </w:rPr>
            </w:pPr>
            <w:r w:rsidRPr="008D21CC">
              <w:rPr>
                <w:b/>
                <w:bCs/>
                <w:color w:val="000000"/>
                <w:sz w:val="18"/>
                <w:szCs w:val="18"/>
                <w:lang w:eastAsia="uk-UA"/>
              </w:rPr>
              <w:t>РАЗОМ КП:</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b/>
                <w:bCs/>
                <w:color w:val="000000"/>
                <w:sz w:val="18"/>
                <w:szCs w:val="18"/>
                <w:lang w:eastAsia="uk-UA"/>
              </w:rPr>
            </w:pPr>
            <w:r w:rsidRPr="008D21CC">
              <w:rPr>
                <w:b/>
                <w:bCs/>
                <w:color w:val="000000"/>
                <w:sz w:val="18"/>
                <w:szCs w:val="18"/>
                <w:lang w:eastAsia="uk-UA"/>
              </w:rPr>
              <w:t xml:space="preserve">47 623 759 274,34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b/>
                <w:bCs/>
                <w:color w:val="000000"/>
                <w:sz w:val="18"/>
                <w:szCs w:val="18"/>
                <w:lang w:eastAsia="uk-UA"/>
              </w:rPr>
            </w:pPr>
            <w:r w:rsidRPr="008D21CC">
              <w:rPr>
                <w:b/>
                <w:bCs/>
                <w:color w:val="000000"/>
                <w:sz w:val="18"/>
                <w:szCs w:val="18"/>
                <w:lang w:eastAsia="uk-UA"/>
              </w:rPr>
              <w:t xml:space="preserve">240 356 184,25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left"/>
              <w:rPr>
                <w:b/>
                <w:bCs/>
                <w:color w:val="000000"/>
                <w:sz w:val="18"/>
                <w:szCs w:val="18"/>
                <w:lang w:eastAsia="uk-UA"/>
              </w:rPr>
            </w:pPr>
            <w:r w:rsidRPr="008D21CC">
              <w:rPr>
                <w:b/>
                <w:bCs/>
                <w:color w:val="000000"/>
                <w:sz w:val="18"/>
                <w:szCs w:val="18"/>
                <w:lang w:eastAsia="uk-UA"/>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b/>
                <w:bCs/>
                <w:color w:val="000000"/>
                <w:sz w:val="18"/>
                <w:szCs w:val="18"/>
                <w:lang w:eastAsia="uk-UA"/>
              </w:rPr>
            </w:pPr>
            <w:r w:rsidRPr="008D21CC">
              <w:rPr>
                <w:b/>
                <w:bCs/>
                <w:color w:val="000000"/>
                <w:sz w:val="18"/>
                <w:szCs w:val="18"/>
                <w:lang w:eastAsia="uk-UA"/>
              </w:rPr>
              <w:t xml:space="preserve">106 695 279,89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b/>
                <w:bCs/>
                <w:color w:val="000000"/>
                <w:sz w:val="18"/>
                <w:szCs w:val="18"/>
                <w:lang w:eastAsia="uk-UA"/>
              </w:rPr>
            </w:pPr>
            <w:r w:rsidRPr="008D21CC">
              <w:rPr>
                <w:b/>
                <w:bCs/>
                <w:color w:val="000000"/>
                <w:sz w:val="18"/>
                <w:szCs w:val="18"/>
                <w:lang w:eastAsia="uk-UA"/>
              </w:rPr>
              <w:t xml:space="preserve">47 276 707 810,20 </w:t>
            </w:r>
          </w:p>
        </w:tc>
      </w:tr>
      <w:tr w:rsidR="003C117C" w:rsidRPr="008D21CC" w:rsidTr="003C117C">
        <w:trPr>
          <w:trHeight w:val="288"/>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right"/>
              <w:rPr>
                <w:b/>
                <w:bCs/>
                <w:color w:val="000000"/>
                <w:sz w:val="18"/>
                <w:szCs w:val="18"/>
                <w:lang w:eastAsia="uk-UA"/>
              </w:rPr>
            </w:pPr>
            <w:r w:rsidRPr="008D21CC">
              <w:rPr>
                <w:b/>
                <w:bCs/>
                <w:color w:val="000000"/>
                <w:sz w:val="18"/>
                <w:szCs w:val="18"/>
                <w:lang w:eastAsia="uk-UA"/>
              </w:rPr>
              <w:t>ВСЬОГО:</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lang w:eastAsia="uk-UA"/>
              </w:rPr>
            </w:pPr>
            <w:r w:rsidRPr="00B77354">
              <w:rPr>
                <w:b/>
                <w:bCs/>
                <w:color w:val="000000"/>
                <w:sz w:val="18"/>
                <w:szCs w:val="18"/>
              </w:rPr>
              <w:t xml:space="preserve">60 948 810 050,11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904 677 708,92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132 822 900,00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489 480 652,79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59 421 828 788,40 </w:t>
            </w:r>
          </w:p>
        </w:tc>
      </w:tr>
    </w:tbl>
    <w:p w:rsidR="003C117C" w:rsidRDefault="003C117C" w:rsidP="003C117C">
      <w:pPr>
        <w:jc w:val="left"/>
        <w:rPr>
          <w:b/>
        </w:rPr>
      </w:pPr>
    </w:p>
    <w:p w:rsidR="00AC499C" w:rsidRPr="00E95FB1" w:rsidRDefault="00AC499C" w:rsidP="00AC499C">
      <w:pPr>
        <w:shd w:val="clear" w:color="auto" w:fill="FFFFFF"/>
        <w:ind w:firstLine="709"/>
        <w:rPr>
          <w:bCs/>
          <w:shd w:val="clear" w:color="auto" w:fill="FFFFFF"/>
          <w:lang w:eastAsia="uk-UA"/>
        </w:rPr>
      </w:pPr>
    </w:p>
    <w:p w:rsidR="00AC499C" w:rsidRPr="00E95FB1" w:rsidRDefault="00AC499C" w:rsidP="00AC499C">
      <w:pPr>
        <w:pStyle w:val="1"/>
        <w:rPr>
          <w:spacing w:val="12"/>
          <w:shd w:val="clear" w:color="auto" w:fill="FFFFFF"/>
          <w:lang w:eastAsia="uk-UA"/>
        </w:rPr>
      </w:pPr>
      <w:bookmarkStart w:id="43" w:name="_Toc142141286"/>
      <w:bookmarkStart w:id="44" w:name="_Toc143012477"/>
      <w:r w:rsidRPr="00E95FB1">
        <w:rPr>
          <w:lang w:eastAsia="uk-UA"/>
        </w:rPr>
        <w:t>Система моніторингу та оцінювання реалізації, що передбачає кількісні та якісні індикатори</w:t>
      </w:r>
      <w:bookmarkEnd w:id="43"/>
      <w:bookmarkEnd w:id="44"/>
    </w:p>
    <w:p w:rsidR="00AC499C" w:rsidRPr="00E95FB1" w:rsidRDefault="00AC499C" w:rsidP="00AC499C">
      <w:pPr>
        <w:shd w:val="clear" w:color="auto" w:fill="FFFFFF"/>
        <w:ind w:firstLine="709"/>
        <w:rPr>
          <w:spacing w:val="12"/>
          <w:shd w:val="clear" w:color="auto" w:fill="FFFFFF"/>
          <w:lang w:eastAsia="uk-UA"/>
        </w:rPr>
      </w:pPr>
    </w:p>
    <w:p w:rsidR="00AC499C" w:rsidRPr="00E95FB1" w:rsidRDefault="00AC499C" w:rsidP="00AC499C">
      <w:pPr>
        <w:autoSpaceDE w:val="0"/>
        <w:autoSpaceDN w:val="0"/>
        <w:adjustRightInd w:val="0"/>
        <w:ind w:firstLine="709"/>
        <w:rPr>
          <w:rFonts w:eastAsia="Calibri"/>
        </w:rPr>
      </w:pPr>
      <w:r w:rsidRPr="00E95FB1">
        <w:rPr>
          <w:rFonts w:eastAsia="Calibri"/>
        </w:rPr>
        <w:t xml:space="preserve">Необхідною складовою та організаційною умовою впровадження Програми є моніторинг та оцінка. Моніторинг проводиться постійно, починаючи від етапу планування діяльності до етапу досягнення кінцевої мети. </w:t>
      </w:r>
      <w:r w:rsidRPr="00E95FB1">
        <w:rPr>
          <w:rFonts w:eastAsia="Calibri"/>
        </w:rPr>
        <w:lastRenderedPageBreak/>
        <w:t>Коли Програма дійде свого логічного завершення, то необхідно оцінити досягнуті результати.</w:t>
      </w:r>
    </w:p>
    <w:p w:rsidR="00AC499C" w:rsidRPr="00E95FB1" w:rsidRDefault="00AC499C" w:rsidP="00AC499C">
      <w:pPr>
        <w:autoSpaceDE w:val="0"/>
        <w:autoSpaceDN w:val="0"/>
        <w:adjustRightInd w:val="0"/>
        <w:ind w:firstLine="709"/>
        <w:rPr>
          <w:rFonts w:eastAsia="Calibri"/>
          <w:b/>
          <w:bCs/>
        </w:rPr>
      </w:pPr>
      <w:r w:rsidRPr="00E95FB1">
        <w:rPr>
          <w:rFonts w:eastAsia="Calibri"/>
        </w:rPr>
        <w:t>Основні завдання моніторингу та оцінки процесу реалізації Програми:</w:t>
      </w:r>
    </w:p>
    <w:p w:rsidR="00AC499C" w:rsidRPr="00E95FB1" w:rsidRDefault="00AC499C" w:rsidP="000303D7">
      <w:pPr>
        <w:numPr>
          <w:ilvl w:val="0"/>
          <w:numId w:val="4"/>
        </w:numPr>
        <w:autoSpaceDE w:val="0"/>
        <w:autoSpaceDN w:val="0"/>
        <w:adjustRightInd w:val="0"/>
        <w:ind w:left="0" w:firstLine="349"/>
        <w:contextualSpacing/>
        <w:rPr>
          <w:rFonts w:eastAsia="Calibri"/>
        </w:rPr>
      </w:pPr>
      <w:r w:rsidRPr="00E95FB1">
        <w:rPr>
          <w:rFonts w:eastAsia="Calibri"/>
        </w:rPr>
        <w:t>визначити рівень успішності просування процесу реалізації Програми комплексного відновлення території громади;</w:t>
      </w:r>
    </w:p>
    <w:p w:rsidR="00AC499C" w:rsidRPr="00E95FB1" w:rsidRDefault="00AC499C" w:rsidP="000303D7">
      <w:pPr>
        <w:numPr>
          <w:ilvl w:val="0"/>
          <w:numId w:val="4"/>
        </w:numPr>
        <w:autoSpaceDE w:val="0"/>
        <w:autoSpaceDN w:val="0"/>
        <w:adjustRightInd w:val="0"/>
        <w:ind w:left="0" w:firstLine="349"/>
        <w:contextualSpacing/>
        <w:rPr>
          <w:rFonts w:eastAsia="Calibri"/>
        </w:rPr>
      </w:pPr>
      <w:r w:rsidRPr="00E95FB1">
        <w:rPr>
          <w:rFonts w:eastAsia="Calibri"/>
        </w:rPr>
        <w:t xml:space="preserve">встановити проблеми на ранніх стадіях реалізації Програми та </w:t>
      </w:r>
      <w:proofErr w:type="spellStart"/>
      <w:r w:rsidRPr="00E95FB1">
        <w:rPr>
          <w:rFonts w:eastAsia="Calibri"/>
        </w:rPr>
        <w:t>оперативно</w:t>
      </w:r>
      <w:proofErr w:type="spellEnd"/>
      <w:r w:rsidRPr="00E95FB1">
        <w:rPr>
          <w:rFonts w:eastAsia="Calibri"/>
        </w:rPr>
        <w:t xml:space="preserve"> відреагувати на відхилення від запланованих дій;</w:t>
      </w:r>
    </w:p>
    <w:p w:rsidR="00AC499C" w:rsidRPr="00E95FB1" w:rsidRDefault="00AC499C" w:rsidP="000303D7">
      <w:pPr>
        <w:numPr>
          <w:ilvl w:val="0"/>
          <w:numId w:val="4"/>
        </w:numPr>
        <w:autoSpaceDE w:val="0"/>
        <w:autoSpaceDN w:val="0"/>
        <w:adjustRightInd w:val="0"/>
        <w:ind w:left="0" w:firstLine="349"/>
        <w:contextualSpacing/>
        <w:rPr>
          <w:rFonts w:eastAsia="Calibri"/>
        </w:rPr>
      </w:pPr>
      <w:r w:rsidRPr="00E95FB1">
        <w:rPr>
          <w:rFonts w:eastAsia="Calibri"/>
        </w:rPr>
        <w:t>визначити досягнуті результати та їх ефективність.</w:t>
      </w:r>
    </w:p>
    <w:p w:rsidR="00AC499C" w:rsidRPr="00E95FB1" w:rsidRDefault="00AC499C" w:rsidP="00AC499C">
      <w:pPr>
        <w:autoSpaceDE w:val="0"/>
        <w:autoSpaceDN w:val="0"/>
        <w:adjustRightInd w:val="0"/>
        <w:ind w:firstLine="709"/>
        <w:rPr>
          <w:rFonts w:eastAsia="Calibri"/>
        </w:rPr>
      </w:pPr>
      <w:r w:rsidRPr="00E95FB1">
        <w:rPr>
          <w:rFonts w:eastAsia="Calibri"/>
        </w:rPr>
        <w:t>Моніторинг базується на розгляді обмеженого числа відібраних показників (індикаторів) за кожним із напрямів і аналізі досягнення запланованих результатів.</w:t>
      </w:r>
    </w:p>
    <w:p w:rsidR="00AC499C" w:rsidRPr="00E95FB1" w:rsidRDefault="00AC499C" w:rsidP="00AC499C">
      <w:pPr>
        <w:autoSpaceDE w:val="0"/>
        <w:autoSpaceDN w:val="0"/>
        <w:adjustRightInd w:val="0"/>
        <w:ind w:firstLine="709"/>
        <w:rPr>
          <w:rFonts w:eastAsia="Calibri"/>
        </w:rPr>
      </w:pPr>
      <w:r w:rsidRPr="00E95FB1">
        <w:rPr>
          <w:rFonts w:eastAsia="Calibri"/>
        </w:rPr>
        <w:t>Оцінка ґрунтуватиметься на розгляді та оцінці звітів з виконання Програми комплексного відновлення.</w:t>
      </w:r>
    </w:p>
    <w:p w:rsidR="00AC499C" w:rsidRPr="00E95FB1" w:rsidRDefault="00AC499C" w:rsidP="00AC499C">
      <w:pPr>
        <w:autoSpaceDE w:val="0"/>
        <w:autoSpaceDN w:val="0"/>
        <w:adjustRightInd w:val="0"/>
        <w:ind w:firstLine="709"/>
        <w:rPr>
          <w:rFonts w:eastAsia="Calibri"/>
        </w:rPr>
      </w:pPr>
      <w:r w:rsidRPr="00E95FB1">
        <w:rPr>
          <w:rFonts w:eastAsia="Calibri"/>
        </w:rPr>
        <w:t xml:space="preserve">Для забезпечення належного рівня відповідальності за реалізацію Програми комплексного відновлення та контролю діяльності учасників впровадження Програми передбачається створення органу з моніторингу – Робочої  групи з моніторингу виконання Програми комплексного відновлення  та систему індикаторів, які забезпечують підтвердження досягнення визначених цілей. Робоча  група з моніторингу виконання Програми комплексного відновлення  має бути створена за принципом гендерної збалансованості з представників міської військової адміністрації, </w:t>
      </w:r>
      <w:proofErr w:type="spellStart"/>
      <w:r w:rsidRPr="00E95FB1">
        <w:rPr>
          <w:rFonts w:eastAsia="Calibri"/>
        </w:rPr>
        <w:t>старостинських</w:t>
      </w:r>
      <w:proofErr w:type="spellEnd"/>
      <w:r w:rsidRPr="00E95FB1">
        <w:rPr>
          <w:rFonts w:eastAsia="Calibri"/>
        </w:rPr>
        <w:t xml:space="preserve"> округів, громадськості, бізнесу, приватних підприємців, представників об’єднань громадян, інших організацій, підприємств та організацій.</w:t>
      </w:r>
    </w:p>
    <w:p w:rsidR="00AC499C" w:rsidRPr="00E95FB1" w:rsidRDefault="00AC499C" w:rsidP="00AC499C">
      <w:pPr>
        <w:ind w:right="-135" w:firstLine="426"/>
        <w:rPr>
          <w:rFonts w:eastAsia="Calibri"/>
        </w:rPr>
      </w:pPr>
      <w:r w:rsidRPr="00E95FB1">
        <w:rPr>
          <w:rFonts w:eastAsia="Calibri"/>
        </w:rPr>
        <w:t xml:space="preserve">Механізм моніторингу й оцінки виконання Програми базується на аналізі  системи індикаторів (результатів) впровадження (кількісних та якісних показників) </w:t>
      </w:r>
      <w:proofErr w:type="spellStart"/>
      <w:r w:rsidRPr="00E95FB1">
        <w:rPr>
          <w:rFonts w:eastAsia="Calibri"/>
        </w:rPr>
        <w:t>проєктів</w:t>
      </w:r>
      <w:proofErr w:type="spellEnd"/>
      <w:r w:rsidRPr="00E95FB1">
        <w:rPr>
          <w:rFonts w:eastAsia="Calibri"/>
        </w:rPr>
        <w:t xml:space="preserve"> регіонального (місцевого) розвитку. Робоча  група з моніторингу виконання  Програми комплексного відновлення надає запити розробникам/виконавцям </w:t>
      </w:r>
      <w:proofErr w:type="spellStart"/>
      <w:r w:rsidRPr="00E95FB1">
        <w:rPr>
          <w:rFonts w:eastAsia="Calibri"/>
        </w:rPr>
        <w:t>проєктів</w:t>
      </w:r>
      <w:proofErr w:type="spellEnd"/>
      <w:r w:rsidRPr="00E95FB1">
        <w:rPr>
          <w:rFonts w:eastAsia="Calibri"/>
        </w:rPr>
        <w:t xml:space="preserve"> регіонального (місцевого) розвитку та на підставі отриманих даних фіксує та аналізує: а) ступінь виконання кожного завдання </w:t>
      </w:r>
      <w:proofErr w:type="spellStart"/>
      <w:r w:rsidRPr="00E95FB1">
        <w:rPr>
          <w:rFonts w:eastAsia="Calibri"/>
        </w:rPr>
        <w:t>проєктів</w:t>
      </w:r>
      <w:proofErr w:type="spellEnd"/>
      <w:r w:rsidRPr="00E95FB1">
        <w:rPr>
          <w:rFonts w:eastAsia="Calibri"/>
        </w:rPr>
        <w:t xml:space="preserve">;  б) невиконані завдання, причини відхилення, пропозиції; в) дані за індикаторами, що відображають результат реалізації </w:t>
      </w:r>
      <w:proofErr w:type="spellStart"/>
      <w:r w:rsidRPr="00E95FB1">
        <w:rPr>
          <w:rFonts w:eastAsia="Calibri"/>
        </w:rPr>
        <w:t>проєктів</w:t>
      </w:r>
      <w:proofErr w:type="spellEnd"/>
      <w:r w:rsidRPr="00E95FB1">
        <w:rPr>
          <w:rFonts w:eastAsia="Calibri"/>
        </w:rPr>
        <w:t xml:space="preserve">; г) оцінка потреб у фінансуванні;  д) пропозиції щодо вдосконалення діючої системи моніторингу. </w:t>
      </w:r>
    </w:p>
    <w:p w:rsidR="00AC499C" w:rsidRPr="00E95FB1" w:rsidRDefault="00AC499C" w:rsidP="00AC499C">
      <w:pPr>
        <w:ind w:right="-135" w:firstLine="426"/>
        <w:rPr>
          <w:rFonts w:eastAsia="Calibri"/>
        </w:rPr>
      </w:pPr>
      <w:r w:rsidRPr="00E95FB1">
        <w:rPr>
          <w:rFonts w:eastAsia="Calibri"/>
        </w:rPr>
        <w:t xml:space="preserve">Пропозиції з коригування Програми комплексного відновлення території громади, </w:t>
      </w:r>
      <w:proofErr w:type="spellStart"/>
      <w:r w:rsidRPr="00E95FB1">
        <w:rPr>
          <w:rFonts w:eastAsia="Calibri"/>
        </w:rPr>
        <w:t>проєктами</w:t>
      </w:r>
      <w:proofErr w:type="spellEnd"/>
      <w:r w:rsidRPr="00E95FB1">
        <w:rPr>
          <w:rFonts w:eastAsia="Calibri"/>
        </w:rPr>
        <w:t xml:space="preserve"> та завданнями можуть вноситися:</w:t>
      </w:r>
    </w:p>
    <w:p w:rsidR="00AC499C" w:rsidRPr="00E95FB1" w:rsidRDefault="00AC499C" w:rsidP="000303D7">
      <w:pPr>
        <w:pStyle w:val="a7"/>
        <w:numPr>
          <w:ilvl w:val="0"/>
          <w:numId w:val="6"/>
        </w:numPr>
        <w:ind w:right="-135"/>
        <w:rPr>
          <w:rFonts w:eastAsia="Calibri"/>
        </w:rPr>
      </w:pPr>
      <w:r w:rsidRPr="00E95FB1">
        <w:rPr>
          <w:rFonts w:eastAsia="Calibri"/>
        </w:rPr>
        <w:t>членами Робочої групи з моніторингу виконання Програми комплексного відновлення;</w:t>
      </w:r>
    </w:p>
    <w:p w:rsidR="00AC499C" w:rsidRPr="00E95FB1" w:rsidRDefault="00AC499C" w:rsidP="000303D7">
      <w:pPr>
        <w:pStyle w:val="a7"/>
        <w:numPr>
          <w:ilvl w:val="0"/>
          <w:numId w:val="6"/>
        </w:numPr>
        <w:ind w:right="-135"/>
        <w:rPr>
          <w:rFonts w:eastAsia="Calibri"/>
        </w:rPr>
      </w:pPr>
      <w:r w:rsidRPr="00E95FB1">
        <w:rPr>
          <w:rFonts w:eastAsia="Calibri"/>
        </w:rPr>
        <w:t xml:space="preserve">представниками структурних підрозділів </w:t>
      </w:r>
      <w:r w:rsidR="00CB3E2A">
        <w:rPr>
          <w:rFonts w:eastAsia="Calibri"/>
        </w:rPr>
        <w:t xml:space="preserve">та виконавчих органів СМ </w:t>
      </w:r>
      <w:r w:rsidRPr="00E95FB1">
        <w:rPr>
          <w:rFonts w:eastAsia="Calibri"/>
        </w:rPr>
        <w:t>ВА та комунальних підприємств, установ та організацій;</w:t>
      </w:r>
    </w:p>
    <w:p w:rsidR="00AC499C" w:rsidRPr="00E95FB1" w:rsidRDefault="00AC499C" w:rsidP="000303D7">
      <w:pPr>
        <w:pStyle w:val="a7"/>
        <w:numPr>
          <w:ilvl w:val="0"/>
          <w:numId w:val="6"/>
        </w:numPr>
        <w:ind w:right="-135"/>
        <w:rPr>
          <w:rFonts w:eastAsia="Calibri"/>
        </w:rPr>
      </w:pPr>
      <w:r w:rsidRPr="00E95FB1">
        <w:rPr>
          <w:rFonts w:eastAsia="Calibri"/>
        </w:rPr>
        <w:t>зацікавленими організаціями, установами, громадськими організаціями та мешканцями.</w:t>
      </w:r>
    </w:p>
    <w:p w:rsidR="00AC499C" w:rsidRPr="00E95FB1" w:rsidRDefault="00AC499C" w:rsidP="00AC499C">
      <w:pPr>
        <w:ind w:right="-135" w:firstLine="426"/>
        <w:rPr>
          <w:rFonts w:eastAsia="Calibri"/>
        </w:rPr>
      </w:pPr>
      <w:r w:rsidRPr="00E95FB1">
        <w:rPr>
          <w:rFonts w:eastAsia="Calibri"/>
        </w:rPr>
        <w:lastRenderedPageBreak/>
        <w:t xml:space="preserve">Робоча група з моніторингу виконання Програми комплексного відновлення збирається з встановленою періодичністю (але не менше одного разу на півріччя) для моніторингу та оцінки досягнутих результатів і внесення запропонованих змін. </w:t>
      </w:r>
      <w:proofErr w:type="spellStart"/>
      <w:r w:rsidRPr="00E95FB1">
        <w:rPr>
          <w:rFonts w:eastAsia="Calibri"/>
        </w:rPr>
        <w:t>Проєкти</w:t>
      </w:r>
      <w:proofErr w:type="spellEnd"/>
      <w:r w:rsidRPr="00E95FB1">
        <w:rPr>
          <w:rFonts w:eastAsia="Calibri"/>
        </w:rPr>
        <w:t xml:space="preserve"> рішень щодо змін до Програми комплексного відновлення території громади виносяться на громадські обговорення</w:t>
      </w:r>
    </w:p>
    <w:p w:rsidR="00AC499C" w:rsidRPr="00E95FB1" w:rsidRDefault="00AC499C" w:rsidP="00AC499C">
      <w:pPr>
        <w:autoSpaceDE w:val="0"/>
        <w:autoSpaceDN w:val="0"/>
        <w:adjustRightInd w:val="0"/>
        <w:ind w:firstLine="709"/>
        <w:rPr>
          <w:rFonts w:eastAsia="Calibri"/>
        </w:rPr>
      </w:pPr>
    </w:p>
    <w:p w:rsidR="00CD0D5E" w:rsidRPr="00CD0D5E" w:rsidRDefault="00CD0D5E" w:rsidP="00CD0D5E">
      <w:pPr>
        <w:jc w:val="center"/>
        <w:rPr>
          <w:b/>
        </w:rPr>
      </w:pPr>
      <w:r w:rsidRPr="00601210">
        <w:rPr>
          <w:b/>
        </w:rPr>
        <w:t>Система моніторингу та оцінювання реалізації, що передбачає кількісні та якісні індикатори</w:t>
      </w:r>
    </w:p>
    <w:tbl>
      <w:tblPr>
        <w:tblStyle w:val="af"/>
        <w:tblW w:w="0" w:type="auto"/>
        <w:tblInd w:w="-1168" w:type="dxa"/>
        <w:tblLook w:val="04A0" w:firstRow="1" w:lastRow="0" w:firstColumn="1" w:lastColumn="0" w:noHBand="0" w:noVBand="1"/>
      </w:tblPr>
      <w:tblGrid>
        <w:gridCol w:w="1954"/>
        <w:gridCol w:w="2616"/>
        <w:gridCol w:w="4298"/>
        <w:gridCol w:w="1788"/>
      </w:tblGrid>
      <w:tr w:rsidR="00B22BDC" w:rsidRPr="00B22BDC" w:rsidTr="00F7531A">
        <w:tc>
          <w:tcPr>
            <w:tcW w:w="1954" w:type="dxa"/>
          </w:tcPr>
          <w:p w:rsidR="00B22BDC" w:rsidRPr="00B22BDC" w:rsidRDefault="00B22BDC" w:rsidP="007E2693">
            <w:pPr>
              <w:rPr>
                <w:b/>
                <w:sz w:val="24"/>
                <w:szCs w:val="24"/>
                <w:lang w:val="uk-UA"/>
              </w:rPr>
            </w:pPr>
            <w:r w:rsidRPr="00B22BDC">
              <w:rPr>
                <w:b/>
                <w:sz w:val="24"/>
                <w:szCs w:val="24"/>
                <w:lang w:val="uk-UA"/>
              </w:rPr>
              <w:t>Показник</w:t>
            </w:r>
          </w:p>
        </w:tc>
        <w:tc>
          <w:tcPr>
            <w:tcW w:w="2616" w:type="dxa"/>
          </w:tcPr>
          <w:p w:rsidR="00B22BDC" w:rsidRPr="00B22BDC" w:rsidRDefault="00B22BDC" w:rsidP="007E2693">
            <w:pPr>
              <w:rPr>
                <w:b/>
                <w:sz w:val="24"/>
                <w:szCs w:val="24"/>
                <w:lang w:val="uk-UA"/>
              </w:rPr>
            </w:pPr>
            <w:r w:rsidRPr="00B22BDC">
              <w:rPr>
                <w:b/>
                <w:sz w:val="24"/>
                <w:szCs w:val="24"/>
                <w:lang w:val="uk-UA"/>
              </w:rPr>
              <w:t>Кількісні індикатори</w:t>
            </w:r>
          </w:p>
        </w:tc>
        <w:tc>
          <w:tcPr>
            <w:tcW w:w="4390" w:type="dxa"/>
          </w:tcPr>
          <w:p w:rsidR="00B22BDC" w:rsidRPr="00B22BDC" w:rsidRDefault="00B22BDC" w:rsidP="007E2693">
            <w:pPr>
              <w:rPr>
                <w:b/>
                <w:sz w:val="24"/>
                <w:szCs w:val="24"/>
                <w:lang w:val="uk-UA"/>
              </w:rPr>
            </w:pPr>
            <w:r w:rsidRPr="00B22BDC">
              <w:rPr>
                <w:b/>
                <w:sz w:val="24"/>
                <w:szCs w:val="24"/>
                <w:lang w:val="uk-UA"/>
              </w:rPr>
              <w:t>Якісні індикатори</w:t>
            </w:r>
          </w:p>
        </w:tc>
        <w:tc>
          <w:tcPr>
            <w:tcW w:w="1696" w:type="dxa"/>
          </w:tcPr>
          <w:p w:rsidR="00B22BDC" w:rsidRPr="00B22BDC" w:rsidRDefault="00B22BDC" w:rsidP="007E2693">
            <w:pPr>
              <w:rPr>
                <w:b/>
                <w:sz w:val="24"/>
                <w:szCs w:val="24"/>
                <w:lang w:val="uk-UA"/>
              </w:rPr>
            </w:pPr>
            <w:r w:rsidRPr="00B22BDC">
              <w:rPr>
                <w:b/>
                <w:sz w:val="24"/>
                <w:szCs w:val="24"/>
                <w:lang w:val="uk-UA"/>
              </w:rPr>
              <w:t>Обсяг та джерела фінансування</w:t>
            </w:r>
            <w:r w:rsidRPr="00B22BDC">
              <w:rPr>
                <w:sz w:val="24"/>
                <w:szCs w:val="24"/>
                <w:lang w:val="uk-UA"/>
              </w:rPr>
              <w:t xml:space="preserve">, </w:t>
            </w:r>
            <w:r w:rsidRPr="00B22BDC">
              <w:rPr>
                <w:b/>
                <w:sz w:val="24"/>
                <w:szCs w:val="24"/>
                <w:lang w:val="uk-UA"/>
              </w:rPr>
              <w:t>тис. грн.</w:t>
            </w:r>
          </w:p>
        </w:tc>
      </w:tr>
      <w:tr w:rsidR="00B22BDC" w:rsidRPr="00B22BDC" w:rsidTr="00F7531A">
        <w:tc>
          <w:tcPr>
            <w:tcW w:w="1954" w:type="dxa"/>
          </w:tcPr>
          <w:p w:rsidR="00B22BDC" w:rsidRPr="00B22BDC" w:rsidRDefault="00B22BDC" w:rsidP="007E2693">
            <w:pPr>
              <w:rPr>
                <w:sz w:val="24"/>
                <w:szCs w:val="24"/>
                <w:lang w:val="uk-UA"/>
              </w:rPr>
            </w:pPr>
            <w:r w:rsidRPr="00B22BDC">
              <w:rPr>
                <w:sz w:val="24"/>
                <w:szCs w:val="24"/>
                <w:lang w:val="uk-UA"/>
              </w:rPr>
              <w:t>Відновлення житлового фонду</w:t>
            </w:r>
          </w:p>
        </w:tc>
        <w:tc>
          <w:tcPr>
            <w:tcW w:w="2616" w:type="dxa"/>
          </w:tcPr>
          <w:p w:rsidR="00B22BDC" w:rsidRPr="00B22BDC" w:rsidRDefault="00B22BDC" w:rsidP="007E2693">
            <w:pPr>
              <w:rPr>
                <w:sz w:val="24"/>
                <w:szCs w:val="24"/>
                <w:lang w:val="uk-UA"/>
              </w:rPr>
            </w:pPr>
            <w:r w:rsidRPr="00B22BDC">
              <w:rPr>
                <w:sz w:val="24"/>
                <w:szCs w:val="24"/>
                <w:lang w:val="uk-UA"/>
              </w:rPr>
              <w:t>Кількість відновлених та відремонтованих будинків</w:t>
            </w:r>
          </w:p>
        </w:tc>
        <w:tc>
          <w:tcPr>
            <w:tcW w:w="4390" w:type="dxa"/>
          </w:tcPr>
          <w:p w:rsidR="00B22BDC" w:rsidRPr="00B22BDC" w:rsidRDefault="00B22BDC" w:rsidP="007E2693">
            <w:pPr>
              <w:autoSpaceDE w:val="0"/>
              <w:snapToGrid w:val="0"/>
              <w:rPr>
                <w:rFonts w:eastAsia="Calibri"/>
                <w:color w:val="000000"/>
                <w:sz w:val="24"/>
                <w:szCs w:val="24"/>
              </w:rPr>
            </w:pPr>
            <w:r w:rsidRPr="00B22BDC">
              <w:rPr>
                <w:rFonts w:eastAsia="Calibri"/>
                <w:color w:val="000000"/>
                <w:sz w:val="24"/>
                <w:szCs w:val="24"/>
                <w:lang w:val="uk-UA"/>
              </w:rPr>
              <w:t xml:space="preserve">Повне задоволення суспільних і особистих потреб </w:t>
            </w:r>
            <w:proofErr w:type="spellStart"/>
            <w:r w:rsidRPr="00B22BDC">
              <w:rPr>
                <w:rFonts w:eastAsia="Calibri"/>
                <w:color w:val="000000"/>
                <w:sz w:val="24"/>
                <w:szCs w:val="24"/>
              </w:rPr>
              <w:t>населення</w:t>
            </w:r>
            <w:proofErr w:type="spellEnd"/>
            <w:r w:rsidR="00812F6C">
              <w:rPr>
                <w:rFonts w:eastAsia="Calibri"/>
                <w:color w:val="000000"/>
                <w:sz w:val="24"/>
                <w:szCs w:val="24"/>
              </w:rPr>
              <w:t>.</w:t>
            </w:r>
          </w:p>
          <w:p w:rsidR="00B22BDC" w:rsidRPr="00B22BDC" w:rsidRDefault="00812F6C" w:rsidP="007E2693">
            <w:pPr>
              <w:autoSpaceDE w:val="0"/>
              <w:snapToGrid w:val="0"/>
              <w:rPr>
                <w:rFonts w:eastAsia="Calibri"/>
                <w:color w:val="000000"/>
                <w:sz w:val="24"/>
                <w:szCs w:val="24"/>
              </w:rPr>
            </w:pPr>
            <w:proofErr w:type="spellStart"/>
            <w:r>
              <w:rPr>
                <w:rFonts w:eastAsia="Calibri"/>
                <w:color w:val="000000"/>
                <w:sz w:val="24"/>
                <w:szCs w:val="24"/>
              </w:rPr>
              <w:t>Н</w:t>
            </w:r>
            <w:r w:rsidR="00B22BDC" w:rsidRPr="00B22BDC">
              <w:rPr>
                <w:rFonts w:eastAsia="Calibri"/>
                <w:color w:val="000000"/>
                <w:sz w:val="24"/>
                <w:szCs w:val="24"/>
              </w:rPr>
              <w:t>адання</w:t>
            </w:r>
            <w:proofErr w:type="spellEnd"/>
            <w:r w:rsidR="00B22BDC" w:rsidRPr="00B22BDC">
              <w:rPr>
                <w:rFonts w:eastAsia="Calibri"/>
                <w:color w:val="000000"/>
                <w:sz w:val="24"/>
                <w:szCs w:val="24"/>
              </w:rPr>
              <w:t xml:space="preserve"> широкого спектру </w:t>
            </w:r>
            <w:proofErr w:type="spellStart"/>
            <w:r w:rsidR="00B22BDC" w:rsidRPr="00B22BDC">
              <w:rPr>
                <w:rFonts w:eastAsia="Calibri"/>
                <w:color w:val="000000"/>
                <w:sz w:val="24"/>
                <w:szCs w:val="24"/>
              </w:rPr>
              <w:t>комунальних</w:t>
            </w:r>
            <w:proofErr w:type="spellEnd"/>
            <w:r w:rsidR="00B22BDC" w:rsidRPr="00B22BDC">
              <w:rPr>
                <w:rFonts w:eastAsia="Calibri"/>
                <w:color w:val="000000"/>
                <w:sz w:val="24"/>
                <w:szCs w:val="24"/>
              </w:rPr>
              <w:t xml:space="preserve"> </w:t>
            </w:r>
            <w:proofErr w:type="spellStart"/>
            <w:r w:rsidR="00B22BDC" w:rsidRPr="00B22BDC">
              <w:rPr>
                <w:rFonts w:eastAsia="Calibri"/>
                <w:color w:val="000000"/>
                <w:sz w:val="24"/>
                <w:szCs w:val="24"/>
              </w:rPr>
              <w:t>послуг</w:t>
            </w:r>
            <w:proofErr w:type="spellEnd"/>
            <w:r>
              <w:rPr>
                <w:rFonts w:eastAsia="Calibri"/>
                <w:color w:val="000000"/>
                <w:sz w:val="24"/>
                <w:szCs w:val="24"/>
              </w:rPr>
              <w:t>.</w:t>
            </w:r>
          </w:p>
          <w:p w:rsidR="00B22BDC" w:rsidRPr="00B22BDC" w:rsidRDefault="00812F6C" w:rsidP="00812F6C">
            <w:pPr>
              <w:autoSpaceDE w:val="0"/>
              <w:snapToGrid w:val="0"/>
              <w:rPr>
                <w:b/>
                <w:sz w:val="24"/>
                <w:szCs w:val="24"/>
              </w:rPr>
            </w:pPr>
            <w:proofErr w:type="spellStart"/>
            <w:r>
              <w:rPr>
                <w:rFonts w:eastAsia="Calibri"/>
                <w:color w:val="000000"/>
                <w:sz w:val="24"/>
                <w:szCs w:val="24"/>
              </w:rPr>
              <w:t>В</w:t>
            </w:r>
            <w:r w:rsidR="00B22BDC" w:rsidRPr="00B22BDC">
              <w:rPr>
                <w:rFonts w:eastAsia="Calibri"/>
                <w:color w:val="000000"/>
                <w:sz w:val="24"/>
                <w:szCs w:val="24"/>
              </w:rPr>
              <w:t>ирішення</w:t>
            </w:r>
            <w:proofErr w:type="spellEnd"/>
            <w:r w:rsidR="00B22BDC" w:rsidRPr="00B22BDC">
              <w:rPr>
                <w:rFonts w:eastAsia="Calibri"/>
                <w:color w:val="000000"/>
                <w:sz w:val="24"/>
                <w:szCs w:val="24"/>
              </w:rPr>
              <w:t xml:space="preserve"> ряду </w:t>
            </w:r>
            <w:proofErr w:type="spellStart"/>
            <w:r w:rsidR="00B22BDC" w:rsidRPr="00B22BDC">
              <w:rPr>
                <w:rFonts w:eastAsia="Calibri"/>
                <w:color w:val="000000"/>
                <w:sz w:val="24"/>
                <w:szCs w:val="24"/>
              </w:rPr>
              <w:t>питань</w:t>
            </w:r>
            <w:proofErr w:type="spellEnd"/>
            <w:r w:rsidR="00B22BDC" w:rsidRPr="00B22BDC">
              <w:rPr>
                <w:rFonts w:eastAsia="Calibri"/>
                <w:color w:val="000000"/>
                <w:sz w:val="24"/>
                <w:szCs w:val="24"/>
              </w:rPr>
              <w:t xml:space="preserve">, </w:t>
            </w:r>
            <w:proofErr w:type="spellStart"/>
            <w:r w:rsidR="00B22BDC" w:rsidRPr="00B22BDC">
              <w:rPr>
                <w:rFonts w:eastAsia="Calibri"/>
                <w:color w:val="000000"/>
                <w:sz w:val="24"/>
                <w:szCs w:val="24"/>
              </w:rPr>
              <w:t>пов’язани</w:t>
            </w:r>
            <w:proofErr w:type="spellEnd"/>
            <w:r w:rsidR="00B22BDC" w:rsidRPr="00B22BDC">
              <w:rPr>
                <w:rFonts w:eastAsia="Calibri"/>
                <w:color w:val="000000"/>
                <w:sz w:val="24"/>
                <w:szCs w:val="24"/>
                <w:lang w:val="uk-UA"/>
              </w:rPr>
              <w:t>х</w:t>
            </w:r>
            <w:r w:rsidR="00B22BDC" w:rsidRPr="00B22BDC">
              <w:rPr>
                <w:rFonts w:eastAsia="Calibri"/>
                <w:color w:val="000000"/>
                <w:sz w:val="24"/>
                <w:szCs w:val="24"/>
              </w:rPr>
              <w:t xml:space="preserve"> з </w:t>
            </w:r>
            <w:proofErr w:type="spellStart"/>
            <w:r w:rsidR="00B22BDC" w:rsidRPr="00B22BDC">
              <w:rPr>
                <w:rFonts w:eastAsia="Calibri"/>
                <w:color w:val="000000"/>
                <w:sz w:val="24"/>
                <w:szCs w:val="24"/>
              </w:rPr>
              <w:t>відбудовою</w:t>
            </w:r>
            <w:proofErr w:type="spellEnd"/>
            <w:r w:rsidR="00B22BDC" w:rsidRPr="00B22BDC">
              <w:rPr>
                <w:rFonts w:eastAsia="Calibri"/>
                <w:color w:val="000000"/>
                <w:sz w:val="24"/>
                <w:szCs w:val="24"/>
              </w:rPr>
              <w:t xml:space="preserve"> </w:t>
            </w:r>
            <w:proofErr w:type="spellStart"/>
            <w:r w:rsidR="00B22BDC" w:rsidRPr="00B22BDC">
              <w:rPr>
                <w:rFonts w:eastAsia="Calibri"/>
                <w:color w:val="000000"/>
                <w:sz w:val="24"/>
                <w:szCs w:val="24"/>
              </w:rPr>
              <w:t>житлового</w:t>
            </w:r>
            <w:proofErr w:type="spellEnd"/>
            <w:r w:rsidR="00B22BDC" w:rsidRPr="00B22BDC">
              <w:rPr>
                <w:rFonts w:eastAsia="Calibri"/>
                <w:color w:val="000000"/>
                <w:sz w:val="24"/>
                <w:szCs w:val="24"/>
              </w:rPr>
              <w:t xml:space="preserve"> фонду та </w:t>
            </w:r>
            <w:proofErr w:type="spellStart"/>
            <w:r w:rsidR="00B22BDC" w:rsidRPr="00B22BDC">
              <w:rPr>
                <w:rFonts w:eastAsia="Calibri"/>
                <w:color w:val="000000"/>
                <w:sz w:val="24"/>
                <w:szCs w:val="24"/>
              </w:rPr>
              <w:t>розвитком</w:t>
            </w:r>
            <w:proofErr w:type="spellEnd"/>
            <w:r w:rsidR="00B22BDC" w:rsidRPr="00B22BDC">
              <w:rPr>
                <w:rFonts w:eastAsia="Calibri"/>
                <w:color w:val="000000"/>
                <w:sz w:val="24"/>
                <w:szCs w:val="24"/>
              </w:rPr>
              <w:t xml:space="preserve"> </w:t>
            </w:r>
            <w:proofErr w:type="spellStart"/>
            <w:r w:rsidR="00B22BDC" w:rsidRPr="00B22BDC">
              <w:rPr>
                <w:rFonts w:eastAsia="Calibri"/>
                <w:color w:val="000000"/>
                <w:sz w:val="24"/>
                <w:szCs w:val="24"/>
              </w:rPr>
              <w:t>громади</w:t>
            </w:r>
            <w:proofErr w:type="spellEnd"/>
          </w:p>
        </w:tc>
        <w:tc>
          <w:tcPr>
            <w:tcW w:w="1696" w:type="dxa"/>
          </w:tcPr>
          <w:p w:rsidR="00B22BDC" w:rsidRPr="00B22BDC" w:rsidRDefault="00B22BDC" w:rsidP="007E2693">
            <w:pPr>
              <w:autoSpaceDE w:val="0"/>
              <w:snapToGrid w:val="0"/>
              <w:rPr>
                <w:rFonts w:eastAsia="Calibri"/>
                <w:color w:val="000000"/>
                <w:sz w:val="24"/>
                <w:szCs w:val="24"/>
                <w:lang w:val="uk-UA"/>
              </w:rPr>
            </w:pPr>
          </w:p>
        </w:tc>
      </w:tr>
      <w:tr w:rsidR="00B22BDC" w:rsidRPr="00B22BDC" w:rsidTr="00F7531A">
        <w:tc>
          <w:tcPr>
            <w:tcW w:w="1954" w:type="dxa"/>
            <w:vMerge w:val="restart"/>
          </w:tcPr>
          <w:p w:rsidR="00B22BDC" w:rsidRPr="00B22BDC" w:rsidRDefault="00B22BDC" w:rsidP="007E2693">
            <w:pPr>
              <w:rPr>
                <w:b/>
                <w:sz w:val="24"/>
                <w:szCs w:val="24"/>
              </w:rPr>
            </w:pPr>
            <w:proofErr w:type="spellStart"/>
            <w:r w:rsidRPr="00B22BDC">
              <w:rPr>
                <w:sz w:val="24"/>
                <w:szCs w:val="24"/>
              </w:rPr>
              <w:t>Відновлення</w:t>
            </w:r>
            <w:proofErr w:type="spellEnd"/>
            <w:r w:rsidRPr="00B22BDC">
              <w:rPr>
                <w:sz w:val="24"/>
                <w:szCs w:val="24"/>
              </w:rPr>
              <w:t xml:space="preserve"> </w:t>
            </w:r>
            <w:proofErr w:type="spellStart"/>
            <w:r w:rsidRPr="00B22BDC">
              <w:rPr>
                <w:sz w:val="24"/>
                <w:szCs w:val="24"/>
              </w:rPr>
              <w:t>об’єктів</w:t>
            </w:r>
            <w:proofErr w:type="spellEnd"/>
            <w:r w:rsidRPr="00B22BDC">
              <w:rPr>
                <w:sz w:val="24"/>
                <w:szCs w:val="24"/>
              </w:rPr>
              <w:t xml:space="preserve"> </w:t>
            </w:r>
            <w:proofErr w:type="spellStart"/>
            <w:r w:rsidRPr="00B22BDC">
              <w:rPr>
                <w:sz w:val="24"/>
                <w:szCs w:val="24"/>
              </w:rPr>
              <w:t>соціальної</w:t>
            </w:r>
            <w:proofErr w:type="spellEnd"/>
            <w:r w:rsidRPr="00B22BDC">
              <w:rPr>
                <w:sz w:val="24"/>
                <w:szCs w:val="24"/>
              </w:rPr>
              <w:t xml:space="preserve"> </w:t>
            </w:r>
            <w:proofErr w:type="spellStart"/>
            <w:r w:rsidRPr="00B22BDC">
              <w:rPr>
                <w:sz w:val="24"/>
                <w:szCs w:val="24"/>
              </w:rPr>
              <w:t>інфраструктури</w:t>
            </w:r>
            <w:proofErr w:type="spellEnd"/>
          </w:p>
        </w:tc>
        <w:tc>
          <w:tcPr>
            <w:tcW w:w="2616" w:type="dxa"/>
          </w:tcPr>
          <w:p w:rsidR="00B22BDC" w:rsidRPr="00B22BDC" w:rsidRDefault="00B22BDC" w:rsidP="007E2693">
            <w:pPr>
              <w:rPr>
                <w:b/>
                <w:sz w:val="24"/>
                <w:szCs w:val="24"/>
                <w:lang w:val="uk-UA"/>
              </w:rPr>
            </w:pPr>
            <w:r w:rsidRPr="00B22BDC">
              <w:rPr>
                <w:sz w:val="24"/>
                <w:szCs w:val="24"/>
                <w:lang w:val="uk-UA"/>
              </w:rPr>
              <w:t>Кількість відновлених</w:t>
            </w:r>
            <w:r w:rsidRPr="00B22BDC">
              <w:rPr>
                <w:b/>
                <w:sz w:val="24"/>
                <w:szCs w:val="24"/>
                <w:lang w:val="uk-UA"/>
              </w:rPr>
              <w:t xml:space="preserve"> </w:t>
            </w:r>
            <w:proofErr w:type="spellStart"/>
            <w:r w:rsidRPr="00B22BDC">
              <w:rPr>
                <w:sz w:val="24"/>
                <w:szCs w:val="24"/>
              </w:rPr>
              <w:t>об’єктів</w:t>
            </w:r>
            <w:proofErr w:type="spellEnd"/>
            <w:r w:rsidRPr="00B22BDC">
              <w:rPr>
                <w:sz w:val="24"/>
                <w:szCs w:val="24"/>
                <w:lang w:val="uk-UA"/>
              </w:rPr>
              <w:t xml:space="preserve"> закладів освіти</w:t>
            </w:r>
          </w:p>
        </w:tc>
        <w:tc>
          <w:tcPr>
            <w:tcW w:w="4390" w:type="dxa"/>
            <w:vMerge w:val="restart"/>
          </w:tcPr>
          <w:p w:rsidR="00B22BDC" w:rsidRPr="00B22BDC" w:rsidRDefault="00B22BDC" w:rsidP="007E2693">
            <w:pPr>
              <w:rPr>
                <w:color w:val="000000"/>
                <w:sz w:val="24"/>
                <w:szCs w:val="24"/>
                <w:lang w:val="uk-UA"/>
              </w:rPr>
            </w:pPr>
            <w:r w:rsidRPr="00B22BDC">
              <w:rPr>
                <w:color w:val="000000"/>
                <w:sz w:val="24"/>
                <w:szCs w:val="24"/>
                <w:lang w:val="uk-UA"/>
              </w:rPr>
              <w:t>Задоволення освітніх потреб населення для сталого розвитку громади.</w:t>
            </w:r>
            <w:r w:rsidRPr="00B22BDC">
              <w:rPr>
                <w:color w:val="000000"/>
                <w:sz w:val="24"/>
                <w:szCs w:val="24"/>
                <w:lang w:val="uk-UA"/>
              </w:rPr>
              <w:br/>
              <w:t xml:space="preserve">Створення сучасного інклюзивного </w:t>
            </w:r>
            <w:proofErr w:type="spellStart"/>
            <w:r w:rsidRPr="00B22BDC">
              <w:rPr>
                <w:color w:val="000000"/>
                <w:sz w:val="24"/>
                <w:szCs w:val="24"/>
                <w:lang w:val="uk-UA"/>
              </w:rPr>
              <w:t>освітньо</w:t>
            </w:r>
            <w:proofErr w:type="spellEnd"/>
            <w:r w:rsidRPr="00B22BDC">
              <w:rPr>
                <w:color w:val="000000"/>
                <w:sz w:val="24"/>
                <w:szCs w:val="24"/>
                <w:lang w:val="uk-UA"/>
              </w:rPr>
              <w:t>-культурного та спортивного простору для розвитку школярів.</w:t>
            </w:r>
            <w:r w:rsidRPr="00B22BDC">
              <w:rPr>
                <w:color w:val="000000"/>
                <w:sz w:val="24"/>
                <w:szCs w:val="24"/>
                <w:lang w:val="uk-UA"/>
              </w:rPr>
              <w:br/>
              <w:t xml:space="preserve">Збереження робочих місць для вчителів і працівників </w:t>
            </w:r>
            <w:r w:rsidR="00BF70A9">
              <w:rPr>
                <w:color w:val="000000"/>
                <w:sz w:val="24"/>
                <w:szCs w:val="24"/>
                <w:lang w:val="uk-UA"/>
              </w:rPr>
              <w:t>закладів освіти</w:t>
            </w:r>
            <w:r w:rsidRPr="00B22BDC">
              <w:rPr>
                <w:color w:val="000000"/>
                <w:sz w:val="24"/>
                <w:szCs w:val="24"/>
                <w:lang w:val="uk-UA"/>
              </w:rPr>
              <w:t>.</w:t>
            </w:r>
            <w:r w:rsidRPr="00B22BDC">
              <w:rPr>
                <w:color w:val="000000"/>
                <w:sz w:val="24"/>
                <w:szCs w:val="24"/>
                <w:lang w:val="uk-UA"/>
              </w:rPr>
              <w:br/>
              <w:t>Стимул до повернення ВПО до громади.</w:t>
            </w:r>
          </w:p>
          <w:p w:rsidR="00B22BDC" w:rsidRPr="00B22BDC" w:rsidRDefault="00B22BDC" w:rsidP="007E2693">
            <w:pPr>
              <w:rPr>
                <w:b/>
                <w:sz w:val="24"/>
                <w:szCs w:val="24"/>
                <w:lang w:val="uk-UA"/>
              </w:rPr>
            </w:pPr>
            <w:r w:rsidRPr="00B22BDC">
              <w:rPr>
                <w:color w:val="000000"/>
                <w:sz w:val="24"/>
                <w:szCs w:val="24"/>
                <w:lang w:val="uk-UA"/>
              </w:rPr>
              <w:t xml:space="preserve">Створення умов для надання якісних освітніх послуг дітям з особливими освітніми потребами. </w:t>
            </w:r>
            <w:r w:rsidRPr="00B22BDC">
              <w:rPr>
                <w:color w:val="000000"/>
                <w:sz w:val="24"/>
                <w:szCs w:val="24"/>
                <w:lang w:val="uk-UA"/>
              </w:rPr>
              <w:br/>
              <w:t>Створення в закладах освіти комфортних умов для організації та здійснення якісного, збалансованого і доступного харчування учнів.   Охоплення найбільшої кількості учасників освітнього процесу гарячим харчуванням;  збереження та зміцнення здоров'я дітей.</w:t>
            </w:r>
          </w:p>
        </w:tc>
        <w:tc>
          <w:tcPr>
            <w:tcW w:w="1696" w:type="dxa"/>
            <w:vMerge w:val="restart"/>
          </w:tcPr>
          <w:p w:rsidR="00B22BDC" w:rsidRPr="00B22BDC" w:rsidRDefault="00B22BDC" w:rsidP="007E2693">
            <w:pPr>
              <w:rPr>
                <w:color w:val="000000"/>
                <w:sz w:val="24"/>
                <w:szCs w:val="24"/>
                <w:lang w:val="uk-UA"/>
              </w:rPr>
            </w:pPr>
          </w:p>
        </w:tc>
      </w:tr>
      <w:tr w:rsidR="00B22BDC" w:rsidRPr="00B22BDC" w:rsidTr="00F7531A">
        <w:tc>
          <w:tcPr>
            <w:tcW w:w="1954" w:type="dxa"/>
            <w:vMerge/>
          </w:tcPr>
          <w:p w:rsidR="00B22BDC" w:rsidRPr="00B22BDC" w:rsidRDefault="00B22BDC" w:rsidP="007E2693">
            <w:pPr>
              <w:rPr>
                <w:sz w:val="24"/>
                <w:szCs w:val="24"/>
                <w:lang w:val="uk-UA"/>
              </w:rPr>
            </w:pPr>
          </w:p>
        </w:tc>
        <w:tc>
          <w:tcPr>
            <w:tcW w:w="2616" w:type="dxa"/>
          </w:tcPr>
          <w:p w:rsidR="00B22BDC" w:rsidRPr="00B22BDC" w:rsidRDefault="00B22BDC" w:rsidP="007E2693">
            <w:pPr>
              <w:rPr>
                <w:sz w:val="24"/>
                <w:szCs w:val="24"/>
                <w:lang w:val="uk-UA"/>
              </w:rPr>
            </w:pPr>
            <w:r w:rsidRPr="00B22BDC">
              <w:rPr>
                <w:sz w:val="24"/>
                <w:szCs w:val="24"/>
                <w:lang w:val="uk-UA"/>
              </w:rPr>
              <w:t>Кількість отримувачів освітніх послуг</w:t>
            </w:r>
          </w:p>
        </w:tc>
        <w:tc>
          <w:tcPr>
            <w:tcW w:w="4390" w:type="dxa"/>
            <w:vMerge/>
          </w:tcPr>
          <w:p w:rsidR="00B22BDC" w:rsidRPr="00B22BDC" w:rsidRDefault="00B22BDC" w:rsidP="007E2693">
            <w:pPr>
              <w:rPr>
                <w:color w:val="000000"/>
                <w:sz w:val="24"/>
                <w:szCs w:val="24"/>
                <w:lang w:val="uk-UA"/>
              </w:rPr>
            </w:pPr>
          </w:p>
        </w:tc>
        <w:tc>
          <w:tcPr>
            <w:tcW w:w="1696" w:type="dxa"/>
            <w:vMerge/>
          </w:tcPr>
          <w:p w:rsidR="00B22BDC" w:rsidRPr="00B22BDC" w:rsidRDefault="00B22BDC" w:rsidP="007E2693">
            <w:pPr>
              <w:rPr>
                <w:color w:val="000000"/>
                <w:sz w:val="24"/>
                <w:szCs w:val="24"/>
                <w:lang w:val="uk-UA"/>
              </w:rPr>
            </w:pPr>
          </w:p>
        </w:tc>
      </w:tr>
      <w:tr w:rsidR="00B22BDC" w:rsidRPr="00B22BDC" w:rsidTr="00F7531A">
        <w:tc>
          <w:tcPr>
            <w:tcW w:w="1954" w:type="dxa"/>
            <w:vMerge/>
          </w:tcPr>
          <w:p w:rsidR="00B22BDC" w:rsidRPr="00B22BDC" w:rsidRDefault="00B22BDC" w:rsidP="007E2693">
            <w:pPr>
              <w:rPr>
                <w:b/>
                <w:sz w:val="24"/>
                <w:szCs w:val="24"/>
                <w:lang w:val="uk-UA"/>
              </w:rPr>
            </w:pPr>
          </w:p>
        </w:tc>
        <w:tc>
          <w:tcPr>
            <w:tcW w:w="2616" w:type="dxa"/>
          </w:tcPr>
          <w:p w:rsidR="00B22BDC" w:rsidRPr="00B22BDC" w:rsidRDefault="00B22BDC" w:rsidP="007E2693">
            <w:pPr>
              <w:rPr>
                <w:b/>
                <w:sz w:val="24"/>
                <w:szCs w:val="24"/>
                <w:lang w:val="uk-UA"/>
              </w:rPr>
            </w:pPr>
            <w:r w:rsidRPr="00B22BDC">
              <w:rPr>
                <w:sz w:val="24"/>
                <w:szCs w:val="24"/>
                <w:lang w:val="uk-UA"/>
              </w:rPr>
              <w:t>Кількість відновлених</w:t>
            </w:r>
            <w:r w:rsidRPr="00B22BDC">
              <w:rPr>
                <w:sz w:val="24"/>
                <w:szCs w:val="24"/>
              </w:rPr>
              <w:t xml:space="preserve"> </w:t>
            </w:r>
            <w:r w:rsidRPr="00B22BDC">
              <w:rPr>
                <w:sz w:val="24"/>
                <w:szCs w:val="24"/>
                <w:lang w:val="uk-UA"/>
              </w:rPr>
              <w:t>з</w:t>
            </w:r>
            <w:proofErr w:type="spellStart"/>
            <w:r w:rsidRPr="00B22BDC">
              <w:rPr>
                <w:sz w:val="24"/>
                <w:szCs w:val="24"/>
              </w:rPr>
              <w:t>аклад</w:t>
            </w:r>
            <w:r w:rsidRPr="00B22BDC">
              <w:rPr>
                <w:sz w:val="24"/>
                <w:szCs w:val="24"/>
                <w:lang w:val="uk-UA"/>
              </w:rPr>
              <w:t>ів</w:t>
            </w:r>
            <w:proofErr w:type="spellEnd"/>
            <w:r w:rsidRPr="00B22BDC">
              <w:rPr>
                <w:sz w:val="24"/>
                <w:szCs w:val="24"/>
              </w:rPr>
              <w:t xml:space="preserve"> та </w:t>
            </w:r>
            <w:proofErr w:type="spellStart"/>
            <w:r w:rsidRPr="00B22BDC">
              <w:rPr>
                <w:sz w:val="24"/>
                <w:szCs w:val="24"/>
              </w:rPr>
              <w:t>установ</w:t>
            </w:r>
            <w:proofErr w:type="spellEnd"/>
            <w:r w:rsidRPr="00B22BDC">
              <w:rPr>
                <w:sz w:val="24"/>
                <w:szCs w:val="24"/>
              </w:rPr>
              <w:t xml:space="preserve"> </w:t>
            </w:r>
            <w:proofErr w:type="spellStart"/>
            <w:r w:rsidRPr="00B22BDC">
              <w:rPr>
                <w:sz w:val="24"/>
                <w:szCs w:val="24"/>
              </w:rPr>
              <w:t>соціального</w:t>
            </w:r>
            <w:proofErr w:type="spellEnd"/>
            <w:r w:rsidRPr="00B22BDC">
              <w:rPr>
                <w:sz w:val="24"/>
                <w:szCs w:val="24"/>
              </w:rPr>
              <w:t xml:space="preserve"> </w:t>
            </w:r>
            <w:proofErr w:type="spellStart"/>
            <w:r w:rsidRPr="00B22BDC">
              <w:rPr>
                <w:sz w:val="24"/>
                <w:szCs w:val="24"/>
              </w:rPr>
              <w:t>захисту</w:t>
            </w:r>
            <w:proofErr w:type="spellEnd"/>
            <w:r w:rsidRPr="00B22BDC">
              <w:rPr>
                <w:sz w:val="24"/>
                <w:szCs w:val="24"/>
              </w:rPr>
              <w:t xml:space="preserve"> </w:t>
            </w:r>
            <w:proofErr w:type="spellStart"/>
            <w:r w:rsidRPr="00B22BDC">
              <w:rPr>
                <w:sz w:val="24"/>
                <w:szCs w:val="24"/>
              </w:rPr>
              <w:t>населення</w:t>
            </w:r>
            <w:proofErr w:type="spellEnd"/>
          </w:p>
        </w:tc>
        <w:tc>
          <w:tcPr>
            <w:tcW w:w="4390" w:type="dxa"/>
            <w:vMerge w:val="restart"/>
          </w:tcPr>
          <w:p w:rsidR="00B22BDC" w:rsidRPr="00B22BDC" w:rsidRDefault="00B22BDC" w:rsidP="007E2693">
            <w:pPr>
              <w:rPr>
                <w:b/>
                <w:sz w:val="24"/>
                <w:szCs w:val="24"/>
                <w:lang w:val="uk-UA"/>
              </w:rPr>
            </w:pPr>
            <w:r w:rsidRPr="00B22BDC">
              <w:rPr>
                <w:sz w:val="24"/>
                <w:szCs w:val="24"/>
                <w:lang w:val="uk-UA"/>
              </w:rPr>
              <w:t>Забезпечення на відповідному рівні реалізації державної політики у сфері соціального захисту населення, дітей, внутрішньо переміщених осіб, підтримки сімей, у тому числі сімей з дітьми, багатодітних; запобігання домашньому насильству; забезпечення рівності прав чоловіків та жінок, протидії торгівлі людьми; виконання програм і заходів у цій сфері.</w:t>
            </w:r>
          </w:p>
          <w:p w:rsidR="00B22BDC" w:rsidRPr="00B22BDC" w:rsidRDefault="00B22BDC" w:rsidP="007E2693">
            <w:pPr>
              <w:rPr>
                <w:b/>
                <w:sz w:val="24"/>
                <w:szCs w:val="24"/>
                <w:lang w:val="uk-UA"/>
              </w:rPr>
            </w:pPr>
            <w:r w:rsidRPr="00B22BDC">
              <w:rPr>
                <w:sz w:val="24"/>
                <w:szCs w:val="24"/>
                <w:lang w:val="uk-UA"/>
              </w:rPr>
              <w:lastRenderedPageBreak/>
              <w:t xml:space="preserve">Надання реабілітаційних послуг в умовах, що максимально відповідають санітарним нормам та вимогам, </w:t>
            </w:r>
            <w:proofErr w:type="spellStart"/>
            <w:r w:rsidRPr="00B22BDC">
              <w:rPr>
                <w:sz w:val="24"/>
                <w:szCs w:val="24"/>
                <w:lang w:val="uk-UA"/>
              </w:rPr>
              <w:t>предˈявленим</w:t>
            </w:r>
            <w:proofErr w:type="spellEnd"/>
            <w:r w:rsidRPr="00B22BDC">
              <w:rPr>
                <w:sz w:val="24"/>
                <w:szCs w:val="24"/>
                <w:lang w:val="uk-UA"/>
              </w:rPr>
              <w:t xml:space="preserve"> до </w:t>
            </w:r>
            <w:proofErr w:type="spellStart"/>
            <w:r w:rsidRPr="00B22BDC">
              <w:rPr>
                <w:sz w:val="24"/>
                <w:szCs w:val="24"/>
                <w:lang w:val="uk-UA"/>
              </w:rPr>
              <w:t>реабілітаційно</w:t>
            </w:r>
            <w:proofErr w:type="spellEnd"/>
            <w:r w:rsidRPr="00B22BDC">
              <w:rPr>
                <w:sz w:val="24"/>
                <w:szCs w:val="24"/>
                <w:lang w:val="uk-UA"/>
              </w:rPr>
              <w:t xml:space="preserve"> - освітнього простору дітей з інвалідністю; створення нових робочих місць</w:t>
            </w:r>
          </w:p>
        </w:tc>
        <w:tc>
          <w:tcPr>
            <w:tcW w:w="1696" w:type="dxa"/>
            <w:vMerge w:val="restart"/>
          </w:tcPr>
          <w:p w:rsidR="00B22BDC" w:rsidRPr="00B22BDC" w:rsidRDefault="00B22BDC" w:rsidP="007E2693">
            <w:pPr>
              <w:rPr>
                <w:sz w:val="24"/>
                <w:szCs w:val="24"/>
                <w:lang w:val="uk-UA"/>
              </w:rPr>
            </w:pPr>
          </w:p>
        </w:tc>
      </w:tr>
      <w:tr w:rsidR="00B22BDC" w:rsidRPr="00B22BDC" w:rsidTr="00F7531A">
        <w:tc>
          <w:tcPr>
            <w:tcW w:w="1954" w:type="dxa"/>
            <w:vMerge/>
          </w:tcPr>
          <w:p w:rsidR="00B22BDC" w:rsidRPr="00B22BDC" w:rsidRDefault="00B22BDC" w:rsidP="007E2693">
            <w:pPr>
              <w:rPr>
                <w:b/>
                <w:sz w:val="24"/>
                <w:szCs w:val="24"/>
                <w:lang w:val="uk-UA"/>
              </w:rPr>
            </w:pPr>
          </w:p>
        </w:tc>
        <w:tc>
          <w:tcPr>
            <w:tcW w:w="2616" w:type="dxa"/>
          </w:tcPr>
          <w:p w:rsidR="00B22BDC" w:rsidRPr="00B22BDC" w:rsidRDefault="00B22BDC" w:rsidP="007E2693">
            <w:pPr>
              <w:rPr>
                <w:sz w:val="24"/>
                <w:szCs w:val="24"/>
                <w:lang w:val="uk-UA"/>
              </w:rPr>
            </w:pPr>
            <w:r w:rsidRPr="00B22BDC">
              <w:rPr>
                <w:sz w:val="24"/>
                <w:szCs w:val="24"/>
                <w:lang w:val="uk-UA"/>
              </w:rPr>
              <w:t>Кількість осіб, які отримують послуги</w:t>
            </w:r>
          </w:p>
        </w:tc>
        <w:tc>
          <w:tcPr>
            <w:tcW w:w="4390" w:type="dxa"/>
            <w:vMerge/>
          </w:tcPr>
          <w:p w:rsidR="00B22BDC" w:rsidRPr="00B22BDC" w:rsidRDefault="00B22BDC" w:rsidP="007E2693">
            <w:pPr>
              <w:rPr>
                <w:b/>
                <w:sz w:val="24"/>
                <w:szCs w:val="24"/>
                <w:lang w:val="uk-UA"/>
              </w:rPr>
            </w:pPr>
          </w:p>
        </w:tc>
        <w:tc>
          <w:tcPr>
            <w:tcW w:w="1696" w:type="dxa"/>
            <w:vMerge/>
          </w:tcPr>
          <w:p w:rsidR="00B22BDC" w:rsidRPr="00B22BDC" w:rsidRDefault="00B22BDC" w:rsidP="007E2693">
            <w:pPr>
              <w:rPr>
                <w:b/>
                <w:sz w:val="24"/>
                <w:szCs w:val="24"/>
                <w:lang w:val="uk-UA"/>
              </w:rPr>
            </w:pPr>
          </w:p>
        </w:tc>
      </w:tr>
      <w:tr w:rsidR="00B22BDC" w:rsidRPr="00B22BDC" w:rsidTr="00F7531A">
        <w:trPr>
          <w:trHeight w:val="870"/>
        </w:trPr>
        <w:tc>
          <w:tcPr>
            <w:tcW w:w="1954" w:type="dxa"/>
            <w:vMerge/>
          </w:tcPr>
          <w:p w:rsidR="00B22BDC" w:rsidRPr="00B22BDC" w:rsidRDefault="00B22BDC" w:rsidP="007E2693">
            <w:pPr>
              <w:rPr>
                <w:b/>
                <w:sz w:val="24"/>
                <w:szCs w:val="24"/>
                <w:lang w:val="uk-UA"/>
              </w:rPr>
            </w:pPr>
          </w:p>
        </w:tc>
        <w:tc>
          <w:tcPr>
            <w:tcW w:w="2616" w:type="dxa"/>
          </w:tcPr>
          <w:p w:rsidR="00B22BDC" w:rsidRPr="00B22BDC" w:rsidRDefault="00B22BDC" w:rsidP="007E2693">
            <w:pPr>
              <w:rPr>
                <w:sz w:val="24"/>
                <w:szCs w:val="24"/>
                <w:lang w:val="uk-UA"/>
              </w:rPr>
            </w:pPr>
            <w:r w:rsidRPr="00B22BDC">
              <w:rPr>
                <w:sz w:val="24"/>
                <w:szCs w:val="24"/>
                <w:lang w:val="uk-UA"/>
              </w:rPr>
              <w:t>Кількість відновлених</w:t>
            </w:r>
            <w:r w:rsidRPr="00B22BDC">
              <w:rPr>
                <w:sz w:val="24"/>
                <w:szCs w:val="24"/>
              </w:rPr>
              <w:t xml:space="preserve"> </w:t>
            </w:r>
            <w:r w:rsidRPr="00B22BDC">
              <w:rPr>
                <w:sz w:val="24"/>
                <w:szCs w:val="24"/>
                <w:lang w:val="uk-UA"/>
              </w:rPr>
              <w:t>з</w:t>
            </w:r>
            <w:proofErr w:type="spellStart"/>
            <w:r w:rsidRPr="00B22BDC">
              <w:rPr>
                <w:sz w:val="24"/>
                <w:szCs w:val="24"/>
              </w:rPr>
              <w:t>аклад</w:t>
            </w:r>
            <w:r w:rsidRPr="00B22BDC">
              <w:rPr>
                <w:sz w:val="24"/>
                <w:szCs w:val="24"/>
                <w:lang w:val="uk-UA"/>
              </w:rPr>
              <w:t>ів</w:t>
            </w:r>
            <w:proofErr w:type="spellEnd"/>
            <w:r w:rsidRPr="00B22BDC">
              <w:rPr>
                <w:sz w:val="24"/>
                <w:szCs w:val="24"/>
              </w:rPr>
              <w:t xml:space="preserve"> </w:t>
            </w:r>
            <w:proofErr w:type="spellStart"/>
            <w:r w:rsidRPr="00B22BDC">
              <w:rPr>
                <w:sz w:val="24"/>
                <w:szCs w:val="24"/>
              </w:rPr>
              <w:t>культури</w:t>
            </w:r>
            <w:proofErr w:type="spellEnd"/>
          </w:p>
          <w:p w:rsidR="00B22BDC" w:rsidRPr="00B22BDC" w:rsidRDefault="00B22BDC" w:rsidP="007E2693">
            <w:pPr>
              <w:rPr>
                <w:sz w:val="24"/>
                <w:szCs w:val="24"/>
                <w:lang w:val="uk-UA"/>
              </w:rPr>
            </w:pPr>
          </w:p>
          <w:p w:rsidR="00B22BDC" w:rsidRPr="00B22BDC" w:rsidRDefault="00B22BDC" w:rsidP="007E2693">
            <w:pPr>
              <w:rPr>
                <w:sz w:val="24"/>
                <w:szCs w:val="24"/>
                <w:lang w:val="uk-UA"/>
              </w:rPr>
            </w:pPr>
          </w:p>
          <w:p w:rsidR="00B22BDC" w:rsidRPr="00B22BDC" w:rsidRDefault="00B22BDC" w:rsidP="007E2693">
            <w:pPr>
              <w:rPr>
                <w:sz w:val="24"/>
                <w:szCs w:val="24"/>
                <w:lang w:val="uk-UA"/>
              </w:rPr>
            </w:pPr>
          </w:p>
          <w:p w:rsidR="00B22BDC" w:rsidRPr="00B22BDC" w:rsidRDefault="00B22BDC" w:rsidP="007E2693">
            <w:pPr>
              <w:rPr>
                <w:sz w:val="24"/>
                <w:szCs w:val="24"/>
                <w:lang w:val="uk-UA"/>
              </w:rPr>
            </w:pPr>
            <w:r w:rsidRPr="00B22BDC">
              <w:rPr>
                <w:sz w:val="24"/>
                <w:szCs w:val="24"/>
                <w:lang w:val="uk-UA"/>
              </w:rPr>
              <w:t>____________________</w:t>
            </w:r>
          </w:p>
          <w:p w:rsidR="00B22BDC" w:rsidRPr="00B22BDC" w:rsidRDefault="00B22BDC" w:rsidP="007E2693">
            <w:pPr>
              <w:rPr>
                <w:sz w:val="24"/>
                <w:szCs w:val="24"/>
                <w:lang w:val="uk-UA"/>
              </w:rPr>
            </w:pPr>
          </w:p>
          <w:p w:rsidR="00B22BDC" w:rsidRPr="00B22BDC" w:rsidRDefault="00B22BDC" w:rsidP="007E2693">
            <w:pPr>
              <w:rPr>
                <w:sz w:val="24"/>
                <w:szCs w:val="24"/>
                <w:lang w:val="uk-UA"/>
              </w:rPr>
            </w:pPr>
          </w:p>
          <w:p w:rsidR="00B22BDC" w:rsidRPr="00B22BDC" w:rsidRDefault="00B22BDC" w:rsidP="007E2693">
            <w:pPr>
              <w:rPr>
                <w:sz w:val="24"/>
                <w:szCs w:val="24"/>
                <w:lang w:val="uk-UA"/>
              </w:rPr>
            </w:pPr>
          </w:p>
          <w:p w:rsidR="00B22BDC" w:rsidRPr="00B22BDC" w:rsidRDefault="00B22BDC" w:rsidP="007E2693">
            <w:pPr>
              <w:rPr>
                <w:sz w:val="24"/>
                <w:szCs w:val="24"/>
                <w:lang w:val="uk-UA"/>
              </w:rPr>
            </w:pPr>
          </w:p>
          <w:p w:rsidR="00B22BDC" w:rsidRPr="00B22BDC" w:rsidRDefault="00B22BDC" w:rsidP="007E2693">
            <w:pPr>
              <w:rPr>
                <w:sz w:val="24"/>
                <w:szCs w:val="24"/>
                <w:lang w:val="uk-UA"/>
              </w:rPr>
            </w:pPr>
          </w:p>
          <w:p w:rsidR="00B22BDC" w:rsidRPr="00B22BDC" w:rsidRDefault="00B22BDC" w:rsidP="007E2693">
            <w:pPr>
              <w:rPr>
                <w:sz w:val="24"/>
                <w:szCs w:val="24"/>
                <w:lang w:val="uk-UA"/>
              </w:rPr>
            </w:pPr>
          </w:p>
          <w:p w:rsidR="00B22BDC" w:rsidRPr="00B22BDC" w:rsidRDefault="00B22BDC" w:rsidP="007E2693">
            <w:pPr>
              <w:rPr>
                <w:b/>
                <w:sz w:val="24"/>
                <w:szCs w:val="24"/>
                <w:lang w:val="uk-UA"/>
              </w:rPr>
            </w:pPr>
            <w:r w:rsidRPr="00B22BDC">
              <w:rPr>
                <w:sz w:val="24"/>
                <w:szCs w:val="24"/>
                <w:lang w:val="uk-UA"/>
              </w:rPr>
              <w:t>Кількість осіб, які отримують послуги</w:t>
            </w:r>
          </w:p>
        </w:tc>
        <w:tc>
          <w:tcPr>
            <w:tcW w:w="4390" w:type="dxa"/>
          </w:tcPr>
          <w:p w:rsidR="00B22BDC" w:rsidRPr="00B22BDC" w:rsidRDefault="00B22BDC" w:rsidP="007E2693">
            <w:pPr>
              <w:pStyle w:val="af7"/>
              <w:rPr>
                <w:bCs/>
                <w:sz w:val="24"/>
                <w:szCs w:val="24"/>
              </w:rPr>
            </w:pPr>
            <w:proofErr w:type="spellStart"/>
            <w:r w:rsidRPr="00B22BDC">
              <w:rPr>
                <w:bCs/>
                <w:sz w:val="24"/>
                <w:szCs w:val="24"/>
              </w:rPr>
              <w:t>Забезпечення</w:t>
            </w:r>
            <w:proofErr w:type="spellEnd"/>
            <w:r w:rsidRPr="00B22BDC">
              <w:rPr>
                <w:bCs/>
                <w:sz w:val="24"/>
                <w:szCs w:val="24"/>
              </w:rPr>
              <w:t xml:space="preserve"> </w:t>
            </w:r>
            <w:proofErr w:type="spellStart"/>
            <w:r w:rsidRPr="00B22BDC">
              <w:rPr>
                <w:bCs/>
                <w:sz w:val="24"/>
                <w:szCs w:val="24"/>
              </w:rPr>
              <w:t>населення</w:t>
            </w:r>
            <w:proofErr w:type="spellEnd"/>
            <w:r w:rsidRPr="00B22BDC">
              <w:rPr>
                <w:bCs/>
                <w:sz w:val="24"/>
                <w:szCs w:val="24"/>
              </w:rPr>
              <w:t xml:space="preserve"> </w:t>
            </w:r>
            <w:proofErr w:type="spellStart"/>
            <w:r w:rsidRPr="00B22BDC">
              <w:rPr>
                <w:bCs/>
                <w:sz w:val="24"/>
                <w:szCs w:val="24"/>
              </w:rPr>
              <w:t>можливостями</w:t>
            </w:r>
            <w:proofErr w:type="spellEnd"/>
            <w:r w:rsidRPr="00B22BDC">
              <w:rPr>
                <w:bCs/>
                <w:sz w:val="24"/>
                <w:szCs w:val="24"/>
              </w:rPr>
              <w:t xml:space="preserve"> для </w:t>
            </w:r>
            <w:proofErr w:type="spellStart"/>
            <w:r w:rsidRPr="00B22BDC">
              <w:rPr>
                <w:bCs/>
                <w:sz w:val="24"/>
                <w:szCs w:val="24"/>
              </w:rPr>
              <w:t>реалізації</w:t>
            </w:r>
            <w:proofErr w:type="spellEnd"/>
            <w:r w:rsidRPr="00B22BDC">
              <w:rPr>
                <w:bCs/>
                <w:sz w:val="24"/>
                <w:szCs w:val="24"/>
              </w:rPr>
              <w:t xml:space="preserve"> </w:t>
            </w:r>
            <w:proofErr w:type="spellStart"/>
            <w:r w:rsidRPr="00B22BDC">
              <w:rPr>
                <w:bCs/>
                <w:sz w:val="24"/>
                <w:szCs w:val="24"/>
              </w:rPr>
              <w:t>його</w:t>
            </w:r>
            <w:proofErr w:type="spellEnd"/>
            <w:r w:rsidRPr="00B22BDC">
              <w:rPr>
                <w:bCs/>
                <w:sz w:val="24"/>
                <w:szCs w:val="24"/>
              </w:rPr>
              <w:t xml:space="preserve"> </w:t>
            </w:r>
            <w:proofErr w:type="spellStart"/>
            <w:r w:rsidRPr="00B22BDC">
              <w:rPr>
                <w:bCs/>
                <w:sz w:val="24"/>
                <w:szCs w:val="24"/>
              </w:rPr>
              <w:t>конституційних</w:t>
            </w:r>
            <w:proofErr w:type="spellEnd"/>
            <w:r w:rsidRPr="00B22BDC">
              <w:rPr>
                <w:bCs/>
                <w:sz w:val="24"/>
                <w:szCs w:val="24"/>
              </w:rPr>
              <w:t xml:space="preserve"> прав.</w:t>
            </w:r>
          </w:p>
          <w:p w:rsidR="00B22BDC" w:rsidRPr="00B22BDC" w:rsidRDefault="00B22BDC" w:rsidP="007E2693">
            <w:pPr>
              <w:pStyle w:val="af7"/>
              <w:rPr>
                <w:b/>
                <w:bCs/>
                <w:sz w:val="24"/>
                <w:szCs w:val="24"/>
              </w:rPr>
            </w:pPr>
            <w:proofErr w:type="spellStart"/>
            <w:r w:rsidRPr="00B22BDC">
              <w:rPr>
                <w:bCs/>
                <w:sz w:val="24"/>
                <w:szCs w:val="24"/>
              </w:rPr>
              <w:t>Надання</w:t>
            </w:r>
            <w:proofErr w:type="spellEnd"/>
            <w:r w:rsidRPr="00B22BDC">
              <w:rPr>
                <w:bCs/>
                <w:sz w:val="24"/>
                <w:szCs w:val="24"/>
              </w:rPr>
              <w:t xml:space="preserve"> широкого спектру </w:t>
            </w:r>
            <w:proofErr w:type="spellStart"/>
            <w:r w:rsidRPr="00B22BDC">
              <w:rPr>
                <w:bCs/>
                <w:sz w:val="24"/>
                <w:szCs w:val="24"/>
              </w:rPr>
              <w:t>послуг</w:t>
            </w:r>
            <w:proofErr w:type="spellEnd"/>
            <w:r w:rsidRPr="00B22BDC">
              <w:rPr>
                <w:bCs/>
                <w:sz w:val="24"/>
                <w:szCs w:val="24"/>
              </w:rPr>
              <w:t xml:space="preserve">, </w:t>
            </w:r>
            <w:proofErr w:type="spellStart"/>
            <w:r w:rsidRPr="00B22BDC">
              <w:rPr>
                <w:bCs/>
                <w:sz w:val="24"/>
                <w:szCs w:val="24"/>
              </w:rPr>
              <w:t>пов’язаних</w:t>
            </w:r>
            <w:proofErr w:type="spellEnd"/>
            <w:r w:rsidRPr="00B22BDC">
              <w:rPr>
                <w:bCs/>
                <w:sz w:val="24"/>
                <w:szCs w:val="24"/>
              </w:rPr>
              <w:t xml:space="preserve"> </w:t>
            </w:r>
            <w:proofErr w:type="spellStart"/>
            <w:r w:rsidRPr="00B22BDC">
              <w:rPr>
                <w:bCs/>
                <w:sz w:val="24"/>
                <w:szCs w:val="24"/>
              </w:rPr>
              <w:t>із</w:t>
            </w:r>
            <w:proofErr w:type="spellEnd"/>
            <w:r w:rsidRPr="00B22BDC">
              <w:rPr>
                <w:bCs/>
                <w:sz w:val="24"/>
                <w:szCs w:val="24"/>
              </w:rPr>
              <w:t xml:space="preserve"> </w:t>
            </w:r>
            <w:proofErr w:type="spellStart"/>
            <w:r w:rsidRPr="00B22BDC">
              <w:rPr>
                <w:rStyle w:val="10"/>
                <w:rFonts w:eastAsia="Lucida Sans Unicode" w:cs="Times New Roman"/>
                <w:b w:val="0"/>
                <w:color w:val="000000" w:themeColor="text1"/>
                <w:sz w:val="24"/>
                <w:szCs w:val="24"/>
              </w:rPr>
              <w:t>можливостями</w:t>
            </w:r>
            <w:proofErr w:type="spellEnd"/>
            <w:r w:rsidRPr="00B22BDC">
              <w:rPr>
                <w:rStyle w:val="10"/>
                <w:rFonts w:eastAsia="Lucida Sans Unicode" w:cs="Times New Roman"/>
                <w:b w:val="0"/>
                <w:color w:val="000000" w:themeColor="text1"/>
                <w:sz w:val="24"/>
                <w:szCs w:val="24"/>
              </w:rPr>
              <w:t xml:space="preserve"> доступу </w:t>
            </w:r>
            <w:proofErr w:type="spellStart"/>
            <w:r w:rsidRPr="00B22BDC">
              <w:rPr>
                <w:rStyle w:val="10"/>
                <w:rFonts w:eastAsia="Lucida Sans Unicode" w:cs="Times New Roman"/>
                <w:b w:val="0"/>
                <w:color w:val="000000" w:themeColor="text1"/>
                <w:sz w:val="24"/>
                <w:szCs w:val="24"/>
              </w:rPr>
              <w:t>людини</w:t>
            </w:r>
            <w:proofErr w:type="spellEnd"/>
            <w:r w:rsidRPr="00B22BDC">
              <w:rPr>
                <w:rStyle w:val="10"/>
                <w:rFonts w:eastAsia="Lucida Sans Unicode" w:cs="Times New Roman"/>
                <w:b w:val="0"/>
                <w:color w:val="000000" w:themeColor="text1"/>
                <w:sz w:val="24"/>
                <w:szCs w:val="24"/>
              </w:rPr>
              <w:t xml:space="preserve"> до </w:t>
            </w:r>
            <w:proofErr w:type="spellStart"/>
            <w:r w:rsidRPr="00B22BDC">
              <w:rPr>
                <w:rStyle w:val="10"/>
                <w:rFonts w:eastAsia="Lucida Sans Unicode" w:cs="Times New Roman"/>
                <w:b w:val="0"/>
                <w:color w:val="000000" w:themeColor="text1"/>
                <w:sz w:val="24"/>
                <w:szCs w:val="24"/>
              </w:rPr>
              <w:t>духовних</w:t>
            </w:r>
            <w:proofErr w:type="spellEnd"/>
            <w:r w:rsidRPr="00B22BDC">
              <w:rPr>
                <w:rStyle w:val="10"/>
                <w:rFonts w:eastAsia="Lucida Sans Unicode" w:cs="Times New Roman"/>
                <w:b w:val="0"/>
                <w:color w:val="000000" w:themeColor="text1"/>
                <w:sz w:val="24"/>
                <w:szCs w:val="24"/>
              </w:rPr>
              <w:t xml:space="preserve"> </w:t>
            </w:r>
            <w:proofErr w:type="spellStart"/>
            <w:r w:rsidRPr="00B22BDC">
              <w:rPr>
                <w:rStyle w:val="10"/>
                <w:rFonts w:eastAsia="Lucida Sans Unicode" w:cs="Times New Roman"/>
                <w:b w:val="0"/>
                <w:color w:val="000000" w:themeColor="text1"/>
                <w:sz w:val="24"/>
                <w:szCs w:val="24"/>
              </w:rPr>
              <w:t>цінностей</w:t>
            </w:r>
            <w:proofErr w:type="spellEnd"/>
            <w:r w:rsidRPr="00B22BDC">
              <w:rPr>
                <w:rStyle w:val="10"/>
                <w:rFonts w:eastAsia="Lucida Sans Unicode" w:cs="Times New Roman"/>
                <w:b w:val="0"/>
                <w:color w:val="000000" w:themeColor="text1"/>
                <w:sz w:val="24"/>
                <w:szCs w:val="24"/>
              </w:rPr>
              <w:t xml:space="preserve"> </w:t>
            </w:r>
            <w:proofErr w:type="spellStart"/>
            <w:r w:rsidRPr="00B22BDC">
              <w:rPr>
                <w:rStyle w:val="10"/>
                <w:rFonts w:eastAsia="Lucida Sans Unicode" w:cs="Times New Roman"/>
                <w:b w:val="0"/>
                <w:color w:val="000000" w:themeColor="text1"/>
                <w:sz w:val="24"/>
                <w:szCs w:val="24"/>
              </w:rPr>
              <w:t>свого</w:t>
            </w:r>
            <w:proofErr w:type="spellEnd"/>
            <w:r w:rsidRPr="00B22BDC">
              <w:rPr>
                <w:rStyle w:val="10"/>
                <w:rFonts w:eastAsia="Lucida Sans Unicode" w:cs="Times New Roman"/>
                <w:b w:val="0"/>
                <w:color w:val="000000" w:themeColor="text1"/>
                <w:sz w:val="24"/>
                <w:szCs w:val="24"/>
              </w:rPr>
              <w:t xml:space="preserve"> народу (</w:t>
            </w:r>
            <w:proofErr w:type="spellStart"/>
            <w:r w:rsidRPr="00B22BDC">
              <w:rPr>
                <w:rStyle w:val="10"/>
                <w:rFonts w:eastAsia="Lucida Sans Unicode" w:cs="Times New Roman"/>
                <w:b w:val="0"/>
                <w:color w:val="000000" w:themeColor="text1"/>
                <w:sz w:val="24"/>
                <w:szCs w:val="24"/>
              </w:rPr>
              <w:t>нації</w:t>
            </w:r>
            <w:proofErr w:type="spellEnd"/>
            <w:r w:rsidRPr="00B22BDC">
              <w:rPr>
                <w:rStyle w:val="10"/>
                <w:rFonts w:eastAsia="Lucida Sans Unicode" w:cs="Times New Roman"/>
                <w:b w:val="0"/>
                <w:color w:val="000000" w:themeColor="text1"/>
                <w:sz w:val="24"/>
                <w:szCs w:val="24"/>
              </w:rPr>
              <w:t xml:space="preserve">) та </w:t>
            </w:r>
            <w:proofErr w:type="spellStart"/>
            <w:r w:rsidRPr="00B22BDC">
              <w:rPr>
                <w:rStyle w:val="10"/>
                <w:rFonts w:eastAsia="Lucida Sans Unicode" w:cs="Times New Roman"/>
                <w:b w:val="0"/>
                <w:color w:val="000000" w:themeColor="text1"/>
                <w:sz w:val="24"/>
                <w:szCs w:val="24"/>
              </w:rPr>
              <w:t>всього</w:t>
            </w:r>
            <w:proofErr w:type="spellEnd"/>
            <w:r w:rsidRPr="00B22BDC">
              <w:rPr>
                <w:rStyle w:val="10"/>
                <w:rFonts w:eastAsia="Lucida Sans Unicode" w:cs="Times New Roman"/>
                <w:b w:val="0"/>
                <w:color w:val="000000" w:themeColor="text1"/>
                <w:sz w:val="24"/>
                <w:szCs w:val="24"/>
              </w:rPr>
              <w:t xml:space="preserve"> </w:t>
            </w:r>
            <w:proofErr w:type="spellStart"/>
            <w:r w:rsidRPr="00B22BDC">
              <w:rPr>
                <w:rStyle w:val="10"/>
                <w:rFonts w:eastAsia="Lucida Sans Unicode" w:cs="Times New Roman"/>
                <w:b w:val="0"/>
                <w:color w:val="000000" w:themeColor="text1"/>
                <w:sz w:val="24"/>
                <w:szCs w:val="24"/>
              </w:rPr>
              <w:t>людства</w:t>
            </w:r>
            <w:proofErr w:type="spellEnd"/>
            <w:r w:rsidRPr="00B22BDC">
              <w:rPr>
                <w:b/>
                <w:bCs/>
                <w:sz w:val="24"/>
                <w:szCs w:val="24"/>
              </w:rPr>
              <w:t>.</w:t>
            </w:r>
          </w:p>
          <w:p w:rsidR="00B22BDC" w:rsidRPr="00B22BDC" w:rsidRDefault="00B22BDC" w:rsidP="007E2693">
            <w:pPr>
              <w:pStyle w:val="af7"/>
              <w:rPr>
                <w:rStyle w:val="10"/>
                <w:rFonts w:eastAsia="Lucida Sans Unicode" w:cs="Times New Roman"/>
                <w:b w:val="0"/>
                <w:color w:val="000000" w:themeColor="text1"/>
                <w:sz w:val="24"/>
                <w:szCs w:val="24"/>
              </w:rPr>
            </w:pPr>
            <w:proofErr w:type="spellStart"/>
            <w:r w:rsidRPr="00B22BDC">
              <w:rPr>
                <w:rStyle w:val="10"/>
                <w:rFonts w:eastAsia="Lucida Sans Unicode" w:cs="Times New Roman"/>
                <w:b w:val="0"/>
                <w:color w:val="000000" w:themeColor="text1"/>
                <w:sz w:val="24"/>
                <w:szCs w:val="24"/>
              </w:rPr>
              <w:t>Розвиток</w:t>
            </w:r>
            <w:proofErr w:type="spellEnd"/>
            <w:r w:rsidRPr="00B22BDC">
              <w:rPr>
                <w:rStyle w:val="10"/>
                <w:rFonts w:eastAsia="Lucida Sans Unicode" w:cs="Times New Roman"/>
                <w:b w:val="0"/>
                <w:color w:val="000000" w:themeColor="text1"/>
                <w:sz w:val="24"/>
                <w:szCs w:val="24"/>
              </w:rPr>
              <w:t xml:space="preserve"> </w:t>
            </w:r>
            <w:proofErr w:type="spellStart"/>
            <w:r w:rsidRPr="00B22BDC">
              <w:rPr>
                <w:rStyle w:val="10"/>
                <w:rFonts w:eastAsia="Lucida Sans Unicode" w:cs="Times New Roman"/>
                <w:b w:val="0"/>
                <w:color w:val="000000" w:themeColor="text1"/>
                <w:sz w:val="24"/>
                <w:szCs w:val="24"/>
              </w:rPr>
              <w:t>української</w:t>
            </w:r>
            <w:proofErr w:type="spellEnd"/>
            <w:r w:rsidRPr="00B22BDC">
              <w:rPr>
                <w:rStyle w:val="10"/>
                <w:rFonts w:eastAsia="Lucida Sans Unicode" w:cs="Times New Roman"/>
                <w:b w:val="0"/>
                <w:color w:val="000000" w:themeColor="text1"/>
                <w:sz w:val="24"/>
                <w:szCs w:val="24"/>
              </w:rPr>
              <w:t xml:space="preserve"> </w:t>
            </w:r>
            <w:proofErr w:type="spellStart"/>
            <w:r w:rsidRPr="00B22BDC">
              <w:rPr>
                <w:rStyle w:val="10"/>
                <w:rFonts w:eastAsia="Lucida Sans Unicode" w:cs="Times New Roman"/>
                <w:b w:val="0"/>
                <w:color w:val="000000" w:themeColor="text1"/>
                <w:sz w:val="24"/>
                <w:szCs w:val="24"/>
              </w:rPr>
              <w:t>нації</w:t>
            </w:r>
            <w:proofErr w:type="spellEnd"/>
            <w:r w:rsidRPr="00B22BDC">
              <w:rPr>
                <w:rStyle w:val="10"/>
                <w:rFonts w:eastAsia="Lucida Sans Unicode" w:cs="Times New Roman"/>
                <w:b w:val="0"/>
                <w:color w:val="000000" w:themeColor="text1"/>
                <w:sz w:val="24"/>
                <w:szCs w:val="24"/>
              </w:rPr>
              <w:t xml:space="preserve">, </w:t>
            </w:r>
            <w:proofErr w:type="spellStart"/>
            <w:r w:rsidRPr="00B22BDC">
              <w:rPr>
                <w:rStyle w:val="10"/>
                <w:rFonts w:eastAsia="Lucida Sans Unicode" w:cs="Times New Roman"/>
                <w:b w:val="0"/>
                <w:color w:val="000000" w:themeColor="text1"/>
                <w:sz w:val="24"/>
                <w:szCs w:val="24"/>
              </w:rPr>
              <w:t>її</w:t>
            </w:r>
            <w:proofErr w:type="spellEnd"/>
            <w:r w:rsidRPr="00B22BDC">
              <w:rPr>
                <w:rStyle w:val="10"/>
                <w:rFonts w:eastAsia="Lucida Sans Unicode" w:cs="Times New Roman"/>
                <w:b w:val="0"/>
                <w:color w:val="000000" w:themeColor="text1"/>
                <w:sz w:val="24"/>
                <w:szCs w:val="24"/>
              </w:rPr>
              <w:t xml:space="preserve"> </w:t>
            </w:r>
            <w:proofErr w:type="spellStart"/>
            <w:r w:rsidRPr="00B22BDC">
              <w:rPr>
                <w:rStyle w:val="10"/>
                <w:rFonts w:eastAsia="Lucida Sans Unicode" w:cs="Times New Roman"/>
                <w:b w:val="0"/>
                <w:color w:val="000000" w:themeColor="text1"/>
                <w:sz w:val="24"/>
                <w:szCs w:val="24"/>
              </w:rPr>
              <w:t>історичної</w:t>
            </w:r>
            <w:proofErr w:type="spellEnd"/>
            <w:r w:rsidRPr="00B22BDC">
              <w:rPr>
                <w:rStyle w:val="10"/>
                <w:rFonts w:eastAsia="Lucida Sans Unicode" w:cs="Times New Roman"/>
                <w:b w:val="0"/>
                <w:color w:val="000000" w:themeColor="text1"/>
                <w:sz w:val="24"/>
                <w:szCs w:val="24"/>
              </w:rPr>
              <w:t xml:space="preserve"> </w:t>
            </w:r>
            <w:proofErr w:type="spellStart"/>
            <w:r w:rsidRPr="00B22BDC">
              <w:rPr>
                <w:rStyle w:val="10"/>
                <w:rFonts w:eastAsia="Lucida Sans Unicode" w:cs="Times New Roman"/>
                <w:b w:val="0"/>
                <w:color w:val="000000" w:themeColor="text1"/>
                <w:sz w:val="24"/>
                <w:szCs w:val="24"/>
              </w:rPr>
              <w:t>свідомості</w:t>
            </w:r>
            <w:proofErr w:type="spellEnd"/>
            <w:r w:rsidRPr="00B22BDC">
              <w:rPr>
                <w:rStyle w:val="10"/>
                <w:rFonts w:eastAsia="Lucida Sans Unicode" w:cs="Times New Roman"/>
                <w:b w:val="0"/>
                <w:color w:val="000000" w:themeColor="text1"/>
                <w:sz w:val="24"/>
                <w:szCs w:val="24"/>
              </w:rPr>
              <w:t xml:space="preserve">, </w:t>
            </w:r>
            <w:proofErr w:type="spellStart"/>
            <w:r w:rsidRPr="00B22BDC">
              <w:rPr>
                <w:rStyle w:val="10"/>
                <w:rFonts w:eastAsia="Lucida Sans Unicode" w:cs="Times New Roman"/>
                <w:b w:val="0"/>
                <w:color w:val="000000" w:themeColor="text1"/>
                <w:sz w:val="24"/>
                <w:szCs w:val="24"/>
              </w:rPr>
              <w:t>традицій</w:t>
            </w:r>
            <w:proofErr w:type="spellEnd"/>
            <w:r w:rsidRPr="00B22BDC">
              <w:rPr>
                <w:rStyle w:val="10"/>
                <w:rFonts w:eastAsia="Lucida Sans Unicode" w:cs="Times New Roman"/>
                <w:b w:val="0"/>
                <w:color w:val="000000" w:themeColor="text1"/>
                <w:sz w:val="24"/>
                <w:szCs w:val="24"/>
              </w:rPr>
              <w:t xml:space="preserve"> і </w:t>
            </w:r>
            <w:proofErr w:type="spellStart"/>
            <w:r w:rsidRPr="00B22BDC">
              <w:rPr>
                <w:rStyle w:val="10"/>
                <w:rFonts w:eastAsia="Lucida Sans Unicode" w:cs="Times New Roman"/>
                <w:b w:val="0"/>
                <w:color w:val="000000" w:themeColor="text1"/>
                <w:sz w:val="24"/>
                <w:szCs w:val="24"/>
              </w:rPr>
              <w:t>культури</w:t>
            </w:r>
            <w:proofErr w:type="spellEnd"/>
            <w:r w:rsidRPr="00B22BDC">
              <w:rPr>
                <w:rStyle w:val="10"/>
                <w:rFonts w:eastAsia="Lucida Sans Unicode" w:cs="Times New Roman"/>
                <w:b w:val="0"/>
                <w:color w:val="000000" w:themeColor="text1"/>
                <w:sz w:val="24"/>
                <w:szCs w:val="24"/>
              </w:rPr>
              <w:t xml:space="preserve">, а </w:t>
            </w:r>
            <w:proofErr w:type="spellStart"/>
            <w:r w:rsidRPr="00B22BDC">
              <w:rPr>
                <w:rStyle w:val="10"/>
                <w:rFonts w:eastAsia="Lucida Sans Unicode" w:cs="Times New Roman"/>
                <w:b w:val="0"/>
                <w:color w:val="000000" w:themeColor="text1"/>
                <w:sz w:val="24"/>
                <w:szCs w:val="24"/>
              </w:rPr>
              <w:t>також</w:t>
            </w:r>
            <w:proofErr w:type="spellEnd"/>
            <w:r w:rsidRPr="00B22BDC">
              <w:rPr>
                <w:rStyle w:val="10"/>
                <w:rFonts w:eastAsia="Lucida Sans Unicode" w:cs="Times New Roman"/>
                <w:b w:val="0"/>
                <w:color w:val="000000" w:themeColor="text1"/>
                <w:sz w:val="24"/>
                <w:szCs w:val="24"/>
              </w:rPr>
              <w:t xml:space="preserve"> </w:t>
            </w:r>
            <w:proofErr w:type="spellStart"/>
            <w:r w:rsidRPr="00B22BDC">
              <w:rPr>
                <w:rStyle w:val="10"/>
                <w:rFonts w:eastAsia="Lucida Sans Unicode" w:cs="Times New Roman"/>
                <w:b w:val="0"/>
                <w:color w:val="000000" w:themeColor="text1"/>
                <w:sz w:val="24"/>
                <w:szCs w:val="24"/>
              </w:rPr>
              <w:t>розвиток</w:t>
            </w:r>
            <w:proofErr w:type="spellEnd"/>
            <w:r w:rsidRPr="00B22BDC">
              <w:rPr>
                <w:rStyle w:val="10"/>
                <w:rFonts w:eastAsia="Lucida Sans Unicode" w:cs="Times New Roman"/>
                <w:b w:val="0"/>
                <w:color w:val="000000" w:themeColor="text1"/>
                <w:sz w:val="24"/>
                <w:szCs w:val="24"/>
              </w:rPr>
              <w:t xml:space="preserve"> </w:t>
            </w:r>
            <w:proofErr w:type="spellStart"/>
            <w:r w:rsidRPr="00B22BDC">
              <w:rPr>
                <w:rStyle w:val="10"/>
                <w:rFonts w:eastAsia="Lucida Sans Unicode" w:cs="Times New Roman"/>
                <w:b w:val="0"/>
                <w:color w:val="000000" w:themeColor="text1"/>
                <w:sz w:val="24"/>
                <w:szCs w:val="24"/>
              </w:rPr>
              <w:t>етнічної</w:t>
            </w:r>
            <w:proofErr w:type="spellEnd"/>
            <w:r w:rsidRPr="00B22BDC">
              <w:rPr>
                <w:rStyle w:val="10"/>
                <w:rFonts w:eastAsia="Lucida Sans Unicode" w:cs="Times New Roman"/>
                <w:b w:val="0"/>
                <w:color w:val="000000" w:themeColor="text1"/>
                <w:sz w:val="24"/>
                <w:szCs w:val="24"/>
              </w:rPr>
              <w:t xml:space="preserve">, </w:t>
            </w:r>
            <w:proofErr w:type="spellStart"/>
            <w:r w:rsidRPr="00B22BDC">
              <w:rPr>
                <w:rStyle w:val="10"/>
                <w:rFonts w:eastAsia="Lucida Sans Unicode" w:cs="Times New Roman"/>
                <w:b w:val="0"/>
                <w:color w:val="000000" w:themeColor="text1"/>
                <w:sz w:val="24"/>
                <w:szCs w:val="24"/>
              </w:rPr>
              <w:t>культурної</w:t>
            </w:r>
            <w:proofErr w:type="spellEnd"/>
            <w:r w:rsidRPr="00B22BDC">
              <w:rPr>
                <w:rStyle w:val="10"/>
                <w:rFonts w:eastAsia="Lucida Sans Unicode" w:cs="Times New Roman"/>
                <w:b w:val="0"/>
                <w:color w:val="000000" w:themeColor="text1"/>
                <w:sz w:val="24"/>
                <w:szCs w:val="24"/>
              </w:rPr>
              <w:t xml:space="preserve">, </w:t>
            </w:r>
            <w:proofErr w:type="spellStart"/>
            <w:r w:rsidRPr="00B22BDC">
              <w:rPr>
                <w:rStyle w:val="10"/>
                <w:rFonts w:eastAsia="Lucida Sans Unicode" w:cs="Times New Roman"/>
                <w:b w:val="0"/>
                <w:color w:val="000000" w:themeColor="text1"/>
                <w:sz w:val="24"/>
                <w:szCs w:val="24"/>
              </w:rPr>
              <w:t>мовної</w:t>
            </w:r>
            <w:proofErr w:type="spellEnd"/>
            <w:r w:rsidRPr="00B22BDC">
              <w:rPr>
                <w:rStyle w:val="10"/>
                <w:rFonts w:eastAsia="Lucida Sans Unicode" w:cs="Times New Roman"/>
                <w:b w:val="0"/>
                <w:color w:val="000000" w:themeColor="text1"/>
                <w:sz w:val="24"/>
                <w:szCs w:val="24"/>
              </w:rPr>
              <w:t xml:space="preserve"> та </w:t>
            </w:r>
            <w:proofErr w:type="spellStart"/>
            <w:r w:rsidRPr="00B22BDC">
              <w:rPr>
                <w:rStyle w:val="10"/>
                <w:rFonts w:eastAsia="Lucida Sans Unicode" w:cs="Times New Roman"/>
                <w:b w:val="0"/>
                <w:color w:val="000000" w:themeColor="text1"/>
                <w:sz w:val="24"/>
                <w:szCs w:val="24"/>
              </w:rPr>
              <w:t>релігійної</w:t>
            </w:r>
            <w:proofErr w:type="spellEnd"/>
            <w:r w:rsidRPr="00B22BDC">
              <w:rPr>
                <w:rStyle w:val="10"/>
                <w:rFonts w:eastAsia="Lucida Sans Unicode" w:cs="Times New Roman"/>
                <w:b w:val="0"/>
                <w:color w:val="000000" w:themeColor="text1"/>
                <w:sz w:val="24"/>
                <w:szCs w:val="24"/>
              </w:rPr>
              <w:t xml:space="preserve"> </w:t>
            </w:r>
            <w:proofErr w:type="spellStart"/>
            <w:r w:rsidRPr="00B22BDC">
              <w:rPr>
                <w:rStyle w:val="10"/>
                <w:rFonts w:eastAsia="Lucida Sans Unicode" w:cs="Times New Roman"/>
                <w:b w:val="0"/>
                <w:color w:val="000000" w:themeColor="text1"/>
                <w:sz w:val="24"/>
                <w:szCs w:val="24"/>
              </w:rPr>
              <w:t>самобутності</w:t>
            </w:r>
            <w:proofErr w:type="spellEnd"/>
            <w:r w:rsidRPr="00B22BDC">
              <w:rPr>
                <w:rStyle w:val="10"/>
                <w:rFonts w:eastAsia="Lucida Sans Unicode" w:cs="Times New Roman"/>
                <w:b w:val="0"/>
                <w:color w:val="000000" w:themeColor="text1"/>
                <w:sz w:val="24"/>
                <w:szCs w:val="24"/>
              </w:rPr>
              <w:t xml:space="preserve"> </w:t>
            </w:r>
            <w:proofErr w:type="spellStart"/>
            <w:r w:rsidRPr="00B22BDC">
              <w:rPr>
                <w:rStyle w:val="10"/>
                <w:rFonts w:eastAsia="Lucida Sans Unicode" w:cs="Times New Roman"/>
                <w:b w:val="0"/>
                <w:color w:val="000000" w:themeColor="text1"/>
                <w:sz w:val="24"/>
                <w:szCs w:val="24"/>
              </w:rPr>
              <w:t>всіх</w:t>
            </w:r>
            <w:proofErr w:type="spellEnd"/>
            <w:r w:rsidRPr="00B22BDC">
              <w:rPr>
                <w:rStyle w:val="10"/>
                <w:rFonts w:eastAsia="Lucida Sans Unicode" w:cs="Times New Roman"/>
                <w:b w:val="0"/>
                <w:color w:val="000000" w:themeColor="text1"/>
                <w:sz w:val="24"/>
                <w:szCs w:val="24"/>
              </w:rPr>
              <w:t xml:space="preserve"> </w:t>
            </w:r>
            <w:proofErr w:type="spellStart"/>
            <w:r w:rsidRPr="00B22BDC">
              <w:rPr>
                <w:rStyle w:val="10"/>
                <w:rFonts w:eastAsia="Lucida Sans Unicode" w:cs="Times New Roman"/>
                <w:b w:val="0"/>
                <w:color w:val="000000" w:themeColor="text1"/>
                <w:sz w:val="24"/>
                <w:szCs w:val="24"/>
              </w:rPr>
              <w:t>корінних</w:t>
            </w:r>
            <w:proofErr w:type="spellEnd"/>
            <w:r w:rsidRPr="00B22BDC">
              <w:rPr>
                <w:rStyle w:val="10"/>
                <w:rFonts w:eastAsia="Lucida Sans Unicode" w:cs="Times New Roman"/>
                <w:color w:val="000000" w:themeColor="text1"/>
                <w:sz w:val="24"/>
                <w:szCs w:val="24"/>
              </w:rPr>
              <w:t xml:space="preserve"> </w:t>
            </w:r>
            <w:proofErr w:type="spellStart"/>
            <w:r w:rsidRPr="00B22BDC">
              <w:rPr>
                <w:rStyle w:val="10"/>
                <w:rFonts w:eastAsia="Lucida Sans Unicode" w:cs="Times New Roman"/>
                <w:b w:val="0"/>
                <w:color w:val="000000" w:themeColor="text1"/>
                <w:sz w:val="24"/>
                <w:szCs w:val="24"/>
              </w:rPr>
              <w:t>народів</w:t>
            </w:r>
            <w:proofErr w:type="spellEnd"/>
            <w:r w:rsidRPr="00B22BDC">
              <w:rPr>
                <w:rStyle w:val="10"/>
                <w:rFonts w:eastAsia="Lucida Sans Unicode" w:cs="Times New Roman"/>
                <w:b w:val="0"/>
                <w:color w:val="000000" w:themeColor="text1"/>
                <w:sz w:val="24"/>
                <w:szCs w:val="24"/>
              </w:rPr>
              <w:t xml:space="preserve"> і </w:t>
            </w:r>
            <w:proofErr w:type="spellStart"/>
            <w:r w:rsidRPr="00B22BDC">
              <w:rPr>
                <w:rStyle w:val="10"/>
                <w:rFonts w:eastAsia="Lucida Sans Unicode" w:cs="Times New Roman"/>
                <w:b w:val="0"/>
                <w:color w:val="000000" w:themeColor="text1"/>
                <w:sz w:val="24"/>
                <w:szCs w:val="24"/>
              </w:rPr>
              <w:t>національних</w:t>
            </w:r>
            <w:proofErr w:type="spellEnd"/>
            <w:r w:rsidRPr="00B22BDC">
              <w:rPr>
                <w:rStyle w:val="10"/>
                <w:rFonts w:eastAsia="Lucida Sans Unicode" w:cs="Times New Roman"/>
                <w:b w:val="0"/>
                <w:color w:val="000000" w:themeColor="text1"/>
                <w:sz w:val="24"/>
                <w:szCs w:val="24"/>
              </w:rPr>
              <w:t xml:space="preserve"> </w:t>
            </w:r>
            <w:proofErr w:type="spellStart"/>
            <w:r w:rsidRPr="00B22BDC">
              <w:rPr>
                <w:rStyle w:val="10"/>
                <w:rFonts w:eastAsia="Lucida Sans Unicode" w:cs="Times New Roman"/>
                <w:b w:val="0"/>
                <w:color w:val="000000" w:themeColor="text1"/>
                <w:sz w:val="24"/>
                <w:szCs w:val="24"/>
              </w:rPr>
              <w:t>меншин</w:t>
            </w:r>
            <w:proofErr w:type="spellEnd"/>
            <w:r w:rsidRPr="00B22BDC">
              <w:rPr>
                <w:rStyle w:val="10"/>
                <w:rFonts w:eastAsia="Lucida Sans Unicode" w:cs="Times New Roman"/>
                <w:b w:val="0"/>
                <w:color w:val="000000" w:themeColor="text1"/>
                <w:sz w:val="24"/>
                <w:szCs w:val="24"/>
              </w:rPr>
              <w:t xml:space="preserve"> </w:t>
            </w:r>
            <w:proofErr w:type="spellStart"/>
            <w:r w:rsidRPr="00B22BDC">
              <w:rPr>
                <w:rStyle w:val="10"/>
                <w:rFonts w:eastAsia="Lucida Sans Unicode" w:cs="Times New Roman"/>
                <w:b w:val="0"/>
                <w:color w:val="000000" w:themeColor="text1"/>
                <w:sz w:val="24"/>
                <w:szCs w:val="24"/>
              </w:rPr>
              <w:t>України</w:t>
            </w:r>
            <w:proofErr w:type="spellEnd"/>
            <w:r w:rsidRPr="00B22BDC">
              <w:rPr>
                <w:rStyle w:val="10"/>
                <w:rFonts w:eastAsia="Lucida Sans Unicode" w:cs="Times New Roman"/>
                <w:b w:val="0"/>
                <w:color w:val="000000" w:themeColor="text1"/>
                <w:sz w:val="24"/>
                <w:szCs w:val="24"/>
              </w:rPr>
              <w:t>.</w:t>
            </w:r>
          </w:p>
          <w:p w:rsidR="00B22BDC" w:rsidRPr="00B22BDC" w:rsidRDefault="00B22BDC" w:rsidP="007E2693">
            <w:pPr>
              <w:tabs>
                <w:tab w:val="left" w:pos="253"/>
              </w:tabs>
              <w:rPr>
                <w:sz w:val="24"/>
                <w:szCs w:val="24"/>
              </w:rPr>
            </w:pPr>
            <w:r w:rsidRPr="00B22BDC">
              <w:rPr>
                <w:sz w:val="24"/>
                <w:szCs w:val="24"/>
                <w:lang w:val="uk-UA"/>
              </w:rPr>
              <w:t>З</w:t>
            </w:r>
            <w:proofErr w:type="spellStart"/>
            <w:r w:rsidRPr="00B22BDC">
              <w:rPr>
                <w:sz w:val="24"/>
                <w:szCs w:val="24"/>
              </w:rPr>
              <w:t>адоволення</w:t>
            </w:r>
            <w:proofErr w:type="spellEnd"/>
            <w:r w:rsidRPr="00B22BDC">
              <w:rPr>
                <w:sz w:val="24"/>
                <w:szCs w:val="24"/>
              </w:rPr>
              <w:t xml:space="preserve"> </w:t>
            </w:r>
            <w:proofErr w:type="spellStart"/>
            <w:r w:rsidRPr="00B22BDC">
              <w:rPr>
                <w:sz w:val="24"/>
                <w:szCs w:val="24"/>
              </w:rPr>
              <w:t>інформаційних</w:t>
            </w:r>
            <w:proofErr w:type="spellEnd"/>
            <w:r w:rsidRPr="00B22BDC">
              <w:rPr>
                <w:sz w:val="24"/>
                <w:szCs w:val="24"/>
              </w:rPr>
              <w:t xml:space="preserve"> потреб  </w:t>
            </w:r>
            <w:proofErr w:type="spellStart"/>
            <w:r w:rsidRPr="00B22BDC">
              <w:rPr>
                <w:sz w:val="24"/>
                <w:szCs w:val="24"/>
              </w:rPr>
              <w:t>користувачів</w:t>
            </w:r>
            <w:proofErr w:type="spellEnd"/>
            <w:r w:rsidR="00EE19AB">
              <w:rPr>
                <w:sz w:val="24"/>
                <w:szCs w:val="24"/>
              </w:rPr>
              <w:t>.</w:t>
            </w:r>
          </w:p>
          <w:p w:rsidR="00B22BDC" w:rsidRPr="00B22BDC" w:rsidRDefault="00B22BDC" w:rsidP="007E2693">
            <w:pPr>
              <w:tabs>
                <w:tab w:val="left" w:pos="253"/>
              </w:tabs>
              <w:rPr>
                <w:sz w:val="24"/>
                <w:szCs w:val="24"/>
              </w:rPr>
            </w:pPr>
            <w:r w:rsidRPr="00B22BDC">
              <w:rPr>
                <w:sz w:val="24"/>
                <w:szCs w:val="24"/>
                <w:lang w:val="uk-UA"/>
              </w:rPr>
              <w:t>С</w:t>
            </w:r>
            <w:proofErr w:type="spellStart"/>
            <w:r w:rsidRPr="00B22BDC">
              <w:rPr>
                <w:sz w:val="24"/>
                <w:szCs w:val="24"/>
              </w:rPr>
              <w:t>творення</w:t>
            </w:r>
            <w:proofErr w:type="spellEnd"/>
            <w:r w:rsidRPr="00B22BDC">
              <w:rPr>
                <w:sz w:val="24"/>
                <w:szCs w:val="24"/>
              </w:rPr>
              <w:t xml:space="preserve"> </w:t>
            </w:r>
            <w:proofErr w:type="spellStart"/>
            <w:r w:rsidRPr="00B22BDC">
              <w:rPr>
                <w:sz w:val="24"/>
                <w:szCs w:val="24"/>
              </w:rPr>
              <w:t>комфортних</w:t>
            </w:r>
            <w:proofErr w:type="spellEnd"/>
            <w:r w:rsidRPr="00B22BDC">
              <w:rPr>
                <w:sz w:val="24"/>
                <w:szCs w:val="24"/>
              </w:rPr>
              <w:t xml:space="preserve"> умов для </w:t>
            </w:r>
            <w:proofErr w:type="spellStart"/>
            <w:r w:rsidRPr="00B22BDC">
              <w:rPr>
                <w:sz w:val="24"/>
                <w:szCs w:val="24"/>
              </w:rPr>
              <w:t>відвідувачів</w:t>
            </w:r>
            <w:proofErr w:type="spellEnd"/>
            <w:r w:rsidRPr="00B22BDC">
              <w:rPr>
                <w:sz w:val="24"/>
                <w:szCs w:val="24"/>
              </w:rPr>
              <w:t xml:space="preserve"> та </w:t>
            </w:r>
            <w:proofErr w:type="spellStart"/>
            <w:r w:rsidRPr="00B22BDC">
              <w:rPr>
                <w:sz w:val="24"/>
                <w:szCs w:val="24"/>
              </w:rPr>
              <w:t>робітників</w:t>
            </w:r>
            <w:proofErr w:type="spellEnd"/>
            <w:r w:rsidRPr="00B22BDC">
              <w:rPr>
                <w:sz w:val="24"/>
                <w:szCs w:val="24"/>
              </w:rPr>
              <w:t xml:space="preserve"> </w:t>
            </w:r>
            <w:proofErr w:type="spellStart"/>
            <w:r w:rsidRPr="00B22BDC">
              <w:rPr>
                <w:sz w:val="24"/>
                <w:szCs w:val="24"/>
              </w:rPr>
              <w:t>заклад</w:t>
            </w:r>
            <w:r w:rsidR="00EE19AB">
              <w:rPr>
                <w:sz w:val="24"/>
                <w:szCs w:val="24"/>
              </w:rPr>
              <w:t>ів</w:t>
            </w:r>
            <w:proofErr w:type="spellEnd"/>
            <w:r w:rsidR="00EE19AB">
              <w:rPr>
                <w:sz w:val="24"/>
                <w:szCs w:val="24"/>
              </w:rPr>
              <w:t xml:space="preserve"> </w:t>
            </w:r>
            <w:proofErr w:type="spellStart"/>
            <w:r w:rsidR="00EE19AB">
              <w:rPr>
                <w:sz w:val="24"/>
                <w:szCs w:val="24"/>
              </w:rPr>
              <w:t>культури</w:t>
            </w:r>
            <w:proofErr w:type="spellEnd"/>
            <w:r w:rsidRPr="00B22BDC">
              <w:rPr>
                <w:sz w:val="24"/>
                <w:szCs w:val="24"/>
                <w:lang w:val="uk-UA"/>
              </w:rPr>
              <w:t>.</w:t>
            </w:r>
          </w:p>
          <w:p w:rsidR="00B22BDC" w:rsidRPr="00B22BDC" w:rsidRDefault="00B22BDC" w:rsidP="007E2693">
            <w:pPr>
              <w:tabs>
                <w:tab w:val="left" w:pos="253"/>
              </w:tabs>
              <w:rPr>
                <w:b/>
                <w:sz w:val="24"/>
                <w:szCs w:val="24"/>
              </w:rPr>
            </w:pPr>
            <w:r w:rsidRPr="00B22BDC">
              <w:rPr>
                <w:color w:val="000000"/>
                <w:sz w:val="24"/>
                <w:szCs w:val="24"/>
                <w:lang w:val="uk-UA"/>
              </w:rPr>
              <w:t>З</w:t>
            </w:r>
            <w:proofErr w:type="spellStart"/>
            <w:r w:rsidRPr="00B22BDC">
              <w:rPr>
                <w:color w:val="000000"/>
                <w:sz w:val="24"/>
                <w:szCs w:val="24"/>
              </w:rPr>
              <w:t>берігання</w:t>
            </w:r>
            <w:proofErr w:type="spellEnd"/>
            <w:r w:rsidRPr="00B22BDC">
              <w:rPr>
                <w:color w:val="000000"/>
                <w:sz w:val="24"/>
                <w:szCs w:val="24"/>
              </w:rPr>
              <w:t xml:space="preserve"> </w:t>
            </w:r>
            <w:proofErr w:type="spellStart"/>
            <w:r w:rsidRPr="00B22BDC">
              <w:rPr>
                <w:color w:val="000000"/>
                <w:sz w:val="24"/>
                <w:szCs w:val="24"/>
              </w:rPr>
              <w:t>виставкових</w:t>
            </w:r>
            <w:proofErr w:type="spellEnd"/>
            <w:r w:rsidRPr="00B22BDC">
              <w:rPr>
                <w:color w:val="000000"/>
                <w:sz w:val="24"/>
                <w:szCs w:val="24"/>
              </w:rPr>
              <w:t xml:space="preserve"> </w:t>
            </w:r>
            <w:proofErr w:type="spellStart"/>
            <w:r w:rsidRPr="00B22BDC">
              <w:rPr>
                <w:color w:val="000000"/>
                <w:sz w:val="24"/>
                <w:szCs w:val="24"/>
              </w:rPr>
              <w:t>фондів</w:t>
            </w:r>
            <w:proofErr w:type="spellEnd"/>
            <w:r w:rsidRPr="00B22BDC">
              <w:rPr>
                <w:color w:val="000000"/>
                <w:sz w:val="24"/>
                <w:szCs w:val="24"/>
              </w:rPr>
              <w:t xml:space="preserve"> </w:t>
            </w:r>
            <w:proofErr w:type="spellStart"/>
            <w:r w:rsidRPr="00B22BDC">
              <w:rPr>
                <w:color w:val="000000"/>
                <w:sz w:val="24"/>
                <w:szCs w:val="24"/>
              </w:rPr>
              <w:t>згідно</w:t>
            </w:r>
            <w:proofErr w:type="spellEnd"/>
            <w:r w:rsidRPr="00B22BDC">
              <w:rPr>
                <w:color w:val="000000"/>
                <w:sz w:val="24"/>
                <w:szCs w:val="24"/>
              </w:rPr>
              <w:t xml:space="preserve"> </w:t>
            </w:r>
            <w:proofErr w:type="spellStart"/>
            <w:r w:rsidRPr="00B22BDC">
              <w:rPr>
                <w:color w:val="000000"/>
                <w:sz w:val="24"/>
                <w:szCs w:val="24"/>
              </w:rPr>
              <w:t>встановлених</w:t>
            </w:r>
            <w:proofErr w:type="spellEnd"/>
            <w:r w:rsidRPr="00B22BDC">
              <w:rPr>
                <w:color w:val="000000"/>
                <w:sz w:val="24"/>
                <w:szCs w:val="24"/>
              </w:rPr>
              <w:t xml:space="preserve"> норм</w:t>
            </w:r>
            <w:r w:rsidRPr="00B22BDC">
              <w:rPr>
                <w:color w:val="000000"/>
                <w:sz w:val="24"/>
                <w:szCs w:val="24"/>
                <w:lang w:val="uk-UA"/>
              </w:rPr>
              <w:t>.</w:t>
            </w:r>
          </w:p>
        </w:tc>
        <w:tc>
          <w:tcPr>
            <w:tcW w:w="1696" w:type="dxa"/>
          </w:tcPr>
          <w:p w:rsidR="00B22BDC" w:rsidRPr="00B22BDC" w:rsidRDefault="00B22BDC" w:rsidP="007E2693">
            <w:pPr>
              <w:pStyle w:val="af7"/>
              <w:rPr>
                <w:bCs/>
                <w:sz w:val="24"/>
                <w:szCs w:val="24"/>
              </w:rPr>
            </w:pPr>
          </w:p>
        </w:tc>
      </w:tr>
      <w:tr w:rsidR="00B22BDC" w:rsidRPr="00B22BDC" w:rsidTr="00F7531A">
        <w:tc>
          <w:tcPr>
            <w:tcW w:w="1954" w:type="dxa"/>
            <w:vMerge w:val="restart"/>
          </w:tcPr>
          <w:p w:rsidR="00B22BDC" w:rsidRPr="00B22BDC" w:rsidRDefault="00B22BDC" w:rsidP="007E2693">
            <w:pPr>
              <w:rPr>
                <w:b/>
                <w:sz w:val="24"/>
                <w:szCs w:val="24"/>
                <w:lang w:val="uk-UA"/>
              </w:rPr>
            </w:pPr>
          </w:p>
        </w:tc>
        <w:tc>
          <w:tcPr>
            <w:tcW w:w="2616" w:type="dxa"/>
          </w:tcPr>
          <w:p w:rsidR="00B22BDC" w:rsidRPr="00B22BDC" w:rsidRDefault="00B22BDC" w:rsidP="007E2693">
            <w:pPr>
              <w:rPr>
                <w:b/>
                <w:sz w:val="24"/>
                <w:szCs w:val="24"/>
                <w:lang w:val="uk-UA"/>
              </w:rPr>
            </w:pPr>
            <w:r w:rsidRPr="00B22BDC">
              <w:rPr>
                <w:sz w:val="24"/>
                <w:szCs w:val="24"/>
                <w:lang w:val="uk-UA"/>
              </w:rPr>
              <w:t>Кількість відновлених</w:t>
            </w:r>
            <w:r w:rsidRPr="00B22BDC">
              <w:rPr>
                <w:sz w:val="24"/>
                <w:szCs w:val="24"/>
              </w:rPr>
              <w:t xml:space="preserve"> </w:t>
            </w:r>
            <w:r w:rsidRPr="00B22BDC">
              <w:rPr>
                <w:sz w:val="24"/>
                <w:szCs w:val="24"/>
                <w:lang w:val="uk-UA"/>
              </w:rPr>
              <w:t>с</w:t>
            </w:r>
            <w:proofErr w:type="spellStart"/>
            <w:r w:rsidRPr="00B22BDC">
              <w:rPr>
                <w:sz w:val="24"/>
                <w:szCs w:val="24"/>
              </w:rPr>
              <w:t>портивн</w:t>
            </w:r>
            <w:r w:rsidRPr="00B22BDC">
              <w:rPr>
                <w:sz w:val="24"/>
                <w:szCs w:val="24"/>
                <w:lang w:val="uk-UA"/>
              </w:rPr>
              <w:t>их</w:t>
            </w:r>
            <w:proofErr w:type="spellEnd"/>
            <w:r w:rsidRPr="00B22BDC">
              <w:rPr>
                <w:sz w:val="24"/>
                <w:szCs w:val="24"/>
              </w:rPr>
              <w:t xml:space="preserve"> </w:t>
            </w:r>
            <w:proofErr w:type="spellStart"/>
            <w:r w:rsidRPr="00B22BDC">
              <w:rPr>
                <w:sz w:val="24"/>
                <w:szCs w:val="24"/>
              </w:rPr>
              <w:t>споруд</w:t>
            </w:r>
            <w:proofErr w:type="spellEnd"/>
            <w:r w:rsidRPr="00B22BDC">
              <w:rPr>
                <w:sz w:val="24"/>
                <w:szCs w:val="24"/>
              </w:rPr>
              <w:t xml:space="preserve"> та </w:t>
            </w:r>
            <w:proofErr w:type="spellStart"/>
            <w:r w:rsidRPr="00B22BDC">
              <w:rPr>
                <w:sz w:val="24"/>
                <w:szCs w:val="24"/>
              </w:rPr>
              <w:t>об’єкт</w:t>
            </w:r>
            <w:r w:rsidRPr="00B22BDC">
              <w:rPr>
                <w:sz w:val="24"/>
                <w:szCs w:val="24"/>
                <w:lang w:val="uk-UA"/>
              </w:rPr>
              <w:t>ів</w:t>
            </w:r>
            <w:proofErr w:type="spellEnd"/>
            <w:r w:rsidRPr="00B22BDC">
              <w:rPr>
                <w:sz w:val="24"/>
                <w:szCs w:val="24"/>
              </w:rPr>
              <w:t xml:space="preserve"> </w:t>
            </w:r>
            <w:proofErr w:type="spellStart"/>
            <w:r w:rsidRPr="00B22BDC">
              <w:rPr>
                <w:sz w:val="24"/>
                <w:szCs w:val="24"/>
              </w:rPr>
              <w:t>закладів</w:t>
            </w:r>
            <w:proofErr w:type="spellEnd"/>
            <w:r w:rsidRPr="00B22BDC">
              <w:rPr>
                <w:sz w:val="24"/>
                <w:szCs w:val="24"/>
              </w:rPr>
              <w:t xml:space="preserve"> </w:t>
            </w:r>
            <w:proofErr w:type="spellStart"/>
            <w:r w:rsidRPr="00B22BDC">
              <w:rPr>
                <w:sz w:val="24"/>
                <w:szCs w:val="24"/>
              </w:rPr>
              <w:t>фізичної</w:t>
            </w:r>
            <w:proofErr w:type="spellEnd"/>
            <w:r w:rsidRPr="00B22BDC">
              <w:rPr>
                <w:sz w:val="24"/>
                <w:szCs w:val="24"/>
              </w:rPr>
              <w:t xml:space="preserve"> </w:t>
            </w:r>
            <w:proofErr w:type="spellStart"/>
            <w:r w:rsidRPr="00B22BDC">
              <w:rPr>
                <w:sz w:val="24"/>
                <w:szCs w:val="24"/>
              </w:rPr>
              <w:t>культури</w:t>
            </w:r>
            <w:proofErr w:type="spellEnd"/>
            <w:r w:rsidRPr="00B22BDC">
              <w:rPr>
                <w:sz w:val="24"/>
                <w:szCs w:val="24"/>
              </w:rPr>
              <w:t xml:space="preserve"> і спорту</w:t>
            </w:r>
          </w:p>
        </w:tc>
        <w:tc>
          <w:tcPr>
            <w:tcW w:w="4390" w:type="dxa"/>
            <w:vMerge w:val="restart"/>
          </w:tcPr>
          <w:p w:rsidR="00B22BDC" w:rsidRPr="00B22BDC" w:rsidRDefault="00B22BDC" w:rsidP="007E2693">
            <w:pPr>
              <w:autoSpaceDE w:val="0"/>
              <w:autoSpaceDN w:val="0"/>
              <w:adjustRightInd w:val="0"/>
              <w:ind w:right="116"/>
              <w:rPr>
                <w:rFonts w:eastAsia="Calibri"/>
                <w:sz w:val="24"/>
                <w:szCs w:val="24"/>
                <w:lang w:val="uk-UA"/>
              </w:rPr>
            </w:pPr>
            <w:r w:rsidRPr="00B22BDC">
              <w:rPr>
                <w:rFonts w:eastAsia="Calibri"/>
                <w:sz w:val="24"/>
                <w:szCs w:val="24"/>
                <w:lang w:val="uk-UA"/>
              </w:rPr>
              <w:t>Відновлення навчально-тренувального процесу з видів спорту на власній спортивній базі.</w:t>
            </w:r>
          </w:p>
          <w:p w:rsidR="00B22BDC" w:rsidRPr="00B22BDC" w:rsidRDefault="00B22BDC" w:rsidP="007E2693">
            <w:pPr>
              <w:autoSpaceDE w:val="0"/>
              <w:autoSpaceDN w:val="0"/>
              <w:adjustRightInd w:val="0"/>
              <w:ind w:right="116"/>
              <w:rPr>
                <w:rFonts w:eastAsia="Calibri"/>
                <w:sz w:val="24"/>
                <w:szCs w:val="24"/>
                <w:lang w:val="uk-UA"/>
              </w:rPr>
            </w:pPr>
            <w:r w:rsidRPr="00B22BDC">
              <w:rPr>
                <w:rFonts w:eastAsia="Calibri"/>
                <w:sz w:val="24"/>
                <w:szCs w:val="24"/>
                <w:lang w:val="uk-UA"/>
              </w:rPr>
              <w:t>Підготовка спортсменів для резервного спорту.</w:t>
            </w:r>
          </w:p>
          <w:p w:rsidR="00B22BDC" w:rsidRPr="00B22BDC" w:rsidRDefault="00B22BDC" w:rsidP="007E2693">
            <w:pPr>
              <w:tabs>
                <w:tab w:val="left" w:pos="333"/>
                <w:tab w:val="left" w:pos="750"/>
              </w:tabs>
              <w:autoSpaceDE w:val="0"/>
              <w:autoSpaceDN w:val="0"/>
              <w:adjustRightInd w:val="0"/>
              <w:ind w:right="113"/>
              <w:rPr>
                <w:rFonts w:eastAsia="Calibri"/>
                <w:sz w:val="24"/>
                <w:szCs w:val="24"/>
                <w:lang w:val="uk-UA"/>
              </w:rPr>
            </w:pPr>
            <w:r w:rsidRPr="00B22BDC">
              <w:rPr>
                <w:rFonts w:eastAsia="Calibri"/>
                <w:sz w:val="24"/>
                <w:szCs w:val="24"/>
                <w:lang w:val="uk-UA"/>
              </w:rPr>
              <w:t>Проведення місцевих та регіональних змагань.</w:t>
            </w:r>
          </w:p>
          <w:p w:rsidR="00B22BDC" w:rsidRPr="00B22BDC" w:rsidRDefault="00B22BDC" w:rsidP="007E2693">
            <w:pPr>
              <w:autoSpaceDE w:val="0"/>
              <w:autoSpaceDN w:val="0"/>
              <w:adjustRightInd w:val="0"/>
              <w:ind w:right="116"/>
              <w:rPr>
                <w:rFonts w:eastAsia="Calibri"/>
                <w:sz w:val="24"/>
                <w:szCs w:val="24"/>
                <w:lang w:val="uk-UA"/>
              </w:rPr>
            </w:pPr>
            <w:r w:rsidRPr="00B22BDC">
              <w:rPr>
                <w:rFonts w:eastAsia="Calibri"/>
                <w:sz w:val="24"/>
                <w:szCs w:val="24"/>
                <w:lang w:val="uk-UA"/>
              </w:rPr>
              <w:t>Проведення навчально-тренувальних зборів.</w:t>
            </w:r>
          </w:p>
          <w:p w:rsidR="00B22BDC" w:rsidRPr="00B22BDC" w:rsidRDefault="00B22BDC" w:rsidP="007E2693">
            <w:pPr>
              <w:autoSpaceDE w:val="0"/>
              <w:autoSpaceDN w:val="0"/>
              <w:adjustRightInd w:val="0"/>
              <w:ind w:right="116"/>
              <w:rPr>
                <w:rFonts w:eastAsia="Calibri"/>
                <w:sz w:val="24"/>
                <w:szCs w:val="24"/>
                <w:lang w:val="uk-UA"/>
              </w:rPr>
            </w:pPr>
            <w:r w:rsidRPr="00B22BDC">
              <w:rPr>
                <w:rFonts w:eastAsia="Calibri"/>
                <w:sz w:val="24"/>
                <w:szCs w:val="24"/>
                <w:lang w:val="uk-UA"/>
              </w:rPr>
              <w:t>Проведення пришкільних спортивних таборів (повноцінного оздоровлення).</w:t>
            </w:r>
          </w:p>
          <w:p w:rsidR="00B22BDC" w:rsidRPr="00B22BDC" w:rsidRDefault="00B22BDC" w:rsidP="007E2693">
            <w:pPr>
              <w:autoSpaceDE w:val="0"/>
              <w:autoSpaceDN w:val="0"/>
              <w:adjustRightInd w:val="0"/>
              <w:ind w:right="116"/>
              <w:rPr>
                <w:rFonts w:eastAsia="Calibri"/>
                <w:sz w:val="24"/>
                <w:szCs w:val="24"/>
                <w:lang w:val="uk-UA"/>
              </w:rPr>
            </w:pPr>
            <w:r w:rsidRPr="00B22BDC">
              <w:rPr>
                <w:sz w:val="24"/>
                <w:szCs w:val="24"/>
                <w:lang w:val="uk-UA"/>
              </w:rPr>
              <w:t xml:space="preserve">Впровадження всіх заходів для </w:t>
            </w:r>
            <w:proofErr w:type="spellStart"/>
            <w:r w:rsidRPr="00B22BDC">
              <w:rPr>
                <w:sz w:val="24"/>
                <w:szCs w:val="24"/>
                <w:lang w:val="uk-UA"/>
              </w:rPr>
              <w:t>безбар’єрного</w:t>
            </w:r>
            <w:proofErr w:type="spellEnd"/>
            <w:r w:rsidRPr="00B22BDC">
              <w:rPr>
                <w:sz w:val="24"/>
                <w:szCs w:val="24"/>
                <w:lang w:val="uk-UA"/>
              </w:rPr>
              <w:t xml:space="preserve"> доступу людей з особливими потребами до занять спортом.</w:t>
            </w:r>
          </w:p>
          <w:p w:rsidR="00B22BDC" w:rsidRPr="00B22BDC" w:rsidRDefault="00B22BDC" w:rsidP="007E2693">
            <w:pPr>
              <w:autoSpaceDE w:val="0"/>
              <w:autoSpaceDN w:val="0"/>
              <w:adjustRightInd w:val="0"/>
              <w:ind w:right="116"/>
              <w:rPr>
                <w:rFonts w:eastAsia="Calibri"/>
                <w:sz w:val="24"/>
                <w:szCs w:val="24"/>
                <w:lang w:val="uk-UA"/>
              </w:rPr>
            </w:pPr>
            <w:r w:rsidRPr="00B22BDC">
              <w:rPr>
                <w:sz w:val="24"/>
                <w:szCs w:val="24"/>
                <w:lang w:val="uk-UA"/>
              </w:rPr>
              <w:t>Впровадження та розвиток реабілітаційних заходів для громадян міста, району, постраждалих від бойових дій.</w:t>
            </w:r>
          </w:p>
          <w:p w:rsidR="00B22BDC" w:rsidRPr="00B22BDC" w:rsidRDefault="00B22BDC" w:rsidP="007E2693">
            <w:pPr>
              <w:rPr>
                <w:b/>
                <w:sz w:val="24"/>
                <w:szCs w:val="24"/>
                <w:lang w:val="uk-UA"/>
              </w:rPr>
            </w:pPr>
            <w:r w:rsidRPr="00B22BDC">
              <w:rPr>
                <w:sz w:val="24"/>
                <w:szCs w:val="24"/>
                <w:lang w:val="uk-UA"/>
              </w:rPr>
              <w:t>Проведення та організація заходів для фізичної підготовки, реабілітації військовослужбовців тощо.</w:t>
            </w:r>
          </w:p>
        </w:tc>
        <w:tc>
          <w:tcPr>
            <w:tcW w:w="1696" w:type="dxa"/>
            <w:vMerge w:val="restart"/>
          </w:tcPr>
          <w:p w:rsidR="00B22BDC" w:rsidRPr="00B22BDC" w:rsidRDefault="00B22BDC" w:rsidP="007E2693">
            <w:pPr>
              <w:autoSpaceDE w:val="0"/>
              <w:autoSpaceDN w:val="0"/>
              <w:adjustRightInd w:val="0"/>
              <w:ind w:right="116"/>
              <w:rPr>
                <w:rFonts w:eastAsia="Calibri"/>
                <w:sz w:val="24"/>
                <w:szCs w:val="24"/>
                <w:lang w:val="uk-UA"/>
              </w:rPr>
            </w:pPr>
          </w:p>
        </w:tc>
      </w:tr>
      <w:tr w:rsidR="00B22BDC" w:rsidRPr="00B22BDC" w:rsidTr="00F7531A">
        <w:tc>
          <w:tcPr>
            <w:tcW w:w="1954" w:type="dxa"/>
            <w:vMerge/>
          </w:tcPr>
          <w:p w:rsidR="00B22BDC" w:rsidRPr="00B22BDC" w:rsidRDefault="00B22BDC" w:rsidP="007E2693">
            <w:pPr>
              <w:rPr>
                <w:b/>
                <w:sz w:val="24"/>
                <w:szCs w:val="24"/>
                <w:lang w:val="uk-UA"/>
              </w:rPr>
            </w:pPr>
          </w:p>
        </w:tc>
        <w:tc>
          <w:tcPr>
            <w:tcW w:w="2616" w:type="dxa"/>
          </w:tcPr>
          <w:p w:rsidR="00B22BDC" w:rsidRPr="00B22BDC" w:rsidRDefault="00B22BDC" w:rsidP="007E2693">
            <w:pPr>
              <w:rPr>
                <w:b/>
                <w:sz w:val="24"/>
                <w:szCs w:val="24"/>
                <w:lang w:val="uk-UA"/>
              </w:rPr>
            </w:pPr>
            <w:r w:rsidRPr="00B22BDC">
              <w:rPr>
                <w:sz w:val="24"/>
                <w:szCs w:val="24"/>
                <w:lang w:val="uk-UA"/>
              </w:rPr>
              <w:t>Кількість осіб, які отримують послуги</w:t>
            </w:r>
          </w:p>
        </w:tc>
        <w:tc>
          <w:tcPr>
            <w:tcW w:w="4390" w:type="dxa"/>
            <w:vMerge/>
          </w:tcPr>
          <w:p w:rsidR="00B22BDC" w:rsidRPr="00B22BDC" w:rsidRDefault="00B22BDC" w:rsidP="007E2693">
            <w:pPr>
              <w:rPr>
                <w:b/>
                <w:sz w:val="24"/>
                <w:szCs w:val="24"/>
                <w:lang w:val="uk-UA"/>
              </w:rPr>
            </w:pPr>
          </w:p>
        </w:tc>
        <w:tc>
          <w:tcPr>
            <w:tcW w:w="1696" w:type="dxa"/>
            <w:vMerge/>
          </w:tcPr>
          <w:p w:rsidR="00B22BDC" w:rsidRPr="00B22BDC" w:rsidRDefault="00B22BDC" w:rsidP="007E2693">
            <w:pPr>
              <w:rPr>
                <w:b/>
                <w:sz w:val="24"/>
                <w:szCs w:val="24"/>
                <w:lang w:val="uk-UA"/>
              </w:rPr>
            </w:pPr>
          </w:p>
        </w:tc>
      </w:tr>
      <w:tr w:rsidR="00B22BDC" w:rsidRPr="00B22BDC" w:rsidTr="00F7531A">
        <w:tc>
          <w:tcPr>
            <w:tcW w:w="1954" w:type="dxa"/>
            <w:vMerge/>
          </w:tcPr>
          <w:p w:rsidR="00B22BDC" w:rsidRPr="00B22BDC" w:rsidRDefault="00B22BDC" w:rsidP="007E2693">
            <w:pPr>
              <w:rPr>
                <w:b/>
                <w:sz w:val="24"/>
                <w:szCs w:val="24"/>
                <w:lang w:val="uk-UA"/>
              </w:rPr>
            </w:pPr>
          </w:p>
        </w:tc>
        <w:tc>
          <w:tcPr>
            <w:tcW w:w="2616" w:type="dxa"/>
          </w:tcPr>
          <w:p w:rsidR="00B22BDC" w:rsidRPr="00B22BDC" w:rsidRDefault="00B22BDC" w:rsidP="007E2693">
            <w:pPr>
              <w:rPr>
                <w:b/>
                <w:sz w:val="24"/>
                <w:szCs w:val="24"/>
                <w:lang w:val="uk-UA"/>
              </w:rPr>
            </w:pPr>
            <w:r w:rsidRPr="00B22BDC">
              <w:rPr>
                <w:sz w:val="24"/>
                <w:szCs w:val="24"/>
                <w:lang w:val="uk-UA"/>
              </w:rPr>
              <w:t xml:space="preserve">Кількість відновлених об’єктів закладів </w:t>
            </w:r>
            <w:r w:rsidRPr="00B22BDC">
              <w:rPr>
                <w:sz w:val="24"/>
                <w:szCs w:val="24"/>
                <w:lang w:val="uk-UA"/>
              </w:rPr>
              <w:lastRenderedPageBreak/>
              <w:t>надання інших сервісів та послуг (адміністративні будівлі органів державної влади та органів місцевого самоврядування, приміщення центрів надання адміністративних послуг тощо)</w:t>
            </w:r>
          </w:p>
        </w:tc>
        <w:tc>
          <w:tcPr>
            <w:tcW w:w="4390" w:type="dxa"/>
            <w:vMerge w:val="restart"/>
          </w:tcPr>
          <w:p w:rsidR="00B22BDC" w:rsidRPr="00B22BDC" w:rsidRDefault="00B22BDC" w:rsidP="007E2693">
            <w:pPr>
              <w:shd w:val="clear" w:color="auto" w:fill="FFFFFF"/>
              <w:overflowPunct w:val="0"/>
              <w:autoSpaceDE w:val="0"/>
              <w:autoSpaceDN w:val="0"/>
              <w:adjustRightInd w:val="0"/>
              <w:spacing w:after="200"/>
              <w:contextualSpacing/>
              <w:textAlignment w:val="baseline"/>
              <w:rPr>
                <w:rFonts w:eastAsia="Calibri"/>
                <w:color w:val="000000"/>
                <w:sz w:val="24"/>
                <w:szCs w:val="24"/>
                <w:lang w:eastAsia="uk-UA"/>
              </w:rPr>
            </w:pPr>
            <w:proofErr w:type="spellStart"/>
            <w:r w:rsidRPr="00B22BDC">
              <w:rPr>
                <w:rFonts w:eastAsia="Calibri"/>
                <w:color w:val="000000"/>
                <w:sz w:val="24"/>
                <w:szCs w:val="24"/>
                <w:lang w:eastAsia="uk-UA"/>
              </w:rPr>
              <w:lastRenderedPageBreak/>
              <w:t>Організація</w:t>
            </w:r>
            <w:proofErr w:type="spellEnd"/>
            <w:r w:rsidRPr="00B22BDC">
              <w:rPr>
                <w:rFonts w:eastAsia="Calibri"/>
                <w:color w:val="000000"/>
                <w:sz w:val="24"/>
                <w:szCs w:val="24"/>
                <w:lang w:eastAsia="uk-UA"/>
              </w:rPr>
              <w:t xml:space="preserve"> простору для </w:t>
            </w:r>
            <w:proofErr w:type="spellStart"/>
            <w:r w:rsidRPr="00B22BDC">
              <w:rPr>
                <w:rFonts w:eastAsia="Calibri"/>
                <w:color w:val="000000"/>
                <w:sz w:val="24"/>
                <w:szCs w:val="24"/>
                <w:lang w:eastAsia="uk-UA"/>
              </w:rPr>
              <w:t>обслуговування</w:t>
            </w:r>
            <w:proofErr w:type="spellEnd"/>
            <w:r w:rsidRPr="00B22BDC">
              <w:rPr>
                <w:rFonts w:eastAsia="Calibri"/>
                <w:color w:val="000000"/>
                <w:sz w:val="24"/>
                <w:szCs w:val="24"/>
                <w:lang w:eastAsia="uk-UA"/>
              </w:rPr>
              <w:t xml:space="preserve"> </w:t>
            </w:r>
            <w:proofErr w:type="spellStart"/>
            <w:r w:rsidRPr="00B22BDC">
              <w:rPr>
                <w:rFonts w:eastAsia="Calibri"/>
                <w:color w:val="000000"/>
                <w:sz w:val="24"/>
                <w:szCs w:val="24"/>
                <w:lang w:eastAsia="uk-UA"/>
              </w:rPr>
              <w:t>відвідувачів</w:t>
            </w:r>
            <w:proofErr w:type="spellEnd"/>
            <w:r w:rsidRPr="00B22BDC">
              <w:rPr>
                <w:rFonts w:eastAsia="Calibri"/>
                <w:color w:val="000000"/>
                <w:sz w:val="24"/>
                <w:szCs w:val="24"/>
                <w:lang w:eastAsia="uk-UA"/>
              </w:rPr>
              <w:t xml:space="preserve"> </w:t>
            </w:r>
            <w:proofErr w:type="spellStart"/>
            <w:r w:rsidRPr="00B22BDC">
              <w:rPr>
                <w:rFonts w:eastAsia="Calibri"/>
                <w:color w:val="000000"/>
                <w:sz w:val="24"/>
                <w:szCs w:val="24"/>
                <w:lang w:eastAsia="uk-UA"/>
              </w:rPr>
              <w:t>ЦНАПу</w:t>
            </w:r>
            <w:proofErr w:type="spellEnd"/>
            <w:r w:rsidR="00EE19AB">
              <w:rPr>
                <w:rFonts w:eastAsia="Calibri"/>
                <w:color w:val="000000"/>
                <w:sz w:val="24"/>
                <w:szCs w:val="24"/>
                <w:lang w:eastAsia="uk-UA"/>
              </w:rPr>
              <w:t>.</w:t>
            </w:r>
          </w:p>
          <w:p w:rsidR="00B22BDC" w:rsidRPr="00B22BDC" w:rsidRDefault="00B22BDC" w:rsidP="007E2693">
            <w:pPr>
              <w:shd w:val="clear" w:color="auto" w:fill="FFFFFF"/>
              <w:overflowPunct w:val="0"/>
              <w:autoSpaceDE w:val="0"/>
              <w:autoSpaceDN w:val="0"/>
              <w:adjustRightInd w:val="0"/>
              <w:spacing w:after="200"/>
              <w:contextualSpacing/>
              <w:textAlignment w:val="baseline"/>
              <w:rPr>
                <w:rFonts w:eastAsia="Calibri"/>
                <w:color w:val="000000"/>
                <w:sz w:val="24"/>
                <w:szCs w:val="24"/>
                <w:lang w:eastAsia="uk-UA"/>
              </w:rPr>
            </w:pPr>
            <w:proofErr w:type="spellStart"/>
            <w:r w:rsidRPr="00B22BDC">
              <w:rPr>
                <w:rFonts w:eastAsia="Calibri"/>
                <w:color w:val="000000"/>
                <w:sz w:val="24"/>
                <w:szCs w:val="24"/>
                <w:lang w:eastAsia="uk-UA"/>
              </w:rPr>
              <w:lastRenderedPageBreak/>
              <w:t>Оснащення</w:t>
            </w:r>
            <w:proofErr w:type="spellEnd"/>
            <w:r w:rsidRPr="00B22BDC">
              <w:rPr>
                <w:rFonts w:eastAsia="Calibri"/>
                <w:color w:val="000000"/>
                <w:sz w:val="24"/>
                <w:szCs w:val="24"/>
                <w:lang w:eastAsia="uk-UA"/>
              </w:rPr>
              <w:t xml:space="preserve"> </w:t>
            </w:r>
            <w:proofErr w:type="spellStart"/>
            <w:r w:rsidRPr="00B22BDC">
              <w:rPr>
                <w:rFonts w:eastAsia="Calibri"/>
                <w:color w:val="000000"/>
                <w:sz w:val="24"/>
                <w:szCs w:val="24"/>
                <w:lang w:eastAsia="uk-UA"/>
              </w:rPr>
              <w:t>робочих</w:t>
            </w:r>
            <w:proofErr w:type="spellEnd"/>
            <w:r w:rsidRPr="00B22BDC">
              <w:rPr>
                <w:rFonts w:eastAsia="Calibri"/>
                <w:color w:val="000000"/>
                <w:sz w:val="24"/>
                <w:szCs w:val="24"/>
                <w:lang w:eastAsia="uk-UA"/>
              </w:rPr>
              <w:t xml:space="preserve"> </w:t>
            </w:r>
            <w:proofErr w:type="spellStart"/>
            <w:r w:rsidRPr="00B22BDC">
              <w:rPr>
                <w:rFonts w:eastAsia="Calibri"/>
                <w:color w:val="000000"/>
                <w:sz w:val="24"/>
                <w:szCs w:val="24"/>
                <w:lang w:eastAsia="uk-UA"/>
              </w:rPr>
              <w:t>місць</w:t>
            </w:r>
            <w:proofErr w:type="spellEnd"/>
            <w:r w:rsidRPr="00B22BDC">
              <w:rPr>
                <w:rFonts w:eastAsia="Calibri"/>
                <w:color w:val="000000"/>
                <w:sz w:val="24"/>
                <w:szCs w:val="24"/>
                <w:lang w:eastAsia="uk-UA"/>
              </w:rPr>
              <w:t xml:space="preserve"> </w:t>
            </w:r>
            <w:proofErr w:type="spellStart"/>
            <w:r w:rsidRPr="00B22BDC">
              <w:rPr>
                <w:rFonts w:eastAsia="Calibri"/>
                <w:color w:val="000000"/>
                <w:sz w:val="24"/>
                <w:szCs w:val="24"/>
                <w:lang w:eastAsia="uk-UA"/>
              </w:rPr>
              <w:t>працівників</w:t>
            </w:r>
            <w:proofErr w:type="spellEnd"/>
            <w:r w:rsidRPr="00B22BDC">
              <w:rPr>
                <w:rFonts w:eastAsia="Calibri"/>
                <w:color w:val="000000"/>
                <w:sz w:val="24"/>
                <w:szCs w:val="24"/>
                <w:lang w:eastAsia="uk-UA"/>
              </w:rPr>
              <w:t xml:space="preserve"> </w:t>
            </w:r>
            <w:proofErr w:type="spellStart"/>
            <w:r w:rsidRPr="00B22BDC">
              <w:rPr>
                <w:rFonts w:eastAsia="Calibri"/>
                <w:color w:val="000000"/>
                <w:sz w:val="24"/>
                <w:szCs w:val="24"/>
                <w:lang w:eastAsia="uk-UA"/>
              </w:rPr>
              <w:t>ЦНАПу</w:t>
            </w:r>
            <w:proofErr w:type="spellEnd"/>
            <w:r w:rsidRPr="00B22BDC">
              <w:rPr>
                <w:rFonts w:eastAsia="Calibri"/>
                <w:color w:val="000000"/>
                <w:sz w:val="24"/>
                <w:szCs w:val="24"/>
                <w:lang w:val="uk-UA" w:eastAsia="uk-UA"/>
              </w:rPr>
              <w:t>.</w:t>
            </w:r>
          </w:p>
          <w:p w:rsidR="00B22BDC" w:rsidRPr="00B22BDC" w:rsidRDefault="00B22BDC" w:rsidP="007E2693">
            <w:pPr>
              <w:shd w:val="clear" w:color="auto" w:fill="FFFFFF"/>
              <w:overflowPunct w:val="0"/>
              <w:autoSpaceDE w:val="0"/>
              <w:autoSpaceDN w:val="0"/>
              <w:adjustRightInd w:val="0"/>
              <w:spacing w:after="200"/>
              <w:contextualSpacing/>
              <w:textAlignment w:val="baseline"/>
              <w:rPr>
                <w:rFonts w:eastAsia="Calibri"/>
                <w:color w:val="000000"/>
                <w:sz w:val="24"/>
                <w:szCs w:val="24"/>
                <w:lang w:val="uk-UA" w:eastAsia="uk-UA"/>
              </w:rPr>
            </w:pPr>
            <w:proofErr w:type="spellStart"/>
            <w:r w:rsidRPr="00B22BDC">
              <w:rPr>
                <w:rFonts w:eastAsia="Calibri"/>
                <w:color w:val="000000"/>
                <w:sz w:val="24"/>
                <w:szCs w:val="24"/>
                <w:lang w:eastAsia="uk-UA"/>
              </w:rPr>
              <w:t>Забезпечення</w:t>
            </w:r>
            <w:proofErr w:type="spellEnd"/>
            <w:r w:rsidRPr="00B22BDC">
              <w:rPr>
                <w:rFonts w:eastAsia="Calibri"/>
                <w:color w:val="000000"/>
                <w:sz w:val="24"/>
                <w:szCs w:val="24"/>
                <w:lang w:eastAsia="uk-UA"/>
              </w:rPr>
              <w:t xml:space="preserve"> </w:t>
            </w:r>
            <w:proofErr w:type="spellStart"/>
            <w:r w:rsidRPr="00B22BDC">
              <w:rPr>
                <w:rFonts w:eastAsia="Calibri"/>
                <w:color w:val="000000"/>
                <w:sz w:val="24"/>
                <w:szCs w:val="24"/>
                <w:lang w:eastAsia="uk-UA"/>
              </w:rPr>
              <w:t>належних</w:t>
            </w:r>
            <w:proofErr w:type="spellEnd"/>
            <w:r w:rsidRPr="00B22BDC">
              <w:rPr>
                <w:rFonts w:eastAsia="Calibri"/>
                <w:color w:val="000000"/>
                <w:sz w:val="24"/>
                <w:szCs w:val="24"/>
                <w:lang w:eastAsia="uk-UA"/>
              </w:rPr>
              <w:t xml:space="preserve"> </w:t>
            </w:r>
            <w:proofErr w:type="spellStart"/>
            <w:r w:rsidRPr="00B22BDC">
              <w:rPr>
                <w:rFonts w:eastAsia="Calibri"/>
                <w:color w:val="000000"/>
                <w:sz w:val="24"/>
                <w:szCs w:val="24"/>
                <w:lang w:eastAsia="uk-UA"/>
              </w:rPr>
              <w:t>матеріально-технічних</w:t>
            </w:r>
            <w:proofErr w:type="spellEnd"/>
            <w:r w:rsidRPr="00B22BDC">
              <w:rPr>
                <w:rFonts w:eastAsia="Calibri"/>
                <w:color w:val="000000"/>
                <w:sz w:val="24"/>
                <w:szCs w:val="24"/>
                <w:lang w:eastAsia="uk-UA"/>
              </w:rPr>
              <w:t xml:space="preserve"> умов у ЦНАП для комфортного </w:t>
            </w:r>
            <w:proofErr w:type="spellStart"/>
            <w:r w:rsidRPr="00B22BDC">
              <w:rPr>
                <w:rFonts w:eastAsia="Calibri"/>
                <w:color w:val="000000"/>
                <w:sz w:val="24"/>
                <w:szCs w:val="24"/>
                <w:lang w:eastAsia="uk-UA"/>
              </w:rPr>
              <w:t>перебування</w:t>
            </w:r>
            <w:proofErr w:type="spellEnd"/>
            <w:r w:rsidRPr="00B22BDC">
              <w:rPr>
                <w:rFonts w:eastAsia="Calibri"/>
                <w:color w:val="000000"/>
                <w:sz w:val="24"/>
                <w:szCs w:val="24"/>
                <w:lang w:eastAsia="uk-UA"/>
              </w:rPr>
              <w:t xml:space="preserve"> </w:t>
            </w:r>
            <w:proofErr w:type="spellStart"/>
            <w:r w:rsidRPr="00B22BDC">
              <w:rPr>
                <w:rFonts w:eastAsia="Calibri"/>
                <w:color w:val="000000"/>
                <w:sz w:val="24"/>
                <w:szCs w:val="24"/>
                <w:lang w:eastAsia="uk-UA"/>
              </w:rPr>
              <w:t>осіб</w:t>
            </w:r>
            <w:proofErr w:type="spellEnd"/>
            <w:r w:rsidRPr="00B22BDC">
              <w:rPr>
                <w:rFonts w:eastAsia="Calibri"/>
                <w:color w:val="000000"/>
                <w:sz w:val="24"/>
                <w:szCs w:val="24"/>
                <w:lang w:eastAsia="uk-UA"/>
              </w:rPr>
              <w:t xml:space="preserve"> з </w:t>
            </w:r>
            <w:proofErr w:type="spellStart"/>
            <w:r w:rsidRPr="00B22BDC">
              <w:rPr>
                <w:rFonts w:eastAsia="Calibri"/>
                <w:color w:val="000000"/>
                <w:sz w:val="24"/>
                <w:szCs w:val="24"/>
                <w:lang w:eastAsia="uk-UA"/>
              </w:rPr>
              <w:t>інвалідністю</w:t>
            </w:r>
            <w:proofErr w:type="spellEnd"/>
            <w:r w:rsidRPr="00B22BDC">
              <w:rPr>
                <w:rFonts w:eastAsia="Calibri"/>
                <w:color w:val="000000"/>
                <w:sz w:val="24"/>
                <w:szCs w:val="24"/>
                <w:lang w:eastAsia="uk-UA"/>
              </w:rPr>
              <w:t xml:space="preserve"> та </w:t>
            </w:r>
            <w:proofErr w:type="spellStart"/>
            <w:r w:rsidRPr="00B22BDC">
              <w:rPr>
                <w:rFonts w:eastAsia="Calibri"/>
                <w:color w:val="000000"/>
                <w:sz w:val="24"/>
                <w:szCs w:val="24"/>
                <w:lang w:eastAsia="uk-UA"/>
              </w:rPr>
              <w:t>відвідувачів</w:t>
            </w:r>
            <w:proofErr w:type="spellEnd"/>
            <w:r w:rsidRPr="00B22BDC">
              <w:rPr>
                <w:rFonts w:eastAsia="Calibri"/>
                <w:color w:val="000000"/>
                <w:sz w:val="24"/>
                <w:szCs w:val="24"/>
                <w:lang w:eastAsia="uk-UA"/>
              </w:rPr>
              <w:t xml:space="preserve"> з </w:t>
            </w:r>
            <w:proofErr w:type="spellStart"/>
            <w:r w:rsidRPr="00B22BDC">
              <w:rPr>
                <w:rFonts w:eastAsia="Calibri"/>
                <w:color w:val="000000"/>
                <w:sz w:val="24"/>
                <w:szCs w:val="24"/>
                <w:lang w:eastAsia="uk-UA"/>
              </w:rPr>
              <w:t>дітьми</w:t>
            </w:r>
            <w:proofErr w:type="spellEnd"/>
            <w:r w:rsidRPr="00B22BDC">
              <w:rPr>
                <w:rFonts w:eastAsia="Calibri"/>
                <w:color w:val="000000"/>
                <w:sz w:val="24"/>
                <w:szCs w:val="24"/>
                <w:lang w:val="uk-UA" w:eastAsia="uk-UA"/>
              </w:rPr>
              <w:t>.</w:t>
            </w:r>
          </w:p>
          <w:p w:rsidR="00B22BDC" w:rsidRPr="00B22BDC" w:rsidRDefault="00B22BDC" w:rsidP="007E2693">
            <w:pPr>
              <w:shd w:val="clear" w:color="auto" w:fill="FFFFFF"/>
              <w:overflowPunct w:val="0"/>
              <w:autoSpaceDE w:val="0"/>
              <w:autoSpaceDN w:val="0"/>
              <w:adjustRightInd w:val="0"/>
              <w:contextualSpacing/>
              <w:textAlignment w:val="baseline"/>
              <w:rPr>
                <w:rFonts w:eastAsia="Calibri"/>
                <w:color w:val="000000"/>
                <w:sz w:val="24"/>
                <w:szCs w:val="24"/>
                <w:lang w:val="uk-UA" w:eastAsia="uk-UA"/>
              </w:rPr>
            </w:pPr>
            <w:proofErr w:type="spellStart"/>
            <w:r w:rsidRPr="00B22BDC">
              <w:rPr>
                <w:rFonts w:eastAsia="Calibri"/>
                <w:color w:val="000000"/>
                <w:sz w:val="24"/>
                <w:szCs w:val="24"/>
                <w:lang w:eastAsia="uk-UA"/>
              </w:rPr>
              <w:t>Навчальна</w:t>
            </w:r>
            <w:proofErr w:type="spellEnd"/>
            <w:r w:rsidRPr="00B22BDC">
              <w:rPr>
                <w:rFonts w:eastAsia="Calibri"/>
                <w:color w:val="000000"/>
                <w:sz w:val="24"/>
                <w:szCs w:val="24"/>
                <w:lang w:eastAsia="uk-UA"/>
              </w:rPr>
              <w:t xml:space="preserve"> та </w:t>
            </w:r>
            <w:proofErr w:type="spellStart"/>
            <w:r w:rsidRPr="00B22BDC">
              <w:rPr>
                <w:rFonts w:eastAsia="Calibri"/>
                <w:color w:val="000000"/>
                <w:sz w:val="24"/>
                <w:szCs w:val="24"/>
                <w:lang w:eastAsia="uk-UA"/>
              </w:rPr>
              <w:t>інформаційна</w:t>
            </w:r>
            <w:proofErr w:type="spellEnd"/>
            <w:r w:rsidRPr="00B22BDC">
              <w:rPr>
                <w:rFonts w:eastAsia="Calibri"/>
                <w:color w:val="000000"/>
                <w:sz w:val="24"/>
                <w:szCs w:val="24"/>
                <w:lang w:eastAsia="uk-UA"/>
              </w:rPr>
              <w:t xml:space="preserve"> </w:t>
            </w:r>
            <w:proofErr w:type="spellStart"/>
            <w:r w:rsidRPr="00B22BDC">
              <w:rPr>
                <w:rFonts w:eastAsia="Calibri"/>
                <w:color w:val="000000"/>
                <w:sz w:val="24"/>
                <w:szCs w:val="24"/>
                <w:lang w:eastAsia="uk-UA"/>
              </w:rPr>
              <w:t>підтримка</w:t>
            </w:r>
            <w:proofErr w:type="spellEnd"/>
            <w:r w:rsidRPr="00B22BDC">
              <w:rPr>
                <w:rFonts w:eastAsia="Calibri"/>
                <w:color w:val="000000"/>
                <w:sz w:val="24"/>
                <w:szCs w:val="24"/>
                <w:lang w:eastAsia="uk-UA"/>
              </w:rPr>
              <w:t xml:space="preserve">, </w:t>
            </w:r>
            <w:proofErr w:type="spellStart"/>
            <w:r w:rsidRPr="00B22BDC">
              <w:rPr>
                <w:rFonts w:eastAsia="Calibri"/>
                <w:color w:val="000000"/>
                <w:sz w:val="24"/>
                <w:szCs w:val="24"/>
                <w:lang w:eastAsia="uk-UA"/>
              </w:rPr>
              <w:t>популяризація</w:t>
            </w:r>
            <w:proofErr w:type="spellEnd"/>
            <w:r w:rsidRPr="00B22BDC">
              <w:rPr>
                <w:rFonts w:eastAsia="Calibri"/>
                <w:color w:val="000000"/>
                <w:sz w:val="24"/>
                <w:szCs w:val="24"/>
                <w:lang w:eastAsia="uk-UA"/>
              </w:rPr>
              <w:t xml:space="preserve"> ЦНАП та </w:t>
            </w:r>
            <w:proofErr w:type="spellStart"/>
            <w:r w:rsidRPr="00B22BDC">
              <w:rPr>
                <w:rFonts w:eastAsia="Calibri"/>
                <w:color w:val="000000"/>
                <w:sz w:val="24"/>
                <w:szCs w:val="24"/>
                <w:lang w:eastAsia="uk-UA"/>
              </w:rPr>
              <w:t>поширення</w:t>
            </w:r>
            <w:proofErr w:type="spellEnd"/>
            <w:r w:rsidRPr="00B22BDC">
              <w:rPr>
                <w:rFonts w:eastAsia="Calibri"/>
                <w:color w:val="000000"/>
                <w:sz w:val="24"/>
                <w:szCs w:val="24"/>
                <w:lang w:eastAsia="uk-UA"/>
              </w:rPr>
              <w:t xml:space="preserve"> </w:t>
            </w:r>
            <w:proofErr w:type="spellStart"/>
            <w:r w:rsidRPr="00B22BDC">
              <w:rPr>
                <w:rFonts w:eastAsia="Calibri"/>
                <w:color w:val="000000"/>
                <w:sz w:val="24"/>
                <w:szCs w:val="24"/>
                <w:lang w:eastAsia="uk-UA"/>
              </w:rPr>
              <w:t>успішних</w:t>
            </w:r>
            <w:proofErr w:type="spellEnd"/>
            <w:r w:rsidRPr="00B22BDC">
              <w:rPr>
                <w:rFonts w:eastAsia="Calibri"/>
                <w:color w:val="000000"/>
                <w:sz w:val="24"/>
                <w:szCs w:val="24"/>
                <w:lang w:eastAsia="uk-UA"/>
              </w:rPr>
              <w:t xml:space="preserve"> практик у </w:t>
            </w:r>
            <w:proofErr w:type="spellStart"/>
            <w:r w:rsidRPr="00B22BDC">
              <w:rPr>
                <w:rFonts w:eastAsia="Calibri"/>
                <w:color w:val="000000"/>
                <w:sz w:val="24"/>
                <w:szCs w:val="24"/>
                <w:lang w:eastAsia="uk-UA"/>
              </w:rPr>
              <w:t>сфері</w:t>
            </w:r>
            <w:proofErr w:type="spellEnd"/>
            <w:r w:rsidRPr="00B22BDC">
              <w:rPr>
                <w:rFonts w:eastAsia="Calibri"/>
                <w:color w:val="000000"/>
                <w:sz w:val="24"/>
                <w:szCs w:val="24"/>
                <w:lang w:eastAsia="uk-UA"/>
              </w:rPr>
              <w:t xml:space="preserve"> </w:t>
            </w:r>
            <w:proofErr w:type="spellStart"/>
            <w:r w:rsidRPr="00B22BDC">
              <w:rPr>
                <w:rFonts w:eastAsia="Calibri"/>
                <w:color w:val="000000"/>
                <w:sz w:val="24"/>
                <w:szCs w:val="24"/>
                <w:lang w:eastAsia="uk-UA"/>
              </w:rPr>
              <w:t>надання</w:t>
            </w:r>
            <w:proofErr w:type="spellEnd"/>
            <w:r w:rsidRPr="00B22BDC">
              <w:rPr>
                <w:rFonts w:eastAsia="Calibri"/>
                <w:color w:val="000000"/>
                <w:sz w:val="24"/>
                <w:szCs w:val="24"/>
                <w:lang w:eastAsia="uk-UA"/>
              </w:rPr>
              <w:t xml:space="preserve"> </w:t>
            </w:r>
            <w:proofErr w:type="spellStart"/>
            <w:r w:rsidRPr="00B22BDC">
              <w:rPr>
                <w:rFonts w:eastAsia="Calibri"/>
                <w:color w:val="000000"/>
                <w:sz w:val="24"/>
                <w:szCs w:val="24"/>
                <w:lang w:eastAsia="uk-UA"/>
              </w:rPr>
              <w:t>адміністративних</w:t>
            </w:r>
            <w:proofErr w:type="spellEnd"/>
            <w:r w:rsidRPr="00B22BDC">
              <w:rPr>
                <w:rFonts w:eastAsia="Calibri"/>
                <w:color w:val="000000"/>
                <w:sz w:val="24"/>
                <w:szCs w:val="24"/>
                <w:lang w:eastAsia="uk-UA"/>
              </w:rPr>
              <w:t xml:space="preserve"> </w:t>
            </w:r>
            <w:proofErr w:type="spellStart"/>
            <w:r w:rsidRPr="00B22BDC">
              <w:rPr>
                <w:rFonts w:eastAsia="Calibri"/>
                <w:color w:val="000000"/>
                <w:sz w:val="24"/>
                <w:szCs w:val="24"/>
                <w:lang w:eastAsia="uk-UA"/>
              </w:rPr>
              <w:t>послуг</w:t>
            </w:r>
            <w:proofErr w:type="spellEnd"/>
            <w:r w:rsidRPr="00B22BDC">
              <w:rPr>
                <w:rFonts w:eastAsia="Calibri"/>
                <w:color w:val="000000"/>
                <w:sz w:val="24"/>
                <w:szCs w:val="24"/>
                <w:lang w:val="uk-UA" w:eastAsia="uk-UA"/>
              </w:rPr>
              <w:t>.</w:t>
            </w:r>
          </w:p>
          <w:p w:rsidR="00B22BDC" w:rsidRPr="00B22BDC" w:rsidRDefault="00B22BDC" w:rsidP="007E2693">
            <w:pPr>
              <w:pStyle w:val="a7"/>
              <w:ind w:left="0"/>
              <w:rPr>
                <w:bCs/>
                <w:sz w:val="24"/>
                <w:szCs w:val="24"/>
              </w:rPr>
            </w:pPr>
            <w:proofErr w:type="spellStart"/>
            <w:r w:rsidRPr="00B22BDC">
              <w:rPr>
                <w:bCs/>
                <w:sz w:val="24"/>
                <w:szCs w:val="24"/>
              </w:rPr>
              <w:t>Забезпечення</w:t>
            </w:r>
            <w:proofErr w:type="spellEnd"/>
            <w:r w:rsidRPr="00B22BDC">
              <w:rPr>
                <w:bCs/>
                <w:sz w:val="24"/>
                <w:szCs w:val="24"/>
              </w:rPr>
              <w:t xml:space="preserve"> </w:t>
            </w:r>
            <w:proofErr w:type="spellStart"/>
            <w:r w:rsidRPr="00B22BDC">
              <w:rPr>
                <w:bCs/>
                <w:sz w:val="24"/>
                <w:szCs w:val="24"/>
              </w:rPr>
              <w:t>реалізації</w:t>
            </w:r>
            <w:proofErr w:type="spellEnd"/>
            <w:r w:rsidRPr="00B22BDC">
              <w:rPr>
                <w:bCs/>
                <w:sz w:val="24"/>
                <w:szCs w:val="24"/>
              </w:rPr>
              <w:t xml:space="preserve"> </w:t>
            </w:r>
            <w:proofErr w:type="spellStart"/>
            <w:r w:rsidRPr="00B22BDC">
              <w:rPr>
                <w:bCs/>
                <w:sz w:val="24"/>
                <w:szCs w:val="24"/>
              </w:rPr>
              <w:t>конституційних</w:t>
            </w:r>
            <w:proofErr w:type="spellEnd"/>
            <w:r w:rsidRPr="00B22BDC">
              <w:rPr>
                <w:bCs/>
                <w:sz w:val="24"/>
                <w:szCs w:val="24"/>
              </w:rPr>
              <w:t xml:space="preserve"> прав </w:t>
            </w:r>
            <w:proofErr w:type="spellStart"/>
            <w:r w:rsidRPr="00B22BDC">
              <w:rPr>
                <w:bCs/>
                <w:sz w:val="24"/>
                <w:szCs w:val="24"/>
              </w:rPr>
              <w:t>людини</w:t>
            </w:r>
            <w:proofErr w:type="spellEnd"/>
            <w:r w:rsidRPr="00B22BDC">
              <w:rPr>
                <w:bCs/>
                <w:sz w:val="24"/>
                <w:szCs w:val="24"/>
              </w:rPr>
              <w:t xml:space="preserve"> та </w:t>
            </w:r>
            <w:proofErr w:type="spellStart"/>
            <w:r w:rsidRPr="00B22BDC">
              <w:rPr>
                <w:bCs/>
                <w:sz w:val="24"/>
                <w:szCs w:val="24"/>
              </w:rPr>
              <w:t>громадянина</w:t>
            </w:r>
            <w:proofErr w:type="spellEnd"/>
            <w:r w:rsidRPr="00B22BDC">
              <w:rPr>
                <w:bCs/>
                <w:sz w:val="24"/>
                <w:szCs w:val="24"/>
              </w:rPr>
              <w:t xml:space="preserve"> на </w:t>
            </w:r>
            <w:proofErr w:type="spellStart"/>
            <w:r w:rsidRPr="00B22BDC">
              <w:rPr>
                <w:bCs/>
                <w:sz w:val="24"/>
                <w:szCs w:val="24"/>
              </w:rPr>
              <w:t>захист</w:t>
            </w:r>
            <w:proofErr w:type="spellEnd"/>
            <w:r w:rsidRPr="00B22BDC">
              <w:rPr>
                <w:bCs/>
                <w:sz w:val="24"/>
                <w:szCs w:val="24"/>
              </w:rPr>
              <w:t xml:space="preserve"> </w:t>
            </w:r>
            <w:proofErr w:type="spellStart"/>
            <w:r w:rsidRPr="00B22BDC">
              <w:rPr>
                <w:bCs/>
                <w:sz w:val="24"/>
                <w:szCs w:val="24"/>
              </w:rPr>
              <w:t>своїх</w:t>
            </w:r>
            <w:proofErr w:type="spellEnd"/>
            <w:r w:rsidRPr="00B22BDC">
              <w:rPr>
                <w:bCs/>
                <w:sz w:val="24"/>
                <w:szCs w:val="24"/>
              </w:rPr>
              <w:t xml:space="preserve"> прав та свобод, доступ до </w:t>
            </w:r>
            <w:proofErr w:type="spellStart"/>
            <w:r w:rsidRPr="00B22BDC">
              <w:rPr>
                <w:bCs/>
                <w:sz w:val="24"/>
                <w:szCs w:val="24"/>
              </w:rPr>
              <w:t>правоохоронних</w:t>
            </w:r>
            <w:proofErr w:type="spellEnd"/>
            <w:r w:rsidRPr="00B22BDC">
              <w:rPr>
                <w:bCs/>
                <w:sz w:val="24"/>
                <w:szCs w:val="24"/>
              </w:rPr>
              <w:t xml:space="preserve"> </w:t>
            </w:r>
            <w:proofErr w:type="spellStart"/>
            <w:r w:rsidRPr="00B22BDC">
              <w:rPr>
                <w:bCs/>
                <w:sz w:val="24"/>
                <w:szCs w:val="24"/>
              </w:rPr>
              <w:t>органів</w:t>
            </w:r>
            <w:proofErr w:type="spellEnd"/>
            <w:r w:rsidRPr="00B22BDC">
              <w:rPr>
                <w:bCs/>
                <w:sz w:val="24"/>
                <w:szCs w:val="24"/>
              </w:rPr>
              <w:t xml:space="preserve">, </w:t>
            </w:r>
            <w:proofErr w:type="spellStart"/>
            <w:r w:rsidR="00EE19AB">
              <w:rPr>
                <w:bCs/>
                <w:sz w:val="24"/>
                <w:szCs w:val="24"/>
              </w:rPr>
              <w:t>органів</w:t>
            </w:r>
            <w:proofErr w:type="spellEnd"/>
            <w:r w:rsidR="00EE19AB">
              <w:rPr>
                <w:bCs/>
                <w:sz w:val="24"/>
                <w:szCs w:val="24"/>
              </w:rPr>
              <w:t xml:space="preserve"> </w:t>
            </w:r>
            <w:proofErr w:type="spellStart"/>
            <w:r w:rsidRPr="00B22BDC">
              <w:rPr>
                <w:bCs/>
                <w:sz w:val="24"/>
                <w:szCs w:val="24"/>
              </w:rPr>
              <w:t>влади</w:t>
            </w:r>
            <w:proofErr w:type="spellEnd"/>
            <w:r w:rsidRPr="00B22BDC">
              <w:rPr>
                <w:bCs/>
                <w:sz w:val="24"/>
                <w:szCs w:val="24"/>
              </w:rPr>
              <w:t>.</w:t>
            </w:r>
          </w:p>
          <w:p w:rsidR="00B22BDC" w:rsidRPr="00B22BDC" w:rsidRDefault="00B22BDC" w:rsidP="007E2693">
            <w:pPr>
              <w:pStyle w:val="a7"/>
              <w:ind w:left="0"/>
              <w:rPr>
                <w:bCs/>
                <w:sz w:val="24"/>
                <w:szCs w:val="24"/>
              </w:rPr>
            </w:pPr>
            <w:proofErr w:type="spellStart"/>
            <w:r w:rsidRPr="00B22BDC">
              <w:rPr>
                <w:bCs/>
                <w:sz w:val="24"/>
                <w:szCs w:val="24"/>
              </w:rPr>
              <w:t>Забезпечення</w:t>
            </w:r>
            <w:proofErr w:type="spellEnd"/>
            <w:r w:rsidRPr="00B22BDC">
              <w:rPr>
                <w:bCs/>
                <w:sz w:val="24"/>
                <w:szCs w:val="24"/>
              </w:rPr>
              <w:t xml:space="preserve"> доступу </w:t>
            </w:r>
            <w:proofErr w:type="spellStart"/>
            <w:r w:rsidRPr="00B22BDC">
              <w:rPr>
                <w:bCs/>
                <w:sz w:val="24"/>
                <w:szCs w:val="24"/>
              </w:rPr>
              <w:t>Сєвєродонецької</w:t>
            </w:r>
            <w:proofErr w:type="spellEnd"/>
            <w:r w:rsidRPr="00B22BDC">
              <w:rPr>
                <w:bCs/>
                <w:sz w:val="24"/>
                <w:szCs w:val="24"/>
              </w:rPr>
              <w:t xml:space="preserve"> </w:t>
            </w:r>
            <w:proofErr w:type="spellStart"/>
            <w:r w:rsidRPr="00B22BDC">
              <w:rPr>
                <w:bCs/>
                <w:sz w:val="24"/>
                <w:szCs w:val="24"/>
              </w:rPr>
              <w:t>міської</w:t>
            </w:r>
            <w:proofErr w:type="spellEnd"/>
            <w:r w:rsidRPr="00B22BDC">
              <w:rPr>
                <w:bCs/>
                <w:sz w:val="24"/>
                <w:szCs w:val="24"/>
              </w:rPr>
              <w:t xml:space="preserve"> </w:t>
            </w:r>
            <w:proofErr w:type="spellStart"/>
            <w:r w:rsidRPr="00B22BDC">
              <w:rPr>
                <w:bCs/>
                <w:sz w:val="24"/>
                <w:szCs w:val="24"/>
              </w:rPr>
              <w:t>територіальної</w:t>
            </w:r>
            <w:proofErr w:type="spellEnd"/>
            <w:r w:rsidRPr="00B22BDC">
              <w:rPr>
                <w:bCs/>
                <w:sz w:val="24"/>
                <w:szCs w:val="24"/>
              </w:rPr>
              <w:t xml:space="preserve"> </w:t>
            </w:r>
            <w:proofErr w:type="spellStart"/>
            <w:proofErr w:type="gramStart"/>
            <w:r w:rsidRPr="00B22BDC">
              <w:rPr>
                <w:bCs/>
                <w:sz w:val="24"/>
                <w:szCs w:val="24"/>
              </w:rPr>
              <w:t>громади</w:t>
            </w:r>
            <w:proofErr w:type="spellEnd"/>
            <w:r w:rsidRPr="00B22BDC">
              <w:rPr>
                <w:bCs/>
                <w:sz w:val="24"/>
                <w:szCs w:val="24"/>
              </w:rPr>
              <w:t xml:space="preserve">,  </w:t>
            </w:r>
            <w:proofErr w:type="spellStart"/>
            <w:r w:rsidRPr="00B22BDC">
              <w:rPr>
                <w:bCs/>
                <w:sz w:val="24"/>
                <w:szCs w:val="24"/>
              </w:rPr>
              <w:t>установ</w:t>
            </w:r>
            <w:proofErr w:type="spellEnd"/>
            <w:proofErr w:type="gramEnd"/>
            <w:r w:rsidRPr="00B22BDC">
              <w:rPr>
                <w:bCs/>
                <w:sz w:val="24"/>
                <w:szCs w:val="24"/>
              </w:rPr>
              <w:t xml:space="preserve">, </w:t>
            </w:r>
            <w:proofErr w:type="spellStart"/>
            <w:r w:rsidRPr="00B22BDC">
              <w:rPr>
                <w:bCs/>
                <w:sz w:val="24"/>
                <w:szCs w:val="24"/>
              </w:rPr>
              <w:t>підприємств</w:t>
            </w:r>
            <w:proofErr w:type="spellEnd"/>
            <w:r w:rsidRPr="00B22BDC">
              <w:rPr>
                <w:bCs/>
                <w:sz w:val="24"/>
                <w:szCs w:val="24"/>
              </w:rPr>
              <w:t xml:space="preserve"> та </w:t>
            </w:r>
            <w:proofErr w:type="spellStart"/>
            <w:r w:rsidRPr="00B22BDC">
              <w:rPr>
                <w:bCs/>
                <w:sz w:val="24"/>
                <w:szCs w:val="24"/>
              </w:rPr>
              <w:t>організацій</w:t>
            </w:r>
            <w:proofErr w:type="spellEnd"/>
            <w:r w:rsidRPr="00B22BDC">
              <w:rPr>
                <w:bCs/>
                <w:sz w:val="24"/>
                <w:szCs w:val="24"/>
              </w:rPr>
              <w:t xml:space="preserve"> (не </w:t>
            </w:r>
            <w:proofErr w:type="spellStart"/>
            <w:r w:rsidRPr="00B22BDC">
              <w:rPr>
                <w:bCs/>
                <w:sz w:val="24"/>
                <w:szCs w:val="24"/>
              </w:rPr>
              <w:t>залежно</w:t>
            </w:r>
            <w:proofErr w:type="spellEnd"/>
            <w:r w:rsidRPr="00B22BDC">
              <w:rPr>
                <w:bCs/>
                <w:sz w:val="24"/>
                <w:szCs w:val="24"/>
              </w:rPr>
              <w:t xml:space="preserve"> </w:t>
            </w:r>
            <w:proofErr w:type="spellStart"/>
            <w:r w:rsidRPr="00B22BDC">
              <w:rPr>
                <w:bCs/>
                <w:sz w:val="24"/>
                <w:szCs w:val="24"/>
              </w:rPr>
              <w:t>від</w:t>
            </w:r>
            <w:proofErr w:type="spellEnd"/>
            <w:r w:rsidRPr="00B22BDC">
              <w:rPr>
                <w:bCs/>
                <w:sz w:val="24"/>
                <w:szCs w:val="24"/>
              </w:rPr>
              <w:t xml:space="preserve"> форм </w:t>
            </w:r>
            <w:proofErr w:type="spellStart"/>
            <w:r w:rsidRPr="00B22BDC">
              <w:rPr>
                <w:bCs/>
                <w:sz w:val="24"/>
                <w:szCs w:val="24"/>
              </w:rPr>
              <w:t>власності</w:t>
            </w:r>
            <w:proofErr w:type="spellEnd"/>
            <w:r w:rsidRPr="00B22BDC">
              <w:rPr>
                <w:bCs/>
                <w:sz w:val="24"/>
                <w:szCs w:val="24"/>
              </w:rPr>
              <w:t xml:space="preserve">) та </w:t>
            </w:r>
            <w:proofErr w:type="spellStart"/>
            <w:r w:rsidRPr="00B22BDC">
              <w:rPr>
                <w:bCs/>
                <w:sz w:val="24"/>
                <w:szCs w:val="24"/>
              </w:rPr>
              <w:t>громадян</w:t>
            </w:r>
            <w:proofErr w:type="spellEnd"/>
            <w:r w:rsidRPr="00B22BDC">
              <w:rPr>
                <w:bCs/>
                <w:sz w:val="24"/>
                <w:szCs w:val="24"/>
              </w:rPr>
              <w:t xml:space="preserve"> до </w:t>
            </w:r>
            <w:proofErr w:type="spellStart"/>
            <w:r w:rsidRPr="00B22BDC">
              <w:rPr>
                <w:bCs/>
                <w:sz w:val="24"/>
                <w:szCs w:val="24"/>
              </w:rPr>
              <w:t>різного</w:t>
            </w:r>
            <w:proofErr w:type="spellEnd"/>
            <w:r w:rsidRPr="00B22BDC">
              <w:rPr>
                <w:bCs/>
                <w:sz w:val="24"/>
                <w:szCs w:val="24"/>
              </w:rPr>
              <w:t xml:space="preserve"> роду </w:t>
            </w:r>
            <w:proofErr w:type="spellStart"/>
            <w:r w:rsidRPr="00B22BDC">
              <w:rPr>
                <w:bCs/>
                <w:sz w:val="24"/>
                <w:szCs w:val="24"/>
              </w:rPr>
              <w:t>послуг</w:t>
            </w:r>
            <w:proofErr w:type="spellEnd"/>
            <w:r w:rsidRPr="00B22BDC">
              <w:rPr>
                <w:bCs/>
                <w:sz w:val="24"/>
                <w:szCs w:val="24"/>
              </w:rPr>
              <w:t>.</w:t>
            </w:r>
          </w:p>
          <w:p w:rsidR="00B22BDC" w:rsidRPr="00B22BDC" w:rsidRDefault="00B22BDC" w:rsidP="007E2693">
            <w:pPr>
              <w:shd w:val="clear" w:color="auto" w:fill="FFFFFF"/>
              <w:overflowPunct w:val="0"/>
              <w:autoSpaceDE w:val="0"/>
              <w:autoSpaceDN w:val="0"/>
              <w:adjustRightInd w:val="0"/>
              <w:contextualSpacing/>
              <w:textAlignment w:val="baseline"/>
              <w:rPr>
                <w:bCs/>
                <w:sz w:val="24"/>
                <w:szCs w:val="24"/>
                <w:lang w:val="uk-UA"/>
              </w:rPr>
            </w:pPr>
            <w:r w:rsidRPr="00B22BDC">
              <w:rPr>
                <w:bCs/>
                <w:sz w:val="24"/>
                <w:szCs w:val="24"/>
                <w:lang w:val="uk-UA"/>
              </w:rPr>
              <w:t>Створення нових робочих місць.</w:t>
            </w:r>
          </w:p>
          <w:p w:rsidR="00B22BDC" w:rsidRPr="00B22BDC" w:rsidRDefault="00B22BDC" w:rsidP="007E2693">
            <w:pPr>
              <w:pStyle w:val="a7"/>
              <w:ind w:left="0"/>
              <w:rPr>
                <w:b/>
                <w:sz w:val="24"/>
                <w:szCs w:val="24"/>
              </w:rPr>
            </w:pPr>
            <w:proofErr w:type="spellStart"/>
            <w:r w:rsidRPr="00B22BDC">
              <w:rPr>
                <w:bCs/>
                <w:sz w:val="24"/>
                <w:szCs w:val="24"/>
              </w:rPr>
              <w:t>Забезпечення</w:t>
            </w:r>
            <w:proofErr w:type="spellEnd"/>
            <w:r w:rsidRPr="00B22BDC">
              <w:rPr>
                <w:bCs/>
                <w:sz w:val="24"/>
                <w:szCs w:val="24"/>
              </w:rPr>
              <w:t xml:space="preserve"> доступу </w:t>
            </w:r>
            <w:proofErr w:type="spellStart"/>
            <w:r w:rsidRPr="00B22BDC">
              <w:rPr>
                <w:bCs/>
                <w:sz w:val="24"/>
                <w:szCs w:val="24"/>
              </w:rPr>
              <w:t>Сєвєродонецької</w:t>
            </w:r>
            <w:proofErr w:type="spellEnd"/>
            <w:r w:rsidRPr="00B22BDC">
              <w:rPr>
                <w:bCs/>
                <w:sz w:val="24"/>
                <w:szCs w:val="24"/>
              </w:rPr>
              <w:t xml:space="preserve"> </w:t>
            </w:r>
            <w:proofErr w:type="spellStart"/>
            <w:r w:rsidRPr="00B22BDC">
              <w:rPr>
                <w:bCs/>
                <w:sz w:val="24"/>
                <w:szCs w:val="24"/>
              </w:rPr>
              <w:t>міської</w:t>
            </w:r>
            <w:proofErr w:type="spellEnd"/>
            <w:r w:rsidRPr="00B22BDC">
              <w:rPr>
                <w:bCs/>
                <w:sz w:val="24"/>
                <w:szCs w:val="24"/>
              </w:rPr>
              <w:t xml:space="preserve"> </w:t>
            </w:r>
            <w:proofErr w:type="spellStart"/>
            <w:r w:rsidRPr="00B22BDC">
              <w:rPr>
                <w:bCs/>
                <w:sz w:val="24"/>
                <w:szCs w:val="24"/>
              </w:rPr>
              <w:t>територіальної</w:t>
            </w:r>
            <w:proofErr w:type="spellEnd"/>
            <w:r w:rsidRPr="00B22BDC">
              <w:rPr>
                <w:bCs/>
                <w:sz w:val="24"/>
                <w:szCs w:val="24"/>
              </w:rPr>
              <w:t xml:space="preserve"> </w:t>
            </w:r>
            <w:proofErr w:type="spellStart"/>
            <w:proofErr w:type="gramStart"/>
            <w:r w:rsidRPr="00B22BDC">
              <w:rPr>
                <w:bCs/>
                <w:sz w:val="24"/>
                <w:szCs w:val="24"/>
              </w:rPr>
              <w:t>громади</w:t>
            </w:r>
            <w:proofErr w:type="spellEnd"/>
            <w:r w:rsidRPr="00B22BDC">
              <w:rPr>
                <w:bCs/>
                <w:sz w:val="24"/>
                <w:szCs w:val="24"/>
              </w:rPr>
              <w:t xml:space="preserve">,  </w:t>
            </w:r>
            <w:proofErr w:type="spellStart"/>
            <w:r w:rsidRPr="00B22BDC">
              <w:rPr>
                <w:bCs/>
                <w:sz w:val="24"/>
                <w:szCs w:val="24"/>
              </w:rPr>
              <w:t>установ</w:t>
            </w:r>
            <w:proofErr w:type="spellEnd"/>
            <w:proofErr w:type="gramEnd"/>
            <w:r w:rsidRPr="00B22BDC">
              <w:rPr>
                <w:bCs/>
                <w:sz w:val="24"/>
                <w:szCs w:val="24"/>
              </w:rPr>
              <w:t xml:space="preserve">, </w:t>
            </w:r>
            <w:proofErr w:type="spellStart"/>
            <w:r w:rsidRPr="00B22BDC">
              <w:rPr>
                <w:bCs/>
                <w:sz w:val="24"/>
                <w:szCs w:val="24"/>
              </w:rPr>
              <w:t>підприємств</w:t>
            </w:r>
            <w:proofErr w:type="spellEnd"/>
            <w:r w:rsidRPr="00B22BDC">
              <w:rPr>
                <w:bCs/>
                <w:sz w:val="24"/>
                <w:szCs w:val="24"/>
              </w:rPr>
              <w:t xml:space="preserve"> та </w:t>
            </w:r>
            <w:proofErr w:type="spellStart"/>
            <w:r w:rsidRPr="00B22BDC">
              <w:rPr>
                <w:bCs/>
                <w:sz w:val="24"/>
                <w:szCs w:val="24"/>
              </w:rPr>
              <w:t>організацій</w:t>
            </w:r>
            <w:proofErr w:type="spellEnd"/>
            <w:r w:rsidRPr="00B22BDC">
              <w:rPr>
                <w:bCs/>
                <w:sz w:val="24"/>
                <w:szCs w:val="24"/>
              </w:rPr>
              <w:t xml:space="preserve"> (не </w:t>
            </w:r>
            <w:proofErr w:type="spellStart"/>
            <w:r w:rsidRPr="00B22BDC">
              <w:rPr>
                <w:bCs/>
                <w:sz w:val="24"/>
                <w:szCs w:val="24"/>
              </w:rPr>
              <w:t>залежно</w:t>
            </w:r>
            <w:proofErr w:type="spellEnd"/>
            <w:r w:rsidRPr="00B22BDC">
              <w:rPr>
                <w:bCs/>
                <w:sz w:val="24"/>
                <w:szCs w:val="24"/>
              </w:rPr>
              <w:t xml:space="preserve"> </w:t>
            </w:r>
            <w:proofErr w:type="spellStart"/>
            <w:r w:rsidRPr="00B22BDC">
              <w:rPr>
                <w:bCs/>
                <w:sz w:val="24"/>
                <w:szCs w:val="24"/>
              </w:rPr>
              <w:t>від</w:t>
            </w:r>
            <w:proofErr w:type="spellEnd"/>
            <w:r w:rsidRPr="00B22BDC">
              <w:rPr>
                <w:bCs/>
                <w:sz w:val="24"/>
                <w:szCs w:val="24"/>
              </w:rPr>
              <w:t xml:space="preserve"> форм </w:t>
            </w:r>
            <w:proofErr w:type="spellStart"/>
            <w:r w:rsidRPr="00B22BDC">
              <w:rPr>
                <w:bCs/>
                <w:sz w:val="24"/>
                <w:szCs w:val="24"/>
              </w:rPr>
              <w:t>власності</w:t>
            </w:r>
            <w:proofErr w:type="spellEnd"/>
            <w:r w:rsidRPr="00B22BDC">
              <w:rPr>
                <w:bCs/>
                <w:sz w:val="24"/>
                <w:szCs w:val="24"/>
              </w:rPr>
              <w:t xml:space="preserve">) та </w:t>
            </w:r>
            <w:proofErr w:type="spellStart"/>
            <w:r w:rsidRPr="00B22BDC">
              <w:rPr>
                <w:bCs/>
                <w:sz w:val="24"/>
                <w:szCs w:val="24"/>
              </w:rPr>
              <w:t>громадян</w:t>
            </w:r>
            <w:proofErr w:type="spellEnd"/>
            <w:r w:rsidRPr="00B22BDC">
              <w:rPr>
                <w:bCs/>
                <w:sz w:val="24"/>
                <w:szCs w:val="24"/>
              </w:rPr>
              <w:t xml:space="preserve"> до </w:t>
            </w:r>
            <w:proofErr w:type="spellStart"/>
            <w:r w:rsidRPr="00B22BDC">
              <w:rPr>
                <w:bCs/>
                <w:sz w:val="24"/>
                <w:szCs w:val="24"/>
              </w:rPr>
              <w:t>різного</w:t>
            </w:r>
            <w:proofErr w:type="spellEnd"/>
            <w:r w:rsidRPr="00B22BDC">
              <w:rPr>
                <w:bCs/>
                <w:sz w:val="24"/>
                <w:szCs w:val="24"/>
              </w:rPr>
              <w:t xml:space="preserve"> роду </w:t>
            </w:r>
            <w:proofErr w:type="spellStart"/>
            <w:r w:rsidRPr="00B22BDC">
              <w:rPr>
                <w:bCs/>
                <w:sz w:val="24"/>
                <w:szCs w:val="24"/>
              </w:rPr>
              <w:t>послуг</w:t>
            </w:r>
            <w:proofErr w:type="spellEnd"/>
            <w:r w:rsidRPr="00B22BDC">
              <w:rPr>
                <w:bCs/>
                <w:sz w:val="24"/>
                <w:szCs w:val="24"/>
              </w:rPr>
              <w:t xml:space="preserve">, </w:t>
            </w:r>
            <w:proofErr w:type="spellStart"/>
            <w:r w:rsidRPr="00B22BDC">
              <w:rPr>
                <w:bCs/>
                <w:sz w:val="24"/>
                <w:szCs w:val="24"/>
              </w:rPr>
              <w:t>зокрема</w:t>
            </w:r>
            <w:proofErr w:type="spellEnd"/>
            <w:r w:rsidRPr="00B22BDC">
              <w:rPr>
                <w:bCs/>
                <w:sz w:val="24"/>
                <w:szCs w:val="24"/>
              </w:rPr>
              <w:t xml:space="preserve"> </w:t>
            </w:r>
            <w:proofErr w:type="spellStart"/>
            <w:r w:rsidRPr="00B22BDC">
              <w:rPr>
                <w:bCs/>
                <w:sz w:val="24"/>
                <w:szCs w:val="24"/>
              </w:rPr>
              <w:t>пов’язаних</w:t>
            </w:r>
            <w:proofErr w:type="spellEnd"/>
            <w:r w:rsidRPr="00B22BDC">
              <w:rPr>
                <w:bCs/>
                <w:sz w:val="24"/>
                <w:szCs w:val="24"/>
              </w:rPr>
              <w:t xml:space="preserve"> </w:t>
            </w:r>
            <w:proofErr w:type="spellStart"/>
            <w:r w:rsidRPr="00B22BDC">
              <w:rPr>
                <w:bCs/>
                <w:sz w:val="24"/>
                <w:szCs w:val="24"/>
              </w:rPr>
              <w:t>із</w:t>
            </w:r>
            <w:proofErr w:type="spellEnd"/>
            <w:r w:rsidRPr="00B22BDC">
              <w:rPr>
                <w:bCs/>
                <w:sz w:val="24"/>
                <w:szCs w:val="24"/>
              </w:rPr>
              <w:t xml:space="preserve"> </w:t>
            </w:r>
            <w:proofErr w:type="spellStart"/>
            <w:r w:rsidRPr="00B22BDC">
              <w:rPr>
                <w:bCs/>
                <w:sz w:val="24"/>
                <w:szCs w:val="24"/>
              </w:rPr>
              <w:t>земельними</w:t>
            </w:r>
            <w:proofErr w:type="spellEnd"/>
            <w:r w:rsidRPr="00B22BDC">
              <w:rPr>
                <w:bCs/>
                <w:sz w:val="24"/>
                <w:szCs w:val="24"/>
              </w:rPr>
              <w:t xml:space="preserve"> та </w:t>
            </w:r>
            <w:proofErr w:type="spellStart"/>
            <w:r w:rsidRPr="00B22BDC">
              <w:rPr>
                <w:bCs/>
                <w:sz w:val="24"/>
                <w:szCs w:val="24"/>
              </w:rPr>
              <w:t>будівельно-архітектурними</w:t>
            </w:r>
            <w:proofErr w:type="spellEnd"/>
            <w:r w:rsidRPr="00B22BDC">
              <w:rPr>
                <w:bCs/>
                <w:sz w:val="24"/>
                <w:szCs w:val="24"/>
              </w:rPr>
              <w:t xml:space="preserve"> </w:t>
            </w:r>
            <w:proofErr w:type="spellStart"/>
            <w:r w:rsidRPr="00B22BDC">
              <w:rPr>
                <w:bCs/>
                <w:sz w:val="24"/>
                <w:szCs w:val="24"/>
              </w:rPr>
              <w:t>питаннями</w:t>
            </w:r>
            <w:proofErr w:type="spellEnd"/>
            <w:r w:rsidRPr="00B22BDC">
              <w:rPr>
                <w:bCs/>
                <w:sz w:val="24"/>
                <w:szCs w:val="24"/>
              </w:rPr>
              <w:t xml:space="preserve">, </w:t>
            </w:r>
            <w:proofErr w:type="spellStart"/>
            <w:r w:rsidRPr="00B22BDC">
              <w:rPr>
                <w:bCs/>
                <w:sz w:val="24"/>
                <w:szCs w:val="24"/>
              </w:rPr>
              <w:t>адміністративними</w:t>
            </w:r>
            <w:proofErr w:type="spellEnd"/>
            <w:r w:rsidRPr="00B22BDC">
              <w:rPr>
                <w:bCs/>
                <w:sz w:val="24"/>
                <w:szCs w:val="24"/>
              </w:rPr>
              <w:t xml:space="preserve"> </w:t>
            </w:r>
            <w:proofErr w:type="spellStart"/>
            <w:r w:rsidRPr="00B22BDC">
              <w:rPr>
                <w:bCs/>
                <w:sz w:val="24"/>
                <w:szCs w:val="24"/>
              </w:rPr>
              <w:t>послугами</w:t>
            </w:r>
            <w:proofErr w:type="spellEnd"/>
            <w:r w:rsidRPr="00B22BDC">
              <w:rPr>
                <w:bCs/>
                <w:sz w:val="24"/>
                <w:szCs w:val="24"/>
              </w:rPr>
              <w:t xml:space="preserve">, аудитом, </w:t>
            </w:r>
            <w:proofErr w:type="spellStart"/>
            <w:r w:rsidRPr="00B22BDC">
              <w:rPr>
                <w:bCs/>
                <w:sz w:val="24"/>
                <w:szCs w:val="24"/>
              </w:rPr>
              <w:t>фінансовими</w:t>
            </w:r>
            <w:proofErr w:type="spellEnd"/>
            <w:r w:rsidRPr="00B22BDC">
              <w:rPr>
                <w:bCs/>
                <w:sz w:val="24"/>
                <w:szCs w:val="24"/>
              </w:rPr>
              <w:t xml:space="preserve"> </w:t>
            </w:r>
            <w:proofErr w:type="spellStart"/>
            <w:r w:rsidRPr="00B22BDC">
              <w:rPr>
                <w:bCs/>
                <w:sz w:val="24"/>
                <w:szCs w:val="24"/>
              </w:rPr>
              <w:t>операціями</w:t>
            </w:r>
            <w:proofErr w:type="spellEnd"/>
            <w:r w:rsidRPr="00B22BDC">
              <w:rPr>
                <w:bCs/>
                <w:sz w:val="24"/>
                <w:szCs w:val="24"/>
              </w:rPr>
              <w:t xml:space="preserve">, </w:t>
            </w:r>
            <w:proofErr w:type="spellStart"/>
            <w:r w:rsidRPr="00B22BDC">
              <w:rPr>
                <w:bCs/>
                <w:sz w:val="24"/>
                <w:szCs w:val="24"/>
              </w:rPr>
              <w:t>статистичними</w:t>
            </w:r>
            <w:proofErr w:type="spellEnd"/>
            <w:r w:rsidRPr="00B22BDC">
              <w:rPr>
                <w:bCs/>
                <w:sz w:val="24"/>
                <w:szCs w:val="24"/>
              </w:rPr>
              <w:t xml:space="preserve"> </w:t>
            </w:r>
            <w:proofErr w:type="spellStart"/>
            <w:r w:rsidRPr="00B22BDC">
              <w:rPr>
                <w:bCs/>
                <w:sz w:val="24"/>
                <w:szCs w:val="24"/>
              </w:rPr>
              <w:t>даними</w:t>
            </w:r>
            <w:proofErr w:type="spellEnd"/>
            <w:r w:rsidRPr="00B22BDC">
              <w:rPr>
                <w:bCs/>
                <w:sz w:val="24"/>
                <w:szCs w:val="24"/>
              </w:rPr>
              <w:t xml:space="preserve">, культурною сферою та </w:t>
            </w:r>
            <w:proofErr w:type="spellStart"/>
            <w:r w:rsidRPr="00B22BDC">
              <w:rPr>
                <w:bCs/>
                <w:sz w:val="24"/>
                <w:szCs w:val="24"/>
              </w:rPr>
              <w:t>ін</w:t>
            </w:r>
            <w:proofErr w:type="spellEnd"/>
            <w:r w:rsidRPr="00B22BDC">
              <w:rPr>
                <w:bCs/>
                <w:sz w:val="24"/>
                <w:szCs w:val="24"/>
              </w:rPr>
              <w:t>..</w:t>
            </w:r>
          </w:p>
        </w:tc>
        <w:tc>
          <w:tcPr>
            <w:tcW w:w="1696" w:type="dxa"/>
            <w:vMerge w:val="restart"/>
          </w:tcPr>
          <w:p w:rsidR="00B22BDC" w:rsidRPr="00B22BDC" w:rsidRDefault="00B22BDC" w:rsidP="007E2693">
            <w:pPr>
              <w:shd w:val="clear" w:color="auto" w:fill="FFFFFF"/>
              <w:overflowPunct w:val="0"/>
              <w:autoSpaceDE w:val="0"/>
              <w:autoSpaceDN w:val="0"/>
              <w:adjustRightInd w:val="0"/>
              <w:contextualSpacing/>
              <w:textAlignment w:val="baseline"/>
              <w:rPr>
                <w:rFonts w:eastAsia="Calibri"/>
                <w:color w:val="000000"/>
                <w:sz w:val="24"/>
                <w:szCs w:val="24"/>
                <w:lang w:val="uk-UA" w:eastAsia="uk-UA"/>
              </w:rPr>
            </w:pPr>
          </w:p>
        </w:tc>
      </w:tr>
      <w:tr w:rsidR="00B22BDC" w:rsidRPr="00B22BDC" w:rsidTr="00F7531A">
        <w:tc>
          <w:tcPr>
            <w:tcW w:w="1954" w:type="dxa"/>
            <w:vMerge/>
          </w:tcPr>
          <w:p w:rsidR="00B22BDC" w:rsidRPr="00B22BDC" w:rsidRDefault="00B22BDC" w:rsidP="007E2693">
            <w:pPr>
              <w:rPr>
                <w:b/>
                <w:sz w:val="24"/>
                <w:szCs w:val="24"/>
                <w:lang w:val="uk-UA"/>
              </w:rPr>
            </w:pPr>
          </w:p>
        </w:tc>
        <w:tc>
          <w:tcPr>
            <w:tcW w:w="2616" w:type="dxa"/>
          </w:tcPr>
          <w:p w:rsidR="00B22BDC" w:rsidRPr="00B22BDC" w:rsidRDefault="00B22BDC" w:rsidP="007E2693">
            <w:pPr>
              <w:rPr>
                <w:b/>
                <w:sz w:val="24"/>
                <w:szCs w:val="24"/>
                <w:lang w:val="uk-UA"/>
              </w:rPr>
            </w:pPr>
            <w:proofErr w:type="spellStart"/>
            <w:r w:rsidRPr="00B22BDC">
              <w:rPr>
                <w:bCs/>
                <w:sz w:val="24"/>
                <w:szCs w:val="24"/>
              </w:rPr>
              <w:t>Кількість</w:t>
            </w:r>
            <w:proofErr w:type="spellEnd"/>
            <w:r w:rsidRPr="00B22BDC">
              <w:rPr>
                <w:bCs/>
                <w:sz w:val="24"/>
                <w:szCs w:val="24"/>
              </w:rPr>
              <w:t xml:space="preserve"> </w:t>
            </w:r>
            <w:proofErr w:type="spellStart"/>
            <w:r w:rsidRPr="00B22BDC">
              <w:rPr>
                <w:bCs/>
                <w:sz w:val="24"/>
                <w:szCs w:val="24"/>
              </w:rPr>
              <w:t>фізичних</w:t>
            </w:r>
            <w:proofErr w:type="spellEnd"/>
            <w:r w:rsidRPr="00B22BDC">
              <w:rPr>
                <w:bCs/>
                <w:sz w:val="24"/>
                <w:szCs w:val="24"/>
              </w:rPr>
              <w:t xml:space="preserve"> та </w:t>
            </w:r>
            <w:proofErr w:type="spellStart"/>
            <w:r w:rsidRPr="00B22BDC">
              <w:rPr>
                <w:bCs/>
                <w:sz w:val="24"/>
                <w:szCs w:val="24"/>
              </w:rPr>
              <w:t>юридичних</w:t>
            </w:r>
            <w:proofErr w:type="spellEnd"/>
            <w:r w:rsidRPr="00B22BDC">
              <w:rPr>
                <w:bCs/>
                <w:sz w:val="24"/>
                <w:szCs w:val="24"/>
              </w:rPr>
              <w:t xml:space="preserve"> </w:t>
            </w:r>
            <w:proofErr w:type="spellStart"/>
            <w:r w:rsidRPr="00B22BDC">
              <w:rPr>
                <w:bCs/>
                <w:sz w:val="24"/>
                <w:szCs w:val="24"/>
              </w:rPr>
              <w:t>осіб</w:t>
            </w:r>
            <w:proofErr w:type="spellEnd"/>
            <w:r w:rsidRPr="00B22BDC">
              <w:rPr>
                <w:bCs/>
                <w:sz w:val="24"/>
                <w:szCs w:val="24"/>
              </w:rPr>
              <w:t xml:space="preserve">, </w:t>
            </w:r>
            <w:proofErr w:type="spellStart"/>
            <w:r w:rsidRPr="00B22BDC">
              <w:rPr>
                <w:bCs/>
                <w:sz w:val="24"/>
                <w:szCs w:val="24"/>
              </w:rPr>
              <w:t>які</w:t>
            </w:r>
            <w:proofErr w:type="spellEnd"/>
            <w:r w:rsidRPr="00B22BDC">
              <w:rPr>
                <w:bCs/>
                <w:sz w:val="24"/>
                <w:szCs w:val="24"/>
              </w:rPr>
              <w:t xml:space="preserve"> </w:t>
            </w:r>
            <w:proofErr w:type="spellStart"/>
            <w:r w:rsidRPr="00B22BDC">
              <w:rPr>
                <w:bCs/>
                <w:sz w:val="24"/>
                <w:szCs w:val="24"/>
              </w:rPr>
              <w:t>звернулись</w:t>
            </w:r>
            <w:proofErr w:type="spellEnd"/>
            <w:r w:rsidRPr="00B22BDC">
              <w:rPr>
                <w:bCs/>
                <w:sz w:val="24"/>
                <w:szCs w:val="24"/>
              </w:rPr>
              <w:t xml:space="preserve"> за </w:t>
            </w:r>
            <w:proofErr w:type="spellStart"/>
            <w:r w:rsidRPr="00B22BDC">
              <w:rPr>
                <w:bCs/>
                <w:sz w:val="24"/>
                <w:szCs w:val="24"/>
              </w:rPr>
              <w:t>послугами</w:t>
            </w:r>
            <w:proofErr w:type="spellEnd"/>
            <w:r w:rsidRPr="00B22BDC">
              <w:rPr>
                <w:bCs/>
                <w:sz w:val="24"/>
                <w:szCs w:val="24"/>
              </w:rPr>
              <w:t xml:space="preserve"> </w:t>
            </w:r>
            <w:proofErr w:type="spellStart"/>
            <w:proofErr w:type="gramStart"/>
            <w:r w:rsidRPr="00B22BDC">
              <w:rPr>
                <w:bCs/>
                <w:sz w:val="24"/>
                <w:szCs w:val="24"/>
              </w:rPr>
              <w:t>протягом</w:t>
            </w:r>
            <w:proofErr w:type="spellEnd"/>
            <w:r w:rsidRPr="00B22BDC">
              <w:rPr>
                <w:bCs/>
                <w:sz w:val="24"/>
                <w:szCs w:val="24"/>
              </w:rPr>
              <w:t xml:space="preserve">  року</w:t>
            </w:r>
            <w:proofErr w:type="gramEnd"/>
          </w:p>
        </w:tc>
        <w:tc>
          <w:tcPr>
            <w:tcW w:w="4390" w:type="dxa"/>
            <w:vMerge/>
          </w:tcPr>
          <w:p w:rsidR="00B22BDC" w:rsidRPr="00B22BDC" w:rsidRDefault="00B22BDC" w:rsidP="007E2693">
            <w:pPr>
              <w:rPr>
                <w:b/>
                <w:sz w:val="24"/>
                <w:szCs w:val="24"/>
                <w:lang w:val="uk-UA"/>
              </w:rPr>
            </w:pPr>
          </w:p>
        </w:tc>
        <w:tc>
          <w:tcPr>
            <w:tcW w:w="1696" w:type="dxa"/>
            <w:vMerge/>
          </w:tcPr>
          <w:p w:rsidR="00B22BDC" w:rsidRPr="00B22BDC" w:rsidRDefault="00B22BDC" w:rsidP="007E2693">
            <w:pPr>
              <w:rPr>
                <w:b/>
                <w:sz w:val="24"/>
                <w:szCs w:val="24"/>
                <w:lang w:val="uk-UA"/>
              </w:rPr>
            </w:pPr>
          </w:p>
        </w:tc>
      </w:tr>
      <w:tr w:rsidR="00B22BDC" w:rsidRPr="00B22BDC" w:rsidTr="00F7531A">
        <w:tc>
          <w:tcPr>
            <w:tcW w:w="1954" w:type="dxa"/>
            <w:vMerge/>
          </w:tcPr>
          <w:p w:rsidR="00B22BDC" w:rsidRPr="00B22BDC" w:rsidRDefault="00B22BDC" w:rsidP="007E2693">
            <w:pPr>
              <w:rPr>
                <w:b/>
                <w:sz w:val="24"/>
                <w:szCs w:val="24"/>
                <w:lang w:val="uk-UA"/>
              </w:rPr>
            </w:pPr>
          </w:p>
        </w:tc>
        <w:tc>
          <w:tcPr>
            <w:tcW w:w="2616" w:type="dxa"/>
          </w:tcPr>
          <w:p w:rsidR="00B22BDC" w:rsidRPr="00B22BDC" w:rsidRDefault="00B22BDC" w:rsidP="007E2693">
            <w:pPr>
              <w:rPr>
                <w:b/>
                <w:sz w:val="24"/>
                <w:szCs w:val="24"/>
                <w:lang w:val="uk-UA"/>
              </w:rPr>
            </w:pPr>
            <w:r w:rsidRPr="00B22BDC">
              <w:rPr>
                <w:sz w:val="24"/>
                <w:szCs w:val="24"/>
                <w:lang w:val="uk-UA"/>
              </w:rPr>
              <w:t>Кількість відновлених о</w:t>
            </w:r>
            <w:proofErr w:type="spellStart"/>
            <w:r w:rsidRPr="00B22BDC">
              <w:rPr>
                <w:sz w:val="24"/>
                <w:szCs w:val="24"/>
              </w:rPr>
              <w:t>б’єкт</w:t>
            </w:r>
            <w:r w:rsidRPr="00B22BDC">
              <w:rPr>
                <w:sz w:val="24"/>
                <w:szCs w:val="24"/>
                <w:lang w:val="uk-UA"/>
              </w:rPr>
              <w:t>ів</w:t>
            </w:r>
            <w:proofErr w:type="spellEnd"/>
            <w:r w:rsidRPr="00B22BDC">
              <w:rPr>
                <w:sz w:val="24"/>
                <w:szCs w:val="24"/>
              </w:rPr>
              <w:t xml:space="preserve"> благоустрою</w:t>
            </w:r>
          </w:p>
        </w:tc>
        <w:tc>
          <w:tcPr>
            <w:tcW w:w="4390" w:type="dxa"/>
          </w:tcPr>
          <w:p w:rsidR="00B22BDC" w:rsidRPr="00B22BDC" w:rsidRDefault="00B22BDC" w:rsidP="007E2693">
            <w:pPr>
              <w:pStyle w:val="a7"/>
              <w:ind w:left="0"/>
              <w:rPr>
                <w:bCs/>
                <w:sz w:val="24"/>
                <w:szCs w:val="24"/>
              </w:rPr>
            </w:pPr>
            <w:proofErr w:type="spellStart"/>
            <w:r w:rsidRPr="00B22BDC">
              <w:rPr>
                <w:bCs/>
                <w:sz w:val="24"/>
                <w:szCs w:val="24"/>
              </w:rPr>
              <w:t>Покращення</w:t>
            </w:r>
            <w:proofErr w:type="spellEnd"/>
            <w:r w:rsidRPr="00B22BDC">
              <w:rPr>
                <w:bCs/>
                <w:sz w:val="24"/>
                <w:szCs w:val="24"/>
              </w:rPr>
              <w:t xml:space="preserve"> стану </w:t>
            </w:r>
            <w:proofErr w:type="spellStart"/>
            <w:r w:rsidRPr="00B22BDC">
              <w:rPr>
                <w:bCs/>
                <w:sz w:val="24"/>
                <w:szCs w:val="24"/>
              </w:rPr>
              <w:t>екології</w:t>
            </w:r>
            <w:proofErr w:type="spellEnd"/>
            <w:r w:rsidR="00EE19AB">
              <w:rPr>
                <w:bCs/>
                <w:sz w:val="24"/>
                <w:szCs w:val="24"/>
              </w:rPr>
              <w:t>.</w:t>
            </w:r>
          </w:p>
          <w:p w:rsidR="00B22BDC" w:rsidRPr="00B22BDC" w:rsidRDefault="00EE19AB" w:rsidP="007E2693">
            <w:pPr>
              <w:rPr>
                <w:bCs/>
                <w:sz w:val="24"/>
                <w:szCs w:val="24"/>
                <w:lang w:val="uk-UA"/>
              </w:rPr>
            </w:pPr>
            <w:proofErr w:type="spellStart"/>
            <w:r>
              <w:rPr>
                <w:bCs/>
                <w:sz w:val="24"/>
                <w:szCs w:val="24"/>
              </w:rPr>
              <w:t>П</w:t>
            </w:r>
            <w:r w:rsidR="00B22BDC" w:rsidRPr="00B22BDC">
              <w:rPr>
                <w:bCs/>
                <w:sz w:val="24"/>
                <w:szCs w:val="24"/>
              </w:rPr>
              <w:t>окращення</w:t>
            </w:r>
            <w:proofErr w:type="spellEnd"/>
            <w:r w:rsidR="00B22BDC" w:rsidRPr="00B22BDC">
              <w:rPr>
                <w:bCs/>
                <w:sz w:val="24"/>
                <w:szCs w:val="24"/>
              </w:rPr>
              <w:t xml:space="preserve"> </w:t>
            </w:r>
            <w:proofErr w:type="spellStart"/>
            <w:r w:rsidR="00B22BDC" w:rsidRPr="00B22BDC">
              <w:rPr>
                <w:bCs/>
                <w:sz w:val="24"/>
                <w:szCs w:val="24"/>
              </w:rPr>
              <w:t>зовнішнього</w:t>
            </w:r>
            <w:proofErr w:type="spellEnd"/>
            <w:r w:rsidR="00B22BDC" w:rsidRPr="00B22BDC">
              <w:rPr>
                <w:bCs/>
                <w:sz w:val="24"/>
                <w:szCs w:val="24"/>
              </w:rPr>
              <w:t xml:space="preserve"> </w:t>
            </w:r>
            <w:proofErr w:type="spellStart"/>
            <w:r w:rsidR="00B22BDC" w:rsidRPr="00B22BDC">
              <w:rPr>
                <w:bCs/>
                <w:sz w:val="24"/>
                <w:szCs w:val="24"/>
              </w:rPr>
              <w:t>вигляду</w:t>
            </w:r>
            <w:proofErr w:type="spellEnd"/>
            <w:r w:rsidR="00B22BDC" w:rsidRPr="00B22BDC">
              <w:rPr>
                <w:bCs/>
                <w:sz w:val="24"/>
                <w:szCs w:val="24"/>
              </w:rPr>
              <w:t xml:space="preserve"> </w:t>
            </w:r>
            <w:proofErr w:type="spellStart"/>
            <w:r w:rsidR="00B22BDC" w:rsidRPr="00B22BDC">
              <w:rPr>
                <w:bCs/>
                <w:sz w:val="24"/>
                <w:szCs w:val="24"/>
              </w:rPr>
              <w:t>громади</w:t>
            </w:r>
            <w:proofErr w:type="spellEnd"/>
            <w:r w:rsidR="00B22BDC" w:rsidRPr="00B22BDC">
              <w:rPr>
                <w:bCs/>
                <w:sz w:val="24"/>
                <w:szCs w:val="24"/>
                <w:lang w:val="uk-UA"/>
              </w:rPr>
              <w:t>.</w:t>
            </w:r>
          </w:p>
          <w:p w:rsidR="00B22BDC" w:rsidRPr="00B22BDC" w:rsidRDefault="00B22BDC" w:rsidP="007E2693">
            <w:pPr>
              <w:rPr>
                <w:b/>
                <w:sz w:val="24"/>
                <w:szCs w:val="24"/>
                <w:lang w:val="uk-UA"/>
              </w:rPr>
            </w:pPr>
            <w:r w:rsidRPr="00B22BDC">
              <w:rPr>
                <w:bCs/>
                <w:sz w:val="24"/>
                <w:szCs w:val="24"/>
                <w:lang w:val="uk-UA"/>
              </w:rPr>
              <w:t>В</w:t>
            </w:r>
            <w:proofErr w:type="spellStart"/>
            <w:r w:rsidRPr="00B22BDC">
              <w:rPr>
                <w:bCs/>
                <w:sz w:val="24"/>
                <w:szCs w:val="24"/>
              </w:rPr>
              <w:t>ідновлення</w:t>
            </w:r>
            <w:proofErr w:type="spellEnd"/>
            <w:r w:rsidRPr="00B22BDC">
              <w:rPr>
                <w:bCs/>
                <w:sz w:val="24"/>
                <w:szCs w:val="24"/>
              </w:rPr>
              <w:t xml:space="preserve"> </w:t>
            </w:r>
            <w:proofErr w:type="spellStart"/>
            <w:r w:rsidRPr="00B22BDC">
              <w:rPr>
                <w:bCs/>
                <w:sz w:val="24"/>
                <w:szCs w:val="24"/>
              </w:rPr>
              <w:t>міста</w:t>
            </w:r>
            <w:proofErr w:type="spellEnd"/>
            <w:r w:rsidRPr="00B22BDC">
              <w:rPr>
                <w:bCs/>
                <w:sz w:val="24"/>
                <w:szCs w:val="24"/>
              </w:rPr>
              <w:t xml:space="preserve"> та селищ </w:t>
            </w:r>
            <w:proofErr w:type="spellStart"/>
            <w:r w:rsidRPr="00B22BDC">
              <w:rPr>
                <w:bCs/>
                <w:sz w:val="24"/>
                <w:szCs w:val="24"/>
              </w:rPr>
              <w:t>громади</w:t>
            </w:r>
            <w:proofErr w:type="spellEnd"/>
            <w:r w:rsidRPr="00B22BDC">
              <w:rPr>
                <w:bCs/>
                <w:sz w:val="24"/>
                <w:szCs w:val="24"/>
              </w:rPr>
              <w:t xml:space="preserve"> </w:t>
            </w:r>
            <w:proofErr w:type="spellStart"/>
            <w:r w:rsidRPr="00B22BDC">
              <w:rPr>
                <w:bCs/>
                <w:sz w:val="24"/>
                <w:szCs w:val="24"/>
              </w:rPr>
              <w:t>після</w:t>
            </w:r>
            <w:proofErr w:type="spellEnd"/>
            <w:r w:rsidRPr="00B22BDC">
              <w:rPr>
                <w:bCs/>
                <w:sz w:val="24"/>
                <w:szCs w:val="24"/>
              </w:rPr>
              <w:t xml:space="preserve"> </w:t>
            </w:r>
            <w:proofErr w:type="spellStart"/>
            <w:r w:rsidRPr="00B22BDC">
              <w:rPr>
                <w:bCs/>
                <w:sz w:val="24"/>
                <w:szCs w:val="24"/>
              </w:rPr>
              <w:t>деокупації</w:t>
            </w:r>
            <w:proofErr w:type="spellEnd"/>
            <w:r w:rsidRPr="00B22BDC">
              <w:rPr>
                <w:bCs/>
                <w:sz w:val="24"/>
                <w:szCs w:val="24"/>
                <w:lang w:val="uk-UA"/>
              </w:rPr>
              <w:t>.</w:t>
            </w:r>
          </w:p>
        </w:tc>
        <w:tc>
          <w:tcPr>
            <w:tcW w:w="1696" w:type="dxa"/>
          </w:tcPr>
          <w:p w:rsidR="00B22BDC" w:rsidRPr="00B22BDC" w:rsidRDefault="00B22BDC" w:rsidP="007E2693">
            <w:pPr>
              <w:pStyle w:val="a7"/>
              <w:ind w:left="0"/>
              <w:rPr>
                <w:bCs/>
                <w:sz w:val="24"/>
                <w:szCs w:val="24"/>
              </w:rPr>
            </w:pPr>
          </w:p>
        </w:tc>
      </w:tr>
      <w:tr w:rsidR="00B22BDC" w:rsidRPr="00B22BDC" w:rsidTr="00F7531A">
        <w:tc>
          <w:tcPr>
            <w:tcW w:w="1954" w:type="dxa"/>
            <w:vMerge w:val="restart"/>
          </w:tcPr>
          <w:p w:rsidR="00B22BDC" w:rsidRPr="00B22BDC" w:rsidRDefault="00B22BDC" w:rsidP="007E2693">
            <w:pPr>
              <w:rPr>
                <w:b/>
                <w:sz w:val="24"/>
                <w:szCs w:val="24"/>
                <w:lang w:val="uk-UA"/>
              </w:rPr>
            </w:pPr>
          </w:p>
        </w:tc>
        <w:tc>
          <w:tcPr>
            <w:tcW w:w="2616" w:type="dxa"/>
          </w:tcPr>
          <w:p w:rsidR="00B22BDC" w:rsidRPr="00B22BDC" w:rsidRDefault="00B22BDC" w:rsidP="007E2693">
            <w:pPr>
              <w:rPr>
                <w:sz w:val="24"/>
                <w:szCs w:val="24"/>
                <w:lang w:val="uk-UA"/>
              </w:rPr>
            </w:pPr>
            <w:r w:rsidRPr="00B22BDC">
              <w:rPr>
                <w:sz w:val="24"/>
                <w:szCs w:val="24"/>
                <w:lang w:val="uk-UA"/>
              </w:rPr>
              <w:t>Кількість відновлених</w:t>
            </w:r>
            <w:r w:rsidRPr="00B22BDC">
              <w:rPr>
                <w:b/>
                <w:sz w:val="24"/>
                <w:szCs w:val="24"/>
                <w:lang w:val="uk-UA"/>
              </w:rPr>
              <w:t xml:space="preserve"> </w:t>
            </w:r>
            <w:proofErr w:type="spellStart"/>
            <w:r w:rsidRPr="00B22BDC">
              <w:rPr>
                <w:sz w:val="24"/>
                <w:szCs w:val="24"/>
              </w:rPr>
              <w:t>об’єктів</w:t>
            </w:r>
            <w:proofErr w:type="spellEnd"/>
            <w:r w:rsidRPr="00B22BDC">
              <w:rPr>
                <w:sz w:val="24"/>
                <w:szCs w:val="24"/>
                <w:lang w:val="uk-UA"/>
              </w:rPr>
              <w:t xml:space="preserve"> медичних закладів </w:t>
            </w:r>
          </w:p>
        </w:tc>
        <w:tc>
          <w:tcPr>
            <w:tcW w:w="4390" w:type="dxa"/>
            <w:vMerge w:val="restart"/>
          </w:tcPr>
          <w:p w:rsidR="00B22BDC" w:rsidRPr="00B22BDC" w:rsidRDefault="00B22BDC" w:rsidP="00F7531A">
            <w:pPr>
              <w:spacing w:before="120"/>
              <w:ind w:right="-136"/>
              <w:contextualSpacing/>
              <w:jc w:val="left"/>
              <w:rPr>
                <w:rFonts w:eastAsia="Arial"/>
                <w:sz w:val="24"/>
                <w:szCs w:val="24"/>
                <w:lang w:val="uk-UA" w:eastAsia="uk-UA"/>
              </w:rPr>
            </w:pPr>
            <w:r w:rsidRPr="00B22BDC">
              <w:rPr>
                <w:rFonts w:eastAsia="Arial"/>
                <w:sz w:val="24"/>
                <w:szCs w:val="24"/>
                <w:lang w:val="uk-UA" w:eastAsia="uk-UA"/>
              </w:rPr>
              <w:t>Створення спроможної мереж</w:t>
            </w:r>
            <w:r w:rsidR="00EE19AB">
              <w:rPr>
                <w:rFonts w:eastAsia="Arial"/>
                <w:sz w:val="24"/>
                <w:szCs w:val="24"/>
                <w:lang w:val="uk-UA" w:eastAsia="uk-UA"/>
              </w:rPr>
              <w:t>і</w:t>
            </w:r>
            <w:r w:rsidRPr="00B22BDC">
              <w:rPr>
                <w:rFonts w:eastAsia="Arial"/>
                <w:sz w:val="24"/>
                <w:szCs w:val="24"/>
                <w:lang w:val="uk-UA" w:eastAsia="uk-UA"/>
              </w:rPr>
              <w:t xml:space="preserve"> закладів первинної медично</w:t>
            </w:r>
            <w:r w:rsidR="00EE19AB">
              <w:rPr>
                <w:rFonts w:eastAsia="Arial"/>
                <w:sz w:val="24"/>
                <w:szCs w:val="24"/>
                <w:lang w:val="uk-UA" w:eastAsia="uk-UA"/>
              </w:rPr>
              <w:t>ї</w:t>
            </w:r>
            <w:r w:rsidRPr="00B22BDC">
              <w:rPr>
                <w:rFonts w:eastAsia="Arial"/>
                <w:sz w:val="24"/>
                <w:szCs w:val="24"/>
                <w:lang w:val="uk-UA" w:eastAsia="uk-UA"/>
              </w:rPr>
              <w:t xml:space="preserve"> допомоги на принципах доступності</w:t>
            </w:r>
            <w:r w:rsidR="00A9118C">
              <w:rPr>
                <w:rFonts w:eastAsia="Arial"/>
                <w:sz w:val="24"/>
                <w:szCs w:val="24"/>
                <w:lang w:val="uk-UA" w:eastAsia="uk-UA"/>
              </w:rPr>
              <w:t>.</w:t>
            </w:r>
            <w:r w:rsidRPr="00B22BDC">
              <w:rPr>
                <w:rFonts w:eastAsia="Arial"/>
                <w:sz w:val="24"/>
                <w:szCs w:val="24"/>
                <w:lang w:val="uk-UA" w:eastAsia="uk-UA"/>
              </w:rPr>
              <w:t xml:space="preserve"> </w:t>
            </w:r>
            <w:r w:rsidR="00EE19AB">
              <w:rPr>
                <w:rFonts w:eastAsia="Arial"/>
                <w:sz w:val="24"/>
                <w:szCs w:val="24"/>
                <w:lang w:val="uk-UA" w:eastAsia="uk-UA"/>
              </w:rPr>
              <w:t>М</w:t>
            </w:r>
            <w:r w:rsidRPr="00B22BDC">
              <w:rPr>
                <w:rFonts w:eastAsia="Arial"/>
                <w:sz w:val="24"/>
                <w:szCs w:val="24"/>
                <w:lang w:val="uk-UA" w:eastAsia="uk-UA"/>
              </w:rPr>
              <w:t>атеріально-технічне оснащення та забезпечення кваліфікованим медичним персоналом.</w:t>
            </w:r>
          </w:p>
          <w:p w:rsidR="00B22BDC" w:rsidRPr="00B22BDC" w:rsidRDefault="00B22BDC" w:rsidP="00F7531A">
            <w:pPr>
              <w:spacing w:before="120"/>
              <w:ind w:right="-136"/>
              <w:contextualSpacing/>
              <w:jc w:val="left"/>
              <w:rPr>
                <w:rFonts w:eastAsia="Arial"/>
                <w:sz w:val="24"/>
                <w:szCs w:val="24"/>
                <w:lang w:val="uk-UA"/>
              </w:rPr>
            </w:pPr>
            <w:proofErr w:type="spellStart"/>
            <w:r w:rsidRPr="00B22BDC">
              <w:rPr>
                <w:rFonts w:eastAsia="Arial"/>
                <w:sz w:val="24"/>
                <w:szCs w:val="24"/>
              </w:rPr>
              <w:t>Якісна</w:t>
            </w:r>
            <w:proofErr w:type="spellEnd"/>
            <w:r w:rsidRPr="00B22BDC">
              <w:rPr>
                <w:rFonts w:eastAsia="Arial"/>
                <w:sz w:val="24"/>
                <w:szCs w:val="24"/>
              </w:rPr>
              <w:t xml:space="preserve"> </w:t>
            </w:r>
            <w:proofErr w:type="spellStart"/>
            <w:r w:rsidRPr="00B22BDC">
              <w:rPr>
                <w:rFonts w:eastAsia="Arial"/>
                <w:sz w:val="24"/>
                <w:szCs w:val="24"/>
              </w:rPr>
              <w:t>первинна</w:t>
            </w:r>
            <w:proofErr w:type="spellEnd"/>
            <w:r w:rsidRPr="00B22BDC">
              <w:rPr>
                <w:rFonts w:eastAsia="Arial"/>
                <w:sz w:val="24"/>
                <w:szCs w:val="24"/>
              </w:rPr>
              <w:t xml:space="preserve"> </w:t>
            </w:r>
            <w:proofErr w:type="spellStart"/>
            <w:r w:rsidRPr="00B22BDC">
              <w:rPr>
                <w:rFonts w:eastAsia="Arial"/>
                <w:sz w:val="24"/>
                <w:szCs w:val="24"/>
              </w:rPr>
              <w:t>медична</w:t>
            </w:r>
            <w:proofErr w:type="spellEnd"/>
            <w:r w:rsidRPr="00B22BDC">
              <w:rPr>
                <w:rFonts w:eastAsia="Arial"/>
                <w:sz w:val="24"/>
                <w:szCs w:val="24"/>
              </w:rPr>
              <w:t xml:space="preserve"> </w:t>
            </w:r>
            <w:proofErr w:type="spellStart"/>
            <w:r w:rsidRPr="00B22BDC">
              <w:rPr>
                <w:rFonts w:eastAsia="Arial"/>
                <w:sz w:val="24"/>
                <w:szCs w:val="24"/>
              </w:rPr>
              <w:t>допомога</w:t>
            </w:r>
            <w:proofErr w:type="spellEnd"/>
            <w:r w:rsidRPr="00B22BDC">
              <w:rPr>
                <w:rFonts w:eastAsia="Arial"/>
                <w:sz w:val="24"/>
                <w:szCs w:val="24"/>
              </w:rPr>
              <w:t xml:space="preserve">, </w:t>
            </w:r>
            <w:proofErr w:type="spellStart"/>
            <w:r w:rsidR="00EE19AB">
              <w:rPr>
                <w:rFonts w:eastAsia="Arial"/>
                <w:sz w:val="24"/>
                <w:szCs w:val="24"/>
              </w:rPr>
              <w:t>П</w:t>
            </w:r>
            <w:r w:rsidRPr="00B22BDC">
              <w:rPr>
                <w:rFonts w:eastAsia="Arial"/>
                <w:sz w:val="24"/>
                <w:szCs w:val="24"/>
              </w:rPr>
              <w:t>рофілактика</w:t>
            </w:r>
            <w:proofErr w:type="spellEnd"/>
            <w:r w:rsidRPr="00B22BDC">
              <w:rPr>
                <w:rFonts w:eastAsia="Arial"/>
                <w:sz w:val="24"/>
                <w:szCs w:val="24"/>
              </w:rPr>
              <w:t xml:space="preserve"> </w:t>
            </w:r>
            <w:proofErr w:type="spellStart"/>
            <w:r w:rsidRPr="00B22BDC">
              <w:rPr>
                <w:rFonts w:eastAsia="Arial"/>
                <w:sz w:val="24"/>
                <w:szCs w:val="24"/>
              </w:rPr>
              <w:t>хронічних</w:t>
            </w:r>
            <w:proofErr w:type="spellEnd"/>
            <w:r w:rsidRPr="00B22BDC">
              <w:rPr>
                <w:rFonts w:eastAsia="Arial"/>
                <w:sz w:val="24"/>
                <w:szCs w:val="24"/>
              </w:rPr>
              <w:t xml:space="preserve"> </w:t>
            </w:r>
            <w:proofErr w:type="spellStart"/>
            <w:r w:rsidRPr="00B22BDC">
              <w:rPr>
                <w:rFonts w:eastAsia="Arial"/>
                <w:sz w:val="24"/>
                <w:szCs w:val="24"/>
              </w:rPr>
              <w:t>захворювань</w:t>
            </w:r>
            <w:proofErr w:type="spellEnd"/>
            <w:r w:rsidRPr="00B22BDC">
              <w:rPr>
                <w:rFonts w:eastAsia="Arial"/>
                <w:sz w:val="24"/>
                <w:szCs w:val="24"/>
                <w:lang w:val="uk-UA"/>
              </w:rPr>
              <w:t>.</w:t>
            </w:r>
          </w:p>
          <w:p w:rsidR="00B22BDC" w:rsidRPr="00B22BDC" w:rsidRDefault="00B22BDC" w:rsidP="00F7531A">
            <w:pPr>
              <w:spacing w:before="120"/>
              <w:ind w:right="-136"/>
              <w:contextualSpacing/>
              <w:jc w:val="left"/>
              <w:rPr>
                <w:rFonts w:eastAsia="Arial"/>
                <w:sz w:val="24"/>
                <w:szCs w:val="24"/>
                <w:lang w:val="uk-UA"/>
              </w:rPr>
            </w:pPr>
            <w:proofErr w:type="spellStart"/>
            <w:r w:rsidRPr="00B22BDC">
              <w:rPr>
                <w:rFonts w:eastAsia="Arial"/>
                <w:sz w:val="24"/>
                <w:szCs w:val="24"/>
              </w:rPr>
              <w:t>Організація</w:t>
            </w:r>
            <w:proofErr w:type="spellEnd"/>
            <w:r w:rsidRPr="00B22BDC">
              <w:rPr>
                <w:rFonts w:eastAsia="Arial"/>
                <w:sz w:val="24"/>
                <w:szCs w:val="24"/>
              </w:rPr>
              <w:t xml:space="preserve"> </w:t>
            </w:r>
            <w:proofErr w:type="spellStart"/>
            <w:r w:rsidRPr="00B22BDC">
              <w:rPr>
                <w:rFonts w:eastAsia="Arial"/>
                <w:sz w:val="24"/>
                <w:szCs w:val="24"/>
              </w:rPr>
              <w:t>спроможної</w:t>
            </w:r>
            <w:proofErr w:type="spellEnd"/>
            <w:r w:rsidRPr="00B22BDC">
              <w:rPr>
                <w:rFonts w:eastAsia="Arial"/>
                <w:sz w:val="24"/>
                <w:szCs w:val="24"/>
              </w:rPr>
              <w:t xml:space="preserve"> </w:t>
            </w:r>
            <w:proofErr w:type="spellStart"/>
            <w:r w:rsidRPr="00B22BDC">
              <w:rPr>
                <w:rFonts w:eastAsia="Arial"/>
                <w:sz w:val="24"/>
                <w:szCs w:val="24"/>
              </w:rPr>
              <w:t>медичної</w:t>
            </w:r>
            <w:proofErr w:type="spellEnd"/>
            <w:r w:rsidRPr="00B22BDC">
              <w:rPr>
                <w:rFonts w:eastAsia="Arial"/>
                <w:sz w:val="24"/>
                <w:szCs w:val="24"/>
              </w:rPr>
              <w:t xml:space="preserve"> </w:t>
            </w:r>
            <w:proofErr w:type="spellStart"/>
            <w:r w:rsidRPr="00B22BDC">
              <w:rPr>
                <w:rFonts w:eastAsia="Arial"/>
                <w:sz w:val="24"/>
                <w:szCs w:val="24"/>
              </w:rPr>
              <w:t>мережі</w:t>
            </w:r>
            <w:proofErr w:type="spellEnd"/>
            <w:r w:rsidRPr="00B22BDC">
              <w:rPr>
                <w:rFonts w:eastAsia="Arial"/>
                <w:sz w:val="24"/>
                <w:szCs w:val="24"/>
              </w:rPr>
              <w:t xml:space="preserve"> та </w:t>
            </w:r>
            <w:proofErr w:type="spellStart"/>
            <w:r w:rsidRPr="00B22BDC">
              <w:rPr>
                <w:rFonts w:eastAsia="Arial"/>
                <w:sz w:val="24"/>
                <w:szCs w:val="24"/>
              </w:rPr>
              <w:t>якісних</w:t>
            </w:r>
            <w:proofErr w:type="spellEnd"/>
            <w:r w:rsidRPr="00B22BDC">
              <w:rPr>
                <w:rFonts w:eastAsia="Arial"/>
                <w:sz w:val="24"/>
                <w:szCs w:val="24"/>
              </w:rPr>
              <w:t xml:space="preserve"> </w:t>
            </w:r>
            <w:proofErr w:type="spellStart"/>
            <w:r w:rsidRPr="00B22BDC">
              <w:rPr>
                <w:rFonts w:eastAsia="Arial"/>
                <w:sz w:val="24"/>
                <w:szCs w:val="24"/>
              </w:rPr>
              <w:t>послуг</w:t>
            </w:r>
            <w:proofErr w:type="spellEnd"/>
            <w:r w:rsidRPr="00B22BDC">
              <w:rPr>
                <w:rFonts w:eastAsia="Arial"/>
                <w:sz w:val="24"/>
                <w:szCs w:val="24"/>
              </w:rPr>
              <w:t xml:space="preserve"> </w:t>
            </w:r>
            <w:proofErr w:type="spellStart"/>
            <w:r w:rsidRPr="00B22BDC">
              <w:rPr>
                <w:rFonts w:eastAsia="Arial"/>
                <w:sz w:val="24"/>
                <w:szCs w:val="24"/>
              </w:rPr>
              <w:t>вторинного</w:t>
            </w:r>
            <w:proofErr w:type="spellEnd"/>
            <w:r w:rsidRPr="00B22BDC">
              <w:rPr>
                <w:rFonts w:eastAsia="Arial"/>
                <w:sz w:val="24"/>
                <w:szCs w:val="24"/>
              </w:rPr>
              <w:t xml:space="preserve"> </w:t>
            </w:r>
            <w:proofErr w:type="spellStart"/>
            <w:r w:rsidRPr="00B22BDC">
              <w:rPr>
                <w:rFonts w:eastAsia="Arial"/>
                <w:sz w:val="24"/>
                <w:szCs w:val="24"/>
              </w:rPr>
              <w:t>рівня</w:t>
            </w:r>
            <w:proofErr w:type="spellEnd"/>
            <w:r w:rsidRPr="00B22BDC">
              <w:rPr>
                <w:rFonts w:eastAsia="Arial"/>
                <w:sz w:val="24"/>
                <w:szCs w:val="24"/>
              </w:rPr>
              <w:t xml:space="preserve"> </w:t>
            </w:r>
            <w:proofErr w:type="spellStart"/>
            <w:r w:rsidRPr="00B22BDC">
              <w:rPr>
                <w:rFonts w:eastAsia="Arial"/>
                <w:sz w:val="24"/>
                <w:szCs w:val="24"/>
              </w:rPr>
              <w:t>медицини</w:t>
            </w:r>
            <w:proofErr w:type="spellEnd"/>
            <w:r w:rsidRPr="00B22BDC">
              <w:rPr>
                <w:rFonts w:eastAsia="Arial"/>
                <w:sz w:val="24"/>
                <w:szCs w:val="24"/>
                <w:lang w:val="uk-UA"/>
              </w:rPr>
              <w:t>.</w:t>
            </w:r>
          </w:p>
          <w:p w:rsidR="00B22BDC" w:rsidRPr="00B22BDC" w:rsidRDefault="00B22BDC" w:rsidP="00F7531A">
            <w:pPr>
              <w:spacing w:before="120"/>
              <w:ind w:right="-136"/>
              <w:contextualSpacing/>
              <w:jc w:val="left"/>
              <w:rPr>
                <w:bCs/>
                <w:sz w:val="24"/>
                <w:szCs w:val="24"/>
              </w:rPr>
            </w:pPr>
            <w:proofErr w:type="spellStart"/>
            <w:r w:rsidRPr="00B22BDC">
              <w:rPr>
                <w:rFonts w:eastAsia="Arial"/>
                <w:sz w:val="24"/>
                <w:szCs w:val="24"/>
              </w:rPr>
              <w:t>Громадське</w:t>
            </w:r>
            <w:proofErr w:type="spellEnd"/>
            <w:r w:rsidRPr="00B22BDC">
              <w:rPr>
                <w:rFonts w:eastAsia="Arial"/>
                <w:sz w:val="24"/>
                <w:szCs w:val="24"/>
              </w:rPr>
              <w:t xml:space="preserve"> </w:t>
            </w:r>
            <w:proofErr w:type="spellStart"/>
            <w:r w:rsidRPr="00B22BDC">
              <w:rPr>
                <w:rFonts w:eastAsia="Arial"/>
                <w:sz w:val="24"/>
                <w:szCs w:val="24"/>
              </w:rPr>
              <w:t>здоров’я</w:t>
            </w:r>
            <w:proofErr w:type="spellEnd"/>
            <w:r w:rsidRPr="00B22BDC">
              <w:rPr>
                <w:rFonts w:eastAsia="Arial"/>
                <w:sz w:val="24"/>
                <w:szCs w:val="24"/>
              </w:rPr>
              <w:t xml:space="preserve">, здоровий </w:t>
            </w:r>
            <w:proofErr w:type="spellStart"/>
            <w:r w:rsidRPr="00B22BDC">
              <w:rPr>
                <w:rFonts w:eastAsia="Arial"/>
                <w:sz w:val="24"/>
                <w:szCs w:val="24"/>
              </w:rPr>
              <w:t>спосіб</w:t>
            </w:r>
            <w:proofErr w:type="spellEnd"/>
            <w:r w:rsidRPr="00B22BDC">
              <w:rPr>
                <w:rFonts w:eastAsia="Arial"/>
                <w:sz w:val="24"/>
                <w:szCs w:val="24"/>
              </w:rPr>
              <w:t xml:space="preserve"> </w:t>
            </w:r>
            <w:proofErr w:type="spellStart"/>
            <w:r w:rsidRPr="00B22BDC">
              <w:rPr>
                <w:rFonts w:eastAsia="Arial"/>
                <w:sz w:val="24"/>
                <w:szCs w:val="24"/>
              </w:rPr>
              <w:t>життя</w:t>
            </w:r>
            <w:proofErr w:type="spellEnd"/>
            <w:r w:rsidRPr="00B22BDC">
              <w:rPr>
                <w:rFonts w:eastAsia="Arial"/>
                <w:sz w:val="24"/>
                <w:szCs w:val="24"/>
                <w:lang w:val="uk-UA"/>
              </w:rPr>
              <w:t>.</w:t>
            </w:r>
          </w:p>
        </w:tc>
        <w:tc>
          <w:tcPr>
            <w:tcW w:w="1696" w:type="dxa"/>
            <w:vMerge w:val="restart"/>
          </w:tcPr>
          <w:p w:rsidR="00B22BDC" w:rsidRPr="00B22BDC" w:rsidRDefault="00B22BDC" w:rsidP="007E2693">
            <w:pPr>
              <w:pStyle w:val="a7"/>
              <w:ind w:left="0"/>
              <w:rPr>
                <w:bCs/>
                <w:sz w:val="24"/>
                <w:szCs w:val="24"/>
              </w:rPr>
            </w:pPr>
          </w:p>
        </w:tc>
      </w:tr>
      <w:tr w:rsidR="00B22BDC" w:rsidRPr="00B22BDC" w:rsidTr="00F7531A">
        <w:tc>
          <w:tcPr>
            <w:tcW w:w="1954" w:type="dxa"/>
            <w:vMerge/>
          </w:tcPr>
          <w:p w:rsidR="00B22BDC" w:rsidRPr="00B22BDC" w:rsidRDefault="00B22BDC" w:rsidP="007E2693">
            <w:pPr>
              <w:rPr>
                <w:b/>
                <w:sz w:val="24"/>
                <w:szCs w:val="24"/>
                <w:lang w:val="uk-UA"/>
              </w:rPr>
            </w:pPr>
          </w:p>
        </w:tc>
        <w:tc>
          <w:tcPr>
            <w:tcW w:w="2616" w:type="dxa"/>
          </w:tcPr>
          <w:p w:rsidR="00B22BDC" w:rsidRPr="00B22BDC" w:rsidRDefault="00B22BDC" w:rsidP="007E2693">
            <w:pPr>
              <w:rPr>
                <w:sz w:val="24"/>
                <w:szCs w:val="24"/>
                <w:lang w:val="uk-UA"/>
              </w:rPr>
            </w:pPr>
            <w:r w:rsidRPr="00B22BDC">
              <w:rPr>
                <w:sz w:val="24"/>
                <w:szCs w:val="24"/>
                <w:lang w:val="uk-UA"/>
              </w:rPr>
              <w:t>Кількість отримувачів медичних послуг</w:t>
            </w:r>
          </w:p>
        </w:tc>
        <w:tc>
          <w:tcPr>
            <w:tcW w:w="4390" w:type="dxa"/>
            <w:vMerge/>
          </w:tcPr>
          <w:p w:rsidR="00B22BDC" w:rsidRPr="00B22BDC" w:rsidRDefault="00B22BDC" w:rsidP="007E2693">
            <w:pPr>
              <w:pStyle w:val="a7"/>
              <w:ind w:left="0"/>
              <w:rPr>
                <w:bCs/>
                <w:sz w:val="24"/>
                <w:szCs w:val="24"/>
              </w:rPr>
            </w:pPr>
          </w:p>
        </w:tc>
        <w:tc>
          <w:tcPr>
            <w:tcW w:w="1696" w:type="dxa"/>
            <w:vMerge/>
          </w:tcPr>
          <w:p w:rsidR="00B22BDC" w:rsidRPr="00B22BDC" w:rsidRDefault="00B22BDC" w:rsidP="007E2693">
            <w:pPr>
              <w:pStyle w:val="a7"/>
              <w:ind w:left="0"/>
              <w:rPr>
                <w:bCs/>
                <w:sz w:val="24"/>
                <w:szCs w:val="24"/>
              </w:rPr>
            </w:pPr>
          </w:p>
        </w:tc>
      </w:tr>
      <w:tr w:rsidR="00B22BDC" w:rsidRPr="00B22BDC" w:rsidTr="00F7531A">
        <w:tc>
          <w:tcPr>
            <w:tcW w:w="1954" w:type="dxa"/>
            <w:vMerge w:val="restart"/>
          </w:tcPr>
          <w:p w:rsidR="00B22BDC" w:rsidRPr="00B22BDC" w:rsidRDefault="00B22BDC" w:rsidP="007E2693">
            <w:pPr>
              <w:rPr>
                <w:b/>
                <w:sz w:val="24"/>
                <w:szCs w:val="24"/>
                <w:lang w:val="uk-UA"/>
              </w:rPr>
            </w:pPr>
            <w:proofErr w:type="spellStart"/>
            <w:r w:rsidRPr="00B22BDC">
              <w:rPr>
                <w:sz w:val="24"/>
                <w:szCs w:val="24"/>
              </w:rPr>
              <w:t>Відновлення</w:t>
            </w:r>
            <w:proofErr w:type="spellEnd"/>
            <w:r w:rsidRPr="00B22BDC">
              <w:rPr>
                <w:sz w:val="24"/>
                <w:szCs w:val="24"/>
              </w:rPr>
              <w:t xml:space="preserve"> </w:t>
            </w:r>
            <w:proofErr w:type="spellStart"/>
            <w:r w:rsidRPr="00B22BDC">
              <w:rPr>
                <w:sz w:val="24"/>
                <w:szCs w:val="24"/>
              </w:rPr>
              <w:t>об’єктів</w:t>
            </w:r>
            <w:proofErr w:type="spellEnd"/>
            <w:r w:rsidRPr="00B22BDC">
              <w:rPr>
                <w:sz w:val="24"/>
                <w:szCs w:val="24"/>
              </w:rPr>
              <w:t xml:space="preserve"> </w:t>
            </w:r>
            <w:proofErr w:type="spellStart"/>
            <w:r w:rsidRPr="00B22BDC">
              <w:rPr>
                <w:sz w:val="24"/>
                <w:szCs w:val="24"/>
              </w:rPr>
              <w:lastRenderedPageBreak/>
              <w:t>житлово-комунального</w:t>
            </w:r>
            <w:proofErr w:type="spellEnd"/>
            <w:r w:rsidRPr="00B22BDC">
              <w:rPr>
                <w:sz w:val="24"/>
                <w:szCs w:val="24"/>
              </w:rPr>
              <w:t xml:space="preserve"> </w:t>
            </w:r>
            <w:proofErr w:type="spellStart"/>
            <w:r w:rsidRPr="00B22BDC">
              <w:rPr>
                <w:sz w:val="24"/>
                <w:szCs w:val="24"/>
              </w:rPr>
              <w:t>господарства</w:t>
            </w:r>
            <w:proofErr w:type="spellEnd"/>
            <w:r w:rsidRPr="00B22BDC">
              <w:rPr>
                <w:sz w:val="24"/>
                <w:szCs w:val="24"/>
              </w:rPr>
              <w:t xml:space="preserve"> </w:t>
            </w:r>
          </w:p>
        </w:tc>
        <w:tc>
          <w:tcPr>
            <w:tcW w:w="2616" w:type="dxa"/>
          </w:tcPr>
          <w:p w:rsidR="00B22BDC" w:rsidRPr="00B22BDC" w:rsidRDefault="00B22BDC" w:rsidP="007E2693">
            <w:pPr>
              <w:rPr>
                <w:b/>
                <w:sz w:val="24"/>
                <w:szCs w:val="24"/>
                <w:lang w:val="uk-UA"/>
              </w:rPr>
            </w:pPr>
            <w:r w:rsidRPr="00B22BDC">
              <w:rPr>
                <w:sz w:val="24"/>
                <w:szCs w:val="24"/>
                <w:lang w:val="uk-UA"/>
              </w:rPr>
              <w:lastRenderedPageBreak/>
              <w:t>Кількість відновлених о</w:t>
            </w:r>
            <w:proofErr w:type="spellStart"/>
            <w:r w:rsidRPr="00B22BDC">
              <w:rPr>
                <w:sz w:val="24"/>
                <w:szCs w:val="24"/>
              </w:rPr>
              <w:t>б’єкт</w:t>
            </w:r>
            <w:r w:rsidRPr="00B22BDC">
              <w:rPr>
                <w:sz w:val="24"/>
                <w:szCs w:val="24"/>
                <w:lang w:val="uk-UA"/>
              </w:rPr>
              <w:t>ів</w:t>
            </w:r>
            <w:proofErr w:type="spellEnd"/>
            <w:r w:rsidRPr="00B22BDC">
              <w:rPr>
                <w:sz w:val="24"/>
                <w:szCs w:val="24"/>
              </w:rPr>
              <w:t xml:space="preserve"> </w:t>
            </w:r>
            <w:proofErr w:type="spellStart"/>
            <w:r w:rsidRPr="00B22BDC">
              <w:rPr>
                <w:sz w:val="24"/>
                <w:szCs w:val="24"/>
              </w:rPr>
              <w:t>системи</w:t>
            </w:r>
            <w:proofErr w:type="spellEnd"/>
            <w:r w:rsidRPr="00B22BDC">
              <w:rPr>
                <w:sz w:val="24"/>
                <w:szCs w:val="24"/>
              </w:rPr>
              <w:t xml:space="preserve"> </w:t>
            </w:r>
            <w:proofErr w:type="spellStart"/>
            <w:r w:rsidRPr="00B22BDC">
              <w:rPr>
                <w:sz w:val="24"/>
                <w:szCs w:val="24"/>
              </w:rPr>
              <w:lastRenderedPageBreak/>
              <w:t>централізованого</w:t>
            </w:r>
            <w:proofErr w:type="spellEnd"/>
            <w:r w:rsidRPr="00B22BDC">
              <w:rPr>
                <w:sz w:val="24"/>
                <w:szCs w:val="24"/>
              </w:rPr>
              <w:t xml:space="preserve"> </w:t>
            </w:r>
            <w:proofErr w:type="spellStart"/>
            <w:r w:rsidRPr="00B22BDC">
              <w:rPr>
                <w:sz w:val="24"/>
                <w:szCs w:val="24"/>
              </w:rPr>
              <w:t>водопостачання</w:t>
            </w:r>
            <w:proofErr w:type="spellEnd"/>
            <w:r w:rsidRPr="00B22BDC">
              <w:rPr>
                <w:sz w:val="24"/>
                <w:szCs w:val="24"/>
                <w:lang w:val="uk-UA"/>
              </w:rPr>
              <w:t xml:space="preserve"> та водовідведення</w:t>
            </w:r>
          </w:p>
        </w:tc>
        <w:tc>
          <w:tcPr>
            <w:tcW w:w="4390" w:type="dxa"/>
            <w:vMerge w:val="restart"/>
          </w:tcPr>
          <w:p w:rsidR="00B22BDC" w:rsidRPr="00B22BDC" w:rsidRDefault="00B22BDC" w:rsidP="007E2693">
            <w:pPr>
              <w:pStyle w:val="a7"/>
              <w:ind w:left="0"/>
              <w:rPr>
                <w:bCs/>
                <w:sz w:val="24"/>
                <w:szCs w:val="24"/>
              </w:rPr>
            </w:pPr>
            <w:proofErr w:type="spellStart"/>
            <w:r w:rsidRPr="00B22BDC">
              <w:rPr>
                <w:bCs/>
                <w:sz w:val="24"/>
                <w:szCs w:val="24"/>
              </w:rPr>
              <w:lastRenderedPageBreak/>
              <w:t>Надання</w:t>
            </w:r>
            <w:proofErr w:type="spellEnd"/>
            <w:r w:rsidRPr="00B22BDC">
              <w:rPr>
                <w:bCs/>
                <w:sz w:val="24"/>
                <w:szCs w:val="24"/>
              </w:rPr>
              <w:t xml:space="preserve"> широкого спектру </w:t>
            </w:r>
            <w:proofErr w:type="spellStart"/>
            <w:r w:rsidRPr="00B22BDC">
              <w:rPr>
                <w:bCs/>
                <w:sz w:val="24"/>
                <w:szCs w:val="24"/>
              </w:rPr>
              <w:t>послуг</w:t>
            </w:r>
            <w:proofErr w:type="spellEnd"/>
            <w:r w:rsidRPr="00B22BDC">
              <w:rPr>
                <w:bCs/>
                <w:sz w:val="24"/>
                <w:szCs w:val="24"/>
              </w:rPr>
              <w:t xml:space="preserve">, </w:t>
            </w:r>
            <w:proofErr w:type="spellStart"/>
            <w:r w:rsidRPr="00B22BDC">
              <w:rPr>
                <w:bCs/>
                <w:sz w:val="24"/>
                <w:szCs w:val="24"/>
              </w:rPr>
              <w:t>пов’язаних</w:t>
            </w:r>
            <w:proofErr w:type="spellEnd"/>
            <w:r w:rsidRPr="00B22BDC">
              <w:rPr>
                <w:bCs/>
                <w:sz w:val="24"/>
                <w:szCs w:val="24"/>
              </w:rPr>
              <w:t xml:space="preserve"> </w:t>
            </w:r>
            <w:proofErr w:type="spellStart"/>
            <w:r w:rsidRPr="00B22BDC">
              <w:rPr>
                <w:bCs/>
                <w:sz w:val="24"/>
                <w:szCs w:val="24"/>
              </w:rPr>
              <w:t>із</w:t>
            </w:r>
            <w:proofErr w:type="spellEnd"/>
            <w:r w:rsidRPr="00B22BDC">
              <w:rPr>
                <w:bCs/>
                <w:sz w:val="24"/>
                <w:szCs w:val="24"/>
              </w:rPr>
              <w:t xml:space="preserve"> </w:t>
            </w:r>
            <w:proofErr w:type="spellStart"/>
            <w:r w:rsidRPr="00B22BDC">
              <w:rPr>
                <w:bCs/>
                <w:sz w:val="24"/>
                <w:szCs w:val="24"/>
              </w:rPr>
              <w:t>централізованим</w:t>
            </w:r>
            <w:proofErr w:type="spellEnd"/>
            <w:r w:rsidRPr="00B22BDC">
              <w:rPr>
                <w:bCs/>
                <w:sz w:val="24"/>
                <w:szCs w:val="24"/>
              </w:rPr>
              <w:t xml:space="preserve"> </w:t>
            </w:r>
            <w:proofErr w:type="spellStart"/>
            <w:r w:rsidRPr="00B22BDC">
              <w:rPr>
                <w:bCs/>
                <w:sz w:val="24"/>
                <w:szCs w:val="24"/>
              </w:rPr>
              <w:t>водопостачанням</w:t>
            </w:r>
            <w:proofErr w:type="spellEnd"/>
            <w:r w:rsidRPr="00B22BDC">
              <w:rPr>
                <w:bCs/>
                <w:sz w:val="24"/>
                <w:szCs w:val="24"/>
              </w:rPr>
              <w:t xml:space="preserve"> </w:t>
            </w:r>
            <w:r w:rsidRPr="00B22BDC">
              <w:rPr>
                <w:sz w:val="24"/>
                <w:szCs w:val="24"/>
              </w:rPr>
              <w:t xml:space="preserve">та </w:t>
            </w:r>
            <w:proofErr w:type="spellStart"/>
            <w:r w:rsidRPr="00B22BDC">
              <w:rPr>
                <w:sz w:val="24"/>
                <w:szCs w:val="24"/>
              </w:rPr>
              <w:t>водовідведенням</w:t>
            </w:r>
            <w:proofErr w:type="spellEnd"/>
            <w:r w:rsidRPr="00B22BDC">
              <w:rPr>
                <w:sz w:val="24"/>
                <w:szCs w:val="24"/>
              </w:rPr>
              <w:t>.</w:t>
            </w:r>
          </w:p>
          <w:p w:rsidR="00B22BDC" w:rsidRPr="00B22BDC" w:rsidRDefault="00B22BDC" w:rsidP="007E2693">
            <w:pPr>
              <w:pStyle w:val="a7"/>
              <w:ind w:left="0"/>
              <w:rPr>
                <w:bCs/>
                <w:sz w:val="24"/>
                <w:szCs w:val="24"/>
              </w:rPr>
            </w:pPr>
          </w:p>
          <w:p w:rsidR="00B22BDC" w:rsidRPr="00B22BDC" w:rsidRDefault="00B22BDC" w:rsidP="007E2693">
            <w:pPr>
              <w:rPr>
                <w:b/>
                <w:sz w:val="24"/>
                <w:szCs w:val="24"/>
                <w:lang w:val="uk-UA"/>
              </w:rPr>
            </w:pPr>
          </w:p>
        </w:tc>
        <w:tc>
          <w:tcPr>
            <w:tcW w:w="1696" w:type="dxa"/>
            <w:vMerge w:val="restart"/>
          </w:tcPr>
          <w:p w:rsidR="00B22BDC" w:rsidRPr="00B22BDC" w:rsidRDefault="00B22BDC" w:rsidP="007E2693">
            <w:pPr>
              <w:pStyle w:val="a7"/>
              <w:ind w:left="0"/>
              <w:rPr>
                <w:bCs/>
                <w:sz w:val="24"/>
                <w:szCs w:val="24"/>
              </w:rPr>
            </w:pPr>
          </w:p>
        </w:tc>
      </w:tr>
      <w:tr w:rsidR="00B22BDC" w:rsidRPr="00B22BDC" w:rsidTr="00F7531A">
        <w:tc>
          <w:tcPr>
            <w:tcW w:w="1954" w:type="dxa"/>
            <w:vMerge/>
          </w:tcPr>
          <w:p w:rsidR="00B22BDC" w:rsidRPr="00B22BDC" w:rsidRDefault="00B22BDC" w:rsidP="007E2693">
            <w:pPr>
              <w:rPr>
                <w:b/>
                <w:sz w:val="24"/>
                <w:szCs w:val="24"/>
                <w:lang w:val="uk-UA"/>
              </w:rPr>
            </w:pPr>
          </w:p>
        </w:tc>
        <w:tc>
          <w:tcPr>
            <w:tcW w:w="2616" w:type="dxa"/>
          </w:tcPr>
          <w:p w:rsidR="00B22BDC" w:rsidRPr="00B22BDC" w:rsidRDefault="00B22BDC" w:rsidP="007E2693">
            <w:pPr>
              <w:rPr>
                <w:b/>
                <w:sz w:val="24"/>
                <w:szCs w:val="24"/>
                <w:lang w:val="uk-UA"/>
              </w:rPr>
            </w:pPr>
            <w:proofErr w:type="spellStart"/>
            <w:r w:rsidRPr="00B22BDC">
              <w:rPr>
                <w:bCs/>
                <w:sz w:val="24"/>
                <w:szCs w:val="24"/>
              </w:rPr>
              <w:t>Кількість</w:t>
            </w:r>
            <w:proofErr w:type="spellEnd"/>
            <w:r w:rsidRPr="00B22BDC">
              <w:rPr>
                <w:bCs/>
                <w:sz w:val="24"/>
                <w:szCs w:val="24"/>
              </w:rPr>
              <w:t xml:space="preserve"> </w:t>
            </w:r>
            <w:proofErr w:type="spellStart"/>
            <w:r w:rsidRPr="00B22BDC">
              <w:rPr>
                <w:bCs/>
                <w:sz w:val="24"/>
                <w:szCs w:val="24"/>
              </w:rPr>
              <w:t>фізичних</w:t>
            </w:r>
            <w:proofErr w:type="spellEnd"/>
            <w:r w:rsidRPr="00B22BDC">
              <w:rPr>
                <w:bCs/>
                <w:sz w:val="24"/>
                <w:szCs w:val="24"/>
              </w:rPr>
              <w:t xml:space="preserve"> та </w:t>
            </w:r>
            <w:proofErr w:type="spellStart"/>
            <w:r w:rsidRPr="00B22BDC">
              <w:rPr>
                <w:bCs/>
                <w:sz w:val="24"/>
                <w:szCs w:val="24"/>
              </w:rPr>
              <w:t>юридичних</w:t>
            </w:r>
            <w:proofErr w:type="spellEnd"/>
            <w:r w:rsidRPr="00B22BDC">
              <w:rPr>
                <w:bCs/>
                <w:sz w:val="24"/>
                <w:szCs w:val="24"/>
              </w:rPr>
              <w:t xml:space="preserve"> </w:t>
            </w:r>
            <w:proofErr w:type="spellStart"/>
            <w:r w:rsidRPr="00B22BDC">
              <w:rPr>
                <w:bCs/>
                <w:sz w:val="24"/>
                <w:szCs w:val="24"/>
              </w:rPr>
              <w:t>осіб</w:t>
            </w:r>
            <w:proofErr w:type="spellEnd"/>
            <w:r w:rsidRPr="00B22BDC">
              <w:rPr>
                <w:bCs/>
                <w:sz w:val="24"/>
                <w:szCs w:val="24"/>
              </w:rPr>
              <w:t xml:space="preserve">, </w:t>
            </w:r>
            <w:proofErr w:type="spellStart"/>
            <w:r w:rsidRPr="00B22BDC">
              <w:rPr>
                <w:bCs/>
                <w:sz w:val="24"/>
                <w:szCs w:val="24"/>
              </w:rPr>
              <w:t>які</w:t>
            </w:r>
            <w:proofErr w:type="spellEnd"/>
            <w:r w:rsidRPr="00B22BDC">
              <w:rPr>
                <w:bCs/>
                <w:sz w:val="24"/>
                <w:szCs w:val="24"/>
              </w:rPr>
              <w:t xml:space="preserve"> </w:t>
            </w:r>
            <w:proofErr w:type="spellStart"/>
            <w:r w:rsidRPr="00B22BDC">
              <w:rPr>
                <w:bCs/>
                <w:sz w:val="24"/>
                <w:szCs w:val="24"/>
              </w:rPr>
              <w:t>звернулись</w:t>
            </w:r>
            <w:proofErr w:type="spellEnd"/>
            <w:r w:rsidRPr="00B22BDC">
              <w:rPr>
                <w:bCs/>
                <w:sz w:val="24"/>
                <w:szCs w:val="24"/>
              </w:rPr>
              <w:t xml:space="preserve"> за </w:t>
            </w:r>
            <w:proofErr w:type="spellStart"/>
            <w:r w:rsidRPr="00B22BDC">
              <w:rPr>
                <w:bCs/>
                <w:sz w:val="24"/>
                <w:szCs w:val="24"/>
              </w:rPr>
              <w:t>послугами</w:t>
            </w:r>
            <w:proofErr w:type="spellEnd"/>
            <w:r w:rsidRPr="00B22BDC">
              <w:rPr>
                <w:bCs/>
                <w:sz w:val="24"/>
                <w:szCs w:val="24"/>
              </w:rPr>
              <w:t xml:space="preserve"> </w:t>
            </w:r>
            <w:proofErr w:type="spellStart"/>
            <w:proofErr w:type="gramStart"/>
            <w:r w:rsidRPr="00B22BDC">
              <w:rPr>
                <w:bCs/>
                <w:sz w:val="24"/>
                <w:szCs w:val="24"/>
              </w:rPr>
              <w:t>протягом</w:t>
            </w:r>
            <w:proofErr w:type="spellEnd"/>
            <w:r w:rsidRPr="00B22BDC">
              <w:rPr>
                <w:bCs/>
                <w:sz w:val="24"/>
                <w:szCs w:val="24"/>
              </w:rPr>
              <w:t xml:space="preserve">  року</w:t>
            </w:r>
            <w:proofErr w:type="gramEnd"/>
          </w:p>
        </w:tc>
        <w:tc>
          <w:tcPr>
            <w:tcW w:w="4390" w:type="dxa"/>
            <w:vMerge/>
          </w:tcPr>
          <w:p w:rsidR="00B22BDC" w:rsidRPr="00B22BDC" w:rsidRDefault="00B22BDC" w:rsidP="007E2693">
            <w:pPr>
              <w:rPr>
                <w:b/>
                <w:sz w:val="24"/>
                <w:szCs w:val="24"/>
                <w:lang w:val="uk-UA"/>
              </w:rPr>
            </w:pPr>
          </w:p>
        </w:tc>
        <w:tc>
          <w:tcPr>
            <w:tcW w:w="1696" w:type="dxa"/>
            <w:vMerge/>
          </w:tcPr>
          <w:p w:rsidR="00B22BDC" w:rsidRPr="00B22BDC" w:rsidRDefault="00B22BDC" w:rsidP="007E2693">
            <w:pPr>
              <w:rPr>
                <w:b/>
                <w:sz w:val="24"/>
                <w:szCs w:val="24"/>
                <w:lang w:val="uk-UA"/>
              </w:rPr>
            </w:pPr>
          </w:p>
        </w:tc>
      </w:tr>
      <w:tr w:rsidR="00B22BDC" w:rsidRPr="00B22BDC" w:rsidTr="00F7531A">
        <w:tc>
          <w:tcPr>
            <w:tcW w:w="1954" w:type="dxa"/>
            <w:vMerge/>
          </w:tcPr>
          <w:p w:rsidR="00B22BDC" w:rsidRPr="00B22BDC" w:rsidRDefault="00B22BDC" w:rsidP="007E2693">
            <w:pPr>
              <w:rPr>
                <w:b/>
                <w:sz w:val="24"/>
                <w:szCs w:val="24"/>
                <w:lang w:val="uk-UA"/>
              </w:rPr>
            </w:pPr>
          </w:p>
        </w:tc>
        <w:tc>
          <w:tcPr>
            <w:tcW w:w="2616" w:type="dxa"/>
          </w:tcPr>
          <w:p w:rsidR="00B22BDC" w:rsidRPr="00B22BDC" w:rsidRDefault="00B22BDC" w:rsidP="007E2693">
            <w:pPr>
              <w:rPr>
                <w:b/>
                <w:sz w:val="24"/>
                <w:szCs w:val="24"/>
                <w:lang w:val="uk-UA"/>
              </w:rPr>
            </w:pPr>
            <w:r w:rsidRPr="00B22BDC">
              <w:rPr>
                <w:sz w:val="24"/>
                <w:szCs w:val="24"/>
              </w:rPr>
              <w:t xml:space="preserve">Комплекс </w:t>
            </w:r>
            <w:proofErr w:type="spellStart"/>
            <w:r w:rsidRPr="00B22BDC">
              <w:rPr>
                <w:sz w:val="24"/>
                <w:szCs w:val="24"/>
              </w:rPr>
              <w:t>очисних</w:t>
            </w:r>
            <w:proofErr w:type="spellEnd"/>
            <w:r w:rsidRPr="00B22BDC">
              <w:rPr>
                <w:sz w:val="24"/>
                <w:szCs w:val="24"/>
              </w:rPr>
              <w:t xml:space="preserve"> </w:t>
            </w:r>
            <w:proofErr w:type="spellStart"/>
            <w:r w:rsidRPr="00B22BDC">
              <w:rPr>
                <w:sz w:val="24"/>
                <w:szCs w:val="24"/>
              </w:rPr>
              <w:t>споруд</w:t>
            </w:r>
            <w:proofErr w:type="spellEnd"/>
            <w:r w:rsidRPr="00B22BDC">
              <w:rPr>
                <w:sz w:val="24"/>
                <w:szCs w:val="24"/>
              </w:rPr>
              <w:t xml:space="preserve"> з </w:t>
            </w:r>
            <w:proofErr w:type="spellStart"/>
            <w:r w:rsidRPr="00B22BDC">
              <w:rPr>
                <w:sz w:val="24"/>
                <w:szCs w:val="24"/>
              </w:rPr>
              <w:t>виробництвом</w:t>
            </w:r>
            <w:proofErr w:type="spellEnd"/>
            <w:r w:rsidRPr="00B22BDC">
              <w:rPr>
                <w:sz w:val="24"/>
                <w:szCs w:val="24"/>
              </w:rPr>
              <w:t xml:space="preserve"> </w:t>
            </w:r>
            <w:proofErr w:type="spellStart"/>
            <w:r w:rsidRPr="00B22BDC">
              <w:rPr>
                <w:sz w:val="24"/>
                <w:szCs w:val="24"/>
              </w:rPr>
              <w:t>біогазу</w:t>
            </w:r>
            <w:proofErr w:type="spellEnd"/>
            <w:r w:rsidRPr="00B22BDC">
              <w:rPr>
                <w:sz w:val="24"/>
                <w:szCs w:val="24"/>
              </w:rPr>
              <w:t xml:space="preserve"> з осаду</w:t>
            </w:r>
          </w:p>
        </w:tc>
        <w:tc>
          <w:tcPr>
            <w:tcW w:w="4390" w:type="dxa"/>
            <w:vMerge/>
          </w:tcPr>
          <w:p w:rsidR="00B22BDC" w:rsidRPr="00B22BDC" w:rsidRDefault="00B22BDC" w:rsidP="007E2693">
            <w:pPr>
              <w:rPr>
                <w:b/>
                <w:sz w:val="24"/>
                <w:szCs w:val="24"/>
                <w:lang w:val="uk-UA"/>
              </w:rPr>
            </w:pPr>
          </w:p>
        </w:tc>
        <w:tc>
          <w:tcPr>
            <w:tcW w:w="1696" w:type="dxa"/>
            <w:vMerge/>
          </w:tcPr>
          <w:p w:rsidR="00B22BDC" w:rsidRPr="00B22BDC" w:rsidRDefault="00B22BDC" w:rsidP="007E2693">
            <w:pPr>
              <w:rPr>
                <w:b/>
                <w:sz w:val="24"/>
                <w:szCs w:val="24"/>
                <w:lang w:val="uk-UA"/>
              </w:rPr>
            </w:pPr>
          </w:p>
        </w:tc>
      </w:tr>
      <w:tr w:rsidR="00B22BDC" w:rsidRPr="00B22BDC" w:rsidTr="00F7531A">
        <w:tc>
          <w:tcPr>
            <w:tcW w:w="1954" w:type="dxa"/>
            <w:vMerge/>
          </w:tcPr>
          <w:p w:rsidR="00B22BDC" w:rsidRPr="00B22BDC" w:rsidRDefault="00B22BDC" w:rsidP="007E2693">
            <w:pPr>
              <w:rPr>
                <w:b/>
                <w:sz w:val="24"/>
                <w:szCs w:val="24"/>
                <w:lang w:val="uk-UA"/>
              </w:rPr>
            </w:pPr>
          </w:p>
        </w:tc>
        <w:tc>
          <w:tcPr>
            <w:tcW w:w="2616" w:type="dxa"/>
          </w:tcPr>
          <w:p w:rsidR="00B22BDC" w:rsidRPr="00B22BDC" w:rsidRDefault="00B22BDC" w:rsidP="007E2693">
            <w:pPr>
              <w:rPr>
                <w:b/>
                <w:sz w:val="24"/>
                <w:szCs w:val="24"/>
                <w:lang w:val="uk-UA"/>
              </w:rPr>
            </w:pPr>
            <w:r w:rsidRPr="00B22BDC">
              <w:rPr>
                <w:sz w:val="24"/>
                <w:szCs w:val="24"/>
                <w:lang w:val="uk-UA"/>
              </w:rPr>
              <w:t xml:space="preserve">Кількість відновлених </w:t>
            </w:r>
            <w:r w:rsidRPr="00B22BDC">
              <w:rPr>
                <w:sz w:val="24"/>
                <w:szCs w:val="24"/>
              </w:rPr>
              <w:t xml:space="preserve"> </w:t>
            </w:r>
            <w:r w:rsidRPr="00B22BDC">
              <w:rPr>
                <w:sz w:val="24"/>
                <w:szCs w:val="24"/>
                <w:lang w:val="uk-UA"/>
              </w:rPr>
              <w:t>о</w:t>
            </w:r>
            <w:proofErr w:type="spellStart"/>
            <w:r w:rsidRPr="00B22BDC">
              <w:rPr>
                <w:sz w:val="24"/>
                <w:szCs w:val="24"/>
              </w:rPr>
              <w:t>б’єкт</w:t>
            </w:r>
            <w:r w:rsidRPr="00B22BDC">
              <w:rPr>
                <w:sz w:val="24"/>
                <w:szCs w:val="24"/>
                <w:lang w:val="uk-UA"/>
              </w:rPr>
              <w:t>ів</w:t>
            </w:r>
            <w:proofErr w:type="spellEnd"/>
            <w:r w:rsidRPr="00B22BDC">
              <w:rPr>
                <w:sz w:val="24"/>
                <w:szCs w:val="24"/>
              </w:rPr>
              <w:t xml:space="preserve"> </w:t>
            </w:r>
            <w:proofErr w:type="spellStart"/>
            <w:r w:rsidRPr="00B22BDC">
              <w:rPr>
                <w:sz w:val="24"/>
                <w:szCs w:val="24"/>
              </w:rPr>
              <w:t>дорожньо-транспортної</w:t>
            </w:r>
            <w:proofErr w:type="spellEnd"/>
            <w:r w:rsidRPr="00B22BDC">
              <w:rPr>
                <w:sz w:val="24"/>
                <w:szCs w:val="24"/>
              </w:rPr>
              <w:t xml:space="preserve"> </w:t>
            </w:r>
            <w:proofErr w:type="spellStart"/>
            <w:r w:rsidRPr="00B22BDC">
              <w:rPr>
                <w:sz w:val="24"/>
                <w:szCs w:val="24"/>
              </w:rPr>
              <w:t>інфраструктури</w:t>
            </w:r>
            <w:proofErr w:type="spellEnd"/>
          </w:p>
        </w:tc>
        <w:tc>
          <w:tcPr>
            <w:tcW w:w="4390" w:type="dxa"/>
            <w:vMerge w:val="restart"/>
          </w:tcPr>
          <w:p w:rsidR="00B22BDC" w:rsidRPr="00B22BDC" w:rsidRDefault="00B22BDC" w:rsidP="007E2693">
            <w:pPr>
              <w:rPr>
                <w:sz w:val="24"/>
                <w:szCs w:val="24"/>
                <w:lang w:val="uk-UA"/>
              </w:rPr>
            </w:pPr>
            <w:r w:rsidRPr="00B22BDC">
              <w:rPr>
                <w:sz w:val="24"/>
                <w:szCs w:val="24"/>
                <w:lang w:val="uk-UA"/>
              </w:rPr>
              <w:t xml:space="preserve">Відновлено та вдосконалено роботи з обслуговування автомобільних доріг загального користування та зупинок громадського транспорту Сєвєродонецької міської територіальної громади. </w:t>
            </w:r>
          </w:p>
          <w:p w:rsidR="00B22BDC" w:rsidRPr="00B22BDC" w:rsidRDefault="00B22BDC" w:rsidP="00EE19AB">
            <w:pPr>
              <w:rPr>
                <w:b/>
                <w:sz w:val="24"/>
                <w:szCs w:val="24"/>
                <w:lang w:val="uk-UA"/>
              </w:rPr>
            </w:pPr>
            <w:r w:rsidRPr="00B22BDC">
              <w:rPr>
                <w:sz w:val="24"/>
                <w:szCs w:val="24"/>
                <w:lang w:val="uk-UA"/>
              </w:rPr>
              <w:t xml:space="preserve"> Забезпечення безпеки на дорогах, підвищення рівня добробуту населення, передусім у сфері благоустрою міста, розвиток комунального сектору економіки  Сєвєродонецької ТГ та стабільне виконання роботи з благоустрою територій міста, усунення наслідків військових дій, стихійних лих, погодних катаклізмів, зменш</w:t>
            </w:r>
            <w:r w:rsidR="00EE19AB">
              <w:rPr>
                <w:sz w:val="24"/>
                <w:szCs w:val="24"/>
                <w:lang w:val="uk-UA"/>
              </w:rPr>
              <w:t>ення</w:t>
            </w:r>
            <w:r w:rsidRPr="00B22BDC">
              <w:rPr>
                <w:sz w:val="24"/>
                <w:szCs w:val="24"/>
                <w:lang w:val="uk-UA"/>
              </w:rPr>
              <w:t xml:space="preserve"> </w:t>
            </w:r>
            <w:r w:rsidR="00EE19AB">
              <w:rPr>
                <w:sz w:val="24"/>
                <w:szCs w:val="24"/>
                <w:lang w:val="uk-UA"/>
              </w:rPr>
              <w:t xml:space="preserve">обсягів </w:t>
            </w:r>
            <w:r w:rsidRPr="00B22BDC">
              <w:rPr>
                <w:sz w:val="24"/>
                <w:szCs w:val="24"/>
                <w:lang w:val="uk-UA"/>
              </w:rPr>
              <w:t>ручн</w:t>
            </w:r>
            <w:r w:rsidR="00EE19AB">
              <w:rPr>
                <w:sz w:val="24"/>
                <w:szCs w:val="24"/>
                <w:lang w:val="uk-UA"/>
              </w:rPr>
              <w:t>ої</w:t>
            </w:r>
            <w:r w:rsidRPr="00B22BDC">
              <w:rPr>
                <w:sz w:val="24"/>
                <w:szCs w:val="24"/>
                <w:lang w:val="uk-UA"/>
              </w:rPr>
              <w:t xml:space="preserve"> прац</w:t>
            </w:r>
            <w:r w:rsidR="00EE19AB">
              <w:rPr>
                <w:sz w:val="24"/>
                <w:szCs w:val="24"/>
                <w:lang w:val="uk-UA"/>
              </w:rPr>
              <w:t>і</w:t>
            </w:r>
            <w:r w:rsidRPr="00B22BDC">
              <w:rPr>
                <w:sz w:val="24"/>
                <w:szCs w:val="24"/>
                <w:lang w:val="uk-UA"/>
              </w:rPr>
              <w:t>.</w:t>
            </w:r>
          </w:p>
        </w:tc>
        <w:tc>
          <w:tcPr>
            <w:tcW w:w="1696" w:type="dxa"/>
            <w:vMerge w:val="restart"/>
          </w:tcPr>
          <w:p w:rsidR="00B22BDC" w:rsidRPr="00B22BDC" w:rsidRDefault="00B22BDC" w:rsidP="007E2693">
            <w:pPr>
              <w:rPr>
                <w:sz w:val="24"/>
                <w:szCs w:val="24"/>
                <w:lang w:val="uk-UA"/>
              </w:rPr>
            </w:pPr>
          </w:p>
        </w:tc>
      </w:tr>
      <w:tr w:rsidR="00B22BDC" w:rsidRPr="00B22BDC" w:rsidTr="00F7531A">
        <w:tc>
          <w:tcPr>
            <w:tcW w:w="1954" w:type="dxa"/>
            <w:vMerge/>
          </w:tcPr>
          <w:p w:rsidR="00B22BDC" w:rsidRPr="00B22BDC" w:rsidRDefault="00B22BDC" w:rsidP="007E2693">
            <w:pPr>
              <w:rPr>
                <w:b/>
                <w:sz w:val="24"/>
                <w:szCs w:val="24"/>
                <w:lang w:val="uk-UA"/>
              </w:rPr>
            </w:pPr>
          </w:p>
        </w:tc>
        <w:tc>
          <w:tcPr>
            <w:tcW w:w="2616" w:type="dxa"/>
          </w:tcPr>
          <w:p w:rsidR="00B22BDC" w:rsidRPr="00B22BDC" w:rsidRDefault="00B22BDC" w:rsidP="007E2693">
            <w:pPr>
              <w:rPr>
                <w:b/>
                <w:sz w:val="24"/>
                <w:szCs w:val="24"/>
                <w:lang w:val="uk-UA"/>
              </w:rPr>
            </w:pPr>
            <w:proofErr w:type="spellStart"/>
            <w:r w:rsidRPr="00B22BDC">
              <w:rPr>
                <w:sz w:val="24"/>
                <w:szCs w:val="24"/>
              </w:rPr>
              <w:t>Відремонтоване</w:t>
            </w:r>
            <w:proofErr w:type="spellEnd"/>
            <w:r w:rsidRPr="00B22BDC">
              <w:rPr>
                <w:sz w:val="24"/>
                <w:szCs w:val="24"/>
              </w:rPr>
              <w:t xml:space="preserve"> </w:t>
            </w:r>
            <w:proofErr w:type="spellStart"/>
            <w:r w:rsidRPr="00B22BDC">
              <w:rPr>
                <w:sz w:val="24"/>
                <w:szCs w:val="24"/>
              </w:rPr>
              <w:t>асфальтобетонне</w:t>
            </w:r>
            <w:proofErr w:type="spellEnd"/>
            <w:r w:rsidRPr="00B22BDC">
              <w:rPr>
                <w:sz w:val="24"/>
                <w:szCs w:val="24"/>
              </w:rPr>
              <w:t xml:space="preserve"> </w:t>
            </w:r>
            <w:proofErr w:type="spellStart"/>
            <w:r w:rsidRPr="00B22BDC">
              <w:rPr>
                <w:sz w:val="24"/>
                <w:szCs w:val="24"/>
              </w:rPr>
              <w:t>покриття</w:t>
            </w:r>
            <w:proofErr w:type="spellEnd"/>
          </w:p>
        </w:tc>
        <w:tc>
          <w:tcPr>
            <w:tcW w:w="4390" w:type="dxa"/>
            <w:vMerge/>
          </w:tcPr>
          <w:p w:rsidR="00B22BDC" w:rsidRPr="00B22BDC" w:rsidRDefault="00B22BDC" w:rsidP="007E2693">
            <w:pPr>
              <w:rPr>
                <w:b/>
                <w:sz w:val="24"/>
                <w:szCs w:val="24"/>
                <w:lang w:val="uk-UA"/>
              </w:rPr>
            </w:pPr>
          </w:p>
        </w:tc>
        <w:tc>
          <w:tcPr>
            <w:tcW w:w="1696" w:type="dxa"/>
            <w:vMerge/>
          </w:tcPr>
          <w:p w:rsidR="00B22BDC" w:rsidRPr="00B22BDC" w:rsidRDefault="00B22BDC" w:rsidP="007E2693">
            <w:pPr>
              <w:rPr>
                <w:b/>
                <w:sz w:val="24"/>
                <w:szCs w:val="24"/>
                <w:lang w:val="uk-UA"/>
              </w:rPr>
            </w:pPr>
          </w:p>
        </w:tc>
      </w:tr>
      <w:tr w:rsidR="00B22BDC" w:rsidRPr="00B22BDC" w:rsidTr="00F7531A">
        <w:tc>
          <w:tcPr>
            <w:tcW w:w="1954" w:type="dxa"/>
            <w:vMerge w:val="restart"/>
          </w:tcPr>
          <w:p w:rsidR="00B22BDC" w:rsidRPr="00B22BDC" w:rsidRDefault="00B22BDC" w:rsidP="007E2693">
            <w:pPr>
              <w:rPr>
                <w:b/>
                <w:sz w:val="24"/>
                <w:szCs w:val="24"/>
                <w:lang w:val="uk-UA"/>
              </w:rPr>
            </w:pPr>
          </w:p>
        </w:tc>
        <w:tc>
          <w:tcPr>
            <w:tcW w:w="2616" w:type="dxa"/>
          </w:tcPr>
          <w:p w:rsidR="00B22BDC" w:rsidRPr="00B22BDC" w:rsidRDefault="00B22BDC" w:rsidP="007E2693">
            <w:pPr>
              <w:rPr>
                <w:b/>
                <w:sz w:val="24"/>
                <w:szCs w:val="24"/>
                <w:lang w:val="uk-UA"/>
              </w:rPr>
            </w:pPr>
            <w:proofErr w:type="spellStart"/>
            <w:r w:rsidRPr="00B22BDC">
              <w:rPr>
                <w:sz w:val="24"/>
                <w:szCs w:val="24"/>
              </w:rPr>
              <w:t>Відремонтоване</w:t>
            </w:r>
            <w:proofErr w:type="spellEnd"/>
            <w:r w:rsidRPr="00B22BDC">
              <w:rPr>
                <w:sz w:val="24"/>
                <w:szCs w:val="24"/>
              </w:rPr>
              <w:t xml:space="preserve"> </w:t>
            </w:r>
            <w:proofErr w:type="spellStart"/>
            <w:r w:rsidRPr="00B22BDC">
              <w:rPr>
                <w:sz w:val="24"/>
                <w:szCs w:val="24"/>
              </w:rPr>
              <w:t>тротуарне</w:t>
            </w:r>
            <w:proofErr w:type="spellEnd"/>
            <w:r w:rsidRPr="00B22BDC">
              <w:rPr>
                <w:sz w:val="24"/>
                <w:szCs w:val="24"/>
              </w:rPr>
              <w:t xml:space="preserve"> </w:t>
            </w:r>
            <w:proofErr w:type="spellStart"/>
            <w:r w:rsidRPr="00B22BDC">
              <w:rPr>
                <w:sz w:val="24"/>
                <w:szCs w:val="24"/>
              </w:rPr>
              <w:t>покриття</w:t>
            </w:r>
            <w:proofErr w:type="spellEnd"/>
            <w:r w:rsidRPr="00B22BDC">
              <w:rPr>
                <w:sz w:val="24"/>
                <w:szCs w:val="24"/>
              </w:rPr>
              <w:t xml:space="preserve"> </w:t>
            </w:r>
            <w:proofErr w:type="spellStart"/>
            <w:r w:rsidRPr="00B22BDC">
              <w:rPr>
                <w:sz w:val="24"/>
                <w:szCs w:val="24"/>
              </w:rPr>
              <w:t>вздовж</w:t>
            </w:r>
            <w:proofErr w:type="spellEnd"/>
            <w:r w:rsidRPr="00B22BDC">
              <w:rPr>
                <w:sz w:val="24"/>
                <w:szCs w:val="24"/>
              </w:rPr>
              <w:t xml:space="preserve"> </w:t>
            </w:r>
            <w:proofErr w:type="spellStart"/>
            <w:r w:rsidRPr="00B22BDC">
              <w:rPr>
                <w:sz w:val="24"/>
                <w:szCs w:val="24"/>
              </w:rPr>
              <w:t>доріг</w:t>
            </w:r>
            <w:proofErr w:type="spellEnd"/>
          </w:p>
        </w:tc>
        <w:tc>
          <w:tcPr>
            <w:tcW w:w="4390" w:type="dxa"/>
            <w:vMerge/>
          </w:tcPr>
          <w:p w:rsidR="00B22BDC" w:rsidRPr="00B22BDC" w:rsidRDefault="00B22BDC" w:rsidP="007E2693">
            <w:pPr>
              <w:rPr>
                <w:b/>
                <w:sz w:val="24"/>
                <w:szCs w:val="24"/>
                <w:lang w:val="uk-UA"/>
              </w:rPr>
            </w:pPr>
          </w:p>
        </w:tc>
        <w:tc>
          <w:tcPr>
            <w:tcW w:w="1696" w:type="dxa"/>
            <w:vMerge/>
          </w:tcPr>
          <w:p w:rsidR="00B22BDC" w:rsidRPr="00B22BDC" w:rsidRDefault="00B22BDC" w:rsidP="007E2693">
            <w:pPr>
              <w:rPr>
                <w:b/>
                <w:sz w:val="24"/>
                <w:szCs w:val="24"/>
                <w:lang w:val="uk-UA"/>
              </w:rPr>
            </w:pPr>
          </w:p>
        </w:tc>
      </w:tr>
      <w:tr w:rsidR="00B22BDC" w:rsidRPr="00B22BDC" w:rsidTr="00F7531A">
        <w:tc>
          <w:tcPr>
            <w:tcW w:w="1954" w:type="dxa"/>
            <w:vMerge/>
          </w:tcPr>
          <w:p w:rsidR="00B22BDC" w:rsidRPr="00B22BDC" w:rsidRDefault="00B22BDC" w:rsidP="007E2693">
            <w:pPr>
              <w:rPr>
                <w:b/>
                <w:sz w:val="24"/>
                <w:szCs w:val="24"/>
                <w:lang w:val="uk-UA"/>
              </w:rPr>
            </w:pPr>
          </w:p>
        </w:tc>
        <w:tc>
          <w:tcPr>
            <w:tcW w:w="2616" w:type="dxa"/>
          </w:tcPr>
          <w:p w:rsidR="00B22BDC" w:rsidRPr="00B22BDC" w:rsidRDefault="00B22BDC" w:rsidP="007E2693">
            <w:pPr>
              <w:rPr>
                <w:b/>
                <w:sz w:val="24"/>
                <w:szCs w:val="24"/>
                <w:lang w:val="uk-UA"/>
              </w:rPr>
            </w:pPr>
            <w:r w:rsidRPr="00B22BDC">
              <w:rPr>
                <w:sz w:val="24"/>
                <w:szCs w:val="24"/>
                <w:lang w:val="uk-UA"/>
              </w:rPr>
              <w:t xml:space="preserve">Кількість відновлених </w:t>
            </w:r>
            <w:r w:rsidRPr="00B22BDC">
              <w:rPr>
                <w:sz w:val="24"/>
                <w:szCs w:val="24"/>
              </w:rPr>
              <w:t xml:space="preserve"> </w:t>
            </w:r>
            <w:r w:rsidRPr="00B22BDC">
              <w:rPr>
                <w:sz w:val="24"/>
                <w:szCs w:val="24"/>
                <w:lang w:val="uk-UA"/>
              </w:rPr>
              <w:t>г</w:t>
            </w:r>
            <w:proofErr w:type="spellStart"/>
            <w:r w:rsidRPr="00B22BDC">
              <w:rPr>
                <w:sz w:val="24"/>
                <w:szCs w:val="24"/>
              </w:rPr>
              <w:t>ідротехнічн</w:t>
            </w:r>
            <w:r w:rsidRPr="00B22BDC">
              <w:rPr>
                <w:sz w:val="24"/>
                <w:szCs w:val="24"/>
                <w:lang w:val="uk-UA"/>
              </w:rPr>
              <w:t>их</w:t>
            </w:r>
            <w:proofErr w:type="spellEnd"/>
            <w:r w:rsidRPr="00B22BDC">
              <w:rPr>
                <w:sz w:val="24"/>
                <w:szCs w:val="24"/>
              </w:rPr>
              <w:t xml:space="preserve"> </w:t>
            </w:r>
            <w:proofErr w:type="spellStart"/>
            <w:r w:rsidRPr="00B22BDC">
              <w:rPr>
                <w:sz w:val="24"/>
                <w:szCs w:val="24"/>
              </w:rPr>
              <w:t>споруд</w:t>
            </w:r>
            <w:proofErr w:type="spellEnd"/>
          </w:p>
        </w:tc>
        <w:tc>
          <w:tcPr>
            <w:tcW w:w="4390" w:type="dxa"/>
          </w:tcPr>
          <w:p w:rsidR="00B22BDC" w:rsidRPr="00B22BDC" w:rsidRDefault="00B22BDC" w:rsidP="007E2693">
            <w:pPr>
              <w:rPr>
                <w:b/>
                <w:sz w:val="24"/>
                <w:szCs w:val="24"/>
                <w:lang w:val="uk-UA"/>
              </w:rPr>
            </w:pPr>
            <w:r w:rsidRPr="00B22BDC">
              <w:rPr>
                <w:sz w:val="24"/>
                <w:szCs w:val="24"/>
                <w:lang w:val="uk-UA"/>
              </w:rPr>
              <w:t xml:space="preserve">Відновлення </w:t>
            </w:r>
            <w:r w:rsidRPr="00B22BDC">
              <w:rPr>
                <w:sz w:val="24"/>
                <w:szCs w:val="24"/>
              </w:rPr>
              <w:t xml:space="preserve"> </w:t>
            </w:r>
            <w:r w:rsidRPr="00B22BDC">
              <w:rPr>
                <w:sz w:val="24"/>
                <w:szCs w:val="24"/>
                <w:lang w:val="uk-UA"/>
              </w:rPr>
              <w:t>вантажного, пасажирського та громадського транспортного сполучення між населеними пунктами Луганської області</w:t>
            </w:r>
          </w:p>
        </w:tc>
        <w:tc>
          <w:tcPr>
            <w:tcW w:w="1696" w:type="dxa"/>
          </w:tcPr>
          <w:p w:rsidR="00B22BDC" w:rsidRPr="00B22BDC" w:rsidRDefault="00B22BDC" w:rsidP="007E2693">
            <w:pPr>
              <w:rPr>
                <w:sz w:val="24"/>
                <w:szCs w:val="24"/>
                <w:lang w:val="uk-UA"/>
              </w:rPr>
            </w:pPr>
          </w:p>
        </w:tc>
      </w:tr>
      <w:tr w:rsidR="00B22BDC" w:rsidRPr="00B22BDC" w:rsidTr="00F7531A">
        <w:tc>
          <w:tcPr>
            <w:tcW w:w="1954" w:type="dxa"/>
            <w:vMerge/>
          </w:tcPr>
          <w:p w:rsidR="00B22BDC" w:rsidRPr="00B22BDC" w:rsidRDefault="00B22BDC" w:rsidP="007E2693">
            <w:pPr>
              <w:rPr>
                <w:b/>
                <w:sz w:val="24"/>
                <w:szCs w:val="24"/>
                <w:lang w:val="uk-UA"/>
              </w:rPr>
            </w:pPr>
          </w:p>
        </w:tc>
        <w:tc>
          <w:tcPr>
            <w:tcW w:w="2616" w:type="dxa"/>
          </w:tcPr>
          <w:p w:rsidR="00B22BDC" w:rsidRPr="00B22BDC" w:rsidRDefault="00B22BDC" w:rsidP="007E2693">
            <w:pPr>
              <w:rPr>
                <w:b/>
                <w:sz w:val="24"/>
                <w:szCs w:val="24"/>
                <w:lang w:val="uk-UA"/>
              </w:rPr>
            </w:pPr>
            <w:r w:rsidRPr="00B22BDC">
              <w:rPr>
                <w:sz w:val="24"/>
                <w:szCs w:val="24"/>
                <w:lang w:val="uk-UA"/>
              </w:rPr>
              <w:t xml:space="preserve">Кількість відновлених </w:t>
            </w:r>
            <w:r w:rsidRPr="00B22BDC">
              <w:rPr>
                <w:sz w:val="24"/>
                <w:szCs w:val="24"/>
              </w:rPr>
              <w:t xml:space="preserve"> </w:t>
            </w:r>
            <w:r w:rsidRPr="00B22BDC">
              <w:rPr>
                <w:sz w:val="24"/>
                <w:szCs w:val="24"/>
                <w:lang w:val="uk-UA"/>
              </w:rPr>
              <w:t>о</w:t>
            </w:r>
            <w:proofErr w:type="spellStart"/>
            <w:r w:rsidRPr="00B22BDC">
              <w:rPr>
                <w:sz w:val="24"/>
                <w:szCs w:val="24"/>
              </w:rPr>
              <w:t>б’єкт</w:t>
            </w:r>
            <w:r w:rsidRPr="00B22BDC">
              <w:rPr>
                <w:sz w:val="24"/>
                <w:szCs w:val="24"/>
                <w:lang w:val="uk-UA"/>
              </w:rPr>
              <w:t>ів</w:t>
            </w:r>
            <w:proofErr w:type="spellEnd"/>
            <w:r w:rsidRPr="00B22BDC">
              <w:rPr>
                <w:sz w:val="24"/>
                <w:szCs w:val="24"/>
              </w:rPr>
              <w:t xml:space="preserve"> </w:t>
            </w:r>
            <w:proofErr w:type="spellStart"/>
            <w:r w:rsidRPr="00B22BDC">
              <w:rPr>
                <w:sz w:val="24"/>
                <w:szCs w:val="24"/>
              </w:rPr>
              <w:t>теплопостачання</w:t>
            </w:r>
            <w:proofErr w:type="spellEnd"/>
          </w:p>
        </w:tc>
        <w:tc>
          <w:tcPr>
            <w:tcW w:w="4390" w:type="dxa"/>
            <w:vMerge w:val="restart"/>
          </w:tcPr>
          <w:p w:rsidR="00B22BDC" w:rsidRPr="00B22BDC" w:rsidRDefault="00B22BDC" w:rsidP="007E2693">
            <w:pPr>
              <w:rPr>
                <w:rFonts w:eastAsia="Calibri"/>
                <w:sz w:val="24"/>
                <w:szCs w:val="24"/>
                <w:lang w:val="uk-UA"/>
              </w:rPr>
            </w:pPr>
            <w:r w:rsidRPr="00B22BDC">
              <w:rPr>
                <w:rFonts w:eastAsia="Calibri"/>
                <w:sz w:val="24"/>
                <w:szCs w:val="24"/>
                <w:lang w:val="uk-UA"/>
              </w:rPr>
              <w:t>Встановлення енергоефективних газових водогрійних котлів ПТВМ-30 -3 од, з ККД не менше 93% з встановленням:</w:t>
            </w:r>
          </w:p>
          <w:p w:rsidR="00B22BDC" w:rsidRPr="00B22BDC" w:rsidRDefault="00B22BDC" w:rsidP="007E2693">
            <w:pPr>
              <w:spacing w:after="160" w:line="259" w:lineRule="auto"/>
              <w:contextualSpacing/>
              <w:rPr>
                <w:rFonts w:eastAsia="Calibri"/>
                <w:sz w:val="24"/>
                <w:szCs w:val="24"/>
                <w:lang w:val="uk-UA"/>
              </w:rPr>
            </w:pPr>
            <w:proofErr w:type="spellStart"/>
            <w:r w:rsidRPr="00B22BDC">
              <w:rPr>
                <w:rFonts w:eastAsia="Calibri"/>
                <w:sz w:val="24"/>
                <w:szCs w:val="24"/>
              </w:rPr>
              <w:t>сучасних</w:t>
            </w:r>
            <w:proofErr w:type="spellEnd"/>
            <w:r w:rsidRPr="00B22BDC">
              <w:rPr>
                <w:rFonts w:eastAsia="Calibri"/>
                <w:sz w:val="24"/>
                <w:szCs w:val="24"/>
              </w:rPr>
              <w:t xml:space="preserve"> </w:t>
            </w:r>
            <w:proofErr w:type="spellStart"/>
            <w:r w:rsidRPr="00B22BDC">
              <w:rPr>
                <w:rFonts w:eastAsia="Calibri"/>
                <w:sz w:val="24"/>
                <w:szCs w:val="24"/>
              </w:rPr>
              <w:t>модульованих</w:t>
            </w:r>
            <w:proofErr w:type="spellEnd"/>
            <w:r w:rsidRPr="00B22BDC">
              <w:rPr>
                <w:rFonts w:eastAsia="Calibri"/>
                <w:sz w:val="24"/>
                <w:szCs w:val="24"/>
              </w:rPr>
              <w:t xml:space="preserve"> </w:t>
            </w:r>
            <w:proofErr w:type="spellStart"/>
            <w:r w:rsidRPr="00B22BDC">
              <w:rPr>
                <w:rFonts w:eastAsia="Calibri"/>
                <w:sz w:val="24"/>
                <w:szCs w:val="24"/>
              </w:rPr>
              <w:t>пальників</w:t>
            </w:r>
            <w:proofErr w:type="spellEnd"/>
            <w:r w:rsidRPr="00B22BDC">
              <w:rPr>
                <w:rFonts w:eastAsia="Calibri"/>
                <w:sz w:val="24"/>
                <w:szCs w:val="24"/>
              </w:rPr>
              <w:t xml:space="preserve"> (</w:t>
            </w:r>
            <w:proofErr w:type="spellStart"/>
            <w:r w:rsidRPr="00B22BDC">
              <w:rPr>
                <w:rFonts w:eastAsia="Calibri"/>
                <w:sz w:val="24"/>
                <w:szCs w:val="24"/>
              </w:rPr>
              <w:t>діапазон</w:t>
            </w:r>
            <w:proofErr w:type="spellEnd"/>
            <w:r w:rsidRPr="00B22BDC">
              <w:rPr>
                <w:rFonts w:eastAsia="Calibri"/>
                <w:sz w:val="24"/>
                <w:szCs w:val="24"/>
              </w:rPr>
              <w:t xml:space="preserve"> </w:t>
            </w:r>
            <w:proofErr w:type="spellStart"/>
            <w:r w:rsidRPr="00B22BDC">
              <w:rPr>
                <w:rFonts w:eastAsia="Calibri"/>
                <w:sz w:val="24"/>
                <w:szCs w:val="24"/>
              </w:rPr>
              <w:t>регулювання</w:t>
            </w:r>
            <w:proofErr w:type="spellEnd"/>
            <w:r w:rsidRPr="00B22BDC">
              <w:rPr>
                <w:rFonts w:eastAsia="Calibri"/>
                <w:sz w:val="24"/>
                <w:szCs w:val="24"/>
              </w:rPr>
              <w:t xml:space="preserve"> </w:t>
            </w:r>
            <w:proofErr w:type="spellStart"/>
            <w:r w:rsidRPr="00B22BDC">
              <w:rPr>
                <w:rFonts w:eastAsia="Calibri"/>
                <w:sz w:val="24"/>
                <w:szCs w:val="24"/>
              </w:rPr>
              <w:t>від</w:t>
            </w:r>
            <w:proofErr w:type="spellEnd"/>
            <w:r w:rsidRPr="00B22BDC">
              <w:rPr>
                <w:rFonts w:eastAsia="Calibri"/>
                <w:sz w:val="24"/>
                <w:szCs w:val="24"/>
              </w:rPr>
              <w:t xml:space="preserve"> 30% до 100% </w:t>
            </w:r>
            <w:proofErr w:type="spellStart"/>
            <w:r w:rsidRPr="00B22BDC">
              <w:rPr>
                <w:rFonts w:eastAsia="Calibri"/>
                <w:sz w:val="24"/>
                <w:szCs w:val="24"/>
              </w:rPr>
              <w:t>від</w:t>
            </w:r>
            <w:proofErr w:type="spellEnd"/>
            <w:r w:rsidRPr="00B22BDC">
              <w:rPr>
                <w:rFonts w:eastAsia="Calibri"/>
                <w:sz w:val="24"/>
                <w:szCs w:val="24"/>
              </w:rPr>
              <w:t xml:space="preserve"> </w:t>
            </w:r>
            <w:proofErr w:type="spellStart"/>
            <w:r w:rsidRPr="00B22BDC">
              <w:rPr>
                <w:rFonts w:eastAsia="Calibri"/>
                <w:sz w:val="24"/>
                <w:szCs w:val="24"/>
              </w:rPr>
              <w:t>номінальної</w:t>
            </w:r>
            <w:proofErr w:type="spellEnd"/>
            <w:r w:rsidRPr="00B22BDC">
              <w:rPr>
                <w:rFonts w:eastAsia="Calibri"/>
                <w:sz w:val="24"/>
                <w:szCs w:val="24"/>
              </w:rPr>
              <w:t xml:space="preserve"> </w:t>
            </w:r>
            <w:proofErr w:type="spellStart"/>
            <w:r w:rsidRPr="00B22BDC">
              <w:rPr>
                <w:rFonts w:eastAsia="Calibri"/>
                <w:sz w:val="24"/>
                <w:szCs w:val="24"/>
              </w:rPr>
              <w:t>потужності</w:t>
            </w:r>
            <w:proofErr w:type="spellEnd"/>
            <w:r w:rsidRPr="00B22BDC">
              <w:rPr>
                <w:rFonts w:eastAsia="Calibri"/>
                <w:sz w:val="24"/>
                <w:szCs w:val="24"/>
              </w:rPr>
              <w:t xml:space="preserve">) та автоматики каскадного </w:t>
            </w:r>
            <w:proofErr w:type="spellStart"/>
            <w:r w:rsidRPr="00B22BDC">
              <w:rPr>
                <w:rFonts w:eastAsia="Calibri"/>
                <w:sz w:val="24"/>
                <w:szCs w:val="24"/>
              </w:rPr>
              <w:t>регулювання</w:t>
            </w:r>
            <w:proofErr w:type="spellEnd"/>
            <w:r w:rsidRPr="00B22BDC">
              <w:rPr>
                <w:rFonts w:eastAsia="Calibri"/>
                <w:sz w:val="24"/>
                <w:szCs w:val="24"/>
              </w:rPr>
              <w:t xml:space="preserve"> </w:t>
            </w:r>
            <w:proofErr w:type="spellStart"/>
            <w:r w:rsidRPr="00B22BDC">
              <w:rPr>
                <w:rFonts w:eastAsia="Calibri"/>
                <w:sz w:val="24"/>
                <w:szCs w:val="24"/>
              </w:rPr>
              <w:t>включення</w:t>
            </w:r>
            <w:proofErr w:type="spellEnd"/>
            <w:r w:rsidRPr="00B22BDC">
              <w:rPr>
                <w:rFonts w:eastAsia="Calibri"/>
                <w:sz w:val="24"/>
                <w:szCs w:val="24"/>
              </w:rPr>
              <w:t xml:space="preserve"> </w:t>
            </w:r>
            <w:proofErr w:type="spellStart"/>
            <w:r w:rsidRPr="00B22BDC">
              <w:rPr>
                <w:rFonts w:eastAsia="Calibri"/>
                <w:sz w:val="24"/>
                <w:szCs w:val="24"/>
              </w:rPr>
              <w:t>котлів</w:t>
            </w:r>
            <w:proofErr w:type="spellEnd"/>
            <w:r w:rsidRPr="00B22BDC">
              <w:rPr>
                <w:rFonts w:eastAsia="Calibri"/>
                <w:sz w:val="24"/>
                <w:szCs w:val="24"/>
              </w:rPr>
              <w:t xml:space="preserve"> </w:t>
            </w:r>
            <w:proofErr w:type="gramStart"/>
            <w:r w:rsidRPr="00B22BDC">
              <w:rPr>
                <w:rFonts w:eastAsia="Calibri"/>
                <w:sz w:val="24"/>
                <w:szCs w:val="24"/>
              </w:rPr>
              <w:t>в роботу</w:t>
            </w:r>
            <w:proofErr w:type="gramEnd"/>
            <w:r w:rsidRPr="00B22BDC">
              <w:rPr>
                <w:rFonts w:eastAsia="Calibri"/>
                <w:sz w:val="24"/>
                <w:szCs w:val="24"/>
              </w:rPr>
              <w:t>;</w:t>
            </w:r>
          </w:p>
          <w:p w:rsidR="00B22BDC" w:rsidRPr="00B22BDC" w:rsidRDefault="00B22BDC" w:rsidP="007E2693">
            <w:pPr>
              <w:spacing w:after="160" w:line="259" w:lineRule="auto"/>
              <w:contextualSpacing/>
              <w:rPr>
                <w:rFonts w:eastAsia="Calibri"/>
                <w:sz w:val="24"/>
                <w:szCs w:val="24"/>
                <w:lang w:val="uk-UA"/>
              </w:rPr>
            </w:pPr>
            <w:r w:rsidRPr="00B22BDC">
              <w:rPr>
                <w:rFonts w:eastAsia="Calibri"/>
                <w:sz w:val="24"/>
                <w:szCs w:val="24"/>
                <w:lang w:val="uk-UA"/>
              </w:rPr>
              <w:t>систем автоматичного регулювання температури теплоносія на виході з котельні в залежності від температури зовнішнього повітря, заданого температурного графіку та часу доби;</w:t>
            </w:r>
          </w:p>
          <w:p w:rsidR="00B22BDC" w:rsidRPr="00B22BDC" w:rsidRDefault="00B22BDC" w:rsidP="007E2693">
            <w:pPr>
              <w:spacing w:after="160" w:line="259" w:lineRule="auto"/>
              <w:contextualSpacing/>
              <w:rPr>
                <w:rFonts w:eastAsia="Calibri"/>
                <w:sz w:val="24"/>
                <w:szCs w:val="24"/>
                <w:lang w:val="uk-UA"/>
              </w:rPr>
            </w:pPr>
            <w:r w:rsidRPr="00B22BDC">
              <w:rPr>
                <w:rFonts w:eastAsia="Calibri"/>
                <w:sz w:val="24"/>
                <w:szCs w:val="24"/>
                <w:lang w:val="uk-UA"/>
              </w:rPr>
              <w:t xml:space="preserve">насосів  з низьким рівнем енергоспоживання, обладнаних </w:t>
            </w:r>
            <w:proofErr w:type="spellStart"/>
            <w:r w:rsidRPr="00B22BDC">
              <w:rPr>
                <w:rFonts w:eastAsia="Calibri"/>
                <w:sz w:val="24"/>
                <w:szCs w:val="24"/>
                <w:lang w:val="uk-UA"/>
              </w:rPr>
              <w:t>запірно</w:t>
            </w:r>
            <w:proofErr w:type="spellEnd"/>
            <w:r w:rsidRPr="00B22BDC">
              <w:rPr>
                <w:rFonts w:eastAsia="Calibri"/>
                <w:sz w:val="24"/>
                <w:szCs w:val="24"/>
                <w:lang w:val="uk-UA"/>
              </w:rPr>
              <w:t xml:space="preserve">-регулюючою арматурою, </w:t>
            </w:r>
            <w:r w:rsidRPr="00B22BDC">
              <w:rPr>
                <w:rFonts w:eastAsia="Calibri"/>
                <w:sz w:val="24"/>
                <w:szCs w:val="24"/>
                <w:lang w:val="uk-UA"/>
              </w:rPr>
              <w:lastRenderedPageBreak/>
              <w:t>шафами керування та частотними регуляторами;</w:t>
            </w:r>
          </w:p>
          <w:p w:rsidR="00B22BDC" w:rsidRPr="00B22BDC" w:rsidRDefault="00B22BDC" w:rsidP="007E2693">
            <w:pPr>
              <w:spacing w:after="160" w:line="259" w:lineRule="auto"/>
              <w:contextualSpacing/>
              <w:rPr>
                <w:rFonts w:eastAsia="Calibri"/>
                <w:sz w:val="24"/>
                <w:szCs w:val="24"/>
                <w:lang w:val="uk-UA"/>
              </w:rPr>
            </w:pPr>
            <w:r w:rsidRPr="00B22BDC">
              <w:rPr>
                <w:rFonts w:eastAsia="Calibri"/>
                <w:sz w:val="24"/>
                <w:szCs w:val="24"/>
                <w:lang w:val="uk-UA"/>
              </w:rPr>
              <w:t>влаштування нової сучасної автоматизованої системи хімічної підготовки котлової води.</w:t>
            </w:r>
          </w:p>
          <w:p w:rsidR="00B22BDC" w:rsidRPr="00B22BDC" w:rsidRDefault="00B22BDC" w:rsidP="007E2693">
            <w:pPr>
              <w:rPr>
                <w:rFonts w:eastAsia="Calibri"/>
                <w:sz w:val="24"/>
                <w:szCs w:val="24"/>
                <w:lang w:val="uk-UA"/>
              </w:rPr>
            </w:pPr>
            <w:r w:rsidRPr="00B22BDC">
              <w:rPr>
                <w:rFonts w:eastAsia="Calibri"/>
                <w:sz w:val="24"/>
                <w:szCs w:val="24"/>
                <w:lang w:val="uk-UA"/>
              </w:rPr>
              <w:t xml:space="preserve">Зменшення втрат в теплових мережах за рахунок часткової заміни    магістральних та </w:t>
            </w:r>
            <w:proofErr w:type="spellStart"/>
            <w:r w:rsidRPr="00B22BDC">
              <w:rPr>
                <w:rFonts w:eastAsia="Calibri"/>
                <w:sz w:val="24"/>
                <w:szCs w:val="24"/>
                <w:lang w:val="uk-UA"/>
              </w:rPr>
              <w:t>внутрішньоквартальних</w:t>
            </w:r>
            <w:proofErr w:type="spellEnd"/>
            <w:r w:rsidRPr="00B22BDC">
              <w:rPr>
                <w:rFonts w:eastAsia="Calibri"/>
                <w:sz w:val="24"/>
                <w:szCs w:val="24"/>
                <w:lang w:val="uk-UA"/>
              </w:rPr>
              <w:t xml:space="preserve"> теплових мереж на попередньо ізольовані труби.</w:t>
            </w:r>
          </w:p>
          <w:p w:rsidR="00B22BDC" w:rsidRPr="00B22BDC" w:rsidRDefault="00B22BDC" w:rsidP="007E2693">
            <w:pPr>
              <w:rPr>
                <w:b/>
                <w:sz w:val="24"/>
                <w:szCs w:val="24"/>
                <w:lang w:val="uk-UA"/>
              </w:rPr>
            </w:pPr>
            <w:r w:rsidRPr="00B22BDC">
              <w:rPr>
                <w:rFonts w:eastAsia="Calibri"/>
                <w:sz w:val="24"/>
                <w:szCs w:val="24"/>
                <w:lang w:val="uk-UA"/>
              </w:rPr>
              <w:t>Надання якісної послуги з теплопостачання.</w:t>
            </w:r>
          </w:p>
        </w:tc>
        <w:tc>
          <w:tcPr>
            <w:tcW w:w="1696" w:type="dxa"/>
            <w:vMerge w:val="restart"/>
          </w:tcPr>
          <w:p w:rsidR="00B22BDC" w:rsidRPr="00B22BDC" w:rsidRDefault="00B22BDC" w:rsidP="007E2693">
            <w:pPr>
              <w:rPr>
                <w:rFonts w:eastAsia="Calibri"/>
                <w:sz w:val="24"/>
                <w:szCs w:val="24"/>
                <w:lang w:val="uk-UA"/>
              </w:rPr>
            </w:pPr>
          </w:p>
        </w:tc>
      </w:tr>
      <w:tr w:rsidR="00B22BDC" w:rsidRPr="00B22BDC" w:rsidTr="00F7531A">
        <w:tc>
          <w:tcPr>
            <w:tcW w:w="1954" w:type="dxa"/>
            <w:vMerge/>
          </w:tcPr>
          <w:p w:rsidR="00B22BDC" w:rsidRPr="00B22BDC" w:rsidRDefault="00B22BDC" w:rsidP="007E2693">
            <w:pPr>
              <w:rPr>
                <w:b/>
                <w:sz w:val="24"/>
                <w:szCs w:val="24"/>
                <w:lang w:val="uk-UA"/>
              </w:rPr>
            </w:pPr>
          </w:p>
        </w:tc>
        <w:tc>
          <w:tcPr>
            <w:tcW w:w="2616" w:type="dxa"/>
          </w:tcPr>
          <w:p w:rsidR="00B22BDC" w:rsidRPr="00B22BDC" w:rsidRDefault="00B22BDC" w:rsidP="007E2693">
            <w:pPr>
              <w:rPr>
                <w:sz w:val="24"/>
                <w:szCs w:val="24"/>
                <w:lang w:val="uk-UA"/>
              </w:rPr>
            </w:pPr>
            <w:r w:rsidRPr="00B22BDC">
              <w:rPr>
                <w:sz w:val="24"/>
                <w:szCs w:val="24"/>
                <w:lang w:val="uk-UA"/>
              </w:rPr>
              <w:t>Кількіст</w:t>
            </w:r>
            <w:r w:rsidR="009164B3">
              <w:rPr>
                <w:sz w:val="24"/>
                <w:szCs w:val="24"/>
                <w:lang w:val="uk-UA"/>
              </w:rPr>
              <w:t>ь з</w:t>
            </w:r>
            <w:r w:rsidRPr="00B22BDC">
              <w:rPr>
                <w:sz w:val="24"/>
                <w:szCs w:val="24"/>
                <w:lang w:val="uk-UA"/>
              </w:rPr>
              <w:t xml:space="preserve">будованих ліній для виготовлення </w:t>
            </w:r>
            <w:proofErr w:type="spellStart"/>
            <w:r w:rsidRPr="00B22BDC">
              <w:rPr>
                <w:sz w:val="24"/>
                <w:szCs w:val="24"/>
                <w:lang w:val="uk-UA"/>
              </w:rPr>
              <w:t>пелетів</w:t>
            </w:r>
            <w:proofErr w:type="spellEnd"/>
          </w:p>
        </w:tc>
        <w:tc>
          <w:tcPr>
            <w:tcW w:w="4390" w:type="dxa"/>
            <w:vMerge/>
          </w:tcPr>
          <w:p w:rsidR="00B22BDC" w:rsidRPr="00B22BDC" w:rsidRDefault="00B22BDC" w:rsidP="007E2693">
            <w:pPr>
              <w:rPr>
                <w:rFonts w:eastAsia="Calibri"/>
                <w:sz w:val="24"/>
                <w:szCs w:val="24"/>
                <w:lang w:val="uk-UA"/>
              </w:rPr>
            </w:pPr>
          </w:p>
        </w:tc>
        <w:tc>
          <w:tcPr>
            <w:tcW w:w="1696" w:type="dxa"/>
            <w:vMerge/>
          </w:tcPr>
          <w:p w:rsidR="00B22BDC" w:rsidRPr="00B22BDC" w:rsidRDefault="00B22BDC" w:rsidP="007E2693">
            <w:pPr>
              <w:rPr>
                <w:rFonts w:eastAsia="Calibri"/>
                <w:sz w:val="24"/>
                <w:szCs w:val="24"/>
                <w:lang w:val="uk-UA"/>
              </w:rPr>
            </w:pPr>
          </w:p>
        </w:tc>
      </w:tr>
      <w:tr w:rsidR="00B22BDC" w:rsidRPr="00B22BDC" w:rsidTr="00F7531A">
        <w:tc>
          <w:tcPr>
            <w:tcW w:w="1954" w:type="dxa"/>
            <w:vMerge/>
          </w:tcPr>
          <w:p w:rsidR="00B22BDC" w:rsidRPr="00B22BDC" w:rsidRDefault="00B22BDC" w:rsidP="007E2693">
            <w:pPr>
              <w:rPr>
                <w:b/>
                <w:sz w:val="24"/>
                <w:szCs w:val="24"/>
                <w:lang w:val="uk-UA"/>
              </w:rPr>
            </w:pPr>
          </w:p>
        </w:tc>
        <w:tc>
          <w:tcPr>
            <w:tcW w:w="2616" w:type="dxa"/>
          </w:tcPr>
          <w:p w:rsidR="00B22BDC" w:rsidRPr="00B22BDC" w:rsidRDefault="009164B3" w:rsidP="007E2693">
            <w:pPr>
              <w:rPr>
                <w:sz w:val="24"/>
                <w:szCs w:val="24"/>
                <w:lang w:val="uk-UA"/>
              </w:rPr>
            </w:pPr>
            <w:r>
              <w:rPr>
                <w:sz w:val="24"/>
                <w:szCs w:val="24"/>
                <w:lang w:val="uk-UA"/>
              </w:rPr>
              <w:t>Кількість з</w:t>
            </w:r>
            <w:r w:rsidR="00B22BDC" w:rsidRPr="00B22BDC">
              <w:rPr>
                <w:sz w:val="24"/>
                <w:szCs w:val="24"/>
                <w:lang w:val="uk-UA"/>
              </w:rPr>
              <w:t>будованих об</w:t>
            </w:r>
            <w:r w:rsidR="00B22BDC" w:rsidRPr="00B22BDC">
              <w:rPr>
                <w:sz w:val="24"/>
                <w:szCs w:val="24"/>
              </w:rPr>
              <w:t>’</w:t>
            </w:r>
            <w:proofErr w:type="spellStart"/>
            <w:r w:rsidR="00B22BDC" w:rsidRPr="00B22BDC">
              <w:rPr>
                <w:sz w:val="24"/>
                <w:szCs w:val="24"/>
                <w:lang w:val="uk-UA"/>
              </w:rPr>
              <w:t>єктів</w:t>
            </w:r>
            <w:proofErr w:type="spellEnd"/>
            <w:r w:rsidR="00B22BDC" w:rsidRPr="00B22BDC">
              <w:rPr>
                <w:sz w:val="24"/>
                <w:szCs w:val="24"/>
                <w:lang w:val="uk-UA"/>
              </w:rPr>
              <w:t xml:space="preserve"> з поводження з ТПВ</w:t>
            </w:r>
          </w:p>
        </w:tc>
        <w:tc>
          <w:tcPr>
            <w:tcW w:w="4390" w:type="dxa"/>
          </w:tcPr>
          <w:p w:rsidR="00B22BDC" w:rsidRPr="00B22BDC" w:rsidRDefault="00B22BDC" w:rsidP="007E2693">
            <w:pPr>
              <w:contextualSpacing/>
              <w:rPr>
                <w:bCs/>
                <w:sz w:val="24"/>
                <w:szCs w:val="24"/>
                <w:lang w:val="uk-UA"/>
              </w:rPr>
            </w:pPr>
            <w:r w:rsidRPr="00B22BDC">
              <w:rPr>
                <w:bCs/>
                <w:sz w:val="24"/>
                <w:szCs w:val="24"/>
                <w:lang w:val="uk-UA"/>
              </w:rPr>
              <w:t>В</w:t>
            </w:r>
            <w:proofErr w:type="spellStart"/>
            <w:r w:rsidRPr="00B22BDC">
              <w:rPr>
                <w:bCs/>
                <w:sz w:val="24"/>
                <w:szCs w:val="24"/>
              </w:rPr>
              <w:t>икористання</w:t>
            </w:r>
            <w:proofErr w:type="spellEnd"/>
            <w:r w:rsidRPr="00B22BDC">
              <w:rPr>
                <w:bCs/>
                <w:sz w:val="24"/>
                <w:szCs w:val="24"/>
              </w:rPr>
              <w:t xml:space="preserve"> </w:t>
            </w:r>
            <w:proofErr w:type="spellStart"/>
            <w:r w:rsidRPr="00B22BDC">
              <w:rPr>
                <w:bCs/>
                <w:sz w:val="24"/>
                <w:szCs w:val="24"/>
              </w:rPr>
              <w:t>твердих</w:t>
            </w:r>
            <w:proofErr w:type="spellEnd"/>
            <w:r w:rsidRPr="00B22BDC">
              <w:rPr>
                <w:bCs/>
                <w:sz w:val="24"/>
                <w:szCs w:val="24"/>
              </w:rPr>
              <w:t xml:space="preserve"> </w:t>
            </w:r>
            <w:proofErr w:type="spellStart"/>
            <w:r w:rsidRPr="00B22BDC">
              <w:rPr>
                <w:bCs/>
                <w:sz w:val="24"/>
                <w:szCs w:val="24"/>
              </w:rPr>
              <w:t>побутових</w:t>
            </w:r>
            <w:proofErr w:type="spellEnd"/>
            <w:r w:rsidRPr="00B22BDC">
              <w:rPr>
                <w:bCs/>
                <w:sz w:val="24"/>
                <w:szCs w:val="24"/>
              </w:rPr>
              <w:t xml:space="preserve"> </w:t>
            </w:r>
            <w:proofErr w:type="spellStart"/>
            <w:r w:rsidRPr="00B22BDC">
              <w:rPr>
                <w:bCs/>
                <w:sz w:val="24"/>
                <w:szCs w:val="24"/>
              </w:rPr>
              <w:t>відходів</w:t>
            </w:r>
            <w:proofErr w:type="spellEnd"/>
            <w:r w:rsidRPr="00B22BDC">
              <w:rPr>
                <w:bCs/>
                <w:sz w:val="24"/>
                <w:szCs w:val="24"/>
              </w:rPr>
              <w:t xml:space="preserve"> в </w:t>
            </w:r>
            <w:proofErr w:type="spellStart"/>
            <w:r w:rsidRPr="00B22BDC">
              <w:rPr>
                <w:bCs/>
                <w:sz w:val="24"/>
                <w:szCs w:val="24"/>
              </w:rPr>
              <w:t>якості</w:t>
            </w:r>
            <w:proofErr w:type="spellEnd"/>
            <w:r w:rsidRPr="00B22BDC">
              <w:rPr>
                <w:bCs/>
                <w:sz w:val="24"/>
                <w:szCs w:val="24"/>
              </w:rPr>
              <w:t xml:space="preserve"> </w:t>
            </w:r>
            <w:proofErr w:type="spellStart"/>
            <w:r w:rsidRPr="00B22BDC">
              <w:rPr>
                <w:bCs/>
                <w:sz w:val="24"/>
                <w:szCs w:val="24"/>
              </w:rPr>
              <w:t>палива</w:t>
            </w:r>
            <w:proofErr w:type="spellEnd"/>
            <w:r w:rsidRPr="00B22BDC">
              <w:rPr>
                <w:bCs/>
                <w:sz w:val="24"/>
                <w:szCs w:val="24"/>
              </w:rPr>
              <w:t xml:space="preserve"> для </w:t>
            </w:r>
            <w:proofErr w:type="spellStart"/>
            <w:r w:rsidRPr="00B22BDC">
              <w:rPr>
                <w:bCs/>
                <w:sz w:val="24"/>
                <w:szCs w:val="24"/>
              </w:rPr>
              <w:t>сучасної</w:t>
            </w:r>
            <w:proofErr w:type="spellEnd"/>
            <w:r w:rsidRPr="00B22BDC">
              <w:rPr>
                <w:bCs/>
                <w:sz w:val="24"/>
                <w:szCs w:val="24"/>
              </w:rPr>
              <w:t xml:space="preserve"> </w:t>
            </w:r>
            <w:proofErr w:type="spellStart"/>
            <w:r w:rsidRPr="00B22BDC">
              <w:rPr>
                <w:bCs/>
                <w:sz w:val="24"/>
                <w:szCs w:val="24"/>
              </w:rPr>
              <w:t>теплоцентралі</w:t>
            </w:r>
            <w:proofErr w:type="spellEnd"/>
            <w:r w:rsidRPr="00B22BDC">
              <w:rPr>
                <w:bCs/>
                <w:sz w:val="24"/>
                <w:szCs w:val="24"/>
                <w:lang w:val="uk-UA"/>
              </w:rPr>
              <w:t>.</w:t>
            </w:r>
          </w:p>
          <w:p w:rsidR="00B22BDC" w:rsidRPr="00B22BDC" w:rsidRDefault="00B22BDC" w:rsidP="007E2693">
            <w:pPr>
              <w:rPr>
                <w:bCs/>
                <w:sz w:val="24"/>
                <w:szCs w:val="24"/>
                <w:lang w:val="uk-UA"/>
              </w:rPr>
            </w:pPr>
            <w:r w:rsidRPr="00B22BDC">
              <w:rPr>
                <w:bCs/>
                <w:sz w:val="24"/>
                <w:szCs w:val="24"/>
                <w:lang w:val="uk-UA"/>
              </w:rPr>
              <w:t>Покращення екології.</w:t>
            </w:r>
          </w:p>
          <w:p w:rsidR="00B22BDC" w:rsidRPr="00B22BDC" w:rsidRDefault="00B22BDC" w:rsidP="007E2693">
            <w:pPr>
              <w:rPr>
                <w:bCs/>
                <w:sz w:val="24"/>
                <w:szCs w:val="24"/>
                <w:lang w:val="uk-UA"/>
              </w:rPr>
            </w:pPr>
            <w:r w:rsidRPr="00B22BDC">
              <w:rPr>
                <w:bCs/>
                <w:sz w:val="24"/>
                <w:szCs w:val="24"/>
              </w:rPr>
              <w:t xml:space="preserve">Очищена </w:t>
            </w:r>
            <w:proofErr w:type="spellStart"/>
            <w:proofErr w:type="gramStart"/>
            <w:r w:rsidRPr="00B22BDC">
              <w:rPr>
                <w:bCs/>
                <w:sz w:val="24"/>
                <w:szCs w:val="24"/>
              </w:rPr>
              <w:t>територія</w:t>
            </w:r>
            <w:proofErr w:type="spellEnd"/>
            <w:r w:rsidRPr="00B22BDC">
              <w:rPr>
                <w:bCs/>
                <w:sz w:val="24"/>
                <w:szCs w:val="24"/>
              </w:rPr>
              <w:t xml:space="preserve">  </w:t>
            </w:r>
            <w:proofErr w:type="spellStart"/>
            <w:r w:rsidRPr="00B22BDC">
              <w:rPr>
                <w:bCs/>
                <w:sz w:val="24"/>
                <w:szCs w:val="24"/>
              </w:rPr>
              <w:t>від</w:t>
            </w:r>
            <w:proofErr w:type="spellEnd"/>
            <w:proofErr w:type="gramEnd"/>
            <w:r w:rsidRPr="00B22BDC">
              <w:rPr>
                <w:bCs/>
                <w:sz w:val="24"/>
                <w:szCs w:val="24"/>
              </w:rPr>
              <w:t xml:space="preserve"> </w:t>
            </w:r>
            <w:proofErr w:type="spellStart"/>
            <w:r w:rsidRPr="00B22BDC">
              <w:rPr>
                <w:bCs/>
                <w:sz w:val="24"/>
                <w:szCs w:val="24"/>
              </w:rPr>
              <w:t>сміття</w:t>
            </w:r>
            <w:proofErr w:type="spellEnd"/>
            <w:r w:rsidRPr="00B22BDC">
              <w:rPr>
                <w:bCs/>
                <w:sz w:val="24"/>
                <w:szCs w:val="24"/>
              </w:rPr>
              <w:t xml:space="preserve">, </w:t>
            </w:r>
            <w:proofErr w:type="spellStart"/>
            <w:r w:rsidRPr="00B22BDC">
              <w:rPr>
                <w:bCs/>
                <w:sz w:val="24"/>
                <w:szCs w:val="24"/>
              </w:rPr>
              <w:t>упорядкована</w:t>
            </w:r>
            <w:proofErr w:type="spellEnd"/>
            <w:r w:rsidRPr="00B22BDC">
              <w:rPr>
                <w:bCs/>
                <w:sz w:val="24"/>
                <w:szCs w:val="24"/>
              </w:rPr>
              <w:t xml:space="preserve"> </w:t>
            </w:r>
            <w:proofErr w:type="spellStart"/>
            <w:r w:rsidRPr="00B22BDC">
              <w:rPr>
                <w:bCs/>
                <w:sz w:val="24"/>
                <w:szCs w:val="24"/>
              </w:rPr>
              <w:t>територія</w:t>
            </w:r>
            <w:proofErr w:type="spellEnd"/>
            <w:r w:rsidRPr="00B22BDC">
              <w:rPr>
                <w:bCs/>
                <w:sz w:val="24"/>
                <w:szCs w:val="24"/>
              </w:rPr>
              <w:t xml:space="preserve">  </w:t>
            </w:r>
            <w:proofErr w:type="spellStart"/>
            <w:r w:rsidRPr="00B22BDC">
              <w:rPr>
                <w:bCs/>
                <w:sz w:val="24"/>
                <w:szCs w:val="24"/>
              </w:rPr>
              <w:t>біля</w:t>
            </w:r>
            <w:proofErr w:type="spellEnd"/>
            <w:r w:rsidRPr="00B22BDC">
              <w:rPr>
                <w:bCs/>
                <w:sz w:val="24"/>
                <w:szCs w:val="24"/>
              </w:rPr>
              <w:t xml:space="preserve">  </w:t>
            </w:r>
            <w:proofErr w:type="spellStart"/>
            <w:r w:rsidRPr="00B22BDC">
              <w:rPr>
                <w:bCs/>
                <w:sz w:val="24"/>
                <w:szCs w:val="24"/>
              </w:rPr>
              <w:t>закинутих</w:t>
            </w:r>
            <w:proofErr w:type="spellEnd"/>
            <w:r w:rsidRPr="00B22BDC">
              <w:rPr>
                <w:bCs/>
                <w:sz w:val="24"/>
                <w:szCs w:val="24"/>
              </w:rPr>
              <w:t xml:space="preserve"> </w:t>
            </w:r>
            <w:proofErr w:type="spellStart"/>
            <w:r w:rsidRPr="00B22BDC">
              <w:rPr>
                <w:bCs/>
                <w:sz w:val="24"/>
                <w:szCs w:val="24"/>
              </w:rPr>
              <w:t>будинків</w:t>
            </w:r>
            <w:proofErr w:type="spellEnd"/>
            <w:r w:rsidRPr="00B22BDC">
              <w:rPr>
                <w:bCs/>
                <w:sz w:val="24"/>
                <w:szCs w:val="24"/>
                <w:lang w:val="uk-UA"/>
              </w:rPr>
              <w:t>.</w:t>
            </w:r>
          </w:p>
          <w:p w:rsidR="00B22BDC" w:rsidRPr="00B22BDC" w:rsidRDefault="00B22BDC" w:rsidP="007E2693">
            <w:pPr>
              <w:rPr>
                <w:rFonts w:eastAsia="Calibri"/>
                <w:sz w:val="24"/>
                <w:szCs w:val="24"/>
                <w:lang w:val="uk-UA"/>
              </w:rPr>
            </w:pPr>
            <w:r w:rsidRPr="00B22BDC">
              <w:rPr>
                <w:bCs/>
                <w:sz w:val="24"/>
                <w:szCs w:val="24"/>
                <w:lang w:val="uk-UA"/>
              </w:rPr>
              <w:t>Організований  роздільний  збір та утилізація  побутових відходів.</w:t>
            </w:r>
          </w:p>
        </w:tc>
        <w:tc>
          <w:tcPr>
            <w:tcW w:w="1696" w:type="dxa"/>
          </w:tcPr>
          <w:p w:rsidR="00B22BDC" w:rsidRPr="00B22BDC" w:rsidRDefault="00B22BDC" w:rsidP="007E2693">
            <w:pPr>
              <w:rPr>
                <w:rFonts w:eastAsia="Calibri"/>
                <w:sz w:val="24"/>
                <w:szCs w:val="24"/>
                <w:lang w:val="uk-UA"/>
              </w:rPr>
            </w:pPr>
          </w:p>
        </w:tc>
      </w:tr>
      <w:tr w:rsidR="00054A0D" w:rsidRPr="00B22BDC" w:rsidTr="00F7531A">
        <w:tc>
          <w:tcPr>
            <w:tcW w:w="1954" w:type="dxa"/>
          </w:tcPr>
          <w:p w:rsidR="00054A0D" w:rsidRPr="00054A0D" w:rsidRDefault="00054A0D" w:rsidP="007E2693">
            <w:pPr>
              <w:rPr>
                <w:b/>
                <w:sz w:val="24"/>
                <w:szCs w:val="24"/>
                <w:lang w:val="uk-UA"/>
              </w:rPr>
            </w:pPr>
            <w:r w:rsidRPr="00283E5B">
              <w:rPr>
                <w:sz w:val="24"/>
                <w:szCs w:val="24"/>
                <w:lang w:val="uk-UA"/>
              </w:rPr>
              <w:t>Відновлення об’єктів комунальної власності Сєвєродонецької міської територіальної громади</w:t>
            </w:r>
          </w:p>
        </w:tc>
        <w:tc>
          <w:tcPr>
            <w:tcW w:w="2616" w:type="dxa"/>
          </w:tcPr>
          <w:p w:rsidR="00054A0D" w:rsidRPr="00283E5B" w:rsidRDefault="00A9118C" w:rsidP="00054A0D">
            <w:pPr>
              <w:rPr>
                <w:sz w:val="24"/>
                <w:szCs w:val="24"/>
                <w:lang w:val="uk-UA"/>
              </w:rPr>
            </w:pPr>
            <w:r>
              <w:rPr>
                <w:sz w:val="24"/>
                <w:szCs w:val="24"/>
                <w:lang w:val="uk-UA"/>
              </w:rPr>
              <w:t>1</w:t>
            </w:r>
            <w:r w:rsidR="00054A0D" w:rsidRPr="00283E5B">
              <w:rPr>
                <w:sz w:val="24"/>
                <w:szCs w:val="24"/>
                <w:lang w:val="uk-UA"/>
              </w:rPr>
              <w:t>)</w:t>
            </w:r>
            <w:r w:rsidR="00054A0D" w:rsidRPr="00283E5B">
              <w:rPr>
                <w:sz w:val="24"/>
                <w:szCs w:val="24"/>
                <w:lang w:val="uk-UA"/>
              </w:rPr>
              <w:tab/>
              <w:t xml:space="preserve">кількість </w:t>
            </w:r>
            <w:r w:rsidR="00054A0D">
              <w:rPr>
                <w:sz w:val="24"/>
                <w:szCs w:val="24"/>
                <w:lang w:val="uk-UA"/>
              </w:rPr>
              <w:t xml:space="preserve">відремонтованих </w:t>
            </w:r>
            <w:r w:rsidR="00054A0D" w:rsidRPr="00283E5B">
              <w:rPr>
                <w:sz w:val="24"/>
                <w:szCs w:val="24"/>
                <w:lang w:val="uk-UA"/>
              </w:rPr>
              <w:t>об’єктів нерухомого майна, що перебуває у власності Сєвєродонецької міської територіальної громади;</w:t>
            </w:r>
          </w:p>
          <w:p w:rsidR="00054A0D" w:rsidRPr="00283E5B" w:rsidRDefault="00054A0D" w:rsidP="00054A0D">
            <w:pPr>
              <w:rPr>
                <w:sz w:val="24"/>
                <w:szCs w:val="24"/>
                <w:lang w:val="uk-UA"/>
              </w:rPr>
            </w:pPr>
            <w:r w:rsidRPr="00283E5B">
              <w:rPr>
                <w:sz w:val="24"/>
                <w:szCs w:val="24"/>
                <w:lang w:val="uk-UA"/>
              </w:rPr>
              <w:t>2)</w:t>
            </w:r>
            <w:r w:rsidRPr="00283E5B">
              <w:rPr>
                <w:sz w:val="24"/>
                <w:szCs w:val="24"/>
                <w:lang w:val="uk-UA"/>
              </w:rPr>
              <w:tab/>
              <w:t xml:space="preserve">площа </w:t>
            </w:r>
            <w:r>
              <w:rPr>
                <w:sz w:val="24"/>
                <w:szCs w:val="24"/>
                <w:lang w:val="uk-UA"/>
              </w:rPr>
              <w:t xml:space="preserve">відремонтованих </w:t>
            </w:r>
            <w:r w:rsidRPr="00283E5B">
              <w:rPr>
                <w:sz w:val="24"/>
                <w:szCs w:val="24"/>
                <w:lang w:val="uk-UA"/>
              </w:rPr>
              <w:t>об’єктів нерухомого майна</w:t>
            </w:r>
            <w:r>
              <w:rPr>
                <w:sz w:val="24"/>
                <w:szCs w:val="24"/>
                <w:lang w:val="uk-UA"/>
              </w:rPr>
              <w:t xml:space="preserve"> комунальної форми власності</w:t>
            </w:r>
            <w:r w:rsidRPr="00283E5B">
              <w:rPr>
                <w:sz w:val="24"/>
                <w:szCs w:val="24"/>
                <w:lang w:val="uk-UA"/>
              </w:rPr>
              <w:t xml:space="preserve">, </w:t>
            </w:r>
            <w:proofErr w:type="spellStart"/>
            <w:r w:rsidRPr="00283E5B">
              <w:rPr>
                <w:sz w:val="24"/>
                <w:szCs w:val="24"/>
                <w:lang w:val="uk-UA"/>
              </w:rPr>
              <w:t>кв.м</w:t>
            </w:r>
            <w:proofErr w:type="spellEnd"/>
            <w:r w:rsidRPr="00283E5B">
              <w:rPr>
                <w:sz w:val="24"/>
                <w:szCs w:val="24"/>
                <w:lang w:val="uk-UA"/>
              </w:rPr>
              <w:t>.;</w:t>
            </w:r>
          </w:p>
          <w:p w:rsidR="00054A0D" w:rsidRPr="00283E5B" w:rsidRDefault="00054A0D" w:rsidP="00054A0D">
            <w:pPr>
              <w:rPr>
                <w:sz w:val="24"/>
                <w:szCs w:val="24"/>
                <w:lang w:val="uk-UA"/>
              </w:rPr>
            </w:pPr>
            <w:r w:rsidRPr="00283E5B">
              <w:rPr>
                <w:sz w:val="24"/>
                <w:szCs w:val="24"/>
                <w:lang w:val="uk-UA"/>
              </w:rPr>
              <w:t>3)</w:t>
            </w:r>
            <w:r w:rsidRPr="00283E5B">
              <w:rPr>
                <w:sz w:val="24"/>
                <w:szCs w:val="24"/>
                <w:lang w:val="uk-UA"/>
              </w:rPr>
              <w:tab/>
              <w:t xml:space="preserve">кількість </w:t>
            </w:r>
            <w:r>
              <w:rPr>
                <w:sz w:val="24"/>
                <w:szCs w:val="24"/>
                <w:lang w:val="uk-UA"/>
              </w:rPr>
              <w:t xml:space="preserve">потенційних </w:t>
            </w:r>
            <w:r w:rsidRPr="00283E5B">
              <w:rPr>
                <w:sz w:val="24"/>
                <w:szCs w:val="24"/>
                <w:lang w:val="uk-UA"/>
              </w:rPr>
              <w:t>орендарів</w:t>
            </w:r>
            <w:r>
              <w:rPr>
                <w:sz w:val="24"/>
                <w:szCs w:val="24"/>
                <w:lang w:val="uk-UA"/>
              </w:rPr>
              <w:t xml:space="preserve"> на відремонтоване майно</w:t>
            </w:r>
            <w:r w:rsidRPr="00283E5B">
              <w:rPr>
                <w:sz w:val="24"/>
                <w:szCs w:val="24"/>
                <w:lang w:val="uk-UA"/>
              </w:rPr>
              <w:t>;</w:t>
            </w:r>
          </w:p>
          <w:p w:rsidR="00054A0D" w:rsidRPr="00283E5B" w:rsidRDefault="00054A0D" w:rsidP="00054A0D">
            <w:pPr>
              <w:rPr>
                <w:sz w:val="24"/>
                <w:szCs w:val="24"/>
                <w:lang w:val="uk-UA"/>
              </w:rPr>
            </w:pPr>
            <w:r w:rsidRPr="00283E5B">
              <w:rPr>
                <w:sz w:val="24"/>
                <w:szCs w:val="24"/>
                <w:lang w:val="uk-UA"/>
              </w:rPr>
              <w:t>4)</w:t>
            </w:r>
            <w:r w:rsidRPr="00283E5B">
              <w:rPr>
                <w:sz w:val="24"/>
                <w:szCs w:val="24"/>
                <w:lang w:val="uk-UA"/>
              </w:rPr>
              <w:tab/>
              <w:t xml:space="preserve">кількість укладених договорів оренди на </w:t>
            </w:r>
            <w:r>
              <w:rPr>
                <w:sz w:val="24"/>
                <w:szCs w:val="24"/>
                <w:lang w:val="uk-UA"/>
              </w:rPr>
              <w:t>об’єкти нерухомого майна</w:t>
            </w:r>
            <w:r w:rsidRPr="00283E5B">
              <w:rPr>
                <w:sz w:val="24"/>
                <w:szCs w:val="24"/>
                <w:lang w:val="uk-UA"/>
              </w:rPr>
              <w:t>;</w:t>
            </w:r>
          </w:p>
          <w:p w:rsidR="00054A0D" w:rsidRPr="00283E5B" w:rsidRDefault="00054A0D" w:rsidP="00054A0D">
            <w:pPr>
              <w:rPr>
                <w:sz w:val="24"/>
                <w:szCs w:val="24"/>
                <w:lang w:val="uk-UA"/>
              </w:rPr>
            </w:pPr>
            <w:r w:rsidRPr="00283E5B">
              <w:rPr>
                <w:sz w:val="24"/>
                <w:szCs w:val="24"/>
                <w:lang w:val="uk-UA"/>
              </w:rPr>
              <w:t>5)</w:t>
            </w:r>
            <w:r w:rsidRPr="00283E5B">
              <w:rPr>
                <w:sz w:val="24"/>
                <w:szCs w:val="24"/>
                <w:lang w:val="uk-UA"/>
              </w:rPr>
              <w:tab/>
              <w:t xml:space="preserve">кількість </w:t>
            </w:r>
            <w:proofErr w:type="spellStart"/>
            <w:r w:rsidRPr="00283E5B">
              <w:rPr>
                <w:sz w:val="24"/>
                <w:szCs w:val="24"/>
                <w:lang w:val="uk-UA"/>
              </w:rPr>
              <w:t>кв.м</w:t>
            </w:r>
            <w:proofErr w:type="spellEnd"/>
            <w:r w:rsidRPr="00283E5B">
              <w:rPr>
                <w:sz w:val="24"/>
                <w:szCs w:val="24"/>
                <w:lang w:val="uk-UA"/>
              </w:rPr>
              <w:t xml:space="preserve"> об’єктів нерухомого майна, переданих в оренду;</w:t>
            </w:r>
          </w:p>
          <w:p w:rsidR="00054A0D" w:rsidRPr="00283E5B" w:rsidRDefault="00054A0D" w:rsidP="00054A0D">
            <w:pPr>
              <w:rPr>
                <w:sz w:val="24"/>
                <w:szCs w:val="24"/>
                <w:lang w:val="uk-UA"/>
              </w:rPr>
            </w:pPr>
            <w:r w:rsidRPr="00283E5B">
              <w:rPr>
                <w:sz w:val="24"/>
                <w:szCs w:val="24"/>
                <w:lang w:val="uk-UA"/>
              </w:rPr>
              <w:t>6)</w:t>
            </w:r>
            <w:r w:rsidRPr="00283E5B">
              <w:rPr>
                <w:sz w:val="24"/>
                <w:szCs w:val="24"/>
                <w:lang w:val="uk-UA"/>
              </w:rPr>
              <w:tab/>
              <w:t>сума орендної плати – дохід в бюджет, грн.;</w:t>
            </w:r>
          </w:p>
          <w:p w:rsidR="00054A0D" w:rsidRPr="00054A0D" w:rsidRDefault="00054A0D" w:rsidP="00054A0D">
            <w:pPr>
              <w:rPr>
                <w:sz w:val="24"/>
                <w:szCs w:val="24"/>
                <w:lang w:val="uk-UA"/>
              </w:rPr>
            </w:pPr>
            <w:r w:rsidRPr="00283E5B">
              <w:rPr>
                <w:sz w:val="24"/>
                <w:szCs w:val="24"/>
                <w:lang w:val="uk-UA"/>
              </w:rPr>
              <w:lastRenderedPageBreak/>
              <w:t>7)</w:t>
            </w:r>
            <w:r w:rsidRPr="00283E5B">
              <w:rPr>
                <w:sz w:val="24"/>
                <w:szCs w:val="24"/>
                <w:lang w:val="uk-UA"/>
              </w:rPr>
              <w:tab/>
              <w:t>кількість комунальних підприємств, установ та організацій, що відновили свою роботу тощо</w:t>
            </w:r>
          </w:p>
        </w:tc>
        <w:tc>
          <w:tcPr>
            <w:tcW w:w="4390" w:type="dxa"/>
          </w:tcPr>
          <w:p w:rsidR="00054A0D" w:rsidRDefault="00054A0D" w:rsidP="00054A0D">
            <w:pPr>
              <w:autoSpaceDE w:val="0"/>
              <w:snapToGrid w:val="0"/>
              <w:rPr>
                <w:rFonts w:eastAsia="Calibri"/>
                <w:color w:val="000000"/>
                <w:sz w:val="24"/>
                <w:szCs w:val="24"/>
                <w:lang w:val="uk-UA"/>
              </w:rPr>
            </w:pPr>
            <w:r>
              <w:rPr>
                <w:rFonts w:eastAsia="Calibri"/>
                <w:color w:val="000000"/>
                <w:sz w:val="24"/>
                <w:szCs w:val="24"/>
                <w:lang w:val="uk-UA"/>
              </w:rPr>
              <w:lastRenderedPageBreak/>
              <w:t>Задоволення потреб державних органів влади, органів місцевого самоврядування, їх структурних підрозділів та виконавчих органів, правоохоронних органів та інших підприємств, установ, організацій, структур  різних форм власності у відновленні роботи – будівлі/приміщення для розміщення відповідних представників. Відновлення роботи комунальних підприємств, установ та організацій Сєвєродонецької міської територіальної громади.</w:t>
            </w:r>
          </w:p>
          <w:p w:rsidR="00054A0D" w:rsidRDefault="00054A0D" w:rsidP="00054A0D">
            <w:pPr>
              <w:autoSpaceDE w:val="0"/>
              <w:snapToGrid w:val="0"/>
              <w:rPr>
                <w:rFonts w:eastAsia="Calibri"/>
                <w:color w:val="000000"/>
                <w:sz w:val="24"/>
                <w:szCs w:val="24"/>
                <w:lang w:val="uk-UA"/>
              </w:rPr>
            </w:pPr>
            <w:r>
              <w:rPr>
                <w:rFonts w:eastAsia="Calibri"/>
                <w:color w:val="000000"/>
                <w:sz w:val="24"/>
                <w:szCs w:val="24"/>
                <w:lang w:val="uk-UA"/>
              </w:rPr>
              <w:t>Детальні індикатори:</w:t>
            </w:r>
          </w:p>
          <w:p w:rsidR="00054A0D" w:rsidRPr="00283E5B" w:rsidRDefault="00054A0D" w:rsidP="00054A0D">
            <w:pPr>
              <w:autoSpaceDE w:val="0"/>
              <w:snapToGrid w:val="0"/>
              <w:rPr>
                <w:rFonts w:eastAsia="Calibri"/>
                <w:color w:val="000000"/>
                <w:sz w:val="24"/>
                <w:szCs w:val="24"/>
                <w:lang w:val="uk-UA"/>
              </w:rPr>
            </w:pPr>
            <w:r w:rsidRPr="00283E5B">
              <w:rPr>
                <w:rFonts w:eastAsia="Calibri"/>
                <w:color w:val="000000"/>
                <w:sz w:val="24"/>
                <w:szCs w:val="24"/>
                <w:lang w:val="uk-UA"/>
              </w:rPr>
              <w:t>1)</w:t>
            </w:r>
            <w:r w:rsidR="001F5DE0">
              <w:rPr>
                <w:rFonts w:eastAsia="Calibri"/>
                <w:color w:val="000000"/>
                <w:sz w:val="24"/>
                <w:szCs w:val="24"/>
                <w:lang w:val="uk-UA"/>
              </w:rPr>
              <w:t xml:space="preserve"> </w:t>
            </w:r>
            <w:r w:rsidRPr="00283E5B">
              <w:rPr>
                <w:rFonts w:eastAsia="Calibri"/>
                <w:color w:val="000000"/>
                <w:sz w:val="24"/>
                <w:szCs w:val="24"/>
                <w:lang w:val="uk-UA"/>
              </w:rPr>
              <w:t>рівень попиту на об’єкти оренди комунальної власності;</w:t>
            </w:r>
          </w:p>
          <w:p w:rsidR="00054A0D" w:rsidRPr="00283E5B" w:rsidRDefault="00054A0D" w:rsidP="00054A0D">
            <w:pPr>
              <w:autoSpaceDE w:val="0"/>
              <w:snapToGrid w:val="0"/>
              <w:rPr>
                <w:rFonts w:eastAsia="Calibri"/>
                <w:color w:val="000000"/>
                <w:sz w:val="24"/>
                <w:szCs w:val="24"/>
                <w:lang w:val="uk-UA"/>
              </w:rPr>
            </w:pPr>
            <w:r w:rsidRPr="00283E5B">
              <w:rPr>
                <w:rFonts w:eastAsia="Calibri"/>
                <w:color w:val="000000"/>
                <w:sz w:val="24"/>
                <w:szCs w:val="24"/>
                <w:lang w:val="uk-UA"/>
              </w:rPr>
              <w:t>2)</w:t>
            </w:r>
            <w:r w:rsidRPr="00283E5B">
              <w:rPr>
                <w:rFonts w:eastAsia="Calibri"/>
                <w:color w:val="000000"/>
                <w:sz w:val="24"/>
                <w:szCs w:val="24"/>
                <w:lang w:val="uk-UA"/>
              </w:rPr>
              <w:tab/>
              <w:t>відповідність стану об’єктів комунальної власності вимогам потенційних орендарів для нормального функціонування об’єкту;</w:t>
            </w:r>
          </w:p>
          <w:p w:rsidR="00054A0D" w:rsidRPr="00054A0D" w:rsidRDefault="00054A0D" w:rsidP="00054A0D">
            <w:pPr>
              <w:contextualSpacing/>
              <w:rPr>
                <w:bCs/>
                <w:sz w:val="24"/>
                <w:szCs w:val="24"/>
                <w:lang w:val="uk-UA"/>
              </w:rPr>
            </w:pPr>
            <w:r w:rsidRPr="00283E5B">
              <w:rPr>
                <w:rFonts w:eastAsia="Calibri"/>
                <w:color w:val="000000"/>
                <w:sz w:val="24"/>
                <w:szCs w:val="24"/>
                <w:lang w:val="uk-UA"/>
              </w:rPr>
              <w:t>3)</w:t>
            </w:r>
            <w:r w:rsidRPr="00283E5B">
              <w:rPr>
                <w:rFonts w:eastAsia="Calibri"/>
                <w:color w:val="000000"/>
                <w:sz w:val="24"/>
                <w:szCs w:val="24"/>
                <w:lang w:val="uk-UA"/>
              </w:rPr>
              <w:tab/>
              <w:t xml:space="preserve">ефективність роботи комунальних підприємств, установ та організацій: фінансовий результат від діяльності, стан основних фондів, рівень фінансування з місцевого бюджету, наявність та значення дебіторської та кредиторської заборгованостей, рівень заробітної </w:t>
            </w:r>
            <w:r w:rsidRPr="00283E5B">
              <w:rPr>
                <w:rFonts w:eastAsia="Calibri"/>
                <w:color w:val="000000"/>
                <w:sz w:val="24"/>
                <w:szCs w:val="24"/>
                <w:lang w:val="uk-UA"/>
              </w:rPr>
              <w:lastRenderedPageBreak/>
              <w:t>плати, відсутність заборгованості з її сплати, укомплектованість штату, показники ліквідності, платоспроможності тощо.</w:t>
            </w:r>
          </w:p>
        </w:tc>
        <w:tc>
          <w:tcPr>
            <w:tcW w:w="1696" w:type="dxa"/>
          </w:tcPr>
          <w:p w:rsidR="00054A0D" w:rsidRPr="00054A0D" w:rsidRDefault="00054A0D" w:rsidP="007E2693">
            <w:pPr>
              <w:rPr>
                <w:rFonts w:eastAsia="Calibri"/>
                <w:sz w:val="24"/>
                <w:szCs w:val="24"/>
                <w:lang w:val="uk-UA"/>
              </w:rPr>
            </w:pPr>
          </w:p>
        </w:tc>
      </w:tr>
    </w:tbl>
    <w:p w:rsidR="00CD0D5E" w:rsidRPr="008A2619" w:rsidRDefault="00CD0D5E" w:rsidP="00CD0D5E">
      <w:pPr>
        <w:rPr>
          <w:b/>
        </w:rPr>
      </w:pPr>
    </w:p>
    <w:p w:rsidR="00AC499C" w:rsidRDefault="00AC499C" w:rsidP="00AC499C"/>
    <w:p w:rsidR="00DC4929" w:rsidRPr="00E95FB1" w:rsidRDefault="00DC4929" w:rsidP="00DC4929"/>
    <w:p w:rsidR="00DC4929" w:rsidRPr="00E95FB1" w:rsidRDefault="00DC4929" w:rsidP="00DC4929"/>
    <w:p w:rsidR="00DC4929" w:rsidRPr="00E95FB1" w:rsidRDefault="00DC4929" w:rsidP="00AC499C">
      <w:pPr>
        <w:pStyle w:val="1"/>
      </w:pPr>
      <w:bookmarkStart w:id="45" w:name="_Toc143012478"/>
      <w:r w:rsidRPr="00E95FB1">
        <w:t xml:space="preserve">Перелік </w:t>
      </w:r>
      <w:proofErr w:type="spellStart"/>
      <w:r w:rsidRPr="00E95FB1">
        <w:t>про</w:t>
      </w:r>
      <w:r w:rsidR="00E468AD">
        <w:t>є</w:t>
      </w:r>
      <w:r w:rsidRPr="00E95FB1">
        <w:t>ктів</w:t>
      </w:r>
      <w:proofErr w:type="spellEnd"/>
      <w:r w:rsidRPr="00E95FB1">
        <w:t xml:space="preserve"> регіонального (місцевого) розвитку</w:t>
      </w:r>
      <w:bookmarkEnd w:id="45"/>
    </w:p>
    <w:p w:rsidR="00DC4929" w:rsidRPr="00E95FB1" w:rsidRDefault="00DC4929" w:rsidP="00DC4929"/>
    <w:p w:rsidR="00DC4929" w:rsidRPr="00E95FB1" w:rsidRDefault="00DC4929" w:rsidP="00DC4929">
      <w:pPr>
        <w:jc w:val="center"/>
        <w:sectPr w:rsidR="00DC4929" w:rsidRPr="00E95FB1" w:rsidSect="00DA3767">
          <w:headerReference w:type="default" r:id="rId67"/>
          <w:footerReference w:type="default" r:id="rId68"/>
          <w:headerReference w:type="first" r:id="rId69"/>
          <w:footerReference w:type="first" r:id="rId70"/>
          <w:pgSz w:w="11906" w:h="16838"/>
          <w:pgMar w:top="1134" w:right="707" w:bottom="906" w:left="1701" w:header="284" w:footer="789" w:gutter="0"/>
          <w:cols w:space="720"/>
          <w:titlePg/>
          <w:docGrid w:linePitch="360"/>
        </w:sectPr>
      </w:pPr>
    </w:p>
    <w:p w:rsidR="00DC4929" w:rsidRPr="00E95FB1" w:rsidRDefault="00DC4929" w:rsidP="00DC4929">
      <w:pPr>
        <w:jc w:val="center"/>
        <w:rPr>
          <w:b/>
          <w:sz w:val="24"/>
        </w:rPr>
      </w:pPr>
      <w:r w:rsidRPr="00E95FB1">
        <w:rPr>
          <w:b/>
          <w:sz w:val="24"/>
        </w:rPr>
        <w:lastRenderedPageBreak/>
        <w:t xml:space="preserve">Перелік </w:t>
      </w:r>
      <w:proofErr w:type="spellStart"/>
      <w:r w:rsidRPr="00E95FB1">
        <w:rPr>
          <w:b/>
          <w:sz w:val="24"/>
        </w:rPr>
        <w:t>про</w:t>
      </w:r>
      <w:r w:rsidR="00E468AD">
        <w:rPr>
          <w:b/>
          <w:sz w:val="24"/>
        </w:rPr>
        <w:t>є</w:t>
      </w:r>
      <w:r w:rsidRPr="00E95FB1">
        <w:rPr>
          <w:b/>
          <w:sz w:val="24"/>
        </w:rPr>
        <w:t>ктів</w:t>
      </w:r>
      <w:proofErr w:type="spellEnd"/>
      <w:r w:rsidRPr="00E95FB1">
        <w:rPr>
          <w:b/>
          <w:sz w:val="24"/>
        </w:rPr>
        <w:t xml:space="preserve"> регіонального (місцевого) розвитку Сєвєродонецької </w:t>
      </w:r>
      <w:r w:rsidR="003C5F58">
        <w:rPr>
          <w:b/>
          <w:sz w:val="24"/>
        </w:rPr>
        <w:t xml:space="preserve">міської </w:t>
      </w:r>
      <w:r w:rsidRPr="00E95FB1">
        <w:rPr>
          <w:b/>
          <w:sz w:val="24"/>
        </w:rPr>
        <w:t xml:space="preserve">територіальної громади  </w:t>
      </w:r>
    </w:p>
    <w:p w:rsidR="00DA3767" w:rsidRPr="00E95FB1" w:rsidRDefault="00DA3767" w:rsidP="00DC4929">
      <w:pPr>
        <w:jc w:val="center"/>
        <w:rPr>
          <w:b/>
          <w:sz w:val="24"/>
        </w:rPr>
      </w:pPr>
    </w:p>
    <w:tbl>
      <w:tblPr>
        <w:tblW w:w="14580" w:type="dxa"/>
        <w:tblInd w:w="93" w:type="dxa"/>
        <w:tblLayout w:type="fixed"/>
        <w:tblLook w:val="04A0" w:firstRow="1" w:lastRow="0" w:firstColumn="1" w:lastColumn="0" w:noHBand="0" w:noVBand="1"/>
      </w:tblPr>
      <w:tblGrid>
        <w:gridCol w:w="486"/>
        <w:gridCol w:w="3049"/>
        <w:gridCol w:w="1736"/>
        <w:gridCol w:w="1252"/>
        <w:gridCol w:w="1035"/>
        <w:gridCol w:w="1104"/>
        <w:gridCol w:w="1134"/>
        <w:gridCol w:w="992"/>
        <w:gridCol w:w="1128"/>
        <w:gridCol w:w="1424"/>
        <w:gridCol w:w="76"/>
        <w:gridCol w:w="1164"/>
      </w:tblGrid>
      <w:tr w:rsidR="00E95FB1" w:rsidRPr="00E95FB1" w:rsidTr="001B3967">
        <w:trPr>
          <w:trHeight w:val="885"/>
        </w:trPr>
        <w:tc>
          <w:tcPr>
            <w:tcW w:w="4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20"/>
                <w:szCs w:val="20"/>
                <w:lang w:eastAsia="uk-UA"/>
              </w:rPr>
            </w:pPr>
            <w:bookmarkStart w:id="46" w:name="OLE_LINK3"/>
            <w:r w:rsidRPr="00E95FB1">
              <w:rPr>
                <w:color w:val="000000"/>
                <w:sz w:val="20"/>
                <w:szCs w:val="20"/>
                <w:lang w:eastAsia="uk-UA"/>
              </w:rPr>
              <w:t>№ п/п</w:t>
            </w:r>
          </w:p>
        </w:tc>
        <w:tc>
          <w:tcPr>
            <w:tcW w:w="30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20"/>
                <w:szCs w:val="20"/>
                <w:lang w:eastAsia="uk-UA"/>
              </w:rPr>
            </w:pPr>
            <w:r w:rsidRPr="00E95FB1">
              <w:rPr>
                <w:color w:val="000000"/>
                <w:sz w:val="20"/>
                <w:szCs w:val="20"/>
                <w:lang w:eastAsia="uk-UA"/>
              </w:rPr>
              <w:t>Назва проекту регіонального (місцевого) розвитку  (із зазначенням повної адреси: район, громада, населений пункт,  вулиця, будинок)</w:t>
            </w:r>
          </w:p>
        </w:tc>
        <w:tc>
          <w:tcPr>
            <w:tcW w:w="17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20"/>
                <w:szCs w:val="20"/>
                <w:lang w:eastAsia="uk-UA"/>
              </w:rPr>
            </w:pPr>
            <w:r w:rsidRPr="00E95FB1">
              <w:rPr>
                <w:color w:val="000000"/>
                <w:sz w:val="20"/>
                <w:szCs w:val="20"/>
                <w:lang w:eastAsia="uk-UA"/>
              </w:rPr>
              <w:t>Територія, на яку матиме вплив реалізація проекту</w:t>
            </w:r>
          </w:p>
        </w:tc>
        <w:tc>
          <w:tcPr>
            <w:tcW w:w="12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20"/>
                <w:szCs w:val="20"/>
                <w:lang w:eastAsia="uk-UA"/>
              </w:rPr>
            </w:pPr>
            <w:r w:rsidRPr="00E95FB1">
              <w:rPr>
                <w:color w:val="000000"/>
                <w:sz w:val="20"/>
                <w:szCs w:val="20"/>
                <w:lang w:eastAsia="uk-UA"/>
              </w:rPr>
              <w:t>Чисельність населення на яке матиме вплив реалізація проекту, осіб</w:t>
            </w:r>
          </w:p>
        </w:tc>
        <w:tc>
          <w:tcPr>
            <w:tcW w:w="10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20"/>
                <w:szCs w:val="20"/>
                <w:lang w:eastAsia="uk-UA"/>
              </w:rPr>
            </w:pPr>
            <w:r w:rsidRPr="00E95FB1">
              <w:rPr>
                <w:color w:val="000000"/>
                <w:sz w:val="20"/>
                <w:szCs w:val="20"/>
                <w:lang w:eastAsia="uk-UA"/>
              </w:rPr>
              <w:t>Початок реалізації проекту (рік)</w:t>
            </w:r>
          </w:p>
        </w:tc>
        <w:tc>
          <w:tcPr>
            <w:tcW w:w="11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20"/>
                <w:szCs w:val="20"/>
                <w:lang w:eastAsia="uk-UA"/>
              </w:rPr>
            </w:pPr>
            <w:r w:rsidRPr="00E95FB1">
              <w:rPr>
                <w:color w:val="000000"/>
                <w:sz w:val="20"/>
                <w:szCs w:val="20"/>
                <w:lang w:eastAsia="uk-UA"/>
              </w:rPr>
              <w:t>Завершення реалізації проекту (рік)</w:t>
            </w:r>
          </w:p>
        </w:tc>
        <w:tc>
          <w:tcPr>
            <w:tcW w:w="5918" w:type="dxa"/>
            <w:gridSpan w:val="6"/>
            <w:tcBorders>
              <w:top w:val="single" w:sz="4" w:space="0" w:color="auto"/>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20"/>
                <w:szCs w:val="20"/>
                <w:lang w:eastAsia="uk-UA"/>
              </w:rPr>
            </w:pPr>
            <w:r w:rsidRPr="00E95FB1">
              <w:rPr>
                <w:color w:val="000000"/>
                <w:sz w:val="20"/>
                <w:szCs w:val="20"/>
                <w:lang w:eastAsia="uk-UA"/>
              </w:rPr>
              <w:t>Орієнтовний обсяг та джерела фінансування  тис. гривень</w:t>
            </w:r>
          </w:p>
        </w:tc>
      </w:tr>
      <w:tr w:rsidR="00E95FB1" w:rsidRPr="00E95FB1" w:rsidTr="001B3967">
        <w:trPr>
          <w:trHeight w:val="375"/>
        </w:trPr>
        <w:tc>
          <w:tcPr>
            <w:tcW w:w="486" w:type="dxa"/>
            <w:vMerge/>
            <w:tcBorders>
              <w:top w:val="single" w:sz="4" w:space="0" w:color="auto"/>
              <w:left w:val="single" w:sz="4" w:space="0" w:color="auto"/>
              <w:bottom w:val="single" w:sz="4" w:space="0" w:color="auto"/>
              <w:right w:val="single" w:sz="4" w:space="0" w:color="auto"/>
            </w:tcBorders>
            <w:vAlign w:val="center"/>
            <w:hideMark/>
          </w:tcPr>
          <w:p w:rsidR="00E95FB1" w:rsidRPr="00E95FB1" w:rsidRDefault="00E95FB1" w:rsidP="001B3967">
            <w:pPr>
              <w:jc w:val="center"/>
              <w:rPr>
                <w:color w:val="000000"/>
                <w:sz w:val="20"/>
                <w:szCs w:val="20"/>
                <w:lang w:eastAsia="uk-UA"/>
              </w:rPr>
            </w:pPr>
          </w:p>
        </w:tc>
        <w:tc>
          <w:tcPr>
            <w:tcW w:w="3049" w:type="dxa"/>
            <w:vMerge/>
            <w:tcBorders>
              <w:top w:val="single" w:sz="4" w:space="0" w:color="auto"/>
              <w:left w:val="single" w:sz="4" w:space="0" w:color="auto"/>
              <w:bottom w:val="single" w:sz="4" w:space="0" w:color="auto"/>
              <w:right w:val="single" w:sz="4" w:space="0" w:color="auto"/>
            </w:tcBorders>
            <w:vAlign w:val="center"/>
            <w:hideMark/>
          </w:tcPr>
          <w:p w:rsidR="00E95FB1" w:rsidRPr="00E95FB1" w:rsidRDefault="00E95FB1" w:rsidP="001B3967">
            <w:pPr>
              <w:jc w:val="center"/>
              <w:rPr>
                <w:color w:val="000000"/>
                <w:sz w:val="20"/>
                <w:szCs w:val="20"/>
                <w:lang w:eastAsia="uk-UA"/>
              </w:rPr>
            </w:pPr>
          </w:p>
        </w:tc>
        <w:tc>
          <w:tcPr>
            <w:tcW w:w="1736" w:type="dxa"/>
            <w:vMerge/>
            <w:tcBorders>
              <w:top w:val="single" w:sz="4" w:space="0" w:color="auto"/>
              <w:left w:val="single" w:sz="4" w:space="0" w:color="auto"/>
              <w:bottom w:val="single" w:sz="4" w:space="0" w:color="auto"/>
              <w:right w:val="single" w:sz="4" w:space="0" w:color="auto"/>
            </w:tcBorders>
            <w:vAlign w:val="center"/>
            <w:hideMark/>
          </w:tcPr>
          <w:p w:rsidR="00E95FB1" w:rsidRPr="00E95FB1" w:rsidRDefault="00E95FB1" w:rsidP="001B3967">
            <w:pPr>
              <w:jc w:val="center"/>
              <w:rPr>
                <w:color w:val="000000"/>
                <w:sz w:val="20"/>
                <w:szCs w:val="20"/>
                <w:lang w:eastAsia="uk-UA"/>
              </w:rPr>
            </w:pPr>
          </w:p>
        </w:tc>
        <w:tc>
          <w:tcPr>
            <w:tcW w:w="1252" w:type="dxa"/>
            <w:vMerge/>
            <w:tcBorders>
              <w:top w:val="single" w:sz="4" w:space="0" w:color="auto"/>
              <w:left w:val="single" w:sz="4" w:space="0" w:color="auto"/>
              <w:bottom w:val="single" w:sz="4" w:space="0" w:color="auto"/>
              <w:right w:val="single" w:sz="4" w:space="0" w:color="auto"/>
            </w:tcBorders>
            <w:vAlign w:val="center"/>
            <w:hideMark/>
          </w:tcPr>
          <w:p w:rsidR="00E95FB1" w:rsidRPr="00E95FB1" w:rsidRDefault="00E95FB1" w:rsidP="001B3967">
            <w:pPr>
              <w:jc w:val="center"/>
              <w:rPr>
                <w:color w:val="000000"/>
                <w:sz w:val="20"/>
                <w:szCs w:val="20"/>
                <w:lang w:eastAsia="uk-UA"/>
              </w:rPr>
            </w:pPr>
          </w:p>
        </w:tc>
        <w:tc>
          <w:tcPr>
            <w:tcW w:w="1035" w:type="dxa"/>
            <w:vMerge/>
            <w:tcBorders>
              <w:top w:val="single" w:sz="4" w:space="0" w:color="auto"/>
              <w:left w:val="single" w:sz="4" w:space="0" w:color="auto"/>
              <w:bottom w:val="single" w:sz="4" w:space="0" w:color="auto"/>
              <w:right w:val="single" w:sz="4" w:space="0" w:color="auto"/>
            </w:tcBorders>
            <w:vAlign w:val="center"/>
            <w:hideMark/>
          </w:tcPr>
          <w:p w:rsidR="00E95FB1" w:rsidRPr="00E95FB1" w:rsidRDefault="00E95FB1" w:rsidP="001B3967">
            <w:pPr>
              <w:jc w:val="center"/>
              <w:rPr>
                <w:color w:val="000000"/>
                <w:sz w:val="20"/>
                <w:szCs w:val="20"/>
                <w:lang w:eastAsia="uk-UA"/>
              </w:rPr>
            </w:pPr>
          </w:p>
        </w:tc>
        <w:tc>
          <w:tcPr>
            <w:tcW w:w="1104" w:type="dxa"/>
            <w:vMerge/>
            <w:tcBorders>
              <w:top w:val="single" w:sz="4" w:space="0" w:color="auto"/>
              <w:left w:val="single" w:sz="4" w:space="0" w:color="auto"/>
              <w:bottom w:val="single" w:sz="4" w:space="0" w:color="auto"/>
              <w:right w:val="single" w:sz="4" w:space="0" w:color="auto"/>
            </w:tcBorders>
            <w:vAlign w:val="center"/>
            <w:hideMark/>
          </w:tcPr>
          <w:p w:rsidR="00E95FB1" w:rsidRPr="00E95FB1" w:rsidRDefault="00E95FB1" w:rsidP="001B3967">
            <w:pPr>
              <w:jc w:val="center"/>
              <w:rPr>
                <w:color w:val="000000"/>
                <w:sz w:val="20"/>
                <w:szCs w:val="20"/>
                <w:lang w:eastAsia="uk-UA"/>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20"/>
                <w:szCs w:val="20"/>
                <w:lang w:eastAsia="uk-UA"/>
              </w:rPr>
            </w:pPr>
            <w:r w:rsidRPr="00E95FB1">
              <w:rPr>
                <w:color w:val="000000"/>
                <w:sz w:val="20"/>
                <w:szCs w:val="20"/>
                <w:lang w:eastAsia="uk-UA"/>
              </w:rPr>
              <w:t>Державний бюджет</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20"/>
                <w:szCs w:val="20"/>
                <w:lang w:eastAsia="uk-UA"/>
              </w:rPr>
            </w:pPr>
            <w:r w:rsidRPr="00E95FB1">
              <w:rPr>
                <w:color w:val="000000"/>
                <w:sz w:val="20"/>
                <w:szCs w:val="20"/>
                <w:lang w:eastAsia="uk-UA"/>
              </w:rPr>
              <w:t>Місцевий бюджет</w:t>
            </w:r>
          </w:p>
        </w:tc>
        <w:tc>
          <w:tcPr>
            <w:tcW w:w="2628" w:type="dxa"/>
            <w:gridSpan w:val="3"/>
            <w:tcBorders>
              <w:top w:val="single" w:sz="4" w:space="0" w:color="auto"/>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20"/>
                <w:szCs w:val="20"/>
                <w:lang w:eastAsia="uk-UA"/>
              </w:rPr>
            </w:pPr>
            <w:r w:rsidRPr="00E95FB1">
              <w:rPr>
                <w:color w:val="000000"/>
                <w:sz w:val="20"/>
                <w:szCs w:val="20"/>
                <w:lang w:eastAsia="uk-UA"/>
              </w:rPr>
              <w:t>інші джерела</w:t>
            </w:r>
          </w:p>
        </w:tc>
        <w:tc>
          <w:tcPr>
            <w:tcW w:w="1164" w:type="dxa"/>
            <w:vMerge w:val="restart"/>
            <w:tcBorders>
              <w:top w:val="nil"/>
              <w:left w:val="single" w:sz="4" w:space="0" w:color="auto"/>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20"/>
                <w:szCs w:val="20"/>
                <w:lang w:eastAsia="uk-UA"/>
              </w:rPr>
            </w:pPr>
            <w:r w:rsidRPr="00E95FB1">
              <w:rPr>
                <w:color w:val="000000"/>
                <w:sz w:val="20"/>
                <w:szCs w:val="20"/>
                <w:lang w:eastAsia="uk-UA"/>
              </w:rPr>
              <w:t>Всього</w:t>
            </w:r>
          </w:p>
        </w:tc>
      </w:tr>
      <w:tr w:rsidR="00E95FB1" w:rsidRPr="00E95FB1" w:rsidTr="001B3967">
        <w:trPr>
          <w:trHeight w:val="450"/>
        </w:trPr>
        <w:tc>
          <w:tcPr>
            <w:tcW w:w="486" w:type="dxa"/>
            <w:vMerge/>
            <w:tcBorders>
              <w:top w:val="single" w:sz="4" w:space="0" w:color="auto"/>
              <w:left w:val="single" w:sz="4" w:space="0" w:color="auto"/>
              <w:bottom w:val="single" w:sz="4" w:space="0" w:color="auto"/>
              <w:right w:val="single" w:sz="4" w:space="0" w:color="auto"/>
            </w:tcBorders>
            <w:vAlign w:val="center"/>
            <w:hideMark/>
          </w:tcPr>
          <w:p w:rsidR="00E95FB1" w:rsidRPr="00E95FB1" w:rsidRDefault="00E95FB1" w:rsidP="001B3967">
            <w:pPr>
              <w:jc w:val="center"/>
              <w:rPr>
                <w:color w:val="000000"/>
                <w:sz w:val="20"/>
                <w:szCs w:val="20"/>
                <w:lang w:eastAsia="uk-UA"/>
              </w:rPr>
            </w:pPr>
          </w:p>
        </w:tc>
        <w:tc>
          <w:tcPr>
            <w:tcW w:w="3049" w:type="dxa"/>
            <w:vMerge/>
            <w:tcBorders>
              <w:top w:val="single" w:sz="4" w:space="0" w:color="auto"/>
              <w:left w:val="single" w:sz="4" w:space="0" w:color="auto"/>
              <w:bottom w:val="single" w:sz="4" w:space="0" w:color="auto"/>
              <w:right w:val="single" w:sz="4" w:space="0" w:color="auto"/>
            </w:tcBorders>
            <w:vAlign w:val="center"/>
            <w:hideMark/>
          </w:tcPr>
          <w:p w:rsidR="00E95FB1" w:rsidRPr="00E95FB1" w:rsidRDefault="00E95FB1" w:rsidP="001B3967">
            <w:pPr>
              <w:jc w:val="center"/>
              <w:rPr>
                <w:color w:val="000000"/>
                <w:sz w:val="20"/>
                <w:szCs w:val="20"/>
                <w:lang w:eastAsia="uk-UA"/>
              </w:rPr>
            </w:pPr>
          </w:p>
        </w:tc>
        <w:tc>
          <w:tcPr>
            <w:tcW w:w="1736" w:type="dxa"/>
            <w:vMerge/>
            <w:tcBorders>
              <w:top w:val="single" w:sz="4" w:space="0" w:color="auto"/>
              <w:left w:val="single" w:sz="4" w:space="0" w:color="auto"/>
              <w:bottom w:val="single" w:sz="4" w:space="0" w:color="auto"/>
              <w:right w:val="single" w:sz="4" w:space="0" w:color="auto"/>
            </w:tcBorders>
            <w:vAlign w:val="center"/>
            <w:hideMark/>
          </w:tcPr>
          <w:p w:rsidR="00E95FB1" w:rsidRPr="00E95FB1" w:rsidRDefault="00E95FB1" w:rsidP="001B3967">
            <w:pPr>
              <w:jc w:val="center"/>
              <w:rPr>
                <w:color w:val="000000"/>
                <w:sz w:val="20"/>
                <w:szCs w:val="20"/>
                <w:lang w:eastAsia="uk-UA"/>
              </w:rPr>
            </w:pPr>
          </w:p>
        </w:tc>
        <w:tc>
          <w:tcPr>
            <w:tcW w:w="1252" w:type="dxa"/>
            <w:vMerge/>
            <w:tcBorders>
              <w:top w:val="single" w:sz="4" w:space="0" w:color="auto"/>
              <w:left w:val="single" w:sz="4" w:space="0" w:color="auto"/>
              <w:bottom w:val="single" w:sz="4" w:space="0" w:color="auto"/>
              <w:right w:val="single" w:sz="4" w:space="0" w:color="auto"/>
            </w:tcBorders>
            <w:vAlign w:val="center"/>
            <w:hideMark/>
          </w:tcPr>
          <w:p w:rsidR="00E95FB1" w:rsidRPr="00E95FB1" w:rsidRDefault="00E95FB1" w:rsidP="001B3967">
            <w:pPr>
              <w:jc w:val="center"/>
              <w:rPr>
                <w:color w:val="000000"/>
                <w:sz w:val="20"/>
                <w:szCs w:val="20"/>
                <w:lang w:eastAsia="uk-UA"/>
              </w:rPr>
            </w:pPr>
          </w:p>
        </w:tc>
        <w:tc>
          <w:tcPr>
            <w:tcW w:w="1035" w:type="dxa"/>
            <w:vMerge/>
            <w:tcBorders>
              <w:top w:val="single" w:sz="4" w:space="0" w:color="auto"/>
              <w:left w:val="single" w:sz="4" w:space="0" w:color="auto"/>
              <w:bottom w:val="single" w:sz="4" w:space="0" w:color="auto"/>
              <w:right w:val="single" w:sz="4" w:space="0" w:color="auto"/>
            </w:tcBorders>
            <w:vAlign w:val="center"/>
            <w:hideMark/>
          </w:tcPr>
          <w:p w:rsidR="00E95FB1" w:rsidRPr="00E95FB1" w:rsidRDefault="00E95FB1" w:rsidP="001B3967">
            <w:pPr>
              <w:jc w:val="center"/>
              <w:rPr>
                <w:color w:val="000000"/>
                <w:sz w:val="20"/>
                <w:szCs w:val="20"/>
                <w:lang w:eastAsia="uk-UA"/>
              </w:rPr>
            </w:pPr>
          </w:p>
        </w:tc>
        <w:tc>
          <w:tcPr>
            <w:tcW w:w="1104" w:type="dxa"/>
            <w:vMerge/>
            <w:tcBorders>
              <w:top w:val="single" w:sz="4" w:space="0" w:color="auto"/>
              <w:left w:val="single" w:sz="4" w:space="0" w:color="auto"/>
              <w:bottom w:val="single" w:sz="4" w:space="0" w:color="auto"/>
              <w:right w:val="single" w:sz="4" w:space="0" w:color="auto"/>
            </w:tcBorders>
            <w:vAlign w:val="center"/>
            <w:hideMark/>
          </w:tcPr>
          <w:p w:rsidR="00E95FB1" w:rsidRPr="00E95FB1" w:rsidRDefault="00E95FB1" w:rsidP="001B3967">
            <w:pPr>
              <w:jc w:val="center"/>
              <w:rPr>
                <w:color w:val="000000"/>
                <w:sz w:val="20"/>
                <w:szCs w:val="20"/>
                <w:lang w:eastAsia="uk-UA"/>
              </w:rPr>
            </w:pPr>
          </w:p>
        </w:tc>
        <w:tc>
          <w:tcPr>
            <w:tcW w:w="1134" w:type="dxa"/>
            <w:vMerge/>
            <w:tcBorders>
              <w:top w:val="nil"/>
              <w:left w:val="single" w:sz="4" w:space="0" w:color="auto"/>
              <w:bottom w:val="single" w:sz="4" w:space="0" w:color="auto"/>
              <w:right w:val="single" w:sz="4" w:space="0" w:color="auto"/>
            </w:tcBorders>
            <w:vAlign w:val="center"/>
            <w:hideMark/>
          </w:tcPr>
          <w:p w:rsidR="00E95FB1" w:rsidRPr="00E95FB1" w:rsidRDefault="00E95FB1" w:rsidP="001B3967">
            <w:pPr>
              <w:jc w:val="center"/>
              <w:rPr>
                <w:color w:val="000000"/>
                <w:sz w:val="20"/>
                <w:szCs w:val="20"/>
                <w:lang w:eastAsia="uk-UA"/>
              </w:rPr>
            </w:pPr>
          </w:p>
        </w:tc>
        <w:tc>
          <w:tcPr>
            <w:tcW w:w="992" w:type="dxa"/>
            <w:vMerge/>
            <w:tcBorders>
              <w:top w:val="nil"/>
              <w:left w:val="single" w:sz="4" w:space="0" w:color="auto"/>
              <w:bottom w:val="single" w:sz="4" w:space="0" w:color="auto"/>
              <w:right w:val="single" w:sz="4" w:space="0" w:color="auto"/>
            </w:tcBorders>
            <w:vAlign w:val="center"/>
            <w:hideMark/>
          </w:tcPr>
          <w:p w:rsidR="00E95FB1" w:rsidRPr="00E95FB1" w:rsidRDefault="00E95FB1" w:rsidP="001B3967">
            <w:pPr>
              <w:jc w:val="center"/>
              <w:rPr>
                <w:color w:val="000000"/>
                <w:sz w:val="20"/>
                <w:szCs w:val="20"/>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20"/>
                <w:szCs w:val="20"/>
                <w:lang w:eastAsia="uk-UA"/>
              </w:rPr>
            </w:pPr>
            <w:r w:rsidRPr="00E95FB1">
              <w:rPr>
                <w:color w:val="000000"/>
                <w:sz w:val="20"/>
                <w:szCs w:val="20"/>
                <w:lang w:eastAsia="uk-UA"/>
              </w:rPr>
              <w:t>Обсяг</w:t>
            </w:r>
          </w:p>
        </w:tc>
        <w:tc>
          <w:tcPr>
            <w:tcW w:w="1500" w:type="dxa"/>
            <w:gridSpan w:val="2"/>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20"/>
                <w:szCs w:val="20"/>
                <w:lang w:eastAsia="uk-UA"/>
              </w:rPr>
            </w:pPr>
            <w:r w:rsidRPr="00E95FB1">
              <w:rPr>
                <w:color w:val="000000"/>
                <w:sz w:val="20"/>
                <w:szCs w:val="20"/>
                <w:lang w:eastAsia="uk-UA"/>
              </w:rPr>
              <w:t>Назва джерела</w:t>
            </w:r>
          </w:p>
        </w:tc>
        <w:tc>
          <w:tcPr>
            <w:tcW w:w="1164" w:type="dxa"/>
            <w:vMerge/>
            <w:tcBorders>
              <w:top w:val="nil"/>
              <w:left w:val="single" w:sz="4" w:space="0" w:color="auto"/>
              <w:bottom w:val="single" w:sz="4" w:space="0" w:color="auto"/>
              <w:right w:val="single" w:sz="4" w:space="0" w:color="auto"/>
            </w:tcBorders>
            <w:vAlign w:val="center"/>
            <w:hideMark/>
          </w:tcPr>
          <w:p w:rsidR="00E95FB1" w:rsidRPr="00E95FB1" w:rsidRDefault="00E95FB1" w:rsidP="001B3967">
            <w:pPr>
              <w:jc w:val="center"/>
              <w:rPr>
                <w:color w:val="000000"/>
                <w:sz w:val="20"/>
                <w:szCs w:val="20"/>
                <w:lang w:eastAsia="uk-UA"/>
              </w:rPr>
            </w:pPr>
          </w:p>
        </w:tc>
      </w:tr>
      <w:tr w:rsidR="00E95FB1" w:rsidRPr="00E95FB1" w:rsidTr="001B3967">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20"/>
                <w:szCs w:val="20"/>
                <w:lang w:eastAsia="uk-UA"/>
              </w:rPr>
            </w:pPr>
            <w:r w:rsidRPr="00E95FB1">
              <w:rPr>
                <w:color w:val="000000"/>
                <w:sz w:val="20"/>
                <w:szCs w:val="20"/>
                <w:lang w:eastAsia="uk-UA"/>
              </w:rPr>
              <w:t>1</w:t>
            </w:r>
          </w:p>
        </w:tc>
        <w:tc>
          <w:tcPr>
            <w:tcW w:w="3049"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20"/>
                <w:szCs w:val="20"/>
                <w:lang w:eastAsia="uk-UA"/>
              </w:rPr>
            </w:pPr>
            <w:r w:rsidRPr="00E95FB1">
              <w:rPr>
                <w:color w:val="000000"/>
                <w:sz w:val="20"/>
                <w:szCs w:val="20"/>
                <w:lang w:eastAsia="uk-UA"/>
              </w:rPr>
              <w:t>2</w:t>
            </w:r>
          </w:p>
        </w:tc>
        <w:tc>
          <w:tcPr>
            <w:tcW w:w="1736"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20"/>
                <w:szCs w:val="20"/>
                <w:lang w:eastAsia="uk-UA"/>
              </w:rPr>
            </w:pPr>
            <w:r w:rsidRPr="00E95FB1">
              <w:rPr>
                <w:color w:val="000000"/>
                <w:sz w:val="20"/>
                <w:szCs w:val="20"/>
                <w:lang w:eastAsia="uk-UA"/>
              </w:rPr>
              <w:t>3</w:t>
            </w:r>
          </w:p>
        </w:tc>
        <w:tc>
          <w:tcPr>
            <w:tcW w:w="1252"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20"/>
                <w:szCs w:val="20"/>
                <w:lang w:eastAsia="uk-UA"/>
              </w:rPr>
            </w:pPr>
            <w:r w:rsidRPr="00E95FB1">
              <w:rPr>
                <w:color w:val="000000"/>
                <w:sz w:val="20"/>
                <w:szCs w:val="20"/>
                <w:lang w:eastAsia="uk-UA"/>
              </w:rPr>
              <w:t>4</w:t>
            </w:r>
          </w:p>
        </w:tc>
        <w:tc>
          <w:tcPr>
            <w:tcW w:w="1035"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20"/>
                <w:szCs w:val="20"/>
                <w:lang w:eastAsia="uk-UA"/>
              </w:rPr>
            </w:pPr>
            <w:r w:rsidRPr="00E95FB1">
              <w:rPr>
                <w:color w:val="000000"/>
                <w:sz w:val="20"/>
                <w:szCs w:val="20"/>
                <w:lang w:eastAsia="uk-UA"/>
              </w:rPr>
              <w:t>5</w:t>
            </w:r>
          </w:p>
        </w:tc>
        <w:tc>
          <w:tcPr>
            <w:tcW w:w="1104"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20"/>
                <w:szCs w:val="20"/>
                <w:lang w:eastAsia="uk-UA"/>
              </w:rPr>
            </w:pPr>
            <w:r w:rsidRPr="00E95FB1">
              <w:rPr>
                <w:color w:val="000000"/>
                <w:sz w:val="20"/>
                <w:szCs w:val="20"/>
                <w:lang w:eastAsia="uk-UA"/>
              </w:rPr>
              <w:t>6</w:t>
            </w:r>
          </w:p>
        </w:tc>
        <w:tc>
          <w:tcPr>
            <w:tcW w:w="1134"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20"/>
                <w:szCs w:val="20"/>
                <w:lang w:eastAsia="uk-UA"/>
              </w:rPr>
            </w:pPr>
            <w:r w:rsidRPr="00E95FB1">
              <w:rPr>
                <w:color w:val="000000"/>
                <w:sz w:val="20"/>
                <w:szCs w:val="20"/>
                <w:lang w:eastAsia="uk-UA"/>
              </w:rPr>
              <w:t>7</w:t>
            </w:r>
          </w:p>
        </w:tc>
        <w:tc>
          <w:tcPr>
            <w:tcW w:w="992"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20"/>
                <w:szCs w:val="20"/>
                <w:lang w:eastAsia="uk-UA"/>
              </w:rPr>
            </w:pPr>
            <w:r w:rsidRPr="00E95FB1">
              <w:rPr>
                <w:color w:val="000000"/>
                <w:sz w:val="20"/>
                <w:szCs w:val="20"/>
                <w:lang w:eastAsia="uk-UA"/>
              </w:rPr>
              <w:t>8</w:t>
            </w:r>
          </w:p>
        </w:tc>
        <w:tc>
          <w:tcPr>
            <w:tcW w:w="1128"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20"/>
                <w:szCs w:val="20"/>
                <w:lang w:eastAsia="uk-UA"/>
              </w:rPr>
            </w:pPr>
            <w:r w:rsidRPr="00E95FB1">
              <w:rPr>
                <w:color w:val="000000"/>
                <w:sz w:val="20"/>
                <w:szCs w:val="20"/>
                <w:lang w:eastAsia="uk-UA"/>
              </w:rPr>
              <w:t>9</w:t>
            </w:r>
          </w:p>
        </w:tc>
        <w:tc>
          <w:tcPr>
            <w:tcW w:w="1500" w:type="dxa"/>
            <w:gridSpan w:val="2"/>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20"/>
                <w:szCs w:val="20"/>
                <w:lang w:eastAsia="uk-UA"/>
              </w:rPr>
            </w:pPr>
            <w:r w:rsidRPr="00E95FB1">
              <w:rPr>
                <w:color w:val="000000"/>
                <w:sz w:val="20"/>
                <w:szCs w:val="20"/>
                <w:lang w:eastAsia="uk-UA"/>
              </w:rPr>
              <w:t>10</w:t>
            </w:r>
          </w:p>
        </w:tc>
        <w:tc>
          <w:tcPr>
            <w:tcW w:w="1164"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20"/>
                <w:szCs w:val="20"/>
                <w:lang w:eastAsia="uk-UA"/>
              </w:rPr>
            </w:pPr>
            <w:r w:rsidRPr="00E95FB1">
              <w:rPr>
                <w:color w:val="000000"/>
                <w:sz w:val="20"/>
                <w:szCs w:val="20"/>
                <w:lang w:eastAsia="uk-UA"/>
              </w:rPr>
              <w:t>11</w:t>
            </w:r>
          </w:p>
        </w:tc>
      </w:tr>
      <w:tr w:rsidR="00E95FB1" w:rsidRPr="00E95FB1" w:rsidTr="001B3967">
        <w:trPr>
          <w:trHeight w:val="375"/>
        </w:trPr>
        <w:tc>
          <w:tcPr>
            <w:tcW w:w="14580" w:type="dxa"/>
            <w:gridSpan w:val="12"/>
            <w:tcBorders>
              <w:top w:val="single" w:sz="4" w:space="0" w:color="auto"/>
              <w:left w:val="single" w:sz="4" w:space="0" w:color="auto"/>
              <w:bottom w:val="single" w:sz="4" w:space="0" w:color="auto"/>
              <w:right w:val="single" w:sz="4" w:space="0" w:color="auto"/>
            </w:tcBorders>
            <w:shd w:val="clear" w:color="000000" w:fill="B8CCE4"/>
            <w:hideMark/>
          </w:tcPr>
          <w:p w:rsidR="00E95FB1" w:rsidRPr="00E95FB1" w:rsidRDefault="00E95FB1" w:rsidP="001B3967">
            <w:pPr>
              <w:jc w:val="center"/>
              <w:rPr>
                <w:color w:val="000000"/>
                <w:sz w:val="24"/>
                <w:szCs w:val="24"/>
                <w:lang w:eastAsia="uk-UA"/>
              </w:rPr>
            </w:pPr>
            <w:r w:rsidRPr="00E95FB1">
              <w:rPr>
                <w:color w:val="000000"/>
                <w:sz w:val="24"/>
                <w:szCs w:val="24"/>
                <w:lang w:eastAsia="uk-UA"/>
              </w:rPr>
              <w:t>1.</w:t>
            </w:r>
            <w:r w:rsidRPr="00E95FB1">
              <w:rPr>
                <w:color w:val="000000"/>
                <w:sz w:val="14"/>
                <w:szCs w:val="14"/>
                <w:lang w:eastAsia="uk-UA"/>
              </w:rPr>
              <w:t xml:space="preserve">      </w:t>
            </w:r>
            <w:proofErr w:type="spellStart"/>
            <w:r w:rsidRPr="00E95FB1">
              <w:rPr>
                <w:b/>
                <w:bCs/>
                <w:color w:val="000000"/>
                <w:sz w:val="24"/>
                <w:szCs w:val="24"/>
                <w:lang w:eastAsia="uk-UA"/>
              </w:rPr>
              <w:t>Проєкти</w:t>
            </w:r>
            <w:proofErr w:type="spellEnd"/>
            <w:r w:rsidRPr="00E95FB1">
              <w:rPr>
                <w:b/>
                <w:bCs/>
                <w:color w:val="000000"/>
                <w:sz w:val="24"/>
                <w:szCs w:val="24"/>
                <w:lang w:eastAsia="uk-UA"/>
              </w:rPr>
              <w:t xml:space="preserve"> спрямовані на відновлення житлового фонду</w:t>
            </w:r>
          </w:p>
        </w:tc>
      </w:tr>
      <w:tr w:rsidR="00E95FB1" w:rsidRPr="00E95FB1" w:rsidTr="001B3967">
        <w:trPr>
          <w:trHeight w:val="375"/>
        </w:trPr>
        <w:tc>
          <w:tcPr>
            <w:tcW w:w="14580" w:type="dxa"/>
            <w:gridSpan w:val="12"/>
            <w:tcBorders>
              <w:top w:val="single" w:sz="4" w:space="0" w:color="auto"/>
              <w:left w:val="single" w:sz="4" w:space="0" w:color="auto"/>
              <w:bottom w:val="single" w:sz="4" w:space="0" w:color="auto"/>
              <w:right w:val="single" w:sz="4" w:space="0" w:color="auto"/>
            </w:tcBorders>
            <w:shd w:val="clear" w:color="auto" w:fill="auto"/>
            <w:hideMark/>
          </w:tcPr>
          <w:p w:rsidR="00E95FB1" w:rsidRPr="00E95FB1" w:rsidRDefault="00E95FB1" w:rsidP="001B3967">
            <w:pPr>
              <w:jc w:val="center"/>
              <w:rPr>
                <w:color w:val="000000"/>
                <w:sz w:val="24"/>
                <w:szCs w:val="24"/>
                <w:lang w:eastAsia="uk-UA"/>
              </w:rPr>
            </w:pPr>
            <w:r w:rsidRPr="00E95FB1">
              <w:rPr>
                <w:color w:val="000000"/>
                <w:sz w:val="24"/>
                <w:szCs w:val="24"/>
                <w:lang w:eastAsia="uk-UA"/>
              </w:rPr>
              <w:t>1.1. Багатоквартирні житлові будинки</w:t>
            </w:r>
          </w:p>
        </w:tc>
      </w:tr>
      <w:tr w:rsidR="00E95FB1" w:rsidRPr="00E95FB1" w:rsidTr="001B3967">
        <w:trPr>
          <w:trHeight w:val="375"/>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18"/>
                <w:szCs w:val="18"/>
                <w:lang w:eastAsia="uk-UA"/>
              </w:rPr>
            </w:pPr>
            <w:r w:rsidRPr="00E95FB1">
              <w:rPr>
                <w:color w:val="000000"/>
                <w:sz w:val="18"/>
                <w:szCs w:val="18"/>
                <w:lang w:eastAsia="uk-UA"/>
              </w:rPr>
              <w:t>1</w:t>
            </w:r>
          </w:p>
        </w:tc>
        <w:tc>
          <w:tcPr>
            <w:tcW w:w="3049" w:type="dxa"/>
            <w:tcBorders>
              <w:top w:val="single" w:sz="4" w:space="0" w:color="auto"/>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bCs/>
                <w:sz w:val="18"/>
                <w:szCs w:val="18"/>
              </w:rPr>
            </w:pPr>
            <w:r w:rsidRPr="00E95FB1">
              <w:rPr>
                <w:rFonts w:eastAsia="Arial"/>
                <w:sz w:val="18"/>
                <w:szCs w:val="18"/>
              </w:rPr>
              <w:t>Будівництво багатоквартирних житлових будинків у м. Сєвєродонецьк</w:t>
            </w:r>
          </w:p>
        </w:tc>
        <w:tc>
          <w:tcPr>
            <w:tcW w:w="1736"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bCs/>
                <w:sz w:val="18"/>
                <w:szCs w:val="18"/>
              </w:rPr>
            </w:pPr>
            <w:r w:rsidRPr="00E95FB1">
              <w:rPr>
                <w:rFonts w:eastAsia="Calibri"/>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bCs/>
                <w:sz w:val="18"/>
                <w:szCs w:val="18"/>
              </w:rPr>
            </w:pPr>
            <w:r w:rsidRPr="00E95FB1">
              <w:rPr>
                <w:rFonts w:eastAsia="Calibri"/>
                <w:sz w:val="18"/>
                <w:szCs w:val="18"/>
              </w:rPr>
              <w:t>105 000</w:t>
            </w:r>
          </w:p>
        </w:tc>
        <w:tc>
          <w:tcPr>
            <w:tcW w:w="1035"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95FB1" w:rsidRPr="00E95FB1" w:rsidRDefault="00E20212" w:rsidP="001B3967">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bCs/>
                <w:sz w:val="18"/>
                <w:szCs w:val="18"/>
              </w:rPr>
            </w:pPr>
            <w:r w:rsidRPr="00E95FB1">
              <w:rPr>
                <w:rFonts w:eastAsia="Calibri"/>
                <w:sz w:val="18"/>
                <w:szCs w:val="18"/>
              </w:rPr>
              <w:t>18 200 000,0</w:t>
            </w:r>
          </w:p>
        </w:tc>
        <w:tc>
          <w:tcPr>
            <w:tcW w:w="992"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pStyle w:val="a7"/>
              <w:ind w:left="0"/>
              <w:jc w:val="center"/>
              <w:rPr>
                <w:sz w:val="18"/>
                <w:szCs w:val="18"/>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pStyle w:val="a7"/>
              <w:ind w:left="0"/>
              <w:jc w:val="center"/>
              <w:rPr>
                <w:bCs/>
                <w:sz w:val="18"/>
                <w:szCs w:val="18"/>
              </w:rPr>
            </w:pPr>
          </w:p>
        </w:tc>
        <w:tc>
          <w:tcPr>
            <w:tcW w:w="1164"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sz w:val="18"/>
                <w:szCs w:val="18"/>
              </w:rPr>
            </w:pPr>
            <w:r w:rsidRPr="00E95FB1">
              <w:rPr>
                <w:rFonts w:eastAsia="Calibri"/>
                <w:sz w:val="18"/>
                <w:szCs w:val="18"/>
              </w:rPr>
              <w:t>18 200 000,0</w:t>
            </w:r>
          </w:p>
        </w:tc>
      </w:tr>
      <w:tr w:rsidR="00E95FB1" w:rsidRPr="00E95FB1" w:rsidTr="001B3967">
        <w:trPr>
          <w:trHeight w:val="37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95FB1" w:rsidRPr="00E95FB1" w:rsidRDefault="00E95FB1" w:rsidP="001B3967">
            <w:pPr>
              <w:jc w:val="center"/>
              <w:rPr>
                <w:color w:val="000000"/>
                <w:sz w:val="18"/>
                <w:szCs w:val="18"/>
                <w:lang w:eastAsia="uk-UA"/>
              </w:rPr>
            </w:pPr>
            <w:r w:rsidRPr="00E95FB1">
              <w:rPr>
                <w:color w:val="000000"/>
                <w:sz w:val="18"/>
                <w:szCs w:val="18"/>
                <w:lang w:eastAsia="uk-UA"/>
              </w:rPr>
              <w:t>2</w:t>
            </w:r>
          </w:p>
        </w:tc>
        <w:tc>
          <w:tcPr>
            <w:tcW w:w="3049" w:type="dxa"/>
            <w:tcBorders>
              <w:top w:val="single" w:sz="4" w:space="0" w:color="auto"/>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18"/>
                <w:szCs w:val="18"/>
                <w:lang w:eastAsia="uk-UA"/>
              </w:rPr>
            </w:pPr>
            <w:r w:rsidRPr="00E95FB1">
              <w:rPr>
                <w:bCs/>
                <w:sz w:val="18"/>
                <w:szCs w:val="18"/>
              </w:rPr>
              <w:t xml:space="preserve">Відновлення діяльності Об’єднань співвласників багатоквартирних будинків </w:t>
            </w:r>
            <w:proofErr w:type="spellStart"/>
            <w:r w:rsidRPr="00E95FB1">
              <w:rPr>
                <w:bCs/>
                <w:sz w:val="18"/>
                <w:szCs w:val="18"/>
              </w:rPr>
              <w:t>м.Сєвєродонецьк</w:t>
            </w:r>
            <w:proofErr w:type="spellEnd"/>
          </w:p>
        </w:tc>
        <w:tc>
          <w:tcPr>
            <w:tcW w:w="1736"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18"/>
                <w:szCs w:val="18"/>
                <w:lang w:eastAsia="uk-UA"/>
              </w:rPr>
            </w:pPr>
            <w:proofErr w:type="spellStart"/>
            <w:r w:rsidRPr="00E95FB1">
              <w:rPr>
                <w:bCs/>
                <w:sz w:val="18"/>
                <w:szCs w:val="18"/>
              </w:rPr>
              <w:t>м.Сєвєродонецьк</w:t>
            </w:r>
            <w:proofErr w:type="spellEnd"/>
            <w:r w:rsidRPr="00E95FB1">
              <w:rPr>
                <w:bCs/>
                <w:sz w:val="18"/>
                <w:szCs w:val="18"/>
              </w:rPr>
              <w:t>, 92 будинки не враховуючи АОСББ «Фаворит»</w:t>
            </w:r>
          </w:p>
        </w:tc>
        <w:tc>
          <w:tcPr>
            <w:tcW w:w="1252"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18"/>
                <w:szCs w:val="18"/>
                <w:lang w:eastAsia="uk-UA"/>
              </w:rPr>
            </w:pPr>
            <w:r w:rsidRPr="00E95FB1">
              <w:rPr>
                <w:bCs/>
                <w:sz w:val="18"/>
                <w:szCs w:val="18"/>
              </w:rPr>
              <w:t>25 000</w:t>
            </w:r>
          </w:p>
        </w:tc>
        <w:tc>
          <w:tcPr>
            <w:tcW w:w="1035"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95FB1" w:rsidRPr="00E95FB1" w:rsidRDefault="00E20212" w:rsidP="001B3967">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18"/>
                <w:szCs w:val="18"/>
                <w:lang w:eastAsia="uk-UA"/>
              </w:rPr>
            </w:pPr>
            <w:r w:rsidRPr="00E95FB1">
              <w:rPr>
                <w:bCs/>
                <w:sz w:val="18"/>
                <w:szCs w:val="18"/>
              </w:rPr>
              <w:t>629 074,6</w:t>
            </w:r>
          </w:p>
        </w:tc>
        <w:tc>
          <w:tcPr>
            <w:tcW w:w="992"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pStyle w:val="a7"/>
              <w:ind w:left="0"/>
              <w:jc w:val="center"/>
              <w:rPr>
                <w:sz w:val="18"/>
                <w:szCs w:val="18"/>
              </w:rPr>
            </w:pPr>
            <w:r w:rsidRPr="00E95FB1">
              <w:rPr>
                <w:sz w:val="18"/>
                <w:szCs w:val="18"/>
              </w:rPr>
              <w:t>269 603,4</w:t>
            </w:r>
          </w:p>
        </w:tc>
        <w:tc>
          <w:tcPr>
            <w:tcW w:w="1500" w:type="dxa"/>
            <w:gridSpan w:val="2"/>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pStyle w:val="a7"/>
              <w:ind w:left="0"/>
              <w:jc w:val="center"/>
              <w:rPr>
                <w:bCs/>
                <w:sz w:val="18"/>
                <w:szCs w:val="18"/>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18"/>
                <w:szCs w:val="18"/>
                <w:lang w:eastAsia="uk-UA"/>
              </w:rPr>
            </w:pPr>
            <w:r w:rsidRPr="00E95FB1">
              <w:rPr>
                <w:sz w:val="18"/>
                <w:szCs w:val="18"/>
              </w:rPr>
              <w:t>898 678,0</w:t>
            </w:r>
          </w:p>
        </w:tc>
      </w:tr>
      <w:tr w:rsidR="00E95FB1" w:rsidRPr="00E95FB1" w:rsidTr="001B3967">
        <w:trPr>
          <w:trHeight w:val="375"/>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18"/>
                <w:szCs w:val="18"/>
                <w:lang w:eastAsia="uk-UA"/>
              </w:rPr>
            </w:pPr>
            <w:r w:rsidRPr="00E95FB1">
              <w:rPr>
                <w:color w:val="000000"/>
                <w:sz w:val="18"/>
                <w:szCs w:val="18"/>
                <w:lang w:eastAsia="uk-UA"/>
              </w:rPr>
              <w:t>3</w:t>
            </w:r>
          </w:p>
        </w:tc>
        <w:tc>
          <w:tcPr>
            <w:tcW w:w="3049" w:type="dxa"/>
            <w:tcBorders>
              <w:top w:val="single" w:sz="4" w:space="0" w:color="auto"/>
              <w:left w:val="nil"/>
              <w:bottom w:val="single" w:sz="4" w:space="0" w:color="auto"/>
              <w:right w:val="single" w:sz="4" w:space="0" w:color="auto"/>
            </w:tcBorders>
            <w:shd w:val="clear" w:color="auto" w:fill="auto"/>
            <w:vAlign w:val="center"/>
            <w:hideMark/>
          </w:tcPr>
          <w:p w:rsidR="00E95FB1" w:rsidRPr="00E95FB1" w:rsidRDefault="00E95FB1" w:rsidP="001B3967">
            <w:pPr>
              <w:pStyle w:val="a7"/>
              <w:ind w:left="0"/>
              <w:jc w:val="center"/>
              <w:rPr>
                <w:color w:val="000000"/>
                <w:sz w:val="18"/>
                <w:szCs w:val="18"/>
                <w:lang w:eastAsia="uk-UA"/>
              </w:rPr>
            </w:pPr>
            <w:r w:rsidRPr="00E95FB1">
              <w:rPr>
                <w:color w:val="000000"/>
                <w:sz w:val="18"/>
                <w:szCs w:val="18"/>
                <w:lang w:eastAsia="uk-UA"/>
              </w:rPr>
              <w:t>Відновлення діяльності Асоціації об’єднань співвласників багатоквартирних будинків «ФАВОРИТ»</w:t>
            </w:r>
          </w:p>
        </w:tc>
        <w:tc>
          <w:tcPr>
            <w:tcW w:w="1736"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18"/>
                <w:szCs w:val="18"/>
                <w:lang w:eastAsia="uk-UA"/>
              </w:rPr>
            </w:pPr>
            <w:r w:rsidRPr="00E95FB1">
              <w:rPr>
                <w:color w:val="000000"/>
                <w:sz w:val="18"/>
                <w:szCs w:val="18"/>
                <w:lang w:eastAsia="uk-UA"/>
              </w:rPr>
              <w:t xml:space="preserve">м. Сєвєродонецьк, будинки за </w:t>
            </w:r>
            <w:proofErr w:type="spellStart"/>
            <w:r w:rsidRPr="00E95FB1">
              <w:rPr>
                <w:color w:val="000000"/>
                <w:sz w:val="18"/>
                <w:szCs w:val="18"/>
                <w:lang w:eastAsia="uk-UA"/>
              </w:rPr>
              <w:t>адресою</w:t>
            </w:r>
            <w:proofErr w:type="spellEnd"/>
            <w:r w:rsidRPr="00E95FB1">
              <w:rPr>
                <w:color w:val="000000"/>
                <w:sz w:val="18"/>
                <w:szCs w:val="18"/>
                <w:lang w:eastAsia="uk-UA"/>
              </w:rPr>
              <w:t>:</w:t>
            </w:r>
            <w:r w:rsidRPr="00E95FB1">
              <w:rPr>
                <w:color w:val="000000"/>
                <w:sz w:val="18"/>
                <w:szCs w:val="18"/>
                <w:lang w:eastAsia="uk-UA"/>
              </w:rPr>
              <w:br/>
              <w:t>вул. Курчатова, буд. 7</w:t>
            </w:r>
            <w:r w:rsidRPr="00E95FB1">
              <w:rPr>
                <w:color w:val="000000"/>
                <w:sz w:val="18"/>
                <w:szCs w:val="18"/>
                <w:lang w:eastAsia="uk-UA"/>
              </w:rPr>
              <w:br/>
              <w:t>вул. Курчатова, буд. 7А</w:t>
            </w:r>
            <w:r w:rsidRPr="00E95FB1">
              <w:rPr>
                <w:color w:val="000000"/>
                <w:sz w:val="18"/>
                <w:szCs w:val="18"/>
                <w:lang w:eastAsia="uk-UA"/>
              </w:rPr>
              <w:br/>
              <w:t>вул. Курчатова, буд. 9</w:t>
            </w:r>
            <w:r w:rsidRPr="00E95FB1">
              <w:rPr>
                <w:color w:val="000000"/>
                <w:sz w:val="18"/>
                <w:szCs w:val="18"/>
                <w:lang w:eastAsia="uk-UA"/>
              </w:rPr>
              <w:br/>
              <w:t>вул. Курчатова, буд. 15</w:t>
            </w:r>
            <w:r w:rsidRPr="00E95FB1">
              <w:rPr>
                <w:color w:val="000000"/>
                <w:sz w:val="18"/>
                <w:szCs w:val="18"/>
                <w:lang w:eastAsia="uk-UA"/>
              </w:rPr>
              <w:br/>
              <w:t>вул. Гагаріна, буд. 108</w:t>
            </w:r>
            <w:r w:rsidRPr="00E95FB1">
              <w:rPr>
                <w:color w:val="000000"/>
                <w:sz w:val="18"/>
                <w:szCs w:val="18"/>
                <w:lang w:eastAsia="uk-UA"/>
              </w:rPr>
              <w:br/>
              <w:t>вул. Гагаріна, буд. 117А</w:t>
            </w:r>
            <w:r w:rsidRPr="00E95FB1">
              <w:rPr>
                <w:color w:val="000000"/>
                <w:sz w:val="18"/>
                <w:szCs w:val="18"/>
                <w:lang w:eastAsia="uk-UA"/>
              </w:rPr>
              <w:br/>
              <w:t>пр. Гвардійський, буд. 48</w:t>
            </w:r>
            <w:r w:rsidRPr="00E95FB1">
              <w:rPr>
                <w:color w:val="000000"/>
                <w:sz w:val="18"/>
                <w:szCs w:val="18"/>
                <w:lang w:eastAsia="uk-UA"/>
              </w:rPr>
              <w:br/>
            </w:r>
            <w:r w:rsidRPr="00E95FB1">
              <w:rPr>
                <w:color w:val="000000"/>
                <w:sz w:val="18"/>
                <w:szCs w:val="18"/>
                <w:lang w:eastAsia="uk-UA"/>
              </w:rPr>
              <w:lastRenderedPageBreak/>
              <w:t>пр. Гвардійський, буд. 71</w:t>
            </w:r>
          </w:p>
        </w:tc>
        <w:tc>
          <w:tcPr>
            <w:tcW w:w="1252"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18"/>
                <w:szCs w:val="18"/>
                <w:lang w:eastAsia="uk-UA"/>
              </w:rPr>
            </w:pPr>
            <w:r w:rsidRPr="00E95FB1">
              <w:rPr>
                <w:color w:val="000000"/>
                <w:sz w:val="18"/>
                <w:szCs w:val="18"/>
                <w:lang w:eastAsia="uk-UA"/>
              </w:rPr>
              <w:lastRenderedPageBreak/>
              <w:t>5 000</w:t>
            </w:r>
          </w:p>
        </w:tc>
        <w:tc>
          <w:tcPr>
            <w:tcW w:w="1035"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95FB1" w:rsidRPr="00E95FB1" w:rsidRDefault="00E20212" w:rsidP="001B3967">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18"/>
                <w:szCs w:val="18"/>
                <w:lang w:eastAsia="uk-UA"/>
              </w:rPr>
            </w:pPr>
            <w:r w:rsidRPr="00E95FB1">
              <w:rPr>
                <w:color w:val="000000"/>
                <w:sz w:val="18"/>
                <w:szCs w:val="18"/>
                <w:lang w:eastAsia="uk-UA"/>
              </w:rPr>
              <w:t>46 170,1</w:t>
            </w:r>
          </w:p>
        </w:tc>
        <w:tc>
          <w:tcPr>
            <w:tcW w:w="992"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pStyle w:val="a7"/>
              <w:ind w:left="0"/>
              <w:jc w:val="center"/>
              <w:rPr>
                <w:color w:val="000000"/>
                <w:sz w:val="18"/>
                <w:szCs w:val="18"/>
                <w:lang w:eastAsia="uk-UA"/>
              </w:rPr>
            </w:pPr>
            <w:r w:rsidRPr="00E95FB1">
              <w:rPr>
                <w:color w:val="000000"/>
                <w:sz w:val="18"/>
                <w:szCs w:val="18"/>
                <w:lang w:eastAsia="uk-UA"/>
              </w:rPr>
              <w:t>19787,2</w:t>
            </w:r>
          </w:p>
        </w:tc>
        <w:tc>
          <w:tcPr>
            <w:tcW w:w="1500" w:type="dxa"/>
            <w:gridSpan w:val="2"/>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pStyle w:val="a7"/>
              <w:ind w:left="0"/>
              <w:jc w:val="center"/>
              <w:rPr>
                <w:color w:val="000000"/>
                <w:sz w:val="18"/>
                <w:szCs w:val="18"/>
                <w:lang w:eastAsia="uk-UA"/>
              </w:rPr>
            </w:pPr>
            <w:r w:rsidRPr="00E95FB1">
              <w:rPr>
                <w:color w:val="000000"/>
                <w:sz w:val="18"/>
                <w:szCs w:val="18"/>
                <w:lang w:eastAsia="uk-UA"/>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18"/>
                <w:szCs w:val="18"/>
                <w:lang w:eastAsia="uk-UA"/>
              </w:rPr>
            </w:pPr>
            <w:r w:rsidRPr="00E95FB1">
              <w:rPr>
                <w:color w:val="000000"/>
                <w:sz w:val="18"/>
                <w:szCs w:val="18"/>
                <w:lang w:eastAsia="uk-UA"/>
              </w:rPr>
              <w:t>65 957,3</w:t>
            </w:r>
          </w:p>
        </w:tc>
      </w:tr>
      <w:tr w:rsidR="00E021FE" w:rsidRPr="00E95FB1" w:rsidTr="00E021FE">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021FE" w:rsidRDefault="00E021FE" w:rsidP="00E021FE">
            <w:pPr>
              <w:jc w:val="center"/>
              <w:rPr>
                <w:color w:val="000000"/>
                <w:sz w:val="18"/>
                <w:szCs w:val="18"/>
                <w:lang w:eastAsia="uk-UA"/>
              </w:rPr>
            </w:pPr>
            <w:r w:rsidRPr="00E021FE">
              <w:rPr>
                <w:color w:val="000000"/>
                <w:sz w:val="18"/>
                <w:szCs w:val="18"/>
                <w:lang w:eastAsia="uk-UA"/>
              </w:rPr>
              <w:t>4</w:t>
            </w:r>
          </w:p>
        </w:tc>
        <w:tc>
          <w:tcPr>
            <w:tcW w:w="3049" w:type="dxa"/>
            <w:tcBorders>
              <w:top w:val="nil"/>
              <w:left w:val="nil"/>
              <w:bottom w:val="single" w:sz="4" w:space="0" w:color="auto"/>
              <w:right w:val="single" w:sz="4" w:space="0" w:color="auto"/>
            </w:tcBorders>
            <w:shd w:val="clear" w:color="auto" w:fill="auto"/>
            <w:vAlign w:val="center"/>
            <w:hideMark/>
          </w:tcPr>
          <w:p w:rsidR="00E021FE" w:rsidRPr="00E021FE" w:rsidRDefault="00E021FE" w:rsidP="00E021FE">
            <w:pPr>
              <w:jc w:val="center"/>
              <w:rPr>
                <w:color w:val="000000"/>
                <w:sz w:val="18"/>
                <w:szCs w:val="18"/>
                <w:lang w:eastAsia="uk-UA"/>
              </w:rPr>
            </w:pPr>
            <w:r w:rsidRPr="00E021FE">
              <w:rPr>
                <w:rFonts w:eastAsia="Calibri"/>
                <w:color w:val="000000"/>
                <w:sz w:val="18"/>
                <w:szCs w:val="18"/>
              </w:rPr>
              <w:t>Відновлення  діяльності КП «</w:t>
            </w:r>
            <w:proofErr w:type="spellStart"/>
            <w:r w:rsidRPr="00E021FE">
              <w:rPr>
                <w:rFonts w:eastAsia="Calibri"/>
                <w:color w:val="000000"/>
                <w:sz w:val="18"/>
                <w:szCs w:val="18"/>
              </w:rPr>
              <w:t>Житлосервіс</w:t>
            </w:r>
            <w:proofErr w:type="spellEnd"/>
            <w:r w:rsidRPr="00E021FE">
              <w:rPr>
                <w:rFonts w:eastAsia="Calibri"/>
                <w:color w:val="000000"/>
                <w:sz w:val="18"/>
                <w:szCs w:val="18"/>
              </w:rPr>
              <w:t xml:space="preserve"> «Світанок»</w:t>
            </w:r>
          </w:p>
        </w:tc>
        <w:tc>
          <w:tcPr>
            <w:tcW w:w="1736" w:type="dxa"/>
            <w:tcBorders>
              <w:top w:val="nil"/>
              <w:left w:val="nil"/>
              <w:bottom w:val="single" w:sz="4" w:space="0" w:color="auto"/>
              <w:right w:val="single" w:sz="4" w:space="0" w:color="auto"/>
            </w:tcBorders>
            <w:shd w:val="clear" w:color="auto" w:fill="auto"/>
            <w:vAlign w:val="center"/>
            <w:hideMark/>
          </w:tcPr>
          <w:p w:rsidR="00E021FE" w:rsidRPr="00E021FE" w:rsidRDefault="00E021FE" w:rsidP="00E021FE">
            <w:pPr>
              <w:jc w:val="center"/>
              <w:rPr>
                <w:sz w:val="18"/>
                <w:szCs w:val="18"/>
              </w:rPr>
            </w:pPr>
            <w:r w:rsidRPr="00E021FE">
              <w:rPr>
                <w:rFonts w:eastAsia="Calibri"/>
                <w:color w:val="000000"/>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021FE" w:rsidRDefault="00E021FE" w:rsidP="00E021FE">
            <w:pPr>
              <w:jc w:val="center"/>
              <w:rPr>
                <w:sz w:val="18"/>
                <w:szCs w:val="18"/>
              </w:rPr>
            </w:pPr>
            <w:r w:rsidRPr="00E021FE">
              <w:rPr>
                <w:rFonts w:eastAsia="Calibri"/>
                <w:color w:val="000000"/>
                <w:sz w:val="18"/>
                <w:szCs w:val="18"/>
              </w:rPr>
              <w:t>150000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021FE" w:rsidRDefault="00E021FE" w:rsidP="00E021FE">
            <w:pPr>
              <w:jc w:val="center"/>
              <w:rPr>
                <w:color w:val="000000"/>
                <w:sz w:val="18"/>
                <w:szCs w:val="18"/>
                <w:lang w:eastAsia="uk-UA"/>
              </w:rPr>
            </w:pPr>
            <w:r w:rsidRPr="00E021FE">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021FE" w:rsidRDefault="00E021FE" w:rsidP="00E021FE">
            <w:pPr>
              <w:jc w:val="center"/>
              <w:rPr>
                <w:color w:val="000000"/>
                <w:sz w:val="18"/>
                <w:szCs w:val="18"/>
                <w:lang w:eastAsia="uk-UA"/>
              </w:rPr>
            </w:pPr>
            <w:r w:rsidRPr="00E021FE">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021FE" w:rsidRDefault="00E021FE" w:rsidP="00E021FE">
            <w:pPr>
              <w:jc w:val="center"/>
              <w:rPr>
                <w:color w:val="000000"/>
                <w:sz w:val="18"/>
                <w:szCs w:val="18"/>
              </w:rPr>
            </w:pPr>
            <w:r w:rsidRPr="00E021FE">
              <w:rPr>
                <w:color w:val="000000"/>
                <w:sz w:val="18"/>
                <w:szCs w:val="18"/>
              </w:rPr>
              <w:t>2362704,00</w:t>
            </w:r>
          </w:p>
          <w:p w:rsidR="00E021FE" w:rsidRPr="00E021FE" w:rsidRDefault="00E021FE" w:rsidP="00E021FE">
            <w:pPr>
              <w:autoSpaceDE w:val="0"/>
              <w:snapToGrid w:val="0"/>
              <w:jc w:val="center"/>
              <w:rPr>
                <w:bCs/>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rsidR="00E021FE" w:rsidRPr="00E021FE" w:rsidRDefault="00E021FE" w:rsidP="00E021FE">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021FE" w:rsidRDefault="00E021FE" w:rsidP="00E021FE">
            <w:pPr>
              <w:jc w:val="center"/>
              <w:rPr>
                <w:color w:val="000000"/>
                <w:sz w:val="18"/>
                <w:szCs w:val="18"/>
              </w:rPr>
            </w:pPr>
            <w:r w:rsidRPr="00E021FE">
              <w:rPr>
                <w:color w:val="000000"/>
                <w:sz w:val="18"/>
                <w:szCs w:val="18"/>
              </w:rPr>
              <w:t>1012588,00</w:t>
            </w:r>
          </w:p>
          <w:p w:rsidR="00E021FE" w:rsidRPr="00E021FE" w:rsidRDefault="00E021FE" w:rsidP="00E021FE">
            <w:pPr>
              <w:pStyle w:val="a7"/>
              <w:ind w:left="0"/>
              <w:jc w:val="center"/>
              <w:rPr>
                <w:color w:val="000000"/>
                <w:sz w:val="18"/>
                <w:szCs w:val="18"/>
                <w:lang w:val="ru-RU"/>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021FE" w:rsidRDefault="00E021FE" w:rsidP="00E021FE">
            <w:pPr>
              <w:pStyle w:val="a7"/>
              <w:ind w:left="0"/>
              <w:jc w:val="center"/>
              <w:rPr>
                <w:rFonts w:eastAsia="Calibri"/>
                <w:bCs/>
                <w:sz w:val="18"/>
                <w:szCs w:val="18"/>
              </w:rPr>
            </w:pPr>
            <w:r w:rsidRPr="00E021FE">
              <w:rPr>
                <w:rFonts w:eastAsia="Calibri"/>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E021FE" w:rsidRDefault="00E021FE" w:rsidP="00E021FE">
            <w:pPr>
              <w:jc w:val="center"/>
              <w:rPr>
                <w:color w:val="000000"/>
                <w:sz w:val="18"/>
                <w:szCs w:val="18"/>
              </w:rPr>
            </w:pPr>
            <w:r w:rsidRPr="00E021FE">
              <w:rPr>
                <w:color w:val="000000"/>
                <w:sz w:val="18"/>
                <w:szCs w:val="18"/>
              </w:rPr>
              <w:t>3375292,00</w:t>
            </w:r>
          </w:p>
          <w:p w:rsidR="00E021FE" w:rsidRPr="00E021FE" w:rsidRDefault="00E021FE" w:rsidP="00E021FE">
            <w:pPr>
              <w:jc w:val="center"/>
              <w:rPr>
                <w:color w:val="000000"/>
                <w:sz w:val="18"/>
                <w:szCs w:val="18"/>
                <w:lang w:eastAsia="uk-UA"/>
              </w:rPr>
            </w:pPr>
          </w:p>
        </w:tc>
      </w:tr>
      <w:tr w:rsidR="00E021FE" w:rsidRPr="00E95FB1" w:rsidTr="000D35F1">
        <w:trPr>
          <w:trHeight w:val="375"/>
        </w:trPr>
        <w:tc>
          <w:tcPr>
            <w:tcW w:w="35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21FE" w:rsidRPr="000D35F1" w:rsidRDefault="00E021FE" w:rsidP="000D35F1">
            <w:pPr>
              <w:jc w:val="center"/>
              <w:rPr>
                <w:b/>
                <w:bCs/>
                <w:color w:val="000000"/>
                <w:sz w:val="18"/>
                <w:szCs w:val="18"/>
                <w:lang w:eastAsia="uk-UA"/>
              </w:rPr>
            </w:pPr>
            <w:r w:rsidRPr="000D35F1">
              <w:rPr>
                <w:b/>
                <w:bCs/>
                <w:color w:val="000000"/>
                <w:sz w:val="18"/>
                <w:szCs w:val="18"/>
                <w:lang w:eastAsia="uk-UA"/>
              </w:rPr>
              <w:t>Всього напрямом</w:t>
            </w:r>
          </w:p>
        </w:tc>
        <w:tc>
          <w:tcPr>
            <w:tcW w:w="1736" w:type="dxa"/>
            <w:tcBorders>
              <w:top w:val="nil"/>
              <w:left w:val="nil"/>
              <w:bottom w:val="single" w:sz="4" w:space="0" w:color="auto"/>
              <w:right w:val="single" w:sz="4" w:space="0" w:color="auto"/>
            </w:tcBorders>
            <w:shd w:val="clear" w:color="auto" w:fill="auto"/>
            <w:vAlign w:val="center"/>
            <w:hideMark/>
          </w:tcPr>
          <w:p w:rsidR="00E021FE" w:rsidRPr="000D35F1" w:rsidRDefault="00E021FE" w:rsidP="000D35F1">
            <w:pPr>
              <w:jc w:val="center"/>
              <w:rPr>
                <w:b/>
                <w:bCs/>
                <w:color w:val="000000"/>
                <w:sz w:val="18"/>
                <w:szCs w:val="18"/>
                <w:lang w:eastAsia="uk-UA"/>
              </w:rPr>
            </w:pPr>
            <w:r w:rsidRPr="000D35F1">
              <w:rPr>
                <w:b/>
                <w:bCs/>
                <w:color w:val="000000"/>
                <w:sz w:val="18"/>
                <w:szCs w:val="18"/>
                <w:lang w:eastAsia="uk-UA"/>
              </w:rPr>
              <w:t>х</w:t>
            </w:r>
          </w:p>
        </w:tc>
        <w:tc>
          <w:tcPr>
            <w:tcW w:w="1252" w:type="dxa"/>
            <w:tcBorders>
              <w:top w:val="nil"/>
              <w:left w:val="nil"/>
              <w:bottom w:val="single" w:sz="4" w:space="0" w:color="auto"/>
              <w:right w:val="single" w:sz="4" w:space="0" w:color="auto"/>
            </w:tcBorders>
            <w:shd w:val="clear" w:color="auto" w:fill="auto"/>
            <w:vAlign w:val="center"/>
            <w:hideMark/>
          </w:tcPr>
          <w:p w:rsidR="00E021FE" w:rsidRPr="000D35F1" w:rsidRDefault="00E021FE" w:rsidP="000D35F1">
            <w:pPr>
              <w:jc w:val="center"/>
              <w:rPr>
                <w:b/>
                <w:bCs/>
                <w:color w:val="000000"/>
                <w:sz w:val="18"/>
                <w:szCs w:val="18"/>
                <w:lang w:eastAsia="uk-UA"/>
              </w:rPr>
            </w:pPr>
            <w:r w:rsidRPr="000D35F1">
              <w:rPr>
                <w:b/>
                <w:bCs/>
                <w:color w:val="000000"/>
                <w:sz w:val="18"/>
                <w:szCs w:val="18"/>
                <w:lang w:eastAsia="uk-UA"/>
              </w:rPr>
              <w:t>х</w:t>
            </w:r>
          </w:p>
        </w:tc>
        <w:tc>
          <w:tcPr>
            <w:tcW w:w="1035" w:type="dxa"/>
            <w:tcBorders>
              <w:top w:val="nil"/>
              <w:left w:val="nil"/>
              <w:bottom w:val="single" w:sz="4" w:space="0" w:color="auto"/>
              <w:right w:val="single" w:sz="4" w:space="0" w:color="auto"/>
            </w:tcBorders>
            <w:shd w:val="clear" w:color="auto" w:fill="auto"/>
            <w:vAlign w:val="center"/>
            <w:hideMark/>
          </w:tcPr>
          <w:p w:rsidR="00E021FE" w:rsidRPr="000D35F1" w:rsidRDefault="00E021FE" w:rsidP="000D35F1">
            <w:pPr>
              <w:jc w:val="center"/>
              <w:rPr>
                <w:b/>
                <w:bCs/>
                <w:color w:val="000000"/>
                <w:sz w:val="18"/>
                <w:szCs w:val="18"/>
                <w:lang w:eastAsia="uk-UA"/>
              </w:rPr>
            </w:pPr>
            <w:r w:rsidRPr="000D35F1">
              <w:rPr>
                <w:b/>
                <w:bCs/>
                <w:color w:val="000000"/>
                <w:sz w:val="18"/>
                <w:szCs w:val="18"/>
                <w:lang w:eastAsia="uk-UA"/>
              </w:rPr>
              <w:t>х</w:t>
            </w:r>
          </w:p>
        </w:tc>
        <w:tc>
          <w:tcPr>
            <w:tcW w:w="1104" w:type="dxa"/>
            <w:tcBorders>
              <w:top w:val="nil"/>
              <w:left w:val="nil"/>
              <w:bottom w:val="single" w:sz="4" w:space="0" w:color="auto"/>
              <w:right w:val="single" w:sz="4" w:space="0" w:color="auto"/>
            </w:tcBorders>
            <w:shd w:val="clear" w:color="auto" w:fill="auto"/>
            <w:vAlign w:val="center"/>
            <w:hideMark/>
          </w:tcPr>
          <w:p w:rsidR="00E021FE" w:rsidRPr="000D35F1" w:rsidRDefault="00E021FE" w:rsidP="000D35F1">
            <w:pPr>
              <w:jc w:val="center"/>
              <w:rPr>
                <w:b/>
                <w:bCs/>
                <w:color w:val="000000"/>
                <w:sz w:val="18"/>
                <w:szCs w:val="18"/>
                <w:lang w:eastAsia="uk-UA"/>
              </w:rPr>
            </w:pPr>
            <w:r w:rsidRPr="000D35F1">
              <w:rPr>
                <w:b/>
                <w:bCs/>
                <w:color w:val="000000"/>
                <w:sz w:val="18"/>
                <w:szCs w:val="18"/>
                <w:lang w:eastAsia="uk-UA"/>
              </w:rPr>
              <w:t>х</w:t>
            </w:r>
          </w:p>
        </w:tc>
        <w:tc>
          <w:tcPr>
            <w:tcW w:w="1134" w:type="dxa"/>
            <w:tcBorders>
              <w:top w:val="nil"/>
              <w:left w:val="nil"/>
              <w:bottom w:val="single" w:sz="4" w:space="0" w:color="auto"/>
              <w:right w:val="single" w:sz="4" w:space="0" w:color="auto"/>
            </w:tcBorders>
            <w:shd w:val="clear" w:color="auto" w:fill="auto"/>
            <w:vAlign w:val="center"/>
            <w:hideMark/>
          </w:tcPr>
          <w:p w:rsidR="00E021FE" w:rsidRPr="000D35F1" w:rsidRDefault="000D35F1" w:rsidP="000D35F1">
            <w:pPr>
              <w:jc w:val="center"/>
              <w:rPr>
                <w:color w:val="000000"/>
                <w:sz w:val="18"/>
                <w:szCs w:val="18"/>
                <w:lang w:eastAsia="uk-UA"/>
              </w:rPr>
            </w:pPr>
            <w:r w:rsidRPr="000D35F1">
              <w:rPr>
                <w:color w:val="000000"/>
                <w:sz w:val="18"/>
                <w:szCs w:val="18"/>
                <w:lang w:eastAsia="uk-UA"/>
              </w:rPr>
              <w:t>21237948,7</w:t>
            </w:r>
          </w:p>
        </w:tc>
        <w:tc>
          <w:tcPr>
            <w:tcW w:w="992" w:type="dxa"/>
            <w:tcBorders>
              <w:top w:val="nil"/>
              <w:left w:val="nil"/>
              <w:bottom w:val="single" w:sz="4" w:space="0" w:color="auto"/>
              <w:right w:val="single" w:sz="4" w:space="0" w:color="auto"/>
            </w:tcBorders>
            <w:shd w:val="clear" w:color="auto" w:fill="auto"/>
            <w:vAlign w:val="center"/>
            <w:hideMark/>
          </w:tcPr>
          <w:p w:rsidR="00E021FE" w:rsidRPr="000D35F1" w:rsidRDefault="00E021FE" w:rsidP="000D35F1">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0D35F1" w:rsidRDefault="000D35F1" w:rsidP="000D35F1">
            <w:pPr>
              <w:jc w:val="center"/>
              <w:rPr>
                <w:color w:val="000000"/>
                <w:sz w:val="18"/>
                <w:szCs w:val="18"/>
                <w:lang w:eastAsia="uk-UA"/>
              </w:rPr>
            </w:pPr>
            <w:r w:rsidRPr="000D35F1">
              <w:rPr>
                <w:color w:val="000000"/>
                <w:sz w:val="18"/>
                <w:szCs w:val="18"/>
                <w:lang w:eastAsia="uk-UA"/>
              </w:rPr>
              <w:t>1301978,60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0D35F1" w:rsidRDefault="000D35F1" w:rsidP="000D35F1">
            <w:pPr>
              <w:jc w:val="center"/>
              <w:rPr>
                <w:color w:val="000000"/>
                <w:sz w:val="18"/>
                <w:szCs w:val="18"/>
                <w:lang w:eastAsia="uk-UA"/>
              </w:rPr>
            </w:pPr>
            <w:r w:rsidRPr="000D35F1">
              <w:rPr>
                <w:b/>
                <w:bCs/>
                <w:color w:val="000000"/>
                <w:sz w:val="18"/>
                <w:szCs w:val="18"/>
                <w:lang w:eastAsia="uk-UA"/>
              </w:rPr>
              <w:t>х</w:t>
            </w:r>
          </w:p>
        </w:tc>
        <w:tc>
          <w:tcPr>
            <w:tcW w:w="1164" w:type="dxa"/>
            <w:tcBorders>
              <w:top w:val="nil"/>
              <w:left w:val="nil"/>
              <w:bottom w:val="single" w:sz="4" w:space="0" w:color="auto"/>
              <w:right w:val="single" w:sz="4" w:space="0" w:color="auto"/>
            </w:tcBorders>
            <w:shd w:val="clear" w:color="auto" w:fill="auto"/>
            <w:vAlign w:val="center"/>
            <w:hideMark/>
          </w:tcPr>
          <w:p w:rsidR="00E021FE" w:rsidRPr="000D35F1" w:rsidRDefault="000D35F1" w:rsidP="000D35F1">
            <w:pPr>
              <w:jc w:val="center"/>
              <w:rPr>
                <w:color w:val="000000"/>
                <w:sz w:val="18"/>
                <w:szCs w:val="18"/>
                <w:lang w:eastAsia="uk-UA"/>
              </w:rPr>
            </w:pPr>
            <w:r w:rsidRPr="000D35F1">
              <w:rPr>
                <w:color w:val="000000"/>
                <w:sz w:val="18"/>
                <w:szCs w:val="18"/>
                <w:lang w:eastAsia="uk-UA"/>
              </w:rPr>
              <w:t>22539927,3</w:t>
            </w:r>
          </w:p>
        </w:tc>
      </w:tr>
      <w:tr w:rsidR="00E021FE" w:rsidRPr="00E95FB1" w:rsidTr="001B3967">
        <w:trPr>
          <w:trHeight w:val="375"/>
        </w:trPr>
        <w:tc>
          <w:tcPr>
            <w:tcW w:w="14580" w:type="dxa"/>
            <w:gridSpan w:val="12"/>
            <w:tcBorders>
              <w:top w:val="single" w:sz="4" w:space="0" w:color="auto"/>
              <w:left w:val="single" w:sz="4" w:space="0" w:color="auto"/>
              <w:bottom w:val="single" w:sz="4" w:space="0" w:color="auto"/>
              <w:right w:val="single" w:sz="4" w:space="0" w:color="auto"/>
            </w:tcBorders>
            <w:shd w:val="clear" w:color="000000" w:fill="B8CCE4"/>
            <w:hideMark/>
          </w:tcPr>
          <w:p w:rsidR="00E021FE" w:rsidRPr="00E95FB1" w:rsidRDefault="00E021FE" w:rsidP="001B3967">
            <w:pPr>
              <w:jc w:val="center"/>
              <w:rPr>
                <w:color w:val="000000"/>
                <w:lang w:eastAsia="uk-UA"/>
              </w:rPr>
            </w:pPr>
            <w:r w:rsidRPr="00E95FB1">
              <w:rPr>
                <w:color w:val="000000"/>
                <w:lang w:eastAsia="uk-UA"/>
              </w:rPr>
              <w:t>2.</w:t>
            </w:r>
            <w:r w:rsidRPr="00E95FB1">
              <w:rPr>
                <w:color w:val="000000"/>
                <w:sz w:val="14"/>
                <w:szCs w:val="14"/>
                <w:lang w:eastAsia="uk-UA"/>
              </w:rPr>
              <w:t xml:space="preserve">     </w:t>
            </w:r>
            <w:proofErr w:type="spellStart"/>
            <w:r w:rsidRPr="00E95FB1">
              <w:rPr>
                <w:b/>
                <w:bCs/>
                <w:color w:val="000000"/>
                <w:sz w:val="24"/>
                <w:szCs w:val="24"/>
                <w:lang w:eastAsia="uk-UA"/>
              </w:rPr>
              <w:t>Проєкти</w:t>
            </w:r>
            <w:proofErr w:type="spellEnd"/>
            <w:r w:rsidRPr="00E95FB1">
              <w:rPr>
                <w:b/>
                <w:bCs/>
                <w:color w:val="000000"/>
                <w:sz w:val="24"/>
                <w:szCs w:val="24"/>
                <w:lang w:eastAsia="uk-UA"/>
              </w:rPr>
              <w:t xml:space="preserve"> спрямовані на відбудову об’єктів соціальної інфраструктури</w:t>
            </w:r>
          </w:p>
        </w:tc>
      </w:tr>
      <w:tr w:rsidR="00E021FE" w:rsidRPr="00E95FB1" w:rsidTr="001B3967">
        <w:trPr>
          <w:trHeight w:val="375"/>
        </w:trPr>
        <w:tc>
          <w:tcPr>
            <w:tcW w:w="14580" w:type="dxa"/>
            <w:gridSpan w:val="12"/>
            <w:tcBorders>
              <w:top w:val="single" w:sz="4" w:space="0" w:color="auto"/>
              <w:left w:val="single" w:sz="4" w:space="0" w:color="auto"/>
              <w:bottom w:val="single" w:sz="4" w:space="0" w:color="auto"/>
              <w:right w:val="single" w:sz="4" w:space="0" w:color="auto"/>
            </w:tcBorders>
            <w:shd w:val="clear" w:color="auto" w:fill="auto"/>
            <w:hideMark/>
          </w:tcPr>
          <w:p w:rsidR="00E021FE" w:rsidRPr="00E95FB1" w:rsidRDefault="00E021FE" w:rsidP="001B3967">
            <w:pPr>
              <w:jc w:val="center"/>
              <w:rPr>
                <w:color w:val="000000"/>
                <w:sz w:val="24"/>
                <w:szCs w:val="24"/>
                <w:lang w:eastAsia="uk-UA"/>
              </w:rPr>
            </w:pPr>
            <w:r w:rsidRPr="00E95FB1">
              <w:rPr>
                <w:color w:val="000000"/>
                <w:sz w:val="24"/>
                <w:szCs w:val="24"/>
                <w:lang w:eastAsia="uk-UA"/>
              </w:rPr>
              <w:t>2.1. Заклади дошкільної освіти</w:t>
            </w:r>
          </w:p>
        </w:tc>
      </w:tr>
      <w:tr w:rsidR="00E021FE" w:rsidRPr="00E95FB1" w:rsidTr="005C57BD">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5C57BD" w:rsidRDefault="00E021FE" w:rsidP="005C57BD">
            <w:pPr>
              <w:jc w:val="center"/>
              <w:rPr>
                <w:color w:val="000000"/>
                <w:sz w:val="18"/>
                <w:szCs w:val="18"/>
                <w:lang w:eastAsia="uk-UA"/>
              </w:rPr>
            </w:pPr>
            <w:r w:rsidRPr="005C57BD">
              <w:rPr>
                <w:color w:val="000000"/>
                <w:sz w:val="18"/>
                <w:szCs w:val="18"/>
                <w:lang w:eastAsia="uk-UA"/>
              </w:rPr>
              <w:t>1</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5C57BD">
            <w:pPr>
              <w:jc w:val="center"/>
              <w:rPr>
                <w:color w:val="000000"/>
                <w:sz w:val="18"/>
                <w:szCs w:val="18"/>
                <w:lang w:eastAsia="uk-UA"/>
              </w:rPr>
            </w:pPr>
            <w:r w:rsidRPr="00F600D3">
              <w:rPr>
                <w:rFonts w:eastAsia="Calibri"/>
                <w:bCs/>
                <w:color w:val="000000"/>
                <w:sz w:val="18"/>
                <w:szCs w:val="18"/>
              </w:rPr>
              <w:t>Капітальний ремонт основної будівлі, господарчого блоку та підвального приміщення (сховища) Ясел-садка № 11 міста Сєвєродонецька Луганської області, вул. Енергетиків 28/А</w:t>
            </w:r>
          </w:p>
        </w:tc>
        <w:tc>
          <w:tcPr>
            <w:tcW w:w="1736" w:type="dxa"/>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jc w:val="center"/>
              <w:rPr>
                <w:color w:val="000000"/>
                <w:sz w:val="18"/>
                <w:szCs w:val="18"/>
                <w:lang w:eastAsia="uk-UA"/>
              </w:rPr>
            </w:pPr>
            <w:r w:rsidRPr="005C57BD">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jc w:val="center"/>
              <w:rPr>
                <w:color w:val="000000"/>
                <w:sz w:val="18"/>
                <w:szCs w:val="18"/>
                <w:lang w:eastAsia="uk-UA"/>
              </w:rPr>
            </w:pPr>
            <w:r w:rsidRPr="005C57BD">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jc w:val="center"/>
              <w:rPr>
                <w:color w:val="000000"/>
                <w:sz w:val="18"/>
                <w:szCs w:val="18"/>
                <w:lang w:eastAsia="uk-UA"/>
              </w:rPr>
            </w:pPr>
            <w:r w:rsidRPr="005C57BD">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jc w:val="center"/>
              <w:rPr>
                <w:color w:val="000000"/>
                <w:sz w:val="18"/>
                <w:szCs w:val="18"/>
                <w:lang w:eastAsia="uk-UA"/>
              </w:rPr>
            </w:pPr>
            <w:r w:rsidRPr="005C57BD">
              <w:rPr>
                <w:sz w:val="18"/>
                <w:szCs w:val="18"/>
              </w:rPr>
              <w:t>90</w:t>
            </w:r>
            <w:r>
              <w:rPr>
                <w:sz w:val="18"/>
                <w:szCs w:val="18"/>
              </w:rPr>
              <w:t> </w:t>
            </w:r>
            <w:r w:rsidRPr="005C57BD">
              <w:rPr>
                <w:sz w:val="18"/>
                <w:szCs w:val="18"/>
              </w:rPr>
              <w:t>000</w:t>
            </w: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contextualSpacing/>
              <w:jc w:val="center"/>
              <w:rPr>
                <w:sz w:val="18"/>
                <w:szCs w:val="18"/>
              </w:rPr>
            </w:pPr>
            <w:r w:rsidRPr="005C57BD">
              <w:rPr>
                <w:sz w:val="18"/>
                <w:szCs w:val="18"/>
              </w:rPr>
              <w:t>45</w:t>
            </w:r>
            <w:r>
              <w:rPr>
                <w:sz w:val="18"/>
                <w:szCs w:val="18"/>
              </w:rPr>
              <w:t> </w:t>
            </w:r>
            <w:r w:rsidRPr="005C57BD">
              <w:rPr>
                <w:sz w:val="18"/>
                <w:szCs w:val="18"/>
              </w:rPr>
              <w:t>000</w:t>
            </w:r>
            <w:r>
              <w:rPr>
                <w:sz w:val="18"/>
                <w:szCs w:val="18"/>
              </w:rPr>
              <w:t>,00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jc w:val="center"/>
              <w:rPr>
                <w:sz w:val="18"/>
                <w:szCs w:val="18"/>
              </w:rPr>
            </w:pPr>
            <w:r w:rsidRPr="005C57BD">
              <w:rPr>
                <w:bCs/>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contextualSpacing/>
              <w:jc w:val="center"/>
              <w:rPr>
                <w:rFonts w:eastAsia="Calibri"/>
                <w:sz w:val="18"/>
                <w:szCs w:val="18"/>
              </w:rPr>
            </w:pPr>
            <w:r w:rsidRPr="005C57BD">
              <w:rPr>
                <w:rFonts w:eastAsia="Calibri"/>
                <w:sz w:val="18"/>
                <w:szCs w:val="18"/>
              </w:rPr>
              <w:t>135</w:t>
            </w:r>
            <w:r>
              <w:rPr>
                <w:rFonts w:eastAsia="Calibri"/>
                <w:sz w:val="18"/>
                <w:szCs w:val="18"/>
              </w:rPr>
              <w:t> </w:t>
            </w:r>
            <w:r w:rsidRPr="005C57BD">
              <w:rPr>
                <w:rFonts w:eastAsia="Calibri"/>
                <w:sz w:val="18"/>
                <w:szCs w:val="18"/>
              </w:rPr>
              <w:t>000</w:t>
            </w:r>
            <w:r>
              <w:rPr>
                <w:rFonts w:eastAsia="Calibri"/>
                <w:sz w:val="18"/>
                <w:szCs w:val="18"/>
              </w:rPr>
              <w:t>,00</w:t>
            </w:r>
          </w:p>
          <w:p w:rsidR="00E021FE" w:rsidRPr="005C57BD" w:rsidRDefault="00E021FE" w:rsidP="005C57BD">
            <w:pPr>
              <w:jc w:val="center"/>
              <w:rPr>
                <w:color w:val="000000"/>
                <w:sz w:val="18"/>
                <w:szCs w:val="18"/>
                <w:lang w:eastAsia="uk-UA"/>
              </w:rPr>
            </w:pPr>
          </w:p>
        </w:tc>
      </w:tr>
      <w:tr w:rsidR="00E021FE" w:rsidRPr="00E95FB1" w:rsidTr="005C57BD">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5C57BD" w:rsidRDefault="00E021FE" w:rsidP="005C57BD">
            <w:pPr>
              <w:jc w:val="center"/>
              <w:rPr>
                <w:color w:val="000000"/>
                <w:sz w:val="18"/>
                <w:szCs w:val="18"/>
                <w:lang w:eastAsia="uk-UA"/>
              </w:rPr>
            </w:pPr>
            <w:r w:rsidRPr="005C57BD">
              <w:rPr>
                <w:color w:val="000000"/>
                <w:sz w:val="18"/>
                <w:szCs w:val="18"/>
                <w:lang w:eastAsia="uk-UA"/>
              </w:rPr>
              <w:t>2</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5C57BD">
            <w:pPr>
              <w:jc w:val="center"/>
              <w:rPr>
                <w:color w:val="000000"/>
                <w:sz w:val="18"/>
                <w:szCs w:val="18"/>
                <w:lang w:eastAsia="uk-UA"/>
              </w:rPr>
            </w:pPr>
            <w:r w:rsidRPr="00F600D3">
              <w:rPr>
                <w:rFonts w:eastAsia="Calibri"/>
                <w:bCs/>
                <w:sz w:val="18"/>
                <w:szCs w:val="18"/>
              </w:rPr>
              <w:t>Відновлення благоустрою території, спортивного та ігрових майданчиків Ясел-садка № 11 міста Сєвєродонецька Луганської області, вул. Енергетиків 28/А</w:t>
            </w:r>
          </w:p>
        </w:tc>
        <w:tc>
          <w:tcPr>
            <w:tcW w:w="1736" w:type="dxa"/>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jc w:val="center"/>
              <w:rPr>
                <w:color w:val="000000"/>
                <w:sz w:val="18"/>
                <w:szCs w:val="18"/>
                <w:lang w:eastAsia="uk-UA"/>
              </w:rPr>
            </w:pPr>
            <w:r w:rsidRPr="005C57BD">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jc w:val="center"/>
              <w:rPr>
                <w:color w:val="000000"/>
                <w:sz w:val="18"/>
                <w:szCs w:val="18"/>
                <w:lang w:eastAsia="uk-UA"/>
              </w:rPr>
            </w:pPr>
            <w:r w:rsidRPr="005C57BD">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jc w:val="center"/>
              <w:rPr>
                <w:color w:val="000000"/>
                <w:sz w:val="18"/>
                <w:szCs w:val="18"/>
                <w:lang w:eastAsia="uk-UA"/>
              </w:rPr>
            </w:pPr>
            <w:r w:rsidRPr="005C57BD">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jc w:val="center"/>
              <w:rPr>
                <w:color w:val="000000"/>
                <w:sz w:val="18"/>
                <w:szCs w:val="18"/>
                <w:lang w:eastAsia="uk-UA"/>
              </w:rPr>
            </w:pPr>
            <w:r w:rsidRPr="005C57BD">
              <w:rPr>
                <w:sz w:val="18"/>
                <w:szCs w:val="18"/>
              </w:rPr>
              <w:t>4</w:t>
            </w:r>
            <w:r>
              <w:rPr>
                <w:sz w:val="18"/>
                <w:szCs w:val="18"/>
              </w:rPr>
              <w:t> </w:t>
            </w:r>
            <w:r w:rsidRPr="005C57BD">
              <w:rPr>
                <w:sz w:val="18"/>
                <w:szCs w:val="18"/>
              </w:rPr>
              <w:t>000</w:t>
            </w: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jc w:val="center"/>
              <w:rPr>
                <w:color w:val="000000"/>
                <w:sz w:val="18"/>
                <w:szCs w:val="18"/>
                <w:lang w:eastAsia="uk-UA"/>
              </w:rPr>
            </w:pPr>
            <w:r w:rsidRPr="005C57BD">
              <w:rPr>
                <w:color w:val="000000"/>
                <w:sz w:val="18"/>
                <w:szCs w:val="18"/>
                <w:lang w:eastAsia="uk-UA"/>
              </w:rPr>
              <w:t>2000</w:t>
            </w:r>
            <w:r>
              <w:rPr>
                <w:color w:val="000000"/>
                <w:sz w:val="18"/>
                <w:szCs w:val="18"/>
                <w:lang w:eastAsia="uk-UA"/>
              </w:rPr>
              <w:t>,00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jc w:val="center"/>
              <w:rPr>
                <w:sz w:val="18"/>
                <w:szCs w:val="18"/>
              </w:rPr>
            </w:pPr>
            <w:r w:rsidRPr="005C57BD">
              <w:rPr>
                <w:bCs/>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jc w:val="center"/>
              <w:rPr>
                <w:color w:val="000000"/>
                <w:sz w:val="18"/>
                <w:szCs w:val="18"/>
                <w:lang w:eastAsia="uk-UA"/>
              </w:rPr>
            </w:pPr>
            <w:r w:rsidRPr="005C57BD">
              <w:rPr>
                <w:color w:val="000000"/>
                <w:sz w:val="18"/>
                <w:szCs w:val="18"/>
                <w:lang w:eastAsia="uk-UA"/>
              </w:rPr>
              <w:t>6000</w:t>
            </w:r>
            <w:r>
              <w:rPr>
                <w:color w:val="000000"/>
                <w:sz w:val="18"/>
                <w:szCs w:val="18"/>
                <w:lang w:eastAsia="uk-UA"/>
              </w:rPr>
              <w:t>,00</w:t>
            </w:r>
          </w:p>
        </w:tc>
      </w:tr>
      <w:tr w:rsidR="00E021FE" w:rsidRPr="00E95FB1" w:rsidTr="005C57BD">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5C57BD" w:rsidRDefault="00E021FE" w:rsidP="005C57BD">
            <w:pPr>
              <w:jc w:val="center"/>
              <w:rPr>
                <w:color w:val="000000"/>
                <w:sz w:val="18"/>
                <w:szCs w:val="18"/>
                <w:lang w:eastAsia="uk-UA"/>
              </w:rPr>
            </w:pPr>
            <w:r>
              <w:rPr>
                <w:color w:val="000000"/>
                <w:sz w:val="18"/>
                <w:szCs w:val="18"/>
                <w:lang w:eastAsia="uk-UA"/>
              </w:rPr>
              <w:t>3</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5C57BD">
            <w:pPr>
              <w:jc w:val="center"/>
              <w:rPr>
                <w:color w:val="000000"/>
                <w:sz w:val="18"/>
                <w:szCs w:val="18"/>
                <w:lang w:eastAsia="uk-UA"/>
              </w:rPr>
            </w:pPr>
            <w:r w:rsidRPr="00F600D3">
              <w:rPr>
                <w:rFonts w:eastAsia="Calibri"/>
                <w:bCs/>
                <w:color w:val="000000"/>
                <w:sz w:val="18"/>
                <w:szCs w:val="18"/>
              </w:rPr>
              <w:t>Відновлення діяльності Ясел-садка № 11 міста Сєвєродонецька Луганської області, вул. Енергетиків 28/А</w:t>
            </w:r>
          </w:p>
        </w:tc>
        <w:tc>
          <w:tcPr>
            <w:tcW w:w="1736" w:type="dxa"/>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jc w:val="center"/>
              <w:rPr>
                <w:color w:val="000000"/>
                <w:sz w:val="18"/>
                <w:szCs w:val="18"/>
                <w:lang w:eastAsia="uk-UA"/>
              </w:rPr>
            </w:pPr>
            <w:r w:rsidRPr="005C57BD">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jc w:val="center"/>
              <w:rPr>
                <w:color w:val="000000"/>
                <w:sz w:val="18"/>
                <w:szCs w:val="18"/>
                <w:lang w:eastAsia="uk-UA"/>
              </w:rPr>
            </w:pPr>
            <w:r w:rsidRPr="005C57BD">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jc w:val="center"/>
              <w:rPr>
                <w:color w:val="000000"/>
                <w:sz w:val="18"/>
                <w:szCs w:val="18"/>
                <w:lang w:eastAsia="uk-UA"/>
              </w:rPr>
            </w:pPr>
            <w:r w:rsidRPr="005C57BD">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jc w:val="center"/>
              <w:rPr>
                <w:color w:val="000000"/>
                <w:sz w:val="18"/>
                <w:szCs w:val="18"/>
                <w:lang w:eastAsia="uk-UA"/>
              </w:rPr>
            </w:pPr>
            <w:r w:rsidRPr="005C57BD">
              <w:rPr>
                <w:color w:val="000000"/>
                <w:sz w:val="18"/>
                <w:szCs w:val="18"/>
                <w:lang w:eastAsia="uk-UA"/>
              </w:rPr>
              <w:t>6000</w:t>
            </w:r>
            <w:r>
              <w:rPr>
                <w:color w:val="000000"/>
                <w:sz w:val="18"/>
                <w:szCs w:val="18"/>
                <w:lang w:eastAsia="uk-UA"/>
              </w:rPr>
              <w:t>,00</w:t>
            </w:r>
          </w:p>
        </w:tc>
        <w:tc>
          <w:tcPr>
            <w:tcW w:w="992" w:type="dxa"/>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jc w:val="center"/>
              <w:rPr>
                <w:color w:val="000000"/>
                <w:sz w:val="18"/>
                <w:szCs w:val="18"/>
                <w:lang w:eastAsia="uk-UA"/>
              </w:rPr>
            </w:pPr>
            <w:r w:rsidRPr="005C57BD">
              <w:rPr>
                <w:color w:val="000000"/>
                <w:sz w:val="18"/>
                <w:szCs w:val="18"/>
                <w:lang w:eastAsia="uk-UA"/>
              </w:rPr>
              <w:t>4000</w:t>
            </w:r>
            <w:r>
              <w:rPr>
                <w:color w:val="000000"/>
                <w:sz w:val="18"/>
                <w:szCs w:val="18"/>
                <w:lang w:eastAsia="uk-UA"/>
              </w:rPr>
              <w:t>,00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jc w:val="center"/>
              <w:rPr>
                <w:color w:val="000000"/>
                <w:sz w:val="18"/>
                <w:szCs w:val="18"/>
                <w:lang w:eastAsia="uk-UA"/>
              </w:rPr>
            </w:pPr>
            <w:r w:rsidRPr="005C57BD">
              <w:rPr>
                <w:bCs/>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jc w:val="center"/>
              <w:rPr>
                <w:color w:val="000000"/>
                <w:sz w:val="18"/>
                <w:szCs w:val="18"/>
                <w:lang w:eastAsia="uk-UA"/>
              </w:rPr>
            </w:pPr>
            <w:r w:rsidRPr="005C57BD">
              <w:rPr>
                <w:color w:val="000000"/>
                <w:sz w:val="18"/>
                <w:szCs w:val="18"/>
                <w:lang w:eastAsia="uk-UA"/>
              </w:rPr>
              <w:t>10000</w:t>
            </w:r>
            <w:r>
              <w:rPr>
                <w:color w:val="000000"/>
                <w:sz w:val="18"/>
                <w:szCs w:val="18"/>
                <w:lang w:eastAsia="uk-UA"/>
              </w:rPr>
              <w:t>,00</w:t>
            </w:r>
          </w:p>
        </w:tc>
      </w:tr>
      <w:tr w:rsidR="00E021FE" w:rsidRPr="00E95FB1" w:rsidTr="00AB6D1C">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sidRPr="00AB6D1C">
              <w:rPr>
                <w:color w:val="000000"/>
                <w:sz w:val="18"/>
                <w:szCs w:val="18"/>
                <w:lang w:eastAsia="uk-UA"/>
              </w:rPr>
              <w:t>4</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AB6D1C">
            <w:pPr>
              <w:jc w:val="center"/>
              <w:rPr>
                <w:rFonts w:eastAsia="Calibri"/>
                <w:bCs/>
                <w:color w:val="000000"/>
                <w:sz w:val="18"/>
                <w:szCs w:val="18"/>
              </w:rPr>
            </w:pPr>
            <w:r w:rsidRPr="00F600D3">
              <w:rPr>
                <w:rFonts w:eastAsia="Calibri"/>
                <w:color w:val="000000"/>
                <w:sz w:val="18"/>
                <w:szCs w:val="18"/>
              </w:rPr>
              <w:t>Капітальний ремонт будівлі Ясел-садка № 12 м. Сєвєродонецька Луганської області, вул. Курчатова, буд. 27/Г</w:t>
            </w:r>
          </w:p>
        </w:tc>
        <w:tc>
          <w:tcPr>
            <w:tcW w:w="1736"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sidRPr="00AB6D1C">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sidRPr="00AB6D1C">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sidRPr="00AB6D1C">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autoSpaceDE w:val="0"/>
              <w:autoSpaceDN w:val="0"/>
              <w:adjustRightInd w:val="0"/>
              <w:jc w:val="center"/>
              <w:rPr>
                <w:rFonts w:eastAsia="Calibri"/>
                <w:color w:val="000000"/>
                <w:sz w:val="18"/>
                <w:szCs w:val="18"/>
              </w:rPr>
            </w:pPr>
          </w:p>
          <w:p w:rsidR="00E021FE" w:rsidRPr="00AB6D1C" w:rsidRDefault="00E021FE" w:rsidP="00AB6D1C">
            <w:pPr>
              <w:autoSpaceDE w:val="0"/>
              <w:autoSpaceDN w:val="0"/>
              <w:adjustRightInd w:val="0"/>
              <w:jc w:val="center"/>
              <w:rPr>
                <w:rFonts w:eastAsia="Calibri"/>
                <w:color w:val="000000"/>
                <w:sz w:val="18"/>
                <w:szCs w:val="18"/>
              </w:rPr>
            </w:pPr>
            <w:r w:rsidRPr="00AB6D1C">
              <w:rPr>
                <w:rFonts w:eastAsia="Calibri"/>
                <w:color w:val="000000"/>
                <w:sz w:val="18"/>
                <w:szCs w:val="18"/>
              </w:rPr>
              <w:t>28 000,0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autoSpaceDE w:val="0"/>
              <w:autoSpaceDN w:val="0"/>
              <w:adjustRightInd w:val="0"/>
              <w:jc w:val="center"/>
              <w:rPr>
                <w:rFonts w:eastAsia="Calibri"/>
                <w:color w:val="000000"/>
                <w:sz w:val="18"/>
                <w:szCs w:val="18"/>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autoSpaceDE w:val="0"/>
              <w:autoSpaceDN w:val="0"/>
              <w:adjustRightInd w:val="0"/>
              <w:jc w:val="center"/>
              <w:rPr>
                <w:rFonts w:eastAsia="Calibri"/>
                <w:color w:val="000000"/>
                <w:sz w:val="18"/>
                <w:szCs w:val="18"/>
              </w:rPr>
            </w:pPr>
            <w:r w:rsidRPr="00AB6D1C">
              <w:rPr>
                <w:rFonts w:eastAsia="Calibri"/>
                <w:color w:val="000000"/>
                <w:sz w:val="18"/>
                <w:szCs w:val="18"/>
              </w:rPr>
              <w:t>12 000,0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autoSpaceDE w:val="0"/>
              <w:autoSpaceDN w:val="0"/>
              <w:adjustRightInd w:val="0"/>
              <w:jc w:val="center"/>
              <w:rPr>
                <w:rFonts w:eastAsia="Calibri"/>
                <w:color w:val="000000"/>
                <w:sz w:val="18"/>
                <w:szCs w:val="18"/>
              </w:rPr>
            </w:pPr>
            <w:r w:rsidRPr="00AB6D1C">
              <w:rPr>
                <w:bCs/>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sidRPr="00AB6D1C">
              <w:rPr>
                <w:color w:val="000000"/>
                <w:sz w:val="18"/>
                <w:szCs w:val="18"/>
                <w:lang w:eastAsia="uk-UA"/>
              </w:rPr>
              <w:t>40000,0</w:t>
            </w:r>
          </w:p>
        </w:tc>
      </w:tr>
      <w:tr w:rsidR="00E021FE" w:rsidRPr="00E95FB1" w:rsidTr="00AB6D1C">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sidRPr="00AB6D1C">
              <w:rPr>
                <w:color w:val="000000"/>
                <w:sz w:val="18"/>
                <w:szCs w:val="18"/>
                <w:lang w:eastAsia="uk-UA"/>
              </w:rPr>
              <w:t>5</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AB6D1C">
            <w:pPr>
              <w:autoSpaceDE w:val="0"/>
              <w:autoSpaceDN w:val="0"/>
              <w:adjustRightInd w:val="0"/>
              <w:jc w:val="center"/>
              <w:rPr>
                <w:rFonts w:eastAsia="Calibri"/>
                <w:color w:val="000000"/>
                <w:sz w:val="18"/>
                <w:szCs w:val="18"/>
              </w:rPr>
            </w:pPr>
            <w:r w:rsidRPr="00F600D3">
              <w:rPr>
                <w:rFonts w:eastAsia="Calibri"/>
                <w:color w:val="000000"/>
                <w:sz w:val="18"/>
                <w:szCs w:val="18"/>
              </w:rPr>
              <w:t xml:space="preserve">Відновлення благоустрою території  та забезпечення </w:t>
            </w:r>
            <w:proofErr w:type="spellStart"/>
            <w:r w:rsidRPr="00F600D3">
              <w:rPr>
                <w:rFonts w:eastAsia="Calibri"/>
                <w:color w:val="000000"/>
                <w:sz w:val="18"/>
                <w:szCs w:val="18"/>
              </w:rPr>
              <w:t>енергоефекивного</w:t>
            </w:r>
            <w:proofErr w:type="spellEnd"/>
            <w:r w:rsidRPr="00F600D3">
              <w:rPr>
                <w:rFonts w:eastAsia="Calibri"/>
                <w:color w:val="000000"/>
                <w:sz w:val="18"/>
                <w:szCs w:val="18"/>
              </w:rPr>
              <w:t xml:space="preserve"> зовнішнього освітлення,  відновлення спортивного та  ігрових майданчиків</w:t>
            </w:r>
          </w:p>
          <w:p w:rsidR="00E021FE" w:rsidRPr="00F600D3" w:rsidRDefault="00E021FE" w:rsidP="00AB6D1C">
            <w:pPr>
              <w:jc w:val="center"/>
              <w:rPr>
                <w:rFonts w:eastAsia="Calibri"/>
                <w:bCs/>
                <w:color w:val="000000"/>
                <w:sz w:val="18"/>
                <w:szCs w:val="18"/>
              </w:rPr>
            </w:pPr>
            <w:r w:rsidRPr="00F600D3">
              <w:rPr>
                <w:rFonts w:eastAsia="Calibri"/>
                <w:color w:val="000000"/>
                <w:sz w:val="18"/>
                <w:szCs w:val="18"/>
              </w:rPr>
              <w:t>Ясел-садка № 12 міста Сєвєродонецьк Луганської області, вул. Курчатова, буд. 27/Г</w:t>
            </w:r>
          </w:p>
        </w:tc>
        <w:tc>
          <w:tcPr>
            <w:tcW w:w="1736"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sidRPr="00AB6D1C">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sidRPr="00AB6D1C">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sidRPr="00AB6D1C">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sidRPr="00AB6D1C">
              <w:rPr>
                <w:rFonts w:eastAsia="Calibri"/>
                <w:color w:val="000000"/>
                <w:sz w:val="18"/>
                <w:szCs w:val="18"/>
              </w:rPr>
              <w:t>3500,0</w:t>
            </w:r>
          </w:p>
        </w:tc>
        <w:tc>
          <w:tcPr>
            <w:tcW w:w="992"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sidRPr="00AB6D1C">
              <w:rPr>
                <w:rFonts w:eastAsia="Calibri"/>
                <w:color w:val="000000"/>
                <w:sz w:val="18"/>
                <w:szCs w:val="18"/>
              </w:rPr>
              <w:t>3500,0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sz w:val="18"/>
                <w:szCs w:val="18"/>
              </w:rPr>
            </w:pPr>
            <w:r w:rsidRPr="00AB6D1C">
              <w:rPr>
                <w:bCs/>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sidRPr="00AB6D1C">
              <w:rPr>
                <w:color w:val="000000"/>
                <w:sz w:val="18"/>
                <w:szCs w:val="18"/>
                <w:lang w:eastAsia="uk-UA"/>
              </w:rPr>
              <w:t>7000,0</w:t>
            </w:r>
          </w:p>
        </w:tc>
      </w:tr>
      <w:tr w:rsidR="00E021FE" w:rsidRPr="00E95FB1" w:rsidTr="00AB6D1C">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sidRPr="00AB6D1C">
              <w:rPr>
                <w:color w:val="000000"/>
                <w:sz w:val="18"/>
                <w:szCs w:val="18"/>
                <w:lang w:eastAsia="uk-UA"/>
              </w:rPr>
              <w:t>6</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AB6D1C">
            <w:pPr>
              <w:autoSpaceDE w:val="0"/>
              <w:autoSpaceDN w:val="0"/>
              <w:adjustRightInd w:val="0"/>
              <w:jc w:val="center"/>
              <w:rPr>
                <w:rFonts w:eastAsia="Calibri"/>
                <w:color w:val="000000"/>
                <w:sz w:val="18"/>
                <w:szCs w:val="18"/>
              </w:rPr>
            </w:pPr>
            <w:r w:rsidRPr="00F600D3">
              <w:rPr>
                <w:rFonts w:eastAsia="Calibri"/>
                <w:color w:val="000000"/>
                <w:sz w:val="18"/>
                <w:szCs w:val="18"/>
              </w:rPr>
              <w:t xml:space="preserve">Відновлення діяльності ЗДО. Оснащення кабінетів адміністрації спеціалістів, спортивної і музичної </w:t>
            </w:r>
            <w:r w:rsidRPr="00F600D3">
              <w:rPr>
                <w:rFonts w:eastAsia="Calibri"/>
                <w:color w:val="000000"/>
                <w:sz w:val="18"/>
                <w:szCs w:val="18"/>
              </w:rPr>
              <w:lastRenderedPageBreak/>
              <w:t>зали, групових приміщень Ясел-садка № 12 міста Сєвєродонецьк Луганської області, вул. Курчатова,</w:t>
            </w:r>
          </w:p>
          <w:p w:rsidR="00E021FE" w:rsidRPr="00F600D3" w:rsidRDefault="00E021FE" w:rsidP="00AB6D1C">
            <w:pPr>
              <w:jc w:val="center"/>
              <w:rPr>
                <w:rFonts w:eastAsia="Calibri"/>
                <w:bCs/>
                <w:color w:val="000000"/>
                <w:sz w:val="18"/>
                <w:szCs w:val="18"/>
              </w:rPr>
            </w:pPr>
            <w:r w:rsidRPr="00F600D3">
              <w:rPr>
                <w:rFonts w:eastAsia="Calibri"/>
                <w:color w:val="000000"/>
                <w:sz w:val="18"/>
                <w:szCs w:val="18"/>
              </w:rPr>
              <w:t>буд. 27/Г</w:t>
            </w:r>
          </w:p>
        </w:tc>
        <w:tc>
          <w:tcPr>
            <w:tcW w:w="1736"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sidRPr="00AB6D1C">
              <w:rPr>
                <w:sz w:val="18"/>
                <w:szCs w:val="18"/>
              </w:rPr>
              <w:lastRenderedPageBreak/>
              <w:t xml:space="preserve">Сєвєродонецька міська </w:t>
            </w:r>
            <w:r w:rsidRPr="00AB6D1C">
              <w:rPr>
                <w:sz w:val="18"/>
                <w:szCs w:val="18"/>
              </w:rPr>
              <w:lastRenderedPageBreak/>
              <w:t>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sidRPr="00AB6D1C">
              <w:rPr>
                <w:sz w:val="18"/>
                <w:szCs w:val="18"/>
              </w:rPr>
              <w:lastRenderedPageBreak/>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sidRPr="00AB6D1C">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p>
        </w:tc>
        <w:tc>
          <w:tcPr>
            <w:tcW w:w="992"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sidRPr="00AB6D1C">
              <w:rPr>
                <w:color w:val="000000"/>
                <w:sz w:val="18"/>
                <w:szCs w:val="18"/>
                <w:lang w:eastAsia="uk-UA"/>
              </w:rPr>
              <w:t>6000,00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sz w:val="18"/>
                <w:szCs w:val="18"/>
              </w:rPr>
            </w:pPr>
            <w:r w:rsidRPr="00AB6D1C">
              <w:rPr>
                <w:bCs/>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sidRPr="00AB6D1C">
              <w:rPr>
                <w:color w:val="000000"/>
                <w:sz w:val="18"/>
                <w:szCs w:val="18"/>
                <w:lang w:eastAsia="uk-UA"/>
              </w:rPr>
              <w:t>6000,0</w:t>
            </w:r>
          </w:p>
        </w:tc>
      </w:tr>
      <w:tr w:rsidR="00E021FE" w:rsidRPr="00E95FB1" w:rsidTr="00AB6D1C">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sidRPr="00AB6D1C">
              <w:rPr>
                <w:color w:val="000000"/>
                <w:sz w:val="18"/>
                <w:szCs w:val="18"/>
                <w:lang w:eastAsia="uk-UA"/>
              </w:rPr>
              <w:t>7</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AB6D1C">
            <w:pPr>
              <w:jc w:val="center"/>
              <w:rPr>
                <w:rFonts w:eastAsia="Calibri"/>
                <w:bCs/>
                <w:color w:val="000000"/>
                <w:sz w:val="18"/>
                <w:szCs w:val="18"/>
              </w:rPr>
            </w:pPr>
            <w:r w:rsidRPr="00F600D3">
              <w:rPr>
                <w:rFonts w:eastAsia="Calibri"/>
                <w:color w:val="000000"/>
                <w:kern w:val="2"/>
                <w:sz w:val="18"/>
                <w:szCs w:val="18"/>
              </w:rPr>
              <w:t>Оснащення ресурсної кімнати та фізкультурно-рекреаційної зони  Ясел-садка № 12 міста Сєвєродонецьк Луганської області,  вул. Курчатова, буд. 27/Г</w:t>
            </w:r>
          </w:p>
        </w:tc>
        <w:tc>
          <w:tcPr>
            <w:tcW w:w="1736"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sidRPr="00AB6D1C">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sidRPr="00AB6D1C">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sidRPr="00AB6D1C">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p>
        </w:tc>
        <w:tc>
          <w:tcPr>
            <w:tcW w:w="992"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sidRPr="00AB6D1C">
              <w:rPr>
                <w:color w:val="000000"/>
                <w:sz w:val="18"/>
                <w:szCs w:val="18"/>
                <w:lang w:eastAsia="uk-UA"/>
              </w:rPr>
              <w:t>1000,00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sz w:val="18"/>
                <w:szCs w:val="18"/>
              </w:rPr>
            </w:pPr>
            <w:r w:rsidRPr="00AB6D1C">
              <w:rPr>
                <w:bCs/>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sidRPr="00AB6D1C">
              <w:rPr>
                <w:color w:val="000000"/>
                <w:sz w:val="18"/>
                <w:szCs w:val="18"/>
                <w:lang w:eastAsia="uk-UA"/>
              </w:rPr>
              <w:t>1000,00</w:t>
            </w:r>
          </w:p>
        </w:tc>
      </w:tr>
      <w:tr w:rsidR="00E021FE" w:rsidRPr="00E95FB1" w:rsidTr="00E9364A">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Default="00E021FE" w:rsidP="00AB6D1C">
            <w:pPr>
              <w:jc w:val="center"/>
              <w:rPr>
                <w:color w:val="000000"/>
                <w:sz w:val="18"/>
                <w:szCs w:val="18"/>
                <w:lang w:eastAsia="uk-UA"/>
              </w:rPr>
            </w:pPr>
            <w:r>
              <w:rPr>
                <w:color w:val="000000"/>
                <w:sz w:val="18"/>
                <w:szCs w:val="18"/>
                <w:lang w:eastAsia="uk-UA"/>
              </w:rPr>
              <w:t>8</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E9364A">
            <w:pPr>
              <w:jc w:val="center"/>
              <w:rPr>
                <w:rFonts w:eastAsia="Calibri"/>
                <w:bCs/>
                <w:color w:val="000000"/>
                <w:sz w:val="18"/>
                <w:szCs w:val="18"/>
              </w:rPr>
            </w:pPr>
            <w:r w:rsidRPr="00F600D3">
              <w:rPr>
                <w:bCs/>
                <w:sz w:val="18"/>
                <w:szCs w:val="18"/>
              </w:rPr>
              <w:t xml:space="preserve">Відновлення будівель та території </w:t>
            </w:r>
            <w:r w:rsidRPr="00F600D3">
              <w:rPr>
                <w:rFonts w:eastAsia="Calibri"/>
                <w:color w:val="000000"/>
                <w:sz w:val="18"/>
                <w:szCs w:val="18"/>
              </w:rPr>
              <w:t xml:space="preserve">Ясел-садка № 14 міста Сєвєродонецька Луганської області, </w:t>
            </w:r>
            <w:proofErr w:type="spellStart"/>
            <w:r w:rsidRPr="00F600D3">
              <w:rPr>
                <w:rFonts w:eastAsia="Calibri"/>
                <w:color w:val="000000"/>
                <w:sz w:val="18"/>
                <w:szCs w:val="18"/>
              </w:rPr>
              <w:t>вул.Автомобільна</w:t>
            </w:r>
            <w:proofErr w:type="spellEnd"/>
            <w:r w:rsidRPr="00F600D3">
              <w:rPr>
                <w:rFonts w:eastAsia="Calibri"/>
                <w:color w:val="000000"/>
                <w:sz w:val="18"/>
                <w:szCs w:val="18"/>
              </w:rPr>
              <w:t>, буд.7А</w:t>
            </w:r>
          </w:p>
        </w:tc>
        <w:tc>
          <w:tcPr>
            <w:tcW w:w="1736"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r w:rsidRPr="00E9364A">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r w:rsidRPr="00E9364A">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r w:rsidRPr="00E9364A">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r w:rsidRPr="00E9364A">
              <w:rPr>
                <w:color w:val="000000"/>
                <w:sz w:val="18"/>
                <w:szCs w:val="18"/>
                <w:lang w:eastAsia="uk-UA"/>
              </w:rPr>
              <w:t>500,00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r w:rsidRPr="00E9364A">
              <w:rPr>
                <w:color w:val="000000"/>
                <w:sz w:val="18"/>
                <w:szCs w:val="18"/>
                <w:lang w:eastAsia="uk-UA"/>
              </w:rPr>
              <w:t>6500,00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rPr>
            </w:pPr>
            <w:r w:rsidRPr="00E9364A">
              <w:rPr>
                <w:color w:val="000000"/>
                <w:sz w:val="18"/>
                <w:szCs w:val="18"/>
              </w:rPr>
              <w:t>Міжнародні інвестиції, державний бюджет, обласний бюджет  та інші джерела</w:t>
            </w:r>
          </w:p>
        </w:tc>
        <w:tc>
          <w:tcPr>
            <w:tcW w:w="1164"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r w:rsidRPr="00E9364A">
              <w:rPr>
                <w:color w:val="000000"/>
                <w:sz w:val="18"/>
                <w:szCs w:val="18"/>
                <w:lang w:eastAsia="uk-UA"/>
              </w:rPr>
              <w:t>7000,00</w:t>
            </w:r>
          </w:p>
        </w:tc>
      </w:tr>
      <w:tr w:rsidR="00E021FE" w:rsidRPr="00E95FB1" w:rsidTr="00E9364A">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Default="00E021FE" w:rsidP="00AB6D1C">
            <w:pPr>
              <w:jc w:val="center"/>
              <w:rPr>
                <w:color w:val="000000"/>
                <w:sz w:val="18"/>
                <w:szCs w:val="18"/>
                <w:lang w:eastAsia="uk-UA"/>
              </w:rPr>
            </w:pPr>
            <w:r>
              <w:rPr>
                <w:color w:val="000000"/>
                <w:sz w:val="18"/>
                <w:szCs w:val="18"/>
                <w:lang w:eastAsia="uk-UA"/>
              </w:rPr>
              <w:t>9</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E9364A">
            <w:pPr>
              <w:jc w:val="center"/>
              <w:rPr>
                <w:rFonts w:eastAsia="Calibri"/>
                <w:bCs/>
                <w:color w:val="000000"/>
                <w:sz w:val="18"/>
                <w:szCs w:val="18"/>
              </w:rPr>
            </w:pPr>
            <w:r w:rsidRPr="00F600D3">
              <w:rPr>
                <w:rFonts w:eastAsia="Calibri"/>
                <w:color w:val="000000"/>
                <w:sz w:val="18"/>
                <w:szCs w:val="18"/>
              </w:rPr>
              <w:t>Оснащення кабінетів фахівців, спортивної та музичної зал, фахівців допоміжних служб Ясел-садка №14 міста Сєвєродонецька Луганської області, вул. Автомобільна, буд.7А</w:t>
            </w:r>
          </w:p>
        </w:tc>
        <w:tc>
          <w:tcPr>
            <w:tcW w:w="1736"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r w:rsidRPr="00E9364A">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r w:rsidRPr="00E9364A">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r w:rsidRPr="00E9364A">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r w:rsidRPr="00E9364A">
              <w:rPr>
                <w:color w:val="000000"/>
                <w:sz w:val="18"/>
                <w:szCs w:val="18"/>
                <w:lang w:eastAsia="uk-UA"/>
              </w:rPr>
              <w:t>300,00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r w:rsidRPr="00E9364A">
              <w:rPr>
                <w:color w:val="000000"/>
                <w:sz w:val="18"/>
                <w:szCs w:val="18"/>
                <w:lang w:eastAsia="uk-UA"/>
              </w:rPr>
              <w:t>1700,00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rPr>
            </w:pPr>
            <w:r w:rsidRPr="00E9364A">
              <w:rPr>
                <w:color w:val="000000"/>
                <w:sz w:val="18"/>
                <w:szCs w:val="18"/>
              </w:rPr>
              <w:t>Міжнародні інвестиції, державний бюджет, обласний бюджет  та інші джерела</w:t>
            </w:r>
          </w:p>
        </w:tc>
        <w:tc>
          <w:tcPr>
            <w:tcW w:w="1164"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r w:rsidRPr="00E9364A">
              <w:rPr>
                <w:color w:val="000000"/>
                <w:sz w:val="18"/>
                <w:szCs w:val="18"/>
                <w:lang w:eastAsia="uk-UA"/>
              </w:rPr>
              <w:t>2000,00</w:t>
            </w:r>
          </w:p>
        </w:tc>
      </w:tr>
      <w:tr w:rsidR="00E021FE" w:rsidRPr="00E95FB1" w:rsidTr="00E9364A">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Default="00E021FE" w:rsidP="00E9364A">
            <w:pPr>
              <w:jc w:val="center"/>
              <w:rPr>
                <w:color w:val="000000"/>
                <w:sz w:val="18"/>
                <w:szCs w:val="18"/>
                <w:lang w:eastAsia="uk-UA"/>
              </w:rPr>
            </w:pPr>
            <w:r>
              <w:rPr>
                <w:color w:val="000000"/>
                <w:sz w:val="18"/>
                <w:szCs w:val="18"/>
                <w:lang w:eastAsia="uk-UA"/>
              </w:rPr>
              <w:t>10</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E9364A">
            <w:pPr>
              <w:autoSpaceDE w:val="0"/>
              <w:autoSpaceDN w:val="0"/>
              <w:adjustRightInd w:val="0"/>
              <w:jc w:val="center"/>
              <w:rPr>
                <w:rFonts w:eastAsia="Calibri"/>
                <w:color w:val="000000"/>
                <w:sz w:val="18"/>
                <w:szCs w:val="18"/>
              </w:rPr>
            </w:pPr>
            <w:r w:rsidRPr="00F600D3">
              <w:rPr>
                <w:rFonts w:eastAsia="Calibri"/>
                <w:color w:val="000000"/>
                <w:sz w:val="18"/>
                <w:szCs w:val="18"/>
              </w:rPr>
              <w:t>Капітальний ремонт будівлі Ясел-садка №19 міста Сєвєродонецька</w:t>
            </w:r>
          </w:p>
          <w:p w:rsidR="00E021FE" w:rsidRPr="00F600D3" w:rsidRDefault="00E021FE" w:rsidP="00E9364A">
            <w:pPr>
              <w:jc w:val="center"/>
              <w:rPr>
                <w:rFonts w:eastAsia="Calibri"/>
                <w:bCs/>
                <w:color w:val="000000"/>
                <w:sz w:val="18"/>
                <w:szCs w:val="18"/>
              </w:rPr>
            </w:pPr>
            <w:r w:rsidRPr="00F600D3">
              <w:rPr>
                <w:rFonts w:eastAsia="Calibri"/>
                <w:color w:val="000000"/>
                <w:sz w:val="18"/>
                <w:szCs w:val="18"/>
              </w:rPr>
              <w:t>Луганської області</w:t>
            </w:r>
            <w:r w:rsidR="0085466F">
              <w:rPr>
                <w:rFonts w:eastAsia="Calibri"/>
                <w:color w:val="000000"/>
                <w:sz w:val="18"/>
                <w:szCs w:val="18"/>
              </w:rPr>
              <w:t>,</w:t>
            </w:r>
            <w:r w:rsidRPr="00F600D3">
              <w:rPr>
                <w:rFonts w:eastAsia="Calibri"/>
                <w:color w:val="000000"/>
                <w:sz w:val="18"/>
                <w:szCs w:val="18"/>
              </w:rPr>
              <w:t xml:space="preserve"> проспект Гвардійський б.14-б</w:t>
            </w:r>
          </w:p>
        </w:tc>
        <w:tc>
          <w:tcPr>
            <w:tcW w:w="1736"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r w:rsidRPr="00E9364A">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r w:rsidRPr="00E9364A">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r w:rsidRPr="00E9364A">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r w:rsidRPr="00E9364A">
              <w:rPr>
                <w:rFonts w:eastAsia="Calibri"/>
                <w:color w:val="000000"/>
                <w:sz w:val="18"/>
                <w:szCs w:val="18"/>
              </w:rPr>
              <w:t>60000,0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autoSpaceDE w:val="0"/>
              <w:autoSpaceDN w:val="0"/>
              <w:adjustRightInd w:val="0"/>
              <w:jc w:val="center"/>
              <w:rPr>
                <w:rFonts w:eastAsia="Calibri"/>
                <w:color w:val="000000"/>
                <w:sz w:val="18"/>
                <w:szCs w:val="18"/>
              </w:rPr>
            </w:pPr>
            <w:r w:rsidRPr="00E9364A">
              <w:rPr>
                <w:rFonts w:eastAsia="Calibri"/>
                <w:color w:val="000000"/>
                <w:sz w:val="18"/>
                <w:szCs w:val="18"/>
              </w:rPr>
              <w:t>47000,0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autoSpaceDE w:val="0"/>
              <w:autoSpaceDN w:val="0"/>
              <w:adjustRightInd w:val="0"/>
              <w:jc w:val="center"/>
              <w:rPr>
                <w:rFonts w:eastAsia="Calibri"/>
                <w:color w:val="000000"/>
                <w:sz w:val="18"/>
                <w:szCs w:val="18"/>
              </w:rPr>
            </w:pPr>
            <w:r w:rsidRPr="00E9364A">
              <w:rPr>
                <w:rFonts w:eastAsia="Calibri"/>
                <w:color w:val="000000"/>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r w:rsidRPr="00E9364A">
              <w:rPr>
                <w:color w:val="000000"/>
                <w:sz w:val="18"/>
                <w:szCs w:val="18"/>
                <w:lang w:eastAsia="uk-UA"/>
              </w:rPr>
              <w:t>107000,00</w:t>
            </w:r>
          </w:p>
        </w:tc>
      </w:tr>
      <w:tr w:rsidR="00E021FE" w:rsidRPr="00E95FB1" w:rsidTr="00E9364A">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Default="00E021FE" w:rsidP="00E9364A">
            <w:pPr>
              <w:jc w:val="center"/>
              <w:rPr>
                <w:color w:val="000000"/>
                <w:sz w:val="18"/>
                <w:szCs w:val="18"/>
                <w:lang w:eastAsia="uk-UA"/>
              </w:rPr>
            </w:pPr>
            <w:r>
              <w:rPr>
                <w:color w:val="000000"/>
                <w:sz w:val="18"/>
                <w:szCs w:val="18"/>
                <w:lang w:eastAsia="uk-UA"/>
              </w:rPr>
              <w:t>11</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E9364A">
            <w:pPr>
              <w:jc w:val="center"/>
              <w:rPr>
                <w:rFonts w:eastAsia="Calibri"/>
                <w:bCs/>
                <w:color w:val="000000"/>
                <w:sz w:val="18"/>
                <w:szCs w:val="18"/>
              </w:rPr>
            </w:pPr>
            <w:r w:rsidRPr="00F600D3">
              <w:rPr>
                <w:sz w:val="18"/>
                <w:szCs w:val="18"/>
              </w:rPr>
              <w:t>Оснащення  Ясел-садка №19 міста Сєвєродонецька Луганської області, пр. Гвардійський 14-Б</w:t>
            </w:r>
          </w:p>
        </w:tc>
        <w:tc>
          <w:tcPr>
            <w:tcW w:w="1736"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r w:rsidRPr="00E9364A">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r w:rsidRPr="00E9364A">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r w:rsidRPr="00E9364A">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r w:rsidRPr="00E9364A">
              <w:rPr>
                <w:color w:val="000000"/>
                <w:sz w:val="18"/>
                <w:szCs w:val="18"/>
                <w:lang w:eastAsia="uk-UA"/>
              </w:rPr>
              <w:t>5000,00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autoSpaceDE w:val="0"/>
              <w:autoSpaceDN w:val="0"/>
              <w:adjustRightInd w:val="0"/>
              <w:jc w:val="center"/>
              <w:rPr>
                <w:rFonts w:eastAsia="Calibri"/>
                <w:sz w:val="18"/>
                <w:szCs w:val="18"/>
              </w:rPr>
            </w:pPr>
            <w:r w:rsidRPr="00E9364A">
              <w:rPr>
                <w:rFonts w:eastAsia="Calibri"/>
                <w:sz w:val="18"/>
                <w:szCs w:val="18"/>
              </w:rPr>
              <w:t>9640,0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autoSpaceDE w:val="0"/>
              <w:autoSpaceDN w:val="0"/>
              <w:adjustRightInd w:val="0"/>
              <w:jc w:val="center"/>
              <w:rPr>
                <w:rFonts w:eastAsia="Calibri"/>
                <w:sz w:val="18"/>
                <w:szCs w:val="18"/>
              </w:rPr>
            </w:pPr>
            <w:r w:rsidRPr="00E9364A">
              <w:rPr>
                <w:rFonts w:eastAsia="Calibri"/>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r w:rsidRPr="00E9364A">
              <w:rPr>
                <w:rFonts w:eastAsia="Calibri"/>
                <w:sz w:val="18"/>
                <w:szCs w:val="18"/>
              </w:rPr>
              <w:t>14640,0</w:t>
            </w:r>
          </w:p>
        </w:tc>
      </w:tr>
      <w:tr w:rsidR="00E021FE" w:rsidRPr="00E95FB1" w:rsidTr="00F069E5">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F069E5" w:rsidRDefault="00E021FE" w:rsidP="00F069E5">
            <w:pPr>
              <w:jc w:val="center"/>
              <w:rPr>
                <w:color w:val="000000"/>
                <w:sz w:val="18"/>
                <w:szCs w:val="18"/>
                <w:lang w:eastAsia="uk-UA"/>
              </w:rPr>
            </w:pPr>
            <w:r w:rsidRPr="00F069E5">
              <w:rPr>
                <w:color w:val="000000"/>
                <w:sz w:val="18"/>
                <w:szCs w:val="18"/>
                <w:lang w:eastAsia="uk-UA"/>
              </w:rPr>
              <w:t>12</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F069E5">
            <w:pPr>
              <w:autoSpaceDE w:val="0"/>
              <w:autoSpaceDN w:val="0"/>
              <w:adjustRightInd w:val="0"/>
              <w:jc w:val="center"/>
              <w:rPr>
                <w:rFonts w:eastAsia="Calibri"/>
                <w:color w:val="000000"/>
                <w:sz w:val="18"/>
                <w:szCs w:val="18"/>
              </w:rPr>
            </w:pPr>
            <w:r w:rsidRPr="00F600D3">
              <w:rPr>
                <w:rFonts w:eastAsia="Calibri"/>
                <w:color w:val="000000"/>
                <w:sz w:val="18"/>
                <w:szCs w:val="18"/>
              </w:rPr>
              <w:t xml:space="preserve">Відновлення діяльності Ясел-садка № 22 міста Сєвєродонецька Луганської області, за </w:t>
            </w:r>
            <w:proofErr w:type="spellStart"/>
            <w:r w:rsidRPr="00F600D3">
              <w:rPr>
                <w:rFonts w:eastAsia="Calibri"/>
                <w:color w:val="000000"/>
                <w:sz w:val="18"/>
                <w:szCs w:val="18"/>
              </w:rPr>
              <w:t>адресою</w:t>
            </w:r>
            <w:proofErr w:type="spellEnd"/>
            <w:r w:rsidRPr="00F600D3">
              <w:rPr>
                <w:rFonts w:eastAsia="Calibri"/>
                <w:color w:val="000000"/>
                <w:sz w:val="18"/>
                <w:szCs w:val="18"/>
              </w:rPr>
              <w:t>: 93400, Луганська область, Сєвєродонецький район, м. Сєвєродонецьк, проспект Космонавтів, буд. 6-а.</w:t>
            </w:r>
          </w:p>
        </w:tc>
        <w:tc>
          <w:tcPr>
            <w:tcW w:w="1736" w:type="dxa"/>
            <w:tcBorders>
              <w:top w:val="nil"/>
              <w:left w:val="nil"/>
              <w:bottom w:val="single" w:sz="4" w:space="0" w:color="auto"/>
              <w:right w:val="single" w:sz="4" w:space="0" w:color="auto"/>
            </w:tcBorders>
            <w:shd w:val="clear" w:color="auto" w:fill="auto"/>
            <w:vAlign w:val="center"/>
            <w:hideMark/>
          </w:tcPr>
          <w:p w:rsidR="00E021FE" w:rsidRPr="00F069E5" w:rsidRDefault="00E021FE" w:rsidP="00F069E5">
            <w:pPr>
              <w:jc w:val="center"/>
              <w:rPr>
                <w:color w:val="000000"/>
                <w:sz w:val="18"/>
                <w:szCs w:val="18"/>
                <w:lang w:eastAsia="uk-UA"/>
              </w:rPr>
            </w:pPr>
            <w:r w:rsidRPr="00F069E5">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F069E5" w:rsidRDefault="00E021FE" w:rsidP="00F069E5">
            <w:pPr>
              <w:jc w:val="center"/>
              <w:rPr>
                <w:color w:val="000000"/>
                <w:sz w:val="18"/>
                <w:szCs w:val="18"/>
                <w:lang w:eastAsia="uk-UA"/>
              </w:rPr>
            </w:pPr>
            <w:r w:rsidRPr="00F069E5">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F069E5" w:rsidRDefault="00E021FE" w:rsidP="00F069E5">
            <w:pPr>
              <w:jc w:val="center"/>
              <w:rPr>
                <w:color w:val="000000"/>
                <w:sz w:val="18"/>
                <w:szCs w:val="18"/>
                <w:lang w:eastAsia="uk-UA"/>
              </w:rPr>
            </w:pPr>
            <w:r w:rsidRPr="00F069E5">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F069E5" w:rsidRDefault="00E021FE" w:rsidP="00F069E5">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F069E5" w:rsidRDefault="00E021FE" w:rsidP="00524DBF">
            <w:pPr>
              <w:jc w:val="center"/>
              <w:rPr>
                <w:color w:val="000000"/>
                <w:sz w:val="18"/>
                <w:szCs w:val="18"/>
                <w:lang w:eastAsia="uk-UA"/>
              </w:rPr>
            </w:pPr>
            <w:r>
              <w:rPr>
                <w:rFonts w:eastAsia="Calibri"/>
                <w:color w:val="000000"/>
                <w:sz w:val="18"/>
                <w:szCs w:val="18"/>
                <w:lang w:val="ru-RU"/>
              </w:rPr>
              <w:t>14</w:t>
            </w:r>
            <w:r w:rsidRPr="00F069E5">
              <w:rPr>
                <w:rFonts w:eastAsia="Calibri"/>
                <w:color w:val="000000"/>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rsidR="00E021FE" w:rsidRPr="00F069E5" w:rsidRDefault="00E021FE" w:rsidP="00524DB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F069E5" w:rsidRDefault="00E021FE" w:rsidP="00524DBF">
            <w:pPr>
              <w:jc w:val="center"/>
              <w:rPr>
                <w:color w:val="000000"/>
                <w:sz w:val="18"/>
                <w:szCs w:val="18"/>
                <w:lang w:eastAsia="uk-UA"/>
              </w:rPr>
            </w:pPr>
            <w:r>
              <w:rPr>
                <w:rFonts w:eastAsia="Calibri"/>
                <w:color w:val="000000"/>
                <w:sz w:val="18"/>
                <w:szCs w:val="18"/>
                <w:lang w:val="ru-RU"/>
              </w:rPr>
              <w:t>6</w:t>
            </w:r>
            <w:r w:rsidRPr="00F069E5">
              <w:rPr>
                <w:rFonts w:eastAsia="Calibri"/>
                <w:color w:val="000000"/>
                <w:sz w:val="18"/>
                <w:szCs w:val="18"/>
              </w:rPr>
              <w:t>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F069E5" w:rsidRDefault="00E021FE" w:rsidP="00524DBF">
            <w:pPr>
              <w:jc w:val="center"/>
              <w:rPr>
                <w:bCs/>
                <w:sz w:val="18"/>
                <w:szCs w:val="18"/>
              </w:rPr>
            </w:pPr>
            <w:r w:rsidRPr="00F069E5">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F069E5" w:rsidRDefault="00E021FE" w:rsidP="00524DBF">
            <w:pPr>
              <w:jc w:val="center"/>
              <w:rPr>
                <w:color w:val="000000"/>
                <w:sz w:val="18"/>
                <w:szCs w:val="18"/>
                <w:lang w:eastAsia="uk-UA"/>
              </w:rPr>
            </w:pPr>
            <w:r>
              <w:rPr>
                <w:rFonts w:eastAsia="Calibri"/>
                <w:color w:val="000000"/>
                <w:sz w:val="18"/>
                <w:szCs w:val="18"/>
                <w:lang w:val="ru-RU"/>
              </w:rPr>
              <w:t>20</w:t>
            </w:r>
            <w:r w:rsidRPr="00F069E5">
              <w:rPr>
                <w:rFonts w:eastAsia="Calibri"/>
                <w:color w:val="000000"/>
                <w:sz w:val="18"/>
                <w:szCs w:val="18"/>
              </w:rPr>
              <w:t>00,0</w:t>
            </w:r>
          </w:p>
        </w:tc>
      </w:tr>
      <w:tr w:rsidR="00E021FE" w:rsidRPr="00E95FB1" w:rsidTr="00F069E5">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F069E5" w:rsidRDefault="00E021FE" w:rsidP="00F069E5">
            <w:pPr>
              <w:jc w:val="center"/>
              <w:rPr>
                <w:color w:val="000000"/>
                <w:sz w:val="18"/>
                <w:szCs w:val="18"/>
                <w:lang w:eastAsia="uk-UA"/>
              </w:rPr>
            </w:pPr>
            <w:r w:rsidRPr="00F069E5">
              <w:rPr>
                <w:color w:val="000000"/>
                <w:sz w:val="18"/>
                <w:szCs w:val="18"/>
                <w:lang w:eastAsia="uk-UA"/>
              </w:rPr>
              <w:t>13</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F069E5">
            <w:pPr>
              <w:jc w:val="center"/>
              <w:rPr>
                <w:rFonts w:eastAsia="Calibri"/>
                <w:bCs/>
                <w:color w:val="000000"/>
                <w:sz w:val="18"/>
                <w:szCs w:val="18"/>
              </w:rPr>
            </w:pPr>
            <w:r w:rsidRPr="00F600D3">
              <w:rPr>
                <w:rFonts w:eastAsia="Calibri"/>
                <w:color w:val="000000"/>
                <w:sz w:val="18"/>
                <w:szCs w:val="18"/>
              </w:rPr>
              <w:t xml:space="preserve">Капітальний ремонт із впровадженням комплексних заходів з </w:t>
            </w:r>
            <w:proofErr w:type="spellStart"/>
            <w:r w:rsidRPr="00F600D3">
              <w:rPr>
                <w:rFonts w:eastAsia="Calibri"/>
                <w:color w:val="000000"/>
                <w:sz w:val="18"/>
                <w:szCs w:val="18"/>
              </w:rPr>
              <w:t>теплореновації</w:t>
            </w:r>
            <w:proofErr w:type="spellEnd"/>
            <w:r w:rsidRPr="00F600D3">
              <w:rPr>
                <w:rFonts w:eastAsia="Calibri"/>
                <w:color w:val="000000"/>
                <w:sz w:val="18"/>
                <w:szCs w:val="18"/>
              </w:rPr>
              <w:t xml:space="preserve"> будівлі та </w:t>
            </w:r>
            <w:r w:rsidRPr="00F600D3">
              <w:rPr>
                <w:rFonts w:eastAsia="Calibri"/>
                <w:color w:val="000000"/>
                <w:sz w:val="18"/>
                <w:szCs w:val="18"/>
              </w:rPr>
              <w:lastRenderedPageBreak/>
              <w:t xml:space="preserve">приміщень Ясел-садка № 22 міста Сєвєродонецька Луганської області, за </w:t>
            </w:r>
            <w:proofErr w:type="spellStart"/>
            <w:r w:rsidRPr="00F600D3">
              <w:rPr>
                <w:rFonts w:eastAsia="Calibri"/>
                <w:color w:val="000000"/>
                <w:sz w:val="18"/>
                <w:szCs w:val="18"/>
              </w:rPr>
              <w:t>адресою</w:t>
            </w:r>
            <w:proofErr w:type="spellEnd"/>
            <w:r w:rsidRPr="00F600D3">
              <w:rPr>
                <w:rFonts w:eastAsia="Calibri"/>
                <w:color w:val="000000"/>
                <w:sz w:val="18"/>
                <w:szCs w:val="18"/>
              </w:rPr>
              <w:t>: 93400, Луганська область, Сєвєродонецький район, м. Сєвєродонецьк, проспект Космонавтів, буд. 6-а.</w:t>
            </w:r>
          </w:p>
        </w:tc>
        <w:tc>
          <w:tcPr>
            <w:tcW w:w="1736" w:type="dxa"/>
            <w:tcBorders>
              <w:top w:val="nil"/>
              <w:left w:val="nil"/>
              <w:bottom w:val="single" w:sz="4" w:space="0" w:color="auto"/>
              <w:right w:val="single" w:sz="4" w:space="0" w:color="auto"/>
            </w:tcBorders>
            <w:shd w:val="clear" w:color="auto" w:fill="auto"/>
            <w:vAlign w:val="center"/>
            <w:hideMark/>
          </w:tcPr>
          <w:p w:rsidR="00E021FE" w:rsidRPr="00F069E5" w:rsidRDefault="00E021FE" w:rsidP="00F069E5">
            <w:pPr>
              <w:jc w:val="center"/>
              <w:rPr>
                <w:color w:val="000000"/>
                <w:sz w:val="18"/>
                <w:szCs w:val="18"/>
                <w:lang w:eastAsia="uk-UA"/>
              </w:rPr>
            </w:pPr>
            <w:r w:rsidRPr="00F069E5">
              <w:rPr>
                <w:sz w:val="18"/>
                <w:szCs w:val="18"/>
              </w:rPr>
              <w:lastRenderedPageBreak/>
              <w:t xml:space="preserve">Сєвєродонецька міська </w:t>
            </w:r>
            <w:r w:rsidRPr="00F069E5">
              <w:rPr>
                <w:sz w:val="18"/>
                <w:szCs w:val="18"/>
              </w:rPr>
              <w:lastRenderedPageBreak/>
              <w:t>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F069E5" w:rsidRDefault="00E021FE" w:rsidP="00F069E5">
            <w:pPr>
              <w:jc w:val="center"/>
              <w:rPr>
                <w:color w:val="000000"/>
                <w:sz w:val="18"/>
                <w:szCs w:val="18"/>
                <w:lang w:eastAsia="uk-UA"/>
              </w:rPr>
            </w:pPr>
            <w:r w:rsidRPr="00F069E5">
              <w:rPr>
                <w:sz w:val="18"/>
                <w:szCs w:val="18"/>
              </w:rPr>
              <w:lastRenderedPageBreak/>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F069E5" w:rsidRDefault="00E021FE" w:rsidP="00F069E5">
            <w:pPr>
              <w:jc w:val="center"/>
              <w:rPr>
                <w:color w:val="000000"/>
                <w:sz w:val="18"/>
                <w:szCs w:val="18"/>
                <w:lang w:eastAsia="uk-UA"/>
              </w:rPr>
            </w:pPr>
            <w:r w:rsidRPr="00F069E5">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F069E5" w:rsidRDefault="00E021FE" w:rsidP="00F069E5">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F069E5" w:rsidRDefault="00E021FE" w:rsidP="00524DBF">
            <w:pPr>
              <w:jc w:val="center"/>
              <w:rPr>
                <w:color w:val="000000"/>
                <w:sz w:val="18"/>
                <w:szCs w:val="18"/>
                <w:lang w:eastAsia="uk-UA"/>
              </w:rPr>
            </w:pPr>
            <w:r>
              <w:rPr>
                <w:rFonts w:eastAsia="Calibri"/>
                <w:sz w:val="18"/>
                <w:szCs w:val="18"/>
                <w:lang w:val="ru-RU"/>
              </w:rPr>
              <w:t>2</w:t>
            </w:r>
            <w:r w:rsidRPr="00F069E5">
              <w:rPr>
                <w:rFonts w:eastAsia="Calibri"/>
                <w:sz w:val="18"/>
                <w:szCs w:val="18"/>
              </w:rPr>
              <w:t> 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F069E5" w:rsidRDefault="00E021FE" w:rsidP="00524DB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F069E5" w:rsidRDefault="00E021FE" w:rsidP="00524DBF">
            <w:pPr>
              <w:jc w:val="center"/>
              <w:rPr>
                <w:color w:val="000000"/>
                <w:sz w:val="18"/>
                <w:szCs w:val="18"/>
                <w:lang w:eastAsia="uk-UA"/>
              </w:rPr>
            </w:pPr>
            <w:r>
              <w:rPr>
                <w:rFonts w:eastAsia="Calibri"/>
                <w:color w:val="000000"/>
                <w:sz w:val="18"/>
                <w:szCs w:val="18"/>
                <w:lang w:val="ru-RU"/>
              </w:rPr>
              <w:t>2</w:t>
            </w:r>
            <w:r w:rsidRPr="00F069E5">
              <w:rPr>
                <w:rFonts w:eastAsia="Calibri"/>
                <w:color w:val="000000"/>
                <w:sz w:val="18"/>
                <w:szCs w:val="18"/>
              </w:rPr>
              <w:t> 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F069E5" w:rsidRDefault="00E021FE" w:rsidP="00524DBF">
            <w:pPr>
              <w:jc w:val="center"/>
              <w:rPr>
                <w:bCs/>
                <w:sz w:val="18"/>
                <w:szCs w:val="18"/>
              </w:rPr>
            </w:pPr>
            <w:r w:rsidRPr="00F069E5">
              <w:rPr>
                <w:bCs/>
                <w:sz w:val="18"/>
                <w:szCs w:val="18"/>
              </w:rPr>
              <w:t xml:space="preserve">Міжнародні інвестиції, </w:t>
            </w:r>
            <w:r w:rsidRPr="00F069E5">
              <w:rPr>
                <w:bCs/>
                <w:sz w:val="18"/>
                <w:szCs w:val="18"/>
              </w:rPr>
              <w:lastRenderedPageBreak/>
              <w:t>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F069E5" w:rsidRDefault="00E021FE" w:rsidP="00524DBF">
            <w:pPr>
              <w:jc w:val="center"/>
              <w:rPr>
                <w:color w:val="000000"/>
                <w:sz w:val="18"/>
                <w:szCs w:val="18"/>
                <w:lang w:eastAsia="uk-UA"/>
              </w:rPr>
            </w:pPr>
            <w:r>
              <w:rPr>
                <w:rFonts w:eastAsia="Calibri"/>
                <w:color w:val="000000"/>
                <w:sz w:val="18"/>
                <w:szCs w:val="18"/>
                <w:lang w:val="ru-RU"/>
              </w:rPr>
              <w:lastRenderedPageBreak/>
              <w:t>4</w:t>
            </w:r>
            <w:r w:rsidRPr="00F069E5">
              <w:rPr>
                <w:rFonts w:eastAsia="Calibri"/>
                <w:color w:val="000000"/>
                <w:sz w:val="18"/>
                <w:szCs w:val="18"/>
              </w:rPr>
              <w:t> 000,0</w:t>
            </w:r>
          </w:p>
        </w:tc>
      </w:tr>
      <w:tr w:rsidR="00E021FE" w:rsidRPr="00E95FB1" w:rsidTr="00F069E5">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F069E5" w:rsidRDefault="00E021FE" w:rsidP="00F069E5">
            <w:pPr>
              <w:jc w:val="center"/>
              <w:rPr>
                <w:color w:val="000000"/>
                <w:sz w:val="18"/>
                <w:szCs w:val="18"/>
                <w:lang w:eastAsia="uk-UA"/>
              </w:rPr>
            </w:pPr>
            <w:r w:rsidRPr="00F069E5">
              <w:rPr>
                <w:color w:val="000000"/>
                <w:sz w:val="18"/>
                <w:szCs w:val="18"/>
                <w:lang w:eastAsia="uk-UA"/>
              </w:rPr>
              <w:t>14</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F069E5">
            <w:pPr>
              <w:jc w:val="center"/>
              <w:rPr>
                <w:rFonts w:eastAsia="Calibri"/>
                <w:bCs/>
                <w:color w:val="000000"/>
                <w:sz w:val="18"/>
                <w:szCs w:val="18"/>
              </w:rPr>
            </w:pPr>
            <w:r w:rsidRPr="00F600D3">
              <w:rPr>
                <w:rFonts w:eastAsia="Calibri"/>
                <w:color w:val="000000"/>
                <w:sz w:val="18"/>
                <w:szCs w:val="18"/>
              </w:rPr>
              <w:t xml:space="preserve">Оснащення харчоблоку Ясел-садка № 22 міста Сєвєродонецька Луганської області, за </w:t>
            </w:r>
            <w:proofErr w:type="spellStart"/>
            <w:r w:rsidRPr="00F600D3">
              <w:rPr>
                <w:rFonts w:eastAsia="Calibri"/>
                <w:color w:val="000000"/>
                <w:sz w:val="18"/>
                <w:szCs w:val="18"/>
              </w:rPr>
              <w:t>адресою</w:t>
            </w:r>
            <w:proofErr w:type="spellEnd"/>
            <w:r w:rsidRPr="00F600D3">
              <w:rPr>
                <w:rFonts w:eastAsia="Calibri"/>
                <w:color w:val="000000"/>
                <w:sz w:val="18"/>
                <w:szCs w:val="18"/>
              </w:rPr>
              <w:t>: 93400, Луганська область, Сєвєродонецький район, м. Сєвєродонецьк, проспект Космонавтів, буд. 6-а.</w:t>
            </w:r>
          </w:p>
        </w:tc>
        <w:tc>
          <w:tcPr>
            <w:tcW w:w="1736" w:type="dxa"/>
            <w:tcBorders>
              <w:top w:val="nil"/>
              <w:left w:val="nil"/>
              <w:bottom w:val="single" w:sz="4" w:space="0" w:color="auto"/>
              <w:right w:val="single" w:sz="4" w:space="0" w:color="auto"/>
            </w:tcBorders>
            <w:shd w:val="clear" w:color="auto" w:fill="auto"/>
            <w:vAlign w:val="center"/>
            <w:hideMark/>
          </w:tcPr>
          <w:p w:rsidR="00E021FE" w:rsidRPr="00F069E5" w:rsidRDefault="00E021FE" w:rsidP="00F069E5">
            <w:pPr>
              <w:jc w:val="center"/>
              <w:rPr>
                <w:color w:val="000000"/>
                <w:sz w:val="18"/>
                <w:szCs w:val="18"/>
                <w:lang w:eastAsia="uk-UA"/>
              </w:rPr>
            </w:pPr>
            <w:r w:rsidRPr="00F069E5">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F069E5" w:rsidRDefault="00E021FE" w:rsidP="00F069E5">
            <w:pPr>
              <w:jc w:val="center"/>
              <w:rPr>
                <w:color w:val="000000"/>
                <w:sz w:val="18"/>
                <w:szCs w:val="18"/>
                <w:lang w:eastAsia="uk-UA"/>
              </w:rPr>
            </w:pPr>
            <w:r w:rsidRPr="00F069E5">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F069E5" w:rsidRDefault="00E021FE" w:rsidP="00F069E5">
            <w:pPr>
              <w:jc w:val="center"/>
              <w:rPr>
                <w:color w:val="000000"/>
                <w:sz w:val="18"/>
                <w:szCs w:val="18"/>
                <w:lang w:eastAsia="uk-UA"/>
              </w:rPr>
            </w:pPr>
            <w:r w:rsidRPr="00F069E5">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F069E5" w:rsidRDefault="00E021FE" w:rsidP="00F069E5">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F069E5" w:rsidRDefault="00E021FE" w:rsidP="00524DBF">
            <w:pPr>
              <w:jc w:val="center"/>
              <w:rPr>
                <w:color w:val="000000"/>
                <w:sz w:val="18"/>
                <w:szCs w:val="18"/>
                <w:lang w:eastAsia="uk-UA"/>
              </w:rPr>
            </w:pPr>
          </w:p>
        </w:tc>
        <w:tc>
          <w:tcPr>
            <w:tcW w:w="992" w:type="dxa"/>
            <w:tcBorders>
              <w:top w:val="nil"/>
              <w:left w:val="nil"/>
              <w:bottom w:val="single" w:sz="4" w:space="0" w:color="auto"/>
              <w:right w:val="single" w:sz="4" w:space="0" w:color="auto"/>
            </w:tcBorders>
            <w:shd w:val="clear" w:color="auto" w:fill="auto"/>
            <w:vAlign w:val="center"/>
            <w:hideMark/>
          </w:tcPr>
          <w:p w:rsidR="00E021FE" w:rsidRPr="00F069E5" w:rsidRDefault="00E021FE" w:rsidP="00524DB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F069E5" w:rsidRDefault="00E021FE" w:rsidP="00524DBF">
            <w:pPr>
              <w:jc w:val="center"/>
              <w:rPr>
                <w:color w:val="000000"/>
                <w:sz w:val="18"/>
                <w:szCs w:val="18"/>
                <w:lang w:eastAsia="uk-UA"/>
              </w:rPr>
            </w:pPr>
            <w:r w:rsidRPr="00F069E5">
              <w:rPr>
                <w:rFonts w:eastAsia="Calibri"/>
                <w:color w:val="000000"/>
                <w:sz w:val="18"/>
                <w:szCs w:val="18"/>
              </w:rPr>
              <w:t>1 000,0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F069E5" w:rsidRDefault="00E021FE" w:rsidP="00524DBF">
            <w:pPr>
              <w:jc w:val="center"/>
              <w:rPr>
                <w:bCs/>
                <w:sz w:val="18"/>
                <w:szCs w:val="18"/>
              </w:rPr>
            </w:pPr>
            <w:r w:rsidRPr="00F069E5">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F069E5" w:rsidRDefault="00E021FE" w:rsidP="00524DBF">
            <w:pPr>
              <w:jc w:val="center"/>
              <w:rPr>
                <w:color w:val="000000"/>
                <w:sz w:val="18"/>
                <w:szCs w:val="18"/>
                <w:lang w:eastAsia="uk-UA"/>
              </w:rPr>
            </w:pPr>
            <w:r>
              <w:rPr>
                <w:rFonts w:eastAsia="Calibri"/>
                <w:color w:val="000000"/>
                <w:sz w:val="18"/>
                <w:szCs w:val="18"/>
                <w:lang w:val="ru-RU"/>
              </w:rPr>
              <w:t>1</w:t>
            </w:r>
            <w:r w:rsidRPr="00F069E5">
              <w:rPr>
                <w:rFonts w:eastAsia="Calibri"/>
                <w:color w:val="000000"/>
                <w:sz w:val="18"/>
                <w:szCs w:val="18"/>
              </w:rPr>
              <w:t> 000,0</w:t>
            </w:r>
          </w:p>
        </w:tc>
      </w:tr>
      <w:tr w:rsidR="00E021FE" w:rsidRPr="00E95FB1" w:rsidTr="00273797">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sidRPr="00273797">
              <w:rPr>
                <w:color w:val="000000"/>
                <w:sz w:val="18"/>
                <w:szCs w:val="18"/>
                <w:lang w:eastAsia="uk-UA"/>
              </w:rPr>
              <w:t>15</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273797">
            <w:pPr>
              <w:jc w:val="center"/>
              <w:rPr>
                <w:rFonts w:eastAsia="Calibri"/>
                <w:bCs/>
                <w:color w:val="000000"/>
                <w:sz w:val="18"/>
                <w:szCs w:val="18"/>
              </w:rPr>
            </w:pPr>
            <w:r w:rsidRPr="00F600D3">
              <w:rPr>
                <w:rFonts w:eastAsia="Calibri"/>
                <w:color w:val="000000"/>
                <w:sz w:val="18"/>
                <w:szCs w:val="18"/>
              </w:rPr>
              <w:t xml:space="preserve">Капітальний ремонт основної будівлі та господарчих споруд Ясел - садка №24  міста Сєвєродонецька Луганської області, за </w:t>
            </w:r>
            <w:proofErr w:type="spellStart"/>
            <w:r w:rsidRPr="00F600D3">
              <w:rPr>
                <w:rFonts w:eastAsia="Calibri"/>
                <w:color w:val="000000"/>
                <w:sz w:val="18"/>
                <w:szCs w:val="18"/>
              </w:rPr>
              <w:t>адресою</w:t>
            </w:r>
            <w:proofErr w:type="spellEnd"/>
            <w:r w:rsidRPr="00F600D3">
              <w:rPr>
                <w:rFonts w:eastAsia="Calibri"/>
                <w:color w:val="000000"/>
                <w:sz w:val="18"/>
                <w:szCs w:val="18"/>
              </w:rPr>
              <w:t xml:space="preserve">, </w:t>
            </w:r>
            <w:proofErr w:type="spellStart"/>
            <w:r w:rsidRPr="00F600D3">
              <w:rPr>
                <w:rFonts w:eastAsia="Calibri"/>
                <w:color w:val="000000"/>
                <w:sz w:val="18"/>
                <w:szCs w:val="18"/>
              </w:rPr>
              <w:t>вул.Енергетиків</w:t>
            </w:r>
            <w:proofErr w:type="spellEnd"/>
            <w:r w:rsidRPr="00F600D3">
              <w:rPr>
                <w:rFonts w:eastAsia="Calibri"/>
                <w:color w:val="000000"/>
                <w:sz w:val="18"/>
                <w:szCs w:val="18"/>
              </w:rPr>
              <w:t>., буд.15, міста Сєвєродонецька, Сєвєродонецького району, Луганської області.</w:t>
            </w:r>
          </w:p>
        </w:tc>
        <w:tc>
          <w:tcPr>
            <w:tcW w:w="1736"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sidRPr="00273797">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sidRPr="00273797">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sidRPr="00273797">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sidRPr="00273797">
              <w:rPr>
                <w:rFonts w:eastAsia="Calibri"/>
                <w:sz w:val="18"/>
                <w:szCs w:val="18"/>
              </w:rPr>
              <w:t>7 000.00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sidRPr="00273797">
              <w:rPr>
                <w:rFonts w:eastAsia="Calibri"/>
                <w:color w:val="000000"/>
                <w:sz w:val="18"/>
                <w:szCs w:val="18"/>
              </w:rPr>
              <w:t>12 760,0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autoSpaceDE w:val="0"/>
              <w:autoSpaceDN w:val="0"/>
              <w:adjustRightInd w:val="0"/>
              <w:jc w:val="center"/>
              <w:rPr>
                <w:sz w:val="18"/>
                <w:szCs w:val="18"/>
                <w:lang w:eastAsia="it-IT"/>
              </w:rPr>
            </w:pPr>
            <w:proofErr w:type="spellStart"/>
            <w:r w:rsidRPr="00273797">
              <w:rPr>
                <w:bCs/>
                <w:sz w:val="18"/>
                <w:szCs w:val="18"/>
                <w:lang w:eastAsia="ar-SA"/>
              </w:rPr>
              <w:t>Іностранні</w:t>
            </w:r>
            <w:proofErr w:type="spellEnd"/>
            <w:r w:rsidRPr="00273797">
              <w:rPr>
                <w:bCs/>
                <w:sz w:val="18"/>
                <w:szCs w:val="18"/>
                <w:lang w:eastAsia="ar-SA"/>
              </w:rPr>
              <w:t xml:space="preserve"> інвестори, гранти, міжнародна технічна допомога,</w:t>
            </w:r>
            <w:r w:rsidRPr="00273797">
              <w:rPr>
                <w:sz w:val="18"/>
                <w:szCs w:val="18"/>
                <w:lang w:eastAsia="it-IT"/>
              </w:rPr>
              <w:t xml:space="preserve"> міжнародні донори та інші джерела не заборонені законодавством</w:t>
            </w:r>
          </w:p>
          <w:p w:rsidR="00E021FE" w:rsidRPr="00273797" w:rsidRDefault="00E021FE" w:rsidP="00273797">
            <w:pPr>
              <w:jc w:val="center"/>
              <w:rPr>
                <w:bCs/>
                <w:sz w:val="18"/>
                <w:szCs w:val="18"/>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autoSpaceDE w:val="0"/>
              <w:autoSpaceDN w:val="0"/>
              <w:adjustRightInd w:val="0"/>
              <w:jc w:val="center"/>
              <w:rPr>
                <w:rFonts w:eastAsia="Calibri"/>
                <w:b/>
                <w:bCs/>
                <w:color w:val="000000"/>
                <w:sz w:val="18"/>
                <w:szCs w:val="18"/>
              </w:rPr>
            </w:pPr>
            <w:r w:rsidRPr="00273797">
              <w:rPr>
                <w:rFonts w:eastAsia="Calibri"/>
                <w:b/>
                <w:bCs/>
                <w:color w:val="000000"/>
                <w:sz w:val="18"/>
                <w:szCs w:val="18"/>
              </w:rPr>
              <w:t>19 760.00</w:t>
            </w:r>
          </w:p>
          <w:p w:rsidR="00E021FE" w:rsidRPr="00273797" w:rsidRDefault="00E021FE" w:rsidP="00273797">
            <w:pPr>
              <w:jc w:val="center"/>
              <w:rPr>
                <w:color w:val="000000"/>
                <w:sz w:val="18"/>
                <w:szCs w:val="18"/>
                <w:lang w:eastAsia="uk-UA"/>
              </w:rPr>
            </w:pPr>
          </w:p>
        </w:tc>
      </w:tr>
      <w:tr w:rsidR="00E021FE" w:rsidRPr="00E95FB1" w:rsidTr="00273797">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sidRPr="00273797">
              <w:rPr>
                <w:color w:val="000000"/>
                <w:sz w:val="18"/>
                <w:szCs w:val="18"/>
                <w:lang w:eastAsia="uk-UA"/>
              </w:rPr>
              <w:t>16</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273797">
            <w:pPr>
              <w:jc w:val="center"/>
              <w:rPr>
                <w:rFonts w:eastAsia="Calibri"/>
                <w:bCs/>
                <w:color w:val="000000"/>
                <w:sz w:val="18"/>
                <w:szCs w:val="18"/>
              </w:rPr>
            </w:pPr>
            <w:r w:rsidRPr="00F600D3">
              <w:rPr>
                <w:sz w:val="18"/>
                <w:szCs w:val="18"/>
              </w:rPr>
              <w:t xml:space="preserve">Відновлення та оснащення харчоблоку, забезпечення усім необхідним обладнанням  </w:t>
            </w:r>
            <w:r w:rsidRPr="00F600D3">
              <w:rPr>
                <w:rFonts w:eastAsia="Calibri"/>
                <w:color w:val="000000"/>
                <w:sz w:val="18"/>
                <w:szCs w:val="18"/>
              </w:rPr>
              <w:t xml:space="preserve">Ясел - садка №24  міста Сєвєродонецька Луганської області, за </w:t>
            </w:r>
            <w:proofErr w:type="spellStart"/>
            <w:r w:rsidRPr="00F600D3">
              <w:rPr>
                <w:rFonts w:eastAsia="Calibri"/>
                <w:color w:val="000000"/>
                <w:sz w:val="18"/>
                <w:szCs w:val="18"/>
              </w:rPr>
              <w:t>адресою</w:t>
            </w:r>
            <w:proofErr w:type="spellEnd"/>
            <w:r w:rsidRPr="00F600D3">
              <w:rPr>
                <w:rFonts w:eastAsia="Calibri"/>
                <w:color w:val="000000"/>
                <w:sz w:val="18"/>
                <w:szCs w:val="18"/>
              </w:rPr>
              <w:t xml:space="preserve">, </w:t>
            </w:r>
            <w:proofErr w:type="spellStart"/>
            <w:r w:rsidRPr="00F600D3">
              <w:rPr>
                <w:rFonts w:eastAsia="Calibri"/>
                <w:color w:val="000000"/>
                <w:sz w:val="18"/>
                <w:szCs w:val="18"/>
              </w:rPr>
              <w:t>вул.Енергетиків</w:t>
            </w:r>
            <w:proofErr w:type="spellEnd"/>
            <w:r w:rsidRPr="00F600D3">
              <w:rPr>
                <w:rFonts w:eastAsia="Calibri"/>
                <w:color w:val="000000"/>
                <w:sz w:val="18"/>
                <w:szCs w:val="18"/>
              </w:rPr>
              <w:t>., буд.15, міста Сєвєродонецька, Сєвєродонецького району, Луганської області.</w:t>
            </w:r>
          </w:p>
        </w:tc>
        <w:tc>
          <w:tcPr>
            <w:tcW w:w="1736"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sidRPr="00273797">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sidRPr="00273797">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sidRPr="00273797">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sidRPr="00273797">
              <w:rPr>
                <w:rFonts w:eastAsia="Calibri"/>
                <w:sz w:val="18"/>
                <w:szCs w:val="18"/>
              </w:rPr>
              <w:t>3265,5</w:t>
            </w:r>
          </w:p>
        </w:tc>
        <w:tc>
          <w:tcPr>
            <w:tcW w:w="992"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autoSpaceDE w:val="0"/>
              <w:autoSpaceDN w:val="0"/>
              <w:adjustRightInd w:val="0"/>
              <w:jc w:val="center"/>
              <w:rPr>
                <w:rFonts w:eastAsia="Calibri"/>
                <w:sz w:val="18"/>
                <w:szCs w:val="18"/>
              </w:rPr>
            </w:pPr>
            <w:r w:rsidRPr="00273797">
              <w:rPr>
                <w:rFonts w:eastAsia="Calibri"/>
                <w:sz w:val="18"/>
                <w:szCs w:val="18"/>
              </w:rPr>
              <w:t>1399,5</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autoSpaceDE w:val="0"/>
              <w:autoSpaceDN w:val="0"/>
              <w:adjustRightInd w:val="0"/>
              <w:jc w:val="center"/>
              <w:rPr>
                <w:rFonts w:eastAsia="Calibri"/>
                <w:color w:val="000000"/>
                <w:sz w:val="18"/>
                <w:szCs w:val="18"/>
              </w:rPr>
            </w:pPr>
            <w:r w:rsidRPr="00273797">
              <w:rPr>
                <w:bCs/>
                <w:sz w:val="18"/>
                <w:szCs w:val="18"/>
              </w:rPr>
              <w:t>міжнародні інвестиції, кошти приватних осіб, міжнародні благодійні фонди.</w:t>
            </w:r>
          </w:p>
        </w:tc>
        <w:tc>
          <w:tcPr>
            <w:tcW w:w="1164"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autoSpaceDE w:val="0"/>
              <w:autoSpaceDN w:val="0"/>
              <w:adjustRightInd w:val="0"/>
              <w:jc w:val="center"/>
              <w:rPr>
                <w:rFonts w:eastAsia="Calibri"/>
                <w:color w:val="000000"/>
                <w:sz w:val="18"/>
                <w:szCs w:val="18"/>
              </w:rPr>
            </w:pPr>
            <w:r w:rsidRPr="00273797">
              <w:rPr>
                <w:rFonts w:eastAsia="Calibri"/>
                <w:color w:val="000000"/>
                <w:sz w:val="18"/>
                <w:szCs w:val="18"/>
              </w:rPr>
              <w:t>4 665. 00</w:t>
            </w:r>
          </w:p>
        </w:tc>
      </w:tr>
      <w:tr w:rsidR="00E021FE" w:rsidRPr="00E95FB1" w:rsidTr="00273797">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sidRPr="00273797">
              <w:rPr>
                <w:color w:val="000000"/>
                <w:sz w:val="18"/>
                <w:szCs w:val="18"/>
                <w:lang w:eastAsia="uk-UA"/>
              </w:rPr>
              <w:t>17</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273797">
            <w:pPr>
              <w:jc w:val="center"/>
              <w:rPr>
                <w:rFonts w:eastAsia="Calibri"/>
                <w:bCs/>
                <w:color w:val="000000"/>
                <w:sz w:val="18"/>
                <w:szCs w:val="18"/>
              </w:rPr>
            </w:pPr>
            <w:r w:rsidRPr="00F600D3">
              <w:rPr>
                <w:sz w:val="18"/>
                <w:szCs w:val="18"/>
              </w:rPr>
              <w:t xml:space="preserve">Придбання та облаштування мобільних захисних споруд цивільного захисту, забезпечення усім необхідним обладнанням </w:t>
            </w:r>
            <w:r w:rsidRPr="00F600D3">
              <w:rPr>
                <w:rFonts w:eastAsia="Calibri"/>
                <w:color w:val="000000"/>
                <w:sz w:val="18"/>
                <w:szCs w:val="18"/>
              </w:rPr>
              <w:t xml:space="preserve"> Ясел - садка №24  міста Сєвєродонецька Луганської області, за </w:t>
            </w:r>
            <w:proofErr w:type="spellStart"/>
            <w:r w:rsidRPr="00F600D3">
              <w:rPr>
                <w:rFonts w:eastAsia="Calibri"/>
                <w:color w:val="000000"/>
                <w:sz w:val="18"/>
                <w:szCs w:val="18"/>
              </w:rPr>
              <w:t>адресою</w:t>
            </w:r>
            <w:proofErr w:type="spellEnd"/>
            <w:r w:rsidRPr="00F600D3">
              <w:rPr>
                <w:rFonts w:eastAsia="Calibri"/>
                <w:color w:val="000000"/>
                <w:sz w:val="18"/>
                <w:szCs w:val="18"/>
              </w:rPr>
              <w:t xml:space="preserve">, </w:t>
            </w:r>
            <w:proofErr w:type="spellStart"/>
            <w:r w:rsidRPr="00F600D3">
              <w:rPr>
                <w:rFonts w:eastAsia="Calibri"/>
                <w:color w:val="000000"/>
                <w:sz w:val="18"/>
                <w:szCs w:val="18"/>
              </w:rPr>
              <w:t>вул.Енергетиків</w:t>
            </w:r>
            <w:proofErr w:type="spellEnd"/>
            <w:r w:rsidRPr="00F600D3">
              <w:rPr>
                <w:rFonts w:eastAsia="Calibri"/>
                <w:color w:val="000000"/>
                <w:sz w:val="18"/>
                <w:szCs w:val="18"/>
              </w:rPr>
              <w:t>., буд.15, міста Сєвєродонецька, Сєвєродонецького району, Луганської області.</w:t>
            </w:r>
          </w:p>
        </w:tc>
        <w:tc>
          <w:tcPr>
            <w:tcW w:w="1736"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sidRPr="00273797">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sidRPr="00273797">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sidRPr="00273797">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sidRPr="00273797">
              <w:rPr>
                <w:rFonts w:eastAsia="Calibri"/>
                <w:sz w:val="18"/>
                <w:szCs w:val="18"/>
              </w:rPr>
              <w:t>700,0</w:t>
            </w:r>
          </w:p>
        </w:tc>
        <w:tc>
          <w:tcPr>
            <w:tcW w:w="992"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sidRPr="00273797">
              <w:rPr>
                <w:color w:val="000000"/>
                <w:sz w:val="18"/>
                <w:szCs w:val="18"/>
                <w:lang w:eastAsia="uk-UA"/>
              </w:rPr>
              <w:t>300,00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bCs/>
                <w:sz w:val="18"/>
                <w:szCs w:val="18"/>
              </w:rPr>
            </w:pPr>
            <w:r w:rsidRPr="00273797">
              <w:rPr>
                <w:bCs/>
                <w:sz w:val="18"/>
                <w:szCs w:val="18"/>
                <w:lang w:eastAsia="ar-SA"/>
              </w:rPr>
              <w:t>гранти, міжнародна технічна допомога,</w:t>
            </w:r>
            <w:r w:rsidRPr="00273797">
              <w:rPr>
                <w:sz w:val="18"/>
                <w:szCs w:val="18"/>
                <w:lang w:eastAsia="it-IT"/>
              </w:rPr>
              <w:t xml:space="preserve"> міжнародні донори та інші джерела не заборонені законодавством</w:t>
            </w:r>
          </w:p>
        </w:tc>
        <w:tc>
          <w:tcPr>
            <w:tcW w:w="1164"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sidRPr="00273797">
              <w:rPr>
                <w:color w:val="000000"/>
                <w:sz w:val="18"/>
                <w:szCs w:val="18"/>
                <w:lang w:eastAsia="uk-UA"/>
              </w:rPr>
              <w:t>1000,00</w:t>
            </w:r>
          </w:p>
        </w:tc>
      </w:tr>
      <w:tr w:rsidR="00E021FE" w:rsidRPr="00E95FB1" w:rsidTr="00273797">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sidRPr="00273797">
              <w:rPr>
                <w:color w:val="000000"/>
                <w:sz w:val="18"/>
                <w:szCs w:val="18"/>
                <w:lang w:eastAsia="uk-UA"/>
              </w:rPr>
              <w:lastRenderedPageBreak/>
              <w:t>18</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273797">
            <w:pPr>
              <w:jc w:val="center"/>
              <w:rPr>
                <w:rFonts w:eastAsia="Calibri"/>
                <w:bCs/>
                <w:color w:val="000000"/>
                <w:sz w:val="18"/>
                <w:szCs w:val="18"/>
              </w:rPr>
            </w:pPr>
            <w:r w:rsidRPr="00F600D3">
              <w:rPr>
                <w:bCs/>
                <w:sz w:val="18"/>
                <w:szCs w:val="18"/>
              </w:rPr>
              <w:t>Відновлення діяльності  Ясел-садка №24 міста Сєвєродонецька Луганської області</w:t>
            </w:r>
            <w:r w:rsidRPr="00F600D3">
              <w:rPr>
                <w:sz w:val="18"/>
                <w:szCs w:val="18"/>
              </w:rPr>
              <w:t xml:space="preserve">, за </w:t>
            </w:r>
            <w:proofErr w:type="spellStart"/>
            <w:r w:rsidRPr="00F600D3">
              <w:rPr>
                <w:sz w:val="18"/>
                <w:szCs w:val="18"/>
              </w:rPr>
              <w:t>адресою</w:t>
            </w:r>
            <w:proofErr w:type="spellEnd"/>
            <w:r w:rsidRPr="00F600D3">
              <w:rPr>
                <w:sz w:val="18"/>
                <w:szCs w:val="18"/>
              </w:rPr>
              <w:t xml:space="preserve">: </w:t>
            </w:r>
            <w:proofErr w:type="spellStart"/>
            <w:r w:rsidRPr="00F600D3">
              <w:rPr>
                <w:sz w:val="18"/>
                <w:szCs w:val="18"/>
              </w:rPr>
              <w:t>вул</w:t>
            </w:r>
            <w:proofErr w:type="spellEnd"/>
            <w:r w:rsidRPr="00F600D3">
              <w:rPr>
                <w:sz w:val="18"/>
                <w:szCs w:val="18"/>
              </w:rPr>
              <w:t xml:space="preserve"> Енергетиків, буд.15., </w:t>
            </w:r>
            <w:proofErr w:type="spellStart"/>
            <w:r w:rsidRPr="00F600D3">
              <w:rPr>
                <w:sz w:val="18"/>
                <w:szCs w:val="18"/>
              </w:rPr>
              <w:t>м.Сєвєродонецьк</w:t>
            </w:r>
            <w:proofErr w:type="spellEnd"/>
            <w:r w:rsidRPr="00F600D3">
              <w:rPr>
                <w:sz w:val="18"/>
                <w:szCs w:val="18"/>
              </w:rPr>
              <w:t>, Сєвєродонецького району, Луганської області.</w:t>
            </w:r>
          </w:p>
        </w:tc>
        <w:tc>
          <w:tcPr>
            <w:tcW w:w="1736"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sidRPr="00273797">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sidRPr="00273797">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sidRPr="00273797">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52327E">
            <w:pPr>
              <w:jc w:val="center"/>
              <w:rPr>
                <w:color w:val="000000"/>
                <w:sz w:val="18"/>
                <w:szCs w:val="18"/>
                <w:lang w:eastAsia="uk-UA"/>
              </w:rPr>
            </w:pPr>
            <w:r w:rsidRPr="00273797">
              <w:rPr>
                <w:rFonts w:eastAsia="Calibri"/>
                <w:color w:val="000000"/>
                <w:sz w:val="18"/>
                <w:szCs w:val="18"/>
              </w:rPr>
              <w:t>5 310,</w:t>
            </w:r>
            <w:r w:rsidR="0052327E">
              <w:rPr>
                <w:rFonts w:eastAsia="Calibri"/>
                <w:color w:val="000000"/>
                <w:sz w:val="18"/>
                <w:szCs w:val="18"/>
              </w:rPr>
              <w:t>2</w:t>
            </w:r>
          </w:p>
        </w:tc>
        <w:tc>
          <w:tcPr>
            <w:tcW w:w="992"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sidRPr="00273797">
              <w:rPr>
                <w:rFonts w:eastAsia="Calibri"/>
                <w:color w:val="000000"/>
                <w:sz w:val="18"/>
                <w:szCs w:val="18"/>
              </w:rPr>
              <w:t>2 275,8</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bCs/>
                <w:sz w:val="18"/>
                <w:szCs w:val="18"/>
              </w:rPr>
            </w:pPr>
            <w:r w:rsidRPr="00273797">
              <w:rPr>
                <w:rFonts w:eastAsia="Calibri"/>
                <w:color w:val="000000"/>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sidRPr="00273797">
              <w:rPr>
                <w:rFonts w:eastAsia="Calibri"/>
                <w:bCs/>
                <w:color w:val="000000"/>
                <w:sz w:val="18"/>
                <w:szCs w:val="18"/>
              </w:rPr>
              <w:t>7 586. 00</w:t>
            </w:r>
          </w:p>
        </w:tc>
      </w:tr>
      <w:tr w:rsidR="00E021FE" w:rsidRPr="00E95FB1" w:rsidTr="005A75B3">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color w:val="000000"/>
                <w:sz w:val="18"/>
                <w:szCs w:val="18"/>
                <w:lang w:eastAsia="uk-UA"/>
              </w:rPr>
              <w:t>19</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5A75B3">
            <w:pPr>
              <w:jc w:val="center"/>
              <w:rPr>
                <w:rFonts w:eastAsia="Calibri"/>
                <w:bCs/>
                <w:color w:val="000000"/>
                <w:sz w:val="18"/>
                <w:szCs w:val="18"/>
              </w:rPr>
            </w:pPr>
            <w:r w:rsidRPr="00F600D3">
              <w:rPr>
                <w:rFonts w:eastAsia="Calibri"/>
                <w:color w:val="000000"/>
                <w:sz w:val="18"/>
                <w:szCs w:val="18"/>
              </w:rPr>
              <w:t xml:space="preserve">Капітальний ремонт будівлі та прилеглої території Ясел-садка №25 міста Сєвєродонецька Луганської області  </w:t>
            </w:r>
            <w:r w:rsidRPr="00F600D3">
              <w:rPr>
                <w:rFonts w:eastAsia="Calibri"/>
                <w:sz w:val="18"/>
                <w:szCs w:val="18"/>
              </w:rPr>
              <w:t>пр-т Гвардійський буд.63-в</w:t>
            </w:r>
          </w:p>
        </w:tc>
        <w:tc>
          <w:tcPr>
            <w:tcW w:w="1736"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rFonts w:eastAsia="Calibri"/>
                <w:color w:val="000000"/>
                <w:sz w:val="18"/>
                <w:szCs w:val="18"/>
              </w:rPr>
              <w:t>13653,0</w:t>
            </w:r>
          </w:p>
        </w:tc>
        <w:tc>
          <w:tcPr>
            <w:tcW w:w="992"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rFonts w:eastAsia="Calibri"/>
                <w:color w:val="000000"/>
                <w:sz w:val="18"/>
                <w:szCs w:val="18"/>
              </w:rPr>
              <w:t>20000,0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bCs/>
                <w:sz w:val="18"/>
                <w:szCs w:val="18"/>
              </w:rPr>
            </w:pPr>
            <w:r w:rsidRPr="005A75B3">
              <w:rPr>
                <w:rFonts w:eastAsia="Calibri"/>
                <w:color w:val="000000"/>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rFonts w:eastAsia="Calibri"/>
                <w:color w:val="000000"/>
                <w:sz w:val="18"/>
                <w:szCs w:val="18"/>
              </w:rPr>
              <w:t>33653,0</w:t>
            </w:r>
          </w:p>
        </w:tc>
      </w:tr>
      <w:tr w:rsidR="00E021FE" w:rsidRPr="00E95FB1" w:rsidTr="005A75B3">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color w:val="000000"/>
                <w:sz w:val="18"/>
                <w:szCs w:val="18"/>
                <w:lang w:eastAsia="uk-UA"/>
              </w:rPr>
              <w:t>20</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5A75B3">
            <w:pPr>
              <w:jc w:val="center"/>
              <w:rPr>
                <w:rFonts w:eastAsia="Calibri"/>
                <w:bCs/>
                <w:color w:val="000000"/>
                <w:sz w:val="18"/>
                <w:szCs w:val="18"/>
              </w:rPr>
            </w:pPr>
            <w:r w:rsidRPr="00F600D3">
              <w:rPr>
                <w:sz w:val="18"/>
                <w:szCs w:val="18"/>
              </w:rPr>
              <w:t xml:space="preserve">Відновлення діяльності Ясел-садка №25 міста Сєвєродонецька Луганської </w:t>
            </w:r>
            <w:r w:rsidRPr="00F600D3">
              <w:rPr>
                <w:color w:val="000000"/>
                <w:sz w:val="18"/>
                <w:szCs w:val="18"/>
              </w:rPr>
              <w:t xml:space="preserve">області </w:t>
            </w:r>
            <w:r w:rsidRPr="00F600D3">
              <w:rPr>
                <w:bCs/>
                <w:color w:val="000000"/>
                <w:sz w:val="18"/>
                <w:szCs w:val="18"/>
              </w:rPr>
              <w:t>пр-т Гвардійський буд.63-в</w:t>
            </w:r>
          </w:p>
        </w:tc>
        <w:tc>
          <w:tcPr>
            <w:tcW w:w="1736"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rFonts w:eastAsia="Calibri"/>
                <w:color w:val="000000"/>
                <w:sz w:val="18"/>
                <w:szCs w:val="18"/>
              </w:rPr>
              <w:t>1589,0</w:t>
            </w:r>
          </w:p>
        </w:tc>
        <w:tc>
          <w:tcPr>
            <w:tcW w:w="992"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autoSpaceDE w:val="0"/>
              <w:autoSpaceDN w:val="0"/>
              <w:adjustRightInd w:val="0"/>
              <w:jc w:val="center"/>
              <w:rPr>
                <w:rFonts w:eastAsia="Calibri"/>
                <w:color w:val="000000"/>
                <w:sz w:val="18"/>
                <w:szCs w:val="18"/>
              </w:rPr>
            </w:pPr>
            <w:r w:rsidRPr="005A75B3">
              <w:rPr>
                <w:rFonts w:eastAsia="Calibri"/>
                <w:color w:val="000000"/>
                <w:sz w:val="18"/>
                <w:szCs w:val="18"/>
              </w:rPr>
              <w:t>3000,0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autoSpaceDE w:val="0"/>
              <w:autoSpaceDN w:val="0"/>
              <w:adjustRightInd w:val="0"/>
              <w:jc w:val="center"/>
              <w:rPr>
                <w:rFonts w:eastAsia="Calibri"/>
                <w:color w:val="000000"/>
                <w:sz w:val="18"/>
                <w:szCs w:val="18"/>
              </w:rPr>
            </w:pPr>
            <w:r w:rsidRPr="005A75B3">
              <w:rPr>
                <w:rFonts w:eastAsia="Calibri"/>
                <w:color w:val="000000"/>
                <w:sz w:val="18"/>
                <w:szCs w:val="18"/>
              </w:rPr>
              <w:t>Міжнародні організації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autoSpaceDE w:val="0"/>
              <w:autoSpaceDN w:val="0"/>
              <w:adjustRightInd w:val="0"/>
              <w:jc w:val="center"/>
              <w:rPr>
                <w:rFonts w:eastAsia="Calibri"/>
                <w:color w:val="000000"/>
                <w:sz w:val="18"/>
                <w:szCs w:val="18"/>
              </w:rPr>
            </w:pPr>
            <w:r w:rsidRPr="005A75B3">
              <w:rPr>
                <w:rFonts w:eastAsia="Calibri"/>
                <w:color w:val="000000"/>
                <w:sz w:val="18"/>
                <w:szCs w:val="18"/>
              </w:rPr>
              <w:t>4589,0</w:t>
            </w:r>
          </w:p>
        </w:tc>
      </w:tr>
      <w:tr w:rsidR="00E021FE" w:rsidRPr="00E95FB1" w:rsidTr="005A75B3">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color w:val="000000"/>
                <w:sz w:val="18"/>
                <w:szCs w:val="18"/>
                <w:lang w:eastAsia="uk-UA"/>
              </w:rPr>
              <w:t>21</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5A75B3">
            <w:pPr>
              <w:jc w:val="center"/>
              <w:rPr>
                <w:rFonts w:eastAsia="Calibri"/>
                <w:bCs/>
                <w:color w:val="000000"/>
                <w:sz w:val="18"/>
                <w:szCs w:val="18"/>
              </w:rPr>
            </w:pPr>
            <w:r w:rsidRPr="00F600D3">
              <w:rPr>
                <w:rFonts w:eastAsia="Calibri"/>
                <w:color w:val="000000"/>
                <w:sz w:val="18"/>
                <w:szCs w:val="18"/>
              </w:rPr>
              <w:t>Відновлення благоустрою території: реконструкція павільйонів, спортивного майданчика, системи енергоефективного зовнішнього освітлення території, заміна асфальтного покриття,</w:t>
            </w:r>
            <w:r w:rsidRPr="00F600D3">
              <w:rPr>
                <w:sz w:val="18"/>
                <w:szCs w:val="18"/>
              </w:rPr>
              <w:t xml:space="preserve"> відновлення</w:t>
            </w:r>
            <w:r w:rsidRPr="00F600D3">
              <w:rPr>
                <w:rFonts w:eastAsia="Calibri"/>
                <w:color w:val="000000"/>
                <w:sz w:val="18"/>
                <w:szCs w:val="18"/>
              </w:rPr>
              <w:t xml:space="preserve"> паркану та облаштування ігрових майданчиків на території Ясел-садка № 26 м. Сєвєродонецька Луганської обл., вул. </w:t>
            </w:r>
            <w:proofErr w:type="spellStart"/>
            <w:r w:rsidRPr="00F600D3">
              <w:rPr>
                <w:rFonts w:eastAsia="Calibri"/>
                <w:color w:val="000000"/>
                <w:sz w:val="18"/>
                <w:szCs w:val="18"/>
              </w:rPr>
              <w:t>Сметаніна</w:t>
            </w:r>
            <w:proofErr w:type="spellEnd"/>
            <w:r w:rsidRPr="00F600D3">
              <w:rPr>
                <w:rFonts w:eastAsia="Calibri"/>
                <w:color w:val="000000"/>
                <w:sz w:val="18"/>
                <w:szCs w:val="18"/>
              </w:rPr>
              <w:t>, 16</w:t>
            </w:r>
          </w:p>
        </w:tc>
        <w:tc>
          <w:tcPr>
            <w:tcW w:w="1736"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rFonts w:eastAsia="Calibri"/>
                <w:color w:val="000000"/>
                <w:sz w:val="18"/>
                <w:szCs w:val="18"/>
              </w:rPr>
              <w:t>1500,55</w:t>
            </w:r>
          </w:p>
        </w:tc>
        <w:tc>
          <w:tcPr>
            <w:tcW w:w="992"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autoSpaceDE w:val="0"/>
              <w:autoSpaceDN w:val="0"/>
              <w:adjustRightInd w:val="0"/>
              <w:jc w:val="center"/>
              <w:rPr>
                <w:rFonts w:eastAsia="Calibri"/>
                <w:color w:val="000000"/>
                <w:sz w:val="18"/>
                <w:szCs w:val="18"/>
              </w:rPr>
            </w:pPr>
            <w:r w:rsidRPr="005A75B3">
              <w:rPr>
                <w:rFonts w:eastAsia="Calibri"/>
                <w:sz w:val="18"/>
                <w:szCs w:val="18"/>
              </w:rPr>
              <w:t>1397,39</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autoSpaceDE w:val="0"/>
              <w:autoSpaceDN w:val="0"/>
              <w:adjustRightInd w:val="0"/>
              <w:jc w:val="center"/>
              <w:rPr>
                <w:rFonts w:eastAsia="Calibri"/>
                <w:color w:val="000000"/>
                <w:sz w:val="18"/>
                <w:szCs w:val="18"/>
              </w:rPr>
            </w:pPr>
            <w:r w:rsidRPr="005A75B3">
              <w:rPr>
                <w:rFonts w:eastAsia="Calibri"/>
                <w:color w:val="000000"/>
                <w:sz w:val="18"/>
                <w:szCs w:val="18"/>
              </w:rPr>
              <w:t>Міжнародні інвестиції,</w:t>
            </w:r>
          </w:p>
          <w:p w:rsidR="00E021FE" w:rsidRPr="005A75B3" w:rsidRDefault="00E021FE" w:rsidP="005A75B3">
            <w:pPr>
              <w:autoSpaceDE w:val="0"/>
              <w:autoSpaceDN w:val="0"/>
              <w:adjustRightInd w:val="0"/>
              <w:jc w:val="center"/>
              <w:rPr>
                <w:rFonts w:eastAsia="Calibri"/>
                <w:color w:val="000000"/>
                <w:sz w:val="18"/>
                <w:szCs w:val="18"/>
              </w:rPr>
            </w:pPr>
            <w:r w:rsidRPr="005A75B3">
              <w:rPr>
                <w:rFonts w:eastAsia="Calibri"/>
                <w:color w:val="000000"/>
                <w:sz w:val="18"/>
                <w:szCs w:val="18"/>
              </w:rPr>
              <w:t>кошти</w:t>
            </w:r>
          </w:p>
          <w:p w:rsidR="00E021FE" w:rsidRPr="005A75B3" w:rsidRDefault="00E021FE" w:rsidP="005A75B3">
            <w:pPr>
              <w:autoSpaceDE w:val="0"/>
              <w:autoSpaceDN w:val="0"/>
              <w:adjustRightInd w:val="0"/>
              <w:jc w:val="center"/>
              <w:rPr>
                <w:rFonts w:eastAsia="Calibri"/>
                <w:color w:val="000000"/>
                <w:sz w:val="18"/>
                <w:szCs w:val="18"/>
              </w:rPr>
            </w:pPr>
            <w:r w:rsidRPr="005A75B3">
              <w:rPr>
                <w:rFonts w:eastAsia="Calibri"/>
                <w:color w:val="000000"/>
                <w:sz w:val="18"/>
                <w:szCs w:val="18"/>
              </w:rPr>
              <w:t>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rFonts w:eastAsia="Calibri"/>
                <w:color w:val="000000"/>
                <w:sz w:val="18"/>
                <w:szCs w:val="18"/>
              </w:rPr>
              <w:t>2897,94</w:t>
            </w:r>
          </w:p>
        </w:tc>
      </w:tr>
      <w:tr w:rsidR="00E021FE" w:rsidRPr="00E95FB1" w:rsidTr="005A75B3">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color w:val="000000"/>
                <w:sz w:val="18"/>
                <w:szCs w:val="18"/>
                <w:lang w:eastAsia="uk-UA"/>
              </w:rPr>
              <w:t>22</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5A75B3">
            <w:pPr>
              <w:jc w:val="center"/>
              <w:rPr>
                <w:rFonts w:eastAsia="Calibri"/>
                <w:bCs/>
                <w:color w:val="000000"/>
                <w:sz w:val="18"/>
                <w:szCs w:val="18"/>
              </w:rPr>
            </w:pPr>
            <w:r w:rsidRPr="00F600D3">
              <w:rPr>
                <w:rFonts w:eastAsia="Calibri"/>
                <w:color w:val="000000"/>
                <w:sz w:val="18"/>
                <w:szCs w:val="18"/>
              </w:rPr>
              <w:t xml:space="preserve">Капітальний ремонт основної будівлі, будівлі господарчого блоку та бомбосховища Ясел - садка № 26 </w:t>
            </w:r>
            <w:proofErr w:type="spellStart"/>
            <w:r w:rsidRPr="00F600D3">
              <w:rPr>
                <w:rFonts w:eastAsia="Calibri"/>
                <w:color w:val="000000"/>
                <w:sz w:val="18"/>
                <w:szCs w:val="18"/>
              </w:rPr>
              <w:t>м.Сєвєродонецька</w:t>
            </w:r>
            <w:proofErr w:type="spellEnd"/>
            <w:r w:rsidRPr="00F600D3">
              <w:rPr>
                <w:rFonts w:eastAsia="Calibri"/>
                <w:color w:val="000000"/>
                <w:sz w:val="18"/>
                <w:szCs w:val="18"/>
              </w:rPr>
              <w:t xml:space="preserve"> Луганської обл. вул. </w:t>
            </w:r>
            <w:proofErr w:type="spellStart"/>
            <w:r w:rsidRPr="00F600D3">
              <w:rPr>
                <w:rFonts w:eastAsia="Calibri"/>
                <w:color w:val="000000"/>
                <w:sz w:val="18"/>
                <w:szCs w:val="18"/>
              </w:rPr>
              <w:t>Смєтаніна</w:t>
            </w:r>
            <w:proofErr w:type="spellEnd"/>
            <w:r w:rsidRPr="00F600D3">
              <w:rPr>
                <w:rFonts w:eastAsia="Calibri"/>
                <w:color w:val="000000"/>
                <w:sz w:val="18"/>
                <w:szCs w:val="18"/>
              </w:rPr>
              <w:t>, 16</w:t>
            </w:r>
          </w:p>
        </w:tc>
        <w:tc>
          <w:tcPr>
            <w:tcW w:w="1736"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rFonts w:eastAsia="Calibri"/>
                <w:color w:val="000000"/>
                <w:sz w:val="18"/>
                <w:szCs w:val="18"/>
              </w:rPr>
              <w:t>2000,88</w:t>
            </w:r>
          </w:p>
        </w:tc>
        <w:tc>
          <w:tcPr>
            <w:tcW w:w="992"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autoSpaceDE w:val="0"/>
              <w:autoSpaceDN w:val="0"/>
              <w:adjustRightInd w:val="0"/>
              <w:jc w:val="center"/>
              <w:rPr>
                <w:rFonts w:eastAsia="Calibri"/>
                <w:color w:val="000000"/>
                <w:sz w:val="18"/>
                <w:szCs w:val="18"/>
              </w:rPr>
            </w:pPr>
            <w:r w:rsidRPr="005A75B3">
              <w:rPr>
                <w:rFonts w:eastAsia="Calibri"/>
                <w:color w:val="000000"/>
                <w:sz w:val="18"/>
                <w:szCs w:val="18"/>
              </w:rPr>
              <w:t>1090,0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autoSpaceDE w:val="0"/>
              <w:autoSpaceDN w:val="0"/>
              <w:adjustRightInd w:val="0"/>
              <w:jc w:val="center"/>
              <w:rPr>
                <w:rFonts w:eastAsia="Calibri"/>
                <w:color w:val="000000"/>
                <w:sz w:val="18"/>
                <w:szCs w:val="18"/>
              </w:rPr>
            </w:pPr>
            <w:r w:rsidRPr="005A75B3">
              <w:rPr>
                <w:rFonts w:eastAsia="Calibri"/>
                <w:color w:val="000000"/>
                <w:sz w:val="18"/>
                <w:szCs w:val="18"/>
              </w:rPr>
              <w:t>Міжнародні інвестиції,</w:t>
            </w:r>
          </w:p>
          <w:p w:rsidR="00E021FE" w:rsidRPr="005A75B3" w:rsidRDefault="00E021FE" w:rsidP="005A75B3">
            <w:pPr>
              <w:autoSpaceDE w:val="0"/>
              <w:autoSpaceDN w:val="0"/>
              <w:adjustRightInd w:val="0"/>
              <w:jc w:val="center"/>
              <w:rPr>
                <w:rFonts w:eastAsia="Calibri"/>
                <w:color w:val="000000"/>
                <w:sz w:val="18"/>
                <w:szCs w:val="18"/>
              </w:rPr>
            </w:pPr>
            <w:r w:rsidRPr="005A75B3">
              <w:rPr>
                <w:rFonts w:eastAsia="Calibri"/>
                <w:color w:val="000000"/>
                <w:sz w:val="18"/>
                <w:szCs w:val="18"/>
              </w:rPr>
              <w:t>кошти</w:t>
            </w:r>
          </w:p>
          <w:p w:rsidR="00E021FE" w:rsidRPr="005A75B3" w:rsidRDefault="00E021FE" w:rsidP="005A75B3">
            <w:pPr>
              <w:autoSpaceDE w:val="0"/>
              <w:autoSpaceDN w:val="0"/>
              <w:adjustRightInd w:val="0"/>
              <w:jc w:val="center"/>
              <w:rPr>
                <w:rFonts w:eastAsia="Calibri"/>
                <w:color w:val="000000"/>
                <w:sz w:val="18"/>
                <w:szCs w:val="18"/>
              </w:rPr>
            </w:pPr>
            <w:r w:rsidRPr="005A75B3">
              <w:rPr>
                <w:rFonts w:eastAsia="Calibri"/>
                <w:color w:val="000000"/>
                <w:sz w:val="18"/>
                <w:szCs w:val="18"/>
              </w:rPr>
              <w:t>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rFonts w:eastAsia="Calibri"/>
                <w:color w:val="000000"/>
                <w:sz w:val="18"/>
                <w:szCs w:val="18"/>
              </w:rPr>
              <w:t>3090,88</w:t>
            </w:r>
          </w:p>
        </w:tc>
      </w:tr>
      <w:tr w:rsidR="00E021FE" w:rsidRPr="00E95FB1" w:rsidTr="005A75B3">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color w:val="000000"/>
                <w:sz w:val="18"/>
                <w:szCs w:val="18"/>
                <w:lang w:eastAsia="uk-UA"/>
              </w:rPr>
              <w:t>23</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5A75B3">
            <w:pPr>
              <w:jc w:val="center"/>
              <w:rPr>
                <w:rFonts w:eastAsia="Calibri"/>
                <w:bCs/>
                <w:color w:val="000000"/>
                <w:sz w:val="18"/>
                <w:szCs w:val="18"/>
              </w:rPr>
            </w:pPr>
            <w:r w:rsidRPr="00F600D3">
              <w:rPr>
                <w:rFonts w:eastAsia="Calibri"/>
                <w:color w:val="000000"/>
                <w:sz w:val="18"/>
                <w:szCs w:val="18"/>
              </w:rPr>
              <w:t>Оснащення групових приміщень, кабінетів директора, вихователя-методиста, кабінетів спеціалістів, музичної зали.  Оснащення господарчого блоку: харчоблоку, комори, пральні Ясел-садка № 26 м. Сєвєродонецька Луганської обл., вул. Сметаніна,16</w:t>
            </w:r>
          </w:p>
        </w:tc>
        <w:tc>
          <w:tcPr>
            <w:tcW w:w="1736"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rFonts w:eastAsia="Calibri"/>
                <w:color w:val="000000"/>
                <w:sz w:val="18"/>
                <w:szCs w:val="18"/>
              </w:rPr>
              <w:t>1590,767</w:t>
            </w:r>
          </w:p>
        </w:tc>
        <w:tc>
          <w:tcPr>
            <w:tcW w:w="992"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rFonts w:eastAsia="Calibri"/>
                <w:color w:val="000000"/>
                <w:sz w:val="18"/>
                <w:szCs w:val="18"/>
              </w:rPr>
              <w:t>2452,775</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autoSpaceDE w:val="0"/>
              <w:autoSpaceDN w:val="0"/>
              <w:adjustRightInd w:val="0"/>
              <w:jc w:val="center"/>
              <w:rPr>
                <w:rFonts w:eastAsia="Calibri"/>
                <w:color w:val="000000"/>
                <w:sz w:val="18"/>
                <w:szCs w:val="18"/>
              </w:rPr>
            </w:pPr>
            <w:r w:rsidRPr="005A75B3">
              <w:rPr>
                <w:rFonts w:eastAsia="Calibri"/>
                <w:color w:val="000000"/>
                <w:sz w:val="18"/>
                <w:szCs w:val="18"/>
              </w:rPr>
              <w:t>Міжнародні інвестиції,</w:t>
            </w:r>
          </w:p>
          <w:p w:rsidR="00E021FE" w:rsidRPr="005A75B3" w:rsidRDefault="00E021FE" w:rsidP="005A75B3">
            <w:pPr>
              <w:autoSpaceDE w:val="0"/>
              <w:autoSpaceDN w:val="0"/>
              <w:adjustRightInd w:val="0"/>
              <w:jc w:val="center"/>
              <w:rPr>
                <w:rFonts w:eastAsia="Calibri"/>
                <w:color w:val="000000"/>
                <w:sz w:val="18"/>
                <w:szCs w:val="18"/>
              </w:rPr>
            </w:pPr>
            <w:r w:rsidRPr="005A75B3">
              <w:rPr>
                <w:rFonts w:eastAsia="Calibri"/>
                <w:color w:val="000000"/>
                <w:sz w:val="18"/>
                <w:szCs w:val="18"/>
              </w:rPr>
              <w:t>кошти</w:t>
            </w:r>
          </w:p>
          <w:p w:rsidR="00E021FE" w:rsidRPr="005A75B3" w:rsidRDefault="00E021FE" w:rsidP="005A75B3">
            <w:pPr>
              <w:jc w:val="center"/>
              <w:rPr>
                <w:bCs/>
                <w:sz w:val="18"/>
                <w:szCs w:val="18"/>
              </w:rPr>
            </w:pPr>
            <w:r w:rsidRPr="005A75B3">
              <w:rPr>
                <w:rFonts w:eastAsia="Calibri"/>
                <w:color w:val="000000"/>
                <w:sz w:val="18"/>
                <w:szCs w:val="18"/>
              </w:rPr>
              <w:t>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rFonts w:eastAsia="Calibri"/>
                <w:color w:val="000000"/>
                <w:sz w:val="18"/>
                <w:szCs w:val="18"/>
              </w:rPr>
              <w:t>4043,542</w:t>
            </w:r>
          </w:p>
        </w:tc>
      </w:tr>
      <w:tr w:rsidR="00E021FE" w:rsidRPr="00E95FB1" w:rsidTr="00561ABE">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color w:val="000000"/>
                <w:sz w:val="18"/>
                <w:szCs w:val="18"/>
                <w:lang w:eastAsia="uk-UA"/>
              </w:rPr>
              <w:t>24</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561ABE">
            <w:pPr>
              <w:jc w:val="center"/>
              <w:rPr>
                <w:sz w:val="18"/>
                <w:szCs w:val="18"/>
              </w:rPr>
            </w:pPr>
            <w:r w:rsidRPr="00F600D3">
              <w:rPr>
                <w:color w:val="000000" w:themeColor="text1"/>
                <w:sz w:val="18"/>
                <w:szCs w:val="18"/>
              </w:rPr>
              <w:t xml:space="preserve">Капітальний ремонт Ясел-садка 30 </w:t>
            </w:r>
            <w:proofErr w:type="spellStart"/>
            <w:r w:rsidRPr="00F600D3">
              <w:rPr>
                <w:color w:val="000000" w:themeColor="text1"/>
                <w:sz w:val="18"/>
                <w:szCs w:val="18"/>
              </w:rPr>
              <w:t>м.Сєвєродонецька</w:t>
            </w:r>
            <w:proofErr w:type="spellEnd"/>
            <w:r w:rsidRPr="00F600D3">
              <w:rPr>
                <w:color w:val="000000" w:themeColor="text1"/>
                <w:sz w:val="18"/>
                <w:szCs w:val="18"/>
              </w:rPr>
              <w:t xml:space="preserve"> Луганської області, </w:t>
            </w:r>
            <w:proofErr w:type="spellStart"/>
            <w:r w:rsidRPr="00F600D3">
              <w:rPr>
                <w:color w:val="000000" w:themeColor="text1"/>
                <w:sz w:val="18"/>
                <w:szCs w:val="18"/>
              </w:rPr>
              <w:t>вул.Вілєсова</w:t>
            </w:r>
            <w:proofErr w:type="spellEnd"/>
            <w:r w:rsidRPr="00F600D3">
              <w:rPr>
                <w:color w:val="000000" w:themeColor="text1"/>
                <w:sz w:val="18"/>
                <w:szCs w:val="18"/>
              </w:rPr>
              <w:t>, 9</w:t>
            </w:r>
          </w:p>
        </w:tc>
        <w:tc>
          <w:tcPr>
            <w:tcW w:w="1736"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rFonts w:eastAsia="Calibri"/>
                <w:color w:val="000000" w:themeColor="text1"/>
                <w:sz w:val="18"/>
                <w:szCs w:val="18"/>
              </w:rPr>
              <w:t>10500,0</w:t>
            </w:r>
          </w:p>
        </w:tc>
        <w:tc>
          <w:tcPr>
            <w:tcW w:w="992"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rFonts w:eastAsia="Calibri"/>
                <w:color w:val="000000" w:themeColor="text1"/>
                <w:sz w:val="18"/>
                <w:szCs w:val="18"/>
              </w:rPr>
              <w:t>4500,0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autoSpaceDE w:val="0"/>
              <w:autoSpaceDN w:val="0"/>
              <w:adjustRightInd w:val="0"/>
              <w:jc w:val="center"/>
              <w:rPr>
                <w:rFonts w:eastAsia="Calibri"/>
                <w:color w:val="000000" w:themeColor="text1"/>
                <w:sz w:val="18"/>
                <w:szCs w:val="18"/>
              </w:rPr>
            </w:pPr>
            <w:r w:rsidRPr="00561ABE">
              <w:rPr>
                <w:rFonts w:eastAsia="Calibri"/>
                <w:color w:val="000000" w:themeColor="text1"/>
                <w:sz w:val="18"/>
                <w:szCs w:val="18"/>
              </w:rPr>
              <w:t>Міжнародні</w:t>
            </w:r>
          </w:p>
          <w:p w:rsidR="00E021FE" w:rsidRPr="00561ABE" w:rsidRDefault="00E021FE" w:rsidP="00561ABE">
            <w:pPr>
              <w:jc w:val="center"/>
              <w:rPr>
                <w:bCs/>
                <w:sz w:val="18"/>
                <w:szCs w:val="18"/>
              </w:rPr>
            </w:pPr>
            <w:r w:rsidRPr="00561ABE">
              <w:rPr>
                <w:rFonts w:eastAsia="Calibri"/>
                <w:color w:val="000000" w:themeColor="text1"/>
                <w:sz w:val="18"/>
                <w:szCs w:val="18"/>
              </w:rPr>
              <w:t>партнери</w:t>
            </w:r>
          </w:p>
        </w:tc>
        <w:tc>
          <w:tcPr>
            <w:tcW w:w="1164"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rFonts w:eastAsia="Calibri"/>
                <w:color w:val="000000" w:themeColor="text1"/>
                <w:sz w:val="18"/>
                <w:szCs w:val="18"/>
              </w:rPr>
              <w:t>15000,0</w:t>
            </w:r>
          </w:p>
        </w:tc>
      </w:tr>
      <w:tr w:rsidR="00E021FE" w:rsidRPr="00E95FB1" w:rsidTr="00561ABE">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color w:val="000000"/>
                <w:sz w:val="18"/>
                <w:szCs w:val="18"/>
                <w:lang w:eastAsia="uk-UA"/>
              </w:rPr>
              <w:lastRenderedPageBreak/>
              <w:t>25</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561ABE">
            <w:pPr>
              <w:jc w:val="center"/>
              <w:rPr>
                <w:sz w:val="18"/>
                <w:szCs w:val="18"/>
              </w:rPr>
            </w:pPr>
            <w:r w:rsidRPr="00F600D3">
              <w:rPr>
                <w:rFonts w:eastAsia="Calibri"/>
                <w:color w:val="000000"/>
                <w:sz w:val="18"/>
                <w:szCs w:val="18"/>
              </w:rPr>
              <w:t xml:space="preserve">Оснащення та модернізація матеріально-технічної бази закладу дошкільної освіти  Ясел-садка№ 30 </w:t>
            </w:r>
            <w:proofErr w:type="spellStart"/>
            <w:r w:rsidRPr="00F600D3">
              <w:rPr>
                <w:rFonts w:eastAsia="Calibri"/>
                <w:color w:val="000000"/>
                <w:sz w:val="18"/>
                <w:szCs w:val="18"/>
              </w:rPr>
              <w:t>м.Сєвєродонецька</w:t>
            </w:r>
            <w:proofErr w:type="spellEnd"/>
            <w:r w:rsidRPr="00F600D3">
              <w:rPr>
                <w:rFonts w:eastAsia="Calibri"/>
                <w:color w:val="000000"/>
                <w:sz w:val="18"/>
                <w:szCs w:val="18"/>
              </w:rPr>
              <w:t xml:space="preserve"> Луганської області, </w:t>
            </w:r>
            <w:r w:rsidRPr="00F600D3">
              <w:rPr>
                <w:sz w:val="18"/>
                <w:szCs w:val="18"/>
              </w:rPr>
              <w:t xml:space="preserve"> </w:t>
            </w:r>
            <w:proofErr w:type="spellStart"/>
            <w:r w:rsidRPr="00F600D3">
              <w:rPr>
                <w:rFonts w:eastAsia="Calibri"/>
                <w:color w:val="000000"/>
                <w:sz w:val="18"/>
                <w:szCs w:val="18"/>
              </w:rPr>
              <w:t>вул.Вілєсова</w:t>
            </w:r>
            <w:proofErr w:type="spellEnd"/>
            <w:r w:rsidRPr="00F600D3">
              <w:rPr>
                <w:rFonts w:eastAsia="Calibri"/>
                <w:color w:val="000000"/>
                <w:sz w:val="18"/>
                <w:szCs w:val="18"/>
              </w:rPr>
              <w:t>, 9</w:t>
            </w:r>
          </w:p>
          <w:p w:rsidR="00E021FE" w:rsidRPr="00F600D3" w:rsidRDefault="00E021FE" w:rsidP="00561ABE">
            <w:pPr>
              <w:jc w:val="center"/>
              <w:rPr>
                <w:rFonts w:eastAsia="Calibri"/>
                <w:bCs/>
                <w:color w:val="000000"/>
                <w:sz w:val="18"/>
                <w:szCs w:val="18"/>
              </w:rPr>
            </w:pPr>
          </w:p>
        </w:tc>
        <w:tc>
          <w:tcPr>
            <w:tcW w:w="1736"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rFonts w:eastAsia="Calibri"/>
                <w:color w:val="000000" w:themeColor="text1"/>
                <w:sz w:val="18"/>
                <w:szCs w:val="18"/>
              </w:rPr>
              <w:t>17500,0</w:t>
            </w:r>
          </w:p>
        </w:tc>
        <w:tc>
          <w:tcPr>
            <w:tcW w:w="992"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Pr>
                <w:rFonts w:eastAsia="Calibri"/>
                <w:color w:val="000000" w:themeColor="text1"/>
                <w:sz w:val="18"/>
                <w:szCs w:val="18"/>
                <w:lang w:val="en-US"/>
              </w:rPr>
              <w:t>7500</w:t>
            </w:r>
            <w:r>
              <w:rPr>
                <w:rFonts w:eastAsia="Calibri"/>
                <w:color w:val="000000" w:themeColor="text1"/>
                <w:sz w:val="18"/>
                <w:szCs w:val="18"/>
              </w:rPr>
              <w:t>,</w:t>
            </w:r>
            <w:r>
              <w:rPr>
                <w:rFonts w:eastAsia="Calibri"/>
                <w:color w:val="000000" w:themeColor="text1"/>
                <w:sz w:val="18"/>
                <w:szCs w:val="18"/>
                <w:lang w:val="en-US"/>
              </w:rPr>
              <w:t>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autoSpaceDE w:val="0"/>
              <w:autoSpaceDN w:val="0"/>
              <w:adjustRightInd w:val="0"/>
              <w:jc w:val="center"/>
              <w:rPr>
                <w:rFonts w:eastAsia="Calibri"/>
                <w:color w:val="000000" w:themeColor="text1"/>
                <w:sz w:val="18"/>
                <w:szCs w:val="18"/>
              </w:rPr>
            </w:pPr>
            <w:r w:rsidRPr="00561ABE">
              <w:rPr>
                <w:rFonts w:eastAsia="Calibri"/>
                <w:color w:val="000000" w:themeColor="text1"/>
                <w:sz w:val="18"/>
                <w:szCs w:val="18"/>
              </w:rPr>
              <w:t>Міжнародні</w:t>
            </w:r>
          </w:p>
          <w:p w:rsidR="00E021FE" w:rsidRPr="00561ABE" w:rsidRDefault="00E021FE" w:rsidP="00561ABE">
            <w:pPr>
              <w:jc w:val="center"/>
              <w:rPr>
                <w:bCs/>
                <w:sz w:val="18"/>
                <w:szCs w:val="18"/>
              </w:rPr>
            </w:pPr>
            <w:r w:rsidRPr="00561ABE">
              <w:rPr>
                <w:rFonts w:eastAsia="Calibri"/>
                <w:color w:val="000000" w:themeColor="text1"/>
                <w:sz w:val="18"/>
                <w:szCs w:val="18"/>
              </w:rPr>
              <w:t>партнери</w:t>
            </w:r>
          </w:p>
        </w:tc>
        <w:tc>
          <w:tcPr>
            <w:tcW w:w="1164"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C40719">
            <w:pPr>
              <w:jc w:val="center"/>
              <w:rPr>
                <w:color w:val="000000"/>
                <w:sz w:val="18"/>
                <w:szCs w:val="18"/>
                <w:lang w:eastAsia="uk-UA"/>
              </w:rPr>
            </w:pPr>
            <w:r w:rsidRPr="00561ABE">
              <w:rPr>
                <w:rFonts w:eastAsia="Calibri"/>
                <w:color w:val="000000" w:themeColor="text1"/>
                <w:sz w:val="18"/>
                <w:szCs w:val="18"/>
              </w:rPr>
              <w:t>25</w:t>
            </w:r>
            <w:r>
              <w:rPr>
                <w:rFonts w:eastAsia="Calibri"/>
                <w:color w:val="000000" w:themeColor="text1"/>
                <w:sz w:val="18"/>
                <w:szCs w:val="18"/>
              </w:rPr>
              <w:t>0</w:t>
            </w:r>
            <w:r w:rsidRPr="00561ABE">
              <w:rPr>
                <w:rFonts w:eastAsia="Calibri"/>
                <w:color w:val="000000" w:themeColor="text1"/>
                <w:sz w:val="18"/>
                <w:szCs w:val="18"/>
              </w:rPr>
              <w:t>00,0</w:t>
            </w:r>
          </w:p>
        </w:tc>
      </w:tr>
      <w:tr w:rsidR="00E021FE" w:rsidRPr="00E95FB1" w:rsidTr="00561ABE">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color w:val="000000"/>
                <w:sz w:val="18"/>
                <w:szCs w:val="18"/>
                <w:lang w:eastAsia="uk-UA"/>
              </w:rPr>
              <w:t>26</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561ABE">
            <w:pPr>
              <w:jc w:val="center"/>
              <w:rPr>
                <w:rFonts w:eastAsia="Calibri"/>
                <w:bCs/>
                <w:color w:val="000000"/>
                <w:sz w:val="18"/>
                <w:szCs w:val="18"/>
              </w:rPr>
            </w:pPr>
            <w:r w:rsidRPr="00F600D3">
              <w:rPr>
                <w:rFonts w:eastAsia="Calibri"/>
                <w:color w:val="000000"/>
                <w:sz w:val="18"/>
                <w:szCs w:val="18"/>
              </w:rPr>
              <w:t xml:space="preserve">Капітальний ремонт будівлі та приміщень Ясел – садка № 37 </w:t>
            </w:r>
            <w:proofErr w:type="spellStart"/>
            <w:r w:rsidRPr="00F600D3">
              <w:rPr>
                <w:rFonts w:eastAsia="Calibri"/>
                <w:color w:val="000000"/>
                <w:sz w:val="18"/>
                <w:szCs w:val="18"/>
              </w:rPr>
              <w:t>м.Сєвєродонецька</w:t>
            </w:r>
            <w:proofErr w:type="spellEnd"/>
            <w:r w:rsidRPr="00F600D3">
              <w:rPr>
                <w:rFonts w:eastAsia="Calibri"/>
                <w:color w:val="000000"/>
                <w:sz w:val="18"/>
                <w:szCs w:val="18"/>
              </w:rPr>
              <w:t xml:space="preserve"> Луганської обл.,  вул. Гагаріна буд.101-В</w:t>
            </w:r>
          </w:p>
        </w:tc>
        <w:tc>
          <w:tcPr>
            <w:tcW w:w="1736"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rFonts w:eastAsia="Calibri"/>
                <w:sz w:val="18"/>
                <w:szCs w:val="18"/>
              </w:rPr>
              <w:t>30 000, 0</w:t>
            </w:r>
          </w:p>
        </w:tc>
        <w:tc>
          <w:tcPr>
            <w:tcW w:w="992"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autoSpaceDE w:val="0"/>
              <w:autoSpaceDN w:val="0"/>
              <w:adjustRightInd w:val="0"/>
              <w:jc w:val="center"/>
              <w:rPr>
                <w:rFonts w:eastAsia="Calibri"/>
                <w:sz w:val="18"/>
                <w:szCs w:val="18"/>
              </w:rPr>
            </w:pPr>
            <w:r w:rsidRPr="00561ABE">
              <w:rPr>
                <w:rFonts w:eastAsia="Calibri"/>
                <w:sz w:val="18"/>
                <w:szCs w:val="18"/>
              </w:rPr>
              <w:t>10.000, 0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autoSpaceDE w:val="0"/>
              <w:autoSpaceDN w:val="0"/>
              <w:adjustRightInd w:val="0"/>
              <w:jc w:val="center"/>
              <w:rPr>
                <w:rFonts w:eastAsia="Calibri"/>
                <w:sz w:val="18"/>
                <w:szCs w:val="18"/>
              </w:rPr>
            </w:pPr>
            <w:r w:rsidRPr="00561ABE">
              <w:rPr>
                <w:rFonts w:eastAsia="Calibri"/>
                <w:sz w:val="18"/>
                <w:szCs w:val="18"/>
              </w:rPr>
              <w:t>Міжнародні інвестиції</w:t>
            </w:r>
          </w:p>
          <w:p w:rsidR="00E021FE" w:rsidRPr="00561ABE" w:rsidRDefault="00E021FE" w:rsidP="00561ABE">
            <w:pPr>
              <w:jc w:val="center"/>
              <w:rPr>
                <w:rFonts w:eastAsia="Calibri"/>
                <w:sz w:val="18"/>
                <w:szCs w:val="18"/>
              </w:rPr>
            </w:pPr>
          </w:p>
          <w:p w:rsidR="00E021FE" w:rsidRPr="00561ABE" w:rsidRDefault="00E021FE" w:rsidP="00561ABE">
            <w:pPr>
              <w:jc w:val="center"/>
              <w:rPr>
                <w:rFonts w:eastAsia="Calibri"/>
                <w:sz w:val="18"/>
                <w:szCs w:val="18"/>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rFonts w:eastAsia="Calibri"/>
                <w:sz w:val="18"/>
                <w:szCs w:val="18"/>
              </w:rPr>
              <w:t>40 000, 00</w:t>
            </w:r>
          </w:p>
        </w:tc>
      </w:tr>
      <w:tr w:rsidR="00E021FE" w:rsidRPr="00E95FB1" w:rsidTr="00561ABE">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color w:val="000000"/>
                <w:sz w:val="18"/>
                <w:szCs w:val="18"/>
                <w:lang w:eastAsia="uk-UA"/>
              </w:rPr>
              <w:t>27</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561ABE">
            <w:pPr>
              <w:jc w:val="center"/>
              <w:rPr>
                <w:rFonts w:eastAsia="Calibri"/>
                <w:bCs/>
                <w:color w:val="000000"/>
                <w:sz w:val="18"/>
                <w:szCs w:val="18"/>
              </w:rPr>
            </w:pPr>
            <w:r w:rsidRPr="00F600D3">
              <w:rPr>
                <w:rFonts w:eastAsia="Calibri"/>
                <w:color w:val="000000"/>
                <w:sz w:val="18"/>
                <w:szCs w:val="18"/>
              </w:rPr>
              <w:t>Матеріально – технічне оснащення  будівлі та приміщень Ясел – садка № 37 м. Сєвєродонецька Луганської обл. вул. Гагаріна буд.101-В</w:t>
            </w:r>
          </w:p>
        </w:tc>
        <w:tc>
          <w:tcPr>
            <w:tcW w:w="1736"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rFonts w:eastAsia="Calibri"/>
                <w:sz w:val="18"/>
                <w:szCs w:val="18"/>
              </w:rPr>
              <w:t>3 000, 000</w:t>
            </w:r>
          </w:p>
        </w:tc>
        <w:tc>
          <w:tcPr>
            <w:tcW w:w="992"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rFonts w:eastAsia="Calibri"/>
                <w:sz w:val="18"/>
                <w:szCs w:val="18"/>
              </w:rPr>
              <w:t>3 500, 000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autoSpaceDE w:val="0"/>
              <w:autoSpaceDN w:val="0"/>
              <w:adjustRightInd w:val="0"/>
              <w:jc w:val="center"/>
              <w:rPr>
                <w:rFonts w:eastAsia="Calibri"/>
                <w:sz w:val="18"/>
                <w:szCs w:val="18"/>
              </w:rPr>
            </w:pPr>
            <w:r w:rsidRPr="00561ABE">
              <w:rPr>
                <w:rFonts w:eastAsia="Calibri"/>
                <w:sz w:val="18"/>
                <w:szCs w:val="18"/>
              </w:rPr>
              <w:t>Міжнародні інвестиції</w:t>
            </w:r>
          </w:p>
          <w:p w:rsidR="00E021FE" w:rsidRPr="00561ABE" w:rsidRDefault="00E021FE" w:rsidP="00561ABE">
            <w:pPr>
              <w:jc w:val="center"/>
              <w:rPr>
                <w:bCs/>
                <w:sz w:val="18"/>
                <w:szCs w:val="18"/>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rFonts w:eastAsia="Calibri"/>
                <w:sz w:val="18"/>
                <w:szCs w:val="18"/>
              </w:rPr>
              <w:t>6 500, 000</w:t>
            </w:r>
          </w:p>
        </w:tc>
      </w:tr>
      <w:tr w:rsidR="00E021FE" w:rsidRPr="00E95FB1" w:rsidTr="00561ABE">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color w:val="000000"/>
                <w:sz w:val="18"/>
                <w:szCs w:val="18"/>
                <w:lang w:eastAsia="uk-UA"/>
              </w:rPr>
              <w:t>28</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561ABE">
            <w:pPr>
              <w:jc w:val="center"/>
              <w:rPr>
                <w:rFonts w:eastAsia="Calibri"/>
                <w:bCs/>
                <w:color w:val="000000"/>
                <w:sz w:val="18"/>
                <w:szCs w:val="18"/>
              </w:rPr>
            </w:pPr>
            <w:r w:rsidRPr="00F600D3">
              <w:rPr>
                <w:rFonts w:eastAsia="Calibri"/>
                <w:color w:val="000000"/>
                <w:sz w:val="18"/>
                <w:szCs w:val="18"/>
              </w:rPr>
              <w:t>Безпечний, комфортний простір території Ясел – садка № 37 м. Сєвєродонецька Луганської обл. вул. Гагаріна буд.101-В</w:t>
            </w:r>
          </w:p>
        </w:tc>
        <w:tc>
          <w:tcPr>
            <w:tcW w:w="1736"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rFonts w:eastAsia="Calibri"/>
                <w:sz w:val="18"/>
                <w:szCs w:val="18"/>
              </w:rPr>
              <w:t>2 000, 000</w:t>
            </w:r>
          </w:p>
        </w:tc>
        <w:tc>
          <w:tcPr>
            <w:tcW w:w="992"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autoSpaceDE w:val="0"/>
              <w:autoSpaceDN w:val="0"/>
              <w:adjustRightInd w:val="0"/>
              <w:jc w:val="center"/>
              <w:rPr>
                <w:rFonts w:eastAsia="Calibri"/>
                <w:sz w:val="18"/>
                <w:szCs w:val="18"/>
              </w:rPr>
            </w:pPr>
            <w:r w:rsidRPr="00561ABE">
              <w:rPr>
                <w:rFonts w:eastAsia="Calibri"/>
                <w:sz w:val="18"/>
                <w:szCs w:val="18"/>
              </w:rPr>
              <w:t>2 500, 000 .</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autoSpaceDE w:val="0"/>
              <w:autoSpaceDN w:val="0"/>
              <w:adjustRightInd w:val="0"/>
              <w:jc w:val="center"/>
              <w:rPr>
                <w:rFonts w:eastAsia="Calibri"/>
                <w:sz w:val="18"/>
                <w:szCs w:val="18"/>
              </w:rPr>
            </w:pPr>
            <w:r w:rsidRPr="00561ABE">
              <w:rPr>
                <w:rFonts w:eastAsia="Calibri"/>
                <w:sz w:val="18"/>
                <w:szCs w:val="18"/>
              </w:rPr>
              <w:t>Міжнародні інвестиції</w:t>
            </w:r>
          </w:p>
          <w:p w:rsidR="00E021FE" w:rsidRPr="00561ABE" w:rsidRDefault="00E021FE" w:rsidP="00561ABE">
            <w:pPr>
              <w:autoSpaceDE w:val="0"/>
              <w:autoSpaceDN w:val="0"/>
              <w:adjustRightInd w:val="0"/>
              <w:jc w:val="center"/>
              <w:rPr>
                <w:rFonts w:eastAsia="Calibri"/>
                <w:sz w:val="18"/>
                <w:szCs w:val="18"/>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F82919" w:rsidRDefault="00E021FE" w:rsidP="002F40AD">
            <w:pPr>
              <w:jc w:val="center"/>
              <w:rPr>
                <w:color w:val="000000"/>
                <w:sz w:val="18"/>
                <w:szCs w:val="18"/>
                <w:lang w:val="ru-RU" w:eastAsia="uk-UA"/>
              </w:rPr>
            </w:pPr>
            <w:r>
              <w:rPr>
                <w:rFonts w:eastAsia="Calibri"/>
                <w:sz w:val="18"/>
                <w:szCs w:val="18"/>
              </w:rPr>
              <w:t>4500,</w:t>
            </w:r>
            <w:r w:rsidRPr="00561ABE">
              <w:rPr>
                <w:rFonts w:eastAsia="Calibri"/>
                <w:sz w:val="18"/>
                <w:szCs w:val="18"/>
              </w:rPr>
              <w:t xml:space="preserve">0 </w:t>
            </w:r>
          </w:p>
        </w:tc>
      </w:tr>
      <w:tr w:rsidR="00E021FE" w:rsidRPr="00E95FB1" w:rsidTr="004933FC">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4933FC" w:rsidRDefault="00E021FE" w:rsidP="004933FC">
            <w:pPr>
              <w:jc w:val="center"/>
              <w:rPr>
                <w:color w:val="000000"/>
                <w:sz w:val="18"/>
                <w:szCs w:val="18"/>
                <w:lang w:eastAsia="uk-UA"/>
              </w:rPr>
            </w:pPr>
            <w:r w:rsidRPr="004933FC">
              <w:rPr>
                <w:color w:val="000000"/>
                <w:sz w:val="18"/>
                <w:szCs w:val="18"/>
                <w:lang w:eastAsia="uk-UA"/>
              </w:rPr>
              <w:t>29</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4933FC">
            <w:pPr>
              <w:jc w:val="center"/>
              <w:rPr>
                <w:rFonts w:eastAsia="Calibri"/>
                <w:bCs/>
                <w:color w:val="000000"/>
                <w:sz w:val="18"/>
                <w:szCs w:val="18"/>
              </w:rPr>
            </w:pPr>
            <w:r w:rsidRPr="00F600D3">
              <w:rPr>
                <w:rFonts w:eastAsia="Calibri"/>
                <w:color w:val="000000"/>
                <w:sz w:val="18"/>
                <w:szCs w:val="18"/>
              </w:rPr>
              <w:t>Комфортний, безпечний та енергоефективний життєвий простір для учасників освітнього процесу в Яслах-садку №38 м. Сєвєродонецька Луганської області, вул. Науки буд. 10</w:t>
            </w:r>
          </w:p>
        </w:tc>
        <w:tc>
          <w:tcPr>
            <w:tcW w:w="1736" w:type="dxa"/>
            <w:tcBorders>
              <w:top w:val="nil"/>
              <w:left w:val="nil"/>
              <w:bottom w:val="single" w:sz="4" w:space="0" w:color="auto"/>
              <w:right w:val="single" w:sz="4" w:space="0" w:color="auto"/>
            </w:tcBorders>
            <w:shd w:val="clear" w:color="auto" w:fill="auto"/>
            <w:vAlign w:val="center"/>
            <w:hideMark/>
          </w:tcPr>
          <w:p w:rsidR="00E021FE" w:rsidRPr="004933FC" w:rsidRDefault="00E021FE" w:rsidP="004933FC">
            <w:pPr>
              <w:jc w:val="center"/>
              <w:rPr>
                <w:color w:val="000000"/>
                <w:sz w:val="18"/>
                <w:szCs w:val="18"/>
                <w:lang w:eastAsia="uk-UA"/>
              </w:rPr>
            </w:pPr>
            <w:r w:rsidRPr="004933FC">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4933FC" w:rsidRDefault="00E021FE" w:rsidP="004933FC">
            <w:pPr>
              <w:jc w:val="center"/>
              <w:rPr>
                <w:color w:val="000000"/>
                <w:sz w:val="18"/>
                <w:szCs w:val="18"/>
                <w:lang w:eastAsia="uk-UA"/>
              </w:rPr>
            </w:pPr>
            <w:r w:rsidRPr="004933FC">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4933FC" w:rsidRDefault="00E021FE" w:rsidP="004933FC">
            <w:pPr>
              <w:jc w:val="center"/>
              <w:rPr>
                <w:color w:val="000000"/>
                <w:sz w:val="18"/>
                <w:szCs w:val="18"/>
                <w:lang w:eastAsia="uk-UA"/>
              </w:rPr>
            </w:pPr>
            <w:r w:rsidRPr="004933FC">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4933FC" w:rsidRDefault="00E021FE" w:rsidP="004933FC">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4933FC" w:rsidRDefault="00E021FE" w:rsidP="004933FC">
            <w:pPr>
              <w:jc w:val="center"/>
              <w:rPr>
                <w:color w:val="000000"/>
                <w:sz w:val="18"/>
                <w:szCs w:val="18"/>
                <w:lang w:eastAsia="uk-UA"/>
              </w:rPr>
            </w:pPr>
            <w:r>
              <w:rPr>
                <w:rFonts w:eastAsia="Calibri"/>
                <w:sz w:val="18"/>
                <w:szCs w:val="18"/>
                <w:lang w:val="ru-RU"/>
              </w:rPr>
              <w:t>26586</w:t>
            </w:r>
            <w:r w:rsidRPr="004933FC">
              <w:rPr>
                <w:rFonts w:eastAsia="Calibri"/>
                <w:sz w:val="18"/>
                <w:szCs w:val="18"/>
              </w:rPr>
              <w:t>, 000</w:t>
            </w:r>
          </w:p>
        </w:tc>
        <w:tc>
          <w:tcPr>
            <w:tcW w:w="992" w:type="dxa"/>
            <w:tcBorders>
              <w:top w:val="nil"/>
              <w:left w:val="nil"/>
              <w:bottom w:val="single" w:sz="4" w:space="0" w:color="auto"/>
              <w:right w:val="single" w:sz="4" w:space="0" w:color="auto"/>
            </w:tcBorders>
            <w:shd w:val="clear" w:color="auto" w:fill="auto"/>
            <w:vAlign w:val="center"/>
            <w:hideMark/>
          </w:tcPr>
          <w:p w:rsidR="00E021FE" w:rsidRPr="004933FC" w:rsidRDefault="00E021FE" w:rsidP="004933FC">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4933FC" w:rsidRDefault="00E021FE" w:rsidP="004933FC">
            <w:pPr>
              <w:autoSpaceDE w:val="0"/>
              <w:autoSpaceDN w:val="0"/>
              <w:adjustRightInd w:val="0"/>
              <w:jc w:val="center"/>
              <w:rPr>
                <w:rFonts w:eastAsia="Calibri"/>
                <w:color w:val="000000"/>
                <w:sz w:val="18"/>
                <w:szCs w:val="18"/>
              </w:rPr>
            </w:pPr>
            <w:r>
              <w:rPr>
                <w:rFonts w:eastAsia="Calibri"/>
                <w:color w:val="000000"/>
                <w:sz w:val="18"/>
                <w:szCs w:val="18"/>
                <w:lang w:val="ru-RU"/>
              </w:rPr>
              <w:t>11394</w:t>
            </w:r>
            <w:r w:rsidRPr="004933FC">
              <w:rPr>
                <w:rFonts w:eastAsia="Calibri"/>
                <w:color w:val="000000"/>
                <w:sz w:val="18"/>
                <w:szCs w:val="18"/>
              </w:rPr>
              <w:t>, 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4933FC" w:rsidRDefault="00E021FE" w:rsidP="004933FC">
            <w:pPr>
              <w:autoSpaceDE w:val="0"/>
              <w:autoSpaceDN w:val="0"/>
              <w:adjustRightInd w:val="0"/>
              <w:jc w:val="center"/>
              <w:rPr>
                <w:rFonts w:eastAsia="Calibri"/>
                <w:color w:val="000000"/>
                <w:sz w:val="18"/>
                <w:szCs w:val="18"/>
              </w:rPr>
            </w:pPr>
            <w:r w:rsidRPr="004933FC">
              <w:rPr>
                <w:rFonts w:eastAsia="Calibri"/>
                <w:color w:val="000000"/>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4933FC" w:rsidRDefault="00E021FE" w:rsidP="004933FC">
            <w:pPr>
              <w:jc w:val="center"/>
              <w:rPr>
                <w:color w:val="000000"/>
                <w:sz w:val="18"/>
                <w:szCs w:val="18"/>
                <w:lang w:eastAsia="uk-UA"/>
              </w:rPr>
            </w:pPr>
            <w:r w:rsidRPr="004933FC">
              <w:rPr>
                <w:rFonts w:eastAsia="Calibri"/>
                <w:color w:val="000000"/>
                <w:sz w:val="18"/>
                <w:szCs w:val="18"/>
              </w:rPr>
              <w:t>37 980, 000</w:t>
            </w:r>
          </w:p>
        </w:tc>
      </w:tr>
      <w:tr w:rsidR="00E021FE" w:rsidRPr="00E95FB1" w:rsidTr="004933FC">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4933FC" w:rsidRDefault="00E021FE" w:rsidP="004933FC">
            <w:pPr>
              <w:jc w:val="center"/>
              <w:rPr>
                <w:color w:val="000000"/>
                <w:sz w:val="18"/>
                <w:szCs w:val="18"/>
                <w:lang w:eastAsia="uk-UA"/>
              </w:rPr>
            </w:pPr>
            <w:r w:rsidRPr="004933FC">
              <w:rPr>
                <w:color w:val="000000"/>
                <w:sz w:val="18"/>
                <w:szCs w:val="18"/>
                <w:lang w:eastAsia="uk-UA"/>
              </w:rPr>
              <w:t>30</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4933FC">
            <w:pPr>
              <w:jc w:val="center"/>
              <w:rPr>
                <w:rFonts w:eastAsia="Calibri"/>
                <w:bCs/>
                <w:color w:val="000000"/>
                <w:sz w:val="18"/>
                <w:szCs w:val="18"/>
              </w:rPr>
            </w:pPr>
            <w:r w:rsidRPr="00F600D3">
              <w:rPr>
                <w:rFonts w:eastAsia="Calibri"/>
                <w:color w:val="000000"/>
                <w:sz w:val="18"/>
                <w:szCs w:val="18"/>
              </w:rPr>
              <w:t>Безпечний, комфортний, багатофункціональний  простір прилеглої території Ясел-садка №38 м. Сєвєродонецька Луганської області, вул. Науки буд. 10</w:t>
            </w:r>
          </w:p>
        </w:tc>
        <w:tc>
          <w:tcPr>
            <w:tcW w:w="1736" w:type="dxa"/>
            <w:tcBorders>
              <w:top w:val="nil"/>
              <w:left w:val="nil"/>
              <w:bottom w:val="single" w:sz="4" w:space="0" w:color="auto"/>
              <w:right w:val="single" w:sz="4" w:space="0" w:color="auto"/>
            </w:tcBorders>
            <w:shd w:val="clear" w:color="auto" w:fill="auto"/>
            <w:vAlign w:val="center"/>
            <w:hideMark/>
          </w:tcPr>
          <w:p w:rsidR="00E021FE" w:rsidRPr="004933FC" w:rsidRDefault="00E021FE" w:rsidP="004933FC">
            <w:pPr>
              <w:jc w:val="center"/>
              <w:rPr>
                <w:color w:val="000000"/>
                <w:sz w:val="18"/>
                <w:szCs w:val="18"/>
                <w:lang w:eastAsia="uk-UA"/>
              </w:rPr>
            </w:pPr>
            <w:r w:rsidRPr="004933FC">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4933FC" w:rsidRDefault="00E021FE" w:rsidP="004933FC">
            <w:pPr>
              <w:jc w:val="center"/>
              <w:rPr>
                <w:color w:val="000000"/>
                <w:sz w:val="18"/>
                <w:szCs w:val="18"/>
                <w:lang w:eastAsia="uk-UA"/>
              </w:rPr>
            </w:pPr>
            <w:r w:rsidRPr="004933FC">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4933FC" w:rsidRDefault="00E021FE" w:rsidP="004933FC">
            <w:pPr>
              <w:jc w:val="center"/>
              <w:rPr>
                <w:color w:val="000000"/>
                <w:sz w:val="18"/>
                <w:szCs w:val="18"/>
                <w:lang w:eastAsia="uk-UA"/>
              </w:rPr>
            </w:pPr>
            <w:r w:rsidRPr="004933FC">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4933FC" w:rsidRDefault="00E021FE" w:rsidP="004933FC">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4933FC" w:rsidRDefault="00E021FE" w:rsidP="004933FC">
            <w:pPr>
              <w:jc w:val="center"/>
              <w:rPr>
                <w:color w:val="000000"/>
                <w:sz w:val="18"/>
                <w:szCs w:val="18"/>
                <w:lang w:eastAsia="uk-UA"/>
              </w:rPr>
            </w:pPr>
          </w:p>
        </w:tc>
        <w:tc>
          <w:tcPr>
            <w:tcW w:w="992" w:type="dxa"/>
            <w:tcBorders>
              <w:top w:val="nil"/>
              <w:left w:val="nil"/>
              <w:bottom w:val="single" w:sz="4" w:space="0" w:color="auto"/>
              <w:right w:val="single" w:sz="4" w:space="0" w:color="auto"/>
            </w:tcBorders>
            <w:shd w:val="clear" w:color="auto" w:fill="auto"/>
            <w:vAlign w:val="center"/>
            <w:hideMark/>
          </w:tcPr>
          <w:p w:rsidR="00E021FE" w:rsidRPr="004933FC" w:rsidRDefault="00E021FE" w:rsidP="004933FC">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4933FC" w:rsidRDefault="00E021FE" w:rsidP="004933FC">
            <w:pPr>
              <w:jc w:val="center"/>
              <w:rPr>
                <w:color w:val="000000"/>
                <w:sz w:val="18"/>
                <w:szCs w:val="18"/>
                <w:lang w:eastAsia="uk-UA"/>
              </w:rPr>
            </w:pPr>
            <w:r w:rsidRPr="004933FC">
              <w:rPr>
                <w:rFonts w:eastAsia="Calibri"/>
                <w:color w:val="000000"/>
                <w:sz w:val="18"/>
                <w:szCs w:val="18"/>
              </w:rPr>
              <w:t>4 940, 000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4933FC" w:rsidRDefault="00E021FE" w:rsidP="004933FC">
            <w:pPr>
              <w:jc w:val="center"/>
              <w:rPr>
                <w:bCs/>
                <w:sz w:val="18"/>
                <w:szCs w:val="18"/>
              </w:rPr>
            </w:pPr>
            <w:r w:rsidRPr="004933FC">
              <w:rPr>
                <w:rFonts w:eastAsia="Calibri"/>
                <w:color w:val="000000"/>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4933FC" w:rsidRDefault="00E021FE" w:rsidP="004933FC">
            <w:pPr>
              <w:jc w:val="center"/>
              <w:rPr>
                <w:color w:val="000000"/>
                <w:sz w:val="18"/>
                <w:szCs w:val="18"/>
                <w:lang w:eastAsia="uk-UA"/>
              </w:rPr>
            </w:pPr>
            <w:r w:rsidRPr="004933FC">
              <w:rPr>
                <w:rFonts w:eastAsia="Calibri"/>
                <w:color w:val="000000"/>
                <w:sz w:val="18"/>
                <w:szCs w:val="18"/>
              </w:rPr>
              <w:t>4 940, 000</w:t>
            </w:r>
          </w:p>
        </w:tc>
      </w:tr>
      <w:tr w:rsidR="00E021FE" w:rsidRPr="00E95FB1" w:rsidTr="00F71332">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sidRPr="00F71332">
              <w:rPr>
                <w:color w:val="000000"/>
                <w:sz w:val="18"/>
                <w:szCs w:val="18"/>
                <w:lang w:eastAsia="uk-UA"/>
              </w:rPr>
              <w:t>31</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F71332">
            <w:pPr>
              <w:jc w:val="center"/>
              <w:rPr>
                <w:rFonts w:eastAsia="Calibri"/>
                <w:bCs/>
                <w:color w:val="000000"/>
                <w:sz w:val="18"/>
                <w:szCs w:val="18"/>
              </w:rPr>
            </w:pPr>
            <w:r w:rsidRPr="00F600D3">
              <w:rPr>
                <w:rFonts w:eastAsia="Calibri"/>
                <w:color w:val="000000"/>
                <w:sz w:val="18"/>
                <w:szCs w:val="18"/>
              </w:rPr>
              <w:t>Створення сучасних європейських умов для освітнього процесу, з урахуванням індивідуальних потреб дітей дошкільного віку, у  Яслах-садку №38 м. Сєвєродонецька Луганської обл., вул. Науки, буд. 10</w:t>
            </w:r>
          </w:p>
        </w:tc>
        <w:tc>
          <w:tcPr>
            <w:tcW w:w="1736"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sidRPr="00F71332">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sidRPr="00F71332">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sidRPr="00F71332">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sidRPr="00F71332">
              <w:rPr>
                <w:rFonts w:eastAsia="Calibri"/>
                <w:color w:val="000000"/>
                <w:sz w:val="18"/>
                <w:szCs w:val="18"/>
              </w:rPr>
              <w:t>2709,0</w:t>
            </w:r>
          </w:p>
        </w:tc>
        <w:tc>
          <w:tcPr>
            <w:tcW w:w="992"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autoSpaceDE w:val="0"/>
              <w:autoSpaceDN w:val="0"/>
              <w:adjustRightInd w:val="0"/>
              <w:jc w:val="center"/>
              <w:rPr>
                <w:rFonts w:eastAsia="Calibri"/>
                <w:color w:val="000000"/>
                <w:sz w:val="18"/>
                <w:szCs w:val="18"/>
              </w:rPr>
            </w:pPr>
            <w:r w:rsidRPr="00F71332">
              <w:rPr>
                <w:rFonts w:eastAsia="Calibri"/>
                <w:color w:val="000000"/>
                <w:sz w:val="18"/>
                <w:szCs w:val="18"/>
              </w:rPr>
              <w:t>1161,0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autoSpaceDE w:val="0"/>
              <w:autoSpaceDN w:val="0"/>
              <w:adjustRightInd w:val="0"/>
              <w:jc w:val="center"/>
              <w:rPr>
                <w:rFonts w:eastAsia="Calibri"/>
                <w:color w:val="000000"/>
                <w:sz w:val="18"/>
                <w:szCs w:val="18"/>
              </w:rPr>
            </w:pPr>
            <w:r w:rsidRPr="00F71332">
              <w:rPr>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sidRPr="00F71332">
              <w:rPr>
                <w:rFonts w:eastAsia="Calibri"/>
                <w:color w:val="000000"/>
                <w:sz w:val="18"/>
                <w:szCs w:val="18"/>
              </w:rPr>
              <w:t>3 870, 000</w:t>
            </w:r>
          </w:p>
        </w:tc>
      </w:tr>
      <w:tr w:rsidR="00E021FE" w:rsidRPr="00E95FB1" w:rsidTr="00F71332">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sidRPr="00F71332">
              <w:rPr>
                <w:color w:val="000000"/>
                <w:sz w:val="18"/>
                <w:szCs w:val="18"/>
                <w:lang w:eastAsia="uk-UA"/>
              </w:rPr>
              <w:t>32</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F71332">
            <w:pPr>
              <w:jc w:val="center"/>
              <w:rPr>
                <w:rFonts w:eastAsia="Calibri"/>
                <w:bCs/>
                <w:color w:val="000000"/>
                <w:sz w:val="18"/>
                <w:szCs w:val="18"/>
              </w:rPr>
            </w:pPr>
            <w:r w:rsidRPr="00F600D3">
              <w:rPr>
                <w:bCs/>
                <w:color w:val="000000"/>
                <w:sz w:val="18"/>
                <w:szCs w:val="18"/>
              </w:rPr>
              <w:t xml:space="preserve">Будівництво та оснащення захисної споруди ЦЗ Ясел-садка №41 міста Сєвєродонецька Луганської області, за </w:t>
            </w:r>
            <w:proofErr w:type="spellStart"/>
            <w:r w:rsidRPr="00F600D3">
              <w:rPr>
                <w:bCs/>
                <w:color w:val="000000"/>
                <w:sz w:val="18"/>
                <w:szCs w:val="18"/>
              </w:rPr>
              <w:t>адресою:вул</w:t>
            </w:r>
            <w:proofErr w:type="spellEnd"/>
            <w:r w:rsidRPr="00F600D3">
              <w:rPr>
                <w:bCs/>
                <w:color w:val="000000"/>
                <w:sz w:val="18"/>
                <w:szCs w:val="18"/>
              </w:rPr>
              <w:t>. Курчатова, б.3-А.</w:t>
            </w:r>
          </w:p>
        </w:tc>
        <w:tc>
          <w:tcPr>
            <w:tcW w:w="1736"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sidRPr="00F71332">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sidRPr="00F71332">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sidRPr="00F71332">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F82919" w:rsidRDefault="00E021FE" w:rsidP="00F82919">
            <w:pPr>
              <w:jc w:val="center"/>
              <w:rPr>
                <w:sz w:val="18"/>
                <w:szCs w:val="18"/>
                <w:lang w:val="ru-RU" w:eastAsia="pl-PL"/>
              </w:rPr>
            </w:pPr>
            <w:r w:rsidRPr="00F71332">
              <w:rPr>
                <w:sz w:val="18"/>
                <w:szCs w:val="18"/>
                <w:lang w:eastAsia="pl-PL"/>
              </w:rPr>
              <w:t>1 500,0</w:t>
            </w:r>
          </w:p>
        </w:tc>
        <w:tc>
          <w:tcPr>
            <w:tcW w:w="992"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bCs/>
                <w:sz w:val="18"/>
                <w:szCs w:val="18"/>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F82919" w:rsidRDefault="00E021FE" w:rsidP="00F82919">
            <w:pPr>
              <w:jc w:val="center"/>
              <w:rPr>
                <w:sz w:val="18"/>
                <w:szCs w:val="18"/>
                <w:lang w:val="ru-RU" w:eastAsia="pl-PL"/>
              </w:rPr>
            </w:pPr>
            <w:r w:rsidRPr="00F71332">
              <w:rPr>
                <w:sz w:val="18"/>
                <w:szCs w:val="18"/>
              </w:rPr>
              <w:t>1 500,0</w:t>
            </w:r>
          </w:p>
        </w:tc>
      </w:tr>
      <w:tr w:rsidR="00E021FE" w:rsidRPr="00E95FB1" w:rsidTr="00F71332">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sidRPr="00F71332">
              <w:rPr>
                <w:color w:val="000000"/>
                <w:sz w:val="18"/>
                <w:szCs w:val="18"/>
                <w:lang w:eastAsia="uk-UA"/>
              </w:rPr>
              <w:t>33</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F71332">
            <w:pPr>
              <w:jc w:val="center"/>
              <w:rPr>
                <w:rFonts w:eastAsia="Calibri"/>
                <w:bCs/>
                <w:color w:val="000000"/>
                <w:sz w:val="18"/>
                <w:szCs w:val="18"/>
              </w:rPr>
            </w:pPr>
            <w:r w:rsidRPr="00F600D3">
              <w:rPr>
                <w:bCs/>
                <w:color w:val="000000"/>
                <w:sz w:val="18"/>
                <w:szCs w:val="18"/>
              </w:rPr>
              <w:t xml:space="preserve">Капітальний ремонт будівлі Ясел-садка №41 міста Сєвєродонецька </w:t>
            </w:r>
            <w:r w:rsidRPr="00F600D3">
              <w:rPr>
                <w:bCs/>
                <w:color w:val="000000"/>
                <w:sz w:val="18"/>
                <w:szCs w:val="18"/>
              </w:rPr>
              <w:lastRenderedPageBreak/>
              <w:t xml:space="preserve">Луганської області за </w:t>
            </w:r>
            <w:proofErr w:type="spellStart"/>
            <w:r w:rsidRPr="00F600D3">
              <w:rPr>
                <w:bCs/>
                <w:color w:val="000000"/>
                <w:sz w:val="18"/>
                <w:szCs w:val="18"/>
              </w:rPr>
              <w:t>адресою</w:t>
            </w:r>
            <w:proofErr w:type="spellEnd"/>
            <w:r w:rsidRPr="00F600D3">
              <w:rPr>
                <w:bCs/>
                <w:color w:val="000000"/>
                <w:sz w:val="18"/>
                <w:szCs w:val="18"/>
              </w:rPr>
              <w:t xml:space="preserve">: </w:t>
            </w:r>
            <w:proofErr w:type="spellStart"/>
            <w:r w:rsidRPr="00F600D3">
              <w:rPr>
                <w:bCs/>
                <w:color w:val="000000"/>
                <w:sz w:val="18"/>
                <w:szCs w:val="18"/>
              </w:rPr>
              <w:t>вул.Курчатова</w:t>
            </w:r>
            <w:proofErr w:type="spellEnd"/>
            <w:r w:rsidRPr="00F600D3">
              <w:rPr>
                <w:bCs/>
                <w:color w:val="000000"/>
                <w:sz w:val="18"/>
                <w:szCs w:val="18"/>
              </w:rPr>
              <w:t>, б.3-А.</w:t>
            </w:r>
          </w:p>
        </w:tc>
        <w:tc>
          <w:tcPr>
            <w:tcW w:w="1736"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sidRPr="00F71332">
              <w:rPr>
                <w:sz w:val="18"/>
                <w:szCs w:val="18"/>
              </w:rPr>
              <w:lastRenderedPageBreak/>
              <w:t xml:space="preserve">Сєвєродонецька міська </w:t>
            </w:r>
            <w:r w:rsidRPr="00F71332">
              <w:rPr>
                <w:sz w:val="18"/>
                <w:szCs w:val="18"/>
              </w:rPr>
              <w:lastRenderedPageBreak/>
              <w:t>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sidRPr="00F71332">
              <w:rPr>
                <w:sz w:val="18"/>
                <w:szCs w:val="18"/>
              </w:rPr>
              <w:lastRenderedPageBreak/>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sidRPr="00F71332">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F82919" w:rsidRDefault="00E021FE" w:rsidP="00F82919">
            <w:pPr>
              <w:jc w:val="center"/>
              <w:rPr>
                <w:sz w:val="18"/>
                <w:szCs w:val="18"/>
                <w:lang w:val="ru-RU" w:eastAsia="pl-PL"/>
              </w:rPr>
            </w:pPr>
            <w:r w:rsidRPr="00F71332">
              <w:rPr>
                <w:sz w:val="18"/>
                <w:szCs w:val="18"/>
                <w:lang w:eastAsia="pl-PL"/>
              </w:rPr>
              <w:t>40 000,0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autoSpaceDE w:val="0"/>
              <w:autoSpaceDN w:val="0"/>
              <w:adjustRightInd w:val="0"/>
              <w:jc w:val="center"/>
              <w:rPr>
                <w:rFonts w:eastAsia="Calibri"/>
                <w:color w:val="000000"/>
                <w:sz w:val="18"/>
                <w:szCs w:val="18"/>
              </w:rPr>
            </w:pPr>
            <w:r w:rsidRPr="00F71332">
              <w:rPr>
                <w:rFonts w:eastAsia="Calibri"/>
                <w:color w:val="000000"/>
                <w:sz w:val="18"/>
                <w:szCs w:val="18"/>
              </w:rPr>
              <w:t>20 579,0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autoSpaceDE w:val="0"/>
              <w:autoSpaceDN w:val="0"/>
              <w:adjustRightInd w:val="0"/>
              <w:jc w:val="center"/>
              <w:rPr>
                <w:rFonts w:eastAsia="Calibri"/>
                <w:color w:val="000000"/>
                <w:sz w:val="18"/>
                <w:szCs w:val="18"/>
              </w:rPr>
            </w:pPr>
            <w:r w:rsidRPr="00F71332">
              <w:rPr>
                <w:rFonts w:eastAsia="Calibri"/>
                <w:color w:val="000000"/>
                <w:sz w:val="18"/>
                <w:szCs w:val="18"/>
              </w:rPr>
              <w:t xml:space="preserve">Міжнародні </w:t>
            </w:r>
            <w:proofErr w:type="spellStart"/>
            <w:r w:rsidRPr="00F71332">
              <w:rPr>
                <w:rFonts w:eastAsia="Calibri"/>
                <w:color w:val="000000"/>
                <w:sz w:val="18"/>
                <w:szCs w:val="18"/>
              </w:rPr>
              <w:t>інвестіції,кошти</w:t>
            </w:r>
            <w:proofErr w:type="spellEnd"/>
            <w:r w:rsidRPr="00F71332">
              <w:rPr>
                <w:rFonts w:eastAsia="Calibri"/>
                <w:color w:val="000000"/>
                <w:sz w:val="18"/>
                <w:szCs w:val="18"/>
              </w:rPr>
              <w:t xml:space="preserve">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F82919" w:rsidRDefault="00E021FE" w:rsidP="00F82919">
            <w:pPr>
              <w:jc w:val="center"/>
              <w:rPr>
                <w:sz w:val="18"/>
                <w:szCs w:val="18"/>
                <w:lang w:val="ru-RU" w:eastAsia="pl-PL"/>
              </w:rPr>
            </w:pPr>
            <w:r w:rsidRPr="00F71332">
              <w:rPr>
                <w:sz w:val="18"/>
                <w:szCs w:val="18"/>
              </w:rPr>
              <w:t>60 579 ,0</w:t>
            </w:r>
          </w:p>
        </w:tc>
      </w:tr>
      <w:tr w:rsidR="00E021FE" w:rsidRPr="00E95FB1" w:rsidTr="00F71332">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sidRPr="00F71332">
              <w:rPr>
                <w:color w:val="000000"/>
                <w:sz w:val="18"/>
                <w:szCs w:val="18"/>
                <w:lang w:eastAsia="uk-UA"/>
              </w:rPr>
              <w:t>34</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F71332">
            <w:pPr>
              <w:jc w:val="center"/>
              <w:rPr>
                <w:rFonts w:eastAsia="Calibri"/>
                <w:bCs/>
                <w:color w:val="000000"/>
                <w:sz w:val="18"/>
                <w:szCs w:val="18"/>
              </w:rPr>
            </w:pPr>
            <w:r w:rsidRPr="00F600D3">
              <w:rPr>
                <w:rFonts w:eastAsia="Calibri"/>
                <w:color w:val="000000"/>
                <w:sz w:val="18"/>
                <w:szCs w:val="18"/>
              </w:rPr>
              <w:t xml:space="preserve">Відновлення діяльності та створення сучасних умов для освітнього процесу, з урахуванням індивідуальних потреб дітей дошкільного віку, у  Яслах-садку №41 м. Сєвєродонецька Луганської обл., за </w:t>
            </w:r>
            <w:proofErr w:type="spellStart"/>
            <w:r w:rsidRPr="00F600D3">
              <w:rPr>
                <w:rFonts w:eastAsia="Calibri"/>
                <w:color w:val="000000"/>
                <w:sz w:val="18"/>
                <w:szCs w:val="18"/>
              </w:rPr>
              <w:t>адресою</w:t>
            </w:r>
            <w:proofErr w:type="spellEnd"/>
            <w:r w:rsidRPr="00F600D3">
              <w:rPr>
                <w:rFonts w:eastAsia="Calibri"/>
                <w:color w:val="000000"/>
                <w:sz w:val="18"/>
                <w:szCs w:val="18"/>
              </w:rPr>
              <w:t>: вул. Курчатова, буд. 3-А.</w:t>
            </w:r>
          </w:p>
        </w:tc>
        <w:tc>
          <w:tcPr>
            <w:tcW w:w="1736"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sidRPr="00F71332">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sidRPr="00F71332">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sidRPr="00F71332">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sidRPr="00F71332">
              <w:rPr>
                <w:rFonts w:eastAsia="Calibri"/>
                <w:color w:val="000000"/>
                <w:sz w:val="18"/>
                <w:szCs w:val="18"/>
              </w:rPr>
              <w:t>5 850 ,0</w:t>
            </w:r>
          </w:p>
        </w:tc>
        <w:tc>
          <w:tcPr>
            <w:tcW w:w="992"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autoSpaceDE w:val="0"/>
              <w:autoSpaceDN w:val="0"/>
              <w:adjustRightInd w:val="0"/>
              <w:jc w:val="center"/>
              <w:rPr>
                <w:rFonts w:eastAsia="Calibri"/>
                <w:color w:val="000000"/>
                <w:sz w:val="18"/>
                <w:szCs w:val="18"/>
              </w:rPr>
            </w:pPr>
            <w:r w:rsidRPr="00F71332">
              <w:rPr>
                <w:rFonts w:eastAsia="Calibri"/>
                <w:color w:val="000000"/>
                <w:sz w:val="18"/>
                <w:szCs w:val="18"/>
              </w:rPr>
              <w:t>2 000,0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autoSpaceDE w:val="0"/>
              <w:autoSpaceDN w:val="0"/>
              <w:adjustRightInd w:val="0"/>
              <w:jc w:val="center"/>
              <w:rPr>
                <w:rFonts w:eastAsia="Calibri"/>
                <w:color w:val="000000"/>
                <w:sz w:val="18"/>
                <w:szCs w:val="18"/>
              </w:rPr>
            </w:pPr>
            <w:r w:rsidRPr="00F71332">
              <w:rPr>
                <w:rFonts w:eastAsia="Calibri"/>
                <w:color w:val="000000"/>
                <w:sz w:val="18"/>
                <w:szCs w:val="18"/>
              </w:rPr>
              <w:t xml:space="preserve">Іноземні </w:t>
            </w:r>
            <w:proofErr w:type="spellStart"/>
            <w:r w:rsidRPr="00F71332">
              <w:rPr>
                <w:rFonts w:eastAsia="Calibri"/>
                <w:color w:val="000000"/>
                <w:sz w:val="18"/>
                <w:szCs w:val="18"/>
              </w:rPr>
              <w:t>інвестиції,кошти</w:t>
            </w:r>
            <w:proofErr w:type="spellEnd"/>
            <w:r w:rsidRPr="00F71332">
              <w:rPr>
                <w:rFonts w:eastAsia="Calibri"/>
                <w:color w:val="000000"/>
                <w:sz w:val="18"/>
                <w:szCs w:val="18"/>
              </w:rPr>
              <w:t xml:space="preserve">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sidRPr="00F71332">
              <w:rPr>
                <w:color w:val="000000"/>
                <w:sz w:val="18"/>
                <w:szCs w:val="18"/>
                <w:lang w:eastAsia="uk-UA"/>
              </w:rPr>
              <w:t>7850,00</w:t>
            </w:r>
          </w:p>
        </w:tc>
      </w:tr>
      <w:tr w:rsidR="00E021FE" w:rsidRPr="00E95FB1" w:rsidTr="00F71332">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sidRPr="00F71332">
              <w:rPr>
                <w:color w:val="000000"/>
                <w:sz w:val="18"/>
                <w:szCs w:val="18"/>
                <w:lang w:eastAsia="uk-UA"/>
              </w:rPr>
              <w:t>35</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F71332">
            <w:pPr>
              <w:jc w:val="center"/>
              <w:rPr>
                <w:bCs/>
                <w:color w:val="000000"/>
                <w:sz w:val="18"/>
                <w:szCs w:val="18"/>
              </w:rPr>
            </w:pPr>
            <w:r w:rsidRPr="00F600D3">
              <w:rPr>
                <w:bCs/>
                <w:color w:val="000000"/>
                <w:sz w:val="18"/>
                <w:szCs w:val="18"/>
              </w:rPr>
              <w:t xml:space="preserve">Відновлення </w:t>
            </w:r>
            <w:proofErr w:type="spellStart"/>
            <w:r w:rsidRPr="00F600D3">
              <w:rPr>
                <w:bCs/>
                <w:color w:val="000000"/>
                <w:sz w:val="18"/>
                <w:szCs w:val="18"/>
              </w:rPr>
              <w:t>благоустрію</w:t>
            </w:r>
            <w:proofErr w:type="spellEnd"/>
            <w:r w:rsidRPr="00F600D3">
              <w:rPr>
                <w:bCs/>
                <w:color w:val="000000"/>
                <w:sz w:val="18"/>
                <w:szCs w:val="18"/>
              </w:rPr>
              <w:t xml:space="preserve"> території, спортивного та ігрових майданчиків, облаштування асфальтових доріжок на території Ясел-садка №41 міста Сєвєродонецька Луганської області за </w:t>
            </w:r>
            <w:proofErr w:type="spellStart"/>
            <w:r w:rsidRPr="00F600D3">
              <w:rPr>
                <w:bCs/>
                <w:color w:val="000000"/>
                <w:sz w:val="18"/>
                <w:szCs w:val="18"/>
              </w:rPr>
              <w:t>адресою</w:t>
            </w:r>
            <w:proofErr w:type="spellEnd"/>
            <w:r w:rsidRPr="00F600D3">
              <w:rPr>
                <w:bCs/>
                <w:color w:val="000000"/>
                <w:sz w:val="18"/>
                <w:szCs w:val="18"/>
              </w:rPr>
              <w:t xml:space="preserve">: вул. </w:t>
            </w:r>
            <w:proofErr w:type="spellStart"/>
            <w:r w:rsidRPr="00F600D3">
              <w:rPr>
                <w:bCs/>
                <w:color w:val="000000"/>
                <w:sz w:val="18"/>
                <w:szCs w:val="18"/>
              </w:rPr>
              <w:t>Курчатова,б</w:t>
            </w:r>
            <w:proofErr w:type="spellEnd"/>
            <w:r w:rsidRPr="00F600D3">
              <w:rPr>
                <w:bCs/>
                <w:color w:val="000000"/>
                <w:sz w:val="18"/>
                <w:szCs w:val="18"/>
              </w:rPr>
              <w:t>. 3-А.</w:t>
            </w:r>
          </w:p>
        </w:tc>
        <w:tc>
          <w:tcPr>
            <w:tcW w:w="1736"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sidRPr="00F71332">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sidRPr="00F71332">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sidRPr="00F71332">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sz w:val="18"/>
                <w:szCs w:val="18"/>
                <w:lang w:eastAsia="pl-PL"/>
              </w:rPr>
            </w:pPr>
            <w:r w:rsidRPr="00F71332">
              <w:rPr>
                <w:sz w:val="18"/>
                <w:szCs w:val="18"/>
                <w:lang w:eastAsia="pl-PL"/>
              </w:rPr>
              <w:t>6 000,0</w:t>
            </w:r>
          </w:p>
          <w:p w:rsidR="00E021FE" w:rsidRPr="00F71332" w:rsidRDefault="00E021FE" w:rsidP="00F71332">
            <w:pPr>
              <w:jc w:val="center"/>
              <w:rPr>
                <w:color w:val="000000"/>
                <w:sz w:val="18"/>
                <w:szCs w:val="18"/>
                <w:lang w:eastAsia="uk-UA"/>
              </w:rPr>
            </w:pPr>
          </w:p>
        </w:tc>
        <w:tc>
          <w:tcPr>
            <w:tcW w:w="992"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autoSpaceDE w:val="0"/>
              <w:autoSpaceDN w:val="0"/>
              <w:adjustRightInd w:val="0"/>
              <w:jc w:val="center"/>
              <w:rPr>
                <w:rFonts w:eastAsia="Calibri"/>
                <w:color w:val="000000"/>
                <w:sz w:val="18"/>
                <w:szCs w:val="18"/>
              </w:rPr>
            </w:pPr>
            <w:r w:rsidRPr="00F71332">
              <w:rPr>
                <w:rFonts w:eastAsia="Calibri"/>
                <w:color w:val="000000"/>
                <w:sz w:val="18"/>
                <w:szCs w:val="18"/>
              </w:rPr>
              <w:t>2 000,0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autoSpaceDE w:val="0"/>
              <w:autoSpaceDN w:val="0"/>
              <w:adjustRightInd w:val="0"/>
              <w:jc w:val="center"/>
              <w:rPr>
                <w:rFonts w:eastAsia="Calibri"/>
                <w:color w:val="000000"/>
                <w:sz w:val="18"/>
                <w:szCs w:val="18"/>
              </w:rPr>
            </w:pPr>
            <w:r w:rsidRPr="00F71332">
              <w:rPr>
                <w:rFonts w:eastAsia="Calibri"/>
                <w:color w:val="000000"/>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sidRPr="00F71332">
              <w:rPr>
                <w:color w:val="000000"/>
                <w:sz w:val="18"/>
                <w:szCs w:val="18"/>
                <w:lang w:eastAsia="uk-UA"/>
              </w:rPr>
              <w:t>8000,00</w:t>
            </w:r>
          </w:p>
        </w:tc>
      </w:tr>
      <w:tr w:rsidR="00E021FE" w:rsidRPr="00E95FB1" w:rsidTr="000E1CCA">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0E1CCA" w:rsidRDefault="00E021FE" w:rsidP="000E1CCA">
            <w:pPr>
              <w:jc w:val="center"/>
              <w:rPr>
                <w:color w:val="000000"/>
                <w:sz w:val="18"/>
                <w:szCs w:val="18"/>
                <w:lang w:eastAsia="uk-UA"/>
              </w:rPr>
            </w:pPr>
            <w:r w:rsidRPr="000E1CCA">
              <w:rPr>
                <w:color w:val="000000"/>
                <w:sz w:val="18"/>
                <w:szCs w:val="18"/>
                <w:lang w:eastAsia="uk-UA"/>
              </w:rPr>
              <w:t>36</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E1CCA">
            <w:pPr>
              <w:pBdr>
                <w:top w:val="nil"/>
                <w:left w:val="nil"/>
                <w:bottom w:val="nil"/>
                <w:right w:val="nil"/>
                <w:between w:val="nil"/>
              </w:pBdr>
              <w:jc w:val="center"/>
              <w:rPr>
                <w:color w:val="000000"/>
                <w:sz w:val="18"/>
                <w:szCs w:val="18"/>
              </w:rPr>
            </w:pPr>
            <w:r w:rsidRPr="00F600D3">
              <w:rPr>
                <w:color w:val="000000"/>
                <w:sz w:val="18"/>
                <w:szCs w:val="18"/>
              </w:rPr>
              <w:t>"ЩАСЛИВЕ ДИТИНСТВО"</w:t>
            </w:r>
          </w:p>
          <w:p w:rsidR="00E021FE" w:rsidRPr="00F600D3" w:rsidRDefault="00E021FE" w:rsidP="000E1CCA">
            <w:pPr>
              <w:pBdr>
                <w:top w:val="nil"/>
                <w:left w:val="nil"/>
                <w:bottom w:val="nil"/>
                <w:right w:val="nil"/>
                <w:between w:val="nil"/>
              </w:pBdr>
              <w:jc w:val="center"/>
              <w:rPr>
                <w:color w:val="000000"/>
                <w:sz w:val="18"/>
                <w:szCs w:val="18"/>
              </w:rPr>
            </w:pPr>
            <w:r w:rsidRPr="00F600D3">
              <w:rPr>
                <w:color w:val="000000"/>
                <w:sz w:val="18"/>
                <w:szCs w:val="18"/>
              </w:rPr>
              <w:t>Відновлення та капітальний ремонт Ясел-садка № 42 міста Сєвєродонецька Луганської області, адреса: Луганська область, Сєвєродонецький район, м. Сєвєродонецьк, вулиця Курчатова, 17-А</w:t>
            </w:r>
          </w:p>
        </w:tc>
        <w:tc>
          <w:tcPr>
            <w:tcW w:w="1736" w:type="dxa"/>
            <w:tcBorders>
              <w:top w:val="nil"/>
              <w:left w:val="nil"/>
              <w:bottom w:val="single" w:sz="4" w:space="0" w:color="auto"/>
              <w:right w:val="single" w:sz="4" w:space="0" w:color="auto"/>
            </w:tcBorders>
            <w:shd w:val="clear" w:color="auto" w:fill="auto"/>
            <w:vAlign w:val="center"/>
            <w:hideMark/>
          </w:tcPr>
          <w:p w:rsidR="00E021FE" w:rsidRPr="000E1CCA" w:rsidRDefault="00E021FE" w:rsidP="000E1CCA">
            <w:pPr>
              <w:jc w:val="center"/>
              <w:rPr>
                <w:color w:val="000000"/>
                <w:sz w:val="18"/>
                <w:szCs w:val="18"/>
                <w:lang w:eastAsia="uk-UA"/>
              </w:rPr>
            </w:pPr>
            <w:r w:rsidRPr="000E1CCA">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0E1CCA" w:rsidRDefault="00E021FE" w:rsidP="000E1CCA">
            <w:pPr>
              <w:jc w:val="center"/>
              <w:rPr>
                <w:color w:val="000000"/>
                <w:sz w:val="18"/>
                <w:szCs w:val="18"/>
                <w:lang w:eastAsia="uk-UA"/>
              </w:rPr>
            </w:pPr>
            <w:r w:rsidRPr="000E1CCA">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0E1CCA" w:rsidRDefault="00E021FE" w:rsidP="000E1CCA">
            <w:pPr>
              <w:jc w:val="center"/>
              <w:rPr>
                <w:color w:val="000000"/>
                <w:sz w:val="18"/>
                <w:szCs w:val="18"/>
                <w:lang w:eastAsia="uk-UA"/>
              </w:rPr>
            </w:pPr>
            <w:r w:rsidRPr="000E1CCA">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0E1CCA" w:rsidRDefault="00E021FE" w:rsidP="000E1CCA">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0E1CCA" w:rsidRDefault="00E021FE" w:rsidP="000E1CCA">
            <w:pPr>
              <w:pBdr>
                <w:top w:val="nil"/>
                <w:left w:val="nil"/>
                <w:bottom w:val="nil"/>
                <w:right w:val="nil"/>
                <w:between w:val="nil"/>
              </w:pBdr>
              <w:jc w:val="center"/>
              <w:rPr>
                <w:color w:val="FF0000"/>
                <w:sz w:val="18"/>
                <w:szCs w:val="18"/>
              </w:rPr>
            </w:pPr>
            <w:r w:rsidRPr="000E1CCA">
              <w:rPr>
                <w:color w:val="000000"/>
                <w:sz w:val="18"/>
                <w:szCs w:val="18"/>
              </w:rPr>
              <w:t>80</w:t>
            </w:r>
            <w:r w:rsidRPr="000E1CCA">
              <w:rPr>
                <w:sz w:val="18"/>
                <w:szCs w:val="18"/>
              </w:rPr>
              <w:t> 2</w:t>
            </w:r>
            <w:r w:rsidRPr="000E1CCA">
              <w:rPr>
                <w:color w:val="000000"/>
                <w:sz w:val="18"/>
                <w:szCs w:val="18"/>
              </w:rPr>
              <w:t>00</w:t>
            </w:r>
          </w:p>
          <w:p w:rsidR="00E021FE" w:rsidRPr="000E1CCA" w:rsidRDefault="00E021FE" w:rsidP="000E1CCA">
            <w:pPr>
              <w:jc w:val="center"/>
              <w:rPr>
                <w:color w:val="000000"/>
                <w:sz w:val="18"/>
                <w:szCs w:val="18"/>
                <w:lang w:eastAsia="uk-UA"/>
              </w:rPr>
            </w:pPr>
          </w:p>
        </w:tc>
        <w:tc>
          <w:tcPr>
            <w:tcW w:w="992" w:type="dxa"/>
            <w:tcBorders>
              <w:top w:val="nil"/>
              <w:left w:val="nil"/>
              <w:bottom w:val="single" w:sz="4" w:space="0" w:color="auto"/>
              <w:right w:val="single" w:sz="4" w:space="0" w:color="auto"/>
            </w:tcBorders>
            <w:shd w:val="clear" w:color="auto" w:fill="auto"/>
            <w:vAlign w:val="center"/>
            <w:hideMark/>
          </w:tcPr>
          <w:p w:rsidR="00E021FE" w:rsidRPr="000E1CCA" w:rsidRDefault="00E021FE" w:rsidP="000E1CCA">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0E1CCA" w:rsidRDefault="00E021FE" w:rsidP="000E1CCA">
            <w:pPr>
              <w:pBdr>
                <w:top w:val="nil"/>
                <w:left w:val="nil"/>
                <w:bottom w:val="nil"/>
                <w:right w:val="nil"/>
                <w:between w:val="nil"/>
              </w:pBdr>
              <w:jc w:val="center"/>
              <w:rPr>
                <w:sz w:val="18"/>
                <w:szCs w:val="18"/>
              </w:rPr>
            </w:pPr>
            <w:r w:rsidRPr="000E1CCA">
              <w:rPr>
                <w:color w:val="000000"/>
                <w:sz w:val="18"/>
                <w:szCs w:val="18"/>
              </w:rPr>
              <w:t xml:space="preserve">10 </w:t>
            </w:r>
            <w:r w:rsidRPr="000E1CCA">
              <w:rPr>
                <w:sz w:val="18"/>
                <w:szCs w:val="18"/>
              </w:rPr>
              <w:t>100</w:t>
            </w:r>
          </w:p>
          <w:p w:rsidR="00E021FE" w:rsidRPr="000E1CCA" w:rsidRDefault="00E021FE" w:rsidP="000E1CCA">
            <w:pPr>
              <w:pBdr>
                <w:top w:val="nil"/>
                <w:left w:val="nil"/>
                <w:bottom w:val="nil"/>
                <w:right w:val="nil"/>
                <w:between w:val="nil"/>
              </w:pBdr>
              <w:jc w:val="center"/>
              <w:rPr>
                <w:color w:val="FF0000"/>
                <w:sz w:val="18"/>
                <w:szCs w:val="18"/>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0E1CCA" w:rsidRDefault="00E021FE" w:rsidP="000E1CCA">
            <w:pPr>
              <w:pBdr>
                <w:top w:val="nil"/>
                <w:left w:val="nil"/>
                <w:bottom w:val="nil"/>
                <w:right w:val="nil"/>
                <w:between w:val="nil"/>
              </w:pBdr>
              <w:jc w:val="center"/>
              <w:rPr>
                <w:color w:val="000000"/>
                <w:sz w:val="18"/>
                <w:szCs w:val="18"/>
              </w:rPr>
            </w:pPr>
            <w:r w:rsidRPr="000E1CCA">
              <w:rPr>
                <w:color w:val="000000"/>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0E1CCA" w:rsidRDefault="00E021FE" w:rsidP="000E1CCA">
            <w:pPr>
              <w:pBdr>
                <w:top w:val="nil"/>
                <w:left w:val="nil"/>
                <w:bottom w:val="nil"/>
                <w:right w:val="nil"/>
                <w:between w:val="nil"/>
              </w:pBdr>
              <w:jc w:val="center"/>
              <w:rPr>
                <w:color w:val="FF0000"/>
                <w:sz w:val="18"/>
                <w:szCs w:val="18"/>
              </w:rPr>
            </w:pPr>
            <w:r w:rsidRPr="000E1CCA">
              <w:rPr>
                <w:color w:val="000000"/>
                <w:sz w:val="18"/>
                <w:szCs w:val="18"/>
              </w:rPr>
              <w:t>90 300</w:t>
            </w:r>
          </w:p>
        </w:tc>
      </w:tr>
      <w:tr w:rsidR="00E021FE" w:rsidRPr="00E95FB1" w:rsidTr="000E1CCA">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0E1CCA" w:rsidRDefault="00E021FE" w:rsidP="000E1CCA">
            <w:pPr>
              <w:jc w:val="center"/>
              <w:rPr>
                <w:color w:val="000000"/>
                <w:sz w:val="18"/>
                <w:szCs w:val="18"/>
                <w:lang w:eastAsia="uk-UA"/>
              </w:rPr>
            </w:pPr>
            <w:r w:rsidRPr="000E1CCA">
              <w:rPr>
                <w:color w:val="000000"/>
                <w:sz w:val="18"/>
                <w:szCs w:val="18"/>
                <w:lang w:eastAsia="uk-UA"/>
              </w:rPr>
              <w:t>37</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E1CCA">
            <w:pPr>
              <w:pBdr>
                <w:top w:val="nil"/>
                <w:left w:val="nil"/>
                <w:bottom w:val="nil"/>
                <w:right w:val="nil"/>
                <w:between w:val="nil"/>
              </w:pBdr>
              <w:jc w:val="center"/>
              <w:rPr>
                <w:color w:val="000000"/>
                <w:sz w:val="18"/>
                <w:szCs w:val="18"/>
              </w:rPr>
            </w:pPr>
            <w:r w:rsidRPr="00F600D3">
              <w:rPr>
                <w:color w:val="000000"/>
                <w:sz w:val="18"/>
                <w:szCs w:val="18"/>
              </w:rPr>
              <w:t>"ЩАСЛИВЕ ДИТИНСТВО"</w:t>
            </w:r>
          </w:p>
          <w:p w:rsidR="00E021FE" w:rsidRPr="00F600D3" w:rsidRDefault="00E021FE" w:rsidP="000E1CCA">
            <w:pPr>
              <w:jc w:val="center"/>
              <w:rPr>
                <w:rFonts w:eastAsia="Calibri"/>
                <w:bCs/>
                <w:color w:val="000000"/>
                <w:sz w:val="18"/>
                <w:szCs w:val="18"/>
              </w:rPr>
            </w:pPr>
            <w:r w:rsidRPr="00F600D3">
              <w:rPr>
                <w:color w:val="000000"/>
                <w:sz w:val="18"/>
                <w:szCs w:val="18"/>
              </w:rPr>
              <w:t>Відновлення благоустрою території та матеріально-технічне забезпечення Ясел-садка № 42 міста Сєвєродонецька Луганської області, адреса: Луганська область, Сєвєродонецький район, м. Сєвєродонецьк, вулиця Курчатова, 17-А</w:t>
            </w:r>
          </w:p>
        </w:tc>
        <w:tc>
          <w:tcPr>
            <w:tcW w:w="1736" w:type="dxa"/>
            <w:tcBorders>
              <w:top w:val="nil"/>
              <w:left w:val="nil"/>
              <w:bottom w:val="single" w:sz="4" w:space="0" w:color="auto"/>
              <w:right w:val="single" w:sz="4" w:space="0" w:color="auto"/>
            </w:tcBorders>
            <w:shd w:val="clear" w:color="auto" w:fill="auto"/>
            <w:vAlign w:val="center"/>
            <w:hideMark/>
          </w:tcPr>
          <w:p w:rsidR="00E021FE" w:rsidRPr="000E1CCA" w:rsidRDefault="00E021FE" w:rsidP="000E1CCA">
            <w:pPr>
              <w:jc w:val="center"/>
              <w:rPr>
                <w:color w:val="000000"/>
                <w:sz w:val="18"/>
                <w:szCs w:val="18"/>
                <w:lang w:eastAsia="uk-UA"/>
              </w:rPr>
            </w:pPr>
            <w:r w:rsidRPr="000E1CCA">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0E1CCA" w:rsidRDefault="00E021FE" w:rsidP="000E1CCA">
            <w:pPr>
              <w:jc w:val="center"/>
              <w:rPr>
                <w:color w:val="000000"/>
                <w:sz w:val="18"/>
                <w:szCs w:val="18"/>
                <w:lang w:eastAsia="uk-UA"/>
              </w:rPr>
            </w:pPr>
            <w:r w:rsidRPr="000E1CCA">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0E1CCA" w:rsidRDefault="00E021FE" w:rsidP="000E1CCA">
            <w:pPr>
              <w:jc w:val="center"/>
              <w:rPr>
                <w:color w:val="000000"/>
                <w:sz w:val="18"/>
                <w:szCs w:val="18"/>
                <w:lang w:eastAsia="uk-UA"/>
              </w:rPr>
            </w:pPr>
            <w:r w:rsidRPr="000E1CCA">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0E1CCA" w:rsidRDefault="00E021FE" w:rsidP="000E1CCA">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0E1CCA" w:rsidRDefault="00E021FE" w:rsidP="000E1CCA">
            <w:pPr>
              <w:pBdr>
                <w:top w:val="nil"/>
                <w:left w:val="nil"/>
                <w:bottom w:val="nil"/>
                <w:right w:val="nil"/>
                <w:between w:val="nil"/>
              </w:pBdr>
              <w:jc w:val="center"/>
              <w:rPr>
                <w:color w:val="000000"/>
                <w:sz w:val="18"/>
                <w:szCs w:val="18"/>
              </w:rPr>
            </w:pPr>
            <w:r w:rsidRPr="000E1CCA">
              <w:rPr>
                <w:color w:val="000000"/>
                <w:sz w:val="18"/>
                <w:szCs w:val="18"/>
              </w:rPr>
              <w:t>32 500 ,0</w:t>
            </w:r>
          </w:p>
          <w:p w:rsidR="00E021FE" w:rsidRPr="000E1CCA" w:rsidRDefault="00E021FE" w:rsidP="000E1CCA">
            <w:pPr>
              <w:jc w:val="center"/>
              <w:rPr>
                <w:color w:val="000000"/>
                <w:sz w:val="18"/>
                <w:szCs w:val="18"/>
                <w:lang w:eastAsia="uk-UA"/>
              </w:rPr>
            </w:pPr>
          </w:p>
        </w:tc>
        <w:tc>
          <w:tcPr>
            <w:tcW w:w="992" w:type="dxa"/>
            <w:tcBorders>
              <w:top w:val="nil"/>
              <w:left w:val="nil"/>
              <w:bottom w:val="single" w:sz="4" w:space="0" w:color="auto"/>
              <w:right w:val="single" w:sz="4" w:space="0" w:color="auto"/>
            </w:tcBorders>
            <w:shd w:val="clear" w:color="auto" w:fill="auto"/>
            <w:vAlign w:val="center"/>
            <w:hideMark/>
          </w:tcPr>
          <w:p w:rsidR="00E021FE" w:rsidRPr="000E1CCA" w:rsidRDefault="00E021FE" w:rsidP="000E1CCA">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0E1CCA" w:rsidRDefault="00E021FE" w:rsidP="000E1CCA">
            <w:pPr>
              <w:pBdr>
                <w:top w:val="nil"/>
                <w:left w:val="nil"/>
                <w:bottom w:val="nil"/>
                <w:right w:val="nil"/>
                <w:between w:val="nil"/>
              </w:pBd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0E1CCA" w:rsidRDefault="00E021FE" w:rsidP="000E1CCA">
            <w:pPr>
              <w:jc w:val="center"/>
              <w:rPr>
                <w:bCs/>
                <w:sz w:val="18"/>
                <w:szCs w:val="18"/>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0E1CCA" w:rsidRDefault="00E021FE" w:rsidP="000E1CCA">
            <w:pPr>
              <w:pBdr>
                <w:top w:val="nil"/>
                <w:left w:val="nil"/>
                <w:bottom w:val="nil"/>
                <w:right w:val="nil"/>
                <w:between w:val="nil"/>
              </w:pBdr>
              <w:jc w:val="center"/>
              <w:rPr>
                <w:color w:val="000000"/>
                <w:sz w:val="18"/>
                <w:szCs w:val="18"/>
              </w:rPr>
            </w:pPr>
            <w:r w:rsidRPr="000E1CCA">
              <w:rPr>
                <w:color w:val="000000"/>
                <w:sz w:val="18"/>
                <w:szCs w:val="18"/>
              </w:rPr>
              <w:t>32 500 ,0</w:t>
            </w:r>
          </w:p>
          <w:p w:rsidR="00E021FE" w:rsidRPr="000E1CCA" w:rsidRDefault="00E021FE" w:rsidP="000E1CCA">
            <w:pPr>
              <w:jc w:val="center"/>
              <w:rPr>
                <w:color w:val="000000"/>
                <w:sz w:val="18"/>
                <w:szCs w:val="18"/>
                <w:lang w:eastAsia="uk-UA"/>
              </w:rPr>
            </w:pPr>
          </w:p>
        </w:tc>
      </w:tr>
      <w:tr w:rsidR="00E021FE" w:rsidRPr="00E95FB1" w:rsidTr="000E1CCA">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8D01F8" w:rsidRDefault="00E021FE" w:rsidP="008D01F8">
            <w:pPr>
              <w:jc w:val="center"/>
              <w:rPr>
                <w:color w:val="000000"/>
                <w:sz w:val="18"/>
                <w:szCs w:val="18"/>
                <w:lang w:val="ru-RU" w:eastAsia="uk-UA"/>
              </w:rPr>
            </w:pPr>
            <w:r>
              <w:rPr>
                <w:color w:val="000000"/>
                <w:sz w:val="18"/>
                <w:szCs w:val="18"/>
                <w:lang w:eastAsia="uk-UA"/>
              </w:rPr>
              <w:t>3</w:t>
            </w:r>
            <w:r>
              <w:rPr>
                <w:color w:val="000000"/>
                <w:sz w:val="18"/>
                <w:szCs w:val="18"/>
                <w:lang w:val="ru-RU" w:eastAsia="uk-UA"/>
              </w:rPr>
              <w:t>8</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E1CCA">
            <w:pPr>
              <w:jc w:val="center"/>
              <w:rPr>
                <w:rFonts w:eastAsia="Calibri"/>
                <w:bCs/>
                <w:color w:val="000000"/>
                <w:sz w:val="18"/>
                <w:szCs w:val="18"/>
              </w:rPr>
            </w:pPr>
            <w:r w:rsidRPr="00F600D3">
              <w:rPr>
                <w:bCs/>
                <w:sz w:val="18"/>
                <w:szCs w:val="18"/>
              </w:rPr>
              <w:t>Відновлення діяльності  закладу дошкільної освіти «Ясел-садка №43 міста Сєвєродонецьк Луганської області»</w:t>
            </w:r>
            <w:r w:rsidRPr="00F600D3">
              <w:rPr>
                <w:sz w:val="18"/>
                <w:szCs w:val="18"/>
              </w:rPr>
              <w:t xml:space="preserve">, за </w:t>
            </w:r>
            <w:proofErr w:type="spellStart"/>
            <w:r w:rsidRPr="00F600D3">
              <w:rPr>
                <w:sz w:val="18"/>
                <w:szCs w:val="18"/>
              </w:rPr>
              <w:t>адресою</w:t>
            </w:r>
            <w:proofErr w:type="spellEnd"/>
            <w:r w:rsidRPr="00F600D3">
              <w:rPr>
                <w:sz w:val="18"/>
                <w:szCs w:val="18"/>
              </w:rPr>
              <w:t xml:space="preserve">: </w:t>
            </w:r>
            <w:proofErr w:type="spellStart"/>
            <w:r w:rsidRPr="00F600D3">
              <w:rPr>
                <w:sz w:val="18"/>
                <w:szCs w:val="18"/>
              </w:rPr>
              <w:t>вул</w:t>
            </w:r>
            <w:proofErr w:type="spellEnd"/>
            <w:r w:rsidRPr="00F600D3">
              <w:rPr>
                <w:sz w:val="18"/>
                <w:szCs w:val="18"/>
              </w:rPr>
              <w:t xml:space="preserve"> Гагаріна буд.113-А., </w:t>
            </w:r>
            <w:proofErr w:type="spellStart"/>
            <w:r w:rsidRPr="00F600D3">
              <w:rPr>
                <w:sz w:val="18"/>
                <w:szCs w:val="18"/>
              </w:rPr>
              <w:t>м.Сєвєродонецьк</w:t>
            </w:r>
            <w:proofErr w:type="spellEnd"/>
            <w:r w:rsidRPr="00F600D3">
              <w:rPr>
                <w:sz w:val="18"/>
                <w:szCs w:val="18"/>
              </w:rPr>
              <w:t>, Сєвєродонецького району, Луганської області.</w:t>
            </w:r>
          </w:p>
        </w:tc>
        <w:tc>
          <w:tcPr>
            <w:tcW w:w="1736" w:type="dxa"/>
            <w:tcBorders>
              <w:top w:val="nil"/>
              <w:left w:val="nil"/>
              <w:bottom w:val="single" w:sz="4" w:space="0" w:color="auto"/>
              <w:right w:val="single" w:sz="4" w:space="0" w:color="auto"/>
            </w:tcBorders>
            <w:shd w:val="clear" w:color="auto" w:fill="auto"/>
            <w:vAlign w:val="center"/>
            <w:hideMark/>
          </w:tcPr>
          <w:p w:rsidR="00E021FE" w:rsidRPr="000E1CCA" w:rsidRDefault="00E021FE" w:rsidP="000E1CCA">
            <w:pPr>
              <w:jc w:val="center"/>
              <w:rPr>
                <w:color w:val="000000"/>
                <w:sz w:val="18"/>
                <w:szCs w:val="18"/>
                <w:lang w:eastAsia="uk-UA"/>
              </w:rPr>
            </w:pPr>
            <w:r w:rsidRPr="000E1CCA">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0E1CCA" w:rsidRDefault="00E021FE" w:rsidP="000E1CCA">
            <w:pPr>
              <w:jc w:val="center"/>
              <w:rPr>
                <w:color w:val="000000"/>
                <w:sz w:val="18"/>
                <w:szCs w:val="18"/>
                <w:lang w:eastAsia="uk-UA"/>
              </w:rPr>
            </w:pPr>
            <w:r w:rsidRPr="000E1CCA">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0E1CCA" w:rsidRDefault="00E021FE" w:rsidP="000E1CCA">
            <w:pPr>
              <w:jc w:val="center"/>
              <w:rPr>
                <w:color w:val="000000"/>
                <w:sz w:val="18"/>
                <w:szCs w:val="18"/>
                <w:lang w:eastAsia="uk-UA"/>
              </w:rPr>
            </w:pPr>
            <w:r w:rsidRPr="000E1CCA">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0E1CCA" w:rsidRDefault="00E021FE" w:rsidP="000E1CCA">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0E1CCA" w:rsidRDefault="00E021FE" w:rsidP="000E1CCA">
            <w:pPr>
              <w:jc w:val="center"/>
              <w:rPr>
                <w:color w:val="000000"/>
                <w:sz w:val="18"/>
                <w:szCs w:val="18"/>
                <w:lang w:eastAsia="uk-UA"/>
              </w:rPr>
            </w:pPr>
          </w:p>
        </w:tc>
        <w:tc>
          <w:tcPr>
            <w:tcW w:w="992" w:type="dxa"/>
            <w:tcBorders>
              <w:top w:val="nil"/>
              <w:left w:val="nil"/>
              <w:bottom w:val="single" w:sz="4" w:space="0" w:color="auto"/>
              <w:right w:val="single" w:sz="4" w:space="0" w:color="auto"/>
            </w:tcBorders>
            <w:shd w:val="clear" w:color="auto" w:fill="auto"/>
            <w:vAlign w:val="center"/>
            <w:hideMark/>
          </w:tcPr>
          <w:p w:rsidR="00E021FE" w:rsidRPr="000E1CCA" w:rsidRDefault="00E021FE" w:rsidP="000E1CCA">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8D01F8" w:rsidRDefault="00E021FE" w:rsidP="000E1CCA">
            <w:pPr>
              <w:pStyle w:val="a7"/>
              <w:ind w:left="0"/>
              <w:jc w:val="center"/>
              <w:rPr>
                <w:bCs/>
                <w:sz w:val="18"/>
                <w:szCs w:val="18"/>
              </w:rPr>
            </w:pPr>
            <w:r w:rsidRPr="008D01F8">
              <w:rPr>
                <w:bCs/>
                <w:sz w:val="18"/>
                <w:szCs w:val="18"/>
                <w:lang w:val="ru-RU"/>
              </w:rPr>
              <w:t>42000,0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8D01F8" w:rsidRDefault="00E021FE" w:rsidP="000E1CCA">
            <w:pPr>
              <w:pStyle w:val="a7"/>
              <w:ind w:left="0"/>
              <w:jc w:val="center"/>
              <w:rPr>
                <w:bCs/>
                <w:sz w:val="18"/>
                <w:szCs w:val="18"/>
              </w:rPr>
            </w:pPr>
            <w:r w:rsidRPr="008D01F8">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8D01F8" w:rsidRDefault="00E021FE" w:rsidP="000E1CCA">
            <w:pPr>
              <w:jc w:val="center"/>
              <w:rPr>
                <w:color w:val="000000"/>
                <w:sz w:val="18"/>
                <w:szCs w:val="18"/>
                <w:lang w:eastAsia="uk-UA"/>
              </w:rPr>
            </w:pPr>
            <w:r w:rsidRPr="008D01F8">
              <w:rPr>
                <w:bCs/>
                <w:sz w:val="18"/>
                <w:szCs w:val="18"/>
                <w:lang w:val="ru-RU"/>
              </w:rPr>
              <w:t>42000,0</w:t>
            </w:r>
          </w:p>
        </w:tc>
      </w:tr>
      <w:tr w:rsidR="00E021FE" w:rsidRPr="00E95FB1" w:rsidTr="003F6E95">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8D01F8" w:rsidRDefault="00E021FE" w:rsidP="003F6E95">
            <w:pPr>
              <w:jc w:val="center"/>
              <w:rPr>
                <w:color w:val="000000"/>
                <w:sz w:val="18"/>
                <w:szCs w:val="18"/>
                <w:lang w:val="ru-RU" w:eastAsia="uk-UA"/>
              </w:rPr>
            </w:pPr>
            <w:r>
              <w:rPr>
                <w:color w:val="000000"/>
                <w:sz w:val="18"/>
                <w:szCs w:val="18"/>
                <w:lang w:val="ru-RU" w:eastAsia="uk-UA"/>
              </w:rPr>
              <w:lastRenderedPageBreak/>
              <w:t>39</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3F6E95">
            <w:pPr>
              <w:autoSpaceDE w:val="0"/>
              <w:autoSpaceDN w:val="0"/>
              <w:adjustRightInd w:val="0"/>
              <w:jc w:val="center"/>
              <w:rPr>
                <w:rFonts w:eastAsia="Calibri"/>
                <w:color w:val="000000"/>
                <w:sz w:val="18"/>
                <w:szCs w:val="18"/>
              </w:rPr>
            </w:pPr>
            <w:r w:rsidRPr="00F600D3">
              <w:rPr>
                <w:rFonts w:eastAsia="Calibri"/>
                <w:color w:val="000000"/>
                <w:sz w:val="18"/>
                <w:szCs w:val="18"/>
              </w:rPr>
              <w:t>Капітальний ремонт будівлі Ясел-садка №10 міста Сєвєродонецька Луганської області.</w:t>
            </w:r>
          </w:p>
          <w:p w:rsidR="00E021FE" w:rsidRPr="00F600D3" w:rsidRDefault="00E021FE" w:rsidP="003F6E95">
            <w:pPr>
              <w:jc w:val="center"/>
              <w:rPr>
                <w:rFonts w:eastAsia="Calibri"/>
                <w:bCs/>
                <w:color w:val="000000"/>
                <w:sz w:val="18"/>
                <w:szCs w:val="18"/>
              </w:rPr>
            </w:pPr>
            <w:r w:rsidRPr="00F600D3">
              <w:rPr>
                <w:rFonts w:eastAsia="Calibri"/>
                <w:color w:val="000000"/>
                <w:sz w:val="18"/>
                <w:szCs w:val="18"/>
              </w:rPr>
              <w:t>93400, Луганська область, Сєвєродонецький район, місто Сєвєродонецьк, вулиця Новікова, будинок 13Б.</w:t>
            </w:r>
          </w:p>
        </w:tc>
        <w:tc>
          <w:tcPr>
            <w:tcW w:w="1736" w:type="dxa"/>
            <w:tcBorders>
              <w:top w:val="nil"/>
              <w:left w:val="nil"/>
              <w:bottom w:val="single" w:sz="4" w:space="0" w:color="auto"/>
              <w:right w:val="single" w:sz="4" w:space="0" w:color="auto"/>
            </w:tcBorders>
            <w:shd w:val="clear" w:color="auto" w:fill="auto"/>
            <w:vAlign w:val="center"/>
            <w:hideMark/>
          </w:tcPr>
          <w:p w:rsidR="00E021FE" w:rsidRPr="003F6E95" w:rsidRDefault="00E021FE" w:rsidP="003F6E95">
            <w:pPr>
              <w:jc w:val="center"/>
              <w:rPr>
                <w:color w:val="000000"/>
                <w:sz w:val="18"/>
                <w:szCs w:val="18"/>
                <w:lang w:eastAsia="uk-UA"/>
              </w:rPr>
            </w:pPr>
            <w:r w:rsidRPr="003F6E95">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3F6E95" w:rsidRDefault="00E021FE" w:rsidP="003F6E95">
            <w:pPr>
              <w:jc w:val="center"/>
              <w:rPr>
                <w:color w:val="000000"/>
                <w:sz w:val="18"/>
                <w:szCs w:val="18"/>
                <w:lang w:eastAsia="uk-UA"/>
              </w:rPr>
            </w:pPr>
            <w:r w:rsidRPr="003F6E95">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3F6E95" w:rsidRDefault="00E021FE" w:rsidP="003F6E95">
            <w:pPr>
              <w:jc w:val="center"/>
              <w:rPr>
                <w:color w:val="000000"/>
                <w:sz w:val="18"/>
                <w:szCs w:val="18"/>
                <w:lang w:eastAsia="uk-UA"/>
              </w:rPr>
            </w:pPr>
            <w:r w:rsidRPr="003F6E95">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3F6E95" w:rsidRDefault="00E021FE" w:rsidP="003F6E95">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3F6E95" w:rsidRDefault="00E021FE" w:rsidP="003F6E95">
            <w:pPr>
              <w:jc w:val="center"/>
              <w:rPr>
                <w:color w:val="000000"/>
                <w:sz w:val="18"/>
                <w:szCs w:val="18"/>
                <w:lang w:eastAsia="uk-UA"/>
              </w:rPr>
            </w:pPr>
            <w:r w:rsidRPr="003F6E95">
              <w:rPr>
                <w:rFonts w:eastAsia="Calibri"/>
                <w:color w:val="000000"/>
                <w:sz w:val="18"/>
                <w:szCs w:val="18"/>
              </w:rPr>
              <w:t>60000,0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3F6E95" w:rsidRDefault="00E021FE" w:rsidP="003F6E95">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3F6E95" w:rsidRDefault="00E021FE" w:rsidP="003F6E95">
            <w:pPr>
              <w:jc w:val="center"/>
              <w:rPr>
                <w:color w:val="000000"/>
                <w:sz w:val="18"/>
                <w:szCs w:val="18"/>
                <w:lang w:eastAsia="uk-UA"/>
              </w:rPr>
            </w:pPr>
            <w:r w:rsidRPr="003F6E95">
              <w:rPr>
                <w:rFonts w:eastAsia="Calibri"/>
                <w:color w:val="000000"/>
                <w:sz w:val="18"/>
                <w:szCs w:val="18"/>
              </w:rPr>
              <w:t>140000,0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3F6E95" w:rsidRDefault="00E021FE" w:rsidP="003F6E95">
            <w:pPr>
              <w:autoSpaceDE w:val="0"/>
              <w:autoSpaceDN w:val="0"/>
              <w:adjustRightInd w:val="0"/>
              <w:jc w:val="center"/>
              <w:rPr>
                <w:rFonts w:eastAsia="Calibri"/>
                <w:color w:val="000000"/>
                <w:sz w:val="18"/>
                <w:szCs w:val="18"/>
              </w:rPr>
            </w:pPr>
            <w:r w:rsidRPr="003F6E95">
              <w:rPr>
                <w:rFonts w:eastAsia="Calibri"/>
                <w:color w:val="000000"/>
                <w:sz w:val="18"/>
                <w:szCs w:val="18"/>
              </w:rPr>
              <w:t>Міжнародні фонди.</w:t>
            </w:r>
          </w:p>
          <w:p w:rsidR="00E021FE" w:rsidRPr="003F6E95" w:rsidRDefault="00E021FE" w:rsidP="003F6E95">
            <w:pPr>
              <w:autoSpaceDE w:val="0"/>
              <w:autoSpaceDN w:val="0"/>
              <w:adjustRightInd w:val="0"/>
              <w:jc w:val="center"/>
              <w:rPr>
                <w:rFonts w:eastAsia="Calibri"/>
                <w:color w:val="000000"/>
                <w:sz w:val="18"/>
                <w:szCs w:val="18"/>
              </w:rPr>
            </w:pPr>
            <w:r w:rsidRPr="003F6E95">
              <w:rPr>
                <w:rFonts w:eastAsia="Calibri"/>
                <w:color w:val="000000"/>
                <w:sz w:val="18"/>
                <w:szCs w:val="18"/>
              </w:rPr>
              <w:t>Міжнародні інвестиції</w:t>
            </w:r>
          </w:p>
          <w:p w:rsidR="00E021FE" w:rsidRPr="003F6E95" w:rsidRDefault="00E021FE" w:rsidP="003F6E95">
            <w:pPr>
              <w:jc w:val="center"/>
              <w:rPr>
                <w:bCs/>
                <w:sz w:val="18"/>
                <w:szCs w:val="18"/>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3F6E95" w:rsidRDefault="00E021FE" w:rsidP="003F6E95">
            <w:pPr>
              <w:jc w:val="center"/>
              <w:rPr>
                <w:color w:val="000000"/>
                <w:sz w:val="18"/>
                <w:szCs w:val="18"/>
                <w:lang w:eastAsia="uk-UA"/>
              </w:rPr>
            </w:pPr>
            <w:r w:rsidRPr="003F6E95">
              <w:rPr>
                <w:rFonts w:eastAsia="Calibri"/>
                <w:color w:val="000000"/>
                <w:sz w:val="18"/>
                <w:szCs w:val="18"/>
              </w:rPr>
              <w:t>200 000,0</w:t>
            </w:r>
          </w:p>
        </w:tc>
      </w:tr>
      <w:tr w:rsidR="00E021FE" w:rsidRPr="00E95FB1" w:rsidTr="003F6E95">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8D01F8" w:rsidRDefault="00E021FE" w:rsidP="008D01F8">
            <w:pPr>
              <w:jc w:val="center"/>
              <w:rPr>
                <w:color w:val="000000"/>
                <w:sz w:val="18"/>
                <w:szCs w:val="18"/>
                <w:lang w:val="ru-RU" w:eastAsia="uk-UA"/>
              </w:rPr>
            </w:pPr>
            <w:r w:rsidRPr="003F6E95">
              <w:rPr>
                <w:color w:val="000000"/>
                <w:sz w:val="18"/>
                <w:szCs w:val="18"/>
                <w:lang w:eastAsia="uk-UA"/>
              </w:rPr>
              <w:t>4</w:t>
            </w:r>
            <w:r>
              <w:rPr>
                <w:color w:val="000000"/>
                <w:sz w:val="18"/>
                <w:szCs w:val="18"/>
                <w:lang w:val="ru-RU" w:eastAsia="uk-UA"/>
              </w:rPr>
              <w:t>0</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3F6E95">
            <w:pPr>
              <w:autoSpaceDE w:val="0"/>
              <w:autoSpaceDN w:val="0"/>
              <w:adjustRightInd w:val="0"/>
              <w:jc w:val="center"/>
              <w:rPr>
                <w:rFonts w:eastAsia="Calibri"/>
                <w:color w:val="000000"/>
                <w:sz w:val="18"/>
                <w:szCs w:val="18"/>
              </w:rPr>
            </w:pPr>
            <w:r w:rsidRPr="00F600D3">
              <w:rPr>
                <w:rFonts w:eastAsia="Calibri"/>
                <w:color w:val="000000"/>
                <w:sz w:val="18"/>
                <w:szCs w:val="18"/>
              </w:rPr>
              <w:t>Відновлення діяльності  Ясел-садка №10 міста Сєвєродонецька Луганської області.</w:t>
            </w:r>
          </w:p>
          <w:p w:rsidR="00E021FE" w:rsidRPr="00F600D3" w:rsidRDefault="00E021FE" w:rsidP="003F6E95">
            <w:pPr>
              <w:jc w:val="center"/>
              <w:rPr>
                <w:rFonts w:eastAsia="Calibri"/>
                <w:bCs/>
                <w:color w:val="000000"/>
                <w:sz w:val="18"/>
                <w:szCs w:val="18"/>
              </w:rPr>
            </w:pPr>
            <w:r w:rsidRPr="00F600D3">
              <w:rPr>
                <w:rFonts w:eastAsia="Calibri"/>
                <w:color w:val="000000"/>
                <w:sz w:val="18"/>
                <w:szCs w:val="18"/>
              </w:rPr>
              <w:t>93400, Луганська область, Сєвєродонецький район, місто Сєвєродонецьк, вулиця Новікова, будинок 13Б.</w:t>
            </w:r>
          </w:p>
        </w:tc>
        <w:tc>
          <w:tcPr>
            <w:tcW w:w="1736" w:type="dxa"/>
            <w:tcBorders>
              <w:top w:val="nil"/>
              <w:left w:val="nil"/>
              <w:bottom w:val="single" w:sz="4" w:space="0" w:color="auto"/>
              <w:right w:val="single" w:sz="4" w:space="0" w:color="auto"/>
            </w:tcBorders>
            <w:shd w:val="clear" w:color="auto" w:fill="auto"/>
            <w:vAlign w:val="center"/>
            <w:hideMark/>
          </w:tcPr>
          <w:p w:rsidR="00E021FE" w:rsidRPr="003F6E95" w:rsidRDefault="00E021FE" w:rsidP="003F6E95">
            <w:pPr>
              <w:jc w:val="center"/>
              <w:rPr>
                <w:color w:val="000000"/>
                <w:sz w:val="18"/>
                <w:szCs w:val="18"/>
                <w:lang w:eastAsia="uk-UA"/>
              </w:rPr>
            </w:pPr>
            <w:r w:rsidRPr="003F6E95">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3F6E95" w:rsidRDefault="00E021FE" w:rsidP="003F6E95">
            <w:pPr>
              <w:jc w:val="center"/>
              <w:rPr>
                <w:color w:val="000000"/>
                <w:sz w:val="18"/>
                <w:szCs w:val="18"/>
                <w:lang w:eastAsia="uk-UA"/>
              </w:rPr>
            </w:pPr>
            <w:r w:rsidRPr="003F6E95">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3F6E95" w:rsidRDefault="00E021FE" w:rsidP="003F6E95">
            <w:pPr>
              <w:jc w:val="center"/>
              <w:rPr>
                <w:color w:val="000000"/>
                <w:sz w:val="18"/>
                <w:szCs w:val="18"/>
                <w:lang w:eastAsia="uk-UA"/>
              </w:rPr>
            </w:pPr>
            <w:r w:rsidRPr="003F6E95">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3F6E95" w:rsidRDefault="00E021FE" w:rsidP="003F6E95">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3F6E95" w:rsidRDefault="00E021FE" w:rsidP="003F6E95">
            <w:pPr>
              <w:jc w:val="center"/>
              <w:rPr>
                <w:color w:val="000000"/>
                <w:sz w:val="18"/>
                <w:szCs w:val="18"/>
                <w:lang w:eastAsia="uk-UA"/>
              </w:rPr>
            </w:pPr>
          </w:p>
        </w:tc>
        <w:tc>
          <w:tcPr>
            <w:tcW w:w="992" w:type="dxa"/>
            <w:tcBorders>
              <w:top w:val="nil"/>
              <w:left w:val="nil"/>
              <w:bottom w:val="single" w:sz="4" w:space="0" w:color="auto"/>
              <w:right w:val="single" w:sz="4" w:space="0" w:color="auto"/>
            </w:tcBorders>
            <w:shd w:val="clear" w:color="auto" w:fill="auto"/>
            <w:vAlign w:val="center"/>
            <w:hideMark/>
          </w:tcPr>
          <w:p w:rsidR="00E021FE" w:rsidRPr="003F6E95" w:rsidRDefault="00E021FE" w:rsidP="003F6E95">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3F6E95" w:rsidRDefault="00E021FE" w:rsidP="003F6E95">
            <w:pPr>
              <w:autoSpaceDE w:val="0"/>
              <w:autoSpaceDN w:val="0"/>
              <w:adjustRightInd w:val="0"/>
              <w:jc w:val="center"/>
              <w:rPr>
                <w:rFonts w:eastAsia="Calibri"/>
                <w:color w:val="000000"/>
                <w:sz w:val="18"/>
                <w:szCs w:val="18"/>
              </w:rPr>
            </w:pPr>
            <w:r w:rsidRPr="003F6E95">
              <w:rPr>
                <w:rFonts w:eastAsia="Calibri"/>
                <w:color w:val="000000"/>
                <w:sz w:val="18"/>
                <w:szCs w:val="18"/>
              </w:rPr>
              <w:t>5 000,0</w:t>
            </w:r>
          </w:p>
          <w:p w:rsidR="00E021FE" w:rsidRPr="003F6E95" w:rsidRDefault="00E021FE" w:rsidP="003F6E95">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3F6E95" w:rsidRDefault="00E021FE" w:rsidP="003F6E95">
            <w:pPr>
              <w:autoSpaceDE w:val="0"/>
              <w:autoSpaceDN w:val="0"/>
              <w:adjustRightInd w:val="0"/>
              <w:jc w:val="center"/>
              <w:rPr>
                <w:rFonts w:eastAsia="Calibri"/>
                <w:color w:val="000000"/>
                <w:sz w:val="18"/>
                <w:szCs w:val="18"/>
              </w:rPr>
            </w:pPr>
            <w:r w:rsidRPr="003F6E95">
              <w:rPr>
                <w:rFonts w:eastAsia="Calibri"/>
                <w:color w:val="000000"/>
                <w:sz w:val="18"/>
                <w:szCs w:val="18"/>
              </w:rPr>
              <w:t>Міжнародні інвестиції.</w:t>
            </w:r>
          </w:p>
          <w:p w:rsidR="00E021FE" w:rsidRPr="003F6E95" w:rsidRDefault="00E021FE" w:rsidP="003F6E95">
            <w:pPr>
              <w:jc w:val="center"/>
              <w:rPr>
                <w:bCs/>
                <w:sz w:val="18"/>
                <w:szCs w:val="18"/>
              </w:rPr>
            </w:pPr>
            <w:r w:rsidRPr="003F6E95">
              <w:rPr>
                <w:rFonts w:eastAsia="Calibri"/>
                <w:color w:val="000000"/>
                <w:sz w:val="18"/>
                <w:szCs w:val="18"/>
              </w:rPr>
              <w:t>Міжнародні фонди</w:t>
            </w:r>
          </w:p>
        </w:tc>
        <w:tc>
          <w:tcPr>
            <w:tcW w:w="1164" w:type="dxa"/>
            <w:tcBorders>
              <w:top w:val="nil"/>
              <w:left w:val="nil"/>
              <w:bottom w:val="single" w:sz="4" w:space="0" w:color="auto"/>
              <w:right w:val="single" w:sz="4" w:space="0" w:color="auto"/>
            </w:tcBorders>
            <w:shd w:val="clear" w:color="auto" w:fill="auto"/>
            <w:vAlign w:val="center"/>
            <w:hideMark/>
          </w:tcPr>
          <w:p w:rsidR="00E021FE" w:rsidRPr="003F6E95" w:rsidRDefault="00E021FE" w:rsidP="003F6E95">
            <w:pPr>
              <w:autoSpaceDE w:val="0"/>
              <w:autoSpaceDN w:val="0"/>
              <w:adjustRightInd w:val="0"/>
              <w:jc w:val="center"/>
              <w:rPr>
                <w:rFonts w:eastAsia="Calibri"/>
                <w:color w:val="000000"/>
                <w:sz w:val="18"/>
                <w:szCs w:val="18"/>
              </w:rPr>
            </w:pPr>
            <w:r w:rsidRPr="003F6E95">
              <w:rPr>
                <w:rFonts w:eastAsia="Calibri"/>
                <w:color w:val="000000"/>
                <w:sz w:val="18"/>
                <w:szCs w:val="18"/>
              </w:rPr>
              <w:t>5 000,0</w:t>
            </w:r>
          </w:p>
          <w:p w:rsidR="00E021FE" w:rsidRPr="003F6E95" w:rsidRDefault="00E021FE" w:rsidP="003F6E95">
            <w:pPr>
              <w:jc w:val="center"/>
              <w:rPr>
                <w:color w:val="000000"/>
                <w:sz w:val="18"/>
                <w:szCs w:val="18"/>
                <w:lang w:eastAsia="uk-UA"/>
              </w:rPr>
            </w:pPr>
          </w:p>
        </w:tc>
      </w:tr>
      <w:tr w:rsidR="00E021FE" w:rsidRPr="00E95FB1" w:rsidTr="005C57BD">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8D01F8" w:rsidRDefault="00E021FE" w:rsidP="008D01F8">
            <w:pPr>
              <w:jc w:val="center"/>
              <w:rPr>
                <w:color w:val="000000"/>
                <w:sz w:val="18"/>
                <w:szCs w:val="18"/>
                <w:lang w:val="ru-RU" w:eastAsia="uk-UA"/>
              </w:rPr>
            </w:pPr>
            <w:r>
              <w:rPr>
                <w:color w:val="000000"/>
                <w:sz w:val="18"/>
                <w:szCs w:val="18"/>
                <w:lang w:eastAsia="uk-UA"/>
              </w:rPr>
              <w:t>4</w:t>
            </w:r>
            <w:r>
              <w:rPr>
                <w:color w:val="000000"/>
                <w:sz w:val="18"/>
                <w:szCs w:val="18"/>
                <w:lang w:val="ru-RU" w:eastAsia="uk-UA"/>
              </w:rPr>
              <w:t>1</w:t>
            </w:r>
          </w:p>
        </w:tc>
        <w:tc>
          <w:tcPr>
            <w:tcW w:w="3049" w:type="dxa"/>
            <w:tcBorders>
              <w:top w:val="nil"/>
              <w:left w:val="nil"/>
              <w:bottom w:val="single" w:sz="4" w:space="0" w:color="auto"/>
              <w:right w:val="single" w:sz="4" w:space="0" w:color="auto"/>
            </w:tcBorders>
            <w:shd w:val="clear" w:color="auto" w:fill="auto"/>
            <w:vAlign w:val="center"/>
            <w:hideMark/>
          </w:tcPr>
          <w:p w:rsidR="00E021FE" w:rsidRPr="0097320A" w:rsidRDefault="00E021FE" w:rsidP="00524DBF">
            <w:pPr>
              <w:jc w:val="center"/>
              <w:rPr>
                <w:rFonts w:eastAsia="Calibri"/>
                <w:bCs/>
                <w:color w:val="000000"/>
                <w:sz w:val="18"/>
                <w:szCs w:val="18"/>
              </w:rPr>
            </w:pPr>
            <w:r w:rsidRPr="0097320A">
              <w:rPr>
                <w:rFonts w:eastAsia="Calibri"/>
                <w:color w:val="000000"/>
                <w:sz w:val="18"/>
                <w:szCs w:val="18"/>
              </w:rPr>
              <w:t>Оснащення меблями, технічними засобами навчання, методичними та дидактичними матеріалами методичного кабінету, адміністративних кабінетів, кабінетів психолога, медичного кабінету, кімнат для молодшого обслуговуючого персоналу</w:t>
            </w:r>
            <w:bookmarkStart w:id="47" w:name="_Hlk140332007"/>
            <w:r w:rsidRPr="0097320A">
              <w:rPr>
                <w:rFonts w:eastAsia="Calibri"/>
                <w:color w:val="000000"/>
                <w:sz w:val="18"/>
                <w:szCs w:val="18"/>
              </w:rPr>
              <w:t xml:space="preserve"> та створення освітнього, розвиваючого, виховного середовища вихованців   Ясел-садка № 45 міста Сєвєродонецька  Луганської області</w:t>
            </w:r>
            <w:bookmarkEnd w:id="47"/>
            <w:r w:rsidRPr="0097320A">
              <w:rPr>
                <w:rFonts w:eastAsia="Calibri"/>
                <w:color w:val="000000"/>
                <w:sz w:val="18"/>
                <w:szCs w:val="18"/>
              </w:rPr>
              <w:t>, смт. Борівське вул. Колгоспна буд.30</w:t>
            </w:r>
          </w:p>
        </w:tc>
        <w:tc>
          <w:tcPr>
            <w:tcW w:w="1736" w:type="dxa"/>
            <w:tcBorders>
              <w:top w:val="nil"/>
              <w:left w:val="nil"/>
              <w:bottom w:val="single" w:sz="4" w:space="0" w:color="auto"/>
              <w:right w:val="single" w:sz="4" w:space="0" w:color="auto"/>
            </w:tcBorders>
            <w:shd w:val="clear" w:color="auto" w:fill="auto"/>
            <w:vAlign w:val="center"/>
            <w:hideMark/>
          </w:tcPr>
          <w:p w:rsidR="00E021FE" w:rsidRPr="0097320A" w:rsidRDefault="00E021FE" w:rsidP="00524DBF">
            <w:pPr>
              <w:jc w:val="center"/>
              <w:rPr>
                <w:color w:val="000000"/>
                <w:sz w:val="18"/>
                <w:szCs w:val="18"/>
                <w:lang w:eastAsia="uk-UA"/>
              </w:rPr>
            </w:pPr>
            <w:r w:rsidRPr="0097320A">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97320A" w:rsidRDefault="00E021FE" w:rsidP="00524DBF">
            <w:pPr>
              <w:jc w:val="center"/>
              <w:rPr>
                <w:color w:val="000000"/>
                <w:sz w:val="18"/>
                <w:szCs w:val="18"/>
                <w:lang w:eastAsia="uk-UA"/>
              </w:rPr>
            </w:pPr>
            <w:r w:rsidRPr="0097320A">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97320A" w:rsidRDefault="00E021FE" w:rsidP="00524DBF">
            <w:pPr>
              <w:jc w:val="center"/>
              <w:rPr>
                <w:color w:val="000000"/>
                <w:sz w:val="18"/>
                <w:szCs w:val="18"/>
                <w:lang w:eastAsia="uk-UA"/>
              </w:rPr>
            </w:pPr>
            <w:r w:rsidRPr="0097320A">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97320A" w:rsidRDefault="00E021FE" w:rsidP="00524DB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97320A" w:rsidRDefault="00E021FE" w:rsidP="00524DBF">
            <w:pPr>
              <w:jc w:val="center"/>
              <w:rPr>
                <w:color w:val="000000"/>
                <w:sz w:val="18"/>
                <w:szCs w:val="18"/>
                <w:lang w:eastAsia="uk-UA"/>
              </w:rPr>
            </w:pPr>
            <w:r w:rsidRPr="0097320A">
              <w:rPr>
                <w:rFonts w:eastAsia="Calibri"/>
                <w:color w:val="000000"/>
                <w:sz w:val="18"/>
                <w:szCs w:val="18"/>
              </w:rPr>
              <w:t>1120,0</w:t>
            </w:r>
          </w:p>
        </w:tc>
        <w:tc>
          <w:tcPr>
            <w:tcW w:w="992" w:type="dxa"/>
            <w:tcBorders>
              <w:top w:val="nil"/>
              <w:left w:val="nil"/>
              <w:bottom w:val="single" w:sz="4" w:space="0" w:color="auto"/>
              <w:right w:val="single" w:sz="4" w:space="0" w:color="auto"/>
            </w:tcBorders>
            <w:shd w:val="clear" w:color="auto" w:fill="auto"/>
            <w:vAlign w:val="center"/>
            <w:hideMark/>
          </w:tcPr>
          <w:p w:rsidR="00E021FE" w:rsidRPr="0097320A" w:rsidRDefault="00E021FE" w:rsidP="00524DB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97320A" w:rsidRDefault="00E021FE" w:rsidP="00524DBF">
            <w:pPr>
              <w:autoSpaceDE w:val="0"/>
              <w:autoSpaceDN w:val="0"/>
              <w:adjustRightInd w:val="0"/>
              <w:jc w:val="center"/>
              <w:rPr>
                <w:rFonts w:eastAsia="Calibri"/>
                <w:color w:val="000000"/>
                <w:sz w:val="18"/>
                <w:szCs w:val="18"/>
              </w:rPr>
            </w:pPr>
          </w:p>
          <w:p w:rsidR="00E021FE" w:rsidRPr="0097320A" w:rsidRDefault="00E021FE" w:rsidP="00524DBF">
            <w:pPr>
              <w:autoSpaceDE w:val="0"/>
              <w:autoSpaceDN w:val="0"/>
              <w:adjustRightInd w:val="0"/>
              <w:jc w:val="center"/>
              <w:rPr>
                <w:rFonts w:eastAsia="Calibri"/>
                <w:color w:val="000000"/>
                <w:sz w:val="18"/>
                <w:szCs w:val="18"/>
              </w:rPr>
            </w:pPr>
            <w:r w:rsidRPr="0097320A">
              <w:rPr>
                <w:rFonts w:eastAsia="Calibri"/>
                <w:color w:val="000000"/>
                <w:sz w:val="18"/>
                <w:szCs w:val="18"/>
              </w:rPr>
              <w:t>480,0</w:t>
            </w:r>
          </w:p>
          <w:p w:rsidR="00E021FE" w:rsidRPr="0097320A" w:rsidRDefault="00E021FE" w:rsidP="00524DBF">
            <w:pPr>
              <w:autoSpaceDE w:val="0"/>
              <w:autoSpaceDN w:val="0"/>
              <w:adjustRightInd w:val="0"/>
              <w:jc w:val="center"/>
              <w:rPr>
                <w:rFonts w:eastAsia="Calibri"/>
                <w:color w:val="000000"/>
                <w:sz w:val="18"/>
                <w:szCs w:val="18"/>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97320A" w:rsidRDefault="00E021FE" w:rsidP="00524DBF">
            <w:pPr>
              <w:pStyle w:val="15"/>
              <w:jc w:val="center"/>
              <w:rPr>
                <w:rFonts w:ascii="Times New Roman" w:hAnsi="Times New Roman" w:cs="Times New Roman"/>
                <w:sz w:val="18"/>
                <w:szCs w:val="18"/>
                <w:lang w:val="uk-UA"/>
              </w:rPr>
            </w:pPr>
            <w:r w:rsidRPr="0097320A">
              <w:rPr>
                <w:rFonts w:ascii="Times New Roman" w:hAnsi="Times New Roman" w:cs="Times New Roman"/>
                <w:bCs/>
                <w:sz w:val="18"/>
                <w:szCs w:val="18"/>
                <w:lang w:val="uk-UA"/>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97320A" w:rsidRDefault="00E021FE" w:rsidP="00524DBF">
            <w:pPr>
              <w:jc w:val="center"/>
              <w:rPr>
                <w:color w:val="000000"/>
                <w:sz w:val="18"/>
                <w:szCs w:val="18"/>
                <w:lang w:eastAsia="uk-UA"/>
              </w:rPr>
            </w:pPr>
            <w:r w:rsidRPr="0097320A">
              <w:rPr>
                <w:rFonts w:eastAsia="Calibri"/>
                <w:color w:val="000000"/>
                <w:sz w:val="18"/>
                <w:szCs w:val="18"/>
              </w:rPr>
              <w:t>1 600 ,0</w:t>
            </w:r>
          </w:p>
        </w:tc>
      </w:tr>
      <w:tr w:rsidR="00E021FE" w:rsidRPr="00E95FB1" w:rsidTr="000714B4">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0714B4" w:rsidRDefault="00E021FE" w:rsidP="008D01F8">
            <w:pPr>
              <w:jc w:val="center"/>
              <w:rPr>
                <w:color w:val="000000"/>
                <w:sz w:val="18"/>
                <w:szCs w:val="18"/>
                <w:lang w:val="ru-RU" w:eastAsia="uk-UA"/>
              </w:rPr>
            </w:pPr>
            <w:r w:rsidRPr="000714B4">
              <w:rPr>
                <w:color w:val="000000"/>
                <w:sz w:val="18"/>
                <w:szCs w:val="18"/>
                <w:lang w:val="ru-RU" w:eastAsia="uk-UA"/>
              </w:rPr>
              <w:t>4</w:t>
            </w:r>
            <w:r>
              <w:rPr>
                <w:color w:val="000000"/>
                <w:sz w:val="18"/>
                <w:szCs w:val="18"/>
                <w:lang w:val="ru-RU" w:eastAsia="uk-UA"/>
              </w:rPr>
              <w:t>2</w:t>
            </w:r>
          </w:p>
        </w:tc>
        <w:tc>
          <w:tcPr>
            <w:tcW w:w="3049" w:type="dxa"/>
            <w:tcBorders>
              <w:top w:val="nil"/>
              <w:left w:val="nil"/>
              <w:bottom w:val="single" w:sz="4" w:space="0" w:color="auto"/>
              <w:right w:val="single" w:sz="4" w:space="0" w:color="auto"/>
            </w:tcBorders>
            <w:shd w:val="clear" w:color="auto" w:fill="auto"/>
            <w:vAlign w:val="center"/>
            <w:hideMark/>
          </w:tcPr>
          <w:p w:rsidR="00E021FE" w:rsidRPr="000714B4" w:rsidRDefault="00E021FE" w:rsidP="000714B4">
            <w:pPr>
              <w:jc w:val="center"/>
              <w:rPr>
                <w:rFonts w:eastAsia="Calibri"/>
                <w:bCs/>
                <w:color w:val="000000"/>
                <w:sz w:val="18"/>
                <w:szCs w:val="18"/>
              </w:rPr>
            </w:pPr>
            <w:r w:rsidRPr="000714B4">
              <w:rPr>
                <w:rFonts w:eastAsia="Calibri"/>
                <w:sz w:val="18"/>
                <w:szCs w:val="18"/>
              </w:rPr>
              <w:t>Капітальний ремонт  Ясел-садка № 45 міста Сєвєродонецька Луганської області, смт. Борівське вул. Колгоспна, буд.30</w:t>
            </w:r>
          </w:p>
        </w:tc>
        <w:tc>
          <w:tcPr>
            <w:tcW w:w="1736" w:type="dxa"/>
            <w:tcBorders>
              <w:top w:val="nil"/>
              <w:left w:val="nil"/>
              <w:bottom w:val="single" w:sz="4" w:space="0" w:color="auto"/>
              <w:right w:val="single" w:sz="4" w:space="0" w:color="auto"/>
            </w:tcBorders>
            <w:shd w:val="clear" w:color="auto" w:fill="auto"/>
            <w:vAlign w:val="center"/>
            <w:hideMark/>
          </w:tcPr>
          <w:p w:rsidR="00E021FE" w:rsidRPr="000714B4" w:rsidRDefault="00E021FE" w:rsidP="000714B4">
            <w:pPr>
              <w:jc w:val="center"/>
              <w:rPr>
                <w:color w:val="000000"/>
                <w:sz w:val="18"/>
                <w:szCs w:val="18"/>
                <w:lang w:eastAsia="uk-UA"/>
              </w:rPr>
            </w:pPr>
            <w:r w:rsidRPr="000714B4">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0714B4" w:rsidRDefault="00E021FE" w:rsidP="000714B4">
            <w:pPr>
              <w:jc w:val="center"/>
              <w:rPr>
                <w:color w:val="000000"/>
                <w:sz w:val="18"/>
                <w:szCs w:val="18"/>
                <w:lang w:eastAsia="uk-UA"/>
              </w:rPr>
            </w:pPr>
            <w:r w:rsidRPr="000714B4">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0714B4" w:rsidRDefault="00E021FE" w:rsidP="000714B4">
            <w:pPr>
              <w:jc w:val="center"/>
              <w:rPr>
                <w:color w:val="000000"/>
                <w:sz w:val="18"/>
                <w:szCs w:val="18"/>
                <w:lang w:eastAsia="uk-UA"/>
              </w:rPr>
            </w:pPr>
            <w:r w:rsidRPr="000714B4">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0714B4"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0714B4" w:rsidRDefault="00E021FE" w:rsidP="000714B4">
            <w:pPr>
              <w:autoSpaceDE w:val="0"/>
              <w:autoSpaceDN w:val="0"/>
              <w:adjustRightInd w:val="0"/>
              <w:jc w:val="center"/>
              <w:rPr>
                <w:rFonts w:eastAsia="Calibri"/>
                <w:sz w:val="18"/>
                <w:szCs w:val="18"/>
              </w:rPr>
            </w:pPr>
            <w:r w:rsidRPr="000714B4">
              <w:rPr>
                <w:rFonts w:eastAsia="Calibri"/>
                <w:sz w:val="18"/>
                <w:szCs w:val="18"/>
              </w:rPr>
              <w:t>3 290,0</w:t>
            </w:r>
          </w:p>
          <w:p w:rsidR="00E021FE" w:rsidRPr="000714B4" w:rsidRDefault="00E021FE" w:rsidP="000714B4">
            <w:pPr>
              <w:jc w:val="center"/>
              <w:rPr>
                <w:color w:val="000000"/>
                <w:sz w:val="18"/>
                <w:szCs w:val="18"/>
                <w:lang w:eastAsia="uk-UA"/>
              </w:rPr>
            </w:pPr>
          </w:p>
        </w:tc>
        <w:tc>
          <w:tcPr>
            <w:tcW w:w="992" w:type="dxa"/>
            <w:tcBorders>
              <w:top w:val="nil"/>
              <w:left w:val="nil"/>
              <w:bottom w:val="single" w:sz="4" w:space="0" w:color="auto"/>
              <w:right w:val="single" w:sz="4" w:space="0" w:color="auto"/>
            </w:tcBorders>
            <w:shd w:val="clear" w:color="auto" w:fill="auto"/>
            <w:vAlign w:val="center"/>
            <w:hideMark/>
          </w:tcPr>
          <w:p w:rsidR="00E021FE" w:rsidRPr="000714B4"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0714B4" w:rsidRDefault="00E021FE" w:rsidP="000714B4">
            <w:pPr>
              <w:autoSpaceDE w:val="0"/>
              <w:autoSpaceDN w:val="0"/>
              <w:adjustRightInd w:val="0"/>
              <w:jc w:val="center"/>
              <w:rPr>
                <w:rFonts w:eastAsia="Calibri"/>
                <w:color w:val="000000"/>
                <w:sz w:val="18"/>
                <w:szCs w:val="18"/>
              </w:rPr>
            </w:pPr>
            <w:r w:rsidRPr="000714B4">
              <w:rPr>
                <w:rFonts w:eastAsia="Calibri"/>
                <w:color w:val="000000"/>
                <w:sz w:val="18"/>
                <w:szCs w:val="18"/>
              </w:rPr>
              <w:t>1410,0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0714B4" w:rsidRDefault="00E021FE" w:rsidP="000714B4">
            <w:pPr>
              <w:pStyle w:val="23"/>
              <w:jc w:val="center"/>
              <w:rPr>
                <w:rFonts w:ascii="Times New Roman" w:eastAsia="Calibri" w:hAnsi="Times New Roman" w:cs="Times New Roman"/>
                <w:color w:val="000000"/>
                <w:sz w:val="18"/>
                <w:szCs w:val="18"/>
              </w:rPr>
            </w:pPr>
            <w:proofErr w:type="spellStart"/>
            <w:r w:rsidRPr="000714B4">
              <w:rPr>
                <w:rFonts w:ascii="Times New Roman" w:hAnsi="Times New Roman" w:cs="Times New Roman"/>
                <w:bCs/>
                <w:sz w:val="18"/>
                <w:szCs w:val="18"/>
              </w:rPr>
              <w:t>Міжнародні</w:t>
            </w:r>
            <w:proofErr w:type="spellEnd"/>
            <w:r w:rsidRPr="000714B4">
              <w:rPr>
                <w:rFonts w:ascii="Times New Roman" w:hAnsi="Times New Roman" w:cs="Times New Roman"/>
                <w:bCs/>
                <w:sz w:val="18"/>
                <w:szCs w:val="18"/>
              </w:rPr>
              <w:t xml:space="preserve"> </w:t>
            </w:r>
            <w:proofErr w:type="spellStart"/>
            <w:r w:rsidRPr="000714B4">
              <w:rPr>
                <w:rFonts w:ascii="Times New Roman" w:hAnsi="Times New Roman" w:cs="Times New Roman"/>
                <w:bCs/>
                <w:sz w:val="18"/>
                <w:szCs w:val="18"/>
              </w:rPr>
              <w:t>інвестиції</w:t>
            </w:r>
            <w:proofErr w:type="spellEnd"/>
            <w:r w:rsidRPr="000714B4">
              <w:rPr>
                <w:rFonts w:ascii="Times New Roman" w:hAnsi="Times New Roman" w:cs="Times New Roman"/>
                <w:bCs/>
                <w:sz w:val="18"/>
                <w:szCs w:val="18"/>
              </w:rPr>
              <w:t xml:space="preserve">, </w:t>
            </w:r>
            <w:proofErr w:type="spellStart"/>
            <w:r w:rsidRPr="000714B4">
              <w:rPr>
                <w:rFonts w:ascii="Times New Roman" w:hAnsi="Times New Roman" w:cs="Times New Roman"/>
                <w:bCs/>
                <w:sz w:val="18"/>
                <w:szCs w:val="18"/>
              </w:rPr>
              <w:t>кошти</w:t>
            </w:r>
            <w:proofErr w:type="spellEnd"/>
            <w:r w:rsidRPr="000714B4">
              <w:rPr>
                <w:rFonts w:ascii="Times New Roman" w:hAnsi="Times New Roman" w:cs="Times New Roman"/>
                <w:bCs/>
                <w:sz w:val="18"/>
                <w:szCs w:val="18"/>
              </w:rPr>
              <w:t xml:space="preserve"> </w:t>
            </w:r>
            <w:proofErr w:type="spellStart"/>
            <w:r w:rsidRPr="000714B4">
              <w:rPr>
                <w:rFonts w:ascii="Times New Roman" w:hAnsi="Times New Roman" w:cs="Times New Roman"/>
                <w:bCs/>
                <w:sz w:val="18"/>
                <w:szCs w:val="18"/>
              </w:rPr>
              <w:t>приватних</w:t>
            </w:r>
            <w:proofErr w:type="spellEnd"/>
            <w:r w:rsidRPr="000714B4">
              <w:rPr>
                <w:rFonts w:ascii="Times New Roman" w:hAnsi="Times New Roman" w:cs="Times New Roman"/>
                <w:bCs/>
                <w:sz w:val="18"/>
                <w:szCs w:val="18"/>
              </w:rPr>
              <w:t xml:space="preserve"> </w:t>
            </w:r>
            <w:proofErr w:type="spellStart"/>
            <w:r w:rsidRPr="000714B4">
              <w:rPr>
                <w:rFonts w:ascii="Times New Roman" w:hAnsi="Times New Roman" w:cs="Times New Roman"/>
                <w:bCs/>
                <w:sz w:val="18"/>
                <w:szCs w:val="18"/>
              </w:rPr>
              <w:t>осіб</w:t>
            </w:r>
            <w:proofErr w:type="spellEnd"/>
          </w:p>
        </w:tc>
        <w:tc>
          <w:tcPr>
            <w:tcW w:w="1164" w:type="dxa"/>
            <w:tcBorders>
              <w:top w:val="nil"/>
              <w:left w:val="nil"/>
              <w:bottom w:val="single" w:sz="4" w:space="0" w:color="auto"/>
              <w:right w:val="single" w:sz="4" w:space="0" w:color="auto"/>
            </w:tcBorders>
            <w:shd w:val="clear" w:color="auto" w:fill="auto"/>
            <w:vAlign w:val="center"/>
            <w:hideMark/>
          </w:tcPr>
          <w:p w:rsidR="00E021FE" w:rsidRPr="000714B4" w:rsidRDefault="00E021FE" w:rsidP="000714B4">
            <w:pPr>
              <w:jc w:val="center"/>
              <w:rPr>
                <w:color w:val="000000"/>
                <w:sz w:val="18"/>
                <w:szCs w:val="18"/>
                <w:lang w:eastAsia="uk-UA"/>
              </w:rPr>
            </w:pPr>
            <w:r w:rsidRPr="000714B4">
              <w:rPr>
                <w:rFonts w:eastAsia="Calibri"/>
                <w:sz w:val="18"/>
                <w:szCs w:val="18"/>
              </w:rPr>
              <w:t>4 700,0</w:t>
            </w:r>
          </w:p>
        </w:tc>
      </w:tr>
      <w:tr w:rsidR="00E021FE" w:rsidRPr="00E95FB1" w:rsidTr="000714B4">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0714B4" w:rsidRDefault="00E021FE" w:rsidP="008D01F8">
            <w:pPr>
              <w:jc w:val="center"/>
              <w:rPr>
                <w:color w:val="000000"/>
                <w:sz w:val="18"/>
                <w:szCs w:val="18"/>
                <w:lang w:val="ru-RU" w:eastAsia="uk-UA"/>
              </w:rPr>
            </w:pPr>
            <w:r w:rsidRPr="000714B4">
              <w:rPr>
                <w:color w:val="000000"/>
                <w:sz w:val="18"/>
                <w:szCs w:val="18"/>
                <w:lang w:val="ru-RU" w:eastAsia="uk-UA"/>
              </w:rPr>
              <w:t>4</w:t>
            </w:r>
            <w:r>
              <w:rPr>
                <w:color w:val="000000"/>
                <w:sz w:val="18"/>
                <w:szCs w:val="18"/>
                <w:lang w:val="ru-RU" w:eastAsia="uk-UA"/>
              </w:rPr>
              <w:t>3</w:t>
            </w:r>
          </w:p>
        </w:tc>
        <w:tc>
          <w:tcPr>
            <w:tcW w:w="3049" w:type="dxa"/>
            <w:tcBorders>
              <w:top w:val="nil"/>
              <w:left w:val="nil"/>
              <w:bottom w:val="single" w:sz="4" w:space="0" w:color="auto"/>
              <w:right w:val="single" w:sz="4" w:space="0" w:color="auto"/>
            </w:tcBorders>
            <w:shd w:val="clear" w:color="auto" w:fill="auto"/>
            <w:vAlign w:val="center"/>
            <w:hideMark/>
          </w:tcPr>
          <w:p w:rsidR="00E021FE" w:rsidRPr="000714B4" w:rsidRDefault="00E021FE" w:rsidP="000714B4">
            <w:pPr>
              <w:jc w:val="center"/>
              <w:rPr>
                <w:rFonts w:eastAsia="Calibri"/>
                <w:bCs/>
                <w:color w:val="000000"/>
                <w:sz w:val="18"/>
                <w:szCs w:val="18"/>
              </w:rPr>
            </w:pPr>
            <w:r w:rsidRPr="000714B4">
              <w:rPr>
                <w:rFonts w:eastAsia="Calibri"/>
                <w:color w:val="000000"/>
                <w:sz w:val="18"/>
                <w:szCs w:val="18"/>
              </w:rPr>
              <w:t>Відновлення благоустрою території: улаштування ігрового та спортивного обладнання, облаштування асфальтових доріжок та озелен</w:t>
            </w:r>
            <w:r w:rsidR="00532BDB">
              <w:rPr>
                <w:rFonts w:eastAsia="Calibri"/>
                <w:color w:val="000000"/>
                <w:sz w:val="18"/>
                <w:szCs w:val="18"/>
              </w:rPr>
              <w:t>е</w:t>
            </w:r>
            <w:r w:rsidRPr="000714B4">
              <w:rPr>
                <w:rFonts w:eastAsia="Calibri"/>
                <w:color w:val="000000"/>
                <w:sz w:val="18"/>
                <w:szCs w:val="18"/>
              </w:rPr>
              <w:t>ння території  Ясел-садка  № 45 міста Сєвєродонецька Луганської області, смт Борівське вул. Колгоспна, буд.30</w:t>
            </w:r>
          </w:p>
        </w:tc>
        <w:tc>
          <w:tcPr>
            <w:tcW w:w="1736" w:type="dxa"/>
            <w:tcBorders>
              <w:top w:val="nil"/>
              <w:left w:val="nil"/>
              <w:bottom w:val="single" w:sz="4" w:space="0" w:color="auto"/>
              <w:right w:val="single" w:sz="4" w:space="0" w:color="auto"/>
            </w:tcBorders>
            <w:shd w:val="clear" w:color="auto" w:fill="auto"/>
            <w:vAlign w:val="center"/>
            <w:hideMark/>
          </w:tcPr>
          <w:p w:rsidR="00E021FE" w:rsidRPr="000714B4" w:rsidRDefault="00E021FE" w:rsidP="000714B4">
            <w:pPr>
              <w:jc w:val="center"/>
              <w:rPr>
                <w:color w:val="000000"/>
                <w:sz w:val="18"/>
                <w:szCs w:val="18"/>
                <w:lang w:eastAsia="uk-UA"/>
              </w:rPr>
            </w:pPr>
            <w:r w:rsidRPr="000714B4">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0714B4" w:rsidRDefault="00E021FE" w:rsidP="000714B4">
            <w:pPr>
              <w:jc w:val="center"/>
              <w:rPr>
                <w:color w:val="000000"/>
                <w:sz w:val="18"/>
                <w:szCs w:val="18"/>
                <w:lang w:eastAsia="uk-UA"/>
              </w:rPr>
            </w:pPr>
            <w:r w:rsidRPr="000714B4">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0714B4" w:rsidRDefault="00E021FE" w:rsidP="000714B4">
            <w:pPr>
              <w:jc w:val="center"/>
              <w:rPr>
                <w:color w:val="000000"/>
                <w:sz w:val="18"/>
                <w:szCs w:val="18"/>
                <w:lang w:eastAsia="uk-UA"/>
              </w:rPr>
            </w:pPr>
            <w:r w:rsidRPr="000714B4">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0714B4"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0714B4" w:rsidRDefault="00E021FE" w:rsidP="000714B4">
            <w:pPr>
              <w:jc w:val="center"/>
              <w:rPr>
                <w:color w:val="000000"/>
                <w:sz w:val="18"/>
                <w:szCs w:val="18"/>
                <w:lang w:eastAsia="uk-UA"/>
              </w:rPr>
            </w:pPr>
          </w:p>
        </w:tc>
        <w:tc>
          <w:tcPr>
            <w:tcW w:w="992" w:type="dxa"/>
            <w:tcBorders>
              <w:top w:val="nil"/>
              <w:left w:val="nil"/>
              <w:bottom w:val="single" w:sz="4" w:space="0" w:color="auto"/>
              <w:right w:val="single" w:sz="4" w:space="0" w:color="auto"/>
            </w:tcBorders>
            <w:shd w:val="clear" w:color="auto" w:fill="auto"/>
            <w:vAlign w:val="center"/>
            <w:hideMark/>
          </w:tcPr>
          <w:p w:rsidR="00E021FE" w:rsidRPr="000714B4"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0714B4" w:rsidRDefault="00E021FE" w:rsidP="000714B4">
            <w:pPr>
              <w:autoSpaceDE w:val="0"/>
              <w:autoSpaceDN w:val="0"/>
              <w:adjustRightInd w:val="0"/>
              <w:jc w:val="center"/>
              <w:rPr>
                <w:rFonts w:eastAsia="Calibri"/>
                <w:color w:val="000000"/>
                <w:sz w:val="18"/>
                <w:szCs w:val="18"/>
              </w:rPr>
            </w:pPr>
            <w:r w:rsidRPr="000714B4">
              <w:rPr>
                <w:rFonts w:eastAsia="Calibri"/>
                <w:sz w:val="18"/>
                <w:szCs w:val="18"/>
              </w:rPr>
              <w:t>350,0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0714B4" w:rsidRDefault="00E021FE" w:rsidP="000714B4">
            <w:pPr>
              <w:pStyle w:val="23"/>
              <w:jc w:val="center"/>
              <w:rPr>
                <w:rFonts w:ascii="Times New Roman" w:hAnsi="Times New Roman" w:cs="Times New Roman"/>
                <w:sz w:val="18"/>
                <w:szCs w:val="18"/>
              </w:rPr>
            </w:pPr>
            <w:proofErr w:type="spellStart"/>
            <w:r w:rsidRPr="000714B4">
              <w:rPr>
                <w:rFonts w:ascii="Times New Roman" w:hAnsi="Times New Roman" w:cs="Times New Roman"/>
                <w:bCs/>
                <w:sz w:val="18"/>
                <w:szCs w:val="18"/>
              </w:rPr>
              <w:t>Міжнародні</w:t>
            </w:r>
            <w:proofErr w:type="spellEnd"/>
            <w:r w:rsidRPr="000714B4">
              <w:rPr>
                <w:rFonts w:ascii="Times New Roman" w:hAnsi="Times New Roman" w:cs="Times New Roman"/>
                <w:bCs/>
                <w:sz w:val="18"/>
                <w:szCs w:val="18"/>
              </w:rPr>
              <w:t xml:space="preserve"> </w:t>
            </w:r>
            <w:proofErr w:type="spellStart"/>
            <w:r w:rsidRPr="000714B4">
              <w:rPr>
                <w:rFonts w:ascii="Times New Roman" w:hAnsi="Times New Roman" w:cs="Times New Roman"/>
                <w:bCs/>
                <w:sz w:val="18"/>
                <w:szCs w:val="18"/>
              </w:rPr>
              <w:t>інвестиції</w:t>
            </w:r>
            <w:proofErr w:type="spellEnd"/>
            <w:r w:rsidRPr="000714B4">
              <w:rPr>
                <w:rFonts w:ascii="Times New Roman" w:hAnsi="Times New Roman" w:cs="Times New Roman"/>
                <w:bCs/>
                <w:sz w:val="18"/>
                <w:szCs w:val="18"/>
              </w:rPr>
              <w:t xml:space="preserve">, </w:t>
            </w:r>
            <w:proofErr w:type="spellStart"/>
            <w:r w:rsidRPr="000714B4">
              <w:rPr>
                <w:rFonts w:ascii="Times New Roman" w:hAnsi="Times New Roman" w:cs="Times New Roman"/>
                <w:bCs/>
                <w:sz w:val="18"/>
                <w:szCs w:val="18"/>
              </w:rPr>
              <w:t>кошти</w:t>
            </w:r>
            <w:proofErr w:type="spellEnd"/>
            <w:r w:rsidRPr="000714B4">
              <w:rPr>
                <w:rFonts w:ascii="Times New Roman" w:hAnsi="Times New Roman" w:cs="Times New Roman"/>
                <w:bCs/>
                <w:sz w:val="18"/>
                <w:szCs w:val="18"/>
              </w:rPr>
              <w:t xml:space="preserve"> </w:t>
            </w:r>
            <w:proofErr w:type="spellStart"/>
            <w:r w:rsidRPr="000714B4">
              <w:rPr>
                <w:rFonts w:ascii="Times New Roman" w:hAnsi="Times New Roman" w:cs="Times New Roman"/>
                <w:bCs/>
                <w:sz w:val="18"/>
                <w:szCs w:val="18"/>
              </w:rPr>
              <w:t>приватних</w:t>
            </w:r>
            <w:proofErr w:type="spellEnd"/>
            <w:r w:rsidRPr="000714B4">
              <w:rPr>
                <w:rFonts w:ascii="Times New Roman" w:hAnsi="Times New Roman" w:cs="Times New Roman"/>
                <w:bCs/>
                <w:sz w:val="18"/>
                <w:szCs w:val="18"/>
              </w:rPr>
              <w:t xml:space="preserve"> </w:t>
            </w:r>
            <w:proofErr w:type="spellStart"/>
            <w:r w:rsidRPr="000714B4">
              <w:rPr>
                <w:rFonts w:ascii="Times New Roman" w:hAnsi="Times New Roman" w:cs="Times New Roman"/>
                <w:bCs/>
                <w:sz w:val="18"/>
                <w:szCs w:val="18"/>
              </w:rPr>
              <w:t>осіб</w:t>
            </w:r>
            <w:proofErr w:type="spellEnd"/>
          </w:p>
        </w:tc>
        <w:tc>
          <w:tcPr>
            <w:tcW w:w="1164" w:type="dxa"/>
            <w:tcBorders>
              <w:top w:val="nil"/>
              <w:left w:val="nil"/>
              <w:bottom w:val="single" w:sz="4" w:space="0" w:color="auto"/>
              <w:right w:val="single" w:sz="4" w:space="0" w:color="auto"/>
            </w:tcBorders>
            <w:shd w:val="clear" w:color="auto" w:fill="auto"/>
            <w:vAlign w:val="center"/>
            <w:hideMark/>
          </w:tcPr>
          <w:p w:rsidR="00E021FE" w:rsidRPr="000714B4" w:rsidRDefault="00E021FE" w:rsidP="000714B4">
            <w:pPr>
              <w:jc w:val="center"/>
              <w:rPr>
                <w:color w:val="000000"/>
                <w:sz w:val="18"/>
                <w:szCs w:val="18"/>
                <w:lang w:val="ru-RU" w:eastAsia="uk-UA"/>
              </w:rPr>
            </w:pPr>
            <w:r w:rsidRPr="000714B4">
              <w:rPr>
                <w:color w:val="000000"/>
                <w:sz w:val="18"/>
                <w:szCs w:val="18"/>
                <w:lang w:val="ru-RU" w:eastAsia="uk-UA"/>
              </w:rPr>
              <w:t>350,00</w:t>
            </w:r>
          </w:p>
        </w:tc>
      </w:tr>
      <w:tr w:rsidR="00E021FE" w:rsidRPr="00E95FB1" w:rsidTr="007E13A2">
        <w:trPr>
          <w:trHeight w:val="375"/>
        </w:trPr>
        <w:tc>
          <w:tcPr>
            <w:tcW w:w="35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Всього напрямом</w:t>
            </w:r>
          </w:p>
        </w:tc>
        <w:tc>
          <w:tcPr>
            <w:tcW w:w="1736"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х</w:t>
            </w:r>
          </w:p>
        </w:tc>
        <w:tc>
          <w:tcPr>
            <w:tcW w:w="1252"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х</w:t>
            </w:r>
          </w:p>
        </w:tc>
        <w:tc>
          <w:tcPr>
            <w:tcW w:w="1035"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х</w:t>
            </w:r>
          </w:p>
        </w:tc>
        <w:tc>
          <w:tcPr>
            <w:tcW w:w="1104"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х</w:t>
            </w:r>
          </w:p>
        </w:tc>
        <w:tc>
          <w:tcPr>
            <w:tcW w:w="1134"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52327E">
            <w:pPr>
              <w:jc w:val="center"/>
              <w:rPr>
                <w:b/>
                <w:color w:val="000000"/>
                <w:sz w:val="18"/>
                <w:szCs w:val="18"/>
                <w:lang w:val="ru-RU" w:eastAsia="uk-UA"/>
              </w:rPr>
            </w:pPr>
            <w:r w:rsidRPr="007E13A2">
              <w:rPr>
                <w:b/>
                <w:color w:val="000000"/>
                <w:sz w:val="18"/>
                <w:szCs w:val="18"/>
                <w:lang w:val="ru-RU" w:eastAsia="uk-UA"/>
              </w:rPr>
              <w:t>560064,</w:t>
            </w:r>
            <w:r w:rsidR="0052327E">
              <w:rPr>
                <w:b/>
                <w:color w:val="000000"/>
                <w:sz w:val="18"/>
                <w:szCs w:val="18"/>
                <w:lang w:val="ru-RU" w:eastAsia="uk-UA"/>
              </w:rPr>
              <w:t>9</w:t>
            </w:r>
          </w:p>
        </w:tc>
        <w:tc>
          <w:tcPr>
            <w:tcW w:w="992"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color w:val="000000"/>
                <w:sz w:val="18"/>
                <w:szCs w:val="18"/>
                <w:lang w:eastAsia="uk-UA"/>
              </w:rPr>
            </w:pPr>
            <w:r w:rsidRPr="007E13A2">
              <w:rPr>
                <w:b/>
                <w:color w:val="000000"/>
                <w:sz w:val="18"/>
                <w:szCs w:val="18"/>
                <w:lang w:val="ru-RU" w:eastAsia="uk-UA"/>
              </w:rPr>
              <w:t>456029,47</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color w:val="000000"/>
                <w:sz w:val="18"/>
                <w:szCs w:val="18"/>
                <w:lang w:eastAsia="uk-UA"/>
              </w:rPr>
            </w:pPr>
            <w:r w:rsidRPr="007E13A2">
              <w:rPr>
                <w:b/>
                <w:bCs/>
                <w:color w:val="000000"/>
                <w:sz w:val="18"/>
                <w:szCs w:val="18"/>
                <w:lang w:eastAsia="uk-UA"/>
              </w:rPr>
              <w:t>х</w:t>
            </w:r>
          </w:p>
        </w:tc>
        <w:tc>
          <w:tcPr>
            <w:tcW w:w="1164"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color w:val="000000"/>
                <w:sz w:val="18"/>
                <w:szCs w:val="18"/>
                <w:lang w:val="ru-RU" w:eastAsia="uk-UA"/>
              </w:rPr>
            </w:pPr>
            <w:r w:rsidRPr="007E13A2">
              <w:rPr>
                <w:b/>
                <w:color w:val="000000"/>
                <w:sz w:val="18"/>
                <w:szCs w:val="18"/>
                <w:lang w:val="ru-RU" w:eastAsia="uk-UA"/>
              </w:rPr>
              <w:t>1016094,36</w:t>
            </w:r>
          </w:p>
        </w:tc>
      </w:tr>
      <w:tr w:rsidR="00E021FE" w:rsidRPr="00E95FB1" w:rsidTr="001B3967">
        <w:trPr>
          <w:trHeight w:val="375"/>
        </w:trPr>
        <w:tc>
          <w:tcPr>
            <w:tcW w:w="14580" w:type="dxa"/>
            <w:gridSpan w:val="12"/>
            <w:tcBorders>
              <w:top w:val="single" w:sz="4" w:space="0" w:color="auto"/>
              <w:left w:val="single" w:sz="4" w:space="0" w:color="auto"/>
              <w:bottom w:val="single" w:sz="4" w:space="0" w:color="auto"/>
              <w:right w:val="single" w:sz="4" w:space="0" w:color="auto"/>
            </w:tcBorders>
            <w:shd w:val="clear" w:color="auto" w:fill="auto"/>
            <w:hideMark/>
          </w:tcPr>
          <w:p w:rsidR="00E021FE" w:rsidRPr="00E95FB1" w:rsidRDefault="00E021FE" w:rsidP="000714B4">
            <w:pPr>
              <w:jc w:val="center"/>
              <w:rPr>
                <w:color w:val="000000"/>
                <w:sz w:val="24"/>
                <w:szCs w:val="24"/>
                <w:lang w:eastAsia="uk-UA"/>
              </w:rPr>
            </w:pPr>
            <w:r w:rsidRPr="00E95FB1">
              <w:rPr>
                <w:color w:val="000000"/>
                <w:sz w:val="24"/>
                <w:szCs w:val="24"/>
                <w:lang w:eastAsia="uk-UA"/>
              </w:rPr>
              <w:lastRenderedPageBreak/>
              <w:t>2.2. Заклади загальної середньої освіти</w:t>
            </w:r>
          </w:p>
        </w:tc>
      </w:tr>
      <w:tr w:rsidR="00E021FE" w:rsidRPr="00E95FB1" w:rsidTr="0072566C">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72566C" w:rsidRDefault="00E021FE" w:rsidP="000714B4">
            <w:pPr>
              <w:jc w:val="center"/>
              <w:rPr>
                <w:color w:val="000000"/>
                <w:sz w:val="18"/>
                <w:szCs w:val="18"/>
                <w:lang w:eastAsia="uk-UA"/>
              </w:rPr>
            </w:pPr>
            <w:r w:rsidRPr="0072566C">
              <w:rPr>
                <w:color w:val="000000"/>
                <w:sz w:val="18"/>
                <w:szCs w:val="18"/>
                <w:lang w:eastAsia="uk-UA"/>
              </w:rPr>
              <w:t>1</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sz w:val="18"/>
                <w:szCs w:val="18"/>
              </w:rPr>
              <w:t>Відновлення діяльності гімназії № 4 міста Сєвєродонецька Луганської області, вулиця Гагаріна, будинок 90 "Школа нових можливостей"</w:t>
            </w:r>
          </w:p>
        </w:tc>
        <w:tc>
          <w:tcPr>
            <w:tcW w:w="1736" w:type="dxa"/>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jc w:val="center"/>
              <w:rPr>
                <w:color w:val="000000"/>
                <w:sz w:val="18"/>
                <w:szCs w:val="18"/>
                <w:lang w:eastAsia="uk-UA"/>
              </w:rPr>
            </w:pPr>
            <w:r w:rsidRPr="0072566C">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jc w:val="center"/>
              <w:rPr>
                <w:color w:val="000000"/>
                <w:sz w:val="18"/>
                <w:szCs w:val="18"/>
                <w:lang w:eastAsia="uk-UA"/>
              </w:rPr>
            </w:pPr>
            <w:r w:rsidRPr="0072566C">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jc w:val="center"/>
              <w:rPr>
                <w:color w:val="000000"/>
                <w:sz w:val="18"/>
                <w:szCs w:val="18"/>
                <w:lang w:eastAsia="uk-UA"/>
              </w:rPr>
            </w:pPr>
            <w:r w:rsidRPr="0072566C">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jc w:val="center"/>
              <w:rPr>
                <w:color w:val="000000"/>
                <w:sz w:val="18"/>
                <w:szCs w:val="18"/>
                <w:lang w:eastAsia="uk-UA"/>
              </w:rPr>
            </w:pPr>
            <w:r w:rsidRPr="0072566C">
              <w:rPr>
                <w:bCs/>
                <w:sz w:val="18"/>
                <w:szCs w:val="18"/>
              </w:rPr>
              <w:t>10000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pStyle w:val="a7"/>
              <w:ind w:left="0"/>
              <w:jc w:val="center"/>
              <w:rPr>
                <w:bCs/>
                <w:sz w:val="18"/>
                <w:szCs w:val="18"/>
              </w:rPr>
            </w:pPr>
            <w:r w:rsidRPr="0072566C">
              <w:rPr>
                <w:bCs/>
                <w:sz w:val="18"/>
                <w:szCs w:val="18"/>
              </w:rPr>
              <w:t>14000,4</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pStyle w:val="a7"/>
              <w:ind w:left="0"/>
              <w:jc w:val="center"/>
              <w:rPr>
                <w:bCs/>
                <w:sz w:val="18"/>
                <w:szCs w:val="18"/>
              </w:rPr>
            </w:pPr>
            <w:r w:rsidRPr="0072566C">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jc w:val="center"/>
              <w:rPr>
                <w:color w:val="000000"/>
                <w:sz w:val="18"/>
                <w:szCs w:val="18"/>
                <w:lang w:eastAsia="uk-UA"/>
              </w:rPr>
            </w:pPr>
            <w:r w:rsidRPr="0072566C">
              <w:rPr>
                <w:bCs/>
                <w:sz w:val="18"/>
                <w:szCs w:val="18"/>
              </w:rPr>
              <w:t>24000,4</w:t>
            </w:r>
          </w:p>
        </w:tc>
      </w:tr>
      <w:tr w:rsidR="00E021FE" w:rsidRPr="00E95FB1" w:rsidTr="0072566C">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72566C" w:rsidRDefault="00E021FE" w:rsidP="000714B4">
            <w:pPr>
              <w:jc w:val="center"/>
              <w:rPr>
                <w:color w:val="000000"/>
                <w:sz w:val="18"/>
                <w:szCs w:val="18"/>
                <w:lang w:eastAsia="uk-UA"/>
              </w:rPr>
            </w:pPr>
            <w:r w:rsidRPr="0072566C">
              <w:rPr>
                <w:color w:val="000000"/>
                <w:sz w:val="18"/>
                <w:szCs w:val="18"/>
                <w:lang w:eastAsia="uk-UA"/>
              </w:rPr>
              <w:t>2</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sz w:val="18"/>
                <w:szCs w:val="18"/>
              </w:rPr>
              <w:t>"Безпечна гімназія" - облаштування огорожі території  гімназії № 4 міста Сєвєродонецька Луганської області, вулиця Гагаріна, будинок 90</w:t>
            </w:r>
          </w:p>
        </w:tc>
        <w:tc>
          <w:tcPr>
            <w:tcW w:w="1736" w:type="dxa"/>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jc w:val="center"/>
              <w:rPr>
                <w:color w:val="000000"/>
                <w:sz w:val="18"/>
                <w:szCs w:val="18"/>
                <w:lang w:eastAsia="uk-UA"/>
              </w:rPr>
            </w:pPr>
            <w:r w:rsidRPr="0072566C">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jc w:val="center"/>
              <w:rPr>
                <w:color w:val="000000"/>
                <w:sz w:val="18"/>
                <w:szCs w:val="18"/>
                <w:lang w:eastAsia="uk-UA"/>
              </w:rPr>
            </w:pPr>
            <w:r w:rsidRPr="0072566C">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jc w:val="center"/>
              <w:rPr>
                <w:color w:val="000000"/>
                <w:sz w:val="18"/>
                <w:szCs w:val="18"/>
                <w:lang w:eastAsia="uk-UA"/>
              </w:rPr>
            </w:pPr>
            <w:r w:rsidRPr="0072566C">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jc w:val="center"/>
              <w:rPr>
                <w:color w:val="000000"/>
                <w:sz w:val="18"/>
                <w:szCs w:val="18"/>
                <w:lang w:eastAsia="uk-UA"/>
              </w:rPr>
            </w:pPr>
            <w:r w:rsidRPr="0072566C">
              <w:rPr>
                <w:bCs/>
                <w:sz w:val="18"/>
                <w:szCs w:val="18"/>
              </w:rPr>
              <w:t>2800,0</w:t>
            </w:r>
          </w:p>
        </w:tc>
        <w:tc>
          <w:tcPr>
            <w:tcW w:w="992" w:type="dxa"/>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pStyle w:val="a7"/>
              <w:ind w:left="0"/>
              <w:jc w:val="center"/>
              <w:rPr>
                <w:bCs/>
                <w:sz w:val="18"/>
                <w:szCs w:val="18"/>
              </w:rPr>
            </w:pPr>
            <w:r w:rsidRPr="0072566C">
              <w:rPr>
                <w:bCs/>
                <w:sz w:val="18"/>
                <w:szCs w:val="18"/>
              </w:rPr>
              <w:t>1200,4</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pStyle w:val="a7"/>
              <w:ind w:left="0"/>
              <w:jc w:val="center"/>
              <w:rPr>
                <w:bCs/>
                <w:sz w:val="18"/>
                <w:szCs w:val="18"/>
              </w:rPr>
            </w:pPr>
            <w:r w:rsidRPr="0072566C">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jc w:val="center"/>
              <w:rPr>
                <w:color w:val="000000"/>
                <w:sz w:val="18"/>
                <w:szCs w:val="18"/>
                <w:lang w:eastAsia="uk-UA"/>
              </w:rPr>
            </w:pPr>
            <w:r w:rsidRPr="0072566C">
              <w:rPr>
                <w:color w:val="000000"/>
                <w:sz w:val="18"/>
                <w:szCs w:val="18"/>
                <w:lang w:eastAsia="uk-UA"/>
              </w:rPr>
              <w:t>4000,4</w:t>
            </w:r>
          </w:p>
        </w:tc>
      </w:tr>
      <w:tr w:rsidR="00E021FE" w:rsidRPr="00E95FB1" w:rsidTr="0072566C">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72566C" w:rsidRDefault="00E021FE" w:rsidP="000714B4">
            <w:pPr>
              <w:jc w:val="center"/>
              <w:rPr>
                <w:color w:val="000000"/>
                <w:sz w:val="18"/>
                <w:szCs w:val="18"/>
                <w:lang w:eastAsia="uk-UA"/>
              </w:rPr>
            </w:pPr>
            <w:r w:rsidRPr="0072566C">
              <w:rPr>
                <w:color w:val="000000"/>
                <w:sz w:val="18"/>
                <w:szCs w:val="18"/>
                <w:lang w:eastAsia="uk-UA"/>
              </w:rPr>
              <w:t>3</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sz w:val="18"/>
                <w:szCs w:val="18"/>
              </w:rPr>
              <w:t>"Безпечна школа" - облаштування укриття на території  гімназії № 4 міста Сєвєродонецька Луганської області, вулиця Гагаріна, будинок 90</w:t>
            </w:r>
          </w:p>
        </w:tc>
        <w:tc>
          <w:tcPr>
            <w:tcW w:w="1736" w:type="dxa"/>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jc w:val="center"/>
              <w:rPr>
                <w:color w:val="000000"/>
                <w:sz w:val="18"/>
                <w:szCs w:val="18"/>
                <w:lang w:eastAsia="uk-UA"/>
              </w:rPr>
            </w:pPr>
            <w:r w:rsidRPr="0072566C">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jc w:val="center"/>
              <w:rPr>
                <w:color w:val="000000"/>
                <w:sz w:val="18"/>
                <w:szCs w:val="18"/>
                <w:lang w:eastAsia="uk-UA"/>
              </w:rPr>
            </w:pPr>
            <w:r w:rsidRPr="0072566C">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jc w:val="center"/>
              <w:rPr>
                <w:color w:val="000000"/>
                <w:sz w:val="18"/>
                <w:szCs w:val="18"/>
                <w:lang w:eastAsia="uk-UA"/>
              </w:rPr>
            </w:pPr>
            <w:r w:rsidRPr="0072566C">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jc w:val="center"/>
              <w:rPr>
                <w:color w:val="000000"/>
                <w:sz w:val="18"/>
                <w:szCs w:val="18"/>
                <w:lang w:eastAsia="uk-UA"/>
              </w:rPr>
            </w:pPr>
            <w:r w:rsidRPr="0072566C">
              <w:rPr>
                <w:bCs/>
                <w:sz w:val="18"/>
                <w:szCs w:val="18"/>
              </w:rPr>
              <w:t>2100,0</w:t>
            </w:r>
          </w:p>
        </w:tc>
        <w:tc>
          <w:tcPr>
            <w:tcW w:w="992" w:type="dxa"/>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pStyle w:val="a7"/>
              <w:ind w:left="0"/>
              <w:jc w:val="center"/>
              <w:rPr>
                <w:b/>
                <w:bCs/>
                <w:sz w:val="18"/>
                <w:szCs w:val="18"/>
              </w:rPr>
            </w:pPr>
            <w:r w:rsidRPr="0072566C">
              <w:rPr>
                <w:sz w:val="18"/>
                <w:szCs w:val="18"/>
              </w:rPr>
              <w:t>900,5</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pStyle w:val="a7"/>
              <w:ind w:left="0"/>
              <w:jc w:val="center"/>
              <w:rPr>
                <w:bCs/>
                <w:sz w:val="18"/>
                <w:szCs w:val="18"/>
              </w:rPr>
            </w:pPr>
            <w:r w:rsidRPr="0072566C">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jc w:val="center"/>
              <w:rPr>
                <w:color w:val="000000"/>
                <w:sz w:val="18"/>
                <w:szCs w:val="18"/>
                <w:lang w:eastAsia="uk-UA"/>
              </w:rPr>
            </w:pPr>
            <w:r w:rsidRPr="0072566C">
              <w:rPr>
                <w:bCs/>
                <w:sz w:val="18"/>
                <w:szCs w:val="18"/>
                <w:lang w:val="en-US"/>
              </w:rPr>
              <w:t>3000,5</w:t>
            </w:r>
          </w:p>
        </w:tc>
      </w:tr>
      <w:tr w:rsidR="00E021FE" w:rsidRPr="00E95FB1" w:rsidTr="00A60D75">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A60D75" w:rsidRDefault="00E021FE" w:rsidP="000714B4">
            <w:pPr>
              <w:jc w:val="center"/>
              <w:rPr>
                <w:color w:val="000000"/>
                <w:sz w:val="18"/>
                <w:szCs w:val="18"/>
                <w:lang w:eastAsia="uk-UA"/>
              </w:rPr>
            </w:pPr>
            <w:r w:rsidRPr="00A60D75">
              <w:rPr>
                <w:color w:val="000000"/>
                <w:sz w:val="18"/>
                <w:szCs w:val="18"/>
                <w:lang w:eastAsia="uk-UA"/>
              </w:rPr>
              <w:t>4</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sz w:val="18"/>
                <w:szCs w:val="18"/>
              </w:rPr>
              <w:t>"Поле майбутніх чемпіонів"  гімназії № 4 міста Сєвєродонецька Луганської області, вулиця Гагаріна, будинок 90</w:t>
            </w:r>
          </w:p>
        </w:tc>
        <w:tc>
          <w:tcPr>
            <w:tcW w:w="1736" w:type="dxa"/>
            <w:tcBorders>
              <w:top w:val="nil"/>
              <w:left w:val="nil"/>
              <w:bottom w:val="single" w:sz="4" w:space="0" w:color="auto"/>
              <w:right w:val="single" w:sz="4" w:space="0" w:color="auto"/>
            </w:tcBorders>
            <w:shd w:val="clear" w:color="auto" w:fill="auto"/>
            <w:vAlign w:val="center"/>
            <w:hideMark/>
          </w:tcPr>
          <w:p w:rsidR="00E021FE" w:rsidRPr="00A60D75" w:rsidRDefault="00E021FE" w:rsidP="000714B4">
            <w:pPr>
              <w:jc w:val="center"/>
              <w:rPr>
                <w:color w:val="000000"/>
                <w:sz w:val="18"/>
                <w:szCs w:val="18"/>
                <w:lang w:eastAsia="uk-UA"/>
              </w:rPr>
            </w:pPr>
            <w:r w:rsidRPr="00A60D75">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A60D75" w:rsidRDefault="00E021FE" w:rsidP="000714B4">
            <w:pPr>
              <w:jc w:val="center"/>
              <w:rPr>
                <w:color w:val="000000"/>
                <w:sz w:val="18"/>
                <w:szCs w:val="18"/>
                <w:lang w:eastAsia="uk-UA"/>
              </w:rPr>
            </w:pPr>
            <w:r w:rsidRPr="00A60D75">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A60D75" w:rsidRDefault="00E021FE" w:rsidP="000714B4">
            <w:pPr>
              <w:jc w:val="center"/>
              <w:rPr>
                <w:color w:val="000000"/>
                <w:sz w:val="18"/>
                <w:szCs w:val="18"/>
                <w:lang w:eastAsia="uk-UA"/>
              </w:rPr>
            </w:pPr>
            <w:r w:rsidRPr="00A60D75">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A60D75"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A60D75" w:rsidRDefault="00E021FE" w:rsidP="000714B4">
            <w:pPr>
              <w:jc w:val="center"/>
              <w:rPr>
                <w:color w:val="000000"/>
                <w:sz w:val="18"/>
                <w:szCs w:val="18"/>
                <w:lang w:eastAsia="uk-UA"/>
              </w:rPr>
            </w:pPr>
            <w:r w:rsidRPr="00A60D75">
              <w:rPr>
                <w:bCs/>
                <w:sz w:val="18"/>
                <w:szCs w:val="18"/>
              </w:rPr>
              <w:t>3500,0</w:t>
            </w:r>
          </w:p>
        </w:tc>
        <w:tc>
          <w:tcPr>
            <w:tcW w:w="992" w:type="dxa"/>
            <w:tcBorders>
              <w:top w:val="nil"/>
              <w:left w:val="nil"/>
              <w:bottom w:val="single" w:sz="4" w:space="0" w:color="auto"/>
              <w:right w:val="single" w:sz="4" w:space="0" w:color="auto"/>
            </w:tcBorders>
            <w:shd w:val="clear" w:color="auto" w:fill="auto"/>
            <w:vAlign w:val="center"/>
            <w:hideMark/>
          </w:tcPr>
          <w:p w:rsidR="00E021FE" w:rsidRPr="00A60D75"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A60D75" w:rsidRDefault="00E021FE" w:rsidP="000714B4">
            <w:pPr>
              <w:pStyle w:val="a7"/>
              <w:ind w:left="0"/>
              <w:jc w:val="center"/>
              <w:rPr>
                <w:b/>
                <w:bCs/>
                <w:sz w:val="18"/>
                <w:szCs w:val="18"/>
              </w:rPr>
            </w:pPr>
            <w:r w:rsidRPr="00A60D75">
              <w:rPr>
                <w:sz w:val="18"/>
                <w:szCs w:val="18"/>
              </w:rPr>
              <w:t>1500,5</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A60D75" w:rsidRDefault="00E021FE" w:rsidP="000714B4">
            <w:pPr>
              <w:pStyle w:val="a7"/>
              <w:ind w:left="0"/>
              <w:jc w:val="center"/>
              <w:rPr>
                <w:bCs/>
                <w:sz w:val="18"/>
                <w:szCs w:val="18"/>
              </w:rPr>
            </w:pPr>
            <w:r w:rsidRPr="00A60D75">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A60D75" w:rsidRDefault="00E021FE" w:rsidP="000714B4">
            <w:pPr>
              <w:jc w:val="center"/>
              <w:rPr>
                <w:color w:val="000000"/>
                <w:sz w:val="18"/>
                <w:szCs w:val="18"/>
                <w:lang w:eastAsia="uk-UA"/>
              </w:rPr>
            </w:pPr>
            <w:r w:rsidRPr="00A60D75">
              <w:rPr>
                <w:sz w:val="18"/>
                <w:szCs w:val="18"/>
              </w:rPr>
              <w:t>5000,5</w:t>
            </w:r>
          </w:p>
        </w:tc>
      </w:tr>
      <w:tr w:rsidR="00E021FE" w:rsidRPr="00E95FB1" w:rsidTr="00A60D75">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A60D75" w:rsidRDefault="00E021FE" w:rsidP="000714B4">
            <w:pPr>
              <w:jc w:val="center"/>
              <w:rPr>
                <w:color w:val="000000"/>
                <w:sz w:val="18"/>
                <w:szCs w:val="18"/>
                <w:lang w:eastAsia="uk-UA"/>
              </w:rPr>
            </w:pPr>
            <w:r w:rsidRPr="00A60D75">
              <w:rPr>
                <w:color w:val="000000"/>
                <w:sz w:val="18"/>
                <w:szCs w:val="18"/>
                <w:lang w:eastAsia="uk-UA"/>
              </w:rPr>
              <w:t>5</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rFonts w:eastAsia="san-serif"/>
                <w:sz w:val="18"/>
                <w:szCs w:val="18"/>
              </w:rPr>
              <w:t xml:space="preserve"> «Встановлення системи опалення (ІТП) в Гімназії № 4 міста Сєвєродонецька Луганської області” вулиця Гагаріна, будинок 90</w:t>
            </w:r>
          </w:p>
        </w:tc>
        <w:tc>
          <w:tcPr>
            <w:tcW w:w="1736" w:type="dxa"/>
            <w:tcBorders>
              <w:top w:val="nil"/>
              <w:left w:val="nil"/>
              <w:bottom w:val="single" w:sz="4" w:space="0" w:color="auto"/>
              <w:right w:val="single" w:sz="4" w:space="0" w:color="auto"/>
            </w:tcBorders>
            <w:shd w:val="clear" w:color="auto" w:fill="auto"/>
            <w:vAlign w:val="center"/>
            <w:hideMark/>
          </w:tcPr>
          <w:p w:rsidR="00E021FE" w:rsidRPr="00A60D75" w:rsidRDefault="00E021FE" w:rsidP="000714B4">
            <w:pPr>
              <w:jc w:val="center"/>
              <w:rPr>
                <w:color w:val="000000"/>
                <w:sz w:val="18"/>
                <w:szCs w:val="18"/>
                <w:lang w:eastAsia="uk-UA"/>
              </w:rPr>
            </w:pPr>
            <w:r w:rsidRPr="00A60D75">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A60D75" w:rsidRDefault="00E021FE" w:rsidP="000714B4">
            <w:pPr>
              <w:jc w:val="center"/>
              <w:rPr>
                <w:color w:val="000000"/>
                <w:sz w:val="18"/>
                <w:szCs w:val="18"/>
                <w:lang w:eastAsia="uk-UA"/>
              </w:rPr>
            </w:pPr>
            <w:r w:rsidRPr="00A60D75">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A60D75" w:rsidRDefault="00E021FE" w:rsidP="000714B4">
            <w:pPr>
              <w:jc w:val="center"/>
              <w:rPr>
                <w:color w:val="000000"/>
                <w:sz w:val="18"/>
                <w:szCs w:val="18"/>
                <w:lang w:eastAsia="uk-UA"/>
              </w:rPr>
            </w:pPr>
            <w:r w:rsidRPr="00A60D75">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A60D75"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A60D75" w:rsidRDefault="00E021FE" w:rsidP="000714B4">
            <w:pPr>
              <w:jc w:val="center"/>
              <w:rPr>
                <w:color w:val="000000"/>
                <w:sz w:val="18"/>
                <w:szCs w:val="18"/>
                <w:lang w:eastAsia="uk-UA"/>
              </w:rPr>
            </w:pPr>
            <w:r w:rsidRPr="00A60D75">
              <w:rPr>
                <w:bCs/>
                <w:sz w:val="18"/>
                <w:szCs w:val="18"/>
              </w:rPr>
              <w:t>700,0</w:t>
            </w:r>
          </w:p>
        </w:tc>
        <w:tc>
          <w:tcPr>
            <w:tcW w:w="992" w:type="dxa"/>
            <w:tcBorders>
              <w:top w:val="nil"/>
              <w:left w:val="nil"/>
              <w:bottom w:val="single" w:sz="4" w:space="0" w:color="auto"/>
              <w:right w:val="single" w:sz="4" w:space="0" w:color="auto"/>
            </w:tcBorders>
            <w:shd w:val="clear" w:color="auto" w:fill="auto"/>
            <w:vAlign w:val="center"/>
            <w:hideMark/>
          </w:tcPr>
          <w:p w:rsidR="00E021FE" w:rsidRPr="00A60D75"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A60D75" w:rsidRDefault="00E021FE" w:rsidP="000714B4">
            <w:pPr>
              <w:pStyle w:val="a7"/>
              <w:ind w:left="0"/>
              <w:jc w:val="center"/>
              <w:rPr>
                <w:b/>
                <w:bCs/>
                <w:sz w:val="18"/>
                <w:szCs w:val="18"/>
              </w:rPr>
            </w:pPr>
            <w:r w:rsidRPr="00A60D75">
              <w:rPr>
                <w:sz w:val="18"/>
                <w:szCs w:val="18"/>
              </w:rPr>
              <w:t>300,5</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A60D75" w:rsidRDefault="00E021FE" w:rsidP="000714B4">
            <w:pPr>
              <w:pStyle w:val="a7"/>
              <w:ind w:left="0"/>
              <w:jc w:val="center"/>
              <w:rPr>
                <w:bCs/>
                <w:sz w:val="18"/>
                <w:szCs w:val="18"/>
              </w:rPr>
            </w:pPr>
            <w:r w:rsidRPr="00A60D75">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A60D75" w:rsidRDefault="00E021FE" w:rsidP="000714B4">
            <w:pPr>
              <w:jc w:val="center"/>
              <w:rPr>
                <w:color w:val="000000"/>
                <w:sz w:val="18"/>
                <w:szCs w:val="18"/>
                <w:lang w:eastAsia="uk-UA"/>
              </w:rPr>
            </w:pPr>
            <w:r w:rsidRPr="00A60D75">
              <w:rPr>
                <w:sz w:val="18"/>
                <w:szCs w:val="18"/>
              </w:rPr>
              <w:t>1000,5</w:t>
            </w:r>
          </w:p>
        </w:tc>
      </w:tr>
      <w:tr w:rsidR="00E021FE" w:rsidRPr="00E95FB1" w:rsidTr="00252F3B">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252F3B" w:rsidRDefault="00E021FE" w:rsidP="000714B4">
            <w:pPr>
              <w:jc w:val="center"/>
              <w:rPr>
                <w:color w:val="000000"/>
                <w:sz w:val="18"/>
                <w:szCs w:val="18"/>
                <w:lang w:eastAsia="uk-UA"/>
              </w:rPr>
            </w:pPr>
            <w:r w:rsidRPr="00252F3B">
              <w:rPr>
                <w:color w:val="000000"/>
                <w:sz w:val="18"/>
                <w:szCs w:val="18"/>
                <w:lang w:eastAsia="uk-UA"/>
              </w:rPr>
              <w:t>6</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sz w:val="18"/>
                <w:szCs w:val="18"/>
              </w:rPr>
              <w:t xml:space="preserve">Капітальне відновлення будівлі майстерні Гімназії №5 міста Сєвєродонецька Луганської області, розташованої за </w:t>
            </w:r>
            <w:proofErr w:type="spellStart"/>
            <w:r w:rsidRPr="00F600D3">
              <w:rPr>
                <w:sz w:val="18"/>
                <w:szCs w:val="18"/>
              </w:rPr>
              <w:t>адресою</w:t>
            </w:r>
            <w:proofErr w:type="spellEnd"/>
            <w:r w:rsidRPr="00F600D3">
              <w:rPr>
                <w:sz w:val="18"/>
                <w:szCs w:val="18"/>
              </w:rPr>
              <w:t xml:space="preserve">: 93400, Луганська обл., Сєвєродонецький р-н,  м. Сєвєродонецьк, </w:t>
            </w:r>
            <w:proofErr w:type="spellStart"/>
            <w:r w:rsidRPr="00F600D3">
              <w:rPr>
                <w:sz w:val="18"/>
                <w:szCs w:val="18"/>
              </w:rPr>
              <w:t>пр-кт</w:t>
            </w:r>
            <w:proofErr w:type="spellEnd"/>
            <w:r w:rsidRPr="00F600D3">
              <w:rPr>
                <w:sz w:val="18"/>
                <w:szCs w:val="18"/>
              </w:rPr>
              <w:t xml:space="preserve"> Хіміків, 18</w:t>
            </w:r>
          </w:p>
        </w:tc>
        <w:tc>
          <w:tcPr>
            <w:tcW w:w="1736" w:type="dxa"/>
            <w:tcBorders>
              <w:top w:val="nil"/>
              <w:left w:val="nil"/>
              <w:bottom w:val="single" w:sz="4" w:space="0" w:color="auto"/>
              <w:right w:val="single" w:sz="4" w:space="0" w:color="auto"/>
            </w:tcBorders>
            <w:shd w:val="clear" w:color="auto" w:fill="auto"/>
            <w:vAlign w:val="center"/>
            <w:hideMark/>
          </w:tcPr>
          <w:p w:rsidR="00E021FE" w:rsidRPr="00252F3B" w:rsidRDefault="00E021FE" w:rsidP="000714B4">
            <w:pPr>
              <w:jc w:val="center"/>
              <w:rPr>
                <w:color w:val="000000"/>
                <w:sz w:val="18"/>
                <w:szCs w:val="18"/>
                <w:lang w:eastAsia="uk-UA"/>
              </w:rPr>
            </w:pPr>
            <w:r w:rsidRPr="00252F3B">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252F3B" w:rsidRDefault="00E021FE" w:rsidP="000714B4">
            <w:pPr>
              <w:jc w:val="center"/>
              <w:rPr>
                <w:color w:val="000000"/>
                <w:sz w:val="18"/>
                <w:szCs w:val="18"/>
                <w:lang w:eastAsia="uk-UA"/>
              </w:rPr>
            </w:pPr>
            <w:r w:rsidRPr="00252F3B">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252F3B" w:rsidRDefault="00E021FE" w:rsidP="000714B4">
            <w:pPr>
              <w:jc w:val="center"/>
              <w:rPr>
                <w:color w:val="000000"/>
                <w:sz w:val="18"/>
                <w:szCs w:val="18"/>
                <w:lang w:eastAsia="uk-UA"/>
              </w:rPr>
            </w:pPr>
            <w:r w:rsidRPr="00252F3B">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252F3B"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252F3B" w:rsidRDefault="00E021FE" w:rsidP="000714B4">
            <w:pPr>
              <w:jc w:val="center"/>
              <w:rPr>
                <w:color w:val="000000"/>
                <w:sz w:val="18"/>
                <w:szCs w:val="18"/>
                <w:lang w:eastAsia="uk-UA"/>
              </w:rPr>
            </w:pPr>
            <w:r w:rsidRPr="00252F3B">
              <w:rPr>
                <w:color w:val="000000"/>
                <w:sz w:val="18"/>
                <w:szCs w:val="18"/>
              </w:rPr>
              <w:t>25060,0</w:t>
            </w:r>
          </w:p>
        </w:tc>
        <w:tc>
          <w:tcPr>
            <w:tcW w:w="992" w:type="dxa"/>
            <w:tcBorders>
              <w:top w:val="nil"/>
              <w:left w:val="nil"/>
              <w:bottom w:val="single" w:sz="4" w:space="0" w:color="auto"/>
              <w:right w:val="single" w:sz="4" w:space="0" w:color="auto"/>
            </w:tcBorders>
            <w:shd w:val="clear" w:color="auto" w:fill="auto"/>
            <w:vAlign w:val="center"/>
            <w:hideMark/>
          </w:tcPr>
          <w:p w:rsidR="00E021FE" w:rsidRPr="00252F3B"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252F3B" w:rsidRDefault="00E021FE" w:rsidP="000714B4">
            <w:pPr>
              <w:pBdr>
                <w:top w:val="nil"/>
                <w:left w:val="nil"/>
                <w:bottom w:val="nil"/>
                <w:right w:val="nil"/>
                <w:between w:val="nil"/>
              </w:pBdr>
              <w:jc w:val="center"/>
              <w:rPr>
                <w:sz w:val="18"/>
                <w:szCs w:val="18"/>
              </w:rPr>
            </w:pPr>
            <w:r w:rsidRPr="00252F3B">
              <w:rPr>
                <w:sz w:val="18"/>
                <w:szCs w:val="18"/>
              </w:rPr>
              <w:t>10740,0</w:t>
            </w:r>
          </w:p>
          <w:p w:rsidR="00E021FE" w:rsidRPr="00252F3B" w:rsidRDefault="00E021FE" w:rsidP="000714B4">
            <w:pPr>
              <w:pBdr>
                <w:top w:val="nil"/>
                <w:left w:val="nil"/>
                <w:bottom w:val="nil"/>
                <w:right w:val="nil"/>
                <w:between w:val="nil"/>
              </w:pBdr>
              <w:jc w:val="center"/>
              <w:rPr>
                <w:b/>
                <w:color w:val="000000"/>
                <w:sz w:val="18"/>
                <w:szCs w:val="18"/>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252F3B" w:rsidRDefault="00E021FE" w:rsidP="000714B4">
            <w:pPr>
              <w:pBdr>
                <w:top w:val="nil"/>
                <w:left w:val="nil"/>
                <w:bottom w:val="nil"/>
                <w:right w:val="nil"/>
                <w:between w:val="nil"/>
              </w:pBdr>
              <w:jc w:val="center"/>
              <w:rPr>
                <w:color w:val="000000"/>
                <w:sz w:val="18"/>
                <w:szCs w:val="18"/>
              </w:rPr>
            </w:pPr>
            <w:r w:rsidRPr="00252F3B">
              <w:rPr>
                <w:color w:val="000000"/>
                <w:sz w:val="18"/>
                <w:szCs w:val="18"/>
              </w:rPr>
              <w:t>Міжнародні інвестиції, кошти приватних осіб</w:t>
            </w:r>
          </w:p>
          <w:p w:rsidR="00E021FE" w:rsidRPr="00252F3B" w:rsidRDefault="00E021FE" w:rsidP="000714B4">
            <w:pPr>
              <w:pBdr>
                <w:top w:val="nil"/>
                <w:left w:val="nil"/>
                <w:bottom w:val="nil"/>
                <w:right w:val="nil"/>
                <w:between w:val="nil"/>
              </w:pBdr>
              <w:jc w:val="center"/>
              <w:rPr>
                <w:sz w:val="18"/>
                <w:szCs w:val="18"/>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252F3B" w:rsidRDefault="00E021FE" w:rsidP="000714B4">
            <w:pPr>
              <w:jc w:val="center"/>
              <w:rPr>
                <w:sz w:val="18"/>
                <w:szCs w:val="18"/>
              </w:rPr>
            </w:pPr>
            <w:r w:rsidRPr="00252F3B">
              <w:rPr>
                <w:sz w:val="18"/>
                <w:szCs w:val="18"/>
              </w:rPr>
              <w:t>35 800,00</w:t>
            </w:r>
          </w:p>
        </w:tc>
      </w:tr>
      <w:tr w:rsidR="00E021FE" w:rsidRPr="00E95FB1" w:rsidTr="00252F3B">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252F3B" w:rsidRDefault="00E021FE" w:rsidP="000714B4">
            <w:pPr>
              <w:jc w:val="center"/>
              <w:rPr>
                <w:color w:val="000000"/>
                <w:sz w:val="18"/>
                <w:szCs w:val="18"/>
                <w:lang w:eastAsia="uk-UA"/>
              </w:rPr>
            </w:pPr>
            <w:r w:rsidRPr="00252F3B">
              <w:rPr>
                <w:color w:val="000000"/>
                <w:sz w:val="18"/>
                <w:szCs w:val="18"/>
                <w:lang w:eastAsia="uk-UA"/>
              </w:rPr>
              <w:t>7</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color w:val="1F1F1F"/>
                <w:sz w:val="18"/>
                <w:szCs w:val="18"/>
              </w:rPr>
              <w:t xml:space="preserve">Капітальне відновлення будівлі закладу освіти Гімназії №5 міста Сєвєродонецька Луганської області, розташованої за </w:t>
            </w:r>
            <w:proofErr w:type="spellStart"/>
            <w:r w:rsidRPr="00F600D3">
              <w:rPr>
                <w:color w:val="1F1F1F"/>
                <w:sz w:val="18"/>
                <w:szCs w:val="18"/>
              </w:rPr>
              <w:t>адресою</w:t>
            </w:r>
            <w:proofErr w:type="spellEnd"/>
            <w:r w:rsidRPr="00F600D3">
              <w:rPr>
                <w:color w:val="1F1F1F"/>
                <w:sz w:val="18"/>
                <w:szCs w:val="18"/>
              </w:rPr>
              <w:t xml:space="preserve">: 93400, Луганська обл., Сєвєродонецький р-н, м. Сєвєродонецьк, </w:t>
            </w:r>
            <w:proofErr w:type="spellStart"/>
            <w:r w:rsidRPr="00F600D3">
              <w:rPr>
                <w:color w:val="1F1F1F"/>
                <w:sz w:val="18"/>
                <w:szCs w:val="18"/>
              </w:rPr>
              <w:t>пр-кт</w:t>
            </w:r>
            <w:proofErr w:type="spellEnd"/>
            <w:r w:rsidRPr="00F600D3">
              <w:rPr>
                <w:color w:val="1F1F1F"/>
                <w:sz w:val="18"/>
                <w:szCs w:val="18"/>
              </w:rPr>
              <w:t xml:space="preserve"> Хіміків, 18</w:t>
            </w:r>
          </w:p>
        </w:tc>
        <w:tc>
          <w:tcPr>
            <w:tcW w:w="1736" w:type="dxa"/>
            <w:tcBorders>
              <w:top w:val="nil"/>
              <w:left w:val="nil"/>
              <w:bottom w:val="single" w:sz="4" w:space="0" w:color="auto"/>
              <w:right w:val="single" w:sz="4" w:space="0" w:color="auto"/>
            </w:tcBorders>
            <w:shd w:val="clear" w:color="auto" w:fill="auto"/>
            <w:vAlign w:val="center"/>
            <w:hideMark/>
          </w:tcPr>
          <w:p w:rsidR="00E021FE" w:rsidRPr="00252F3B" w:rsidRDefault="00E021FE" w:rsidP="000714B4">
            <w:pPr>
              <w:jc w:val="center"/>
              <w:rPr>
                <w:color w:val="000000"/>
                <w:sz w:val="18"/>
                <w:szCs w:val="18"/>
                <w:lang w:eastAsia="uk-UA"/>
              </w:rPr>
            </w:pPr>
            <w:r w:rsidRPr="00252F3B">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252F3B" w:rsidRDefault="00E021FE" w:rsidP="000714B4">
            <w:pPr>
              <w:jc w:val="center"/>
              <w:rPr>
                <w:color w:val="000000"/>
                <w:sz w:val="18"/>
                <w:szCs w:val="18"/>
                <w:lang w:eastAsia="uk-UA"/>
              </w:rPr>
            </w:pPr>
            <w:r w:rsidRPr="00252F3B">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252F3B" w:rsidRDefault="00E021FE" w:rsidP="000714B4">
            <w:pPr>
              <w:jc w:val="center"/>
              <w:rPr>
                <w:color w:val="000000"/>
                <w:sz w:val="18"/>
                <w:szCs w:val="18"/>
                <w:lang w:eastAsia="uk-UA"/>
              </w:rPr>
            </w:pPr>
            <w:r w:rsidRPr="00252F3B">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252F3B"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252F3B" w:rsidRDefault="00E021FE" w:rsidP="000714B4">
            <w:pPr>
              <w:jc w:val="center"/>
              <w:rPr>
                <w:color w:val="000000"/>
                <w:sz w:val="18"/>
                <w:szCs w:val="18"/>
                <w:lang w:eastAsia="uk-UA"/>
              </w:rPr>
            </w:pPr>
            <w:r w:rsidRPr="00252F3B">
              <w:rPr>
                <w:sz w:val="18"/>
                <w:szCs w:val="18"/>
              </w:rPr>
              <w:t>125545,0</w:t>
            </w:r>
          </w:p>
        </w:tc>
        <w:tc>
          <w:tcPr>
            <w:tcW w:w="992" w:type="dxa"/>
            <w:tcBorders>
              <w:top w:val="nil"/>
              <w:left w:val="nil"/>
              <w:bottom w:val="single" w:sz="4" w:space="0" w:color="auto"/>
              <w:right w:val="single" w:sz="4" w:space="0" w:color="auto"/>
            </w:tcBorders>
            <w:shd w:val="clear" w:color="auto" w:fill="auto"/>
            <w:vAlign w:val="center"/>
            <w:hideMark/>
          </w:tcPr>
          <w:p w:rsidR="00E021FE" w:rsidRPr="00252F3B"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252F3B" w:rsidRDefault="00E021FE" w:rsidP="000714B4">
            <w:pPr>
              <w:pBdr>
                <w:top w:val="nil"/>
                <w:left w:val="nil"/>
                <w:bottom w:val="nil"/>
                <w:right w:val="nil"/>
                <w:between w:val="nil"/>
              </w:pBdr>
              <w:jc w:val="center"/>
              <w:rPr>
                <w:b/>
                <w:color w:val="000000"/>
                <w:sz w:val="18"/>
                <w:szCs w:val="18"/>
              </w:rPr>
            </w:pPr>
            <w:r w:rsidRPr="00252F3B">
              <w:rPr>
                <w:sz w:val="18"/>
                <w:szCs w:val="18"/>
              </w:rPr>
              <w:t>53805,0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252F3B" w:rsidRDefault="00E021FE" w:rsidP="000714B4">
            <w:pPr>
              <w:pBdr>
                <w:top w:val="nil"/>
                <w:left w:val="nil"/>
                <w:bottom w:val="nil"/>
                <w:right w:val="nil"/>
                <w:between w:val="nil"/>
              </w:pBdr>
              <w:jc w:val="center"/>
              <w:rPr>
                <w:color w:val="000000"/>
                <w:sz w:val="18"/>
                <w:szCs w:val="18"/>
              </w:rPr>
            </w:pPr>
            <w:r w:rsidRPr="00252F3B">
              <w:rPr>
                <w:color w:val="000000"/>
                <w:sz w:val="18"/>
                <w:szCs w:val="18"/>
              </w:rPr>
              <w:t>Міжнародні інвестиції, кошти приватних осіб</w:t>
            </w:r>
          </w:p>
          <w:p w:rsidR="00E021FE" w:rsidRPr="00252F3B" w:rsidRDefault="00E021FE" w:rsidP="000714B4">
            <w:pPr>
              <w:pBdr>
                <w:top w:val="nil"/>
                <w:left w:val="nil"/>
                <w:bottom w:val="nil"/>
                <w:right w:val="nil"/>
                <w:between w:val="nil"/>
              </w:pBdr>
              <w:jc w:val="center"/>
              <w:rPr>
                <w:sz w:val="18"/>
                <w:szCs w:val="18"/>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252F3B" w:rsidRDefault="00E021FE" w:rsidP="000714B4">
            <w:pPr>
              <w:jc w:val="center"/>
              <w:rPr>
                <w:color w:val="000000"/>
                <w:sz w:val="18"/>
                <w:szCs w:val="18"/>
                <w:lang w:eastAsia="uk-UA"/>
              </w:rPr>
            </w:pPr>
            <w:r w:rsidRPr="00252F3B">
              <w:rPr>
                <w:sz w:val="18"/>
                <w:szCs w:val="18"/>
              </w:rPr>
              <w:t>179 350,0</w:t>
            </w:r>
          </w:p>
        </w:tc>
      </w:tr>
      <w:tr w:rsidR="00E021FE" w:rsidRPr="00E95FB1" w:rsidTr="007F78B9">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color w:val="000000"/>
                <w:sz w:val="18"/>
                <w:szCs w:val="18"/>
                <w:lang w:eastAsia="uk-UA"/>
              </w:rPr>
              <w:t>8</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rPr>
            </w:pPr>
            <w:r w:rsidRPr="00F600D3">
              <w:rPr>
                <w:color w:val="000000"/>
                <w:sz w:val="18"/>
                <w:szCs w:val="18"/>
              </w:rPr>
              <w:t>Відновлення діяльності Гімназії № 6 міста Сєвєродонецька Луганської області</w:t>
            </w:r>
            <w:r w:rsidRPr="00F600D3">
              <w:rPr>
                <w:sz w:val="18"/>
                <w:szCs w:val="18"/>
              </w:rPr>
              <w:t xml:space="preserve"> через створення </w:t>
            </w:r>
            <w:r w:rsidRPr="00F600D3">
              <w:rPr>
                <w:color w:val="000000"/>
                <w:sz w:val="18"/>
                <w:szCs w:val="18"/>
              </w:rPr>
              <w:t>сучасного безпечного освітнього простору.</w:t>
            </w:r>
          </w:p>
          <w:p w:rsidR="00E021FE" w:rsidRPr="00F600D3" w:rsidRDefault="00E021FE" w:rsidP="000714B4">
            <w:pPr>
              <w:jc w:val="center"/>
              <w:rPr>
                <w:color w:val="000000"/>
                <w:sz w:val="18"/>
                <w:szCs w:val="18"/>
                <w:lang w:eastAsia="uk-UA"/>
              </w:rPr>
            </w:pPr>
            <w:r w:rsidRPr="00F600D3">
              <w:rPr>
                <w:color w:val="000000"/>
                <w:sz w:val="18"/>
                <w:szCs w:val="18"/>
              </w:rPr>
              <w:lastRenderedPageBreak/>
              <w:t>вул. Маяковського, 9, м. Сєвєродонецьк, Сєвєродонецький р-н, Луганська обл.</w:t>
            </w:r>
          </w:p>
        </w:tc>
        <w:tc>
          <w:tcPr>
            <w:tcW w:w="1736"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sz w:val="18"/>
                <w:szCs w:val="18"/>
              </w:rPr>
              <w:lastRenderedPageBreak/>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rFonts w:eastAsia="Calibri"/>
                <w:color w:val="000000"/>
                <w:sz w:val="18"/>
                <w:szCs w:val="18"/>
              </w:rPr>
              <w:t>3 867,1</w:t>
            </w:r>
          </w:p>
        </w:tc>
        <w:tc>
          <w:tcPr>
            <w:tcW w:w="992"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autoSpaceDE w:val="0"/>
              <w:autoSpaceDN w:val="0"/>
              <w:adjustRightInd w:val="0"/>
              <w:jc w:val="center"/>
              <w:rPr>
                <w:rFonts w:eastAsia="Calibri"/>
                <w:color w:val="000000"/>
                <w:sz w:val="18"/>
                <w:szCs w:val="18"/>
              </w:rPr>
            </w:pPr>
            <w:r w:rsidRPr="007F78B9">
              <w:rPr>
                <w:rFonts w:eastAsia="Calibri"/>
                <w:color w:val="000000"/>
                <w:sz w:val="18"/>
                <w:szCs w:val="18"/>
              </w:rPr>
              <w:t>5412,0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autoSpaceDE w:val="0"/>
              <w:autoSpaceDN w:val="0"/>
              <w:adjustRightInd w:val="0"/>
              <w:jc w:val="center"/>
              <w:rPr>
                <w:rFonts w:eastAsia="Calibri"/>
                <w:sz w:val="18"/>
                <w:szCs w:val="18"/>
              </w:rPr>
            </w:pPr>
            <w:r w:rsidRPr="007F78B9">
              <w:rPr>
                <w:rFonts w:eastAsia="Calibri"/>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E801B9" w:rsidRDefault="00E021FE" w:rsidP="00E801B9">
            <w:pPr>
              <w:jc w:val="center"/>
              <w:rPr>
                <w:color w:val="000000"/>
                <w:sz w:val="18"/>
                <w:szCs w:val="18"/>
                <w:lang w:val="ru-RU" w:eastAsia="uk-UA"/>
              </w:rPr>
            </w:pPr>
            <w:r w:rsidRPr="007F78B9">
              <w:rPr>
                <w:rFonts w:eastAsia="Calibri"/>
                <w:color w:val="000000"/>
                <w:sz w:val="18"/>
                <w:szCs w:val="18"/>
              </w:rPr>
              <w:t>9279,</w:t>
            </w:r>
            <w:r>
              <w:rPr>
                <w:rFonts w:eastAsia="Calibri"/>
                <w:color w:val="000000"/>
                <w:sz w:val="18"/>
                <w:szCs w:val="18"/>
                <w:lang w:val="ru-RU"/>
              </w:rPr>
              <w:t>1</w:t>
            </w:r>
          </w:p>
        </w:tc>
      </w:tr>
      <w:tr w:rsidR="00E021FE" w:rsidRPr="00E95FB1" w:rsidTr="007F78B9">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color w:val="000000"/>
                <w:sz w:val="18"/>
                <w:szCs w:val="18"/>
                <w:lang w:eastAsia="uk-UA"/>
              </w:rPr>
              <w:t>9</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sz w:val="18"/>
                <w:szCs w:val="18"/>
              </w:rPr>
              <w:t xml:space="preserve">Відновлення діяльності комунального закладу Гімназії  № 8 міста Сєвєродонецька  Луганської області, </w:t>
            </w:r>
            <w:r w:rsidRPr="00F600D3">
              <w:rPr>
                <w:sz w:val="18"/>
                <w:szCs w:val="18"/>
                <w:lang w:eastAsia="ar-SA"/>
              </w:rPr>
              <w:t xml:space="preserve">розташованої за </w:t>
            </w:r>
            <w:proofErr w:type="spellStart"/>
            <w:r w:rsidRPr="00F600D3">
              <w:rPr>
                <w:sz w:val="18"/>
                <w:szCs w:val="18"/>
                <w:lang w:eastAsia="ar-SA"/>
              </w:rPr>
              <w:t>адресою</w:t>
            </w:r>
            <w:proofErr w:type="spellEnd"/>
            <w:r w:rsidRPr="00F600D3">
              <w:rPr>
                <w:sz w:val="18"/>
                <w:szCs w:val="18"/>
                <w:lang w:eastAsia="ar-SA"/>
              </w:rPr>
              <w:t xml:space="preserve">: Луганська область, місто Сєвєродонецьк, вул. </w:t>
            </w:r>
            <w:proofErr w:type="spellStart"/>
            <w:r w:rsidRPr="00F600D3">
              <w:rPr>
                <w:sz w:val="18"/>
                <w:szCs w:val="18"/>
                <w:lang w:eastAsia="ar-SA"/>
              </w:rPr>
              <w:t>Вілєсова</w:t>
            </w:r>
            <w:proofErr w:type="spellEnd"/>
            <w:r w:rsidRPr="00F600D3">
              <w:rPr>
                <w:sz w:val="18"/>
                <w:szCs w:val="18"/>
                <w:lang w:eastAsia="ar-SA"/>
              </w:rPr>
              <w:t>. б.10</w:t>
            </w:r>
          </w:p>
        </w:tc>
        <w:tc>
          <w:tcPr>
            <w:tcW w:w="1736"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bCs/>
                <w:sz w:val="18"/>
                <w:szCs w:val="18"/>
                <w:lang w:val="ru-RU"/>
              </w:rPr>
              <w:t>5000,5</w:t>
            </w:r>
          </w:p>
        </w:tc>
        <w:tc>
          <w:tcPr>
            <w:tcW w:w="992"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bCs/>
                <w:sz w:val="18"/>
                <w:szCs w:val="18"/>
                <w:lang w:val="ru-RU"/>
              </w:rPr>
              <w:t>5000,5</w:t>
            </w:r>
          </w:p>
        </w:tc>
      </w:tr>
      <w:tr w:rsidR="00E021FE" w:rsidRPr="00E95FB1" w:rsidTr="007F78B9">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color w:val="000000"/>
                <w:sz w:val="18"/>
                <w:szCs w:val="18"/>
                <w:lang w:eastAsia="uk-UA"/>
              </w:rPr>
              <w:t>10</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sz w:val="18"/>
                <w:szCs w:val="18"/>
                <w:lang w:eastAsia="ar-SA"/>
              </w:rPr>
              <w:t xml:space="preserve">Капітальний ремонт будівлі комунального </w:t>
            </w:r>
            <w:r w:rsidRPr="00F600D3">
              <w:rPr>
                <w:color w:val="FF0000"/>
                <w:sz w:val="18"/>
                <w:szCs w:val="18"/>
                <w:lang w:eastAsia="ar-SA"/>
              </w:rPr>
              <w:t xml:space="preserve"> </w:t>
            </w:r>
            <w:r w:rsidRPr="00F600D3">
              <w:rPr>
                <w:sz w:val="18"/>
                <w:szCs w:val="18"/>
                <w:lang w:eastAsia="ar-SA"/>
              </w:rPr>
              <w:t>закладу (Гімназії № 8 міста Сєвєродонецька Луганської області</w:t>
            </w:r>
            <w:r w:rsidR="0096671B">
              <w:rPr>
                <w:sz w:val="18"/>
                <w:szCs w:val="18"/>
                <w:lang w:eastAsia="ar-SA"/>
              </w:rPr>
              <w:t>,</w:t>
            </w:r>
            <w:r w:rsidRPr="00F600D3">
              <w:rPr>
                <w:sz w:val="18"/>
                <w:szCs w:val="18"/>
                <w:lang w:eastAsia="ar-SA"/>
              </w:rPr>
              <w:t xml:space="preserve"> розташованої за </w:t>
            </w:r>
            <w:proofErr w:type="spellStart"/>
            <w:r w:rsidRPr="00F600D3">
              <w:rPr>
                <w:sz w:val="18"/>
                <w:szCs w:val="18"/>
                <w:lang w:eastAsia="ar-SA"/>
              </w:rPr>
              <w:t>адресою</w:t>
            </w:r>
            <w:proofErr w:type="spellEnd"/>
            <w:r w:rsidRPr="00F600D3">
              <w:rPr>
                <w:sz w:val="18"/>
                <w:szCs w:val="18"/>
                <w:lang w:eastAsia="ar-SA"/>
              </w:rPr>
              <w:t xml:space="preserve">: Луганська область, місто Сєвєродонецьк, вул. </w:t>
            </w:r>
            <w:proofErr w:type="spellStart"/>
            <w:r w:rsidRPr="00F600D3">
              <w:rPr>
                <w:sz w:val="18"/>
                <w:szCs w:val="18"/>
                <w:lang w:eastAsia="ar-SA"/>
              </w:rPr>
              <w:t>Вілєсова</w:t>
            </w:r>
            <w:proofErr w:type="spellEnd"/>
            <w:r w:rsidRPr="00F600D3">
              <w:rPr>
                <w:sz w:val="18"/>
                <w:szCs w:val="18"/>
                <w:lang w:eastAsia="ar-SA"/>
              </w:rPr>
              <w:t>. б.10)</w:t>
            </w:r>
          </w:p>
        </w:tc>
        <w:tc>
          <w:tcPr>
            <w:tcW w:w="1736"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bCs/>
                <w:sz w:val="18"/>
                <w:szCs w:val="18"/>
              </w:rPr>
              <w:t>9000,1</w:t>
            </w:r>
          </w:p>
        </w:tc>
        <w:tc>
          <w:tcPr>
            <w:tcW w:w="992"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bCs/>
                <w:sz w:val="18"/>
                <w:szCs w:val="18"/>
              </w:rPr>
              <w:t>9000,1</w:t>
            </w:r>
          </w:p>
        </w:tc>
      </w:tr>
      <w:tr w:rsidR="00E021FE" w:rsidRPr="00E95FB1" w:rsidTr="007F78B9">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color w:val="000000"/>
                <w:sz w:val="18"/>
                <w:szCs w:val="18"/>
                <w:lang w:eastAsia="uk-UA"/>
              </w:rPr>
              <w:t>11</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sz w:val="18"/>
                <w:szCs w:val="18"/>
              </w:rPr>
              <w:t>Капітальний ремонт спортивного стадіону комунального закладу Гімназії № 8 міста Сєвєродонецька Луганської області,</w:t>
            </w:r>
            <w:r w:rsidRPr="00F600D3">
              <w:rPr>
                <w:sz w:val="18"/>
                <w:szCs w:val="18"/>
                <w:lang w:eastAsia="ar-SA"/>
              </w:rPr>
              <w:t xml:space="preserve"> розташованої за </w:t>
            </w:r>
            <w:proofErr w:type="spellStart"/>
            <w:r w:rsidRPr="00F600D3">
              <w:rPr>
                <w:sz w:val="18"/>
                <w:szCs w:val="18"/>
                <w:lang w:eastAsia="ar-SA"/>
              </w:rPr>
              <w:t>адресою</w:t>
            </w:r>
            <w:proofErr w:type="spellEnd"/>
            <w:r w:rsidRPr="00F600D3">
              <w:rPr>
                <w:sz w:val="18"/>
                <w:szCs w:val="18"/>
                <w:lang w:eastAsia="ar-SA"/>
              </w:rPr>
              <w:t xml:space="preserve">: Луганська область, місто Сєвєродонецьк, вул. </w:t>
            </w:r>
            <w:proofErr w:type="spellStart"/>
            <w:r w:rsidRPr="00F600D3">
              <w:rPr>
                <w:sz w:val="18"/>
                <w:szCs w:val="18"/>
                <w:lang w:eastAsia="ar-SA"/>
              </w:rPr>
              <w:t>Вілєсова</w:t>
            </w:r>
            <w:proofErr w:type="spellEnd"/>
            <w:r w:rsidRPr="00F600D3">
              <w:rPr>
                <w:sz w:val="18"/>
                <w:szCs w:val="18"/>
                <w:lang w:eastAsia="ar-SA"/>
              </w:rPr>
              <w:t>. б.10</w:t>
            </w:r>
          </w:p>
        </w:tc>
        <w:tc>
          <w:tcPr>
            <w:tcW w:w="1736"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bCs/>
                <w:sz w:val="18"/>
                <w:szCs w:val="18"/>
              </w:rPr>
              <w:t>3000,1</w:t>
            </w:r>
          </w:p>
        </w:tc>
        <w:tc>
          <w:tcPr>
            <w:tcW w:w="992"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bCs/>
                <w:sz w:val="18"/>
                <w:szCs w:val="18"/>
              </w:rPr>
              <w:t>3000,1</w:t>
            </w:r>
          </w:p>
        </w:tc>
      </w:tr>
      <w:tr w:rsidR="00E021FE" w:rsidRPr="00E95FB1" w:rsidTr="007F78B9">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color w:val="000000"/>
                <w:sz w:val="18"/>
                <w:szCs w:val="18"/>
                <w:lang w:eastAsia="uk-UA"/>
              </w:rPr>
              <w:t>12</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sz w:val="18"/>
                <w:szCs w:val="18"/>
              </w:rPr>
              <w:t>Капітальний ремонт їдальні та харчоблоку комунального закладу Гімназії № 8 міста Сєвєродонецька Луганської області,</w:t>
            </w:r>
            <w:r w:rsidRPr="00F600D3">
              <w:rPr>
                <w:sz w:val="18"/>
                <w:szCs w:val="18"/>
                <w:lang w:eastAsia="ar-SA"/>
              </w:rPr>
              <w:t xml:space="preserve"> розташованої за </w:t>
            </w:r>
            <w:proofErr w:type="spellStart"/>
            <w:r w:rsidRPr="00F600D3">
              <w:rPr>
                <w:sz w:val="18"/>
                <w:szCs w:val="18"/>
                <w:lang w:eastAsia="ar-SA"/>
              </w:rPr>
              <w:t>адресою</w:t>
            </w:r>
            <w:proofErr w:type="spellEnd"/>
            <w:r w:rsidRPr="00F600D3">
              <w:rPr>
                <w:sz w:val="18"/>
                <w:szCs w:val="18"/>
                <w:lang w:eastAsia="ar-SA"/>
              </w:rPr>
              <w:t xml:space="preserve">: Луганська область, місто Сєвєродонецьк, вул. </w:t>
            </w:r>
            <w:proofErr w:type="spellStart"/>
            <w:r w:rsidRPr="00F600D3">
              <w:rPr>
                <w:sz w:val="18"/>
                <w:szCs w:val="18"/>
                <w:lang w:eastAsia="ar-SA"/>
              </w:rPr>
              <w:t>Вілєсова</w:t>
            </w:r>
            <w:proofErr w:type="spellEnd"/>
            <w:r w:rsidRPr="00F600D3">
              <w:rPr>
                <w:sz w:val="18"/>
                <w:szCs w:val="18"/>
                <w:lang w:eastAsia="ar-SA"/>
              </w:rPr>
              <w:t>. б.10</w:t>
            </w:r>
          </w:p>
        </w:tc>
        <w:tc>
          <w:tcPr>
            <w:tcW w:w="1736"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bCs/>
                <w:sz w:val="18"/>
                <w:szCs w:val="18"/>
              </w:rPr>
              <w:t>3000,1</w:t>
            </w:r>
          </w:p>
        </w:tc>
        <w:tc>
          <w:tcPr>
            <w:tcW w:w="992"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bCs/>
                <w:sz w:val="18"/>
                <w:szCs w:val="18"/>
              </w:rPr>
              <w:t>3000,1</w:t>
            </w:r>
          </w:p>
        </w:tc>
      </w:tr>
      <w:tr w:rsidR="00E021FE" w:rsidRPr="00E95FB1" w:rsidTr="00153171">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153171" w:rsidRDefault="00E021FE" w:rsidP="000714B4">
            <w:pPr>
              <w:jc w:val="center"/>
              <w:rPr>
                <w:color w:val="000000"/>
                <w:sz w:val="18"/>
                <w:szCs w:val="18"/>
                <w:lang w:eastAsia="uk-UA"/>
              </w:rPr>
            </w:pPr>
            <w:r w:rsidRPr="00153171">
              <w:rPr>
                <w:color w:val="000000"/>
                <w:sz w:val="18"/>
                <w:szCs w:val="18"/>
                <w:lang w:eastAsia="uk-UA"/>
              </w:rPr>
              <w:t>13</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sz w:val="18"/>
                <w:szCs w:val="18"/>
              </w:rPr>
              <w:t>Відновлення діяльності Гімназії № 10 міста Сєвєродонецька Луганської області, бульвар Дружби Народів, буд. 47</w:t>
            </w:r>
          </w:p>
        </w:tc>
        <w:tc>
          <w:tcPr>
            <w:tcW w:w="1736" w:type="dxa"/>
            <w:tcBorders>
              <w:top w:val="nil"/>
              <w:left w:val="nil"/>
              <w:bottom w:val="single" w:sz="4" w:space="0" w:color="auto"/>
              <w:right w:val="single" w:sz="4" w:space="0" w:color="auto"/>
            </w:tcBorders>
            <w:shd w:val="clear" w:color="auto" w:fill="auto"/>
            <w:vAlign w:val="center"/>
            <w:hideMark/>
          </w:tcPr>
          <w:p w:rsidR="00E021FE" w:rsidRPr="00153171" w:rsidRDefault="00E021FE" w:rsidP="000714B4">
            <w:pPr>
              <w:jc w:val="center"/>
              <w:rPr>
                <w:color w:val="000000"/>
                <w:sz w:val="18"/>
                <w:szCs w:val="18"/>
                <w:lang w:eastAsia="uk-UA"/>
              </w:rPr>
            </w:pPr>
            <w:r w:rsidRPr="00153171">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153171" w:rsidRDefault="00E021FE" w:rsidP="000714B4">
            <w:pPr>
              <w:jc w:val="center"/>
              <w:rPr>
                <w:color w:val="000000"/>
                <w:sz w:val="18"/>
                <w:szCs w:val="18"/>
                <w:lang w:eastAsia="uk-UA"/>
              </w:rPr>
            </w:pPr>
            <w:r w:rsidRPr="00153171">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153171" w:rsidRDefault="00E021FE" w:rsidP="000714B4">
            <w:pPr>
              <w:jc w:val="center"/>
              <w:rPr>
                <w:color w:val="000000"/>
                <w:sz w:val="18"/>
                <w:szCs w:val="18"/>
                <w:lang w:eastAsia="uk-UA"/>
              </w:rPr>
            </w:pPr>
            <w:r w:rsidRPr="0015317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15317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153171" w:rsidRDefault="00E021FE" w:rsidP="000714B4">
            <w:pPr>
              <w:jc w:val="center"/>
              <w:rPr>
                <w:color w:val="000000"/>
                <w:sz w:val="18"/>
                <w:szCs w:val="18"/>
                <w:lang w:eastAsia="uk-UA"/>
              </w:rPr>
            </w:pPr>
            <w:r w:rsidRPr="00153171">
              <w:rPr>
                <w:bCs/>
                <w:sz w:val="18"/>
                <w:szCs w:val="18"/>
              </w:rPr>
              <w:t>20 000,00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15317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153171" w:rsidRDefault="00E021FE" w:rsidP="000714B4">
            <w:pPr>
              <w:pStyle w:val="a7"/>
              <w:ind w:left="0"/>
              <w:jc w:val="center"/>
              <w:rPr>
                <w:b/>
                <w:bCs/>
                <w:sz w:val="18"/>
                <w:szCs w:val="18"/>
              </w:rPr>
            </w:pPr>
            <w:r w:rsidRPr="00153171">
              <w:rPr>
                <w:sz w:val="18"/>
                <w:szCs w:val="18"/>
              </w:rPr>
              <w:t>60 000,00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153171" w:rsidRDefault="00E021FE" w:rsidP="000714B4">
            <w:pPr>
              <w:pStyle w:val="a7"/>
              <w:ind w:left="0"/>
              <w:jc w:val="center"/>
              <w:rPr>
                <w:bCs/>
                <w:sz w:val="18"/>
                <w:szCs w:val="18"/>
              </w:rPr>
            </w:pPr>
            <w:r w:rsidRPr="0015317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153171" w:rsidRDefault="00E021FE" w:rsidP="000714B4">
            <w:pPr>
              <w:jc w:val="center"/>
              <w:rPr>
                <w:color w:val="000000"/>
                <w:sz w:val="18"/>
                <w:szCs w:val="18"/>
                <w:lang w:eastAsia="uk-UA"/>
              </w:rPr>
            </w:pPr>
            <w:r w:rsidRPr="00153171">
              <w:rPr>
                <w:color w:val="000000"/>
                <w:sz w:val="18"/>
                <w:szCs w:val="18"/>
                <w:lang w:eastAsia="uk-UA"/>
              </w:rPr>
              <w:t>80000,00</w:t>
            </w:r>
          </w:p>
        </w:tc>
      </w:tr>
      <w:tr w:rsidR="00E021FE" w:rsidRPr="00E95FB1" w:rsidTr="00153171">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153171" w:rsidRDefault="00E021FE" w:rsidP="000714B4">
            <w:pPr>
              <w:jc w:val="center"/>
              <w:rPr>
                <w:color w:val="000000"/>
                <w:sz w:val="18"/>
                <w:szCs w:val="18"/>
                <w:lang w:eastAsia="uk-UA"/>
              </w:rPr>
            </w:pPr>
            <w:r w:rsidRPr="00153171">
              <w:rPr>
                <w:color w:val="000000"/>
                <w:sz w:val="18"/>
                <w:szCs w:val="18"/>
                <w:lang w:eastAsia="uk-UA"/>
              </w:rPr>
              <w:t>14</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sz w:val="18"/>
                <w:szCs w:val="18"/>
              </w:rPr>
              <w:t>Відновлення  будівлі Гімназії №11 міста Сєвєродонецька Луганської області, проспект Гвардійський, будинок 25</w:t>
            </w:r>
          </w:p>
        </w:tc>
        <w:tc>
          <w:tcPr>
            <w:tcW w:w="1736" w:type="dxa"/>
            <w:tcBorders>
              <w:top w:val="nil"/>
              <w:left w:val="nil"/>
              <w:bottom w:val="single" w:sz="4" w:space="0" w:color="auto"/>
              <w:right w:val="single" w:sz="4" w:space="0" w:color="auto"/>
            </w:tcBorders>
            <w:shd w:val="clear" w:color="auto" w:fill="auto"/>
            <w:vAlign w:val="center"/>
            <w:hideMark/>
          </w:tcPr>
          <w:p w:rsidR="00E021FE" w:rsidRPr="00153171" w:rsidRDefault="00E021FE" w:rsidP="000714B4">
            <w:pPr>
              <w:jc w:val="center"/>
              <w:rPr>
                <w:color w:val="000000"/>
                <w:sz w:val="18"/>
                <w:szCs w:val="18"/>
                <w:lang w:eastAsia="uk-UA"/>
              </w:rPr>
            </w:pPr>
            <w:r w:rsidRPr="00153171">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153171" w:rsidRDefault="00E021FE" w:rsidP="000714B4">
            <w:pPr>
              <w:jc w:val="center"/>
              <w:rPr>
                <w:color w:val="000000"/>
                <w:sz w:val="18"/>
                <w:szCs w:val="18"/>
                <w:lang w:eastAsia="uk-UA"/>
              </w:rPr>
            </w:pPr>
            <w:r w:rsidRPr="00153171">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153171" w:rsidRDefault="00E021FE" w:rsidP="000714B4">
            <w:pPr>
              <w:jc w:val="center"/>
              <w:rPr>
                <w:color w:val="000000"/>
                <w:sz w:val="18"/>
                <w:szCs w:val="18"/>
                <w:lang w:eastAsia="uk-UA"/>
              </w:rPr>
            </w:pPr>
            <w:r w:rsidRPr="0015317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15317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153171" w:rsidRDefault="00E021FE" w:rsidP="000714B4">
            <w:pPr>
              <w:jc w:val="center"/>
              <w:rPr>
                <w:color w:val="000000"/>
                <w:sz w:val="18"/>
                <w:szCs w:val="18"/>
                <w:lang w:eastAsia="uk-UA"/>
              </w:rPr>
            </w:pPr>
            <w:r w:rsidRPr="00153171">
              <w:rPr>
                <w:sz w:val="18"/>
                <w:szCs w:val="18"/>
              </w:rPr>
              <w:t>27984,040</w:t>
            </w:r>
          </w:p>
        </w:tc>
        <w:tc>
          <w:tcPr>
            <w:tcW w:w="992" w:type="dxa"/>
            <w:tcBorders>
              <w:top w:val="nil"/>
              <w:left w:val="nil"/>
              <w:bottom w:val="single" w:sz="4" w:space="0" w:color="auto"/>
              <w:right w:val="single" w:sz="4" w:space="0" w:color="auto"/>
            </w:tcBorders>
            <w:shd w:val="clear" w:color="auto" w:fill="auto"/>
            <w:vAlign w:val="center"/>
            <w:hideMark/>
          </w:tcPr>
          <w:p w:rsidR="00E021FE" w:rsidRPr="0015317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153171" w:rsidRDefault="00E021FE" w:rsidP="000714B4">
            <w:pPr>
              <w:pStyle w:val="a7"/>
              <w:ind w:left="0"/>
              <w:jc w:val="center"/>
              <w:rPr>
                <w:sz w:val="18"/>
                <w:szCs w:val="18"/>
              </w:rPr>
            </w:pPr>
            <w:r w:rsidRPr="00153171">
              <w:rPr>
                <w:sz w:val="18"/>
                <w:szCs w:val="18"/>
              </w:rPr>
              <w:t>6996,010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153171" w:rsidRDefault="00E021FE" w:rsidP="000714B4">
            <w:pPr>
              <w:pStyle w:val="a7"/>
              <w:ind w:left="0"/>
              <w:jc w:val="center"/>
              <w:rPr>
                <w:bCs/>
                <w:sz w:val="18"/>
                <w:szCs w:val="18"/>
              </w:rPr>
            </w:pPr>
            <w:r w:rsidRPr="0015317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153171" w:rsidRDefault="00E021FE" w:rsidP="000714B4">
            <w:pPr>
              <w:pStyle w:val="a7"/>
              <w:ind w:left="0"/>
              <w:jc w:val="center"/>
              <w:rPr>
                <w:bCs/>
                <w:sz w:val="18"/>
                <w:szCs w:val="18"/>
              </w:rPr>
            </w:pPr>
            <w:r w:rsidRPr="00153171">
              <w:rPr>
                <w:bCs/>
                <w:sz w:val="18"/>
                <w:szCs w:val="18"/>
              </w:rPr>
              <w:t>34980,050</w:t>
            </w:r>
          </w:p>
        </w:tc>
      </w:tr>
      <w:tr w:rsidR="00E021FE" w:rsidRPr="00E95FB1" w:rsidTr="00153171">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153171" w:rsidRDefault="00E021FE" w:rsidP="000714B4">
            <w:pPr>
              <w:jc w:val="center"/>
              <w:rPr>
                <w:color w:val="000000"/>
                <w:sz w:val="18"/>
                <w:szCs w:val="18"/>
                <w:lang w:eastAsia="uk-UA"/>
              </w:rPr>
            </w:pPr>
            <w:r w:rsidRPr="00153171">
              <w:rPr>
                <w:color w:val="000000"/>
                <w:sz w:val="18"/>
                <w:szCs w:val="18"/>
                <w:lang w:eastAsia="uk-UA"/>
              </w:rPr>
              <w:t>15</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sz w:val="18"/>
                <w:szCs w:val="18"/>
              </w:rPr>
              <w:t xml:space="preserve">Відновлення діяльності Гімназії №11 міста </w:t>
            </w:r>
            <w:proofErr w:type="spellStart"/>
            <w:r w:rsidRPr="00F600D3">
              <w:rPr>
                <w:bCs/>
                <w:sz w:val="18"/>
                <w:szCs w:val="18"/>
              </w:rPr>
              <w:t>Сєродонецька</w:t>
            </w:r>
            <w:proofErr w:type="spellEnd"/>
            <w:r w:rsidRPr="00F600D3">
              <w:rPr>
                <w:bCs/>
                <w:sz w:val="18"/>
                <w:szCs w:val="18"/>
              </w:rPr>
              <w:t xml:space="preserve"> Луганської області, проспект Гвардійський, будинок 25</w:t>
            </w:r>
          </w:p>
        </w:tc>
        <w:tc>
          <w:tcPr>
            <w:tcW w:w="1736" w:type="dxa"/>
            <w:tcBorders>
              <w:top w:val="nil"/>
              <w:left w:val="nil"/>
              <w:bottom w:val="single" w:sz="4" w:space="0" w:color="auto"/>
              <w:right w:val="single" w:sz="4" w:space="0" w:color="auto"/>
            </w:tcBorders>
            <w:shd w:val="clear" w:color="auto" w:fill="auto"/>
            <w:vAlign w:val="center"/>
            <w:hideMark/>
          </w:tcPr>
          <w:p w:rsidR="00E021FE" w:rsidRPr="00153171" w:rsidRDefault="00E021FE" w:rsidP="000714B4">
            <w:pPr>
              <w:jc w:val="center"/>
              <w:rPr>
                <w:color w:val="000000"/>
                <w:sz w:val="18"/>
                <w:szCs w:val="18"/>
                <w:lang w:eastAsia="uk-UA"/>
              </w:rPr>
            </w:pPr>
            <w:r w:rsidRPr="00153171">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153171" w:rsidRDefault="00E021FE" w:rsidP="000714B4">
            <w:pPr>
              <w:jc w:val="center"/>
              <w:rPr>
                <w:color w:val="000000"/>
                <w:sz w:val="18"/>
                <w:szCs w:val="18"/>
                <w:lang w:eastAsia="uk-UA"/>
              </w:rPr>
            </w:pPr>
            <w:r w:rsidRPr="00153171">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153171" w:rsidRDefault="00E021FE" w:rsidP="000714B4">
            <w:pPr>
              <w:jc w:val="center"/>
              <w:rPr>
                <w:color w:val="000000"/>
                <w:sz w:val="18"/>
                <w:szCs w:val="18"/>
                <w:lang w:eastAsia="uk-UA"/>
              </w:rPr>
            </w:pPr>
            <w:r w:rsidRPr="0015317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15317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153171" w:rsidRDefault="00E021FE" w:rsidP="000714B4">
            <w:pPr>
              <w:jc w:val="center"/>
              <w:rPr>
                <w:color w:val="000000"/>
                <w:sz w:val="18"/>
                <w:szCs w:val="18"/>
                <w:lang w:eastAsia="uk-UA"/>
              </w:rPr>
            </w:pPr>
            <w:r w:rsidRPr="00153171">
              <w:rPr>
                <w:sz w:val="18"/>
                <w:szCs w:val="18"/>
              </w:rPr>
              <w:t>13952</w:t>
            </w:r>
            <w:r>
              <w:rPr>
                <w:sz w:val="18"/>
                <w:szCs w:val="18"/>
                <w:lang w:val="ru-RU"/>
              </w:rPr>
              <w:t>,</w:t>
            </w:r>
            <w:r w:rsidRPr="00153171">
              <w:rPr>
                <w:sz w:val="18"/>
                <w:szCs w:val="18"/>
              </w:rPr>
              <w:t>539</w:t>
            </w:r>
          </w:p>
        </w:tc>
        <w:tc>
          <w:tcPr>
            <w:tcW w:w="992" w:type="dxa"/>
            <w:tcBorders>
              <w:top w:val="nil"/>
              <w:left w:val="nil"/>
              <w:bottom w:val="single" w:sz="4" w:space="0" w:color="auto"/>
              <w:right w:val="single" w:sz="4" w:space="0" w:color="auto"/>
            </w:tcBorders>
            <w:shd w:val="clear" w:color="auto" w:fill="auto"/>
            <w:vAlign w:val="center"/>
            <w:hideMark/>
          </w:tcPr>
          <w:p w:rsidR="00E021FE" w:rsidRPr="0015317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F62330" w:rsidRDefault="00E021FE" w:rsidP="000714B4">
            <w:pPr>
              <w:pStyle w:val="a7"/>
              <w:ind w:left="0"/>
              <w:jc w:val="center"/>
              <w:rPr>
                <w:sz w:val="18"/>
                <w:szCs w:val="18"/>
                <w:lang w:val="ru-RU"/>
              </w:rPr>
            </w:pPr>
            <w:r w:rsidRPr="00153171">
              <w:rPr>
                <w:sz w:val="18"/>
                <w:szCs w:val="18"/>
              </w:rPr>
              <w:t>3488</w:t>
            </w:r>
            <w:r>
              <w:rPr>
                <w:sz w:val="18"/>
                <w:szCs w:val="18"/>
                <w:lang w:val="ru-RU"/>
              </w:rPr>
              <w:t>,</w:t>
            </w:r>
            <w:r w:rsidRPr="00153171">
              <w:rPr>
                <w:sz w:val="18"/>
                <w:szCs w:val="18"/>
              </w:rPr>
              <w:t>13</w:t>
            </w:r>
            <w:r>
              <w:rPr>
                <w:sz w:val="18"/>
                <w:szCs w:val="18"/>
                <w:lang w:val="ru-RU"/>
              </w:rPr>
              <w:t>5</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153171" w:rsidRDefault="00E021FE" w:rsidP="000714B4">
            <w:pPr>
              <w:pStyle w:val="a7"/>
              <w:ind w:left="0"/>
              <w:jc w:val="center"/>
              <w:rPr>
                <w:bCs/>
                <w:sz w:val="18"/>
                <w:szCs w:val="18"/>
              </w:rPr>
            </w:pPr>
            <w:r w:rsidRPr="00153171">
              <w:rPr>
                <w:bCs/>
                <w:sz w:val="18"/>
                <w:szCs w:val="18"/>
              </w:rPr>
              <w:t>Міжнародні інвестиції, кошти приватних осіб</w:t>
            </w:r>
          </w:p>
          <w:p w:rsidR="00E021FE" w:rsidRPr="00153171" w:rsidRDefault="00E021FE" w:rsidP="000714B4">
            <w:pPr>
              <w:pStyle w:val="a7"/>
              <w:ind w:left="0"/>
              <w:jc w:val="center"/>
              <w:rPr>
                <w:bCs/>
                <w:sz w:val="18"/>
                <w:szCs w:val="18"/>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153171" w:rsidRDefault="00E021FE" w:rsidP="000714B4">
            <w:pPr>
              <w:jc w:val="center"/>
              <w:rPr>
                <w:color w:val="000000"/>
                <w:sz w:val="18"/>
                <w:szCs w:val="18"/>
                <w:lang w:eastAsia="uk-UA"/>
              </w:rPr>
            </w:pPr>
            <w:r w:rsidRPr="00153171">
              <w:rPr>
                <w:bCs/>
                <w:sz w:val="18"/>
                <w:szCs w:val="18"/>
              </w:rPr>
              <w:t>17440,674</w:t>
            </w:r>
          </w:p>
        </w:tc>
      </w:tr>
      <w:tr w:rsidR="00E021FE" w:rsidRPr="00E95FB1" w:rsidTr="005915E3">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sidRPr="005915E3">
              <w:rPr>
                <w:color w:val="000000"/>
                <w:sz w:val="18"/>
                <w:szCs w:val="18"/>
                <w:lang w:eastAsia="uk-UA"/>
              </w:rPr>
              <w:t>16</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sz w:val="18"/>
                <w:szCs w:val="18"/>
              </w:rPr>
              <w:t xml:space="preserve">Відновлення матеріально-технічної бази </w:t>
            </w:r>
            <w:r w:rsidRPr="00F600D3">
              <w:rPr>
                <w:iCs/>
                <w:sz w:val="18"/>
                <w:szCs w:val="18"/>
                <w:lang w:eastAsia="ar-SA"/>
              </w:rPr>
              <w:t>Гімназії</w:t>
            </w:r>
            <w:r w:rsidRPr="00F600D3">
              <w:rPr>
                <w:sz w:val="18"/>
                <w:szCs w:val="18"/>
                <w:lang w:eastAsia="ar-SA"/>
              </w:rPr>
              <w:t xml:space="preserve"> № 12 міста </w:t>
            </w:r>
            <w:r w:rsidRPr="00F600D3">
              <w:rPr>
                <w:sz w:val="18"/>
                <w:szCs w:val="18"/>
                <w:lang w:eastAsia="ar-SA"/>
              </w:rPr>
              <w:lastRenderedPageBreak/>
              <w:t xml:space="preserve">Сєвєродонецька Луганської області, </w:t>
            </w:r>
            <w:r w:rsidRPr="00F600D3">
              <w:rPr>
                <w:bCs/>
                <w:sz w:val="18"/>
                <w:szCs w:val="18"/>
                <w:lang w:eastAsia="ar-SA"/>
              </w:rPr>
              <w:t>розташованої за</w:t>
            </w:r>
            <w:r w:rsidRPr="00F600D3">
              <w:rPr>
                <w:sz w:val="18"/>
                <w:szCs w:val="18"/>
                <w:lang w:eastAsia="ar-SA"/>
              </w:rPr>
              <w:t xml:space="preserve"> </w:t>
            </w:r>
            <w:proofErr w:type="spellStart"/>
            <w:r w:rsidRPr="00F600D3">
              <w:rPr>
                <w:bCs/>
                <w:sz w:val="18"/>
                <w:szCs w:val="18"/>
                <w:lang w:eastAsia="ar-SA"/>
              </w:rPr>
              <w:t>адресою</w:t>
            </w:r>
            <w:proofErr w:type="spellEnd"/>
            <w:r w:rsidR="0096671B">
              <w:rPr>
                <w:bCs/>
                <w:sz w:val="18"/>
                <w:szCs w:val="18"/>
                <w:lang w:eastAsia="ar-SA"/>
              </w:rPr>
              <w:t>:</w:t>
            </w:r>
            <w:r w:rsidRPr="00F600D3">
              <w:rPr>
                <w:bCs/>
                <w:sz w:val="18"/>
                <w:szCs w:val="18"/>
                <w:lang w:eastAsia="ar-SA"/>
              </w:rPr>
              <w:t xml:space="preserve"> Україна, Луганська область, Сєвєродонецький район, місто Сєвєродонецьк, проспект Гвардійський, будинок 9</w:t>
            </w:r>
          </w:p>
        </w:tc>
        <w:tc>
          <w:tcPr>
            <w:tcW w:w="1736"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sidRPr="005915E3">
              <w:rPr>
                <w:sz w:val="18"/>
                <w:szCs w:val="18"/>
              </w:rPr>
              <w:lastRenderedPageBreak/>
              <w:t xml:space="preserve">Сєвєродонецька міська </w:t>
            </w:r>
            <w:r w:rsidRPr="005915E3">
              <w:rPr>
                <w:sz w:val="18"/>
                <w:szCs w:val="18"/>
              </w:rPr>
              <w:lastRenderedPageBreak/>
              <w:t>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sidRPr="005915E3">
              <w:rPr>
                <w:sz w:val="18"/>
                <w:szCs w:val="18"/>
              </w:rPr>
              <w:lastRenderedPageBreak/>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sidRPr="005915E3">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sidRPr="005915E3">
              <w:rPr>
                <w:bCs/>
                <w:sz w:val="18"/>
                <w:szCs w:val="18"/>
                <w:lang w:val="ru-RU"/>
              </w:rPr>
              <w:t>4200,0</w:t>
            </w:r>
          </w:p>
        </w:tc>
        <w:tc>
          <w:tcPr>
            <w:tcW w:w="992"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pStyle w:val="a7"/>
              <w:ind w:left="0"/>
              <w:jc w:val="center"/>
              <w:rPr>
                <w:bCs/>
                <w:sz w:val="18"/>
                <w:szCs w:val="18"/>
                <w:lang w:val="ru-RU"/>
              </w:rPr>
            </w:pPr>
            <w:r w:rsidRPr="005915E3">
              <w:rPr>
                <w:bCs/>
                <w:sz w:val="18"/>
                <w:szCs w:val="18"/>
                <w:lang w:val="ru-RU"/>
              </w:rPr>
              <w:t>1800,0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pStyle w:val="a7"/>
              <w:ind w:left="0"/>
              <w:jc w:val="center"/>
              <w:rPr>
                <w:bCs/>
                <w:sz w:val="18"/>
                <w:szCs w:val="18"/>
              </w:rPr>
            </w:pPr>
            <w:r w:rsidRPr="005915E3">
              <w:rPr>
                <w:bCs/>
                <w:sz w:val="18"/>
                <w:szCs w:val="18"/>
              </w:rPr>
              <w:t xml:space="preserve">Міжнародні інвестиції, </w:t>
            </w:r>
            <w:r w:rsidRPr="005915E3">
              <w:rPr>
                <w:bCs/>
                <w:sz w:val="18"/>
                <w:szCs w:val="18"/>
              </w:rPr>
              <w:lastRenderedPageBreak/>
              <w:t>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sidRPr="005915E3">
              <w:rPr>
                <w:bCs/>
                <w:sz w:val="18"/>
                <w:szCs w:val="18"/>
              </w:rPr>
              <w:lastRenderedPageBreak/>
              <w:t>6000</w:t>
            </w:r>
            <w:r w:rsidRPr="005915E3">
              <w:rPr>
                <w:b/>
                <w:bCs/>
                <w:sz w:val="18"/>
                <w:szCs w:val="18"/>
                <w:lang w:val="ru-RU"/>
              </w:rPr>
              <w:t>,</w:t>
            </w:r>
            <w:r w:rsidRPr="005915E3">
              <w:rPr>
                <w:bCs/>
                <w:sz w:val="18"/>
                <w:szCs w:val="18"/>
                <w:lang w:val="ru-RU"/>
              </w:rPr>
              <w:t>0</w:t>
            </w:r>
          </w:p>
        </w:tc>
      </w:tr>
      <w:tr w:rsidR="00E021FE" w:rsidRPr="00E95FB1" w:rsidTr="005915E3">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sidRPr="005915E3">
              <w:rPr>
                <w:color w:val="000000"/>
                <w:sz w:val="18"/>
                <w:szCs w:val="18"/>
                <w:lang w:eastAsia="uk-UA"/>
              </w:rPr>
              <w:t>17</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iCs/>
                <w:sz w:val="18"/>
                <w:szCs w:val="18"/>
                <w:lang w:eastAsia="ar-SA"/>
              </w:rPr>
              <w:t>Капітальний ремонт будівлі, систем опалення, водопостачання/водовідведення, вентиляції та енергопостачання</w:t>
            </w:r>
            <w:r w:rsidRPr="00F600D3">
              <w:rPr>
                <w:b/>
                <w:iCs/>
                <w:sz w:val="18"/>
                <w:szCs w:val="18"/>
                <w:lang w:eastAsia="ar-SA"/>
              </w:rPr>
              <w:t xml:space="preserve"> </w:t>
            </w:r>
            <w:r w:rsidRPr="00F600D3">
              <w:rPr>
                <w:iCs/>
                <w:sz w:val="18"/>
                <w:szCs w:val="18"/>
                <w:lang w:eastAsia="ar-SA"/>
              </w:rPr>
              <w:t>Гімназії</w:t>
            </w:r>
            <w:r w:rsidRPr="00F600D3">
              <w:rPr>
                <w:sz w:val="18"/>
                <w:szCs w:val="18"/>
                <w:lang w:eastAsia="ar-SA"/>
              </w:rPr>
              <w:t xml:space="preserve"> № 12 міста Сєвєродонецька Луганської області,</w:t>
            </w:r>
            <w:r w:rsidRPr="00F600D3">
              <w:rPr>
                <w:b/>
                <w:sz w:val="18"/>
                <w:szCs w:val="18"/>
                <w:lang w:eastAsia="ar-SA"/>
              </w:rPr>
              <w:t xml:space="preserve"> </w:t>
            </w:r>
            <w:r w:rsidRPr="00F600D3">
              <w:rPr>
                <w:bCs/>
                <w:sz w:val="18"/>
                <w:szCs w:val="18"/>
                <w:lang w:eastAsia="ar-SA"/>
              </w:rPr>
              <w:t>розташованої за</w:t>
            </w:r>
            <w:r w:rsidRPr="00F600D3">
              <w:rPr>
                <w:b/>
                <w:sz w:val="18"/>
                <w:szCs w:val="18"/>
                <w:lang w:eastAsia="ar-SA"/>
              </w:rPr>
              <w:t xml:space="preserve"> </w:t>
            </w:r>
            <w:proofErr w:type="spellStart"/>
            <w:r w:rsidRPr="00F600D3">
              <w:rPr>
                <w:bCs/>
                <w:sz w:val="18"/>
                <w:szCs w:val="18"/>
                <w:lang w:eastAsia="ar-SA"/>
              </w:rPr>
              <w:t>адресою</w:t>
            </w:r>
            <w:proofErr w:type="spellEnd"/>
            <w:r w:rsidR="006B477F">
              <w:rPr>
                <w:bCs/>
                <w:sz w:val="18"/>
                <w:szCs w:val="18"/>
                <w:lang w:eastAsia="ar-SA"/>
              </w:rPr>
              <w:t>:</w:t>
            </w:r>
            <w:r w:rsidRPr="00F600D3">
              <w:rPr>
                <w:bCs/>
                <w:sz w:val="18"/>
                <w:szCs w:val="18"/>
                <w:lang w:eastAsia="ar-SA"/>
              </w:rPr>
              <w:t xml:space="preserve"> Україна, Луганська область, Сєвєродонецький район, місто Сєвєродонецьк, проспект Гвардійський, будинок 9</w:t>
            </w:r>
          </w:p>
        </w:tc>
        <w:tc>
          <w:tcPr>
            <w:tcW w:w="1736"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sidRPr="005915E3">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sidRPr="005915E3">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sidRPr="005915E3">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sidRPr="005915E3">
              <w:rPr>
                <w:bCs/>
                <w:sz w:val="18"/>
                <w:szCs w:val="18"/>
              </w:rPr>
              <w:t>103000,00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sidRPr="005915E3">
              <w:rPr>
                <w:bCs/>
                <w:sz w:val="18"/>
                <w:szCs w:val="18"/>
              </w:rPr>
              <w:t>103000,00</w:t>
            </w:r>
          </w:p>
        </w:tc>
      </w:tr>
      <w:tr w:rsidR="00E021FE" w:rsidRPr="00E95FB1" w:rsidTr="005915E3">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sidRPr="005915E3">
              <w:rPr>
                <w:color w:val="000000"/>
                <w:sz w:val="18"/>
                <w:szCs w:val="18"/>
                <w:lang w:eastAsia="uk-UA"/>
              </w:rPr>
              <w:t>18</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color w:val="000000"/>
                <w:sz w:val="18"/>
                <w:szCs w:val="18"/>
              </w:rPr>
              <w:t xml:space="preserve">Відновлення діяльності комунального закладу Гімназії № </w:t>
            </w:r>
            <w:r w:rsidRPr="00F600D3">
              <w:rPr>
                <w:sz w:val="18"/>
                <w:szCs w:val="18"/>
              </w:rPr>
              <w:t>7</w:t>
            </w:r>
            <w:r w:rsidRPr="00F600D3">
              <w:rPr>
                <w:color w:val="000000"/>
                <w:sz w:val="18"/>
                <w:szCs w:val="18"/>
              </w:rPr>
              <w:t xml:space="preserve"> міста Сєвєродонецька</w:t>
            </w:r>
            <w:r w:rsidRPr="00F600D3">
              <w:rPr>
                <w:color w:val="FF0000"/>
                <w:sz w:val="18"/>
                <w:szCs w:val="18"/>
              </w:rPr>
              <w:t xml:space="preserve"> </w:t>
            </w:r>
            <w:r w:rsidRPr="00F600D3">
              <w:rPr>
                <w:color w:val="000000"/>
                <w:sz w:val="18"/>
                <w:szCs w:val="18"/>
              </w:rPr>
              <w:t>Луганської області,</w:t>
            </w:r>
            <w:r w:rsidRPr="00F600D3">
              <w:rPr>
                <w:sz w:val="18"/>
                <w:szCs w:val="18"/>
              </w:rPr>
              <w:t xml:space="preserve"> розташованої </w:t>
            </w:r>
            <w:r w:rsidRPr="00F600D3">
              <w:rPr>
                <w:color w:val="000000"/>
                <w:sz w:val="18"/>
                <w:szCs w:val="18"/>
              </w:rPr>
              <w:t xml:space="preserve">за </w:t>
            </w:r>
            <w:proofErr w:type="spellStart"/>
            <w:r w:rsidRPr="00F600D3">
              <w:rPr>
                <w:color w:val="000000"/>
                <w:sz w:val="18"/>
                <w:szCs w:val="18"/>
              </w:rPr>
              <w:t>адресою</w:t>
            </w:r>
            <w:proofErr w:type="spellEnd"/>
            <w:r w:rsidRPr="00F600D3">
              <w:rPr>
                <w:color w:val="000000"/>
                <w:sz w:val="18"/>
                <w:szCs w:val="18"/>
              </w:rPr>
              <w:t xml:space="preserve">: </w:t>
            </w:r>
            <w:r w:rsidRPr="00F600D3">
              <w:rPr>
                <w:sz w:val="18"/>
                <w:szCs w:val="18"/>
              </w:rPr>
              <w:t>Луганська область, Сєвєродонецький район, смт Сиротине</w:t>
            </w:r>
            <w:r w:rsidRPr="00F600D3">
              <w:rPr>
                <w:color w:val="000000"/>
                <w:sz w:val="18"/>
                <w:szCs w:val="18"/>
              </w:rPr>
              <w:t xml:space="preserve">, вулиця </w:t>
            </w:r>
            <w:r w:rsidRPr="00F600D3">
              <w:rPr>
                <w:sz w:val="18"/>
                <w:szCs w:val="18"/>
              </w:rPr>
              <w:t>Шкільна, буд.32</w:t>
            </w:r>
            <w:r w:rsidRPr="00F600D3">
              <w:rPr>
                <w:color w:val="000000"/>
                <w:sz w:val="18"/>
                <w:szCs w:val="18"/>
              </w:rPr>
              <w:t>.</w:t>
            </w:r>
          </w:p>
        </w:tc>
        <w:tc>
          <w:tcPr>
            <w:tcW w:w="1736"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sidRPr="005915E3">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sidRPr="005915E3">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sidRPr="005915E3">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sidRPr="005915E3">
              <w:rPr>
                <w:sz w:val="18"/>
                <w:szCs w:val="18"/>
              </w:rPr>
              <w:t>4</w:t>
            </w:r>
            <w:r w:rsidRPr="005915E3">
              <w:rPr>
                <w:color w:val="000000"/>
                <w:sz w:val="18"/>
                <w:szCs w:val="18"/>
              </w:rPr>
              <w:t>0000 ,0</w:t>
            </w:r>
          </w:p>
        </w:tc>
        <w:tc>
          <w:tcPr>
            <w:tcW w:w="992"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pBdr>
                <w:top w:val="nil"/>
                <w:left w:val="nil"/>
                <w:bottom w:val="nil"/>
                <w:right w:val="nil"/>
                <w:between w:val="nil"/>
              </w:pBdr>
              <w:jc w:val="center"/>
              <w:rPr>
                <w:color w:val="000000"/>
                <w:sz w:val="18"/>
                <w:szCs w:val="18"/>
              </w:rPr>
            </w:pPr>
            <w:r w:rsidRPr="005915E3">
              <w:rPr>
                <w:sz w:val="18"/>
                <w:szCs w:val="18"/>
              </w:rPr>
              <w:t>10000,0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rPr>
            </w:pPr>
            <w:r w:rsidRPr="005915E3">
              <w:rPr>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sidRPr="005915E3">
              <w:rPr>
                <w:color w:val="000000"/>
                <w:sz w:val="18"/>
                <w:szCs w:val="18"/>
              </w:rPr>
              <w:t>50000,0</w:t>
            </w:r>
          </w:p>
        </w:tc>
      </w:tr>
      <w:tr w:rsidR="00E021FE" w:rsidRPr="00E95FB1" w:rsidTr="005915E3">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sidRPr="005915E3">
              <w:rPr>
                <w:color w:val="000000"/>
                <w:sz w:val="18"/>
                <w:szCs w:val="18"/>
                <w:lang w:eastAsia="uk-UA"/>
              </w:rPr>
              <w:t>19</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pBdr>
                <w:top w:val="nil"/>
                <w:left w:val="nil"/>
                <w:bottom w:val="nil"/>
                <w:right w:val="nil"/>
                <w:between w:val="nil"/>
              </w:pBdr>
              <w:jc w:val="center"/>
              <w:rPr>
                <w:sz w:val="18"/>
                <w:szCs w:val="18"/>
              </w:rPr>
            </w:pPr>
            <w:r w:rsidRPr="00F600D3">
              <w:rPr>
                <w:sz w:val="18"/>
                <w:szCs w:val="18"/>
              </w:rPr>
              <w:t>Реконструкція</w:t>
            </w:r>
            <w:r w:rsidRPr="00F600D3">
              <w:rPr>
                <w:color w:val="000000"/>
                <w:sz w:val="18"/>
                <w:szCs w:val="18"/>
              </w:rPr>
              <w:t xml:space="preserve"> </w:t>
            </w:r>
            <w:r w:rsidRPr="00F600D3">
              <w:rPr>
                <w:sz w:val="18"/>
                <w:szCs w:val="18"/>
              </w:rPr>
              <w:t xml:space="preserve"> </w:t>
            </w:r>
            <w:r w:rsidRPr="00F600D3">
              <w:rPr>
                <w:color w:val="000000"/>
                <w:sz w:val="18"/>
                <w:szCs w:val="18"/>
              </w:rPr>
              <w:t xml:space="preserve">стадіону комунального закладу </w:t>
            </w:r>
            <w:r w:rsidRPr="00F600D3">
              <w:rPr>
                <w:sz w:val="18"/>
                <w:szCs w:val="18"/>
              </w:rPr>
              <w:t xml:space="preserve"> Гімназії № 7 міста Сєвєродонецька</w:t>
            </w:r>
            <w:r w:rsidRPr="00F600D3">
              <w:rPr>
                <w:color w:val="FF0000"/>
                <w:sz w:val="18"/>
                <w:szCs w:val="18"/>
              </w:rPr>
              <w:t xml:space="preserve"> </w:t>
            </w:r>
            <w:r w:rsidRPr="00F600D3">
              <w:rPr>
                <w:sz w:val="18"/>
                <w:szCs w:val="18"/>
              </w:rPr>
              <w:t xml:space="preserve">Луганської області, розташованої за </w:t>
            </w:r>
            <w:proofErr w:type="spellStart"/>
            <w:r w:rsidRPr="00F600D3">
              <w:rPr>
                <w:sz w:val="18"/>
                <w:szCs w:val="18"/>
              </w:rPr>
              <w:t>адресою</w:t>
            </w:r>
            <w:proofErr w:type="spellEnd"/>
            <w:r w:rsidRPr="00F600D3">
              <w:rPr>
                <w:sz w:val="18"/>
                <w:szCs w:val="18"/>
              </w:rPr>
              <w:t>: Луганська область, Сєвєродонецький район, смт Сиротине, вулиця Шкільна, буд.32.</w:t>
            </w:r>
          </w:p>
        </w:tc>
        <w:tc>
          <w:tcPr>
            <w:tcW w:w="1736"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sidRPr="005915E3">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sidRPr="005915E3">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sidRPr="005915E3">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sidRPr="005915E3">
              <w:rPr>
                <w:sz w:val="18"/>
                <w:szCs w:val="18"/>
              </w:rPr>
              <w:t>3</w:t>
            </w:r>
            <w:r w:rsidRPr="005915E3">
              <w:rPr>
                <w:color w:val="000000"/>
                <w:sz w:val="18"/>
                <w:szCs w:val="18"/>
              </w:rPr>
              <w:t>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sidRPr="005915E3">
              <w:rPr>
                <w:sz w:val="18"/>
                <w:szCs w:val="18"/>
              </w:rPr>
              <w:t>3</w:t>
            </w:r>
            <w:r w:rsidRPr="005915E3">
              <w:rPr>
                <w:color w:val="000000"/>
                <w:sz w:val="18"/>
                <w:szCs w:val="18"/>
              </w:rPr>
              <w:t>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sidRPr="005915E3">
              <w:rPr>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sidRPr="005915E3">
              <w:rPr>
                <w:sz w:val="18"/>
                <w:szCs w:val="18"/>
              </w:rPr>
              <w:t>6</w:t>
            </w:r>
            <w:r w:rsidRPr="005915E3">
              <w:rPr>
                <w:color w:val="000000"/>
                <w:sz w:val="18"/>
                <w:szCs w:val="18"/>
              </w:rPr>
              <w:t>000,0</w:t>
            </w:r>
          </w:p>
        </w:tc>
      </w:tr>
      <w:tr w:rsidR="00E021FE" w:rsidRPr="00E95FB1" w:rsidTr="00B61DDC">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color w:val="000000"/>
                <w:sz w:val="18"/>
                <w:szCs w:val="18"/>
                <w:lang w:eastAsia="uk-UA"/>
              </w:rPr>
              <w:t>20</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sz w:val="18"/>
                <w:szCs w:val="18"/>
              </w:rPr>
              <w:t>Реконструкція</w:t>
            </w:r>
            <w:r w:rsidRPr="00F600D3">
              <w:rPr>
                <w:color w:val="000000"/>
                <w:sz w:val="18"/>
                <w:szCs w:val="18"/>
              </w:rPr>
              <w:t xml:space="preserve"> будівлі комунального закладу Гімназії № </w:t>
            </w:r>
            <w:r w:rsidRPr="00F600D3">
              <w:rPr>
                <w:sz w:val="18"/>
                <w:szCs w:val="18"/>
              </w:rPr>
              <w:t>7</w:t>
            </w:r>
            <w:r w:rsidRPr="00F600D3">
              <w:rPr>
                <w:color w:val="000000"/>
                <w:sz w:val="18"/>
                <w:szCs w:val="18"/>
              </w:rPr>
              <w:t xml:space="preserve"> міста Сєвєродонецька</w:t>
            </w:r>
            <w:r w:rsidRPr="00F600D3">
              <w:rPr>
                <w:color w:val="FF0000"/>
                <w:sz w:val="18"/>
                <w:szCs w:val="18"/>
              </w:rPr>
              <w:t xml:space="preserve"> </w:t>
            </w:r>
            <w:r w:rsidRPr="00F600D3">
              <w:rPr>
                <w:color w:val="000000"/>
                <w:sz w:val="18"/>
                <w:szCs w:val="18"/>
              </w:rPr>
              <w:t xml:space="preserve">Луганської області, </w:t>
            </w:r>
            <w:r w:rsidRPr="00F600D3">
              <w:rPr>
                <w:sz w:val="18"/>
                <w:szCs w:val="18"/>
              </w:rPr>
              <w:t xml:space="preserve">розташованої за </w:t>
            </w:r>
            <w:proofErr w:type="spellStart"/>
            <w:r w:rsidRPr="00F600D3">
              <w:rPr>
                <w:sz w:val="18"/>
                <w:szCs w:val="18"/>
              </w:rPr>
              <w:t>адресою</w:t>
            </w:r>
            <w:proofErr w:type="spellEnd"/>
            <w:r w:rsidRPr="00F600D3">
              <w:rPr>
                <w:sz w:val="18"/>
                <w:szCs w:val="18"/>
              </w:rPr>
              <w:t>: Луганська область, Сєвєродонецький район, смт Сиротине, вулиця Шкільна, буд.32.</w:t>
            </w:r>
          </w:p>
        </w:tc>
        <w:tc>
          <w:tcPr>
            <w:tcW w:w="1736"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sz w:val="18"/>
                <w:szCs w:val="18"/>
              </w:rPr>
              <w:t>5</w:t>
            </w:r>
            <w:r w:rsidRPr="00B61DDC">
              <w:rPr>
                <w:color w:val="000000"/>
                <w:sz w:val="18"/>
                <w:szCs w:val="18"/>
              </w:rPr>
              <w:t>0000,00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sz w:val="18"/>
                <w:szCs w:val="18"/>
              </w:rPr>
              <w:t>3</w:t>
            </w:r>
            <w:r w:rsidRPr="00B61DDC">
              <w:rPr>
                <w:color w:val="000000"/>
                <w:sz w:val="18"/>
                <w:szCs w:val="18"/>
              </w:rPr>
              <w:t>0000,00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sz w:val="18"/>
                <w:szCs w:val="18"/>
              </w:rPr>
              <w:t>8</w:t>
            </w:r>
            <w:r w:rsidRPr="00B61DDC">
              <w:rPr>
                <w:color w:val="000000"/>
                <w:sz w:val="18"/>
                <w:szCs w:val="18"/>
              </w:rPr>
              <w:t>0000,00</w:t>
            </w:r>
          </w:p>
        </w:tc>
      </w:tr>
      <w:tr w:rsidR="00E021FE" w:rsidRPr="00E95FB1" w:rsidTr="00B61DDC">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color w:val="000000"/>
                <w:sz w:val="18"/>
                <w:szCs w:val="18"/>
                <w:lang w:eastAsia="uk-UA"/>
              </w:rPr>
              <w:t>21</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iCs/>
                <w:sz w:val="18"/>
                <w:szCs w:val="18"/>
                <w:lang w:eastAsia="ar-SA"/>
              </w:rPr>
              <w:t xml:space="preserve">Капітальний ремонт будівлі, систем опалення, водопостачання/водовідведення, вентиляції та енергопостачання </w:t>
            </w:r>
            <w:r w:rsidRPr="00F600D3">
              <w:rPr>
                <w:iCs/>
                <w:sz w:val="18"/>
                <w:szCs w:val="18"/>
                <w:lang w:eastAsia="ar-SA"/>
              </w:rPr>
              <w:t>майстерні Гімназії</w:t>
            </w:r>
            <w:r w:rsidRPr="00F600D3">
              <w:rPr>
                <w:sz w:val="18"/>
                <w:szCs w:val="18"/>
                <w:lang w:eastAsia="ar-SA"/>
              </w:rPr>
              <w:t xml:space="preserve"> № 12 міста </w:t>
            </w:r>
            <w:r w:rsidRPr="00F600D3">
              <w:rPr>
                <w:sz w:val="18"/>
                <w:szCs w:val="18"/>
                <w:lang w:eastAsia="ar-SA"/>
              </w:rPr>
              <w:lastRenderedPageBreak/>
              <w:t xml:space="preserve">Сєвєродонецька Луганської області, </w:t>
            </w:r>
            <w:r w:rsidRPr="00F600D3">
              <w:rPr>
                <w:bCs/>
                <w:sz w:val="18"/>
                <w:szCs w:val="18"/>
                <w:lang w:eastAsia="ar-SA"/>
              </w:rPr>
              <w:t>розташованої за</w:t>
            </w:r>
            <w:r w:rsidRPr="00F600D3">
              <w:rPr>
                <w:sz w:val="18"/>
                <w:szCs w:val="18"/>
                <w:lang w:eastAsia="ar-SA"/>
              </w:rPr>
              <w:t xml:space="preserve"> </w:t>
            </w:r>
            <w:proofErr w:type="spellStart"/>
            <w:r w:rsidRPr="00F600D3">
              <w:rPr>
                <w:bCs/>
                <w:sz w:val="18"/>
                <w:szCs w:val="18"/>
                <w:lang w:eastAsia="ar-SA"/>
              </w:rPr>
              <w:t>адресою</w:t>
            </w:r>
            <w:proofErr w:type="spellEnd"/>
            <w:r w:rsidR="00A2323F">
              <w:rPr>
                <w:bCs/>
                <w:sz w:val="18"/>
                <w:szCs w:val="18"/>
                <w:lang w:eastAsia="ar-SA"/>
              </w:rPr>
              <w:t>:</w:t>
            </w:r>
            <w:r w:rsidRPr="00F600D3">
              <w:rPr>
                <w:bCs/>
                <w:sz w:val="18"/>
                <w:szCs w:val="18"/>
                <w:lang w:eastAsia="ar-SA"/>
              </w:rPr>
              <w:t xml:space="preserve"> Україна, Луганська область, Сєвєродонецький район, місто Сєвєродонецьк, проспект Гвардійський, будинок 9</w:t>
            </w:r>
          </w:p>
        </w:tc>
        <w:tc>
          <w:tcPr>
            <w:tcW w:w="1736"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sz w:val="18"/>
                <w:szCs w:val="18"/>
              </w:rPr>
              <w:lastRenderedPageBreak/>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bCs/>
                <w:sz w:val="18"/>
                <w:szCs w:val="18"/>
              </w:rPr>
              <w:t>21000,0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pStyle w:val="a7"/>
              <w:ind w:left="0"/>
              <w:jc w:val="center"/>
              <w:rPr>
                <w:bCs/>
                <w:sz w:val="18"/>
                <w:szCs w:val="18"/>
              </w:rPr>
            </w:pPr>
            <w:r w:rsidRPr="00B61DDC">
              <w:rPr>
                <w:bCs/>
                <w:sz w:val="18"/>
                <w:szCs w:val="18"/>
              </w:rPr>
              <w:t>9000,0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pStyle w:val="a7"/>
              <w:ind w:left="0"/>
              <w:jc w:val="center"/>
              <w:rPr>
                <w:bCs/>
                <w:sz w:val="18"/>
                <w:szCs w:val="18"/>
              </w:rPr>
            </w:pPr>
            <w:r w:rsidRPr="00B61DDC">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color w:val="000000"/>
                <w:sz w:val="18"/>
                <w:szCs w:val="18"/>
                <w:lang w:eastAsia="uk-UA"/>
              </w:rPr>
              <w:t>30000.00</w:t>
            </w:r>
          </w:p>
        </w:tc>
      </w:tr>
      <w:tr w:rsidR="00E021FE" w:rsidRPr="00E95FB1" w:rsidTr="00B61DDC">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color w:val="000000"/>
                <w:sz w:val="18"/>
                <w:szCs w:val="18"/>
                <w:lang w:eastAsia="uk-UA"/>
              </w:rPr>
              <w:t>22</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pStyle w:val="a7"/>
              <w:ind w:left="0"/>
              <w:jc w:val="center"/>
              <w:rPr>
                <w:iCs/>
                <w:sz w:val="18"/>
                <w:szCs w:val="18"/>
                <w:lang w:eastAsia="ar-SA"/>
              </w:rPr>
            </w:pPr>
            <w:r w:rsidRPr="00F600D3">
              <w:rPr>
                <w:bCs/>
                <w:iCs/>
                <w:sz w:val="18"/>
                <w:szCs w:val="18"/>
                <w:lang w:eastAsia="ar-SA"/>
              </w:rPr>
              <w:t>Будівництво обладнаного бомбосховища на території</w:t>
            </w:r>
          </w:p>
          <w:p w:rsidR="00E021FE" w:rsidRPr="00F600D3" w:rsidRDefault="00E021FE" w:rsidP="000714B4">
            <w:pPr>
              <w:jc w:val="center"/>
              <w:rPr>
                <w:color w:val="000000"/>
                <w:sz w:val="18"/>
                <w:szCs w:val="18"/>
                <w:lang w:eastAsia="uk-UA"/>
              </w:rPr>
            </w:pPr>
            <w:r w:rsidRPr="00F600D3">
              <w:rPr>
                <w:iCs/>
                <w:sz w:val="18"/>
                <w:szCs w:val="18"/>
                <w:lang w:eastAsia="ar-SA"/>
              </w:rPr>
              <w:t>Гімназії</w:t>
            </w:r>
            <w:r w:rsidRPr="00F600D3">
              <w:rPr>
                <w:sz w:val="18"/>
                <w:szCs w:val="18"/>
                <w:lang w:eastAsia="ar-SA"/>
              </w:rPr>
              <w:t xml:space="preserve"> № 12 міста Сєвєродонецька Луганської області, </w:t>
            </w:r>
            <w:r w:rsidRPr="00F600D3">
              <w:rPr>
                <w:bCs/>
                <w:sz w:val="18"/>
                <w:szCs w:val="18"/>
                <w:lang w:eastAsia="ar-SA"/>
              </w:rPr>
              <w:t>розташованої за</w:t>
            </w:r>
            <w:r w:rsidRPr="00F600D3">
              <w:rPr>
                <w:sz w:val="18"/>
                <w:szCs w:val="18"/>
                <w:lang w:eastAsia="ar-SA"/>
              </w:rPr>
              <w:t xml:space="preserve"> </w:t>
            </w:r>
            <w:proofErr w:type="spellStart"/>
            <w:r w:rsidRPr="00F600D3">
              <w:rPr>
                <w:bCs/>
                <w:sz w:val="18"/>
                <w:szCs w:val="18"/>
                <w:lang w:eastAsia="ar-SA"/>
              </w:rPr>
              <w:t>адресою</w:t>
            </w:r>
            <w:proofErr w:type="spellEnd"/>
            <w:r w:rsidR="003C7BEC">
              <w:rPr>
                <w:bCs/>
                <w:sz w:val="18"/>
                <w:szCs w:val="18"/>
                <w:lang w:eastAsia="ar-SA"/>
              </w:rPr>
              <w:t>:</w:t>
            </w:r>
            <w:r w:rsidRPr="00F600D3">
              <w:rPr>
                <w:bCs/>
                <w:sz w:val="18"/>
                <w:szCs w:val="18"/>
                <w:lang w:eastAsia="ar-SA"/>
              </w:rPr>
              <w:t xml:space="preserve"> Україна, Луганська область, Сєвєродонецький район, місто Сєвєродонецьк, проспект Гвардійський, будинок 9</w:t>
            </w:r>
          </w:p>
        </w:tc>
        <w:tc>
          <w:tcPr>
            <w:tcW w:w="1736"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bCs/>
                <w:sz w:val="18"/>
                <w:szCs w:val="18"/>
              </w:rPr>
              <w:t>16000,0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bCs/>
                <w:sz w:val="18"/>
                <w:szCs w:val="18"/>
              </w:rPr>
              <w:t>16000,0</w:t>
            </w:r>
          </w:p>
        </w:tc>
      </w:tr>
      <w:tr w:rsidR="00E021FE" w:rsidRPr="00E95FB1" w:rsidTr="00B61DDC">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color w:val="000000"/>
                <w:sz w:val="18"/>
                <w:szCs w:val="18"/>
                <w:lang w:eastAsia="uk-UA"/>
              </w:rPr>
              <w:t>23</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iCs/>
                <w:sz w:val="18"/>
                <w:szCs w:val="18"/>
                <w:lang w:eastAsia="ar-SA"/>
              </w:rPr>
              <w:t xml:space="preserve">«Сучасній школі – безпечний паркан та ефективну систему відеоспостереження» - капітальний ремонт огорожі та встановлення системи відеоспостереження навколо території </w:t>
            </w:r>
            <w:r w:rsidRPr="00F600D3">
              <w:rPr>
                <w:iCs/>
                <w:sz w:val="18"/>
                <w:szCs w:val="18"/>
                <w:lang w:eastAsia="ar-SA"/>
              </w:rPr>
              <w:t>Гімназії</w:t>
            </w:r>
            <w:r w:rsidRPr="00F600D3">
              <w:rPr>
                <w:sz w:val="18"/>
                <w:szCs w:val="18"/>
                <w:lang w:eastAsia="ar-SA"/>
              </w:rPr>
              <w:t xml:space="preserve"> № 12 міста Сєвєродонецька Луганської області, </w:t>
            </w:r>
            <w:r w:rsidRPr="00F600D3">
              <w:rPr>
                <w:bCs/>
                <w:sz w:val="18"/>
                <w:szCs w:val="18"/>
                <w:lang w:eastAsia="ar-SA"/>
              </w:rPr>
              <w:t>розташованої за</w:t>
            </w:r>
            <w:r w:rsidRPr="00F600D3">
              <w:rPr>
                <w:sz w:val="18"/>
                <w:szCs w:val="18"/>
                <w:lang w:eastAsia="ar-SA"/>
              </w:rPr>
              <w:t xml:space="preserve"> </w:t>
            </w:r>
            <w:proofErr w:type="spellStart"/>
            <w:r w:rsidRPr="00F600D3">
              <w:rPr>
                <w:bCs/>
                <w:sz w:val="18"/>
                <w:szCs w:val="18"/>
                <w:lang w:eastAsia="ar-SA"/>
              </w:rPr>
              <w:t>адресою</w:t>
            </w:r>
            <w:proofErr w:type="spellEnd"/>
            <w:r w:rsidR="001701C2">
              <w:rPr>
                <w:bCs/>
                <w:sz w:val="18"/>
                <w:szCs w:val="18"/>
                <w:lang w:eastAsia="ar-SA"/>
              </w:rPr>
              <w:t>:</w:t>
            </w:r>
            <w:r w:rsidRPr="00F600D3">
              <w:rPr>
                <w:bCs/>
                <w:sz w:val="18"/>
                <w:szCs w:val="18"/>
                <w:lang w:eastAsia="ar-SA"/>
              </w:rPr>
              <w:t xml:space="preserve"> Україна, Луганська область, Сєвєродонецький район, місто Сєвєродонецьк, проспект Гвардійський, будинок 9</w:t>
            </w:r>
          </w:p>
        </w:tc>
        <w:tc>
          <w:tcPr>
            <w:tcW w:w="1736"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bCs/>
                <w:sz w:val="18"/>
                <w:szCs w:val="18"/>
              </w:rPr>
              <w:t>6000,0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bCs/>
                <w:sz w:val="18"/>
                <w:szCs w:val="18"/>
              </w:rPr>
              <w:t>6000,0</w:t>
            </w:r>
          </w:p>
        </w:tc>
      </w:tr>
      <w:tr w:rsidR="00E021FE" w:rsidRPr="00E95FB1" w:rsidTr="00B61DDC">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color w:val="000000"/>
                <w:sz w:val="18"/>
                <w:szCs w:val="18"/>
                <w:lang w:eastAsia="uk-UA"/>
              </w:rPr>
              <w:t>24</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iCs/>
                <w:sz w:val="18"/>
                <w:szCs w:val="18"/>
                <w:lang w:eastAsia="ar-SA"/>
              </w:rPr>
              <w:t xml:space="preserve">Відновлення спортивного майданчику та реконструкція футбольного поля зі штучним покриттям </w:t>
            </w:r>
            <w:r w:rsidRPr="00F600D3">
              <w:rPr>
                <w:iCs/>
                <w:sz w:val="18"/>
                <w:szCs w:val="18"/>
                <w:lang w:eastAsia="ar-SA"/>
              </w:rPr>
              <w:t>Гімназії</w:t>
            </w:r>
            <w:r w:rsidRPr="00F600D3">
              <w:rPr>
                <w:sz w:val="18"/>
                <w:szCs w:val="18"/>
                <w:lang w:eastAsia="ar-SA"/>
              </w:rPr>
              <w:t xml:space="preserve"> № 12 міста Сєвєродонецька Луганської області, </w:t>
            </w:r>
            <w:r w:rsidRPr="00F600D3">
              <w:rPr>
                <w:bCs/>
                <w:sz w:val="18"/>
                <w:szCs w:val="18"/>
                <w:lang w:eastAsia="ar-SA"/>
              </w:rPr>
              <w:t>розташованої за</w:t>
            </w:r>
            <w:r w:rsidRPr="00F600D3">
              <w:rPr>
                <w:sz w:val="18"/>
                <w:szCs w:val="18"/>
                <w:lang w:eastAsia="ar-SA"/>
              </w:rPr>
              <w:t xml:space="preserve"> </w:t>
            </w:r>
            <w:proofErr w:type="spellStart"/>
            <w:r w:rsidRPr="00F600D3">
              <w:rPr>
                <w:bCs/>
                <w:sz w:val="18"/>
                <w:szCs w:val="18"/>
                <w:lang w:eastAsia="ar-SA"/>
              </w:rPr>
              <w:t>адресою</w:t>
            </w:r>
            <w:proofErr w:type="spellEnd"/>
            <w:r w:rsidR="001701C2">
              <w:rPr>
                <w:bCs/>
                <w:sz w:val="18"/>
                <w:szCs w:val="18"/>
                <w:lang w:eastAsia="ar-SA"/>
              </w:rPr>
              <w:t>:</w:t>
            </w:r>
            <w:r w:rsidRPr="00F600D3">
              <w:rPr>
                <w:bCs/>
                <w:sz w:val="18"/>
                <w:szCs w:val="18"/>
                <w:lang w:eastAsia="ar-SA"/>
              </w:rPr>
              <w:t xml:space="preserve"> Україна, Луганська область, Сєвєродонецький район, місто Сєвєродонецьк, проспект Гвардійський, будинок 9</w:t>
            </w:r>
          </w:p>
        </w:tc>
        <w:tc>
          <w:tcPr>
            <w:tcW w:w="1736"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bCs/>
                <w:sz w:val="18"/>
                <w:szCs w:val="18"/>
              </w:rPr>
              <w:t>2800,0</w:t>
            </w:r>
          </w:p>
        </w:tc>
        <w:tc>
          <w:tcPr>
            <w:tcW w:w="992"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pStyle w:val="a7"/>
              <w:ind w:left="0"/>
              <w:jc w:val="center"/>
              <w:rPr>
                <w:bCs/>
                <w:sz w:val="18"/>
                <w:szCs w:val="18"/>
              </w:rPr>
            </w:pPr>
            <w:r w:rsidRPr="00B61DDC">
              <w:rPr>
                <w:bCs/>
                <w:sz w:val="18"/>
                <w:szCs w:val="18"/>
              </w:rPr>
              <w:t>1200,0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pStyle w:val="a7"/>
              <w:ind w:left="0"/>
              <w:jc w:val="center"/>
              <w:rPr>
                <w:bCs/>
                <w:sz w:val="18"/>
                <w:szCs w:val="18"/>
              </w:rPr>
            </w:pPr>
            <w:r w:rsidRPr="00B61DDC">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bCs/>
                <w:sz w:val="18"/>
                <w:szCs w:val="18"/>
              </w:rPr>
              <w:t>4000,0</w:t>
            </w:r>
          </w:p>
        </w:tc>
      </w:tr>
      <w:tr w:rsidR="00E021FE" w:rsidRPr="00E95FB1" w:rsidTr="00B61DDC">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color w:val="000000"/>
                <w:sz w:val="18"/>
                <w:szCs w:val="18"/>
                <w:lang w:eastAsia="uk-UA"/>
              </w:rPr>
              <w:t>25</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sz w:val="18"/>
                <w:szCs w:val="18"/>
              </w:rPr>
              <w:t xml:space="preserve">Капітальний ремонт будівель Гімназії № 13 міста Сєвєродонецька Луганської області, </w:t>
            </w:r>
            <w:proofErr w:type="spellStart"/>
            <w:r w:rsidRPr="00F600D3">
              <w:rPr>
                <w:sz w:val="18"/>
                <w:szCs w:val="18"/>
              </w:rPr>
              <w:t>вул.Маяковського</w:t>
            </w:r>
            <w:proofErr w:type="spellEnd"/>
            <w:r w:rsidRPr="00F600D3">
              <w:rPr>
                <w:sz w:val="18"/>
                <w:szCs w:val="18"/>
              </w:rPr>
              <w:t xml:space="preserve">, буд.19, </w:t>
            </w:r>
            <w:proofErr w:type="spellStart"/>
            <w:r w:rsidRPr="00F600D3">
              <w:rPr>
                <w:sz w:val="18"/>
                <w:szCs w:val="18"/>
              </w:rPr>
              <w:t>м.Сєвєродонецьк</w:t>
            </w:r>
            <w:proofErr w:type="spellEnd"/>
            <w:r w:rsidRPr="00F600D3">
              <w:rPr>
                <w:sz w:val="18"/>
                <w:szCs w:val="18"/>
              </w:rPr>
              <w:t>, Луганська обл., 93406</w:t>
            </w:r>
          </w:p>
        </w:tc>
        <w:tc>
          <w:tcPr>
            <w:tcW w:w="1736"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rFonts w:eastAsia="Calibri"/>
                <w:sz w:val="18"/>
                <w:szCs w:val="18"/>
              </w:rPr>
              <w:t>20000.00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autoSpaceDE w:val="0"/>
              <w:autoSpaceDN w:val="0"/>
              <w:adjustRightInd w:val="0"/>
              <w:jc w:val="center"/>
              <w:rPr>
                <w:rFonts w:eastAsia="Calibri"/>
                <w:color w:val="000000"/>
                <w:sz w:val="18"/>
                <w:szCs w:val="18"/>
              </w:rPr>
            </w:pPr>
            <w:r w:rsidRPr="00B61DDC">
              <w:rPr>
                <w:rFonts w:eastAsia="Calibri"/>
                <w:color w:val="000000"/>
                <w:sz w:val="18"/>
                <w:szCs w:val="18"/>
              </w:rPr>
              <w:t>67400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autoSpaceDE w:val="0"/>
              <w:autoSpaceDN w:val="0"/>
              <w:adjustRightInd w:val="0"/>
              <w:jc w:val="center"/>
              <w:rPr>
                <w:rFonts w:eastAsia="Calibri"/>
                <w:color w:val="000000"/>
                <w:sz w:val="18"/>
                <w:szCs w:val="18"/>
              </w:rPr>
            </w:pPr>
            <w:r w:rsidRPr="00B61DDC">
              <w:rPr>
                <w:rFonts w:eastAsia="Calibri"/>
                <w:color w:val="000000"/>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rFonts w:eastAsia="Calibri"/>
                <w:color w:val="000000"/>
                <w:sz w:val="18"/>
                <w:szCs w:val="18"/>
              </w:rPr>
              <w:t>87400.00</w:t>
            </w:r>
          </w:p>
        </w:tc>
      </w:tr>
      <w:tr w:rsidR="00E021FE" w:rsidRPr="00E95FB1" w:rsidTr="00B61DDC">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color w:val="000000"/>
                <w:sz w:val="18"/>
                <w:szCs w:val="18"/>
                <w:lang w:eastAsia="uk-UA"/>
              </w:rPr>
              <w:lastRenderedPageBreak/>
              <w:t>26</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color w:val="000000"/>
                <w:sz w:val="18"/>
                <w:szCs w:val="18"/>
              </w:rPr>
              <w:t xml:space="preserve">Відновлення діяльності </w:t>
            </w:r>
            <w:r w:rsidRPr="00F600D3">
              <w:rPr>
                <w:sz w:val="18"/>
                <w:szCs w:val="18"/>
              </w:rPr>
              <w:t xml:space="preserve">Гімназії № 13 міста Сєвєродонецька Луганської області, </w:t>
            </w:r>
            <w:proofErr w:type="spellStart"/>
            <w:r w:rsidRPr="00F600D3">
              <w:rPr>
                <w:sz w:val="18"/>
                <w:szCs w:val="18"/>
              </w:rPr>
              <w:t>вул.Маяковського</w:t>
            </w:r>
            <w:proofErr w:type="spellEnd"/>
            <w:r w:rsidRPr="00F600D3">
              <w:rPr>
                <w:sz w:val="18"/>
                <w:szCs w:val="18"/>
              </w:rPr>
              <w:t xml:space="preserve">, буд.19, </w:t>
            </w:r>
            <w:proofErr w:type="spellStart"/>
            <w:r w:rsidRPr="00F600D3">
              <w:rPr>
                <w:sz w:val="18"/>
                <w:szCs w:val="18"/>
              </w:rPr>
              <w:t>м.Сєвєродонецьк</w:t>
            </w:r>
            <w:proofErr w:type="spellEnd"/>
            <w:r w:rsidRPr="00F600D3">
              <w:rPr>
                <w:sz w:val="18"/>
                <w:szCs w:val="18"/>
              </w:rPr>
              <w:t>, Луганська обл., 93406</w:t>
            </w:r>
          </w:p>
        </w:tc>
        <w:tc>
          <w:tcPr>
            <w:tcW w:w="1736"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rFonts w:eastAsia="Calibri"/>
                <w:bCs/>
                <w:color w:val="000000"/>
                <w:sz w:val="18"/>
                <w:szCs w:val="18"/>
              </w:rPr>
              <w:t>12215,7</w:t>
            </w:r>
          </w:p>
        </w:tc>
        <w:tc>
          <w:tcPr>
            <w:tcW w:w="992"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autoSpaceDE w:val="0"/>
              <w:autoSpaceDN w:val="0"/>
              <w:adjustRightInd w:val="0"/>
              <w:jc w:val="center"/>
              <w:rPr>
                <w:rFonts w:eastAsia="Calibri"/>
                <w:color w:val="000000"/>
                <w:sz w:val="18"/>
                <w:szCs w:val="18"/>
              </w:rPr>
            </w:pPr>
            <w:r w:rsidRPr="00B61DDC">
              <w:rPr>
                <w:rFonts w:eastAsia="Calibri"/>
                <w:color w:val="000000"/>
                <w:sz w:val="18"/>
                <w:szCs w:val="18"/>
              </w:rPr>
              <w:t>5235,3</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autoSpaceDE w:val="0"/>
              <w:autoSpaceDN w:val="0"/>
              <w:adjustRightInd w:val="0"/>
              <w:jc w:val="center"/>
              <w:rPr>
                <w:rFonts w:eastAsia="Calibri"/>
                <w:color w:val="000000"/>
                <w:sz w:val="18"/>
                <w:szCs w:val="18"/>
              </w:rPr>
            </w:pPr>
            <w:r w:rsidRPr="00B61DDC">
              <w:rPr>
                <w:rFonts w:eastAsia="Calibri"/>
                <w:color w:val="000000"/>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rFonts w:eastAsia="Calibri"/>
                <w:color w:val="000000"/>
                <w:sz w:val="18"/>
                <w:szCs w:val="18"/>
              </w:rPr>
              <w:t>17451,0</w:t>
            </w:r>
          </w:p>
        </w:tc>
      </w:tr>
      <w:tr w:rsidR="00E021FE" w:rsidRPr="00E95FB1" w:rsidTr="00B10C42">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val="en-US" w:eastAsia="uk-UA"/>
              </w:rPr>
            </w:pPr>
            <w:r w:rsidRPr="00B10C42">
              <w:rPr>
                <w:color w:val="000000"/>
                <w:sz w:val="18"/>
                <w:szCs w:val="18"/>
                <w:lang w:val="en-US" w:eastAsia="uk-UA"/>
              </w:rPr>
              <w:t>27</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sz w:val="18"/>
                <w:szCs w:val="18"/>
              </w:rPr>
              <w:t>Будівництво та оснащення  сучасного бомбосховища у Сєвєродонецькій загальноосвітній  школі І-ІІІ ступенів № 14 Сєвєродонецької міської ради Луганської області, вул. Гагаріна, буд.111</w:t>
            </w:r>
          </w:p>
        </w:tc>
        <w:tc>
          <w:tcPr>
            <w:tcW w:w="1736"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rFonts w:eastAsia="Calibri"/>
                <w:color w:val="000000"/>
                <w:sz w:val="18"/>
                <w:szCs w:val="18"/>
              </w:rPr>
              <w:t>3250,0</w:t>
            </w:r>
          </w:p>
        </w:tc>
        <w:tc>
          <w:tcPr>
            <w:tcW w:w="992"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autoSpaceDE w:val="0"/>
              <w:autoSpaceDN w:val="0"/>
              <w:adjustRightInd w:val="0"/>
              <w:jc w:val="center"/>
              <w:rPr>
                <w:rFonts w:eastAsia="Calibri"/>
                <w:color w:val="000000"/>
                <w:sz w:val="18"/>
                <w:szCs w:val="18"/>
              </w:rPr>
            </w:pPr>
            <w:r w:rsidRPr="00B10C42">
              <w:rPr>
                <w:rFonts w:eastAsia="Calibri"/>
                <w:color w:val="000000"/>
                <w:sz w:val="18"/>
                <w:szCs w:val="18"/>
              </w:rPr>
              <w:t>9750,0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autoSpaceDE w:val="0"/>
              <w:autoSpaceDN w:val="0"/>
              <w:adjustRightInd w:val="0"/>
              <w:jc w:val="center"/>
              <w:rPr>
                <w:rFonts w:eastAsia="Calibri"/>
                <w:color w:val="000000"/>
                <w:sz w:val="18"/>
                <w:szCs w:val="18"/>
              </w:rPr>
            </w:pPr>
            <w:r w:rsidRPr="00B10C42">
              <w:rPr>
                <w:rFonts w:eastAsia="Calibri"/>
                <w:color w:val="000000"/>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rFonts w:eastAsia="Calibri"/>
                <w:color w:val="000000"/>
                <w:sz w:val="18"/>
                <w:szCs w:val="18"/>
              </w:rPr>
              <w:t>13000,0</w:t>
            </w:r>
          </w:p>
        </w:tc>
      </w:tr>
      <w:tr w:rsidR="00E021FE" w:rsidRPr="00E95FB1" w:rsidTr="00B10C42">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val="en-US" w:eastAsia="uk-UA"/>
              </w:rPr>
            </w:pPr>
            <w:r w:rsidRPr="00B10C42">
              <w:rPr>
                <w:color w:val="000000"/>
                <w:sz w:val="18"/>
                <w:szCs w:val="18"/>
                <w:lang w:val="en-US" w:eastAsia="uk-UA"/>
              </w:rPr>
              <w:t>28</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sz w:val="18"/>
                <w:szCs w:val="18"/>
              </w:rPr>
              <w:t>Будівництво сучасного стадіону та відновлення благоустрою території Сєвєродонецької загальноосвітньої школи І-ІІІ ступенів №14 Сєвєродонецької міської ради Луганської області, вул. Гагаріна, буд. 111</w:t>
            </w:r>
          </w:p>
        </w:tc>
        <w:tc>
          <w:tcPr>
            <w:tcW w:w="1736"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rFonts w:eastAsia="Calibri"/>
                <w:color w:val="000000"/>
                <w:sz w:val="18"/>
                <w:szCs w:val="18"/>
              </w:rPr>
              <w:t>2145,0</w:t>
            </w:r>
          </w:p>
        </w:tc>
        <w:tc>
          <w:tcPr>
            <w:tcW w:w="992"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autoSpaceDE w:val="0"/>
              <w:autoSpaceDN w:val="0"/>
              <w:adjustRightInd w:val="0"/>
              <w:jc w:val="center"/>
              <w:rPr>
                <w:rFonts w:eastAsia="Calibri"/>
                <w:color w:val="000000"/>
                <w:sz w:val="18"/>
                <w:szCs w:val="18"/>
              </w:rPr>
            </w:pPr>
            <w:r w:rsidRPr="00B10C42">
              <w:rPr>
                <w:rFonts w:eastAsia="Calibri"/>
                <w:color w:val="000000"/>
                <w:sz w:val="18"/>
                <w:szCs w:val="18"/>
              </w:rPr>
              <w:t>12155,0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autoSpaceDE w:val="0"/>
              <w:autoSpaceDN w:val="0"/>
              <w:adjustRightInd w:val="0"/>
              <w:jc w:val="center"/>
              <w:rPr>
                <w:rFonts w:eastAsia="Calibri"/>
                <w:color w:val="000000"/>
                <w:sz w:val="18"/>
                <w:szCs w:val="18"/>
              </w:rPr>
            </w:pPr>
            <w:r w:rsidRPr="00B10C42">
              <w:rPr>
                <w:rFonts w:eastAsia="Calibri"/>
                <w:color w:val="000000"/>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rFonts w:eastAsia="Calibri"/>
                <w:color w:val="000000"/>
                <w:sz w:val="18"/>
                <w:szCs w:val="18"/>
              </w:rPr>
              <w:t>14300,0</w:t>
            </w:r>
          </w:p>
        </w:tc>
      </w:tr>
      <w:tr w:rsidR="00E021FE" w:rsidRPr="00E95FB1" w:rsidTr="00B10C42">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val="en-US" w:eastAsia="uk-UA"/>
              </w:rPr>
            </w:pPr>
            <w:r w:rsidRPr="00B10C42">
              <w:rPr>
                <w:color w:val="000000"/>
                <w:sz w:val="18"/>
                <w:szCs w:val="18"/>
                <w:lang w:val="en-US" w:eastAsia="uk-UA"/>
              </w:rPr>
              <w:t>29</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autoSpaceDE w:val="0"/>
              <w:autoSpaceDN w:val="0"/>
              <w:adjustRightInd w:val="0"/>
              <w:jc w:val="center"/>
              <w:rPr>
                <w:color w:val="000000"/>
                <w:sz w:val="18"/>
                <w:szCs w:val="18"/>
              </w:rPr>
            </w:pPr>
            <w:r w:rsidRPr="00F600D3">
              <w:rPr>
                <w:color w:val="000000"/>
                <w:sz w:val="18"/>
                <w:szCs w:val="18"/>
              </w:rPr>
              <w:t>Відновлення діяльності Сєвєродонецької загальноосвітньої школи</w:t>
            </w:r>
          </w:p>
          <w:p w:rsidR="00E021FE" w:rsidRPr="00F600D3" w:rsidRDefault="00E021FE" w:rsidP="000714B4">
            <w:pPr>
              <w:jc w:val="center"/>
              <w:rPr>
                <w:color w:val="000000"/>
                <w:sz w:val="18"/>
                <w:szCs w:val="18"/>
                <w:lang w:eastAsia="uk-UA"/>
              </w:rPr>
            </w:pPr>
            <w:r w:rsidRPr="00F600D3">
              <w:rPr>
                <w:color w:val="000000"/>
                <w:sz w:val="18"/>
                <w:szCs w:val="18"/>
              </w:rPr>
              <w:t>І-ІІІ ступенів №14 Сєвєродонецької міської ради Луганської області, вул. Гагаріна, буд. 111</w:t>
            </w:r>
          </w:p>
        </w:tc>
        <w:tc>
          <w:tcPr>
            <w:tcW w:w="1736"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rFonts w:eastAsia="Calibri"/>
                <w:bCs/>
                <w:color w:val="000000"/>
                <w:sz w:val="18"/>
                <w:szCs w:val="18"/>
              </w:rPr>
              <w:t>20615,7</w:t>
            </w:r>
          </w:p>
        </w:tc>
        <w:tc>
          <w:tcPr>
            <w:tcW w:w="992"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autoSpaceDE w:val="0"/>
              <w:autoSpaceDN w:val="0"/>
              <w:adjustRightInd w:val="0"/>
              <w:jc w:val="center"/>
              <w:rPr>
                <w:rFonts w:eastAsia="Calibri"/>
                <w:color w:val="000000"/>
                <w:sz w:val="18"/>
                <w:szCs w:val="18"/>
              </w:rPr>
            </w:pPr>
            <w:r w:rsidRPr="00B10C42">
              <w:rPr>
                <w:rFonts w:eastAsia="Calibri"/>
                <w:color w:val="000000"/>
                <w:sz w:val="18"/>
                <w:szCs w:val="18"/>
              </w:rPr>
              <w:t>8835,3</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autoSpaceDE w:val="0"/>
              <w:autoSpaceDN w:val="0"/>
              <w:adjustRightInd w:val="0"/>
              <w:jc w:val="center"/>
              <w:rPr>
                <w:rFonts w:eastAsia="Calibri"/>
                <w:color w:val="000000"/>
                <w:sz w:val="18"/>
                <w:szCs w:val="18"/>
              </w:rPr>
            </w:pPr>
            <w:r w:rsidRPr="00B10C42">
              <w:rPr>
                <w:rFonts w:eastAsia="Calibri"/>
                <w:color w:val="000000"/>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rFonts w:eastAsia="Calibri"/>
                <w:color w:val="000000"/>
                <w:sz w:val="18"/>
                <w:szCs w:val="18"/>
              </w:rPr>
              <w:t>29451,0</w:t>
            </w:r>
          </w:p>
        </w:tc>
      </w:tr>
      <w:tr w:rsidR="00E021FE" w:rsidRPr="00E95FB1" w:rsidTr="00B10C42">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val="en-US" w:eastAsia="uk-UA"/>
              </w:rPr>
            </w:pPr>
            <w:r w:rsidRPr="00B10C42">
              <w:rPr>
                <w:color w:val="000000"/>
                <w:sz w:val="18"/>
                <w:szCs w:val="18"/>
                <w:lang w:val="en-US" w:eastAsia="uk-UA"/>
              </w:rPr>
              <w:t>30</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sz w:val="18"/>
                <w:szCs w:val="18"/>
              </w:rPr>
              <w:t>Капітальний ремонт будівлі  Сєвєродонецької загальноосвітньої  школи І-ІІІ ступенів № 14 Сєвєродонецької міської ради Луганської області, вул. Гагаріна, буд.111</w:t>
            </w:r>
          </w:p>
        </w:tc>
        <w:tc>
          <w:tcPr>
            <w:tcW w:w="1736"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rFonts w:eastAsia="Calibri"/>
                <w:color w:val="000000"/>
                <w:sz w:val="18"/>
                <w:szCs w:val="18"/>
              </w:rPr>
              <w:t>38220,0</w:t>
            </w:r>
          </w:p>
        </w:tc>
        <w:tc>
          <w:tcPr>
            <w:tcW w:w="992"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autoSpaceDE w:val="0"/>
              <w:autoSpaceDN w:val="0"/>
              <w:adjustRightInd w:val="0"/>
              <w:jc w:val="center"/>
              <w:rPr>
                <w:rFonts w:eastAsia="Calibri"/>
                <w:color w:val="000000"/>
                <w:sz w:val="18"/>
                <w:szCs w:val="18"/>
              </w:rPr>
            </w:pPr>
            <w:r w:rsidRPr="00B10C42">
              <w:rPr>
                <w:rFonts w:eastAsia="Calibri"/>
                <w:color w:val="000000"/>
                <w:sz w:val="18"/>
                <w:szCs w:val="18"/>
              </w:rPr>
              <w:t>89180,0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autoSpaceDE w:val="0"/>
              <w:autoSpaceDN w:val="0"/>
              <w:adjustRightInd w:val="0"/>
              <w:jc w:val="center"/>
              <w:rPr>
                <w:rFonts w:eastAsia="Calibri"/>
                <w:color w:val="000000"/>
                <w:sz w:val="18"/>
                <w:szCs w:val="18"/>
              </w:rPr>
            </w:pPr>
            <w:r w:rsidRPr="00B10C42">
              <w:rPr>
                <w:rFonts w:eastAsia="Calibri"/>
                <w:color w:val="000000"/>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rFonts w:eastAsia="Calibri"/>
                <w:color w:val="000000"/>
                <w:sz w:val="18"/>
                <w:szCs w:val="18"/>
              </w:rPr>
              <w:t>127400,0</w:t>
            </w:r>
          </w:p>
        </w:tc>
      </w:tr>
      <w:tr w:rsidR="00E021FE" w:rsidRPr="00E95FB1" w:rsidTr="00B10C42">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val="en-US" w:eastAsia="uk-UA"/>
              </w:rPr>
            </w:pPr>
            <w:r w:rsidRPr="00B10C42">
              <w:rPr>
                <w:color w:val="000000"/>
                <w:sz w:val="18"/>
                <w:szCs w:val="18"/>
                <w:lang w:val="en-US" w:eastAsia="uk-UA"/>
              </w:rPr>
              <w:t>31</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rFonts w:eastAsia="Calibri"/>
                <w:color w:val="000000"/>
                <w:sz w:val="18"/>
                <w:szCs w:val="18"/>
              </w:rPr>
              <w:t xml:space="preserve">Створення "кабінетів під ключ"  для  учасників освітнього процесу Гімназії № 15 міста Сєвєродонецька Луганської області, розташованої за </w:t>
            </w:r>
            <w:proofErr w:type="spellStart"/>
            <w:r w:rsidRPr="00F600D3">
              <w:rPr>
                <w:rFonts w:eastAsia="Calibri"/>
                <w:color w:val="000000"/>
                <w:sz w:val="18"/>
                <w:szCs w:val="18"/>
              </w:rPr>
              <w:t>адресою</w:t>
            </w:r>
            <w:proofErr w:type="spellEnd"/>
            <w:r w:rsidRPr="00F600D3">
              <w:rPr>
                <w:rFonts w:eastAsia="Calibri"/>
                <w:color w:val="000000"/>
                <w:sz w:val="18"/>
                <w:szCs w:val="18"/>
              </w:rPr>
              <w:t>:  Луганська область, Сєвєродонецький район, місто Сєвєродонецьк, вулиця Федоренка, будинок 39.</w:t>
            </w:r>
          </w:p>
        </w:tc>
        <w:tc>
          <w:tcPr>
            <w:tcW w:w="1736"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rFonts w:eastAsia="Calibri"/>
                <w:color w:val="000000"/>
                <w:sz w:val="18"/>
                <w:szCs w:val="18"/>
              </w:rPr>
              <w:t>3500,0</w:t>
            </w:r>
          </w:p>
        </w:tc>
        <w:tc>
          <w:tcPr>
            <w:tcW w:w="992"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val="en-US" w:eastAsia="uk-UA"/>
              </w:rPr>
            </w:pPr>
            <w:r w:rsidRPr="00B10C42">
              <w:rPr>
                <w:color w:val="000000"/>
                <w:sz w:val="18"/>
                <w:szCs w:val="18"/>
                <w:lang w:val="en-US" w:eastAsia="uk-UA"/>
              </w:rPr>
              <w:t>1500</w:t>
            </w:r>
            <w:r w:rsidRPr="00B10C42">
              <w:rPr>
                <w:color w:val="000000"/>
                <w:sz w:val="18"/>
                <w:szCs w:val="18"/>
                <w:lang w:eastAsia="uk-UA"/>
              </w:rPr>
              <w:t>,</w:t>
            </w:r>
            <w:r w:rsidRPr="00B10C42">
              <w:rPr>
                <w:color w:val="000000"/>
                <w:sz w:val="18"/>
                <w:szCs w:val="18"/>
                <w:lang w:val="en-US" w:eastAsia="uk-UA"/>
              </w:rPr>
              <w:t>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rFonts w:eastAsia="Calibri"/>
                <w:color w:val="000000"/>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color w:val="000000"/>
                <w:sz w:val="18"/>
                <w:szCs w:val="18"/>
                <w:lang w:eastAsia="uk-UA"/>
              </w:rPr>
              <w:t>5000,00</w:t>
            </w:r>
          </w:p>
        </w:tc>
      </w:tr>
      <w:tr w:rsidR="00E021FE" w:rsidRPr="00E95FB1" w:rsidTr="00B10C42">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color w:val="000000"/>
                <w:sz w:val="18"/>
                <w:szCs w:val="18"/>
                <w:lang w:eastAsia="uk-UA"/>
              </w:rPr>
              <w:t>32</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rFonts w:eastAsia="Calibri"/>
                <w:sz w:val="18"/>
                <w:szCs w:val="18"/>
              </w:rPr>
              <w:t xml:space="preserve">Перезавантаження. Капітальний ремонт і відновлення технічної та науково-методичної бази </w:t>
            </w:r>
            <w:bookmarkStart w:id="48" w:name="_Hlk139731560"/>
            <w:r w:rsidRPr="00F600D3">
              <w:rPr>
                <w:rFonts w:eastAsia="Calibri"/>
                <w:sz w:val="18"/>
                <w:szCs w:val="18"/>
              </w:rPr>
              <w:t xml:space="preserve">гімназії № </w:t>
            </w:r>
            <w:r w:rsidRPr="00F600D3">
              <w:rPr>
                <w:rFonts w:eastAsia="Calibri"/>
                <w:sz w:val="18"/>
                <w:szCs w:val="18"/>
              </w:rPr>
              <w:lastRenderedPageBreak/>
              <w:t xml:space="preserve">16 м. Сєвєродонецька Луганської області </w:t>
            </w:r>
            <w:bookmarkEnd w:id="48"/>
            <w:r w:rsidRPr="00F600D3">
              <w:rPr>
                <w:rFonts w:eastAsia="Calibri"/>
                <w:sz w:val="18"/>
                <w:szCs w:val="18"/>
              </w:rPr>
              <w:t xml:space="preserve">та шкільної теплиці, за </w:t>
            </w:r>
            <w:proofErr w:type="spellStart"/>
            <w:r w:rsidRPr="00F600D3">
              <w:rPr>
                <w:rFonts w:eastAsia="Calibri"/>
                <w:sz w:val="18"/>
                <w:szCs w:val="18"/>
              </w:rPr>
              <w:t>адресою</w:t>
            </w:r>
            <w:proofErr w:type="spellEnd"/>
            <w:r w:rsidR="00DF6E04">
              <w:rPr>
                <w:rFonts w:eastAsia="Calibri"/>
                <w:sz w:val="18"/>
                <w:szCs w:val="18"/>
              </w:rPr>
              <w:t>:</w:t>
            </w:r>
            <w:r w:rsidRPr="00F600D3">
              <w:rPr>
                <w:rFonts w:eastAsia="Calibri"/>
                <w:sz w:val="18"/>
                <w:szCs w:val="18"/>
              </w:rPr>
              <w:t xml:space="preserve"> вул. Гагаріна, буд. 97</w:t>
            </w:r>
          </w:p>
        </w:tc>
        <w:tc>
          <w:tcPr>
            <w:tcW w:w="1736"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sz w:val="18"/>
                <w:szCs w:val="18"/>
              </w:rPr>
              <w:lastRenderedPageBreak/>
              <w:t xml:space="preserve">Сєвєродонецька міська </w:t>
            </w:r>
            <w:r w:rsidRPr="00B10C42">
              <w:rPr>
                <w:sz w:val="18"/>
                <w:szCs w:val="18"/>
              </w:rPr>
              <w:lastRenderedPageBreak/>
              <w:t>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sz w:val="18"/>
                <w:szCs w:val="18"/>
              </w:rPr>
              <w:lastRenderedPageBreak/>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rFonts w:eastAsia="Calibri"/>
                <w:bCs/>
                <w:sz w:val="18"/>
                <w:szCs w:val="18"/>
              </w:rPr>
              <w:t>44877,9</w:t>
            </w:r>
          </w:p>
        </w:tc>
        <w:tc>
          <w:tcPr>
            <w:tcW w:w="992"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rFonts w:eastAsia="Calibri"/>
                <w:color w:val="000000"/>
                <w:sz w:val="18"/>
                <w:szCs w:val="18"/>
              </w:rPr>
              <w:t>19233,4</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rFonts w:eastAsia="Calibri"/>
                <w:color w:val="000000"/>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rFonts w:eastAsia="Calibri"/>
                <w:bCs/>
                <w:color w:val="000000"/>
                <w:sz w:val="18"/>
                <w:szCs w:val="18"/>
              </w:rPr>
              <w:t>64111,3</w:t>
            </w:r>
          </w:p>
        </w:tc>
      </w:tr>
      <w:tr w:rsidR="00E021FE" w:rsidRPr="00E95FB1" w:rsidTr="00DE368C">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DE368C" w:rsidRDefault="00E021FE" w:rsidP="000714B4">
            <w:pPr>
              <w:jc w:val="center"/>
              <w:rPr>
                <w:color w:val="000000"/>
                <w:sz w:val="18"/>
                <w:szCs w:val="18"/>
                <w:lang w:eastAsia="uk-UA"/>
              </w:rPr>
            </w:pPr>
            <w:r w:rsidRPr="00DE368C">
              <w:rPr>
                <w:color w:val="000000"/>
                <w:sz w:val="18"/>
                <w:szCs w:val="18"/>
                <w:lang w:eastAsia="uk-UA"/>
              </w:rPr>
              <w:t>33</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color w:val="000000"/>
                <w:sz w:val="18"/>
                <w:szCs w:val="18"/>
              </w:rPr>
              <w:t>Капітальний ремонт будівлі комунальної установи Гімназії  № 18 міста Сєвєродонецька Луганської області, вул. Курчатова, буд. 27</w:t>
            </w:r>
          </w:p>
        </w:tc>
        <w:tc>
          <w:tcPr>
            <w:tcW w:w="1736"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jc w:val="center"/>
              <w:rPr>
                <w:color w:val="000000"/>
                <w:sz w:val="18"/>
                <w:szCs w:val="18"/>
                <w:lang w:eastAsia="uk-UA"/>
              </w:rPr>
            </w:pPr>
            <w:r w:rsidRPr="00DE368C">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jc w:val="center"/>
              <w:rPr>
                <w:color w:val="000000"/>
                <w:sz w:val="18"/>
                <w:szCs w:val="18"/>
                <w:lang w:eastAsia="uk-UA"/>
              </w:rPr>
            </w:pPr>
            <w:r w:rsidRPr="00DE368C">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jc w:val="center"/>
              <w:rPr>
                <w:color w:val="000000"/>
                <w:sz w:val="18"/>
                <w:szCs w:val="18"/>
                <w:lang w:eastAsia="uk-UA"/>
              </w:rPr>
            </w:pPr>
            <w:r w:rsidRPr="00DE368C">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autoSpaceDE w:val="0"/>
              <w:autoSpaceDN w:val="0"/>
              <w:adjustRightInd w:val="0"/>
              <w:jc w:val="center"/>
              <w:rPr>
                <w:rFonts w:eastAsia="Calibri"/>
                <w:color w:val="000000"/>
                <w:sz w:val="18"/>
                <w:szCs w:val="18"/>
              </w:rPr>
            </w:pPr>
            <w:r w:rsidRPr="00DE368C">
              <w:rPr>
                <w:rFonts w:eastAsia="Calibri"/>
                <w:sz w:val="18"/>
                <w:szCs w:val="18"/>
              </w:rPr>
              <w:t>28 000,0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autoSpaceDE w:val="0"/>
              <w:autoSpaceDN w:val="0"/>
              <w:adjustRightInd w:val="0"/>
              <w:jc w:val="center"/>
              <w:rPr>
                <w:rFonts w:eastAsia="Calibri"/>
                <w:color w:val="000000"/>
                <w:sz w:val="18"/>
                <w:szCs w:val="18"/>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autoSpaceDE w:val="0"/>
              <w:autoSpaceDN w:val="0"/>
              <w:adjustRightInd w:val="0"/>
              <w:jc w:val="center"/>
              <w:rPr>
                <w:rFonts w:eastAsia="Calibri"/>
                <w:color w:val="000000"/>
                <w:sz w:val="18"/>
                <w:szCs w:val="18"/>
              </w:rPr>
            </w:pPr>
            <w:r w:rsidRPr="00DE368C">
              <w:rPr>
                <w:rFonts w:eastAsia="Calibri"/>
                <w:color w:val="000000"/>
                <w:sz w:val="18"/>
                <w:szCs w:val="18"/>
              </w:rPr>
              <w:t>12000,0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autoSpaceDE w:val="0"/>
              <w:autoSpaceDN w:val="0"/>
              <w:adjustRightInd w:val="0"/>
              <w:jc w:val="center"/>
              <w:rPr>
                <w:rFonts w:eastAsia="Calibri"/>
                <w:color w:val="000000"/>
                <w:sz w:val="18"/>
                <w:szCs w:val="18"/>
              </w:rPr>
            </w:pPr>
            <w:r w:rsidRPr="00DE368C">
              <w:rPr>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autoSpaceDE w:val="0"/>
              <w:autoSpaceDN w:val="0"/>
              <w:adjustRightInd w:val="0"/>
              <w:jc w:val="center"/>
              <w:rPr>
                <w:rFonts w:eastAsia="Calibri"/>
                <w:color w:val="000000"/>
                <w:sz w:val="18"/>
                <w:szCs w:val="18"/>
              </w:rPr>
            </w:pPr>
            <w:r w:rsidRPr="00DE368C">
              <w:rPr>
                <w:rFonts w:eastAsia="Calibri"/>
                <w:sz w:val="18"/>
                <w:szCs w:val="18"/>
              </w:rPr>
              <w:t>40 000,0</w:t>
            </w:r>
          </w:p>
        </w:tc>
      </w:tr>
      <w:tr w:rsidR="00E021FE" w:rsidRPr="00E95FB1" w:rsidTr="00DE368C">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DE368C" w:rsidRDefault="00E021FE" w:rsidP="000714B4">
            <w:pPr>
              <w:jc w:val="center"/>
              <w:rPr>
                <w:color w:val="000000"/>
                <w:sz w:val="18"/>
                <w:szCs w:val="18"/>
                <w:lang w:eastAsia="uk-UA"/>
              </w:rPr>
            </w:pPr>
            <w:r w:rsidRPr="00DE368C">
              <w:rPr>
                <w:color w:val="000000"/>
                <w:sz w:val="18"/>
                <w:szCs w:val="18"/>
                <w:lang w:eastAsia="uk-UA"/>
              </w:rPr>
              <w:t>34</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color w:val="000000"/>
                <w:sz w:val="18"/>
                <w:szCs w:val="18"/>
              </w:rPr>
              <w:t>Відновлення паркану, системи відео-нагляду та зовнішнього освітлення садиби середньої загальноосвітньої школи I-III ступенів № 18 м. Сєвєродонецька Луганської області, вул. Курчатова, буд. 27-Б</w:t>
            </w:r>
          </w:p>
        </w:tc>
        <w:tc>
          <w:tcPr>
            <w:tcW w:w="1736"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jc w:val="center"/>
              <w:rPr>
                <w:color w:val="000000"/>
                <w:sz w:val="18"/>
                <w:szCs w:val="18"/>
                <w:lang w:eastAsia="uk-UA"/>
              </w:rPr>
            </w:pPr>
            <w:r w:rsidRPr="00DE368C">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jc w:val="center"/>
              <w:rPr>
                <w:color w:val="000000"/>
                <w:sz w:val="18"/>
                <w:szCs w:val="18"/>
                <w:lang w:eastAsia="uk-UA"/>
              </w:rPr>
            </w:pPr>
            <w:r w:rsidRPr="00DE368C">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jc w:val="center"/>
              <w:rPr>
                <w:color w:val="000000"/>
                <w:sz w:val="18"/>
                <w:szCs w:val="18"/>
                <w:lang w:eastAsia="uk-UA"/>
              </w:rPr>
            </w:pPr>
            <w:r w:rsidRPr="00DE368C">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jc w:val="center"/>
              <w:rPr>
                <w:color w:val="000000"/>
                <w:sz w:val="18"/>
                <w:szCs w:val="18"/>
                <w:lang w:eastAsia="uk-UA"/>
              </w:rPr>
            </w:pPr>
            <w:r w:rsidRPr="00DE368C">
              <w:rPr>
                <w:rFonts w:eastAsia="Calibri"/>
                <w:color w:val="000000"/>
                <w:sz w:val="18"/>
                <w:szCs w:val="18"/>
              </w:rPr>
              <w:t>276 ,0</w:t>
            </w:r>
          </w:p>
        </w:tc>
        <w:tc>
          <w:tcPr>
            <w:tcW w:w="992"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jc w:val="center"/>
              <w:rPr>
                <w:color w:val="000000"/>
                <w:sz w:val="18"/>
                <w:szCs w:val="18"/>
                <w:lang w:eastAsia="uk-UA"/>
              </w:rPr>
            </w:pPr>
            <w:r w:rsidRPr="00DE368C">
              <w:rPr>
                <w:rFonts w:eastAsia="Calibri"/>
                <w:color w:val="000000"/>
                <w:sz w:val="18"/>
                <w:szCs w:val="18"/>
              </w:rPr>
              <w:t>276 ,0</w:t>
            </w:r>
          </w:p>
        </w:tc>
      </w:tr>
      <w:tr w:rsidR="00E021FE" w:rsidRPr="00E95FB1" w:rsidTr="00DE368C">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DE368C" w:rsidRDefault="00E021FE" w:rsidP="000714B4">
            <w:pPr>
              <w:jc w:val="center"/>
              <w:rPr>
                <w:color w:val="000000"/>
                <w:sz w:val="18"/>
                <w:szCs w:val="18"/>
                <w:lang w:eastAsia="uk-UA"/>
              </w:rPr>
            </w:pPr>
            <w:r w:rsidRPr="00DE368C">
              <w:rPr>
                <w:color w:val="000000"/>
                <w:sz w:val="18"/>
                <w:szCs w:val="18"/>
                <w:lang w:eastAsia="uk-UA"/>
              </w:rPr>
              <w:t>35</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color w:val="000000"/>
                <w:sz w:val="18"/>
                <w:szCs w:val="18"/>
              </w:rPr>
              <w:t>Оснащення Гімназії № 18  м. Сєвєродонецька Луганської області, вул. Курчатова, буд. 27-Б необхідним для якісної освіти обладнанням</w:t>
            </w:r>
          </w:p>
        </w:tc>
        <w:tc>
          <w:tcPr>
            <w:tcW w:w="1736"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jc w:val="center"/>
              <w:rPr>
                <w:color w:val="000000"/>
                <w:sz w:val="18"/>
                <w:szCs w:val="18"/>
                <w:lang w:eastAsia="uk-UA"/>
              </w:rPr>
            </w:pPr>
            <w:r w:rsidRPr="00DE368C">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jc w:val="center"/>
              <w:rPr>
                <w:color w:val="000000"/>
                <w:sz w:val="18"/>
                <w:szCs w:val="18"/>
                <w:lang w:eastAsia="uk-UA"/>
              </w:rPr>
            </w:pPr>
            <w:r w:rsidRPr="00DE368C">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jc w:val="center"/>
              <w:rPr>
                <w:color w:val="000000"/>
                <w:sz w:val="18"/>
                <w:szCs w:val="18"/>
                <w:lang w:eastAsia="uk-UA"/>
              </w:rPr>
            </w:pPr>
            <w:r w:rsidRPr="00DE368C">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autoSpaceDE w:val="0"/>
              <w:autoSpaceDN w:val="0"/>
              <w:adjustRightInd w:val="0"/>
              <w:jc w:val="center"/>
              <w:rPr>
                <w:rFonts w:eastAsia="Calibri"/>
                <w:color w:val="000000"/>
                <w:sz w:val="18"/>
                <w:szCs w:val="18"/>
              </w:rPr>
            </w:pPr>
            <w:r w:rsidRPr="00DE368C">
              <w:rPr>
                <w:sz w:val="18"/>
                <w:szCs w:val="18"/>
                <w:lang w:eastAsia="uk-UA"/>
              </w:rPr>
              <w:t>7560,0</w:t>
            </w:r>
          </w:p>
        </w:tc>
        <w:tc>
          <w:tcPr>
            <w:tcW w:w="992"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autoSpaceDE w:val="0"/>
              <w:autoSpaceDN w:val="0"/>
              <w:adjustRightInd w:val="0"/>
              <w:jc w:val="center"/>
              <w:rPr>
                <w:rFonts w:eastAsia="Calibri"/>
                <w:color w:val="000000"/>
                <w:sz w:val="18"/>
                <w:szCs w:val="18"/>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autoSpaceDE w:val="0"/>
              <w:autoSpaceDN w:val="0"/>
              <w:adjustRightInd w:val="0"/>
              <w:jc w:val="center"/>
              <w:rPr>
                <w:rFonts w:eastAsia="Calibri"/>
                <w:color w:val="000000"/>
                <w:sz w:val="18"/>
                <w:szCs w:val="18"/>
              </w:rPr>
            </w:pPr>
            <w:r w:rsidRPr="00DE368C">
              <w:rPr>
                <w:rFonts w:eastAsia="Calibri"/>
                <w:color w:val="000000"/>
                <w:sz w:val="18"/>
                <w:szCs w:val="18"/>
              </w:rPr>
              <w:t>3240,0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autoSpaceDE w:val="0"/>
              <w:autoSpaceDN w:val="0"/>
              <w:adjustRightInd w:val="0"/>
              <w:jc w:val="center"/>
              <w:rPr>
                <w:rFonts w:eastAsia="Calibri"/>
                <w:color w:val="000000"/>
                <w:sz w:val="18"/>
                <w:szCs w:val="18"/>
              </w:rPr>
            </w:pPr>
            <w:r w:rsidRPr="00DE368C">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autoSpaceDE w:val="0"/>
              <w:autoSpaceDN w:val="0"/>
              <w:adjustRightInd w:val="0"/>
              <w:jc w:val="center"/>
              <w:rPr>
                <w:rFonts w:eastAsia="Calibri"/>
                <w:color w:val="000000"/>
                <w:sz w:val="18"/>
                <w:szCs w:val="18"/>
              </w:rPr>
            </w:pPr>
            <w:r w:rsidRPr="00DE368C">
              <w:rPr>
                <w:sz w:val="18"/>
                <w:szCs w:val="18"/>
                <w:lang w:eastAsia="uk-UA"/>
              </w:rPr>
              <w:t>10 800,0</w:t>
            </w:r>
          </w:p>
        </w:tc>
      </w:tr>
      <w:tr w:rsidR="00E021FE" w:rsidRPr="00E95FB1" w:rsidTr="00DE368C">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DE368C" w:rsidRDefault="00E021FE" w:rsidP="000714B4">
            <w:pPr>
              <w:jc w:val="center"/>
              <w:rPr>
                <w:color w:val="000000"/>
                <w:sz w:val="18"/>
                <w:szCs w:val="18"/>
                <w:lang w:eastAsia="uk-UA"/>
              </w:rPr>
            </w:pPr>
            <w:r w:rsidRPr="00DE368C">
              <w:rPr>
                <w:color w:val="000000"/>
                <w:sz w:val="18"/>
                <w:szCs w:val="18"/>
                <w:lang w:eastAsia="uk-UA"/>
              </w:rPr>
              <w:t>36</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color w:val="000000"/>
                <w:sz w:val="18"/>
                <w:szCs w:val="18"/>
              </w:rPr>
              <w:t>Улаштування захисних споруд, обладнання укриття на випадок НС згідно загальних вимог у  будівлі</w:t>
            </w:r>
            <w:r w:rsidRPr="00F600D3">
              <w:rPr>
                <w:rFonts w:ascii="Calibri" w:hAnsi="Calibri" w:cs="Calibri"/>
                <w:color w:val="000000"/>
                <w:sz w:val="18"/>
                <w:szCs w:val="18"/>
              </w:rPr>
              <w:t xml:space="preserve"> </w:t>
            </w:r>
            <w:r w:rsidRPr="00F600D3">
              <w:rPr>
                <w:color w:val="000000"/>
                <w:sz w:val="18"/>
                <w:szCs w:val="18"/>
              </w:rPr>
              <w:t>Гімназії № 18  м. Сєвєродонецька Луганської області, вул. Курчатова, буд. 27-Б необхідним</w:t>
            </w:r>
          </w:p>
        </w:tc>
        <w:tc>
          <w:tcPr>
            <w:tcW w:w="1736"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jc w:val="center"/>
              <w:rPr>
                <w:color w:val="000000"/>
                <w:sz w:val="18"/>
                <w:szCs w:val="18"/>
                <w:lang w:eastAsia="uk-UA"/>
              </w:rPr>
            </w:pPr>
            <w:r w:rsidRPr="00DE368C">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jc w:val="center"/>
              <w:rPr>
                <w:color w:val="000000"/>
                <w:sz w:val="18"/>
                <w:szCs w:val="18"/>
                <w:lang w:eastAsia="uk-UA"/>
              </w:rPr>
            </w:pPr>
            <w:r w:rsidRPr="00DE368C">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jc w:val="center"/>
              <w:rPr>
                <w:color w:val="000000"/>
                <w:sz w:val="18"/>
                <w:szCs w:val="18"/>
                <w:lang w:eastAsia="uk-UA"/>
              </w:rPr>
            </w:pPr>
            <w:r w:rsidRPr="00DE368C">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autoSpaceDE w:val="0"/>
              <w:autoSpaceDN w:val="0"/>
              <w:adjustRightInd w:val="0"/>
              <w:jc w:val="center"/>
              <w:rPr>
                <w:rFonts w:eastAsia="Calibri"/>
                <w:color w:val="000000"/>
                <w:sz w:val="18"/>
                <w:szCs w:val="18"/>
              </w:rPr>
            </w:pPr>
            <w:r w:rsidRPr="00DE368C">
              <w:rPr>
                <w:sz w:val="18"/>
                <w:szCs w:val="18"/>
                <w:lang w:eastAsia="uk-UA"/>
              </w:rPr>
              <w:t>2 100,0</w:t>
            </w:r>
          </w:p>
        </w:tc>
        <w:tc>
          <w:tcPr>
            <w:tcW w:w="992"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autoSpaceDE w:val="0"/>
              <w:autoSpaceDN w:val="0"/>
              <w:adjustRightInd w:val="0"/>
              <w:jc w:val="center"/>
              <w:rPr>
                <w:rFonts w:eastAsia="Calibri"/>
                <w:color w:val="000000"/>
                <w:sz w:val="18"/>
                <w:szCs w:val="18"/>
              </w:rPr>
            </w:pPr>
            <w:r w:rsidRPr="00DE368C">
              <w:rPr>
                <w:rFonts w:eastAsia="Calibri"/>
                <w:color w:val="000000"/>
                <w:sz w:val="18"/>
                <w:szCs w:val="18"/>
              </w:rPr>
              <w:t>-</w:t>
            </w:r>
          </w:p>
        </w:tc>
        <w:tc>
          <w:tcPr>
            <w:tcW w:w="1128"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autoSpaceDE w:val="0"/>
              <w:autoSpaceDN w:val="0"/>
              <w:adjustRightInd w:val="0"/>
              <w:jc w:val="center"/>
              <w:rPr>
                <w:rFonts w:eastAsia="Calibri"/>
                <w:color w:val="000000"/>
                <w:sz w:val="18"/>
                <w:szCs w:val="18"/>
              </w:rPr>
            </w:pPr>
            <w:r w:rsidRPr="00DE368C">
              <w:rPr>
                <w:rFonts w:eastAsia="Calibri"/>
                <w:color w:val="000000"/>
                <w:sz w:val="18"/>
                <w:szCs w:val="18"/>
              </w:rPr>
              <w:t>900,0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autoSpaceDE w:val="0"/>
              <w:autoSpaceDN w:val="0"/>
              <w:adjustRightInd w:val="0"/>
              <w:jc w:val="center"/>
              <w:rPr>
                <w:rFonts w:eastAsia="Calibri"/>
                <w:color w:val="000000"/>
                <w:sz w:val="18"/>
                <w:szCs w:val="18"/>
              </w:rPr>
            </w:pPr>
            <w:r w:rsidRPr="00DE368C">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autoSpaceDE w:val="0"/>
              <w:autoSpaceDN w:val="0"/>
              <w:adjustRightInd w:val="0"/>
              <w:jc w:val="center"/>
              <w:rPr>
                <w:rFonts w:eastAsia="Calibri"/>
                <w:color w:val="000000"/>
                <w:sz w:val="18"/>
                <w:szCs w:val="18"/>
              </w:rPr>
            </w:pPr>
            <w:r w:rsidRPr="00DE368C">
              <w:rPr>
                <w:sz w:val="18"/>
                <w:szCs w:val="18"/>
                <w:lang w:eastAsia="uk-UA"/>
              </w:rPr>
              <w:t>3 000,0</w:t>
            </w:r>
          </w:p>
        </w:tc>
      </w:tr>
      <w:tr w:rsidR="00E021FE" w:rsidRPr="00E95FB1" w:rsidTr="002754FD">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color w:val="000000"/>
                <w:sz w:val="18"/>
                <w:szCs w:val="18"/>
                <w:lang w:eastAsia="uk-UA"/>
              </w:rPr>
              <w:t>37</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sz w:val="18"/>
                <w:szCs w:val="18"/>
              </w:rPr>
              <w:t>Відновлення діяльності комунального закладу Гімназії № 20 міста Сєвєродонецька</w:t>
            </w:r>
            <w:r w:rsidRPr="00F600D3">
              <w:rPr>
                <w:color w:val="FF0000"/>
                <w:sz w:val="18"/>
                <w:szCs w:val="18"/>
              </w:rPr>
              <w:t xml:space="preserve"> </w:t>
            </w:r>
            <w:r w:rsidRPr="00F600D3">
              <w:rPr>
                <w:bCs/>
                <w:sz w:val="18"/>
                <w:szCs w:val="18"/>
              </w:rPr>
              <w:t xml:space="preserve">Луганської області, Сєвєродонецького </w:t>
            </w:r>
            <w:proofErr w:type="spellStart"/>
            <w:r w:rsidRPr="00F600D3">
              <w:rPr>
                <w:bCs/>
                <w:sz w:val="18"/>
                <w:szCs w:val="18"/>
              </w:rPr>
              <w:t>району,за</w:t>
            </w:r>
            <w:proofErr w:type="spellEnd"/>
            <w:r w:rsidRPr="00F600D3">
              <w:rPr>
                <w:bCs/>
                <w:sz w:val="18"/>
                <w:szCs w:val="18"/>
              </w:rPr>
              <w:t xml:space="preserve"> </w:t>
            </w:r>
            <w:proofErr w:type="spellStart"/>
            <w:r w:rsidRPr="00F600D3">
              <w:rPr>
                <w:bCs/>
                <w:sz w:val="18"/>
                <w:szCs w:val="18"/>
              </w:rPr>
              <w:t>адресою</w:t>
            </w:r>
            <w:proofErr w:type="spellEnd"/>
            <w:r w:rsidRPr="00F600D3">
              <w:rPr>
                <w:bCs/>
                <w:sz w:val="18"/>
                <w:szCs w:val="18"/>
              </w:rPr>
              <w:t>: місто Сєвєродонецьк, вулиця Гагаріна 113.</w:t>
            </w:r>
          </w:p>
        </w:tc>
        <w:tc>
          <w:tcPr>
            <w:tcW w:w="1736"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bCs/>
                <w:sz w:val="18"/>
                <w:szCs w:val="18"/>
                <w:lang w:val="ru-RU"/>
              </w:rPr>
              <w:t>35000,0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pStyle w:val="a7"/>
              <w:ind w:left="0"/>
              <w:jc w:val="center"/>
              <w:rPr>
                <w:bCs/>
                <w:sz w:val="18"/>
                <w:szCs w:val="18"/>
              </w:rPr>
            </w:pPr>
            <w:r w:rsidRPr="002754FD">
              <w:rPr>
                <w:bCs/>
                <w:sz w:val="18"/>
                <w:szCs w:val="18"/>
              </w:rPr>
              <w:t>15000,0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pStyle w:val="a7"/>
              <w:ind w:left="0"/>
              <w:jc w:val="center"/>
              <w:rPr>
                <w:bCs/>
                <w:sz w:val="18"/>
                <w:szCs w:val="18"/>
              </w:rPr>
            </w:pPr>
            <w:r w:rsidRPr="002754FD">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color w:val="000000"/>
                <w:sz w:val="18"/>
                <w:szCs w:val="18"/>
                <w:lang w:eastAsia="uk-UA"/>
              </w:rPr>
              <w:t>50000,00</w:t>
            </w:r>
          </w:p>
        </w:tc>
      </w:tr>
      <w:tr w:rsidR="00E021FE" w:rsidRPr="00E95FB1" w:rsidTr="002754FD">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color w:val="000000"/>
                <w:sz w:val="18"/>
                <w:szCs w:val="18"/>
                <w:lang w:eastAsia="uk-UA"/>
              </w:rPr>
              <w:t>38</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sz w:val="18"/>
                <w:szCs w:val="18"/>
              </w:rPr>
              <w:t>Капітальний ремонт будівлі комунального закладу Гімназії № 20 міста Сєвєродонецька</w:t>
            </w:r>
            <w:r w:rsidRPr="00F600D3">
              <w:rPr>
                <w:color w:val="FF0000"/>
                <w:sz w:val="18"/>
                <w:szCs w:val="18"/>
              </w:rPr>
              <w:t xml:space="preserve"> </w:t>
            </w:r>
            <w:r w:rsidRPr="00F600D3">
              <w:rPr>
                <w:bCs/>
                <w:sz w:val="18"/>
                <w:szCs w:val="18"/>
              </w:rPr>
              <w:t xml:space="preserve">Луганської області, Сєвєродонецького району, за </w:t>
            </w:r>
            <w:proofErr w:type="spellStart"/>
            <w:r w:rsidRPr="00F600D3">
              <w:rPr>
                <w:bCs/>
                <w:sz w:val="18"/>
                <w:szCs w:val="18"/>
              </w:rPr>
              <w:t>адресою</w:t>
            </w:r>
            <w:proofErr w:type="spellEnd"/>
            <w:r w:rsidRPr="00F600D3">
              <w:rPr>
                <w:bCs/>
                <w:sz w:val="18"/>
                <w:szCs w:val="18"/>
              </w:rPr>
              <w:t>: місто Сєвєродонецьк, вулиця Гагаріна ,буд.113</w:t>
            </w:r>
          </w:p>
        </w:tc>
        <w:tc>
          <w:tcPr>
            <w:tcW w:w="1736"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bCs/>
                <w:sz w:val="18"/>
                <w:szCs w:val="18"/>
              </w:rPr>
              <w:t>35000,0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pStyle w:val="a7"/>
              <w:ind w:left="0"/>
              <w:jc w:val="center"/>
              <w:rPr>
                <w:bCs/>
                <w:sz w:val="18"/>
                <w:szCs w:val="18"/>
              </w:rPr>
            </w:pPr>
            <w:r w:rsidRPr="002754FD">
              <w:rPr>
                <w:bCs/>
                <w:sz w:val="18"/>
                <w:szCs w:val="18"/>
              </w:rPr>
              <w:t>15000,0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pStyle w:val="a7"/>
              <w:ind w:left="0"/>
              <w:jc w:val="center"/>
              <w:rPr>
                <w:bCs/>
                <w:sz w:val="18"/>
                <w:szCs w:val="18"/>
              </w:rPr>
            </w:pPr>
            <w:r w:rsidRPr="002754FD">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bCs/>
                <w:sz w:val="18"/>
                <w:szCs w:val="18"/>
              </w:rPr>
              <w:t>50000,0</w:t>
            </w:r>
          </w:p>
        </w:tc>
      </w:tr>
      <w:tr w:rsidR="00E021FE" w:rsidRPr="00E95FB1" w:rsidTr="002754FD">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color w:val="000000"/>
                <w:sz w:val="18"/>
                <w:szCs w:val="18"/>
                <w:lang w:eastAsia="uk-UA"/>
              </w:rPr>
              <w:t>39</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pStyle w:val="a7"/>
              <w:ind w:left="0"/>
              <w:jc w:val="center"/>
              <w:rPr>
                <w:bCs/>
                <w:sz w:val="18"/>
                <w:szCs w:val="18"/>
              </w:rPr>
            </w:pPr>
            <w:r w:rsidRPr="00F600D3">
              <w:rPr>
                <w:bCs/>
                <w:sz w:val="18"/>
                <w:szCs w:val="18"/>
              </w:rPr>
              <w:t>Капітальний ремонт теплиці комунального закладу Гімназії № 20 міста</w:t>
            </w:r>
            <w:r w:rsidRPr="00F600D3">
              <w:rPr>
                <w:color w:val="FF0000"/>
                <w:sz w:val="18"/>
                <w:szCs w:val="18"/>
              </w:rPr>
              <w:t xml:space="preserve"> </w:t>
            </w:r>
            <w:r w:rsidRPr="00F600D3">
              <w:rPr>
                <w:color w:val="000000" w:themeColor="text1"/>
                <w:sz w:val="18"/>
                <w:szCs w:val="18"/>
              </w:rPr>
              <w:t>Сєвєродонецька</w:t>
            </w:r>
            <w:r w:rsidRPr="00F600D3">
              <w:rPr>
                <w:color w:val="FF0000"/>
                <w:sz w:val="18"/>
                <w:szCs w:val="18"/>
              </w:rPr>
              <w:t xml:space="preserve"> </w:t>
            </w:r>
            <w:r w:rsidRPr="00F600D3">
              <w:rPr>
                <w:bCs/>
                <w:sz w:val="18"/>
                <w:szCs w:val="18"/>
              </w:rPr>
              <w:t xml:space="preserve">Луганської </w:t>
            </w:r>
            <w:r w:rsidRPr="00F600D3">
              <w:rPr>
                <w:bCs/>
                <w:sz w:val="18"/>
                <w:szCs w:val="18"/>
              </w:rPr>
              <w:lastRenderedPageBreak/>
              <w:t xml:space="preserve">області, Сєвєродонецького району, за </w:t>
            </w:r>
            <w:proofErr w:type="spellStart"/>
            <w:r w:rsidRPr="00F600D3">
              <w:rPr>
                <w:bCs/>
                <w:sz w:val="18"/>
                <w:szCs w:val="18"/>
              </w:rPr>
              <w:t>адресою</w:t>
            </w:r>
            <w:proofErr w:type="spellEnd"/>
            <w:r w:rsidRPr="00F600D3">
              <w:rPr>
                <w:bCs/>
                <w:sz w:val="18"/>
                <w:szCs w:val="18"/>
              </w:rPr>
              <w:t>: місто Сєвєродонецьк, вул. Гагаріна, буд.113.</w:t>
            </w:r>
          </w:p>
        </w:tc>
        <w:tc>
          <w:tcPr>
            <w:tcW w:w="1736"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sz w:val="18"/>
                <w:szCs w:val="18"/>
              </w:rPr>
              <w:lastRenderedPageBreak/>
              <w:t xml:space="preserve">Сєвєродонецька міська </w:t>
            </w:r>
            <w:r w:rsidRPr="002754FD">
              <w:rPr>
                <w:sz w:val="18"/>
                <w:szCs w:val="18"/>
              </w:rPr>
              <w:lastRenderedPageBreak/>
              <w:t>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sz w:val="18"/>
                <w:szCs w:val="18"/>
              </w:rPr>
              <w:lastRenderedPageBreak/>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bCs/>
                <w:sz w:val="18"/>
                <w:szCs w:val="18"/>
              </w:rPr>
              <w:t>2800,0</w:t>
            </w:r>
          </w:p>
        </w:tc>
        <w:tc>
          <w:tcPr>
            <w:tcW w:w="992"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pStyle w:val="a7"/>
              <w:ind w:left="0"/>
              <w:jc w:val="center"/>
              <w:rPr>
                <w:bCs/>
                <w:sz w:val="18"/>
                <w:szCs w:val="18"/>
              </w:rPr>
            </w:pPr>
            <w:r w:rsidRPr="002754FD">
              <w:rPr>
                <w:bCs/>
                <w:sz w:val="18"/>
                <w:szCs w:val="18"/>
              </w:rPr>
              <w:t>1200,0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pStyle w:val="a7"/>
              <w:ind w:left="0"/>
              <w:jc w:val="center"/>
              <w:rPr>
                <w:bCs/>
                <w:sz w:val="18"/>
                <w:szCs w:val="18"/>
              </w:rPr>
            </w:pPr>
            <w:r w:rsidRPr="002754FD">
              <w:rPr>
                <w:rFonts w:eastAsia="Calibri"/>
                <w:color w:val="000000"/>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color w:val="000000"/>
                <w:sz w:val="18"/>
                <w:szCs w:val="18"/>
                <w:lang w:eastAsia="uk-UA"/>
              </w:rPr>
              <w:t>4000,00</w:t>
            </w:r>
          </w:p>
        </w:tc>
      </w:tr>
      <w:tr w:rsidR="00E021FE" w:rsidRPr="00E95FB1" w:rsidTr="002754FD">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color w:val="000000"/>
                <w:sz w:val="18"/>
                <w:szCs w:val="18"/>
                <w:lang w:eastAsia="uk-UA"/>
              </w:rPr>
              <w:t>40</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sz w:val="18"/>
                <w:szCs w:val="18"/>
              </w:rPr>
              <w:t>Капітальний ремонт спортивного стадіону комунального закладу Гімназії № 20 міста Сєвєродонецька</w:t>
            </w:r>
            <w:r w:rsidRPr="00F600D3">
              <w:rPr>
                <w:color w:val="FF0000"/>
                <w:sz w:val="18"/>
                <w:szCs w:val="18"/>
              </w:rPr>
              <w:t xml:space="preserve"> </w:t>
            </w:r>
            <w:r w:rsidRPr="00F600D3">
              <w:rPr>
                <w:bCs/>
                <w:sz w:val="18"/>
                <w:szCs w:val="18"/>
              </w:rPr>
              <w:t xml:space="preserve">Луганської області, Сєвєродонецького району, за </w:t>
            </w:r>
            <w:proofErr w:type="spellStart"/>
            <w:r w:rsidRPr="00F600D3">
              <w:rPr>
                <w:bCs/>
                <w:sz w:val="18"/>
                <w:szCs w:val="18"/>
              </w:rPr>
              <w:t>адресою</w:t>
            </w:r>
            <w:proofErr w:type="spellEnd"/>
            <w:r w:rsidRPr="00F600D3">
              <w:rPr>
                <w:bCs/>
                <w:sz w:val="18"/>
                <w:szCs w:val="18"/>
              </w:rPr>
              <w:t>: місто Сєвєродонецьк, вулиця Гагаріна, буд. 113</w:t>
            </w:r>
          </w:p>
        </w:tc>
        <w:tc>
          <w:tcPr>
            <w:tcW w:w="1736"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bCs/>
                <w:sz w:val="18"/>
                <w:szCs w:val="18"/>
              </w:rPr>
              <w:t>4200,0</w:t>
            </w:r>
          </w:p>
        </w:tc>
        <w:tc>
          <w:tcPr>
            <w:tcW w:w="992"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color w:val="000000"/>
                <w:sz w:val="18"/>
                <w:szCs w:val="18"/>
                <w:lang w:eastAsia="uk-UA"/>
              </w:rPr>
              <w:t>1800,00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rFonts w:eastAsia="Calibri"/>
                <w:color w:val="000000"/>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bCs/>
                <w:sz w:val="18"/>
                <w:szCs w:val="18"/>
              </w:rPr>
              <w:t>6000,0</w:t>
            </w:r>
          </w:p>
        </w:tc>
      </w:tr>
      <w:tr w:rsidR="00E021FE" w:rsidRPr="00E95FB1" w:rsidTr="002754FD">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color w:val="000000"/>
                <w:sz w:val="18"/>
                <w:szCs w:val="18"/>
                <w:lang w:eastAsia="uk-UA"/>
              </w:rPr>
              <w:t>41</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rFonts w:eastAsia="Calibri"/>
                <w:kern w:val="2"/>
                <w:sz w:val="18"/>
                <w:szCs w:val="18"/>
                <w:lang w:eastAsia="en-US"/>
              </w:rPr>
              <w:t>Капітальний ремонт будівель (основної та окремої будівлі для молодшої школи) Борівського навчально-виховного комплексу (загальноосвітнього навчального закладу І-ІІІ ступенів, дошкільного навчального закладу (ясла-садок)) з використанням сучасних енергозберігаючих технологій. Адреса: смт. Борівське, вул. Шкільна, 35</w:t>
            </w:r>
          </w:p>
        </w:tc>
        <w:tc>
          <w:tcPr>
            <w:tcW w:w="1736"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rFonts w:eastAsia="Calibri"/>
                <w:color w:val="000000"/>
                <w:sz w:val="18"/>
                <w:szCs w:val="18"/>
              </w:rPr>
              <w:t>6 500,00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autoSpaceDE w:val="0"/>
              <w:autoSpaceDN w:val="0"/>
              <w:adjustRightInd w:val="0"/>
              <w:jc w:val="center"/>
              <w:rPr>
                <w:rFonts w:eastAsia="Calibri"/>
                <w:color w:val="000000"/>
                <w:sz w:val="18"/>
                <w:szCs w:val="18"/>
              </w:rPr>
            </w:pPr>
            <w:r w:rsidRPr="002754FD">
              <w:rPr>
                <w:rFonts w:eastAsia="Calibri"/>
                <w:color w:val="000000"/>
                <w:sz w:val="18"/>
                <w:szCs w:val="18"/>
              </w:rPr>
              <w:t>29 500,00</w:t>
            </w:r>
          </w:p>
          <w:p w:rsidR="00E021FE" w:rsidRPr="002754FD" w:rsidRDefault="00E021FE" w:rsidP="000714B4">
            <w:pPr>
              <w:jc w:val="center"/>
              <w:rPr>
                <w:rFonts w:eastAsia="Calibri"/>
                <w:color w:val="000000"/>
                <w:sz w:val="18"/>
                <w:szCs w:val="18"/>
              </w:rPr>
            </w:pPr>
          </w:p>
          <w:p w:rsidR="00E021FE" w:rsidRPr="002754FD" w:rsidRDefault="00E021FE" w:rsidP="000714B4">
            <w:pPr>
              <w:jc w:val="center"/>
              <w:rPr>
                <w:rFonts w:eastAsia="Calibri"/>
                <w:sz w:val="18"/>
                <w:szCs w:val="18"/>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autoSpaceDE w:val="0"/>
              <w:autoSpaceDN w:val="0"/>
              <w:adjustRightInd w:val="0"/>
              <w:jc w:val="center"/>
              <w:rPr>
                <w:rFonts w:eastAsia="Calibri"/>
                <w:color w:val="000000"/>
                <w:sz w:val="18"/>
                <w:szCs w:val="18"/>
              </w:rPr>
            </w:pPr>
            <w:r w:rsidRPr="002754FD">
              <w:rPr>
                <w:rFonts w:eastAsia="Calibri"/>
                <w:color w:val="000000"/>
                <w:sz w:val="18"/>
                <w:szCs w:val="18"/>
              </w:rPr>
              <w:t>Міжнародні інвестори</w:t>
            </w:r>
          </w:p>
        </w:tc>
        <w:tc>
          <w:tcPr>
            <w:tcW w:w="1164"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rFonts w:eastAsia="Calibri"/>
                <w:color w:val="000000"/>
                <w:sz w:val="18"/>
                <w:szCs w:val="18"/>
              </w:rPr>
              <w:t>36000,0</w:t>
            </w:r>
          </w:p>
        </w:tc>
      </w:tr>
      <w:tr w:rsidR="00E021FE" w:rsidRPr="00E95FB1" w:rsidTr="00C823B8">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C823B8" w:rsidRDefault="00E021FE" w:rsidP="000714B4">
            <w:pPr>
              <w:jc w:val="center"/>
              <w:rPr>
                <w:color w:val="000000"/>
                <w:sz w:val="18"/>
                <w:szCs w:val="18"/>
                <w:lang w:eastAsia="uk-UA"/>
              </w:rPr>
            </w:pPr>
            <w:r w:rsidRPr="00C823B8">
              <w:rPr>
                <w:color w:val="000000"/>
                <w:sz w:val="18"/>
                <w:szCs w:val="18"/>
                <w:lang w:eastAsia="uk-UA"/>
              </w:rPr>
              <w:t>42</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sz w:val="18"/>
                <w:szCs w:val="18"/>
              </w:rPr>
              <w:t>Капітальний ремонт будівлі комунального закладу Гімназії «ГАРМОНІЯ» міста Сєвєродонецька Луганської області, вулиця Юності, будинок 1</w:t>
            </w:r>
          </w:p>
        </w:tc>
        <w:tc>
          <w:tcPr>
            <w:tcW w:w="1736" w:type="dxa"/>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jc w:val="center"/>
              <w:rPr>
                <w:color w:val="000000"/>
                <w:sz w:val="18"/>
                <w:szCs w:val="18"/>
                <w:lang w:eastAsia="uk-UA"/>
              </w:rPr>
            </w:pPr>
            <w:r w:rsidRPr="00C823B8">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jc w:val="center"/>
              <w:rPr>
                <w:color w:val="000000"/>
                <w:sz w:val="18"/>
                <w:szCs w:val="18"/>
                <w:lang w:eastAsia="uk-UA"/>
              </w:rPr>
            </w:pPr>
            <w:r w:rsidRPr="00C823B8">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jc w:val="center"/>
              <w:rPr>
                <w:color w:val="000000"/>
                <w:sz w:val="18"/>
                <w:szCs w:val="18"/>
                <w:lang w:eastAsia="uk-UA"/>
              </w:rPr>
            </w:pPr>
            <w:r w:rsidRPr="00C823B8">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pStyle w:val="a7"/>
              <w:ind w:left="0"/>
              <w:jc w:val="center"/>
              <w:rPr>
                <w:sz w:val="18"/>
                <w:szCs w:val="18"/>
              </w:rPr>
            </w:pPr>
            <w:r w:rsidRPr="00C823B8">
              <w:rPr>
                <w:sz w:val="18"/>
                <w:szCs w:val="18"/>
              </w:rPr>
              <w:t>35 000,0</w:t>
            </w:r>
          </w:p>
          <w:p w:rsidR="00E021FE" w:rsidRPr="00C823B8" w:rsidRDefault="00E021FE" w:rsidP="000714B4">
            <w:pPr>
              <w:jc w:val="center"/>
              <w:rPr>
                <w:color w:val="000000"/>
                <w:sz w:val="18"/>
                <w:szCs w:val="18"/>
                <w:lang w:eastAsia="uk-UA"/>
              </w:rPr>
            </w:pPr>
          </w:p>
        </w:tc>
        <w:tc>
          <w:tcPr>
            <w:tcW w:w="992" w:type="dxa"/>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pStyle w:val="a7"/>
              <w:ind w:left="0"/>
              <w:jc w:val="center"/>
              <w:rPr>
                <w:sz w:val="18"/>
                <w:szCs w:val="18"/>
                <w:lang w:val="ru-RU"/>
              </w:rPr>
            </w:pPr>
            <w:r w:rsidRPr="00C823B8">
              <w:rPr>
                <w:sz w:val="18"/>
                <w:szCs w:val="18"/>
              </w:rPr>
              <w:t>70 400,0</w:t>
            </w:r>
          </w:p>
          <w:p w:rsidR="00E021FE" w:rsidRPr="00C823B8" w:rsidRDefault="00E021FE" w:rsidP="000714B4">
            <w:pPr>
              <w:pStyle w:val="a7"/>
              <w:ind w:left="0"/>
              <w:jc w:val="center"/>
              <w:rPr>
                <w:b/>
                <w:bCs/>
                <w:sz w:val="18"/>
                <w:szCs w:val="18"/>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pStyle w:val="a7"/>
              <w:ind w:left="0"/>
              <w:jc w:val="center"/>
              <w:rPr>
                <w:bCs/>
                <w:sz w:val="18"/>
                <w:szCs w:val="18"/>
              </w:rPr>
            </w:pPr>
            <w:r w:rsidRPr="00C823B8">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pStyle w:val="a7"/>
              <w:ind w:left="0"/>
              <w:jc w:val="center"/>
              <w:rPr>
                <w:bCs/>
                <w:sz w:val="18"/>
                <w:szCs w:val="18"/>
                <w:lang w:val="ru-RU"/>
              </w:rPr>
            </w:pPr>
            <w:r w:rsidRPr="00C823B8">
              <w:rPr>
                <w:bCs/>
                <w:sz w:val="18"/>
                <w:szCs w:val="18"/>
              </w:rPr>
              <w:t>105 400,0</w:t>
            </w:r>
          </w:p>
          <w:p w:rsidR="00E021FE" w:rsidRPr="00C823B8" w:rsidRDefault="00E021FE" w:rsidP="000714B4">
            <w:pPr>
              <w:jc w:val="center"/>
              <w:rPr>
                <w:color w:val="000000"/>
                <w:sz w:val="18"/>
                <w:szCs w:val="18"/>
                <w:lang w:eastAsia="uk-UA"/>
              </w:rPr>
            </w:pPr>
          </w:p>
        </w:tc>
      </w:tr>
      <w:tr w:rsidR="00E021FE" w:rsidRPr="00E95FB1" w:rsidTr="00C823B8">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C823B8" w:rsidRDefault="00E021FE" w:rsidP="000714B4">
            <w:pPr>
              <w:jc w:val="center"/>
              <w:rPr>
                <w:color w:val="000000"/>
                <w:sz w:val="18"/>
                <w:szCs w:val="18"/>
                <w:lang w:eastAsia="uk-UA"/>
              </w:rPr>
            </w:pPr>
            <w:r w:rsidRPr="00C823B8">
              <w:rPr>
                <w:color w:val="000000"/>
                <w:sz w:val="18"/>
                <w:szCs w:val="18"/>
                <w:lang w:eastAsia="uk-UA"/>
              </w:rPr>
              <w:t>43</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sz w:val="18"/>
                <w:szCs w:val="18"/>
              </w:rPr>
              <w:t>Будівництво бомбосховища на території комунального закладу Гімназії «ГАРМОНІЯ» міста Сєвєродонецька Луганської області, вулиця Юності, будинок 1</w:t>
            </w:r>
          </w:p>
        </w:tc>
        <w:tc>
          <w:tcPr>
            <w:tcW w:w="1736" w:type="dxa"/>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jc w:val="center"/>
              <w:rPr>
                <w:color w:val="000000"/>
                <w:sz w:val="18"/>
                <w:szCs w:val="18"/>
                <w:lang w:eastAsia="uk-UA"/>
              </w:rPr>
            </w:pPr>
            <w:r w:rsidRPr="00C823B8">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jc w:val="center"/>
              <w:rPr>
                <w:color w:val="000000"/>
                <w:sz w:val="18"/>
                <w:szCs w:val="18"/>
                <w:lang w:eastAsia="uk-UA"/>
              </w:rPr>
            </w:pPr>
            <w:r w:rsidRPr="00C823B8">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jc w:val="center"/>
              <w:rPr>
                <w:color w:val="000000"/>
                <w:sz w:val="18"/>
                <w:szCs w:val="18"/>
                <w:lang w:eastAsia="uk-UA"/>
              </w:rPr>
            </w:pPr>
            <w:r w:rsidRPr="00C823B8">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jc w:val="center"/>
              <w:rPr>
                <w:color w:val="000000"/>
                <w:sz w:val="18"/>
                <w:szCs w:val="18"/>
                <w:lang w:eastAsia="uk-UA"/>
              </w:rPr>
            </w:pPr>
            <w:r w:rsidRPr="00C823B8">
              <w:rPr>
                <w:bCs/>
                <w:sz w:val="18"/>
                <w:szCs w:val="18"/>
              </w:rPr>
              <w:t>3850,0</w:t>
            </w:r>
          </w:p>
        </w:tc>
        <w:tc>
          <w:tcPr>
            <w:tcW w:w="992" w:type="dxa"/>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pStyle w:val="a7"/>
              <w:ind w:left="0"/>
              <w:jc w:val="center"/>
              <w:rPr>
                <w:bCs/>
                <w:sz w:val="18"/>
                <w:szCs w:val="18"/>
              </w:rPr>
            </w:pPr>
            <w:r w:rsidRPr="00C823B8">
              <w:rPr>
                <w:sz w:val="18"/>
                <w:szCs w:val="18"/>
              </w:rPr>
              <w:t>1650,0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pStyle w:val="a7"/>
              <w:ind w:left="0"/>
              <w:jc w:val="center"/>
              <w:rPr>
                <w:bCs/>
                <w:sz w:val="18"/>
                <w:szCs w:val="18"/>
              </w:rPr>
            </w:pPr>
            <w:r w:rsidRPr="00C823B8">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pStyle w:val="a7"/>
              <w:ind w:left="0"/>
              <w:jc w:val="center"/>
              <w:rPr>
                <w:bCs/>
                <w:sz w:val="18"/>
                <w:szCs w:val="18"/>
              </w:rPr>
            </w:pPr>
            <w:r w:rsidRPr="00C823B8">
              <w:rPr>
                <w:bCs/>
                <w:sz w:val="18"/>
                <w:szCs w:val="18"/>
              </w:rPr>
              <w:t xml:space="preserve">5 </w:t>
            </w:r>
            <w:r w:rsidRPr="00C823B8">
              <w:rPr>
                <w:bCs/>
                <w:sz w:val="18"/>
                <w:szCs w:val="18"/>
                <w:lang w:val="ru-RU"/>
              </w:rPr>
              <w:t>500</w:t>
            </w:r>
            <w:r w:rsidRPr="00C823B8">
              <w:rPr>
                <w:bCs/>
                <w:sz w:val="18"/>
                <w:szCs w:val="18"/>
              </w:rPr>
              <w:t>,00</w:t>
            </w:r>
          </w:p>
          <w:p w:rsidR="00E021FE" w:rsidRPr="00C823B8" w:rsidRDefault="00E021FE" w:rsidP="000714B4">
            <w:pPr>
              <w:jc w:val="center"/>
              <w:rPr>
                <w:color w:val="000000"/>
                <w:sz w:val="18"/>
                <w:szCs w:val="18"/>
                <w:lang w:eastAsia="uk-UA"/>
              </w:rPr>
            </w:pPr>
          </w:p>
        </w:tc>
      </w:tr>
      <w:tr w:rsidR="00E021FE" w:rsidRPr="00E95FB1" w:rsidTr="00C823B8">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C823B8" w:rsidRDefault="00E021FE" w:rsidP="000714B4">
            <w:pPr>
              <w:jc w:val="center"/>
              <w:rPr>
                <w:color w:val="000000"/>
                <w:sz w:val="18"/>
                <w:szCs w:val="18"/>
                <w:lang w:eastAsia="uk-UA"/>
              </w:rPr>
            </w:pPr>
            <w:r w:rsidRPr="00C823B8">
              <w:rPr>
                <w:color w:val="000000"/>
                <w:sz w:val="18"/>
                <w:szCs w:val="18"/>
                <w:lang w:eastAsia="uk-UA"/>
              </w:rPr>
              <w:t>44</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sz w:val="18"/>
                <w:szCs w:val="18"/>
              </w:rPr>
              <w:t>Відновлення діяльності комунального закладу Гімназії «ГАРМОНІЯ» міста Сєвєродонецька Луганської області, вулиця Юності, будинок 1</w:t>
            </w:r>
          </w:p>
        </w:tc>
        <w:tc>
          <w:tcPr>
            <w:tcW w:w="1736" w:type="dxa"/>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jc w:val="center"/>
              <w:rPr>
                <w:color w:val="000000"/>
                <w:sz w:val="18"/>
                <w:szCs w:val="18"/>
                <w:lang w:eastAsia="uk-UA"/>
              </w:rPr>
            </w:pPr>
            <w:r w:rsidRPr="00C823B8">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jc w:val="center"/>
              <w:rPr>
                <w:color w:val="000000"/>
                <w:sz w:val="18"/>
                <w:szCs w:val="18"/>
                <w:lang w:eastAsia="uk-UA"/>
              </w:rPr>
            </w:pPr>
            <w:r w:rsidRPr="00C823B8">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jc w:val="center"/>
              <w:rPr>
                <w:color w:val="000000"/>
                <w:sz w:val="18"/>
                <w:szCs w:val="18"/>
                <w:lang w:eastAsia="uk-UA"/>
              </w:rPr>
            </w:pPr>
            <w:r w:rsidRPr="00C823B8">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jc w:val="center"/>
              <w:rPr>
                <w:color w:val="000000"/>
                <w:sz w:val="18"/>
                <w:szCs w:val="18"/>
                <w:lang w:eastAsia="uk-UA"/>
              </w:rPr>
            </w:pPr>
            <w:r w:rsidRPr="00C823B8">
              <w:rPr>
                <w:bCs/>
                <w:sz w:val="18"/>
                <w:szCs w:val="18"/>
              </w:rPr>
              <w:t>15778,0</w:t>
            </w:r>
          </w:p>
        </w:tc>
        <w:tc>
          <w:tcPr>
            <w:tcW w:w="992" w:type="dxa"/>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pStyle w:val="a7"/>
              <w:ind w:left="0"/>
              <w:jc w:val="center"/>
              <w:rPr>
                <w:sz w:val="18"/>
                <w:szCs w:val="18"/>
              </w:rPr>
            </w:pPr>
            <w:r w:rsidRPr="00C823B8">
              <w:rPr>
                <w:sz w:val="18"/>
                <w:szCs w:val="18"/>
              </w:rPr>
              <w:t>6762,0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pStyle w:val="a7"/>
              <w:ind w:left="0"/>
              <w:jc w:val="center"/>
              <w:rPr>
                <w:bCs/>
                <w:sz w:val="18"/>
                <w:szCs w:val="18"/>
              </w:rPr>
            </w:pPr>
            <w:r w:rsidRPr="00C823B8">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jc w:val="center"/>
              <w:rPr>
                <w:color w:val="000000"/>
                <w:sz w:val="18"/>
                <w:szCs w:val="18"/>
                <w:lang w:eastAsia="uk-UA"/>
              </w:rPr>
            </w:pPr>
            <w:r w:rsidRPr="00C823B8">
              <w:rPr>
                <w:bCs/>
                <w:sz w:val="18"/>
                <w:szCs w:val="18"/>
              </w:rPr>
              <w:t>22 540,00</w:t>
            </w:r>
          </w:p>
        </w:tc>
      </w:tr>
      <w:tr w:rsidR="00E021FE" w:rsidRPr="00E95FB1" w:rsidTr="00AE4551">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color w:val="000000"/>
                <w:sz w:val="18"/>
                <w:szCs w:val="18"/>
                <w:lang w:eastAsia="uk-UA"/>
              </w:rPr>
              <w:t>45</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sz w:val="18"/>
                <w:szCs w:val="18"/>
              </w:rPr>
              <w:t>Капітальний ремонт спортивного стадіону комунального закладу Гімназії «ГАРМОНІЯ» міста Сєвєродонецька Луганської області, вулиця Юності, будинок 1</w:t>
            </w:r>
          </w:p>
        </w:tc>
        <w:tc>
          <w:tcPr>
            <w:tcW w:w="1736"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bCs/>
                <w:sz w:val="18"/>
                <w:szCs w:val="18"/>
              </w:rPr>
              <w:t>6510,0</w:t>
            </w:r>
          </w:p>
        </w:tc>
        <w:tc>
          <w:tcPr>
            <w:tcW w:w="992"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pStyle w:val="a7"/>
              <w:ind w:left="0"/>
              <w:jc w:val="center"/>
              <w:rPr>
                <w:bCs/>
                <w:sz w:val="18"/>
                <w:szCs w:val="18"/>
              </w:rPr>
            </w:pPr>
            <w:r w:rsidRPr="00AE4551">
              <w:rPr>
                <w:sz w:val="18"/>
                <w:szCs w:val="18"/>
              </w:rPr>
              <w:t>2790,0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pStyle w:val="a7"/>
              <w:ind w:left="0"/>
              <w:jc w:val="center"/>
              <w:rPr>
                <w:bCs/>
                <w:sz w:val="18"/>
                <w:szCs w:val="18"/>
              </w:rPr>
            </w:pPr>
            <w:r w:rsidRPr="00AE455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pStyle w:val="a7"/>
              <w:ind w:left="0"/>
              <w:jc w:val="center"/>
              <w:rPr>
                <w:bCs/>
                <w:sz w:val="18"/>
                <w:szCs w:val="18"/>
              </w:rPr>
            </w:pPr>
            <w:r w:rsidRPr="00AE4551">
              <w:rPr>
                <w:bCs/>
                <w:sz w:val="18"/>
                <w:szCs w:val="18"/>
              </w:rPr>
              <w:t>9</w:t>
            </w:r>
            <w:r w:rsidRPr="00AE4551">
              <w:rPr>
                <w:bCs/>
                <w:sz w:val="18"/>
                <w:szCs w:val="18"/>
                <w:lang w:val="ru-RU"/>
              </w:rPr>
              <w:t>300</w:t>
            </w:r>
            <w:r w:rsidRPr="00AE4551">
              <w:rPr>
                <w:bCs/>
                <w:sz w:val="18"/>
                <w:szCs w:val="18"/>
              </w:rPr>
              <w:t>,00</w:t>
            </w:r>
          </w:p>
          <w:p w:rsidR="00E021FE" w:rsidRPr="00AE4551" w:rsidRDefault="00E021FE" w:rsidP="000714B4">
            <w:pPr>
              <w:jc w:val="center"/>
              <w:rPr>
                <w:color w:val="000000"/>
                <w:sz w:val="18"/>
                <w:szCs w:val="18"/>
                <w:lang w:eastAsia="uk-UA"/>
              </w:rPr>
            </w:pPr>
          </w:p>
        </w:tc>
      </w:tr>
      <w:tr w:rsidR="00E021FE" w:rsidRPr="00E95FB1" w:rsidTr="00AE4551">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color w:val="000000"/>
                <w:sz w:val="18"/>
                <w:szCs w:val="18"/>
                <w:lang w:eastAsia="uk-UA"/>
              </w:rPr>
              <w:lastRenderedPageBreak/>
              <w:t>46</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sz w:val="18"/>
                <w:szCs w:val="18"/>
              </w:rPr>
            </w:pPr>
            <w:r w:rsidRPr="00F600D3">
              <w:rPr>
                <w:sz w:val="18"/>
                <w:szCs w:val="18"/>
              </w:rPr>
              <w:t>Капітальний ремонт будівлі Ліцею "КОЛЕГІУМ" міста Сєвєродонецька Луганської області, вулиця Гоголя, будинок 37.</w:t>
            </w:r>
          </w:p>
        </w:tc>
        <w:tc>
          <w:tcPr>
            <w:tcW w:w="1736"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sz w:val="18"/>
                <w:szCs w:val="18"/>
              </w:rPr>
              <w:t>150000,0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pBdr>
                <w:top w:val="nil"/>
                <w:left w:val="nil"/>
                <w:bottom w:val="nil"/>
                <w:right w:val="nil"/>
                <w:between w:val="nil"/>
              </w:pBdr>
              <w:jc w:val="center"/>
              <w:rPr>
                <w:b/>
                <w:color w:val="000000"/>
                <w:sz w:val="18"/>
                <w:szCs w:val="18"/>
              </w:rPr>
            </w:pPr>
            <w:r w:rsidRPr="00AE4551">
              <w:rPr>
                <w:sz w:val="18"/>
                <w:szCs w:val="18"/>
              </w:rPr>
              <w:t>50000,0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pBdr>
                <w:top w:val="nil"/>
                <w:left w:val="nil"/>
                <w:bottom w:val="nil"/>
                <w:right w:val="nil"/>
                <w:between w:val="nil"/>
              </w:pBdr>
              <w:jc w:val="center"/>
              <w:rPr>
                <w:color w:val="000000"/>
                <w:sz w:val="18"/>
                <w:szCs w:val="18"/>
              </w:rPr>
            </w:pPr>
            <w:r w:rsidRPr="00AE4551">
              <w:rPr>
                <w:color w:val="000000"/>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sz w:val="18"/>
                <w:szCs w:val="18"/>
              </w:rPr>
              <w:t>200000,0</w:t>
            </w:r>
          </w:p>
        </w:tc>
      </w:tr>
      <w:tr w:rsidR="00E021FE" w:rsidRPr="00E95FB1" w:rsidTr="00AE4551">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color w:val="000000"/>
                <w:sz w:val="18"/>
                <w:szCs w:val="18"/>
                <w:lang w:eastAsia="uk-UA"/>
              </w:rPr>
              <w:t>47</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sz w:val="18"/>
                <w:szCs w:val="18"/>
              </w:rPr>
              <w:t>Відновлення освітньої діяльності та поновлення матеріально-технічної бази  Ліцею "КОЛЕГІУМ" міста Сєвєродонецька Луганської області, вулиця Гоголя, будинок 37.</w:t>
            </w:r>
          </w:p>
        </w:tc>
        <w:tc>
          <w:tcPr>
            <w:tcW w:w="1736"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color w:val="000000"/>
                <w:sz w:val="18"/>
                <w:szCs w:val="18"/>
                <w:lang w:eastAsia="uk-UA"/>
              </w:rPr>
              <w:t>20000,00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pBdr>
                <w:top w:val="nil"/>
                <w:left w:val="nil"/>
                <w:bottom w:val="nil"/>
                <w:right w:val="nil"/>
                <w:between w:val="nil"/>
              </w:pBdr>
              <w:jc w:val="center"/>
              <w:rPr>
                <w:b/>
                <w:color w:val="000000"/>
                <w:sz w:val="18"/>
                <w:szCs w:val="18"/>
                <w:lang w:val="ru-RU"/>
              </w:rPr>
            </w:pPr>
            <w:r w:rsidRPr="00AE4551">
              <w:rPr>
                <w:sz w:val="18"/>
                <w:szCs w:val="18"/>
              </w:rPr>
              <w:t>10000</w:t>
            </w:r>
            <w:r w:rsidRPr="00AE4551">
              <w:rPr>
                <w:sz w:val="18"/>
                <w:szCs w:val="18"/>
                <w:lang w:val="ru-RU"/>
              </w:rPr>
              <w:t>,0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pBdr>
                <w:top w:val="nil"/>
                <w:left w:val="nil"/>
                <w:bottom w:val="nil"/>
                <w:right w:val="nil"/>
                <w:between w:val="nil"/>
              </w:pBdr>
              <w:jc w:val="center"/>
              <w:rPr>
                <w:color w:val="000000"/>
                <w:sz w:val="18"/>
                <w:szCs w:val="18"/>
              </w:rPr>
            </w:pPr>
            <w:r w:rsidRPr="00AE4551">
              <w:rPr>
                <w:color w:val="000000"/>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color w:val="000000"/>
                <w:sz w:val="18"/>
                <w:szCs w:val="18"/>
                <w:lang w:eastAsia="uk-UA"/>
              </w:rPr>
              <w:t>30000,00</w:t>
            </w:r>
          </w:p>
        </w:tc>
      </w:tr>
      <w:tr w:rsidR="00E021FE" w:rsidRPr="00E95FB1" w:rsidTr="00AE4551">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color w:val="000000"/>
                <w:sz w:val="18"/>
                <w:szCs w:val="18"/>
                <w:lang w:eastAsia="uk-UA"/>
              </w:rPr>
              <w:t>48</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sz w:val="18"/>
                <w:szCs w:val="18"/>
              </w:rPr>
              <w:t>Реконструкція спортивного майданчика на території Ліцею "КОЛЕГІУМ" міста Сєвєродонецька Луганської області, вулиця Гоголя, будинок 37.</w:t>
            </w:r>
          </w:p>
        </w:tc>
        <w:tc>
          <w:tcPr>
            <w:tcW w:w="1736"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color w:val="000000"/>
                <w:sz w:val="18"/>
                <w:szCs w:val="18"/>
                <w:lang w:val="ru-RU"/>
              </w:rPr>
              <w:t>18200,0</w:t>
            </w:r>
          </w:p>
        </w:tc>
        <w:tc>
          <w:tcPr>
            <w:tcW w:w="992"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pBdr>
                <w:top w:val="nil"/>
                <w:left w:val="nil"/>
                <w:bottom w:val="nil"/>
                <w:right w:val="nil"/>
                <w:between w:val="nil"/>
              </w:pBdr>
              <w:jc w:val="center"/>
              <w:rPr>
                <w:b/>
                <w:color w:val="000000"/>
                <w:sz w:val="18"/>
                <w:szCs w:val="18"/>
                <w:lang w:val="ru-RU"/>
              </w:rPr>
            </w:pPr>
            <w:r w:rsidRPr="00AE4551">
              <w:rPr>
                <w:sz w:val="18"/>
                <w:szCs w:val="18"/>
                <w:lang w:val="ru-RU"/>
              </w:rPr>
              <w:t>7800,0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pBdr>
                <w:top w:val="nil"/>
                <w:left w:val="nil"/>
                <w:bottom w:val="nil"/>
                <w:right w:val="nil"/>
                <w:between w:val="nil"/>
              </w:pBdr>
              <w:jc w:val="center"/>
              <w:rPr>
                <w:color w:val="000000"/>
                <w:sz w:val="18"/>
                <w:szCs w:val="18"/>
              </w:rPr>
            </w:pPr>
            <w:r w:rsidRPr="00AE4551">
              <w:rPr>
                <w:color w:val="000000"/>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sz w:val="18"/>
                <w:szCs w:val="18"/>
              </w:rPr>
              <w:t>26000</w:t>
            </w:r>
            <w:r w:rsidRPr="00AE4551">
              <w:rPr>
                <w:sz w:val="18"/>
                <w:szCs w:val="18"/>
                <w:lang w:val="ru-RU"/>
              </w:rPr>
              <w:t>,0</w:t>
            </w:r>
          </w:p>
        </w:tc>
      </w:tr>
      <w:tr w:rsidR="00E021FE" w:rsidRPr="00E95FB1" w:rsidTr="00AE4551">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color w:val="000000"/>
                <w:sz w:val="18"/>
                <w:szCs w:val="18"/>
                <w:lang w:eastAsia="uk-UA"/>
              </w:rPr>
              <w:t>49</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rFonts w:eastAsia="Calibri"/>
                <w:color w:val="000000"/>
                <w:sz w:val="18"/>
                <w:szCs w:val="18"/>
              </w:rPr>
              <w:t xml:space="preserve">Капітальний ремонт будівлі Ліцею № 1 м. Сєвєродонецька Луганської області за </w:t>
            </w:r>
            <w:proofErr w:type="spellStart"/>
            <w:r w:rsidRPr="00F600D3">
              <w:rPr>
                <w:rFonts w:eastAsia="Calibri"/>
                <w:color w:val="000000"/>
                <w:sz w:val="18"/>
                <w:szCs w:val="18"/>
              </w:rPr>
              <w:t>адресою</w:t>
            </w:r>
            <w:proofErr w:type="spellEnd"/>
            <w:r w:rsidRPr="00F600D3">
              <w:rPr>
                <w:rFonts w:eastAsia="Calibri"/>
                <w:color w:val="000000"/>
                <w:sz w:val="18"/>
                <w:szCs w:val="18"/>
              </w:rPr>
              <w:t>: вулиця Науки, будинок 5 - А</w:t>
            </w:r>
          </w:p>
        </w:tc>
        <w:tc>
          <w:tcPr>
            <w:tcW w:w="1736"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color w:val="000000"/>
                <w:sz w:val="18"/>
                <w:szCs w:val="18"/>
                <w:lang w:eastAsia="uk-UA"/>
              </w:rPr>
              <w:t>40000,00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autoSpaceDE w:val="0"/>
              <w:autoSpaceDN w:val="0"/>
              <w:adjustRightInd w:val="0"/>
              <w:jc w:val="center"/>
              <w:rPr>
                <w:rFonts w:eastAsia="Calibri"/>
                <w:color w:val="000000"/>
                <w:sz w:val="18"/>
                <w:szCs w:val="18"/>
              </w:rPr>
            </w:pPr>
            <w:r w:rsidRPr="00AE4551">
              <w:rPr>
                <w:rFonts w:eastAsia="Calibri"/>
                <w:color w:val="000000"/>
                <w:sz w:val="18"/>
                <w:szCs w:val="18"/>
              </w:rPr>
              <w:t>20000,0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autoSpaceDE w:val="0"/>
              <w:autoSpaceDN w:val="0"/>
              <w:adjustRightInd w:val="0"/>
              <w:jc w:val="center"/>
              <w:rPr>
                <w:rFonts w:eastAsia="Calibri"/>
                <w:color w:val="000000"/>
                <w:sz w:val="18"/>
                <w:szCs w:val="18"/>
              </w:rPr>
            </w:pPr>
            <w:r w:rsidRPr="00AE455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color w:val="000000"/>
                <w:sz w:val="18"/>
                <w:szCs w:val="18"/>
                <w:lang w:eastAsia="uk-UA"/>
              </w:rPr>
              <w:t>60000,00</w:t>
            </w:r>
          </w:p>
        </w:tc>
      </w:tr>
      <w:tr w:rsidR="00E021FE" w:rsidRPr="00E95FB1" w:rsidTr="00AE4551">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color w:val="000000"/>
                <w:sz w:val="18"/>
                <w:szCs w:val="18"/>
                <w:lang w:eastAsia="uk-UA"/>
              </w:rPr>
              <w:t>50</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rFonts w:eastAsia="Calibri"/>
                <w:color w:val="000000"/>
                <w:sz w:val="18"/>
                <w:szCs w:val="18"/>
              </w:rPr>
              <w:t xml:space="preserve">Відновлення діяльності Ліцею № 1 м. Сєвєродонецька Луганської області за </w:t>
            </w:r>
            <w:proofErr w:type="spellStart"/>
            <w:r w:rsidRPr="00F600D3">
              <w:rPr>
                <w:rFonts w:eastAsia="Calibri"/>
                <w:color w:val="000000"/>
                <w:sz w:val="18"/>
                <w:szCs w:val="18"/>
              </w:rPr>
              <w:t>адресою</w:t>
            </w:r>
            <w:proofErr w:type="spellEnd"/>
            <w:r w:rsidRPr="00F600D3">
              <w:rPr>
                <w:rFonts w:eastAsia="Calibri"/>
                <w:color w:val="000000"/>
                <w:sz w:val="18"/>
                <w:szCs w:val="18"/>
              </w:rPr>
              <w:t>: вулиця Науки, будинок 5 - А</w:t>
            </w:r>
          </w:p>
        </w:tc>
        <w:tc>
          <w:tcPr>
            <w:tcW w:w="1736"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color w:val="000000"/>
                <w:sz w:val="18"/>
                <w:szCs w:val="18"/>
                <w:lang w:eastAsia="uk-UA"/>
              </w:rPr>
              <w:t>10000,00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autoSpaceDE w:val="0"/>
              <w:autoSpaceDN w:val="0"/>
              <w:adjustRightInd w:val="0"/>
              <w:jc w:val="center"/>
              <w:rPr>
                <w:rFonts w:eastAsia="Calibri"/>
                <w:color w:val="000000"/>
                <w:sz w:val="18"/>
                <w:szCs w:val="18"/>
              </w:rPr>
            </w:pPr>
            <w:r w:rsidRPr="00AE4551">
              <w:rPr>
                <w:rFonts w:eastAsia="Calibri"/>
                <w:color w:val="000000"/>
                <w:sz w:val="18"/>
                <w:szCs w:val="18"/>
              </w:rPr>
              <w:t>5000,0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autoSpaceDE w:val="0"/>
              <w:autoSpaceDN w:val="0"/>
              <w:adjustRightInd w:val="0"/>
              <w:jc w:val="center"/>
              <w:rPr>
                <w:rFonts w:eastAsia="Calibri"/>
                <w:color w:val="000000"/>
                <w:sz w:val="18"/>
                <w:szCs w:val="18"/>
              </w:rPr>
            </w:pPr>
            <w:r w:rsidRPr="00AE455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color w:val="000000"/>
                <w:sz w:val="18"/>
                <w:szCs w:val="18"/>
                <w:lang w:eastAsia="uk-UA"/>
              </w:rPr>
              <w:t>15000,00</w:t>
            </w:r>
          </w:p>
        </w:tc>
      </w:tr>
      <w:tr w:rsidR="00E021FE" w:rsidRPr="00E95FB1" w:rsidTr="0093673E">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color w:val="000000"/>
                <w:sz w:val="18"/>
                <w:szCs w:val="18"/>
                <w:lang w:eastAsia="uk-UA"/>
              </w:rPr>
              <w:t>51</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sz w:val="18"/>
                <w:szCs w:val="18"/>
              </w:rPr>
              <w:t>Будівництво універсального спортивного комплексу на території Ліцею "</w:t>
            </w:r>
            <w:proofErr w:type="spellStart"/>
            <w:r w:rsidRPr="00F600D3">
              <w:rPr>
                <w:bCs/>
                <w:sz w:val="18"/>
                <w:szCs w:val="18"/>
              </w:rPr>
              <w:t>Інітіум</w:t>
            </w:r>
            <w:proofErr w:type="spellEnd"/>
            <w:r w:rsidRPr="00F600D3">
              <w:rPr>
                <w:bCs/>
                <w:sz w:val="18"/>
                <w:szCs w:val="18"/>
              </w:rPr>
              <w:t>" міста Сєвєродонецька Луганської області, пр-т Хіміків, буд. 7</w:t>
            </w:r>
          </w:p>
        </w:tc>
        <w:tc>
          <w:tcPr>
            <w:tcW w:w="1736"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color w:val="000000"/>
                <w:sz w:val="18"/>
                <w:szCs w:val="18"/>
                <w:lang w:eastAsia="uk-UA"/>
              </w:rPr>
              <w:t>20000,00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pStyle w:val="a7"/>
              <w:ind w:left="0"/>
              <w:jc w:val="center"/>
              <w:rPr>
                <w:sz w:val="18"/>
                <w:szCs w:val="18"/>
              </w:rPr>
            </w:pPr>
            <w:r w:rsidRPr="0093673E">
              <w:rPr>
                <w:sz w:val="18"/>
                <w:szCs w:val="18"/>
              </w:rPr>
              <w:t>80 000</w:t>
            </w:r>
            <w:r w:rsidRPr="0093673E">
              <w:rPr>
                <w:sz w:val="18"/>
                <w:szCs w:val="18"/>
                <w:lang w:val="ru-RU"/>
              </w:rPr>
              <w:t>,0</w:t>
            </w:r>
          </w:p>
          <w:p w:rsidR="00E021FE" w:rsidRPr="0093673E" w:rsidRDefault="00E021FE" w:rsidP="000714B4">
            <w:pPr>
              <w:pStyle w:val="a7"/>
              <w:ind w:left="0"/>
              <w:jc w:val="center"/>
              <w:rPr>
                <w:b/>
                <w:bCs/>
                <w:sz w:val="18"/>
                <w:szCs w:val="18"/>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pStyle w:val="a7"/>
              <w:ind w:left="0"/>
              <w:jc w:val="center"/>
              <w:rPr>
                <w:bCs/>
                <w:sz w:val="18"/>
                <w:szCs w:val="18"/>
              </w:rPr>
            </w:pPr>
            <w:r w:rsidRPr="0093673E">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color w:val="000000"/>
                <w:sz w:val="18"/>
                <w:szCs w:val="18"/>
                <w:lang w:eastAsia="uk-UA"/>
              </w:rPr>
              <w:t>100000,00</w:t>
            </w:r>
          </w:p>
        </w:tc>
      </w:tr>
      <w:tr w:rsidR="00E021FE" w:rsidRPr="00E95FB1" w:rsidTr="0093673E">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color w:val="000000"/>
                <w:sz w:val="18"/>
                <w:szCs w:val="18"/>
                <w:lang w:eastAsia="uk-UA"/>
              </w:rPr>
              <w:t>52</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sz w:val="18"/>
                <w:szCs w:val="18"/>
              </w:rPr>
              <w:t>Відновлення діяльності Ліцею "</w:t>
            </w:r>
            <w:proofErr w:type="spellStart"/>
            <w:r w:rsidRPr="00F600D3">
              <w:rPr>
                <w:bCs/>
                <w:sz w:val="18"/>
                <w:szCs w:val="18"/>
              </w:rPr>
              <w:t>Інітіум</w:t>
            </w:r>
            <w:proofErr w:type="spellEnd"/>
            <w:r w:rsidRPr="00F600D3">
              <w:rPr>
                <w:bCs/>
                <w:sz w:val="18"/>
                <w:szCs w:val="18"/>
              </w:rPr>
              <w:t>" міста Сєвєродонецька Луганської області, пр-т Хіміків, буд. 7</w:t>
            </w:r>
          </w:p>
        </w:tc>
        <w:tc>
          <w:tcPr>
            <w:tcW w:w="1736"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color w:val="000000"/>
                <w:sz w:val="18"/>
                <w:szCs w:val="18"/>
                <w:lang w:eastAsia="uk-UA"/>
              </w:rPr>
              <w:t>40000,00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pStyle w:val="a7"/>
              <w:ind w:left="0"/>
              <w:jc w:val="center"/>
              <w:rPr>
                <w:b/>
                <w:bCs/>
                <w:sz w:val="18"/>
                <w:szCs w:val="18"/>
              </w:rPr>
            </w:pPr>
            <w:r w:rsidRPr="0093673E">
              <w:rPr>
                <w:sz w:val="18"/>
                <w:szCs w:val="18"/>
              </w:rPr>
              <w:t>155 000,0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pStyle w:val="a7"/>
              <w:ind w:left="0"/>
              <w:jc w:val="center"/>
              <w:rPr>
                <w:bCs/>
                <w:sz w:val="18"/>
                <w:szCs w:val="18"/>
              </w:rPr>
            </w:pPr>
            <w:r w:rsidRPr="0093673E">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color w:val="000000"/>
                <w:sz w:val="18"/>
                <w:szCs w:val="18"/>
                <w:lang w:eastAsia="uk-UA"/>
              </w:rPr>
              <w:t>195000,00</w:t>
            </w:r>
          </w:p>
        </w:tc>
      </w:tr>
      <w:tr w:rsidR="00E021FE" w:rsidRPr="00E95FB1" w:rsidTr="0093673E">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color w:val="000000"/>
                <w:sz w:val="18"/>
                <w:szCs w:val="18"/>
                <w:lang w:eastAsia="uk-UA"/>
              </w:rPr>
              <w:t>53</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color w:val="000000"/>
                <w:sz w:val="18"/>
                <w:szCs w:val="18"/>
              </w:rPr>
              <w:t>Оснащення Ліцею "ЮВЕНЕС" міста Сєвєродонецька Луганської області, вул. Курчатова, буд.34.</w:t>
            </w:r>
          </w:p>
        </w:tc>
        <w:tc>
          <w:tcPr>
            <w:tcW w:w="1736"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color w:val="000000"/>
                <w:sz w:val="18"/>
                <w:szCs w:val="18"/>
              </w:rPr>
              <w:t>8 000,0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rPr>
            </w:pPr>
            <w:r w:rsidRPr="0093673E">
              <w:rPr>
                <w:color w:val="000000"/>
                <w:sz w:val="18"/>
                <w:szCs w:val="18"/>
              </w:rPr>
              <w:t>17 000,0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val="ru-RU"/>
              </w:rPr>
            </w:pPr>
            <w:proofErr w:type="spellStart"/>
            <w:r w:rsidRPr="0093673E">
              <w:rPr>
                <w:color w:val="000000"/>
                <w:sz w:val="18"/>
                <w:szCs w:val="18"/>
                <w:lang w:val="ru-RU"/>
              </w:rPr>
              <w:t>кошти</w:t>
            </w:r>
            <w:proofErr w:type="spellEnd"/>
            <w:r w:rsidRPr="0093673E">
              <w:rPr>
                <w:color w:val="000000"/>
                <w:sz w:val="18"/>
                <w:szCs w:val="18"/>
                <w:lang w:val="ru-RU"/>
              </w:rPr>
              <w:t xml:space="preserve"> </w:t>
            </w:r>
            <w:proofErr w:type="spellStart"/>
            <w:r w:rsidRPr="0093673E">
              <w:rPr>
                <w:color w:val="000000"/>
                <w:sz w:val="18"/>
                <w:szCs w:val="18"/>
                <w:lang w:val="ru-RU"/>
              </w:rPr>
              <w:t>міжнародних</w:t>
            </w:r>
            <w:proofErr w:type="spellEnd"/>
            <w:r w:rsidRPr="0093673E">
              <w:rPr>
                <w:color w:val="000000"/>
                <w:sz w:val="18"/>
                <w:szCs w:val="18"/>
                <w:lang w:val="ru-RU"/>
              </w:rPr>
              <w:t xml:space="preserve"> </w:t>
            </w:r>
            <w:proofErr w:type="spellStart"/>
            <w:proofErr w:type="gramStart"/>
            <w:r w:rsidRPr="0093673E">
              <w:rPr>
                <w:color w:val="000000"/>
                <w:sz w:val="18"/>
                <w:szCs w:val="18"/>
                <w:lang w:val="ru-RU"/>
              </w:rPr>
              <w:t>організацій</w:t>
            </w:r>
            <w:proofErr w:type="spellEnd"/>
            <w:r w:rsidRPr="0093673E">
              <w:rPr>
                <w:color w:val="000000"/>
                <w:sz w:val="18"/>
                <w:szCs w:val="18"/>
                <w:lang w:val="ru-RU"/>
              </w:rPr>
              <w:t xml:space="preserve">,  </w:t>
            </w:r>
            <w:proofErr w:type="spellStart"/>
            <w:r w:rsidRPr="0093673E">
              <w:rPr>
                <w:color w:val="000000"/>
                <w:sz w:val="18"/>
                <w:szCs w:val="18"/>
                <w:lang w:val="ru-RU"/>
              </w:rPr>
              <w:t>кошти</w:t>
            </w:r>
            <w:proofErr w:type="spellEnd"/>
            <w:proofErr w:type="gramEnd"/>
            <w:r w:rsidRPr="0093673E">
              <w:rPr>
                <w:color w:val="000000"/>
                <w:sz w:val="18"/>
                <w:szCs w:val="18"/>
                <w:lang w:val="ru-RU"/>
              </w:rPr>
              <w:t xml:space="preserve"> </w:t>
            </w:r>
            <w:proofErr w:type="spellStart"/>
            <w:r w:rsidRPr="0093673E">
              <w:rPr>
                <w:color w:val="000000"/>
                <w:sz w:val="18"/>
                <w:szCs w:val="18"/>
                <w:lang w:val="ru-RU"/>
              </w:rPr>
              <w:t>недержавних</w:t>
            </w:r>
            <w:proofErr w:type="spellEnd"/>
            <w:r w:rsidRPr="0093673E">
              <w:rPr>
                <w:color w:val="000000"/>
                <w:sz w:val="18"/>
                <w:szCs w:val="18"/>
                <w:lang w:val="ru-RU"/>
              </w:rPr>
              <w:t xml:space="preserve"> </w:t>
            </w:r>
            <w:proofErr w:type="spellStart"/>
            <w:r w:rsidRPr="0093673E">
              <w:rPr>
                <w:color w:val="000000"/>
                <w:sz w:val="18"/>
                <w:szCs w:val="18"/>
                <w:lang w:val="ru-RU"/>
              </w:rPr>
              <w:t>громадських</w:t>
            </w:r>
            <w:proofErr w:type="spellEnd"/>
            <w:r w:rsidRPr="0093673E">
              <w:rPr>
                <w:color w:val="000000"/>
                <w:sz w:val="18"/>
                <w:szCs w:val="18"/>
                <w:lang w:val="ru-RU"/>
              </w:rPr>
              <w:t xml:space="preserve"> </w:t>
            </w:r>
            <w:proofErr w:type="spellStart"/>
            <w:r w:rsidRPr="0093673E">
              <w:rPr>
                <w:color w:val="000000"/>
                <w:sz w:val="18"/>
                <w:szCs w:val="18"/>
                <w:lang w:val="ru-RU"/>
              </w:rPr>
              <w:t>організацій</w:t>
            </w:r>
            <w:proofErr w:type="spellEnd"/>
            <w:r w:rsidRPr="0093673E">
              <w:rPr>
                <w:color w:val="000000"/>
                <w:sz w:val="18"/>
                <w:szCs w:val="18"/>
                <w:lang w:val="ru-RU"/>
              </w:rPr>
              <w:t xml:space="preserve"> та </w:t>
            </w:r>
            <w:proofErr w:type="spellStart"/>
            <w:r w:rsidRPr="0093673E">
              <w:rPr>
                <w:color w:val="000000"/>
                <w:sz w:val="18"/>
                <w:szCs w:val="18"/>
                <w:lang w:val="ru-RU"/>
              </w:rPr>
              <w:t>благодійних</w:t>
            </w:r>
            <w:proofErr w:type="spellEnd"/>
            <w:r w:rsidRPr="0093673E">
              <w:rPr>
                <w:color w:val="000000"/>
                <w:sz w:val="18"/>
                <w:szCs w:val="18"/>
                <w:lang w:val="ru-RU"/>
              </w:rPr>
              <w:t xml:space="preserve"> </w:t>
            </w:r>
            <w:proofErr w:type="spellStart"/>
            <w:r w:rsidRPr="0093673E">
              <w:rPr>
                <w:color w:val="000000"/>
                <w:sz w:val="18"/>
                <w:szCs w:val="18"/>
                <w:lang w:val="ru-RU"/>
              </w:rPr>
              <w:t>фондів</w:t>
            </w:r>
            <w:proofErr w:type="spellEnd"/>
          </w:p>
        </w:tc>
        <w:tc>
          <w:tcPr>
            <w:tcW w:w="1164"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rPr>
            </w:pPr>
            <w:r w:rsidRPr="0093673E">
              <w:rPr>
                <w:color w:val="000000"/>
                <w:sz w:val="18"/>
                <w:szCs w:val="18"/>
              </w:rPr>
              <w:t>25 000,0</w:t>
            </w:r>
          </w:p>
        </w:tc>
      </w:tr>
      <w:tr w:rsidR="00E021FE" w:rsidRPr="00E95FB1" w:rsidTr="0093673E">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color w:val="000000"/>
                <w:sz w:val="18"/>
                <w:szCs w:val="18"/>
                <w:lang w:eastAsia="uk-UA"/>
              </w:rPr>
              <w:lastRenderedPageBreak/>
              <w:t>54</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color w:val="000000"/>
                <w:sz w:val="18"/>
                <w:szCs w:val="18"/>
              </w:rPr>
              <w:t>Капітальний ремонт будівлі Ліцею "ЮВЕНЕС" міста Сєвєродонецька Луганської області, вулиця Курчатова , будинок 34</w:t>
            </w:r>
          </w:p>
        </w:tc>
        <w:tc>
          <w:tcPr>
            <w:tcW w:w="1736"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color w:val="000000"/>
                <w:sz w:val="18"/>
                <w:szCs w:val="18"/>
              </w:rPr>
              <w:t>90 000</w:t>
            </w:r>
          </w:p>
        </w:tc>
        <w:tc>
          <w:tcPr>
            <w:tcW w:w="992"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rPr>
            </w:pPr>
            <w:r w:rsidRPr="0093673E">
              <w:rPr>
                <w:color w:val="000000"/>
                <w:sz w:val="18"/>
                <w:szCs w:val="18"/>
              </w:rPr>
              <w:t>170 000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rPr>
            </w:pPr>
            <w:r w:rsidRPr="0093673E">
              <w:rPr>
                <w:color w:val="000000"/>
                <w:sz w:val="18"/>
                <w:szCs w:val="18"/>
              </w:rPr>
              <w:t>кошти міжнародних організацій,</w:t>
            </w:r>
          </w:p>
          <w:p w:rsidR="00E021FE" w:rsidRPr="0093673E" w:rsidRDefault="00E021FE" w:rsidP="000714B4">
            <w:pPr>
              <w:jc w:val="center"/>
              <w:rPr>
                <w:color w:val="000000"/>
                <w:sz w:val="18"/>
                <w:szCs w:val="18"/>
              </w:rPr>
            </w:pPr>
            <w:r w:rsidRPr="0093673E">
              <w:rPr>
                <w:color w:val="000000"/>
                <w:sz w:val="18"/>
                <w:szCs w:val="18"/>
              </w:rPr>
              <w:t>кошти недержавних громадських організацій та благодійних фондів</w:t>
            </w:r>
          </w:p>
        </w:tc>
        <w:tc>
          <w:tcPr>
            <w:tcW w:w="1164"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color w:val="000000"/>
                <w:sz w:val="18"/>
                <w:szCs w:val="18"/>
              </w:rPr>
              <w:t>260 000</w:t>
            </w:r>
          </w:p>
        </w:tc>
      </w:tr>
      <w:tr w:rsidR="00E021FE" w:rsidRPr="00E95FB1" w:rsidTr="0093673E">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color w:val="000000"/>
                <w:sz w:val="18"/>
                <w:szCs w:val="18"/>
                <w:lang w:eastAsia="uk-UA"/>
              </w:rPr>
              <w:t>55</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proofErr w:type="spellStart"/>
            <w:r w:rsidRPr="00F600D3">
              <w:rPr>
                <w:color w:val="000000"/>
                <w:sz w:val="18"/>
                <w:szCs w:val="18"/>
                <w:lang w:val="ru-RU"/>
              </w:rPr>
              <w:t>Відновлення</w:t>
            </w:r>
            <w:proofErr w:type="spellEnd"/>
            <w:r w:rsidRPr="00F600D3">
              <w:rPr>
                <w:color w:val="000000"/>
                <w:sz w:val="18"/>
                <w:szCs w:val="18"/>
                <w:lang w:val="ru-RU"/>
              </w:rPr>
              <w:t xml:space="preserve"> </w:t>
            </w:r>
            <w:proofErr w:type="spellStart"/>
            <w:r w:rsidRPr="00F600D3">
              <w:rPr>
                <w:color w:val="000000"/>
                <w:sz w:val="18"/>
                <w:szCs w:val="18"/>
                <w:lang w:val="ru-RU"/>
              </w:rPr>
              <w:t>вуличного</w:t>
            </w:r>
            <w:proofErr w:type="spellEnd"/>
            <w:r w:rsidRPr="00F600D3">
              <w:rPr>
                <w:color w:val="000000"/>
                <w:sz w:val="18"/>
                <w:szCs w:val="18"/>
                <w:lang w:val="ru-RU"/>
              </w:rPr>
              <w:t xml:space="preserve"> </w:t>
            </w:r>
            <w:proofErr w:type="spellStart"/>
            <w:r w:rsidRPr="00F600D3">
              <w:rPr>
                <w:color w:val="000000"/>
                <w:sz w:val="18"/>
                <w:szCs w:val="18"/>
                <w:lang w:val="ru-RU"/>
              </w:rPr>
              <w:t>освітлення</w:t>
            </w:r>
            <w:proofErr w:type="spellEnd"/>
            <w:r w:rsidRPr="00F600D3">
              <w:rPr>
                <w:color w:val="000000"/>
                <w:sz w:val="18"/>
                <w:szCs w:val="18"/>
                <w:lang w:val="ru-RU"/>
              </w:rPr>
              <w:t xml:space="preserve">, </w:t>
            </w:r>
            <w:proofErr w:type="spellStart"/>
            <w:r w:rsidRPr="00F600D3">
              <w:rPr>
                <w:color w:val="000000"/>
                <w:sz w:val="18"/>
                <w:szCs w:val="18"/>
                <w:lang w:val="ru-RU"/>
              </w:rPr>
              <w:t>спортивних</w:t>
            </w:r>
            <w:proofErr w:type="spellEnd"/>
            <w:r w:rsidRPr="00F600D3">
              <w:rPr>
                <w:color w:val="000000"/>
                <w:sz w:val="18"/>
                <w:szCs w:val="18"/>
                <w:lang w:val="ru-RU"/>
              </w:rPr>
              <w:t xml:space="preserve"> </w:t>
            </w:r>
            <w:proofErr w:type="spellStart"/>
            <w:r w:rsidRPr="00F600D3">
              <w:rPr>
                <w:color w:val="000000"/>
                <w:sz w:val="18"/>
                <w:szCs w:val="18"/>
                <w:lang w:val="ru-RU"/>
              </w:rPr>
              <w:t>майданчиків</w:t>
            </w:r>
            <w:proofErr w:type="spellEnd"/>
            <w:r w:rsidRPr="00F600D3">
              <w:rPr>
                <w:color w:val="000000"/>
                <w:sz w:val="18"/>
                <w:szCs w:val="18"/>
                <w:lang w:val="ru-RU"/>
              </w:rPr>
              <w:t xml:space="preserve">, </w:t>
            </w:r>
            <w:proofErr w:type="spellStart"/>
            <w:r w:rsidRPr="00F600D3">
              <w:rPr>
                <w:color w:val="000000"/>
                <w:sz w:val="18"/>
                <w:szCs w:val="18"/>
                <w:lang w:val="ru-RU"/>
              </w:rPr>
              <w:t>дитячих</w:t>
            </w:r>
            <w:proofErr w:type="spellEnd"/>
            <w:r w:rsidRPr="00F600D3">
              <w:rPr>
                <w:color w:val="000000"/>
                <w:sz w:val="18"/>
                <w:szCs w:val="18"/>
                <w:lang w:val="ru-RU"/>
              </w:rPr>
              <w:t xml:space="preserve"> </w:t>
            </w:r>
            <w:proofErr w:type="spellStart"/>
            <w:r w:rsidRPr="00F600D3">
              <w:rPr>
                <w:color w:val="000000"/>
                <w:sz w:val="18"/>
                <w:szCs w:val="18"/>
                <w:lang w:val="ru-RU"/>
              </w:rPr>
              <w:t>майданчиків</w:t>
            </w:r>
            <w:proofErr w:type="spellEnd"/>
            <w:r w:rsidRPr="00F600D3">
              <w:rPr>
                <w:color w:val="000000"/>
                <w:sz w:val="18"/>
                <w:szCs w:val="18"/>
                <w:lang w:val="ru-RU"/>
              </w:rPr>
              <w:t xml:space="preserve"> та благоустрою </w:t>
            </w:r>
            <w:proofErr w:type="spellStart"/>
            <w:r w:rsidRPr="00F600D3">
              <w:rPr>
                <w:color w:val="000000"/>
                <w:sz w:val="18"/>
                <w:szCs w:val="18"/>
                <w:lang w:val="ru-RU"/>
              </w:rPr>
              <w:t>території</w:t>
            </w:r>
            <w:proofErr w:type="spellEnd"/>
            <w:r w:rsidRPr="00F600D3">
              <w:rPr>
                <w:color w:val="000000"/>
                <w:sz w:val="18"/>
                <w:szCs w:val="18"/>
                <w:lang w:val="ru-RU"/>
              </w:rPr>
              <w:t xml:space="preserve">, </w:t>
            </w:r>
            <w:proofErr w:type="spellStart"/>
            <w:r w:rsidRPr="00F600D3">
              <w:rPr>
                <w:color w:val="000000"/>
                <w:sz w:val="18"/>
                <w:szCs w:val="18"/>
                <w:lang w:val="ru-RU"/>
              </w:rPr>
              <w:t>встановлення</w:t>
            </w:r>
            <w:proofErr w:type="spellEnd"/>
            <w:r w:rsidRPr="00F600D3">
              <w:rPr>
                <w:color w:val="000000"/>
                <w:sz w:val="18"/>
                <w:szCs w:val="18"/>
                <w:lang w:val="ru-RU"/>
              </w:rPr>
              <w:t xml:space="preserve"> </w:t>
            </w:r>
            <w:proofErr w:type="spellStart"/>
            <w:r w:rsidRPr="00F600D3">
              <w:rPr>
                <w:color w:val="000000"/>
                <w:sz w:val="18"/>
                <w:szCs w:val="18"/>
                <w:lang w:val="ru-RU"/>
              </w:rPr>
              <w:t>паркану</w:t>
            </w:r>
            <w:proofErr w:type="spellEnd"/>
            <w:r w:rsidRPr="00F600D3">
              <w:rPr>
                <w:color w:val="000000"/>
                <w:sz w:val="18"/>
                <w:szCs w:val="18"/>
                <w:lang w:val="ru-RU"/>
              </w:rPr>
              <w:t xml:space="preserve"> </w:t>
            </w:r>
            <w:proofErr w:type="spellStart"/>
            <w:r w:rsidRPr="00F600D3">
              <w:rPr>
                <w:color w:val="000000"/>
                <w:sz w:val="18"/>
                <w:szCs w:val="18"/>
                <w:lang w:val="ru-RU"/>
              </w:rPr>
              <w:t>навколо</w:t>
            </w:r>
            <w:proofErr w:type="spellEnd"/>
            <w:r w:rsidRPr="00F600D3">
              <w:rPr>
                <w:color w:val="000000"/>
                <w:sz w:val="18"/>
                <w:szCs w:val="18"/>
                <w:lang w:val="ru-RU"/>
              </w:rPr>
              <w:t xml:space="preserve"> </w:t>
            </w:r>
            <w:proofErr w:type="spellStart"/>
            <w:r w:rsidRPr="00F600D3">
              <w:rPr>
                <w:color w:val="000000"/>
                <w:sz w:val="18"/>
                <w:szCs w:val="18"/>
                <w:lang w:val="ru-RU"/>
              </w:rPr>
              <w:t>території</w:t>
            </w:r>
            <w:proofErr w:type="spellEnd"/>
            <w:r w:rsidRPr="00F600D3">
              <w:rPr>
                <w:color w:val="000000"/>
                <w:sz w:val="18"/>
                <w:szCs w:val="18"/>
                <w:lang w:val="ru-RU"/>
              </w:rPr>
              <w:t xml:space="preserve">   </w:t>
            </w:r>
            <w:proofErr w:type="spellStart"/>
            <w:r w:rsidRPr="00F600D3">
              <w:rPr>
                <w:color w:val="000000"/>
                <w:sz w:val="18"/>
                <w:szCs w:val="18"/>
                <w:lang w:val="ru-RU"/>
              </w:rPr>
              <w:t>Ліцею</w:t>
            </w:r>
            <w:proofErr w:type="spellEnd"/>
            <w:r w:rsidRPr="00F600D3">
              <w:rPr>
                <w:color w:val="000000"/>
                <w:sz w:val="18"/>
                <w:szCs w:val="18"/>
                <w:lang w:val="ru-RU"/>
              </w:rPr>
              <w:t xml:space="preserve"> </w:t>
            </w:r>
            <w:r w:rsidRPr="00F600D3">
              <w:rPr>
                <w:color w:val="000000"/>
                <w:sz w:val="18"/>
                <w:szCs w:val="18"/>
              </w:rPr>
              <w:t>"ЮВЕНЕС" міста Сєвєродонецька Луганської області, вул. Курчатова, буд.34</w:t>
            </w:r>
          </w:p>
        </w:tc>
        <w:tc>
          <w:tcPr>
            <w:tcW w:w="1736"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color w:val="000000"/>
                <w:sz w:val="18"/>
                <w:szCs w:val="18"/>
                <w:lang w:eastAsia="uk-UA"/>
              </w:rPr>
              <w:t>7000,00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rPr>
            </w:pPr>
            <w:r w:rsidRPr="0093673E">
              <w:rPr>
                <w:color w:val="000000"/>
                <w:sz w:val="18"/>
                <w:szCs w:val="18"/>
              </w:rPr>
              <w:t>13 000,0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val="ru-RU"/>
              </w:rPr>
            </w:pPr>
            <w:proofErr w:type="spellStart"/>
            <w:r w:rsidRPr="0093673E">
              <w:rPr>
                <w:color w:val="000000"/>
                <w:sz w:val="18"/>
                <w:szCs w:val="18"/>
                <w:lang w:val="ru-RU"/>
              </w:rPr>
              <w:t>кошти</w:t>
            </w:r>
            <w:proofErr w:type="spellEnd"/>
            <w:r w:rsidRPr="0093673E">
              <w:rPr>
                <w:color w:val="000000"/>
                <w:sz w:val="18"/>
                <w:szCs w:val="18"/>
                <w:lang w:val="ru-RU"/>
              </w:rPr>
              <w:t xml:space="preserve"> </w:t>
            </w:r>
            <w:proofErr w:type="spellStart"/>
            <w:r w:rsidRPr="0093673E">
              <w:rPr>
                <w:color w:val="000000"/>
                <w:sz w:val="18"/>
                <w:szCs w:val="18"/>
                <w:lang w:val="ru-RU"/>
              </w:rPr>
              <w:t>міжнародних</w:t>
            </w:r>
            <w:proofErr w:type="spellEnd"/>
            <w:r w:rsidRPr="0093673E">
              <w:rPr>
                <w:color w:val="000000"/>
                <w:sz w:val="18"/>
                <w:szCs w:val="18"/>
                <w:lang w:val="ru-RU"/>
              </w:rPr>
              <w:t xml:space="preserve"> </w:t>
            </w:r>
            <w:proofErr w:type="spellStart"/>
            <w:proofErr w:type="gramStart"/>
            <w:r w:rsidRPr="0093673E">
              <w:rPr>
                <w:color w:val="000000"/>
                <w:sz w:val="18"/>
                <w:szCs w:val="18"/>
                <w:lang w:val="ru-RU"/>
              </w:rPr>
              <w:t>організацій</w:t>
            </w:r>
            <w:proofErr w:type="spellEnd"/>
            <w:r w:rsidRPr="0093673E">
              <w:rPr>
                <w:color w:val="000000"/>
                <w:sz w:val="18"/>
                <w:szCs w:val="18"/>
                <w:lang w:val="ru-RU"/>
              </w:rPr>
              <w:t xml:space="preserve">,  </w:t>
            </w:r>
            <w:proofErr w:type="spellStart"/>
            <w:r w:rsidRPr="0093673E">
              <w:rPr>
                <w:color w:val="000000"/>
                <w:sz w:val="18"/>
                <w:szCs w:val="18"/>
                <w:lang w:val="ru-RU"/>
              </w:rPr>
              <w:t>кошти</w:t>
            </w:r>
            <w:proofErr w:type="spellEnd"/>
            <w:proofErr w:type="gramEnd"/>
            <w:r w:rsidRPr="0093673E">
              <w:rPr>
                <w:color w:val="000000"/>
                <w:sz w:val="18"/>
                <w:szCs w:val="18"/>
                <w:lang w:val="ru-RU"/>
              </w:rPr>
              <w:t xml:space="preserve"> </w:t>
            </w:r>
            <w:proofErr w:type="spellStart"/>
            <w:r w:rsidRPr="0093673E">
              <w:rPr>
                <w:color w:val="000000"/>
                <w:sz w:val="18"/>
                <w:szCs w:val="18"/>
                <w:lang w:val="ru-RU"/>
              </w:rPr>
              <w:t>недержавних</w:t>
            </w:r>
            <w:proofErr w:type="spellEnd"/>
            <w:r w:rsidRPr="0093673E">
              <w:rPr>
                <w:color w:val="000000"/>
                <w:sz w:val="18"/>
                <w:szCs w:val="18"/>
                <w:lang w:val="ru-RU"/>
              </w:rPr>
              <w:t xml:space="preserve"> </w:t>
            </w:r>
            <w:proofErr w:type="spellStart"/>
            <w:r w:rsidRPr="0093673E">
              <w:rPr>
                <w:color w:val="000000"/>
                <w:sz w:val="18"/>
                <w:szCs w:val="18"/>
                <w:lang w:val="ru-RU"/>
              </w:rPr>
              <w:t>громадських</w:t>
            </w:r>
            <w:proofErr w:type="spellEnd"/>
            <w:r w:rsidRPr="0093673E">
              <w:rPr>
                <w:color w:val="000000"/>
                <w:sz w:val="18"/>
                <w:szCs w:val="18"/>
                <w:lang w:val="ru-RU"/>
              </w:rPr>
              <w:t xml:space="preserve"> </w:t>
            </w:r>
            <w:proofErr w:type="spellStart"/>
            <w:r w:rsidRPr="0093673E">
              <w:rPr>
                <w:color w:val="000000"/>
                <w:sz w:val="18"/>
                <w:szCs w:val="18"/>
                <w:lang w:val="ru-RU"/>
              </w:rPr>
              <w:t>організацій</w:t>
            </w:r>
            <w:proofErr w:type="spellEnd"/>
            <w:r w:rsidRPr="0093673E">
              <w:rPr>
                <w:color w:val="000000"/>
                <w:sz w:val="18"/>
                <w:szCs w:val="18"/>
                <w:lang w:val="ru-RU"/>
              </w:rPr>
              <w:t xml:space="preserve"> та </w:t>
            </w:r>
            <w:proofErr w:type="spellStart"/>
            <w:r w:rsidRPr="0093673E">
              <w:rPr>
                <w:color w:val="000000"/>
                <w:sz w:val="18"/>
                <w:szCs w:val="18"/>
                <w:lang w:val="ru-RU"/>
              </w:rPr>
              <w:t>благодійних</w:t>
            </w:r>
            <w:proofErr w:type="spellEnd"/>
            <w:r w:rsidRPr="0093673E">
              <w:rPr>
                <w:color w:val="000000"/>
                <w:sz w:val="18"/>
                <w:szCs w:val="18"/>
                <w:lang w:val="ru-RU"/>
              </w:rPr>
              <w:t xml:space="preserve"> </w:t>
            </w:r>
            <w:proofErr w:type="spellStart"/>
            <w:r w:rsidRPr="0093673E">
              <w:rPr>
                <w:color w:val="000000"/>
                <w:sz w:val="18"/>
                <w:szCs w:val="18"/>
                <w:lang w:val="ru-RU"/>
              </w:rPr>
              <w:t>фондів</w:t>
            </w:r>
            <w:proofErr w:type="spellEnd"/>
          </w:p>
        </w:tc>
        <w:tc>
          <w:tcPr>
            <w:tcW w:w="1164"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color w:val="000000"/>
                <w:sz w:val="18"/>
                <w:szCs w:val="18"/>
                <w:lang w:eastAsia="uk-UA"/>
              </w:rPr>
              <w:t>20000,00</w:t>
            </w:r>
          </w:p>
        </w:tc>
      </w:tr>
      <w:tr w:rsidR="00E021FE" w:rsidRPr="00E95FB1" w:rsidTr="00AD159F">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color w:val="000000"/>
                <w:sz w:val="18"/>
                <w:szCs w:val="18"/>
                <w:lang w:eastAsia="uk-UA"/>
              </w:rPr>
              <w:t>56</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sz w:val="18"/>
                <w:szCs w:val="18"/>
              </w:rPr>
              <w:t xml:space="preserve">Будівництво спортивного залу </w:t>
            </w:r>
            <w:proofErr w:type="spellStart"/>
            <w:r w:rsidRPr="00F600D3">
              <w:rPr>
                <w:bCs/>
                <w:sz w:val="18"/>
                <w:szCs w:val="18"/>
              </w:rPr>
              <w:t>Новоастраханського</w:t>
            </w:r>
            <w:proofErr w:type="spellEnd"/>
            <w:r w:rsidRPr="00F600D3">
              <w:rPr>
                <w:bCs/>
                <w:sz w:val="18"/>
                <w:szCs w:val="18"/>
              </w:rPr>
              <w:t xml:space="preserve"> ліцею Сєвєродонецького району Луганської області, за </w:t>
            </w:r>
            <w:proofErr w:type="spellStart"/>
            <w:r w:rsidRPr="00F600D3">
              <w:rPr>
                <w:bCs/>
                <w:sz w:val="18"/>
                <w:szCs w:val="18"/>
              </w:rPr>
              <w:t>адресою</w:t>
            </w:r>
            <w:proofErr w:type="spellEnd"/>
            <w:r w:rsidRPr="00F600D3">
              <w:rPr>
                <w:bCs/>
                <w:sz w:val="18"/>
                <w:szCs w:val="18"/>
              </w:rPr>
              <w:t>: вул.Центральна,45, с. Нова Астрахань, Сєвєродонецький район, Луганська область, 72940.</w:t>
            </w:r>
          </w:p>
        </w:tc>
        <w:tc>
          <w:tcPr>
            <w:tcW w:w="1736"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bCs/>
                <w:sz w:val="18"/>
                <w:szCs w:val="18"/>
              </w:rPr>
              <w:t>10 000,0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pStyle w:val="a7"/>
              <w:ind w:left="0"/>
              <w:jc w:val="center"/>
              <w:rPr>
                <w:bCs/>
                <w:sz w:val="18"/>
                <w:szCs w:val="18"/>
              </w:rPr>
            </w:pPr>
            <w:r w:rsidRPr="00AD159F">
              <w:rPr>
                <w:bCs/>
                <w:sz w:val="18"/>
                <w:szCs w:val="18"/>
              </w:rPr>
              <w:t>10 900 ,0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pStyle w:val="a7"/>
              <w:ind w:left="0"/>
              <w:jc w:val="center"/>
              <w:rPr>
                <w:bCs/>
                <w:sz w:val="18"/>
                <w:szCs w:val="18"/>
              </w:rPr>
            </w:pPr>
            <w:r w:rsidRPr="00AD159F">
              <w:rPr>
                <w:bCs/>
                <w:sz w:val="18"/>
                <w:szCs w:val="18"/>
              </w:rPr>
              <w:t>Міжнародні гранти.</w:t>
            </w:r>
          </w:p>
        </w:tc>
        <w:tc>
          <w:tcPr>
            <w:tcW w:w="1164"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color w:val="000000"/>
                <w:sz w:val="18"/>
                <w:szCs w:val="18"/>
                <w:lang w:eastAsia="uk-UA"/>
              </w:rPr>
              <w:t>20900,00</w:t>
            </w:r>
          </w:p>
        </w:tc>
      </w:tr>
      <w:tr w:rsidR="00E021FE" w:rsidRPr="00E95FB1" w:rsidTr="00AD159F">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color w:val="000000"/>
                <w:sz w:val="18"/>
                <w:szCs w:val="18"/>
                <w:lang w:eastAsia="uk-UA"/>
              </w:rPr>
              <w:t>57</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color w:val="000000"/>
                <w:sz w:val="18"/>
                <w:szCs w:val="18"/>
              </w:rPr>
              <w:t xml:space="preserve">Капітальний ремонт будівлі </w:t>
            </w:r>
            <w:proofErr w:type="spellStart"/>
            <w:r w:rsidRPr="00F600D3">
              <w:rPr>
                <w:color w:val="000000"/>
                <w:sz w:val="18"/>
                <w:szCs w:val="18"/>
              </w:rPr>
              <w:t>Новоастраханського</w:t>
            </w:r>
            <w:proofErr w:type="spellEnd"/>
            <w:r w:rsidRPr="00F600D3">
              <w:rPr>
                <w:color w:val="000000"/>
                <w:sz w:val="18"/>
                <w:szCs w:val="18"/>
              </w:rPr>
              <w:t xml:space="preserve"> ліцею Сєвєродонецького району Луганської області, за </w:t>
            </w:r>
            <w:proofErr w:type="spellStart"/>
            <w:r w:rsidRPr="00F600D3">
              <w:rPr>
                <w:color w:val="000000"/>
                <w:sz w:val="18"/>
                <w:szCs w:val="18"/>
              </w:rPr>
              <w:t>адресою</w:t>
            </w:r>
            <w:proofErr w:type="spellEnd"/>
            <w:r w:rsidRPr="00F600D3">
              <w:rPr>
                <w:color w:val="000000"/>
                <w:sz w:val="18"/>
                <w:szCs w:val="18"/>
              </w:rPr>
              <w:t xml:space="preserve"> : вул. Центральна, буд.45.,с. Нова Астрахань, Сєвєродонецького району, Луганської області</w:t>
            </w:r>
          </w:p>
        </w:tc>
        <w:tc>
          <w:tcPr>
            <w:tcW w:w="1736"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bCs/>
                <w:sz w:val="18"/>
                <w:szCs w:val="18"/>
              </w:rPr>
              <w:t>30  000,0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pStyle w:val="a7"/>
              <w:ind w:left="0"/>
              <w:jc w:val="center"/>
              <w:rPr>
                <w:bCs/>
                <w:sz w:val="18"/>
                <w:szCs w:val="18"/>
              </w:rPr>
            </w:pPr>
            <w:r w:rsidRPr="00AD159F">
              <w:rPr>
                <w:bCs/>
                <w:sz w:val="18"/>
                <w:szCs w:val="18"/>
              </w:rPr>
              <w:t>31 581,153</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pStyle w:val="a7"/>
              <w:ind w:left="0"/>
              <w:jc w:val="center"/>
              <w:rPr>
                <w:bCs/>
                <w:sz w:val="18"/>
                <w:szCs w:val="18"/>
              </w:rPr>
            </w:pPr>
            <w:r w:rsidRPr="00AD159F">
              <w:rPr>
                <w:bCs/>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pStyle w:val="a7"/>
              <w:ind w:left="0"/>
              <w:jc w:val="center"/>
              <w:rPr>
                <w:sz w:val="18"/>
                <w:szCs w:val="18"/>
              </w:rPr>
            </w:pPr>
            <w:r w:rsidRPr="00AD159F">
              <w:rPr>
                <w:sz w:val="18"/>
                <w:szCs w:val="18"/>
              </w:rPr>
              <w:t>61 581, 153</w:t>
            </w:r>
          </w:p>
        </w:tc>
      </w:tr>
      <w:tr w:rsidR="00E021FE" w:rsidRPr="00E95FB1" w:rsidTr="00AD159F">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color w:val="000000"/>
                <w:sz w:val="18"/>
                <w:szCs w:val="18"/>
                <w:lang w:eastAsia="uk-UA"/>
              </w:rPr>
              <w:t>58</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sz w:val="18"/>
                <w:szCs w:val="18"/>
              </w:rPr>
              <w:t xml:space="preserve">Відновлення паркану та відновлення благоустрою території </w:t>
            </w:r>
            <w:proofErr w:type="spellStart"/>
            <w:r w:rsidRPr="00F600D3">
              <w:rPr>
                <w:color w:val="000000"/>
                <w:sz w:val="18"/>
                <w:szCs w:val="18"/>
              </w:rPr>
              <w:t>Новоастраханського</w:t>
            </w:r>
            <w:proofErr w:type="spellEnd"/>
            <w:r w:rsidRPr="00F600D3">
              <w:rPr>
                <w:color w:val="000000"/>
                <w:sz w:val="18"/>
                <w:szCs w:val="18"/>
              </w:rPr>
              <w:t xml:space="preserve"> ліцею Сєвєродонецького району Луганської області, за </w:t>
            </w:r>
            <w:proofErr w:type="spellStart"/>
            <w:r w:rsidRPr="00F600D3">
              <w:rPr>
                <w:color w:val="000000"/>
                <w:sz w:val="18"/>
                <w:szCs w:val="18"/>
              </w:rPr>
              <w:t>адресою</w:t>
            </w:r>
            <w:proofErr w:type="spellEnd"/>
            <w:r w:rsidRPr="00F600D3">
              <w:rPr>
                <w:color w:val="000000"/>
                <w:sz w:val="18"/>
                <w:szCs w:val="18"/>
              </w:rPr>
              <w:t xml:space="preserve"> : вул. Центральна, буд.45.,с. Нова Астрахань, Сєвєродонецького району, Луганської області.</w:t>
            </w:r>
          </w:p>
        </w:tc>
        <w:tc>
          <w:tcPr>
            <w:tcW w:w="1736"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bCs/>
                <w:sz w:val="18"/>
                <w:szCs w:val="18"/>
              </w:rPr>
              <w:t>9 000, 0</w:t>
            </w:r>
          </w:p>
        </w:tc>
        <w:tc>
          <w:tcPr>
            <w:tcW w:w="992"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pStyle w:val="a7"/>
              <w:ind w:left="0"/>
              <w:jc w:val="center"/>
              <w:rPr>
                <w:bCs/>
                <w:sz w:val="18"/>
                <w:szCs w:val="18"/>
              </w:rPr>
            </w:pPr>
            <w:r w:rsidRPr="00AD159F">
              <w:rPr>
                <w:bCs/>
                <w:sz w:val="18"/>
                <w:szCs w:val="18"/>
              </w:rPr>
              <w:t>13 000,0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pStyle w:val="a7"/>
              <w:ind w:left="0"/>
              <w:jc w:val="center"/>
              <w:rPr>
                <w:bCs/>
                <w:sz w:val="18"/>
                <w:szCs w:val="18"/>
              </w:rPr>
            </w:pPr>
            <w:r w:rsidRPr="00AD159F">
              <w:rPr>
                <w:bCs/>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pStyle w:val="a7"/>
              <w:ind w:left="0"/>
              <w:jc w:val="center"/>
              <w:rPr>
                <w:sz w:val="18"/>
                <w:szCs w:val="18"/>
              </w:rPr>
            </w:pPr>
            <w:r w:rsidRPr="00AD159F">
              <w:rPr>
                <w:sz w:val="18"/>
                <w:szCs w:val="18"/>
              </w:rPr>
              <w:t>22  000,0</w:t>
            </w:r>
          </w:p>
        </w:tc>
      </w:tr>
      <w:tr w:rsidR="00E021FE" w:rsidRPr="00E95FB1" w:rsidTr="00AD159F">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color w:val="000000"/>
                <w:sz w:val="18"/>
                <w:szCs w:val="18"/>
                <w:lang w:eastAsia="uk-UA"/>
              </w:rPr>
              <w:t>59</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sz w:val="18"/>
                <w:szCs w:val="18"/>
              </w:rPr>
              <w:t xml:space="preserve">Проведення капітального ремонту, оснащення бомбосховища в Ліцеї </w:t>
            </w:r>
            <w:r w:rsidRPr="00F600D3">
              <w:rPr>
                <w:bCs/>
                <w:sz w:val="18"/>
                <w:szCs w:val="18"/>
              </w:rPr>
              <w:lastRenderedPageBreak/>
              <w:t xml:space="preserve">багатопрофільному міста Сєвєродонецька Луганської області,  </w:t>
            </w:r>
            <w:proofErr w:type="spellStart"/>
            <w:r w:rsidRPr="00F600D3">
              <w:rPr>
                <w:bCs/>
                <w:sz w:val="18"/>
                <w:szCs w:val="18"/>
              </w:rPr>
              <w:t>вул.Гагаріна</w:t>
            </w:r>
            <w:proofErr w:type="spellEnd"/>
            <w:r w:rsidRPr="00F600D3">
              <w:rPr>
                <w:bCs/>
                <w:sz w:val="18"/>
                <w:szCs w:val="18"/>
              </w:rPr>
              <w:t>, буд. 97.</w:t>
            </w:r>
          </w:p>
        </w:tc>
        <w:tc>
          <w:tcPr>
            <w:tcW w:w="1736"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sz w:val="18"/>
                <w:szCs w:val="18"/>
              </w:rPr>
              <w:lastRenderedPageBreak/>
              <w:t xml:space="preserve">Сєвєродонецька міська </w:t>
            </w:r>
            <w:r w:rsidRPr="00AD159F">
              <w:rPr>
                <w:sz w:val="18"/>
                <w:szCs w:val="18"/>
              </w:rPr>
              <w:lastRenderedPageBreak/>
              <w:t>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sz w:val="18"/>
                <w:szCs w:val="18"/>
              </w:rPr>
              <w:lastRenderedPageBreak/>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bCs/>
                <w:sz w:val="18"/>
                <w:szCs w:val="18"/>
                <w:lang w:val="en-US"/>
              </w:rPr>
              <w:t>5 000.00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pStyle w:val="a7"/>
              <w:ind w:left="0"/>
              <w:jc w:val="center"/>
              <w:rPr>
                <w:bCs/>
                <w:sz w:val="18"/>
                <w:szCs w:val="18"/>
              </w:rPr>
            </w:pPr>
            <w:r w:rsidRPr="00AD159F">
              <w:rPr>
                <w:bCs/>
                <w:sz w:val="18"/>
                <w:szCs w:val="18"/>
              </w:rPr>
              <w:t>1</w:t>
            </w:r>
            <w:r w:rsidRPr="00AD159F">
              <w:rPr>
                <w:bCs/>
                <w:sz w:val="18"/>
                <w:szCs w:val="18"/>
                <w:lang w:val="en-US"/>
              </w:rPr>
              <w:t>0</w:t>
            </w:r>
            <w:r w:rsidRPr="00AD159F">
              <w:rPr>
                <w:bCs/>
                <w:sz w:val="18"/>
                <w:szCs w:val="18"/>
              </w:rPr>
              <w:t> 000,00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pStyle w:val="a7"/>
              <w:ind w:left="0"/>
              <w:jc w:val="center"/>
              <w:rPr>
                <w:bCs/>
                <w:sz w:val="18"/>
                <w:szCs w:val="18"/>
              </w:rPr>
            </w:pPr>
            <w:r w:rsidRPr="00AD159F">
              <w:rPr>
                <w:bCs/>
                <w:sz w:val="18"/>
                <w:szCs w:val="18"/>
              </w:rPr>
              <w:t xml:space="preserve">Міжнародні інвестиції, </w:t>
            </w:r>
            <w:r w:rsidRPr="00AD159F">
              <w:rPr>
                <w:bCs/>
                <w:sz w:val="18"/>
                <w:szCs w:val="18"/>
              </w:rPr>
              <w:lastRenderedPageBreak/>
              <w:t>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color w:val="000000"/>
                <w:sz w:val="18"/>
                <w:szCs w:val="18"/>
                <w:lang w:eastAsia="uk-UA"/>
              </w:rPr>
              <w:lastRenderedPageBreak/>
              <w:t>15000,00</w:t>
            </w:r>
          </w:p>
        </w:tc>
      </w:tr>
      <w:tr w:rsidR="00E021FE" w:rsidRPr="00E95FB1" w:rsidTr="00AD159F">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color w:val="000000"/>
                <w:sz w:val="18"/>
                <w:szCs w:val="18"/>
                <w:lang w:eastAsia="uk-UA"/>
              </w:rPr>
              <w:t>60</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sz w:val="18"/>
                <w:szCs w:val="18"/>
              </w:rPr>
              <w:t xml:space="preserve">Відновлення матеріально-технічної бази Ліцею багатопрофільного міста Сєвєродонецька Луганської області,  </w:t>
            </w:r>
            <w:proofErr w:type="spellStart"/>
            <w:r w:rsidRPr="00F600D3">
              <w:rPr>
                <w:bCs/>
                <w:sz w:val="18"/>
                <w:szCs w:val="18"/>
              </w:rPr>
              <w:t>вул.Гагаріна</w:t>
            </w:r>
            <w:proofErr w:type="spellEnd"/>
            <w:r w:rsidRPr="00F600D3">
              <w:rPr>
                <w:bCs/>
                <w:sz w:val="18"/>
                <w:szCs w:val="18"/>
              </w:rPr>
              <w:t>, буд. 97.</w:t>
            </w:r>
          </w:p>
        </w:tc>
        <w:tc>
          <w:tcPr>
            <w:tcW w:w="1736"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color w:val="000000"/>
                <w:sz w:val="18"/>
                <w:szCs w:val="18"/>
                <w:lang w:eastAsia="uk-UA"/>
              </w:rPr>
              <w:t>3000,00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pStyle w:val="a7"/>
              <w:ind w:left="0"/>
              <w:jc w:val="center"/>
              <w:rPr>
                <w:bCs/>
                <w:sz w:val="18"/>
                <w:szCs w:val="18"/>
              </w:rPr>
            </w:pPr>
            <w:r w:rsidRPr="00AD159F">
              <w:rPr>
                <w:bCs/>
                <w:sz w:val="18"/>
                <w:szCs w:val="18"/>
              </w:rPr>
              <w:t>2 000,00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pStyle w:val="a7"/>
              <w:ind w:left="0"/>
              <w:jc w:val="center"/>
              <w:rPr>
                <w:bCs/>
                <w:sz w:val="18"/>
                <w:szCs w:val="18"/>
              </w:rPr>
            </w:pPr>
            <w:r w:rsidRPr="00AD159F">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color w:val="000000"/>
                <w:sz w:val="18"/>
                <w:szCs w:val="18"/>
                <w:lang w:eastAsia="uk-UA"/>
              </w:rPr>
              <w:t>5000,00</w:t>
            </w:r>
          </w:p>
        </w:tc>
      </w:tr>
      <w:tr w:rsidR="00E021FE" w:rsidRPr="00E95FB1" w:rsidTr="00AD159F">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color w:val="000000"/>
                <w:sz w:val="18"/>
                <w:szCs w:val="18"/>
                <w:lang w:eastAsia="uk-UA"/>
              </w:rPr>
              <w:t>61</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rFonts w:eastAsia="san-serif"/>
                <w:sz w:val="18"/>
                <w:szCs w:val="18"/>
              </w:rPr>
              <w:t>Встановлення системи опалення (ІТП) в Ліцеї багатопрофільному міста Сєвєродонецька Луганської області вулиця Гагаріна, будинок 97</w:t>
            </w:r>
          </w:p>
        </w:tc>
        <w:tc>
          <w:tcPr>
            <w:tcW w:w="1736"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color w:val="000000"/>
                <w:sz w:val="18"/>
                <w:szCs w:val="18"/>
                <w:lang w:eastAsia="uk-UA"/>
              </w:rPr>
              <w:t>700,00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pStyle w:val="a7"/>
              <w:ind w:left="0"/>
              <w:jc w:val="center"/>
              <w:rPr>
                <w:b/>
                <w:bCs/>
                <w:sz w:val="18"/>
                <w:szCs w:val="18"/>
              </w:rPr>
            </w:pPr>
            <w:r w:rsidRPr="00AD159F">
              <w:rPr>
                <w:sz w:val="18"/>
                <w:szCs w:val="18"/>
              </w:rPr>
              <w:t>300,0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pStyle w:val="a7"/>
              <w:ind w:left="0"/>
              <w:jc w:val="center"/>
              <w:rPr>
                <w:bCs/>
                <w:sz w:val="18"/>
                <w:szCs w:val="18"/>
              </w:rPr>
            </w:pPr>
            <w:r w:rsidRPr="00AD159F">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color w:val="000000"/>
                <w:sz w:val="18"/>
                <w:szCs w:val="18"/>
                <w:lang w:eastAsia="uk-UA"/>
              </w:rPr>
              <w:t>1000,00</w:t>
            </w:r>
          </w:p>
        </w:tc>
      </w:tr>
      <w:tr w:rsidR="00E021FE" w:rsidRPr="00E95FB1" w:rsidTr="00524DBF">
        <w:trPr>
          <w:trHeight w:val="37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E021FE" w:rsidRPr="00E95FB1" w:rsidRDefault="00E021FE" w:rsidP="000714B4">
            <w:pPr>
              <w:jc w:val="left"/>
              <w:rPr>
                <w:color w:val="000000"/>
                <w:sz w:val="16"/>
                <w:szCs w:val="16"/>
                <w:lang w:eastAsia="uk-UA"/>
              </w:rPr>
            </w:pPr>
            <w:r>
              <w:rPr>
                <w:color w:val="000000"/>
                <w:sz w:val="16"/>
                <w:szCs w:val="16"/>
                <w:lang w:eastAsia="uk-UA"/>
              </w:rPr>
              <w:t>62</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color w:val="000000"/>
                <w:sz w:val="18"/>
                <w:szCs w:val="18"/>
              </w:rPr>
              <w:t>Сучасний с</w:t>
            </w:r>
            <w:r w:rsidRPr="00F600D3">
              <w:rPr>
                <w:color w:val="000000"/>
                <w:sz w:val="18"/>
                <w:szCs w:val="18"/>
                <w:lang w:eastAsia="uk-UA"/>
              </w:rPr>
              <w:t>портивний майданчик у Гімназії №11  міста Сєвєродонецька Луганської області  «За здорове майбутнє», проспект Гвардійський, будинок 25</w:t>
            </w:r>
          </w:p>
        </w:tc>
        <w:tc>
          <w:tcPr>
            <w:tcW w:w="1736" w:type="dxa"/>
            <w:tcBorders>
              <w:top w:val="nil"/>
              <w:left w:val="nil"/>
              <w:bottom w:val="single" w:sz="4" w:space="0" w:color="auto"/>
              <w:right w:val="single" w:sz="4" w:space="0" w:color="auto"/>
            </w:tcBorders>
            <w:shd w:val="clear" w:color="auto" w:fill="auto"/>
            <w:vAlign w:val="center"/>
            <w:hideMark/>
          </w:tcPr>
          <w:p w:rsidR="00E021FE" w:rsidRPr="000B5FB5" w:rsidRDefault="00E021FE" w:rsidP="000714B4">
            <w:pPr>
              <w:jc w:val="center"/>
              <w:rPr>
                <w:color w:val="000000"/>
                <w:sz w:val="18"/>
                <w:szCs w:val="18"/>
                <w:lang w:eastAsia="uk-UA"/>
              </w:rPr>
            </w:pPr>
            <w:r w:rsidRPr="000B5FB5">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0B5FB5" w:rsidRDefault="00E021FE" w:rsidP="000714B4">
            <w:pPr>
              <w:jc w:val="center"/>
              <w:rPr>
                <w:color w:val="000000"/>
                <w:sz w:val="18"/>
                <w:szCs w:val="18"/>
                <w:lang w:eastAsia="uk-UA"/>
              </w:rPr>
            </w:pPr>
            <w:r w:rsidRPr="000B5FB5">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0B5FB5" w:rsidRDefault="00E021FE" w:rsidP="000714B4">
            <w:pPr>
              <w:jc w:val="center"/>
              <w:rPr>
                <w:color w:val="000000"/>
                <w:sz w:val="18"/>
                <w:szCs w:val="18"/>
                <w:lang w:eastAsia="uk-UA"/>
              </w:rPr>
            </w:pPr>
            <w:r w:rsidRPr="000B5FB5">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0B5FB5"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0B5FB5" w:rsidRDefault="00E021FE" w:rsidP="000714B4">
            <w:pPr>
              <w:jc w:val="center"/>
              <w:rPr>
                <w:color w:val="000000"/>
                <w:sz w:val="18"/>
                <w:szCs w:val="18"/>
                <w:lang w:eastAsia="uk-UA"/>
              </w:rPr>
            </w:pPr>
            <w:r w:rsidRPr="000B5FB5">
              <w:rPr>
                <w:sz w:val="18"/>
                <w:szCs w:val="18"/>
              </w:rPr>
              <w:t>262,0</w:t>
            </w:r>
          </w:p>
        </w:tc>
        <w:tc>
          <w:tcPr>
            <w:tcW w:w="992" w:type="dxa"/>
            <w:tcBorders>
              <w:top w:val="nil"/>
              <w:left w:val="nil"/>
              <w:bottom w:val="single" w:sz="4" w:space="0" w:color="auto"/>
              <w:right w:val="single" w:sz="4" w:space="0" w:color="auto"/>
            </w:tcBorders>
            <w:shd w:val="clear" w:color="auto" w:fill="auto"/>
            <w:vAlign w:val="center"/>
            <w:hideMark/>
          </w:tcPr>
          <w:p w:rsidR="00E021FE" w:rsidRPr="000B5FB5"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0B5FB5" w:rsidRDefault="00E021FE" w:rsidP="000714B4">
            <w:pPr>
              <w:pStyle w:val="a7"/>
              <w:ind w:left="0"/>
              <w:jc w:val="center"/>
              <w:rPr>
                <w:sz w:val="18"/>
                <w:szCs w:val="18"/>
              </w:rPr>
            </w:pPr>
            <w:r w:rsidRPr="000B5FB5">
              <w:rPr>
                <w:sz w:val="18"/>
                <w:szCs w:val="18"/>
              </w:rPr>
              <w:t>65,0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0B5FB5" w:rsidRDefault="00E021FE" w:rsidP="000714B4">
            <w:pPr>
              <w:pStyle w:val="a7"/>
              <w:ind w:left="0"/>
              <w:jc w:val="center"/>
              <w:rPr>
                <w:bCs/>
                <w:sz w:val="18"/>
                <w:szCs w:val="18"/>
              </w:rPr>
            </w:pPr>
            <w:r w:rsidRPr="000B5FB5">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0B5FB5" w:rsidRDefault="00E021FE" w:rsidP="000714B4">
            <w:pPr>
              <w:pStyle w:val="a7"/>
              <w:ind w:left="0"/>
              <w:jc w:val="center"/>
              <w:rPr>
                <w:bCs/>
                <w:sz w:val="18"/>
                <w:szCs w:val="18"/>
              </w:rPr>
            </w:pPr>
            <w:r w:rsidRPr="000B5FB5">
              <w:rPr>
                <w:sz w:val="18"/>
                <w:szCs w:val="18"/>
              </w:rPr>
              <w:t>327,0</w:t>
            </w:r>
          </w:p>
        </w:tc>
      </w:tr>
      <w:tr w:rsidR="00E021FE" w:rsidRPr="00E95FB1" w:rsidTr="008A667C">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Default="00E021FE" w:rsidP="008A667C">
            <w:pPr>
              <w:jc w:val="center"/>
              <w:rPr>
                <w:color w:val="000000"/>
                <w:sz w:val="16"/>
                <w:szCs w:val="16"/>
                <w:lang w:eastAsia="uk-UA"/>
              </w:rPr>
            </w:pPr>
            <w:r>
              <w:rPr>
                <w:color w:val="000000"/>
                <w:sz w:val="16"/>
                <w:szCs w:val="16"/>
                <w:lang w:eastAsia="uk-UA"/>
              </w:rPr>
              <w:t>63</w:t>
            </w:r>
          </w:p>
        </w:tc>
        <w:tc>
          <w:tcPr>
            <w:tcW w:w="3049"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jc w:val="center"/>
              <w:rPr>
                <w:sz w:val="18"/>
                <w:szCs w:val="18"/>
              </w:rPr>
            </w:pPr>
            <w:r w:rsidRPr="008A667C">
              <w:rPr>
                <w:sz w:val="18"/>
                <w:szCs w:val="18"/>
              </w:rPr>
              <w:t>Відновлення роботи шкільної  їдальні (харчоблоку та обідньої зали) Гімназії №6 міста Сєвєродонецька Луганської області.</w:t>
            </w:r>
          </w:p>
          <w:p w:rsidR="00E021FE" w:rsidRPr="008A667C" w:rsidRDefault="00E021FE" w:rsidP="008A667C">
            <w:pPr>
              <w:jc w:val="center"/>
              <w:rPr>
                <w:color w:val="000000"/>
                <w:sz w:val="18"/>
                <w:szCs w:val="18"/>
              </w:rPr>
            </w:pPr>
            <w:r w:rsidRPr="008A667C">
              <w:rPr>
                <w:sz w:val="18"/>
                <w:szCs w:val="18"/>
              </w:rPr>
              <w:t>вул. Маяковського, 9, м. Сєвєродонецьк, Сєвєродонецький р-н, Луганська обл.</w:t>
            </w:r>
          </w:p>
        </w:tc>
        <w:tc>
          <w:tcPr>
            <w:tcW w:w="1736"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jc w:val="center"/>
              <w:rPr>
                <w:color w:val="000000"/>
                <w:sz w:val="18"/>
                <w:szCs w:val="18"/>
                <w:lang w:eastAsia="uk-UA"/>
              </w:rPr>
            </w:pPr>
            <w:r w:rsidRPr="008A667C">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jc w:val="center"/>
              <w:rPr>
                <w:color w:val="000000"/>
                <w:sz w:val="18"/>
                <w:szCs w:val="18"/>
                <w:lang w:eastAsia="uk-UA"/>
              </w:rPr>
            </w:pPr>
            <w:r w:rsidRPr="008A667C">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jc w:val="center"/>
              <w:rPr>
                <w:color w:val="000000"/>
                <w:sz w:val="18"/>
                <w:szCs w:val="18"/>
                <w:lang w:eastAsia="uk-UA"/>
              </w:rPr>
            </w:pPr>
            <w:r w:rsidRPr="008A667C">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jc w:val="center"/>
              <w:rPr>
                <w:color w:val="000000"/>
                <w:sz w:val="18"/>
                <w:szCs w:val="18"/>
                <w:lang w:eastAsia="uk-UA"/>
              </w:rPr>
            </w:pPr>
            <w:r w:rsidRPr="008A667C">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jc w:val="center"/>
              <w:rPr>
                <w:color w:val="000000"/>
                <w:sz w:val="18"/>
                <w:szCs w:val="18"/>
                <w:lang w:eastAsia="uk-UA"/>
              </w:rPr>
            </w:pPr>
            <w:r w:rsidRPr="008A667C">
              <w:rPr>
                <w:rFonts w:eastAsia="Calibri"/>
                <w:sz w:val="18"/>
                <w:szCs w:val="18"/>
              </w:rPr>
              <w:t>2100,0</w:t>
            </w:r>
          </w:p>
        </w:tc>
        <w:tc>
          <w:tcPr>
            <w:tcW w:w="992"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autoSpaceDE w:val="0"/>
              <w:autoSpaceDN w:val="0"/>
              <w:adjustRightInd w:val="0"/>
              <w:jc w:val="center"/>
              <w:rPr>
                <w:rFonts w:eastAsia="Calibri"/>
                <w:color w:val="000000"/>
                <w:sz w:val="18"/>
                <w:szCs w:val="18"/>
              </w:rPr>
            </w:pPr>
            <w:r w:rsidRPr="008A667C">
              <w:rPr>
                <w:rFonts w:eastAsia="Calibri"/>
                <w:sz w:val="18"/>
                <w:szCs w:val="18"/>
              </w:rPr>
              <w:t>900,0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autoSpaceDE w:val="0"/>
              <w:autoSpaceDN w:val="0"/>
              <w:adjustRightInd w:val="0"/>
              <w:jc w:val="center"/>
              <w:rPr>
                <w:rFonts w:eastAsia="Calibri"/>
                <w:color w:val="000000"/>
                <w:sz w:val="18"/>
                <w:szCs w:val="18"/>
              </w:rPr>
            </w:pPr>
            <w:r w:rsidRPr="008A667C">
              <w:rPr>
                <w:rFonts w:eastAsia="Calibri"/>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pStyle w:val="a7"/>
              <w:ind w:left="0"/>
              <w:jc w:val="center"/>
              <w:rPr>
                <w:sz w:val="18"/>
                <w:szCs w:val="18"/>
              </w:rPr>
            </w:pPr>
            <w:r w:rsidRPr="008A667C">
              <w:rPr>
                <w:rFonts w:eastAsia="Calibri"/>
                <w:sz w:val="18"/>
                <w:szCs w:val="18"/>
              </w:rPr>
              <w:t>3000,0</w:t>
            </w:r>
          </w:p>
        </w:tc>
      </w:tr>
      <w:tr w:rsidR="00E021FE" w:rsidRPr="00E95FB1" w:rsidTr="008A667C">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Default="00E021FE" w:rsidP="008A667C">
            <w:pPr>
              <w:jc w:val="center"/>
              <w:rPr>
                <w:color w:val="000000"/>
                <w:sz w:val="16"/>
                <w:szCs w:val="16"/>
                <w:lang w:eastAsia="uk-UA"/>
              </w:rPr>
            </w:pPr>
            <w:r>
              <w:rPr>
                <w:color w:val="000000"/>
                <w:sz w:val="16"/>
                <w:szCs w:val="16"/>
                <w:lang w:eastAsia="uk-UA"/>
              </w:rPr>
              <w:t>64</w:t>
            </w:r>
          </w:p>
        </w:tc>
        <w:tc>
          <w:tcPr>
            <w:tcW w:w="3049"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jc w:val="center"/>
              <w:rPr>
                <w:sz w:val="18"/>
                <w:szCs w:val="18"/>
              </w:rPr>
            </w:pPr>
            <w:r w:rsidRPr="008A667C">
              <w:rPr>
                <w:sz w:val="18"/>
                <w:szCs w:val="18"/>
              </w:rPr>
              <w:t>Відновлення та покращення території Гімназії №6 міста Сєвєродонецька Луганської області.</w:t>
            </w:r>
          </w:p>
          <w:p w:rsidR="00E021FE" w:rsidRPr="008A667C" w:rsidRDefault="00E021FE" w:rsidP="008A667C">
            <w:pPr>
              <w:jc w:val="center"/>
              <w:rPr>
                <w:color w:val="000000"/>
                <w:sz w:val="18"/>
                <w:szCs w:val="18"/>
              </w:rPr>
            </w:pPr>
            <w:r w:rsidRPr="008A667C">
              <w:rPr>
                <w:sz w:val="18"/>
                <w:szCs w:val="18"/>
              </w:rPr>
              <w:t>вул. Маяковського, 9, м. Сєвєродонецьк, Сєвєродонецький р-н, Луганська обл.</w:t>
            </w:r>
          </w:p>
        </w:tc>
        <w:tc>
          <w:tcPr>
            <w:tcW w:w="1736"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jc w:val="center"/>
              <w:rPr>
                <w:color w:val="000000"/>
                <w:sz w:val="18"/>
                <w:szCs w:val="18"/>
                <w:lang w:eastAsia="uk-UA"/>
              </w:rPr>
            </w:pPr>
            <w:r w:rsidRPr="008A667C">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jc w:val="center"/>
              <w:rPr>
                <w:color w:val="000000"/>
                <w:sz w:val="18"/>
                <w:szCs w:val="18"/>
                <w:lang w:eastAsia="uk-UA"/>
              </w:rPr>
            </w:pPr>
            <w:r w:rsidRPr="008A667C">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jc w:val="center"/>
              <w:rPr>
                <w:color w:val="000000"/>
                <w:sz w:val="18"/>
                <w:szCs w:val="18"/>
                <w:lang w:eastAsia="uk-UA"/>
              </w:rPr>
            </w:pPr>
            <w:r w:rsidRPr="008A667C">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jc w:val="center"/>
              <w:rPr>
                <w:color w:val="000000"/>
                <w:sz w:val="18"/>
                <w:szCs w:val="18"/>
                <w:lang w:eastAsia="uk-UA"/>
              </w:rPr>
            </w:pPr>
            <w:r w:rsidRPr="008A667C">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autoSpaceDE w:val="0"/>
              <w:autoSpaceDN w:val="0"/>
              <w:adjustRightInd w:val="0"/>
              <w:jc w:val="center"/>
              <w:rPr>
                <w:rFonts w:eastAsia="Calibri"/>
                <w:sz w:val="18"/>
                <w:szCs w:val="18"/>
              </w:rPr>
            </w:pPr>
            <w:r w:rsidRPr="008A667C">
              <w:rPr>
                <w:rFonts w:eastAsia="Calibri"/>
                <w:sz w:val="18"/>
                <w:szCs w:val="18"/>
              </w:rPr>
              <w:t>2 100,0</w:t>
            </w:r>
          </w:p>
        </w:tc>
        <w:tc>
          <w:tcPr>
            <w:tcW w:w="992"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autoSpaceDE w:val="0"/>
              <w:autoSpaceDN w:val="0"/>
              <w:adjustRightInd w:val="0"/>
              <w:jc w:val="center"/>
              <w:rPr>
                <w:rFonts w:eastAsia="Calibri"/>
                <w:color w:val="000000"/>
                <w:sz w:val="18"/>
                <w:szCs w:val="18"/>
              </w:rPr>
            </w:pPr>
            <w:r w:rsidRPr="008A667C">
              <w:rPr>
                <w:rFonts w:eastAsia="Calibri"/>
                <w:sz w:val="18"/>
                <w:szCs w:val="18"/>
              </w:rPr>
              <w:t>900,0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autoSpaceDE w:val="0"/>
              <w:autoSpaceDN w:val="0"/>
              <w:adjustRightInd w:val="0"/>
              <w:jc w:val="center"/>
              <w:rPr>
                <w:rFonts w:eastAsia="Calibri"/>
                <w:color w:val="000000"/>
                <w:sz w:val="18"/>
                <w:szCs w:val="18"/>
              </w:rPr>
            </w:pPr>
            <w:r w:rsidRPr="008A667C">
              <w:rPr>
                <w:rFonts w:eastAsia="Calibri"/>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pStyle w:val="a7"/>
              <w:ind w:left="0"/>
              <w:jc w:val="center"/>
              <w:rPr>
                <w:sz w:val="18"/>
                <w:szCs w:val="18"/>
              </w:rPr>
            </w:pPr>
            <w:r w:rsidRPr="008A667C">
              <w:rPr>
                <w:rFonts w:eastAsia="Calibri"/>
                <w:sz w:val="18"/>
                <w:szCs w:val="18"/>
              </w:rPr>
              <w:t>3000,0</w:t>
            </w:r>
          </w:p>
        </w:tc>
      </w:tr>
      <w:tr w:rsidR="00E021FE" w:rsidRPr="00E95FB1" w:rsidTr="008A667C">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Default="00E021FE" w:rsidP="008A667C">
            <w:pPr>
              <w:jc w:val="center"/>
              <w:rPr>
                <w:color w:val="000000"/>
                <w:sz w:val="16"/>
                <w:szCs w:val="16"/>
                <w:lang w:eastAsia="uk-UA"/>
              </w:rPr>
            </w:pPr>
            <w:r>
              <w:rPr>
                <w:color w:val="000000"/>
                <w:sz w:val="16"/>
                <w:szCs w:val="16"/>
                <w:lang w:eastAsia="uk-UA"/>
              </w:rPr>
              <w:t>65</w:t>
            </w:r>
          </w:p>
        </w:tc>
        <w:tc>
          <w:tcPr>
            <w:tcW w:w="3049"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jc w:val="center"/>
              <w:rPr>
                <w:sz w:val="18"/>
                <w:szCs w:val="18"/>
              </w:rPr>
            </w:pPr>
            <w:r w:rsidRPr="008A667C">
              <w:rPr>
                <w:sz w:val="18"/>
                <w:szCs w:val="18"/>
              </w:rPr>
              <w:t>Відновлення вікон та дверей у пошкоджених приміщеннях Гімназії №6 міста Сєвєродонецька Луганської області.</w:t>
            </w:r>
          </w:p>
          <w:p w:rsidR="00E021FE" w:rsidRPr="008A667C" w:rsidRDefault="00E021FE" w:rsidP="008A667C">
            <w:pPr>
              <w:jc w:val="center"/>
              <w:rPr>
                <w:color w:val="000000"/>
                <w:sz w:val="18"/>
                <w:szCs w:val="18"/>
              </w:rPr>
            </w:pPr>
            <w:r w:rsidRPr="008A667C">
              <w:rPr>
                <w:sz w:val="18"/>
                <w:szCs w:val="18"/>
              </w:rPr>
              <w:t>вул. Маяковського, 9, м. Сєвєродонецьк, Сєвєродонецький р-н, Луганська обл.</w:t>
            </w:r>
          </w:p>
        </w:tc>
        <w:tc>
          <w:tcPr>
            <w:tcW w:w="1736"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jc w:val="center"/>
              <w:rPr>
                <w:color w:val="000000"/>
                <w:sz w:val="18"/>
                <w:szCs w:val="18"/>
                <w:lang w:eastAsia="uk-UA"/>
              </w:rPr>
            </w:pPr>
            <w:r w:rsidRPr="008A667C">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jc w:val="center"/>
              <w:rPr>
                <w:color w:val="000000"/>
                <w:sz w:val="18"/>
                <w:szCs w:val="18"/>
                <w:lang w:eastAsia="uk-UA"/>
              </w:rPr>
            </w:pPr>
            <w:r w:rsidRPr="008A667C">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jc w:val="center"/>
              <w:rPr>
                <w:color w:val="000000"/>
                <w:sz w:val="18"/>
                <w:szCs w:val="18"/>
                <w:lang w:eastAsia="uk-UA"/>
              </w:rPr>
            </w:pPr>
            <w:r w:rsidRPr="008A667C">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jc w:val="center"/>
              <w:rPr>
                <w:color w:val="000000"/>
                <w:sz w:val="18"/>
                <w:szCs w:val="18"/>
                <w:lang w:eastAsia="uk-UA"/>
              </w:rPr>
            </w:pPr>
            <w:r w:rsidRPr="008A667C">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jc w:val="center"/>
              <w:rPr>
                <w:color w:val="000000"/>
                <w:sz w:val="18"/>
                <w:szCs w:val="18"/>
                <w:lang w:eastAsia="uk-UA"/>
              </w:rPr>
            </w:pPr>
            <w:r w:rsidRPr="008A667C">
              <w:rPr>
                <w:rFonts w:eastAsia="Calibri"/>
                <w:sz w:val="18"/>
                <w:szCs w:val="18"/>
              </w:rPr>
              <w:t>3 000,0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pStyle w:val="a7"/>
              <w:ind w:left="0"/>
              <w:jc w:val="center"/>
              <w:rPr>
                <w:sz w:val="18"/>
                <w:szCs w:val="18"/>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pStyle w:val="a7"/>
              <w:ind w:left="0"/>
              <w:jc w:val="center"/>
              <w:rPr>
                <w:bCs/>
                <w:sz w:val="18"/>
                <w:szCs w:val="18"/>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pStyle w:val="a7"/>
              <w:ind w:left="0"/>
              <w:jc w:val="center"/>
              <w:rPr>
                <w:sz w:val="18"/>
                <w:szCs w:val="18"/>
              </w:rPr>
            </w:pPr>
            <w:r w:rsidRPr="008A667C">
              <w:rPr>
                <w:rFonts w:eastAsia="Calibri"/>
                <w:sz w:val="18"/>
                <w:szCs w:val="18"/>
              </w:rPr>
              <w:t>3 000,0</w:t>
            </w:r>
          </w:p>
        </w:tc>
      </w:tr>
      <w:tr w:rsidR="00E021FE" w:rsidRPr="00E95FB1" w:rsidTr="004E6D5F">
        <w:trPr>
          <w:trHeight w:val="375"/>
        </w:trPr>
        <w:tc>
          <w:tcPr>
            <w:tcW w:w="3535" w:type="dxa"/>
            <w:gridSpan w:val="2"/>
            <w:tcBorders>
              <w:top w:val="nil"/>
              <w:left w:val="single" w:sz="4" w:space="0" w:color="auto"/>
              <w:bottom w:val="single" w:sz="4" w:space="0" w:color="auto"/>
              <w:right w:val="single" w:sz="4" w:space="0" w:color="auto"/>
            </w:tcBorders>
            <w:shd w:val="clear" w:color="auto" w:fill="auto"/>
            <w:vAlign w:val="center"/>
            <w:hideMark/>
          </w:tcPr>
          <w:p w:rsidR="00E021FE" w:rsidRPr="004E6D5F" w:rsidRDefault="00E021FE" w:rsidP="004E6D5F">
            <w:pPr>
              <w:jc w:val="center"/>
              <w:rPr>
                <w:b/>
                <w:bCs/>
                <w:color w:val="000000"/>
                <w:sz w:val="18"/>
                <w:szCs w:val="18"/>
                <w:lang w:eastAsia="uk-UA"/>
              </w:rPr>
            </w:pPr>
            <w:r w:rsidRPr="004E6D5F">
              <w:rPr>
                <w:b/>
                <w:bCs/>
                <w:color w:val="000000"/>
                <w:sz w:val="18"/>
                <w:szCs w:val="18"/>
                <w:lang w:eastAsia="uk-UA"/>
              </w:rPr>
              <w:t>Всього напрямом</w:t>
            </w:r>
          </w:p>
        </w:tc>
        <w:tc>
          <w:tcPr>
            <w:tcW w:w="1736" w:type="dxa"/>
            <w:tcBorders>
              <w:top w:val="nil"/>
              <w:left w:val="nil"/>
              <w:bottom w:val="single" w:sz="4" w:space="0" w:color="auto"/>
              <w:right w:val="single" w:sz="4" w:space="0" w:color="auto"/>
            </w:tcBorders>
            <w:shd w:val="clear" w:color="auto" w:fill="auto"/>
            <w:vAlign w:val="center"/>
            <w:hideMark/>
          </w:tcPr>
          <w:p w:rsidR="00E021FE" w:rsidRPr="004E6D5F" w:rsidRDefault="00E021FE" w:rsidP="004E6D5F">
            <w:pPr>
              <w:jc w:val="center"/>
              <w:rPr>
                <w:b/>
                <w:bCs/>
                <w:color w:val="000000"/>
                <w:sz w:val="18"/>
                <w:szCs w:val="18"/>
                <w:lang w:eastAsia="uk-UA"/>
              </w:rPr>
            </w:pPr>
            <w:r w:rsidRPr="004E6D5F">
              <w:rPr>
                <w:b/>
                <w:bCs/>
                <w:color w:val="000000"/>
                <w:sz w:val="18"/>
                <w:szCs w:val="18"/>
                <w:lang w:eastAsia="uk-UA"/>
              </w:rPr>
              <w:t>х</w:t>
            </w:r>
          </w:p>
        </w:tc>
        <w:tc>
          <w:tcPr>
            <w:tcW w:w="1252" w:type="dxa"/>
            <w:tcBorders>
              <w:top w:val="nil"/>
              <w:left w:val="nil"/>
              <w:bottom w:val="single" w:sz="4" w:space="0" w:color="auto"/>
              <w:right w:val="single" w:sz="4" w:space="0" w:color="auto"/>
            </w:tcBorders>
            <w:shd w:val="clear" w:color="auto" w:fill="auto"/>
            <w:vAlign w:val="center"/>
            <w:hideMark/>
          </w:tcPr>
          <w:p w:rsidR="00E021FE" w:rsidRPr="004E6D5F" w:rsidRDefault="00E021FE" w:rsidP="004E6D5F">
            <w:pPr>
              <w:jc w:val="center"/>
              <w:rPr>
                <w:b/>
                <w:bCs/>
                <w:color w:val="000000"/>
                <w:sz w:val="18"/>
                <w:szCs w:val="18"/>
                <w:lang w:eastAsia="uk-UA"/>
              </w:rPr>
            </w:pPr>
            <w:r w:rsidRPr="004E6D5F">
              <w:rPr>
                <w:b/>
                <w:bCs/>
                <w:color w:val="000000"/>
                <w:sz w:val="18"/>
                <w:szCs w:val="18"/>
                <w:lang w:eastAsia="uk-UA"/>
              </w:rPr>
              <w:t>х</w:t>
            </w:r>
          </w:p>
        </w:tc>
        <w:tc>
          <w:tcPr>
            <w:tcW w:w="1035" w:type="dxa"/>
            <w:tcBorders>
              <w:top w:val="nil"/>
              <w:left w:val="nil"/>
              <w:bottom w:val="single" w:sz="4" w:space="0" w:color="auto"/>
              <w:right w:val="single" w:sz="4" w:space="0" w:color="auto"/>
            </w:tcBorders>
            <w:shd w:val="clear" w:color="auto" w:fill="auto"/>
            <w:vAlign w:val="center"/>
            <w:hideMark/>
          </w:tcPr>
          <w:p w:rsidR="00E021FE" w:rsidRPr="004E6D5F" w:rsidRDefault="00E021FE" w:rsidP="004E6D5F">
            <w:pPr>
              <w:jc w:val="center"/>
              <w:rPr>
                <w:b/>
                <w:bCs/>
                <w:color w:val="000000"/>
                <w:sz w:val="18"/>
                <w:szCs w:val="18"/>
                <w:lang w:eastAsia="uk-UA"/>
              </w:rPr>
            </w:pPr>
            <w:r w:rsidRPr="004E6D5F">
              <w:rPr>
                <w:b/>
                <w:bCs/>
                <w:color w:val="000000"/>
                <w:sz w:val="18"/>
                <w:szCs w:val="18"/>
                <w:lang w:eastAsia="uk-UA"/>
              </w:rPr>
              <w:t>х</w:t>
            </w:r>
          </w:p>
        </w:tc>
        <w:tc>
          <w:tcPr>
            <w:tcW w:w="1104" w:type="dxa"/>
            <w:tcBorders>
              <w:top w:val="nil"/>
              <w:left w:val="nil"/>
              <w:bottom w:val="single" w:sz="4" w:space="0" w:color="auto"/>
              <w:right w:val="single" w:sz="4" w:space="0" w:color="auto"/>
            </w:tcBorders>
            <w:shd w:val="clear" w:color="auto" w:fill="auto"/>
            <w:vAlign w:val="center"/>
            <w:hideMark/>
          </w:tcPr>
          <w:p w:rsidR="00E021FE" w:rsidRPr="004E6D5F" w:rsidRDefault="00E021FE" w:rsidP="004E6D5F">
            <w:pPr>
              <w:jc w:val="center"/>
              <w:rPr>
                <w:b/>
                <w:bCs/>
                <w:color w:val="000000"/>
                <w:sz w:val="18"/>
                <w:szCs w:val="18"/>
                <w:lang w:eastAsia="uk-UA"/>
              </w:rPr>
            </w:pPr>
            <w:r w:rsidRPr="004E6D5F">
              <w:rPr>
                <w:b/>
                <w:bCs/>
                <w:color w:val="000000"/>
                <w:sz w:val="18"/>
                <w:szCs w:val="18"/>
                <w:lang w:eastAsia="uk-UA"/>
              </w:rPr>
              <w:t>х</w:t>
            </w:r>
          </w:p>
        </w:tc>
        <w:tc>
          <w:tcPr>
            <w:tcW w:w="1134" w:type="dxa"/>
            <w:tcBorders>
              <w:top w:val="nil"/>
              <w:left w:val="nil"/>
              <w:bottom w:val="single" w:sz="4" w:space="0" w:color="auto"/>
              <w:right w:val="single" w:sz="4" w:space="0" w:color="auto"/>
            </w:tcBorders>
            <w:shd w:val="clear" w:color="auto" w:fill="auto"/>
            <w:vAlign w:val="center"/>
            <w:hideMark/>
          </w:tcPr>
          <w:p w:rsidR="00E021FE" w:rsidRPr="004E6D5F" w:rsidRDefault="00E021FE" w:rsidP="004E6D5F">
            <w:pPr>
              <w:jc w:val="center"/>
              <w:rPr>
                <w:b/>
                <w:color w:val="000000"/>
                <w:sz w:val="18"/>
                <w:szCs w:val="18"/>
                <w:lang w:eastAsia="uk-UA"/>
              </w:rPr>
            </w:pPr>
            <w:r w:rsidRPr="004E6D5F">
              <w:rPr>
                <w:b/>
                <w:color w:val="000000"/>
                <w:sz w:val="18"/>
                <w:szCs w:val="18"/>
                <w:lang w:eastAsia="uk-UA"/>
              </w:rPr>
              <w:t>1297269,78</w:t>
            </w:r>
          </w:p>
        </w:tc>
        <w:tc>
          <w:tcPr>
            <w:tcW w:w="992" w:type="dxa"/>
            <w:tcBorders>
              <w:top w:val="nil"/>
              <w:left w:val="nil"/>
              <w:bottom w:val="single" w:sz="4" w:space="0" w:color="auto"/>
              <w:right w:val="single" w:sz="4" w:space="0" w:color="auto"/>
            </w:tcBorders>
            <w:shd w:val="clear" w:color="auto" w:fill="auto"/>
            <w:vAlign w:val="center"/>
            <w:hideMark/>
          </w:tcPr>
          <w:p w:rsidR="00E021FE" w:rsidRPr="004E6D5F" w:rsidRDefault="00E021FE" w:rsidP="004E6D5F">
            <w:pPr>
              <w:jc w:val="center"/>
              <w:rPr>
                <w:b/>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4E6D5F" w:rsidRDefault="00E021FE" w:rsidP="004E6D5F">
            <w:pPr>
              <w:jc w:val="center"/>
              <w:rPr>
                <w:b/>
                <w:color w:val="000000"/>
                <w:sz w:val="18"/>
                <w:szCs w:val="18"/>
                <w:lang w:eastAsia="uk-UA"/>
              </w:rPr>
            </w:pPr>
            <w:r w:rsidRPr="004E6D5F">
              <w:rPr>
                <w:b/>
                <w:color w:val="000000"/>
                <w:sz w:val="18"/>
                <w:szCs w:val="18"/>
                <w:lang w:eastAsia="uk-UA"/>
              </w:rPr>
              <w:t>1184320,6</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4E6D5F" w:rsidRDefault="00E021FE" w:rsidP="004E6D5F">
            <w:pPr>
              <w:jc w:val="center"/>
              <w:rPr>
                <w:b/>
                <w:color w:val="000000"/>
                <w:sz w:val="18"/>
                <w:szCs w:val="18"/>
                <w:lang w:eastAsia="uk-UA"/>
              </w:rPr>
            </w:pPr>
            <w:r w:rsidRPr="004E6D5F">
              <w:rPr>
                <w:b/>
                <w:bCs/>
                <w:color w:val="000000"/>
                <w:sz w:val="18"/>
                <w:szCs w:val="18"/>
                <w:lang w:eastAsia="uk-UA"/>
              </w:rPr>
              <w:t>х</w:t>
            </w:r>
          </w:p>
        </w:tc>
        <w:tc>
          <w:tcPr>
            <w:tcW w:w="1164" w:type="dxa"/>
            <w:tcBorders>
              <w:top w:val="nil"/>
              <w:left w:val="nil"/>
              <w:bottom w:val="single" w:sz="4" w:space="0" w:color="auto"/>
              <w:right w:val="single" w:sz="4" w:space="0" w:color="auto"/>
            </w:tcBorders>
            <w:shd w:val="clear" w:color="auto" w:fill="auto"/>
            <w:vAlign w:val="center"/>
            <w:hideMark/>
          </w:tcPr>
          <w:p w:rsidR="00E021FE" w:rsidRPr="004E6D5F" w:rsidRDefault="00E021FE" w:rsidP="004E6D5F">
            <w:pPr>
              <w:jc w:val="center"/>
              <w:rPr>
                <w:b/>
                <w:color w:val="000000"/>
                <w:sz w:val="18"/>
                <w:szCs w:val="18"/>
                <w:lang w:eastAsia="uk-UA"/>
              </w:rPr>
            </w:pPr>
            <w:r w:rsidRPr="004E6D5F">
              <w:rPr>
                <w:b/>
                <w:color w:val="000000"/>
                <w:sz w:val="18"/>
                <w:szCs w:val="18"/>
                <w:lang w:eastAsia="uk-UA"/>
              </w:rPr>
              <w:t>2481590,38</w:t>
            </w:r>
          </w:p>
        </w:tc>
      </w:tr>
      <w:tr w:rsidR="00E021FE" w:rsidRPr="00E95FB1" w:rsidTr="00524DBF">
        <w:trPr>
          <w:trHeight w:val="375"/>
        </w:trPr>
        <w:tc>
          <w:tcPr>
            <w:tcW w:w="14580" w:type="dxa"/>
            <w:gridSpan w:val="12"/>
            <w:tcBorders>
              <w:top w:val="nil"/>
              <w:left w:val="single" w:sz="4" w:space="0" w:color="auto"/>
              <w:bottom w:val="single" w:sz="4" w:space="0" w:color="auto"/>
              <w:right w:val="single" w:sz="4" w:space="0" w:color="auto"/>
            </w:tcBorders>
            <w:shd w:val="clear" w:color="auto" w:fill="auto"/>
            <w:vAlign w:val="bottom"/>
            <w:hideMark/>
          </w:tcPr>
          <w:p w:rsidR="00E021FE" w:rsidRPr="00E95FB1" w:rsidRDefault="00E021FE" w:rsidP="000714B4">
            <w:pPr>
              <w:jc w:val="center"/>
              <w:rPr>
                <w:color w:val="000000"/>
                <w:sz w:val="16"/>
                <w:szCs w:val="16"/>
                <w:lang w:eastAsia="uk-UA"/>
              </w:rPr>
            </w:pPr>
            <w:r w:rsidRPr="00E95FB1">
              <w:rPr>
                <w:color w:val="000000"/>
                <w:sz w:val="24"/>
                <w:szCs w:val="24"/>
                <w:lang w:eastAsia="uk-UA"/>
              </w:rPr>
              <w:t xml:space="preserve">2.3. </w:t>
            </w:r>
            <w:r>
              <w:rPr>
                <w:color w:val="000000"/>
                <w:sz w:val="24"/>
                <w:szCs w:val="24"/>
                <w:lang w:eastAsia="uk-UA"/>
              </w:rPr>
              <w:t>Інші з</w:t>
            </w:r>
            <w:r w:rsidRPr="00E95FB1">
              <w:rPr>
                <w:color w:val="000000"/>
                <w:sz w:val="24"/>
                <w:szCs w:val="24"/>
                <w:lang w:eastAsia="uk-UA"/>
              </w:rPr>
              <w:t xml:space="preserve">аклади </w:t>
            </w:r>
            <w:r>
              <w:rPr>
                <w:color w:val="000000"/>
                <w:sz w:val="24"/>
                <w:szCs w:val="24"/>
                <w:lang w:eastAsia="uk-UA"/>
              </w:rPr>
              <w:t>освіти</w:t>
            </w:r>
          </w:p>
        </w:tc>
      </w:tr>
      <w:tr w:rsidR="00E021FE" w:rsidRPr="00E95FB1" w:rsidTr="00915972">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r w:rsidRPr="00915972">
              <w:rPr>
                <w:color w:val="000000"/>
                <w:sz w:val="18"/>
                <w:szCs w:val="18"/>
                <w:lang w:eastAsia="uk-UA"/>
              </w:rPr>
              <w:lastRenderedPageBreak/>
              <w:t>1</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sz w:val="18"/>
                <w:szCs w:val="18"/>
                <w:lang w:eastAsia="it-IT"/>
              </w:rPr>
              <w:t xml:space="preserve">Капітальний ремонт будівлі Сєвєродонецького міжшкільного ресурсного центру за </w:t>
            </w:r>
            <w:proofErr w:type="spellStart"/>
            <w:r w:rsidRPr="00F600D3">
              <w:rPr>
                <w:sz w:val="18"/>
                <w:szCs w:val="18"/>
                <w:lang w:eastAsia="it-IT"/>
              </w:rPr>
              <w:t>адресою</w:t>
            </w:r>
            <w:proofErr w:type="spellEnd"/>
            <w:r w:rsidRPr="00F600D3">
              <w:rPr>
                <w:sz w:val="18"/>
                <w:szCs w:val="18"/>
                <w:lang w:eastAsia="it-IT"/>
              </w:rPr>
              <w:t xml:space="preserve"> проспект Гвардійський 22-б</w:t>
            </w:r>
          </w:p>
        </w:tc>
        <w:tc>
          <w:tcPr>
            <w:tcW w:w="1736"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r w:rsidRPr="00915972">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r w:rsidRPr="00915972">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r w:rsidRPr="00915972">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r w:rsidRPr="00915972">
              <w:rPr>
                <w:bCs/>
                <w:sz w:val="18"/>
                <w:szCs w:val="18"/>
              </w:rPr>
              <w:t>50 000,0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tabs>
                <w:tab w:val="left" w:pos="5290"/>
              </w:tabs>
              <w:jc w:val="center"/>
              <w:rPr>
                <w:sz w:val="18"/>
                <w:szCs w:val="18"/>
              </w:rPr>
            </w:pPr>
            <w:r w:rsidRPr="00915972">
              <w:rPr>
                <w:sz w:val="18"/>
                <w:szCs w:val="18"/>
              </w:rPr>
              <w:t>8 988,9365</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autoSpaceDE w:val="0"/>
              <w:autoSpaceDN w:val="0"/>
              <w:adjustRightInd w:val="0"/>
              <w:jc w:val="center"/>
              <w:rPr>
                <w:rFonts w:eastAsia="Calibri"/>
                <w:color w:val="000000"/>
                <w:sz w:val="18"/>
                <w:szCs w:val="18"/>
              </w:rPr>
            </w:pPr>
            <w:r w:rsidRPr="00915972">
              <w:rPr>
                <w:rFonts w:eastAsia="Calibri"/>
                <w:color w:val="000000"/>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shd w:val="clear" w:color="auto" w:fill="FFFFFF"/>
              <w:tabs>
                <w:tab w:val="left" w:pos="378"/>
              </w:tabs>
              <w:jc w:val="center"/>
              <w:rPr>
                <w:bCs/>
                <w:sz w:val="18"/>
                <w:szCs w:val="18"/>
              </w:rPr>
            </w:pPr>
            <w:r w:rsidRPr="00915972">
              <w:rPr>
                <w:sz w:val="18"/>
                <w:szCs w:val="18"/>
              </w:rPr>
              <w:t>58 988,9365</w:t>
            </w:r>
          </w:p>
        </w:tc>
      </w:tr>
      <w:tr w:rsidR="00E021FE" w:rsidRPr="00E95FB1" w:rsidTr="00915972">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r w:rsidRPr="00915972">
              <w:rPr>
                <w:color w:val="000000"/>
                <w:sz w:val="18"/>
                <w:szCs w:val="18"/>
                <w:lang w:eastAsia="uk-UA"/>
              </w:rPr>
              <w:t>2</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sz w:val="18"/>
                <w:szCs w:val="18"/>
                <w:lang w:eastAsia="it-IT"/>
              </w:rPr>
              <w:t xml:space="preserve">Оснащення центру професійної підготовки водіїв у Сєвєродонецькому міжшкільному ресурсному центрі за </w:t>
            </w:r>
            <w:proofErr w:type="spellStart"/>
            <w:r w:rsidRPr="00F600D3">
              <w:rPr>
                <w:sz w:val="18"/>
                <w:szCs w:val="18"/>
                <w:lang w:eastAsia="it-IT"/>
              </w:rPr>
              <w:t>адресою</w:t>
            </w:r>
            <w:proofErr w:type="spellEnd"/>
            <w:r w:rsidRPr="00F600D3">
              <w:rPr>
                <w:sz w:val="18"/>
                <w:szCs w:val="18"/>
                <w:lang w:eastAsia="it-IT"/>
              </w:rPr>
              <w:t xml:space="preserve"> проспект Центральний 19</w:t>
            </w:r>
          </w:p>
        </w:tc>
        <w:tc>
          <w:tcPr>
            <w:tcW w:w="1736"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r w:rsidRPr="00915972">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r w:rsidRPr="00915972">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r w:rsidRPr="00915972">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pStyle w:val="af5"/>
              <w:jc w:val="center"/>
              <w:rPr>
                <w:sz w:val="18"/>
                <w:szCs w:val="18"/>
                <w:lang w:eastAsia="it-IT"/>
              </w:rPr>
            </w:pPr>
            <w:r w:rsidRPr="00915972">
              <w:rPr>
                <w:sz w:val="18"/>
                <w:szCs w:val="18"/>
                <w:lang w:eastAsia="it-IT"/>
              </w:rPr>
              <w:t>3000,000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pStyle w:val="af5"/>
              <w:jc w:val="center"/>
              <w:rPr>
                <w:sz w:val="18"/>
                <w:szCs w:val="18"/>
                <w:lang w:eastAsia="it-IT"/>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autoSpaceDE w:val="0"/>
              <w:autoSpaceDN w:val="0"/>
              <w:adjustRightInd w:val="0"/>
              <w:jc w:val="center"/>
              <w:rPr>
                <w:rFonts w:eastAsia="Calibri"/>
                <w:color w:val="000000"/>
                <w:sz w:val="18"/>
                <w:szCs w:val="18"/>
              </w:rPr>
            </w:pPr>
            <w:r w:rsidRPr="00915972">
              <w:rPr>
                <w:sz w:val="18"/>
                <w:szCs w:val="18"/>
                <w:lang w:eastAsia="it-IT"/>
              </w:rPr>
              <w:t>2580,930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autoSpaceDE w:val="0"/>
              <w:autoSpaceDN w:val="0"/>
              <w:adjustRightInd w:val="0"/>
              <w:jc w:val="center"/>
              <w:rPr>
                <w:rFonts w:eastAsia="Calibri"/>
                <w:color w:val="000000"/>
                <w:sz w:val="18"/>
                <w:szCs w:val="18"/>
              </w:rPr>
            </w:pPr>
            <w:r w:rsidRPr="00915972">
              <w:rPr>
                <w:rFonts w:eastAsia="Calibri"/>
                <w:color w:val="000000"/>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pStyle w:val="af5"/>
              <w:jc w:val="center"/>
              <w:rPr>
                <w:sz w:val="18"/>
                <w:szCs w:val="18"/>
                <w:lang w:eastAsia="it-IT"/>
              </w:rPr>
            </w:pPr>
            <w:r w:rsidRPr="00915972">
              <w:rPr>
                <w:sz w:val="18"/>
                <w:szCs w:val="18"/>
                <w:lang w:eastAsia="it-IT"/>
              </w:rPr>
              <w:t>5580,930</w:t>
            </w:r>
          </w:p>
        </w:tc>
      </w:tr>
      <w:tr w:rsidR="00E021FE" w:rsidRPr="00E95FB1" w:rsidTr="00915972">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r w:rsidRPr="00915972">
              <w:rPr>
                <w:color w:val="000000"/>
                <w:sz w:val="18"/>
                <w:szCs w:val="18"/>
                <w:lang w:eastAsia="uk-UA"/>
              </w:rPr>
              <w:t>3</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sz w:val="18"/>
                <w:szCs w:val="18"/>
              </w:rPr>
              <w:t>Центр STEM освіти на базі Сєвєродонецького міжшкільного ресурсного центру</w:t>
            </w:r>
            <w:r w:rsidRPr="00F600D3">
              <w:rPr>
                <w:bCs/>
                <w:sz w:val="18"/>
                <w:szCs w:val="18"/>
                <w:lang w:eastAsia="it-IT"/>
              </w:rPr>
              <w:t xml:space="preserve"> за </w:t>
            </w:r>
            <w:proofErr w:type="spellStart"/>
            <w:r w:rsidRPr="00F600D3">
              <w:rPr>
                <w:bCs/>
                <w:sz w:val="18"/>
                <w:szCs w:val="18"/>
                <w:lang w:eastAsia="it-IT"/>
              </w:rPr>
              <w:t>адресою</w:t>
            </w:r>
            <w:proofErr w:type="spellEnd"/>
            <w:r w:rsidRPr="00F600D3">
              <w:rPr>
                <w:bCs/>
                <w:sz w:val="18"/>
                <w:szCs w:val="18"/>
                <w:lang w:eastAsia="it-IT"/>
              </w:rPr>
              <w:t xml:space="preserve"> </w:t>
            </w:r>
            <w:r w:rsidR="00A90A65">
              <w:rPr>
                <w:bCs/>
                <w:sz w:val="18"/>
                <w:szCs w:val="18"/>
                <w:lang w:eastAsia="it-IT"/>
              </w:rPr>
              <w:t>:</w:t>
            </w:r>
            <w:r w:rsidRPr="00F600D3">
              <w:rPr>
                <w:bCs/>
                <w:sz w:val="18"/>
                <w:szCs w:val="18"/>
                <w:lang w:eastAsia="it-IT"/>
              </w:rPr>
              <w:t>проспект Гвардійський</w:t>
            </w:r>
            <w:r w:rsidR="00A90A65">
              <w:rPr>
                <w:bCs/>
                <w:sz w:val="18"/>
                <w:szCs w:val="18"/>
                <w:lang w:eastAsia="it-IT"/>
              </w:rPr>
              <w:t>,</w:t>
            </w:r>
            <w:r w:rsidRPr="00F600D3">
              <w:rPr>
                <w:bCs/>
                <w:sz w:val="18"/>
                <w:szCs w:val="18"/>
                <w:lang w:eastAsia="it-IT"/>
              </w:rPr>
              <w:t xml:space="preserve"> 22-б</w:t>
            </w:r>
          </w:p>
        </w:tc>
        <w:tc>
          <w:tcPr>
            <w:tcW w:w="1736"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r w:rsidRPr="00915972">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r w:rsidRPr="00915972">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r w:rsidRPr="00915972">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tabs>
                <w:tab w:val="left" w:pos="5290"/>
              </w:tabs>
              <w:jc w:val="center"/>
              <w:rPr>
                <w:color w:val="FF0000"/>
                <w:sz w:val="18"/>
                <w:szCs w:val="18"/>
              </w:rPr>
            </w:pPr>
            <w:r w:rsidRPr="00915972">
              <w:rPr>
                <w:sz w:val="18"/>
                <w:szCs w:val="18"/>
              </w:rPr>
              <w:t>2238,870</w:t>
            </w:r>
          </w:p>
          <w:p w:rsidR="00E021FE" w:rsidRPr="00915972" w:rsidRDefault="00E021FE" w:rsidP="000714B4">
            <w:pPr>
              <w:jc w:val="center"/>
              <w:rPr>
                <w:bCs/>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bCs/>
                <w:sz w:val="18"/>
                <w:szCs w:val="18"/>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bCs/>
                <w:sz w:val="18"/>
                <w:szCs w:val="18"/>
              </w:rPr>
            </w:pPr>
            <w:r w:rsidRPr="00915972">
              <w:rPr>
                <w:sz w:val="18"/>
                <w:szCs w:val="18"/>
              </w:rPr>
              <w:t>2200,00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bCs/>
                <w:sz w:val="18"/>
                <w:szCs w:val="18"/>
              </w:rPr>
            </w:pPr>
            <w:r w:rsidRPr="00915972">
              <w:rPr>
                <w:rFonts w:eastAsia="Calibri"/>
                <w:color w:val="000000"/>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bCs/>
                <w:sz w:val="18"/>
                <w:szCs w:val="18"/>
              </w:rPr>
            </w:pPr>
            <w:r w:rsidRPr="00915972">
              <w:rPr>
                <w:sz w:val="18"/>
                <w:szCs w:val="18"/>
              </w:rPr>
              <w:t>4438,870</w:t>
            </w:r>
          </w:p>
        </w:tc>
      </w:tr>
      <w:tr w:rsidR="00E021FE" w:rsidRPr="00E95FB1" w:rsidTr="00915972">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r w:rsidRPr="00915972">
              <w:rPr>
                <w:color w:val="000000"/>
                <w:sz w:val="18"/>
                <w:szCs w:val="18"/>
                <w:lang w:eastAsia="uk-UA"/>
              </w:rPr>
              <w:t>4</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sz w:val="18"/>
                <w:szCs w:val="18"/>
                <w:lang w:eastAsia="it-IT"/>
              </w:rPr>
              <w:t xml:space="preserve">Відновлення діяльності Сєвєродонецького міжшкільного ресурсного центру за </w:t>
            </w:r>
            <w:proofErr w:type="spellStart"/>
            <w:r w:rsidRPr="00F600D3">
              <w:rPr>
                <w:bCs/>
                <w:sz w:val="18"/>
                <w:szCs w:val="18"/>
                <w:lang w:eastAsia="it-IT"/>
              </w:rPr>
              <w:t>адресою</w:t>
            </w:r>
            <w:proofErr w:type="spellEnd"/>
            <w:r w:rsidR="00A90A65">
              <w:rPr>
                <w:bCs/>
                <w:sz w:val="18"/>
                <w:szCs w:val="18"/>
                <w:lang w:eastAsia="it-IT"/>
              </w:rPr>
              <w:t>:</w:t>
            </w:r>
            <w:r w:rsidRPr="00F600D3">
              <w:rPr>
                <w:bCs/>
                <w:sz w:val="18"/>
                <w:szCs w:val="18"/>
                <w:lang w:eastAsia="it-IT"/>
              </w:rPr>
              <w:t xml:space="preserve"> проспект Гвардійський</w:t>
            </w:r>
            <w:r w:rsidR="00A90A65">
              <w:rPr>
                <w:bCs/>
                <w:sz w:val="18"/>
                <w:szCs w:val="18"/>
                <w:lang w:eastAsia="it-IT"/>
              </w:rPr>
              <w:t>,</w:t>
            </w:r>
            <w:r w:rsidRPr="00F600D3">
              <w:rPr>
                <w:bCs/>
                <w:sz w:val="18"/>
                <w:szCs w:val="18"/>
                <w:lang w:eastAsia="it-IT"/>
              </w:rPr>
              <w:t xml:space="preserve"> 22-б</w:t>
            </w:r>
          </w:p>
        </w:tc>
        <w:tc>
          <w:tcPr>
            <w:tcW w:w="1736"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r w:rsidRPr="00915972">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r w:rsidRPr="00915972">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r w:rsidRPr="00915972">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pStyle w:val="af5"/>
              <w:jc w:val="center"/>
              <w:rPr>
                <w:sz w:val="18"/>
                <w:szCs w:val="18"/>
                <w:lang w:eastAsia="it-IT"/>
              </w:rPr>
            </w:pPr>
            <w:r w:rsidRPr="00915972">
              <w:rPr>
                <w:sz w:val="18"/>
                <w:szCs w:val="18"/>
                <w:lang w:eastAsia="it-IT"/>
              </w:rPr>
              <w:t>6000,600</w:t>
            </w:r>
          </w:p>
        </w:tc>
        <w:tc>
          <w:tcPr>
            <w:tcW w:w="992"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pStyle w:val="af5"/>
              <w:jc w:val="center"/>
              <w:rPr>
                <w:sz w:val="18"/>
                <w:szCs w:val="18"/>
                <w:lang w:eastAsia="it-IT"/>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autoSpaceDE w:val="0"/>
              <w:autoSpaceDN w:val="0"/>
              <w:adjustRightInd w:val="0"/>
              <w:jc w:val="center"/>
              <w:rPr>
                <w:rFonts w:eastAsia="Calibri"/>
                <w:color w:val="000000"/>
                <w:sz w:val="18"/>
                <w:szCs w:val="18"/>
              </w:rPr>
            </w:pPr>
            <w:r w:rsidRPr="00915972">
              <w:rPr>
                <w:sz w:val="18"/>
                <w:szCs w:val="18"/>
                <w:lang w:eastAsia="it-IT"/>
              </w:rPr>
              <w:t>375,600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autoSpaceDE w:val="0"/>
              <w:autoSpaceDN w:val="0"/>
              <w:adjustRightInd w:val="0"/>
              <w:jc w:val="center"/>
              <w:rPr>
                <w:rFonts w:eastAsia="Calibri"/>
                <w:color w:val="000000"/>
                <w:sz w:val="18"/>
                <w:szCs w:val="18"/>
              </w:rPr>
            </w:pPr>
            <w:r w:rsidRPr="00915972">
              <w:rPr>
                <w:rFonts w:eastAsia="Calibri"/>
                <w:color w:val="000000"/>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915972" w:rsidRDefault="0052327E" w:rsidP="0052327E">
            <w:pPr>
              <w:pStyle w:val="af5"/>
              <w:jc w:val="center"/>
              <w:rPr>
                <w:sz w:val="18"/>
                <w:szCs w:val="18"/>
                <w:lang w:eastAsia="it-IT"/>
              </w:rPr>
            </w:pPr>
            <w:r>
              <w:rPr>
                <w:sz w:val="18"/>
                <w:szCs w:val="18"/>
                <w:lang w:eastAsia="it-IT"/>
              </w:rPr>
              <w:t>6376</w:t>
            </w:r>
            <w:r w:rsidR="00E021FE" w:rsidRPr="00915972">
              <w:rPr>
                <w:sz w:val="18"/>
                <w:szCs w:val="18"/>
                <w:lang w:eastAsia="it-IT"/>
              </w:rPr>
              <w:t>,</w:t>
            </w:r>
            <w:r>
              <w:rPr>
                <w:sz w:val="18"/>
                <w:szCs w:val="18"/>
                <w:lang w:eastAsia="it-IT"/>
              </w:rPr>
              <w:t>2</w:t>
            </w:r>
            <w:r w:rsidR="00E021FE" w:rsidRPr="00915972">
              <w:rPr>
                <w:sz w:val="18"/>
                <w:szCs w:val="18"/>
                <w:lang w:eastAsia="it-IT"/>
              </w:rPr>
              <w:t>00</w:t>
            </w:r>
          </w:p>
        </w:tc>
      </w:tr>
      <w:tr w:rsidR="00E021FE" w:rsidRPr="00E95FB1" w:rsidTr="00915972">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r w:rsidRPr="00915972">
              <w:rPr>
                <w:color w:val="000000"/>
                <w:sz w:val="18"/>
                <w:szCs w:val="18"/>
                <w:lang w:eastAsia="uk-UA"/>
              </w:rPr>
              <w:t>5</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sz w:val="18"/>
                <w:szCs w:val="18"/>
                <w:lang w:eastAsia="it-IT"/>
              </w:rPr>
              <w:t xml:space="preserve">Капітальний ремонт будівлі Сєвєродонецького міжшкільного ресурсного центру за </w:t>
            </w:r>
            <w:proofErr w:type="spellStart"/>
            <w:r w:rsidRPr="00F600D3">
              <w:rPr>
                <w:sz w:val="18"/>
                <w:szCs w:val="18"/>
                <w:lang w:eastAsia="it-IT"/>
              </w:rPr>
              <w:t>адресою</w:t>
            </w:r>
            <w:proofErr w:type="spellEnd"/>
            <w:r w:rsidR="00E12833">
              <w:rPr>
                <w:sz w:val="18"/>
                <w:szCs w:val="18"/>
                <w:lang w:eastAsia="it-IT"/>
              </w:rPr>
              <w:t>:</w:t>
            </w:r>
            <w:r w:rsidRPr="00F600D3">
              <w:rPr>
                <w:sz w:val="18"/>
                <w:szCs w:val="18"/>
                <w:lang w:eastAsia="it-IT"/>
              </w:rPr>
              <w:t xml:space="preserve"> проспект Центральний</w:t>
            </w:r>
            <w:r w:rsidR="00E12833">
              <w:rPr>
                <w:sz w:val="18"/>
                <w:szCs w:val="18"/>
                <w:lang w:eastAsia="it-IT"/>
              </w:rPr>
              <w:t>,</w:t>
            </w:r>
            <w:r w:rsidRPr="00F600D3">
              <w:rPr>
                <w:sz w:val="18"/>
                <w:szCs w:val="18"/>
                <w:lang w:eastAsia="it-IT"/>
              </w:rPr>
              <w:t xml:space="preserve"> 19</w:t>
            </w:r>
          </w:p>
        </w:tc>
        <w:tc>
          <w:tcPr>
            <w:tcW w:w="1736"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r w:rsidRPr="00915972">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r w:rsidRPr="00915972">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r w:rsidRPr="00915972">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color w:val="FF0000"/>
                <w:sz w:val="18"/>
                <w:szCs w:val="18"/>
              </w:rPr>
            </w:pPr>
            <w:r w:rsidRPr="00915972">
              <w:rPr>
                <w:bCs/>
                <w:sz w:val="18"/>
                <w:szCs w:val="18"/>
                <w:lang w:eastAsia="it-IT"/>
              </w:rPr>
              <w:t>2910,470</w:t>
            </w:r>
          </w:p>
          <w:p w:rsidR="00E021FE" w:rsidRPr="00915972" w:rsidRDefault="00E021FE" w:rsidP="000714B4">
            <w:pPr>
              <w:shd w:val="clear" w:color="auto" w:fill="FFFFFF"/>
              <w:tabs>
                <w:tab w:val="left" w:pos="378"/>
              </w:tabs>
              <w:jc w:val="center"/>
              <w:rPr>
                <w:b/>
                <w:bCs/>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shd w:val="clear" w:color="auto" w:fill="FFFFFF"/>
              <w:tabs>
                <w:tab w:val="left" w:pos="378"/>
              </w:tabs>
              <w:jc w:val="center"/>
              <w:rPr>
                <w:bCs/>
                <w:sz w:val="18"/>
                <w:szCs w:val="18"/>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shd w:val="clear" w:color="auto" w:fill="FFFFFF"/>
              <w:tabs>
                <w:tab w:val="left" w:pos="378"/>
              </w:tabs>
              <w:jc w:val="center"/>
              <w:rPr>
                <w:bCs/>
                <w:sz w:val="18"/>
                <w:szCs w:val="18"/>
              </w:rPr>
            </w:pPr>
            <w:r w:rsidRPr="00915972">
              <w:rPr>
                <w:bCs/>
                <w:sz w:val="18"/>
                <w:szCs w:val="18"/>
              </w:rPr>
              <w:t>1500,470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shd w:val="clear" w:color="auto" w:fill="FFFFFF"/>
              <w:tabs>
                <w:tab w:val="left" w:pos="378"/>
              </w:tabs>
              <w:jc w:val="center"/>
              <w:rPr>
                <w:bCs/>
                <w:sz w:val="18"/>
                <w:szCs w:val="18"/>
              </w:rPr>
            </w:pPr>
            <w:r w:rsidRPr="00915972">
              <w:rPr>
                <w:rFonts w:eastAsia="Calibri"/>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shd w:val="clear" w:color="auto" w:fill="FFFFFF"/>
              <w:tabs>
                <w:tab w:val="left" w:pos="378"/>
              </w:tabs>
              <w:jc w:val="center"/>
              <w:rPr>
                <w:bCs/>
                <w:sz w:val="18"/>
                <w:szCs w:val="18"/>
              </w:rPr>
            </w:pPr>
            <w:r w:rsidRPr="00915972">
              <w:rPr>
                <w:bCs/>
                <w:sz w:val="18"/>
                <w:szCs w:val="18"/>
              </w:rPr>
              <w:t>4410,94</w:t>
            </w:r>
          </w:p>
        </w:tc>
      </w:tr>
      <w:tr w:rsidR="00E021FE" w:rsidRPr="00E95FB1" w:rsidTr="00076FEB">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076FEB" w:rsidRDefault="00E021FE" w:rsidP="000714B4">
            <w:pPr>
              <w:jc w:val="center"/>
              <w:rPr>
                <w:color w:val="000000"/>
                <w:sz w:val="18"/>
                <w:szCs w:val="18"/>
                <w:lang w:eastAsia="uk-UA"/>
              </w:rPr>
            </w:pPr>
            <w:r w:rsidRPr="00076FEB">
              <w:rPr>
                <w:color w:val="000000"/>
                <w:sz w:val="18"/>
                <w:szCs w:val="18"/>
                <w:lang w:eastAsia="uk-UA"/>
              </w:rPr>
              <w:t>6</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rFonts w:eastAsia="Calibri"/>
                <w:color w:val="000000" w:themeColor="text1"/>
                <w:sz w:val="18"/>
                <w:szCs w:val="18"/>
              </w:rPr>
              <w:t xml:space="preserve">Відновлення діяльності </w:t>
            </w:r>
            <w:r w:rsidRPr="00F600D3">
              <w:rPr>
                <w:rFonts w:eastAsia="Calibri"/>
                <w:sz w:val="18"/>
                <w:szCs w:val="18"/>
              </w:rPr>
              <w:t>Комунальної установи «</w:t>
            </w:r>
            <w:proofErr w:type="spellStart"/>
            <w:r w:rsidRPr="00F600D3">
              <w:rPr>
                <w:rFonts w:eastAsia="Calibri"/>
                <w:sz w:val="18"/>
                <w:szCs w:val="18"/>
              </w:rPr>
              <w:t>Інклюзивно</w:t>
            </w:r>
            <w:proofErr w:type="spellEnd"/>
            <w:r w:rsidRPr="00F600D3">
              <w:rPr>
                <w:rFonts w:eastAsia="Calibri"/>
                <w:sz w:val="18"/>
                <w:szCs w:val="18"/>
              </w:rPr>
              <w:t xml:space="preserve">-ресурсний центр» Сєвєродонецької міської </w:t>
            </w:r>
            <w:r w:rsidRPr="00F600D3">
              <w:rPr>
                <w:rFonts w:eastAsia="Calibri"/>
                <w:color w:val="000000" w:themeColor="text1"/>
                <w:sz w:val="18"/>
                <w:szCs w:val="18"/>
              </w:rPr>
              <w:t>ради,</w:t>
            </w:r>
            <w:r w:rsidRPr="00F600D3">
              <w:rPr>
                <w:rFonts w:eastAsia="Calibri"/>
                <w:color w:val="000000" w:themeColor="text1"/>
                <w:sz w:val="18"/>
                <w:szCs w:val="18"/>
                <w:lang w:eastAsia="uk-UA"/>
              </w:rPr>
              <w:t xml:space="preserve"> місто Сєвєродонецьк, Вулиця  Гагаріна, будинок 113</w:t>
            </w:r>
          </w:p>
        </w:tc>
        <w:tc>
          <w:tcPr>
            <w:tcW w:w="1736" w:type="dxa"/>
            <w:tcBorders>
              <w:top w:val="nil"/>
              <w:left w:val="nil"/>
              <w:bottom w:val="single" w:sz="4" w:space="0" w:color="auto"/>
              <w:right w:val="single" w:sz="4" w:space="0" w:color="auto"/>
            </w:tcBorders>
            <w:shd w:val="clear" w:color="auto" w:fill="auto"/>
            <w:vAlign w:val="center"/>
            <w:hideMark/>
          </w:tcPr>
          <w:p w:rsidR="00E021FE" w:rsidRPr="00076FEB" w:rsidRDefault="00E021FE" w:rsidP="000714B4">
            <w:pPr>
              <w:jc w:val="center"/>
              <w:rPr>
                <w:color w:val="000000"/>
                <w:sz w:val="18"/>
                <w:szCs w:val="18"/>
                <w:lang w:eastAsia="uk-UA"/>
              </w:rPr>
            </w:pPr>
            <w:r w:rsidRPr="00076FEB">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076FEB" w:rsidRDefault="00E021FE" w:rsidP="000714B4">
            <w:pPr>
              <w:jc w:val="center"/>
              <w:rPr>
                <w:color w:val="000000"/>
                <w:sz w:val="18"/>
                <w:szCs w:val="18"/>
                <w:lang w:eastAsia="uk-UA"/>
              </w:rPr>
            </w:pPr>
            <w:r w:rsidRPr="00076FEB">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076FEB" w:rsidRDefault="00E021FE" w:rsidP="000714B4">
            <w:pPr>
              <w:jc w:val="center"/>
              <w:rPr>
                <w:color w:val="000000"/>
                <w:sz w:val="18"/>
                <w:szCs w:val="18"/>
                <w:lang w:eastAsia="uk-UA"/>
              </w:rPr>
            </w:pPr>
            <w:r w:rsidRPr="00076FEB">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076FEB"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076FEB" w:rsidRDefault="00E021FE" w:rsidP="000714B4">
            <w:pPr>
              <w:jc w:val="center"/>
              <w:rPr>
                <w:color w:val="000000"/>
                <w:sz w:val="18"/>
                <w:szCs w:val="18"/>
                <w:lang w:eastAsia="uk-UA"/>
              </w:rPr>
            </w:pPr>
          </w:p>
        </w:tc>
        <w:tc>
          <w:tcPr>
            <w:tcW w:w="992" w:type="dxa"/>
            <w:tcBorders>
              <w:top w:val="nil"/>
              <w:left w:val="nil"/>
              <w:bottom w:val="single" w:sz="4" w:space="0" w:color="auto"/>
              <w:right w:val="single" w:sz="4" w:space="0" w:color="auto"/>
            </w:tcBorders>
            <w:shd w:val="clear" w:color="auto" w:fill="auto"/>
            <w:vAlign w:val="center"/>
            <w:hideMark/>
          </w:tcPr>
          <w:p w:rsidR="00E021FE" w:rsidRPr="00076FEB"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076FEB" w:rsidRDefault="00E021FE" w:rsidP="000714B4">
            <w:pPr>
              <w:jc w:val="center"/>
              <w:rPr>
                <w:sz w:val="18"/>
                <w:szCs w:val="18"/>
              </w:rPr>
            </w:pPr>
            <w:r w:rsidRPr="00076FEB">
              <w:rPr>
                <w:sz w:val="18"/>
                <w:szCs w:val="18"/>
              </w:rPr>
              <w:t>500,0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076FEB" w:rsidRDefault="00E021FE" w:rsidP="000714B4">
            <w:pPr>
              <w:jc w:val="center"/>
              <w:rPr>
                <w:sz w:val="18"/>
                <w:szCs w:val="18"/>
              </w:rPr>
            </w:pPr>
            <w:r w:rsidRPr="00076FEB">
              <w:rPr>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076FEB" w:rsidRDefault="00E021FE" w:rsidP="000714B4">
            <w:pPr>
              <w:jc w:val="center"/>
              <w:rPr>
                <w:color w:val="000000"/>
                <w:sz w:val="18"/>
                <w:szCs w:val="18"/>
                <w:lang w:eastAsia="uk-UA"/>
              </w:rPr>
            </w:pPr>
            <w:r w:rsidRPr="00076FEB">
              <w:rPr>
                <w:color w:val="000000"/>
                <w:sz w:val="18"/>
                <w:szCs w:val="18"/>
                <w:lang w:eastAsia="uk-UA"/>
              </w:rPr>
              <w:t>500,00</w:t>
            </w:r>
          </w:p>
        </w:tc>
      </w:tr>
      <w:tr w:rsidR="00E021FE" w:rsidRPr="00E95FB1" w:rsidTr="00076FEB">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076FEB" w:rsidRDefault="00E021FE" w:rsidP="000714B4">
            <w:pPr>
              <w:jc w:val="center"/>
              <w:rPr>
                <w:color w:val="000000"/>
                <w:sz w:val="18"/>
                <w:szCs w:val="18"/>
                <w:lang w:eastAsia="uk-UA"/>
              </w:rPr>
            </w:pPr>
            <w:r w:rsidRPr="00076FEB">
              <w:rPr>
                <w:color w:val="000000"/>
                <w:sz w:val="18"/>
                <w:szCs w:val="18"/>
                <w:lang w:eastAsia="uk-UA"/>
              </w:rPr>
              <w:t>7</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rFonts w:eastAsia="Calibri"/>
                <w:color w:val="000000"/>
                <w:sz w:val="18"/>
                <w:szCs w:val="18"/>
              </w:rPr>
              <w:t>"Відновлення сучасного інтерактивного  навчального простору  на базі навчальних приміщень та чотирьох теплиць  Сєвєродонецького міського Центру еколого-натуралістичної творчості учнівської молоді   за адресами</w:t>
            </w:r>
            <w:r w:rsidR="00601D4F">
              <w:rPr>
                <w:rFonts w:eastAsia="Calibri"/>
                <w:color w:val="000000"/>
                <w:sz w:val="18"/>
                <w:szCs w:val="18"/>
              </w:rPr>
              <w:t>:</w:t>
            </w:r>
            <w:r w:rsidRPr="00F600D3">
              <w:rPr>
                <w:rFonts w:eastAsia="Calibri"/>
                <w:color w:val="000000"/>
                <w:sz w:val="18"/>
                <w:szCs w:val="18"/>
              </w:rPr>
              <w:t xml:space="preserve"> вул. Курчатова</w:t>
            </w:r>
            <w:r w:rsidR="00601D4F">
              <w:rPr>
                <w:rFonts w:eastAsia="Calibri"/>
                <w:color w:val="000000"/>
                <w:sz w:val="18"/>
                <w:szCs w:val="18"/>
              </w:rPr>
              <w:t>,</w:t>
            </w:r>
            <w:r w:rsidRPr="00F600D3">
              <w:rPr>
                <w:rFonts w:eastAsia="Calibri"/>
                <w:color w:val="000000"/>
                <w:sz w:val="18"/>
                <w:szCs w:val="18"/>
              </w:rPr>
              <w:t xml:space="preserve"> 34,  вул. </w:t>
            </w:r>
            <w:proofErr w:type="spellStart"/>
            <w:r w:rsidRPr="00F600D3">
              <w:rPr>
                <w:rFonts w:eastAsia="Calibri"/>
                <w:color w:val="000000"/>
                <w:sz w:val="18"/>
                <w:szCs w:val="18"/>
              </w:rPr>
              <w:t>Вілесова</w:t>
            </w:r>
            <w:proofErr w:type="spellEnd"/>
            <w:r w:rsidR="00601D4F">
              <w:rPr>
                <w:rFonts w:eastAsia="Calibri"/>
                <w:color w:val="000000"/>
                <w:sz w:val="18"/>
                <w:szCs w:val="18"/>
              </w:rPr>
              <w:t>,</w:t>
            </w:r>
            <w:r w:rsidRPr="00F600D3">
              <w:rPr>
                <w:rFonts w:eastAsia="Calibri"/>
                <w:color w:val="000000"/>
                <w:sz w:val="18"/>
                <w:szCs w:val="18"/>
              </w:rPr>
              <w:t xml:space="preserve"> 10, вул. Гагаріна</w:t>
            </w:r>
            <w:r w:rsidR="00601D4F">
              <w:rPr>
                <w:rFonts w:eastAsia="Calibri"/>
                <w:color w:val="000000"/>
                <w:sz w:val="18"/>
                <w:szCs w:val="18"/>
              </w:rPr>
              <w:t>,</w:t>
            </w:r>
            <w:r w:rsidRPr="00F600D3">
              <w:rPr>
                <w:rFonts w:eastAsia="Calibri"/>
                <w:color w:val="000000"/>
                <w:sz w:val="18"/>
                <w:szCs w:val="18"/>
              </w:rPr>
              <w:t xml:space="preserve"> 90, вул. Гагаріна</w:t>
            </w:r>
            <w:r w:rsidR="00601D4F">
              <w:rPr>
                <w:rFonts w:eastAsia="Calibri"/>
                <w:color w:val="000000"/>
                <w:sz w:val="18"/>
                <w:szCs w:val="18"/>
              </w:rPr>
              <w:t>,</w:t>
            </w:r>
            <w:r w:rsidRPr="00F600D3">
              <w:rPr>
                <w:rFonts w:eastAsia="Calibri"/>
                <w:color w:val="000000"/>
                <w:sz w:val="18"/>
                <w:szCs w:val="18"/>
              </w:rPr>
              <w:t xml:space="preserve"> 111, м. Сєвєродонецьк, Луганська область ".</w:t>
            </w:r>
          </w:p>
        </w:tc>
        <w:tc>
          <w:tcPr>
            <w:tcW w:w="1736" w:type="dxa"/>
            <w:tcBorders>
              <w:top w:val="nil"/>
              <w:left w:val="nil"/>
              <w:bottom w:val="single" w:sz="4" w:space="0" w:color="auto"/>
              <w:right w:val="single" w:sz="4" w:space="0" w:color="auto"/>
            </w:tcBorders>
            <w:shd w:val="clear" w:color="auto" w:fill="auto"/>
            <w:vAlign w:val="center"/>
            <w:hideMark/>
          </w:tcPr>
          <w:p w:rsidR="00E021FE" w:rsidRPr="00076FEB" w:rsidRDefault="00E021FE" w:rsidP="000714B4">
            <w:pPr>
              <w:jc w:val="center"/>
              <w:rPr>
                <w:color w:val="000000"/>
                <w:sz w:val="18"/>
                <w:szCs w:val="18"/>
                <w:lang w:eastAsia="uk-UA"/>
              </w:rPr>
            </w:pPr>
            <w:r w:rsidRPr="00076FEB">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076FEB" w:rsidRDefault="00E021FE" w:rsidP="000714B4">
            <w:pPr>
              <w:jc w:val="center"/>
              <w:rPr>
                <w:color w:val="000000"/>
                <w:sz w:val="18"/>
                <w:szCs w:val="18"/>
                <w:lang w:eastAsia="uk-UA"/>
              </w:rPr>
            </w:pPr>
            <w:r w:rsidRPr="00076FEB">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076FEB" w:rsidRDefault="00E021FE" w:rsidP="000714B4">
            <w:pPr>
              <w:jc w:val="center"/>
              <w:rPr>
                <w:color w:val="000000"/>
                <w:sz w:val="18"/>
                <w:szCs w:val="18"/>
                <w:lang w:eastAsia="uk-UA"/>
              </w:rPr>
            </w:pPr>
            <w:r w:rsidRPr="00076FEB">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076FEB"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076FEB" w:rsidRDefault="00E021FE" w:rsidP="000714B4">
            <w:pPr>
              <w:jc w:val="center"/>
              <w:rPr>
                <w:color w:val="000000"/>
                <w:sz w:val="18"/>
                <w:szCs w:val="18"/>
                <w:lang w:eastAsia="uk-UA"/>
              </w:rPr>
            </w:pPr>
            <w:r w:rsidRPr="00076FEB">
              <w:rPr>
                <w:sz w:val="18"/>
                <w:szCs w:val="18"/>
              </w:rPr>
              <w:t>22216.955</w:t>
            </w:r>
          </w:p>
        </w:tc>
        <w:tc>
          <w:tcPr>
            <w:tcW w:w="992" w:type="dxa"/>
            <w:tcBorders>
              <w:top w:val="nil"/>
              <w:left w:val="nil"/>
              <w:bottom w:val="single" w:sz="4" w:space="0" w:color="auto"/>
              <w:right w:val="single" w:sz="4" w:space="0" w:color="auto"/>
            </w:tcBorders>
            <w:shd w:val="clear" w:color="auto" w:fill="auto"/>
            <w:vAlign w:val="center"/>
            <w:hideMark/>
          </w:tcPr>
          <w:p w:rsidR="00E021FE" w:rsidRPr="00076FEB"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076FEB"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076FEB"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076FEB" w:rsidRDefault="00E021FE" w:rsidP="000714B4">
            <w:pPr>
              <w:jc w:val="center"/>
              <w:rPr>
                <w:color w:val="000000"/>
                <w:sz w:val="18"/>
                <w:szCs w:val="18"/>
                <w:lang w:eastAsia="uk-UA"/>
              </w:rPr>
            </w:pPr>
            <w:r w:rsidRPr="00076FEB">
              <w:rPr>
                <w:sz w:val="18"/>
                <w:szCs w:val="18"/>
              </w:rPr>
              <w:t>22216.955</w:t>
            </w:r>
          </w:p>
        </w:tc>
      </w:tr>
      <w:tr w:rsidR="00E021FE" w:rsidRPr="00507D67" w:rsidTr="00507D67">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507D67" w:rsidRDefault="00E021FE" w:rsidP="000714B4">
            <w:pPr>
              <w:jc w:val="center"/>
              <w:rPr>
                <w:color w:val="000000"/>
                <w:sz w:val="18"/>
                <w:szCs w:val="18"/>
                <w:lang w:val="en-US" w:eastAsia="uk-UA"/>
              </w:rPr>
            </w:pPr>
            <w:r w:rsidRPr="00507D67">
              <w:rPr>
                <w:color w:val="000000"/>
                <w:sz w:val="18"/>
                <w:szCs w:val="18"/>
                <w:lang w:val="en-US" w:eastAsia="uk-UA"/>
              </w:rPr>
              <w:t>8</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rFonts w:eastAsia="Calibri"/>
                <w:color w:val="000000"/>
                <w:sz w:val="18"/>
                <w:szCs w:val="18"/>
              </w:rPr>
              <w:t xml:space="preserve">Капітальний ремонт будівлі Сєвєродонецького міського Центру дитячої та юнацької творчості, </w:t>
            </w:r>
            <w:r w:rsidRPr="00F600D3">
              <w:rPr>
                <w:rFonts w:eastAsia="Calibri"/>
                <w:color w:val="000000"/>
                <w:sz w:val="18"/>
                <w:szCs w:val="18"/>
              </w:rPr>
              <w:lastRenderedPageBreak/>
              <w:t>вулиця Гагаріна, будинок 101-Б, м. Сєвєродонецьк, Луганська область</w:t>
            </w:r>
          </w:p>
        </w:tc>
        <w:tc>
          <w:tcPr>
            <w:tcW w:w="1736" w:type="dxa"/>
            <w:tcBorders>
              <w:top w:val="nil"/>
              <w:left w:val="nil"/>
              <w:bottom w:val="single" w:sz="4" w:space="0" w:color="auto"/>
              <w:right w:val="single" w:sz="4" w:space="0" w:color="auto"/>
            </w:tcBorders>
            <w:shd w:val="clear" w:color="auto" w:fill="auto"/>
            <w:vAlign w:val="center"/>
            <w:hideMark/>
          </w:tcPr>
          <w:p w:rsidR="00E021FE" w:rsidRPr="00507D67" w:rsidRDefault="00E021FE" w:rsidP="000714B4">
            <w:pPr>
              <w:jc w:val="center"/>
              <w:rPr>
                <w:color w:val="000000"/>
                <w:sz w:val="18"/>
                <w:szCs w:val="18"/>
                <w:lang w:eastAsia="uk-UA"/>
              </w:rPr>
            </w:pPr>
            <w:r w:rsidRPr="00507D67">
              <w:rPr>
                <w:sz w:val="18"/>
                <w:szCs w:val="18"/>
              </w:rPr>
              <w:lastRenderedPageBreak/>
              <w:t xml:space="preserve">Сєвєродонецька міська </w:t>
            </w:r>
            <w:r w:rsidRPr="00507D67">
              <w:rPr>
                <w:sz w:val="18"/>
                <w:szCs w:val="18"/>
              </w:rPr>
              <w:lastRenderedPageBreak/>
              <w:t>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507D67" w:rsidRDefault="00E021FE" w:rsidP="000714B4">
            <w:pPr>
              <w:jc w:val="center"/>
              <w:rPr>
                <w:color w:val="000000"/>
                <w:sz w:val="18"/>
                <w:szCs w:val="18"/>
                <w:lang w:eastAsia="uk-UA"/>
              </w:rPr>
            </w:pPr>
            <w:r w:rsidRPr="00507D67">
              <w:rPr>
                <w:sz w:val="18"/>
                <w:szCs w:val="18"/>
              </w:rPr>
              <w:lastRenderedPageBreak/>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507D67" w:rsidRDefault="00E021FE" w:rsidP="000714B4">
            <w:pPr>
              <w:jc w:val="center"/>
              <w:rPr>
                <w:color w:val="000000"/>
                <w:sz w:val="18"/>
                <w:szCs w:val="18"/>
                <w:lang w:eastAsia="uk-UA"/>
              </w:rPr>
            </w:pPr>
            <w:r w:rsidRPr="00507D67">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507D67"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507D67" w:rsidRDefault="00E021FE" w:rsidP="000714B4">
            <w:pPr>
              <w:jc w:val="center"/>
              <w:rPr>
                <w:color w:val="000000"/>
                <w:sz w:val="18"/>
                <w:szCs w:val="18"/>
                <w:lang w:val="en-US" w:eastAsia="uk-UA"/>
              </w:rPr>
            </w:pPr>
            <w:r w:rsidRPr="00507D67">
              <w:rPr>
                <w:color w:val="000000"/>
                <w:sz w:val="18"/>
                <w:szCs w:val="18"/>
                <w:lang w:val="en-US" w:eastAsia="uk-UA"/>
              </w:rPr>
              <w:t>20000</w:t>
            </w:r>
            <w:r w:rsidRPr="00507D67">
              <w:rPr>
                <w:color w:val="000000"/>
                <w:sz w:val="18"/>
                <w:szCs w:val="18"/>
                <w:lang w:eastAsia="uk-UA"/>
              </w:rPr>
              <w:t>,</w:t>
            </w:r>
            <w:r w:rsidRPr="00507D67">
              <w:rPr>
                <w:color w:val="000000"/>
                <w:sz w:val="18"/>
                <w:szCs w:val="18"/>
                <w:lang w:val="en-US" w:eastAsia="uk-UA"/>
              </w:rPr>
              <w:t>00</w:t>
            </w:r>
          </w:p>
        </w:tc>
        <w:tc>
          <w:tcPr>
            <w:tcW w:w="992" w:type="dxa"/>
            <w:tcBorders>
              <w:top w:val="nil"/>
              <w:left w:val="nil"/>
              <w:bottom w:val="single" w:sz="4" w:space="0" w:color="auto"/>
              <w:right w:val="single" w:sz="4" w:space="0" w:color="auto"/>
            </w:tcBorders>
            <w:shd w:val="clear" w:color="auto" w:fill="auto"/>
            <w:vAlign w:val="center"/>
            <w:hideMark/>
          </w:tcPr>
          <w:p w:rsidR="00E021FE" w:rsidRPr="00507D67"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507D67" w:rsidRDefault="00E021FE" w:rsidP="000714B4">
            <w:pPr>
              <w:autoSpaceDE w:val="0"/>
              <w:autoSpaceDN w:val="0"/>
              <w:adjustRightInd w:val="0"/>
              <w:jc w:val="center"/>
              <w:rPr>
                <w:rFonts w:eastAsia="Calibri"/>
                <w:color w:val="000000"/>
                <w:sz w:val="18"/>
                <w:szCs w:val="18"/>
              </w:rPr>
            </w:pPr>
            <w:r w:rsidRPr="00507D67">
              <w:rPr>
                <w:rFonts w:eastAsia="Calibri"/>
                <w:color w:val="000000"/>
                <w:sz w:val="18"/>
                <w:szCs w:val="18"/>
              </w:rPr>
              <w:t>35 000,0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507D67" w:rsidRDefault="00E021FE" w:rsidP="000714B4">
            <w:pPr>
              <w:autoSpaceDE w:val="0"/>
              <w:autoSpaceDN w:val="0"/>
              <w:adjustRightInd w:val="0"/>
              <w:jc w:val="center"/>
              <w:rPr>
                <w:rFonts w:eastAsia="Calibri"/>
                <w:color w:val="000000"/>
                <w:sz w:val="18"/>
                <w:szCs w:val="18"/>
              </w:rPr>
            </w:pPr>
            <w:r w:rsidRPr="00507D67">
              <w:rPr>
                <w:bCs/>
                <w:sz w:val="18"/>
                <w:szCs w:val="18"/>
                <w:lang w:eastAsia="ar-SA"/>
              </w:rPr>
              <w:t xml:space="preserve">гранти, міжнародна технічна </w:t>
            </w:r>
            <w:r w:rsidRPr="00507D67">
              <w:rPr>
                <w:bCs/>
                <w:sz w:val="18"/>
                <w:szCs w:val="18"/>
                <w:lang w:eastAsia="ar-SA"/>
              </w:rPr>
              <w:lastRenderedPageBreak/>
              <w:t>допомога, кошти міжнародних організацій, інші залучені кошти, не заборонені чинним законодавством</w:t>
            </w:r>
          </w:p>
        </w:tc>
        <w:tc>
          <w:tcPr>
            <w:tcW w:w="1164" w:type="dxa"/>
            <w:tcBorders>
              <w:top w:val="nil"/>
              <w:left w:val="nil"/>
              <w:bottom w:val="single" w:sz="4" w:space="0" w:color="auto"/>
              <w:right w:val="single" w:sz="4" w:space="0" w:color="auto"/>
            </w:tcBorders>
            <w:shd w:val="clear" w:color="auto" w:fill="auto"/>
            <w:vAlign w:val="center"/>
            <w:hideMark/>
          </w:tcPr>
          <w:p w:rsidR="00E021FE" w:rsidRPr="00507D67" w:rsidRDefault="00E021FE" w:rsidP="000714B4">
            <w:pPr>
              <w:jc w:val="center"/>
              <w:rPr>
                <w:color w:val="000000"/>
                <w:sz w:val="18"/>
                <w:szCs w:val="18"/>
                <w:lang w:val="en-US" w:eastAsia="uk-UA"/>
              </w:rPr>
            </w:pPr>
            <w:r w:rsidRPr="00507D67">
              <w:rPr>
                <w:color w:val="000000"/>
                <w:sz w:val="18"/>
                <w:szCs w:val="18"/>
                <w:lang w:val="en-US" w:eastAsia="uk-UA"/>
              </w:rPr>
              <w:lastRenderedPageBreak/>
              <w:t>55000</w:t>
            </w:r>
            <w:r w:rsidRPr="00507D67">
              <w:rPr>
                <w:color w:val="000000"/>
                <w:sz w:val="18"/>
                <w:szCs w:val="18"/>
                <w:lang w:eastAsia="uk-UA"/>
              </w:rPr>
              <w:t>,0</w:t>
            </w:r>
            <w:r w:rsidRPr="00507D67">
              <w:rPr>
                <w:color w:val="000000"/>
                <w:sz w:val="18"/>
                <w:szCs w:val="18"/>
                <w:lang w:val="en-US" w:eastAsia="uk-UA"/>
              </w:rPr>
              <w:t>0</w:t>
            </w:r>
          </w:p>
        </w:tc>
      </w:tr>
      <w:tr w:rsidR="00E021FE" w:rsidRPr="00507D67" w:rsidTr="00507D67">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507D67" w:rsidRDefault="00E021FE" w:rsidP="000714B4">
            <w:pPr>
              <w:jc w:val="center"/>
              <w:rPr>
                <w:color w:val="000000"/>
                <w:sz w:val="18"/>
                <w:szCs w:val="18"/>
                <w:lang w:eastAsia="uk-UA"/>
              </w:rPr>
            </w:pPr>
            <w:r w:rsidRPr="00507D67">
              <w:rPr>
                <w:color w:val="000000"/>
                <w:sz w:val="18"/>
                <w:szCs w:val="18"/>
                <w:lang w:eastAsia="uk-UA"/>
              </w:rPr>
              <w:t>9</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sz w:val="18"/>
                <w:szCs w:val="18"/>
                <w:lang w:eastAsia="it-IT"/>
              </w:rPr>
              <w:t>Відновлення діяльності Сєвєродонецького міського Центру дитячої та юнацької творчості, вулиця Гагаріна</w:t>
            </w:r>
            <w:r w:rsidR="005342E7">
              <w:rPr>
                <w:bCs/>
                <w:sz w:val="18"/>
                <w:szCs w:val="18"/>
                <w:lang w:eastAsia="it-IT"/>
              </w:rPr>
              <w:t>,</w:t>
            </w:r>
            <w:r w:rsidRPr="00F600D3">
              <w:rPr>
                <w:bCs/>
                <w:sz w:val="18"/>
                <w:szCs w:val="18"/>
                <w:lang w:eastAsia="it-IT"/>
              </w:rPr>
              <w:t xml:space="preserve"> 101-Б, м. Сєвєродонецьк, Луганська область</w:t>
            </w:r>
          </w:p>
        </w:tc>
        <w:tc>
          <w:tcPr>
            <w:tcW w:w="1736" w:type="dxa"/>
            <w:tcBorders>
              <w:top w:val="nil"/>
              <w:left w:val="nil"/>
              <w:bottom w:val="single" w:sz="4" w:space="0" w:color="auto"/>
              <w:right w:val="single" w:sz="4" w:space="0" w:color="auto"/>
            </w:tcBorders>
            <w:shd w:val="clear" w:color="auto" w:fill="auto"/>
            <w:vAlign w:val="center"/>
            <w:hideMark/>
          </w:tcPr>
          <w:p w:rsidR="00E021FE" w:rsidRPr="00507D67" w:rsidRDefault="00E021FE" w:rsidP="000714B4">
            <w:pPr>
              <w:jc w:val="center"/>
              <w:rPr>
                <w:color w:val="000000"/>
                <w:sz w:val="18"/>
                <w:szCs w:val="18"/>
                <w:lang w:eastAsia="uk-UA"/>
              </w:rPr>
            </w:pPr>
            <w:r w:rsidRPr="00507D67">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507D67" w:rsidRDefault="00E021FE" w:rsidP="000714B4">
            <w:pPr>
              <w:jc w:val="center"/>
              <w:rPr>
                <w:color w:val="000000"/>
                <w:sz w:val="18"/>
                <w:szCs w:val="18"/>
                <w:lang w:eastAsia="uk-UA"/>
              </w:rPr>
            </w:pPr>
            <w:r w:rsidRPr="00507D67">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507D67" w:rsidRDefault="00E021FE" w:rsidP="000714B4">
            <w:pPr>
              <w:jc w:val="center"/>
              <w:rPr>
                <w:color w:val="000000"/>
                <w:sz w:val="18"/>
                <w:szCs w:val="18"/>
                <w:lang w:eastAsia="uk-UA"/>
              </w:rPr>
            </w:pPr>
            <w:r w:rsidRPr="00507D67">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507D67"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507D67" w:rsidRDefault="00E021FE" w:rsidP="000714B4">
            <w:pPr>
              <w:jc w:val="center"/>
              <w:rPr>
                <w:color w:val="000000"/>
                <w:sz w:val="18"/>
                <w:szCs w:val="18"/>
                <w:lang w:eastAsia="uk-UA"/>
              </w:rPr>
            </w:pPr>
          </w:p>
        </w:tc>
        <w:tc>
          <w:tcPr>
            <w:tcW w:w="992" w:type="dxa"/>
            <w:tcBorders>
              <w:top w:val="nil"/>
              <w:left w:val="nil"/>
              <w:bottom w:val="single" w:sz="4" w:space="0" w:color="auto"/>
              <w:right w:val="single" w:sz="4" w:space="0" w:color="auto"/>
            </w:tcBorders>
            <w:shd w:val="clear" w:color="auto" w:fill="auto"/>
            <w:vAlign w:val="center"/>
            <w:hideMark/>
          </w:tcPr>
          <w:p w:rsidR="00E021FE" w:rsidRPr="00507D67"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507D67" w:rsidRDefault="00E021FE" w:rsidP="000714B4">
            <w:pPr>
              <w:autoSpaceDE w:val="0"/>
              <w:autoSpaceDN w:val="0"/>
              <w:adjustRightInd w:val="0"/>
              <w:jc w:val="center"/>
              <w:rPr>
                <w:rFonts w:eastAsia="Calibri"/>
                <w:color w:val="000000"/>
                <w:sz w:val="18"/>
                <w:szCs w:val="18"/>
              </w:rPr>
            </w:pPr>
            <w:r w:rsidRPr="00507D67">
              <w:rPr>
                <w:rFonts w:eastAsia="Calibri"/>
                <w:color w:val="000000"/>
                <w:sz w:val="18"/>
                <w:szCs w:val="18"/>
              </w:rPr>
              <w:t>25 000,0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507D67" w:rsidRDefault="00E021FE" w:rsidP="000714B4">
            <w:pPr>
              <w:autoSpaceDE w:val="0"/>
              <w:autoSpaceDN w:val="0"/>
              <w:adjustRightInd w:val="0"/>
              <w:jc w:val="center"/>
              <w:rPr>
                <w:rFonts w:eastAsia="Calibri"/>
                <w:color w:val="000000"/>
                <w:sz w:val="18"/>
                <w:szCs w:val="18"/>
              </w:rPr>
            </w:pPr>
            <w:r w:rsidRPr="00507D67">
              <w:rPr>
                <w:bCs/>
                <w:sz w:val="18"/>
                <w:szCs w:val="18"/>
                <w:lang w:eastAsia="ar-SA"/>
              </w:rPr>
              <w:t>гранти, міжнародна технічна допомога, кошти міжнародних організацій, інші залучені кошти, не заборонені чинним законодавством</w:t>
            </w:r>
          </w:p>
        </w:tc>
        <w:tc>
          <w:tcPr>
            <w:tcW w:w="1164" w:type="dxa"/>
            <w:tcBorders>
              <w:top w:val="nil"/>
              <w:left w:val="nil"/>
              <w:bottom w:val="single" w:sz="4" w:space="0" w:color="auto"/>
              <w:right w:val="single" w:sz="4" w:space="0" w:color="auto"/>
            </w:tcBorders>
            <w:shd w:val="clear" w:color="auto" w:fill="auto"/>
            <w:vAlign w:val="center"/>
            <w:hideMark/>
          </w:tcPr>
          <w:p w:rsidR="00E021FE" w:rsidRPr="00507D67" w:rsidRDefault="00E021FE" w:rsidP="000714B4">
            <w:pPr>
              <w:jc w:val="center"/>
              <w:rPr>
                <w:color w:val="000000"/>
                <w:sz w:val="18"/>
                <w:szCs w:val="18"/>
                <w:lang w:eastAsia="uk-UA"/>
              </w:rPr>
            </w:pPr>
            <w:r w:rsidRPr="00507D67">
              <w:rPr>
                <w:color w:val="000000"/>
                <w:sz w:val="18"/>
                <w:szCs w:val="18"/>
                <w:lang w:eastAsia="uk-UA"/>
              </w:rPr>
              <w:t>25000,00</w:t>
            </w:r>
          </w:p>
        </w:tc>
      </w:tr>
      <w:tr w:rsidR="00E021FE" w:rsidRPr="00E95FB1" w:rsidTr="00652B89">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652B89" w:rsidRDefault="00E021FE" w:rsidP="000714B4">
            <w:pPr>
              <w:jc w:val="center"/>
              <w:rPr>
                <w:color w:val="000000"/>
                <w:sz w:val="18"/>
                <w:szCs w:val="18"/>
                <w:lang w:eastAsia="uk-UA"/>
              </w:rPr>
            </w:pPr>
            <w:r w:rsidRPr="00652B89">
              <w:rPr>
                <w:color w:val="000000"/>
                <w:sz w:val="18"/>
                <w:szCs w:val="18"/>
                <w:lang w:eastAsia="uk-UA"/>
              </w:rPr>
              <w:t>10</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sz w:val="18"/>
                <w:szCs w:val="18"/>
                <w:lang w:eastAsia="it-IT"/>
              </w:rPr>
              <w:t xml:space="preserve">Капітальний ремонт Сєвєродонецького міського Центру національно-патріотичного виховання, туризму та краєзнавства учнівської молоді , що знаходиться за </w:t>
            </w:r>
            <w:proofErr w:type="spellStart"/>
            <w:r w:rsidRPr="00F600D3">
              <w:rPr>
                <w:sz w:val="18"/>
                <w:szCs w:val="18"/>
                <w:lang w:eastAsia="it-IT"/>
              </w:rPr>
              <w:t>адресою</w:t>
            </w:r>
            <w:proofErr w:type="spellEnd"/>
            <w:r w:rsidRPr="00F600D3">
              <w:rPr>
                <w:sz w:val="18"/>
                <w:szCs w:val="18"/>
                <w:lang w:eastAsia="it-IT"/>
              </w:rPr>
              <w:t>: проспект Центральний</w:t>
            </w:r>
            <w:r w:rsidR="005342E7">
              <w:rPr>
                <w:sz w:val="18"/>
                <w:szCs w:val="18"/>
                <w:lang w:eastAsia="it-IT"/>
              </w:rPr>
              <w:t>,</w:t>
            </w:r>
            <w:r w:rsidRPr="00F600D3">
              <w:rPr>
                <w:sz w:val="18"/>
                <w:szCs w:val="18"/>
                <w:lang w:eastAsia="it-IT"/>
              </w:rPr>
              <w:t xml:space="preserve"> 54-А</w:t>
            </w:r>
          </w:p>
        </w:tc>
        <w:tc>
          <w:tcPr>
            <w:tcW w:w="1736" w:type="dxa"/>
            <w:tcBorders>
              <w:top w:val="nil"/>
              <w:left w:val="nil"/>
              <w:bottom w:val="single" w:sz="4" w:space="0" w:color="auto"/>
              <w:right w:val="single" w:sz="4" w:space="0" w:color="auto"/>
            </w:tcBorders>
            <w:shd w:val="clear" w:color="auto" w:fill="auto"/>
            <w:vAlign w:val="center"/>
            <w:hideMark/>
          </w:tcPr>
          <w:p w:rsidR="00E021FE" w:rsidRPr="00652B89" w:rsidRDefault="00E021FE" w:rsidP="000714B4">
            <w:pPr>
              <w:jc w:val="center"/>
              <w:rPr>
                <w:color w:val="000000"/>
                <w:sz w:val="18"/>
                <w:szCs w:val="18"/>
                <w:lang w:eastAsia="uk-UA"/>
              </w:rPr>
            </w:pPr>
            <w:r w:rsidRPr="00652B89">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652B89" w:rsidRDefault="00E021FE" w:rsidP="000714B4">
            <w:pPr>
              <w:jc w:val="center"/>
              <w:rPr>
                <w:color w:val="000000"/>
                <w:sz w:val="18"/>
                <w:szCs w:val="18"/>
                <w:lang w:eastAsia="uk-UA"/>
              </w:rPr>
            </w:pPr>
            <w:r w:rsidRPr="00652B89">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652B89" w:rsidRDefault="00E021FE" w:rsidP="000714B4">
            <w:pPr>
              <w:jc w:val="center"/>
              <w:rPr>
                <w:color w:val="000000"/>
                <w:sz w:val="18"/>
                <w:szCs w:val="18"/>
                <w:lang w:eastAsia="uk-UA"/>
              </w:rPr>
            </w:pPr>
            <w:r w:rsidRPr="00652B89">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652B89"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652B89" w:rsidRDefault="00E021FE" w:rsidP="000714B4">
            <w:pPr>
              <w:jc w:val="center"/>
              <w:rPr>
                <w:color w:val="000000"/>
                <w:sz w:val="18"/>
                <w:szCs w:val="18"/>
                <w:lang w:eastAsia="uk-UA"/>
              </w:rPr>
            </w:pPr>
            <w:r w:rsidRPr="00652B89">
              <w:rPr>
                <w:bCs/>
                <w:sz w:val="18"/>
                <w:szCs w:val="18"/>
                <w:lang w:eastAsia="it-IT"/>
              </w:rPr>
              <w:t>26 162,0</w:t>
            </w:r>
          </w:p>
        </w:tc>
        <w:tc>
          <w:tcPr>
            <w:tcW w:w="992" w:type="dxa"/>
            <w:tcBorders>
              <w:top w:val="nil"/>
              <w:left w:val="nil"/>
              <w:bottom w:val="single" w:sz="4" w:space="0" w:color="auto"/>
              <w:right w:val="single" w:sz="4" w:space="0" w:color="auto"/>
            </w:tcBorders>
            <w:shd w:val="clear" w:color="auto" w:fill="auto"/>
            <w:vAlign w:val="center"/>
            <w:hideMark/>
          </w:tcPr>
          <w:p w:rsidR="00E021FE" w:rsidRPr="00652B89"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652B89" w:rsidRDefault="00E021FE" w:rsidP="000714B4">
            <w:pPr>
              <w:autoSpaceDE w:val="0"/>
              <w:autoSpaceDN w:val="0"/>
              <w:adjustRightInd w:val="0"/>
              <w:spacing w:line="256" w:lineRule="auto"/>
              <w:jc w:val="center"/>
              <w:rPr>
                <w:rFonts w:eastAsia="Calibri"/>
                <w:bCs/>
                <w:color w:val="000000"/>
                <w:sz w:val="18"/>
                <w:szCs w:val="18"/>
              </w:rPr>
            </w:pPr>
            <w:r w:rsidRPr="00652B89">
              <w:rPr>
                <w:rFonts w:eastAsia="Calibri"/>
                <w:bCs/>
                <w:color w:val="000000"/>
                <w:sz w:val="18"/>
                <w:szCs w:val="18"/>
              </w:rPr>
              <w:t>3 033,0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652B89" w:rsidRDefault="00E021FE" w:rsidP="000714B4">
            <w:pPr>
              <w:autoSpaceDE w:val="0"/>
              <w:autoSpaceDN w:val="0"/>
              <w:adjustRightInd w:val="0"/>
              <w:spacing w:line="256" w:lineRule="auto"/>
              <w:jc w:val="center"/>
              <w:rPr>
                <w:rFonts w:eastAsia="Calibri"/>
                <w:color w:val="000000"/>
                <w:sz w:val="18"/>
                <w:szCs w:val="18"/>
              </w:rPr>
            </w:pPr>
            <w:r w:rsidRPr="00652B89">
              <w:rPr>
                <w:rFonts w:eastAsia="Calibri"/>
                <w:color w:val="000000"/>
                <w:sz w:val="18"/>
                <w:szCs w:val="18"/>
              </w:rPr>
              <w:t>Гранти, громадський бюджет,</w:t>
            </w:r>
            <w:r w:rsidRPr="00652B89">
              <w:rPr>
                <w:b/>
                <w:bCs/>
                <w:color w:val="202122"/>
                <w:sz w:val="18"/>
                <w:szCs w:val="18"/>
                <w:shd w:val="clear" w:color="auto" w:fill="FFFFFF"/>
              </w:rPr>
              <w:t xml:space="preserve"> </w:t>
            </w:r>
            <w:proofErr w:type="spellStart"/>
            <w:r w:rsidRPr="00652B89">
              <w:rPr>
                <w:color w:val="202122"/>
                <w:sz w:val="18"/>
                <w:szCs w:val="18"/>
                <w:shd w:val="clear" w:color="auto" w:fill="FFFFFF"/>
              </w:rPr>
              <w:t>краудфа́ндинг</w:t>
            </w:r>
            <w:proofErr w:type="spellEnd"/>
          </w:p>
        </w:tc>
        <w:tc>
          <w:tcPr>
            <w:tcW w:w="1164" w:type="dxa"/>
            <w:tcBorders>
              <w:top w:val="nil"/>
              <w:left w:val="nil"/>
              <w:bottom w:val="single" w:sz="4" w:space="0" w:color="auto"/>
              <w:right w:val="single" w:sz="4" w:space="0" w:color="auto"/>
            </w:tcBorders>
            <w:shd w:val="clear" w:color="auto" w:fill="auto"/>
            <w:vAlign w:val="center"/>
            <w:hideMark/>
          </w:tcPr>
          <w:p w:rsidR="00E021FE" w:rsidRPr="00652B89" w:rsidRDefault="00E021FE" w:rsidP="000714B4">
            <w:pPr>
              <w:autoSpaceDE w:val="0"/>
              <w:autoSpaceDN w:val="0"/>
              <w:adjustRightInd w:val="0"/>
              <w:spacing w:line="256" w:lineRule="auto"/>
              <w:jc w:val="center"/>
              <w:rPr>
                <w:rFonts w:eastAsia="Calibri"/>
                <w:bCs/>
                <w:color w:val="000000"/>
                <w:sz w:val="18"/>
                <w:szCs w:val="18"/>
              </w:rPr>
            </w:pPr>
            <w:r w:rsidRPr="00652B89">
              <w:rPr>
                <w:rFonts w:eastAsia="Calibri"/>
                <w:bCs/>
                <w:color w:val="000000"/>
                <w:sz w:val="18"/>
                <w:szCs w:val="18"/>
              </w:rPr>
              <w:t>29 195 ,0</w:t>
            </w:r>
          </w:p>
        </w:tc>
      </w:tr>
      <w:tr w:rsidR="00E021FE" w:rsidRPr="00E95FB1" w:rsidTr="00652B89">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652B89" w:rsidRDefault="00E021FE" w:rsidP="000714B4">
            <w:pPr>
              <w:jc w:val="center"/>
              <w:rPr>
                <w:color w:val="000000"/>
                <w:sz w:val="18"/>
                <w:szCs w:val="18"/>
                <w:lang w:eastAsia="uk-UA"/>
              </w:rPr>
            </w:pPr>
            <w:r w:rsidRPr="00652B89">
              <w:rPr>
                <w:color w:val="000000"/>
                <w:sz w:val="18"/>
                <w:szCs w:val="18"/>
                <w:lang w:eastAsia="uk-UA"/>
              </w:rPr>
              <w:t>11</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sz w:val="18"/>
                <w:szCs w:val="18"/>
                <w:lang w:eastAsia="it-IT"/>
              </w:rPr>
              <w:t xml:space="preserve">Відновлення діяльності  Сєвєродонецького міського Центру національно-патріотичного виховання, туризму та краєзнавства учнівської молоді , що знаходиться за </w:t>
            </w:r>
            <w:proofErr w:type="spellStart"/>
            <w:r w:rsidRPr="00F600D3">
              <w:rPr>
                <w:sz w:val="18"/>
                <w:szCs w:val="18"/>
                <w:lang w:eastAsia="it-IT"/>
              </w:rPr>
              <w:t>адресою</w:t>
            </w:r>
            <w:proofErr w:type="spellEnd"/>
            <w:r w:rsidRPr="00F600D3">
              <w:rPr>
                <w:sz w:val="18"/>
                <w:szCs w:val="18"/>
                <w:lang w:eastAsia="it-IT"/>
              </w:rPr>
              <w:t>: проспект Центральний</w:t>
            </w:r>
            <w:r w:rsidR="005342E7">
              <w:rPr>
                <w:sz w:val="18"/>
                <w:szCs w:val="18"/>
                <w:lang w:eastAsia="it-IT"/>
              </w:rPr>
              <w:t>,</w:t>
            </w:r>
            <w:r w:rsidRPr="00F600D3">
              <w:rPr>
                <w:sz w:val="18"/>
                <w:szCs w:val="18"/>
                <w:lang w:eastAsia="it-IT"/>
              </w:rPr>
              <w:t xml:space="preserve"> 54-А</w:t>
            </w:r>
          </w:p>
        </w:tc>
        <w:tc>
          <w:tcPr>
            <w:tcW w:w="1736" w:type="dxa"/>
            <w:tcBorders>
              <w:top w:val="nil"/>
              <w:left w:val="nil"/>
              <w:bottom w:val="single" w:sz="4" w:space="0" w:color="auto"/>
              <w:right w:val="single" w:sz="4" w:space="0" w:color="auto"/>
            </w:tcBorders>
            <w:shd w:val="clear" w:color="auto" w:fill="auto"/>
            <w:vAlign w:val="center"/>
            <w:hideMark/>
          </w:tcPr>
          <w:p w:rsidR="00E021FE" w:rsidRPr="00652B89" w:rsidRDefault="00E021FE" w:rsidP="000714B4">
            <w:pPr>
              <w:jc w:val="center"/>
              <w:rPr>
                <w:color w:val="000000"/>
                <w:sz w:val="18"/>
                <w:szCs w:val="18"/>
                <w:lang w:eastAsia="uk-UA"/>
              </w:rPr>
            </w:pPr>
            <w:r w:rsidRPr="00652B89">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652B89" w:rsidRDefault="00E021FE" w:rsidP="000714B4">
            <w:pPr>
              <w:jc w:val="center"/>
              <w:rPr>
                <w:color w:val="000000"/>
                <w:sz w:val="18"/>
                <w:szCs w:val="18"/>
                <w:lang w:eastAsia="uk-UA"/>
              </w:rPr>
            </w:pPr>
            <w:r w:rsidRPr="00652B89">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652B89" w:rsidRDefault="00E021FE" w:rsidP="000714B4">
            <w:pPr>
              <w:jc w:val="center"/>
              <w:rPr>
                <w:color w:val="000000"/>
                <w:sz w:val="18"/>
                <w:szCs w:val="18"/>
                <w:lang w:eastAsia="uk-UA"/>
              </w:rPr>
            </w:pPr>
            <w:r w:rsidRPr="00652B89">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652B89"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652B89" w:rsidRDefault="00E021FE" w:rsidP="000714B4">
            <w:pPr>
              <w:jc w:val="center"/>
              <w:rPr>
                <w:color w:val="000000"/>
                <w:sz w:val="18"/>
                <w:szCs w:val="18"/>
                <w:lang w:eastAsia="uk-UA"/>
              </w:rPr>
            </w:pPr>
            <w:r w:rsidRPr="00652B89">
              <w:rPr>
                <w:rFonts w:eastAsia="Calibri"/>
                <w:bCs/>
                <w:color w:val="000000"/>
                <w:sz w:val="18"/>
                <w:szCs w:val="18"/>
              </w:rPr>
              <w:t>12 369,0</w:t>
            </w:r>
          </w:p>
        </w:tc>
        <w:tc>
          <w:tcPr>
            <w:tcW w:w="992" w:type="dxa"/>
            <w:tcBorders>
              <w:top w:val="nil"/>
              <w:left w:val="nil"/>
              <w:bottom w:val="single" w:sz="4" w:space="0" w:color="auto"/>
              <w:right w:val="single" w:sz="4" w:space="0" w:color="auto"/>
            </w:tcBorders>
            <w:shd w:val="clear" w:color="auto" w:fill="auto"/>
            <w:vAlign w:val="center"/>
            <w:hideMark/>
          </w:tcPr>
          <w:p w:rsidR="00E021FE" w:rsidRPr="00652B89"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652B89" w:rsidRDefault="00E021FE" w:rsidP="000714B4">
            <w:pPr>
              <w:autoSpaceDE w:val="0"/>
              <w:autoSpaceDN w:val="0"/>
              <w:adjustRightInd w:val="0"/>
              <w:spacing w:line="256" w:lineRule="auto"/>
              <w:jc w:val="center"/>
              <w:rPr>
                <w:rFonts w:eastAsia="Calibri"/>
                <w:bCs/>
                <w:color w:val="000000"/>
                <w:sz w:val="18"/>
                <w:szCs w:val="18"/>
              </w:rPr>
            </w:pPr>
            <w:r w:rsidRPr="00652B89">
              <w:rPr>
                <w:rFonts w:eastAsia="Calibri"/>
                <w:bCs/>
                <w:color w:val="000000"/>
                <w:sz w:val="18"/>
                <w:szCs w:val="18"/>
              </w:rPr>
              <w:t>3 000,0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652B89" w:rsidRDefault="00E021FE" w:rsidP="000714B4">
            <w:pPr>
              <w:autoSpaceDE w:val="0"/>
              <w:autoSpaceDN w:val="0"/>
              <w:adjustRightInd w:val="0"/>
              <w:spacing w:line="256" w:lineRule="auto"/>
              <w:jc w:val="center"/>
              <w:rPr>
                <w:rFonts w:eastAsia="Calibri"/>
                <w:color w:val="000000"/>
                <w:sz w:val="18"/>
                <w:szCs w:val="18"/>
              </w:rPr>
            </w:pPr>
            <w:r w:rsidRPr="00652B89">
              <w:rPr>
                <w:rFonts w:eastAsia="Calibri"/>
                <w:color w:val="000000"/>
                <w:sz w:val="18"/>
                <w:szCs w:val="18"/>
              </w:rPr>
              <w:t>Гранти, громадський бюджет,</w:t>
            </w:r>
            <w:r w:rsidRPr="00652B89">
              <w:rPr>
                <w:b/>
                <w:bCs/>
                <w:color w:val="202122"/>
                <w:sz w:val="18"/>
                <w:szCs w:val="18"/>
                <w:shd w:val="clear" w:color="auto" w:fill="FFFFFF"/>
              </w:rPr>
              <w:t xml:space="preserve"> </w:t>
            </w:r>
            <w:proofErr w:type="spellStart"/>
            <w:r w:rsidRPr="00652B89">
              <w:rPr>
                <w:color w:val="202122"/>
                <w:sz w:val="18"/>
                <w:szCs w:val="18"/>
                <w:shd w:val="clear" w:color="auto" w:fill="FFFFFF"/>
              </w:rPr>
              <w:t>краудфа́ндинг</w:t>
            </w:r>
            <w:proofErr w:type="spellEnd"/>
          </w:p>
        </w:tc>
        <w:tc>
          <w:tcPr>
            <w:tcW w:w="1164" w:type="dxa"/>
            <w:tcBorders>
              <w:top w:val="nil"/>
              <w:left w:val="nil"/>
              <w:bottom w:val="single" w:sz="4" w:space="0" w:color="auto"/>
              <w:right w:val="single" w:sz="4" w:space="0" w:color="auto"/>
            </w:tcBorders>
            <w:shd w:val="clear" w:color="auto" w:fill="auto"/>
            <w:vAlign w:val="center"/>
            <w:hideMark/>
          </w:tcPr>
          <w:p w:rsidR="00E021FE" w:rsidRPr="00652B89" w:rsidRDefault="00E021FE" w:rsidP="000714B4">
            <w:pPr>
              <w:autoSpaceDE w:val="0"/>
              <w:autoSpaceDN w:val="0"/>
              <w:adjustRightInd w:val="0"/>
              <w:spacing w:line="256" w:lineRule="auto"/>
              <w:jc w:val="center"/>
              <w:rPr>
                <w:rFonts w:eastAsia="Calibri"/>
                <w:bCs/>
                <w:color w:val="000000"/>
                <w:sz w:val="18"/>
                <w:szCs w:val="18"/>
              </w:rPr>
            </w:pPr>
            <w:r w:rsidRPr="00652B89">
              <w:rPr>
                <w:rFonts w:eastAsia="Calibri"/>
                <w:bCs/>
                <w:color w:val="000000"/>
                <w:sz w:val="18"/>
                <w:szCs w:val="18"/>
              </w:rPr>
              <w:t>15 369,0</w:t>
            </w:r>
          </w:p>
        </w:tc>
      </w:tr>
      <w:tr w:rsidR="00E021FE" w:rsidRPr="00E95FB1" w:rsidTr="007E13A2">
        <w:trPr>
          <w:trHeight w:val="375"/>
        </w:trPr>
        <w:tc>
          <w:tcPr>
            <w:tcW w:w="35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Всього напрямом</w:t>
            </w:r>
          </w:p>
        </w:tc>
        <w:tc>
          <w:tcPr>
            <w:tcW w:w="1736"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х</w:t>
            </w:r>
          </w:p>
        </w:tc>
        <w:tc>
          <w:tcPr>
            <w:tcW w:w="1252"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х</w:t>
            </w:r>
          </w:p>
        </w:tc>
        <w:tc>
          <w:tcPr>
            <w:tcW w:w="1035"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х</w:t>
            </w:r>
          </w:p>
        </w:tc>
        <w:tc>
          <w:tcPr>
            <w:tcW w:w="1104"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х</w:t>
            </w:r>
          </w:p>
        </w:tc>
        <w:tc>
          <w:tcPr>
            <w:tcW w:w="1134"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color w:val="000000"/>
                <w:sz w:val="18"/>
                <w:szCs w:val="18"/>
                <w:lang w:eastAsia="uk-UA"/>
              </w:rPr>
            </w:pPr>
            <w:r w:rsidRPr="007E13A2">
              <w:rPr>
                <w:b/>
                <w:color w:val="000000"/>
                <w:sz w:val="18"/>
                <w:szCs w:val="18"/>
                <w:lang w:val="ru-RU" w:eastAsia="uk-UA"/>
              </w:rPr>
              <w:t>144897,9</w:t>
            </w:r>
          </w:p>
        </w:tc>
        <w:tc>
          <w:tcPr>
            <w:tcW w:w="992"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color w:val="000000"/>
                <w:sz w:val="18"/>
                <w:szCs w:val="18"/>
                <w:lang w:val="ru-RU" w:eastAsia="uk-UA"/>
              </w:rPr>
            </w:pPr>
            <w:r w:rsidRPr="007E13A2">
              <w:rPr>
                <w:b/>
                <w:color w:val="000000"/>
                <w:sz w:val="18"/>
                <w:szCs w:val="18"/>
                <w:lang w:val="ru-RU" w:eastAsia="uk-UA"/>
              </w:rPr>
              <w:t>82178,94</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color w:val="000000"/>
                <w:sz w:val="18"/>
                <w:szCs w:val="18"/>
                <w:lang w:eastAsia="uk-UA"/>
              </w:rPr>
            </w:pPr>
            <w:r w:rsidRPr="007E13A2">
              <w:rPr>
                <w:b/>
                <w:bCs/>
                <w:color w:val="000000"/>
                <w:sz w:val="18"/>
                <w:szCs w:val="18"/>
                <w:lang w:eastAsia="uk-UA"/>
              </w:rPr>
              <w:t>х</w:t>
            </w:r>
          </w:p>
        </w:tc>
        <w:tc>
          <w:tcPr>
            <w:tcW w:w="1164"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52327E">
            <w:pPr>
              <w:jc w:val="center"/>
              <w:rPr>
                <w:b/>
                <w:color w:val="000000"/>
                <w:sz w:val="18"/>
                <w:szCs w:val="18"/>
                <w:lang w:val="ru-RU" w:eastAsia="uk-UA"/>
              </w:rPr>
            </w:pPr>
            <w:r w:rsidRPr="007E13A2">
              <w:rPr>
                <w:b/>
                <w:color w:val="000000"/>
                <w:sz w:val="18"/>
                <w:szCs w:val="18"/>
                <w:lang w:val="ru-RU" w:eastAsia="uk-UA"/>
              </w:rPr>
              <w:t>227076,</w:t>
            </w:r>
            <w:r w:rsidR="0052327E">
              <w:rPr>
                <w:b/>
                <w:color w:val="000000"/>
                <w:sz w:val="18"/>
                <w:szCs w:val="18"/>
                <w:lang w:val="ru-RU" w:eastAsia="uk-UA"/>
              </w:rPr>
              <w:t>8</w:t>
            </w:r>
            <w:r w:rsidRPr="007E13A2">
              <w:rPr>
                <w:b/>
                <w:color w:val="000000"/>
                <w:sz w:val="18"/>
                <w:szCs w:val="18"/>
                <w:lang w:val="ru-RU" w:eastAsia="uk-UA"/>
              </w:rPr>
              <w:t>3</w:t>
            </w:r>
          </w:p>
        </w:tc>
      </w:tr>
      <w:tr w:rsidR="00E021FE" w:rsidRPr="00E95FB1" w:rsidTr="001B3967">
        <w:trPr>
          <w:trHeight w:val="375"/>
        </w:trPr>
        <w:tc>
          <w:tcPr>
            <w:tcW w:w="14580" w:type="dxa"/>
            <w:gridSpan w:val="12"/>
            <w:tcBorders>
              <w:top w:val="single" w:sz="4" w:space="0" w:color="auto"/>
              <w:left w:val="single" w:sz="4" w:space="0" w:color="auto"/>
              <w:bottom w:val="single" w:sz="4" w:space="0" w:color="auto"/>
              <w:right w:val="single" w:sz="4" w:space="0" w:color="auto"/>
            </w:tcBorders>
            <w:shd w:val="clear" w:color="auto" w:fill="auto"/>
            <w:hideMark/>
          </w:tcPr>
          <w:p w:rsidR="00E021FE" w:rsidRPr="00F600D3" w:rsidRDefault="00E021FE" w:rsidP="000714B4">
            <w:pPr>
              <w:jc w:val="center"/>
              <w:rPr>
                <w:color w:val="000000"/>
                <w:sz w:val="24"/>
                <w:szCs w:val="24"/>
                <w:lang w:eastAsia="uk-UA"/>
              </w:rPr>
            </w:pPr>
            <w:r w:rsidRPr="00F600D3">
              <w:rPr>
                <w:color w:val="000000"/>
                <w:sz w:val="24"/>
                <w:szCs w:val="24"/>
                <w:lang w:eastAsia="uk-UA"/>
              </w:rPr>
              <w:t>2.4. Заклади соціального захисту та піклування (центри соціального забезпечення, інтернати для людей похилого віку, заклади для дітей-сиріт і дітей</w:t>
            </w:r>
          </w:p>
        </w:tc>
      </w:tr>
      <w:tr w:rsidR="00E021FE" w:rsidRPr="00E95FB1" w:rsidTr="001B3967">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1</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sz w:val="18"/>
                <w:szCs w:val="18"/>
              </w:rPr>
              <w:t xml:space="preserve">Відновлення діяльності (розвитку) комунального закладу                       </w:t>
            </w:r>
            <w:r w:rsidRPr="00F600D3">
              <w:rPr>
                <w:sz w:val="18"/>
                <w:szCs w:val="18"/>
              </w:rPr>
              <w:lastRenderedPageBreak/>
              <w:t>« Сєвєродонецький міський Центр соціальних служб»</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sz w:val="18"/>
                <w:szCs w:val="18"/>
              </w:rPr>
              <w:lastRenderedPageBreak/>
              <w:t xml:space="preserve">Сєвєродонецька міська </w:t>
            </w:r>
            <w:r w:rsidRPr="00E95FB1">
              <w:rPr>
                <w:sz w:val="18"/>
                <w:szCs w:val="18"/>
              </w:rPr>
              <w:lastRenderedPageBreak/>
              <w:t>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sz w:val="18"/>
                <w:szCs w:val="18"/>
              </w:rPr>
              <w:lastRenderedPageBreak/>
              <w:t>36000-38000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sz w:val="18"/>
                <w:szCs w:val="18"/>
              </w:rPr>
            </w:pPr>
            <w:r>
              <w:rPr>
                <w:sz w:val="18"/>
                <w:szCs w:val="18"/>
              </w:rPr>
              <w:t>6158,489</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sz w:val="18"/>
                <w:szCs w:val="18"/>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sz w:val="18"/>
                <w:szCs w:val="18"/>
              </w:rPr>
            </w:pPr>
            <w:r>
              <w:rPr>
                <w:sz w:val="18"/>
                <w:szCs w:val="18"/>
              </w:rPr>
              <w:t>2639,352</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sz w:val="18"/>
                <w:szCs w:val="18"/>
              </w:rPr>
            </w:pPr>
            <w:r w:rsidRPr="00E95FB1">
              <w:rPr>
                <w:sz w:val="18"/>
                <w:szCs w:val="18"/>
              </w:rPr>
              <w:t xml:space="preserve">Міжнародні інвестиції, </w:t>
            </w:r>
            <w:r w:rsidRPr="00E95FB1">
              <w:rPr>
                <w:sz w:val="18"/>
                <w:szCs w:val="18"/>
              </w:rPr>
              <w:lastRenderedPageBreak/>
              <w:t>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sz w:val="18"/>
                <w:szCs w:val="18"/>
              </w:rPr>
            </w:pPr>
            <w:r>
              <w:rPr>
                <w:sz w:val="18"/>
                <w:szCs w:val="18"/>
              </w:rPr>
              <w:lastRenderedPageBreak/>
              <w:t>8797,841</w:t>
            </w:r>
          </w:p>
        </w:tc>
      </w:tr>
      <w:tr w:rsidR="00E021FE" w:rsidRPr="00E95FB1" w:rsidTr="001B3967">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2</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sz w:val="18"/>
                <w:szCs w:val="18"/>
              </w:rPr>
              <w:t>Відновлення діяльності (розвитку) Управління соціального захисту населення Сєвєродонецької міської військової адміністрації Сєвєродонецького району Луганської області</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sz w:val="18"/>
                <w:szCs w:val="18"/>
              </w:rPr>
              <w:t>192662,64</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sz w:val="18"/>
                <w:szCs w:val="18"/>
              </w:rPr>
            </w:pPr>
            <w:r w:rsidRPr="00E95FB1">
              <w:rPr>
                <w:sz w:val="18"/>
                <w:szCs w:val="18"/>
              </w:rPr>
              <w:t>82569,7</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sz w:val="18"/>
                <w:szCs w:val="18"/>
              </w:rPr>
            </w:pPr>
            <w:r w:rsidRPr="00E95FB1">
              <w:rPr>
                <w:sz w:val="18"/>
                <w:szCs w:val="18"/>
              </w:rPr>
              <w:t>Іноземні інвестори</w:t>
            </w: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sz w:val="18"/>
                <w:szCs w:val="18"/>
              </w:rPr>
            </w:pPr>
            <w:r w:rsidRPr="00E95FB1">
              <w:rPr>
                <w:sz w:val="18"/>
                <w:szCs w:val="18"/>
              </w:rPr>
              <w:t>275232,34</w:t>
            </w:r>
          </w:p>
        </w:tc>
      </w:tr>
      <w:tr w:rsidR="00E021FE" w:rsidRPr="00E95FB1" w:rsidTr="001B3967">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6"/>
                <w:szCs w:val="16"/>
                <w:lang w:eastAsia="uk-UA"/>
              </w:rPr>
            </w:pPr>
            <w:r w:rsidRPr="00F600D3">
              <w:rPr>
                <w:color w:val="000000"/>
                <w:sz w:val="16"/>
                <w:szCs w:val="16"/>
                <w:lang w:eastAsia="uk-UA"/>
              </w:rPr>
              <w:t>3</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sz w:val="18"/>
                <w:szCs w:val="18"/>
              </w:rPr>
            </w:pPr>
            <w:r w:rsidRPr="00F600D3">
              <w:rPr>
                <w:sz w:val="18"/>
                <w:szCs w:val="18"/>
              </w:rPr>
              <w:t>Відновлення діяльності та розвиток Центру комплексної реабілітації для дітей та осіб з інвалідністю Сєвєродонецької міської ради</w:t>
            </w:r>
          </w:p>
          <w:p w:rsidR="00E021FE" w:rsidRPr="00F600D3" w:rsidRDefault="00E021FE" w:rsidP="000714B4">
            <w:pPr>
              <w:jc w:val="center"/>
              <w:rPr>
                <w:color w:val="000000"/>
                <w:sz w:val="18"/>
                <w:szCs w:val="18"/>
                <w:lang w:eastAsia="uk-UA"/>
              </w:rPr>
            </w:pPr>
          </w:p>
        </w:tc>
        <w:tc>
          <w:tcPr>
            <w:tcW w:w="1736"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5F6F00" w:rsidRDefault="00E021FE" w:rsidP="000714B4">
            <w:pPr>
              <w:jc w:val="center"/>
              <w:rPr>
                <w:color w:val="000000"/>
                <w:sz w:val="18"/>
                <w:szCs w:val="18"/>
                <w:lang w:eastAsia="uk-UA"/>
              </w:rPr>
            </w:pPr>
            <w:r>
              <w:rPr>
                <w:sz w:val="18"/>
                <w:szCs w:val="18"/>
              </w:rPr>
              <w:t>93976,848</w:t>
            </w:r>
          </w:p>
        </w:tc>
        <w:tc>
          <w:tcPr>
            <w:tcW w:w="992"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val="ru-RU" w:eastAsia="uk-UA"/>
              </w:rPr>
            </w:pPr>
            <w:r>
              <w:rPr>
                <w:sz w:val="18"/>
                <w:szCs w:val="18"/>
                <w:lang w:val="ru-RU"/>
              </w:rPr>
              <w:t>40275,792</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val="ru-RU" w:eastAsia="uk-UA"/>
              </w:rPr>
            </w:pPr>
            <w:r>
              <w:rPr>
                <w:sz w:val="18"/>
                <w:szCs w:val="18"/>
                <w:lang w:val="ru-RU"/>
              </w:rPr>
              <w:t>134252,64</w:t>
            </w:r>
          </w:p>
        </w:tc>
      </w:tr>
      <w:tr w:rsidR="00E021FE" w:rsidRPr="00E95FB1" w:rsidTr="001B3967">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4</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sz w:val="18"/>
                <w:szCs w:val="18"/>
              </w:rPr>
            </w:pPr>
            <w:r w:rsidRPr="00E95FB1">
              <w:rPr>
                <w:sz w:val="18"/>
                <w:szCs w:val="18"/>
              </w:rPr>
              <w:t>Відновлення діяльності Територіального центру соціального обслуговування (надання соціальних послуг) Сєвєродонецької міської ради</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sz w:val="18"/>
                <w:szCs w:val="18"/>
              </w:rPr>
            </w:pPr>
            <w:r>
              <w:rPr>
                <w:sz w:val="18"/>
                <w:szCs w:val="18"/>
              </w:rPr>
              <w:t>5728,89</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sz w:val="18"/>
                <w:szCs w:val="18"/>
              </w:rPr>
            </w:pPr>
            <w:r>
              <w:rPr>
                <w:sz w:val="18"/>
                <w:szCs w:val="18"/>
              </w:rPr>
              <w:t>2455,239</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sz w:val="18"/>
                <w:szCs w:val="18"/>
              </w:rPr>
            </w:pPr>
            <w:r w:rsidRPr="00E95FB1">
              <w:rPr>
                <w:sz w:val="18"/>
                <w:szCs w:val="18"/>
              </w:rPr>
              <w:t>Міжнародні</w:t>
            </w:r>
          </w:p>
          <w:p w:rsidR="00E021FE" w:rsidRPr="00E95FB1" w:rsidRDefault="00E021FE" w:rsidP="000714B4">
            <w:pPr>
              <w:jc w:val="center"/>
              <w:rPr>
                <w:sz w:val="18"/>
                <w:szCs w:val="18"/>
              </w:rPr>
            </w:pPr>
            <w:r w:rsidRPr="00E95FB1">
              <w:rPr>
                <w:sz w:val="18"/>
                <w:szCs w:val="18"/>
              </w:rPr>
              <w:t>інвестиції,</w:t>
            </w:r>
          </w:p>
          <w:p w:rsidR="00E021FE" w:rsidRPr="00E95FB1" w:rsidRDefault="00E021FE" w:rsidP="000714B4">
            <w:pPr>
              <w:jc w:val="center"/>
              <w:rPr>
                <w:sz w:val="18"/>
                <w:szCs w:val="18"/>
              </w:rPr>
            </w:pPr>
            <w:r w:rsidRPr="00E95FB1">
              <w:rPr>
                <w:sz w:val="18"/>
                <w:szCs w:val="18"/>
              </w:rPr>
              <w:t>кошти приватних</w:t>
            </w:r>
          </w:p>
          <w:p w:rsidR="00E021FE" w:rsidRPr="00E95FB1" w:rsidRDefault="00E021FE" w:rsidP="000714B4">
            <w:pPr>
              <w:jc w:val="center"/>
              <w:rPr>
                <w:sz w:val="18"/>
                <w:szCs w:val="18"/>
              </w:rPr>
            </w:pPr>
            <w:r w:rsidRPr="00E95FB1">
              <w:rPr>
                <w:sz w:val="18"/>
                <w:szCs w:val="18"/>
              </w:rPr>
              <w:t>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sz w:val="18"/>
                <w:szCs w:val="18"/>
              </w:rPr>
            </w:pPr>
            <w:r>
              <w:rPr>
                <w:sz w:val="18"/>
                <w:szCs w:val="18"/>
              </w:rPr>
              <w:t>8184,129</w:t>
            </w:r>
          </w:p>
        </w:tc>
      </w:tr>
      <w:tr w:rsidR="00EC7C86" w:rsidRPr="00E95FB1" w:rsidTr="001B3967">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C7C86" w:rsidRPr="00E95FB1" w:rsidRDefault="00EC7C86" w:rsidP="00686726">
            <w:pPr>
              <w:jc w:val="center"/>
              <w:rPr>
                <w:color w:val="000000"/>
                <w:sz w:val="18"/>
                <w:szCs w:val="18"/>
                <w:lang w:eastAsia="uk-UA"/>
              </w:rPr>
            </w:pPr>
            <w:r>
              <w:rPr>
                <w:color w:val="000000"/>
                <w:sz w:val="18"/>
                <w:szCs w:val="18"/>
                <w:lang w:eastAsia="uk-UA"/>
              </w:rPr>
              <w:t>5</w:t>
            </w:r>
          </w:p>
        </w:tc>
        <w:tc>
          <w:tcPr>
            <w:tcW w:w="3049" w:type="dxa"/>
            <w:tcBorders>
              <w:top w:val="nil"/>
              <w:left w:val="nil"/>
              <w:bottom w:val="single" w:sz="4" w:space="0" w:color="auto"/>
              <w:right w:val="single" w:sz="4" w:space="0" w:color="auto"/>
            </w:tcBorders>
            <w:shd w:val="clear" w:color="auto" w:fill="auto"/>
            <w:vAlign w:val="center"/>
            <w:hideMark/>
          </w:tcPr>
          <w:p w:rsidR="00EC7C86" w:rsidRPr="00FB082A" w:rsidRDefault="00EC7C86" w:rsidP="00686726">
            <w:pPr>
              <w:jc w:val="center"/>
              <w:rPr>
                <w:color w:val="000000"/>
                <w:sz w:val="18"/>
                <w:szCs w:val="18"/>
                <w:lang w:eastAsia="uk-UA"/>
              </w:rPr>
            </w:pPr>
            <w:r w:rsidRPr="00FB082A">
              <w:rPr>
                <w:color w:val="000000"/>
                <w:sz w:val="18"/>
                <w:szCs w:val="18"/>
                <w:lang w:eastAsia="uk-UA"/>
              </w:rPr>
              <w:t>Відновлення діяльності (розвитку) Ветеранського простору Управління соціального захисту населення Сєвєродонецької міської військової адміністрації Сєвєродонецького району Луганської області</w:t>
            </w:r>
          </w:p>
        </w:tc>
        <w:tc>
          <w:tcPr>
            <w:tcW w:w="1736" w:type="dxa"/>
            <w:tcBorders>
              <w:top w:val="nil"/>
              <w:left w:val="nil"/>
              <w:bottom w:val="single" w:sz="4" w:space="0" w:color="auto"/>
              <w:right w:val="single" w:sz="4" w:space="0" w:color="auto"/>
            </w:tcBorders>
            <w:shd w:val="clear" w:color="auto" w:fill="auto"/>
            <w:vAlign w:val="center"/>
            <w:hideMark/>
          </w:tcPr>
          <w:p w:rsidR="00EC7C86" w:rsidRPr="00E95FB1" w:rsidRDefault="00EC7C86" w:rsidP="00686726">
            <w:pPr>
              <w:jc w:val="center"/>
              <w:rPr>
                <w:color w:val="000000"/>
                <w:sz w:val="18"/>
                <w:szCs w:val="18"/>
                <w:lang w:eastAsia="uk-UA"/>
              </w:rPr>
            </w:pPr>
            <w:r w:rsidRPr="00FB082A">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C7C86" w:rsidRPr="00E95FB1" w:rsidRDefault="00EC7C86" w:rsidP="00686726">
            <w:pPr>
              <w:jc w:val="center"/>
              <w:rPr>
                <w:color w:val="000000"/>
                <w:sz w:val="18"/>
                <w:szCs w:val="18"/>
                <w:lang w:eastAsia="uk-UA"/>
              </w:rPr>
            </w:pPr>
            <w:r w:rsidRPr="00FB082A">
              <w:rPr>
                <w:color w:val="000000"/>
                <w:sz w:val="18"/>
                <w:szCs w:val="18"/>
                <w:lang w:eastAsia="uk-UA"/>
              </w:rPr>
              <w:t>70 000</w:t>
            </w:r>
          </w:p>
        </w:tc>
        <w:tc>
          <w:tcPr>
            <w:tcW w:w="1035" w:type="dxa"/>
            <w:tcBorders>
              <w:top w:val="nil"/>
              <w:left w:val="nil"/>
              <w:bottom w:val="single" w:sz="4" w:space="0" w:color="auto"/>
              <w:right w:val="single" w:sz="4" w:space="0" w:color="auto"/>
            </w:tcBorders>
            <w:shd w:val="clear" w:color="auto" w:fill="auto"/>
            <w:vAlign w:val="center"/>
            <w:hideMark/>
          </w:tcPr>
          <w:p w:rsidR="00EC7C86" w:rsidRPr="00E95FB1" w:rsidRDefault="00EC7C86" w:rsidP="00686726">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C7C86" w:rsidRPr="00E95FB1" w:rsidRDefault="00EC7C86" w:rsidP="00686726">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C7C86" w:rsidRPr="00FB082A" w:rsidRDefault="00EC7C86" w:rsidP="00686726">
            <w:pPr>
              <w:jc w:val="center"/>
              <w:rPr>
                <w:color w:val="000000"/>
                <w:sz w:val="18"/>
                <w:szCs w:val="18"/>
                <w:lang w:eastAsia="uk-UA"/>
              </w:rPr>
            </w:pPr>
          </w:p>
        </w:tc>
        <w:tc>
          <w:tcPr>
            <w:tcW w:w="992" w:type="dxa"/>
            <w:tcBorders>
              <w:top w:val="nil"/>
              <w:left w:val="nil"/>
              <w:bottom w:val="single" w:sz="4" w:space="0" w:color="auto"/>
              <w:right w:val="single" w:sz="4" w:space="0" w:color="auto"/>
            </w:tcBorders>
            <w:shd w:val="clear" w:color="auto" w:fill="auto"/>
            <w:vAlign w:val="center"/>
            <w:hideMark/>
          </w:tcPr>
          <w:p w:rsidR="00EC7C86" w:rsidRPr="00E95FB1" w:rsidRDefault="00EC7C86" w:rsidP="00686726">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C7C86" w:rsidRPr="00FB082A" w:rsidRDefault="00EC7C86" w:rsidP="00686726">
            <w:pPr>
              <w:jc w:val="center"/>
              <w:rPr>
                <w:color w:val="000000"/>
                <w:sz w:val="18"/>
                <w:szCs w:val="18"/>
                <w:lang w:eastAsia="uk-UA"/>
              </w:rPr>
            </w:pPr>
            <w:r w:rsidRPr="00FB082A">
              <w:rPr>
                <w:color w:val="000000"/>
                <w:sz w:val="18"/>
                <w:szCs w:val="18"/>
                <w:lang w:eastAsia="uk-UA"/>
              </w:rPr>
              <w:t>7500,256</w:t>
            </w:r>
          </w:p>
        </w:tc>
        <w:tc>
          <w:tcPr>
            <w:tcW w:w="1500" w:type="dxa"/>
            <w:gridSpan w:val="2"/>
            <w:tcBorders>
              <w:top w:val="nil"/>
              <w:left w:val="nil"/>
              <w:bottom w:val="single" w:sz="4" w:space="0" w:color="auto"/>
              <w:right w:val="single" w:sz="4" w:space="0" w:color="auto"/>
            </w:tcBorders>
            <w:shd w:val="clear" w:color="auto" w:fill="auto"/>
            <w:vAlign w:val="center"/>
            <w:hideMark/>
          </w:tcPr>
          <w:p w:rsidR="00EC7C86" w:rsidRPr="00FB082A" w:rsidRDefault="00EC7C86" w:rsidP="00686726">
            <w:pPr>
              <w:jc w:val="center"/>
              <w:rPr>
                <w:color w:val="000000"/>
                <w:sz w:val="18"/>
                <w:szCs w:val="18"/>
                <w:lang w:eastAsia="uk-UA"/>
              </w:rPr>
            </w:pPr>
            <w:r w:rsidRPr="00FB082A">
              <w:rPr>
                <w:color w:val="000000"/>
                <w:sz w:val="18"/>
                <w:szCs w:val="18"/>
                <w:lang w:eastAsia="uk-UA"/>
              </w:rPr>
              <w:t>Іноземні інвестори</w:t>
            </w:r>
          </w:p>
        </w:tc>
        <w:tc>
          <w:tcPr>
            <w:tcW w:w="1164" w:type="dxa"/>
            <w:tcBorders>
              <w:top w:val="nil"/>
              <w:left w:val="nil"/>
              <w:bottom w:val="single" w:sz="4" w:space="0" w:color="auto"/>
              <w:right w:val="single" w:sz="4" w:space="0" w:color="auto"/>
            </w:tcBorders>
            <w:shd w:val="clear" w:color="auto" w:fill="auto"/>
            <w:vAlign w:val="center"/>
            <w:hideMark/>
          </w:tcPr>
          <w:p w:rsidR="00EC7C86" w:rsidRPr="00FB082A" w:rsidRDefault="00EC7C86" w:rsidP="00686726">
            <w:pPr>
              <w:jc w:val="center"/>
              <w:rPr>
                <w:color w:val="000000"/>
                <w:sz w:val="18"/>
                <w:szCs w:val="18"/>
                <w:lang w:eastAsia="uk-UA"/>
              </w:rPr>
            </w:pPr>
            <w:r w:rsidRPr="00FB082A">
              <w:rPr>
                <w:color w:val="000000"/>
                <w:sz w:val="18"/>
                <w:szCs w:val="18"/>
                <w:lang w:eastAsia="uk-UA"/>
              </w:rPr>
              <w:t>7500,256</w:t>
            </w:r>
          </w:p>
        </w:tc>
      </w:tr>
      <w:tr w:rsidR="00E021FE" w:rsidRPr="00E95FB1" w:rsidTr="007E13A2">
        <w:trPr>
          <w:trHeight w:val="375"/>
        </w:trPr>
        <w:tc>
          <w:tcPr>
            <w:tcW w:w="35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Всього напрямом</w:t>
            </w:r>
          </w:p>
        </w:tc>
        <w:tc>
          <w:tcPr>
            <w:tcW w:w="1736"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х</w:t>
            </w:r>
          </w:p>
        </w:tc>
        <w:tc>
          <w:tcPr>
            <w:tcW w:w="1252"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х</w:t>
            </w:r>
          </w:p>
        </w:tc>
        <w:tc>
          <w:tcPr>
            <w:tcW w:w="1035"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х</w:t>
            </w:r>
          </w:p>
        </w:tc>
        <w:tc>
          <w:tcPr>
            <w:tcW w:w="1104"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х</w:t>
            </w:r>
          </w:p>
        </w:tc>
        <w:tc>
          <w:tcPr>
            <w:tcW w:w="1134"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color w:val="000000"/>
                <w:sz w:val="18"/>
                <w:szCs w:val="18"/>
                <w:lang w:val="ru-RU" w:eastAsia="uk-UA"/>
              </w:rPr>
            </w:pPr>
            <w:r w:rsidRPr="007E13A2">
              <w:rPr>
                <w:b/>
                <w:color w:val="000000"/>
                <w:sz w:val="18"/>
                <w:szCs w:val="18"/>
                <w:lang w:val="ru-RU" w:eastAsia="uk-UA"/>
              </w:rPr>
              <w:t>298526,87</w:t>
            </w:r>
          </w:p>
        </w:tc>
        <w:tc>
          <w:tcPr>
            <w:tcW w:w="992"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7E13A2" w:rsidRDefault="00EC7C86" w:rsidP="007E13A2">
            <w:pPr>
              <w:jc w:val="center"/>
              <w:rPr>
                <w:b/>
                <w:color w:val="000000"/>
                <w:sz w:val="18"/>
                <w:szCs w:val="18"/>
                <w:lang w:eastAsia="uk-UA"/>
              </w:rPr>
            </w:pPr>
            <w:r>
              <w:rPr>
                <w:b/>
                <w:color w:val="000000"/>
                <w:sz w:val="18"/>
                <w:szCs w:val="18"/>
                <w:lang w:val="ru-RU" w:eastAsia="uk-UA"/>
              </w:rPr>
              <w:t>135440,34</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color w:val="000000"/>
                <w:sz w:val="18"/>
                <w:szCs w:val="18"/>
                <w:lang w:eastAsia="uk-UA"/>
              </w:rPr>
            </w:pPr>
            <w:r w:rsidRPr="007E13A2">
              <w:rPr>
                <w:b/>
                <w:bCs/>
                <w:color w:val="000000"/>
                <w:sz w:val="18"/>
                <w:szCs w:val="18"/>
                <w:lang w:eastAsia="uk-UA"/>
              </w:rPr>
              <w:t>х</w:t>
            </w:r>
          </w:p>
        </w:tc>
        <w:tc>
          <w:tcPr>
            <w:tcW w:w="1164" w:type="dxa"/>
            <w:tcBorders>
              <w:top w:val="nil"/>
              <w:left w:val="nil"/>
              <w:bottom w:val="single" w:sz="4" w:space="0" w:color="auto"/>
              <w:right w:val="single" w:sz="4" w:space="0" w:color="auto"/>
            </w:tcBorders>
            <w:shd w:val="clear" w:color="auto" w:fill="auto"/>
            <w:vAlign w:val="center"/>
            <w:hideMark/>
          </w:tcPr>
          <w:p w:rsidR="00E021FE" w:rsidRPr="007E13A2" w:rsidRDefault="00EC7C86" w:rsidP="007E13A2">
            <w:pPr>
              <w:jc w:val="center"/>
              <w:rPr>
                <w:b/>
                <w:color w:val="000000"/>
                <w:sz w:val="18"/>
                <w:szCs w:val="18"/>
                <w:lang w:val="ru-RU" w:eastAsia="uk-UA"/>
              </w:rPr>
            </w:pPr>
            <w:r>
              <w:rPr>
                <w:b/>
                <w:color w:val="000000"/>
                <w:sz w:val="18"/>
                <w:szCs w:val="18"/>
                <w:lang w:val="ru-RU" w:eastAsia="uk-UA"/>
              </w:rPr>
              <w:t>433967,21</w:t>
            </w:r>
          </w:p>
        </w:tc>
      </w:tr>
      <w:tr w:rsidR="00E021FE" w:rsidRPr="00E95FB1" w:rsidTr="001B3967">
        <w:trPr>
          <w:trHeight w:val="375"/>
        </w:trPr>
        <w:tc>
          <w:tcPr>
            <w:tcW w:w="14580" w:type="dxa"/>
            <w:gridSpan w:val="12"/>
            <w:tcBorders>
              <w:top w:val="single" w:sz="4" w:space="0" w:color="auto"/>
              <w:left w:val="single" w:sz="4" w:space="0" w:color="auto"/>
              <w:bottom w:val="single" w:sz="4" w:space="0" w:color="auto"/>
              <w:right w:val="single" w:sz="4" w:space="0" w:color="auto"/>
            </w:tcBorders>
            <w:shd w:val="clear" w:color="auto" w:fill="auto"/>
            <w:hideMark/>
          </w:tcPr>
          <w:p w:rsidR="00E021FE" w:rsidRPr="00E95FB1" w:rsidRDefault="00E021FE" w:rsidP="000714B4">
            <w:pPr>
              <w:jc w:val="center"/>
              <w:rPr>
                <w:color w:val="000000"/>
                <w:sz w:val="24"/>
                <w:szCs w:val="24"/>
                <w:lang w:eastAsia="uk-UA"/>
              </w:rPr>
            </w:pPr>
            <w:r>
              <w:rPr>
                <w:color w:val="000000"/>
                <w:sz w:val="24"/>
                <w:szCs w:val="24"/>
                <w:lang w:eastAsia="uk-UA"/>
              </w:rPr>
              <w:t>2.5</w:t>
            </w:r>
            <w:r w:rsidRPr="00E95FB1">
              <w:rPr>
                <w:color w:val="000000"/>
                <w:sz w:val="24"/>
                <w:szCs w:val="24"/>
                <w:lang w:eastAsia="uk-UA"/>
              </w:rPr>
              <w:t>. Об’єкти закладів культури</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1</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 xml:space="preserve">Відновлення діяльності Комунального Закладу </w:t>
            </w:r>
            <w:r w:rsidRPr="00E95FB1">
              <w:rPr>
                <w:sz w:val="18"/>
                <w:szCs w:val="18"/>
              </w:rPr>
              <w:t>«Борівська школа мистецтв»</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8 298</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1C0622" w:rsidRDefault="00E021FE" w:rsidP="000714B4">
            <w:pPr>
              <w:ind w:left="-79"/>
              <w:jc w:val="center"/>
              <w:rPr>
                <w:bCs/>
                <w:sz w:val="18"/>
                <w:szCs w:val="18"/>
                <w:lang w:val="ru-RU"/>
              </w:rPr>
            </w:pPr>
            <w:r>
              <w:rPr>
                <w:bCs/>
                <w:sz w:val="18"/>
                <w:szCs w:val="18"/>
                <w:lang w:val="ru-RU"/>
              </w:rPr>
              <w:t>2160,699</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1C0622" w:rsidRDefault="00E021FE" w:rsidP="000714B4">
            <w:pPr>
              <w:ind w:left="-79"/>
              <w:jc w:val="center"/>
              <w:rPr>
                <w:bCs/>
                <w:sz w:val="18"/>
                <w:szCs w:val="18"/>
                <w:lang w:val="ru-RU"/>
              </w:rPr>
            </w:pPr>
            <w:r>
              <w:rPr>
                <w:bCs/>
                <w:sz w:val="18"/>
                <w:szCs w:val="18"/>
                <w:lang w:val="ru-RU"/>
              </w:rPr>
              <w:t>926,014</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0"/>
              <w:jc w:val="center"/>
              <w:rPr>
                <w:bCs/>
                <w:sz w:val="18"/>
                <w:szCs w:val="18"/>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3086,713</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2</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Відновлення діяльності Комунального Закладу «Сєвєродонецька музична школа№1»</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sz w:val="18"/>
                <w:szCs w:val="18"/>
              </w:rPr>
              <w:t>110 000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1C0622" w:rsidRDefault="00E021FE" w:rsidP="000714B4">
            <w:pPr>
              <w:jc w:val="center"/>
              <w:rPr>
                <w:color w:val="000000"/>
                <w:sz w:val="18"/>
                <w:szCs w:val="18"/>
                <w:lang w:val="ru-RU" w:eastAsia="uk-UA"/>
              </w:rPr>
            </w:pPr>
            <w:r>
              <w:rPr>
                <w:sz w:val="18"/>
                <w:szCs w:val="18"/>
                <w:lang w:val="ru-RU"/>
              </w:rPr>
              <w:t>7235,814</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1C0622" w:rsidRDefault="00E021FE" w:rsidP="000714B4">
            <w:pPr>
              <w:ind w:left="-79"/>
              <w:jc w:val="center"/>
              <w:rPr>
                <w:bCs/>
                <w:sz w:val="18"/>
                <w:szCs w:val="18"/>
                <w:lang w:val="ru-RU"/>
              </w:rPr>
            </w:pPr>
            <w:r>
              <w:rPr>
                <w:sz w:val="18"/>
                <w:szCs w:val="18"/>
                <w:lang w:val="ru-RU"/>
              </w:rPr>
              <w:t>3101,063</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0"/>
              <w:jc w:val="center"/>
              <w:rPr>
                <w:bCs/>
                <w:sz w:val="18"/>
                <w:szCs w:val="18"/>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BA07C1">
              <w:rPr>
                <w:sz w:val="18"/>
                <w:szCs w:val="18"/>
              </w:rPr>
              <w:t>10336,877</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3</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Відновлення діяльності Комунального Закладу «Сєвєродонецька міська публічна бібліотека»</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110 000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1C0622" w:rsidRDefault="00E021FE" w:rsidP="000714B4">
            <w:pPr>
              <w:jc w:val="center"/>
              <w:rPr>
                <w:bCs/>
                <w:sz w:val="18"/>
                <w:szCs w:val="18"/>
                <w:lang w:val="ru-RU"/>
              </w:rPr>
            </w:pPr>
            <w:r>
              <w:rPr>
                <w:bCs/>
                <w:sz w:val="18"/>
                <w:szCs w:val="18"/>
                <w:lang w:val="ru-RU"/>
              </w:rPr>
              <w:t>53138,953</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1C0622" w:rsidRDefault="00E021FE" w:rsidP="000714B4">
            <w:pPr>
              <w:ind w:left="-79"/>
              <w:jc w:val="center"/>
              <w:rPr>
                <w:bCs/>
                <w:sz w:val="18"/>
                <w:szCs w:val="18"/>
                <w:lang w:val="ru-RU"/>
              </w:rPr>
            </w:pPr>
            <w:r>
              <w:rPr>
                <w:bCs/>
                <w:sz w:val="18"/>
                <w:szCs w:val="18"/>
                <w:lang w:val="ru-RU"/>
              </w:rPr>
              <w:t>22773,837</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0"/>
              <w:jc w:val="center"/>
              <w:rPr>
                <w:bCs/>
                <w:sz w:val="18"/>
                <w:szCs w:val="18"/>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75912,79</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6"/>
                <w:szCs w:val="16"/>
                <w:lang w:eastAsia="uk-UA"/>
              </w:rPr>
            </w:pPr>
            <w:r w:rsidRPr="00E95FB1">
              <w:rPr>
                <w:color w:val="000000"/>
                <w:sz w:val="16"/>
                <w:szCs w:val="16"/>
                <w:lang w:eastAsia="uk-UA"/>
              </w:rPr>
              <w:t>4</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 xml:space="preserve">Відновлення діяльності Комунального Закладу </w:t>
            </w:r>
            <w:r w:rsidRPr="00E95FB1">
              <w:rPr>
                <w:sz w:val="18"/>
                <w:szCs w:val="18"/>
              </w:rPr>
              <w:lastRenderedPageBreak/>
              <w:t xml:space="preserve">«Сєвєродонецька міська бібліотека для юнацтва ім. Й. Б. </w:t>
            </w:r>
            <w:proofErr w:type="spellStart"/>
            <w:r w:rsidRPr="00E95FB1">
              <w:rPr>
                <w:sz w:val="18"/>
                <w:szCs w:val="18"/>
              </w:rPr>
              <w:t>Курлата</w:t>
            </w:r>
            <w:proofErr w:type="spellEnd"/>
            <w:r w:rsidRPr="00E95FB1">
              <w:rPr>
                <w:sz w:val="18"/>
                <w:szCs w:val="18"/>
              </w:rPr>
              <w:t>»</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lastRenderedPageBreak/>
              <w:t xml:space="preserve">Сєвєродонецька міська </w:t>
            </w:r>
            <w:r w:rsidRPr="00E95FB1">
              <w:rPr>
                <w:bCs/>
                <w:sz w:val="18"/>
                <w:szCs w:val="18"/>
              </w:rPr>
              <w:lastRenderedPageBreak/>
              <w:t>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lastRenderedPageBreak/>
              <w:t>110 000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2869DF" w:rsidRDefault="00E021FE" w:rsidP="000714B4">
            <w:pPr>
              <w:jc w:val="center"/>
              <w:rPr>
                <w:color w:val="000000"/>
                <w:sz w:val="18"/>
                <w:szCs w:val="18"/>
                <w:lang w:val="ru-RU" w:eastAsia="uk-UA"/>
              </w:rPr>
            </w:pPr>
            <w:r>
              <w:rPr>
                <w:bCs/>
                <w:sz w:val="18"/>
                <w:szCs w:val="18"/>
                <w:lang w:val="ru-RU"/>
              </w:rPr>
              <w:t>15175,465</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2869DF" w:rsidRDefault="00E021FE" w:rsidP="000714B4">
            <w:pPr>
              <w:ind w:left="-79"/>
              <w:jc w:val="center"/>
              <w:rPr>
                <w:bCs/>
                <w:sz w:val="18"/>
                <w:szCs w:val="18"/>
                <w:lang w:val="ru-RU"/>
              </w:rPr>
            </w:pPr>
            <w:r>
              <w:rPr>
                <w:bCs/>
                <w:sz w:val="18"/>
                <w:szCs w:val="18"/>
                <w:lang w:val="ru-RU"/>
              </w:rPr>
              <w:t>6503,77</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 xml:space="preserve">Міжнародні інвестиції, </w:t>
            </w:r>
            <w:r w:rsidRPr="00E95FB1">
              <w:rPr>
                <w:bCs/>
                <w:sz w:val="18"/>
                <w:szCs w:val="18"/>
              </w:rPr>
              <w:lastRenderedPageBreak/>
              <w:t>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7A56D6">
              <w:rPr>
                <w:bCs/>
                <w:sz w:val="18"/>
                <w:szCs w:val="18"/>
              </w:rPr>
              <w:lastRenderedPageBreak/>
              <w:t>21679,235</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5</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 xml:space="preserve">Відновлення діяльності Комунального Закладу </w:t>
            </w:r>
            <w:r w:rsidRPr="00E95FB1">
              <w:rPr>
                <w:sz w:val="18"/>
                <w:szCs w:val="18"/>
              </w:rPr>
              <w:t>«Сєвєродонецька міська бібліотека для дітей»</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110 000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2869DF" w:rsidRDefault="00E021FE" w:rsidP="000714B4">
            <w:pPr>
              <w:jc w:val="center"/>
              <w:rPr>
                <w:color w:val="000000"/>
                <w:sz w:val="18"/>
                <w:szCs w:val="18"/>
                <w:lang w:val="ru-RU" w:eastAsia="uk-UA"/>
              </w:rPr>
            </w:pPr>
            <w:r>
              <w:rPr>
                <w:sz w:val="18"/>
                <w:szCs w:val="18"/>
                <w:lang w:val="ru-RU"/>
              </w:rPr>
              <w:t>13380,0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2869DF" w:rsidRDefault="00E021FE" w:rsidP="000714B4">
            <w:pPr>
              <w:jc w:val="center"/>
              <w:rPr>
                <w:color w:val="000000"/>
                <w:sz w:val="18"/>
                <w:szCs w:val="18"/>
                <w:lang w:val="ru-RU" w:eastAsia="uk-UA"/>
              </w:rPr>
            </w:pPr>
            <w:r>
              <w:rPr>
                <w:sz w:val="18"/>
                <w:szCs w:val="18"/>
                <w:lang w:val="ru-RU"/>
              </w:rPr>
              <w:t>5734,285</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D00F14">
              <w:rPr>
                <w:sz w:val="18"/>
                <w:szCs w:val="18"/>
              </w:rPr>
              <w:t>19114,285</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6</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Відновлення діяльності Комунального Закладу «Сєвєродонецька музична школа№2»</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110 000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2869DF" w:rsidRDefault="00E021FE" w:rsidP="000714B4">
            <w:pPr>
              <w:jc w:val="center"/>
              <w:rPr>
                <w:color w:val="000000"/>
                <w:sz w:val="18"/>
                <w:szCs w:val="18"/>
                <w:lang w:val="ru-RU" w:eastAsia="uk-UA"/>
              </w:rPr>
            </w:pPr>
            <w:r>
              <w:rPr>
                <w:sz w:val="18"/>
                <w:szCs w:val="18"/>
                <w:lang w:val="ru-RU"/>
              </w:rPr>
              <w:t>17825,2</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2869DF" w:rsidRDefault="00E021FE" w:rsidP="000714B4">
            <w:pPr>
              <w:jc w:val="center"/>
              <w:rPr>
                <w:color w:val="000000"/>
                <w:sz w:val="18"/>
                <w:szCs w:val="18"/>
                <w:lang w:val="ru-RU" w:eastAsia="uk-UA"/>
              </w:rPr>
            </w:pPr>
            <w:r>
              <w:rPr>
                <w:sz w:val="18"/>
                <w:szCs w:val="18"/>
                <w:lang w:val="ru-RU"/>
              </w:rPr>
              <w:t>7639,371</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Pr>
                <w:sz w:val="18"/>
                <w:szCs w:val="18"/>
              </w:rPr>
              <w:t>25464,571</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7</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0"/>
              <w:jc w:val="center"/>
              <w:rPr>
                <w:bCs/>
                <w:sz w:val="18"/>
                <w:szCs w:val="18"/>
              </w:rPr>
            </w:pPr>
            <w:r w:rsidRPr="00E95FB1">
              <w:rPr>
                <w:bCs/>
                <w:sz w:val="18"/>
                <w:szCs w:val="18"/>
              </w:rPr>
              <w:t>Відновлення діяльності Комунального Закладу «Сєвєродонецька художня школа»</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110 000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2869DF" w:rsidRDefault="00E021FE" w:rsidP="000714B4">
            <w:pPr>
              <w:jc w:val="center"/>
              <w:rPr>
                <w:color w:val="000000"/>
                <w:sz w:val="18"/>
                <w:szCs w:val="18"/>
                <w:lang w:val="ru-RU" w:eastAsia="uk-UA"/>
              </w:rPr>
            </w:pPr>
            <w:r>
              <w:rPr>
                <w:bCs/>
                <w:sz w:val="18"/>
                <w:szCs w:val="18"/>
                <w:lang w:val="ru-RU"/>
              </w:rPr>
              <w:t>3324,147</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4E2B36" w:rsidRDefault="00E021FE" w:rsidP="000714B4">
            <w:pPr>
              <w:jc w:val="center"/>
              <w:rPr>
                <w:sz w:val="18"/>
                <w:szCs w:val="18"/>
                <w:lang w:val="ru-RU"/>
              </w:rPr>
            </w:pPr>
            <w:r>
              <w:rPr>
                <w:sz w:val="18"/>
                <w:szCs w:val="18"/>
                <w:lang w:val="ru-RU"/>
              </w:rPr>
              <w:t>1424,634</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4E2B36" w:rsidRDefault="00E021FE" w:rsidP="000714B4">
            <w:pPr>
              <w:jc w:val="center"/>
              <w:rPr>
                <w:sz w:val="18"/>
                <w:szCs w:val="18"/>
              </w:rPr>
            </w:pPr>
            <w:r>
              <w:rPr>
                <w:sz w:val="18"/>
                <w:szCs w:val="18"/>
              </w:rPr>
              <w:t>4748,781</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8</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lang w:eastAsia="en-US"/>
              </w:rPr>
              <w:t xml:space="preserve">Відновлення діяльності Комунального Закладу </w:t>
            </w:r>
            <w:r w:rsidRPr="00E95FB1">
              <w:rPr>
                <w:sz w:val="18"/>
                <w:szCs w:val="18"/>
                <w:lang w:eastAsia="en-US"/>
              </w:rPr>
              <w:t>«Сєвєродонецька галерея мистецтв»</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110 000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2869DF" w:rsidRDefault="00E021FE" w:rsidP="000714B4">
            <w:pPr>
              <w:jc w:val="center"/>
              <w:rPr>
                <w:color w:val="000000"/>
                <w:sz w:val="18"/>
                <w:szCs w:val="18"/>
                <w:lang w:val="ru-RU" w:eastAsia="uk-UA"/>
              </w:rPr>
            </w:pPr>
            <w:r>
              <w:rPr>
                <w:sz w:val="18"/>
                <w:szCs w:val="18"/>
                <w:lang w:val="ru-RU" w:eastAsia="en-US"/>
              </w:rPr>
              <w:t>1653,777</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2869DF" w:rsidRDefault="00E021FE" w:rsidP="000714B4">
            <w:pPr>
              <w:jc w:val="center"/>
              <w:rPr>
                <w:sz w:val="18"/>
                <w:szCs w:val="18"/>
                <w:lang w:val="ru-RU"/>
              </w:rPr>
            </w:pPr>
            <w:r>
              <w:rPr>
                <w:sz w:val="18"/>
                <w:szCs w:val="18"/>
                <w:lang w:val="ru-RU" w:eastAsia="en-US"/>
              </w:rPr>
              <w:t>708,761</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sz w:val="18"/>
                <w:szCs w:val="18"/>
              </w:rPr>
            </w:pPr>
            <w:r w:rsidRPr="00E95FB1">
              <w:rPr>
                <w:sz w:val="18"/>
                <w:szCs w:val="18"/>
                <w:lang w:eastAsia="en-US"/>
              </w:rPr>
              <w:t>2 362,538</w:t>
            </w:r>
          </w:p>
          <w:p w:rsidR="00E021FE" w:rsidRPr="00E95FB1" w:rsidRDefault="00E021FE" w:rsidP="000714B4">
            <w:pPr>
              <w:jc w:val="center"/>
              <w:rPr>
                <w:color w:val="000000"/>
                <w:sz w:val="18"/>
                <w:szCs w:val="18"/>
                <w:lang w:eastAsia="uk-UA"/>
              </w:rPr>
            </w:pP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9</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 xml:space="preserve">Відновлення діяльності Комунального Закладу </w:t>
            </w:r>
            <w:r w:rsidRPr="00E95FB1">
              <w:rPr>
                <w:sz w:val="18"/>
                <w:szCs w:val="18"/>
              </w:rPr>
              <w:t>«Сєвєродонецький міський Палац культури»</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110 000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Pr>
                <w:color w:val="000000"/>
                <w:sz w:val="18"/>
                <w:szCs w:val="18"/>
                <w:lang w:eastAsia="uk-UA"/>
              </w:rPr>
              <w:t>20952,332</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Pr>
                <w:bCs/>
                <w:sz w:val="18"/>
                <w:szCs w:val="18"/>
              </w:rPr>
              <w:t>8979,571</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Pr>
                <w:bCs/>
                <w:sz w:val="18"/>
                <w:szCs w:val="18"/>
              </w:rPr>
              <w:t>29931,903</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10</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 xml:space="preserve">Відновлення та відбудова будівель Комунального Закладу </w:t>
            </w:r>
            <w:r w:rsidRPr="00E95FB1">
              <w:rPr>
                <w:sz w:val="18"/>
                <w:szCs w:val="18"/>
              </w:rPr>
              <w:t xml:space="preserve">«Борівська школа мистецтв» </w:t>
            </w:r>
            <w:r w:rsidRPr="00E95FB1">
              <w:rPr>
                <w:bCs/>
                <w:sz w:val="18"/>
                <w:szCs w:val="18"/>
              </w:rPr>
              <w:t>Сєвєродонецької міської територіальної громади для задоволення потреб мешканців у отриманні послуг, гарантованих законодавством України</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110 000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sz w:val="18"/>
                <w:szCs w:val="18"/>
                <w:lang w:eastAsia="uk-UA"/>
              </w:rPr>
            </w:pPr>
            <w:r w:rsidRPr="00E95FB1">
              <w:rPr>
                <w:bCs/>
                <w:sz w:val="18"/>
                <w:szCs w:val="18"/>
              </w:rPr>
              <w:t>290000,0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sz w:val="18"/>
                <w:szCs w:val="18"/>
                <w:lang w:eastAsia="uk-UA"/>
              </w:rPr>
            </w:pPr>
            <w:r w:rsidRPr="00E95FB1">
              <w:rPr>
                <w:bCs/>
                <w:sz w:val="18"/>
                <w:szCs w:val="18"/>
              </w:rPr>
              <w:t>3000,0</w:t>
            </w: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sz w:val="18"/>
                <w:szCs w:val="18"/>
                <w:lang w:eastAsia="uk-UA"/>
              </w:rPr>
            </w:pPr>
            <w:r w:rsidRPr="00E95FB1">
              <w:rPr>
                <w:bCs/>
                <w:sz w:val="18"/>
                <w:szCs w:val="18"/>
              </w:rPr>
              <w:t>293000,00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11</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Відновлення та відбудова будівель Комунального Закладу «Сєвєродонецька музична школа№1»Сєвєродонецької міської територіальної громади для задоволення потреб мешканців у отриманні послуг, гарантованих законодавством України</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110 000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280000,0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3000,0</w:t>
            </w: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283000,00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12</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0"/>
              <w:jc w:val="center"/>
              <w:rPr>
                <w:bCs/>
                <w:sz w:val="18"/>
                <w:szCs w:val="18"/>
              </w:rPr>
            </w:pPr>
            <w:r w:rsidRPr="00E95FB1">
              <w:rPr>
                <w:bCs/>
                <w:sz w:val="18"/>
                <w:szCs w:val="18"/>
              </w:rPr>
              <w:t xml:space="preserve">Відновлення та відбудова будівель Комунального Закладу </w:t>
            </w:r>
            <w:r w:rsidRPr="00E95FB1">
              <w:rPr>
                <w:sz w:val="18"/>
                <w:szCs w:val="18"/>
              </w:rPr>
              <w:t xml:space="preserve">«Сєвєродонецька міська публічна бібліотека» з філіями </w:t>
            </w:r>
            <w:r w:rsidRPr="00E95FB1">
              <w:rPr>
                <w:bCs/>
                <w:sz w:val="18"/>
                <w:szCs w:val="18"/>
              </w:rPr>
              <w:lastRenderedPageBreak/>
              <w:t>Сєвєродонецької міської територіальної громади для задоволення потреб мешканців у отриманні послуг, гарантованих законодавством України</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lastRenderedPageBreak/>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110 000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0"/>
              <w:jc w:val="center"/>
              <w:rPr>
                <w:bCs/>
                <w:sz w:val="18"/>
                <w:szCs w:val="18"/>
              </w:rPr>
            </w:pPr>
            <w:r w:rsidRPr="00E95FB1">
              <w:rPr>
                <w:bCs/>
                <w:sz w:val="18"/>
                <w:szCs w:val="18"/>
              </w:rPr>
              <w:t>101000,0</w:t>
            </w:r>
          </w:p>
          <w:p w:rsidR="00E021FE" w:rsidRPr="00E95FB1" w:rsidRDefault="00E021FE" w:rsidP="000714B4">
            <w:pPr>
              <w:jc w:val="center"/>
              <w:rPr>
                <w:color w:val="000000"/>
                <w:sz w:val="18"/>
                <w:szCs w:val="18"/>
                <w:lang w:eastAsia="uk-UA"/>
              </w:rPr>
            </w:pP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5000,0</w:t>
            </w: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106000,00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13</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 xml:space="preserve">Відновлення та відбудова будівель Комунального Закладу </w:t>
            </w:r>
            <w:r w:rsidRPr="00E95FB1">
              <w:rPr>
                <w:sz w:val="18"/>
                <w:szCs w:val="18"/>
              </w:rPr>
              <w:t xml:space="preserve">«Сєвєродонецька міська бібліотека для юнацтва ім. Й. Б. </w:t>
            </w:r>
            <w:proofErr w:type="spellStart"/>
            <w:r w:rsidRPr="00E95FB1">
              <w:rPr>
                <w:sz w:val="18"/>
                <w:szCs w:val="18"/>
              </w:rPr>
              <w:t>Курлата</w:t>
            </w:r>
            <w:proofErr w:type="spellEnd"/>
            <w:r w:rsidRPr="00E95FB1">
              <w:rPr>
                <w:sz w:val="18"/>
                <w:szCs w:val="18"/>
              </w:rPr>
              <w:t xml:space="preserve">» </w:t>
            </w:r>
            <w:r w:rsidRPr="00E95FB1">
              <w:rPr>
                <w:bCs/>
                <w:sz w:val="18"/>
                <w:szCs w:val="18"/>
              </w:rPr>
              <w:t>Сєвєродонецької міської територіальної громади для задоволення потреб мешканців у отриманні послуг, гарантованих законодавством України</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110 000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0"/>
              <w:jc w:val="center"/>
              <w:rPr>
                <w:bCs/>
                <w:sz w:val="18"/>
                <w:szCs w:val="18"/>
              </w:rPr>
            </w:pPr>
            <w:r w:rsidRPr="00E95FB1">
              <w:rPr>
                <w:bCs/>
                <w:sz w:val="18"/>
                <w:szCs w:val="18"/>
              </w:rPr>
              <w:t>25 000,0</w:t>
            </w:r>
          </w:p>
          <w:p w:rsidR="00E021FE" w:rsidRPr="00E95FB1" w:rsidRDefault="00E021FE" w:rsidP="000714B4">
            <w:pPr>
              <w:jc w:val="center"/>
              <w:rPr>
                <w:color w:val="000000"/>
                <w:sz w:val="18"/>
                <w:szCs w:val="18"/>
                <w:lang w:eastAsia="uk-UA"/>
              </w:rPr>
            </w:pP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1000,00</w:t>
            </w: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sz w:val="18"/>
                <w:szCs w:val="18"/>
              </w:rPr>
              <w:t>26000,00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14</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 xml:space="preserve">Відновлення та відбудова будівель Комунального Закладу </w:t>
            </w:r>
            <w:r w:rsidRPr="00E95FB1">
              <w:rPr>
                <w:sz w:val="18"/>
                <w:szCs w:val="18"/>
              </w:rPr>
              <w:t>«Сєвєродонецька міська бібліотека для дітей» (</w:t>
            </w:r>
            <w:r w:rsidRPr="00E95FB1">
              <w:rPr>
                <w:color w:val="000000"/>
                <w:sz w:val="18"/>
                <w:szCs w:val="18"/>
              </w:rPr>
              <w:t xml:space="preserve">вул. </w:t>
            </w:r>
            <w:proofErr w:type="spellStart"/>
            <w:r w:rsidRPr="00E95FB1">
              <w:rPr>
                <w:color w:val="000000"/>
                <w:sz w:val="18"/>
                <w:szCs w:val="18"/>
              </w:rPr>
              <w:t>Вілєсова</w:t>
            </w:r>
            <w:proofErr w:type="spellEnd"/>
            <w:r w:rsidRPr="00E95FB1">
              <w:rPr>
                <w:color w:val="000000"/>
                <w:sz w:val="18"/>
                <w:szCs w:val="18"/>
              </w:rPr>
              <w:t xml:space="preserve">, буд. 6) </w:t>
            </w:r>
            <w:r w:rsidRPr="00E95FB1">
              <w:rPr>
                <w:sz w:val="18"/>
                <w:szCs w:val="18"/>
              </w:rPr>
              <w:t xml:space="preserve">з філією в селище </w:t>
            </w:r>
            <w:proofErr w:type="spellStart"/>
            <w:r w:rsidRPr="00E95FB1">
              <w:rPr>
                <w:sz w:val="18"/>
                <w:szCs w:val="18"/>
              </w:rPr>
              <w:t>Сиротіне</w:t>
            </w:r>
            <w:proofErr w:type="spellEnd"/>
            <w:r w:rsidRPr="00E95FB1">
              <w:rPr>
                <w:sz w:val="18"/>
                <w:szCs w:val="18"/>
              </w:rPr>
              <w:t xml:space="preserve">  (</w:t>
            </w:r>
            <w:r w:rsidRPr="00E95FB1">
              <w:rPr>
                <w:color w:val="000000"/>
                <w:sz w:val="18"/>
                <w:szCs w:val="18"/>
              </w:rPr>
              <w:t xml:space="preserve">вул. Шкільна, буд. 32) </w:t>
            </w:r>
            <w:r w:rsidRPr="00E95FB1">
              <w:rPr>
                <w:bCs/>
                <w:sz w:val="18"/>
                <w:szCs w:val="18"/>
              </w:rPr>
              <w:t>Сєвєродонецької міської територіальної громади для задоволення потреб мешканців у отриманні послуг, гарантованих законодавством України</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110 000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0"/>
              <w:jc w:val="center"/>
              <w:rPr>
                <w:bCs/>
                <w:sz w:val="18"/>
                <w:szCs w:val="18"/>
              </w:rPr>
            </w:pPr>
            <w:r w:rsidRPr="00E95FB1">
              <w:rPr>
                <w:bCs/>
                <w:sz w:val="18"/>
                <w:szCs w:val="18"/>
              </w:rPr>
              <w:t>190000,0</w:t>
            </w:r>
          </w:p>
          <w:p w:rsidR="00E021FE" w:rsidRPr="00E95FB1" w:rsidRDefault="00E021FE" w:rsidP="000714B4">
            <w:pPr>
              <w:jc w:val="center"/>
              <w:rPr>
                <w:color w:val="000000"/>
                <w:sz w:val="18"/>
                <w:szCs w:val="18"/>
                <w:lang w:eastAsia="uk-UA"/>
              </w:rPr>
            </w:pP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0"/>
              <w:jc w:val="center"/>
              <w:rPr>
                <w:bCs/>
                <w:sz w:val="18"/>
                <w:szCs w:val="18"/>
              </w:rPr>
            </w:pPr>
            <w:r w:rsidRPr="00E95FB1">
              <w:rPr>
                <w:bCs/>
                <w:sz w:val="18"/>
                <w:szCs w:val="18"/>
              </w:rPr>
              <w:t>2500,00</w:t>
            </w:r>
          </w:p>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192 500,00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15</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Відновлення та відбудова будівель Комунального Закладу «Сєвєродонецька музична школа№2»Сєвєродонецької міської територіальної громади для задоволення потреб мешканців у отриманні послуг, гарантованих законодавством України</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110 000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180000,0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1500,00</w:t>
            </w: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181500,0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16</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Відновлення та відбудова будівель Комунального Закладу «Сєвєродонецька художня школа» Сєвєродонецької міської територіальної громади для задоволення потреб мешканців у отриманні послуг, гарантованих законодавством України</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110 000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100000,0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1500,00</w:t>
            </w: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101500,00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17</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 xml:space="preserve">Відновлення та відбудова будівель Комунального Закладу </w:t>
            </w:r>
            <w:r w:rsidRPr="00E95FB1">
              <w:rPr>
                <w:sz w:val="18"/>
                <w:szCs w:val="18"/>
              </w:rPr>
              <w:lastRenderedPageBreak/>
              <w:t>«Сєвєродонецька галерея мистецтв»</w:t>
            </w:r>
            <w:r w:rsidR="004644E8">
              <w:rPr>
                <w:sz w:val="18"/>
                <w:szCs w:val="18"/>
              </w:rPr>
              <w:t>,</w:t>
            </w:r>
            <w:r w:rsidRPr="00E95FB1">
              <w:rPr>
                <w:sz w:val="18"/>
                <w:szCs w:val="18"/>
              </w:rPr>
              <w:t xml:space="preserve"> </w:t>
            </w:r>
            <w:r w:rsidRPr="00E95FB1">
              <w:rPr>
                <w:color w:val="000000"/>
                <w:sz w:val="18"/>
                <w:szCs w:val="18"/>
              </w:rPr>
              <w:t xml:space="preserve">вул. Курчатова, буд. 17/275 з філією селище </w:t>
            </w:r>
            <w:proofErr w:type="spellStart"/>
            <w:r w:rsidRPr="00E95FB1">
              <w:rPr>
                <w:color w:val="000000"/>
                <w:sz w:val="18"/>
                <w:szCs w:val="18"/>
              </w:rPr>
              <w:t>Смолянинове</w:t>
            </w:r>
            <w:proofErr w:type="spellEnd"/>
            <w:r w:rsidR="004644E8">
              <w:rPr>
                <w:color w:val="000000"/>
                <w:sz w:val="18"/>
                <w:szCs w:val="18"/>
              </w:rPr>
              <w:t>,</w:t>
            </w:r>
            <w:r w:rsidRPr="00E95FB1">
              <w:rPr>
                <w:color w:val="000000"/>
                <w:sz w:val="18"/>
                <w:szCs w:val="18"/>
              </w:rPr>
              <w:t xml:space="preserve">  вул. Миру </w:t>
            </w:r>
            <w:r w:rsidRPr="00E95FB1">
              <w:rPr>
                <w:bCs/>
                <w:sz w:val="18"/>
                <w:szCs w:val="18"/>
              </w:rPr>
              <w:t>Сєвєродонецької міської територіальної громади для задоволення потреб мешканців у отриманні послуг, гарантованих законодавством України</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lastRenderedPageBreak/>
              <w:t xml:space="preserve">Сєвєродонецька міська </w:t>
            </w:r>
            <w:r w:rsidRPr="00E95FB1">
              <w:rPr>
                <w:bCs/>
                <w:sz w:val="18"/>
                <w:szCs w:val="18"/>
              </w:rPr>
              <w:lastRenderedPageBreak/>
              <w:t>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lastRenderedPageBreak/>
              <w:t>110 000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742557" w:rsidRDefault="00E021FE" w:rsidP="00742557">
            <w:pPr>
              <w:pStyle w:val="a7"/>
              <w:ind w:left="0"/>
              <w:jc w:val="center"/>
              <w:rPr>
                <w:bCs/>
                <w:sz w:val="18"/>
                <w:szCs w:val="18"/>
                <w:lang w:val="ru-RU"/>
              </w:rPr>
            </w:pPr>
            <w:r w:rsidRPr="00E95FB1">
              <w:rPr>
                <w:bCs/>
                <w:sz w:val="18"/>
                <w:szCs w:val="18"/>
              </w:rPr>
              <w:t>236 000,0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3000,00</w:t>
            </w: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0"/>
              <w:jc w:val="center"/>
              <w:rPr>
                <w:bCs/>
                <w:sz w:val="18"/>
                <w:szCs w:val="18"/>
              </w:rPr>
            </w:pPr>
            <w:r w:rsidRPr="00E95FB1">
              <w:rPr>
                <w:bCs/>
                <w:sz w:val="18"/>
                <w:szCs w:val="18"/>
              </w:rPr>
              <w:t>239 000,0</w:t>
            </w:r>
          </w:p>
          <w:p w:rsidR="00E021FE" w:rsidRPr="00E95FB1" w:rsidRDefault="00E021FE" w:rsidP="000714B4">
            <w:pPr>
              <w:jc w:val="center"/>
              <w:rPr>
                <w:color w:val="000000"/>
                <w:sz w:val="18"/>
                <w:szCs w:val="18"/>
                <w:lang w:eastAsia="uk-UA"/>
              </w:rPr>
            </w:pP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18</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0"/>
              <w:jc w:val="center"/>
              <w:rPr>
                <w:color w:val="000000"/>
                <w:sz w:val="18"/>
                <w:szCs w:val="18"/>
              </w:rPr>
            </w:pPr>
            <w:r w:rsidRPr="00E95FB1">
              <w:rPr>
                <w:bCs/>
                <w:sz w:val="18"/>
                <w:szCs w:val="18"/>
              </w:rPr>
              <w:t xml:space="preserve">Відновлення та відбудова будівель Комунального Закладу </w:t>
            </w:r>
            <w:r w:rsidRPr="00E95FB1">
              <w:rPr>
                <w:sz w:val="18"/>
                <w:szCs w:val="18"/>
              </w:rPr>
              <w:t xml:space="preserve">«Сєвєродонецький міський Палац культури» </w:t>
            </w:r>
            <w:r w:rsidRPr="00E95FB1">
              <w:rPr>
                <w:color w:val="000000"/>
                <w:sz w:val="18"/>
                <w:szCs w:val="18"/>
              </w:rPr>
              <w:t>з філіями</w:t>
            </w:r>
          </w:p>
          <w:p w:rsidR="00E021FE" w:rsidRPr="00E95FB1" w:rsidRDefault="00E021FE" w:rsidP="000714B4">
            <w:pPr>
              <w:jc w:val="center"/>
              <w:rPr>
                <w:color w:val="000000"/>
                <w:sz w:val="18"/>
                <w:szCs w:val="18"/>
                <w:lang w:eastAsia="uk-UA"/>
              </w:rPr>
            </w:pPr>
            <w:r w:rsidRPr="00E95FB1">
              <w:rPr>
                <w:bCs/>
                <w:sz w:val="18"/>
                <w:szCs w:val="18"/>
              </w:rPr>
              <w:t>Сєвєродонецької міської територіальної громади для задоволення потреб мешканців у отриманні послуг, гарантованих законодавством України</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110 000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0"/>
              <w:jc w:val="center"/>
              <w:rPr>
                <w:bCs/>
                <w:sz w:val="18"/>
                <w:szCs w:val="18"/>
              </w:rPr>
            </w:pPr>
            <w:r w:rsidRPr="00E95FB1">
              <w:rPr>
                <w:bCs/>
                <w:sz w:val="18"/>
                <w:szCs w:val="18"/>
              </w:rPr>
              <w:t>825 000,0</w:t>
            </w:r>
          </w:p>
          <w:p w:rsidR="00E021FE" w:rsidRPr="00E95FB1" w:rsidRDefault="00E021FE" w:rsidP="000714B4">
            <w:pPr>
              <w:jc w:val="center"/>
              <w:rPr>
                <w:color w:val="000000"/>
                <w:sz w:val="18"/>
                <w:szCs w:val="18"/>
                <w:lang w:eastAsia="uk-UA"/>
              </w:rPr>
            </w:pP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0"/>
              <w:jc w:val="center"/>
              <w:rPr>
                <w:bCs/>
                <w:sz w:val="18"/>
                <w:szCs w:val="18"/>
              </w:rPr>
            </w:pPr>
            <w:r w:rsidRPr="00E95FB1">
              <w:rPr>
                <w:bCs/>
                <w:sz w:val="18"/>
                <w:szCs w:val="18"/>
              </w:rPr>
              <w:t>10500,00</w:t>
            </w: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835 500,00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19</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Відновлення та відбудова будівель Відділу культури Сєвєродонецької міської військової адміністрації</w:t>
            </w:r>
            <w:r w:rsidRPr="00E95FB1">
              <w:rPr>
                <w:sz w:val="18"/>
                <w:szCs w:val="18"/>
              </w:rPr>
              <w:t xml:space="preserve"> </w:t>
            </w:r>
            <w:r w:rsidRPr="00E95FB1">
              <w:rPr>
                <w:bCs/>
                <w:sz w:val="18"/>
                <w:szCs w:val="18"/>
              </w:rPr>
              <w:t>Сєвєродонецької міської територіальної громади для задоволення потреб мешканців у отриманні послуг, гарантованих законодавством України</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110 000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10000,0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50</w:t>
            </w:r>
            <w:r>
              <w:rPr>
                <w:bCs/>
                <w:sz w:val="18"/>
                <w:szCs w:val="18"/>
                <w:lang w:val="ru-RU"/>
              </w:rPr>
              <w:t>0</w:t>
            </w:r>
            <w:r w:rsidRPr="00E95FB1">
              <w:rPr>
                <w:bCs/>
                <w:sz w:val="18"/>
                <w:szCs w:val="18"/>
              </w:rPr>
              <w:t>0,0</w:t>
            </w: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15000,00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20</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sz w:val="18"/>
                <w:szCs w:val="18"/>
              </w:rPr>
              <w:t>Створення та відбудова будівель Музею ПАМ`ЯТІ під відкритим небом (вулиця Партизанська та прилеглий район з повністю зруйнованими будівлями) Сєвєродонецької міської територіальної громади для задоволення потреб мешканців у отриманні послуг, гарантованих законодавством України</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110 000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2000,0</w:t>
            </w: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0"/>
              <w:jc w:val="center"/>
              <w:rPr>
                <w:bCs/>
                <w:sz w:val="18"/>
                <w:szCs w:val="18"/>
              </w:rPr>
            </w:pPr>
            <w:r w:rsidRPr="00E95FB1">
              <w:rPr>
                <w:bCs/>
                <w:sz w:val="18"/>
                <w:szCs w:val="18"/>
              </w:rPr>
              <w:t>380000,0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382000,00</w:t>
            </w:r>
          </w:p>
        </w:tc>
      </w:tr>
      <w:tr w:rsidR="00E021FE" w:rsidRPr="00E95FB1" w:rsidTr="007E13A2">
        <w:trPr>
          <w:trHeight w:val="300"/>
        </w:trPr>
        <w:tc>
          <w:tcPr>
            <w:tcW w:w="35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Всього напрямом</w:t>
            </w:r>
          </w:p>
        </w:tc>
        <w:tc>
          <w:tcPr>
            <w:tcW w:w="1736"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х</w:t>
            </w:r>
          </w:p>
        </w:tc>
        <w:tc>
          <w:tcPr>
            <w:tcW w:w="1252"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х</w:t>
            </w:r>
          </w:p>
        </w:tc>
        <w:tc>
          <w:tcPr>
            <w:tcW w:w="1035"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х</w:t>
            </w:r>
          </w:p>
        </w:tc>
        <w:tc>
          <w:tcPr>
            <w:tcW w:w="1104"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х</w:t>
            </w:r>
          </w:p>
        </w:tc>
        <w:tc>
          <w:tcPr>
            <w:tcW w:w="1134"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color w:val="000000"/>
                <w:sz w:val="18"/>
                <w:szCs w:val="18"/>
                <w:lang w:eastAsia="uk-UA"/>
              </w:rPr>
            </w:pPr>
            <w:r w:rsidRPr="007E13A2">
              <w:rPr>
                <w:b/>
                <w:color w:val="000000"/>
                <w:sz w:val="18"/>
                <w:szCs w:val="18"/>
                <w:lang w:val="ru-RU" w:eastAsia="uk-UA"/>
              </w:rPr>
              <w:t>2371846,39</w:t>
            </w:r>
          </w:p>
        </w:tc>
        <w:tc>
          <w:tcPr>
            <w:tcW w:w="992"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color w:val="000000"/>
                <w:sz w:val="18"/>
                <w:szCs w:val="18"/>
                <w:lang w:eastAsia="uk-UA"/>
              </w:rPr>
            </w:pPr>
            <w:r w:rsidRPr="007E13A2">
              <w:rPr>
                <w:b/>
                <w:color w:val="000000"/>
                <w:sz w:val="18"/>
                <w:szCs w:val="18"/>
                <w:lang w:val="ru-RU" w:eastAsia="uk-UA"/>
              </w:rPr>
              <w:t>38000,0</w:t>
            </w:r>
          </w:p>
        </w:tc>
        <w:tc>
          <w:tcPr>
            <w:tcW w:w="1128"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color w:val="000000"/>
                <w:sz w:val="18"/>
                <w:szCs w:val="18"/>
                <w:lang w:val="ru-RU" w:eastAsia="uk-UA"/>
              </w:rPr>
            </w:pPr>
            <w:r w:rsidRPr="007E13A2">
              <w:rPr>
                <w:b/>
                <w:color w:val="000000"/>
                <w:sz w:val="18"/>
                <w:szCs w:val="18"/>
                <w:lang w:val="ru-RU" w:eastAsia="uk-UA"/>
              </w:rPr>
              <w:t>437791,31</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color w:val="000000"/>
                <w:sz w:val="18"/>
                <w:szCs w:val="18"/>
                <w:lang w:eastAsia="uk-UA"/>
              </w:rPr>
            </w:pPr>
            <w:r w:rsidRPr="007E13A2">
              <w:rPr>
                <w:b/>
                <w:bCs/>
                <w:color w:val="000000"/>
                <w:sz w:val="18"/>
                <w:szCs w:val="18"/>
                <w:lang w:eastAsia="uk-UA"/>
              </w:rPr>
              <w:t>х</w:t>
            </w:r>
          </w:p>
        </w:tc>
        <w:tc>
          <w:tcPr>
            <w:tcW w:w="1164"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color w:val="000000"/>
                <w:sz w:val="18"/>
                <w:szCs w:val="18"/>
                <w:lang w:val="ru-RU" w:eastAsia="uk-UA"/>
              </w:rPr>
            </w:pPr>
            <w:r w:rsidRPr="007E13A2">
              <w:rPr>
                <w:b/>
                <w:color w:val="000000"/>
                <w:sz w:val="18"/>
                <w:szCs w:val="18"/>
                <w:lang w:val="ru-RU" w:eastAsia="uk-UA"/>
              </w:rPr>
              <w:t>2847637,69</w:t>
            </w:r>
          </w:p>
        </w:tc>
      </w:tr>
      <w:tr w:rsidR="00E021FE" w:rsidRPr="00E95FB1" w:rsidTr="001B3967">
        <w:trPr>
          <w:trHeight w:val="375"/>
        </w:trPr>
        <w:tc>
          <w:tcPr>
            <w:tcW w:w="14580"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E021FE" w:rsidRPr="00E95FB1" w:rsidRDefault="00E021FE" w:rsidP="000714B4">
            <w:pPr>
              <w:jc w:val="center"/>
              <w:rPr>
                <w:color w:val="000000"/>
                <w:sz w:val="24"/>
                <w:szCs w:val="24"/>
                <w:lang w:eastAsia="uk-UA"/>
              </w:rPr>
            </w:pPr>
            <w:r w:rsidRPr="00E95FB1">
              <w:rPr>
                <w:color w:val="000000"/>
                <w:sz w:val="24"/>
                <w:szCs w:val="24"/>
                <w:lang w:eastAsia="uk-UA"/>
              </w:rPr>
              <w:t>2.</w:t>
            </w:r>
            <w:r>
              <w:rPr>
                <w:color w:val="000000"/>
                <w:sz w:val="24"/>
                <w:szCs w:val="24"/>
                <w:lang w:eastAsia="uk-UA"/>
              </w:rPr>
              <w:t>6</w:t>
            </w:r>
            <w:r w:rsidRPr="00E95FB1">
              <w:rPr>
                <w:color w:val="000000"/>
                <w:sz w:val="24"/>
                <w:szCs w:val="24"/>
                <w:lang w:eastAsia="uk-UA"/>
              </w:rPr>
              <w:t>. Об’єкти закладів фізичної культури та спорту</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1</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bCs/>
                <w:color w:val="000000"/>
                <w:sz w:val="18"/>
                <w:szCs w:val="18"/>
              </w:rPr>
              <w:t xml:space="preserve">Капітальний ремонт  КДЮСШ1 міста Сєвєродонецьк Луганської </w:t>
            </w:r>
            <w:r w:rsidRPr="00E95FB1">
              <w:rPr>
                <w:rFonts w:eastAsia="Calibri"/>
                <w:bCs/>
                <w:color w:val="000000"/>
                <w:sz w:val="18"/>
                <w:szCs w:val="18"/>
              </w:rPr>
              <w:lastRenderedPageBreak/>
              <w:t xml:space="preserve">області за </w:t>
            </w:r>
            <w:proofErr w:type="spellStart"/>
            <w:r w:rsidRPr="00E95FB1">
              <w:rPr>
                <w:rFonts w:eastAsia="Calibri"/>
                <w:bCs/>
                <w:color w:val="000000"/>
                <w:sz w:val="18"/>
                <w:szCs w:val="18"/>
              </w:rPr>
              <w:t>адресою</w:t>
            </w:r>
            <w:proofErr w:type="spellEnd"/>
            <w:r w:rsidRPr="00E95FB1">
              <w:rPr>
                <w:rFonts w:eastAsia="Calibri"/>
                <w:bCs/>
                <w:color w:val="000000"/>
                <w:sz w:val="18"/>
                <w:szCs w:val="18"/>
              </w:rPr>
              <w:t>: вул. Федоренка, 33.</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lastRenderedPageBreak/>
              <w:t xml:space="preserve">Сєвєродонецька міська </w:t>
            </w:r>
            <w:r w:rsidRPr="00E95FB1">
              <w:rPr>
                <w:bCs/>
                <w:sz w:val="18"/>
                <w:szCs w:val="18"/>
              </w:rPr>
              <w:lastRenderedPageBreak/>
              <w:t>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lastRenderedPageBreak/>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50 000,0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50 000,0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2</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Arial"/>
                <w:bCs/>
                <w:sz w:val="18"/>
                <w:szCs w:val="18"/>
              </w:rPr>
              <w:t>Капітальний ремонт тенісних кортів КДЮСШ</w:t>
            </w:r>
            <w:r w:rsidRPr="00E95FB1">
              <w:rPr>
                <w:bCs/>
                <w:sz w:val="18"/>
                <w:szCs w:val="18"/>
                <w:lang w:eastAsia="it-IT"/>
              </w:rPr>
              <w:t>1</w:t>
            </w:r>
            <w:r w:rsidRPr="00E95FB1">
              <w:rPr>
                <w:sz w:val="18"/>
                <w:szCs w:val="18"/>
                <w:lang w:eastAsia="it-IT"/>
              </w:rPr>
              <w:t xml:space="preserve"> </w:t>
            </w:r>
            <w:r w:rsidRPr="00E95FB1">
              <w:rPr>
                <w:rFonts w:eastAsia="Calibri"/>
                <w:bCs/>
                <w:color w:val="000000"/>
                <w:sz w:val="18"/>
                <w:szCs w:val="18"/>
              </w:rPr>
              <w:t xml:space="preserve"> міста Сєвєродонецьк Луганської області</w:t>
            </w:r>
            <w:r w:rsidRPr="00E95FB1">
              <w:rPr>
                <w:rFonts w:eastAsia="Arial"/>
                <w:bCs/>
                <w:sz w:val="18"/>
                <w:szCs w:val="18"/>
              </w:rPr>
              <w:t xml:space="preserve"> за </w:t>
            </w:r>
            <w:proofErr w:type="spellStart"/>
            <w:r w:rsidRPr="00E95FB1">
              <w:rPr>
                <w:rFonts w:eastAsia="Arial"/>
                <w:bCs/>
                <w:sz w:val="18"/>
                <w:szCs w:val="18"/>
              </w:rPr>
              <w:t>адресою</w:t>
            </w:r>
            <w:proofErr w:type="spellEnd"/>
            <w:r w:rsidRPr="00E95FB1">
              <w:rPr>
                <w:rFonts w:eastAsia="Arial"/>
                <w:bCs/>
                <w:sz w:val="18"/>
                <w:szCs w:val="18"/>
              </w:rPr>
              <w:t>: вул. Федоренка, 33а</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45 000,0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45 000,0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3</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bCs/>
                <w:color w:val="000000"/>
                <w:sz w:val="18"/>
                <w:szCs w:val="18"/>
              </w:rPr>
              <w:t xml:space="preserve">Капітальний ремонт  КДЮСШ 1 міста Сєвєродонецьк Луганської області за </w:t>
            </w:r>
            <w:proofErr w:type="spellStart"/>
            <w:r w:rsidRPr="00E95FB1">
              <w:rPr>
                <w:rFonts w:eastAsia="Calibri"/>
                <w:bCs/>
                <w:color w:val="000000"/>
                <w:sz w:val="18"/>
                <w:szCs w:val="18"/>
              </w:rPr>
              <w:t>адресою</w:t>
            </w:r>
            <w:proofErr w:type="spellEnd"/>
            <w:r w:rsidRPr="00E95FB1">
              <w:rPr>
                <w:rFonts w:eastAsia="Calibri"/>
                <w:bCs/>
                <w:color w:val="000000"/>
                <w:sz w:val="18"/>
                <w:szCs w:val="18"/>
              </w:rPr>
              <w:t>: вул. </w:t>
            </w:r>
            <w:proofErr w:type="spellStart"/>
            <w:r w:rsidRPr="00E95FB1">
              <w:rPr>
                <w:rFonts w:eastAsia="Calibri"/>
                <w:bCs/>
                <w:color w:val="000000"/>
                <w:sz w:val="18"/>
                <w:szCs w:val="18"/>
              </w:rPr>
              <w:t>Вілєсова</w:t>
            </w:r>
            <w:proofErr w:type="spellEnd"/>
            <w:r w:rsidRPr="00E95FB1">
              <w:rPr>
                <w:rFonts w:eastAsia="Calibri"/>
                <w:bCs/>
                <w:color w:val="000000"/>
                <w:sz w:val="18"/>
                <w:szCs w:val="18"/>
              </w:rPr>
              <w:t>, 4а.</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35 000,0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35 000,0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4</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bCs/>
                <w:color w:val="000000"/>
                <w:sz w:val="18"/>
                <w:szCs w:val="18"/>
              </w:rPr>
              <w:t xml:space="preserve">Капітальний ремонт будівлі КДЮСШ 1 міста Сєвєродонецьк Луганської області за </w:t>
            </w:r>
            <w:proofErr w:type="spellStart"/>
            <w:r w:rsidRPr="00E95FB1">
              <w:rPr>
                <w:rFonts w:eastAsia="Calibri"/>
                <w:bCs/>
                <w:color w:val="000000"/>
                <w:sz w:val="18"/>
                <w:szCs w:val="18"/>
              </w:rPr>
              <w:t>адресою</w:t>
            </w:r>
            <w:proofErr w:type="spellEnd"/>
            <w:r w:rsidRPr="00E95FB1">
              <w:rPr>
                <w:rFonts w:eastAsia="Calibri"/>
                <w:bCs/>
                <w:color w:val="000000"/>
                <w:sz w:val="18"/>
                <w:szCs w:val="18"/>
              </w:rPr>
              <w:t>: вул. Богдана Ліщини, 21а.</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15 000,0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15 000,0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5</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sz w:val="18"/>
                <w:szCs w:val="18"/>
                <w:lang w:eastAsia="it-IT"/>
              </w:rPr>
              <w:t>Будівництво стадіону з комплексом спортивних майданчиків, розташованих в кварталі 49 а міста Сєвєродонецька</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sz w:val="18"/>
                <w:szCs w:val="18"/>
                <w:lang w:eastAsia="it-IT"/>
              </w:rPr>
              <w:t>55000,0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sz w:val="18"/>
                <w:szCs w:val="18"/>
                <w:lang w:eastAsia="it-IT"/>
              </w:rPr>
              <w:t>55000,0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6</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Реконструкція  «Будинку Фізкультури» КДЮСШ 2 міста Сєвєродонецьк Луганської області</w:t>
            </w:r>
            <w:r w:rsidRPr="00E95FB1">
              <w:rPr>
                <w:sz w:val="18"/>
                <w:szCs w:val="18"/>
              </w:rPr>
              <w:t xml:space="preserve"> </w:t>
            </w:r>
            <w:r w:rsidRPr="00E95FB1">
              <w:rPr>
                <w:rFonts w:eastAsia="Calibri"/>
                <w:color w:val="000000"/>
                <w:sz w:val="18"/>
                <w:szCs w:val="18"/>
              </w:rPr>
              <w:t xml:space="preserve">за </w:t>
            </w:r>
            <w:proofErr w:type="spellStart"/>
            <w:r w:rsidRPr="00E95FB1">
              <w:rPr>
                <w:rFonts w:eastAsia="Calibri"/>
                <w:color w:val="000000"/>
                <w:sz w:val="18"/>
                <w:szCs w:val="18"/>
              </w:rPr>
              <w:t>адресою</w:t>
            </w:r>
            <w:proofErr w:type="spellEnd"/>
            <w:r w:rsidRPr="00E95FB1">
              <w:rPr>
                <w:rFonts w:eastAsia="Calibri"/>
                <w:color w:val="000000"/>
                <w:sz w:val="18"/>
                <w:szCs w:val="18"/>
              </w:rPr>
              <w:t xml:space="preserve">: вул. </w:t>
            </w:r>
            <w:proofErr w:type="spellStart"/>
            <w:r w:rsidRPr="00E95FB1">
              <w:rPr>
                <w:rFonts w:eastAsia="Calibri"/>
                <w:color w:val="000000"/>
                <w:sz w:val="18"/>
                <w:szCs w:val="18"/>
              </w:rPr>
              <w:t>Сметаніна</w:t>
            </w:r>
            <w:proofErr w:type="spellEnd"/>
            <w:r w:rsidRPr="00E95FB1">
              <w:rPr>
                <w:rFonts w:eastAsia="Calibri"/>
                <w:color w:val="000000"/>
                <w:sz w:val="18"/>
                <w:szCs w:val="18"/>
              </w:rPr>
              <w:t>, 5А.</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150 000,0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150 000,0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7</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Реконструкція стадіону «Хімік» КДЮСШ 2 міста Сєвєродонецьк Луганської області</w:t>
            </w:r>
            <w:r w:rsidRPr="00E95FB1">
              <w:rPr>
                <w:sz w:val="18"/>
                <w:szCs w:val="18"/>
              </w:rPr>
              <w:t xml:space="preserve"> </w:t>
            </w:r>
            <w:r w:rsidRPr="00E95FB1">
              <w:rPr>
                <w:rFonts w:eastAsia="Calibri"/>
                <w:color w:val="000000"/>
                <w:sz w:val="18"/>
                <w:szCs w:val="18"/>
              </w:rPr>
              <w:t xml:space="preserve">розташованої за </w:t>
            </w:r>
            <w:proofErr w:type="spellStart"/>
            <w:r w:rsidRPr="00E95FB1">
              <w:rPr>
                <w:rFonts w:eastAsia="Calibri"/>
                <w:color w:val="000000"/>
                <w:sz w:val="18"/>
                <w:szCs w:val="18"/>
              </w:rPr>
              <w:t>адресою</w:t>
            </w:r>
            <w:proofErr w:type="spellEnd"/>
            <w:r w:rsidRPr="00E95FB1">
              <w:rPr>
                <w:rFonts w:eastAsia="Calibri"/>
                <w:color w:val="000000"/>
                <w:sz w:val="18"/>
                <w:szCs w:val="18"/>
              </w:rPr>
              <w:t xml:space="preserve">: вул. </w:t>
            </w:r>
            <w:proofErr w:type="spellStart"/>
            <w:r w:rsidRPr="00E95FB1">
              <w:rPr>
                <w:rFonts w:eastAsia="Calibri"/>
                <w:color w:val="000000"/>
                <w:sz w:val="18"/>
                <w:szCs w:val="18"/>
              </w:rPr>
              <w:t>Сметаніна</w:t>
            </w:r>
            <w:proofErr w:type="spellEnd"/>
            <w:r w:rsidRPr="00E95FB1">
              <w:rPr>
                <w:rFonts w:eastAsia="Calibri"/>
                <w:color w:val="000000"/>
                <w:sz w:val="18"/>
                <w:szCs w:val="18"/>
              </w:rPr>
              <w:t>, 5А.</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350 000,0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350 000,0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8</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Капітальний ремонт тиру «Спартак» КДЮСШ 2 міста Сєвєродонецьк Луганської області</w:t>
            </w:r>
            <w:r w:rsidR="000A5BD8">
              <w:rPr>
                <w:rFonts w:eastAsia="Calibri"/>
                <w:color w:val="000000"/>
                <w:sz w:val="18"/>
                <w:szCs w:val="18"/>
              </w:rPr>
              <w:t>,</w:t>
            </w:r>
            <w:r w:rsidRPr="00E95FB1">
              <w:rPr>
                <w:sz w:val="18"/>
                <w:szCs w:val="18"/>
              </w:rPr>
              <w:t xml:space="preserve"> </w:t>
            </w:r>
            <w:r w:rsidRPr="00E95FB1">
              <w:rPr>
                <w:rFonts w:eastAsia="Calibri"/>
                <w:color w:val="000000"/>
                <w:sz w:val="18"/>
                <w:szCs w:val="18"/>
              </w:rPr>
              <w:t xml:space="preserve">розташованої за </w:t>
            </w:r>
            <w:proofErr w:type="spellStart"/>
            <w:r w:rsidRPr="00E95FB1">
              <w:rPr>
                <w:rFonts w:eastAsia="Calibri"/>
                <w:color w:val="000000"/>
                <w:sz w:val="18"/>
                <w:szCs w:val="18"/>
              </w:rPr>
              <w:t>адресою</w:t>
            </w:r>
            <w:proofErr w:type="spellEnd"/>
            <w:r w:rsidRPr="00E95FB1">
              <w:rPr>
                <w:rFonts w:eastAsia="Calibri"/>
                <w:color w:val="000000"/>
                <w:sz w:val="18"/>
                <w:szCs w:val="18"/>
              </w:rPr>
              <w:t xml:space="preserve">: вул. </w:t>
            </w:r>
            <w:proofErr w:type="spellStart"/>
            <w:r w:rsidRPr="00E95FB1">
              <w:rPr>
                <w:rFonts w:eastAsia="Calibri"/>
                <w:color w:val="000000"/>
                <w:sz w:val="18"/>
                <w:szCs w:val="18"/>
              </w:rPr>
              <w:t>Б.Ліщини</w:t>
            </w:r>
            <w:proofErr w:type="spellEnd"/>
            <w:r w:rsidRPr="00E95FB1">
              <w:rPr>
                <w:rFonts w:eastAsia="Calibri"/>
                <w:color w:val="000000"/>
                <w:sz w:val="18"/>
                <w:szCs w:val="18"/>
              </w:rPr>
              <w:t>, 36Б.</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25 000,0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25 000,0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9</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Реконструкція штучного футбольного поля (40*22) КДЮСШ 2 міста Сєвєродонецьк Луганської області</w:t>
            </w:r>
            <w:r w:rsidR="000A5BD8">
              <w:rPr>
                <w:rFonts w:eastAsia="Calibri"/>
                <w:color w:val="000000"/>
                <w:sz w:val="18"/>
                <w:szCs w:val="18"/>
              </w:rPr>
              <w:t>,</w:t>
            </w:r>
            <w:r w:rsidRPr="00E95FB1">
              <w:rPr>
                <w:sz w:val="18"/>
                <w:szCs w:val="18"/>
              </w:rPr>
              <w:t xml:space="preserve"> </w:t>
            </w:r>
            <w:r w:rsidRPr="00E95FB1">
              <w:rPr>
                <w:rFonts w:eastAsia="Calibri"/>
                <w:color w:val="000000"/>
                <w:sz w:val="18"/>
                <w:szCs w:val="18"/>
              </w:rPr>
              <w:t xml:space="preserve">розташованої за </w:t>
            </w:r>
            <w:proofErr w:type="spellStart"/>
            <w:r w:rsidRPr="00E95FB1">
              <w:rPr>
                <w:rFonts w:eastAsia="Calibri"/>
                <w:color w:val="000000"/>
                <w:sz w:val="18"/>
                <w:szCs w:val="18"/>
              </w:rPr>
              <w:t>адресою</w:t>
            </w:r>
            <w:proofErr w:type="spellEnd"/>
            <w:r w:rsidRPr="00E95FB1">
              <w:rPr>
                <w:rFonts w:eastAsia="Calibri"/>
                <w:color w:val="000000"/>
                <w:sz w:val="18"/>
                <w:szCs w:val="18"/>
              </w:rPr>
              <w:t xml:space="preserve">: вул. </w:t>
            </w:r>
            <w:proofErr w:type="spellStart"/>
            <w:r w:rsidRPr="00E95FB1">
              <w:rPr>
                <w:rFonts w:eastAsia="Calibri"/>
                <w:color w:val="000000"/>
                <w:sz w:val="18"/>
                <w:szCs w:val="18"/>
              </w:rPr>
              <w:t>Сметаніна</w:t>
            </w:r>
            <w:proofErr w:type="spellEnd"/>
            <w:r w:rsidRPr="00E95FB1">
              <w:rPr>
                <w:rFonts w:eastAsia="Calibri"/>
                <w:color w:val="000000"/>
                <w:sz w:val="18"/>
                <w:szCs w:val="18"/>
              </w:rPr>
              <w:t>, 5А (місцезнаходження за будівлею КДЮСШ 3).</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1 500,0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1 500,0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10</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bCs/>
                <w:color w:val="000000"/>
                <w:sz w:val="18"/>
                <w:szCs w:val="18"/>
              </w:rPr>
              <w:t>Капітальний ремонт спорткомплексу КДЮСШ 3 міста Сєвєродонецьк Луганської області</w:t>
            </w:r>
            <w:r w:rsidRPr="00E95FB1">
              <w:rPr>
                <w:bCs/>
                <w:sz w:val="18"/>
                <w:szCs w:val="18"/>
              </w:rPr>
              <w:t xml:space="preserve"> </w:t>
            </w:r>
            <w:r w:rsidRPr="00E95FB1">
              <w:rPr>
                <w:rFonts w:eastAsia="Calibri"/>
                <w:bCs/>
                <w:color w:val="000000"/>
                <w:sz w:val="18"/>
                <w:szCs w:val="18"/>
              </w:rPr>
              <w:t xml:space="preserve">за </w:t>
            </w:r>
            <w:proofErr w:type="spellStart"/>
            <w:r w:rsidRPr="00E95FB1">
              <w:rPr>
                <w:rFonts w:eastAsia="Calibri"/>
                <w:bCs/>
                <w:color w:val="000000"/>
                <w:sz w:val="18"/>
                <w:szCs w:val="18"/>
              </w:rPr>
              <w:t>адресою</w:t>
            </w:r>
            <w:proofErr w:type="spellEnd"/>
            <w:r w:rsidRPr="00E95FB1">
              <w:rPr>
                <w:rFonts w:eastAsia="Calibri"/>
                <w:bCs/>
                <w:color w:val="000000"/>
                <w:sz w:val="18"/>
                <w:szCs w:val="18"/>
              </w:rPr>
              <w:t xml:space="preserve">: вул. </w:t>
            </w:r>
            <w:proofErr w:type="spellStart"/>
            <w:r w:rsidRPr="00E95FB1">
              <w:rPr>
                <w:rFonts w:eastAsia="Calibri"/>
                <w:bCs/>
                <w:color w:val="000000"/>
                <w:sz w:val="18"/>
                <w:szCs w:val="18"/>
              </w:rPr>
              <w:t>Сметаніна</w:t>
            </w:r>
            <w:proofErr w:type="spellEnd"/>
            <w:r w:rsidR="000A5BD8">
              <w:rPr>
                <w:rFonts w:eastAsia="Calibri"/>
                <w:bCs/>
                <w:color w:val="000000"/>
                <w:sz w:val="18"/>
                <w:szCs w:val="18"/>
              </w:rPr>
              <w:t>,</w:t>
            </w:r>
            <w:r w:rsidRPr="00E95FB1">
              <w:rPr>
                <w:rFonts w:eastAsia="Calibri"/>
                <w:bCs/>
                <w:color w:val="000000"/>
                <w:sz w:val="18"/>
                <w:szCs w:val="18"/>
              </w:rPr>
              <w:t xml:space="preserve"> 5а.</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36500,0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36500,0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lastRenderedPageBreak/>
              <w:t>11</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 xml:space="preserve">Реконструкція будівлі ДЮСШ водних видів спорту «Садко» </w:t>
            </w:r>
            <w:r w:rsidRPr="00E95FB1">
              <w:rPr>
                <w:rFonts w:eastAsia="Calibri"/>
                <w:bCs/>
                <w:color w:val="000000"/>
                <w:sz w:val="18"/>
                <w:szCs w:val="18"/>
              </w:rPr>
              <w:t xml:space="preserve"> міста Сєвєродонецьк Луганської області</w:t>
            </w:r>
            <w:r w:rsidRPr="00E95FB1">
              <w:rPr>
                <w:bCs/>
                <w:sz w:val="18"/>
                <w:szCs w:val="18"/>
              </w:rPr>
              <w:t xml:space="preserve"> </w:t>
            </w:r>
            <w:r w:rsidRPr="00E95FB1">
              <w:rPr>
                <w:rFonts w:eastAsia="Calibri"/>
                <w:bCs/>
                <w:color w:val="000000"/>
                <w:sz w:val="18"/>
                <w:szCs w:val="18"/>
              </w:rPr>
              <w:t xml:space="preserve">за </w:t>
            </w:r>
            <w:proofErr w:type="spellStart"/>
            <w:r w:rsidRPr="00E95FB1">
              <w:rPr>
                <w:rFonts w:eastAsia="Calibri"/>
                <w:bCs/>
                <w:color w:val="000000"/>
                <w:sz w:val="18"/>
                <w:szCs w:val="18"/>
              </w:rPr>
              <w:t>адресою</w:t>
            </w:r>
            <w:proofErr w:type="spellEnd"/>
            <w:r w:rsidRPr="00E95FB1">
              <w:rPr>
                <w:rFonts w:eastAsia="Calibri"/>
                <w:bCs/>
                <w:color w:val="000000"/>
                <w:sz w:val="18"/>
                <w:szCs w:val="18"/>
              </w:rPr>
              <w:t>:</w:t>
            </w:r>
            <w:r w:rsidRPr="00E95FB1">
              <w:rPr>
                <w:rStyle w:val="2244"/>
                <w:bCs/>
                <w:sz w:val="18"/>
                <w:szCs w:val="18"/>
              </w:rPr>
              <w:t xml:space="preserve"> вул. Маяковського</w:t>
            </w:r>
            <w:r w:rsidR="00C10AEF">
              <w:rPr>
                <w:rStyle w:val="2244"/>
                <w:bCs/>
                <w:sz w:val="18"/>
                <w:szCs w:val="18"/>
              </w:rPr>
              <w:t>,</w:t>
            </w:r>
            <w:r w:rsidRPr="00E95FB1">
              <w:rPr>
                <w:rStyle w:val="2244"/>
                <w:bCs/>
                <w:sz w:val="18"/>
                <w:szCs w:val="18"/>
              </w:rPr>
              <w:t xml:space="preserve"> 19-А</w:t>
            </w:r>
            <w:r w:rsidRPr="00E95FB1">
              <w:rPr>
                <w:bCs/>
                <w:sz w:val="18"/>
                <w:szCs w:val="18"/>
              </w:rPr>
              <w:t>.</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tabs>
                <w:tab w:val="left" w:pos="5290"/>
              </w:tabs>
              <w:jc w:val="center"/>
              <w:rPr>
                <w:sz w:val="18"/>
                <w:szCs w:val="18"/>
              </w:rPr>
            </w:pPr>
            <w:r w:rsidRPr="00E95FB1">
              <w:rPr>
                <w:sz w:val="18"/>
                <w:szCs w:val="18"/>
              </w:rPr>
              <w:t>30000,0</w:t>
            </w:r>
          </w:p>
          <w:p w:rsidR="00E021FE" w:rsidRPr="00E95FB1" w:rsidRDefault="00E021FE" w:rsidP="000714B4">
            <w:pPr>
              <w:jc w:val="center"/>
              <w:rPr>
                <w:color w:val="000000"/>
                <w:sz w:val="18"/>
                <w:szCs w:val="18"/>
                <w:lang w:eastAsia="uk-UA"/>
              </w:rPr>
            </w:pP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tabs>
                <w:tab w:val="left" w:pos="5290"/>
              </w:tabs>
              <w:jc w:val="center"/>
              <w:rPr>
                <w:sz w:val="18"/>
                <w:szCs w:val="18"/>
              </w:rPr>
            </w:pPr>
            <w:r w:rsidRPr="00E95FB1">
              <w:rPr>
                <w:sz w:val="18"/>
                <w:szCs w:val="18"/>
              </w:rPr>
              <w:t>30000,0</w:t>
            </w:r>
          </w:p>
          <w:p w:rsidR="00E021FE" w:rsidRPr="00E95FB1" w:rsidRDefault="00E021FE" w:rsidP="000714B4">
            <w:pPr>
              <w:jc w:val="center"/>
              <w:rPr>
                <w:color w:val="000000"/>
                <w:sz w:val="18"/>
                <w:szCs w:val="18"/>
                <w:lang w:eastAsia="uk-UA"/>
              </w:rPr>
            </w:pP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12</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Капітальний ремонт басейну КДЮСШ 4 міста Сєвєродонецьк Луганської області</w:t>
            </w:r>
            <w:r w:rsidRPr="00E95FB1">
              <w:rPr>
                <w:sz w:val="18"/>
                <w:szCs w:val="18"/>
              </w:rPr>
              <w:t xml:space="preserve"> </w:t>
            </w:r>
            <w:r w:rsidRPr="00E95FB1">
              <w:rPr>
                <w:rFonts w:eastAsia="Calibri"/>
                <w:color w:val="000000"/>
                <w:sz w:val="18"/>
                <w:szCs w:val="18"/>
              </w:rPr>
              <w:t xml:space="preserve">за </w:t>
            </w:r>
            <w:proofErr w:type="spellStart"/>
            <w:r w:rsidRPr="00E95FB1">
              <w:rPr>
                <w:rFonts w:eastAsia="Calibri"/>
                <w:color w:val="000000"/>
                <w:sz w:val="18"/>
                <w:szCs w:val="18"/>
              </w:rPr>
              <w:t>адресою</w:t>
            </w:r>
            <w:proofErr w:type="spellEnd"/>
            <w:r w:rsidRPr="00E95FB1">
              <w:rPr>
                <w:rFonts w:eastAsia="Calibri"/>
                <w:color w:val="000000"/>
                <w:sz w:val="18"/>
                <w:szCs w:val="18"/>
              </w:rPr>
              <w:t>: вул. Гоголя, 37/1</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18 000,0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18 000,0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13</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Капітальний ремонт будівлі басейну КДЮСШ 4 міста Сєвєродонецьк Луганської області</w:t>
            </w:r>
            <w:r w:rsidRPr="00E95FB1">
              <w:rPr>
                <w:sz w:val="18"/>
                <w:szCs w:val="18"/>
              </w:rPr>
              <w:t xml:space="preserve"> </w:t>
            </w:r>
            <w:r w:rsidRPr="00E95FB1">
              <w:rPr>
                <w:rFonts w:eastAsia="Calibri"/>
                <w:color w:val="000000"/>
                <w:sz w:val="18"/>
                <w:szCs w:val="18"/>
              </w:rPr>
              <w:t xml:space="preserve">за </w:t>
            </w:r>
            <w:proofErr w:type="spellStart"/>
            <w:r w:rsidRPr="00E95FB1">
              <w:rPr>
                <w:rFonts w:eastAsia="Calibri"/>
                <w:color w:val="000000"/>
                <w:sz w:val="18"/>
                <w:szCs w:val="18"/>
              </w:rPr>
              <w:t>адресою</w:t>
            </w:r>
            <w:proofErr w:type="spellEnd"/>
            <w:r w:rsidRPr="00E95FB1">
              <w:rPr>
                <w:rFonts w:eastAsia="Calibri"/>
                <w:color w:val="000000"/>
                <w:sz w:val="18"/>
                <w:szCs w:val="18"/>
              </w:rPr>
              <w:t>: вул. Курчатова, 27</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24 000,0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24 000,0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14</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Нове будівництво спортивної споруди зі штучним льодом у 73 мікрорайоні м. Сєвєродонецька Луганської області</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270000,0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270000,0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15</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 xml:space="preserve">Будівництво багатофункціонального спортивного комплексу  за </w:t>
            </w:r>
            <w:proofErr w:type="spellStart"/>
            <w:r w:rsidRPr="00E95FB1">
              <w:rPr>
                <w:rFonts w:eastAsia="Calibri"/>
                <w:color w:val="000000"/>
                <w:sz w:val="18"/>
                <w:szCs w:val="18"/>
              </w:rPr>
              <w:t>адресою</w:t>
            </w:r>
            <w:proofErr w:type="spellEnd"/>
            <w:r w:rsidRPr="00E95FB1">
              <w:rPr>
                <w:rFonts w:eastAsia="Calibri"/>
                <w:color w:val="000000"/>
                <w:sz w:val="18"/>
                <w:szCs w:val="18"/>
              </w:rPr>
              <w:t>: Луганська область, Сєвєродонецький район, місто Сєвєродонецьк, вул. Маяковського, 28</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980 000,0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980 000,0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16</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rFonts w:eastAsia="Calibri"/>
                <w:color w:val="000000"/>
                <w:sz w:val="18"/>
                <w:szCs w:val="18"/>
              </w:rPr>
            </w:pPr>
            <w:proofErr w:type="spellStart"/>
            <w:r w:rsidRPr="00E95FB1">
              <w:rPr>
                <w:bCs/>
                <w:sz w:val="18"/>
                <w:szCs w:val="18"/>
              </w:rPr>
              <w:t>Реконструкцiя</w:t>
            </w:r>
            <w:proofErr w:type="spellEnd"/>
            <w:r w:rsidRPr="00E95FB1">
              <w:rPr>
                <w:bCs/>
                <w:sz w:val="18"/>
                <w:szCs w:val="18"/>
              </w:rPr>
              <w:t xml:space="preserve"> та </w:t>
            </w:r>
            <w:proofErr w:type="spellStart"/>
            <w:r w:rsidRPr="00E95FB1">
              <w:rPr>
                <w:bCs/>
                <w:sz w:val="18"/>
                <w:szCs w:val="18"/>
              </w:rPr>
              <w:t>вiдновлення</w:t>
            </w:r>
            <w:proofErr w:type="spellEnd"/>
            <w:r w:rsidRPr="00E95FB1">
              <w:rPr>
                <w:bCs/>
                <w:sz w:val="18"/>
                <w:szCs w:val="18"/>
              </w:rPr>
              <w:t xml:space="preserve">  СДЮК «</w:t>
            </w:r>
            <w:proofErr w:type="spellStart"/>
            <w:r w:rsidRPr="00E95FB1">
              <w:rPr>
                <w:bCs/>
                <w:sz w:val="18"/>
                <w:szCs w:val="18"/>
              </w:rPr>
              <w:t>Юнiсть</w:t>
            </w:r>
            <w:proofErr w:type="spellEnd"/>
            <w:r w:rsidRPr="00E95FB1">
              <w:rPr>
                <w:bCs/>
                <w:sz w:val="18"/>
                <w:szCs w:val="18"/>
              </w:rPr>
              <w:t>» та клубів «Восход» , «Іскра», «Факел», «Меридіан», «Самбо», «Підліток».</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rFonts w:eastAsia="Calibri"/>
                <w:color w:val="000000"/>
                <w:sz w:val="18"/>
                <w:szCs w:val="18"/>
              </w:rPr>
            </w:pPr>
            <w:r w:rsidRPr="00E95FB1">
              <w:rPr>
                <w:sz w:val="18"/>
                <w:szCs w:val="18"/>
              </w:rPr>
              <w:t>31823,71</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sz w:val="18"/>
                <w:szCs w:val="18"/>
              </w:rPr>
              <w:t>13638,73</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rFonts w:eastAsia="Calibri"/>
                <w:color w:val="000000"/>
                <w:sz w:val="18"/>
                <w:szCs w:val="18"/>
              </w:rPr>
            </w:pPr>
            <w:r w:rsidRPr="00E95FB1">
              <w:rPr>
                <w:rFonts w:eastAsia="Calibri"/>
                <w:color w:val="000000"/>
                <w:sz w:val="18"/>
                <w:szCs w:val="18"/>
              </w:rPr>
              <w:t>45 462, 44</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17</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rFonts w:eastAsia="Calibri"/>
                <w:color w:val="000000"/>
                <w:sz w:val="18"/>
                <w:szCs w:val="18"/>
              </w:rPr>
            </w:pPr>
            <w:r w:rsidRPr="00E95FB1">
              <w:rPr>
                <w:bCs/>
                <w:sz w:val="18"/>
                <w:szCs w:val="18"/>
              </w:rPr>
              <w:t>Відновлення  роботи Сєвєродонецького дитячо-юнацького комплексу «Юність» та  клубів «Восход» , «Іскра», «Факел», «Меридіан», «Самбо», «Підліток».</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rFonts w:eastAsia="Calibri"/>
                <w:color w:val="000000"/>
                <w:sz w:val="18"/>
                <w:szCs w:val="18"/>
              </w:rPr>
            </w:pPr>
            <w:r w:rsidRPr="00E95FB1">
              <w:rPr>
                <w:sz w:val="18"/>
                <w:szCs w:val="18"/>
              </w:rPr>
              <w:t>6751,814</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2893,635</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rFonts w:eastAsia="Calibri"/>
                <w:color w:val="000000"/>
                <w:sz w:val="18"/>
                <w:szCs w:val="18"/>
              </w:rPr>
            </w:pPr>
            <w:r w:rsidRPr="00E95FB1">
              <w:rPr>
                <w:rFonts w:eastAsiaTheme="minorHAnsi"/>
                <w:color w:val="000000"/>
                <w:sz w:val="18"/>
                <w:szCs w:val="18"/>
                <w:lang w:eastAsia="en-US"/>
              </w:rPr>
              <w:t>9645,449</w:t>
            </w:r>
          </w:p>
        </w:tc>
      </w:tr>
      <w:tr w:rsidR="00E021FE" w:rsidRPr="00E95FB1" w:rsidTr="007E13A2">
        <w:trPr>
          <w:trHeight w:val="300"/>
        </w:trPr>
        <w:tc>
          <w:tcPr>
            <w:tcW w:w="35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Всього напрямом</w:t>
            </w:r>
          </w:p>
        </w:tc>
        <w:tc>
          <w:tcPr>
            <w:tcW w:w="1736"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х</w:t>
            </w:r>
          </w:p>
        </w:tc>
        <w:tc>
          <w:tcPr>
            <w:tcW w:w="1252"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х</w:t>
            </w:r>
          </w:p>
        </w:tc>
        <w:tc>
          <w:tcPr>
            <w:tcW w:w="1035"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х</w:t>
            </w:r>
          </w:p>
        </w:tc>
        <w:tc>
          <w:tcPr>
            <w:tcW w:w="1104"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х</w:t>
            </w:r>
          </w:p>
        </w:tc>
        <w:tc>
          <w:tcPr>
            <w:tcW w:w="1134"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color w:val="000000"/>
                <w:sz w:val="18"/>
                <w:szCs w:val="18"/>
                <w:lang w:eastAsia="uk-UA"/>
              </w:rPr>
            </w:pPr>
            <w:r w:rsidRPr="007E13A2">
              <w:rPr>
                <w:b/>
                <w:color w:val="000000"/>
                <w:sz w:val="18"/>
                <w:szCs w:val="18"/>
                <w:lang w:val="ru-RU" w:eastAsia="uk-UA"/>
              </w:rPr>
              <w:t>2123575,52</w:t>
            </w:r>
          </w:p>
        </w:tc>
        <w:tc>
          <w:tcPr>
            <w:tcW w:w="992"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color w:val="000000"/>
                <w:sz w:val="18"/>
                <w:szCs w:val="18"/>
                <w:lang w:val="ru-RU" w:eastAsia="uk-UA"/>
              </w:rPr>
            </w:pPr>
            <w:r w:rsidRPr="007E13A2">
              <w:rPr>
                <w:b/>
                <w:color w:val="000000"/>
                <w:sz w:val="18"/>
                <w:szCs w:val="18"/>
                <w:lang w:val="ru-RU" w:eastAsia="uk-UA"/>
              </w:rPr>
              <w:t>16532,37</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color w:val="000000"/>
                <w:sz w:val="18"/>
                <w:szCs w:val="18"/>
                <w:lang w:eastAsia="uk-UA"/>
              </w:rPr>
            </w:pPr>
            <w:r w:rsidRPr="007E13A2">
              <w:rPr>
                <w:b/>
                <w:bCs/>
                <w:color w:val="000000"/>
                <w:sz w:val="18"/>
                <w:szCs w:val="18"/>
                <w:lang w:eastAsia="uk-UA"/>
              </w:rPr>
              <w:t>х</w:t>
            </w:r>
          </w:p>
        </w:tc>
        <w:tc>
          <w:tcPr>
            <w:tcW w:w="1164"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color w:val="000000"/>
                <w:sz w:val="18"/>
                <w:szCs w:val="18"/>
                <w:lang w:val="ru-RU" w:eastAsia="uk-UA"/>
              </w:rPr>
            </w:pPr>
            <w:r w:rsidRPr="007E13A2">
              <w:rPr>
                <w:b/>
                <w:color w:val="000000"/>
                <w:sz w:val="18"/>
                <w:szCs w:val="18"/>
                <w:lang w:val="ru-RU" w:eastAsia="uk-UA"/>
              </w:rPr>
              <w:t>2140107,89</w:t>
            </w:r>
          </w:p>
        </w:tc>
      </w:tr>
      <w:tr w:rsidR="00E021FE" w:rsidRPr="00E95FB1" w:rsidTr="001B3967">
        <w:trPr>
          <w:trHeight w:val="315"/>
        </w:trPr>
        <w:tc>
          <w:tcPr>
            <w:tcW w:w="14580"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E021FE" w:rsidRPr="00E95FB1" w:rsidRDefault="00E021FE" w:rsidP="000714B4">
            <w:pPr>
              <w:jc w:val="center"/>
              <w:rPr>
                <w:color w:val="000000"/>
                <w:sz w:val="24"/>
                <w:szCs w:val="24"/>
                <w:lang w:eastAsia="uk-UA"/>
              </w:rPr>
            </w:pPr>
            <w:r w:rsidRPr="00E95FB1">
              <w:rPr>
                <w:color w:val="000000"/>
                <w:sz w:val="24"/>
                <w:szCs w:val="24"/>
                <w:lang w:eastAsia="uk-UA"/>
              </w:rPr>
              <w:t>2.</w:t>
            </w:r>
            <w:r>
              <w:rPr>
                <w:color w:val="000000"/>
                <w:sz w:val="24"/>
                <w:szCs w:val="24"/>
                <w:lang w:eastAsia="uk-UA"/>
              </w:rPr>
              <w:t>7</w:t>
            </w:r>
            <w:r w:rsidRPr="00E95FB1">
              <w:rPr>
                <w:color w:val="000000"/>
                <w:sz w:val="24"/>
                <w:szCs w:val="24"/>
                <w:lang w:eastAsia="uk-UA"/>
              </w:rPr>
              <w:t>. Об’єкти закладів надання сервісів та послуг та інше (адміністративні будівлі органів влади, приміщення центрів надання адміністративних послуг</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1</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 xml:space="preserve">Відновлення діяльності </w:t>
            </w:r>
            <w:r w:rsidRPr="00E95FB1">
              <w:rPr>
                <w:sz w:val="18"/>
                <w:szCs w:val="18"/>
              </w:rPr>
              <w:t xml:space="preserve">Центру надання адміністративних послуг у </w:t>
            </w:r>
            <w:proofErr w:type="spellStart"/>
            <w:r w:rsidRPr="00E95FB1">
              <w:rPr>
                <w:sz w:val="18"/>
                <w:szCs w:val="18"/>
              </w:rPr>
              <w:t>м.Сєвєродонецьку</w:t>
            </w:r>
            <w:proofErr w:type="spellEnd"/>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225 000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sz w:val="18"/>
                <w:szCs w:val="18"/>
              </w:rPr>
              <w:t>4584,45</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contextualSpacing/>
              <w:jc w:val="center"/>
              <w:rPr>
                <w:bCs/>
                <w:sz w:val="18"/>
                <w:szCs w:val="18"/>
              </w:rPr>
            </w:pPr>
            <w:r w:rsidRPr="00E95FB1">
              <w:rPr>
                <w:sz w:val="18"/>
                <w:szCs w:val="18"/>
              </w:rPr>
              <w:t>1964,76</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contextualSpacing/>
              <w:jc w:val="center"/>
              <w:rPr>
                <w:bCs/>
                <w:sz w:val="18"/>
                <w:szCs w:val="18"/>
              </w:rPr>
            </w:pPr>
            <w:r w:rsidRPr="00E95FB1">
              <w:rPr>
                <w:bCs/>
                <w:sz w:val="18"/>
                <w:szCs w:val="18"/>
              </w:rPr>
              <w:t>Іноземні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sz w:val="18"/>
                <w:szCs w:val="18"/>
              </w:rPr>
              <w:t>6549,21</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lastRenderedPageBreak/>
              <w:t>2</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Відбудова адміністративної будівлі Сєвєродонецької міської територіальної громади (</w:t>
            </w:r>
            <w:proofErr w:type="spellStart"/>
            <w:r w:rsidRPr="00E95FB1">
              <w:rPr>
                <w:bCs/>
                <w:sz w:val="18"/>
                <w:szCs w:val="18"/>
              </w:rPr>
              <w:t>бул</w:t>
            </w:r>
            <w:proofErr w:type="spellEnd"/>
            <w:r w:rsidRPr="00E95FB1">
              <w:rPr>
                <w:bCs/>
                <w:sz w:val="18"/>
                <w:szCs w:val="18"/>
              </w:rPr>
              <w:t>. Дружби Народів, буд. 32А) для відновлення роботи структурних підрозділів, виконавчих органів Сєвєродонецької міської військової адміністрації та розміщення комунальних підприємств і регіональних відділень державних установ</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sz w:val="18"/>
                <w:szCs w:val="18"/>
              </w:rPr>
              <w:t>28 698,53</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108" w:right="-78"/>
              <w:jc w:val="center"/>
              <w:rPr>
                <w:b/>
                <w:bCs/>
                <w:sz w:val="18"/>
                <w:szCs w:val="18"/>
              </w:rPr>
            </w:pPr>
            <w:r w:rsidRPr="00E95FB1">
              <w:rPr>
                <w:sz w:val="18"/>
                <w:szCs w:val="18"/>
              </w:rPr>
              <w:t>12 299,37</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0"/>
              <w:jc w:val="center"/>
              <w:rPr>
                <w:bCs/>
                <w:sz w:val="18"/>
                <w:szCs w:val="18"/>
              </w:rPr>
            </w:pPr>
            <w:r w:rsidRPr="00E95FB1">
              <w:rPr>
                <w:bCs/>
                <w:sz w:val="18"/>
                <w:szCs w:val="18"/>
              </w:rPr>
              <w:t>Іноземні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sz w:val="18"/>
                <w:szCs w:val="18"/>
              </w:rPr>
              <w:t>40 997, 90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3</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Відбудова будівлі Сєвєродонецької міської територіальної громади (</w:t>
            </w:r>
            <w:proofErr w:type="spellStart"/>
            <w:r w:rsidRPr="00E95FB1">
              <w:rPr>
                <w:bCs/>
                <w:sz w:val="18"/>
                <w:szCs w:val="18"/>
              </w:rPr>
              <w:t>бул</w:t>
            </w:r>
            <w:proofErr w:type="spellEnd"/>
            <w:r w:rsidRPr="00E95FB1">
              <w:rPr>
                <w:bCs/>
                <w:sz w:val="18"/>
                <w:szCs w:val="18"/>
              </w:rPr>
              <w:t>. Дружби Народів, буд. 19) для відновлення роботи Сєвєродонецького міського суду Луганської області</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sz w:val="18"/>
                <w:szCs w:val="18"/>
              </w:rPr>
              <w:t>6 423,55</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108" w:right="-78"/>
              <w:jc w:val="center"/>
              <w:rPr>
                <w:b/>
                <w:bCs/>
                <w:sz w:val="18"/>
                <w:szCs w:val="18"/>
              </w:rPr>
            </w:pPr>
            <w:r w:rsidRPr="00E95FB1">
              <w:rPr>
                <w:sz w:val="18"/>
                <w:szCs w:val="18"/>
              </w:rPr>
              <w:t>2 752,95</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0"/>
              <w:jc w:val="center"/>
              <w:rPr>
                <w:bCs/>
                <w:sz w:val="18"/>
                <w:szCs w:val="18"/>
              </w:rPr>
            </w:pPr>
            <w:r w:rsidRPr="00E95FB1">
              <w:rPr>
                <w:bCs/>
                <w:sz w:val="18"/>
                <w:szCs w:val="18"/>
              </w:rPr>
              <w:t>Іноземні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B10DB1" w:rsidRDefault="00E021FE" w:rsidP="000714B4">
            <w:pPr>
              <w:jc w:val="center"/>
              <w:rPr>
                <w:color w:val="000000"/>
                <w:sz w:val="18"/>
                <w:szCs w:val="18"/>
                <w:lang w:val="ru-RU" w:eastAsia="uk-UA"/>
              </w:rPr>
            </w:pPr>
            <w:r w:rsidRPr="00E95FB1">
              <w:rPr>
                <w:sz w:val="18"/>
                <w:szCs w:val="18"/>
              </w:rPr>
              <w:t xml:space="preserve">9 176, </w:t>
            </w:r>
            <w:r w:rsidR="00B10DB1">
              <w:rPr>
                <w:sz w:val="18"/>
                <w:szCs w:val="18"/>
                <w:lang w:val="ru-RU"/>
              </w:rPr>
              <w:t>5</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4</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Відбудова адміністративної нежитлової будівлі Сєвєродонецької міської територіальної громади (проспект Центральний, буд. 12) для відновлення роботи структурних підрозділів, виконавчих органів Сєвєродонецької міської військової адміністрації, органів державної влади, державних установ.</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sz w:val="18"/>
                <w:szCs w:val="18"/>
              </w:rPr>
            </w:pPr>
            <w:r w:rsidRPr="00E95FB1">
              <w:rPr>
                <w:sz w:val="18"/>
                <w:szCs w:val="18"/>
              </w:rPr>
              <w:t>5 208,56</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108" w:right="-78"/>
              <w:jc w:val="center"/>
              <w:rPr>
                <w:sz w:val="18"/>
                <w:szCs w:val="18"/>
              </w:rPr>
            </w:pPr>
            <w:r w:rsidRPr="00E95FB1">
              <w:rPr>
                <w:sz w:val="18"/>
                <w:szCs w:val="18"/>
              </w:rPr>
              <w:t>2 232,24</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0"/>
              <w:jc w:val="center"/>
              <w:rPr>
                <w:bCs/>
                <w:sz w:val="18"/>
                <w:szCs w:val="18"/>
              </w:rPr>
            </w:pPr>
            <w:r w:rsidRPr="00E95FB1">
              <w:rPr>
                <w:bCs/>
                <w:sz w:val="18"/>
                <w:szCs w:val="18"/>
              </w:rPr>
              <w:t>Іноземні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sz w:val="18"/>
                <w:szCs w:val="18"/>
              </w:rPr>
            </w:pPr>
            <w:r w:rsidRPr="00E95FB1">
              <w:rPr>
                <w:sz w:val="18"/>
                <w:szCs w:val="18"/>
              </w:rPr>
              <w:t>7 440,80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5</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Будівництво будівлі Сєвєродонецької міської територіальної громади (вул. 8-го Березня, буд. 2) для відновлення роботи окружної Сєвєродонецької прокуратури (</w:t>
            </w:r>
            <w:r w:rsidRPr="00E95FB1">
              <w:rPr>
                <w:sz w:val="18"/>
                <w:szCs w:val="18"/>
              </w:rPr>
              <w:t>Луганської обласної прокуратури)</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sz w:val="18"/>
                <w:szCs w:val="18"/>
              </w:rPr>
            </w:pPr>
            <w:r w:rsidRPr="00E95FB1">
              <w:rPr>
                <w:sz w:val="18"/>
                <w:szCs w:val="18"/>
              </w:rPr>
              <w:t>19 827,23</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rPr>
            </w:pPr>
            <w:r w:rsidRPr="00E95FB1">
              <w:rPr>
                <w:color w:val="000000"/>
                <w:sz w:val="18"/>
                <w:szCs w:val="18"/>
              </w:rPr>
              <w:t>8 497,38</w:t>
            </w:r>
          </w:p>
          <w:p w:rsidR="00E021FE" w:rsidRPr="00E95FB1" w:rsidRDefault="00E021FE" w:rsidP="000714B4">
            <w:pPr>
              <w:pStyle w:val="a7"/>
              <w:ind w:left="-108" w:right="-78"/>
              <w:jc w:val="center"/>
              <w:rPr>
                <w:b/>
                <w:bCs/>
                <w:sz w:val="18"/>
                <w:szCs w:val="18"/>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0"/>
              <w:jc w:val="center"/>
              <w:rPr>
                <w:bCs/>
                <w:sz w:val="18"/>
                <w:szCs w:val="18"/>
              </w:rPr>
            </w:pPr>
            <w:r w:rsidRPr="00E95FB1">
              <w:rPr>
                <w:bCs/>
                <w:sz w:val="18"/>
                <w:szCs w:val="18"/>
              </w:rPr>
              <w:t>Іноземні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rPr>
            </w:pPr>
            <w:r w:rsidRPr="00E95FB1">
              <w:rPr>
                <w:color w:val="000000"/>
                <w:sz w:val="18"/>
                <w:szCs w:val="18"/>
              </w:rPr>
              <w:t>28 324, 61</w:t>
            </w:r>
          </w:p>
          <w:p w:rsidR="00E021FE" w:rsidRPr="00E95FB1" w:rsidRDefault="00E021FE" w:rsidP="000714B4">
            <w:pPr>
              <w:jc w:val="center"/>
              <w:rPr>
                <w:sz w:val="18"/>
                <w:szCs w:val="18"/>
              </w:rPr>
            </w:pPr>
          </w:p>
        </w:tc>
      </w:tr>
      <w:tr w:rsidR="00E021FE" w:rsidRPr="00E95FB1" w:rsidTr="00840C91">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840C91" w:rsidRDefault="00E021FE" w:rsidP="000714B4">
            <w:pPr>
              <w:jc w:val="center"/>
              <w:rPr>
                <w:color w:val="000000"/>
                <w:sz w:val="18"/>
                <w:szCs w:val="18"/>
                <w:lang w:val="en-US" w:eastAsia="uk-UA"/>
              </w:rPr>
            </w:pPr>
            <w:r w:rsidRPr="00840C91">
              <w:rPr>
                <w:color w:val="000000"/>
                <w:sz w:val="18"/>
                <w:szCs w:val="18"/>
                <w:lang w:val="en-US" w:eastAsia="uk-UA"/>
              </w:rPr>
              <w:t>6</w:t>
            </w:r>
          </w:p>
        </w:tc>
        <w:tc>
          <w:tcPr>
            <w:tcW w:w="3049" w:type="dxa"/>
            <w:tcBorders>
              <w:top w:val="nil"/>
              <w:left w:val="nil"/>
              <w:bottom w:val="single" w:sz="4" w:space="0" w:color="auto"/>
              <w:right w:val="single" w:sz="4" w:space="0" w:color="auto"/>
            </w:tcBorders>
            <w:shd w:val="clear" w:color="auto" w:fill="auto"/>
            <w:vAlign w:val="center"/>
            <w:hideMark/>
          </w:tcPr>
          <w:p w:rsidR="00E021FE" w:rsidRPr="00840C91" w:rsidRDefault="00E021FE" w:rsidP="000714B4">
            <w:pPr>
              <w:jc w:val="center"/>
              <w:rPr>
                <w:bCs/>
                <w:sz w:val="18"/>
                <w:szCs w:val="18"/>
              </w:rPr>
            </w:pPr>
            <w:r w:rsidRPr="00840C91">
              <w:rPr>
                <w:bCs/>
                <w:sz w:val="18"/>
                <w:szCs w:val="18"/>
              </w:rPr>
              <w:t>Відновлення та відбудова адміністративного приміщення Сєвєродонецької міської територіальної громади (вул. Науки, буд.5) для задоволення потреб мешканців у отриманні послуг, гарантованих законодавством України</w:t>
            </w:r>
          </w:p>
        </w:tc>
        <w:tc>
          <w:tcPr>
            <w:tcW w:w="1736" w:type="dxa"/>
            <w:tcBorders>
              <w:top w:val="nil"/>
              <w:left w:val="nil"/>
              <w:bottom w:val="single" w:sz="4" w:space="0" w:color="auto"/>
              <w:right w:val="single" w:sz="4" w:space="0" w:color="auto"/>
            </w:tcBorders>
            <w:shd w:val="clear" w:color="auto" w:fill="auto"/>
            <w:vAlign w:val="center"/>
            <w:hideMark/>
          </w:tcPr>
          <w:p w:rsidR="00E021FE" w:rsidRPr="00840C91" w:rsidRDefault="00E021FE" w:rsidP="000714B4">
            <w:pPr>
              <w:jc w:val="center"/>
              <w:rPr>
                <w:color w:val="000000"/>
                <w:sz w:val="18"/>
                <w:szCs w:val="18"/>
                <w:lang w:eastAsia="uk-UA"/>
              </w:rPr>
            </w:pPr>
            <w:r w:rsidRPr="00840C9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840C91" w:rsidRDefault="00E021FE" w:rsidP="000714B4">
            <w:pPr>
              <w:jc w:val="center"/>
              <w:rPr>
                <w:color w:val="000000"/>
                <w:sz w:val="18"/>
                <w:szCs w:val="18"/>
                <w:lang w:eastAsia="uk-UA"/>
              </w:rPr>
            </w:pPr>
            <w:r w:rsidRPr="00840C91">
              <w:rPr>
                <w:color w:val="000000"/>
                <w:sz w:val="18"/>
                <w:szCs w:val="18"/>
                <w:lang w:eastAsia="uk-UA"/>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840C91" w:rsidRDefault="00E021FE" w:rsidP="000714B4">
            <w:pPr>
              <w:jc w:val="center"/>
              <w:rPr>
                <w:color w:val="000000"/>
                <w:sz w:val="18"/>
                <w:szCs w:val="18"/>
                <w:lang w:eastAsia="uk-UA"/>
              </w:rPr>
            </w:pPr>
            <w:r w:rsidRPr="00840C9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840C9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840C91" w:rsidRDefault="00E021FE" w:rsidP="000714B4">
            <w:pPr>
              <w:jc w:val="center"/>
              <w:rPr>
                <w:sz w:val="18"/>
                <w:szCs w:val="18"/>
              </w:rPr>
            </w:pPr>
            <w:r w:rsidRPr="00840C91">
              <w:rPr>
                <w:bCs/>
                <w:sz w:val="18"/>
                <w:szCs w:val="18"/>
              </w:rPr>
              <w:t>2800,0</w:t>
            </w:r>
          </w:p>
        </w:tc>
        <w:tc>
          <w:tcPr>
            <w:tcW w:w="992" w:type="dxa"/>
            <w:tcBorders>
              <w:top w:val="nil"/>
              <w:left w:val="nil"/>
              <w:bottom w:val="single" w:sz="4" w:space="0" w:color="auto"/>
              <w:right w:val="single" w:sz="4" w:space="0" w:color="auto"/>
            </w:tcBorders>
            <w:shd w:val="clear" w:color="auto" w:fill="auto"/>
            <w:vAlign w:val="center"/>
            <w:hideMark/>
          </w:tcPr>
          <w:p w:rsidR="00E021FE" w:rsidRPr="00840C9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840C91" w:rsidRDefault="00E021FE" w:rsidP="000714B4">
            <w:pPr>
              <w:pStyle w:val="a7"/>
              <w:ind w:left="0"/>
              <w:jc w:val="center"/>
              <w:rPr>
                <w:bCs/>
                <w:sz w:val="18"/>
                <w:szCs w:val="18"/>
              </w:rPr>
            </w:pPr>
            <w:r w:rsidRPr="00840C91">
              <w:rPr>
                <w:bCs/>
                <w:sz w:val="18"/>
                <w:szCs w:val="18"/>
              </w:rPr>
              <w:t>1200,0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840C91" w:rsidRDefault="00E021FE" w:rsidP="000714B4">
            <w:pPr>
              <w:pStyle w:val="a7"/>
              <w:ind w:left="0"/>
              <w:jc w:val="center"/>
              <w:rPr>
                <w:bCs/>
                <w:sz w:val="18"/>
                <w:szCs w:val="18"/>
              </w:rPr>
            </w:pPr>
            <w:r w:rsidRPr="00840C91">
              <w:rPr>
                <w:bCs/>
                <w:sz w:val="18"/>
                <w:szCs w:val="18"/>
              </w:rPr>
              <w:t>Іноземні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840C91" w:rsidRDefault="00E021FE" w:rsidP="000714B4">
            <w:pPr>
              <w:jc w:val="center"/>
              <w:rPr>
                <w:color w:val="000000"/>
                <w:sz w:val="18"/>
                <w:szCs w:val="18"/>
              </w:rPr>
            </w:pPr>
            <w:r w:rsidRPr="00840C91">
              <w:rPr>
                <w:bCs/>
                <w:sz w:val="18"/>
                <w:szCs w:val="18"/>
              </w:rPr>
              <w:t>4 000,00</w:t>
            </w:r>
          </w:p>
        </w:tc>
      </w:tr>
      <w:tr w:rsidR="00E021FE" w:rsidRPr="00E95FB1" w:rsidTr="004775D6">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4775D6" w:rsidRDefault="00E021FE" w:rsidP="000714B4">
            <w:pPr>
              <w:jc w:val="center"/>
              <w:rPr>
                <w:color w:val="000000"/>
                <w:sz w:val="18"/>
                <w:szCs w:val="18"/>
                <w:lang w:eastAsia="uk-UA"/>
              </w:rPr>
            </w:pPr>
            <w:r w:rsidRPr="004775D6">
              <w:rPr>
                <w:color w:val="000000"/>
                <w:sz w:val="18"/>
                <w:szCs w:val="18"/>
                <w:lang w:eastAsia="uk-UA"/>
              </w:rPr>
              <w:lastRenderedPageBreak/>
              <w:t>7</w:t>
            </w:r>
          </w:p>
        </w:tc>
        <w:tc>
          <w:tcPr>
            <w:tcW w:w="3049" w:type="dxa"/>
            <w:tcBorders>
              <w:top w:val="nil"/>
              <w:left w:val="nil"/>
              <w:bottom w:val="single" w:sz="4" w:space="0" w:color="auto"/>
              <w:right w:val="single" w:sz="4" w:space="0" w:color="auto"/>
            </w:tcBorders>
            <w:shd w:val="clear" w:color="auto" w:fill="auto"/>
            <w:vAlign w:val="center"/>
            <w:hideMark/>
          </w:tcPr>
          <w:p w:rsidR="00E021FE" w:rsidRPr="004775D6" w:rsidRDefault="00E021FE" w:rsidP="000714B4">
            <w:pPr>
              <w:jc w:val="center"/>
              <w:rPr>
                <w:bCs/>
                <w:sz w:val="18"/>
                <w:szCs w:val="18"/>
              </w:rPr>
            </w:pPr>
            <w:r w:rsidRPr="004775D6">
              <w:rPr>
                <w:rFonts w:eastAsia="Calibri"/>
                <w:color w:val="000000" w:themeColor="text1"/>
                <w:sz w:val="18"/>
                <w:szCs w:val="18"/>
              </w:rPr>
              <w:t xml:space="preserve">Відновлення діяльності Управління освіти Сєвєродонецької міської військової адміністрації Сєвєродонецького району Луганської області, розташованого в м. Сєвєродонецьк, вул. </w:t>
            </w:r>
            <w:proofErr w:type="spellStart"/>
            <w:r w:rsidRPr="004775D6">
              <w:rPr>
                <w:rFonts w:eastAsia="Calibri"/>
                <w:color w:val="000000" w:themeColor="text1"/>
                <w:sz w:val="18"/>
                <w:szCs w:val="18"/>
              </w:rPr>
              <w:t>Вілєсова</w:t>
            </w:r>
            <w:proofErr w:type="spellEnd"/>
            <w:r w:rsidRPr="004775D6">
              <w:rPr>
                <w:rFonts w:eastAsia="Calibri"/>
                <w:color w:val="000000" w:themeColor="text1"/>
                <w:sz w:val="18"/>
                <w:szCs w:val="18"/>
              </w:rPr>
              <w:t>, буд. 10</w:t>
            </w:r>
          </w:p>
        </w:tc>
        <w:tc>
          <w:tcPr>
            <w:tcW w:w="1736" w:type="dxa"/>
            <w:tcBorders>
              <w:top w:val="nil"/>
              <w:left w:val="nil"/>
              <w:bottom w:val="single" w:sz="4" w:space="0" w:color="auto"/>
              <w:right w:val="single" w:sz="4" w:space="0" w:color="auto"/>
            </w:tcBorders>
            <w:shd w:val="clear" w:color="auto" w:fill="auto"/>
            <w:vAlign w:val="center"/>
            <w:hideMark/>
          </w:tcPr>
          <w:p w:rsidR="00E021FE" w:rsidRPr="004775D6" w:rsidRDefault="00E021FE" w:rsidP="000714B4">
            <w:pPr>
              <w:jc w:val="center"/>
              <w:rPr>
                <w:color w:val="000000"/>
                <w:sz w:val="18"/>
                <w:szCs w:val="18"/>
                <w:lang w:eastAsia="uk-UA"/>
              </w:rPr>
            </w:pPr>
            <w:r w:rsidRPr="004775D6">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4775D6" w:rsidRDefault="00E021FE" w:rsidP="000714B4">
            <w:pPr>
              <w:jc w:val="center"/>
              <w:rPr>
                <w:color w:val="000000"/>
                <w:sz w:val="18"/>
                <w:szCs w:val="18"/>
                <w:lang w:eastAsia="uk-UA"/>
              </w:rPr>
            </w:pPr>
            <w:r w:rsidRPr="004775D6">
              <w:rPr>
                <w:color w:val="000000"/>
                <w:sz w:val="18"/>
                <w:szCs w:val="18"/>
                <w:lang w:eastAsia="uk-UA"/>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4775D6" w:rsidRDefault="00E021FE" w:rsidP="000714B4">
            <w:pPr>
              <w:jc w:val="center"/>
              <w:rPr>
                <w:color w:val="000000"/>
                <w:sz w:val="18"/>
                <w:szCs w:val="18"/>
                <w:lang w:eastAsia="uk-UA"/>
              </w:rPr>
            </w:pPr>
            <w:r w:rsidRPr="004775D6">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4775D6"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4775D6" w:rsidRDefault="00E021FE" w:rsidP="000714B4">
            <w:pPr>
              <w:jc w:val="center"/>
              <w:rPr>
                <w:color w:val="000000" w:themeColor="text1"/>
                <w:sz w:val="18"/>
                <w:szCs w:val="18"/>
              </w:rPr>
            </w:pPr>
            <w:r w:rsidRPr="004775D6">
              <w:rPr>
                <w:color w:val="000000" w:themeColor="text1"/>
                <w:sz w:val="18"/>
                <w:szCs w:val="18"/>
              </w:rPr>
              <w:t>47 900,0</w:t>
            </w:r>
          </w:p>
        </w:tc>
        <w:tc>
          <w:tcPr>
            <w:tcW w:w="992" w:type="dxa"/>
            <w:tcBorders>
              <w:top w:val="nil"/>
              <w:left w:val="nil"/>
              <w:bottom w:val="single" w:sz="4" w:space="0" w:color="auto"/>
              <w:right w:val="single" w:sz="4" w:space="0" w:color="auto"/>
            </w:tcBorders>
            <w:shd w:val="clear" w:color="auto" w:fill="auto"/>
            <w:vAlign w:val="center"/>
            <w:hideMark/>
          </w:tcPr>
          <w:p w:rsidR="00E021FE" w:rsidRPr="004775D6"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4775D6" w:rsidRDefault="00E021FE" w:rsidP="000714B4">
            <w:pPr>
              <w:pStyle w:val="a7"/>
              <w:ind w:left="0"/>
              <w:jc w:val="center"/>
              <w:rPr>
                <w:bCs/>
                <w:sz w:val="18"/>
                <w:szCs w:val="18"/>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4775D6" w:rsidRDefault="00E021FE" w:rsidP="000714B4">
            <w:pPr>
              <w:pStyle w:val="a7"/>
              <w:ind w:left="0"/>
              <w:jc w:val="center"/>
              <w:rPr>
                <w:bCs/>
                <w:sz w:val="18"/>
                <w:szCs w:val="18"/>
              </w:rPr>
            </w:pPr>
          </w:p>
        </w:tc>
        <w:tc>
          <w:tcPr>
            <w:tcW w:w="1164" w:type="dxa"/>
            <w:tcBorders>
              <w:top w:val="nil"/>
              <w:left w:val="nil"/>
              <w:bottom w:val="single" w:sz="4" w:space="0" w:color="auto"/>
              <w:right w:val="single" w:sz="4" w:space="0" w:color="auto"/>
            </w:tcBorders>
            <w:shd w:val="clear" w:color="auto" w:fill="auto"/>
            <w:vAlign w:val="center"/>
            <w:hideMark/>
          </w:tcPr>
          <w:p w:rsidR="00E021FE" w:rsidRDefault="00E021FE" w:rsidP="000714B4">
            <w:pPr>
              <w:jc w:val="center"/>
              <w:rPr>
                <w:sz w:val="18"/>
                <w:szCs w:val="18"/>
              </w:rPr>
            </w:pPr>
            <w:r w:rsidRPr="004775D6">
              <w:rPr>
                <w:sz w:val="18"/>
                <w:szCs w:val="18"/>
              </w:rPr>
              <w:t>47 900,0</w:t>
            </w:r>
          </w:p>
          <w:p w:rsidR="006476D4" w:rsidRDefault="006476D4" w:rsidP="000714B4">
            <w:pPr>
              <w:jc w:val="center"/>
              <w:rPr>
                <w:sz w:val="18"/>
                <w:szCs w:val="18"/>
              </w:rPr>
            </w:pPr>
          </w:p>
          <w:p w:rsidR="006476D4" w:rsidRPr="006476D4" w:rsidRDefault="006476D4" w:rsidP="000714B4">
            <w:pPr>
              <w:jc w:val="center"/>
              <w:rPr>
                <w:bCs/>
                <w:sz w:val="18"/>
                <w:szCs w:val="18"/>
                <w:lang w:val="ru-RU"/>
              </w:rPr>
            </w:pPr>
          </w:p>
        </w:tc>
      </w:tr>
      <w:tr w:rsidR="00E021FE" w:rsidRPr="00E95FB1" w:rsidTr="007E13A2">
        <w:trPr>
          <w:trHeight w:val="300"/>
        </w:trPr>
        <w:tc>
          <w:tcPr>
            <w:tcW w:w="35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Всього напрямом</w:t>
            </w:r>
          </w:p>
        </w:tc>
        <w:tc>
          <w:tcPr>
            <w:tcW w:w="1736"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х</w:t>
            </w:r>
          </w:p>
        </w:tc>
        <w:tc>
          <w:tcPr>
            <w:tcW w:w="1252"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х</w:t>
            </w:r>
          </w:p>
        </w:tc>
        <w:tc>
          <w:tcPr>
            <w:tcW w:w="1035"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х</w:t>
            </w:r>
          </w:p>
        </w:tc>
        <w:tc>
          <w:tcPr>
            <w:tcW w:w="1104"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х</w:t>
            </w:r>
          </w:p>
        </w:tc>
        <w:tc>
          <w:tcPr>
            <w:tcW w:w="1134" w:type="dxa"/>
            <w:tcBorders>
              <w:top w:val="nil"/>
              <w:left w:val="nil"/>
              <w:bottom w:val="single" w:sz="4" w:space="0" w:color="auto"/>
              <w:right w:val="single" w:sz="4" w:space="0" w:color="auto"/>
            </w:tcBorders>
            <w:shd w:val="clear" w:color="auto" w:fill="auto"/>
            <w:vAlign w:val="center"/>
            <w:hideMark/>
          </w:tcPr>
          <w:p w:rsidR="00E021FE" w:rsidRPr="007E13A2" w:rsidRDefault="001241B7" w:rsidP="007E13A2">
            <w:pPr>
              <w:jc w:val="center"/>
              <w:rPr>
                <w:b/>
                <w:color w:val="000000"/>
                <w:sz w:val="18"/>
                <w:szCs w:val="18"/>
                <w:lang w:val="ru-RU" w:eastAsia="uk-UA"/>
              </w:rPr>
            </w:pPr>
            <w:r>
              <w:rPr>
                <w:b/>
                <w:color w:val="000000"/>
                <w:sz w:val="18"/>
                <w:szCs w:val="18"/>
                <w:lang w:val="ru-RU" w:eastAsia="uk-UA"/>
              </w:rPr>
              <w:t>115442,32</w:t>
            </w:r>
          </w:p>
        </w:tc>
        <w:tc>
          <w:tcPr>
            <w:tcW w:w="992"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7E13A2" w:rsidRDefault="00594A24" w:rsidP="007E13A2">
            <w:pPr>
              <w:jc w:val="center"/>
              <w:rPr>
                <w:b/>
                <w:color w:val="000000"/>
                <w:sz w:val="18"/>
                <w:szCs w:val="18"/>
                <w:lang w:eastAsia="uk-UA"/>
              </w:rPr>
            </w:pPr>
            <w:r>
              <w:rPr>
                <w:b/>
                <w:color w:val="000000"/>
                <w:sz w:val="18"/>
                <w:szCs w:val="18"/>
                <w:lang w:val="ru-RU" w:eastAsia="uk-UA"/>
              </w:rPr>
              <w:t>28946,7</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color w:val="000000"/>
                <w:sz w:val="18"/>
                <w:szCs w:val="18"/>
                <w:lang w:eastAsia="uk-UA"/>
              </w:rPr>
            </w:pPr>
            <w:r w:rsidRPr="007E13A2">
              <w:rPr>
                <w:b/>
                <w:bCs/>
                <w:color w:val="000000"/>
                <w:sz w:val="18"/>
                <w:szCs w:val="18"/>
                <w:lang w:eastAsia="uk-UA"/>
              </w:rPr>
              <w:t>х</w:t>
            </w:r>
          </w:p>
        </w:tc>
        <w:tc>
          <w:tcPr>
            <w:tcW w:w="1164" w:type="dxa"/>
            <w:tcBorders>
              <w:top w:val="nil"/>
              <w:left w:val="nil"/>
              <w:bottom w:val="single" w:sz="4" w:space="0" w:color="auto"/>
              <w:right w:val="single" w:sz="4" w:space="0" w:color="auto"/>
            </w:tcBorders>
            <w:shd w:val="clear" w:color="auto" w:fill="auto"/>
            <w:vAlign w:val="center"/>
            <w:hideMark/>
          </w:tcPr>
          <w:p w:rsidR="00E021FE" w:rsidRPr="007E13A2" w:rsidRDefault="006476D4" w:rsidP="007E13A2">
            <w:pPr>
              <w:jc w:val="center"/>
              <w:rPr>
                <w:b/>
                <w:color w:val="000000"/>
                <w:sz w:val="18"/>
                <w:szCs w:val="18"/>
                <w:lang w:val="ru-RU" w:eastAsia="uk-UA"/>
              </w:rPr>
            </w:pPr>
            <w:r w:rsidRPr="006476D4">
              <w:rPr>
                <w:b/>
                <w:color w:val="000000"/>
                <w:sz w:val="18"/>
                <w:szCs w:val="18"/>
                <w:lang w:val="ru-RU" w:eastAsia="uk-UA"/>
              </w:rPr>
              <w:t>144389,0</w:t>
            </w:r>
            <w:r w:rsidR="00B10DB1">
              <w:rPr>
                <w:b/>
                <w:color w:val="000000"/>
                <w:sz w:val="18"/>
                <w:szCs w:val="18"/>
                <w:lang w:val="ru-RU" w:eastAsia="uk-UA"/>
              </w:rPr>
              <w:t>2</w:t>
            </w:r>
          </w:p>
        </w:tc>
      </w:tr>
      <w:tr w:rsidR="00E021FE" w:rsidRPr="00E95FB1" w:rsidTr="001B3967">
        <w:trPr>
          <w:trHeight w:val="375"/>
        </w:trPr>
        <w:tc>
          <w:tcPr>
            <w:tcW w:w="14580"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E021FE" w:rsidRPr="00E95FB1" w:rsidRDefault="00E021FE" w:rsidP="000714B4">
            <w:pPr>
              <w:jc w:val="center"/>
              <w:rPr>
                <w:color w:val="000000"/>
                <w:sz w:val="24"/>
                <w:szCs w:val="24"/>
                <w:lang w:eastAsia="uk-UA"/>
              </w:rPr>
            </w:pPr>
            <w:r>
              <w:rPr>
                <w:color w:val="000000"/>
                <w:sz w:val="24"/>
                <w:szCs w:val="24"/>
                <w:lang w:eastAsia="uk-UA"/>
              </w:rPr>
              <w:t>2.8</w:t>
            </w:r>
            <w:r w:rsidRPr="00E95FB1">
              <w:rPr>
                <w:color w:val="000000"/>
                <w:sz w:val="24"/>
                <w:szCs w:val="24"/>
                <w:lang w:eastAsia="uk-UA"/>
              </w:rPr>
              <w:t>. Об’єкти благоустрою</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6"/>
                <w:szCs w:val="16"/>
                <w:lang w:eastAsia="uk-UA"/>
              </w:rPr>
            </w:pPr>
            <w:r w:rsidRPr="00E95FB1">
              <w:rPr>
                <w:color w:val="000000"/>
                <w:sz w:val="16"/>
                <w:szCs w:val="16"/>
                <w:lang w:eastAsia="uk-UA"/>
              </w:rPr>
              <w:t>1</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Придбання комунальної техніки для ефективного та швидкого проведення робіт з благоустрою та відновлення громади</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70000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74 137,0</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0"/>
              <w:jc w:val="center"/>
              <w:rPr>
                <w:b/>
                <w:bCs/>
                <w:sz w:val="18"/>
                <w:szCs w:val="18"/>
              </w:rPr>
            </w:pPr>
            <w:r w:rsidRPr="00E95FB1">
              <w:rPr>
                <w:sz w:val="18"/>
                <w:szCs w:val="18"/>
              </w:rPr>
              <w:t>31 773,0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0"/>
              <w:jc w:val="center"/>
              <w:rPr>
                <w:bCs/>
                <w:sz w:val="18"/>
                <w:szCs w:val="18"/>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sz w:val="18"/>
                <w:szCs w:val="18"/>
              </w:rPr>
              <w:t>105 910,00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E021FE" w:rsidRPr="00E95FB1" w:rsidRDefault="00E021FE" w:rsidP="000714B4">
            <w:pPr>
              <w:jc w:val="right"/>
              <w:rPr>
                <w:color w:val="000000"/>
                <w:sz w:val="18"/>
                <w:szCs w:val="18"/>
                <w:lang w:eastAsia="uk-UA"/>
              </w:rPr>
            </w:pPr>
            <w:r w:rsidRPr="00E95FB1">
              <w:rPr>
                <w:color w:val="000000"/>
                <w:sz w:val="18"/>
                <w:szCs w:val="18"/>
                <w:lang w:eastAsia="uk-UA"/>
              </w:rPr>
              <w:t>2</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Відновлення діяльності комунального підприємства «Сєвєродонецьке підприємство благоустрою та ритуальної служби»</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Pr>
                <w:color w:val="000000"/>
                <w:sz w:val="18"/>
                <w:szCs w:val="18"/>
                <w:lang w:eastAsia="uk-UA"/>
              </w:rPr>
              <w:t>7516,39</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0"/>
              <w:jc w:val="center"/>
              <w:rPr>
                <w:color w:val="000000"/>
                <w:sz w:val="18"/>
                <w:szCs w:val="18"/>
                <w:lang w:eastAsia="uk-UA"/>
              </w:rPr>
            </w:pPr>
            <w:r>
              <w:rPr>
                <w:color w:val="000000"/>
                <w:sz w:val="18"/>
                <w:szCs w:val="18"/>
                <w:lang w:eastAsia="uk-UA"/>
              </w:rPr>
              <w:t>3221,31</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0"/>
              <w:jc w:val="center"/>
              <w:rPr>
                <w:color w:val="000000"/>
                <w:sz w:val="18"/>
                <w:szCs w:val="18"/>
                <w:lang w:eastAsia="uk-UA"/>
              </w:rPr>
            </w:pPr>
            <w:r w:rsidRPr="00E95FB1">
              <w:rPr>
                <w:color w:val="000000"/>
                <w:sz w:val="18"/>
                <w:szCs w:val="18"/>
                <w:lang w:eastAsia="uk-UA"/>
              </w:rPr>
              <w:t>Іноземні інвестори</w:t>
            </w: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Pr>
                <w:color w:val="000000"/>
                <w:sz w:val="18"/>
                <w:szCs w:val="18"/>
                <w:lang w:eastAsia="uk-UA"/>
              </w:rPr>
              <w:t>10737,7</w:t>
            </w:r>
          </w:p>
        </w:tc>
      </w:tr>
      <w:tr w:rsidR="00E021FE" w:rsidRPr="00317DC7" w:rsidTr="00317DC7">
        <w:trPr>
          <w:trHeight w:val="300"/>
        </w:trPr>
        <w:tc>
          <w:tcPr>
            <w:tcW w:w="35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21FE" w:rsidRPr="00317DC7" w:rsidRDefault="00E021FE" w:rsidP="00317DC7">
            <w:pPr>
              <w:jc w:val="center"/>
              <w:rPr>
                <w:b/>
                <w:bCs/>
                <w:color w:val="000000"/>
                <w:sz w:val="18"/>
                <w:szCs w:val="18"/>
                <w:lang w:eastAsia="uk-UA"/>
              </w:rPr>
            </w:pPr>
            <w:r w:rsidRPr="00317DC7">
              <w:rPr>
                <w:b/>
                <w:bCs/>
                <w:color w:val="000000"/>
                <w:sz w:val="18"/>
                <w:szCs w:val="18"/>
                <w:lang w:eastAsia="uk-UA"/>
              </w:rPr>
              <w:t>Всього напрямом</w:t>
            </w:r>
          </w:p>
        </w:tc>
        <w:tc>
          <w:tcPr>
            <w:tcW w:w="1736" w:type="dxa"/>
            <w:tcBorders>
              <w:top w:val="nil"/>
              <w:left w:val="nil"/>
              <w:bottom w:val="single" w:sz="4" w:space="0" w:color="auto"/>
              <w:right w:val="single" w:sz="4" w:space="0" w:color="auto"/>
            </w:tcBorders>
            <w:shd w:val="clear" w:color="auto" w:fill="auto"/>
            <w:vAlign w:val="center"/>
            <w:hideMark/>
          </w:tcPr>
          <w:p w:rsidR="00E021FE" w:rsidRPr="00317DC7" w:rsidRDefault="00E021FE" w:rsidP="00317DC7">
            <w:pPr>
              <w:jc w:val="center"/>
              <w:rPr>
                <w:b/>
                <w:bCs/>
                <w:color w:val="000000"/>
                <w:sz w:val="18"/>
                <w:szCs w:val="18"/>
                <w:lang w:eastAsia="uk-UA"/>
              </w:rPr>
            </w:pPr>
            <w:r w:rsidRPr="00317DC7">
              <w:rPr>
                <w:b/>
                <w:bCs/>
                <w:color w:val="000000"/>
                <w:sz w:val="18"/>
                <w:szCs w:val="18"/>
                <w:lang w:eastAsia="uk-UA"/>
              </w:rPr>
              <w:t>х</w:t>
            </w:r>
          </w:p>
        </w:tc>
        <w:tc>
          <w:tcPr>
            <w:tcW w:w="1252" w:type="dxa"/>
            <w:tcBorders>
              <w:top w:val="nil"/>
              <w:left w:val="nil"/>
              <w:bottom w:val="single" w:sz="4" w:space="0" w:color="auto"/>
              <w:right w:val="single" w:sz="4" w:space="0" w:color="auto"/>
            </w:tcBorders>
            <w:shd w:val="clear" w:color="auto" w:fill="auto"/>
            <w:vAlign w:val="center"/>
            <w:hideMark/>
          </w:tcPr>
          <w:p w:rsidR="00E021FE" w:rsidRPr="00317DC7" w:rsidRDefault="00E021FE" w:rsidP="00317DC7">
            <w:pPr>
              <w:jc w:val="center"/>
              <w:rPr>
                <w:b/>
                <w:bCs/>
                <w:color w:val="000000"/>
                <w:sz w:val="18"/>
                <w:szCs w:val="18"/>
                <w:lang w:eastAsia="uk-UA"/>
              </w:rPr>
            </w:pPr>
            <w:r w:rsidRPr="00317DC7">
              <w:rPr>
                <w:b/>
                <w:bCs/>
                <w:color w:val="000000"/>
                <w:sz w:val="18"/>
                <w:szCs w:val="18"/>
                <w:lang w:eastAsia="uk-UA"/>
              </w:rPr>
              <w:t>х</w:t>
            </w:r>
          </w:p>
        </w:tc>
        <w:tc>
          <w:tcPr>
            <w:tcW w:w="1035" w:type="dxa"/>
            <w:tcBorders>
              <w:top w:val="nil"/>
              <w:left w:val="nil"/>
              <w:bottom w:val="single" w:sz="4" w:space="0" w:color="auto"/>
              <w:right w:val="single" w:sz="4" w:space="0" w:color="auto"/>
            </w:tcBorders>
            <w:shd w:val="clear" w:color="auto" w:fill="auto"/>
            <w:vAlign w:val="center"/>
            <w:hideMark/>
          </w:tcPr>
          <w:p w:rsidR="00E021FE" w:rsidRPr="00317DC7" w:rsidRDefault="00E021FE" w:rsidP="00317DC7">
            <w:pPr>
              <w:jc w:val="center"/>
              <w:rPr>
                <w:b/>
                <w:bCs/>
                <w:color w:val="000000"/>
                <w:sz w:val="18"/>
                <w:szCs w:val="18"/>
                <w:lang w:eastAsia="uk-UA"/>
              </w:rPr>
            </w:pPr>
            <w:r w:rsidRPr="00317DC7">
              <w:rPr>
                <w:b/>
                <w:bCs/>
                <w:color w:val="000000"/>
                <w:sz w:val="18"/>
                <w:szCs w:val="18"/>
                <w:lang w:eastAsia="uk-UA"/>
              </w:rPr>
              <w:t>х</w:t>
            </w:r>
          </w:p>
        </w:tc>
        <w:tc>
          <w:tcPr>
            <w:tcW w:w="1104" w:type="dxa"/>
            <w:tcBorders>
              <w:top w:val="nil"/>
              <w:left w:val="nil"/>
              <w:bottom w:val="single" w:sz="4" w:space="0" w:color="auto"/>
              <w:right w:val="single" w:sz="4" w:space="0" w:color="auto"/>
            </w:tcBorders>
            <w:shd w:val="clear" w:color="auto" w:fill="auto"/>
            <w:vAlign w:val="center"/>
            <w:hideMark/>
          </w:tcPr>
          <w:p w:rsidR="00E021FE" w:rsidRPr="00317DC7" w:rsidRDefault="00E021FE" w:rsidP="00317DC7">
            <w:pPr>
              <w:jc w:val="center"/>
              <w:rPr>
                <w:b/>
                <w:bCs/>
                <w:color w:val="000000"/>
                <w:sz w:val="18"/>
                <w:szCs w:val="18"/>
                <w:lang w:eastAsia="uk-UA"/>
              </w:rPr>
            </w:pPr>
            <w:r w:rsidRPr="00317DC7">
              <w:rPr>
                <w:b/>
                <w:bCs/>
                <w:color w:val="000000"/>
                <w:sz w:val="18"/>
                <w:szCs w:val="18"/>
                <w:lang w:eastAsia="uk-UA"/>
              </w:rPr>
              <w:t>х</w:t>
            </w:r>
          </w:p>
        </w:tc>
        <w:tc>
          <w:tcPr>
            <w:tcW w:w="1134" w:type="dxa"/>
            <w:tcBorders>
              <w:top w:val="nil"/>
              <w:left w:val="nil"/>
              <w:bottom w:val="single" w:sz="4" w:space="0" w:color="auto"/>
              <w:right w:val="single" w:sz="4" w:space="0" w:color="auto"/>
            </w:tcBorders>
            <w:shd w:val="clear" w:color="auto" w:fill="auto"/>
            <w:vAlign w:val="center"/>
            <w:hideMark/>
          </w:tcPr>
          <w:p w:rsidR="00E021FE" w:rsidRPr="00317DC7" w:rsidRDefault="00E021FE" w:rsidP="00317DC7">
            <w:pPr>
              <w:jc w:val="center"/>
              <w:rPr>
                <w:b/>
                <w:color w:val="000000"/>
                <w:sz w:val="18"/>
                <w:szCs w:val="18"/>
                <w:lang w:eastAsia="uk-UA"/>
              </w:rPr>
            </w:pPr>
            <w:r w:rsidRPr="00317DC7">
              <w:rPr>
                <w:b/>
                <w:color w:val="000000"/>
                <w:sz w:val="18"/>
                <w:szCs w:val="18"/>
                <w:lang w:val="ru-RU" w:eastAsia="uk-UA"/>
              </w:rPr>
              <w:t>81653,39</w:t>
            </w:r>
          </w:p>
        </w:tc>
        <w:tc>
          <w:tcPr>
            <w:tcW w:w="992" w:type="dxa"/>
            <w:tcBorders>
              <w:top w:val="nil"/>
              <w:left w:val="nil"/>
              <w:bottom w:val="single" w:sz="4" w:space="0" w:color="auto"/>
              <w:right w:val="single" w:sz="4" w:space="0" w:color="auto"/>
            </w:tcBorders>
            <w:shd w:val="clear" w:color="auto" w:fill="auto"/>
            <w:vAlign w:val="center"/>
            <w:hideMark/>
          </w:tcPr>
          <w:p w:rsidR="00E021FE" w:rsidRPr="00317DC7" w:rsidRDefault="00E021FE" w:rsidP="00317DC7">
            <w:pPr>
              <w:jc w:val="center"/>
              <w:rPr>
                <w:b/>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317DC7" w:rsidRDefault="00E021FE" w:rsidP="00317DC7">
            <w:pPr>
              <w:jc w:val="center"/>
              <w:rPr>
                <w:b/>
                <w:color w:val="000000"/>
                <w:sz w:val="18"/>
                <w:szCs w:val="18"/>
                <w:lang w:eastAsia="uk-UA"/>
              </w:rPr>
            </w:pPr>
            <w:r w:rsidRPr="00317DC7">
              <w:rPr>
                <w:b/>
                <w:color w:val="000000"/>
                <w:sz w:val="18"/>
                <w:szCs w:val="18"/>
                <w:lang w:val="ru-RU" w:eastAsia="uk-UA"/>
              </w:rPr>
              <w:t>34994,31</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317DC7" w:rsidRDefault="00E021FE" w:rsidP="00317DC7">
            <w:pPr>
              <w:jc w:val="center"/>
              <w:rPr>
                <w:b/>
                <w:color w:val="000000"/>
                <w:sz w:val="18"/>
                <w:szCs w:val="18"/>
                <w:lang w:eastAsia="uk-UA"/>
              </w:rPr>
            </w:pPr>
            <w:r w:rsidRPr="00317DC7">
              <w:rPr>
                <w:b/>
                <w:bCs/>
                <w:color w:val="000000"/>
                <w:sz w:val="18"/>
                <w:szCs w:val="18"/>
                <w:lang w:eastAsia="uk-UA"/>
              </w:rPr>
              <w:t>х</w:t>
            </w:r>
          </w:p>
        </w:tc>
        <w:tc>
          <w:tcPr>
            <w:tcW w:w="1164" w:type="dxa"/>
            <w:tcBorders>
              <w:top w:val="nil"/>
              <w:left w:val="nil"/>
              <w:bottom w:val="single" w:sz="4" w:space="0" w:color="auto"/>
              <w:right w:val="single" w:sz="4" w:space="0" w:color="auto"/>
            </w:tcBorders>
            <w:shd w:val="clear" w:color="auto" w:fill="auto"/>
            <w:vAlign w:val="center"/>
            <w:hideMark/>
          </w:tcPr>
          <w:p w:rsidR="00E021FE" w:rsidRPr="00317DC7" w:rsidRDefault="00E021FE" w:rsidP="00317DC7">
            <w:pPr>
              <w:jc w:val="center"/>
              <w:rPr>
                <w:b/>
                <w:color w:val="000000"/>
                <w:sz w:val="18"/>
                <w:szCs w:val="18"/>
                <w:lang w:val="ru-RU" w:eastAsia="uk-UA"/>
              </w:rPr>
            </w:pPr>
            <w:r w:rsidRPr="00317DC7">
              <w:rPr>
                <w:b/>
                <w:color w:val="000000"/>
                <w:sz w:val="18"/>
                <w:szCs w:val="18"/>
                <w:lang w:val="ru-RU" w:eastAsia="uk-UA"/>
              </w:rPr>
              <w:t>116647,70</w:t>
            </w:r>
          </w:p>
        </w:tc>
      </w:tr>
      <w:tr w:rsidR="00E021FE" w:rsidRPr="00E95FB1" w:rsidTr="001B3967">
        <w:trPr>
          <w:trHeight w:val="375"/>
        </w:trPr>
        <w:tc>
          <w:tcPr>
            <w:tcW w:w="14580"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E021FE" w:rsidRPr="00D94859" w:rsidRDefault="00E021FE" w:rsidP="000714B4">
            <w:pPr>
              <w:jc w:val="center"/>
              <w:rPr>
                <w:color w:val="000000"/>
                <w:sz w:val="24"/>
                <w:szCs w:val="24"/>
                <w:lang w:eastAsia="uk-UA"/>
              </w:rPr>
            </w:pPr>
            <w:r w:rsidRPr="00D94859">
              <w:rPr>
                <w:color w:val="000000"/>
                <w:sz w:val="24"/>
                <w:szCs w:val="24"/>
                <w:lang w:eastAsia="uk-UA"/>
              </w:rPr>
              <w:t xml:space="preserve">2.9. </w:t>
            </w:r>
            <w:r w:rsidR="00D94859" w:rsidRPr="00D94859">
              <w:rPr>
                <w:bCs/>
                <w:color w:val="000000"/>
                <w:sz w:val="24"/>
                <w:szCs w:val="24"/>
                <w:lang w:eastAsia="uk-UA"/>
              </w:rPr>
              <w:t xml:space="preserve">Інші </w:t>
            </w:r>
            <w:proofErr w:type="spellStart"/>
            <w:r w:rsidR="00D94859" w:rsidRPr="00D94859">
              <w:rPr>
                <w:bCs/>
                <w:color w:val="000000"/>
                <w:sz w:val="24"/>
                <w:szCs w:val="24"/>
                <w:lang w:eastAsia="uk-UA"/>
              </w:rPr>
              <w:t>проєкти</w:t>
            </w:r>
            <w:proofErr w:type="spellEnd"/>
            <w:r w:rsidR="00D94859" w:rsidRPr="00D94859">
              <w:rPr>
                <w:bCs/>
                <w:color w:val="000000"/>
                <w:sz w:val="24"/>
                <w:szCs w:val="24"/>
                <w:lang w:eastAsia="uk-UA"/>
              </w:rPr>
              <w:t>, спрямовані на відновлення об’єктів комунальної власності Сєвєродонецької міської територіальної громади, для розміщення структурних підрозділів та виконавчих органів СМ ВА, комунальних підприємств громади та інших державних органів та структур</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E021FE" w:rsidRPr="00E95FB1" w:rsidRDefault="00E021FE" w:rsidP="000714B4">
            <w:pPr>
              <w:jc w:val="right"/>
              <w:rPr>
                <w:color w:val="000000"/>
                <w:sz w:val="18"/>
                <w:szCs w:val="18"/>
                <w:lang w:eastAsia="uk-UA"/>
              </w:rPr>
            </w:pPr>
            <w:r w:rsidRPr="00E95FB1">
              <w:rPr>
                <w:color w:val="000000"/>
                <w:sz w:val="18"/>
                <w:szCs w:val="18"/>
                <w:lang w:eastAsia="uk-UA"/>
              </w:rPr>
              <w:t>1</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rPr>
              <w:t>Відновлення діяльності комунального підприємства «Землевпорядник» Сєвєродонецької міської ради</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rPr>
              <w:t>225 000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Pr>
                <w:color w:val="000000"/>
                <w:sz w:val="18"/>
                <w:szCs w:val="18"/>
                <w:lang w:eastAsia="uk-UA"/>
              </w:rPr>
              <w:t>1003,52</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w:t>
            </w: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rPr>
            </w:pPr>
            <w:r>
              <w:rPr>
                <w:color w:val="000000"/>
                <w:sz w:val="18"/>
                <w:szCs w:val="18"/>
              </w:rPr>
              <w:t>430,08</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rPr>
              <w:t>Іноземні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Pr>
                <w:color w:val="000000"/>
                <w:sz w:val="18"/>
                <w:szCs w:val="18"/>
              </w:rPr>
              <w:t>1433,60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3</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Формування матеріальної бази для забезпечення оптимальних умов зберігання архівних документів ліквідованих підприємств, організацій та установ Сєвєродонецької міської територіальної громади</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70260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2410,1</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0"/>
              <w:jc w:val="center"/>
              <w:rPr>
                <w:color w:val="000000"/>
                <w:sz w:val="18"/>
                <w:szCs w:val="18"/>
                <w:lang w:eastAsia="uk-UA"/>
              </w:rPr>
            </w:pPr>
            <w:r w:rsidRPr="00E95FB1">
              <w:rPr>
                <w:color w:val="000000"/>
                <w:sz w:val="18"/>
                <w:szCs w:val="18"/>
                <w:lang w:eastAsia="uk-UA"/>
              </w:rPr>
              <w:t>1032,9</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0"/>
              <w:jc w:val="center"/>
              <w:rPr>
                <w:color w:val="000000"/>
                <w:sz w:val="18"/>
                <w:szCs w:val="18"/>
                <w:lang w:eastAsia="uk-UA"/>
              </w:rPr>
            </w:pPr>
            <w:r w:rsidRPr="00E95FB1">
              <w:rPr>
                <w:color w:val="000000"/>
                <w:sz w:val="18"/>
                <w:szCs w:val="18"/>
                <w:lang w:eastAsia="uk-UA"/>
              </w:rPr>
              <w:t>Іноземні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3443,0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4</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autoSpaceDE w:val="0"/>
              <w:autoSpaceDN w:val="0"/>
              <w:adjustRightInd w:val="0"/>
              <w:jc w:val="center"/>
              <w:rPr>
                <w:color w:val="000000"/>
                <w:sz w:val="18"/>
                <w:szCs w:val="18"/>
              </w:rPr>
            </w:pPr>
            <w:r w:rsidRPr="00E95FB1">
              <w:rPr>
                <w:color w:val="000000"/>
                <w:sz w:val="18"/>
                <w:szCs w:val="18"/>
              </w:rPr>
              <w:t>Проведення топографо-геодезичних робіт для створення картографічних планів території Сєвєродонецької міської територіальної громади в електронному вигляді</w:t>
            </w:r>
          </w:p>
          <w:p w:rsidR="00E021FE" w:rsidRPr="00E95FB1" w:rsidRDefault="00E021FE" w:rsidP="000714B4">
            <w:pPr>
              <w:jc w:val="center"/>
              <w:rPr>
                <w:color w:val="000000"/>
                <w:sz w:val="18"/>
                <w:szCs w:val="18"/>
                <w:lang w:eastAsia="uk-UA"/>
              </w:rPr>
            </w:pPr>
            <w:r w:rsidRPr="00E95FB1">
              <w:rPr>
                <w:color w:val="000000"/>
                <w:sz w:val="18"/>
                <w:szCs w:val="18"/>
              </w:rPr>
              <w:t>М 1:10 000</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105 000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3 800,0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3 800,0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lastRenderedPageBreak/>
              <w:t>5</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rPr>
              <w:t>Розроблення Комплексного плану просторового розвитку території Сєвєродонецької міської територіальної громади</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105 000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7 200,0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7 200,0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6</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Arial"/>
                <w:sz w:val="18"/>
                <w:szCs w:val="18"/>
              </w:rPr>
              <w:t>Розроблення технічної документації з нормативної грошової оцінки населених пунктів Сєвєродонецької міської територіальної громади</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105 000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sz w:val="18"/>
                <w:szCs w:val="18"/>
              </w:rPr>
              <w:t>1 800,0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sz w:val="18"/>
                <w:szCs w:val="18"/>
              </w:rPr>
              <w:t>1 800,0</w:t>
            </w:r>
          </w:p>
        </w:tc>
      </w:tr>
      <w:tr w:rsidR="00E021FE" w:rsidRPr="009A2C4D" w:rsidTr="009A2C4D">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9A2C4D" w:rsidRDefault="00E021FE" w:rsidP="000714B4">
            <w:pPr>
              <w:jc w:val="center"/>
              <w:rPr>
                <w:color w:val="000000"/>
                <w:sz w:val="18"/>
                <w:szCs w:val="18"/>
                <w:lang w:eastAsia="uk-UA"/>
              </w:rPr>
            </w:pPr>
            <w:r w:rsidRPr="009A2C4D">
              <w:rPr>
                <w:color w:val="000000"/>
                <w:sz w:val="18"/>
                <w:szCs w:val="18"/>
                <w:lang w:eastAsia="uk-UA"/>
              </w:rPr>
              <w:t>7</w:t>
            </w:r>
          </w:p>
        </w:tc>
        <w:tc>
          <w:tcPr>
            <w:tcW w:w="3049" w:type="dxa"/>
            <w:tcBorders>
              <w:top w:val="nil"/>
              <w:left w:val="nil"/>
              <w:bottom w:val="single" w:sz="4" w:space="0" w:color="auto"/>
              <w:right w:val="single" w:sz="4" w:space="0" w:color="auto"/>
            </w:tcBorders>
            <w:shd w:val="clear" w:color="auto" w:fill="auto"/>
            <w:vAlign w:val="center"/>
            <w:hideMark/>
          </w:tcPr>
          <w:p w:rsidR="00E021FE" w:rsidRPr="009A2C4D" w:rsidRDefault="00E021FE" w:rsidP="000714B4">
            <w:pPr>
              <w:jc w:val="center"/>
              <w:rPr>
                <w:color w:val="000000"/>
                <w:sz w:val="18"/>
                <w:szCs w:val="18"/>
                <w:lang w:eastAsia="uk-UA"/>
              </w:rPr>
            </w:pPr>
            <w:r w:rsidRPr="009A2C4D">
              <w:rPr>
                <w:bCs/>
                <w:color w:val="000000"/>
                <w:sz w:val="18"/>
                <w:szCs w:val="18"/>
                <w:lang w:eastAsia="uk-UA"/>
              </w:rPr>
              <w:t xml:space="preserve">Відновлення  </w:t>
            </w:r>
            <w:r w:rsidRPr="009A2C4D">
              <w:rPr>
                <w:bCs/>
                <w:sz w:val="18"/>
                <w:szCs w:val="18"/>
                <w:lang w:eastAsia="uk-UA"/>
              </w:rPr>
              <w:t>(капітальний ремонт) будівлі</w:t>
            </w:r>
            <w:r w:rsidRPr="009A2C4D">
              <w:rPr>
                <w:bCs/>
                <w:color w:val="000000"/>
                <w:sz w:val="18"/>
                <w:szCs w:val="18"/>
                <w:lang w:eastAsia="uk-UA"/>
              </w:rPr>
              <w:t xml:space="preserve">  Комунального підприємства "Сєвєродонецьке бюро технічної інвентаризації" та відновлення технологічного забезпечення</w:t>
            </w:r>
          </w:p>
        </w:tc>
        <w:tc>
          <w:tcPr>
            <w:tcW w:w="1736" w:type="dxa"/>
            <w:tcBorders>
              <w:top w:val="nil"/>
              <w:left w:val="nil"/>
              <w:bottom w:val="single" w:sz="4" w:space="0" w:color="auto"/>
              <w:right w:val="single" w:sz="4" w:space="0" w:color="auto"/>
            </w:tcBorders>
            <w:shd w:val="clear" w:color="auto" w:fill="auto"/>
            <w:vAlign w:val="center"/>
            <w:hideMark/>
          </w:tcPr>
          <w:p w:rsidR="00E021FE" w:rsidRPr="009A2C4D" w:rsidRDefault="00E021FE" w:rsidP="000714B4">
            <w:pPr>
              <w:jc w:val="center"/>
              <w:rPr>
                <w:color w:val="000000"/>
                <w:sz w:val="18"/>
                <w:szCs w:val="18"/>
                <w:lang w:eastAsia="uk-UA"/>
              </w:rPr>
            </w:pPr>
            <w:r w:rsidRPr="009A2C4D">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9A2C4D" w:rsidRDefault="00E021FE" w:rsidP="000714B4">
            <w:pPr>
              <w:jc w:val="center"/>
              <w:rPr>
                <w:color w:val="000000"/>
                <w:sz w:val="18"/>
                <w:szCs w:val="18"/>
                <w:lang w:eastAsia="uk-UA"/>
              </w:rPr>
            </w:pPr>
            <w:r w:rsidRPr="009A2C4D">
              <w:rPr>
                <w:color w:val="000000"/>
                <w:sz w:val="18"/>
                <w:szCs w:val="18"/>
                <w:lang w:eastAsia="uk-UA"/>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9A2C4D" w:rsidRDefault="00E021FE" w:rsidP="000714B4">
            <w:pPr>
              <w:jc w:val="center"/>
              <w:rPr>
                <w:color w:val="000000"/>
                <w:sz w:val="18"/>
                <w:szCs w:val="18"/>
                <w:lang w:eastAsia="uk-UA"/>
              </w:rPr>
            </w:pPr>
            <w:r w:rsidRPr="009A2C4D">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9A2C4D"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9A2C4D" w:rsidRDefault="00E021FE" w:rsidP="000714B4">
            <w:pPr>
              <w:jc w:val="center"/>
              <w:rPr>
                <w:color w:val="000000"/>
                <w:sz w:val="18"/>
                <w:szCs w:val="18"/>
                <w:lang w:eastAsia="uk-UA"/>
              </w:rPr>
            </w:pPr>
            <w:r w:rsidRPr="009A2C4D">
              <w:rPr>
                <w:color w:val="000000"/>
                <w:sz w:val="18"/>
                <w:szCs w:val="18"/>
                <w:lang w:eastAsia="uk-UA"/>
              </w:rPr>
              <w:t>9627,9</w:t>
            </w:r>
          </w:p>
        </w:tc>
        <w:tc>
          <w:tcPr>
            <w:tcW w:w="992" w:type="dxa"/>
            <w:tcBorders>
              <w:top w:val="nil"/>
              <w:left w:val="nil"/>
              <w:bottom w:val="single" w:sz="4" w:space="0" w:color="auto"/>
              <w:right w:val="single" w:sz="4" w:space="0" w:color="auto"/>
            </w:tcBorders>
            <w:shd w:val="clear" w:color="auto" w:fill="auto"/>
            <w:vAlign w:val="center"/>
            <w:hideMark/>
          </w:tcPr>
          <w:p w:rsidR="00E021FE" w:rsidRPr="009A2C4D"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9A2C4D" w:rsidRDefault="00E021FE" w:rsidP="000714B4">
            <w:pPr>
              <w:jc w:val="center"/>
              <w:rPr>
                <w:color w:val="000000"/>
                <w:sz w:val="18"/>
                <w:szCs w:val="18"/>
                <w:lang w:eastAsia="uk-UA"/>
              </w:rPr>
            </w:pPr>
            <w:r w:rsidRPr="009A2C4D">
              <w:rPr>
                <w:color w:val="000000"/>
                <w:sz w:val="18"/>
                <w:szCs w:val="18"/>
                <w:lang w:eastAsia="uk-UA"/>
              </w:rPr>
              <w:t>4126,242</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9A2C4D" w:rsidRDefault="00E021FE" w:rsidP="000714B4">
            <w:pPr>
              <w:jc w:val="center"/>
              <w:rPr>
                <w:color w:val="000000"/>
                <w:sz w:val="18"/>
                <w:szCs w:val="18"/>
                <w:lang w:eastAsia="uk-UA"/>
              </w:rPr>
            </w:pPr>
            <w:r w:rsidRPr="009A2C4D">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9A2C4D" w:rsidRDefault="00E021FE" w:rsidP="000714B4">
            <w:pPr>
              <w:jc w:val="center"/>
              <w:rPr>
                <w:color w:val="000000"/>
                <w:sz w:val="18"/>
                <w:szCs w:val="18"/>
                <w:lang w:eastAsia="uk-UA"/>
              </w:rPr>
            </w:pPr>
            <w:r w:rsidRPr="009A2C4D">
              <w:rPr>
                <w:color w:val="000000"/>
                <w:sz w:val="18"/>
                <w:szCs w:val="18"/>
                <w:lang w:eastAsia="uk-UA"/>
              </w:rPr>
              <w:t>13754,142</w:t>
            </w:r>
          </w:p>
        </w:tc>
      </w:tr>
      <w:tr w:rsidR="00CA2D7F" w:rsidRPr="009A2C4D" w:rsidTr="009A2C4D">
        <w:trPr>
          <w:trHeight w:val="300"/>
        </w:trPr>
        <w:tc>
          <w:tcPr>
            <w:tcW w:w="486" w:type="dxa"/>
            <w:tcBorders>
              <w:top w:val="nil"/>
              <w:left w:val="single" w:sz="4" w:space="0" w:color="auto"/>
              <w:bottom w:val="single" w:sz="4" w:space="0" w:color="auto"/>
              <w:right w:val="single" w:sz="4" w:space="0" w:color="auto"/>
            </w:tcBorders>
            <w:shd w:val="clear" w:color="auto" w:fill="auto"/>
            <w:vAlign w:val="center"/>
          </w:tcPr>
          <w:p w:rsidR="00CA2D7F" w:rsidRPr="00CA2D7F" w:rsidRDefault="00CA2D7F" w:rsidP="00CA2D7F">
            <w:pPr>
              <w:jc w:val="center"/>
              <w:rPr>
                <w:color w:val="000000"/>
                <w:sz w:val="18"/>
                <w:szCs w:val="18"/>
                <w:lang w:val="ru-RU" w:eastAsia="uk-UA"/>
              </w:rPr>
            </w:pPr>
            <w:r>
              <w:rPr>
                <w:color w:val="000000"/>
                <w:sz w:val="18"/>
                <w:szCs w:val="18"/>
                <w:lang w:val="ru-RU" w:eastAsia="uk-UA"/>
              </w:rPr>
              <w:t>8</w:t>
            </w:r>
          </w:p>
        </w:tc>
        <w:tc>
          <w:tcPr>
            <w:tcW w:w="3049" w:type="dxa"/>
            <w:tcBorders>
              <w:top w:val="nil"/>
              <w:left w:val="nil"/>
              <w:bottom w:val="single" w:sz="4" w:space="0" w:color="auto"/>
              <w:right w:val="single" w:sz="4" w:space="0" w:color="auto"/>
            </w:tcBorders>
            <w:shd w:val="clear" w:color="auto" w:fill="auto"/>
            <w:vAlign w:val="center"/>
          </w:tcPr>
          <w:p w:rsidR="00CA2D7F" w:rsidRPr="00E021FE" w:rsidRDefault="00CA2D7F" w:rsidP="00CA2D7F">
            <w:pPr>
              <w:jc w:val="center"/>
              <w:rPr>
                <w:color w:val="000000"/>
                <w:sz w:val="18"/>
                <w:szCs w:val="18"/>
                <w:lang w:eastAsia="uk-UA"/>
              </w:rPr>
            </w:pPr>
            <w:r w:rsidRPr="00E021FE">
              <w:rPr>
                <w:rFonts w:eastAsia="Calibri"/>
                <w:color w:val="000000"/>
                <w:sz w:val="18"/>
                <w:szCs w:val="18"/>
              </w:rPr>
              <w:t>Відновлення  адмінбудівель КП «</w:t>
            </w:r>
            <w:proofErr w:type="spellStart"/>
            <w:r w:rsidRPr="00E021FE">
              <w:rPr>
                <w:rFonts w:eastAsia="Calibri"/>
                <w:color w:val="000000"/>
                <w:sz w:val="18"/>
                <w:szCs w:val="18"/>
              </w:rPr>
              <w:t>Житлосервіс</w:t>
            </w:r>
            <w:proofErr w:type="spellEnd"/>
            <w:r w:rsidRPr="00E021FE">
              <w:rPr>
                <w:rFonts w:eastAsia="Calibri"/>
                <w:color w:val="000000"/>
                <w:sz w:val="18"/>
                <w:szCs w:val="18"/>
              </w:rPr>
              <w:t xml:space="preserve"> «Світанок»</w:t>
            </w:r>
          </w:p>
        </w:tc>
        <w:tc>
          <w:tcPr>
            <w:tcW w:w="1736" w:type="dxa"/>
            <w:tcBorders>
              <w:top w:val="nil"/>
              <w:left w:val="nil"/>
              <w:bottom w:val="single" w:sz="4" w:space="0" w:color="auto"/>
              <w:right w:val="single" w:sz="4" w:space="0" w:color="auto"/>
            </w:tcBorders>
            <w:shd w:val="clear" w:color="auto" w:fill="auto"/>
            <w:vAlign w:val="center"/>
          </w:tcPr>
          <w:p w:rsidR="00CA2D7F" w:rsidRPr="00E021FE" w:rsidRDefault="00CA2D7F" w:rsidP="00CA2D7F">
            <w:pPr>
              <w:jc w:val="center"/>
              <w:rPr>
                <w:sz w:val="18"/>
                <w:szCs w:val="18"/>
              </w:rPr>
            </w:pPr>
            <w:r w:rsidRPr="00E021FE">
              <w:rPr>
                <w:rFonts w:eastAsia="Calibri"/>
                <w:color w:val="000000"/>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tcPr>
          <w:p w:rsidR="00CA2D7F" w:rsidRPr="00E021FE" w:rsidRDefault="00CA2D7F" w:rsidP="00CA2D7F">
            <w:pPr>
              <w:jc w:val="center"/>
              <w:rPr>
                <w:sz w:val="18"/>
                <w:szCs w:val="18"/>
              </w:rPr>
            </w:pPr>
            <w:r w:rsidRPr="00E021FE">
              <w:rPr>
                <w:rFonts w:eastAsia="Calibri"/>
                <w:color w:val="000000"/>
                <w:sz w:val="18"/>
                <w:szCs w:val="18"/>
              </w:rPr>
              <w:t>150000</w:t>
            </w:r>
          </w:p>
        </w:tc>
        <w:tc>
          <w:tcPr>
            <w:tcW w:w="1035" w:type="dxa"/>
            <w:tcBorders>
              <w:top w:val="nil"/>
              <w:left w:val="nil"/>
              <w:bottom w:val="single" w:sz="4" w:space="0" w:color="auto"/>
              <w:right w:val="single" w:sz="4" w:space="0" w:color="auto"/>
            </w:tcBorders>
            <w:shd w:val="clear" w:color="auto" w:fill="auto"/>
            <w:vAlign w:val="center"/>
          </w:tcPr>
          <w:p w:rsidR="00CA2D7F" w:rsidRPr="00E021FE" w:rsidRDefault="00CA2D7F" w:rsidP="00CA2D7F">
            <w:pPr>
              <w:jc w:val="center"/>
              <w:rPr>
                <w:color w:val="000000"/>
                <w:sz w:val="18"/>
                <w:szCs w:val="18"/>
                <w:lang w:eastAsia="uk-UA"/>
              </w:rPr>
            </w:pPr>
            <w:r w:rsidRPr="00E021FE">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tcPr>
          <w:p w:rsidR="00CA2D7F" w:rsidRPr="00E021FE" w:rsidRDefault="00CA2D7F" w:rsidP="00CA2D7F">
            <w:pPr>
              <w:jc w:val="center"/>
              <w:rPr>
                <w:color w:val="000000"/>
                <w:sz w:val="18"/>
                <w:szCs w:val="18"/>
                <w:lang w:eastAsia="uk-UA"/>
              </w:rPr>
            </w:pPr>
            <w:r w:rsidRPr="00E021FE">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tcPr>
          <w:p w:rsidR="00CA2D7F" w:rsidRPr="00E021FE" w:rsidRDefault="00CA2D7F" w:rsidP="00CA2D7F">
            <w:pPr>
              <w:autoSpaceDE w:val="0"/>
              <w:snapToGrid w:val="0"/>
              <w:jc w:val="center"/>
              <w:rPr>
                <w:bCs/>
                <w:sz w:val="18"/>
                <w:szCs w:val="18"/>
              </w:rPr>
            </w:pPr>
            <w:r w:rsidRPr="00E021FE">
              <w:rPr>
                <w:rFonts w:eastAsia="Calibri"/>
                <w:bCs/>
                <w:sz w:val="18"/>
                <w:szCs w:val="18"/>
                <w:lang w:val="en-US"/>
              </w:rPr>
              <w:t>5 880</w:t>
            </w:r>
            <w:r w:rsidRPr="00E021FE">
              <w:rPr>
                <w:rFonts w:eastAsia="Calibri"/>
                <w:bCs/>
                <w:sz w:val="18"/>
                <w:szCs w:val="18"/>
              </w:rPr>
              <w:t>,00</w:t>
            </w:r>
          </w:p>
        </w:tc>
        <w:tc>
          <w:tcPr>
            <w:tcW w:w="992" w:type="dxa"/>
            <w:tcBorders>
              <w:top w:val="nil"/>
              <w:left w:val="nil"/>
              <w:bottom w:val="single" w:sz="4" w:space="0" w:color="auto"/>
              <w:right w:val="single" w:sz="4" w:space="0" w:color="auto"/>
            </w:tcBorders>
            <w:shd w:val="clear" w:color="auto" w:fill="auto"/>
            <w:vAlign w:val="center"/>
          </w:tcPr>
          <w:p w:rsidR="00CA2D7F" w:rsidRPr="00E021FE"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tcPr>
          <w:p w:rsidR="00CA2D7F" w:rsidRPr="00E021FE" w:rsidRDefault="00CA2D7F" w:rsidP="00CA2D7F">
            <w:pPr>
              <w:jc w:val="center"/>
              <w:rPr>
                <w:rFonts w:eastAsia="Calibri"/>
                <w:bCs/>
                <w:sz w:val="18"/>
                <w:szCs w:val="18"/>
              </w:rPr>
            </w:pPr>
            <w:r w:rsidRPr="00E021FE">
              <w:rPr>
                <w:rFonts w:eastAsia="Calibri"/>
                <w:bCs/>
                <w:sz w:val="18"/>
                <w:szCs w:val="18"/>
              </w:rPr>
              <w:t>2 520,00</w:t>
            </w:r>
          </w:p>
        </w:tc>
        <w:tc>
          <w:tcPr>
            <w:tcW w:w="1500" w:type="dxa"/>
            <w:gridSpan w:val="2"/>
            <w:tcBorders>
              <w:top w:val="nil"/>
              <w:left w:val="nil"/>
              <w:bottom w:val="single" w:sz="4" w:space="0" w:color="auto"/>
              <w:right w:val="single" w:sz="4" w:space="0" w:color="auto"/>
            </w:tcBorders>
            <w:shd w:val="clear" w:color="auto" w:fill="auto"/>
            <w:vAlign w:val="center"/>
          </w:tcPr>
          <w:p w:rsidR="00CA2D7F" w:rsidRPr="00E021FE" w:rsidRDefault="00CA2D7F" w:rsidP="00CA2D7F">
            <w:pPr>
              <w:jc w:val="center"/>
              <w:rPr>
                <w:rFonts w:eastAsia="Calibri"/>
                <w:bCs/>
                <w:sz w:val="18"/>
                <w:szCs w:val="18"/>
              </w:rPr>
            </w:pPr>
            <w:r w:rsidRPr="00E021FE">
              <w:rPr>
                <w:rFonts w:eastAsia="Calibri"/>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tcPr>
          <w:p w:rsidR="00CA2D7F" w:rsidRPr="00E021FE" w:rsidRDefault="00CA2D7F" w:rsidP="00CA2D7F">
            <w:pPr>
              <w:jc w:val="center"/>
              <w:rPr>
                <w:color w:val="000000"/>
                <w:sz w:val="18"/>
                <w:szCs w:val="18"/>
                <w:lang w:eastAsia="uk-UA"/>
              </w:rPr>
            </w:pPr>
            <w:r w:rsidRPr="00E021FE">
              <w:rPr>
                <w:rFonts w:eastAsia="Calibri"/>
                <w:bCs/>
                <w:sz w:val="18"/>
                <w:szCs w:val="18"/>
                <w:lang w:val="en-US"/>
              </w:rPr>
              <w:t>8 40</w:t>
            </w:r>
            <w:r w:rsidRPr="00E021FE">
              <w:rPr>
                <w:rFonts w:eastAsia="Calibri"/>
                <w:bCs/>
                <w:sz w:val="18"/>
                <w:szCs w:val="18"/>
              </w:rPr>
              <w:t>0,</w:t>
            </w:r>
            <w:r w:rsidRPr="00E021FE">
              <w:rPr>
                <w:rFonts w:eastAsia="Calibri"/>
                <w:bCs/>
                <w:sz w:val="18"/>
                <w:szCs w:val="18"/>
                <w:lang w:val="en-US"/>
              </w:rPr>
              <w:t>00</w:t>
            </w:r>
          </w:p>
        </w:tc>
      </w:tr>
      <w:tr w:rsidR="00CA2D7F" w:rsidRPr="00E95FB1" w:rsidTr="00022331">
        <w:trPr>
          <w:trHeight w:val="300"/>
        </w:trPr>
        <w:tc>
          <w:tcPr>
            <w:tcW w:w="35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A2D7F" w:rsidRPr="00022331" w:rsidRDefault="00CA2D7F" w:rsidP="00CA2D7F">
            <w:pPr>
              <w:jc w:val="center"/>
              <w:rPr>
                <w:b/>
                <w:bCs/>
                <w:color w:val="000000"/>
                <w:sz w:val="18"/>
                <w:szCs w:val="18"/>
                <w:lang w:eastAsia="uk-UA"/>
              </w:rPr>
            </w:pPr>
            <w:r w:rsidRPr="00022331">
              <w:rPr>
                <w:b/>
                <w:bCs/>
                <w:color w:val="000000"/>
                <w:sz w:val="18"/>
                <w:szCs w:val="18"/>
                <w:lang w:eastAsia="uk-UA"/>
              </w:rPr>
              <w:t>Всього напрямом</w:t>
            </w:r>
          </w:p>
        </w:tc>
        <w:tc>
          <w:tcPr>
            <w:tcW w:w="1736" w:type="dxa"/>
            <w:tcBorders>
              <w:top w:val="nil"/>
              <w:left w:val="nil"/>
              <w:bottom w:val="single" w:sz="4" w:space="0" w:color="auto"/>
              <w:right w:val="single" w:sz="4" w:space="0" w:color="auto"/>
            </w:tcBorders>
            <w:shd w:val="clear" w:color="auto" w:fill="auto"/>
            <w:vAlign w:val="center"/>
            <w:hideMark/>
          </w:tcPr>
          <w:p w:rsidR="00CA2D7F" w:rsidRPr="00022331" w:rsidRDefault="00CA2D7F" w:rsidP="00CA2D7F">
            <w:pPr>
              <w:jc w:val="center"/>
              <w:rPr>
                <w:b/>
                <w:bCs/>
                <w:color w:val="000000"/>
                <w:sz w:val="18"/>
                <w:szCs w:val="18"/>
                <w:lang w:eastAsia="uk-UA"/>
              </w:rPr>
            </w:pPr>
            <w:r w:rsidRPr="00022331">
              <w:rPr>
                <w:b/>
                <w:bCs/>
                <w:color w:val="000000"/>
                <w:sz w:val="18"/>
                <w:szCs w:val="18"/>
                <w:lang w:eastAsia="uk-UA"/>
              </w:rPr>
              <w:t>х</w:t>
            </w:r>
          </w:p>
        </w:tc>
        <w:tc>
          <w:tcPr>
            <w:tcW w:w="1252" w:type="dxa"/>
            <w:tcBorders>
              <w:top w:val="nil"/>
              <w:left w:val="nil"/>
              <w:bottom w:val="single" w:sz="4" w:space="0" w:color="auto"/>
              <w:right w:val="single" w:sz="4" w:space="0" w:color="auto"/>
            </w:tcBorders>
            <w:shd w:val="clear" w:color="auto" w:fill="auto"/>
            <w:vAlign w:val="center"/>
            <w:hideMark/>
          </w:tcPr>
          <w:p w:rsidR="00CA2D7F" w:rsidRPr="00022331" w:rsidRDefault="00CA2D7F" w:rsidP="00CA2D7F">
            <w:pPr>
              <w:jc w:val="center"/>
              <w:rPr>
                <w:b/>
                <w:bCs/>
                <w:color w:val="000000"/>
                <w:sz w:val="18"/>
                <w:szCs w:val="18"/>
                <w:lang w:eastAsia="uk-UA"/>
              </w:rPr>
            </w:pPr>
            <w:r w:rsidRPr="00022331">
              <w:rPr>
                <w:b/>
                <w:bCs/>
                <w:color w:val="000000"/>
                <w:sz w:val="18"/>
                <w:szCs w:val="18"/>
                <w:lang w:eastAsia="uk-UA"/>
              </w:rPr>
              <w:t>х</w:t>
            </w:r>
          </w:p>
        </w:tc>
        <w:tc>
          <w:tcPr>
            <w:tcW w:w="1035" w:type="dxa"/>
            <w:tcBorders>
              <w:top w:val="nil"/>
              <w:left w:val="nil"/>
              <w:bottom w:val="single" w:sz="4" w:space="0" w:color="auto"/>
              <w:right w:val="single" w:sz="4" w:space="0" w:color="auto"/>
            </w:tcBorders>
            <w:shd w:val="clear" w:color="auto" w:fill="auto"/>
            <w:vAlign w:val="center"/>
            <w:hideMark/>
          </w:tcPr>
          <w:p w:rsidR="00CA2D7F" w:rsidRPr="00022331" w:rsidRDefault="00CA2D7F" w:rsidP="00CA2D7F">
            <w:pPr>
              <w:jc w:val="center"/>
              <w:rPr>
                <w:b/>
                <w:bCs/>
                <w:color w:val="000000"/>
                <w:sz w:val="18"/>
                <w:szCs w:val="18"/>
                <w:lang w:eastAsia="uk-UA"/>
              </w:rPr>
            </w:pPr>
            <w:r w:rsidRPr="00022331">
              <w:rPr>
                <w:b/>
                <w:bCs/>
                <w:color w:val="000000"/>
                <w:sz w:val="18"/>
                <w:szCs w:val="18"/>
                <w:lang w:eastAsia="uk-UA"/>
              </w:rPr>
              <w:t>х</w:t>
            </w:r>
          </w:p>
        </w:tc>
        <w:tc>
          <w:tcPr>
            <w:tcW w:w="1104" w:type="dxa"/>
            <w:tcBorders>
              <w:top w:val="nil"/>
              <w:left w:val="nil"/>
              <w:bottom w:val="single" w:sz="4" w:space="0" w:color="auto"/>
              <w:right w:val="single" w:sz="4" w:space="0" w:color="auto"/>
            </w:tcBorders>
            <w:shd w:val="clear" w:color="auto" w:fill="auto"/>
            <w:vAlign w:val="center"/>
            <w:hideMark/>
          </w:tcPr>
          <w:p w:rsidR="00CA2D7F" w:rsidRPr="00022331" w:rsidRDefault="00CA2D7F" w:rsidP="00CA2D7F">
            <w:pPr>
              <w:jc w:val="center"/>
              <w:rPr>
                <w:b/>
                <w:bCs/>
                <w:color w:val="000000"/>
                <w:sz w:val="18"/>
                <w:szCs w:val="18"/>
                <w:lang w:eastAsia="uk-UA"/>
              </w:rPr>
            </w:pPr>
            <w:r w:rsidRPr="00022331">
              <w:rPr>
                <w:b/>
                <w:bCs/>
                <w:color w:val="000000"/>
                <w:sz w:val="18"/>
                <w:szCs w:val="18"/>
                <w:lang w:eastAsia="uk-UA"/>
              </w:rPr>
              <w:t>х</w:t>
            </w:r>
          </w:p>
        </w:tc>
        <w:tc>
          <w:tcPr>
            <w:tcW w:w="1134" w:type="dxa"/>
            <w:tcBorders>
              <w:top w:val="nil"/>
              <w:left w:val="nil"/>
              <w:bottom w:val="single" w:sz="4" w:space="0" w:color="auto"/>
              <w:right w:val="single" w:sz="4" w:space="0" w:color="auto"/>
            </w:tcBorders>
            <w:shd w:val="clear" w:color="auto" w:fill="auto"/>
            <w:vAlign w:val="center"/>
            <w:hideMark/>
          </w:tcPr>
          <w:p w:rsidR="00CA2D7F" w:rsidRPr="00022331" w:rsidRDefault="0015478B" w:rsidP="00CA2D7F">
            <w:pPr>
              <w:jc w:val="center"/>
              <w:rPr>
                <w:b/>
                <w:color w:val="000000"/>
                <w:sz w:val="18"/>
                <w:szCs w:val="18"/>
                <w:lang w:eastAsia="uk-UA"/>
              </w:rPr>
            </w:pPr>
            <w:r>
              <w:rPr>
                <w:b/>
                <w:color w:val="000000"/>
                <w:sz w:val="18"/>
                <w:szCs w:val="18"/>
                <w:lang w:val="ru-RU" w:eastAsia="uk-UA"/>
              </w:rPr>
              <w:t>31721,52</w:t>
            </w:r>
          </w:p>
        </w:tc>
        <w:tc>
          <w:tcPr>
            <w:tcW w:w="992" w:type="dxa"/>
            <w:tcBorders>
              <w:top w:val="nil"/>
              <w:left w:val="nil"/>
              <w:bottom w:val="single" w:sz="4" w:space="0" w:color="auto"/>
              <w:right w:val="single" w:sz="4" w:space="0" w:color="auto"/>
            </w:tcBorders>
            <w:shd w:val="clear" w:color="auto" w:fill="auto"/>
            <w:vAlign w:val="center"/>
            <w:hideMark/>
          </w:tcPr>
          <w:p w:rsidR="00CA2D7F" w:rsidRPr="00022331" w:rsidRDefault="00CA2D7F" w:rsidP="00CA2D7F">
            <w:pPr>
              <w:jc w:val="center"/>
              <w:rPr>
                <w:b/>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022331" w:rsidRDefault="0015478B" w:rsidP="00CA2D7F">
            <w:pPr>
              <w:jc w:val="center"/>
              <w:rPr>
                <w:b/>
                <w:color w:val="000000"/>
                <w:sz w:val="18"/>
                <w:szCs w:val="18"/>
                <w:lang w:val="ru-RU" w:eastAsia="uk-UA"/>
              </w:rPr>
            </w:pPr>
            <w:r>
              <w:rPr>
                <w:b/>
                <w:color w:val="000000"/>
                <w:sz w:val="18"/>
                <w:szCs w:val="18"/>
                <w:lang w:val="ru-RU" w:eastAsia="uk-UA"/>
              </w:rPr>
              <w:t>8109,22</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022331" w:rsidRDefault="00CA2D7F" w:rsidP="00CA2D7F">
            <w:pPr>
              <w:jc w:val="center"/>
              <w:rPr>
                <w:b/>
                <w:color w:val="000000"/>
                <w:sz w:val="18"/>
                <w:szCs w:val="18"/>
                <w:lang w:eastAsia="uk-UA"/>
              </w:rPr>
            </w:pPr>
            <w:r w:rsidRPr="00022331">
              <w:rPr>
                <w:b/>
                <w:bCs/>
                <w:color w:val="000000"/>
                <w:sz w:val="18"/>
                <w:szCs w:val="18"/>
                <w:lang w:eastAsia="uk-UA"/>
              </w:rPr>
              <w:t>х</w:t>
            </w:r>
          </w:p>
        </w:tc>
        <w:tc>
          <w:tcPr>
            <w:tcW w:w="1164" w:type="dxa"/>
            <w:tcBorders>
              <w:top w:val="nil"/>
              <w:left w:val="nil"/>
              <w:bottom w:val="single" w:sz="4" w:space="0" w:color="auto"/>
              <w:right w:val="single" w:sz="4" w:space="0" w:color="auto"/>
            </w:tcBorders>
            <w:shd w:val="clear" w:color="auto" w:fill="auto"/>
            <w:vAlign w:val="center"/>
            <w:hideMark/>
          </w:tcPr>
          <w:p w:rsidR="00CA2D7F" w:rsidRPr="00022331" w:rsidRDefault="0015478B" w:rsidP="00CA2D7F">
            <w:pPr>
              <w:jc w:val="center"/>
              <w:rPr>
                <w:b/>
                <w:color w:val="000000"/>
                <w:sz w:val="18"/>
                <w:szCs w:val="18"/>
                <w:lang w:val="ru-RU" w:eastAsia="uk-UA"/>
              </w:rPr>
            </w:pPr>
            <w:r>
              <w:rPr>
                <w:b/>
                <w:color w:val="000000"/>
                <w:sz w:val="18"/>
                <w:szCs w:val="18"/>
                <w:lang w:val="ru-RU" w:eastAsia="uk-UA"/>
              </w:rPr>
              <w:t>39830,74</w:t>
            </w:r>
          </w:p>
        </w:tc>
      </w:tr>
      <w:tr w:rsidR="00CA2D7F" w:rsidRPr="00E95FB1" w:rsidTr="001B3967">
        <w:trPr>
          <w:trHeight w:val="315"/>
        </w:trPr>
        <w:tc>
          <w:tcPr>
            <w:tcW w:w="14580" w:type="dxa"/>
            <w:gridSpan w:val="12"/>
            <w:tcBorders>
              <w:top w:val="single" w:sz="4" w:space="0" w:color="auto"/>
              <w:left w:val="single" w:sz="4" w:space="0" w:color="auto"/>
              <w:bottom w:val="single" w:sz="4" w:space="0" w:color="auto"/>
              <w:right w:val="single" w:sz="4" w:space="0" w:color="auto"/>
            </w:tcBorders>
            <w:shd w:val="clear" w:color="000000" w:fill="B8CCE4"/>
            <w:vAlign w:val="bottom"/>
            <w:hideMark/>
          </w:tcPr>
          <w:p w:rsidR="00CA2D7F" w:rsidRPr="00E95FB1" w:rsidRDefault="00CA2D7F" w:rsidP="00CA2D7F">
            <w:pPr>
              <w:jc w:val="center"/>
              <w:rPr>
                <w:color w:val="000000"/>
                <w:sz w:val="24"/>
                <w:szCs w:val="24"/>
                <w:lang w:eastAsia="uk-UA"/>
              </w:rPr>
            </w:pPr>
            <w:r w:rsidRPr="00E95FB1">
              <w:rPr>
                <w:color w:val="000000"/>
                <w:sz w:val="24"/>
                <w:szCs w:val="24"/>
                <w:lang w:eastAsia="uk-UA"/>
              </w:rPr>
              <w:t>3.</w:t>
            </w:r>
            <w:r w:rsidRPr="00E95FB1">
              <w:rPr>
                <w:color w:val="000000"/>
                <w:sz w:val="14"/>
                <w:szCs w:val="14"/>
                <w:lang w:eastAsia="uk-UA"/>
              </w:rPr>
              <w:t xml:space="preserve">      </w:t>
            </w:r>
            <w:r w:rsidRPr="00E95FB1">
              <w:rPr>
                <w:b/>
                <w:bCs/>
                <w:color w:val="000000"/>
                <w:sz w:val="24"/>
                <w:szCs w:val="24"/>
                <w:lang w:eastAsia="uk-UA"/>
              </w:rPr>
              <w:t>Проекти спрямовані на відбудову об’єктів житлово-комунального господарства</w:t>
            </w:r>
          </w:p>
        </w:tc>
      </w:tr>
      <w:tr w:rsidR="00CA2D7F" w:rsidRPr="00E95FB1" w:rsidTr="001B3967">
        <w:trPr>
          <w:trHeight w:val="315"/>
        </w:trPr>
        <w:tc>
          <w:tcPr>
            <w:tcW w:w="14580"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CA2D7F" w:rsidRPr="00E95FB1" w:rsidRDefault="00CA2D7F" w:rsidP="00CA2D7F">
            <w:pPr>
              <w:jc w:val="center"/>
              <w:rPr>
                <w:color w:val="000000"/>
                <w:sz w:val="24"/>
                <w:szCs w:val="24"/>
                <w:lang w:eastAsia="uk-UA"/>
              </w:rPr>
            </w:pPr>
            <w:r w:rsidRPr="00E95FB1">
              <w:rPr>
                <w:color w:val="000000"/>
                <w:sz w:val="24"/>
                <w:szCs w:val="24"/>
                <w:lang w:eastAsia="uk-UA"/>
              </w:rPr>
              <w:t>3.1. Об’єкти системи централізованого водопостачання/ водовідведення</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6"/>
                <w:szCs w:val="16"/>
                <w:lang w:eastAsia="uk-UA"/>
              </w:rPr>
            </w:pPr>
            <w:r w:rsidRPr="00E95FB1">
              <w:rPr>
                <w:color w:val="000000"/>
                <w:sz w:val="16"/>
                <w:szCs w:val="16"/>
                <w:lang w:eastAsia="uk-UA"/>
              </w:rPr>
              <w:t>1</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Відновлення системи централізованого водопостачання           КП «СЄВЄРОДОНЕЦЬКВОДОКАНАЛ»</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15540,0</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
                <w:bCs/>
                <w:sz w:val="18"/>
                <w:szCs w:val="18"/>
              </w:rPr>
            </w:pPr>
          </w:p>
          <w:p w:rsidR="00CA2D7F" w:rsidRPr="00E95FB1" w:rsidRDefault="00CA2D7F" w:rsidP="00CA2D7F">
            <w:pPr>
              <w:pStyle w:val="a7"/>
              <w:ind w:left="0"/>
              <w:jc w:val="center"/>
              <w:rPr>
                <w:b/>
                <w:bCs/>
                <w:sz w:val="18"/>
                <w:szCs w:val="18"/>
              </w:rPr>
            </w:pPr>
          </w:p>
          <w:p w:rsidR="00CA2D7F" w:rsidRPr="00E95FB1" w:rsidRDefault="00CA2D7F" w:rsidP="00CA2D7F">
            <w:pPr>
              <w:pStyle w:val="a7"/>
              <w:ind w:left="0"/>
              <w:jc w:val="center"/>
              <w:rPr>
                <w:bCs/>
                <w:sz w:val="18"/>
                <w:szCs w:val="18"/>
              </w:rPr>
            </w:pPr>
            <w:r w:rsidRPr="00E95FB1">
              <w:rPr>
                <w:bCs/>
                <w:sz w:val="18"/>
                <w:szCs w:val="18"/>
              </w:rPr>
              <w:t>6660,0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Cs/>
                <w:sz w:val="18"/>
                <w:szCs w:val="18"/>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22200,0</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6"/>
                <w:szCs w:val="16"/>
                <w:lang w:eastAsia="uk-UA"/>
              </w:rPr>
            </w:pPr>
            <w:r w:rsidRPr="00E95FB1">
              <w:rPr>
                <w:color w:val="000000"/>
                <w:sz w:val="16"/>
                <w:szCs w:val="16"/>
                <w:lang w:eastAsia="uk-UA"/>
              </w:rPr>
              <w:t>2</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sz w:val="18"/>
                <w:szCs w:val="18"/>
              </w:rPr>
              <w:t>Будівництво комплексу очисних споруд з виробництвом біогазу з осаду</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560 000,0</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
                <w:bCs/>
                <w:sz w:val="18"/>
                <w:szCs w:val="18"/>
              </w:rPr>
            </w:pPr>
            <w:r w:rsidRPr="00E95FB1">
              <w:rPr>
                <w:sz w:val="18"/>
                <w:szCs w:val="18"/>
              </w:rPr>
              <w:t>240 000,0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Cs/>
                <w:sz w:val="18"/>
                <w:szCs w:val="18"/>
              </w:rPr>
            </w:pPr>
            <w:proofErr w:type="spellStart"/>
            <w:r w:rsidRPr="00E95FB1">
              <w:rPr>
                <w:bCs/>
                <w:sz w:val="18"/>
                <w:szCs w:val="18"/>
              </w:rPr>
              <w:t>Міжна-родні</w:t>
            </w:r>
            <w:proofErr w:type="spellEnd"/>
            <w:r w:rsidRPr="00E95FB1">
              <w:rPr>
                <w:bCs/>
                <w:sz w:val="18"/>
                <w:szCs w:val="18"/>
              </w:rPr>
              <w:t xml:space="preserve">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sz w:val="18"/>
                <w:szCs w:val="18"/>
              </w:rPr>
              <w:t>800 000,0</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6"/>
                <w:szCs w:val="16"/>
                <w:lang w:eastAsia="uk-UA"/>
              </w:rPr>
            </w:pPr>
            <w:r w:rsidRPr="00E95FB1">
              <w:rPr>
                <w:color w:val="000000"/>
                <w:sz w:val="16"/>
                <w:szCs w:val="16"/>
                <w:lang w:eastAsia="uk-UA"/>
              </w:rPr>
              <w:t>3</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Відновлення системи централізованого водовідведення КП «СЄВЄРОДОНЕЦЬКВОДОКАНАЛ»</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7 812,0</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
                <w:bCs/>
                <w:sz w:val="18"/>
                <w:szCs w:val="18"/>
              </w:rPr>
            </w:pPr>
            <w:r w:rsidRPr="00E95FB1">
              <w:rPr>
                <w:sz w:val="18"/>
                <w:szCs w:val="18"/>
              </w:rPr>
              <w:t>3 348,0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Cs/>
                <w:sz w:val="18"/>
                <w:szCs w:val="18"/>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sz w:val="18"/>
                <w:szCs w:val="18"/>
              </w:rPr>
              <w:t>11 160,0</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6"/>
                <w:szCs w:val="16"/>
                <w:lang w:eastAsia="uk-UA"/>
              </w:rPr>
            </w:pPr>
            <w:r w:rsidRPr="00E95FB1">
              <w:rPr>
                <w:color w:val="000000"/>
                <w:sz w:val="16"/>
                <w:szCs w:val="16"/>
                <w:lang w:eastAsia="uk-UA"/>
              </w:rPr>
              <w:t>4</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Забезпечення загального обліку споживання комунальної послуги  КП «СЄВЄРОДОНЕЦЬКВОДОКАНАЛ»</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25 200,0</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
                <w:bCs/>
                <w:sz w:val="18"/>
                <w:szCs w:val="18"/>
              </w:rPr>
            </w:pPr>
            <w:r w:rsidRPr="00E95FB1">
              <w:rPr>
                <w:sz w:val="18"/>
                <w:szCs w:val="18"/>
              </w:rPr>
              <w:t>10 800,0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Cs/>
                <w:sz w:val="18"/>
                <w:szCs w:val="18"/>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sz w:val="18"/>
                <w:szCs w:val="18"/>
              </w:rPr>
              <w:t>36 000,0</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6"/>
                <w:szCs w:val="16"/>
                <w:lang w:eastAsia="uk-UA"/>
              </w:rPr>
            </w:pPr>
            <w:r w:rsidRPr="00E95FB1">
              <w:rPr>
                <w:color w:val="000000"/>
                <w:sz w:val="16"/>
                <w:szCs w:val="16"/>
                <w:lang w:eastAsia="uk-UA"/>
              </w:rPr>
              <w:lastRenderedPageBreak/>
              <w:t>5</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Будівництво бомбосховища КП «СЄВЄРОДОНЕЦЬКВОДОКАНАЛ»</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3 500,0</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
                <w:bCs/>
                <w:sz w:val="18"/>
                <w:szCs w:val="18"/>
              </w:rPr>
            </w:pPr>
            <w:r w:rsidRPr="00E95FB1">
              <w:rPr>
                <w:sz w:val="18"/>
                <w:szCs w:val="18"/>
              </w:rPr>
              <w:t>1 500,0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Cs/>
                <w:sz w:val="18"/>
                <w:szCs w:val="18"/>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sz w:val="18"/>
                <w:szCs w:val="18"/>
              </w:rPr>
              <w:t>5 000,0</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6"/>
                <w:szCs w:val="16"/>
                <w:lang w:eastAsia="uk-UA"/>
              </w:rPr>
            </w:pPr>
            <w:r w:rsidRPr="00E95FB1">
              <w:rPr>
                <w:color w:val="000000"/>
                <w:sz w:val="16"/>
                <w:szCs w:val="16"/>
                <w:lang w:eastAsia="uk-UA"/>
              </w:rPr>
              <w:t>6</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rStyle w:val="y2iqfc"/>
                <w:color w:val="202124"/>
                <w:sz w:val="18"/>
                <w:szCs w:val="18"/>
              </w:rPr>
              <w:t>Модернізація комплексу будівель та споруд підприємства</w:t>
            </w:r>
            <w:r w:rsidRPr="00E95FB1">
              <w:rPr>
                <w:bCs/>
                <w:sz w:val="18"/>
                <w:szCs w:val="18"/>
              </w:rPr>
              <w:t xml:space="preserve"> КП «СЄВЄРОДОНЕЦЬКВОДОКАНАЛ»</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2 800,0</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
                <w:bCs/>
                <w:sz w:val="18"/>
                <w:szCs w:val="18"/>
              </w:rPr>
            </w:pPr>
            <w:r w:rsidRPr="00E95FB1">
              <w:rPr>
                <w:sz w:val="18"/>
                <w:szCs w:val="18"/>
              </w:rPr>
              <w:t>1 200,0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Cs/>
                <w:sz w:val="18"/>
                <w:szCs w:val="18"/>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sz w:val="18"/>
                <w:szCs w:val="18"/>
              </w:rPr>
              <w:t>4 000,0</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6"/>
                <w:szCs w:val="16"/>
                <w:lang w:eastAsia="uk-UA"/>
              </w:rPr>
            </w:pPr>
            <w:r w:rsidRPr="00E95FB1">
              <w:rPr>
                <w:color w:val="000000"/>
                <w:sz w:val="16"/>
                <w:szCs w:val="16"/>
                <w:lang w:eastAsia="uk-UA"/>
              </w:rPr>
              <w:t>7</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rFonts w:eastAsia="Calibri"/>
                <w:bCs/>
                <w:sz w:val="18"/>
                <w:szCs w:val="18"/>
              </w:rPr>
              <w:t xml:space="preserve">Придбання оргтехніки та комп’ютерної техніки КП </w:t>
            </w:r>
            <w:r w:rsidRPr="00E95FB1">
              <w:rPr>
                <w:bCs/>
                <w:sz w:val="18"/>
                <w:szCs w:val="18"/>
              </w:rPr>
              <w:t>«СЄВЄРОДОНЕЦЬКВОДОКАНАЛ»</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1 400,0</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
                <w:bCs/>
                <w:sz w:val="18"/>
                <w:szCs w:val="18"/>
              </w:rPr>
            </w:pPr>
            <w:r w:rsidRPr="00E95FB1">
              <w:rPr>
                <w:sz w:val="18"/>
                <w:szCs w:val="18"/>
              </w:rPr>
              <w:t>600,0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Cs/>
                <w:sz w:val="18"/>
                <w:szCs w:val="18"/>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sz w:val="18"/>
                <w:szCs w:val="18"/>
              </w:rPr>
              <w:t>2 000,0</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6"/>
                <w:szCs w:val="16"/>
                <w:lang w:eastAsia="uk-UA"/>
              </w:rPr>
            </w:pPr>
            <w:r w:rsidRPr="00E95FB1">
              <w:rPr>
                <w:color w:val="000000"/>
                <w:sz w:val="16"/>
                <w:szCs w:val="16"/>
                <w:lang w:eastAsia="uk-UA"/>
              </w:rPr>
              <w:t>8</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Відновлення мереж  КП «СЄВЄРОДОНЕЦЬКВОДОКАНАЛ»</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1 400 000,0</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sz w:val="18"/>
                <w:szCs w:val="18"/>
              </w:rPr>
              <w:t>600 000,0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sz w:val="18"/>
                <w:szCs w:val="18"/>
              </w:rPr>
              <w:t>2 000 000,0</w:t>
            </w:r>
          </w:p>
        </w:tc>
      </w:tr>
      <w:tr w:rsidR="00CA2D7F" w:rsidRPr="00E95FB1" w:rsidTr="00422E0C">
        <w:trPr>
          <w:trHeight w:val="300"/>
        </w:trPr>
        <w:tc>
          <w:tcPr>
            <w:tcW w:w="35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Всього напрямом</w:t>
            </w:r>
          </w:p>
        </w:tc>
        <w:tc>
          <w:tcPr>
            <w:tcW w:w="1736"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х</w:t>
            </w:r>
          </w:p>
        </w:tc>
        <w:tc>
          <w:tcPr>
            <w:tcW w:w="1252"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х</w:t>
            </w:r>
          </w:p>
        </w:tc>
        <w:tc>
          <w:tcPr>
            <w:tcW w:w="1035"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х</w:t>
            </w:r>
          </w:p>
        </w:tc>
        <w:tc>
          <w:tcPr>
            <w:tcW w:w="1104"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х</w:t>
            </w:r>
          </w:p>
        </w:tc>
        <w:tc>
          <w:tcPr>
            <w:tcW w:w="1134"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val="ru-RU" w:eastAsia="uk-UA"/>
              </w:rPr>
            </w:pPr>
            <w:r w:rsidRPr="00422E0C">
              <w:rPr>
                <w:b/>
                <w:color w:val="000000"/>
                <w:sz w:val="18"/>
                <w:szCs w:val="18"/>
                <w:lang w:val="ru-RU" w:eastAsia="uk-UA"/>
              </w:rPr>
              <w:t>2016252,00</w:t>
            </w:r>
          </w:p>
        </w:tc>
        <w:tc>
          <w:tcPr>
            <w:tcW w:w="992"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val="ru-RU" w:eastAsia="uk-UA"/>
              </w:rPr>
            </w:pPr>
            <w:r w:rsidRPr="00422E0C">
              <w:rPr>
                <w:b/>
                <w:color w:val="000000"/>
                <w:sz w:val="18"/>
                <w:szCs w:val="18"/>
                <w:lang w:val="ru-RU" w:eastAsia="uk-UA"/>
              </w:rPr>
              <w:t>864108,00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eastAsia="uk-UA"/>
              </w:rPr>
            </w:pPr>
            <w:r w:rsidRPr="00422E0C">
              <w:rPr>
                <w:b/>
                <w:bCs/>
                <w:color w:val="000000"/>
                <w:sz w:val="18"/>
                <w:szCs w:val="18"/>
                <w:lang w:eastAsia="uk-UA"/>
              </w:rPr>
              <w:t>х</w:t>
            </w:r>
          </w:p>
        </w:tc>
        <w:tc>
          <w:tcPr>
            <w:tcW w:w="1164"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val="ru-RU" w:eastAsia="uk-UA"/>
              </w:rPr>
            </w:pPr>
            <w:r w:rsidRPr="00422E0C">
              <w:rPr>
                <w:b/>
                <w:color w:val="000000"/>
                <w:sz w:val="18"/>
                <w:szCs w:val="18"/>
                <w:lang w:val="ru-RU" w:eastAsia="uk-UA"/>
              </w:rPr>
              <w:t>2880360,00</w:t>
            </w:r>
          </w:p>
        </w:tc>
      </w:tr>
      <w:tr w:rsidR="00CA2D7F" w:rsidRPr="00E95FB1" w:rsidTr="001B3967">
        <w:trPr>
          <w:trHeight w:val="315"/>
        </w:trPr>
        <w:tc>
          <w:tcPr>
            <w:tcW w:w="14580"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CA2D7F" w:rsidRPr="00E95FB1" w:rsidRDefault="00CA2D7F" w:rsidP="00CA2D7F">
            <w:pPr>
              <w:jc w:val="center"/>
              <w:rPr>
                <w:color w:val="000000"/>
                <w:sz w:val="24"/>
                <w:szCs w:val="24"/>
                <w:lang w:eastAsia="uk-UA"/>
              </w:rPr>
            </w:pPr>
            <w:r w:rsidRPr="00E95FB1">
              <w:rPr>
                <w:color w:val="000000"/>
                <w:sz w:val="24"/>
                <w:szCs w:val="24"/>
                <w:lang w:eastAsia="uk-UA"/>
              </w:rPr>
              <w:t>3.2. Об’єкти теплопостачання</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1</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sz w:val="18"/>
                <w:szCs w:val="18"/>
              </w:rPr>
              <w:t>Відновлення котельні 83 мікрорайону з встановлення 3-х газових котлів ПТВМ-30 та котельного обладнання, будівництвом ГРП  та частковою заміною пошкоджених магістральних та внутрішньо квартальних теплових мереж.</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rFonts w:eastAsia="Calibri"/>
                <w:color w:val="000000"/>
                <w:sz w:val="18"/>
                <w:szCs w:val="18"/>
              </w:rPr>
              <w:t>41 000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sz w:val="18"/>
                <w:szCs w:val="18"/>
              </w:rPr>
            </w:pPr>
            <w:r>
              <w:rPr>
                <w:bCs/>
                <w:sz w:val="18"/>
                <w:szCs w:val="18"/>
              </w:rPr>
              <w:t>1097</w:t>
            </w:r>
            <w:r w:rsidRPr="007871AF">
              <w:rPr>
                <w:bCs/>
                <w:sz w:val="18"/>
                <w:szCs w:val="18"/>
              </w:rPr>
              <w:t>058,00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sz w:val="18"/>
                <w:szCs w:val="18"/>
              </w:rPr>
            </w:pPr>
            <w:r w:rsidRPr="00E95FB1">
              <w:rPr>
                <w:sz w:val="18"/>
                <w:szCs w:val="18"/>
              </w:rPr>
              <w:t>Іноземні</w:t>
            </w:r>
          </w:p>
          <w:p w:rsidR="00CA2D7F" w:rsidRPr="00E95FB1" w:rsidRDefault="00CA2D7F" w:rsidP="00CA2D7F">
            <w:pPr>
              <w:jc w:val="center"/>
              <w:rPr>
                <w:sz w:val="18"/>
                <w:szCs w:val="18"/>
              </w:rPr>
            </w:pPr>
            <w:r w:rsidRPr="00E95FB1">
              <w:rPr>
                <w:sz w:val="18"/>
                <w:szCs w:val="18"/>
              </w:rPr>
              <w:t>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bCs/>
                <w:sz w:val="18"/>
                <w:szCs w:val="18"/>
              </w:rPr>
              <w:t>1097</w:t>
            </w:r>
            <w:r w:rsidRPr="007871AF">
              <w:rPr>
                <w:bCs/>
                <w:sz w:val="18"/>
                <w:szCs w:val="18"/>
              </w:rPr>
              <w:t>058,00</w:t>
            </w:r>
          </w:p>
        </w:tc>
      </w:tr>
      <w:tr w:rsidR="00CA2D7F" w:rsidRPr="00E95FB1" w:rsidTr="00422E0C">
        <w:trPr>
          <w:trHeight w:val="300"/>
        </w:trPr>
        <w:tc>
          <w:tcPr>
            <w:tcW w:w="35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Всього напрямом</w:t>
            </w:r>
          </w:p>
        </w:tc>
        <w:tc>
          <w:tcPr>
            <w:tcW w:w="1736"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х</w:t>
            </w:r>
          </w:p>
        </w:tc>
        <w:tc>
          <w:tcPr>
            <w:tcW w:w="1252"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х</w:t>
            </w:r>
          </w:p>
        </w:tc>
        <w:tc>
          <w:tcPr>
            <w:tcW w:w="1035"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х</w:t>
            </w:r>
          </w:p>
        </w:tc>
        <w:tc>
          <w:tcPr>
            <w:tcW w:w="1104"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х</w:t>
            </w:r>
          </w:p>
        </w:tc>
        <w:tc>
          <w:tcPr>
            <w:tcW w:w="1134"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eastAsia="uk-UA"/>
              </w:rPr>
            </w:pPr>
            <w:r w:rsidRPr="00422E0C">
              <w:rPr>
                <w:b/>
                <w:bCs/>
                <w:color w:val="000000"/>
                <w:sz w:val="18"/>
                <w:szCs w:val="18"/>
                <w:lang w:eastAsia="uk-UA"/>
              </w:rPr>
              <w:t>х</w:t>
            </w:r>
          </w:p>
        </w:tc>
        <w:tc>
          <w:tcPr>
            <w:tcW w:w="992"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sz w:val="18"/>
                <w:szCs w:val="18"/>
              </w:rPr>
            </w:pPr>
            <w:r w:rsidRPr="007871AF">
              <w:rPr>
                <w:b/>
                <w:bCs/>
                <w:sz w:val="18"/>
                <w:szCs w:val="18"/>
              </w:rPr>
              <w:t>1097058,00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eastAsia="uk-UA"/>
              </w:rPr>
            </w:pPr>
            <w:r w:rsidRPr="00422E0C">
              <w:rPr>
                <w:b/>
                <w:bCs/>
                <w:color w:val="000000"/>
                <w:sz w:val="18"/>
                <w:szCs w:val="18"/>
                <w:lang w:eastAsia="uk-UA"/>
              </w:rPr>
              <w:t>х</w:t>
            </w:r>
          </w:p>
        </w:tc>
        <w:tc>
          <w:tcPr>
            <w:tcW w:w="1164"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eastAsia="uk-UA"/>
              </w:rPr>
            </w:pPr>
            <w:r w:rsidRPr="007871AF">
              <w:rPr>
                <w:b/>
                <w:bCs/>
                <w:sz w:val="18"/>
                <w:szCs w:val="18"/>
              </w:rPr>
              <w:t>1097058,00</w:t>
            </w:r>
          </w:p>
        </w:tc>
      </w:tr>
      <w:tr w:rsidR="00CA2D7F" w:rsidRPr="00E95FB1" w:rsidTr="001B3967">
        <w:trPr>
          <w:trHeight w:val="315"/>
        </w:trPr>
        <w:tc>
          <w:tcPr>
            <w:tcW w:w="14580"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CA2D7F" w:rsidRPr="00E95FB1" w:rsidRDefault="00CA2D7F" w:rsidP="00CA2D7F">
            <w:pPr>
              <w:jc w:val="center"/>
              <w:rPr>
                <w:color w:val="000000"/>
                <w:sz w:val="24"/>
                <w:szCs w:val="24"/>
                <w:lang w:eastAsia="uk-UA"/>
              </w:rPr>
            </w:pPr>
            <w:r w:rsidRPr="00E95FB1">
              <w:rPr>
                <w:color w:val="000000"/>
                <w:sz w:val="24"/>
                <w:szCs w:val="24"/>
                <w:lang w:eastAsia="uk-UA"/>
              </w:rPr>
              <w:t>3.3. Інші об’єкти житлово-комунального господарства</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1</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Ремонт приміщення та споруд  КП «ЗЕЛЕНЕ МІСТО»</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11 200,0</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
                <w:bCs/>
                <w:sz w:val="18"/>
                <w:szCs w:val="18"/>
              </w:rPr>
            </w:pPr>
            <w:r w:rsidRPr="00E95FB1">
              <w:rPr>
                <w:sz w:val="18"/>
                <w:szCs w:val="18"/>
              </w:rPr>
              <w:t>4 800,0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Cs/>
                <w:sz w:val="18"/>
                <w:szCs w:val="18"/>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sz w:val="18"/>
                <w:szCs w:val="18"/>
              </w:rPr>
              <w:t>16 000,00</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sz w:val="18"/>
                <w:szCs w:val="18"/>
              </w:rPr>
              <w:t xml:space="preserve">Капітальний ремонт комплексу будівель за </w:t>
            </w:r>
            <w:proofErr w:type="spellStart"/>
            <w:r w:rsidRPr="00E95FB1">
              <w:rPr>
                <w:sz w:val="18"/>
                <w:szCs w:val="18"/>
              </w:rPr>
              <w:t>адресою</w:t>
            </w:r>
            <w:proofErr w:type="spellEnd"/>
            <w:r w:rsidRPr="00E95FB1">
              <w:rPr>
                <w:sz w:val="18"/>
                <w:szCs w:val="18"/>
              </w:rPr>
              <w:t xml:space="preserve"> </w:t>
            </w:r>
            <w:proofErr w:type="spellStart"/>
            <w:r w:rsidRPr="00E95FB1">
              <w:rPr>
                <w:sz w:val="18"/>
                <w:szCs w:val="18"/>
              </w:rPr>
              <w:t>м.Сєвєродонецьк</w:t>
            </w:r>
            <w:proofErr w:type="spellEnd"/>
            <w:r w:rsidRPr="00E95FB1">
              <w:rPr>
                <w:sz w:val="18"/>
                <w:szCs w:val="18"/>
              </w:rPr>
              <w:t xml:space="preserve">, шосе Будівельників, буд. 1 та опорного пункту за </w:t>
            </w:r>
            <w:proofErr w:type="spellStart"/>
            <w:r w:rsidRPr="00E95FB1">
              <w:rPr>
                <w:sz w:val="18"/>
                <w:szCs w:val="18"/>
              </w:rPr>
              <w:t>адресою</w:t>
            </w:r>
            <w:proofErr w:type="spellEnd"/>
            <w:r w:rsidRPr="00E95FB1">
              <w:rPr>
                <w:sz w:val="18"/>
                <w:szCs w:val="18"/>
              </w:rPr>
              <w:t xml:space="preserve"> </w:t>
            </w:r>
            <w:proofErr w:type="spellStart"/>
            <w:r w:rsidRPr="00E95FB1">
              <w:rPr>
                <w:sz w:val="18"/>
                <w:szCs w:val="18"/>
              </w:rPr>
              <w:t>м.Сєвєродонецьк</w:t>
            </w:r>
            <w:proofErr w:type="spellEnd"/>
            <w:r w:rsidRPr="00E95FB1">
              <w:rPr>
                <w:sz w:val="18"/>
                <w:szCs w:val="18"/>
              </w:rPr>
              <w:t>, вул. Науки, буд. 3 (підвальне приміщення)</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rFonts w:eastAsia="Calibri"/>
                <w:color w:val="000000"/>
                <w:sz w:val="18"/>
                <w:szCs w:val="18"/>
              </w:rPr>
              <w:t>7630,0</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
                <w:bCs/>
                <w:sz w:val="18"/>
                <w:szCs w:val="18"/>
              </w:rPr>
            </w:pPr>
            <w:r w:rsidRPr="00E95FB1">
              <w:rPr>
                <w:rFonts w:eastAsia="Calibri"/>
                <w:color w:val="000000"/>
                <w:sz w:val="18"/>
                <w:szCs w:val="18"/>
              </w:rPr>
              <w:t>3270,0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Cs/>
                <w:sz w:val="18"/>
                <w:szCs w:val="18"/>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rFonts w:eastAsia="Calibri"/>
                <w:color w:val="000000"/>
                <w:sz w:val="18"/>
                <w:szCs w:val="18"/>
              </w:rPr>
              <w:t>10900,0</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lastRenderedPageBreak/>
              <w:t>3</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rFonts w:eastAsia="Batang"/>
                <w:bCs/>
                <w:color w:val="000000"/>
                <w:sz w:val="18"/>
                <w:szCs w:val="18"/>
              </w:rPr>
              <w:t xml:space="preserve">Капітальний ремонт мереж зовнішнього освітлення </w:t>
            </w:r>
            <w:proofErr w:type="spellStart"/>
            <w:r w:rsidRPr="00E95FB1">
              <w:rPr>
                <w:rFonts w:eastAsia="Batang"/>
                <w:bCs/>
                <w:color w:val="000000"/>
                <w:sz w:val="18"/>
                <w:szCs w:val="18"/>
              </w:rPr>
              <w:t>м.Сєвєродонецьк</w:t>
            </w:r>
            <w:proofErr w:type="spellEnd"/>
            <w:r w:rsidRPr="00E95FB1">
              <w:rPr>
                <w:rFonts w:eastAsia="Batang"/>
                <w:bCs/>
                <w:color w:val="000000"/>
                <w:sz w:val="18"/>
                <w:szCs w:val="18"/>
              </w:rPr>
              <w:t xml:space="preserve"> та прилеглих селищ</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rFonts w:eastAsia="Calibri"/>
                <w:color w:val="000000"/>
                <w:sz w:val="18"/>
                <w:szCs w:val="18"/>
              </w:rPr>
              <w:t>86240,0</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
                <w:bCs/>
                <w:sz w:val="18"/>
                <w:szCs w:val="18"/>
              </w:rPr>
            </w:pPr>
            <w:r w:rsidRPr="00E95FB1">
              <w:rPr>
                <w:rFonts w:eastAsia="Calibri"/>
                <w:color w:val="000000"/>
                <w:sz w:val="18"/>
                <w:szCs w:val="18"/>
              </w:rPr>
              <w:t>36960,0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Cs/>
                <w:sz w:val="18"/>
                <w:szCs w:val="18"/>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sz w:val="18"/>
                <w:szCs w:val="18"/>
              </w:rPr>
            </w:pPr>
          </w:p>
          <w:p w:rsidR="00CA2D7F" w:rsidRPr="00E95FB1" w:rsidRDefault="00CA2D7F" w:rsidP="00CA2D7F">
            <w:pPr>
              <w:jc w:val="center"/>
              <w:rPr>
                <w:color w:val="000000"/>
                <w:sz w:val="18"/>
                <w:szCs w:val="18"/>
                <w:lang w:eastAsia="uk-UA"/>
              </w:rPr>
            </w:pPr>
            <w:r w:rsidRPr="00E95FB1">
              <w:rPr>
                <w:rFonts w:eastAsia="Calibri"/>
                <w:color w:val="000000"/>
                <w:sz w:val="18"/>
                <w:szCs w:val="18"/>
              </w:rPr>
              <w:t>123200,0</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4</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rFonts w:eastAsia="Batang"/>
                <w:bCs/>
                <w:color w:val="000000"/>
                <w:sz w:val="18"/>
                <w:szCs w:val="18"/>
              </w:rPr>
              <w:t xml:space="preserve">Капітальний ремонт світлофорних об’єктів </w:t>
            </w:r>
            <w:proofErr w:type="spellStart"/>
            <w:r w:rsidRPr="00E95FB1">
              <w:rPr>
                <w:rFonts w:eastAsia="Batang"/>
                <w:bCs/>
                <w:color w:val="000000"/>
                <w:sz w:val="18"/>
                <w:szCs w:val="18"/>
              </w:rPr>
              <w:t>м.Сєвєродонецьк</w:t>
            </w:r>
            <w:proofErr w:type="spellEnd"/>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rFonts w:eastAsia="Calibri"/>
                <w:color w:val="000000"/>
                <w:sz w:val="18"/>
                <w:szCs w:val="18"/>
              </w:rPr>
              <w:t>35140,0</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
                <w:bCs/>
                <w:sz w:val="18"/>
                <w:szCs w:val="18"/>
              </w:rPr>
            </w:pPr>
            <w:r w:rsidRPr="00E95FB1">
              <w:rPr>
                <w:rFonts w:eastAsia="Calibri"/>
                <w:color w:val="000000"/>
                <w:sz w:val="18"/>
                <w:szCs w:val="18"/>
              </w:rPr>
              <w:t>15060,0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Cs/>
                <w:sz w:val="18"/>
                <w:szCs w:val="18"/>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rFonts w:eastAsia="Calibri"/>
                <w:color w:val="000000"/>
                <w:sz w:val="18"/>
                <w:szCs w:val="18"/>
              </w:rPr>
              <w:t>50200,0</w:t>
            </w:r>
          </w:p>
        </w:tc>
      </w:tr>
      <w:tr w:rsidR="00CA2D7F" w:rsidRPr="00E95FB1" w:rsidTr="00422E0C">
        <w:trPr>
          <w:trHeight w:val="300"/>
        </w:trPr>
        <w:tc>
          <w:tcPr>
            <w:tcW w:w="35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Всього напрямом</w:t>
            </w:r>
          </w:p>
        </w:tc>
        <w:tc>
          <w:tcPr>
            <w:tcW w:w="1736"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х</w:t>
            </w:r>
          </w:p>
        </w:tc>
        <w:tc>
          <w:tcPr>
            <w:tcW w:w="1252"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х</w:t>
            </w:r>
          </w:p>
        </w:tc>
        <w:tc>
          <w:tcPr>
            <w:tcW w:w="1035"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х</w:t>
            </w:r>
          </w:p>
        </w:tc>
        <w:tc>
          <w:tcPr>
            <w:tcW w:w="1104"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х</w:t>
            </w:r>
          </w:p>
        </w:tc>
        <w:tc>
          <w:tcPr>
            <w:tcW w:w="1134"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eastAsia="uk-UA"/>
              </w:rPr>
            </w:pPr>
            <w:r w:rsidRPr="00422E0C">
              <w:rPr>
                <w:b/>
                <w:color w:val="000000"/>
                <w:sz w:val="18"/>
                <w:szCs w:val="18"/>
                <w:lang w:val="ru-RU" w:eastAsia="uk-UA"/>
              </w:rPr>
              <w:t>140210,00</w:t>
            </w:r>
          </w:p>
        </w:tc>
        <w:tc>
          <w:tcPr>
            <w:tcW w:w="992"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val="ru-RU" w:eastAsia="uk-UA"/>
              </w:rPr>
            </w:pPr>
            <w:r w:rsidRPr="00422E0C">
              <w:rPr>
                <w:b/>
                <w:color w:val="000000"/>
                <w:sz w:val="18"/>
                <w:szCs w:val="18"/>
                <w:lang w:val="ru-RU" w:eastAsia="uk-UA"/>
              </w:rPr>
              <w:t>60090,00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val="ru-RU" w:eastAsia="uk-UA"/>
              </w:rPr>
            </w:pPr>
            <w:r w:rsidRPr="00422E0C">
              <w:rPr>
                <w:b/>
                <w:bCs/>
                <w:color w:val="000000"/>
                <w:sz w:val="18"/>
                <w:szCs w:val="18"/>
                <w:lang w:eastAsia="uk-UA"/>
              </w:rPr>
              <w:t>х</w:t>
            </w:r>
          </w:p>
        </w:tc>
        <w:tc>
          <w:tcPr>
            <w:tcW w:w="1164"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val="ru-RU" w:eastAsia="uk-UA"/>
              </w:rPr>
            </w:pPr>
            <w:r w:rsidRPr="00422E0C">
              <w:rPr>
                <w:b/>
                <w:color w:val="000000"/>
                <w:sz w:val="18"/>
                <w:szCs w:val="18"/>
                <w:lang w:val="ru-RU" w:eastAsia="uk-UA"/>
              </w:rPr>
              <w:t>200300,00</w:t>
            </w:r>
          </w:p>
        </w:tc>
      </w:tr>
      <w:tr w:rsidR="00CA2D7F" w:rsidRPr="00E95FB1" w:rsidTr="001B3967">
        <w:trPr>
          <w:trHeight w:val="315"/>
        </w:trPr>
        <w:tc>
          <w:tcPr>
            <w:tcW w:w="14580" w:type="dxa"/>
            <w:gridSpan w:val="12"/>
            <w:tcBorders>
              <w:top w:val="single" w:sz="4" w:space="0" w:color="auto"/>
              <w:left w:val="single" w:sz="4" w:space="0" w:color="auto"/>
              <w:bottom w:val="single" w:sz="4" w:space="0" w:color="auto"/>
              <w:right w:val="single" w:sz="4" w:space="0" w:color="auto"/>
            </w:tcBorders>
            <w:shd w:val="clear" w:color="000000" w:fill="B8CCE4"/>
            <w:vAlign w:val="bottom"/>
            <w:hideMark/>
          </w:tcPr>
          <w:p w:rsidR="00CA2D7F" w:rsidRPr="00E95FB1" w:rsidRDefault="00CA2D7F" w:rsidP="00CA2D7F">
            <w:pPr>
              <w:ind w:firstLineChars="1500" w:firstLine="3614"/>
              <w:jc w:val="left"/>
              <w:rPr>
                <w:b/>
                <w:bCs/>
                <w:color w:val="000000"/>
                <w:sz w:val="24"/>
                <w:szCs w:val="24"/>
                <w:lang w:eastAsia="uk-UA"/>
              </w:rPr>
            </w:pPr>
            <w:r w:rsidRPr="00E95FB1">
              <w:rPr>
                <w:b/>
                <w:bCs/>
                <w:color w:val="000000"/>
                <w:sz w:val="24"/>
                <w:szCs w:val="24"/>
                <w:lang w:eastAsia="uk-UA"/>
              </w:rPr>
              <w:t>4.</w:t>
            </w:r>
            <w:r w:rsidRPr="00E95FB1">
              <w:rPr>
                <w:b/>
                <w:bCs/>
                <w:color w:val="000000"/>
                <w:sz w:val="14"/>
                <w:szCs w:val="14"/>
                <w:lang w:eastAsia="uk-UA"/>
              </w:rPr>
              <w:t xml:space="preserve"> </w:t>
            </w:r>
            <w:r w:rsidRPr="00E95FB1">
              <w:rPr>
                <w:b/>
                <w:bCs/>
                <w:color w:val="000000"/>
                <w:sz w:val="24"/>
                <w:szCs w:val="24"/>
                <w:lang w:eastAsia="uk-UA"/>
              </w:rPr>
              <w:t>Проекти спрямовані на відбудову дорожньо-транспортної інфраструктури</w:t>
            </w:r>
          </w:p>
        </w:tc>
      </w:tr>
      <w:tr w:rsidR="00CA2D7F" w:rsidRPr="00E95FB1" w:rsidTr="001B3967">
        <w:trPr>
          <w:trHeight w:val="315"/>
        </w:trPr>
        <w:tc>
          <w:tcPr>
            <w:tcW w:w="14580"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CA2D7F" w:rsidRPr="00E95FB1" w:rsidRDefault="00CA2D7F" w:rsidP="00CA2D7F">
            <w:pPr>
              <w:jc w:val="center"/>
              <w:rPr>
                <w:color w:val="000000"/>
                <w:sz w:val="24"/>
                <w:szCs w:val="24"/>
                <w:lang w:eastAsia="uk-UA"/>
              </w:rPr>
            </w:pPr>
            <w:r w:rsidRPr="00E95FB1">
              <w:rPr>
                <w:color w:val="000000"/>
                <w:sz w:val="24"/>
                <w:szCs w:val="24"/>
                <w:lang w:eastAsia="uk-UA"/>
              </w:rPr>
              <w:t>4.1. Автомобільні дороги</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1</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sz w:val="18"/>
                <w:szCs w:val="18"/>
              </w:rPr>
              <w:t>Відновлення автомобільно-пішохідного мосту через річку Сіверський Донець</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100 000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85 475,197</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Cs/>
                <w:sz w:val="18"/>
                <w:szCs w:val="18"/>
              </w:rPr>
            </w:pPr>
          </w:p>
          <w:p w:rsidR="00CA2D7F" w:rsidRPr="00E95FB1" w:rsidRDefault="00CA2D7F" w:rsidP="00CA2D7F">
            <w:pPr>
              <w:pStyle w:val="a7"/>
              <w:ind w:left="0"/>
              <w:jc w:val="center"/>
              <w:rPr>
                <w:bCs/>
                <w:sz w:val="18"/>
                <w:szCs w:val="18"/>
              </w:rPr>
            </w:pPr>
          </w:p>
          <w:p w:rsidR="00CA2D7F" w:rsidRPr="00E95FB1" w:rsidRDefault="00CA2D7F" w:rsidP="00CA2D7F">
            <w:pPr>
              <w:pStyle w:val="a7"/>
              <w:ind w:left="0"/>
              <w:jc w:val="center"/>
              <w:rPr>
                <w:bCs/>
                <w:sz w:val="18"/>
                <w:szCs w:val="18"/>
              </w:rPr>
            </w:pPr>
            <w:r w:rsidRPr="00E95FB1">
              <w:rPr>
                <w:bCs/>
                <w:sz w:val="18"/>
                <w:szCs w:val="18"/>
              </w:rPr>
              <w:t>36 632,227</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Cs/>
                <w:sz w:val="18"/>
                <w:szCs w:val="18"/>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sz w:val="18"/>
                <w:szCs w:val="18"/>
              </w:rPr>
              <w:t>122 107,424</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sz w:val="18"/>
                <w:szCs w:val="18"/>
              </w:rPr>
              <w:t>Будівництво автомобільного мосту із Сєвєродонецька у бік Рубіжного через річку Борова на  157 км +800 автомобільної  дороги Р-66 КПП «</w:t>
            </w:r>
            <w:proofErr w:type="spellStart"/>
            <w:r w:rsidRPr="00E95FB1">
              <w:rPr>
                <w:sz w:val="18"/>
                <w:szCs w:val="18"/>
              </w:rPr>
              <w:t>Деміно</w:t>
            </w:r>
            <w:proofErr w:type="spellEnd"/>
            <w:r w:rsidRPr="00E95FB1">
              <w:rPr>
                <w:sz w:val="18"/>
                <w:szCs w:val="18"/>
              </w:rPr>
              <w:t>-Олександрівка»-</w:t>
            </w:r>
            <w:proofErr w:type="spellStart"/>
            <w:r w:rsidRPr="00E95FB1">
              <w:rPr>
                <w:sz w:val="18"/>
                <w:szCs w:val="18"/>
              </w:rPr>
              <w:t>Сватово</w:t>
            </w:r>
            <w:proofErr w:type="spellEnd"/>
            <w:r w:rsidRPr="00E95FB1">
              <w:rPr>
                <w:sz w:val="18"/>
                <w:szCs w:val="18"/>
              </w:rPr>
              <w:t>-Лисичанськ-Луганськ Луганської області.</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100 000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140 000,0</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60 000,0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sz w:val="18"/>
                <w:szCs w:val="18"/>
              </w:rPr>
              <w:t>200 000,0</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3</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sz w:val="18"/>
                <w:szCs w:val="18"/>
              </w:rPr>
              <w:t>Створення дільниці з обслуговування міських автомобільних доріг загального користування та зупинок міського громадського транспорту Комунального підприємства «</w:t>
            </w:r>
            <w:proofErr w:type="spellStart"/>
            <w:r w:rsidRPr="00E95FB1">
              <w:rPr>
                <w:sz w:val="18"/>
                <w:szCs w:val="18"/>
              </w:rPr>
              <w:t>Сєвєродонецьккомунсервис</w:t>
            </w:r>
            <w:proofErr w:type="spellEnd"/>
            <w:r w:rsidRPr="00E95FB1">
              <w:rPr>
                <w:sz w:val="18"/>
                <w:szCs w:val="18"/>
              </w:rPr>
              <w:t>»</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1 659 758,712</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Cs/>
                <w:sz w:val="18"/>
                <w:szCs w:val="18"/>
              </w:rPr>
            </w:pPr>
            <w:r w:rsidRPr="00E95FB1">
              <w:rPr>
                <w:bCs/>
                <w:sz w:val="18"/>
                <w:szCs w:val="18"/>
              </w:rPr>
              <w:t>711 325,162</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Cs/>
                <w:sz w:val="18"/>
                <w:szCs w:val="18"/>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sz w:val="18"/>
                <w:szCs w:val="18"/>
              </w:rPr>
              <w:t>2 371 083,874</w:t>
            </w:r>
          </w:p>
        </w:tc>
      </w:tr>
      <w:tr w:rsidR="00CA2D7F" w:rsidRPr="00E95FB1" w:rsidTr="00422E0C">
        <w:trPr>
          <w:trHeight w:val="300"/>
        </w:trPr>
        <w:tc>
          <w:tcPr>
            <w:tcW w:w="35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Всього напрямом</w:t>
            </w:r>
          </w:p>
        </w:tc>
        <w:tc>
          <w:tcPr>
            <w:tcW w:w="1736"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х</w:t>
            </w:r>
          </w:p>
        </w:tc>
        <w:tc>
          <w:tcPr>
            <w:tcW w:w="1252"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х</w:t>
            </w:r>
          </w:p>
        </w:tc>
        <w:tc>
          <w:tcPr>
            <w:tcW w:w="1035"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х</w:t>
            </w:r>
          </w:p>
        </w:tc>
        <w:tc>
          <w:tcPr>
            <w:tcW w:w="1104"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х</w:t>
            </w:r>
          </w:p>
        </w:tc>
        <w:tc>
          <w:tcPr>
            <w:tcW w:w="1134"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val="ru-RU" w:eastAsia="uk-UA"/>
              </w:rPr>
            </w:pPr>
            <w:r w:rsidRPr="00422E0C">
              <w:rPr>
                <w:b/>
                <w:color w:val="000000"/>
                <w:sz w:val="18"/>
                <w:szCs w:val="18"/>
                <w:lang w:val="ru-RU" w:eastAsia="uk-UA"/>
              </w:rPr>
              <w:t>1885233,91</w:t>
            </w:r>
          </w:p>
        </w:tc>
        <w:tc>
          <w:tcPr>
            <w:tcW w:w="992"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val="ru-RU" w:eastAsia="uk-UA"/>
              </w:rPr>
            </w:pPr>
            <w:r w:rsidRPr="00422E0C">
              <w:rPr>
                <w:b/>
                <w:color w:val="000000"/>
                <w:sz w:val="18"/>
                <w:szCs w:val="18"/>
                <w:lang w:val="ru-RU" w:eastAsia="uk-UA"/>
              </w:rPr>
              <w:t>807957,39</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eastAsia="uk-UA"/>
              </w:rPr>
            </w:pPr>
            <w:r w:rsidRPr="00422E0C">
              <w:rPr>
                <w:b/>
                <w:bCs/>
                <w:color w:val="000000"/>
                <w:sz w:val="18"/>
                <w:szCs w:val="18"/>
                <w:lang w:eastAsia="uk-UA"/>
              </w:rPr>
              <w:t>х</w:t>
            </w:r>
          </w:p>
        </w:tc>
        <w:tc>
          <w:tcPr>
            <w:tcW w:w="1164"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val="ru-RU" w:eastAsia="uk-UA"/>
              </w:rPr>
            </w:pPr>
            <w:r w:rsidRPr="00422E0C">
              <w:rPr>
                <w:b/>
                <w:color w:val="000000"/>
                <w:sz w:val="18"/>
                <w:szCs w:val="18"/>
                <w:lang w:val="ru-RU" w:eastAsia="uk-UA"/>
              </w:rPr>
              <w:t>2693191,30</w:t>
            </w:r>
          </w:p>
        </w:tc>
      </w:tr>
      <w:tr w:rsidR="00CA2D7F" w:rsidRPr="00E95FB1" w:rsidTr="001B3967">
        <w:trPr>
          <w:trHeight w:val="315"/>
        </w:trPr>
        <w:tc>
          <w:tcPr>
            <w:tcW w:w="14580"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CA2D7F" w:rsidRPr="00E95FB1" w:rsidRDefault="00CA2D7F" w:rsidP="00CA2D7F">
            <w:pPr>
              <w:jc w:val="center"/>
              <w:rPr>
                <w:color w:val="000000"/>
                <w:sz w:val="24"/>
                <w:szCs w:val="24"/>
                <w:lang w:eastAsia="uk-UA"/>
              </w:rPr>
            </w:pPr>
            <w:r w:rsidRPr="00E95FB1">
              <w:rPr>
                <w:color w:val="000000"/>
                <w:sz w:val="24"/>
                <w:szCs w:val="24"/>
                <w:lang w:eastAsia="uk-UA"/>
              </w:rPr>
              <w:t>4.2. Інші об’єкти транспортної інфраструктури, електронних комунікацій та зв’язку</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1</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rFonts w:eastAsia="Calibri"/>
                <w:color w:val="000000"/>
                <w:sz w:val="18"/>
                <w:szCs w:val="18"/>
              </w:rPr>
              <w:t>Відновлення діяльності Комунального підприємства «Сєвєродонецьке тролейбусне управління»</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autoSpaceDE w:val="0"/>
              <w:autoSpaceDN w:val="0"/>
              <w:adjustRightInd w:val="0"/>
              <w:jc w:val="center"/>
              <w:rPr>
                <w:rFonts w:eastAsia="Calibri"/>
                <w:color w:val="000000"/>
                <w:sz w:val="18"/>
                <w:szCs w:val="18"/>
              </w:rPr>
            </w:pPr>
            <w:r w:rsidRPr="00E95FB1">
              <w:rPr>
                <w:rFonts w:eastAsia="Calibri"/>
                <w:color w:val="000000"/>
                <w:sz w:val="18"/>
                <w:szCs w:val="18"/>
              </w:rPr>
              <w:t>14959,0</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autoSpaceDE w:val="0"/>
              <w:autoSpaceDN w:val="0"/>
              <w:adjustRightInd w:val="0"/>
              <w:jc w:val="center"/>
              <w:rPr>
                <w:rFonts w:eastAsia="Calibri"/>
                <w:color w:val="000000"/>
                <w:sz w:val="18"/>
                <w:szCs w:val="18"/>
              </w:rPr>
            </w:pPr>
            <w:r w:rsidRPr="00E95FB1">
              <w:rPr>
                <w:rFonts w:eastAsia="Calibri"/>
                <w:color w:val="000000"/>
                <w:sz w:val="18"/>
                <w:szCs w:val="18"/>
              </w:rPr>
              <w:t>-</w:t>
            </w: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autoSpaceDE w:val="0"/>
              <w:autoSpaceDN w:val="0"/>
              <w:adjustRightInd w:val="0"/>
              <w:jc w:val="center"/>
              <w:rPr>
                <w:rFonts w:eastAsia="Calibri"/>
                <w:color w:val="000000"/>
                <w:sz w:val="18"/>
                <w:szCs w:val="18"/>
              </w:rPr>
            </w:pPr>
            <w:r w:rsidRPr="00E95FB1">
              <w:rPr>
                <w:rFonts w:eastAsia="Calibri"/>
                <w:color w:val="000000"/>
                <w:sz w:val="18"/>
                <w:szCs w:val="18"/>
              </w:rPr>
              <w:t>6411,0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autoSpaceDE w:val="0"/>
              <w:autoSpaceDN w:val="0"/>
              <w:adjustRightInd w:val="0"/>
              <w:jc w:val="center"/>
              <w:rPr>
                <w:rFonts w:eastAsia="Calibri"/>
                <w:color w:val="000000"/>
                <w:sz w:val="18"/>
                <w:szCs w:val="18"/>
              </w:rPr>
            </w:pPr>
            <w:r w:rsidRPr="00E95FB1">
              <w:rPr>
                <w:rFonts w:eastAsia="Calibri"/>
                <w:color w:val="000000"/>
                <w:sz w:val="18"/>
                <w:szCs w:val="18"/>
              </w:rPr>
              <w:t>Міжнародні інвестиції</w:t>
            </w:r>
          </w:p>
          <w:p w:rsidR="00CA2D7F" w:rsidRPr="00E95FB1" w:rsidRDefault="00CA2D7F" w:rsidP="00CA2D7F">
            <w:pPr>
              <w:autoSpaceDE w:val="0"/>
              <w:autoSpaceDN w:val="0"/>
              <w:adjustRightInd w:val="0"/>
              <w:jc w:val="center"/>
              <w:rPr>
                <w:rFonts w:eastAsia="Calibri"/>
                <w:color w:val="000000"/>
                <w:sz w:val="18"/>
                <w:szCs w:val="18"/>
              </w:rPr>
            </w:pP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autoSpaceDE w:val="0"/>
              <w:autoSpaceDN w:val="0"/>
              <w:adjustRightInd w:val="0"/>
              <w:jc w:val="center"/>
              <w:rPr>
                <w:rFonts w:eastAsia="Calibri"/>
                <w:color w:val="000000"/>
                <w:sz w:val="18"/>
                <w:szCs w:val="18"/>
              </w:rPr>
            </w:pPr>
            <w:r w:rsidRPr="00E95FB1">
              <w:rPr>
                <w:rFonts w:eastAsia="Calibri"/>
                <w:color w:val="000000"/>
                <w:sz w:val="18"/>
                <w:szCs w:val="18"/>
              </w:rPr>
              <w:t>21370,0</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rFonts w:eastAsia="Calibri"/>
                <w:color w:val="000000"/>
                <w:sz w:val="18"/>
                <w:szCs w:val="18"/>
              </w:rPr>
              <w:t xml:space="preserve">Встановлення сучасних </w:t>
            </w:r>
            <w:proofErr w:type="spellStart"/>
            <w:r w:rsidRPr="00E95FB1">
              <w:rPr>
                <w:rFonts w:eastAsia="Calibri"/>
                <w:color w:val="000000"/>
                <w:sz w:val="18"/>
                <w:szCs w:val="18"/>
              </w:rPr>
              <w:t>зупинкових</w:t>
            </w:r>
            <w:proofErr w:type="spellEnd"/>
            <w:r w:rsidRPr="00E95FB1">
              <w:rPr>
                <w:rFonts w:eastAsia="Calibri"/>
                <w:color w:val="000000"/>
                <w:sz w:val="18"/>
                <w:szCs w:val="18"/>
              </w:rPr>
              <w:t xml:space="preserve"> майданчиків «Розумні зупинки»</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sz w:val="18"/>
                <w:szCs w:val="18"/>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autoSpaceDE w:val="0"/>
              <w:autoSpaceDN w:val="0"/>
              <w:adjustRightInd w:val="0"/>
              <w:jc w:val="center"/>
              <w:rPr>
                <w:rFonts w:eastAsia="Calibri"/>
                <w:color w:val="000000"/>
                <w:sz w:val="18"/>
                <w:szCs w:val="18"/>
              </w:rPr>
            </w:pPr>
            <w:r w:rsidRPr="00E95FB1">
              <w:rPr>
                <w:rFonts w:eastAsia="Calibri"/>
                <w:color w:val="000000"/>
                <w:sz w:val="18"/>
                <w:szCs w:val="18"/>
              </w:rPr>
              <w:t>49364,0</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autoSpaceDE w:val="0"/>
              <w:autoSpaceDN w:val="0"/>
              <w:adjustRightInd w:val="0"/>
              <w:jc w:val="center"/>
              <w:rPr>
                <w:rFonts w:eastAsia="Calibri"/>
                <w:color w:val="000000"/>
                <w:sz w:val="18"/>
                <w:szCs w:val="18"/>
              </w:rPr>
            </w:pPr>
            <w:r w:rsidRPr="00E95FB1">
              <w:rPr>
                <w:rFonts w:eastAsia="Calibri"/>
                <w:color w:val="000000"/>
                <w:sz w:val="18"/>
                <w:szCs w:val="18"/>
              </w:rPr>
              <w:t>-</w:t>
            </w: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autoSpaceDE w:val="0"/>
              <w:autoSpaceDN w:val="0"/>
              <w:adjustRightInd w:val="0"/>
              <w:jc w:val="center"/>
              <w:rPr>
                <w:rFonts w:eastAsia="Calibri"/>
                <w:color w:val="000000"/>
                <w:sz w:val="18"/>
                <w:szCs w:val="18"/>
              </w:rPr>
            </w:pPr>
            <w:r w:rsidRPr="00E95FB1">
              <w:rPr>
                <w:rFonts w:eastAsia="Calibri"/>
                <w:color w:val="000000"/>
                <w:sz w:val="18"/>
                <w:szCs w:val="18"/>
              </w:rPr>
              <w:t>21156,0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autoSpaceDE w:val="0"/>
              <w:autoSpaceDN w:val="0"/>
              <w:adjustRightInd w:val="0"/>
              <w:jc w:val="center"/>
              <w:rPr>
                <w:rFonts w:eastAsia="Calibri"/>
                <w:color w:val="000000"/>
                <w:sz w:val="18"/>
                <w:szCs w:val="18"/>
              </w:rPr>
            </w:pPr>
            <w:r w:rsidRPr="00E95FB1">
              <w:rPr>
                <w:rFonts w:eastAsia="Calibri"/>
                <w:color w:val="000000"/>
                <w:sz w:val="18"/>
                <w:szCs w:val="18"/>
              </w:rPr>
              <w:t>Міжнародні інвестиції</w:t>
            </w:r>
          </w:p>
          <w:p w:rsidR="00CA2D7F" w:rsidRPr="00E95FB1" w:rsidRDefault="00CA2D7F" w:rsidP="00CA2D7F">
            <w:pPr>
              <w:autoSpaceDE w:val="0"/>
              <w:autoSpaceDN w:val="0"/>
              <w:adjustRightInd w:val="0"/>
              <w:jc w:val="center"/>
              <w:rPr>
                <w:rFonts w:eastAsia="Calibri"/>
                <w:color w:val="000000"/>
                <w:sz w:val="18"/>
                <w:szCs w:val="18"/>
              </w:rPr>
            </w:pP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autoSpaceDE w:val="0"/>
              <w:autoSpaceDN w:val="0"/>
              <w:adjustRightInd w:val="0"/>
              <w:jc w:val="center"/>
              <w:rPr>
                <w:rFonts w:eastAsia="Calibri"/>
                <w:color w:val="000000"/>
                <w:sz w:val="18"/>
                <w:szCs w:val="18"/>
              </w:rPr>
            </w:pPr>
            <w:r w:rsidRPr="00E95FB1">
              <w:rPr>
                <w:rFonts w:eastAsia="Calibri"/>
                <w:color w:val="000000"/>
                <w:sz w:val="18"/>
                <w:szCs w:val="18"/>
              </w:rPr>
              <w:t>70520,0</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lastRenderedPageBreak/>
              <w:t>3</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rFonts w:eastAsia="Calibri"/>
                <w:color w:val="000000"/>
                <w:sz w:val="18"/>
                <w:szCs w:val="18"/>
              </w:rPr>
              <w:t>Капітальний ремонт будівель та споруд КП «Сєвєродонецьке тролейбусне управління»</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sz w:val="18"/>
                <w:szCs w:val="18"/>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autoSpaceDE w:val="0"/>
              <w:autoSpaceDN w:val="0"/>
              <w:adjustRightInd w:val="0"/>
              <w:jc w:val="center"/>
              <w:rPr>
                <w:rFonts w:eastAsia="Calibri"/>
                <w:color w:val="000000"/>
                <w:sz w:val="18"/>
                <w:szCs w:val="18"/>
              </w:rPr>
            </w:pPr>
            <w:r w:rsidRPr="00E95FB1">
              <w:rPr>
                <w:rFonts w:eastAsia="Calibri"/>
                <w:color w:val="000000"/>
                <w:sz w:val="18"/>
                <w:szCs w:val="18"/>
              </w:rPr>
              <w:t>322700,0</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autoSpaceDE w:val="0"/>
              <w:autoSpaceDN w:val="0"/>
              <w:adjustRightInd w:val="0"/>
              <w:jc w:val="center"/>
              <w:rPr>
                <w:rFonts w:eastAsia="Calibri"/>
                <w:color w:val="000000"/>
                <w:sz w:val="18"/>
                <w:szCs w:val="18"/>
              </w:rPr>
            </w:pPr>
            <w:r w:rsidRPr="00E95FB1">
              <w:rPr>
                <w:rFonts w:eastAsia="Calibri"/>
                <w:color w:val="000000"/>
                <w:sz w:val="18"/>
                <w:szCs w:val="18"/>
              </w:rPr>
              <w:t>-</w:t>
            </w: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autoSpaceDE w:val="0"/>
              <w:autoSpaceDN w:val="0"/>
              <w:adjustRightInd w:val="0"/>
              <w:jc w:val="center"/>
              <w:rPr>
                <w:rFonts w:eastAsia="Calibri"/>
                <w:color w:val="000000"/>
                <w:sz w:val="18"/>
                <w:szCs w:val="18"/>
              </w:rPr>
            </w:pPr>
            <w:r w:rsidRPr="00E95FB1">
              <w:rPr>
                <w:rFonts w:eastAsia="Calibri"/>
                <w:color w:val="000000"/>
                <w:sz w:val="18"/>
                <w:szCs w:val="18"/>
              </w:rPr>
              <w:t>138300,0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autoSpaceDE w:val="0"/>
              <w:autoSpaceDN w:val="0"/>
              <w:adjustRightInd w:val="0"/>
              <w:jc w:val="center"/>
              <w:rPr>
                <w:rFonts w:eastAsia="Calibri"/>
                <w:color w:val="000000"/>
                <w:sz w:val="18"/>
                <w:szCs w:val="18"/>
              </w:rPr>
            </w:pPr>
            <w:r w:rsidRPr="00E95FB1">
              <w:rPr>
                <w:rFonts w:eastAsia="Calibri"/>
                <w:color w:val="000000"/>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autoSpaceDE w:val="0"/>
              <w:autoSpaceDN w:val="0"/>
              <w:adjustRightInd w:val="0"/>
              <w:jc w:val="center"/>
              <w:rPr>
                <w:rFonts w:eastAsia="Calibri"/>
                <w:color w:val="000000"/>
                <w:sz w:val="18"/>
                <w:szCs w:val="18"/>
              </w:rPr>
            </w:pPr>
            <w:r w:rsidRPr="00E95FB1">
              <w:rPr>
                <w:rFonts w:eastAsia="Calibri"/>
                <w:color w:val="000000"/>
                <w:sz w:val="18"/>
                <w:szCs w:val="18"/>
              </w:rPr>
              <w:t>461000,0</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4</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rFonts w:eastAsia="Calibri"/>
                <w:color w:val="000000"/>
                <w:sz w:val="18"/>
                <w:szCs w:val="18"/>
              </w:rPr>
              <w:t xml:space="preserve">Встановлення сонячної станції потужністю 100 кВт на території підприємства за </w:t>
            </w:r>
            <w:proofErr w:type="spellStart"/>
            <w:r w:rsidRPr="00E95FB1">
              <w:rPr>
                <w:rFonts w:eastAsia="Calibri"/>
                <w:color w:val="000000"/>
                <w:sz w:val="18"/>
                <w:szCs w:val="18"/>
              </w:rPr>
              <w:t>адресою</w:t>
            </w:r>
            <w:proofErr w:type="spellEnd"/>
            <w:r w:rsidRPr="00E95FB1">
              <w:rPr>
                <w:rFonts w:eastAsia="Calibri"/>
                <w:color w:val="000000"/>
                <w:sz w:val="18"/>
                <w:szCs w:val="18"/>
              </w:rPr>
              <w:t xml:space="preserve"> м. Сєвєродонецьк, шосе Будівельників</w:t>
            </w:r>
            <w:r w:rsidR="00391731">
              <w:rPr>
                <w:rFonts w:eastAsia="Calibri"/>
                <w:color w:val="000000"/>
                <w:sz w:val="18"/>
                <w:szCs w:val="18"/>
              </w:rPr>
              <w:t>,</w:t>
            </w:r>
            <w:r w:rsidRPr="00E95FB1">
              <w:rPr>
                <w:rFonts w:eastAsia="Calibri"/>
                <w:color w:val="000000"/>
                <w:sz w:val="18"/>
                <w:szCs w:val="18"/>
              </w:rPr>
              <w:t xml:space="preserve"> 27</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sz w:val="18"/>
                <w:szCs w:val="18"/>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autoSpaceDE w:val="0"/>
              <w:autoSpaceDN w:val="0"/>
              <w:adjustRightInd w:val="0"/>
              <w:jc w:val="center"/>
              <w:rPr>
                <w:rFonts w:eastAsia="Calibri"/>
                <w:color w:val="000000"/>
                <w:sz w:val="18"/>
                <w:szCs w:val="18"/>
              </w:rPr>
            </w:pPr>
            <w:r w:rsidRPr="00E95FB1">
              <w:rPr>
                <w:rFonts w:eastAsia="Calibri"/>
                <w:color w:val="000000"/>
                <w:sz w:val="18"/>
                <w:szCs w:val="18"/>
              </w:rPr>
              <w:t>3150,0</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autoSpaceDE w:val="0"/>
              <w:autoSpaceDN w:val="0"/>
              <w:adjustRightInd w:val="0"/>
              <w:jc w:val="center"/>
              <w:rPr>
                <w:rFonts w:eastAsia="Calibri"/>
                <w:color w:val="000000"/>
                <w:sz w:val="18"/>
                <w:szCs w:val="18"/>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autoSpaceDE w:val="0"/>
              <w:autoSpaceDN w:val="0"/>
              <w:adjustRightInd w:val="0"/>
              <w:jc w:val="center"/>
              <w:rPr>
                <w:rFonts w:eastAsia="Calibri"/>
                <w:color w:val="000000"/>
                <w:sz w:val="18"/>
                <w:szCs w:val="18"/>
              </w:rPr>
            </w:pPr>
            <w:r w:rsidRPr="00E95FB1">
              <w:rPr>
                <w:rFonts w:eastAsia="Calibri"/>
                <w:color w:val="000000"/>
                <w:sz w:val="18"/>
                <w:szCs w:val="18"/>
              </w:rPr>
              <w:t>1350,0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autoSpaceDE w:val="0"/>
              <w:autoSpaceDN w:val="0"/>
              <w:adjustRightInd w:val="0"/>
              <w:jc w:val="center"/>
              <w:rPr>
                <w:rFonts w:eastAsia="Calibri"/>
                <w:color w:val="000000"/>
                <w:sz w:val="18"/>
                <w:szCs w:val="18"/>
              </w:rPr>
            </w:pPr>
            <w:r w:rsidRPr="00E95FB1">
              <w:rPr>
                <w:rFonts w:eastAsia="Calibri"/>
                <w:color w:val="000000"/>
                <w:sz w:val="18"/>
                <w:szCs w:val="18"/>
              </w:rPr>
              <w:t>Міжнародні інвестиції</w:t>
            </w:r>
          </w:p>
          <w:p w:rsidR="00CA2D7F" w:rsidRPr="00E95FB1" w:rsidRDefault="00CA2D7F" w:rsidP="00CA2D7F">
            <w:pPr>
              <w:autoSpaceDE w:val="0"/>
              <w:autoSpaceDN w:val="0"/>
              <w:adjustRightInd w:val="0"/>
              <w:jc w:val="center"/>
              <w:rPr>
                <w:rFonts w:eastAsia="Calibri"/>
                <w:color w:val="000000"/>
                <w:sz w:val="18"/>
                <w:szCs w:val="18"/>
              </w:rPr>
            </w:pP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autoSpaceDE w:val="0"/>
              <w:autoSpaceDN w:val="0"/>
              <w:adjustRightInd w:val="0"/>
              <w:jc w:val="center"/>
              <w:rPr>
                <w:rFonts w:eastAsia="Calibri"/>
                <w:color w:val="000000"/>
                <w:sz w:val="18"/>
                <w:szCs w:val="18"/>
              </w:rPr>
            </w:pPr>
            <w:r w:rsidRPr="00E95FB1">
              <w:rPr>
                <w:rFonts w:eastAsia="Calibri"/>
                <w:color w:val="000000"/>
                <w:sz w:val="18"/>
                <w:szCs w:val="18"/>
              </w:rPr>
              <w:t>4500,0</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5</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rFonts w:eastAsia="Calibri"/>
                <w:color w:val="000000"/>
                <w:sz w:val="18"/>
                <w:szCs w:val="18"/>
              </w:rPr>
              <w:t>Придбання електробусів та зарядних станцій для них</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sz w:val="18"/>
                <w:szCs w:val="18"/>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autoSpaceDE w:val="0"/>
              <w:autoSpaceDN w:val="0"/>
              <w:adjustRightInd w:val="0"/>
              <w:jc w:val="center"/>
              <w:rPr>
                <w:rFonts w:eastAsia="Calibri"/>
                <w:color w:val="000000"/>
                <w:sz w:val="18"/>
                <w:szCs w:val="18"/>
              </w:rPr>
            </w:pPr>
            <w:r w:rsidRPr="00E95FB1">
              <w:rPr>
                <w:rFonts w:eastAsia="Calibri"/>
                <w:color w:val="000000"/>
                <w:sz w:val="18"/>
                <w:szCs w:val="18"/>
              </w:rPr>
              <w:t>345800,0</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autoSpaceDE w:val="0"/>
              <w:autoSpaceDN w:val="0"/>
              <w:adjustRightInd w:val="0"/>
              <w:jc w:val="center"/>
              <w:rPr>
                <w:rFonts w:eastAsia="Calibri"/>
                <w:color w:val="000000"/>
                <w:sz w:val="18"/>
                <w:szCs w:val="18"/>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autoSpaceDE w:val="0"/>
              <w:autoSpaceDN w:val="0"/>
              <w:adjustRightInd w:val="0"/>
              <w:jc w:val="center"/>
              <w:rPr>
                <w:rFonts w:eastAsia="Calibri"/>
                <w:color w:val="000000"/>
                <w:sz w:val="18"/>
                <w:szCs w:val="18"/>
              </w:rPr>
            </w:pPr>
            <w:r w:rsidRPr="00E95FB1">
              <w:rPr>
                <w:rFonts w:eastAsia="Calibri"/>
                <w:color w:val="000000"/>
                <w:sz w:val="18"/>
                <w:szCs w:val="18"/>
              </w:rPr>
              <w:t>148200,0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autoSpaceDE w:val="0"/>
              <w:autoSpaceDN w:val="0"/>
              <w:adjustRightInd w:val="0"/>
              <w:jc w:val="center"/>
              <w:rPr>
                <w:rFonts w:eastAsia="Calibri"/>
                <w:color w:val="000000"/>
                <w:sz w:val="18"/>
                <w:szCs w:val="18"/>
              </w:rPr>
            </w:pPr>
            <w:r w:rsidRPr="00E95FB1">
              <w:rPr>
                <w:rFonts w:eastAsia="Calibri"/>
                <w:color w:val="000000"/>
                <w:sz w:val="18"/>
                <w:szCs w:val="18"/>
              </w:rPr>
              <w:t>Гранти міжнародних організацій</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autoSpaceDE w:val="0"/>
              <w:autoSpaceDN w:val="0"/>
              <w:adjustRightInd w:val="0"/>
              <w:jc w:val="center"/>
              <w:rPr>
                <w:rFonts w:eastAsia="Calibri"/>
                <w:color w:val="000000"/>
                <w:sz w:val="18"/>
                <w:szCs w:val="18"/>
              </w:rPr>
            </w:pPr>
            <w:r w:rsidRPr="00E95FB1">
              <w:rPr>
                <w:rFonts w:eastAsia="Calibri"/>
                <w:color w:val="000000"/>
                <w:sz w:val="18"/>
                <w:szCs w:val="18"/>
              </w:rPr>
              <w:t>494000,0</w:t>
            </w:r>
          </w:p>
        </w:tc>
      </w:tr>
      <w:tr w:rsidR="00CA2D7F" w:rsidRPr="00E95FB1" w:rsidTr="00422E0C">
        <w:trPr>
          <w:trHeight w:val="300"/>
        </w:trPr>
        <w:tc>
          <w:tcPr>
            <w:tcW w:w="35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Всього напрямом</w:t>
            </w:r>
          </w:p>
        </w:tc>
        <w:tc>
          <w:tcPr>
            <w:tcW w:w="1736"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х</w:t>
            </w:r>
          </w:p>
        </w:tc>
        <w:tc>
          <w:tcPr>
            <w:tcW w:w="1252"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х</w:t>
            </w:r>
          </w:p>
        </w:tc>
        <w:tc>
          <w:tcPr>
            <w:tcW w:w="1035"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х</w:t>
            </w:r>
          </w:p>
        </w:tc>
        <w:tc>
          <w:tcPr>
            <w:tcW w:w="1104"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х</w:t>
            </w:r>
          </w:p>
        </w:tc>
        <w:tc>
          <w:tcPr>
            <w:tcW w:w="1134"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eastAsia="uk-UA"/>
              </w:rPr>
            </w:pPr>
            <w:r w:rsidRPr="00422E0C">
              <w:rPr>
                <w:b/>
                <w:color w:val="000000"/>
                <w:sz w:val="18"/>
                <w:szCs w:val="18"/>
                <w:lang w:val="ru-RU" w:eastAsia="uk-UA"/>
              </w:rPr>
              <w:t>735973,00</w:t>
            </w:r>
          </w:p>
        </w:tc>
        <w:tc>
          <w:tcPr>
            <w:tcW w:w="992"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eastAsia="uk-UA"/>
              </w:rPr>
            </w:pPr>
            <w:r w:rsidRPr="00422E0C">
              <w:rPr>
                <w:b/>
                <w:color w:val="000000"/>
                <w:sz w:val="18"/>
                <w:szCs w:val="18"/>
                <w:lang w:val="ru-RU" w:eastAsia="uk-UA"/>
              </w:rPr>
              <w:t>315417,00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eastAsia="uk-UA"/>
              </w:rPr>
            </w:pPr>
            <w:r w:rsidRPr="00422E0C">
              <w:rPr>
                <w:b/>
                <w:bCs/>
                <w:color w:val="000000"/>
                <w:sz w:val="18"/>
                <w:szCs w:val="18"/>
                <w:lang w:eastAsia="uk-UA"/>
              </w:rPr>
              <w:t>х</w:t>
            </w:r>
          </w:p>
        </w:tc>
        <w:tc>
          <w:tcPr>
            <w:tcW w:w="1164"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val="ru-RU" w:eastAsia="uk-UA"/>
              </w:rPr>
            </w:pPr>
            <w:r w:rsidRPr="00422E0C">
              <w:rPr>
                <w:b/>
                <w:color w:val="000000"/>
                <w:sz w:val="18"/>
                <w:szCs w:val="18"/>
                <w:lang w:val="ru-RU" w:eastAsia="uk-UA"/>
              </w:rPr>
              <w:t>1051390,00</w:t>
            </w:r>
          </w:p>
        </w:tc>
      </w:tr>
      <w:tr w:rsidR="00CA2D7F" w:rsidRPr="00E95FB1" w:rsidTr="001B3967">
        <w:trPr>
          <w:trHeight w:val="375"/>
        </w:trPr>
        <w:tc>
          <w:tcPr>
            <w:tcW w:w="14580" w:type="dxa"/>
            <w:gridSpan w:val="12"/>
            <w:tcBorders>
              <w:top w:val="single" w:sz="4" w:space="0" w:color="auto"/>
              <w:left w:val="single" w:sz="4" w:space="0" w:color="auto"/>
              <w:bottom w:val="single" w:sz="4" w:space="0" w:color="auto"/>
              <w:right w:val="single" w:sz="4" w:space="0" w:color="auto"/>
            </w:tcBorders>
            <w:shd w:val="clear" w:color="000000" w:fill="B8CCE4"/>
            <w:vAlign w:val="bottom"/>
            <w:hideMark/>
          </w:tcPr>
          <w:p w:rsidR="00CA2D7F" w:rsidRPr="00E95FB1" w:rsidRDefault="00CA2D7F" w:rsidP="00CA2D7F">
            <w:pPr>
              <w:ind w:firstLineChars="1500" w:firstLine="3614"/>
              <w:jc w:val="left"/>
              <w:rPr>
                <w:b/>
                <w:bCs/>
                <w:color w:val="000000"/>
                <w:sz w:val="24"/>
                <w:szCs w:val="24"/>
                <w:lang w:eastAsia="uk-UA"/>
              </w:rPr>
            </w:pPr>
            <w:r w:rsidRPr="00E95FB1">
              <w:rPr>
                <w:b/>
                <w:bCs/>
                <w:color w:val="000000"/>
                <w:sz w:val="24"/>
                <w:szCs w:val="24"/>
                <w:lang w:eastAsia="uk-UA"/>
              </w:rPr>
              <w:t>5.</w:t>
            </w:r>
            <w:r w:rsidRPr="00E95FB1">
              <w:rPr>
                <w:b/>
                <w:bCs/>
                <w:color w:val="000000"/>
                <w:sz w:val="14"/>
                <w:szCs w:val="14"/>
                <w:lang w:eastAsia="uk-UA"/>
              </w:rPr>
              <w:t xml:space="preserve"> </w:t>
            </w:r>
            <w:r w:rsidRPr="00E95FB1">
              <w:rPr>
                <w:b/>
                <w:bCs/>
                <w:color w:val="000000"/>
                <w:sz w:val="24"/>
                <w:szCs w:val="24"/>
                <w:lang w:eastAsia="uk-UA"/>
              </w:rPr>
              <w:t xml:space="preserve"> Інші </w:t>
            </w:r>
            <w:proofErr w:type="spellStart"/>
            <w:r w:rsidRPr="00E95FB1">
              <w:rPr>
                <w:b/>
                <w:bCs/>
                <w:color w:val="000000"/>
                <w:sz w:val="24"/>
                <w:szCs w:val="24"/>
                <w:lang w:eastAsia="uk-UA"/>
              </w:rPr>
              <w:t>про</w:t>
            </w:r>
            <w:r>
              <w:rPr>
                <w:b/>
                <w:bCs/>
                <w:color w:val="000000"/>
                <w:sz w:val="24"/>
                <w:szCs w:val="24"/>
                <w:lang w:eastAsia="uk-UA"/>
              </w:rPr>
              <w:t>є</w:t>
            </w:r>
            <w:r w:rsidRPr="00E95FB1">
              <w:rPr>
                <w:b/>
                <w:bCs/>
                <w:color w:val="000000"/>
                <w:sz w:val="24"/>
                <w:szCs w:val="24"/>
                <w:lang w:eastAsia="uk-UA"/>
              </w:rPr>
              <w:t>кти</w:t>
            </w:r>
            <w:proofErr w:type="spellEnd"/>
            <w:r>
              <w:rPr>
                <w:b/>
                <w:bCs/>
                <w:color w:val="000000"/>
                <w:sz w:val="24"/>
                <w:szCs w:val="24"/>
                <w:lang w:eastAsia="uk-UA"/>
              </w:rPr>
              <w:t>,</w:t>
            </w:r>
            <w:r w:rsidRPr="00E95FB1">
              <w:rPr>
                <w:b/>
                <w:bCs/>
                <w:color w:val="000000"/>
                <w:sz w:val="24"/>
                <w:szCs w:val="24"/>
                <w:lang w:eastAsia="uk-UA"/>
              </w:rPr>
              <w:t xml:space="preserve"> спрямовані на відновлення та розвиток регіону та територіальної громади</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1</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 xml:space="preserve">Будівництво </w:t>
            </w:r>
            <w:proofErr w:type="spellStart"/>
            <w:r w:rsidR="00391731">
              <w:rPr>
                <w:bCs/>
                <w:sz w:val="18"/>
                <w:szCs w:val="18"/>
              </w:rPr>
              <w:t>сміттєпереробного</w:t>
            </w:r>
            <w:proofErr w:type="spellEnd"/>
            <w:r w:rsidRPr="00E95FB1">
              <w:rPr>
                <w:bCs/>
                <w:sz w:val="18"/>
                <w:szCs w:val="18"/>
              </w:rPr>
              <w:t xml:space="preserve"> заводу</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2 331 000,0</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
                <w:bCs/>
                <w:sz w:val="18"/>
                <w:szCs w:val="18"/>
              </w:rPr>
            </w:pPr>
            <w:r w:rsidRPr="00E95FB1">
              <w:rPr>
                <w:sz w:val="18"/>
                <w:szCs w:val="18"/>
              </w:rPr>
              <w:t>999 000,0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Cs/>
                <w:sz w:val="18"/>
                <w:szCs w:val="18"/>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sz w:val="18"/>
                <w:szCs w:val="18"/>
              </w:rPr>
              <w:t>3 330 000,00</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 xml:space="preserve">Встановлення та запуск лінії для виготовлення </w:t>
            </w:r>
            <w:proofErr w:type="spellStart"/>
            <w:r w:rsidRPr="00E95FB1">
              <w:rPr>
                <w:bCs/>
                <w:sz w:val="18"/>
                <w:szCs w:val="18"/>
              </w:rPr>
              <w:t>пелетів</w:t>
            </w:r>
            <w:proofErr w:type="spellEnd"/>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1 260,7</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
                <w:bCs/>
                <w:sz w:val="18"/>
                <w:szCs w:val="18"/>
              </w:rPr>
            </w:pPr>
            <w:r w:rsidRPr="00E95FB1">
              <w:rPr>
                <w:sz w:val="18"/>
                <w:szCs w:val="18"/>
              </w:rPr>
              <w:t>540,3</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Cs/>
                <w:sz w:val="18"/>
                <w:szCs w:val="18"/>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sz w:val="18"/>
                <w:szCs w:val="18"/>
              </w:rPr>
              <w:t>1 801,00</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3</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Придбання лінії з переробки будівельного сміття</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21 556,5</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
                <w:bCs/>
                <w:sz w:val="18"/>
                <w:szCs w:val="18"/>
              </w:rPr>
            </w:pPr>
            <w:r w:rsidRPr="00E95FB1">
              <w:rPr>
                <w:sz w:val="18"/>
                <w:szCs w:val="18"/>
              </w:rPr>
              <w:t>9 238,5</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Cs/>
                <w:sz w:val="18"/>
                <w:szCs w:val="18"/>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sz w:val="18"/>
                <w:szCs w:val="18"/>
              </w:rPr>
              <w:t>30 795,00</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4</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bCs/>
                <w:sz w:val="18"/>
                <w:szCs w:val="18"/>
              </w:rPr>
            </w:pPr>
            <w:r w:rsidRPr="00E95FB1">
              <w:rPr>
                <w:bCs/>
                <w:sz w:val="18"/>
                <w:szCs w:val="18"/>
              </w:rPr>
              <w:t xml:space="preserve">Придбання Лінії конвеєрного типу для виготовлення </w:t>
            </w:r>
            <w:proofErr w:type="spellStart"/>
            <w:r w:rsidRPr="00E95FB1">
              <w:rPr>
                <w:bCs/>
                <w:sz w:val="18"/>
                <w:szCs w:val="18"/>
              </w:rPr>
              <w:t>пенобетонних</w:t>
            </w:r>
            <w:proofErr w:type="spellEnd"/>
            <w:r w:rsidRPr="00E95FB1">
              <w:rPr>
                <w:bCs/>
                <w:sz w:val="18"/>
                <w:szCs w:val="18"/>
              </w:rPr>
              <w:t xml:space="preserve"> </w:t>
            </w:r>
            <w:proofErr w:type="spellStart"/>
            <w:r w:rsidRPr="00E95FB1">
              <w:rPr>
                <w:bCs/>
                <w:sz w:val="18"/>
                <w:szCs w:val="18"/>
              </w:rPr>
              <w:t>блоків"Стандарт</w:t>
            </w:r>
            <w:proofErr w:type="spellEnd"/>
            <w:r w:rsidRPr="00E95FB1">
              <w:rPr>
                <w:bCs/>
                <w:sz w:val="18"/>
                <w:szCs w:val="18"/>
              </w:rPr>
              <w:t xml:space="preserve"> ПБ-25"</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bCs/>
                <w:sz w:val="18"/>
                <w:szCs w:val="18"/>
              </w:rPr>
            </w:pPr>
            <w:r w:rsidRPr="00E95FB1">
              <w:rPr>
                <w:bCs/>
                <w:sz w:val="18"/>
                <w:szCs w:val="18"/>
              </w:rPr>
              <w:t>2 553,6</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
                <w:bCs/>
                <w:sz w:val="18"/>
                <w:szCs w:val="18"/>
              </w:rPr>
            </w:pPr>
            <w:r w:rsidRPr="00E95FB1">
              <w:rPr>
                <w:sz w:val="18"/>
                <w:szCs w:val="18"/>
              </w:rPr>
              <w:t>1 094,4</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Cs/>
                <w:sz w:val="18"/>
                <w:szCs w:val="18"/>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sz w:val="18"/>
                <w:szCs w:val="18"/>
              </w:rPr>
            </w:pPr>
            <w:r w:rsidRPr="00E95FB1">
              <w:rPr>
                <w:sz w:val="18"/>
                <w:szCs w:val="18"/>
              </w:rPr>
              <w:t>3 648,00</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5</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bCs/>
                <w:sz w:val="18"/>
                <w:szCs w:val="18"/>
              </w:rPr>
            </w:pPr>
            <w:r w:rsidRPr="00E95FB1">
              <w:rPr>
                <w:bCs/>
                <w:sz w:val="18"/>
                <w:szCs w:val="18"/>
              </w:rPr>
              <w:t>Закупівля та монтаж модульних споруд для місць загального користування</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bCs/>
                <w:sz w:val="18"/>
                <w:szCs w:val="18"/>
              </w:rPr>
            </w:pPr>
            <w:r w:rsidRPr="00E95FB1">
              <w:rPr>
                <w:bCs/>
                <w:sz w:val="18"/>
                <w:szCs w:val="18"/>
              </w:rPr>
              <w:t>2 100,0</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
                <w:bCs/>
                <w:sz w:val="18"/>
                <w:szCs w:val="18"/>
              </w:rPr>
            </w:pPr>
            <w:r w:rsidRPr="00E95FB1">
              <w:rPr>
                <w:sz w:val="18"/>
                <w:szCs w:val="18"/>
              </w:rPr>
              <w:t>900,0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Cs/>
                <w:sz w:val="18"/>
                <w:szCs w:val="18"/>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sz w:val="18"/>
                <w:szCs w:val="18"/>
              </w:rPr>
            </w:pPr>
            <w:r w:rsidRPr="00E95FB1">
              <w:rPr>
                <w:sz w:val="18"/>
                <w:szCs w:val="18"/>
              </w:rPr>
              <w:t>3 000,00</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6</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bCs/>
                <w:sz w:val="18"/>
                <w:szCs w:val="18"/>
              </w:rPr>
            </w:pPr>
            <w:r w:rsidRPr="00E95FB1">
              <w:rPr>
                <w:bCs/>
                <w:sz w:val="18"/>
                <w:szCs w:val="18"/>
              </w:rPr>
              <w:t>Придбання Напівавтоматичної лінії для виробництва будівельних матеріалів</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bCs/>
                <w:sz w:val="18"/>
                <w:szCs w:val="18"/>
              </w:rPr>
            </w:pPr>
            <w:r w:rsidRPr="00E95FB1">
              <w:rPr>
                <w:bCs/>
                <w:sz w:val="18"/>
                <w:szCs w:val="18"/>
              </w:rPr>
              <w:t>996,8</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
                <w:bCs/>
                <w:sz w:val="18"/>
                <w:szCs w:val="18"/>
              </w:rPr>
            </w:pPr>
            <w:r w:rsidRPr="00E95FB1">
              <w:rPr>
                <w:sz w:val="18"/>
                <w:szCs w:val="18"/>
              </w:rPr>
              <w:t>427,2</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Cs/>
                <w:sz w:val="18"/>
                <w:szCs w:val="18"/>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sz w:val="18"/>
                <w:szCs w:val="18"/>
              </w:rPr>
            </w:pPr>
            <w:r w:rsidRPr="00E95FB1">
              <w:rPr>
                <w:sz w:val="18"/>
                <w:szCs w:val="18"/>
              </w:rPr>
              <w:t>1 424,00</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lastRenderedPageBreak/>
              <w:t>7</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bCs/>
                <w:sz w:val="18"/>
                <w:szCs w:val="18"/>
              </w:rPr>
            </w:pPr>
            <w:r w:rsidRPr="00E95FB1">
              <w:rPr>
                <w:bCs/>
                <w:sz w:val="18"/>
                <w:szCs w:val="18"/>
              </w:rPr>
              <w:t>Створення розплідника декоративних рослин</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bCs/>
                <w:sz w:val="18"/>
                <w:szCs w:val="18"/>
              </w:rPr>
            </w:pPr>
            <w:r w:rsidRPr="00E95FB1">
              <w:rPr>
                <w:bCs/>
                <w:sz w:val="18"/>
                <w:szCs w:val="18"/>
              </w:rPr>
              <w:t>21 926,1</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
                <w:bCs/>
                <w:sz w:val="18"/>
                <w:szCs w:val="18"/>
              </w:rPr>
            </w:pPr>
            <w:r w:rsidRPr="00E95FB1">
              <w:rPr>
                <w:sz w:val="18"/>
                <w:szCs w:val="18"/>
              </w:rPr>
              <w:t>9 396,9</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Cs/>
                <w:sz w:val="18"/>
                <w:szCs w:val="18"/>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sz w:val="18"/>
                <w:szCs w:val="18"/>
              </w:rPr>
            </w:pPr>
            <w:r w:rsidRPr="00E95FB1">
              <w:rPr>
                <w:sz w:val="18"/>
                <w:szCs w:val="18"/>
              </w:rPr>
              <w:t>31 323,00</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8</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bCs/>
                <w:sz w:val="18"/>
                <w:szCs w:val="18"/>
              </w:rPr>
            </w:pPr>
            <w:r w:rsidRPr="00E95FB1">
              <w:rPr>
                <w:bCs/>
                <w:sz w:val="18"/>
                <w:szCs w:val="18"/>
              </w:rPr>
              <w:t>Закупівля саджанців дерев та кущів</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bCs/>
                <w:sz w:val="18"/>
                <w:szCs w:val="18"/>
              </w:rPr>
            </w:pPr>
            <w:r w:rsidRPr="00E95FB1">
              <w:rPr>
                <w:bCs/>
                <w:sz w:val="18"/>
                <w:szCs w:val="18"/>
              </w:rPr>
              <w:t>1 260,0</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
                <w:bCs/>
                <w:sz w:val="18"/>
                <w:szCs w:val="18"/>
              </w:rPr>
            </w:pPr>
            <w:r w:rsidRPr="00E95FB1">
              <w:rPr>
                <w:sz w:val="18"/>
                <w:szCs w:val="18"/>
              </w:rPr>
              <w:t>540,0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Cs/>
                <w:sz w:val="18"/>
                <w:szCs w:val="18"/>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sz w:val="18"/>
                <w:szCs w:val="18"/>
              </w:rPr>
            </w:pPr>
            <w:r w:rsidRPr="00E95FB1">
              <w:rPr>
                <w:sz w:val="18"/>
                <w:szCs w:val="18"/>
              </w:rPr>
              <w:t>1 800,00</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9</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bCs/>
                <w:sz w:val="18"/>
                <w:szCs w:val="18"/>
              </w:rPr>
            </w:pPr>
            <w:r w:rsidRPr="00E95FB1">
              <w:rPr>
                <w:bCs/>
                <w:sz w:val="18"/>
                <w:szCs w:val="18"/>
              </w:rPr>
              <w:t>Придбання СОНЯШНОЇ ЕЛЕКТРОСТАНЦІЇ 25 КВТ "ПІД КЛЮЧ"</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bCs/>
                <w:sz w:val="18"/>
                <w:szCs w:val="18"/>
              </w:rPr>
            </w:pPr>
            <w:r w:rsidRPr="00E95FB1">
              <w:rPr>
                <w:bCs/>
                <w:sz w:val="18"/>
                <w:szCs w:val="18"/>
              </w:rPr>
              <w:t>2 060,8</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
                <w:bCs/>
                <w:sz w:val="18"/>
                <w:szCs w:val="18"/>
              </w:rPr>
            </w:pPr>
            <w:r w:rsidRPr="00E95FB1">
              <w:rPr>
                <w:sz w:val="18"/>
                <w:szCs w:val="18"/>
              </w:rPr>
              <w:t>883,2</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Cs/>
                <w:sz w:val="18"/>
                <w:szCs w:val="18"/>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sz w:val="18"/>
                <w:szCs w:val="18"/>
              </w:rPr>
            </w:pPr>
            <w:r w:rsidRPr="00E95FB1">
              <w:rPr>
                <w:sz w:val="18"/>
                <w:szCs w:val="18"/>
              </w:rPr>
              <w:t>2 944,00</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10</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bCs/>
                <w:sz w:val="18"/>
                <w:szCs w:val="18"/>
              </w:rPr>
            </w:pPr>
            <w:r w:rsidRPr="00E95FB1">
              <w:rPr>
                <w:bCs/>
                <w:sz w:val="18"/>
                <w:szCs w:val="18"/>
              </w:rPr>
              <w:t>Створення станції з ремонту і технічного обслуговування комунальної спецтехніки і автомобілів</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bCs/>
                <w:sz w:val="18"/>
                <w:szCs w:val="18"/>
              </w:rPr>
            </w:pPr>
            <w:r w:rsidRPr="00E95FB1">
              <w:rPr>
                <w:bCs/>
                <w:sz w:val="18"/>
                <w:szCs w:val="18"/>
              </w:rPr>
              <w:t>1 036,0</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
                <w:bCs/>
                <w:sz w:val="18"/>
                <w:szCs w:val="18"/>
              </w:rPr>
            </w:pPr>
            <w:r w:rsidRPr="00E95FB1">
              <w:rPr>
                <w:sz w:val="18"/>
                <w:szCs w:val="18"/>
              </w:rPr>
              <w:t>444,0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Cs/>
                <w:sz w:val="18"/>
                <w:szCs w:val="18"/>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sz w:val="18"/>
                <w:szCs w:val="18"/>
              </w:rPr>
            </w:pPr>
            <w:r w:rsidRPr="00E95FB1">
              <w:rPr>
                <w:sz w:val="18"/>
                <w:szCs w:val="18"/>
              </w:rPr>
              <w:t>1 480,00</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883949" w:rsidRDefault="00CA2D7F" w:rsidP="00CA2D7F">
            <w:pPr>
              <w:jc w:val="center"/>
              <w:rPr>
                <w:color w:val="000000"/>
                <w:sz w:val="18"/>
                <w:szCs w:val="18"/>
                <w:lang w:val="ru-RU" w:eastAsia="uk-UA"/>
              </w:rPr>
            </w:pPr>
            <w:r w:rsidRPr="00883949">
              <w:rPr>
                <w:color w:val="000000"/>
                <w:sz w:val="18"/>
                <w:szCs w:val="18"/>
                <w:lang w:val="ru-RU" w:eastAsia="uk-UA"/>
              </w:rPr>
              <w:t>11</w:t>
            </w:r>
          </w:p>
        </w:tc>
        <w:tc>
          <w:tcPr>
            <w:tcW w:w="3049" w:type="dxa"/>
            <w:tcBorders>
              <w:top w:val="nil"/>
              <w:left w:val="nil"/>
              <w:bottom w:val="single" w:sz="4" w:space="0" w:color="auto"/>
              <w:right w:val="single" w:sz="4" w:space="0" w:color="auto"/>
            </w:tcBorders>
            <w:shd w:val="clear" w:color="auto" w:fill="auto"/>
            <w:vAlign w:val="center"/>
            <w:hideMark/>
          </w:tcPr>
          <w:p w:rsidR="00CA2D7F" w:rsidRPr="00883949" w:rsidRDefault="00CA2D7F" w:rsidP="00CA2D7F">
            <w:pPr>
              <w:jc w:val="center"/>
              <w:rPr>
                <w:bCs/>
                <w:sz w:val="18"/>
                <w:szCs w:val="18"/>
              </w:rPr>
            </w:pPr>
            <w:r w:rsidRPr="00883949">
              <w:rPr>
                <w:bCs/>
                <w:sz w:val="18"/>
                <w:szCs w:val="18"/>
              </w:rPr>
              <w:t xml:space="preserve">Відновлення діяльності </w:t>
            </w:r>
            <w:r w:rsidRPr="00883949">
              <w:rPr>
                <w:sz w:val="18"/>
                <w:szCs w:val="18"/>
              </w:rPr>
              <w:t>Комунального підприємства «Сєвєродонецьке агентство інвестицій та розвитку»</w:t>
            </w:r>
          </w:p>
        </w:tc>
        <w:tc>
          <w:tcPr>
            <w:tcW w:w="1736" w:type="dxa"/>
            <w:tcBorders>
              <w:top w:val="nil"/>
              <w:left w:val="nil"/>
              <w:bottom w:val="single" w:sz="4" w:space="0" w:color="auto"/>
              <w:right w:val="single" w:sz="4" w:space="0" w:color="auto"/>
            </w:tcBorders>
            <w:shd w:val="clear" w:color="auto" w:fill="auto"/>
            <w:vAlign w:val="center"/>
            <w:hideMark/>
          </w:tcPr>
          <w:p w:rsidR="00CA2D7F" w:rsidRPr="00883949" w:rsidRDefault="00CA2D7F" w:rsidP="00CA2D7F">
            <w:pPr>
              <w:jc w:val="center"/>
              <w:rPr>
                <w:color w:val="000000"/>
                <w:sz w:val="18"/>
                <w:szCs w:val="18"/>
                <w:lang w:eastAsia="uk-UA"/>
              </w:rPr>
            </w:pPr>
            <w:r w:rsidRPr="00883949">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883949" w:rsidRDefault="00CA2D7F" w:rsidP="00CA2D7F">
            <w:pPr>
              <w:jc w:val="center"/>
              <w:rPr>
                <w:color w:val="000000"/>
                <w:sz w:val="18"/>
                <w:szCs w:val="18"/>
                <w:lang w:eastAsia="uk-UA"/>
              </w:rPr>
            </w:pPr>
            <w:r w:rsidRPr="00883949">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883949" w:rsidRDefault="00CA2D7F" w:rsidP="00CA2D7F">
            <w:pPr>
              <w:jc w:val="center"/>
              <w:rPr>
                <w:color w:val="000000"/>
                <w:sz w:val="18"/>
                <w:szCs w:val="18"/>
                <w:lang w:eastAsia="uk-UA"/>
              </w:rPr>
            </w:pPr>
            <w:r w:rsidRPr="00883949">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883949"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883949" w:rsidRDefault="00CA2D7F" w:rsidP="00CA2D7F">
            <w:pPr>
              <w:jc w:val="center"/>
              <w:rPr>
                <w:bCs/>
                <w:sz w:val="18"/>
                <w:szCs w:val="18"/>
              </w:rPr>
            </w:pPr>
            <w:r w:rsidRPr="00883949">
              <w:rPr>
                <w:sz w:val="18"/>
                <w:szCs w:val="18"/>
              </w:rPr>
              <w:t>698</w:t>
            </w:r>
            <w:r w:rsidRPr="00883949">
              <w:rPr>
                <w:sz w:val="18"/>
                <w:szCs w:val="18"/>
                <w:lang w:val="ru-RU"/>
              </w:rPr>
              <w:t>,</w:t>
            </w:r>
            <w:r w:rsidRPr="00883949">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rsidR="00CA2D7F" w:rsidRPr="00883949"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883949" w:rsidRDefault="00CA2D7F" w:rsidP="00CA2D7F">
            <w:pPr>
              <w:contextualSpacing/>
              <w:jc w:val="center"/>
              <w:rPr>
                <w:bCs/>
                <w:sz w:val="18"/>
                <w:szCs w:val="18"/>
                <w:lang w:val="ru-RU"/>
              </w:rPr>
            </w:pPr>
            <w:r w:rsidRPr="00883949">
              <w:rPr>
                <w:sz w:val="18"/>
                <w:szCs w:val="18"/>
              </w:rPr>
              <w:t>1 6</w:t>
            </w:r>
            <w:r w:rsidRPr="00883949">
              <w:rPr>
                <w:sz w:val="18"/>
                <w:szCs w:val="18"/>
                <w:lang w:val="ru-RU"/>
              </w:rPr>
              <w:t>29,0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883949" w:rsidRDefault="00CA2D7F" w:rsidP="00CA2D7F">
            <w:pPr>
              <w:contextualSpacing/>
              <w:jc w:val="center"/>
              <w:rPr>
                <w:bCs/>
                <w:sz w:val="18"/>
                <w:szCs w:val="18"/>
              </w:rPr>
            </w:pPr>
            <w:r w:rsidRPr="00883949">
              <w:rPr>
                <w:bCs/>
                <w:sz w:val="18"/>
                <w:szCs w:val="18"/>
              </w:rPr>
              <w:t>Іноземні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883949" w:rsidRDefault="00CA2D7F" w:rsidP="00CA2D7F">
            <w:pPr>
              <w:jc w:val="center"/>
              <w:rPr>
                <w:sz w:val="18"/>
                <w:szCs w:val="18"/>
              </w:rPr>
            </w:pPr>
            <w:r w:rsidRPr="00883949">
              <w:rPr>
                <w:sz w:val="18"/>
                <w:szCs w:val="18"/>
              </w:rPr>
              <w:t>2 327,</w:t>
            </w:r>
            <w:r w:rsidRPr="00883949">
              <w:rPr>
                <w:sz w:val="18"/>
                <w:szCs w:val="18"/>
                <w:lang w:val="ru-RU"/>
              </w:rPr>
              <w:t>1</w:t>
            </w:r>
          </w:p>
        </w:tc>
      </w:tr>
      <w:tr w:rsidR="00CA2D7F" w:rsidRPr="00E95FB1" w:rsidTr="000E0DC4">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0E0DC4" w:rsidRDefault="00CA2D7F" w:rsidP="00CA2D7F">
            <w:pPr>
              <w:jc w:val="center"/>
              <w:rPr>
                <w:color w:val="000000"/>
                <w:sz w:val="18"/>
                <w:szCs w:val="18"/>
                <w:lang w:val="ru-RU" w:eastAsia="uk-UA"/>
              </w:rPr>
            </w:pPr>
            <w:r w:rsidRPr="000E0DC4">
              <w:rPr>
                <w:color w:val="000000"/>
                <w:sz w:val="18"/>
                <w:szCs w:val="18"/>
                <w:lang w:val="ru-RU" w:eastAsia="uk-UA"/>
              </w:rPr>
              <w:t>12</w:t>
            </w:r>
          </w:p>
        </w:tc>
        <w:tc>
          <w:tcPr>
            <w:tcW w:w="3049" w:type="dxa"/>
            <w:tcBorders>
              <w:top w:val="nil"/>
              <w:left w:val="nil"/>
              <w:bottom w:val="single" w:sz="4" w:space="0" w:color="auto"/>
              <w:right w:val="single" w:sz="4" w:space="0" w:color="auto"/>
            </w:tcBorders>
            <w:shd w:val="clear" w:color="auto" w:fill="auto"/>
            <w:vAlign w:val="center"/>
            <w:hideMark/>
          </w:tcPr>
          <w:p w:rsidR="00CA2D7F" w:rsidRPr="000E0DC4" w:rsidRDefault="00CA2D7F" w:rsidP="00CA2D7F">
            <w:pPr>
              <w:jc w:val="center"/>
              <w:rPr>
                <w:bCs/>
                <w:sz w:val="18"/>
                <w:szCs w:val="18"/>
              </w:rPr>
            </w:pPr>
            <w:r w:rsidRPr="000E0DC4">
              <w:rPr>
                <w:bCs/>
                <w:sz w:val="18"/>
                <w:szCs w:val="18"/>
              </w:rPr>
              <w:t>Утилізація зруйнованих будівель в компоненти мінеральних добрив</w:t>
            </w:r>
          </w:p>
        </w:tc>
        <w:tc>
          <w:tcPr>
            <w:tcW w:w="1736" w:type="dxa"/>
            <w:tcBorders>
              <w:top w:val="nil"/>
              <w:left w:val="nil"/>
              <w:bottom w:val="single" w:sz="4" w:space="0" w:color="auto"/>
              <w:right w:val="single" w:sz="4" w:space="0" w:color="auto"/>
            </w:tcBorders>
            <w:shd w:val="clear" w:color="auto" w:fill="auto"/>
            <w:vAlign w:val="center"/>
            <w:hideMark/>
          </w:tcPr>
          <w:p w:rsidR="00CA2D7F" w:rsidRPr="000E0DC4" w:rsidRDefault="00CA2D7F" w:rsidP="00CA2D7F">
            <w:pPr>
              <w:jc w:val="center"/>
              <w:rPr>
                <w:color w:val="000000"/>
                <w:sz w:val="18"/>
                <w:szCs w:val="18"/>
                <w:lang w:eastAsia="uk-UA"/>
              </w:rPr>
            </w:pPr>
            <w:r w:rsidRPr="000E0DC4">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0E0DC4" w:rsidRDefault="00CA2D7F" w:rsidP="00CA2D7F">
            <w:pPr>
              <w:jc w:val="center"/>
              <w:rPr>
                <w:color w:val="000000"/>
                <w:sz w:val="18"/>
                <w:szCs w:val="18"/>
                <w:lang w:eastAsia="uk-UA"/>
              </w:rPr>
            </w:pPr>
            <w:r w:rsidRPr="000E0DC4">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0E0DC4" w:rsidRDefault="00CA2D7F" w:rsidP="00CA2D7F">
            <w:pPr>
              <w:jc w:val="center"/>
              <w:rPr>
                <w:color w:val="000000"/>
                <w:sz w:val="18"/>
                <w:szCs w:val="18"/>
                <w:lang w:eastAsia="uk-UA"/>
              </w:rPr>
            </w:pPr>
            <w:r w:rsidRPr="000E0DC4">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0E0DC4" w:rsidRDefault="00CA2D7F" w:rsidP="00CA2D7F">
            <w:pPr>
              <w:jc w:val="center"/>
              <w:rPr>
                <w:color w:val="000000"/>
                <w:sz w:val="18"/>
                <w:szCs w:val="18"/>
                <w:lang w:eastAsia="uk-UA"/>
              </w:rPr>
            </w:pPr>
            <w:r w:rsidRPr="000E0DC4">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0E0DC4" w:rsidRDefault="00CA2D7F" w:rsidP="00CA2D7F">
            <w:pPr>
              <w:jc w:val="center"/>
              <w:rPr>
                <w:sz w:val="18"/>
                <w:szCs w:val="18"/>
              </w:rPr>
            </w:pPr>
            <w:r w:rsidRPr="000E0DC4">
              <w:rPr>
                <w:bCs/>
                <w:sz w:val="18"/>
                <w:szCs w:val="18"/>
              </w:rPr>
              <w:t>14078,91</w:t>
            </w:r>
          </w:p>
        </w:tc>
        <w:tc>
          <w:tcPr>
            <w:tcW w:w="992" w:type="dxa"/>
            <w:tcBorders>
              <w:top w:val="nil"/>
              <w:left w:val="nil"/>
              <w:bottom w:val="single" w:sz="4" w:space="0" w:color="auto"/>
              <w:right w:val="single" w:sz="4" w:space="0" w:color="auto"/>
            </w:tcBorders>
            <w:shd w:val="clear" w:color="auto" w:fill="auto"/>
            <w:vAlign w:val="center"/>
            <w:hideMark/>
          </w:tcPr>
          <w:p w:rsidR="00CA2D7F" w:rsidRPr="000E0DC4"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0E0DC4" w:rsidRDefault="00CA2D7F" w:rsidP="00CA2D7F">
            <w:pPr>
              <w:contextualSpacing/>
              <w:jc w:val="center"/>
              <w:rPr>
                <w:sz w:val="18"/>
                <w:szCs w:val="18"/>
              </w:rPr>
            </w:pPr>
            <w:r w:rsidRPr="000E0DC4">
              <w:rPr>
                <w:sz w:val="18"/>
                <w:szCs w:val="18"/>
                <w:lang w:val="ru-RU"/>
              </w:rPr>
              <w:t>6033,82</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0E0DC4" w:rsidRDefault="00CA2D7F" w:rsidP="00CA2D7F">
            <w:pPr>
              <w:jc w:val="center"/>
              <w:rPr>
                <w:sz w:val="18"/>
                <w:szCs w:val="18"/>
              </w:rPr>
            </w:pPr>
            <w:r w:rsidRPr="000E0DC4">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0E0DC4" w:rsidRDefault="00CA2D7F" w:rsidP="00CA2D7F">
            <w:pPr>
              <w:jc w:val="center"/>
              <w:rPr>
                <w:sz w:val="18"/>
                <w:szCs w:val="18"/>
              </w:rPr>
            </w:pPr>
            <w:r w:rsidRPr="000E0DC4">
              <w:rPr>
                <w:bCs/>
                <w:sz w:val="18"/>
                <w:szCs w:val="18"/>
              </w:rPr>
              <w:t>20112,73</w:t>
            </w:r>
          </w:p>
        </w:tc>
      </w:tr>
      <w:tr w:rsidR="00CA2D7F" w:rsidRPr="00E95FB1" w:rsidTr="000E0DC4">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0E0DC4" w:rsidRDefault="00CA2D7F" w:rsidP="00CA2D7F">
            <w:pPr>
              <w:jc w:val="center"/>
              <w:rPr>
                <w:color w:val="000000"/>
                <w:sz w:val="18"/>
                <w:szCs w:val="18"/>
                <w:lang w:val="ru-RU" w:eastAsia="uk-UA"/>
              </w:rPr>
            </w:pPr>
            <w:r w:rsidRPr="000E0DC4">
              <w:rPr>
                <w:color w:val="000000"/>
                <w:sz w:val="18"/>
                <w:szCs w:val="18"/>
                <w:lang w:val="ru-RU" w:eastAsia="uk-UA"/>
              </w:rPr>
              <w:t>13</w:t>
            </w:r>
          </w:p>
        </w:tc>
        <w:tc>
          <w:tcPr>
            <w:tcW w:w="3049" w:type="dxa"/>
            <w:tcBorders>
              <w:top w:val="nil"/>
              <w:left w:val="nil"/>
              <w:bottom w:val="single" w:sz="4" w:space="0" w:color="auto"/>
              <w:right w:val="single" w:sz="4" w:space="0" w:color="auto"/>
            </w:tcBorders>
            <w:shd w:val="clear" w:color="auto" w:fill="auto"/>
            <w:vAlign w:val="center"/>
            <w:hideMark/>
          </w:tcPr>
          <w:p w:rsidR="00CA2D7F" w:rsidRPr="000E0DC4" w:rsidRDefault="00CA2D7F" w:rsidP="00CA2D7F">
            <w:pPr>
              <w:jc w:val="center"/>
              <w:rPr>
                <w:bCs/>
                <w:sz w:val="18"/>
                <w:szCs w:val="18"/>
              </w:rPr>
            </w:pPr>
            <w:r w:rsidRPr="000E0DC4">
              <w:rPr>
                <w:bCs/>
                <w:sz w:val="18"/>
                <w:szCs w:val="18"/>
              </w:rPr>
              <w:t>Брикетування рослинної сировини як спосіб зменшення енергетичної залежності держави</w:t>
            </w:r>
          </w:p>
        </w:tc>
        <w:tc>
          <w:tcPr>
            <w:tcW w:w="1736" w:type="dxa"/>
            <w:tcBorders>
              <w:top w:val="nil"/>
              <w:left w:val="nil"/>
              <w:bottom w:val="single" w:sz="4" w:space="0" w:color="auto"/>
              <w:right w:val="single" w:sz="4" w:space="0" w:color="auto"/>
            </w:tcBorders>
            <w:shd w:val="clear" w:color="auto" w:fill="auto"/>
            <w:vAlign w:val="center"/>
            <w:hideMark/>
          </w:tcPr>
          <w:p w:rsidR="00CA2D7F" w:rsidRPr="000E0DC4" w:rsidRDefault="00CA2D7F" w:rsidP="00CA2D7F">
            <w:pPr>
              <w:jc w:val="center"/>
              <w:rPr>
                <w:color w:val="000000"/>
                <w:sz w:val="18"/>
                <w:szCs w:val="18"/>
                <w:lang w:eastAsia="uk-UA"/>
              </w:rPr>
            </w:pPr>
            <w:r w:rsidRPr="000E0DC4">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0E0DC4" w:rsidRDefault="00CA2D7F" w:rsidP="00CA2D7F">
            <w:pPr>
              <w:jc w:val="center"/>
              <w:rPr>
                <w:color w:val="000000"/>
                <w:sz w:val="18"/>
                <w:szCs w:val="18"/>
                <w:lang w:eastAsia="uk-UA"/>
              </w:rPr>
            </w:pPr>
            <w:r w:rsidRPr="000E0DC4">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0E0DC4" w:rsidRDefault="00CA2D7F" w:rsidP="00CA2D7F">
            <w:pPr>
              <w:jc w:val="center"/>
              <w:rPr>
                <w:color w:val="000000"/>
                <w:sz w:val="18"/>
                <w:szCs w:val="18"/>
                <w:lang w:eastAsia="uk-UA"/>
              </w:rPr>
            </w:pPr>
            <w:r w:rsidRPr="000E0DC4">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0E0DC4" w:rsidRDefault="00CA2D7F" w:rsidP="00CA2D7F">
            <w:pPr>
              <w:jc w:val="center"/>
              <w:rPr>
                <w:color w:val="000000"/>
                <w:sz w:val="18"/>
                <w:szCs w:val="18"/>
                <w:lang w:eastAsia="uk-UA"/>
              </w:rPr>
            </w:pPr>
            <w:r w:rsidRPr="000E0DC4">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0E0DC4" w:rsidRDefault="00CA2D7F" w:rsidP="00CA2D7F">
            <w:pPr>
              <w:jc w:val="center"/>
              <w:rPr>
                <w:sz w:val="18"/>
                <w:szCs w:val="18"/>
              </w:rPr>
            </w:pPr>
            <w:r w:rsidRPr="000E0DC4">
              <w:rPr>
                <w:bCs/>
                <w:sz w:val="18"/>
                <w:szCs w:val="18"/>
              </w:rPr>
              <w:t>1535881,20</w:t>
            </w:r>
          </w:p>
        </w:tc>
        <w:tc>
          <w:tcPr>
            <w:tcW w:w="992" w:type="dxa"/>
            <w:tcBorders>
              <w:top w:val="nil"/>
              <w:left w:val="nil"/>
              <w:bottom w:val="single" w:sz="4" w:space="0" w:color="auto"/>
              <w:right w:val="single" w:sz="4" w:space="0" w:color="auto"/>
            </w:tcBorders>
            <w:shd w:val="clear" w:color="auto" w:fill="auto"/>
            <w:vAlign w:val="center"/>
            <w:hideMark/>
          </w:tcPr>
          <w:p w:rsidR="00CA2D7F" w:rsidRPr="000E0DC4"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0E0DC4" w:rsidRDefault="00CA2D7F" w:rsidP="00CA2D7F">
            <w:pPr>
              <w:contextualSpacing/>
              <w:jc w:val="center"/>
              <w:rPr>
                <w:sz w:val="18"/>
                <w:szCs w:val="18"/>
              </w:rPr>
            </w:pPr>
            <w:r w:rsidRPr="000E0DC4">
              <w:rPr>
                <w:sz w:val="18"/>
                <w:szCs w:val="18"/>
                <w:lang w:val="ru-RU"/>
              </w:rPr>
              <w:t>658234,80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0E0DC4" w:rsidRDefault="00CA2D7F" w:rsidP="00CA2D7F">
            <w:pPr>
              <w:jc w:val="center"/>
              <w:rPr>
                <w:sz w:val="18"/>
                <w:szCs w:val="18"/>
              </w:rPr>
            </w:pPr>
            <w:r w:rsidRPr="000E0DC4">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0E0DC4" w:rsidRDefault="00CA2D7F" w:rsidP="00CA2D7F">
            <w:pPr>
              <w:jc w:val="center"/>
              <w:rPr>
                <w:sz w:val="18"/>
                <w:szCs w:val="18"/>
              </w:rPr>
            </w:pPr>
            <w:r w:rsidRPr="000E0DC4">
              <w:rPr>
                <w:sz w:val="18"/>
                <w:szCs w:val="18"/>
              </w:rPr>
              <w:t>2194116,00</w:t>
            </w:r>
          </w:p>
        </w:tc>
      </w:tr>
      <w:tr w:rsidR="00CA2D7F" w:rsidRPr="00E95FB1" w:rsidTr="00422E0C">
        <w:trPr>
          <w:trHeight w:val="300"/>
        </w:trPr>
        <w:tc>
          <w:tcPr>
            <w:tcW w:w="35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Всього напрямом</w:t>
            </w:r>
          </w:p>
        </w:tc>
        <w:tc>
          <w:tcPr>
            <w:tcW w:w="1736"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х</w:t>
            </w:r>
          </w:p>
        </w:tc>
        <w:tc>
          <w:tcPr>
            <w:tcW w:w="1252"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х</w:t>
            </w:r>
          </w:p>
        </w:tc>
        <w:tc>
          <w:tcPr>
            <w:tcW w:w="1035"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х</w:t>
            </w:r>
          </w:p>
        </w:tc>
        <w:tc>
          <w:tcPr>
            <w:tcW w:w="1104"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х</w:t>
            </w:r>
          </w:p>
        </w:tc>
        <w:tc>
          <w:tcPr>
            <w:tcW w:w="1134"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eastAsia="uk-UA"/>
              </w:rPr>
            </w:pPr>
            <w:r>
              <w:rPr>
                <w:b/>
                <w:color w:val="000000"/>
                <w:sz w:val="18"/>
                <w:szCs w:val="18"/>
                <w:lang w:val="ru-RU" w:eastAsia="uk-UA"/>
              </w:rPr>
              <w:t>3936408,71</w:t>
            </w:r>
          </w:p>
        </w:tc>
        <w:tc>
          <w:tcPr>
            <w:tcW w:w="992"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val="ru-RU" w:eastAsia="uk-UA"/>
              </w:rPr>
            </w:pPr>
            <w:r>
              <w:rPr>
                <w:b/>
                <w:color w:val="000000"/>
                <w:sz w:val="18"/>
                <w:szCs w:val="18"/>
                <w:lang w:val="ru-RU" w:eastAsia="uk-UA"/>
              </w:rPr>
              <w:t>1688362,12</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eastAsia="uk-UA"/>
              </w:rPr>
            </w:pPr>
            <w:r w:rsidRPr="00422E0C">
              <w:rPr>
                <w:b/>
                <w:bCs/>
                <w:color w:val="000000"/>
                <w:sz w:val="18"/>
                <w:szCs w:val="18"/>
                <w:lang w:eastAsia="uk-UA"/>
              </w:rPr>
              <w:t>х</w:t>
            </w:r>
          </w:p>
        </w:tc>
        <w:tc>
          <w:tcPr>
            <w:tcW w:w="1164"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val="ru-RU" w:eastAsia="uk-UA"/>
              </w:rPr>
            </w:pPr>
            <w:r>
              <w:rPr>
                <w:b/>
                <w:color w:val="000000"/>
                <w:sz w:val="18"/>
                <w:szCs w:val="18"/>
                <w:lang w:val="ru-RU" w:eastAsia="uk-UA"/>
              </w:rPr>
              <w:t>5624770,83</w:t>
            </w:r>
          </w:p>
        </w:tc>
      </w:tr>
      <w:tr w:rsidR="00CA2D7F" w:rsidRPr="00E95FB1" w:rsidTr="00387616">
        <w:trPr>
          <w:trHeight w:val="315"/>
        </w:trPr>
        <w:tc>
          <w:tcPr>
            <w:tcW w:w="3535" w:type="dxa"/>
            <w:gridSpan w:val="2"/>
            <w:tcBorders>
              <w:top w:val="single" w:sz="4" w:space="0" w:color="auto"/>
              <w:left w:val="single" w:sz="4" w:space="0" w:color="auto"/>
              <w:bottom w:val="single" w:sz="4" w:space="0" w:color="auto"/>
              <w:right w:val="single" w:sz="4" w:space="0" w:color="auto"/>
            </w:tcBorders>
            <w:shd w:val="clear" w:color="000000" w:fill="E5B8B7"/>
            <w:vAlign w:val="center"/>
            <w:hideMark/>
          </w:tcPr>
          <w:p w:rsidR="00CA2D7F" w:rsidRPr="00387616" w:rsidRDefault="00CA2D7F" w:rsidP="00CA2D7F">
            <w:pPr>
              <w:jc w:val="center"/>
              <w:rPr>
                <w:b/>
                <w:bCs/>
                <w:color w:val="000000"/>
                <w:sz w:val="18"/>
                <w:szCs w:val="18"/>
                <w:lang w:eastAsia="uk-UA"/>
              </w:rPr>
            </w:pPr>
            <w:r w:rsidRPr="00387616">
              <w:rPr>
                <w:b/>
                <w:bCs/>
                <w:color w:val="000000"/>
                <w:sz w:val="18"/>
                <w:szCs w:val="18"/>
                <w:lang w:eastAsia="uk-UA"/>
              </w:rPr>
              <w:t>РАЗОМ по ГРОМАДІ</w:t>
            </w:r>
          </w:p>
        </w:tc>
        <w:tc>
          <w:tcPr>
            <w:tcW w:w="1736" w:type="dxa"/>
            <w:tcBorders>
              <w:top w:val="nil"/>
              <w:left w:val="nil"/>
              <w:bottom w:val="single" w:sz="4" w:space="0" w:color="auto"/>
              <w:right w:val="single" w:sz="4" w:space="0" w:color="auto"/>
            </w:tcBorders>
            <w:shd w:val="clear" w:color="000000" w:fill="E5B8B7"/>
            <w:vAlign w:val="center"/>
            <w:hideMark/>
          </w:tcPr>
          <w:p w:rsidR="00CA2D7F" w:rsidRPr="00387616" w:rsidRDefault="00CA2D7F" w:rsidP="00CA2D7F">
            <w:pPr>
              <w:jc w:val="center"/>
              <w:rPr>
                <w:b/>
                <w:bCs/>
                <w:color w:val="000000"/>
                <w:sz w:val="18"/>
                <w:szCs w:val="18"/>
                <w:lang w:eastAsia="uk-UA"/>
              </w:rPr>
            </w:pPr>
            <w:r w:rsidRPr="00387616">
              <w:rPr>
                <w:b/>
                <w:bCs/>
                <w:color w:val="000000"/>
                <w:sz w:val="18"/>
                <w:szCs w:val="18"/>
                <w:lang w:eastAsia="uk-UA"/>
              </w:rPr>
              <w:t>х</w:t>
            </w:r>
          </w:p>
        </w:tc>
        <w:tc>
          <w:tcPr>
            <w:tcW w:w="1252" w:type="dxa"/>
            <w:tcBorders>
              <w:top w:val="nil"/>
              <w:left w:val="nil"/>
              <w:bottom w:val="single" w:sz="4" w:space="0" w:color="auto"/>
              <w:right w:val="single" w:sz="4" w:space="0" w:color="auto"/>
            </w:tcBorders>
            <w:shd w:val="clear" w:color="000000" w:fill="E5B8B7"/>
            <w:vAlign w:val="center"/>
            <w:hideMark/>
          </w:tcPr>
          <w:p w:rsidR="00CA2D7F" w:rsidRPr="00387616" w:rsidRDefault="00CA2D7F" w:rsidP="00CA2D7F">
            <w:pPr>
              <w:jc w:val="center"/>
              <w:rPr>
                <w:b/>
                <w:bCs/>
                <w:color w:val="000000"/>
                <w:sz w:val="18"/>
                <w:szCs w:val="18"/>
                <w:lang w:eastAsia="uk-UA"/>
              </w:rPr>
            </w:pPr>
            <w:r w:rsidRPr="00387616">
              <w:rPr>
                <w:b/>
                <w:bCs/>
                <w:color w:val="000000"/>
                <w:sz w:val="18"/>
                <w:szCs w:val="18"/>
                <w:lang w:eastAsia="uk-UA"/>
              </w:rPr>
              <w:t>х</w:t>
            </w:r>
          </w:p>
        </w:tc>
        <w:tc>
          <w:tcPr>
            <w:tcW w:w="1035" w:type="dxa"/>
            <w:tcBorders>
              <w:top w:val="nil"/>
              <w:left w:val="nil"/>
              <w:bottom w:val="single" w:sz="4" w:space="0" w:color="auto"/>
              <w:right w:val="single" w:sz="4" w:space="0" w:color="auto"/>
            </w:tcBorders>
            <w:shd w:val="clear" w:color="000000" w:fill="E5B8B7"/>
            <w:vAlign w:val="center"/>
            <w:hideMark/>
          </w:tcPr>
          <w:p w:rsidR="00CA2D7F" w:rsidRPr="00387616" w:rsidRDefault="00CA2D7F" w:rsidP="00CA2D7F">
            <w:pPr>
              <w:jc w:val="center"/>
              <w:rPr>
                <w:b/>
                <w:bCs/>
                <w:color w:val="000000"/>
                <w:sz w:val="18"/>
                <w:szCs w:val="18"/>
                <w:lang w:eastAsia="uk-UA"/>
              </w:rPr>
            </w:pPr>
            <w:r w:rsidRPr="00387616">
              <w:rPr>
                <w:b/>
                <w:bCs/>
                <w:color w:val="000000"/>
                <w:sz w:val="18"/>
                <w:szCs w:val="18"/>
                <w:lang w:eastAsia="uk-UA"/>
              </w:rPr>
              <w:t>х</w:t>
            </w:r>
          </w:p>
        </w:tc>
        <w:tc>
          <w:tcPr>
            <w:tcW w:w="1104" w:type="dxa"/>
            <w:tcBorders>
              <w:top w:val="nil"/>
              <w:left w:val="nil"/>
              <w:bottom w:val="single" w:sz="4" w:space="0" w:color="auto"/>
              <w:right w:val="single" w:sz="4" w:space="0" w:color="auto"/>
            </w:tcBorders>
            <w:shd w:val="clear" w:color="000000" w:fill="E5B8B7"/>
            <w:vAlign w:val="center"/>
            <w:hideMark/>
          </w:tcPr>
          <w:p w:rsidR="00CA2D7F" w:rsidRPr="00387616" w:rsidRDefault="00CA2D7F" w:rsidP="00CA2D7F">
            <w:pPr>
              <w:jc w:val="center"/>
              <w:rPr>
                <w:b/>
                <w:bCs/>
                <w:color w:val="000000"/>
                <w:sz w:val="18"/>
                <w:szCs w:val="18"/>
                <w:lang w:eastAsia="uk-UA"/>
              </w:rPr>
            </w:pPr>
            <w:r w:rsidRPr="00387616">
              <w:rPr>
                <w:b/>
                <w:bCs/>
                <w:color w:val="000000"/>
                <w:sz w:val="18"/>
                <w:szCs w:val="18"/>
                <w:lang w:eastAsia="uk-UA"/>
              </w:rPr>
              <w:t>х</w:t>
            </w:r>
          </w:p>
        </w:tc>
        <w:tc>
          <w:tcPr>
            <w:tcW w:w="1134" w:type="dxa"/>
            <w:tcBorders>
              <w:top w:val="nil"/>
              <w:left w:val="nil"/>
              <w:bottom w:val="single" w:sz="4" w:space="0" w:color="auto"/>
              <w:right w:val="single" w:sz="4" w:space="0" w:color="auto"/>
            </w:tcBorders>
            <w:shd w:val="clear" w:color="000000" w:fill="E5B8B7"/>
            <w:vAlign w:val="center"/>
            <w:hideMark/>
          </w:tcPr>
          <w:p w:rsidR="00CA2D7F" w:rsidRPr="00387616" w:rsidRDefault="00CA2D7F" w:rsidP="00CA2D7F">
            <w:pPr>
              <w:jc w:val="center"/>
              <w:rPr>
                <w:color w:val="000000"/>
                <w:sz w:val="18"/>
                <w:szCs w:val="18"/>
                <w:lang w:eastAsia="uk-UA"/>
              </w:rPr>
            </w:pPr>
            <w:r>
              <w:rPr>
                <w:color w:val="000000"/>
                <w:sz w:val="18"/>
                <w:szCs w:val="18"/>
                <w:lang w:eastAsia="uk-UA"/>
              </w:rPr>
              <w:t>36977024</w:t>
            </w:r>
            <w:r w:rsidRPr="00387616">
              <w:rPr>
                <w:color w:val="000000"/>
                <w:sz w:val="18"/>
                <w:szCs w:val="18"/>
                <w:lang w:eastAsia="uk-UA"/>
              </w:rPr>
              <w:t>,9</w:t>
            </w:r>
          </w:p>
        </w:tc>
        <w:tc>
          <w:tcPr>
            <w:tcW w:w="992" w:type="dxa"/>
            <w:tcBorders>
              <w:top w:val="nil"/>
              <w:left w:val="nil"/>
              <w:bottom w:val="single" w:sz="4" w:space="0" w:color="auto"/>
              <w:right w:val="single" w:sz="4" w:space="0" w:color="auto"/>
            </w:tcBorders>
            <w:shd w:val="clear" w:color="000000" w:fill="E5B8B7"/>
            <w:vAlign w:val="center"/>
            <w:hideMark/>
          </w:tcPr>
          <w:p w:rsidR="00CA2D7F" w:rsidRPr="00387616" w:rsidRDefault="00CA2D7F" w:rsidP="00CA2D7F">
            <w:pPr>
              <w:jc w:val="center"/>
              <w:rPr>
                <w:color w:val="000000"/>
                <w:sz w:val="18"/>
                <w:szCs w:val="18"/>
                <w:lang w:eastAsia="uk-UA"/>
              </w:rPr>
            </w:pPr>
            <w:r w:rsidRPr="00387616">
              <w:rPr>
                <w:color w:val="000000"/>
                <w:sz w:val="18"/>
                <w:szCs w:val="18"/>
                <w:lang w:eastAsia="uk-UA"/>
              </w:rPr>
              <w:t>38000,0</w:t>
            </w:r>
          </w:p>
        </w:tc>
        <w:tc>
          <w:tcPr>
            <w:tcW w:w="1128" w:type="dxa"/>
            <w:tcBorders>
              <w:top w:val="nil"/>
              <w:left w:val="nil"/>
              <w:bottom w:val="single" w:sz="4" w:space="0" w:color="auto"/>
              <w:right w:val="single" w:sz="4" w:space="0" w:color="auto"/>
            </w:tcBorders>
            <w:shd w:val="clear" w:color="000000" w:fill="E5B8B7"/>
            <w:vAlign w:val="center"/>
            <w:hideMark/>
          </w:tcPr>
          <w:p w:rsidR="00CA2D7F" w:rsidRPr="00387616" w:rsidRDefault="00CA2D7F" w:rsidP="00CA2D7F">
            <w:pPr>
              <w:jc w:val="center"/>
              <w:rPr>
                <w:color w:val="000000"/>
                <w:sz w:val="18"/>
                <w:szCs w:val="18"/>
                <w:lang w:eastAsia="uk-UA"/>
              </w:rPr>
            </w:pPr>
            <w:r>
              <w:rPr>
                <w:color w:val="000000"/>
                <w:sz w:val="18"/>
                <w:szCs w:val="18"/>
                <w:lang w:eastAsia="uk-UA"/>
              </w:rPr>
              <w:t>8519314,45</w:t>
            </w:r>
          </w:p>
        </w:tc>
        <w:tc>
          <w:tcPr>
            <w:tcW w:w="1424" w:type="dxa"/>
            <w:tcBorders>
              <w:top w:val="single" w:sz="4" w:space="0" w:color="auto"/>
              <w:left w:val="nil"/>
              <w:bottom w:val="single" w:sz="4" w:space="0" w:color="auto"/>
              <w:right w:val="single" w:sz="4" w:space="0" w:color="auto"/>
            </w:tcBorders>
            <w:shd w:val="clear" w:color="000000" w:fill="E5B8B7"/>
            <w:vAlign w:val="center"/>
            <w:hideMark/>
          </w:tcPr>
          <w:p w:rsidR="00CA2D7F" w:rsidRPr="00387616" w:rsidRDefault="00CA2D7F" w:rsidP="00CA2D7F">
            <w:pPr>
              <w:jc w:val="center"/>
              <w:rPr>
                <w:color w:val="000000"/>
                <w:sz w:val="18"/>
                <w:szCs w:val="18"/>
                <w:lang w:eastAsia="uk-UA"/>
              </w:rPr>
            </w:pPr>
            <w:r w:rsidRPr="00387616">
              <w:rPr>
                <w:b/>
                <w:bCs/>
                <w:color w:val="000000"/>
                <w:sz w:val="18"/>
                <w:szCs w:val="18"/>
                <w:lang w:eastAsia="uk-UA"/>
              </w:rPr>
              <w:t>х</w:t>
            </w:r>
          </w:p>
        </w:tc>
        <w:tc>
          <w:tcPr>
            <w:tcW w:w="1240" w:type="dxa"/>
            <w:gridSpan w:val="2"/>
            <w:tcBorders>
              <w:top w:val="single" w:sz="4" w:space="0" w:color="auto"/>
              <w:left w:val="nil"/>
              <w:bottom w:val="single" w:sz="4" w:space="0" w:color="auto"/>
              <w:right w:val="single" w:sz="4" w:space="0" w:color="auto"/>
            </w:tcBorders>
            <w:shd w:val="clear" w:color="000000" w:fill="E5B8B7"/>
            <w:vAlign w:val="center"/>
          </w:tcPr>
          <w:p w:rsidR="00CA2D7F" w:rsidRPr="00387616" w:rsidRDefault="00CA2D7F" w:rsidP="00CA2D7F">
            <w:pPr>
              <w:jc w:val="center"/>
              <w:rPr>
                <w:color w:val="000000"/>
                <w:sz w:val="18"/>
                <w:szCs w:val="18"/>
                <w:lang w:eastAsia="uk-UA"/>
              </w:rPr>
            </w:pPr>
            <w:r>
              <w:rPr>
                <w:color w:val="000000"/>
                <w:sz w:val="18"/>
                <w:szCs w:val="18"/>
                <w:lang w:eastAsia="uk-UA"/>
              </w:rPr>
              <w:t>45534339,25</w:t>
            </w:r>
          </w:p>
        </w:tc>
      </w:tr>
      <w:bookmarkEnd w:id="46"/>
    </w:tbl>
    <w:p w:rsidR="00DA3767" w:rsidRPr="00E95FB1" w:rsidRDefault="00DA3767" w:rsidP="00DC4929">
      <w:pPr>
        <w:jc w:val="center"/>
        <w:rPr>
          <w:b/>
          <w:sz w:val="24"/>
        </w:rPr>
      </w:pPr>
    </w:p>
    <w:p w:rsidR="00DA3767" w:rsidRPr="00E95FB1" w:rsidRDefault="00DA3767" w:rsidP="00DC4929">
      <w:pPr>
        <w:jc w:val="center"/>
      </w:pPr>
    </w:p>
    <w:p w:rsidR="009D4671" w:rsidRPr="00E95FB1" w:rsidRDefault="009D4671" w:rsidP="009D4671"/>
    <w:p w:rsidR="009D4671" w:rsidRPr="00E95FB1" w:rsidRDefault="009D4671" w:rsidP="009D4671">
      <w:pPr>
        <w:jc w:val="center"/>
      </w:pPr>
    </w:p>
    <w:p w:rsidR="009D4671" w:rsidRPr="00E95FB1" w:rsidRDefault="009D4671" w:rsidP="009D4671">
      <w:pPr>
        <w:sectPr w:rsidR="009D4671" w:rsidRPr="00E95FB1" w:rsidSect="00DA3767">
          <w:pgSz w:w="16838" w:h="11906" w:orient="landscape"/>
          <w:pgMar w:top="1701" w:right="1134" w:bottom="709" w:left="907" w:header="284" w:footer="788" w:gutter="0"/>
          <w:cols w:space="720"/>
          <w:titlePg/>
          <w:docGrid w:linePitch="360"/>
        </w:sectPr>
      </w:pPr>
    </w:p>
    <w:p w:rsidR="00E95FB1" w:rsidRPr="00B75FD7" w:rsidRDefault="00E95FB1" w:rsidP="00E95FB1">
      <w:pPr>
        <w:rPr>
          <w:sz w:val="22"/>
        </w:rPr>
      </w:pPr>
    </w:p>
    <w:tbl>
      <w:tblPr>
        <w:tblpPr w:leftFromText="180" w:rightFromText="180" w:vertAnchor="text" w:horzAnchor="page" w:tblpX="1" w:tblpY="123"/>
        <w:tblW w:w="12159" w:type="dxa"/>
        <w:tblLayout w:type="fixed"/>
        <w:tblCellMar>
          <w:left w:w="30" w:type="dxa"/>
          <w:right w:w="30" w:type="dxa"/>
        </w:tblCellMar>
        <w:tblLook w:val="0000" w:firstRow="0" w:lastRow="0" w:firstColumn="0" w:lastColumn="0" w:noHBand="0" w:noVBand="0"/>
      </w:tblPr>
      <w:tblGrid>
        <w:gridCol w:w="1448"/>
        <w:gridCol w:w="3260"/>
        <w:gridCol w:w="1559"/>
        <w:gridCol w:w="284"/>
        <w:gridCol w:w="1134"/>
        <w:gridCol w:w="992"/>
        <w:gridCol w:w="1134"/>
        <w:gridCol w:w="80"/>
        <w:gridCol w:w="1479"/>
        <w:gridCol w:w="789"/>
      </w:tblGrid>
      <w:tr w:rsidR="00E95FB1" w:rsidRPr="00B75FD7" w:rsidTr="001B3967">
        <w:trPr>
          <w:trHeight w:val="290"/>
        </w:trPr>
        <w:tc>
          <w:tcPr>
            <w:tcW w:w="1448" w:type="dxa"/>
            <w:tcBorders>
              <w:top w:val="nil"/>
              <w:left w:val="nil"/>
              <w:bottom w:val="nil"/>
              <w:right w:val="nil"/>
            </w:tcBorders>
          </w:tcPr>
          <w:p w:rsidR="00E95FB1" w:rsidRPr="00B75FD7" w:rsidRDefault="00E95FB1" w:rsidP="001B3967">
            <w:pPr>
              <w:autoSpaceDE w:val="0"/>
              <w:autoSpaceDN w:val="0"/>
              <w:adjustRightInd w:val="0"/>
              <w:jc w:val="right"/>
              <w:rPr>
                <w:rFonts w:eastAsia="Calibri"/>
                <w:color w:val="000000"/>
                <w:sz w:val="22"/>
              </w:rPr>
            </w:pPr>
          </w:p>
        </w:tc>
        <w:tc>
          <w:tcPr>
            <w:tcW w:w="3260" w:type="dxa"/>
            <w:tcBorders>
              <w:top w:val="nil"/>
              <w:left w:val="nil"/>
              <w:bottom w:val="single" w:sz="6" w:space="0" w:color="auto"/>
              <w:right w:val="nil"/>
            </w:tcBorders>
          </w:tcPr>
          <w:p w:rsidR="00E95FB1" w:rsidRPr="00B75FD7" w:rsidRDefault="00E95FB1" w:rsidP="001B3967">
            <w:pPr>
              <w:autoSpaceDE w:val="0"/>
              <w:autoSpaceDN w:val="0"/>
              <w:adjustRightInd w:val="0"/>
              <w:jc w:val="center"/>
              <w:rPr>
                <w:rFonts w:eastAsia="Calibri"/>
                <w:color w:val="000000"/>
                <w:sz w:val="22"/>
              </w:rPr>
            </w:pPr>
          </w:p>
        </w:tc>
        <w:tc>
          <w:tcPr>
            <w:tcW w:w="1843" w:type="dxa"/>
            <w:gridSpan w:val="2"/>
            <w:tcBorders>
              <w:top w:val="nil"/>
              <w:left w:val="nil"/>
              <w:bottom w:val="single" w:sz="6" w:space="0" w:color="auto"/>
              <w:right w:val="nil"/>
            </w:tcBorders>
          </w:tcPr>
          <w:p w:rsidR="00E95FB1" w:rsidRPr="00B75FD7" w:rsidRDefault="00E95FB1" w:rsidP="001B3967">
            <w:pPr>
              <w:autoSpaceDE w:val="0"/>
              <w:autoSpaceDN w:val="0"/>
              <w:adjustRightInd w:val="0"/>
              <w:jc w:val="center"/>
              <w:rPr>
                <w:rFonts w:eastAsia="Calibri"/>
                <w:color w:val="000000"/>
                <w:sz w:val="22"/>
              </w:rPr>
            </w:pPr>
          </w:p>
        </w:tc>
        <w:tc>
          <w:tcPr>
            <w:tcW w:w="3260" w:type="dxa"/>
            <w:gridSpan w:val="3"/>
            <w:tcBorders>
              <w:top w:val="nil"/>
              <w:left w:val="nil"/>
              <w:bottom w:val="single" w:sz="6" w:space="0" w:color="auto"/>
              <w:right w:val="nil"/>
            </w:tcBorders>
          </w:tcPr>
          <w:p w:rsidR="00E95FB1" w:rsidRPr="00B75FD7" w:rsidRDefault="00E95FB1" w:rsidP="001B3967">
            <w:pPr>
              <w:autoSpaceDE w:val="0"/>
              <w:autoSpaceDN w:val="0"/>
              <w:adjustRightInd w:val="0"/>
              <w:jc w:val="center"/>
              <w:rPr>
                <w:rFonts w:eastAsia="Calibri"/>
                <w:color w:val="000000"/>
                <w:sz w:val="22"/>
              </w:rPr>
            </w:pPr>
          </w:p>
        </w:tc>
        <w:tc>
          <w:tcPr>
            <w:tcW w:w="80" w:type="dxa"/>
            <w:tcBorders>
              <w:top w:val="nil"/>
              <w:left w:val="nil"/>
              <w:bottom w:val="single" w:sz="6" w:space="0" w:color="auto"/>
              <w:right w:val="nil"/>
            </w:tcBorders>
          </w:tcPr>
          <w:p w:rsidR="00E95FB1" w:rsidRPr="00B75FD7" w:rsidRDefault="00E95FB1" w:rsidP="001B3967">
            <w:pPr>
              <w:autoSpaceDE w:val="0"/>
              <w:autoSpaceDN w:val="0"/>
              <w:adjustRightInd w:val="0"/>
              <w:jc w:val="center"/>
              <w:rPr>
                <w:rFonts w:eastAsia="Calibri"/>
                <w:color w:val="000000"/>
                <w:sz w:val="22"/>
              </w:rPr>
            </w:pPr>
          </w:p>
        </w:tc>
        <w:tc>
          <w:tcPr>
            <w:tcW w:w="2268" w:type="dxa"/>
            <w:gridSpan w:val="2"/>
            <w:tcBorders>
              <w:top w:val="nil"/>
              <w:left w:val="nil"/>
              <w:bottom w:val="single" w:sz="6" w:space="0" w:color="auto"/>
              <w:right w:val="nil"/>
            </w:tcBorders>
          </w:tcPr>
          <w:p w:rsidR="00E95FB1" w:rsidRPr="00B75FD7" w:rsidRDefault="00E95FB1" w:rsidP="001B3967">
            <w:pPr>
              <w:autoSpaceDE w:val="0"/>
              <w:autoSpaceDN w:val="0"/>
              <w:adjustRightInd w:val="0"/>
              <w:jc w:val="center"/>
              <w:rPr>
                <w:rFonts w:eastAsia="Calibri"/>
                <w:color w:val="000000"/>
                <w:sz w:val="22"/>
              </w:rPr>
            </w:pPr>
          </w:p>
        </w:tc>
      </w:tr>
      <w:tr w:rsidR="00E95FB1" w:rsidRPr="00B75FD7" w:rsidTr="001B3967">
        <w:trPr>
          <w:gridAfter w:val="1"/>
          <w:wAfter w:w="789" w:type="dxa"/>
          <w:trHeight w:val="1015"/>
        </w:trPr>
        <w:tc>
          <w:tcPr>
            <w:tcW w:w="1448" w:type="dxa"/>
            <w:tcBorders>
              <w:top w:val="nil"/>
              <w:left w:val="nil"/>
              <w:bottom w:val="nil"/>
              <w:right w:val="nil"/>
            </w:tcBorders>
          </w:tcPr>
          <w:p w:rsidR="00E95FB1" w:rsidRPr="00B75FD7"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B75FD7" w:rsidRDefault="00E95FB1" w:rsidP="001B3967">
            <w:pPr>
              <w:autoSpaceDE w:val="0"/>
              <w:autoSpaceDN w:val="0"/>
              <w:adjustRightInd w:val="0"/>
              <w:rPr>
                <w:rFonts w:eastAsia="Calibri"/>
                <w:b/>
                <w:color w:val="000000"/>
                <w:sz w:val="22"/>
              </w:rPr>
            </w:pPr>
            <w:r w:rsidRPr="00B75FD7">
              <w:rPr>
                <w:rFonts w:eastAsia="Calibri"/>
                <w:b/>
                <w:color w:val="000000"/>
                <w:sz w:val="22"/>
              </w:rPr>
              <w:t>Оперативна ціль/завдання</w:t>
            </w:r>
          </w:p>
        </w:tc>
        <w:tc>
          <w:tcPr>
            <w:tcW w:w="6662" w:type="dxa"/>
            <w:gridSpan w:val="7"/>
            <w:tcBorders>
              <w:top w:val="single" w:sz="6" w:space="0" w:color="auto"/>
              <w:left w:val="single" w:sz="6" w:space="0" w:color="auto"/>
              <w:bottom w:val="single" w:sz="6" w:space="0" w:color="auto"/>
              <w:right w:val="single" w:sz="6" w:space="0" w:color="auto"/>
            </w:tcBorders>
          </w:tcPr>
          <w:p w:rsidR="00E95FB1" w:rsidRPr="00B75FD7" w:rsidRDefault="00E95FB1" w:rsidP="001B3967">
            <w:pPr>
              <w:spacing w:line="228" w:lineRule="auto"/>
              <w:rPr>
                <w:rFonts w:eastAsia="Arial"/>
                <w:sz w:val="22"/>
              </w:rPr>
            </w:pPr>
            <w:r w:rsidRPr="00B75FD7">
              <w:rPr>
                <w:rFonts w:eastAsia="Arial"/>
                <w:sz w:val="22"/>
              </w:rPr>
              <w:t>SMART – трансформація економіки та відновлення інвестиційної  привабливості громади/</w:t>
            </w:r>
          </w:p>
          <w:p w:rsidR="00E95FB1" w:rsidRPr="00B75FD7" w:rsidRDefault="00E95FB1" w:rsidP="001B3967">
            <w:pPr>
              <w:spacing w:line="228" w:lineRule="auto"/>
              <w:rPr>
                <w:rFonts w:eastAsia="Arial"/>
                <w:b/>
                <w:sz w:val="22"/>
              </w:rPr>
            </w:pPr>
            <w:r w:rsidRPr="00B75FD7">
              <w:rPr>
                <w:rFonts w:eastAsia="Arial"/>
                <w:sz w:val="22"/>
              </w:rPr>
              <w:t>Маркетинг  території громади та залучення інвестицій</w:t>
            </w:r>
          </w:p>
        </w:tc>
      </w:tr>
      <w:tr w:rsidR="00E95FB1" w:rsidRPr="00B75FD7" w:rsidTr="001B3967">
        <w:trPr>
          <w:gridAfter w:val="1"/>
          <w:wAfter w:w="789" w:type="dxa"/>
          <w:trHeight w:val="290"/>
        </w:trPr>
        <w:tc>
          <w:tcPr>
            <w:tcW w:w="1448" w:type="dxa"/>
            <w:tcBorders>
              <w:top w:val="nil"/>
              <w:left w:val="nil"/>
              <w:bottom w:val="nil"/>
              <w:right w:val="nil"/>
            </w:tcBorders>
          </w:tcPr>
          <w:p w:rsidR="00E95FB1" w:rsidRPr="00B75FD7"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B75FD7" w:rsidRDefault="00E95FB1" w:rsidP="001B3967">
            <w:pPr>
              <w:autoSpaceDE w:val="0"/>
              <w:autoSpaceDN w:val="0"/>
              <w:adjustRightInd w:val="0"/>
              <w:rPr>
                <w:rFonts w:eastAsia="Calibri"/>
                <w:b/>
                <w:color w:val="000000"/>
                <w:sz w:val="22"/>
              </w:rPr>
            </w:pPr>
            <w:r w:rsidRPr="00B75FD7">
              <w:rPr>
                <w:rFonts w:eastAsia="Calibri"/>
                <w:b/>
                <w:color w:val="000000"/>
                <w:sz w:val="22"/>
              </w:rPr>
              <w:t>Назва проекту:</w:t>
            </w:r>
            <w:r w:rsidRPr="00B75FD7">
              <w:rPr>
                <w:color w:val="000000"/>
                <w:sz w:val="22"/>
              </w:rPr>
              <w:t xml:space="preserve"> </w:t>
            </w:r>
          </w:p>
        </w:tc>
        <w:tc>
          <w:tcPr>
            <w:tcW w:w="6662" w:type="dxa"/>
            <w:gridSpan w:val="7"/>
            <w:tcBorders>
              <w:top w:val="single" w:sz="6" w:space="0" w:color="auto"/>
              <w:left w:val="single" w:sz="6" w:space="0" w:color="auto"/>
              <w:bottom w:val="single" w:sz="6" w:space="0" w:color="auto"/>
              <w:right w:val="single" w:sz="6" w:space="0" w:color="auto"/>
            </w:tcBorders>
          </w:tcPr>
          <w:p w:rsidR="00E95FB1" w:rsidRPr="00B75FD7" w:rsidRDefault="00E95FB1" w:rsidP="001B3967">
            <w:pPr>
              <w:autoSpaceDE w:val="0"/>
              <w:autoSpaceDN w:val="0"/>
              <w:adjustRightInd w:val="0"/>
              <w:rPr>
                <w:rFonts w:eastAsia="Calibri"/>
                <w:color w:val="000000"/>
                <w:sz w:val="22"/>
              </w:rPr>
            </w:pPr>
            <w:r w:rsidRPr="00B75FD7">
              <w:rPr>
                <w:rFonts w:eastAsia="Arial"/>
                <w:sz w:val="22"/>
              </w:rPr>
              <w:t>Будівництво багатоквартирних житлових будинків у м. Сєвєродонецьк</w:t>
            </w:r>
          </w:p>
        </w:tc>
      </w:tr>
      <w:tr w:rsidR="00E95FB1" w:rsidRPr="00B75FD7" w:rsidTr="001B3967">
        <w:trPr>
          <w:gridAfter w:val="1"/>
          <w:wAfter w:w="789" w:type="dxa"/>
          <w:trHeight w:val="1075"/>
        </w:trPr>
        <w:tc>
          <w:tcPr>
            <w:tcW w:w="1448" w:type="dxa"/>
            <w:tcBorders>
              <w:top w:val="nil"/>
              <w:left w:val="nil"/>
              <w:bottom w:val="nil"/>
              <w:right w:val="nil"/>
            </w:tcBorders>
          </w:tcPr>
          <w:p w:rsidR="00E95FB1" w:rsidRPr="00B75FD7"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B75FD7" w:rsidRDefault="00E95FB1" w:rsidP="001B3967">
            <w:pPr>
              <w:autoSpaceDE w:val="0"/>
              <w:autoSpaceDN w:val="0"/>
              <w:adjustRightInd w:val="0"/>
              <w:rPr>
                <w:rFonts w:eastAsia="Calibri"/>
                <w:b/>
                <w:color w:val="000000"/>
                <w:sz w:val="22"/>
              </w:rPr>
            </w:pPr>
            <w:r w:rsidRPr="00B75FD7">
              <w:rPr>
                <w:rFonts w:eastAsia="Calibri"/>
                <w:b/>
                <w:color w:val="000000"/>
                <w:sz w:val="22"/>
              </w:rPr>
              <w:t>Ціль проекту</w:t>
            </w:r>
          </w:p>
        </w:tc>
        <w:tc>
          <w:tcPr>
            <w:tcW w:w="6662" w:type="dxa"/>
            <w:gridSpan w:val="7"/>
            <w:tcBorders>
              <w:top w:val="single" w:sz="6" w:space="0" w:color="auto"/>
              <w:left w:val="single" w:sz="6" w:space="0" w:color="auto"/>
              <w:bottom w:val="single" w:sz="6" w:space="0" w:color="auto"/>
              <w:right w:val="single" w:sz="6" w:space="0" w:color="auto"/>
            </w:tcBorders>
          </w:tcPr>
          <w:p w:rsidR="00E95FB1" w:rsidRPr="00B75FD7" w:rsidRDefault="00E95FB1" w:rsidP="001B3967">
            <w:pPr>
              <w:autoSpaceDE w:val="0"/>
              <w:autoSpaceDN w:val="0"/>
              <w:adjustRightInd w:val="0"/>
              <w:rPr>
                <w:rFonts w:eastAsia="Calibri"/>
                <w:color w:val="000000"/>
                <w:sz w:val="22"/>
              </w:rPr>
            </w:pPr>
            <w:r w:rsidRPr="00B75FD7">
              <w:rPr>
                <w:rFonts w:eastAsia="Arial"/>
                <w:sz w:val="22"/>
              </w:rPr>
              <w:t>Відновлення зруйнованого житлового фонду м. Сєвєродонецьк</w:t>
            </w:r>
          </w:p>
        </w:tc>
      </w:tr>
      <w:tr w:rsidR="00E95FB1" w:rsidRPr="00B75FD7" w:rsidTr="001B3967">
        <w:trPr>
          <w:gridAfter w:val="1"/>
          <w:wAfter w:w="789" w:type="dxa"/>
          <w:trHeight w:val="290"/>
        </w:trPr>
        <w:tc>
          <w:tcPr>
            <w:tcW w:w="1448" w:type="dxa"/>
            <w:tcBorders>
              <w:top w:val="nil"/>
              <w:left w:val="nil"/>
              <w:bottom w:val="nil"/>
              <w:right w:val="nil"/>
            </w:tcBorders>
          </w:tcPr>
          <w:p w:rsidR="00E95FB1" w:rsidRPr="00B75FD7"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B75FD7" w:rsidRDefault="00E95FB1" w:rsidP="001B3967">
            <w:pPr>
              <w:autoSpaceDE w:val="0"/>
              <w:autoSpaceDN w:val="0"/>
              <w:adjustRightInd w:val="0"/>
              <w:rPr>
                <w:rFonts w:eastAsia="Calibri"/>
                <w:b/>
                <w:color w:val="000000"/>
                <w:sz w:val="22"/>
              </w:rPr>
            </w:pPr>
            <w:r w:rsidRPr="00B75FD7">
              <w:rPr>
                <w:rFonts w:eastAsia="Calibri"/>
                <w:b/>
                <w:color w:val="000000"/>
                <w:sz w:val="22"/>
              </w:rPr>
              <w:t>Територія, на яку матиме вплив реалізація проекту</w:t>
            </w:r>
          </w:p>
        </w:tc>
        <w:tc>
          <w:tcPr>
            <w:tcW w:w="6662" w:type="dxa"/>
            <w:gridSpan w:val="7"/>
            <w:tcBorders>
              <w:top w:val="single" w:sz="6" w:space="0" w:color="auto"/>
              <w:left w:val="single" w:sz="6" w:space="0" w:color="auto"/>
              <w:bottom w:val="single" w:sz="6" w:space="0" w:color="auto"/>
              <w:right w:val="single" w:sz="6" w:space="0" w:color="auto"/>
            </w:tcBorders>
          </w:tcPr>
          <w:p w:rsidR="00E95FB1" w:rsidRPr="00B75FD7" w:rsidRDefault="00E95FB1" w:rsidP="001B3967">
            <w:pPr>
              <w:autoSpaceDE w:val="0"/>
              <w:autoSpaceDN w:val="0"/>
              <w:adjustRightInd w:val="0"/>
              <w:rPr>
                <w:rFonts w:eastAsia="Calibri"/>
                <w:color w:val="000000"/>
                <w:sz w:val="22"/>
              </w:rPr>
            </w:pPr>
            <w:r w:rsidRPr="00B75FD7">
              <w:rPr>
                <w:rFonts w:eastAsia="Calibri"/>
                <w:color w:val="000000"/>
                <w:sz w:val="22"/>
              </w:rPr>
              <w:t>Сєвєродонецька міська територіальна громада</w:t>
            </w:r>
          </w:p>
        </w:tc>
      </w:tr>
      <w:tr w:rsidR="00E95FB1" w:rsidRPr="00B75FD7" w:rsidTr="001B3967">
        <w:trPr>
          <w:gridAfter w:val="1"/>
          <w:wAfter w:w="789" w:type="dxa"/>
          <w:trHeight w:val="581"/>
        </w:trPr>
        <w:tc>
          <w:tcPr>
            <w:tcW w:w="1448" w:type="dxa"/>
            <w:tcBorders>
              <w:top w:val="nil"/>
              <w:left w:val="nil"/>
              <w:bottom w:val="nil"/>
              <w:right w:val="nil"/>
            </w:tcBorders>
          </w:tcPr>
          <w:p w:rsidR="00E95FB1" w:rsidRPr="00B75FD7"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B75FD7" w:rsidRDefault="00E95FB1" w:rsidP="001B3967">
            <w:pPr>
              <w:autoSpaceDE w:val="0"/>
              <w:autoSpaceDN w:val="0"/>
              <w:adjustRightInd w:val="0"/>
              <w:rPr>
                <w:rFonts w:eastAsia="Calibri"/>
                <w:b/>
                <w:color w:val="000000"/>
                <w:sz w:val="22"/>
              </w:rPr>
            </w:pPr>
            <w:r w:rsidRPr="00B75FD7">
              <w:rPr>
                <w:rFonts w:eastAsia="Calibri"/>
                <w:b/>
                <w:color w:val="000000"/>
                <w:sz w:val="22"/>
              </w:rPr>
              <w:t>Чисельність населення, на яке матиме вплив реалізація проекту</w:t>
            </w:r>
          </w:p>
        </w:tc>
        <w:tc>
          <w:tcPr>
            <w:tcW w:w="6662" w:type="dxa"/>
            <w:gridSpan w:val="7"/>
            <w:tcBorders>
              <w:top w:val="single" w:sz="6" w:space="0" w:color="auto"/>
              <w:left w:val="single" w:sz="6" w:space="0" w:color="auto"/>
              <w:bottom w:val="single" w:sz="6" w:space="0" w:color="auto"/>
              <w:right w:val="single" w:sz="6" w:space="0" w:color="auto"/>
            </w:tcBorders>
          </w:tcPr>
          <w:p w:rsidR="00E95FB1" w:rsidRPr="00B75FD7" w:rsidRDefault="00E95FB1" w:rsidP="001B3967">
            <w:pPr>
              <w:autoSpaceDE w:val="0"/>
              <w:autoSpaceDN w:val="0"/>
              <w:adjustRightInd w:val="0"/>
              <w:rPr>
                <w:rFonts w:eastAsia="Calibri"/>
                <w:color w:val="000000"/>
                <w:sz w:val="22"/>
              </w:rPr>
            </w:pPr>
            <w:r w:rsidRPr="00B75FD7">
              <w:rPr>
                <w:rFonts w:eastAsia="Calibri"/>
                <w:color w:val="000000"/>
                <w:sz w:val="22"/>
              </w:rPr>
              <w:t>105 000</w:t>
            </w:r>
          </w:p>
        </w:tc>
      </w:tr>
      <w:tr w:rsidR="00E95FB1" w:rsidRPr="00B75FD7" w:rsidTr="001B3967">
        <w:trPr>
          <w:gridAfter w:val="1"/>
          <w:wAfter w:w="789" w:type="dxa"/>
          <w:trHeight w:val="730"/>
        </w:trPr>
        <w:tc>
          <w:tcPr>
            <w:tcW w:w="1448" w:type="dxa"/>
            <w:tcBorders>
              <w:top w:val="nil"/>
              <w:left w:val="nil"/>
              <w:bottom w:val="nil"/>
              <w:right w:val="nil"/>
            </w:tcBorders>
          </w:tcPr>
          <w:p w:rsidR="00E95FB1" w:rsidRPr="00B75FD7"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B75FD7" w:rsidRDefault="00E95FB1" w:rsidP="001B3967">
            <w:pPr>
              <w:autoSpaceDE w:val="0"/>
              <w:autoSpaceDN w:val="0"/>
              <w:adjustRightInd w:val="0"/>
              <w:rPr>
                <w:rFonts w:eastAsia="Calibri"/>
                <w:b/>
                <w:color w:val="000000"/>
                <w:sz w:val="22"/>
              </w:rPr>
            </w:pPr>
            <w:r w:rsidRPr="00B75FD7">
              <w:rPr>
                <w:rFonts w:eastAsia="Calibri"/>
                <w:b/>
                <w:color w:val="000000"/>
                <w:sz w:val="22"/>
              </w:rPr>
              <w:t>Опис проблеми, на вирішення якої спрямований проект</w:t>
            </w:r>
          </w:p>
        </w:tc>
        <w:tc>
          <w:tcPr>
            <w:tcW w:w="6662" w:type="dxa"/>
            <w:gridSpan w:val="7"/>
            <w:tcBorders>
              <w:top w:val="single" w:sz="6" w:space="0" w:color="auto"/>
              <w:left w:val="single" w:sz="6" w:space="0" w:color="auto"/>
              <w:bottom w:val="single" w:sz="6" w:space="0" w:color="auto"/>
              <w:right w:val="single" w:sz="6" w:space="0" w:color="auto"/>
            </w:tcBorders>
          </w:tcPr>
          <w:p w:rsidR="00E95FB1" w:rsidRPr="00B75FD7" w:rsidRDefault="00E95FB1" w:rsidP="001F1963">
            <w:pPr>
              <w:autoSpaceDE w:val="0"/>
              <w:autoSpaceDN w:val="0"/>
              <w:adjustRightInd w:val="0"/>
              <w:rPr>
                <w:rFonts w:eastAsia="Calibri"/>
                <w:color w:val="000000"/>
                <w:sz w:val="22"/>
              </w:rPr>
            </w:pPr>
            <w:r w:rsidRPr="00B75FD7">
              <w:rPr>
                <w:rFonts w:eastAsia="Calibri"/>
                <w:sz w:val="22"/>
              </w:rPr>
              <w:t>Через руйнування</w:t>
            </w:r>
            <w:r w:rsidR="001F1963" w:rsidRPr="00B75FD7">
              <w:rPr>
                <w:rFonts w:eastAsia="Calibri"/>
                <w:sz w:val="22"/>
              </w:rPr>
              <w:t>,</w:t>
            </w:r>
            <w:r w:rsidRPr="00B75FD7">
              <w:rPr>
                <w:rFonts w:eastAsia="Calibri"/>
                <w:sz w:val="22"/>
              </w:rPr>
              <w:t xml:space="preserve"> спричинені збройною агресією російської федерації проти України, не підлягають відновленню чи капітальному ремонту близько 100 багатоповерхових житлових будинків (точна кількість буде встановлена після </w:t>
            </w:r>
            <w:proofErr w:type="spellStart"/>
            <w:r w:rsidRPr="00B75FD7">
              <w:rPr>
                <w:rFonts w:eastAsia="Calibri"/>
                <w:sz w:val="22"/>
              </w:rPr>
              <w:t>деокупації</w:t>
            </w:r>
            <w:proofErr w:type="spellEnd"/>
            <w:r w:rsidRPr="00B75FD7">
              <w:rPr>
                <w:rFonts w:eastAsia="Calibri"/>
                <w:sz w:val="22"/>
              </w:rPr>
              <w:t xml:space="preserve"> території громади та проведення обстеження).</w:t>
            </w:r>
          </w:p>
        </w:tc>
      </w:tr>
      <w:tr w:rsidR="00E95FB1" w:rsidRPr="00B75FD7" w:rsidTr="001B3967">
        <w:trPr>
          <w:gridAfter w:val="1"/>
          <w:wAfter w:w="789" w:type="dxa"/>
          <w:trHeight w:val="528"/>
        </w:trPr>
        <w:tc>
          <w:tcPr>
            <w:tcW w:w="1448" w:type="dxa"/>
            <w:tcBorders>
              <w:top w:val="nil"/>
              <w:left w:val="nil"/>
              <w:bottom w:val="nil"/>
              <w:right w:val="nil"/>
            </w:tcBorders>
          </w:tcPr>
          <w:p w:rsidR="00E95FB1" w:rsidRPr="00B75FD7"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B75FD7" w:rsidRDefault="00E95FB1" w:rsidP="001B3967">
            <w:pPr>
              <w:autoSpaceDE w:val="0"/>
              <w:autoSpaceDN w:val="0"/>
              <w:adjustRightInd w:val="0"/>
              <w:rPr>
                <w:rFonts w:eastAsia="Calibri"/>
                <w:b/>
                <w:color w:val="000000"/>
                <w:sz w:val="22"/>
              </w:rPr>
            </w:pPr>
            <w:r w:rsidRPr="00B75FD7">
              <w:rPr>
                <w:rFonts w:eastAsia="Calibri"/>
                <w:b/>
                <w:color w:val="000000"/>
                <w:sz w:val="22"/>
              </w:rPr>
              <w:t>Очікувані якісні результати від реалізації проекту</w:t>
            </w:r>
          </w:p>
        </w:tc>
        <w:tc>
          <w:tcPr>
            <w:tcW w:w="6662" w:type="dxa"/>
            <w:gridSpan w:val="7"/>
            <w:tcBorders>
              <w:top w:val="single" w:sz="6" w:space="0" w:color="auto"/>
              <w:left w:val="single" w:sz="6" w:space="0" w:color="auto"/>
              <w:bottom w:val="single" w:sz="6" w:space="0" w:color="auto"/>
              <w:right w:val="single" w:sz="6" w:space="0" w:color="auto"/>
            </w:tcBorders>
          </w:tcPr>
          <w:p w:rsidR="00E95FB1" w:rsidRPr="00B75FD7" w:rsidRDefault="00E95FB1" w:rsidP="001B3967">
            <w:pPr>
              <w:autoSpaceDE w:val="0"/>
              <w:autoSpaceDN w:val="0"/>
              <w:adjustRightInd w:val="0"/>
              <w:rPr>
                <w:rFonts w:eastAsia="Calibri"/>
                <w:color w:val="000000"/>
                <w:sz w:val="22"/>
              </w:rPr>
            </w:pPr>
            <w:r w:rsidRPr="00B75FD7">
              <w:rPr>
                <w:rFonts w:eastAsia="Arial"/>
                <w:sz w:val="22"/>
              </w:rPr>
              <w:t>Відновлення зруйнованого житлового фонду м. Сєвєродонецьк</w:t>
            </w:r>
            <w:r w:rsidRPr="00B75FD7">
              <w:rPr>
                <w:rFonts w:eastAsia="Calibri"/>
                <w:sz w:val="22"/>
              </w:rPr>
              <w:t xml:space="preserve">  для забезпечення повернення мешканців Сєвєродонецької територіальної громади, що були вимушені залишити територію громади.</w:t>
            </w:r>
          </w:p>
        </w:tc>
      </w:tr>
      <w:tr w:rsidR="00E95FB1" w:rsidRPr="00B75FD7" w:rsidTr="001B3967">
        <w:trPr>
          <w:gridAfter w:val="1"/>
          <w:wAfter w:w="789" w:type="dxa"/>
          <w:trHeight w:val="581"/>
        </w:trPr>
        <w:tc>
          <w:tcPr>
            <w:tcW w:w="1448" w:type="dxa"/>
            <w:tcBorders>
              <w:top w:val="nil"/>
              <w:left w:val="nil"/>
              <w:bottom w:val="nil"/>
              <w:right w:val="nil"/>
            </w:tcBorders>
          </w:tcPr>
          <w:p w:rsidR="00E95FB1" w:rsidRPr="00B75FD7"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B75FD7" w:rsidRDefault="00E95FB1" w:rsidP="001B3967">
            <w:pPr>
              <w:autoSpaceDE w:val="0"/>
              <w:autoSpaceDN w:val="0"/>
              <w:adjustRightInd w:val="0"/>
              <w:rPr>
                <w:rFonts w:eastAsia="Calibri"/>
                <w:b/>
                <w:color w:val="000000"/>
                <w:sz w:val="22"/>
              </w:rPr>
            </w:pPr>
            <w:r w:rsidRPr="00B75FD7">
              <w:rPr>
                <w:rFonts w:eastAsia="Calibri"/>
                <w:b/>
                <w:color w:val="000000"/>
                <w:sz w:val="22"/>
              </w:rPr>
              <w:t>Очікувані кількісні результати від реалізації проекту  (індикатори)</w:t>
            </w:r>
          </w:p>
        </w:tc>
        <w:tc>
          <w:tcPr>
            <w:tcW w:w="3969" w:type="dxa"/>
            <w:gridSpan w:val="4"/>
            <w:tcBorders>
              <w:top w:val="single" w:sz="6" w:space="0" w:color="auto"/>
              <w:left w:val="single" w:sz="6" w:space="0" w:color="auto"/>
              <w:bottom w:val="single" w:sz="6" w:space="0" w:color="auto"/>
              <w:right w:val="single" w:sz="6" w:space="0" w:color="auto"/>
            </w:tcBorders>
          </w:tcPr>
          <w:p w:rsidR="00E95FB1" w:rsidRPr="00B75FD7" w:rsidRDefault="00E95FB1" w:rsidP="001B3967">
            <w:pPr>
              <w:autoSpaceDE w:val="0"/>
              <w:autoSpaceDN w:val="0"/>
              <w:adjustRightInd w:val="0"/>
              <w:jc w:val="center"/>
              <w:rPr>
                <w:rFonts w:eastAsia="Calibri"/>
                <w:b/>
                <w:color w:val="000000"/>
                <w:sz w:val="22"/>
              </w:rPr>
            </w:pPr>
            <w:r w:rsidRPr="00B75FD7">
              <w:rPr>
                <w:rFonts w:eastAsia="Calibri"/>
                <w:b/>
                <w:color w:val="000000"/>
                <w:sz w:val="22"/>
              </w:rPr>
              <w:t>Найменування показника</w:t>
            </w:r>
          </w:p>
        </w:tc>
        <w:tc>
          <w:tcPr>
            <w:tcW w:w="1134" w:type="dxa"/>
            <w:tcBorders>
              <w:top w:val="single" w:sz="6" w:space="0" w:color="auto"/>
              <w:left w:val="single" w:sz="6" w:space="0" w:color="auto"/>
              <w:bottom w:val="single" w:sz="6" w:space="0" w:color="auto"/>
              <w:right w:val="single" w:sz="6" w:space="0" w:color="auto"/>
            </w:tcBorders>
          </w:tcPr>
          <w:p w:rsidR="00E95FB1" w:rsidRPr="00B75FD7" w:rsidRDefault="00E95FB1" w:rsidP="001B3967">
            <w:pPr>
              <w:autoSpaceDE w:val="0"/>
              <w:autoSpaceDN w:val="0"/>
              <w:adjustRightInd w:val="0"/>
              <w:jc w:val="center"/>
              <w:rPr>
                <w:rFonts w:eastAsia="Calibri"/>
                <w:b/>
                <w:color w:val="000000"/>
                <w:sz w:val="22"/>
              </w:rPr>
            </w:pPr>
            <w:r w:rsidRPr="00B75FD7">
              <w:rPr>
                <w:rFonts w:eastAsia="Calibri"/>
                <w:b/>
                <w:color w:val="000000"/>
                <w:sz w:val="22"/>
              </w:rPr>
              <w:t>Одиниця вимірювання</w:t>
            </w:r>
          </w:p>
        </w:tc>
        <w:tc>
          <w:tcPr>
            <w:tcW w:w="1559" w:type="dxa"/>
            <w:gridSpan w:val="2"/>
            <w:tcBorders>
              <w:top w:val="single" w:sz="6" w:space="0" w:color="auto"/>
              <w:left w:val="single" w:sz="6" w:space="0" w:color="auto"/>
              <w:bottom w:val="single" w:sz="6" w:space="0" w:color="auto"/>
              <w:right w:val="single" w:sz="6" w:space="0" w:color="auto"/>
            </w:tcBorders>
          </w:tcPr>
          <w:p w:rsidR="00E95FB1" w:rsidRPr="00B75FD7" w:rsidRDefault="00E95FB1" w:rsidP="001B3967">
            <w:pPr>
              <w:autoSpaceDE w:val="0"/>
              <w:autoSpaceDN w:val="0"/>
              <w:adjustRightInd w:val="0"/>
              <w:jc w:val="center"/>
              <w:rPr>
                <w:rFonts w:eastAsia="Calibri"/>
                <w:b/>
                <w:color w:val="000000"/>
                <w:sz w:val="22"/>
              </w:rPr>
            </w:pPr>
            <w:r w:rsidRPr="00B75FD7">
              <w:rPr>
                <w:rFonts w:eastAsia="Calibri"/>
                <w:b/>
                <w:color w:val="000000"/>
                <w:sz w:val="22"/>
              </w:rPr>
              <w:t>Прогнозне (цільове) значення</w:t>
            </w:r>
          </w:p>
        </w:tc>
      </w:tr>
      <w:tr w:rsidR="00E95FB1" w:rsidRPr="00B75FD7" w:rsidTr="001B3967">
        <w:trPr>
          <w:gridAfter w:val="1"/>
          <w:wAfter w:w="789" w:type="dxa"/>
          <w:trHeight w:val="290"/>
        </w:trPr>
        <w:tc>
          <w:tcPr>
            <w:tcW w:w="1448" w:type="dxa"/>
            <w:tcBorders>
              <w:top w:val="nil"/>
              <w:left w:val="nil"/>
              <w:bottom w:val="nil"/>
              <w:right w:val="nil"/>
            </w:tcBorders>
          </w:tcPr>
          <w:p w:rsidR="00E95FB1" w:rsidRPr="00B75FD7"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B75FD7" w:rsidRDefault="00E95FB1" w:rsidP="001B3967">
            <w:pPr>
              <w:autoSpaceDE w:val="0"/>
              <w:autoSpaceDN w:val="0"/>
              <w:adjustRightInd w:val="0"/>
              <w:jc w:val="right"/>
              <w:rPr>
                <w:rFonts w:eastAsia="Calibri"/>
                <w:b/>
                <w:color w:val="000000"/>
                <w:sz w:val="22"/>
              </w:rPr>
            </w:pPr>
          </w:p>
        </w:tc>
        <w:tc>
          <w:tcPr>
            <w:tcW w:w="3969" w:type="dxa"/>
            <w:gridSpan w:val="4"/>
            <w:tcBorders>
              <w:top w:val="single" w:sz="6" w:space="0" w:color="auto"/>
              <w:left w:val="single" w:sz="6" w:space="0" w:color="auto"/>
              <w:bottom w:val="single" w:sz="6" w:space="0" w:color="auto"/>
              <w:right w:val="single" w:sz="6" w:space="0" w:color="auto"/>
            </w:tcBorders>
          </w:tcPr>
          <w:p w:rsidR="00E95FB1" w:rsidRPr="00B75FD7" w:rsidRDefault="00E95FB1" w:rsidP="001B3967">
            <w:pPr>
              <w:autoSpaceDE w:val="0"/>
              <w:autoSpaceDN w:val="0"/>
              <w:adjustRightInd w:val="0"/>
              <w:rPr>
                <w:rFonts w:eastAsia="Calibri"/>
                <w:color w:val="000000"/>
                <w:sz w:val="22"/>
              </w:rPr>
            </w:pPr>
            <w:r w:rsidRPr="00B75FD7">
              <w:rPr>
                <w:rFonts w:eastAsia="Calibri"/>
                <w:sz w:val="22"/>
              </w:rPr>
              <w:t>Площа збудованого житла (багатоповерхова забудова різної поверховості)</w:t>
            </w:r>
          </w:p>
        </w:tc>
        <w:tc>
          <w:tcPr>
            <w:tcW w:w="1134" w:type="dxa"/>
            <w:tcBorders>
              <w:top w:val="single" w:sz="6" w:space="0" w:color="auto"/>
              <w:left w:val="single" w:sz="6" w:space="0" w:color="auto"/>
              <w:bottom w:val="single" w:sz="6" w:space="0" w:color="auto"/>
              <w:right w:val="single" w:sz="6" w:space="0" w:color="auto"/>
            </w:tcBorders>
            <w:vAlign w:val="center"/>
          </w:tcPr>
          <w:p w:rsidR="00E95FB1" w:rsidRPr="00B75FD7" w:rsidRDefault="00E95FB1" w:rsidP="001B3967">
            <w:pPr>
              <w:autoSpaceDE w:val="0"/>
              <w:autoSpaceDN w:val="0"/>
              <w:adjustRightInd w:val="0"/>
              <w:jc w:val="center"/>
              <w:rPr>
                <w:rFonts w:eastAsia="Calibri"/>
                <w:color w:val="000000"/>
                <w:sz w:val="22"/>
              </w:rPr>
            </w:pPr>
            <w:r w:rsidRPr="00B75FD7">
              <w:rPr>
                <w:rFonts w:eastAsia="Calibri"/>
                <w:color w:val="000000"/>
                <w:sz w:val="22"/>
              </w:rPr>
              <w:t>м</w:t>
            </w:r>
            <w:r w:rsidRPr="00B75FD7">
              <w:rPr>
                <w:rFonts w:eastAsia="Calibri"/>
                <w:color w:val="000000"/>
                <w:sz w:val="22"/>
                <w:vertAlign w:val="superscript"/>
              </w:rPr>
              <w:t>2</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E95FB1" w:rsidRPr="00B75FD7" w:rsidRDefault="00E95FB1" w:rsidP="001B3967">
            <w:pPr>
              <w:autoSpaceDE w:val="0"/>
              <w:autoSpaceDN w:val="0"/>
              <w:adjustRightInd w:val="0"/>
              <w:jc w:val="center"/>
              <w:rPr>
                <w:rFonts w:eastAsia="Calibri"/>
                <w:color w:val="000000"/>
                <w:sz w:val="22"/>
              </w:rPr>
            </w:pPr>
            <w:r w:rsidRPr="00B75FD7">
              <w:rPr>
                <w:rFonts w:eastAsia="Calibri"/>
                <w:sz w:val="22"/>
              </w:rPr>
              <w:t>910 000</w:t>
            </w:r>
          </w:p>
        </w:tc>
      </w:tr>
      <w:tr w:rsidR="00E95FB1" w:rsidRPr="00B75FD7" w:rsidTr="001B3967">
        <w:trPr>
          <w:gridAfter w:val="1"/>
          <w:wAfter w:w="789" w:type="dxa"/>
          <w:trHeight w:val="1067"/>
        </w:trPr>
        <w:tc>
          <w:tcPr>
            <w:tcW w:w="1448" w:type="dxa"/>
            <w:tcBorders>
              <w:top w:val="nil"/>
              <w:left w:val="nil"/>
              <w:bottom w:val="nil"/>
              <w:right w:val="nil"/>
            </w:tcBorders>
          </w:tcPr>
          <w:p w:rsidR="00E95FB1" w:rsidRPr="00B75FD7"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B75FD7" w:rsidRDefault="00E95FB1" w:rsidP="001B3967">
            <w:pPr>
              <w:autoSpaceDE w:val="0"/>
              <w:autoSpaceDN w:val="0"/>
              <w:adjustRightInd w:val="0"/>
              <w:rPr>
                <w:rFonts w:eastAsia="Calibri"/>
                <w:b/>
                <w:color w:val="000000"/>
                <w:sz w:val="22"/>
              </w:rPr>
            </w:pPr>
            <w:r w:rsidRPr="00B75FD7">
              <w:rPr>
                <w:rFonts w:eastAsia="Calibri"/>
                <w:b/>
                <w:color w:val="000000"/>
                <w:sz w:val="22"/>
              </w:rPr>
              <w:t>Ключові заходи проекту:</w:t>
            </w:r>
          </w:p>
        </w:tc>
        <w:tc>
          <w:tcPr>
            <w:tcW w:w="6662" w:type="dxa"/>
            <w:gridSpan w:val="7"/>
            <w:tcBorders>
              <w:top w:val="single" w:sz="6" w:space="0" w:color="auto"/>
              <w:left w:val="single" w:sz="6" w:space="0" w:color="auto"/>
              <w:bottom w:val="single" w:sz="6" w:space="0" w:color="auto"/>
              <w:right w:val="single" w:sz="6" w:space="0" w:color="auto"/>
            </w:tcBorders>
          </w:tcPr>
          <w:p w:rsidR="00E95FB1" w:rsidRPr="00B75FD7" w:rsidRDefault="00E95FB1" w:rsidP="000303D7">
            <w:pPr>
              <w:numPr>
                <w:ilvl w:val="0"/>
                <w:numId w:val="25"/>
              </w:numPr>
              <w:autoSpaceDE w:val="0"/>
              <w:autoSpaceDN w:val="0"/>
              <w:adjustRightInd w:val="0"/>
              <w:ind w:left="253" w:hanging="177"/>
              <w:jc w:val="left"/>
              <w:rPr>
                <w:rFonts w:eastAsia="Calibri"/>
                <w:sz w:val="22"/>
              </w:rPr>
            </w:pPr>
            <w:r w:rsidRPr="00B75FD7">
              <w:rPr>
                <w:rFonts w:eastAsia="Calibri"/>
                <w:sz w:val="22"/>
              </w:rPr>
              <w:t>Підготовка проектної документації;</w:t>
            </w:r>
          </w:p>
          <w:p w:rsidR="00E95FB1" w:rsidRPr="00B75FD7" w:rsidRDefault="00E95FB1" w:rsidP="000303D7">
            <w:pPr>
              <w:numPr>
                <w:ilvl w:val="0"/>
                <w:numId w:val="25"/>
              </w:numPr>
              <w:autoSpaceDE w:val="0"/>
              <w:autoSpaceDN w:val="0"/>
              <w:adjustRightInd w:val="0"/>
              <w:ind w:left="253" w:hanging="177"/>
              <w:jc w:val="left"/>
              <w:rPr>
                <w:rFonts w:eastAsia="Calibri"/>
                <w:sz w:val="22"/>
              </w:rPr>
            </w:pPr>
            <w:r w:rsidRPr="00B75FD7">
              <w:rPr>
                <w:rFonts w:eastAsia="Calibri"/>
                <w:sz w:val="22"/>
              </w:rPr>
              <w:t>Проведення процедури закупівлі та визначення виконавців робіт;</w:t>
            </w:r>
          </w:p>
          <w:p w:rsidR="00E95FB1" w:rsidRPr="00B75FD7" w:rsidRDefault="00E95FB1" w:rsidP="000303D7">
            <w:pPr>
              <w:numPr>
                <w:ilvl w:val="0"/>
                <w:numId w:val="25"/>
              </w:numPr>
              <w:autoSpaceDE w:val="0"/>
              <w:autoSpaceDN w:val="0"/>
              <w:adjustRightInd w:val="0"/>
              <w:ind w:left="253" w:hanging="218"/>
              <w:jc w:val="left"/>
              <w:rPr>
                <w:rFonts w:eastAsia="Calibri"/>
                <w:color w:val="000000"/>
                <w:sz w:val="22"/>
              </w:rPr>
            </w:pPr>
            <w:r w:rsidRPr="00B75FD7">
              <w:rPr>
                <w:rFonts w:eastAsia="Arial"/>
                <w:sz w:val="22"/>
              </w:rPr>
              <w:t>Будівництво багатоквартирних житлових будинків</w:t>
            </w:r>
          </w:p>
        </w:tc>
      </w:tr>
      <w:tr w:rsidR="00E95FB1" w:rsidRPr="00B75FD7" w:rsidTr="001B3967">
        <w:trPr>
          <w:gridAfter w:val="1"/>
          <w:wAfter w:w="789" w:type="dxa"/>
          <w:trHeight w:val="634"/>
        </w:trPr>
        <w:tc>
          <w:tcPr>
            <w:tcW w:w="1448" w:type="dxa"/>
            <w:tcBorders>
              <w:top w:val="nil"/>
              <w:left w:val="nil"/>
              <w:bottom w:val="nil"/>
              <w:right w:val="nil"/>
            </w:tcBorders>
          </w:tcPr>
          <w:p w:rsidR="00E95FB1" w:rsidRPr="00B75FD7" w:rsidRDefault="00E95FB1" w:rsidP="001B3967">
            <w:pPr>
              <w:autoSpaceDE w:val="0"/>
              <w:autoSpaceDN w:val="0"/>
              <w:adjustRightInd w:val="0"/>
              <w:jc w:val="right"/>
              <w:rPr>
                <w:rFonts w:eastAsia="Calibri"/>
                <w:color w:val="000000"/>
                <w:sz w:val="22"/>
              </w:rPr>
            </w:pPr>
          </w:p>
        </w:tc>
        <w:tc>
          <w:tcPr>
            <w:tcW w:w="3260" w:type="dxa"/>
            <w:vMerge w:val="restart"/>
            <w:tcBorders>
              <w:top w:val="single" w:sz="6" w:space="0" w:color="auto"/>
              <w:left w:val="single" w:sz="6" w:space="0" w:color="auto"/>
              <w:bottom w:val="single" w:sz="6" w:space="0" w:color="auto"/>
              <w:right w:val="single" w:sz="6" w:space="0" w:color="auto"/>
            </w:tcBorders>
            <w:shd w:val="clear" w:color="00FFFF" w:fill="C6D9F1"/>
          </w:tcPr>
          <w:p w:rsidR="00E95FB1" w:rsidRPr="00B75FD7" w:rsidRDefault="00E95FB1" w:rsidP="001B3967">
            <w:pPr>
              <w:autoSpaceDE w:val="0"/>
              <w:autoSpaceDN w:val="0"/>
              <w:adjustRightInd w:val="0"/>
              <w:rPr>
                <w:rFonts w:eastAsia="Calibri"/>
                <w:b/>
                <w:color w:val="000000"/>
                <w:sz w:val="22"/>
              </w:rPr>
            </w:pPr>
            <w:r w:rsidRPr="00B75FD7">
              <w:rPr>
                <w:rFonts w:eastAsia="Calibri"/>
                <w:b/>
                <w:color w:val="000000"/>
                <w:sz w:val="22"/>
              </w:rPr>
              <w:t>Орієнтовний обсяг та джерела фінансування тис. гривень</w:t>
            </w:r>
          </w:p>
        </w:tc>
        <w:tc>
          <w:tcPr>
            <w:tcW w:w="1559" w:type="dxa"/>
            <w:vMerge w:val="restart"/>
            <w:tcBorders>
              <w:top w:val="single" w:sz="6" w:space="0" w:color="auto"/>
              <w:left w:val="single" w:sz="6" w:space="0" w:color="auto"/>
              <w:right w:val="single" w:sz="6" w:space="0" w:color="auto"/>
            </w:tcBorders>
          </w:tcPr>
          <w:p w:rsidR="00E95FB1" w:rsidRPr="00B75FD7" w:rsidRDefault="00E95FB1" w:rsidP="001B3967">
            <w:pPr>
              <w:autoSpaceDE w:val="0"/>
              <w:autoSpaceDN w:val="0"/>
              <w:adjustRightInd w:val="0"/>
              <w:jc w:val="center"/>
              <w:rPr>
                <w:rFonts w:eastAsia="Calibri"/>
                <w:color w:val="000000"/>
                <w:sz w:val="22"/>
              </w:rPr>
            </w:pPr>
            <w:r w:rsidRPr="00B75FD7">
              <w:rPr>
                <w:rFonts w:eastAsia="Calibri"/>
                <w:color w:val="000000"/>
                <w:sz w:val="22"/>
              </w:rPr>
              <w:t>Державний бюджет</w:t>
            </w:r>
          </w:p>
        </w:tc>
        <w:tc>
          <w:tcPr>
            <w:tcW w:w="1418" w:type="dxa"/>
            <w:gridSpan w:val="2"/>
            <w:vMerge w:val="restart"/>
            <w:tcBorders>
              <w:top w:val="single" w:sz="6" w:space="0" w:color="auto"/>
              <w:left w:val="single" w:sz="6" w:space="0" w:color="auto"/>
              <w:right w:val="single" w:sz="6" w:space="0" w:color="auto"/>
            </w:tcBorders>
          </w:tcPr>
          <w:p w:rsidR="00E95FB1" w:rsidRPr="00B75FD7" w:rsidRDefault="00E95FB1" w:rsidP="001B3967">
            <w:pPr>
              <w:autoSpaceDE w:val="0"/>
              <w:autoSpaceDN w:val="0"/>
              <w:adjustRightInd w:val="0"/>
              <w:jc w:val="center"/>
              <w:rPr>
                <w:rFonts w:eastAsia="Calibri"/>
                <w:color w:val="000000"/>
                <w:sz w:val="22"/>
              </w:rPr>
            </w:pPr>
            <w:r w:rsidRPr="00B75FD7">
              <w:rPr>
                <w:rFonts w:eastAsia="Calibri"/>
                <w:color w:val="000000"/>
                <w:sz w:val="22"/>
              </w:rPr>
              <w:t>Місцевий бюджет</w:t>
            </w:r>
          </w:p>
        </w:tc>
        <w:tc>
          <w:tcPr>
            <w:tcW w:w="2126" w:type="dxa"/>
            <w:gridSpan w:val="2"/>
            <w:tcBorders>
              <w:top w:val="single" w:sz="6" w:space="0" w:color="auto"/>
              <w:left w:val="single" w:sz="6" w:space="0" w:color="auto"/>
              <w:bottom w:val="single" w:sz="6" w:space="0" w:color="auto"/>
              <w:right w:val="single" w:sz="6" w:space="0" w:color="auto"/>
            </w:tcBorders>
          </w:tcPr>
          <w:p w:rsidR="00E95FB1" w:rsidRPr="00B75FD7" w:rsidRDefault="00E95FB1" w:rsidP="001B3967">
            <w:pPr>
              <w:autoSpaceDE w:val="0"/>
              <w:autoSpaceDN w:val="0"/>
              <w:adjustRightInd w:val="0"/>
              <w:jc w:val="center"/>
              <w:rPr>
                <w:rFonts w:eastAsia="Calibri"/>
                <w:color w:val="000000"/>
                <w:sz w:val="22"/>
              </w:rPr>
            </w:pPr>
            <w:r w:rsidRPr="00B75FD7">
              <w:rPr>
                <w:rFonts w:eastAsia="Calibri"/>
                <w:color w:val="000000"/>
                <w:sz w:val="22"/>
              </w:rPr>
              <w:t>Інші джерела</w:t>
            </w:r>
          </w:p>
        </w:tc>
        <w:tc>
          <w:tcPr>
            <w:tcW w:w="1559" w:type="dxa"/>
            <w:gridSpan w:val="2"/>
            <w:vMerge w:val="restart"/>
            <w:tcBorders>
              <w:top w:val="single" w:sz="6" w:space="0" w:color="auto"/>
              <w:left w:val="single" w:sz="6" w:space="0" w:color="auto"/>
              <w:right w:val="single" w:sz="6" w:space="0" w:color="auto"/>
            </w:tcBorders>
          </w:tcPr>
          <w:p w:rsidR="00E95FB1" w:rsidRPr="00B75FD7" w:rsidRDefault="00E95FB1" w:rsidP="001B3967">
            <w:pPr>
              <w:autoSpaceDE w:val="0"/>
              <w:autoSpaceDN w:val="0"/>
              <w:adjustRightInd w:val="0"/>
              <w:jc w:val="right"/>
              <w:rPr>
                <w:rFonts w:eastAsia="Calibri"/>
                <w:color w:val="000000"/>
                <w:sz w:val="22"/>
              </w:rPr>
            </w:pPr>
            <w:r w:rsidRPr="00B75FD7">
              <w:rPr>
                <w:rFonts w:eastAsia="Calibri"/>
                <w:color w:val="000000"/>
                <w:sz w:val="22"/>
              </w:rPr>
              <w:t>Всього</w:t>
            </w:r>
          </w:p>
        </w:tc>
      </w:tr>
      <w:tr w:rsidR="00E95FB1" w:rsidRPr="00B75FD7" w:rsidTr="001B3967">
        <w:trPr>
          <w:gridAfter w:val="1"/>
          <w:wAfter w:w="789" w:type="dxa"/>
          <w:trHeight w:val="558"/>
        </w:trPr>
        <w:tc>
          <w:tcPr>
            <w:tcW w:w="1448" w:type="dxa"/>
            <w:tcBorders>
              <w:top w:val="nil"/>
              <w:left w:val="nil"/>
              <w:bottom w:val="nil"/>
              <w:right w:val="nil"/>
            </w:tcBorders>
          </w:tcPr>
          <w:p w:rsidR="00E95FB1" w:rsidRPr="00B75FD7" w:rsidRDefault="00E95FB1" w:rsidP="001B3967">
            <w:pPr>
              <w:autoSpaceDE w:val="0"/>
              <w:autoSpaceDN w:val="0"/>
              <w:adjustRightInd w:val="0"/>
              <w:jc w:val="right"/>
              <w:rPr>
                <w:rFonts w:eastAsia="Calibri"/>
                <w:color w:val="000000"/>
                <w:sz w:val="22"/>
              </w:rPr>
            </w:pPr>
          </w:p>
        </w:tc>
        <w:tc>
          <w:tcPr>
            <w:tcW w:w="3260" w:type="dxa"/>
            <w:vMerge/>
            <w:tcBorders>
              <w:left w:val="single" w:sz="6" w:space="0" w:color="auto"/>
              <w:bottom w:val="single" w:sz="6" w:space="0" w:color="auto"/>
              <w:right w:val="single" w:sz="6" w:space="0" w:color="auto"/>
            </w:tcBorders>
            <w:shd w:val="clear" w:color="00FFFF" w:fill="C6D9F1"/>
          </w:tcPr>
          <w:p w:rsidR="00E95FB1" w:rsidRPr="00B75FD7" w:rsidRDefault="00E95FB1" w:rsidP="001B3967">
            <w:pPr>
              <w:autoSpaceDE w:val="0"/>
              <w:autoSpaceDN w:val="0"/>
              <w:adjustRightInd w:val="0"/>
              <w:rPr>
                <w:rFonts w:eastAsia="Calibri"/>
                <w:b/>
                <w:color w:val="000000"/>
                <w:sz w:val="22"/>
              </w:rPr>
            </w:pPr>
          </w:p>
        </w:tc>
        <w:tc>
          <w:tcPr>
            <w:tcW w:w="1559" w:type="dxa"/>
            <w:vMerge/>
            <w:tcBorders>
              <w:left w:val="single" w:sz="6" w:space="0" w:color="auto"/>
              <w:bottom w:val="single" w:sz="6" w:space="0" w:color="auto"/>
              <w:right w:val="single" w:sz="6" w:space="0" w:color="auto"/>
            </w:tcBorders>
          </w:tcPr>
          <w:p w:rsidR="00E95FB1" w:rsidRPr="00B75FD7" w:rsidRDefault="00E95FB1" w:rsidP="001B3967">
            <w:pPr>
              <w:autoSpaceDE w:val="0"/>
              <w:autoSpaceDN w:val="0"/>
              <w:adjustRightInd w:val="0"/>
              <w:jc w:val="center"/>
              <w:rPr>
                <w:rFonts w:eastAsia="Calibri"/>
                <w:color w:val="000000"/>
                <w:sz w:val="22"/>
              </w:rPr>
            </w:pPr>
          </w:p>
        </w:tc>
        <w:tc>
          <w:tcPr>
            <w:tcW w:w="1418" w:type="dxa"/>
            <w:gridSpan w:val="2"/>
            <w:vMerge/>
            <w:tcBorders>
              <w:left w:val="single" w:sz="6" w:space="0" w:color="auto"/>
              <w:bottom w:val="single" w:sz="6" w:space="0" w:color="auto"/>
              <w:right w:val="single" w:sz="6" w:space="0" w:color="auto"/>
            </w:tcBorders>
          </w:tcPr>
          <w:p w:rsidR="00E95FB1" w:rsidRPr="00B75FD7" w:rsidRDefault="00E95FB1" w:rsidP="001B3967">
            <w:pPr>
              <w:autoSpaceDE w:val="0"/>
              <w:autoSpaceDN w:val="0"/>
              <w:adjustRightInd w:val="0"/>
              <w:jc w:val="center"/>
              <w:rPr>
                <w:rFonts w:eastAsia="Calibri"/>
                <w:color w:val="000000"/>
                <w:sz w:val="22"/>
              </w:rPr>
            </w:pPr>
          </w:p>
        </w:tc>
        <w:tc>
          <w:tcPr>
            <w:tcW w:w="992" w:type="dxa"/>
            <w:tcBorders>
              <w:top w:val="single" w:sz="6" w:space="0" w:color="auto"/>
              <w:left w:val="single" w:sz="6" w:space="0" w:color="auto"/>
              <w:bottom w:val="single" w:sz="6" w:space="0" w:color="auto"/>
              <w:right w:val="single" w:sz="6" w:space="0" w:color="auto"/>
            </w:tcBorders>
          </w:tcPr>
          <w:p w:rsidR="00E95FB1" w:rsidRPr="00B75FD7" w:rsidRDefault="00E95FB1" w:rsidP="001B3967">
            <w:pPr>
              <w:autoSpaceDE w:val="0"/>
              <w:autoSpaceDN w:val="0"/>
              <w:adjustRightInd w:val="0"/>
              <w:jc w:val="center"/>
              <w:rPr>
                <w:rFonts w:eastAsia="Calibri"/>
                <w:color w:val="000000"/>
                <w:sz w:val="22"/>
              </w:rPr>
            </w:pPr>
            <w:r w:rsidRPr="00B75FD7">
              <w:rPr>
                <w:rFonts w:eastAsia="Calibri"/>
                <w:color w:val="000000"/>
                <w:sz w:val="22"/>
              </w:rPr>
              <w:t>Обсяг</w:t>
            </w:r>
          </w:p>
        </w:tc>
        <w:tc>
          <w:tcPr>
            <w:tcW w:w="1134" w:type="dxa"/>
            <w:tcBorders>
              <w:top w:val="single" w:sz="6" w:space="0" w:color="auto"/>
              <w:left w:val="single" w:sz="6" w:space="0" w:color="auto"/>
              <w:bottom w:val="single" w:sz="6" w:space="0" w:color="auto"/>
              <w:right w:val="single" w:sz="6" w:space="0" w:color="auto"/>
            </w:tcBorders>
          </w:tcPr>
          <w:p w:rsidR="00E95FB1" w:rsidRPr="00B75FD7" w:rsidRDefault="00E95FB1" w:rsidP="001B3967">
            <w:pPr>
              <w:autoSpaceDE w:val="0"/>
              <w:autoSpaceDN w:val="0"/>
              <w:adjustRightInd w:val="0"/>
              <w:jc w:val="center"/>
              <w:rPr>
                <w:rFonts w:eastAsia="Calibri"/>
                <w:color w:val="000000"/>
                <w:sz w:val="22"/>
              </w:rPr>
            </w:pPr>
            <w:r w:rsidRPr="00B75FD7">
              <w:rPr>
                <w:rFonts w:eastAsia="Calibri"/>
                <w:color w:val="000000"/>
                <w:sz w:val="22"/>
              </w:rPr>
              <w:t>Назва джерела</w:t>
            </w:r>
          </w:p>
        </w:tc>
        <w:tc>
          <w:tcPr>
            <w:tcW w:w="1559" w:type="dxa"/>
            <w:gridSpan w:val="2"/>
            <w:vMerge/>
            <w:tcBorders>
              <w:left w:val="single" w:sz="6" w:space="0" w:color="auto"/>
              <w:bottom w:val="single" w:sz="6" w:space="0" w:color="auto"/>
              <w:right w:val="single" w:sz="6" w:space="0" w:color="auto"/>
            </w:tcBorders>
          </w:tcPr>
          <w:p w:rsidR="00E95FB1" w:rsidRPr="00B75FD7" w:rsidRDefault="00E95FB1" w:rsidP="001B3967">
            <w:pPr>
              <w:autoSpaceDE w:val="0"/>
              <w:autoSpaceDN w:val="0"/>
              <w:adjustRightInd w:val="0"/>
              <w:jc w:val="right"/>
              <w:rPr>
                <w:rFonts w:eastAsia="Calibri"/>
                <w:color w:val="000000"/>
                <w:sz w:val="22"/>
              </w:rPr>
            </w:pPr>
          </w:p>
        </w:tc>
      </w:tr>
      <w:tr w:rsidR="00E95FB1" w:rsidRPr="00B75FD7" w:rsidTr="001B3967">
        <w:trPr>
          <w:gridAfter w:val="1"/>
          <w:wAfter w:w="789" w:type="dxa"/>
          <w:trHeight w:val="396"/>
        </w:trPr>
        <w:tc>
          <w:tcPr>
            <w:tcW w:w="1448" w:type="dxa"/>
            <w:tcBorders>
              <w:top w:val="nil"/>
              <w:left w:val="nil"/>
              <w:bottom w:val="nil"/>
              <w:right w:val="nil"/>
            </w:tcBorders>
          </w:tcPr>
          <w:p w:rsidR="00E95FB1" w:rsidRPr="00B75FD7" w:rsidRDefault="00E95FB1" w:rsidP="001B3967">
            <w:pPr>
              <w:autoSpaceDE w:val="0"/>
              <w:autoSpaceDN w:val="0"/>
              <w:adjustRightInd w:val="0"/>
              <w:jc w:val="right"/>
              <w:rPr>
                <w:rFonts w:eastAsia="Calibri"/>
                <w:color w:val="000000"/>
                <w:sz w:val="22"/>
              </w:rPr>
            </w:pPr>
          </w:p>
        </w:tc>
        <w:tc>
          <w:tcPr>
            <w:tcW w:w="3260" w:type="dxa"/>
            <w:vMerge/>
            <w:tcBorders>
              <w:left w:val="single" w:sz="6" w:space="0" w:color="auto"/>
              <w:bottom w:val="single" w:sz="6" w:space="0" w:color="auto"/>
              <w:right w:val="single" w:sz="6" w:space="0" w:color="auto"/>
            </w:tcBorders>
            <w:shd w:val="clear" w:color="00FFFF" w:fill="C6D9F1"/>
          </w:tcPr>
          <w:p w:rsidR="00E95FB1" w:rsidRPr="00B75FD7" w:rsidRDefault="00E95FB1" w:rsidP="001B3967">
            <w:pPr>
              <w:autoSpaceDE w:val="0"/>
              <w:autoSpaceDN w:val="0"/>
              <w:adjustRightInd w:val="0"/>
              <w:rPr>
                <w:rFonts w:eastAsia="Calibri"/>
                <w:b/>
                <w:color w:val="000000"/>
                <w:sz w:val="22"/>
              </w:rPr>
            </w:pPr>
          </w:p>
        </w:tc>
        <w:tc>
          <w:tcPr>
            <w:tcW w:w="1559" w:type="dxa"/>
            <w:tcBorders>
              <w:top w:val="single" w:sz="6" w:space="0" w:color="auto"/>
              <w:left w:val="single" w:sz="6" w:space="0" w:color="auto"/>
              <w:bottom w:val="single" w:sz="6" w:space="0" w:color="auto"/>
              <w:right w:val="single" w:sz="6" w:space="0" w:color="auto"/>
            </w:tcBorders>
          </w:tcPr>
          <w:p w:rsidR="00E95FB1" w:rsidRPr="00B75FD7" w:rsidRDefault="00E95FB1" w:rsidP="001B3967">
            <w:pPr>
              <w:autoSpaceDE w:val="0"/>
              <w:autoSpaceDN w:val="0"/>
              <w:adjustRightInd w:val="0"/>
              <w:jc w:val="center"/>
              <w:rPr>
                <w:rFonts w:eastAsia="Calibri"/>
                <w:color w:val="000000"/>
                <w:sz w:val="22"/>
              </w:rPr>
            </w:pPr>
            <w:r w:rsidRPr="00B75FD7">
              <w:rPr>
                <w:rFonts w:eastAsia="Calibri"/>
                <w:sz w:val="22"/>
              </w:rPr>
              <w:t>18 200 000,0</w:t>
            </w:r>
          </w:p>
        </w:tc>
        <w:tc>
          <w:tcPr>
            <w:tcW w:w="1418" w:type="dxa"/>
            <w:gridSpan w:val="2"/>
            <w:tcBorders>
              <w:top w:val="single" w:sz="6" w:space="0" w:color="auto"/>
              <w:left w:val="single" w:sz="6" w:space="0" w:color="auto"/>
              <w:bottom w:val="single" w:sz="6" w:space="0" w:color="auto"/>
              <w:right w:val="single" w:sz="6" w:space="0" w:color="auto"/>
            </w:tcBorders>
          </w:tcPr>
          <w:p w:rsidR="00E95FB1" w:rsidRPr="00B75FD7" w:rsidRDefault="00E95FB1" w:rsidP="001B3967">
            <w:pPr>
              <w:autoSpaceDE w:val="0"/>
              <w:autoSpaceDN w:val="0"/>
              <w:adjustRightInd w:val="0"/>
              <w:jc w:val="center"/>
              <w:rPr>
                <w:rFonts w:eastAsia="Calibri"/>
                <w:color w:val="000000"/>
                <w:sz w:val="22"/>
              </w:rPr>
            </w:pPr>
          </w:p>
        </w:tc>
        <w:tc>
          <w:tcPr>
            <w:tcW w:w="992" w:type="dxa"/>
            <w:tcBorders>
              <w:top w:val="single" w:sz="6" w:space="0" w:color="auto"/>
              <w:left w:val="single" w:sz="6" w:space="0" w:color="auto"/>
              <w:bottom w:val="single" w:sz="6" w:space="0" w:color="auto"/>
              <w:right w:val="single" w:sz="6" w:space="0" w:color="auto"/>
            </w:tcBorders>
          </w:tcPr>
          <w:p w:rsidR="00E95FB1" w:rsidRPr="00B75FD7" w:rsidRDefault="00E95FB1" w:rsidP="001B3967">
            <w:pPr>
              <w:autoSpaceDE w:val="0"/>
              <w:autoSpaceDN w:val="0"/>
              <w:adjustRightInd w:val="0"/>
              <w:jc w:val="center"/>
              <w:rPr>
                <w:rFonts w:eastAsia="Calibri"/>
                <w:color w:val="000000"/>
                <w:sz w:val="22"/>
              </w:rPr>
            </w:pPr>
          </w:p>
        </w:tc>
        <w:tc>
          <w:tcPr>
            <w:tcW w:w="1134" w:type="dxa"/>
            <w:tcBorders>
              <w:top w:val="single" w:sz="6" w:space="0" w:color="auto"/>
              <w:left w:val="single" w:sz="6" w:space="0" w:color="auto"/>
              <w:bottom w:val="single" w:sz="6" w:space="0" w:color="auto"/>
              <w:right w:val="single" w:sz="6" w:space="0" w:color="auto"/>
            </w:tcBorders>
          </w:tcPr>
          <w:p w:rsidR="00E95FB1" w:rsidRPr="00B75FD7" w:rsidRDefault="00E95FB1" w:rsidP="001B3967">
            <w:pPr>
              <w:autoSpaceDE w:val="0"/>
              <w:autoSpaceDN w:val="0"/>
              <w:adjustRightInd w:val="0"/>
              <w:jc w:val="center"/>
              <w:rPr>
                <w:rFonts w:eastAsia="Calibri"/>
                <w:color w:val="000000"/>
                <w:sz w:val="22"/>
              </w:rPr>
            </w:pP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E95FB1" w:rsidRPr="00B75FD7" w:rsidRDefault="00E95FB1" w:rsidP="001B3967">
            <w:pPr>
              <w:autoSpaceDE w:val="0"/>
              <w:autoSpaceDN w:val="0"/>
              <w:adjustRightInd w:val="0"/>
              <w:jc w:val="center"/>
              <w:rPr>
                <w:rFonts w:eastAsia="Calibri"/>
                <w:color w:val="000000"/>
                <w:sz w:val="22"/>
              </w:rPr>
            </w:pPr>
            <w:r w:rsidRPr="00B75FD7">
              <w:rPr>
                <w:rFonts w:eastAsia="Calibri"/>
                <w:sz w:val="22"/>
              </w:rPr>
              <w:t>18 200 000,0</w:t>
            </w:r>
          </w:p>
        </w:tc>
      </w:tr>
    </w:tbl>
    <w:p w:rsidR="00E95FB1" w:rsidRPr="00B75FD7" w:rsidRDefault="00E95FB1" w:rsidP="00E95FB1">
      <w:pPr>
        <w:rPr>
          <w:sz w:val="22"/>
        </w:rPr>
      </w:pPr>
    </w:p>
    <w:p w:rsidR="00E95FB1" w:rsidRPr="00B75FD7" w:rsidRDefault="00E95FB1" w:rsidP="00E95FB1">
      <w:pPr>
        <w:tabs>
          <w:tab w:val="left" w:pos="5290"/>
        </w:tabs>
        <w:rPr>
          <w:sz w:val="22"/>
          <w:szCs w:val="22"/>
        </w:rPr>
      </w:pPr>
    </w:p>
    <w:p w:rsidR="00E95FB1" w:rsidRPr="00B75FD7" w:rsidRDefault="00E95FB1" w:rsidP="00E95FB1">
      <w:pPr>
        <w:rPr>
          <w:sz w:val="22"/>
        </w:rPr>
      </w:pPr>
    </w:p>
    <w:p w:rsidR="00E12FDA" w:rsidRPr="00B75FD7" w:rsidRDefault="00E12FDA" w:rsidP="00E95FB1">
      <w:pPr>
        <w:rPr>
          <w:sz w:val="22"/>
        </w:rPr>
      </w:pPr>
    </w:p>
    <w:p w:rsidR="00E12FDA" w:rsidRPr="00B75FD7" w:rsidRDefault="00E12FDA" w:rsidP="00E95FB1">
      <w:pPr>
        <w:rPr>
          <w:sz w:val="22"/>
        </w:rPr>
      </w:pPr>
    </w:p>
    <w:p w:rsidR="00E12FDA" w:rsidRPr="00B75FD7" w:rsidRDefault="00E12FDA" w:rsidP="00E95FB1">
      <w:pPr>
        <w:rPr>
          <w:sz w:val="22"/>
        </w:rPr>
      </w:pPr>
    </w:p>
    <w:p w:rsidR="00E12FDA" w:rsidRPr="00B75FD7" w:rsidRDefault="00E12FDA" w:rsidP="00E95FB1">
      <w:pPr>
        <w:rPr>
          <w:sz w:val="22"/>
        </w:rPr>
      </w:pPr>
    </w:p>
    <w:p w:rsidR="00E12FDA" w:rsidRPr="00B75FD7" w:rsidRDefault="00E12FDA" w:rsidP="00E95FB1">
      <w:pPr>
        <w:rPr>
          <w:sz w:val="22"/>
        </w:rPr>
      </w:pPr>
    </w:p>
    <w:p w:rsidR="00E12FDA" w:rsidRPr="00B75FD7" w:rsidRDefault="00E12FDA" w:rsidP="00E95FB1">
      <w:pPr>
        <w:rPr>
          <w:sz w:val="22"/>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8"/>
        <w:gridCol w:w="1356"/>
        <w:gridCol w:w="500"/>
        <w:gridCol w:w="829"/>
        <w:gridCol w:w="1176"/>
        <w:gridCol w:w="486"/>
        <w:gridCol w:w="953"/>
        <w:gridCol w:w="1354"/>
      </w:tblGrid>
      <w:tr w:rsidR="00E12FDA" w:rsidRPr="00B75FD7" w:rsidTr="00E12FDA">
        <w:tc>
          <w:tcPr>
            <w:tcW w:w="3261" w:type="dxa"/>
            <w:shd w:val="clear" w:color="auto" w:fill="C6D9F1"/>
          </w:tcPr>
          <w:p w:rsidR="00E12FDA" w:rsidRPr="00B75FD7" w:rsidRDefault="00E12FDA" w:rsidP="00E12FDA">
            <w:pPr>
              <w:pStyle w:val="a7"/>
              <w:ind w:left="0"/>
              <w:rPr>
                <w:b/>
                <w:sz w:val="22"/>
              </w:rPr>
            </w:pPr>
            <w:r w:rsidRPr="00B75FD7">
              <w:rPr>
                <w:b/>
                <w:sz w:val="22"/>
              </w:rPr>
              <w:t>Оперативна ціль/завдання</w:t>
            </w:r>
          </w:p>
        </w:tc>
        <w:tc>
          <w:tcPr>
            <w:tcW w:w="6627" w:type="dxa"/>
            <w:gridSpan w:val="7"/>
            <w:shd w:val="clear" w:color="auto" w:fill="auto"/>
          </w:tcPr>
          <w:p w:rsidR="00E12FDA" w:rsidRPr="00B75FD7" w:rsidRDefault="00E12FDA" w:rsidP="00E12FDA">
            <w:pPr>
              <w:pStyle w:val="a7"/>
              <w:ind w:left="0"/>
              <w:rPr>
                <w:b/>
                <w:sz w:val="22"/>
                <w:lang w:val="ru-RU"/>
              </w:rPr>
            </w:pPr>
            <w:r w:rsidRPr="00B75FD7">
              <w:rPr>
                <w:rFonts w:eastAsia="Arial"/>
                <w:sz w:val="22"/>
              </w:rPr>
              <w:t>Комфорт життя ЛЮДИНИ як безпека, екологічна сталість та розумна енергетика. Енергоефективна політика та інфраструктура</w:t>
            </w:r>
            <w:r w:rsidRPr="00B75FD7">
              <w:rPr>
                <w:b/>
                <w:sz w:val="22"/>
                <w:lang w:val="ru-RU"/>
              </w:rPr>
              <w:t xml:space="preserve"> </w:t>
            </w:r>
          </w:p>
        </w:tc>
      </w:tr>
      <w:tr w:rsidR="00E12FDA" w:rsidRPr="00B75FD7" w:rsidTr="00E12FDA">
        <w:tc>
          <w:tcPr>
            <w:tcW w:w="3261" w:type="dxa"/>
            <w:shd w:val="clear" w:color="auto" w:fill="C6D9F1"/>
          </w:tcPr>
          <w:p w:rsidR="00E12FDA" w:rsidRPr="00B75FD7" w:rsidRDefault="00E12FDA" w:rsidP="00E12FDA">
            <w:pPr>
              <w:pStyle w:val="a7"/>
              <w:ind w:left="0"/>
              <w:rPr>
                <w:b/>
                <w:sz w:val="22"/>
              </w:rPr>
            </w:pPr>
            <w:r w:rsidRPr="00B75FD7">
              <w:rPr>
                <w:b/>
                <w:sz w:val="22"/>
              </w:rPr>
              <w:t>Назва проекту:</w:t>
            </w:r>
          </w:p>
        </w:tc>
        <w:tc>
          <w:tcPr>
            <w:tcW w:w="6627" w:type="dxa"/>
            <w:gridSpan w:val="7"/>
            <w:shd w:val="clear" w:color="auto" w:fill="auto"/>
          </w:tcPr>
          <w:p w:rsidR="00E12FDA" w:rsidRPr="00B75FD7" w:rsidRDefault="00E12FDA" w:rsidP="00E12FDA">
            <w:pPr>
              <w:pStyle w:val="a7"/>
              <w:ind w:left="0"/>
              <w:rPr>
                <w:sz w:val="22"/>
              </w:rPr>
            </w:pPr>
            <w:r w:rsidRPr="00B75FD7">
              <w:rPr>
                <w:sz w:val="22"/>
              </w:rPr>
              <w:t xml:space="preserve">Відновлення діяльності Об’єднань співвласників багатоквартирних будинків </w:t>
            </w:r>
            <w:proofErr w:type="spellStart"/>
            <w:r w:rsidRPr="00B75FD7">
              <w:rPr>
                <w:sz w:val="22"/>
              </w:rPr>
              <w:t>м.Сєвєродонецьк</w:t>
            </w:r>
            <w:proofErr w:type="spellEnd"/>
            <w:r w:rsidRPr="00B75FD7">
              <w:rPr>
                <w:sz w:val="22"/>
              </w:rPr>
              <w:t xml:space="preserve"> </w:t>
            </w:r>
          </w:p>
        </w:tc>
      </w:tr>
      <w:tr w:rsidR="00E12FDA" w:rsidRPr="00B75FD7" w:rsidTr="00E12FDA">
        <w:tc>
          <w:tcPr>
            <w:tcW w:w="3261" w:type="dxa"/>
            <w:shd w:val="clear" w:color="auto" w:fill="C6D9F1"/>
          </w:tcPr>
          <w:p w:rsidR="00E12FDA" w:rsidRPr="00B75FD7" w:rsidRDefault="00E12FDA" w:rsidP="00E12FDA">
            <w:pPr>
              <w:rPr>
                <w:b/>
                <w:sz w:val="22"/>
              </w:rPr>
            </w:pPr>
            <w:r w:rsidRPr="00B75FD7">
              <w:rPr>
                <w:b/>
                <w:sz w:val="22"/>
              </w:rPr>
              <w:lastRenderedPageBreak/>
              <w:t>Ціль проекту</w:t>
            </w:r>
          </w:p>
        </w:tc>
        <w:tc>
          <w:tcPr>
            <w:tcW w:w="6627" w:type="dxa"/>
            <w:gridSpan w:val="7"/>
            <w:shd w:val="clear" w:color="auto" w:fill="auto"/>
          </w:tcPr>
          <w:p w:rsidR="00E12FDA" w:rsidRPr="00B75FD7" w:rsidRDefault="00E12FDA" w:rsidP="00E12FDA">
            <w:pPr>
              <w:pStyle w:val="a7"/>
              <w:ind w:left="0"/>
              <w:rPr>
                <w:sz w:val="22"/>
              </w:rPr>
            </w:pPr>
            <w:r w:rsidRPr="00B75FD7">
              <w:rPr>
                <w:sz w:val="22"/>
              </w:rPr>
              <w:t>Надання можливості співвласникам ОСББ м. Сєвєродонецька безпечно повернутись до своїх осель. Відновлення роботи ОСББ для надання широкого спектру послуг, пов’язаних із управлінням багатоквартирними будинками (обслуговуванням будинків та прибудинкової території),  задоволення потреб мешканців будинків Сєвєродонецької міської територіальної громади в яких створені ОСББ та сталого розвитку громади.</w:t>
            </w:r>
          </w:p>
        </w:tc>
      </w:tr>
      <w:tr w:rsidR="00E12FDA" w:rsidRPr="00B75FD7" w:rsidTr="00E12FDA">
        <w:tc>
          <w:tcPr>
            <w:tcW w:w="3261" w:type="dxa"/>
            <w:shd w:val="clear" w:color="auto" w:fill="C6D9F1"/>
          </w:tcPr>
          <w:p w:rsidR="00E12FDA" w:rsidRPr="00B75FD7" w:rsidRDefault="00E12FDA" w:rsidP="00E12FDA">
            <w:pPr>
              <w:pStyle w:val="a7"/>
              <w:ind w:left="0"/>
              <w:rPr>
                <w:b/>
                <w:sz w:val="22"/>
              </w:rPr>
            </w:pPr>
            <w:r w:rsidRPr="00B75FD7">
              <w:rPr>
                <w:b/>
                <w:sz w:val="22"/>
              </w:rPr>
              <w:t>Територія, на яку матиме вплив реалізація проекту</w:t>
            </w:r>
          </w:p>
        </w:tc>
        <w:tc>
          <w:tcPr>
            <w:tcW w:w="6627" w:type="dxa"/>
            <w:gridSpan w:val="7"/>
            <w:shd w:val="clear" w:color="auto" w:fill="auto"/>
          </w:tcPr>
          <w:p w:rsidR="00E12FDA" w:rsidRPr="00B75FD7" w:rsidRDefault="00E12FDA" w:rsidP="00E12FDA">
            <w:pPr>
              <w:pStyle w:val="a7"/>
              <w:ind w:left="0"/>
              <w:rPr>
                <w:sz w:val="22"/>
              </w:rPr>
            </w:pPr>
            <w:r w:rsidRPr="00B75FD7">
              <w:rPr>
                <w:sz w:val="22"/>
              </w:rPr>
              <w:t>Сєвєродонецька міська територіальна громада</w:t>
            </w:r>
            <w:r w:rsidRPr="00B75FD7">
              <w:rPr>
                <w:sz w:val="22"/>
              </w:rPr>
              <w:br/>
              <w:t>м. Сєвєродонецьк, 92 будинки не враховуючи АОСББ «Фаворит»</w:t>
            </w:r>
          </w:p>
        </w:tc>
      </w:tr>
      <w:tr w:rsidR="00E12FDA" w:rsidRPr="00B75FD7" w:rsidTr="00E12FDA">
        <w:tc>
          <w:tcPr>
            <w:tcW w:w="3261" w:type="dxa"/>
            <w:shd w:val="clear" w:color="auto" w:fill="C6D9F1"/>
          </w:tcPr>
          <w:p w:rsidR="00E12FDA" w:rsidRPr="00B75FD7" w:rsidRDefault="00E12FDA" w:rsidP="00E12FDA">
            <w:pPr>
              <w:pStyle w:val="a7"/>
              <w:ind w:left="0"/>
              <w:rPr>
                <w:b/>
                <w:sz w:val="22"/>
              </w:rPr>
            </w:pPr>
            <w:r w:rsidRPr="00B75FD7">
              <w:rPr>
                <w:b/>
                <w:sz w:val="22"/>
              </w:rPr>
              <w:t>Чисельність населення</w:t>
            </w:r>
            <w:r w:rsidRPr="00B75FD7">
              <w:rPr>
                <w:b/>
                <w:sz w:val="22"/>
                <w:lang w:val="ru-RU"/>
              </w:rPr>
              <w:t>,</w:t>
            </w:r>
            <w:r w:rsidRPr="00B75FD7">
              <w:rPr>
                <w:b/>
                <w:sz w:val="22"/>
              </w:rPr>
              <w:t xml:space="preserve"> на яке матиме вплив реалізація проекту</w:t>
            </w:r>
          </w:p>
        </w:tc>
        <w:tc>
          <w:tcPr>
            <w:tcW w:w="6627" w:type="dxa"/>
            <w:gridSpan w:val="7"/>
            <w:shd w:val="clear" w:color="auto" w:fill="auto"/>
          </w:tcPr>
          <w:p w:rsidR="00E12FDA" w:rsidRPr="00B75FD7" w:rsidRDefault="00E12FDA" w:rsidP="00E12FDA">
            <w:pPr>
              <w:pStyle w:val="a7"/>
              <w:ind w:left="0"/>
              <w:rPr>
                <w:sz w:val="22"/>
              </w:rPr>
            </w:pPr>
            <w:r w:rsidRPr="00B75FD7">
              <w:rPr>
                <w:sz w:val="22"/>
              </w:rPr>
              <w:t xml:space="preserve"> 25 000  осіб</w:t>
            </w:r>
          </w:p>
        </w:tc>
      </w:tr>
      <w:tr w:rsidR="00E12FDA" w:rsidRPr="00B75FD7" w:rsidTr="00E12FDA">
        <w:tc>
          <w:tcPr>
            <w:tcW w:w="3261" w:type="dxa"/>
            <w:shd w:val="clear" w:color="auto" w:fill="C6D9F1"/>
          </w:tcPr>
          <w:p w:rsidR="00E12FDA" w:rsidRPr="00B75FD7" w:rsidRDefault="00E12FDA" w:rsidP="00E12FDA">
            <w:pPr>
              <w:rPr>
                <w:b/>
                <w:sz w:val="22"/>
                <w:lang w:val="ru-RU"/>
              </w:rPr>
            </w:pPr>
            <w:r w:rsidRPr="00B75FD7">
              <w:rPr>
                <w:b/>
                <w:sz w:val="22"/>
              </w:rPr>
              <w:t>Опис проблеми, на вирішення якої  спрямований проект</w:t>
            </w:r>
          </w:p>
        </w:tc>
        <w:tc>
          <w:tcPr>
            <w:tcW w:w="6627" w:type="dxa"/>
            <w:gridSpan w:val="7"/>
            <w:shd w:val="clear" w:color="auto" w:fill="auto"/>
          </w:tcPr>
          <w:p w:rsidR="00E12FDA" w:rsidRPr="00B75FD7" w:rsidRDefault="00E12FDA" w:rsidP="00E12FDA">
            <w:pPr>
              <w:ind w:firstLine="708"/>
              <w:rPr>
                <w:sz w:val="22"/>
                <w:lang w:val="ru-RU"/>
              </w:rPr>
            </w:pPr>
            <w:r w:rsidRPr="00B75FD7">
              <w:rPr>
                <w:sz w:val="22"/>
              </w:rPr>
              <w:t xml:space="preserve">Через військову агресію РФ територія Сєвєродонецької міської територіальної громади зазнала значних пошкоджень. </w:t>
            </w:r>
            <w:r w:rsidRPr="00B75FD7">
              <w:rPr>
                <w:sz w:val="22"/>
                <w:lang w:val="ru-RU"/>
              </w:rPr>
              <w:t xml:space="preserve">Не </w:t>
            </w:r>
            <w:proofErr w:type="spellStart"/>
            <w:r w:rsidRPr="00B75FD7">
              <w:rPr>
                <w:sz w:val="22"/>
                <w:lang w:val="ru-RU"/>
              </w:rPr>
              <w:t>оминуло</w:t>
            </w:r>
            <w:proofErr w:type="spellEnd"/>
            <w:r w:rsidRPr="00B75FD7">
              <w:rPr>
                <w:sz w:val="22"/>
                <w:lang w:val="ru-RU"/>
              </w:rPr>
              <w:t xml:space="preserve"> </w:t>
            </w:r>
            <w:proofErr w:type="spellStart"/>
            <w:r w:rsidRPr="00B75FD7">
              <w:rPr>
                <w:sz w:val="22"/>
                <w:lang w:val="ru-RU"/>
              </w:rPr>
              <w:t>це</w:t>
            </w:r>
            <w:proofErr w:type="spellEnd"/>
            <w:r w:rsidRPr="00B75FD7">
              <w:rPr>
                <w:sz w:val="22"/>
                <w:lang w:val="ru-RU"/>
              </w:rPr>
              <w:t xml:space="preserve"> і </w:t>
            </w:r>
            <w:r w:rsidRPr="00B75FD7">
              <w:rPr>
                <w:sz w:val="22"/>
              </w:rPr>
              <w:t>ОСББ та співвласників ОСББ м. Сєвєродонецьк.</w:t>
            </w:r>
          </w:p>
          <w:p w:rsidR="00E12FDA" w:rsidRPr="00B75FD7" w:rsidRDefault="00E12FDA" w:rsidP="00E12FDA">
            <w:pPr>
              <w:ind w:firstLine="708"/>
              <w:rPr>
                <w:sz w:val="22"/>
              </w:rPr>
            </w:pPr>
            <w:r w:rsidRPr="00B75FD7">
              <w:rPr>
                <w:sz w:val="22"/>
              </w:rPr>
              <w:t>Вся матеріально-технічна база підприємства, зокрема:</w:t>
            </w:r>
          </w:p>
          <w:p w:rsidR="00E12FDA" w:rsidRPr="00B75FD7" w:rsidRDefault="00E12FDA" w:rsidP="000303D7">
            <w:pPr>
              <w:numPr>
                <w:ilvl w:val="0"/>
                <w:numId w:val="9"/>
              </w:numPr>
              <w:rPr>
                <w:sz w:val="22"/>
              </w:rPr>
            </w:pPr>
            <w:r w:rsidRPr="00B75FD7">
              <w:rPr>
                <w:sz w:val="22"/>
              </w:rPr>
              <w:t>Обладнання (ліфти, лічильники тепла);</w:t>
            </w:r>
          </w:p>
          <w:p w:rsidR="00E12FDA" w:rsidRPr="00B75FD7" w:rsidRDefault="00E12FDA" w:rsidP="000303D7">
            <w:pPr>
              <w:numPr>
                <w:ilvl w:val="0"/>
                <w:numId w:val="9"/>
              </w:numPr>
              <w:rPr>
                <w:sz w:val="22"/>
              </w:rPr>
            </w:pPr>
            <w:r w:rsidRPr="00B75FD7">
              <w:rPr>
                <w:sz w:val="22"/>
              </w:rPr>
              <w:t>обчислювальна техніка із відповідним програмним забезпеченням;</w:t>
            </w:r>
          </w:p>
          <w:p w:rsidR="00E12FDA" w:rsidRPr="00B75FD7" w:rsidRDefault="00E12FDA" w:rsidP="000303D7">
            <w:pPr>
              <w:numPr>
                <w:ilvl w:val="0"/>
                <w:numId w:val="9"/>
              </w:numPr>
              <w:rPr>
                <w:sz w:val="22"/>
              </w:rPr>
            </w:pPr>
            <w:r w:rsidRPr="00B75FD7">
              <w:rPr>
                <w:sz w:val="22"/>
              </w:rPr>
              <w:t>інша оргтехніка (монітори, принтери, сканери тощо);</w:t>
            </w:r>
          </w:p>
          <w:p w:rsidR="00E12FDA" w:rsidRPr="00B75FD7" w:rsidRDefault="00E12FDA" w:rsidP="000303D7">
            <w:pPr>
              <w:pStyle w:val="13"/>
              <w:numPr>
                <w:ilvl w:val="0"/>
                <w:numId w:val="9"/>
              </w:numPr>
              <w:jc w:val="both"/>
              <w:rPr>
                <w:sz w:val="22"/>
                <w:lang w:val="uk-UA"/>
              </w:rPr>
            </w:pPr>
            <w:r w:rsidRPr="00B75FD7">
              <w:rPr>
                <w:sz w:val="22"/>
                <w:lang w:val="uk-UA"/>
              </w:rPr>
              <w:t xml:space="preserve">основні засоби (компресори, перфоратори, інвертори, </w:t>
            </w:r>
            <w:proofErr w:type="spellStart"/>
            <w:r w:rsidRPr="00B75FD7">
              <w:rPr>
                <w:sz w:val="22"/>
                <w:lang w:val="uk-UA"/>
              </w:rPr>
              <w:t>дрелі</w:t>
            </w:r>
            <w:proofErr w:type="spellEnd"/>
            <w:r w:rsidRPr="00B75FD7">
              <w:rPr>
                <w:sz w:val="22"/>
                <w:lang w:val="uk-UA"/>
              </w:rPr>
              <w:t>, шуруповерти, верстати та ін.) були знищені або викрадені.</w:t>
            </w:r>
          </w:p>
          <w:p w:rsidR="00E12FDA" w:rsidRPr="00B75FD7" w:rsidRDefault="00E12FDA" w:rsidP="00E12FDA">
            <w:pPr>
              <w:pStyle w:val="13"/>
              <w:jc w:val="both"/>
              <w:rPr>
                <w:sz w:val="22"/>
                <w:lang w:val="uk-UA"/>
              </w:rPr>
            </w:pPr>
            <w:r w:rsidRPr="00B75FD7">
              <w:rPr>
                <w:rFonts w:eastAsia="Arial"/>
                <w:sz w:val="22"/>
                <w:lang w:val="uk-UA"/>
              </w:rPr>
              <w:t xml:space="preserve">         Значної шкоди зазнали багатоквартирні будинки – покрівлі, мережі опалення та водопостачання, вікна у місцях загального користування.</w:t>
            </w:r>
          </w:p>
        </w:tc>
      </w:tr>
      <w:tr w:rsidR="00E12FDA" w:rsidRPr="00B75FD7" w:rsidTr="00E12FDA">
        <w:tc>
          <w:tcPr>
            <w:tcW w:w="3261" w:type="dxa"/>
            <w:shd w:val="clear" w:color="auto" w:fill="C6D9F1"/>
          </w:tcPr>
          <w:p w:rsidR="00E12FDA" w:rsidRPr="00B75FD7" w:rsidRDefault="00E12FDA" w:rsidP="00E12FDA">
            <w:pPr>
              <w:pStyle w:val="a7"/>
              <w:ind w:left="0"/>
              <w:rPr>
                <w:b/>
                <w:sz w:val="22"/>
              </w:rPr>
            </w:pPr>
            <w:r w:rsidRPr="00B75FD7">
              <w:rPr>
                <w:b/>
                <w:sz w:val="22"/>
              </w:rPr>
              <w:t>Очікувані якісні результати від реалізації проекту</w:t>
            </w:r>
          </w:p>
        </w:tc>
        <w:tc>
          <w:tcPr>
            <w:tcW w:w="6627" w:type="dxa"/>
            <w:gridSpan w:val="7"/>
            <w:shd w:val="clear" w:color="auto" w:fill="auto"/>
          </w:tcPr>
          <w:p w:rsidR="00E12FDA" w:rsidRPr="00B75FD7" w:rsidRDefault="00E12FDA" w:rsidP="00E12FDA">
            <w:pPr>
              <w:pStyle w:val="a7"/>
              <w:ind w:left="0"/>
              <w:rPr>
                <w:sz w:val="22"/>
              </w:rPr>
            </w:pPr>
            <w:r w:rsidRPr="00B75FD7">
              <w:rPr>
                <w:sz w:val="22"/>
              </w:rPr>
              <w:t>- забезпечення населення можливостями для реалізації його конституційних прав</w:t>
            </w:r>
            <w:r w:rsidRPr="00B75FD7">
              <w:rPr>
                <w:sz w:val="22"/>
                <w:lang w:val="ru-RU"/>
              </w:rPr>
              <w:t xml:space="preserve">, </w:t>
            </w:r>
            <w:proofErr w:type="spellStart"/>
            <w:r w:rsidRPr="00B75FD7">
              <w:rPr>
                <w:sz w:val="22"/>
              </w:rPr>
              <w:t>пов</w:t>
            </w:r>
            <w:proofErr w:type="spellEnd"/>
            <w:r w:rsidRPr="00B75FD7">
              <w:rPr>
                <w:sz w:val="22"/>
                <w:lang w:val="ru-RU"/>
              </w:rPr>
              <w:t>’</w:t>
            </w:r>
            <w:proofErr w:type="spellStart"/>
            <w:r w:rsidRPr="00B75FD7">
              <w:rPr>
                <w:sz w:val="22"/>
              </w:rPr>
              <w:t>язаних</w:t>
            </w:r>
            <w:proofErr w:type="spellEnd"/>
            <w:r w:rsidRPr="00B75FD7">
              <w:rPr>
                <w:sz w:val="22"/>
              </w:rPr>
              <w:t xml:space="preserve"> із правом володіння та користування житлом, підтримання сприятливих умов для проживання;</w:t>
            </w:r>
          </w:p>
          <w:p w:rsidR="00E12FDA" w:rsidRPr="00B75FD7" w:rsidRDefault="00E12FDA" w:rsidP="00E12FDA">
            <w:pPr>
              <w:pStyle w:val="a7"/>
              <w:ind w:left="0"/>
              <w:rPr>
                <w:sz w:val="22"/>
              </w:rPr>
            </w:pPr>
            <w:r w:rsidRPr="00B75FD7">
              <w:rPr>
                <w:sz w:val="22"/>
              </w:rPr>
              <w:t xml:space="preserve">- надання широкого спектру послуг, </w:t>
            </w:r>
            <w:proofErr w:type="spellStart"/>
            <w:r w:rsidRPr="00B75FD7">
              <w:rPr>
                <w:sz w:val="22"/>
              </w:rPr>
              <w:t>пов</w:t>
            </w:r>
            <w:proofErr w:type="spellEnd"/>
            <w:r w:rsidRPr="00B75FD7">
              <w:rPr>
                <w:sz w:val="22"/>
                <w:lang w:val="ru-RU"/>
              </w:rPr>
              <w:t>’</w:t>
            </w:r>
            <w:proofErr w:type="spellStart"/>
            <w:r w:rsidRPr="00B75FD7">
              <w:rPr>
                <w:sz w:val="22"/>
              </w:rPr>
              <w:t>язаних</w:t>
            </w:r>
            <w:proofErr w:type="spellEnd"/>
            <w:r w:rsidRPr="00B75FD7">
              <w:rPr>
                <w:sz w:val="22"/>
              </w:rPr>
              <w:t xml:space="preserve"> із управлінням багатоквартирними будинками ( обслуговуванням будинків та прибудинкової території);</w:t>
            </w:r>
          </w:p>
          <w:p w:rsidR="00E12FDA" w:rsidRPr="00B75FD7" w:rsidRDefault="00E12FDA" w:rsidP="00E12FDA">
            <w:pPr>
              <w:pStyle w:val="a7"/>
              <w:ind w:left="0"/>
              <w:rPr>
                <w:sz w:val="22"/>
              </w:rPr>
            </w:pPr>
            <w:r w:rsidRPr="00B75FD7">
              <w:rPr>
                <w:sz w:val="22"/>
              </w:rPr>
              <w:t xml:space="preserve">- вирішення ряду питань в межах статутної діяльності, </w:t>
            </w:r>
            <w:proofErr w:type="spellStart"/>
            <w:r w:rsidRPr="00B75FD7">
              <w:rPr>
                <w:sz w:val="22"/>
              </w:rPr>
              <w:t>пов</w:t>
            </w:r>
            <w:proofErr w:type="spellEnd"/>
            <w:r w:rsidRPr="00B75FD7">
              <w:rPr>
                <w:sz w:val="22"/>
                <w:lang w:val="ru-RU"/>
              </w:rPr>
              <w:t>’</w:t>
            </w:r>
            <w:proofErr w:type="spellStart"/>
            <w:r w:rsidRPr="00B75FD7">
              <w:rPr>
                <w:sz w:val="22"/>
              </w:rPr>
              <w:t>язаних</w:t>
            </w:r>
            <w:proofErr w:type="spellEnd"/>
            <w:r w:rsidRPr="00B75FD7">
              <w:rPr>
                <w:sz w:val="22"/>
              </w:rPr>
              <w:t xml:space="preserve"> із відбудовою та сталим розвитком;</w:t>
            </w:r>
          </w:p>
          <w:p w:rsidR="00E12FDA" w:rsidRPr="00B75FD7" w:rsidRDefault="00E12FDA" w:rsidP="00E12FDA">
            <w:pPr>
              <w:pStyle w:val="a7"/>
              <w:ind w:left="0"/>
              <w:rPr>
                <w:sz w:val="22"/>
              </w:rPr>
            </w:pPr>
            <w:r w:rsidRPr="00B75FD7">
              <w:rPr>
                <w:sz w:val="22"/>
              </w:rPr>
              <w:t>- створення нових робочих місць;</w:t>
            </w:r>
          </w:p>
          <w:p w:rsidR="00E12FDA" w:rsidRPr="00B75FD7" w:rsidRDefault="00E12FDA" w:rsidP="00E12FDA">
            <w:pPr>
              <w:pStyle w:val="a7"/>
              <w:ind w:left="0"/>
              <w:rPr>
                <w:sz w:val="22"/>
              </w:rPr>
            </w:pPr>
            <w:r w:rsidRPr="00B75FD7">
              <w:rPr>
                <w:sz w:val="22"/>
              </w:rPr>
              <w:t>- стимул до повернення ВПО до громади.</w:t>
            </w:r>
          </w:p>
        </w:tc>
      </w:tr>
      <w:tr w:rsidR="00E12FDA" w:rsidRPr="00B75FD7" w:rsidTr="00E12FDA">
        <w:trPr>
          <w:trHeight w:val="390"/>
        </w:trPr>
        <w:tc>
          <w:tcPr>
            <w:tcW w:w="3261" w:type="dxa"/>
            <w:vMerge w:val="restart"/>
            <w:shd w:val="clear" w:color="auto" w:fill="C6D9F1"/>
          </w:tcPr>
          <w:p w:rsidR="00E12FDA" w:rsidRPr="00B75FD7" w:rsidRDefault="00E12FDA" w:rsidP="00E12FDA">
            <w:pPr>
              <w:pStyle w:val="a7"/>
              <w:ind w:left="0"/>
              <w:rPr>
                <w:b/>
                <w:sz w:val="22"/>
              </w:rPr>
            </w:pPr>
            <w:r w:rsidRPr="00B75FD7">
              <w:rPr>
                <w:b/>
                <w:sz w:val="22"/>
              </w:rPr>
              <w:t xml:space="preserve">Очікувані кількісні результати реалізації </w:t>
            </w:r>
            <w:proofErr w:type="spellStart"/>
            <w:r w:rsidRPr="00B75FD7">
              <w:rPr>
                <w:b/>
                <w:sz w:val="22"/>
              </w:rPr>
              <w:t>проєкту</w:t>
            </w:r>
            <w:proofErr w:type="spellEnd"/>
            <w:r w:rsidRPr="00B75FD7">
              <w:rPr>
                <w:b/>
                <w:sz w:val="22"/>
              </w:rPr>
              <w:t xml:space="preserve"> (індикатори)</w:t>
            </w:r>
          </w:p>
          <w:p w:rsidR="00E12FDA" w:rsidRPr="00B75FD7" w:rsidRDefault="00E12FDA" w:rsidP="00E12FDA">
            <w:pPr>
              <w:pStyle w:val="a7"/>
              <w:ind w:left="0"/>
              <w:rPr>
                <w:b/>
                <w:sz w:val="22"/>
              </w:rPr>
            </w:pPr>
          </w:p>
        </w:tc>
        <w:tc>
          <w:tcPr>
            <w:tcW w:w="1757" w:type="dxa"/>
            <w:gridSpan w:val="2"/>
            <w:tcBorders>
              <w:bottom w:val="single" w:sz="4" w:space="0" w:color="auto"/>
              <w:right w:val="single" w:sz="4" w:space="0" w:color="auto"/>
            </w:tcBorders>
            <w:shd w:val="clear" w:color="auto" w:fill="auto"/>
          </w:tcPr>
          <w:p w:rsidR="00E12FDA" w:rsidRPr="00B75FD7" w:rsidRDefault="00E12FDA" w:rsidP="00E12FDA">
            <w:pPr>
              <w:pStyle w:val="a7"/>
              <w:ind w:left="-108"/>
              <w:jc w:val="center"/>
              <w:rPr>
                <w:b/>
                <w:sz w:val="22"/>
              </w:rPr>
            </w:pPr>
            <w:r w:rsidRPr="00B75FD7">
              <w:rPr>
                <w:b/>
                <w:sz w:val="22"/>
              </w:rPr>
              <w:t>Найменування показника</w:t>
            </w:r>
          </w:p>
        </w:tc>
        <w:tc>
          <w:tcPr>
            <w:tcW w:w="2519" w:type="dxa"/>
            <w:gridSpan w:val="3"/>
            <w:tcBorders>
              <w:left w:val="single" w:sz="4" w:space="0" w:color="auto"/>
              <w:bottom w:val="single" w:sz="4" w:space="0" w:color="auto"/>
              <w:right w:val="single" w:sz="4" w:space="0" w:color="auto"/>
            </w:tcBorders>
            <w:shd w:val="clear" w:color="auto" w:fill="auto"/>
          </w:tcPr>
          <w:p w:rsidR="00E12FDA" w:rsidRPr="00B75FD7" w:rsidRDefault="00E12FDA" w:rsidP="00E12FDA">
            <w:pPr>
              <w:pStyle w:val="a7"/>
              <w:ind w:left="0"/>
              <w:jc w:val="center"/>
              <w:rPr>
                <w:b/>
                <w:sz w:val="22"/>
                <w:lang w:val="ru-RU"/>
              </w:rPr>
            </w:pPr>
            <w:r w:rsidRPr="00B75FD7">
              <w:rPr>
                <w:b/>
                <w:sz w:val="22"/>
              </w:rPr>
              <w:t>Одиниця вимірювання</w:t>
            </w:r>
          </w:p>
          <w:p w:rsidR="00E12FDA" w:rsidRPr="00B75FD7" w:rsidRDefault="00E12FDA" w:rsidP="00E12FDA">
            <w:pPr>
              <w:pStyle w:val="a7"/>
              <w:ind w:left="0"/>
              <w:rPr>
                <w:b/>
                <w:sz w:val="22"/>
              </w:rPr>
            </w:pPr>
          </w:p>
        </w:tc>
        <w:tc>
          <w:tcPr>
            <w:tcW w:w="2351" w:type="dxa"/>
            <w:gridSpan w:val="2"/>
            <w:tcBorders>
              <w:left w:val="single" w:sz="4" w:space="0" w:color="auto"/>
              <w:bottom w:val="single" w:sz="4" w:space="0" w:color="auto"/>
            </w:tcBorders>
            <w:shd w:val="clear" w:color="auto" w:fill="auto"/>
          </w:tcPr>
          <w:p w:rsidR="00E12FDA" w:rsidRPr="00B75FD7" w:rsidRDefault="00E12FDA" w:rsidP="00E12FDA">
            <w:pPr>
              <w:pStyle w:val="a7"/>
              <w:ind w:left="0"/>
              <w:jc w:val="center"/>
              <w:rPr>
                <w:b/>
                <w:sz w:val="22"/>
              </w:rPr>
            </w:pPr>
            <w:r w:rsidRPr="00B75FD7">
              <w:rPr>
                <w:b/>
                <w:sz w:val="22"/>
              </w:rPr>
              <w:t>Прогнозне (цільове) значення</w:t>
            </w:r>
          </w:p>
        </w:tc>
      </w:tr>
      <w:tr w:rsidR="00E12FDA" w:rsidRPr="00B75FD7" w:rsidTr="00E12FDA">
        <w:trPr>
          <w:trHeight w:val="585"/>
        </w:trPr>
        <w:tc>
          <w:tcPr>
            <w:tcW w:w="3261" w:type="dxa"/>
            <w:vMerge/>
            <w:shd w:val="clear" w:color="auto" w:fill="C6D9F1"/>
          </w:tcPr>
          <w:p w:rsidR="00E12FDA" w:rsidRPr="00B75FD7" w:rsidRDefault="00E12FDA" w:rsidP="00E12FDA">
            <w:pPr>
              <w:pStyle w:val="a7"/>
              <w:ind w:left="0"/>
              <w:rPr>
                <w:b/>
                <w:sz w:val="22"/>
              </w:rPr>
            </w:pPr>
          </w:p>
        </w:tc>
        <w:tc>
          <w:tcPr>
            <w:tcW w:w="1757" w:type="dxa"/>
            <w:gridSpan w:val="2"/>
            <w:tcBorders>
              <w:top w:val="single" w:sz="4" w:space="0" w:color="auto"/>
              <w:bottom w:val="single" w:sz="4" w:space="0" w:color="auto"/>
              <w:right w:val="single" w:sz="4" w:space="0" w:color="auto"/>
            </w:tcBorders>
            <w:shd w:val="clear" w:color="auto" w:fill="auto"/>
          </w:tcPr>
          <w:p w:rsidR="00E12FDA" w:rsidRPr="00B75FD7" w:rsidRDefault="00E12FDA" w:rsidP="00E12FDA">
            <w:pPr>
              <w:pStyle w:val="a7"/>
              <w:ind w:left="0"/>
              <w:jc w:val="center"/>
              <w:rPr>
                <w:sz w:val="22"/>
              </w:rPr>
            </w:pPr>
            <w:r w:rsidRPr="00B75FD7">
              <w:rPr>
                <w:sz w:val="22"/>
              </w:rPr>
              <w:t>Кількість фізичних осіб, які повернуться до своїх домівок протягом  року</w:t>
            </w:r>
          </w:p>
        </w:tc>
        <w:tc>
          <w:tcPr>
            <w:tcW w:w="25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12FDA" w:rsidRPr="00B75FD7" w:rsidRDefault="00E12FDA" w:rsidP="00E12FDA">
            <w:pPr>
              <w:pStyle w:val="a7"/>
              <w:ind w:left="0"/>
              <w:jc w:val="center"/>
              <w:rPr>
                <w:sz w:val="22"/>
              </w:rPr>
            </w:pPr>
            <w:r w:rsidRPr="00B75FD7">
              <w:rPr>
                <w:sz w:val="22"/>
              </w:rPr>
              <w:t>осіб</w:t>
            </w:r>
          </w:p>
        </w:tc>
        <w:tc>
          <w:tcPr>
            <w:tcW w:w="2351" w:type="dxa"/>
            <w:gridSpan w:val="2"/>
            <w:tcBorders>
              <w:top w:val="single" w:sz="4" w:space="0" w:color="auto"/>
              <w:left w:val="single" w:sz="4" w:space="0" w:color="auto"/>
              <w:bottom w:val="single" w:sz="4" w:space="0" w:color="auto"/>
            </w:tcBorders>
            <w:shd w:val="clear" w:color="auto" w:fill="auto"/>
          </w:tcPr>
          <w:p w:rsidR="00E12FDA" w:rsidRPr="00B75FD7" w:rsidRDefault="00E12FDA" w:rsidP="00E12FDA">
            <w:pPr>
              <w:pStyle w:val="a7"/>
              <w:ind w:left="0"/>
              <w:jc w:val="center"/>
              <w:rPr>
                <w:sz w:val="22"/>
                <w:lang w:val="ru-RU"/>
              </w:rPr>
            </w:pPr>
          </w:p>
          <w:p w:rsidR="00E12FDA" w:rsidRPr="00B75FD7" w:rsidRDefault="00E12FDA" w:rsidP="00E12FDA">
            <w:pPr>
              <w:pStyle w:val="a7"/>
              <w:ind w:left="0"/>
              <w:jc w:val="center"/>
              <w:rPr>
                <w:sz w:val="22"/>
                <w:lang w:val="ru-RU"/>
              </w:rPr>
            </w:pPr>
          </w:p>
          <w:p w:rsidR="00E12FDA" w:rsidRPr="00B75FD7" w:rsidRDefault="00E12FDA" w:rsidP="00E12FDA">
            <w:pPr>
              <w:pStyle w:val="a7"/>
              <w:ind w:left="0"/>
              <w:jc w:val="center"/>
              <w:rPr>
                <w:b/>
                <w:sz w:val="22"/>
                <w:lang w:val="ru-RU"/>
              </w:rPr>
            </w:pPr>
            <w:r w:rsidRPr="00B75FD7">
              <w:rPr>
                <w:sz w:val="22"/>
                <w:lang w:val="ru-RU"/>
              </w:rPr>
              <w:t>25000</w:t>
            </w:r>
          </w:p>
        </w:tc>
      </w:tr>
      <w:tr w:rsidR="00E12FDA" w:rsidRPr="00B75FD7" w:rsidTr="00E12FDA">
        <w:trPr>
          <w:trHeight w:val="184"/>
        </w:trPr>
        <w:tc>
          <w:tcPr>
            <w:tcW w:w="3261" w:type="dxa"/>
            <w:vMerge/>
            <w:shd w:val="clear" w:color="auto" w:fill="C6D9F1"/>
          </w:tcPr>
          <w:p w:rsidR="00E12FDA" w:rsidRPr="00B75FD7" w:rsidRDefault="00E12FDA" w:rsidP="00E12FDA">
            <w:pPr>
              <w:pStyle w:val="a7"/>
              <w:ind w:left="0"/>
              <w:rPr>
                <w:b/>
                <w:sz w:val="22"/>
              </w:rPr>
            </w:pPr>
          </w:p>
        </w:tc>
        <w:tc>
          <w:tcPr>
            <w:tcW w:w="1757" w:type="dxa"/>
            <w:gridSpan w:val="2"/>
            <w:tcBorders>
              <w:top w:val="single" w:sz="4" w:space="0" w:color="auto"/>
              <w:bottom w:val="single" w:sz="4" w:space="0" w:color="auto"/>
              <w:right w:val="single" w:sz="4" w:space="0" w:color="auto"/>
            </w:tcBorders>
            <w:shd w:val="clear" w:color="auto" w:fill="auto"/>
          </w:tcPr>
          <w:p w:rsidR="00E12FDA" w:rsidRPr="00B75FD7" w:rsidRDefault="00E12FDA" w:rsidP="00E12FDA">
            <w:pPr>
              <w:pStyle w:val="a7"/>
              <w:ind w:left="0"/>
              <w:jc w:val="center"/>
              <w:rPr>
                <w:sz w:val="22"/>
              </w:rPr>
            </w:pPr>
          </w:p>
          <w:p w:rsidR="00E12FDA" w:rsidRPr="00B75FD7" w:rsidRDefault="00E12FDA" w:rsidP="00E12FDA">
            <w:pPr>
              <w:pStyle w:val="a7"/>
              <w:ind w:left="0"/>
              <w:jc w:val="center"/>
              <w:rPr>
                <w:sz w:val="22"/>
              </w:rPr>
            </w:pPr>
            <w:r w:rsidRPr="00B75FD7">
              <w:rPr>
                <w:sz w:val="22"/>
              </w:rPr>
              <w:t>Кількість видів та типів послуг наданих протягом одного робочого дня</w:t>
            </w:r>
          </w:p>
        </w:tc>
        <w:tc>
          <w:tcPr>
            <w:tcW w:w="25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12FDA" w:rsidRPr="00B75FD7" w:rsidRDefault="00E12FDA" w:rsidP="00E12FDA">
            <w:pPr>
              <w:pStyle w:val="a7"/>
              <w:ind w:left="0"/>
              <w:jc w:val="center"/>
              <w:rPr>
                <w:sz w:val="22"/>
              </w:rPr>
            </w:pPr>
          </w:p>
          <w:p w:rsidR="00E12FDA" w:rsidRPr="00B75FD7" w:rsidRDefault="00E12FDA" w:rsidP="00E12FDA">
            <w:pPr>
              <w:pStyle w:val="a7"/>
              <w:ind w:left="0"/>
              <w:jc w:val="center"/>
              <w:rPr>
                <w:sz w:val="22"/>
              </w:rPr>
            </w:pPr>
            <w:r w:rsidRPr="00B75FD7">
              <w:rPr>
                <w:sz w:val="22"/>
              </w:rPr>
              <w:t>одиниць</w:t>
            </w:r>
          </w:p>
        </w:tc>
        <w:tc>
          <w:tcPr>
            <w:tcW w:w="2351" w:type="dxa"/>
            <w:gridSpan w:val="2"/>
            <w:tcBorders>
              <w:top w:val="single" w:sz="4" w:space="0" w:color="auto"/>
              <w:left w:val="single" w:sz="4" w:space="0" w:color="auto"/>
              <w:bottom w:val="single" w:sz="4" w:space="0" w:color="auto"/>
            </w:tcBorders>
            <w:shd w:val="clear" w:color="auto" w:fill="auto"/>
          </w:tcPr>
          <w:p w:rsidR="00E12FDA" w:rsidRPr="00B75FD7" w:rsidRDefault="00E12FDA" w:rsidP="00E12FDA">
            <w:pPr>
              <w:pStyle w:val="a7"/>
              <w:ind w:left="0"/>
              <w:jc w:val="center"/>
              <w:rPr>
                <w:sz w:val="22"/>
                <w:lang w:val="ru-RU"/>
              </w:rPr>
            </w:pPr>
          </w:p>
          <w:p w:rsidR="00E12FDA" w:rsidRPr="00B75FD7" w:rsidRDefault="00E12FDA" w:rsidP="00E12FDA">
            <w:pPr>
              <w:pStyle w:val="a7"/>
              <w:ind w:left="0"/>
              <w:jc w:val="center"/>
              <w:rPr>
                <w:sz w:val="22"/>
                <w:lang w:val="ru-RU"/>
              </w:rPr>
            </w:pPr>
          </w:p>
          <w:p w:rsidR="00E12FDA" w:rsidRPr="00B75FD7" w:rsidRDefault="00E12FDA" w:rsidP="00E12FDA">
            <w:pPr>
              <w:pStyle w:val="a7"/>
              <w:ind w:left="0"/>
              <w:jc w:val="center"/>
              <w:rPr>
                <w:sz w:val="22"/>
                <w:lang w:val="ru-RU"/>
              </w:rPr>
            </w:pPr>
          </w:p>
          <w:p w:rsidR="00E12FDA" w:rsidRPr="00B75FD7" w:rsidRDefault="00E12FDA" w:rsidP="00E12FDA">
            <w:pPr>
              <w:pStyle w:val="a7"/>
              <w:ind w:left="0"/>
              <w:jc w:val="center"/>
              <w:rPr>
                <w:sz w:val="22"/>
                <w:lang w:val="ru-RU"/>
              </w:rPr>
            </w:pPr>
            <w:r w:rsidRPr="00B75FD7">
              <w:rPr>
                <w:sz w:val="22"/>
                <w:lang w:val="ru-RU"/>
              </w:rPr>
              <w:t xml:space="preserve">4 </w:t>
            </w:r>
          </w:p>
          <w:p w:rsidR="00E12FDA" w:rsidRPr="00B75FD7" w:rsidRDefault="00E12FDA" w:rsidP="00E12FDA">
            <w:pPr>
              <w:pStyle w:val="a7"/>
              <w:ind w:left="0"/>
              <w:jc w:val="center"/>
              <w:rPr>
                <w:sz w:val="22"/>
                <w:lang w:val="ru-RU"/>
              </w:rPr>
            </w:pPr>
          </w:p>
          <w:p w:rsidR="00E12FDA" w:rsidRPr="00B75FD7" w:rsidRDefault="00E12FDA" w:rsidP="00E12FDA">
            <w:pPr>
              <w:pStyle w:val="a7"/>
              <w:ind w:left="0"/>
              <w:jc w:val="center"/>
              <w:rPr>
                <w:sz w:val="22"/>
                <w:lang w:val="ru-RU"/>
              </w:rPr>
            </w:pPr>
          </w:p>
        </w:tc>
      </w:tr>
      <w:tr w:rsidR="00E12FDA" w:rsidRPr="00B75FD7" w:rsidTr="00E12FDA">
        <w:trPr>
          <w:trHeight w:val="165"/>
        </w:trPr>
        <w:tc>
          <w:tcPr>
            <w:tcW w:w="3261" w:type="dxa"/>
            <w:vMerge/>
            <w:shd w:val="clear" w:color="auto" w:fill="C6D9F1"/>
          </w:tcPr>
          <w:p w:rsidR="00E12FDA" w:rsidRPr="00B75FD7" w:rsidRDefault="00E12FDA" w:rsidP="00E12FDA">
            <w:pPr>
              <w:pStyle w:val="a7"/>
              <w:ind w:left="0"/>
              <w:rPr>
                <w:b/>
                <w:sz w:val="22"/>
              </w:rPr>
            </w:pPr>
          </w:p>
        </w:tc>
        <w:tc>
          <w:tcPr>
            <w:tcW w:w="1757" w:type="dxa"/>
            <w:gridSpan w:val="2"/>
            <w:tcBorders>
              <w:top w:val="single" w:sz="4" w:space="0" w:color="auto"/>
              <w:bottom w:val="single" w:sz="4" w:space="0" w:color="auto"/>
              <w:right w:val="single" w:sz="4" w:space="0" w:color="auto"/>
            </w:tcBorders>
            <w:shd w:val="clear" w:color="auto" w:fill="auto"/>
          </w:tcPr>
          <w:p w:rsidR="00E12FDA" w:rsidRPr="00B75FD7" w:rsidRDefault="00E12FDA" w:rsidP="00E12FDA">
            <w:pPr>
              <w:pStyle w:val="a7"/>
              <w:ind w:left="0"/>
              <w:jc w:val="center"/>
              <w:rPr>
                <w:sz w:val="22"/>
              </w:rPr>
            </w:pPr>
            <w:r w:rsidRPr="00B75FD7">
              <w:rPr>
                <w:sz w:val="22"/>
              </w:rPr>
              <w:t>Середня вартість послуг</w:t>
            </w:r>
          </w:p>
        </w:tc>
        <w:tc>
          <w:tcPr>
            <w:tcW w:w="25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12FDA" w:rsidRPr="00B75FD7" w:rsidRDefault="00E12FDA" w:rsidP="00E12FDA">
            <w:pPr>
              <w:pStyle w:val="a7"/>
              <w:ind w:left="0"/>
              <w:jc w:val="center"/>
              <w:rPr>
                <w:sz w:val="22"/>
              </w:rPr>
            </w:pPr>
            <w:r w:rsidRPr="00B75FD7">
              <w:rPr>
                <w:sz w:val="22"/>
              </w:rPr>
              <w:t>грн/м2</w:t>
            </w:r>
          </w:p>
        </w:tc>
        <w:tc>
          <w:tcPr>
            <w:tcW w:w="2351" w:type="dxa"/>
            <w:gridSpan w:val="2"/>
            <w:tcBorders>
              <w:top w:val="single" w:sz="4" w:space="0" w:color="auto"/>
              <w:left w:val="single" w:sz="4" w:space="0" w:color="auto"/>
              <w:bottom w:val="single" w:sz="4" w:space="0" w:color="auto"/>
            </w:tcBorders>
            <w:shd w:val="clear" w:color="auto" w:fill="auto"/>
          </w:tcPr>
          <w:p w:rsidR="00E12FDA" w:rsidRPr="00B75FD7" w:rsidRDefault="00E12FDA" w:rsidP="00E12FDA">
            <w:pPr>
              <w:pStyle w:val="a7"/>
              <w:ind w:left="0"/>
              <w:jc w:val="center"/>
              <w:rPr>
                <w:sz w:val="22"/>
              </w:rPr>
            </w:pPr>
            <w:r w:rsidRPr="00B75FD7">
              <w:rPr>
                <w:sz w:val="22"/>
              </w:rPr>
              <w:t>5,0</w:t>
            </w:r>
          </w:p>
        </w:tc>
      </w:tr>
      <w:tr w:rsidR="00E12FDA" w:rsidRPr="00B75FD7" w:rsidTr="00E12FDA">
        <w:trPr>
          <w:trHeight w:val="150"/>
        </w:trPr>
        <w:tc>
          <w:tcPr>
            <w:tcW w:w="3261" w:type="dxa"/>
            <w:vMerge/>
            <w:shd w:val="clear" w:color="auto" w:fill="C6D9F1"/>
          </w:tcPr>
          <w:p w:rsidR="00E12FDA" w:rsidRPr="00B75FD7" w:rsidRDefault="00E12FDA" w:rsidP="00E12FDA">
            <w:pPr>
              <w:pStyle w:val="a7"/>
              <w:ind w:left="0"/>
              <w:rPr>
                <w:b/>
                <w:sz w:val="22"/>
              </w:rPr>
            </w:pPr>
          </w:p>
        </w:tc>
        <w:tc>
          <w:tcPr>
            <w:tcW w:w="1757" w:type="dxa"/>
            <w:gridSpan w:val="2"/>
            <w:tcBorders>
              <w:top w:val="single" w:sz="4" w:space="0" w:color="auto"/>
              <w:right w:val="single" w:sz="4" w:space="0" w:color="auto"/>
            </w:tcBorders>
            <w:shd w:val="clear" w:color="auto" w:fill="auto"/>
          </w:tcPr>
          <w:p w:rsidR="00E12FDA" w:rsidRPr="00B75FD7" w:rsidRDefault="00E12FDA" w:rsidP="00E12FDA">
            <w:pPr>
              <w:pStyle w:val="a7"/>
              <w:ind w:left="0"/>
              <w:jc w:val="center"/>
              <w:rPr>
                <w:sz w:val="22"/>
              </w:rPr>
            </w:pPr>
            <w:r w:rsidRPr="00B75FD7">
              <w:rPr>
                <w:sz w:val="22"/>
              </w:rPr>
              <w:t>Термін надання послуги</w:t>
            </w:r>
          </w:p>
        </w:tc>
        <w:tc>
          <w:tcPr>
            <w:tcW w:w="2519" w:type="dxa"/>
            <w:gridSpan w:val="3"/>
            <w:tcBorders>
              <w:top w:val="single" w:sz="4" w:space="0" w:color="auto"/>
              <w:left w:val="single" w:sz="4" w:space="0" w:color="auto"/>
              <w:right w:val="single" w:sz="4" w:space="0" w:color="auto"/>
            </w:tcBorders>
            <w:shd w:val="clear" w:color="auto" w:fill="auto"/>
            <w:vAlign w:val="center"/>
          </w:tcPr>
          <w:p w:rsidR="00E12FDA" w:rsidRPr="00B75FD7" w:rsidRDefault="00E12FDA" w:rsidP="00E12FDA">
            <w:pPr>
              <w:pStyle w:val="a7"/>
              <w:ind w:left="0"/>
              <w:jc w:val="center"/>
              <w:rPr>
                <w:sz w:val="22"/>
              </w:rPr>
            </w:pPr>
            <w:r w:rsidRPr="00B75FD7">
              <w:rPr>
                <w:sz w:val="22"/>
              </w:rPr>
              <w:t>день</w:t>
            </w:r>
          </w:p>
        </w:tc>
        <w:tc>
          <w:tcPr>
            <w:tcW w:w="2351" w:type="dxa"/>
            <w:gridSpan w:val="2"/>
            <w:tcBorders>
              <w:top w:val="single" w:sz="4" w:space="0" w:color="auto"/>
              <w:left w:val="single" w:sz="4" w:space="0" w:color="auto"/>
            </w:tcBorders>
            <w:shd w:val="clear" w:color="auto" w:fill="auto"/>
          </w:tcPr>
          <w:p w:rsidR="00E12FDA" w:rsidRPr="00B75FD7" w:rsidRDefault="00E12FDA" w:rsidP="00E12FDA">
            <w:pPr>
              <w:pStyle w:val="a7"/>
              <w:ind w:left="0"/>
              <w:jc w:val="center"/>
              <w:rPr>
                <w:sz w:val="22"/>
                <w:lang w:val="ru-RU"/>
              </w:rPr>
            </w:pPr>
            <w:r w:rsidRPr="00B75FD7">
              <w:rPr>
                <w:sz w:val="22"/>
              </w:rPr>
              <w:t>цілодобово</w:t>
            </w:r>
          </w:p>
        </w:tc>
      </w:tr>
      <w:tr w:rsidR="00E12FDA" w:rsidRPr="00B75FD7" w:rsidTr="00E12FDA">
        <w:trPr>
          <w:trHeight w:val="150"/>
        </w:trPr>
        <w:tc>
          <w:tcPr>
            <w:tcW w:w="3261" w:type="dxa"/>
            <w:shd w:val="clear" w:color="auto" w:fill="C6D9F1"/>
          </w:tcPr>
          <w:p w:rsidR="00E12FDA" w:rsidRPr="00B75FD7" w:rsidRDefault="00E12FDA" w:rsidP="00E12FDA">
            <w:pPr>
              <w:pStyle w:val="a7"/>
              <w:ind w:left="0"/>
              <w:rPr>
                <w:b/>
                <w:sz w:val="22"/>
              </w:rPr>
            </w:pPr>
          </w:p>
        </w:tc>
        <w:tc>
          <w:tcPr>
            <w:tcW w:w="1757" w:type="dxa"/>
            <w:gridSpan w:val="2"/>
            <w:tcBorders>
              <w:top w:val="single" w:sz="4" w:space="0" w:color="auto"/>
              <w:right w:val="single" w:sz="4" w:space="0" w:color="auto"/>
            </w:tcBorders>
            <w:shd w:val="clear" w:color="auto" w:fill="auto"/>
          </w:tcPr>
          <w:p w:rsidR="00E12FDA" w:rsidRPr="00B75FD7" w:rsidRDefault="00E12FDA" w:rsidP="00E12FDA">
            <w:pPr>
              <w:pStyle w:val="a7"/>
              <w:ind w:left="0"/>
              <w:jc w:val="center"/>
              <w:rPr>
                <w:sz w:val="22"/>
              </w:rPr>
            </w:pPr>
            <w:r w:rsidRPr="00B75FD7">
              <w:rPr>
                <w:sz w:val="22"/>
              </w:rPr>
              <w:t>Кількість будинків, яке обслуговує підприємство</w:t>
            </w:r>
          </w:p>
        </w:tc>
        <w:tc>
          <w:tcPr>
            <w:tcW w:w="2519" w:type="dxa"/>
            <w:gridSpan w:val="3"/>
            <w:tcBorders>
              <w:top w:val="single" w:sz="4" w:space="0" w:color="auto"/>
              <w:left w:val="single" w:sz="4" w:space="0" w:color="auto"/>
              <w:right w:val="single" w:sz="4" w:space="0" w:color="auto"/>
            </w:tcBorders>
            <w:shd w:val="clear" w:color="auto" w:fill="auto"/>
            <w:vAlign w:val="center"/>
          </w:tcPr>
          <w:p w:rsidR="00E12FDA" w:rsidRPr="00B75FD7" w:rsidRDefault="00E12FDA" w:rsidP="00E12FDA">
            <w:pPr>
              <w:pStyle w:val="a7"/>
              <w:ind w:left="0"/>
              <w:jc w:val="center"/>
              <w:rPr>
                <w:sz w:val="22"/>
              </w:rPr>
            </w:pPr>
            <w:r w:rsidRPr="00B75FD7">
              <w:rPr>
                <w:sz w:val="22"/>
              </w:rPr>
              <w:t>одиниць</w:t>
            </w:r>
          </w:p>
        </w:tc>
        <w:tc>
          <w:tcPr>
            <w:tcW w:w="2351" w:type="dxa"/>
            <w:gridSpan w:val="2"/>
            <w:tcBorders>
              <w:top w:val="single" w:sz="4" w:space="0" w:color="auto"/>
              <w:left w:val="single" w:sz="4" w:space="0" w:color="auto"/>
            </w:tcBorders>
            <w:shd w:val="clear" w:color="auto" w:fill="auto"/>
          </w:tcPr>
          <w:p w:rsidR="00E12FDA" w:rsidRPr="00B75FD7" w:rsidRDefault="00E12FDA" w:rsidP="00E12FDA">
            <w:pPr>
              <w:pStyle w:val="a7"/>
              <w:ind w:left="0"/>
              <w:jc w:val="center"/>
              <w:rPr>
                <w:sz w:val="22"/>
              </w:rPr>
            </w:pPr>
            <w:r w:rsidRPr="00B75FD7">
              <w:rPr>
                <w:sz w:val="22"/>
              </w:rPr>
              <w:br/>
            </w:r>
            <w:r w:rsidRPr="00B75FD7">
              <w:rPr>
                <w:sz w:val="22"/>
              </w:rPr>
              <w:br/>
              <w:t>92</w:t>
            </w:r>
          </w:p>
          <w:p w:rsidR="00E12FDA" w:rsidRPr="00B75FD7" w:rsidRDefault="00E12FDA" w:rsidP="00E12FDA">
            <w:pPr>
              <w:pStyle w:val="a7"/>
              <w:ind w:left="0"/>
              <w:jc w:val="center"/>
              <w:rPr>
                <w:sz w:val="22"/>
              </w:rPr>
            </w:pPr>
          </w:p>
        </w:tc>
      </w:tr>
      <w:tr w:rsidR="00E12FDA" w:rsidRPr="00B75FD7" w:rsidTr="00E12FDA">
        <w:tc>
          <w:tcPr>
            <w:tcW w:w="3261" w:type="dxa"/>
            <w:shd w:val="clear" w:color="auto" w:fill="C6D9F1"/>
          </w:tcPr>
          <w:p w:rsidR="00E12FDA" w:rsidRPr="00B75FD7" w:rsidRDefault="00E12FDA" w:rsidP="00E12FDA">
            <w:pPr>
              <w:rPr>
                <w:b/>
                <w:sz w:val="22"/>
                <w:lang w:val="ru-RU"/>
              </w:rPr>
            </w:pPr>
            <w:r w:rsidRPr="00B75FD7">
              <w:rPr>
                <w:b/>
                <w:sz w:val="22"/>
              </w:rPr>
              <w:t xml:space="preserve">Ключові заходи проекту: </w:t>
            </w:r>
          </w:p>
          <w:p w:rsidR="00E12FDA" w:rsidRPr="00B75FD7" w:rsidRDefault="00E12FDA" w:rsidP="00E12FDA">
            <w:pPr>
              <w:pStyle w:val="a7"/>
              <w:ind w:left="0"/>
              <w:rPr>
                <w:b/>
                <w:sz w:val="22"/>
              </w:rPr>
            </w:pPr>
          </w:p>
        </w:tc>
        <w:tc>
          <w:tcPr>
            <w:tcW w:w="6627" w:type="dxa"/>
            <w:gridSpan w:val="7"/>
            <w:shd w:val="clear" w:color="auto" w:fill="auto"/>
          </w:tcPr>
          <w:p w:rsidR="00E12FDA" w:rsidRPr="00B75FD7" w:rsidRDefault="00E12FDA" w:rsidP="00E12FDA">
            <w:pPr>
              <w:pStyle w:val="a7"/>
              <w:ind w:left="0"/>
              <w:rPr>
                <w:sz w:val="22"/>
              </w:rPr>
            </w:pPr>
            <w:r w:rsidRPr="00B75FD7">
              <w:rPr>
                <w:sz w:val="22"/>
              </w:rPr>
              <w:t>- обстеження стану багатоквартирних житлових будинків;</w:t>
            </w:r>
          </w:p>
          <w:p w:rsidR="00E12FDA" w:rsidRPr="00B75FD7" w:rsidRDefault="00E12FDA" w:rsidP="00E12FDA">
            <w:pPr>
              <w:pStyle w:val="a7"/>
              <w:ind w:left="0"/>
              <w:rPr>
                <w:sz w:val="22"/>
              </w:rPr>
            </w:pPr>
            <w:r w:rsidRPr="00B75FD7">
              <w:rPr>
                <w:sz w:val="22"/>
              </w:rPr>
              <w:t>- проведення інвентаризації основних засобів;</w:t>
            </w:r>
          </w:p>
          <w:p w:rsidR="00E12FDA" w:rsidRPr="00B75FD7" w:rsidRDefault="00E12FDA" w:rsidP="00E12FDA">
            <w:pPr>
              <w:pStyle w:val="a7"/>
              <w:ind w:left="0"/>
              <w:rPr>
                <w:sz w:val="22"/>
              </w:rPr>
            </w:pPr>
            <w:r w:rsidRPr="00B75FD7">
              <w:rPr>
                <w:sz w:val="22"/>
              </w:rPr>
              <w:t xml:space="preserve"> - придбання засобів інструментів та </w:t>
            </w:r>
            <w:proofErr w:type="spellStart"/>
            <w:r w:rsidRPr="00B75FD7">
              <w:rPr>
                <w:sz w:val="22"/>
              </w:rPr>
              <w:t>компьютерної</w:t>
            </w:r>
            <w:proofErr w:type="spellEnd"/>
            <w:r w:rsidRPr="00B75FD7">
              <w:rPr>
                <w:sz w:val="22"/>
              </w:rPr>
              <w:t xml:space="preserve"> техніки;</w:t>
            </w:r>
          </w:p>
          <w:p w:rsidR="00E12FDA" w:rsidRPr="00B75FD7" w:rsidRDefault="00E12FDA" w:rsidP="00E12FDA">
            <w:pPr>
              <w:pStyle w:val="a7"/>
              <w:ind w:left="0"/>
              <w:rPr>
                <w:sz w:val="22"/>
              </w:rPr>
            </w:pPr>
            <w:r w:rsidRPr="00B75FD7">
              <w:rPr>
                <w:sz w:val="22"/>
              </w:rPr>
              <w:t>- придбання матеріалів, обладнання;</w:t>
            </w:r>
            <w:r w:rsidRPr="00B75FD7">
              <w:rPr>
                <w:sz w:val="22"/>
              </w:rPr>
              <w:br/>
              <w:t>- укладання договорів;</w:t>
            </w:r>
          </w:p>
          <w:p w:rsidR="00E12FDA" w:rsidRPr="00B75FD7" w:rsidRDefault="00E12FDA" w:rsidP="00E12FDA">
            <w:pPr>
              <w:pStyle w:val="a7"/>
              <w:ind w:left="0"/>
              <w:rPr>
                <w:sz w:val="22"/>
              </w:rPr>
            </w:pPr>
            <w:r w:rsidRPr="00B75FD7">
              <w:rPr>
                <w:sz w:val="22"/>
              </w:rPr>
              <w:t xml:space="preserve">- проведення відновлювальних робіт; </w:t>
            </w:r>
          </w:p>
          <w:p w:rsidR="00E12FDA" w:rsidRPr="00B75FD7" w:rsidRDefault="00E12FDA" w:rsidP="00E12FDA">
            <w:pPr>
              <w:pStyle w:val="a7"/>
              <w:ind w:left="0"/>
              <w:rPr>
                <w:sz w:val="22"/>
              </w:rPr>
            </w:pPr>
            <w:r w:rsidRPr="00B75FD7">
              <w:rPr>
                <w:sz w:val="22"/>
              </w:rPr>
              <w:t xml:space="preserve">  - організація та початок робочого процесу.</w:t>
            </w:r>
          </w:p>
        </w:tc>
      </w:tr>
      <w:tr w:rsidR="00E12FDA" w:rsidRPr="00B75FD7" w:rsidTr="00E12FDA">
        <w:trPr>
          <w:trHeight w:val="360"/>
        </w:trPr>
        <w:tc>
          <w:tcPr>
            <w:tcW w:w="3261" w:type="dxa"/>
            <w:vMerge w:val="restart"/>
            <w:shd w:val="clear" w:color="auto" w:fill="C6D9F1"/>
          </w:tcPr>
          <w:p w:rsidR="00E12FDA" w:rsidRPr="00B75FD7" w:rsidRDefault="00E12FDA" w:rsidP="00E12FDA">
            <w:pPr>
              <w:pStyle w:val="a7"/>
              <w:ind w:left="0"/>
              <w:rPr>
                <w:b/>
                <w:sz w:val="22"/>
                <w:lang w:val="ru-RU"/>
              </w:rPr>
            </w:pPr>
            <w:r w:rsidRPr="00B75FD7">
              <w:rPr>
                <w:b/>
                <w:sz w:val="22"/>
              </w:rPr>
              <w:t xml:space="preserve">Орієнтовний обсяг та джерела фінансування, тис. грн. </w:t>
            </w:r>
          </w:p>
          <w:p w:rsidR="00E12FDA" w:rsidRPr="00B75FD7" w:rsidRDefault="00E12FDA" w:rsidP="00E12FDA">
            <w:pPr>
              <w:pStyle w:val="a7"/>
              <w:ind w:left="0"/>
              <w:rPr>
                <w:b/>
                <w:sz w:val="22"/>
                <w:lang w:val="ru-RU"/>
              </w:rPr>
            </w:pPr>
          </w:p>
        </w:tc>
        <w:tc>
          <w:tcPr>
            <w:tcW w:w="1257" w:type="dxa"/>
            <w:tcBorders>
              <w:bottom w:val="single" w:sz="4" w:space="0" w:color="auto"/>
              <w:right w:val="single" w:sz="4" w:space="0" w:color="auto"/>
            </w:tcBorders>
            <w:shd w:val="clear" w:color="auto" w:fill="auto"/>
          </w:tcPr>
          <w:p w:rsidR="00E12FDA" w:rsidRPr="00B75FD7" w:rsidRDefault="00E12FDA" w:rsidP="00E12FDA">
            <w:pPr>
              <w:pStyle w:val="a7"/>
              <w:ind w:left="0"/>
              <w:jc w:val="center"/>
              <w:rPr>
                <w:b/>
                <w:sz w:val="22"/>
              </w:rPr>
            </w:pPr>
            <w:r w:rsidRPr="00B75FD7">
              <w:rPr>
                <w:b/>
                <w:sz w:val="22"/>
              </w:rPr>
              <w:t>Державний бюджет</w:t>
            </w:r>
          </w:p>
        </w:tc>
        <w:tc>
          <w:tcPr>
            <w:tcW w:w="1357" w:type="dxa"/>
            <w:gridSpan w:val="2"/>
            <w:tcBorders>
              <w:bottom w:val="single" w:sz="4" w:space="0" w:color="auto"/>
              <w:right w:val="single" w:sz="4" w:space="0" w:color="auto"/>
            </w:tcBorders>
            <w:shd w:val="clear" w:color="auto" w:fill="auto"/>
          </w:tcPr>
          <w:p w:rsidR="00E12FDA" w:rsidRPr="00B75FD7" w:rsidRDefault="00E12FDA" w:rsidP="00E12FDA">
            <w:pPr>
              <w:pStyle w:val="a7"/>
              <w:ind w:left="0"/>
              <w:jc w:val="center"/>
              <w:rPr>
                <w:b/>
                <w:sz w:val="22"/>
              </w:rPr>
            </w:pPr>
            <w:r w:rsidRPr="00B75FD7">
              <w:rPr>
                <w:b/>
                <w:sz w:val="22"/>
              </w:rPr>
              <w:t>Місцевий бюджет</w:t>
            </w:r>
          </w:p>
        </w:tc>
        <w:tc>
          <w:tcPr>
            <w:tcW w:w="2631" w:type="dxa"/>
            <w:gridSpan w:val="3"/>
            <w:tcBorders>
              <w:left w:val="single" w:sz="4" w:space="0" w:color="auto"/>
              <w:bottom w:val="single" w:sz="4" w:space="0" w:color="auto"/>
              <w:right w:val="single" w:sz="4" w:space="0" w:color="auto"/>
            </w:tcBorders>
            <w:shd w:val="clear" w:color="auto" w:fill="auto"/>
          </w:tcPr>
          <w:p w:rsidR="00E12FDA" w:rsidRPr="00B75FD7" w:rsidRDefault="00E12FDA" w:rsidP="00E12FDA">
            <w:pPr>
              <w:pStyle w:val="a7"/>
              <w:ind w:left="0"/>
              <w:jc w:val="center"/>
              <w:rPr>
                <w:b/>
                <w:sz w:val="22"/>
              </w:rPr>
            </w:pPr>
            <w:r w:rsidRPr="00B75FD7">
              <w:rPr>
                <w:b/>
                <w:sz w:val="22"/>
              </w:rPr>
              <w:t>Інші джерела</w:t>
            </w:r>
          </w:p>
        </w:tc>
        <w:tc>
          <w:tcPr>
            <w:tcW w:w="1382" w:type="dxa"/>
            <w:tcBorders>
              <w:left w:val="single" w:sz="4" w:space="0" w:color="auto"/>
              <w:bottom w:val="single" w:sz="4" w:space="0" w:color="auto"/>
            </w:tcBorders>
            <w:shd w:val="clear" w:color="auto" w:fill="auto"/>
          </w:tcPr>
          <w:p w:rsidR="00E12FDA" w:rsidRPr="00B75FD7" w:rsidRDefault="00E12FDA" w:rsidP="00E12FDA">
            <w:pPr>
              <w:pStyle w:val="a7"/>
              <w:ind w:left="0"/>
              <w:jc w:val="center"/>
              <w:rPr>
                <w:b/>
                <w:sz w:val="22"/>
              </w:rPr>
            </w:pPr>
            <w:r w:rsidRPr="00B75FD7">
              <w:rPr>
                <w:b/>
                <w:sz w:val="22"/>
              </w:rPr>
              <w:t>Всього</w:t>
            </w:r>
          </w:p>
        </w:tc>
      </w:tr>
      <w:tr w:rsidR="00E12FDA" w:rsidRPr="00B75FD7" w:rsidTr="00E12FDA">
        <w:trPr>
          <w:trHeight w:val="225"/>
        </w:trPr>
        <w:tc>
          <w:tcPr>
            <w:tcW w:w="3261" w:type="dxa"/>
            <w:vMerge/>
            <w:shd w:val="clear" w:color="auto" w:fill="C6D9F1"/>
          </w:tcPr>
          <w:p w:rsidR="00E12FDA" w:rsidRPr="00B75FD7" w:rsidRDefault="00E12FDA" w:rsidP="00E12FDA">
            <w:pPr>
              <w:pStyle w:val="a7"/>
              <w:ind w:left="0"/>
              <w:rPr>
                <w:b/>
                <w:sz w:val="22"/>
              </w:rPr>
            </w:pPr>
          </w:p>
        </w:tc>
        <w:tc>
          <w:tcPr>
            <w:tcW w:w="1257" w:type="dxa"/>
            <w:vMerge w:val="restart"/>
            <w:tcBorders>
              <w:top w:val="single" w:sz="4" w:space="0" w:color="auto"/>
              <w:right w:val="single" w:sz="4" w:space="0" w:color="auto"/>
            </w:tcBorders>
            <w:shd w:val="clear" w:color="auto" w:fill="auto"/>
          </w:tcPr>
          <w:p w:rsidR="00E12FDA" w:rsidRPr="00B75FD7" w:rsidRDefault="00E12FDA" w:rsidP="00E12FDA">
            <w:pPr>
              <w:pStyle w:val="a7"/>
              <w:ind w:left="0"/>
              <w:jc w:val="center"/>
              <w:rPr>
                <w:sz w:val="22"/>
              </w:rPr>
            </w:pPr>
            <w:r w:rsidRPr="00B75FD7">
              <w:rPr>
                <w:sz w:val="22"/>
              </w:rPr>
              <w:t>629 074,6</w:t>
            </w:r>
          </w:p>
        </w:tc>
        <w:tc>
          <w:tcPr>
            <w:tcW w:w="1357" w:type="dxa"/>
            <w:gridSpan w:val="2"/>
            <w:vMerge w:val="restart"/>
            <w:tcBorders>
              <w:top w:val="single" w:sz="4" w:space="0" w:color="auto"/>
              <w:right w:val="single" w:sz="4" w:space="0" w:color="auto"/>
            </w:tcBorders>
            <w:shd w:val="clear" w:color="auto" w:fill="auto"/>
          </w:tcPr>
          <w:p w:rsidR="00E12FDA" w:rsidRPr="00B75FD7" w:rsidRDefault="00E12FDA" w:rsidP="00E12FDA">
            <w:pPr>
              <w:pStyle w:val="a7"/>
              <w:ind w:left="0"/>
              <w:jc w:val="center"/>
              <w:rPr>
                <w:b/>
                <w:sz w:val="22"/>
              </w:rPr>
            </w:pPr>
            <w:r w:rsidRPr="00B75FD7">
              <w:rPr>
                <w:b/>
                <w:sz w:val="22"/>
              </w:rPr>
              <w:t>-</w:t>
            </w:r>
          </w:p>
        </w:tc>
        <w:tc>
          <w:tcPr>
            <w:tcW w:w="1176" w:type="dxa"/>
            <w:tcBorders>
              <w:top w:val="single" w:sz="4" w:space="0" w:color="auto"/>
              <w:left w:val="single" w:sz="4" w:space="0" w:color="auto"/>
              <w:bottom w:val="single" w:sz="4" w:space="0" w:color="auto"/>
              <w:right w:val="single" w:sz="4" w:space="0" w:color="auto"/>
            </w:tcBorders>
            <w:shd w:val="clear" w:color="auto" w:fill="auto"/>
          </w:tcPr>
          <w:p w:rsidR="00E12FDA" w:rsidRPr="00B75FD7" w:rsidRDefault="00E12FDA" w:rsidP="00E12FDA">
            <w:pPr>
              <w:pStyle w:val="a7"/>
              <w:ind w:left="0"/>
              <w:jc w:val="center"/>
              <w:rPr>
                <w:b/>
                <w:sz w:val="22"/>
              </w:rPr>
            </w:pPr>
            <w:r w:rsidRPr="00B75FD7">
              <w:rPr>
                <w:b/>
                <w:sz w:val="22"/>
              </w:rPr>
              <w:t>Обсяг</w:t>
            </w:r>
          </w:p>
        </w:tc>
        <w:tc>
          <w:tcPr>
            <w:tcW w:w="1455" w:type="dxa"/>
            <w:gridSpan w:val="2"/>
            <w:tcBorders>
              <w:top w:val="single" w:sz="4" w:space="0" w:color="auto"/>
              <w:left w:val="single" w:sz="4" w:space="0" w:color="auto"/>
              <w:bottom w:val="single" w:sz="4" w:space="0" w:color="auto"/>
              <w:right w:val="single" w:sz="4" w:space="0" w:color="auto"/>
            </w:tcBorders>
            <w:shd w:val="clear" w:color="auto" w:fill="auto"/>
          </w:tcPr>
          <w:p w:rsidR="00E12FDA" w:rsidRPr="00B75FD7" w:rsidRDefault="00E12FDA" w:rsidP="00E12FDA">
            <w:pPr>
              <w:pStyle w:val="a7"/>
              <w:ind w:left="0"/>
              <w:jc w:val="center"/>
              <w:rPr>
                <w:b/>
                <w:sz w:val="22"/>
              </w:rPr>
            </w:pPr>
            <w:r w:rsidRPr="00B75FD7">
              <w:rPr>
                <w:b/>
                <w:sz w:val="22"/>
              </w:rPr>
              <w:t>Назва джерела</w:t>
            </w:r>
          </w:p>
        </w:tc>
        <w:tc>
          <w:tcPr>
            <w:tcW w:w="1382" w:type="dxa"/>
            <w:vMerge w:val="restart"/>
            <w:tcBorders>
              <w:top w:val="single" w:sz="4" w:space="0" w:color="auto"/>
              <w:left w:val="single" w:sz="4" w:space="0" w:color="auto"/>
            </w:tcBorders>
            <w:shd w:val="clear" w:color="auto" w:fill="auto"/>
          </w:tcPr>
          <w:p w:rsidR="00E12FDA" w:rsidRPr="00B75FD7" w:rsidRDefault="00E12FDA" w:rsidP="00E12FDA">
            <w:pPr>
              <w:pStyle w:val="a7"/>
              <w:ind w:left="0"/>
              <w:jc w:val="center"/>
              <w:rPr>
                <w:sz w:val="22"/>
              </w:rPr>
            </w:pPr>
          </w:p>
          <w:p w:rsidR="00E12FDA" w:rsidRPr="00B75FD7" w:rsidRDefault="00E12FDA" w:rsidP="00E12FDA">
            <w:pPr>
              <w:pStyle w:val="a7"/>
              <w:ind w:left="0"/>
              <w:jc w:val="center"/>
              <w:rPr>
                <w:sz w:val="22"/>
              </w:rPr>
            </w:pPr>
          </w:p>
          <w:p w:rsidR="00E12FDA" w:rsidRPr="00B75FD7" w:rsidRDefault="00E12FDA" w:rsidP="00E12FDA">
            <w:pPr>
              <w:pStyle w:val="a7"/>
              <w:ind w:left="0"/>
              <w:jc w:val="center"/>
              <w:rPr>
                <w:sz w:val="22"/>
              </w:rPr>
            </w:pPr>
            <w:r w:rsidRPr="00B75FD7">
              <w:rPr>
                <w:sz w:val="22"/>
                <w:lang w:val="ru-RU"/>
              </w:rPr>
              <w:t>898 678,0</w:t>
            </w:r>
          </w:p>
        </w:tc>
      </w:tr>
      <w:tr w:rsidR="00E12FDA" w:rsidRPr="00B75FD7" w:rsidTr="00E12FDA">
        <w:trPr>
          <w:trHeight w:val="300"/>
        </w:trPr>
        <w:tc>
          <w:tcPr>
            <w:tcW w:w="3261" w:type="dxa"/>
            <w:vMerge/>
            <w:shd w:val="clear" w:color="auto" w:fill="C6D9F1"/>
          </w:tcPr>
          <w:p w:rsidR="00E12FDA" w:rsidRPr="00B75FD7" w:rsidRDefault="00E12FDA" w:rsidP="00E12FDA">
            <w:pPr>
              <w:pStyle w:val="a7"/>
              <w:ind w:left="0"/>
              <w:rPr>
                <w:b/>
                <w:sz w:val="22"/>
              </w:rPr>
            </w:pPr>
          </w:p>
        </w:tc>
        <w:tc>
          <w:tcPr>
            <w:tcW w:w="1257" w:type="dxa"/>
            <w:vMerge/>
            <w:tcBorders>
              <w:right w:val="single" w:sz="4" w:space="0" w:color="auto"/>
            </w:tcBorders>
            <w:shd w:val="clear" w:color="auto" w:fill="auto"/>
          </w:tcPr>
          <w:p w:rsidR="00E12FDA" w:rsidRPr="00B75FD7" w:rsidRDefault="00E12FDA" w:rsidP="00E12FDA">
            <w:pPr>
              <w:pStyle w:val="a7"/>
              <w:ind w:left="0"/>
              <w:jc w:val="center"/>
              <w:rPr>
                <w:sz w:val="22"/>
              </w:rPr>
            </w:pPr>
          </w:p>
        </w:tc>
        <w:tc>
          <w:tcPr>
            <w:tcW w:w="1357" w:type="dxa"/>
            <w:gridSpan w:val="2"/>
            <w:vMerge/>
            <w:tcBorders>
              <w:right w:val="single" w:sz="4" w:space="0" w:color="auto"/>
            </w:tcBorders>
            <w:shd w:val="clear" w:color="auto" w:fill="auto"/>
          </w:tcPr>
          <w:p w:rsidR="00E12FDA" w:rsidRPr="00B75FD7" w:rsidRDefault="00E12FDA" w:rsidP="00E12FDA">
            <w:pPr>
              <w:pStyle w:val="a7"/>
              <w:ind w:left="0"/>
              <w:jc w:val="center"/>
              <w:rPr>
                <w:b/>
                <w:sz w:val="22"/>
              </w:rPr>
            </w:pPr>
          </w:p>
        </w:tc>
        <w:tc>
          <w:tcPr>
            <w:tcW w:w="1176" w:type="dxa"/>
            <w:tcBorders>
              <w:top w:val="single" w:sz="4" w:space="0" w:color="auto"/>
              <w:left w:val="single" w:sz="4" w:space="0" w:color="auto"/>
              <w:right w:val="single" w:sz="4" w:space="0" w:color="auto"/>
            </w:tcBorders>
            <w:shd w:val="clear" w:color="auto" w:fill="auto"/>
          </w:tcPr>
          <w:p w:rsidR="00E12FDA" w:rsidRPr="00B75FD7" w:rsidRDefault="00E12FDA" w:rsidP="00E12FDA">
            <w:pPr>
              <w:pStyle w:val="a7"/>
              <w:ind w:left="0"/>
              <w:jc w:val="center"/>
              <w:rPr>
                <w:sz w:val="22"/>
              </w:rPr>
            </w:pPr>
            <w:r w:rsidRPr="00B75FD7">
              <w:rPr>
                <w:sz w:val="22"/>
                <w:lang w:val="ru-RU"/>
              </w:rPr>
              <w:t>269 603,4</w:t>
            </w:r>
          </w:p>
        </w:tc>
        <w:tc>
          <w:tcPr>
            <w:tcW w:w="1455" w:type="dxa"/>
            <w:gridSpan w:val="2"/>
            <w:tcBorders>
              <w:top w:val="single" w:sz="4" w:space="0" w:color="auto"/>
              <w:left w:val="single" w:sz="4" w:space="0" w:color="auto"/>
              <w:right w:val="single" w:sz="4" w:space="0" w:color="auto"/>
            </w:tcBorders>
            <w:shd w:val="clear" w:color="auto" w:fill="auto"/>
          </w:tcPr>
          <w:p w:rsidR="00E12FDA" w:rsidRPr="00B75FD7" w:rsidRDefault="00E12FDA" w:rsidP="00E12FDA">
            <w:pPr>
              <w:pStyle w:val="a7"/>
              <w:ind w:left="0"/>
              <w:jc w:val="center"/>
              <w:rPr>
                <w:sz w:val="22"/>
              </w:rPr>
            </w:pPr>
            <w:r w:rsidRPr="00B75FD7">
              <w:rPr>
                <w:sz w:val="22"/>
              </w:rPr>
              <w:t>Міжнародні інвестиції, кошти приватних осіб</w:t>
            </w:r>
          </w:p>
        </w:tc>
        <w:tc>
          <w:tcPr>
            <w:tcW w:w="1382" w:type="dxa"/>
            <w:vMerge/>
            <w:tcBorders>
              <w:left w:val="single" w:sz="4" w:space="0" w:color="auto"/>
            </w:tcBorders>
            <w:shd w:val="clear" w:color="auto" w:fill="auto"/>
          </w:tcPr>
          <w:p w:rsidR="00E12FDA" w:rsidRPr="00B75FD7" w:rsidRDefault="00E12FDA" w:rsidP="00E12FDA">
            <w:pPr>
              <w:pStyle w:val="a7"/>
              <w:ind w:left="0"/>
              <w:jc w:val="center"/>
              <w:rPr>
                <w:sz w:val="22"/>
              </w:rPr>
            </w:pPr>
          </w:p>
        </w:tc>
      </w:tr>
    </w:tbl>
    <w:p w:rsidR="00E12FDA" w:rsidRPr="00B75FD7" w:rsidRDefault="00E12FDA" w:rsidP="00E95FB1">
      <w:pPr>
        <w:rPr>
          <w:sz w:val="22"/>
        </w:rPr>
      </w:pPr>
    </w:p>
    <w:p w:rsidR="00E12FDA" w:rsidRPr="00B75FD7" w:rsidRDefault="00E12FDA" w:rsidP="00E95FB1">
      <w:pPr>
        <w:rPr>
          <w:sz w:val="22"/>
        </w:rPr>
      </w:pPr>
    </w:p>
    <w:p w:rsidR="00E12FDA" w:rsidRPr="00B75FD7" w:rsidRDefault="00E12FDA" w:rsidP="00E95FB1">
      <w:pPr>
        <w:rPr>
          <w:sz w:val="22"/>
        </w:rPr>
      </w:pPr>
    </w:p>
    <w:p w:rsidR="00E12FDA" w:rsidRPr="00B75FD7" w:rsidRDefault="00E12FDA" w:rsidP="00E95FB1">
      <w:pPr>
        <w:rPr>
          <w:sz w:val="22"/>
        </w:rPr>
      </w:pPr>
    </w:p>
    <w:p w:rsidR="00E12FDA" w:rsidRPr="00B75FD7" w:rsidRDefault="00E12FDA" w:rsidP="00E95FB1">
      <w:pPr>
        <w:rPr>
          <w:sz w:val="22"/>
        </w:rPr>
      </w:pPr>
    </w:p>
    <w:p w:rsidR="00E12FDA" w:rsidRPr="00B75FD7" w:rsidRDefault="00E12FDA" w:rsidP="00E95FB1">
      <w:pPr>
        <w:rPr>
          <w:sz w:val="22"/>
        </w:rPr>
        <w:sectPr w:rsidR="00E12FDA" w:rsidRPr="00B75FD7" w:rsidSect="009D4671">
          <w:pgSz w:w="11906" w:h="16838"/>
          <w:pgMar w:top="1134" w:right="709" w:bottom="907" w:left="1701" w:header="284" w:footer="788" w:gutter="0"/>
          <w:cols w:space="720"/>
          <w:titlePg/>
          <w:docGrid w:linePitch="360"/>
        </w:sect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5"/>
        <w:gridCol w:w="1499"/>
        <w:gridCol w:w="469"/>
        <w:gridCol w:w="882"/>
        <w:gridCol w:w="1056"/>
        <w:gridCol w:w="486"/>
        <w:gridCol w:w="957"/>
        <w:gridCol w:w="1348"/>
      </w:tblGrid>
      <w:tr w:rsidR="00E12FDA" w:rsidRPr="00B75FD7" w:rsidTr="00E12FDA">
        <w:tc>
          <w:tcPr>
            <w:tcW w:w="3132" w:type="dxa"/>
            <w:shd w:val="clear" w:color="auto" w:fill="C6D9F1"/>
          </w:tcPr>
          <w:p w:rsidR="00E12FDA" w:rsidRPr="00B75FD7" w:rsidRDefault="00E12FDA" w:rsidP="00E12FDA">
            <w:pPr>
              <w:pStyle w:val="a7"/>
              <w:ind w:left="0"/>
              <w:rPr>
                <w:b/>
                <w:sz w:val="22"/>
              </w:rPr>
            </w:pPr>
            <w:r w:rsidRPr="00B75FD7">
              <w:rPr>
                <w:b/>
                <w:sz w:val="22"/>
              </w:rPr>
              <w:lastRenderedPageBreak/>
              <w:t>Оперативна ціль/завдання</w:t>
            </w:r>
          </w:p>
        </w:tc>
        <w:tc>
          <w:tcPr>
            <w:tcW w:w="6756" w:type="dxa"/>
            <w:gridSpan w:val="7"/>
            <w:shd w:val="clear" w:color="auto" w:fill="auto"/>
          </w:tcPr>
          <w:p w:rsidR="00E12FDA" w:rsidRPr="00B75FD7" w:rsidRDefault="00E12FDA" w:rsidP="00E12FDA">
            <w:pPr>
              <w:pStyle w:val="a7"/>
              <w:ind w:left="0"/>
              <w:rPr>
                <w:b/>
                <w:sz w:val="22"/>
                <w:lang w:val="ru-RU"/>
              </w:rPr>
            </w:pPr>
            <w:r w:rsidRPr="00B75FD7">
              <w:rPr>
                <w:rFonts w:eastAsia="Arial"/>
                <w:sz w:val="22"/>
              </w:rPr>
              <w:t>Комфорт життя ЛЮДИНИ як безпека, екологічна сталість та розумна енергетика. Енергоефективна політика та інфраструктура</w:t>
            </w:r>
            <w:r w:rsidRPr="00B75FD7">
              <w:rPr>
                <w:b/>
                <w:sz w:val="22"/>
                <w:lang w:val="ru-RU"/>
              </w:rPr>
              <w:t xml:space="preserve"> </w:t>
            </w:r>
          </w:p>
        </w:tc>
      </w:tr>
      <w:tr w:rsidR="00E12FDA" w:rsidRPr="00B75FD7" w:rsidTr="00E12FDA">
        <w:tc>
          <w:tcPr>
            <w:tcW w:w="3132" w:type="dxa"/>
            <w:shd w:val="clear" w:color="auto" w:fill="C6D9F1"/>
          </w:tcPr>
          <w:p w:rsidR="00E12FDA" w:rsidRPr="00B75FD7" w:rsidRDefault="00E12FDA" w:rsidP="00E12FDA">
            <w:pPr>
              <w:pStyle w:val="a7"/>
              <w:ind w:left="0"/>
              <w:rPr>
                <w:b/>
                <w:sz w:val="22"/>
              </w:rPr>
            </w:pPr>
            <w:r w:rsidRPr="00B75FD7">
              <w:rPr>
                <w:b/>
                <w:sz w:val="22"/>
              </w:rPr>
              <w:t>Назва проекту:</w:t>
            </w:r>
          </w:p>
        </w:tc>
        <w:tc>
          <w:tcPr>
            <w:tcW w:w="6756" w:type="dxa"/>
            <w:gridSpan w:val="7"/>
            <w:shd w:val="clear" w:color="auto" w:fill="auto"/>
          </w:tcPr>
          <w:p w:rsidR="00E12FDA" w:rsidRPr="00B75FD7" w:rsidRDefault="00E12FDA" w:rsidP="00E12FDA">
            <w:pPr>
              <w:pStyle w:val="a7"/>
              <w:ind w:left="0"/>
              <w:rPr>
                <w:sz w:val="22"/>
              </w:rPr>
            </w:pPr>
            <w:r w:rsidRPr="00B75FD7">
              <w:rPr>
                <w:sz w:val="22"/>
              </w:rPr>
              <w:t xml:space="preserve">Відновлення діяльності Асоціації об’єднань співвласників багатоквартирних будинків «ФАВОРИТ» </w:t>
            </w:r>
          </w:p>
        </w:tc>
      </w:tr>
      <w:tr w:rsidR="00E12FDA" w:rsidRPr="00B75FD7" w:rsidTr="00E12FDA">
        <w:tc>
          <w:tcPr>
            <w:tcW w:w="3132" w:type="dxa"/>
            <w:shd w:val="clear" w:color="auto" w:fill="C6D9F1"/>
          </w:tcPr>
          <w:p w:rsidR="00E12FDA" w:rsidRPr="00B75FD7" w:rsidRDefault="00E12FDA" w:rsidP="00E12FDA">
            <w:pPr>
              <w:rPr>
                <w:b/>
                <w:sz w:val="22"/>
              </w:rPr>
            </w:pPr>
            <w:r w:rsidRPr="00B75FD7">
              <w:rPr>
                <w:b/>
                <w:sz w:val="22"/>
              </w:rPr>
              <w:t>Ціль проекту</w:t>
            </w:r>
          </w:p>
        </w:tc>
        <w:tc>
          <w:tcPr>
            <w:tcW w:w="6756" w:type="dxa"/>
            <w:gridSpan w:val="7"/>
            <w:shd w:val="clear" w:color="auto" w:fill="auto"/>
          </w:tcPr>
          <w:p w:rsidR="00E12FDA" w:rsidRPr="00B75FD7" w:rsidRDefault="00E12FDA" w:rsidP="00E12FDA">
            <w:pPr>
              <w:pStyle w:val="a7"/>
              <w:ind w:left="0"/>
              <w:rPr>
                <w:sz w:val="22"/>
              </w:rPr>
            </w:pPr>
            <w:r w:rsidRPr="00B75FD7">
              <w:rPr>
                <w:sz w:val="22"/>
              </w:rPr>
              <w:t>Надання можливості співвласникам ОСББ м. Сєвєродонецька, які обслуговує Асоціація об’єднань співвласників багатоквартирних будинків «ФАВОРИТ» безпечно повернутись до своїх осель. Відновлення роботи АОСББ «Фаворит» для надання широкого спектру послуг, пов’язаних із управлінням багатоквартирними будинками (обслуговуванням будинків та прибудинкової території),  задоволення потреб мешканців будинків Сєвєродонецької міської територіальної громади в яких створені ОСББ та сталого розвитку громади.</w:t>
            </w:r>
          </w:p>
        </w:tc>
      </w:tr>
      <w:tr w:rsidR="00E12FDA" w:rsidRPr="00B75FD7" w:rsidTr="00E12FDA">
        <w:tc>
          <w:tcPr>
            <w:tcW w:w="3132" w:type="dxa"/>
            <w:shd w:val="clear" w:color="auto" w:fill="C6D9F1"/>
          </w:tcPr>
          <w:p w:rsidR="00E12FDA" w:rsidRPr="00B75FD7" w:rsidRDefault="00E12FDA" w:rsidP="00E12FDA">
            <w:pPr>
              <w:pStyle w:val="a7"/>
              <w:ind w:left="0"/>
              <w:rPr>
                <w:b/>
                <w:sz w:val="22"/>
              </w:rPr>
            </w:pPr>
            <w:r w:rsidRPr="00B75FD7">
              <w:rPr>
                <w:b/>
                <w:sz w:val="22"/>
              </w:rPr>
              <w:t>Територія, на яку матиме вплив реалізація проекту</w:t>
            </w:r>
          </w:p>
        </w:tc>
        <w:tc>
          <w:tcPr>
            <w:tcW w:w="6756" w:type="dxa"/>
            <w:gridSpan w:val="7"/>
            <w:shd w:val="clear" w:color="auto" w:fill="auto"/>
          </w:tcPr>
          <w:p w:rsidR="00E12FDA" w:rsidRPr="00B75FD7" w:rsidRDefault="00E12FDA" w:rsidP="00E12FDA">
            <w:pPr>
              <w:pStyle w:val="a7"/>
              <w:ind w:left="0"/>
              <w:jc w:val="left"/>
              <w:rPr>
                <w:sz w:val="22"/>
              </w:rPr>
            </w:pPr>
            <w:r w:rsidRPr="00B75FD7">
              <w:rPr>
                <w:sz w:val="22"/>
              </w:rPr>
              <w:t>Сєвєродонецька міська територіальна громада</w:t>
            </w:r>
            <w:r w:rsidRPr="00B75FD7">
              <w:rPr>
                <w:sz w:val="22"/>
              </w:rPr>
              <w:br/>
              <w:t xml:space="preserve">м. Сєвєродонецьк, будинки за </w:t>
            </w:r>
            <w:proofErr w:type="spellStart"/>
            <w:r w:rsidRPr="00B75FD7">
              <w:rPr>
                <w:sz w:val="22"/>
              </w:rPr>
              <w:t>адресою</w:t>
            </w:r>
            <w:proofErr w:type="spellEnd"/>
            <w:r w:rsidRPr="00B75FD7">
              <w:rPr>
                <w:sz w:val="22"/>
              </w:rPr>
              <w:t>:</w:t>
            </w:r>
            <w:r w:rsidRPr="00B75FD7">
              <w:rPr>
                <w:sz w:val="22"/>
              </w:rPr>
              <w:br/>
              <w:t>вул. Курчатова, буд. 7</w:t>
            </w:r>
            <w:r w:rsidRPr="00B75FD7">
              <w:rPr>
                <w:sz w:val="22"/>
              </w:rPr>
              <w:br/>
              <w:t>вул. Курчатова, буд. 7А</w:t>
            </w:r>
            <w:r w:rsidRPr="00B75FD7">
              <w:rPr>
                <w:sz w:val="22"/>
              </w:rPr>
              <w:br/>
              <w:t>вул. Курчатова, буд. 9</w:t>
            </w:r>
            <w:r w:rsidRPr="00B75FD7">
              <w:rPr>
                <w:sz w:val="22"/>
              </w:rPr>
              <w:br/>
              <w:t>вул. Курчатова, буд. 15</w:t>
            </w:r>
            <w:r w:rsidRPr="00B75FD7">
              <w:rPr>
                <w:sz w:val="22"/>
              </w:rPr>
              <w:br/>
              <w:t>вул. Гагаріна, буд. 108</w:t>
            </w:r>
            <w:r w:rsidRPr="00B75FD7">
              <w:rPr>
                <w:sz w:val="22"/>
              </w:rPr>
              <w:br/>
              <w:t>вул. Гагаріна, буд. 117А</w:t>
            </w:r>
            <w:r w:rsidRPr="00B75FD7">
              <w:rPr>
                <w:sz w:val="22"/>
              </w:rPr>
              <w:br/>
              <w:t>пр. Гвардійський, буд. 48</w:t>
            </w:r>
            <w:r w:rsidRPr="00B75FD7">
              <w:rPr>
                <w:sz w:val="22"/>
              </w:rPr>
              <w:br/>
              <w:t>пр. Гвардійський, буд. 71</w:t>
            </w:r>
          </w:p>
        </w:tc>
      </w:tr>
      <w:tr w:rsidR="00E12FDA" w:rsidRPr="00B75FD7" w:rsidTr="00E12FDA">
        <w:tc>
          <w:tcPr>
            <w:tcW w:w="3132" w:type="dxa"/>
            <w:shd w:val="clear" w:color="auto" w:fill="C6D9F1"/>
          </w:tcPr>
          <w:p w:rsidR="00E12FDA" w:rsidRPr="00B75FD7" w:rsidRDefault="00E12FDA" w:rsidP="00E12FDA">
            <w:pPr>
              <w:pStyle w:val="a7"/>
              <w:ind w:left="0"/>
              <w:rPr>
                <w:b/>
                <w:sz w:val="22"/>
              </w:rPr>
            </w:pPr>
            <w:r w:rsidRPr="00B75FD7">
              <w:rPr>
                <w:b/>
                <w:sz w:val="22"/>
              </w:rPr>
              <w:t>Чисельність населення</w:t>
            </w:r>
            <w:r w:rsidRPr="00B75FD7">
              <w:rPr>
                <w:b/>
                <w:sz w:val="22"/>
                <w:lang w:val="ru-RU"/>
              </w:rPr>
              <w:t>,</w:t>
            </w:r>
            <w:r w:rsidRPr="00B75FD7">
              <w:rPr>
                <w:b/>
                <w:sz w:val="22"/>
              </w:rPr>
              <w:t xml:space="preserve"> на яке матиме вплив реалізація проекту</w:t>
            </w:r>
          </w:p>
        </w:tc>
        <w:tc>
          <w:tcPr>
            <w:tcW w:w="6756" w:type="dxa"/>
            <w:gridSpan w:val="7"/>
            <w:shd w:val="clear" w:color="auto" w:fill="auto"/>
          </w:tcPr>
          <w:p w:rsidR="00E12FDA" w:rsidRPr="00B75FD7" w:rsidRDefault="00E12FDA" w:rsidP="00E12FDA">
            <w:pPr>
              <w:pStyle w:val="a7"/>
              <w:ind w:left="0"/>
              <w:rPr>
                <w:sz w:val="22"/>
              </w:rPr>
            </w:pPr>
            <w:r w:rsidRPr="00B75FD7">
              <w:rPr>
                <w:sz w:val="22"/>
              </w:rPr>
              <w:t xml:space="preserve"> 5 000  осіб</w:t>
            </w:r>
          </w:p>
        </w:tc>
      </w:tr>
      <w:tr w:rsidR="00E12FDA" w:rsidRPr="00B75FD7" w:rsidTr="00E12FDA">
        <w:tc>
          <w:tcPr>
            <w:tcW w:w="3132" w:type="dxa"/>
            <w:shd w:val="clear" w:color="auto" w:fill="C6D9F1"/>
          </w:tcPr>
          <w:p w:rsidR="00E12FDA" w:rsidRPr="00B75FD7" w:rsidRDefault="00E12FDA" w:rsidP="00E12FDA">
            <w:pPr>
              <w:rPr>
                <w:b/>
                <w:sz w:val="22"/>
                <w:lang w:val="ru-RU"/>
              </w:rPr>
            </w:pPr>
            <w:r w:rsidRPr="00B75FD7">
              <w:rPr>
                <w:b/>
                <w:sz w:val="22"/>
              </w:rPr>
              <w:t>Опис проблеми, на вирішення якої  спрямований проект</w:t>
            </w:r>
          </w:p>
        </w:tc>
        <w:tc>
          <w:tcPr>
            <w:tcW w:w="6756" w:type="dxa"/>
            <w:gridSpan w:val="7"/>
            <w:shd w:val="clear" w:color="auto" w:fill="auto"/>
          </w:tcPr>
          <w:p w:rsidR="00E12FDA" w:rsidRPr="00B75FD7" w:rsidRDefault="00E12FDA" w:rsidP="00E12FDA">
            <w:pPr>
              <w:ind w:firstLine="708"/>
              <w:rPr>
                <w:sz w:val="22"/>
                <w:lang w:val="ru-RU"/>
              </w:rPr>
            </w:pPr>
            <w:r w:rsidRPr="00B75FD7">
              <w:rPr>
                <w:sz w:val="22"/>
              </w:rPr>
              <w:t xml:space="preserve">Через військову агресію РФ територія Сєвєродонецької міської територіальної громади зазнала значних пошкоджень. </w:t>
            </w:r>
            <w:r w:rsidRPr="00B75FD7">
              <w:rPr>
                <w:sz w:val="22"/>
                <w:lang w:val="ru-RU"/>
              </w:rPr>
              <w:t xml:space="preserve">Не </w:t>
            </w:r>
            <w:proofErr w:type="spellStart"/>
            <w:r w:rsidRPr="00B75FD7">
              <w:rPr>
                <w:sz w:val="22"/>
                <w:lang w:val="ru-RU"/>
              </w:rPr>
              <w:t>оминуло</w:t>
            </w:r>
            <w:proofErr w:type="spellEnd"/>
            <w:r w:rsidRPr="00B75FD7">
              <w:rPr>
                <w:sz w:val="22"/>
                <w:lang w:val="ru-RU"/>
              </w:rPr>
              <w:t xml:space="preserve"> </w:t>
            </w:r>
            <w:proofErr w:type="spellStart"/>
            <w:r w:rsidRPr="00B75FD7">
              <w:rPr>
                <w:sz w:val="22"/>
                <w:lang w:val="ru-RU"/>
              </w:rPr>
              <w:t>це</w:t>
            </w:r>
            <w:proofErr w:type="spellEnd"/>
            <w:r w:rsidRPr="00B75FD7">
              <w:rPr>
                <w:sz w:val="22"/>
                <w:lang w:val="ru-RU"/>
              </w:rPr>
              <w:t xml:space="preserve"> і </w:t>
            </w:r>
            <w:r w:rsidRPr="00B75FD7">
              <w:rPr>
                <w:sz w:val="22"/>
              </w:rPr>
              <w:t>АОСББ «ФАВОРИТ» та співвласників ОСББ м. Сєвєродонецьк.</w:t>
            </w:r>
          </w:p>
          <w:p w:rsidR="00E12FDA" w:rsidRPr="00B75FD7" w:rsidRDefault="00E12FDA" w:rsidP="00E12FDA">
            <w:pPr>
              <w:ind w:firstLine="708"/>
              <w:rPr>
                <w:sz w:val="22"/>
              </w:rPr>
            </w:pPr>
            <w:r w:rsidRPr="00B75FD7">
              <w:rPr>
                <w:sz w:val="22"/>
              </w:rPr>
              <w:t>Вся матеріально-технічна база підприємства, зокрема:</w:t>
            </w:r>
          </w:p>
          <w:p w:rsidR="00E12FDA" w:rsidRPr="00B75FD7" w:rsidRDefault="00E12FDA" w:rsidP="000303D7">
            <w:pPr>
              <w:numPr>
                <w:ilvl w:val="0"/>
                <w:numId w:val="9"/>
              </w:numPr>
              <w:rPr>
                <w:sz w:val="22"/>
              </w:rPr>
            </w:pPr>
            <w:r w:rsidRPr="00B75FD7">
              <w:rPr>
                <w:sz w:val="22"/>
              </w:rPr>
              <w:t>Обладнання (ліфти, лічильники тепла);</w:t>
            </w:r>
          </w:p>
          <w:p w:rsidR="00E12FDA" w:rsidRPr="00B75FD7" w:rsidRDefault="00E12FDA" w:rsidP="000303D7">
            <w:pPr>
              <w:numPr>
                <w:ilvl w:val="0"/>
                <w:numId w:val="9"/>
              </w:numPr>
              <w:rPr>
                <w:sz w:val="22"/>
              </w:rPr>
            </w:pPr>
            <w:r w:rsidRPr="00B75FD7">
              <w:rPr>
                <w:sz w:val="22"/>
              </w:rPr>
              <w:t>обчислювальна техніка із відповідним програмним забезпеченням;</w:t>
            </w:r>
          </w:p>
          <w:p w:rsidR="00E12FDA" w:rsidRPr="00B75FD7" w:rsidRDefault="00E12FDA" w:rsidP="000303D7">
            <w:pPr>
              <w:numPr>
                <w:ilvl w:val="0"/>
                <w:numId w:val="9"/>
              </w:numPr>
              <w:rPr>
                <w:sz w:val="22"/>
              </w:rPr>
            </w:pPr>
            <w:r w:rsidRPr="00B75FD7">
              <w:rPr>
                <w:sz w:val="22"/>
              </w:rPr>
              <w:t>інша оргтехніка (монітори, принтери, сканери тощо);</w:t>
            </w:r>
          </w:p>
          <w:p w:rsidR="00E12FDA" w:rsidRPr="00B75FD7" w:rsidRDefault="00E12FDA" w:rsidP="000303D7">
            <w:pPr>
              <w:pStyle w:val="13"/>
              <w:numPr>
                <w:ilvl w:val="0"/>
                <w:numId w:val="9"/>
              </w:numPr>
              <w:jc w:val="both"/>
              <w:rPr>
                <w:sz w:val="22"/>
                <w:lang w:val="uk-UA"/>
              </w:rPr>
            </w:pPr>
            <w:r w:rsidRPr="00B75FD7">
              <w:rPr>
                <w:sz w:val="22"/>
                <w:lang w:val="uk-UA"/>
              </w:rPr>
              <w:t xml:space="preserve">основні засоби (компресори, перфоратори, інвертори, </w:t>
            </w:r>
            <w:proofErr w:type="spellStart"/>
            <w:r w:rsidRPr="00B75FD7">
              <w:rPr>
                <w:sz w:val="22"/>
                <w:lang w:val="uk-UA"/>
              </w:rPr>
              <w:t>дрелі</w:t>
            </w:r>
            <w:proofErr w:type="spellEnd"/>
            <w:r w:rsidRPr="00B75FD7">
              <w:rPr>
                <w:sz w:val="22"/>
                <w:lang w:val="uk-UA"/>
              </w:rPr>
              <w:t>, шуруповерти, верстати та ін.) були знищені або викрадені.</w:t>
            </w:r>
          </w:p>
          <w:p w:rsidR="00E12FDA" w:rsidRPr="00B75FD7" w:rsidRDefault="00E12FDA" w:rsidP="00E12FDA">
            <w:pPr>
              <w:pStyle w:val="13"/>
              <w:jc w:val="both"/>
              <w:rPr>
                <w:sz w:val="22"/>
                <w:lang w:val="uk-UA"/>
              </w:rPr>
            </w:pPr>
            <w:r w:rsidRPr="00B75FD7">
              <w:rPr>
                <w:rFonts w:eastAsia="Arial"/>
                <w:sz w:val="22"/>
                <w:lang w:val="uk-UA"/>
              </w:rPr>
              <w:t xml:space="preserve">         Значної шкоди зазнали багатоквартирні будинки – покрівлі, мережі опалення та водопостачання, вікна у місцях загального користування.</w:t>
            </w:r>
          </w:p>
        </w:tc>
      </w:tr>
      <w:tr w:rsidR="00E12FDA" w:rsidRPr="00B75FD7" w:rsidTr="00E12FDA">
        <w:tc>
          <w:tcPr>
            <w:tcW w:w="3132" w:type="dxa"/>
            <w:shd w:val="clear" w:color="auto" w:fill="C6D9F1"/>
          </w:tcPr>
          <w:p w:rsidR="00E12FDA" w:rsidRPr="00B75FD7" w:rsidRDefault="00E12FDA" w:rsidP="00E12FDA">
            <w:pPr>
              <w:pStyle w:val="a7"/>
              <w:ind w:left="0"/>
              <w:rPr>
                <w:b/>
                <w:sz w:val="22"/>
              </w:rPr>
            </w:pPr>
            <w:r w:rsidRPr="00B75FD7">
              <w:rPr>
                <w:b/>
                <w:sz w:val="22"/>
              </w:rPr>
              <w:t>Очікувані якісні результати від реалізації проекту</w:t>
            </w:r>
          </w:p>
        </w:tc>
        <w:tc>
          <w:tcPr>
            <w:tcW w:w="6756" w:type="dxa"/>
            <w:gridSpan w:val="7"/>
            <w:shd w:val="clear" w:color="auto" w:fill="auto"/>
          </w:tcPr>
          <w:p w:rsidR="00E12FDA" w:rsidRPr="00B75FD7" w:rsidRDefault="00E12FDA" w:rsidP="00E12FDA">
            <w:pPr>
              <w:pStyle w:val="a7"/>
              <w:ind w:left="0"/>
              <w:rPr>
                <w:sz w:val="22"/>
              </w:rPr>
            </w:pPr>
            <w:r w:rsidRPr="00B75FD7">
              <w:rPr>
                <w:sz w:val="22"/>
              </w:rPr>
              <w:t>- забезпечення населення можливостями для реалізації його конституційних прав</w:t>
            </w:r>
            <w:r w:rsidRPr="00B75FD7">
              <w:rPr>
                <w:sz w:val="22"/>
                <w:lang w:val="ru-RU"/>
              </w:rPr>
              <w:t xml:space="preserve">, </w:t>
            </w:r>
            <w:proofErr w:type="spellStart"/>
            <w:r w:rsidRPr="00B75FD7">
              <w:rPr>
                <w:sz w:val="22"/>
              </w:rPr>
              <w:t>пов</w:t>
            </w:r>
            <w:proofErr w:type="spellEnd"/>
            <w:r w:rsidRPr="00B75FD7">
              <w:rPr>
                <w:sz w:val="22"/>
                <w:lang w:val="ru-RU"/>
              </w:rPr>
              <w:t>’</w:t>
            </w:r>
            <w:proofErr w:type="spellStart"/>
            <w:r w:rsidRPr="00B75FD7">
              <w:rPr>
                <w:sz w:val="22"/>
              </w:rPr>
              <w:t>язаних</w:t>
            </w:r>
            <w:proofErr w:type="spellEnd"/>
            <w:r w:rsidRPr="00B75FD7">
              <w:rPr>
                <w:sz w:val="22"/>
              </w:rPr>
              <w:t xml:space="preserve"> із правом володіння та користування житлом, підтримання сприятливих умов для проживання;</w:t>
            </w:r>
          </w:p>
          <w:p w:rsidR="00E12FDA" w:rsidRPr="00B75FD7" w:rsidRDefault="00E12FDA" w:rsidP="00E12FDA">
            <w:pPr>
              <w:pStyle w:val="a7"/>
              <w:ind w:left="0"/>
              <w:rPr>
                <w:sz w:val="22"/>
              </w:rPr>
            </w:pPr>
            <w:r w:rsidRPr="00B75FD7">
              <w:rPr>
                <w:sz w:val="22"/>
              </w:rPr>
              <w:t xml:space="preserve">- надання широкого спектру послуг, </w:t>
            </w:r>
            <w:proofErr w:type="spellStart"/>
            <w:r w:rsidRPr="00B75FD7">
              <w:rPr>
                <w:sz w:val="22"/>
              </w:rPr>
              <w:t>пов</w:t>
            </w:r>
            <w:proofErr w:type="spellEnd"/>
            <w:r w:rsidRPr="00B75FD7">
              <w:rPr>
                <w:sz w:val="22"/>
                <w:lang w:val="ru-RU"/>
              </w:rPr>
              <w:t>’</w:t>
            </w:r>
            <w:proofErr w:type="spellStart"/>
            <w:r w:rsidRPr="00B75FD7">
              <w:rPr>
                <w:sz w:val="22"/>
              </w:rPr>
              <w:t>язаних</w:t>
            </w:r>
            <w:proofErr w:type="spellEnd"/>
            <w:r w:rsidRPr="00B75FD7">
              <w:rPr>
                <w:sz w:val="22"/>
              </w:rPr>
              <w:t xml:space="preserve"> із управлінням багатоквартирними будинками ( обслуговуванням будинків та прибудинкової території);</w:t>
            </w:r>
          </w:p>
          <w:p w:rsidR="00E12FDA" w:rsidRPr="00B75FD7" w:rsidRDefault="00E12FDA" w:rsidP="00E12FDA">
            <w:pPr>
              <w:pStyle w:val="a7"/>
              <w:ind w:left="0"/>
              <w:rPr>
                <w:sz w:val="22"/>
              </w:rPr>
            </w:pPr>
            <w:r w:rsidRPr="00B75FD7">
              <w:rPr>
                <w:sz w:val="22"/>
              </w:rPr>
              <w:t xml:space="preserve">- вирішення ряду питань в межах статутної діяльності, </w:t>
            </w:r>
            <w:proofErr w:type="spellStart"/>
            <w:r w:rsidRPr="00B75FD7">
              <w:rPr>
                <w:sz w:val="22"/>
              </w:rPr>
              <w:t>пов</w:t>
            </w:r>
            <w:proofErr w:type="spellEnd"/>
            <w:r w:rsidRPr="00B75FD7">
              <w:rPr>
                <w:sz w:val="22"/>
                <w:lang w:val="ru-RU"/>
              </w:rPr>
              <w:t>’</w:t>
            </w:r>
            <w:proofErr w:type="spellStart"/>
            <w:r w:rsidRPr="00B75FD7">
              <w:rPr>
                <w:sz w:val="22"/>
              </w:rPr>
              <w:t>язаних</w:t>
            </w:r>
            <w:proofErr w:type="spellEnd"/>
            <w:r w:rsidRPr="00B75FD7">
              <w:rPr>
                <w:sz w:val="22"/>
              </w:rPr>
              <w:t xml:space="preserve"> із відбудовою та сталим розвитком;</w:t>
            </w:r>
          </w:p>
          <w:p w:rsidR="00E12FDA" w:rsidRPr="00B75FD7" w:rsidRDefault="00E12FDA" w:rsidP="00E12FDA">
            <w:pPr>
              <w:pStyle w:val="a7"/>
              <w:ind w:left="0"/>
              <w:rPr>
                <w:sz w:val="22"/>
              </w:rPr>
            </w:pPr>
            <w:r w:rsidRPr="00B75FD7">
              <w:rPr>
                <w:sz w:val="22"/>
              </w:rPr>
              <w:t>- створення нових робочих місць;</w:t>
            </w:r>
          </w:p>
          <w:p w:rsidR="00E12FDA" w:rsidRPr="00B75FD7" w:rsidRDefault="00E12FDA" w:rsidP="00E12FDA">
            <w:pPr>
              <w:pStyle w:val="a7"/>
              <w:ind w:left="0"/>
              <w:rPr>
                <w:sz w:val="22"/>
              </w:rPr>
            </w:pPr>
            <w:r w:rsidRPr="00B75FD7">
              <w:rPr>
                <w:sz w:val="22"/>
              </w:rPr>
              <w:t>- стимул до повернення ВПО до громади.</w:t>
            </w:r>
          </w:p>
        </w:tc>
      </w:tr>
      <w:tr w:rsidR="00E12FDA" w:rsidRPr="00B75FD7" w:rsidTr="00E12FDA">
        <w:trPr>
          <w:trHeight w:val="390"/>
        </w:trPr>
        <w:tc>
          <w:tcPr>
            <w:tcW w:w="3132" w:type="dxa"/>
            <w:vMerge w:val="restart"/>
            <w:shd w:val="clear" w:color="auto" w:fill="C6D9F1"/>
          </w:tcPr>
          <w:p w:rsidR="00E12FDA" w:rsidRPr="00B75FD7" w:rsidRDefault="00E12FDA" w:rsidP="00E12FDA">
            <w:pPr>
              <w:pStyle w:val="a7"/>
              <w:ind w:left="0"/>
              <w:rPr>
                <w:b/>
                <w:sz w:val="22"/>
              </w:rPr>
            </w:pPr>
            <w:r w:rsidRPr="00B75FD7">
              <w:rPr>
                <w:b/>
                <w:sz w:val="22"/>
              </w:rPr>
              <w:t xml:space="preserve">Очікувані кількісні результати реалізації </w:t>
            </w:r>
            <w:proofErr w:type="spellStart"/>
            <w:r w:rsidRPr="00B75FD7">
              <w:rPr>
                <w:b/>
                <w:sz w:val="22"/>
              </w:rPr>
              <w:t>проєкту</w:t>
            </w:r>
            <w:proofErr w:type="spellEnd"/>
            <w:r w:rsidRPr="00B75FD7">
              <w:rPr>
                <w:b/>
                <w:sz w:val="22"/>
              </w:rPr>
              <w:t xml:space="preserve"> (індикатори)</w:t>
            </w:r>
          </w:p>
          <w:p w:rsidR="00E12FDA" w:rsidRPr="00B75FD7" w:rsidRDefault="00E12FDA" w:rsidP="00E12FDA">
            <w:pPr>
              <w:pStyle w:val="a7"/>
              <w:ind w:left="0"/>
              <w:rPr>
                <w:b/>
                <w:sz w:val="22"/>
              </w:rPr>
            </w:pPr>
          </w:p>
        </w:tc>
        <w:tc>
          <w:tcPr>
            <w:tcW w:w="1978" w:type="dxa"/>
            <w:gridSpan w:val="2"/>
            <w:tcBorders>
              <w:bottom w:val="single" w:sz="4" w:space="0" w:color="auto"/>
              <w:right w:val="single" w:sz="4" w:space="0" w:color="auto"/>
            </w:tcBorders>
            <w:shd w:val="clear" w:color="auto" w:fill="auto"/>
          </w:tcPr>
          <w:p w:rsidR="00E12FDA" w:rsidRPr="00B75FD7" w:rsidRDefault="00E12FDA" w:rsidP="00E12FDA">
            <w:pPr>
              <w:pStyle w:val="a7"/>
              <w:ind w:left="-108"/>
              <w:jc w:val="center"/>
              <w:rPr>
                <w:b/>
                <w:sz w:val="22"/>
              </w:rPr>
            </w:pPr>
            <w:r w:rsidRPr="00B75FD7">
              <w:rPr>
                <w:b/>
                <w:sz w:val="22"/>
              </w:rPr>
              <w:lastRenderedPageBreak/>
              <w:t>Найменування показника</w:t>
            </w:r>
          </w:p>
        </w:tc>
        <w:tc>
          <w:tcPr>
            <w:tcW w:w="2436" w:type="dxa"/>
            <w:gridSpan w:val="3"/>
            <w:tcBorders>
              <w:left w:val="single" w:sz="4" w:space="0" w:color="auto"/>
              <w:bottom w:val="single" w:sz="4" w:space="0" w:color="auto"/>
              <w:right w:val="single" w:sz="4" w:space="0" w:color="auto"/>
            </w:tcBorders>
            <w:shd w:val="clear" w:color="auto" w:fill="auto"/>
          </w:tcPr>
          <w:p w:rsidR="00E12FDA" w:rsidRPr="00B75FD7" w:rsidRDefault="00E12FDA" w:rsidP="00E12FDA">
            <w:pPr>
              <w:pStyle w:val="a7"/>
              <w:ind w:left="0"/>
              <w:jc w:val="center"/>
              <w:rPr>
                <w:b/>
                <w:sz w:val="22"/>
                <w:lang w:val="ru-RU"/>
              </w:rPr>
            </w:pPr>
            <w:r w:rsidRPr="00B75FD7">
              <w:rPr>
                <w:b/>
                <w:sz w:val="22"/>
              </w:rPr>
              <w:t>Одиниця вимірювання</w:t>
            </w:r>
          </w:p>
          <w:p w:rsidR="00E12FDA" w:rsidRPr="00B75FD7" w:rsidRDefault="00E12FDA" w:rsidP="00E12FDA">
            <w:pPr>
              <w:pStyle w:val="a7"/>
              <w:ind w:left="0"/>
              <w:rPr>
                <w:b/>
                <w:sz w:val="22"/>
              </w:rPr>
            </w:pPr>
          </w:p>
        </w:tc>
        <w:tc>
          <w:tcPr>
            <w:tcW w:w="2342" w:type="dxa"/>
            <w:gridSpan w:val="2"/>
            <w:tcBorders>
              <w:left w:val="single" w:sz="4" w:space="0" w:color="auto"/>
              <w:bottom w:val="single" w:sz="4" w:space="0" w:color="auto"/>
            </w:tcBorders>
            <w:shd w:val="clear" w:color="auto" w:fill="auto"/>
          </w:tcPr>
          <w:p w:rsidR="00E12FDA" w:rsidRPr="00B75FD7" w:rsidRDefault="00E12FDA" w:rsidP="00E12FDA">
            <w:pPr>
              <w:pStyle w:val="a7"/>
              <w:ind w:left="0"/>
              <w:jc w:val="center"/>
              <w:rPr>
                <w:b/>
                <w:sz w:val="22"/>
              </w:rPr>
            </w:pPr>
            <w:r w:rsidRPr="00B75FD7">
              <w:rPr>
                <w:b/>
                <w:sz w:val="22"/>
              </w:rPr>
              <w:t>Прогнозне (цільове) значення</w:t>
            </w:r>
          </w:p>
        </w:tc>
      </w:tr>
      <w:tr w:rsidR="00E12FDA" w:rsidRPr="00B75FD7" w:rsidTr="00E12FDA">
        <w:trPr>
          <w:trHeight w:val="585"/>
        </w:trPr>
        <w:tc>
          <w:tcPr>
            <w:tcW w:w="3132" w:type="dxa"/>
            <w:vMerge/>
            <w:shd w:val="clear" w:color="auto" w:fill="C6D9F1"/>
          </w:tcPr>
          <w:p w:rsidR="00E12FDA" w:rsidRPr="00B75FD7" w:rsidRDefault="00E12FDA" w:rsidP="00E12FDA">
            <w:pPr>
              <w:pStyle w:val="a7"/>
              <w:ind w:left="0"/>
              <w:rPr>
                <w:b/>
                <w:sz w:val="22"/>
              </w:rPr>
            </w:pPr>
          </w:p>
        </w:tc>
        <w:tc>
          <w:tcPr>
            <w:tcW w:w="1978" w:type="dxa"/>
            <w:gridSpan w:val="2"/>
            <w:tcBorders>
              <w:top w:val="single" w:sz="4" w:space="0" w:color="auto"/>
              <w:bottom w:val="single" w:sz="4" w:space="0" w:color="auto"/>
              <w:right w:val="single" w:sz="4" w:space="0" w:color="auto"/>
            </w:tcBorders>
            <w:shd w:val="clear" w:color="auto" w:fill="auto"/>
          </w:tcPr>
          <w:p w:rsidR="00E12FDA" w:rsidRPr="00B75FD7" w:rsidRDefault="00E12FDA" w:rsidP="00E12FDA">
            <w:pPr>
              <w:pStyle w:val="a7"/>
              <w:ind w:left="0"/>
              <w:jc w:val="center"/>
              <w:rPr>
                <w:sz w:val="22"/>
              </w:rPr>
            </w:pPr>
            <w:r w:rsidRPr="00B75FD7">
              <w:rPr>
                <w:sz w:val="22"/>
              </w:rPr>
              <w:t>Кількість фізичних осіб, які повернуться до своїх домівок протягом  року</w:t>
            </w:r>
          </w:p>
        </w:tc>
        <w:tc>
          <w:tcPr>
            <w:tcW w:w="24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12FDA" w:rsidRPr="00B75FD7" w:rsidRDefault="00E12FDA" w:rsidP="00E12FDA">
            <w:pPr>
              <w:pStyle w:val="a7"/>
              <w:ind w:left="0"/>
              <w:jc w:val="center"/>
              <w:rPr>
                <w:sz w:val="22"/>
              </w:rPr>
            </w:pPr>
            <w:r w:rsidRPr="00B75FD7">
              <w:rPr>
                <w:sz w:val="22"/>
              </w:rPr>
              <w:t>осіб</w:t>
            </w:r>
          </w:p>
        </w:tc>
        <w:tc>
          <w:tcPr>
            <w:tcW w:w="2342" w:type="dxa"/>
            <w:gridSpan w:val="2"/>
            <w:tcBorders>
              <w:top w:val="single" w:sz="4" w:space="0" w:color="auto"/>
              <w:left w:val="single" w:sz="4" w:space="0" w:color="auto"/>
              <w:bottom w:val="single" w:sz="4" w:space="0" w:color="auto"/>
            </w:tcBorders>
            <w:shd w:val="clear" w:color="auto" w:fill="auto"/>
          </w:tcPr>
          <w:p w:rsidR="00E12FDA" w:rsidRPr="00B75FD7" w:rsidRDefault="00E12FDA" w:rsidP="00E12FDA">
            <w:pPr>
              <w:pStyle w:val="a7"/>
              <w:ind w:left="0"/>
              <w:jc w:val="center"/>
              <w:rPr>
                <w:sz w:val="22"/>
                <w:lang w:val="ru-RU"/>
              </w:rPr>
            </w:pPr>
          </w:p>
          <w:p w:rsidR="00E12FDA" w:rsidRPr="00B75FD7" w:rsidRDefault="00E12FDA" w:rsidP="00E12FDA">
            <w:pPr>
              <w:pStyle w:val="a7"/>
              <w:ind w:left="0"/>
              <w:jc w:val="center"/>
              <w:rPr>
                <w:sz w:val="22"/>
                <w:lang w:val="ru-RU"/>
              </w:rPr>
            </w:pPr>
          </w:p>
          <w:p w:rsidR="00E12FDA" w:rsidRPr="00B75FD7" w:rsidRDefault="00E12FDA" w:rsidP="00E12FDA">
            <w:pPr>
              <w:pStyle w:val="a7"/>
              <w:ind w:left="0"/>
              <w:jc w:val="center"/>
              <w:rPr>
                <w:b/>
                <w:sz w:val="22"/>
                <w:lang w:val="ru-RU"/>
              </w:rPr>
            </w:pPr>
            <w:r w:rsidRPr="00B75FD7">
              <w:rPr>
                <w:sz w:val="22"/>
                <w:lang w:val="ru-RU"/>
              </w:rPr>
              <w:t>2500</w:t>
            </w:r>
          </w:p>
        </w:tc>
      </w:tr>
      <w:tr w:rsidR="00E12FDA" w:rsidRPr="00B75FD7" w:rsidTr="00E12FDA">
        <w:trPr>
          <w:trHeight w:val="184"/>
        </w:trPr>
        <w:tc>
          <w:tcPr>
            <w:tcW w:w="3132" w:type="dxa"/>
            <w:vMerge/>
            <w:shd w:val="clear" w:color="auto" w:fill="C6D9F1"/>
          </w:tcPr>
          <w:p w:rsidR="00E12FDA" w:rsidRPr="00B75FD7" w:rsidRDefault="00E12FDA" w:rsidP="00E12FDA">
            <w:pPr>
              <w:pStyle w:val="a7"/>
              <w:ind w:left="0"/>
              <w:rPr>
                <w:b/>
                <w:sz w:val="22"/>
              </w:rPr>
            </w:pPr>
          </w:p>
        </w:tc>
        <w:tc>
          <w:tcPr>
            <w:tcW w:w="1978" w:type="dxa"/>
            <w:gridSpan w:val="2"/>
            <w:tcBorders>
              <w:top w:val="single" w:sz="4" w:space="0" w:color="auto"/>
              <w:bottom w:val="single" w:sz="4" w:space="0" w:color="auto"/>
              <w:right w:val="single" w:sz="4" w:space="0" w:color="auto"/>
            </w:tcBorders>
            <w:shd w:val="clear" w:color="auto" w:fill="auto"/>
          </w:tcPr>
          <w:p w:rsidR="00E12FDA" w:rsidRPr="00B75FD7" w:rsidRDefault="00E12FDA" w:rsidP="00E12FDA">
            <w:pPr>
              <w:pStyle w:val="a7"/>
              <w:ind w:left="0"/>
              <w:jc w:val="center"/>
              <w:rPr>
                <w:sz w:val="22"/>
              </w:rPr>
            </w:pPr>
          </w:p>
          <w:p w:rsidR="00E12FDA" w:rsidRPr="00B75FD7" w:rsidRDefault="00E12FDA" w:rsidP="00E12FDA">
            <w:pPr>
              <w:pStyle w:val="a7"/>
              <w:ind w:left="0"/>
              <w:jc w:val="center"/>
              <w:rPr>
                <w:sz w:val="22"/>
              </w:rPr>
            </w:pPr>
            <w:r w:rsidRPr="00B75FD7">
              <w:rPr>
                <w:sz w:val="22"/>
              </w:rPr>
              <w:t>Кількість видів та типів послуг наданих протягом одного робочого дня</w:t>
            </w:r>
          </w:p>
        </w:tc>
        <w:tc>
          <w:tcPr>
            <w:tcW w:w="24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12FDA" w:rsidRPr="00B75FD7" w:rsidRDefault="00E12FDA" w:rsidP="00E12FDA">
            <w:pPr>
              <w:pStyle w:val="a7"/>
              <w:ind w:left="0"/>
              <w:jc w:val="center"/>
              <w:rPr>
                <w:sz w:val="22"/>
              </w:rPr>
            </w:pPr>
          </w:p>
          <w:p w:rsidR="00E12FDA" w:rsidRPr="00B75FD7" w:rsidRDefault="00E12FDA" w:rsidP="00E12FDA">
            <w:pPr>
              <w:pStyle w:val="a7"/>
              <w:ind w:left="0"/>
              <w:jc w:val="center"/>
              <w:rPr>
                <w:sz w:val="22"/>
              </w:rPr>
            </w:pPr>
            <w:r w:rsidRPr="00B75FD7">
              <w:rPr>
                <w:sz w:val="22"/>
              </w:rPr>
              <w:t>одиниць</w:t>
            </w:r>
          </w:p>
        </w:tc>
        <w:tc>
          <w:tcPr>
            <w:tcW w:w="2342" w:type="dxa"/>
            <w:gridSpan w:val="2"/>
            <w:tcBorders>
              <w:top w:val="single" w:sz="4" w:space="0" w:color="auto"/>
              <w:left w:val="single" w:sz="4" w:space="0" w:color="auto"/>
              <w:bottom w:val="single" w:sz="4" w:space="0" w:color="auto"/>
            </w:tcBorders>
            <w:shd w:val="clear" w:color="auto" w:fill="auto"/>
          </w:tcPr>
          <w:p w:rsidR="00E12FDA" w:rsidRPr="00B75FD7" w:rsidRDefault="00E12FDA" w:rsidP="00E12FDA">
            <w:pPr>
              <w:pStyle w:val="a7"/>
              <w:ind w:left="0"/>
              <w:jc w:val="center"/>
              <w:rPr>
                <w:sz w:val="22"/>
                <w:lang w:val="ru-RU"/>
              </w:rPr>
            </w:pPr>
          </w:p>
          <w:p w:rsidR="00E12FDA" w:rsidRPr="00B75FD7" w:rsidRDefault="00E12FDA" w:rsidP="00E12FDA">
            <w:pPr>
              <w:pStyle w:val="a7"/>
              <w:ind w:left="0"/>
              <w:jc w:val="center"/>
              <w:rPr>
                <w:sz w:val="22"/>
                <w:lang w:val="ru-RU"/>
              </w:rPr>
            </w:pPr>
          </w:p>
          <w:p w:rsidR="00E12FDA" w:rsidRPr="00B75FD7" w:rsidRDefault="00E12FDA" w:rsidP="00E12FDA">
            <w:pPr>
              <w:pStyle w:val="a7"/>
              <w:ind w:left="0"/>
              <w:jc w:val="center"/>
              <w:rPr>
                <w:sz w:val="22"/>
                <w:lang w:val="ru-RU"/>
              </w:rPr>
            </w:pPr>
          </w:p>
          <w:p w:rsidR="00E12FDA" w:rsidRPr="00B75FD7" w:rsidRDefault="00E12FDA" w:rsidP="00E12FDA">
            <w:pPr>
              <w:pStyle w:val="a7"/>
              <w:ind w:left="0"/>
              <w:jc w:val="center"/>
              <w:rPr>
                <w:sz w:val="22"/>
                <w:lang w:val="ru-RU"/>
              </w:rPr>
            </w:pPr>
            <w:r w:rsidRPr="00B75FD7">
              <w:rPr>
                <w:sz w:val="22"/>
                <w:lang w:val="ru-RU"/>
              </w:rPr>
              <w:t xml:space="preserve">4 </w:t>
            </w:r>
          </w:p>
          <w:p w:rsidR="00E12FDA" w:rsidRPr="00B75FD7" w:rsidRDefault="00E12FDA" w:rsidP="00E12FDA">
            <w:pPr>
              <w:pStyle w:val="a7"/>
              <w:ind w:left="0"/>
              <w:jc w:val="center"/>
              <w:rPr>
                <w:sz w:val="22"/>
                <w:lang w:val="ru-RU"/>
              </w:rPr>
            </w:pPr>
          </w:p>
          <w:p w:rsidR="00E12FDA" w:rsidRPr="00B75FD7" w:rsidRDefault="00E12FDA" w:rsidP="00E12FDA">
            <w:pPr>
              <w:pStyle w:val="a7"/>
              <w:ind w:left="0"/>
              <w:jc w:val="center"/>
              <w:rPr>
                <w:sz w:val="22"/>
                <w:lang w:val="ru-RU"/>
              </w:rPr>
            </w:pPr>
          </w:p>
        </w:tc>
      </w:tr>
      <w:tr w:rsidR="00E12FDA" w:rsidRPr="00B75FD7" w:rsidTr="00E12FDA">
        <w:trPr>
          <w:trHeight w:val="165"/>
        </w:trPr>
        <w:tc>
          <w:tcPr>
            <w:tcW w:w="3132" w:type="dxa"/>
            <w:vMerge/>
            <w:shd w:val="clear" w:color="auto" w:fill="C6D9F1"/>
          </w:tcPr>
          <w:p w:rsidR="00E12FDA" w:rsidRPr="00B75FD7" w:rsidRDefault="00E12FDA" w:rsidP="00E12FDA">
            <w:pPr>
              <w:pStyle w:val="a7"/>
              <w:ind w:left="0"/>
              <w:rPr>
                <w:b/>
                <w:sz w:val="22"/>
              </w:rPr>
            </w:pPr>
          </w:p>
        </w:tc>
        <w:tc>
          <w:tcPr>
            <w:tcW w:w="1978" w:type="dxa"/>
            <w:gridSpan w:val="2"/>
            <w:tcBorders>
              <w:top w:val="single" w:sz="4" w:space="0" w:color="auto"/>
              <w:bottom w:val="single" w:sz="4" w:space="0" w:color="auto"/>
              <w:right w:val="single" w:sz="4" w:space="0" w:color="auto"/>
            </w:tcBorders>
            <w:shd w:val="clear" w:color="auto" w:fill="auto"/>
          </w:tcPr>
          <w:p w:rsidR="00E12FDA" w:rsidRPr="00B75FD7" w:rsidRDefault="00E12FDA" w:rsidP="00E12FDA">
            <w:pPr>
              <w:pStyle w:val="a7"/>
              <w:ind w:left="0"/>
              <w:jc w:val="center"/>
              <w:rPr>
                <w:sz w:val="22"/>
              </w:rPr>
            </w:pPr>
            <w:r w:rsidRPr="00B75FD7">
              <w:rPr>
                <w:sz w:val="22"/>
              </w:rPr>
              <w:t>Середня вартість послуг</w:t>
            </w:r>
          </w:p>
        </w:tc>
        <w:tc>
          <w:tcPr>
            <w:tcW w:w="24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12FDA" w:rsidRPr="00B75FD7" w:rsidRDefault="00E12FDA" w:rsidP="00E12FDA">
            <w:pPr>
              <w:pStyle w:val="a7"/>
              <w:ind w:left="0"/>
              <w:jc w:val="center"/>
              <w:rPr>
                <w:sz w:val="22"/>
              </w:rPr>
            </w:pPr>
            <w:r w:rsidRPr="00B75FD7">
              <w:rPr>
                <w:sz w:val="22"/>
              </w:rPr>
              <w:t>грн/м2</w:t>
            </w:r>
          </w:p>
        </w:tc>
        <w:tc>
          <w:tcPr>
            <w:tcW w:w="2342" w:type="dxa"/>
            <w:gridSpan w:val="2"/>
            <w:tcBorders>
              <w:top w:val="single" w:sz="4" w:space="0" w:color="auto"/>
              <w:left w:val="single" w:sz="4" w:space="0" w:color="auto"/>
              <w:bottom w:val="single" w:sz="4" w:space="0" w:color="auto"/>
            </w:tcBorders>
            <w:shd w:val="clear" w:color="auto" w:fill="auto"/>
          </w:tcPr>
          <w:p w:rsidR="00E12FDA" w:rsidRPr="00B75FD7" w:rsidRDefault="00E12FDA" w:rsidP="00E12FDA">
            <w:pPr>
              <w:pStyle w:val="a7"/>
              <w:ind w:left="0"/>
              <w:jc w:val="center"/>
              <w:rPr>
                <w:sz w:val="22"/>
              </w:rPr>
            </w:pPr>
            <w:r w:rsidRPr="00B75FD7">
              <w:rPr>
                <w:sz w:val="22"/>
              </w:rPr>
              <w:t>5,0</w:t>
            </w:r>
          </w:p>
        </w:tc>
      </w:tr>
      <w:tr w:rsidR="00E12FDA" w:rsidRPr="00B75FD7" w:rsidTr="00E12FDA">
        <w:trPr>
          <w:trHeight w:val="150"/>
        </w:trPr>
        <w:tc>
          <w:tcPr>
            <w:tcW w:w="3132" w:type="dxa"/>
            <w:vMerge/>
            <w:shd w:val="clear" w:color="auto" w:fill="C6D9F1"/>
          </w:tcPr>
          <w:p w:rsidR="00E12FDA" w:rsidRPr="00B75FD7" w:rsidRDefault="00E12FDA" w:rsidP="00E12FDA">
            <w:pPr>
              <w:pStyle w:val="a7"/>
              <w:ind w:left="0"/>
              <w:rPr>
                <w:b/>
                <w:sz w:val="22"/>
              </w:rPr>
            </w:pPr>
          </w:p>
        </w:tc>
        <w:tc>
          <w:tcPr>
            <w:tcW w:w="1978" w:type="dxa"/>
            <w:gridSpan w:val="2"/>
            <w:tcBorders>
              <w:top w:val="single" w:sz="4" w:space="0" w:color="auto"/>
              <w:right w:val="single" w:sz="4" w:space="0" w:color="auto"/>
            </w:tcBorders>
            <w:shd w:val="clear" w:color="auto" w:fill="auto"/>
          </w:tcPr>
          <w:p w:rsidR="00E12FDA" w:rsidRPr="00B75FD7" w:rsidRDefault="00E12FDA" w:rsidP="00E12FDA">
            <w:pPr>
              <w:pStyle w:val="a7"/>
              <w:ind w:left="0"/>
              <w:jc w:val="center"/>
              <w:rPr>
                <w:sz w:val="22"/>
              </w:rPr>
            </w:pPr>
            <w:r w:rsidRPr="00B75FD7">
              <w:rPr>
                <w:sz w:val="22"/>
              </w:rPr>
              <w:t>Термін надання послуги</w:t>
            </w:r>
          </w:p>
        </w:tc>
        <w:tc>
          <w:tcPr>
            <w:tcW w:w="2436" w:type="dxa"/>
            <w:gridSpan w:val="3"/>
            <w:tcBorders>
              <w:top w:val="single" w:sz="4" w:space="0" w:color="auto"/>
              <w:left w:val="single" w:sz="4" w:space="0" w:color="auto"/>
              <w:right w:val="single" w:sz="4" w:space="0" w:color="auto"/>
            </w:tcBorders>
            <w:shd w:val="clear" w:color="auto" w:fill="auto"/>
            <w:vAlign w:val="center"/>
          </w:tcPr>
          <w:p w:rsidR="00E12FDA" w:rsidRPr="00B75FD7" w:rsidRDefault="00E12FDA" w:rsidP="00E12FDA">
            <w:pPr>
              <w:pStyle w:val="a7"/>
              <w:ind w:left="0"/>
              <w:jc w:val="center"/>
              <w:rPr>
                <w:sz w:val="22"/>
              </w:rPr>
            </w:pPr>
            <w:r w:rsidRPr="00B75FD7">
              <w:rPr>
                <w:sz w:val="22"/>
              </w:rPr>
              <w:t>день</w:t>
            </w:r>
          </w:p>
        </w:tc>
        <w:tc>
          <w:tcPr>
            <w:tcW w:w="2342" w:type="dxa"/>
            <w:gridSpan w:val="2"/>
            <w:tcBorders>
              <w:top w:val="single" w:sz="4" w:space="0" w:color="auto"/>
              <w:left w:val="single" w:sz="4" w:space="0" w:color="auto"/>
            </w:tcBorders>
            <w:shd w:val="clear" w:color="auto" w:fill="auto"/>
          </w:tcPr>
          <w:p w:rsidR="00E12FDA" w:rsidRPr="00B75FD7" w:rsidRDefault="00E12FDA" w:rsidP="00E12FDA">
            <w:pPr>
              <w:pStyle w:val="a7"/>
              <w:ind w:left="0"/>
              <w:jc w:val="center"/>
              <w:rPr>
                <w:sz w:val="22"/>
                <w:lang w:val="ru-RU"/>
              </w:rPr>
            </w:pPr>
            <w:r w:rsidRPr="00B75FD7">
              <w:rPr>
                <w:sz w:val="22"/>
              </w:rPr>
              <w:t>цілодобово</w:t>
            </w:r>
          </w:p>
        </w:tc>
      </w:tr>
      <w:tr w:rsidR="00E12FDA" w:rsidRPr="00B75FD7" w:rsidTr="00E12FDA">
        <w:trPr>
          <w:trHeight w:val="150"/>
        </w:trPr>
        <w:tc>
          <w:tcPr>
            <w:tcW w:w="3132" w:type="dxa"/>
            <w:shd w:val="clear" w:color="auto" w:fill="C6D9F1"/>
          </w:tcPr>
          <w:p w:rsidR="00E12FDA" w:rsidRPr="00B75FD7" w:rsidRDefault="00E12FDA" w:rsidP="00E12FDA">
            <w:pPr>
              <w:pStyle w:val="a7"/>
              <w:ind w:left="0"/>
              <w:rPr>
                <w:b/>
                <w:sz w:val="22"/>
              </w:rPr>
            </w:pPr>
          </w:p>
        </w:tc>
        <w:tc>
          <w:tcPr>
            <w:tcW w:w="1978" w:type="dxa"/>
            <w:gridSpan w:val="2"/>
            <w:tcBorders>
              <w:top w:val="single" w:sz="4" w:space="0" w:color="auto"/>
              <w:right w:val="single" w:sz="4" w:space="0" w:color="auto"/>
            </w:tcBorders>
            <w:shd w:val="clear" w:color="auto" w:fill="auto"/>
          </w:tcPr>
          <w:p w:rsidR="00E12FDA" w:rsidRPr="00B75FD7" w:rsidRDefault="00E12FDA" w:rsidP="00E12FDA">
            <w:pPr>
              <w:pStyle w:val="a7"/>
              <w:ind w:left="0"/>
              <w:jc w:val="center"/>
              <w:rPr>
                <w:sz w:val="22"/>
              </w:rPr>
            </w:pPr>
            <w:r w:rsidRPr="00B75FD7">
              <w:rPr>
                <w:sz w:val="22"/>
              </w:rPr>
              <w:t>Кількість будинків, яке обслуговує підприємство</w:t>
            </w:r>
          </w:p>
        </w:tc>
        <w:tc>
          <w:tcPr>
            <w:tcW w:w="2436" w:type="dxa"/>
            <w:gridSpan w:val="3"/>
            <w:tcBorders>
              <w:top w:val="single" w:sz="4" w:space="0" w:color="auto"/>
              <w:left w:val="single" w:sz="4" w:space="0" w:color="auto"/>
              <w:right w:val="single" w:sz="4" w:space="0" w:color="auto"/>
            </w:tcBorders>
            <w:shd w:val="clear" w:color="auto" w:fill="auto"/>
            <w:vAlign w:val="center"/>
          </w:tcPr>
          <w:p w:rsidR="00E12FDA" w:rsidRPr="00B75FD7" w:rsidRDefault="00E12FDA" w:rsidP="00E12FDA">
            <w:pPr>
              <w:pStyle w:val="a7"/>
              <w:ind w:left="0"/>
              <w:jc w:val="center"/>
              <w:rPr>
                <w:sz w:val="22"/>
              </w:rPr>
            </w:pPr>
            <w:r w:rsidRPr="00B75FD7">
              <w:rPr>
                <w:sz w:val="22"/>
              </w:rPr>
              <w:t>одиниць</w:t>
            </w:r>
          </w:p>
        </w:tc>
        <w:tc>
          <w:tcPr>
            <w:tcW w:w="2342" w:type="dxa"/>
            <w:gridSpan w:val="2"/>
            <w:tcBorders>
              <w:top w:val="single" w:sz="4" w:space="0" w:color="auto"/>
              <w:left w:val="single" w:sz="4" w:space="0" w:color="auto"/>
            </w:tcBorders>
            <w:shd w:val="clear" w:color="auto" w:fill="auto"/>
          </w:tcPr>
          <w:p w:rsidR="00E12FDA" w:rsidRPr="00B75FD7" w:rsidRDefault="00E12FDA" w:rsidP="00E12FDA">
            <w:pPr>
              <w:pStyle w:val="a7"/>
              <w:ind w:left="0"/>
              <w:jc w:val="center"/>
              <w:rPr>
                <w:sz w:val="22"/>
              </w:rPr>
            </w:pPr>
            <w:r w:rsidRPr="00B75FD7">
              <w:rPr>
                <w:sz w:val="22"/>
              </w:rPr>
              <w:br/>
            </w:r>
            <w:r w:rsidRPr="00B75FD7">
              <w:rPr>
                <w:sz w:val="22"/>
              </w:rPr>
              <w:br/>
              <w:t>8</w:t>
            </w:r>
          </w:p>
          <w:p w:rsidR="00E12FDA" w:rsidRPr="00B75FD7" w:rsidRDefault="00E12FDA" w:rsidP="00E12FDA">
            <w:pPr>
              <w:pStyle w:val="a7"/>
              <w:ind w:left="0"/>
              <w:jc w:val="center"/>
              <w:rPr>
                <w:sz w:val="22"/>
              </w:rPr>
            </w:pPr>
          </w:p>
        </w:tc>
      </w:tr>
      <w:tr w:rsidR="00E12FDA" w:rsidRPr="00B75FD7" w:rsidTr="00E12FDA">
        <w:tc>
          <w:tcPr>
            <w:tcW w:w="3132" w:type="dxa"/>
            <w:shd w:val="clear" w:color="auto" w:fill="C6D9F1"/>
          </w:tcPr>
          <w:p w:rsidR="00E12FDA" w:rsidRPr="00B75FD7" w:rsidRDefault="00E12FDA" w:rsidP="00E12FDA">
            <w:pPr>
              <w:rPr>
                <w:b/>
                <w:sz w:val="22"/>
                <w:lang w:val="ru-RU"/>
              </w:rPr>
            </w:pPr>
            <w:r w:rsidRPr="00B75FD7">
              <w:rPr>
                <w:b/>
                <w:sz w:val="22"/>
              </w:rPr>
              <w:t xml:space="preserve">Ключові заходи проекту: </w:t>
            </w:r>
          </w:p>
          <w:p w:rsidR="00E12FDA" w:rsidRPr="00B75FD7" w:rsidRDefault="00E12FDA" w:rsidP="00E12FDA">
            <w:pPr>
              <w:pStyle w:val="a7"/>
              <w:ind w:left="0"/>
              <w:rPr>
                <w:b/>
                <w:sz w:val="22"/>
              </w:rPr>
            </w:pPr>
          </w:p>
        </w:tc>
        <w:tc>
          <w:tcPr>
            <w:tcW w:w="6756" w:type="dxa"/>
            <w:gridSpan w:val="7"/>
            <w:shd w:val="clear" w:color="auto" w:fill="auto"/>
          </w:tcPr>
          <w:p w:rsidR="00E12FDA" w:rsidRPr="00B75FD7" w:rsidRDefault="00E12FDA" w:rsidP="00E12FDA">
            <w:pPr>
              <w:pStyle w:val="a7"/>
              <w:ind w:left="0"/>
              <w:rPr>
                <w:sz w:val="22"/>
              </w:rPr>
            </w:pPr>
            <w:r w:rsidRPr="00B75FD7">
              <w:rPr>
                <w:sz w:val="22"/>
              </w:rPr>
              <w:t>- обстеження стану багатоквартирних житлових будинків;</w:t>
            </w:r>
          </w:p>
          <w:p w:rsidR="00E12FDA" w:rsidRPr="00B75FD7" w:rsidRDefault="00E12FDA" w:rsidP="00E12FDA">
            <w:pPr>
              <w:pStyle w:val="a7"/>
              <w:ind w:left="0"/>
              <w:rPr>
                <w:sz w:val="22"/>
              </w:rPr>
            </w:pPr>
            <w:r w:rsidRPr="00B75FD7">
              <w:rPr>
                <w:sz w:val="22"/>
              </w:rPr>
              <w:t>- проведення інвентаризації основних засобів;</w:t>
            </w:r>
          </w:p>
          <w:p w:rsidR="00E12FDA" w:rsidRPr="00B75FD7" w:rsidRDefault="00E12FDA" w:rsidP="00E12FDA">
            <w:pPr>
              <w:pStyle w:val="a7"/>
              <w:ind w:left="0"/>
              <w:rPr>
                <w:sz w:val="22"/>
              </w:rPr>
            </w:pPr>
            <w:r w:rsidRPr="00B75FD7">
              <w:rPr>
                <w:sz w:val="22"/>
              </w:rPr>
              <w:t xml:space="preserve"> - придбання засобів інструментів та </w:t>
            </w:r>
            <w:proofErr w:type="spellStart"/>
            <w:r w:rsidRPr="00B75FD7">
              <w:rPr>
                <w:sz w:val="22"/>
              </w:rPr>
              <w:t>компьютерної</w:t>
            </w:r>
            <w:proofErr w:type="spellEnd"/>
            <w:r w:rsidRPr="00B75FD7">
              <w:rPr>
                <w:sz w:val="22"/>
              </w:rPr>
              <w:t xml:space="preserve"> техніки;</w:t>
            </w:r>
          </w:p>
          <w:p w:rsidR="00E12FDA" w:rsidRPr="00B75FD7" w:rsidRDefault="00E12FDA" w:rsidP="00E12FDA">
            <w:pPr>
              <w:pStyle w:val="a7"/>
              <w:ind w:left="0"/>
              <w:rPr>
                <w:sz w:val="22"/>
              </w:rPr>
            </w:pPr>
            <w:r w:rsidRPr="00B75FD7">
              <w:rPr>
                <w:sz w:val="22"/>
              </w:rPr>
              <w:t>- придбання матеріалів, обладнання;</w:t>
            </w:r>
            <w:r w:rsidRPr="00B75FD7">
              <w:rPr>
                <w:sz w:val="22"/>
              </w:rPr>
              <w:br/>
              <w:t>- укладання договорів;</w:t>
            </w:r>
          </w:p>
          <w:p w:rsidR="00E12FDA" w:rsidRPr="00B75FD7" w:rsidRDefault="00E12FDA" w:rsidP="00E12FDA">
            <w:pPr>
              <w:pStyle w:val="a7"/>
              <w:ind w:left="0"/>
              <w:rPr>
                <w:sz w:val="22"/>
              </w:rPr>
            </w:pPr>
            <w:r w:rsidRPr="00B75FD7">
              <w:rPr>
                <w:sz w:val="22"/>
              </w:rPr>
              <w:t xml:space="preserve">- проведення відновлювальних робіт; </w:t>
            </w:r>
          </w:p>
          <w:p w:rsidR="00E12FDA" w:rsidRPr="00B75FD7" w:rsidRDefault="00E12FDA" w:rsidP="00E12FDA">
            <w:pPr>
              <w:pStyle w:val="a7"/>
              <w:ind w:left="0"/>
              <w:rPr>
                <w:sz w:val="22"/>
              </w:rPr>
            </w:pPr>
            <w:r w:rsidRPr="00B75FD7">
              <w:rPr>
                <w:sz w:val="22"/>
              </w:rPr>
              <w:t xml:space="preserve">  - організація та початок робочого процесу.</w:t>
            </w:r>
          </w:p>
        </w:tc>
      </w:tr>
      <w:tr w:rsidR="00E12FDA" w:rsidRPr="00B75FD7" w:rsidTr="00E12FDA">
        <w:trPr>
          <w:trHeight w:val="360"/>
        </w:trPr>
        <w:tc>
          <w:tcPr>
            <w:tcW w:w="3132" w:type="dxa"/>
            <w:vMerge w:val="restart"/>
            <w:shd w:val="clear" w:color="auto" w:fill="C6D9F1"/>
          </w:tcPr>
          <w:p w:rsidR="00E12FDA" w:rsidRPr="00B75FD7" w:rsidRDefault="00E12FDA" w:rsidP="00E12FDA">
            <w:pPr>
              <w:pStyle w:val="a7"/>
              <w:ind w:left="0"/>
              <w:rPr>
                <w:b/>
                <w:sz w:val="22"/>
                <w:lang w:val="ru-RU"/>
              </w:rPr>
            </w:pPr>
            <w:r w:rsidRPr="00B75FD7">
              <w:rPr>
                <w:b/>
                <w:sz w:val="22"/>
              </w:rPr>
              <w:t xml:space="preserve">Орієнтовний обсяг та джерела фінансування, тис. грн. </w:t>
            </w:r>
          </w:p>
          <w:p w:rsidR="00E12FDA" w:rsidRPr="00B75FD7" w:rsidRDefault="00E12FDA" w:rsidP="00E12FDA">
            <w:pPr>
              <w:pStyle w:val="a7"/>
              <w:ind w:left="0"/>
              <w:rPr>
                <w:b/>
                <w:sz w:val="22"/>
                <w:lang w:val="ru-RU"/>
              </w:rPr>
            </w:pPr>
          </w:p>
        </w:tc>
        <w:tc>
          <w:tcPr>
            <w:tcW w:w="1499" w:type="dxa"/>
            <w:tcBorders>
              <w:bottom w:val="single" w:sz="4" w:space="0" w:color="auto"/>
              <w:right w:val="single" w:sz="4" w:space="0" w:color="auto"/>
            </w:tcBorders>
            <w:shd w:val="clear" w:color="auto" w:fill="auto"/>
          </w:tcPr>
          <w:p w:rsidR="00E12FDA" w:rsidRPr="00B75FD7" w:rsidRDefault="00E12FDA" w:rsidP="00E12FDA">
            <w:pPr>
              <w:pStyle w:val="a7"/>
              <w:ind w:left="0"/>
              <w:jc w:val="center"/>
              <w:rPr>
                <w:b/>
                <w:sz w:val="22"/>
              </w:rPr>
            </w:pPr>
            <w:r w:rsidRPr="00B75FD7">
              <w:rPr>
                <w:b/>
                <w:sz w:val="22"/>
              </w:rPr>
              <w:t>Державний бюджет</w:t>
            </w:r>
          </w:p>
        </w:tc>
        <w:tc>
          <w:tcPr>
            <w:tcW w:w="1373" w:type="dxa"/>
            <w:gridSpan w:val="2"/>
            <w:tcBorders>
              <w:bottom w:val="single" w:sz="4" w:space="0" w:color="auto"/>
              <w:right w:val="single" w:sz="4" w:space="0" w:color="auto"/>
            </w:tcBorders>
            <w:shd w:val="clear" w:color="auto" w:fill="auto"/>
          </w:tcPr>
          <w:p w:rsidR="00E12FDA" w:rsidRPr="00B75FD7" w:rsidRDefault="00E12FDA" w:rsidP="00E12FDA">
            <w:pPr>
              <w:pStyle w:val="a7"/>
              <w:ind w:left="0"/>
              <w:jc w:val="center"/>
              <w:rPr>
                <w:b/>
                <w:sz w:val="22"/>
              </w:rPr>
            </w:pPr>
            <w:r w:rsidRPr="00B75FD7">
              <w:rPr>
                <w:b/>
                <w:sz w:val="22"/>
              </w:rPr>
              <w:t>Місцевий бюджет</w:t>
            </w:r>
          </w:p>
        </w:tc>
        <w:tc>
          <w:tcPr>
            <w:tcW w:w="2511" w:type="dxa"/>
            <w:gridSpan w:val="3"/>
            <w:tcBorders>
              <w:left w:val="single" w:sz="4" w:space="0" w:color="auto"/>
              <w:bottom w:val="single" w:sz="4" w:space="0" w:color="auto"/>
              <w:right w:val="single" w:sz="4" w:space="0" w:color="auto"/>
            </w:tcBorders>
            <w:shd w:val="clear" w:color="auto" w:fill="auto"/>
          </w:tcPr>
          <w:p w:rsidR="00E12FDA" w:rsidRPr="00B75FD7" w:rsidRDefault="00E12FDA" w:rsidP="00E12FDA">
            <w:pPr>
              <w:pStyle w:val="a7"/>
              <w:ind w:left="0"/>
              <w:jc w:val="center"/>
              <w:rPr>
                <w:b/>
                <w:sz w:val="22"/>
              </w:rPr>
            </w:pPr>
            <w:r w:rsidRPr="00B75FD7">
              <w:rPr>
                <w:b/>
                <w:sz w:val="22"/>
              </w:rPr>
              <w:t>Інші джерела</w:t>
            </w:r>
          </w:p>
        </w:tc>
        <w:tc>
          <w:tcPr>
            <w:tcW w:w="1373" w:type="dxa"/>
            <w:tcBorders>
              <w:left w:val="single" w:sz="4" w:space="0" w:color="auto"/>
              <w:bottom w:val="single" w:sz="4" w:space="0" w:color="auto"/>
            </w:tcBorders>
            <w:shd w:val="clear" w:color="auto" w:fill="auto"/>
          </w:tcPr>
          <w:p w:rsidR="00E12FDA" w:rsidRPr="00B75FD7" w:rsidRDefault="00E12FDA" w:rsidP="00E12FDA">
            <w:pPr>
              <w:pStyle w:val="a7"/>
              <w:ind w:left="0"/>
              <w:jc w:val="center"/>
              <w:rPr>
                <w:b/>
                <w:sz w:val="22"/>
              </w:rPr>
            </w:pPr>
            <w:r w:rsidRPr="00B75FD7">
              <w:rPr>
                <w:b/>
                <w:sz w:val="22"/>
              </w:rPr>
              <w:t>Всього</w:t>
            </w:r>
          </w:p>
        </w:tc>
      </w:tr>
      <w:tr w:rsidR="00E12FDA" w:rsidRPr="00B75FD7" w:rsidTr="00E12FDA">
        <w:trPr>
          <w:trHeight w:val="225"/>
        </w:trPr>
        <w:tc>
          <w:tcPr>
            <w:tcW w:w="3132" w:type="dxa"/>
            <w:vMerge/>
            <w:shd w:val="clear" w:color="auto" w:fill="C6D9F1"/>
          </w:tcPr>
          <w:p w:rsidR="00E12FDA" w:rsidRPr="00B75FD7" w:rsidRDefault="00E12FDA" w:rsidP="00E12FDA">
            <w:pPr>
              <w:pStyle w:val="a7"/>
              <w:ind w:left="0"/>
              <w:rPr>
                <w:b/>
                <w:sz w:val="22"/>
              </w:rPr>
            </w:pPr>
          </w:p>
        </w:tc>
        <w:tc>
          <w:tcPr>
            <w:tcW w:w="1499" w:type="dxa"/>
            <w:vMerge w:val="restart"/>
            <w:tcBorders>
              <w:top w:val="single" w:sz="4" w:space="0" w:color="auto"/>
              <w:right w:val="single" w:sz="4" w:space="0" w:color="auto"/>
            </w:tcBorders>
            <w:shd w:val="clear" w:color="auto" w:fill="auto"/>
          </w:tcPr>
          <w:p w:rsidR="00E12FDA" w:rsidRPr="00B75FD7" w:rsidRDefault="00E12FDA" w:rsidP="00E12FDA">
            <w:pPr>
              <w:pStyle w:val="a7"/>
              <w:ind w:left="0"/>
              <w:jc w:val="center"/>
              <w:rPr>
                <w:sz w:val="22"/>
              </w:rPr>
            </w:pPr>
            <w:r w:rsidRPr="00B75FD7">
              <w:rPr>
                <w:sz w:val="22"/>
              </w:rPr>
              <w:t>46 170,1</w:t>
            </w:r>
          </w:p>
        </w:tc>
        <w:tc>
          <w:tcPr>
            <w:tcW w:w="1373" w:type="dxa"/>
            <w:gridSpan w:val="2"/>
            <w:vMerge w:val="restart"/>
            <w:tcBorders>
              <w:top w:val="single" w:sz="4" w:space="0" w:color="auto"/>
              <w:right w:val="single" w:sz="4" w:space="0" w:color="auto"/>
            </w:tcBorders>
            <w:shd w:val="clear" w:color="auto" w:fill="auto"/>
          </w:tcPr>
          <w:p w:rsidR="00E12FDA" w:rsidRPr="00B75FD7" w:rsidRDefault="00E12FDA" w:rsidP="00E12FDA">
            <w:pPr>
              <w:pStyle w:val="a7"/>
              <w:ind w:left="0"/>
              <w:jc w:val="center"/>
              <w:rPr>
                <w:b/>
                <w:sz w:val="22"/>
              </w:rPr>
            </w:pPr>
            <w:r w:rsidRPr="00B75FD7">
              <w:rPr>
                <w:b/>
                <w:sz w:val="22"/>
              </w:rPr>
              <w:t>-</w:t>
            </w:r>
          </w:p>
        </w:tc>
        <w:tc>
          <w:tcPr>
            <w:tcW w:w="1056" w:type="dxa"/>
            <w:tcBorders>
              <w:top w:val="single" w:sz="4" w:space="0" w:color="auto"/>
              <w:left w:val="single" w:sz="4" w:space="0" w:color="auto"/>
              <w:bottom w:val="single" w:sz="4" w:space="0" w:color="auto"/>
              <w:right w:val="single" w:sz="4" w:space="0" w:color="auto"/>
            </w:tcBorders>
            <w:shd w:val="clear" w:color="auto" w:fill="auto"/>
          </w:tcPr>
          <w:p w:rsidR="00E12FDA" w:rsidRPr="00B75FD7" w:rsidRDefault="00E12FDA" w:rsidP="00E12FDA">
            <w:pPr>
              <w:pStyle w:val="a7"/>
              <w:ind w:left="0"/>
              <w:jc w:val="center"/>
              <w:rPr>
                <w:b/>
                <w:sz w:val="22"/>
              </w:rPr>
            </w:pPr>
            <w:r w:rsidRPr="00B75FD7">
              <w:rPr>
                <w:b/>
                <w:sz w:val="22"/>
              </w:rPr>
              <w:t>Обсяг</w:t>
            </w:r>
          </w:p>
        </w:tc>
        <w:tc>
          <w:tcPr>
            <w:tcW w:w="1455" w:type="dxa"/>
            <w:gridSpan w:val="2"/>
            <w:tcBorders>
              <w:top w:val="single" w:sz="4" w:space="0" w:color="auto"/>
              <w:left w:val="single" w:sz="4" w:space="0" w:color="auto"/>
              <w:bottom w:val="single" w:sz="4" w:space="0" w:color="auto"/>
              <w:right w:val="single" w:sz="4" w:space="0" w:color="auto"/>
            </w:tcBorders>
            <w:shd w:val="clear" w:color="auto" w:fill="auto"/>
          </w:tcPr>
          <w:p w:rsidR="00E12FDA" w:rsidRPr="00B75FD7" w:rsidRDefault="00E12FDA" w:rsidP="00E12FDA">
            <w:pPr>
              <w:pStyle w:val="a7"/>
              <w:ind w:left="0"/>
              <w:jc w:val="center"/>
              <w:rPr>
                <w:b/>
                <w:sz w:val="22"/>
              </w:rPr>
            </w:pPr>
            <w:r w:rsidRPr="00B75FD7">
              <w:rPr>
                <w:b/>
                <w:sz w:val="22"/>
              </w:rPr>
              <w:t>Назва джерела</w:t>
            </w:r>
          </w:p>
        </w:tc>
        <w:tc>
          <w:tcPr>
            <w:tcW w:w="1373" w:type="dxa"/>
            <w:vMerge w:val="restart"/>
            <w:tcBorders>
              <w:top w:val="single" w:sz="4" w:space="0" w:color="auto"/>
              <w:left w:val="single" w:sz="4" w:space="0" w:color="auto"/>
            </w:tcBorders>
            <w:shd w:val="clear" w:color="auto" w:fill="auto"/>
          </w:tcPr>
          <w:p w:rsidR="00E12FDA" w:rsidRPr="00B75FD7" w:rsidRDefault="00E12FDA" w:rsidP="00E12FDA">
            <w:pPr>
              <w:pStyle w:val="a7"/>
              <w:ind w:left="0"/>
              <w:jc w:val="center"/>
              <w:rPr>
                <w:sz w:val="22"/>
              </w:rPr>
            </w:pPr>
          </w:p>
          <w:p w:rsidR="00E12FDA" w:rsidRPr="00B75FD7" w:rsidRDefault="00E12FDA" w:rsidP="00E12FDA">
            <w:pPr>
              <w:pStyle w:val="a7"/>
              <w:ind w:left="0"/>
              <w:jc w:val="center"/>
              <w:rPr>
                <w:sz w:val="22"/>
              </w:rPr>
            </w:pPr>
          </w:p>
          <w:p w:rsidR="00E12FDA" w:rsidRPr="00B75FD7" w:rsidRDefault="00E12FDA" w:rsidP="00E12FDA">
            <w:pPr>
              <w:pStyle w:val="a7"/>
              <w:ind w:left="0"/>
              <w:jc w:val="center"/>
              <w:rPr>
                <w:sz w:val="22"/>
              </w:rPr>
            </w:pPr>
            <w:r w:rsidRPr="00B75FD7">
              <w:rPr>
                <w:sz w:val="22"/>
              </w:rPr>
              <w:t>65 957,3</w:t>
            </w:r>
          </w:p>
        </w:tc>
      </w:tr>
      <w:tr w:rsidR="00E12FDA" w:rsidRPr="00B75FD7" w:rsidTr="00E12FDA">
        <w:trPr>
          <w:trHeight w:val="300"/>
        </w:trPr>
        <w:tc>
          <w:tcPr>
            <w:tcW w:w="3132" w:type="dxa"/>
            <w:vMerge/>
            <w:shd w:val="clear" w:color="auto" w:fill="C6D9F1"/>
          </w:tcPr>
          <w:p w:rsidR="00E12FDA" w:rsidRPr="00B75FD7" w:rsidRDefault="00E12FDA" w:rsidP="00E12FDA">
            <w:pPr>
              <w:pStyle w:val="a7"/>
              <w:ind w:left="0"/>
              <w:rPr>
                <w:b/>
                <w:sz w:val="22"/>
              </w:rPr>
            </w:pPr>
          </w:p>
        </w:tc>
        <w:tc>
          <w:tcPr>
            <w:tcW w:w="1499" w:type="dxa"/>
            <w:vMerge/>
            <w:tcBorders>
              <w:right w:val="single" w:sz="4" w:space="0" w:color="auto"/>
            </w:tcBorders>
            <w:shd w:val="clear" w:color="auto" w:fill="auto"/>
          </w:tcPr>
          <w:p w:rsidR="00E12FDA" w:rsidRPr="00B75FD7" w:rsidRDefault="00E12FDA" w:rsidP="00E12FDA">
            <w:pPr>
              <w:pStyle w:val="a7"/>
              <w:ind w:left="0"/>
              <w:jc w:val="center"/>
              <w:rPr>
                <w:sz w:val="22"/>
              </w:rPr>
            </w:pPr>
          </w:p>
        </w:tc>
        <w:tc>
          <w:tcPr>
            <w:tcW w:w="1373" w:type="dxa"/>
            <w:gridSpan w:val="2"/>
            <w:vMerge/>
            <w:tcBorders>
              <w:right w:val="single" w:sz="4" w:space="0" w:color="auto"/>
            </w:tcBorders>
            <w:shd w:val="clear" w:color="auto" w:fill="auto"/>
          </w:tcPr>
          <w:p w:rsidR="00E12FDA" w:rsidRPr="00B75FD7" w:rsidRDefault="00E12FDA" w:rsidP="00E12FDA">
            <w:pPr>
              <w:pStyle w:val="a7"/>
              <w:ind w:left="0"/>
              <w:jc w:val="center"/>
              <w:rPr>
                <w:b/>
                <w:sz w:val="22"/>
              </w:rPr>
            </w:pPr>
          </w:p>
        </w:tc>
        <w:tc>
          <w:tcPr>
            <w:tcW w:w="1056" w:type="dxa"/>
            <w:tcBorders>
              <w:top w:val="single" w:sz="4" w:space="0" w:color="auto"/>
              <w:left w:val="single" w:sz="4" w:space="0" w:color="auto"/>
              <w:right w:val="single" w:sz="4" w:space="0" w:color="auto"/>
            </w:tcBorders>
            <w:shd w:val="clear" w:color="auto" w:fill="auto"/>
          </w:tcPr>
          <w:p w:rsidR="00E12FDA" w:rsidRPr="00B75FD7" w:rsidRDefault="00E12FDA" w:rsidP="00E12FDA">
            <w:pPr>
              <w:pStyle w:val="a7"/>
              <w:ind w:left="0"/>
              <w:jc w:val="center"/>
              <w:rPr>
                <w:b/>
                <w:sz w:val="22"/>
              </w:rPr>
            </w:pPr>
            <w:r w:rsidRPr="00B75FD7">
              <w:rPr>
                <w:sz w:val="22"/>
              </w:rPr>
              <w:t>19 787,2</w:t>
            </w:r>
          </w:p>
        </w:tc>
        <w:tc>
          <w:tcPr>
            <w:tcW w:w="1455" w:type="dxa"/>
            <w:gridSpan w:val="2"/>
            <w:tcBorders>
              <w:top w:val="single" w:sz="4" w:space="0" w:color="auto"/>
              <w:left w:val="single" w:sz="4" w:space="0" w:color="auto"/>
              <w:right w:val="single" w:sz="4" w:space="0" w:color="auto"/>
            </w:tcBorders>
            <w:shd w:val="clear" w:color="auto" w:fill="auto"/>
          </w:tcPr>
          <w:p w:rsidR="00E12FDA" w:rsidRPr="00B75FD7" w:rsidRDefault="00E12FDA" w:rsidP="00E12FDA">
            <w:pPr>
              <w:pStyle w:val="a7"/>
              <w:ind w:left="0"/>
              <w:jc w:val="center"/>
              <w:rPr>
                <w:sz w:val="22"/>
              </w:rPr>
            </w:pPr>
            <w:r w:rsidRPr="00B75FD7">
              <w:rPr>
                <w:sz w:val="22"/>
              </w:rPr>
              <w:t>Міжнародні інвестиції, кошти приватних осіб</w:t>
            </w:r>
          </w:p>
        </w:tc>
        <w:tc>
          <w:tcPr>
            <w:tcW w:w="1373" w:type="dxa"/>
            <w:vMerge/>
            <w:tcBorders>
              <w:left w:val="single" w:sz="4" w:space="0" w:color="auto"/>
            </w:tcBorders>
            <w:shd w:val="clear" w:color="auto" w:fill="auto"/>
          </w:tcPr>
          <w:p w:rsidR="00E12FDA" w:rsidRPr="00B75FD7" w:rsidRDefault="00E12FDA" w:rsidP="00E12FDA">
            <w:pPr>
              <w:pStyle w:val="a7"/>
              <w:ind w:left="0"/>
              <w:jc w:val="center"/>
              <w:rPr>
                <w:sz w:val="22"/>
              </w:rPr>
            </w:pPr>
          </w:p>
        </w:tc>
      </w:tr>
    </w:tbl>
    <w:p w:rsidR="00E95FB1" w:rsidRPr="00B75FD7" w:rsidRDefault="00E95FB1" w:rsidP="00E95FB1">
      <w:pPr>
        <w:rPr>
          <w:sz w:val="22"/>
        </w:rPr>
      </w:pPr>
    </w:p>
    <w:p w:rsidR="00E95FB1" w:rsidRPr="00B75FD7" w:rsidRDefault="00E95FB1" w:rsidP="00E95FB1">
      <w:pPr>
        <w:rPr>
          <w:sz w:val="22"/>
        </w:rPr>
      </w:pPr>
    </w:p>
    <w:p w:rsidR="00E95FB1" w:rsidRPr="00B75FD7" w:rsidRDefault="00E95FB1" w:rsidP="00E95FB1">
      <w:pPr>
        <w:rPr>
          <w:sz w:val="22"/>
        </w:rPr>
      </w:pPr>
    </w:p>
    <w:tbl>
      <w:tblPr>
        <w:tblW w:w="992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799"/>
        <w:gridCol w:w="320"/>
        <w:gridCol w:w="1140"/>
        <w:gridCol w:w="1324"/>
        <w:gridCol w:w="334"/>
        <w:gridCol w:w="858"/>
        <w:gridCol w:w="442"/>
        <w:gridCol w:w="1225"/>
        <w:gridCol w:w="1446"/>
        <w:gridCol w:w="35"/>
      </w:tblGrid>
      <w:tr w:rsidR="00E12FDA" w:rsidRPr="00B75FD7" w:rsidTr="004D1477">
        <w:trPr>
          <w:trHeight w:val="293"/>
        </w:trPr>
        <w:tc>
          <w:tcPr>
            <w:tcW w:w="3119" w:type="dxa"/>
            <w:gridSpan w:val="2"/>
            <w:tcBorders>
              <w:bottom w:val="single" w:sz="4" w:space="0" w:color="000000"/>
            </w:tcBorders>
            <w:shd w:val="clear" w:color="C6D9F1" w:themeColor="text2" w:themeTint="33" w:fill="C6D9F1" w:themeFill="text2" w:themeFillTint="33"/>
          </w:tcPr>
          <w:p w:rsidR="00E12FDA" w:rsidRPr="00B75FD7" w:rsidRDefault="00E12FDA" w:rsidP="00E12FDA">
            <w:pPr>
              <w:rPr>
                <w:rFonts w:eastAsia="Calibri"/>
                <w:color w:val="000000"/>
                <w:sz w:val="22"/>
              </w:rPr>
            </w:pPr>
            <w:r w:rsidRPr="00B75FD7">
              <w:rPr>
                <w:b/>
                <w:sz w:val="22"/>
              </w:rPr>
              <w:t>Оперативна ціль/завдання</w:t>
            </w:r>
          </w:p>
        </w:tc>
        <w:tc>
          <w:tcPr>
            <w:tcW w:w="6804" w:type="dxa"/>
            <w:gridSpan w:val="8"/>
            <w:shd w:val="clear" w:color="auto" w:fill="auto"/>
          </w:tcPr>
          <w:p w:rsidR="00E12FDA" w:rsidRPr="00B75FD7" w:rsidRDefault="00E12FDA" w:rsidP="00E12FDA">
            <w:pPr>
              <w:autoSpaceDE w:val="0"/>
              <w:snapToGrid w:val="0"/>
              <w:rPr>
                <w:sz w:val="22"/>
              </w:rPr>
            </w:pPr>
            <w:r w:rsidRPr="00B75FD7">
              <w:rPr>
                <w:rFonts w:eastAsia="Calibri"/>
                <w:color w:val="000000"/>
                <w:sz w:val="22"/>
              </w:rPr>
              <w:t>Комфорт життя ЛЮДИНИ як безпека, екологічна сталість та розумна енергетика,</w:t>
            </w:r>
          </w:p>
        </w:tc>
      </w:tr>
      <w:tr w:rsidR="00E12FDA" w:rsidRPr="00B75FD7" w:rsidTr="004D1477">
        <w:trPr>
          <w:trHeight w:val="84"/>
        </w:trPr>
        <w:tc>
          <w:tcPr>
            <w:tcW w:w="3119" w:type="dxa"/>
            <w:gridSpan w:val="2"/>
            <w:shd w:val="clear" w:color="C6D9F1" w:themeColor="text2" w:themeTint="33" w:fill="C6D9F1" w:themeFill="text2" w:themeFillTint="33"/>
          </w:tcPr>
          <w:p w:rsidR="00E12FDA" w:rsidRPr="00B75FD7" w:rsidRDefault="00E12FDA" w:rsidP="00E12FDA">
            <w:pPr>
              <w:rPr>
                <w:b/>
                <w:sz w:val="22"/>
              </w:rPr>
            </w:pPr>
            <w:r w:rsidRPr="00B75FD7">
              <w:rPr>
                <w:b/>
                <w:sz w:val="22"/>
              </w:rPr>
              <w:t>Назва проекту:</w:t>
            </w:r>
          </w:p>
        </w:tc>
        <w:tc>
          <w:tcPr>
            <w:tcW w:w="6804" w:type="dxa"/>
            <w:gridSpan w:val="8"/>
            <w:shd w:val="clear" w:color="auto" w:fill="auto"/>
          </w:tcPr>
          <w:p w:rsidR="00E12FDA" w:rsidRPr="00B75FD7" w:rsidRDefault="00E12FDA" w:rsidP="00E12FDA">
            <w:pPr>
              <w:autoSpaceDE w:val="0"/>
              <w:snapToGrid w:val="0"/>
              <w:rPr>
                <w:sz w:val="22"/>
              </w:rPr>
            </w:pPr>
            <w:r w:rsidRPr="00B75FD7">
              <w:rPr>
                <w:rFonts w:eastAsia="Calibri"/>
                <w:color w:val="000000"/>
                <w:sz w:val="22"/>
              </w:rPr>
              <w:t>Відновлення  діяльності КП «</w:t>
            </w:r>
            <w:proofErr w:type="spellStart"/>
            <w:r w:rsidRPr="00B75FD7">
              <w:rPr>
                <w:rFonts w:eastAsia="Calibri"/>
                <w:color w:val="000000"/>
                <w:sz w:val="22"/>
              </w:rPr>
              <w:t>Житлосервіс</w:t>
            </w:r>
            <w:proofErr w:type="spellEnd"/>
            <w:r w:rsidRPr="00B75FD7">
              <w:rPr>
                <w:rFonts w:eastAsia="Calibri"/>
                <w:color w:val="000000"/>
                <w:sz w:val="22"/>
              </w:rPr>
              <w:t xml:space="preserve"> «Світанок»</w:t>
            </w:r>
          </w:p>
        </w:tc>
      </w:tr>
      <w:tr w:rsidR="00E12FDA" w:rsidRPr="00B75FD7" w:rsidTr="004D1477">
        <w:trPr>
          <w:trHeight w:val="260"/>
        </w:trPr>
        <w:tc>
          <w:tcPr>
            <w:tcW w:w="3119" w:type="dxa"/>
            <w:gridSpan w:val="2"/>
            <w:shd w:val="clear" w:color="C6D9F1" w:themeColor="text2" w:themeTint="33" w:fill="C6D9F1" w:themeFill="text2" w:themeFillTint="33"/>
          </w:tcPr>
          <w:p w:rsidR="00E12FDA" w:rsidRPr="00B75FD7" w:rsidRDefault="00E12FDA" w:rsidP="00E12FDA">
            <w:pPr>
              <w:rPr>
                <w:b/>
                <w:sz w:val="22"/>
              </w:rPr>
            </w:pPr>
            <w:r w:rsidRPr="00B75FD7">
              <w:rPr>
                <w:b/>
                <w:sz w:val="22"/>
              </w:rPr>
              <w:t>Ціль проекту</w:t>
            </w:r>
          </w:p>
        </w:tc>
        <w:tc>
          <w:tcPr>
            <w:tcW w:w="6804" w:type="dxa"/>
            <w:gridSpan w:val="8"/>
            <w:shd w:val="clear" w:color="auto" w:fill="auto"/>
          </w:tcPr>
          <w:p w:rsidR="00E12FDA" w:rsidRPr="00B75FD7" w:rsidRDefault="00E12FDA" w:rsidP="00E12FDA">
            <w:pPr>
              <w:autoSpaceDE w:val="0"/>
              <w:snapToGrid w:val="0"/>
              <w:rPr>
                <w:sz w:val="22"/>
              </w:rPr>
            </w:pPr>
            <w:r w:rsidRPr="00B75FD7">
              <w:rPr>
                <w:rFonts w:eastAsia="Calibri"/>
                <w:color w:val="000000"/>
                <w:sz w:val="22"/>
              </w:rPr>
              <w:t xml:space="preserve"> Відновлення та покращення роботи комунального підприємства «</w:t>
            </w:r>
            <w:proofErr w:type="spellStart"/>
            <w:r w:rsidRPr="00B75FD7">
              <w:rPr>
                <w:rFonts w:eastAsia="Calibri"/>
                <w:color w:val="000000"/>
                <w:sz w:val="22"/>
              </w:rPr>
              <w:t>Житлосервіс</w:t>
            </w:r>
            <w:proofErr w:type="spellEnd"/>
            <w:r w:rsidRPr="00B75FD7">
              <w:rPr>
                <w:rFonts w:eastAsia="Calibri"/>
                <w:color w:val="000000"/>
                <w:sz w:val="22"/>
              </w:rPr>
              <w:t xml:space="preserve"> «Світанок» для  забезпечення якісною послугою щодо обслуговування житлового фонду</w:t>
            </w:r>
          </w:p>
        </w:tc>
      </w:tr>
      <w:tr w:rsidR="00E12FDA" w:rsidRPr="00B75FD7" w:rsidTr="004D1477">
        <w:trPr>
          <w:trHeight w:val="84"/>
        </w:trPr>
        <w:tc>
          <w:tcPr>
            <w:tcW w:w="3119" w:type="dxa"/>
            <w:gridSpan w:val="2"/>
            <w:shd w:val="clear" w:color="C6D9F1" w:themeColor="text2" w:themeTint="33" w:fill="C6D9F1" w:themeFill="text2" w:themeFillTint="33"/>
          </w:tcPr>
          <w:p w:rsidR="00E12FDA" w:rsidRPr="00B75FD7" w:rsidRDefault="00E12FDA" w:rsidP="00E12FDA">
            <w:pPr>
              <w:rPr>
                <w:b/>
                <w:sz w:val="22"/>
              </w:rPr>
            </w:pPr>
            <w:r w:rsidRPr="00B75FD7">
              <w:rPr>
                <w:b/>
                <w:sz w:val="22"/>
              </w:rPr>
              <w:t>Територія, на яку матиме вплив реалізація проекту</w:t>
            </w:r>
          </w:p>
        </w:tc>
        <w:tc>
          <w:tcPr>
            <w:tcW w:w="6804" w:type="dxa"/>
            <w:gridSpan w:val="8"/>
            <w:shd w:val="clear" w:color="auto" w:fill="auto"/>
          </w:tcPr>
          <w:p w:rsidR="00E12FDA" w:rsidRPr="00B75FD7" w:rsidRDefault="00E12FDA" w:rsidP="00E12FDA">
            <w:pPr>
              <w:autoSpaceDE w:val="0"/>
              <w:rPr>
                <w:sz w:val="22"/>
              </w:rPr>
            </w:pPr>
            <w:r w:rsidRPr="00B75FD7">
              <w:rPr>
                <w:rFonts w:eastAsia="Calibri"/>
                <w:color w:val="000000"/>
                <w:sz w:val="22"/>
              </w:rPr>
              <w:t>Сєвєродонецька міська територіальна громада</w:t>
            </w:r>
          </w:p>
        </w:tc>
      </w:tr>
      <w:tr w:rsidR="00E12FDA" w:rsidRPr="00B75FD7" w:rsidTr="004D1477">
        <w:trPr>
          <w:trHeight w:val="168"/>
        </w:trPr>
        <w:tc>
          <w:tcPr>
            <w:tcW w:w="3119" w:type="dxa"/>
            <w:gridSpan w:val="2"/>
            <w:shd w:val="clear" w:color="C6D9F1" w:themeColor="text2" w:themeTint="33" w:fill="C6D9F1" w:themeFill="text2" w:themeFillTint="33"/>
          </w:tcPr>
          <w:p w:rsidR="00E12FDA" w:rsidRPr="00B75FD7" w:rsidRDefault="00E12FDA" w:rsidP="00E12FDA">
            <w:pPr>
              <w:rPr>
                <w:b/>
                <w:sz w:val="22"/>
              </w:rPr>
            </w:pPr>
            <w:r w:rsidRPr="00B75FD7">
              <w:rPr>
                <w:b/>
                <w:sz w:val="22"/>
              </w:rPr>
              <w:t>Чисельність населення, на яке матиме вплив реалізація проекту</w:t>
            </w:r>
          </w:p>
        </w:tc>
        <w:tc>
          <w:tcPr>
            <w:tcW w:w="6804" w:type="dxa"/>
            <w:gridSpan w:val="8"/>
            <w:shd w:val="clear" w:color="auto" w:fill="auto"/>
          </w:tcPr>
          <w:p w:rsidR="00E12FDA" w:rsidRPr="00B75FD7" w:rsidRDefault="00E12FDA" w:rsidP="00E12FDA">
            <w:pPr>
              <w:autoSpaceDE w:val="0"/>
              <w:snapToGrid w:val="0"/>
              <w:rPr>
                <w:sz w:val="22"/>
              </w:rPr>
            </w:pPr>
            <w:r w:rsidRPr="00B75FD7">
              <w:rPr>
                <w:rFonts w:eastAsia="Calibri"/>
                <w:color w:val="000000"/>
                <w:sz w:val="22"/>
              </w:rPr>
              <w:t>150000</w:t>
            </w:r>
          </w:p>
        </w:tc>
      </w:tr>
      <w:tr w:rsidR="00E12FDA" w:rsidRPr="00B75FD7" w:rsidTr="004D1477">
        <w:trPr>
          <w:trHeight w:val="315"/>
        </w:trPr>
        <w:tc>
          <w:tcPr>
            <w:tcW w:w="3119" w:type="dxa"/>
            <w:gridSpan w:val="2"/>
            <w:shd w:val="clear" w:color="C6D9F1" w:themeColor="text2" w:themeTint="33" w:fill="C6D9F1" w:themeFill="text2" w:themeFillTint="33"/>
          </w:tcPr>
          <w:p w:rsidR="00E12FDA" w:rsidRPr="00B75FD7" w:rsidRDefault="00E12FDA" w:rsidP="00E12FDA">
            <w:pPr>
              <w:rPr>
                <w:b/>
                <w:sz w:val="22"/>
              </w:rPr>
            </w:pPr>
            <w:r w:rsidRPr="00B75FD7">
              <w:rPr>
                <w:b/>
                <w:sz w:val="22"/>
              </w:rPr>
              <w:t>Опис проблеми, на вирішення якої спрямований проект</w:t>
            </w:r>
          </w:p>
        </w:tc>
        <w:tc>
          <w:tcPr>
            <w:tcW w:w="6804" w:type="dxa"/>
            <w:gridSpan w:val="8"/>
            <w:shd w:val="clear" w:color="auto" w:fill="auto"/>
          </w:tcPr>
          <w:p w:rsidR="00E12FDA" w:rsidRPr="00B75FD7" w:rsidRDefault="00E12FDA" w:rsidP="00E12FDA">
            <w:pPr>
              <w:autoSpaceDE w:val="0"/>
              <w:snapToGrid w:val="0"/>
              <w:rPr>
                <w:sz w:val="22"/>
              </w:rPr>
            </w:pPr>
            <w:r w:rsidRPr="00B75FD7">
              <w:rPr>
                <w:rFonts w:eastAsia="Calibri"/>
                <w:color w:val="000000"/>
                <w:sz w:val="22"/>
              </w:rPr>
              <w:t xml:space="preserve">У зв'язку з військовою агресією РФ територія Сєвєродонецької міської </w:t>
            </w:r>
            <w:proofErr w:type="spellStart"/>
            <w:r w:rsidRPr="00B75FD7">
              <w:rPr>
                <w:rFonts w:eastAsia="Calibri"/>
                <w:color w:val="000000"/>
                <w:sz w:val="22"/>
              </w:rPr>
              <w:t>териториальної</w:t>
            </w:r>
            <w:proofErr w:type="spellEnd"/>
            <w:r w:rsidRPr="00B75FD7">
              <w:rPr>
                <w:rFonts w:eastAsia="Calibri"/>
                <w:color w:val="000000"/>
                <w:sz w:val="22"/>
              </w:rPr>
              <w:t xml:space="preserve"> громади зазнала значних пошкоджень, а саме увесь житловий фонд громади частково або повністю зруйнований. Для відбудови пошкодженого житла потрібно комплексне відновлення багатоквартирних будинків сучасними будівельними матеріалами із залученням кваліфікованих спеціалістів</w:t>
            </w:r>
          </w:p>
        </w:tc>
      </w:tr>
      <w:tr w:rsidR="00E12FDA" w:rsidRPr="00B75FD7" w:rsidTr="004D1477">
        <w:trPr>
          <w:trHeight w:val="153"/>
        </w:trPr>
        <w:tc>
          <w:tcPr>
            <w:tcW w:w="3119" w:type="dxa"/>
            <w:gridSpan w:val="2"/>
            <w:shd w:val="clear" w:color="C6D9F1" w:themeColor="text2" w:themeTint="33" w:fill="C6D9F1" w:themeFill="text2" w:themeFillTint="33"/>
          </w:tcPr>
          <w:p w:rsidR="00E12FDA" w:rsidRPr="00B75FD7" w:rsidRDefault="00E12FDA" w:rsidP="00E12FDA">
            <w:pPr>
              <w:rPr>
                <w:b/>
                <w:sz w:val="22"/>
              </w:rPr>
            </w:pPr>
            <w:r w:rsidRPr="00B75FD7">
              <w:rPr>
                <w:b/>
                <w:sz w:val="22"/>
              </w:rPr>
              <w:lastRenderedPageBreak/>
              <w:t>Очікувані якісні результати від реалізації проекту</w:t>
            </w:r>
          </w:p>
        </w:tc>
        <w:tc>
          <w:tcPr>
            <w:tcW w:w="6804" w:type="dxa"/>
            <w:gridSpan w:val="8"/>
            <w:shd w:val="clear" w:color="auto" w:fill="auto"/>
          </w:tcPr>
          <w:p w:rsidR="00E12FDA" w:rsidRPr="00B75FD7" w:rsidRDefault="00E12FDA" w:rsidP="00E12FDA">
            <w:pPr>
              <w:autoSpaceDE w:val="0"/>
              <w:snapToGrid w:val="0"/>
              <w:rPr>
                <w:rFonts w:eastAsia="Calibri"/>
                <w:color w:val="000000"/>
                <w:sz w:val="22"/>
              </w:rPr>
            </w:pPr>
            <w:r w:rsidRPr="00B75FD7">
              <w:rPr>
                <w:rFonts w:eastAsia="Calibri"/>
                <w:color w:val="000000"/>
                <w:sz w:val="22"/>
              </w:rPr>
              <w:t>повного задоволення суспільних і особистих потреб населення;</w:t>
            </w:r>
          </w:p>
          <w:p w:rsidR="00E12FDA" w:rsidRPr="00B75FD7" w:rsidRDefault="00E12FDA" w:rsidP="00E12FDA">
            <w:pPr>
              <w:autoSpaceDE w:val="0"/>
              <w:snapToGrid w:val="0"/>
              <w:rPr>
                <w:rFonts w:eastAsia="Calibri"/>
                <w:color w:val="000000"/>
                <w:sz w:val="22"/>
              </w:rPr>
            </w:pPr>
            <w:r w:rsidRPr="00B75FD7">
              <w:rPr>
                <w:rFonts w:eastAsia="Calibri"/>
                <w:color w:val="000000"/>
                <w:sz w:val="22"/>
              </w:rPr>
              <w:t>надання широкого спектру комунальних послуг;</w:t>
            </w:r>
          </w:p>
          <w:p w:rsidR="00E12FDA" w:rsidRPr="00B75FD7" w:rsidRDefault="00E12FDA" w:rsidP="00E12FDA">
            <w:pPr>
              <w:autoSpaceDE w:val="0"/>
              <w:snapToGrid w:val="0"/>
              <w:rPr>
                <w:rFonts w:eastAsia="Calibri"/>
                <w:color w:val="000000"/>
                <w:sz w:val="22"/>
              </w:rPr>
            </w:pPr>
            <w:r w:rsidRPr="00B75FD7">
              <w:rPr>
                <w:rFonts w:eastAsia="Calibri"/>
                <w:color w:val="000000"/>
                <w:sz w:val="22"/>
              </w:rPr>
              <w:t xml:space="preserve">вирішення ряду питань, </w:t>
            </w:r>
            <w:proofErr w:type="spellStart"/>
            <w:r w:rsidRPr="00B75FD7">
              <w:rPr>
                <w:rFonts w:eastAsia="Calibri"/>
                <w:color w:val="000000"/>
                <w:sz w:val="22"/>
              </w:rPr>
              <w:t>повязаниз</w:t>
            </w:r>
            <w:proofErr w:type="spellEnd"/>
            <w:r w:rsidRPr="00B75FD7">
              <w:rPr>
                <w:rFonts w:eastAsia="Calibri"/>
                <w:color w:val="000000"/>
                <w:sz w:val="22"/>
              </w:rPr>
              <w:t xml:space="preserve"> з відбудовою житлового фонду та розвитком громади;</w:t>
            </w:r>
          </w:p>
          <w:p w:rsidR="00E12FDA" w:rsidRPr="00B75FD7" w:rsidRDefault="00E12FDA" w:rsidP="00E12FDA">
            <w:pPr>
              <w:autoSpaceDE w:val="0"/>
              <w:snapToGrid w:val="0"/>
              <w:rPr>
                <w:rFonts w:eastAsia="Calibri"/>
                <w:color w:val="000000"/>
                <w:sz w:val="22"/>
              </w:rPr>
            </w:pPr>
            <w:r w:rsidRPr="00B75FD7">
              <w:rPr>
                <w:rFonts w:eastAsia="Calibri"/>
                <w:color w:val="000000"/>
                <w:sz w:val="22"/>
              </w:rPr>
              <w:t>створення нових робочих місць;</w:t>
            </w:r>
          </w:p>
          <w:p w:rsidR="00E12FDA" w:rsidRPr="00B75FD7" w:rsidRDefault="00E12FDA" w:rsidP="00E12FDA">
            <w:pPr>
              <w:autoSpaceDE w:val="0"/>
              <w:snapToGrid w:val="0"/>
              <w:rPr>
                <w:sz w:val="22"/>
              </w:rPr>
            </w:pPr>
            <w:r w:rsidRPr="00B75FD7">
              <w:rPr>
                <w:rFonts w:eastAsia="Calibri"/>
                <w:color w:val="000000"/>
                <w:sz w:val="22"/>
              </w:rPr>
              <w:t>стимул до повернення ВПО до громади.</w:t>
            </w:r>
          </w:p>
        </w:tc>
      </w:tr>
      <w:tr w:rsidR="00E12FDA" w:rsidRPr="00B75FD7" w:rsidTr="004D1477">
        <w:trPr>
          <w:trHeight w:val="168"/>
        </w:trPr>
        <w:tc>
          <w:tcPr>
            <w:tcW w:w="3119" w:type="dxa"/>
            <w:gridSpan w:val="2"/>
            <w:vMerge w:val="restart"/>
            <w:shd w:val="clear" w:color="C6D9F1" w:themeColor="text2" w:themeTint="33" w:fill="C6D9F1" w:themeFill="text2" w:themeFillTint="33"/>
          </w:tcPr>
          <w:p w:rsidR="00E12FDA" w:rsidRPr="00B75FD7" w:rsidRDefault="00E12FDA" w:rsidP="00E12FDA">
            <w:pPr>
              <w:rPr>
                <w:b/>
                <w:sz w:val="22"/>
              </w:rPr>
            </w:pPr>
            <w:r w:rsidRPr="00B75FD7">
              <w:rPr>
                <w:b/>
                <w:sz w:val="22"/>
              </w:rPr>
              <w:t>Очікувані кількісні результати від реалізації проекту  (індикатори)</w:t>
            </w:r>
          </w:p>
        </w:tc>
        <w:tc>
          <w:tcPr>
            <w:tcW w:w="2798" w:type="dxa"/>
            <w:gridSpan w:val="3"/>
            <w:shd w:val="clear" w:color="auto" w:fill="auto"/>
          </w:tcPr>
          <w:p w:rsidR="00E12FDA" w:rsidRPr="00B75FD7" w:rsidRDefault="00E12FDA" w:rsidP="00E12FDA">
            <w:pPr>
              <w:autoSpaceDE w:val="0"/>
              <w:jc w:val="center"/>
              <w:rPr>
                <w:rFonts w:eastAsia="Calibri"/>
                <w:b/>
                <w:color w:val="000000"/>
                <w:sz w:val="22"/>
              </w:rPr>
            </w:pPr>
            <w:r w:rsidRPr="00B75FD7">
              <w:rPr>
                <w:rFonts w:eastAsia="Calibri"/>
                <w:b/>
                <w:color w:val="000000"/>
                <w:sz w:val="22"/>
              </w:rPr>
              <w:t>Найменування показника</w:t>
            </w:r>
          </w:p>
        </w:tc>
        <w:tc>
          <w:tcPr>
            <w:tcW w:w="1300" w:type="dxa"/>
            <w:gridSpan w:val="2"/>
            <w:shd w:val="clear" w:color="auto" w:fill="auto"/>
          </w:tcPr>
          <w:p w:rsidR="00E12FDA" w:rsidRPr="00B75FD7" w:rsidRDefault="00E12FDA" w:rsidP="00E12FDA">
            <w:pPr>
              <w:autoSpaceDE w:val="0"/>
              <w:jc w:val="center"/>
              <w:rPr>
                <w:rFonts w:eastAsia="Calibri"/>
                <w:b/>
                <w:color w:val="000000"/>
                <w:sz w:val="22"/>
              </w:rPr>
            </w:pPr>
            <w:r w:rsidRPr="00B75FD7">
              <w:rPr>
                <w:rFonts w:eastAsia="Calibri"/>
                <w:b/>
                <w:color w:val="000000"/>
                <w:sz w:val="22"/>
              </w:rPr>
              <w:t>Одиниця вимірювання</w:t>
            </w:r>
          </w:p>
        </w:tc>
        <w:tc>
          <w:tcPr>
            <w:tcW w:w="2706" w:type="dxa"/>
            <w:gridSpan w:val="3"/>
            <w:shd w:val="clear" w:color="auto" w:fill="auto"/>
          </w:tcPr>
          <w:p w:rsidR="00E12FDA" w:rsidRPr="00B75FD7" w:rsidRDefault="00E12FDA" w:rsidP="00E12FDA">
            <w:pPr>
              <w:autoSpaceDE w:val="0"/>
              <w:ind w:left="-30"/>
              <w:jc w:val="center"/>
              <w:rPr>
                <w:sz w:val="22"/>
              </w:rPr>
            </w:pPr>
            <w:r w:rsidRPr="00B75FD7">
              <w:rPr>
                <w:rFonts w:eastAsia="Calibri"/>
                <w:b/>
                <w:color w:val="000000"/>
                <w:sz w:val="22"/>
              </w:rPr>
              <w:t>Прогнозне (цільове) значення</w:t>
            </w:r>
          </w:p>
        </w:tc>
      </w:tr>
      <w:tr w:rsidR="00E12FDA" w:rsidRPr="00B75FD7" w:rsidTr="004D1477">
        <w:trPr>
          <w:trHeight w:val="84"/>
        </w:trPr>
        <w:tc>
          <w:tcPr>
            <w:tcW w:w="3119" w:type="dxa"/>
            <w:gridSpan w:val="2"/>
            <w:vMerge/>
            <w:shd w:val="clear" w:color="C6D9F1" w:themeColor="text2" w:themeTint="33" w:fill="C6D9F1" w:themeFill="text2" w:themeFillTint="33"/>
          </w:tcPr>
          <w:p w:rsidR="00E12FDA" w:rsidRPr="00B75FD7" w:rsidRDefault="00E12FDA" w:rsidP="00E12FDA">
            <w:pPr>
              <w:rPr>
                <w:b/>
                <w:sz w:val="22"/>
              </w:rPr>
            </w:pPr>
          </w:p>
        </w:tc>
        <w:tc>
          <w:tcPr>
            <w:tcW w:w="2798" w:type="dxa"/>
            <w:gridSpan w:val="3"/>
            <w:shd w:val="clear" w:color="auto" w:fill="auto"/>
          </w:tcPr>
          <w:p w:rsidR="00E12FDA" w:rsidRPr="00B75FD7" w:rsidRDefault="00E12FDA" w:rsidP="00E12FDA">
            <w:pPr>
              <w:autoSpaceDE w:val="0"/>
              <w:snapToGrid w:val="0"/>
              <w:jc w:val="center"/>
              <w:rPr>
                <w:rFonts w:eastAsia="Calibri"/>
                <w:color w:val="000000"/>
                <w:sz w:val="22"/>
              </w:rPr>
            </w:pPr>
            <w:r w:rsidRPr="00B75FD7">
              <w:rPr>
                <w:rFonts w:eastAsia="Calibri"/>
                <w:color w:val="000000"/>
                <w:sz w:val="22"/>
              </w:rPr>
              <w:t>Кількість фізичних осіб, які звернулись за послугами протягом року</w:t>
            </w:r>
          </w:p>
        </w:tc>
        <w:tc>
          <w:tcPr>
            <w:tcW w:w="1300" w:type="dxa"/>
            <w:gridSpan w:val="2"/>
            <w:shd w:val="clear" w:color="auto" w:fill="auto"/>
          </w:tcPr>
          <w:p w:rsidR="00E12FDA" w:rsidRPr="00B75FD7" w:rsidRDefault="00E12FDA" w:rsidP="00E12FDA">
            <w:pPr>
              <w:autoSpaceDE w:val="0"/>
              <w:snapToGrid w:val="0"/>
              <w:jc w:val="center"/>
              <w:rPr>
                <w:rFonts w:eastAsia="Calibri"/>
                <w:color w:val="000000"/>
                <w:sz w:val="22"/>
              </w:rPr>
            </w:pPr>
            <w:r w:rsidRPr="00B75FD7">
              <w:rPr>
                <w:rFonts w:eastAsia="Calibri"/>
                <w:color w:val="000000"/>
                <w:sz w:val="22"/>
              </w:rPr>
              <w:t>осіб</w:t>
            </w:r>
          </w:p>
        </w:tc>
        <w:tc>
          <w:tcPr>
            <w:tcW w:w="2706" w:type="dxa"/>
            <w:gridSpan w:val="3"/>
            <w:shd w:val="clear" w:color="auto" w:fill="auto"/>
          </w:tcPr>
          <w:p w:rsidR="00E12FDA" w:rsidRPr="00B75FD7" w:rsidRDefault="00E12FDA" w:rsidP="00E12FDA">
            <w:pPr>
              <w:autoSpaceDE w:val="0"/>
              <w:snapToGrid w:val="0"/>
              <w:jc w:val="center"/>
              <w:rPr>
                <w:sz w:val="22"/>
              </w:rPr>
            </w:pPr>
            <w:r w:rsidRPr="00B75FD7">
              <w:rPr>
                <w:rFonts w:eastAsia="Calibri"/>
                <w:color w:val="000000"/>
                <w:sz w:val="22"/>
              </w:rPr>
              <w:t>150000</w:t>
            </w:r>
          </w:p>
        </w:tc>
      </w:tr>
      <w:tr w:rsidR="00E12FDA" w:rsidRPr="00B75FD7" w:rsidTr="004D1477">
        <w:trPr>
          <w:trHeight w:val="84"/>
        </w:trPr>
        <w:tc>
          <w:tcPr>
            <w:tcW w:w="3119" w:type="dxa"/>
            <w:gridSpan w:val="2"/>
            <w:vMerge/>
            <w:shd w:val="clear" w:color="C6D9F1" w:themeColor="text2" w:themeTint="33" w:fill="C6D9F1" w:themeFill="text2" w:themeFillTint="33"/>
          </w:tcPr>
          <w:p w:rsidR="00E12FDA" w:rsidRPr="00B75FD7" w:rsidRDefault="00E12FDA" w:rsidP="00E12FDA">
            <w:pPr>
              <w:rPr>
                <w:b/>
                <w:sz w:val="22"/>
              </w:rPr>
            </w:pPr>
          </w:p>
        </w:tc>
        <w:tc>
          <w:tcPr>
            <w:tcW w:w="2798" w:type="dxa"/>
            <w:gridSpan w:val="3"/>
            <w:shd w:val="clear" w:color="auto" w:fill="auto"/>
          </w:tcPr>
          <w:p w:rsidR="00E12FDA" w:rsidRPr="00B75FD7" w:rsidRDefault="00E12FDA" w:rsidP="00E12FDA">
            <w:pPr>
              <w:autoSpaceDE w:val="0"/>
              <w:snapToGrid w:val="0"/>
              <w:jc w:val="center"/>
              <w:rPr>
                <w:rFonts w:eastAsia="Calibri"/>
                <w:color w:val="000000"/>
                <w:sz w:val="22"/>
              </w:rPr>
            </w:pPr>
            <w:r w:rsidRPr="00B75FD7">
              <w:rPr>
                <w:rFonts w:eastAsia="Calibri"/>
                <w:color w:val="000000"/>
                <w:sz w:val="22"/>
              </w:rPr>
              <w:t>Кількість видів та типів послуг наданих протягом одного робочого дня</w:t>
            </w:r>
          </w:p>
        </w:tc>
        <w:tc>
          <w:tcPr>
            <w:tcW w:w="1300" w:type="dxa"/>
            <w:gridSpan w:val="2"/>
            <w:shd w:val="clear" w:color="auto" w:fill="auto"/>
          </w:tcPr>
          <w:p w:rsidR="00E12FDA" w:rsidRPr="00B75FD7" w:rsidRDefault="00E12FDA" w:rsidP="00E12FDA">
            <w:pPr>
              <w:autoSpaceDE w:val="0"/>
              <w:snapToGrid w:val="0"/>
              <w:jc w:val="center"/>
              <w:rPr>
                <w:rFonts w:eastAsia="Calibri"/>
                <w:color w:val="000000"/>
                <w:sz w:val="22"/>
              </w:rPr>
            </w:pPr>
            <w:r w:rsidRPr="00B75FD7">
              <w:rPr>
                <w:rFonts w:eastAsia="Calibri"/>
                <w:color w:val="000000"/>
                <w:sz w:val="22"/>
              </w:rPr>
              <w:t>одиниць</w:t>
            </w:r>
          </w:p>
        </w:tc>
        <w:tc>
          <w:tcPr>
            <w:tcW w:w="2706" w:type="dxa"/>
            <w:gridSpan w:val="3"/>
            <w:shd w:val="clear" w:color="auto" w:fill="auto"/>
          </w:tcPr>
          <w:p w:rsidR="00E12FDA" w:rsidRPr="00B75FD7" w:rsidRDefault="00E12FDA" w:rsidP="00E12FDA">
            <w:pPr>
              <w:autoSpaceDE w:val="0"/>
              <w:snapToGrid w:val="0"/>
              <w:jc w:val="center"/>
              <w:rPr>
                <w:sz w:val="22"/>
              </w:rPr>
            </w:pPr>
            <w:r w:rsidRPr="00B75FD7">
              <w:rPr>
                <w:rFonts w:eastAsia="Calibri"/>
                <w:color w:val="000000"/>
                <w:sz w:val="22"/>
              </w:rPr>
              <w:t>8</w:t>
            </w:r>
          </w:p>
        </w:tc>
      </w:tr>
      <w:tr w:rsidR="00E12FDA" w:rsidRPr="00B75FD7" w:rsidTr="004D1477">
        <w:trPr>
          <w:trHeight w:val="84"/>
        </w:trPr>
        <w:tc>
          <w:tcPr>
            <w:tcW w:w="3119" w:type="dxa"/>
            <w:gridSpan w:val="2"/>
            <w:vMerge/>
            <w:shd w:val="clear" w:color="C6D9F1" w:themeColor="text2" w:themeTint="33" w:fill="C6D9F1" w:themeFill="text2" w:themeFillTint="33"/>
          </w:tcPr>
          <w:p w:rsidR="00E12FDA" w:rsidRPr="00B75FD7" w:rsidRDefault="00E12FDA" w:rsidP="00E12FDA">
            <w:pPr>
              <w:rPr>
                <w:b/>
                <w:sz w:val="22"/>
              </w:rPr>
            </w:pPr>
          </w:p>
        </w:tc>
        <w:tc>
          <w:tcPr>
            <w:tcW w:w="2798" w:type="dxa"/>
            <w:gridSpan w:val="3"/>
            <w:shd w:val="clear" w:color="auto" w:fill="auto"/>
          </w:tcPr>
          <w:p w:rsidR="00E12FDA" w:rsidRPr="00B75FD7" w:rsidRDefault="00E12FDA" w:rsidP="00E12FDA">
            <w:pPr>
              <w:autoSpaceDE w:val="0"/>
              <w:snapToGrid w:val="0"/>
              <w:jc w:val="center"/>
              <w:rPr>
                <w:rFonts w:eastAsia="Calibri"/>
                <w:color w:val="000000"/>
                <w:sz w:val="22"/>
              </w:rPr>
            </w:pPr>
            <w:r w:rsidRPr="00B75FD7">
              <w:rPr>
                <w:rFonts w:eastAsia="Calibri"/>
                <w:color w:val="000000"/>
                <w:sz w:val="22"/>
              </w:rPr>
              <w:t>Термін надання послуги</w:t>
            </w:r>
          </w:p>
        </w:tc>
        <w:tc>
          <w:tcPr>
            <w:tcW w:w="1300" w:type="dxa"/>
            <w:gridSpan w:val="2"/>
            <w:shd w:val="clear" w:color="auto" w:fill="auto"/>
          </w:tcPr>
          <w:p w:rsidR="00E12FDA" w:rsidRPr="00B75FD7" w:rsidRDefault="00E12FDA" w:rsidP="00E12FDA">
            <w:pPr>
              <w:autoSpaceDE w:val="0"/>
              <w:snapToGrid w:val="0"/>
              <w:jc w:val="center"/>
              <w:rPr>
                <w:rFonts w:eastAsia="Calibri"/>
                <w:color w:val="000000"/>
                <w:sz w:val="22"/>
              </w:rPr>
            </w:pPr>
            <w:r w:rsidRPr="00B75FD7">
              <w:rPr>
                <w:rFonts w:eastAsia="Calibri"/>
                <w:color w:val="000000"/>
                <w:sz w:val="22"/>
              </w:rPr>
              <w:t>день</w:t>
            </w:r>
          </w:p>
        </w:tc>
        <w:tc>
          <w:tcPr>
            <w:tcW w:w="2706" w:type="dxa"/>
            <w:gridSpan w:val="3"/>
            <w:shd w:val="clear" w:color="auto" w:fill="auto"/>
          </w:tcPr>
          <w:p w:rsidR="00E12FDA" w:rsidRPr="00B75FD7" w:rsidRDefault="00E12FDA" w:rsidP="00E12FDA">
            <w:pPr>
              <w:autoSpaceDE w:val="0"/>
              <w:snapToGrid w:val="0"/>
              <w:jc w:val="center"/>
              <w:rPr>
                <w:sz w:val="22"/>
              </w:rPr>
            </w:pPr>
            <w:r w:rsidRPr="00B75FD7">
              <w:rPr>
                <w:rFonts w:eastAsia="Calibri"/>
                <w:color w:val="000000"/>
                <w:sz w:val="22"/>
              </w:rPr>
              <w:t>цілодобово</w:t>
            </w:r>
          </w:p>
        </w:tc>
      </w:tr>
      <w:tr w:rsidR="00E12FDA" w:rsidRPr="00B75FD7" w:rsidTr="004D1477">
        <w:trPr>
          <w:trHeight w:val="84"/>
        </w:trPr>
        <w:tc>
          <w:tcPr>
            <w:tcW w:w="3119" w:type="dxa"/>
            <w:gridSpan w:val="2"/>
            <w:vMerge/>
            <w:shd w:val="clear" w:color="C6D9F1" w:themeColor="text2" w:themeTint="33" w:fill="C6D9F1" w:themeFill="text2" w:themeFillTint="33"/>
          </w:tcPr>
          <w:p w:rsidR="00E12FDA" w:rsidRPr="00B75FD7" w:rsidRDefault="00E12FDA" w:rsidP="00E12FDA">
            <w:pPr>
              <w:rPr>
                <w:b/>
                <w:sz w:val="22"/>
              </w:rPr>
            </w:pPr>
          </w:p>
        </w:tc>
        <w:tc>
          <w:tcPr>
            <w:tcW w:w="2798" w:type="dxa"/>
            <w:gridSpan w:val="3"/>
            <w:shd w:val="clear" w:color="auto" w:fill="auto"/>
          </w:tcPr>
          <w:p w:rsidR="00E12FDA" w:rsidRPr="00B75FD7" w:rsidRDefault="00E12FDA" w:rsidP="00E12FDA">
            <w:pPr>
              <w:autoSpaceDE w:val="0"/>
              <w:snapToGrid w:val="0"/>
              <w:jc w:val="center"/>
              <w:rPr>
                <w:rFonts w:eastAsia="Calibri"/>
                <w:color w:val="000000"/>
                <w:sz w:val="22"/>
              </w:rPr>
            </w:pPr>
            <w:r w:rsidRPr="00B75FD7">
              <w:rPr>
                <w:rFonts w:eastAsia="Calibri"/>
                <w:color w:val="000000"/>
                <w:sz w:val="22"/>
              </w:rPr>
              <w:t>Кількість багатоквартирних будинків</w:t>
            </w:r>
          </w:p>
        </w:tc>
        <w:tc>
          <w:tcPr>
            <w:tcW w:w="1300" w:type="dxa"/>
            <w:gridSpan w:val="2"/>
            <w:shd w:val="clear" w:color="auto" w:fill="auto"/>
          </w:tcPr>
          <w:p w:rsidR="00E12FDA" w:rsidRPr="00B75FD7" w:rsidRDefault="00E12FDA" w:rsidP="00E12FDA">
            <w:pPr>
              <w:autoSpaceDE w:val="0"/>
              <w:snapToGrid w:val="0"/>
              <w:jc w:val="center"/>
              <w:rPr>
                <w:rFonts w:eastAsia="Calibri"/>
                <w:color w:val="000000"/>
                <w:sz w:val="22"/>
              </w:rPr>
            </w:pPr>
          </w:p>
          <w:p w:rsidR="00E12FDA" w:rsidRPr="00B75FD7" w:rsidRDefault="00E12FDA" w:rsidP="00E12FDA">
            <w:pPr>
              <w:autoSpaceDE w:val="0"/>
              <w:snapToGrid w:val="0"/>
              <w:jc w:val="center"/>
              <w:rPr>
                <w:rFonts w:eastAsia="Calibri"/>
                <w:color w:val="000000"/>
                <w:sz w:val="22"/>
              </w:rPr>
            </w:pPr>
            <w:r w:rsidRPr="00B75FD7">
              <w:rPr>
                <w:rFonts w:eastAsia="Calibri"/>
                <w:color w:val="000000"/>
                <w:sz w:val="22"/>
              </w:rPr>
              <w:t>одиниць</w:t>
            </w:r>
          </w:p>
        </w:tc>
        <w:tc>
          <w:tcPr>
            <w:tcW w:w="2706" w:type="dxa"/>
            <w:gridSpan w:val="3"/>
            <w:shd w:val="clear" w:color="auto" w:fill="auto"/>
          </w:tcPr>
          <w:p w:rsidR="00E12FDA" w:rsidRPr="00B75FD7" w:rsidRDefault="00E12FDA" w:rsidP="00E12FDA">
            <w:pPr>
              <w:autoSpaceDE w:val="0"/>
              <w:snapToGrid w:val="0"/>
              <w:jc w:val="center"/>
              <w:rPr>
                <w:rFonts w:eastAsia="Calibri"/>
                <w:color w:val="000000"/>
                <w:sz w:val="22"/>
              </w:rPr>
            </w:pPr>
          </w:p>
          <w:p w:rsidR="00E12FDA" w:rsidRPr="00B75FD7" w:rsidRDefault="00E12FDA" w:rsidP="00E12FDA">
            <w:pPr>
              <w:autoSpaceDE w:val="0"/>
              <w:snapToGrid w:val="0"/>
              <w:jc w:val="center"/>
              <w:rPr>
                <w:sz w:val="22"/>
              </w:rPr>
            </w:pPr>
            <w:r w:rsidRPr="00B75FD7">
              <w:rPr>
                <w:rFonts w:eastAsia="Calibri"/>
                <w:color w:val="000000"/>
                <w:sz w:val="22"/>
              </w:rPr>
              <w:t>714</w:t>
            </w:r>
          </w:p>
        </w:tc>
      </w:tr>
      <w:tr w:rsidR="00E12FDA" w:rsidRPr="00B75FD7" w:rsidTr="004D1477">
        <w:trPr>
          <w:trHeight w:val="84"/>
        </w:trPr>
        <w:tc>
          <w:tcPr>
            <w:tcW w:w="3119" w:type="dxa"/>
            <w:gridSpan w:val="2"/>
            <w:vMerge/>
            <w:shd w:val="clear" w:color="C6D9F1" w:themeColor="text2" w:themeTint="33" w:fill="C6D9F1" w:themeFill="text2" w:themeFillTint="33"/>
          </w:tcPr>
          <w:p w:rsidR="00E12FDA" w:rsidRPr="00B75FD7" w:rsidRDefault="00E12FDA" w:rsidP="00E12FDA">
            <w:pPr>
              <w:rPr>
                <w:b/>
                <w:sz w:val="22"/>
              </w:rPr>
            </w:pPr>
          </w:p>
        </w:tc>
        <w:tc>
          <w:tcPr>
            <w:tcW w:w="2798" w:type="dxa"/>
            <w:gridSpan w:val="3"/>
            <w:shd w:val="clear" w:color="auto" w:fill="auto"/>
          </w:tcPr>
          <w:p w:rsidR="00E12FDA" w:rsidRPr="00B75FD7" w:rsidRDefault="00E12FDA" w:rsidP="00E12FDA">
            <w:pPr>
              <w:autoSpaceDE w:val="0"/>
              <w:snapToGrid w:val="0"/>
              <w:jc w:val="center"/>
              <w:rPr>
                <w:rFonts w:eastAsia="Calibri"/>
                <w:color w:val="000000"/>
                <w:sz w:val="22"/>
              </w:rPr>
            </w:pPr>
            <w:r w:rsidRPr="00B75FD7">
              <w:rPr>
                <w:rFonts w:eastAsia="Calibri"/>
                <w:color w:val="000000"/>
                <w:sz w:val="22"/>
              </w:rPr>
              <w:t>Кількість придбаної техніки</w:t>
            </w:r>
          </w:p>
        </w:tc>
        <w:tc>
          <w:tcPr>
            <w:tcW w:w="1300" w:type="dxa"/>
            <w:gridSpan w:val="2"/>
            <w:shd w:val="clear" w:color="auto" w:fill="auto"/>
          </w:tcPr>
          <w:p w:rsidR="00E12FDA" w:rsidRPr="00B75FD7" w:rsidRDefault="00E12FDA" w:rsidP="00E12FDA">
            <w:pPr>
              <w:autoSpaceDE w:val="0"/>
              <w:snapToGrid w:val="0"/>
              <w:jc w:val="center"/>
              <w:rPr>
                <w:rFonts w:eastAsia="Calibri"/>
                <w:color w:val="000000"/>
                <w:sz w:val="22"/>
              </w:rPr>
            </w:pPr>
            <w:r w:rsidRPr="00B75FD7">
              <w:rPr>
                <w:rFonts w:eastAsia="Calibri"/>
                <w:color w:val="000000"/>
                <w:sz w:val="22"/>
              </w:rPr>
              <w:t>одиниць</w:t>
            </w:r>
          </w:p>
        </w:tc>
        <w:tc>
          <w:tcPr>
            <w:tcW w:w="2706" w:type="dxa"/>
            <w:gridSpan w:val="3"/>
            <w:shd w:val="clear" w:color="auto" w:fill="auto"/>
          </w:tcPr>
          <w:p w:rsidR="00E12FDA" w:rsidRPr="00B75FD7" w:rsidRDefault="00E12FDA" w:rsidP="00E12FDA">
            <w:pPr>
              <w:autoSpaceDE w:val="0"/>
              <w:snapToGrid w:val="0"/>
              <w:jc w:val="center"/>
              <w:rPr>
                <w:sz w:val="22"/>
              </w:rPr>
            </w:pPr>
            <w:r w:rsidRPr="00B75FD7">
              <w:rPr>
                <w:rFonts w:eastAsia="Calibri"/>
                <w:color w:val="000000"/>
                <w:sz w:val="22"/>
              </w:rPr>
              <w:t>42</w:t>
            </w:r>
          </w:p>
        </w:tc>
      </w:tr>
      <w:tr w:rsidR="00E12FDA" w:rsidRPr="00B75FD7" w:rsidTr="004D1477">
        <w:trPr>
          <w:trHeight w:val="639"/>
        </w:trPr>
        <w:tc>
          <w:tcPr>
            <w:tcW w:w="3119" w:type="dxa"/>
            <w:gridSpan w:val="2"/>
            <w:shd w:val="clear" w:color="C6D9F1" w:themeColor="text2" w:themeTint="33" w:fill="C6D9F1" w:themeFill="text2" w:themeFillTint="33"/>
          </w:tcPr>
          <w:p w:rsidR="00E12FDA" w:rsidRPr="00B75FD7" w:rsidRDefault="00E12FDA" w:rsidP="00E12FDA">
            <w:pPr>
              <w:rPr>
                <w:b/>
                <w:sz w:val="22"/>
              </w:rPr>
            </w:pPr>
            <w:r w:rsidRPr="00B75FD7">
              <w:rPr>
                <w:b/>
                <w:sz w:val="22"/>
              </w:rPr>
              <w:t>Ключові заходи проекту:</w:t>
            </w:r>
          </w:p>
        </w:tc>
        <w:tc>
          <w:tcPr>
            <w:tcW w:w="6804" w:type="dxa"/>
            <w:gridSpan w:val="8"/>
            <w:shd w:val="clear" w:color="auto" w:fill="auto"/>
          </w:tcPr>
          <w:p w:rsidR="00E12FDA" w:rsidRPr="00B75FD7" w:rsidRDefault="00E12FDA" w:rsidP="000303D7">
            <w:pPr>
              <w:numPr>
                <w:ilvl w:val="0"/>
                <w:numId w:val="93"/>
              </w:numPr>
              <w:suppressAutoHyphens/>
              <w:autoSpaceDE w:val="0"/>
              <w:snapToGrid w:val="0"/>
              <w:rPr>
                <w:rFonts w:eastAsia="Calibri"/>
                <w:color w:val="000000"/>
                <w:sz w:val="22"/>
              </w:rPr>
            </w:pPr>
            <w:r w:rsidRPr="00B75FD7">
              <w:rPr>
                <w:rFonts w:eastAsia="Calibri"/>
                <w:color w:val="000000"/>
                <w:sz w:val="22"/>
              </w:rPr>
              <w:t xml:space="preserve">Обстеження стану житлових </w:t>
            </w:r>
            <w:proofErr w:type="spellStart"/>
            <w:r w:rsidRPr="00B75FD7">
              <w:rPr>
                <w:rFonts w:eastAsia="Calibri"/>
                <w:color w:val="000000"/>
                <w:sz w:val="22"/>
              </w:rPr>
              <w:t>багатоквартиних</w:t>
            </w:r>
            <w:proofErr w:type="spellEnd"/>
            <w:r w:rsidRPr="00B75FD7">
              <w:rPr>
                <w:rFonts w:eastAsia="Calibri"/>
                <w:color w:val="000000"/>
                <w:sz w:val="22"/>
              </w:rPr>
              <w:t xml:space="preserve"> будинків: покрівлі, електричних мереж, </w:t>
            </w:r>
            <w:proofErr w:type="spellStart"/>
            <w:r w:rsidRPr="00B75FD7">
              <w:rPr>
                <w:rFonts w:eastAsia="Calibri"/>
                <w:color w:val="000000"/>
                <w:sz w:val="22"/>
              </w:rPr>
              <w:t>внутрішньобудинкових</w:t>
            </w:r>
            <w:proofErr w:type="spellEnd"/>
            <w:r w:rsidRPr="00B75FD7">
              <w:rPr>
                <w:rFonts w:eastAsia="Calibri"/>
                <w:color w:val="000000"/>
                <w:sz w:val="22"/>
              </w:rPr>
              <w:t xml:space="preserve"> систем опалення, систем водовідведення  та водопостачання.</w:t>
            </w:r>
          </w:p>
          <w:p w:rsidR="00E12FDA" w:rsidRPr="00B75FD7" w:rsidRDefault="00E12FDA" w:rsidP="000303D7">
            <w:pPr>
              <w:numPr>
                <w:ilvl w:val="0"/>
                <w:numId w:val="93"/>
              </w:numPr>
              <w:suppressAutoHyphens/>
              <w:autoSpaceDE w:val="0"/>
              <w:snapToGrid w:val="0"/>
              <w:rPr>
                <w:rFonts w:eastAsia="Calibri"/>
                <w:color w:val="000000"/>
                <w:sz w:val="22"/>
              </w:rPr>
            </w:pPr>
            <w:r w:rsidRPr="00B75FD7">
              <w:rPr>
                <w:rFonts w:eastAsia="Calibri"/>
                <w:color w:val="000000"/>
                <w:sz w:val="22"/>
              </w:rPr>
              <w:t xml:space="preserve">Проведення </w:t>
            </w:r>
            <w:proofErr w:type="spellStart"/>
            <w:r w:rsidRPr="00B75FD7">
              <w:rPr>
                <w:rFonts w:eastAsia="Calibri"/>
                <w:color w:val="000000"/>
                <w:sz w:val="22"/>
              </w:rPr>
              <w:t>інвентарізації</w:t>
            </w:r>
            <w:proofErr w:type="spellEnd"/>
            <w:r w:rsidRPr="00B75FD7">
              <w:rPr>
                <w:rFonts w:eastAsia="Calibri"/>
                <w:color w:val="000000"/>
                <w:sz w:val="22"/>
              </w:rPr>
              <w:t xml:space="preserve"> основних засобів.</w:t>
            </w:r>
          </w:p>
          <w:p w:rsidR="00E12FDA" w:rsidRPr="00B75FD7" w:rsidRDefault="00E12FDA" w:rsidP="000303D7">
            <w:pPr>
              <w:numPr>
                <w:ilvl w:val="0"/>
                <w:numId w:val="93"/>
              </w:numPr>
              <w:suppressAutoHyphens/>
              <w:autoSpaceDE w:val="0"/>
              <w:snapToGrid w:val="0"/>
              <w:rPr>
                <w:rFonts w:eastAsia="Calibri"/>
                <w:color w:val="000000"/>
                <w:sz w:val="22"/>
              </w:rPr>
            </w:pPr>
            <w:r w:rsidRPr="00B75FD7">
              <w:rPr>
                <w:rFonts w:eastAsia="Calibri"/>
                <w:color w:val="000000"/>
                <w:sz w:val="22"/>
              </w:rPr>
              <w:t>Закупівля технічного забезпечення підприємства.</w:t>
            </w:r>
          </w:p>
          <w:p w:rsidR="00E12FDA" w:rsidRPr="00B75FD7" w:rsidRDefault="00E12FDA" w:rsidP="000303D7">
            <w:pPr>
              <w:numPr>
                <w:ilvl w:val="0"/>
                <w:numId w:val="93"/>
              </w:numPr>
              <w:suppressAutoHyphens/>
              <w:autoSpaceDE w:val="0"/>
              <w:snapToGrid w:val="0"/>
              <w:rPr>
                <w:rFonts w:eastAsia="Calibri"/>
                <w:color w:val="000000"/>
                <w:sz w:val="22"/>
              </w:rPr>
            </w:pPr>
            <w:r w:rsidRPr="00B75FD7">
              <w:rPr>
                <w:rFonts w:eastAsia="Calibri"/>
                <w:color w:val="000000"/>
                <w:sz w:val="22"/>
              </w:rPr>
              <w:t>Визначення кількості кваліфікаційних спеціалістів, для швидкого відновлення будинків до житлового стану.</w:t>
            </w:r>
          </w:p>
          <w:p w:rsidR="00E12FDA" w:rsidRPr="00B75FD7" w:rsidRDefault="00E12FDA" w:rsidP="000303D7">
            <w:pPr>
              <w:numPr>
                <w:ilvl w:val="0"/>
                <w:numId w:val="93"/>
              </w:numPr>
              <w:suppressAutoHyphens/>
              <w:autoSpaceDE w:val="0"/>
              <w:snapToGrid w:val="0"/>
              <w:rPr>
                <w:sz w:val="22"/>
              </w:rPr>
            </w:pPr>
            <w:r w:rsidRPr="00B75FD7">
              <w:rPr>
                <w:rFonts w:eastAsia="Calibri"/>
                <w:color w:val="000000"/>
                <w:sz w:val="22"/>
              </w:rPr>
              <w:t>Організація та початок робочого процесу.</w:t>
            </w:r>
          </w:p>
        </w:tc>
      </w:tr>
      <w:tr w:rsidR="004D1477" w:rsidRPr="00B75FD7" w:rsidTr="004D1477">
        <w:tblPrEx>
          <w:tblCellMar>
            <w:left w:w="108" w:type="dxa"/>
            <w:right w:w="108" w:type="dxa"/>
          </w:tblCellMar>
          <w:tblLook w:val="04A0" w:firstRow="1" w:lastRow="0" w:firstColumn="1" w:lastColumn="0" w:noHBand="0" w:noVBand="1"/>
        </w:tblPrEx>
        <w:trPr>
          <w:gridAfter w:val="1"/>
          <w:wAfter w:w="35" w:type="dxa"/>
          <w:trHeight w:val="360"/>
        </w:trPr>
        <w:tc>
          <w:tcPr>
            <w:tcW w:w="2799" w:type="dxa"/>
            <w:vMerge w:val="restart"/>
            <w:shd w:val="clear" w:color="auto" w:fill="C6D9F1" w:themeFill="text2" w:themeFillTint="33"/>
          </w:tcPr>
          <w:p w:rsidR="004D1477" w:rsidRPr="00B75FD7" w:rsidRDefault="004D1477" w:rsidP="00C11751">
            <w:pPr>
              <w:contextualSpacing/>
              <w:rPr>
                <w:b/>
                <w:sz w:val="22"/>
              </w:rPr>
            </w:pPr>
            <w:r w:rsidRPr="00B75FD7">
              <w:rPr>
                <w:b/>
                <w:sz w:val="22"/>
              </w:rPr>
              <w:t xml:space="preserve">Орієнтовний обсяг та джерела фінансування, тис. грн. </w:t>
            </w:r>
          </w:p>
          <w:p w:rsidR="004D1477" w:rsidRPr="00B75FD7" w:rsidRDefault="004D1477" w:rsidP="00C11751">
            <w:pPr>
              <w:contextualSpacing/>
              <w:rPr>
                <w:b/>
                <w:sz w:val="22"/>
              </w:rPr>
            </w:pPr>
          </w:p>
        </w:tc>
        <w:tc>
          <w:tcPr>
            <w:tcW w:w="1460" w:type="dxa"/>
            <w:gridSpan w:val="2"/>
            <w:tcBorders>
              <w:bottom w:val="single" w:sz="4" w:space="0" w:color="auto"/>
              <w:right w:val="single" w:sz="4" w:space="0" w:color="auto"/>
            </w:tcBorders>
            <w:shd w:val="clear" w:color="auto" w:fill="auto"/>
          </w:tcPr>
          <w:p w:rsidR="004D1477" w:rsidRPr="00B75FD7" w:rsidRDefault="004D1477" w:rsidP="00C11751">
            <w:pPr>
              <w:contextualSpacing/>
              <w:jc w:val="center"/>
              <w:rPr>
                <w:b/>
                <w:sz w:val="22"/>
              </w:rPr>
            </w:pPr>
            <w:r w:rsidRPr="00B75FD7">
              <w:rPr>
                <w:b/>
                <w:sz w:val="22"/>
              </w:rPr>
              <w:t>Державний бюджет</w:t>
            </w:r>
          </w:p>
        </w:tc>
        <w:tc>
          <w:tcPr>
            <w:tcW w:w="1324" w:type="dxa"/>
            <w:tcBorders>
              <w:bottom w:val="single" w:sz="4" w:space="0" w:color="auto"/>
              <w:right w:val="single" w:sz="4" w:space="0" w:color="auto"/>
            </w:tcBorders>
            <w:shd w:val="clear" w:color="auto" w:fill="auto"/>
          </w:tcPr>
          <w:p w:rsidR="004D1477" w:rsidRPr="00B75FD7" w:rsidRDefault="004D1477" w:rsidP="00C11751">
            <w:pPr>
              <w:contextualSpacing/>
              <w:jc w:val="center"/>
              <w:rPr>
                <w:b/>
                <w:sz w:val="22"/>
              </w:rPr>
            </w:pPr>
            <w:r w:rsidRPr="00B75FD7">
              <w:rPr>
                <w:b/>
                <w:sz w:val="22"/>
              </w:rPr>
              <w:t>Місцевий бюджет</w:t>
            </w:r>
          </w:p>
        </w:tc>
        <w:tc>
          <w:tcPr>
            <w:tcW w:w="2859" w:type="dxa"/>
            <w:gridSpan w:val="4"/>
            <w:tcBorders>
              <w:left w:val="single" w:sz="4" w:space="0" w:color="auto"/>
              <w:bottom w:val="single" w:sz="4" w:space="0" w:color="auto"/>
              <w:right w:val="single" w:sz="4" w:space="0" w:color="auto"/>
            </w:tcBorders>
            <w:shd w:val="clear" w:color="auto" w:fill="auto"/>
          </w:tcPr>
          <w:p w:rsidR="004D1477" w:rsidRPr="00B75FD7" w:rsidRDefault="004D1477" w:rsidP="00C11751">
            <w:pPr>
              <w:contextualSpacing/>
              <w:jc w:val="center"/>
              <w:rPr>
                <w:b/>
                <w:sz w:val="22"/>
              </w:rPr>
            </w:pPr>
            <w:r w:rsidRPr="00B75FD7">
              <w:rPr>
                <w:b/>
                <w:sz w:val="22"/>
              </w:rPr>
              <w:t>Інші джерела</w:t>
            </w:r>
          </w:p>
        </w:tc>
        <w:tc>
          <w:tcPr>
            <w:tcW w:w="1446" w:type="dxa"/>
            <w:tcBorders>
              <w:left w:val="single" w:sz="4" w:space="0" w:color="auto"/>
              <w:bottom w:val="single" w:sz="4" w:space="0" w:color="auto"/>
            </w:tcBorders>
            <w:shd w:val="clear" w:color="auto" w:fill="auto"/>
          </w:tcPr>
          <w:p w:rsidR="004D1477" w:rsidRPr="00B75FD7" w:rsidRDefault="004D1477" w:rsidP="00C11751">
            <w:pPr>
              <w:contextualSpacing/>
              <w:jc w:val="center"/>
              <w:rPr>
                <w:b/>
                <w:sz w:val="22"/>
              </w:rPr>
            </w:pPr>
            <w:r w:rsidRPr="00B75FD7">
              <w:rPr>
                <w:b/>
                <w:sz w:val="22"/>
              </w:rPr>
              <w:t>Всього</w:t>
            </w:r>
          </w:p>
        </w:tc>
      </w:tr>
      <w:tr w:rsidR="004D1477" w:rsidRPr="00B75FD7" w:rsidTr="004D1477">
        <w:tblPrEx>
          <w:tblCellMar>
            <w:left w:w="108" w:type="dxa"/>
            <w:right w:w="108" w:type="dxa"/>
          </w:tblCellMar>
          <w:tblLook w:val="04A0" w:firstRow="1" w:lastRow="0" w:firstColumn="1" w:lastColumn="0" w:noHBand="0" w:noVBand="1"/>
        </w:tblPrEx>
        <w:trPr>
          <w:gridAfter w:val="1"/>
          <w:wAfter w:w="35" w:type="dxa"/>
          <w:trHeight w:val="225"/>
        </w:trPr>
        <w:tc>
          <w:tcPr>
            <w:tcW w:w="2799" w:type="dxa"/>
            <w:vMerge/>
            <w:shd w:val="clear" w:color="auto" w:fill="C6D9F1" w:themeFill="text2" w:themeFillTint="33"/>
          </w:tcPr>
          <w:p w:rsidR="004D1477" w:rsidRPr="00B75FD7" w:rsidRDefault="004D1477" w:rsidP="00C11751">
            <w:pPr>
              <w:contextualSpacing/>
              <w:rPr>
                <w:b/>
                <w:sz w:val="22"/>
              </w:rPr>
            </w:pPr>
          </w:p>
        </w:tc>
        <w:tc>
          <w:tcPr>
            <w:tcW w:w="1460" w:type="dxa"/>
            <w:gridSpan w:val="2"/>
            <w:vMerge w:val="restart"/>
            <w:tcBorders>
              <w:top w:val="single" w:sz="4" w:space="0" w:color="auto"/>
              <w:right w:val="single" w:sz="4" w:space="0" w:color="auto"/>
            </w:tcBorders>
            <w:shd w:val="clear" w:color="auto" w:fill="auto"/>
          </w:tcPr>
          <w:p w:rsidR="004D1477" w:rsidRPr="00B75FD7" w:rsidRDefault="004D1477" w:rsidP="004D1477">
            <w:pPr>
              <w:jc w:val="center"/>
              <w:rPr>
                <w:color w:val="000000"/>
                <w:sz w:val="22"/>
              </w:rPr>
            </w:pPr>
            <w:r w:rsidRPr="00B75FD7">
              <w:rPr>
                <w:color w:val="000000"/>
                <w:sz w:val="22"/>
              </w:rPr>
              <w:t>2362704,00</w:t>
            </w:r>
          </w:p>
          <w:p w:rsidR="004D1477" w:rsidRPr="00B75FD7" w:rsidRDefault="004D1477" w:rsidP="00C11751">
            <w:pPr>
              <w:contextualSpacing/>
              <w:jc w:val="center"/>
              <w:rPr>
                <w:color w:val="FF0000"/>
                <w:sz w:val="22"/>
                <w:lang w:val="ru-RU"/>
              </w:rPr>
            </w:pPr>
          </w:p>
        </w:tc>
        <w:tc>
          <w:tcPr>
            <w:tcW w:w="1324" w:type="dxa"/>
            <w:vMerge w:val="restart"/>
            <w:tcBorders>
              <w:top w:val="single" w:sz="4" w:space="0" w:color="auto"/>
              <w:right w:val="single" w:sz="4" w:space="0" w:color="auto"/>
            </w:tcBorders>
            <w:shd w:val="clear" w:color="auto" w:fill="auto"/>
          </w:tcPr>
          <w:p w:rsidR="004D1477" w:rsidRPr="00B75FD7" w:rsidRDefault="004D1477" w:rsidP="00C11751">
            <w:pPr>
              <w:contextualSpacing/>
              <w:jc w:val="center"/>
              <w:rPr>
                <w:b/>
                <w:sz w:val="22"/>
              </w:rPr>
            </w:pPr>
            <w:r w:rsidRPr="00B75FD7">
              <w:rPr>
                <w:b/>
                <w:sz w:val="22"/>
              </w:rPr>
              <w:t>-</w:t>
            </w:r>
          </w:p>
        </w:tc>
        <w:tc>
          <w:tcPr>
            <w:tcW w:w="1192" w:type="dxa"/>
            <w:gridSpan w:val="2"/>
            <w:tcBorders>
              <w:top w:val="single" w:sz="4" w:space="0" w:color="auto"/>
              <w:left w:val="single" w:sz="4" w:space="0" w:color="auto"/>
              <w:bottom w:val="single" w:sz="4" w:space="0" w:color="auto"/>
              <w:right w:val="single" w:sz="4" w:space="0" w:color="auto"/>
            </w:tcBorders>
            <w:shd w:val="clear" w:color="auto" w:fill="auto"/>
          </w:tcPr>
          <w:p w:rsidR="004D1477" w:rsidRPr="00B75FD7" w:rsidRDefault="004D1477" w:rsidP="00C11751">
            <w:pPr>
              <w:contextualSpacing/>
              <w:jc w:val="center"/>
              <w:rPr>
                <w:b/>
                <w:sz w:val="22"/>
              </w:rPr>
            </w:pPr>
            <w:r w:rsidRPr="00B75FD7">
              <w:rPr>
                <w:b/>
                <w:sz w:val="22"/>
              </w:rPr>
              <w:t>Обсяг</w:t>
            </w:r>
          </w:p>
        </w:tc>
        <w:tc>
          <w:tcPr>
            <w:tcW w:w="1667" w:type="dxa"/>
            <w:gridSpan w:val="2"/>
            <w:tcBorders>
              <w:top w:val="single" w:sz="4" w:space="0" w:color="auto"/>
              <w:left w:val="single" w:sz="4" w:space="0" w:color="auto"/>
              <w:bottom w:val="single" w:sz="4" w:space="0" w:color="auto"/>
              <w:right w:val="single" w:sz="4" w:space="0" w:color="auto"/>
            </w:tcBorders>
            <w:shd w:val="clear" w:color="auto" w:fill="auto"/>
          </w:tcPr>
          <w:p w:rsidR="004D1477" w:rsidRPr="00B75FD7" w:rsidRDefault="004D1477" w:rsidP="00C11751">
            <w:pPr>
              <w:contextualSpacing/>
              <w:jc w:val="center"/>
              <w:rPr>
                <w:b/>
                <w:sz w:val="22"/>
              </w:rPr>
            </w:pPr>
            <w:r w:rsidRPr="00B75FD7">
              <w:rPr>
                <w:b/>
                <w:sz w:val="22"/>
              </w:rPr>
              <w:t>Назва джерела</w:t>
            </w:r>
          </w:p>
        </w:tc>
        <w:tc>
          <w:tcPr>
            <w:tcW w:w="1446" w:type="dxa"/>
            <w:vMerge w:val="restart"/>
            <w:tcBorders>
              <w:top w:val="single" w:sz="4" w:space="0" w:color="auto"/>
              <w:left w:val="single" w:sz="4" w:space="0" w:color="auto"/>
            </w:tcBorders>
            <w:shd w:val="clear" w:color="auto" w:fill="auto"/>
          </w:tcPr>
          <w:p w:rsidR="004D1477" w:rsidRPr="00B75FD7" w:rsidRDefault="004D1477" w:rsidP="004D1477">
            <w:pPr>
              <w:jc w:val="center"/>
              <w:rPr>
                <w:color w:val="000000"/>
                <w:sz w:val="22"/>
              </w:rPr>
            </w:pPr>
            <w:r w:rsidRPr="00B75FD7">
              <w:rPr>
                <w:color w:val="000000"/>
                <w:sz w:val="22"/>
              </w:rPr>
              <w:t>3375292,00</w:t>
            </w:r>
          </w:p>
          <w:p w:rsidR="004D1477" w:rsidRPr="00B75FD7" w:rsidRDefault="004D1477" w:rsidP="00C11751">
            <w:pPr>
              <w:contextualSpacing/>
              <w:jc w:val="center"/>
              <w:rPr>
                <w:color w:val="FF0000"/>
                <w:sz w:val="22"/>
              </w:rPr>
            </w:pPr>
          </w:p>
        </w:tc>
      </w:tr>
      <w:tr w:rsidR="004D1477" w:rsidRPr="00B75FD7" w:rsidTr="004D1477">
        <w:tblPrEx>
          <w:tblCellMar>
            <w:left w:w="108" w:type="dxa"/>
            <w:right w:w="108" w:type="dxa"/>
          </w:tblCellMar>
          <w:tblLook w:val="04A0" w:firstRow="1" w:lastRow="0" w:firstColumn="1" w:lastColumn="0" w:noHBand="0" w:noVBand="1"/>
        </w:tblPrEx>
        <w:trPr>
          <w:gridAfter w:val="1"/>
          <w:wAfter w:w="35" w:type="dxa"/>
          <w:trHeight w:val="300"/>
        </w:trPr>
        <w:tc>
          <w:tcPr>
            <w:tcW w:w="2799" w:type="dxa"/>
            <w:vMerge/>
            <w:shd w:val="clear" w:color="auto" w:fill="C6D9F1" w:themeFill="text2" w:themeFillTint="33"/>
          </w:tcPr>
          <w:p w:rsidR="004D1477" w:rsidRPr="00B75FD7" w:rsidRDefault="004D1477" w:rsidP="00C11751">
            <w:pPr>
              <w:contextualSpacing/>
              <w:rPr>
                <w:b/>
                <w:sz w:val="22"/>
              </w:rPr>
            </w:pPr>
          </w:p>
        </w:tc>
        <w:tc>
          <w:tcPr>
            <w:tcW w:w="1460" w:type="dxa"/>
            <w:gridSpan w:val="2"/>
            <w:vMerge/>
            <w:tcBorders>
              <w:right w:val="single" w:sz="4" w:space="0" w:color="auto"/>
            </w:tcBorders>
            <w:shd w:val="clear" w:color="auto" w:fill="auto"/>
          </w:tcPr>
          <w:p w:rsidR="004D1477" w:rsidRPr="00B75FD7" w:rsidRDefault="004D1477" w:rsidP="00C11751">
            <w:pPr>
              <w:contextualSpacing/>
              <w:jc w:val="center"/>
              <w:rPr>
                <w:sz w:val="22"/>
              </w:rPr>
            </w:pPr>
          </w:p>
        </w:tc>
        <w:tc>
          <w:tcPr>
            <w:tcW w:w="1324" w:type="dxa"/>
            <w:vMerge/>
            <w:tcBorders>
              <w:right w:val="single" w:sz="4" w:space="0" w:color="auto"/>
            </w:tcBorders>
            <w:shd w:val="clear" w:color="auto" w:fill="auto"/>
          </w:tcPr>
          <w:p w:rsidR="004D1477" w:rsidRPr="00B75FD7" w:rsidRDefault="004D1477" w:rsidP="00C11751">
            <w:pPr>
              <w:contextualSpacing/>
              <w:jc w:val="center"/>
              <w:rPr>
                <w:b/>
                <w:sz w:val="22"/>
              </w:rPr>
            </w:pPr>
          </w:p>
        </w:tc>
        <w:tc>
          <w:tcPr>
            <w:tcW w:w="1192" w:type="dxa"/>
            <w:gridSpan w:val="2"/>
            <w:tcBorders>
              <w:top w:val="single" w:sz="4" w:space="0" w:color="auto"/>
              <w:left w:val="single" w:sz="4" w:space="0" w:color="auto"/>
              <w:right w:val="single" w:sz="4" w:space="0" w:color="auto"/>
            </w:tcBorders>
            <w:shd w:val="clear" w:color="auto" w:fill="auto"/>
          </w:tcPr>
          <w:p w:rsidR="004D1477" w:rsidRPr="00B75FD7" w:rsidRDefault="004D1477" w:rsidP="00C11751">
            <w:pPr>
              <w:contextualSpacing/>
              <w:jc w:val="center"/>
              <w:rPr>
                <w:sz w:val="22"/>
                <w:lang w:val="ru-RU"/>
              </w:rPr>
            </w:pPr>
            <w:r w:rsidRPr="00B75FD7">
              <w:rPr>
                <w:color w:val="000000"/>
                <w:sz w:val="22"/>
              </w:rPr>
              <w:t>1012588,00</w:t>
            </w:r>
          </w:p>
        </w:tc>
        <w:tc>
          <w:tcPr>
            <w:tcW w:w="1667" w:type="dxa"/>
            <w:gridSpan w:val="2"/>
            <w:tcBorders>
              <w:top w:val="single" w:sz="4" w:space="0" w:color="auto"/>
              <w:left w:val="single" w:sz="4" w:space="0" w:color="auto"/>
              <w:right w:val="single" w:sz="4" w:space="0" w:color="auto"/>
            </w:tcBorders>
            <w:shd w:val="clear" w:color="auto" w:fill="auto"/>
          </w:tcPr>
          <w:p w:rsidR="004D1477" w:rsidRPr="00B75FD7" w:rsidRDefault="004D1477" w:rsidP="00C11751">
            <w:pPr>
              <w:contextualSpacing/>
              <w:jc w:val="center"/>
              <w:rPr>
                <w:sz w:val="22"/>
              </w:rPr>
            </w:pPr>
            <w:r w:rsidRPr="00B75FD7">
              <w:rPr>
                <w:rFonts w:eastAsia="Calibri"/>
                <w:sz w:val="22"/>
              </w:rPr>
              <w:t>Міжнародні інвестиції, кошти приватних осіб</w:t>
            </w:r>
          </w:p>
        </w:tc>
        <w:tc>
          <w:tcPr>
            <w:tcW w:w="1446" w:type="dxa"/>
            <w:vMerge/>
            <w:tcBorders>
              <w:left w:val="single" w:sz="4" w:space="0" w:color="auto"/>
            </w:tcBorders>
            <w:shd w:val="clear" w:color="auto" w:fill="auto"/>
          </w:tcPr>
          <w:p w:rsidR="004D1477" w:rsidRPr="00B75FD7" w:rsidRDefault="004D1477" w:rsidP="00C11751">
            <w:pPr>
              <w:contextualSpacing/>
              <w:jc w:val="center"/>
              <w:rPr>
                <w:sz w:val="22"/>
              </w:rPr>
            </w:pPr>
          </w:p>
        </w:tc>
      </w:tr>
    </w:tbl>
    <w:p w:rsidR="00E95FB1" w:rsidRPr="00B75FD7" w:rsidRDefault="00E95FB1" w:rsidP="00E95FB1">
      <w:pPr>
        <w:rPr>
          <w:sz w:val="22"/>
        </w:rPr>
      </w:pPr>
    </w:p>
    <w:p w:rsidR="00E95FB1" w:rsidRPr="00B75FD7" w:rsidRDefault="00E95FB1" w:rsidP="00E95FB1">
      <w:pPr>
        <w:rPr>
          <w:sz w:val="22"/>
        </w:rPr>
      </w:pPr>
    </w:p>
    <w:p w:rsidR="00013987" w:rsidRPr="00B75FD7" w:rsidRDefault="00013987" w:rsidP="00E95FB1">
      <w:pPr>
        <w:rPr>
          <w:sz w:val="22"/>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8"/>
        <w:gridCol w:w="1448"/>
        <w:gridCol w:w="1308"/>
        <w:gridCol w:w="927"/>
        <w:gridCol w:w="254"/>
        <w:gridCol w:w="1435"/>
        <w:gridCol w:w="197"/>
        <w:gridCol w:w="1425"/>
      </w:tblGrid>
      <w:tr w:rsidR="005C57BD" w:rsidRPr="00B75FD7" w:rsidTr="005C57BD">
        <w:tc>
          <w:tcPr>
            <w:tcW w:w="2799" w:type="dxa"/>
            <w:shd w:val="clear" w:color="auto" w:fill="C6D9F1" w:themeFill="text2" w:themeFillTint="33"/>
          </w:tcPr>
          <w:p w:rsidR="005C57BD" w:rsidRPr="00B75FD7" w:rsidRDefault="005C57BD" w:rsidP="001B3967">
            <w:pPr>
              <w:contextualSpacing/>
              <w:rPr>
                <w:b/>
                <w:sz w:val="22"/>
              </w:rPr>
            </w:pPr>
            <w:r w:rsidRPr="00B75FD7">
              <w:rPr>
                <w:b/>
                <w:sz w:val="22"/>
              </w:rPr>
              <w:t>Оперативна ціль/завдання</w:t>
            </w:r>
          </w:p>
        </w:tc>
        <w:tc>
          <w:tcPr>
            <w:tcW w:w="7089" w:type="dxa"/>
            <w:gridSpan w:val="7"/>
            <w:shd w:val="clear" w:color="auto" w:fill="FFFFFF"/>
          </w:tcPr>
          <w:p w:rsidR="005C57BD" w:rsidRPr="00B75FD7" w:rsidRDefault="005C57BD" w:rsidP="001B3967">
            <w:pPr>
              <w:contextualSpacing/>
              <w:rPr>
                <w:sz w:val="22"/>
              </w:rPr>
            </w:pPr>
            <w:r w:rsidRPr="00B75FD7">
              <w:rPr>
                <w:rFonts w:eastAsia="Calibri"/>
                <w:color w:val="000000"/>
                <w:sz w:val="22"/>
              </w:rPr>
              <w:t xml:space="preserve">Людський розвиток через інновації управління та довіру до влади. Формування сучасного інклюзивного </w:t>
            </w:r>
            <w:proofErr w:type="spellStart"/>
            <w:r w:rsidRPr="00B75FD7">
              <w:rPr>
                <w:rFonts w:eastAsia="Calibri"/>
                <w:color w:val="000000"/>
                <w:sz w:val="22"/>
              </w:rPr>
              <w:t>освітньо</w:t>
            </w:r>
            <w:proofErr w:type="spellEnd"/>
            <w:r w:rsidRPr="00B75FD7">
              <w:rPr>
                <w:rFonts w:eastAsia="Calibri"/>
                <w:color w:val="000000"/>
                <w:sz w:val="22"/>
              </w:rPr>
              <w:t>-культурного та спортивного простору для розвитку</w:t>
            </w:r>
          </w:p>
        </w:tc>
      </w:tr>
      <w:tr w:rsidR="005C57BD" w:rsidRPr="00B75FD7" w:rsidTr="005C57BD">
        <w:tc>
          <w:tcPr>
            <w:tcW w:w="2799" w:type="dxa"/>
            <w:shd w:val="clear" w:color="auto" w:fill="C6D9F1" w:themeFill="text2" w:themeFillTint="33"/>
          </w:tcPr>
          <w:p w:rsidR="005C57BD" w:rsidRPr="00B75FD7" w:rsidRDefault="005C57BD" w:rsidP="001B3967">
            <w:pPr>
              <w:contextualSpacing/>
              <w:rPr>
                <w:b/>
                <w:sz w:val="22"/>
              </w:rPr>
            </w:pPr>
            <w:r w:rsidRPr="00B75FD7">
              <w:rPr>
                <w:b/>
                <w:sz w:val="22"/>
              </w:rPr>
              <w:t>Назва проекту:</w:t>
            </w:r>
          </w:p>
        </w:tc>
        <w:tc>
          <w:tcPr>
            <w:tcW w:w="7089" w:type="dxa"/>
            <w:gridSpan w:val="7"/>
            <w:shd w:val="clear" w:color="auto" w:fill="auto"/>
          </w:tcPr>
          <w:p w:rsidR="005C57BD" w:rsidRPr="00B75FD7" w:rsidRDefault="005C57BD" w:rsidP="001B3967">
            <w:pPr>
              <w:contextualSpacing/>
              <w:rPr>
                <w:sz w:val="22"/>
              </w:rPr>
            </w:pPr>
            <w:r w:rsidRPr="00B75FD7">
              <w:rPr>
                <w:rFonts w:eastAsia="Calibri"/>
                <w:color w:val="000000"/>
                <w:sz w:val="22"/>
              </w:rPr>
              <w:t>Капітальний ремонт основної будівлі, господарчого блоку та підвального приміщення (сховища) Ясел-садка № 11 міста Сєвєродонецька Луганської області, вул. Енергетиків 28/А</w:t>
            </w:r>
          </w:p>
        </w:tc>
      </w:tr>
      <w:tr w:rsidR="005C57BD" w:rsidRPr="00B75FD7" w:rsidTr="005C57BD">
        <w:tc>
          <w:tcPr>
            <w:tcW w:w="2799" w:type="dxa"/>
            <w:shd w:val="clear" w:color="auto" w:fill="C6D9F1" w:themeFill="text2" w:themeFillTint="33"/>
          </w:tcPr>
          <w:p w:rsidR="005C57BD" w:rsidRPr="00B75FD7" w:rsidRDefault="005C57BD" w:rsidP="001B3967">
            <w:pPr>
              <w:rPr>
                <w:b/>
                <w:sz w:val="22"/>
              </w:rPr>
            </w:pPr>
            <w:r w:rsidRPr="00B75FD7">
              <w:rPr>
                <w:b/>
                <w:sz w:val="22"/>
              </w:rPr>
              <w:t>Ціль проекту</w:t>
            </w:r>
          </w:p>
        </w:tc>
        <w:tc>
          <w:tcPr>
            <w:tcW w:w="7089" w:type="dxa"/>
            <w:gridSpan w:val="7"/>
            <w:shd w:val="clear" w:color="auto" w:fill="auto"/>
          </w:tcPr>
          <w:p w:rsidR="005C57BD" w:rsidRPr="00B75FD7" w:rsidRDefault="005C57BD" w:rsidP="001B3967">
            <w:pPr>
              <w:autoSpaceDE w:val="0"/>
              <w:autoSpaceDN w:val="0"/>
              <w:adjustRightInd w:val="0"/>
              <w:ind w:firstLine="252"/>
              <w:rPr>
                <w:color w:val="000000"/>
                <w:sz w:val="22"/>
              </w:rPr>
            </w:pPr>
            <w:r w:rsidRPr="00B75FD7">
              <w:rPr>
                <w:color w:val="000000"/>
                <w:sz w:val="22"/>
              </w:rPr>
              <w:t>Відновити та покращити роботу закладу для надання освітніх послуг, задовольнити потреби мешканців Сєвєродонецької міської територіальної громади.</w:t>
            </w:r>
          </w:p>
          <w:p w:rsidR="005C57BD" w:rsidRPr="00B75FD7" w:rsidRDefault="005C57BD" w:rsidP="001B3967">
            <w:pPr>
              <w:contextualSpacing/>
              <w:rPr>
                <w:sz w:val="22"/>
              </w:rPr>
            </w:pPr>
            <w:r w:rsidRPr="00B75FD7">
              <w:rPr>
                <w:color w:val="000000"/>
                <w:sz w:val="22"/>
              </w:rPr>
              <w:t xml:space="preserve"> Створення належних  санітарно-гігієнічних умов в основній будівлі, господарчих блоках та в підвальному приміщенні Ясел-садка № 11 для підвищення безпечних, комфортних умов перебування в них персоналу, дітей, батьків шляхом капітального ремонту будівель.</w:t>
            </w:r>
          </w:p>
        </w:tc>
      </w:tr>
      <w:tr w:rsidR="005C57BD" w:rsidRPr="00B75FD7" w:rsidTr="005C57BD">
        <w:tc>
          <w:tcPr>
            <w:tcW w:w="2799" w:type="dxa"/>
            <w:shd w:val="clear" w:color="auto" w:fill="C6D9F1" w:themeFill="text2" w:themeFillTint="33"/>
          </w:tcPr>
          <w:p w:rsidR="005C57BD" w:rsidRPr="00B75FD7" w:rsidRDefault="005C57BD" w:rsidP="001B3967">
            <w:pPr>
              <w:contextualSpacing/>
              <w:rPr>
                <w:b/>
                <w:sz w:val="22"/>
              </w:rPr>
            </w:pPr>
            <w:r w:rsidRPr="00B75FD7">
              <w:rPr>
                <w:b/>
                <w:sz w:val="22"/>
              </w:rPr>
              <w:t>Територія, на яку матиме вплив реалізація проекту</w:t>
            </w:r>
          </w:p>
        </w:tc>
        <w:tc>
          <w:tcPr>
            <w:tcW w:w="7089" w:type="dxa"/>
            <w:gridSpan w:val="7"/>
            <w:shd w:val="clear" w:color="auto" w:fill="auto"/>
          </w:tcPr>
          <w:p w:rsidR="005C57BD" w:rsidRPr="00B75FD7" w:rsidRDefault="005C57BD" w:rsidP="001B3967">
            <w:pPr>
              <w:contextualSpacing/>
              <w:rPr>
                <w:sz w:val="22"/>
              </w:rPr>
            </w:pPr>
            <w:r w:rsidRPr="00B75FD7">
              <w:rPr>
                <w:sz w:val="22"/>
              </w:rPr>
              <w:t>Сєвєродонецька міська територіальна громада</w:t>
            </w:r>
          </w:p>
        </w:tc>
      </w:tr>
      <w:tr w:rsidR="005C57BD" w:rsidRPr="00B75FD7" w:rsidTr="005C57BD">
        <w:tc>
          <w:tcPr>
            <w:tcW w:w="2799" w:type="dxa"/>
            <w:shd w:val="clear" w:color="auto" w:fill="C6D9F1" w:themeFill="text2" w:themeFillTint="33"/>
          </w:tcPr>
          <w:p w:rsidR="005C57BD" w:rsidRPr="00B75FD7" w:rsidRDefault="005C57BD" w:rsidP="001B3967">
            <w:pPr>
              <w:contextualSpacing/>
              <w:rPr>
                <w:b/>
                <w:sz w:val="22"/>
              </w:rPr>
            </w:pPr>
            <w:r w:rsidRPr="00B75FD7">
              <w:rPr>
                <w:b/>
                <w:sz w:val="22"/>
              </w:rPr>
              <w:lastRenderedPageBreak/>
              <w:t>Чисельність населення, на яке матиме вплив реалізація проекту</w:t>
            </w:r>
          </w:p>
        </w:tc>
        <w:tc>
          <w:tcPr>
            <w:tcW w:w="7089" w:type="dxa"/>
            <w:gridSpan w:val="7"/>
            <w:shd w:val="clear" w:color="auto" w:fill="auto"/>
          </w:tcPr>
          <w:p w:rsidR="005C57BD" w:rsidRPr="00B75FD7" w:rsidRDefault="005C57BD" w:rsidP="001B3967">
            <w:pPr>
              <w:contextualSpacing/>
              <w:rPr>
                <w:sz w:val="22"/>
              </w:rPr>
            </w:pPr>
            <w:r w:rsidRPr="00B75FD7">
              <w:rPr>
                <w:sz w:val="22"/>
              </w:rPr>
              <w:t xml:space="preserve"> 70 000  осіб</w:t>
            </w:r>
          </w:p>
        </w:tc>
      </w:tr>
      <w:tr w:rsidR="005C57BD" w:rsidRPr="00B75FD7" w:rsidTr="005C57BD">
        <w:tc>
          <w:tcPr>
            <w:tcW w:w="2799" w:type="dxa"/>
            <w:shd w:val="clear" w:color="auto" w:fill="C6D9F1" w:themeFill="text2" w:themeFillTint="33"/>
          </w:tcPr>
          <w:p w:rsidR="005C57BD" w:rsidRPr="00B75FD7" w:rsidRDefault="005C57BD" w:rsidP="001B3967">
            <w:pPr>
              <w:rPr>
                <w:b/>
                <w:sz w:val="22"/>
              </w:rPr>
            </w:pPr>
            <w:r w:rsidRPr="00B75FD7">
              <w:rPr>
                <w:b/>
                <w:sz w:val="22"/>
              </w:rPr>
              <w:t>Опис проблеми, на вирішення якої  спрямований проект</w:t>
            </w:r>
          </w:p>
        </w:tc>
        <w:tc>
          <w:tcPr>
            <w:tcW w:w="7089" w:type="dxa"/>
            <w:gridSpan w:val="7"/>
            <w:tcBorders>
              <w:top w:val="single" w:sz="6" w:space="0" w:color="auto"/>
              <w:left w:val="single" w:sz="6" w:space="0" w:color="auto"/>
              <w:bottom w:val="single" w:sz="6" w:space="0" w:color="auto"/>
              <w:right w:val="single" w:sz="6" w:space="0" w:color="auto"/>
            </w:tcBorders>
            <w:shd w:val="clear" w:color="auto" w:fill="auto"/>
          </w:tcPr>
          <w:p w:rsidR="005C57BD" w:rsidRPr="00B75FD7" w:rsidRDefault="005C57BD" w:rsidP="001B3967">
            <w:pPr>
              <w:autoSpaceDE w:val="0"/>
              <w:autoSpaceDN w:val="0"/>
              <w:adjustRightInd w:val="0"/>
              <w:ind w:firstLine="477"/>
              <w:rPr>
                <w:color w:val="000000"/>
                <w:sz w:val="22"/>
              </w:rPr>
            </w:pPr>
            <w:r w:rsidRPr="00B75FD7">
              <w:rPr>
                <w:color w:val="000000"/>
                <w:sz w:val="22"/>
              </w:rPr>
              <w:t xml:space="preserve">Будівля Ясел-садка № 11 розташована за </w:t>
            </w:r>
            <w:proofErr w:type="spellStart"/>
            <w:r w:rsidRPr="00B75FD7">
              <w:rPr>
                <w:color w:val="000000"/>
                <w:sz w:val="22"/>
              </w:rPr>
              <w:t>адресою</w:t>
            </w:r>
            <w:proofErr w:type="spellEnd"/>
            <w:r w:rsidRPr="00B75FD7">
              <w:rPr>
                <w:color w:val="000000"/>
                <w:sz w:val="22"/>
              </w:rPr>
              <w:t xml:space="preserve">: Луганська область, Сєвєродонецький район, місто Сєвєродонецьк, вулиця Енергетиків, будинок 28 А. Через військову агресію </w:t>
            </w:r>
            <w:r w:rsidR="00FE6A9D" w:rsidRPr="00B75FD7">
              <w:rPr>
                <w:color w:val="000000"/>
                <w:sz w:val="22"/>
              </w:rPr>
              <w:t>РФ</w:t>
            </w:r>
            <w:r w:rsidRPr="00B75FD7">
              <w:rPr>
                <w:color w:val="000000"/>
                <w:sz w:val="22"/>
              </w:rPr>
              <w:t>  будівля закладу і господарчі споруди зазнали ушкоджень, а саме, після влучання снаряда та внаслідок мародерства перебуває в не задовільному стані. Ззовні було частково пошкоджено зовнішнє утеплення, опорні стіни будівлі. Зазнали руйнувань сходи та прольоти між першим та другим поверхом, підлога закладу. Вхідні металеві двері після влучан</w:t>
            </w:r>
            <w:r w:rsidR="00FE6A9D" w:rsidRPr="00B75FD7">
              <w:rPr>
                <w:color w:val="000000"/>
                <w:sz w:val="22"/>
              </w:rPr>
              <w:t>ня снаряда</w:t>
            </w:r>
            <w:r w:rsidRPr="00B75FD7">
              <w:rPr>
                <w:color w:val="000000"/>
                <w:sz w:val="22"/>
              </w:rPr>
              <w:t xml:space="preserve"> були пошкоджені, дерев’яні міжкімнатні двері пошкодили мародери, вікна будівлі пошкоджені. Дах будівлі зазнав значних пошкоджень, потребує відновлення. Всі групові кімнати (роздягальні, спальні, туалетні), кабінети закладу та харчоблок потребують капітального ремонту. Внаслідок мародерства було пошкоджено система опалення (відсутні трубопроводи та біметалеві радіатори), система водопостачання та водовідведення (відсутні трубопроводи, крани до раковин, забиті каналізаційні стоки); система електропостачання. Також пошкоджено систему пожежної сигналізації. У зв'язку з повномасштабним вторгненням </w:t>
            </w:r>
            <w:r w:rsidR="00FE6A9D" w:rsidRPr="00B75FD7">
              <w:rPr>
                <w:color w:val="000000"/>
                <w:sz w:val="22"/>
              </w:rPr>
              <w:t>РФ в Україну</w:t>
            </w:r>
            <w:r w:rsidRPr="00B75FD7">
              <w:rPr>
                <w:color w:val="000000"/>
                <w:sz w:val="22"/>
              </w:rPr>
              <w:t xml:space="preserve"> виникла необхідність в облаштуванні укриття для вихованців закладу, персоналу та мешканців мікрорайону. В підвальному приміщенні, яке використовується як укриття, на випадок надзвичайних ситуацій для вихованців закладу, персоналу та мешканців мікрорайону, потрібно привести капітальний ремонт за відповідними нормами та облаштувати його.</w:t>
            </w:r>
          </w:p>
          <w:p w:rsidR="005C57BD" w:rsidRPr="00B75FD7" w:rsidRDefault="005C57BD" w:rsidP="001B3967">
            <w:pPr>
              <w:autoSpaceDE w:val="0"/>
              <w:autoSpaceDN w:val="0"/>
              <w:adjustRightInd w:val="0"/>
              <w:ind w:firstLine="477"/>
              <w:rPr>
                <w:color w:val="000000"/>
                <w:sz w:val="22"/>
              </w:rPr>
            </w:pPr>
            <w:r w:rsidRPr="00B75FD7">
              <w:rPr>
                <w:color w:val="000000"/>
                <w:sz w:val="22"/>
              </w:rPr>
              <w:t>Будівля пральні - це окрема будівля на території закладу. З 1969 року не проводився капітальний ремонт, лише дрібні, поточні. До початку воєнних дій приміщення знаходилось в аварійному стані, а після потрапляння снаряда в основну будівлю, вибуховою хвилею був пошкоджений дах, всі двері (металеві, дерев’яні), система опалення, внаслідок мародерства відсутній трубопровід, біметалеві радіатори. Пошкоджено підлогу, стелю, сходи (дерев'яні), стіни, систему водопостачання та водовідведення, систему електропостачання. Стан будівлі не відповідає безпеці з охорони праці. Для повноцінного функціонування пральні потрібно проведення капітального ремонту.</w:t>
            </w:r>
          </w:p>
          <w:p w:rsidR="005C57BD" w:rsidRPr="00B75FD7" w:rsidRDefault="005C57BD" w:rsidP="001B3967">
            <w:pPr>
              <w:autoSpaceDE w:val="0"/>
              <w:autoSpaceDN w:val="0"/>
              <w:adjustRightInd w:val="0"/>
              <w:ind w:firstLine="477"/>
              <w:rPr>
                <w:color w:val="000000"/>
                <w:sz w:val="22"/>
              </w:rPr>
            </w:pPr>
            <w:r w:rsidRPr="00B75FD7">
              <w:rPr>
                <w:color w:val="000000"/>
                <w:sz w:val="22"/>
              </w:rPr>
              <w:t xml:space="preserve">Організація безпечного та якісного харчування в закладі дошкільної освіти потребує якісного зберігання сировини, а внаслідок військових дій харчові комори зазнали значних руйнувань, тому для повноцінного функціонування закладу потрібно провести капітальний ремонт харчових комор, які мають відповідати вимогам чинного законодавства. </w:t>
            </w:r>
            <w:proofErr w:type="spellStart"/>
            <w:r w:rsidRPr="00B75FD7">
              <w:rPr>
                <w:color w:val="000000"/>
                <w:sz w:val="22"/>
              </w:rPr>
              <w:t>Бул</w:t>
            </w:r>
            <w:proofErr w:type="spellEnd"/>
            <w:r w:rsidR="006D7C57" w:rsidRPr="00B75FD7">
              <w:rPr>
                <w:color w:val="000000"/>
                <w:sz w:val="22"/>
                <w:lang w:val="ru-RU"/>
              </w:rPr>
              <w:t>а</w:t>
            </w:r>
            <w:r w:rsidRPr="00B75FD7">
              <w:rPr>
                <w:color w:val="000000"/>
                <w:sz w:val="22"/>
              </w:rPr>
              <w:t xml:space="preserve"> пошкоджена покрівля, металеві двері, вікна, система електропостачання. Потрібно провести до комор систему водопостачання.</w:t>
            </w:r>
          </w:p>
          <w:p w:rsidR="005C57BD" w:rsidRPr="00B75FD7" w:rsidRDefault="005C57BD" w:rsidP="001B3967">
            <w:pPr>
              <w:autoSpaceDE w:val="0"/>
              <w:autoSpaceDN w:val="0"/>
              <w:adjustRightInd w:val="0"/>
              <w:ind w:firstLine="477"/>
              <w:rPr>
                <w:sz w:val="22"/>
              </w:rPr>
            </w:pPr>
            <w:r w:rsidRPr="00B75FD7">
              <w:rPr>
                <w:color w:val="000000"/>
                <w:sz w:val="22"/>
              </w:rPr>
              <w:t>Для відбудови та сталого розвитку громади потрібне відновлення роботи Ясел-садка № 11 міста Сєвєродонецька Луганської області. Мешканці громади потребують в отриманні якісних освітніх послуг, які відповідають нормам сучасності.</w:t>
            </w:r>
          </w:p>
        </w:tc>
      </w:tr>
      <w:tr w:rsidR="005C57BD" w:rsidRPr="00B75FD7" w:rsidTr="005C57BD">
        <w:tc>
          <w:tcPr>
            <w:tcW w:w="2799" w:type="dxa"/>
            <w:shd w:val="clear" w:color="auto" w:fill="C6D9F1" w:themeFill="text2" w:themeFillTint="33"/>
          </w:tcPr>
          <w:p w:rsidR="005C57BD" w:rsidRPr="00B75FD7" w:rsidRDefault="005C57BD" w:rsidP="001B3967">
            <w:pPr>
              <w:contextualSpacing/>
              <w:rPr>
                <w:b/>
                <w:sz w:val="22"/>
              </w:rPr>
            </w:pPr>
            <w:r w:rsidRPr="00B75FD7">
              <w:rPr>
                <w:b/>
                <w:sz w:val="22"/>
              </w:rPr>
              <w:t>Очікувані якісні результати від реалізації проекту</w:t>
            </w:r>
          </w:p>
        </w:tc>
        <w:tc>
          <w:tcPr>
            <w:tcW w:w="7089" w:type="dxa"/>
            <w:gridSpan w:val="7"/>
            <w:tcBorders>
              <w:top w:val="single" w:sz="6" w:space="0" w:color="auto"/>
              <w:left w:val="single" w:sz="6" w:space="0" w:color="auto"/>
              <w:bottom w:val="single" w:sz="6" w:space="0" w:color="auto"/>
              <w:right w:val="single" w:sz="6" w:space="0" w:color="auto"/>
            </w:tcBorders>
            <w:shd w:val="clear" w:color="auto" w:fill="auto"/>
          </w:tcPr>
          <w:p w:rsidR="005C57BD" w:rsidRPr="00B75FD7" w:rsidRDefault="005C57BD" w:rsidP="001B3967">
            <w:pPr>
              <w:rPr>
                <w:sz w:val="22"/>
              </w:rPr>
            </w:pPr>
            <w:r w:rsidRPr="00B75FD7">
              <w:rPr>
                <w:sz w:val="22"/>
              </w:rPr>
              <w:t>- Забезпечення населення можливостями для реалізації їх конституційних прав, пов’язаних з отримання якісних освітніх послуг;</w:t>
            </w:r>
          </w:p>
          <w:p w:rsidR="005C57BD" w:rsidRPr="00B75FD7" w:rsidRDefault="005C57BD" w:rsidP="001B3967">
            <w:pPr>
              <w:rPr>
                <w:sz w:val="22"/>
              </w:rPr>
            </w:pPr>
            <w:r w:rsidRPr="00B75FD7">
              <w:rPr>
                <w:sz w:val="22"/>
              </w:rPr>
              <w:t xml:space="preserve">-  </w:t>
            </w:r>
            <w:proofErr w:type="spellStart"/>
            <w:r w:rsidRPr="00B75FD7">
              <w:rPr>
                <w:sz w:val="22"/>
              </w:rPr>
              <w:t>нада</w:t>
            </w:r>
            <w:r w:rsidR="006D7C57" w:rsidRPr="00B75FD7">
              <w:rPr>
                <w:sz w:val="22"/>
                <w:lang w:val="ru-RU"/>
              </w:rPr>
              <w:t>ння</w:t>
            </w:r>
            <w:proofErr w:type="spellEnd"/>
            <w:r w:rsidRPr="00B75FD7">
              <w:rPr>
                <w:sz w:val="22"/>
              </w:rPr>
              <w:t xml:space="preserve"> </w:t>
            </w:r>
            <w:proofErr w:type="spellStart"/>
            <w:r w:rsidRPr="00B75FD7">
              <w:rPr>
                <w:sz w:val="22"/>
              </w:rPr>
              <w:t>можлив</w:t>
            </w:r>
            <w:proofErr w:type="spellEnd"/>
            <w:r w:rsidR="006D7C57" w:rsidRPr="00B75FD7">
              <w:rPr>
                <w:sz w:val="22"/>
                <w:lang w:val="ru-RU"/>
              </w:rPr>
              <w:t>о</w:t>
            </w:r>
            <w:proofErr w:type="spellStart"/>
            <w:r w:rsidRPr="00B75FD7">
              <w:rPr>
                <w:sz w:val="22"/>
              </w:rPr>
              <w:t>ст</w:t>
            </w:r>
            <w:proofErr w:type="spellEnd"/>
            <w:r w:rsidR="006D7C57" w:rsidRPr="00B75FD7">
              <w:rPr>
                <w:sz w:val="22"/>
                <w:lang w:val="ru-RU"/>
              </w:rPr>
              <w:t>і</w:t>
            </w:r>
            <w:r w:rsidRPr="00B75FD7">
              <w:rPr>
                <w:sz w:val="22"/>
              </w:rPr>
              <w:t xml:space="preserve"> працювати в безпечних умовах для працівників та перебування в ньому дітей;</w:t>
            </w:r>
          </w:p>
          <w:p w:rsidR="005C57BD" w:rsidRPr="00B75FD7" w:rsidRDefault="005C57BD" w:rsidP="001B3967">
            <w:pPr>
              <w:rPr>
                <w:sz w:val="22"/>
              </w:rPr>
            </w:pPr>
            <w:r w:rsidRPr="00B75FD7">
              <w:rPr>
                <w:sz w:val="22"/>
              </w:rPr>
              <w:t>-  вирішення ряду питань в межах статутної діяльності, пов’язаних із відбудовою та сталим розвитком громади;</w:t>
            </w:r>
          </w:p>
          <w:p w:rsidR="005C57BD" w:rsidRPr="00B75FD7" w:rsidRDefault="005C57BD" w:rsidP="001B3967">
            <w:pPr>
              <w:rPr>
                <w:sz w:val="22"/>
              </w:rPr>
            </w:pPr>
            <w:r w:rsidRPr="00B75FD7">
              <w:rPr>
                <w:sz w:val="22"/>
              </w:rPr>
              <w:t>-  створення нових робочих місць;</w:t>
            </w:r>
          </w:p>
          <w:p w:rsidR="005C57BD" w:rsidRPr="00B75FD7" w:rsidRDefault="005C57BD" w:rsidP="001B3967">
            <w:pPr>
              <w:rPr>
                <w:sz w:val="22"/>
              </w:rPr>
            </w:pPr>
            <w:r w:rsidRPr="00B75FD7">
              <w:rPr>
                <w:sz w:val="22"/>
              </w:rPr>
              <w:lastRenderedPageBreak/>
              <w:t>-  зменшення споживання енергоресурсів;</w:t>
            </w:r>
          </w:p>
          <w:p w:rsidR="005C57BD" w:rsidRPr="00B75FD7" w:rsidRDefault="005C57BD" w:rsidP="001B3967">
            <w:pPr>
              <w:rPr>
                <w:sz w:val="22"/>
              </w:rPr>
            </w:pPr>
            <w:r w:rsidRPr="00B75FD7">
              <w:rPr>
                <w:sz w:val="22"/>
              </w:rPr>
              <w:t>-  стимул до повернення ВПО до громади.</w:t>
            </w:r>
          </w:p>
          <w:p w:rsidR="005C57BD" w:rsidRPr="00B75FD7" w:rsidRDefault="005C57BD" w:rsidP="001B3967">
            <w:pPr>
              <w:rPr>
                <w:sz w:val="22"/>
              </w:rPr>
            </w:pPr>
          </w:p>
        </w:tc>
      </w:tr>
      <w:tr w:rsidR="005C57BD" w:rsidRPr="00B75FD7" w:rsidTr="005C57BD">
        <w:trPr>
          <w:trHeight w:val="390"/>
        </w:trPr>
        <w:tc>
          <w:tcPr>
            <w:tcW w:w="2799" w:type="dxa"/>
            <w:vMerge w:val="restart"/>
            <w:shd w:val="clear" w:color="auto" w:fill="C6D9F1" w:themeFill="text2" w:themeFillTint="33"/>
          </w:tcPr>
          <w:p w:rsidR="005C57BD" w:rsidRPr="00B75FD7" w:rsidRDefault="005C57BD" w:rsidP="001B3967">
            <w:pPr>
              <w:contextualSpacing/>
              <w:rPr>
                <w:b/>
                <w:sz w:val="22"/>
              </w:rPr>
            </w:pPr>
            <w:r w:rsidRPr="00B75FD7">
              <w:rPr>
                <w:b/>
                <w:sz w:val="22"/>
              </w:rPr>
              <w:lastRenderedPageBreak/>
              <w:t xml:space="preserve">Очікувані кількісні результати реалізації </w:t>
            </w:r>
            <w:proofErr w:type="spellStart"/>
            <w:r w:rsidRPr="00B75FD7">
              <w:rPr>
                <w:b/>
                <w:sz w:val="22"/>
              </w:rPr>
              <w:t>проєкту</w:t>
            </w:r>
            <w:proofErr w:type="spellEnd"/>
            <w:r w:rsidRPr="00B75FD7">
              <w:rPr>
                <w:b/>
                <w:sz w:val="22"/>
              </w:rPr>
              <w:t xml:space="preserve"> (індикатори)</w:t>
            </w:r>
          </w:p>
          <w:p w:rsidR="005C57BD" w:rsidRPr="00B75FD7" w:rsidRDefault="005C57BD" w:rsidP="001B3967">
            <w:pPr>
              <w:contextualSpacing/>
              <w:rPr>
                <w:b/>
                <w:sz w:val="22"/>
              </w:rPr>
            </w:pPr>
          </w:p>
        </w:tc>
        <w:tc>
          <w:tcPr>
            <w:tcW w:w="3722" w:type="dxa"/>
            <w:gridSpan w:val="3"/>
            <w:tcBorders>
              <w:bottom w:val="single" w:sz="4" w:space="0" w:color="auto"/>
              <w:right w:val="single" w:sz="4" w:space="0" w:color="auto"/>
            </w:tcBorders>
            <w:shd w:val="clear" w:color="auto" w:fill="auto"/>
          </w:tcPr>
          <w:p w:rsidR="005C57BD" w:rsidRPr="00B75FD7" w:rsidRDefault="005C57BD" w:rsidP="001B3967">
            <w:pPr>
              <w:ind w:left="-108"/>
              <w:contextualSpacing/>
              <w:jc w:val="center"/>
              <w:rPr>
                <w:b/>
                <w:sz w:val="22"/>
              </w:rPr>
            </w:pPr>
            <w:r w:rsidRPr="00B75FD7">
              <w:rPr>
                <w:b/>
                <w:sz w:val="22"/>
              </w:rPr>
              <w:t>Найменування показника</w:t>
            </w:r>
          </w:p>
        </w:tc>
        <w:tc>
          <w:tcPr>
            <w:tcW w:w="1701" w:type="dxa"/>
            <w:gridSpan w:val="2"/>
            <w:tcBorders>
              <w:left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b/>
                <w:sz w:val="22"/>
              </w:rPr>
            </w:pPr>
            <w:r w:rsidRPr="00B75FD7">
              <w:rPr>
                <w:b/>
                <w:sz w:val="22"/>
              </w:rPr>
              <w:t>Одиниця вимірювання</w:t>
            </w:r>
          </w:p>
          <w:p w:rsidR="005C57BD" w:rsidRPr="00B75FD7" w:rsidRDefault="005C57BD" w:rsidP="001B3967">
            <w:pPr>
              <w:contextualSpacing/>
              <w:rPr>
                <w:b/>
                <w:sz w:val="22"/>
              </w:rPr>
            </w:pPr>
          </w:p>
        </w:tc>
        <w:tc>
          <w:tcPr>
            <w:tcW w:w="1666" w:type="dxa"/>
            <w:gridSpan w:val="2"/>
            <w:tcBorders>
              <w:left w:val="single" w:sz="4" w:space="0" w:color="auto"/>
              <w:bottom w:val="single" w:sz="4" w:space="0" w:color="auto"/>
            </w:tcBorders>
            <w:shd w:val="clear" w:color="auto" w:fill="auto"/>
          </w:tcPr>
          <w:p w:rsidR="005C57BD" w:rsidRPr="00B75FD7" w:rsidRDefault="005C57BD" w:rsidP="001B3967">
            <w:pPr>
              <w:contextualSpacing/>
              <w:jc w:val="center"/>
              <w:rPr>
                <w:b/>
                <w:sz w:val="22"/>
              </w:rPr>
            </w:pPr>
            <w:r w:rsidRPr="00B75FD7">
              <w:rPr>
                <w:b/>
                <w:sz w:val="22"/>
              </w:rPr>
              <w:t>Прогнозне (цільове) значення</w:t>
            </w:r>
          </w:p>
        </w:tc>
      </w:tr>
      <w:tr w:rsidR="005C57BD" w:rsidRPr="00B75FD7" w:rsidTr="005C57BD">
        <w:trPr>
          <w:trHeight w:val="585"/>
        </w:trPr>
        <w:tc>
          <w:tcPr>
            <w:tcW w:w="2799" w:type="dxa"/>
            <w:vMerge/>
            <w:shd w:val="clear" w:color="auto" w:fill="C6D9F1" w:themeFill="text2" w:themeFillTint="33"/>
          </w:tcPr>
          <w:p w:rsidR="005C57BD" w:rsidRPr="00B75FD7" w:rsidRDefault="005C57BD" w:rsidP="001B3967">
            <w:pPr>
              <w:contextualSpacing/>
              <w:rPr>
                <w:b/>
                <w:sz w:val="22"/>
              </w:rPr>
            </w:pPr>
          </w:p>
        </w:tc>
        <w:tc>
          <w:tcPr>
            <w:tcW w:w="3722" w:type="dxa"/>
            <w:gridSpan w:val="3"/>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Кількість фізичних та юридичних осіб, які звернулись за послугами протягом  року</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contextualSpacing/>
              <w:jc w:val="center"/>
              <w:rPr>
                <w:sz w:val="22"/>
              </w:rPr>
            </w:pPr>
            <w:r w:rsidRPr="00B75FD7">
              <w:rPr>
                <w:sz w:val="22"/>
              </w:rPr>
              <w:t>осіб</w:t>
            </w:r>
          </w:p>
        </w:tc>
        <w:tc>
          <w:tcPr>
            <w:tcW w:w="1666" w:type="dxa"/>
            <w:gridSpan w:val="2"/>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contextualSpacing/>
              <w:rPr>
                <w:b/>
                <w:sz w:val="22"/>
              </w:rPr>
            </w:pPr>
            <w:r w:rsidRPr="00B75FD7">
              <w:rPr>
                <w:sz w:val="22"/>
              </w:rPr>
              <w:t xml:space="preserve">700 </w:t>
            </w:r>
          </w:p>
        </w:tc>
      </w:tr>
      <w:tr w:rsidR="005C57BD" w:rsidRPr="00B75FD7" w:rsidTr="005C57BD">
        <w:trPr>
          <w:trHeight w:val="184"/>
        </w:trPr>
        <w:tc>
          <w:tcPr>
            <w:tcW w:w="2799" w:type="dxa"/>
            <w:vMerge/>
            <w:shd w:val="clear" w:color="auto" w:fill="C6D9F1" w:themeFill="text2" w:themeFillTint="33"/>
          </w:tcPr>
          <w:p w:rsidR="005C57BD" w:rsidRPr="00B75FD7" w:rsidRDefault="005C57BD" w:rsidP="001B3967">
            <w:pPr>
              <w:contextualSpacing/>
              <w:rPr>
                <w:b/>
                <w:sz w:val="22"/>
              </w:rPr>
            </w:pPr>
          </w:p>
        </w:tc>
        <w:tc>
          <w:tcPr>
            <w:tcW w:w="3722" w:type="dxa"/>
            <w:gridSpan w:val="3"/>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Капітальний ремонт основної будівлі</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contextualSpacing/>
              <w:jc w:val="center"/>
              <w:rPr>
                <w:color w:val="FF0000"/>
                <w:sz w:val="22"/>
              </w:rPr>
            </w:pPr>
            <w:proofErr w:type="spellStart"/>
            <w:r w:rsidRPr="00B75FD7">
              <w:rPr>
                <w:sz w:val="22"/>
              </w:rPr>
              <w:t>кв.м</w:t>
            </w:r>
            <w:proofErr w:type="spellEnd"/>
          </w:p>
        </w:tc>
        <w:tc>
          <w:tcPr>
            <w:tcW w:w="1666" w:type="dxa"/>
            <w:gridSpan w:val="2"/>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contextualSpacing/>
              <w:rPr>
                <w:color w:val="FF0000"/>
                <w:sz w:val="22"/>
              </w:rPr>
            </w:pPr>
            <w:r w:rsidRPr="00B75FD7">
              <w:rPr>
                <w:rFonts w:eastAsia="Calibri"/>
                <w:sz w:val="22"/>
              </w:rPr>
              <w:t>1984.8</w:t>
            </w:r>
          </w:p>
        </w:tc>
      </w:tr>
      <w:tr w:rsidR="005C57BD" w:rsidRPr="00B75FD7" w:rsidTr="005C57BD">
        <w:trPr>
          <w:trHeight w:val="184"/>
        </w:trPr>
        <w:tc>
          <w:tcPr>
            <w:tcW w:w="2799" w:type="dxa"/>
            <w:vMerge/>
            <w:shd w:val="clear" w:color="auto" w:fill="C6D9F1" w:themeFill="text2" w:themeFillTint="33"/>
          </w:tcPr>
          <w:p w:rsidR="005C57BD" w:rsidRPr="00B75FD7" w:rsidRDefault="005C57BD" w:rsidP="001B3967">
            <w:pPr>
              <w:contextualSpacing/>
              <w:rPr>
                <w:b/>
                <w:sz w:val="22"/>
              </w:rPr>
            </w:pPr>
          </w:p>
        </w:tc>
        <w:tc>
          <w:tcPr>
            <w:tcW w:w="3722" w:type="dxa"/>
            <w:gridSpan w:val="3"/>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rFonts w:eastAsia="Calibri"/>
                <w:sz w:val="22"/>
              </w:rPr>
              <w:t>Загальна</w:t>
            </w:r>
            <w:r w:rsidRPr="00B75FD7">
              <w:rPr>
                <w:sz w:val="22"/>
              </w:rPr>
              <w:t xml:space="preserve"> площа даху</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contextualSpacing/>
              <w:jc w:val="center"/>
              <w:rPr>
                <w:sz w:val="22"/>
              </w:rPr>
            </w:pPr>
            <w:proofErr w:type="spellStart"/>
            <w:r w:rsidRPr="00B75FD7">
              <w:rPr>
                <w:sz w:val="22"/>
              </w:rPr>
              <w:t>кв.м</w:t>
            </w:r>
            <w:proofErr w:type="spellEnd"/>
          </w:p>
        </w:tc>
        <w:tc>
          <w:tcPr>
            <w:tcW w:w="1666" w:type="dxa"/>
            <w:gridSpan w:val="2"/>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contextualSpacing/>
              <w:rPr>
                <w:rFonts w:eastAsia="Calibri"/>
                <w:sz w:val="22"/>
              </w:rPr>
            </w:pPr>
            <w:r w:rsidRPr="00B75FD7">
              <w:rPr>
                <w:rFonts w:eastAsia="Calibri"/>
                <w:sz w:val="22"/>
              </w:rPr>
              <w:t>1685</w:t>
            </w:r>
          </w:p>
        </w:tc>
      </w:tr>
      <w:tr w:rsidR="005C57BD" w:rsidRPr="00B75FD7" w:rsidTr="005C57BD">
        <w:trPr>
          <w:trHeight w:val="184"/>
        </w:trPr>
        <w:tc>
          <w:tcPr>
            <w:tcW w:w="2799" w:type="dxa"/>
            <w:vMerge/>
            <w:shd w:val="clear" w:color="auto" w:fill="C6D9F1" w:themeFill="text2" w:themeFillTint="33"/>
          </w:tcPr>
          <w:p w:rsidR="005C57BD" w:rsidRPr="00B75FD7" w:rsidRDefault="005C57BD" w:rsidP="001B3967">
            <w:pPr>
              <w:contextualSpacing/>
              <w:rPr>
                <w:b/>
                <w:sz w:val="22"/>
              </w:rPr>
            </w:pPr>
          </w:p>
        </w:tc>
        <w:tc>
          <w:tcPr>
            <w:tcW w:w="3722" w:type="dxa"/>
            <w:gridSpan w:val="3"/>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Площа фасаду без вікон</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contextualSpacing/>
              <w:jc w:val="center"/>
              <w:rPr>
                <w:sz w:val="22"/>
              </w:rPr>
            </w:pPr>
            <w:proofErr w:type="spellStart"/>
            <w:r w:rsidRPr="00B75FD7">
              <w:rPr>
                <w:sz w:val="22"/>
              </w:rPr>
              <w:t>кв.м</w:t>
            </w:r>
            <w:proofErr w:type="spellEnd"/>
          </w:p>
        </w:tc>
        <w:tc>
          <w:tcPr>
            <w:tcW w:w="1666" w:type="dxa"/>
            <w:gridSpan w:val="2"/>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contextualSpacing/>
              <w:rPr>
                <w:sz w:val="22"/>
              </w:rPr>
            </w:pPr>
            <w:r w:rsidRPr="00B75FD7">
              <w:rPr>
                <w:sz w:val="22"/>
              </w:rPr>
              <w:t>1810</w:t>
            </w:r>
          </w:p>
        </w:tc>
      </w:tr>
      <w:tr w:rsidR="005C57BD" w:rsidRPr="00B75FD7" w:rsidTr="005C57BD">
        <w:trPr>
          <w:trHeight w:val="184"/>
        </w:trPr>
        <w:tc>
          <w:tcPr>
            <w:tcW w:w="2799" w:type="dxa"/>
            <w:vMerge/>
            <w:shd w:val="clear" w:color="auto" w:fill="C6D9F1" w:themeFill="text2" w:themeFillTint="33"/>
          </w:tcPr>
          <w:p w:rsidR="005C57BD" w:rsidRPr="00B75FD7" w:rsidRDefault="005C57BD" w:rsidP="001B3967">
            <w:pPr>
              <w:contextualSpacing/>
              <w:rPr>
                <w:b/>
                <w:sz w:val="22"/>
              </w:rPr>
            </w:pPr>
          </w:p>
        </w:tc>
        <w:tc>
          <w:tcPr>
            <w:tcW w:w="3722" w:type="dxa"/>
            <w:gridSpan w:val="3"/>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 xml:space="preserve">Металеві вхідні двері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contextualSpacing/>
              <w:jc w:val="center"/>
              <w:rPr>
                <w:sz w:val="22"/>
              </w:rPr>
            </w:pPr>
            <w:r w:rsidRPr="00B75FD7">
              <w:rPr>
                <w:sz w:val="22"/>
              </w:rPr>
              <w:t>одиниць</w:t>
            </w:r>
          </w:p>
        </w:tc>
        <w:tc>
          <w:tcPr>
            <w:tcW w:w="1666" w:type="dxa"/>
            <w:gridSpan w:val="2"/>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autoSpaceDE w:val="0"/>
              <w:autoSpaceDN w:val="0"/>
              <w:adjustRightInd w:val="0"/>
              <w:rPr>
                <w:rFonts w:eastAsia="Calibri"/>
                <w:color w:val="000000"/>
                <w:sz w:val="22"/>
              </w:rPr>
            </w:pPr>
            <w:r w:rsidRPr="00B75FD7">
              <w:rPr>
                <w:rFonts w:eastAsia="Calibri"/>
                <w:color w:val="000000"/>
                <w:sz w:val="22"/>
              </w:rPr>
              <w:t>24</w:t>
            </w:r>
          </w:p>
        </w:tc>
      </w:tr>
      <w:tr w:rsidR="005C57BD" w:rsidRPr="00B75FD7" w:rsidTr="005C57BD">
        <w:trPr>
          <w:trHeight w:val="184"/>
        </w:trPr>
        <w:tc>
          <w:tcPr>
            <w:tcW w:w="2799" w:type="dxa"/>
            <w:vMerge/>
            <w:shd w:val="clear" w:color="auto" w:fill="C6D9F1" w:themeFill="text2" w:themeFillTint="33"/>
          </w:tcPr>
          <w:p w:rsidR="005C57BD" w:rsidRPr="00B75FD7" w:rsidRDefault="005C57BD" w:rsidP="001B3967">
            <w:pPr>
              <w:contextualSpacing/>
              <w:rPr>
                <w:b/>
                <w:sz w:val="22"/>
              </w:rPr>
            </w:pPr>
          </w:p>
        </w:tc>
        <w:tc>
          <w:tcPr>
            <w:tcW w:w="3722" w:type="dxa"/>
            <w:gridSpan w:val="3"/>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Міжкімнатні дерев’яні двері</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contextualSpacing/>
              <w:jc w:val="center"/>
              <w:rPr>
                <w:sz w:val="22"/>
              </w:rPr>
            </w:pPr>
            <w:r w:rsidRPr="00B75FD7">
              <w:rPr>
                <w:sz w:val="22"/>
              </w:rPr>
              <w:t>одиниць</w:t>
            </w:r>
          </w:p>
        </w:tc>
        <w:tc>
          <w:tcPr>
            <w:tcW w:w="1666" w:type="dxa"/>
            <w:gridSpan w:val="2"/>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autoSpaceDE w:val="0"/>
              <w:autoSpaceDN w:val="0"/>
              <w:adjustRightInd w:val="0"/>
              <w:rPr>
                <w:rFonts w:eastAsia="Calibri"/>
                <w:color w:val="000000"/>
                <w:sz w:val="22"/>
              </w:rPr>
            </w:pPr>
            <w:r w:rsidRPr="00B75FD7">
              <w:rPr>
                <w:rFonts w:eastAsia="Calibri"/>
                <w:color w:val="000000"/>
                <w:sz w:val="22"/>
              </w:rPr>
              <w:t>93</w:t>
            </w:r>
          </w:p>
        </w:tc>
      </w:tr>
      <w:tr w:rsidR="005C57BD" w:rsidRPr="00B75FD7" w:rsidTr="005C57BD">
        <w:trPr>
          <w:trHeight w:val="184"/>
        </w:trPr>
        <w:tc>
          <w:tcPr>
            <w:tcW w:w="2799" w:type="dxa"/>
            <w:vMerge/>
            <w:shd w:val="clear" w:color="auto" w:fill="C6D9F1" w:themeFill="text2" w:themeFillTint="33"/>
          </w:tcPr>
          <w:p w:rsidR="005C57BD" w:rsidRPr="00B75FD7" w:rsidRDefault="005C57BD" w:rsidP="001B3967">
            <w:pPr>
              <w:contextualSpacing/>
              <w:rPr>
                <w:b/>
                <w:sz w:val="22"/>
              </w:rPr>
            </w:pPr>
          </w:p>
        </w:tc>
        <w:tc>
          <w:tcPr>
            <w:tcW w:w="3722" w:type="dxa"/>
            <w:gridSpan w:val="3"/>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Вікна</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contextualSpacing/>
              <w:jc w:val="center"/>
              <w:rPr>
                <w:sz w:val="22"/>
              </w:rPr>
            </w:pPr>
            <w:proofErr w:type="spellStart"/>
            <w:r w:rsidRPr="00B75FD7">
              <w:rPr>
                <w:sz w:val="22"/>
              </w:rPr>
              <w:t>кв.м</w:t>
            </w:r>
            <w:proofErr w:type="spellEnd"/>
          </w:p>
        </w:tc>
        <w:tc>
          <w:tcPr>
            <w:tcW w:w="1666" w:type="dxa"/>
            <w:gridSpan w:val="2"/>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autoSpaceDE w:val="0"/>
              <w:autoSpaceDN w:val="0"/>
              <w:adjustRightInd w:val="0"/>
              <w:rPr>
                <w:rFonts w:eastAsia="Calibri"/>
                <w:color w:val="000000"/>
                <w:sz w:val="22"/>
              </w:rPr>
            </w:pPr>
            <w:r w:rsidRPr="00B75FD7">
              <w:rPr>
                <w:rFonts w:eastAsia="Calibri"/>
                <w:color w:val="000000"/>
                <w:sz w:val="22"/>
              </w:rPr>
              <w:t>576</w:t>
            </w:r>
          </w:p>
        </w:tc>
      </w:tr>
      <w:tr w:rsidR="005C57BD" w:rsidRPr="00B75FD7" w:rsidTr="005C57BD">
        <w:trPr>
          <w:trHeight w:val="184"/>
        </w:trPr>
        <w:tc>
          <w:tcPr>
            <w:tcW w:w="2799" w:type="dxa"/>
            <w:vMerge/>
            <w:shd w:val="clear" w:color="auto" w:fill="C6D9F1" w:themeFill="text2" w:themeFillTint="33"/>
          </w:tcPr>
          <w:p w:rsidR="005C57BD" w:rsidRPr="00B75FD7" w:rsidRDefault="005C57BD" w:rsidP="001B3967">
            <w:pPr>
              <w:contextualSpacing/>
              <w:rPr>
                <w:b/>
                <w:sz w:val="22"/>
              </w:rPr>
            </w:pPr>
          </w:p>
        </w:tc>
        <w:tc>
          <w:tcPr>
            <w:tcW w:w="3722" w:type="dxa"/>
            <w:gridSpan w:val="3"/>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Капітальний ремонт групових кімнат (роздягальних, спальних, туалетних)</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contextualSpacing/>
              <w:jc w:val="center"/>
              <w:rPr>
                <w:sz w:val="22"/>
              </w:rPr>
            </w:pPr>
            <w:proofErr w:type="spellStart"/>
            <w:r w:rsidRPr="00B75FD7">
              <w:rPr>
                <w:sz w:val="22"/>
              </w:rPr>
              <w:t>кв.м</w:t>
            </w:r>
            <w:proofErr w:type="spellEnd"/>
          </w:p>
        </w:tc>
        <w:tc>
          <w:tcPr>
            <w:tcW w:w="1666" w:type="dxa"/>
            <w:gridSpan w:val="2"/>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autoSpaceDE w:val="0"/>
              <w:autoSpaceDN w:val="0"/>
              <w:adjustRightInd w:val="0"/>
              <w:rPr>
                <w:rFonts w:eastAsia="Calibri"/>
                <w:sz w:val="22"/>
              </w:rPr>
            </w:pPr>
            <w:r w:rsidRPr="00B75FD7">
              <w:rPr>
                <w:rFonts w:eastAsia="Calibri"/>
                <w:sz w:val="22"/>
              </w:rPr>
              <w:t>1150</w:t>
            </w:r>
          </w:p>
        </w:tc>
      </w:tr>
      <w:tr w:rsidR="005C57BD" w:rsidRPr="00B75FD7" w:rsidTr="005C57BD">
        <w:trPr>
          <w:trHeight w:val="184"/>
        </w:trPr>
        <w:tc>
          <w:tcPr>
            <w:tcW w:w="2799" w:type="dxa"/>
            <w:vMerge/>
            <w:shd w:val="clear" w:color="auto" w:fill="C6D9F1" w:themeFill="text2" w:themeFillTint="33"/>
          </w:tcPr>
          <w:p w:rsidR="005C57BD" w:rsidRPr="00B75FD7" w:rsidRDefault="005C57BD" w:rsidP="001B3967">
            <w:pPr>
              <w:contextualSpacing/>
              <w:rPr>
                <w:b/>
                <w:sz w:val="22"/>
              </w:rPr>
            </w:pPr>
          </w:p>
        </w:tc>
        <w:tc>
          <w:tcPr>
            <w:tcW w:w="3722" w:type="dxa"/>
            <w:gridSpan w:val="3"/>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Капітальний ремонт кабінетів</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contextualSpacing/>
              <w:jc w:val="center"/>
              <w:rPr>
                <w:sz w:val="22"/>
              </w:rPr>
            </w:pPr>
            <w:proofErr w:type="spellStart"/>
            <w:r w:rsidRPr="00B75FD7">
              <w:rPr>
                <w:sz w:val="22"/>
              </w:rPr>
              <w:t>кв.м</w:t>
            </w:r>
            <w:proofErr w:type="spellEnd"/>
          </w:p>
        </w:tc>
        <w:tc>
          <w:tcPr>
            <w:tcW w:w="1666" w:type="dxa"/>
            <w:gridSpan w:val="2"/>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autoSpaceDE w:val="0"/>
              <w:autoSpaceDN w:val="0"/>
              <w:adjustRightInd w:val="0"/>
              <w:rPr>
                <w:rFonts w:eastAsia="Calibri"/>
                <w:color w:val="000000"/>
                <w:sz w:val="22"/>
              </w:rPr>
            </w:pPr>
            <w:r w:rsidRPr="00B75FD7">
              <w:rPr>
                <w:rFonts w:eastAsia="Calibri"/>
                <w:color w:val="000000"/>
                <w:sz w:val="22"/>
              </w:rPr>
              <w:t>156.2</w:t>
            </w:r>
          </w:p>
        </w:tc>
      </w:tr>
      <w:tr w:rsidR="005C57BD" w:rsidRPr="00B75FD7" w:rsidTr="005C57BD">
        <w:trPr>
          <w:trHeight w:val="184"/>
        </w:trPr>
        <w:tc>
          <w:tcPr>
            <w:tcW w:w="2799" w:type="dxa"/>
            <w:vMerge/>
            <w:shd w:val="clear" w:color="auto" w:fill="C6D9F1" w:themeFill="text2" w:themeFillTint="33"/>
          </w:tcPr>
          <w:p w:rsidR="005C57BD" w:rsidRPr="00B75FD7" w:rsidRDefault="005C57BD" w:rsidP="001B3967">
            <w:pPr>
              <w:contextualSpacing/>
              <w:rPr>
                <w:b/>
                <w:sz w:val="22"/>
              </w:rPr>
            </w:pPr>
          </w:p>
        </w:tc>
        <w:tc>
          <w:tcPr>
            <w:tcW w:w="3722" w:type="dxa"/>
            <w:gridSpan w:val="3"/>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Капітальний ремонт харчоблоку</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contextualSpacing/>
              <w:jc w:val="center"/>
              <w:rPr>
                <w:sz w:val="22"/>
              </w:rPr>
            </w:pPr>
            <w:proofErr w:type="spellStart"/>
            <w:r w:rsidRPr="00B75FD7">
              <w:rPr>
                <w:sz w:val="22"/>
              </w:rPr>
              <w:t>кв.м</w:t>
            </w:r>
            <w:proofErr w:type="spellEnd"/>
          </w:p>
        </w:tc>
        <w:tc>
          <w:tcPr>
            <w:tcW w:w="1666" w:type="dxa"/>
            <w:gridSpan w:val="2"/>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autoSpaceDE w:val="0"/>
              <w:autoSpaceDN w:val="0"/>
              <w:adjustRightInd w:val="0"/>
              <w:rPr>
                <w:rFonts w:eastAsia="Calibri"/>
                <w:color w:val="000000"/>
                <w:sz w:val="22"/>
              </w:rPr>
            </w:pPr>
            <w:r w:rsidRPr="00B75FD7">
              <w:rPr>
                <w:rFonts w:eastAsia="Calibri"/>
                <w:color w:val="000000"/>
                <w:sz w:val="22"/>
              </w:rPr>
              <w:t>106</w:t>
            </w:r>
          </w:p>
        </w:tc>
      </w:tr>
      <w:tr w:rsidR="005C57BD" w:rsidRPr="00B75FD7" w:rsidTr="005C57BD">
        <w:trPr>
          <w:trHeight w:val="184"/>
        </w:trPr>
        <w:tc>
          <w:tcPr>
            <w:tcW w:w="2799" w:type="dxa"/>
            <w:vMerge/>
            <w:shd w:val="clear" w:color="auto" w:fill="C6D9F1" w:themeFill="text2" w:themeFillTint="33"/>
          </w:tcPr>
          <w:p w:rsidR="005C57BD" w:rsidRPr="00B75FD7" w:rsidRDefault="005C57BD" w:rsidP="001B3967">
            <w:pPr>
              <w:contextualSpacing/>
              <w:rPr>
                <w:b/>
                <w:sz w:val="22"/>
              </w:rPr>
            </w:pPr>
          </w:p>
        </w:tc>
        <w:tc>
          <w:tcPr>
            <w:tcW w:w="3722" w:type="dxa"/>
            <w:gridSpan w:val="3"/>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Ремонт системи опалення (основна будівля, пральня, харчові комори)</w:t>
            </w:r>
          </w:p>
          <w:p w:rsidR="005C57BD" w:rsidRPr="00B75FD7" w:rsidRDefault="005C57BD" w:rsidP="001B3967">
            <w:pPr>
              <w:contextualSpacing/>
              <w:jc w:val="center"/>
              <w:rPr>
                <w:sz w:val="22"/>
              </w:rPr>
            </w:pPr>
            <w:r w:rsidRPr="00B75FD7">
              <w:rPr>
                <w:sz w:val="22"/>
              </w:rPr>
              <w:t>(біметалеві радіатори)</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sz w:val="22"/>
              </w:rPr>
            </w:pPr>
            <w:proofErr w:type="spellStart"/>
            <w:r w:rsidRPr="00B75FD7">
              <w:rPr>
                <w:sz w:val="22"/>
              </w:rPr>
              <w:t>кв.м</w:t>
            </w:r>
            <w:proofErr w:type="spellEnd"/>
          </w:p>
          <w:p w:rsidR="005C57BD" w:rsidRPr="00B75FD7" w:rsidRDefault="005C57BD" w:rsidP="001B3967">
            <w:pPr>
              <w:contextualSpacing/>
              <w:jc w:val="center"/>
              <w:rPr>
                <w:sz w:val="22"/>
              </w:rPr>
            </w:pPr>
            <w:r w:rsidRPr="00B75FD7">
              <w:rPr>
                <w:sz w:val="22"/>
              </w:rPr>
              <w:t>секція</w:t>
            </w:r>
          </w:p>
        </w:tc>
        <w:tc>
          <w:tcPr>
            <w:tcW w:w="1666" w:type="dxa"/>
            <w:gridSpan w:val="2"/>
            <w:tcBorders>
              <w:top w:val="single" w:sz="4" w:space="0" w:color="auto"/>
              <w:left w:val="single" w:sz="4" w:space="0" w:color="auto"/>
              <w:bottom w:val="single" w:sz="4" w:space="0" w:color="auto"/>
            </w:tcBorders>
            <w:shd w:val="clear" w:color="auto" w:fill="auto"/>
          </w:tcPr>
          <w:p w:rsidR="005C57BD" w:rsidRPr="00B75FD7" w:rsidRDefault="005C57BD" w:rsidP="001B3967">
            <w:pPr>
              <w:autoSpaceDE w:val="0"/>
              <w:autoSpaceDN w:val="0"/>
              <w:adjustRightInd w:val="0"/>
              <w:rPr>
                <w:rFonts w:eastAsia="Calibri"/>
                <w:color w:val="000000"/>
                <w:sz w:val="22"/>
              </w:rPr>
            </w:pPr>
            <w:r w:rsidRPr="00B75FD7">
              <w:rPr>
                <w:rFonts w:eastAsia="Calibri"/>
                <w:color w:val="000000"/>
                <w:sz w:val="22"/>
              </w:rPr>
              <w:t>2261.2</w:t>
            </w:r>
          </w:p>
          <w:p w:rsidR="005C57BD" w:rsidRPr="00B75FD7" w:rsidRDefault="005C57BD" w:rsidP="001B3967">
            <w:pPr>
              <w:autoSpaceDE w:val="0"/>
              <w:autoSpaceDN w:val="0"/>
              <w:adjustRightInd w:val="0"/>
              <w:rPr>
                <w:rFonts w:eastAsia="Calibri"/>
                <w:color w:val="000000"/>
                <w:sz w:val="22"/>
              </w:rPr>
            </w:pPr>
            <w:r w:rsidRPr="00B75FD7">
              <w:rPr>
                <w:rFonts w:eastAsia="Calibri"/>
                <w:sz w:val="22"/>
              </w:rPr>
              <w:t>1070</w:t>
            </w:r>
          </w:p>
        </w:tc>
      </w:tr>
      <w:tr w:rsidR="005C57BD" w:rsidRPr="00B75FD7" w:rsidTr="005C57BD">
        <w:trPr>
          <w:trHeight w:val="675"/>
        </w:trPr>
        <w:tc>
          <w:tcPr>
            <w:tcW w:w="2799" w:type="dxa"/>
            <w:vMerge/>
            <w:shd w:val="clear" w:color="auto" w:fill="C6D9F1" w:themeFill="text2" w:themeFillTint="33"/>
          </w:tcPr>
          <w:p w:rsidR="005C57BD" w:rsidRPr="00B75FD7" w:rsidRDefault="005C57BD" w:rsidP="001B3967">
            <w:pPr>
              <w:contextualSpacing/>
              <w:rPr>
                <w:b/>
                <w:sz w:val="22"/>
              </w:rPr>
            </w:pPr>
          </w:p>
        </w:tc>
        <w:tc>
          <w:tcPr>
            <w:tcW w:w="3722" w:type="dxa"/>
            <w:gridSpan w:val="3"/>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Ремонт системи водопостачання та водовідведення (основна будівля, пральня, харчові комори)</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contextualSpacing/>
              <w:rPr>
                <w:sz w:val="22"/>
              </w:rPr>
            </w:pPr>
          </w:p>
          <w:p w:rsidR="005C57BD" w:rsidRPr="00B75FD7" w:rsidRDefault="005C57BD" w:rsidP="001B3967">
            <w:pPr>
              <w:rPr>
                <w:sz w:val="22"/>
              </w:rPr>
            </w:pPr>
          </w:p>
          <w:p w:rsidR="005C57BD" w:rsidRPr="00B75FD7" w:rsidRDefault="005C57BD" w:rsidP="001B3967">
            <w:pPr>
              <w:jc w:val="center"/>
              <w:rPr>
                <w:sz w:val="22"/>
              </w:rPr>
            </w:pPr>
          </w:p>
        </w:tc>
        <w:tc>
          <w:tcPr>
            <w:tcW w:w="1666" w:type="dxa"/>
            <w:gridSpan w:val="2"/>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autoSpaceDE w:val="0"/>
              <w:autoSpaceDN w:val="0"/>
              <w:adjustRightInd w:val="0"/>
              <w:rPr>
                <w:rFonts w:eastAsia="Calibri"/>
                <w:color w:val="FF0000"/>
                <w:sz w:val="22"/>
              </w:rPr>
            </w:pPr>
          </w:p>
          <w:p w:rsidR="005C57BD" w:rsidRPr="00B75FD7" w:rsidRDefault="005C57BD" w:rsidP="001B3967">
            <w:pPr>
              <w:autoSpaceDE w:val="0"/>
              <w:autoSpaceDN w:val="0"/>
              <w:adjustRightInd w:val="0"/>
              <w:rPr>
                <w:rFonts w:eastAsia="Calibri"/>
                <w:color w:val="FF0000"/>
                <w:sz w:val="22"/>
              </w:rPr>
            </w:pPr>
          </w:p>
          <w:p w:rsidR="005C57BD" w:rsidRPr="00B75FD7" w:rsidRDefault="005C57BD" w:rsidP="001B3967">
            <w:pPr>
              <w:autoSpaceDE w:val="0"/>
              <w:autoSpaceDN w:val="0"/>
              <w:adjustRightInd w:val="0"/>
              <w:rPr>
                <w:rFonts w:eastAsia="Calibri"/>
                <w:sz w:val="22"/>
              </w:rPr>
            </w:pPr>
          </w:p>
        </w:tc>
      </w:tr>
      <w:tr w:rsidR="005C57BD" w:rsidRPr="00B75FD7" w:rsidTr="005C57BD">
        <w:trPr>
          <w:trHeight w:val="184"/>
        </w:trPr>
        <w:tc>
          <w:tcPr>
            <w:tcW w:w="2799" w:type="dxa"/>
            <w:vMerge/>
            <w:shd w:val="clear" w:color="auto" w:fill="C6D9F1" w:themeFill="text2" w:themeFillTint="33"/>
          </w:tcPr>
          <w:p w:rsidR="005C57BD" w:rsidRPr="00B75FD7" w:rsidRDefault="005C57BD" w:rsidP="001B3967">
            <w:pPr>
              <w:contextualSpacing/>
              <w:rPr>
                <w:b/>
                <w:sz w:val="22"/>
              </w:rPr>
            </w:pPr>
          </w:p>
        </w:tc>
        <w:tc>
          <w:tcPr>
            <w:tcW w:w="3722" w:type="dxa"/>
            <w:gridSpan w:val="3"/>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Ремонт системи електропостачання (основна будівля, пральна, харчові комори)</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contextualSpacing/>
              <w:jc w:val="center"/>
              <w:rPr>
                <w:sz w:val="22"/>
              </w:rPr>
            </w:pPr>
          </w:p>
        </w:tc>
        <w:tc>
          <w:tcPr>
            <w:tcW w:w="1666" w:type="dxa"/>
            <w:gridSpan w:val="2"/>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autoSpaceDE w:val="0"/>
              <w:autoSpaceDN w:val="0"/>
              <w:adjustRightInd w:val="0"/>
              <w:rPr>
                <w:rFonts w:eastAsia="Calibri"/>
                <w:color w:val="FF0000"/>
                <w:sz w:val="22"/>
              </w:rPr>
            </w:pPr>
          </w:p>
        </w:tc>
      </w:tr>
      <w:tr w:rsidR="005C57BD" w:rsidRPr="00B75FD7" w:rsidTr="005C57BD">
        <w:trPr>
          <w:trHeight w:val="184"/>
        </w:trPr>
        <w:tc>
          <w:tcPr>
            <w:tcW w:w="2799" w:type="dxa"/>
            <w:vMerge/>
            <w:shd w:val="clear" w:color="auto" w:fill="C6D9F1" w:themeFill="text2" w:themeFillTint="33"/>
          </w:tcPr>
          <w:p w:rsidR="005C57BD" w:rsidRPr="00B75FD7" w:rsidRDefault="005C57BD" w:rsidP="001B3967">
            <w:pPr>
              <w:contextualSpacing/>
              <w:rPr>
                <w:b/>
                <w:sz w:val="22"/>
              </w:rPr>
            </w:pPr>
          </w:p>
        </w:tc>
        <w:tc>
          <w:tcPr>
            <w:tcW w:w="3722" w:type="dxa"/>
            <w:gridSpan w:val="3"/>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Ремонт підвального приміщення (сховища)</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contextualSpacing/>
              <w:jc w:val="center"/>
              <w:rPr>
                <w:sz w:val="22"/>
              </w:rPr>
            </w:pPr>
            <w:proofErr w:type="spellStart"/>
            <w:r w:rsidRPr="00B75FD7">
              <w:rPr>
                <w:sz w:val="22"/>
              </w:rPr>
              <w:t>кв.м</w:t>
            </w:r>
            <w:proofErr w:type="spellEnd"/>
          </w:p>
        </w:tc>
        <w:tc>
          <w:tcPr>
            <w:tcW w:w="1666" w:type="dxa"/>
            <w:gridSpan w:val="2"/>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autoSpaceDE w:val="0"/>
              <w:autoSpaceDN w:val="0"/>
              <w:adjustRightInd w:val="0"/>
              <w:rPr>
                <w:rFonts w:eastAsia="Calibri"/>
                <w:color w:val="000000"/>
                <w:sz w:val="22"/>
              </w:rPr>
            </w:pPr>
            <w:r w:rsidRPr="00B75FD7">
              <w:rPr>
                <w:rFonts w:eastAsia="Calibri"/>
                <w:color w:val="000000"/>
                <w:sz w:val="22"/>
              </w:rPr>
              <w:t>214</w:t>
            </w:r>
          </w:p>
        </w:tc>
      </w:tr>
      <w:tr w:rsidR="005C57BD" w:rsidRPr="00B75FD7" w:rsidTr="005C57BD">
        <w:trPr>
          <w:trHeight w:val="184"/>
        </w:trPr>
        <w:tc>
          <w:tcPr>
            <w:tcW w:w="2799" w:type="dxa"/>
            <w:vMerge/>
            <w:shd w:val="clear" w:color="auto" w:fill="C6D9F1" w:themeFill="text2" w:themeFillTint="33"/>
          </w:tcPr>
          <w:p w:rsidR="005C57BD" w:rsidRPr="00B75FD7" w:rsidRDefault="005C57BD" w:rsidP="001B3967">
            <w:pPr>
              <w:contextualSpacing/>
              <w:rPr>
                <w:b/>
                <w:sz w:val="22"/>
              </w:rPr>
            </w:pPr>
          </w:p>
        </w:tc>
        <w:tc>
          <w:tcPr>
            <w:tcW w:w="3722" w:type="dxa"/>
            <w:gridSpan w:val="3"/>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Відновлення системи пожежної сигналізації.</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contextualSpacing/>
              <w:jc w:val="center"/>
              <w:rPr>
                <w:sz w:val="22"/>
              </w:rPr>
            </w:pPr>
          </w:p>
        </w:tc>
        <w:tc>
          <w:tcPr>
            <w:tcW w:w="1666" w:type="dxa"/>
            <w:gridSpan w:val="2"/>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autoSpaceDE w:val="0"/>
              <w:autoSpaceDN w:val="0"/>
              <w:adjustRightInd w:val="0"/>
              <w:rPr>
                <w:rFonts w:eastAsia="Calibri"/>
                <w:color w:val="000000"/>
                <w:sz w:val="22"/>
              </w:rPr>
            </w:pPr>
          </w:p>
        </w:tc>
      </w:tr>
      <w:tr w:rsidR="005C57BD" w:rsidRPr="00B75FD7" w:rsidTr="005C57BD">
        <w:trPr>
          <w:trHeight w:val="184"/>
        </w:trPr>
        <w:tc>
          <w:tcPr>
            <w:tcW w:w="2799" w:type="dxa"/>
            <w:vMerge/>
            <w:shd w:val="clear" w:color="auto" w:fill="C6D9F1" w:themeFill="text2" w:themeFillTint="33"/>
          </w:tcPr>
          <w:p w:rsidR="005C57BD" w:rsidRPr="00B75FD7" w:rsidRDefault="005C57BD" w:rsidP="001B3967">
            <w:pPr>
              <w:contextualSpacing/>
              <w:rPr>
                <w:b/>
                <w:sz w:val="22"/>
              </w:rPr>
            </w:pPr>
          </w:p>
        </w:tc>
        <w:tc>
          <w:tcPr>
            <w:tcW w:w="3722" w:type="dxa"/>
            <w:gridSpan w:val="3"/>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Капітальний ремонт будівлі пральні</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contextualSpacing/>
              <w:jc w:val="center"/>
              <w:rPr>
                <w:sz w:val="22"/>
              </w:rPr>
            </w:pPr>
            <w:proofErr w:type="spellStart"/>
            <w:r w:rsidRPr="00B75FD7">
              <w:rPr>
                <w:sz w:val="22"/>
              </w:rPr>
              <w:t>кв.м</w:t>
            </w:r>
            <w:proofErr w:type="spellEnd"/>
          </w:p>
        </w:tc>
        <w:tc>
          <w:tcPr>
            <w:tcW w:w="1666" w:type="dxa"/>
            <w:gridSpan w:val="2"/>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autoSpaceDE w:val="0"/>
              <w:autoSpaceDN w:val="0"/>
              <w:adjustRightInd w:val="0"/>
              <w:rPr>
                <w:rFonts w:eastAsia="Calibri"/>
                <w:color w:val="000000"/>
                <w:sz w:val="22"/>
              </w:rPr>
            </w:pPr>
            <w:r w:rsidRPr="00B75FD7">
              <w:rPr>
                <w:rFonts w:eastAsia="Calibri"/>
                <w:color w:val="000000"/>
                <w:sz w:val="22"/>
              </w:rPr>
              <w:t>170</w:t>
            </w:r>
          </w:p>
        </w:tc>
      </w:tr>
      <w:tr w:rsidR="005C57BD" w:rsidRPr="00B75FD7" w:rsidTr="005C57BD">
        <w:trPr>
          <w:trHeight w:val="184"/>
        </w:trPr>
        <w:tc>
          <w:tcPr>
            <w:tcW w:w="2799" w:type="dxa"/>
            <w:vMerge/>
            <w:shd w:val="clear" w:color="auto" w:fill="C6D9F1" w:themeFill="text2" w:themeFillTint="33"/>
          </w:tcPr>
          <w:p w:rsidR="005C57BD" w:rsidRPr="00B75FD7" w:rsidRDefault="005C57BD" w:rsidP="001B3967">
            <w:pPr>
              <w:contextualSpacing/>
              <w:rPr>
                <w:b/>
                <w:sz w:val="22"/>
              </w:rPr>
            </w:pPr>
          </w:p>
        </w:tc>
        <w:tc>
          <w:tcPr>
            <w:tcW w:w="3722" w:type="dxa"/>
            <w:gridSpan w:val="3"/>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Площа даху</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contextualSpacing/>
              <w:jc w:val="center"/>
              <w:rPr>
                <w:sz w:val="22"/>
              </w:rPr>
            </w:pPr>
            <w:proofErr w:type="spellStart"/>
            <w:r w:rsidRPr="00B75FD7">
              <w:rPr>
                <w:sz w:val="22"/>
              </w:rPr>
              <w:t>кв.м</w:t>
            </w:r>
            <w:proofErr w:type="spellEnd"/>
          </w:p>
        </w:tc>
        <w:tc>
          <w:tcPr>
            <w:tcW w:w="1666" w:type="dxa"/>
            <w:gridSpan w:val="2"/>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autoSpaceDE w:val="0"/>
              <w:autoSpaceDN w:val="0"/>
              <w:adjustRightInd w:val="0"/>
              <w:rPr>
                <w:rFonts w:eastAsia="Calibri"/>
                <w:color w:val="000000"/>
                <w:sz w:val="22"/>
              </w:rPr>
            </w:pPr>
            <w:r w:rsidRPr="00B75FD7">
              <w:rPr>
                <w:rFonts w:eastAsia="Calibri"/>
                <w:color w:val="000000"/>
                <w:sz w:val="22"/>
              </w:rPr>
              <w:t>325</w:t>
            </w:r>
          </w:p>
        </w:tc>
      </w:tr>
      <w:tr w:rsidR="005C57BD" w:rsidRPr="00B75FD7" w:rsidTr="005C57BD">
        <w:trPr>
          <w:trHeight w:val="184"/>
        </w:trPr>
        <w:tc>
          <w:tcPr>
            <w:tcW w:w="2799" w:type="dxa"/>
            <w:vMerge/>
            <w:shd w:val="clear" w:color="auto" w:fill="C6D9F1" w:themeFill="text2" w:themeFillTint="33"/>
          </w:tcPr>
          <w:p w:rsidR="005C57BD" w:rsidRPr="00B75FD7" w:rsidRDefault="005C57BD" w:rsidP="001B3967">
            <w:pPr>
              <w:contextualSpacing/>
              <w:rPr>
                <w:b/>
                <w:sz w:val="22"/>
              </w:rPr>
            </w:pPr>
          </w:p>
        </w:tc>
        <w:tc>
          <w:tcPr>
            <w:tcW w:w="3722" w:type="dxa"/>
            <w:gridSpan w:val="3"/>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Встановлення вікон</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contextualSpacing/>
              <w:jc w:val="center"/>
              <w:rPr>
                <w:sz w:val="22"/>
              </w:rPr>
            </w:pPr>
            <w:r w:rsidRPr="00B75FD7">
              <w:rPr>
                <w:sz w:val="22"/>
              </w:rPr>
              <w:t>одиниць</w:t>
            </w:r>
          </w:p>
        </w:tc>
        <w:tc>
          <w:tcPr>
            <w:tcW w:w="1666" w:type="dxa"/>
            <w:gridSpan w:val="2"/>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autoSpaceDE w:val="0"/>
              <w:autoSpaceDN w:val="0"/>
              <w:adjustRightInd w:val="0"/>
              <w:rPr>
                <w:rFonts w:eastAsia="Calibri"/>
                <w:sz w:val="22"/>
              </w:rPr>
            </w:pPr>
            <w:r w:rsidRPr="00B75FD7">
              <w:rPr>
                <w:rFonts w:eastAsia="Calibri"/>
                <w:sz w:val="22"/>
              </w:rPr>
              <w:t>18</w:t>
            </w:r>
          </w:p>
        </w:tc>
      </w:tr>
      <w:tr w:rsidR="005C57BD" w:rsidRPr="00B75FD7" w:rsidTr="005C57BD">
        <w:trPr>
          <w:trHeight w:val="184"/>
        </w:trPr>
        <w:tc>
          <w:tcPr>
            <w:tcW w:w="2799" w:type="dxa"/>
            <w:vMerge/>
            <w:shd w:val="clear" w:color="auto" w:fill="C6D9F1" w:themeFill="text2" w:themeFillTint="33"/>
          </w:tcPr>
          <w:p w:rsidR="005C57BD" w:rsidRPr="00B75FD7" w:rsidRDefault="005C57BD" w:rsidP="001B3967">
            <w:pPr>
              <w:contextualSpacing/>
              <w:rPr>
                <w:b/>
                <w:sz w:val="22"/>
              </w:rPr>
            </w:pPr>
          </w:p>
        </w:tc>
        <w:tc>
          <w:tcPr>
            <w:tcW w:w="3722" w:type="dxa"/>
            <w:gridSpan w:val="3"/>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Капітальний ремонт харчових комор</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contextualSpacing/>
              <w:jc w:val="center"/>
              <w:rPr>
                <w:sz w:val="22"/>
              </w:rPr>
            </w:pPr>
            <w:proofErr w:type="spellStart"/>
            <w:r w:rsidRPr="00B75FD7">
              <w:rPr>
                <w:sz w:val="22"/>
              </w:rPr>
              <w:t>кв.м</w:t>
            </w:r>
            <w:proofErr w:type="spellEnd"/>
          </w:p>
        </w:tc>
        <w:tc>
          <w:tcPr>
            <w:tcW w:w="1666" w:type="dxa"/>
            <w:gridSpan w:val="2"/>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autoSpaceDE w:val="0"/>
              <w:autoSpaceDN w:val="0"/>
              <w:adjustRightInd w:val="0"/>
              <w:rPr>
                <w:rFonts w:eastAsia="Calibri"/>
                <w:color w:val="000000"/>
                <w:sz w:val="22"/>
              </w:rPr>
            </w:pPr>
            <w:r w:rsidRPr="00B75FD7">
              <w:rPr>
                <w:rFonts w:eastAsia="Calibri"/>
                <w:color w:val="000000"/>
                <w:sz w:val="22"/>
              </w:rPr>
              <w:t>110</w:t>
            </w:r>
          </w:p>
        </w:tc>
      </w:tr>
      <w:tr w:rsidR="005C57BD" w:rsidRPr="00B75FD7" w:rsidTr="005C57BD">
        <w:tc>
          <w:tcPr>
            <w:tcW w:w="2799" w:type="dxa"/>
            <w:shd w:val="clear" w:color="auto" w:fill="C6D9F1" w:themeFill="text2" w:themeFillTint="33"/>
          </w:tcPr>
          <w:p w:rsidR="005C57BD" w:rsidRPr="00B75FD7" w:rsidRDefault="005C57BD" w:rsidP="001B3967">
            <w:pPr>
              <w:rPr>
                <w:b/>
                <w:sz w:val="22"/>
              </w:rPr>
            </w:pPr>
            <w:r w:rsidRPr="00B75FD7">
              <w:rPr>
                <w:b/>
                <w:sz w:val="22"/>
              </w:rPr>
              <w:t xml:space="preserve">Ключові заходи проекту: </w:t>
            </w:r>
          </w:p>
          <w:p w:rsidR="005C57BD" w:rsidRPr="00B75FD7" w:rsidRDefault="005C57BD" w:rsidP="001B3967">
            <w:pPr>
              <w:contextualSpacing/>
              <w:rPr>
                <w:b/>
                <w:sz w:val="22"/>
              </w:rPr>
            </w:pPr>
          </w:p>
        </w:tc>
        <w:tc>
          <w:tcPr>
            <w:tcW w:w="7089" w:type="dxa"/>
            <w:gridSpan w:val="7"/>
            <w:shd w:val="clear" w:color="auto" w:fill="auto"/>
          </w:tcPr>
          <w:p w:rsidR="005C57BD" w:rsidRPr="00B75FD7" w:rsidRDefault="005C57BD" w:rsidP="000303D7">
            <w:pPr>
              <w:numPr>
                <w:ilvl w:val="0"/>
                <w:numId w:val="78"/>
              </w:numPr>
              <w:autoSpaceDE w:val="0"/>
              <w:autoSpaceDN w:val="0"/>
              <w:adjustRightInd w:val="0"/>
              <w:rPr>
                <w:rFonts w:eastAsia="Calibri"/>
                <w:color w:val="000000"/>
                <w:sz w:val="22"/>
              </w:rPr>
            </w:pPr>
            <w:r w:rsidRPr="00B75FD7">
              <w:rPr>
                <w:rFonts w:eastAsia="Calibri"/>
                <w:color w:val="000000"/>
                <w:sz w:val="22"/>
              </w:rPr>
              <w:t xml:space="preserve">Обстеження стану будівлі.  </w:t>
            </w:r>
          </w:p>
          <w:p w:rsidR="005C57BD" w:rsidRPr="00B75FD7" w:rsidRDefault="005C57BD" w:rsidP="000303D7">
            <w:pPr>
              <w:numPr>
                <w:ilvl w:val="0"/>
                <w:numId w:val="78"/>
              </w:numPr>
              <w:autoSpaceDE w:val="0"/>
              <w:autoSpaceDN w:val="0"/>
              <w:adjustRightInd w:val="0"/>
              <w:rPr>
                <w:rFonts w:eastAsia="Calibri"/>
                <w:color w:val="000000"/>
                <w:sz w:val="22"/>
              </w:rPr>
            </w:pPr>
            <w:r w:rsidRPr="00B75FD7">
              <w:rPr>
                <w:rFonts w:eastAsia="Calibri"/>
                <w:color w:val="000000"/>
                <w:sz w:val="22"/>
              </w:rPr>
              <w:t>Проведення інвентаризації.</w:t>
            </w:r>
          </w:p>
          <w:p w:rsidR="005C57BD" w:rsidRPr="00B75FD7" w:rsidRDefault="005C57BD" w:rsidP="000303D7">
            <w:pPr>
              <w:numPr>
                <w:ilvl w:val="0"/>
                <w:numId w:val="78"/>
              </w:numPr>
              <w:autoSpaceDE w:val="0"/>
              <w:autoSpaceDN w:val="0"/>
              <w:adjustRightInd w:val="0"/>
              <w:rPr>
                <w:rFonts w:eastAsia="Calibri"/>
                <w:color w:val="000000"/>
                <w:sz w:val="22"/>
              </w:rPr>
            </w:pPr>
            <w:r w:rsidRPr="00B75FD7">
              <w:rPr>
                <w:rFonts w:eastAsia="Calibri"/>
                <w:color w:val="000000"/>
                <w:sz w:val="22"/>
              </w:rPr>
              <w:t xml:space="preserve">Розробка </w:t>
            </w:r>
            <w:proofErr w:type="spellStart"/>
            <w:r w:rsidRPr="00B75FD7">
              <w:rPr>
                <w:rFonts w:eastAsia="Calibri"/>
                <w:color w:val="000000"/>
                <w:sz w:val="22"/>
              </w:rPr>
              <w:t>проєктно</w:t>
            </w:r>
            <w:proofErr w:type="spellEnd"/>
            <w:r w:rsidRPr="00B75FD7">
              <w:rPr>
                <w:rFonts w:eastAsia="Calibri"/>
                <w:color w:val="000000"/>
                <w:sz w:val="22"/>
              </w:rPr>
              <w:t>-кошторисної документації.</w:t>
            </w:r>
          </w:p>
          <w:p w:rsidR="005C57BD" w:rsidRPr="00B75FD7" w:rsidRDefault="005C57BD" w:rsidP="000303D7">
            <w:pPr>
              <w:numPr>
                <w:ilvl w:val="0"/>
                <w:numId w:val="78"/>
              </w:numPr>
              <w:autoSpaceDE w:val="0"/>
              <w:autoSpaceDN w:val="0"/>
              <w:adjustRightInd w:val="0"/>
              <w:rPr>
                <w:rFonts w:eastAsia="Calibri"/>
                <w:color w:val="000000"/>
                <w:sz w:val="22"/>
              </w:rPr>
            </w:pPr>
            <w:r w:rsidRPr="00B75FD7">
              <w:rPr>
                <w:rFonts w:eastAsia="Calibri"/>
                <w:color w:val="000000"/>
                <w:sz w:val="22"/>
              </w:rPr>
              <w:t>Капітальний ремонт будівель Ясел-садка № 11.</w:t>
            </w:r>
          </w:p>
          <w:p w:rsidR="005C57BD" w:rsidRPr="00B75FD7" w:rsidRDefault="005C57BD" w:rsidP="000303D7">
            <w:pPr>
              <w:numPr>
                <w:ilvl w:val="0"/>
                <w:numId w:val="78"/>
              </w:numPr>
              <w:autoSpaceDE w:val="0"/>
              <w:autoSpaceDN w:val="0"/>
              <w:adjustRightInd w:val="0"/>
              <w:rPr>
                <w:rFonts w:eastAsia="Calibri"/>
                <w:color w:val="000000"/>
                <w:sz w:val="22"/>
              </w:rPr>
            </w:pPr>
            <w:r w:rsidRPr="00B75FD7">
              <w:rPr>
                <w:color w:val="000000"/>
                <w:sz w:val="22"/>
              </w:rPr>
              <w:t>Капітальний ремонт будівлі пральні.</w:t>
            </w:r>
          </w:p>
          <w:p w:rsidR="005C57BD" w:rsidRPr="00B75FD7" w:rsidRDefault="005C57BD" w:rsidP="000303D7">
            <w:pPr>
              <w:numPr>
                <w:ilvl w:val="0"/>
                <w:numId w:val="78"/>
              </w:numPr>
              <w:autoSpaceDE w:val="0"/>
              <w:autoSpaceDN w:val="0"/>
              <w:adjustRightInd w:val="0"/>
              <w:rPr>
                <w:rFonts w:eastAsia="Calibri"/>
                <w:color w:val="000000"/>
                <w:sz w:val="22"/>
              </w:rPr>
            </w:pPr>
            <w:r w:rsidRPr="00B75FD7">
              <w:rPr>
                <w:color w:val="000000"/>
                <w:sz w:val="22"/>
              </w:rPr>
              <w:t>Капітальний ремонт харчових комор.</w:t>
            </w:r>
            <w:r w:rsidRPr="00B75FD7">
              <w:rPr>
                <w:rFonts w:eastAsia="Calibri"/>
                <w:color w:val="000000"/>
                <w:sz w:val="22"/>
              </w:rPr>
              <w:t xml:space="preserve">                                                                              </w:t>
            </w:r>
          </w:p>
          <w:p w:rsidR="005C57BD" w:rsidRPr="00B75FD7" w:rsidRDefault="005C57BD" w:rsidP="000303D7">
            <w:pPr>
              <w:numPr>
                <w:ilvl w:val="0"/>
                <w:numId w:val="78"/>
              </w:numPr>
              <w:autoSpaceDE w:val="0"/>
              <w:autoSpaceDN w:val="0"/>
              <w:adjustRightInd w:val="0"/>
              <w:rPr>
                <w:rFonts w:eastAsia="Calibri"/>
                <w:color w:val="000000"/>
                <w:sz w:val="22"/>
              </w:rPr>
            </w:pPr>
            <w:r w:rsidRPr="00B75FD7">
              <w:rPr>
                <w:rFonts w:eastAsia="Calibri"/>
                <w:color w:val="000000"/>
                <w:sz w:val="22"/>
              </w:rPr>
              <w:t>Придбання технічного забезпечення для Ясел-садка № 11.</w:t>
            </w:r>
          </w:p>
          <w:p w:rsidR="005C57BD" w:rsidRPr="00B75FD7" w:rsidRDefault="005C57BD" w:rsidP="000303D7">
            <w:pPr>
              <w:numPr>
                <w:ilvl w:val="0"/>
                <w:numId w:val="78"/>
              </w:numPr>
              <w:autoSpaceDE w:val="0"/>
              <w:autoSpaceDN w:val="0"/>
              <w:adjustRightInd w:val="0"/>
              <w:rPr>
                <w:rFonts w:eastAsia="Calibri"/>
                <w:color w:val="000000"/>
                <w:sz w:val="22"/>
              </w:rPr>
            </w:pPr>
            <w:r w:rsidRPr="00B75FD7">
              <w:rPr>
                <w:sz w:val="22"/>
              </w:rPr>
              <w:t>Придбання технологічного забезпечення для Ясел-садка № 11;</w:t>
            </w:r>
          </w:p>
          <w:p w:rsidR="005C57BD" w:rsidRPr="00B75FD7" w:rsidRDefault="005C57BD" w:rsidP="000303D7">
            <w:pPr>
              <w:numPr>
                <w:ilvl w:val="0"/>
                <w:numId w:val="78"/>
              </w:numPr>
              <w:autoSpaceDE w:val="0"/>
              <w:autoSpaceDN w:val="0"/>
              <w:adjustRightInd w:val="0"/>
              <w:rPr>
                <w:color w:val="000000"/>
                <w:sz w:val="22"/>
              </w:rPr>
            </w:pPr>
            <w:r w:rsidRPr="00B75FD7">
              <w:rPr>
                <w:color w:val="000000"/>
                <w:sz w:val="22"/>
              </w:rPr>
              <w:t>Відновлення системи пожежної сигналізації.</w:t>
            </w:r>
          </w:p>
          <w:p w:rsidR="005C57BD" w:rsidRPr="00B75FD7" w:rsidRDefault="005C57BD" w:rsidP="000303D7">
            <w:pPr>
              <w:numPr>
                <w:ilvl w:val="0"/>
                <w:numId w:val="78"/>
              </w:numPr>
              <w:autoSpaceDE w:val="0"/>
              <w:autoSpaceDN w:val="0"/>
              <w:adjustRightInd w:val="0"/>
              <w:rPr>
                <w:rFonts w:eastAsia="Calibri"/>
                <w:color w:val="000000"/>
                <w:sz w:val="22"/>
              </w:rPr>
            </w:pPr>
            <w:r w:rsidRPr="00B75FD7">
              <w:rPr>
                <w:sz w:val="22"/>
              </w:rPr>
              <w:t>Організація та початок освітнього процесу.</w:t>
            </w:r>
          </w:p>
        </w:tc>
      </w:tr>
      <w:tr w:rsidR="005C57BD" w:rsidRPr="00B75FD7" w:rsidTr="005C57BD">
        <w:trPr>
          <w:trHeight w:val="360"/>
        </w:trPr>
        <w:tc>
          <w:tcPr>
            <w:tcW w:w="2799" w:type="dxa"/>
            <w:vMerge w:val="restart"/>
            <w:shd w:val="clear" w:color="auto" w:fill="C6D9F1" w:themeFill="text2" w:themeFillTint="33"/>
          </w:tcPr>
          <w:p w:rsidR="005C57BD" w:rsidRPr="00B75FD7" w:rsidRDefault="005C57BD" w:rsidP="001B3967">
            <w:pPr>
              <w:contextualSpacing/>
              <w:rPr>
                <w:b/>
                <w:sz w:val="22"/>
              </w:rPr>
            </w:pPr>
            <w:r w:rsidRPr="00B75FD7">
              <w:rPr>
                <w:b/>
                <w:sz w:val="22"/>
              </w:rPr>
              <w:t xml:space="preserve">Орієнтовний обсяг та джерела фінансування, тис. грн. </w:t>
            </w:r>
          </w:p>
          <w:p w:rsidR="005C57BD" w:rsidRPr="00B75FD7" w:rsidRDefault="005C57BD" w:rsidP="001B3967">
            <w:pPr>
              <w:contextualSpacing/>
              <w:rPr>
                <w:b/>
                <w:sz w:val="22"/>
              </w:rPr>
            </w:pPr>
          </w:p>
        </w:tc>
        <w:tc>
          <w:tcPr>
            <w:tcW w:w="1460" w:type="dxa"/>
            <w:tcBorders>
              <w:bottom w:val="single" w:sz="4" w:space="0" w:color="auto"/>
              <w:right w:val="single" w:sz="4" w:space="0" w:color="auto"/>
            </w:tcBorders>
            <w:shd w:val="clear" w:color="auto" w:fill="auto"/>
          </w:tcPr>
          <w:p w:rsidR="005C57BD" w:rsidRPr="00B75FD7" w:rsidRDefault="005C57BD" w:rsidP="001B3967">
            <w:pPr>
              <w:contextualSpacing/>
              <w:jc w:val="center"/>
              <w:rPr>
                <w:b/>
                <w:sz w:val="22"/>
              </w:rPr>
            </w:pPr>
            <w:r w:rsidRPr="00B75FD7">
              <w:rPr>
                <w:b/>
                <w:sz w:val="22"/>
              </w:rPr>
              <w:t>Державний бюджет</w:t>
            </w:r>
          </w:p>
        </w:tc>
        <w:tc>
          <w:tcPr>
            <w:tcW w:w="1324" w:type="dxa"/>
            <w:tcBorders>
              <w:bottom w:val="single" w:sz="4" w:space="0" w:color="auto"/>
              <w:right w:val="single" w:sz="4" w:space="0" w:color="auto"/>
            </w:tcBorders>
            <w:shd w:val="clear" w:color="auto" w:fill="auto"/>
          </w:tcPr>
          <w:p w:rsidR="005C57BD" w:rsidRPr="00B75FD7" w:rsidRDefault="005C57BD" w:rsidP="001B3967">
            <w:pPr>
              <w:contextualSpacing/>
              <w:jc w:val="center"/>
              <w:rPr>
                <w:b/>
                <w:sz w:val="22"/>
              </w:rPr>
            </w:pPr>
            <w:r w:rsidRPr="00B75FD7">
              <w:rPr>
                <w:b/>
                <w:sz w:val="22"/>
              </w:rPr>
              <w:t>Місцевий бюджет</w:t>
            </w:r>
          </w:p>
        </w:tc>
        <w:tc>
          <w:tcPr>
            <w:tcW w:w="2859" w:type="dxa"/>
            <w:gridSpan w:val="4"/>
            <w:tcBorders>
              <w:left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b/>
                <w:sz w:val="22"/>
              </w:rPr>
            </w:pPr>
            <w:r w:rsidRPr="00B75FD7">
              <w:rPr>
                <w:b/>
                <w:sz w:val="22"/>
              </w:rPr>
              <w:t>Інші джерела</w:t>
            </w:r>
          </w:p>
        </w:tc>
        <w:tc>
          <w:tcPr>
            <w:tcW w:w="1446" w:type="dxa"/>
            <w:tcBorders>
              <w:left w:val="single" w:sz="4" w:space="0" w:color="auto"/>
              <w:bottom w:val="single" w:sz="4" w:space="0" w:color="auto"/>
            </w:tcBorders>
            <w:shd w:val="clear" w:color="auto" w:fill="auto"/>
          </w:tcPr>
          <w:p w:rsidR="005C57BD" w:rsidRPr="00B75FD7" w:rsidRDefault="005C57BD" w:rsidP="001B3967">
            <w:pPr>
              <w:contextualSpacing/>
              <w:jc w:val="center"/>
              <w:rPr>
                <w:b/>
                <w:sz w:val="22"/>
              </w:rPr>
            </w:pPr>
            <w:r w:rsidRPr="00B75FD7">
              <w:rPr>
                <w:b/>
                <w:sz w:val="22"/>
              </w:rPr>
              <w:t>Всього</w:t>
            </w:r>
          </w:p>
        </w:tc>
      </w:tr>
      <w:tr w:rsidR="005C57BD" w:rsidRPr="00B75FD7" w:rsidTr="005C57BD">
        <w:trPr>
          <w:trHeight w:val="225"/>
        </w:trPr>
        <w:tc>
          <w:tcPr>
            <w:tcW w:w="2799" w:type="dxa"/>
            <w:vMerge/>
            <w:shd w:val="clear" w:color="auto" w:fill="C6D9F1" w:themeFill="text2" w:themeFillTint="33"/>
          </w:tcPr>
          <w:p w:rsidR="005C57BD" w:rsidRPr="00B75FD7" w:rsidRDefault="005C57BD" w:rsidP="001B3967">
            <w:pPr>
              <w:contextualSpacing/>
              <w:rPr>
                <w:b/>
                <w:sz w:val="22"/>
              </w:rPr>
            </w:pPr>
          </w:p>
        </w:tc>
        <w:tc>
          <w:tcPr>
            <w:tcW w:w="1460" w:type="dxa"/>
            <w:vMerge w:val="restart"/>
            <w:tcBorders>
              <w:top w:val="single" w:sz="4" w:space="0" w:color="auto"/>
              <w:right w:val="single" w:sz="4" w:space="0" w:color="auto"/>
            </w:tcBorders>
            <w:shd w:val="clear" w:color="auto" w:fill="auto"/>
          </w:tcPr>
          <w:p w:rsidR="005C57BD" w:rsidRPr="00B75FD7" w:rsidRDefault="005C57BD" w:rsidP="001B3967">
            <w:pPr>
              <w:contextualSpacing/>
              <w:jc w:val="center"/>
              <w:rPr>
                <w:color w:val="FF0000"/>
                <w:sz w:val="22"/>
                <w:lang w:val="ru-RU"/>
              </w:rPr>
            </w:pPr>
            <w:r w:rsidRPr="00B75FD7">
              <w:rPr>
                <w:sz w:val="22"/>
              </w:rPr>
              <w:t>90</w:t>
            </w:r>
            <w:r w:rsidR="004908E7" w:rsidRPr="00B75FD7">
              <w:rPr>
                <w:sz w:val="22"/>
              </w:rPr>
              <w:t> </w:t>
            </w:r>
            <w:r w:rsidRPr="00B75FD7">
              <w:rPr>
                <w:sz w:val="22"/>
              </w:rPr>
              <w:t>000</w:t>
            </w:r>
            <w:r w:rsidR="004908E7" w:rsidRPr="00B75FD7">
              <w:rPr>
                <w:sz w:val="22"/>
                <w:lang w:val="ru-RU"/>
              </w:rPr>
              <w:t>,00</w:t>
            </w:r>
          </w:p>
        </w:tc>
        <w:tc>
          <w:tcPr>
            <w:tcW w:w="1324" w:type="dxa"/>
            <w:vMerge w:val="restart"/>
            <w:tcBorders>
              <w:top w:val="single" w:sz="4" w:space="0" w:color="auto"/>
              <w:right w:val="single" w:sz="4" w:space="0" w:color="auto"/>
            </w:tcBorders>
            <w:shd w:val="clear" w:color="auto" w:fill="auto"/>
          </w:tcPr>
          <w:p w:rsidR="005C57BD" w:rsidRPr="00B75FD7" w:rsidRDefault="005C57BD" w:rsidP="001B3967">
            <w:pPr>
              <w:contextualSpacing/>
              <w:jc w:val="center"/>
              <w:rPr>
                <w:b/>
                <w:sz w:val="22"/>
              </w:rPr>
            </w:pPr>
            <w:r w:rsidRPr="00B75FD7">
              <w:rPr>
                <w:b/>
                <w:sz w:val="22"/>
              </w:rPr>
              <w:t>-</w:t>
            </w:r>
          </w:p>
        </w:tc>
        <w:tc>
          <w:tcPr>
            <w:tcW w:w="1192" w:type="dxa"/>
            <w:gridSpan w:val="2"/>
            <w:tcBorders>
              <w:top w:val="single" w:sz="4" w:space="0" w:color="auto"/>
              <w:left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b/>
                <w:sz w:val="22"/>
              </w:rPr>
            </w:pPr>
            <w:r w:rsidRPr="00B75FD7">
              <w:rPr>
                <w:b/>
                <w:sz w:val="22"/>
              </w:rPr>
              <w:t>Обсяг</w:t>
            </w:r>
          </w:p>
        </w:tc>
        <w:tc>
          <w:tcPr>
            <w:tcW w:w="1667" w:type="dxa"/>
            <w:gridSpan w:val="2"/>
            <w:tcBorders>
              <w:top w:val="single" w:sz="4" w:space="0" w:color="auto"/>
              <w:left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b/>
                <w:sz w:val="22"/>
              </w:rPr>
            </w:pPr>
            <w:r w:rsidRPr="00B75FD7">
              <w:rPr>
                <w:b/>
                <w:sz w:val="22"/>
              </w:rPr>
              <w:t>Назва джерела</w:t>
            </w:r>
          </w:p>
        </w:tc>
        <w:tc>
          <w:tcPr>
            <w:tcW w:w="1446" w:type="dxa"/>
            <w:vMerge w:val="restart"/>
            <w:tcBorders>
              <w:top w:val="single" w:sz="4" w:space="0" w:color="auto"/>
              <w:left w:val="single" w:sz="4" w:space="0" w:color="auto"/>
            </w:tcBorders>
            <w:shd w:val="clear" w:color="auto" w:fill="auto"/>
          </w:tcPr>
          <w:p w:rsidR="005C57BD" w:rsidRPr="00B75FD7" w:rsidRDefault="004908E7" w:rsidP="001B3967">
            <w:pPr>
              <w:contextualSpacing/>
              <w:jc w:val="center"/>
              <w:rPr>
                <w:rFonts w:eastAsia="Calibri"/>
                <w:sz w:val="22"/>
                <w:lang w:val="ru-RU"/>
              </w:rPr>
            </w:pPr>
            <w:r w:rsidRPr="00B75FD7">
              <w:rPr>
                <w:rFonts w:eastAsia="Calibri"/>
                <w:sz w:val="22"/>
              </w:rPr>
              <w:t>135 000</w:t>
            </w:r>
            <w:r w:rsidRPr="00B75FD7">
              <w:rPr>
                <w:rFonts w:eastAsia="Calibri"/>
                <w:sz w:val="22"/>
                <w:lang w:val="ru-RU"/>
              </w:rPr>
              <w:t>,00</w:t>
            </w:r>
          </w:p>
          <w:p w:rsidR="005C57BD" w:rsidRPr="00B75FD7" w:rsidRDefault="005C57BD" w:rsidP="001B3967">
            <w:pPr>
              <w:contextualSpacing/>
              <w:jc w:val="center"/>
              <w:rPr>
                <w:color w:val="FF0000"/>
                <w:sz w:val="22"/>
              </w:rPr>
            </w:pPr>
          </w:p>
        </w:tc>
      </w:tr>
      <w:tr w:rsidR="005C57BD" w:rsidRPr="00B75FD7" w:rsidTr="005C57BD">
        <w:trPr>
          <w:trHeight w:val="300"/>
        </w:trPr>
        <w:tc>
          <w:tcPr>
            <w:tcW w:w="2799" w:type="dxa"/>
            <w:vMerge/>
            <w:shd w:val="clear" w:color="auto" w:fill="C6D9F1" w:themeFill="text2" w:themeFillTint="33"/>
          </w:tcPr>
          <w:p w:rsidR="005C57BD" w:rsidRPr="00B75FD7" w:rsidRDefault="005C57BD" w:rsidP="001B3967">
            <w:pPr>
              <w:contextualSpacing/>
              <w:rPr>
                <w:b/>
                <w:sz w:val="22"/>
              </w:rPr>
            </w:pPr>
          </w:p>
        </w:tc>
        <w:tc>
          <w:tcPr>
            <w:tcW w:w="1460" w:type="dxa"/>
            <w:vMerge/>
            <w:tcBorders>
              <w:right w:val="single" w:sz="4" w:space="0" w:color="auto"/>
            </w:tcBorders>
            <w:shd w:val="clear" w:color="auto" w:fill="auto"/>
          </w:tcPr>
          <w:p w:rsidR="005C57BD" w:rsidRPr="00B75FD7" w:rsidRDefault="005C57BD" w:rsidP="001B3967">
            <w:pPr>
              <w:contextualSpacing/>
              <w:jc w:val="center"/>
              <w:rPr>
                <w:sz w:val="22"/>
              </w:rPr>
            </w:pPr>
          </w:p>
        </w:tc>
        <w:tc>
          <w:tcPr>
            <w:tcW w:w="1324" w:type="dxa"/>
            <w:vMerge/>
            <w:tcBorders>
              <w:right w:val="single" w:sz="4" w:space="0" w:color="auto"/>
            </w:tcBorders>
            <w:shd w:val="clear" w:color="auto" w:fill="auto"/>
          </w:tcPr>
          <w:p w:rsidR="005C57BD" w:rsidRPr="00B75FD7" w:rsidRDefault="005C57BD" w:rsidP="001B3967">
            <w:pPr>
              <w:contextualSpacing/>
              <w:jc w:val="center"/>
              <w:rPr>
                <w:b/>
                <w:sz w:val="22"/>
              </w:rPr>
            </w:pPr>
          </w:p>
        </w:tc>
        <w:tc>
          <w:tcPr>
            <w:tcW w:w="1192" w:type="dxa"/>
            <w:gridSpan w:val="2"/>
            <w:tcBorders>
              <w:top w:val="single" w:sz="4" w:space="0" w:color="auto"/>
              <w:left w:val="single" w:sz="4" w:space="0" w:color="auto"/>
              <w:right w:val="single" w:sz="4" w:space="0" w:color="auto"/>
            </w:tcBorders>
            <w:shd w:val="clear" w:color="auto" w:fill="auto"/>
          </w:tcPr>
          <w:p w:rsidR="005C57BD" w:rsidRPr="00B75FD7" w:rsidRDefault="005C57BD" w:rsidP="001B3967">
            <w:pPr>
              <w:contextualSpacing/>
              <w:jc w:val="center"/>
              <w:rPr>
                <w:sz w:val="22"/>
                <w:lang w:val="ru-RU"/>
              </w:rPr>
            </w:pPr>
            <w:r w:rsidRPr="00B75FD7">
              <w:rPr>
                <w:sz w:val="22"/>
              </w:rPr>
              <w:t>45</w:t>
            </w:r>
            <w:r w:rsidR="004908E7" w:rsidRPr="00B75FD7">
              <w:rPr>
                <w:sz w:val="22"/>
              </w:rPr>
              <w:t> </w:t>
            </w:r>
            <w:r w:rsidRPr="00B75FD7">
              <w:rPr>
                <w:sz w:val="22"/>
              </w:rPr>
              <w:t>000</w:t>
            </w:r>
            <w:r w:rsidR="004908E7" w:rsidRPr="00B75FD7">
              <w:rPr>
                <w:sz w:val="22"/>
                <w:lang w:val="ru-RU"/>
              </w:rPr>
              <w:t>,00</w:t>
            </w:r>
          </w:p>
        </w:tc>
        <w:tc>
          <w:tcPr>
            <w:tcW w:w="1667" w:type="dxa"/>
            <w:gridSpan w:val="2"/>
            <w:tcBorders>
              <w:top w:val="single" w:sz="4" w:space="0" w:color="auto"/>
              <w:left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Міжнародні інвестиції</w:t>
            </w:r>
          </w:p>
        </w:tc>
        <w:tc>
          <w:tcPr>
            <w:tcW w:w="1446" w:type="dxa"/>
            <w:vMerge/>
            <w:tcBorders>
              <w:left w:val="single" w:sz="4" w:space="0" w:color="auto"/>
            </w:tcBorders>
            <w:shd w:val="clear" w:color="auto" w:fill="auto"/>
          </w:tcPr>
          <w:p w:rsidR="005C57BD" w:rsidRPr="00B75FD7" w:rsidRDefault="005C57BD" w:rsidP="001B3967">
            <w:pPr>
              <w:contextualSpacing/>
              <w:jc w:val="center"/>
              <w:rPr>
                <w:sz w:val="22"/>
              </w:rPr>
            </w:pPr>
          </w:p>
        </w:tc>
      </w:tr>
    </w:tbl>
    <w:p w:rsidR="005C57BD" w:rsidRPr="00B75FD7" w:rsidRDefault="005C57BD" w:rsidP="00E95FB1">
      <w:pPr>
        <w:rPr>
          <w:sz w:val="22"/>
        </w:rPr>
      </w:pPr>
    </w:p>
    <w:p w:rsidR="005C57BD" w:rsidRPr="00B75FD7" w:rsidRDefault="005C57BD" w:rsidP="00E95FB1">
      <w:pPr>
        <w:rPr>
          <w:sz w:val="22"/>
        </w:rPr>
      </w:pPr>
    </w:p>
    <w:p w:rsidR="005C57BD" w:rsidRPr="00B75FD7" w:rsidRDefault="005C57BD" w:rsidP="00E95FB1">
      <w:pPr>
        <w:rPr>
          <w:sz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1436"/>
        <w:gridCol w:w="1308"/>
        <w:gridCol w:w="1091"/>
        <w:gridCol w:w="102"/>
        <w:gridCol w:w="1436"/>
        <w:gridCol w:w="223"/>
        <w:gridCol w:w="1343"/>
      </w:tblGrid>
      <w:tr w:rsidR="005C57BD" w:rsidRPr="00B75FD7" w:rsidTr="00297BFF">
        <w:trPr>
          <w:jc w:val="center"/>
        </w:trPr>
        <w:tc>
          <w:tcPr>
            <w:tcW w:w="2810" w:type="dxa"/>
            <w:shd w:val="clear" w:color="auto" w:fill="C6D9F1" w:themeFill="text2" w:themeFillTint="33"/>
          </w:tcPr>
          <w:p w:rsidR="005C57BD" w:rsidRPr="00B75FD7" w:rsidRDefault="005C57BD" w:rsidP="001B3967">
            <w:pPr>
              <w:contextualSpacing/>
              <w:rPr>
                <w:b/>
                <w:sz w:val="22"/>
              </w:rPr>
            </w:pPr>
            <w:r w:rsidRPr="00B75FD7">
              <w:rPr>
                <w:b/>
                <w:sz w:val="22"/>
              </w:rPr>
              <w:t>Оперативна ціль/завдання</w:t>
            </w:r>
          </w:p>
        </w:tc>
        <w:tc>
          <w:tcPr>
            <w:tcW w:w="7162" w:type="dxa"/>
            <w:gridSpan w:val="7"/>
            <w:shd w:val="clear" w:color="auto" w:fill="FFFFFF"/>
          </w:tcPr>
          <w:p w:rsidR="005C57BD" w:rsidRPr="00B75FD7" w:rsidRDefault="005C57BD" w:rsidP="001B3967">
            <w:pPr>
              <w:contextualSpacing/>
              <w:rPr>
                <w:sz w:val="22"/>
              </w:rPr>
            </w:pPr>
            <w:r w:rsidRPr="00B75FD7">
              <w:rPr>
                <w:rFonts w:eastAsia="Calibri"/>
                <w:sz w:val="22"/>
              </w:rPr>
              <w:t xml:space="preserve">Людський розвиток через інновації управління та довіру до влади. Формування сучасного інклюзивного  </w:t>
            </w:r>
            <w:proofErr w:type="spellStart"/>
            <w:r w:rsidRPr="00B75FD7">
              <w:rPr>
                <w:rFonts w:eastAsia="Calibri"/>
                <w:sz w:val="22"/>
              </w:rPr>
              <w:t>освітньо</w:t>
            </w:r>
            <w:proofErr w:type="spellEnd"/>
            <w:r w:rsidRPr="00B75FD7">
              <w:rPr>
                <w:rFonts w:eastAsia="Calibri"/>
                <w:sz w:val="22"/>
              </w:rPr>
              <w:t>-культурного та спортивного простору для розвитку</w:t>
            </w:r>
          </w:p>
        </w:tc>
      </w:tr>
      <w:tr w:rsidR="005C57BD" w:rsidRPr="00B75FD7" w:rsidTr="00297BFF">
        <w:trPr>
          <w:jc w:val="center"/>
        </w:trPr>
        <w:tc>
          <w:tcPr>
            <w:tcW w:w="2810" w:type="dxa"/>
            <w:shd w:val="clear" w:color="auto" w:fill="C6D9F1" w:themeFill="text2" w:themeFillTint="33"/>
          </w:tcPr>
          <w:p w:rsidR="005C57BD" w:rsidRPr="00B75FD7" w:rsidRDefault="005C57BD" w:rsidP="001B3967">
            <w:pPr>
              <w:contextualSpacing/>
              <w:rPr>
                <w:b/>
                <w:sz w:val="22"/>
              </w:rPr>
            </w:pPr>
            <w:r w:rsidRPr="00B75FD7">
              <w:rPr>
                <w:b/>
                <w:sz w:val="22"/>
              </w:rPr>
              <w:t>Назва проекту:</w:t>
            </w:r>
          </w:p>
        </w:tc>
        <w:tc>
          <w:tcPr>
            <w:tcW w:w="7162" w:type="dxa"/>
            <w:gridSpan w:val="7"/>
            <w:shd w:val="clear" w:color="auto" w:fill="auto"/>
          </w:tcPr>
          <w:p w:rsidR="005C57BD" w:rsidRPr="00B75FD7" w:rsidRDefault="005C57BD" w:rsidP="001B3967">
            <w:pPr>
              <w:contextualSpacing/>
              <w:rPr>
                <w:sz w:val="22"/>
              </w:rPr>
            </w:pPr>
            <w:proofErr w:type="spellStart"/>
            <w:r w:rsidRPr="00B75FD7">
              <w:rPr>
                <w:rFonts w:eastAsia="Calibri"/>
                <w:sz w:val="22"/>
              </w:rPr>
              <w:t>Віновлення</w:t>
            </w:r>
            <w:proofErr w:type="spellEnd"/>
            <w:r w:rsidRPr="00B75FD7">
              <w:rPr>
                <w:rFonts w:eastAsia="Calibri"/>
                <w:sz w:val="22"/>
              </w:rPr>
              <w:t xml:space="preserve"> благоустрою території, спортивного та ігрових майданчиків Ясел-садка № 11 міста Сєвєродонецька Луганської області, вул. Енергетиків 28/А</w:t>
            </w:r>
          </w:p>
        </w:tc>
      </w:tr>
      <w:tr w:rsidR="005C57BD" w:rsidRPr="00B75FD7" w:rsidTr="00297BFF">
        <w:trPr>
          <w:jc w:val="center"/>
        </w:trPr>
        <w:tc>
          <w:tcPr>
            <w:tcW w:w="2810" w:type="dxa"/>
            <w:shd w:val="clear" w:color="auto" w:fill="C6D9F1" w:themeFill="text2" w:themeFillTint="33"/>
          </w:tcPr>
          <w:p w:rsidR="005C57BD" w:rsidRPr="00B75FD7" w:rsidRDefault="005C57BD" w:rsidP="001B3967">
            <w:pPr>
              <w:rPr>
                <w:b/>
                <w:sz w:val="22"/>
              </w:rPr>
            </w:pPr>
            <w:r w:rsidRPr="00B75FD7">
              <w:rPr>
                <w:b/>
                <w:sz w:val="22"/>
              </w:rPr>
              <w:t>Ціль проекту</w:t>
            </w:r>
          </w:p>
        </w:tc>
        <w:tc>
          <w:tcPr>
            <w:tcW w:w="7162" w:type="dxa"/>
            <w:gridSpan w:val="7"/>
            <w:shd w:val="clear" w:color="auto" w:fill="auto"/>
          </w:tcPr>
          <w:p w:rsidR="005C57BD" w:rsidRPr="00B75FD7" w:rsidRDefault="005C57BD" w:rsidP="001B3967">
            <w:pPr>
              <w:autoSpaceDE w:val="0"/>
              <w:autoSpaceDN w:val="0"/>
              <w:adjustRightInd w:val="0"/>
              <w:ind w:firstLine="252"/>
              <w:rPr>
                <w:color w:val="000000"/>
                <w:sz w:val="22"/>
              </w:rPr>
            </w:pPr>
            <w:r w:rsidRPr="00B75FD7">
              <w:rPr>
                <w:color w:val="000000"/>
                <w:sz w:val="22"/>
              </w:rPr>
              <w:t>Відновити та покращити роботу закладу для надання освітніх послуг, задовольнити потреби мешканців Сєвєродонецької міської територіальної громади.</w:t>
            </w:r>
          </w:p>
          <w:p w:rsidR="005C57BD" w:rsidRPr="00B75FD7" w:rsidRDefault="005C57BD" w:rsidP="001B3967">
            <w:pPr>
              <w:rPr>
                <w:rFonts w:eastAsia="Calibri"/>
                <w:sz w:val="22"/>
              </w:rPr>
            </w:pPr>
            <w:r w:rsidRPr="00B75FD7">
              <w:rPr>
                <w:color w:val="000000"/>
                <w:sz w:val="22"/>
              </w:rPr>
              <w:t xml:space="preserve"> </w:t>
            </w:r>
            <w:r w:rsidRPr="00B75FD7">
              <w:rPr>
                <w:sz w:val="22"/>
              </w:rPr>
              <w:t xml:space="preserve">Відновити благоустрій прилеглої території закладу. На території закладу відновити  дитячі ігрові майданчики з альтанками (для кожної групи окремі) та спортивного майданчика, який буде відповідати всім нормам та  вимогам. Відновлення вуличного освітлення по всій території закладу, використовуючи енергоощадні лампи  для економічного використання електроенергії. Замінити асфальтне покриття по всій території закладу. Облаштування гумовим покриттям спортивного майданчика. </w:t>
            </w:r>
          </w:p>
        </w:tc>
      </w:tr>
      <w:tr w:rsidR="005C57BD" w:rsidRPr="00B75FD7" w:rsidTr="00297BFF">
        <w:trPr>
          <w:jc w:val="center"/>
        </w:trPr>
        <w:tc>
          <w:tcPr>
            <w:tcW w:w="2810" w:type="dxa"/>
            <w:shd w:val="clear" w:color="auto" w:fill="C6D9F1" w:themeFill="text2" w:themeFillTint="33"/>
          </w:tcPr>
          <w:p w:rsidR="005C57BD" w:rsidRPr="00B75FD7" w:rsidRDefault="005C57BD" w:rsidP="001B3967">
            <w:pPr>
              <w:contextualSpacing/>
              <w:rPr>
                <w:b/>
                <w:sz w:val="22"/>
              </w:rPr>
            </w:pPr>
            <w:r w:rsidRPr="00B75FD7">
              <w:rPr>
                <w:b/>
                <w:sz w:val="22"/>
              </w:rPr>
              <w:t>Територія, на яку матиме вплив реалізація проекту</w:t>
            </w:r>
          </w:p>
        </w:tc>
        <w:tc>
          <w:tcPr>
            <w:tcW w:w="7162" w:type="dxa"/>
            <w:gridSpan w:val="7"/>
            <w:shd w:val="clear" w:color="auto" w:fill="auto"/>
          </w:tcPr>
          <w:p w:rsidR="005C57BD" w:rsidRPr="00B75FD7" w:rsidRDefault="005C57BD" w:rsidP="001B3967">
            <w:pPr>
              <w:contextualSpacing/>
              <w:rPr>
                <w:sz w:val="22"/>
              </w:rPr>
            </w:pPr>
            <w:r w:rsidRPr="00B75FD7">
              <w:rPr>
                <w:sz w:val="22"/>
              </w:rPr>
              <w:t>Сєвєродонецька міська територіальна громада</w:t>
            </w:r>
          </w:p>
        </w:tc>
      </w:tr>
      <w:tr w:rsidR="005C57BD" w:rsidRPr="00B75FD7" w:rsidTr="00297BFF">
        <w:trPr>
          <w:jc w:val="center"/>
        </w:trPr>
        <w:tc>
          <w:tcPr>
            <w:tcW w:w="2810" w:type="dxa"/>
            <w:shd w:val="clear" w:color="auto" w:fill="C6D9F1" w:themeFill="text2" w:themeFillTint="33"/>
          </w:tcPr>
          <w:p w:rsidR="005C57BD" w:rsidRPr="00B75FD7" w:rsidRDefault="005C57BD" w:rsidP="001B3967">
            <w:pPr>
              <w:contextualSpacing/>
              <w:rPr>
                <w:b/>
                <w:sz w:val="22"/>
              </w:rPr>
            </w:pPr>
            <w:r w:rsidRPr="00B75FD7">
              <w:rPr>
                <w:b/>
                <w:sz w:val="22"/>
              </w:rPr>
              <w:t>Чисельність населення, на яке матиме вплив реалізація проекту</w:t>
            </w:r>
          </w:p>
        </w:tc>
        <w:tc>
          <w:tcPr>
            <w:tcW w:w="7162" w:type="dxa"/>
            <w:gridSpan w:val="7"/>
            <w:shd w:val="clear" w:color="auto" w:fill="auto"/>
          </w:tcPr>
          <w:p w:rsidR="005C57BD" w:rsidRPr="00B75FD7" w:rsidRDefault="005C57BD" w:rsidP="001B3967">
            <w:pPr>
              <w:contextualSpacing/>
              <w:rPr>
                <w:sz w:val="22"/>
              </w:rPr>
            </w:pPr>
            <w:r w:rsidRPr="00B75FD7">
              <w:rPr>
                <w:sz w:val="22"/>
              </w:rPr>
              <w:t xml:space="preserve"> 70 000  осіб</w:t>
            </w:r>
          </w:p>
        </w:tc>
      </w:tr>
      <w:tr w:rsidR="005C57BD" w:rsidRPr="00B75FD7" w:rsidTr="00297BFF">
        <w:trPr>
          <w:jc w:val="center"/>
        </w:trPr>
        <w:tc>
          <w:tcPr>
            <w:tcW w:w="2810" w:type="dxa"/>
            <w:shd w:val="clear" w:color="auto" w:fill="C6D9F1" w:themeFill="text2" w:themeFillTint="33"/>
          </w:tcPr>
          <w:p w:rsidR="005C57BD" w:rsidRPr="00B75FD7" w:rsidRDefault="005C57BD" w:rsidP="001B3967">
            <w:pPr>
              <w:rPr>
                <w:b/>
                <w:sz w:val="22"/>
              </w:rPr>
            </w:pPr>
            <w:r w:rsidRPr="00B75FD7">
              <w:rPr>
                <w:b/>
                <w:sz w:val="22"/>
              </w:rPr>
              <w:t>Опис проблеми, на вирішення якої  спрямований проект</w:t>
            </w:r>
          </w:p>
        </w:tc>
        <w:tc>
          <w:tcPr>
            <w:tcW w:w="7162" w:type="dxa"/>
            <w:gridSpan w:val="7"/>
            <w:tcBorders>
              <w:top w:val="single" w:sz="6" w:space="0" w:color="auto"/>
              <w:left w:val="single" w:sz="6" w:space="0" w:color="auto"/>
              <w:bottom w:val="single" w:sz="6" w:space="0" w:color="auto"/>
              <w:right w:val="single" w:sz="6" w:space="0" w:color="auto"/>
            </w:tcBorders>
            <w:shd w:val="clear" w:color="auto" w:fill="auto"/>
          </w:tcPr>
          <w:p w:rsidR="005C57BD" w:rsidRPr="00B75FD7" w:rsidRDefault="005C57BD" w:rsidP="001B3967">
            <w:pPr>
              <w:autoSpaceDE w:val="0"/>
              <w:autoSpaceDN w:val="0"/>
              <w:adjustRightInd w:val="0"/>
              <w:ind w:firstLine="335"/>
              <w:rPr>
                <w:color w:val="000000"/>
                <w:sz w:val="22"/>
              </w:rPr>
            </w:pPr>
            <w:r w:rsidRPr="00B75FD7">
              <w:rPr>
                <w:color w:val="000000"/>
                <w:sz w:val="22"/>
              </w:rPr>
              <w:t xml:space="preserve">Прилегла територія Ясел-садка № 11 через військову агресію РФ  та внаслідок мародерства перебуває в не задовільному стані. </w:t>
            </w:r>
          </w:p>
          <w:p w:rsidR="005C57BD" w:rsidRPr="00B75FD7" w:rsidRDefault="005C57BD" w:rsidP="001B3967">
            <w:pPr>
              <w:autoSpaceDE w:val="0"/>
              <w:autoSpaceDN w:val="0"/>
              <w:adjustRightInd w:val="0"/>
              <w:ind w:firstLine="335"/>
              <w:rPr>
                <w:rFonts w:eastAsia="Calibri"/>
                <w:sz w:val="22"/>
              </w:rPr>
            </w:pPr>
            <w:r w:rsidRPr="00B75FD7">
              <w:rPr>
                <w:rFonts w:eastAsia="Calibri"/>
                <w:sz w:val="22"/>
              </w:rPr>
              <w:t xml:space="preserve">Однією з умов розвитку дитини є фізична активність на свіжому повітрі, щоб прогулянки були продуктивними. Для всебічного розвитку потрібно мати добре облаштовані дитячі ігрові майданчики, які повинні  бути у кожній групі окремо, зі своєю альтанкою та територією.  Спортивне обладнання має бути правильно встановлене та відповідати всім нормам та вимогам. На майданчику мають бути різні зони для ігор (розвивальних та активних). Озеленення майданчика </w:t>
            </w:r>
            <w:r w:rsidR="00634271" w:rsidRPr="00B75FD7">
              <w:rPr>
                <w:rFonts w:eastAsia="Calibri"/>
                <w:sz w:val="22"/>
              </w:rPr>
              <w:t xml:space="preserve">має </w:t>
            </w:r>
            <w:r w:rsidRPr="00B75FD7">
              <w:rPr>
                <w:rFonts w:eastAsia="Calibri"/>
                <w:sz w:val="22"/>
              </w:rPr>
              <w:t xml:space="preserve">відповідати санітарно-гігієнічним нормам. А також </w:t>
            </w:r>
            <w:r w:rsidR="00634271" w:rsidRPr="00B75FD7">
              <w:rPr>
                <w:rFonts w:eastAsia="Calibri"/>
                <w:sz w:val="22"/>
              </w:rPr>
              <w:t xml:space="preserve">потрібно </w:t>
            </w:r>
            <w:r w:rsidRPr="00B75FD7">
              <w:rPr>
                <w:rFonts w:eastAsia="Calibri"/>
                <w:sz w:val="22"/>
              </w:rPr>
              <w:t xml:space="preserve">якісне асфальтне покриття по всьому периметру дитячого закладу. </w:t>
            </w:r>
          </w:p>
          <w:p w:rsidR="005C57BD" w:rsidRPr="00B75FD7" w:rsidRDefault="005C57BD" w:rsidP="001B3967">
            <w:pPr>
              <w:autoSpaceDE w:val="0"/>
              <w:autoSpaceDN w:val="0"/>
              <w:adjustRightInd w:val="0"/>
              <w:ind w:firstLine="335"/>
              <w:rPr>
                <w:rFonts w:eastAsia="Calibri"/>
                <w:sz w:val="22"/>
              </w:rPr>
            </w:pPr>
            <w:r w:rsidRPr="00B75FD7">
              <w:rPr>
                <w:rFonts w:eastAsia="Calibri"/>
                <w:sz w:val="22"/>
              </w:rPr>
              <w:t xml:space="preserve">Створити умови для безпечного пересування дітей (батьків, персоналу) в темну пору доби - відновлення </w:t>
            </w:r>
            <w:proofErr w:type="spellStart"/>
            <w:r w:rsidRPr="00B75FD7">
              <w:rPr>
                <w:rFonts w:eastAsia="Calibri"/>
                <w:sz w:val="22"/>
              </w:rPr>
              <w:t>енергозаощаджувального</w:t>
            </w:r>
            <w:proofErr w:type="spellEnd"/>
            <w:r w:rsidRPr="00B75FD7">
              <w:rPr>
                <w:rFonts w:eastAsia="Calibri"/>
                <w:sz w:val="22"/>
              </w:rPr>
              <w:t xml:space="preserve"> вуличного освітлення по всій території закладу.  </w:t>
            </w:r>
          </w:p>
          <w:p w:rsidR="005C57BD" w:rsidRPr="00B75FD7" w:rsidRDefault="005C57BD" w:rsidP="001B3967">
            <w:pPr>
              <w:autoSpaceDE w:val="0"/>
              <w:autoSpaceDN w:val="0"/>
              <w:adjustRightInd w:val="0"/>
              <w:ind w:firstLine="335"/>
              <w:rPr>
                <w:rFonts w:eastAsia="Calibri"/>
                <w:sz w:val="22"/>
              </w:rPr>
            </w:pPr>
            <w:r w:rsidRPr="00B75FD7">
              <w:rPr>
                <w:rFonts w:eastAsia="Calibri"/>
                <w:sz w:val="22"/>
              </w:rPr>
              <w:t xml:space="preserve">Територія має бути загороджена міцною огорожею, маючи ворота та хвіртку. </w:t>
            </w:r>
          </w:p>
          <w:p w:rsidR="005C57BD" w:rsidRPr="00B75FD7" w:rsidRDefault="005C57BD" w:rsidP="001B3967">
            <w:pPr>
              <w:autoSpaceDE w:val="0"/>
              <w:autoSpaceDN w:val="0"/>
              <w:adjustRightInd w:val="0"/>
              <w:ind w:firstLine="335"/>
              <w:rPr>
                <w:rFonts w:eastAsia="Calibri"/>
                <w:sz w:val="22"/>
              </w:rPr>
            </w:pPr>
            <w:r w:rsidRPr="00B75FD7">
              <w:rPr>
                <w:rFonts w:eastAsia="Calibri"/>
                <w:sz w:val="22"/>
              </w:rPr>
              <w:t xml:space="preserve">Спортивний майданчик – це територія, на якій розташовані елементи дитячого вуличного ігрового та спортивного обладнання з метою організації змістовного дозвілля, занять спортом різних вікових груп дітей. </w:t>
            </w:r>
          </w:p>
          <w:p w:rsidR="005C57BD" w:rsidRPr="00B75FD7" w:rsidRDefault="005C57BD" w:rsidP="001B3967">
            <w:pPr>
              <w:autoSpaceDE w:val="0"/>
              <w:autoSpaceDN w:val="0"/>
              <w:adjustRightInd w:val="0"/>
              <w:ind w:firstLine="335"/>
              <w:rPr>
                <w:rFonts w:eastAsia="Calibri"/>
                <w:sz w:val="22"/>
              </w:rPr>
            </w:pPr>
            <w:r w:rsidRPr="00B75FD7">
              <w:rPr>
                <w:color w:val="000000"/>
                <w:sz w:val="22"/>
              </w:rPr>
              <w:t>Для відбудови та сталого розвитку громади потрібне відновлення роботи Ясел-садка № 11 міста Сєвєродонецька Луганської області. Мешканці громади потребують в отриманні якісних освітніх послуг, які відповідають нормам сучасності.</w:t>
            </w:r>
          </w:p>
        </w:tc>
      </w:tr>
      <w:tr w:rsidR="005C57BD" w:rsidRPr="00B75FD7" w:rsidTr="00297BFF">
        <w:trPr>
          <w:trHeight w:val="269"/>
          <w:jc w:val="center"/>
        </w:trPr>
        <w:tc>
          <w:tcPr>
            <w:tcW w:w="2810" w:type="dxa"/>
            <w:shd w:val="clear" w:color="auto" w:fill="C6D9F1" w:themeFill="text2" w:themeFillTint="33"/>
          </w:tcPr>
          <w:p w:rsidR="005C57BD" w:rsidRPr="00B75FD7" w:rsidRDefault="005C57BD" w:rsidP="001B3967">
            <w:pPr>
              <w:contextualSpacing/>
              <w:rPr>
                <w:b/>
                <w:sz w:val="22"/>
              </w:rPr>
            </w:pPr>
            <w:r w:rsidRPr="00B75FD7">
              <w:rPr>
                <w:b/>
                <w:sz w:val="22"/>
              </w:rPr>
              <w:t>Очікувані якісні результати від реалізації проекту</w:t>
            </w:r>
          </w:p>
        </w:tc>
        <w:tc>
          <w:tcPr>
            <w:tcW w:w="7162" w:type="dxa"/>
            <w:gridSpan w:val="7"/>
            <w:tcBorders>
              <w:top w:val="single" w:sz="6" w:space="0" w:color="auto"/>
              <w:left w:val="single" w:sz="6" w:space="0" w:color="auto"/>
              <w:bottom w:val="single" w:sz="6" w:space="0" w:color="auto"/>
              <w:right w:val="single" w:sz="6" w:space="0" w:color="auto"/>
            </w:tcBorders>
            <w:shd w:val="clear" w:color="auto" w:fill="auto"/>
          </w:tcPr>
          <w:p w:rsidR="005C57BD" w:rsidRPr="00B75FD7" w:rsidRDefault="005C57BD" w:rsidP="001B3967">
            <w:pPr>
              <w:rPr>
                <w:sz w:val="22"/>
              </w:rPr>
            </w:pPr>
            <w:r w:rsidRPr="00B75FD7">
              <w:rPr>
                <w:sz w:val="22"/>
              </w:rPr>
              <w:t>- Забезпечення населення можливостями для реалізації їх конституційних прав, пов’язаних з отримання якісних освітніх послуг;</w:t>
            </w:r>
          </w:p>
          <w:p w:rsidR="005C57BD" w:rsidRPr="00B75FD7" w:rsidRDefault="005C57BD" w:rsidP="001B3967">
            <w:pPr>
              <w:rPr>
                <w:sz w:val="22"/>
              </w:rPr>
            </w:pPr>
            <w:r w:rsidRPr="00B75FD7">
              <w:rPr>
                <w:sz w:val="22"/>
              </w:rPr>
              <w:t xml:space="preserve">-  </w:t>
            </w:r>
            <w:proofErr w:type="spellStart"/>
            <w:r w:rsidRPr="00B75FD7">
              <w:rPr>
                <w:sz w:val="22"/>
              </w:rPr>
              <w:t>надасть</w:t>
            </w:r>
            <w:proofErr w:type="spellEnd"/>
            <w:r w:rsidRPr="00B75FD7">
              <w:rPr>
                <w:sz w:val="22"/>
              </w:rPr>
              <w:t xml:space="preserve"> можливість працювати в безпечних умовах для працівників та перебування в ньому дітей;</w:t>
            </w:r>
          </w:p>
          <w:p w:rsidR="005C57BD" w:rsidRPr="00B75FD7" w:rsidRDefault="005C57BD" w:rsidP="001B3967">
            <w:pPr>
              <w:rPr>
                <w:sz w:val="22"/>
              </w:rPr>
            </w:pPr>
            <w:r w:rsidRPr="00B75FD7">
              <w:rPr>
                <w:sz w:val="22"/>
              </w:rPr>
              <w:lastRenderedPageBreak/>
              <w:t>-  вирішення ряду питань в межах статутної діяльності, пов’язаних із відбудовою та сталим розвитком громади;</w:t>
            </w:r>
          </w:p>
          <w:p w:rsidR="005C57BD" w:rsidRPr="00B75FD7" w:rsidRDefault="005C57BD" w:rsidP="001B3967">
            <w:pPr>
              <w:rPr>
                <w:sz w:val="22"/>
              </w:rPr>
            </w:pPr>
            <w:r w:rsidRPr="00B75FD7">
              <w:rPr>
                <w:sz w:val="22"/>
              </w:rPr>
              <w:t>-  створення нових робочих місць;</w:t>
            </w:r>
          </w:p>
          <w:p w:rsidR="005C57BD" w:rsidRPr="00B75FD7" w:rsidRDefault="005C57BD" w:rsidP="001B3967">
            <w:pPr>
              <w:rPr>
                <w:sz w:val="22"/>
              </w:rPr>
            </w:pPr>
            <w:r w:rsidRPr="00B75FD7">
              <w:rPr>
                <w:sz w:val="22"/>
              </w:rPr>
              <w:t>-  зменшення споживання енергоресурсів;</w:t>
            </w:r>
          </w:p>
          <w:p w:rsidR="005C57BD" w:rsidRPr="00B75FD7" w:rsidRDefault="005C57BD" w:rsidP="001B3967">
            <w:pPr>
              <w:rPr>
                <w:sz w:val="22"/>
              </w:rPr>
            </w:pPr>
            <w:r w:rsidRPr="00B75FD7">
              <w:rPr>
                <w:sz w:val="22"/>
              </w:rPr>
              <w:t>-  стимул до повернення ВПО до громади.</w:t>
            </w:r>
          </w:p>
        </w:tc>
      </w:tr>
      <w:tr w:rsidR="005C57BD" w:rsidRPr="00B75FD7" w:rsidTr="00297BFF">
        <w:trPr>
          <w:trHeight w:val="390"/>
          <w:jc w:val="center"/>
        </w:trPr>
        <w:tc>
          <w:tcPr>
            <w:tcW w:w="2810" w:type="dxa"/>
            <w:vMerge w:val="restart"/>
            <w:shd w:val="clear" w:color="auto" w:fill="C6D9F1" w:themeFill="text2" w:themeFillTint="33"/>
          </w:tcPr>
          <w:p w:rsidR="005C57BD" w:rsidRPr="00B75FD7" w:rsidRDefault="005C57BD" w:rsidP="001B3967">
            <w:pPr>
              <w:contextualSpacing/>
              <w:rPr>
                <w:b/>
                <w:sz w:val="22"/>
              </w:rPr>
            </w:pPr>
          </w:p>
          <w:p w:rsidR="005C57BD" w:rsidRPr="00B75FD7" w:rsidRDefault="005C57BD" w:rsidP="001B3967">
            <w:pPr>
              <w:contextualSpacing/>
              <w:rPr>
                <w:b/>
                <w:sz w:val="22"/>
              </w:rPr>
            </w:pPr>
          </w:p>
          <w:p w:rsidR="005C57BD" w:rsidRPr="00B75FD7" w:rsidRDefault="005C57BD" w:rsidP="001B3967">
            <w:pPr>
              <w:contextualSpacing/>
              <w:rPr>
                <w:b/>
                <w:sz w:val="22"/>
              </w:rPr>
            </w:pPr>
            <w:r w:rsidRPr="00B75FD7">
              <w:rPr>
                <w:b/>
                <w:sz w:val="22"/>
              </w:rPr>
              <w:t xml:space="preserve">Очікувані кількісні результати реалізації </w:t>
            </w:r>
            <w:proofErr w:type="spellStart"/>
            <w:r w:rsidRPr="00B75FD7">
              <w:rPr>
                <w:b/>
                <w:sz w:val="22"/>
              </w:rPr>
              <w:t>проєкту</w:t>
            </w:r>
            <w:proofErr w:type="spellEnd"/>
            <w:r w:rsidRPr="00B75FD7">
              <w:rPr>
                <w:b/>
                <w:sz w:val="22"/>
              </w:rPr>
              <w:t xml:space="preserve"> (індикатори)</w:t>
            </w:r>
          </w:p>
          <w:p w:rsidR="005C57BD" w:rsidRPr="00B75FD7" w:rsidRDefault="005C57BD" w:rsidP="001B3967">
            <w:pPr>
              <w:contextualSpacing/>
              <w:rPr>
                <w:b/>
                <w:sz w:val="22"/>
              </w:rPr>
            </w:pPr>
          </w:p>
        </w:tc>
        <w:tc>
          <w:tcPr>
            <w:tcW w:w="4110" w:type="dxa"/>
            <w:gridSpan w:val="4"/>
            <w:tcBorders>
              <w:bottom w:val="single" w:sz="4" w:space="0" w:color="auto"/>
              <w:right w:val="single" w:sz="4" w:space="0" w:color="auto"/>
            </w:tcBorders>
            <w:shd w:val="clear" w:color="auto" w:fill="auto"/>
          </w:tcPr>
          <w:p w:rsidR="005C57BD" w:rsidRPr="00B75FD7" w:rsidRDefault="005C57BD" w:rsidP="001B3967">
            <w:pPr>
              <w:ind w:left="-108"/>
              <w:contextualSpacing/>
              <w:jc w:val="center"/>
              <w:rPr>
                <w:b/>
                <w:sz w:val="22"/>
              </w:rPr>
            </w:pPr>
            <w:r w:rsidRPr="00B75FD7">
              <w:rPr>
                <w:b/>
                <w:sz w:val="22"/>
              </w:rPr>
              <w:t>Найменування показника</w:t>
            </w:r>
          </w:p>
        </w:tc>
        <w:tc>
          <w:tcPr>
            <w:tcW w:w="1687" w:type="dxa"/>
            <w:gridSpan w:val="2"/>
            <w:tcBorders>
              <w:left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b/>
                <w:sz w:val="22"/>
              </w:rPr>
            </w:pPr>
            <w:r w:rsidRPr="00B75FD7">
              <w:rPr>
                <w:b/>
                <w:sz w:val="22"/>
              </w:rPr>
              <w:t>Одиниця вимірювання</w:t>
            </w:r>
          </w:p>
          <w:p w:rsidR="005C57BD" w:rsidRPr="00B75FD7" w:rsidRDefault="005C57BD" w:rsidP="001B3967">
            <w:pPr>
              <w:contextualSpacing/>
              <w:rPr>
                <w:b/>
                <w:sz w:val="22"/>
              </w:rPr>
            </w:pPr>
          </w:p>
        </w:tc>
        <w:tc>
          <w:tcPr>
            <w:tcW w:w="1365" w:type="dxa"/>
            <w:tcBorders>
              <w:left w:val="single" w:sz="4" w:space="0" w:color="auto"/>
              <w:bottom w:val="single" w:sz="4" w:space="0" w:color="auto"/>
            </w:tcBorders>
            <w:shd w:val="clear" w:color="auto" w:fill="auto"/>
          </w:tcPr>
          <w:p w:rsidR="005C57BD" w:rsidRPr="00B75FD7" w:rsidRDefault="005C57BD" w:rsidP="001B3967">
            <w:pPr>
              <w:contextualSpacing/>
              <w:jc w:val="center"/>
              <w:rPr>
                <w:b/>
                <w:sz w:val="22"/>
              </w:rPr>
            </w:pPr>
            <w:r w:rsidRPr="00B75FD7">
              <w:rPr>
                <w:b/>
                <w:sz w:val="22"/>
              </w:rPr>
              <w:t>Прогнозне (цільове) значення</w:t>
            </w:r>
          </w:p>
        </w:tc>
      </w:tr>
      <w:tr w:rsidR="005C57BD" w:rsidRPr="00B75FD7" w:rsidTr="00297BFF">
        <w:trPr>
          <w:trHeight w:val="585"/>
          <w:jc w:val="center"/>
        </w:trPr>
        <w:tc>
          <w:tcPr>
            <w:tcW w:w="2810" w:type="dxa"/>
            <w:vMerge/>
            <w:shd w:val="clear" w:color="auto" w:fill="C6D9F1" w:themeFill="text2" w:themeFillTint="33"/>
          </w:tcPr>
          <w:p w:rsidR="005C57BD" w:rsidRPr="00B75FD7" w:rsidRDefault="005C57BD" w:rsidP="001B3967">
            <w:pPr>
              <w:contextualSpacing/>
              <w:rPr>
                <w:b/>
                <w:sz w:val="22"/>
              </w:rPr>
            </w:pPr>
          </w:p>
        </w:tc>
        <w:tc>
          <w:tcPr>
            <w:tcW w:w="4110" w:type="dxa"/>
            <w:gridSpan w:val="4"/>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Кількість фізичних та юридичних осіб, які звернулись за послугами протягом  року</w:t>
            </w:r>
          </w:p>
        </w:tc>
        <w:tc>
          <w:tcPr>
            <w:tcW w:w="16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contextualSpacing/>
              <w:jc w:val="center"/>
              <w:rPr>
                <w:sz w:val="22"/>
              </w:rPr>
            </w:pPr>
            <w:r w:rsidRPr="00B75FD7">
              <w:rPr>
                <w:sz w:val="22"/>
              </w:rPr>
              <w:t>осіб</w:t>
            </w:r>
          </w:p>
        </w:tc>
        <w:tc>
          <w:tcPr>
            <w:tcW w:w="1365" w:type="dxa"/>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contextualSpacing/>
              <w:rPr>
                <w:b/>
                <w:sz w:val="22"/>
              </w:rPr>
            </w:pPr>
            <w:r w:rsidRPr="00B75FD7">
              <w:rPr>
                <w:sz w:val="22"/>
              </w:rPr>
              <w:t xml:space="preserve">700 </w:t>
            </w:r>
          </w:p>
        </w:tc>
      </w:tr>
      <w:tr w:rsidR="005C57BD" w:rsidRPr="00B75FD7" w:rsidTr="00297BFF">
        <w:trPr>
          <w:trHeight w:val="243"/>
          <w:jc w:val="center"/>
        </w:trPr>
        <w:tc>
          <w:tcPr>
            <w:tcW w:w="2810" w:type="dxa"/>
            <w:vMerge/>
            <w:shd w:val="clear" w:color="auto" w:fill="C6D9F1" w:themeFill="text2" w:themeFillTint="33"/>
          </w:tcPr>
          <w:p w:rsidR="005C57BD" w:rsidRPr="00B75FD7" w:rsidRDefault="005C57BD" w:rsidP="001B3967">
            <w:pPr>
              <w:contextualSpacing/>
              <w:rPr>
                <w:b/>
                <w:sz w:val="22"/>
              </w:rPr>
            </w:pPr>
          </w:p>
        </w:tc>
        <w:tc>
          <w:tcPr>
            <w:tcW w:w="4110" w:type="dxa"/>
            <w:gridSpan w:val="4"/>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rPr>
                <w:rFonts w:eastAsia="Calibri"/>
                <w:sz w:val="22"/>
              </w:rPr>
            </w:pPr>
            <w:r w:rsidRPr="00B75FD7">
              <w:rPr>
                <w:rFonts w:eastAsia="Calibri"/>
                <w:sz w:val="22"/>
              </w:rPr>
              <w:t>альтанки;</w:t>
            </w:r>
          </w:p>
        </w:tc>
        <w:tc>
          <w:tcPr>
            <w:tcW w:w="16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autoSpaceDE w:val="0"/>
              <w:autoSpaceDN w:val="0"/>
              <w:adjustRightInd w:val="0"/>
              <w:rPr>
                <w:rFonts w:eastAsia="Calibri"/>
                <w:sz w:val="22"/>
              </w:rPr>
            </w:pPr>
            <w:r w:rsidRPr="00B75FD7">
              <w:rPr>
                <w:sz w:val="22"/>
              </w:rPr>
              <w:t>одиниць</w:t>
            </w:r>
          </w:p>
        </w:tc>
        <w:tc>
          <w:tcPr>
            <w:tcW w:w="1365" w:type="dxa"/>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contextualSpacing/>
              <w:rPr>
                <w:sz w:val="22"/>
              </w:rPr>
            </w:pPr>
            <w:r w:rsidRPr="00B75FD7">
              <w:rPr>
                <w:rFonts w:eastAsia="Calibri"/>
                <w:sz w:val="22"/>
              </w:rPr>
              <w:t>12</w:t>
            </w:r>
          </w:p>
        </w:tc>
      </w:tr>
      <w:tr w:rsidR="005C57BD" w:rsidRPr="00B75FD7" w:rsidTr="00297BFF">
        <w:trPr>
          <w:trHeight w:val="375"/>
          <w:jc w:val="center"/>
        </w:trPr>
        <w:tc>
          <w:tcPr>
            <w:tcW w:w="2810" w:type="dxa"/>
            <w:vMerge/>
            <w:shd w:val="clear" w:color="auto" w:fill="C6D9F1" w:themeFill="text2" w:themeFillTint="33"/>
          </w:tcPr>
          <w:p w:rsidR="005C57BD" w:rsidRPr="00B75FD7" w:rsidRDefault="005C57BD" w:rsidP="001B3967">
            <w:pPr>
              <w:contextualSpacing/>
              <w:rPr>
                <w:b/>
                <w:sz w:val="22"/>
              </w:rPr>
            </w:pPr>
          </w:p>
        </w:tc>
        <w:tc>
          <w:tcPr>
            <w:tcW w:w="4110" w:type="dxa"/>
            <w:gridSpan w:val="4"/>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rPr>
                <w:rFonts w:eastAsia="Calibri"/>
                <w:sz w:val="22"/>
              </w:rPr>
            </w:pPr>
            <w:r w:rsidRPr="00B75FD7">
              <w:rPr>
                <w:rFonts w:eastAsia="Calibri"/>
                <w:sz w:val="22"/>
              </w:rPr>
              <w:t>спортивні комплекси;</w:t>
            </w:r>
          </w:p>
        </w:tc>
        <w:tc>
          <w:tcPr>
            <w:tcW w:w="16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autoSpaceDE w:val="0"/>
              <w:autoSpaceDN w:val="0"/>
              <w:adjustRightInd w:val="0"/>
              <w:rPr>
                <w:rFonts w:eastAsia="Calibri"/>
                <w:sz w:val="22"/>
              </w:rPr>
            </w:pPr>
            <w:r w:rsidRPr="00B75FD7">
              <w:rPr>
                <w:sz w:val="22"/>
              </w:rPr>
              <w:t>одиниць</w:t>
            </w:r>
          </w:p>
        </w:tc>
        <w:tc>
          <w:tcPr>
            <w:tcW w:w="1365" w:type="dxa"/>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contextualSpacing/>
              <w:rPr>
                <w:sz w:val="22"/>
              </w:rPr>
            </w:pPr>
            <w:r w:rsidRPr="00B75FD7">
              <w:rPr>
                <w:rFonts w:eastAsia="Calibri"/>
                <w:sz w:val="22"/>
              </w:rPr>
              <w:t>12</w:t>
            </w:r>
          </w:p>
        </w:tc>
      </w:tr>
      <w:tr w:rsidR="005C57BD" w:rsidRPr="00B75FD7" w:rsidTr="00297BFF">
        <w:trPr>
          <w:trHeight w:val="281"/>
          <w:jc w:val="center"/>
        </w:trPr>
        <w:tc>
          <w:tcPr>
            <w:tcW w:w="2810" w:type="dxa"/>
            <w:vMerge/>
            <w:shd w:val="clear" w:color="auto" w:fill="C6D9F1" w:themeFill="text2" w:themeFillTint="33"/>
          </w:tcPr>
          <w:p w:rsidR="005C57BD" w:rsidRPr="00B75FD7" w:rsidRDefault="005C57BD" w:rsidP="001B3967">
            <w:pPr>
              <w:contextualSpacing/>
              <w:rPr>
                <w:b/>
                <w:sz w:val="22"/>
              </w:rPr>
            </w:pPr>
          </w:p>
        </w:tc>
        <w:tc>
          <w:tcPr>
            <w:tcW w:w="4110" w:type="dxa"/>
            <w:gridSpan w:val="4"/>
            <w:tcBorders>
              <w:top w:val="single" w:sz="4" w:space="0" w:color="auto"/>
              <w:bottom w:val="single" w:sz="4" w:space="0" w:color="auto"/>
              <w:right w:val="single" w:sz="4" w:space="0" w:color="auto"/>
            </w:tcBorders>
            <w:shd w:val="clear" w:color="auto" w:fill="auto"/>
          </w:tcPr>
          <w:p w:rsidR="005C57BD" w:rsidRPr="00B75FD7" w:rsidRDefault="005C57BD" w:rsidP="001B3967">
            <w:pPr>
              <w:autoSpaceDE w:val="0"/>
              <w:autoSpaceDN w:val="0"/>
              <w:adjustRightInd w:val="0"/>
              <w:rPr>
                <w:rFonts w:eastAsia="Calibri"/>
                <w:sz w:val="22"/>
              </w:rPr>
            </w:pPr>
            <w:r w:rsidRPr="00B75FD7">
              <w:rPr>
                <w:rFonts w:eastAsia="Calibri"/>
                <w:sz w:val="22"/>
              </w:rPr>
              <w:t>асфальтне покриття</w:t>
            </w:r>
          </w:p>
        </w:tc>
        <w:tc>
          <w:tcPr>
            <w:tcW w:w="16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rPr>
                <w:rFonts w:eastAsia="Calibri"/>
                <w:sz w:val="22"/>
              </w:rPr>
            </w:pPr>
            <w:proofErr w:type="spellStart"/>
            <w:r w:rsidRPr="00B75FD7">
              <w:rPr>
                <w:rFonts w:eastAsia="Calibri"/>
                <w:sz w:val="22"/>
              </w:rPr>
              <w:t>кв.м</w:t>
            </w:r>
            <w:proofErr w:type="spellEnd"/>
          </w:p>
        </w:tc>
        <w:tc>
          <w:tcPr>
            <w:tcW w:w="1365" w:type="dxa"/>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contextualSpacing/>
              <w:rPr>
                <w:sz w:val="22"/>
              </w:rPr>
            </w:pPr>
            <w:r w:rsidRPr="00B75FD7">
              <w:rPr>
                <w:rFonts w:eastAsia="Calibri"/>
                <w:sz w:val="22"/>
              </w:rPr>
              <w:t>2638</w:t>
            </w:r>
          </w:p>
        </w:tc>
      </w:tr>
      <w:tr w:rsidR="005C57BD" w:rsidRPr="00B75FD7" w:rsidTr="00297BFF">
        <w:trPr>
          <w:trHeight w:val="467"/>
          <w:jc w:val="center"/>
        </w:trPr>
        <w:tc>
          <w:tcPr>
            <w:tcW w:w="2810" w:type="dxa"/>
            <w:vMerge/>
            <w:shd w:val="clear" w:color="auto" w:fill="C6D9F1" w:themeFill="text2" w:themeFillTint="33"/>
          </w:tcPr>
          <w:p w:rsidR="005C57BD" w:rsidRPr="00B75FD7" w:rsidRDefault="005C57BD" w:rsidP="001B3967">
            <w:pPr>
              <w:contextualSpacing/>
              <w:rPr>
                <w:b/>
                <w:sz w:val="22"/>
              </w:rPr>
            </w:pPr>
          </w:p>
        </w:tc>
        <w:tc>
          <w:tcPr>
            <w:tcW w:w="4110" w:type="dxa"/>
            <w:gridSpan w:val="4"/>
            <w:tcBorders>
              <w:top w:val="single" w:sz="4" w:space="0" w:color="auto"/>
              <w:bottom w:val="single" w:sz="4" w:space="0" w:color="auto"/>
              <w:right w:val="single" w:sz="4" w:space="0" w:color="auto"/>
            </w:tcBorders>
            <w:shd w:val="clear" w:color="auto" w:fill="auto"/>
          </w:tcPr>
          <w:p w:rsidR="005C57BD" w:rsidRPr="00B75FD7" w:rsidRDefault="005C57BD" w:rsidP="001B3967">
            <w:pPr>
              <w:autoSpaceDE w:val="0"/>
              <w:autoSpaceDN w:val="0"/>
              <w:adjustRightInd w:val="0"/>
              <w:rPr>
                <w:rFonts w:eastAsia="Calibri"/>
                <w:sz w:val="22"/>
              </w:rPr>
            </w:pPr>
            <w:r w:rsidRPr="00B75FD7">
              <w:rPr>
                <w:sz w:val="22"/>
              </w:rPr>
              <w:t>бетонні тротуарні плити по піщаній основі;</w:t>
            </w:r>
          </w:p>
        </w:tc>
        <w:tc>
          <w:tcPr>
            <w:tcW w:w="16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rPr>
                <w:rFonts w:eastAsia="Calibri"/>
                <w:color w:val="000000"/>
                <w:sz w:val="22"/>
              </w:rPr>
            </w:pPr>
            <w:proofErr w:type="spellStart"/>
            <w:r w:rsidRPr="00B75FD7">
              <w:rPr>
                <w:rFonts w:eastAsia="Calibri"/>
                <w:color w:val="000000"/>
                <w:sz w:val="22"/>
              </w:rPr>
              <w:t>кв.м</w:t>
            </w:r>
            <w:proofErr w:type="spellEnd"/>
            <w:r w:rsidRPr="00B75FD7">
              <w:rPr>
                <w:rFonts w:eastAsia="Calibri"/>
                <w:color w:val="000000"/>
                <w:sz w:val="22"/>
              </w:rPr>
              <w:t xml:space="preserve">  </w:t>
            </w:r>
          </w:p>
        </w:tc>
        <w:tc>
          <w:tcPr>
            <w:tcW w:w="1365" w:type="dxa"/>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contextualSpacing/>
              <w:rPr>
                <w:sz w:val="22"/>
              </w:rPr>
            </w:pPr>
            <w:r w:rsidRPr="00B75FD7">
              <w:rPr>
                <w:rFonts w:eastAsia="Calibri"/>
                <w:color w:val="000000"/>
                <w:sz w:val="22"/>
              </w:rPr>
              <w:t>483</w:t>
            </w:r>
          </w:p>
        </w:tc>
      </w:tr>
      <w:tr w:rsidR="005C57BD" w:rsidRPr="00B75FD7" w:rsidTr="00297BFF">
        <w:trPr>
          <w:trHeight w:val="517"/>
          <w:jc w:val="center"/>
        </w:trPr>
        <w:tc>
          <w:tcPr>
            <w:tcW w:w="2810" w:type="dxa"/>
            <w:vMerge/>
            <w:shd w:val="clear" w:color="auto" w:fill="C6D9F1" w:themeFill="text2" w:themeFillTint="33"/>
          </w:tcPr>
          <w:p w:rsidR="005C57BD" w:rsidRPr="00B75FD7" w:rsidRDefault="005C57BD" w:rsidP="001B3967">
            <w:pPr>
              <w:contextualSpacing/>
              <w:rPr>
                <w:b/>
                <w:sz w:val="22"/>
              </w:rPr>
            </w:pPr>
          </w:p>
        </w:tc>
        <w:tc>
          <w:tcPr>
            <w:tcW w:w="4110" w:type="dxa"/>
            <w:gridSpan w:val="4"/>
            <w:tcBorders>
              <w:top w:val="single" w:sz="4" w:space="0" w:color="auto"/>
              <w:bottom w:val="single" w:sz="4" w:space="0" w:color="auto"/>
              <w:right w:val="single" w:sz="4" w:space="0" w:color="auto"/>
            </w:tcBorders>
            <w:shd w:val="clear" w:color="auto" w:fill="auto"/>
          </w:tcPr>
          <w:p w:rsidR="005C57BD" w:rsidRPr="00B75FD7" w:rsidRDefault="005C57BD" w:rsidP="001B3967">
            <w:pPr>
              <w:autoSpaceDE w:val="0"/>
              <w:autoSpaceDN w:val="0"/>
              <w:adjustRightInd w:val="0"/>
              <w:rPr>
                <w:rFonts w:eastAsia="Calibri"/>
                <w:sz w:val="22"/>
              </w:rPr>
            </w:pPr>
            <w:r w:rsidRPr="00B75FD7">
              <w:rPr>
                <w:rFonts w:eastAsia="Calibri"/>
                <w:sz w:val="22"/>
              </w:rPr>
              <w:t xml:space="preserve">гумове покриття для спортивного майданчика; </w:t>
            </w:r>
          </w:p>
        </w:tc>
        <w:tc>
          <w:tcPr>
            <w:tcW w:w="16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rPr>
                <w:rFonts w:eastAsia="Calibri"/>
                <w:color w:val="FF0000"/>
                <w:sz w:val="22"/>
              </w:rPr>
            </w:pPr>
            <w:proofErr w:type="spellStart"/>
            <w:r w:rsidRPr="00B75FD7">
              <w:rPr>
                <w:rFonts w:eastAsia="Calibri"/>
                <w:sz w:val="22"/>
              </w:rPr>
              <w:t>кв.м</w:t>
            </w:r>
            <w:proofErr w:type="spellEnd"/>
            <w:r w:rsidRPr="00B75FD7">
              <w:rPr>
                <w:rFonts w:eastAsia="Calibri"/>
                <w:sz w:val="22"/>
              </w:rPr>
              <w:t>.</w:t>
            </w:r>
          </w:p>
        </w:tc>
        <w:tc>
          <w:tcPr>
            <w:tcW w:w="1365" w:type="dxa"/>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contextualSpacing/>
              <w:rPr>
                <w:sz w:val="22"/>
              </w:rPr>
            </w:pPr>
            <w:r w:rsidRPr="00B75FD7">
              <w:rPr>
                <w:rFonts w:eastAsia="Calibri"/>
                <w:color w:val="000000"/>
                <w:sz w:val="22"/>
              </w:rPr>
              <w:t>118</w:t>
            </w:r>
          </w:p>
        </w:tc>
      </w:tr>
      <w:tr w:rsidR="005C57BD" w:rsidRPr="00B75FD7" w:rsidTr="00297BFF">
        <w:trPr>
          <w:trHeight w:val="585"/>
          <w:jc w:val="center"/>
        </w:trPr>
        <w:tc>
          <w:tcPr>
            <w:tcW w:w="2810" w:type="dxa"/>
            <w:vMerge/>
            <w:shd w:val="clear" w:color="auto" w:fill="C6D9F1" w:themeFill="text2" w:themeFillTint="33"/>
          </w:tcPr>
          <w:p w:rsidR="005C57BD" w:rsidRPr="00B75FD7" w:rsidRDefault="005C57BD" w:rsidP="001B3967">
            <w:pPr>
              <w:contextualSpacing/>
              <w:rPr>
                <w:b/>
                <w:sz w:val="22"/>
              </w:rPr>
            </w:pPr>
          </w:p>
        </w:tc>
        <w:tc>
          <w:tcPr>
            <w:tcW w:w="4110" w:type="dxa"/>
            <w:gridSpan w:val="4"/>
            <w:tcBorders>
              <w:top w:val="single" w:sz="4" w:space="0" w:color="auto"/>
              <w:bottom w:val="single" w:sz="4" w:space="0" w:color="auto"/>
              <w:right w:val="single" w:sz="4" w:space="0" w:color="auto"/>
            </w:tcBorders>
            <w:shd w:val="clear" w:color="auto" w:fill="auto"/>
          </w:tcPr>
          <w:p w:rsidR="005C57BD" w:rsidRPr="00B75FD7" w:rsidRDefault="005C57BD" w:rsidP="001B3967">
            <w:pPr>
              <w:autoSpaceDE w:val="0"/>
              <w:autoSpaceDN w:val="0"/>
              <w:adjustRightInd w:val="0"/>
              <w:rPr>
                <w:rFonts w:eastAsia="Calibri"/>
                <w:sz w:val="22"/>
              </w:rPr>
            </w:pPr>
            <w:r w:rsidRPr="00B75FD7">
              <w:rPr>
                <w:rFonts w:eastAsia="Calibri"/>
                <w:sz w:val="22"/>
              </w:rPr>
              <w:t xml:space="preserve">огорожа: </w:t>
            </w:r>
          </w:p>
          <w:p w:rsidR="005C57BD" w:rsidRPr="00B75FD7" w:rsidRDefault="005C57BD" w:rsidP="001B3967">
            <w:pPr>
              <w:autoSpaceDE w:val="0"/>
              <w:autoSpaceDN w:val="0"/>
              <w:adjustRightInd w:val="0"/>
              <w:rPr>
                <w:rFonts w:eastAsia="Calibri"/>
                <w:sz w:val="22"/>
              </w:rPr>
            </w:pPr>
            <w:r w:rsidRPr="00B75FD7">
              <w:rPr>
                <w:rFonts w:eastAsia="Calibri"/>
                <w:sz w:val="22"/>
              </w:rPr>
              <w:t xml:space="preserve">ворота </w:t>
            </w:r>
          </w:p>
          <w:p w:rsidR="005C57BD" w:rsidRPr="00B75FD7" w:rsidRDefault="005C57BD" w:rsidP="001B3967">
            <w:pPr>
              <w:autoSpaceDE w:val="0"/>
              <w:autoSpaceDN w:val="0"/>
              <w:adjustRightInd w:val="0"/>
              <w:rPr>
                <w:rFonts w:eastAsia="Calibri"/>
                <w:sz w:val="22"/>
              </w:rPr>
            </w:pPr>
            <w:r w:rsidRPr="00B75FD7">
              <w:rPr>
                <w:rFonts w:eastAsia="Calibri"/>
                <w:sz w:val="22"/>
              </w:rPr>
              <w:t xml:space="preserve">хвіртка </w:t>
            </w:r>
          </w:p>
        </w:tc>
        <w:tc>
          <w:tcPr>
            <w:tcW w:w="16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rPr>
                <w:rFonts w:eastAsia="Calibri"/>
                <w:color w:val="000000"/>
                <w:sz w:val="22"/>
              </w:rPr>
            </w:pPr>
            <w:proofErr w:type="spellStart"/>
            <w:r w:rsidRPr="00B75FD7">
              <w:rPr>
                <w:rFonts w:eastAsia="Calibri"/>
                <w:color w:val="000000"/>
                <w:sz w:val="22"/>
              </w:rPr>
              <w:t>п.м</w:t>
            </w:r>
            <w:proofErr w:type="spellEnd"/>
          </w:p>
          <w:p w:rsidR="005C57BD" w:rsidRPr="00B75FD7" w:rsidRDefault="005C57BD" w:rsidP="001B3967">
            <w:pPr>
              <w:rPr>
                <w:sz w:val="22"/>
              </w:rPr>
            </w:pPr>
            <w:r w:rsidRPr="00B75FD7">
              <w:rPr>
                <w:sz w:val="22"/>
              </w:rPr>
              <w:t>одиниць</w:t>
            </w:r>
          </w:p>
          <w:p w:rsidR="005C57BD" w:rsidRPr="00B75FD7" w:rsidRDefault="005C57BD" w:rsidP="001B3967">
            <w:pPr>
              <w:rPr>
                <w:rFonts w:eastAsia="Calibri"/>
                <w:sz w:val="22"/>
              </w:rPr>
            </w:pPr>
            <w:r w:rsidRPr="00B75FD7">
              <w:rPr>
                <w:sz w:val="22"/>
              </w:rPr>
              <w:t>одиниць</w:t>
            </w:r>
          </w:p>
        </w:tc>
        <w:tc>
          <w:tcPr>
            <w:tcW w:w="1365" w:type="dxa"/>
            <w:tcBorders>
              <w:top w:val="single" w:sz="4" w:space="0" w:color="auto"/>
              <w:left w:val="single" w:sz="4" w:space="0" w:color="auto"/>
              <w:bottom w:val="single" w:sz="4" w:space="0" w:color="auto"/>
            </w:tcBorders>
            <w:shd w:val="clear" w:color="auto" w:fill="auto"/>
          </w:tcPr>
          <w:p w:rsidR="005C57BD" w:rsidRPr="00B75FD7" w:rsidRDefault="005C57BD" w:rsidP="001B3967">
            <w:pPr>
              <w:contextualSpacing/>
              <w:rPr>
                <w:rFonts w:eastAsia="Calibri"/>
                <w:sz w:val="22"/>
                <w:lang w:val="en-US"/>
              </w:rPr>
            </w:pPr>
            <w:r w:rsidRPr="00B75FD7">
              <w:rPr>
                <w:rFonts w:eastAsia="Calibri"/>
                <w:color w:val="000000"/>
                <w:sz w:val="22"/>
              </w:rPr>
              <w:t>353</w:t>
            </w:r>
            <w:r w:rsidRPr="00B75FD7">
              <w:rPr>
                <w:rFonts w:eastAsia="Calibri"/>
                <w:sz w:val="22"/>
                <w:lang w:val="en-US"/>
              </w:rPr>
              <w:t xml:space="preserve"> </w:t>
            </w:r>
          </w:p>
          <w:p w:rsidR="005C57BD" w:rsidRPr="00B75FD7" w:rsidRDefault="005C57BD" w:rsidP="001B3967">
            <w:pPr>
              <w:contextualSpacing/>
              <w:rPr>
                <w:rFonts w:eastAsia="Calibri"/>
                <w:sz w:val="22"/>
                <w:lang w:val="en-US"/>
              </w:rPr>
            </w:pPr>
            <w:r w:rsidRPr="00B75FD7">
              <w:rPr>
                <w:rFonts w:eastAsia="Calibri"/>
                <w:sz w:val="22"/>
              </w:rPr>
              <w:t>2 (</w:t>
            </w:r>
            <w:r w:rsidRPr="00B75FD7">
              <w:rPr>
                <w:rFonts w:eastAsia="Calibri"/>
                <w:sz w:val="22"/>
                <w:lang w:val="en-US"/>
              </w:rPr>
              <w:t>h=</w:t>
            </w:r>
            <w:r w:rsidRPr="00B75FD7">
              <w:rPr>
                <w:rFonts w:eastAsia="Calibri"/>
                <w:sz w:val="22"/>
              </w:rPr>
              <w:t>1.95)</w:t>
            </w:r>
          </w:p>
          <w:p w:rsidR="005C57BD" w:rsidRPr="00B75FD7" w:rsidRDefault="005C57BD" w:rsidP="001B3967">
            <w:pPr>
              <w:contextualSpacing/>
              <w:rPr>
                <w:sz w:val="22"/>
              </w:rPr>
            </w:pPr>
            <w:r w:rsidRPr="00B75FD7">
              <w:rPr>
                <w:rFonts w:eastAsia="Calibri"/>
                <w:sz w:val="22"/>
              </w:rPr>
              <w:t>2 (</w:t>
            </w:r>
            <w:r w:rsidRPr="00B75FD7">
              <w:rPr>
                <w:rFonts w:eastAsia="Calibri"/>
                <w:sz w:val="22"/>
                <w:lang w:val="en-US"/>
              </w:rPr>
              <w:t>h=</w:t>
            </w:r>
            <w:r w:rsidRPr="00B75FD7">
              <w:rPr>
                <w:rFonts w:eastAsia="Calibri"/>
                <w:sz w:val="22"/>
              </w:rPr>
              <w:t>1.65)</w:t>
            </w:r>
          </w:p>
        </w:tc>
      </w:tr>
      <w:tr w:rsidR="005C57BD" w:rsidRPr="00B75FD7" w:rsidTr="00297BFF">
        <w:trPr>
          <w:trHeight w:val="351"/>
          <w:jc w:val="center"/>
        </w:trPr>
        <w:tc>
          <w:tcPr>
            <w:tcW w:w="2810" w:type="dxa"/>
            <w:vMerge/>
            <w:shd w:val="clear" w:color="auto" w:fill="C6D9F1" w:themeFill="text2" w:themeFillTint="33"/>
          </w:tcPr>
          <w:p w:rsidR="005C57BD" w:rsidRPr="00B75FD7" w:rsidRDefault="005C57BD" w:rsidP="001B3967">
            <w:pPr>
              <w:contextualSpacing/>
              <w:rPr>
                <w:b/>
                <w:sz w:val="22"/>
              </w:rPr>
            </w:pPr>
          </w:p>
        </w:tc>
        <w:tc>
          <w:tcPr>
            <w:tcW w:w="4110" w:type="dxa"/>
            <w:gridSpan w:val="4"/>
            <w:tcBorders>
              <w:top w:val="single" w:sz="4" w:space="0" w:color="auto"/>
              <w:bottom w:val="single" w:sz="4" w:space="0" w:color="auto"/>
              <w:right w:val="single" w:sz="4" w:space="0" w:color="auto"/>
            </w:tcBorders>
            <w:shd w:val="clear" w:color="auto" w:fill="auto"/>
          </w:tcPr>
          <w:p w:rsidR="005C57BD" w:rsidRPr="00B75FD7" w:rsidRDefault="005C57BD" w:rsidP="001B3967">
            <w:pPr>
              <w:autoSpaceDE w:val="0"/>
              <w:autoSpaceDN w:val="0"/>
              <w:adjustRightInd w:val="0"/>
              <w:rPr>
                <w:rFonts w:eastAsia="Calibri"/>
                <w:sz w:val="22"/>
              </w:rPr>
            </w:pPr>
            <w:r w:rsidRPr="00B75FD7">
              <w:rPr>
                <w:rFonts w:eastAsia="Calibri"/>
                <w:sz w:val="22"/>
              </w:rPr>
              <w:t xml:space="preserve">світильники вуличного освітлення; </w:t>
            </w:r>
          </w:p>
        </w:tc>
        <w:tc>
          <w:tcPr>
            <w:tcW w:w="1687" w:type="dxa"/>
            <w:gridSpan w:val="2"/>
            <w:tcBorders>
              <w:top w:val="single" w:sz="4" w:space="0" w:color="auto"/>
              <w:left w:val="single" w:sz="4" w:space="0" w:color="auto"/>
              <w:bottom w:val="single" w:sz="4" w:space="0" w:color="auto"/>
              <w:right w:val="single" w:sz="4" w:space="0" w:color="auto"/>
            </w:tcBorders>
            <w:shd w:val="clear" w:color="auto" w:fill="auto"/>
          </w:tcPr>
          <w:p w:rsidR="005C57BD" w:rsidRPr="00B75FD7" w:rsidRDefault="005C57BD" w:rsidP="001B3967">
            <w:pPr>
              <w:rPr>
                <w:rFonts w:eastAsia="Calibri"/>
                <w:sz w:val="22"/>
              </w:rPr>
            </w:pPr>
            <w:r w:rsidRPr="00B75FD7">
              <w:rPr>
                <w:sz w:val="22"/>
              </w:rPr>
              <w:t>одиниць</w:t>
            </w:r>
          </w:p>
        </w:tc>
        <w:tc>
          <w:tcPr>
            <w:tcW w:w="1365" w:type="dxa"/>
            <w:tcBorders>
              <w:top w:val="single" w:sz="4" w:space="0" w:color="auto"/>
              <w:left w:val="single" w:sz="4" w:space="0" w:color="auto"/>
              <w:bottom w:val="single" w:sz="4" w:space="0" w:color="auto"/>
            </w:tcBorders>
            <w:shd w:val="clear" w:color="auto" w:fill="auto"/>
          </w:tcPr>
          <w:p w:rsidR="005C57BD" w:rsidRPr="00B75FD7" w:rsidRDefault="005C57BD" w:rsidP="001B3967">
            <w:pPr>
              <w:contextualSpacing/>
              <w:rPr>
                <w:rFonts w:eastAsia="Calibri"/>
                <w:sz w:val="22"/>
              </w:rPr>
            </w:pPr>
            <w:r w:rsidRPr="00B75FD7">
              <w:rPr>
                <w:rFonts w:eastAsia="Calibri"/>
                <w:sz w:val="22"/>
              </w:rPr>
              <w:t>16</w:t>
            </w:r>
          </w:p>
        </w:tc>
      </w:tr>
      <w:tr w:rsidR="005C57BD" w:rsidRPr="00B75FD7" w:rsidTr="00297BFF">
        <w:trPr>
          <w:trHeight w:val="319"/>
          <w:jc w:val="center"/>
        </w:trPr>
        <w:tc>
          <w:tcPr>
            <w:tcW w:w="2810" w:type="dxa"/>
            <w:vMerge/>
            <w:shd w:val="clear" w:color="auto" w:fill="C6D9F1" w:themeFill="text2" w:themeFillTint="33"/>
          </w:tcPr>
          <w:p w:rsidR="005C57BD" w:rsidRPr="00B75FD7" w:rsidRDefault="005C57BD" w:rsidP="001B3967">
            <w:pPr>
              <w:contextualSpacing/>
              <w:rPr>
                <w:b/>
                <w:sz w:val="22"/>
              </w:rPr>
            </w:pPr>
          </w:p>
        </w:tc>
        <w:tc>
          <w:tcPr>
            <w:tcW w:w="4110" w:type="dxa"/>
            <w:gridSpan w:val="4"/>
            <w:tcBorders>
              <w:top w:val="single" w:sz="4" w:space="0" w:color="auto"/>
              <w:bottom w:val="single" w:sz="4" w:space="0" w:color="auto"/>
              <w:right w:val="single" w:sz="4" w:space="0" w:color="auto"/>
            </w:tcBorders>
            <w:shd w:val="clear" w:color="auto" w:fill="auto"/>
          </w:tcPr>
          <w:p w:rsidR="005C57BD" w:rsidRPr="00B75FD7" w:rsidRDefault="005C57BD" w:rsidP="001B3967">
            <w:pPr>
              <w:autoSpaceDE w:val="0"/>
              <w:autoSpaceDN w:val="0"/>
              <w:adjustRightInd w:val="0"/>
              <w:rPr>
                <w:rFonts w:eastAsia="Calibri"/>
                <w:sz w:val="22"/>
              </w:rPr>
            </w:pPr>
            <w:r w:rsidRPr="00B75FD7">
              <w:rPr>
                <w:rFonts w:eastAsia="Calibri"/>
                <w:sz w:val="22"/>
              </w:rPr>
              <w:t xml:space="preserve">лави;  </w:t>
            </w:r>
          </w:p>
        </w:tc>
        <w:tc>
          <w:tcPr>
            <w:tcW w:w="16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rPr>
                <w:rFonts w:eastAsia="Calibri"/>
                <w:sz w:val="22"/>
              </w:rPr>
            </w:pPr>
            <w:r w:rsidRPr="00B75FD7">
              <w:rPr>
                <w:sz w:val="22"/>
              </w:rPr>
              <w:t>одиниць</w:t>
            </w:r>
          </w:p>
        </w:tc>
        <w:tc>
          <w:tcPr>
            <w:tcW w:w="1365" w:type="dxa"/>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contextualSpacing/>
              <w:rPr>
                <w:sz w:val="22"/>
              </w:rPr>
            </w:pPr>
            <w:r w:rsidRPr="00B75FD7">
              <w:rPr>
                <w:rFonts w:eastAsia="Calibri"/>
                <w:sz w:val="22"/>
              </w:rPr>
              <w:t>16</w:t>
            </w:r>
          </w:p>
        </w:tc>
      </w:tr>
      <w:tr w:rsidR="005C57BD" w:rsidRPr="00B75FD7" w:rsidTr="00297BFF">
        <w:trPr>
          <w:trHeight w:val="299"/>
          <w:jc w:val="center"/>
        </w:trPr>
        <w:tc>
          <w:tcPr>
            <w:tcW w:w="2810" w:type="dxa"/>
            <w:vMerge/>
            <w:shd w:val="clear" w:color="auto" w:fill="C6D9F1" w:themeFill="text2" w:themeFillTint="33"/>
          </w:tcPr>
          <w:p w:rsidR="005C57BD" w:rsidRPr="00B75FD7" w:rsidRDefault="005C57BD" w:rsidP="001B3967">
            <w:pPr>
              <w:contextualSpacing/>
              <w:rPr>
                <w:b/>
                <w:sz w:val="22"/>
              </w:rPr>
            </w:pPr>
          </w:p>
        </w:tc>
        <w:tc>
          <w:tcPr>
            <w:tcW w:w="4110" w:type="dxa"/>
            <w:gridSpan w:val="4"/>
            <w:tcBorders>
              <w:top w:val="single" w:sz="4" w:space="0" w:color="auto"/>
              <w:bottom w:val="single" w:sz="4" w:space="0" w:color="auto"/>
              <w:right w:val="single" w:sz="4" w:space="0" w:color="auto"/>
            </w:tcBorders>
            <w:shd w:val="clear" w:color="auto" w:fill="auto"/>
          </w:tcPr>
          <w:p w:rsidR="005C57BD" w:rsidRPr="00B75FD7" w:rsidRDefault="005C57BD" w:rsidP="001B3967">
            <w:pPr>
              <w:autoSpaceDE w:val="0"/>
              <w:autoSpaceDN w:val="0"/>
              <w:adjustRightInd w:val="0"/>
              <w:rPr>
                <w:rFonts w:eastAsia="Calibri"/>
                <w:sz w:val="22"/>
              </w:rPr>
            </w:pPr>
            <w:r w:rsidRPr="00B75FD7">
              <w:rPr>
                <w:rFonts w:eastAsia="Calibri"/>
                <w:sz w:val="22"/>
              </w:rPr>
              <w:t>столи;</w:t>
            </w:r>
          </w:p>
        </w:tc>
        <w:tc>
          <w:tcPr>
            <w:tcW w:w="16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rPr>
                <w:rFonts w:eastAsia="Calibri"/>
                <w:sz w:val="22"/>
              </w:rPr>
            </w:pPr>
            <w:r w:rsidRPr="00B75FD7">
              <w:rPr>
                <w:sz w:val="22"/>
              </w:rPr>
              <w:t>одиниць</w:t>
            </w:r>
          </w:p>
        </w:tc>
        <w:tc>
          <w:tcPr>
            <w:tcW w:w="1365" w:type="dxa"/>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contextualSpacing/>
              <w:rPr>
                <w:sz w:val="22"/>
              </w:rPr>
            </w:pPr>
            <w:r w:rsidRPr="00B75FD7">
              <w:rPr>
                <w:rFonts w:eastAsia="Calibri"/>
                <w:sz w:val="22"/>
              </w:rPr>
              <w:t>13</w:t>
            </w:r>
          </w:p>
        </w:tc>
      </w:tr>
      <w:tr w:rsidR="005C57BD" w:rsidRPr="00B75FD7" w:rsidTr="00297BFF">
        <w:trPr>
          <w:trHeight w:val="184"/>
          <w:jc w:val="center"/>
        </w:trPr>
        <w:tc>
          <w:tcPr>
            <w:tcW w:w="2810" w:type="dxa"/>
            <w:vMerge/>
            <w:shd w:val="clear" w:color="auto" w:fill="C6D9F1" w:themeFill="text2" w:themeFillTint="33"/>
          </w:tcPr>
          <w:p w:rsidR="005C57BD" w:rsidRPr="00B75FD7" w:rsidRDefault="005C57BD" w:rsidP="001B3967">
            <w:pPr>
              <w:contextualSpacing/>
              <w:rPr>
                <w:b/>
                <w:sz w:val="22"/>
              </w:rPr>
            </w:pPr>
          </w:p>
        </w:tc>
        <w:tc>
          <w:tcPr>
            <w:tcW w:w="4110" w:type="dxa"/>
            <w:gridSpan w:val="4"/>
            <w:tcBorders>
              <w:top w:val="single" w:sz="6" w:space="0" w:color="auto"/>
              <w:left w:val="single" w:sz="6" w:space="0" w:color="auto"/>
              <w:bottom w:val="single" w:sz="6" w:space="0" w:color="auto"/>
              <w:right w:val="single" w:sz="6" w:space="0" w:color="auto"/>
            </w:tcBorders>
          </w:tcPr>
          <w:p w:rsidR="005C57BD" w:rsidRPr="00B75FD7" w:rsidRDefault="005C57BD" w:rsidP="001B3967">
            <w:pPr>
              <w:contextualSpacing/>
              <w:rPr>
                <w:sz w:val="22"/>
              </w:rPr>
            </w:pPr>
            <w:r w:rsidRPr="00B75FD7">
              <w:rPr>
                <w:rFonts w:eastAsia="Calibri"/>
                <w:sz w:val="22"/>
              </w:rPr>
              <w:t>озеленення.</w:t>
            </w:r>
          </w:p>
        </w:tc>
        <w:tc>
          <w:tcPr>
            <w:tcW w:w="1687" w:type="dxa"/>
            <w:gridSpan w:val="2"/>
            <w:tcBorders>
              <w:top w:val="single" w:sz="6" w:space="0" w:color="auto"/>
              <w:left w:val="single" w:sz="6" w:space="0" w:color="auto"/>
              <w:bottom w:val="single" w:sz="6" w:space="0" w:color="auto"/>
              <w:right w:val="single" w:sz="6" w:space="0" w:color="auto"/>
            </w:tcBorders>
          </w:tcPr>
          <w:p w:rsidR="005C57BD" w:rsidRPr="00B75FD7" w:rsidRDefault="005C57BD" w:rsidP="001B3967">
            <w:pPr>
              <w:contextualSpacing/>
              <w:rPr>
                <w:color w:val="FF0000"/>
                <w:sz w:val="22"/>
              </w:rPr>
            </w:pPr>
            <w:proofErr w:type="spellStart"/>
            <w:r w:rsidRPr="00B75FD7">
              <w:rPr>
                <w:rFonts w:eastAsia="Calibri"/>
                <w:sz w:val="22"/>
              </w:rPr>
              <w:t>кв.м</w:t>
            </w:r>
            <w:proofErr w:type="spellEnd"/>
            <w:r w:rsidRPr="00B75FD7">
              <w:rPr>
                <w:rFonts w:eastAsia="Calibri"/>
                <w:sz w:val="22"/>
              </w:rPr>
              <w:t>.</w:t>
            </w:r>
          </w:p>
        </w:tc>
        <w:tc>
          <w:tcPr>
            <w:tcW w:w="1365" w:type="dxa"/>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contextualSpacing/>
              <w:rPr>
                <w:color w:val="FF0000"/>
                <w:sz w:val="22"/>
              </w:rPr>
            </w:pPr>
            <w:r w:rsidRPr="00B75FD7">
              <w:rPr>
                <w:rFonts w:eastAsia="Calibri"/>
                <w:sz w:val="22"/>
              </w:rPr>
              <w:t>520</w:t>
            </w:r>
          </w:p>
        </w:tc>
      </w:tr>
      <w:tr w:rsidR="005C57BD" w:rsidRPr="00B75FD7" w:rsidTr="00297BFF">
        <w:trPr>
          <w:jc w:val="center"/>
        </w:trPr>
        <w:tc>
          <w:tcPr>
            <w:tcW w:w="2810" w:type="dxa"/>
            <w:shd w:val="clear" w:color="auto" w:fill="C6D9F1" w:themeFill="text2" w:themeFillTint="33"/>
          </w:tcPr>
          <w:p w:rsidR="005C57BD" w:rsidRPr="00B75FD7" w:rsidRDefault="005C57BD" w:rsidP="001B3967">
            <w:pPr>
              <w:rPr>
                <w:b/>
                <w:sz w:val="22"/>
              </w:rPr>
            </w:pPr>
            <w:r w:rsidRPr="00B75FD7">
              <w:rPr>
                <w:b/>
                <w:sz w:val="22"/>
              </w:rPr>
              <w:t xml:space="preserve">Ключові заходи проекту: </w:t>
            </w:r>
          </w:p>
          <w:p w:rsidR="005C57BD" w:rsidRPr="00B75FD7" w:rsidRDefault="005C57BD" w:rsidP="001B3967">
            <w:pPr>
              <w:contextualSpacing/>
              <w:rPr>
                <w:b/>
                <w:sz w:val="22"/>
              </w:rPr>
            </w:pPr>
          </w:p>
        </w:tc>
        <w:tc>
          <w:tcPr>
            <w:tcW w:w="7162" w:type="dxa"/>
            <w:gridSpan w:val="7"/>
            <w:shd w:val="clear" w:color="auto" w:fill="auto"/>
          </w:tcPr>
          <w:p w:rsidR="005C57BD" w:rsidRPr="00B75FD7" w:rsidRDefault="005C57BD" w:rsidP="000303D7">
            <w:pPr>
              <w:numPr>
                <w:ilvl w:val="0"/>
                <w:numId w:val="79"/>
              </w:numPr>
              <w:autoSpaceDE w:val="0"/>
              <w:autoSpaceDN w:val="0"/>
              <w:adjustRightInd w:val="0"/>
              <w:rPr>
                <w:rFonts w:eastAsia="Calibri"/>
                <w:color w:val="000000"/>
                <w:sz w:val="22"/>
              </w:rPr>
            </w:pPr>
            <w:r w:rsidRPr="00B75FD7">
              <w:rPr>
                <w:rFonts w:eastAsia="Calibri"/>
                <w:color w:val="000000"/>
                <w:sz w:val="22"/>
              </w:rPr>
              <w:t xml:space="preserve">Обстеження території.  </w:t>
            </w:r>
          </w:p>
          <w:p w:rsidR="005C57BD" w:rsidRPr="00B75FD7" w:rsidRDefault="005C57BD" w:rsidP="000303D7">
            <w:pPr>
              <w:numPr>
                <w:ilvl w:val="0"/>
                <w:numId w:val="79"/>
              </w:numPr>
              <w:autoSpaceDE w:val="0"/>
              <w:autoSpaceDN w:val="0"/>
              <w:adjustRightInd w:val="0"/>
              <w:rPr>
                <w:rFonts w:eastAsia="Calibri"/>
                <w:color w:val="000000"/>
                <w:sz w:val="22"/>
              </w:rPr>
            </w:pPr>
            <w:r w:rsidRPr="00B75FD7">
              <w:rPr>
                <w:rFonts w:eastAsia="Calibri"/>
                <w:color w:val="000000"/>
                <w:sz w:val="22"/>
              </w:rPr>
              <w:t>Проведення інвентаризації.</w:t>
            </w:r>
          </w:p>
          <w:p w:rsidR="005C57BD" w:rsidRPr="00B75FD7" w:rsidRDefault="005C57BD" w:rsidP="000303D7">
            <w:pPr>
              <w:numPr>
                <w:ilvl w:val="0"/>
                <w:numId w:val="79"/>
              </w:numPr>
              <w:autoSpaceDE w:val="0"/>
              <w:autoSpaceDN w:val="0"/>
              <w:adjustRightInd w:val="0"/>
              <w:rPr>
                <w:rFonts w:eastAsia="Calibri"/>
                <w:color w:val="000000"/>
                <w:sz w:val="22"/>
              </w:rPr>
            </w:pPr>
            <w:r w:rsidRPr="00B75FD7">
              <w:rPr>
                <w:rFonts w:eastAsia="Calibri"/>
                <w:color w:val="000000"/>
                <w:sz w:val="22"/>
              </w:rPr>
              <w:t xml:space="preserve">Розробка </w:t>
            </w:r>
            <w:proofErr w:type="spellStart"/>
            <w:r w:rsidRPr="00B75FD7">
              <w:rPr>
                <w:rFonts w:eastAsia="Calibri"/>
                <w:color w:val="000000"/>
                <w:sz w:val="22"/>
              </w:rPr>
              <w:t>проєктно</w:t>
            </w:r>
            <w:proofErr w:type="spellEnd"/>
            <w:r w:rsidRPr="00B75FD7">
              <w:rPr>
                <w:rFonts w:eastAsia="Calibri"/>
                <w:color w:val="000000"/>
                <w:sz w:val="22"/>
              </w:rPr>
              <w:t>-кошторисної документації.</w:t>
            </w:r>
          </w:p>
          <w:p w:rsidR="005C57BD" w:rsidRPr="00B75FD7" w:rsidRDefault="005C57BD" w:rsidP="000303D7">
            <w:pPr>
              <w:numPr>
                <w:ilvl w:val="0"/>
                <w:numId w:val="79"/>
              </w:numPr>
              <w:autoSpaceDE w:val="0"/>
              <w:autoSpaceDN w:val="0"/>
              <w:adjustRightInd w:val="0"/>
              <w:rPr>
                <w:rFonts w:eastAsia="Calibri"/>
                <w:color w:val="000000"/>
                <w:sz w:val="22"/>
              </w:rPr>
            </w:pPr>
            <w:r w:rsidRPr="00B75FD7">
              <w:rPr>
                <w:rFonts w:eastAsia="Calibri"/>
                <w:color w:val="000000"/>
                <w:sz w:val="22"/>
              </w:rPr>
              <w:t xml:space="preserve">Встановлення альтанок.                 </w:t>
            </w:r>
          </w:p>
          <w:p w:rsidR="005C57BD" w:rsidRPr="00B75FD7" w:rsidRDefault="005C57BD" w:rsidP="000303D7">
            <w:pPr>
              <w:numPr>
                <w:ilvl w:val="0"/>
                <w:numId w:val="79"/>
              </w:numPr>
              <w:autoSpaceDE w:val="0"/>
              <w:autoSpaceDN w:val="0"/>
              <w:adjustRightInd w:val="0"/>
              <w:rPr>
                <w:rFonts w:eastAsia="Calibri"/>
                <w:color w:val="000000"/>
                <w:sz w:val="22"/>
              </w:rPr>
            </w:pPr>
            <w:r w:rsidRPr="00B75FD7">
              <w:rPr>
                <w:rFonts w:eastAsia="Calibri"/>
                <w:color w:val="000000"/>
                <w:sz w:val="22"/>
              </w:rPr>
              <w:t xml:space="preserve">Встановлення спортивних комплексів. </w:t>
            </w:r>
          </w:p>
          <w:p w:rsidR="005C57BD" w:rsidRPr="00B75FD7" w:rsidRDefault="005C57BD" w:rsidP="000303D7">
            <w:pPr>
              <w:numPr>
                <w:ilvl w:val="0"/>
                <w:numId w:val="79"/>
              </w:numPr>
              <w:autoSpaceDE w:val="0"/>
              <w:autoSpaceDN w:val="0"/>
              <w:adjustRightInd w:val="0"/>
              <w:rPr>
                <w:rFonts w:eastAsia="Calibri"/>
                <w:color w:val="000000"/>
                <w:sz w:val="22"/>
              </w:rPr>
            </w:pPr>
            <w:r w:rsidRPr="00B75FD7">
              <w:rPr>
                <w:rFonts w:eastAsia="Calibri"/>
                <w:color w:val="000000"/>
                <w:sz w:val="22"/>
              </w:rPr>
              <w:t xml:space="preserve">Відновлення асфальтного покриття та бетонних плит. </w:t>
            </w:r>
          </w:p>
          <w:p w:rsidR="005C57BD" w:rsidRPr="00B75FD7" w:rsidRDefault="005C57BD" w:rsidP="000303D7">
            <w:pPr>
              <w:numPr>
                <w:ilvl w:val="0"/>
                <w:numId w:val="79"/>
              </w:numPr>
              <w:autoSpaceDE w:val="0"/>
              <w:autoSpaceDN w:val="0"/>
              <w:adjustRightInd w:val="0"/>
              <w:rPr>
                <w:rFonts w:eastAsia="Calibri"/>
                <w:color w:val="000000"/>
                <w:sz w:val="22"/>
              </w:rPr>
            </w:pPr>
            <w:r w:rsidRPr="00B75FD7">
              <w:rPr>
                <w:rFonts w:eastAsia="Calibri"/>
                <w:color w:val="000000"/>
                <w:sz w:val="22"/>
              </w:rPr>
              <w:t xml:space="preserve">Відновлення вуличного освітлення.  </w:t>
            </w:r>
          </w:p>
          <w:p w:rsidR="005C57BD" w:rsidRPr="00B75FD7" w:rsidRDefault="005C57BD" w:rsidP="000303D7">
            <w:pPr>
              <w:numPr>
                <w:ilvl w:val="0"/>
                <w:numId w:val="79"/>
              </w:numPr>
              <w:autoSpaceDE w:val="0"/>
              <w:autoSpaceDN w:val="0"/>
              <w:adjustRightInd w:val="0"/>
              <w:rPr>
                <w:rFonts w:eastAsia="Calibri"/>
                <w:color w:val="000000"/>
                <w:sz w:val="22"/>
              </w:rPr>
            </w:pPr>
            <w:r w:rsidRPr="00B75FD7">
              <w:rPr>
                <w:rFonts w:eastAsia="Calibri"/>
                <w:color w:val="000000"/>
                <w:sz w:val="22"/>
              </w:rPr>
              <w:t xml:space="preserve">Встановлення огорожі (ворота, </w:t>
            </w:r>
            <w:proofErr w:type="spellStart"/>
            <w:r w:rsidRPr="00B75FD7">
              <w:rPr>
                <w:rFonts w:eastAsia="Calibri"/>
                <w:color w:val="000000"/>
                <w:sz w:val="22"/>
              </w:rPr>
              <w:t>хвітрка</w:t>
            </w:r>
            <w:proofErr w:type="spellEnd"/>
            <w:r w:rsidRPr="00B75FD7">
              <w:rPr>
                <w:rFonts w:eastAsia="Calibri"/>
                <w:color w:val="000000"/>
                <w:sz w:val="22"/>
              </w:rPr>
              <w:t xml:space="preserve">)    </w:t>
            </w:r>
          </w:p>
          <w:p w:rsidR="005C57BD" w:rsidRPr="00B75FD7" w:rsidRDefault="005C57BD" w:rsidP="000303D7">
            <w:pPr>
              <w:numPr>
                <w:ilvl w:val="0"/>
                <w:numId w:val="79"/>
              </w:numPr>
              <w:autoSpaceDE w:val="0"/>
              <w:autoSpaceDN w:val="0"/>
              <w:adjustRightInd w:val="0"/>
              <w:rPr>
                <w:rFonts w:eastAsia="Calibri"/>
                <w:color w:val="000000"/>
                <w:sz w:val="22"/>
              </w:rPr>
            </w:pPr>
            <w:r w:rsidRPr="00B75FD7">
              <w:rPr>
                <w:rFonts w:eastAsia="Calibri"/>
                <w:color w:val="000000"/>
                <w:sz w:val="22"/>
              </w:rPr>
              <w:t xml:space="preserve">Встановлення лав.   </w:t>
            </w:r>
          </w:p>
          <w:p w:rsidR="005C57BD" w:rsidRPr="00B75FD7" w:rsidRDefault="005C57BD" w:rsidP="000303D7">
            <w:pPr>
              <w:numPr>
                <w:ilvl w:val="0"/>
                <w:numId w:val="79"/>
              </w:numPr>
              <w:autoSpaceDE w:val="0"/>
              <w:autoSpaceDN w:val="0"/>
              <w:adjustRightInd w:val="0"/>
              <w:rPr>
                <w:rFonts w:eastAsia="Calibri"/>
                <w:color w:val="000000"/>
                <w:sz w:val="22"/>
              </w:rPr>
            </w:pPr>
            <w:r w:rsidRPr="00B75FD7">
              <w:rPr>
                <w:rFonts w:eastAsia="Calibri"/>
                <w:color w:val="000000"/>
                <w:sz w:val="22"/>
              </w:rPr>
              <w:t xml:space="preserve">Встановлення столів.       </w:t>
            </w:r>
          </w:p>
          <w:p w:rsidR="005C57BD" w:rsidRPr="00B75FD7" w:rsidRDefault="005C57BD" w:rsidP="000303D7">
            <w:pPr>
              <w:numPr>
                <w:ilvl w:val="0"/>
                <w:numId w:val="79"/>
              </w:numPr>
              <w:autoSpaceDE w:val="0"/>
              <w:autoSpaceDN w:val="0"/>
              <w:adjustRightInd w:val="0"/>
              <w:rPr>
                <w:rFonts w:eastAsia="Calibri"/>
                <w:color w:val="000000"/>
                <w:sz w:val="22"/>
              </w:rPr>
            </w:pPr>
            <w:r w:rsidRPr="00B75FD7">
              <w:rPr>
                <w:rFonts w:eastAsia="Calibri"/>
                <w:color w:val="000000"/>
                <w:sz w:val="22"/>
              </w:rPr>
              <w:t xml:space="preserve">Озеленення території              </w:t>
            </w:r>
          </w:p>
        </w:tc>
      </w:tr>
      <w:tr w:rsidR="005C57BD" w:rsidRPr="00B75FD7" w:rsidTr="00297BFF">
        <w:trPr>
          <w:trHeight w:val="360"/>
          <w:jc w:val="center"/>
        </w:trPr>
        <w:tc>
          <w:tcPr>
            <w:tcW w:w="2810" w:type="dxa"/>
            <w:vMerge w:val="restart"/>
            <w:shd w:val="clear" w:color="auto" w:fill="C6D9F1" w:themeFill="text2" w:themeFillTint="33"/>
          </w:tcPr>
          <w:p w:rsidR="005C57BD" w:rsidRPr="00B75FD7" w:rsidRDefault="005C57BD" w:rsidP="001B3967">
            <w:pPr>
              <w:contextualSpacing/>
              <w:rPr>
                <w:b/>
                <w:sz w:val="22"/>
              </w:rPr>
            </w:pPr>
            <w:r w:rsidRPr="00B75FD7">
              <w:rPr>
                <w:b/>
                <w:sz w:val="22"/>
              </w:rPr>
              <w:t xml:space="preserve">Орієнтовний обсяг та джерела фінансування, тис. грн. </w:t>
            </w:r>
          </w:p>
          <w:p w:rsidR="005C57BD" w:rsidRPr="00B75FD7" w:rsidRDefault="005C57BD" w:rsidP="001B3967">
            <w:pPr>
              <w:contextualSpacing/>
              <w:rPr>
                <w:b/>
                <w:sz w:val="22"/>
              </w:rPr>
            </w:pPr>
          </w:p>
        </w:tc>
        <w:tc>
          <w:tcPr>
            <w:tcW w:w="1460" w:type="dxa"/>
            <w:tcBorders>
              <w:bottom w:val="single" w:sz="4" w:space="0" w:color="auto"/>
              <w:right w:val="single" w:sz="4" w:space="0" w:color="auto"/>
            </w:tcBorders>
            <w:shd w:val="clear" w:color="auto" w:fill="auto"/>
          </w:tcPr>
          <w:p w:rsidR="005C57BD" w:rsidRPr="00B75FD7" w:rsidRDefault="005C57BD" w:rsidP="001B3967">
            <w:pPr>
              <w:contextualSpacing/>
              <w:jc w:val="center"/>
              <w:rPr>
                <w:b/>
                <w:sz w:val="22"/>
              </w:rPr>
            </w:pPr>
            <w:r w:rsidRPr="00B75FD7">
              <w:rPr>
                <w:b/>
                <w:sz w:val="22"/>
              </w:rPr>
              <w:t>Державний бюджет</w:t>
            </w:r>
          </w:p>
        </w:tc>
        <w:tc>
          <w:tcPr>
            <w:tcW w:w="1346" w:type="dxa"/>
            <w:tcBorders>
              <w:bottom w:val="single" w:sz="4" w:space="0" w:color="auto"/>
              <w:right w:val="single" w:sz="4" w:space="0" w:color="auto"/>
            </w:tcBorders>
            <w:shd w:val="clear" w:color="auto" w:fill="auto"/>
          </w:tcPr>
          <w:p w:rsidR="005C57BD" w:rsidRPr="00B75FD7" w:rsidRDefault="005C57BD" w:rsidP="001B3967">
            <w:pPr>
              <w:contextualSpacing/>
              <w:jc w:val="center"/>
              <w:rPr>
                <w:b/>
                <w:sz w:val="22"/>
              </w:rPr>
            </w:pPr>
            <w:r w:rsidRPr="00B75FD7">
              <w:rPr>
                <w:b/>
                <w:sz w:val="22"/>
              </w:rPr>
              <w:t>Місцевий бюджет</w:t>
            </w:r>
          </w:p>
        </w:tc>
        <w:tc>
          <w:tcPr>
            <w:tcW w:w="2743" w:type="dxa"/>
            <w:gridSpan w:val="3"/>
            <w:tcBorders>
              <w:left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b/>
                <w:sz w:val="22"/>
              </w:rPr>
            </w:pPr>
            <w:r w:rsidRPr="00B75FD7">
              <w:rPr>
                <w:b/>
                <w:sz w:val="22"/>
              </w:rPr>
              <w:t>Інші джерела</w:t>
            </w:r>
          </w:p>
        </w:tc>
        <w:tc>
          <w:tcPr>
            <w:tcW w:w="1613" w:type="dxa"/>
            <w:gridSpan w:val="2"/>
            <w:tcBorders>
              <w:left w:val="single" w:sz="4" w:space="0" w:color="auto"/>
              <w:bottom w:val="single" w:sz="4" w:space="0" w:color="auto"/>
            </w:tcBorders>
            <w:shd w:val="clear" w:color="auto" w:fill="auto"/>
          </w:tcPr>
          <w:p w:rsidR="005C57BD" w:rsidRPr="00B75FD7" w:rsidRDefault="005C57BD" w:rsidP="001B3967">
            <w:pPr>
              <w:contextualSpacing/>
              <w:jc w:val="center"/>
              <w:rPr>
                <w:b/>
                <w:sz w:val="22"/>
              </w:rPr>
            </w:pPr>
            <w:r w:rsidRPr="00B75FD7">
              <w:rPr>
                <w:b/>
                <w:sz w:val="22"/>
              </w:rPr>
              <w:t>Всього</w:t>
            </w:r>
          </w:p>
        </w:tc>
      </w:tr>
      <w:tr w:rsidR="005C57BD" w:rsidRPr="00B75FD7" w:rsidTr="00297BFF">
        <w:trPr>
          <w:trHeight w:val="225"/>
          <w:jc w:val="center"/>
        </w:trPr>
        <w:tc>
          <w:tcPr>
            <w:tcW w:w="2810" w:type="dxa"/>
            <w:vMerge/>
            <w:shd w:val="clear" w:color="auto" w:fill="C6D9F1" w:themeFill="text2" w:themeFillTint="33"/>
          </w:tcPr>
          <w:p w:rsidR="005C57BD" w:rsidRPr="00B75FD7" w:rsidRDefault="005C57BD" w:rsidP="001B3967">
            <w:pPr>
              <w:contextualSpacing/>
              <w:rPr>
                <w:b/>
                <w:sz w:val="22"/>
              </w:rPr>
            </w:pPr>
          </w:p>
        </w:tc>
        <w:tc>
          <w:tcPr>
            <w:tcW w:w="1460" w:type="dxa"/>
            <w:vMerge w:val="restart"/>
            <w:tcBorders>
              <w:top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4 000</w:t>
            </w:r>
          </w:p>
        </w:tc>
        <w:tc>
          <w:tcPr>
            <w:tcW w:w="1346" w:type="dxa"/>
            <w:vMerge w:val="restart"/>
            <w:tcBorders>
              <w:top w:val="single" w:sz="4" w:space="0" w:color="auto"/>
              <w:right w:val="single" w:sz="4" w:space="0" w:color="auto"/>
            </w:tcBorders>
            <w:shd w:val="clear" w:color="auto" w:fill="auto"/>
          </w:tcPr>
          <w:p w:rsidR="005C57BD" w:rsidRPr="00B75FD7" w:rsidRDefault="005C57BD" w:rsidP="001B3967">
            <w:pPr>
              <w:contextualSpacing/>
              <w:jc w:val="center"/>
              <w:rPr>
                <w:b/>
                <w:sz w:val="22"/>
              </w:rPr>
            </w:pPr>
            <w:r w:rsidRPr="00B75FD7">
              <w:rPr>
                <w:b/>
                <w:sz w:val="22"/>
              </w:rPr>
              <w:t>-</w:t>
            </w:r>
          </w:p>
        </w:tc>
        <w:tc>
          <w:tcPr>
            <w:tcW w:w="1173" w:type="dxa"/>
            <w:tcBorders>
              <w:top w:val="single" w:sz="4" w:space="0" w:color="auto"/>
              <w:left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b/>
                <w:sz w:val="22"/>
              </w:rPr>
            </w:pPr>
            <w:r w:rsidRPr="00B75FD7">
              <w:rPr>
                <w:b/>
                <w:sz w:val="22"/>
              </w:rPr>
              <w:t>Обсяг</w:t>
            </w:r>
          </w:p>
        </w:tc>
        <w:tc>
          <w:tcPr>
            <w:tcW w:w="1570" w:type="dxa"/>
            <w:gridSpan w:val="2"/>
            <w:tcBorders>
              <w:top w:val="single" w:sz="4" w:space="0" w:color="auto"/>
              <w:left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b/>
                <w:sz w:val="22"/>
              </w:rPr>
            </w:pPr>
            <w:r w:rsidRPr="00B75FD7">
              <w:rPr>
                <w:b/>
                <w:sz w:val="22"/>
              </w:rPr>
              <w:t>Назва джерела</w:t>
            </w:r>
          </w:p>
        </w:tc>
        <w:tc>
          <w:tcPr>
            <w:tcW w:w="1613" w:type="dxa"/>
            <w:gridSpan w:val="2"/>
            <w:vMerge w:val="restart"/>
            <w:tcBorders>
              <w:top w:val="single" w:sz="4" w:space="0" w:color="auto"/>
              <w:left w:val="single" w:sz="4" w:space="0" w:color="auto"/>
            </w:tcBorders>
            <w:shd w:val="clear" w:color="auto" w:fill="auto"/>
          </w:tcPr>
          <w:p w:rsidR="005C57BD" w:rsidRPr="00B75FD7" w:rsidRDefault="005C57BD" w:rsidP="001B3967">
            <w:pPr>
              <w:contextualSpacing/>
              <w:jc w:val="center"/>
              <w:rPr>
                <w:color w:val="C00000"/>
                <w:sz w:val="22"/>
              </w:rPr>
            </w:pPr>
            <w:r w:rsidRPr="00B75FD7">
              <w:rPr>
                <w:rFonts w:eastAsia="Calibri"/>
                <w:color w:val="000000"/>
                <w:sz w:val="22"/>
              </w:rPr>
              <w:t xml:space="preserve">6 000 </w:t>
            </w:r>
          </w:p>
        </w:tc>
      </w:tr>
      <w:tr w:rsidR="005C57BD" w:rsidRPr="00B75FD7" w:rsidTr="00297BFF">
        <w:trPr>
          <w:trHeight w:val="300"/>
          <w:jc w:val="center"/>
        </w:trPr>
        <w:tc>
          <w:tcPr>
            <w:tcW w:w="2810" w:type="dxa"/>
            <w:vMerge/>
            <w:shd w:val="clear" w:color="auto" w:fill="C6D9F1" w:themeFill="text2" w:themeFillTint="33"/>
          </w:tcPr>
          <w:p w:rsidR="005C57BD" w:rsidRPr="00B75FD7" w:rsidRDefault="005C57BD" w:rsidP="001B3967">
            <w:pPr>
              <w:contextualSpacing/>
              <w:rPr>
                <w:b/>
                <w:sz w:val="22"/>
              </w:rPr>
            </w:pPr>
          </w:p>
        </w:tc>
        <w:tc>
          <w:tcPr>
            <w:tcW w:w="1460" w:type="dxa"/>
            <w:vMerge/>
            <w:tcBorders>
              <w:right w:val="single" w:sz="4" w:space="0" w:color="auto"/>
            </w:tcBorders>
            <w:shd w:val="clear" w:color="auto" w:fill="auto"/>
          </w:tcPr>
          <w:p w:rsidR="005C57BD" w:rsidRPr="00B75FD7" w:rsidRDefault="005C57BD" w:rsidP="001B3967">
            <w:pPr>
              <w:contextualSpacing/>
              <w:jc w:val="center"/>
              <w:rPr>
                <w:sz w:val="22"/>
              </w:rPr>
            </w:pPr>
          </w:p>
        </w:tc>
        <w:tc>
          <w:tcPr>
            <w:tcW w:w="1346" w:type="dxa"/>
            <w:vMerge/>
            <w:tcBorders>
              <w:right w:val="single" w:sz="4" w:space="0" w:color="auto"/>
            </w:tcBorders>
            <w:shd w:val="clear" w:color="auto" w:fill="auto"/>
          </w:tcPr>
          <w:p w:rsidR="005C57BD" w:rsidRPr="00B75FD7" w:rsidRDefault="005C57BD" w:rsidP="001B3967">
            <w:pPr>
              <w:contextualSpacing/>
              <w:jc w:val="center"/>
              <w:rPr>
                <w:b/>
                <w:sz w:val="22"/>
              </w:rPr>
            </w:pPr>
          </w:p>
        </w:tc>
        <w:tc>
          <w:tcPr>
            <w:tcW w:w="1173" w:type="dxa"/>
            <w:tcBorders>
              <w:top w:val="single" w:sz="4" w:space="0" w:color="auto"/>
              <w:left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2 000</w:t>
            </w:r>
          </w:p>
        </w:tc>
        <w:tc>
          <w:tcPr>
            <w:tcW w:w="1570" w:type="dxa"/>
            <w:gridSpan w:val="2"/>
            <w:tcBorders>
              <w:top w:val="single" w:sz="4" w:space="0" w:color="auto"/>
              <w:left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Міжнародні інвестиції</w:t>
            </w:r>
          </w:p>
        </w:tc>
        <w:tc>
          <w:tcPr>
            <w:tcW w:w="1613" w:type="dxa"/>
            <w:gridSpan w:val="2"/>
            <w:vMerge/>
            <w:tcBorders>
              <w:left w:val="single" w:sz="4" w:space="0" w:color="auto"/>
            </w:tcBorders>
            <w:shd w:val="clear" w:color="auto" w:fill="auto"/>
          </w:tcPr>
          <w:p w:rsidR="005C57BD" w:rsidRPr="00B75FD7" w:rsidRDefault="005C57BD" w:rsidP="001B3967">
            <w:pPr>
              <w:contextualSpacing/>
              <w:jc w:val="center"/>
              <w:rPr>
                <w:sz w:val="22"/>
              </w:rPr>
            </w:pPr>
          </w:p>
        </w:tc>
      </w:tr>
    </w:tbl>
    <w:p w:rsidR="005C57BD" w:rsidRPr="00B75FD7" w:rsidRDefault="005C57BD" w:rsidP="00E95FB1">
      <w:pPr>
        <w:rPr>
          <w:sz w:val="22"/>
        </w:rPr>
      </w:pPr>
    </w:p>
    <w:p w:rsidR="005C57BD" w:rsidRPr="00B75FD7" w:rsidRDefault="005C57BD" w:rsidP="00E95FB1">
      <w:pPr>
        <w:rPr>
          <w:sz w:val="22"/>
        </w:rPr>
      </w:pPr>
    </w:p>
    <w:p w:rsidR="005C57BD" w:rsidRPr="00B75FD7" w:rsidRDefault="005C57BD" w:rsidP="00E95FB1">
      <w:pPr>
        <w:rPr>
          <w:sz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6"/>
        <w:gridCol w:w="1440"/>
        <w:gridCol w:w="1333"/>
        <w:gridCol w:w="311"/>
        <w:gridCol w:w="827"/>
        <w:gridCol w:w="1020"/>
        <w:gridCol w:w="458"/>
        <w:gridCol w:w="1451"/>
      </w:tblGrid>
      <w:tr w:rsidR="005C57BD" w:rsidRPr="00B75FD7" w:rsidTr="00297BFF">
        <w:trPr>
          <w:jc w:val="center"/>
        </w:trPr>
        <w:tc>
          <w:tcPr>
            <w:tcW w:w="2925" w:type="dxa"/>
            <w:shd w:val="clear" w:color="auto" w:fill="C6D9F1" w:themeFill="text2" w:themeFillTint="33"/>
          </w:tcPr>
          <w:p w:rsidR="005C57BD" w:rsidRPr="00B75FD7" w:rsidRDefault="005C57BD" w:rsidP="001B3967">
            <w:pPr>
              <w:contextualSpacing/>
              <w:rPr>
                <w:b/>
                <w:sz w:val="22"/>
              </w:rPr>
            </w:pPr>
            <w:r w:rsidRPr="00B75FD7">
              <w:rPr>
                <w:b/>
                <w:sz w:val="22"/>
              </w:rPr>
              <w:t>Оперативна ціль/завдання</w:t>
            </w:r>
          </w:p>
        </w:tc>
        <w:tc>
          <w:tcPr>
            <w:tcW w:w="7105" w:type="dxa"/>
            <w:gridSpan w:val="7"/>
            <w:shd w:val="clear" w:color="auto" w:fill="FFFFFF"/>
          </w:tcPr>
          <w:p w:rsidR="005C57BD" w:rsidRPr="00B75FD7" w:rsidRDefault="005C57BD" w:rsidP="001B3967">
            <w:pPr>
              <w:contextualSpacing/>
              <w:rPr>
                <w:sz w:val="22"/>
              </w:rPr>
            </w:pPr>
            <w:r w:rsidRPr="00B75FD7">
              <w:rPr>
                <w:rFonts w:eastAsia="Arial"/>
                <w:sz w:val="22"/>
              </w:rPr>
              <w:t>Людський розвиток через інновації управління та довіру до влади. Формування сучасного інклюзивного </w:t>
            </w:r>
            <w:proofErr w:type="spellStart"/>
            <w:r w:rsidRPr="00B75FD7">
              <w:rPr>
                <w:rFonts w:eastAsia="Arial"/>
                <w:sz w:val="22"/>
              </w:rPr>
              <w:t>освітньо</w:t>
            </w:r>
            <w:proofErr w:type="spellEnd"/>
            <w:r w:rsidRPr="00B75FD7">
              <w:rPr>
                <w:rFonts w:eastAsia="Arial"/>
                <w:sz w:val="22"/>
              </w:rPr>
              <w:t xml:space="preserve">-культурного та спортивного простору для розвитку </w:t>
            </w:r>
          </w:p>
        </w:tc>
      </w:tr>
      <w:tr w:rsidR="005C57BD" w:rsidRPr="00B75FD7" w:rsidTr="00297BFF">
        <w:trPr>
          <w:jc w:val="center"/>
        </w:trPr>
        <w:tc>
          <w:tcPr>
            <w:tcW w:w="2925" w:type="dxa"/>
            <w:shd w:val="clear" w:color="auto" w:fill="C6D9F1" w:themeFill="text2" w:themeFillTint="33"/>
          </w:tcPr>
          <w:p w:rsidR="005C57BD" w:rsidRPr="00B75FD7" w:rsidRDefault="005C57BD" w:rsidP="001B3967">
            <w:pPr>
              <w:contextualSpacing/>
              <w:rPr>
                <w:b/>
                <w:sz w:val="22"/>
              </w:rPr>
            </w:pPr>
            <w:r w:rsidRPr="00B75FD7">
              <w:rPr>
                <w:b/>
                <w:sz w:val="22"/>
              </w:rPr>
              <w:t>Назва проекту:</w:t>
            </w:r>
          </w:p>
        </w:tc>
        <w:tc>
          <w:tcPr>
            <w:tcW w:w="7105" w:type="dxa"/>
            <w:gridSpan w:val="7"/>
            <w:shd w:val="clear" w:color="auto" w:fill="auto"/>
          </w:tcPr>
          <w:p w:rsidR="005C57BD" w:rsidRPr="00B75FD7" w:rsidRDefault="005C57BD" w:rsidP="001B3967">
            <w:pPr>
              <w:contextualSpacing/>
              <w:rPr>
                <w:sz w:val="22"/>
              </w:rPr>
            </w:pPr>
            <w:r w:rsidRPr="00B75FD7">
              <w:rPr>
                <w:rFonts w:eastAsia="Calibri"/>
                <w:color w:val="000000"/>
                <w:sz w:val="22"/>
              </w:rPr>
              <w:t>Відновлення діяльності Ясел-садка № 11 міста Сєвєродонецька Луганської області, вул. Енергетиків 28/А</w:t>
            </w:r>
          </w:p>
        </w:tc>
      </w:tr>
      <w:tr w:rsidR="005C57BD" w:rsidRPr="00B75FD7" w:rsidTr="00297BFF">
        <w:trPr>
          <w:jc w:val="center"/>
        </w:trPr>
        <w:tc>
          <w:tcPr>
            <w:tcW w:w="2925" w:type="dxa"/>
            <w:shd w:val="clear" w:color="auto" w:fill="C6D9F1" w:themeFill="text2" w:themeFillTint="33"/>
          </w:tcPr>
          <w:p w:rsidR="005C57BD" w:rsidRPr="00B75FD7" w:rsidRDefault="005C57BD" w:rsidP="001B3967">
            <w:pPr>
              <w:rPr>
                <w:b/>
                <w:sz w:val="22"/>
              </w:rPr>
            </w:pPr>
            <w:r w:rsidRPr="00B75FD7">
              <w:rPr>
                <w:b/>
                <w:sz w:val="22"/>
              </w:rPr>
              <w:t>Ціль проекту</w:t>
            </w:r>
          </w:p>
        </w:tc>
        <w:tc>
          <w:tcPr>
            <w:tcW w:w="7105" w:type="dxa"/>
            <w:gridSpan w:val="7"/>
            <w:shd w:val="clear" w:color="auto" w:fill="auto"/>
          </w:tcPr>
          <w:p w:rsidR="005C57BD" w:rsidRPr="00B75FD7" w:rsidRDefault="005C57BD" w:rsidP="001B3967">
            <w:pPr>
              <w:autoSpaceDE w:val="0"/>
              <w:autoSpaceDN w:val="0"/>
              <w:adjustRightInd w:val="0"/>
              <w:ind w:firstLine="252"/>
              <w:rPr>
                <w:color w:val="000000"/>
                <w:sz w:val="22"/>
              </w:rPr>
            </w:pPr>
            <w:r w:rsidRPr="00B75FD7">
              <w:rPr>
                <w:color w:val="000000"/>
                <w:sz w:val="22"/>
              </w:rPr>
              <w:t>Відновити та покращити діяльність закладу для надання освітніх послуг, задовольнити потреби мешканців Сєвєродонецької міської територіальної громади.</w:t>
            </w:r>
          </w:p>
          <w:p w:rsidR="005C57BD" w:rsidRPr="00B75FD7" w:rsidRDefault="005C57BD" w:rsidP="001B3967">
            <w:pPr>
              <w:contextualSpacing/>
              <w:rPr>
                <w:sz w:val="22"/>
              </w:rPr>
            </w:pPr>
            <w:r w:rsidRPr="00B75FD7">
              <w:rPr>
                <w:color w:val="000000"/>
                <w:sz w:val="22"/>
              </w:rPr>
              <w:lastRenderedPageBreak/>
              <w:t xml:space="preserve"> Створення належних  умов в Яслах-садку № 11 для надання освітніх послуг. </w:t>
            </w:r>
          </w:p>
        </w:tc>
      </w:tr>
      <w:tr w:rsidR="005C57BD" w:rsidRPr="00B75FD7" w:rsidTr="00297BFF">
        <w:trPr>
          <w:jc w:val="center"/>
        </w:trPr>
        <w:tc>
          <w:tcPr>
            <w:tcW w:w="2925" w:type="dxa"/>
            <w:shd w:val="clear" w:color="auto" w:fill="C6D9F1" w:themeFill="text2" w:themeFillTint="33"/>
          </w:tcPr>
          <w:p w:rsidR="005C57BD" w:rsidRPr="00B75FD7" w:rsidRDefault="005C57BD" w:rsidP="001B3967">
            <w:pPr>
              <w:contextualSpacing/>
              <w:rPr>
                <w:b/>
                <w:sz w:val="22"/>
              </w:rPr>
            </w:pPr>
            <w:r w:rsidRPr="00B75FD7">
              <w:rPr>
                <w:b/>
                <w:sz w:val="22"/>
              </w:rPr>
              <w:lastRenderedPageBreak/>
              <w:t>Територія, на яку матиме вплив реалізація проекту</w:t>
            </w:r>
          </w:p>
        </w:tc>
        <w:tc>
          <w:tcPr>
            <w:tcW w:w="7105" w:type="dxa"/>
            <w:gridSpan w:val="7"/>
            <w:shd w:val="clear" w:color="auto" w:fill="auto"/>
          </w:tcPr>
          <w:p w:rsidR="005C57BD" w:rsidRPr="00B75FD7" w:rsidRDefault="005C57BD" w:rsidP="001B3967">
            <w:pPr>
              <w:contextualSpacing/>
              <w:rPr>
                <w:sz w:val="22"/>
              </w:rPr>
            </w:pPr>
            <w:r w:rsidRPr="00B75FD7">
              <w:rPr>
                <w:sz w:val="22"/>
              </w:rPr>
              <w:t>Сєвєродонецька міська територіальна громада</w:t>
            </w:r>
          </w:p>
        </w:tc>
      </w:tr>
      <w:tr w:rsidR="005C57BD" w:rsidRPr="00B75FD7" w:rsidTr="00297BFF">
        <w:trPr>
          <w:jc w:val="center"/>
        </w:trPr>
        <w:tc>
          <w:tcPr>
            <w:tcW w:w="2925" w:type="dxa"/>
            <w:shd w:val="clear" w:color="auto" w:fill="C6D9F1" w:themeFill="text2" w:themeFillTint="33"/>
          </w:tcPr>
          <w:p w:rsidR="005C57BD" w:rsidRPr="00B75FD7" w:rsidRDefault="005C57BD" w:rsidP="001B3967">
            <w:pPr>
              <w:contextualSpacing/>
              <w:rPr>
                <w:b/>
                <w:sz w:val="22"/>
              </w:rPr>
            </w:pPr>
            <w:r w:rsidRPr="00B75FD7">
              <w:rPr>
                <w:b/>
                <w:sz w:val="22"/>
              </w:rPr>
              <w:t>Чисельність населення, на яке матиме вплив реалізація проекту</w:t>
            </w:r>
          </w:p>
        </w:tc>
        <w:tc>
          <w:tcPr>
            <w:tcW w:w="7105" w:type="dxa"/>
            <w:gridSpan w:val="7"/>
            <w:shd w:val="clear" w:color="auto" w:fill="auto"/>
          </w:tcPr>
          <w:p w:rsidR="005C57BD" w:rsidRPr="00B75FD7" w:rsidRDefault="005C57BD" w:rsidP="001B3967">
            <w:pPr>
              <w:contextualSpacing/>
              <w:rPr>
                <w:sz w:val="22"/>
              </w:rPr>
            </w:pPr>
            <w:r w:rsidRPr="00B75FD7">
              <w:rPr>
                <w:sz w:val="22"/>
              </w:rPr>
              <w:t xml:space="preserve"> 70 000  осіб</w:t>
            </w:r>
          </w:p>
        </w:tc>
      </w:tr>
      <w:tr w:rsidR="005C57BD" w:rsidRPr="00B75FD7" w:rsidTr="00297BFF">
        <w:trPr>
          <w:jc w:val="center"/>
        </w:trPr>
        <w:tc>
          <w:tcPr>
            <w:tcW w:w="2925" w:type="dxa"/>
            <w:shd w:val="clear" w:color="auto" w:fill="C6D9F1" w:themeFill="text2" w:themeFillTint="33"/>
          </w:tcPr>
          <w:p w:rsidR="005C57BD" w:rsidRPr="00B75FD7" w:rsidRDefault="005C57BD" w:rsidP="001B3967">
            <w:pPr>
              <w:rPr>
                <w:b/>
                <w:sz w:val="22"/>
              </w:rPr>
            </w:pPr>
            <w:r w:rsidRPr="00B75FD7">
              <w:rPr>
                <w:b/>
                <w:sz w:val="22"/>
              </w:rPr>
              <w:t>Опис проблеми, на вирішення якої  спрямований проект</w:t>
            </w:r>
          </w:p>
        </w:tc>
        <w:tc>
          <w:tcPr>
            <w:tcW w:w="7105" w:type="dxa"/>
            <w:gridSpan w:val="7"/>
            <w:tcBorders>
              <w:top w:val="single" w:sz="6" w:space="0" w:color="auto"/>
              <w:left w:val="single" w:sz="6" w:space="0" w:color="auto"/>
              <w:bottom w:val="single" w:sz="6" w:space="0" w:color="auto"/>
              <w:right w:val="single" w:sz="6" w:space="0" w:color="auto"/>
            </w:tcBorders>
            <w:shd w:val="clear" w:color="auto" w:fill="auto"/>
          </w:tcPr>
          <w:p w:rsidR="005C57BD" w:rsidRPr="00B75FD7" w:rsidRDefault="005C57BD" w:rsidP="001B3967">
            <w:pPr>
              <w:autoSpaceDE w:val="0"/>
              <w:autoSpaceDN w:val="0"/>
              <w:adjustRightInd w:val="0"/>
              <w:ind w:firstLine="477"/>
              <w:rPr>
                <w:color w:val="000000"/>
                <w:sz w:val="22"/>
              </w:rPr>
            </w:pPr>
            <w:r w:rsidRPr="00B75FD7">
              <w:rPr>
                <w:color w:val="000000"/>
                <w:sz w:val="22"/>
              </w:rPr>
              <w:t>Внаслідок мародерства, якого заклад зазнав під час воєнних дій, гостро стоїть питання відновлення оснащення всіх групових приміщень, кабінетів (адміністрації, спеціалістів), медичного кабінету, музичної та спортивної зали, харчоблоку та приміщення харчових комор, пральні.</w:t>
            </w:r>
          </w:p>
          <w:p w:rsidR="005C57BD" w:rsidRPr="00B75FD7" w:rsidRDefault="005C57BD" w:rsidP="001B3967">
            <w:pPr>
              <w:autoSpaceDE w:val="0"/>
              <w:autoSpaceDN w:val="0"/>
              <w:adjustRightInd w:val="0"/>
              <w:ind w:firstLine="477"/>
              <w:rPr>
                <w:color w:val="000000"/>
                <w:sz w:val="22"/>
              </w:rPr>
            </w:pPr>
            <w:r w:rsidRPr="00B75FD7">
              <w:rPr>
                <w:color w:val="000000"/>
                <w:sz w:val="22"/>
              </w:rPr>
              <w:t>Для повноцінного функціонування закладу необхідне сучасне обладнання (оснащення),  яке відповідатиме сучасним стандартам та вимогам сьогодення для розвитку всебічно розвиненої особистості.</w:t>
            </w:r>
          </w:p>
          <w:p w:rsidR="005C57BD" w:rsidRPr="00B75FD7" w:rsidRDefault="005C57BD" w:rsidP="001B3967">
            <w:pPr>
              <w:autoSpaceDE w:val="0"/>
              <w:autoSpaceDN w:val="0"/>
              <w:adjustRightInd w:val="0"/>
              <w:ind w:firstLine="477"/>
              <w:rPr>
                <w:color w:val="000000"/>
                <w:sz w:val="22"/>
              </w:rPr>
            </w:pPr>
            <w:r w:rsidRPr="00B75FD7">
              <w:rPr>
                <w:color w:val="000000"/>
                <w:sz w:val="22"/>
              </w:rPr>
              <w:t xml:space="preserve">Для цього необхідно дотримуватись усіх санітарно-гігієнічних вимог та забезпечити кожну групу відповідними наочно-дидактичними та ігровими матеріалами згідно з чинним законодавством (Перелік ігрового та навчально-дидактичного обладнання для ЗДО Затверджено наказом МОН України від 19 грудня 2017 р. № 1633). </w:t>
            </w:r>
          </w:p>
          <w:p w:rsidR="005C57BD" w:rsidRPr="00B75FD7" w:rsidRDefault="005C57BD" w:rsidP="001B3967">
            <w:pPr>
              <w:autoSpaceDE w:val="0"/>
              <w:autoSpaceDN w:val="0"/>
              <w:adjustRightInd w:val="0"/>
              <w:ind w:firstLine="477"/>
              <w:rPr>
                <w:color w:val="000000"/>
                <w:sz w:val="22"/>
              </w:rPr>
            </w:pPr>
            <w:r w:rsidRPr="00B75FD7">
              <w:rPr>
                <w:color w:val="000000"/>
                <w:sz w:val="22"/>
              </w:rPr>
              <w:t>До складу групових кімнат входять: роздягальня, спальна кімната (зон</w:t>
            </w:r>
            <w:r w:rsidR="003A2B7C" w:rsidRPr="00B75FD7">
              <w:rPr>
                <w:color w:val="000000"/>
                <w:sz w:val="22"/>
              </w:rPr>
              <w:t>а</w:t>
            </w:r>
            <w:r w:rsidRPr="00B75FD7">
              <w:rPr>
                <w:color w:val="000000"/>
                <w:sz w:val="22"/>
              </w:rPr>
              <w:t xml:space="preserve">), туалетна кімната. Меблі як групових, так і спальних кімнат, повинні відповідати фізіологічним особливостям вихованців, ігрові зони до віку дітей та програмових вимог. </w:t>
            </w:r>
          </w:p>
          <w:p w:rsidR="005C57BD" w:rsidRPr="00B75FD7" w:rsidRDefault="005C57BD" w:rsidP="001B3967">
            <w:pPr>
              <w:autoSpaceDE w:val="0"/>
              <w:autoSpaceDN w:val="0"/>
              <w:adjustRightInd w:val="0"/>
              <w:ind w:firstLine="477"/>
              <w:rPr>
                <w:color w:val="000000"/>
                <w:sz w:val="22"/>
              </w:rPr>
            </w:pPr>
            <w:r w:rsidRPr="00B75FD7">
              <w:rPr>
                <w:color w:val="000000"/>
                <w:sz w:val="22"/>
              </w:rPr>
              <w:t xml:space="preserve">Для повноцінного функціонування всі кабінети закладу мають бути облаштованими меблями, мати сучасну техніку (комп'ютери, ноутбуки, принтери, сканери), підключення до мережі інтернет. Медичний блок складається з кількох приміщень, які використовуються за призначенням, а саме: медичний кабінет, ізолятор, процедурний кабінет. Кабінети має відповідати всім вимогам (Перелік оснащення медичного кабінету дошкільного навчального закладу Затверджено Наказ Міністерства охорони здоров'я України, Міністерства освіти і науки України 30 серпня 2005 р. № 432/496). Забезпеченим медичними препаратами відповідно до чинних вимог. В кабінеті розташовано ростомір, медичні ваги для зважування дітей та холодильник для зберігання добових проб. </w:t>
            </w:r>
          </w:p>
          <w:p w:rsidR="005C57BD" w:rsidRPr="00B75FD7" w:rsidRDefault="005C57BD" w:rsidP="001B3967">
            <w:pPr>
              <w:autoSpaceDE w:val="0"/>
              <w:autoSpaceDN w:val="0"/>
              <w:adjustRightInd w:val="0"/>
              <w:ind w:firstLine="477"/>
              <w:rPr>
                <w:color w:val="000000"/>
                <w:sz w:val="22"/>
              </w:rPr>
            </w:pPr>
            <w:r w:rsidRPr="00B75FD7">
              <w:rPr>
                <w:color w:val="000000"/>
                <w:sz w:val="22"/>
              </w:rPr>
              <w:t>Кабінети спеціалістів мають бути оснащені наочно-дидактичним матеріалом, технікою</w:t>
            </w:r>
            <w:r w:rsidR="00DD3857" w:rsidRPr="00B75FD7">
              <w:rPr>
                <w:color w:val="000000"/>
                <w:sz w:val="22"/>
              </w:rPr>
              <w:t>,</w:t>
            </w:r>
            <w:r w:rsidRPr="00B75FD7">
              <w:rPr>
                <w:color w:val="000000"/>
                <w:sz w:val="22"/>
              </w:rPr>
              <w:t xml:space="preserve"> підключеною до мережі інтернет.</w:t>
            </w:r>
          </w:p>
          <w:p w:rsidR="005C57BD" w:rsidRPr="00B75FD7" w:rsidRDefault="005C57BD" w:rsidP="001B3967">
            <w:pPr>
              <w:autoSpaceDE w:val="0"/>
              <w:autoSpaceDN w:val="0"/>
              <w:adjustRightInd w:val="0"/>
              <w:ind w:firstLine="477"/>
              <w:rPr>
                <w:color w:val="000000"/>
                <w:sz w:val="22"/>
              </w:rPr>
            </w:pPr>
            <w:r w:rsidRPr="00B75FD7">
              <w:rPr>
                <w:color w:val="000000"/>
                <w:sz w:val="22"/>
              </w:rPr>
              <w:t>Музична та спортивна зали є осередком естетичного та фізичного виховання дітей дошкільного віку, в них проходять не тільки заняття усіх вікових груп, але й свята, розваги, театральні вистави, змагання. Тому ці зали мають бути оснащені відповідно до Переліку ігрового та навчально-дидактичного обладнання для ЗДО Затверджено наказом МОН України від 19 грудня 2017 р. № 1633</w:t>
            </w:r>
          </w:p>
          <w:p w:rsidR="005C57BD" w:rsidRPr="00B75FD7" w:rsidRDefault="005C57BD" w:rsidP="001B3967">
            <w:pPr>
              <w:autoSpaceDE w:val="0"/>
              <w:autoSpaceDN w:val="0"/>
              <w:adjustRightInd w:val="0"/>
              <w:ind w:firstLine="477"/>
              <w:rPr>
                <w:color w:val="000000"/>
                <w:sz w:val="22"/>
              </w:rPr>
            </w:pPr>
            <w:r w:rsidRPr="00B75FD7">
              <w:rPr>
                <w:sz w:val="22"/>
              </w:rPr>
              <w:t xml:space="preserve">Організація безпечного та якісного харчування в закладі дошкільної освіти потребує не лише наявності якісних продуктів та дотримання технології приготування їжі, а й створення безпечного та сучасного середовища для приготування смачних та корисних страв для дітей; приймання, оброблення, зберігання та реалізація продовольчої сировини. А також створення більш комфортних та безпечних умов праці для працівників харчоблока та комірника. Одним з кроків для реалізації даної мети є придбання електрообладнання та кухонного обладнання харчоблока ЗДО й </w:t>
            </w:r>
            <w:r w:rsidRPr="00B75FD7">
              <w:rPr>
                <w:sz w:val="22"/>
              </w:rPr>
              <w:lastRenderedPageBreak/>
              <w:t>оновлення обладнання в приміщенні харчових комор, яке буде відповідати вимогам чинного санітарного законодавства. Це поліпшить умови для здійснення технологічних процесів</w:t>
            </w:r>
            <w:r w:rsidR="00DD3857" w:rsidRPr="00B75FD7">
              <w:rPr>
                <w:sz w:val="22"/>
              </w:rPr>
              <w:t>,</w:t>
            </w:r>
            <w:r w:rsidRPr="00B75FD7">
              <w:rPr>
                <w:sz w:val="22"/>
              </w:rPr>
              <w:t xml:space="preserve"> пов’язаних з організацією харчування дітей та покращить умови праці працівників харчоблока та комірника в дотриманні вимог чинного законодавства з охорони праці.</w:t>
            </w:r>
          </w:p>
          <w:p w:rsidR="005C57BD" w:rsidRPr="00B75FD7" w:rsidRDefault="005C57BD" w:rsidP="001B3967">
            <w:pPr>
              <w:autoSpaceDE w:val="0"/>
              <w:autoSpaceDN w:val="0"/>
              <w:adjustRightInd w:val="0"/>
              <w:ind w:firstLine="477"/>
              <w:rPr>
                <w:color w:val="000000"/>
                <w:sz w:val="22"/>
              </w:rPr>
            </w:pPr>
            <w:r w:rsidRPr="00B75FD7">
              <w:rPr>
                <w:sz w:val="22"/>
              </w:rPr>
              <w:t>Для повноцінного функціонування закладу необхідно відновити роботу пральні, яка буде відповідати нормам чинного законодавства.</w:t>
            </w:r>
          </w:p>
          <w:p w:rsidR="005C57BD" w:rsidRPr="00B75FD7" w:rsidRDefault="005C57BD" w:rsidP="001B3967">
            <w:pPr>
              <w:autoSpaceDE w:val="0"/>
              <w:autoSpaceDN w:val="0"/>
              <w:adjustRightInd w:val="0"/>
              <w:ind w:firstLine="477"/>
              <w:rPr>
                <w:color w:val="000000"/>
                <w:sz w:val="22"/>
              </w:rPr>
            </w:pPr>
            <w:r w:rsidRPr="00B75FD7">
              <w:rPr>
                <w:color w:val="000000"/>
                <w:sz w:val="22"/>
              </w:rPr>
              <w:t>Для відбудови та сталого розвитку громади потрібне відновлення роботи Ясел-садка № 11 міста Сєвєродонецька Луганської області. Мешканці громади потребують в отриманні якісних освітніх послуг, які відповідають нормам сучасності.</w:t>
            </w:r>
          </w:p>
        </w:tc>
      </w:tr>
      <w:tr w:rsidR="005C57BD" w:rsidRPr="00B75FD7" w:rsidTr="00297BFF">
        <w:trPr>
          <w:trHeight w:val="2242"/>
          <w:jc w:val="center"/>
        </w:trPr>
        <w:tc>
          <w:tcPr>
            <w:tcW w:w="2925" w:type="dxa"/>
            <w:shd w:val="clear" w:color="auto" w:fill="C6D9F1" w:themeFill="text2" w:themeFillTint="33"/>
          </w:tcPr>
          <w:p w:rsidR="005C57BD" w:rsidRPr="00B75FD7" w:rsidRDefault="005C57BD" w:rsidP="001B3967">
            <w:pPr>
              <w:contextualSpacing/>
              <w:rPr>
                <w:b/>
                <w:sz w:val="22"/>
              </w:rPr>
            </w:pPr>
            <w:r w:rsidRPr="00B75FD7">
              <w:rPr>
                <w:b/>
                <w:sz w:val="22"/>
              </w:rPr>
              <w:lastRenderedPageBreak/>
              <w:t>Очікувані якісні результати від реалізації проекту</w:t>
            </w:r>
          </w:p>
        </w:tc>
        <w:tc>
          <w:tcPr>
            <w:tcW w:w="7105" w:type="dxa"/>
            <w:gridSpan w:val="7"/>
            <w:tcBorders>
              <w:top w:val="single" w:sz="6" w:space="0" w:color="auto"/>
              <w:left w:val="single" w:sz="6" w:space="0" w:color="auto"/>
              <w:bottom w:val="single" w:sz="6" w:space="0" w:color="auto"/>
              <w:right w:val="single" w:sz="6" w:space="0" w:color="auto"/>
            </w:tcBorders>
            <w:shd w:val="clear" w:color="auto" w:fill="auto"/>
          </w:tcPr>
          <w:p w:rsidR="005C57BD" w:rsidRPr="00B75FD7" w:rsidRDefault="005C57BD" w:rsidP="001B3967">
            <w:pPr>
              <w:rPr>
                <w:sz w:val="22"/>
              </w:rPr>
            </w:pPr>
            <w:r w:rsidRPr="00B75FD7">
              <w:rPr>
                <w:sz w:val="22"/>
              </w:rPr>
              <w:t>- Забезпечення населення можливостями для реалізації їх конституційних прав, пов’язаних з отримання якісних освітніх послуг;</w:t>
            </w:r>
          </w:p>
          <w:p w:rsidR="005C57BD" w:rsidRPr="00B75FD7" w:rsidRDefault="005C57BD" w:rsidP="001B3967">
            <w:pPr>
              <w:rPr>
                <w:sz w:val="22"/>
              </w:rPr>
            </w:pPr>
            <w:r w:rsidRPr="00B75FD7">
              <w:rPr>
                <w:sz w:val="22"/>
              </w:rPr>
              <w:t>-  надання можливості працювати в безпечних умовах для працівників та перебування в ньому дітей;</w:t>
            </w:r>
          </w:p>
          <w:p w:rsidR="005C57BD" w:rsidRPr="00B75FD7" w:rsidRDefault="005C57BD" w:rsidP="001B3967">
            <w:pPr>
              <w:rPr>
                <w:sz w:val="22"/>
              </w:rPr>
            </w:pPr>
            <w:r w:rsidRPr="00B75FD7">
              <w:rPr>
                <w:sz w:val="22"/>
              </w:rPr>
              <w:t>-  вирішення ряду питань в межах статутної діяльності, пов’язаних із відбудовою та сталим розвитком громади;</w:t>
            </w:r>
          </w:p>
          <w:p w:rsidR="005C57BD" w:rsidRPr="00B75FD7" w:rsidRDefault="005C57BD" w:rsidP="001B3967">
            <w:pPr>
              <w:rPr>
                <w:sz w:val="22"/>
              </w:rPr>
            </w:pPr>
            <w:r w:rsidRPr="00B75FD7">
              <w:rPr>
                <w:sz w:val="22"/>
              </w:rPr>
              <w:t>-  створення нових робочих місць;</w:t>
            </w:r>
          </w:p>
          <w:p w:rsidR="005C57BD" w:rsidRPr="00B75FD7" w:rsidRDefault="005C57BD" w:rsidP="001B3967">
            <w:pPr>
              <w:rPr>
                <w:sz w:val="22"/>
              </w:rPr>
            </w:pPr>
            <w:r w:rsidRPr="00B75FD7">
              <w:rPr>
                <w:sz w:val="22"/>
              </w:rPr>
              <w:t>-  зменшення споживання енергоресурсів;</w:t>
            </w:r>
          </w:p>
          <w:p w:rsidR="005C57BD" w:rsidRPr="00B75FD7" w:rsidRDefault="005C57BD" w:rsidP="001B3967">
            <w:pPr>
              <w:rPr>
                <w:sz w:val="22"/>
              </w:rPr>
            </w:pPr>
            <w:r w:rsidRPr="00B75FD7">
              <w:rPr>
                <w:sz w:val="22"/>
              </w:rPr>
              <w:t>-  стимул до повернення ВПО до громади.</w:t>
            </w:r>
          </w:p>
        </w:tc>
      </w:tr>
      <w:tr w:rsidR="005C57BD" w:rsidRPr="00B75FD7" w:rsidTr="00297BFF">
        <w:trPr>
          <w:trHeight w:val="390"/>
          <w:jc w:val="center"/>
        </w:trPr>
        <w:tc>
          <w:tcPr>
            <w:tcW w:w="2925" w:type="dxa"/>
            <w:vMerge w:val="restart"/>
            <w:shd w:val="clear" w:color="auto" w:fill="C6D9F1" w:themeFill="text2" w:themeFillTint="33"/>
          </w:tcPr>
          <w:p w:rsidR="005C57BD" w:rsidRPr="00B75FD7" w:rsidRDefault="005C57BD" w:rsidP="001B3967">
            <w:pPr>
              <w:contextualSpacing/>
              <w:rPr>
                <w:b/>
                <w:sz w:val="22"/>
              </w:rPr>
            </w:pPr>
            <w:r w:rsidRPr="00B75FD7">
              <w:rPr>
                <w:b/>
                <w:sz w:val="22"/>
              </w:rPr>
              <w:t xml:space="preserve">Очікувані кількісні результати реалізації </w:t>
            </w:r>
            <w:proofErr w:type="spellStart"/>
            <w:r w:rsidRPr="00B75FD7">
              <w:rPr>
                <w:b/>
                <w:sz w:val="22"/>
              </w:rPr>
              <w:t>проєкту</w:t>
            </w:r>
            <w:proofErr w:type="spellEnd"/>
            <w:r w:rsidRPr="00B75FD7">
              <w:rPr>
                <w:b/>
                <w:sz w:val="22"/>
              </w:rPr>
              <w:t xml:space="preserve"> (індикатори)</w:t>
            </w:r>
          </w:p>
          <w:p w:rsidR="005C57BD" w:rsidRPr="00B75FD7" w:rsidRDefault="005C57BD" w:rsidP="001B3967">
            <w:pPr>
              <w:contextualSpacing/>
              <w:rPr>
                <w:b/>
                <w:sz w:val="22"/>
              </w:rPr>
            </w:pPr>
          </w:p>
          <w:p w:rsidR="005C57BD" w:rsidRPr="00B75FD7" w:rsidRDefault="005C57BD" w:rsidP="001B3967">
            <w:pPr>
              <w:contextualSpacing/>
              <w:rPr>
                <w:b/>
                <w:sz w:val="22"/>
              </w:rPr>
            </w:pPr>
          </w:p>
          <w:p w:rsidR="005C57BD" w:rsidRPr="00B75FD7" w:rsidRDefault="005C57BD" w:rsidP="001B3967">
            <w:pPr>
              <w:contextualSpacing/>
              <w:rPr>
                <w:b/>
                <w:sz w:val="22"/>
              </w:rPr>
            </w:pPr>
          </w:p>
        </w:tc>
        <w:tc>
          <w:tcPr>
            <w:tcW w:w="3236" w:type="dxa"/>
            <w:gridSpan w:val="3"/>
            <w:tcBorders>
              <w:bottom w:val="single" w:sz="4" w:space="0" w:color="auto"/>
              <w:right w:val="single" w:sz="4" w:space="0" w:color="auto"/>
            </w:tcBorders>
            <w:shd w:val="clear" w:color="auto" w:fill="auto"/>
          </w:tcPr>
          <w:p w:rsidR="005C57BD" w:rsidRPr="00B75FD7" w:rsidRDefault="005C57BD" w:rsidP="001B3967">
            <w:pPr>
              <w:ind w:left="-108"/>
              <w:contextualSpacing/>
              <w:jc w:val="center"/>
              <w:rPr>
                <w:b/>
                <w:sz w:val="22"/>
              </w:rPr>
            </w:pPr>
            <w:r w:rsidRPr="00B75FD7">
              <w:rPr>
                <w:b/>
                <w:sz w:val="22"/>
              </w:rPr>
              <w:t>Найменування показника</w:t>
            </w:r>
          </w:p>
        </w:tc>
        <w:tc>
          <w:tcPr>
            <w:tcW w:w="1847" w:type="dxa"/>
            <w:gridSpan w:val="2"/>
            <w:tcBorders>
              <w:left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b/>
                <w:sz w:val="22"/>
              </w:rPr>
            </w:pPr>
            <w:r w:rsidRPr="00B75FD7">
              <w:rPr>
                <w:b/>
                <w:sz w:val="22"/>
              </w:rPr>
              <w:t>Одиниця вимірювання</w:t>
            </w:r>
          </w:p>
          <w:p w:rsidR="005C57BD" w:rsidRPr="00B75FD7" w:rsidRDefault="005C57BD" w:rsidP="001B3967">
            <w:pPr>
              <w:contextualSpacing/>
              <w:rPr>
                <w:b/>
                <w:sz w:val="22"/>
              </w:rPr>
            </w:pPr>
          </w:p>
        </w:tc>
        <w:tc>
          <w:tcPr>
            <w:tcW w:w="2022" w:type="dxa"/>
            <w:gridSpan w:val="2"/>
            <w:tcBorders>
              <w:left w:val="single" w:sz="4" w:space="0" w:color="auto"/>
              <w:bottom w:val="single" w:sz="4" w:space="0" w:color="auto"/>
            </w:tcBorders>
            <w:shd w:val="clear" w:color="auto" w:fill="auto"/>
          </w:tcPr>
          <w:p w:rsidR="005C57BD" w:rsidRPr="00B75FD7" w:rsidRDefault="005C57BD" w:rsidP="001B3967">
            <w:pPr>
              <w:contextualSpacing/>
              <w:jc w:val="center"/>
              <w:rPr>
                <w:b/>
                <w:sz w:val="22"/>
              </w:rPr>
            </w:pPr>
            <w:r w:rsidRPr="00B75FD7">
              <w:rPr>
                <w:b/>
                <w:sz w:val="22"/>
              </w:rPr>
              <w:t>Прогнозне (цільове) значення</w:t>
            </w:r>
          </w:p>
        </w:tc>
      </w:tr>
      <w:tr w:rsidR="005C57BD" w:rsidRPr="00B75FD7" w:rsidTr="00297BFF">
        <w:trPr>
          <w:trHeight w:val="585"/>
          <w:jc w:val="center"/>
        </w:trPr>
        <w:tc>
          <w:tcPr>
            <w:tcW w:w="2925" w:type="dxa"/>
            <w:vMerge/>
            <w:shd w:val="clear" w:color="auto" w:fill="C6D9F1" w:themeFill="text2" w:themeFillTint="33"/>
          </w:tcPr>
          <w:p w:rsidR="005C57BD" w:rsidRPr="00B75FD7" w:rsidRDefault="005C57BD" w:rsidP="001B3967">
            <w:pPr>
              <w:contextualSpacing/>
              <w:rPr>
                <w:b/>
                <w:sz w:val="22"/>
              </w:rPr>
            </w:pPr>
          </w:p>
        </w:tc>
        <w:tc>
          <w:tcPr>
            <w:tcW w:w="3236" w:type="dxa"/>
            <w:gridSpan w:val="3"/>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Кількість фізичних та юридичних осіб, які звернулись за послугами протягом  року</w:t>
            </w:r>
          </w:p>
        </w:tc>
        <w:tc>
          <w:tcPr>
            <w:tcW w:w="18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contextualSpacing/>
              <w:rPr>
                <w:sz w:val="22"/>
              </w:rPr>
            </w:pPr>
            <w:r w:rsidRPr="00B75FD7">
              <w:rPr>
                <w:sz w:val="22"/>
              </w:rPr>
              <w:t>осіб</w:t>
            </w:r>
          </w:p>
        </w:tc>
        <w:tc>
          <w:tcPr>
            <w:tcW w:w="2022" w:type="dxa"/>
            <w:gridSpan w:val="2"/>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contextualSpacing/>
              <w:rPr>
                <w:b/>
                <w:sz w:val="22"/>
              </w:rPr>
            </w:pPr>
            <w:r w:rsidRPr="00B75FD7">
              <w:rPr>
                <w:sz w:val="22"/>
              </w:rPr>
              <w:t xml:space="preserve">700 </w:t>
            </w:r>
          </w:p>
        </w:tc>
      </w:tr>
      <w:tr w:rsidR="005C57BD" w:rsidRPr="00B75FD7" w:rsidTr="00297BFF">
        <w:trPr>
          <w:trHeight w:val="251"/>
          <w:jc w:val="center"/>
        </w:trPr>
        <w:tc>
          <w:tcPr>
            <w:tcW w:w="2925" w:type="dxa"/>
            <w:vMerge/>
            <w:shd w:val="clear" w:color="auto" w:fill="C6D9F1" w:themeFill="text2" w:themeFillTint="33"/>
          </w:tcPr>
          <w:p w:rsidR="005C57BD" w:rsidRPr="00B75FD7" w:rsidRDefault="005C57BD" w:rsidP="001B3967">
            <w:pPr>
              <w:contextualSpacing/>
              <w:rPr>
                <w:b/>
                <w:sz w:val="22"/>
              </w:rPr>
            </w:pPr>
          </w:p>
        </w:tc>
        <w:tc>
          <w:tcPr>
            <w:tcW w:w="3236" w:type="dxa"/>
            <w:gridSpan w:val="3"/>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rPr>
                <w:sz w:val="22"/>
              </w:rPr>
            </w:pPr>
            <w:r w:rsidRPr="00B75FD7">
              <w:rPr>
                <w:sz w:val="22"/>
              </w:rPr>
              <w:t>Меблі для групових кімнат</w:t>
            </w:r>
          </w:p>
        </w:tc>
        <w:tc>
          <w:tcPr>
            <w:tcW w:w="1847" w:type="dxa"/>
            <w:gridSpan w:val="2"/>
            <w:tcBorders>
              <w:top w:val="single" w:sz="4" w:space="0" w:color="auto"/>
              <w:left w:val="single" w:sz="4" w:space="0" w:color="auto"/>
              <w:bottom w:val="single" w:sz="4" w:space="0" w:color="auto"/>
              <w:right w:val="single" w:sz="4" w:space="0" w:color="auto"/>
            </w:tcBorders>
            <w:shd w:val="clear" w:color="auto" w:fill="auto"/>
          </w:tcPr>
          <w:p w:rsidR="005C57BD" w:rsidRPr="00B75FD7" w:rsidRDefault="005C57BD" w:rsidP="001B3967">
            <w:pPr>
              <w:contextualSpacing/>
              <w:rPr>
                <w:sz w:val="22"/>
              </w:rPr>
            </w:pPr>
            <w:r w:rsidRPr="00B75FD7">
              <w:rPr>
                <w:sz w:val="22"/>
              </w:rPr>
              <w:t>одиниць</w:t>
            </w:r>
          </w:p>
        </w:tc>
        <w:tc>
          <w:tcPr>
            <w:tcW w:w="2022" w:type="dxa"/>
            <w:gridSpan w:val="2"/>
            <w:tcBorders>
              <w:top w:val="single" w:sz="4" w:space="0" w:color="auto"/>
              <w:left w:val="single" w:sz="4" w:space="0" w:color="auto"/>
              <w:bottom w:val="single" w:sz="4" w:space="0" w:color="auto"/>
            </w:tcBorders>
            <w:shd w:val="clear" w:color="auto" w:fill="auto"/>
          </w:tcPr>
          <w:p w:rsidR="005C57BD" w:rsidRPr="00B75FD7" w:rsidRDefault="005C57BD" w:rsidP="001B3967">
            <w:pPr>
              <w:contextualSpacing/>
              <w:rPr>
                <w:sz w:val="22"/>
              </w:rPr>
            </w:pPr>
            <w:r w:rsidRPr="00B75FD7">
              <w:rPr>
                <w:sz w:val="22"/>
              </w:rPr>
              <w:t>730</w:t>
            </w:r>
          </w:p>
        </w:tc>
      </w:tr>
      <w:tr w:rsidR="005C57BD" w:rsidRPr="00B75FD7" w:rsidTr="00297BFF">
        <w:trPr>
          <w:trHeight w:val="553"/>
          <w:jc w:val="center"/>
        </w:trPr>
        <w:tc>
          <w:tcPr>
            <w:tcW w:w="2925" w:type="dxa"/>
            <w:vMerge/>
            <w:shd w:val="clear" w:color="auto" w:fill="C6D9F1" w:themeFill="text2" w:themeFillTint="33"/>
          </w:tcPr>
          <w:p w:rsidR="005C57BD" w:rsidRPr="00B75FD7" w:rsidRDefault="005C57BD" w:rsidP="001B3967">
            <w:pPr>
              <w:contextualSpacing/>
              <w:rPr>
                <w:b/>
                <w:sz w:val="22"/>
              </w:rPr>
            </w:pPr>
          </w:p>
        </w:tc>
        <w:tc>
          <w:tcPr>
            <w:tcW w:w="3236" w:type="dxa"/>
            <w:gridSpan w:val="3"/>
            <w:tcBorders>
              <w:top w:val="single" w:sz="4" w:space="0" w:color="auto"/>
              <w:bottom w:val="single" w:sz="4" w:space="0" w:color="auto"/>
              <w:right w:val="single" w:sz="4" w:space="0" w:color="auto"/>
            </w:tcBorders>
            <w:shd w:val="clear" w:color="auto" w:fill="auto"/>
          </w:tcPr>
          <w:p w:rsidR="005C57BD" w:rsidRPr="00B75FD7" w:rsidRDefault="005C57BD" w:rsidP="000303D7">
            <w:pPr>
              <w:numPr>
                <w:ilvl w:val="0"/>
                <w:numId w:val="80"/>
              </w:numPr>
              <w:autoSpaceDE w:val="0"/>
              <w:autoSpaceDN w:val="0"/>
              <w:adjustRightInd w:val="0"/>
              <w:ind w:left="252" w:hanging="720"/>
              <w:jc w:val="left"/>
              <w:rPr>
                <w:rFonts w:eastAsia="Calibri"/>
                <w:sz w:val="22"/>
              </w:rPr>
            </w:pPr>
            <w:r w:rsidRPr="00B75FD7">
              <w:rPr>
                <w:rFonts w:eastAsia="Calibri"/>
                <w:sz w:val="22"/>
              </w:rPr>
              <w:t>Куточки для розвитку в групові кімнати</w:t>
            </w:r>
          </w:p>
        </w:tc>
        <w:tc>
          <w:tcPr>
            <w:tcW w:w="1847" w:type="dxa"/>
            <w:gridSpan w:val="2"/>
            <w:tcBorders>
              <w:top w:val="single" w:sz="4" w:space="0" w:color="auto"/>
              <w:left w:val="single" w:sz="4" w:space="0" w:color="auto"/>
              <w:bottom w:val="single" w:sz="4" w:space="0" w:color="auto"/>
              <w:right w:val="single" w:sz="4" w:space="0" w:color="auto"/>
            </w:tcBorders>
            <w:shd w:val="clear" w:color="auto" w:fill="auto"/>
          </w:tcPr>
          <w:p w:rsidR="005C57BD" w:rsidRPr="00B75FD7" w:rsidRDefault="005C57BD" w:rsidP="001B3967">
            <w:pPr>
              <w:contextualSpacing/>
              <w:rPr>
                <w:sz w:val="22"/>
              </w:rPr>
            </w:pPr>
            <w:r w:rsidRPr="00B75FD7">
              <w:rPr>
                <w:sz w:val="22"/>
              </w:rPr>
              <w:t>одиниць</w:t>
            </w:r>
          </w:p>
        </w:tc>
        <w:tc>
          <w:tcPr>
            <w:tcW w:w="2022" w:type="dxa"/>
            <w:gridSpan w:val="2"/>
            <w:tcBorders>
              <w:top w:val="single" w:sz="4" w:space="0" w:color="auto"/>
              <w:left w:val="single" w:sz="4" w:space="0" w:color="auto"/>
              <w:bottom w:val="single" w:sz="4" w:space="0" w:color="auto"/>
            </w:tcBorders>
            <w:shd w:val="clear" w:color="auto" w:fill="auto"/>
          </w:tcPr>
          <w:p w:rsidR="005C57BD" w:rsidRPr="00B75FD7" w:rsidRDefault="005C57BD" w:rsidP="001B3967">
            <w:pPr>
              <w:contextualSpacing/>
              <w:rPr>
                <w:sz w:val="22"/>
              </w:rPr>
            </w:pPr>
            <w:r w:rsidRPr="00B75FD7">
              <w:rPr>
                <w:sz w:val="22"/>
              </w:rPr>
              <w:t>84</w:t>
            </w:r>
          </w:p>
        </w:tc>
      </w:tr>
      <w:tr w:rsidR="005C57BD" w:rsidRPr="00B75FD7" w:rsidTr="00297BFF">
        <w:trPr>
          <w:trHeight w:val="277"/>
          <w:jc w:val="center"/>
        </w:trPr>
        <w:tc>
          <w:tcPr>
            <w:tcW w:w="2925" w:type="dxa"/>
            <w:vMerge/>
            <w:shd w:val="clear" w:color="auto" w:fill="C6D9F1" w:themeFill="text2" w:themeFillTint="33"/>
          </w:tcPr>
          <w:p w:rsidR="005C57BD" w:rsidRPr="00B75FD7" w:rsidRDefault="005C57BD" w:rsidP="001B3967">
            <w:pPr>
              <w:contextualSpacing/>
              <w:rPr>
                <w:b/>
                <w:sz w:val="22"/>
              </w:rPr>
            </w:pPr>
          </w:p>
        </w:tc>
        <w:tc>
          <w:tcPr>
            <w:tcW w:w="3236" w:type="dxa"/>
            <w:gridSpan w:val="3"/>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rPr>
                <w:sz w:val="22"/>
              </w:rPr>
            </w:pPr>
            <w:r w:rsidRPr="00B75FD7">
              <w:rPr>
                <w:sz w:val="22"/>
              </w:rPr>
              <w:t>Меблі для кабінетів</w:t>
            </w:r>
          </w:p>
        </w:tc>
        <w:tc>
          <w:tcPr>
            <w:tcW w:w="1847" w:type="dxa"/>
            <w:gridSpan w:val="2"/>
            <w:tcBorders>
              <w:top w:val="single" w:sz="4" w:space="0" w:color="auto"/>
              <w:left w:val="single" w:sz="4" w:space="0" w:color="auto"/>
              <w:bottom w:val="single" w:sz="4" w:space="0" w:color="auto"/>
              <w:right w:val="single" w:sz="4" w:space="0" w:color="auto"/>
            </w:tcBorders>
            <w:shd w:val="clear" w:color="auto" w:fill="auto"/>
          </w:tcPr>
          <w:p w:rsidR="005C57BD" w:rsidRPr="00B75FD7" w:rsidRDefault="005C57BD" w:rsidP="001B3967">
            <w:pPr>
              <w:contextualSpacing/>
              <w:rPr>
                <w:sz w:val="22"/>
              </w:rPr>
            </w:pPr>
            <w:r w:rsidRPr="00B75FD7">
              <w:rPr>
                <w:sz w:val="22"/>
              </w:rPr>
              <w:t>одиниць</w:t>
            </w:r>
          </w:p>
        </w:tc>
        <w:tc>
          <w:tcPr>
            <w:tcW w:w="2022" w:type="dxa"/>
            <w:gridSpan w:val="2"/>
            <w:tcBorders>
              <w:top w:val="single" w:sz="4" w:space="0" w:color="auto"/>
              <w:left w:val="single" w:sz="4" w:space="0" w:color="auto"/>
              <w:bottom w:val="single" w:sz="4" w:space="0" w:color="auto"/>
            </w:tcBorders>
            <w:shd w:val="clear" w:color="auto" w:fill="auto"/>
          </w:tcPr>
          <w:p w:rsidR="005C57BD" w:rsidRPr="00B75FD7" w:rsidRDefault="005C57BD" w:rsidP="001B3967">
            <w:pPr>
              <w:contextualSpacing/>
              <w:rPr>
                <w:sz w:val="22"/>
              </w:rPr>
            </w:pPr>
            <w:r w:rsidRPr="00B75FD7">
              <w:rPr>
                <w:sz w:val="22"/>
              </w:rPr>
              <w:t>160</w:t>
            </w:r>
          </w:p>
        </w:tc>
      </w:tr>
      <w:tr w:rsidR="005C57BD" w:rsidRPr="00B75FD7" w:rsidTr="00297BFF">
        <w:trPr>
          <w:trHeight w:val="277"/>
          <w:jc w:val="center"/>
        </w:trPr>
        <w:tc>
          <w:tcPr>
            <w:tcW w:w="2925" w:type="dxa"/>
            <w:vMerge/>
            <w:shd w:val="clear" w:color="auto" w:fill="C6D9F1" w:themeFill="text2" w:themeFillTint="33"/>
          </w:tcPr>
          <w:p w:rsidR="005C57BD" w:rsidRPr="00B75FD7" w:rsidRDefault="005C57BD" w:rsidP="001B3967">
            <w:pPr>
              <w:contextualSpacing/>
              <w:rPr>
                <w:b/>
                <w:sz w:val="22"/>
              </w:rPr>
            </w:pPr>
          </w:p>
        </w:tc>
        <w:tc>
          <w:tcPr>
            <w:tcW w:w="3236" w:type="dxa"/>
            <w:gridSpan w:val="3"/>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rPr>
                <w:sz w:val="22"/>
              </w:rPr>
            </w:pPr>
            <w:r w:rsidRPr="00B75FD7">
              <w:rPr>
                <w:rFonts w:eastAsia="Calibri"/>
                <w:sz w:val="22"/>
              </w:rPr>
              <w:t>Посуд для дітей в групових кімнатах</w:t>
            </w:r>
          </w:p>
        </w:tc>
        <w:tc>
          <w:tcPr>
            <w:tcW w:w="1847" w:type="dxa"/>
            <w:gridSpan w:val="2"/>
            <w:tcBorders>
              <w:top w:val="single" w:sz="4" w:space="0" w:color="auto"/>
              <w:left w:val="single" w:sz="4" w:space="0" w:color="auto"/>
              <w:bottom w:val="single" w:sz="4" w:space="0" w:color="auto"/>
              <w:right w:val="single" w:sz="4" w:space="0" w:color="auto"/>
            </w:tcBorders>
            <w:shd w:val="clear" w:color="auto" w:fill="auto"/>
          </w:tcPr>
          <w:p w:rsidR="005C57BD" w:rsidRPr="00B75FD7" w:rsidRDefault="005C57BD" w:rsidP="001B3967">
            <w:pPr>
              <w:contextualSpacing/>
              <w:rPr>
                <w:sz w:val="22"/>
              </w:rPr>
            </w:pPr>
            <w:r w:rsidRPr="00B75FD7">
              <w:rPr>
                <w:sz w:val="22"/>
              </w:rPr>
              <w:t>Одиниць</w:t>
            </w:r>
          </w:p>
          <w:p w:rsidR="005C57BD" w:rsidRPr="00B75FD7" w:rsidRDefault="005C57BD" w:rsidP="001B3967">
            <w:pPr>
              <w:contextualSpacing/>
              <w:rPr>
                <w:sz w:val="22"/>
              </w:rPr>
            </w:pPr>
          </w:p>
        </w:tc>
        <w:tc>
          <w:tcPr>
            <w:tcW w:w="2022" w:type="dxa"/>
            <w:gridSpan w:val="2"/>
            <w:tcBorders>
              <w:top w:val="single" w:sz="4" w:space="0" w:color="auto"/>
              <w:left w:val="single" w:sz="4" w:space="0" w:color="auto"/>
              <w:bottom w:val="single" w:sz="4" w:space="0" w:color="auto"/>
            </w:tcBorders>
            <w:shd w:val="clear" w:color="auto" w:fill="auto"/>
          </w:tcPr>
          <w:p w:rsidR="005C57BD" w:rsidRPr="00B75FD7" w:rsidRDefault="005C57BD" w:rsidP="001B3967">
            <w:pPr>
              <w:contextualSpacing/>
              <w:rPr>
                <w:rFonts w:eastAsia="Calibri"/>
                <w:sz w:val="22"/>
              </w:rPr>
            </w:pPr>
            <w:r w:rsidRPr="00B75FD7">
              <w:rPr>
                <w:rFonts w:eastAsia="Calibri"/>
                <w:sz w:val="22"/>
              </w:rPr>
              <w:t>2300</w:t>
            </w:r>
          </w:p>
          <w:p w:rsidR="005C57BD" w:rsidRPr="00B75FD7" w:rsidRDefault="005C57BD" w:rsidP="001B3967">
            <w:pPr>
              <w:contextualSpacing/>
              <w:rPr>
                <w:sz w:val="22"/>
              </w:rPr>
            </w:pPr>
          </w:p>
        </w:tc>
      </w:tr>
      <w:tr w:rsidR="005C57BD" w:rsidRPr="00B75FD7" w:rsidTr="00297BFF">
        <w:trPr>
          <w:trHeight w:val="261"/>
          <w:jc w:val="center"/>
        </w:trPr>
        <w:tc>
          <w:tcPr>
            <w:tcW w:w="2925" w:type="dxa"/>
            <w:vMerge/>
            <w:shd w:val="clear" w:color="auto" w:fill="C6D9F1" w:themeFill="text2" w:themeFillTint="33"/>
          </w:tcPr>
          <w:p w:rsidR="005C57BD" w:rsidRPr="00B75FD7" w:rsidRDefault="005C57BD" w:rsidP="001B3967">
            <w:pPr>
              <w:contextualSpacing/>
              <w:rPr>
                <w:b/>
                <w:sz w:val="22"/>
              </w:rPr>
            </w:pPr>
          </w:p>
        </w:tc>
        <w:tc>
          <w:tcPr>
            <w:tcW w:w="3236" w:type="dxa"/>
            <w:gridSpan w:val="3"/>
            <w:tcBorders>
              <w:top w:val="single" w:sz="4" w:space="0" w:color="auto"/>
              <w:left w:val="single" w:sz="6" w:space="0" w:color="auto"/>
              <w:bottom w:val="single" w:sz="4" w:space="0" w:color="auto"/>
              <w:right w:val="single" w:sz="6" w:space="0" w:color="auto"/>
            </w:tcBorders>
          </w:tcPr>
          <w:p w:rsidR="005C57BD" w:rsidRPr="00B75FD7" w:rsidRDefault="005C57BD" w:rsidP="000303D7">
            <w:pPr>
              <w:numPr>
                <w:ilvl w:val="0"/>
                <w:numId w:val="80"/>
              </w:numPr>
              <w:autoSpaceDE w:val="0"/>
              <w:autoSpaceDN w:val="0"/>
              <w:adjustRightInd w:val="0"/>
              <w:ind w:left="252" w:hanging="720"/>
              <w:jc w:val="left"/>
              <w:rPr>
                <w:rFonts w:eastAsia="Calibri"/>
                <w:sz w:val="22"/>
              </w:rPr>
            </w:pPr>
            <w:r w:rsidRPr="00B75FD7">
              <w:rPr>
                <w:rFonts w:eastAsia="Calibri"/>
                <w:sz w:val="22"/>
              </w:rPr>
              <w:t>Постільна білизна</w:t>
            </w:r>
          </w:p>
        </w:tc>
        <w:tc>
          <w:tcPr>
            <w:tcW w:w="1847" w:type="dxa"/>
            <w:gridSpan w:val="2"/>
            <w:tcBorders>
              <w:top w:val="single" w:sz="4" w:space="0" w:color="auto"/>
              <w:left w:val="single" w:sz="6" w:space="0" w:color="auto"/>
              <w:bottom w:val="single" w:sz="4" w:space="0" w:color="auto"/>
              <w:right w:val="single" w:sz="6" w:space="0" w:color="auto"/>
            </w:tcBorders>
          </w:tcPr>
          <w:p w:rsidR="005C57BD" w:rsidRPr="00B75FD7" w:rsidRDefault="005C57BD" w:rsidP="001B3967">
            <w:pPr>
              <w:rPr>
                <w:rFonts w:eastAsia="Calibri"/>
                <w:sz w:val="22"/>
              </w:rPr>
            </w:pPr>
            <w:r w:rsidRPr="00B75FD7">
              <w:rPr>
                <w:sz w:val="22"/>
              </w:rPr>
              <w:t>одиниць</w:t>
            </w:r>
          </w:p>
        </w:tc>
        <w:tc>
          <w:tcPr>
            <w:tcW w:w="2022" w:type="dxa"/>
            <w:gridSpan w:val="2"/>
            <w:tcBorders>
              <w:top w:val="single" w:sz="4" w:space="0" w:color="auto"/>
              <w:left w:val="single" w:sz="4" w:space="0" w:color="auto"/>
              <w:bottom w:val="single" w:sz="4" w:space="0" w:color="auto"/>
            </w:tcBorders>
            <w:shd w:val="clear" w:color="auto" w:fill="auto"/>
          </w:tcPr>
          <w:p w:rsidR="005C57BD" w:rsidRPr="00B75FD7" w:rsidRDefault="005C57BD" w:rsidP="001B3967">
            <w:pPr>
              <w:contextualSpacing/>
              <w:rPr>
                <w:rFonts w:eastAsia="Calibri"/>
                <w:sz w:val="22"/>
              </w:rPr>
            </w:pPr>
            <w:r w:rsidRPr="00B75FD7">
              <w:rPr>
                <w:rFonts w:eastAsia="Calibri"/>
                <w:sz w:val="22"/>
              </w:rPr>
              <w:t>550</w:t>
            </w:r>
          </w:p>
        </w:tc>
      </w:tr>
      <w:tr w:rsidR="005C57BD" w:rsidRPr="00B75FD7" w:rsidTr="00297BFF">
        <w:trPr>
          <w:trHeight w:val="215"/>
          <w:jc w:val="center"/>
        </w:trPr>
        <w:tc>
          <w:tcPr>
            <w:tcW w:w="2925" w:type="dxa"/>
            <w:vMerge/>
            <w:shd w:val="clear" w:color="auto" w:fill="C6D9F1" w:themeFill="text2" w:themeFillTint="33"/>
          </w:tcPr>
          <w:p w:rsidR="005C57BD" w:rsidRPr="00B75FD7" w:rsidRDefault="005C57BD" w:rsidP="001B3967">
            <w:pPr>
              <w:contextualSpacing/>
              <w:rPr>
                <w:b/>
                <w:sz w:val="22"/>
              </w:rPr>
            </w:pPr>
          </w:p>
        </w:tc>
        <w:tc>
          <w:tcPr>
            <w:tcW w:w="3236" w:type="dxa"/>
            <w:gridSpan w:val="3"/>
            <w:tcBorders>
              <w:top w:val="single" w:sz="4" w:space="0" w:color="auto"/>
              <w:left w:val="single" w:sz="6" w:space="0" w:color="auto"/>
              <w:bottom w:val="single" w:sz="4" w:space="0" w:color="auto"/>
              <w:right w:val="single" w:sz="6" w:space="0" w:color="auto"/>
            </w:tcBorders>
          </w:tcPr>
          <w:p w:rsidR="005C57BD" w:rsidRPr="00B75FD7" w:rsidRDefault="005C57BD" w:rsidP="000303D7">
            <w:pPr>
              <w:numPr>
                <w:ilvl w:val="0"/>
                <w:numId w:val="80"/>
              </w:numPr>
              <w:autoSpaceDE w:val="0"/>
              <w:autoSpaceDN w:val="0"/>
              <w:adjustRightInd w:val="0"/>
              <w:ind w:left="0" w:hanging="468"/>
              <w:rPr>
                <w:rFonts w:eastAsia="Calibri"/>
                <w:sz w:val="22"/>
              </w:rPr>
            </w:pPr>
            <w:r w:rsidRPr="00B75FD7">
              <w:rPr>
                <w:rFonts w:eastAsia="Calibri"/>
                <w:sz w:val="22"/>
              </w:rPr>
              <w:t>Дитяча ковдра (тепла, байкова, бавовняна)</w:t>
            </w:r>
          </w:p>
        </w:tc>
        <w:tc>
          <w:tcPr>
            <w:tcW w:w="1847" w:type="dxa"/>
            <w:gridSpan w:val="2"/>
            <w:tcBorders>
              <w:top w:val="single" w:sz="4" w:space="0" w:color="auto"/>
              <w:left w:val="single" w:sz="6" w:space="0" w:color="auto"/>
              <w:bottom w:val="single" w:sz="4" w:space="0" w:color="auto"/>
              <w:right w:val="single" w:sz="6" w:space="0" w:color="auto"/>
            </w:tcBorders>
          </w:tcPr>
          <w:p w:rsidR="005C57BD" w:rsidRPr="00B75FD7" w:rsidRDefault="005C57BD" w:rsidP="001B3967">
            <w:pPr>
              <w:rPr>
                <w:rFonts w:eastAsia="Calibri"/>
                <w:sz w:val="22"/>
              </w:rPr>
            </w:pPr>
            <w:r w:rsidRPr="00B75FD7">
              <w:rPr>
                <w:sz w:val="22"/>
              </w:rPr>
              <w:t>одиниць</w:t>
            </w:r>
          </w:p>
        </w:tc>
        <w:tc>
          <w:tcPr>
            <w:tcW w:w="2022" w:type="dxa"/>
            <w:gridSpan w:val="2"/>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contextualSpacing/>
              <w:rPr>
                <w:sz w:val="22"/>
              </w:rPr>
            </w:pPr>
            <w:r w:rsidRPr="00B75FD7">
              <w:rPr>
                <w:rFonts w:eastAsia="Calibri"/>
                <w:sz w:val="22"/>
              </w:rPr>
              <w:t>900</w:t>
            </w:r>
          </w:p>
        </w:tc>
      </w:tr>
      <w:tr w:rsidR="005C57BD" w:rsidRPr="00B75FD7" w:rsidTr="00297BFF">
        <w:trPr>
          <w:trHeight w:val="247"/>
          <w:jc w:val="center"/>
        </w:trPr>
        <w:tc>
          <w:tcPr>
            <w:tcW w:w="2925" w:type="dxa"/>
            <w:vMerge/>
            <w:shd w:val="clear" w:color="auto" w:fill="C6D9F1" w:themeFill="text2" w:themeFillTint="33"/>
          </w:tcPr>
          <w:p w:rsidR="005C57BD" w:rsidRPr="00B75FD7" w:rsidRDefault="005C57BD" w:rsidP="001B3967">
            <w:pPr>
              <w:contextualSpacing/>
              <w:rPr>
                <w:b/>
                <w:sz w:val="22"/>
              </w:rPr>
            </w:pPr>
          </w:p>
        </w:tc>
        <w:tc>
          <w:tcPr>
            <w:tcW w:w="3236" w:type="dxa"/>
            <w:gridSpan w:val="3"/>
            <w:tcBorders>
              <w:top w:val="single" w:sz="4" w:space="0" w:color="auto"/>
              <w:left w:val="single" w:sz="6" w:space="0" w:color="auto"/>
              <w:bottom w:val="single" w:sz="4" w:space="0" w:color="auto"/>
              <w:right w:val="single" w:sz="6" w:space="0" w:color="auto"/>
            </w:tcBorders>
          </w:tcPr>
          <w:p w:rsidR="005C57BD" w:rsidRPr="00B75FD7" w:rsidRDefault="005C57BD" w:rsidP="000303D7">
            <w:pPr>
              <w:numPr>
                <w:ilvl w:val="0"/>
                <w:numId w:val="80"/>
              </w:numPr>
              <w:autoSpaceDE w:val="0"/>
              <w:autoSpaceDN w:val="0"/>
              <w:adjustRightInd w:val="0"/>
              <w:ind w:left="252" w:hanging="720"/>
              <w:jc w:val="left"/>
              <w:rPr>
                <w:rFonts w:eastAsia="Calibri"/>
                <w:sz w:val="22"/>
              </w:rPr>
            </w:pPr>
            <w:r w:rsidRPr="00B75FD7">
              <w:rPr>
                <w:rFonts w:eastAsia="Calibri"/>
                <w:sz w:val="22"/>
              </w:rPr>
              <w:t>Подушки (матраци)</w:t>
            </w:r>
          </w:p>
        </w:tc>
        <w:tc>
          <w:tcPr>
            <w:tcW w:w="1847" w:type="dxa"/>
            <w:gridSpan w:val="2"/>
            <w:tcBorders>
              <w:top w:val="single" w:sz="4" w:space="0" w:color="auto"/>
              <w:left w:val="single" w:sz="6" w:space="0" w:color="auto"/>
              <w:bottom w:val="single" w:sz="4" w:space="0" w:color="auto"/>
              <w:right w:val="single" w:sz="6" w:space="0" w:color="auto"/>
            </w:tcBorders>
          </w:tcPr>
          <w:p w:rsidR="005C57BD" w:rsidRPr="00B75FD7" w:rsidRDefault="005C57BD" w:rsidP="001B3967">
            <w:pPr>
              <w:rPr>
                <w:rFonts w:eastAsia="Calibri"/>
                <w:sz w:val="22"/>
              </w:rPr>
            </w:pPr>
            <w:r w:rsidRPr="00B75FD7">
              <w:rPr>
                <w:sz w:val="22"/>
              </w:rPr>
              <w:t>одиниць</w:t>
            </w:r>
            <w:r w:rsidRPr="00B75FD7">
              <w:rPr>
                <w:rFonts w:eastAsia="Calibri"/>
                <w:sz w:val="22"/>
              </w:rPr>
              <w:t>.</w:t>
            </w:r>
          </w:p>
        </w:tc>
        <w:tc>
          <w:tcPr>
            <w:tcW w:w="2022" w:type="dxa"/>
            <w:gridSpan w:val="2"/>
            <w:tcBorders>
              <w:top w:val="single" w:sz="4" w:space="0" w:color="auto"/>
              <w:left w:val="single" w:sz="4" w:space="0" w:color="auto"/>
              <w:bottom w:val="single" w:sz="4" w:space="0" w:color="auto"/>
            </w:tcBorders>
            <w:shd w:val="clear" w:color="auto" w:fill="auto"/>
          </w:tcPr>
          <w:p w:rsidR="005C57BD" w:rsidRPr="00B75FD7" w:rsidRDefault="005C57BD" w:rsidP="001B3967">
            <w:pPr>
              <w:contextualSpacing/>
              <w:rPr>
                <w:sz w:val="22"/>
              </w:rPr>
            </w:pPr>
            <w:r w:rsidRPr="00B75FD7">
              <w:rPr>
                <w:rFonts w:eastAsia="Calibri"/>
                <w:sz w:val="22"/>
              </w:rPr>
              <w:t>600</w:t>
            </w:r>
          </w:p>
        </w:tc>
      </w:tr>
      <w:tr w:rsidR="005C57BD" w:rsidRPr="00B75FD7" w:rsidTr="00297BFF">
        <w:trPr>
          <w:trHeight w:val="147"/>
          <w:jc w:val="center"/>
        </w:trPr>
        <w:tc>
          <w:tcPr>
            <w:tcW w:w="2925" w:type="dxa"/>
            <w:vMerge/>
            <w:shd w:val="clear" w:color="auto" w:fill="C6D9F1" w:themeFill="text2" w:themeFillTint="33"/>
          </w:tcPr>
          <w:p w:rsidR="005C57BD" w:rsidRPr="00B75FD7" w:rsidRDefault="005C57BD" w:rsidP="001B3967">
            <w:pPr>
              <w:contextualSpacing/>
              <w:rPr>
                <w:b/>
                <w:sz w:val="22"/>
              </w:rPr>
            </w:pPr>
          </w:p>
        </w:tc>
        <w:tc>
          <w:tcPr>
            <w:tcW w:w="3236" w:type="dxa"/>
            <w:gridSpan w:val="3"/>
            <w:tcBorders>
              <w:top w:val="single" w:sz="4" w:space="0" w:color="auto"/>
              <w:left w:val="single" w:sz="6" w:space="0" w:color="auto"/>
              <w:bottom w:val="single" w:sz="4" w:space="0" w:color="auto"/>
              <w:right w:val="single" w:sz="6" w:space="0" w:color="auto"/>
            </w:tcBorders>
          </w:tcPr>
          <w:p w:rsidR="005C57BD" w:rsidRPr="00B75FD7" w:rsidRDefault="005C57BD" w:rsidP="000303D7">
            <w:pPr>
              <w:numPr>
                <w:ilvl w:val="0"/>
                <w:numId w:val="80"/>
              </w:numPr>
              <w:autoSpaceDE w:val="0"/>
              <w:autoSpaceDN w:val="0"/>
              <w:adjustRightInd w:val="0"/>
              <w:ind w:left="252" w:hanging="720"/>
              <w:jc w:val="left"/>
              <w:rPr>
                <w:rFonts w:eastAsia="Calibri"/>
                <w:sz w:val="22"/>
              </w:rPr>
            </w:pPr>
            <w:r w:rsidRPr="00B75FD7">
              <w:rPr>
                <w:rFonts w:eastAsia="Calibri"/>
                <w:sz w:val="22"/>
              </w:rPr>
              <w:t>Рушники (махрові, вафельні)</w:t>
            </w:r>
          </w:p>
        </w:tc>
        <w:tc>
          <w:tcPr>
            <w:tcW w:w="1847" w:type="dxa"/>
            <w:gridSpan w:val="2"/>
            <w:tcBorders>
              <w:top w:val="single" w:sz="4" w:space="0" w:color="auto"/>
              <w:left w:val="single" w:sz="6" w:space="0" w:color="auto"/>
              <w:bottom w:val="single" w:sz="4" w:space="0" w:color="auto"/>
              <w:right w:val="single" w:sz="6" w:space="0" w:color="auto"/>
            </w:tcBorders>
          </w:tcPr>
          <w:p w:rsidR="005C57BD" w:rsidRPr="00B75FD7" w:rsidRDefault="005C57BD" w:rsidP="001B3967">
            <w:pPr>
              <w:rPr>
                <w:rFonts w:eastAsia="Calibri"/>
                <w:sz w:val="22"/>
              </w:rPr>
            </w:pPr>
            <w:r w:rsidRPr="00B75FD7">
              <w:rPr>
                <w:sz w:val="22"/>
              </w:rPr>
              <w:t>одиниць</w:t>
            </w:r>
          </w:p>
        </w:tc>
        <w:tc>
          <w:tcPr>
            <w:tcW w:w="2022" w:type="dxa"/>
            <w:gridSpan w:val="2"/>
            <w:tcBorders>
              <w:top w:val="single" w:sz="4" w:space="0" w:color="auto"/>
              <w:left w:val="single" w:sz="4" w:space="0" w:color="auto"/>
              <w:bottom w:val="single" w:sz="4" w:space="0" w:color="auto"/>
            </w:tcBorders>
            <w:shd w:val="clear" w:color="auto" w:fill="auto"/>
          </w:tcPr>
          <w:p w:rsidR="005C57BD" w:rsidRPr="00B75FD7" w:rsidRDefault="005C57BD" w:rsidP="001B3967">
            <w:pPr>
              <w:contextualSpacing/>
              <w:rPr>
                <w:sz w:val="22"/>
              </w:rPr>
            </w:pPr>
            <w:r w:rsidRPr="00B75FD7">
              <w:rPr>
                <w:sz w:val="22"/>
              </w:rPr>
              <w:t>1600</w:t>
            </w:r>
          </w:p>
        </w:tc>
      </w:tr>
      <w:tr w:rsidR="005C57BD" w:rsidRPr="00B75FD7" w:rsidTr="00297BFF">
        <w:trPr>
          <w:trHeight w:val="183"/>
          <w:jc w:val="center"/>
        </w:trPr>
        <w:tc>
          <w:tcPr>
            <w:tcW w:w="2925" w:type="dxa"/>
            <w:vMerge/>
            <w:shd w:val="clear" w:color="auto" w:fill="C6D9F1" w:themeFill="text2" w:themeFillTint="33"/>
          </w:tcPr>
          <w:p w:rsidR="005C57BD" w:rsidRPr="00B75FD7" w:rsidRDefault="005C57BD" w:rsidP="001B3967">
            <w:pPr>
              <w:contextualSpacing/>
              <w:rPr>
                <w:b/>
                <w:sz w:val="22"/>
              </w:rPr>
            </w:pPr>
          </w:p>
        </w:tc>
        <w:tc>
          <w:tcPr>
            <w:tcW w:w="3236" w:type="dxa"/>
            <w:gridSpan w:val="3"/>
            <w:tcBorders>
              <w:top w:val="single" w:sz="4" w:space="0" w:color="auto"/>
              <w:left w:val="single" w:sz="6" w:space="0" w:color="auto"/>
              <w:bottom w:val="single" w:sz="4" w:space="0" w:color="auto"/>
              <w:right w:val="single" w:sz="6" w:space="0" w:color="auto"/>
            </w:tcBorders>
          </w:tcPr>
          <w:p w:rsidR="005C57BD" w:rsidRPr="00B75FD7" w:rsidRDefault="005C57BD" w:rsidP="000303D7">
            <w:pPr>
              <w:numPr>
                <w:ilvl w:val="0"/>
                <w:numId w:val="80"/>
              </w:numPr>
              <w:autoSpaceDE w:val="0"/>
              <w:autoSpaceDN w:val="0"/>
              <w:adjustRightInd w:val="0"/>
              <w:ind w:left="252" w:hanging="720"/>
              <w:jc w:val="left"/>
              <w:rPr>
                <w:rFonts w:eastAsia="Calibri"/>
                <w:sz w:val="22"/>
              </w:rPr>
            </w:pPr>
            <w:r w:rsidRPr="00B75FD7">
              <w:rPr>
                <w:rFonts w:eastAsia="Calibri"/>
                <w:sz w:val="22"/>
              </w:rPr>
              <w:t>Килими(4*6м)</w:t>
            </w:r>
          </w:p>
        </w:tc>
        <w:tc>
          <w:tcPr>
            <w:tcW w:w="1847" w:type="dxa"/>
            <w:gridSpan w:val="2"/>
            <w:tcBorders>
              <w:top w:val="single" w:sz="4" w:space="0" w:color="auto"/>
              <w:left w:val="single" w:sz="6" w:space="0" w:color="auto"/>
              <w:bottom w:val="single" w:sz="4" w:space="0" w:color="auto"/>
              <w:right w:val="single" w:sz="6" w:space="0" w:color="auto"/>
            </w:tcBorders>
          </w:tcPr>
          <w:p w:rsidR="005C57BD" w:rsidRPr="00B75FD7" w:rsidRDefault="005C57BD" w:rsidP="001B3967">
            <w:pPr>
              <w:rPr>
                <w:rFonts w:eastAsia="Calibri"/>
                <w:sz w:val="22"/>
              </w:rPr>
            </w:pPr>
            <w:r w:rsidRPr="00B75FD7">
              <w:rPr>
                <w:sz w:val="22"/>
              </w:rPr>
              <w:t>одиниць</w:t>
            </w:r>
          </w:p>
        </w:tc>
        <w:tc>
          <w:tcPr>
            <w:tcW w:w="2022" w:type="dxa"/>
            <w:gridSpan w:val="2"/>
            <w:tcBorders>
              <w:top w:val="single" w:sz="4" w:space="0" w:color="auto"/>
              <w:left w:val="single" w:sz="4" w:space="0" w:color="auto"/>
              <w:bottom w:val="single" w:sz="4" w:space="0" w:color="auto"/>
            </w:tcBorders>
            <w:shd w:val="clear" w:color="auto" w:fill="auto"/>
          </w:tcPr>
          <w:p w:rsidR="005C57BD" w:rsidRPr="00B75FD7" w:rsidRDefault="005C57BD" w:rsidP="001B3967">
            <w:pPr>
              <w:contextualSpacing/>
              <w:rPr>
                <w:sz w:val="22"/>
              </w:rPr>
            </w:pPr>
            <w:r w:rsidRPr="00B75FD7">
              <w:rPr>
                <w:rFonts w:eastAsia="Calibri"/>
                <w:sz w:val="22"/>
              </w:rPr>
              <w:t>16</w:t>
            </w:r>
          </w:p>
        </w:tc>
      </w:tr>
      <w:tr w:rsidR="005C57BD" w:rsidRPr="00B75FD7" w:rsidTr="00297BFF">
        <w:trPr>
          <w:trHeight w:val="204"/>
          <w:jc w:val="center"/>
        </w:trPr>
        <w:tc>
          <w:tcPr>
            <w:tcW w:w="2925" w:type="dxa"/>
            <w:vMerge/>
            <w:shd w:val="clear" w:color="auto" w:fill="C6D9F1" w:themeFill="text2" w:themeFillTint="33"/>
          </w:tcPr>
          <w:p w:rsidR="005C57BD" w:rsidRPr="00B75FD7" w:rsidRDefault="005C57BD" w:rsidP="001B3967">
            <w:pPr>
              <w:contextualSpacing/>
              <w:rPr>
                <w:b/>
                <w:sz w:val="22"/>
              </w:rPr>
            </w:pPr>
          </w:p>
        </w:tc>
        <w:tc>
          <w:tcPr>
            <w:tcW w:w="3236" w:type="dxa"/>
            <w:gridSpan w:val="3"/>
            <w:tcBorders>
              <w:top w:val="single" w:sz="4" w:space="0" w:color="auto"/>
              <w:left w:val="single" w:sz="6" w:space="0" w:color="auto"/>
              <w:bottom w:val="single" w:sz="4" w:space="0" w:color="auto"/>
              <w:right w:val="single" w:sz="6" w:space="0" w:color="auto"/>
            </w:tcBorders>
          </w:tcPr>
          <w:p w:rsidR="005C57BD" w:rsidRPr="00B75FD7" w:rsidRDefault="005C57BD" w:rsidP="000303D7">
            <w:pPr>
              <w:numPr>
                <w:ilvl w:val="0"/>
                <w:numId w:val="80"/>
              </w:numPr>
              <w:autoSpaceDE w:val="0"/>
              <w:autoSpaceDN w:val="0"/>
              <w:adjustRightInd w:val="0"/>
              <w:ind w:left="252" w:hanging="720"/>
              <w:jc w:val="left"/>
              <w:rPr>
                <w:rFonts w:eastAsia="Calibri"/>
                <w:sz w:val="22"/>
              </w:rPr>
            </w:pPr>
            <w:r w:rsidRPr="00B75FD7">
              <w:rPr>
                <w:rFonts w:eastAsia="Calibri"/>
                <w:sz w:val="22"/>
              </w:rPr>
              <w:t xml:space="preserve">Штори </w:t>
            </w:r>
          </w:p>
        </w:tc>
        <w:tc>
          <w:tcPr>
            <w:tcW w:w="1847" w:type="dxa"/>
            <w:gridSpan w:val="2"/>
            <w:tcBorders>
              <w:top w:val="single" w:sz="4" w:space="0" w:color="auto"/>
              <w:left w:val="single" w:sz="6" w:space="0" w:color="auto"/>
              <w:bottom w:val="single" w:sz="4" w:space="0" w:color="auto"/>
              <w:right w:val="single" w:sz="6" w:space="0" w:color="auto"/>
            </w:tcBorders>
          </w:tcPr>
          <w:p w:rsidR="005C57BD" w:rsidRPr="00B75FD7" w:rsidRDefault="005C57BD" w:rsidP="001B3967">
            <w:pPr>
              <w:rPr>
                <w:rFonts w:eastAsia="Calibri"/>
                <w:sz w:val="22"/>
              </w:rPr>
            </w:pPr>
            <w:r w:rsidRPr="00B75FD7">
              <w:rPr>
                <w:rFonts w:eastAsia="Calibri"/>
                <w:sz w:val="22"/>
              </w:rPr>
              <w:t>м</w:t>
            </w:r>
          </w:p>
        </w:tc>
        <w:tc>
          <w:tcPr>
            <w:tcW w:w="2022" w:type="dxa"/>
            <w:gridSpan w:val="2"/>
            <w:tcBorders>
              <w:top w:val="single" w:sz="4" w:space="0" w:color="auto"/>
              <w:left w:val="single" w:sz="4" w:space="0" w:color="auto"/>
              <w:bottom w:val="single" w:sz="4" w:space="0" w:color="auto"/>
            </w:tcBorders>
            <w:shd w:val="clear" w:color="auto" w:fill="auto"/>
          </w:tcPr>
          <w:p w:rsidR="005C57BD" w:rsidRPr="00B75FD7" w:rsidRDefault="005C57BD" w:rsidP="001B3967">
            <w:pPr>
              <w:contextualSpacing/>
              <w:rPr>
                <w:sz w:val="22"/>
              </w:rPr>
            </w:pPr>
          </w:p>
        </w:tc>
      </w:tr>
      <w:tr w:rsidR="005C57BD" w:rsidRPr="00B75FD7" w:rsidTr="00297BFF">
        <w:trPr>
          <w:trHeight w:val="216"/>
          <w:jc w:val="center"/>
        </w:trPr>
        <w:tc>
          <w:tcPr>
            <w:tcW w:w="2925" w:type="dxa"/>
            <w:vMerge/>
            <w:shd w:val="clear" w:color="auto" w:fill="C6D9F1" w:themeFill="text2" w:themeFillTint="33"/>
          </w:tcPr>
          <w:p w:rsidR="005C57BD" w:rsidRPr="00B75FD7" w:rsidRDefault="005C57BD" w:rsidP="001B3967">
            <w:pPr>
              <w:contextualSpacing/>
              <w:rPr>
                <w:b/>
                <w:sz w:val="22"/>
              </w:rPr>
            </w:pPr>
          </w:p>
        </w:tc>
        <w:tc>
          <w:tcPr>
            <w:tcW w:w="3236" w:type="dxa"/>
            <w:gridSpan w:val="3"/>
            <w:tcBorders>
              <w:top w:val="single" w:sz="4" w:space="0" w:color="auto"/>
              <w:left w:val="single" w:sz="6" w:space="0" w:color="auto"/>
              <w:bottom w:val="single" w:sz="4" w:space="0" w:color="auto"/>
              <w:right w:val="single" w:sz="6" w:space="0" w:color="auto"/>
            </w:tcBorders>
          </w:tcPr>
          <w:p w:rsidR="005C57BD" w:rsidRPr="00B75FD7" w:rsidRDefault="005C57BD" w:rsidP="001B3967">
            <w:pPr>
              <w:autoSpaceDE w:val="0"/>
              <w:autoSpaceDN w:val="0"/>
              <w:adjustRightInd w:val="0"/>
              <w:rPr>
                <w:rFonts w:eastAsia="Calibri"/>
                <w:sz w:val="22"/>
              </w:rPr>
            </w:pPr>
            <w:r w:rsidRPr="00B75FD7">
              <w:rPr>
                <w:rFonts w:eastAsia="Calibri"/>
                <w:sz w:val="22"/>
              </w:rPr>
              <w:t>Комп’ютерна техніка</w:t>
            </w:r>
          </w:p>
        </w:tc>
        <w:tc>
          <w:tcPr>
            <w:tcW w:w="1847" w:type="dxa"/>
            <w:gridSpan w:val="2"/>
            <w:tcBorders>
              <w:top w:val="single" w:sz="4" w:space="0" w:color="auto"/>
              <w:left w:val="single" w:sz="6" w:space="0" w:color="auto"/>
              <w:bottom w:val="single" w:sz="4" w:space="0" w:color="auto"/>
              <w:right w:val="single" w:sz="6" w:space="0" w:color="auto"/>
            </w:tcBorders>
          </w:tcPr>
          <w:p w:rsidR="005C57BD" w:rsidRPr="00B75FD7" w:rsidRDefault="005C57BD" w:rsidP="001B3967">
            <w:pPr>
              <w:rPr>
                <w:rFonts w:eastAsia="Calibri"/>
                <w:sz w:val="22"/>
              </w:rPr>
            </w:pPr>
            <w:r w:rsidRPr="00B75FD7">
              <w:rPr>
                <w:sz w:val="22"/>
              </w:rPr>
              <w:t>одиниць</w:t>
            </w:r>
          </w:p>
        </w:tc>
        <w:tc>
          <w:tcPr>
            <w:tcW w:w="2022" w:type="dxa"/>
            <w:gridSpan w:val="2"/>
            <w:tcBorders>
              <w:top w:val="single" w:sz="4" w:space="0" w:color="auto"/>
              <w:left w:val="single" w:sz="4" w:space="0" w:color="auto"/>
              <w:bottom w:val="single" w:sz="4" w:space="0" w:color="auto"/>
            </w:tcBorders>
            <w:shd w:val="clear" w:color="auto" w:fill="auto"/>
          </w:tcPr>
          <w:p w:rsidR="005C57BD" w:rsidRPr="00B75FD7" w:rsidRDefault="005C57BD" w:rsidP="001B3967">
            <w:pPr>
              <w:contextualSpacing/>
              <w:rPr>
                <w:sz w:val="22"/>
              </w:rPr>
            </w:pPr>
            <w:r w:rsidRPr="00B75FD7">
              <w:rPr>
                <w:sz w:val="22"/>
              </w:rPr>
              <w:t>60</w:t>
            </w:r>
          </w:p>
        </w:tc>
      </w:tr>
      <w:tr w:rsidR="005C57BD" w:rsidRPr="00B75FD7" w:rsidTr="00297BFF">
        <w:trPr>
          <w:trHeight w:val="216"/>
          <w:jc w:val="center"/>
        </w:trPr>
        <w:tc>
          <w:tcPr>
            <w:tcW w:w="2925" w:type="dxa"/>
            <w:vMerge/>
            <w:shd w:val="clear" w:color="auto" w:fill="C6D9F1" w:themeFill="text2" w:themeFillTint="33"/>
          </w:tcPr>
          <w:p w:rsidR="005C57BD" w:rsidRPr="00B75FD7" w:rsidRDefault="005C57BD" w:rsidP="001B3967">
            <w:pPr>
              <w:contextualSpacing/>
              <w:rPr>
                <w:b/>
                <w:sz w:val="22"/>
              </w:rPr>
            </w:pPr>
          </w:p>
        </w:tc>
        <w:tc>
          <w:tcPr>
            <w:tcW w:w="3236" w:type="dxa"/>
            <w:gridSpan w:val="3"/>
            <w:tcBorders>
              <w:top w:val="single" w:sz="4" w:space="0" w:color="auto"/>
              <w:left w:val="single" w:sz="6" w:space="0" w:color="auto"/>
              <w:bottom w:val="single" w:sz="4" w:space="0" w:color="auto"/>
              <w:right w:val="single" w:sz="6" w:space="0" w:color="auto"/>
            </w:tcBorders>
          </w:tcPr>
          <w:p w:rsidR="005C57BD" w:rsidRPr="00B75FD7" w:rsidRDefault="005C57BD" w:rsidP="001B3967">
            <w:pPr>
              <w:autoSpaceDE w:val="0"/>
              <w:autoSpaceDN w:val="0"/>
              <w:adjustRightInd w:val="0"/>
              <w:rPr>
                <w:rFonts w:eastAsia="Calibri"/>
                <w:sz w:val="22"/>
              </w:rPr>
            </w:pPr>
            <w:r w:rsidRPr="00B75FD7">
              <w:rPr>
                <w:rFonts w:eastAsia="Calibri"/>
                <w:sz w:val="22"/>
              </w:rPr>
              <w:t xml:space="preserve">Оперативна система </w:t>
            </w:r>
            <w:r w:rsidRPr="00B75FD7">
              <w:rPr>
                <w:rFonts w:eastAsia="Calibri"/>
                <w:sz w:val="22"/>
                <w:lang w:val="en-US"/>
              </w:rPr>
              <w:t>Windows 10 64 bit</w:t>
            </w:r>
          </w:p>
        </w:tc>
        <w:tc>
          <w:tcPr>
            <w:tcW w:w="1847" w:type="dxa"/>
            <w:gridSpan w:val="2"/>
            <w:tcBorders>
              <w:top w:val="single" w:sz="4" w:space="0" w:color="auto"/>
              <w:left w:val="single" w:sz="6" w:space="0" w:color="auto"/>
              <w:bottom w:val="single" w:sz="4" w:space="0" w:color="auto"/>
              <w:right w:val="single" w:sz="6" w:space="0" w:color="auto"/>
            </w:tcBorders>
          </w:tcPr>
          <w:p w:rsidR="005C57BD" w:rsidRPr="00B75FD7" w:rsidRDefault="005C57BD" w:rsidP="001B3967">
            <w:pPr>
              <w:rPr>
                <w:rFonts w:eastAsia="Calibri"/>
                <w:sz w:val="22"/>
              </w:rPr>
            </w:pPr>
            <w:r w:rsidRPr="00B75FD7">
              <w:rPr>
                <w:sz w:val="22"/>
              </w:rPr>
              <w:t>одиниць</w:t>
            </w:r>
          </w:p>
        </w:tc>
        <w:tc>
          <w:tcPr>
            <w:tcW w:w="2022" w:type="dxa"/>
            <w:gridSpan w:val="2"/>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rPr>
                <w:rFonts w:eastAsia="Calibri"/>
                <w:sz w:val="22"/>
              </w:rPr>
            </w:pPr>
            <w:r w:rsidRPr="00B75FD7">
              <w:rPr>
                <w:rFonts w:eastAsia="Calibri"/>
                <w:sz w:val="22"/>
              </w:rPr>
              <w:t xml:space="preserve">12 </w:t>
            </w:r>
          </w:p>
          <w:p w:rsidR="005C57BD" w:rsidRPr="00B75FD7" w:rsidRDefault="005C57BD" w:rsidP="001B3967">
            <w:pPr>
              <w:contextualSpacing/>
              <w:rPr>
                <w:sz w:val="22"/>
              </w:rPr>
            </w:pPr>
          </w:p>
        </w:tc>
      </w:tr>
      <w:tr w:rsidR="005C57BD" w:rsidRPr="00B75FD7" w:rsidTr="00297BFF">
        <w:trPr>
          <w:trHeight w:val="180"/>
          <w:jc w:val="center"/>
        </w:trPr>
        <w:tc>
          <w:tcPr>
            <w:tcW w:w="2925" w:type="dxa"/>
            <w:vMerge/>
            <w:shd w:val="clear" w:color="auto" w:fill="C6D9F1" w:themeFill="text2" w:themeFillTint="33"/>
          </w:tcPr>
          <w:p w:rsidR="005C57BD" w:rsidRPr="00B75FD7" w:rsidRDefault="005C57BD" w:rsidP="001B3967">
            <w:pPr>
              <w:contextualSpacing/>
              <w:rPr>
                <w:b/>
                <w:sz w:val="22"/>
              </w:rPr>
            </w:pPr>
          </w:p>
        </w:tc>
        <w:tc>
          <w:tcPr>
            <w:tcW w:w="3236" w:type="dxa"/>
            <w:gridSpan w:val="3"/>
            <w:tcBorders>
              <w:top w:val="single" w:sz="4" w:space="0" w:color="auto"/>
              <w:left w:val="single" w:sz="6" w:space="0" w:color="auto"/>
              <w:bottom w:val="single" w:sz="4" w:space="0" w:color="auto"/>
              <w:right w:val="single" w:sz="6" w:space="0" w:color="auto"/>
            </w:tcBorders>
          </w:tcPr>
          <w:p w:rsidR="005C57BD" w:rsidRPr="00B75FD7" w:rsidRDefault="005C57BD" w:rsidP="000303D7">
            <w:pPr>
              <w:numPr>
                <w:ilvl w:val="0"/>
                <w:numId w:val="80"/>
              </w:numPr>
              <w:autoSpaceDE w:val="0"/>
              <w:autoSpaceDN w:val="0"/>
              <w:adjustRightInd w:val="0"/>
              <w:ind w:left="252" w:hanging="720"/>
              <w:jc w:val="left"/>
              <w:rPr>
                <w:rFonts w:eastAsia="Calibri"/>
                <w:sz w:val="22"/>
              </w:rPr>
            </w:pPr>
            <w:r w:rsidRPr="00B75FD7">
              <w:rPr>
                <w:rFonts w:eastAsia="Calibri"/>
                <w:sz w:val="22"/>
              </w:rPr>
              <w:t>Наочно-дидактичний матеріал</w:t>
            </w:r>
          </w:p>
          <w:p w:rsidR="005C57BD" w:rsidRPr="00B75FD7" w:rsidRDefault="005C57BD" w:rsidP="000303D7">
            <w:pPr>
              <w:numPr>
                <w:ilvl w:val="0"/>
                <w:numId w:val="80"/>
              </w:numPr>
              <w:autoSpaceDE w:val="0"/>
              <w:autoSpaceDN w:val="0"/>
              <w:adjustRightInd w:val="0"/>
              <w:ind w:left="252" w:hanging="720"/>
              <w:jc w:val="left"/>
              <w:rPr>
                <w:rFonts w:eastAsia="Calibri"/>
                <w:sz w:val="22"/>
              </w:rPr>
            </w:pPr>
          </w:p>
        </w:tc>
        <w:tc>
          <w:tcPr>
            <w:tcW w:w="1847" w:type="dxa"/>
            <w:gridSpan w:val="2"/>
            <w:tcBorders>
              <w:top w:val="single" w:sz="4" w:space="0" w:color="auto"/>
              <w:left w:val="single" w:sz="6" w:space="0" w:color="auto"/>
              <w:bottom w:val="single" w:sz="4" w:space="0" w:color="auto"/>
              <w:right w:val="single" w:sz="6" w:space="0" w:color="auto"/>
            </w:tcBorders>
          </w:tcPr>
          <w:p w:rsidR="005C57BD" w:rsidRPr="00B75FD7" w:rsidRDefault="005C57BD" w:rsidP="001B3967">
            <w:pPr>
              <w:rPr>
                <w:rFonts w:eastAsia="Calibri"/>
                <w:sz w:val="22"/>
              </w:rPr>
            </w:pPr>
            <w:r w:rsidRPr="00B75FD7">
              <w:rPr>
                <w:sz w:val="22"/>
              </w:rPr>
              <w:t>одиниць</w:t>
            </w:r>
          </w:p>
        </w:tc>
        <w:tc>
          <w:tcPr>
            <w:tcW w:w="2022" w:type="dxa"/>
            <w:gridSpan w:val="2"/>
            <w:tcBorders>
              <w:top w:val="single" w:sz="4" w:space="0" w:color="auto"/>
              <w:left w:val="single" w:sz="4" w:space="0" w:color="auto"/>
              <w:bottom w:val="single" w:sz="4" w:space="0" w:color="auto"/>
            </w:tcBorders>
            <w:shd w:val="clear" w:color="auto" w:fill="auto"/>
          </w:tcPr>
          <w:p w:rsidR="005C57BD" w:rsidRPr="00B75FD7" w:rsidRDefault="005C57BD" w:rsidP="001B3967">
            <w:pPr>
              <w:contextualSpacing/>
              <w:rPr>
                <w:sz w:val="22"/>
              </w:rPr>
            </w:pPr>
            <w:r w:rsidRPr="00B75FD7">
              <w:rPr>
                <w:rFonts w:eastAsia="Calibri"/>
                <w:sz w:val="22"/>
              </w:rPr>
              <w:t>Відповідно до переліку</w:t>
            </w:r>
          </w:p>
        </w:tc>
      </w:tr>
      <w:tr w:rsidR="005C57BD" w:rsidRPr="00B75FD7" w:rsidTr="00297BFF">
        <w:trPr>
          <w:trHeight w:val="287"/>
          <w:jc w:val="center"/>
        </w:trPr>
        <w:tc>
          <w:tcPr>
            <w:tcW w:w="2925" w:type="dxa"/>
            <w:vMerge/>
            <w:shd w:val="clear" w:color="auto" w:fill="C6D9F1" w:themeFill="text2" w:themeFillTint="33"/>
          </w:tcPr>
          <w:p w:rsidR="005C57BD" w:rsidRPr="00B75FD7" w:rsidRDefault="005C57BD" w:rsidP="001B3967">
            <w:pPr>
              <w:contextualSpacing/>
              <w:rPr>
                <w:b/>
                <w:sz w:val="22"/>
              </w:rPr>
            </w:pPr>
          </w:p>
        </w:tc>
        <w:tc>
          <w:tcPr>
            <w:tcW w:w="3236" w:type="dxa"/>
            <w:gridSpan w:val="3"/>
            <w:tcBorders>
              <w:top w:val="single" w:sz="4" w:space="0" w:color="auto"/>
              <w:left w:val="single" w:sz="6" w:space="0" w:color="auto"/>
              <w:bottom w:val="single" w:sz="4" w:space="0" w:color="auto"/>
              <w:right w:val="single" w:sz="6" w:space="0" w:color="auto"/>
            </w:tcBorders>
          </w:tcPr>
          <w:p w:rsidR="005C57BD" w:rsidRPr="00B75FD7" w:rsidRDefault="005C57BD" w:rsidP="000303D7">
            <w:pPr>
              <w:numPr>
                <w:ilvl w:val="0"/>
                <w:numId w:val="80"/>
              </w:numPr>
              <w:autoSpaceDE w:val="0"/>
              <w:autoSpaceDN w:val="0"/>
              <w:adjustRightInd w:val="0"/>
              <w:ind w:left="252" w:hanging="720"/>
              <w:jc w:val="left"/>
              <w:rPr>
                <w:rFonts w:eastAsia="Calibri"/>
                <w:sz w:val="22"/>
              </w:rPr>
            </w:pPr>
            <w:r w:rsidRPr="00B75FD7">
              <w:rPr>
                <w:rFonts w:eastAsia="Calibri"/>
                <w:sz w:val="22"/>
              </w:rPr>
              <w:t>Оснащення медичного кабінету</w:t>
            </w:r>
          </w:p>
        </w:tc>
        <w:tc>
          <w:tcPr>
            <w:tcW w:w="1847" w:type="dxa"/>
            <w:gridSpan w:val="2"/>
            <w:tcBorders>
              <w:top w:val="single" w:sz="4" w:space="0" w:color="auto"/>
              <w:left w:val="single" w:sz="6" w:space="0" w:color="auto"/>
              <w:bottom w:val="single" w:sz="4" w:space="0" w:color="auto"/>
              <w:right w:val="single" w:sz="6" w:space="0" w:color="auto"/>
            </w:tcBorders>
          </w:tcPr>
          <w:p w:rsidR="005C57BD" w:rsidRPr="00B75FD7" w:rsidRDefault="005C57BD" w:rsidP="001B3967">
            <w:pPr>
              <w:rPr>
                <w:rFonts w:eastAsia="Calibri"/>
                <w:sz w:val="22"/>
              </w:rPr>
            </w:pPr>
            <w:r w:rsidRPr="00B75FD7">
              <w:rPr>
                <w:sz w:val="22"/>
              </w:rPr>
              <w:t>одиниць</w:t>
            </w:r>
          </w:p>
        </w:tc>
        <w:tc>
          <w:tcPr>
            <w:tcW w:w="2022" w:type="dxa"/>
            <w:gridSpan w:val="2"/>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contextualSpacing/>
              <w:rPr>
                <w:sz w:val="22"/>
              </w:rPr>
            </w:pPr>
            <w:r w:rsidRPr="00B75FD7">
              <w:rPr>
                <w:sz w:val="22"/>
              </w:rPr>
              <w:t>Відповідно до переліку</w:t>
            </w:r>
          </w:p>
        </w:tc>
      </w:tr>
      <w:tr w:rsidR="005C57BD" w:rsidRPr="00B75FD7" w:rsidTr="00297BFF">
        <w:trPr>
          <w:trHeight w:val="175"/>
          <w:jc w:val="center"/>
        </w:trPr>
        <w:tc>
          <w:tcPr>
            <w:tcW w:w="2925" w:type="dxa"/>
            <w:vMerge/>
            <w:shd w:val="clear" w:color="auto" w:fill="C6D9F1" w:themeFill="text2" w:themeFillTint="33"/>
          </w:tcPr>
          <w:p w:rsidR="005C57BD" w:rsidRPr="00B75FD7" w:rsidRDefault="005C57BD" w:rsidP="001B3967">
            <w:pPr>
              <w:contextualSpacing/>
              <w:rPr>
                <w:b/>
                <w:sz w:val="22"/>
              </w:rPr>
            </w:pPr>
          </w:p>
        </w:tc>
        <w:tc>
          <w:tcPr>
            <w:tcW w:w="3236" w:type="dxa"/>
            <w:gridSpan w:val="3"/>
            <w:tcBorders>
              <w:top w:val="single" w:sz="4" w:space="0" w:color="auto"/>
              <w:left w:val="single" w:sz="6" w:space="0" w:color="auto"/>
              <w:bottom w:val="single" w:sz="4" w:space="0" w:color="auto"/>
              <w:right w:val="single" w:sz="6" w:space="0" w:color="auto"/>
            </w:tcBorders>
          </w:tcPr>
          <w:p w:rsidR="005C57BD" w:rsidRPr="00B75FD7" w:rsidRDefault="005C57BD" w:rsidP="000303D7">
            <w:pPr>
              <w:numPr>
                <w:ilvl w:val="0"/>
                <w:numId w:val="80"/>
              </w:numPr>
              <w:autoSpaceDE w:val="0"/>
              <w:autoSpaceDN w:val="0"/>
              <w:adjustRightInd w:val="0"/>
              <w:ind w:left="252" w:hanging="720"/>
              <w:jc w:val="left"/>
              <w:rPr>
                <w:rFonts w:eastAsia="Calibri"/>
                <w:sz w:val="22"/>
              </w:rPr>
            </w:pPr>
            <w:r w:rsidRPr="00B75FD7">
              <w:rPr>
                <w:rFonts w:eastAsia="Calibri"/>
                <w:sz w:val="22"/>
              </w:rPr>
              <w:t>Оснащення музичної зали</w:t>
            </w:r>
          </w:p>
        </w:tc>
        <w:tc>
          <w:tcPr>
            <w:tcW w:w="1847" w:type="dxa"/>
            <w:gridSpan w:val="2"/>
            <w:tcBorders>
              <w:top w:val="single" w:sz="4" w:space="0" w:color="auto"/>
              <w:left w:val="single" w:sz="6" w:space="0" w:color="auto"/>
              <w:bottom w:val="single" w:sz="4" w:space="0" w:color="auto"/>
              <w:right w:val="single" w:sz="6" w:space="0" w:color="auto"/>
            </w:tcBorders>
          </w:tcPr>
          <w:p w:rsidR="005C57BD" w:rsidRPr="00B75FD7" w:rsidRDefault="005C57BD" w:rsidP="001B3967">
            <w:pPr>
              <w:rPr>
                <w:rFonts w:eastAsia="Calibri"/>
                <w:sz w:val="22"/>
              </w:rPr>
            </w:pPr>
            <w:r w:rsidRPr="00B75FD7">
              <w:rPr>
                <w:sz w:val="22"/>
              </w:rPr>
              <w:t>одиниць</w:t>
            </w:r>
          </w:p>
        </w:tc>
        <w:tc>
          <w:tcPr>
            <w:tcW w:w="2022" w:type="dxa"/>
            <w:gridSpan w:val="2"/>
            <w:tcBorders>
              <w:top w:val="single" w:sz="4" w:space="0" w:color="auto"/>
              <w:left w:val="single" w:sz="4" w:space="0" w:color="auto"/>
              <w:bottom w:val="single" w:sz="4" w:space="0" w:color="auto"/>
            </w:tcBorders>
            <w:shd w:val="clear" w:color="auto" w:fill="auto"/>
          </w:tcPr>
          <w:p w:rsidR="005C57BD" w:rsidRPr="00B75FD7" w:rsidRDefault="005C57BD" w:rsidP="001B3967">
            <w:pPr>
              <w:contextualSpacing/>
              <w:rPr>
                <w:rFonts w:eastAsia="Calibri"/>
                <w:sz w:val="22"/>
              </w:rPr>
            </w:pPr>
            <w:r w:rsidRPr="00B75FD7">
              <w:rPr>
                <w:sz w:val="22"/>
              </w:rPr>
              <w:t>Відповідно до переліку</w:t>
            </w:r>
          </w:p>
        </w:tc>
      </w:tr>
      <w:tr w:rsidR="005C57BD" w:rsidRPr="00B75FD7" w:rsidTr="00297BFF">
        <w:trPr>
          <w:trHeight w:val="261"/>
          <w:jc w:val="center"/>
        </w:trPr>
        <w:tc>
          <w:tcPr>
            <w:tcW w:w="2925" w:type="dxa"/>
            <w:vMerge/>
            <w:shd w:val="clear" w:color="auto" w:fill="C6D9F1" w:themeFill="text2" w:themeFillTint="33"/>
          </w:tcPr>
          <w:p w:rsidR="005C57BD" w:rsidRPr="00B75FD7" w:rsidRDefault="005C57BD" w:rsidP="001B3967">
            <w:pPr>
              <w:contextualSpacing/>
              <w:rPr>
                <w:b/>
                <w:sz w:val="22"/>
              </w:rPr>
            </w:pPr>
          </w:p>
        </w:tc>
        <w:tc>
          <w:tcPr>
            <w:tcW w:w="3236" w:type="dxa"/>
            <w:gridSpan w:val="3"/>
            <w:tcBorders>
              <w:top w:val="single" w:sz="4" w:space="0" w:color="auto"/>
              <w:left w:val="single" w:sz="6" w:space="0" w:color="auto"/>
              <w:bottom w:val="single" w:sz="6" w:space="0" w:color="auto"/>
              <w:right w:val="single" w:sz="6" w:space="0" w:color="auto"/>
            </w:tcBorders>
          </w:tcPr>
          <w:p w:rsidR="005C57BD" w:rsidRPr="00B75FD7" w:rsidRDefault="005C57BD" w:rsidP="001B3967">
            <w:pPr>
              <w:contextualSpacing/>
              <w:rPr>
                <w:rFonts w:eastAsia="Calibri"/>
                <w:sz w:val="22"/>
              </w:rPr>
            </w:pPr>
            <w:r w:rsidRPr="00B75FD7">
              <w:rPr>
                <w:rFonts w:eastAsia="Calibri"/>
                <w:sz w:val="22"/>
              </w:rPr>
              <w:t xml:space="preserve">Оснащення спортивної зали </w:t>
            </w:r>
          </w:p>
        </w:tc>
        <w:tc>
          <w:tcPr>
            <w:tcW w:w="1847" w:type="dxa"/>
            <w:gridSpan w:val="2"/>
            <w:tcBorders>
              <w:top w:val="single" w:sz="4" w:space="0" w:color="auto"/>
              <w:left w:val="single" w:sz="6" w:space="0" w:color="auto"/>
              <w:bottom w:val="single" w:sz="6" w:space="0" w:color="auto"/>
              <w:right w:val="single" w:sz="6" w:space="0" w:color="auto"/>
            </w:tcBorders>
          </w:tcPr>
          <w:p w:rsidR="005C57BD" w:rsidRPr="00B75FD7" w:rsidRDefault="005C57BD" w:rsidP="001B3967">
            <w:pPr>
              <w:contextualSpacing/>
              <w:rPr>
                <w:rFonts w:eastAsia="Calibri"/>
                <w:sz w:val="22"/>
              </w:rPr>
            </w:pPr>
            <w:r w:rsidRPr="00B75FD7">
              <w:rPr>
                <w:sz w:val="22"/>
              </w:rPr>
              <w:t>одиниць</w:t>
            </w:r>
          </w:p>
        </w:tc>
        <w:tc>
          <w:tcPr>
            <w:tcW w:w="2022" w:type="dxa"/>
            <w:gridSpan w:val="2"/>
            <w:tcBorders>
              <w:top w:val="single" w:sz="4" w:space="0" w:color="auto"/>
              <w:left w:val="single" w:sz="4" w:space="0" w:color="auto"/>
              <w:bottom w:val="single" w:sz="4" w:space="0" w:color="auto"/>
            </w:tcBorders>
            <w:shd w:val="clear" w:color="auto" w:fill="auto"/>
          </w:tcPr>
          <w:p w:rsidR="005C57BD" w:rsidRPr="00B75FD7" w:rsidRDefault="005C57BD" w:rsidP="001B3967">
            <w:pPr>
              <w:contextualSpacing/>
              <w:rPr>
                <w:sz w:val="22"/>
              </w:rPr>
            </w:pPr>
            <w:r w:rsidRPr="00B75FD7">
              <w:rPr>
                <w:sz w:val="22"/>
              </w:rPr>
              <w:t>Відповідно до переліку</w:t>
            </w:r>
          </w:p>
        </w:tc>
      </w:tr>
      <w:tr w:rsidR="005C57BD" w:rsidRPr="00B75FD7" w:rsidTr="00297BFF">
        <w:trPr>
          <w:trHeight w:val="585"/>
          <w:jc w:val="center"/>
        </w:trPr>
        <w:tc>
          <w:tcPr>
            <w:tcW w:w="2925" w:type="dxa"/>
            <w:vMerge/>
            <w:shd w:val="clear" w:color="auto" w:fill="C6D9F1" w:themeFill="text2" w:themeFillTint="33"/>
          </w:tcPr>
          <w:p w:rsidR="005C57BD" w:rsidRPr="00B75FD7" w:rsidRDefault="005C57BD" w:rsidP="001B3967">
            <w:pPr>
              <w:contextualSpacing/>
              <w:rPr>
                <w:b/>
                <w:sz w:val="22"/>
              </w:rPr>
            </w:pPr>
          </w:p>
        </w:tc>
        <w:tc>
          <w:tcPr>
            <w:tcW w:w="3236" w:type="dxa"/>
            <w:gridSpan w:val="3"/>
            <w:tcBorders>
              <w:top w:val="single" w:sz="4" w:space="0" w:color="auto"/>
              <w:bottom w:val="single" w:sz="4" w:space="0" w:color="auto"/>
              <w:right w:val="single" w:sz="4" w:space="0" w:color="auto"/>
            </w:tcBorders>
            <w:shd w:val="clear" w:color="auto" w:fill="auto"/>
          </w:tcPr>
          <w:p w:rsidR="005C57BD" w:rsidRPr="00B75FD7" w:rsidRDefault="005C57BD" w:rsidP="000303D7">
            <w:pPr>
              <w:numPr>
                <w:ilvl w:val="0"/>
                <w:numId w:val="80"/>
              </w:numPr>
              <w:autoSpaceDE w:val="0"/>
              <w:autoSpaceDN w:val="0"/>
              <w:adjustRightInd w:val="0"/>
              <w:ind w:left="252" w:hanging="720"/>
              <w:jc w:val="left"/>
              <w:rPr>
                <w:rFonts w:eastAsia="Calibri"/>
                <w:sz w:val="22"/>
              </w:rPr>
            </w:pPr>
            <w:r w:rsidRPr="00B75FD7">
              <w:rPr>
                <w:rFonts w:eastAsia="Calibri"/>
                <w:sz w:val="22"/>
              </w:rPr>
              <w:t xml:space="preserve">Оснащення </w:t>
            </w:r>
            <w:proofErr w:type="spellStart"/>
            <w:r w:rsidRPr="00B75FD7">
              <w:rPr>
                <w:rFonts w:eastAsia="Calibri"/>
                <w:sz w:val="22"/>
              </w:rPr>
              <w:t>харчолоку</w:t>
            </w:r>
            <w:proofErr w:type="spellEnd"/>
            <w:r w:rsidRPr="00B75FD7">
              <w:rPr>
                <w:rFonts w:eastAsia="Calibri"/>
                <w:sz w:val="22"/>
              </w:rPr>
              <w:t>:</w:t>
            </w:r>
          </w:p>
          <w:p w:rsidR="005C57BD" w:rsidRPr="00B75FD7" w:rsidRDefault="005C57BD" w:rsidP="000303D7">
            <w:pPr>
              <w:numPr>
                <w:ilvl w:val="0"/>
                <w:numId w:val="80"/>
              </w:numPr>
              <w:autoSpaceDE w:val="0"/>
              <w:autoSpaceDN w:val="0"/>
              <w:adjustRightInd w:val="0"/>
              <w:ind w:left="252" w:hanging="720"/>
              <w:jc w:val="left"/>
              <w:rPr>
                <w:rFonts w:eastAsia="Calibri"/>
                <w:sz w:val="22"/>
              </w:rPr>
            </w:pPr>
            <w:r w:rsidRPr="00B75FD7">
              <w:rPr>
                <w:rFonts w:eastAsia="Calibri"/>
                <w:sz w:val="22"/>
              </w:rPr>
              <w:t>- посуд;</w:t>
            </w:r>
          </w:p>
          <w:p w:rsidR="005C57BD" w:rsidRPr="00B75FD7" w:rsidRDefault="005C57BD" w:rsidP="000303D7">
            <w:pPr>
              <w:numPr>
                <w:ilvl w:val="0"/>
                <w:numId w:val="80"/>
              </w:numPr>
              <w:autoSpaceDE w:val="0"/>
              <w:autoSpaceDN w:val="0"/>
              <w:adjustRightInd w:val="0"/>
              <w:ind w:left="252" w:hanging="720"/>
              <w:jc w:val="left"/>
              <w:rPr>
                <w:rFonts w:eastAsia="Calibri"/>
                <w:sz w:val="22"/>
              </w:rPr>
            </w:pPr>
            <w:r w:rsidRPr="00B75FD7">
              <w:rPr>
                <w:rFonts w:eastAsia="Calibri"/>
                <w:sz w:val="22"/>
              </w:rPr>
              <w:t>- електроприлади.</w:t>
            </w:r>
          </w:p>
        </w:tc>
        <w:tc>
          <w:tcPr>
            <w:tcW w:w="1847" w:type="dxa"/>
            <w:gridSpan w:val="2"/>
            <w:tcBorders>
              <w:top w:val="single" w:sz="4" w:space="0" w:color="auto"/>
              <w:left w:val="single" w:sz="4" w:space="0" w:color="auto"/>
              <w:bottom w:val="single" w:sz="4" w:space="0" w:color="auto"/>
              <w:right w:val="single" w:sz="4" w:space="0" w:color="auto"/>
            </w:tcBorders>
            <w:shd w:val="clear" w:color="auto" w:fill="auto"/>
          </w:tcPr>
          <w:p w:rsidR="005C57BD" w:rsidRPr="00B75FD7" w:rsidRDefault="005C57BD" w:rsidP="001B3967">
            <w:pPr>
              <w:contextualSpacing/>
              <w:rPr>
                <w:sz w:val="22"/>
              </w:rPr>
            </w:pPr>
          </w:p>
          <w:p w:rsidR="005C57BD" w:rsidRPr="00B75FD7" w:rsidRDefault="005C57BD" w:rsidP="001B3967">
            <w:pPr>
              <w:contextualSpacing/>
              <w:rPr>
                <w:sz w:val="22"/>
              </w:rPr>
            </w:pPr>
            <w:r w:rsidRPr="00B75FD7">
              <w:rPr>
                <w:sz w:val="22"/>
              </w:rPr>
              <w:t xml:space="preserve">одиниць </w:t>
            </w:r>
          </w:p>
          <w:p w:rsidR="005C57BD" w:rsidRPr="00B75FD7" w:rsidRDefault="005C57BD" w:rsidP="001B3967">
            <w:pPr>
              <w:contextualSpacing/>
              <w:rPr>
                <w:sz w:val="22"/>
              </w:rPr>
            </w:pPr>
            <w:r w:rsidRPr="00B75FD7">
              <w:rPr>
                <w:sz w:val="22"/>
              </w:rPr>
              <w:t>одиниць</w:t>
            </w:r>
          </w:p>
        </w:tc>
        <w:tc>
          <w:tcPr>
            <w:tcW w:w="2022" w:type="dxa"/>
            <w:gridSpan w:val="2"/>
            <w:tcBorders>
              <w:top w:val="single" w:sz="4" w:space="0" w:color="auto"/>
              <w:left w:val="single" w:sz="4" w:space="0" w:color="auto"/>
              <w:bottom w:val="single" w:sz="4" w:space="0" w:color="auto"/>
            </w:tcBorders>
            <w:shd w:val="clear" w:color="auto" w:fill="auto"/>
          </w:tcPr>
          <w:p w:rsidR="005C57BD" w:rsidRPr="00B75FD7" w:rsidRDefault="005C57BD" w:rsidP="001B3967">
            <w:pPr>
              <w:contextualSpacing/>
              <w:rPr>
                <w:sz w:val="22"/>
              </w:rPr>
            </w:pPr>
          </w:p>
          <w:p w:rsidR="005C57BD" w:rsidRPr="00B75FD7" w:rsidRDefault="005C57BD" w:rsidP="001B3967">
            <w:pPr>
              <w:contextualSpacing/>
              <w:rPr>
                <w:sz w:val="22"/>
              </w:rPr>
            </w:pPr>
            <w:r w:rsidRPr="00B75FD7">
              <w:rPr>
                <w:sz w:val="22"/>
              </w:rPr>
              <w:t>420</w:t>
            </w:r>
          </w:p>
          <w:p w:rsidR="005C57BD" w:rsidRPr="00B75FD7" w:rsidRDefault="005C57BD" w:rsidP="001B3967">
            <w:pPr>
              <w:contextualSpacing/>
              <w:rPr>
                <w:sz w:val="22"/>
              </w:rPr>
            </w:pPr>
            <w:r w:rsidRPr="00B75FD7">
              <w:rPr>
                <w:sz w:val="22"/>
              </w:rPr>
              <w:t>10</w:t>
            </w:r>
          </w:p>
        </w:tc>
      </w:tr>
      <w:tr w:rsidR="005C57BD" w:rsidRPr="00B75FD7" w:rsidTr="00297BFF">
        <w:trPr>
          <w:trHeight w:val="184"/>
          <w:jc w:val="center"/>
        </w:trPr>
        <w:tc>
          <w:tcPr>
            <w:tcW w:w="2925" w:type="dxa"/>
            <w:vMerge/>
            <w:shd w:val="clear" w:color="auto" w:fill="C6D9F1" w:themeFill="text2" w:themeFillTint="33"/>
          </w:tcPr>
          <w:p w:rsidR="005C57BD" w:rsidRPr="00B75FD7" w:rsidRDefault="005C57BD" w:rsidP="001B3967">
            <w:pPr>
              <w:contextualSpacing/>
              <w:rPr>
                <w:b/>
                <w:sz w:val="22"/>
              </w:rPr>
            </w:pPr>
          </w:p>
        </w:tc>
        <w:tc>
          <w:tcPr>
            <w:tcW w:w="3236" w:type="dxa"/>
            <w:gridSpan w:val="3"/>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rPr>
                <w:sz w:val="22"/>
              </w:rPr>
            </w:pPr>
            <w:r w:rsidRPr="00B75FD7">
              <w:rPr>
                <w:sz w:val="22"/>
              </w:rPr>
              <w:t>Оснащення пральні:</w:t>
            </w:r>
          </w:p>
          <w:p w:rsidR="005C57BD" w:rsidRPr="00B75FD7" w:rsidRDefault="005C57BD" w:rsidP="000303D7">
            <w:pPr>
              <w:numPr>
                <w:ilvl w:val="0"/>
                <w:numId w:val="80"/>
              </w:numPr>
              <w:contextualSpacing/>
              <w:jc w:val="left"/>
              <w:rPr>
                <w:sz w:val="22"/>
              </w:rPr>
            </w:pPr>
            <w:proofErr w:type="spellStart"/>
            <w:r w:rsidRPr="00B75FD7">
              <w:rPr>
                <w:sz w:val="22"/>
              </w:rPr>
              <w:t>електроприбори</w:t>
            </w:r>
            <w:proofErr w:type="spellEnd"/>
            <w:r w:rsidRPr="00B75FD7">
              <w:rPr>
                <w:sz w:val="22"/>
              </w:rPr>
              <w:t>;</w:t>
            </w:r>
          </w:p>
          <w:p w:rsidR="005C57BD" w:rsidRPr="00B75FD7" w:rsidRDefault="005C57BD" w:rsidP="000303D7">
            <w:pPr>
              <w:numPr>
                <w:ilvl w:val="0"/>
                <w:numId w:val="80"/>
              </w:numPr>
              <w:contextualSpacing/>
              <w:jc w:val="left"/>
              <w:rPr>
                <w:sz w:val="22"/>
              </w:rPr>
            </w:pPr>
            <w:r w:rsidRPr="00B75FD7">
              <w:rPr>
                <w:sz w:val="22"/>
              </w:rPr>
              <w:t>меблі.</w:t>
            </w:r>
          </w:p>
        </w:tc>
        <w:tc>
          <w:tcPr>
            <w:tcW w:w="1847" w:type="dxa"/>
            <w:gridSpan w:val="2"/>
            <w:tcBorders>
              <w:top w:val="single" w:sz="4" w:space="0" w:color="auto"/>
              <w:left w:val="single" w:sz="4" w:space="0" w:color="auto"/>
              <w:bottom w:val="single" w:sz="4" w:space="0" w:color="auto"/>
              <w:right w:val="single" w:sz="4" w:space="0" w:color="auto"/>
            </w:tcBorders>
            <w:shd w:val="clear" w:color="auto" w:fill="auto"/>
          </w:tcPr>
          <w:p w:rsidR="005C57BD" w:rsidRPr="00B75FD7" w:rsidRDefault="005C57BD" w:rsidP="001B3967">
            <w:pPr>
              <w:contextualSpacing/>
              <w:rPr>
                <w:sz w:val="22"/>
              </w:rPr>
            </w:pPr>
          </w:p>
          <w:p w:rsidR="005C57BD" w:rsidRPr="00B75FD7" w:rsidRDefault="005C57BD" w:rsidP="001B3967">
            <w:pPr>
              <w:contextualSpacing/>
              <w:rPr>
                <w:sz w:val="22"/>
              </w:rPr>
            </w:pPr>
            <w:r w:rsidRPr="00B75FD7">
              <w:rPr>
                <w:sz w:val="22"/>
              </w:rPr>
              <w:t>Одиниць</w:t>
            </w:r>
          </w:p>
          <w:p w:rsidR="005C57BD" w:rsidRPr="00B75FD7" w:rsidRDefault="005C57BD" w:rsidP="001B3967">
            <w:pPr>
              <w:contextualSpacing/>
              <w:rPr>
                <w:sz w:val="22"/>
              </w:rPr>
            </w:pPr>
            <w:r w:rsidRPr="00B75FD7">
              <w:rPr>
                <w:sz w:val="22"/>
              </w:rPr>
              <w:t>одиниць.</w:t>
            </w:r>
          </w:p>
        </w:tc>
        <w:tc>
          <w:tcPr>
            <w:tcW w:w="2022" w:type="dxa"/>
            <w:gridSpan w:val="2"/>
            <w:tcBorders>
              <w:top w:val="single" w:sz="4" w:space="0" w:color="auto"/>
              <w:left w:val="single" w:sz="4" w:space="0" w:color="auto"/>
              <w:bottom w:val="single" w:sz="4" w:space="0" w:color="auto"/>
            </w:tcBorders>
            <w:shd w:val="clear" w:color="auto" w:fill="auto"/>
          </w:tcPr>
          <w:p w:rsidR="005C57BD" w:rsidRPr="00B75FD7" w:rsidRDefault="005C57BD" w:rsidP="001B3967">
            <w:pPr>
              <w:autoSpaceDE w:val="0"/>
              <w:autoSpaceDN w:val="0"/>
              <w:adjustRightInd w:val="0"/>
              <w:rPr>
                <w:rFonts w:eastAsia="Calibri"/>
                <w:color w:val="000000"/>
                <w:sz w:val="22"/>
              </w:rPr>
            </w:pPr>
          </w:p>
          <w:p w:rsidR="005C57BD" w:rsidRPr="00B75FD7" w:rsidRDefault="005C57BD" w:rsidP="001B3967">
            <w:pPr>
              <w:autoSpaceDE w:val="0"/>
              <w:autoSpaceDN w:val="0"/>
              <w:adjustRightInd w:val="0"/>
              <w:rPr>
                <w:rFonts w:eastAsia="Calibri"/>
                <w:color w:val="000000"/>
                <w:sz w:val="22"/>
              </w:rPr>
            </w:pPr>
            <w:r w:rsidRPr="00B75FD7">
              <w:rPr>
                <w:rFonts w:eastAsia="Calibri"/>
                <w:color w:val="000000"/>
                <w:sz w:val="22"/>
              </w:rPr>
              <w:t>9</w:t>
            </w:r>
          </w:p>
          <w:p w:rsidR="005C57BD" w:rsidRPr="00B75FD7" w:rsidRDefault="005C57BD" w:rsidP="001B3967">
            <w:pPr>
              <w:autoSpaceDE w:val="0"/>
              <w:autoSpaceDN w:val="0"/>
              <w:adjustRightInd w:val="0"/>
              <w:rPr>
                <w:rFonts w:eastAsia="Calibri"/>
                <w:color w:val="000000"/>
                <w:sz w:val="22"/>
              </w:rPr>
            </w:pPr>
            <w:r w:rsidRPr="00B75FD7">
              <w:rPr>
                <w:rFonts w:eastAsia="Calibri"/>
                <w:color w:val="000000"/>
                <w:sz w:val="22"/>
              </w:rPr>
              <w:t>15</w:t>
            </w:r>
          </w:p>
        </w:tc>
      </w:tr>
      <w:tr w:rsidR="005C57BD" w:rsidRPr="00B75FD7" w:rsidTr="00297BFF">
        <w:trPr>
          <w:jc w:val="center"/>
        </w:trPr>
        <w:tc>
          <w:tcPr>
            <w:tcW w:w="2925" w:type="dxa"/>
            <w:shd w:val="clear" w:color="auto" w:fill="C6D9F1" w:themeFill="text2" w:themeFillTint="33"/>
          </w:tcPr>
          <w:p w:rsidR="005C57BD" w:rsidRPr="00B75FD7" w:rsidRDefault="005C57BD" w:rsidP="001B3967">
            <w:pPr>
              <w:rPr>
                <w:b/>
                <w:sz w:val="22"/>
              </w:rPr>
            </w:pPr>
            <w:r w:rsidRPr="00B75FD7">
              <w:rPr>
                <w:b/>
                <w:sz w:val="22"/>
              </w:rPr>
              <w:t xml:space="preserve">Ключові заходи проекту: </w:t>
            </w:r>
          </w:p>
          <w:p w:rsidR="005C57BD" w:rsidRPr="00B75FD7" w:rsidRDefault="005C57BD" w:rsidP="001B3967">
            <w:pPr>
              <w:contextualSpacing/>
              <w:rPr>
                <w:b/>
                <w:sz w:val="22"/>
              </w:rPr>
            </w:pPr>
          </w:p>
        </w:tc>
        <w:tc>
          <w:tcPr>
            <w:tcW w:w="7105" w:type="dxa"/>
            <w:gridSpan w:val="7"/>
            <w:shd w:val="clear" w:color="auto" w:fill="auto"/>
          </w:tcPr>
          <w:p w:rsidR="005C57BD" w:rsidRPr="00B75FD7" w:rsidRDefault="005C57BD" w:rsidP="000303D7">
            <w:pPr>
              <w:numPr>
                <w:ilvl w:val="0"/>
                <w:numId w:val="78"/>
              </w:numPr>
              <w:autoSpaceDE w:val="0"/>
              <w:autoSpaceDN w:val="0"/>
              <w:adjustRightInd w:val="0"/>
              <w:rPr>
                <w:rFonts w:eastAsia="Calibri"/>
                <w:color w:val="000000"/>
                <w:sz w:val="22"/>
              </w:rPr>
            </w:pPr>
            <w:r w:rsidRPr="00B75FD7">
              <w:rPr>
                <w:rFonts w:eastAsia="Calibri"/>
                <w:color w:val="000000"/>
                <w:sz w:val="22"/>
              </w:rPr>
              <w:t>Проведення інвентаризації.</w:t>
            </w:r>
          </w:p>
          <w:p w:rsidR="005C57BD" w:rsidRPr="00B75FD7" w:rsidRDefault="005C57BD" w:rsidP="000303D7">
            <w:pPr>
              <w:numPr>
                <w:ilvl w:val="0"/>
                <w:numId w:val="78"/>
              </w:numPr>
              <w:autoSpaceDE w:val="0"/>
              <w:autoSpaceDN w:val="0"/>
              <w:adjustRightInd w:val="0"/>
              <w:rPr>
                <w:rFonts w:eastAsia="Calibri"/>
                <w:color w:val="000000"/>
                <w:sz w:val="22"/>
              </w:rPr>
            </w:pPr>
            <w:r w:rsidRPr="00B75FD7">
              <w:rPr>
                <w:rFonts w:eastAsia="Calibri"/>
                <w:color w:val="000000"/>
                <w:sz w:val="22"/>
              </w:rPr>
              <w:t xml:space="preserve">Розробка </w:t>
            </w:r>
            <w:proofErr w:type="spellStart"/>
            <w:r w:rsidRPr="00B75FD7">
              <w:rPr>
                <w:rFonts w:eastAsia="Calibri"/>
                <w:color w:val="000000"/>
                <w:sz w:val="22"/>
              </w:rPr>
              <w:t>проєктно</w:t>
            </w:r>
            <w:proofErr w:type="spellEnd"/>
            <w:r w:rsidRPr="00B75FD7">
              <w:rPr>
                <w:rFonts w:eastAsia="Calibri"/>
                <w:color w:val="000000"/>
                <w:sz w:val="22"/>
              </w:rPr>
              <w:t>-кошторисної документації.</w:t>
            </w:r>
          </w:p>
          <w:p w:rsidR="005C57BD" w:rsidRPr="00B75FD7" w:rsidRDefault="005C57BD" w:rsidP="000303D7">
            <w:pPr>
              <w:numPr>
                <w:ilvl w:val="0"/>
                <w:numId w:val="78"/>
              </w:numPr>
              <w:autoSpaceDE w:val="0"/>
              <w:autoSpaceDN w:val="0"/>
              <w:adjustRightInd w:val="0"/>
              <w:rPr>
                <w:rFonts w:eastAsia="Calibri"/>
                <w:color w:val="000000"/>
                <w:sz w:val="22"/>
              </w:rPr>
            </w:pPr>
            <w:r w:rsidRPr="00B75FD7">
              <w:rPr>
                <w:rFonts w:eastAsia="Calibri"/>
                <w:color w:val="000000"/>
                <w:sz w:val="22"/>
              </w:rPr>
              <w:t>Придбання оснащення та обладнання для групових кімнат (</w:t>
            </w:r>
            <w:proofErr w:type="spellStart"/>
            <w:r w:rsidRPr="00B75FD7">
              <w:rPr>
                <w:rFonts w:eastAsia="Calibri"/>
                <w:color w:val="000000"/>
                <w:sz w:val="22"/>
              </w:rPr>
              <w:t>роздягалень</w:t>
            </w:r>
            <w:proofErr w:type="spellEnd"/>
            <w:r w:rsidRPr="00B75FD7">
              <w:rPr>
                <w:rFonts w:eastAsia="Calibri"/>
                <w:color w:val="000000"/>
                <w:sz w:val="22"/>
              </w:rPr>
              <w:t>, спальних, туалетних) кімнат Ясел-садка № 11.</w:t>
            </w:r>
          </w:p>
          <w:p w:rsidR="005C57BD" w:rsidRPr="00B75FD7" w:rsidRDefault="005C57BD" w:rsidP="000303D7">
            <w:pPr>
              <w:numPr>
                <w:ilvl w:val="0"/>
                <w:numId w:val="78"/>
              </w:numPr>
              <w:autoSpaceDE w:val="0"/>
              <w:autoSpaceDN w:val="0"/>
              <w:adjustRightInd w:val="0"/>
              <w:rPr>
                <w:rFonts w:eastAsia="Calibri"/>
                <w:color w:val="000000"/>
                <w:sz w:val="22"/>
              </w:rPr>
            </w:pPr>
            <w:r w:rsidRPr="00B75FD7">
              <w:rPr>
                <w:color w:val="000000"/>
                <w:sz w:val="22"/>
              </w:rPr>
              <w:t>Придбання меблів та обладнання для кабінетів закладу.</w:t>
            </w:r>
          </w:p>
          <w:p w:rsidR="005C57BD" w:rsidRPr="00B75FD7" w:rsidRDefault="005C57BD" w:rsidP="000303D7">
            <w:pPr>
              <w:numPr>
                <w:ilvl w:val="0"/>
                <w:numId w:val="78"/>
              </w:numPr>
              <w:autoSpaceDE w:val="0"/>
              <w:autoSpaceDN w:val="0"/>
              <w:adjustRightInd w:val="0"/>
              <w:rPr>
                <w:rFonts w:eastAsia="Calibri"/>
                <w:color w:val="000000"/>
                <w:sz w:val="22"/>
              </w:rPr>
            </w:pPr>
            <w:r w:rsidRPr="00B75FD7">
              <w:rPr>
                <w:color w:val="000000"/>
                <w:sz w:val="22"/>
              </w:rPr>
              <w:t>Придбання оснащення музичної та спортивної зали Ясел-садка № 11</w:t>
            </w:r>
            <w:r w:rsidR="00DD3857" w:rsidRPr="00B75FD7">
              <w:rPr>
                <w:color w:val="000000"/>
                <w:sz w:val="22"/>
              </w:rPr>
              <w:t>.</w:t>
            </w:r>
          </w:p>
          <w:p w:rsidR="005C57BD" w:rsidRPr="00B75FD7" w:rsidRDefault="005C57BD" w:rsidP="000303D7">
            <w:pPr>
              <w:numPr>
                <w:ilvl w:val="0"/>
                <w:numId w:val="78"/>
              </w:numPr>
              <w:autoSpaceDE w:val="0"/>
              <w:autoSpaceDN w:val="0"/>
              <w:adjustRightInd w:val="0"/>
              <w:rPr>
                <w:rFonts w:eastAsia="Calibri"/>
                <w:color w:val="000000"/>
                <w:sz w:val="22"/>
              </w:rPr>
            </w:pPr>
            <w:r w:rsidRPr="00B75FD7">
              <w:rPr>
                <w:color w:val="000000"/>
                <w:sz w:val="22"/>
              </w:rPr>
              <w:t>Придбання оснащення для медичного кабінету Ясел-садка № 11</w:t>
            </w:r>
            <w:r w:rsidR="00DD3857" w:rsidRPr="00B75FD7">
              <w:rPr>
                <w:color w:val="000000"/>
                <w:sz w:val="22"/>
              </w:rPr>
              <w:t>.</w:t>
            </w:r>
          </w:p>
          <w:p w:rsidR="005C57BD" w:rsidRPr="00B75FD7" w:rsidRDefault="005C57BD" w:rsidP="000303D7">
            <w:pPr>
              <w:numPr>
                <w:ilvl w:val="0"/>
                <w:numId w:val="78"/>
              </w:numPr>
              <w:autoSpaceDE w:val="0"/>
              <w:autoSpaceDN w:val="0"/>
              <w:adjustRightInd w:val="0"/>
              <w:rPr>
                <w:rFonts w:eastAsia="Calibri"/>
                <w:color w:val="000000"/>
                <w:sz w:val="22"/>
              </w:rPr>
            </w:pPr>
            <w:r w:rsidRPr="00B75FD7">
              <w:rPr>
                <w:color w:val="000000"/>
                <w:sz w:val="22"/>
              </w:rPr>
              <w:t>Придбання технічного обладнання та оснащення до харчових комор та харчоблоку Ясел-садка № 11</w:t>
            </w:r>
            <w:r w:rsidR="00DD3857" w:rsidRPr="00B75FD7">
              <w:rPr>
                <w:color w:val="000000"/>
                <w:sz w:val="22"/>
              </w:rPr>
              <w:t>.</w:t>
            </w:r>
          </w:p>
          <w:p w:rsidR="005C57BD" w:rsidRPr="00B75FD7" w:rsidRDefault="005C57BD" w:rsidP="000303D7">
            <w:pPr>
              <w:numPr>
                <w:ilvl w:val="0"/>
                <w:numId w:val="78"/>
              </w:numPr>
              <w:autoSpaceDE w:val="0"/>
              <w:autoSpaceDN w:val="0"/>
              <w:adjustRightInd w:val="0"/>
              <w:rPr>
                <w:rFonts w:eastAsia="Calibri"/>
                <w:color w:val="000000"/>
                <w:sz w:val="22"/>
              </w:rPr>
            </w:pPr>
            <w:r w:rsidRPr="00B75FD7">
              <w:rPr>
                <w:color w:val="000000"/>
                <w:sz w:val="22"/>
              </w:rPr>
              <w:t>Придбання обладнання в пральню Ясел-садка № 11</w:t>
            </w:r>
            <w:r w:rsidR="00DD3857" w:rsidRPr="00B75FD7">
              <w:rPr>
                <w:color w:val="000000"/>
                <w:sz w:val="22"/>
              </w:rPr>
              <w:t>.</w:t>
            </w:r>
            <w:r w:rsidRPr="00B75FD7">
              <w:rPr>
                <w:rFonts w:eastAsia="Calibri"/>
                <w:color w:val="000000"/>
                <w:sz w:val="22"/>
              </w:rPr>
              <w:t xml:space="preserve">                                                                            </w:t>
            </w:r>
          </w:p>
        </w:tc>
      </w:tr>
      <w:tr w:rsidR="005C57BD" w:rsidRPr="00B75FD7" w:rsidTr="00297BFF">
        <w:trPr>
          <w:trHeight w:val="360"/>
          <w:jc w:val="center"/>
        </w:trPr>
        <w:tc>
          <w:tcPr>
            <w:tcW w:w="2925" w:type="dxa"/>
            <w:vMerge w:val="restart"/>
            <w:shd w:val="clear" w:color="auto" w:fill="C6D9F1" w:themeFill="text2" w:themeFillTint="33"/>
          </w:tcPr>
          <w:p w:rsidR="005C57BD" w:rsidRPr="00B75FD7" w:rsidRDefault="005C57BD" w:rsidP="001B3967">
            <w:pPr>
              <w:contextualSpacing/>
              <w:rPr>
                <w:b/>
                <w:sz w:val="22"/>
              </w:rPr>
            </w:pPr>
            <w:r w:rsidRPr="00B75FD7">
              <w:rPr>
                <w:b/>
                <w:sz w:val="22"/>
              </w:rPr>
              <w:t xml:space="preserve">Орієнтовний обсяг та джерела фінансування, тис. грн. </w:t>
            </w:r>
          </w:p>
          <w:p w:rsidR="005C57BD" w:rsidRPr="00B75FD7" w:rsidRDefault="005C57BD" w:rsidP="001B3967">
            <w:pPr>
              <w:contextualSpacing/>
              <w:rPr>
                <w:b/>
                <w:sz w:val="22"/>
              </w:rPr>
            </w:pPr>
          </w:p>
        </w:tc>
        <w:tc>
          <w:tcPr>
            <w:tcW w:w="1463" w:type="dxa"/>
            <w:tcBorders>
              <w:bottom w:val="single" w:sz="4" w:space="0" w:color="auto"/>
              <w:right w:val="single" w:sz="4" w:space="0" w:color="auto"/>
            </w:tcBorders>
            <w:shd w:val="clear" w:color="auto" w:fill="auto"/>
          </w:tcPr>
          <w:p w:rsidR="005C57BD" w:rsidRPr="00B75FD7" w:rsidRDefault="005C57BD" w:rsidP="001B3967">
            <w:pPr>
              <w:contextualSpacing/>
              <w:jc w:val="center"/>
              <w:rPr>
                <w:b/>
                <w:sz w:val="22"/>
              </w:rPr>
            </w:pPr>
            <w:r w:rsidRPr="00B75FD7">
              <w:rPr>
                <w:b/>
                <w:sz w:val="22"/>
              </w:rPr>
              <w:t>Державний бюджет</w:t>
            </w:r>
          </w:p>
        </w:tc>
        <w:tc>
          <w:tcPr>
            <w:tcW w:w="1376" w:type="dxa"/>
            <w:tcBorders>
              <w:bottom w:val="single" w:sz="4" w:space="0" w:color="auto"/>
              <w:right w:val="single" w:sz="4" w:space="0" w:color="auto"/>
            </w:tcBorders>
            <w:shd w:val="clear" w:color="auto" w:fill="auto"/>
          </w:tcPr>
          <w:p w:rsidR="005C57BD" w:rsidRPr="00B75FD7" w:rsidRDefault="005C57BD" w:rsidP="001B3967">
            <w:pPr>
              <w:contextualSpacing/>
              <w:jc w:val="center"/>
              <w:rPr>
                <w:b/>
                <w:sz w:val="22"/>
              </w:rPr>
            </w:pPr>
            <w:r w:rsidRPr="00B75FD7">
              <w:rPr>
                <w:b/>
                <w:sz w:val="22"/>
              </w:rPr>
              <w:t>Місцевий бюджет</w:t>
            </w:r>
          </w:p>
        </w:tc>
        <w:tc>
          <w:tcPr>
            <w:tcW w:w="2738" w:type="dxa"/>
            <w:gridSpan w:val="4"/>
            <w:tcBorders>
              <w:left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b/>
                <w:sz w:val="22"/>
              </w:rPr>
            </w:pPr>
            <w:r w:rsidRPr="00B75FD7">
              <w:rPr>
                <w:b/>
                <w:sz w:val="22"/>
              </w:rPr>
              <w:t>Інші джерела</w:t>
            </w:r>
          </w:p>
        </w:tc>
        <w:tc>
          <w:tcPr>
            <w:tcW w:w="1528" w:type="dxa"/>
            <w:tcBorders>
              <w:left w:val="single" w:sz="4" w:space="0" w:color="auto"/>
              <w:bottom w:val="single" w:sz="4" w:space="0" w:color="auto"/>
            </w:tcBorders>
            <w:shd w:val="clear" w:color="auto" w:fill="auto"/>
          </w:tcPr>
          <w:p w:rsidR="005C57BD" w:rsidRPr="00B75FD7" w:rsidRDefault="005C57BD" w:rsidP="001B3967">
            <w:pPr>
              <w:contextualSpacing/>
              <w:jc w:val="center"/>
              <w:rPr>
                <w:b/>
                <w:sz w:val="22"/>
              </w:rPr>
            </w:pPr>
            <w:r w:rsidRPr="00B75FD7">
              <w:rPr>
                <w:b/>
                <w:sz w:val="22"/>
              </w:rPr>
              <w:t>Всього</w:t>
            </w:r>
          </w:p>
        </w:tc>
      </w:tr>
      <w:tr w:rsidR="005C57BD" w:rsidRPr="00B75FD7" w:rsidTr="00297BFF">
        <w:trPr>
          <w:trHeight w:val="225"/>
          <w:jc w:val="center"/>
        </w:trPr>
        <w:tc>
          <w:tcPr>
            <w:tcW w:w="2925" w:type="dxa"/>
            <w:vMerge/>
            <w:shd w:val="clear" w:color="auto" w:fill="C6D9F1" w:themeFill="text2" w:themeFillTint="33"/>
          </w:tcPr>
          <w:p w:rsidR="005C57BD" w:rsidRPr="00B75FD7" w:rsidRDefault="005C57BD" w:rsidP="001B3967">
            <w:pPr>
              <w:contextualSpacing/>
              <w:rPr>
                <w:b/>
                <w:sz w:val="22"/>
              </w:rPr>
            </w:pPr>
          </w:p>
        </w:tc>
        <w:tc>
          <w:tcPr>
            <w:tcW w:w="1463" w:type="dxa"/>
            <w:vMerge w:val="restart"/>
            <w:tcBorders>
              <w:top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6 000</w:t>
            </w:r>
          </w:p>
        </w:tc>
        <w:tc>
          <w:tcPr>
            <w:tcW w:w="1376" w:type="dxa"/>
            <w:vMerge w:val="restart"/>
            <w:tcBorders>
              <w:top w:val="single" w:sz="4" w:space="0" w:color="auto"/>
              <w:right w:val="single" w:sz="4" w:space="0" w:color="auto"/>
            </w:tcBorders>
            <w:shd w:val="clear" w:color="auto" w:fill="auto"/>
          </w:tcPr>
          <w:p w:rsidR="005C57BD" w:rsidRPr="00B75FD7" w:rsidRDefault="005C57BD" w:rsidP="001B3967">
            <w:pPr>
              <w:contextualSpacing/>
              <w:jc w:val="center"/>
              <w:rPr>
                <w:b/>
                <w:sz w:val="22"/>
              </w:rPr>
            </w:pPr>
            <w:r w:rsidRPr="00B75FD7">
              <w:rPr>
                <w:b/>
                <w:sz w:val="22"/>
              </w:rPr>
              <w:t>-</w:t>
            </w:r>
          </w:p>
        </w:tc>
        <w:tc>
          <w:tcPr>
            <w:tcW w:w="1224" w:type="dxa"/>
            <w:gridSpan w:val="2"/>
            <w:tcBorders>
              <w:top w:val="single" w:sz="4" w:space="0" w:color="auto"/>
              <w:left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b/>
                <w:sz w:val="22"/>
              </w:rPr>
            </w:pPr>
            <w:r w:rsidRPr="00B75FD7">
              <w:rPr>
                <w:b/>
                <w:sz w:val="22"/>
              </w:rPr>
              <w:t>Обсяг</w:t>
            </w:r>
          </w:p>
        </w:tc>
        <w:tc>
          <w:tcPr>
            <w:tcW w:w="1514" w:type="dxa"/>
            <w:gridSpan w:val="2"/>
            <w:tcBorders>
              <w:top w:val="single" w:sz="4" w:space="0" w:color="auto"/>
              <w:left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b/>
                <w:sz w:val="22"/>
              </w:rPr>
            </w:pPr>
            <w:r w:rsidRPr="00B75FD7">
              <w:rPr>
                <w:b/>
                <w:sz w:val="22"/>
              </w:rPr>
              <w:t>Назва джерела</w:t>
            </w:r>
          </w:p>
        </w:tc>
        <w:tc>
          <w:tcPr>
            <w:tcW w:w="1528" w:type="dxa"/>
            <w:vMerge w:val="restart"/>
            <w:tcBorders>
              <w:top w:val="single" w:sz="4" w:space="0" w:color="auto"/>
              <w:left w:val="single" w:sz="4" w:space="0" w:color="auto"/>
            </w:tcBorders>
            <w:shd w:val="clear" w:color="auto" w:fill="auto"/>
          </w:tcPr>
          <w:p w:rsidR="005C57BD" w:rsidRPr="00B75FD7" w:rsidRDefault="005C57BD" w:rsidP="001B3967">
            <w:pPr>
              <w:contextualSpacing/>
              <w:jc w:val="center"/>
              <w:rPr>
                <w:sz w:val="22"/>
              </w:rPr>
            </w:pPr>
            <w:r w:rsidRPr="00B75FD7">
              <w:rPr>
                <w:sz w:val="22"/>
              </w:rPr>
              <w:t xml:space="preserve">10 000 </w:t>
            </w:r>
          </w:p>
        </w:tc>
      </w:tr>
      <w:tr w:rsidR="005C57BD" w:rsidRPr="00B75FD7" w:rsidTr="00297BFF">
        <w:trPr>
          <w:trHeight w:val="300"/>
          <w:jc w:val="center"/>
        </w:trPr>
        <w:tc>
          <w:tcPr>
            <w:tcW w:w="2925" w:type="dxa"/>
            <w:vMerge/>
            <w:shd w:val="clear" w:color="auto" w:fill="C6D9F1" w:themeFill="text2" w:themeFillTint="33"/>
          </w:tcPr>
          <w:p w:rsidR="005C57BD" w:rsidRPr="00B75FD7" w:rsidRDefault="005C57BD" w:rsidP="001B3967">
            <w:pPr>
              <w:contextualSpacing/>
              <w:rPr>
                <w:b/>
                <w:sz w:val="22"/>
              </w:rPr>
            </w:pPr>
          </w:p>
        </w:tc>
        <w:tc>
          <w:tcPr>
            <w:tcW w:w="1463" w:type="dxa"/>
            <w:vMerge/>
            <w:tcBorders>
              <w:right w:val="single" w:sz="4" w:space="0" w:color="auto"/>
            </w:tcBorders>
            <w:shd w:val="clear" w:color="auto" w:fill="auto"/>
          </w:tcPr>
          <w:p w:rsidR="005C57BD" w:rsidRPr="00B75FD7" w:rsidRDefault="005C57BD" w:rsidP="001B3967">
            <w:pPr>
              <w:contextualSpacing/>
              <w:jc w:val="center"/>
              <w:rPr>
                <w:sz w:val="22"/>
              </w:rPr>
            </w:pPr>
          </w:p>
        </w:tc>
        <w:tc>
          <w:tcPr>
            <w:tcW w:w="1376" w:type="dxa"/>
            <w:vMerge/>
            <w:tcBorders>
              <w:right w:val="single" w:sz="4" w:space="0" w:color="auto"/>
            </w:tcBorders>
            <w:shd w:val="clear" w:color="auto" w:fill="auto"/>
          </w:tcPr>
          <w:p w:rsidR="005C57BD" w:rsidRPr="00B75FD7" w:rsidRDefault="005C57BD" w:rsidP="001B3967">
            <w:pPr>
              <w:contextualSpacing/>
              <w:jc w:val="center"/>
              <w:rPr>
                <w:b/>
                <w:sz w:val="22"/>
              </w:rPr>
            </w:pPr>
          </w:p>
        </w:tc>
        <w:tc>
          <w:tcPr>
            <w:tcW w:w="1224" w:type="dxa"/>
            <w:gridSpan w:val="2"/>
            <w:tcBorders>
              <w:top w:val="single" w:sz="4" w:space="0" w:color="auto"/>
              <w:left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4 000</w:t>
            </w:r>
          </w:p>
        </w:tc>
        <w:tc>
          <w:tcPr>
            <w:tcW w:w="1514" w:type="dxa"/>
            <w:gridSpan w:val="2"/>
            <w:tcBorders>
              <w:top w:val="single" w:sz="4" w:space="0" w:color="auto"/>
              <w:left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Міжнародні інвестиції</w:t>
            </w:r>
          </w:p>
        </w:tc>
        <w:tc>
          <w:tcPr>
            <w:tcW w:w="1528" w:type="dxa"/>
            <w:vMerge/>
            <w:tcBorders>
              <w:left w:val="single" w:sz="4" w:space="0" w:color="auto"/>
            </w:tcBorders>
            <w:shd w:val="clear" w:color="auto" w:fill="auto"/>
          </w:tcPr>
          <w:p w:rsidR="005C57BD" w:rsidRPr="00B75FD7" w:rsidRDefault="005C57BD" w:rsidP="001B3967">
            <w:pPr>
              <w:contextualSpacing/>
              <w:jc w:val="center"/>
              <w:rPr>
                <w:sz w:val="22"/>
              </w:rPr>
            </w:pPr>
          </w:p>
        </w:tc>
      </w:tr>
    </w:tbl>
    <w:p w:rsidR="005C57BD" w:rsidRPr="00B75FD7" w:rsidRDefault="005C57BD" w:rsidP="00E95FB1">
      <w:pPr>
        <w:rPr>
          <w:sz w:val="22"/>
        </w:rPr>
      </w:pPr>
    </w:p>
    <w:tbl>
      <w:tblPr>
        <w:tblpPr w:leftFromText="180" w:rightFromText="180" w:vertAnchor="text" w:horzAnchor="margin" w:tblpX="-254" w:tblpY="78"/>
        <w:tblW w:w="9779" w:type="dxa"/>
        <w:tblLayout w:type="fixed"/>
        <w:tblCellMar>
          <w:left w:w="30" w:type="dxa"/>
          <w:right w:w="30" w:type="dxa"/>
        </w:tblCellMar>
        <w:tblLook w:val="0000" w:firstRow="0" w:lastRow="0" w:firstColumn="0" w:lastColumn="0" w:noHBand="0" w:noVBand="0"/>
      </w:tblPr>
      <w:tblGrid>
        <w:gridCol w:w="3007"/>
        <w:gridCol w:w="1354"/>
        <w:gridCol w:w="1354"/>
        <w:gridCol w:w="411"/>
        <w:gridCol w:w="944"/>
        <w:gridCol w:w="898"/>
        <w:gridCol w:w="456"/>
        <w:gridCol w:w="1309"/>
        <w:gridCol w:w="46"/>
      </w:tblGrid>
      <w:tr w:rsidR="00297BFF" w:rsidRPr="00B75FD7" w:rsidTr="00297BFF">
        <w:trPr>
          <w:trHeight w:val="481"/>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297BFF">
            <w:pPr>
              <w:autoSpaceDE w:val="0"/>
              <w:autoSpaceDN w:val="0"/>
              <w:adjustRightInd w:val="0"/>
              <w:rPr>
                <w:rFonts w:eastAsia="Calibri"/>
                <w:b/>
                <w:color w:val="000000"/>
                <w:sz w:val="22"/>
              </w:rPr>
            </w:pPr>
            <w:r w:rsidRPr="00B75FD7">
              <w:rPr>
                <w:rFonts w:eastAsia="Calibri"/>
                <w:b/>
                <w:color w:val="000000"/>
                <w:sz w:val="22"/>
              </w:rPr>
              <w:t>Оперативна ціль/завдання</w:t>
            </w:r>
          </w:p>
        </w:tc>
        <w:tc>
          <w:tcPr>
            <w:tcW w:w="6772" w:type="dxa"/>
            <w:gridSpan w:val="8"/>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Arial"/>
                <w:sz w:val="22"/>
              </w:rPr>
              <w:t xml:space="preserve">Людський розвиток через інновації управління та довіру до влади. Формування сучасного інклюзивного  </w:t>
            </w:r>
            <w:proofErr w:type="spellStart"/>
            <w:r w:rsidRPr="00B75FD7">
              <w:rPr>
                <w:rFonts w:eastAsia="Arial"/>
                <w:sz w:val="22"/>
              </w:rPr>
              <w:t>освітньо</w:t>
            </w:r>
            <w:proofErr w:type="spellEnd"/>
            <w:r w:rsidRPr="00B75FD7">
              <w:rPr>
                <w:rFonts w:eastAsia="Arial"/>
                <w:sz w:val="22"/>
              </w:rPr>
              <w:t>-культурного та спортивного простору для розвитку</w:t>
            </w:r>
          </w:p>
        </w:tc>
      </w:tr>
      <w:tr w:rsidR="00297BFF" w:rsidRPr="00B75FD7" w:rsidTr="00297BFF">
        <w:trPr>
          <w:trHeight w:val="599"/>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297BFF">
            <w:pPr>
              <w:autoSpaceDE w:val="0"/>
              <w:autoSpaceDN w:val="0"/>
              <w:adjustRightInd w:val="0"/>
              <w:rPr>
                <w:rFonts w:eastAsia="Calibri"/>
                <w:b/>
                <w:color w:val="000000"/>
                <w:sz w:val="22"/>
              </w:rPr>
            </w:pPr>
            <w:r w:rsidRPr="00B75FD7">
              <w:rPr>
                <w:rFonts w:eastAsia="Calibri"/>
                <w:b/>
                <w:color w:val="000000"/>
                <w:sz w:val="22"/>
              </w:rPr>
              <w:t>Назва проекту:</w:t>
            </w:r>
          </w:p>
        </w:tc>
        <w:tc>
          <w:tcPr>
            <w:tcW w:w="6772" w:type="dxa"/>
            <w:gridSpan w:val="8"/>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Капітальний ремонт будівлі Ясел-садка № 12 м. Сєвєродонецька Луганської області, вул. Курчатова, буд. 27/Г</w:t>
            </w:r>
          </w:p>
        </w:tc>
      </w:tr>
      <w:tr w:rsidR="00297BFF" w:rsidRPr="00B75FD7" w:rsidTr="00297BFF">
        <w:trPr>
          <w:trHeight w:val="962"/>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297BFF">
            <w:pPr>
              <w:autoSpaceDE w:val="0"/>
              <w:autoSpaceDN w:val="0"/>
              <w:adjustRightInd w:val="0"/>
              <w:rPr>
                <w:rFonts w:eastAsia="Calibri"/>
                <w:b/>
                <w:color w:val="000000"/>
                <w:sz w:val="22"/>
              </w:rPr>
            </w:pPr>
            <w:r w:rsidRPr="00B75FD7">
              <w:rPr>
                <w:rFonts w:eastAsia="Calibri"/>
                <w:b/>
                <w:color w:val="000000"/>
                <w:sz w:val="22"/>
              </w:rPr>
              <w:t>Ціль проекту</w:t>
            </w:r>
          </w:p>
        </w:tc>
        <w:tc>
          <w:tcPr>
            <w:tcW w:w="6772" w:type="dxa"/>
            <w:gridSpan w:val="8"/>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Відновлення роботи ЗДО. Створення умов для повноцінного і всебічного розвитку дітей дошкільного віку, забезпечення реалізації права дитини на здобуття дошкільної освіти, її фізичний, розумовий і духовний розвиток, соціальну адаптацію, створення комфортних та безпечних умов здобуття дошкільної освіти, розвитку, виховання та навчання дітей, відповідно до санітарно-гігієнічних вимог</w:t>
            </w:r>
          </w:p>
        </w:tc>
      </w:tr>
      <w:tr w:rsidR="00297BFF" w:rsidRPr="00B75FD7" w:rsidTr="00297BFF">
        <w:trPr>
          <w:trHeight w:val="251"/>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297BFF">
            <w:pPr>
              <w:autoSpaceDE w:val="0"/>
              <w:autoSpaceDN w:val="0"/>
              <w:adjustRightInd w:val="0"/>
              <w:rPr>
                <w:rFonts w:eastAsia="Calibri"/>
                <w:b/>
                <w:color w:val="000000"/>
                <w:sz w:val="22"/>
              </w:rPr>
            </w:pPr>
            <w:r w:rsidRPr="00B75FD7">
              <w:rPr>
                <w:rFonts w:eastAsia="Calibri"/>
                <w:b/>
                <w:color w:val="000000"/>
                <w:sz w:val="22"/>
              </w:rPr>
              <w:t>Територія, на яку матиме вплив реалізація проекту</w:t>
            </w:r>
          </w:p>
        </w:tc>
        <w:tc>
          <w:tcPr>
            <w:tcW w:w="6772" w:type="dxa"/>
            <w:gridSpan w:val="8"/>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Сєвєродонецька міська територіальна громада</w:t>
            </w:r>
          </w:p>
        </w:tc>
      </w:tr>
      <w:tr w:rsidR="00297BFF" w:rsidRPr="00B75FD7" w:rsidTr="00297BFF">
        <w:trPr>
          <w:trHeight w:val="733"/>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297BFF">
            <w:pPr>
              <w:autoSpaceDE w:val="0"/>
              <w:autoSpaceDN w:val="0"/>
              <w:adjustRightInd w:val="0"/>
              <w:rPr>
                <w:rFonts w:eastAsia="Calibri"/>
                <w:b/>
                <w:color w:val="000000"/>
                <w:sz w:val="22"/>
              </w:rPr>
            </w:pPr>
            <w:r w:rsidRPr="00B75FD7">
              <w:rPr>
                <w:rFonts w:eastAsia="Calibri"/>
                <w:b/>
                <w:color w:val="000000"/>
                <w:sz w:val="22"/>
              </w:rPr>
              <w:t>Чисельність населення, на яке матиме вплив реалізація проекту</w:t>
            </w:r>
          </w:p>
        </w:tc>
        <w:tc>
          <w:tcPr>
            <w:tcW w:w="6772" w:type="dxa"/>
            <w:gridSpan w:val="8"/>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70000 осіб</w:t>
            </w:r>
          </w:p>
        </w:tc>
      </w:tr>
      <w:tr w:rsidR="00297BFF" w:rsidRPr="00B75FD7" w:rsidTr="00297BFF">
        <w:trPr>
          <w:trHeight w:val="1093"/>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297BFF">
            <w:pPr>
              <w:autoSpaceDE w:val="0"/>
              <w:autoSpaceDN w:val="0"/>
              <w:adjustRightInd w:val="0"/>
              <w:rPr>
                <w:rFonts w:eastAsia="Calibri"/>
                <w:b/>
                <w:color w:val="000000"/>
                <w:sz w:val="22"/>
              </w:rPr>
            </w:pPr>
            <w:r w:rsidRPr="00B75FD7">
              <w:rPr>
                <w:rFonts w:eastAsia="Calibri"/>
                <w:b/>
                <w:color w:val="000000"/>
                <w:sz w:val="22"/>
              </w:rPr>
              <w:t>Опис проблеми, на вирішення якої спрямований проект</w:t>
            </w:r>
          </w:p>
        </w:tc>
        <w:tc>
          <w:tcPr>
            <w:tcW w:w="6772" w:type="dxa"/>
            <w:gridSpan w:val="8"/>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 xml:space="preserve">Будівлю Ясел-садка № 12 було введено в експлуатацію у 1983 році. За 40 років експлуатації капітальні ремонтні роботи не проводилися. Також будівлю та комунікації було істотно  пошкоджено під час військової агресії РФ. Наразі приміщення гостро потребує капітального ремонту. До </w:t>
            </w:r>
            <w:proofErr w:type="spellStart"/>
            <w:r w:rsidRPr="00B75FD7">
              <w:rPr>
                <w:rFonts w:eastAsia="Calibri"/>
                <w:color w:val="000000"/>
                <w:sz w:val="22"/>
              </w:rPr>
              <w:t>війскового</w:t>
            </w:r>
            <w:proofErr w:type="spellEnd"/>
            <w:r w:rsidRPr="00B75FD7">
              <w:rPr>
                <w:rFonts w:eastAsia="Calibri"/>
                <w:color w:val="000000"/>
                <w:sz w:val="22"/>
              </w:rPr>
              <w:t xml:space="preserve"> вторгнення в закладі функціонувало 14 груп, з них: 2 групи для дітей із ЗПР, 4 інклюзивних, 2 логопедичних. Загальною метою </w:t>
            </w:r>
            <w:proofErr w:type="spellStart"/>
            <w:r w:rsidRPr="00B75FD7">
              <w:rPr>
                <w:rFonts w:eastAsia="Calibri"/>
                <w:color w:val="000000"/>
                <w:sz w:val="22"/>
              </w:rPr>
              <w:t>проєкту</w:t>
            </w:r>
            <w:proofErr w:type="spellEnd"/>
            <w:r w:rsidRPr="00B75FD7">
              <w:rPr>
                <w:rFonts w:eastAsia="Calibri"/>
                <w:color w:val="000000"/>
                <w:sz w:val="22"/>
              </w:rPr>
              <w:t xml:space="preserve"> є відновлення роботи ЗДО та створення комфортних та безпечних умов здобуття дошкільної освіти, розвитку, виховання та навчання дітей (в </w:t>
            </w:r>
            <w:proofErr w:type="spellStart"/>
            <w:r w:rsidRPr="00B75FD7">
              <w:rPr>
                <w:rFonts w:eastAsia="Calibri"/>
                <w:color w:val="000000"/>
                <w:sz w:val="22"/>
              </w:rPr>
              <w:t>т.ч</w:t>
            </w:r>
            <w:proofErr w:type="spellEnd"/>
            <w:r w:rsidRPr="00B75FD7">
              <w:rPr>
                <w:rFonts w:eastAsia="Calibri"/>
                <w:color w:val="000000"/>
                <w:sz w:val="22"/>
              </w:rPr>
              <w:t>. дітей з ООП), відповідно до санітарно-гігієнічних та протипожежних вимог.</w:t>
            </w:r>
          </w:p>
        </w:tc>
      </w:tr>
      <w:tr w:rsidR="00297BFF" w:rsidRPr="00B75FD7" w:rsidTr="00297BFF">
        <w:trPr>
          <w:trHeight w:val="1097"/>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297BFF">
            <w:pPr>
              <w:autoSpaceDE w:val="0"/>
              <w:autoSpaceDN w:val="0"/>
              <w:adjustRightInd w:val="0"/>
              <w:rPr>
                <w:rFonts w:eastAsia="Calibri"/>
                <w:b/>
                <w:color w:val="000000"/>
                <w:sz w:val="22"/>
              </w:rPr>
            </w:pPr>
            <w:r w:rsidRPr="00B75FD7">
              <w:rPr>
                <w:rFonts w:eastAsia="Calibri"/>
                <w:b/>
                <w:color w:val="000000"/>
                <w:sz w:val="22"/>
              </w:rPr>
              <w:lastRenderedPageBreak/>
              <w:t>Очікувані якісні результати від реалізації проекту</w:t>
            </w:r>
          </w:p>
        </w:tc>
        <w:tc>
          <w:tcPr>
            <w:tcW w:w="6772" w:type="dxa"/>
            <w:gridSpan w:val="8"/>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Стимул до повернення сімей-ВПО з дітьми дошкільного віку до громади.  Забезпечення якісно нового рівня комфорту перебування в будівлі учасників освітнього процесу.</w:t>
            </w:r>
          </w:p>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 xml:space="preserve">Забезпечення можливості отримувати дошкільну освіту в сучасних, комфортних та безпечних умовах, доступність освіти для дітей з ООП. </w:t>
            </w:r>
          </w:p>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 xml:space="preserve">   Зменшення </w:t>
            </w:r>
            <w:proofErr w:type="spellStart"/>
            <w:r w:rsidRPr="00B75FD7">
              <w:rPr>
                <w:rFonts w:eastAsia="Calibri"/>
                <w:color w:val="000000"/>
                <w:sz w:val="22"/>
              </w:rPr>
              <w:t>теплоспоживання</w:t>
            </w:r>
            <w:proofErr w:type="spellEnd"/>
            <w:r w:rsidRPr="00B75FD7">
              <w:rPr>
                <w:rFonts w:eastAsia="Calibri"/>
                <w:color w:val="000000"/>
                <w:sz w:val="22"/>
              </w:rPr>
              <w:t xml:space="preserve"> будівлі.</w:t>
            </w:r>
          </w:p>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Економія бюджетних коштів на сплаті  енергоносіїв.</w:t>
            </w:r>
          </w:p>
          <w:p w:rsidR="00297BFF" w:rsidRPr="00B75FD7" w:rsidRDefault="00297BFF" w:rsidP="00297BFF">
            <w:pPr>
              <w:autoSpaceDE w:val="0"/>
              <w:autoSpaceDN w:val="0"/>
              <w:adjustRightInd w:val="0"/>
              <w:rPr>
                <w:rFonts w:eastAsia="Calibri"/>
                <w:color w:val="000000"/>
                <w:sz w:val="22"/>
              </w:rPr>
            </w:pPr>
          </w:p>
        </w:tc>
      </w:tr>
      <w:tr w:rsidR="00297BFF" w:rsidRPr="00B75FD7" w:rsidTr="00297BFF">
        <w:trPr>
          <w:gridAfter w:val="1"/>
          <w:wAfter w:w="46" w:type="dxa"/>
          <w:trHeight w:val="504"/>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297BFF">
            <w:pPr>
              <w:autoSpaceDE w:val="0"/>
              <w:autoSpaceDN w:val="0"/>
              <w:adjustRightInd w:val="0"/>
              <w:rPr>
                <w:rFonts w:eastAsia="Calibri"/>
                <w:b/>
                <w:color w:val="000000"/>
                <w:sz w:val="22"/>
              </w:rPr>
            </w:pPr>
            <w:r w:rsidRPr="00B75FD7">
              <w:rPr>
                <w:rFonts w:eastAsia="Calibri"/>
                <w:b/>
                <w:color w:val="000000"/>
                <w:sz w:val="22"/>
              </w:rPr>
              <w:t>Очікувані кількісні результати від реалізації проекту  (індикатори)</w:t>
            </w:r>
          </w:p>
        </w:tc>
        <w:tc>
          <w:tcPr>
            <w:tcW w:w="3119" w:type="dxa"/>
            <w:gridSpan w:val="3"/>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b/>
                <w:color w:val="000000"/>
                <w:sz w:val="22"/>
              </w:rPr>
            </w:pPr>
            <w:r w:rsidRPr="00B75FD7">
              <w:rPr>
                <w:rFonts w:eastAsia="Calibri"/>
                <w:b/>
                <w:color w:val="000000"/>
                <w:sz w:val="22"/>
              </w:rPr>
              <w:t>Найменування показника</w:t>
            </w:r>
          </w:p>
        </w:tc>
        <w:tc>
          <w:tcPr>
            <w:tcW w:w="1842" w:type="dxa"/>
            <w:gridSpan w:val="2"/>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b/>
                <w:color w:val="000000"/>
                <w:sz w:val="22"/>
              </w:rPr>
            </w:pPr>
            <w:r w:rsidRPr="00B75FD7">
              <w:rPr>
                <w:rFonts w:eastAsia="Calibri"/>
                <w:b/>
                <w:color w:val="000000"/>
                <w:sz w:val="22"/>
              </w:rPr>
              <w:t>Одиниця вимірювання</w:t>
            </w:r>
          </w:p>
        </w:tc>
        <w:tc>
          <w:tcPr>
            <w:tcW w:w="1765" w:type="dxa"/>
            <w:gridSpan w:val="2"/>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b/>
                <w:color w:val="000000"/>
                <w:sz w:val="22"/>
              </w:rPr>
            </w:pPr>
            <w:r w:rsidRPr="00B75FD7">
              <w:rPr>
                <w:rFonts w:eastAsia="Calibri"/>
                <w:b/>
                <w:color w:val="000000"/>
                <w:sz w:val="22"/>
              </w:rPr>
              <w:t>Прогнозне (цільове) значення</w:t>
            </w:r>
          </w:p>
        </w:tc>
      </w:tr>
      <w:tr w:rsidR="00297BFF" w:rsidRPr="00B75FD7" w:rsidTr="00297BFF">
        <w:trPr>
          <w:gridAfter w:val="1"/>
          <w:wAfter w:w="46" w:type="dxa"/>
          <w:trHeight w:val="836"/>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297BFF">
            <w:pPr>
              <w:autoSpaceDE w:val="0"/>
              <w:autoSpaceDN w:val="0"/>
              <w:adjustRightInd w:val="0"/>
              <w:rPr>
                <w:rFonts w:eastAsia="Calibri"/>
                <w:b/>
                <w:color w:val="000000"/>
                <w:sz w:val="22"/>
              </w:rPr>
            </w:pPr>
          </w:p>
        </w:tc>
        <w:tc>
          <w:tcPr>
            <w:tcW w:w="3119" w:type="dxa"/>
            <w:gridSpan w:val="3"/>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Кількість учасників освітнього процесу (діти та їх батьки, працівники закладу).</w:t>
            </w:r>
            <w:r w:rsidRPr="00B75FD7">
              <w:rPr>
                <w:sz w:val="22"/>
                <w:shd w:val="clear" w:color="auto" w:fill="FFFFFF"/>
              </w:rPr>
              <w:t xml:space="preserve"> </w:t>
            </w:r>
          </w:p>
        </w:tc>
        <w:tc>
          <w:tcPr>
            <w:tcW w:w="1842" w:type="dxa"/>
            <w:gridSpan w:val="2"/>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Осіб</w:t>
            </w:r>
          </w:p>
          <w:p w:rsidR="00297BFF" w:rsidRPr="00B75FD7" w:rsidRDefault="00297BFF" w:rsidP="00297BFF">
            <w:pPr>
              <w:autoSpaceDE w:val="0"/>
              <w:autoSpaceDN w:val="0"/>
              <w:adjustRightInd w:val="0"/>
              <w:rPr>
                <w:rFonts w:eastAsia="Calibri"/>
                <w:color w:val="000000"/>
                <w:sz w:val="22"/>
              </w:rPr>
            </w:pPr>
          </w:p>
          <w:p w:rsidR="00297BFF" w:rsidRPr="00B75FD7" w:rsidRDefault="00297BFF" w:rsidP="00297BFF">
            <w:pPr>
              <w:autoSpaceDE w:val="0"/>
              <w:autoSpaceDN w:val="0"/>
              <w:adjustRightInd w:val="0"/>
              <w:rPr>
                <w:rFonts w:eastAsia="Calibri"/>
                <w:color w:val="000000"/>
                <w:sz w:val="22"/>
              </w:rPr>
            </w:pPr>
          </w:p>
        </w:tc>
        <w:tc>
          <w:tcPr>
            <w:tcW w:w="1765" w:type="dxa"/>
            <w:gridSpan w:val="2"/>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600</w:t>
            </w:r>
          </w:p>
        </w:tc>
      </w:tr>
      <w:tr w:rsidR="00297BFF" w:rsidRPr="00B75FD7" w:rsidTr="00297BFF">
        <w:trPr>
          <w:trHeight w:val="1460"/>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297BFF">
            <w:pPr>
              <w:autoSpaceDE w:val="0"/>
              <w:autoSpaceDN w:val="0"/>
              <w:adjustRightInd w:val="0"/>
              <w:rPr>
                <w:rFonts w:eastAsia="Calibri"/>
                <w:b/>
                <w:color w:val="000000"/>
                <w:sz w:val="22"/>
              </w:rPr>
            </w:pPr>
            <w:r w:rsidRPr="00B75FD7">
              <w:rPr>
                <w:rFonts w:eastAsia="Calibri"/>
                <w:b/>
                <w:color w:val="000000"/>
                <w:sz w:val="22"/>
              </w:rPr>
              <w:t>Ключові заходи проекту:</w:t>
            </w:r>
          </w:p>
        </w:tc>
        <w:tc>
          <w:tcPr>
            <w:tcW w:w="6772" w:type="dxa"/>
            <w:gridSpan w:val="8"/>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 xml:space="preserve">Для реалізації </w:t>
            </w:r>
            <w:proofErr w:type="spellStart"/>
            <w:r w:rsidRPr="00B75FD7">
              <w:rPr>
                <w:rFonts w:eastAsia="Calibri"/>
                <w:color w:val="000000"/>
                <w:sz w:val="22"/>
              </w:rPr>
              <w:t>проєкту</w:t>
            </w:r>
            <w:proofErr w:type="spellEnd"/>
            <w:r w:rsidRPr="00B75FD7">
              <w:rPr>
                <w:rFonts w:eastAsia="Calibri"/>
                <w:color w:val="000000"/>
                <w:sz w:val="22"/>
              </w:rPr>
              <w:t xml:space="preserve"> необхідно провести наступні заходи:</w:t>
            </w:r>
          </w:p>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w:t>
            </w:r>
            <w:r w:rsidRPr="00B75FD7">
              <w:rPr>
                <w:rFonts w:eastAsia="Calibri"/>
                <w:color w:val="000000"/>
                <w:sz w:val="22"/>
              </w:rPr>
              <w:tab/>
              <w:t>Здійснення експертної оцінки</w:t>
            </w:r>
            <w:r w:rsidR="001F0005" w:rsidRPr="00B75FD7">
              <w:rPr>
                <w:rFonts w:eastAsia="Calibri"/>
                <w:color w:val="000000"/>
                <w:sz w:val="22"/>
              </w:rPr>
              <w:t>.</w:t>
            </w:r>
          </w:p>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w:t>
            </w:r>
            <w:r w:rsidRPr="00B75FD7">
              <w:rPr>
                <w:rFonts w:eastAsia="Calibri"/>
                <w:color w:val="000000"/>
                <w:sz w:val="22"/>
              </w:rPr>
              <w:tab/>
              <w:t xml:space="preserve">Розробка </w:t>
            </w:r>
            <w:proofErr w:type="spellStart"/>
            <w:r w:rsidRPr="00B75FD7">
              <w:rPr>
                <w:rFonts w:eastAsia="Calibri"/>
                <w:color w:val="000000"/>
                <w:sz w:val="22"/>
              </w:rPr>
              <w:t>проєктно</w:t>
            </w:r>
            <w:proofErr w:type="spellEnd"/>
            <w:r w:rsidRPr="00B75FD7">
              <w:rPr>
                <w:rFonts w:eastAsia="Calibri"/>
                <w:color w:val="000000"/>
                <w:sz w:val="22"/>
              </w:rPr>
              <w:t>-кошторисної документації</w:t>
            </w:r>
            <w:r w:rsidR="001F0005" w:rsidRPr="00B75FD7">
              <w:rPr>
                <w:rFonts w:eastAsia="Calibri"/>
                <w:color w:val="000000"/>
                <w:sz w:val="22"/>
              </w:rPr>
              <w:t>.</w:t>
            </w:r>
          </w:p>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w:t>
            </w:r>
            <w:r w:rsidRPr="00B75FD7">
              <w:rPr>
                <w:rFonts w:eastAsia="Calibri"/>
                <w:color w:val="000000"/>
                <w:sz w:val="22"/>
              </w:rPr>
              <w:tab/>
              <w:t>Капітальний ремонт покрівлі;</w:t>
            </w:r>
            <w:r w:rsidRPr="00B75FD7">
              <w:rPr>
                <w:sz w:val="22"/>
                <w:shd w:val="clear" w:color="auto" w:fill="FFFFFF"/>
              </w:rPr>
              <w:t xml:space="preserve"> </w:t>
            </w:r>
            <w:r w:rsidRPr="00B75FD7">
              <w:rPr>
                <w:rFonts w:eastAsia="Calibri"/>
                <w:color w:val="000000"/>
                <w:sz w:val="22"/>
              </w:rPr>
              <w:t xml:space="preserve">відновлення всіх складових покрівлі, стін парапетів, вентиляційних каналів та їх накривок, системи зовнішнього водовідведення атмосферних і талих вод та </w:t>
            </w:r>
            <w:r w:rsidR="001F0005" w:rsidRPr="00B75FD7">
              <w:rPr>
                <w:rFonts w:eastAsia="Calibri"/>
                <w:color w:val="000000"/>
                <w:sz w:val="22"/>
              </w:rPr>
              <w:t>ін..</w:t>
            </w:r>
          </w:p>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w:t>
            </w:r>
            <w:r w:rsidRPr="00B75FD7">
              <w:rPr>
                <w:rFonts w:eastAsia="Calibri"/>
                <w:color w:val="000000"/>
                <w:sz w:val="22"/>
              </w:rPr>
              <w:tab/>
              <w:t xml:space="preserve">Капітальний ремонт зовнішніх стін, цоколю, </w:t>
            </w:r>
            <w:proofErr w:type="spellStart"/>
            <w:r w:rsidRPr="00B75FD7">
              <w:rPr>
                <w:rFonts w:eastAsia="Calibri"/>
                <w:color w:val="000000"/>
                <w:sz w:val="22"/>
              </w:rPr>
              <w:t>ганків</w:t>
            </w:r>
            <w:proofErr w:type="spellEnd"/>
            <w:r w:rsidRPr="00B75FD7">
              <w:rPr>
                <w:rFonts w:eastAsia="Calibri"/>
                <w:color w:val="000000"/>
                <w:sz w:val="22"/>
              </w:rPr>
              <w:t>, утеплення та оздоблення фасадів</w:t>
            </w:r>
            <w:r w:rsidR="001F0005" w:rsidRPr="00B75FD7">
              <w:rPr>
                <w:rFonts w:eastAsia="Calibri"/>
                <w:color w:val="000000"/>
                <w:sz w:val="22"/>
              </w:rPr>
              <w:t>.</w:t>
            </w:r>
          </w:p>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w:t>
            </w:r>
            <w:r w:rsidRPr="00B75FD7">
              <w:rPr>
                <w:rFonts w:eastAsia="Calibri"/>
                <w:color w:val="000000"/>
                <w:sz w:val="22"/>
              </w:rPr>
              <w:tab/>
              <w:t>Встановлення е</w:t>
            </w:r>
            <w:r w:rsidR="001F0005" w:rsidRPr="00B75FD7">
              <w:rPr>
                <w:rFonts w:eastAsia="Calibri"/>
                <w:color w:val="000000"/>
                <w:sz w:val="22"/>
              </w:rPr>
              <w:t>нергоефективних вікон та дверей.</w:t>
            </w:r>
          </w:p>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w:t>
            </w:r>
            <w:r w:rsidRPr="00B75FD7">
              <w:rPr>
                <w:rFonts w:eastAsia="Calibri"/>
                <w:color w:val="000000"/>
                <w:sz w:val="22"/>
              </w:rPr>
              <w:tab/>
              <w:t>Облаштування входів пандусами</w:t>
            </w:r>
            <w:r w:rsidR="001F0005" w:rsidRPr="00B75FD7">
              <w:rPr>
                <w:rFonts w:eastAsia="Calibri"/>
                <w:color w:val="000000"/>
                <w:sz w:val="22"/>
              </w:rPr>
              <w:t>.</w:t>
            </w:r>
          </w:p>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w:t>
            </w:r>
            <w:r w:rsidRPr="00B75FD7">
              <w:rPr>
                <w:rFonts w:eastAsia="Calibri"/>
                <w:color w:val="000000"/>
                <w:sz w:val="22"/>
              </w:rPr>
              <w:tab/>
              <w:t>Облаштування аварійних виходів зовнішніми сходовими маршами</w:t>
            </w:r>
            <w:r w:rsidR="001F0005" w:rsidRPr="00B75FD7">
              <w:rPr>
                <w:rFonts w:eastAsia="Calibri"/>
                <w:color w:val="000000"/>
                <w:sz w:val="22"/>
              </w:rPr>
              <w:t>.</w:t>
            </w:r>
          </w:p>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w:t>
            </w:r>
            <w:r w:rsidRPr="00B75FD7">
              <w:rPr>
                <w:rFonts w:eastAsia="Calibri"/>
                <w:color w:val="000000"/>
                <w:sz w:val="22"/>
              </w:rPr>
              <w:tab/>
              <w:t>Капітальний ремонт системи електропостачання та освітлення у будівлі</w:t>
            </w:r>
            <w:r w:rsidR="001F0005" w:rsidRPr="00B75FD7">
              <w:rPr>
                <w:rFonts w:eastAsia="Calibri"/>
                <w:color w:val="000000"/>
                <w:sz w:val="22"/>
              </w:rPr>
              <w:t>.</w:t>
            </w:r>
          </w:p>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w:t>
            </w:r>
            <w:r w:rsidRPr="00B75FD7">
              <w:rPr>
                <w:rFonts w:eastAsia="Calibri"/>
                <w:color w:val="000000"/>
                <w:sz w:val="22"/>
              </w:rPr>
              <w:tab/>
              <w:t>Капітальний ремонт системи опалення</w:t>
            </w:r>
            <w:r w:rsidR="001F0005" w:rsidRPr="00B75FD7">
              <w:rPr>
                <w:rFonts w:eastAsia="Calibri"/>
                <w:color w:val="000000"/>
                <w:sz w:val="22"/>
              </w:rPr>
              <w:t>.</w:t>
            </w:r>
          </w:p>
          <w:p w:rsidR="001F0005" w:rsidRPr="00B75FD7" w:rsidRDefault="00297BFF" w:rsidP="00297BFF">
            <w:pPr>
              <w:autoSpaceDE w:val="0"/>
              <w:autoSpaceDN w:val="0"/>
              <w:adjustRightInd w:val="0"/>
              <w:rPr>
                <w:rFonts w:eastAsia="Calibri"/>
                <w:color w:val="000000"/>
                <w:sz w:val="22"/>
              </w:rPr>
            </w:pPr>
            <w:r w:rsidRPr="00B75FD7">
              <w:rPr>
                <w:rFonts w:eastAsia="Calibri"/>
                <w:color w:val="000000"/>
                <w:sz w:val="22"/>
              </w:rPr>
              <w:t>-</w:t>
            </w:r>
            <w:r w:rsidRPr="00B75FD7">
              <w:rPr>
                <w:rFonts w:eastAsia="Calibri"/>
                <w:color w:val="000000"/>
                <w:sz w:val="22"/>
              </w:rPr>
              <w:tab/>
              <w:t>Капітальний ремонт системи водопостачання та водовідведення</w:t>
            </w:r>
            <w:r w:rsidR="001F0005" w:rsidRPr="00B75FD7">
              <w:rPr>
                <w:rFonts w:eastAsia="Calibri"/>
                <w:color w:val="000000"/>
                <w:sz w:val="22"/>
              </w:rPr>
              <w:t>.</w:t>
            </w:r>
          </w:p>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w:t>
            </w:r>
            <w:r w:rsidRPr="00B75FD7">
              <w:rPr>
                <w:rFonts w:eastAsia="Calibri"/>
                <w:color w:val="000000"/>
                <w:sz w:val="22"/>
              </w:rPr>
              <w:tab/>
              <w:t>Капітальний ремонт системи вентиляції</w:t>
            </w:r>
            <w:r w:rsidR="001F0005" w:rsidRPr="00B75FD7">
              <w:rPr>
                <w:rFonts w:eastAsia="Calibri"/>
                <w:color w:val="000000"/>
                <w:sz w:val="22"/>
              </w:rPr>
              <w:t>.</w:t>
            </w:r>
          </w:p>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w:t>
            </w:r>
            <w:r w:rsidRPr="00B75FD7">
              <w:rPr>
                <w:rFonts w:eastAsia="Calibri"/>
                <w:color w:val="000000"/>
                <w:sz w:val="22"/>
              </w:rPr>
              <w:tab/>
              <w:t>Капітальний ремонт та оснащення пральні;</w:t>
            </w:r>
          </w:p>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w:t>
            </w:r>
            <w:r w:rsidRPr="00B75FD7">
              <w:rPr>
                <w:rFonts w:eastAsia="Calibri"/>
                <w:color w:val="000000"/>
                <w:sz w:val="22"/>
              </w:rPr>
              <w:tab/>
              <w:t>Капітальний ремонт та оснащення харчоблоку, комори відповідно нормам НАССР</w:t>
            </w:r>
            <w:r w:rsidR="001F0005" w:rsidRPr="00B75FD7">
              <w:rPr>
                <w:rFonts w:eastAsia="Calibri"/>
                <w:color w:val="000000"/>
                <w:sz w:val="22"/>
              </w:rPr>
              <w:t>.</w:t>
            </w:r>
          </w:p>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w:t>
            </w:r>
            <w:r w:rsidRPr="00B75FD7">
              <w:rPr>
                <w:rFonts w:eastAsia="Calibri"/>
                <w:color w:val="000000"/>
                <w:sz w:val="22"/>
              </w:rPr>
              <w:tab/>
              <w:t xml:space="preserve">Капітальний ремонт </w:t>
            </w:r>
            <w:proofErr w:type="spellStart"/>
            <w:r w:rsidRPr="00B75FD7">
              <w:rPr>
                <w:rFonts w:eastAsia="Calibri"/>
                <w:color w:val="000000"/>
                <w:sz w:val="22"/>
              </w:rPr>
              <w:t>міжсходових</w:t>
            </w:r>
            <w:proofErr w:type="spellEnd"/>
            <w:r w:rsidRPr="00B75FD7">
              <w:rPr>
                <w:rFonts w:eastAsia="Calibri"/>
                <w:color w:val="000000"/>
                <w:sz w:val="22"/>
              </w:rPr>
              <w:t xml:space="preserve"> маршів, коридорів, музичної і спортивної зали, групових приміщень, кабінетів спеціалістів і адміністрації; забезпечення </w:t>
            </w:r>
            <w:proofErr w:type="spellStart"/>
            <w:r w:rsidRPr="00B75FD7">
              <w:rPr>
                <w:rFonts w:eastAsia="Calibri"/>
                <w:color w:val="000000"/>
                <w:sz w:val="22"/>
              </w:rPr>
              <w:t>безбар’єрності</w:t>
            </w:r>
            <w:proofErr w:type="spellEnd"/>
            <w:r w:rsidRPr="00B75FD7">
              <w:rPr>
                <w:rFonts w:eastAsia="Calibri"/>
                <w:color w:val="000000"/>
                <w:sz w:val="22"/>
              </w:rPr>
              <w:t xml:space="preserve"> простору і оснащення вищезазначених приміщень спеціальними пристосуваннями з урахуванням різних </w:t>
            </w:r>
            <w:r w:rsidR="001F0005" w:rsidRPr="00B75FD7">
              <w:rPr>
                <w:rFonts w:eastAsia="Calibri"/>
                <w:color w:val="000000"/>
                <w:sz w:val="22"/>
              </w:rPr>
              <w:t>нозологій.</w:t>
            </w:r>
          </w:p>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w:t>
            </w:r>
            <w:r w:rsidRPr="00B75FD7">
              <w:rPr>
                <w:rFonts w:eastAsia="Calibri"/>
                <w:color w:val="000000"/>
                <w:sz w:val="22"/>
              </w:rPr>
              <w:tab/>
              <w:t>Забезпечення закладу телефонним зв’язком та інтернетом.</w:t>
            </w:r>
          </w:p>
        </w:tc>
      </w:tr>
      <w:tr w:rsidR="00A61D6E" w:rsidRPr="00B75FD7" w:rsidTr="002F19B5">
        <w:trPr>
          <w:trHeight w:val="485"/>
        </w:trPr>
        <w:tc>
          <w:tcPr>
            <w:tcW w:w="3007" w:type="dxa"/>
            <w:vMerge w:val="restart"/>
            <w:tcBorders>
              <w:top w:val="single" w:sz="6" w:space="0" w:color="auto"/>
              <w:left w:val="single" w:sz="6" w:space="0" w:color="auto"/>
              <w:right w:val="single" w:sz="6" w:space="0" w:color="auto"/>
            </w:tcBorders>
            <w:shd w:val="clear" w:color="00FFFF" w:fill="C6D9F1" w:themeFill="text2" w:themeFillTint="33"/>
          </w:tcPr>
          <w:p w:rsidR="00A61D6E" w:rsidRPr="00B75FD7" w:rsidRDefault="00A61D6E" w:rsidP="00A61D6E">
            <w:pPr>
              <w:autoSpaceDE w:val="0"/>
              <w:autoSpaceDN w:val="0"/>
              <w:adjustRightInd w:val="0"/>
              <w:rPr>
                <w:rFonts w:eastAsia="Calibri"/>
                <w:b/>
                <w:color w:val="000000"/>
                <w:sz w:val="22"/>
              </w:rPr>
            </w:pPr>
            <w:r w:rsidRPr="00B75FD7">
              <w:rPr>
                <w:rFonts w:eastAsia="Calibri"/>
                <w:b/>
                <w:color w:val="000000"/>
                <w:sz w:val="22"/>
              </w:rPr>
              <w:t>Орієнтовний обсяг та джерела фінансування тис. гривень</w:t>
            </w:r>
          </w:p>
        </w:tc>
        <w:tc>
          <w:tcPr>
            <w:tcW w:w="1354" w:type="dxa"/>
            <w:vMerge w:val="restart"/>
            <w:tcBorders>
              <w:top w:val="single" w:sz="6" w:space="0" w:color="auto"/>
              <w:left w:val="single" w:sz="6" w:space="0" w:color="auto"/>
              <w:right w:val="single" w:sz="6" w:space="0" w:color="auto"/>
            </w:tcBorders>
          </w:tcPr>
          <w:p w:rsidR="00A61D6E" w:rsidRPr="00B75FD7" w:rsidRDefault="00A61D6E" w:rsidP="00A61D6E">
            <w:pPr>
              <w:autoSpaceDE w:val="0"/>
              <w:autoSpaceDN w:val="0"/>
              <w:adjustRightInd w:val="0"/>
              <w:rPr>
                <w:rFonts w:eastAsia="Calibri"/>
                <w:color w:val="000000"/>
                <w:sz w:val="22"/>
              </w:rPr>
            </w:pPr>
            <w:r w:rsidRPr="00B75FD7">
              <w:rPr>
                <w:rFonts w:eastAsia="Calibri"/>
                <w:color w:val="000000"/>
                <w:sz w:val="22"/>
              </w:rPr>
              <w:t>Державний бюджет</w:t>
            </w:r>
          </w:p>
        </w:tc>
        <w:tc>
          <w:tcPr>
            <w:tcW w:w="1354" w:type="dxa"/>
            <w:vMerge w:val="restart"/>
            <w:tcBorders>
              <w:top w:val="single" w:sz="6" w:space="0" w:color="auto"/>
              <w:left w:val="single" w:sz="6" w:space="0" w:color="auto"/>
              <w:right w:val="single" w:sz="6" w:space="0" w:color="auto"/>
            </w:tcBorders>
          </w:tcPr>
          <w:p w:rsidR="00A61D6E" w:rsidRPr="00B75FD7" w:rsidRDefault="00A61D6E" w:rsidP="00A61D6E">
            <w:pPr>
              <w:autoSpaceDE w:val="0"/>
              <w:autoSpaceDN w:val="0"/>
              <w:adjustRightInd w:val="0"/>
              <w:rPr>
                <w:rFonts w:eastAsia="Calibri"/>
                <w:color w:val="000000"/>
                <w:sz w:val="22"/>
              </w:rPr>
            </w:pPr>
            <w:r w:rsidRPr="00B75FD7">
              <w:rPr>
                <w:rFonts w:eastAsia="Calibri"/>
                <w:color w:val="000000"/>
                <w:sz w:val="22"/>
              </w:rPr>
              <w:t>Місцевий бюджет</w:t>
            </w:r>
          </w:p>
        </w:tc>
        <w:tc>
          <w:tcPr>
            <w:tcW w:w="2709" w:type="dxa"/>
            <w:gridSpan w:val="4"/>
            <w:tcBorders>
              <w:top w:val="single" w:sz="6" w:space="0" w:color="auto"/>
              <w:left w:val="single" w:sz="6" w:space="0" w:color="auto"/>
              <w:bottom w:val="single" w:sz="6" w:space="0" w:color="auto"/>
              <w:right w:val="single" w:sz="6" w:space="0" w:color="auto"/>
            </w:tcBorders>
          </w:tcPr>
          <w:p w:rsidR="00A61D6E" w:rsidRPr="00B75FD7" w:rsidRDefault="00A61D6E" w:rsidP="00A61D6E">
            <w:pPr>
              <w:autoSpaceDE w:val="0"/>
              <w:autoSpaceDN w:val="0"/>
              <w:adjustRightInd w:val="0"/>
              <w:rPr>
                <w:rFonts w:eastAsia="Calibri"/>
                <w:color w:val="000000"/>
                <w:sz w:val="22"/>
              </w:rPr>
            </w:pPr>
            <w:r w:rsidRPr="00B75FD7">
              <w:rPr>
                <w:rFonts w:eastAsia="Calibri"/>
                <w:color w:val="000000"/>
                <w:sz w:val="22"/>
              </w:rPr>
              <w:t>Інші джерела</w:t>
            </w:r>
          </w:p>
        </w:tc>
        <w:tc>
          <w:tcPr>
            <w:tcW w:w="1355" w:type="dxa"/>
            <w:gridSpan w:val="2"/>
            <w:vMerge w:val="restart"/>
            <w:tcBorders>
              <w:top w:val="single" w:sz="6" w:space="0" w:color="auto"/>
              <w:left w:val="single" w:sz="6" w:space="0" w:color="auto"/>
              <w:right w:val="single" w:sz="6" w:space="0" w:color="auto"/>
            </w:tcBorders>
          </w:tcPr>
          <w:p w:rsidR="00A61D6E" w:rsidRPr="00B75FD7" w:rsidRDefault="00A61D6E" w:rsidP="00A61D6E">
            <w:pPr>
              <w:autoSpaceDE w:val="0"/>
              <w:autoSpaceDN w:val="0"/>
              <w:adjustRightInd w:val="0"/>
              <w:rPr>
                <w:rFonts w:eastAsia="Calibri"/>
                <w:color w:val="000000"/>
                <w:sz w:val="22"/>
              </w:rPr>
            </w:pPr>
            <w:r w:rsidRPr="00B75FD7">
              <w:rPr>
                <w:rFonts w:eastAsia="Calibri"/>
                <w:color w:val="000000"/>
                <w:sz w:val="22"/>
              </w:rPr>
              <w:t>Всього</w:t>
            </w:r>
          </w:p>
        </w:tc>
      </w:tr>
      <w:tr w:rsidR="00A61D6E" w:rsidRPr="00B75FD7" w:rsidTr="002F19B5">
        <w:trPr>
          <w:trHeight w:val="485"/>
        </w:trPr>
        <w:tc>
          <w:tcPr>
            <w:tcW w:w="3007" w:type="dxa"/>
            <w:vMerge/>
            <w:tcBorders>
              <w:left w:val="single" w:sz="6" w:space="0" w:color="auto"/>
              <w:right w:val="single" w:sz="6" w:space="0" w:color="auto"/>
            </w:tcBorders>
            <w:shd w:val="clear" w:color="00FFFF" w:fill="C6D9F1" w:themeFill="text2" w:themeFillTint="33"/>
          </w:tcPr>
          <w:p w:rsidR="00A61D6E" w:rsidRPr="00B75FD7" w:rsidRDefault="00A61D6E" w:rsidP="00A61D6E">
            <w:pPr>
              <w:autoSpaceDE w:val="0"/>
              <w:autoSpaceDN w:val="0"/>
              <w:adjustRightInd w:val="0"/>
              <w:rPr>
                <w:rFonts w:eastAsia="Calibri"/>
                <w:b/>
                <w:color w:val="000000"/>
                <w:sz w:val="22"/>
              </w:rPr>
            </w:pPr>
          </w:p>
        </w:tc>
        <w:tc>
          <w:tcPr>
            <w:tcW w:w="1354" w:type="dxa"/>
            <w:vMerge/>
            <w:tcBorders>
              <w:left w:val="single" w:sz="6" w:space="0" w:color="auto"/>
              <w:bottom w:val="single" w:sz="6" w:space="0" w:color="auto"/>
              <w:right w:val="single" w:sz="6" w:space="0" w:color="auto"/>
            </w:tcBorders>
          </w:tcPr>
          <w:p w:rsidR="00A61D6E" w:rsidRPr="00B75FD7" w:rsidRDefault="00A61D6E" w:rsidP="00A61D6E">
            <w:pPr>
              <w:autoSpaceDE w:val="0"/>
              <w:autoSpaceDN w:val="0"/>
              <w:adjustRightInd w:val="0"/>
              <w:rPr>
                <w:rFonts w:eastAsia="Calibri"/>
                <w:color w:val="000000"/>
                <w:sz w:val="22"/>
              </w:rPr>
            </w:pPr>
          </w:p>
        </w:tc>
        <w:tc>
          <w:tcPr>
            <w:tcW w:w="1354" w:type="dxa"/>
            <w:vMerge/>
            <w:tcBorders>
              <w:left w:val="single" w:sz="6" w:space="0" w:color="auto"/>
              <w:bottom w:val="single" w:sz="6" w:space="0" w:color="auto"/>
              <w:right w:val="single" w:sz="6" w:space="0" w:color="auto"/>
            </w:tcBorders>
          </w:tcPr>
          <w:p w:rsidR="00A61D6E" w:rsidRPr="00B75FD7" w:rsidRDefault="00A61D6E" w:rsidP="00A61D6E">
            <w:pPr>
              <w:autoSpaceDE w:val="0"/>
              <w:autoSpaceDN w:val="0"/>
              <w:adjustRightInd w:val="0"/>
              <w:rPr>
                <w:rFonts w:eastAsia="Calibri"/>
                <w:color w:val="000000"/>
                <w:sz w:val="22"/>
              </w:rPr>
            </w:pPr>
          </w:p>
        </w:tc>
        <w:tc>
          <w:tcPr>
            <w:tcW w:w="1355" w:type="dxa"/>
            <w:gridSpan w:val="2"/>
            <w:tcBorders>
              <w:top w:val="single" w:sz="6" w:space="0" w:color="auto"/>
              <w:left w:val="single" w:sz="6" w:space="0" w:color="auto"/>
              <w:bottom w:val="single" w:sz="6" w:space="0" w:color="auto"/>
              <w:right w:val="single" w:sz="6" w:space="0" w:color="auto"/>
            </w:tcBorders>
          </w:tcPr>
          <w:p w:rsidR="00A61D6E" w:rsidRPr="00B75FD7" w:rsidRDefault="00A61D6E" w:rsidP="00A61D6E">
            <w:pPr>
              <w:autoSpaceDE w:val="0"/>
              <w:autoSpaceDN w:val="0"/>
              <w:adjustRightInd w:val="0"/>
              <w:rPr>
                <w:rFonts w:eastAsia="Calibri"/>
                <w:color w:val="000000"/>
                <w:sz w:val="22"/>
                <w:lang w:val="ru-RU"/>
              </w:rPr>
            </w:pPr>
            <w:proofErr w:type="spellStart"/>
            <w:r w:rsidRPr="00B75FD7">
              <w:rPr>
                <w:rFonts w:eastAsia="Calibri"/>
                <w:color w:val="000000"/>
                <w:sz w:val="22"/>
                <w:lang w:val="ru-RU"/>
              </w:rPr>
              <w:t>Обсяг</w:t>
            </w:r>
            <w:proofErr w:type="spellEnd"/>
          </w:p>
        </w:tc>
        <w:tc>
          <w:tcPr>
            <w:tcW w:w="1354" w:type="dxa"/>
            <w:gridSpan w:val="2"/>
            <w:tcBorders>
              <w:top w:val="single" w:sz="6" w:space="0" w:color="auto"/>
              <w:left w:val="single" w:sz="6" w:space="0" w:color="auto"/>
              <w:bottom w:val="single" w:sz="6" w:space="0" w:color="auto"/>
              <w:right w:val="single" w:sz="6" w:space="0" w:color="auto"/>
            </w:tcBorders>
          </w:tcPr>
          <w:p w:rsidR="00A61D6E" w:rsidRPr="00B75FD7" w:rsidRDefault="00A61D6E" w:rsidP="00A61D6E">
            <w:pPr>
              <w:autoSpaceDE w:val="0"/>
              <w:autoSpaceDN w:val="0"/>
              <w:adjustRightInd w:val="0"/>
              <w:rPr>
                <w:rFonts w:eastAsia="Calibri"/>
                <w:color w:val="000000"/>
                <w:sz w:val="22"/>
              </w:rPr>
            </w:pPr>
            <w:r w:rsidRPr="00B75FD7">
              <w:rPr>
                <w:rFonts w:eastAsia="Calibri"/>
                <w:color w:val="000000"/>
                <w:sz w:val="22"/>
              </w:rPr>
              <w:t>Назва джерела</w:t>
            </w:r>
          </w:p>
        </w:tc>
        <w:tc>
          <w:tcPr>
            <w:tcW w:w="1355" w:type="dxa"/>
            <w:gridSpan w:val="2"/>
            <w:vMerge/>
            <w:tcBorders>
              <w:left w:val="single" w:sz="6" w:space="0" w:color="auto"/>
              <w:bottom w:val="single" w:sz="6" w:space="0" w:color="auto"/>
              <w:right w:val="single" w:sz="6" w:space="0" w:color="auto"/>
            </w:tcBorders>
          </w:tcPr>
          <w:p w:rsidR="00A61D6E" w:rsidRPr="00B75FD7" w:rsidRDefault="00A61D6E" w:rsidP="00A61D6E">
            <w:pPr>
              <w:autoSpaceDE w:val="0"/>
              <w:autoSpaceDN w:val="0"/>
              <w:adjustRightInd w:val="0"/>
              <w:rPr>
                <w:rFonts w:eastAsia="Calibri"/>
                <w:color w:val="000000"/>
                <w:sz w:val="22"/>
              </w:rPr>
            </w:pPr>
          </w:p>
        </w:tc>
      </w:tr>
      <w:tr w:rsidR="00A61D6E" w:rsidRPr="00B75FD7" w:rsidTr="002F19B5">
        <w:trPr>
          <w:trHeight w:val="485"/>
        </w:trPr>
        <w:tc>
          <w:tcPr>
            <w:tcW w:w="3007" w:type="dxa"/>
            <w:vMerge/>
            <w:tcBorders>
              <w:left w:val="single" w:sz="6" w:space="0" w:color="auto"/>
              <w:bottom w:val="single" w:sz="6" w:space="0" w:color="auto"/>
              <w:right w:val="single" w:sz="6" w:space="0" w:color="auto"/>
            </w:tcBorders>
            <w:shd w:val="clear" w:color="00FFFF" w:fill="C6D9F1" w:themeFill="text2" w:themeFillTint="33"/>
          </w:tcPr>
          <w:p w:rsidR="00A61D6E" w:rsidRPr="00B75FD7" w:rsidRDefault="00A61D6E" w:rsidP="00A61D6E">
            <w:pPr>
              <w:autoSpaceDE w:val="0"/>
              <w:autoSpaceDN w:val="0"/>
              <w:adjustRightInd w:val="0"/>
              <w:rPr>
                <w:rFonts w:eastAsia="Calibri"/>
                <w:b/>
                <w:color w:val="000000"/>
                <w:sz w:val="22"/>
              </w:rPr>
            </w:pPr>
          </w:p>
        </w:tc>
        <w:tc>
          <w:tcPr>
            <w:tcW w:w="1354" w:type="dxa"/>
            <w:tcBorders>
              <w:top w:val="single" w:sz="6" w:space="0" w:color="auto"/>
              <w:left w:val="single" w:sz="6" w:space="0" w:color="auto"/>
              <w:bottom w:val="single" w:sz="6" w:space="0" w:color="auto"/>
              <w:right w:val="single" w:sz="6" w:space="0" w:color="auto"/>
            </w:tcBorders>
          </w:tcPr>
          <w:p w:rsidR="00A61D6E" w:rsidRPr="00B75FD7" w:rsidRDefault="00A61D6E" w:rsidP="00A61D6E">
            <w:pPr>
              <w:autoSpaceDE w:val="0"/>
              <w:autoSpaceDN w:val="0"/>
              <w:adjustRightInd w:val="0"/>
              <w:rPr>
                <w:rFonts w:eastAsia="Calibri"/>
                <w:color w:val="000000"/>
                <w:sz w:val="22"/>
                <w:lang w:val="ru-RU"/>
              </w:rPr>
            </w:pPr>
            <w:r w:rsidRPr="00B75FD7">
              <w:rPr>
                <w:rFonts w:eastAsia="Calibri"/>
                <w:color w:val="000000"/>
                <w:sz w:val="22"/>
                <w:lang w:val="ru-RU"/>
              </w:rPr>
              <w:t>28000,00</w:t>
            </w:r>
          </w:p>
        </w:tc>
        <w:tc>
          <w:tcPr>
            <w:tcW w:w="1354" w:type="dxa"/>
            <w:tcBorders>
              <w:top w:val="single" w:sz="6" w:space="0" w:color="auto"/>
              <w:left w:val="single" w:sz="6" w:space="0" w:color="auto"/>
              <w:bottom w:val="single" w:sz="6" w:space="0" w:color="auto"/>
              <w:right w:val="single" w:sz="6" w:space="0" w:color="auto"/>
            </w:tcBorders>
          </w:tcPr>
          <w:p w:rsidR="00A61D6E" w:rsidRPr="00B75FD7" w:rsidRDefault="00A61D6E" w:rsidP="00A61D6E">
            <w:pPr>
              <w:autoSpaceDE w:val="0"/>
              <w:autoSpaceDN w:val="0"/>
              <w:adjustRightInd w:val="0"/>
              <w:rPr>
                <w:rFonts w:eastAsia="Calibri"/>
                <w:color w:val="000000"/>
                <w:sz w:val="22"/>
              </w:rPr>
            </w:pPr>
          </w:p>
        </w:tc>
        <w:tc>
          <w:tcPr>
            <w:tcW w:w="1355" w:type="dxa"/>
            <w:gridSpan w:val="2"/>
            <w:tcBorders>
              <w:top w:val="single" w:sz="6" w:space="0" w:color="auto"/>
              <w:left w:val="single" w:sz="6" w:space="0" w:color="auto"/>
              <w:bottom w:val="single" w:sz="6" w:space="0" w:color="auto"/>
              <w:right w:val="single" w:sz="6" w:space="0" w:color="auto"/>
            </w:tcBorders>
          </w:tcPr>
          <w:p w:rsidR="00A61D6E" w:rsidRPr="00B75FD7" w:rsidRDefault="00A61D6E" w:rsidP="00A61D6E">
            <w:pPr>
              <w:autoSpaceDE w:val="0"/>
              <w:autoSpaceDN w:val="0"/>
              <w:adjustRightInd w:val="0"/>
              <w:rPr>
                <w:rFonts w:eastAsia="Calibri"/>
                <w:color w:val="000000"/>
                <w:sz w:val="22"/>
                <w:lang w:val="ru-RU"/>
              </w:rPr>
            </w:pPr>
            <w:r w:rsidRPr="00B75FD7">
              <w:rPr>
                <w:rFonts w:eastAsia="Calibri"/>
                <w:color w:val="000000"/>
                <w:sz w:val="22"/>
                <w:lang w:val="ru-RU"/>
              </w:rPr>
              <w:t>12000,00</w:t>
            </w:r>
          </w:p>
        </w:tc>
        <w:tc>
          <w:tcPr>
            <w:tcW w:w="1354" w:type="dxa"/>
            <w:gridSpan w:val="2"/>
            <w:tcBorders>
              <w:top w:val="single" w:sz="6" w:space="0" w:color="auto"/>
              <w:left w:val="single" w:sz="6" w:space="0" w:color="auto"/>
              <w:bottom w:val="single" w:sz="6" w:space="0" w:color="auto"/>
              <w:right w:val="single" w:sz="6" w:space="0" w:color="auto"/>
            </w:tcBorders>
          </w:tcPr>
          <w:p w:rsidR="00A61D6E" w:rsidRPr="00B75FD7" w:rsidRDefault="00A61D6E" w:rsidP="00A61D6E">
            <w:pPr>
              <w:autoSpaceDE w:val="0"/>
              <w:autoSpaceDN w:val="0"/>
              <w:adjustRightInd w:val="0"/>
              <w:rPr>
                <w:rFonts w:eastAsia="Calibri"/>
                <w:color w:val="000000"/>
                <w:sz w:val="22"/>
              </w:rPr>
            </w:pPr>
            <w:r w:rsidRPr="00B75FD7">
              <w:rPr>
                <w:rFonts w:eastAsia="Calibri"/>
                <w:color w:val="000000"/>
                <w:sz w:val="22"/>
              </w:rPr>
              <w:t>Міжнародні інвестиції</w:t>
            </w:r>
          </w:p>
        </w:tc>
        <w:tc>
          <w:tcPr>
            <w:tcW w:w="1355" w:type="dxa"/>
            <w:gridSpan w:val="2"/>
            <w:tcBorders>
              <w:top w:val="single" w:sz="6" w:space="0" w:color="auto"/>
              <w:left w:val="single" w:sz="6" w:space="0" w:color="auto"/>
              <w:bottom w:val="single" w:sz="6" w:space="0" w:color="auto"/>
              <w:right w:val="single" w:sz="6" w:space="0" w:color="auto"/>
            </w:tcBorders>
          </w:tcPr>
          <w:p w:rsidR="00A61D6E" w:rsidRPr="00B75FD7" w:rsidRDefault="00A61D6E" w:rsidP="00A61D6E">
            <w:pPr>
              <w:autoSpaceDE w:val="0"/>
              <w:autoSpaceDN w:val="0"/>
              <w:adjustRightInd w:val="0"/>
              <w:rPr>
                <w:rFonts w:eastAsia="Calibri"/>
                <w:color w:val="000000"/>
                <w:sz w:val="22"/>
                <w:lang w:val="ru-RU"/>
              </w:rPr>
            </w:pPr>
            <w:r w:rsidRPr="00B75FD7">
              <w:rPr>
                <w:rFonts w:eastAsia="Calibri"/>
                <w:color w:val="000000"/>
                <w:sz w:val="22"/>
                <w:lang w:val="ru-RU"/>
              </w:rPr>
              <w:t>40000,00</w:t>
            </w:r>
          </w:p>
        </w:tc>
      </w:tr>
    </w:tbl>
    <w:p w:rsidR="005C57BD" w:rsidRPr="00B75FD7" w:rsidRDefault="005C57BD" w:rsidP="00E95FB1">
      <w:pPr>
        <w:rPr>
          <w:sz w:val="22"/>
          <w:lang w:val="ru-RU"/>
        </w:rPr>
      </w:pPr>
    </w:p>
    <w:p w:rsidR="004908E7" w:rsidRPr="00B75FD7" w:rsidRDefault="004908E7" w:rsidP="00E95FB1">
      <w:pPr>
        <w:rPr>
          <w:sz w:val="22"/>
          <w:lang w:val="ru-RU"/>
        </w:rPr>
      </w:pPr>
    </w:p>
    <w:p w:rsidR="005C57BD" w:rsidRPr="00B75FD7" w:rsidRDefault="005C57BD" w:rsidP="00E95FB1">
      <w:pPr>
        <w:rPr>
          <w:sz w:val="22"/>
        </w:rPr>
      </w:pPr>
    </w:p>
    <w:tbl>
      <w:tblPr>
        <w:tblpPr w:leftFromText="180" w:rightFromText="180" w:vertAnchor="text" w:horzAnchor="page" w:tblpX="1" w:tblpY="123"/>
        <w:tblW w:w="11283" w:type="dxa"/>
        <w:tblLayout w:type="fixed"/>
        <w:tblCellMar>
          <w:left w:w="30" w:type="dxa"/>
          <w:right w:w="30" w:type="dxa"/>
        </w:tblCellMar>
        <w:tblLook w:val="0000" w:firstRow="0" w:lastRow="0" w:firstColumn="0" w:lastColumn="0" w:noHBand="0" w:noVBand="0"/>
      </w:tblPr>
      <w:tblGrid>
        <w:gridCol w:w="1448"/>
        <w:gridCol w:w="2977"/>
        <w:gridCol w:w="1275"/>
        <w:gridCol w:w="1134"/>
        <w:gridCol w:w="426"/>
        <w:gridCol w:w="567"/>
        <w:gridCol w:w="1134"/>
        <w:gridCol w:w="711"/>
        <w:gridCol w:w="13"/>
        <w:gridCol w:w="1547"/>
        <w:gridCol w:w="51"/>
      </w:tblGrid>
      <w:tr w:rsidR="00297BFF" w:rsidRPr="00B75FD7" w:rsidTr="00297BFF">
        <w:trPr>
          <w:trHeight w:val="555"/>
        </w:trPr>
        <w:tc>
          <w:tcPr>
            <w:tcW w:w="1448" w:type="dxa"/>
            <w:tcBorders>
              <w:top w:val="nil"/>
              <w:left w:val="nil"/>
              <w:bottom w:val="nil"/>
              <w:right w:val="nil"/>
            </w:tcBorders>
          </w:tcPr>
          <w:p w:rsidR="00297BFF" w:rsidRPr="00B75FD7" w:rsidRDefault="00297BFF" w:rsidP="001B3967">
            <w:pPr>
              <w:spacing w:after="160" w:line="259" w:lineRule="auto"/>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1B3967">
            <w:pPr>
              <w:autoSpaceDE w:val="0"/>
              <w:autoSpaceDN w:val="0"/>
              <w:adjustRightInd w:val="0"/>
              <w:rPr>
                <w:rFonts w:eastAsia="Calibri"/>
                <w:b/>
                <w:color w:val="000000"/>
                <w:sz w:val="22"/>
              </w:rPr>
            </w:pPr>
            <w:r w:rsidRPr="00B75FD7">
              <w:rPr>
                <w:rFonts w:eastAsia="Calibri"/>
                <w:b/>
                <w:color w:val="000000"/>
                <w:sz w:val="22"/>
              </w:rPr>
              <w:t>Оперативна ціль/завдання</w:t>
            </w:r>
          </w:p>
        </w:tc>
        <w:tc>
          <w:tcPr>
            <w:tcW w:w="6858" w:type="dxa"/>
            <w:gridSpan w:val="9"/>
            <w:tcBorders>
              <w:top w:val="single" w:sz="6" w:space="0" w:color="auto"/>
              <w:left w:val="single" w:sz="6" w:space="0" w:color="auto"/>
              <w:bottom w:val="single" w:sz="6" w:space="0" w:color="auto"/>
              <w:right w:val="single" w:sz="6" w:space="0" w:color="auto"/>
            </w:tcBorders>
          </w:tcPr>
          <w:p w:rsidR="00297BFF" w:rsidRPr="00B75FD7" w:rsidRDefault="00297BFF" w:rsidP="001B3967">
            <w:pPr>
              <w:autoSpaceDE w:val="0"/>
              <w:autoSpaceDN w:val="0"/>
              <w:adjustRightInd w:val="0"/>
              <w:rPr>
                <w:rFonts w:eastAsia="Calibri"/>
                <w:color w:val="000000"/>
                <w:sz w:val="22"/>
              </w:rPr>
            </w:pPr>
            <w:r w:rsidRPr="00B75FD7">
              <w:rPr>
                <w:rFonts w:eastAsia="Arial"/>
                <w:sz w:val="22"/>
              </w:rPr>
              <w:t xml:space="preserve">Людський розвиток через інновації управління та довіру до влади. Формування сучасного інклюзивного  </w:t>
            </w:r>
            <w:proofErr w:type="spellStart"/>
            <w:r w:rsidRPr="00B75FD7">
              <w:rPr>
                <w:rFonts w:eastAsia="Arial"/>
                <w:sz w:val="22"/>
              </w:rPr>
              <w:t>освітньо</w:t>
            </w:r>
            <w:proofErr w:type="spellEnd"/>
            <w:r w:rsidRPr="00B75FD7">
              <w:rPr>
                <w:rFonts w:eastAsia="Arial"/>
                <w:sz w:val="22"/>
              </w:rPr>
              <w:t>-культурного та спортивного простору для розвитку</w:t>
            </w:r>
          </w:p>
        </w:tc>
      </w:tr>
      <w:tr w:rsidR="00297BFF" w:rsidRPr="00B75FD7" w:rsidTr="00297BFF">
        <w:trPr>
          <w:trHeight w:val="691"/>
        </w:trPr>
        <w:tc>
          <w:tcPr>
            <w:tcW w:w="1448" w:type="dxa"/>
            <w:tcBorders>
              <w:top w:val="nil"/>
              <w:left w:val="nil"/>
              <w:bottom w:val="nil"/>
              <w:right w:val="nil"/>
            </w:tcBorders>
          </w:tcPr>
          <w:p w:rsidR="00297BFF" w:rsidRPr="00B75FD7" w:rsidRDefault="00297BFF" w:rsidP="001B3967">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1B3967">
            <w:pPr>
              <w:autoSpaceDE w:val="0"/>
              <w:autoSpaceDN w:val="0"/>
              <w:adjustRightInd w:val="0"/>
              <w:rPr>
                <w:rFonts w:eastAsia="Calibri"/>
                <w:b/>
                <w:color w:val="000000"/>
                <w:sz w:val="22"/>
              </w:rPr>
            </w:pPr>
            <w:r w:rsidRPr="00B75FD7">
              <w:rPr>
                <w:rFonts w:eastAsia="Calibri"/>
                <w:b/>
                <w:color w:val="000000"/>
                <w:sz w:val="22"/>
              </w:rPr>
              <w:t>Назва проекту:</w:t>
            </w:r>
          </w:p>
        </w:tc>
        <w:tc>
          <w:tcPr>
            <w:tcW w:w="6858" w:type="dxa"/>
            <w:gridSpan w:val="9"/>
            <w:tcBorders>
              <w:top w:val="single" w:sz="6" w:space="0" w:color="auto"/>
              <w:left w:val="single" w:sz="6" w:space="0" w:color="auto"/>
              <w:bottom w:val="single" w:sz="6" w:space="0" w:color="auto"/>
              <w:right w:val="single" w:sz="6" w:space="0" w:color="auto"/>
            </w:tcBorders>
          </w:tcPr>
          <w:p w:rsidR="00297BFF" w:rsidRPr="00B75FD7" w:rsidRDefault="00297BFF" w:rsidP="0014581C">
            <w:pPr>
              <w:autoSpaceDE w:val="0"/>
              <w:autoSpaceDN w:val="0"/>
              <w:adjustRightInd w:val="0"/>
              <w:rPr>
                <w:rFonts w:eastAsia="Calibri"/>
                <w:color w:val="000000"/>
                <w:sz w:val="22"/>
              </w:rPr>
            </w:pPr>
            <w:r w:rsidRPr="00B75FD7">
              <w:rPr>
                <w:rFonts w:eastAsia="Calibri"/>
                <w:color w:val="000000"/>
                <w:sz w:val="22"/>
              </w:rPr>
              <w:t xml:space="preserve">Відновлення благоустрою території  та забезпечення </w:t>
            </w:r>
            <w:proofErr w:type="spellStart"/>
            <w:r w:rsidRPr="00B75FD7">
              <w:rPr>
                <w:rFonts w:eastAsia="Calibri"/>
                <w:color w:val="000000"/>
                <w:sz w:val="22"/>
              </w:rPr>
              <w:t>енергоефекивного</w:t>
            </w:r>
            <w:proofErr w:type="spellEnd"/>
            <w:r w:rsidRPr="00B75FD7">
              <w:rPr>
                <w:rFonts w:eastAsia="Calibri"/>
                <w:color w:val="000000"/>
                <w:sz w:val="22"/>
              </w:rPr>
              <w:t xml:space="preserve"> зовнішнього освітлення,  відновлення спортивного та  ігрових майданчиків</w:t>
            </w:r>
            <w:r w:rsidR="0014581C" w:rsidRPr="00B75FD7">
              <w:rPr>
                <w:rFonts w:eastAsia="Calibri"/>
                <w:color w:val="000000"/>
                <w:sz w:val="22"/>
              </w:rPr>
              <w:t xml:space="preserve"> </w:t>
            </w:r>
            <w:r w:rsidRPr="00B75FD7">
              <w:rPr>
                <w:rFonts w:eastAsia="Calibri"/>
                <w:color w:val="000000"/>
                <w:sz w:val="22"/>
              </w:rPr>
              <w:t>Ясел-садка № 12 міста Сєвєродонецьк Луганської області, вул. Курчатова, буд. 27/Г</w:t>
            </w:r>
          </w:p>
        </w:tc>
      </w:tr>
      <w:tr w:rsidR="00297BFF" w:rsidRPr="00B75FD7" w:rsidTr="00297BFF">
        <w:trPr>
          <w:trHeight w:val="1109"/>
        </w:trPr>
        <w:tc>
          <w:tcPr>
            <w:tcW w:w="1448" w:type="dxa"/>
            <w:tcBorders>
              <w:top w:val="nil"/>
              <w:left w:val="nil"/>
              <w:bottom w:val="nil"/>
              <w:right w:val="nil"/>
            </w:tcBorders>
          </w:tcPr>
          <w:p w:rsidR="00297BFF" w:rsidRPr="00B75FD7" w:rsidRDefault="00297BFF" w:rsidP="001B3967">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1B3967">
            <w:pPr>
              <w:autoSpaceDE w:val="0"/>
              <w:autoSpaceDN w:val="0"/>
              <w:adjustRightInd w:val="0"/>
              <w:rPr>
                <w:rFonts w:eastAsia="Calibri"/>
                <w:b/>
                <w:color w:val="000000"/>
                <w:sz w:val="22"/>
              </w:rPr>
            </w:pPr>
            <w:r w:rsidRPr="00B75FD7">
              <w:rPr>
                <w:rFonts w:eastAsia="Calibri"/>
                <w:b/>
                <w:color w:val="000000"/>
                <w:sz w:val="22"/>
              </w:rPr>
              <w:t>Ціль проекту</w:t>
            </w:r>
          </w:p>
        </w:tc>
        <w:tc>
          <w:tcPr>
            <w:tcW w:w="6858" w:type="dxa"/>
            <w:gridSpan w:val="9"/>
            <w:tcBorders>
              <w:top w:val="single" w:sz="6" w:space="0" w:color="auto"/>
              <w:left w:val="single" w:sz="6" w:space="0" w:color="auto"/>
              <w:bottom w:val="single" w:sz="6" w:space="0" w:color="auto"/>
              <w:right w:val="single" w:sz="6" w:space="0" w:color="auto"/>
            </w:tcBorders>
          </w:tcPr>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Створення максимально комфортних умов для розвитку  дошкільнят, організація безпечного дозвілля, приведення дитячих та спортивного майданчиків закладу у відповідність до сучасних стандартів безпеки, розширення  їх функціональності та надання їм привабливого вигляду, створення належних умов для організації занять фізичною культурою, енергоефективна модернізація мереж зовнішнього освітлення території Ясла-садка № 12</w:t>
            </w:r>
          </w:p>
        </w:tc>
      </w:tr>
      <w:tr w:rsidR="00297BFF" w:rsidRPr="00B75FD7" w:rsidTr="00297BFF">
        <w:trPr>
          <w:trHeight w:val="290"/>
        </w:trPr>
        <w:tc>
          <w:tcPr>
            <w:tcW w:w="1448" w:type="dxa"/>
            <w:tcBorders>
              <w:top w:val="nil"/>
              <w:left w:val="nil"/>
              <w:bottom w:val="nil"/>
              <w:right w:val="nil"/>
            </w:tcBorders>
          </w:tcPr>
          <w:p w:rsidR="00297BFF" w:rsidRPr="00B75FD7" w:rsidRDefault="00297BFF" w:rsidP="001B3967">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1B3967">
            <w:pPr>
              <w:autoSpaceDE w:val="0"/>
              <w:autoSpaceDN w:val="0"/>
              <w:adjustRightInd w:val="0"/>
              <w:rPr>
                <w:rFonts w:eastAsia="Calibri"/>
                <w:b/>
                <w:color w:val="000000"/>
                <w:sz w:val="22"/>
              </w:rPr>
            </w:pPr>
            <w:r w:rsidRPr="00B75FD7">
              <w:rPr>
                <w:rFonts w:eastAsia="Calibri"/>
                <w:b/>
                <w:color w:val="000000"/>
                <w:sz w:val="22"/>
              </w:rPr>
              <w:t>Територія, на яку матиме вплив реалізація проекту</w:t>
            </w:r>
          </w:p>
        </w:tc>
        <w:tc>
          <w:tcPr>
            <w:tcW w:w="6858" w:type="dxa"/>
            <w:gridSpan w:val="9"/>
            <w:tcBorders>
              <w:top w:val="single" w:sz="6" w:space="0" w:color="auto"/>
              <w:left w:val="single" w:sz="6" w:space="0" w:color="auto"/>
              <w:bottom w:val="single" w:sz="6" w:space="0" w:color="auto"/>
              <w:right w:val="single" w:sz="6" w:space="0" w:color="auto"/>
            </w:tcBorders>
          </w:tcPr>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Сєвєродонецька міська територіальна громада</w:t>
            </w:r>
          </w:p>
        </w:tc>
      </w:tr>
      <w:tr w:rsidR="00297BFF" w:rsidRPr="00B75FD7" w:rsidTr="00297BFF">
        <w:trPr>
          <w:trHeight w:val="846"/>
        </w:trPr>
        <w:tc>
          <w:tcPr>
            <w:tcW w:w="1448" w:type="dxa"/>
            <w:tcBorders>
              <w:top w:val="nil"/>
              <w:left w:val="nil"/>
              <w:bottom w:val="nil"/>
              <w:right w:val="nil"/>
            </w:tcBorders>
          </w:tcPr>
          <w:p w:rsidR="00297BFF" w:rsidRPr="00B75FD7" w:rsidRDefault="00297BFF" w:rsidP="001B3967">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1B3967">
            <w:pPr>
              <w:autoSpaceDE w:val="0"/>
              <w:autoSpaceDN w:val="0"/>
              <w:adjustRightInd w:val="0"/>
              <w:rPr>
                <w:rFonts w:eastAsia="Calibri"/>
                <w:b/>
                <w:color w:val="000000"/>
                <w:sz w:val="22"/>
              </w:rPr>
            </w:pPr>
            <w:r w:rsidRPr="00B75FD7">
              <w:rPr>
                <w:rFonts w:eastAsia="Calibri"/>
                <w:b/>
                <w:color w:val="000000"/>
                <w:sz w:val="22"/>
              </w:rPr>
              <w:t>Чисельність населення, на яке матиме вплив реалізація проекту</w:t>
            </w:r>
          </w:p>
        </w:tc>
        <w:tc>
          <w:tcPr>
            <w:tcW w:w="6858" w:type="dxa"/>
            <w:gridSpan w:val="9"/>
            <w:tcBorders>
              <w:top w:val="single" w:sz="6" w:space="0" w:color="auto"/>
              <w:left w:val="single" w:sz="6" w:space="0" w:color="auto"/>
              <w:bottom w:val="single" w:sz="6" w:space="0" w:color="auto"/>
              <w:right w:val="single" w:sz="6" w:space="0" w:color="auto"/>
            </w:tcBorders>
          </w:tcPr>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70 000 осіб</w:t>
            </w:r>
          </w:p>
        </w:tc>
      </w:tr>
      <w:tr w:rsidR="00297BFF" w:rsidRPr="00B75FD7" w:rsidTr="00297BFF">
        <w:trPr>
          <w:trHeight w:val="1261"/>
        </w:trPr>
        <w:tc>
          <w:tcPr>
            <w:tcW w:w="1448" w:type="dxa"/>
            <w:tcBorders>
              <w:top w:val="nil"/>
              <w:left w:val="nil"/>
              <w:bottom w:val="nil"/>
              <w:right w:val="nil"/>
            </w:tcBorders>
          </w:tcPr>
          <w:p w:rsidR="00297BFF" w:rsidRPr="00B75FD7" w:rsidRDefault="00297BFF" w:rsidP="001B3967">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1B3967">
            <w:pPr>
              <w:autoSpaceDE w:val="0"/>
              <w:autoSpaceDN w:val="0"/>
              <w:adjustRightInd w:val="0"/>
              <w:rPr>
                <w:rFonts w:eastAsia="Calibri"/>
                <w:b/>
                <w:color w:val="000000"/>
                <w:sz w:val="22"/>
              </w:rPr>
            </w:pPr>
            <w:r w:rsidRPr="00B75FD7">
              <w:rPr>
                <w:rFonts w:eastAsia="Calibri"/>
                <w:b/>
                <w:color w:val="000000"/>
                <w:sz w:val="22"/>
              </w:rPr>
              <w:t>Опис проблеми, на вирішення якої спрямований проект</w:t>
            </w:r>
          </w:p>
        </w:tc>
        <w:tc>
          <w:tcPr>
            <w:tcW w:w="6858" w:type="dxa"/>
            <w:gridSpan w:val="9"/>
            <w:tcBorders>
              <w:top w:val="single" w:sz="6" w:space="0" w:color="auto"/>
              <w:left w:val="single" w:sz="6" w:space="0" w:color="auto"/>
              <w:bottom w:val="single" w:sz="6" w:space="0" w:color="auto"/>
              <w:right w:val="single" w:sz="6" w:space="0" w:color="auto"/>
            </w:tcBorders>
          </w:tcPr>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 xml:space="preserve">Територія ЗДО зазнала істотних   пошкоджень під час військової агресії РФ і, наразі, перебуває в аварійному стані та становить небезпеку для здоров'я дітей і дорослих. </w:t>
            </w:r>
            <w:r w:rsidRPr="00B75FD7">
              <w:rPr>
                <w:sz w:val="22"/>
              </w:rPr>
              <w:t xml:space="preserve"> </w:t>
            </w:r>
            <w:r w:rsidRPr="00B75FD7">
              <w:rPr>
                <w:rFonts w:eastAsia="Calibri"/>
                <w:color w:val="000000"/>
                <w:sz w:val="22"/>
              </w:rPr>
              <w:t xml:space="preserve">Існуючи зелені насадження потребують  оновлення. </w:t>
            </w:r>
          </w:p>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Одна з необхідних умов правильного розвитку дитини - постійна фізична активність. Сучасні дитячі майданчики дозволять зробити дозвілля дошкільників корисним і активним. Новий привабливий вигляд стимулюватиме проводити більше часу на свіжому повітрі та позитивно впливатиме на психоемоційний і фізичний стан дитини. Зовнішнє освітлення території Ясла-садка дозволить підвищити рівень безпеки території ввечері та вночі.</w:t>
            </w:r>
          </w:p>
        </w:tc>
      </w:tr>
      <w:tr w:rsidR="00297BFF" w:rsidRPr="00B75FD7" w:rsidTr="00297BFF">
        <w:trPr>
          <w:trHeight w:val="1265"/>
        </w:trPr>
        <w:tc>
          <w:tcPr>
            <w:tcW w:w="1448" w:type="dxa"/>
            <w:tcBorders>
              <w:top w:val="nil"/>
              <w:left w:val="nil"/>
              <w:bottom w:val="nil"/>
              <w:right w:val="nil"/>
            </w:tcBorders>
          </w:tcPr>
          <w:p w:rsidR="00297BFF" w:rsidRPr="00B75FD7" w:rsidRDefault="00297BFF" w:rsidP="001B3967">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1B3967">
            <w:pPr>
              <w:autoSpaceDE w:val="0"/>
              <w:autoSpaceDN w:val="0"/>
              <w:adjustRightInd w:val="0"/>
              <w:rPr>
                <w:rFonts w:eastAsia="Calibri"/>
                <w:b/>
                <w:color w:val="000000"/>
                <w:sz w:val="22"/>
              </w:rPr>
            </w:pPr>
            <w:r w:rsidRPr="00B75FD7">
              <w:rPr>
                <w:rFonts w:eastAsia="Calibri"/>
                <w:b/>
                <w:color w:val="000000"/>
                <w:sz w:val="22"/>
              </w:rPr>
              <w:t>Очікувані якісні результати від реалізації проекту</w:t>
            </w:r>
          </w:p>
        </w:tc>
        <w:tc>
          <w:tcPr>
            <w:tcW w:w="6858" w:type="dxa"/>
            <w:gridSpan w:val="9"/>
            <w:tcBorders>
              <w:top w:val="single" w:sz="6" w:space="0" w:color="auto"/>
              <w:left w:val="single" w:sz="6" w:space="0" w:color="auto"/>
              <w:bottom w:val="single" w:sz="6" w:space="0" w:color="auto"/>
              <w:right w:val="single" w:sz="6" w:space="0" w:color="auto"/>
            </w:tcBorders>
          </w:tcPr>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Стимул до повернення сімей-ВПО з дітьми дошкільного віку до громади.  Забезпечення якісно нового рівня комфорту перебування на території ЗДО учасників освітнього процесу.</w:t>
            </w:r>
          </w:p>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 xml:space="preserve">Реалізація </w:t>
            </w:r>
            <w:proofErr w:type="spellStart"/>
            <w:r w:rsidRPr="00B75FD7">
              <w:rPr>
                <w:rFonts w:eastAsia="Calibri"/>
                <w:color w:val="000000"/>
                <w:sz w:val="22"/>
              </w:rPr>
              <w:t>проєкту</w:t>
            </w:r>
            <w:proofErr w:type="spellEnd"/>
            <w:r w:rsidRPr="00B75FD7">
              <w:rPr>
                <w:rFonts w:eastAsia="Calibri"/>
                <w:color w:val="000000"/>
                <w:sz w:val="22"/>
              </w:rPr>
              <w:t xml:space="preserve">  </w:t>
            </w:r>
            <w:proofErr w:type="spellStart"/>
            <w:r w:rsidRPr="00B75FD7">
              <w:rPr>
                <w:rFonts w:eastAsia="Calibri"/>
                <w:color w:val="000000"/>
                <w:sz w:val="22"/>
              </w:rPr>
              <w:t>надасть</w:t>
            </w:r>
            <w:proofErr w:type="spellEnd"/>
            <w:r w:rsidRPr="00B75FD7">
              <w:rPr>
                <w:rFonts w:eastAsia="Calibri"/>
                <w:color w:val="000000"/>
                <w:sz w:val="22"/>
              </w:rPr>
              <w:t xml:space="preserve"> можливість дітям (в </w:t>
            </w:r>
            <w:proofErr w:type="spellStart"/>
            <w:r w:rsidRPr="00B75FD7">
              <w:rPr>
                <w:rFonts w:eastAsia="Calibri"/>
                <w:color w:val="000000"/>
                <w:sz w:val="22"/>
              </w:rPr>
              <w:t>т.ч</w:t>
            </w:r>
            <w:proofErr w:type="spellEnd"/>
            <w:r w:rsidRPr="00B75FD7">
              <w:rPr>
                <w:rFonts w:eastAsia="Calibri"/>
                <w:color w:val="000000"/>
                <w:sz w:val="22"/>
              </w:rPr>
              <w:t xml:space="preserve">. з ООП) отримувати дошкільну освіту в сучасних, комфортних та безпечних умовах, поліпшити стан здоров'я дітей, знизити рівень дитячого травматизму, організувати здоров’язберігаюче середовище. </w:t>
            </w:r>
          </w:p>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Економія енергії, бюджетних коштів.</w:t>
            </w:r>
          </w:p>
          <w:p w:rsidR="00297BFF" w:rsidRPr="00B75FD7" w:rsidRDefault="00297BFF" w:rsidP="001B3967">
            <w:pPr>
              <w:autoSpaceDE w:val="0"/>
              <w:autoSpaceDN w:val="0"/>
              <w:adjustRightInd w:val="0"/>
              <w:rPr>
                <w:rFonts w:eastAsia="Calibri"/>
                <w:color w:val="000000"/>
                <w:sz w:val="22"/>
              </w:rPr>
            </w:pPr>
          </w:p>
        </w:tc>
      </w:tr>
      <w:tr w:rsidR="00297BFF" w:rsidRPr="00B75FD7" w:rsidTr="00297BFF">
        <w:trPr>
          <w:gridAfter w:val="1"/>
          <w:wAfter w:w="51" w:type="dxa"/>
          <w:trHeight w:val="581"/>
        </w:trPr>
        <w:tc>
          <w:tcPr>
            <w:tcW w:w="1448" w:type="dxa"/>
            <w:tcBorders>
              <w:top w:val="nil"/>
              <w:left w:val="nil"/>
              <w:bottom w:val="nil"/>
              <w:right w:val="nil"/>
            </w:tcBorders>
          </w:tcPr>
          <w:p w:rsidR="00297BFF" w:rsidRPr="00B75FD7" w:rsidRDefault="00297BFF" w:rsidP="001B3967">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1B3967">
            <w:pPr>
              <w:autoSpaceDE w:val="0"/>
              <w:autoSpaceDN w:val="0"/>
              <w:adjustRightInd w:val="0"/>
              <w:rPr>
                <w:rFonts w:eastAsia="Calibri"/>
                <w:b/>
                <w:color w:val="000000"/>
                <w:sz w:val="22"/>
              </w:rPr>
            </w:pPr>
            <w:r w:rsidRPr="00B75FD7">
              <w:rPr>
                <w:rFonts w:eastAsia="Calibri"/>
                <w:b/>
                <w:color w:val="000000"/>
                <w:sz w:val="22"/>
              </w:rPr>
              <w:t>Очікувані кількісні результати від реалізації проекту  (індикатори)</w:t>
            </w:r>
          </w:p>
        </w:tc>
        <w:tc>
          <w:tcPr>
            <w:tcW w:w="2835" w:type="dxa"/>
            <w:gridSpan w:val="3"/>
            <w:tcBorders>
              <w:top w:val="single" w:sz="6" w:space="0" w:color="auto"/>
              <w:left w:val="single" w:sz="6" w:space="0" w:color="auto"/>
              <w:bottom w:val="single" w:sz="6" w:space="0" w:color="auto"/>
              <w:right w:val="single" w:sz="6" w:space="0" w:color="auto"/>
            </w:tcBorders>
          </w:tcPr>
          <w:p w:rsidR="00297BFF" w:rsidRPr="00B75FD7" w:rsidRDefault="00297BFF" w:rsidP="001B3967">
            <w:pPr>
              <w:autoSpaceDE w:val="0"/>
              <w:autoSpaceDN w:val="0"/>
              <w:adjustRightInd w:val="0"/>
              <w:rPr>
                <w:rFonts w:eastAsia="Calibri"/>
                <w:b/>
                <w:color w:val="000000"/>
                <w:sz w:val="22"/>
              </w:rPr>
            </w:pPr>
            <w:r w:rsidRPr="00B75FD7">
              <w:rPr>
                <w:rFonts w:eastAsia="Calibri"/>
                <w:b/>
                <w:color w:val="000000"/>
                <w:sz w:val="22"/>
              </w:rPr>
              <w:t>Найменування показника</w:t>
            </w:r>
          </w:p>
        </w:tc>
        <w:tc>
          <w:tcPr>
            <w:tcW w:w="1701" w:type="dxa"/>
            <w:gridSpan w:val="2"/>
            <w:tcBorders>
              <w:top w:val="single" w:sz="6" w:space="0" w:color="auto"/>
              <w:left w:val="single" w:sz="6" w:space="0" w:color="auto"/>
              <w:bottom w:val="single" w:sz="6" w:space="0" w:color="auto"/>
              <w:right w:val="single" w:sz="6" w:space="0" w:color="auto"/>
            </w:tcBorders>
          </w:tcPr>
          <w:p w:rsidR="00297BFF" w:rsidRPr="00B75FD7" w:rsidRDefault="00297BFF" w:rsidP="001B3967">
            <w:pPr>
              <w:autoSpaceDE w:val="0"/>
              <w:autoSpaceDN w:val="0"/>
              <w:adjustRightInd w:val="0"/>
              <w:rPr>
                <w:rFonts w:eastAsia="Calibri"/>
                <w:b/>
                <w:color w:val="000000"/>
                <w:sz w:val="22"/>
              </w:rPr>
            </w:pPr>
            <w:r w:rsidRPr="00B75FD7">
              <w:rPr>
                <w:rFonts w:eastAsia="Calibri"/>
                <w:b/>
                <w:color w:val="000000"/>
                <w:sz w:val="22"/>
              </w:rPr>
              <w:t>Одиниця вимірювання</w:t>
            </w:r>
          </w:p>
        </w:tc>
        <w:tc>
          <w:tcPr>
            <w:tcW w:w="2271" w:type="dxa"/>
            <w:gridSpan w:val="3"/>
            <w:tcBorders>
              <w:top w:val="single" w:sz="6" w:space="0" w:color="auto"/>
              <w:left w:val="single" w:sz="6" w:space="0" w:color="auto"/>
              <w:bottom w:val="single" w:sz="6" w:space="0" w:color="auto"/>
              <w:right w:val="single" w:sz="6" w:space="0" w:color="auto"/>
            </w:tcBorders>
          </w:tcPr>
          <w:p w:rsidR="00297BFF" w:rsidRPr="00B75FD7" w:rsidRDefault="00297BFF" w:rsidP="001B3967">
            <w:pPr>
              <w:autoSpaceDE w:val="0"/>
              <w:autoSpaceDN w:val="0"/>
              <w:adjustRightInd w:val="0"/>
              <w:rPr>
                <w:rFonts w:eastAsia="Calibri"/>
                <w:b/>
                <w:color w:val="000000"/>
                <w:sz w:val="22"/>
              </w:rPr>
            </w:pPr>
            <w:r w:rsidRPr="00B75FD7">
              <w:rPr>
                <w:rFonts w:eastAsia="Calibri"/>
                <w:b/>
                <w:color w:val="000000"/>
                <w:sz w:val="22"/>
              </w:rPr>
              <w:t>Прогнозне (цільове) значення</w:t>
            </w:r>
          </w:p>
        </w:tc>
      </w:tr>
      <w:tr w:rsidR="00297BFF" w:rsidRPr="00B75FD7" w:rsidTr="00297BFF">
        <w:trPr>
          <w:gridAfter w:val="1"/>
          <w:wAfter w:w="51" w:type="dxa"/>
          <w:trHeight w:val="691"/>
        </w:trPr>
        <w:tc>
          <w:tcPr>
            <w:tcW w:w="1448" w:type="dxa"/>
            <w:tcBorders>
              <w:top w:val="nil"/>
              <w:left w:val="nil"/>
              <w:bottom w:val="nil"/>
              <w:right w:val="nil"/>
            </w:tcBorders>
          </w:tcPr>
          <w:p w:rsidR="00297BFF" w:rsidRPr="00B75FD7" w:rsidRDefault="00297BFF" w:rsidP="001B3967">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1B3967">
            <w:pPr>
              <w:autoSpaceDE w:val="0"/>
              <w:autoSpaceDN w:val="0"/>
              <w:adjustRightInd w:val="0"/>
              <w:rPr>
                <w:rFonts w:eastAsia="Calibri"/>
                <w:b/>
                <w:color w:val="000000"/>
                <w:sz w:val="22"/>
              </w:rPr>
            </w:pPr>
          </w:p>
        </w:tc>
        <w:tc>
          <w:tcPr>
            <w:tcW w:w="2835" w:type="dxa"/>
            <w:gridSpan w:val="3"/>
            <w:tcBorders>
              <w:top w:val="single" w:sz="6" w:space="0" w:color="auto"/>
              <w:left w:val="single" w:sz="6" w:space="0" w:color="auto"/>
              <w:bottom w:val="single" w:sz="6" w:space="0" w:color="auto"/>
              <w:right w:val="single" w:sz="6" w:space="0" w:color="auto"/>
            </w:tcBorders>
          </w:tcPr>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Кількість одержувачів освітніх послуг та інших учасників освітнього процесу.</w:t>
            </w:r>
          </w:p>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Кількість висаджених зелених насаджень.</w:t>
            </w:r>
          </w:p>
        </w:tc>
        <w:tc>
          <w:tcPr>
            <w:tcW w:w="1701" w:type="dxa"/>
            <w:gridSpan w:val="2"/>
            <w:tcBorders>
              <w:top w:val="single" w:sz="6" w:space="0" w:color="auto"/>
              <w:left w:val="single" w:sz="6" w:space="0" w:color="auto"/>
              <w:bottom w:val="single" w:sz="6" w:space="0" w:color="auto"/>
              <w:right w:val="single" w:sz="6" w:space="0" w:color="auto"/>
            </w:tcBorders>
          </w:tcPr>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Осіб</w:t>
            </w:r>
          </w:p>
          <w:p w:rsidR="00297BFF" w:rsidRPr="00B75FD7" w:rsidRDefault="00297BFF" w:rsidP="001B3967">
            <w:pPr>
              <w:autoSpaceDE w:val="0"/>
              <w:autoSpaceDN w:val="0"/>
              <w:adjustRightInd w:val="0"/>
              <w:rPr>
                <w:rFonts w:eastAsia="Calibri"/>
                <w:color w:val="000000"/>
                <w:sz w:val="22"/>
              </w:rPr>
            </w:pPr>
          </w:p>
          <w:p w:rsidR="00297BFF" w:rsidRPr="00B75FD7" w:rsidRDefault="00297BFF" w:rsidP="001B3967">
            <w:pPr>
              <w:autoSpaceDE w:val="0"/>
              <w:autoSpaceDN w:val="0"/>
              <w:adjustRightInd w:val="0"/>
              <w:rPr>
                <w:rFonts w:eastAsia="Calibri"/>
                <w:color w:val="000000"/>
                <w:sz w:val="22"/>
              </w:rPr>
            </w:pPr>
          </w:p>
          <w:p w:rsidR="00297BFF" w:rsidRPr="00B75FD7" w:rsidRDefault="00297BFF" w:rsidP="001B3967">
            <w:pPr>
              <w:autoSpaceDE w:val="0"/>
              <w:autoSpaceDN w:val="0"/>
              <w:adjustRightInd w:val="0"/>
              <w:rPr>
                <w:rFonts w:eastAsia="Calibri"/>
                <w:color w:val="000000"/>
                <w:sz w:val="22"/>
              </w:rPr>
            </w:pPr>
          </w:p>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Одиниць</w:t>
            </w:r>
          </w:p>
        </w:tc>
        <w:tc>
          <w:tcPr>
            <w:tcW w:w="2271" w:type="dxa"/>
            <w:gridSpan w:val="3"/>
            <w:tcBorders>
              <w:top w:val="single" w:sz="6" w:space="0" w:color="auto"/>
              <w:left w:val="single" w:sz="6" w:space="0" w:color="auto"/>
              <w:bottom w:val="single" w:sz="6" w:space="0" w:color="auto"/>
              <w:right w:val="single" w:sz="6" w:space="0" w:color="auto"/>
            </w:tcBorders>
          </w:tcPr>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600</w:t>
            </w:r>
          </w:p>
          <w:p w:rsidR="00297BFF" w:rsidRPr="00B75FD7" w:rsidRDefault="00297BFF" w:rsidP="001B3967">
            <w:pPr>
              <w:autoSpaceDE w:val="0"/>
              <w:autoSpaceDN w:val="0"/>
              <w:adjustRightInd w:val="0"/>
              <w:rPr>
                <w:rFonts w:eastAsia="Calibri"/>
                <w:color w:val="000000"/>
                <w:sz w:val="22"/>
              </w:rPr>
            </w:pPr>
          </w:p>
          <w:p w:rsidR="00297BFF" w:rsidRPr="00B75FD7" w:rsidRDefault="00297BFF" w:rsidP="001B3967">
            <w:pPr>
              <w:autoSpaceDE w:val="0"/>
              <w:autoSpaceDN w:val="0"/>
              <w:adjustRightInd w:val="0"/>
              <w:rPr>
                <w:rFonts w:eastAsia="Calibri"/>
                <w:color w:val="000000"/>
                <w:sz w:val="22"/>
              </w:rPr>
            </w:pPr>
          </w:p>
          <w:p w:rsidR="00297BFF" w:rsidRPr="00B75FD7" w:rsidRDefault="00297BFF" w:rsidP="001B3967">
            <w:pPr>
              <w:autoSpaceDE w:val="0"/>
              <w:autoSpaceDN w:val="0"/>
              <w:adjustRightInd w:val="0"/>
              <w:rPr>
                <w:rFonts w:eastAsia="Calibri"/>
                <w:color w:val="000000"/>
                <w:sz w:val="22"/>
              </w:rPr>
            </w:pPr>
          </w:p>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220</w:t>
            </w:r>
          </w:p>
        </w:tc>
      </w:tr>
      <w:tr w:rsidR="00297BFF" w:rsidRPr="00B75FD7" w:rsidTr="00297BFF">
        <w:trPr>
          <w:trHeight w:val="1684"/>
        </w:trPr>
        <w:tc>
          <w:tcPr>
            <w:tcW w:w="1448" w:type="dxa"/>
            <w:tcBorders>
              <w:top w:val="nil"/>
              <w:left w:val="nil"/>
              <w:bottom w:val="nil"/>
              <w:right w:val="nil"/>
            </w:tcBorders>
          </w:tcPr>
          <w:p w:rsidR="00297BFF" w:rsidRPr="00B75FD7" w:rsidRDefault="00297BFF" w:rsidP="001B3967">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1B3967">
            <w:pPr>
              <w:autoSpaceDE w:val="0"/>
              <w:autoSpaceDN w:val="0"/>
              <w:adjustRightInd w:val="0"/>
              <w:rPr>
                <w:rFonts w:eastAsia="Calibri"/>
                <w:b/>
                <w:color w:val="000000"/>
                <w:sz w:val="22"/>
              </w:rPr>
            </w:pPr>
            <w:r w:rsidRPr="00B75FD7">
              <w:rPr>
                <w:rFonts w:eastAsia="Calibri"/>
                <w:b/>
                <w:color w:val="000000"/>
                <w:sz w:val="22"/>
              </w:rPr>
              <w:t>Ключові заходи проекту:</w:t>
            </w:r>
          </w:p>
        </w:tc>
        <w:tc>
          <w:tcPr>
            <w:tcW w:w="6858" w:type="dxa"/>
            <w:gridSpan w:val="9"/>
            <w:tcBorders>
              <w:top w:val="single" w:sz="6" w:space="0" w:color="auto"/>
              <w:left w:val="single" w:sz="6" w:space="0" w:color="auto"/>
              <w:bottom w:val="single" w:sz="6" w:space="0" w:color="auto"/>
              <w:right w:val="single" w:sz="6" w:space="0" w:color="auto"/>
            </w:tcBorders>
          </w:tcPr>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 xml:space="preserve">Для реалізації </w:t>
            </w:r>
            <w:proofErr w:type="spellStart"/>
            <w:r w:rsidRPr="00B75FD7">
              <w:rPr>
                <w:rFonts w:eastAsia="Calibri"/>
                <w:color w:val="000000"/>
                <w:sz w:val="22"/>
              </w:rPr>
              <w:t>проєкту</w:t>
            </w:r>
            <w:proofErr w:type="spellEnd"/>
            <w:r w:rsidRPr="00B75FD7">
              <w:rPr>
                <w:rFonts w:eastAsia="Calibri"/>
                <w:color w:val="000000"/>
                <w:sz w:val="22"/>
              </w:rPr>
              <w:t xml:space="preserve"> необхідно провести наступні заходи:</w:t>
            </w:r>
          </w:p>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w:t>
            </w:r>
            <w:r w:rsidRPr="00B75FD7">
              <w:rPr>
                <w:rFonts w:eastAsia="Calibri"/>
                <w:color w:val="000000"/>
                <w:sz w:val="22"/>
              </w:rPr>
              <w:tab/>
              <w:t>Здійснення експертної оцінки</w:t>
            </w:r>
            <w:r w:rsidR="001C3DEA" w:rsidRPr="00B75FD7">
              <w:rPr>
                <w:rFonts w:eastAsia="Calibri"/>
                <w:color w:val="000000"/>
                <w:sz w:val="22"/>
              </w:rPr>
              <w:t>.</w:t>
            </w:r>
          </w:p>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w:t>
            </w:r>
            <w:r w:rsidRPr="00B75FD7">
              <w:rPr>
                <w:rFonts w:eastAsia="Calibri"/>
                <w:color w:val="000000"/>
                <w:sz w:val="22"/>
              </w:rPr>
              <w:tab/>
              <w:t xml:space="preserve">Розробка </w:t>
            </w:r>
            <w:proofErr w:type="spellStart"/>
            <w:r w:rsidRPr="00B75FD7">
              <w:rPr>
                <w:rFonts w:eastAsia="Calibri"/>
                <w:color w:val="000000"/>
                <w:sz w:val="22"/>
              </w:rPr>
              <w:t>проєктно</w:t>
            </w:r>
            <w:proofErr w:type="spellEnd"/>
            <w:r w:rsidRPr="00B75FD7">
              <w:rPr>
                <w:rFonts w:eastAsia="Calibri"/>
                <w:color w:val="000000"/>
                <w:sz w:val="22"/>
              </w:rPr>
              <w:t>-кошторисної документації</w:t>
            </w:r>
            <w:r w:rsidR="001C3DEA" w:rsidRPr="00B75FD7">
              <w:rPr>
                <w:rFonts w:eastAsia="Calibri"/>
                <w:color w:val="000000"/>
                <w:sz w:val="22"/>
              </w:rPr>
              <w:t>.</w:t>
            </w:r>
          </w:p>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w:t>
            </w:r>
            <w:r w:rsidRPr="00B75FD7">
              <w:rPr>
                <w:rFonts w:eastAsia="Calibri"/>
                <w:color w:val="000000"/>
                <w:sz w:val="22"/>
              </w:rPr>
              <w:tab/>
              <w:t>Реконструкція зовнішнього освітлення, закупівля консольних світильників та виконання робіт щодо монтажу мережі зовнішнього освітлення</w:t>
            </w:r>
            <w:r w:rsidR="001C3DEA" w:rsidRPr="00B75FD7">
              <w:rPr>
                <w:rFonts w:eastAsia="Calibri"/>
                <w:color w:val="000000"/>
                <w:sz w:val="22"/>
              </w:rPr>
              <w:t>.</w:t>
            </w:r>
          </w:p>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w:t>
            </w:r>
            <w:r w:rsidRPr="00B75FD7">
              <w:rPr>
                <w:rFonts w:eastAsia="Calibri"/>
                <w:color w:val="000000"/>
                <w:sz w:val="22"/>
              </w:rPr>
              <w:tab/>
              <w:t>Встановлення нового паркану по периметру території</w:t>
            </w:r>
            <w:r w:rsidR="001C3DEA" w:rsidRPr="00B75FD7">
              <w:rPr>
                <w:rFonts w:eastAsia="Calibri"/>
                <w:color w:val="000000"/>
                <w:sz w:val="22"/>
              </w:rPr>
              <w:t>.</w:t>
            </w:r>
          </w:p>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w:t>
            </w:r>
            <w:r w:rsidRPr="00B75FD7">
              <w:rPr>
                <w:rFonts w:eastAsia="Calibri"/>
                <w:color w:val="000000"/>
                <w:sz w:val="22"/>
              </w:rPr>
              <w:tab/>
              <w:t>Озеленення території</w:t>
            </w:r>
            <w:r w:rsidR="001C3DEA" w:rsidRPr="00B75FD7">
              <w:rPr>
                <w:rFonts w:eastAsia="Calibri"/>
                <w:color w:val="000000"/>
                <w:sz w:val="22"/>
              </w:rPr>
              <w:t>.</w:t>
            </w:r>
          </w:p>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w:t>
            </w:r>
            <w:r w:rsidRPr="00B75FD7">
              <w:rPr>
                <w:rFonts w:eastAsia="Calibri"/>
                <w:color w:val="000000"/>
                <w:sz w:val="22"/>
              </w:rPr>
              <w:tab/>
              <w:t>Заміна асфальтового покриття на пішохідних доріжках</w:t>
            </w:r>
            <w:r w:rsidR="001C3DEA" w:rsidRPr="00B75FD7">
              <w:rPr>
                <w:rFonts w:eastAsia="Calibri"/>
                <w:color w:val="000000"/>
                <w:sz w:val="22"/>
              </w:rPr>
              <w:t>.</w:t>
            </w:r>
          </w:p>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lastRenderedPageBreak/>
              <w:t>-</w:t>
            </w:r>
            <w:r w:rsidRPr="00B75FD7">
              <w:rPr>
                <w:rFonts w:eastAsia="Calibri"/>
                <w:color w:val="000000"/>
                <w:sz w:val="22"/>
              </w:rPr>
              <w:tab/>
              <w:t>Оснащення прогулянкових майданчиків сучасним ігровим обладнанням</w:t>
            </w:r>
            <w:r w:rsidR="001C3DEA" w:rsidRPr="00B75FD7">
              <w:rPr>
                <w:rFonts w:eastAsia="Calibri"/>
                <w:color w:val="000000"/>
                <w:sz w:val="22"/>
              </w:rPr>
              <w:t>.</w:t>
            </w:r>
          </w:p>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w:t>
            </w:r>
            <w:r w:rsidRPr="00B75FD7">
              <w:rPr>
                <w:rFonts w:eastAsia="Calibri"/>
                <w:color w:val="000000"/>
                <w:sz w:val="22"/>
              </w:rPr>
              <w:tab/>
              <w:t xml:space="preserve">Реконструкція і оснащення спортивного майданчика штучним покриттям, </w:t>
            </w:r>
            <w:proofErr w:type="spellStart"/>
            <w:r w:rsidRPr="00B75FD7">
              <w:rPr>
                <w:rFonts w:eastAsia="Calibri"/>
                <w:color w:val="000000"/>
                <w:sz w:val="22"/>
              </w:rPr>
              <w:t>мультифункціональним</w:t>
            </w:r>
            <w:proofErr w:type="spellEnd"/>
            <w:r w:rsidRPr="00B75FD7">
              <w:rPr>
                <w:rFonts w:eastAsia="Calibri"/>
                <w:color w:val="000000"/>
                <w:sz w:val="22"/>
              </w:rPr>
              <w:t xml:space="preserve">  фізкультурним обладнанням.</w:t>
            </w:r>
          </w:p>
        </w:tc>
      </w:tr>
      <w:tr w:rsidR="00297BFF" w:rsidRPr="00B75FD7" w:rsidTr="00297BFF">
        <w:trPr>
          <w:gridAfter w:val="1"/>
          <w:wAfter w:w="51" w:type="dxa"/>
          <w:trHeight w:val="600"/>
        </w:trPr>
        <w:tc>
          <w:tcPr>
            <w:tcW w:w="1448" w:type="dxa"/>
            <w:vMerge w:val="restart"/>
            <w:tcBorders>
              <w:top w:val="nil"/>
              <w:left w:val="nil"/>
              <w:right w:val="nil"/>
            </w:tcBorders>
          </w:tcPr>
          <w:p w:rsidR="00297BFF" w:rsidRPr="00B75FD7" w:rsidRDefault="00297BFF" w:rsidP="001B3967">
            <w:pPr>
              <w:autoSpaceDE w:val="0"/>
              <w:autoSpaceDN w:val="0"/>
              <w:adjustRightInd w:val="0"/>
              <w:jc w:val="right"/>
              <w:rPr>
                <w:rFonts w:eastAsia="Calibri"/>
                <w:color w:val="000000"/>
                <w:sz w:val="22"/>
              </w:rPr>
            </w:pPr>
          </w:p>
        </w:tc>
        <w:tc>
          <w:tcPr>
            <w:tcW w:w="2977" w:type="dxa"/>
            <w:vMerge w:val="restart"/>
            <w:tcBorders>
              <w:top w:val="single" w:sz="6" w:space="0" w:color="auto"/>
              <w:left w:val="single" w:sz="6" w:space="0" w:color="auto"/>
              <w:right w:val="single" w:sz="4" w:space="0" w:color="auto"/>
            </w:tcBorders>
            <w:shd w:val="clear" w:color="00FFFF" w:fill="C6D9F1" w:themeFill="text2" w:themeFillTint="33"/>
          </w:tcPr>
          <w:p w:rsidR="00297BFF" w:rsidRPr="00B75FD7" w:rsidRDefault="00297BFF" w:rsidP="001B3967">
            <w:pPr>
              <w:autoSpaceDE w:val="0"/>
              <w:autoSpaceDN w:val="0"/>
              <w:adjustRightInd w:val="0"/>
              <w:rPr>
                <w:rFonts w:eastAsia="Calibri"/>
                <w:b/>
                <w:color w:val="000000"/>
                <w:sz w:val="22"/>
              </w:rPr>
            </w:pPr>
            <w:r w:rsidRPr="00B75FD7">
              <w:rPr>
                <w:rFonts w:eastAsia="Calibri"/>
                <w:b/>
                <w:color w:val="000000"/>
                <w:sz w:val="22"/>
              </w:rPr>
              <w:t>Орієнтовний обсяг та джерела фінансування тис. гривень</w:t>
            </w:r>
          </w:p>
        </w:tc>
        <w:tc>
          <w:tcPr>
            <w:tcW w:w="1275" w:type="dxa"/>
            <w:vMerge w:val="restart"/>
            <w:tcBorders>
              <w:top w:val="single" w:sz="4" w:space="0" w:color="auto"/>
              <w:left w:val="single" w:sz="4" w:space="0" w:color="auto"/>
              <w:bottom w:val="single" w:sz="4" w:space="0" w:color="auto"/>
              <w:right w:val="single" w:sz="4" w:space="0" w:color="auto"/>
            </w:tcBorders>
          </w:tcPr>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Державний бюджет</w:t>
            </w:r>
          </w:p>
        </w:tc>
        <w:tc>
          <w:tcPr>
            <w:tcW w:w="1134" w:type="dxa"/>
            <w:tcBorders>
              <w:top w:val="single" w:sz="4" w:space="0" w:color="auto"/>
              <w:left w:val="single" w:sz="4" w:space="0" w:color="auto"/>
              <w:bottom w:val="single" w:sz="4" w:space="0" w:color="auto"/>
              <w:right w:val="single" w:sz="4" w:space="0" w:color="auto"/>
            </w:tcBorders>
          </w:tcPr>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Місцевий бюджет</w:t>
            </w:r>
          </w:p>
        </w:tc>
        <w:tc>
          <w:tcPr>
            <w:tcW w:w="2851" w:type="dxa"/>
            <w:gridSpan w:val="5"/>
            <w:tcBorders>
              <w:top w:val="single" w:sz="4" w:space="0" w:color="auto"/>
              <w:left w:val="single" w:sz="4" w:space="0" w:color="auto"/>
              <w:bottom w:val="single" w:sz="4" w:space="0" w:color="auto"/>
              <w:right w:val="single" w:sz="4" w:space="0" w:color="auto"/>
            </w:tcBorders>
          </w:tcPr>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Інші джерела</w:t>
            </w:r>
          </w:p>
        </w:tc>
        <w:tc>
          <w:tcPr>
            <w:tcW w:w="1547" w:type="dxa"/>
            <w:tcBorders>
              <w:top w:val="single" w:sz="4" w:space="0" w:color="auto"/>
              <w:left w:val="single" w:sz="4" w:space="0" w:color="auto"/>
              <w:bottom w:val="single" w:sz="4" w:space="0" w:color="auto"/>
              <w:right w:val="single" w:sz="4" w:space="0" w:color="auto"/>
            </w:tcBorders>
          </w:tcPr>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Всього</w:t>
            </w:r>
          </w:p>
        </w:tc>
      </w:tr>
      <w:tr w:rsidR="00297BFF" w:rsidRPr="00B75FD7" w:rsidTr="00297BFF">
        <w:trPr>
          <w:gridAfter w:val="1"/>
          <w:wAfter w:w="51" w:type="dxa"/>
          <w:trHeight w:val="83"/>
        </w:trPr>
        <w:tc>
          <w:tcPr>
            <w:tcW w:w="1448" w:type="dxa"/>
            <w:vMerge/>
            <w:tcBorders>
              <w:left w:val="nil"/>
              <w:right w:val="nil"/>
            </w:tcBorders>
          </w:tcPr>
          <w:p w:rsidR="00297BFF" w:rsidRPr="00B75FD7" w:rsidRDefault="00297BFF" w:rsidP="001B3967">
            <w:pPr>
              <w:autoSpaceDE w:val="0"/>
              <w:autoSpaceDN w:val="0"/>
              <w:adjustRightInd w:val="0"/>
              <w:jc w:val="right"/>
              <w:rPr>
                <w:rFonts w:eastAsia="Calibri"/>
                <w:color w:val="000000"/>
                <w:sz w:val="22"/>
              </w:rPr>
            </w:pPr>
          </w:p>
        </w:tc>
        <w:tc>
          <w:tcPr>
            <w:tcW w:w="2977" w:type="dxa"/>
            <w:vMerge/>
            <w:tcBorders>
              <w:left w:val="single" w:sz="6" w:space="0" w:color="auto"/>
              <w:right w:val="single" w:sz="4" w:space="0" w:color="auto"/>
            </w:tcBorders>
            <w:shd w:val="clear" w:color="00FFFF" w:fill="C6D9F1" w:themeFill="text2" w:themeFillTint="33"/>
          </w:tcPr>
          <w:p w:rsidR="00297BFF" w:rsidRPr="00B75FD7" w:rsidRDefault="00297BFF" w:rsidP="001B3967">
            <w:pPr>
              <w:autoSpaceDE w:val="0"/>
              <w:autoSpaceDN w:val="0"/>
              <w:adjustRightInd w:val="0"/>
              <w:rPr>
                <w:rFonts w:eastAsia="Calibri"/>
                <w:b/>
                <w:color w:val="000000"/>
                <w:sz w:val="22"/>
              </w:rPr>
            </w:pPr>
          </w:p>
        </w:tc>
        <w:tc>
          <w:tcPr>
            <w:tcW w:w="1275" w:type="dxa"/>
            <w:vMerge/>
            <w:tcBorders>
              <w:top w:val="single" w:sz="4" w:space="0" w:color="auto"/>
              <w:left w:val="single" w:sz="4" w:space="0" w:color="auto"/>
              <w:bottom w:val="single" w:sz="4" w:space="0" w:color="auto"/>
              <w:right w:val="single" w:sz="4" w:space="0" w:color="auto"/>
            </w:tcBorders>
          </w:tcPr>
          <w:p w:rsidR="00297BFF" w:rsidRPr="00B75FD7" w:rsidRDefault="00297BFF" w:rsidP="001B3967">
            <w:pPr>
              <w:autoSpaceDE w:val="0"/>
              <w:autoSpaceDN w:val="0"/>
              <w:adjustRightInd w:val="0"/>
              <w:rPr>
                <w:rFonts w:eastAsia="Calibri"/>
                <w:color w:val="000000"/>
                <w:sz w:val="22"/>
              </w:rPr>
            </w:pPr>
          </w:p>
        </w:tc>
        <w:tc>
          <w:tcPr>
            <w:tcW w:w="1134" w:type="dxa"/>
            <w:vMerge w:val="restart"/>
            <w:tcBorders>
              <w:top w:val="single" w:sz="4" w:space="0" w:color="auto"/>
              <w:left w:val="single" w:sz="4" w:space="0" w:color="auto"/>
              <w:right w:val="single" w:sz="4" w:space="0" w:color="auto"/>
            </w:tcBorders>
          </w:tcPr>
          <w:p w:rsidR="00297BFF" w:rsidRPr="00B75FD7" w:rsidRDefault="00297BFF" w:rsidP="001B3967">
            <w:pPr>
              <w:autoSpaceDE w:val="0"/>
              <w:autoSpaceDN w:val="0"/>
              <w:adjustRightInd w:val="0"/>
              <w:jc w:val="center"/>
              <w:rPr>
                <w:rFonts w:eastAsia="Calibri"/>
                <w:color w:val="000000"/>
                <w:sz w:val="22"/>
              </w:rPr>
            </w:pPr>
            <w:r w:rsidRPr="00B75FD7">
              <w:rPr>
                <w:rFonts w:eastAsia="Calibri"/>
                <w:color w:val="000000"/>
                <w:sz w:val="22"/>
              </w:rPr>
              <w:t>-</w:t>
            </w:r>
          </w:p>
        </w:tc>
        <w:tc>
          <w:tcPr>
            <w:tcW w:w="993" w:type="dxa"/>
            <w:gridSpan w:val="2"/>
            <w:tcBorders>
              <w:top w:val="single" w:sz="4" w:space="0" w:color="auto"/>
              <w:left w:val="single" w:sz="4" w:space="0" w:color="auto"/>
              <w:bottom w:val="single" w:sz="4" w:space="0" w:color="auto"/>
              <w:right w:val="single" w:sz="4"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Обсяг</w:t>
            </w:r>
          </w:p>
        </w:tc>
        <w:tc>
          <w:tcPr>
            <w:tcW w:w="1845" w:type="dxa"/>
            <w:gridSpan w:val="2"/>
            <w:tcBorders>
              <w:top w:val="single" w:sz="4" w:space="0" w:color="auto"/>
              <w:left w:val="single" w:sz="4" w:space="0" w:color="auto"/>
              <w:bottom w:val="single" w:sz="4" w:space="0" w:color="auto"/>
              <w:right w:val="single" w:sz="4"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Назва джерела</w:t>
            </w:r>
          </w:p>
        </w:tc>
        <w:tc>
          <w:tcPr>
            <w:tcW w:w="1560" w:type="dxa"/>
            <w:gridSpan w:val="2"/>
            <w:vMerge w:val="restart"/>
            <w:tcBorders>
              <w:top w:val="single" w:sz="4" w:space="0" w:color="auto"/>
              <w:left w:val="single" w:sz="4" w:space="0" w:color="auto"/>
              <w:right w:val="single" w:sz="4" w:space="0" w:color="auto"/>
            </w:tcBorders>
          </w:tcPr>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7000,0</w:t>
            </w:r>
          </w:p>
          <w:p w:rsidR="00297BFF" w:rsidRPr="00B75FD7" w:rsidRDefault="00297BFF" w:rsidP="001B3967">
            <w:pPr>
              <w:autoSpaceDE w:val="0"/>
              <w:autoSpaceDN w:val="0"/>
              <w:adjustRightInd w:val="0"/>
              <w:rPr>
                <w:rFonts w:eastAsia="Calibri"/>
                <w:color w:val="000000"/>
                <w:sz w:val="22"/>
              </w:rPr>
            </w:pPr>
          </w:p>
        </w:tc>
      </w:tr>
      <w:tr w:rsidR="00297BFF" w:rsidRPr="00B75FD7" w:rsidTr="00297BFF">
        <w:trPr>
          <w:gridAfter w:val="1"/>
          <w:wAfter w:w="51" w:type="dxa"/>
          <w:trHeight w:val="926"/>
        </w:trPr>
        <w:tc>
          <w:tcPr>
            <w:tcW w:w="1448" w:type="dxa"/>
            <w:vMerge/>
            <w:tcBorders>
              <w:left w:val="nil"/>
              <w:bottom w:val="nil"/>
              <w:right w:val="nil"/>
            </w:tcBorders>
          </w:tcPr>
          <w:p w:rsidR="00297BFF" w:rsidRPr="00B75FD7" w:rsidRDefault="00297BFF" w:rsidP="001B3967">
            <w:pPr>
              <w:autoSpaceDE w:val="0"/>
              <w:autoSpaceDN w:val="0"/>
              <w:adjustRightInd w:val="0"/>
              <w:jc w:val="right"/>
              <w:rPr>
                <w:rFonts w:eastAsia="Calibri"/>
                <w:color w:val="000000"/>
                <w:sz w:val="22"/>
              </w:rPr>
            </w:pPr>
          </w:p>
        </w:tc>
        <w:tc>
          <w:tcPr>
            <w:tcW w:w="2977" w:type="dxa"/>
            <w:vMerge/>
            <w:tcBorders>
              <w:left w:val="single" w:sz="6" w:space="0" w:color="auto"/>
              <w:bottom w:val="single" w:sz="6" w:space="0" w:color="auto"/>
              <w:right w:val="single" w:sz="4" w:space="0" w:color="auto"/>
            </w:tcBorders>
            <w:shd w:val="clear" w:color="00FFFF" w:fill="C6D9F1" w:themeFill="text2" w:themeFillTint="33"/>
          </w:tcPr>
          <w:p w:rsidR="00297BFF" w:rsidRPr="00B75FD7" w:rsidRDefault="00297BFF" w:rsidP="001B3967">
            <w:pPr>
              <w:autoSpaceDE w:val="0"/>
              <w:autoSpaceDN w:val="0"/>
              <w:adjustRightInd w:val="0"/>
              <w:rPr>
                <w:rFonts w:eastAsia="Calibri"/>
                <w:b/>
                <w:color w:val="000000"/>
                <w:sz w:val="22"/>
              </w:rPr>
            </w:pPr>
          </w:p>
        </w:tc>
        <w:tc>
          <w:tcPr>
            <w:tcW w:w="1275" w:type="dxa"/>
            <w:tcBorders>
              <w:top w:val="single" w:sz="4" w:space="0" w:color="auto"/>
              <w:left w:val="single" w:sz="4" w:space="0" w:color="auto"/>
              <w:bottom w:val="single" w:sz="4" w:space="0" w:color="auto"/>
              <w:right w:val="single" w:sz="4" w:space="0" w:color="auto"/>
            </w:tcBorders>
          </w:tcPr>
          <w:p w:rsidR="00297BFF" w:rsidRPr="00B75FD7" w:rsidRDefault="00297BFF" w:rsidP="001B3967">
            <w:pPr>
              <w:autoSpaceDE w:val="0"/>
              <w:autoSpaceDN w:val="0"/>
              <w:adjustRightInd w:val="0"/>
              <w:rPr>
                <w:rFonts w:eastAsia="Calibri"/>
                <w:color w:val="000000"/>
                <w:sz w:val="22"/>
              </w:rPr>
            </w:pPr>
          </w:p>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3500,0</w:t>
            </w:r>
          </w:p>
        </w:tc>
        <w:tc>
          <w:tcPr>
            <w:tcW w:w="1134" w:type="dxa"/>
            <w:vMerge/>
            <w:tcBorders>
              <w:left w:val="single" w:sz="4" w:space="0" w:color="auto"/>
              <w:bottom w:val="single" w:sz="4" w:space="0" w:color="auto"/>
              <w:right w:val="single" w:sz="4" w:space="0" w:color="auto"/>
            </w:tcBorders>
          </w:tcPr>
          <w:p w:rsidR="00297BFF" w:rsidRPr="00B75FD7" w:rsidRDefault="00297BFF" w:rsidP="001B3967">
            <w:pPr>
              <w:autoSpaceDE w:val="0"/>
              <w:autoSpaceDN w:val="0"/>
              <w:adjustRightInd w:val="0"/>
              <w:rPr>
                <w:rFonts w:eastAsia="Calibri"/>
                <w:color w:val="000000"/>
                <w:sz w:val="22"/>
              </w:rPr>
            </w:pPr>
          </w:p>
        </w:tc>
        <w:tc>
          <w:tcPr>
            <w:tcW w:w="993" w:type="dxa"/>
            <w:gridSpan w:val="2"/>
            <w:tcBorders>
              <w:top w:val="single" w:sz="4" w:space="0" w:color="auto"/>
              <w:left w:val="single" w:sz="4" w:space="0" w:color="auto"/>
              <w:bottom w:val="single" w:sz="4" w:space="0" w:color="auto"/>
              <w:right w:val="single" w:sz="4" w:space="0" w:color="auto"/>
            </w:tcBorders>
          </w:tcPr>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3500,0</w:t>
            </w:r>
          </w:p>
        </w:tc>
        <w:tc>
          <w:tcPr>
            <w:tcW w:w="1845" w:type="dxa"/>
            <w:gridSpan w:val="2"/>
            <w:tcBorders>
              <w:top w:val="single" w:sz="4" w:space="0" w:color="auto"/>
              <w:left w:val="single" w:sz="4" w:space="0" w:color="auto"/>
              <w:bottom w:val="single" w:sz="4" w:space="0" w:color="auto"/>
              <w:right w:val="single" w:sz="4" w:space="0" w:color="auto"/>
            </w:tcBorders>
          </w:tcPr>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Міжнародні інвестиції</w:t>
            </w:r>
          </w:p>
        </w:tc>
        <w:tc>
          <w:tcPr>
            <w:tcW w:w="1560" w:type="dxa"/>
            <w:gridSpan w:val="2"/>
            <w:vMerge/>
            <w:tcBorders>
              <w:left w:val="single" w:sz="4" w:space="0" w:color="auto"/>
              <w:bottom w:val="single" w:sz="4" w:space="0" w:color="auto"/>
              <w:right w:val="single" w:sz="4" w:space="0" w:color="auto"/>
            </w:tcBorders>
          </w:tcPr>
          <w:p w:rsidR="00297BFF" w:rsidRPr="00B75FD7" w:rsidRDefault="00297BFF" w:rsidP="001B3967">
            <w:pPr>
              <w:autoSpaceDE w:val="0"/>
              <w:autoSpaceDN w:val="0"/>
              <w:adjustRightInd w:val="0"/>
              <w:rPr>
                <w:rFonts w:eastAsia="Calibri"/>
                <w:color w:val="000000"/>
                <w:sz w:val="22"/>
              </w:rPr>
            </w:pPr>
          </w:p>
        </w:tc>
      </w:tr>
    </w:tbl>
    <w:p w:rsidR="00297BFF" w:rsidRPr="00B75FD7" w:rsidRDefault="00297BFF" w:rsidP="00E95FB1">
      <w:pPr>
        <w:rPr>
          <w:sz w:val="22"/>
        </w:rPr>
      </w:pPr>
    </w:p>
    <w:tbl>
      <w:tblPr>
        <w:tblpPr w:leftFromText="180" w:rightFromText="180" w:vertAnchor="text" w:horzAnchor="margin" w:tblpX="-254" w:tblpY="138"/>
        <w:tblW w:w="9811" w:type="dxa"/>
        <w:tblLayout w:type="fixed"/>
        <w:tblCellMar>
          <w:left w:w="30" w:type="dxa"/>
          <w:right w:w="30" w:type="dxa"/>
        </w:tblCellMar>
        <w:tblLook w:val="0000" w:firstRow="0" w:lastRow="0" w:firstColumn="0" w:lastColumn="0" w:noHBand="0" w:noVBand="0"/>
      </w:tblPr>
      <w:tblGrid>
        <w:gridCol w:w="3007"/>
        <w:gridCol w:w="1276"/>
        <w:gridCol w:w="1417"/>
        <w:gridCol w:w="620"/>
        <w:gridCol w:w="231"/>
        <w:gridCol w:w="1701"/>
        <w:gridCol w:w="147"/>
        <w:gridCol w:w="1412"/>
      </w:tblGrid>
      <w:tr w:rsidR="00297BFF" w:rsidRPr="00B75FD7" w:rsidTr="00297BFF">
        <w:trPr>
          <w:trHeight w:val="535"/>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297BFF">
            <w:pPr>
              <w:autoSpaceDE w:val="0"/>
              <w:autoSpaceDN w:val="0"/>
              <w:adjustRightInd w:val="0"/>
              <w:rPr>
                <w:rFonts w:eastAsia="Calibri"/>
                <w:b/>
                <w:color w:val="000000"/>
                <w:sz w:val="22"/>
              </w:rPr>
            </w:pPr>
            <w:r w:rsidRPr="00B75FD7">
              <w:rPr>
                <w:rFonts w:eastAsia="Calibri"/>
                <w:b/>
                <w:color w:val="000000"/>
                <w:sz w:val="22"/>
              </w:rPr>
              <w:t>Оперативна ціль/завдання</w:t>
            </w:r>
          </w:p>
        </w:tc>
        <w:tc>
          <w:tcPr>
            <w:tcW w:w="6804" w:type="dxa"/>
            <w:gridSpan w:val="7"/>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Arial"/>
                <w:sz w:val="22"/>
              </w:rPr>
              <w:t xml:space="preserve">Людський розвиток через інновації управління та довіру до влади. Формування сучасного інклюзивного  </w:t>
            </w:r>
            <w:proofErr w:type="spellStart"/>
            <w:r w:rsidRPr="00B75FD7">
              <w:rPr>
                <w:rFonts w:eastAsia="Arial"/>
                <w:sz w:val="22"/>
              </w:rPr>
              <w:t>освітньо</w:t>
            </w:r>
            <w:proofErr w:type="spellEnd"/>
            <w:r w:rsidRPr="00B75FD7">
              <w:rPr>
                <w:rFonts w:eastAsia="Arial"/>
                <w:sz w:val="22"/>
              </w:rPr>
              <w:t>-культурного та спортивного простору для розвитку</w:t>
            </w:r>
          </w:p>
        </w:tc>
      </w:tr>
      <w:tr w:rsidR="00297BFF" w:rsidRPr="00B75FD7" w:rsidTr="00297BFF">
        <w:trPr>
          <w:trHeight w:val="666"/>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297BFF">
            <w:pPr>
              <w:autoSpaceDE w:val="0"/>
              <w:autoSpaceDN w:val="0"/>
              <w:adjustRightInd w:val="0"/>
              <w:rPr>
                <w:rFonts w:eastAsia="Calibri"/>
                <w:b/>
                <w:color w:val="000000"/>
                <w:sz w:val="22"/>
              </w:rPr>
            </w:pPr>
            <w:r w:rsidRPr="00B75FD7">
              <w:rPr>
                <w:rFonts w:eastAsia="Calibri"/>
                <w:b/>
                <w:color w:val="000000"/>
                <w:sz w:val="22"/>
              </w:rPr>
              <w:t>Назва проекту:</w:t>
            </w:r>
          </w:p>
        </w:tc>
        <w:tc>
          <w:tcPr>
            <w:tcW w:w="6804" w:type="dxa"/>
            <w:gridSpan w:val="7"/>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 xml:space="preserve">Відновлення діяльності ЗДО. Оснащення кабінетів </w:t>
            </w:r>
            <w:proofErr w:type="spellStart"/>
            <w:r w:rsidRPr="00B75FD7">
              <w:rPr>
                <w:rFonts w:eastAsia="Calibri"/>
                <w:color w:val="000000"/>
                <w:sz w:val="22"/>
              </w:rPr>
              <w:t>адміністраціїі</w:t>
            </w:r>
            <w:proofErr w:type="spellEnd"/>
            <w:r w:rsidRPr="00B75FD7">
              <w:rPr>
                <w:rFonts w:eastAsia="Calibri"/>
                <w:color w:val="000000"/>
                <w:sz w:val="22"/>
              </w:rPr>
              <w:t xml:space="preserve"> спеціалістів, спортивної і музичної зали, групових приміщень Ясел-садка № 12 міста Сєвєродонецьк Луганської області, вул. Курчатова,</w:t>
            </w:r>
          </w:p>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буд. 27/Г</w:t>
            </w:r>
          </w:p>
        </w:tc>
      </w:tr>
      <w:tr w:rsidR="00297BFF" w:rsidRPr="00B75FD7" w:rsidTr="00297BFF">
        <w:trPr>
          <w:trHeight w:val="1069"/>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297BFF">
            <w:pPr>
              <w:autoSpaceDE w:val="0"/>
              <w:autoSpaceDN w:val="0"/>
              <w:adjustRightInd w:val="0"/>
              <w:rPr>
                <w:rFonts w:eastAsia="Calibri"/>
                <w:b/>
                <w:color w:val="000000"/>
                <w:sz w:val="22"/>
              </w:rPr>
            </w:pPr>
            <w:r w:rsidRPr="00B75FD7">
              <w:rPr>
                <w:rFonts w:eastAsia="Calibri"/>
                <w:b/>
                <w:color w:val="000000"/>
                <w:sz w:val="22"/>
              </w:rPr>
              <w:t>Ціль проекту</w:t>
            </w:r>
          </w:p>
        </w:tc>
        <w:tc>
          <w:tcPr>
            <w:tcW w:w="6804" w:type="dxa"/>
            <w:gridSpan w:val="7"/>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Відновити та покращити роботу ЗДО. Створення  комфортних та безпечних умов здобуття дошкільної освіти,  комфортних та безпечних умов праці для персоналу. Приведення матеріально-</w:t>
            </w:r>
            <w:proofErr w:type="spellStart"/>
            <w:r w:rsidRPr="00B75FD7">
              <w:rPr>
                <w:rFonts w:eastAsia="Calibri"/>
                <w:color w:val="000000"/>
                <w:sz w:val="22"/>
              </w:rPr>
              <w:t>технчної</w:t>
            </w:r>
            <w:proofErr w:type="spellEnd"/>
            <w:r w:rsidRPr="00B75FD7">
              <w:rPr>
                <w:rFonts w:eastAsia="Calibri"/>
                <w:color w:val="000000"/>
                <w:sz w:val="22"/>
              </w:rPr>
              <w:t xml:space="preserve"> бази закладу у відповідність до сучасних стандартів.</w:t>
            </w:r>
          </w:p>
        </w:tc>
      </w:tr>
      <w:tr w:rsidR="00297BFF" w:rsidRPr="00B75FD7" w:rsidTr="00297BFF">
        <w:trPr>
          <w:trHeight w:val="280"/>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297BFF">
            <w:pPr>
              <w:autoSpaceDE w:val="0"/>
              <w:autoSpaceDN w:val="0"/>
              <w:adjustRightInd w:val="0"/>
              <w:rPr>
                <w:rFonts w:eastAsia="Calibri"/>
                <w:b/>
                <w:color w:val="000000"/>
                <w:sz w:val="22"/>
              </w:rPr>
            </w:pPr>
            <w:r w:rsidRPr="00B75FD7">
              <w:rPr>
                <w:rFonts w:eastAsia="Calibri"/>
                <w:b/>
                <w:color w:val="000000"/>
                <w:sz w:val="22"/>
              </w:rPr>
              <w:t>Територія, на яку матиме вплив реалізація проекту</w:t>
            </w:r>
          </w:p>
        </w:tc>
        <w:tc>
          <w:tcPr>
            <w:tcW w:w="6804" w:type="dxa"/>
            <w:gridSpan w:val="7"/>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Сєвєродонецька міська територіальна громада</w:t>
            </w:r>
          </w:p>
        </w:tc>
      </w:tr>
      <w:tr w:rsidR="00297BFF" w:rsidRPr="00B75FD7" w:rsidTr="00297BFF">
        <w:trPr>
          <w:trHeight w:val="816"/>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297BFF">
            <w:pPr>
              <w:autoSpaceDE w:val="0"/>
              <w:autoSpaceDN w:val="0"/>
              <w:adjustRightInd w:val="0"/>
              <w:rPr>
                <w:rFonts w:eastAsia="Calibri"/>
                <w:b/>
                <w:color w:val="000000"/>
                <w:sz w:val="22"/>
              </w:rPr>
            </w:pPr>
            <w:r w:rsidRPr="00B75FD7">
              <w:rPr>
                <w:rFonts w:eastAsia="Calibri"/>
                <w:b/>
                <w:color w:val="000000"/>
                <w:sz w:val="22"/>
              </w:rPr>
              <w:t>Чисельність населення, на яке матиме вплив реалізація проекту</w:t>
            </w:r>
          </w:p>
        </w:tc>
        <w:tc>
          <w:tcPr>
            <w:tcW w:w="6804" w:type="dxa"/>
            <w:gridSpan w:val="7"/>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70 000 осіб</w:t>
            </w:r>
          </w:p>
        </w:tc>
      </w:tr>
      <w:tr w:rsidR="00297BFF" w:rsidRPr="00B75FD7" w:rsidTr="00297BFF">
        <w:trPr>
          <w:trHeight w:val="1216"/>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297BFF">
            <w:pPr>
              <w:autoSpaceDE w:val="0"/>
              <w:autoSpaceDN w:val="0"/>
              <w:adjustRightInd w:val="0"/>
              <w:rPr>
                <w:rFonts w:eastAsia="Calibri"/>
                <w:b/>
                <w:color w:val="000000"/>
                <w:sz w:val="22"/>
              </w:rPr>
            </w:pPr>
            <w:r w:rsidRPr="00B75FD7">
              <w:rPr>
                <w:rFonts w:eastAsia="Calibri"/>
                <w:b/>
                <w:color w:val="000000"/>
                <w:sz w:val="22"/>
              </w:rPr>
              <w:t>Опис проблеми, на вирішення якої спрямований проект</w:t>
            </w:r>
          </w:p>
        </w:tc>
        <w:tc>
          <w:tcPr>
            <w:tcW w:w="6804" w:type="dxa"/>
            <w:gridSpan w:val="7"/>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Матеріально-технічну базу закладу внаслідок  військової агресії РФ було повністю втрачено.</w:t>
            </w:r>
          </w:p>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Достатня і оптимальна матеріально-технічна база дошкільного закладу є запорукою успіху для забезпечення належної якості освітнього процесу та догляду за дітьми, важливим фактором повноцінного розвитку  і комфорту дитини під час навчання. Також, багато в чому якість освітнього процесу і якість роботи персоналу  залежить від ергономіки робочого місця.</w:t>
            </w:r>
          </w:p>
          <w:p w:rsidR="00297BFF" w:rsidRPr="00B75FD7" w:rsidRDefault="00297BFF" w:rsidP="00297BFF">
            <w:pPr>
              <w:autoSpaceDE w:val="0"/>
              <w:autoSpaceDN w:val="0"/>
              <w:adjustRightInd w:val="0"/>
              <w:rPr>
                <w:rFonts w:eastAsia="Calibri"/>
                <w:color w:val="000000"/>
                <w:sz w:val="22"/>
              </w:rPr>
            </w:pPr>
          </w:p>
        </w:tc>
      </w:tr>
      <w:tr w:rsidR="00297BFF" w:rsidRPr="00B75FD7" w:rsidTr="00297BFF">
        <w:trPr>
          <w:trHeight w:val="1220"/>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297BFF">
            <w:pPr>
              <w:autoSpaceDE w:val="0"/>
              <w:autoSpaceDN w:val="0"/>
              <w:adjustRightInd w:val="0"/>
              <w:rPr>
                <w:rFonts w:eastAsia="Calibri"/>
                <w:b/>
                <w:color w:val="000000"/>
                <w:sz w:val="22"/>
              </w:rPr>
            </w:pPr>
            <w:r w:rsidRPr="00B75FD7">
              <w:rPr>
                <w:rFonts w:eastAsia="Calibri"/>
                <w:b/>
                <w:color w:val="000000"/>
                <w:sz w:val="22"/>
              </w:rPr>
              <w:t>Очікувані якісні результати від реалізації проекту</w:t>
            </w:r>
          </w:p>
        </w:tc>
        <w:tc>
          <w:tcPr>
            <w:tcW w:w="6804" w:type="dxa"/>
            <w:gridSpan w:val="7"/>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Стимул до повернення сімей-ВПО з дітьми дошкільного віку до громади.  Забезпечення якісно нового рівня комфорту перебування в будівлі учасників освітнього процесу.</w:t>
            </w:r>
          </w:p>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 xml:space="preserve">Реалізація </w:t>
            </w:r>
            <w:proofErr w:type="spellStart"/>
            <w:r w:rsidRPr="00B75FD7">
              <w:rPr>
                <w:rFonts w:eastAsia="Calibri"/>
                <w:color w:val="000000"/>
                <w:sz w:val="22"/>
              </w:rPr>
              <w:t>проєкту</w:t>
            </w:r>
            <w:proofErr w:type="spellEnd"/>
            <w:r w:rsidRPr="00B75FD7">
              <w:rPr>
                <w:rFonts w:eastAsia="Calibri"/>
                <w:color w:val="000000"/>
                <w:sz w:val="22"/>
              </w:rPr>
              <w:t xml:space="preserve">  </w:t>
            </w:r>
            <w:proofErr w:type="spellStart"/>
            <w:r w:rsidRPr="00B75FD7">
              <w:rPr>
                <w:rFonts w:eastAsia="Calibri"/>
                <w:color w:val="000000"/>
                <w:sz w:val="22"/>
              </w:rPr>
              <w:t>надасть</w:t>
            </w:r>
            <w:proofErr w:type="spellEnd"/>
            <w:r w:rsidRPr="00B75FD7">
              <w:rPr>
                <w:rFonts w:eastAsia="Calibri"/>
                <w:color w:val="000000"/>
                <w:sz w:val="22"/>
              </w:rPr>
              <w:t xml:space="preserve"> можливість дітям (в </w:t>
            </w:r>
            <w:proofErr w:type="spellStart"/>
            <w:r w:rsidRPr="00B75FD7">
              <w:rPr>
                <w:rFonts w:eastAsia="Calibri"/>
                <w:color w:val="000000"/>
                <w:sz w:val="22"/>
              </w:rPr>
              <w:t>т.ч</w:t>
            </w:r>
            <w:proofErr w:type="spellEnd"/>
            <w:r w:rsidRPr="00B75FD7">
              <w:rPr>
                <w:rFonts w:eastAsia="Calibri"/>
                <w:color w:val="000000"/>
                <w:sz w:val="22"/>
              </w:rPr>
              <w:t>. з ООП) отримувати дошкільну освіту в сучасних, комфортних та безпечних умовах, поліпшити умови праці для персоналу.</w:t>
            </w:r>
          </w:p>
        </w:tc>
      </w:tr>
      <w:tr w:rsidR="00297BFF" w:rsidRPr="00B75FD7" w:rsidTr="00297BFF">
        <w:trPr>
          <w:trHeight w:val="560"/>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297BFF">
            <w:pPr>
              <w:autoSpaceDE w:val="0"/>
              <w:autoSpaceDN w:val="0"/>
              <w:adjustRightInd w:val="0"/>
              <w:rPr>
                <w:rFonts w:eastAsia="Calibri"/>
                <w:b/>
                <w:color w:val="000000"/>
                <w:sz w:val="22"/>
              </w:rPr>
            </w:pPr>
            <w:r w:rsidRPr="00B75FD7">
              <w:rPr>
                <w:rFonts w:eastAsia="Calibri"/>
                <w:b/>
                <w:color w:val="000000"/>
                <w:sz w:val="22"/>
              </w:rPr>
              <w:t>Очікувані кількісні результати від реалізації проекту  (індикатори)</w:t>
            </w:r>
          </w:p>
        </w:tc>
        <w:tc>
          <w:tcPr>
            <w:tcW w:w="3313" w:type="dxa"/>
            <w:gridSpan w:val="3"/>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b/>
                <w:color w:val="000000"/>
                <w:sz w:val="22"/>
              </w:rPr>
            </w:pPr>
            <w:r w:rsidRPr="00B75FD7">
              <w:rPr>
                <w:rFonts w:eastAsia="Calibri"/>
                <w:b/>
                <w:color w:val="000000"/>
                <w:sz w:val="22"/>
              </w:rPr>
              <w:t>Найменування показника</w:t>
            </w:r>
          </w:p>
        </w:tc>
        <w:tc>
          <w:tcPr>
            <w:tcW w:w="2079" w:type="dxa"/>
            <w:gridSpan w:val="3"/>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b/>
                <w:color w:val="000000"/>
                <w:sz w:val="22"/>
              </w:rPr>
            </w:pPr>
            <w:r w:rsidRPr="00B75FD7">
              <w:rPr>
                <w:rFonts w:eastAsia="Calibri"/>
                <w:b/>
                <w:color w:val="000000"/>
                <w:sz w:val="22"/>
              </w:rPr>
              <w:t>Одиниця вимірювання</w:t>
            </w:r>
          </w:p>
        </w:tc>
        <w:tc>
          <w:tcPr>
            <w:tcW w:w="1412" w:type="dxa"/>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b/>
                <w:color w:val="000000"/>
                <w:sz w:val="22"/>
              </w:rPr>
            </w:pPr>
            <w:r w:rsidRPr="00B75FD7">
              <w:rPr>
                <w:rFonts w:eastAsia="Calibri"/>
                <w:b/>
                <w:color w:val="000000"/>
                <w:sz w:val="22"/>
              </w:rPr>
              <w:t>Прогнозне (цільове) значення</w:t>
            </w:r>
          </w:p>
        </w:tc>
      </w:tr>
      <w:tr w:rsidR="00297BFF" w:rsidRPr="00B75FD7" w:rsidTr="00297BFF">
        <w:trPr>
          <w:trHeight w:val="954"/>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297BFF">
            <w:pPr>
              <w:autoSpaceDE w:val="0"/>
              <w:autoSpaceDN w:val="0"/>
              <w:adjustRightInd w:val="0"/>
              <w:rPr>
                <w:rFonts w:eastAsia="Calibri"/>
                <w:b/>
                <w:color w:val="000000"/>
                <w:sz w:val="22"/>
              </w:rPr>
            </w:pPr>
          </w:p>
        </w:tc>
        <w:tc>
          <w:tcPr>
            <w:tcW w:w="3313" w:type="dxa"/>
            <w:gridSpan w:val="3"/>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Кількість учасників освітнього процесу (діти та їх батьки, працівники закладу).</w:t>
            </w:r>
          </w:p>
        </w:tc>
        <w:tc>
          <w:tcPr>
            <w:tcW w:w="2079" w:type="dxa"/>
            <w:gridSpan w:val="3"/>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Осіб</w:t>
            </w:r>
          </w:p>
          <w:p w:rsidR="00297BFF" w:rsidRPr="00B75FD7" w:rsidRDefault="00297BFF" w:rsidP="00297BFF">
            <w:pPr>
              <w:autoSpaceDE w:val="0"/>
              <w:autoSpaceDN w:val="0"/>
              <w:adjustRightInd w:val="0"/>
              <w:rPr>
                <w:rFonts w:eastAsia="Calibri"/>
                <w:color w:val="000000"/>
                <w:sz w:val="22"/>
              </w:rPr>
            </w:pPr>
          </w:p>
        </w:tc>
        <w:tc>
          <w:tcPr>
            <w:tcW w:w="1412" w:type="dxa"/>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600</w:t>
            </w:r>
          </w:p>
        </w:tc>
      </w:tr>
      <w:tr w:rsidR="00297BFF" w:rsidRPr="00B75FD7" w:rsidTr="00297BFF">
        <w:trPr>
          <w:trHeight w:val="949"/>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297BFF">
            <w:pPr>
              <w:autoSpaceDE w:val="0"/>
              <w:autoSpaceDN w:val="0"/>
              <w:adjustRightInd w:val="0"/>
              <w:rPr>
                <w:rFonts w:eastAsia="Calibri"/>
                <w:b/>
                <w:color w:val="000000"/>
                <w:sz w:val="22"/>
              </w:rPr>
            </w:pPr>
            <w:r w:rsidRPr="00B75FD7">
              <w:rPr>
                <w:rFonts w:eastAsia="Calibri"/>
                <w:b/>
                <w:color w:val="000000"/>
                <w:sz w:val="22"/>
              </w:rPr>
              <w:lastRenderedPageBreak/>
              <w:t>Ключові заходи проекту:</w:t>
            </w:r>
          </w:p>
        </w:tc>
        <w:tc>
          <w:tcPr>
            <w:tcW w:w="6804" w:type="dxa"/>
            <w:gridSpan w:val="7"/>
            <w:tcBorders>
              <w:top w:val="single" w:sz="6" w:space="0" w:color="auto"/>
              <w:left w:val="single" w:sz="6" w:space="0" w:color="auto"/>
              <w:bottom w:val="single" w:sz="4" w:space="0" w:color="auto"/>
              <w:right w:val="single" w:sz="6"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 xml:space="preserve">Для реалізації </w:t>
            </w:r>
            <w:proofErr w:type="spellStart"/>
            <w:r w:rsidRPr="00B75FD7">
              <w:rPr>
                <w:rFonts w:eastAsia="Calibri"/>
                <w:color w:val="000000"/>
                <w:sz w:val="22"/>
              </w:rPr>
              <w:t>проєкту</w:t>
            </w:r>
            <w:proofErr w:type="spellEnd"/>
            <w:r w:rsidRPr="00B75FD7">
              <w:rPr>
                <w:rFonts w:eastAsia="Calibri"/>
                <w:color w:val="000000"/>
                <w:sz w:val="22"/>
              </w:rPr>
              <w:t xml:space="preserve"> необхідно провести наступні заходи:</w:t>
            </w:r>
          </w:p>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 xml:space="preserve">-Проведення </w:t>
            </w:r>
            <w:r w:rsidR="009B7F7B" w:rsidRPr="00B75FD7">
              <w:rPr>
                <w:rFonts w:eastAsia="Calibri"/>
                <w:color w:val="000000"/>
                <w:sz w:val="22"/>
              </w:rPr>
              <w:t>інвентаризації.</w:t>
            </w:r>
          </w:p>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 Облаштування групових приміщень сучасними дитячими меблями, дидактично-ігровим обладнанням, м’яким інвентарем, мультимедійною технікою, побутовою технікою для забезпечення виконання санітарно-</w:t>
            </w:r>
            <w:proofErr w:type="spellStart"/>
            <w:r w:rsidRPr="00B75FD7">
              <w:rPr>
                <w:rFonts w:eastAsia="Calibri"/>
                <w:color w:val="000000"/>
                <w:sz w:val="22"/>
              </w:rPr>
              <w:t>гігієничних</w:t>
            </w:r>
            <w:proofErr w:type="spellEnd"/>
            <w:r w:rsidRPr="00B75FD7">
              <w:rPr>
                <w:rFonts w:eastAsia="Calibri"/>
                <w:color w:val="000000"/>
                <w:sz w:val="22"/>
              </w:rPr>
              <w:t xml:space="preserve"> вимог</w:t>
            </w:r>
            <w:r w:rsidR="009B7F7B" w:rsidRPr="00B75FD7">
              <w:rPr>
                <w:rFonts w:eastAsia="Calibri"/>
                <w:color w:val="000000"/>
                <w:sz w:val="22"/>
              </w:rPr>
              <w:t>.</w:t>
            </w:r>
          </w:p>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 xml:space="preserve">- Оснащення спортивної зали </w:t>
            </w:r>
            <w:proofErr w:type="spellStart"/>
            <w:r w:rsidRPr="00B75FD7">
              <w:rPr>
                <w:rFonts w:eastAsia="Calibri"/>
                <w:color w:val="000000"/>
                <w:sz w:val="22"/>
              </w:rPr>
              <w:t>мультифункціональним</w:t>
            </w:r>
            <w:proofErr w:type="spellEnd"/>
            <w:r w:rsidRPr="00B75FD7">
              <w:rPr>
                <w:rFonts w:eastAsia="Calibri"/>
                <w:color w:val="000000"/>
                <w:sz w:val="22"/>
              </w:rPr>
              <w:t xml:space="preserve"> спортивно-фізкультурним обладнанням</w:t>
            </w:r>
            <w:r w:rsidR="009B7F7B" w:rsidRPr="00B75FD7">
              <w:rPr>
                <w:rFonts w:eastAsia="Calibri"/>
                <w:color w:val="000000"/>
                <w:sz w:val="22"/>
              </w:rPr>
              <w:t>.</w:t>
            </w:r>
          </w:p>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 Оснащення музичної зали музичними інструментами, аудіо- і мультимедійним комплексом</w:t>
            </w:r>
            <w:r w:rsidR="009B7F7B" w:rsidRPr="00B75FD7">
              <w:rPr>
                <w:rFonts w:eastAsia="Calibri"/>
                <w:color w:val="000000"/>
                <w:sz w:val="22"/>
              </w:rPr>
              <w:t>.</w:t>
            </w:r>
          </w:p>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 Оснащення кабінетів спеціалістів (психологи, логопеди, дефектологи, медична сестра) та адміністрації необхідною оргтехнікою, меблями тощо.</w:t>
            </w:r>
          </w:p>
        </w:tc>
      </w:tr>
      <w:tr w:rsidR="00297BFF" w:rsidRPr="00B75FD7" w:rsidTr="00297BFF">
        <w:trPr>
          <w:trHeight w:val="579"/>
        </w:trPr>
        <w:tc>
          <w:tcPr>
            <w:tcW w:w="3007" w:type="dxa"/>
            <w:vMerge w:val="restart"/>
            <w:tcBorders>
              <w:top w:val="single" w:sz="6" w:space="0" w:color="auto"/>
              <w:left w:val="single" w:sz="6" w:space="0" w:color="auto"/>
              <w:right w:val="single" w:sz="4" w:space="0" w:color="auto"/>
            </w:tcBorders>
            <w:shd w:val="clear" w:color="00FFFF" w:fill="C6D9F1" w:themeFill="text2" w:themeFillTint="33"/>
          </w:tcPr>
          <w:p w:rsidR="00297BFF" w:rsidRPr="00B75FD7" w:rsidRDefault="00297BFF" w:rsidP="00297BFF">
            <w:pPr>
              <w:autoSpaceDE w:val="0"/>
              <w:autoSpaceDN w:val="0"/>
              <w:adjustRightInd w:val="0"/>
              <w:rPr>
                <w:rFonts w:eastAsia="Calibri"/>
                <w:b/>
                <w:color w:val="000000"/>
                <w:sz w:val="22"/>
              </w:rPr>
            </w:pPr>
            <w:r w:rsidRPr="00B75FD7">
              <w:rPr>
                <w:rFonts w:eastAsia="Calibri"/>
                <w:b/>
                <w:color w:val="000000"/>
                <w:sz w:val="22"/>
              </w:rPr>
              <w:t>Орієнтовний обсяг та джерела фінансування тис. гривень</w:t>
            </w:r>
          </w:p>
        </w:tc>
        <w:tc>
          <w:tcPr>
            <w:tcW w:w="1276" w:type="dxa"/>
            <w:vMerge w:val="restart"/>
            <w:tcBorders>
              <w:top w:val="single" w:sz="4" w:space="0" w:color="auto"/>
              <w:left w:val="single" w:sz="4" w:space="0" w:color="auto"/>
              <w:bottom w:val="single" w:sz="4" w:space="0" w:color="auto"/>
              <w:right w:val="single" w:sz="4"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Державний бюджет</w:t>
            </w:r>
          </w:p>
        </w:tc>
        <w:tc>
          <w:tcPr>
            <w:tcW w:w="1417" w:type="dxa"/>
            <w:tcBorders>
              <w:top w:val="single" w:sz="4" w:space="0" w:color="auto"/>
              <w:left w:val="single" w:sz="4" w:space="0" w:color="auto"/>
              <w:bottom w:val="single" w:sz="4" w:space="0" w:color="auto"/>
              <w:right w:val="single" w:sz="4"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Місцевий бюджет</w:t>
            </w:r>
          </w:p>
        </w:tc>
        <w:tc>
          <w:tcPr>
            <w:tcW w:w="2552" w:type="dxa"/>
            <w:gridSpan w:val="3"/>
            <w:tcBorders>
              <w:top w:val="single" w:sz="4" w:space="0" w:color="auto"/>
              <w:left w:val="single" w:sz="4" w:space="0" w:color="auto"/>
              <w:bottom w:val="single" w:sz="4" w:space="0" w:color="auto"/>
              <w:right w:val="single" w:sz="4"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Інші джерела</w:t>
            </w:r>
          </w:p>
        </w:tc>
        <w:tc>
          <w:tcPr>
            <w:tcW w:w="1559" w:type="dxa"/>
            <w:gridSpan w:val="2"/>
            <w:tcBorders>
              <w:top w:val="single" w:sz="4" w:space="0" w:color="auto"/>
              <w:left w:val="single" w:sz="4" w:space="0" w:color="auto"/>
              <w:bottom w:val="single" w:sz="4" w:space="0" w:color="auto"/>
              <w:right w:val="single" w:sz="4"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Всього</w:t>
            </w:r>
          </w:p>
        </w:tc>
      </w:tr>
      <w:tr w:rsidR="00297BFF" w:rsidRPr="00B75FD7" w:rsidTr="00297BFF">
        <w:trPr>
          <w:trHeight w:val="63"/>
        </w:trPr>
        <w:tc>
          <w:tcPr>
            <w:tcW w:w="3007" w:type="dxa"/>
            <w:vMerge/>
            <w:tcBorders>
              <w:left w:val="single" w:sz="6" w:space="0" w:color="auto"/>
              <w:right w:val="single" w:sz="4" w:space="0" w:color="auto"/>
            </w:tcBorders>
            <w:shd w:val="clear" w:color="00FFFF" w:fill="C6D9F1" w:themeFill="text2" w:themeFillTint="33"/>
          </w:tcPr>
          <w:p w:rsidR="00297BFF" w:rsidRPr="00B75FD7" w:rsidRDefault="00297BFF" w:rsidP="00297BFF">
            <w:pPr>
              <w:autoSpaceDE w:val="0"/>
              <w:autoSpaceDN w:val="0"/>
              <w:adjustRightInd w:val="0"/>
              <w:rPr>
                <w:rFonts w:eastAsia="Calibri"/>
                <w:b/>
                <w:color w:val="000000"/>
                <w:sz w:val="22"/>
              </w:rPr>
            </w:pPr>
          </w:p>
        </w:tc>
        <w:tc>
          <w:tcPr>
            <w:tcW w:w="1276" w:type="dxa"/>
            <w:vMerge/>
            <w:tcBorders>
              <w:top w:val="single" w:sz="4" w:space="0" w:color="auto"/>
              <w:left w:val="single" w:sz="4" w:space="0" w:color="auto"/>
              <w:bottom w:val="single" w:sz="4" w:space="0" w:color="auto"/>
              <w:right w:val="single" w:sz="4" w:space="0" w:color="auto"/>
            </w:tcBorders>
          </w:tcPr>
          <w:p w:rsidR="00297BFF" w:rsidRPr="00B75FD7" w:rsidRDefault="00297BFF" w:rsidP="00297BFF">
            <w:pPr>
              <w:autoSpaceDE w:val="0"/>
              <w:autoSpaceDN w:val="0"/>
              <w:adjustRightInd w:val="0"/>
              <w:rPr>
                <w:rFonts w:eastAsia="Calibri"/>
                <w:color w:val="000000"/>
                <w:sz w:val="22"/>
              </w:rPr>
            </w:pPr>
          </w:p>
        </w:tc>
        <w:tc>
          <w:tcPr>
            <w:tcW w:w="1417" w:type="dxa"/>
            <w:vMerge w:val="restart"/>
            <w:tcBorders>
              <w:top w:val="single" w:sz="4" w:space="0" w:color="auto"/>
              <w:left w:val="single" w:sz="4" w:space="0" w:color="auto"/>
              <w:right w:val="single" w:sz="4" w:space="0" w:color="auto"/>
            </w:tcBorders>
          </w:tcPr>
          <w:p w:rsidR="00297BFF" w:rsidRPr="00B75FD7" w:rsidRDefault="00297BFF" w:rsidP="00297BFF">
            <w:pPr>
              <w:autoSpaceDE w:val="0"/>
              <w:autoSpaceDN w:val="0"/>
              <w:adjustRightInd w:val="0"/>
              <w:rPr>
                <w:rFonts w:eastAsia="Calibri"/>
                <w:color w:val="000000"/>
                <w:sz w:val="22"/>
              </w:rPr>
            </w:pPr>
          </w:p>
        </w:tc>
        <w:tc>
          <w:tcPr>
            <w:tcW w:w="851" w:type="dxa"/>
            <w:gridSpan w:val="2"/>
            <w:tcBorders>
              <w:top w:val="single" w:sz="4" w:space="0" w:color="auto"/>
              <w:left w:val="single" w:sz="4" w:space="0" w:color="auto"/>
              <w:bottom w:val="single" w:sz="4" w:space="0" w:color="auto"/>
              <w:right w:val="single" w:sz="4"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Обсяг</w:t>
            </w:r>
          </w:p>
        </w:tc>
        <w:tc>
          <w:tcPr>
            <w:tcW w:w="1701" w:type="dxa"/>
            <w:tcBorders>
              <w:top w:val="single" w:sz="4" w:space="0" w:color="auto"/>
              <w:left w:val="single" w:sz="4" w:space="0" w:color="auto"/>
              <w:bottom w:val="single" w:sz="4" w:space="0" w:color="auto"/>
              <w:right w:val="single" w:sz="4"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Назва джерела</w:t>
            </w:r>
          </w:p>
        </w:tc>
        <w:tc>
          <w:tcPr>
            <w:tcW w:w="1559" w:type="dxa"/>
            <w:gridSpan w:val="2"/>
            <w:vMerge w:val="restart"/>
            <w:tcBorders>
              <w:top w:val="single" w:sz="4" w:space="0" w:color="auto"/>
              <w:left w:val="single" w:sz="4" w:space="0" w:color="auto"/>
              <w:right w:val="single" w:sz="4"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6000,0</w:t>
            </w:r>
          </w:p>
        </w:tc>
      </w:tr>
      <w:tr w:rsidR="00297BFF" w:rsidRPr="00B75FD7" w:rsidTr="00297BFF">
        <w:trPr>
          <w:trHeight w:val="449"/>
        </w:trPr>
        <w:tc>
          <w:tcPr>
            <w:tcW w:w="3007" w:type="dxa"/>
            <w:vMerge/>
            <w:tcBorders>
              <w:left w:val="single" w:sz="6" w:space="0" w:color="auto"/>
              <w:bottom w:val="single" w:sz="6" w:space="0" w:color="auto"/>
              <w:right w:val="single" w:sz="4" w:space="0" w:color="auto"/>
            </w:tcBorders>
            <w:shd w:val="clear" w:color="00FFFF" w:fill="C6D9F1" w:themeFill="text2" w:themeFillTint="33"/>
          </w:tcPr>
          <w:p w:rsidR="00297BFF" w:rsidRPr="00B75FD7" w:rsidRDefault="00297BFF" w:rsidP="00297BFF">
            <w:pPr>
              <w:autoSpaceDE w:val="0"/>
              <w:autoSpaceDN w:val="0"/>
              <w:adjustRightInd w:val="0"/>
              <w:rPr>
                <w:rFonts w:eastAsia="Calibri"/>
                <w:b/>
                <w:color w:val="000000"/>
                <w:sz w:val="22"/>
              </w:rPr>
            </w:pPr>
          </w:p>
        </w:tc>
        <w:tc>
          <w:tcPr>
            <w:tcW w:w="1276" w:type="dxa"/>
            <w:tcBorders>
              <w:top w:val="single" w:sz="4" w:space="0" w:color="auto"/>
              <w:left w:val="single" w:sz="4" w:space="0" w:color="auto"/>
              <w:bottom w:val="single" w:sz="4" w:space="0" w:color="auto"/>
              <w:right w:val="single" w:sz="4" w:space="0" w:color="auto"/>
            </w:tcBorders>
          </w:tcPr>
          <w:p w:rsidR="00297BFF" w:rsidRPr="00B75FD7" w:rsidRDefault="00297BFF" w:rsidP="00297BFF">
            <w:pPr>
              <w:autoSpaceDE w:val="0"/>
              <w:autoSpaceDN w:val="0"/>
              <w:adjustRightInd w:val="0"/>
              <w:rPr>
                <w:rFonts w:eastAsia="Calibri"/>
                <w:color w:val="000000"/>
                <w:sz w:val="22"/>
              </w:rPr>
            </w:pPr>
          </w:p>
        </w:tc>
        <w:tc>
          <w:tcPr>
            <w:tcW w:w="1417" w:type="dxa"/>
            <w:vMerge/>
            <w:tcBorders>
              <w:left w:val="single" w:sz="4" w:space="0" w:color="auto"/>
              <w:bottom w:val="single" w:sz="4" w:space="0" w:color="auto"/>
              <w:right w:val="single" w:sz="4" w:space="0" w:color="auto"/>
            </w:tcBorders>
          </w:tcPr>
          <w:p w:rsidR="00297BFF" w:rsidRPr="00B75FD7" w:rsidRDefault="00297BFF" w:rsidP="00297BFF">
            <w:pPr>
              <w:autoSpaceDE w:val="0"/>
              <w:autoSpaceDN w:val="0"/>
              <w:adjustRightInd w:val="0"/>
              <w:rPr>
                <w:rFonts w:eastAsia="Calibri"/>
                <w:color w:val="000000"/>
                <w:sz w:val="22"/>
              </w:rPr>
            </w:pPr>
          </w:p>
        </w:tc>
        <w:tc>
          <w:tcPr>
            <w:tcW w:w="851" w:type="dxa"/>
            <w:gridSpan w:val="2"/>
            <w:tcBorders>
              <w:top w:val="single" w:sz="4" w:space="0" w:color="auto"/>
              <w:left w:val="single" w:sz="4" w:space="0" w:color="auto"/>
              <w:bottom w:val="single" w:sz="4" w:space="0" w:color="auto"/>
              <w:right w:val="single" w:sz="4"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6000,0</w:t>
            </w:r>
          </w:p>
        </w:tc>
        <w:tc>
          <w:tcPr>
            <w:tcW w:w="1701" w:type="dxa"/>
            <w:tcBorders>
              <w:top w:val="single" w:sz="4" w:space="0" w:color="auto"/>
              <w:left w:val="single" w:sz="4" w:space="0" w:color="auto"/>
              <w:bottom w:val="single" w:sz="4" w:space="0" w:color="auto"/>
              <w:right w:val="single" w:sz="4"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Міжнародні інвестиції</w:t>
            </w:r>
          </w:p>
        </w:tc>
        <w:tc>
          <w:tcPr>
            <w:tcW w:w="1559" w:type="dxa"/>
            <w:gridSpan w:val="2"/>
            <w:vMerge/>
            <w:tcBorders>
              <w:left w:val="single" w:sz="4" w:space="0" w:color="auto"/>
              <w:bottom w:val="single" w:sz="4" w:space="0" w:color="auto"/>
              <w:right w:val="single" w:sz="4" w:space="0" w:color="auto"/>
            </w:tcBorders>
          </w:tcPr>
          <w:p w:rsidR="00297BFF" w:rsidRPr="00B75FD7" w:rsidRDefault="00297BFF" w:rsidP="00297BFF">
            <w:pPr>
              <w:autoSpaceDE w:val="0"/>
              <w:autoSpaceDN w:val="0"/>
              <w:adjustRightInd w:val="0"/>
              <w:rPr>
                <w:rFonts w:eastAsia="Calibri"/>
                <w:color w:val="000000"/>
                <w:sz w:val="22"/>
              </w:rPr>
            </w:pPr>
          </w:p>
        </w:tc>
      </w:tr>
    </w:tbl>
    <w:p w:rsidR="00297BFF" w:rsidRPr="00B75FD7" w:rsidRDefault="00297BFF" w:rsidP="00E95FB1">
      <w:pPr>
        <w:rPr>
          <w:sz w:val="22"/>
        </w:rPr>
      </w:pPr>
    </w:p>
    <w:p w:rsidR="00297BFF" w:rsidRPr="00B75FD7" w:rsidRDefault="00297BFF" w:rsidP="00E95FB1">
      <w:pPr>
        <w:rPr>
          <w:sz w:val="22"/>
        </w:rPr>
      </w:pPr>
    </w:p>
    <w:tbl>
      <w:tblPr>
        <w:tblpPr w:leftFromText="180" w:rightFromText="180" w:bottomFromText="160" w:vertAnchor="text" w:horzAnchor="margin" w:tblpXSpec="center" w:tblpY="63"/>
        <w:tblW w:w="9923" w:type="dxa"/>
        <w:tblLayout w:type="fixed"/>
        <w:tblCellMar>
          <w:left w:w="30" w:type="dxa"/>
          <w:right w:w="30" w:type="dxa"/>
        </w:tblCellMar>
        <w:tblLook w:val="04A0" w:firstRow="1" w:lastRow="0" w:firstColumn="1" w:lastColumn="0" w:noHBand="0" w:noVBand="1"/>
      </w:tblPr>
      <w:tblGrid>
        <w:gridCol w:w="3119"/>
        <w:gridCol w:w="1498"/>
        <w:gridCol w:w="1134"/>
        <w:gridCol w:w="992"/>
        <w:gridCol w:w="258"/>
        <w:gridCol w:w="1300"/>
        <w:gridCol w:w="410"/>
        <w:gridCol w:w="1212"/>
      </w:tblGrid>
      <w:tr w:rsidR="00297BFF" w:rsidRPr="00B75FD7" w:rsidTr="00E33AAA">
        <w:trPr>
          <w:trHeight w:val="540"/>
        </w:trPr>
        <w:tc>
          <w:tcPr>
            <w:tcW w:w="3119" w:type="dxa"/>
            <w:tcBorders>
              <w:top w:val="single" w:sz="6" w:space="0" w:color="auto"/>
              <w:left w:val="single" w:sz="6" w:space="0" w:color="auto"/>
              <w:bottom w:val="single" w:sz="6" w:space="0" w:color="auto"/>
              <w:right w:val="single" w:sz="6" w:space="0" w:color="auto"/>
            </w:tcBorders>
            <w:shd w:val="clear" w:color="00FFFF" w:fill="C6D9F1" w:themeFill="text2" w:themeFillTint="33"/>
            <w:hideMark/>
          </w:tcPr>
          <w:p w:rsidR="00297BFF" w:rsidRPr="00B75FD7" w:rsidRDefault="00297BFF" w:rsidP="00297BFF">
            <w:pPr>
              <w:autoSpaceDE w:val="0"/>
              <w:autoSpaceDN w:val="0"/>
              <w:adjustRightInd w:val="0"/>
              <w:spacing w:line="256" w:lineRule="auto"/>
              <w:rPr>
                <w:rFonts w:eastAsia="Calibri"/>
                <w:b/>
                <w:color w:val="000000"/>
                <w:kern w:val="2"/>
                <w:sz w:val="22"/>
              </w:rPr>
            </w:pPr>
            <w:r w:rsidRPr="00B75FD7">
              <w:rPr>
                <w:rFonts w:eastAsia="Calibri"/>
                <w:b/>
                <w:color w:val="000000"/>
                <w:kern w:val="2"/>
                <w:sz w:val="22"/>
              </w:rPr>
              <w:t>Оперативна ціль/завдання</w:t>
            </w:r>
          </w:p>
        </w:tc>
        <w:tc>
          <w:tcPr>
            <w:tcW w:w="6804" w:type="dxa"/>
            <w:gridSpan w:val="7"/>
            <w:tcBorders>
              <w:top w:val="single" w:sz="6" w:space="0" w:color="auto"/>
              <w:left w:val="single" w:sz="6" w:space="0" w:color="auto"/>
              <w:bottom w:val="single" w:sz="6" w:space="0" w:color="auto"/>
              <w:right w:val="single" w:sz="6" w:space="0" w:color="auto"/>
            </w:tcBorders>
            <w:hideMark/>
          </w:tcPr>
          <w:p w:rsidR="00297BFF" w:rsidRPr="00B75FD7" w:rsidRDefault="00297BFF" w:rsidP="00297BFF">
            <w:pPr>
              <w:autoSpaceDE w:val="0"/>
              <w:autoSpaceDN w:val="0"/>
              <w:adjustRightInd w:val="0"/>
              <w:spacing w:line="256" w:lineRule="auto"/>
              <w:rPr>
                <w:rFonts w:eastAsia="Calibri"/>
                <w:color w:val="000000"/>
                <w:kern w:val="2"/>
                <w:sz w:val="22"/>
              </w:rPr>
            </w:pPr>
            <w:r w:rsidRPr="00B75FD7">
              <w:rPr>
                <w:rFonts w:eastAsia="Arial"/>
                <w:kern w:val="2"/>
                <w:sz w:val="22"/>
              </w:rPr>
              <w:t xml:space="preserve">Людський розвиток через інновації управління та довіру до влади. Формування сучасного інклюзивного  </w:t>
            </w:r>
            <w:proofErr w:type="spellStart"/>
            <w:r w:rsidRPr="00B75FD7">
              <w:rPr>
                <w:rFonts w:eastAsia="Arial"/>
                <w:kern w:val="2"/>
                <w:sz w:val="22"/>
              </w:rPr>
              <w:t>освітньо</w:t>
            </w:r>
            <w:proofErr w:type="spellEnd"/>
            <w:r w:rsidRPr="00B75FD7">
              <w:rPr>
                <w:rFonts w:eastAsia="Arial"/>
                <w:kern w:val="2"/>
                <w:sz w:val="22"/>
              </w:rPr>
              <w:t>-культурного та спортивного простору для розвитку</w:t>
            </w:r>
          </w:p>
        </w:tc>
      </w:tr>
      <w:tr w:rsidR="00297BFF" w:rsidRPr="00B75FD7" w:rsidTr="00E33AAA">
        <w:trPr>
          <w:trHeight w:val="672"/>
        </w:trPr>
        <w:tc>
          <w:tcPr>
            <w:tcW w:w="3119" w:type="dxa"/>
            <w:tcBorders>
              <w:top w:val="single" w:sz="6" w:space="0" w:color="auto"/>
              <w:left w:val="single" w:sz="6" w:space="0" w:color="auto"/>
              <w:bottom w:val="single" w:sz="6" w:space="0" w:color="auto"/>
              <w:right w:val="single" w:sz="6" w:space="0" w:color="auto"/>
            </w:tcBorders>
            <w:shd w:val="clear" w:color="00FFFF" w:fill="C6D9F1" w:themeFill="text2" w:themeFillTint="33"/>
            <w:hideMark/>
          </w:tcPr>
          <w:p w:rsidR="00297BFF" w:rsidRPr="00B75FD7" w:rsidRDefault="00297BFF" w:rsidP="00297BFF">
            <w:pPr>
              <w:autoSpaceDE w:val="0"/>
              <w:autoSpaceDN w:val="0"/>
              <w:adjustRightInd w:val="0"/>
              <w:spacing w:line="256" w:lineRule="auto"/>
              <w:rPr>
                <w:rFonts w:eastAsia="Calibri"/>
                <w:b/>
                <w:color w:val="000000"/>
                <w:kern w:val="2"/>
                <w:sz w:val="22"/>
              </w:rPr>
            </w:pPr>
            <w:r w:rsidRPr="00B75FD7">
              <w:rPr>
                <w:rFonts w:eastAsia="Calibri"/>
                <w:b/>
                <w:color w:val="000000"/>
                <w:kern w:val="2"/>
                <w:sz w:val="22"/>
              </w:rPr>
              <w:t>Назва проекту:</w:t>
            </w:r>
          </w:p>
        </w:tc>
        <w:tc>
          <w:tcPr>
            <w:tcW w:w="6804" w:type="dxa"/>
            <w:gridSpan w:val="7"/>
            <w:tcBorders>
              <w:top w:val="single" w:sz="6" w:space="0" w:color="auto"/>
              <w:left w:val="single" w:sz="6" w:space="0" w:color="auto"/>
              <w:bottom w:val="single" w:sz="6" w:space="0" w:color="auto"/>
              <w:right w:val="single" w:sz="6" w:space="0" w:color="auto"/>
            </w:tcBorders>
            <w:hideMark/>
          </w:tcPr>
          <w:p w:rsidR="00297BFF" w:rsidRPr="00B75FD7" w:rsidRDefault="00297BFF" w:rsidP="00297BFF">
            <w:pPr>
              <w:autoSpaceDE w:val="0"/>
              <w:autoSpaceDN w:val="0"/>
              <w:adjustRightInd w:val="0"/>
              <w:spacing w:line="256" w:lineRule="auto"/>
              <w:rPr>
                <w:rFonts w:eastAsia="Calibri"/>
                <w:color w:val="000000"/>
                <w:kern w:val="2"/>
                <w:sz w:val="22"/>
              </w:rPr>
            </w:pPr>
            <w:r w:rsidRPr="00B75FD7">
              <w:rPr>
                <w:rFonts w:eastAsia="Calibri"/>
                <w:color w:val="000000"/>
                <w:kern w:val="2"/>
                <w:sz w:val="22"/>
              </w:rPr>
              <w:t>Оснащення ресурсної кімнати та фізкультурно-рекреаційної зони  Ясел-садка № 12 міста Сєвєродонецьк Луганської області,  вул. Курчатова, буд. 27/Г</w:t>
            </w:r>
          </w:p>
        </w:tc>
      </w:tr>
      <w:tr w:rsidR="00297BFF" w:rsidRPr="00B75FD7" w:rsidTr="00E33AAA">
        <w:trPr>
          <w:trHeight w:val="1079"/>
        </w:trPr>
        <w:tc>
          <w:tcPr>
            <w:tcW w:w="3119" w:type="dxa"/>
            <w:tcBorders>
              <w:top w:val="single" w:sz="6" w:space="0" w:color="auto"/>
              <w:left w:val="single" w:sz="6" w:space="0" w:color="auto"/>
              <w:bottom w:val="single" w:sz="6" w:space="0" w:color="auto"/>
              <w:right w:val="single" w:sz="6" w:space="0" w:color="auto"/>
            </w:tcBorders>
            <w:shd w:val="clear" w:color="00FFFF" w:fill="C6D9F1" w:themeFill="text2" w:themeFillTint="33"/>
            <w:hideMark/>
          </w:tcPr>
          <w:p w:rsidR="00297BFF" w:rsidRPr="00B75FD7" w:rsidRDefault="00297BFF" w:rsidP="00297BFF">
            <w:pPr>
              <w:autoSpaceDE w:val="0"/>
              <w:autoSpaceDN w:val="0"/>
              <w:adjustRightInd w:val="0"/>
              <w:spacing w:line="256" w:lineRule="auto"/>
              <w:rPr>
                <w:rFonts w:eastAsia="Calibri"/>
                <w:b/>
                <w:color w:val="000000"/>
                <w:kern w:val="2"/>
                <w:sz w:val="22"/>
              </w:rPr>
            </w:pPr>
            <w:r w:rsidRPr="00B75FD7">
              <w:rPr>
                <w:rFonts w:eastAsia="Calibri"/>
                <w:b/>
                <w:color w:val="000000"/>
                <w:kern w:val="2"/>
                <w:sz w:val="22"/>
              </w:rPr>
              <w:t>Ціль проекту</w:t>
            </w:r>
          </w:p>
        </w:tc>
        <w:tc>
          <w:tcPr>
            <w:tcW w:w="6804" w:type="dxa"/>
            <w:gridSpan w:val="7"/>
            <w:tcBorders>
              <w:top w:val="single" w:sz="6" w:space="0" w:color="auto"/>
              <w:left w:val="single" w:sz="6" w:space="0" w:color="auto"/>
              <w:bottom w:val="single" w:sz="6" w:space="0" w:color="auto"/>
              <w:right w:val="single" w:sz="6" w:space="0" w:color="auto"/>
            </w:tcBorders>
            <w:hideMark/>
          </w:tcPr>
          <w:p w:rsidR="00297BFF" w:rsidRPr="00B75FD7" w:rsidRDefault="00297BFF" w:rsidP="00297BFF">
            <w:pPr>
              <w:autoSpaceDE w:val="0"/>
              <w:autoSpaceDN w:val="0"/>
              <w:adjustRightInd w:val="0"/>
              <w:spacing w:line="256" w:lineRule="auto"/>
              <w:rPr>
                <w:rFonts w:eastAsia="Calibri"/>
                <w:color w:val="000000"/>
                <w:kern w:val="2"/>
                <w:sz w:val="22"/>
              </w:rPr>
            </w:pPr>
            <w:r w:rsidRPr="00B75FD7">
              <w:rPr>
                <w:rFonts w:eastAsia="Calibri"/>
                <w:color w:val="000000"/>
                <w:kern w:val="2"/>
                <w:sz w:val="22"/>
              </w:rPr>
              <w:t xml:space="preserve">Відновити та покращити роботу ЗДО. Соціально-психологічний супровід і фізична/психологічна реабілітація дітей з ООП та дітей,  які постраждали в наслідок воєнних дій та озброєних конфліктів. Формування сучасного інклюзивного </w:t>
            </w:r>
            <w:proofErr w:type="spellStart"/>
            <w:r w:rsidRPr="00B75FD7">
              <w:rPr>
                <w:rFonts w:eastAsia="Calibri"/>
                <w:color w:val="000000"/>
                <w:kern w:val="2"/>
                <w:sz w:val="22"/>
              </w:rPr>
              <w:t>освітньо</w:t>
            </w:r>
            <w:proofErr w:type="spellEnd"/>
            <w:r w:rsidRPr="00B75FD7">
              <w:rPr>
                <w:rFonts w:eastAsia="Calibri"/>
                <w:color w:val="000000"/>
                <w:kern w:val="2"/>
                <w:sz w:val="22"/>
              </w:rPr>
              <w:t xml:space="preserve"> – культурного простору для розвитку.</w:t>
            </w:r>
          </w:p>
        </w:tc>
      </w:tr>
      <w:tr w:rsidR="00297BFF" w:rsidRPr="00B75FD7" w:rsidTr="00E33AAA">
        <w:trPr>
          <w:trHeight w:val="282"/>
        </w:trPr>
        <w:tc>
          <w:tcPr>
            <w:tcW w:w="3119" w:type="dxa"/>
            <w:tcBorders>
              <w:top w:val="single" w:sz="6" w:space="0" w:color="auto"/>
              <w:left w:val="single" w:sz="6" w:space="0" w:color="auto"/>
              <w:bottom w:val="single" w:sz="6" w:space="0" w:color="auto"/>
              <w:right w:val="single" w:sz="6" w:space="0" w:color="auto"/>
            </w:tcBorders>
            <w:shd w:val="clear" w:color="00FFFF" w:fill="C6D9F1" w:themeFill="text2" w:themeFillTint="33"/>
            <w:hideMark/>
          </w:tcPr>
          <w:p w:rsidR="00297BFF" w:rsidRPr="00B75FD7" w:rsidRDefault="00297BFF" w:rsidP="00297BFF">
            <w:pPr>
              <w:autoSpaceDE w:val="0"/>
              <w:autoSpaceDN w:val="0"/>
              <w:adjustRightInd w:val="0"/>
              <w:spacing w:line="256" w:lineRule="auto"/>
              <w:rPr>
                <w:rFonts w:eastAsia="Calibri"/>
                <w:b/>
                <w:color w:val="000000"/>
                <w:kern w:val="2"/>
                <w:sz w:val="22"/>
              </w:rPr>
            </w:pPr>
            <w:r w:rsidRPr="00B75FD7">
              <w:rPr>
                <w:rFonts w:eastAsia="Calibri"/>
                <w:b/>
                <w:color w:val="000000"/>
                <w:kern w:val="2"/>
                <w:sz w:val="22"/>
              </w:rPr>
              <w:t>Територія, на яку матиме вплив реалізація проекту</w:t>
            </w:r>
          </w:p>
        </w:tc>
        <w:tc>
          <w:tcPr>
            <w:tcW w:w="6804" w:type="dxa"/>
            <w:gridSpan w:val="7"/>
            <w:tcBorders>
              <w:top w:val="single" w:sz="6" w:space="0" w:color="auto"/>
              <w:left w:val="single" w:sz="6" w:space="0" w:color="auto"/>
              <w:bottom w:val="single" w:sz="6" w:space="0" w:color="auto"/>
              <w:right w:val="single" w:sz="6" w:space="0" w:color="auto"/>
            </w:tcBorders>
            <w:hideMark/>
          </w:tcPr>
          <w:p w:rsidR="00297BFF" w:rsidRPr="00B75FD7" w:rsidRDefault="00297BFF" w:rsidP="00297BFF">
            <w:pPr>
              <w:autoSpaceDE w:val="0"/>
              <w:autoSpaceDN w:val="0"/>
              <w:adjustRightInd w:val="0"/>
              <w:spacing w:line="256" w:lineRule="auto"/>
              <w:rPr>
                <w:rFonts w:eastAsia="Calibri"/>
                <w:color w:val="000000"/>
                <w:kern w:val="2"/>
                <w:sz w:val="22"/>
              </w:rPr>
            </w:pPr>
            <w:r w:rsidRPr="00B75FD7">
              <w:rPr>
                <w:rFonts w:eastAsia="Calibri"/>
                <w:color w:val="000000"/>
                <w:kern w:val="2"/>
                <w:sz w:val="22"/>
              </w:rPr>
              <w:t>Сєвєродонецька міська територіальна громада</w:t>
            </w:r>
          </w:p>
        </w:tc>
      </w:tr>
      <w:tr w:rsidR="00297BFF" w:rsidRPr="00B75FD7" w:rsidTr="00E33AAA">
        <w:trPr>
          <w:trHeight w:val="823"/>
        </w:trPr>
        <w:tc>
          <w:tcPr>
            <w:tcW w:w="3119" w:type="dxa"/>
            <w:tcBorders>
              <w:top w:val="single" w:sz="6" w:space="0" w:color="auto"/>
              <w:left w:val="single" w:sz="6" w:space="0" w:color="auto"/>
              <w:bottom w:val="single" w:sz="6" w:space="0" w:color="auto"/>
              <w:right w:val="single" w:sz="6" w:space="0" w:color="auto"/>
            </w:tcBorders>
            <w:shd w:val="clear" w:color="00FFFF" w:fill="C6D9F1" w:themeFill="text2" w:themeFillTint="33"/>
            <w:hideMark/>
          </w:tcPr>
          <w:p w:rsidR="00297BFF" w:rsidRPr="00B75FD7" w:rsidRDefault="00297BFF" w:rsidP="00297BFF">
            <w:pPr>
              <w:autoSpaceDE w:val="0"/>
              <w:autoSpaceDN w:val="0"/>
              <w:adjustRightInd w:val="0"/>
              <w:spacing w:line="256" w:lineRule="auto"/>
              <w:rPr>
                <w:rFonts w:eastAsia="Calibri"/>
                <w:b/>
                <w:color w:val="000000"/>
                <w:kern w:val="2"/>
                <w:sz w:val="22"/>
              </w:rPr>
            </w:pPr>
            <w:r w:rsidRPr="00B75FD7">
              <w:rPr>
                <w:rFonts w:eastAsia="Calibri"/>
                <w:b/>
                <w:color w:val="000000"/>
                <w:kern w:val="2"/>
                <w:sz w:val="22"/>
              </w:rPr>
              <w:t>Чисельність населення, на яке матиме вплив реалізація проекту</w:t>
            </w:r>
          </w:p>
        </w:tc>
        <w:tc>
          <w:tcPr>
            <w:tcW w:w="6804" w:type="dxa"/>
            <w:gridSpan w:val="7"/>
            <w:tcBorders>
              <w:top w:val="single" w:sz="6" w:space="0" w:color="auto"/>
              <w:left w:val="single" w:sz="6" w:space="0" w:color="auto"/>
              <w:bottom w:val="single" w:sz="6" w:space="0" w:color="auto"/>
              <w:right w:val="single" w:sz="6" w:space="0" w:color="auto"/>
            </w:tcBorders>
            <w:hideMark/>
          </w:tcPr>
          <w:p w:rsidR="00297BFF" w:rsidRPr="00B75FD7" w:rsidRDefault="00297BFF" w:rsidP="00297BFF">
            <w:pPr>
              <w:autoSpaceDE w:val="0"/>
              <w:autoSpaceDN w:val="0"/>
              <w:adjustRightInd w:val="0"/>
              <w:spacing w:line="256" w:lineRule="auto"/>
              <w:rPr>
                <w:rFonts w:eastAsia="Calibri"/>
                <w:color w:val="000000"/>
                <w:kern w:val="2"/>
                <w:sz w:val="22"/>
              </w:rPr>
            </w:pPr>
            <w:r w:rsidRPr="00B75FD7">
              <w:rPr>
                <w:rFonts w:eastAsia="Calibri"/>
                <w:color w:val="000000"/>
                <w:kern w:val="2"/>
                <w:sz w:val="22"/>
              </w:rPr>
              <w:t>70 000 осіб</w:t>
            </w:r>
          </w:p>
        </w:tc>
      </w:tr>
      <w:tr w:rsidR="00297BFF" w:rsidRPr="00B75FD7" w:rsidTr="00E33AAA">
        <w:trPr>
          <w:trHeight w:val="1227"/>
        </w:trPr>
        <w:tc>
          <w:tcPr>
            <w:tcW w:w="3119" w:type="dxa"/>
            <w:tcBorders>
              <w:top w:val="single" w:sz="6" w:space="0" w:color="auto"/>
              <w:left w:val="single" w:sz="6" w:space="0" w:color="auto"/>
              <w:bottom w:val="single" w:sz="6" w:space="0" w:color="auto"/>
              <w:right w:val="single" w:sz="6" w:space="0" w:color="auto"/>
            </w:tcBorders>
            <w:shd w:val="clear" w:color="00FFFF" w:fill="C6D9F1" w:themeFill="text2" w:themeFillTint="33"/>
            <w:hideMark/>
          </w:tcPr>
          <w:p w:rsidR="00297BFF" w:rsidRPr="00B75FD7" w:rsidRDefault="00297BFF" w:rsidP="00297BFF">
            <w:pPr>
              <w:autoSpaceDE w:val="0"/>
              <w:autoSpaceDN w:val="0"/>
              <w:adjustRightInd w:val="0"/>
              <w:spacing w:line="256" w:lineRule="auto"/>
              <w:rPr>
                <w:rFonts w:eastAsia="Calibri"/>
                <w:b/>
                <w:color w:val="000000"/>
                <w:kern w:val="2"/>
                <w:sz w:val="22"/>
              </w:rPr>
            </w:pPr>
            <w:r w:rsidRPr="00B75FD7">
              <w:rPr>
                <w:rFonts w:eastAsia="Calibri"/>
                <w:b/>
                <w:color w:val="000000"/>
                <w:kern w:val="2"/>
                <w:sz w:val="22"/>
              </w:rPr>
              <w:t>Опис проблеми, на вирішення якої спрямований проект</w:t>
            </w:r>
          </w:p>
        </w:tc>
        <w:tc>
          <w:tcPr>
            <w:tcW w:w="6804" w:type="dxa"/>
            <w:gridSpan w:val="7"/>
            <w:tcBorders>
              <w:top w:val="single" w:sz="6" w:space="0" w:color="auto"/>
              <w:left w:val="single" w:sz="6" w:space="0" w:color="auto"/>
              <w:bottom w:val="single" w:sz="6" w:space="0" w:color="auto"/>
              <w:right w:val="single" w:sz="6" w:space="0" w:color="auto"/>
            </w:tcBorders>
            <w:hideMark/>
          </w:tcPr>
          <w:p w:rsidR="00297BFF" w:rsidRPr="00B75FD7" w:rsidRDefault="00297BFF" w:rsidP="00DA2AF6">
            <w:pPr>
              <w:autoSpaceDE w:val="0"/>
              <w:autoSpaceDN w:val="0"/>
              <w:adjustRightInd w:val="0"/>
              <w:spacing w:line="256" w:lineRule="auto"/>
              <w:rPr>
                <w:rFonts w:eastAsia="Calibri"/>
                <w:color w:val="000000"/>
                <w:kern w:val="2"/>
                <w:sz w:val="22"/>
              </w:rPr>
            </w:pPr>
            <w:r w:rsidRPr="00B75FD7">
              <w:rPr>
                <w:rFonts w:eastAsia="Calibri"/>
                <w:color w:val="000000"/>
                <w:kern w:val="2"/>
                <w:sz w:val="22"/>
              </w:rPr>
              <w:t>В перспективі заклад будуть відвідувати діти з ООП та діти,  які постраждали внаслідок воєнних дій та озброєного конфлікту. Така категорія вихованців потребує створення особливих освітніх умов, спеціальних механізмів задля комфорту та продуктивності роботи дитини, психологічної та фізичної реабілітації. Ресурсна кімната - це спеціально організований простір для розвитку людини та гармонізації її психоемоційного стану. У цій кімнаті мають надаватись індивідуальні та/або групові психолого-педагогічні та корекційно-розвиткові послуги. Вона потрібна для психологічного розвантаження, соціально-побутового орієнтування та формування навичок самообслуговування. Ресурсна кімната має бути побудована на принципах доступності та універсального дизайну. Фізкультурно-рекреаційна зона передбачає використання поруч з традиційними спортивними елементами спеціальні, призначені для розвитку фізичних здібностей та реабілітації дітей з особливими потребами.</w:t>
            </w:r>
          </w:p>
        </w:tc>
      </w:tr>
      <w:tr w:rsidR="00297BFF" w:rsidRPr="00B75FD7" w:rsidTr="00E33AAA">
        <w:trPr>
          <w:trHeight w:val="1231"/>
        </w:trPr>
        <w:tc>
          <w:tcPr>
            <w:tcW w:w="3119" w:type="dxa"/>
            <w:tcBorders>
              <w:top w:val="single" w:sz="6" w:space="0" w:color="auto"/>
              <w:left w:val="single" w:sz="6" w:space="0" w:color="auto"/>
              <w:bottom w:val="single" w:sz="6" w:space="0" w:color="auto"/>
              <w:right w:val="single" w:sz="6" w:space="0" w:color="auto"/>
            </w:tcBorders>
            <w:shd w:val="clear" w:color="00FFFF" w:fill="C6D9F1" w:themeFill="text2" w:themeFillTint="33"/>
            <w:hideMark/>
          </w:tcPr>
          <w:p w:rsidR="00297BFF" w:rsidRPr="00B75FD7" w:rsidRDefault="00297BFF" w:rsidP="00297BFF">
            <w:pPr>
              <w:autoSpaceDE w:val="0"/>
              <w:autoSpaceDN w:val="0"/>
              <w:adjustRightInd w:val="0"/>
              <w:spacing w:line="256" w:lineRule="auto"/>
              <w:rPr>
                <w:rFonts w:eastAsia="Calibri"/>
                <w:b/>
                <w:color w:val="000000"/>
                <w:kern w:val="2"/>
                <w:sz w:val="22"/>
              </w:rPr>
            </w:pPr>
            <w:r w:rsidRPr="00B75FD7">
              <w:rPr>
                <w:rFonts w:eastAsia="Calibri"/>
                <w:b/>
                <w:color w:val="000000"/>
                <w:kern w:val="2"/>
                <w:sz w:val="22"/>
              </w:rPr>
              <w:lastRenderedPageBreak/>
              <w:t>Очікувані якісні результати від реалізації проекту</w:t>
            </w:r>
          </w:p>
        </w:tc>
        <w:tc>
          <w:tcPr>
            <w:tcW w:w="6804" w:type="dxa"/>
            <w:gridSpan w:val="7"/>
            <w:tcBorders>
              <w:top w:val="single" w:sz="6" w:space="0" w:color="auto"/>
              <w:left w:val="single" w:sz="6" w:space="0" w:color="auto"/>
              <w:bottom w:val="single" w:sz="6" w:space="0" w:color="auto"/>
              <w:right w:val="single" w:sz="6" w:space="0" w:color="auto"/>
            </w:tcBorders>
            <w:hideMark/>
          </w:tcPr>
          <w:p w:rsidR="00297BFF" w:rsidRPr="00B75FD7" w:rsidRDefault="00297BFF" w:rsidP="00297BFF">
            <w:pPr>
              <w:autoSpaceDE w:val="0"/>
              <w:autoSpaceDN w:val="0"/>
              <w:adjustRightInd w:val="0"/>
              <w:spacing w:line="256" w:lineRule="auto"/>
              <w:rPr>
                <w:rFonts w:eastAsia="Calibri"/>
                <w:color w:val="000000"/>
                <w:kern w:val="2"/>
                <w:sz w:val="22"/>
              </w:rPr>
            </w:pPr>
            <w:r w:rsidRPr="00B75FD7">
              <w:rPr>
                <w:rFonts w:eastAsia="Calibri"/>
                <w:color w:val="000000"/>
                <w:kern w:val="2"/>
                <w:sz w:val="22"/>
              </w:rPr>
              <w:t xml:space="preserve">Стимул до повернення сімей-ВПО з дітьми дошкільного віку до громади.  Реалізація </w:t>
            </w:r>
            <w:proofErr w:type="spellStart"/>
            <w:r w:rsidRPr="00B75FD7">
              <w:rPr>
                <w:rFonts w:eastAsia="Calibri"/>
                <w:color w:val="000000"/>
                <w:kern w:val="2"/>
                <w:sz w:val="22"/>
              </w:rPr>
              <w:t>проєкту</w:t>
            </w:r>
            <w:proofErr w:type="spellEnd"/>
            <w:r w:rsidRPr="00B75FD7">
              <w:rPr>
                <w:rFonts w:eastAsia="Calibri"/>
                <w:color w:val="000000"/>
                <w:kern w:val="2"/>
                <w:sz w:val="22"/>
              </w:rPr>
              <w:t xml:space="preserve">   забезпечить оптимальні умови для організації навчально-виховного, реабілітаційного процесів з вихованцями з ООП та з такими, які постраждали в наслідок воєнних дій та озброєних конфліктів.</w:t>
            </w:r>
          </w:p>
        </w:tc>
      </w:tr>
      <w:tr w:rsidR="00297BFF" w:rsidRPr="00B75FD7" w:rsidTr="00E33AAA">
        <w:trPr>
          <w:trHeight w:val="565"/>
        </w:trPr>
        <w:tc>
          <w:tcPr>
            <w:tcW w:w="3119" w:type="dxa"/>
            <w:tcBorders>
              <w:top w:val="single" w:sz="6" w:space="0" w:color="auto"/>
              <w:left w:val="single" w:sz="6" w:space="0" w:color="auto"/>
              <w:bottom w:val="single" w:sz="6" w:space="0" w:color="auto"/>
              <w:right w:val="single" w:sz="6" w:space="0" w:color="auto"/>
            </w:tcBorders>
            <w:shd w:val="clear" w:color="00FFFF" w:fill="C6D9F1" w:themeFill="text2" w:themeFillTint="33"/>
            <w:hideMark/>
          </w:tcPr>
          <w:p w:rsidR="00297BFF" w:rsidRPr="00B75FD7" w:rsidRDefault="00297BFF" w:rsidP="00297BFF">
            <w:pPr>
              <w:autoSpaceDE w:val="0"/>
              <w:autoSpaceDN w:val="0"/>
              <w:adjustRightInd w:val="0"/>
              <w:spacing w:line="256" w:lineRule="auto"/>
              <w:rPr>
                <w:rFonts w:eastAsia="Calibri"/>
                <w:b/>
                <w:color w:val="000000"/>
                <w:kern w:val="2"/>
                <w:sz w:val="22"/>
              </w:rPr>
            </w:pPr>
            <w:r w:rsidRPr="00B75FD7">
              <w:rPr>
                <w:rFonts w:eastAsia="Calibri"/>
                <w:b/>
                <w:color w:val="000000"/>
                <w:kern w:val="2"/>
                <w:sz w:val="22"/>
              </w:rPr>
              <w:t>Очікувані кількісні результати від реалізації проекту  (індикатори)</w:t>
            </w:r>
          </w:p>
        </w:tc>
        <w:tc>
          <w:tcPr>
            <w:tcW w:w="3882" w:type="dxa"/>
            <w:gridSpan w:val="4"/>
            <w:tcBorders>
              <w:top w:val="single" w:sz="6" w:space="0" w:color="auto"/>
              <w:left w:val="single" w:sz="6" w:space="0" w:color="auto"/>
              <w:bottom w:val="single" w:sz="6" w:space="0" w:color="auto"/>
              <w:right w:val="single" w:sz="6" w:space="0" w:color="auto"/>
            </w:tcBorders>
            <w:hideMark/>
          </w:tcPr>
          <w:p w:rsidR="00297BFF" w:rsidRPr="00B75FD7" w:rsidRDefault="00297BFF" w:rsidP="00297BFF">
            <w:pPr>
              <w:autoSpaceDE w:val="0"/>
              <w:autoSpaceDN w:val="0"/>
              <w:adjustRightInd w:val="0"/>
              <w:spacing w:line="256" w:lineRule="auto"/>
              <w:rPr>
                <w:rFonts w:eastAsia="Calibri"/>
                <w:b/>
                <w:color w:val="000000"/>
                <w:kern w:val="2"/>
                <w:sz w:val="22"/>
              </w:rPr>
            </w:pPr>
            <w:r w:rsidRPr="00B75FD7">
              <w:rPr>
                <w:rFonts w:eastAsia="Calibri"/>
                <w:b/>
                <w:color w:val="000000"/>
                <w:kern w:val="2"/>
                <w:sz w:val="22"/>
              </w:rPr>
              <w:t>Найменування показника</w:t>
            </w:r>
          </w:p>
        </w:tc>
        <w:tc>
          <w:tcPr>
            <w:tcW w:w="1710" w:type="dxa"/>
            <w:gridSpan w:val="2"/>
            <w:tcBorders>
              <w:top w:val="single" w:sz="6" w:space="0" w:color="auto"/>
              <w:left w:val="single" w:sz="6" w:space="0" w:color="auto"/>
              <w:bottom w:val="single" w:sz="6" w:space="0" w:color="auto"/>
              <w:right w:val="single" w:sz="6" w:space="0" w:color="auto"/>
            </w:tcBorders>
            <w:hideMark/>
          </w:tcPr>
          <w:p w:rsidR="00297BFF" w:rsidRPr="00B75FD7" w:rsidRDefault="00297BFF" w:rsidP="00297BFF">
            <w:pPr>
              <w:autoSpaceDE w:val="0"/>
              <w:autoSpaceDN w:val="0"/>
              <w:adjustRightInd w:val="0"/>
              <w:spacing w:line="256" w:lineRule="auto"/>
              <w:rPr>
                <w:rFonts w:eastAsia="Calibri"/>
                <w:b/>
                <w:color w:val="000000"/>
                <w:kern w:val="2"/>
                <w:sz w:val="22"/>
              </w:rPr>
            </w:pPr>
            <w:r w:rsidRPr="00B75FD7">
              <w:rPr>
                <w:rFonts w:eastAsia="Calibri"/>
                <w:b/>
                <w:color w:val="000000"/>
                <w:kern w:val="2"/>
                <w:sz w:val="22"/>
              </w:rPr>
              <w:t>Одиниця вимірювання</w:t>
            </w:r>
          </w:p>
        </w:tc>
        <w:tc>
          <w:tcPr>
            <w:tcW w:w="1212" w:type="dxa"/>
            <w:tcBorders>
              <w:top w:val="single" w:sz="6" w:space="0" w:color="auto"/>
              <w:left w:val="single" w:sz="6" w:space="0" w:color="auto"/>
              <w:bottom w:val="single" w:sz="6" w:space="0" w:color="auto"/>
              <w:right w:val="single" w:sz="6" w:space="0" w:color="auto"/>
            </w:tcBorders>
            <w:hideMark/>
          </w:tcPr>
          <w:p w:rsidR="00297BFF" w:rsidRPr="00B75FD7" w:rsidRDefault="00297BFF" w:rsidP="00297BFF">
            <w:pPr>
              <w:autoSpaceDE w:val="0"/>
              <w:autoSpaceDN w:val="0"/>
              <w:adjustRightInd w:val="0"/>
              <w:spacing w:line="256" w:lineRule="auto"/>
              <w:rPr>
                <w:rFonts w:eastAsia="Calibri"/>
                <w:b/>
                <w:color w:val="000000"/>
                <w:kern w:val="2"/>
                <w:sz w:val="22"/>
              </w:rPr>
            </w:pPr>
            <w:r w:rsidRPr="00B75FD7">
              <w:rPr>
                <w:rFonts w:eastAsia="Calibri"/>
                <w:b/>
                <w:color w:val="000000"/>
                <w:kern w:val="2"/>
                <w:sz w:val="22"/>
              </w:rPr>
              <w:t>Прогнозне (цільове) значення</w:t>
            </w:r>
          </w:p>
        </w:tc>
      </w:tr>
      <w:tr w:rsidR="00297BFF" w:rsidRPr="00B75FD7" w:rsidTr="00E33AAA">
        <w:trPr>
          <w:trHeight w:val="766"/>
        </w:trPr>
        <w:tc>
          <w:tcPr>
            <w:tcW w:w="3119"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297BFF">
            <w:pPr>
              <w:autoSpaceDE w:val="0"/>
              <w:autoSpaceDN w:val="0"/>
              <w:adjustRightInd w:val="0"/>
              <w:spacing w:line="256" w:lineRule="auto"/>
              <w:rPr>
                <w:rFonts w:eastAsia="Calibri"/>
                <w:b/>
                <w:color w:val="000000"/>
                <w:kern w:val="2"/>
                <w:sz w:val="22"/>
              </w:rPr>
            </w:pPr>
          </w:p>
        </w:tc>
        <w:tc>
          <w:tcPr>
            <w:tcW w:w="3882" w:type="dxa"/>
            <w:gridSpan w:val="4"/>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spacing w:line="256" w:lineRule="auto"/>
              <w:rPr>
                <w:rFonts w:eastAsia="Calibri"/>
                <w:color w:val="000000"/>
                <w:kern w:val="2"/>
                <w:sz w:val="22"/>
              </w:rPr>
            </w:pPr>
            <w:r w:rsidRPr="00B75FD7">
              <w:rPr>
                <w:rFonts w:eastAsia="Calibri"/>
                <w:color w:val="000000"/>
                <w:kern w:val="2"/>
                <w:sz w:val="22"/>
              </w:rPr>
              <w:t>Кількість учасників освітнього процесу (діти та їх батьки, працівники закладу).</w:t>
            </w:r>
          </w:p>
        </w:tc>
        <w:tc>
          <w:tcPr>
            <w:tcW w:w="1710" w:type="dxa"/>
            <w:gridSpan w:val="2"/>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spacing w:line="256" w:lineRule="auto"/>
              <w:rPr>
                <w:rFonts w:eastAsia="Calibri"/>
                <w:color w:val="000000"/>
                <w:kern w:val="2"/>
                <w:sz w:val="22"/>
              </w:rPr>
            </w:pPr>
            <w:r w:rsidRPr="00B75FD7">
              <w:rPr>
                <w:rFonts w:eastAsia="Calibri"/>
                <w:color w:val="000000"/>
                <w:kern w:val="2"/>
                <w:sz w:val="22"/>
              </w:rPr>
              <w:t>Осіб</w:t>
            </w:r>
          </w:p>
          <w:p w:rsidR="00297BFF" w:rsidRPr="00B75FD7" w:rsidRDefault="00297BFF" w:rsidP="00297BFF">
            <w:pPr>
              <w:autoSpaceDE w:val="0"/>
              <w:autoSpaceDN w:val="0"/>
              <w:adjustRightInd w:val="0"/>
              <w:spacing w:line="256" w:lineRule="auto"/>
              <w:rPr>
                <w:rFonts w:eastAsia="Calibri"/>
                <w:color w:val="000000"/>
                <w:kern w:val="2"/>
                <w:sz w:val="22"/>
              </w:rPr>
            </w:pPr>
          </w:p>
        </w:tc>
        <w:tc>
          <w:tcPr>
            <w:tcW w:w="1212" w:type="dxa"/>
            <w:tcBorders>
              <w:top w:val="single" w:sz="6" w:space="0" w:color="auto"/>
              <w:left w:val="single" w:sz="6" w:space="0" w:color="auto"/>
              <w:bottom w:val="single" w:sz="6" w:space="0" w:color="auto"/>
              <w:right w:val="single" w:sz="6" w:space="0" w:color="auto"/>
            </w:tcBorders>
            <w:hideMark/>
          </w:tcPr>
          <w:p w:rsidR="00297BFF" w:rsidRPr="00B75FD7" w:rsidRDefault="00297BFF" w:rsidP="00297BFF">
            <w:pPr>
              <w:autoSpaceDE w:val="0"/>
              <w:autoSpaceDN w:val="0"/>
              <w:adjustRightInd w:val="0"/>
              <w:spacing w:line="256" w:lineRule="auto"/>
              <w:rPr>
                <w:rFonts w:eastAsia="Calibri"/>
                <w:color w:val="000000"/>
                <w:kern w:val="2"/>
                <w:sz w:val="22"/>
              </w:rPr>
            </w:pPr>
            <w:r w:rsidRPr="00B75FD7">
              <w:rPr>
                <w:rFonts w:eastAsia="Calibri"/>
                <w:color w:val="000000"/>
                <w:kern w:val="2"/>
                <w:sz w:val="22"/>
              </w:rPr>
              <w:t>600</w:t>
            </w:r>
          </w:p>
        </w:tc>
      </w:tr>
      <w:tr w:rsidR="00297BFF" w:rsidRPr="00B75FD7" w:rsidTr="00E33AAA">
        <w:trPr>
          <w:trHeight w:val="1262"/>
        </w:trPr>
        <w:tc>
          <w:tcPr>
            <w:tcW w:w="3119" w:type="dxa"/>
            <w:tcBorders>
              <w:top w:val="single" w:sz="6" w:space="0" w:color="auto"/>
              <w:left w:val="single" w:sz="6" w:space="0" w:color="auto"/>
              <w:bottom w:val="single" w:sz="6" w:space="0" w:color="auto"/>
              <w:right w:val="single" w:sz="6" w:space="0" w:color="auto"/>
            </w:tcBorders>
            <w:shd w:val="clear" w:color="00FFFF" w:fill="C6D9F1" w:themeFill="text2" w:themeFillTint="33"/>
            <w:hideMark/>
          </w:tcPr>
          <w:p w:rsidR="00297BFF" w:rsidRPr="00B75FD7" w:rsidRDefault="00297BFF" w:rsidP="00297BFF">
            <w:pPr>
              <w:autoSpaceDE w:val="0"/>
              <w:autoSpaceDN w:val="0"/>
              <w:adjustRightInd w:val="0"/>
              <w:spacing w:line="256" w:lineRule="auto"/>
              <w:rPr>
                <w:rFonts w:eastAsia="Calibri"/>
                <w:b/>
                <w:color w:val="000000"/>
                <w:kern w:val="2"/>
                <w:sz w:val="22"/>
              </w:rPr>
            </w:pPr>
            <w:r w:rsidRPr="00B75FD7">
              <w:rPr>
                <w:rFonts w:eastAsia="Calibri"/>
                <w:b/>
                <w:color w:val="000000"/>
                <w:kern w:val="2"/>
                <w:sz w:val="22"/>
              </w:rPr>
              <w:t>Ключові заходи проекту:</w:t>
            </w:r>
          </w:p>
        </w:tc>
        <w:tc>
          <w:tcPr>
            <w:tcW w:w="6804" w:type="dxa"/>
            <w:gridSpan w:val="7"/>
            <w:tcBorders>
              <w:top w:val="single" w:sz="6" w:space="0" w:color="auto"/>
              <w:left w:val="single" w:sz="6" w:space="0" w:color="auto"/>
              <w:bottom w:val="single" w:sz="6" w:space="0" w:color="auto"/>
              <w:right w:val="single" w:sz="6" w:space="0" w:color="auto"/>
            </w:tcBorders>
            <w:hideMark/>
          </w:tcPr>
          <w:p w:rsidR="00297BFF" w:rsidRPr="00B75FD7" w:rsidRDefault="00297BFF" w:rsidP="00297BFF">
            <w:pPr>
              <w:autoSpaceDE w:val="0"/>
              <w:autoSpaceDN w:val="0"/>
              <w:adjustRightInd w:val="0"/>
              <w:spacing w:line="256" w:lineRule="auto"/>
              <w:rPr>
                <w:rFonts w:eastAsia="Calibri"/>
                <w:color w:val="000000"/>
                <w:kern w:val="2"/>
                <w:sz w:val="22"/>
              </w:rPr>
            </w:pPr>
            <w:r w:rsidRPr="00B75FD7">
              <w:rPr>
                <w:rFonts w:eastAsia="Calibri"/>
                <w:color w:val="000000"/>
                <w:kern w:val="2"/>
                <w:sz w:val="22"/>
              </w:rPr>
              <w:t xml:space="preserve">Для реалізації </w:t>
            </w:r>
            <w:proofErr w:type="spellStart"/>
            <w:r w:rsidRPr="00B75FD7">
              <w:rPr>
                <w:rFonts w:eastAsia="Calibri"/>
                <w:color w:val="000000"/>
                <w:kern w:val="2"/>
                <w:sz w:val="22"/>
              </w:rPr>
              <w:t>проєкту</w:t>
            </w:r>
            <w:proofErr w:type="spellEnd"/>
            <w:r w:rsidRPr="00B75FD7">
              <w:rPr>
                <w:rFonts w:eastAsia="Calibri"/>
                <w:color w:val="000000"/>
                <w:kern w:val="2"/>
                <w:sz w:val="22"/>
              </w:rPr>
              <w:t xml:space="preserve"> необхідно провести наступні заходи:</w:t>
            </w:r>
          </w:p>
          <w:p w:rsidR="00297BFF" w:rsidRPr="00B75FD7" w:rsidRDefault="00297BFF" w:rsidP="000303D7">
            <w:pPr>
              <w:pStyle w:val="a7"/>
              <w:numPr>
                <w:ilvl w:val="0"/>
                <w:numId w:val="80"/>
              </w:numPr>
              <w:autoSpaceDE w:val="0"/>
              <w:autoSpaceDN w:val="0"/>
              <w:adjustRightInd w:val="0"/>
              <w:spacing w:line="256" w:lineRule="auto"/>
              <w:rPr>
                <w:rFonts w:eastAsia="Calibri"/>
                <w:color w:val="000000"/>
                <w:kern w:val="2"/>
                <w:sz w:val="22"/>
              </w:rPr>
            </w:pPr>
            <w:r w:rsidRPr="00B75FD7">
              <w:rPr>
                <w:rFonts w:eastAsia="Calibri"/>
                <w:color w:val="000000"/>
                <w:kern w:val="2"/>
                <w:sz w:val="22"/>
              </w:rPr>
              <w:t xml:space="preserve">Закупівля меблів, технічного обладнання (мультимедійний комплекс), додаткового  обладнання (сенсорного, </w:t>
            </w:r>
            <w:proofErr w:type="spellStart"/>
            <w:r w:rsidRPr="00B75FD7">
              <w:rPr>
                <w:rFonts w:eastAsia="Calibri"/>
                <w:color w:val="000000"/>
                <w:kern w:val="2"/>
                <w:sz w:val="22"/>
              </w:rPr>
              <w:t>дидактичного,ігрового</w:t>
            </w:r>
            <w:proofErr w:type="spellEnd"/>
            <w:r w:rsidRPr="00B75FD7">
              <w:rPr>
                <w:rFonts w:eastAsia="Calibri"/>
                <w:color w:val="000000"/>
                <w:kern w:val="2"/>
                <w:sz w:val="22"/>
              </w:rPr>
              <w:t>, спортивного тощо).</w:t>
            </w:r>
          </w:p>
        </w:tc>
      </w:tr>
      <w:tr w:rsidR="00297BFF" w:rsidRPr="00B75FD7" w:rsidTr="00E33AAA">
        <w:trPr>
          <w:trHeight w:val="584"/>
        </w:trPr>
        <w:tc>
          <w:tcPr>
            <w:tcW w:w="3119" w:type="dxa"/>
            <w:vMerge w:val="restart"/>
            <w:tcBorders>
              <w:top w:val="single" w:sz="6" w:space="0" w:color="auto"/>
              <w:left w:val="single" w:sz="6" w:space="0" w:color="auto"/>
              <w:bottom w:val="single" w:sz="6" w:space="0" w:color="auto"/>
              <w:right w:val="single" w:sz="4" w:space="0" w:color="auto"/>
            </w:tcBorders>
            <w:shd w:val="clear" w:color="00FFFF" w:fill="C6D9F1" w:themeFill="text2" w:themeFillTint="33"/>
            <w:hideMark/>
          </w:tcPr>
          <w:p w:rsidR="00297BFF" w:rsidRPr="00B75FD7" w:rsidRDefault="00297BFF" w:rsidP="00297BFF">
            <w:pPr>
              <w:autoSpaceDE w:val="0"/>
              <w:autoSpaceDN w:val="0"/>
              <w:adjustRightInd w:val="0"/>
              <w:spacing w:line="256" w:lineRule="auto"/>
              <w:rPr>
                <w:rFonts w:eastAsia="Calibri"/>
                <w:b/>
                <w:color w:val="000000"/>
                <w:kern w:val="2"/>
                <w:sz w:val="22"/>
              </w:rPr>
            </w:pPr>
            <w:r w:rsidRPr="00B75FD7">
              <w:rPr>
                <w:rFonts w:eastAsia="Calibri"/>
                <w:b/>
                <w:color w:val="000000"/>
                <w:kern w:val="2"/>
                <w:sz w:val="22"/>
              </w:rPr>
              <w:t>Орієнтовний обсяг та джерела фінансування тис. гривень</w:t>
            </w:r>
          </w:p>
        </w:tc>
        <w:tc>
          <w:tcPr>
            <w:tcW w:w="1498" w:type="dxa"/>
            <w:vMerge w:val="restart"/>
            <w:tcBorders>
              <w:top w:val="single" w:sz="4" w:space="0" w:color="auto"/>
              <w:left w:val="single" w:sz="4" w:space="0" w:color="auto"/>
              <w:bottom w:val="single" w:sz="4" w:space="0" w:color="auto"/>
              <w:right w:val="single" w:sz="4" w:space="0" w:color="auto"/>
            </w:tcBorders>
            <w:hideMark/>
          </w:tcPr>
          <w:p w:rsidR="00297BFF" w:rsidRPr="00B75FD7" w:rsidRDefault="00297BFF" w:rsidP="00297BFF">
            <w:pPr>
              <w:autoSpaceDE w:val="0"/>
              <w:autoSpaceDN w:val="0"/>
              <w:adjustRightInd w:val="0"/>
              <w:spacing w:line="256" w:lineRule="auto"/>
              <w:rPr>
                <w:rFonts w:eastAsia="Calibri"/>
                <w:color w:val="000000"/>
                <w:kern w:val="2"/>
                <w:sz w:val="22"/>
              </w:rPr>
            </w:pPr>
            <w:r w:rsidRPr="00B75FD7">
              <w:rPr>
                <w:rFonts w:eastAsia="Calibri"/>
                <w:color w:val="000000"/>
                <w:kern w:val="2"/>
                <w:sz w:val="22"/>
              </w:rPr>
              <w:t>Державний бюджет</w:t>
            </w:r>
          </w:p>
        </w:tc>
        <w:tc>
          <w:tcPr>
            <w:tcW w:w="1134" w:type="dxa"/>
            <w:tcBorders>
              <w:top w:val="single" w:sz="4" w:space="0" w:color="auto"/>
              <w:left w:val="single" w:sz="4" w:space="0" w:color="auto"/>
              <w:bottom w:val="single" w:sz="4" w:space="0" w:color="auto"/>
              <w:right w:val="single" w:sz="4" w:space="0" w:color="auto"/>
            </w:tcBorders>
            <w:hideMark/>
          </w:tcPr>
          <w:p w:rsidR="00297BFF" w:rsidRPr="00B75FD7" w:rsidRDefault="00297BFF" w:rsidP="00297BFF">
            <w:pPr>
              <w:autoSpaceDE w:val="0"/>
              <w:autoSpaceDN w:val="0"/>
              <w:adjustRightInd w:val="0"/>
              <w:spacing w:line="256" w:lineRule="auto"/>
              <w:rPr>
                <w:rFonts w:eastAsia="Calibri"/>
                <w:color w:val="000000"/>
                <w:kern w:val="2"/>
                <w:sz w:val="22"/>
              </w:rPr>
            </w:pPr>
            <w:r w:rsidRPr="00B75FD7">
              <w:rPr>
                <w:rFonts w:eastAsia="Calibri"/>
                <w:color w:val="000000"/>
                <w:kern w:val="2"/>
                <w:sz w:val="22"/>
              </w:rPr>
              <w:t>Місцевий бюджет</w:t>
            </w:r>
          </w:p>
        </w:tc>
        <w:tc>
          <w:tcPr>
            <w:tcW w:w="2550" w:type="dxa"/>
            <w:gridSpan w:val="3"/>
            <w:tcBorders>
              <w:top w:val="single" w:sz="4" w:space="0" w:color="auto"/>
              <w:left w:val="single" w:sz="4" w:space="0" w:color="auto"/>
              <w:bottom w:val="single" w:sz="4" w:space="0" w:color="auto"/>
              <w:right w:val="single" w:sz="4" w:space="0" w:color="auto"/>
            </w:tcBorders>
            <w:hideMark/>
          </w:tcPr>
          <w:p w:rsidR="00297BFF" w:rsidRPr="00B75FD7" w:rsidRDefault="00297BFF" w:rsidP="00297BFF">
            <w:pPr>
              <w:autoSpaceDE w:val="0"/>
              <w:autoSpaceDN w:val="0"/>
              <w:adjustRightInd w:val="0"/>
              <w:spacing w:line="256" w:lineRule="auto"/>
              <w:rPr>
                <w:rFonts w:eastAsia="Calibri"/>
                <w:color w:val="000000"/>
                <w:kern w:val="2"/>
                <w:sz w:val="22"/>
              </w:rPr>
            </w:pPr>
            <w:r w:rsidRPr="00B75FD7">
              <w:rPr>
                <w:rFonts w:eastAsia="Calibri"/>
                <w:color w:val="000000"/>
                <w:kern w:val="2"/>
                <w:sz w:val="22"/>
              </w:rPr>
              <w:t>Інші джерела</w:t>
            </w:r>
          </w:p>
        </w:tc>
        <w:tc>
          <w:tcPr>
            <w:tcW w:w="1622" w:type="dxa"/>
            <w:gridSpan w:val="2"/>
            <w:tcBorders>
              <w:top w:val="single" w:sz="4" w:space="0" w:color="auto"/>
              <w:left w:val="single" w:sz="4" w:space="0" w:color="auto"/>
              <w:bottom w:val="single" w:sz="4" w:space="0" w:color="auto"/>
              <w:right w:val="single" w:sz="4" w:space="0" w:color="auto"/>
            </w:tcBorders>
            <w:hideMark/>
          </w:tcPr>
          <w:p w:rsidR="00297BFF" w:rsidRPr="00B75FD7" w:rsidRDefault="00297BFF" w:rsidP="00297BFF">
            <w:pPr>
              <w:autoSpaceDE w:val="0"/>
              <w:autoSpaceDN w:val="0"/>
              <w:adjustRightInd w:val="0"/>
              <w:spacing w:line="256" w:lineRule="auto"/>
              <w:rPr>
                <w:rFonts w:eastAsia="Calibri"/>
                <w:color w:val="000000"/>
                <w:kern w:val="2"/>
                <w:sz w:val="22"/>
              </w:rPr>
            </w:pPr>
            <w:r w:rsidRPr="00B75FD7">
              <w:rPr>
                <w:rFonts w:eastAsia="Calibri"/>
                <w:color w:val="000000"/>
                <w:kern w:val="2"/>
                <w:sz w:val="22"/>
              </w:rPr>
              <w:t>Всього</w:t>
            </w:r>
          </w:p>
        </w:tc>
      </w:tr>
      <w:tr w:rsidR="00297BFF" w:rsidRPr="00B75FD7" w:rsidTr="00E33AAA">
        <w:trPr>
          <w:trHeight w:val="63"/>
        </w:trPr>
        <w:tc>
          <w:tcPr>
            <w:tcW w:w="3119" w:type="dxa"/>
            <w:vMerge/>
            <w:tcBorders>
              <w:top w:val="single" w:sz="6" w:space="0" w:color="auto"/>
              <w:left w:val="single" w:sz="6" w:space="0" w:color="auto"/>
              <w:bottom w:val="single" w:sz="6" w:space="0" w:color="auto"/>
              <w:right w:val="single" w:sz="4" w:space="0" w:color="auto"/>
            </w:tcBorders>
            <w:shd w:val="clear" w:color="00FFFF" w:fill="C6D9F1" w:themeFill="text2" w:themeFillTint="33"/>
            <w:vAlign w:val="center"/>
            <w:hideMark/>
          </w:tcPr>
          <w:p w:rsidR="00297BFF" w:rsidRPr="00B75FD7" w:rsidRDefault="00297BFF" w:rsidP="00297BFF">
            <w:pPr>
              <w:spacing w:line="256" w:lineRule="auto"/>
              <w:rPr>
                <w:rFonts w:eastAsia="Calibri"/>
                <w:b/>
                <w:color w:val="000000"/>
                <w:kern w:val="2"/>
                <w:sz w:val="22"/>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rsidR="00297BFF" w:rsidRPr="00B75FD7" w:rsidRDefault="00297BFF" w:rsidP="00297BFF">
            <w:pPr>
              <w:spacing w:line="256" w:lineRule="auto"/>
              <w:rPr>
                <w:rFonts w:eastAsia="Calibri"/>
                <w:color w:val="000000"/>
                <w:kern w:val="2"/>
                <w:sz w:val="22"/>
              </w:rPr>
            </w:pPr>
          </w:p>
        </w:tc>
        <w:tc>
          <w:tcPr>
            <w:tcW w:w="1134" w:type="dxa"/>
            <w:tcBorders>
              <w:top w:val="single" w:sz="4" w:space="0" w:color="auto"/>
              <w:left w:val="single" w:sz="4" w:space="0" w:color="auto"/>
              <w:bottom w:val="single" w:sz="4" w:space="0" w:color="auto"/>
              <w:right w:val="single" w:sz="4" w:space="0" w:color="auto"/>
            </w:tcBorders>
          </w:tcPr>
          <w:p w:rsidR="00297BFF" w:rsidRPr="00B75FD7" w:rsidRDefault="00297BFF" w:rsidP="00297BFF">
            <w:pPr>
              <w:autoSpaceDE w:val="0"/>
              <w:autoSpaceDN w:val="0"/>
              <w:adjustRightInd w:val="0"/>
              <w:spacing w:line="256" w:lineRule="auto"/>
              <w:rPr>
                <w:rFonts w:eastAsia="Calibri"/>
                <w:color w:val="000000"/>
                <w:kern w:val="2"/>
                <w:sz w:val="22"/>
              </w:rPr>
            </w:pPr>
          </w:p>
        </w:tc>
        <w:tc>
          <w:tcPr>
            <w:tcW w:w="992" w:type="dxa"/>
            <w:tcBorders>
              <w:top w:val="single" w:sz="4" w:space="0" w:color="auto"/>
              <w:left w:val="single" w:sz="4" w:space="0" w:color="auto"/>
              <w:bottom w:val="single" w:sz="4" w:space="0" w:color="auto"/>
              <w:right w:val="single" w:sz="4" w:space="0" w:color="auto"/>
            </w:tcBorders>
          </w:tcPr>
          <w:p w:rsidR="00297BFF" w:rsidRPr="00B75FD7" w:rsidRDefault="00297BFF" w:rsidP="00297BFF">
            <w:pPr>
              <w:autoSpaceDE w:val="0"/>
              <w:autoSpaceDN w:val="0"/>
              <w:adjustRightInd w:val="0"/>
              <w:spacing w:line="256" w:lineRule="auto"/>
              <w:rPr>
                <w:rFonts w:eastAsia="Calibri"/>
                <w:color w:val="000000"/>
                <w:kern w:val="2"/>
                <w:sz w:val="22"/>
              </w:rPr>
            </w:pPr>
            <w:r w:rsidRPr="00B75FD7">
              <w:rPr>
                <w:rFonts w:eastAsia="Calibri"/>
                <w:color w:val="000000"/>
                <w:kern w:val="2"/>
                <w:sz w:val="22"/>
              </w:rPr>
              <w:t>Обсяг</w:t>
            </w:r>
          </w:p>
        </w:tc>
        <w:tc>
          <w:tcPr>
            <w:tcW w:w="1558" w:type="dxa"/>
            <w:gridSpan w:val="2"/>
            <w:tcBorders>
              <w:top w:val="single" w:sz="4" w:space="0" w:color="auto"/>
              <w:left w:val="single" w:sz="4" w:space="0" w:color="auto"/>
              <w:bottom w:val="single" w:sz="4" w:space="0" w:color="auto"/>
              <w:right w:val="single" w:sz="4" w:space="0" w:color="auto"/>
            </w:tcBorders>
          </w:tcPr>
          <w:p w:rsidR="00297BFF" w:rsidRPr="00B75FD7" w:rsidRDefault="00297BFF" w:rsidP="00297BFF">
            <w:pPr>
              <w:autoSpaceDE w:val="0"/>
              <w:autoSpaceDN w:val="0"/>
              <w:adjustRightInd w:val="0"/>
              <w:spacing w:line="256" w:lineRule="auto"/>
              <w:rPr>
                <w:rFonts w:eastAsia="Calibri"/>
                <w:color w:val="000000"/>
                <w:kern w:val="2"/>
                <w:sz w:val="22"/>
              </w:rPr>
            </w:pPr>
            <w:r w:rsidRPr="00B75FD7">
              <w:rPr>
                <w:rFonts w:eastAsia="Calibri"/>
                <w:color w:val="000000"/>
                <w:kern w:val="2"/>
                <w:sz w:val="22"/>
              </w:rPr>
              <w:t>Назва джерела</w:t>
            </w:r>
          </w:p>
        </w:tc>
        <w:tc>
          <w:tcPr>
            <w:tcW w:w="1622" w:type="dxa"/>
            <w:gridSpan w:val="2"/>
            <w:tcBorders>
              <w:top w:val="single" w:sz="4" w:space="0" w:color="auto"/>
              <w:left w:val="single" w:sz="4" w:space="0" w:color="auto"/>
              <w:bottom w:val="single" w:sz="4" w:space="0" w:color="auto"/>
              <w:right w:val="single" w:sz="4" w:space="0" w:color="auto"/>
            </w:tcBorders>
            <w:hideMark/>
          </w:tcPr>
          <w:p w:rsidR="00297BFF" w:rsidRPr="00B75FD7" w:rsidRDefault="00297BFF" w:rsidP="00297BFF">
            <w:pPr>
              <w:autoSpaceDE w:val="0"/>
              <w:autoSpaceDN w:val="0"/>
              <w:adjustRightInd w:val="0"/>
              <w:spacing w:line="256" w:lineRule="auto"/>
              <w:rPr>
                <w:rFonts w:eastAsia="Calibri"/>
                <w:color w:val="000000"/>
                <w:kern w:val="2"/>
                <w:sz w:val="22"/>
              </w:rPr>
            </w:pPr>
          </w:p>
        </w:tc>
      </w:tr>
      <w:tr w:rsidR="00297BFF" w:rsidRPr="00B75FD7" w:rsidTr="00E33AAA">
        <w:trPr>
          <w:trHeight w:val="268"/>
        </w:trPr>
        <w:tc>
          <w:tcPr>
            <w:tcW w:w="3119" w:type="dxa"/>
            <w:vMerge/>
            <w:tcBorders>
              <w:top w:val="single" w:sz="6" w:space="0" w:color="auto"/>
              <w:left w:val="single" w:sz="6" w:space="0" w:color="auto"/>
              <w:bottom w:val="single" w:sz="6" w:space="0" w:color="auto"/>
              <w:right w:val="single" w:sz="6" w:space="0" w:color="auto"/>
            </w:tcBorders>
            <w:shd w:val="clear" w:color="00FFFF" w:fill="C6D9F1" w:themeFill="text2" w:themeFillTint="33"/>
            <w:vAlign w:val="center"/>
            <w:hideMark/>
          </w:tcPr>
          <w:p w:rsidR="00297BFF" w:rsidRPr="00B75FD7" w:rsidRDefault="00297BFF" w:rsidP="00297BFF">
            <w:pPr>
              <w:spacing w:line="256" w:lineRule="auto"/>
              <w:rPr>
                <w:rFonts w:eastAsia="Calibri"/>
                <w:b/>
                <w:color w:val="000000"/>
                <w:kern w:val="2"/>
                <w:sz w:val="22"/>
              </w:rPr>
            </w:pPr>
          </w:p>
        </w:tc>
        <w:tc>
          <w:tcPr>
            <w:tcW w:w="1498" w:type="dxa"/>
            <w:tcBorders>
              <w:top w:val="single" w:sz="4"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spacing w:line="256" w:lineRule="auto"/>
              <w:rPr>
                <w:rFonts w:eastAsia="Calibri"/>
                <w:color w:val="000000"/>
                <w:kern w:val="2"/>
                <w:sz w:val="22"/>
              </w:rPr>
            </w:pPr>
          </w:p>
        </w:tc>
        <w:tc>
          <w:tcPr>
            <w:tcW w:w="1134" w:type="dxa"/>
            <w:tcBorders>
              <w:top w:val="single" w:sz="4"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spacing w:line="256" w:lineRule="auto"/>
              <w:rPr>
                <w:rFonts w:eastAsia="Calibri"/>
                <w:color w:val="000000"/>
                <w:kern w:val="2"/>
                <w:sz w:val="22"/>
              </w:rPr>
            </w:pPr>
          </w:p>
        </w:tc>
        <w:tc>
          <w:tcPr>
            <w:tcW w:w="992" w:type="dxa"/>
            <w:tcBorders>
              <w:top w:val="single" w:sz="4"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spacing w:line="256" w:lineRule="auto"/>
              <w:rPr>
                <w:rFonts w:eastAsia="Calibri"/>
                <w:color w:val="000000"/>
                <w:kern w:val="2"/>
                <w:sz w:val="22"/>
              </w:rPr>
            </w:pPr>
            <w:r w:rsidRPr="00B75FD7">
              <w:rPr>
                <w:rFonts w:eastAsia="Calibri"/>
                <w:color w:val="000000"/>
                <w:kern w:val="2"/>
                <w:sz w:val="22"/>
              </w:rPr>
              <w:t>1000,0</w:t>
            </w:r>
          </w:p>
        </w:tc>
        <w:tc>
          <w:tcPr>
            <w:tcW w:w="1558" w:type="dxa"/>
            <w:gridSpan w:val="2"/>
            <w:tcBorders>
              <w:top w:val="single" w:sz="4"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spacing w:line="256" w:lineRule="auto"/>
              <w:rPr>
                <w:rFonts w:eastAsia="Calibri"/>
                <w:color w:val="000000"/>
                <w:kern w:val="2"/>
                <w:sz w:val="22"/>
              </w:rPr>
            </w:pPr>
            <w:r w:rsidRPr="00B75FD7">
              <w:rPr>
                <w:rFonts w:eastAsia="Calibri"/>
                <w:color w:val="000000"/>
                <w:kern w:val="2"/>
                <w:sz w:val="22"/>
              </w:rPr>
              <w:t>Міжнародні інвестиції</w:t>
            </w:r>
          </w:p>
        </w:tc>
        <w:tc>
          <w:tcPr>
            <w:tcW w:w="1622" w:type="dxa"/>
            <w:gridSpan w:val="2"/>
            <w:tcBorders>
              <w:top w:val="single" w:sz="4"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spacing w:line="256" w:lineRule="auto"/>
              <w:rPr>
                <w:rFonts w:eastAsia="Calibri"/>
                <w:color w:val="000000"/>
                <w:kern w:val="2"/>
                <w:sz w:val="22"/>
              </w:rPr>
            </w:pPr>
            <w:r w:rsidRPr="00B75FD7">
              <w:rPr>
                <w:rFonts w:eastAsia="Calibri"/>
                <w:color w:val="000000"/>
                <w:kern w:val="2"/>
                <w:sz w:val="22"/>
              </w:rPr>
              <w:t>1000,0</w:t>
            </w:r>
          </w:p>
        </w:tc>
      </w:tr>
    </w:tbl>
    <w:p w:rsidR="00297BFF" w:rsidRPr="00B75FD7" w:rsidRDefault="00297BFF" w:rsidP="00E95FB1">
      <w:pPr>
        <w:rPr>
          <w:sz w:val="22"/>
        </w:rPr>
      </w:pPr>
    </w:p>
    <w:tbl>
      <w:tblPr>
        <w:tblpPr w:leftFromText="180" w:rightFromText="180" w:vertAnchor="text" w:horzAnchor="page" w:tblpX="1" w:tblpY="123"/>
        <w:tblW w:w="11370" w:type="dxa"/>
        <w:tblLayout w:type="fixed"/>
        <w:tblCellMar>
          <w:left w:w="30" w:type="dxa"/>
          <w:right w:w="30" w:type="dxa"/>
        </w:tblCellMar>
        <w:tblLook w:val="0000" w:firstRow="0" w:lastRow="0" w:firstColumn="0" w:lastColumn="0" w:noHBand="0" w:noVBand="0"/>
      </w:tblPr>
      <w:tblGrid>
        <w:gridCol w:w="1448"/>
        <w:gridCol w:w="3118"/>
        <w:gridCol w:w="1276"/>
        <w:gridCol w:w="1134"/>
        <w:gridCol w:w="284"/>
        <w:gridCol w:w="992"/>
        <w:gridCol w:w="992"/>
        <w:gridCol w:w="567"/>
        <w:gridCol w:w="1559"/>
      </w:tblGrid>
      <w:tr w:rsidR="00EB6043" w:rsidRPr="00B75FD7" w:rsidTr="00E33AAA">
        <w:trPr>
          <w:trHeight w:val="555"/>
        </w:trPr>
        <w:tc>
          <w:tcPr>
            <w:tcW w:w="1448" w:type="dxa"/>
            <w:tcBorders>
              <w:top w:val="nil"/>
              <w:left w:val="nil"/>
              <w:bottom w:val="nil"/>
              <w:right w:val="nil"/>
            </w:tcBorders>
          </w:tcPr>
          <w:p w:rsidR="00EB6043" w:rsidRPr="00B75FD7" w:rsidRDefault="00EB6043" w:rsidP="00F069E5">
            <w:pPr>
              <w:rPr>
                <w:rFonts w:eastAsia="Calibri"/>
                <w:color w:val="000000"/>
                <w:sz w:val="22"/>
              </w:rPr>
            </w:pPr>
          </w:p>
        </w:tc>
        <w:tc>
          <w:tcPr>
            <w:tcW w:w="3118" w:type="dxa"/>
            <w:tcBorders>
              <w:top w:val="single" w:sz="6" w:space="0" w:color="auto"/>
              <w:left w:val="single" w:sz="6" w:space="0" w:color="auto"/>
              <w:right w:val="single" w:sz="6" w:space="0" w:color="auto"/>
            </w:tcBorders>
            <w:shd w:val="clear" w:color="00FFFF" w:fill="C6D9F1" w:themeFill="text2" w:themeFillTint="33"/>
          </w:tcPr>
          <w:p w:rsidR="00EB6043" w:rsidRPr="00B75FD7" w:rsidRDefault="00EB6043" w:rsidP="00F069E5">
            <w:pPr>
              <w:autoSpaceDE w:val="0"/>
              <w:autoSpaceDN w:val="0"/>
              <w:adjustRightInd w:val="0"/>
              <w:rPr>
                <w:rFonts w:eastAsia="Calibri"/>
                <w:b/>
                <w:sz w:val="22"/>
              </w:rPr>
            </w:pPr>
            <w:r w:rsidRPr="00B75FD7">
              <w:rPr>
                <w:rFonts w:eastAsia="Calibri"/>
                <w:b/>
                <w:sz w:val="22"/>
              </w:rPr>
              <w:t>Оперативна ціль/завдання</w:t>
            </w:r>
          </w:p>
        </w:tc>
        <w:tc>
          <w:tcPr>
            <w:tcW w:w="6804" w:type="dxa"/>
            <w:gridSpan w:val="7"/>
            <w:tcBorders>
              <w:top w:val="single" w:sz="6" w:space="0" w:color="auto"/>
              <w:left w:val="single" w:sz="6" w:space="0" w:color="auto"/>
              <w:bottom w:val="single" w:sz="6" w:space="0" w:color="auto"/>
              <w:right w:val="single" w:sz="6" w:space="0" w:color="auto"/>
            </w:tcBorders>
          </w:tcPr>
          <w:p w:rsidR="00EB6043" w:rsidRPr="00B75FD7" w:rsidRDefault="00EB6043" w:rsidP="00F069E5">
            <w:pPr>
              <w:autoSpaceDE w:val="0"/>
              <w:autoSpaceDN w:val="0"/>
              <w:adjustRightInd w:val="0"/>
              <w:rPr>
                <w:rFonts w:eastAsia="Calibri"/>
                <w:color w:val="FF0000"/>
                <w:sz w:val="22"/>
              </w:rPr>
            </w:pPr>
            <w:r w:rsidRPr="00B75FD7">
              <w:rPr>
                <w:rFonts w:eastAsia="Calibri"/>
                <w:color w:val="000000"/>
                <w:sz w:val="22"/>
              </w:rPr>
              <w:t xml:space="preserve">Людський розвиток через інновації управління та довіру до влади. Формування сучасного інклюзивного  </w:t>
            </w:r>
            <w:proofErr w:type="spellStart"/>
            <w:r w:rsidRPr="00B75FD7">
              <w:rPr>
                <w:rFonts w:eastAsia="Calibri"/>
                <w:color w:val="000000"/>
                <w:sz w:val="22"/>
              </w:rPr>
              <w:t>освітньо</w:t>
            </w:r>
            <w:proofErr w:type="spellEnd"/>
            <w:r w:rsidRPr="00B75FD7">
              <w:rPr>
                <w:rFonts w:eastAsia="Calibri"/>
                <w:color w:val="000000"/>
                <w:sz w:val="22"/>
              </w:rPr>
              <w:t>-культурного та спортивного простору для розвитку</w:t>
            </w:r>
          </w:p>
        </w:tc>
      </w:tr>
      <w:tr w:rsidR="00EB6043" w:rsidRPr="00B75FD7" w:rsidTr="00E33AAA">
        <w:trPr>
          <w:trHeight w:val="691"/>
        </w:trPr>
        <w:tc>
          <w:tcPr>
            <w:tcW w:w="1448" w:type="dxa"/>
            <w:tcBorders>
              <w:top w:val="nil"/>
              <w:left w:val="nil"/>
              <w:bottom w:val="nil"/>
              <w:right w:val="nil"/>
            </w:tcBorders>
          </w:tcPr>
          <w:p w:rsidR="00EB6043" w:rsidRPr="00B75FD7" w:rsidRDefault="00EB6043" w:rsidP="00F069E5">
            <w:pPr>
              <w:autoSpaceDE w:val="0"/>
              <w:autoSpaceDN w:val="0"/>
              <w:adjustRightInd w:val="0"/>
              <w:jc w:val="right"/>
              <w:rPr>
                <w:rFonts w:eastAsia="Calibri"/>
                <w:color w:val="000000"/>
                <w:sz w:val="22"/>
              </w:rPr>
            </w:pPr>
          </w:p>
        </w:tc>
        <w:tc>
          <w:tcPr>
            <w:tcW w:w="3118" w:type="dxa"/>
            <w:tcBorders>
              <w:top w:val="single" w:sz="6" w:space="0" w:color="auto"/>
              <w:left w:val="single" w:sz="6" w:space="0" w:color="auto"/>
              <w:right w:val="single" w:sz="6" w:space="0" w:color="auto"/>
            </w:tcBorders>
            <w:shd w:val="clear" w:color="00FFFF" w:fill="C6D9F1" w:themeFill="text2" w:themeFillTint="33"/>
          </w:tcPr>
          <w:p w:rsidR="00EB6043" w:rsidRPr="00B75FD7" w:rsidRDefault="00EB6043" w:rsidP="00F069E5">
            <w:pPr>
              <w:autoSpaceDE w:val="0"/>
              <w:autoSpaceDN w:val="0"/>
              <w:adjustRightInd w:val="0"/>
              <w:rPr>
                <w:rFonts w:eastAsia="Calibri"/>
                <w:b/>
                <w:color w:val="000000"/>
                <w:sz w:val="22"/>
              </w:rPr>
            </w:pPr>
            <w:r w:rsidRPr="00B75FD7">
              <w:rPr>
                <w:rFonts w:eastAsia="Calibri"/>
                <w:b/>
                <w:color w:val="000000"/>
                <w:sz w:val="22"/>
              </w:rPr>
              <w:t>Назва проекту:</w:t>
            </w:r>
          </w:p>
        </w:tc>
        <w:tc>
          <w:tcPr>
            <w:tcW w:w="6804" w:type="dxa"/>
            <w:gridSpan w:val="7"/>
            <w:tcBorders>
              <w:top w:val="single" w:sz="6" w:space="0" w:color="auto"/>
              <w:left w:val="single" w:sz="6" w:space="0" w:color="auto"/>
              <w:bottom w:val="single" w:sz="6" w:space="0" w:color="auto"/>
              <w:right w:val="single" w:sz="6" w:space="0" w:color="auto"/>
            </w:tcBorders>
          </w:tcPr>
          <w:p w:rsidR="00EB6043" w:rsidRPr="00B75FD7" w:rsidRDefault="00EB6043" w:rsidP="00F069E5">
            <w:pPr>
              <w:autoSpaceDE w:val="0"/>
              <w:autoSpaceDN w:val="0"/>
              <w:adjustRightInd w:val="0"/>
              <w:rPr>
                <w:rFonts w:eastAsia="Calibri"/>
                <w:color w:val="000000"/>
                <w:sz w:val="22"/>
              </w:rPr>
            </w:pPr>
            <w:r w:rsidRPr="00B75FD7">
              <w:rPr>
                <w:sz w:val="22"/>
              </w:rPr>
              <w:t xml:space="preserve">Відновлення будівель та території </w:t>
            </w:r>
            <w:r w:rsidRPr="00B75FD7">
              <w:rPr>
                <w:rFonts w:eastAsia="Calibri"/>
                <w:color w:val="000000"/>
                <w:sz w:val="22"/>
              </w:rPr>
              <w:t xml:space="preserve">Ясел-садка № 14 міста Сєвєродонецька Луганської області, </w:t>
            </w:r>
            <w:proofErr w:type="spellStart"/>
            <w:r w:rsidRPr="00B75FD7">
              <w:rPr>
                <w:rFonts w:eastAsia="Calibri"/>
                <w:color w:val="000000"/>
                <w:sz w:val="22"/>
              </w:rPr>
              <w:t>вул.Автомобільна</w:t>
            </w:r>
            <w:proofErr w:type="spellEnd"/>
            <w:r w:rsidRPr="00B75FD7">
              <w:rPr>
                <w:rFonts w:eastAsia="Calibri"/>
                <w:color w:val="000000"/>
                <w:sz w:val="22"/>
              </w:rPr>
              <w:t>, буд.7А</w:t>
            </w:r>
          </w:p>
        </w:tc>
      </w:tr>
      <w:tr w:rsidR="00EB6043" w:rsidRPr="00B75FD7" w:rsidTr="00E33AAA">
        <w:trPr>
          <w:trHeight w:val="818"/>
        </w:trPr>
        <w:tc>
          <w:tcPr>
            <w:tcW w:w="1448" w:type="dxa"/>
            <w:tcBorders>
              <w:top w:val="nil"/>
              <w:left w:val="nil"/>
              <w:bottom w:val="nil"/>
              <w:right w:val="nil"/>
            </w:tcBorders>
          </w:tcPr>
          <w:p w:rsidR="00EB6043" w:rsidRPr="00B75FD7" w:rsidRDefault="00EB6043" w:rsidP="00F069E5">
            <w:pPr>
              <w:autoSpaceDE w:val="0"/>
              <w:autoSpaceDN w:val="0"/>
              <w:adjustRightInd w:val="0"/>
              <w:jc w:val="right"/>
              <w:rPr>
                <w:rFonts w:eastAsia="Calibri"/>
                <w:color w:val="000000"/>
                <w:sz w:val="22"/>
              </w:rPr>
            </w:pPr>
          </w:p>
        </w:tc>
        <w:tc>
          <w:tcPr>
            <w:tcW w:w="3118" w:type="dxa"/>
            <w:tcBorders>
              <w:top w:val="single" w:sz="6" w:space="0" w:color="auto"/>
              <w:left w:val="single" w:sz="6" w:space="0" w:color="auto"/>
              <w:right w:val="single" w:sz="6" w:space="0" w:color="auto"/>
            </w:tcBorders>
            <w:shd w:val="clear" w:color="00FFFF" w:fill="C6D9F1" w:themeFill="text2" w:themeFillTint="33"/>
          </w:tcPr>
          <w:p w:rsidR="00EB6043" w:rsidRPr="00B75FD7" w:rsidRDefault="00EB6043" w:rsidP="00F069E5">
            <w:pPr>
              <w:autoSpaceDE w:val="0"/>
              <w:autoSpaceDN w:val="0"/>
              <w:adjustRightInd w:val="0"/>
              <w:rPr>
                <w:rFonts w:eastAsia="Calibri"/>
                <w:b/>
                <w:color w:val="000000"/>
                <w:sz w:val="22"/>
              </w:rPr>
            </w:pPr>
            <w:r w:rsidRPr="00B75FD7">
              <w:rPr>
                <w:rFonts w:eastAsia="Calibri"/>
                <w:b/>
                <w:color w:val="000000"/>
                <w:sz w:val="22"/>
              </w:rPr>
              <w:t>Ціль проекту</w:t>
            </w:r>
          </w:p>
        </w:tc>
        <w:tc>
          <w:tcPr>
            <w:tcW w:w="6804" w:type="dxa"/>
            <w:gridSpan w:val="7"/>
            <w:tcBorders>
              <w:top w:val="single" w:sz="6" w:space="0" w:color="auto"/>
              <w:left w:val="single" w:sz="6" w:space="0" w:color="auto"/>
              <w:bottom w:val="single" w:sz="6" w:space="0" w:color="auto"/>
              <w:right w:val="single" w:sz="6" w:space="0" w:color="auto"/>
            </w:tcBorders>
          </w:tcPr>
          <w:p w:rsidR="00EB6043" w:rsidRPr="00B75FD7" w:rsidRDefault="00EB6043" w:rsidP="00F069E5">
            <w:pPr>
              <w:autoSpaceDE w:val="0"/>
              <w:autoSpaceDN w:val="0"/>
              <w:adjustRightInd w:val="0"/>
              <w:rPr>
                <w:rFonts w:eastAsia="Calibri"/>
                <w:color w:val="000000"/>
                <w:sz w:val="22"/>
              </w:rPr>
            </w:pPr>
            <w:r w:rsidRPr="00B75FD7">
              <w:rPr>
                <w:rFonts w:eastAsia="Calibri"/>
                <w:color w:val="000000"/>
                <w:sz w:val="22"/>
              </w:rPr>
              <w:t>Створення безпечних та комфортних умов для перебування учасників освітнього процесу Ясел-садка №14 Сєвєродонецька Луганської області. Збереження енергоефективності будівель закладу дошкільної освіти.</w:t>
            </w:r>
          </w:p>
        </w:tc>
      </w:tr>
      <w:tr w:rsidR="00EB6043" w:rsidRPr="00B75FD7" w:rsidTr="00E33AAA">
        <w:trPr>
          <w:trHeight w:val="290"/>
        </w:trPr>
        <w:tc>
          <w:tcPr>
            <w:tcW w:w="1448" w:type="dxa"/>
            <w:tcBorders>
              <w:top w:val="nil"/>
              <w:left w:val="nil"/>
              <w:bottom w:val="nil"/>
              <w:right w:val="nil"/>
            </w:tcBorders>
          </w:tcPr>
          <w:p w:rsidR="00EB6043" w:rsidRPr="00B75FD7" w:rsidRDefault="00EB6043" w:rsidP="00F069E5">
            <w:pPr>
              <w:autoSpaceDE w:val="0"/>
              <w:autoSpaceDN w:val="0"/>
              <w:adjustRightInd w:val="0"/>
              <w:jc w:val="right"/>
              <w:rPr>
                <w:rFonts w:eastAsia="Calibri"/>
                <w:color w:val="000000"/>
                <w:sz w:val="22"/>
              </w:rPr>
            </w:pPr>
          </w:p>
        </w:tc>
        <w:tc>
          <w:tcPr>
            <w:tcW w:w="3118" w:type="dxa"/>
            <w:tcBorders>
              <w:top w:val="single" w:sz="6" w:space="0" w:color="auto"/>
              <w:left w:val="single" w:sz="6" w:space="0" w:color="auto"/>
              <w:right w:val="single" w:sz="6" w:space="0" w:color="auto"/>
            </w:tcBorders>
            <w:shd w:val="clear" w:color="00FFFF" w:fill="C6D9F1" w:themeFill="text2" w:themeFillTint="33"/>
          </w:tcPr>
          <w:p w:rsidR="00EB6043" w:rsidRPr="00B75FD7" w:rsidRDefault="00EB6043" w:rsidP="00F069E5">
            <w:pPr>
              <w:autoSpaceDE w:val="0"/>
              <w:autoSpaceDN w:val="0"/>
              <w:adjustRightInd w:val="0"/>
              <w:rPr>
                <w:rFonts w:eastAsia="Calibri"/>
                <w:b/>
                <w:color w:val="000000"/>
                <w:sz w:val="22"/>
              </w:rPr>
            </w:pPr>
            <w:r w:rsidRPr="00B75FD7">
              <w:rPr>
                <w:rFonts w:eastAsia="Calibri"/>
                <w:b/>
                <w:color w:val="000000"/>
                <w:sz w:val="22"/>
              </w:rPr>
              <w:t>Територія, на яку матиме вплив реалізація проекту</w:t>
            </w:r>
          </w:p>
        </w:tc>
        <w:tc>
          <w:tcPr>
            <w:tcW w:w="6804" w:type="dxa"/>
            <w:gridSpan w:val="7"/>
            <w:tcBorders>
              <w:top w:val="single" w:sz="6" w:space="0" w:color="auto"/>
              <w:left w:val="single" w:sz="6" w:space="0" w:color="auto"/>
              <w:bottom w:val="single" w:sz="6" w:space="0" w:color="auto"/>
              <w:right w:val="single" w:sz="6" w:space="0" w:color="auto"/>
            </w:tcBorders>
          </w:tcPr>
          <w:p w:rsidR="00EB6043" w:rsidRPr="00B75FD7" w:rsidRDefault="00EB6043" w:rsidP="00F069E5">
            <w:pPr>
              <w:autoSpaceDE w:val="0"/>
              <w:autoSpaceDN w:val="0"/>
              <w:adjustRightInd w:val="0"/>
              <w:rPr>
                <w:rFonts w:eastAsia="Calibri"/>
                <w:color w:val="000000"/>
                <w:sz w:val="22"/>
              </w:rPr>
            </w:pPr>
            <w:r w:rsidRPr="00B75FD7">
              <w:rPr>
                <w:rFonts w:eastAsia="Calibri"/>
                <w:color w:val="000000"/>
                <w:sz w:val="22"/>
              </w:rPr>
              <w:t>Сєвєродонецька міська територіальна громада</w:t>
            </w:r>
          </w:p>
        </w:tc>
      </w:tr>
      <w:tr w:rsidR="00EB6043" w:rsidRPr="00B75FD7" w:rsidTr="00E33AAA">
        <w:trPr>
          <w:trHeight w:val="846"/>
        </w:trPr>
        <w:tc>
          <w:tcPr>
            <w:tcW w:w="1448" w:type="dxa"/>
            <w:tcBorders>
              <w:top w:val="nil"/>
              <w:left w:val="nil"/>
              <w:bottom w:val="nil"/>
              <w:right w:val="nil"/>
            </w:tcBorders>
          </w:tcPr>
          <w:p w:rsidR="00EB6043" w:rsidRPr="00B75FD7" w:rsidRDefault="00EB6043" w:rsidP="00F069E5">
            <w:pPr>
              <w:autoSpaceDE w:val="0"/>
              <w:autoSpaceDN w:val="0"/>
              <w:adjustRightInd w:val="0"/>
              <w:jc w:val="right"/>
              <w:rPr>
                <w:rFonts w:eastAsia="Calibri"/>
                <w:color w:val="000000"/>
                <w:sz w:val="22"/>
              </w:rPr>
            </w:pPr>
          </w:p>
        </w:tc>
        <w:tc>
          <w:tcPr>
            <w:tcW w:w="3118" w:type="dxa"/>
            <w:tcBorders>
              <w:top w:val="single" w:sz="6" w:space="0" w:color="auto"/>
              <w:left w:val="single" w:sz="6" w:space="0" w:color="auto"/>
              <w:right w:val="single" w:sz="6" w:space="0" w:color="auto"/>
            </w:tcBorders>
            <w:shd w:val="clear" w:color="00FFFF" w:fill="C6D9F1" w:themeFill="text2" w:themeFillTint="33"/>
          </w:tcPr>
          <w:p w:rsidR="00EB6043" w:rsidRPr="00B75FD7" w:rsidRDefault="00EB6043" w:rsidP="00F069E5">
            <w:pPr>
              <w:autoSpaceDE w:val="0"/>
              <w:autoSpaceDN w:val="0"/>
              <w:adjustRightInd w:val="0"/>
              <w:rPr>
                <w:rFonts w:eastAsia="Calibri"/>
                <w:b/>
                <w:sz w:val="22"/>
              </w:rPr>
            </w:pPr>
            <w:r w:rsidRPr="00B75FD7">
              <w:rPr>
                <w:rFonts w:eastAsia="Calibri"/>
                <w:b/>
                <w:sz w:val="22"/>
              </w:rPr>
              <w:t>Чисельність населення, на яке матиме вплив реалізація проекту</w:t>
            </w:r>
          </w:p>
        </w:tc>
        <w:tc>
          <w:tcPr>
            <w:tcW w:w="6804" w:type="dxa"/>
            <w:gridSpan w:val="7"/>
            <w:tcBorders>
              <w:top w:val="single" w:sz="6" w:space="0" w:color="auto"/>
              <w:left w:val="single" w:sz="6" w:space="0" w:color="auto"/>
              <w:bottom w:val="single" w:sz="6" w:space="0" w:color="auto"/>
              <w:right w:val="single" w:sz="6" w:space="0" w:color="auto"/>
            </w:tcBorders>
          </w:tcPr>
          <w:p w:rsidR="00EB6043" w:rsidRPr="00B75FD7" w:rsidRDefault="00EB6043" w:rsidP="00F069E5">
            <w:pPr>
              <w:autoSpaceDE w:val="0"/>
              <w:autoSpaceDN w:val="0"/>
              <w:adjustRightInd w:val="0"/>
              <w:rPr>
                <w:rFonts w:eastAsia="Calibri"/>
                <w:sz w:val="22"/>
              </w:rPr>
            </w:pPr>
            <w:r w:rsidRPr="00B75FD7">
              <w:rPr>
                <w:rFonts w:eastAsia="Calibri"/>
                <w:sz w:val="22"/>
              </w:rPr>
              <w:t>70 000</w:t>
            </w:r>
          </w:p>
        </w:tc>
      </w:tr>
      <w:tr w:rsidR="00EB6043" w:rsidRPr="00B75FD7" w:rsidTr="00E33AAA">
        <w:trPr>
          <w:trHeight w:val="977"/>
        </w:trPr>
        <w:tc>
          <w:tcPr>
            <w:tcW w:w="1448" w:type="dxa"/>
            <w:tcBorders>
              <w:top w:val="nil"/>
              <w:left w:val="nil"/>
              <w:bottom w:val="nil"/>
              <w:right w:val="nil"/>
            </w:tcBorders>
          </w:tcPr>
          <w:p w:rsidR="00EB6043" w:rsidRPr="00B75FD7" w:rsidRDefault="00EB6043" w:rsidP="00F069E5">
            <w:pPr>
              <w:autoSpaceDE w:val="0"/>
              <w:autoSpaceDN w:val="0"/>
              <w:adjustRightInd w:val="0"/>
              <w:jc w:val="right"/>
              <w:rPr>
                <w:rFonts w:eastAsia="Calibri"/>
                <w:color w:val="000000"/>
                <w:sz w:val="22"/>
              </w:rPr>
            </w:pPr>
          </w:p>
        </w:tc>
        <w:tc>
          <w:tcPr>
            <w:tcW w:w="3118" w:type="dxa"/>
            <w:tcBorders>
              <w:top w:val="single" w:sz="6" w:space="0" w:color="auto"/>
              <w:left w:val="single" w:sz="6" w:space="0" w:color="auto"/>
              <w:right w:val="single" w:sz="6" w:space="0" w:color="auto"/>
            </w:tcBorders>
            <w:shd w:val="clear" w:color="00FFFF" w:fill="C6D9F1" w:themeFill="text2" w:themeFillTint="33"/>
          </w:tcPr>
          <w:p w:rsidR="00EB6043" w:rsidRPr="00B75FD7" w:rsidRDefault="00EB6043" w:rsidP="00F069E5">
            <w:pPr>
              <w:autoSpaceDE w:val="0"/>
              <w:autoSpaceDN w:val="0"/>
              <w:adjustRightInd w:val="0"/>
              <w:rPr>
                <w:rFonts w:eastAsia="Calibri"/>
                <w:b/>
                <w:color w:val="000000"/>
                <w:sz w:val="22"/>
              </w:rPr>
            </w:pPr>
            <w:r w:rsidRPr="00B75FD7">
              <w:rPr>
                <w:rFonts w:eastAsia="Calibri"/>
                <w:b/>
                <w:color w:val="000000"/>
                <w:sz w:val="22"/>
              </w:rPr>
              <w:t>Опис проблеми, на вирішення якої спрямований проект</w:t>
            </w:r>
          </w:p>
        </w:tc>
        <w:tc>
          <w:tcPr>
            <w:tcW w:w="6804" w:type="dxa"/>
            <w:gridSpan w:val="7"/>
            <w:tcBorders>
              <w:top w:val="single" w:sz="6" w:space="0" w:color="auto"/>
              <w:left w:val="single" w:sz="6" w:space="0" w:color="auto"/>
              <w:bottom w:val="single" w:sz="6" w:space="0" w:color="auto"/>
              <w:right w:val="single" w:sz="6" w:space="0" w:color="auto"/>
            </w:tcBorders>
          </w:tcPr>
          <w:p w:rsidR="00EB6043" w:rsidRPr="00B75FD7" w:rsidRDefault="00EB6043" w:rsidP="00F65D4F">
            <w:pPr>
              <w:autoSpaceDE w:val="0"/>
              <w:autoSpaceDN w:val="0"/>
              <w:adjustRightInd w:val="0"/>
              <w:rPr>
                <w:rFonts w:eastAsia="Calibri"/>
                <w:color w:val="000000"/>
                <w:sz w:val="22"/>
              </w:rPr>
            </w:pPr>
            <w:r w:rsidRPr="00B75FD7">
              <w:rPr>
                <w:rFonts w:eastAsia="Calibri"/>
                <w:color w:val="000000"/>
                <w:sz w:val="22"/>
              </w:rPr>
              <w:t xml:space="preserve">Внаслідок збройної агресії </w:t>
            </w:r>
            <w:r w:rsidR="00F65D4F" w:rsidRPr="00B75FD7">
              <w:rPr>
                <w:rFonts w:eastAsia="Calibri"/>
                <w:color w:val="000000"/>
                <w:sz w:val="22"/>
              </w:rPr>
              <w:t>РФ</w:t>
            </w:r>
            <w:r w:rsidRPr="00B75FD7">
              <w:rPr>
                <w:rFonts w:eastAsia="Calibri"/>
                <w:color w:val="000000"/>
                <w:sz w:val="22"/>
              </w:rPr>
              <w:t xml:space="preserve"> міста Сєвєродонецька Луганської області, обстрілів цивільної інфраструктури, у тому числі Ясел-садка №14, сталися потрапляння снарядів по території закладу дошкільної освіти та у дах основної будівлі Ясел-садка №14. Відповідно</w:t>
            </w:r>
            <w:r w:rsidR="00F65D4F" w:rsidRPr="00B75FD7">
              <w:rPr>
                <w:rFonts w:eastAsia="Calibri"/>
                <w:color w:val="000000"/>
                <w:sz w:val="22"/>
              </w:rPr>
              <w:t>,</w:t>
            </w:r>
            <w:r w:rsidRPr="00B75FD7">
              <w:rPr>
                <w:rFonts w:eastAsia="Calibri"/>
                <w:color w:val="000000"/>
                <w:sz w:val="22"/>
              </w:rPr>
              <w:t xml:space="preserve"> з'явилася загроза життю та здоров'ю учасників освітнього процесу у повоєнний час.  З'ясовування стану приміщень, елементів водопостачання та водовідведення,</w:t>
            </w:r>
            <w:r w:rsidRPr="00B75FD7">
              <w:rPr>
                <w:sz w:val="22"/>
              </w:rPr>
              <w:t xml:space="preserve"> </w:t>
            </w:r>
            <w:r w:rsidRPr="00B75FD7">
              <w:rPr>
                <w:rFonts w:eastAsia="Calibri"/>
                <w:color w:val="000000"/>
                <w:sz w:val="22"/>
              </w:rPr>
              <w:t>системи енергопостачання, освітлення, системи опалення та вентиляції ЗДО здійснювалося на основі світлин та відеоматеріалів</w:t>
            </w:r>
            <w:r w:rsidR="00F65D4F" w:rsidRPr="00B75FD7">
              <w:rPr>
                <w:rFonts w:eastAsia="Calibri"/>
                <w:color w:val="000000"/>
                <w:sz w:val="22"/>
              </w:rPr>
              <w:t>,</w:t>
            </w:r>
            <w:r w:rsidRPr="00B75FD7">
              <w:rPr>
                <w:rFonts w:eastAsia="Calibri"/>
                <w:color w:val="000000"/>
                <w:sz w:val="22"/>
              </w:rPr>
              <w:t xml:space="preserve"> опублікованих в  Інтернеті.</w:t>
            </w:r>
          </w:p>
        </w:tc>
      </w:tr>
      <w:tr w:rsidR="00EB6043" w:rsidRPr="00B75FD7" w:rsidTr="00E33AAA">
        <w:trPr>
          <w:trHeight w:val="854"/>
        </w:trPr>
        <w:tc>
          <w:tcPr>
            <w:tcW w:w="1448" w:type="dxa"/>
            <w:tcBorders>
              <w:top w:val="nil"/>
              <w:left w:val="nil"/>
              <w:bottom w:val="nil"/>
              <w:right w:val="nil"/>
            </w:tcBorders>
          </w:tcPr>
          <w:p w:rsidR="00EB6043" w:rsidRPr="00B75FD7" w:rsidRDefault="00EB6043" w:rsidP="00F069E5">
            <w:pPr>
              <w:autoSpaceDE w:val="0"/>
              <w:autoSpaceDN w:val="0"/>
              <w:adjustRightInd w:val="0"/>
              <w:jc w:val="right"/>
              <w:rPr>
                <w:rFonts w:eastAsia="Calibri"/>
                <w:color w:val="000000"/>
                <w:sz w:val="22"/>
              </w:rPr>
            </w:pPr>
          </w:p>
        </w:tc>
        <w:tc>
          <w:tcPr>
            <w:tcW w:w="3118" w:type="dxa"/>
            <w:tcBorders>
              <w:top w:val="single" w:sz="6" w:space="0" w:color="auto"/>
              <w:left w:val="single" w:sz="6" w:space="0" w:color="auto"/>
              <w:right w:val="single" w:sz="6" w:space="0" w:color="auto"/>
            </w:tcBorders>
            <w:shd w:val="clear" w:color="00FFFF" w:fill="C6D9F1" w:themeFill="text2" w:themeFillTint="33"/>
          </w:tcPr>
          <w:p w:rsidR="00EB6043" w:rsidRPr="00B75FD7" w:rsidRDefault="00EB6043" w:rsidP="00F069E5">
            <w:pPr>
              <w:autoSpaceDE w:val="0"/>
              <w:autoSpaceDN w:val="0"/>
              <w:adjustRightInd w:val="0"/>
              <w:rPr>
                <w:rFonts w:eastAsia="Calibri"/>
                <w:b/>
                <w:color w:val="000000"/>
                <w:sz w:val="22"/>
              </w:rPr>
            </w:pPr>
            <w:r w:rsidRPr="00B75FD7">
              <w:rPr>
                <w:rFonts w:eastAsia="Calibri"/>
                <w:b/>
                <w:color w:val="000000"/>
                <w:sz w:val="22"/>
              </w:rPr>
              <w:t>Очікувані якісні результати від реалізації проекту</w:t>
            </w:r>
          </w:p>
        </w:tc>
        <w:tc>
          <w:tcPr>
            <w:tcW w:w="6804" w:type="dxa"/>
            <w:gridSpan w:val="7"/>
            <w:tcBorders>
              <w:top w:val="single" w:sz="6" w:space="0" w:color="auto"/>
              <w:left w:val="single" w:sz="6" w:space="0" w:color="auto"/>
              <w:bottom w:val="single" w:sz="6" w:space="0" w:color="auto"/>
              <w:right w:val="single" w:sz="6" w:space="0" w:color="auto"/>
            </w:tcBorders>
          </w:tcPr>
          <w:p w:rsidR="00EB6043" w:rsidRPr="00B75FD7" w:rsidRDefault="00EB6043" w:rsidP="00F069E5">
            <w:pPr>
              <w:autoSpaceDE w:val="0"/>
              <w:autoSpaceDN w:val="0"/>
              <w:adjustRightInd w:val="0"/>
              <w:rPr>
                <w:rFonts w:eastAsia="Calibri"/>
                <w:color w:val="000000"/>
                <w:sz w:val="22"/>
              </w:rPr>
            </w:pPr>
            <w:r w:rsidRPr="00B75FD7">
              <w:rPr>
                <w:rFonts w:eastAsia="Calibri"/>
                <w:color w:val="000000"/>
                <w:sz w:val="22"/>
              </w:rPr>
              <w:t>Створення безпечних, сучасних та комфортних умов для перебування вихованців, якісної роботи персоналу, відвідувачів Ясел-садка №14 міста Сєвєродонецька Луганської області.</w:t>
            </w:r>
          </w:p>
        </w:tc>
      </w:tr>
      <w:tr w:rsidR="00EB6043" w:rsidRPr="00B75FD7" w:rsidTr="00E33AAA">
        <w:trPr>
          <w:trHeight w:val="581"/>
        </w:trPr>
        <w:tc>
          <w:tcPr>
            <w:tcW w:w="1448" w:type="dxa"/>
            <w:tcBorders>
              <w:top w:val="nil"/>
              <w:left w:val="nil"/>
              <w:bottom w:val="nil"/>
              <w:right w:val="nil"/>
            </w:tcBorders>
          </w:tcPr>
          <w:p w:rsidR="00EB6043" w:rsidRPr="00B75FD7" w:rsidRDefault="00EB6043" w:rsidP="00F069E5">
            <w:pPr>
              <w:autoSpaceDE w:val="0"/>
              <w:autoSpaceDN w:val="0"/>
              <w:adjustRightInd w:val="0"/>
              <w:jc w:val="right"/>
              <w:rPr>
                <w:rFonts w:eastAsia="Calibri"/>
                <w:color w:val="000000"/>
                <w:sz w:val="22"/>
              </w:rPr>
            </w:pPr>
          </w:p>
        </w:tc>
        <w:tc>
          <w:tcPr>
            <w:tcW w:w="3118" w:type="dxa"/>
            <w:tcBorders>
              <w:top w:val="single" w:sz="6" w:space="0" w:color="auto"/>
              <w:left w:val="single" w:sz="6" w:space="0" w:color="auto"/>
              <w:right w:val="single" w:sz="6" w:space="0" w:color="auto"/>
            </w:tcBorders>
            <w:shd w:val="clear" w:color="00FFFF" w:fill="C6D9F1" w:themeFill="text2" w:themeFillTint="33"/>
          </w:tcPr>
          <w:p w:rsidR="00EB6043" w:rsidRPr="00B75FD7" w:rsidRDefault="00EB6043" w:rsidP="00F069E5">
            <w:pPr>
              <w:autoSpaceDE w:val="0"/>
              <w:autoSpaceDN w:val="0"/>
              <w:adjustRightInd w:val="0"/>
              <w:rPr>
                <w:rFonts w:eastAsia="Calibri"/>
                <w:b/>
                <w:color w:val="000000"/>
                <w:sz w:val="22"/>
              </w:rPr>
            </w:pPr>
            <w:r w:rsidRPr="00B75FD7">
              <w:rPr>
                <w:rFonts w:eastAsia="Calibri"/>
                <w:b/>
                <w:color w:val="000000"/>
                <w:sz w:val="22"/>
              </w:rPr>
              <w:t>Очікувані кількісні результати від реалізації проекту  (індикатори)</w:t>
            </w:r>
          </w:p>
        </w:tc>
        <w:tc>
          <w:tcPr>
            <w:tcW w:w="2694" w:type="dxa"/>
            <w:gridSpan w:val="3"/>
            <w:tcBorders>
              <w:top w:val="single" w:sz="6" w:space="0" w:color="auto"/>
              <w:left w:val="single" w:sz="6" w:space="0" w:color="auto"/>
              <w:bottom w:val="single" w:sz="6" w:space="0" w:color="auto"/>
              <w:right w:val="single" w:sz="6" w:space="0" w:color="auto"/>
            </w:tcBorders>
          </w:tcPr>
          <w:p w:rsidR="00EB6043" w:rsidRPr="00B75FD7" w:rsidRDefault="00EB6043" w:rsidP="00F069E5">
            <w:pPr>
              <w:autoSpaceDE w:val="0"/>
              <w:autoSpaceDN w:val="0"/>
              <w:adjustRightInd w:val="0"/>
              <w:rPr>
                <w:rFonts w:eastAsia="Calibri"/>
                <w:b/>
                <w:color w:val="000000"/>
                <w:sz w:val="22"/>
              </w:rPr>
            </w:pPr>
            <w:r w:rsidRPr="00B75FD7">
              <w:rPr>
                <w:rFonts w:eastAsia="Calibri"/>
                <w:b/>
                <w:color w:val="000000"/>
                <w:sz w:val="22"/>
              </w:rPr>
              <w:t>Найменування показника</w:t>
            </w:r>
          </w:p>
        </w:tc>
        <w:tc>
          <w:tcPr>
            <w:tcW w:w="1984" w:type="dxa"/>
            <w:gridSpan w:val="2"/>
            <w:tcBorders>
              <w:top w:val="single" w:sz="6" w:space="0" w:color="auto"/>
              <w:left w:val="single" w:sz="6" w:space="0" w:color="auto"/>
              <w:bottom w:val="single" w:sz="6" w:space="0" w:color="auto"/>
              <w:right w:val="single" w:sz="6" w:space="0" w:color="auto"/>
            </w:tcBorders>
          </w:tcPr>
          <w:p w:rsidR="00EB6043" w:rsidRPr="00B75FD7" w:rsidRDefault="00EB6043" w:rsidP="00F069E5">
            <w:pPr>
              <w:autoSpaceDE w:val="0"/>
              <w:autoSpaceDN w:val="0"/>
              <w:adjustRightInd w:val="0"/>
              <w:rPr>
                <w:rFonts w:eastAsia="Calibri"/>
                <w:b/>
                <w:color w:val="000000"/>
                <w:sz w:val="22"/>
              </w:rPr>
            </w:pPr>
            <w:r w:rsidRPr="00B75FD7">
              <w:rPr>
                <w:rFonts w:eastAsia="Calibri"/>
                <w:b/>
                <w:color w:val="000000"/>
                <w:sz w:val="22"/>
              </w:rPr>
              <w:t>Одиниця вимірювання</w:t>
            </w:r>
          </w:p>
        </w:tc>
        <w:tc>
          <w:tcPr>
            <w:tcW w:w="2126" w:type="dxa"/>
            <w:gridSpan w:val="2"/>
            <w:tcBorders>
              <w:top w:val="single" w:sz="6" w:space="0" w:color="auto"/>
              <w:left w:val="single" w:sz="6" w:space="0" w:color="auto"/>
              <w:bottom w:val="single" w:sz="6" w:space="0" w:color="auto"/>
              <w:right w:val="single" w:sz="6" w:space="0" w:color="auto"/>
            </w:tcBorders>
          </w:tcPr>
          <w:p w:rsidR="00EB6043" w:rsidRPr="00B75FD7" w:rsidRDefault="00EB6043" w:rsidP="00F069E5">
            <w:pPr>
              <w:autoSpaceDE w:val="0"/>
              <w:autoSpaceDN w:val="0"/>
              <w:adjustRightInd w:val="0"/>
              <w:rPr>
                <w:rFonts w:eastAsia="Calibri"/>
                <w:b/>
                <w:color w:val="000000"/>
                <w:sz w:val="22"/>
              </w:rPr>
            </w:pPr>
            <w:r w:rsidRPr="00B75FD7">
              <w:rPr>
                <w:rFonts w:eastAsia="Calibri"/>
                <w:b/>
                <w:color w:val="000000"/>
                <w:sz w:val="22"/>
              </w:rPr>
              <w:t>Прогнозне (цільове) значення</w:t>
            </w:r>
          </w:p>
        </w:tc>
      </w:tr>
      <w:tr w:rsidR="00EB6043" w:rsidRPr="00B75FD7" w:rsidTr="00E33AAA">
        <w:trPr>
          <w:trHeight w:val="1235"/>
        </w:trPr>
        <w:tc>
          <w:tcPr>
            <w:tcW w:w="1448" w:type="dxa"/>
            <w:tcBorders>
              <w:top w:val="nil"/>
              <w:left w:val="nil"/>
              <w:bottom w:val="nil"/>
              <w:right w:val="nil"/>
            </w:tcBorders>
          </w:tcPr>
          <w:p w:rsidR="00EB6043" w:rsidRPr="00B75FD7" w:rsidRDefault="00EB6043" w:rsidP="00F069E5">
            <w:pPr>
              <w:autoSpaceDE w:val="0"/>
              <w:autoSpaceDN w:val="0"/>
              <w:adjustRightInd w:val="0"/>
              <w:jc w:val="right"/>
              <w:rPr>
                <w:rFonts w:eastAsia="Calibri"/>
                <w:color w:val="000000"/>
                <w:sz w:val="22"/>
              </w:rPr>
            </w:pPr>
          </w:p>
        </w:tc>
        <w:tc>
          <w:tcPr>
            <w:tcW w:w="3118" w:type="dxa"/>
            <w:tcBorders>
              <w:top w:val="single" w:sz="6" w:space="0" w:color="auto"/>
              <w:left w:val="single" w:sz="6" w:space="0" w:color="auto"/>
              <w:right w:val="single" w:sz="6" w:space="0" w:color="auto"/>
            </w:tcBorders>
            <w:shd w:val="clear" w:color="00FFFF" w:fill="C6D9F1" w:themeFill="text2" w:themeFillTint="33"/>
          </w:tcPr>
          <w:p w:rsidR="00EB6043" w:rsidRPr="00B75FD7" w:rsidRDefault="00EB6043" w:rsidP="00F069E5">
            <w:pPr>
              <w:autoSpaceDE w:val="0"/>
              <w:autoSpaceDN w:val="0"/>
              <w:adjustRightInd w:val="0"/>
              <w:rPr>
                <w:rFonts w:eastAsia="Calibri"/>
                <w:b/>
                <w:color w:val="000000"/>
                <w:sz w:val="22"/>
              </w:rPr>
            </w:pPr>
          </w:p>
        </w:tc>
        <w:tc>
          <w:tcPr>
            <w:tcW w:w="2694" w:type="dxa"/>
            <w:gridSpan w:val="3"/>
            <w:tcBorders>
              <w:top w:val="single" w:sz="6" w:space="0" w:color="auto"/>
              <w:left w:val="single" w:sz="6" w:space="0" w:color="auto"/>
              <w:bottom w:val="single" w:sz="6" w:space="0" w:color="auto"/>
              <w:right w:val="single" w:sz="6" w:space="0" w:color="auto"/>
            </w:tcBorders>
          </w:tcPr>
          <w:p w:rsidR="00EB6043" w:rsidRPr="00B75FD7" w:rsidRDefault="00EB6043" w:rsidP="00F069E5">
            <w:pPr>
              <w:autoSpaceDE w:val="0"/>
              <w:autoSpaceDN w:val="0"/>
              <w:adjustRightInd w:val="0"/>
              <w:rPr>
                <w:rFonts w:eastAsia="Calibri"/>
                <w:color w:val="000000"/>
                <w:sz w:val="22"/>
              </w:rPr>
            </w:pPr>
            <w:r w:rsidRPr="00B75FD7">
              <w:rPr>
                <w:rFonts w:eastAsia="Calibri"/>
                <w:color w:val="000000"/>
                <w:sz w:val="22"/>
              </w:rPr>
              <w:t>1.Діти дошкільного віку.</w:t>
            </w:r>
          </w:p>
          <w:p w:rsidR="00EB6043" w:rsidRPr="00B75FD7" w:rsidRDefault="00EB6043" w:rsidP="00F069E5">
            <w:pPr>
              <w:autoSpaceDE w:val="0"/>
              <w:autoSpaceDN w:val="0"/>
              <w:adjustRightInd w:val="0"/>
              <w:rPr>
                <w:rFonts w:eastAsia="Calibri"/>
                <w:color w:val="000000"/>
                <w:sz w:val="22"/>
              </w:rPr>
            </w:pPr>
            <w:r w:rsidRPr="00B75FD7">
              <w:rPr>
                <w:rFonts w:eastAsia="Calibri"/>
                <w:color w:val="000000"/>
                <w:sz w:val="22"/>
              </w:rPr>
              <w:t xml:space="preserve"> </w:t>
            </w:r>
          </w:p>
          <w:p w:rsidR="00EB6043" w:rsidRPr="00B75FD7" w:rsidRDefault="00EB6043" w:rsidP="00F069E5">
            <w:pPr>
              <w:autoSpaceDE w:val="0"/>
              <w:autoSpaceDN w:val="0"/>
              <w:adjustRightInd w:val="0"/>
              <w:rPr>
                <w:rFonts w:eastAsia="Calibri"/>
                <w:color w:val="000000"/>
                <w:sz w:val="22"/>
              </w:rPr>
            </w:pPr>
            <w:r w:rsidRPr="00B75FD7">
              <w:rPr>
                <w:rFonts w:eastAsia="Calibri"/>
                <w:color w:val="000000"/>
                <w:sz w:val="22"/>
              </w:rPr>
              <w:t xml:space="preserve">2.Працівники. </w:t>
            </w:r>
          </w:p>
          <w:p w:rsidR="00EB6043" w:rsidRPr="00B75FD7" w:rsidRDefault="00EB6043" w:rsidP="00F069E5">
            <w:pPr>
              <w:autoSpaceDE w:val="0"/>
              <w:autoSpaceDN w:val="0"/>
              <w:adjustRightInd w:val="0"/>
              <w:rPr>
                <w:rFonts w:eastAsia="Calibri"/>
                <w:color w:val="000000"/>
                <w:sz w:val="22"/>
              </w:rPr>
            </w:pPr>
          </w:p>
          <w:p w:rsidR="00EB6043" w:rsidRPr="00B75FD7" w:rsidRDefault="00EB6043" w:rsidP="00F069E5">
            <w:pPr>
              <w:autoSpaceDE w:val="0"/>
              <w:autoSpaceDN w:val="0"/>
              <w:adjustRightInd w:val="0"/>
              <w:rPr>
                <w:rFonts w:eastAsia="Calibri"/>
                <w:color w:val="000000"/>
                <w:sz w:val="22"/>
              </w:rPr>
            </w:pPr>
            <w:r w:rsidRPr="00B75FD7">
              <w:rPr>
                <w:rFonts w:eastAsia="Calibri"/>
                <w:color w:val="000000"/>
                <w:sz w:val="22"/>
              </w:rPr>
              <w:t>3.Батьки (або особи, які їх замінюють).</w:t>
            </w:r>
          </w:p>
          <w:p w:rsidR="00EB6043" w:rsidRPr="00B75FD7" w:rsidRDefault="00EB6043" w:rsidP="00F069E5">
            <w:pPr>
              <w:autoSpaceDE w:val="0"/>
              <w:autoSpaceDN w:val="0"/>
              <w:adjustRightInd w:val="0"/>
              <w:rPr>
                <w:rFonts w:eastAsia="Calibri"/>
                <w:color w:val="000000"/>
                <w:sz w:val="22"/>
              </w:rPr>
            </w:pPr>
            <w:r w:rsidRPr="00B75FD7">
              <w:rPr>
                <w:rFonts w:eastAsia="Calibri"/>
                <w:color w:val="000000"/>
                <w:sz w:val="22"/>
              </w:rPr>
              <w:t>4.Члени громади.</w:t>
            </w:r>
          </w:p>
        </w:tc>
        <w:tc>
          <w:tcPr>
            <w:tcW w:w="1984" w:type="dxa"/>
            <w:gridSpan w:val="2"/>
            <w:tcBorders>
              <w:top w:val="single" w:sz="6" w:space="0" w:color="auto"/>
              <w:left w:val="single" w:sz="6" w:space="0" w:color="auto"/>
              <w:bottom w:val="single" w:sz="6" w:space="0" w:color="auto"/>
              <w:right w:val="single" w:sz="6" w:space="0" w:color="auto"/>
            </w:tcBorders>
          </w:tcPr>
          <w:p w:rsidR="00EB6043" w:rsidRPr="00B75FD7" w:rsidRDefault="00EB6043" w:rsidP="00F069E5">
            <w:pPr>
              <w:autoSpaceDE w:val="0"/>
              <w:autoSpaceDN w:val="0"/>
              <w:adjustRightInd w:val="0"/>
              <w:jc w:val="center"/>
              <w:rPr>
                <w:rFonts w:eastAsia="Calibri"/>
                <w:color w:val="000000"/>
                <w:sz w:val="22"/>
              </w:rPr>
            </w:pPr>
            <w:r w:rsidRPr="00B75FD7">
              <w:rPr>
                <w:rFonts w:eastAsia="Calibri"/>
                <w:color w:val="000000"/>
                <w:sz w:val="22"/>
              </w:rPr>
              <w:t>Осіб</w:t>
            </w:r>
          </w:p>
          <w:p w:rsidR="00EB6043" w:rsidRPr="00B75FD7" w:rsidRDefault="00EB6043" w:rsidP="00F069E5">
            <w:pPr>
              <w:autoSpaceDE w:val="0"/>
              <w:autoSpaceDN w:val="0"/>
              <w:adjustRightInd w:val="0"/>
              <w:jc w:val="center"/>
              <w:rPr>
                <w:rFonts w:eastAsia="Calibri"/>
                <w:color w:val="000000"/>
                <w:sz w:val="22"/>
              </w:rPr>
            </w:pPr>
          </w:p>
          <w:p w:rsidR="00EB6043" w:rsidRPr="00B75FD7" w:rsidRDefault="00EB6043" w:rsidP="00F069E5">
            <w:pPr>
              <w:autoSpaceDE w:val="0"/>
              <w:autoSpaceDN w:val="0"/>
              <w:adjustRightInd w:val="0"/>
              <w:jc w:val="center"/>
              <w:rPr>
                <w:rFonts w:eastAsia="Calibri"/>
                <w:color w:val="000000"/>
                <w:sz w:val="22"/>
              </w:rPr>
            </w:pPr>
            <w:r w:rsidRPr="00B75FD7">
              <w:rPr>
                <w:rFonts w:eastAsia="Calibri"/>
                <w:color w:val="000000"/>
                <w:sz w:val="22"/>
              </w:rPr>
              <w:t>Осіб</w:t>
            </w:r>
          </w:p>
          <w:p w:rsidR="00EB6043" w:rsidRPr="00B75FD7" w:rsidRDefault="00EB6043" w:rsidP="00F069E5">
            <w:pPr>
              <w:autoSpaceDE w:val="0"/>
              <w:autoSpaceDN w:val="0"/>
              <w:adjustRightInd w:val="0"/>
              <w:jc w:val="center"/>
              <w:rPr>
                <w:rFonts w:eastAsia="Calibri"/>
                <w:color w:val="000000"/>
                <w:sz w:val="22"/>
              </w:rPr>
            </w:pPr>
          </w:p>
          <w:p w:rsidR="00EB6043" w:rsidRPr="00B75FD7" w:rsidRDefault="00EB6043" w:rsidP="00F069E5">
            <w:pPr>
              <w:autoSpaceDE w:val="0"/>
              <w:autoSpaceDN w:val="0"/>
              <w:adjustRightInd w:val="0"/>
              <w:jc w:val="center"/>
              <w:rPr>
                <w:rFonts w:eastAsia="Calibri"/>
                <w:color w:val="000000"/>
                <w:sz w:val="22"/>
              </w:rPr>
            </w:pPr>
            <w:r w:rsidRPr="00B75FD7">
              <w:rPr>
                <w:rFonts w:eastAsia="Calibri"/>
                <w:color w:val="000000"/>
                <w:sz w:val="22"/>
              </w:rPr>
              <w:t>Осіб</w:t>
            </w:r>
          </w:p>
          <w:p w:rsidR="00EB6043" w:rsidRPr="00B75FD7" w:rsidRDefault="00EB6043" w:rsidP="00F069E5">
            <w:pPr>
              <w:autoSpaceDE w:val="0"/>
              <w:autoSpaceDN w:val="0"/>
              <w:adjustRightInd w:val="0"/>
              <w:jc w:val="center"/>
              <w:rPr>
                <w:rFonts w:eastAsia="Calibri"/>
                <w:color w:val="000000"/>
                <w:sz w:val="22"/>
              </w:rPr>
            </w:pPr>
          </w:p>
          <w:p w:rsidR="00EB6043" w:rsidRPr="00B75FD7" w:rsidRDefault="00EB6043" w:rsidP="00F069E5">
            <w:pPr>
              <w:autoSpaceDE w:val="0"/>
              <w:autoSpaceDN w:val="0"/>
              <w:adjustRightInd w:val="0"/>
              <w:jc w:val="center"/>
              <w:rPr>
                <w:rFonts w:eastAsia="Calibri"/>
                <w:color w:val="000000"/>
                <w:sz w:val="22"/>
              </w:rPr>
            </w:pPr>
            <w:r w:rsidRPr="00B75FD7">
              <w:rPr>
                <w:rFonts w:eastAsia="Calibri"/>
                <w:color w:val="000000"/>
                <w:sz w:val="22"/>
              </w:rPr>
              <w:t>осіб</w:t>
            </w:r>
          </w:p>
        </w:tc>
        <w:tc>
          <w:tcPr>
            <w:tcW w:w="2126" w:type="dxa"/>
            <w:gridSpan w:val="2"/>
            <w:tcBorders>
              <w:top w:val="single" w:sz="6" w:space="0" w:color="auto"/>
              <w:left w:val="single" w:sz="6" w:space="0" w:color="auto"/>
              <w:bottom w:val="single" w:sz="6" w:space="0" w:color="auto"/>
              <w:right w:val="single" w:sz="6" w:space="0" w:color="auto"/>
            </w:tcBorders>
          </w:tcPr>
          <w:p w:rsidR="00EB6043" w:rsidRPr="00B75FD7" w:rsidRDefault="00EB6043" w:rsidP="00F069E5">
            <w:pPr>
              <w:autoSpaceDE w:val="0"/>
              <w:autoSpaceDN w:val="0"/>
              <w:adjustRightInd w:val="0"/>
              <w:rPr>
                <w:rFonts w:eastAsia="Calibri"/>
                <w:color w:val="000000"/>
                <w:sz w:val="22"/>
              </w:rPr>
            </w:pPr>
            <w:r w:rsidRPr="00B75FD7">
              <w:rPr>
                <w:rFonts w:eastAsia="Calibri"/>
                <w:color w:val="000000"/>
                <w:sz w:val="22"/>
              </w:rPr>
              <w:t xml:space="preserve">1215 </w:t>
            </w:r>
          </w:p>
          <w:p w:rsidR="00EB6043" w:rsidRPr="00B75FD7" w:rsidRDefault="00EB6043" w:rsidP="00F069E5">
            <w:pPr>
              <w:autoSpaceDE w:val="0"/>
              <w:autoSpaceDN w:val="0"/>
              <w:adjustRightInd w:val="0"/>
              <w:rPr>
                <w:rFonts w:eastAsia="Calibri"/>
                <w:color w:val="000000"/>
                <w:sz w:val="22"/>
              </w:rPr>
            </w:pPr>
          </w:p>
          <w:p w:rsidR="00EB6043" w:rsidRPr="00B75FD7" w:rsidRDefault="00EB6043" w:rsidP="00F069E5">
            <w:pPr>
              <w:autoSpaceDE w:val="0"/>
              <w:autoSpaceDN w:val="0"/>
              <w:adjustRightInd w:val="0"/>
              <w:rPr>
                <w:rFonts w:eastAsia="Calibri"/>
                <w:color w:val="000000"/>
                <w:sz w:val="22"/>
              </w:rPr>
            </w:pPr>
            <w:r w:rsidRPr="00B75FD7">
              <w:rPr>
                <w:rFonts w:eastAsia="Calibri"/>
                <w:color w:val="000000"/>
                <w:sz w:val="22"/>
              </w:rPr>
              <w:t xml:space="preserve">260 </w:t>
            </w:r>
          </w:p>
          <w:p w:rsidR="00EB6043" w:rsidRPr="00B75FD7" w:rsidRDefault="00EB6043" w:rsidP="00F069E5">
            <w:pPr>
              <w:autoSpaceDE w:val="0"/>
              <w:autoSpaceDN w:val="0"/>
              <w:adjustRightInd w:val="0"/>
              <w:rPr>
                <w:rFonts w:eastAsia="Calibri"/>
                <w:color w:val="000000"/>
                <w:sz w:val="22"/>
              </w:rPr>
            </w:pPr>
          </w:p>
          <w:p w:rsidR="00EB6043" w:rsidRPr="00B75FD7" w:rsidRDefault="00EB6043" w:rsidP="00F069E5">
            <w:pPr>
              <w:autoSpaceDE w:val="0"/>
              <w:autoSpaceDN w:val="0"/>
              <w:adjustRightInd w:val="0"/>
              <w:rPr>
                <w:rFonts w:eastAsia="Calibri"/>
                <w:color w:val="000000"/>
                <w:sz w:val="22"/>
              </w:rPr>
            </w:pPr>
            <w:r w:rsidRPr="00B75FD7">
              <w:rPr>
                <w:rFonts w:eastAsia="Calibri"/>
                <w:color w:val="000000"/>
                <w:sz w:val="22"/>
              </w:rPr>
              <w:t>5</w:t>
            </w:r>
          </w:p>
          <w:p w:rsidR="00EB6043" w:rsidRPr="00B75FD7" w:rsidRDefault="00EB6043" w:rsidP="00F069E5">
            <w:pPr>
              <w:autoSpaceDE w:val="0"/>
              <w:autoSpaceDN w:val="0"/>
              <w:adjustRightInd w:val="0"/>
              <w:rPr>
                <w:rFonts w:eastAsia="Calibri"/>
                <w:color w:val="000000"/>
                <w:sz w:val="22"/>
              </w:rPr>
            </w:pPr>
            <w:r w:rsidRPr="00B75FD7">
              <w:rPr>
                <w:rFonts w:eastAsia="Calibri"/>
                <w:color w:val="000000"/>
                <w:sz w:val="22"/>
              </w:rPr>
              <w:t xml:space="preserve">50 </w:t>
            </w:r>
          </w:p>
          <w:p w:rsidR="00EB6043" w:rsidRPr="00B75FD7" w:rsidRDefault="00EB6043" w:rsidP="00F069E5">
            <w:pPr>
              <w:autoSpaceDE w:val="0"/>
              <w:autoSpaceDN w:val="0"/>
              <w:adjustRightInd w:val="0"/>
              <w:rPr>
                <w:rFonts w:eastAsia="Calibri"/>
                <w:color w:val="000000"/>
                <w:sz w:val="22"/>
              </w:rPr>
            </w:pPr>
            <w:r w:rsidRPr="00B75FD7">
              <w:rPr>
                <w:rFonts w:eastAsia="Calibri"/>
                <w:color w:val="000000"/>
                <w:sz w:val="22"/>
              </w:rPr>
              <w:t>70000</w:t>
            </w:r>
          </w:p>
        </w:tc>
      </w:tr>
      <w:tr w:rsidR="00EB6043" w:rsidRPr="00B75FD7" w:rsidTr="00E33AAA">
        <w:trPr>
          <w:trHeight w:val="1684"/>
        </w:trPr>
        <w:tc>
          <w:tcPr>
            <w:tcW w:w="1448" w:type="dxa"/>
            <w:tcBorders>
              <w:top w:val="nil"/>
              <w:left w:val="nil"/>
              <w:bottom w:val="nil"/>
              <w:right w:val="nil"/>
            </w:tcBorders>
          </w:tcPr>
          <w:p w:rsidR="00EB6043" w:rsidRPr="00B75FD7" w:rsidRDefault="00EB6043" w:rsidP="00F069E5">
            <w:pPr>
              <w:autoSpaceDE w:val="0"/>
              <w:autoSpaceDN w:val="0"/>
              <w:adjustRightInd w:val="0"/>
              <w:jc w:val="right"/>
              <w:rPr>
                <w:rFonts w:eastAsia="Calibri"/>
                <w:color w:val="000000"/>
                <w:sz w:val="22"/>
              </w:rPr>
            </w:pPr>
          </w:p>
        </w:tc>
        <w:tc>
          <w:tcPr>
            <w:tcW w:w="3118" w:type="dxa"/>
            <w:tcBorders>
              <w:top w:val="single" w:sz="6" w:space="0" w:color="auto"/>
              <w:left w:val="single" w:sz="6" w:space="0" w:color="auto"/>
              <w:bottom w:val="single" w:sz="4" w:space="0" w:color="auto"/>
              <w:right w:val="single" w:sz="6" w:space="0" w:color="auto"/>
            </w:tcBorders>
            <w:shd w:val="clear" w:color="00FFFF" w:fill="C6D9F1" w:themeFill="text2" w:themeFillTint="33"/>
          </w:tcPr>
          <w:p w:rsidR="00EB6043" w:rsidRPr="00B75FD7" w:rsidRDefault="00EB6043" w:rsidP="00F069E5">
            <w:pPr>
              <w:autoSpaceDE w:val="0"/>
              <w:autoSpaceDN w:val="0"/>
              <w:adjustRightInd w:val="0"/>
              <w:rPr>
                <w:rFonts w:eastAsia="Calibri"/>
                <w:b/>
                <w:color w:val="000000"/>
                <w:sz w:val="22"/>
              </w:rPr>
            </w:pPr>
            <w:r w:rsidRPr="00B75FD7">
              <w:rPr>
                <w:rFonts w:eastAsia="Calibri"/>
                <w:b/>
                <w:color w:val="000000"/>
                <w:sz w:val="22"/>
              </w:rPr>
              <w:t>Ключові заходи проекту:</w:t>
            </w:r>
          </w:p>
        </w:tc>
        <w:tc>
          <w:tcPr>
            <w:tcW w:w="6804" w:type="dxa"/>
            <w:gridSpan w:val="7"/>
            <w:tcBorders>
              <w:top w:val="single" w:sz="6" w:space="0" w:color="auto"/>
              <w:left w:val="single" w:sz="6" w:space="0" w:color="auto"/>
              <w:bottom w:val="single" w:sz="6" w:space="0" w:color="auto"/>
              <w:right w:val="single" w:sz="6" w:space="0" w:color="auto"/>
            </w:tcBorders>
          </w:tcPr>
          <w:p w:rsidR="00EB6043" w:rsidRPr="00B75FD7" w:rsidRDefault="00EB6043" w:rsidP="00F069E5">
            <w:pPr>
              <w:autoSpaceDE w:val="0"/>
              <w:autoSpaceDN w:val="0"/>
              <w:adjustRightInd w:val="0"/>
              <w:rPr>
                <w:rFonts w:eastAsia="Calibri"/>
                <w:color w:val="000000"/>
                <w:sz w:val="22"/>
              </w:rPr>
            </w:pPr>
            <w:r w:rsidRPr="00B75FD7">
              <w:rPr>
                <w:rFonts w:eastAsia="Calibri"/>
                <w:color w:val="000000"/>
                <w:sz w:val="22"/>
              </w:rPr>
              <w:t xml:space="preserve">1. Проведення моніторингу поточного стану вікон та дверей закладу дошкільної освіти після </w:t>
            </w:r>
            <w:proofErr w:type="spellStart"/>
            <w:r w:rsidRPr="00B75FD7">
              <w:rPr>
                <w:rFonts w:eastAsia="Calibri"/>
                <w:color w:val="000000"/>
                <w:sz w:val="22"/>
              </w:rPr>
              <w:t>деокупаціі</w:t>
            </w:r>
            <w:proofErr w:type="spellEnd"/>
            <w:r w:rsidRPr="00B75FD7">
              <w:rPr>
                <w:rFonts w:eastAsia="Calibri"/>
                <w:color w:val="000000"/>
                <w:sz w:val="22"/>
              </w:rPr>
              <w:t xml:space="preserve">. </w:t>
            </w:r>
          </w:p>
          <w:p w:rsidR="00EB6043" w:rsidRPr="00B75FD7" w:rsidRDefault="00EB6043" w:rsidP="00F069E5">
            <w:pPr>
              <w:autoSpaceDE w:val="0"/>
              <w:autoSpaceDN w:val="0"/>
              <w:adjustRightInd w:val="0"/>
              <w:rPr>
                <w:rFonts w:eastAsia="Calibri"/>
                <w:color w:val="000000"/>
                <w:sz w:val="22"/>
              </w:rPr>
            </w:pPr>
            <w:r w:rsidRPr="00B75FD7">
              <w:rPr>
                <w:rFonts w:eastAsia="Calibri"/>
                <w:color w:val="000000"/>
                <w:sz w:val="22"/>
              </w:rPr>
              <w:t xml:space="preserve">2. Виготовлення </w:t>
            </w:r>
            <w:proofErr w:type="spellStart"/>
            <w:r w:rsidRPr="00B75FD7">
              <w:rPr>
                <w:rFonts w:eastAsia="Calibri"/>
                <w:color w:val="000000"/>
                <w:sz w:val="22"/>
              </w:rPr>
              <w:t>проєктно</w:t>
            </w:r>
            <w:proofErr w:type="spellEnd"/>
            <w:r w:rsidRPr="00B75FD7">
              <w:rPr>
                <w:rFonts w:eastAsia="Calibri"/>
                <w:color w:val="000000"/>
                <w:sz w:val="22"/>
              </w:rPr>
              <w:t xml:space="preserve">-кошторисної </w:t>
            </w:r>
            <w:proofErr w:type="spellStart"/>
            <w:r w:rsidRPr="00B75FD7">
              <w:rPr>
                <w:rFonts w:eastAsia="Calibri"/>
                <w:color w:val="000000"/>
                <w:sz w:val="22"/>
              </w:rPr>
              <w:t>документаціі</w:t>
            </w:r>
            <w:proofErr w:type="spellEnd"/>
            <w:r w:rsidRPr="00B75FD7">
              <w:rPr>
                <w:rFonts w:eastAsia="Calibri"/>
                <w:color w:val="000000"/>
                <w:sz w:val="22"/>
              </w:rPr>
              <w:t xml:space="preserve">. </w:t>
            </w:r>
          </w:p>
          <w:p w:rsidR="00EB6043" w:rsidRPr="00B75FD7" w:rsidRDefault="00EB6043" w:rsidP="00F069E5">
            <w:pPr>
              <w:autoSpaceDE w:val="0"/>
              <w:autoSpaceDN w:val="0"/>
              <w:adjustRightInd w:val="0"/>
              <w:rPr>
                <w:rFonts w:eastAsia="Calibri"/>
                <w:color w:val="000000"/>
                <w:sz w:val="22"/>
              </w:rPr>
            </w:pPr>
            <w:r w:rsidRPr="00B75FD7">
              <w:rPr>
                <w:rFonts w:eastAsia="Calibri"/>
                <w:color w:val="000000"/>
                <w:sz w:val="22"/>
              </w:rPr>
              <w:t xml:space="preserve">3. Вивчення ринкових пропозицій щодо вартості елементів конструкції та відповідних робіт з демонтажу та монтажу. </w:t>
            </w:r>
          </w:p>
          <w:p w:rsidR="00EB6043" w:rsidRPr="00B75FD7" w:rsidRDefault="00EB6043" w:rsidP="00F069E5">
            <w:pPr>
              <w:autoSpaceDE w:val="0"/>
              <w:autoSpaceDN w:val="0"/>
              <w:adjustRightInd w:val="0"/>
              <w:rPr>
                <w:rFonts w:eastAsia="Calibri"/>
                <w:color w:val="000000"/>
                <w:sz w:val="22"/>
              </w:rPr>
            </w:pPr>
            <w:r w:rsidRPr="00B75FD7">
              <w:rPr>
                <w:rFonts w:eastAsia="Calibri"/>
                <w:color w:val="000000"/>
                <w:sz w:val="22"/>
              </w:rPr>
              <w:t>4. Заключення договорів на проведення робіт.</w:t>
            </w:r>
          </w:p>
          <w:p w:rsidR="00EB6043" w:rsidRPr="00B75FD7" w:rsidRDefault="00EB6043" w:rsidP="00F069E5">
            <w:pPr>
              <w:autoSpaceDE w:val="0"/>
              <w:autoSpaceDN w:val="0"/>
              <w:adjustRightInd w:val="0"/>
              <w:rPr>
                <w:rFonts w:eastAsia="Calibri"/>
                <w:color w:val="000000"/>
                <w:sz w:val="22"/>
              </w:rPr>
            </w:pPr>
            <w:r w:rsidRPr="00B75FD7">
              <w:rPr>
                <w:rFonts w:eastAsia="Calibri"/>
                <w:color w:val="000000"/>
                <w:sz w:val="22"/>
              </w:rPr>
              <w:t xml:space="preserve">5. </w:t>
            </w:r>
            <w:proofErr w:type="spellStart"/>
            <w:r w:rsidRPr="00B75FD7">
              <w:rPr>
                <w:rFonts w:eastAsia="Calibri"/>
                <w:color w:val="000000"/>
                <w:sz w:val="22"/>
              </w:rPr>
              <w:t>Моніторінг</w:t>
            </w:r>
            <w:proofErr w:type="spellEnd"/>
            <w:r w:rsidRPr="00B75FD7">
              <w:rPr>
                <w:rFonts w:eastAsia="Calibri"/>
                <w:color w:val="000000"/>
                <w:sz w:val="22"/>
              </w:rPr>
              <w:t xml:space="preserve"> та оцінка </w:t>
            </w:r>
            <w:proofErr w:type="spellStart"/>
            <w:r w:rsidRPr="00B75FD7">
              <w:rPr>
                <w:rFonts w:eastAsia="Calibri"/>
                <w:color w:val="000000"/>
                <w:sz w:val="22"/>
              </w:rPr>
              <w:t>реалізаціі</w:t>
            </w:r>
            <w:proofErr w:type="spellEnd"/>
            <w:r w:rsidRPr="00B75FD7">
              <w:rPr>
                <w:rFonts w:eastAsia="Calibri"/>
                <w:color w:val="000000"/>
                <w:sz w:val="22"/>
              </w:rPr>
              <w:t xml:space="preserve"> </w:t>
            </w:r>
            <w:proofErr w:type="spellStart"/>
            <w:r w:rsidRPr="00B75FD7">
              <w:rPr>
                <w:rFonts w:eastAsia="Calibri"/>
                <w:color w:val="000000"/>
                <w:sz w:val="22"/>
              </w:rPr>
              <w:t>проєкту</w:t>
            </w:r>
            <w:proofErr w:type="spellEnd"/>
            <w:r w:rsidRPr="00B75FD7">
              <w:rPr>
                <w:rFonts w:eastAsia="Calibri"/>
                <w:color w:val="000000"/>
                <w:sz w:val="22"/>
              </w:rPr>
              <w:t xml:space="preserve">. </w:t>
            </w:r>
          </w:p>
          <w:p w:rsidR="00EB6043" w:rsidRPr="00B75FD7" w:rsidRDefault="00EB6043" w:rsidP="00F65D4F">
            <w:pPr>
              <w:autoSpaceDE w:val="0"/>
              <w:autoSpaceDN w:val="0"/>
              <w:adjustRightInd w:val="0"/>
              <w:rPr>
                <w:rFonts w:eastAsia="Calibri"/>
                <w:color w:val="000000"/>
                <w:sz w:val="22"/>
              </w:rPr>
            </w:pPr>
            <w:r w:rsidRPr="00B75FD7">
              <w:rPr>
                <w:rFonts w:eastAsia="Calibri"/>
                <w:color w:val="000000"/>
                <w:sz w:val="22"/>
              </w:rPr>
              <w:t xml:space="preserve">6. Інформування представників Сєвєродонецької територіальної громади щодо </w:t>
            </w:r>
            <w:proofErr w:type="spellStart"/>
            <w:r w:rsidRPr="00B75FD7">
              <w:rPr>
                <w:rFonts w:eastAsia="Calibri"/>
                <w:color w:val="000000"/>
                <w:sz w:val="22"/>
              </w:rPr>
              <w:t>реалізаціі</w:t>
            </w:r>
            <w:proofErr w:type="spellEnd"/>
            <w:r w:rsidRPr="00B75FD7">
              <w:rPr>
                <w:rFonts w:eastAsia="Calibri"/>
                <w:color w:val="000000"/>
                <w:sz w:val="22"/>
              </w:rPr>
              <w:t xml:space="preserve"> </w:t>
            </w:r>
            <w:proofErr w:type="spellStart"/>
            <w:r w:rsidRPr="00B75FD7">
              <w:rPr>
                <w:rFonts w:eastAsia="Calibri"/>
                <w:color w:val="000000"/>
                <w:sz w:val="22"/>
              </w:rPr>
              <w:t>проєкту</w:t>
            </w:r>
            <w:proofErr w:type="spellEnd"/>
            <w:r w:rsidRPr="00B75FD7">
              <w:rPr>
                <w:rFonts w:eastAsia="Calibri"/>
                <w:color w:val="000000"/>
                <w:sz w:val="22"/>
              </w:rPr>
              <w:t>,</w:t>
            </w:r>
            <w:r w:rsidR="00F65D4F" w:rsidRPr="00B75FD7">
              <w:rPr>
                <w:rFonts w:eastAsia="Calibri"/>
                <w:color w:val="000000"/>
                <w:sz w:val="22"/>
              </w:rPr>
              <w:t xml:space="preserve"> </w:t>
            </w:r>
            <w:r w:rsidRPr="00B75FD7">
              <w:rPr>
                <w:rFonts w:eastAsia="Calibri"/>
                <w:color w:val="000000"/>
                <w:sz w:val="22"/>
              </w:rPr>
              <w:t xml:space="preserve">висвітлення </w:t>
            </w:r>
            <w:proofErr w:type="spellStart"/>
            <w:r w:rsidRPr="00B75FD7">
              <w:rPr>
                <w:rFonts w:eastAsia="Calibri"/>
                <w:color w:val="000000"/>
                <w:sz w:val="22"/>
              </w:rPr>
              <w:t>реалізаціі</w:t>
            </w:r>
            <w:proofErr w:type="spellEnd"/>
            <w:r w:rsidRPr="00B75FD7">
              <w:rPr>
                <w:rFonts w:eastAsia="Calibri"/>
                <w:color w:val="000000"/>
                <w:sz w:val="22"/>
              </w:rPr>
              <w:t xml:space="preserve"> </w:t>
            </w:r>
            <w:proofErr w:type="spellStart"/>
            <w:r w:rsidRPr="00B75FD7">
              <w:rPr>
                <w:rFonts w:eastAsia="Calibri"/>
                <w:color w:val="000000"/>
                <w:sz w:val="22"/>
              </w:rPr>
              <w:t>проєкту</w:t>
            </w:r>
            <w:proofErr w:type="spellEnd"/>
            <w:r w:rsidRPr="00B75FD7">
              <w:rPr>
                <w:rFonts w:eastAsia="Calibri"/>
                <w:color w:val="000000"/>
                <w:sz w:val="22"/>
              </w:rPr>
              <w:t xml:space="preserve"> в засобах масової </w:t>
            </w:r>
            <w:proofErr w:type="spellStart"/>
            <w:r w:rsidRPr="00B75FD7">
              <w:rPr>
                <w:rFonts w:eastAsia="Calibri"/>
                <w:color w:val="000000"/>
                <w:sz w:val="22"/>
              </w:rPr>
              <w:t>інформаціі</w:t>
            </w:r>
            <w:proofErr w:type="spellEnd"/>
            <w:r w:rsidRPr="00B75FD7">
              <w:rPr>
                <w:rFonts w:eastAsia="Calibri"/>
                <w:color w:val="000000"/>
                <w:sz w:val="22"/>
              </w:rPr>
              <w:t xml:space="preserve"> (сайт закладу).</w:t>
            </w:r>
          </w:p>
        </w:tc>
      </w:tr>
      <w:tr w:rsidR="00EB6043" w:rsidRPr="00B75FD7" w:rsidTr="00E33AAA">
        <w:trPr>
          <w:trHeight w:val="600"/>
        </w:trPr>
        <w:tc>
          <w:tcPr>
            <w:tcW w:w="1448" w:type="dxa"/>
            <w:vMerge w:val="restart"/>
            <w:tcBorders>
              <w:top w:val="nil"/>
              <w:left w:val="nil"/>
              <w:right w:val="single" w:sz="4" w:space="0" w:color="auto"/>
            </w:tcBorders>
          </w:tcPr>
          <w:p w:rsidR="00EB6043" w:rsidRPr="00B75FD7" w:rsidRDefault="00EB6043" w:rsidP="00F069E5">
            <w:pPr>
              <w:autoSpaceDE w:val="0"/>
              <w:autoSpaceDN w:val="0"/>
              <w:adjustRightInd w:val="0"/>
              <w:jc w:val="right"/>
              <w:rPr>
                <w:rFonts w:eastAsia="Calibri"/>
                <w:color w:val="000000"/>
                <w:sz w:val="22"/>
              </w:rPr>
            </w:pPr>
          </w:p>
        </w:tc>
        <w:tc>
          <w:tcPr>
            <w:tcW w:w="3118" w:type="dxa"/>
            <w:vMerge w:val="restart"/>
            <w:tcBorders>
              <w:top w:val="single" w:sz="4" w:space="0" w:color="auto"/>
              <w:left w:val="single" w:sz="4" w:space="0" w:color="auto"/>
              <w:bottom w:val="single" w:sz="4" w:space="0" w:color="auto"/>
              <w:right w:val="single" w:sz="4" w:space="0" w:color="auto"/>
            </w:tcBorders>
            <w:shd w:val="clear" w:color="00FFFF" w:fill="C6D9F1" w:themeFill="text2" w:themeFillTint="33"/>
          </w:tcPr>
          <w:p w:rsidR="00EB6043" w:rsidRPr="00B75FD7" w:rsidRDefault="00EB6043" w:rsidP="00F069E5">
            <w:pPr>
              <w:autoSpaceDE w:val="0"/>
              <w:autoSpaceDN w:val="0"/>
              <w:adjustRightInd w:val="0"/>
              <w:rPr>
                <w:rFonts w:eastAsia="Calibri"/>
                <w:b/>
                <w:color w:val="000000"/>
                <w:sz w:val="22"/>
              </w:rPr>
            </w:pPr>
            <w:r w:rsidRPr="00B75FD7">
              <w:rPr>
                <w:rFonts w:eastAsia="Calibri"/>
                <w:b/>
                <w:color w:val="000000"/>
                <w:sz w:val="22"/>
              </w:rPr>
              <w:t>Орієнтовний обсяг та джерела фінансування тис. гривень</w:t>
            </w:r>
          </w:p>
        </w:tc>
        <w:tc>
          <w:tcPr>
            <w:tcW w:w="1276" w:type="dxa"/>
            <w:vMerge w:val="restart"/>
            <w:tcBorders>
              <w:top w:val="single" w:sz="4" w:space="0" w:color="auto"/>
              <w:left w:val="single" w:sz="4" w:space="0" w:color="auto"/>
              <w:bottom w:val="single" w:sz="4" w:space="0" w:color="auto"/>
              <w:right w:val="single" w:sz="4" w:space="0" w:color="auto"/>
            </w:tcBorders>
          </w:tcPr>
          <w:p w:rsidR="00EB6043" w:rsidRPr="00B75FD7" w:rsidRDefault="00EB6043" w:rsidP="00F069E5">
            <w:pPr>
              <w:autoSpaceDE w:val="0"/>
              <w:autoSpaceDN w:val="0"/>
              <w:adjustRightInd w:val="0"/>
              <w:rPr>
                <w:rFonts w:eastAsia="Calibri"/>
                <w:color w:val="000000"/>
                <w:sz w:val="22"/>
              </w:rPr>
            </w:pPr>
            <w:r w:rsidRPr="00B75FD7">
              <w:rPr>
                <w:rFonts w:eastAsia="Calibri"/>
                <w:color w:val="000000"/>
                <w:sz w:val="22"/>
              </w:rPr>
              <w:t>Державний бюджет</w:t>
            </w:r>
          </w:p>
        </w:tc>
        <w:tc>
          <w:tcPr>
            <w:tcW w:w="1134" w:type="dxa"/>
            <w:tcBorders>
              <w:top w:val="single" w:sz="4" w:space="0" w:color="auto"/>
              <w:left w:val="single" w:sz="4" w:space="0" w:color="auto"/>
              <w:bottom w:val="single" w:sz="4" w:space="0" w:color="auto"/>
              <w:right w:val="single" w:sz="4" w:space="0" w:color="auto"/>
            </w:tcBorders>
          </w:tcPr>
          <w:p w:rsidR="00EB6043" w:rsidRPr="00B75FD7" w:rsidRDefault="00EB6043" w:rsidP="00F069E5">
            <w:pPr>
              <w:autoSpaceDE w:val="0"/>
              <w:autoSpaceDN w:val="0"/>
              <w:adjustRightInd w:val="0"/>
              <w:rPr>
                <w:rFonts w:eastAsia="Calibri"/>
                <w:color w:val="000000"/>
                <w:sz w:val="22"/>
              </w:rPr>
            </w:pPr>
            <w:r w:rsidRPr="00B75FD7">
              <w:rPr>
                <w:rFonts w:eastAsia="Calibri"/>
                <w:color w:val="000000"/>
                <w:sz w:val="22"/>
              </w:rPr>
              <w:t>Місцевий бюджет</w:t>
            </w:r>
          </w:p>
        </w:tc>
        <w:tc>
          <w:tcPr>
            <w:tcW w:w="2835" w:type="dxa"/>
            <w:gridSpan w:val="4"/>
            <w:tcBorders>
              <w:top w:val="single" w:sz="4" w:space="0" w:color="auto"/>
              <w:left w:val="single" w:sz="4" w:space="0" w:color="auto"/>
              <w:bottom w:val="single" w:sz="4" w:space="0" w:color="auto"/>
              <w:right w:val="single" w:sz="4" w:space="0" w:color="auto"/>
            </w:tcBorders>
          </w:tcPr>
          <w:p w:rsidR="00EB6043" w:rsidRPr="00B75FD7" w:rsidRDefault="00EB6043" w:rsidP="00F069E5">
            <w:pPr>
              <w:autoSpaceDE w:val="0"/>
              <w:autoSpaceDN w:val="0"/>
              <w:adjustRightInd w:val="0"/>
              <w:rPr>
                <w:rFonts w:eastAsia="Calibri"/>
                <w:color w:val="000000"/>
                <w:sz w:val="22"/>
              </w:rPr>
            </w:pPr>
            <w:r w:rsidRPr="00B75FD7">
              <w:rPr>
                <w:rFonts w:eastAsia="Calibri"/>
                <w:color w:val="000000"/>
                <w:sz w:val="22"/>
              </w:rPr>
              <w:t>Інші джерела</w:t>
            </w:r>
          </w:p>
        </w:tc>
        <w:tc>
          <w:tcPr>
            <w:tcW w:w="1559" w:type="dxa"/>
            <w:tcBorders>
              <w:top w:val="single" w:sz="4" w:space="0" w:color="auto"/>
              <w:left w:val="single" w:sz="4" w:space="0" w:color="auto"/>
              <w:bottom w:val="single" w:sz="4" w:space="0" w:color="auto"/>
              <w:right w:val="single" w:sz="4" w:space="0" w:color="auto"/>
            </w:tcBorders>
          </w:tcPr>
          <w:p w:rsidR="00EB6043" w:rsidRPr="00B75FD7" w:rsidRDefault="00EB6043" w:rsidP="00F069E5">
            <w:pPr>
              <w:autoSpaceDE w:val="0"/>
              <w:autoSpaceDN w:val="0"/>
              <w:adjustRightInd w:val="0"/>
              <w:rPr>
                <w:rFonts w:eastAsia="Calibri"/>
                <w:color w:val="000000"/>
                <w:sz w:val="22"/>
              </w:rPr>
            </w:pPr>
            <w:r w:rsidRPr="00B75FD7">
              <w:rPr>
                <w:rFonts w:eastAsia="Calibri"/>
                <w:color w:val="000000"/>
                <w:sz w:val="22"/>
              </w:rPr>
              <w:t>Всього</w:t>
            </w:r>
          </w:p>
          <w:p w:rsidR="00EB6043" w:rsidRPr="00B75FD7" w:rsidRDefault="00EB6043" w:rsidP="00F069E5">
            <w:pPr>
              <w:autoSpaceDE w:val="0"/>
              <w:autoSpaceDN w:val="0"/>
              <w:adjustRightInd w:val="0"/>
              <w:rPr>
                <w:rFonts w:eastAsia="Calibri"/>
                <w:color w:val="000000"/>
                <w:sz w:val="22"/>
              </w:rPr>
            </w:pPr>
          </w:p>
        </w:tc>
      </w:tr>
      <w:tr w:rsidR="00EB6043" w:rsidRPr="00B75FD7" w:rsidTr="00E33AAA">
        <w:trPr>
          <w:trHeight w:val="65"/>
        </w:trPr>
        <w:tc>
          <w:tcPr>
            <w:tcW w:w="1448" w:type="dxa"/>
            <w:vMerge/>
            <w:tcBorders>
              <w:left w:val="nil"/>
              <w:right w:val="single" w:sz="4" w:space="0" w:color="auto"/>
            </w:tcBorders>
          </w:tcPr>
          <w:p w:rsidR="00EB6043" w:rsidRPr="00B75FD7" w:rsidRDefault="00EB6043" w:rsidP="00F069E5">
            <w:pPr>
              <w:autoSpaceDE w:val="0"/>
              <w:autoSpaceDN w:val="0"/>
              <w:adjustRightInd w:val="0"/>
              <w:jc w:val="right"/>
              <w:rPr>
                <w:rFonts w:eastAsia="Calibri"/>
                <w:color w:val="000000"/>
                <w:sz w:val="22"/>
              </w:rPr>
            </w:pPr>
          </w:p>
        </w:tc>
        <w:tc>
          <w:tcPr>
            <w:tcW w:w="3118" w:type="dxa"/>
            <w:vMerge/>
            <w:tcBorders>
              <w:top w:val="single" w:sz="4" w:space="0" w:color="auto"/>
              <w:left w:val="single" w:sz="4" w:space="0" w:color="auto"/>
              <w:bottom w:val="single" w:sz="4" w:space="0" w:color="auto"/>
              <w:right w:val="single" w:sz="4" w:space="0" w:color="auto"/>
            </w:tcBorders>
            <w:shd w:val="clear" w:color="00FFFF" w:fill="C6D9F1" w:themeFill="text2" w:themeFillTint="33"/>
          </w:tcPr>
          <w:p w:rsidR="00EB6043" w:rsidRPr="00B75FD7" w:rsidRDefault="00EB6043" w:rsidP="00F069E5">
            <w:pPr>
              <w:autoSpaceDE w:val="0"/>
              <w:autoSpaceDN w:val="0"/>
              <w:adjustRightInd w:val="0"/>
              <w:rPr>
                <w:rFonts w:eastAsia="Calibri"/>
                <w:b/>
                <w:color w:val="000000"/>
                <w:sz w:val="22"/>
              </w:rPr>
            </w:pPr>
          </w:p>
        </w:tc>
        <w:tc>
          <w:tcPr>
            <w:tcW w:w="1276" w:type="dxa"/>
            <w:vMerge/>
            <w:tcBorders>
              <w:top w:val="single" w:sz="4" w:space="0" w:color="auto"/>
              <w:left w:val="single" w:sz="4" w:space="0" w:color="auto"/>
              <w:bottom w:val="single" w:sz="4" w:space="0" w:color="auto"/>
              <w:right w:val="single" w:sz="4" w:space="0" w:color="auto"/>
            </w:tcBorders>
          </w:tcPr>
          <w:p w:rsidR="00EB6043" w:rsidRPr="00B75FD7" w:rsidRDefault="00EB6043" w:rsidP="00F069E5">
            <w:pPr>
              <w:autoSpaceDE w:val="0"/>
              <w:autoSpaceDN w:val="0"/>
              <w:adjustRightInd w:val="0"/>
              <w:rPr>
                <w:rFonts w:eastAsia="Calibri"/>
                <w:color w:val="000000"/>
                <w:sz w:val="22"/>
              </w:rPr>
            </w:pPr>
          </w:p>
        </w:tc>
        <w:tc>
          <w:tcPr>
            <w:tcW w:w="1134" w:type="dxa"/>
            <w:vMerge w:val="restart"/>
            <w:tcBorders>
              <w:top w:val="single" w:sz="4" w:space="0" w:color="auto"/>
              <w:left w:val="single" w:sz="4" w:space="0" w:color="auto"/>
              <w:right w:val="single" w:sz="4" w:space="0" w:color="auto"/>
            </w:tcBorders>
          </w:tcPr>
          <w:p w:rsidR="00EB6043" w:rsidRPr="00B75FD7" w:rsidRDefault="00EB6043" w:rsidP="00F069E5">
            <w:pPr>
              <w:autoSpaceDE w:val="0"/>
              <w:autoSpaceDN w:val="0"/>
              <w:adjustRightInd w:val="0"/>
              <w:jc w:val="center"/>
              <w:rPr>
                <w:rFonts w:eastAsia="Calibri"/>
                <w:color w:val="000000"/>
                <w:sz w:val="22"/>
              </w:rPr>
            </w:pPr>
            <w:r w:rsidRPr="00B75FD7">
              <w:rPr>
                <w:rFonts w:eastAsia="Calibri"/>
                <w:color w:val="000000"/>
                <w:sz w:val="22"/>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EB6043" w:rsidRPr="00B75FD7" w:rsidRDefault="00EB6043" w:rsidP="00F069E5">
            <w:pPr>
              <w:jc w:val="center"/>
              <w:rPr>
                <w:sz w:val="22"/>
              </w:rPr>
            </w:pPr>
            <w:r w:rsidRPr="00B75FD7">
              <w:rPr>
                <w:sz w:val="22"/>
              </w:rPr>
              <w:t>Обсяг,</w:t>
            </w:r>
          </w:p>
          <w:p w:rsidR="00EB6043" w:rsidRPr="00B75FD7" w:rsidRDefault="00EB6043" w:rsidP="00F069E5">
            <w:pPr>
              <w:jc w:val="center"/>
              <w:rPr>
                <w:sz w:val="22"/>
              </w:rPr>
            </w:pPr>
            <w:r w:rsidRPr="00B75FD7">
              <w:rPr>
                <w:sz w:val="22"/>
              </w:rPr>
              <w:t>тис. грн</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EB6043" w:rsidRPr="00B75FD7" w:rsidRDefault="00EB6043" w:rsidP="00F069E5">
            <w:pPr>
              <w:jc w:val="center"/>
              <w:rPr>
                <w:sz w:val="22"/>
              </w:rPr>
            </w:pPr>
            <w:r w:rsidRPr="00B75FD7">
              <w:rPr>
                <w:sz w:val="22"/>
              </w:rPr>
              <w:t>Назва джерела</w:t>
            </w:r>
          </w:p>
        </w:tc>
        <w:tc>
          <w:tcPr>
            <w:tcW w:w="1559" w:type="dxa"/>
            <w:vMerge w:val="restart"/>
            <w:tcBorders>
              <w:top w:val="single" w:sz="4" w:space="0" w:color="auto"/>
              <w:left w:val="single" w:sz="4" w:space="0" w:color="auto"/>
              <w:right w:val="single" w:sz="4" w:space="0" w:color="auto"/>
            </w:tcBorders>
          </w:tcPr>
          <w:p w:rsidR="00EB6043" w:rsidRPr="00B75FD7" w:rsidRDefault="00EB6043" w:rsidP="00F069E5">
            <w:pPr>
              <w:autoSpaceDE w:val="0"/>
              <w:autoSpaceDN w:val="0"/>
              <w:adjustRightInd w:val="0"/>
              <w:rPr>
                <w:rFonts w:eastAsia="Calibri"/>
                <w:color w:val="000000"/>
                <w:sz w:val="22"/>
              </w:rPr>
            </w:pPr>
            <w:r w:rsidRPr="00B75FD7">
              <w:rPr>
                <w:rFonts w:eastAsia="Calibri"/>
                <w:color w:val="000000"/>
                <w:sz w:val="22"/>
              </w:rPr>
              <w:t>7000,0</w:t>
            </w:r>
          </w:p>
        </w:tc>
      </w:tr>
      <w:tr w:rsidR="00EB6043" w:rsidRPr="00B75FD7" w:rsidTr="00E33AAA">
        <w:trPr>
          <w:trHeight w:val="1335"/>
        </w:trPr>
        <w:tc>
          <w:tcPr>
            <w:tcW w:w="1448" w:type="dxa"/>
            <w:vMerge/>
            <w:tcBorders>
              <w:left w:val="nil"/>
              <w:bottom w:val="nil"/>
              <w:right w:val="single" w:sz="4" w:space="0" w:color="auto"/>
            </w:tcBorders>
          </w:tcPr>
          <w:p w:rsidR="00EB6043" w:rsidRPr="00B75FD7" w:rsidRDefault="00EB6043" w:rsidP="00EB6043">
            <w:pPr>
              <w:autoSpaceDE w:val="0"/>
              <w:autoSpaceDN w:val="0"/>
              <w:adjustRightInd w:val="0"/>
              <w:jc w:val="right"/>
              <w:rPr>
                <w:rFonts w:eastAsia="Calibri"/>
                <w:color w:val="000000"/>
                <w:sz w:val="22"/>
              </w:rPr>
            </w:pPr>
          </w:p>
        </w:tc>
        <w:tc>
          <w:tcPr>
            <w:tcW w:w="3118" w:type="dxa"/>
            <w:vMerge/>
            <w:tcBorders>
              <w:top w:val="single" w:sz="4" w:space="0" w:color="auto"/>
              <w:left w:val="single" w:sz="4" w:space="0" w:color="auto"/>
              <w:bottom w:val="single" w:sz="4" w:space="0" w:color="auto"/>
              <w:right w:val="single" w:sz="4" w:space="0" w:color="auto"/>
            </w:tcBorders>
            <w:shd w:val="clear" w:color="00FFFF" w:fill="C6D9F1" w:themeFill="text2" w:themeFillTint="33"/>
          </w:tcPr>
          <w:p w:rsidR="00EB6043" w:rsidRPr="00B75FD7" w:rsidRDefault="00EB6043" w:rsidP="00EB6043">
            <w:pPr>
              <w:autoSpaceDE w:val="0"/>
              <w:autoSpaceDN w:val="0"/>
              <w:adjustRightInd w:val="0"/>
              <w:rPr>
                <w:rFonts w:eastAsia="Calibri"/>
                <w:b/>
                <w:color w:val="000000"/>
                <w:sz w:val="22"/>
              </w:rPr>
            </w:pPr>
          </w:p>
        </w:tc>
        <w:tc>
          <w:tcPr>
            <w:tcW w:w="1276" w:type="dxa"/>
            <w:tcBorders>
              <w:top w:val="single" w:sz="4" w:space="0" w:color="auto"/>
              <w:left w:val="single" w:sz="4" w:space="0" w:color="auto"/>
              <w:bottom w:val="single" w:sz="6" w:space="0" w:color="auto"/>
              <w:right w:val="single" w:sz="4" w:space="0" w:color="auto"/>
            </w:tcBorders>
          </w:tcPr>
          <w:p w:rsidR="00EB6043" w:rsidRPr="00B75FD7" w:rsidRDefault="00EB6043" w:rsidP="00F65D4F">
            <w:pPr>
              <w:autoSpaceDE w:val="0"/>
              <w:autoSpaceDN w:val="0"/>
              <w:adjustRightInd w:val="0"/>
              <w:jc w:val="center"/>
              <w:rPr>
                <w:rFonts w:eastAsia="Calibri"/>
                <w:color w:val="000000"/>
                <w:sz w:val="22"/>
              </w:rPr>
            </w:pPr>
            <w:r w:rsidRPr="00B75FD7">
              <w:rPr>
                <w:rFonts w:eastAsia="Calibri"/>
                <w:color w:val="000000"/>
                <w:sz w:val="22"/>
              </w:rPr>
              <w:t>500</w:t>
            </w:r>
          </w:p>
        </w:tc>
        <w:tc>
          <w:tcPr>
            <w:tcW w:w="1134" w:type="dxa"/>
            <w:vMerge/>
            <w:tcBorders>
              <w:left w:val="single" w:sz="4" w:space="0" w:color="auto"/>
              <w:bottom w:val="single" w:sz="6" w:space="0" w:color="auto"/>
              <w:right w:val="single" w:sz="4" w:space="0" w:color="auto"/>
            </w:tcBorders>
          </w:tcPr>
          <w:p w:rsidR="00EB6043" w:rsidRPr="00B75FD7" w:rsidRDefault="00EB6043" w:rsidP="00EB6043">
            <w:pPr>
              <w:autoSpaceDE w:val="0"/>
              <w:autoSpaceDN w:val="0"/>
              <w:adjustRightInd w:val="0"/>
              <w:rPr>
                <w:rFonts w:eastAsia="Calibri"/>
                <w:color w:val="000000"/>
                <w:sz w:val="22"/>
              </w:rPr>
            </w:pPr>
          </w:p>
        </w:tc>
        <w:tc>
          <w:tcPr>
            <w:tcW w:w="1276" w:type="dxa"/>
            <w:gridSpan w:val="2"/>
            <w:tcBorders>
              <w:top w:val="single" w:sz="4" w:space="0" w:color="auto"/>
              <w:left w:val="single" w:sz="4" w:space="0" w:color="auto"/>
              <w:bottom w:val="single" w:sz="6" w:space="0" w:color="auto"/>
              <w:right w:val="single" w:sz="6" w:space="0" w:color="auto"/>
            </w:tcBorders>
          </w:tcPr>
          <w:p w:rsidR="00EB6043" w:rsidRPr="00B75FD7" w:rsidRDefault="00EB6043" w:rsidP="00EB6043">
            <w:pPr>
              <w:autoSpaceDE w:val="0"/>
              <w:autoSpaceDN w:val="0"/>
              <w:adjustRightInd w:val="0"/>
              <w:rPr>
                <w:rFonts w:eastAsia="Calibri"/>
                <w:color w:val="000000"/>
                <w:sz w:val="22"/>
              </w:rPr>
            </w:pPr>
            <w:r w:rsidRPr="00B75FD7">
              <w:rPr>
                <w:rFonts w:eastAsia="Calibri"/>
                <w:color w:val="000000"/>
                <w:sz w:val="22"/>
              </w:rPr>
              <w:t xml:space="preserve">6500 </w:t>
            </w:r>
          </w:p>
        </w:tc>
        <w:tc>
          <w:tcPr>
            <w:tcW w:w="1559" w:type="dxa"/>
            <w:gridSpan w:val="2"/>
            <w:tcBorders>
              <w:top w:val="single" w:sz="4" w:space="0" w:color="auto"/>
              <w:left w:val="single" w:sz="6" w:space="0" w:color="auto"/>
              <w:bottom w:val="single" w:sz="6" w:space="0" w:color="auto"/>
              <w:right w:val="single" w:sz="4" w:space="0" w:color="auto"/>
            </w:tcBorders>
          </w:tcPr>
          <w:p w:rsidR="00EB6043" w:rsidRPr="00B75FD7" w:rsidRDefault="00F65D4F" w:rsidP="00F65D4F">
            <w:pPr>
              <w:rPr>
                <w:color w:val="000000"/>
                <w:sz w:val="22"/>
              </w:rPr>
            </w:pPr>
            <w:r w:rsidRPr="00B75FD7">
              <w:rPr>
                <w:color w:val="000000"/>
                <w:sz w:val="22"/>
              </w:rPr>
              <w:t>Міжнародні інвестиції</w:t>
            </w:r>
          </w:p>
        </w:tc>
        <w:tc>
          <w:tcPr>
            <w:tcW w:w="1559" w:type="dxa"/>
            <w:vMerge/>
            <w:tcBorders>
              <w:left w:val="single" w:sz="4" w:space="0" w:color="auto"/>
              <w:bottom w:val="single" w:sz="6" w:space="0" w:color="auto"/>
              <w:right w:val="single" w:sz="4" w:space="0" w:color="auto"/>
            </w:tcBorders>
          </w:tcPr>
          <w:p w:rsidR="00EB6043" w:rsidRPr="00B75FD7" w:rsidRDefault="00EB6043" w:rsidP="00EB6043">
            <w:pPr>
              <w:autoSpaceDE w:val="0"/>
              <w:autoSpaceDN w:val="0"/>
              <w:adjustRightInd w:val="0"/>
              <w:rPr>
                <w:rFonts w:eastAsia="Calibri"/>
                <w:color w:val="000000"/>
                <w:sz w:val="22"/>
              </w:rPr>
            </w:pPr>
          </w:p>
        </w:tc>
      </w:tr>
    </w:tbl>
    <w:p w:rsidR="003B1026" w:rsidRPr="00B75FD7" w:rsidRDefault="003B1026" w:rsidP="00E95FB1">
      <w:pPr>
        <w:rPr>
          <w:sz w:val="22"/>
        </w:rPr>
      </w:pPr>
    </w:p>
    <w:p w:rsidR="003B1026" w:rsidRPr="00B75FD7" w:rsidRDefault="003B1026" w:rsidP="00E95FB1">
      <w:pPr>
        <w:rPr>
          <w:sz w:val="22"/>
        </w:rPr>
      </w:pPr>
    </w:p>
    <w:tbl>
      <w:tblPr>
        <w:tblpPr w:leftFromText="180" w:rightFromText="180" w:vertAnchor="text" w:horzAnchor="margin" w:tblpX="-224" w:tblpY="183"/>
        <w:tblW w:w="9923" w:type="dxa"/>
        <w:tblLayout w:type="fixed"/>
        <w:tblCellMar>
          <w:left w:w="30" w:type="dxa"/>
          <w:right w:w="30" w:type="dxa"/>
        </w:tblCellMar>
        <w:tblLook w:val="0000" w:firstRow="0" w:lastRow="0" w:firstColumn="0" w:lastColumn="0" w:noHBand="0" w:noVBand="0"/>
      </w:tblPr>
      <w:tblGrid>
        <w:gridCol w:w="3119"/>
        <w:gridCol w:w="1276"/>
        <w:gridCol w:w="1134"/>
        <w:gridCol w:w="567"/>
        <w:gridCol w:w="567"/>
        <w:gridCol w:w="1417"/>
        <w:gridCol w:w="426"/>
        <w:gridCol w:w="1417"/>
      </w:tblGrid>
      <w:tr w:rsidR="00EB6043" w:rsidRPr="00B75FD7" w:rsidTr="00E33AAA">
        <w:trPr>
          <w:trHeight w:val="522"/>
        </w:trPr>
        <w:tc>
          <w:tcPr>
            <w:tcW w:w="3119"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B6043" w:rsidRPr="00B75FD7" w:rsidRDefault="00EB6043" w:rsidP="00E33AAA">
            <w:pPr>
              <w:autoSpaceDE w:val="0"/>
              <w:autoSpaceDN w:val="0"/>
              <w:adjustRightInd w:val="0"/>
              <w:rPr>
                <w:rFonts w:eastAsia="Calibri"/>
                <w:b/>
                <w:sz w:val="22"/>
              </w:rPr>
            </w:pPr>
            <w:r w:rsidRPr="00B75FD7">
              <w:rPr>
                <w:rFonts w:eastAsia="Calibri"/>
                <w:b/>
                <w:sz w:val="22"/>
              </w:rPr>
              <w:t>Оперативна ціль/завдання</w:t>
            </w:r>
          </w:p>
        </w:tc>
        <w:tc>
          <w:tcPr>
            <w:tcW w:w="6804" w:type="dxa"/>
            <w:gridSpan w:val="7"/>
            <w:tcBorders>
              <w:top w:val="single" w:sz="6" w:space="0" w:color="auto"/>
              <w:left w:val="single" w:sz="6" w:space="0" w:color="auto"/>
              <w:bottom w:val="single" w:sz="6" w:space="0" w:color="auto"/>
              <w:right w:val="single" w:sz="6" w:space="0" w:color="auto"/>
            </w:tcBorders>
          </w:tcPr>
          <w:p w:rsidR="00EB6043" w:rsidRPr="00B75FD7" w:rsidRDefault="00EB6043" w:rsidP="00E33AAA">
            <w:pPr>
              <w:autoSpaceDE w:val="0"/>
              <w:autoSpaceDN w:val="0"/>
              <w:adjustRightInd w:val="0"/>
              <w:rPr>
                <w:rFonts w:eastAsia="Calibri"/>
                <w:color w:val="FF0000"/>
                <w:sz w:val="22"/>
              </w:rPr>
            </w:pPr>
            <w:r w:rsidRPr="00B75FD7">
              <w:rPr>
                <w:rFonts w:eastAsia="Calibri"/>
                <w:color w:val="000000"/>
                <w:sz w:val="22"/>
              </w:rPr>
              <w:t xml:space="preserve">Людський розвиток через інновації управління та довіру до влади. Формування сучасного інклюзивного  </w:t>
            </w:r>
            <w:proofErr w:type="spellStart"/>
            <w:r w:rsidRPr="00B75FD7">
              <w:rPr>
                <w:rFonts w:eastAsia="Calibri"/>
                <w:color w:val="000000"/>
                <w:sz w:val="22"/>
              </w:rPr>
              <w:t>освітньо</w:t>
            </w:r>
            <w:proofErr w:type="spellEnd"/>
            <w:r w:rsidRPr="00B75FD7">
              <w:rPr>
                <w:rFonts w:eastAsia="Calibri"/>
                <w:color w:val="000000"/>
                <w:sz w:val="22"/>
              </w:rPr>
              <w:t>-культурного та спортивного простору для розвитку</w:t>
            </w:r>
          </w:p>
        </w:tc>
      </w:tr>
      <w:tr w:rsidR="00EB6043" w:rsidRPr="00B75FD7" w:rsidTr="00E33AAA">
        <w:trPr>
          <w:trHeight w:val="650"/>
        </w:trPr>
        <w:tc>
          <w:tcPr>
            <w:tcW w:w="3119"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B6043" w:rsidRPr="00B75FD7" w:rsidRDefault="00EB6043" w:rsidP="00E33AAA">
            <w:pPr>
              <w:autoSpaceDE w:val="0"/>
              <w:autoSpaceDN w:val="0"/>
              <w:adjustRightInd w:val="0"/>
              <w:rPr>
                <w:rFonts w:eastAsia="Calibri"/>
                <w:b/>
                <w:color w:val="000000"/>
                <w:sz w:val="22"/>
              </w:rPr>
            </w:pPr>
            <w:r w:rsidRPr="00B75FD7">
              <w:rPr>
                <w:rFonts w:eastAsia="Calibri"/>
                <w:b/>
                <w:color w:val="000000"/>
                <w:sz w:val="22"/>
              </w:rPr>
              <w:t xml:space="preserve">Назва </w:t>
            </w:r>
            <w:proofErr w:type="spellStart"/>
            <w:r w:rsidRPr="00B75FD7">
              <w:rPr>
                <w:rFonts w:eastAsia="Calibri"/>
                <w:b/>
                <w:color w:val="000000"/>
                <w:sz w:val="22"/>
              </w:rPr>
              <w:t>проєкту</w:t>
            </w:r>
            <w:proofErr w:type="spellEnd"/>
            <w:r w:rsidRPr="00B75FD7">
              <w:rPr>
                <w:rFonts w:eastAsia="Calibri"/>
                <w:b/>
                <w:color w:val="000000"/>
                <w:sz w:val="22"/>
              </w:rPr>
              <w:t>:</w:t>
            </w:r>
          </w:p>
        </w:tc>
        <w:tc>
          <w:tcPr>
            <w:tcW w:w="6804" w:type="dxa"/>
            <w:gridSpan w:val="7"/>
            <w:tcBorders>
              <w:top w:val="single" w:sz="6" w:space="0" w:color="auto"/>
              <w:left w:val="single" w:sz="6" w:space="0" w:color="auto"/>
              <w:bottom w:val="single" w:sz="6" w:space="0" w:color="auto"/>
              <w:right w:val="single" w:sz="6" w:space="0" w:color="auto"/>
            </w:tcBorders>
          </w:tcPr>
          <w:p w:rsidR="00EB6043" w:rsidRPr="00B75FD7" w:rsidRDefault="00EB6043" w:rsidP="00E33AAA">
            <w:pPr>
              <w:autoSpaceDE w:val="0"/>
              <w:autoSpaceDN w:val="0"/>
              <w:adjustRightInd w:val="0"/>
              <w:rPr>
                <w:rFonts w:eastAsia="Calibri"/>
                <w:color w:val="000000"/>
                <w:sz w:val="22"/>
              </w:rPr>
            </w:pPr>
            <w:r w:rsidRPr="00B75FD7">
              <w:rPr>
                <w:rFonts w:eastAsia="Calibri"/>
                <w:color w:val="000000"/>
                <w:sz w:val="22"/>
              </w:rPr>
              <w:t>Оснащення кабінетів фахівців, спортивної та музичної зал, фахівців допоміжних служб Ясел-садка №14 міста Сєвєродонецька Луганської області, вул. Автомобільна, буд.7А</w:t>
            </w:r>
          </w:p>
        </w:tc>
      </w:tr>
      <w:tr w:rsidR="00EB6043" w:rsidRPr="00B75FD7" w:rsidTr="00E33AAA">
        <w:trPr>
          <w:trHeight w:val="840"/>
        </w:trPr>
        <w:tc>
          <w:tcPr>
            <w:tcW w:w="3119"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B6043" w:rsidRPr="00B75FD7" w:rsidRDefault="00EB6043" w:rsidP="00E33AAA">
            <w:pPr>
              <w:autoSpaceDE w:val="0"/>
              <w:autoSpaceDN w:val="0"/>
              <w:adjustRightInd w:val="0"/>
              <w:rPr>
                <w:rFonts w:eastAsia="Calibri"/>
                <w:b/>
                <w:color w:val="000000"/>
                <w:sz w:val="22"/>
              </w:rPr>
            </w:pPr>
            <w:r w:rsidRPr="00B75FD7">
              <w:rPr>
                <w:rFonts w:eastAsia="Calibri"/>
                <w:b/>
                <w:color w:val="000000"/>
                <w:sz w:val="22"/>
              </w:rPr>
              <w:t xml:space="preserve">Ціль </w:t>
            </w:r>
            <w:proofErr w:type="spellStart"/>
            <w:r w:rsidRPr="00B75FD7">
              <w:rPr>
                <w:rFonts w:eastAsia="Calibri"/>
                <w:b/>
                <w:color w:val="000000"/>
                <w:sz w:val="22"/>
              </w:rPr>
              <w:t>проєкту</w:t>
            </w:r>
            <w:proofErr w:type="spellEnd"/>
          </w:p>
        </w:tc>
        <w:tc>
          <w:tcPr>
            <w:tcW w:w="6804" w:type="dxa"/>
            <w:gridSpan w:val="7"/>
            <w:tcBorders>
              <w:top w:val="single" w:sz="6" w:space="0" w:color="auto"/>
              <w:left w:val="single" w:sz="6" w:space="0" w:color="auto"/>
              <w:bottom w:val="single" w:sz="6" w:space="0" w:color="auto"/>
              <w:right w:val="single" w:sz="6" w:space="0" w:color="auto"/>
            </w:tcBorders>
          </w:tcPr>
          <w:p w:rsidR="00EB6043" w:rsidRPr="00B75FD7" w:rsidRDefault="00EB6043" w:rsidP="00E33AAA">
            <w:pPr>
              <w:autoSpaceDE w:val="0"/>
              <w:autoSpaceDN w:val="0"/>
              <w:adjustRightInd w:val="0"/>
              <w:rPr>
                <w:rFonts w:eastAsia="Calibri"/>
                <w:color w:val="000000"/>
                <w:sz w:val="22"/>
              </w:rPr>
            </w:pPr>
            <w:r w:rsidRPr="00B75FD7">
              <w:rPr>
                <w:rFonts w:eastAsia="Calibri"/>
                <w:color w:val="000000"/>
                <w:sz w:val="22"/>
              </w:rPr>
              <w:t>Створення безпечних, сучасних та комфортних умов для перебування учасників освітнього процесу Ясел-садка №14 Сєвєродонецька Луганської області</w:t>
            </w:r>
          </w:p>
        </w:tc>
      </w:tr>
      <w:tr w:rsidR="00EB6043" w:rsidRPr="00B75FD7" w:rsidTr="00E33AAA">
        <w:trPr>
          <w:trHeight w:val="273"/>
        </w:trPr>
        <w:tc>
          <w:tcPr>
            <w:tcW w:w="3119"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B6043" w:rsidRPr="00B75FD7" w:rsidRDefault="00EB6043" w:rsidP="00E33AAA">
            <w:pPr>
              <w:autoSpaceDE w:val="0"/>
              <w:autoSpaceDN w:val="0"/>
              <w:adjustRightInd w:val="0"/>
              <w:rPr>
                <w:rFonts w:eastAsia="Calibri"/>
                <w:b/>
                <w:color w:val="000000"/>
                <w:sz w:val="22"/>
              </w:rPr>
            </w:pPr>
            <w:r w:rsidRPr="00B75FD7">
              <w:rPr>
                <w:rFonts w:eastAsia="Calibri"/>
                <w:b/>
                <w:color w:val="000000"/>
                <w:sz w:val="22"/>
              </w:rPr>
              <w:t xml:space="preserve">Територія, на яку матиме вплив реалізація </w:t>
            </w:r>
            <w:proofErr w:type="spellStart"/>
            <w:r w:rsidRPr="00B75FD7">
              <w:rPr>
                <w:rFonts w:eastAsia="Calibri"/>
                <w:b/>
                <w:color w:val="000000"/>
                <w:sz w:val="22"/>
              </w:rPr>
              <w:t>проєкту</w:t>
            </w:r>
            <w:proofErr w:type="spellEnd"/>
          </w:p>
        </w:tc>
        <w:tc>
          <w:tcPr>
            <w:tcW w:w="6804" w:type="dxa"/>
            <w:gridSpan w:val="7"/>
            <w:tcBorders>
              <w:top w:val="single" w:sz="6" w:space="0" w:color="auto"/>
              <w:left w:val="single" w:sz="6" w:space="0" w:color="auto"/>
              <w:bottom w:val="single" w:sz="6" w:space="0" w:color="auto"/>
              <w:right w:val="single" w:sz="6" w:space="0" w:color="auto"/>
            </w:tcBorders>
          </w:tcPr>
          <w:p w:rsidR="00EB6043" w:rsidRPr="00B75FD7" w:rsidRDefault="00EB6043" w:rsidP="00E33AAA">
            <w:pPr>
              <w:autoSpaceDE w:val="0"/>
              <w:autoSpaceDN w:val="0"/>
              <w:adjustRightInd w:val="0"/>
              <w:rPr>
                <w:rFonts w:eastAsia="Calibri"/>
                <w:color w:val="000000"/>
                <w:sz w:val="22"/>
              </w:rPr>
            </w:pPr>
            <w:r w:rsidRPr="00B75FD7">
              <w:rPr>
                <w:rFonts w:eastAsia="Calibri"/>
                <w:color w:val="000000"/>
                <w:sz w:val="22"/>
              </w:rPr>
              <w:t>Сєвєродонецька міська територіальна громада</w:t>
            </w:r>
          </w:p>
        </w:tc>
      </w:tr>
      <w:tr w:rsidR="00EB6043" w:rsidRPr="00B75FD7" w:rsidTr="00E33AAA">
        <w:trPr>
          <w:trHeight w:val="796"/>
        </w:trPr>
        <w:tc>
          <w:tcPr>
            <w:tcW w:w="3119"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B6043" w:rsidRPr="00B75FD7" w:rsidRDefault="00EB6043" w:rsidP="00E33AAA">
            <w:pPr>
              <w:autoSpaceDE w:val="0"/>
              <w:autoSpaceDN w:val="0"/>
              <w:adjustRightInd w:val="0"/>
              <w:rPr>
                <w:rFonts w:eastAsia="Calibri"/>
                <w:b/>
                <w:color w:val="000000"/>
                <w:sz w:val="22"/>
              </w:rPr>
            </w:pPr>
            <w:r w:rsidRPr="00B75FD7">
              <w:rPr>
                <w:rFonts w:eastAsia="Calibri"/>
                <w:b/>
                <w:color w:val="000000"/>
                <w:sz w:val="22"/>
              </w:rPr>
              <w:t>Чисельність населення, на яке матиме вплив реалізація проекту</w:t>
            </w:r>
          </w:p>
        </w:tc>
        <w:tc>
          <w:tcPr>
            <w:tcW w:w="6804" w:type="dxa"/>
            <w:gridSpan w:val="7"/>
            <w:tcBorders>
              <w:top w:val="single" w:sz="6" w:space="0" w:color="auto"/>
              <w:left w:val="single" w:sz="6" w:space="0" w:color="auto"/>
              <w:bottom w:val="single" w:sz="6" w:space="0" w:color="auto"/>
              <w:right w:val="single" w:sz="6" w:space="0" w:color="auto"/>
            </w:tcBorders>
          </w:tcPr>
          <w:p w:rsidR="00EB6043" w:rsidRPr="00B75FD7" w:rsidRDefault="00EB6043" w:rsidP="00E33AAA">
            <w:pPr>
              <w:autoSpaceDE w:val="0"/>
              <w:autoSpaceDN w:val="0"/>
              <w:adjustRightInd w:val="0"/>
              <w:rPr>
                <w:rFonts w:eastAsia="Calibri"/>
                <w:color w:val="000000"/>
                <w:sz w:val="22"/>
              </w:rPr>
            </w:pPr>
            <w:r w:rsidRPr="00B75FD7">
              <w:rPr>
                <w:rFonts w:eastAsia="Calibri"/>
                <w:color w:val="000000"/>
                <w:sz w:val="22"/>
              </w:rPr>
              <w:t>70 000</w:t>
            </w:r>
          </w:p>
        </w:tc>
      </w:tr>
      <w:tr w:rsidR="00EB6043" w:rsidRPr="00B75FD7" w:rsidTr="00E33AAA">
        <w:trPr>
          <w:trHeight w:val="1186"/>
        </w:trPr>
        <w:tc>
          <w:tcPr>
            <w:tcW w:w="3119"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B6043" w:rsidRPr="00B75FD7" w:rsidRDefault="00EB6043" w:rsidP="00E33AAA">
            <w:pPr>
              <w:autoSpaceDE w:val="0"/>
              <w:autoSpaceDN w:val="0"/>
              <w:adjustRightInd w:val="0"/>
              <w:rPr>
                <w:rFonts w:eastAsia="Calibri"/>
                <w:b/>
                <w:color w:val="000000"/>
                <w:sz w:val="22"/>
              </w:rPr>
            </w:pPr>
            <w:r w:rsidRPr="00B75FD7">
              <w:rPr>
                <w:rFonts w:eastAsia="Calibri"/>
                <w:b/>
                <w:color w:val="000000"/>
                <w:sz w:val="22"/>
              </w:rPr>
              <w:t xml:space="preserve">Опис проблеми, на вирішення якої спрямований </w:t>
            </w:r>
            <w:proofErr w:type="spellStart"/>
            <w:r w:rsidRPr="00B75FD7">
              <w:rPr>
                <w:rFonts w:eastAsia="Calibri"/>
                <w:b/>
                <w:color w:val="000000"/>
                <w:sz w:val="22"/>
              </w:rPr>
              <w:t>проєкт</w:t>
            </w:r>
            <w:proofErr w:type="spellEnd"/>
          </w:p>
        </w:tc>
        <w:tc>
          <w:tcPr>
            <w:tcW w:w="6804" w:type="dxa"/>
            <w:gridSpan w:val="7"/>
            <w:tcBorders>
              <w:top w:val="single" w:sz="6" w:space="0" w:color="auto"/>
              <w:left w:val="single" w:sz="6" w:space="0" w:color="auto"/>
              <w:bottom w:val="single" w:sz="6" w:space="0" w:color="auto"/>
              <w:right w:val="single" w:sz="6" w:space="0" w:color="auto"/>
            </w:tcBorders>
          </w:tcPr>
          <w:p w:rsidR="00EB6043" w:rsidRPr="00B75FD7" w:rsidRDefault="00F96884" w:rsidP="00F96884">
            <w:pPr>
              <w:autoSpaceDE w:val="0"/>
              <w:autoSpaceDN w:val="0"/>
              <w:adjustRightInd w:val="0"/>
              <w:rPr>
                <w:rFonts w:eastAsia="Calibri"/>
                <w:color w:val="000000"/>
                <w:sz w:val="22"/>
              </w:rPr>
            </w:pPr>
            <w:r w:rsidRPr="00B75FD7">
              <w:rPr>
                <w:rFonts w:eastAsia="Calibri"/>
                <w:color w:val="000000"/>
                <w:sz w:val="22"/>
              </w:rPr>
              <w:t>В</w:t>
            </w:r>
            <w:r w:rsidR="00EB6043" w:rsidRPr="00B75FD7">
              <w:rPr>
                <w:rFonts w:eastAsia="Calibri"/>
                <w:color w:val="000000"/>
                <w:sz w:val="22"/>
              </w:rPr>
              <w:t>наслідок збройної агресії РФ міста Сєвєродонецька Луганської області, обстрілів цивільної інфраструктури, у тому числі Ясел-садка №14, сталися потрапляння снарядів по території закладу дошкільної освіти та у дах Ясел-садка №14, що призвело до зіпсування, пошкодження, виходу з ладу оснащення,  дитячих меблів, меблів кабінетів фахівців, допоміжних служб. Відповідні наслідки унеможливлюють організацію якісної освіти у повоєнний час.  З'ясовування стану кабінетів фахівців здійснювалося на основі світлин та відеоматеріалів опублікованих в  інтернеті.</w:t>
            </w:r>
          </w:p>
        </w:tc>
      </w:tr>
      <w:tr w:rsidR="00EB6043" w:rsidRPr="00B75FD7" w:rsidTr="00E33AAA">
        <w:trPr>
          <w:trHeight w:val="1190"/>
        </w:trPr>
        <w:tc>
          <w:tcPr>
            <w:tcW w:w="3119"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B6043" w:rsidRPr="00B75FD7" w:rsidRDefault="00EB6043" w:rsidP="00E33AAA">
            <w:pPr>
              <w:autoSpaceDE w:val="0"/>
              <w:autoSpaceDN w:val="0"/>
              <w:adjustRightInd w:val="0"/>
              <w:rPr>
                <w:rFonts w:eastAsia="Calibri"/>
                <w:b/>
                <w:color w:val="000000"/>
                <w:sz w:val="22"/>
              </w:rPr>
            </w:pPr>
            <w:r w:rsidRPr="00B75FD7">
              <w:rPr>
                <w:rFonts w:eastAsia="Calibri"/>
                <w:b/>
                <w:color w:val="000000"/>
                <w:sz w:val="22"/>
              </w:rPr>
              <w:lastRenderedPageBreak/>
              <w:t xml:space="preserve">Очікувані якісні результати від реалізації </w:t>
            </w:r>
            <w:proofErr w:type="spellStart"/>
            <w:r w:rsidRPr="00B75FD7">
              <w:rPr>
                <w:rFonts w:eastAsia="Calibri"/>
                <w:b/>
                <w:color w:val="000000"/>
                <w:sz w:val="22"/>
              </w:rPr>
              <w:t>проєкту</w:t>
            </w:r>
            <w:proofErr w:type="spellEnd"/>
          </w:p>
        </w:tc>
        <w:tc>
          <w:tcPr>
            <w:tcW w:w="6804" w:type="dxa"/>
            <w:gridSpan w:val="7"/>
            <w:tcBorders>
              <w:top w:val="single" w:sz="6" w:space="0" w:color="auto"/>
              <w:left w:val="single" w:sz="6" w:space="0" w:color="auto"/>
              <w:bottom w:val="single" w:sz="6" w:space="0" w:color="auto"/>
              <w:right w:val="single" w:sz="6" w:space="0" w:color="auto"/>
            </w:tcBorders>
          </w:tcPr>
          <w:p w:rsidR="00EB6043" w:rsidRPr="00B75FD7" w:rsidRDefault="00EB6043" w:rsidP="00E33AAA">
            <w:pPr>
              <w:autoSpaceDE w:val="0"/>
              <w:autoSpaceDN w:val="0"/>
              <w:adjustRightInd w:val="0"/>
              <w:rPr>
                <w:rFonts w:eastAsia="Calibri"/>
                <w:color w:val="000000"/>
                <w:sz w:val="22"/>
              </w:rPr>
            </w:pPr>
            <w:r w:rsidRPr="00B75FD7">
              <w:rPr>
                <w:rFonts w:eastAsia="Calibri"/>
                <w:color w:val="000000"/>
                <w:sz w:val="22"/>
              </w:rPr>
              <w:t>Створення безпечних та комфортних умов для перебування вихованців та персоналу.</w:t>
            </w:r>
          </w:p>
          <w:p w:rsidR="00EB6043" w:rsidRPr="00B75FD7" w:rsidRDefault="00EB6043" w:rsidP="00E33AAA">
            <w:pPr>
              <w:autoSpaceDE w:val="0"/>
              <w:autoSpaceDN w:val="0"/>
              <w:adjustRightInd w:val="0"/>
              <w:rPr>
                <w:rFonts w:eastAsia="Calibri"/>
                <w:sz w:val="22"/>
              </w:rPr>
            </w:pPr>
            <w:r w:rsidRPr="00B75FD7">
              <w:rPr>
                <w:rFonts w:eastAsia="Calibri"/>
                <w:color w:val="000000"/>
                <w:sz w:val="22"/>
              </w:rPr>
              <w:t>Організація сучасного освітнього простору Ясел-садка №14 міста Сєвєродонецька Луганської області.</w:t>
            </w:r>
            <w:r w:rsidRPr="00B75FD7">
              <w:rPr>
                <w:rFonts w:eastAsia="Calibri"/>
                <w:sz w:val="22"/>
              </w:rPr>
              <w:t xml:space="preserve"> </w:t>
            </w:r>
          </w:p>
        </w:tc>
      </w:tr>
      <w:tr w:rsidR="00EB6043" w:rsidRPr="00B75FD7" w:rsidTr="00E33AAA">
        <w:trPr>
          <w:trHeight w:val="546"/>
        </w:trPr>
        <w:tc>
          <w:tcPr>
            <w:tcW w:w="3119"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B6043" w:rsidRPr="00B75FD7" w:rsidRDefault="00EB6043" w:rsidP="00E33AAA">
            <w:pPr>
              <w:autoSpaceDE w:val="0"/>
              <w:autoSpaceDN w:val="0"/>
              <w:adjustRightInd w:val="0"/>
              <w:rPr>
                <w:rFonts w:eastAsia="Calibri"/>
                <w:b/>
                <w:color w:val="000000"/>
                <w:sz w:val="22"/>
              </w:rPr>
            </w:pPr>
            <w:r w:rsidRPr="00B75FD7">
              <w:rPr>
                <w:rFonts w:eastAsia="Calibri"/>
                <w:b/>
                <w:color w:val="000000"/>
                <w:sz w:val="22"/>
              </w:rPr>
              <w:t xml:space="preserve">Очікувані кількісні результати від реалізації </w:t>
            </w:r>
            <w:proofErr w:type="spellStart"/>
            <w:r w:rsidRPr="00B75FD7">
              <w:rPr>
                <w:rFonts w:eastAsia="Calibri"/>
                <w:b/>
                <w:color w:val="000000"/>
                <w:sz w:val="22"/>
              </w:rPr>
              <w:t>проєкту</w:t>
            </w:r>
            <w:proofErr w:type="spellEnd"/>
            <w:r w:rsidRPr="00B75FD7">
              <w:rPr>
                <w:rFonts w:eastAsia="Calibri"/>
                <w:b/>
                <w:color w:val="000000"/>
                <w:sz w:val="22"/>
              </w:rPr>
              <w:t xml:space="preserve">  (індикатори)</w:t>
            </w:r>
          </w:p>
        </w:tc>
        <w:tc>
          <w:tcPr>
            <w:tcW w:w="2977" w:type="dxa"/>
            <w:gridSpan w:val="3"/>
            <w:tcBorders>
              <w:top w:val="single" w:sz="6" w:space="0" w:color="auto"/>
              <w:left w:val="single" w:sz="6" w:space="0" w:color="auto"/>
              <w:bottom w:val="single" w:sz="6" w:space="0" w:color="auto"/>
              <w:right w:val="single" w:sz="6" w:space="0" w:color="auto"/>
            </w:tcBorders>
          </w:tcPr>
          <w:p w:rsidR="00EB6043" w:rsidRPr="00B75FD7" w:rsidRDefault="00EB6043" w:rsidP="00E33AAA">
            <w:pPr>
              <w:autoSpaceDE w:val="0"/>
              <w:autoSpaceDN w:val="0"/>
              <w:adjustRightInd w:val="0"/>
              <w:rPr>
                <w:rFonts w:eastAsia="Calibri"/>
                <w:b/>
                <w:color w:val="000000"/>
                <w:sz w:val="22"/>
              </w:rPr>
            </w:pPr>
            <w:r w:rsidRPr="00B75FD7">
              <w:rPr>
                <w:rFonts w:eastAsia="Calibri"/>
                <w:b/>
                <w:color w:val="000000"/>
                <w:sz w:val="22"/>
              </w:rPr>
              <w:t>Найменування показника</w:t>
            </w:r>
          </w:p>
        </w:tc>
        <w:tc>
          <w:tcPr>
            <w:tcW w:w="1984" w:type="dxa"/>
            <w:gridSpan w:val="2"/>
            <w:tcBorders>
              <w:top w:val="single" w:sz="6" w:space="0" w:color="auto"/>
              <w:left w:val="single" w:sz="6" w:space="0" w:color="auto"/>
              <w:bottom w:val="single" w:sz="6" w:space="0" w:color="auto"/>
              <w:right w:val="single" w:sz="6" w:space="0" w:color="auto"/>
            </w:tcBorders>
          </w:tcPr>
          <w:p w:rsidR="00EB6043" w:rsidRPr="00B75FD7" w:rsidRDefault="00EB6043" w:rsidP="00E33AAA">
            <w:pPr>
              <w:autoSpaceDE w:val="0"/>
              <w:autoSpaceDN w:val="0"/>
              <w:adjustRightInd w:val="0"/>
              <w:rPr>
                <w:rFonts w:eastAsia="Calibri"/>
                <w:b/>
                <w:color w:val="000000"/>
                <w:sz w:val="22"/>
              </w:rPr>
            </w:pPr>
            <w:r w:rsidRPr="00B75FD7">
              <w:rPr>
                <w:rFonts w:eastAsia="Calibri"/>
                <w:b/>
                <w:color w:val="000000"/>
                <w:sz w:val="22"/>
              </w:rPr>
              <w:t>Одиниця вимірювання</w:t>
            </w:r>
          </w:p>
        </w:tc>
        <w:tc>
          <w:tcPr>
            <w:tcW w:w="1843" w:type="dxa"/>
            <w:gridSpan w:val="2"/>
            <w:tcBorders>
              <w:top w:val="single" w:sz="6" w:space="0" w:color="auto"/>
              <w:left w:val="single" w:sz="6" w:space="0" w:color="auto"/>
              <w:bottom w:val="single" w:sz="6" w:space="0" w:color="auto"/>
              <w:right w:val="single" w:sz="6" w:space="0" w:color="auto"/>
            </w:tcBorders>
          </w:tcPr>
          <w:p w:rsidR="00EB6043" w:rsidRPr="00B75FD7" w:rsidRDefault="00EB6043" w:rsidP="00E33AAA">
            <w:pPr>
              <w:autoSpaceDE w:val="0"/>
              <w:autoSpaceDN w:val="0"/>
              <w:adjustRightInd w:val="0"/>
              <w:rPr>
                <w:rFonts w:eastAsia="Calibri"/>
                <w:b/>
                <w:color w:val="000000"/>
                <w:sz w:val="22"/>
              </w:rPr>
            </w:pPr>
            <w:r w:rsidRPr="00B75FD7">
              <w:rPr>
                <w:rFonts w:eastAsia="Calibri"/>
                <w:b/>
                <w:color w:val="000000"/>
                <w:sz w:val="22"/>
              </w:rPr>
              <w:t>Прогнозне (цільове) значення</w:t>
            </w:r>
          </w:p>
        </w:tc>
      </w:tr>
      <w:tr w:rsidR="00EB6043" w:rsidRPr="00B75FD7" w:rsidTr="00E33AAA">
        <w:trPr>
          <w:trHeight w:val="1162"/>
        </w:trPr>
        <w:tc>
          <w:tcPr>
            <w:tcW w:w="3119"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B6043" w:rsidRPr="00B75FD7" w:rsidRDefault="00EB6043" w:rsidP="00E33AAA">
            <w:pPr>
              <w:autoSpaceDE w:val="0"/>
              <w:autoSpaceDN w:val="0"/>
              <w:adjustRightInd w:val="0"/>
              <w:rPr>
                <w:rFonts w:eastAsia="Calibri"/>
                <w:b/>
                <w:color w:val="000000"/>
                <w:sz w:val="22"/>
              </w:rPr>
            </w:pPr>
          </w:p>
        </w:tc>
        <w:tc>
          <w:tcPr>
            <w:tcW w:w="2977" w:type="dxa"/>
            <w:gridSpan w:val="3"/>
            <w:tcBorders>
              <w:top w:val="single" w:sz="6" w:space="0" w:color="auto"/>
              <w:left w:val="single" w:sz="6" w:space="0" w:color="auto"/>
              <w:bottom w:val="single" w:sz="6" w:space="0" w:color="auto"/>
              <w:right w:val="single" w:sz="6" w:space="0" w:color="auto"/>
            </w:tcBorders>
          </w:tcPr>
          <w:p w:rsidR="00EB6043" w:rsidRPr="00B75FD7" w:rsidRDefault="00EB6043" w:rsidP="00E33AAA">
            <w:pPr>
              <w:autoSpaceDE w:val="0"/>
              <w:autoSpaceDN w:val="0"/>
              <w:adjustRightInd w:val="0"/>
              <w:rPr>
                <w:rFonts w:eastAsia="Calibri"/>
                <w:color w:val="000000"/>
                <w:sz w:val="22"/>
              </w:rPr>
            </w:pPr>
            <w:r w:rsidRPr="00B75FD7">
              <w:rPr>
                <w:rFonts w:eastAsia="Calibri"/>
                <w:color w:val="000000"/>
                <w:sz w:val="22"/>
              </w:rPr>
              <w:t>Діти дошкільного віку.</w:t>
            </w:r>
          </w:p>
          <w:p w:rsidR="00EB6043" w:rsidRPr="00B75FD7" w:rsidRDefault="00EB6043" w:rsidP="00E33AAA">
            <w:pPr>
              <w:autoSpaceDE w:val="0"/>
              <w:autoSpaceDN w:val="0"/>
              <w:adjustRightInd w:val="0"/>
              <w:rPr>
                <w:rFonts w:eastAsia="Calibri"/>
                <w:color w:val="000000"/>
                <w:sz w:val="22"/>
              </w:rPr>
            </w:pPr>
            <w:r w:rsidRPr="00B75FD7">
              <w:rPr>
                <w:rFonts w:eastAsia="Calibri"/>
                <w:color w:val="000000"/>
                <w:sz w:val="22"/>
              </w:rPr>
              <w:t xml:space="preserve"> Працівники. </w:t>
            </w:r>
          </w:p>
          <w:p w:rsidR="00EB6043" w:rsidRPr="00B75FD7" w:rsidRDefault="00EB6043" w:rsidP="00E33AAA">
            <w:pPr>
              <w:autoSpaceDE w:val="0"/>
              <w:autoSpaceDN w:val="0"/>
              <w:adjustRightInd w:val="0"/>
              <w:rPr>
                <w:rFonts w:eastAsia="Calibri"/>
                <w:color w:val="000000"/>
                <w:sz w:val="22"/>
              </w:rPr>
            </w:pPr>
            <w:r w:rsidRPr="00B75FD7">
              <w:rPr>
                <w:rFonts w:eastAsia="Calibri"/>
                <w:color w:val="000000"/>
                <w:sz w:val="22"/>
              </w:rPr>
              <w:t>Батьки (або особи, які їх замінюють).</w:t>
            </w:r>
          </w:p>
          <w:p w:rsidR="00EB6043" w:rsidRPr="00B75FD7" w:rsidRDefault="00EB6043" w:rsidP="00E33AAA">
            <w:pPr>
              <w:autoSpaceDE w:val="0"/>
              <w:autoSpaceDN w:val="0"/>
              <w:adjustRightInd w:val="0"/>
              <w:rPr>
                <w:rFonts w:eastAsia="Calibri"/>
                <w:color w:val="000000"/>
                <w:sz w:val="22"/>
              </w:rPr>
            </w:pPr>
            <w:r w:rsidRPr="00B75FD7">
              <w:rPr>
                <w:rFonts w:eastAsia="Calibri"/>
                <w:color w:val="000000"/>
                <w:sz w:val="22"/>
              </w:rPr>
              <w:t>Члени громади.</w:t>
            </w:r>
          </w:p>
        </w:tc>
        <w:tc>
          <w:tcPr>
            <w:tcW w:w="1984" w:type="dxa"/>
            <w:gridSpan w:val="2"/>
            <w:tcBorders>
              <w:top w:val="single" w:sz="6" w:space="0" w:color="auto"/>
              <w:left w:val="single" w:sz="6" w:space="0" w:color="auto"/>
              <w:bottom w:val="single" w:sz="6" w:space="0" w:color="auto"/>
              <w:right w:val="single" w:sz="6" w:space="0" w:color="auto"/>
            </w:tcBorders>
          </w:tcPr>
          <w:p w:rsidR="00EB6043" w:rsidRPr="00B75FD7" w:rsidRDefault="00EB6043" w:rsidP="00E33AAA">
            <w:pPr>
              <w:autoSpaceDE w:val="0"/>
              <w:autoSpaceDN w:val="0"/>
              <w:adjustRightInd w:val="0"/>
              <w:jc w:val="center"/>
              <w:rPr>
                <w:rFonts w:eastAsia="Calibri"/>
                <w:color w:val="000000"/>
                <w:sz w:val="22"/>
              </w:rPr>
            </w:pPr>
            <w:r w:rsidRPr="00B75FD7">
              <w:rPr>
                <w:rFonts w:eastAsia="Calibri"/>
                <w:color w:val="000000"/>
                <w:sz w:val="22"/>
              </w:rPr>
              <w:t>Осіб</w:t>
            </w:r>
          </w:p>
          <w:p w:rsidR="00EB6043" w:rsidRPr="00B75FD7" w:rsidRDefault="00EB6043" w:rsidP="00E33AAA">
            <w:pPr>
              <w:autoSpaceDE w:val="0"/>
              <w:autoSpaceDN w:val="0"/>
              <w:adjustRightInd w:val="0"/>
              <w:jc w:val="center"/>
              <w:rPr>
                <w:rFonts w:eastAsia="Calibri"/>
                <w:color w:val="000000"/>
                <w:sz w:val="22"/>
              </w:rPr>
            </w:pPr>
            <w:r w:rsidRPr="00B75FD7">
              <w:rPr>
                <w:rFonts w:eastAsia="Calibri"/>
                <w:color w:val="000000"/>
                <w:sz w:val="22"/>
              </w:rPr>
              <w:t>Осіб</w:t>
            </w:r>
          </w:p>
          <w:p w:rsidR="00EB6043" w:rsidRPr="00B75FD7" w:rsidRDefault="00EB6043" w:rsidP="00E33AAA">
            <w:pPr>
              <w:autoSpaceDE w:val="0"/>
              <w:autoSpaceDN w:val="0"/>
              <w:adjustRightInd w:val="0"/>
              <w:jc w:val="center"/>
              <w:rPr>
                <w:rFonts w:eastAsia="Calibri"/>
                <w:color w:val="000000"/>
                <w:sz w:val="22"/>
              </w:rPr>
            </w:pPr>
            <w:r w:rsidRPr="00B75FD7">
              <w:rPr>
                <w:rFonts w:eastAsia="Calibri"/>
                <w:color w:val="000000"/>
                <w:sz w:val="22"/>
              </w:rPr>
              <w:t>Осіб</w:t>
            </w:r>
          </w:p>
          <w:p w:rsidR="003B1026" w:rsidRPr="00B75FD7" w:rsidRDefault="003B1026" w:rsidP="00E33AAA">
            <w:pPr>
              <w:autoSpaceDE w:val="0"/>
              <w:autoSpaceDN w:val="0"/>
              <w:adjustRightInd w:val="0"/>
              <w:jc w:val="center"/>
              <w:rPr>
                <w:rFonts w:eastAsia="Calibri"/>
                <w:color w:val="000000"/>
                <w:sz w:val="22"/>
              </w:rPr>
            </w:pPr>
          </w:p>
          <w:p w:rsidR="00EB6043" w:rsidRPr="00B75FD7" w:rsidRDefault="003B1026" w:rsidP="00E33AAA">
            <w:pPr>
              <w:autoSpaceDE w:val="0"/>
              <w:autoSpaceDN w:val="0"/>
              <w:adjustRightInd w:val="0"/>
              <w:jc w:val="center"/>
              <w:rPr>
                <w:rFonts w:eastAsia="Calibri"/>
                <w:color w:val="000000"/>
                <w:sz w:val="22"/>
              </w:rPr>
            </w:pPr>
            <w:r w:rsidRPr="00B75FD7">
              <w:rPr>
                <w:rFonts w:eastAsia="Calibri"/>
                <w:color w:val="000000"/>
                <w:sz w:val="22"/>
              </w:rPr>
              <w:t>О</w:t>
            </w:r>
            <w:r w:rsidR="00EB6043" w:rsidRPr="00B75FD7">
              <w:rPr>
                <w:rFonts w:eastAsia="Calibri"/>
                <w:color w:val="000000"/>
                <w:sz w:val="22"/>
              </w:rPr>
              <w:t>сіб</w:t>
            </w:r>
          </w:p>
        </w:tc>
        <w:tc>
          <w:tcPr>
            <w:tcW w:w="1843" w:type="dxa"/>
            <w:gridSpan w:val="2"/>
            <w:tcBorders>
              <w:top w:val="single" w:sz="6" w:space="0" w:color="auto"/>
              <w:left w:val="single" w:sz="6" w:space="0" w:color="auto"/>
              <w:bottom w:val="single" w:sz="6" w:space="0" w:color="auto"/>
              <w:right w:val="single" w:sz="6" w:space="0" w:color="auto"/>
            </w:tcBorders>
          </w:tcPr>
          <w:p w:rsidR="00EB6043" w:rsidRPr="00B75FD7" w:rsidRDefault="00EB6043" w:rsidP="00E33AAA">
            <w:pPr>
              <w:autoSpaceDE w:val="0"/>
              <w:autoSpaceDN w:val="0"/>
              <w:adjustRightInd w:val="0"/>
              <w:rPr>
                <w:rFonts w:eastAsia="Calibri"/>
                <w:color w:val="000000"/>
                <w:sz w:val="22"/>
              </w:rPr>
            </w:pPr>
            <w:r w:rsidRPr="00B75FD7">
              <w:rPr>
                <w:rFonts w:eastAsia="Calibri"/>
                <w:color w:val="000000"/>
                <w:sz w:val="22"/>
              </w:rPr>
              <w:t xml:space="preserve">215 </w:t>
            </w:r>
          </w:p>
          <w:p w:rsidR="00EB6043" w:rsidRPr="00B75FD7" w:rsidRDefault="00EB6043" w:rsidP="00E33AAA">
            <w:pPr>
              <w:autoSpaceDE w:val="0"/>
              <w:autoSpaceDN w:val="0"/>
              <w:adjustRightInd w:val="0"/>
              <w:rPr>
                <w:rFonts w:eastAsia="Calibri"/>
                <w:color w:val="000000"/>
                <w:sz w:val="22"/>
              </w:rPr>
            </w:pPr>
            <w:r w:rsidRPr="00B75FD7">
              <w:rPr>
                <w:rFonts w:eastAsia="Calibri"/>
                <w:color w:val="000000"/>
                <w:sz w:val="22"/>
              </w:rPr>
              <w:t xml:space="preserve">60 </w:t>
            </w:r>
          </w:p>
          <w:p w:rsidR="00EB6043" w:rsidRPr="00B75FD7" w:rsidRDefault="00EB6043" w:rsidP="00E33AAA">
            <w:pPr>
              <w:autoSpaceDE w:val="0"/>
              <w:autoSpaceDN w:val="0"/>
              <w:adjustRightInd w:val="0"/>
              <w:rPr>
                <w:rFonts w:eastAsia="Calibri"/>
                <w:color w:val="000000"/>
                <w:sz w:val="22"/>
              </w:rPr>
            </w:pPr>
            <w:r w:rsidRPr="00B75FD7">
              <w:rPr>
                <w:rFonts w:eastAsia="Calibri"/>
                <w:color w:val="000000"/>
                <w:sz w:val="22"/>
              </w:rPr>
              <w:t xml:space="preserve">550 </w:t>
            </w:r>
          </w:p>
          <w:p w:rsidR="00EB6043" w:rsidRPr="00B75FD7" w:rsidRDefault="00EB6043" w:rsidP="00E33AAA">
            <w:pPr>
              <w:autoSpaceDE w:val="0"/>
              <w:autoSpaceDN w:val="0"/>
              <w:adjustRightInd w:val="0"/>
              <w:rPr>
                <w:rFonts w:eastAsia="Calibri"/>
                <w:color w:val="000000"/>
                <w:sz w:val="22"/>
              </w:rPr>
            </w:pPr>
          </w:p>
          <w:p w:rsidR="00EB6043" w:rsidRPr="00B75FD7" w:rsidRDefault="00EB6043" w:rsidP="00E33AAA">
            <w:pPr>
              <w:autoSpaceDE w:val="0"/>
              <w:autoSpaceDN w:val="0"/>
              <w:adjustRightInd w:val="0"/>
              <w:rPr>
                <w:rFonts w:eastAsia="Calibri"/>
                <w:color w:val="000000"/>
                <w:sz w:val="22"/>
              </w:rPr>
            </w:pPr>
            <w:r w:rsidRPr="00B75FD7">
              <w:rPr>
                <w:rFonts w:eastAsia="Calibri"/>
                <w:color w:val="000000"/>
                <w:sz w:val="22"/>
              </w:rPr>
              <w:t>70000</w:t>
            </w:r>
          </w:p>
        </w:tc>
      </w:tr>
      <w:tr w:rsidR="00EB6043" w:rsidRPr="00B75FD7" w:rsidTr="00E33AAA">
        <w:trPr>
          <w:trHeight w:val="653"/>
        </w:trPr>
        <w:tc>
          <w:tcPr>
            <w:tcW w:w="3119" w:type="dxa"/>
            <w:tcBorders>
              <w:top w:val="single" w:sz="6" w:space="0" w:color="auto"/>
              <w:left w:val="single" w:sz="6" w:space="0" w:color="auto"/>
              <w:bottom w:val="single" w:sz="4" w:space="0" w:color="auto"/>
              <w:right w:val="single" w:sz="6" w:space="0" w:color="auto"/>
            </w:tcBorders>
            <w:shd w:val="clear" w:color="00FFFF" w:fill="C6D9F1" w:themeFill="text2" w:themeFillTint="33"/>
          </w:tcPr>
          <w:p w:rsidR="00EB6043" w:rsidRPr="00B75FD7" w:rsidRDefault="00EB6043" w:rsidP="00E33AAA">
            <w:pPr>
              <w:autoSpaceDE w:val="0"/>
              <w:autoSpaceDN w:val="0"/>
              <w:adjustRightInd w:val="0"/>
              <w:rPr>
                <w:rFonts w:eastAsia="Calibri"/>
                <w:b/>
                <w:color w:val="000000"/>
                <w:sz w:val="22"/>
              </w:rPr>
            </w:pPr>
            <w:r w:rsidRPr="00B75FD7">
              <w:rPr>
                <w:rFonts w:eastAsia="Calibri"/>
                <w:b/>
                <w:color w:val="000000"/>
                <w:sz w:val="22"/>
              </w:rPr>
              <w:t xml:space="preserve">Ключові заходи </w:t>
            </w:r>
            <w:proofErr w:type="spellStart"/>
            <w:r w:rsidRPr="00B75FD7">
              <w:rPr>
                <w:rFonts w:eastAsia="Calibri"/>
                <w:b/>
                <w:color w:val="000000"/>
                <w:sz w:val="22"/>
              </w:rPr>
              <w:t>проєкту</w:t>
            </w:r>
            <w:proofErr w:type="spellEnd"/>
            <w:r w:rsidRPr="00B75FD7">
              <w:rPr>
                <w:rFonts w:eastAsia="Calibri"/>
                <w:b/>
                <w:color w:val="000000"/>
                <w:sz w:val="22"/>
              </w:rPr>
              <w:t>:</w:t>
            </w:r>
          </w:p>
        </w:tc>
        <w:tc>
          <w:tcPr>
            <w:tcW w:w="6804" w:type="dxa"/>
            <w:gridSpan w:val="7"/>
            <w:tcBorders>
              <w:top w:val="single" w:sz="6" w:space="0" w:color="auto"/>
              <w:left w:val="single" w:sz="6" w:space="0" w:color="auto"/>
              <w:bottom w:val="single" w:sz="4" w:space="0" w:color="auto"/>
              <w:right w:val="single" w:sz="6" w:space="0" w:color="auto"/>
            </w:tcBorders>
          </w:tcPr>
          <w:p w:rsidR="00EB6043" w:rsidRPr="00B75FD7" w:rsidRDefault="00EB6043" w:rsidP="00E33AAA">
            <w:pPr>
              <w:autoSpaceDE w:val="0"/>
              <w:autoSpaceDN w:val="0"/>
              <w:adjustRightInd w:val="0"/>
              <w:rPr>
                <w:rFonts w:eastAsia="Calibri"/>
                <w:color w:val="000000"/>
                <w:sz w:val="22"/>
              </w:rPr>
            </w:pPr>
            <w:r w:rsidRPr="00B75FD7">
              <w:rPr>
                <w:rFonts w:eastAsia="Calibri"/>
                <w:color w:val="000000"/>
                <w:sz w:val="22"/>
              </w:rPr>
              <w:t xml:space="preserve">1.Проведення моніторингу поточного матеріально-технічного стану приміщень закладу дошкільної освіти після </w:t>
            </w:r>
            <w:proofErr w:type="spellStart"/>
            <w:r w:rsidRPr="00B75FD7">
              <w:rPr>
                <w:rFonts w:eastAsia="Calibri"/>
                <w:color w:val="000000"/>
                <w:sz w:val="22"/>
              </w:rPr>
              <w:t>деокупаціі</w:t>
            </w:r>
            <w:proofErr w:type="spellEnd"/>
            <w:r w:rsidRPr="00B75FD7">
              <w:rPr>
                <w:rFonts w:eastAsia="Calibri"/>
                <w:color w:val="000000"/>
                <w:sz w:val="22"/>
              </w:rPr>
              <w:t xml:space="preserve">. </w:t>
            </w:r>
          </w:p>
          <w:p w:rsidR="00F96884" w:rsidRPr="00B75FD7" w:rsidRDefault="00EB6043" w:rsidP="00E33AAA">
            <w:pPr>
              <w:autoSpaceDE w:val="0"/>
              <w:autoSpaceDN w:val="0"/>
              <w:adjustRightInd w:val="0"/>
              <w:rPr>
                <w:rFonts w:eastAsia="Calibri"/>
                <w:color w:val="000000"/>
                <w:sz w:val="22"/>
              </w:rPr>
            </w:pPr>
            <w:r w:rsidRPr="00B75FD7">
              <w:rPr>
                <w:rFonts w:eastAsia="Calibri"/>
                <w:color w:val="000000"/>
                <w:sz w:val="22"/>
              </w:rPr>
              <w:t xml:space="preserve">2.Розробка детального плану відновлення матеріально-технічної бази закладу освіти із забезпеченням меблями, оснащенням, технічними засобами та дидактичними матеріалами відповідно до норм безпеки, доступності, енергоефективності та якості освітнього процесу. </w:t>
            </w:r>
          </w:p>
          <w:p w:rsidR="00EB6043" w:rsidRPr="00B75FD7" w:rsidRDefault="00EB6043" w:rsidP="00E33AAA">
            <w:pPr>
              <w:autoSpaceDE w:val="0"/>
              <w:autoSpaceDN w:val="0"/>
              <w:adjustRightInd w:val="0"/>
              <w:rPr>
                <w:rFonts w:eastAsia="Calibri"/>
                <w:color w:val="000000"/>
                <w:sz w:val="22"/>
              </w:rPr>
            </w:pPr>
            <w:r w:rsidRPr="00B75FD7">
              <w:rPr>
                <w:rFonts w:eastAsia="Calibri"/>
                <w:color w:val="000000"/>
                <w:sz w:val="22"/>
              </w:rPr>
              <w:t xml:space="preserve">3.Вивчення ринкових пропозицій щодо вартості необхідного обладнання та матеріалів. </w:t>
            </w:r>
          </w:p>
          <w:p w:rsidR="00EB6043" w:rsidRPr="00B75FD7" w:rsidRDefault="00EB6043" w:rsidP="00E33AAA">
            <w:pPr>
              <w:autoSpaceDE w:val="0"/>
              <w:autoSpaceDN w:val="0"/>
              <w:adjustRightInd w:val="0"/>
              <w:rPr>
                <w:rFonts w:eastAsia="Calibri"/>
                <w:color w:val="000000"/>
                <w:sz w:val="22"/>
              </w:rPr>
            </w:pPr>
            <w:r w:rsidRPr="00B75FD7">
              <w:rPr>
                <w:rFonts w:eastAsia="Calibri"/>
                <w:color w:val="000000"/>
                <w:sz w:val="22"/>
              </w:rPr>
              <w:t xml:space="preserve">4.Закупівля технічних засобів навчання та обладнання для групових приміщень, адміністративних кабінетів, кабінетів вузьких фахівців, медичного кабінету, музичної та спортивної зали. </w:t>
            </w:r>
          </w:p>
          <w:p w:rsidR="00EB6043" w:rsidRPr="00B75FD7" w:rsidRDefault="00EB6043" w:rsidP="00E33AAA">
            <w:pPr>
              <w:autoSpaceDE w:val="0"/>
              <w:autoSpaceDN w:val="0"/>
              <w:adjustRightInd w:val="0"/>
              <w:rPr>
                <w:rFonts w:eastAsia="Calibri"/>
                <w:color w:val="000000"/>
                <w:sz w:val="22"/>
              </w:rPr>
            </w:pPr>
            <w:r w:rsidRPr="00B75FD7">
              <w:rPr>
                <w:rFonts w:eastAsia="Calibri"/>
                <w:color w:val="000000"/>
                <w:sz w:val="22"/>
              </w:rPr>
              <w:t xml:space="preserve">5.Моніторинг та оцінка </w:t>
            </w:r>
            <w:proofErr w:type="spellStart"/>
            <w:r w:rsidRPr="00B75FD7">
              <w:rPr>
                <w:rFonts w:eastAsia="Calibri"/>
                <w:color w:val="000000"/>
                <w:sz w:val="22"/>
              </w:rPr>
              <w:t>реалізаціі</w:t>
            </w:r>
            <w:proofErr w:type="spellEnd"/>
            <w:r w:rsidRPr="00B75FD7">
              <w:rPr>
                <w:rFonts w:eastAsia="Calibri"/>
                <w:color w:val="000000"/>
                <w:sz w:val="22"/>
              </w:rPr>
              <w:t xml:space="preserve"> </w:t>
            </w:r>
            <w:proofErr w:type="spellStart"/>
            <w:r w:rsidRPr="00B75FD7">
              <w:rPr>
                <w:rFonts w:eastAsia="Calibri"/>
                <w:color w:val="000000"/>
                <w:sz w:val="22"/>
              </w:rPr>
              <w:t>проєкту</w:t>
            </w:r>
            <w:proofErr w:type="spellEnd"/>
            <w:r w:rsidRPr="00B75FD7">
              <w:rPr>
                <w:rFonts w:eastAsia="Calibri"/>
                <w:color w:val="000000"/>
                <w:sz w:val="22"/>
              </w:rPr>
              <w:t xml:space="preserve">. </w:t>
            </w:r>
          </w:p>
          <w:p w:rsidR="00EB6043" w:rsidRPr="00B75FD7" w:rsidRDefault="00EB6043" w:rsidP="00E33AAA">
            <w:pPr>
              <w:autoSpaceDE w:val="0"/>
              <w:autoSpaceDN w:val="0"/>
              <w:adjustRightInd w:val="0"/>
              <w:rPr>
                <w:rFonts w:eastAsia="Calibri"/>
                <w:color w:val="000000"/>
                <w:sz w:val="22"/>
              </w:rPr>
            </w:pPr>
            <w:r w:rsidRPr="00B75FD7">
              <w:rPr>
                <w:rFonts w:eastAsia="Calibri"/>
                <w:color w:val="000000"/>
                <w:sz w:val="22"/>
              </w:rPr>
              <w:t xml:space="preserve">6.Висвітлення </w:t>
            </w:r>
            <w:proofErr w:type="spellStart"/>
            <w:r w:rsidRPr="00B75FD7">
              <w:rPr>
                <w:rFonts w:eastAsia="Calibri"/>
                <w:color w:val="000000"/>
                <w:sz w:val="22"/>
              </w:rPr>
              <w:t>реалізаціі</w:t>
            </w:r>
            <w:proofErr w:type="spellEnd"/>
            <w:r w:rsidRPr="00B75FD7">
              <w:rPr>
                <w:rFonts w:eastAsia="Calibri"/>
                <w:color w:val="000000"/>
                <w:sz w:val="22"/>
              </w:rPr>
              <w:t xml:space="preserve"> </w:t>
            </w:r>
            <w:proofErr w:type="spellStart"/>
            <w:r w:rsidRPr="00B75FD7">
              <w:rPr>
                <w:rFonts w:eastAsia="Calibri"/>
                <w:color w:val="000000"/>
                <w:sz w:val="22"/>
              </w:rPr>
              <w:t>проєкту</w:t>
            </w:r>
            <w:proofErr w:type="spellEnd"/>
            <w:r w:rsidRPr="00B75FD7">
              <w:rPr>
                <w:rFonts w:eastAsia="Calibri"/>
                <w:color w:val="000000"/>
                <w:sz w:val="22"/>
              </w:rPr>
              <w:t xml:space="preserve"> в засобах масової інформації (сайт </w:t>
            </w:r>
            <w:proofErr w:type="spellStart"/>
            <w:r w:rsidRPr="00B75FD7">
              <w:rPr>
                <w:rFonts w:eastAsia="Calibri"/>
                <w:color w:val="000000"/>
                <w:sz w:val="22"/>
              </w:rPr>
              <w:t>закладу,фейсбук</w:t>
            </w:r>
            <w:proofErr w:type="spellEnd"/>
            <w:r w:rsidRPr="00B75FD7">
              <w:rPr>
                <w:rFonts w:eastAsia="Calibri"/>
                <w:color w:val="000000"/>
                <w:sz w:val="22"/>
              </w:rPr>
              <w:t xml:space="preserve"> тощо).</w:t>
            </w:r>
          </w:p>
          <w:p w:rsidR="00EB6043" w:rsidRPr="00B75FD7" w:rsidRDefault="00EB6043" w:rsidP="00E33AAA">
            <w:pPr>
              <w:rPr>
                <w:rFonts w:eastAsia="Calibri"/>
                <w:sz w:val="22"/>
              </w:rPr>
            </w:pPr>
          </w:p>
        </w:tc>
      </w:tr>
      <w:tr w:rsidR="00A36B44" w:rsidRPr="00B75FD7" w:rsidTr="009844BF">
        <w:trPr>
          <w:trHeight w:val="564"/>
        </w:trPr>
        <w:tc>
          <w:tcPr>
            <w:tcW w:w="3119" w:type="dxa"/>
            <w:vMerge w:val="restart"/>
            <w:tcBorders>
              <w:top w:val="single" w:sz="4" w:space="0" w:color="auto"/>
              <w:left w:val="single" w:sz="4" w:space="0" w:color="auto"/>
              <w:bottom w:val="single" w:sz="4" w:space="0" w:color="auto"/>
              <w:right w:val="single" w:sz="4" w:space="0" w:color="auto"/>
            </w:tcBorders>
            <w:shd w:val="clear" w:color="00FFFF" w:fill="C6D9F1" w:themeFill="text2" w:themeFillTint="33"/>
          </w:tcPr>
          <w:p w:rsidR="00A36B44" w:rsidRPr="00B75FD7" w:rsidRDefault="00A36B44" w:rsidP="00E33AAA">
            <w:pPr>
              <w:autoSpaceDE w:val="0"/>
              <w:autoSpaceDN w:val="0"/>
              <w:adjustRightInd w:val="0"/>
              <w:rPr>
                <w:rFonts w:eastAsia="Calibri"/>
                <w:b/>
                <w:color w:val="000000"/>
                <w:sz w:val="22"/>
              </w:rPr>
            </w:pPr>
            <w:r w:rsidRPr="00B75FD7">
              <w:rPr>
                <w:rFonts w:eastAsia="Calibri"/>
                <w:b/>
                <w:color w:val="000000"/>
                <w:sz w:val="22"/>
              </w:rPr>
              <w:t>Орієнтовний обсяг та джерела фінансування тис. гривень</w:t>
            </w:r>
          </w:p>
        </w:tc>
        <w:tc>
          <w:tcPr>
            <w:tcW w:w="1276" w:type="dxa"/>
            <w:vMerge w:val="restart"/>
            <w:tcBorders>
              <w:top w:val="single" w:sz="4" w:space="0" w:color="auto"/>
              <w:left w:val="single" w:sz="4" w:space="0" w:color="auto"/>
              <w:bottom w:val="single" w:sz="4" w:space="0" w:color="auto"/>
              <w:right w:val="single" w:sz="4" w:space="0" w:color="auto"/>
            </w:tcBorders>
          </w:tcPr>
          <w:p w:rsidR="00A36B44" w:rsidRPr="00B75FD7" w:rsidRDefault="00A36B44" w:rsidP="00E33AAA">
            <w:pPr>
              <w:autoSpaceDE w:val="0"/>
              <w:autoSpaceDN w:val="0"/>
              <w:adjustRightInd w:val="0"/>
              <w:rPr>
                <w:rFonts w:eastAsia="Calibri"/>
                <w:color w:val="000000"/>
                <w:sz w:val="22"/>
              </w:rPr>
            </w:pPr>
            <w:r w:rsidRPr="00B75FD7">
              <w:rPr>
                <w:rFonts w:eastAsia="Calibri"/>
                <w:color w:val="000000"/>
                <w:sz w:val="22"/>
              </w:rPr>
              <w:t>Державний бюджет</w:t>
            </w:r>
          </w:p>
        </w:tc>
        <w:tc>
          <w:tcPr>
            <w:tcW w:w="1134" w:type="dxa"/>
            <w:vMerge w:val="restart"/>
            <w:tcBorders>
              <w:top w:val="single" w:sz="4" w:space="0" w:color="auto"/>
              <w:left w:val="single" w:sz="4" w:space="0" w:color="auto"/>
              <w:right w:val="single" w:sz="4" w:space="0" w:color="auto"/>
            </w:tcBorders>
          </w:tcPr>
          <w:p w:rsidR="00A36B44" w:rsidRPr="00B75FD7" w:rsidRDefault="00A36B44" w:rsidP="00E33AAA">
            <w:pPr>
              <w:autoSpaceDE w:val="0"/>
              <w:autoSpaceDN w:val="0"/>
              <w:adjustRightInd w:val="0"/>
              <w:rPr>
                <w:rFonts w:eastAsia="Calibri"/>
                <w:color w:val="000000"/>
                <w:sz w:val="22"/>
              </w:rPr>
            </w:pPr>
            <w:r w:rsidRPr="00B75FD7">
              <w:rPr>
                <w:rFonts w:eastAsia="Calibri"/>
                <w:color w:val="000000"/>
                <w:sz w:val="22"/>
              </w:rPr>
              <w:t>Місцевий бюджет</w:t>
            </w:r>
          </w:p>
          <w:p w:rsidR="00A36B44" w:rsidRPr="00B75FD7" w:rsidRDefault="00A36B44" w:rsidP="009844BF">
            <w:pPr>
              <w:autoSpaceDE w:val="0"/>
              <w:autoSpaceDN w:val="0"/>
              <w:adjustRightInd w:val="0"/>
              <w:jc w:val="center"/>
              <w:rPr>
                <w:rFonts w:eastAsia="Calibri"/>
                <w:color w:val="000000"/>
                <w:sz w:val="22"/>
                <w:lang w:val="ru-RU"/>
              </w:rPr>
            </w:pPr>
          </w:p>
        </w:tc>
        <w:tc>
          <w:tcPr>
            <w:tcW w:w="2977" w:type="dxa"/>
            <w:gridSpan w:val="4"/>
            <w:tcBorders>
              <w:top w:val="single" w:sz="4" w:space="0" w:color="auto"/>
              <w:left w:val="single" w:sz="4" w:space="0" w:color="auto"/>
              <w:bottom w:val="single" w:sz="4" w:space="0" w:color="auto"/>
              <w:right w:val="single" w:sz="4" w:space="0" w:color="auto"/>
            </w:tcBorders>
          </w:tcPr>
          <w:p w:rsidR="00A36B44" w:rsidRPr="00B75FD7" w:rsidRDefault="00A36B44" w:rsidP="00E33AAA">
            <w:pPr>
              <w:autoSpaceDE w:val="0"/>
              <w:autoSpaceDN w:val="0"/>
              <w:adjustRightInd w:val="0"/>
              <w:rPr>
                <w:rFonts w:eastAsia="Calibri"/>
                <w:color w:val="000000"/>
                <w:sz w:val="22"/>
              </w:rPr>
            </w:pPr>
            <w:r w:rsidRPr="00B75FD7">
              <w:rPr>
                <w:rFonts w:eastAsia="Calibri"/>
                <w:color w:val="000000"/>
                <w:sz w:val="22"/>
              </w:rPr>
              <w:t>Інші джерела</w:t>
            </w:r>
          </w:p>
        </w:tc>
        <w:tc>
          <w:tcPr>
            <w:tcW w:w="1417" w:type="dxa"/>
            <w:vMerge w:val="restart"/>
            <w:tcBorders>
              <w:top w:val="single" w:sz="4" w:space="0" w:color="auto"/>
              <w:left w:val="single" w:sz="4" w:space="0" w:color="auto"/>
              <w:right w:val="single" w:sz="4" w:space="0" w:color="auto"/>
            </w:tcBorders>
          </w:tcPr>
          <w:p w:rsidR="00A36B44" w:rsidRPr="00B75FD7" w:rsidRDefault="00A36B44" w:rsidP="00E33AAA">
            <w:pPr>
              <w:autoSpaceDE w:val="0"/>
              <w:autoSpaceDN w:val="0"/>
              <w:adjustRightInd w:val="0"/>
              <w:rPr>
                <w:rFonts w:eastAsia="Calibri"/>
                <w:color w:val="000000"/>
                <w:sz w:val="22"/>
              </w:rPr>
            </w:pPr>
            <w:r w:rsidRPr="00B75FD7">
              <w:rPr>
                <w:rFonts w:eastAsia="Calibri"/>
                <w:color w:val="000000"/>
                <w:sz w:val="22"/>
              </w:rPr>
              <w:t>Всього</w:t>
            </w:r>
          </w:p>
        </w:tc>
      </w:tr>
      <w:tr w:rsidR="00A36B44" w:rsidRPr="00B75FD7" w:rsidTr="009844BF">
        <w:trPr>
          <w:trHeight w:val="61"/>
        </w:trPr>
        <w:tc>
          <w:tcPr>
            <w:tcW w:w="3119" w:type="dxa"/>
            <w:vMerge/>
            <w:tcBorders>
              <w:top w:val="single" w:sz="4" w:space="0" w:color="auto"/>
              <w:left w:val="single" w:sz="4" w:space="0" w:color="auto"/>
              <w:bottom w:val="single" w:sz="4" w:space="0" w:color="auto"/>
              <w:right w:val="single" w:sz="4" w:space="0" w:color="auto"/>
            </w:tcBorders>
            <w:shd w:val="clear" w:color="00FFFF" w:fill="C6D9F1" w:themeFill="text2" w:themeFillTint="33"/>
          </w:tcPr>
          <w:p w:rsidR="00A36B44" w:rsidRPr="00B75FD7" w:rsidRDefault="00A36B44" w:rsidP="00E33AAA">
            <w:pPr>
              <w:autoSpaceDE w:val="0"/>
              <w:autoSpaceDN w:val="0"/>
              <w:adjustRightInd w:val="0"/>
              <w:rPr>
                <w:rFonts w:eastAsia="Calibri"/>
                <w:b/>
                <w:color w:val="000000"/>
                <w:sz w:val="22"/>
              </w:rPr>
            </w:pPr>
          </w:p>
        </w:tc>
        <w:tc>
          <w:tcPr>
            <w:tcW w:w="1276" w:type="dxa"/>
            <w:vMerge/>
            <w:tcBorders>
              <w:top w:val="single" w:sz="4" w:space="0" w:color="auto"/>
              <w:left w:val="single" w:sz="4" w:space="0" w:color="auto"/>
              <w:bottom w:val="single" w:sz="4" w:space="0" w:color="auto"/>
              <w:right w:val="single" w:sz="4" w:space="0" w:color="auto"/>
            </w:tcBorders>
          </w:tcPr>
          <w:p w:rsidR="00A36B44" w:rsidRPr="00B75FD7" w:rsidRDefault="00A36B44" w:rsidP="00E33AAA">
            <w:pPr>
              <w:autoSpaceDE w:val="0"/>
              <w:autoSpaceDN w:val="0"/>
              <w:adjustRightInd w:val="0"/>
              <w:rPr>
                <w:rFonts w:eastAsia="Calibri"/>
                <w:color w:val="000000"/>
                <w:sz w:val="22"/>
              </w:rPr>
            </w:pPr>
          </w:p>
        </w:tc>
        <w:tc>
          <w:tcPr>
            <w:tcW w:w="1134" w:type="dxa"/>
            <w:vMerge/>
            <w:tcBorders>
              <w:left w:val="single" w:sz="4" w:space="0" w:color="auto"/>
              <w:bottom w:val="single" w:sz="4" w:space="0" w:color="auto"/>
              <w:right w:val="single" w:sz="4" w:space="0" w:color="auto"/>
            </w:tcBorders>
          </w:tcPr>
          <w:p w:rsidR="00A36B44" w:rsidRPr="00B75FD7" w:rsidRDefault="00A36B44" w:rsidP="00E33AAA">
            <w:pPr>
              <w:autoSpaceDE w:val="0"/>
              <w:autoSpaceDN w:val="0"/>
              <w:adjustRightInd w:val="0"/>
              <w:jc w:val="center"/>
              <w:rPr>
                <w:rFonts w:eastAsia="Calibri"/>
                <w:color w:val="000000"/>
                <w:sz w:val="22"/>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36B44" w:rsidRPr="00B75FD7" w:rsidRDefault="00A36B44" w:rsidP="00E33AAA">
            <w:pPr>
              <w:jc w:val="center"/>
              <w:rPr>
                <w:sz w:val="22"/>
              </w:rPr>
            </w:pPr>
            <w:r w:rsidRPr="00B75FD7">
              <w:rPr>
                <w:sz w:val="22"/>
              </w:rPr>
              <w:t>Обсяг,</w:t>
            </w:r>
          </w:p>
          <w:p w:rsidR="00A36B44" w:rsidRPr="00B75FD7" w:rsidRDefault="00A36B44" w:rsidP="00E33AAA">
            <w:pPr>
              <w:jc w:val="center"/>
              <w:rPr>
                <w:sz w:val="22"/>
              </w:rPr>
            </w:pPr>
            <w:r w:rsidRPr="00B75FD7">
              <w:rPr>
                <w:sz w:val="22"/>
              </w:rPr>
              <w:t>тис. грн</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A36B44" w:rsidRPr="00B75FD7" w:rsidRDefault="00A36B44" w:rsidP="00E33AAA">
            <w:pPr>
              <w:jc w:val="center"/>
              <w:rPr>
                <w:sz w:val="22"/>
              </w:rPr>
            </w:pPr>
            <w:r w:rsidRPr="00B75FD7">
              <w:rPr>
                <w:sz w:val="22"/>
              </w:rPr>
              <w:t>Назва джерела</w:t>
            </w:r>
          </w:p>
        </w:tc>
        <w:tc>
          <w:tcPr>
            <w:tcW w:w="1417" w:type="dxa"/>
            <w:vMerge/>
            <w:tcBorders>
              <w:left w:val="single" w:sz="4" w:space="0" w:color="auto"/>
              <w:bottom w:val="single" w:sz="4" w:space="0" w:color="auto"/>
              <w:right w:val="single" w:sz="4" w:space="0" w:color="auto"/>
            </w:tcBorders>
          </w:tcPr>
          <w:p w:rsidR="00A36B44" w:rsidRPr="00B75FD7" w:rsidRDefault="00A36B44" w:rsidP="00E33AAA">
            <w:pPr>
              <w:autoSpaceDE w:val="0"/>
              <w:autoSpaceDN w:val="0"/>
              <w:adjustRightInd w:val="0"/>
              <w:rPr>
                <w:rFonts w:eastAsia="Calibri"/>
                <w:color w:val="000000"/>
                <w:sz w:val="22"/>
              </w:rPr>
            </w:pPr>
          </w:p>
        </w:tc>
      </w:tr>
      <w:tr w:rsidR="003B1026" w:rsidRPr="00B75FD7" w:rsidTr="00E33AAA">
        <w:trPr>
          <w:trHeight w:val="1256"/>
        </w:trPr>
        <w:tc>
          <w:tcPr>
            <w:tcW w:w="3119" w:type="dxa"/>
            <w:vMerge/>
            <w:tcBorders>
              <w:top w:val="single" w:sz="4" w:space="0" w:color="auto"/>
              <w:left w:val="single" w:sz="4" w:space="0" w:color="auto"/>
              <w:bottom w:val="single" w:sz="4" w:space="0" w:color="auto"/>
              <w:right w:val="single" w:sz="4" w:space="0" w:color="auto"/>
            </w:tcBorders>
            <w:shd w:val="clear" w:color="00FFFF" w:fill="C6D9F1" w:themeFill="text2" w:themeFillTint="33"/>
          </w:tcPr>
          <w:p w:rsidR="003B1026" w:rsidRPr="00B75FD7" w:rsidRDefault="003B1026" w:rsidP="00E33AAA">
            <w:pPr>
              <w:autoSpaceDE w:val="0"/>
              <w:autoSpaceDN w:val="0"/>
              <w:adjustRightInd w:val="0"/>
              <w:rPr>
                <w:rFonts w:eastAsia="Calibri"/>
                <w:b/>
                <w:color w:val="000000"/>
                <w:sz w:val="22"/>
              </w:rPr>
            </w:pPr>
          </w:p>
        </w:tc>
        <w:tc>
          <w:tcPr>
            <w:tcW w:w="1276" w:type="dxa"/>
            <w:tcBorders>
              <w:top w:val="single" w:sz="4" w:space="0" w:color="auto"/>
              <w:left w:val="single" w:sz="4" w:space="0" w:color="auto"/>
              <w:bottom w:val="single" w:sz="4" w:space="0" w:color="auto"/>
              <w:right w:val="single" w:sz="4" w:space="0" w:color="auto"/>
            </w:tcBorders>
          </w:tcPr>
          <w:p w:rsidR="003B1026" w:rsidRPr="00B75FD7" w:rsidRDefault="003B1026" w:rsidP="00E33AAA">
            <w:pPr>
              <w:autoSpaceDE w:val="0"/>
              <w:autoSpaceDN w:val="0"/>
              <w:adjustRightInd w:val="0"/>
              <w:jc w:val="center"/>
              <w:rPr>
                <w:rFonts w:eastAsia="Calibri"/>
                <w:color w:val="000000"/>
                <w:sz w:val="22"/>
              </w:rPr>
            </w:pPr>
            <w:r w:rsidRPr="00B75FD7">
              <w:rPr>
                <w:rFonts w:eastAsia="Calibri"/>
                <w:color w:val="000000"/>
                <w:sz w:val="22"/>
              </w:rPr>
              <w:t>300,0</w:t>
            </w:r>
          </w:p>
        </w:tc>
        <w:tc>
          <w:tcPr>
            <w:tcW w:w="1134" w:type="dxa"/>
            <w:tcBorders>
              <w:top w:val="single" w:sz="4" w:space="0" w:color="auto"/>
              <w:left w:val="single" w:sz="4" w:space="0" w:color="auto"/>
              <w:bottom w:val="single" w:sz="4" w:space="0" w:color="auto"/>
              <w:right w:val="single" w:sz="4" w:space="0" w:color="auto"/>
            </w:tcBorders>
          </w:tcPr>
          <w:p w:rsidR="003B1026" w:rsidRPr="00B75FD7" w:rsidRDefault="00A36B44" w:rsidP="00E33AAA">
            <w:pPr>
              <w:autoSpaceDE w:val="0"/>
              <w:autoSpaceDN w:val="0"/>
              <w:adjustRightInd w:val="0"/>
              <w:rPr>
                <w:rFonts w:eastAsia="Calibri"/>
                <w:color w:val="000000"/>
                <w:sz w:val="22"/>
                <w:lang w:val="ru-RU"/>
              </w:rPr>
            </w:pPr>
            <w:r w:rsidRPr="00B75FD7">
              <w:rPr>
                <w:rFonts w:eastAsia="Calibri"/>
                <w:color w:val="000000"/>
                <w:sz w:val="22"/>
                <w:lang w:val="ru-RU"/>
              </w:rPr>
              <w:t>-</w:t>
            </w:r>
          </w:p>
        </w:tc>
        <w:tc>
          <w:tcPr>
            <w:tcW w:w="1134" w:type="dxa"/>
            <w:gridSpan w:val="2"/>
            <w:tcBorders>
              <w:top w:val="single" w:sz="4" w:space="0" w:color="auto"/>
              <w:left w:val="single" w:sz="4" w:space="0" w:color="auto"/>
              <w:bottom w:val="single" w:sz="4" w:space="0" w:color="auto"/>
              <w:right w:val="single" w:sz="4" w:space="0" w:color="auto"/>
            </w:tcBorders>
          </w:tcPr>
          <w:p w:rsidR="003B1026" w:rsidRPr="00B75FD7" w:rsidRDefault="003B1026" w:rsidP="00E33AAA">
            <w:pPr>
              <w:autoSpaceDE w:val="0"/>
              <w:autoSpaceDN w:val="0"/>
              <w:adjustRightInd w:val="0"/>
              <w:rPr>
                <w:rFonts w:eastAsia="Calibri"/>
                <w:color w:val="000000"/>
                <w:sz w:val="22"/>
              </w:rPr>
            </w:pPr>
            <w:r w:rsidRPr="00B75FD7">
              <w:rPr>
                <w:rFonts w:eastAsia="Calibri"/>
                <w:color w:val="000000"/>
                <w:sz w:val="22"/>
              </w:rPr>
              <w:t>1700,0</w:t>
            </w:r>
          </w:p>
        </w:tc>
        <w:tc>
          <w:tcPr>
            <w:tcW w:w="1843" w:type="dxa"/>
            <w:gridSpan w:val="2"/>
            <w:tcBorders>
              <w:top w:val="single" w:sz="4" w:space="0" w:color="auto"/>
              <w:left w:val="single" w:sz="4" w:space="0" w:color="auto"/>
              <w:bottom w:val="single" w:sz="4" w:space="0" w:color="auto"/>
              <w:right w:val="single" w:sz="4" w:space="0" w:color="auto"/>
            </w:tcBorders>
          </w:tcPr>
          <w:p w:rsidR="003B1026" w:rsidRPr="00B75FD7" w:rsidRDefault="003B1026" w:rsidP="00F96884">
            <w:pPr>
              <w:rPr>
                <w:color w:val="000000"/>
                <w:sz w:val="22"/>
              </w:rPr>
            </w:pPr>
            <w:r w:rsidRPr="00B75FD7">
              <w:rPr>
                <w:color w:val="000000"/>
                <w:sz w:val="22"/>
              </w:rPr>
              <w:t>Міжнародні інвестиції</w:t>
            </w:r>
          </w:p>
        </w:tc>
        <w:tc>
          <w:tcPr>
            <w:tcW w:w="1417" w:type="dxa"/>
            <w:tcBorders>
              <w:top w:val="single" w:sz="4" w:space="0" w:color="auto"/>
              <w:left w:val="single" w:sz="4" w:space="0" w:color="auto"/>
              <w:bottom w:val="single" w:sz="4" w:space="0" w:color="auto"/>
              <w:right w:val="single" w:sz="4" w:space="0" w:color="auto"/>
            </w:tcBorders>
          </w:tcPr>
          <w:p w:rsidR="003B1026" w:rsidRPr="00B75FD7" w:rsidRDefault="00634837" w:rsidP="00E33AAA">
            <w:pPr>
              <w:autoSpaceDE w:val="0"/>
              <w:autoSpaceDN w:val="0"/>
              <w:adjustRightInd w:val="0"/>
              <w:rPr>
                <w:rFonts w:eastAsia="Calibri"/>
                <w:color w:val="000000"/>
                <w:sz w:val="22"/>
              </w:rPr>
            </w:pPr>
            <w:r w:rsidRPr="00B75FD7">
              <w:rPr>
                <w:rFonts w:eastAsia="Calibri"/>
                <w:color w:val="000000"/>
                <w:sz w:val="22"/>
              </w:rPr>
              <w:t>2000,0</w:t>
            </w:r>
          </w:p>
        </w:tc>
      </w:tr>
    </w:tbl>
    <w:p w:rsidR="00013987" w:rsidRPr="00B75FD7" w:rsidRDefault="00013987" w:rsidP="00E95FB1">
      <w:pPr>
        <w:rPr>
          <w:sz w:val="22"/>
        </w:rPr>
      </w:pPr>
    </w:p>
    <w:p w:rsidR="00E33AAA" w:rsidRPr="00B75FD7" w:rsidRDefault="00E33AAA" w:rsidP="00E33AAA">
      <w:pPr>
        <w:tabs>
          <w:tab w:val="left" w:pos="5290"/>
        </w:tabs>
        <w:jc w:val="center"/>
        <w:rPr>
          <w:b/>
          <w:sz w:val="22"/>
          <w:szCs w:val="22"/>
        </w:rPr>
      </w:pPr>
    </w:p>
    <w:p w:rsidR="00E33AAA" w:rsidRPr="00B75FD7" w:rsidRDefault="00E33AAA" w:rsidP="00E33AAA">
      <w:pPr>
        <w:tabs>
          <w:tab w:val="left" w:pos="5290"/>
        </w:tabs>
        <w:jc w:val="center"/>
        <w:rPr>
          <w:b/>
          <w:sz w:val="22"/>
          <w:szCs w:val="22"/>
        </w:rPr>
      </w:pPr>
    </w:p>
    <w:tbl>
      <w:tblPr>
        <w:tblpPr w:leftFromText="180" w:rightFromText="180" w:vertAnchor="text" w:horzAnchor="page" w:tblpX="1" w:tblpY="123"/>
        <w:tblW w:w="11374" w:type="dxa"/>
        <w:tblLayout w:type="fixed"/>
        <w:tblCellMar>
          <w:left w:w="30" w:type="dxa"/>
          <w:right w:w="30" w:type="dxa"/>
        </w:tblCellMar>
        <w:tblLook w:val="0000" w:firstRow="0" w:lastRow="0" w:firstColumn="0" w:lastColumn="0" w:noHBand="0" w:noVBand="0"/>
      </w:tblPr>
      <w:tblGrid>
        <w:gridCol w:w="1448"/>
        <w:gridCol w:w="2833"/>
        <w:gridCol w:w="1842"/>
        <w:gridCol w:w="1420"/>
        <w:gridCol w:w="996"/>
        <w:gridCol w:w="847"/>
        <w:gridCol w:w="425"/>
        <w:gridCol w:w="1563"/>
      </w:tblGrid>
      <w:tr w:rsidR="00E33AAA" w:rsidRPr="00B75FD7" w:rsidTr="00E33AAA">
        <w:trPr>
          <w:trHeight w:val="555"/>
        </w:trPr>
        <w:tc>
          <w:tcPr>
            <w:tcW w:w="1448" w:type="dxa"/>
            <w:tcBorders>
              <w:top w:val="nil"/>
              <w:left w:val="nil"/>
              <w:bottom w:val="nil"/>
              <w:right w:val="nil"/>
            </w:tcBorders>
          </w:tcPr>
          <w:p w:rsidR="00E33AAA" w:rsidRPr="00B75FD7" w:rsidRDefault="00E33AAA"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color w:val="000000"/>
                <w:sz w:val="22"/>
              </w:rPr>
            </w:pPr>
            <w:r w:rsidRPr="00B75FD7">
              <w:rPr>
                <w:rFonts w:eastAsia="Calibri"/>
                <w:b/>
                <w:color w:val="000000"/>
                <w:sz w:val="22"/>
              </w:rPr>
              <w:t>Оперативна ціль/завдання</w:t>
            </w:r>
          </w:p>
        </w:tc>
        <w:tc>
          <w:tcPr>
            <w:tcW w:w="7093" w:type="dxa"/>
            <w:gridSpan w:val="6"/>
            <w:tcBorders>
              <w:top w:val="single" w:sz="6" w:space="0" w:color="auto"/>
              <w:left w:val="single" w:sz="6" w:space="0" w:color="auto"/>
              <w:bottom w:val="single" w:sz="6" w:space="0" w:color="auto"/>
              <w:right w:val="single" w:sz="6" w:space="0" w:color="auto"/>
            </w:tcBorders>
          </w:tcPr>
          <w:p w:rsidR="00E33AAA" w:rsidRPr="00B75FD7" w:rsidRDefault="00E33AAA" w:rsidP="00F069E5">
            <w:pPr>
              <w:autoSpaceDE w:val="0"/>
              <w:autoSpaceDN w:val="0"/>
              <w:adjustRightInd w:val="0"/>
              <w:rPr>
                <w:rFonts w:eastAsia="Calibri"/>
                <w:color w:val="000000"/>
                <w:sz w:val="22"/>
              </w:rPr>
            </w:pPr>
            <w:r w:rsidRPr="00B75FD7">
              <w:rPr>
                <w:color w:val="222222"/>
                <w:sz w:val="22"/>
                <w:shd w:val="clear" w:color="auto" w:fill="FFFFFF"/>
              </w:rPr>
              <w:t xml:space="preserve">Людський розвиток через інновації управління та довіру до влади. Формування сучасного інклюзивного  </w:t>
            </w:r>
            <w:proofErr w:type="spellStart"/>
            <w:r w:rsidRPr="00B75FD7">
              <w:rPr>
                <w:color w:val="222222"/>
                <w:sz w:val="22"/>
                <w:shd w:val="clear" w:color="auto" w:fill="FFFFFF"/>
              </w:rPr>
              <w:t>освітньо</w:t>
            </w:r>
            <w:proofErr w:type="spellEnd"/>
            <w:r w:rsidRPr="00B75FD7">
              <w:rPr>
                <w:color w:val="222222"/>
                <w:sz w:val="22"/>
                <w:shd w:val="clear" w:color="auto" w:fill="FFFFFF"/>
              </w:rPr>
              <w:t>-культурного та спортивного простору для розвитку</w:t>
            </w:r>
            <w:r w:rsidRPr="00B75FD7">
              <w:rPr>
                <w:rFonts w:ascii="Arial" w:hAnsi="Arial"/>
                <w:color w:val="222222"/>
                <w:sz w:val="22"/>
                <w:shd w:val="clear" w:color="auto" w:fill="FFFFFF"/>
              </w:rPr>
              <w:t>.</w:t>
            </w:r>
          </w:p>
        </w:tc>
      </w:tr>
      <w:tr w:rsidR="00E33AAA" w:rsidRPr="00B75FD7" w:rsidTr="00E33AAA">
        <w:trPr>
          <w:trHeight w:val="545"/>
        </w:trPr>
        <w:tc>
          <w:tcPr>
            <w:tcW w:w="1448" w:type="dxa"/>
            <w:tcBorders>
              <w:top w:val="nil"/>
              <w:left w:val="nil"/>
              <w:bottom w:val="nil"/>
              <w:right w:val="nil"/>
            </w:tcBorders>
          </w:tcPr>
          <w:p w:rsidR="00E33AAA" w:rsidRPr="00B75FD7" w:rsidRDefault="00E33AAA"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color w:val="000000"/>
                <w:sz w:val="22"/>
              </w:rPr>
            </w:pPr>
            <w:r w:rsidRPr="00B75FD7">
              <w:rPr>
                <w:rFonts w:eastAsia="Calibri"/>
                <w:b/>
                <w:color w:val="000000"/>
                <w:sz w:val="22"/>
              </w:rPr>
              <w:t>Назва проекту:</w:t>
            </w:r>
          </w:p>
        </w:tc>
        <w:tc>
          <w:tcPr>
            <w:tcW w:w="7093" w:type="dxa"/>
            <w:gridSpan w:val="6"/>
            <w:tcBorders>
              <w:top w:val="single" w:sz="6" w:space="0" w:color="auto"/>
              <w:left w:val="single" w:sz="6" w:space="0" w:color="auto"/>
              <w:bottom w:val="single" w:sz="6" w:space="0" w:color="auto"/>
              <w:right w:val="single" w:sz="6" w:space="0" w:color="auto"/>
            </w:tcBorders>
          </w:tcPr>
          <w:p w:rsidR="00E33AAA" w:rsidRPr="00B75FD7" w:rsidRDefault="00E33AAA" w:rsidP="00F069E5">
            <w:pPr>
              <w:autoSpaceDE w:val="0"/>
              <w:autoSpaceDN w:val="0"/>
              <w:adjustRightInd w:val="0"/>
              <w:rPr>
                <w:rFonts w:eastAsia="Calibri"/>
                <w:color w:val="000000"/>
                <w:sz w:val="22"/>
              </w:rPr>
            </w:pPr>
            <w:r w:rsidRPr="00B75FD7">
              <w:rPr>
                <w:rFonts w:eastAsia="Calibri"/>
                <w:color w:val="000000"/>
                <w:sz w:val="22"/>
              </w:rPr>
              <w:t>Капітальний ремонт будівлі Ясел-садка №19 міста Сєвєродонецька</w:t>
            </w:r>
          </w:p>
          <w:p w:rsidR="00E33AAA" w:rsidRPr="00B75FD7" w:rsidRDefault="00E33AAA" w:rsidP="00F069E5">
            <w:pPr>
              <w:autoSpaceDE w:val="0"/>
              <w:autoSpaceDN w:val="0"/>
              <w:adjustRightInd w:val="0"/>
              <w:rPr>
                <w:rFonts w:eastAsia="Calibri"/>
                <w:color w:val="000000"/>
                <w:sz w:val="22"/>
              </w:rPr>
            </w:pPr>
            <w:r w:rsidRPr="00B75FD7">
              <w:rPr>
                <w:rFonts w:eastAsia="Calibri"/>
                <w:color w:val="000000"/>
                <w:sz w:val="22"/>
              </w:rPr>
              <w:t xml:space="preserve">Луганської області проспект Гвардійський б.14-б </w:t>
            </w:r>
          </w:p>
        </w:tc>
      </w:tr>
      <w:tr w:rsidR="00E33AAA" w:rsidRPr="00B75FD7" w:rsidTr="00E33AAA">
        <w:trPr>
          <w:trHeight w:val="3135"/>
        </w:trPr>
        <w:tc>
          <w:tcPr>
            <w:tcW w:w="1448" w:type="dxa"/>
            <w:tcBorders>
              <w:top w:val="nil"/>
              <w:left w:val="nil"/>
              <w:bottom w:val="nil"/>
              <w:right w:val="nil"/>
            </w:tcBorders>
          </w:tcPr>
          <w:p w:rsidR="00E33AAA" w:rsidRPr="00B75FD7" w:rsidRDefault="00E33AAA"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color w:val="000000"/>
                <w:sz w:val="22"/>
              </w:rPr>
            </w:pPr>
            <w:r w:rsidRPr="00B75FD7">
              <w:rPr>
                <w:rFonts w:eastAsia="Calibri"/>
                <w:b/>
                <w:color w:val="000000"/>
                <w:sz w:val="22"/>
              </w:rPr>
              <w:t>Ціль проекту</w:t>
            </w:r>
          </w:p>
        </w:tc>
        <w:tc>
          <w:tcPr>
            <w:tcW w:w="7093" w:type="dxa"/>
            <w:gridSpan w:val="6"/>
            <w:tcBorders>
              <w:top w:val="single" w:sz="6" w:space="0" w:color="auto"/>
              <w:left w:val="single" w:sz="6" w:space="0" w:color="auto"/>
              <w:bottom w:val="single" w:sz="6" w:space="0" w:color="auto"/>
              <w:right w:val="single" w:sz="6" w:space="0" w:color="auto"/>
            </w:tcBorders>
          </w:tcPr>
          <w:p w:rsidR="00E33AAA" w:rsidRPr="00B75FD7" w:rsidRDefault="00E33AAA" w:rsidP="00F069E5">
            <w:pPr>
              <w:autoSpaceDE w:val="0"/>
              <w:autoSpaceDN w:val="0"/>
              <w:adjustRightInd w:val="0"/>
              <w:rPr>
                <w:color w:val="000000"/>
                <w:sz w:val="22"/>
              </w:rPr>
            </w:pPr>
            <w:r w:rsidRPr="00B75FD7">
              <w:rPr>
                <w:color w:val="000000"/>
                <w:sz w:val="22"/>
              </w:rPr>
              <w:t>Відновити роботу Ясел-садка №19 для задоволення освітніх потреб мешканців Сєвєродонецької міської територіальної громади, створити безпечні та сучасні  умови навчання та виховання  для всіх учасників освітнього процесу, підвищення енергоефективності будівлі.</w:t>
            </w:r>
          </w:p>
          <w:p w:rsidR="00E33AAA" w:rsidRPr="00B75FD7" w:rsidRDefault="00E33AAA" w:rsidP="00F069E5">
            <w:pPr>
              <w:autoSpaceDE w:val="0"/>
              <w:autoSpaceDN w:val="0"/>
              <w:adjustRightInd w:val="0"/>
              <w:rPr>
                <w:rFonts w:eastAsia="Calibri"/>
                <w:color w:val="000000"/>
                <w:sz w:val="22"/>
              </w:rPr>
            </w:pPr>
            <w:r w:rsidRPr="00B75FD7">
              <w:rPr>
                <w:color w:val="000000"/>
                <w:sz w:val="22"/>
              </w:rPr>
              <w:t xml:space="preserve">Здійснення </w:t>
            </w:r>
            <w:r w:rsidRPr="00B75FD7">
              <w:rPr>
                <w:rFonts w:eastAsia="Calibri"/>
                <w:color w:val="000000"/>
                <w:sz w:val="22"/>
              </w:rPr>
              <w:t xml:space="preserve">капітального ремонту будівлі закладу: відновлення пошкоджених внаслідок збройної агресії </w:t>
            </w:r>
            <w:r w:rsidR="001F49D6" w:rsidRPr="00B75FD7">
              <w:rPr>
                <w:rFonts w:eastAsia="Calibri"/>
                <w:color w:val="000000"/>
                <w:sz w:val="22"/>
              </w:rPr>
              <w:t>РФ</w:t>
            </w:r>
            <w:r w:rsidRPr="00B75FD7">
              <w:rPr>
                <w:rFonts w:eastAsia="Calibri"/>
                <w:color w:val="000000"/>
                <w:sz w:val="22"/>
              </w:rPr>
              <w:t xml:space="preserve"> зовнішніх та внутрішніх стін,</w:t>
            </w:r>
            <w:r w:rsidR="009844BF" w:rsidRPr="00B75FD7">
              <w:rPr>
                <w:rFonts w:eastAsia="Calibri"/>
                <w:color w:val="000000"/>
                <w:sz w:val="22"/>
              </w:rPr>
              <w:t xml:space="preserve"> </w:t>
            </w:r>
            <w:r w:rsidRPr="00B75FD7">
              <w:rPr>
                <w:rFonts w:eastAsia="Calibri"/>
                <w:color w:val="000000"/>
                <w:sz w:val="22"/>
              </w:rPr>
              <w:t>плит перекриття будівлі, покрівлі даху закладу, сходів, цоколю, системи опалення та вентиляційної системи, системи водопостачання  та водовідведення,</w:t>
            </w:r>
            <w:r w:rsidR="001F49D6" w:rsidRPr="00B75FD7">
              <w:rPr>
                <w:rFonts w:eastAsia="Calibri"/>
                <w:color w:val="000000"/>
                <w:sz w:val="22"/>
              </w:rPr>
              <w:t xml:space="preserve"> </w:t>
            </w:r>
            <w:r w:rsidRPr="00B75FD7">
              <w:rPr>
                <w:rFonts w:eastAsia="Calibri"/>
                <w:color w:val="000000"/>
                <w:sz w:val="22"/>
              </w:rPr>
              <w:t>заміна вікон на енергозберігаючі.</w:t>
            </w:r>
          </w:p>
          <w:p w:rsidR="00E33AAA" w:rsidRPr="00B75FD7" w:rsidRDefault="00E33AAA" w:rsidP="00F069E5">
            <w:pPr>
              <w:autoSpaceDE w:val="0"/>
              <w:autoSpaceDN w:val="0"/>
              <w:adjustRightInd w:val="0"/>
              <w:rPr>
                <w:rFonts w:eastAsia="Calibri"/>
                <w:color w:val="000000"/>
                <w:sz w:val="22"/>
              </w:rPr>
            </w:pPr>
            <w:r w:rsidRPr="00B75FD7">
              <w:rPr>
                <w:rFonts w:eastAsia="Calibri"/>
                <w:color w:val="000000"/>
                <w:sz w:val="22"/>
              </w:rPr>
              <w:t xml:space="preserve">Проведення ремонту внутрішніх приміщень. Відновлення  системи </w:t>
            </w:r>
          </w:p>
          <w:p w:rsidR="00E33AAA" w:rsidRPr="00B75FD7" w:rsidRDefault="00E33AAA" w:rsidP="00F069E5">
            <w:pPr>
              <w:autoSpaceDE w:val="0"/>
              <w:autoSpaceDN w:val="0"/>
              <w:adjustRightInd w:val="0"/>
              <w:rPr>
                <w:color w:val="000000"/>
                <w:sz w:val="22"/>
              </w:rPr>
            </w:pPr>
            <w:r w:rsidRPr="00B75FD7">
              <w:rPr>
                <w:rFonts w:eastAsia="Calibri"/>
                <w:color w:val="000000"/>
                <w:sz w:val="22"/>
              </w:rPr>
              <w:t>електропостачання та освітлення. Встановлення протипожежної системи та системи відеоспостереження.</w:t>
            </w:r>
          </w:p>
          <w:p w:rsidR="00E33AAA" w:rsidRPr="00B75FD7" w:rsidRDefault="00E33AAA" w:rsidP="00F069E5">
            <w:pPr>
              <w:autoSpaceDE w:val="0"/>
              <w:autoSpaceDN w:val="0"/>
              <w:adjustRightInd w:val="0"/>
              <w:rPr>
                <w:rFonts w:eastAsia="Calibri"/>
                <w:color w:val="000000"/>
                <w:sz w:val="22"/>
              </w:rPr>
            </w:pPr>
          </w:p>
        </w:tc>
      </w:tr>
      <w:tr w:rsidR="00E33AAA" w:rsidRPr="00B75FD7" w:rsidTr="00E33AAA">
        <w:trPr>
          <w:trHeight w:val="290"/>
        </w:trPr>
        <w:tc>
          <w:tcPr>
            <w:tcW w:w="1448" w:type="dxa"/>
            <w:tcBorders>
              <w:top w:val="nil"/>
              <w:left w:val="nil"/>
              <w:bottom w:val="nil"/>
              <w:right w:val="nil"/>
            </w:tcBorders>
          </w:tcPr>
          <w:p w:rsidR="00E33AAA" w:rsidRPr="00B75FD7" w:rsidRDefault="00E33AAA"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color w:val="000000"/>
                <w:sz w:val="22"/>
              </w:rPr>
            </w:pPr>
            <w:r w:rsidRPr="00B75FD7">
              <w:rPr>
                <w:rFonts w:eastAsia="Calibri"/>
                <w:b/>
                <w:color w:val="000000"/>
                <w:sz w:val="22"/>
              </w:rPr>
              <w:t>Територія, на яку матиме вплив реалізація проекту</w:t>
            </w:r>
          </w:p>
        </w:tc>
        <w:tc>
          <w:tcPr>
            <w:tcW w:w="7093" w:type="dxa"/>
            <w:gridSpan w:val="6"/>
            <w:tcBorders>
              <w:top w:val="single" w:sz="6" w:space="0" w:color="auto"/>
              <w:left w:val="single" w:sz="6" w:space="0" w:color="auto"/>
              <w:bottom w:val="single" w:sz="6" w:space="0" w:color="auto"/>
              <w:right w:val="single" w:sz="6" w:space="0" w:color="auto"/>
            </w:tcBorders>
          </w:tcPr>
          <w:p w:rsidR="00E33AAA" w:rsidRPr="00B75FD7" w:rsidRDefault="00E33AAA" w:rsidP="00F069E5">
            <w:pPr>
              <w:autoSpaceDE w:val="0"/>
              <w:autoSpaceDN w:val="0"/>
              <w:adjustRightInd w:val="0"/>
              <w:rPr>
                <w:rFonts w:eastAsia="Calibri"/>
                <w:color w:val="000000"/>
                <w:sz w:val="22"/>
              </w:rPr>
            </w:pPr>
            <w:r w:rsidRPr="00B75FD7">
              <w:rPr>
                <w:rFonts w:eastAsia="Calibri"/>
                <w:color w:val="000000"/>
                <w:sz w:val="22"/>
              </w:rPr>
              <w:t>Сєвєродонецька міська територіальна громада</w:t>
            </w:r>
          </w:p>
        </w:tc>
      </w:tr>
      <w:tr w:rsidR="00E33AAA" w:rsidRPr="00B75FD7" w:rsidTr="00E33AAA">
        <w:trPr>
          <w:trHeight w:val="486"/>
        </w:trPr>
        <w:tc>
          <w:tcPr>
            <w:tcW w:w="1448" w:type="dxa"/>
            <w:tcBorders>
              <w:top w:val="nil"/>
              <w:left w:val="nil"/>
              <w:bottom w:val="nil"/>
              <w:right w:val="nil"/>
            </w:tcBorders>
          </w:tcPr>
          <w:p w:rsidR="00E33AAA" w:rsidRPr="00B75FD7" w:rsidRDefault="00E33AAA"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color w:val="000000"/>
                <w:sz w:val="22"/>
              </w:rPr>
            </w:pPr>
            <w:r w:rsidRPr="00B75FD7">
              <w:rPr>
                <w:rFonts w:eastAsia="Calibri"/>
                <w:b/>
                <w:color w:val="000000"/>
                <w:sz w:val="22"/>
              </w:rPr>
              <w:t>Чисельність населення, на яке матиме вплив реалізація проекту</w:t>
            </w:r>
          </w:p>
        </w:tc>
        <w:tc>
          <w:tcPr>
            <w:tcW w:w="7093" w:type="dxa"/>
            <w:gridSpan w:val="6"/>
            <w:tcBorders>
              <w:top w:val="single" w:sz="6" w:space="0" w:color="auto"/>
              <w:left w:val="single" w:sz="6" w:space="0" w:color="auto"/>
              <w:bottom w:val="single" w:sz="6" w:space="0" w:color="auto"/>
              <w:right w:val="single" w:sz="6" w:space="0" w:color="auto"/>
            </w:tcBorders>
          </w:tcPr>
          <w:p w:rsidR="00E33AAA" w:rsidRPr="00B75FD7" w:rsidRDefault="00E33AAA" w:rsidP="00F069E5">
            <w:pPr>
              <w:rPr>
                <w:rFonts w:eastAsia="Calibri"/>
                <w:color w:val="000000"/>
                <w:sz w:val="22"/>
              </w:rPr>
            </w:pPr>
            <w:r w:rsidRPr="00B75FD7">
              <w:rPr>
                <w:sz w:val="22"/>
              </w:rPr>
              <w:t>70000 осіб</w:t>
            </w:r>
          </w:p>
        </w:tc>
      </w:tr>
      <w:tr w:rsidR="00E33AAA" w:rsidRPr="00B75FD7" w:rsidTr="00E33AAA">
        <w:trPr>
          <w:trHeight w:val="3945"/>
        </w:trPr>
        <w:tc>
          <w:tcPr>
            <w:tcW w:w="1448" w:type="dxa"/>
            <w:tcBorders>
              <w:top w:val="nil"/>
              <w:left w:val="nil"/>
              <w:bottom w:val="nil"/>
              <w:right w:val="nil"/>
            </w:tcBorders>
          </w:tcPr>
          <w:p w:rsidR="00E33AAA" w:rsidRPr="00B75FD7" w:rsidRDefault="00E33AAA"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color w:val="000000"/>
                <w:sz w:val="22"/>
              </w:rPr>
            </w:pPr>
            <w:r w:rsidRPr="00B75FD7">
              <w:rPr>
                <w:rFonts w:eastAsia="Calibri"/>
                <w:b/>
                <w:color w:val="000000"/>
                <w:sz w:val="22"/>
              </w:rPr>
              <w:t>Опис проблеми, на вирішення якої спрямований проект</w:t>
            </w:r>
          </w:p>
        </w:tc>
        <w:tc>
          <w:tcPr>
            <w:tcW w:w="7093" w:type="dxa"/>
            <w:gridSpan w:val="6"/>
            <w:tcBorders>
              <w:top w:val="single" w:sz="6" w:space="0" w:color="auto"/>
              <w:left w:val="single" w:sz="6" w:space="0" w:color="auto"/>
              <w:bottom w:val="single" w:sz="6" w:space="0" w:color="auto"/>
              <w:right w:val="single" w:sz="6" w:space="0" w:color="auto"/>
            </w:tcBorders>
          </w:tcPr>
          <w:p w:rsidR="00E33AAA" w:rsidRPr="00B75FD7" w:rsidRDefault="00E33AAA" w:rsidP="00F069E5">
            <w:pPr>
              <w:rPr>
                <w:color w:val="000000"/>
                <w:sz w:val="22"/>
              </w:rPr>
            </w:pPr>
            <w:r w:rsidRPr="00B75FD7">
              <w:rPr>
                <w:color w:val="000000"/>
                <w:sz w:val="22"/>
              </w:rPr>
              <w:t xml:space="preserve">Ясла-садок №19 міста Сєвєродонецька Луганської області був пошкоджений внаслідок збройної агресії  </w:t>
            </w:r>
            <w:r w:rsidR="001F49D6" w:rsidRPr="00B75FD7">
              <w:rPr>
                <w:color w:val="000000"/>
                <w:sz w:val="22"/>
              </w:rPr>
              <w:t>РФ,</w:t>
            </w:r>
            <w:r w:rsidRPr="00B75FD7">
              <w:rPr>
                <w:color w:val="000000"/>
                <w:sz w:val="22"/>
              </w:rPr>
              <w:t xml:space="preserve"> внаслідок чого відбулася руйнація будівлі закладу, а саме</w:t>
            </w:r>
            <w:r w:rsidR="001F49D6" w:rsidRPr="00B75FD7">
              <w:rPr>
                <w:color w:val="000000"/>
                <w:sz w:val="22"/>
              </w:rPr>
              <w:t>,</w:t>
            </w:r>
            <w:r w:rsidRPr="00B75FD7">
              <w:rPr>
                <w:color w:val="000000"/>
                <w:sz w:val="22"/>
              </w:rPr>
              <w:t xml:space="preserve"> частково пошкоджено зовнішні та внутрішні стіни, плити перекриття будівлі, покрівля даху будівлі, вентиляційна система, системи опалення, водопостачання, водовідведення та електропостачання, розбиті вікна та двері, пошкоджено внутрішні приміщення.</w:t>
            </w:r>
          </w:p>
          <w:p w:rsidR="00E33AAA" w:rsidRPr="00B75FD7" w:rsidRDefault="00E33AAA" w:rsidP="00F069E5">
            <w:pPr>
              <w:rPr>
                <w:color w:val="000000"/>
                <w:sz w:val="22"/>
              </w:rPr>
            </w:pPr>
            <w:r w:rsidRPr="00B75FD7">
              <w:rPr>
                <w:color w:val="000000"/>
                <w:sz w:val="22"/>
              </w:rPr>
              <w:t>Потребують ремонту та відновлення оздоблення підлоги, стін, стелі, внутрішніх  приміщень закладу, облаштування сантехнікою туалети та інші приміщення.</w:t>
            </w:r>
          </w:p>
          <w:p w:rsidR="00E33AAA" w:rsidRPr="00B75FD7" w:rsidRDefault="00E33AAA" w:rsidP="00F069E5">
            <w:pPr>
              <w:rPr>
                <w:rFonts w:eastAsia="Calibri"/>
                <w:color w:val="000000"/>
                <w:sz w:val="22"/>
              </w:rPr>
            </w:pPr>
            <w:r w:rsidRPr="00B75FD7">
              <w:rPr>
                <w:color w:val="000000"/>
                <w:sz w:val="22"/>
              </w:rPr>
              <w:t>Відповідно до сучасних норм пожежної безпеки приміщення закладу необхідно обладнати протипожежною системою. Для підвищення безпеки всіх учасників освітнього процесу в сучасних умовах в закладі необхідно встановити систему відеоспостереження. Мешканці громади потребують отримання якісних освітніх послуг, які відповідають нормам сучасності.</w:t>
            </w:r>
          </w:p>
        </w:tc>
      </w:tr>
      <w:tr w:rsidR="00E33AAA" w:rsidRPr="00B75FD7" w:rsidTr="00E33AAA">
        <w:trPr>
          <w:trHeight w:val="1530"/>
        </w:trPr>
        <w:tc>
          <w:tcPr>
            <w:tcW w:w="1448" w:type="dxa"/>
            <w:tcBorders>
              <w:top w:val="nil"/>
              <w:left w:val="nil"/>
              <w:bottom w:val="nil"/>
              <w:right w:val="nil"/>
            </w:tcBorders>
          </w:tcPr>
          <w:p w:rsidR="00E33AAA" w:rsidRPr="00B75FD7" w:rsidRDefault="00E33AAA"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color w:val="000000"/>
                <w:sz w:val="22"/>
              </w:rPr>
            </w:pPr>
            <w:r w:rsidRPr="00B75FD7">
              <w:rPr>
                <w:rFonts w:eastAsia="Calibri"/>
                <w:b/>
                <w:color w:val="000000"/>
                <w:sz w:val="22"/>
              </w:rPr>
              <w:t>Очікувані якісні результати від реалізації проекту</w:t>
            </w:r>
          </w:p>
        </w:tc>
        <w:tc>
          <w:tcPr>
            <w:tcW w:w="7093" w:type="dxa"/>
            <w:gridSpan w:val="6"/>
            <w:tcBorders>
              <w:top w:val="single" w:sz="6" w:space="0" w:color="auto"/>
              <w:left w:val="single" w:sz="6" w:space="0" w:color="auto"/>
              <w:bottom w:val="single" w:sz="6" w:space="0" w:color="auto"/>
              <w:right w:val="single" w:sz="6" w:space="0" w:color="auto"/>
            </w:tcBorders>
          </w:tcPr>
          <w:p w:rsidR="00E33AAA" w:rsidRPr="00B75FD7" w:rsidRDefault="00E33AAA" w:rsidP="00F069E5">
            <w:pPr>
              <w:rPr>
                <w:color w:val="000000"/>
                <w:sz w:val="22"/>
              </w:rPr>
            </w:pPr>
            <w:r w:rsidRPr="00B75FD7">
              <w:rPr>
                <w:color w:val="000000"/>
                <w:sz w:val="22"/>
              </w:rPr>
              <w:t>1. Задоволення освітніх потреб населення для сталого розвитку громади.</w:t>
            </w:r>
          </w:p>
          <w:p w:rsidR="00E33AAA" w:rsidRPr="00B75FD7" w:rsidRDefault="00E33AAA" w:rsidP="00F069E5">
            <w:pPr>
              <w:rPr>
                <w:color w:val="000000"/>
                <w:sz w:val="22"/>
              </w:rPr>
            </w:pPr>
            <w:r w:rsidRPr="00B75FD7">
              <w:rPr>
                <w:color w:val="000000"/>
                <w:sz w:val="22"/>
              </w:rPr>
              <w:t>2. Створення сучасного,</w:t>
            </w:r>
            <w:r w:rsidR="004A5583" w:rsidRPr="00B75FD7">
              <w:rPr>
                <w:color w:val="000000"/>
                <w:sz w:val="22"/>
              </w:rPr>
              <w:t xml:space="preserve"> </w:t>
            </w:r>
            <w:r w:rsidRPr="00B75FD7">
              <w:rPr>
                <w:color w:val="000000"/>
                <w:sz w:val="22"/>
              </w:rPr>
              <w:t>безпечного освітнього простору для всіх учасників освітнього процесу.</w:t>
            </w:r>
          </w:p>
          <w:p w:rsidR="00E33AAA" w:rsidRPr="00B75FD7" w:rsidRDefault="00E33AAA" w:rsidP="00F069E5">
            <w:pPr>
              <w:rPr>
                <w:rFonts w:eastAsia="Calibri"/>
                <w:color w:val="000000"/>
                <w:sz w:val="22"/>
              </w:rPr>
            </w:pPr>
            <w:r w:rsidRPr="00B75FD7">
              <w:rPr>
                <w:rFonts w:eastAsia="Calibri"/>
                <w:color w:val="000000"/>
                <w:sz w:val="22"/>
              </w:rPr>
              <w:t>3. Збереження робочих місць для педагогів і працівників закладу.</w:t>
            </w:r>
          </w:p>
          <w:p w:rsidR="00E33AAA" w:rsidRPr="00B75FD7" w:rsidRDefault="00E33AAA" w:rsidP="00F069E5">
            <w:pPr>
              <w:rPr>
                <w:rFonts w:eastAsia="Calibri"/>
                <w:color w:val="000000"/>
                <w:sz w:val="22"/>
              </w:rPr>
            </w:pPr>
            <w:r w:rsidRPr="00B75FD7">
              <w:rPr>
                <w:rFonts w:eastAsia="Calibri"/>
                <w:color w:val="000000"/>
                <w:sz w:val="22"/>
              </w:rPr>
              <w:t>4. Стимул до повернення  ВПО до громади.</w:t>
            </w:r>
          </w:p>
          <w:p w:rsidR="00E33AAA" w:rsidRPr="00B75FD7" w:rsidRDefault="00E33AAA" w:rsidP="00F069E5">
            <w:pPr>
              <w:rPr>
                <w:rFonts w:eastAsia="Calibri"/>
                <w:color w:val="000000"/>
                <w:sz w:val="22"/>
              </w:rPr>
            </w:pPr>
            <w:r w:rsidRPr="00B75FD7">
              <w:rPr>
                <w:rFonts w:eastAsia="Calibri"/>
                <w:color w:val="000000"/>
                <w:sz w:val="22"/>
              </w:rPr>
              <w:t>5. Енергозбереження та екологічна сталість</w:t>
            </w:r>
          </w:p>
        </w:tc>
      </w:tr>
      <w:tr w:rsidR="00E33AAA" w:rsidRPr="00B75FD7" w:rsidTr="00E33AAA">
        <w:trPr>
          <w:trHeight w:val="581"/>
        </w:trPr>
        <w:tc>
          <w:tcPr>
            <w:tcW w:w="1448" w:type="dxa"/>
            <w:tcBorders>
              <w:top w:val="nil"/>
              <w:left w:val="nil"/>
              <w:bottom w:val="nil"/>
              <w:right w:val="nil"/>
            </w:tcBorders>
          </w:tcPr>
          <w:p w:rsidR="00E33AAA" w:rsidRPr="00B75FD7" w:rsidRDefault="00E33AAA"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color w:val="000000"/>
                <w:sz w:val="22"/>
              </w:rPr>
            </w:pPr>
            <w:r w:rsidRPr="00B75FD7">
              <w:rPr>
                <w:rFonts w:eastAsia="Calibri"/>
                <w:b/>
                <w:color w:val="000000"/>
                <w:sz w:val="22"/>
              </w:rPr>
              <w:t>Очікувані кількісні результати від реалізації проекту  (індикатори)</w:t>
            </w:r>
          </w:p>
        </w:tc>
        <w:tc>
          <w:tcPr>
            <w:tcW w:w="3262" w:type="dxa"/>
            <w:gridSpan w:val="2"/>
            <w:tcBorders>
              <w:top w:val="single" w:sz="6" w:space="0" w:color="auto"/>
              <w:left w:val="single" w:sz="6" w:space="0" w:color="auto"/>
              <w:bottom w:val="single" w:sz="6" w:space="0" w:color="auto"/>
              <w:right w:val="single" w:sz="6" w:space="0" w:color="auto"/>
            </w:tcBorders>
          </w:tcPr>
          <w:p w:rsidR="00E33AAA" w:rsidRPr="00B75FD7" w:rsidRDefault="00E33AAA" w:rsidP="00F069E5">
            <w:pPr>
              <w:autoSpaceDE w:val="0"/>
              <w:autoSpaceDN w:val="0"/>
              <w:adjustRightInd w:val="0"/>
              <w:rPr>
                <w:rFonts w:eastAsia="Calibri"/>
                <w:b/>
                <w:color w:val="000000"/>
                <w:sz w:val="22"/>
              </w:rPr>
            </w:pPr>
            <w:r w:rsidRPr="00B75FD7">
              <w:rPr>
                <w:rFonts w:eastAsia="Calibri"/>
                <w:b/>
                <w:color w:val="000000"/>
                <w:sz w:val="22"/>
              </w:rPr>
              <w:t>Найменування показника</w:t>
            </w:r>
          </w:p>
        </w:tc>
        <w:tc>
          <w:tcPr>
            <w:tcW w:w="1843" w:type="dxa"/>
            <w:gridSpan w:val="2"/>
            <w:tcBorders>
              <w:top w:val="single" w:sz="6" w:space="0" w:color="auto"/>
              <w:left w:val="single" w:sz="6" w:space="0" w:color="auto"/>
              <w:bottom w:val="single" w:sz="6" w:space="0" w:color="auto"/>
              <w:right w:val="single" w:sz="6" w:space="0" w:color="auto"/>
            </w:tcBorders>
          </w:tcPr>
          <w:p w:rsidR="00E33AAA" w:rsidRPr="00B75FD7" w:rsidRDefault="00E33AAA" w:rsidP="00F069E5">
            <w:pPr>
              <w:autoSpaceDE w:val="0"/>
              <w:autoSpaceDN w:val="0"/>
              <w:adjustRightInd w:val="0"/>
              <w:rPr>
                <w:rFonts w:eastAsia="Calibri"/>
                <w:b/>
                <w:color w:val="000000"/>
                <w:sz w:val="22"/>
              </w:rPr>
            </w:pPr>
            <w:r w:rsidRPr="00B75FD7">
              <w:rPr>
                <w:rFonts w:eastAsia="Calibri"/>
                <w:b/>
                <w:color w:val="000000"/>
                <w:sz w:val="22"/>
              </w:rPr>
              <w:t>Одиниця вимірювання</w:t>
            </w:r>
          </w:p>
        </w:tc>
        <w:tc>
          <w:tcPr>
            <w:tcW w:w="1988" w:type="dxa"/>
            <w:gridSpan w:val="2"/>
            <w:tcBorders>
              <w:top w:val="single" w:sz="6" w:space="0" w:color="auto"/>
              <w:left w:val="single" w:sz="6" w:space="0" w:color="auto"/>
              <w:bottom w:val="single" w:sz="6" w:space="0" w:color="auto"/>
              <w:right w:val="single" w:sz="6" w:space="0" w:color="auto"/>
            </w:tcBorders>
          </w:tcPr>
          <w:p w:rsidR="00E33AAA" w:rsidRPr="00B75FD7" w:rsidRDefault="00E33AAA" w:rsidP="00F069E5">
            <w:pPr>
              <w:autoSpaceDE w:val="0"/>
              <w:autoSpaceDN w:val="0"/>
              <w:adjustRightInd w:val="0"/>
              <w:rPr>
                <w:rFonts w:eastAsia="Calibri"/>
                <w:b/>
                <w:color w:val="000000"/>
                <w:sz w:val="22"/>
              </w:rPr>
            </w:pPr>
            <w:r w:rsidRPr="00B75FD7">
              <w:rPr>
                <w:rFonts w:eastAsia="Calibri"/>
                <w:b/>
                <w:color w:val="000000"/>
                <w:sz w:val="22"/>
              </w:rPr>
              <w:t>Прогнозне (цільове) значення</w:t>
            </w:r>
          </w:p>
        </w:tc>
      </w:tr>
      <w:tr w:rsidR="00E33AAA" w:rsidRPr="00B75FD7" w:rsidTr="00E33AAA">
        <w:trPr>
          <w:trHeight w:val="413"/>
        </w:trPr>
        <w:tc>
          <w:tcPr>
            <w:tcW w:w="1448" w:type="dxa"/>
            <w:tcBorders>
              <w:top w:val="nil"/>
              <w:left w:val="nil"/>
              <w:bottom w:val="nil"/>
              <w:right w:val="nil"/>
            </w:tcBorders>
          </w:tcPr>
          <w:p w:rsidR="00E33AAA" w:rsidRPr="00B75FD7" w:rsidRDefault="00E33AAA"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color w:val="000000"/>
                <w:sz w:val="22"/>
              </w:rPr>
            </w:pPr>
          </w:p>
        </w:tc>
        <w:tc>
          <w:tcPr>
            <w:tcW w:w="3262" w:type="dxa"/>
            <w:gridSpan w:val="2"/>
            <w:tcBorders>
              <w:top w:val="single" w:sz="6" w:space="0" w:color="auto"/>
              <w:left w:val="single" w:sz="6" w:space="0" w:color="auto"/>
              <w:bottom w:val="single" w:sz="6" w:space="0" w:color="auto"/>
              <w:right w:val="single" w:sz="6" w:space="0" w:color="auto"/>
            </w:tcBorders>
          </w:tcPr>
          <w:p w:rsidR="00E33AAA" w:rsidRPr="00B75FD7" w:rsidRDefault="00E33AAA" w:rsidP="00E33AAA">
            <w:pPr>
              <w:rPr>
                <w:sz w:val="22"/>
              </w:rPr>
            </w:pPr>
            <w:r w:rsidRPr="00B75FD7">
              <w:rPr>
                <w:sz w:val="22"/>
              </w:rPr>
              <w:t>Діти дошкільного віку</w:t>
            </w:r>
          </w:p>
        </w:tc>
        <w:tc>
          <w:tcPr>
            <w:tcW w:w="1843" w:type="dxa"/>
            <w:gridSpan w:val="2"/>
            <w:tcBorders>
              <w:top w:val="single" w:sz="6" w:space="0" w:color="auto"/>
              <w:left w:val="single" w:sz="6" w:space="0" w:color="auto"/>
              <w:bottom w:val="single" w:sz="6" w:space="0" w:color="auto"/>
              <w:right w:val="single" w:sz="6" w:space="0" w:color="auto"/>
            </w:tcBorders>
          </w:tcPr>
          <w:p w:rsidR="00E33AAA" w:rsidRPr="00B75FD7" w:rsidRDefault="00E33AAA" w:rsidP="00F069E5">
            <w:pPr>
              <w:autoSpaceDE w:val="0"/>
              <w:autoSpaceDN w:val="0"/>
              <w:adjustRightInd w:val="0"/>
              <w:rPr>
                <w:rFonts w:eastAsia="Calibri"/>
                <w:sz w:val="22"/>
              </w:rPr>
            </w:pPr>
            <w:r w:rsidRPr="00B75FD7">
              <w:rPr>
                <w:rFonts w:eastAsia="Calibri"/>
                <w:sz w:val="22"/>
              </w:rPr>
              <w:t>осіб</w:t>
            </w:r>
          </w:p>
        </w:tc>
        <w:tc>
          <w:tcPr>
            <w:tcW w:w="1988" w:type="dxa"/>
            <w:gridSpan w:val="2"/>
            <w:tcBorders>
              <w:top w:val="single" w:sz="6" w:space="0" w:color="auto"/>
              <w:left w:val="single" w:sz="6" w:space="0" w:color="auto"/>
              <w:bottom w:val="single" w:sz="6" w:space="0" w:color="auto"/>
              <w:right w:val="single" w:sz="6" w:space="0" w:color="auto"/>
            </w:tcBorders>
          </w:tcPr>
          <w:p w:rsidR="00E33AAA" w:rsidRPr="00B75FD7" w:rsidRDefault="00E33AAA" w:rsidP="00F069E5">
            <w:pPr>
              <w:rPr>
                <w:rFonts w:eastAsia="Calibri"/>
                <w:sz w:val="22"/>
              </w:rPr>
            </w:pPr>
            <w:r w:rsidRPr="00B75FD7">
              <w:rPr>
                <w:sz w:val="22"/>
              </w:rPr>
              <w:t xml:space="preserve"> 250 </w:t>
            </w:r>
          </w:p>
        </w:tc>
      </w:tr>
      <w:tr w:rsidR="00E33AAA" w:rsidRPr="00B75FD7" w:rsidTr="00E33AAA">
        <w:trPr>
          <w:trHeight w:val="561"/>
        </w:trPr>
        <w:tc>
          <w:tcPr>
            <w:tcW w:w="1448" w:type="dxa"/>
            <w:tcBorders>
              <w:top w:val="nil"/>
              <w:left w:val="nil"/>
              <w:bottom w:val="nil"/>
              <w:right w:val="nil"/>
            </w:tcBorders>
          </w:tcPr>
          <w:p w:rsidR="00E33AAA" w:rsidRPr="00B75FD7" w:rsidRDefault="00E33AAA"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color w:val="000000"/>
                <w:sz w:val="22"/>
              </w:rPr>
            </w:pPr>
          </w:p>
        </w:tc>
        <w:tc>
          <w:tcPr>
            <w:tcW w:w="3262" w:type="dxa"/>
            <w:gridSpan w:val="2"/>
            <w:tcBorders>
              <w:top w:val="single" w:sz="6" w:space="0" w:color="auto"/>
              <w:left w:val="single" w:sz="6" w:space="0" w:color="auto"/>
              <w:bottom w:val="single" w:sz="6" w:space="0" w:color="auto"/>
              <w:right w:val="single" w:sz="6" w:space="0" w:color="auto"/>
            </w:tcBorders>
          </w:tcPr>
          <w:p w:rsidR="00E33AAA" w:rsidRPr="00B75FD7" w:rsidRDefault="00E33AAA" w:rsidP="00F069E5">
            <w:pPr>
              <w:rPr>
                <w:sz w:val="22"/>
              </w:rPr>
            </w:pPr>
            <w:r w:rsidRPr="00B75FD7">
              <w:rPr>
                <w:sz w:val="22"/>
              </w:rPr>
              <w:t>Педагоги та працівники  закладу</w:t>
            </w:r>
          </w:p>
        </w:tc>
        <w:tc>
          <w:tcPr>
            <w:tcW w:w="1843" w:type="dxa"/>
            <w:gridSpan w:val="2"/>
            <w:tcBorders>
              <w:top w:val="single" w:sz="6" w:space="0" w:color="auto"/>
              <w:left w:val="single" w:sz="6" w:space="0" w:color="auto"/>
              <w:bottom w:val="single" w:sz="6" w:space="0" w:color="auto"/>
              <w:right w:val="single" w:sz="6" w:space="0" w:color="auto"/>
            </w:tcBorders>
          </w:tcPr>
          <w:p w:rsidR="00E33AAA" w:rsidRPr="00B75FD7" w:rsidRDefault="00E33AAA" w:rsidP="00F069E5">
            <w:pPr>
              <w:autoSpaceDE w:val="0"/>
              <w:autoSpaceDN w:val="0"/>
              <w:adjustRightInd w:val="0"/>
              <w:rPr>
                <w:rFonts w:eastAsia="Calibri"/>
                <w:sz w:val="22"/>
              </w:rPr>
            </w:pPr>
            <w:r w:rsidRPr="00B75FD7">
              <w:rPr>
                <w:rFonts w:eastAsia="Calibri"/>
                <w:sz w:val="22"/>
              </w:rPr>
              <w:t>осіб</w:t>
            </w:r>
          </w:p>
        </w:tc>
        <w:tc>
          <w:tcPr>
            <w:tcW w:w="1988" w:type="dxa"/>
            <w:gridSpan w:val="2"/>
            <w:tcBorders>
              <w:top w:val="single" w:sz="6" w:space="0" w:color="auto"/>
              <w:left w:val="single" w:sz="6" w:space="0" w:color="auto"/>
              <w:bottom w:val="single" w:sz="6" w:space="0" w:color="auto"/>
              <w:right w:val="single" w:sz="6" w:space="0" w:color="auto"/>
            </w:tcBorders>
          </w:tcPr>
          <w:p w:rsidR="00E33AAA" w:rsidRPr="00B75FD7" w:rsidRDefault="00E33AAA" w:rsidP="00F069E5">
            <w:pPr>
              <w:rPr>
                <w:sz w:val="22"/>
              </w:rPr>
            </w:pPr>
            <w:r w:rsidRPr="00B75FD7">
              <w:rPr>
                <w:sz w:val="22"/>
              </w:rPr>
              <w:t xml:space="preserve">60  </w:t>
            </w:r>
          </w:p>
        </w:tc>
      </w:tr>
      <w:tr w:rsidR="00E33AAA" w:rsidRPr="00B75FD7" w:rsidTr="00E33AAA">
        <w:trPr>
          <w:trHeight w:val="399"/>
        </w:trPr>
        <w:tc>
          <w:tcPr>
            <w:tcW w:w="1448" w:type="dxa"/>
            <w:tcBorders>
              <w:top w:val="nil"/>
              <w:left w:val="nil"/>
              <w:bottom w:val="nil"/>
              <w:right w:val="nil"/>
            </w:tcBorders>
          </w:tcPr>
          <w:p w:rsidR="00E33AAA" w:rsidRPr="00B75FD7" w:rsidRDefault="00E33AAA"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color w:val="000000"/>
                <w:sz w:val="22"/>
              </w:rPr>
            </w:pPr>
          </w:p>
        </w:tc>
        <w:tc>
          <w:tcPr>
            <w:tcW w:w="3262" w:type="dxa"/>
            <w:gridSpan w:val="2"/>
            <w:tcBorders>
              <w:top w:val="single" w:sz="6" w:space="0" w:color="auto"/>
              <w:left w:val="single" w:sz="6" w:space="0" w:color="auto"/>
              <w:bottom w:val="single" w:sz="6" w:space="0" w:color="auto"/>
              <w:right w:val="single" w:sz="6" w:space="0" w:color="auto"/>
            </w:tcBorders>
          </w:tcPr>
          <w:p w:rsidR="00E33AAA" w:rsidRPr="00B75FD7" w:rsidRDefault="00E33AAA" w:rsidP="00F069E5">
            <w:pPr>
              <w:rPr>
                <w:sz w:val="22"/>
              </w:rPr>
            </w:pPr>
            <w:r w:rsidRPr="00B75FD7">
              <w:rPr>
                <w:sz w:val="22"/>
              </w:rPr>
              <w:t>Громада</w:t>
            </w:r>
          </w:p>
        </w:tc>
        <w:tc>
          <w:tcPr>
            <w:tcW w:w="1843" w:type="dxa"/>
            <w:gridSpan w:val="2"/>
            <w:tcBorders>
              <w:top w:val="single" w:sz="6" w:space="0" w:color="auto"/>
              <w:left w:val="single" w:sz="6" w:space="0" w:color="auto"/>
              <w:bottom w:val="single" w:sz="6" w:space="0" w:color="auto"/>
              <w:right w:val="single" w:sz="6" w:space="0" w:color="auto"/>
            </w:tcBorders>
          </w:tcPr>
          <w:p w:rsidR="00E33AAA" w:rsidRPr="00B75FD7" w:rsidRDefault="00E33AAA" w:rsidP="00F069E5">
            <w:pPr>
              <w:autoSpaceDE w:val="0"/>
              <w:autoSpaceDN w:val="0"/>
              <w:adjustRightInd w:val="0"/>
              <w:rPr>
                <w:rFonts w:eastAsia="Calibri"/>
                <w:sz w:val="22"/>
              </w:rPr>
            </w:pPr>
            <w:r w:rsidRPr="00B75FD7">
              <w:rPr>
                <w:rFonts w:eastAsia="Calibri"/>
                <w:sz w:val="22"/>
              </w:rPr>
              <w:t>осіб</w:t>
            </w:r>
          </w:p>
        </w:tc>
        <w:tc>
          <w:tcPr>
            <w:tcW w:w="1988" w:type="dxa"/>
            <w:gridSpan w:val="2"/>
            <w:tcBorders>
              <w:top w:val="single" w:sz="6" w:space="0" w:color="auto"/>
              <w:left w:val="single" w:sz="6" w:space="0" w:color="auto"/>
              <w:bottom w:val="single" w:sz="6" w:space="0" w:color="auto"/>
              <w:right w:val="single" w:sz="6" w:space="0" w:color="auto"/>
            </w:tcBorders>
          </w:tcPr>
          <w:p w:rsidR="00E33AAA" w:rsidRPr="00B75FD7" w:rsidRDefault="00E33AAA" w:rsidP="00F069E5">
            <w:pPr>
              <w:rPr>
                <w:sz w:val="22"/>
              </w:rPr>
            </w:pPr>
            <w:r w:rsidRPr="00B75FD7">
              <w:rPr>
                <w:sz w:val="22"/>
              </w:rPr>
              <w:t xml:space="preserve">500 </w:t>
            </w:r>
          </w:p>
        </w:tc>
      </w:tr>
      <w:tr w:rsidR="00E33AAA" w:rsidRPr="00B75FD7" w:rsidTr="00E33AAA">
        <w:trPr>
          <w:trHeight w:val="1871"/>
        </w:trPr>
        <w:tc>
          <w:tcPr>
            <w:tcW w:w="1448" w:type="dxa"/>
            <w:tcBorders>
              <w:top w:val="nil"/>
              <w:left w:val="nil"/>
              <w:bottom w:val="nil"/>
              <w:right w:val="nil"/>
            </w:tcBorders>
          </w:tcPr>
          <w:p w:rsidR="00E33AAA" w:rsidRPr="00B75FD7" w:rsidRDefault="00E33AAA"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color w:val="000000"/>
                <w:sz w:val="22"/>
              </w:rPr>
            </w:pPr>
            <w:r w:rsidRPr="00B75FD7">
              <w:rPr>
                <w:rFonts w:eastAsia="Calibri"/>
                <w:b/>
                <w:color w:val="000000"/>
                <w:sz w:val="22"/>
              </w:rPr>
              <w:t>Ключові заходи проекту:</w:t>
            </w:r>
          </w:p>
        </w:tc>
        <w:tc>
          <w:tcPr>
            <w:tcW w:w="7093" w:type="dxa"/>
            <w:gridSpan w:val="6"/>
            <w:tcBorders>
              <w:top w:val="single" w:sz="6" w:space="0" w:color="auto"/>
              <w:left w:val="single" w:sz="6" w:space="0" w:color="auto"/>
              <w:bottom w:val="single" w:sz="6" w:space="0" w:color="auto"/>
              <w:right w:val="single" w:sz="6" w:space="0" w:color="auto"/>
            </w:tcBorders>
          </w:tcPr>
          <w:p w:rsidR="00E33AAA" w:rsidRPr="00B75FD7" w:rsidRDefault="00E33AAA" w:rsidP="00F069E5">
            <w:pPr>
              <w:rPr>
                <w:color w:val="000000"/>
                <w:sz w:val="22"/>
              </w:rPr>
            </w:pPr>
            <w:r w:rsidRPr="00B75FD7">
              <w:rPr>
                <w:color w:val="000000"/>
                <w:sz w:val="22"/>
              </w:rPr>
              <w:t xml:space="preserve">1. Проведення моніторингу поточного стану будівлі закладу освіти після </w:t>
            </w:r>
            <w:proofErr w:type="spellStart"/>
            <w:r w:rsidRPr="00B75FD7">
              <w:rPr>
                <w:color w:val="000000"/>
                <w:sz w:val="22"/>
              </w:rPr>
              <w:t>деокупаціі</w:t>
            </w:r>
            <w:proofErr w:type="spellEnd"/>
            <w:r w:rsidRPr="00B75FD7">
              <w:rPr>
                <w:color w:val="000000"/>
                <w:sz w:val="22"/>
              </w:rPr>
              <w:t>,</w:t>
            </w:r>
            <w:r w:rsidR="00BE6B03" w:rsidRPr="00B75FD7">
              <w:rPr>
                <w:color w:val="000000"/>
                <w:sz w:val="22"/>
              </w:rPr>
              <w:t xml:space="preserve"> </w:t>
            </w:r>
            <w:r w:rsidRPr="00B75FD7">
              <w:rPr>
                <w:color w:val="000000"/>
                <w:sz w:val="22"/>
              </w:rPr>
              <w:t xml:space="preserve">виготовлення </w:t>
            </w:r>
            <w:proofErr w:type="spellStart"/>
            <w:r w:rsidRPr="00B75FD7">
              <w:rPr>
                <w:color w:val="000000"/>
                <w:sz w:val="22"/>
              </w:rPr>
              <w:t>про</w:t>
            </w:r>
            <w:r w:rsidR="00BE6B03" w:rsidRPr="00B75FD7">
              <w:rPr>
                <w:color w:val="000000"/>
                <w:sz w:val="22"/>
              </w:rPr>
              <w:t>є</w:t>
            </w:r>
            <w:r w:rsidRPr="00B75FD7">
              <w:rPr>
                <w:color w:val="000000"/>
                <w:sz w:val="22"/>
              </w:rPr>
              <w:t>ктно</w:t>
            </w:r>
            <w:proofErr w:type="spellEnd"/>
            <w:r w:rsidRPr="00B75FD7">
              <w:rPr>
                <w:color w:val="000000"/>
                <w:sz w:val="22"/>
              </w:rPr>
              <w:t>-кошторисної документації.</w:t>
            </w:r>
          </w:p>
          <w:p w:rsidR="00E33AAA" w:rsidRPr="00B75FD7" w:rsidRDefault="00E33AAA" w:rsidP="00F069E5">
            <w:pPr>
              <w:rPr>
                <w:color w:val="000000"/>
                <w:sz w:val="22"/>
              </w:rPr>
            </w:pPr>
            <w:r w:rsidRPr="00B75FD7">
              <w:rPr>
                <w:color w:val="000000"/>
                <w:sz w:val="22"/>
              </w:rPr>
              <w:t>2. Розробка  детального плану капітального ремонту будівлі та внутрішніх приміщень закладу дошкільної освіти, встановлення протипожежної системи та системи відеоспостереження.</w:t>
            </w:r>
          </w:p>
          <w:p w:rsidR="00E33AAA" w:rsidRPr="00B75FD7" w:rsidRDefault="00E33AAA" w:rsidP="00F069E5">
            <w:pPr>
              <w:rPr>
                <w:color w:val="000000"/>
                <w:sz w:val="22"/>
              </w:rPr>
            </w:pPr>
            <w:r w:rsidRPr="00B75FD7">
              <w:rPr>
                <w:color w:val="000000"/>
                <w:sz w:val="22"/>
              </w:rPr>
              <w:t>3.Вивчення ринкових пропозицій щодо вартості  робіт і необхідних матеріалів.</w:t>
            </w:r>
          </w:p>
          <w:p w:rsidR="00E33AAA" w:rsidRPr="00B75FD7" w:rsidRDefault="00E33AAA" w:rsidP="00F069E5">
            <w:pPr>
              <w:rPr>
                <w:color w:val="000000"/>
                <w:sz w:val="22"/>
              </w:rPr>
            </w:pPr>
            <w:r w:rsidRPr="00B75FD7">
              <w:rPr>
                <w:color w:val="000000"/>
                <w:sz w:val="22"/>
              </w:rPr>
              <w:t>4. Закупка  необхідних обладнання  та матеріалів.</w:t>
            </w:r>
          </w:p>
          <w:p w:rsidR="00E33AAA" w:rsidRPr="00B75FD7" w:rsidRDefault="00E33AAA" w:rsidP="00F069E5">
            <w:pPr>
              <w:rPr>
                <w:color w:val="000000"/>
                <w:sz w:val="22"/>
              </w:rPr>
            </w:pPr>
            <w:r w:rsidRPr="00B75FD7">
              <w:rPr>
                <w:color w:val="000000"/>
                <w:sz w:val="22"/>
              </w:rPr>
              <w:t>5.Виконання капітального ремонту будівлі  закладу  дошкільної освіти:</w:t>
            </w:r>
          </w:p>
          <w:p w:rsidR="00E33AAA" w:rsidRPr="00B75FD7" w:rsidRDefault="00E33AAA" w:rsidP="00F069E5">
            <w:pPr>
              <w:rPr>
                <w:color w:val="000000"/>
                <w:sz w:val="22"/>
              </w:rPr>
            </w:pPr>
            <w:r w:rsidRPr="00B75FD7">
              <w:rPr>
                <w:color w:val="000000"/>
                <w:sz w:val="22"/>
              </w:rPr>
              <w:t>- відновлення  та утеплення стін закладу, відновлення перекриття, капітальний ремонт покрівлі даху, тамбурів, входів, сходів, цоколю будівлі;</w:t>
            </w:r>
          </w:p>
          <w:p w:rsidR="00E33AAA" w:rsidRPr="00B75FD7" w:rsidRDefault="00E33AAA" w:rsidP="00F069E5">
            <w:pPr>
              <w:rPr>
                <w:color w:val="000000"/>
                <w:sz w:val="22"/>
              </w:rPr>
            </w:pPr>
            <w:r w:rsidRPr="00B75FD7">
              <w:rPr>
                <w:color w:val="000000"/>
                <w:sz w:val="22"/>
              </w:rPr>
              <w:t>- демонтаж пошкоджених та встановлення енергозберігаючих вікон та дверей;</w:t>
            </w:r>
          </w:p>
          <w:p w:rsidR="00E33AAA" w:rsidRPr="00B75FD7" w:rsidRDefault="00E33AAA" w:rsidP="00F069E5">
            <w:pPr>
              <w:rPr>
                <w:color w:val="000000"/>
                <w:sz w:val="22"/>
              </w:rPr>
            </w:pPr>
            <w:r w:rsidRPr="00B75FD7">
              <w:rPr>
                <w:color w:val="000000"/>
                <w:sz w:val="22"/>
              </w:rPr>
              <w:t>- відновлення та удосконалення  системи опалення та вентиляційної системи з урахуванням вимог безпеки, енергоефективності  та комфорту приміщень;</w:t>
            </w:r>
          </w:p>
          <w:p w:rsidR="00E33AAA" w:rsidRPr="00B75FD7" w:rsidRDefault="00E33AAA" w:rsidP="00F069E5">
            <w:pPr>
              <w:rPr>
                <w:color w:val="000000"/>
                <w:sz w:val="22"/>
              </w:rPr>
            </w:pPr>
            <w:r w:rsidRPr="00B75FD7">
              <w:rPr>
                <w:color w:val="000000"/>
                <w:sz w:val="22"/>
              </w:rPr>
              <w:t>- відновлення роботи ІТП (індивідуального теплового пункту);</w:t>
            </w:r>
          </w:p>
          <w:p w:rsidR="00E33AAA" w:rsidRPr="00B75FD7" w:rsidRDefault="00E33AAA" w:rsidP="00F069E5">
            <w:pPr>
              <w:rPr>
                <w:color w:val="000000"/>
                <w:sz w:val="22"/>
              </w:rPr>
            </w:pPr>
            <w:r w:rsidRPr="00B75FD7">
              <w:rPr>
                <w:color w:val="000000"/>
                <w:sz w:val="22"/>
              </w:rPr>
              <w:t>- відновлення системи  електропостачання та освітлення, встановлення сучасного енергозберігаючого, розумного освітлення в усіх приміщеннях закладу, на території закладу, ігрових та спортивному майданчиках;</w:t>
            </w:r>
          </w:p>
          <w:p w:rsidR="00E33AAA" w:rsidRPr="00B75FD7" w:rsidRDefault="00E33AAA" w:rsidP="00F069E5">
            <w:pPr>
              <w:rPr>
                <w:color w:val="000000"/>
                <w:sz w:val="22"/>
              </w:rPr>
            </w:pPr>
            <w:r w:rsidRPr="00B75FD7">
              <w:rPr>
                <w:color w:val="000000"/>
                <w:sz w:val="22"/>
              </w:rPr>
              <w:t>- відновлення системи водопостачання та водовідведення, встановлення системи очищення води та системи моніторингу для відстеження якості та рівня споживання води;</w:t>
            </w:r>
          </w:p>
          <w:p w:rsidR="00E33AAA" w:rsidRPr="00B75FD7" w:rsidRDefault="00E33AAA" w:rsidP="00F069E5">
            <w:pPr>
              <w:rPr>
                <w:color w:val="000000"/>
                <w:sz w:val="22"/>
              </w:rPr>
            </w:pPr>
            <w:r w:rsidRPr="00B75FD7">
              <w:rPr>
                <w:color w:val="000000"/>
                <w:sz w:val="22"/>
              </w:rPr>
              <w:t>- облаштування  туалетів та інших приміщень необхідною сантехнікою, встановлення туалетів для дітей з ООП;</w:t>
            </w:r>
          </w:p>
          <w:p w:rsidR="00E33AAA" w:rsidRPr="00B75FD7" w:rsidRDefault="00E33AAA" w:rsidP="00F069E5">
            <w:pPr>
              <w:rPr>
                <w:color w:val="000000"/>
                <w:sz w:val="22"/>
              </w:rPr>
            </w:pPr>
            <w:r w:rsidRPr="00B75FD7">
              <w:rPr>
                <w:color w:val="000000"/>
                <w:sz w:val="22"/>
              </w:rPr>
              <w:t>6. Виконання ремонту внутрішніх приміщень,</w:t>
            </w:r>
            <w:r w:rsidR="00BE6B03" w:rsidRPr="00B75FD7">
              <w:rPr>
                <w:color w:val="000000"/>
                <w:sz w:val="22"/>
              </w:rPr>
              <w:t xml:space="preserve"> </w:t>
            </w:r>
            <w:r w:rsidRPr="00B75FD7">
              <w:rPr>
                <w:color w:val="000000"/>
                <w:sz w:val="22"/>
              </w:rPr>
              <w:t>ремонт та оздоблення підлоги, стін, стелі в групових кімнатах, спортивній та музичній залі, харчоблоку, пральні, медичному кабінеті, кабінетах вузьких спеціалістів, методичному кабінеті та в інших приміщеннях закладу.</w:t>
            </w:r>
          </w:p>
          <w:p w:rsidR="00E33AAA" w:rsidRPr="00B75FD7" w:rsidRDefault="00E33AAA" w:rsidP="00F069E5">
            <w:pPr>
              <w:rPr>
                <w:color w:val="000000"/>
                <w:sz w:val="22"/>
              </w:rPr>
            </w:pPr>
            <w:r w:rsidRPr="00B75FD7">
              <w:rPr>
                <w:color w:val="000000"/>
                <w:sz w:val="22"/>
              </w:rPr>
              <w:t>7. Встановлення протипожежної  системи та системи відеоспостереження.</w:t>
            </w:r>
          </w:p>
          <w:p w:rsidR="00E33AAA" w:rsidRPr="00B75FD7" w:rsidRDefault="00E33AAA" w:rsidP="00F069E5">
            <w:pPr>
              <w:rPr>
                <w:color w:val="000000"/>
                <w:sz w:val="22"/>
              </w:rPr>
            </w:pPr>
            <w:r w:rsidRPr="00B75FD7">
              <w:rPr>
                <w:color w:val="000000"/>
                <w:sz w:val="22"/>
              </w:rPr>
              <w:t xml:space="preserve">8.  Моніторинг та оцінка реалізації </w:t>
            </w:r>
            <w:proofErr w:type="spellStart"/>
            <w:r w:rsidRPr="00B75FD7">
              <w:rPr>
                <w:color w:val="000000"/>
                <w:sz w:val="22"/>
              </w:rPr>
              <w:t>про</w:t>
            </w:r>
            <w:r w:rsidR="00BE6B03" w:rsidRPr="00B75FD7">
              <w:rPr>
                <w:color w:val="000000"/>
                <w:sz w:val="22"/>
              </w:rPr>
              <w:t>є</w:t>
            </w:r>
            <w:r w:rsidRPr="00B75FD7">
              <w:rPr>
                <w:color w:val="000000"/>
                <w:sz w:val="22"/>
              </w:rPr>
              <w:t>кту</w:t>
            </w:r>
            <w:proofErr w:type="spellEnd"/>
            <w:r w:rsidRPr="00B75FD7">
              <w:rPr>
                <w:color w:val="000000"/>
                <w:sz w:val="22"/>
              </w:rPr>
              <w:t>.</w:t>
            </w:r>
          </w:p>
          <w:p w:rsidR="00E33AAA" w:rsidRPr="00B75FD7" w:rsidRDefault="00E33AAA" w:rsidP="00F069E5">
            <w:pPr>
              <w:rPr>
                <w:color w:val="000000"/>
                <w:sz w:val="22"/>
              </w:rPr>
            </w:pPr>
            <w:r w:rsidRPr="00B75FD7">
              <w:rPr>
                <w:color w:val="000000"/>
                <w:sz w:val="22"/>
              </w:rPr>
              <w:t xml:space="preserve">9. Висвітлення реалізації </w:t>
            </w:r>
            <w:proofErr w:type="spellStart"/>
            <w:r w:rsidRPr="00B75FD7">
              <w:rPr>
                <w:color w:val="000000"/>
                <w:sz w:val="22"/>
              </w:rPr>
              <w:t>про</w:t>
            </w:r>
            <w:r w:rsidR="00BE6B03" w:rsidRPr="00B75FD7">
              <w:rPr>
                <w:color w:val="000000"/>
                <w:sz w:val="22"/>
              </w:rPr>
              <w:t>є</w:t>
            </w:r>
            <w:r w:rsidRPr="00B75FD7">
              <w:rPr>
                <w:color w:val="000000"/>
                <w:sz w:val="22"/>
              </w:rPr>
              <w:t>кту</w:t>
            </w:r>
            <w:proofErr w:type="spellEnd"/>
            <w:r w:rsidRPr="00B75FD7">
              <w:rPr>
                <w:color w:val="000000"/>
                <w:sz w:val="22"/>
              </w:rPr>
              <w:t xml:space="preserve"> в засобах масової інформації (сайт закладу, фейсбук тощо)</w:t>
            </w:r>
          </w:p>
          <w:p w:rsidR="00E33AAA" w:rsidRPr="00B75FD7" w:rsidRDefault="00E33AAA" w:rsidP="00BE6B03">
            <w:pPr>
              <w:rPr>
                <w:rFonts w:eastAsia="Calibri"/>
                <w:color w:val="FF0000"/>
                <w:sz w:val="22"/>
              </w:rPr>
            </w:pPr>
            <w:r w:rsidRPr="00B75FD7">
              <w:rPr>
                <w:rFonts w:ascii="Calibri" w:hAnsi="Calibri"/>
                <w:color w:val="000000"/>
                <w:sz w:val="22"/>
              </w:rPr>
              <w:t>10.</w:t>
            </w:r>
            <w:r w:rsidRPr="00B75FD7">
              <w:rPr>
                <w:color w:val="000000"/>
                <w:sz w:val="22"/>
              </w:rPr>
              <w:t>Організація та початок роботи закладу дошкільної освіти,</w:t>
            </w:r>
            <w:r w:rsidR="00BE6B03" w:rsidRPr="00B75FD7">
              <w:rPr>
                <w:color w:val="000000"/>
                <w:sz w:val="22"/>
              </w:rPr>
              <w:t xml:space="preserve"> </w:t>
            </w:r>
            <w:r w:rsidRPr="00B75FD7">
              <w:rPr>
                <w:color w:val="000000"/>
                <w:sz w:val="22"/>
              </w:rPr>
              <w:t>надання мешканцям громади якісних освітніх послуг,</w:t>
            </w:r>
            <w:r w:rsidR="00BE6B03" w:rsidRPr="00B75FD7">
              <w:rPr>
                <w:color w:val="000000"/>
                <w:sz w:val="22"/>
              </w:rPr>
              <w:t xml:space="preserve"> </w:t>
            </w:r>
            <w:r w:rsidRPr="00B75FD7">
              <w:rPr>
                <w:color w:val="000000"/>
                <w:sz w:val="22"/>
              </w:rPr>
              <w:t>які відповідають нормам сучасності.</w:t>
            </w:r>
          </w:p>
        </w:tc>
      </w:tr>
      <w:tr w:rsidR="00E33AAA" w:rsidRPr="00B75FD7" w:rsidTr="00E33AAA">
        <w:trPr>
          <w:trHeight w:val="567"/>
        </w:trPr>
        <w:tc>
          <w:tcPr>
            <w:tcW w:w="1448" w:type="dxa"/>
            <w:vMerge w:val="restart"/>
            <w:tcBorders>
              <w:top w:val="nil"/>
              <w:left w:val="nil"/>
              <w:right w:val="nil"/>
            </w:tcBorders>
          </w:tcPr>
          <w:p w:rsidR="00E33AAA" w:rsidRPr="00B75FD7" w:rsidRDefault="00E33AAA" w:rsidP="00F069E5">
            <w:pPr>
              <w:autoSpaceDE w:val="0"/>
              <w:autoSpaceDN w:val="0"/>
              <w:adjustRightInd w:val="0"/>
              <w:jc w:val="right"/>
              <w:rPr>
                <w:rFonts w:eastAsia="Calibri"/>
                <w:color w:val="000000"/>
                <w:sz w:val="22"/>
              </w:rPr>
            </w:pPr>
          </w:p>
        </w:tc>
        <w:tc>
          <w:tcPr>
            <w:tcW w:w="2833" w:type="dxa"/>
            <w:vMerge w:val="restart"/>
            <w:tcBorders>
              <w:top w:val="single" w:sz="6" w:space="0" w:color="auto"/>
              <w:left w:val="single" w:sz="6"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color w:val="000000"/>
                <w:sz w:val="22"/>
              </w:rPr>
            </w:pPr>
            <w:r w:rsidRPr="00B75FD7">
              <w:rPr>
                <w:rFonts w:eastAsia="Calibri"/>
                <w:b/>
                <w:color w:val="000000"/>
                <w:sz w:val="22"/>
              </w:rPr>
              <w:t>Орієнтовний обсяг та джерела фінансування тис. гривень</w:t>
            </w:r>
          </w:p>
        </w:tc>
        <w:tc>
          <w:tcPr>
            <w:tcW w:w="1842" w:type="dxa"/>
            <w:vMerge w:val="restart"/>
            <w:tcBorders>
              <w:top w:val="single" w:sz="6" w:space="0" w:color="auto"/>
              <w:left w:val="single" w:sz="6" w:space="0" w:color="auto"/>
              <w:right w:val="single" w:sz="6" w:space="0" w:color="auto"/>
            </w:tcBorders>
            <w:vAlign w:val="center"/>
          </w:tcPr>
          <w:p w:rsidR="00E33AAA" w:rsidRPr="00B75FD7" w:rsidRDefault="00E33AAA" w:rsidP="00F069E5">
            <w:pPr>
              <w:autoSpaceDE w:val="0"/>
              <w:autoSpaceDN w:val="0"/>
              <w:adjustRightInd w:val="0"/>
              <w:jc w:val="center"/>
              <w:rPr>
                <w:rFonts w:eastAsia="Calibri"/>
                <w:color w:val="000000"/>
                <w:sz w:val="22"/>
              </w:rPr>
            </w:pPr>
            <w:r w:rsidRPr="00B75FD7">
              <w:rPr>
                <w:rFonts w:eastAsia="Calibri"/>
                <w:color w:val="000000"/>
                <w:sz w:val="22"/>
              </w:rPr>
              <w:t>Державний бюджет</w:t>
            </w:r>
          </w:p>
          <w:p w:rsidR="00E33AAA" w:rsidRPr="00B75FD7" w:rsidRDefault="00E33AAA" w:rsidP="00F069E5">
            <w:pPr>
              <w:autoSpaceDE w:val="0"/>
              <w:autoSpaceDN w:val="0"/>
              <w:adjustRightInd w:val="0"/>
              <w:jc w:val="center"/>
              <w:rPr>
                <w:rFonts w:eastAsia="Calibri"/>
                <w:color w:val="000000"/>
                <w:sz w:val="22"/>
              </w:rPr>
            </w:pPr>
          </w:p>
        </w:tc>
        <w:tc>
          <w:tcPr>
            <w:tcW w:w="1420" w:type="dxa"/>
            <w:vMerge w:val="restart"/>
            <w:tcBorders>
              <w:top w:val="single" w:sz="6" w:space="0" w:color="auto"/>
              <w:left w:val="single" w:sz="6" w:space="0" w:color="auto"/>
              <w:right w:val="single" w:sz="4" w:space="0" w:color="auto"/>
            </w:tcBorders>
            <w:vAlign w:val="center"/>
          </w:tcPr>
          <w:p w:rsidR="00E33AAA" w:rsidRPr="00B75FD7" w:rsidRDefault="00E33AAA" w:rsidP="00F069E5">
            <w:pPr>
              <w:autoSpaceDE w:val="0"/>
              <w:autoSpaceDN w:val="0"/>
              <w:adjustRightInd w:val="0"/>
              <w:jc w:val="center"/>
              <w:rPr>
                <w:rFonts w:eastAsia="Calibri"/>
                <w:color w:val="000000"/>
                <w:sz w:val="22"/>
              </w:rPr>
            </w:pPr>
            <w:r w:rsidRPr="00B75FD7">
              <w:rPr>
                <w:rFonts w:eastAsia="Calibri"/>
                <w:color w:val="000000"/>
                <w:sz w:val="22"/>
              </w:rPr>
              <w:t>Місцевий бюджет</w:t>
            </w:r>
          </w:p>
        </w:tc>
        <w:tc>
          <w:tcPr>
            <w:tcW w:w="2268" w:type="dxa"/>
            <w:gridSpan w:val="3"/>
            <w:tcBorders>
              <w:top w:val="single" w:sz="4" w:space="0" w:color="auto"/>
              <w:left w:val="single" w:sz="4" w:space="0" w:color="auto"/>
              <w:bottom w:val="single" w:sz="4" w:space="0" w:color="auto"/>
              <w:right w:val="single" w:sz="4" w:space="0" w:color="auto"/>
            </w:tcBorders>
            <w:vAlign w:val="center"/>
          </w:tcPr>
          <w:p w:rsidR="00E33AAA" w:rsidRPr="00B75FD7" w:rsidRDefault="00E33AAA" w:rsidP="00F069E5">
            <w:pPr>
              <w:autoSpaceDE w:val="0"/>
              <w:autoSpaceDN w:val="0"/>
              <w:adjustRightInd w:val="0"/>
              <w:jc w:val="center"/>
              <w:rPr>
                <w:rFonts w:eastAsia="Calibri"/>
                <w:color w:val="000000"/>
                <w:sz w:val="22"/>
              </w:rPr>
            </w:pPr>
            <w:r w:rsidRPr="00B75FD7">
              <w:rPr>
                <w:rFonts w:eastAsia="Calibri"/>
                <w:color w:val="000000"/>
                <w:sz w:val="22"/>
              </w:rPr>
              <w:t>Інші джерела</w:t>
            </w:r>
          </w:p>
        </w:tc>
        <w:tc>
          <w:tcPr>
            <w:tcW w:w="1563" w:type="dxa"/>
            <w:tcBorders>
              <w:top w:val="single" w:sz="4" w:space="0" w:color="auto"/>
              <w:left w:val="single" w:sz="4" w:space="0" w:color="auto"/>
              <w:bottom w:val="single" w:sz="4" w:space="0" w:color="auto"/>
              <w:right w:val="single" w:sz="4" w:space="0" w:color="auto"/>
            </w:tcBorders>
            <w:vAlign w:val="center"/>
          </w:tcPr>
          <w:p w:rsidR="00E33AAA" w:rsidRPr="00B75FD7" w:rsidRDefault="00E33AAA" w:rsidP="00F069E5">
            <w:pPr>
              <w:autoSpaceDE w:val="0"/>
              <w:autoSpaceDN w:val="0"/>
              <w:adjustRightInd w:val="0"/>
              <w:jc w:val="center"/>
              <w:rPr>
                <w:rFonts w:eastAsia="Calibri"/>
                <w:color w:val="000000"/>
                <w:sz w:val="22"/>
              </w:rPr>
            </w:pPr>
            <w:r w:rsidRPr="00B75FD7">
              <w:rPr>
                <w:rFonts w:eastAsia="Calibri"/>
                <w:color w:val="000000"/>
                <w:sz w:val="22"/>
              </w:rPr>
              <w:t>Всього</w:t>
            </w:r>
          </w:p>
        </w:tc>
      </w:tr>
      <w:tr w:rsidR="00E33AAA" w:rsidRPr="00B75FD7" w:rsidTr="00E33AAA">
        <w:trPr>
          <w:trHeight w:val="65"/>
        </w:trPr>
        <w:tc>
          <w:tcPr>
            <w:tcW w:w="1448" w:type="dxa"/>
            <w:vMerge/>
            <w:tcBorders>
              <w:left w:val="nil"/>
              <w:right w:val="nil"/>
            </w:tcBorders>
          </w:tcPr>
          <w:p w:rsidR="00E33AAA" w:rsidRPr="00B75FD7" w:rsidRDefault="00E33AAA" w:rsidP="00F069E5">
            <w:pPr>
              <w:autoSpaceDE w:val="0"/>
              <w:autoSpaceDN w:val="0"/>
              <w:adjustRightInd w:val="0"/>
              <w:jc w:val="right"/>
              <w:rPr>
                <w:rFonts w:eastAsia="Calibri"/>
                <w:color w:val="000000"/>
                <w:sz w:val="22"/>
              </w:rPr>
            </w:pPr>
          </w:p>
        </w:tc>
        <w:tc>
          <w:tcPr>
            <w:tcW w:w="2833" w:type="dxa"/>
            <w:vMerge/>
            <w:tcBorders>
              <w:left w:val="single" w:sz="6"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color w:val="000000"/>
                <w:sz w:val="22"/>
              </w:rPr>
            </w:pPr>
          </w:p>
        </w:tc>
        <w:tc>
          <w:tcPr>
            <w:tcW w:w="1842" w:type="dxa"/>
            <w:vMerge/>
            <w:tcBorders>
              <w:left w:val="single" w:sz="6" w:space="0" w:color="auto"/>
              <w:bottom w:val="single" w:sz="6" w:space="0" w:color="auto"/>
              <w:right w:val="single" w:sz="6" w:space="0" w:color="auto"/>
            </w:tcBorders>
          </w:tcPr>
          <w:p w:rsidR="00E33AAA" w:rsidRPr="00B75FD7" w:rsidRDefault="00E33AAA" w:rsidP="00F069E5">
            <w:pPr>
              <w:autoSpaceDE w:val="0"/>
              <w:autoSpaceDN w:val="0"/>
              <w:adjustRightInd w:val="0"/>
              <w:rPr>
                <w:rFonts w:eastAsia="Calibri"/>
                <w:color w:val="000000"/>
                <w:sz w:val="22"/>
              </w:rPr>
            </w:pPr>
          </w:p>
        </w:tc>
        <w:tc>
          <w:tcPr>
            <w:tcW w:w="1420" w:type="dxa"/>
            <w:vMerge/>
            <w:tcBorders>
              <w:left w:val="single" w:sz="6" w:space="0" w:color="auto"/>
              <w:bottom w:val="single" w:sz="4" w:space="0" w:color="auto"/>
              <w:right w:val="single" w:sz="4" w:space="0" w:color="auto"/>
            </w:tcBorders>
          </w:tcPr>
          <w:p w:rsidR="00E33AAA" w:rsidRPr="00B75FD7" w:rsidRDefault="00E33AAA" w:rsidP="00F069E5">
            <w:pPr>
              <w:autoSpaceDE w:val="0"/>
              <w:autoSpaceDN w:val="0"/>
              <w:adjustRightInd w:val="0"/>
              <w:rPr>
                <w:rFonts w:eastAsia="Calibri"/>
                <w:color w:val="000000"/>
                <w:sz w:val="22"/>
              </w:rPr>
            </w:pPr>
          </w:p>
        </w:tc>
        <w:tc>
          <w:tcPr>
            <w:tcW w:w="996" w:type="dxa"/>
            <w:tcBorders>
              <w:top w:val="single" w:sz="4" w:space="0" w:color="auto"/>
              <w:left w:val="single" w:sz="4" w:space="0" w:color="auto"/>
              <w:bottom w:val="single" w:sz="4" w:space="0" w:color="auto"/>
              <w:right w:val="single" w:sz="4" w:space="0" w:color="auto"/>
            </w:tcBorders>
            <w:vAlign w:val="center"/>
          </w:tcPr>
          <w:p w:rsidR="00E33AAA" w:rsidRPr="00B75FD7" w:rsidRDefault="00E33AAA" w:rsidP="00F069E5">
            <w:pPr>
              <w:autoSpaceDE w:val="0"/>
              <w:autoSpaceDN w:val="0"/>
              <w:adjustRightInd w:val="0"/>
              <w:jc w:val="center"/>
              <w:rPr>
                <w:rFonts w:eastAsia="Calibri"/>
                <w:color w:val="000000"/>
                <w:sz w:val="22"/>
              </w:rPr>
            </w:pPr>
            <w:r w:rsidRPr="00B75FD7">
              <w:rPr>
                <w:rFonts w:eastAsia="Calibri"/>
                <w:color w:val="000000"/>
                <w:sz w:val="22"/>
              </w:rPr>
              <w:t>Обсяг</w:t>
            </w:r>
          </w:p>
        </w:tc>
        <w:tc>
          <w:tcPr>
            <w:tcW w:w="1272" w:type="dxa"/>
            <w:gridSpan w:val="2"/>
            <w:tcBorders>
              <w:top w:val="single" w:sz="4" w:space="0" w:color="auto"/>
              <w:left w:val="single" w:sz="4" w:space="0" w:color="auto"/>
              <w:bottom w:val="single" w:sz="4" w:space="0" w:color="auto"/>
              <w:right w:val="single" w:sz="4" w:space="0" w:color="auto"/>
            </w:tcBorders>
            <w:vAlign w:val="center"/>
          </w:tcPr>
          <w:p w:rsidR="00E33AAA" w:rsidRPr="00B75FD7" w:rsidRDefault="00E33AAA" w:rsidP="00F069E5">
            <w:pPr>
              <w:autoSpaceDE w:val="0"/>
              <w:autoSpaceDN w:val="0"/>
              <w:adjustRightInd w:val="0"/>
              <w:jc w:val="center"/>
              <w:rPr>
                <w:rFonts w:eastAsia="Calibri"/>
                <w:color w:val="000000"/>
                <w:sz w:val="22"/>
              </w:rPr>
            </w:pPr>
            <w:r w:rsidRPr="00B75FD7">
              <w:rPr>
                <w:rFonts w:eastAsia="Calibri"/>
                <w:color w:val="000000"/>
                <w:sz w:val="22"/>
              </w:rPr>
              <w:t>Назва джерела</w:t>
            </w:r>
          </w:p>
        </w:tc>
        <w:tc>
          <w:tcPr>
            <w:tcW w:w="1563" w:type="dxa"/>
            <w:vMerge w:val="restart"/>
            <w:tcBorders>
              <w:top w:val="single" w:sz="4" w:space="0" w:color="auto"/>
              <w:left w:val="single" w:sz="4" w:space="0" w:color="auto"/>
              <w:right w:val="single" w:sz="4" w:space="0" w:color="auto"/>
            </w:tcBorders>
            <w:vAlign w:val="center"/>
          </w:tcPr>
          <w:p w:rsidR="00E33AAA" w:rsidRPr="00B75FD7" w:rsidRDefault="00E33AAA" w:rsidP="00F069E5">
            <w:pPr>
              <w:autoSpaceDE w:val="0"/>
              <w:autoSpaceDN w:val="0"/>
              <w:adjustRightInd w:val="0"/>
              <w:jc w:val="center"/>
              <w:rPr>
                <w:rFonts w:eastAsia="Calibri"/>
                <w:color w:val="000000"/>
                <w:sz w:val="22"/>
              </w:rPr>
            </w:pPr>
            <w:r w:rsidRPr="00B75FD7">
              <w:rPr>
                <w:rFonts w:eastAsia="Calibri"/>
                <w:color w:val="000000"/>
                <w:sz w:val="22"/>
              </w:rPr>
              <w:t>107000,0</w:t>
            </w:r>
          </w:p>
        </w:tc>
      </w:tr>
      <w:tr w:rsidR="00E33AAA" w:rsidRPr="00B75FD7" w:rsidTr="00E33AAA">
        <w:trPr>
          <w:trHeight w:val="841"/>
        </w:trPr>
        <w:tc>
          <w:tcPr>
            <w:tcW w:w="1448" w:type="dxa"/>
            <w:vMerge/>
            <w:tcBorders>
              <w:left w:val="nil"/>
              <w:bottom w:val="nil"/>
              <w:right w:val="nil"/>
            </w:tcBorders>
          </w:tcPr>
          <w:p w:rsidR="00E33AAA" w:rsidRPr="00B75FD7" w:rsidRDefault="00E33AAA" w:rsidP="00F069E5">
            <w:pPr>
              <w:autoSpaceDE w:val="0"/>
              <w:autoSpaceDN w:val="0"/>
              <w:adjustRightInd w:val="0"/>
              <w:jc w:val="right"/>
              <w:rPr>
                <w:rFonts w:eastAsia="Calibri"/>
                <w:color w:val="000000"/>
                <w:sz w:val="22"/>
              </w:rPr>
            </w:pPr>
          </w:p>
        </w:tc>
        <w:tc>
          <w:tcPr>
            <w:tcW w:w="2833" w:type="dxa"/>
            <w:vMerge/>
            <w:tcBorders>
              <w:left w:val="single" w:sz="6" w:space="0" w:color="auto"/>
              <w:bottom w:val="single" w:sz="6"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color w:val="000000"/>
                <w:sz w:val="22"/>
              </w:rPr>
            </w:pPr>
          </w:p>
        </w:tc>
        <w:tc>
          <w:tcPr>
            <w:tcW w:w="1842" w:type="dxa"/>
            <w:tcBorders>
              <w:top w:val="single" w:sz="6" w:space="0" w:color="auto"/>
              <w:left w:val="single" w:sz="6" w:space="0" w:color="auto"/>
              <w:bottom w:val="single" w:sz="6" w:space="0" w:color="auto"/>
              <w:right w:val="single" w:sz="6" w:space="0" w:color="auto"/>
            </w:tcBorders>
          </w:tcPr>
          <w:p w:rsidR="00E33AAA" w:rsidRPr="00B75FD7" w:rsidRDefault="00E33AAA" w:rsidP="00F069E5">
            <w:pPr>
              <w:autoSpaceDE w:val="0"/>
              <w:autoSpaceDN w:val="0"/>
              <w:adjustRightInd w:val="0"/>
              <w:rPr>
                <w:rFonts w:eastAsia="Calibri"/>
                <w:color w:val="000000"/>
                <w:sz w:val="22"/>
              </w:rPr>
            </w:pPr>
            <w:r w:rsidRPr="00B75FD7">
              <w:rPr>
                <w:rFonts w:eastAsia="Calibri"/>
                <w:color w:val="000000"/>
                <w:sz w:val="22"/>
              </w:rPr>
              <w:t>60000,0</w:t>
            </w:r>
          </w:p>
        </w:tc>
        <w:tc>
          <w:tcPr>
            <w:tcW w:w="1420" w:type="dxa"/>
            <w:tcBorders>
              <w:top w:val="single" w:sz="4" w:space="0" w:color="auto"/>
              <w:left w:val="single" w:sz="6" w:space="0" w:color="auto"/>
              <w:bottom w:val="single" w:sz="6" w:space="0" w:color="auto"/>
              <w:right w:val="single" w:sz="6" w:space="0" w:color="auto"/>
            </w:tcBorders>
          </w:tcPr>
          <w:p w:rsidR="00E33AAA" w:rsidRPr="00B75FD7" w:rsidRDefault="00BE6B03" w:rsidP="00F069E5">
            <w:pPr>
              <w:autoSpaceDE w:val="0"/>
              <w:autoSpaceDN w:val="0"/>
              <w:adjustRightInd w:val="0"/>
              <w:rPr>
                <w:rFonts w:eastAsia="Calibri"/>
                <w:color w:val="000000"/>
                <w:sz w:val="22"/>
              </w:rPr>
            </w:pPr>
            <w:r w:rsidRPr="00B75FD7">
              <w:rPr>
                <w:rFonts w:eastAsia="Calibri"/>
                <w:color w:val="000000"/>
                <w:sz w:val="22"/>
              </w:rPr>
              <w:t>-</w:t>
            </w:r>
          </w:p>
        </w:tc>
        <w:tc>
          <w:tcPr>
            <w:tcW w:w="996" w:type="dxa"/>
            <w:tcBorders>
              <w:top w:val="single" w:sz="4" w:space="0" w:color="auto"/>
              <w:left w:val="single" w:sz="6" w:space="0" w:color="auto"/>
              <w:bottom w:val="single" w:sz="6" w:space="0" w:color="auto"/>
              <w:right w:val="single" w:sz="6" w:space="0" w:color="auto"/>
            </w:tcBorders>
            <w:vAlign w:val="center"/>
          </w:tcPr>
          <w:p w:rsidR="00E33AAA" w:rsidRPr="00B75FD7" w:rsidRDefault="00E33AAA" w:rsidP="00F069E5">
            <w:pPr>
              <w:autoSpaceDE w:val="0"/>
              <w:autoSpaceDN w:val="0"/>
              <w:adjustRightInd w:val="0"/>
              <w:jc w:val="center"/>
              <w:rPr>
                <w:rFonts w:eastAsia="Calibri"/>
                <w:color w:val="000000"/>
                <w:sz w:val="22"/>
              </w:rPr>
            </w:pPr>
            <w:r w:rsidRPr="00B75FD7">
              <w:rPr>
                <w:rFonts w:eastAsia="Calibri"/>
                <w:color w:val="000000"/>
                <w:sz w:val="22"/>
              </w:rPr>
              <w:t>47000,0</w:t>
            </w:r>
          </w:p>
        </w:tc>
        <w:tc>
          <w:tcPr>
            <w:tcW w:w="1272" w:type="dxa"/>
            <w:gridSpan w:val="2"/>
            <w:tcBorders>
              <w:top w:val="single" w:sz="4" w:space="0" w:color="auto"/>
              <w:left w:val="single" w:sz="6" w:space="0" w:color="auto"/>
              <w:bottom w:val="single" w:sz="6" w:space="0" w:color="auto"/>
              <w:right w:val="single" w:sz="4" w:space="0" w:color="auto"/>
            </w:tcBorders>
            <w:vAlign w:val="center"/>
          </w:tcPr>
          <w:p w:rsidR="00E33AAA" w:rsidRPr="00B75FD7" w:rsidRDefault="00E33AAA" w:rsidP="00F069E5">
            <w:pPr>
              <w:autoSpaceDE w:val="0"/>
              <w:autoSpaceDN w:val="0"/>
              <w:adjustRightInd w:val="0"/>
              <w:jc w:val="center"/>
              <w:rPr>
                <w:rFonts w:eastAsia="Calibri"/>
                <w:color w:val="000000"/>
                <w:sz w:val="22"/>
              </w:rPr>
            </w:pPr>
            <w:r w:rsidRPr="00B75FD7">
              <w:rPr>
                <w:rFonts w:eastAsia="Calibri"/>
                <w:color w:val="000000"/>
                <w:sz w:val="22"/>
              </w:rPr>
              <w:t>Міжнародні інвестиції</w:t>
            </w:r>
          </w:p>
        </w:tc>
        <w:tc>
          <w:tcPr>
            <w:tcW w:w="1563" w:type="dxa"/>
            <w:vMerge/>
            <w:tcBorders>
              <w:left w:val="single" w:sz="4" w:space="0" w:color="auto"/>
              <w:bottom w:val="single" w:sz="6" w:space="0" w:color="auto"/>
              <w:right w:val="single" w:sz="4" w:space="0" w:color="auto"/>
            </w:tcBorders>
          </w:tcPr>
          <w:p w:rsidR="00E33AAA" w:rsidRPr="00B75FD7" w:rsidRDefault="00E33AAA" w:rsidP="00F069E5">
            <w:pPr>
              <w:autoSpaceDE w:val="0"/>
              <w:autoSpaceDN w:val="0"/>
              <w:adjustRightInd w:val="0"/>
              <w:rPr>
                <w:rFonts w:eastAsia="Calibri"/>
                <w:color w:val="000000"/>
                <w:sz w:val="22"/>
              </w:rPr>
            </w:pPr>
          </w:p>
        </w:tc>
      </w:tr>
    </w:tbl>
    <w:p w:rsidR="00E33AAA" w:rsidRPr="00B75FD7" w:rsidRDefault="00E33AAA" w:rsidP="00E95FB1">
      <w:pPr>
        <w:rPr>
          <w:sz w:val="22"/>
        </w:rPr>
      </w:pPr>
    </w:p>
    <w:p w:rsidR="00E33AAA" w:rsidRPr="00B75FD7" w:rsidRDefault="00E33AAA" w:rsidP="00E95FB1">
      <w:pPr>
        <w:rPr>
          <w:sz w:val="22"/>
        </w:rPr>
      </w:pPr>
    </w:p>
    <w:tbl>
      <w:tblPr>
        <w:tblpPr w:leftFromText="180" w:rightFromText="180" w:vertAnchor="text" w:horzAnchor="page" w:tblpX="1" w:tblpY="123"/>
        <w:tblW w:w="11370" w:type="dxa"/>
        <w:tblLayout w:type="fixed"/>
        <w:tblCellMar>
          <w:left w:w="30" w:type="dxa"/>
          <w:right w:w="30" w:type="dxa"/>
        </w:tblCellMar>
        <w:tblLook w:val="0000" w:firstRow="0" w:lastRow="0" w:firstColumn="0" w:lastColumn="0" w:noHBand="0" w:noVBand="0"/>
      </w:tblPr>
      <w:tblGrid>
        <w:gridCol w:w="1448"/>
        <w:gridCol w:w="2830"/>
        <w:gridCol w:w="1422"/>
        <w:gridCol w:w="235"/>
        <w:gridCol w:w="899"/>
        <w:gridCol w:w="709"/>
        <w:gridCol w:w="567"/>
        <w:gridCol w:w="992"/>
        <w:gridCol w:w="568"/>
        <w:gridCol w:w="1547"/>
        <w:gridCol w:w="153"/>
      </w:tblGrid>
      <w:tr w:rsidR="00E33AAA" w:rsidRPr="00B75FD7" w:rsidTr="00E33AAA">
        <w:trPr>
          <w:gridAfter w:val="1"/>
          <w:wAfter w:w="153" w:type="dxa"/>
          <w:trHeight w:val="290"/>
        </w:trPr>
        <w:tc>
          <w:tcPr>
            <w:tcW w:w="1448" w:type="dxa"/>
            <w:tcBorders>
              <w:top w:val="nil"/>
              <w:left w:val="nil"/>
              <w:bottom w:val="nil"/>
              <w:right w:val="nil"/>
            </w:tcBorders>
          </w:tcPr>
          <w:p w:rsidR="00E33AAA" w:rsidRPr="00B75FD7" w:rsidRDefault="00E33AAA" w:rsidP="00F069E5">
            <w:pPr>
              <w:autoSpaceDE w:val="0"/>
              <w:autoSpaceDN w:val="0"/>
              <w:adjustRightInd w:val="0"/>
              <w:jc w:val="right"/>
              <w:rPr>
                <w:rFonts w:eastAsia="Calibri"/>
                <w:color w:val="000000"/>
                <w:sz w:val="22"/>
              </w:rPr>
            </w:pPr>
          </w:p>
        </w:tc>
        <w:tc>
          <w:tcPr>
            <w:tcW w:w="2830" w:type="dxa"/>
            <w:tcBorders>
              <w:top w:val="nil"/>
              <w:left w:val="nil"/>
              <w:bottom w:val="single" w:sz="6" w:space="0" w:color="auto"/>
              <w:right w:val="nil"/>
            </w:tcBorders>
          </w:tcPr>
          <w:p w:rsidR="00E33AAA" w:rsidRPr="00B75FD7" w:rsidRDefault="00E33AAA" w:rsidP="00F069E5">
            <w:pPr>
              <w:autoSpaceDE w:val="0"/>
              <w:autoSpaceDN w:val="0"/>
              <w:adjustRightInd w:val="0"/>
              <w:jc w:val="center"/>
              <w:rPr>
                <w:rFonts w:eastAsia="Calibri"/>
                <w:color w:val="000000"/>
                <w:sz w:val="22"/>
              </w:rPr>
            </w:pPr>
          </w:p>
        </w:tc>
        <w:tc>
          <w:tcPr>
            <w:tcW w:w="1657" w:type="dxa"/>
            <w:gridSpan w:val="2"/>
            <w:tcBorders>
              <w:top w:val="nil"/>
              <w:left w:val="nil"/>
              <w:bottom w:val="single" w:sz="6" w:space="0" w:color="auto"/>
              <w:right w:val="nil"/>
            </w:tcBorders>
          </w:tcPr>
          <w:p w:rsidR="00E33AAA" w:rsidRPr="00B75FD7" w:rsidRDefault="00E33AAA" w:rsidP="00F069E5">
            <w:pPr>
              <w:autoSpaceDE w:val="0"/>
              <w:autoSpaceDN w:val="0"/>
              <w:adjustRightInd w:val="0"/>
              <w:jc w:val="center"/>
              <w:rPr>
                <w:rFonts w:eastAsia="Calibri"/>
                <w:color w:val="000000"/>
                <w:sz w:val="22"/>
              </w:rPr>
            </w:pPr>
          </w:p>
        </w:tc>
        <w:tc>
          <w:tcPr>
            <w:tcW w:w="899" w:type="dxa"/>
            <w:tcBorders>
              <w:top w:val="nil"/>
              <w:left w:val="nil"/>
              <w:bottom w:val="single" w:sz="6" w:space="0" w:color="auto"/>
              <w:right w:val="nil"/>
            </w:tcBorders>
          </w:tcPr>
          <w:p w:rsidR="00E33AAA" w:rsidRPr="00B75FD7" w:rsidRDefault="00E33AAA" w:rsidP="00F069E5">
            <w:pPr>
              <w:autoSpaceDE w:val="0"/>
              <w:autoSpaceDN w:val="0"/>
              <w:adjustRightInd w:val="0"/>
              <w:jc w:val="center"/>
              <w:rPr>
                <w:rFonts w:eastAsia="Calibri"/>
                <w:color w:val="000000"/>
                <w:sz w:val="22"/>
              </w:rPr>
            </w:pPr>
          </w:p>
        </w:tc>
        <w:tc>
          <w:tcPr>
            <w:tcW w:w="2836" w:type="dxa"/>
            <w:gridSpan w:val="4"/>
            <w:tcBorders>
              <w:top w:val="nil"/>
              <w:left w:val="nil"/>
              <w:bottom w:val="single" w:sz="6" w:space="0" w:color="auto"/>
              <w:right w:val="nil"/>
            </w:tcBorders>
          </w:tcPr>
          <w:p w:rsidR="00E33AAA" w:rsidRPr="00B75FD7" w:rsidRDefault="00E33AAA" w:rsidP="00F069E5">
            <w:pPr>
              <w:autoSpaceDE w:val="0"/>
              <w:autoSpaceDN w:val="0"/>
              <w:adjustRightInd w:val="0"/>
              <w:jc w:val="center"/>
              <w:rPr>
                <w:rFonts w:eastAsia="Calibri"/>
                <w:color w:val="000000"/>
                <w:sz w:val="22"/>
              </w:rPr>
            </w:pPr>
          </w:p>
        </w:tc>
        <w:tc>
          <w:tcPr>
            <w:tcW w:w="1547" w:type="dxa"/>
            <w:tcBorders>
              <w:top w:val="nil"/>
              <w:left w:val="nil"/>
              <w:bottom w:val="single" w:sz="6" w:space="0" w:color="auto"/>
              <w:right w:val="nil"/>
            </w:tcBorders>
          </w:tcPr>
          <w:p w:rsidR="00E33AAA" w:rsidRPr="00B75FD7" w:rsidRDefault="00E33AAA" w:rsidP="00F069E5">
            <w:pPr>
              <w:autoSpaceDE w:val="0"/>
              <w:autoSpaceDN w:val="0"/>
              <w:adjustRightInd w:val="0"/>
              <w:jc w:val="center"/>
              <w:rPr>
                <w:rFonts w:eastAsia="Calibri"/>
                <w:color w:val="000000"/>
                <w:sz w:val="22"/>
              </w:rPr>
            </w:pPr>
          </w:p>
        </w:tc>
      </w:tr>
      <w:tr w:rsidR="00E33AAA" w:rsidRPr="00B75FD7" w:rsidTr="00E33AAA">
        <w:trPr>
          <w:trHeight w:val="555"/>
        </w:trPr>
        <w:tc>
          <w:tcPr>
            <w:tcW w:w="1448" w:type="dxa"/>
            <w:tcBorders>
              <w:top w:val="nil"/>
              <w:left w:val="nil"/>
              <w:bottom w:val="nil"/>
              <w:right w:val="nil"/>
            </w:tcBorders>
          </w:tcPr>
          <w:p w:rsidR="00E33AAA" w:rsidRPr="00B75FD7" w:rsidRDefault="00E33AAA" w:rsidP="00F069E5">
            <w:pPr>
              <w:autoSpaceDE w:val="0"/>
              <w:autoSpaceDN w:val="0"/>
              <w:adjustRightInd w:val="0"/>
              <w:jc w:val="right"/>
              <w:rPr>
                <w:rFonts w:eastAsia="Calibri"/>
                <w:sz w:val="22"/>
              </w:rPr>
            </w:pPr>
          </w:p>
        </w:tc>
        <w:tc>
          <w:tcPr>
            <w:tcW w:w="2830" w:type="dxa"/>
            <w:tcBorders>
              <w:top w:val="single" w:sz="6" w:space="0" w:color="auto"/>
              <w:left w:val="single" w:sz="6"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sz w:val="22"/>
              </w:rPr>
            </w:pPr>
            <w:r w:rsidRPr="00B75FD7">
              <w:rPr>
                <w:rFonts w:eastAsia="Calibri"/>
                <w:b/>
                <w:sz w:val="22"/>
              </w:rPr>
              <w:t>Оперативна ціль/завдання</w:t>
            </w:r>
          </w:p>
        </w:tc>
        <w:tc>
          <w:tcPr>
            <w:tcW w:w="7092" w:type="dxa"/>
            <w:gridSpan w:val="9"/>
            <w:tcBorders>
              <w:top w:val="single" w:sz="6" w:space="0" w:color="auto"/>
              <w:left w:val="single" w:sz="6" w:space="0" w:color="auto"/>
              <w:bottom w:val="single" w:sz="6" w:space="0" w:color="auto"/>
              <w:right w:val="single" w:sz="6" w:space="0" w:color="auto"/>
            </w:tcBorders>
          </w:tcPr>
          <w:p w:rsidR="00E33AAA" w:rsidRPr="00B75FD7" w:rsidRDefault="00E33AAA" w:rsidP="00F069E5">
            <w:pPr>
              <w:autoSpaceDE w:val="0"/>
              <w:autoSpaceDN w:val="0"/>
              <w:adjustRightInd w:val="0"/>
              <w:rPr>
                <w:rFonts w:eastAsia="Calibri"/>
                <w:sz w:val="22"/>
              </w:rPr>
            </w:pPr>
            <w:r w:rsidRPr="00B75FD7">
              <w:rPr>
                <w:color w:val="222222"/>
                <w:sz w:val="22"/>
                <w:shd w:val="clear" w:color="auto" w:fill="FFFFFF"/>
              </w:rPr>
              <w:t xml:space="preserve">Людський розвиток через інновації управління та довіру до влади. Формування сучасного інклюзивного  </w:t>
            </w:r>
            <w:proofErr w:type="spellStart"/>
            <w:r w:rsidRPr="00B75FD7">
              <w:rPr>
                <w:color w:val="222222"/>
                <w:sz w:val="22"/>
                <w:shd w:val="clear" w:color="auto" w:fill="FFFFFF"/>
              </w:rPr>
              <w:t>освітньо</w:t>
            </w:r>
            <w:proofErr w:type="spellEnd"/>
            <w:r w:rsidRPr="00B75FD7">
              <w:rPr>
                <w:color w:val="222222"/>
                <w:sz w:val="22"/>
                <w:shd w:val="clear" w:color="auto" w:fill="FFFFFF"/>
              </w:rPr>
              <w:t>-культурного та спортивного простору для розвитку.</w:t>
            </w:r>
          </w:p>
        </w:tc>
      </w:tr>
      <w:tr w:rsidR="00E33AAA" w:rsidRPr="00B75FD7" w:rsidTr="00E33AAA">
        <w:trPr>
          <w:trHeight w:val="688"/>
        </w:trPr>
        <w:tc>
          <w:tcPr>
            <w:tcW w:w="1448" w:type="dxa"/>
            <w:tcBorders>
              <w:top w:val="nil"/>
              <w:left w:val="nil"/>
              <w:bottom w:val="nil"/>
              <w:right w:val="nil"/>
            </w:tcBorders>
          </w:tcPr>
          <w:p w:rsidR="00E33AAA" w:rsidRPr="00B75FD7" w:rsidRDefault="00E33AAA" w:rsidP="00F069E5">
            <w:pPr>
              <w:autoSpaceDE w:val="0"/>
              <w:autoSpaceDN w:val="0"/>
              <w:adjustRightInd w:val="0"/>
              <w:jc w:val="right"/>
              <w:rPr>
                <w:rFonts w:eastAsia="Calibri"/>
                <w:sz w:val="22"/>
              </w:rPr>
            </w:pPr>
          </w:p>
        </w:tc>
        <w:tc>
          <w:tcPr>
            <w:tcW w:w="2830" w:type="dxa"/>
            <w:tcBorders>
              <w:top w:val="single" w:sz="6" w:space="0" w:color="auto"/>
              <w:left w:val="single" w:sz="6"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sz w:val="22"/>
              </w:rPr>
            </w:pPr>
            <w:r w:rsidRPr="00B75FD7">
              <w:rPr>
                <w:rFonts w:eastAsia="Calibri"/>
                <w:b/>
                <w:sz w:val="22"/>
              </w:rPr>
              <w:t>Назва проекту:</w:t>
            </w:r>
          </w:p>
        </w:tc>
        <w:tc>
          <w:tcPr>
            <w:tcW w:w="7092" w:type="dxa"/>
            <w:gridSpan w:val="9"/>
            <w:tcBorders>
              <w:top w:val="single" w:sz="6" w:space="0" w:color="auto"/>
              <w:left w:val="single" w:sz="6" w:space="0" w:color="auto"/>
              <w:bottom w:val="single" w:sz="6" w:space="0" w:color="auto"/>
              <w:right w:val="single" w:sz="6" w:space="0" w:color="auto"/>
            </w:tcBorders>
          </w:tcPr>
          <w:p w:rsidR="00E33AAA" w:rsidRPr="00B75FD7" w:rsidRDefault="00E33AAA" w:rsidP="00F069E5">
            <w:pPr>
              <w:rPr>
                <w:sz w:val="22"/>
              </w:rPr>
            </w:pPr>
            <w:r w:rsidRPr="00B75FD7">
              <w:rPr>
                <w:sz w:val="22"/>
              </w:rPr>
              <w:t>Оснащення  Ясел-садка №19 міста Сєвєродонецька Луганської області, пр. Гвардійський 14-Б</w:t>
            </w:r>
          </w:p>
        </w:tc>
      </w:tr>
      <w:tr w:rsidR="00E33AAA" w:rsidRPr="00B75FD7" w:rsidTr="00E33AAA">
        <w:trPr>
          <w:trHeight w:val="1109"/>
        </w:trPr>
        <w:tc>
          <w:tcPr>
            <w:tcW w:w="1448" w:type="dxa"/>
            <w:tcBorders>
              <w:top w:val="nil"/>
              <w:left w:val="nil"/>
              <w:bottom w:val="nil"/>
              <w:right w:val="nil"/>
            </w:tcBorders>
          </w:tcPr>
          <w:p w:rsidR="00E33AAA" w:rsidRPr="00B75FD7" w:rsidRDefault="00E33AAA" w:rsidP="00F069E5">
            <w:pPr>
              <w:autoSpaceDE w:val="0"/>
              <w:autoSpaceDN w:val="0"/>
              <w:adjustRightInd w:val="0"/>
              <w:jc w:val="right"/>
              <w:rPr>
                <w:rFonts w:eastAsia="Calibri"/>
                <w:sz w:val="22"/>
              </w:rPr>
            </w:pPr>
          </w:p>
        </w:tc>
        <w:tc>
          <w:tcPr>
            <w:tcW w:w="2830" w:type="dxa"/>
            <w:tcBorders>
              <w:top w:val="single" w:sz="6" w:space="0" w:color="auto"/>
              <w:left w:val="single" w:sz="6"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sz w:val="22"/>
              </w:rPr>
            </w:pPr>
            <w:r w:rsidRPr="00B75FD7">
              <w:rPr>
                <w:rFonts w:eastAsia="Calibri"/>
                <w:b/>
                <w:sz w:val="22"/>
              </w:rPr>
              <w:t>Ціль проекту</w:t>
            </w:r>
          </w:p>
        </w:tc>
        <w:tc>
          <w:tcPr>
            <w:tcW w:w="7092" w:type="dxa"/>
            <w:gridSpan w:val="9"/>
            <w:tcBorders>
              <w:top w:val="single" w:sz="6" w:space="0" w:color="auto"/>
              <w:left w:val="single" w:sz="6" w:space="0" w:color="auto"/>
              <w:bottom w:val="single" w:sz="6" w:space="0" w:color="auto"/>
              <w:right w:val="single" w:sz="6" w:space="0" w:color="auto"/>
            </w:tcBorders>
          </w:tcPr>
          <w:p w:rsidR="00E33AAA" w:rsidRPr="00B75FD7" w:rsidRDefault="00E33AAA" w:rsidP="00F069E5">
            <w:pPr>
              <w:rPr>
                <w:sz w:val="22"/>
              </w:rPr>
            </w:pPr>
            <w:r w:rsidRPr="00B75FD7">
              <w:rPr>
                <w:sz w:val="22"/>
              </w:rPr>
              <w:t>Формування сучасного освітнього простору. Забезпечення освітнього процесу необхідними та достатніми матеріально-технічними засобами для повної реалізації освітніх та навчальних програм у відповідності вимогам законодавства. Санітарного регламенту, пожежній безпеці та охорони праці. Створення умов для всебічного рівноцінного, комфортного перебування дітей в закладі освіти. Задоволення потреб мешканців Сєвєродонецької територіальної громади  у необхідних освітніх послугах.</w:t>
            </w:r>
          </w:p>
        </w:tc>
      </w:tr>
      <w:tr w:rsidR="00E33AAA" w:rsidRPr="00B75FD7" w:rsidTr="00E33AAA">
        <w:trPr>
          <w:trHeight w:val="290"/>
        </w:trPr>
        <w:tc>
          <w:tcPr>
            <w:tcW w:w="1448" w:type="dxa"/>
            <w:tcBorders>
              <w:top w:val="nil"/>
              <w:left w:val="nil"/>
              <w:bottom w:val="nil"/>
              <w:right w:val="nil"/>
            </w:tcBorders>
          </w:tcPr>
          <w:p w:rsidR="00E33AAA" w:rsidRPr="00B75FD7" w:rsidRDefault="00E33AAA" w:rsidP="00F069E5">
            <w:pPr>
              <w:autoSpaceDE w:val="0"/>
              <w:autoSpaceDN w:val="0"/>
              <w:adjustRightInd w:val="0"/>
              <w:jc w:val="right"/>
              <w:rPr>
                <w:rFonts w:eastAsia="Calibri"/>
                <w:sz w:val="22"/>
              </w:rPr>
            </w:pPr>
          </w:p>
        </w:tc>
        <w:tc>
          <w:tcPr>
            <w:tcW w:w="2830" w:type="dxa"/>
            <w:tcBorders>
              <w:top w:val="single" w:sz="6" w:space="0" w:color="auto"/>
              <w:left w:val="single" w:sz="6"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sz w:val="22"/>
              </w:rPr>
            </w:pPr>
            <w:r w:rsidRPr="00B75FD7">
              <w:rPr>
                <w:rFonts w:eastAsia="Calibri"/>
                <w:b/>
                <w:sz w:val="22"/>
              </w:rPr>
              <w:t>Територія, на яку матиме вплив реалізація проекту</w:t>
            </w:r>
          </w:p>
        </w:tc>
        <w:tc>
          <w:tcPr>
            <w:tcW w:w="7092" w:type="dxa"/>
            <w:gridSpan w:val="9"/>
            <w:tcBorders>
              <w:top w:val="single" w:sz="6" w:space="0" w:color="auto"/>
              <w:left w:val="single" w:sz="6" w:space="0" w:color="auto"/>
              <w:bottom w:val="single" w:sz="6" w:space="0" w:color="auto"/>
              <w:right w:val="single" w:sz="6" w:space="0" w:color="auto"/>
            </w:tcBorders>
          </w:tcPr>
          <w:p w:rsidR="00E33AAA" w:rsidRPr="00B75FD7" w:rsidRDefault="00E33AAA" w:rsidP="00F069E5">
            <w:pPr>
              <w:autoSpaceDE w:val="0"/>
              <w:autoSpaceDN w:val="0"/>
              <w:adjustRightInd w:val="0"/>
              <w:rPr>
                <w:rFonts w:eastAsia="Calibri"/>
                <w:sz w:val="22"/>
              </w:rPr>
            </w:pPr>
            <w:r w:rsidRPr="00B75FD7">
              <w:rPr>
                <w:rFonts w:eastAsia="Calibri"/>
                <w:sz w:val="22"/>
              </w:rPr>
              <w:t>Сєвєродонецька міська територіальна громада</w:t>
            </w:r>
          </w:p>
        </w:tc>
      </w:tr>
      <w:tr w:rsidR="00E33AAA" w:rsidRPr="00B75FD7" w:rsidTr="00E33AAA">
        <w:trPr>
          <w:trHeight w:val="846"/>
        </w:trPr>
        <w:tc>
          <w:tcPr>
            <w:tcW w:w="1448" w:type="dxa"/>
            <w:tcBorders>
              <w:top w:val="nil"/>
              <w:left w:val="nil"/>
              <w:bottom w:val="nil"/>
              <w:right w:val="nil"/>
            </w:tcBorders>
          </w:tcPr>
          <w:p w:rsidR="00E33AAA" w:rsidRPr="00B75FD7" w:rsidRDefault="00E33AAA" w:rsidP="00F069E5">
            <w:pPr>
              <w:autoSpaceDE w:val="0"/>
              <w:autoSpaceDN w:val="0"/>
              <w:adjustRightInd w:val="0"/>
              <w:jc w:val="right"/>
              <w:rPr>
                <w:rFonts w:eastAsia="Calibri"/>
                <w:sz w:val="22"/>
              </w:rPr>
            </w:pPr>
          </w:p>
        </w:tc>
        <w:tc>
          <w:tcPr>
            <w:tcW w:w="2830" w:type="dxa"/>
            <w:tcBorders>
              <w:top w:val="single" w:sz="6" w:space="0" w:color="auto"/>
              <w:left w:val="single" w:sz="6"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sz w:val="22"/>
              </w:rPr>
            </w:pPr>
            <w:r w:rsidRPr="00B75FD7">
              <w:rPr>
                <w:rFonts w:eastAsia="Calibri"/>
                <w:b/>
                <w:sz w:val="22"/>
              </w:rPr>
              <w:t>Чисельність населення, на яке матиме вплив реалізація проекту</w:t>
            </w:r>
          </w:p>
        </w:tc>
        <w:tc>
          <w:tcPr>
            <w:tcW w:w="7092" w:type="dxa"/>
            <w:gridSpan w:val="9"/>
            <w:tcBorders>
              <w:top w:val="single" w:sz="6" w:space="0" w:color="auto"/>
              <w:left w:val="single" w:sz="6" w:space="0" w:color="auto"/>
              <w:bottom w:val="single" w:sz="6" w:space="0" w:color="auto"/>
              <w:right w:val="single" w:sz="6" w:space="0" w:color="auto"/>
            </w:tcBorders>
          </w:tcPr>
          <w:p w:rsidR="00E33AAA" w:rsidRPr="00B75FD7" w:rsidRDefault="00E33AAA" w:rsidP="00F069E5">
            <w:pPr>
              <w:rPr>
                <w:rFonts w:eastAsia="Calibri"/>
                <w:sz w:val="22"/>
              </w:rPr>
            </w:pPr>
            <w:r w:rsidRPr="00B75FD7">
              <w:rPr>
                <w:sz w:val="22"/>
              </w:rPr>
              <w:t>70000 осіб</w:t>
            </w:r>
          </w:p>
        </w:tc>
      </w:tr>
      <w:tr w:rsidR="00E33AAA" w:rsidRPr="00B75FD7" w:rsidTr="00E33AAA">
        <w:trPr>
          <w:trHeight w:val="1261"/>
        </w:trPr>
        <w:tc>
          <w:tcPr>
            <w:tcW w:w="1448" w:type="dxa"/>
            <w:tcBorders>
              <w:top w:val="nil"/>
              <w:left w:val="nil"/>
              <w:bottom w:val="nil"/>
              <w:right w:val="nil"/>
            </w:tcBorders>
          </w:tcPr>
          <w:p w:rsidR="00E33AAA" w:rsidRPr="00B75FD7" w:rsidRDefault="00E33AAA" w:rsidP="00F069E5">
            <w:pPr>
              <w:autoSpaceDE w:val="0"/>
              <w:autoSpaceDN w:val="0"/>
              <w:adjustRightInd w:val="0"/>
              <w:jc w:val="right"/>
              <w:rPr>
                <w:rFonts w:eastAsia="Calibri"/>
                <w:sz w:val="22"/>
              </w:rPr>
            </w:pPr>
          </w:p>
        </w:tc>
        <w:tc>
          <w:tcPr>
            <w:tcW w:w="2830" w:type="dxa"/>
            <w:tcBorders>
              <w:top w:val="single" w:sz="6" w:space="0" w:color="auto"/>
              <w:left w:val="single" w:sz="6"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sz w:val="22"/>
              </w:rPr>
            </w:pPr>
            <w:r w:rsidRPr="00B75FD7">
              <w:rPr>
                <w:rFonts w:eastAsia="Calibri"/>
                <w:b/>
                <w:sz w:val="22"/>
              </w:rPr>
              <w:t>Опис проблеми, на вирішення якої спрямований проект</w:t>
            </w:r>
          </w:p>
        </w:tc>
        <w:tc>
          <w:tcPr>
            <w:tcW w:w="7092" w:type="dxa"/>
            <w:gridSpan w:val="9"/>
            <w:tcBorders>
              <w:top w:val="single" w:sz="6" w:space="0" w:color="auto"/>
              <w:left w:val="single" w:sz="6" w:space="0" w:color="auto"/>
              <w:bottom w:val="single" w:sz="6" w:space="0" w:color="auto"/>
              <w:right w:val="single" w:sz="6" w:space="0" w:color="auto"/>
            </w:tcBorders>
          </w:tcPr>
          <w:p w:rsidR="00E33AAA" w:rsidRPr="00B75FD7" w:rsidRDefault="00E33AAA" w:rsidP="00F069E5">
            <w:pPr>
              <w:rPr>
                <w:sz w:val="22"/>
              </w:rPr>
            </w:pPr>
            <w:r w:rsidRPr="00B75FD7">
              <w:rPr>
                <w:sz w:val="22"/>
              </w:rPr>
              <w:t xml:space="preserve">Ясла-садок №19 міста Сєвєродонецька Луганської області  був пошкоджений  внаслідок збройної агресії </w:t>
            </w:r>
            <w:r w:rsidR="00EE1BAC" w:rsidRPr="00B75FD7">
              <w:rPr>
                <w:sz w:val="22"/>
              </w:rPr>
              <w:t>РФ</w:t>
            </w:r>
            <w:r w:rsidRPr="00B75FD7">
              <w:rPr>
                <w:sz w:val="22"/>
              </w:rPr>
              <w:t>, внаслідок  чого відбулася руйнація інфраструктури та матеріально-технічної бази закладу. Обладнання та меблі через пошкодження будівлі знищено або зіпсоване,</w:t>
            </w:r>
            <w:r w:rsidR="00EE1BAC" w:rsidRPr="00B75FD7">
              <w:rPr>
                <w:sz w:val="22"/>
              </w:rPr>
              <w:t xml:space="preserve"> </w:t>
            </w:r>
            <w:r w:rsidRPr="00B75FD7">
              <w:rPr>
                <w:sz w:val="22"/>
              </w:rPr>
              <w:t>технічні та методичні засоби  пошкоджено або розкрадено.</w:t>
            </w:r>
          </w:p>
          <w:p w:rsidR="00E33AAA" w:rsidRPr="00B75FD7" w:rsidRDefault="00E33AAA" w:rsidP="00F069E5">
            <w:pPr>
              <w:rPr>
                <w:sz w:val="22"/>
              </w:rPr>
            </w:pPr>
            <w:r w:rsidRPr="00B75FD7">
              <w:rPr>
                <w:sz w:val="22"/>
              </w:rPr>
              <w:t>Для відбудови та сталого розвитку громади потрібне відновлення роботи закладу дошкільної освіти.</w:t>
            </w:r>
          </w:p>
        </w:tc>
      </w:tr>
      <w:tr w:rsidR="00E33AAA" w:rsidRPr="00B75FD7" w:rsidTr="00E33AAA">
        <w:trPr>
          <w:trHeight w:val="1265"/>
        </w:trPr>
        <w:tc>
          <w:tcPr>
            <w:tcW w:w="1448" w:type="dxa"/>
            <w:tcBorders>
              <w:top w:val="nil"/>
              <w:left w:val="nil"/>
              <w:bottom w:val="nil"/>
              <w:right w:val="nil"/>
            </w:tcBorders>
          </w:tcPr>
          <w:p w:rsidR="00E33AAA" w:rsidRPr="00B75FD7" w:rsidRDefault="00E33AAA" w:rsidP="00F069E5">
            <w:pPr>
              <w:autoSpaceDE w:val="0"/>
              <w:autoSpaceDN w:val="0"/>
              <w:adjustRightInd w:val="0"/>
              <w:jc w:val="right"/>
              <w:rPr>
                <w:rFonts w:eastAsia="Calibri"/>
                <w:sz w:val="22"/>
              </w:rPr>
            </w:pPr>
          </w:p>
        </w:tc>
        <w:tc>
          <w:tcPr>
            <w:tcW w:w="2830" w:type="dxa"/>
            <w:tcBorders>
              <w:top w:val="single" w:sz="6" w:space="0" w:color="auto"/>
              <w:left w:val="single" w:sz="6"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sz w:val="22"/>
              </w:rPr>
            </w:pPr>
            <w:r w:rsidRPr="00B75FD7">
              <w:rPr>
                <w:rFonts w:eastAsia="Calibri"/>
                <w:b/>
                <w:sz w:val="22"/>
              </w:rPr>
              <w:t>Очікувані якісні результати від реалізації проекту</w:t>
            </w:r>
          </w:p>
        </w:tc>
        <w:tc>
          <w:tcPr>
            <w:tcW w:w="7092" w:type="dxa"/>
            <w:gridSpan w:val="9"/>
            <w:tcBorders>
              <w:top w:val="single" w:sz="6" w:space="0" w:color="auto"/>
              <w:left w:val="single" w:sz="6" w:space="0" w:color="auto"/>
              <w:bottom w:val="single" w:sz="6" w:space="0" w:color="auto"/>
              <w:right w:val="single" w:sz="6" w:space="0" w:color="auto"/>
            </w:tcBorders>
          </w:tcPr>
          <w:p w:rsidR="00E33AAA" w:rsidRPr="00B75FD7" w:rsidRDefault="00E33AAA" w:rsidP="00F069E5">
            <w:pPr>
              <w:rPr>
                <w:sz w:val="22"/>
              </w:rPr>
            </w:pPr>
            <w:r w:rsidRPr="00B75FD7">
              <w:rPr>
                <w:sz w:val="22"/>
              </w:rPr>
              <w:t>1. Забезпечення мешканців громади  можливостями для реалізації  їх конституційних прав</w:t>
            </w:r>
            <w:r w:rsidR="00EE1BAC" w:rsidRPr="00B75FD7">
              <w:rPr>
                <w:sz w:val="22"/>
              </w:rPr>
              <w:t xml:space="preserve"> </w:t>
            </w:r>
            <w:r w:rsidRPr="00B75FD7">
              <w:rPr>
                <w:sz w:val="22"/>
              </w:rPr>
              <w:t>щодо здобуття освіти.</w:t>
            </w:r>
          </w:p>
          <w:p w:rsidR="00E33AAA" w:rsidRPr="00B75FD7" w:rsidRDefault="00E33AAA" w:rsidP="00F069E5">
            <w:pPr>
              <w:rPr>
                <w:sz w:val="22"/>
              </w:rPr>
            </w:pPr>
            <w:r w:rsidRPr="00B75FD7">
              <w:rPr>
                <w:sz w:val="22"/>
              </w:rPr>
              <w:t>2. Створення сучасного освітнього простору  для всіх учасників освітнього процесу,</w:t>
            </w:r>
            <w:r w:rsidR="00EE1BAC" w:rsidRPr="00B75FD7">
              <w:rPr>
                <w:sz w:val="22"/>
              </w:rPr>
              <w:t xml:space="preserve"> </w:t>
            </w:r>
            <w:r w:rsidRPr="00B75FD7">
              <w:rPr>
                <w:sz w:val="22"/>
              </w:rPr>
              <w:t xml:space="preserve">розвиток  творчої  ініціативи та академічної свободи педагогів в пошуках нових форм і методів педагогічної діяльності для надання якісних освітніх послуг. </w:t>
            </w:r>
          </w:p>
          <w:p w:rsidR="00E33AAA" w:rsidRPr="00B75FD7" w:rsidRDefault="00E33AAA" w:rsidP="00F069E5">
            <w:pPr>
              <w:rPr>
                <w:sz w:val="22"/>
              </w:rPr>
            </w:pPr>
            <w:r w:rsidRPr="00B75FD7">
              <w:rPr>
                <w:sz w:val="22"/>
              </w:rPr>
              <w:t>3. Створення в закладі освіти комфортних сучасних умов для організації та здійснення якісного,</w:t>
            </w:r>
            <w:r w:rsidR="00EE1BAC" w:rsidRPr="00B75FD7">
              <w:rPr>
                <w:sz w:val="22"/>
              </w:rPr>
              <w:t xml:space="preserve"> </w:t>
            </w:r>
            <w:r w:rsidRPr="00B75FD7">
              <w:rPr>
                <w:sz w:val="22"/>
              </w:rPr>
              <w:t xml:space="preserve">збалансованого харчування вихованців закладу. </w:t>
            </w:r>
          </w:p>
          <w:p w:rsidR="00E33AAA" w:rsidRPr="00B75FD7" w:rsidRDefault="00E33AAA" w:rsidP="00F069E5">
            <w:pPr>
              <w:rPr>
                <w:sz w:val="22"/>
              </w:rPr>
            </w:pPr>
            <w:r w:rsidRPr="00B75FD7">
              <w:rPr>
                <w:sz w:val="22"/>
              </w:rPr>
              <w:t>4. Створення нових робочих місць.</w:t>
            </w:r>
          </w:p>
          <w:p w:rsidR="00E33AAA" w:rsidRPr="00B75FD7" w:rsidRDefault="00E33AAA" w:rsidP="00F069E5">
            <w:pPr>
              <w:rPr>
                <w:sz w:val="22"/>
              </w:rPr>
            </w:pPr>
            <w:r w:rsidRPr="00B75FD7">
              <w:rPr>
                <w:sz w:val="22"/>
              </w:rPr>
              <w:t>5. Стимул до повернення ВПО до громади.</w:t>
            </w:r>
          </w:p>
        </w:tc>
      </w:tr>
      <w:tr w:rsidR="00E33AAA" w:rsidRPr="00B75FD7" w:rsidTr="00E33AAA">
        <w:trPr>
          <w:trHeight w:val="581"/>
        </w:trPr>
        <w:tc>
          <w:tcPr>
            <w:tcW w:w="1448" w:type="dxa"/>
            <w:tcBorders>
              <w:top w:val="nil"/>
              <w:left w:val="nil"/>
              <w:bottom w:val="nil"/>
              <w:right w:val="nil"/>
            </w:tcBorders>
          </w:tcPr>
          <w:p w:rsidR="00E33AAA" w:rsidRPr="00B75FD7" w:rsidRDefault="00E33AAA" w:rsidP="00F069E5">
            <w:pPr>
              <w:autoSpaceDE w:val="0"/>
              <w:autoSpaceDN w:val="0"/>
              <w:adjustRightInd w:val="0"/>
              <w:jc w:val="right"/>
              <w:rPr>
                <w:rFonts w:eastAsia="Calibri"/>
                <w:sz w:val="22"/>
              </w:rPr>
            </w:pPr>
          </w:p>
        </w:tc>
        <w:tc>
          <w:tcPr>
            <w:tcW w:w="2830" w:type="dxa"/>
            <w:tcBorders>
              <w:top w:val="single" w:sz="6" w:space="0" w:color="auto"/>
              <w:left w:val="single" w:sz="6"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sz w:val="22"/>
              </w:rPr>
            </w:pPr>
            <w:r w:rsidRPr="00B75FD7">
              <w:rPr>
                <w:rFonts w:eastAsia="Calibri"/>
                <w:b/>
                <w:sz w:val="22"/>
              </w:rPr>
              <w:t>Очікувані кількісні результати від реалізації проекту  (індикатори)</w:t>
            </w:r>
          </w:p>
        </w:tc>
        <w:tc>
          <w:tcPr>
            <w:tcW w:w="3265" w:type="dxa"/>
            <w:gridSpan w:val="4"/>
            <w:tcBorders>
              <w:top w:val="single" w:sz="6" w:space="0" w:color="auto"/>
              <w:left w:val="single" w:sz="6" w:space="0" w:color="auto"/>
              <w:bottom w:val="single" w:sz="6" w:space="0" w:color="auto"/>
              <w:right w:val="single" w:sz="6" w:space="0" w:color="auto"/>
            </w:tcBorders>
          </w:tcPr>
          <w:p w:rsidR="00E33AAA" w:rsidRPr="00B75FD7" w:rsidRDefault="00E33AAA" w:rsidP="00F069E5">
            <w:pPr>
              <w:autoSpaceDE w:val="0"/>
              <w:autoSpaceDN w:val="0"/>
              <w:adjustRightInd w:val="0"/>
              <w:rPr>
                <w:rFonts w:eastAsia="Calibri"/>
                <w:b/>
                <w:sz w:val="22"/>
              </w:rPr>
            </w:pPr>
            <w:r w:rsidRPr="00B75FD7">
              <w:rPr>
                <w:rFonts w:eastAsia="Calibri"/>
                <w:b/>
                <w:sz w:val="22"/>
              </w:rPr>
              <w:t>Найменування показника</w:t>
            </w:r>
          </w:p>
        </w:tc>
        <w:tc>
          <w:tcPr>
            <w:tcW w:w="1559" w:type="dxa"/>
            <w:gridSpan w:val="2"/>
            <w:tcBorders>
              <w:top w:val="single" w:sz="6" w:space="0" w:color="auto"/>
              <w:left w:val="single" w:sz="6" w:space="0" w:color="auto"/>
              <w:bottom w:val="single" w:sz="6" w:space="0" w:color="auto"/>
              <w:right w:val="single" w:sz="6" w:space="0" w:color="auto"/>
            </w:tcBorders>
          </w:tcPr>
          <w:p w:rsidR="00E33AAA" w:rsidRPr="00B75FD7" w:rsidRDefault="00E33AAA" w:rsidP="00F069E5">
            <w:pPr>
              <w:autoSpaceDE w:val="0"/>
              <w:autoSpaceDN w:val="0"/>
              <w:adjustRightInd w:val="0"/>
              <w:rPr>
                <w:rFonts w:eastAsia="Calibri"/>
                <w:b/>
                <w:sz w:val="22"/>
              </w:rPr>
            </w:pPr>
            <w:r w:rsidRPr="00B75FD7">
              <w:rPr>
                <w:rFonts w:eastAsia="Calibri"/>
                <w:b/>
                <w:sz w:val="22"/>
              </w:rPr>
              <w:t>Одиниця вимірювання</w:t>
            </w:r>
          </w:p>
        </w:tc>
        <w:tc>
          <w:tcPr>
            <w:tcW w:w="2268" w:type="dxa"/>
            <w:gridSpan w:val="3"/>
            <w:tcBorders>
              <w:top w:val="single" w:sz="6" w:space="0" w:color="auto"/>
              <w:left w:val="single" w:sz="6" w:space="0" w:color="auto"/>
              <w:bottom w:val="single" w:sz="6" w:space="0" w:color="auto"/>
              <w:right w:val="single" w:sz="6" w:space="0" w:color="auto"/>
            </w:tcBorders>
          </w:tcPr>
          <w:p w:rsidR="00E33AAA" w:rsidRPr="00B75FD7" w:rsidRDefault="00E33AAA" w:rsidP="00F069E5">
            <w:pPr>
              <w:autoSpaceDE w:val="0"/>
              <w:autoSpaceDN w:val="0"/>
              <w:adjustRightInd w:val="0"/>
              <w:rPr>
                <w:rFonts w:eastAsia="Calibri"/>
                <w:b/>
                <w:sz w:val="22"/>
              </w:rPr>
            </w:pPr>
            <w:r w:rsidRPr="00B75FD7">
              <w:rPr>
                <w:rFonts w:eastAsia="Calibri"/>
                <w:b/>
                <w:sz w:val="22"/>
              </w:rPr>
              <w:t>Прогнозне (цільове) значення</w:t>
            </w:r>
          </w:p>
        </w:tc>
      </w:tr>
      <w:tr w:rsidR="00E33AAA" w:rsidRPr="00B75FD7" w:rsidTr="00E33AAA">
        <w:trPr>
          <w:trHeight w:val="376"/>
        </w:trPr>
        <w:tc>
          <w:tcPr>
            <w:tcW w:w="1448" w:type="dxa"/>
            <w:tcBorders>
              <w:top w:val="nil"/>
              <w:left w:val="nil"/>
              <w:bottom w:val="nil"/>
              <w:right w:val="nil"/>
            </w:tcBorders>
          </w:tcPr>
          <w:p w:rsidR="00E33AAA" w:rsidRPr="00B75FD7" w:rsidRDefault="00E33AAA" w:rsidP="00F069E5">
            <w:pPr>
              <w:autoSpaceDE w:val="0"/>
              <w:autoSpaceDN w:val="0"/>
              <w:adjustRightInd w:val="0"/>
              <w:jc w:val="right"/>
              <w:rPr>
                <w:rFonts w:eastAsia="Calibri"/>
                <w:sz w:val="22"/>
              </w:rPr>
            </w:pPr>
          </w:p>
        </w:tc>
        <w:tc>
          <w:tcPr>
            <w:tcW w:w="2830" w:type="dxa"/>
            <w:tcBorders>
              <w:top w:val="single" w:sz="6" w:space="0" w:color="auto"/>
              <w:left w:val="single" w:sz="6"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sz w:val="22"/>
              </w:rPr>
            </w:pPr>
          </w:p>
        </w:tc>
        <w:tc>
          <w:tcPr>
            <w:tcW w:w="3265" w:type="dxa"/>
            <w:gridSpan w:val="4"/>
            <w:tcBorders>
              <w:top w:val="single" w:sz="6" w:space="0" w:color="auto"/>
              <w:left w:val="single" w:sz="6" w:space="0" w:color="auto"/>
              <w:bottom w:val="single" w:sz="6" w:space="0" w:color="auto"/>
              <w:right w:val="single" w:sz="6" w:space="0" w:color="auto"/>
            </w:tcBorders>
          </w:tcPr>
          <w:p w:rsidR="00E33AAA" w:rsidRPr="00B75FD7" w:rsidRDefault="00E33AAA" w:rsidP="00F069E5">
            <w:pPr>
              <w:autoSpaceDE w:val="0"/>
              <w:autoSpaceDN w:val="0"/>
              <w:adjustRightInd w:val="0"/>
              <w:rPr>
                <w:rFonts w:eastAsia="Calibri"/>
                <w:sz w:val="22"/>
              </w:rPr>
            </w:pPr>
            <w:r w:rsidRPr="00B75FD7">
              <w:rPr>
                <w:rFonts w:eastAsia="Calibri"/>
                <w:sz w:val="22"/>
              </w:rPr>
              <w:t>Діти дошкільного віку</w:t>
            </w:r>
          </w:p>
        </w:tc>
        <w:tc>
          <w:tcPr>
            <w:tcW w:w="1559" w:type="dxa"/>
            <w:gridSpan w:val="2"/>
            <w:tcBorders>
              <w:top w:val="single" w:sz="6" w:space="0" w:color="auto"/>
              <w:left w:val="single" w:sz="6" w:space="0" w:color="auto"/>
              <w:bottom w:val="single" w:sz="6" w:space="0" w:color="auto"/>
              <w:right w:val="single" w:sz="6" w:space="0" w:color="auto"/>
            </w:tcBorders>
          </w:tcPr>
          <w:p w:rsidR="00E33AAA" w:rsidRPr="00B75FD7" w:rsidRDefault="00E33AAA" w:rsidP="00F069E5">
            <w:pPr>
              <w:autoSpaceDE w:val="0"/>
              <w:autoSpaceDN w:val="0"/>
              <w:adjustRightInd w:val="0"/>
              <w:rPr>
                <w:rFonts w:eastAsia="Calibri"/>
                <w:sz w:val="22"/>
              </w:rPr>
            </w:pPr>
            <w:r w:rsidRPr="00B75FD7">
              <w:rPr>
                <w:rFonts w:eastAsia="Calibri"/>
                <w:sz w:val="22"/>
              </w:rPr>
              <w:t xml:space="preserve"> осіб</w:t>
            </w:r>
          </w:p>
        </w:tc>
        <w:tc>
          <w:tcPr>
            <w:tcW w:w="2268" w:type="dxa"/>
            <w:gridSpan w:val="3"/>
            <w:tcBorders>
              <w:top w:val="single" w:sz="6" w:space="0" w:color="auto"/>
              <w:left w:val="single" w:sz="6" w:space="0" w:color="auto"/>
              <w:bottom w:val="single" w:sz="6" w:space="0" w:color="auto"/>
              <w:right w:val="single" w:sz="6" w:space="0" w:color="auto"/>
            </w:tcBorders>
          </w:tcPr>
          <w:p w:rsidR="00E33AAA" w:rsidRPr="00B75FD7" w:rsidRDefault="00E33AAA" w:rsidP="00F069E5">
            <w:pPr>
              <w:rPr>
                <w:sz w:val="22"/>
              </w:rPr>
            </w:pPr>
            <w:r w:rsidRPr="00B75FD7">
              <w:rPr>
                <w:sz w:val="22"/>
              </w:rPr>
              <w:t xml:space="preserve">250 </w:t>
            </w:r>
          </w:p>
        </w:tc>
      </w:tr>
      <w:tr w:rsidR="00E33AAA" w:rsidRPr="00B75FD7" w:rsidTr="00E33AAA">
        <w:trPr>
          <w:trHeight w:val="550"/>
        </w:trPr>
        <w:tc>
          <w:tcPr>
            <w:tcW w:w="1448" w:type="dxa"/>
            <w:tcBorders>
              <w:top w:val="nil"/>
              <w:left w:val="nil"/>
              <w:bottom w:val="nil"/>
              <w:right w:val="nil"/>
            </w:tcBorders>
          </w:tcPr>
          <w:p w:rsidR="00E33AAA" w:rsidRPr="00B75FD7" w:rsidRDefault="00E33AAA" w:rsidP="00F069E5">
            <w:pPr>
              <w:autoSpaceDE w:val="0"/>
              <w:autoSpaceDN w:val="0"/>
              <w:adjustRightInd w:val="0"/>
              <w:jc w:val="right"/>
              <w:rPr>
                <w:rFonts w:eastAsia="Calibri"/>
                <w:sz w:val="22"/>
              </w:rPr>
            </w:pPr>
          </w:p>
        </w:tc>
        <w:tc>
          <w:tcPr>
            <w:tcW w:w="2830" w:type="dxa"/>
            <w:tcBorders>
              <w:top w:val="single" w:sz="6" w:space="0" w:color="auto"/>
              <w:left w:val="single" w:sz="6"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sz w:val="22"/>
              </w:rPr>
            </w:pPr>
          </w:p>
        </w:tc>
        <w:tc>
          <w:tcPr>
            <w:tcW w:w="3265" w:type="dxa"/>
            <w:gridSpan w:val="4"/>
            <w:tcBorders>
              <w:top w:val="single" w:sz="6" w:space="0" w:color="auto"/>
              <w:left w:val="single" w:sz="6" w:space="0" w:color="auto"/>
              <w:bottom w:val="single" w:sz="6" w:space="0" w:color="auto"/>
              <w:right w:val="single" w:sz="6" w:space="0" w:color="auto"/>
            </w:tcBorders>
          </w:tcPr>
          <w:p w:rsidR="00E33AAA" w:rsidRPr="00B75FD7" w:rsidRDefault="00E33AAA" w:rsidP="00F069E5">
            <w:pPr>
              <w:autoSpaceDE w:val="0"/>
              <w:autoSpaceDN w:val="0"/>
              <w:adjustRightInd w:val="0"/>
              <w:rPr>
                <w:rFonts w:eastAsia="Calibri"/>
                <w:sz w:val="22"/>
              </w:rPr>
            </w:pPr>
            <w:r w:rsidRPr="00B75FD7">
              <w:rPr>
                <w:rFonts w:eastAsia="Calibri"/>
                <w:sz w:val="22"/>
              </w:rPr>
              <w:t>Педагоги та працівники закладу</w:t>
            </w:r>
          </w:p>
        </w:tc>
        <w:tc>
          <w:tcPr>
            <w:tcW w:w="1559" w:type="dxa"/>
            <w:gridSpan w:val="2"/>
            <w:tcBorders>
              <w:top w:val="single" w:sz="6" w:space="0" w:color="auto"/>
              <w:left w:val="single" w:sz="6" w:space="0" w:color="auto"/>
              <w:bottom w:val="single" w:sz="6" w:space="0" w:color="auto"/>
              <w:right w:val="single" w:sz="6" w:space="0" w:color="auto"/>
            </w:tcBorders>
          </w:tcPr>
          <w:p w:rsidR="00E33AAA" w:rsidRPr="00B75FD7" w:rsidRDefault="00E33AAA" w:rsidP="00F069E5">
            <w:pPr>
              <w:autoSpaceDE w:val="0"/>
              <w:autoSpaceDN w:val="0"/>
              <w:adjustRightInd w:val="0"/>
              <w:rPr>
                <w:rFonts w:eastAsia="Calibri"/>
                <w:sz w:val="22"/>
              </w:rPr>
            </w:pPr>
            <w:r w:rsidRPr="00B75FD7">
              <w:rPr>
                <w:rFonts w:eastAsia="Calibri"/>
                <w:sz w:val="22"/>
              </w:rPr>
              <w:t xml:space="preserve"> осіб</w:t>
            </w:r>
          </w:p>
        </w:tc>
        <w:tc>
          <w:tcPr>
            <w:tcW w:w="2268" w:type="dxa"/>
            <w:gridSpan w:val="3"/>
            <w:tcBorders>
              <w:top w:val="single" w:sz="6" w:space="0" w:color="auto"/>
              <w:left w:val="single" w:sz="6" w:space="0" w:color="auto"/>
              <w:bottom w:val="single" w:sz="6" w:space="0" w:color="auto"/>
              <w:right w:val="single" w:sz="6" w:space="0" w:color="auto"/>
            </w:tcBorders>
          </w:tcPr>
          <w:p w:rsidR="00E33AAA" w:rsidRPr="00B75FD7" w:rsidRDefault="00E33AAA" w:rsidP="00F069E5">
            <w:pPr>
              <w:autoSpaceDE w:val="0"/>
              <w:autoSpaceDN w:val="0"/>
              <w:adjustRightInd w:val="0"/>
              <w:rPr>
                <w:rFonts w:eastAsia="Calibri"/>
                <w:sz w:val="22"/>
              </w:rPr>
            </w:pPr>
            <w:r w:rsidRPr="00B75FD7">
              <w:rPr>
                <w:sz w:val="22"/>
              </w:rPr>
              <w:t xml:space="preserve">60  </w:t>
            </w:r>
          </w:p>
        </w:tc>
      </w:tr>
      <w:tr w:rsidR="00E33AAA" w:rsidRPr="00B75FD7" w:rsidTr="00E33AAA">
        <w:trPr>
          <w:trHeight w:val="417"/>
        </w:trPr>
        <w:tc>
          <w:tcPr>
            <w:tcW w:w="1448" w:type="dxa"/>
            <w:tcBorders>
              <w:top w:val="nil"/>
              <w:left w:val="nil"/>
              <w:bottom w:val="nil"/>
              <w:right w:val="nil"/>
            </w:tcBorders>
          </w:tcPr>
          <w:p w:rsidR="00E33AAA" w:rsidRPr="00B75FD7" w:rsidRDefault="00E33AAA" w:rsidP="00F069E5">
            <w:pPr>
              <w:autoSpaceDE w:val="0"/>
              <w:autoSpaceDN w:val="0"/>
              <w:adjustRightInd w:val="0"/>
              <w:jc w:val="right"/>
              <w:rPr>
                <w:rFonts w:eastAsia="Calibri"/>
                <w:sz w:val="22"/>
              </w:rPr>
            </w:pPr>
          </w:p>
        </w:tc>
        <w:tc>
          <w:tcPr>
            <w:tcW w:w="2830" w:type="dxa"/>
            <w:tcBorders>
              <w:top w:val="single" w:sz="6" w:space="0" w:color="auto"/>
              <w:left w:val="single" w:sz="6"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sz w:val="22"/>
              </w:rPr>
            </w:pPr>
          </w:p>
        </w:tc>
        <w:tc>
          <w:tcPr>
            <w:tcW w:w="3265" w:type="dxa"/>
            <w:gridSpan w:val="4"/>
            <w:tcBorders>
              <w:top w:val="single" w:sz="6" w:space="0" w:color="auto"/>
              <w:left w:val="single" w:sz="6" w:space="0" w:color="auto"/>
              <w:bottom w:val="single" w:sz="6" w:space="0" w:color="auto"/>
              <w:right w:val="single" w:sz="6" w:space="0" w:color="auto"/>
            </w:tcBorders>
          </w:tcPr>
          <w:p w:rsidR="00E33AAA" w:rsidRPr="00B75FD7" w:rsidRDefault="00E33AAA" w:rsidP="00F069E5">
            <w:pPr>
              <w:autoSpaceDE w:val="0"/>
              <w:autoSpaceDN w:val="0"/>
              <w:adjustRightInd w:val="0"/>
              <w:rPr>
                <w:rFonts w:eastAsia="Calibri"/>
                <w:sz w:val="22"/>
              </w:rPr>
            </w:pPr>
            <w:r w:rsidRPr="00B75FD7">
              <w:rPr>
                <w:rFonts w:eastAsia="Calibri"/>
                <w:sz w:val="22"/>
              </w:rPr>
              <w:t>Громада</w:t>
            </w:r>
          </w:p>
        </w:tc>
        <w:tc>
          <w:tcPr>
            <w:tcW w:w="1559" w:type="dxa"/>
            <w:gridSpan w:val="2"/>
            <w:tcBorders>
              <w:top w:val="single" w:sz="6" w:space="0" w:color="auto"/>
              <w:left w:val="single" w:sz="6" w:space="0" w:color="auto"/>
              <w:bottom w:val="single" w:sz="6" w:space="0" w:color="auto"/>
              <w:right w:val="single" w:sz="6" w:space="0" w:color="auto"/>
            </w:tcBorders>
          </w:tcPr>
          <w:p w:rsidR="00E33AAA" w:rsidRPr="00B75FD7" w:rsidRDefault="00E33AAA" w:rsidP="00F069E5">
            <w:pPr>
              <w:autoSpaceDE w:val="0"/>
              <w:autoSpaceDN w:val="0"/>
              <w:adjustRightInd w:val="0"/>
              <w:rPr>
                <w:rFonts w:eastAsia="Calibri"/>
                <w:sz w:val="22"/>
              </w:rPr>
            </w:pPr>
            <w:r w:rsidRPr="00B75FD7">
              <w:rPr>
                <w:rFonts w:eastAsia="Calibri"/>
                <w:sz w:val="22"/>
              </w:rPr>
              <w:t xml:space="preserve"> осіб</w:t>
            </w:r>
          </w:p>
        </w:tc>
        <w:tc>
          <w:tcPr>
            <w:tcW w:w="2268" w:type="dxa"/>
            <w:gridSpan w:val="3"/>
            <w:tcBorders>
              <w:top w:val="single" w:sz="6" w:space="0" w:color="auto"/>
              <w:left w:val="single" w:sz="6" w:space="0" w:color="auto"/>
              <w:bottom w:val="single" w:sz="6" w:space="0" w:color="auto"/>
              <w:right w:val="single" w:sz="6" w:space="0" w:color="auto"/>
            </w:tcBorders>
          </w:tcPr>
          <w:p w:rsidR="00E33AAA" w:rsidRPr="00B75FD7" w:rsidRDefault="00E33AAA" w:rsidP="00F069E5">
            <w:pPr>
              <w:autoSpaceDE w:val="0"/>
              <w:autoSpaceDN w:val="0"/>
              <w:adjustRightInd w:val="0"/>
              <w:rPr>
                <w:rFonts w:eastAsia="Calibri"/>
                <w:sz w:val="22"/>
              </w:rPr>
            </w:pPr>
            <w:r w:rsidRPr="00B75FD7">
              <w:rPr>
                <w:sz w:val="22"/>
              </w:rPr>
              <w:t xml:space="preserve">500 </w:t>
            </w:r>
          </w:p>
        </w:tc>
      </w:tr>
      <w:tr w:rsidR="00E33AAA" w:rsidRPr="00B75FD7" w:rsidTr="00C806B8">
        <w:trPr>
          <w:trHeight w:val="694"/>
        </w:trPr>
        <w:tc>
          <w:tcPr>
            <w:tcW w:w="1448" w:type="dxa"/>
            <w:tcBorders>
              <w:top w:val="nil"/>
              <w:left w:val="nil"/>
              <w:bottom w:val="nil"/>
              <w:right w:val="nil"/>
            </w:tcBorders>
          </w:tcPr>
          <w:p w:rsidR="00E33AAA" w:rsidRPr="00B75FD7" w:rsidRDefault="00E33AAA" w:rsidP="00F069E5">
            <w:pPr>
              <w:autoSpaceDE w:val="0"/>
              <w:autoSpaceDN w:val="0"/>
              <w:adjustRightInd w:val="0"/>
              <w:jc w:val="right"/>
              <w:rPr>
                <w:rFonts w:eastAsia="Calibri"/>
                <w:sz w:val="22"/>
              </w:rPr>
            </w:pPr>
          </w:p>
        </w:tc>
        <w:tc>
          <w:tcPr>
            <w:tcW w:w="2830" w:type="dxa"/>
            <w:tcBorders>
              <w:top w:val="single" w:sz="6" w:space="0" w:color="auto"/>
              <w:left w:val="single" w:sz="6" w:space="0" w:color="auto"/>
              <w:bottom w:val="single" w:sz="4"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sz w:val="22"/>
              </w:rPr>
            </w:pPr>
            <w:r w:rsidRPr="00B75FD7">
              <w:rPr>
                <w:rFonts w:eastAsia="Calibri"/>
                <w:b/>
                <w:sz w:val="22"/>
              </w:rPr>
              <w:t>Ключові заходи проекту:</w:t>
            </w:r>
          </w:p>
        </w:tc>
        <w:tc>
          <w:tcPr>
            <w:tcW w:w="7092" w:type="dxa"/>
            <w:gridSpan w:val="9"/>
            <w:tcBorders>
              <w:top w:val="single" w:sz="6" w:space="0" w:color="auto"/>
              <w:left w:val="single" w:sz="6" w:space="0" w:color="auto"/>
              <w:bottom w:val="single" w:sz="6" w:space="0" w:color="auto"/>
              <w:right w:val="single" w:sz="6" w:space="0" w:color="auto"/>
            </w:tcBorders>
          </w:tcPr>
          <w:p w:rsidR="00E33AAA" w:rsidRPr="00B75FD7" w:rsidRDefault="00E33AAA" w:rsidP="00F069E5">
            <w:pPr>
              <w:rPr>
                <w:sz w:val="22"/>
              </w:rPr>
            </w:pPr>
            <w:r w:rsidRPr="00B75FD7">
              <w:rPr>
                <w:sz w:val="22"/>
              </w:rPr>
              <w:t xml:space="preserve">1. Проведення моніторингу поточного матеріально-технічного  стану приміщень закладу освіти після </w:t>
            </w:r>
            <w:proofErr w:type="spellStart"/>
            <w:r w:rsidRPr="00B75FD7">
              <w:rPr>
                <w:sz w:val="22"/>
              </w:rPr>
              <w:t>деокупаціі</w:t>
            </w:r>
            <w:proofErr w:type="spellEnd"/>
            <w:r w:rsidRPr="00B75FD7">
              <w:rPr>
                <w:sz w:val="22"/>
              </w:rPr>
              <w:t>.</w:t>
            </w:r>
          </w:p>
          <w:p w:rsidR="00E33AAA" w:rsidRPr="00B75FD7" w:rsidRDefault="00E33AAA" w:rsidP="00F069E5">
            <w:pPr>
              <w:rPr>
                <w:sz w:val="22"/>
              </w:rPr>
            </w:pPr>
            <w:r w:rsidRPr="00B75FD7">
              <w:rPr>
                <w:sz w:val="22"/>
              </w:rPr>
              <w:t>2. Розробка детального плану відновлення матеріально-технічної бази закладу освіти з забезпеченням меблями,</w:t>
            </w:r>
            <w:r w:rsidR="00E968AD" w:rsidRPr="00B75FD7">
              <w:rPr>
                <w:sz w:val="22"/>
              </w:rPr>
              <w:t xml:space="preserve"> </w:t>
            </w:r>
            <w:r w:rsidRPr="00B75FD7">
              <w:rPr>
                <w:sz w:val="22"/>
              </w:rPr>
              <w:t>оснащення технічними засобами та дидактичними матеріалами відповідно  до норм безпеки,</w:t>
            </w:r>
            <w:r w:rsidR="00E968AD" w:rsidRPr="00B75FD7">
              <w:rPr>
                <w:sz w:val="22"/>
              </w:rPr>
              <w:t xml:space="preserve"> </w:t>
            </w:r>
            <w:r w:rsidR="00C806B8" w:rsidRPr="00B75FD7">
              <w:rPr>
                <w:sz w:val="22"/>
              </w:rPr>
              <w:t xml:space="preserve"> </w:t>
            </w:r>
            <w:r w:rsidRPr="00B75FD7">
              <w:rPr>
                <w:sz w:val="22"/>
              </w:rPr>
              <w:t>доступності,</w:t>
            </w:r>
            <w:r w:rsidR="00E968AD" w:rsidRPr="00B75FD7">
              <w:rPr>
                <w:sz w:val="22"/>
              </w:rPr>
              <w:t xml:space="preserve"> </w:t>
            </w:r>
            <w:r w:rsidRPr="00B75FD7">
              <w:rPr>
                <w:sz w:val="22"/>
              </w:rPr>
              <w:t>енергоефективності та якості освітнього процесу.</w:t>
            </w:r>
          </w:p>
          <w:p w:rsidR="00E33AAA" w:rsidRPr="00B75FD7" w:rsidRDefault="00E33AAA" w:rsidP="00F069E5">
            <w:pPr>
              <w:rPr>
                <w:sz w:val="22"/>
              </w:rPr>
            </w:pPr>
            <w:r w:rsidRPr="00B75FD7">
              <w:rPr>
                <w:sz w:val="22"/>
              </w:rPr>
              <w:t>3. Вивчення ринкових пропозицій щодо вартості необхідного обладнання та матеріалів.</w:t>
            </w:r>
          </w:p>
          <w:p w:rsidR="00E33AAA" w:rsidRPr="00B75FD7" w:rsidRDefault="00E33AAA" w:rsidP="00F069E5">
            <w:pPr>
              <w:rPr>
                <w:sz w:val="22"/>
              </w:rPr>
            </w:pPr>
            <w:r w:rsidRPr="00B75FD7">
              <w:rPr>
                <w:sz w:val="22"/>
              </w:rPr>
              <w:t xml:space="preserve"> 4. Закупівля технічних засобів та обладнання для групових приміщень,</w:t>
            </w:r>
            <w:r w:rsidR="00E968AD" w:rsidRPr="00B75FD7">
              <w:rPr>
                <w:sz w:val="22"/>
              </w:rPr>
              <w:t xml:space="preserve"> </w:t>
            </w:r>
            <w:r w:rsidRPr="00B75FD7">
              <w:rPr>
                <w:sz w:val="22"/>
              </w:rPr>
              <w:t>адміністративних кабінетів,</w:t>
            </w:r>
            <w:r w:rsidR="00E968AD" w:rsidRPr="00B75FD7">
              <w:rPr>
                <w:sz w:val="22"/>
              </w:rPr>
              <w:t xml:space="preserve"> </w:t>
            </w:r>
            <w:r w:rsidRPr="00B75FD7">
              <w:rPr>
                <w:sz w:val="22"/>
              </w:rPr>
              <w:t>кабінетів вузьких спеціалістів,</w:t>
            </w:r>
            <w:r w:rsidR="00E968AD" w:rsidRPr="00B75FD7">
              <w:rPr>
                <w:sz w:val="22"/>
              </w:rPr>
              <w:t xml:space="preserve"> </w:t>
            </w:r>
            <w:r w:rsidRPr="00B75FD7">
              <w:rPr>
                <w:sz w:val="22"/>
              </w:rPr>
              <w:t>медичного кабінету,</w:t>
            </w:r>
            <w:r w:rsidR="00E968AD" w:rsidRPr="00B75FD7">
              <w:rPr>
                <w:sz w:val="22"/>
              </w:rPr>
              <w:t xml:space="preserve"> </w:t>
            </w:r>
            <w:r w:rsidRPr="00B75FD7">
              <w:rPr>
                <w:sz w:val="22"/>
              </w:rPr>
              <w:t>музичної та спортивної зали,</w:t>
            </w:r>
            <w:r w:rsidR="00E968AD" w:rsidRPr="00B75FD7">
              <w:rPr>
                <w:sz w:val="22"/>
              </w:rPr>
              <w:t xml:space="preserve"> </w:t>
            </w:r>
            <w:r w:rsidRPr="00B75FD7">
              <w:rPr>
                <w:sz w:val="22"/>
              </w:rPr>
              <w:t>пральні.</w:t>
            </w:r>
          </w:p>
          <w:p w:rsidR="00E33AAA" w:rsidRPr="00B75FD7" w:rsidRDefault="00E33AAA" w:rsidP="00F069E5">
            <w:pPr>
              <w:rPr>
                <w:sz w:val="22"/>
              </w:rPr>
            </w:pPr>
            <w:r w:rsidRPr="00B75FD7">
              <w:rPr>
                <w:sz w:val="22"/>
              </w:rPr>
              <w:t>5. Закупка енергозберігаючого сучасного обладнання  для приготування,</w:t>
            </w:r>
            <w:r w:rsidR="00C806B8" w:rsidRPr="00B75FD7">
              <w:rPr>
                <w:sz w:val="22"/>
                <w:lang w:val="ru-RU"/>
              </w:rPr>
              <w:t xml:space="preserve"> </w:t>
            </w:r>
            <w:r w:rsidRPr="00B75FD7">
              <w:rPr>
                <w:sz w:val="22"/>
              </w:rPr>
              <w:t>зберігання харчових продуктів та продовольчої сировини,</w:t>
            </w:r>
            <w:r w:rsidR="00E968AD" w:rsidRPr="00B75FD7">
              <w:rPr>
                <w:sz w:val="22"/>
              </w:rPr>
              <w:t xml:space="preserve"> </w:t>
            </w:r>
            <w:r w:rsidRPr="00B75FD7">
              <w:rPr>
                <w:sz w:val="22"/>
              </w:rPr>
              <w:t>а також системи контролю температури,</w:t>
            </w:r>
            <w:r w:rsidR="00E968AD" w:rsidRPr="00B75FD7">
              <w:rPr>
                <w:sz w:val="22"/>
              </w:rPr>
              <w:t xml:space="preserve"> </w:t>
            </w:r>
            <w:r w:rsidRPr="00B75FD7">
              <w:rPr>
                <w:sz w:val="22"/>
              </w:rPr>
              <w:t>гігієни та безпеки для харчоблоку.</w:t>
            </w:r>
          </w:p>
          <w:p w:rsidR="00E33AAA" w:rsidRPr="00B75FD7" w:rsidRDefault="00E33AAA" w:rsidP="00F069E5">
            <w:pPr>
              <w:rPr>
                <w:sz w:val="22"/>
              </w:rPr>
            </w:pPr>
            <w:r w:rsidRPr="00B75FD7">
              <w:rPr>
                <w:sz w:val="22"/>
              </w:rPr>
              <w:t xml:space="preserve">6. Моніторинг та оцінка реалізації </w:t>
            </w:r>
            <w:proofErr w:type="spellStart"/>
            <w:r w:rsidRPr="00B75FD7">
              <w:rPr>
                <w:sz w:val="22"/>
              </w:rPr>
              <w:t>про</w:t>
            </w:r>
            <w:r w:rsidR="00E968AD" w:rsidRPr="00B75FD7">
              <w:rPr>
                <w:sz w:val="22"/>
              </w:rPr>
              <w:t>є</w:t>
            </w:r>
            <w:r w:rsidRPr="00B75FD7">
              <w:rPr>
                <w:sz w:val="22"/>
              </w:rPr>
              <w:t>кту</w:t>
            </w:r>
            <w:proofErr w:type="spellEnd"/>
            <w:r w:rsidRPr="00B75FD7">
              <w:rPr>
                <w:sz w:val="22"/>
              </w:rPr>
              <w:t>.</w:t>
            </w:r>
          </w:p>
          <w:p w:rsidR="00E33AAA" w:rsidRPr="00B75FD7" w:rsidRDefault="00E33AAA" w:rsidP="00F069E5">
            <w:pPr>
              <w:rPr>
                <w:sz w:val="22"/>
              </w:rPr>
            </w:pPr>
            <w:r w:rsidRPr="00B75FD7">
              <w:rPr>
                <w:sz w:val="22"/>
              </w:rPr>
              <w:t xml:space="preserve">7. Висвітлення реалізації </w:t>
            </w:r>
            <w:proofErr w:type="spellStart"/>
            <w:r w:rsidRPr="00B75FD7">
              <w:rPr>
                <w:sz w:val="22"/>
              </w:rPr>
              <w:t>про</w:t>
            </w:r>
            <w:r w:rsidR="00E968AD" w:rsidRPr="00B75FD7">
              <w:rPr>
                <w:sz w:val="22"/>
              </w:rPr>
              <w:t>є</w:t>
            </w:r>
            <w:r w:rsidRPr="00B75FD7">
              <w:rPr>
                <w:sz w:val="22"/>
              </w:rPr>
              <w:t>кту</w:t>
            </w:r>
            <w:proofErr w:type="spellEnd"/>
            <w:r w:rsidRPr="00B75FD7">
              <w:rPr>
                <w:sz w:val="22"/>
              </w:rPr>
              <w:t xml:space="preserve"> в засобах масової інформації</w:t>
            </w:r>
            <w:r w:rsidR="00C806B8" w:rsidRPr="00B75FD7">
              <w:rPr>
                <w:sz w:val="22"/>
              </w:rPr>
              <w:t xml:space="preserve"> </w:t>
            </w:r>
            <w:r w:rsidRPr="00B75FD7">
              <w:rPr>
                <w:sz w:val="22"/>
              </w:rPr>
              <w:t>(сайт закладу,</w:t>
            </w:r>
            <w:r w:rsidR="00E968AD" w:rsidRPr="00B75FD7">
              <w:rPr>
                <w:sz w:val="22"/>
              </w:rPr>
              <w:t xml:space="preserve"> </w:t>
            </w:r>
            <w:r w:rsidRPr="00B75FD7">
              <w:rPr>
                <w:sz w:val="22"/>
              </w:rPr>
              <w:t>фейсбук тощо).</w:t>
            </w:r>
          </w:p>
          <w:p w:rsidR="00E33AAA" w:rsidRPr="00B75FD7" w:rsidRDefault="00E33AAA" w:rsidP="00E968AD">
            <w:pPr>
              <w:rPr>
                <w:rFonts w:eastAsia="Calibri"/>
                <w:sz w:val="22"/>
              </w:rPr>
            </w:pPr>
            <w:r w:rsidRPr="00B75FD7">
              <w:rPr>
                <w:color w:val="000000"/>
                <w:sz w:val="22"/>
              </w:rPr>
              <w:lastRenderedPageBreak/>
              <w:t xml:space="preserve"> 8. Організація та початок роботи закладу дошкільної освіти,</w:t>
            </w:r>
            <w:r w:rsidR="00E968AD" w:rsidRPr="00B75FD7">
              <w:rPr>
                <w:color w:val="000000"/>
                <w:sz w:val="22"/>
              </w:rPr>
              <w:t xml:space="preserve"> </w:t>
            </w:r>
            <w:r w:rsidRPr="00B75FD7">
              <w:rPr>
                <w:color w:val="000000"/>
                <w:sz w:val="22"/>
              </w:rPr>
              <w:t>надання мешканцям громади якісних освітніх послуг,</w:t>
            </w:r>
            <w:r w:rsidR="00E968AD" w:rsidRPr="00B75FD7">
              <w:rPr>
                <w:color w:val="000000"/>
                <w:sz w:val="22"/>
              </w:rPr>
              <w:t xml:space="preserve"> </w:t>
            </w:r>
            <w:r w:rsidRPr="00B75FD7">
              <w:rPr>
                <w:color w:val="000000"/>
                <w:sz w:val="22"/>
              </w:rPr>
              <w:t>які відповідають нормам сучасності.</w:t>
            </w:r>
          </w:p>
        </w:tc>
      </w:tr>
      <w:tr w:rsidR="00E33AAA" w:rsidRPr="00B75FD7" w:rsidTr="00E33AAA">
        <w:trPr>
          <w:trHeight w:val="700"/>
        </w:trPr>
        <w:tc>
          <w:tcPr>
            <w:tcW w:w="1448" w:type="dxa"/>
            <w:vMerge w:val="restart"/>
            <w:tcBorders>
              <w:top w:val="nil"/>
              <w:left w:val="nil"/>
              <w:right w:val="single" w:sz="4" w:space="0" w:color="auto"/>
            </w:tcBorders>
          </w:tcPr>
          <w:p w:rsidR="00E33AAA" w:rsidRPr="00B75FD7" w:rsidRDefault="00E33AAA" w:rsidP="00F069E5">
            <w:pPr>
              <w:autoSpaceDE w:val="0"/>
              <w:autoSpaceDN w:val="0"/>
              <w:adjustRightInd w:val="0"/>
              <w:jc w:val="right"/>
              <w:rPr>
                <w:rFonts w:eastAsia="Calibri"/>
                <w:sz w:val="22"/>
              </w:rPr>
            </w:pPr>
          </w:p>
        </w:tc>
        <w:tc>
          <w:tcPr>
            <w:tcW w:w="2830" w:type="dxa"/>
            <w:vMerge w:val="restart"/>
            <w:tcBorders>
              <w:top w:val="single" w:sz="4" w:space="0" w:color="auto"/>
              <w:left w:val="single" w:sz="4" w:space="0" w:color="auto"/>
              <w:bottom w:val="single" w:sz="4" w:space="0" w:color="auto"/>
              <w:right w:val="single" w:sz="4"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sz w:val="22"/>
              </w:rPr>
            </w:pPr>
            <w:r w:rsidRPr="00B75FD7">
              <w:rPr>
                <w:rFonts w:eastAsia="Calibri"/>
                <w:b/>
                <w:sz w:val="22"/>
              </w:rPr>
              <w:t>Орієнтовний обсяг та джерела фінансування тис. гривень</w:t>
            </w:r>
          </w:p>
        </w:tc>
        <w:tc>
          <w:tcPr>
            <w:tcW w:w="1422" w:type="dxa"/>
            <w:vMerge w:val="restart"/>
            <w:tcBorders>
              <w:top w:val="single" w:sz="6" w:space="0" w:color="auto"/>
              <w:left w:val="single" w:sz="4" w:space="0" w:color="auto"/>
              <w:right w:val="single" w:sz="4" w:space="0" w:color="auto"/>
            </w:tcBorders>
          </w:tcPr>
          <w:p w:rsidR="00E33AAA" w:rsidRPr="00B75FD7" w:rsidRDefault="00E33AAA" w:rsidP="00F069E5">
            <w:pPr>
              <w:autoSpaceDE w:val="0"/>
              <w:autoSpaceDN w:val="0"/>
              <w:adjustRightInd w:val="0"/>
              <w:jc w:val="center"/>
              <w:rPr>
                <w:rFonts w:eastAsia="Calibri"/>
                <w:sz w:val="22"/>
              </w:rPr>
            </w:pPr>
            <w:r w:rsidRPr="00B75FD7">
              <w:rPr>
                <w:rFonts w:eastAsia="Calibri"/>
                <w:sz w:val="22"/>
              </w:rPr>
              <w:t>Державний бюджет</w:t>
            </w:r>
          </w:p>
        </w:tc>
        <w:tc>
          <w:tcPr>
            <w:tcW w:w="1134" w:type="dxa"/>
            <w:gridSpan w:val="2"/>
            <w:vMerge w:val="restart"/>
            <w:tcBorders>
              <w:top w:val="single" w:sz="4" w:space="0" w:color="auto"/>
              <w:left w:val="single" w:sz="4" w:space="0" w:color="auto"/>
              <w:right w:val="single" w:sz="4" w:space="0" w:color="auto"/>
            </w:tcBorders>
          </w:tcPr>
          <w:p w:rsidR="00E33AAA" w:rsidRPr="00B75FD7" w:rsidRDefault="00E33AAA" w:rsidP="00F069E5">
            <w:pPr>
              <w:autoSpaceDE w:val="0"/>
              <w:autoSpaceDN w:val="0"/>
              <w:adjustRightInd w:val="0"/>
              <w:ind w:left="-313" w:firstLine="313"/>
              <w:jc w:val="center"/>
              <w:rPr>
                <w:rFonts w:eastAsia="Calibri"/>
                <w:sz w:val="22"/>
              </w:rPr>
            </w:pPr>
            <w:r w:rsidRPr="00B75FD7">
              <w:rPr>
                <w:rFonts w:eastAsia="Calibri"/>
                <w:sz w:val="22"/>
              </w:rPr>
              <w:t>Місцевий бюджет</w:t>
            </w:r>
          </w:p>
        </w:tc>
        <w:tc>
          <w:tcPr>
            <w:tcW w:w="2836" w:type="dxa"/>
            <w:gridSpan w:val="4"/>
            <w:tcBorders>
              <w:top w:val="single" w:sz="4" w:space="0" w:color="auto"/>
              <w:left w:val="single" w:sz="4" w:space="0" w:color="auto"/>
              <w:right w:val="single" w:sz="4" w:space="0" w:color="auto"/>
            </w:tcBorders>
          </w:tcPr>
          <w:p w:rsidR="00E33AAA" w:rsidRPr="00B75FD7" w:rsidRDefault="00E33AAA" w:rsidP="00F069E5">
            <w:pPr>
              <w:autoSpaceDE w:val="0"/>
              <w:autoSpaceDN w:val="0"/>
              <w:adjustRightInd w:val="0"/>
              <w:jc w:val="center"/>
              <w:rPr>
                <w:rFonts w:eastAsia="Calibri"/>
                <w:sz w:val="22"/>
              </w:rPr>
            </w:pPr>
            <w:r w:rsidRPr="00B75FD7">
              <w:rPr>
                <w:rFonts w:eastAsia="Calibri"/>
                <w:sz w:val="22"/>
              </w:rPr>
              <w:t>Інші джерела</w:t>
            </w:r>
          </w:p>
        </w:tc>
        <w:tc>
          <w:tcPr>
            <w:tcW w:w="1700" w:type="dxa"/>
            <w:gridSpan w:val="2"/>
            <w:tcBorders>
              <w:top w:val="single" w:sz="4" w:space="0" w:color="auto"/>
              <w:left w:val="single" w:sz="4" w:space="0" w:color="auto"/>
              <w:right w:val="single" w:sz="4" w:space="0" w:color="auto"/>
            </w:tcBorders>
          </w:tcPr>
          <w:p w:rsidR="00E33AAA" w:rsidRPr="00B75FD7" w:rsidRDefault="00E33AAA" w:rsidP="00F069E5">
            <w:pPr>
              <w:autoSpaceDE w:val="0"/>
              <w:autoSpaceDN w:val="0"/>
              <w:adjustRightInd w:val="0"/>
              <w:jc w:val="center"/>
              <w:rPr>
                <w:rFonts w:eastAsia="Calibri"/>
                <w:sz w:val="22"/>
              </w:rPr>
            </w:pPr>
            <w:r w:rsidRPr="00B75FD7">
              <w:rPr>
                <w:rFonts w:eastAsia="Calibri"/>
                <w:sz w:val="22"/>
              </w:rPr>
              <w:t>Всього</w:t>
            </w:r>
          </w:p>
        </w:tc>
      </w:tr>
      <w:tr w:rsidR="00E33AAA" w:rsidRPr="00B75FD7" w:rsidTr="00E33AAA">
        <w:trPr>
          <w:trHeight w:val="65"/>
        </w:trPr>
        <w:tc>
          <w:tcPr>
            <w:tcW w:w="1448" w:type="dxa"/>
            <w:vMerge/>
            <w:tcBorders>
              <w:left w:val="nil"/>
              <w:right w:val="single" w:sz="4" w:space="0" w:color="auto"/>
            </w:tcBorders>
          </w:tcPr>
          <w:p w:rsidR="00E33AAA" w:rsidRPr="00B75FD7" w:rsidRDefault="00E33AAA" w:rsidP="00F069E5">
            <w:pPr>
              <w:autoSpaceDE w:val="0"/>
              <w:autoSpaceDN w:val="0"/>
              <w:adjustRightInd w:val="0"/>
              <w:jc w:val="right"/>
              <w:rPr>
                <w:rFonts w:eastAsia="Calibri"/>
                <w:sz w:val="22"/>
              </w:rPr>
            </w:pPr>
          </w:p>
        </w:tc>
        <w:tc>
          <w:tcPr>
            <w:tcW w:w="2830" w:type="dxa"/>
            <w:vMerge/>
            <w:tcBorders>
              <w:top w:val="single" w:sz="4" w:space="0" w:color="auto"/>
              <w:left w:val="single" w:sz="4" w:space="0" w:color="auto"/>
              <w:bottom w:val="single" w:sz="4" w:space="0" w:color="auto"/>
              <w:right w:val="single" w:sz="4"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sz w:val="22"/>
              </w:rPr>
            </w:pPr>
          </w:p>
        </w:tc>
        <w:tc>
          <w:tcPr>
            <w:tcW w:w="1422" w:type="dxa"/>
            <w:vMerge/>
            <w:tcBorders>
              <w:left w:val="single" w:sz="4" w:space="0" w:color="auto"/>
              <w:bottom w:val="single" w:sz="6" w:space="0" w:color="auto"/>
              <w:right w:val="single" w:sz="4" w:space="0" w:color="auto"/>
            </w:tcBorders>
          </w:tcPr>
          <w:p w:rsidR="00E33AAA" w:rsidRPr="00B75FD7" w:rsidRDefault="00E33AAA" w:rsidP="00F069E5">
            <w:pPr>
              <w:autoSpaceDE w:val="0"/>
              <w:autoSpaceDN w:val="0"/>
              <w:adjustRightInd w:val="0"/>
              <w:rPr>
                <w:rFonts w:eastAsia="Calibri"/>
                <w:sz w:val="22"/>
              </w:rPr>
            </w:pPr>
          </w:p>
        </w:tc>
        <w:tc>
          <w:tcPr>
            <w:tcW w:w="1134" w:type="dxa"/>
            <w:gridSpan w:val="2"/>
            <w:vMerge/>
            <w:tcBorders>
              <w:left w:val="single" w:sz="4" w:space="0" w:color="auto"/>
              <w:bottom w:val="single" w:sz="4" w:space="0" w:color="auto"/>
              <w:right w:val="single" w:sz="4" w:space="0" w:color="auto"/>
            </w:tcBorders>
          </w:tcPr>
          <w:p w:rsidR="00E33AAA" w:rsidRPr="00B75FD7" w:rsidRDefault="00E33AAA" w:rsidP="00F069E5">
            <w:pPr>
              <w:autoSpaceDE w:val="0"/>
              <w:autoSpaceDN w:val="0"/>
              <w:adjustRightInd w:val="0"/>
              <w:rPr>
                <w:rFonts w:eastAsia="Calibri"/>
                <w:sz w:val="22"/>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E33AAA" w:rsidRPr="00B75FD7" w:rsidRDefault="00E33AAA" w:rsidP="00F069E5">
            <w:pPr>
              <w:autoSpaceDE w:val="0"/>
              <w:autoSpaceDN w:val="0"/>
              <w:adjustRightInd w:val="0"/>
              <w:jc w:val="center"/>
              <w:rPr>
                <w:rFonts w:eastAsia="Calibri"/>
                <w:sz w:val="22"/>
              </w:rPr>
            </w:pPr>
            <w:r w:rsidRPr="00B75FD7">
              <w:rPr>
                <w:rFonts w:eastAsia="Calibri"/>
                <w:sz w:val="22"/>
              </w:rPr>
              <w:t>Обсяг</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E33AAA" w:rsidRPr="00B75FD7" w:rsidRDefault="00E33AAA" w:rsidP="00F069E5">
            <w:pPr>
              <w:autoSpaceDE w:val="0"/>
              <w:autoSpaceDN w:val="0"/>
              <w:adjustRightInd w:val="0"/>
              <w:jc w:val="center"/>
              <w:rPr>
                <w:rFonts w:eastAsia="Calibri"/>
                <w:sz w:val="22"/>
              </w:rPr>
            </w:pPr>
            <w:r w:rsidRPr="00B75FD7">
              <w:rPr>
                <w:rFonts w:eastAsia="Calibri"/>
                <w:sz w:val="22"/>
              </w:rPr>
              <w:t>Назва джерела</w:t>
            </w:r>
          </w:p>
        </w:tc>
        <w:tc>
          <w:tcPr>
            <w:tcW w:w="1700" w:type="dxa"/>
            <w:gridSpan w:val="2"/>
            <w:vMerge w:val="restart"/>
            <w:tcBorders>
              <w:top w:val="single" w:sz="4" w:space="0" w:color="auto"/>
              <w:left w:val="single" w:sz="4" w:space="0" w:color="auto"/>
              <w:right w:val="single" w:sz="4" w:space="0" w:color="auto"/>
            </w:tcBorders>
            <w:vAlign w:val="center"/>
          </w:tcPr>
          <w:p w:rsidR="00E33AAA" w:rsidRPr="00B75FD7" w:rsidRDefault="00E33AAA" w:rsidP="00F069E5">
            <w:pPr>
              <w:autoSpaceDE w:val="0"/>
              <w:autoSpaceDN w:val="0"/>
              <w:adjustRightInd w:val="0"/>
              <w:jc w:val="center"/>
              <w:rPr>
                <w:rFonts w:eastAsia="Calibri"/>
                <w:sz w:val="22"/>
              </w:rPr>
            </w:pPr>
            <w:r w:rsidRPr="00B75FD7">
              <w:rPr>
                <w:rFonts w:eastAsia="Calibri"/>
                <w:sz w:val="22"/>
              </w:rPr>
              <w:t>14640,0</w:t>
            </w:r>
          </w:p>
        </w:tc>
      </w:tr>
      <w:tr w:rsidR="00E33AAA" w:rsidRPr="00B75FD7" w:rsidTr="00E33AAA">
        <w:trPr>
          <w:trHeight w:val="1335"/>
        </w:trPr>
        <w:tc>
          <w:tcPr>
            <w:tcW w:w="1448" w:type="dxa"/>
            <w:vMerge/>
            <w:tcBorders>
              <w:left w:val="nil"/>
              <w:bottom w:val="nil"/>
              <w:right w:val="single" w:sz="4" w:space="0" w:color="auto"/>
            </w:tcBorders>
          </w:tcPr>
          <w:p w:rsidR="00E33AAA" w:rsidRPr="00B75FD7" w:rsidRDefault="00E33AAA" w:rsidP="00F069E5">
            <w:pPr>
              <w:autoSpaceDE w:val="0"/>
              <w:autoSpaceDN w:val="0"/>
              <w:adjustRightInd w:val="0"/>
              <w:jc w:val="right"/>
              <w:rPr>
                <w:rFonts w:eastAsia="Calibri"/>
                <w:sz w:val="22"/>
              </w:rPr>
            </w:pPr>
          </w:p>
        </w:tc>
        <w:tc>
          <w:tcPr>
            <w:tcW w:w="2830" w:type="dxa"/>
            <w:vMerge/>
            <w:tcBorders>
              <w:top w:val="single" w:sz="4" w:space="0" w:color="auto"/>
              <w:left w:val="single" w:sz="4" w:space="0" w:color="auto"/>
              <w:bottom w:val="single" w:sz="4" w:space="0" w:color="auto"/>
              <w:right w:val="single" w:sz="4"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sz w:val="22"/>
              </w:rPr>
            </w:pPr>
          </w:p>
        </w:tc>
        <w:tc>
          <w:tcPr>
            <w:tcW w:w="1422" w:type="dxa"/>
            <w:tcBorders>
              <w:top w:val="single" w:sz="6" w:space="0" w:color="auto"/>
              <w:left w:val="single" w:sz="4" w:space="0" w:color="auto"/>
              <w:bottom w:val="single" w:sz="6" w:space="0" w:color="auto"/>
              <w:right w:val="single" w:sz="6" w:space="0" w:color="auto"/>
            </w:tcBorders>
          </w:tcPr>
          <w:p w:rsidR="00E33AAA" w:rsidRPr="00B75FD7" w:rsidRDefault="00E33AAA" w:rsidP="00F069E5">
            <w:pPr>
              <w:autoSpaceDE w:val="0"/>
              <w:autoSpaceDN w:val="0"/>
              <w:adjustRightInd w:val="0"/>
              <w:rPr>
                <w:rFonts w:eastAsia="Calibri"/>
                <w:sz w:val="22"/>
              </w:rPr>
            </w:pPr>
          </w:p>
          <w:p w:rsidR="00E33AAA" w:rsidRPr="00B75FD7" w:rsidRDefault="00E33AAA" w:rsidP="00F069E5">
            <w:pPr>
              <w:autoSpaceDE w:val="0"/>
              <w:autoSpaceDN w:val="0"/>
              <w:adjustRightInd w:val="0"/>
              <w:rPr>
                <w:rFonts w:eastAsia="Calibri"/>
                <w:sz w:val="22"/>
              </w:rPr>
            </w:pPr>
            <w:r w:rsidRPr="00B75FD7">
              <w:rPr>
                <w:rFonts w:eastAsia="Calibri"/>
                <w:sz w:val="22"/>
              </w:rPr>
              <w:t>5000,0</w:t>
            </w:r>
          </w:p>
        </w:tc>
        <w:tc>
          <w:tcPr>
            <w:tcW w:w="1134" w:type="dxa"/>
            <w:gridSpan w:val="2"/>
            <w:tcBorders>
              <w:top w:val="single" w:sz="4" w:space="0" w:color="auto"/>
              <w:left w:val="single" w:sz="6" w:space="0" w:color="auto"/>
              <w:bottom w:val="single" w:sz="6" w:space="0" w:color="auto"/>
              <w:right w:val="single" w:sz="6" w:space="0" w:color="auto"/>
            </w:tcBorders>
          </w:tcPr>
          <w:p w:rsidR="00E33AAA" w:rsidRPr="00B75FD7" w:rsidRDefault="00E33AAA" w:rsidP="00F069E5">
            <w:pPr>
              <w:autoSpaceDE w:val="0"/>
              <w:autoSpaceDN w:val="0"/>
              <w:adjustRightInd w:val="0"/>
              <w:rPr>
                <w:rFonts w:eastAsia="Calibri"/>
                <w:sz w:val="22"/>
              </w:rPr>
            </w:pPr>
          </w:p>
        </w:tc>
        <w:tc>
          <w:tcPr>
            <w:tcW w:w="1276" w:type="dxa"/>
            <w:gridSpan w:val="2"/>
            <w:tcBorders>
              <w:top w:val="single" w:sz="4" w:space="0" w:color="auto"/>
              <w:left w:val="single" w:sz="6" w:space="0" w:color="auto"/>
              <w:bottom w:val="single" w:sz="6" w:space="0" w:color="auto"/>
              <w:right w:val="single" w:sz="6" w:space="0" w:color="auto"/>
            </w:tcBorders>
            <w:vAlign w:val="center"/>
          </w:tcPr>
          <w:p w:rsidR="00E33AAA" w:rsidRPr="00B75FD7" w:rsidRDefault="00E33AAA" w:rsidP="00F069E5">
            <w:pPr>
              <w:autoSpaceDE w:val="0"/>
              <w:autoSpaceDN w:val="0"/>
              <w:adjustRightInd w:val="0"/>
              <w:jc w:val="center"/>
              <w:rPr>
                <w:rFonts w:eastAsia="Calibri"/>
                <w:sz w:val="22"/>
              </w:rPr>
            </w:pPr>
            <w:r w:rsidRPr="00B75FD7">
              <w:rPr>
                <w:rFonts w:eastAsia="Calibri"/>
                <w:sz w:val="22"/>
              </w:rPr>
              <w:t>9640,0</w:t>
            </w:r>
          </w:p>
        </w:tc>
        <w:tc>
          <w:tcPr>
            <w:tcW w:w="1560" w:type="dxa"/>
            <w:gridSpan w:val="2"/>
            <w:tcBorders>
              <w:top w:val="single" w:sz="4" w:space="0" w:color="auto"/>
              <w:left w:val="single" w:sz="6" w:space="0" w:color="auto"/>
              <w:bottom w:val="single" w:sz="6" w:space="0" w:color="auto"/>
              <w:right w:val="single" w:sz="4" w:space="0" w:color="auto"/>
            </w:tcBorders>
          </w:tcPr>
          <w:p w:rsidR="00E33AAA" w:rsidRPr="00B75FD7" w:rsidRDefault="00E33AAA" w:rsidP="00F069E5">
            <w:pPr>
              <w:autoSpaceDE w:val="0"/>
              <w:autoSpaceDN w:val="0"/>
              <w:adjustRightInd w:val="0"/>
              <w:rPr>
                <w:rFonts w:eastAsia="Calibri"/>
                <w:sz w:val="22"/>
              </w:rPr>
            </w:pPr>
            <w:r w:rsidRPr="00B75FD7">
              <w:rPr>
                <w:rFonts w:eastAsia="Calibri"/>
                <w:sz w:val="22"/>
              </w:rPr>
              <w:t>Міжнародні інвестиції, кошти приватних осіб</w:t>
            </w:r>
          </w:p>
        </w:tc>
        <w:tc>
          <w:tcPr>
            <w:tcW w:w="1700" w:type="dxa"/>
            <w:gridSpan w:val="2"/>
            <w:vMerge/>
            <w:tcBorders>
              <w:left w:val="single" w:sz="4" w:space="0" w:color="auto"/>
              <w:bottom w:val="single" w:sz="6" w:space="0" w:color="auto"/>
              <w:right w:val="single" w:sz="4" w:space="0" w:color="auto"/>
            </w:tcBorders>
          </w:tcPr>
          <w:p w:rsidR="00E33AAA" w:rsidRPr="00B75FD7" w:rsidRDefault="00E33AAA" w:rsidP="00F069E5">
            <w:pPr>
              <w:autoSpaceDE w:val="0"/>
              <w:autoSpaceDN w:val="0"/>
              <w:adjustRightInd w:val="0"/>
              <w:rPr>
                <w:rFonts w:eastAsia="Calibri"/>
                <w:sz w:val="22"/>
              </w:rPr>
            </w:pPr>
          </w:p>
        </w:tc>
      </w:tr>
    </w:tbl>
    <w:p w:rsidR="00E33AAA" w:rsidRPr="00B75FD7" w:rsidRDefault="00E33AAA" w:rsidP="00E33AAA">
      <w:pPr>
        <w:tabs>
          <w:tab w:val="left" w:pos="5290"/>
        </w:tabs>
        <w:rPr>
          <w:sz w:val="22"/>
          <w:szCs w:val="22"/>
        </w:rPr>
      </w:pPr>
    </w:p>
    <w:p w:rsidR="00E33AAA" w:rsidRPr="00B75FD7" w:rsidRDefault="00E33AAA" w:rsidP="00E33AAA">
      <w:pPr>
        <w:tabs>
          <w:tab w:val="left" w:pos="5290"/>
        </w:tabs>
        <w:rPr>
          <w:b/>
          <w:sz w:val="22"/>
          <w:szCs w:val="22"/>
        </w:rPr>
      </w:pPr>
    </w:p>
    <w:tbl>
      <w:tblPr>
        <w:tblpPr w:leftFromText="180" w:rightFromText="180" w:vertAnchor="text" w:horzAnchor="page" w:tblpX="1" w:tblpY="123"/>
        <w:tblW w:w="11370" w:type="dxa"/>
        <w:tblLayout w:type="fixed"/>
        <w:tblCellMar>
          <w:left w:w="30" w:type="dxa"/>
          <w:right w:w="30" w:type="dxa"/>
        </w:tblCellMar>
        <w:tblLook w:val="0000" w:firstRow="0" w:lastRow="0" w:firstColumn="0" w:lastColumn="0" w:noHBand="0" w:noVBand="0"/>
      </w:tblPr>
      <w:tblGrid>
        <w:gridCol w:w="1448"/>
        <w:gridCol w:w="2833"/>
        <w:gridCol w:w="1842"/>
        <w:gridCol w:w="1420"/>
        <w:gridCol w:w="142"/>
        <w:gridCol w:w="833"/>
        <w:gridCol w:w="21"/>
        <w:gridCol w:w="847"/>
        <w:gridCol w:w="569"/>
        <w:gridCol w:w="1415"/>
      </w:tblGrid>
      <w:tr w:rsidR="00F069E5" w:rsidRPr="00B75FD7" w:rsidTr="00F069E5">
        <w:trPr>
          <w:trHeight w:val="555"/>
        </w:trPr>
        <w:tc>
          <w:tcPr>
            <w:tcW w:w="1448" w:type="dxa"/>
            <w:tcBorders>
              <w:top w:val="nil"/>
              <w:left w:val="nil"/>
              <w:bottom w:val="nil"/>
              <w:right w:val="nil"/>
            </w:tcBorders>
          </w:tcPr>
          <w:p w:rsidR="00F069E5" w:rsidRPr="00B75FD7" w:rsidRDefault="00F069E5" w:rsidP="00F069E5">
            <w:pPr>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r w:rsidRPr="00B75FD7">
              <w:rPr>
                <w:rFonts w:eastAsia="Calibri"/>
                <w:b/>
                <w:color w:val="000000"/>
                <w:sz w:val="22"/>
              </w:rPr>
              <w:t>Оперативна ціль/завдання</w:t>
            </w:r>
          </w:p>
        </w:tc>
        <w:tc>
          <w:tcPr>
            <w:tcW w:w="7089" w:type="dxa"/>
            <w:gridSpan w:val="8"/>
            <w:tcBorders>
              <w:top w:val="single" w:sz="6" w:space="0" w:color="auto"/>
              <w:left w:val="single" w:sz="6" w:space="0" w:color="auto"/>
              <w:bottom w:val="single" w:sz="6" w:space="0" w:color="auto"/>
              <w:right w:val="single" w:sz="6" w:space="0" w:color="auto"/>
            </w:tcBorders>
          </w:tcPr>
          <w:p w:rsidR="00F069E5" w:rsidRPr="00B75FD7" w:rsidRDefault="00F069E5" w:rsidP="00F069E5">
            <w:pPr>
              <w:pStyle w:val="a7"/>
              <w:ind w:left="0"/>
              <w:rPr>
                <w:rFonts w:eastAsia="Calibri"/>
                <w:color w:val="000000"/>
                <w:sz w:val="22"/>
              </w:rPr>
            </w:pPr>
            <w:r w:rsidRPr="00B75FD7">
              <w:rPr>
                <w:color w:val="222222"/>
                <w:sz w:val="22"/>
                <w:shd w:val="clear" w:color="auto" w:fill="FFFFFF"/>
              </w:rPr>
              <w:t>Людський розвиток через інновації управління та довіру до влади. Формування сучасного інклюзивного </w:t>
            </w:r>
            <w:proofErr w:type="spellStart"/>
            <w:r w:rsidRPr="00B75FD7">
              <w:rPr>
                <w:color w:val="222222"/>
                <w:sz w:val="22"/>
                <w:shd w:val="clear" w:color="auto" w:fill="FFFFFF"/>
              </w:rPr>
              <w:t>освітньо</w:t>
            </w:r>
            <w:proofErr w:type="spellEnd"/>
            <w:r w:rsidRPr="00B75FD7">
              <w:rPr>
                <w:color w:val="222222"/>
                <w:sz w:val="22"/>
                <w:shd w:val="clear" w:color="auto" w:fill="FFFFFF"/>
              </w:rPr>
              <w:t>-культурного та спортивного простору для розвитку</w:t>
            </w:r>
          </w:p>
        </w:tc>
      </w:tr>
      <w:tr w:rsidR="00F069E5" w:rsidRPr="00B75FD7" w:rsidTr="00F069E5">
        <w:trPr>
          <w:trHeight w:val="691"/>
        </w:trPr>
        <w:tc>
          <w:tcPr>
            <w:tcW w:w="1448" w:type="dxa"/>
            <w:tcBorders>
              <w:top w:val="nil"/>
              <w:left w:val="nil"/>
              <w:bottom w:val="nil"/>
              <w:right w:val="nil"/>
            </w:tcBorders>
          </w:tcPr>
          <w:p w:rsidR="00F069E5" w:rsidRPr="00B75FD7" w:rsidRDefault="00F069E5"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r w:rsidRPr="00B75FD7">
              <w:rPr>
                <w:rFonts w:eastAsia="Calibri"/>
                <w:b/>
                <w:color w:val="000000"/>
                <w:sz w:val="22"/>
              </w:rPr>
              <w:t>Назва проекту:</w:t>
            </w:r>
          </w:p>
        </w:tc>
        <w:tc>
          <w:tcPr>
            <w:tcW w:w="7089" w:type="dxa"/>
            <w:gridSpan w:val="8"/>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Відновлення діяльності Ясел-садка № 22 міста Сєвєродонецька Луганської області, за </w:t>
            </w:r>
            <w:proofErr w:type="spellStart"/>
            <w:r w:rsidRPr="00B75FD7">
              <w:rPr>
                <w:rFonts w:eastAsia="Calibri"/>
                <w:color w:val="000000"/>
                <w:sz w:val="22"/>
              </w:rPr>
              <w:t>адресою</w:t>
            </w:r>
            <w:proofErr w:type="spellEnd"/>
            <w:r w:rsidRPr="00B75FD7">
              <w:rPr>
                <w:rFonts w:eastAsia="Calibri"/>
                <w:color w:val="000000"/>
                <w:sz w:val="22"/>
              </w:rPr>
              <w:t>: 93400, Луганська область, Сєвєродонецький район, м. Сєвєродонецьк, проспект Космонавтів, буд. 6-а.</w:t>
            </w:r>
          </w:p>
        </w:tc>
      </w:tr>
      <w:tr w:rsidR="00F069E5" w:rsidRPr="00B75FD7" w:rsidTr="00F069E5">
        <w:trPr>
          <w:trHeight w:val="1109"/>
        </w:trPr>
        <w:tc>
          <w:tcPr>
            <w:tcW w:w="1448" w:type="dxa"/>
            <w:tcBorders>
              <w:top w:val="nil"/>
              <w:left w:val="nil"/>
              <w:bottom w:val="nil"/>
              <w:right w:val="nil"/>
            </w:tcBorders>
          </w:tcPr>
          <w:p w:rsidR="00F069E5" w:rsidRPr="00B75FD7" w:rsidRDefault="00F069E5"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r w:rsidRPr="00B75FD7">
              <w:rPr>
                <w:rFonts w:eastAsia="Calibri"/>
                <w:b/>
                <w:color w:val="000000"/>
                <w:sz w:val="22"/>
              </w:rPr>
              <w:t>Ціль проекту</w:t>
            </w:r>
          </w:p>
        </w:tc>
        <w:tc>
          <w:tcPr>
            <w:tcW w:w="7089" w:type="dxa"/>
            <w:gridSpan w:val="8"/>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Відновити діяльність Ясел-садка № 22.</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Створити безпечне та комфортне середовище для учасників освітнього процесу, а також умов для всебічного розвитку дітей.</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Забезпечення якісного інформаційно-методичного, управлінського, медичного, педагогічного </w:t>
            </w:r>
            <w:proofErr w:type="spellStart"/>
            <w:r w:rsidRPr="00B75FD7">
              <w:rPr>
                <w:rFonts w:eastAsia="Calibri"/>
                <w:color w:val="000000"/>
                <w:sz w:val="22"/>
              </w:rPr>
              <w:t>супровіду</w:t>
            </w:r>
            <w:proofErr w:type="spellEnd"/>
            <w:r w:rsidRPr="00B75FD7">
              <w:rPr>
                <w:rFonts w:eastAsia="Calibri"/>
                <w:color w:val="000000"/>
                <w:sz w:val="22"/>
              </w:rPr>
              <w:t xml:space="preserve"> діяльності закладу.</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Даний </w:t>
            </w:r>
            <w:proofErr w:type="spellStart"/>
            <w:r w:rsidRPr="00B75FD7">
              <w:rPr>
                <w:rFonts w:eastAsia="Calibri"/>
                <w:color w:val="000000"/>
                <w:sz w:val="22"/>
              </w:rPr>
              <w:t>проєкт</w:t>
            </w:r>
            <w:proofErr w:type="spellEnd"/>
            <w:r w:rsidRPr="00B75FD7">
              <w:rPr>
                <w:rFonts w:eastAsia="Calibri"/>
                <w:color w:val="000000"/>
                <w:sz w:val="22"/>
              </w:rPr>
              <w:t xml:space="preserve"> ставить на меті відновлення матеріально-технічної бази  Ясел-садка № 22. Оснащення групових приміщень закладу, кабінетів вузьких спеціалістів: методичного кабінету,  кабінету вчителів-логопедів, кабінету практичного психолога, кабінету інструктора з фізкультури, кабінету керівників музичних, кабінету директора, діловода, завгоспа, приміщення пральні, медичного кабінету. Музичної та спортивної зали. </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Забезпечення закладу швидкісним інтернетом та </w:t>
            </w:r>
            <w:proofErr w:type="spellStart"/>
            <w:r w:rsidRPr="00B75FD7">
              <w:rPr>
                <w:rFonts w:eastAsia="Calibri"/>
                <w:color w:val="000000"/>
                <w:sz w:val="22"/>
              </w:rPr>
              <w:t>Wi-Fi</w:t>
            </w:r>
            <w:proofErr w:type="spellEnd"/>
            <w:r w:rsidRPr="00B75FD7">
              <w:rPr>
                <w:rFonts w:eastAsia="Calibri"/>
                <w:color w:val="000000"/>
                <w:sz w:val="22"/>
              </w:rPr>
              <w:t>.</w:t>
            </w:r>
          </w:p>
        </w:tc>
      </w:tr>
      <w:tr w:rsidR="00F069E5" w:rsidRPr="00B75FD7" w:rsidTr="00F069E5">
        <w:trPr>
          <w:trHeight w:val="290"/>
        </w:trPr>
        <w:tc>
          <w:tcPr>
            <w:tcW w:w="1448" w:type="dxa"/>
            <w:tcBorders>
              <w:top w:val="nil"/>
              <w:left w:val="nil"/>
              <w:bottom w:val="nil"/>
              <w:right w:val="nil"/>
            </w:tcBorders>
          </w:tcPr>
          <w:p w:rsidR="00F069E5" w:rsidRPr="00B75FD7" w:rsidRDefault="00F069E5"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r w:rsidRPr="00B75FD7">
              <w:rPr>
                <w:rFonts w:eastAsia="Calibri"/>
                <w:b/>
                <w:color w:val="000000"/>
                <w:sz w:val="22"/>
              </w:rPr>
              <w:t>Територія, на яку матиме вплив реалізація проекту</w:t>
            </w:r>
          </w:p>
        </w:tc>
        <w:tc>
          <w:tcPr>
            <w:tcW w:w="7089" w:type="dxa"/>
            <w:gridSpan w:val="8"/>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Сєвєродонецька міська територіальна громада</w:t>
            </w:r>
          </w:p>
        </w:tc>
      </w:tr>
      <w:tr w:rsidR="00F069E5" w:rsidRPr="00B75FD7" w:rsidTr="00F069E5">
        <w:trPr>
          <w:trHeight w:val="631"/>
        </w:trPr>
        <w:tc>
          <w:tcPr>
            <w:tcW w:w="1448" w:type="dxa"/>
            <w:tcBorders>
              <w:top w:val="nil"/>
              <w:left w:val="nil"/>
              <w:bottom w:val="nil"/>
              <w:right w:val="nil"/>
            </w:tcBorders>
          </w:tcPr>
          <w:p w:rsidR="00F069E5" w:rsidRPr="00B75FD7" w:rsidRDefault="00F069E5"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r w:rsidRPr="00B75FD7">
              <w:rPr>
                <w:rFonts w:eastAsia="Calibri"/>
                <w:b/>
                <w:color w:val="000000"/>
                <w:sz w:val="22"/>
              </w:rPr>
              <w:t>Чисельність населення, на яке матиме вплив реалізація проекту</w:t>
            </w:r>
          </w:p>
        </w:tc>
        <w:tc>
          <w:tcPr>
            <w:tcW w:w="7089" w:type="dxa"/>
            <w:gridSpan w:val="8"/>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rPr>
                <w:rFonts w:eastAsia="Calibri"/>
                <w:color w:val="000000"/>
                <w:sz w:val="22"/>
              </w:rPr>
            </w:pPr>
            <w:r w:rsidRPr="00B75FD7">
              <w:rPr>
                <w:sz w:val="22"/>
              </w:rPr>
              <w:t>70 000 осіб</w:t>
            </w:r>
          </w:p>
        </w:tc>
      </w:tr>
      <w:tr w:rsidR="00F069E5" w:rsidRPr="00B75FD7" w:rsidTr="00F069E5">
        <w:trPr>
          <w:trHeight w:val="1261"/>
        </w:trPr>
        <w:tc>
          <w:tcPr>
            <w:tcW w:w="1448" w:type="dxa"/>
            <w:tcBorders>
              <w:top w:val="nil"/>
              <w:left w:val="nil"/>
              <w:bottom w:val="nil"/>
              <w:right w:val="nil"/>
            </w:tcBorders>
          </w:tcPr>
          <w:p w:rsidR="00F069E5" w:rsidRPr="00B75FD7" w:rsidRDefault="00F069E5"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r w:rsidRPr="00B75FD7">
              <w:rPr>
                <w:rFonts w:eastAsia="Calibri"/>
                <w:b/>
                <w:color w:val="000000"/>
                <w:sz w:val="22"/>
              </w:rPr>
              <w:t>Опис проблеми, на вирішення якої спрямований проект</w:t>
            </w:r>
          </w:p>
        </w:tc>
        <w:tc>
          <w:tcPr>
            <w:tcW w:w="7089" w:type="dxa"/>
            <w:gridSpan w:val="8"/>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rPr>
                <w:sz w:val="22"/>
              </w:rPr>
            </w:pPr>
            <w:r w:rsidRPr="00B75FD7">
              <w:rPr>
                <w:rFonts w:eastAsia="Calibri"/>
                <w:color w:val="000000"/>
                <w:sz w:val="22"/>
              </w:rPr>
              <w:t xml:space="preserve">Ясла-садок № 22 призупинив свою освітню діяльність  внаслідок </w:t>
            </w:r>
            <w:r w:rsidRPr="00B75FD7">
              <w:rPr>
                <w:sz w:val="22"/>
              </w:rPr>
              <w:t xml:space="preserve"> військової агресії РФ.</w:t>
            </w:r>
          </w:p>
          <w:p w:rsidR="00F069E5" w:rsidRPr="00B75FD7" w:rsidRDefault="00F069E5" w:rsidP="00F069E5">
            <w:pPr>
              <w:autoSpaceDE w:val="0"/>
              <w:autoSpaceDN w:val="0"/>
              <w:adjustRightInd w:val="0"/>
              <w:rPr>
                <w:sz w:val="22"/>
              </w:rPr>
            </w:pPr>
            <w:r w:rsidRPr="00B75FD7">
              <w:rPr>
                <w:sz w:val="22"/>
              </w:rPr>
              <w:t>Вся матеріально-технічна база закладу, зокрема:</w:t>
            </w:r>
          </w:p>
          <w:p w:rsidR="00F069E5" w:rsidRPr="00B75FD7" w:rsidRDefault="00F069E5" w:rsidP="000303D7">
            <w:pPr>
              <w:numPr>
                <w:ilvl w:val="0"/>
                <w:numId w:val="9"/>
              </w:numPr>
              <w:rPr>
                <w:sz w:val="22"/>
              </w:rPr>
            </w:pPr>
            <w:r w:rsidRPr="00B75FD7">
              <w:rPr>
                <w:sz w:val="22"/>
              </w:rPr>
              <w:t>обладнання (устаткування);</w:t>
            </w:r>
          </w:p>
          <w:p w:rsidR="00F069E5" w:rsidRPr="00B75FD7" w:rsidRDefault="00F069E5" w:rsidP="000303D7">
            <w:pPr>
              <w:numPr>
                <w:ilvl w:val="0"/>
                <w:numId w:val="9"/>
              </w:numPr>
              <w:rPr>
                <w:sz w:val="22"/>
              </w:rPr>
            </w:pPr>
            <w:r w:rsidRPr="00B75FD7">
              <w:rPr>
                <w:rFonts w:eastAsia="Calibri"/>
                <w:color w:val="000000"/>
                <w:sz w:val="22"/>
              </w:rPr>
              <w:t xml:space="preserve"> навчально-методична база;</w:t>
            </w:r>
          </w:p>
          <w:p w:rsidR="00F069E5" w:rsidRPr="00B75FD7" w:rsidRDefault="00F069E5" w:rsidP="000303D7">
            <w:pPr>
              <w:numPr>
                <w:ilvl w:val="0"/>
                <w:numId w:val="9"/>
              </w:numPr>
              <w:jc w:val="left"/>
              <w:rPr>
                <w:sz w:val="22"/>
              </w:rPr>
            </w:pPr>
            <w:r w:rsidRPr="00B75FD7">
              <w:rPr>
                <w:sz w:val="22"/>
              </w:rPr>
              <w:t xml:space="preserve"> оргтехніка (монітори, принтери, комп’ютери, телевізори, інтерактивна дошка, </w:t>
            </w:r>
            <w:proofErr w:type="spellStart"/>
            <w:r w:rsidRPr="00B75FD7">
              <w:rPr>
                <w:sz w:val="22"/>
              </w:rPr>
              <w:t>проєктор</w:t>
            </w:r>
            <w:proofErr w:type="spellEnd"/>
            <w:r w:rsidRPr="00B75FD7">
              <w:rPr>
                <w:sz w:val="22"/>
              </w:rPr>
              <w:t>, ноутбуки тощо);</w:t>
            </w:r>
          </w:p>
          <w:p w:rsidR="00F069E5" w:rsidRPr="00B75FD7" w:rsidRDefault="00F069E5" w:rsidP="000303D7">
            <w:pPr>
              <w:numPr>
                <w:ilvl w:val="0"/>
                <w:numId w:val="9"/>
              </w:numPr>
              <w:rPr>
                <w:sz w:val="22"/>
              </w:rPr>
            </w:pPr>
            <w:r w:rsidRPr="00B75FD7">
              <w:rPr>
                <w:sz w:val="22"/>
              </w:rPr>
              <w:t>предметно-ігрове обладнання групових приміщень;</w:t>
            </w:r>
          </w:p>
          <w:p w:rsidR="00F069E5" w:rsidRPr="00B75FD7" w:rsidRDefault="00F069E5" w:rsidP="000303D7">
            <w:pPr>
              <w:numPr>
                <w:ilvl w:val="0"/>
                <w:numId w:val="9"/>
              </w:numPr>
              <w:rPr>
                <w:sz w:val="22"/>
              </w:rPr>
            </w:pPr>
            <w:r w:rsidRPr="00B75FD7">
              <w:rPr>
                <w:rFonts w:eastAsia="Calibri"/>
                <w:color w:val="000000"/>
                <w:sz w:val="22"/>
              </w:rPr>
              <w:t>медичне обладнання;</w:t>
            </w:r>
          </w:p>
          <w:p w:rsidR="00F069E5" w:rsidRPr="00B75FD7" w:rsidRDefault="00F069E5" w:rsidP="000303D7">
            <w:pPr>
              <w:numPr>
                <w:ilvl w:val="0"/>
                <w:numId w:val="9"/>
              </w:numPr>
              <w:rPr>
                <w:sz w:val="22"/>
              </w:rPr>
            </w:pPr>
            <w:r w:rsidRPr="00B75FD7">
              <w:rPr>
                <w:rFonts w:eastAsia="Calibri"/>
                <w:color w:val="000000"/>
                <w:sz w:val="22"/>
              </w:rPr>
              <w:t>спортивне обладнання;</w:t>
            </w:r>
          </w:p>
          <w:p w:rsidR="00F069E5" w:rsidRPr="00B75FD7" w:rsidRDefault="00F069E5" w:rsidP="000303D7">
            <w:pPr>
              <w:numPr>
                <w:ilvl w:val="0"/>
                <w:numId w:val="9"/>
              </w:numPr>
              <w:rPr>
                <w:sz w:val="22"/>
              </w:rPr>
            </w:pPr>
            <w:r w:rsidRPr="00B75FD7">
              <w:rPr>
                <w:rFonts w:eastAsia="Calibri"/>
                <w:color w:val="000000"/>
                <w:sz w:val="22"/>
              </w:rPr>
              <w:t xml:space="preserve">побутова техніка (пральні машини, праски); </w:t>
            </w:r>
          </w:p>
          <w:p w:rsidR="00F069E5" w:rsidRPr="00B75FD7" w:rsidRDefault="00F069E5" w:rsidP="000303D7">
            <w:pPr>
              <w:numPr>
                <w:ilvl w:val="0"/>
                <w:numId w:val="9"/>
              </w:numPr>
              <w:rPr>
                <w:sz w:val="22"/>
              </w:rPr>
            </w:pPr>
            <w:r w:rsidRPr="00B75FD7">
              <w:rPr>
                <w:sz w:val="22"/>
              </w:rPr>
              <w:t>сантехніка;</w:t>
            </w:r>
          </w:p>
          <w:p w:rsidR="00F069E5" w:rsidRPr="00B75FD7" w:rsidRDefault="00F069E5" w:rsidP="000303D7">
            <w:pPr>
              <w:pStyle w:val="13"/>
              <w:numPr>
                <w:ilvl w:val="0"/>
                <w:numId w:val="9"/>
              </w:numPr>
              <w:jc w:val="both"/>
              <w:rPr>
                <w:sz w:val="22"/>
                <w:lang w:val="uk-UA"/>
              </w:rPr>
            </w:pPr>
            <w:r w:rsidRPr="00B75FD7">
              <w:rPr>
                <w:sz w:val="22"/>
                <w:lang w:val="uk-UA"/>
              </w:rPr>
              <w:t>основні засоби (офісні меблі, дитячі меблі) були знищені або викрадені.</w:t>
            </w:r>
          </w:p>
          <w:p w:rsidR="00F069E5" w:rsidRPr="00B75FD7" w:rsidRDefault="00F069E5" w:rsidP="00F069E5">
            <w:pPr>
              <w:autoSpaceDE w:val="0"/>
              <w:autoSpaceDN w:val="0"/>
              <w:adjustRightInd w:val="0"/>
              <w:rPr>
                <w:rFonts w:eastAsia="Calibri"/>
                <w:color w:val="000000"/>
                <w:sz w:val="22"/>
              </w:rPr>
            </w:pPr>
            <w:r w:rsidRPr="00B75FD7">
              <w:rPr>
                <w:rFonts w:eastAsia="Arial"/>
                <w:sz w:val="22"/>
              </w:rPr>
              <w:t>Для відбудови та сталого розвитку громади потрібне відновлення роботи мережі закладів дошкільної освіти. Мешканці громади потребують  якісних освітніх послуг, які відповідають нормам сучасності.</w:t>
            </w:r>
          </w:p>
        </w:tc>
      </w:tr>
      <w:tr w:rsidR="00F069E5" w:rsidRPr="00B75FD7" w:rsidTr="00F069E5">
        <w:trPr>
          <w:trHeight w:val="558"/>
        </w:trPr>
        <w:tc>
          <w:tcPr>
            <w:tcW w:w="1448" w:type="dxa"/>
            <w:tcBorders>
              <w:top w:val="nil"/>
              <w:left w:val="nil"/>
              <w:bottom w:val="nil"/>
              <w:right w:val="nil"/>
            </w:tcBorders>
          </w:tcPr>
          <w:p w:rsidR="00F069E5" w:rsidRPr="00B75FD7" w:rsidRDefault="00F069E5"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r w:rsidRPr="00B75FD7">
              <w:rPr>
                <w:rFonts w:eastAsia="Calibri"/>
                <w:b/>
                <w:color w:val="000000"/>
                <w:sz w:val="22"/>
              </w:rPr>
              <w:t>Очікувані якісні результати від реалізації проекту</w:t>
            </w:r>
          </w:p>
        </w:tc>
        <w:tc>
          <w:tcPr>
            <w:tcW w:w="7089" w:type="dxa"/>
            <w:gridSpan w:val="8"/>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Відновлення матеріально-технічної бази Ясел-садка № 22.</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Створення сучасного освітнього простору, який відповідає сучасним тенденціям розвитку, конкурентоспроможності. </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 Забезпечення оптимальних умов для розвитку й саморозвитку дітей.  Відновлення функціонування 8 груп ( 2  логопедичні групи для дітей з вадами мовлення).</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Створення умов для ігор, освітньої діяльності, харчування, відпочинку вихованців. Продуктивної та безпечної роботи педагогічного</w:t>
            </w:r>
            <w:r w:rsidR="0031702F" w:rsidRPr="00B75FD7">
              <w:rPr>
                <w:rFonts w:eastAsia="Calibri"/>
                <w:color w:val="000000"/>
                <w:sz w:val="22"/>
              </w:rPr>
              <w:t>,</w:t>
            </w:r>
            <w:r w:rsidRPr="00B75FD7">
              <w:rPr>
                <w:rFonts w:eastAsia="Calibri"/>
                <w:color w:val="000000"/>
                <w:sz w:val="22"/>
              </w:rPr>
              <w:t xml:space="preserve">  обслуговуючого, технічного персоналу.</w:t>
            </w:r>
          </w:p>
          <w:p w:rsidR="00F069E5" w:rsidRPr="00B75FD7" w:rsidRDefault="00F069E5" w:rsidP="0031702F">
            <w:pPr>
              <w:autoSpaceDE w:val="0"/>
              <w:autoSpaceDN w:val="0"/>
              <w:adjustRightInd w:val="0"/>
              <w:rPr>
                <w:rFonts w:eastAsia="Calibri"/>
                <w:color w:val="000000"/>
                <w:sz w:val="22"/>
              </w:rPr>
            </w:pPr>
            <w:r w:rsidRPr="00B75FD7">
              <w:rPr>
                <w:rFonts w:eastAsia="Calibri"/>
                <w:color w:val="000000"/>
                <w:sz w:val="22"/>
              </w:rPr>
              <w:t>Відновлення функціонування  кабінетів вузьких спеціалістів, медичного кабінету. Забезпечення належних умов для роботи медичного персоналу (сестер медичних старших, сестри медичної з дієтичного харчування, лікаря-педіатра) відповідно до законодавства України.</w:t>
            </w:r>
          </w:p>
        </w:tc>
      </w:tr>
      <w:tr w:rsidR="00F069E5" w:rsidRPr="00B75FD7" w:rsidTr="00F069E5">
        <w:trPr>
          <w:trHeight w:val="581"/>
        </w:trPr>
        <w:tc>
          <w:tcPr>
            <w:tcW w:w="1448" w:type="dxa"/>
            <w:tcBorders>
              <w:top w:val="nil"/>
              <w:left w:val="nil"/>
              <w:bottom w:val="nil"/>
              <w:right w:val="nil"/>
            </w:tcBorders>
          </w:tcPr>
          <w:p w:rsidR="00F069E5" w:rsidRPr="00B75FD7" w:rsidRDefault="00F069E5"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r w:rsidRPr="00B75FD7">
              <w:rPr>
                <w:rFonts w:eastAsia="Calibri"/>
                <w:b/>
                <w:color w:val="000000"/>
                <w:sz w:val="22"/>
              </w:rPr>
              <w:t>Очікувані кількісні результати від реалізації проекту  (індикатори)</w:t>
            </w:r>
          </w:p>
        </w:tc>
        <w:tc>
          <w:tcPr>
            <w:tcW w:w="3404" w:type="dxa"/>
            <w:gridSpan w:val="3"/>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jc w:val="center"/>
              <w:rPr>
                <w:rFonts w:eastAsia="Calibri"/>
                <w:b/>
                <w:color w:val="000000"/>
                <w:sz w:val="22"/>
              </w:rPr>
            </w:pPr>
            <w:r w:rsidRPr="00B75FD7">
              <w:rPr>
                <w:rFonts w:eastAsia="Calibri"/>
                <w:b/>
                <w:color w:val="000000"/>
                <w:sz w:val="22"/>
              </w:rPr>
              <w:t>Найменування показника</w:t>
            </w:r>
          </w:p>
        </w:tc>
        <w:tc>
          <w:tcPr>
            <w:tcW w:w="1701" w:type="dxa"/>
            <w:gridSpan w:val="3"/>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jc w:val="center"/>
              <w:rPr>
                <w:rFonts w:eastAsia="Calibri"/>
                <w:b/>
                <w:color w:val="000000"/>
                <w:sz w:val="22"/>
              </w:rPr>
            </w:pPr>
            <w:r w:rsidRPr="00B75FD7">
              <w:rPr>
                <w:rFonts w:eastAsia="Calibri"/>
                <w:b/>
                <w:color w:val="000000"/>
                <w:sz w:val="22"/>
              </w:rPr>
              <w:t>Одиниця вимірювання</w:t>
            </w:r>
          </w:p>
        </w:tc>
        <w:tc>
          <w:tcPr>
            <w:tcW w:w="1984" w:type="dxa"/>
            <w:gridSpan w:val="2"/>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jc w:val="center"/>
              <w:rPr>
                <w:rFonts w:eastAsia="Calibri"/>
                <w:b/>
                <w:color w:val="000000"/>
                <w:sz w:val="22"/>
              </w:rPr>
            </w:pPr>
            <w:r w:rsidRPr="00B75FD7">
              <w:rPr>
                <w:rFonts w:eastAsia="Calibri"/>
                <w:b/>
                <w:color w:val="000000"/>
                <w:sz w:val="22"/>
              </w:rPr>
              <w:t>Прогнозне (цільове) значення</w:t>
            </w:r>
          </w:p>
        </w:tc>
      </w:tr>
      <w:tr w:rsidR="00F069E5" w:rsidRPr="00B75FD7" w:rsidTr="00F069E5">
        <w:trPr>
          <w:trHeight w:val="944"/>
        </w:trPr>
        <w:tc>
          <w:tcPr>
            <w:tcW w:w="1448" w:type="dxa"/>
            <w:vMerge w:val="restart"/>
            <w:tcBorders>
              <w:top w:val="nil"/>
              <w:left w:val="nil"/>
              <w:right w:val="nil"/>
            </w:tcBorders>
          </w:tcPr>
          <w:p w:rsidR="00F069E5" w:rsidRPr="00B75FD7" w:rsidRDefault="00F069E5" w:rsidP="00F069E5">
            <w:pPr>
              <w:autoSpaceDE w:val="0"/>
              <w:autoSpaceDN w:val="0"/>
              <w:adjustRightInd w:val="0"/>
              <w:jc w:val="right"/>
              <w:rPr>
                <w:rFonts w:eastAsia="Calibri"/>
                <w:color w:val="000000"/>
                <w:sz w:val="22"/>
              </w:rPr>
            </w:pPr>
          </w:p>
        </w:tc>
        <w:tc>
          <w:tcPr>
            <w:tcW w:w="2833" w:type="dxa"/>
            <w:vMerge w:val="restart"/>
            <w:tcBorders>
              <w:top w:val="single" w:sz="6" w:space="0" w:color="auto"/>
              <w:left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p>
        </w:tc>
        <w:tc>
          <w:tcPr>
            <w:tcW w:w="3404" w:type="dxa"/>
            <w:gridSpan w:val="3"/>
            <w:tcBorders>
              <w:top w:val="single" w:sz="6" w:space="0" w:color="auto"/>
              <w:left w:val="single" w:sz="6" w:space="0" w:color="auto"/>
              <w:bottom w:val="single" w:sz="4" w:space="0" w:color="auto"/>
              <w:right w:val="single" w:sz="6" w:space="0" w:color="auto"/>
            </w:tcBorders>
          </w:tcPr>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Кількість вихованців, які отримають якісні освітні послуги                                 </w:t>
            </w:r>
          </w:p>
        </w:tc>
        <w:tc>
          <w:tcPr>
            <w:tcW w:w="1701" w:type="dxa"/>
            <w:gridSpan w:val="3"/>
            <w:tcBorders>
              <w:top w:val="single" w:sz="6" w:space="0" w:color="auto"/>
              <w:left w:val="single" w:sz="6" w:space="0" w:color="auto"/>
              <w:bottom w:val="single" w:sz="4" w:space="0" w:color="auto"/>
              <w:right w:val="single" w:sz="6" w:space="0" w:color="auto"/>
            </w:tcBorders>
          </w:tcPr>
          <w:p w:rsidR="00F069E5" w:rsidRPr="00B75FD7" w:rsidRDefault="00F069E5" w:rsidP="00F069E5">
            <w:pPr>
              <w:autoSpaceDE w:val="0"/>
              <w:autoSpaceDN w:val="0"/>
              <w:adjustRightInd w:val="0"/>
              <w:jc w:val="center"/>
              <w:rPr>
                <w:rFonts w:eastAsia="Calibri"/>
                <w:color w:val="000000"/>
                <w:sz w:val="22"/>
              </w:rPr>
            </w:pPr>
            <w:r w:rsidRPr="00B75FD7">
              <w:rPr>
                <w:rFonts w:eastAsia="Calibri"/>
                <w:color w:val="000000"/>
                <w:sz w:val="22"/>
              </w:rPr>
              <w:t>осіб</w:t>
            </w:r>
          </w:p>
        </w:tc>
        <w:tc>
          <w:tcPr>
            <w:tcW w:w="1984" w:type="dxa"/>
            <w:gridSpan w:val="2"/>
            <w:tcBorders>
              <w:top w:val="single" w:sz="6" w:space="0" w:color="auto"/>
              <w:left w:val="single" w:sz="6" w:space="0" w:color="auto"/>
              <w:bottom w:val="single" w:sz="4" w:space="0" w:color="auto"/>
              <w:right w:val="single" w:sz="6" w:space="0" w:color="auto"/>
            </w:tcBorders>
          </w:tcPr>
          <w:p w:rsidR="00F069E5" w:rsidRPr="00B75FD7" w:rsidRDefault="00F069E5" w:rsidP="00F069E5">
            <w:pPr>
              <w:autoSpaceDE w:val="0"/>
              <w:autoSpaceDN w:val="0"/>
              <w:adjustRightInd w:val="0"/>
              <w:jc w:val="center"/>
              <w:rPr>
                <w:rFonts w:eastAsia="Calibri"/>
                <w:color w:val="000000"/>
                <w:sz w:val="22"/>
              </w:rPr>
            </w:pPr>
            <w:r w:rsidRPr="00B75FD7">
              <w:rPr>
                <w:rFonts w:eastAsia="Calibri"/>
                <w:color w:val="000000"/>
                <w:sz w:val="22"/>
              </w:rPr>
              <w:t>200</w:t>
            </w:r>
          </w:p>
          <w:p w:rsidR="00F069E5" w:rsidRPr="00B75FD7" w:rsidRDefault="00F069E5" w:rsidP="00F069E5">
            <w:pPr>
              <w:autoSpaceDE w:val="0"/>
              <w:autoSpaceDN w:val="0"/>
              <w:adjustRightInd w:val="0"/>
              <w:jc w:val="center"/>
              <w:rPr>
                <w:rFonts w:eastAsia="Calibri"/>
                <w:color w:val="000000"/>
                <w:sz w:val="22"/>
              </w:rPr>
            </w:pPr>
          </w:p>
        </w:tc>
      </w:tr>
      <w:tr w:rsidR="00F069E5" w:rsidRPr="00B75FD7" w:rsidTr="00F069E5">
        <w:trPr>
          <w:trHeight w:val="615"/>
        </w:trPr>
        <w:tc>
          <w:tcPr>
            <w:tcW w:w="1448" w:type="dxa"/>
            <w:vMerge/>
            <w:tcBorders>
              <w:left w:val="nil"/>
              <w:right w:val="nil"/>
            </w:tcBorders>
          </w:tcPr>
          <w:p w:rsidR="00F069E5" w:rsidRPr="00B75FD7" w:rsidRDefault="00F069E5" w:rsidP="00F069E5">
            <w:pPr>
              <w:autoSpaceDE w:val="0"/>
              <w:autoSpaceDN w:val="0"/>
              <w:adjustRightInd w:val="0"/>
              <w:jc w:val="right"/>
              <w:rPr>
                <w:rFonts w:eastAsia="Calibri"/>
                <w:color w:val="000000"/>
                <w:sz w:val="22"/>
              </w:rPr>
            </w:pPr>
          </w:p>
        </w:tc>
        <w:tc>
          <w:tcPr>
            <w:tcW w:w="2833" w:type="dxa"/>
            <w:vMerge/>
            <w:tcBorders>
              <w:left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p>
        </w:tc>
        <w:tc>
          <w:tcPr>
            <w:tcW w:w="3404" w:type="dxa"/>
            <w:gridSpan w:val="3"/>
            <w:tcBorders>
              <w:top w:val="single" w:sz="4" w:space="0" w:color="auto"/>
              <w:left w:val="single" w:sz="6" w:space="0" w:color="auto"/>
              <w:bottom w:val="single" w:sz="4" w:space="0" w:color="auto"/>
              <w:right w:val="single" w:sz="6" w:space="0" w:color="auto"/>
            </w:tcBorders>
          </w:tcPr>
          <w:p w:rsidR="00F069E5" w:rsidRPr="00B75FD7" w:rsidRDefault="00F069E5" w:rsidP="00F069E5">
            <w:pPr>
              <w:rPr>
                <w:sz w:val="22"/>
              </w:rPr>
            </w:pPr>
            <w:r w:rsidRPr="00B75FD7">
              <w:rPr>
                <w:rFonts w:eastAsia="Calibri"/>
                <w:color w:val="000000"/>
                <w:sz w:val="22"/>
              </w:rPr>
              <w:t xml:space="preserve">Кількість працівників закладу, які отримають безпечні та комфортні умови праці </w:t>
            </w:r>
          </w:p>
        </w:tc>
        <w:tc>
          <w:tcPr>
            <w:tcW w:w="1701" w:type="dxa"/>
            <w:gridSpan w:val="3"/>
            <w:tcBorders>
              <w:top w:val="single" w:sz="4" w:space="0" w:color="auto"/>
              <w:left w:val="single" w:sz="6" w:space="0" w:color="auto"/>
              <w:bottom w:val="single" w:sz="4" w:space="0" w:color="auto"/>
              <w:right w:val="single" w:sz="6" w:space="0" w:color="auto"/>
            </w:tcBorders>
          </w:tcPr>
          <w:p w:rsidR="00F069E5" w:rsidRPr="00B75FD7" w:rsidRDefault="00F069E5" w:rsidP="00F069E5">
            <w:pPr>
              <w:autoSpaceDE w:val="0"/>
              <w:autoSpaceDN w:val="0"/>
              <w:adjustRightInd w:val="0"/>
              <w:jc w:val="center"/>
              <w:rPr>
                <w:rFonts w:eastAsia="Calibri"/>
                <w:color w:val="000000"/>
                <w:sz w:val="22"/>
              </w:rPr>
            </w:pPr>
            <w:r w:rsidRPr="00B75FD7">
              <w:rPr>
                <w:rFonts w:eastAsia="Calibri"/>
                <w:color w:val="000000"/>
                <w:sz w:val="22"/>
              </w:rPr>
              <w:t>осіб</w:t>
            </w:r>
          </w:p>
        </w:tc>
        <w:tc>
          <w:tcPr>
            <w:tcW w:w="1984" w:type="dxa"/>
            <w:gridSpan w:val="2"/>
            <w:tcBorders>
              <w:top w:val="single" w:sz="4" w:space="0" w:color="auto"/>
              <w:left w:val="single" w:sz="6" w:space="0" w:color="auto"/>
              <w:bottom w:val="single" w:sz="4" w:space="0" w:color="auto"/>
              <w:right w:val="single" w:sz="6" w:space="0" w:color="auto"/>
            </w:tcBorders>
          </w:tcPr>
          <w:p w:rsidR="00F069E5" w:rsidRPr="00B75FD7" w:rsidRDefault="00F069E5" w:rsidP="00F069E5">
            <w:pPr>
              <w:autoSpaceDE w:val="0"/>
              <w:autoSpaceDN w:val="0"/>
              <w:adjustRightInd w:val="0"/>
              <w:jc w:val="center"/>
              <w:rPr>
                <w:rFonts w:eastAsia="Calibri"/>
                <w:color w:val="000000"/>
                <w:sz w:val="22"/>
              </w:rPr>
            </w:pPr>
            <w:r w:rsidRPr="00B75FD7">
              <w:rPr>
                <w:rFonts w:eastAsia="Calibri"/>
                <w:color w:val="000000"/>
                <w:sz w:val="22"/>
              </w:rPr>
              <w:t>45</w:t>
            </w:r>
          </w:p>
        </w:tc>
      </w:tr>
      <w:tr w:rsidR="00F069E5" w:rsidRPr="00B75FD7" w:rsidTr="00F069E5">
        <w:trPr>
          <w:trHeight w:val="375"/>
        </w:trPr>
        <w:tc>
          <w:tcPr>
            <w:tcW w:w="1448" w:type="dxa"/>
            <w:vMerge/>
            <w:tcBorders>
              <w:left w:val="nil"/>
              <w:right w:val="nil"/>
            </w:tcBorders>
          </w:tcPr>
          <w:p w:rsidR="00F069E5" w:rsidRPr="00B75FD7" w:rsidRDefault="00F069E5" w:rsidP="00F069E5">
            <w:pPr>
              <w:autoSpaceDE w:val="0"/>
              <w:autoSpaceDN w:val="0"/>
              <w:adjustRightInd w:val="0"/>
              <w:jc w:val="right"/>
              <w:rPr>
                <w:rFonts w:eastAsia="Calibri"/>
                <w:color w:val="000000"/>
                <w:sz w:val="22"/>
              </w:rPr>
            </w:pPr>
          </w:p>
        </w:tc>
        <w:tc>
          <w:tcPr>
            <w:tcW w:w="2833" w:type="dxa"/>
            <w:vMerge/>
            <w:tcBorders>
              <w:left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p>
        </w:tc>
        <w:tc>
          <w:tcPr>
            <w:tcW w:w="3404" w:type="dxa"/>
            <w:gridSpan w:val="3"/>
            <w:tcBorders>
              <w:top w:val="single" w:sz="4" w:space="0" w:color="auto"/>
              <w:left w:val="single" w:sz="6" w:space="0" w:color="auto"/>
              <w:bottom w:val="single" w:sz="4" w:space="0" w:color="auto"/>
              <w:right w:val="single" w:sz="6" w:space="0" w:color="auto"/>
            </w:tcBorders>
          </w:tcPr>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Відновлено функціонування  приміщень</w:t>
            </w:r>
          </w:p>
        </w:tc>
        <w:tc>
          <w:tcPr>
            <w:tcW w:w="1701" w:type="dxa"/>
            <w:gridSpan w:val="3"/>
            <w:tcBorders>
              <w:top w:val="single" w:sz="4" w:space="0" w:color="auto"/>
              <w:left w:val="single" w:sz="6" w:space="0" w:color="auto"/>
              <w:bottom w:val="single" w:sz="4" w:space="0" w:color="auto"/>
              <w:right w:val="single" w:sz="6" w:space="0" w:color="auto"/>
            </w:tcBorders>
          </w:tcPr>
          <w:p w:rsidR="00F069E5" w:rsidRPr="00B75FD7" w:rsidRDefault="00F069E5" w:rsidP="00F069E5">
            <w:pPr>
              <w:autoSpaceDE w:val="0"/>
              <w:autoSpaceDN w:val="0"/>
              <w:adjustRightInd w:val="0"/>
              <w:jc w:val="center"/>
              <w:rPr>
                <w:rFonts w:eastAsia="Calibri"/>
                <w:color w:val="000000"/>
                <w:sz w:val="22"/>
              </w:rPr>
            </w:pPr>
            <w:r w:rsidRPr="00B75FD7">
              <w:rPr>
                <w:rFonts w:eastAsia="Calibri"/>
                <w:color w:val="000000"/>
                <w:sz w:val="22"/>
              </w:rPr>
              <w:t>метр</w:t>
            </w:r>
          </w:p>
          <w:p w:rsidR="00F069E5" w:rsidRPr="00B75FD7" w:rsidRDefault="00F069E5" w:rsidP="00F069E5">
            <w:pPr>
              <w:autoSpaceDE w:val="0"/>
              <w:autoSpaceDN w:val="0"/>
              <w:adjustRightInd w:val="0"/>
              <w:jc w:val="center"/>
              <w:rPr>
                <w:rFonts w:eastAsia="Calibri"/>
                <w:color w:val="000000"/>
                <w:sz w:val="22"/>
              </w:rPr>
            </w:pPr>
            <w:r w:rsidRPr="00B75FD7">
              <w:rPr>
                <w:rFonts w:eastAsia="Calibri"/>
                <w:color w:val="000000"/>
                <w:sz w:val="22"/>
              </w:rPr>
              <w:t>квадратний</w:t>
            </w:r>
          </w:p>
        </w:tc>
        <w:tc>
          <w:tcPr>
            <w:tcW w:w="1984" w:type="dxa"/>
            <w:gridSpan w:val="2"/>
            <w:tcBorders>
              <w:top w:val="single" w:sz="4" w:space="0" w:color="auto"/>
              <w:left w:val="single" w:sz="6" w:space="0" w:color="auto"/>
              <w:bottom w:val="single" w:sz="4" w:space="0" w:color="auto"/>
              <w:right w:val="single" w:sz="6" w:space="0" w:color="auto"/>
            </w:tcBorders>
          </w:tcPr>
          <w:p w:rsidR="00F069E5" w:rsidRPr="00B75FD7" w:rsidRDefault="00F069E5" w:rsidP="00F069E5">
            <w:pPr>
              <w:autoSpaceDE w:val="0"/>
              <w:autoSpaceDN w:val="0"/>
              <w:adjustRightInd w:val="0"/>
              <w:jc w:val="center"/>
              <w:rPr>
                <w:rFonts w:eastAsia="Calibri"/>
                <w:color w:val="000000"/>
                <w:sz w:val="22"/>
              </w:rPr>
            </w:pPr>
            <w:r w:rsidRPr="00B75FD7">
              <w:rPr>
                <w:rFonts w:eastAsia="Calibri"/>
                <w:color w:val="000000"/>
                <w:sz w:val="22"/>
              </w:rPr>
              <w:t>2000</w:t>
            </w:r>
          </w:p>
        </w:tc>
      </w:tr>
      <w:tr w:rsidR="00F069E5" w:rsidRPr="00B75FD7" w:rsidTr="00F069E5">
        <w:trPr>
          <w:trHeight w:val="1684"/>
        </w:trPr>
        <w:tc>
          <w:tcPr>
            <w:tcW w:w="1448" w:type="dxa"/>
            <w:tcBorders>
              <w:top w:val="nil"/>
              <w:left w:val="nil"/>
              <w:bottom w:val="nil"/>
              <w:right w:val="nil"/>
            </w:tcBorders>
          </w:tcPr>
          <w:p w:rsidR="00F069E5" w:rsidRPr="00B75FD7" w:rsidRDefault="00F069E5"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r w:rsidRPr="00B75FD7">
              <w:rPr>
                <w:rFonts w:eastAsia="Calibri"/>
                <w:b/>
                <w:color w:val="000000"/>
                <w:sz w:val="22"/>
              </w:rPr>
              <w:t>Ключові заходи проекту:</w:t>
            </w:r>
          </w:p>
        </w:tc>
        <w:tc>
          <w:tcPr>
            <w:tcW w:w="7089" w:type="dxa"/>
            <w:gridSpan w:val="8"/>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1. Розробка </w:t>
            </w:r>
            <w:proofErr w:type="spellStart"/>
            <w:r w:rsidRPr="00B75FD7">
              <w:rPr>
                <w:rFonts w:eastAsia="Calibri"/>
                <w:color w:val="000000"/>
                <w:sz w:val="22"/>
              </w:rPr>
              <w:t>проєктно</w:t>
            </w:r>
            <w:proofErr w:type="spellEnd"/>
            <w:r w:rsidRPr="00B75FD7">
              <w:rPr>
                <w:rFonts w:eastAsia="Calibri"/>
                <w:color w:val="000000"/>
                <w:sz w:val="22"/>
              </w:rPr>
              <w:t>-кошторисної документації.</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2. Оснащення групових приміщень.</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Меблі – 800 </w:t>
            </w:r>
            <w:r w:rsidR="0031702F" w:rsidRPr="00B75FD7">
              <w:rPr>
                <w:rFonts w:eastAsia="Calibri"/>
                <w:color w:val="000000"/>
                <w:sz w:val="22"/>
              </w:rPr>
              <w:t>од</w:t>
            </w:r>
            <w:r w:rsidRPr="00B75FD7">
              <w:rPr>
                <w:rFonts w:eastAsia="Calibri"/>
                <w:color w:val="000000"/>
                <w:sz w:val="22"/>
              </w:rPr>
              <w:t>.</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Ігрові меблі для сюжетно-рольових та дидактичних ігор – 75 </w:t>
            </w:r>
            <w:r w:rsidR="0031702F" w:rsidRPr="00B75FD7">
              <w:rPr>
                <w:rFonts w:eastAsia="Calibri"/>
                <w:color w:val="000000"/>
                <w:sz w:val="22"/>
              </w:rPr>
              <w:t xml:space="preserve"> од.</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3. Оснащення спальних кімнат.</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Меблі – 200 </w:t>
            </w:r>
            <w:r w:rsidR="0031702F" w:rsidRPr="00B75FD7">
              <w:rPr>
                <w:rFonts w:eastAsia="Calibri"/>
                <w:color w:val="000000"/>
                <w:sz w:val="22"/>
              </w:rPr>
              <w:t xml:space="preserve"> од.</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4.  Оснащення приміщень для миття та зберігання посуду.</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Меблі – 30 </w:t>
            </w:r>
            <w:r w:rsidR="0031702F" w:rsidRPr="00B75FD7">
              <w:rPr>
                <w:rFonts w:eastAsia="Calibri"/>
                <w:color w:val="000000"/>
                <w:sz w:val="22"/>
              </w:rPr>
              <w:t xml:space="preserve"> од.</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5. Оснащення туалетних кімнат.</w:t>
            </w:r>
          </w:p>
          <w:p w:rsidR="0031702F"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Сантехнічне обладнання – 65 </w:t>
            </w:r>
            <w:r w:rsidR="0031702F" w:rsidRPr="00B75FD7">
              <w:rPr>
                <w:rFonts w:eastAsia="Calibri"/>
                <w:color w:val="000000"/>
                <w:sz w:val="22"/>
              </w:rPr>
              <w:t xml:space="preserve"> од.</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Офісні меблі для працівників закладу.</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Меблі –100 </w:t>
            </w:r>
            <w:r w:rsidR="0031702F" w:rsidRPr="00B75FD7">
              <w:rPr>
                <w:rFonts w:eastAsia="Calibri"/>
                <w:color w:val="000000"/>
                <w:sz w:val="22"/>
              </w:rPr>
              <w:t xml:space="preserve"> од.</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6. Комп'ютерна техніка – 7 </w:t>
            </w:r>
            <w:r w:rsidR="0031702F" w:rsidRPr="00B75FD7">
              <w:rPr>
                <w:rFonts w:eastAsia="Calibri"/>
                <w:color w:val="000000"/>
                <w:sz w:val="22"/>
              </w:rPr>
              <w:t xml:space="preserve"> од.</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Інтерактивний мультимедійний комплекс (інтерактивна дошка</w:t>
            </w:r>
            <w:r w:rsidR="0031702F" w:rsidRPr="00B75FD7">
              <w:rPr>
                <w:rFonts w:eastAsia="Calibri"/>
                <w:color w:val="000000"/>
                <w:sz w:val="22"/>
              </w:rPr>
              <w:t>,</w:t>
            </w:r>
            <w:r w:rsidRPr="00B75FD7">
              <w:rPr>
                <w:rFonts w:eastAsia="Calibri"/>
                <w:color w:val="000000"/>
                <w:sz w:val="22"/>
              </w:rPr>
              <w:t xml:space="preserve"> </w:t>
            </w:r>
            <w:proofErr w:type="spellStart"/>
            <w:r w:rsidRPr="00B75FD7">
              <w:rPr>
                <w:rFonts w:eastAsia="Calibri"/>
                <w:color w:val="000000"/>
                <w:sz w:val="22"/>
              </w:rPr>
              <w:t>проєктор</w:t>
            </w:r>
            <w:proofErr w:type="spellEnd"/>
            <w:r w:rsidRPr="00B75FD7">
              <w:rPr>
                <w:rFonts w:eastAsia="Calibri"/>
                <w:color w:val="000000"/>
                <w:sz w:val="22"/>
              </w:rPr>
              <w:t xml:space="preserve">, ноутбук) - 2 </w:t>
            </w:r>
            <w:r w:rsidR="0031702F" w:rsidRPr="00B75FD7">
              <w:rPr>
                <w:rFonts w:eastAsia="Calibri"/>
                <w:color w:val="000000"/>
                <w:sz w:val="22"/>
              </w:rPr>
              <w:t xml:space="preserve"> од.</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7. Оснащення музичної та спортивної зали.</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Музичний центр -3 </w:t>
            </w:r>
            <w:r w:rsidR="0031702F" w:rsidRPr="00B75FD7">
              <w:rPr>
                <w:rFonts w:eastAsia="Calibri"/>
                <w:color w:val="000000"/>
                <w:sz w:val="22"/>
              </w:rPr>
              <w:t xml:space="preserve"> од.</w:t>
            </w:r>
            <w:r w:rsidRPr="00B75FD7">
              <w:rPr>
                <w:rFonts w:eastAsia="Calibri"/>
                <w:color w:val="000000"/>
                <w:sz w:val="22"/>
              </w:rPr>
              <w:t xml:space="preserve">, </w:t>
            </w:r>
            <w:proofErr w:type="spellStart"/>
            <w:r w:rsidRPr="00B75FD7">
              <w:rPr>
                <w:rFonts w:eastAsia="Calibri"/>
                <w:color w:val="000000"/>
                <w:sz w:val="22"/>
              </w:rPr>
              <w:t>bluetooth</w:t>
            </w:r>
            <w:proofErr w:type="spellEnd"/>
            <w:r w:rsidRPr="00B75FD7">
              <w:rPr>
                <w:rFonts w:eastAsia="Calibri"/>
                <w:color w:val="000000"/>
                <w:sz w:val="22"/>
              </w:rPr>
              <w:t xml:space="preserve"> колонка -3 </w:t>
            </w:r>
            <w:r w:rsidR="0031702F" w:rsidRPr="00B75FD7">
              <w:rPr>
                <w:rFonts w:eastAsia="Calibri"/>
                <w:color w:val="000000"/>
                <w:sz w:val="22"/>
              </w:rPr>
              <w:t xml:space="preserve"> од.</w:t>
            </w:r>
            <w:r w:rsidRPr="00B75FD7">
              <w:rPr>
                <w:rFonts w:eastAsia="Calibri"/>
                <w:color w:val="000000"/>
                <w:sz w:val="22"/>
              </w:rPr>
              <w:t xml:space="preserve">, цифрове піаніно -2 </w:t>
            </w:r>
            <w:r w:rsidR="0031702F" w:rsidRPr="00B75FD7">
              <w:rPr>
                <w:rFonts w:eastAsia="Calibri"/>
                <w:color w:val="000000"/>
                <w:sz w:val="22"/>
              </w:rPr>
              <w:t xml:space="preserve"> од.</w:t>
            </w:r>
            <w:r w:rsidRPr="00B75FD7">
              <w:rPr>
                <w:rFonts w:eastAsia="Calibri"/>
                <w:color w:val="000000"/>
                <w:sz w:val="22"/>
              </w:rPr>
              <w:t xml:space="preserve">, синтезатор з підставкою - 2 </w:t>
            </w:r>
            <w:r w:rsidR="0031702F" w:rsidRPr="00B75FD7">
              <w:rPr>
                <w:rFonts w:eastAsia="Calibri"/>
                <w:color w:val="000000"/>
                <w:sz w:val="22"/>
              </w:rPr>
              <w:t xml:space="preserve"> од.</w:t>
            </w:r>
            <w:r w:rsidRPr="00B75FD7">
              <w:rPr>
                <w:rFonts w:eastAsia="Calibri"/>
                <w:color w:val="000000"/>
                <w:sz w:val="22"/>
              </w:rPr>
              <w:t xml:space="preserve"> </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Швецька стінка для спортивного залу – 4 </w:t>
            </w:r>
            <w:r w:rsidR="0031702F" w:rsidRPr="00B75FD7">
              <w:rPr>
                <w:rFonts w:eastAsia="Calibri"/>
                <w:color w:val="000000"/>
                <w:sz w:val="22"/>
              </w:rPr>
              <w:t xml:space="preserve"> од.</w:t>
            </w:r>
            <w:r w:rsidRPr="00B75FD7">
              <w:rPr>
                <w:rFonts w:eastAsia="Calibri"/>
                <w:color w:val="000000"/>
                <w:sz w:val="22"/>
              </w:rPr>
              <w:t xml:space="preserve">, мат гімнастичний – 5 </w:t>
            </w:r>
            <w:r w:rsidR="0031702F" w:rsidRPr="00B75FD7">
              <w:rPr>
                <w:rFonts w:eastAsia="Calibri"/>
                <w:color w:val="000000"/>
                <w:sz w:val="22"/>
              </w:rPr>
              <w:t xml:space="preserve"> од.</w:t>
            </w:r>
            <w:r w:rsidRPr="00B75FD7">
              <w:rPr>
                <w:rFonts w:eastAsia="Calibri"/>
                <w:color w:val="000000"/>
                <w:sz w:val="22"/>
              </w:rPr>
              <w:t xml:space="preserve">,  лава гімнастична – 4 </w:t>
            </w:r>
            <w:r w:rsidR="0031702F" w:rsidRPr="00B75FD7">
              <w:rPr>
                <w:rFonts w:eastAsia="Calibri"/>
                <w:color w:val="000000"/>
                <w:sz w:val="22"/>
              </w:rPr>
              <w:t xml:space="preserve"> од.</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8. Оснащення медичного кабінету :</w:t>
            </w:r>
          </w:p>
          <w:p w:rsidR="00F069E5" w:rsidRPr="00B75FD7" w:rsidRDefault="00F069E5" w:rsidP="0031702F">
            <w:pPr>
              <w:autoSpaceDE w:val="0"/>
              <w:autoSpaceDN w:val="0"/>
              <w:adjustRightInd w:val="0"/>
              <w:jc w:val="left"/>
              <w:rPr>
                <w:rFonts w:eastAsia="Calibri"/>
                <w:color w:val="000000"/>
                <w:sz w:val="22"/>
              </w:rPr>
            </w:pPr>
            <w:r w:rsidRPr="00B75FD7">
              <w:rPr>
                <w:rFonts w:eastAsia="Calibri"/>
                <w:color w:val="000000"/>
                <w:sz w:val="22"/>
              </w:rPr>
              <w:t xml:space="preserve">Шафа медична </w:t>
            </w:r>
            <w:proofErr w:type="spellStart"/>
            <w:r w:rsidRPr="00B75FD7">
              <w:rPr>
                <w:rFonts w:eastAsia="Calibri"/>
                <w:color w:val="000000"/>
                <w:sz w:val="22"/>
              </w:rPr>
              <w:t>двустворчата</w:t>
            </w:r>
            <w:proofErr w:type="spellEnd"/>
            <w:r w:rsidRPr="00B75FD7">
              <w:rPr>
                <w:rFonts w:eastAsia="Calibri"/>
                <w:color w:val="000000"/>
                <w:sz w:val="22"/>
              </w:rPr>
              <w:t xml:space="preserve"> - 1 </w:t>
            </w:r>
            <w:r w:rsidR="0031702F" w:rsidRPr="00B75FD7">
              <w:rPr>
                <w:rFonts w:eastAsia="Calibri"/>
                <w:color w:val="000000"/>
                <w:sz w:val="22"/>
              </w:rPr>
              <w:t xml:space="preserve"> од.</w:t>
            </w:r>
            <w:r w:rsidRPr="00B75FD7">
              <w:rPr>
                <w:rFonts w:eastAsia="Calibri"/>
                <w:color w:val="000000"/>
                <w:sz w:val="22"/>
              </w:rPr>
              <w:t xml:space="preserve">, стіл для стерильних медичних інструментів -2 </w:t>
            </w:r>
            <w:r w:rsidR="0031702F" w:rsidRPr="00B75FD7">
              <w:rPr>
                <w:rFonts w:eastAsia="Calibri"/>
                <w:color w:val="000000"/>
                <w:sz w:val="22"/>
              </w:rPr>
              <w:t xml:space="preserve"> од.</w:t>
            </w:r>
            <w:r w:rsidRPr="00B75FD7">
              <w:rPr>
                <w:rFonts w:eastAsia="Calibri"/>
                <w:color w:val="000000"/>
                <w:sz w:val="22"/>
              </w:rPr>
              <w:t xml:space="preserve">, ростомір -1 </w:t>
            </w:r>
            <w:r w:rsidR="0031702F" w:rsidRPr="00B75FD7">
              <w:rPr>
                <w:rFonts w:eastAsia="Calibri"/>
                <w:color w:val="000000"/>
                <w:sz w:val="22"/>
              </w:rPr>
              <w:t xml:space="preserve"> од.</w:t>
            </w:r>
            <w:r w:rsidRPr="00B75FD7">
              <w:rPr>
                <w:rFonts w:eastAsia="Calibri"/>
                <w:color w:val="000000"/>
                <w:sz w:val="22"/>
              </w:rPr>
              <w:t xml:space="preserve">, ваги медичні електронні -1 </w:t>
            </w:r>
            <w:r w:rsidR="0031702F" w:rsidRPr="00B75FD7">
              <w:rPr>
                <w:rFonts w:eastAsia="Calibri"/>
                <w:color w:val="000000"/>
                <w:sz w:val="22"/>
              </w:rPr>
              <w:t xml:space="preserve"> од.</w:t>
            </w:r>
            <w:r w:rsidRPr="00B75FD7">
              <w:rPr>
                <w:rFonts w:eastAsia="Calibri"/>
                <w:color w:val="000000"/>
                <w:sz w:val="22"/>
              </w:rPr>
              <w:t xml:space="preserve">, рукомийник -1 </w:t>
            </w:r>
            <w:r w:rsidR="0031702F" w:rsidRPr="00B75FD7">
              <w:rPr>
                <w:rFonts w:eastAsia="Calibri"/>
                <w:color w:val="000000"/>
                <w:sz w:val="22"/>
              </w:rPr>
              <w:t xml:space="preserve"> од.</w:t>
            </w:r>
            <w:r w:rsidRPr="00B75FD7">
              <w:rPr>
                <w:rFonts w:eastAsia="Calibri"/>
                <w:color w:val="000000"/>
                <w:sz w:val="22"/>
              </w:rPr>
              <w:t xml:space="preserve">,  холодильник -2 </w:t>
            </w:r>
            <w:r w:rsidR="0031702F" w:rsidRPr="00B75FD7">
              <w:rPr>
                <w:rFonts w:eastAsia="Calibri"/>
                <w:color w:val="000000"/>
                <w:sz w:val="22"/>
              </w:rPr>
              <w:t xml:space="preserve"> од.</w:t>
            </w:r>
            <w:r w:rsidRPr="00B75FD7">
              <w:rPr>
                <w:rFonts w:eastAsia="Calibri"/>
                <w:color w:val="000000"/>
                <w:sz w:val="22"/>
              </w:rPr>
              <w:t xml:space="preserve">, кушетка для огляду дітей - 1 </w:t>
            </w:r>
            <w:r w:rsidR="0031702F" w:rsidRPr="00B75FD7">
              <w:rPr>
                <w:rFonts w:eastAsia="Calibri"/>
                <w:color w:val="000000"/>
                <w:sz w:val="22"/>
              </w:rPr>
              <w:t xml:space="preserve"> од.</w:t>
            </w:r>
            <w:r w:rsidRPr="00B75FD7">
              <w:rPr>
                <w:rFonts w:eastAsia="Calibri"/>
                <w:color w:val="000000"/>
                <w:sz w:val="22"/>
              </w:rPr>
              <w:t xml:space="preserve">.                                                                                                            9. Оснащення приміщення пральні : пральні машини - 2 </w:t>
            </w:r>
            <w:r w:rsidR="0031702F" w:rsidRPr="00B75FD7">
              <w:rPr>
                <w:rFonts w:eastAsia="Calibri"/>
                <w:color w:val="000000"/>
                <w:sz w:val="22"/>
              </w:rPr>
              <w:t xml:space="preserve"> од.</w:t>
            </w:r>
            <w:r w:rsidRPr="00B75FD7">
              <w:rPr>
                <w:rFonts w:eastAsia="Calibri"/>
                <w:color w:val="000000"/>
                <w:sz w:val="22"/>
              </w:rPr>
              <w:t xml:space="preserve">,  сушильний     автомат -1 </w:t>
            </w:r>
            <w:r w:rsidR="0031702F" w:rsidRPr="00B75FD7">
              <w:rPr>
                <w:rFonts w:eastAsia="Calibri"/>
                <w:color w:val="000000"/>
                <w:sz w:val="22"/>
              </w:rPr>
              <w:t xml:space="preserve"> од.</w:t>
            </w:r>
            <w:r w:rsidRPr="00B75FD7">
              <w:rPr>
                <w:rFonts w:eastAsia="Calibri"/>
                <w:color w:val="000000"/>
                <w:sz w:val="22"/>
              </w:rPr>
              <w:t xml:space="preserve">, праска -2 </w:t>
            </w:r>
            <w:r w:rsidR="0031702F" w:rsidRPr="00B75FD7">
              <w:rPr>
                <w:rFonts w:eastAsia="Calibri"/>
                <w:color w:val="000000"/>
                <w:sz w:val="22"/>
              </w:rPr>
              <w:t xml:space="preserve"> од.</w:t>
            </w:r>
            <w:r w:rsidRPr="00B75FD7">
              <w:rPr>
                <w:rFonts w:eastAsia="Calibri"/>
                <w:color w:val="000000"/>
                <w:sz w:val="22"/>
              </w:rPr>
              <w:t xml:space="preserve">, ванна - 1 </w:t>
            </w:r>
            <w:r w:rsidR="0031702F" w:rsidRPr="00B75FD7">
              <w:rPr>
                <w:rFonts w:eastAsia="Calibri"/>
                <w:color w:val="000000"/>
                <w:sz w:val="22"/>
              </w:rPr>
              <w:t xml:space="preserve"> од.</w:t>
            </w:r>
            <w:r w:rsidRPr="00B75FD7">
              <w:rPr>
                <w:rFonts w:eastAsia="Calibri"/>
                <w:color w:val="000000"/>
                <w:sz w:val="22"/>
              </w:rPr>
              <w:t xml:space="preserve">, прасувальна дошка -2 </w:t>
            </w:r>
            <w:r w:rsidR="0031702F" w:rsidRPr="00B75FD7">
              <w:rPr>
                <w:rFonts w:eastAsia="Calibri"/>
                <w:color w:val="000000"/>
                <w:sz w:val="22"/>
              </w:rPr>
              <w:t xml:space="preserve"> од.</w:t>
            </w:r>
            <w:r w:rsidRPr="00B75FD7">
              <w:rPr>
                <w:rFonts w:eastAsia="Calibri"/>
                <w:color w:val="000000"/>
                <w:sz w:val="22"/>
              </w:rPr>
              <w:t xml:space="preserve">, </w:t>
            </w:r>
            <w:proofErr w:type="spellStart"/>
            <w:r w:rsidRPr="00B75FD7">
              <w:rPr>
                <w:rFonts w:eastAsia="Calibri"/>
                <w:color w:val="000000"/>
                <w:sz w:val="22"/>
              </w:rPr>
              <w:t>сушилка</w:t>
            </w:r>
            <w:proofErr w:type="spellEnd"/>
            <w:r w:rsidRPr="00B75FD7">
              <w:rPr>
                <w:rFonts w:eastAsia="Calibri"/>
                <w:color w:val="000000"/>
                <w:sz w:val="22"/>
              </w:rPr>
              <w:t xml:space="preserve"> для білизни -2 </w:t>
            </w:r>
            <w:r w:rsidR="0031702F" w:rsidRPr="00B75FD7">
              <w:rPr>
                <w:rFonts w:eastAsia="Calibri"/>
                <w:color w:val="000000"/>
                <w:sz w:val="22"/>
              </w:rPr>
              <w:t xml:space="preserve"> од.</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10. Оснащення приміщення каштеляна:  швейна машина -1 </w:t>
            </w:r>
            <w:r w:rsidR="0031702F" w:rsidRPr="00B75FD7">
              <w:rPr>
                <w:rFonts w:eastAsia="Calibri"/>
                <w:color w:val="000000"/>
                <w:sz w:val="22"/>
              </w:rPr>
              <w:t xml:space="preserve"> од.</w:t>
            </w:r>
            <w:r w:rsidRPr="00B75FD7">
              <w:rPr>
                <w:rFonts w:eastAsia="Calibri"/>
                <w:color w:val="000000"/>
                <w:sz w:val="22"/>
              </w:rPr>
              <w:t xml:space="preserve">, стелажі для білизни - 4 </w:t>
            </w:r>
            <w:r w:rsidR="0031702F" w:rsidRPr="00B75FD7">
              <w:rPr>
                <w:rFonts w:eastAsia="Calibri"/>
                <w:color w:val="000000"/>
                <w:sz w:val="22"/>
              </w:rPr>
              <w:t xml:space="preserve"> од.</w:t>
            </w:r>
            <w:r w:rsidRPr="00B75FD7">
              <w:rPr>
                <w:rFonts w:eastAsia="Calibri"/>
                <w:color w:val="000000"/>
                <w:sz w:val="22"/>
              </w:rPr>
              <w:t xml:space="preserve"> </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11. Відновлення діяльності Ясел-садка № 22.</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lastRenderedPageBreak/>
              <w:t xml:space="preserve">12.  Надання </w:t>
            </w:r>
            <w:r w:rsidRPr="00B75FD7">
              <w:rPr>
                <w:rFonts w:eastAsia="Arial"/>
                <w:sz w:val="22"/>
              </w:rPr>
              <w:t xml:space="preserve"> якісних освітніх послуг, які відповідають нормам сучасності.</w:t>
            </w:r>
          </w:p>
        </w:tc>
      </w:tr>
      <w:tr w:rsidR="00F069E5" w:rsidRPr="00B75FD7" w:rsidTr="00F069E5">
        <w:trPr>
          <w:trHeight w:val="404"/>
        </w:trPr>
        <w:tc>
          <w:tcPr>
            <w:tcW w:w="1448" w:type="dxa"/>
            <w:vMerge w:val="restart"/>
            <w:tcBorders>
              <w:top w:val="nil"/>
              <w:left w:val="nil"/>
              <w:right w:val="nil"/>
            </w:tcBorders>
          </w:tcPr>
          <w:p w:rsidR="00F069E5" w:rsidRPr="00B75FD7" w:rsidRDefault="00F069E5" w:rsidP="00F069E5">
            <w:pPr>
              <w:autoSpaceDE w:val="0"/>
              <w:autoSpaceDN w:val="0"/>
              <w:adjustRightInd w:val="0"/>
              <w:jc w:val="right"/>
              <w:rPr>
                <w:rFonts w:eastAsia="Calibri"/>
                <w:color w:val="000000"/>
                <w:sz w:val="22"/>
              </w:rPr>
            </w:pPr>
          </w:p>
        </w:tc>
        <w:tc>
          <w:tcPr>
            <w:tcW w:w="2833" w:type="dxa"/>
            <w:vMerge w:val="restart"/>
            <w:tcBorders>
              <w:top w:val="single" w:sz="6" w:space="0" w:color="auto"/>
              <w:left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r w:rsidRPr="00B75FD7">
              <w:rPr>
                <w:rFonts w:eastAsia="Calibri"/>
                <w:b/>
                <w:color w:val="000000"/>
                <w:sz w:val="22"/>
              </w:rPr>
              <w:t>Орієнтовний обсяг та джерела фінансування тис. гривень</w:t>
            </w:r>
          </w:p>
        </w:tc>
        <w:tc>
          <w:tcPr>
            <w:tcW w:w="1842" w:type="dxa"/>
            <w:vMerge w:val="restart"/>
            <w:tcBorders>
              <w:top w:val="single" w:sz="6" w:space="0" w:color="auto"/>
              <w:left w:val="single" w:sz="6" w:space="0" w:color="auto"/>
              <w:right w:val="single" w:sz="6" w:space="0" w:color="auto"/>
            </w:tcBorders>
          </w:tcPr>
          <w:p w:rsidR="00F069E5" w:rsidRPr="00B75FD7" w:rsidRDefault="00F069E5" w:rsidP="00F069E5">
            <w:pPr>
              <w:autoSpaceDE w:val="0"/>
              <w:autoSpaceDN w:val="0"/>
              <w:adjustRightInd w:val="0"/>
              <w:jc w:val="center"/>
              <w:rPr>
                <w:rFonts w:eastAsia="Calibri"/>
                <w:b/>
                <w:color w:val="000000"/>
                <w:sz w:val="22"/>
              </w:rPr>
            </w:pPr>
            <w:r w:rsidRPr="00B75FD7">
              <w:rPr>
                <w:rFonts w:eastAsia="Calibri"/>
                <w:b/>
                <w:color w:val="000000"/>
                <w:sz w:val="22"/>
              </w:rPr>
              <w:t>Державний бюджет</w:t>
            </w:r>
          </w:p>
        </w:tc>
        <w:tc>
          <w:tcPr>
            <w:tcW w:w="1420" w:type="dxa"/>
            <w:vMerge w:val="restart"/>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jc w:val="center"/>
              <w:rPr>
                <w:rFonts w:eastAsia="Calibri"/>
                <w:b/>
                <w:color w:val="000000"/>
                <w:sz w:val="22"/>
              </w:rPr>
            </w:pPr>
            <w:r w:rsidRPr="00B75FD7">
              <w:rPr>
                <w:rFonts w:eastAsia="Calibri"/>
                <w:b/>
                <w:color w:val="000000"/>
                <w:sz w:val="22"/>
              </w:rPr>
              <w:t>Місцевий бюджет</w:t>
            </w:r>
          </w:p>
        </w:tc>
        <w:tc>
          <w:tcPr>
            <w:tcW w:w="2412" w:type="dxa"/>
            <w:gridSpan w:val="5"/>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jc w:val="center"/>
              <w:rPr>
                <w:rFonts w:eastAsia="Calibri"/>
                <w:b/>
                <w:color w:val="000000"/>
                <w:sz w:val="22"/>
              </w:rPr>
            </w:pPr>
            <w:r w:rsidRPr="00B75FD7">
              <w:rPr>
                <w:rFonts w:eastAsia="Calibri"/>
                <w:b/>
                <w:color w:val="000000"/>
                <w:sz w:val="22"/>
              </w:rPr>
              <w:t>Інші джерела</w:t>
            </w:r>
          </w:p>
        </w:tc>
        <w:tc>
          <w:tcPr>
            <w:tcW w:w="1415" w:type="dxa"/>
            <w:tcBorders>
              <w:top w:val="single" w:sz="6" w:space="0" w:color="auto"/>
              <w:left w:val="single" w:sz="6" w:space="0" w:color="auto"/>
              <w:right w:val="single" w:sz="6" w:space="0" w:color="auto"/>
            </w:tcBorders>
          </w:tcPr>
          <w:p w:rsidR="00F069E5" w:rsidRPr="00B75FD7" w:rsidRDefault="00F069E5" w:rsidP="00F069E5">
            <w:pPr>
              <w:autoSpaceDE w:val="0"/>
              <w:autoSpaceDN w:val="0"/>
              <w:adjustRightInd w:val="0"/>
              <w:jc w:val="center"/>
              <w:rPr>
                <w:rFonts w:eastAsia="Calibri"/>
                <w:b/>
                <w:color w:val="000000"/>
                <w:sz w:val="22"/>
              </w:rPr>
            </w:pPr>
            <w:r w:rsidRPr="00B75FD7">
              <w:rPr>
                <w:rFonts w:eastAsia="Calibri"/>
                <w:b/>
                <w:color w:val="000000"/>
                <w:sz w:val="22"/>
              </w:rPr>
              <w:t>Всього</w:t>
            </w:r>
          </w:p>
        </w:tc>
      </w:tr>
      <w:tr w:rsidR="00F069E5" w:rsidRPr="00B75FD7" w:rsidTr="00F069E5">
        <w:trPr>
          <w:trHeight w:val="269"/>
        </w:trPr>
        <w:tc>
          <w:tcPr>
            <w:tcW w:w="1448" w:type="dxa"/>
            <w:vMerge/>
            <w:tcBorders>
              <w:top w:val="nil"/>
              <w:left w:val="nil"/>
              <w:right w:val="nil"/>
            </w:tcBorders>
          </w:tcPr>
          <w:p w:rsidR="00F069E5" w:rsidRPr="00B75FD7" w:rsidRDefault="00F069E5" w:rsidP="00F069E5">
            <w:pPr>
              <w:autoSpaceDE w:val="0"/>
              <w:autoSpaceDN w:val="0"/>
              <w:adjustRightInd w:val="0"/>
              <w:jc w:val="right"/>
              <w:rPr>
                <w:rFonts w:eastAsia="Calibri"/>
                <w:color w:val="000000"/>
                <w:sz w:val="22"/>
              </w:rPr>
            </w:pPr>
          </w:p>
        </w:tc>
        <w:tc>
          <w:tcPr>
            <w:tcW w:w="2833" w:type="dxa"/>
            <w:vMerge/>
            <w:tcBorders>
              <w:top w:val="single" w:sz="6" w:space="0" w:color="auto"/>
              <w:left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p>
        </w:tc>
        <w:tc>
          <w:tcPr>
            <w:tcW w:w="1842" w:type="dxa"/>
            <w:vMerge/>
            <w:tcBorders>
              <w:top w:val="single" w:sz="6" w:space="0" w:color="auto"/>
              <w:left w:val="single" w:sz="6" w:space="0" w:color="auto"/>
              <w:right w:val="single" w:sz="6" w:space="0" w:color="auto"/>
            </w:tcBorders>
          </w:tcPr>
          <w:p w:rsidR="00F069E5" w:rsidRPr="00B75FD7" w:rsidRDefault="00F069E5" w:rsidP="00F069E5">
            <w:pPr>
              <w:autoSpaceDE w:val="0"/>
              <w:autoSpaceDN w:val="0"/>
              <w:adjustRightInd w:val="0"/>
              <w:jc w:val="center"/>
              <w:rPr>
                <w:rFonts w:eastAsia="Calibri"/>
                <w:color w:val="000000"/>
                <w:sz w:val="22"/>
              </w:rPr>
            </w:pPr>
          </w:p>
        </w:tc>
        <w:tc>
          <w:tcPr>
            <w:tcW w:w="1420" w:type="dxa"/>
            <w:vMerge/>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jc w:val="center"/>
              <w:rPr>
                <w:rFonts w:eastAsia="Calibri"/>
                <w:color w:val="000000"/>
                <w:sz w:val="22"/>
              </w:rPr>
            </w:pPr>
          </w:p>
        </w:tc>
        <w:tc>
          <w:tcPr>
            <w:tcW w:w="975" w:type="dxa"/>
            <w:gridSpan w:val="2"/>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jc w:val="center"/>
              <w:rPr>
                <w:rFonts w:eastAsia="Calibri"/>
                <w:b/>
                <w:color w:val="000000"/>
                <w:sz w:val="22"/>
              </w:rPr>
            </w:pPr>
            <w:r w:rsidRPr="00B75FD7">
              <w:rPr>
                <w:rFonts w:eastAsia="Calibri"/>
                <w:b/>
                <w:color w:val="000000"/>
                <w:sz w:val="22"/>
              </w:rPr>
              <w:t>Обсяг</w:t>
            </w:r>
          </w:p>
        </w:tc>
        <w:tc>
          <w:tcPr>
            <w:tcW w:w="1437" w:type="dxa"/>
            <w:gridSpan w:val="3"/>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jc w:val="center"/>
              <w:rPr>
                <w:rFonts w:eastAsia="Calibri"/>
                <w:b/>
                <w:color w:val="000000"/>
                <w:sz w:val="22"/>
              </w:rPr>
            </w:pPr>
            <w:r w:rsidRPr="00B75FD7">
              <w:rPr>
                <w:rFonts w:eastAsia="Calibri"/>
                <w:b/>
                <w:color w:val="000000"/>
                <w:sz w:val="22"/>
              </w:rPr>
              <w:t>Назва джерела</w:t>
            </w:r>
          </w:p>
        </w:tc>
        <w:tc>
          <w:tcPr>
            <w:tcW w:w="1415" w:type="dxa"/>
            <w:tcBorders>
              <w:top w:val="single" w:sz="6" w:space="0" w:color="auto"/>
              <w:left w:val="single" w:sz="6" w:space="0" w:color="auto"/>
              <w:right w:val="single" w:sz="6" w:space="0" w:color="auto"/>
            </w:tcBorders>
          </w:tcPr>
          <w:p w:rsidR="00F069E5" w:rsidRPr="00B75FD7" w:rsidRDefault="00566192" w:rsidP="00F069E5">
            <w:pPr>
              <w:autoSpaceDE w:val="0"/>
              <w:autoSpaceDN w:val="0"/>
              <w:adjustRightInd w:val="0"/>
              <w:jc w:val="center"/>
              <w:rPr>
                <w:rFonts w:eastAsia="Calibri"/>
                <w:color w:val="000000"/>
                <w:sz w:val="22"/>
              </w:rPr>
            </w:pPr>
            <w:r w:rsidRPr="00B75FD7">
              <w:rPr>
                <w:rFonts w:eastAsia="Calibri"/>
                <w:color w:val="000000"/>
                <w:sz w:val="22"/>
                <w:lang w:val="ru-RU"/>
              </w:rPr>
              <w:t>2</w:t>
            </w:r>
            <w:r w:rsidR="00F069E5" w:rsidRPr="00B75FD7">
              <w:rPr>
                <w:rFonts w:eastAsia="Calibri"/>
                <w:color w:val="000000"/>
                <w:sz w:val="22"/>
              </w:rPr>
              <w:t> 000,0</w:t>
            </w:r>
          </w:p>
        </w:tc>
      </w:tr>
      <w:tr w:rsidR="00566192" w:rsidRPr="00B75FD7" w:rsidTr="00F069E5">
        <w:trPr>
          <w:trHeight w:val="1335"/>
        </w:trPr>
        <w:tc>
          <w:tcPr>
            <w:tcW w:w="1448" w:type="dxa"/>
            <w:vMerge/>
            <w:tcBorders>
              <w:left w:val="nil"/>
              <w:bottom w:val="nil"/>
              <w:right w:val="nil"/>
            </w:tcBorders>
          </w:tcPr>
          <w:p w:rsidR="00566192" w:rsidRPr="00B75FD7" w:rsidRDefault="00566192" w:rsidP="00566192">
            <w:pPr>
              <w:autoSpaceDE w:val="0"/>
              <w:autoSpaceDN w:val="0"/>
              <w:adjustRightInd w:val="0"/>
              <w:jc w:val="right"/>
              <w:rPr>
                <w:rFonts w:eastAsia="Calibri"/>
                <w:color w:val="000000"/>
                <w:sz w:val="22"/>
              </w:rPr>
            </w:pPr>
          </w:p>
        </w:tc>
        <w:tc>
          <w:tcPr>
            <w:tcW w:w="2833" w:type="dxa"/>
            <w:vMerge/>
            <w:tcBorders>
              <w:left w:val="single" w:sz="6" w:space="0" w:color="auto"/>
              <w:bottom w:val="single" w:sz="6" w:space="0" w:color="auto"/>
              <w:right w:val="single" w:sz="6" w:space="0" w:color="auto"/>
            </w:tcBorders>
            <w:shd w:val="clear" w:color="00FFFF" w:fill="C6D9F1" w:themeFill="text2" w:themeFillTint="33"/>
          </w:tcPr>
          <w:p w:rsidR="00566192" w:rsidRPr="00B75FD7" w:rsidRDefault="00566192" w:rsidP="00566192">
            <w:pPr>
              <w:autoSpaceDE w:val="0"/>
              <w:autoSpaceDN w:val="0"/>
              <w:adjustRightInd w:val="0"/>
              <w:rPr>
                <w:rFonts w:eastAsia="Calibri"/>
                <w:b/>
                <w:color w:val="000000"/>
                <w:sz w:val="22"/>
              </w:rPr>
            </w:pPr>
          </w:p>
        </w:tc>
        <w:tc>
          <w:tcPr>
            <w:tcW w:w="1842" w:type="dxa"/>
            <w:tcBorders>
              <w:top w:val="single" w:sz="6" w:space="0" w:color="auto"/>
              <w:left w:val="single" w:sz="6" w:space="0" w:color="auto"/>
              <w:bottom w:val="single" w:sz="6" w:space="0" w:color="auto"/>
              <w:right w:val="single" w:sz="6" w:space="0" w:color="auto"/>
            </w:tcBorders>
          </w:tcPr>
          <w:p w:rsidR="00566192" w:rsidRPr="00B75FD7" w:rsidRDefault="00566192" w:rsidP="00566192">
            <w:pPr>
              <w:autoSpaceDE w:val="0"/>
              <w:autoSpaceDN w:val="0"/>
              <w:adjustRightInd w:val="0"/>
              <w:jc w:val="center"/>
              <w:rPr>
                <w:rFonts w:eastAsia="Calibri"/>
                <w:color w:val="000000"/>
                <w:sz w:val="22"/>
              </w:rPr>
            </w:pPr>
            <w:r w:rsidRPr="00B75FD7">
              <w:rPr>
                <w:rFonts w:eastAsia="Calibri"/>
                <w:color w:val="000000"/>
                <w:sz w:val="22"/>
                <w:lang w:val="ru-RU"/>
              </w:rPr>
              <w:t>14</w:t>
            </w:r>
            <w:r w:rsidRPr="00B75FD7">
              <w:rPr>
                <w:rFonts w:eastAsia="Calibri"/>
                <w:color w:val="000000"/>
                <w:sz w:val="22"/>
              </w:rPr>
              <w:t>00,0</w:t>
            </w:r>
          </w:p>
        </w:tc>
        <w:tc>
          <w:tcPr>
            <w:tcW w:w="1420" w:type="dxa"/>
            <w:tcBorders>
              <w:top w:val="single" w:sz="6" w:space="0" w:color="auto"/>
              <w:left w:val="single" w:sz="6" w:space="0" w:color="auto"/>
              <w:bottom w:val="single" w:sz="6" w:space="0" w:color="auto"/>
              <w:right w:val="single" w:sz="6" w:space="0" w:color="auto"/>
            </w:tcBorders>
          </w:tcPr>
          <w:p w:rsidR="00566192" w:rsidRPr="00B75FD7" w:rsidRDefault="00566192" w:rsidP="00566192">
            <w:pPr>
              <w:autoSpaceDE w:val="0"/>
              <w:autoSpaceDN w:val="0"/>
              <w:adjustRightInd w:val="0"/>
              <w:rPr>
                <w:rFonts w:eastAsia="Calibri"/>
                <w:color w:val="000000"/>
                <w:sz w:val="22"/>
              </w:rPr>
            </w:pPr>
          </w:p>
        </w:tc>
        <w:tc>
          <w:tcPr>
            <w:tcW w:w="996" w:type="dxa"/>
            <w:gridSpan w:val="3"/>
            <w:tcBorders>
              <w:top w:val="single" w:sz="6" w:space="0" w:color="auto"/>
              <w:left w:val="single" w:sz="6" w:space="0" w:color="auto"/>
              <w:bottom w:val="single" w:sz="6" w:space="0" w:color="auto"/>
              <w:right w:val="single" w:sz="6" w:space="0" w:color="auto"/>
            </w:tcBorders>
          </w:tcPr>
          <w:p w:rsidR="00566192" w:rsidRPr="00B75FD7" w:rsidRDefault="00566192" w:rsidP="00566192">
            <w:pPr>
              <w:autoSpaceDE w:val="0"/>
              <w:autoSpaceDN w:val="0"/>
              <w:adjustRightInd w:val="0"/>
              <w:rPr>
                <w:rFonts w:eastAsia="Calibri"/>
                <w:color w:val="000000"/>
                <w:sz w:val="22"/>
              </w:rPr>
            </w:pPr>
            <w:r w:rsidRPr="00B75FD7">
              <w:rPr>
                <w:rFonts w:eastAsia="Calibri"/>
                <w:color w:val="000000"/>
                <w:sz w:val="22"/>
                <w:lang w:val="ru-RU"/>
              </w:rPr>
              <w:t>6</w:t>
            </w:r>
            <w:r w:rsidRPr="00B75FD7">
              <w:rPr>
                <w:rFonts w:eastAsia="Calibri"/>
                <w:color w:val="000000"/>
                <w:sz w:val="22"/>
              </w:rPr>
              <w:t>00,0</w:t>
            </w:r>
          </w:p>
        </w:tc>
        <w:tc>
          <w:tcPr>
            <w:tcW w:w="1416" w:type="dxa"/>
            <w:gridSpan w:val="2"/>
            <w:tcBorders>
              <w:top w:val="single" w:sz="6" w:space="0" w:color="auto"/>
              <w:left w:val="single" w:sz="6" w:space="0" w:color="auto"/>
              <w:bottom w:val="single" w:sz="6" w:space="0" w:color="auto"/>
              <w:right w:val="single" w:sz="6" w:space="0" w:color="auto"/>
            </w:tcBorders>
          </w:tcPr>
          <w:p w:rsidR="00566192" w:rsidRPr="00B75FD7" w:rsidRDefault="00566192" w:rsidP="00566192">
            <w:pPr>
              <w:autoSpaceDE w:val="0"/>
              <w:autoSpaceDN w:val="0"/>
              <w:adjustRightInd w:val="0"/>
              <w:rPr>
                <w:rFonts w:eastAsia="Calibri"/>
                <w:color w:val="000000"/>
                <w:sz w:val="22"/>
              </w:rPr>
            </w:pPr>
            <w:r w:rsidRPr="00B75FD7">
              <w:rPr>
                <w:sz w:val="22"/>
              </w:rPr>
              <w:t>Міжнародні інвестиції, кошти приватних осіб</w:t>
            </w:r>
          </w:p>
        </w:tc>
        <w:tc>
          <w:tcPr>
            <w:tcW w:w="1415" w:type="dxa"/>
            <w:tcBorders>
              <w:left w:val="single" w:sz="6" w:space="0" w:color="auto"/>
              <w:bottom w:val="single" w:sz="6" w:space="0" w:color="auto"/>
              <w:right w:val="single" w:sz="6" w:space="0" w:color="auto"/>
            </w:tcBorders>
          </w:tcPr>
          <w:p w:rsidR="00566192" w:rsidRPr="00B75FD7" w:rsidRDefault="00566192" w:rsidP="00566192">
            <w:pPr>
              <w:autoSpaceDE w:val="0"/>
              <w:autoSpaceDN w:val="0"/>
              <w:adjustRightInd w:val="0"/>
              <w:rPr>
                <w:rFonts w:eastAsia="Calibri"/>
                <w:color w:val="000000"/>
                <w:sz w:val="22"/>
              </w:rPr>
            </w:pPr>
          </w:p>
        </w:tc>
      </w:tr>
    </w:tbl>
    <w:p w:rsidR="00F069E5" w:rsidRPr="00B75FD7" w:rsidRDefault="00F069E5" w:rsidP="00E33AAA">
      <w:pPr>
        <w:tabs>
          <w:tab w:val="left" w:pos="5290"/>
        </w:tabs>
        <w:rPr>
          <w:b/>
          <w:sz w:val="22"/>
          <w:szCs w:val="22"/>
        </w:rPr>
      </w:pPr>
    </w:p>
    <w:p w:rsidR="00F069E5" w:rsidRPr="00B75FD7" w:rsidRDefault="00F069E5" w:rsidP="00E33AAA">
      <w:pPr>
        <w:tabs>
          <w:tab w:val="left" w:pos="5290"/>
        </w:tabs>
        <w:rPr>
          <w:b/>
          <w:sz w:val="22"/>
          <w:szCs w:val="22"/>
        </w:rPr>
      </w:pPr>
    </w:p>
    <w:tbl>
      <w:tblPr>
        <w:tblpPr w:leftFromText="180" w:rightFromText="180" w:vertAnchor="text" w:horzAnchor="page" w:tblpX="1" w:tblpY="123"/>
        <w:tblW w:w="11285" w:type="dxa"/>
        <w:tblLayout w:type="fixed"/>
        <w:tblCellMar>
          <w:left w:w="30" w:type="dxa"/>
          <w:right w:w="30" w:type="dxa"/>
        </w:tblCellMar>
        <w:tblLook w:val="0000" w:firstRow="0" w:lastRow="0" w:firstColumn="0" w:lastColumn="0" w:noHBand="0" w:noVBand="0"/>
      </w:tblPr>
      <w:tblGrid>
        <w:gridCol w:w="1448"/>
        <w:gridCol w:w="2833"/>
        <w:gridCol w:w="1908"/>
        <w:gridCol w:w="1212"/>
        <w:gridCol w:w="230"/>
        <w:gridCol w:w="902"/>
        <w:gridCol w:w="6"/>
        <w:gridCol w:w="1556"/>
        <w:gridCol w:w="1190"/>
      </w:tblGrid>
      <w:tr w:rsidR="00F069E5" w:rsidRPr="00B75FD7" w:rsidTr="00F069E5">
        <w:trPr>
          <w:trHeight w:val="555"/>
        </w:trPr>
        <w:tc>
          <w:tcPr>
            <w:tcW w:w="1448" w:type="dxa"/>
            <w:tcBorders>
              <w:top w:val="nil"/>
              <w:left w:val="nil"/>
              <w:bottom w:val="nil"/>
              <w:right w:val="nil"/>
            </w:tcBorders>
          </w:tcPr>
          <w:p w:rsidR="00F069E5" w:rsidRPr="00B75FD7" w:rsidRDefault="00F069E5" w:rsidP="00F069E5">
            <w:pPr>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r w:rsidRPr="00B75FD7">
              <w:rPr>
                <w:rFonts w:eastAsia="Calibri"/>
                <w:b/>
                <w:color w:val="000000"/>
                <w:sz w:val="22"/>
              </w:rPr>
              <w:t>Оперативна ціль/завдання</w:t>
            </w:r>
          </w:p>
        </w:tc>
        <w:tc>
          <w:tcPr>
            <w:tcW w:w="7004" w:type="dxa"/>
            <w:gridSpan w:val="7"/>
            <w:tcBorders>
              <w:top w:val="single" w:sz="6" w:space="0" w:color="auto"/>
              <w:left w:val="single" w:sz="6" w:space="0" w:color="auto"/>
              <w:bottom w:val="single" w:sz="6" w:space="0" w:color="auto"/>
              <w:right w:val="single" w:sz="6" w:space="0" w:color="auto"/>
            </w:tcBorders>
          </w:tcPr>
          <w:p w:rsidR="00F069E5" w:rsidRPr="00B75FD7" w:rsidRDefault="00F069E5" w:rsidP="00F069E5">
            <w:pPr>
              <w:pStyle w:val="a7"/>
              <w:ind w:left="0"/>
              <w:rPr>
                <w:rFonts w:eastAsia="Calibri"/>
                <w:color w:val="000000"/>
                <w:sz w:val="22"/>
              </w:rPr>
            </w:pPr>
            <w:r w:rsidRPr="00B75FD7">
              <w:rPr>
                <w:color w:val="222222"/>
                <w:sz w:val="22"/>
                <w:shd w:val="clear" w:color="auto" w:fill="FFFFFF"/>
              </w:rPr>
              <w:t>Людський розвиток через інновації управління та довіру до влади. Формування сучасного інклюзивного </w:t>
            </w:r>
            <w:proofErr w:type="spellStart"/>
            <w:r w:rsidRPr="00B75FD7">
              <w:rPr>
                <w:color w:val="222222"/>
                <w:sz w:val="22"/>
                <w:shd w:val="clear" w:color="auto" w:fill="FFFFFF"/>
              </w:rPr>
              <w:t>освітньо</w:t>
            </w:r>
            <w:proofErr w:type="spellEnd"/>
            <w:r w:rsidRPr="00B75FD7">
              <w:rPr>
                <w:color w:val="222222"/>
                <w:sz w:val="22"/>
                <w:shd w:val="clear" w:color="auto" w:fill="FFFFFF"/>
              </w:rPr>
              <w:t>-культурного та спортивного простору для розвитку</w:t>
            </w:r>
          </w:p>
        </w:tc>
      </w:tr>
      <w:tr w:rsidR="00F069E5" w:rsidRPr="00B75FD7" w:rsidTr="00F069E5">
        <w:trPr>
          <w:trHeight w:val="691"/>
        </w:trPr>
        <w:tc>
          <w:tcPr>
            <w:tcW w:w="1448" w:type="dxa"/>
            <w:tcBorders>
              <w:top w:val="nil"/>
              <w:left w:val="nil"/>
              <w:bottom w:val="nil"/>
              <w:right w:val="nil"/>
            </w:tcBorders>
          </w:tcPr>
          <w:p w:rsidR="00F069E5" w:rsidRPr="00B75FD7" w:rsidRDefault="00F069E5"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r w:rsidRPr="00B75FD7">
              <w:rPr>
                <w:rFonts w:eastAsia="Calibri"/>
                <w:b/>
                <w:color w:val="000000"/>
                <w:sz w:val="22"/>
              </w:rPr>
              <w:t>Назва проекту:</w:t>
            </w:r>
          </w:p>
        </w:tc>
        <w:tc>
          <w:tcPr>
            <w:tcW w:w="7004" w:type="dxa"/>
            <w:gridSpan w:val="7"/>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Капітальний ремонт із впровадженням комплексних заходів з </w:t>
            </w:r>
            <w:proofErr w:type="spellStart"/>
            <w:r w:rsidRPr="00B75FD7">
              <w:rPr>
                <w:rFonts w:eastAsia="Calibri"/>
                <w:color w:val="000000"/>
                <w:sz w:val="22"/>
              </w:rPr>
              <w:t>теплореновації</w:t>
            </w:r>
            <w:proofErr w:type="spellEnd"/>
            <w:r w:rsidRPr="00B75FD7">
              <w:rPr>
                <w:rFonts w:eastAsia="Calibri"/>
                <w:color w:val="000000"/>
                <w:sz w:val="22"/>
              </w:rPr>
              <w:t xml:space="preserve"> будівлі та приміщень Ясел-садка № 22 міста Сєвєродонецька Луганської області, за </w:t>
            </w:r>
            <w:proofErr w:type="spellStart"/>
            <w:r w:rsidRPr="00B75FD7">
              <w:rPr>
                <w:rFonts w:eastAsia="Calibri"/>
                <w:color w:val="000000"/>
                <w:sz w:val="22"/>
              </w:rPr>
              <w:t>адресою</w:t>
            </w:r>
            <w:proofErr w:type="spellEnd"/>
            <w:r w:rsidRPr="00B75FD7">
              <w:rPr>
                <w:rFonts w:eastAsia="Calibri"/>
                <w:color w:val="000000"/>
                <w:sz w:val="22"/>
              </w:rPr>
              <w:t>: 93400, Луганська область, Сєвєродонецький район, м. Сєвєродонецьк, проспект Космонавтів, буд. 6-а.</w:t>
            </w:r>
          </w:p>
        </w:tc>
      </w:tr>
      <w:tr w:rsidR="00F069E5" w:rsidRPr="00B75FD7" w:rsidTr="00F069E5">
        <w:trPr>
          <w:trHeight w:val="1109"/>
        </w:trPr>
        <w:tc>
          <w:tcPr>
            <w:tcW w:w="1448" w:type="dxa"/>
            <w:tcBorders>
              <w:top w:val="nil"/>
              <w:left w:val="nil"/>
              <w:bottom w:val="nil"/>
              <w:right w:val="nil"/>
            </w:tcBorders>
          </w:tcPr>
          <w:p w:rsidR="00F069E5" w:rsidRPr="00B75FD7" w:rsidRDefault="00F069E5"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r w:rsidRPr="00B75FD7">
              <w:rPr>
                <w:rFonts w:eastAsia="Calibri"/>
                <w:b/>
                <w:color w:val="000000"/>
                <w:sz w:val="22"/>
              </w:rPr>
              <w:t>Ціль проекту</w:t>
            </w:r>
          </w:p>
        </w:tc>
        <w:tc>
          <w:tcPr>
            <w:tcW w:w="7004" w:type="dxa"/>
            <w:gridSpan w:val="7"/>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Створення 200 місць для дошкільної освіти дітей.</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Забезпечення реалізації права дітей, у тому числі дітей з особливими освітніми потребами, на доступність та  здобуття дошкільної освіти. </w:t>
            </w:r>
          </w:p>
          <w:p w:rsidR="00F069E5" w:rsidRPr="00B75FD7" w:rsidRDefault="00F069E5" w:rsidP="007D73BB">
            <w:pPr>
              <w:autoSpaceDE w:val="0"/>
              <w:autoSpaceDN w:val="0"/>
              <w:adjustRightInd w:val="0"/>
              <w:rPr>
                <w:rFonts w:eastAsia="Calibri"/>
                <w:color w:val="000000"/>
                <w:sz w:val="22"/>
              </w:rPr>
            </w:pPr>
            <w:r w:rsidRPr="00B75FD7">
              <w:rPr>
                <w:rFonts w:eastAsia="Calibri"/>
                <w:color w:val="000000"/>
                <w:sz w:val="22"/>
              </w:rPr>
              <w:t xml:space="preserve">Створення безпечного та комфортного середовища для учасників освітнього процесу, а  також умов для реалізації здібностей, інтересів, потреб і всебічного розвитку дітей відповідно до санітарно-гігієнічних вимог. </w:t>
            </w:r>
          </w:p>
        </w:tc>
      </w:tr>
      <w:tr w:rsidR="00F069E5" w:rsidRPr="00B75FD7" w:rsidTr="00F069E5">
        <w:trPr>
          <w:trHeight w:val="290"/>
        </w:trPr>
        <w:tc>
          <w:tcPr>
            <w:tcW w:w="1448" w:type="dxa"/>
            <w:tcBorders>
              <w:top w:val="nil"/>
              <w:left w:val="nil"/>
              <w:bottom w:val="nil"/>
              <w:right w:val="nil"/>
            </w:tcBorders>
          </w:tcPr>
          <w:p w:rsidR="00F069E5" w:rsidRPr="00B75FD7" w:rsidRDefault="00F069E5"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r w:rsidRPr="00B75FD7">
              <w:rPr>
                <w:rFonts w:eastAsia="Calibri"/>
                <w:b/>
                <w:color w:val="000000"/>
                <w:sz w:val="22"/>
              </w:rPr>
              <w:t>Територія, на яку матиме вплив реалізація проекту</w:t>
            </w:r>
          </w:p>
        </w:tc>
        <w:tc>
          <w:tcPr>
            <w:tcW w:w="7004" w:type="dxa"/>
            <w:gridSpan w:val="7"/>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Сєвєродонецька міська територіальна громада</w:t>
            </w:r>
          </w:p>
        </w:tc>
      </w:tr>
      <w:tr w:rsidR="00F069E5" w:rsidRPr="00B75FD7" w:rsidTr="00F069E5">
        <w:trPr>
          <w:trHeight w:val="529"/>
        </w:trPr>
        <w:tc>
          <w:tcPr>
            <w:tcW w:w="1448" w:type="dxa"/>
            <w:tcBorders>
              <w:top w:val="nil"/>
              <w:left w:val="nil"/>
              <w:bottom w:val="nil"/>
              <w:right w:val="nil"/>
            </w:tcBorders>
          </w:tcPr>
          <w:p w:rsidR="00F069E5" w:rsidRPr="00B75FD7" w:rsidRDefault="00F069E5"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r w:rsidRPr="00B75FD7">
              <w:rPr>
                <w:rFonts w:eastAsia="Calibri"/>
                <w:b/>
                <w:color w:val="000000"/>
                <w:sz w:val="22"/>
              </w:rPr>
              <w:t>Чисельність населення, на яке матиме вплив реалізація проекту</w:t>
            </w:r>
          </w:p>
        </w:tc>
        <w:tc>
          <w:tcPr>
            <w:tcW w:w="7004" w:type="dxa"/>
            <w:gridSpan w:val="7"/>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rPr>
                <w:rFonts w:eastAsia="Calibri"/>
                <w:color w:val="000000"/>
                <w:sz w:val="22"/>
              </w:rPr>
            </w:pPr>
            <w:r w:rsidRPr="00B75FD7">
              <w:rPr>
                <w:sz w:val="22"/>
              </w:rPr>
              <w:t>70 000 осіб</w:t>
            </w:r>
          </w:p>
        </w:tc>
      </w:tr>
      <w:tr w:rsidR="00F069E5" w:rsidRPr="00B75FD7" w:rsidTr="00F069E5">
        <w:trPr>
          <w:trHeight w:val="1261"/>
        </w:trPr>
        <w:tc>
          <w:tcPr>
            <w:tcW w:w="1448" w:type="dxa"/>
            <w:tcBorders>
              <w:top w:val="nil"/>
              <w:left w:val="nil"/>
              <w:bottom w:val="nil"/>
              <w:right w:val="nil"/>
            </w:tcBorders>
          </w:tcPr>
          <w:p w:rsidR="00F069E5" w:rsidRPr="00B75FD7" w:rsidRDefault="00F069E5"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r w:rsidRPr="00B75FD7">
              <w:rPr>
                <w:rFonts w:eastAsia="Calibri"/>
                <w:b/>
                <w:color w:val="000000"/>
                <w:sz w:val="22"/>
              </w:rPr>
              <w:t>Опис проблеми, на вирішення якої спрямований проект</w:t>
            </w:r>
          </w:p>
        </w:tc>
        <w:tc>
          <w:tcPr>
            <w:tcW w:w="7004" w:type="dxa"/>
            <w:gridSpan w:val="7"/>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rPr>
                <w:sz w:val="22"/>
              </w:rPr>
            </w:pPr>
            <w:r w:rsidRPr="00B75FD7">
              <w:rPr>
                <w:rFonts w:eastAsia="Calibri"/>
                <w:color w:val="000000"/>
                <w:sz w:val="22"/>
              </w:rPr>
              <w:t xml:space="preserve">Ясла-садок № 22 призупинив свою освітню діяльність,  внаслідок </w:t>
            </w:r>
            <w:r w:rsidRPr="00B75FD7">
              <w:rPr>
                <w:sz w:val="22"/>
              </w:rPr>
              <w:t xml:space="preserve"> військової агресії </w:t>
            </w:r>
            <w:r w:rsidR="0016300E" w:rsidRPr="00B75FD7">
              <w:rPr>
                <w:sz w:val="22"/>
              </w:rPr>
              <w:t>РФ</w:t>
            </w:r>
            <w:r w:rsidRPr="00B75FD7">
              <w:rPr>
                <w:sz w:val="22"/>
              </w:rPr>
              <w:t>.</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Будівля закладу зазнала значних пошкоджень. Деформовані зовнішні, внутрішні стіни будівлі. Вибиті вікна, двері. Частково пошкоджена покрівля даху, а також комунікації, інженерні мережі. Приміщення закладу перебувають в незадовільному стані. На території закладу  пошкоджені ігрові майданчики, тротуарна плитка, паркан.</w:t>
            </w:r>
          </w:p>
          <w:p w:rsidR="00F069E5" w:rsidRPr="00B75FD7" w:rsidRDefault="00F069E5" w:rsidP="00F069E5">
            <w:pPr>
              <w:autoSpaceDE w:val="0"/>
              <w:autoSpaceDN w:val="0"/>
              <w:adjustRightInd w:val="0"/>
              <w:rPr>
                <w:rFonts w:eastAsia="Calibri"/>
                <w:color w:val="000000"/>
                <w:sz w:val="22"/>
              </w:rPr>
            </w:pPr>
            <w:r w:rsidRPr="00B75FD7">
              <w:rPr>
                <w:rFonts w:eastAsia="Arial"/>
                <w:sz w:val="22"/>
              </w:rPr>
              <w:t>Для відбудови та сталого розвитку громади потрібне відновлення роботи мережі закладів дошкільної освіти. Мешканці громади потребують  якісних освітніх послуг, які відповідають нормам сучасності.</w:t>
            </w:r>
          </w:p>
        </w:tc>
      </w:tr>
      <w:tr w:rsidR="00F069E5" w:rsidRPr="00B75FD7" w:rsidTr="00F069E5">
        <w:trPr>
          <w:trHeight w:val="1265"/>
        </w:trPr>
        <w:tc>
          <w:tcPr>
            <w:tcW w:w="1448" w:type="dxa"/>
            <w:tcBorders>
              <w:top w:val="nil"/>
              <w:left w:val="nil"/>
              <w:bottom w:val="nil"/>
              <w:right w:val="nil"/>
            </w:tcBorders>
          </w:tcPr>
          <w:p w:rsidR="00F069E5" w:rsidRPr="00B75FD7" w:rsidRDefault="00F069E5"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r w:rsidRPr="00B75FD7">
              <w:rPr>
                <w:rFonts w:eastAsia="Calibri"/>
                <w:b/>
                <w:color w:val="000000"/>
                <w:sz w:val="22"/>
              </w:rPr>
              <w:t>Очікувані якісні результати від реалізації проекту</w:t>
            </w:r>
          </w:p>
        </w:tc>
        <w:tc>
          <w:tcPr>
            <w:tcW w:w="7004" w:type="dxa"/>
            <w:gridSpan w:val="7"/>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Створення 200  місць для дітей дошкільного віку.</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Надання можливості дітям отримувати дошкільну освіту в сучасних, комфортних та безпечних умовах. </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Створення  нових робочих місць.</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Відновлення повноцінного функціонування будівлі та  приміщень закладу, а саме: 8 груп, із них  дві  логопедичні групи ( для дітей з вадами </w:t>
            </w:r>
            <w:r w:rsidRPr="00B75FD7">
              <w:rPr>
                <w:rFonts w:eastAsia="Calibri"/>
                <w:color w:val="000000"/>
                <w:sz w:val="22"/>
              </w:rPr>
              <w:lastRenderedPageBreak/>
              <w:t xml:space="preserve">мовлення),  кабінетів вузьких спеціалістів. Музичної та спортивної зали, приміщення харчоблоку, пральні, коридорів. </w:t>
            </w:r>
          </w:p>
          <w:p w:rsidR="00F069E5" w:rsidRPr="00B75FD7" w:rsidRDefault="00F069E5" w:rsidP="00F069E5">
            <w:pPr>
              <w:autoSpaceDE w:val="0"/>
              <w:autoSpaceDN w:val="0"/>
              <w:adjustRightInd w:val="0"/>
              <w:rPr>
                <w:sz w:val="22"/>
              </w:rPr>
            </w:pPr>
            <w:r w:rsidRPr="00B75FD7">
              <w:rPr>
                <w:sz w:val="22"/>
              </w:rPr>
              <w:t xml:space="preserve">Зменшення </w:t>
            </w:r>
            <w:proofErr w:type="spellStart"/>
            <w:r w:rsidRPr="00B75FD7">
              <w:rPr>
                <w:sz w:val="22"/>
              </w:rPr>
              <w:t>теплоспоживання</w:t>
            </w:r>
            <w:proofErr w:type="spellEnd"/>
            <w:r w:rsidRPr="00B75FD7">
              <w:rPr>
                <w:sz w:val="22"/>
              </w:rPr>
              <w:t xml:space="preserve"> будівлі.</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Економія бюджетних коштів на сплаті енергоносіїв.</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Стимул до повернення ВПО до громади.</w:t>
            </w:r>
          </w:p>
        </w:tc>
      </w:tr>
      <w:tr w:rsidR="00F069E5" w:rsidRPr="00B75FD7" w:rsidTr="00F069E5">
        <w:trPr>
          <w:trHeight w:val="581"/>
        </w:trPr>
        <w:tc>
          <w:tcPr>
            <w:tcW w:w="1448" w:type="dxa"/>
            <w:tcBorders>
              <w:top w:val="nil"/>
              <w:left w:val="nil"/>
              <w:bottom w:val="nil"/>
              <w:right w:val="nil"/>
            </w:tcBorders>
          </w:tcPr>
          <w:p w:rsidR="00F069E5" w:rsidRPr="00B75FD7" w:rsidRDefault="00F069E5"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r w:rsidRPr="00B75FD7">
              <w:rPr>
                <w:rFonts w:eastAsia="Calibri"/>
                <w:b/>
                <w:color w:val="000000"/>
                <w:sz w:val="22"/>
              </w:rPr>
              <w:t>Очікувані кількісні результати від реалізації проекту  (індикатори)</w:t>
            </w:r>
          </w:p>
        </w:tc>
        <w:tc>
          <w:tcPr>
            <w:tcW w:w="1908" w:type="dxa"/>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jc w:val="center"/>
              <w:rPr>
                <w:rFonts w:eastAsia="Calibri"/>
                <w:b/>
                <w:color w:val="000000"/>
                <w:sz w:val="22"/>
              </w:rPr>
            </w:pPr>
            <w:r w:rsidRPr="00B75FD7">
              <w:rPr>
                <w:rFonts w:eastAsia="Calibri"/>
                <w:b/>
                <w:color w:val="000000"/>
                <w:sz w:val="22"/>
              </w:rPr>
              <w:t>Найменування показника</w:t>
            </w:r>
          </w:p>
        </w:tc>
        <w:tc>
          <w:tcPr>
            <w:tcW w:w="1442" w:type="dxa"/>
            <w:gridSpan w:val="2"/>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jc w:val="center"/>
              <w:rPr>
                <w:rFonts w:eastAsia="Calibri"/>
                <w:b/>
                <w:color w:val="000000"/>
                <w:sz w:val="22"/>
              </w:rPr>
            </w:pPr>
            <w:r w:rsidRPr="00B75FD7">
              <w:rPr>
                <w:rFonts w:eastAsia="Calibri"/>
                <w:b/>
                <w:color w:val="000000"/>
                <w:sz w:val="22"/>
              </w:rPr>
              <w:t>Одиниця вимірювання</w:t>
            </w:r>
          </w:p>
        </w:tc>
        <w:tc>
          <w:tcPr>
            <w:tcW w:w="3654" w:type="dxa"/>
            <w:gridSpan w:val="4"/>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jc w:val="center"/>
              <w:rPr>
                <w:rFonts w:eastAsia="Calibri"/>
                <w:b/>
                <w:color w:val="000000"/>
                <w:sz w:val="22"/>
              </w:rPr>
            </w:pPr>
            <w:r w:rsidRPr="00B75FD7">
              <w:rPr>
                <w:rFonts w:eastAsia="Calibri"/>
                <w:b/>
                <w:color w:val="000000"/>
                <w:sz w:val="22"/>
              </w:rPr>
              <w:t>Прогнозне (цільове) значення</w:t>
            </w:r>
          </w:p>
        </w:tc>
      </w:tr>
      <w:tr w:rsidR="00F069E5" w:rsidRPr="00B75FD7" w:rsidTr="00F069E5">
        <w:trPr>
          <w:trHeight w:val="1067"/>
        </w:trPr>
        <w:tc>
          <w:tcPr>
            <w:tcW w:w="1448" w:type="dxa"/>
            <w:tcBorders>
              <w:top w:val="nil"/>
              <w:left w:val="nil"/>
              <w:bottom w:val="nil"/>
              <w:right w:val="nil"/>
            </w:tcBorders>
          </w:tcPr>
          <w:p w:rsidR="00F069E5" w:rsidRPr="00B75FD7" w:rsidRDefault="00F069E5" w:rsidP="00F069E5">
            <w:pPr>
              <w:autoSpaceDE w:val="0"/>
              <w:autoSpaceDN w:val="0"/>
              <w:adjustRightInd w:val="0"/>
              <w:jc w:val="right"/>
              <w:rPr>
                <w:rFonts w:eastAsia="Calibri"/>
                <w:color w:val="000000"/>
                <w:sz w:val="22"/>
              </w:rPr>
            </w:pPr>
            <w:bookmarkStart w:id="49" w:name="_Hlk139551964"/>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p>
        </w:tc>
        <w:tc>
          <w:tcPr>
            <w:tcW w:w="1908" w:type="dxa"/>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Кількість вихованців, які отримають якісні освітні послуги                                 </w:t>
            </w:r>
          </w:p>
        </w:tc>
        <w:tc>
          <w:tcPr>
            <w:tcW w:w="1442" w:type="dxa"/>
            <w:gridSpan w:val="2"/>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jc w:val="center"/>
              <w:rPr>
                <w:rFonts w:eastAsia="Calibri"/>
                <w:color w:val="000000"/>
                <w:sz w:val="22"/>
              </w:rPr>
            </w:pPr>
            <w:r w:rsidRPr="00B75FD7">
              <w:rPr>
                <w:rFonts w:eastAsia="Calibri"/>
                <w:color w:val="000000"/>
                <w:sz w:val="22"/>
              </w:rPr>
              <w:t>осіб</w:t>
            </w:r>
          </w:p>
        </w:tc>
        <w:tc>
          <w:tcPr>
            <w:tcW w:w="3654" w:type="dxa"/>
            <w:gridSpan w:val="4"/>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jc w:val="center"/>
              <w:rPr>
                <w:rFonts w:eastAsia="Calibri"/>
                <w:color w:val="000000"/>
                <w:sz w:val="22"/>
              </w:rPr>
            </w:pPr>
            <w:r w:rsidRPr="00B75FD7">
              <w:rPr>
                <w:rFonts w:eastAsia="Calibri"/>
                <w:color w:val="000000"/>
                <w:sz w:val="22"/>
              </w:rPr>
              <w:t>200</w:t>
            </w:r>
          </w:p>
          <w:p w:rsidR="00F069E5" w:rsidRPr="00B75FD7" w:rsidRDefault="00F069E5" w:rsidP="00F069E5">
            <w:pPr>
              <w:autoSpaceDE w:val="0"/>
              <w:autoSpaceDN w:val="0"/>
              <w:adjustRightInd w:val="0"/>
              <w:jc w:val="center"/>
              <w:rPr>
                <w:rFonts w:eastAsia="Calibri"/>
                <w:color w:val="000000"/>
                <w:sz w:val="22"/>
              </w:rPr>
            </w:pPr>
          </w:p>
          <w:p w:rsidR="00F069E5" w:rsidRPr="00B75FD7" w:rsidRDefault="00F069E5" w:rsidP="00F069E5">
            <w:pPr>
              <w:autoSpaceDE w:val="0"/>
              <w:autoSpaceDN w:val="0"/>
              <w:adjustRightInd w:val="0"/>
              <w:rPr>
                <w:rFonts w:eastAsia="Calibri"/>
                <w:color w:val="000000"/>
                <w:sz w:val="22"/>
              </w:rPr>
            </w:pPr>
          </w:p>
        </w:tc>
      </w:tr>
      <w:tr w:rsidR="00F069E5" w:rsidRPr="00B75FD7" w:rsidTr="00F069E5">
        <w:trPr>
          <w:trHeight w:val="558"/>
        </w:trPr>
        <w:tc>
          <w:tcPr>
            <w:tcW w:w="1448" w:type="dxa"/>
            <w:tcBorders>
              <w:top w:val="nil"/>
              <w:left w:val="nil"/>
              <w:bottom w:val="nil"/>
              <w:right w:val="nil"/>
            </w:tcBorders>
          </w:tcPr>
          <w:p w:rsidR="00F069E5" w:rsidRPr="00B75FD7" w:rsidRDefault="00F069E5" w:rsidP="00F069E5">
            <w:pPr>
              <w:autoSpaceDE w:val="0"/>
              <w:autoSpaceDN w:val="0"/>
              <w:adjustRightInd w:val="0"/>
              <w:jc w:val="right"/>
              <w:rPr>
                <w:rFonts w:eastAsia="Calibri"/>
                <w:color w:val="000000"/>
                <w:sz w:val="22"/>
              </w:rPr>
            </w:pPr>
          </w:p>
        </w:tc>
        <w:tc>
          <w:tcPr>
            <w:tcW w:w="2833" w:type="dxa"/>
            <w:vMerge w:val="restart"/>
            <w:tcBorders>
              <w:top w:val="single" w:sz="6" w:space="0" w:color="auto"/>
              <w:left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p>
        </w:tc>
        <w:tc>
          <w:tcPr>
            <w:tcW w:w="1908" w:type="dxa"/>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Кількість працівників закладу, які отримають безпечні та комфортні умови праці </w:t>
            </w:r>
          </w:p>
        </w:tc>
        <w:tc>
          <w:tcPr>
            <w:tcW w:w="1442" w:type="dxa"/>
            <w:gridSpan w:val="2"/>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jc w:val="center"/>
              <w:rPr>
                <w:rFonts w:eastAsia="Calibri"/>
                <w:color w:val="000000"/>
                <w:sz w:val="22"/>
              </w:rPr>
            </w:pPr>
            <w:r w:rsidRPr="00B75FD7">
              <w:rPr>
                <w:rFonts w:eastAsia="Calibri"/>
                <w:color w:val="000000"/>
                <w:sz w:val="22"/>
              </w:rPr>
              <w:t>осіб</w:t>
            </w:r>
          </w:p>
        </w:tc>
        <w:tc>
          <w:tcPr>
            <w:tcW w:w="3654" w:type="dxa"/>
            <w:gridSpan w:val="4"/>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jc w:val="center"/>
              <w:rPr>
                <w:rFonts w:eastAsia="Calibri"/>
                <w:color w:val="000000"/>
                <w:sz w:val="22"/>
              </w:rPr>
            </w:pPr>
            <w:r w:rsidRPr="00B75FD7">
              <w:rPr>
                <w:rFonts w:eastAsia="Calibri"/>
                <w:color w:val="000000"/>
                <w:sz w:val="22"/>
              </w:rPr>
              <w:t>45</w:t>
            </w:r>
          </w:p>
        </w:tc>
      </w:tr>
      <w:tr w:rsidR="00F069E5" w:rsidRPr="00B75FD7" w:rsidTr="00F069E5">
        <w:trPr>
          <w:trHeight w:val="558"/>
        </w:trPr>
        <w:tc>
          <w:tcPr>
            <w:tcW w:w="1448" w:type="dxa"/>
            <w:tcBorders>
              <w:top w:val="nil"/>
              <w:left w:val="nil"/>
              <w:right w:val="nil"/>
            </w:tcBorders>
          </w:tcPr>
          <w:p w:rsidR="00F069E5" w:rsidRPr="00B75FD7" w:rsidRDefault="00F069E5" w:rsidP="00F069E5">
            <w:pPr>
              <w:autoSpaceDE w:val="0"/>
              <w:autoSpaceDN w:val="0"/>
              <w:adjustRightInd w:val="0"/>
              <w:jc w:val="right"/>
              <w:rPr>
                <w:rFonts w:eastAsia="Calibri"/>
                <w:color w:val="000000"/>
                <w:sz w:val="22"/>
              </w:rPr>
            </w:pPr>
          </w:p>
        </w:tc>
        <w:tc>
          <w:tcPr>
            <w:tcW w:w="2833" w:type="dxa"/>
            <w:vMerge/>
            <w:tcBorders>
              <w:left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p>
        </w:tc>
        <w:tc>
          <w:tcPr>
            <w:tcW w:w="1908" w:type="dxa"/>
            <w:tcBorders>
              <w:top w:val="single" w:sz="6" w:space="0" w:color="auto"/>
              <w:left w:val="single" w:sz="6" w:space="0" w:color="auto"/>
              <w:bottom w:val="single" w:sz="4" w:space="0" w:color="auto"/>
              <w:right w:val="single" w:sz="6" w:space="0" w:color="auto"/>
            </w:tcBorders>
          </w:tcPr>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Кількість працевлаштованих</w:t>
            </w:r>
          </w:p>
        </w:tc>
        <w:tc>
          <w:tcPr>
            <w:tcW w:w="1442" w:type="dxa"/>
            <w:gridSpan w:val="2"/>
            <w:tcBorders>
              <w:top w:val="single" w:sz="6" w:space="0" w:color="auto"/>
              <w:left w:val="single" w:sz="6" w:space="0" w:color="auto"/>
              <w:bottom w:val="single" w:sz="4" w:space="0" w:color="auto"/>
              <w:right w:val="single" w:sz="6" w:space="0" w:color="auto"/>
            </w:tcBorders>
          </w:tcPr>
          <w:p w:rsidR="00F069E5" w:rsidRPr="00B75FD7" w:rsidRDefault="00F069E5" w:rsidP="00F069E5">
            <w:pPr>
              <w:autoSpaceDE w:val="0"/>
              <w:autoSpaceDN w:val="0"/>
              <w:adjustRightInd w:val="0"/>
              <w:jc w:val="center"/>
              <w:rPr>
                <w:rFonts w:eastAsia="Calibri"/>
                <w:color w:val="000000"/>
                <w:sz w:val="22"/>
              </w:rPr>
            </w:pPr>
            <w:r w:rsidRPr="00B75FD7">
              <w:rPr>
                <w:rFonts w:eastAsia="Calibri"/>
                <w:color w:val="000000"/>
                <w:sz w:val="22"/>
              </w:rPr>
              <w:t>осіб</w:t>
            </w:r>
          </w:p>
        </w:tc>
        <w:tc>
          <w:tcPr>
            <w:tcW w:w="3654" w:type="dxa"/>
            <w:gridSpan w:val="4"/>
            <w:tcBorders>
              <w:top w:val="single" w:sz="6" w:space="0" w:color="auto"/>
              <w:left w:val="single" w:sz="6" w:space="0" w:color="auto"/>
              <w:bottom w:val="single" w:sz="4" w:space="0" w:color="auto"/>
              <w:right w:val="single" w:sz="6" w:space="0" w:color="auto"/>
            </w:tcBorders>
          </w:tcPr>
          <w:p w:rsidR="00F069E5" w:rsidRPr="00B75FD7" w:rsidRDefault="00F069E5" w:rsidP="00F069E5">
            <w:pPr>
              <w:autoSpaceDE w:val="0"/>
              <w:autoSpaceDN w:val="0"/>
              <w:adjustRightInd w:val="0"/>
              <w:jc w:val="center"/>
              <w:rPr>
                <w:rFonts w:eastAsia="Calibri"/>
                <w:color w:val="000000"/>
                <w:sz w:val="22"/>
              </w:rPr>
            </w:pPr>
            <w:r w:rsidRPr="00B75FD7">
              <w:rPr>
                <w:rFonts w:eastAsia="Calibri"/>
                <w:color w:val="000000"/>
                <w:sz w:val="22"/>
              </w:rPr>
              <w:t>8</w:t>
            </w:r>
          </w:p>
        </w:tc>
      </w:tr>
      <w:bookmarkEnd w:id="49"/>
      <w:tr w:rsidR="00F069E5" w:rsidRPr="00B75FD7" w:rsidTr="00F069E5">
        <w:trPr>
          <w:trHeight w:val="1684"/>
        </w:trPr>
        <w:tc>
          <w:tcPr>
            <w:tcW w:w="1448" w:type="dxa"/>
            <w:tcBorders>
              <w:top w:val="nil"/>
              <w:left w:val="nil"/>
              <w:bottom w:val="nil"/>
              <w:right w:val="nil"/>
            </w:tcBorders>
          </w:tcPr>
          <w:p w:rsidR="00F069E5" w:rsidRPr="00B75FD7" w:rsidRDefault="00F069E5"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r w:rsidRPr="00B75FD7">
              <w:rPr>
                <w:rFonts w:eastAsia="Calibri"/>
                <w:b/>
                <w:color w:val="000000"/>
                <w:sz w:val="22"/>
              </w:rPr>
              <w:t>Ключові заходи проекту:</w:t>
            </w:r>
          </w:p>
        </w:tc>
        <w:tc>
          <w:tcPr>
            <w:tcW w:w="7004" w:type="dxa"/>
            <w:gridSpan w:val="7"/>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1. Розробка </w:t>
            </w:r>
            <w:proofErr w:type="spellStart"/>
            <w:r w:rsidRPr="00B75FD7">
              <w:rPr>
                <w:rFonts w:eastAsia="Calibri"/>
                <w:color w:val="000000"/>
                <w:sz w:val="22"/>
              </w:rPr>
              <w:t>проєктно</w:t>
            </w:r>
            <w:proofErr w:type="spellEnd"/>
            <w:r w:rsidRPr="00B75FD7">
              <w:rPr>
                <w:rFonts w:eastAsia="Calibri"/>
                <w:color w:val="000000"/>
                <w:sz w:val="22"/>
              </w:rPr>
              <w:t>-кошторисної документації.</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2. Відновлення зовнішніх та внутрішніх стін, плит, перекриття між поверхами.</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3. </w:t>
            </w:r>
            <w:proofErr w:type="spellStart"/>
            <w:r w:rsidRPr="00B75FD7">
              <w:rPr>
                <w:rFonts w:eastAsia="Calibri"/>
                <w:color w:val="000000"/>
                <w:sz w:val="22"/>
              </w:rPr>
              <w:t>Термомодернізація</w:t>
            </w:r>
            <w:proofErr w:type="spellEnd"/>
            <w:r w:rsidRPr="00B75FD7">
              <w:rPr>
                <w:rFonts w:eastAsia="Calibri"/>
                <w:color w:val="000000"/>
                <w:sz w:val="22"/>
              </w:rPr>
              <w:t xml:space="preserve"> будівлі Ясел-садка № 22:</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 утеплення зовнішніх стін будівлі – 2000 </w:t>
            </w:r>
            <w:proofErr w:type="spellStart"/>
            <w:r w:rsidRPr="00B75FD7">
              <w:rPr>
                <w:rFonts w:eastAsia="Calibri"/>
                <w:color w:val="000000"/>
                <w:sz w:val="22"/>
              </w:rPr>
              <w:t>кв.м</w:t>
            </w:r>
            <w:proofErr w:type="spellEnd"/>
            <w:r w:rsidRPr="00B75FD7">
              <w:rPr>
                <w:rFonts w:eastAsia="Calibri"/>
                <w:color w:val="000000"/>
                <w:sz w:val="22"/>
              </w:rPr>
              <w:t>;</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 зовнішнє оздоблення фасаду – 2000 </w:t>
            </w:r>
            <w:proofErr w:type="spellStart"/>
            <w:r w:rsidRPr="00B75FD7">
              <w:rPr>
                <w:rFonts w:eastAsia="Calibri"/>
                <w:color w:val="000000"/>
                <w:sz w:val="22"/>
              </w:rPr>
              <w:t>кв</w:t>
            </w:r>
            <w:proofErr w:type="spellEnd"/>
            <w:r w:rsidRPr="00B75FD7">
              <w:rPr>
                <w:rFonts w:eastAsia="Calibri"/>
                <w:color w:val="000000"/>
                <w:sz w:val="22"/>
              </w:rPr>
              <w:t>. м;</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  встановлення енергоефективних вікон – 200 </w:t>
            </w:r>
            <w:r w:rsidR="0016300E" w:rsidRPr="00B75FD7">
              <w:rPr>
                <w:rFonts w:eastAsia="Calibri"/>
                <w:color w:val="000000"/>
                <w:sz w:val="22"/>
                <w:lang w:val="ru-RU"/>
              </w:rPr>
              <w:t>од.</w:t>
            </w:r>
            <w:r w:rsidRPr="00B75FD7">
              <w:rPr>
                <w:rFonts w:eastAsia="Calibri"/>
                <w:color w:val="000000"/>
                <w:sz w:val="22"/>
              </w:rPr>
              <w:t>;</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заміна дверних блоків у будівлі;</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 заміна протипожежних дверей ; </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 заміна міжкімнатних дверей -90 </w:t>
            </w:r>
            <w:r w:rsidR="0016300E" w:rsidRPr="00B75FD7">
              <w:rPr>
                <w:rFonts w:eastAsia="Calibri"/>
                <w:color w:val="000000"/>
                <w:sz w:val="22"/>
                <w:lang w:val="ru-RU"/>
              </w:rPr>
              <w:t xml:space="preserve"> од.</w:t>
            </w:r>
            <w:r w:rsidRPr="00B75FD7">
              <w:rPr>
                <w:rFonts w:eastAsia="Calibri"/>
                <w:color w:val="000000"/>
                <w:sz w:val="22"/>
              </w:rPr>
              <w:t>;</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4. Ремонт даху та відновлення покрівлі – 2000 </w:t>
            </w:r>
            <w:proofErr w:type="spellStart"/>
            <w:r w:rsidRPr="00B75FD7">
              <w:rPr>
                <w:rFonts w:eastAsia="Calibri"/>
                <w:color w:val="000000"/>
                <w:sz w:val="22"/>
              </w:rPr>
              <w:t>кв</w:t>
            </w:r>
            <w:proofErr w:type="spellEnd"/>
            <w:r w:rsidRPr="00B75FD7">
              <w:rPr>
                <w:rFonts w:eastAsia="Calibri"/>
                <w:color w:val="000000"/>
                <w:sz w:val="22"/>
              </w:rPr>
              <w:t xml:space="preserve"> .м</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5.</w:t>
            </w:r>
            <w:r w:rsidRPr="00B75FD7">
              <w:rPr>
                <w:rFonts w:eastAsia="Calibri"/>
                <w:sz w:val="22"/>
              </w:rPr>
              <w:t xml:space="preserve"> Облаштування систем водопостачання та водовідведення, каналізації, електропостачання та вентиляції</w:t>
            </w:r>
            <w:r w:rsidRPr="00B75FD7">
              <w:rPr>
                <w:rFonts w:eastAsia="Calibri"/>
                <w:color w:val="000000"/>
                <w:sz w:val="22"/>
              </w:rPr>
              <w:t xml:space="preserve">. </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6. Облаштування системи зовнішнього та </w:t>
            </w:r>
            <w:proofErr w:type="spellStart"/>
            <w:r w:rsidRPr="00B75FD7">
              <w:rPr>
                <w:rFonts w:eastAsia="Calibri"/>
                <w:color w:val="000000"/>
                <w:sz w:val="22"/>
              </w:rPr>
              <w:t>внутрішньго</w:t>
            </w:r>
            <w:proofErr w:type="spellEnd"/>
            <w:r w:rsidRPr="00B75FD7">
              <w:rPr>
                <w:rFonts w:eastAsia="Calibri"/>
                <w:color w:val="000000"/>
                <w:sz w:val="22"/>
              </w:rPr>
              <w:t xml:space="preserve"> освітлення.</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7.Відновлення системи опалення. Заміна радіаторів -120 </w:t>
            </w:r>
            <w:r w:rsidR="0016300E" w:rsidRPr="00B75FD7">
              <w:rPr>
                <w:rFonts w:eastAsia="Calibri"/>
                <w:color w:val="000000"/>
                <w:sz w:val="22"/>
                <w:lang w:val="ru-RU"/>
              </w:rPr>
              <w:t xml:space="preserve"> од.</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8. Улаштування підлоги та покриття.</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9.  Ремонтно-оздоблювальні роботи приміщень харчоблоку. Монтаж системи вентиляції.</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10.  Ремонтно-оздоблювальні роботи спортивного залу.</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11. Ремонтно-оздоблювальні роботи музичної зали.</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12. Ремонт приміщення пральні.</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13.  Ремонт групових приміщень закладу, спальних кімнат, туалетних кімнат.</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14. Ремонт кабінетів: директора, сестри медичної, завгоспа, коридорів.</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15. Ремонт кабінетів: вихователя-методиста, діловода, вчителя-логопеда.</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16. Ремонт приміщення теплопункту та щитової. </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17.  Відновлення системи протипожежного захисту будівлі.                                                                                                                          18. Ремонт ганку перед центральним входом з улаштуванням пандусу.</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19. Ремонт центрального входу будівлі.</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20. Відновлення роботи закладу.</w:t>
            </w:r>
          </w:p>
          <w:p w:rsidR="00F069E5" w:rsidRPr="00B75FD7" w:rsidRDefault="00F069E5" w:rsidP="0016300E">
            <w:pPr>
              <w:autoSpaceDE w:val="0"/>
              <w:autoSpaceDN w:val="0"/>
              <w:adjustRightInd w:val="0"/>
              <w:rPr>
                <w:rFonts w:eastAsia="Calibri"/>
                <w:color w:val="000000"/>
                <w:sz w:val="22"/>
              </w:rPr>
            </w:pPr>
            <w:r w:rsidRPr="00B75FD7">
              <w:rPr>
                <w:rFonts w:eastAsia="Calibri"/>
                <w:color w:val="000000"/>
                <w:sz w:val="22"/>
              </w:rPr>
              <w:t xml:space="preserve">21. Надання </w:t>
            </w:r>
            <w:r w:rsidRPr="00B75FD7">
              <w:rPr>
                <w:rFonts w:eastAsia="Arial"/>
                <w:sz w:val="22"/>
              </w:rPr>
              <w:t xml:space="preserve"> якісних освітніх послуг, які відповідають нормам сучасності.</w:t>
            </w:r>
          </w:p>
        </w:tc>
      </w:tr>
      <w:tr w:rsidR="00F069E5" w:rsidRPr="00B75FD7" w:rsidTr="00F069E5">
        <w:trPr>
          <w:trHeight w:val="387"/>
        </w:trPr>
        <w:tc>
          <w:tcPr>
            <w:tcW w:w="1448" w:type="dxa"/>
            <w:vMerge w:val="restart"/>
            <w:tcBorders>
              <w:top w:val="nil"/>
              <w:left w:val="nil"/>
              <w:right w:val="nil"/>
            </w:tcBorders>
          </w:tcPr>
          <w:p w:rsidR="00F069E5" w:rsidRPr="00B75FD7" w:rsidRDefault="00F069E5" w:rsidP="00F069E5">
            <w:pPr>
              <w:autoSpaceDE w:val="0"/>
              <w:autoSpaceDN w:val="0"/>
              <w:adjustRightInd w:val="0"/>
              <w:jc w:val="right"/>
              <w:rPr>
                <w:rFonts w:eastAsia="Calibri"/>
                <w:color w:val="000000"/>
                <w:sz w:val="22"/>
              </w:rPr>
            </w:pPr>
          </w:p>
        </w:tc>
        <w:tc>
          <w:tcPr>
            <w:tcW w:w="2833" w:type="dxa"/>
            <w:vMerge w:val="restart"/>
            <w:tcBorders>
              <w:top w:val="single" w:sz="6" w:space="0" w:color="auto"/>
              <w:left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r w:rsidRPr="00B75FD7">
              <w:rPr>
                <w:rFonts w:eastAsia="Calibri"/>
                <w:b/>
                <w:color w:val="000000"/>
                <w:sz w:val="22"/>
              </w:rPr>
              <w:t>Орієнтовний обсяг та джерела фінансування тис. гривень</w:t>
            </w:r>
          </w:p>
        </w:tc>
        <w:tc>
          <w:tcPr>
            <w:tcW w:w="1908" w:type="dxa"/>
            <w:vMerge w:val="restart"/>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jc w:val="center"/>
              <w:rPr>
                <w:rFonts w:eastAsia="Calibri"/>
                <w:b/>
                <w:color w:val="000000"/>
                <w:sz w:val="22"/>
              </w:rPr>
            </w:pPr>
            <w:r w:rsidRPr="00B75FD7">
              <w:rPr>
                <w:rFonts w:eastAsia="Calibri"/>
                <w:b/>
                <w:color w:val="000000"/>
                <w:sz w:val="22"/>
              </w:rPr>
              <w:t>Державний бюджет</w:t>
            </w:r>
          </w:p>
        </w:tc>
        <w:tc>
          <w:tcPr>
            <w:tcW w:w="1212" w:type="dxa"/>
            <w:vMerge w:val="restart"/>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jc w:val="center"/>
              <w:rPr>
                <w:rFonts w:eastAsia="Calibri"/>
                <w:b/>
                <w:color w:val="000000"/>
                <w:sz w:val="22"/>
              </w:rPr>
            </w:pPr>
            <w:r w:rsidRPr="00B75FD7">
              <w:rPr>
                <w:rFonts w:eastAsia="Calibri"/>
                <w:b/>
                <w:color w:val="000000"/>
                <w:sz w:val="22"/>
              </w:rPr>
              <w:t>Місцевий бюджет</w:t>
            </w:r>
          </w:p>
        </w:tc>
        <w:tc>
          <w:tcPr>
            <w:tcW w:w="2694" w:type="dxa"/>
            <w:gridSpan w:val="4"/>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jc w:val="center"/>
              <w:rPr>
                <w:rFonts w:eastAsia="Calibri"/>
                <w:b/>
                <w:color w:val="000000"/>
                <w:sz w:val="22"/>
              </w:rPr>
            </w:pPr>
            <w:r w:rsidRPr="00B75FD7">
              <w:rPr>
                <w:rFonts w:eastAsia="Calibri"/>
                <w:b/>
                <w:color w:val="000000"/>
                <w:sz w:val="22"/>
              </w:rPr>
              <w:t>Інші джерела</w:t>
            </w:r>
          </w:p>
        </w:tc>
        <w:tc>
          <w:tcPr>
            <w:tcW w:w="1190" w:type="dxa"/>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jc w:val="center"/>
              <w:rPr>
                <w:rFonts w:eastAsia="Calibri"/>
                <w:b/>
                <w:color w:val="000000"/>
                <w:sz w:val="22"/>
              </w:rPr>
            </w:pPr>
            <w:r w:rsidRPr="00B75FD7">
              <w:rPr>
                <w:rFonts w:eastAsia="Calibri"/>
                <w:b/>
                <w:color w:val="000000"/>
                <w:sz w:val="22"/>
              </w:rPr>
              <w:t>Всього</w:t>
            </w:r>
          </w:p>
        </w:tc>
      </w:tr>
      <w:tr w:rsidR="00F069E5" w:rsidRPr="00B75FD7" w:rsidTr="00F069E5">
        <w:trPr>
          <w:trHeight w:val="350"/>
        </w:trPr>
        <w:tc>
          <w:tcPr>
            <w:tcW w:w="1448" w:type="dxa"/>
            <w:vMerge/>
            <w:tcBorders>
              <w:top w:val="nil"/>
              <w:left w:val="nil"/>
              <w:right w:val="nil"/>
            </w:tcBorders>
          </w:tcPr>
          <w:p w:rsidR="00F069E5" w:rsidRPr="00B75FD7" w:rsidRDefault="00F069E5" w:rsidP="00F069E5">
            <w:pPr>
              <w:autoSpaceDE w:val="0"/>
              <w:autoSpaceDN w:val="0"/>
              <w:adjustRightInd w:val="0"/>
              <w:jc w:val="right"/>
              <w:rPr>
                <w:rFonts w:eastAsia="Calibri"/>
                <w:color w:val="000000"/>
                <w:sz w:val="22"/>
              </w:rPr>
            </w:pPr>
          </w:p>
        </w:tc>
        <w:tc>
          <w:tcPr>
            <w:tcW w:w="2833" w:type="dxa"/>
            <w:vMerge/>
            <w:tcBorders>
              <w:top w:val="single" w:sz="6" w:space="0" w:color="auto"/>
              <w:left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p>
        </w:tc>
        <w:tc>
          <w:tcPr>
            <w:tcW w:w="1908" w:type="dxa"/>
            <w:vMerge/>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rPr>
                <w:rFonts w:eastAsia="Calibri"/>
                <w:color w:val="000000"/>
                <w:sz w:val="22"/>
              </w:rPr>
            </w:pPr>
          </w:p>
        </w:tc>
        <w:tc>
          <w:tcPr>
            <w:tcW w:w="1212" w:type="dxa"/>
            <w:vMerge/>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rPr>
                <w:rFonts w:eastAsia="Calibri"/>
                <w:color w:val="000000"/>
                <w:sz w:val="22"/>
              </w:rPr>
            </w:pPr>
          </w:p>
        </w:tc>
        <w:tc>
          <w:tcPr>
            <w:tcW w:w="1132" w:type="dxa"/>
            <w:gridSpan w:val="2"/>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rPr>
                <w:rFonts w:eastAsia="Calibri"/>
                <w:b/>
                <w:color w:val="000000"/>
                <w:sz w:val="22"/>
              </w:rPr>
            </w:pPr>
            <w:r w:rsidRPr="00B75FD7">
              <w:rPr>
                <w:rFonts w:eastAsia="Calibri"/>
                <w:b/>
                <w:color w:val="000000"/>
                <w:sz w:val="22"/>
              </w:rPr>
              <w:t>Обсяг</w:t>
            </w:r>
          </w:p>
        </w:tc>
        <w:tc>
          <w:tcPr>
            <w:tcW w:w="1562" w:type="dxa"/>
            <w:gridSpan w:val="2"/>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rPr>
                <w:rFonts w:eastAsia="Calibri"/>
                <w:b/>
                <w:color w:val="000000"/>
                <w:sz w:val="22"/>
              </w:rPr>
            </w:pPr>
            <w:r w:rsidRPr="00B75FD7">
              <w:rPr>
                <w:rFonts w:eastAsia="Calibri"/>
                <w:b/>
                <w:color w:val="000000"/>
                <w:sz w:val="22"/>
              </w:rPr>
              <w:t>Назва джерела</w:t>
            </w:r>
          </w:p>
        </w:tc>
        <w:tc>
          <w:tcPr>
            <w:tcW w:w="1190" w:type="dxa"/>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rPr>
                <w:rFonts w:eastAsia="Calibri"/>
                <w:color w:val="000000"/>
                <w:sz w:val="22"/>
              </w:rPr>
            </w:pPr>
          </w:p>
        </w:tc>
      </w:tr>
      <w:tr w:rsidR="00566192" w:rsidRPr="00B75FD7" w:rsidTr="00F069E5">
        <w:trPr>
          <w:trHeight w:val="1335"/>
        </w:trPr>
        <w:tc>
          <w:tcPr>
            <w:tcW w:w="1448" w:type="dxa"/>
            <w:vMerge/>
            <w:tcBorders>
              <w:left w:val="nil"/>
              <w:bottom w:val="nil"/>
              <w:right w:val="nil"/>
            </w:tcBorders>
          </w:tcPr>
          <w:p w:rsidR="00566192" w:rsidRPr="00B75FD7" w:rsidRDefault="00566192" w:rsidP="00566192">
            <w:pPr>
              <w:autoSpaceDE w:val="0"/>
              <w:autoSpaceDN w:val="0"/>
              <w:adjustRightInd w:val="0"/>
              <w:jc w:val="right"/>
              <w:rPr>
                <w:rFonts w:eastAsia="Calibri"/>
                <w:color w:val="000000"/>
                <w:sz w:val="22"/>
              </w:rPr>
            </w:pPr>
          </w:p>
        </w:tc>
        <w:tc>
          <w:tcPr>
            <w:tcW w:w="2833" w:type="dxa"/>
            <w:vMerge/>
            <w:tcBorders>
              <w:left w:val="single" w:sz="6" w:space="0" w:color="auto"/>
              <w:bottom w:val="single" w:sz="6" w:space="0" w:color="auto"/>
              <w:right w:val="single" w:sz="6" w:space="0" w:color="auto"/>
            </w:tcBorders>
            <w:shd w:val="clear" w:color="00FFFF" w:fill="C6D9F1" w:themeFill="text2" w:themeFillTint="33"/>
          </w:tcPr>
          <w:p w:rsidR="00566192" w:rsidRPr="00B75FD7" w:rsidRDefault="00566192" w:rsidP="00566192">
            <w:pPr>
              <w:autoSpaceDE w:val="0"/>
              <w:autoSpaceDN w:val="0"/>
              <w:adjustRightInd w:val="0"/>
              <w:rPr>
                <w:rFonts w:eastAsia="Calibri"/>
                <w:b/>
                <w:color w:val="000000"/>
                <w:sz w:val="22"/>
              </w:rPr>
            </w:pPr>
          </w:p>
        </w:tc>
        <w:tc>
          <w:tcPr>
            <w:tcW w:w="1908" w:type="dxa"/>
            <w:tcBorders>
              <w:top w:val="single" w:sz="6" w:space="0" w:color="auto"/>
              <w:left w:val="single" w:sz="6" w:space="0" w:color="auto"/>
              <w:bottom w:val="single" w:sz="6" w:space="0" w:color="auto"/>
              <w:right w:val="single" w:sz="6" w:space="0" w:color="auto"/>
            </w:tcBorders>
          </w:tcPr>
          <w:p w:rsidR="00566192" w:rsidRPr="00B75FD7" w:rsidRDefault="00566192" w:rsidP="00566192">
            <w:pPr>
              <w:autoSpaceDE w:val="0"/>
              <w:autoSpaceDN w:val="0"/>
              <w:adjustRightInd w:val="0"/>
              <w:jc w:val="center"/>
              <w:rPr>
                <w:rFonts w:eastAsia="Calibri"/>
                <w:sz w:val="22"/>
              </w:rPr>
            </w:pPr>
            <w:r w:rsidRPr="00B75FD7">
              <w:rPr>
                <w:rFonts w:eastAsia="Calibri"/>
                <w:sz w:val="22"/>
                <w:lang w:val="ru-RU"/>
              </w:rPr>
              <w:t>2</w:t>
            </w:r>
            <w:r w:rsidRPr="00B75FD7">
              <w:rPr>
                <w:rFonts w:eastAsia="Calibri"/>
                <w:sz w:val="22"/>
              </w:rPr>
              <w:t>000,0</w:t>
            </w:r>
          </w:p>
        </w:tc>
        <w:tc>
          <w:tcPr>
            <w:tcW w:w="1212" w:type="dxa"/>
            <w:tcBorders>
              <w:top w:val="single" w:sz="6" w:space="0" w:color="auto"/>
              <w:left w:val="single" w:sz="6" w:space="0" w:color="auto"/>
              <w:bottom w:val="single" w:sz="6" w:space="0" w:color="auto"/>
              <w:right w:val="single" w:sz="6" w:space="0" w:color="auto"/>
            </w:tcBorders>
          </w:tcPr>
          <w:p w:rsidR="00566192" w:rsidRPr="00B75FD7" w:rsidRDefault="0016300E" w:rsidP="00566192">
            <w:pPr>
              <w:autoSpaceDE w:val="0"/>
              <w:autoSpaceDN w:val="0"/>
              <w:adjustRightInd w:val="0"/>
              <w:rPr>
                <w:rFonts w:eastAsia="Calibri"/>
                <w:color w:val="000000"/>
                <w:sz w:val="22"/>
                <w:lang w:val="ru-RU"/>
              </w:rPr>
            </w:pPr>
            <w:r w:rsidRPr="00B75FD7">
              <w:rPr>
                <w:rFonts w:eastAsia="Calibri"/>
                <w:color w:val="000000"/>
                <w:sz w:val="22"/>
                <w:lang w:val="ru-RU"/>
              </w:rPr>
              <w:t>-</w:t>
            </w:r>
          </w:p>
        </w:tc>
        <w:tc>
          <w:tcPr>
            <w:tcW w:w="1138" w:type="dxa"/>
            <w:gridSpan w:val="3"/>
            <w:tcBorders>
              <w:top w:val="single" w:sz="6" w:space="0" w:color="auto"/>
              <w:left w:val="single" w:sz="6" w:space="0" w:color="auto"/>
              <w:bottom w:val="single" w:sz="6" w:space="0" w:color="auto"/>
              <w:right w:val="single" w:sz="6" w:space="0" w:color="auto"/>
            </w:tcBorders>
          </w:tcPr>
          <w:p w:rsidR="00566192" w:rsidRPr="00B75FD7" w:rsidRDefault="00566192" w:rsidP="00566192">
            <w:pPr>
              <w:autoSpaceDE w:val="0"/>
              <w:autoSpaceDN w:val="0"/>
              <w:adjustRightInd w:val="0"/>
              <w:rPr>
                <w:rFonts w:eastAsia="Calibri"/>
                <w:color w:val="000000"/>
                <w:sz w:val="22"/>
              </w:rPr>
            </w:pPr>
            <w:r w:rsidRPr="00B75FD7">
              <w:rPr>
                <w:rFonts w:eastAsia="Calibri"/>
                <w:color w:val="000000"/>
                <w:sz w:val="22"/>
                <w:lang w:val="ru-RU"/>
              </w:rPr>
              <w:t>2</w:t>
            </w:r>
            <w:r w:rsidRPr="00B75FD7">
              <w:rPr>
                <w:rFonts w:eastAsia="Calibri"/>
                <w:color w:val="000000"/>
                <w:sz w:val="22"/>
              </w:rPr>
              <w:t>000,0</w:t>
            </w:r>
          </w:p>
        </w:tc>
        <w:tc>
          <w:tcPr>
            <w:tcW w:w="1556" w:type="dxa"/>
            <w:tcBorders>
              <w:top w:val="single" w:sz="6" w:space="0" w:color="auto"/>
              <w:left w:val="single" w:sz="6" w:space="0" w:color="auto"/>
              <w:bottom w:val="single" w:sz="6" w:space="0" w:color="auto"/>
              <w:right w:val="single" w:sz="6" w:space="0" w:color="auto"/>
            </w:tcBorders>
          </w:tcPr>
          <w:p w:rsidR="00566192" w:rsidRPr="00B75FD7" w:rsidRDefault="00566192" w:rsidP="00566192">
            <w:pPr>
              <w:autoSpaceDE w:val="0"/>
              <w:autoSpaceDN w:val="0"/>
              <w:adjustRightInd w:val="0"/>
              <w:rPr>
                <w:rFonts w:eastAsia="Calibri"/>
                <w:color w:val="000000"/>
                <w:sz w:val="22"/>
              </w:rPr>
            </w:pPr>
            <w:r w:rsidRPr="00B75FD7">
              <w:rPr>
                <w:sz w:val="22"/>
              </w:rPr>
              <w:t>Міжнародні інвестиції, кошти приватних осіб</w:t>
            </w:r>
            <w:r w:rsidRPr="00B75FD7">
              <w:rPr>
                <w:rFonts w:eastAsia="Calibri"/>
                <w:color w:val="000000"/>
                <w:sz w:val="22"/>
              </w:rPr>
              <w:t>.</w:t>
            </w:r>
          </w:p>
        </w:tc>
        <w:tc>
          <w:tcPr>
            <w:tcW w:w="1190" w:type="dxa"/>
            <w:tcBorders>
              <w:top w:val="single" w:sz="6" w:space="0" w:color="auto"/>
              <w:left w:val="single" w:sz="6" w:space="0" w:color="auto"/>
              <w:bottom w:val="single" w:sz="6" w:space="0" w:color="auto"/>
              <w:right w:val="single" w:sz="6" w:space="0" w:color="auto"/>
            </w:tcBorders>
          </w:tcPr>
          <w:p w:rsidR="00566192" w:rsidRPr="00B75FD7" w:rsidRDefault="00566192" w:rsidP="00566192">
            <w:pPr>
              <w:autoSpaceDE w:val="0"/>
              <w:autoSpaceDN w:val="0"/>
              <w:adjustRightInd w:val="0"/>
              <w:rPr>
                <w:rFonts w:eastAsia="Calibri"/>
                <w:color w:val="000000"/>
                <w:sz w:val="22"/>
              </w:rPr>
            </w:pPr>
            <w:r w:rsidRPr="00B75FD7">
              <w:rPr>
                <w:rFonts w:eastAsia="Calibri"/>
                <w:color w:val="000000"/>
                <w:sz w:val="22"/>
                <w:lang w:val="ru-RU"/>
              </w:rPr>
              <w:t>4</w:t>
            </w:r>
            <w:r w:rsidRPr="00B75FD7">
              <w:rPr>
                <w:rFonts w:eastAsia="Calibri"/>
                <w:color w:val="000000"/>
                <w:sz w:val="22"/>
              </w:rPr>
              <w:t>000,0</w:t>
            </w:r>
          </w:p>
        </w:tc>
      </w:tr>
    </w:tbl>
    <w:p w:rsidR="00F069E5" w:rsidRPr="00B75FD7" w:rsidRDefault="00F069E5" w:rsidP="00E33AAA">
      <w:pPr>
        <w:tabs>
          <w:tab w:val="left" w:pos="5290"/>
        </w:tabs>
        <w:rPr>
          <w:b/>
          <w:sz w:val="22"/>
          <w:szCs w:val="22"/>
        </w:rPr>
      </w:pPr>
    </w:p>
    <w:p w:rsidR="00F069E5" w:rsidRPr="00B75FD7" w:rsidRDefault="00F069E5" w:rsidP="00E33AAA">
      <w:pPr>
        <w:tabs>
          <w:tab w:val="left" w:pos="5290"/>
        </w:tabs>
        <w:rPr>
          <w:b/>
          <w:sz w:val="22"/>
          <w:szCs w:val="22"/>
        </w:rPr>
      </w:pPr>
    </w:p>
    <w:tbl>
      <w:tblPr>
        <w:tblpPr w:leftFromText="180" w:rightFromText="180" w:vertAnchor="text" w:horzAnchor="page" w:tblpX="1" w:tblpY="123"/>
        <w:tblW w:w="11283" w:type="dxa"/>
        <w:tblLayout w:type="fixed"/>
        <w:tblCellMar>
          <w:left w:w="30" w:type="dxa"/>
          <w:right w:w="30" w:type="dxa"/>
        </w:tblCellMar>
        <w:tblLook w:val="0000" w:firstRow="0" w:lastRow="0" w:firstColumn="0" w:lastColumn="0" w:noHBand="0" w:noVBand="0"/>
      </w:tblPr>
      <w:tblGrid>
        <w:gridCol w:w="1447"/>
        <w:gridCol w:w="2833"/>
        <w:gridCol w:w="1840"/>
        <w:gridCol w:w="1278"/>
        <w:gridCol w:w="426"/>
        <w:gridCol w:w="706"/>
        <w:gridCol w:w="6"/>
        <w:gridCol w:w="989"/>
        <w:gridCol w:w="425"/>
        <w:gridCol w:w="1279"/>
        <w:gridCol w:w="54"/>
      </w:tblGrid>
      <w:tr w:rsidR="00BA6A1E" w:rsidRPr="00B75FD7" w:rsidTr="00566192">
        <w:trPr>
          <w:trHeight w:val="555"/>
        </w:trPr>
        <w:tc>
          <w:tcPr>
            <w:tcW w:w="1447" w:type="dxa"/>
            <w:tcBorders>
              <w:top w:val="nil"/>
              <w:left w:val="nil"/>
              <w:bottom w:val="nil"/>
              <w:right w:val="nil"/>
            </w:tcBorders>
          </w:tcPr>
          <w:p w:rsidR="00BA6A1E" w:rsidRPr="00B75FD7" w:rsidRDefault="00BA6A1E" w:rsidP="00C533DF">
            <w:pPr>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BA6A1E" w:rsidRPr="00B75FD7" w:rsidRDefault="00BA6A1E" w:rsidP="00C533DF">
            <w:pPr>
              <w:autoSpaceDE w:val="0"/>
              <w:autoSpaceDN w:val="0"/>
              <w:adjustRightInd w:val="0"/>
              <w:rPr>
                <w:rFonts w:eastAsia="Calibri"/>
                <w:b/>
                <w:color w:val="000000"/>
                <w:sz w:val="22"/>
              </w:rPr>
            </w:pPr>
            <w:r w:rsidRPr="00B75FD7">
              <w:rPr>
                <w:rFonts w:eastAsia="Calibri"/>
                <w:b/>
                <w:color w:val="000000"/>
                <w:sz w:val="22"/>
              </w:rPr>
              <w:t>Оперативна ціль/завдання</w:t>
            </w:r>
          </w:p>
        </w:tc>
        <w:tc>
          <w:tcPr>
            <w:tcW w:w="7003" w:type="dxa"/>
            <w:gridSpan w:val="9"/>
            <w:tcBorders>
              <w:top w:val="single" w:sz="6" w:space="0" w:color="auto"/>
              <w:left w:val="single" w:sz="6" w:space="0" w:color="auto"/>
              <w:bottom w:val="single" w:sz="6" w:space="0" w:color="auto"/>
              <w:right w:val="single" w:sz="6" w:space="0" w:color="auto"/>
            </w:tcBorders>
          </w:tcPr>
          <w:p w:rsidR="00BA6A1E" w:rsidRPr="00B75FD7" w:rsidRDefault="00BA6A1E" w:rsidP="00C533DF">
            <w:pPr>
              <w:pStyle w:val="a7"/>
              <w:ind w:left="0"/>
              <w:rPr>
                <w:rFonts w:eastAsia="Calibri"/>
                <w:color w:val="000000"/>
                <w:sz w:val="22"/>
              </w:rPr>
            </w:pPr>
            <w:r w:rsidRPr="00B75FD7">
              <w:rPr>
                <w:color w:val="222222"/>
                <w:sz w:val="22"/>
                <w:shd w:val="clear" w:color="auto" w:fill="FFFFFF"/>
              </w:rPr>
              <w:t>Людський розвиток через інновації управління та довіру до влади. Формування сучасного інклюзивного </w:t>
            </w:r>
            <w:proofErr w:type="spellStart"/>
            <w:r w:rsidRPr="00B75FD7">
              <w:rPr>
                <w:color w:val="222222"/>
                <w:sz w:val="22"/>
                <w:shd w:val="clear" w:color="auto" w:fill="FFFFFF"/>
              </w:rPr>
              <w:t>освітньо</w:t>
            </w:r>
            <w:proofErr w:type="spellEnd"/>
            <w:r w:rsidRPr="00B75FD7">
              <w:rPr>
                <w:color w:val="222222"/>
                <w:sz w:val="22"/>
                <w:shd w:val="clear" w:color="auto" w:fill="FFFFFF"/>
              </w:rPr>
              <w:t>-культурного та спортивного простору для розвитку</w:t>
            </w:r>
          </w:p>
        </w:tc>
      </w:tr>
      <w:tr w:rsidR="00BA6A1E" w:rsidRPr="00B75FD7" w:rsidTr="00566192">
        <w:trPr>
          <w:trHeight w:val="691"/>
        </w:trPr>
        <w:tc>
          <w:tcPr>
            <w:tcW w:w="1447" w:type="dxa"/>
            <w:tcBorders>
              <w:top w:val="nil"/>
              <w:left w:val="nil"/>
              <w:bottom w:val="nil"/>
              <w:right w:val="nil"/>
            </w:tcBorders>
          </w:tcPr>
          <w:p w:rsidR="00BA6A1E" w:rsidRPr="00B75FD7" w:rsidRDefault="00BA6A1E" w:rsidP="00C533DF">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BA6A1E" w:rsidRPr="00B75FD7" w:rsidRDefault="00BA6A1E" w:rsidP="00C533DF">
            <w:pPr>
              <w:autoSpaceDE w:val="0"/>
              <w:autoSpaceDN w:val="0"/>
              <w:adjustRightInd w:val="0"/>
              <w:rPr>
                <w:rFonts w:eastAsia="Calibri"/>
                <w:b/>
                <w:color w:val="000000"/>
                <w:sz w:val="22"/>
              </w:rPr>
            </w:pPr>
            <w:r w:rsidRPr="00B75FD7">
              <w:rPr>
                <w:rFonts w:eastAsia="Calibri"/>
                <w:b/>
                <w:color w:val="000000"/>
                <w:sz w:val="22"/>
              </w:rPr>
              <w:t>Назва проекту:</w:t>
            </w:r>
          </w:p>
        </w:tc>
        <w:tc>
          <w:tcPr>
            <w:tcW w:w="7003" w:type="dxa"/>
            <w:gridSpan w:val="9"/>
            <w:tcBorders>
              <w:top w:val="single" w:sz="6" w:space="0" w:color="auto"/>
              <w:left w:val="single" w:sz="6" w:space="0" w:color="auto"/>
              <w:bottom w:val="single" w:sz="6" w:space="0" w:color="auto"/>
              <w:right w:val="single" w:sz="6" w:space="0" w:color="auto"/>
            </w:tcBorders>
          </w:tcPr>
          <w:p w:rsidR="00BA6A1E" w:rsidRPr="00B75FD7" w:rsidRDefault="00BA6A1E" w:rsidP="00C533DF">
            <w:pPr>
              <w:autoSpaceDE w:val="0"/>
              <w:autoSpaceDN w:val="0"/>
              <w:adjustRightInd w:val="0"/>
              <w:rPr>
                <w:rFonts w:eastAsia="Calibri"/>
                <w:color w:val="000000"/>
                <w:sz w:val="22"/>
              </w:rPr>
            </w:pPr>
            <w:r w:rsidRPr="00B75FD7">
              <w:rPr>
                <w:rFonts w:eastAsia="Calibri"/>
                <w:color w:val="000000"/>
                <w:sz w:val="22"/>
              </w:rPr>
              <w:t xml:space="preserve">Оснащення харчоблоку Ясел-садка № 22 міста Сєвєродонецька Луганської області, за </w:t>
            </w:r>
            <w:proofErr w:type="spellStart"/>
            <w:r w:rsidRPr="00B75FD7">
              <w:rPr>
                <w:rFonts w:eastAsia="Calibri"/>
                <w:color w:val="000000"/>
                <w:sz w:val="22"/>
              </w:rPr>
              <w:t>адресою</w:t>
            </w:r>
            <w:proofErr w:type="spellEnd"/>
            <w:r w:rsidRPr="00B75FD7">
              <w:rPr>
                <w:rFonts w:eastAsia="Calibri"/>
                <w:color w:val="000000"/>
                <w:sz w:val="22"/>
              </w:rPr>
              <w:t>: 93400, Луганська область, Сєвєродонецький район, м. Сєвєродонецьк, проспект Космонавтів, буд. 6-а.</w:t>
            </w:r>
          </w:p>
        </w:tc>
      </w:tr>
      <w:tr w:rsidR="00BA6A1E" w:rsidRPr="00B75FD7" w:rsidTr="008835F9">
        <w:trPr>
          <w:trHeight w:val="690"/>
        </w:trPr>
        <w:tc>
          <w:tcPr>
            <w:tcW w:w="1447" w:type="dxa"/>
            <w:tcBorders>
              <w:top w:val="nil"/>
              <w:left w:val="nil"/>
              <w:bottom w:val="nil"/>
              <w:right w:val="nil"/>
            </w:tcBorders>
          </w:tcPr>
          <w:p w:rsidR="00BA6A1E" w:rsidRPr="00B75FD7" w:rsidRDefault="00BA6A1E" w:rsidP="00C533DF">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BA6A1E" w:rsidRPr="00B75FD7" w:rsidRDefault="00BA6A1E" w:rsidP="00C533DF">
            <w:pPr>
              <w:autoSpaceDE w:val="0"/>
              <w:autoSpaceDN w:val="0"/>
              <w:adjustRightInd w:val="0"/>
              <w:rPr>
                <w:rFonts w:eastAsia="Calibri"/>
                <w:b/>
                <w:color w:val="000000"/>
                <w:sz w:val="22"/>
              </w:rPr>
            </w:pPr>
            <w:r w:rsidRPr="00B75FD7">
              <w:rPr>
                <w:rFonts w:eastAsia="Calibri"/>
                <w:b/>
                <w:color w:val="000000"/>
                <w:sz w:val="22"/>
              </w:rPr>
              <w:t>Ціль проекту</w:t>
            </w:r>
          </w:p>
        </w:tc>
        <w:tc>
          <w:tcPr>
            <w:tcW w:w="7003" w:type="dxa"/>
            <w:gridSpan w:val="9"/>
            <w:tcBorders>
              <w:top w:val="single" w:sz="6" w:space="0" w:color="auto"/>
              <w:left w:val="single" w:sz="6" w:space="0" w:color="auto"/>
              <w:bottom w:val="single" w:sz="6" w:space="0" w:color="auto"/>
              <w:right w:val="single" w:sz="6" w:space="0" w:color="auto"/>
            </w:tcBorders>
          </w:tcPr>
          <w:p w:rsidR="00BA6A1E" w:rsidRPr="00B75FD7" w:rsidRDefault="00BA6A1E" w:rsidP="00C533DF">
            <w:pPr>
              <w:autoSpaceDE w:val="0"/>
              <w:autoSpaceDN w:val="0"/>
              <w:adjustRightInd w:val="0"/>
              <w:rPr>
                <w:rFonts w:eastAsia="Calibri"/>
                <w:color w:val="000000"/>
                <w:sz w:val="22"/>
              </w:rPr>
            </w:pPr>
            <w:r w:rsidRPr="00B75FD7">
              <w:rPr>
                <w:rFonts w:eastAsia="Calibri"/>
                <w:color w:val="000000"/>
                <w:sz w:val="22"/>
              </w:rPr>
              <w:t>Відновити діяльність харчоблоку Ясел-садка № 22.</w:t>
            </w:r>
          </w:p>
          <w:p w:rsidR="00BA6A1E" w:rsidRPr="00B75FD7" w:rsidRDefault="00BA6A1E" w:rsidP="008835F9">
            <w:pPr>
              <w:autoSpaceDE w:val="0"/>
              <w:autoSpaceDN w:val="0"/>
              <w:adjustRightInd w:val="0"/>
              <w:rPr>
                <w:rFonts w:eastAsia="Calibri"/>
                <w:color w:val="000000"/>
                <w:sz w:val="22"/>
              </w:rPr>
            </w:pPr>
            <w:r w:rsidRPr="00B75FD7">
              <w:rPr>
                <w:rFonts w:eastAsia="Calibri"/>
                <w:color w:val="000000"/>
                <w:sz w:val="22"/>
              </w:rPr>
              <w:t xml:space="preserve">Забезпечити якісне здорове харчування підростаючого покоління. Створити безпечне та сучасне середовище для приготування смачних та корисних страв для дітей відповідно до санітарно-гігієнічних та фізіологічних вимог.  </w:t>
            </w:r>
            <w:bookmarkStart w:id="50" w:name="_Hlk139377315"/>
            <w:r w:rsidRPr="00B75FD7">
              <w:rPr>
                <w:rFonts w:eastAsia="Calibri"/>
                <w:color w:val="000000"/>
                <w:sz w:val="22"/>
              </w:rPr>
              <w:t xml:space="preserve">Створити  комфортні та безпечні умови праці для </w:t>
            </w:r>
            <w:bookmarkEnd w:id="50"/>
            <w:r w:rsidRPr="00B75FD7">
              <w:rPr>
                <w:rFonts w:eastAsia="Calibri"/>
                <w:color w:val="000000"/>
                <w:sz w:val="22"/>
              </w:rPr>
              <w:t>працівників харчоблоку. Удосконалити технологію приготування страв  за допомогою сучасного технологічного обладнання та матеріально-технічного  оснащення харчоблоку. Організувати харчування вихованців згідно з вимогами  НАССП як важливого інструменту для контролю безпеки харчування.</w:t>
            </w:r>
          </w:p>
        </w:tc>
      </w:tr>
      <w:tr w:rsidR="00BA6A1E" w:rsidRPr="00B75FD7" w:rsidTr="00566192">
        <w:trPr>
          <w:trHeight w:val="290"/>
        </w:trPr>
        <w:tc>
          <w:tcPr>
            <w:tcW w:w="1447" w:type="dxa"/>
            <w:tcBorders>
              <w:top w:val="nil"/>
              <w:left w:val="nil"/>
              <w:bottom w:val="nil"/>
              <w:right w:val="nil"/>
            </w:tcBorders>
          </w:tcPr>
          <w:p w:rsidR="00BA6A1E" w:rsidRPr="00B75FD7" w:rsidRDefault="00BA6A1E" w:rsidP="00C533DF">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BA6A1E" w:rsidRPr="00B75FD7" w:rsidRDefault="00BA6A1E" w:rsidP="00C533DF">
            <w:pPr>
              <w:autoSpaceDE w:val="0"/>
              <w:autoSpaceDN w:val="0"/>
              <w:adjustRightInd w:val="0"/>
              <w:rPr>
                <w:rFonts w:eastAsia="Calibri"/>
                <w:b/>
                <w:color w:val="000000"/>
                <w:sz w:val="22"/>
              </w:rPr>
            </w:pPr>
            <w:r w:rsidRPr="00B75FD7">
              <w:rPr>
                <w:rFonts w:eastAsia="Calibri"/>
                <w:b/>
                <w:color w:val="000000"/>
                <w:sz w:val="22"/>
              </w:rPr>
              <w:t>Територія, на яку матиме вплив реалізація проекту</w:t>
            </w:r>
          </w:p>
        </w:tc>
        <w:tc>
          <w:tcPr>
            <w:tcW w:w="7003" w:type="dxa"/>
            <w:gridSpan w:val="9"/>
            <w:tcBorders>
              <w:top w:val="single" w:sz="6" w:space="0" w:color="auto"/>
              <w:left w:val="single" w:sz="6" w:space="0" w:color="auto"/>
              <w:bottom w:val="single" w:sz="6" w:space="0" w:color="auto"/>
              <w:right w:val="single" w:sz="6" w:space="0" w:color="auto"/>
            </w:tcBorders>
          </w:tcPr>
          <w:p w:rsidR="00BA6A1E" w:rsidRPr="00B75FD7" w:rsidRDefault="00BA6A1E" w:rsidP="00C533DF">
            <w:pPr>
              <w:autoSpaceDE w:val="0"/>
              <w:autoSpaceDN w:val="0"/>
              <w:adjustRightInd w:val="0"/>
              <w:rPr>
                <w:rFonts w:eastAsia="Calibri"/>
                <w:color w:val="000000"/>
                <w:sz w:val="22"/>
              </w:rPr>
            </w:pPr>
            <w:r w:rsidRPr="00B75FD7">
              <w:rPr>
                <w:rFonts w:eastAsia="Calibri"/>
                <w:color w:val="000000"/>
                <w:sz w:val="22"/>
              </w:rPr>
              <w:t>Сєвєродонецька міська територіальна громада</w:t>
            </w:r>
          </w:p>
        </w:tc>
      </w:tr>
      <w:tr w:rsidR="00BA6A1E" w:rsidRPr="00B75FD7" w:rsidTr="00566192">
        <w:trPr>
          <w:trHeight w:val="640"/>
        </w:trPr>
        <w:tc>
          <w:tcPr>
            <w:tcW w:w="1447" w:type="dxa"/>
            <w:tcBorders>
              <w:top w:val="nil"/>
              <w:left w:val="nil"/>
              <w:bottom w:val="nil"/>
              <w:right w:val="nil"/>
            </w:tcBorders>
          </w:tcPr>
          <w:p w:rsidR="00BA6A1E" w:rsidRPr="00B75FD7" w:rsidRDefault="00BA6A1E" w:rsidP="00C533DF">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BA6A1E" w:rsidRPr="00B75FD7" w:rsidRDefault="00BA6A1E" w:rsidP="00C533DF">
            <w:pPr>
              <w:autoSpaceDE w:val="0"/>
              <w:autoSpaceDN w:val="0"/>
              <w:adjustRightInd w:val="0"/>
              <w:rPr>
                <w:rFonts w:eastAsia="Calibri"/>
                <w:b/>
                <w:color w:val="000000"/>
                <w:sz w:val="22"/>
              </w:rPr>
            </w:pPr>
            <w:r w:rsidRPr="00B75FD7">
              <w:rPr>
                <w:rFonts w:eastAsia="Calibri"/>
                <w:b/>
                <w:color w:val="000000"/>
                <w:sz w:val="22"/>
              </w:rPr>
              <w:t>Чисельність населення, на яке матиме вплив реалізація проекту</w:t>
            </w:r>
          </w:p>
        </w:tc>
        <w:tc>
          <w:tcPr>
            <w:tcW w:w="7003" w:type="dxa"/>
            <w:gridSpan w:val="9"/>
            <w:tcBorders>
              <w:top w:val="single" w:sz="6" w:space="0" w:color="auto"/>
              <w:left w:val="single" w:sz="6" w:space="0" w:color="auto"/>
              <w:bottom w:val="single" w:sz="6" w:space="0" w:color="auto"/>
              <w:right w:val="single" w:sz="6" w:space="0" w:color="auto"/>
            </w:tcBorders>
          </w:tcPr>
          <w:p w:rsidR="00BA6A1E" w:rsidRPr="00B75FD7" w:rsidRDefault="00BA6A1E" w:rsidP="00C533DF">
            <w:pPr>
              <w:autoSpaceDE w:val="0"/>
              <w:autoSpaceDN w:val="0"/>
              <w:adjustRightInd w:val="0"/>
              <w:rPr>
                <w:rFonts w:eastAsia="Calibri"/>
                <w:color w:val="000000"/>
                <w:sz w:val="22"/>
              </w:rPr>
            </w:pPr>
            <w:r w:rsidRPr="00B75FD7">
              <w:rPr>
                <w:sz w:val="22"/>
              </w:rPr>
              <w:t>70 000 осіб</w:t>
            </w:r>
          </w:p>
        </w:tc>
      </w:tr>
      <w:tr w:rsidR="00BA6A1E" w:rsidRPr="00B75FD7" w:rsidTr="00566192">
        <w:trPr>
          <w:trHeight w:val="1261"/>
        </w:trPr>
        <w:tc>
          <w:tcPr>
            <w:tcW w:w="1447" w:type="dxa"/>
            <w:tcBorders>
              <w:top w:val="nil"/>
              <w:left w:val="nil"/>
              <w:bottom w:val="nil"/>
              <w:right w:val="nil"/>
            </w:tcBorders>
          </w:tcPr>
          <w:p w:rsidR="00BA6A1E" w:rsidRPr="00B75FD7" w:rsidRDefault="00BA6A1E" w:rsidP="00C533DF">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BA6A1E" w:rsidRPr="00B75FD7" w:rsidRDefault="00BA6A1E" w:rsidP="00C533DF">
            <w:pPr>
              <w:autoSpaceDE w:val="0"/>
              <w:autoSpaceDN w:val="0"/>
              <w:adjustRightInd w:val="0"/>
              <w:rPr>
                <w:rFonts w:eastAsia="Calibri"/>
                <w:b/>
                <w:color w:val="000000"/>
                <w:sz w:val="22"/>
              </w:rPr>
            </w:pPr>
            <w:r w:rsidRPr="00B75FD7">
              <w:rPr>
                <w:rFonts w:eastAsia="Calibri"/>
                <w:b/>
                <w:color w:val="000000"/>
                <w:sz w:val="22"/>
              </w:rPr>
              <w:t>Опис проблеми, на вирішення якої спрямований проект</w:t>
            </w:r>
          </w:p>
        </w:tc>
        <w:tc>
          <w:tcPr>
            <w:tcW w:w="7003" w:type="dxa"/>
            <w:gridSpan w:val="9"/>
            <w:tcBorders>
              <w:top w:val="single" w:sz="6" w:space="0" w:color="auto"/>
              <w:left w:val="single" w:sz="6" w:space="0" w:color="auto"/>
              <w:bottom w:val="single" w:sz="6" w:space="0" w:color="auto"/>
              <w:right w:val="single" w:sz="6" w:space="0" w:color="auto"/>
            </w:tcBorders>
          </w:tcPr>
          <w:p w:rsidR="00BA6A1E" w:rsidRPr="00B75FD7" w:rsidRDefault="00BA6A1E" w:rsidP="00C533DF">
            <w:pPr>
              <w:autoSpaceDE w:val="0"/>
              <w:autoSpaceDN w:val="0"/>
              <w:adjustRightInd w:val="0"/>
              <w:rPr>
                <w:sz w:val="22"/>
              </w:rPr>
            </w:pPr>
            <w:r w:rsidRPr="00B75FD7">
              <w:rPr>
                <w:rFonts w:eastAsia="Calibri"/>
                <w:color w:val="000000"/>
                <w:sz w:val="22"/>
              </w:rPr>
              <w:t xml:space="preserve"> Ясла-садок № 22 призупинив свою освітню діяльність,  внаслідок </w:t>
            </w:r>
            <w:r w:rsidRPr="00B75FD7">
              <w:rPr>
                <w:sz w:val="22"/>
              </w:rPr>
              <w:t xml:space="preserve"> військової агресії РФ.</w:t>
            </w:r>
          </w:p>
          <w:p w:rsidR="00BA6A1E" w:rsidRPr="00B75FD7" w:rsidRDefault="00BA6A1E" w:rsidP="00C533DF">
            <w:pPr>
              <w:autoSpaceDE w:val="0"/>
              <w:autoSpaceDN w:val="0"/>
              <w:adjustRightInd w:val="0"/>
              <w:rPr>
                <w:sz w:val="22"/>
              </w:rPr>
            </w:pPr>
            <w:r w:rsidRPr="00B75FD7">
              <w:rPr>
                <w:sz w:val="22"/>
              </w:rPr>
              <w:t xml:space="preserve"> Вся матеріально-технічна база харчоблоку, зокрема:</w:t>
            </w:r>
          </w:p>
          <w:p w:rsidR="00BA6A1E" w:rsidRPr="00B75FD7" w:rsidRDefault="00BA6A1E" w:rsidP="000303D7">
            <w:pPr>
              <w:numPr>
                <w:ilvl w:val="0"/>
                <w:numId w:val="81"/>
              </w:numPr>
              <w:autoSpaceDE w:val="0"/>
              <w:autoSpaceDN w:val="0"/>
              <w:adjustRightInd w:val="0"/>
              <w:jc w:val="left"/>
              <w:rPr>
                <w:sz w:val="22"/>
              </w:rPr>
            </w:pPr>
            <w:r w:rsidRPr="00B75FD7">
              <w:rPr>
                <w:sz w:val="22"/>
              </w:rPr>
              <w:t>обладнання (устаткування);</w:t>
            </w:r>
          </w:p>
          <w:p w:rsidR="00BA6A1E" w:rsidRPr="00B75FD7" w:rsidRDefault="00BA6A1E" w:rsidP="000303D7">
            <w:pPr>
              <w:numPr>
                <w:ilvl w:val="0"/>
                <w:numId w:val="81"/>
              </w:numPr>
              <w:autoSpaceDE w:val="0"/>
              <w:autoSpaceDN w:val="0"/>
              <w:adjustRightInd w:val="0"/>
              <w:jc w:val="left"/>
              <w:rPr>
                <w:sz w:val="22"/>
              </w:rPr>
            </w:pPr>
            <w:r w:rsidRPr="00B75FD7">
              <w:rPr>
                <w:sz w:val="22"/>
              </w:rPr>
              <w:t>вентиляційне обладнання;</w:t>
            </w:r>
          </w:p>
          <w:p w:rsidR="00BA6A1E" w:rsidRPr="00B75FD7" w:rsidRDefault="00BA6A1E" w:rsidP="000303D7">
            <w:pPr>
              <w:numPr>
                <w:ilvl w:val="0"/>
                <w:numId w:val="81"/>
              </w:numPr>
              <w:autoSpaceDE w:val="0"/>
              <w:autoSpaceDN w:val="0"/>
              <w:adjustRightInd w:val="0"/>
              <w:jc w:val="left"/>
              <w:rPr>
                <w:sz w:val="22"/>
              </w:rPr>
            </w:pPr>
            <w:r w:rsidRPr="00B75FD7">
              <w:rPr>
                <w:sz w:val="22"/>
              </w:rPr>
              <w:t>електрообладнання;</w:t>
            </w:r>
          </w:p>
          <w:p w:rsidR="00BA6A1E" w:rsidRPr="00B75FD7" w:rsidRDefault="00BA6A1E" w:rsidP="000303D7">
            <w:pPr>
              <w:numPr>
                <w:ilvl w:val="0"/>
                <w:numId w:val="81"/>
              </w:numPr>
              <w:autoSpaceDE w:val="0"/>
              <w:autoSpaceDN w:val="0"/>
              <w:adjustRightInd w:val="0"/>
              <w:jc w:val="left"/>
              <w:rPr>
                <w:sz w:val="22"/>
              </w:rPr>
            </w:pPr>
            <w:r w:rsidRPr="00B75FD7">
              <w:rPr>
                <w:sz w:val="22"/>
              </w:rPr>
              <w:t>побутова техніка;</w:t>
            </w:r>
          </w:p>
          <w:p w:rsidR="00BA6A1E" w:rsidRPr="00B75FD7" w:rsidRDefault="00BA6A1E" w:rsidP="000303D7">
            <w:pPr>
              <w:numPr>
                <w:ilvl w:val="0"/>
                <w:numId w:val="81"/>
              </w:numPr>
              <w:autoSpaceDE w:val="0"/>
              <w:autoSpaceDN w:val="0"/>
              <w:adjustRightInd w:val="0"/>
              <w:jc w:val="left"/>
              <w:rPr>
                <w:sz w:val="22"/>
              </w:rPr>
            </w:pPr>
            <w:r w:rsidRPr="00B75FD7">
              <w:rPr>
                <w:sz w:val="22"/>
              </w:rPr>
              <w:t>інвентар;</w:t>
            </w:r>
          </w:p>
          <w:p w:rsidR="00BA6A1E" w:rsidRPr="00B75FD7" w:rsidRDefault="00BA6A1E" w:rsidP="000303D7">
            <w:pPr>
              <w:numPr>
                <w:ilvl w:val="0"/>
                <w:numId w:val="81"/>
              </w:numPr>
              <w:autoSpaceDE w:val="0"/>
              <w:autoSpaceDN w:val="0"/>
              <w:adjustRightInd w:val="0"/>
              <w:jc w:val="left"/>
              <w:rPr>
                <w:sz w:val="22"/>
              </w:rPr>
            </w:pPr>
            <w:r w:rsidRPr="00B75FD7">
              <w:rPr>
                <w:sz w:val="22"/>
              </w:rPr>
              <w:t>сантехніка;</w:t>
            </w:r>
          </w:p>
          <w:p w:rsidR="00BA6A1E" w:rsidRPr="00B75FD7" w:rsidRDefault="00BA6A1E" w:rsidP="000303D7">
            <w:pPr>
              <w:numPr>
                <w:ilvl w:val="0"/>
                <w:numId w:val="81"/>
              </w:numPr>
              <w:autoSpaceDE w:val="0"/>
              <w:autoSpaceDN w:val="0"/>
              <w:adjustRightInd w:val="0"/>
              <w:jc w:val="left"/>
              <w:rPr>
                <w:sz w:val="22"/>
              </w:rPr>
            </w:pPr>
            <w:r w:rsidRPr="00B75FD7">
              <w:rPr>
                <w:sz w:val="22"/>
              </w:rPr>
              <w:t>холодильне обладнання (холодильні шафи, морозильні шафи);</w:t>
            </w:r>
          </w:p>
          <w:p w:rsidR="00BA6A1E" w:rsidRPr="00B75FD7" w:rsidRDefault="00BA6A1E" w:rsidP="000303D7">
            <w:pPr>
              <w:numPr>
                <w:ilvl w:val="0"/>
                <w:numId w:val="81"/>
              </w:numPr>
              <w:autoSpaceDE w:val="0"/>
              <w:autoSpaceDN w:val="0"/>
              <w:adjustRightInd w:val="0"/>
              <w:jc w:val="left"/>
              <w:rPr>
                <w:rFonts w:eastAsia="Calibri"/>
                <w:color w:val="000000"/>
                <w:sz w:val="22"/>
              </w:rPr>
            </w:pPr>
            <w:r w:rsidRPr="00B75FD7">
              <w:rPr>
                <w:rFonts w:eastAsia="Calibri"/>
                <w:color w:val="000000"/>
                <w:sz w:val="22"/>
              </w:rPr>
              <w:t xml:space="preserve">сучасне технологічне обладнання для приготування їжі </w:t>
            </w:r>
            <w:r w:rsidRPr="00B75FD7">
              <w:rPr>
                <w:sz w:val="22"/>
              </w:rPr>
              <w:t>було знищено або викрадено.</w:t>
            </w:r>
          </w:p>
          <w:p w:rsidR="00BA6A1E" w:rsidRPr="00B75FD7" w:rsidRDefault="00BA6A1E" w:rsidP="00C533DF">
            <w:pPr>
              <w:autoSpaceDE w:val="0"/>
              <w:autoSpaceDN w:val="0"/>
              <w:adjustRightInd w:val="0"/>
              <w:rPr>
                <w:rFonts w:eastAsia="Calibri"/>
                <w:color w:val="000000"/>
                <w:sz w:val="22"/>
              </w:rPr>
            </w:pPr>
            <w:r w:rsidRPr="00B75FD7">
              <w:rPr>
                <w:rFonts w:eastAsia="Arial"/>
                <w:sz w:val="22"/>
              </w:rPr>
              <w:t>Для відбудови та сталого розвитку громади потрібне відновлення роботи мережі закладів дошкільної освіти. Мешканці громади потребують  якісних освітніх послуг, які відповідають нормам сучасності.</w:t>
            </w:r>
          </w:p>
        </w:tc>
      </w:tr>
      <w:tr w:rsidR="00BA6A1E" w:rsidRPr="00B75FD7" w:rsidTr="00566192">
        <w:trPr>
          <w:trHeight w:val="1265"/>
        </w:trPr>
        <w:tc>
          <w:tcPr>
            <w:tcW w:w="1447" w:type="dxa"/>
            <w:tcBorders>
              <w:top w:val="nil"/>
              <w:left w:val="nil"/>
              <w:bottom w:val="nil"/>
              <w:right w:val="nil"/>
            </w:tcBorders>
          </w:tcPr>
          <w:p w:rsidR="00BA6A1E" w:rsidRPr="00B75FD7" w:rsidRDefault="00BA6A1E" w:rsidP="00C533DF">
            <w:pPr>
              <w:autoSpaceDE w:val="0"/>
              <w:autoSpaceDN w:val="0"/>
              <w:adjustRightInd w:val="0"/>
              <w:jc w:val="right"/>
              <w:rPr>
                <w:rFonts w:eastAsia="Calibri"/>
                <w:color w:val="000000"/>
                <w:sz w:val="22"/>
              </w:rPr>
            </w:pPr>
            <w:r w:rsidRPr="00B75FD7">
              <w:rPr>
                <w:rFonts w:eastAsia="Calibri"/>
                <w:color w:val="000000"/>
                <w:sz w:val="22"/>
              </w:rPr>
              <w:t xml:space="preserve">  </w:t>
            </w: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BA6A1E" w:rsidRPr="00B75FD7" w:rsidRDefault="00BA6A1E" w:rsidP="00C533DF">
            <w:pPr>
              <w:autoSpaceDE w:val="0"/>
              <w:autoSpaceDN w:val="0"/>
              <w:adjustRightInd w:val="0"/>
              <w:rPr>
                <w:rFonts w:eastAsia="Calibri"/>
                <w:b/>
                <w:color w:val="000000"/>
                <w:sz w:val="22"/>
              </w:rPr>
            </w:pPr>
            <w:r w:rsidRPr="00B75FD7">
              <w:rPr>
                <w:rFonts w:eastAsia="Calibri"/>
                <w:b/>
                <w:color w:val="000000"/>
                <w:sz w:val="22"/>
              </w:rPr>
              <w:t>Очікувані якісні результати від реалізації проекту</w:t>
            </w:r>
          </w:p>
        </w:tc>
        <w:tc>
          <w:tcPr>
            <w:tcW w:w="7003" w:type="dxa"/>
            <w:gridSpan w:val="9"/>
            <w:tcBorders>
              <w:top w:val="single" w:sz="6" w:space="0" w:color="auto"/>
              <w:left w:val="single" w:sz="6" w:space="0" w:color="auto"/>
              <w:bottom w:val="single" w:sz="6" w:space="0" w:color="auto"/>
              <w:right w:val="single" w:sz="6" w:space="0" w:color="auto"/>
            </w:tcBorders>
          </w:tcPr>
          <w:p w:rsidR="00BA6A1E" w:rsidRPr="00B75FD7" w:rsidRDefault="00BA6A1E" w:rsidP="00C533DF">
            <w:pPr>
              <w:autoSpaceDE w:val="0"/>
              <w:autoSpaceDN w:val="0"/>
              <w:adjustRightInd w:val="0"/>
              <w:rPr>
                <w:rFonts w:eastAsia="Calibri"/>
                <w:color w:val="000000"/>
                <w:sz w:val="22"/>
              </w:rPr>
            </w:pPr>
            <w:r w:rsidRPr="00B75FD7">
              <w:rPr>
                <w:rFonts w:eastAsia="Calibri"/>
                <w:color w:val="000000"/>
                <w:sz w:val="22"/>
              </w:rPr>
              <w:t xml:space="preserve">  Повноцінне функціонування приміщень харчоблоку Ясел-садка № 22.</w:t>
            </w:r>
          </w:p>
          <w:p w:rsidR="00BA6A1E" w:rsidRPr="00B75FD7" w:rsidRDefault="00BA6A1E" w:rsidP="00C533DF">
            <w:pPr>
              <w:autoSpaceDE w:val="0"/>
              <w:autoSpaceDN w:val="0"/>
              <w:adjustRightInd w:val="0"/>
              <w:rPr>
                <w:rFonts w:eastAsia="Calibri"/>
                <w:color w:val="000000"/>
                <w:sz w:val="22"/>
              </w:rPr>
            </w:pPr>
            <w:r w:rsidRPr="00B75FD7">
              <w:rPr>
                <w:rFonts w:eastAsia="Calibri"/>
                <w:color w:val="000000"/>
                <w:sz w:val="22"/>
              </w:rPr>
              <w:t xml:space="preserve"> Якісна та безпечна організація харчування дітей.</w:t>
            </w:r>
          </w:p>
          <w:p w:rsidR="00BA6A1E" w:rsidRPr="00B75FD7" w:rsidRDefault="00BA6A1E" w:rsidP="00C533DF">
            <w:pPr>
              <w:autoSpaceDE w:val="0"/>
              <w:autoSpaceDN w:val="0"/>
              <w:adjustRightInd w:val="0"/>
              <w:rPr>
                <w:rFonts w:eastAsia="Calibri"/>
                <w:color w:val="000000"/>
                <w:sz w:val="22"/>
              </w:rPr>
            </w:pPr>
            <w:r w:rsidRPr="00B75FD7">
              <w:rPr>
                <w:rFonts w:eastAsia="Calibri"/>
                <w:color w:val="000000"/>
                <w:sz w:val="22"/>
              </w:rPr>
              <w:t xml:space="preserve"> Отримання щорічного економічного ефекту, зменшення рівня енергоспоживання за рахунок сучасного технологічного обладнання.</w:t>
            </w:r>
          </w:p>
          <w:p w:rsidR="00BA6A1E" w:rsidRPr="00B75FD7" w:rsidRDefault="00BA6A1E" w:rsidP="00C533DF">
            <w:pPr>
              <w:autoSpaceDE w:val="0"/>
              <w:autoSpaceDN w:val="0"/>
              <w:adjustRightInd w:val="0"/>
              <w:rPr>
                <w:rFonts w:eastAsia="Calibri"/>
                <w:color w:val="000000"/>
                <w:sz w:val="22"/>
              </w:rPr>
            </w:pPr>
            <w:r w:rsidRPr="00B75FD7">
              <w:rPr>
                <w:rFonts w:eastAsia="Calibri"/>
                <w:color w:val="000000"/>
                <w:sz w:val="22"/>
              </w:rPr>
              <w:t>Раціональне використання робочого часу працівників харчоблоку. Організація харчування дітей згідно з вимогами  НАССП як важливого інструменту для контролю безпеки харчування, а також створення умов</w:t>
            </w:r>
            <w:r w:rsidR="00221CFB" w:rsidRPr="00B75FD7">
              <w:rPr>
                <w:rFonts w:eastAsia="Calibri"/>
                <w:color w:val="000000"/>
                <w:sz w:val="22"/>
              </w:rPr>
              <w:t>,</w:t>
            </w:r>
            <w:r w:rsidRPr="00B75FD7">
              <w:rPr>
                <w:rFonts w:eastAsia="Calibri"/>
                <w:color w:val="000000"/>
                <w:sz w:val="22"/>
              </w:rPr>
              <w:t xml:space="preserve"> оптимальних для профілактики та запобігання ризиків, пов'язаних з інфікуванням продуктів харчування.</w:t>
            </w:r>
          </w:p>
          <w:p w:rsidR="00BA6A1E" w:rsidRPr="00B75FD7" w:rsidRDefault="00BA6A1E" w:rsidP="00C533DF">
            <w:pPr>
              <w:autoSpaceDE w:val="0"/>
              <w:autoSpaceDN w:val="0"/>
              <w:adjustRightInd w:val="0"/>
              <w:rPr>
                <w:rFonts w:eastAsia="Calibri"/>
                <w:color w:val="000000"/>
                <w:sz w:val="22"/>
              </w:rPr>
            </w:pPr>
            <w:r w:rsidRPr="00B75FD7">
              <w:rPr>
                <w:rFonts w:eastAsia="Calibri"/>
                <w:color w:val="000000"/>
                <w:sz w:val="22"/>
              </w:rPr>
              <w:t>Зменшення рівня споживання електроенергії.</w:t>
            </w:r>
          </w:p>
        </w:tc>
      </w:tr>
      <w:tr w:rsidR="00BA6A1E" w:rsidRPr="00B75FD7" w:rsidTr="00566192">
        <w:trPr>
          <w:gridAfter w:val="1"/>
          <w:wAfter w:w="54" w:type="dxa"/>
          <w:trHeight w:val="581"/>
        </w:trPr>
        <w:tc>
          <w:tcPr>
            <w:tcW w:w="1447" w:type="dxa"/>
            <w:tcBorders>
              <w:top w:val="nil"/>
              <w:left w:val="nil"/>
              <w:bottom w:val="nil"/>
              <w:right w:val="nil"/>
            </w:tcBorders>
          </w:tcPr>
          <w:p w:rsidR="00BA6A1E" w:rsidRPr="00B75FD7" w:rsidRDefault="00BA6A1E" w:rsidP="00C533DF">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BA6A1E" w:rsidRPr="00B75FD7" w:rsidRDefault="00BA6A1E" w:rsidP="00C533DF">
            <w:pPr>
              <w:autoSpaceDE w:val="0"/>
              <w:autoSpaceDN w:val="0"/>
              <w:adjustRightInd w:val="0"/>
              <w:rPr>
                <w:rFonts w:eastAsia="Calibri"/>
                <w:b/>
                <w:color w:val="000000"/>
                <w:sz w:val="22"/>
              </w:rPr>
            </w:pPr>
            <w:r w:rsidRPr="00B75FD7">
              <w:rPr>
                <w:rFonts w:eastAsia="Calibri"/>
                <w:b/>
                <w:color w:val="000000"/>
                <w:sz w:val="22"/>
              </w:rPr>
              <w:t>Очікувані кількісні результати від реалізації проекту  (індикатори)</w:t>
            </w:r>
          </w:p>
        </w:tc>
        <w:tc>
          <w:tcPr>
            <w:tcW w:w="3544" w:type="dxa"/>
            <w:gridSpan w:val="3"/>
            <w:tcBorders>
              <w:top w:val="single" w:sz="6" w:space="0" w:color="auto"/>
              <w:left w:val="single" w:sz="6" w:space="0" w:color="auto"/>
              <w:bottom w:val="single" w:sz="6" w:space="0" w:color="auto"/>
              <w:right w:val="single" w:sz="6" w:space="0" w:color="auto"/>
            </w:tcBorders>
          </w:tcPr>
          <w:p w:rsidR="00BA6A1E" w:rsidRPr="00B75FD7" w:rsidRDefault="00BA6A1E" w:rsidP="00C533DF">
            <w:pPr>
              <w:autoSpaceDE w:val="0"/>
              <w:autoSpaceDN w:val="0"/>
              <w:adjustRightInd w:val="0"/>
              <w:jc w:val="center"/>
              <w:rPr>
                <w:rFonts w:eastAsia="Calibri"/>
                <w:b/>
                <w:color w:val="000000"/>
                <w:sz w:val="22"/>
              </w:rPr>
            </w:pPr>
            <w:r w:rsidRPr="00B75FD7">
              <w:rPr>
                <w:rFonts w:eastAsia="Calibri"/>
                <w:b/>
                <w:color w:val="000000"/>
                <w:sz w:val="22"/>
              </w:rPr>
              <w:t>Найменування показника</w:t>
            </w:r>
          </w:p>
        </w:tc>
        <w:tc>
          <w:tcPr>
            <w:tcW w:w="1701" w:type="dxa"/>
            <w:gridSpan w:val="3"/>
            <w:tcBorders>
              <w:top w:val="single" w:sz="6" w:space="0" w:color="auto"/>
              <w:left w:val="single" w:sz="6" w:space="0" w:color="auto"/>
              <w:bottom w:val="single" w:sz="6" w:space="0" w:color="auto"/>
              <w:right w:val="single" w:sz="6" w:space="0" w:color="auto"/>
            </w:tcBorders>
          </w:tcPr>
          <w:p w:rsidR="00BA6A1E" w:rsidRPr="00B75FD7" w:rsidRDefault="00BA6A1E" w:rsidP="00C533DF">
            <w:pPr>
              <w:autoSpaceDE w:val="0"/>
              <w:autoSpaceDN w:val="0"/>
              <w:adjustRightInd w:val="0"/>
              <w:jc w:val="center"/>
              <w:rPr>
                <w:rFonts w:eastAsia="Calibri"/>
                <w:b/>
                <w:color w:val="000000"/>
                <w:sz w:val="22"/>
              </w:rPr>
            </w:pPr>
            <w:r w:rsidRPr="00B75FD7">
              <w:rPr>
                <w:rFonts w:eastAsia="Calibri"/>
                <w:b/>
                <w:color w:val="000000"/>
                <w:sz w:val="22"/>
              </w:rPr>
              <w:t>Одиниця вимірювання</w:t>
            </w:r>
          </w:p>
        </w:tc>
        <w:tc>
          <w:tcPr>
            <w:tcW w:w="1704" w:type="dxa"/>
            <w:gridSpan w:val="2"/>
            <w:tcBorders>
              <w:top w:val="single" w:sz="6" w:space="0" w:color="auto"/>
              <w:left w:val="single" w:sz="6" w:space="0" w:color="auto"/>
              <w:bottom w:val="single" w:sz="6" w:space="0" w:color="auto"/>
              <w:right w:val="single" w:sz="6" w:space="0" w:color="auto"/>
            </w:tcBorders>
          </w:tcPr>
          <w:p w:rsidR="00BA6A1E" w:rsidRPr="00B75FD7" w:rsidRDefault="00BA6A1E" w:rsidP="00C533DF">
            <w:pPr>
              <w:autoSpaceDE w:val="0"/>
              <w:autoSpaceDN w:val="0"/>
              <w:adjustRightInd w:val="0"/>
              <w:jc w:val="center"/>
              <w:rPr>
                <w:rFonts w:eastAsia="Calibri"/>
                <w:b/>
                <w:color w:val="000000"/>
                <w:sz w:val="22"/>
              </w:rPr>
            </w:pPr>
            <w:r w:rsidRPr="00B75FD7">
              <w:rPr>
                <w:rFonts w:eastAsia="Calibri"/>
                <w:b/>
                <w:color w:val="000000"/>
                <w:sz w:val="22"/>
              </w:rPr>
              <w:t>Прогнозне (цільове) значення</w:t>
            </w:r>
          </w:p>
        </w:tc>
      </w:tr>
      <w:tr w:rsidR="00BA6A1E" w:rsidRPr="00B75FD7" w:rsidTr="00566192">
        <w:trPr>
          <w:gridAfter w:val="1"/>
          <w:wAfter w:w="54" w:type="dxa"/>
          <w:trHeight w:val="1260"/>
        </w:trPr>
        <w:tc>
          <w:tcPr>
            <w:tcW w:w="1447" w:type="dxa"/>
            <w:vMerge w:val="restart"/>
            <w:tcBorders>
              <w:left w:val="nil"/>
              <w:right w:val="nil"/>
            </w:tcBorders>
          </w:tcPr>
          <w:p w:rsidR="00BA6A1E" w:rsidRPr="00B75FD7" w:rsidRDefault="00BA6A1E" w:rsidP="00C533DF">
            <w:pPr>
              <w:autoSpaceDE w:val="0"/>
              <w:autoSpaceDN w:val="0"/>
              <w:adjustRightInd w:val="0"/>
              <w:jc w:val="right"/>
              <w:rPr>
                <w:rFonts w:eastAsia="Calibri"/>
                <w:color w:val="000000"/>
                <w:sz w:val="22"/>
              </w:rPr>
            </w:pPr>
          </w:p>
        </w:tc>
        <w:tc>
          <w:tcPr>
            <w:tcW w:w="2833" w:type="dxa"/>
            <w:vMerge w:val="restart"/>
            <w:tcBorders>
              <w:left w:val="single" w:sz="6" w:space="0" w:color="auto"/>
              <w:right w:val="single" w:sz="6" w:space="0" w:color="auto"/>
            </w:tcBorders>
            <w:shd w:val="clear" w:color="00FFFF" w:fill="C6D9F1" w:themeFill="text2" w:themeFillTint="33"/>
          </w:tcPr>
          <w:p w:rsidR="00BA6A1E" w:rsidRPr="00B75FD7" w:rsidRDefault="00BA6A1E" w:rsidP="00C533DF">
            <w:pPr>
              <w:autoSpaceDE w:val="0"/>
              <w:autoSpaceDN w:val="0"/>
              <w:adjustRightInd w:val="0"/>
              <w:rPr>
                <w:rFonts w:eastAsia="Calibri"/>
                <w:b/>
                <w:color w:val="000000"/>
                <w:sz w:val="22"/>
              </w:rPr>
            </w:pPr>
          </w:p>
        </w:tc>
        <w:tc>
          <w:tcPr>
            <w:tcW w:w="3544" w:type="dxa"/>
            <w:gridSpan w:val="3"/>
            <w:tcBorders>
              <w:top w:val="single" w:sz="4" w:space="0" w:color="auto"/>
              <w:left w:val="single" w:sz="6" w:space="0" w:color="auto"/>
              <w:bottom w:val="single" w:sz="4" w:space="0" w:color="auto"/>
              <w:right w:val="single" w:sz="6" w:space="0" w:color="auto"/>
            </w:tcBorders>
          </w:tcPr>
          <w:p w:rsidR="00BA6A1E" w:rsidRPr="00B75FD7" w:rsidRDefault="00BA6A1E" w:rsidP="00C533DF">
            <w:pPr>
              <w:autoSpaceDE w:val="0"/>
              <w:autoSpaceDN w:val="0"/>
              <w:adjustRightInd w:val="0"/>
              <w:rPr>
                <w:rFonts w:eastAsia="Calibri"/>
                <w:color w:val="000000"/>
                <w:sz w:val="22"/>
              </w:rPr>
            </w:pPr>
            <w:r w:rsidRPr="00B75FD7">
              <w:rPr>
                <w:rFonts w:eastAsia="Calibri"/>
                <w:color w:val="000000"/>
                <w:sz w:val="22"/>
              </w:rPr>
              <w:t>Забезпечення вихованців повноцінним якісним, раціональним та</w:t>
            </w:r>
          </w:p>
          <w:p w:rsidR="00BA6A1E" w:rsidRPr="00B75FD7" w:rsidRDefault="00BA6A1E" w:rsidP="00C533DF">
            <w:pPr>
              <w:autoSpaceDE w:val="0"/>
              <w:autoSpaceDN w:val="0"/>
              <w:adjustRightInd w:val="0"/>
              <w:rPr>
                <w:rFonts w:eastAsia="Calibri"/>
                <w:color w:val="000000"/>
                <w:sz w:val="22"/>
              </w:rPr>
            </w:pPr>
            <w:r w:rsidRPr="00B75FD7">
              <w:rPr>
                <w:rFonts w:eastAsia="Calibri"/>
                <w:color w:val="000000"/>
                <w:sz w:val="22"/>
              </w:rPr>
              <w:t>збалансованим харчуванням, що відповідає їх віковим та</w:t>
            </w:r>
          </w:p>
          <w:p w:rsidR="00BA6A1E" w:rsidRPr="00B75FD7" w:rsidRDefault="00BA6A1E" w:rsidP="00C533DF">
            <w:pPr>
              <w:autoSpaceDE w:val="0"/>
              <w:autoSpaceDN w:val="0"/>
              <w:adjustRightInd w:val="0"/>
              <w:rPr>
                <w:rFonts w:eastAsia="Calibri"/>
                <w:color w:val="000000"/>
                <w:sz w:val="22"/>
              </w:rPr>
            </w:pPr>
            <w:r w:rsidRPr="00B75FD7">
              <w:rPr>
                <w:rFonts w:eastAsia="Calibri"/>
                <w:color w:val="000000"/>
                <w:sz w:val="22"/>
              </w:rPr>
              <w:t xml:space="preserve">індивідуальним потребам.   </w:t>
            </w:r>
          </w:p>
        </w:tc>
        <w:tc>
          <w:tcPr>
            <w:tcW w:w="1701" w:type="dxa"/>
            <w:gridSpan w:val="3"/>
            <w:tcBorders>
              <w:top w:val="single" w:sz="4" w:space="0" w:color="auto"/>
              <w:left w:val="single" w:sz="6" w:space="0" w:color="auto"/>
              <w:bottom w:val="single" w:sz="4" w:space="0" w:color="auto"/>
              <w:right w:val="single" w:sz="6" w:space="0" w:color="auto"/>
            </w:tcBorders>
          </w:tcPr>
          <w:p w:rsidR="00BA6A1E" w:rsidRPr="00B75FD7" w:rsidRDefault="00BA6A1E" w:rsidP="00C533DF">
            <w:pPr>
              <w:autoSpaceDE w:val="0"/>
              <w:autoSpaceDN w:val="0"/>
              <w:adjustRightInd w:val="0"/>
              <w:jc w:val="center"/>
              <w:rPr>
                <w:rFonts w:eastAsia="Calibri"/>
                <w:color w:val="000000"/>
                <w:sz w:val="22"/>
              </w:rPr>
            </w:pPr>
            <w:r w:rsidRPr="00B75FD7">
              <w:rPr>
                <w:rFonts w:eastAsia="Calibri"/>
                <w:color w:val="000000"/>
                <w:sz w:val="22"/>
              </w:rPr>
              <w:t>осіб</w:t>
            </w:r>
          </w:p>
        </w:tc>
        <w:tc>
          <w:tcPr>
            <w:tcW w:w="1704" w:type="dxa"/>
            <w:gridSpan w:val="2"/>
            <w:tcBorders>
              <w:top w:val="single" w:sz="4" w:space="0" w:color="auto"/>
              <w:left w:val="single" w:sz="6" w:space="0" w:color="auto"/>
              <w:bottom w:val="single" w:sz="4" w:space="0" w:color="auto"/>
              <w:right w:val="single" w:sz="6" w:space="0" w:color="auto"/>
            </w:tcBorders>
          </w:tcPr>
          <w:p w:rsidR="00BA6A1E" w:rsidRPr="00B75FD7" w:rsidRDefault="00BA6A1E" w:rsidP="00C533DF">
            <w:pPr>
              <w:autoSpaceDE w:val="0"/>
              <w:autoSpaceDN w:val="0"/>
              <w:adjustRightInd w:val="0"/>
              <w:jc w:val="center"/>
              <w:rPr>
                <w:rFonts w:eastAsia="Calibri"/>
                <w:color w:val="000000"/>
                <w:sz w:val="22"/>
              </w:rPr>
            </w:pPr>
            <w:r w:rsidRPr="00B75FD7">
              <w:rPr>
                <w:rFonts w:eastAsia="Calibri"/>
                <w:color w:val="000000"/>
                <w:sz w:val="22"/>
              </w:rPr>
              <w:t>200</w:t>
            </w:r>
          </w:p>
        </w:tc>
      </w:tr>
      <w:tr w:rsidR="00BA6A1E" w:rsidRPr="00B75FD7" w:rsidTr="00566192">
        <w:trPr>
          <w:gridAfter w:val="1"/>
          <w:wAfter w:w="54" w:type="dxa"/>
          <w:trHeight w:val="675"/>
        </w:trPr>
        <w:tc>
          <w:tcPr>
            <w:tcW w:w="1447" w:type="dxa"/>
            <w:vMerge/>
            <w:tcBorders>
              <w:left w:val="nil"/>
              <w:right w:val="nil"/>
            </w:tcBorders>
          </w:tcPr>
          <w:p w:rsidR="00BA6A1E" w:rsidRPr="00B75FD7" w:rsidRDefault="00BA6A1E" w:rsidP="00C533DF">
            <w:pPr>
              <w:autoSpaceDE w:val="0"/>
              <w:autoSpaceDN w:val="0"/>
              <w:adjustRightInd w:val="0"/>
              <w:jc w:val="right"/>
              <w:rPr>
                <w:rFonts w:eastAsia="Calibri"/>
                <w:color w:val="000000"/>
                <w:sz w:val="22"/>
              </w:rPr>
            </w:pPr>
          </w:p>
        </w:tc>
        <w:tc>
          <w:tcPr>
            <w:tcW w:w="2833" w:type="dxa"/>
            <w:vMerge/>
            <w:tcBorders>
              <w:left w:val="single" w:sz="6" w:space="0" w:color="auto"/>
              <w:right w:val="single" w:sz="6" w:space="0" w:color="auto"/>
            </w:tcBorders>
            <w:shd w:val="clear" w:color="00FFFF" w:fill="C6D9F1" w:themeFill="text2" w:themeFillTint="33"/>
          </w:tcPr>
          <w:p w:rsidR="00BA6A1E" w:rsidRPr="00B75FD7" w:rsidRDefault="00BA6A1E" w:rsidP="00C533DF">
            <w:pPr>
              <w:autoSpaceDE w:val="0"/>
              <w:autoSpaceDN w:val="0"/>
              <w:adjustRightInd w:val="0"/>
              <w:rPr>
                <w:rFonts w:eastAsia="Calibri"/>
                <w:b/>
                <w:color w:val="000000"/>
                <w:sz w:val="22"/>
              </w:rPr>
            </w:pPr>
          </w:p>
        </w:tc>
        <w:tc>
          <w:tcPr>
            <w:tcW w:w="3544" w:type="dxa"/>
            <w:gridSpan w:val="3"/>
            <w:tcBorders>
              <w:top w:val="single" w:sz="4" w:space="0" w:color="auto"/>
              <w:left w:val="single" w:sz="6" w:space="0" w:color="auto"/>
              <w:bottom w:val="single" w:sz="4" w:space="0" w:color="auto"/>
              <w:right w:val="single" w:sz="6" w:space="0" w:color="auto"/>
            </w:tcBorders>
          </w:tcPr>
          <w:p w:rsidR="00BA6A1E" w:rsidRPr="00B75FD7" w:rsidRDefault="00BA6A1E" w:rsidP="00C533DF">
            <w:pPr>
              <w:autoSpaceDE w:val="0"/>
              <w:autoSpaceDN w:val="0"/>
              <w:adjustRightInd w:val="0"/>
              <w:rPr>
                <w:rFonts w:eastAsia="Calibri"/>
                <w:color w:val="000000"/>
                <w:sz w:val="22"/>
              </w:rPr>
            </w:pPr>
            <w:r w:rsidRPr="00B75FD7">
              <w:rPr>
                <w:rFonts w:eastAsia="Calibri"/>
                <w:color w:val="000000"/>
                <w:sz w:val="22"/>
              </w:rPr>
              <w:t>Підвищення продуктивності праці працівників харчоблоку.</w:t>
            </w:r>
          </w:p>
        </w:tc>
        <w:tc>
          <w:tcPr>
            <w:tcW w:w="1701" w:type="dxa"/>
            <w:gridSpan w:val="3"/>
            <w:tcBorders>
              <w:top w:val="single" w:sz="4" w:space="0" w:color="auto"/>
              <w:left w:val="single" w:sz="6" w:space="0" w:color="auto"/>
              <w:bottom w:val="single" w:sz="4" w:space="0" w:color="auto"/>
              <w:right w:val="single" w:sz="6" w:space="0" w:color="auto"/>
            </w:tcBorders>
          </w:tcPr>
          <w:p w:rsidR="00BA6A1E" w:rsidRPr="00B75FD7" w:rsidRDefault="00BA6A1E" w:rsidP="00C533DF">
            <w:pPr>
              <w:autoSpaceDE w:val="0"/>
              <w:autoSpaceDN w:val="0"/>
              <w:adjustRightInd w:val="0"/>
              <w:jc w:val="center"/>
              <w:rPr>
                <w:rFonts w:eastAsia="Calibri"/>
                <w:color w:val="000000"/>
                <w:sz w:val="22"/>
              </w:rPr>
            </w:pPr>
            <w:r w:rsidRPr="00B75FD7">
              <w:rPr>
                <w:rFonts w:eastAsia="Calibri"/>
                <w:color w:val="000000"/>
                <w:sz w:val="22"/>
              </w:rPr>
              <w:t>осіб</w:t>
            </w:r>
          </w:p>
        </w:tc>
        <w:tc>
          <w:tcPr>
            <w:tcW w:w="1704" w:type="dxa"/>
            <w:gridSpan w:val="2"/>
            <w:tcBorders>
              <w:top w:val="single" w:sz="4" w:space="0" w:color="auto"/>
              <w:left w:val="single" w:sz="6" w:space="0" w:color="auto"/>
              <w:bottom w:val="single" w:sz="4" w:space="0" w:color="auto"/>
              <w:right w:val="single" w:sz="6" w:space="0" w:color="auto"/>
            </w:tcBorders>
          </w:tcPr>
          <w:p w:rsidR="00BA6A1E" w:rsidRPr="00B75FD7" w:rsidRDefault="00BA6A1E" w:rsidP="00C533DF">
            <w:pPr>
              <w:autoSpaceDE w:val="0"/>
              <w:autoSpaceDN w:val="0"/>
              <w:adjustRightInd w:val="0"/>
              <w:jc w:val="center"/>
              <w:rPr>
                <w:rFonts w:eastAsia="Calibri"/>
                <w:color w:val="000000"/>
                <w:sz w:val="22"/>
              </w:rPr>
            </w:pPr>
            <w:r w:rsidRPr="00B75FD7">
              <w:rPr>
                <w:rFonts w:eastAsia="Calibri"/>
                <w:color w:val="000000"/>
                <w:sz w:val="22"/>
              </w:rPr>
              <w:t>8</w:t>
            </w:r>
          </w:p>
        </w:tc>
      </w:tr>
      <w:tr w:rsidR="00BA6A1E" w:rsidRPr="00B75FD7" w:rsidTr="00221CFB">
        <w:trPr>
          <w:gridAfter w:val="1"/>
          <w:wAfter w:w="54" w:type="dxa"/>
          <w:trHeight w:val="695"/>
        </w:trPr>
        <w:tc>
          <w:tcPr>
            <w:tcW w:w="1447" w:type="dxa"/>
            <w:vMerge/>
            <w:tcBorders>
              <w:left w:val="nil"/>
              <w:right w:val="nil"/>
            </w:tcBorders>
          </w:tcPr>
          <w:p w:rsidR="00BA6A1E" w:rsidRPr="00B75FD7" w:rsidRDefault="00BA6A1E" w:rsidP="00C533DF">
            <w:pPr>
              <w:autoSpaceDE w:val="0"/>
              <w:autoSpaceDN w:val="0"/>
              <w:adjustRightInd w:val="0"/>
              <w:jc w:val="right"/>
              <w:rPr>
                <w:rFonts w:eastAsia="Calibri"/>
                <w:color w:val="000000"/>
                <w:sz w:val="22"/>
              </w:rPr>
            </w:pPr>
          </w:p>
        </w:tc>
        <w:tc>
          <w:tcPr>
            <w:tcW w:w="2833" w:type="dxa"/>
            <w:vMerge/>
            <w:tcBorders>
              <w:left w:val="single" w:sz="6" w:space="0" w:color="auto"/>
              <w:right w:val="single" w:sz="6" w:space="0" w:color="auto"/>
            </w:tcBorders>
            <w:shd w:val="clear" w:color="00FFFF" w:fill="C6D9F1" w:themeFill="text2" w:themeFillTint="33"/>
          </w:tcPr>
          <w:p w:rsidR="00BA6A1E" w:rsidRPr="00B75FD7" w:rsidRDefault="00BA6A1E" w:rsidP="00C533DF">
            <w:pPr>
              <w:autoSpaceDE w:val="0"/>
              <w:autoSpaceDN w:val="0"/>
              <w:adjustRightInd w:val="0"/>
              <w:rPr>
                <w:rFonts w:eastAsia="Calibri"/>
                <w:b/>
                <w:color w:val="000000"/>
                <w:sz w:val="22"/>
              </w:rPr>
            </w:pPr>
          </w:p>
        </w:tc>
        <w:tc>
          <w:tcPr>
            <w:tcW w:w="3544" w:type="dxa"/>
            <w:gridSpan w:val="3"/>
            <w:tcBorders>
              <w:top w:val="single" w:sz="4" w:space="0" w:color="auto"/>
              <w:left w:val="single" w:sz="6" w:space="0" w:color="auto"/>
              <w:bottom w:val="single" w:sz="4" w:space="0" w:color="auto"/>
              <w:right w:val="single" w:sz="6" w:space="0" w:color="auto"/>
            </w:tcBorders>
          </w:tcPr>
          <w:p w:rsidR="00BA6A1E" w:rsidRPr="00B75FD7" w:rsidRDefault="00BA6A1E" w:rsidP="00C533DF">
            <w:pPr>
              <w:autoSpaceDE w:val="0"/>
              <w:autoSpaceDN w:val="0"/>
              <w:adjustRightInd w:val="0"/>
              <w:rPr>
                <w:rFonts w:eastAsia="Calibri"/>
                <w:color w:val="000000"/>
                <w:sz w:val="22"/>
              </w:rPr>
            </w:pPr>
            <w:r w:rsidRPr="00B75FD7">
              <w:rPr>
                <w:rFonts w:eastAsia="Calibri"/>
                <w:color w:val="000000"/>
                <w:sz w:val="22"/>
              </w:rPr>
              <w:t>Повноцінне функціонування приміщень харчоблоку.</w:t>
            </w:r>
          </w:p>
        </w:tc>
        <w:tc>
          <w:tcPr>
            <w:tcW w:w="1701" w:type="dxa"/>
            <w:gridSpan w:val="3"/>
            <w:tcBorders>
              <w:top w:val="single" w:sz="4" w:space="0" w:color="auto"/>
              <w:left w:val="single" w:sz="6" w:space="0" w:color="auto"/>
              <w:bottom w:val="single" w:sz="4" w:space="0" w:color="auto"/>
              <w:right w:val="single" w:sz="6" w:space="0" w:color="auto"/>
            </w:tcBorders>
          </w:tcPr>
          <w:p w:rsidR="00BA6A1E" w:rsidRPr="00B75FD7" w:rsidRDefault="00BA6A1E" w:rsidP="00C533DF">
            <w:pPr>
              <w:autoSpaceDE w:val="0"/>
              <w:autoSpaceDN w:val="0"/>
              <w:adjustRightInd w:val="0"/>
              <w:jc w:val="center"/>
              <w:rPr>
                <w:rFonts w:eastAsia="Calibri"/>
                <w:color w:val="000000"/>
                <w:sz w:val="22"/>
              </w:rPr>
            </w:pPr>
            <w:r w:rsidRPr="00B75FD7">
              <w:rPr>
                <w:rFonts w:eastAsia="Calibri"/>
                <w:color w:val="000000"/>
                <w:sz w:val="22"/>
              </w:rPr>
              <w:t>метр</w:t>
            </w:r>
          </w:p>
          <w:p w:rsidR="00BA6A1E" w:rsidRPr="00B75FD7" w:rsidRDefault="00BA6A1E" w:rsidP="00C533DF">
            <w:pPr>
              <w:autoSpaceDE w:val="0"/>
              <w:autoSpaceDN w:val="0"/>
              <w:adjustRightInd w:val="0"/>
              <w:jc w:val="center"/>
              <w:rPr>
                <w:rFonts w:eastAsia="Calibri"/>
                <w:color w:val="000000"/>
                <w:sz w:val="22"/>
              </w:rPr>
            </w:pPr>
            <w:r w:rsidRPr="00B75FD7">
              <w:rPr>
                <w:rFonts w:eastAsia="Calibri"/>
                <w:color w:val="000000"/>
                <w:sz w:val="22"/>
              </w:rPr>
              <w:t>квадратний</w:t>
            </w:r>
          </w:p>
        </w:tc>
        <w:tc>
          <w:tcPr>
            <w:tcW w:w="1704" w:type="dxa"/>
            <w:gridSpan w:val="2"/>
            <w:tcBorders>
              <w:top w:val="single" w:sz="4" w:space="0" w:color="auto"/>
              <w:left w:val="single" w:sz="6" w:space="0" w:color="auto"/>
              <w:bottom w:val="single" w:sz="4" w:space="0" w:color="auto"/>
              <w:right w:val="single" w:sz="6" w:space="0" w:color="auto"/>
            </w:tcBorders>
          </w:tcPr>
          <w:p w:rsidR="00BA6A1E" w:rsidRPr="00B75FD7" w:rsidRDefault="00BA6A1E" w:rsidP="00C533DF">
            <w:pPr>
              <w:autoSpaceDE w:val="0"/>
              <w:autoSpaceDN w:val="0"/>
              <w:adjustRightInd w:val="0"/>
              <w:jc w:val="center"/>
              <w:rPr>
                <w:rFonts w:eastAsia="Calibri"/>
                <w:color w:val="000000"/>
                <w:sz w:val="22"/>
              </w:rPr>
            </w:pPr>
            <w:r w:rsidRPr="00B75FD7">
              <w:rPr>
                <w:rFonts w:eastAsia="Calibri"/>
                <w:color w:val="000000"/>
                <w:sz w:val="22"/>
              </w:rPr>
              <w:t>150</w:t>
            </w:r>
          </w:p>
        </w:tc>
      </w:tr>
      <w:tr w:rsidR="00BA6A1E" w:rsidRPr="00B75FD7" w:rsidTr="00566192">
        <w:trPr>
          <w:gridAfter w:val="1"/>
          <w:wAfter w:w="54" w:type="dxa"/>
          <w:trHeight w:val="1684"/>
        </w:trPr>
        <w:tc>
          <w:tcPr>
            <w:tcW w:w="1447" w:type="dxa"/>
            <w:tcBorders>
              <w:top w:val="nil"/>
              <w:left w:val="nil"/>
              <w:bottom w:val="nil"/>
              <w:right w:val="nil"/>
            </w:tcBorders>
          </w:tcPr>
          <w:p w:rsidR="00BA6A1E" w:rsidRPr="00B75FD7" w:rsidRDefault="00BA6A1E" w:rsidP="00C533DF">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BA6A1E" w:rsidRPr="00B75FD7" w:rsidRDefault="00BA6A1E" w:rsidP="00C533DF">
            <w:pPr>
              <w:autoSpaceDE w:val="0"/>
              <w:autoSpaceDN w:val="0"/>
              <w:adjustRightInd w:val="0"/>
              <w:rPr>
                <w:rFonts w:eastAsia="Calibri"/>
                <w:b/>
                <w:color w:val="000000"/>
                <w:sz w:val="22"/>
              </w:rPr>
            </w:pPr>
            <w:r w:rsidRPr="00B75FD7">
              <w:rPr>
                <w:rFonts w:eastAsia="Calibri"/>
                <w:b/>
                <w:color w:val="000000"/>
                <w:sz w:val="22"/>
              </w:rPr>
              <w:t>Ключові заходи проекту:</w:t>
            </w:r>
          </w:p>
        </w:tc>
        <w:tc>
          <w:tcPr>
            <w:tcW w:w="6949" w:type="dxa"/>
            <w:gridSpan w:val="8"/>
            <w:tcBorders>
              <w:top w:val="single" w:sz="6" w:space="0" w:color="auto"/>
              <w:left w:val="single" w:sz="6" w:space="0" w:color="auto"/>
              <w:bottom w:val="single" w:sz="6" w:space="0" w:color="auto"/>
              <w:right w:val="single" w:sz="6" w:space="0" w:color="auto"/>
            </w:tcBorders>
          </w:tcPr>
          <w:p w:rsidR="00BA6A1E" w:rsidRPr="00B75FD7" w:rsidRDefault="00BA6A1E" w:rsidP="00C533DF">
            <w:pPr>
              <w:autoSpaceDE w:val="0"/>
              <w:autoSpaceDN w:val="0"/>
              <w:adjustRightInd w:val="0"/>
              <w:rPr>
                <w:rFonts w:eastAsia="Calibri"/>
                <w:color w:val="000000"/>
                <w:sz w:val="22"/>
              </w:rPr>
            </w:pPr>
            <w:r w:rsidRPr="00B75FD7">
              <w:rPr>
                <w:rFonts w:eastAsia="Calibri"/>
                <w:color w:val="000000"/>
                <w:sz w:val="22"/>
              </w:rPr>
              <w:t xml:space="preserve">1. Розробка </w:t>
            </w:r>
            <w:proofErr w:type="spellStart"/>
            <w:r w:rsidRPr="00B75FD7">
              <w:rPr>
                <w:rFonts w:eastAsia="Calibri"/>
                <w:color w:val="000000"/>
                <w:sz w:val="22"/>
              </w:rPr>
              <w:t>проєктно</w:t>
            </w:r>
            <w:proofErr w:type="spellEnd"/>
            <w:r w:rsidRPr="00B75FD7">
              <w:rPr>
                <w:rFonts w:eastAsia="Calibri"/>
                <w:color w:val="000000"/>
                <w:sz w:val="22"/>
              </w:rPr>
              <w:t>-кошторисної документації.</w:t>
            </w:r>
          </w:p>
          <w:p w:rsidR="00BA6A1E" w:rsidRPr="00B75FD7" w:rsidRDefault="00BA6A1E" w:rsidP="00C533DF">
            <w:pPr>
              <w:autoSpaceDE w:val="0"/>
              <w:autoSpaceDN w:val="0"/>
              <w:adjustRightInd w:val="0"/>
              <w:rPr>
                <w:rFonts w:eastAsia="Calibri"/>
                <w:color w:val="000000"/>
                <w:sz w:val="22"/>
              </w:rPr>
            </w:pPr>
            <w:r w:rsidRPr="00B75FD7">
              <w:rPr>
                <w:rFonts w:eastAsia="Calibri"/>
                <w:color w:val="000000"/>
                <w:sz w:val="22"/>
              </w:rPr>
              <w:t>2. Закупівля, доставка та установка сучасного технологічного обладнання, а саме:</w:t>
            </w:r>
          </w:p>
          <w:p w:rsidR="00BA6A1E" w:rsidRPr="00B75FD7" w:rsidRDefault="00BA6A1E" w:rsidP="00C533DF">
            <w:pPr>
              <w:autoSpaceDE w:val="0"/>
              <w:autoSpaceDN w:val="0"/>
              <w:adjustRightInd w:val="0"/>
              <w:rPr>
                <w:rFonts w:eastAsia="Calibri"/>
                <w:color w:val="000000"/>
                <w:sz w:val="22"/>
              </w:rPr>
            </w:pPr>
            <w:r w:rsidRPr="00B75FD7">
              <w:rPr>
                <w:rFonts w:eastAsia="Calibri"/>
                <w:color w:val="000000"/>
                <w:sz w:val="22"/>
              </w:rPr>
              <w:t xml:space="preserve">  - теплове обладнання: професійна електрична плита для харчоблоку ЗДО  - 2  </w:t>
            </w:r>
            <w:r w:rsidR="008057F8" w:rsidRPr="00B75FD7">
              <w:rPr>
                <w:rFonts w:eastAsia="Calibri"/>
                <w:color w:val="000000"/>
                <w:sz w:val="22"/>
                <w:lang w:val="ru-RU"/>
              </w:rPr>
              <w:t xml:space="preserve"> од.</w:t>
            </w:r>
            <w:r w:rsidRPr="00B75FD7">
              <w:rPr>
                <w:rFonts w:eastAsia="Calibri"/>
                <w:color w:val="000000"/>
                <w:sz w:val="22"/>
              </w:rPr>
              <w:t xml:space="preserve">;    шафа пекарська -1 </w:t>
            </w:r>
            <w:r w:rsidR="008057F8" w:rsidRPr="00B75FD7">
              <w:rPr>
                <w:rFonts w:eastAsia="Calibri"/>
                <w:color w:val="000000"/>
                <w:sz w:val="22"/>
                <w:lang w:val="ru-RU"/>
              </w:rPr>
              <w:t xml:space="preserve"> од.</w:t>
            </w:r>
            <w:r w:rsidRPr="00B75FD7">
              <w:rPr>
                <w:rFonts w:eastAsia="Calibri"/>
                <w:color w:val="000000"/>
                <w:sz w:val="22"/>
              </w:rPr>
              <w:t xml:space="preserve">, електрична промислова сковорода -1 </w:t>
            </w:r>
            <w:r w:rsidR="008057F8" w:rsidRPr="00B75FD7">
              <w:rPr>
                <w:rFonts w:eastAsia="Calibri"/>
                <w:color w:val="000000"/>
                <w:sz w:val="22"/>
                <w:lang w:val="ru-RU"/>
              </w:rPr>
              <w:t xml:space="preserve"> од.</w:t>
            </w:r>
            <w:r w:rsidRPr="00B75FD7">
              <w:rPr>
                <w:rFonts w:eastAsia="Calibri"/>
                <w:color w:val="000000"/>
                <w:sz w:val="22"/>
              </w:rPr>
              <w:t xml:space="preserve">, духовка електрична -1 </w:t>
            </w:r>
            <w:r w:rsidR="008057F8" w:rsidRPr="00B75FD7">
              <w:rPr>
                <w:rFonts w:eastAsia="Calibri"/>
                <w:color w:val="000000"/>
                <w:sz w:val="22"/>
                <w:lang w:val="ru-RU"/>
              </w:rPr>
              <w:t xml:space="preserve"> од.</w:t>
            </w:r>
          </w:p>
          <w:p w:rsidR="00BA6A1E" w:rsidRPr="00B75FD7" w:rsidRDefault="00BA6A1E" w:rsidP="00C533DF">
            <w:pPr>
              <w:autoSpaceDE w:val="0"/>
              <w:autoSpaceDN w:val="0"/>
              <w:adjustRightInd w:val="0"/>
              <w:rPr>
                <w:rFonts w:eastAsia="Calibri"/>
                <w:color w:val="000000"/>
                <w:sz w:val="22"/>
              </w:rPr>
            </w:pPr>
            <w:r w:rsidRPr="00B75FD7">
              <w:rPr>
                <w:rFonts w:eastAsia="Calibri"/>
                <w:color w:val="000000"/>
                <w:sz w:val="22"/>
              </w:rPr>
              <w:t xml:space="preserve">   - електромеханічне обладнання:  м'ясорубка професійна -3 </w:t>
            </w:r>
            <w:r w:rsidR="008057F8" w:rsidRPr="00B75FD7">
              <w:rPr>
                <w:rFonts w:eastAsia="Calibri"/>
                <w:color w:val="000000"/>
                <w:sz w:val="22"/>
              </w:rPr>
              <w:t xml:space="preserve"> од.</w:t>
            </w:r>
            <w:r w:rsidRPr="00B75FD7">
              <w:rPr>
                <w:rFonts w:eastAsia="Calibri"/>
                <w:color w:val="000000"/>
                <w:sz w:val="22"/>
              </w:rPr>
              <w:t xml:space="preserve">,  </w:t>
            </w:r>
            <w:proofErr w:type="spellStart"/>
            <w:r w:rsidRPr="00B75FD7">
              <w:rPr>
                <w:rFonts w:eastAsia="Calibri"/>
                <w:color w:val="000000"/>
                <w:sz w:val="22"/>
              </w:rPr>
              <w:t>слайсер</w:t>
            </w:r>
            <w:proofErr w:type="spellEnd"/>
            <w:r w:rsidRPr="00B75FD7">
              <w:rPr>
                <w:rFonts w:eastAsia="Calibri"/>
                <w:color w:val="000000"/>
                <w:sz w:val="22"/>
              </w:rPr>
              <w:t xml:space="preserve"> - 1 </w:t>
            </w:r>
            <w:r w:rsidR="008057F8" w:rsidRPr="00B75FD7">
              <w:rPr>
                <w:rFonts w:eastAsia="Calibri"/>
                <w:color w:val="000000"/>
                <w:sz w:val="22"/>
              </w:rPr>
              <w:t xml:space="preserve"> од.</w:t>
            </w:r>
            <w:r w:rsidRPr="00B75FD7">
              <w:rPr>
                <w:rFonts w:eastAsia="Calibri"/>
                <w:color w:val="000000"/>
                <w:sz w:val="22"/>
              </w:rPr>
              <w:t xml:space="preserve">, картоплечистка -1 </w:t>
            </w:r>
            <w:r w:rsidR="008057F8" w:rsidRPr="00B75FD7">
              <w:rPr>
                <w:rFonts w:eastAsia="Calibri"/>
                <w:color w:val="000000"/>
                <w:sz w:val="22"/>
              </w:rPr>
              <w:t xml:space="preserve"> од.</w:t>
            </w:r>
            <w:r w:rsidRPr="00B75FD7">
              <w:rPr>
                <w:rFonts w:eastAsia="Calibri"/>
                <w:color w:val="000000"/>
                <w:sz w:val="22"/>
              </w:rPr>
              <w:t xml:space="preserve">,   овочерізка -1 </w:t>
            </w:r>
            <w:r w:rsidR="008057F8" w:rsidRPr="00B75FD7">
              <w:rPr>
                <w:rFonts w:eastAsia="Calibri"/>
                <w:color w:val="000000"/>
                <w:sz w:val="22"/>
              </w:rPr>
              <w:t xml:space="preserve"> од.</w:t>
            </w:r>
            <w:r w:rsidRPr="00B75FD7">
              <w:rPr>
                <w:rFonts w:eastAsia="Calibri"/>
                <w:color w:val="000000"/>
                <w:sz w:val="22"/>
              </w:rPr>
              <w:t xml:space="preserve">,  тістоміс - 1 </w:t>
            </w:r>
            <w:r w:rsidR="008057F8" w:rsidRPr="00B75FD7">
              <w:rPr>
                <w:rFonts w:eastAsia="Calibri"/>
                <w:color w:val="000000"/>
                <w:sz w:val="22"/>
              </w:rPr>
              <w:t xml:space="preserve"> од.</w:t>
            </w:r>
            <w:r w:rsidRPr="00B75FD7">
              <w:rPr>
                <w:rFonts w:eastAsia="Calibri"/>
                <w:color w:val="000000"/>
                <w:sz w:val="22"/>
              </w:rPr>
              <w:t xml:space="preserve">, міксер -1 </w:t>
            </w:r>
            <w:r w:rsidR="008057F8" w:rsidRPr="00B75FD7">
              <w:rPr>
                <w:rFonts w:eastAsia="Calibri"/>
                <w:color w:val="000000"/>
                <w:sz w:val="22"/>
              </w:rPr>
              <w:t xml:space="preserve"> од.</w:t>
            </w:r>
            <w:r w:rsidRPr="00B75FD7">
              <w:rPr>
                <w:rFonts w:eastAsia="Calibri"/>
                <w:color w:val="000000"/>
                <w:sz w:val="22"/>
              </w:rPr>
              <w:t xml:space="preserve">,  кухонний комбайн -1 </w:t>
            </w:r>
            <w:r w:rsidR="008057F8" w:rsidRPr="00B75FD7">
              <w:rPr>
                <w:rFonts w:eastAsia="Calibri"/>
                <w:color w:val="000000"/>
                <w:sz w:val="22"/>
              </w:rPr>
              <w:t xml:space="preserve"> од.</w:t>
            </w:r>
            <w:r w:rsidRPr="00B75FD7">
              <w:rPr>
                <w:rFonts w:eastAsia="Calibri"/>
                <w:color w:val="000000"/>
                <w:sz w:val="22"/>
              </w:rPr>
              <w:t>, протиральна машина - 1</w:t>
            </w:r>
            <w:r w:rsidR="008057F8" w:rsidRPr="00B75FD7">
              <w:rPr>
                <w:rFonts w:eastAsia="Calibri"/>
                <w:color w:val="000000"/>
                <w:sz w:val="22"/>
              </w:rPr>
              <w:t xml:space="preserve"> од.</w:t>
            </w:r>
            <w:r w:rsidRPr="00B75FD7">
              <w:rPr>
                <w:rFonts w:eastAsia="Calibri"/>
                <w:color w:val="000000"/>
                <w:sz w:val="22"/>
              </w:rPr>
              <w:t>.</w:t>
            </w:r>
          </w:p>
          <w:p w:rsidR="00BA6A1E" w:rsidRPr="00B75FD7" w:rsidRDefault="00BA6A1E" w:rsidP="00C533DF">
            <w:pPr>
              <w:autoSpaceDE w:val="0"/>
              <w:autoSpaceDN w:val="0"/>
              <w:adjustRightInd w:val="0"/>
              <w:rPr>
                <w:rFonts w:eastAsia="Calibri"/>
                <w:color w:val="000000"/>
                <w:sz w:val="22"/>
              </w:rPr>
            </w:pPr>
            <w:r w:rsidRPr="00B75FD7">
              <w:rPr>
                <w:rFonts w:eastAsia="Calibri"/>
                <w:color w:val="000000"/>
                <w:sz w:val="22"/>
              </w:rPr>
              <w:t xml:space="preserve">    - холодильне обладнання:  холодильники  побутові- 3 </w:t>
            </w:r>
            <w:r w:rsidR="008057F8" w:rsidRPr="00B75FD7">
              <w:rPr>
                <w:rFonts w:eastAsia="Calibri"/>
                <w:color w:val="000000"/>
                <w:sz w:val="22"/>
                <w:lang w:val="ru-RU"/>
              </w:rPr>
              <w:t xml:space="preserve"> од.</w:t>
            </w:r>
            <w:r w:rsidRPr="00B75FD7">
              <w:rPr>
                <w:rFonts w:eastAsia="Calibri"/>
                <w:color w:val="000000"/>
                <w:sz w:val="22"/>
              </w:rPr>
              <w:t xml:space="preserve">,  шафа холодильна   </w:t>
            </w:r>
            <w:proofErr w:type="spellStart"/>
            <w:r w:rsidRPr="00B75FD7">
              <w:rPr>
                <w:rFonts w:eastAsia="Calibri"/>
                <w:color w:val="000000"/>
                <w:sz w:val="22"/>
              </w:rPr>
              <w:t>двохдверна</w:t>
            </w:r>
            <w:proofErr w:type="spellEnd"/>
            <w:r w:rsidRPr="00B75FD7">
              <w:rPr>
                <w:rFonts w:eastAsia="Calibri"/>
                <w:color w:val="000000"/>
                <w:sz w:val="22"/>
              </w:rPr>
              <w:t xml:space="preserve"> -1 </w:t>
            </w:r>
            <w:r w:rsidR="008057F8" w:rsidRPr="00B75FD7">
              <w:rPr>
                <w:rFonts w:eastAsia="Calibri"/>
                <w:color w:val="000000"/>
                <w:sz w:val="22"/>
                <w:lang w:val="ru-RU"/>
              </w:rPr>
              <w:t xml:space="preserve"> од.</w:t>
            </w:r>
            <w:r w:rsidRPr="00B75FD7">
              <w:rPr>
                <w:rFonts w:eastAsia="Calibri"/>
                <w:color w:val="000000"/>
                <w:sz w:val="22"/>
              </w:rPr>
              <w:t xml:space="preserve">,    морозильна   камера  - 2 </w:t>
            </w:r>
            <w:r w:rsidR="008057F8" w:rsidRPr="00B75FD7">
              <w:rPr>
                <w:rFonts w:eastAsia="Calibri"/>
                <w:color w:val="000000"/>
                <w:sz w:val="22"/>
                <w:lang w:val="ru-RU"/>
              </w:rPr>
              <w:t xml:space="preserve"> од.</w:t>
            </w:r>
          </w:p>
          <w:p w:rsidR="00BA6A1E" w:rsidRPr="00B75FD7" w:rsidRDefault="00BA6A1E" w:rsidP="00C533DF">
            <w:pPr>
              <w:autoSpaceDE w:val="0"/>
              <w:autoSpaceDN w:val="0"/>
              <w:adjustRightInd w:val="0"/>
              <w:rPr>
                <w:rFonts w:eastAsia="Calibri"/>
                <w:color w:val="000000"/>
                <w:sz w:val="22"/>
              </w:rPr>
            </w:pPr>
            <w:r w:rsidRPr="00B75FD7">
              <w:rPr>
                <w:rFonts w:eastAsia="Calibri"/>
                <w:color w:val="000000"/>
                <w:sz w:val="22"/>
              </w:rPr>
              <w:t xml:space="preserve">    - кліматичне обладнання: кондиціонер - 3 </w:t>
            </w:r>
            <w:r w:rsidR="008057F8" w:rsidRPr="00B75FD7">
              <w:rPr>
                <w:rFonts w:eastAsia="Calibri"/>
                <w:color w:val="000000"/>
                <w:sz w:val="22"/>
                <w:lang w:val="ru-RU"/>
              </w:rPr>
              <w:t xml:space="preserve"> од.</w:t>
            </w:r>
          </w:p>
          <w:p w:rsidR="00BA6A1E" w:rsidRPr="00B75FD7" w:rsidRDefault="00BA6A1E" w:rsidP="00C533DF">
            <w:pPr>
              <w:autoSpaceDE w:val="0"/>
              <w:autoSpaceDN w:val="0"/>
              <w:adjustRightInd w:val="0"/>
              <w:rPr>
                <w:rFonts w:eastAsia="Calibri"/>
                <w:color w:val="000000"/>
                <w:sz w:val="22"/>
              </w:rPr>
            </w:pPr>
            <w:r w:rsidRPr="00B75FD7">
              <w:rPr>
                <w:rFonts w:eastAsia="Calibri"/>
                <w:color w:val="000000"/>
                <w:sz w:val="22"/>
              </w:rPr>
              <w:t>3. Установка вентиляційного обладнання та кондиціонування.</w:t>
            </w:r>
          </w:p>
          <w:p w:rsidR="00BA6A1E" w:rsidRPr="00B75FD7" w:rsidRDefault="00BA6A1E" w:rsidP="00C533DF">
            <w:pPr>
              <w:autoSpaceDE w:val="0"/>
              <w:autoSpaceDN w:val="0"/>
              <w:adjustRightInd w:val="0"/>
              <w:rPr>
                <w:rFonts w:eastAsia="Calibri"/>
                <w:color w:val="000000"/>
                <w:sz w:val="22"/>
              </w:rPr>
            </w:pPr>
            <w:r w:rsidRPr="00B75FD7">
              <w:rPr>
                <w:rFonts w:eastAsia="Calibri"/>
                <w:color w:val="000000"/>
                <w:sz w:val="22"/>
              </w:rPr>
              <w:t xml:space="preserve">4. Кухонне обладнання -  30 </w:t>
            </w:r>
            <w:r w:rsidR="008057F8" w:rsidRPr="00B75FD7">
              <w:rPr>
                <w:rFonts w:eastAsia="Calibri"/>
                <w:color w:val="000000"/>
                <w:sz w:val="22"/>
                <w:lang w:val="ru-RU"/>
              </w:rPr>
              <w:t xml:space="preserve"> од.</w:t>
            </w:r>
          </w:p>
          <w:p w:rsidR="00BA6A1E" w:rsidRPr="00B75FD7" w:rsidRDefault="00BA6A1E" w:rsidP="00C533DF">
            <w:pPr>
              <w:autoSpaceDE w:val="0"/>
              <w:autoSpaceDN w:val="0"/>
              <w:adjustRightInd w:val="0"/>
              <w:rPr>
                <w:rFonts w:eastAsia="Calibri"/>
                <w:color w:val="000000"/>
                <w:sz w:val="22"/>
              </w:rPr>
            </w:pPr>
            <w:r w:rsidRPr="00B75FD7">
              <w:rPr>
                <w:rFonts w:eastAsia="Calibri"/>
                <w:color w:val="000000"/>
                <w:sz w:val="22"/>
              </w:rPr>
              <w:t xml:space="preserve">5. Сантехнічне обладнання: душова кабіна з піддоном -1 </w:t>
            </w:r>
            <w:r w:rsidR="008057F8" w:rsidRPr="00B75FD7">
              <w:rPr>
                <w:rFonts w:eastAsia="Calibri"/>
                <w:color w:val="000000"/>
                <w:sz w:val="22"/>
                <w:lang w:val="ru-RU"/>
              </w:rPr>
              <w:t xml:space="preserve"> од.</w:t>
            </w:r>
            <w:r w:rsidRPr="00B75FD7">
              <w:rPr>
                <w:rFonts w:eastAsia="Calibri"/>
                <w:color w:val="000000"/>
                <w:sz w:val="22"/>
              </w:rPr>
              <w:t xml:space="preserve">, умивальник- 1 </w:t>
            </w:r>
            <w:r w:rsidR="008057F8" w:rsidRPr="00B75FD7">
              <w:rPr>
                <w:rFonts w:eastAsia="Calibri"/>
                <w:color w:val="000000"/>
                <w:sz w:val="22"/>
                <w:lang w:val="ru-RU"/>
              </w:rPr>
              <w:t xml:space="preserve"> од.</w:t>
            </w:r>
            <w:r w:rsidRPr="00B75FD7">
              <w:rPr>
                <w:rFonts w:eastAsia="Calibri"/>
                <w:color w:val="000000"/>
                <w:sz w:val="22"/>
              </w:rPr>
              <w:t xml:space="preserve">, водонагрівач (бойлер) – 2 </w:t>
            </w:r>
            <w:r w:rsidR="008057F8" w:rsidRPr="00B75FD7">
              <w:rPr>
                <w:rFonts w:eastAsia="Calibri"/>
                <w:color w:val="000000"/>
                <w:sz w:val="22"/>
                <w:lang w:val="ru-RU"/>
              </w:rPr>
              <w:t xml:space="preserve"> од.</w:t>
            </w:r>
          </w:p>
          <w:p w:rsidR="00BA6A1E" w:rsidRPr="00B75FD7" w:rsidRDefault="00BA6A1E" w:rsidP="00C533DF">
            <w:pPr>
              <w:autoSpaceDE w:val="0"/>
              <w:autoSpaceDN w:val="0"/>
              <w:adjustRightInd w:val="0"/>
              <w:rPr>
                <w:rFonts w:eastAsia="Calibri"/>
                <w:color w:val="000000"/>
                <w:sz w:val="22"/>
              </w:rPr>
            </w:pPr>
            <w:r w:rsidRPr="00B75FD7">
              <w:rPr>
                <w:rFonts w:eastAsia="Calibri"/>
                <w:color w:val="000000"/>
                <w:sz w:val="22"/>
              </w:rPr>
              <w:t>6. Відновлення роботи закладу.</w:t>
            </w:r>
          </w:p>
          <w:p w:rsidR="00BA6A1E" w:rsidRPr="00B75FD7" w:rsidRDefault="00BA6A1E" w:rsidP="00C533DF">
            <w:pPr>
              <w:autoSpaceDE w:val="0"/>
              <w:autoSpaceDN w:val="0"/>
              <w:adjustRightInd w:val="0"/>
              <w:rPr>
                <w:rFonts w:eastAsia="Calibri"/>
                <w:color w:val="000000"/>
                <w:sz w:val="22"/>
              </w:rPr>
            </w:pPr>
            <w:r w:rsidRPr="00B75FD7">
              <w:rPr>
                <w:rFonts w:eastAsia="Calibri"/>
                <w:color w:val="000000"/>
                <w:sz w:val="22"/>
              </w:rPr>
              <w:t>7. Якісна та безпечна організація харчування дітей.</w:t>
            </w:r>
          </w:p>
        </w:tc>
      </w:tr>
      <w:tr w:rsidR="00BA6A1E" w:rsidRPr="00B75FD7" w:rsidTr="00566192">
        <w:trPr>
          <w:gridAfter w:val="1"/>
          <w:wAfter w:w="54" w:type="dxa"/>
          <w:trHeight w:val="600"/>
        </w:trPr>
        <w:tc>
          <w:tcPr>
            <w:tcW w:w="1447" w:type="dxa"/>
            <w:vMerge w:val="restart"/>
            <w:tcBorders>
              <w:top w:val="nil"/>
              <w:left w:val="nil"/>
              <w:right w:val="nil"/>
            </w:tcBorders>
          </w:tcPr>
          <w:p w:rsidR="00BA6A1E" w:rsidRPr="00B75FD7" w:rsidRDefault="00BA6A1E" w:rsidP="00C533DF">
            <w:pPr>
              <w:autoSpaceDE w:val="0"/>
              <w:autoSpaceDN w:val="0"/>
              <w:adjustRightInd w:val="0"/>
              <w:jc w:val="right"/>
              <w:rPr>
                <w:rFonts w:eastAsia="Calibri"/>
                <w:color w:val="000000"/>
                <w:sz w:val="22"/>
              </w:rPr>
            </w:pPr>
          </w:p>
        </w:tc>
        <w:tc>
          <w:tcPr>
            <w:tcW w:w="2833" w:type="dxa"/>
            <w:vMerge w:val="restart"/>
            <w:tcBorders>
              <w:top w:val="single" w:sz="6" w:space="0" w:color="auto"/>
              <w:left w:val="single" w:sz="6" w:space="0" w:color="auto"/>
              <w:right w:val="single" w:sz="6" w:space="0" w:color="auto"/>
            </w:tcBorders>
            <w:shd w:val="clear" w:color="00FFFF" w:fill="C6D9F1" w:themeFill="text2" w:themeFillTint="33"/>
          </w:tcPr>
          <w:p w:rsidR="00BA6A1E" w:rsidRPr="00B75FD7" w:rsidRDefault="00BA6A1E" w:rsidP="00C533DF">
            <w:pPr>
              <w:autoSpaceDE w:val="0"/>
              <w:autoSpaceDN w:val="0"/>
              <w:adjustRightInd w:val="0"/>
              <w:rPr>
                <w:rFonts w:eastAsia="Calibri"/>
                <w:b/>
                <w:color w:val="000000"/>
                <w:sz w:val="22"/>
              </w:rPr>
            </w:pPr>
            <w:r w:rsidRPr="00B75FD7">
              <w:rPr>
                <w:rFonts w:eastAsia="Calibri"/>
                <w:b/>
                <w:color w:val="000000"/>
                <w:sz w:val="22"/>
              </w:rPr>
              <w:t>Орієнтовний обсяг та джерела фінансування тис. гривень</w:t>
            </w:r>
          </w:p>
        </w:tc>
        <w:tc>
          <w:tcPr>
            <w:tcW w:w="1840" w:type="dxa"/>
            <w:vMerge w:val="restart"/>
            <w:tcBorders>
              <w:top w:val="single" w:sz="6" w:space="0" w:color="auto"/>
              <w:left w:val="single" w:sz="6" w:space="0" w:color="auto"/>
              <w:bottom w:val="single" w:sz="6" w:space="0" w:color="auto"/>
              <w:right w:val="single" w:sz="6" w:space="0" w:color="auto"/>
            </w:tcBorders>
          </w:tcPr>
          <w:p w:rsidR="00BA6A1E" w:rsidRPr="00B75FD7" w:rsidRDefault="00BA6A1E" w:rsidP="00C533DF">
            <w:pPr>
              <w:autoSpaceDE w:val="0"/>
              <w:autoSpaceDN w:val="0"/>
              <w:adjustRightInd w:val="0"/>
              <w:jc w:val="center"/>
              <w:rPr>
                <w:rFonts w:eastAsia="Calibri"/>
                <w:b/>
                <w:color w:val="000000"/>
                <w:sz w:val="22"/>
              </w:rPr>
            </w:pPr>
            <w:r w:rsidRPr="00B75FD7">
              <w:rPr>
                <w:rFonts w:eastAsia="Calibri"/>
                <w:b/>
                <w:color w:val="000000"/>
                <w:sz w:val="22"/>
              </w:rPr>
              <w:t>Державний бюджет</w:t>
            </w:r>
          </w:p>
        </w:tc>
        <w:tc>
          <w:tcPr>
            <w:tcW w:w="1278" w:type="dxa"/>
            <w:vMerge w:val="restart"/>
            <w:tcBorders>
              <w:top w:val="single" w:sz="6" w:space="0" w:color="auto"/>
              <w:left w:val="single" w:sz="6" w:space="0" w:color="auto"/>
              <w:right w:val="single" w:sz="6" w:space="0" w:color="auto"/>
            </w:tcBorders>
          </w:tcPr>
          <w:p w:rsidR="00BA6A1E" w:rsidRPr="00B75FD7" w:rsidRDefault="00BA6A1E" w:rsidP="00C533DF">
            <w:pPr>
              <w:autoSpaceDE w:val="0"/>
              <w:autoSpaceDN w:val="0"/>
              <w:adjustRightInd w:val="0"/>
              <w:jc w:val="center"/>
              <w:rPr>
                <w:rFonts w:eastAsia="Calibri"/>
                <w:b/>
                <w:color w:val="000000"/>
                <w:sz w:val="22"/>
              </w:rPr>
            </w:pPr>
            <w:r w:rsidRPr="00B75FD7">
              <w:rPr>
                <w:rFonts w:eastAsia="Calibri"/>
                <w:b/>
                <w:color w:val="000000"/>
                <w:sz w:val="22"/>
              </w:rPr>
              <w:t>Місцевий бюджет</w:t>
            </w:r>
          </w:p>
        </w:tc>
        <w:tc>
          <w:tcPr>
            <w:tcW w:w="2552" w:type="dxa"/>
            <w:gridSpan w:val="5"/>
            <w:tcBorders>
              <w:top w:val="single" w:sz="6" w:space="0" w:color="auto"/>
              <w:left w:val="single" w:sz="6" w:space="0" w:color="auto"/>
              <w:bottom w:val="single" w:sz="6" w:space="0" w:color="auto"/>
              <w:right w:val="single" w:sz="6" w:space="0" w:color="auto"/>
            </w:tcBorders>
          </w:tcPr>
          <w:p w:rsidR="00BA6A1E" w:rsidRPr="00B75FD7" w:rsidRDefault="00BA6A1E" w:rsidP="00C533DF">
            <w:pPr>
              <w:autoSpaceDE w:val="0"/>
              <w:autoSpaceDN w:val="0"/>
              <w:adjustRightInd w:val="0"/>
              <w:jc w:val="center"/>
              <w:rPr>
                <w:rFonts w:eastAsia="Calibri"/>
                <w:b/>
                <w:color w:val="000000"/>
                <w:sz w:val="22"/>
              </w:rPr>
            </w:pPr>
            <w:r w:rsidRPr="00B75FD7">
              <w:rPr>
                <w:rFonts w:eastAsia="Calibri"/>
                <w:b/>
                <w:color w:val="000000"/>
                <w:sz w:val="22"/>
              </w:rPr>
              <w:t>Інші джерела</w:t>
            </w:r>
          </w:p>
        </w:tc>
        <w:tc>
          <w:tcPr>
            <w:tcW w:w="1279" w:type="dxa"/>
            <w:vMerge w:val="restart"/>
            <w:tcBorders>
              <w:top w:val="single" w:sz="6" w:space="0" w:color="auto"/>
              <w:left w:val="single" w:sz="6" w:space="0" w:color="auto"/>
              <w:right w:val="single" w:sz="6" w:space="0" w:color="auto"/>
            </w:tcBorders>
          </w:tcPr>
          <w:p w:rsidR="00BA6A1E" w:rsidRPr="00B75FD7" w:rsidRDefault="00BA6A1E" w:rsidP="00C533DF">
            <w:pPr>
              <w:autoSpaceDE w:val="0"/>
              <w:autoSpaceDN w:val="0"/>
              <w:adjustRightInd w:val="0"/>
              <w:jc w:val="center"/>
              <w:rPr>
                <w:rFonts w:eastAsia="Calibri"/>
                <w:b/>
                <w:color w:val="000000"/>
                <w:sz w:val="22"/>
              </w:rPr>
            </w:pPr>
            <w:r w:rsidRPr="00B75FD7">
              <w:rPr>
                <w:rFonts w:eastAsia="Calibri"/>
                <w:b/>
                <w:color w:val="000000"/>
                <w:sz w:val="22"/>
              </w:rPr>
              <w:t>Всього</w:t>
            </w:r>
          </w:p>
        </w:tc>
      </w:tr>
      <w:tr w:rsidR="00BA6A1E" w:rsidRPr="00B75FD7" w:rsidTr="00566192">
        <w:trPr>
          <w:gridAfter w:val="1"/>
          <w:wAfter w:w="54" w:type="dxa"/>
          <w:trHeight w:val="350"/>
        </w:trPr>
        <w:tc>
          <w:tcPr>
            <w:tcW w:w="1447" w:type="dxa"/>
            <w:vMerge/>
            <w:tcBorders>
              <w:top w:val="nil"/>
              <w:left w:val="nil"/>
              <w:right w:val="nil"/>
            </w:tcBorders>
          </w:tcPr>
          <w:p w:rsidR="00BA6A1E" w:rsidRPr="00B75FD7" w:rsidRDefault="00BA6A1E" w:rsidP="00C533DF">
            <w:pPr>
              <w:autoSpaceDE w:val="0"/>
              <w:autoSpaceDN w:val="0"/>
              <w:adjustRightInd w:val="0"/>
              <w:jc w:val="right"/>
              <w:rPr>
                <w:rFonts w:eastAsia="Calibri"/>
                <w:color w:val="000000"/>
                <w:sz w:val="22"/>
              </w:rPr>
            </w:pPr>
          </w:p>
        </w:tc>
        <w:tc>
          <w:tcPr>
            <w:tcW w:w="2833" w:type="dxa"/>
            <w:vMerge/>
            <w:tcBorders>
              <w:top w:val="single" w:sz="6" w:space="0" w:color="auto"/>
              <w:left w:val="single" w:sz="6" w:space="0" w:color="auto"/>
              <w:right w:val="single" w:sz="6" w:space="0" w:color="auto"/>
            </w:tcBorders>
            <w:shd w:val="clear" w:color="00FFFF" w:fill="C6D9F1" w:themeFill="text2" w:themeFillTint="33"/>
          </w:tcPr>
          <w:p w:rsidR="00BA6A1E" w:rsidRPr="00B75FD7" w:rsidRDefault="00BA6A1E" w:rsidP="00C533DF">
            <w:pPr>
              <w:autoSpaceDE w:val="0"/>
              <w:autoSpaceDN w:val="0"/>
              <w:adjustRightInd w:val="0"/>
              <w:rPr>
                <w:rFonts w:eastAsia="Calibri"/>
                <w:b/>
                <w:color w:val="000000"/>
                <w:sz w:val="22"/>
              </w:rPr>
            </w:pPr>
          </w:p>
        </w:tc>
        <w:tc>
          <w:tcPr>
            <w:tcW w:w="1840" w:type="dxa"/>
            <w:vMerge/>
            <w:tcBorders>
              <w:top w:val="single" w:sz="6" w:space="0" w:color="auto"/>
              <w:left w:val="single" w:sz="6" w:space="0" w:color="auto"/>
              <w:bottom w:val="single" w:sz="6" w:space="0" w:color="auto"/>
              <w:right w:val="single" w:sz="6" w:space="0" w:color="auto"/>
            </w:tcBorders>
          </w:tcPr>
          <w:p w:rsidR="00BA6A1E" w:rsidRPr="00B75FD7" w:rsidRDefault="00BA6A1E" w:rsidP="00C533DF">
            <w:pPr>
              <w:autoSpaceDE w:val="0"/>
              <w:autoSpaceDN w:val="0"/>
              <w:adjustRightInd w:val="0"/>
              <w:jc w:val="center"/>
              <w:rPr>
                <w:rFonts w:eastAsia="Calibri"/>
                <w:b/>
                <w:color w:val="000000"/>
                <w:sz w:val="22"/>
              </w:rPr>
            </w:pPr>
          </w:p>
        </w:tc>
        <w:tc>
          <w:tcPr>
            <w:tcW w:w="1278" w:type="dxa"/>
            <w:vMerge/>
            <w:tcBorders>
              <w:left w:val="single" w:sz="6" w:space="0" w:color="auto"/>
              <w:bottom w:val="single" w:sz="6" w:space="0" w:color="auto"/>
              <w:right w:val="single" w:sz="6" w:space="0" w:color="auto"/>
            </w:tcBorders>
          </w:tcPr>
          <w:p w:rsidR="00BA6A1E" w:rsidRPr="00B75FD7" w:rsidRDefault="00BA6A1E" w:rsidP="00C533DF">
            <w:pPr>
              <w:autoSpaceDE w:val="0"/>
              <w:autoSpaceDN w:val="0"/>
              <w:adjustRightInd w:val="0"/>
              <w:jc w:val="center"/>
              <w:rPr>
                <w:rFonts w:eastAsia="Calibri"/>
                <w:b/>
                <w:color w:val="000000"/>
                <w:sz w:val="22"/>
              </w:rPr>
            </w:pPr>
          </w:p>
        </w:tc>
        <w:tc>
          <w:tcPr>
            <w:tcW w:w="1132" w:type="dxa"/>
            <w:gridSpan w:val="2"/>
            <w:tcBorders>
              <w:top w:val="single" w:sz="6" w:space="0" w:color="auto"/>
              <w:left w:val="single" w:sz="6" w:space="0" w:color="auto"/>
              <w:bottom w:val="single" w:sz="6" w:space="0" w:color="auto"/>
              <w:right w:val="single" w:sz="6" w:space="0" w:color="auto"/>
            </w:tcBorders>
          </w:tcPr>
          <w:p w:rsidR="00BA6A1E" w:rsidRPr="00B75FD7" w:rsidRDefault="00BA6A1E" w:rsidP="00C533DF">
            <w:pPr>
              <w:autoSpaceDE w:val="0"/>
              <w:autoSpaceDN w:val="0"/>
              <w:adjustRightInd w:val="0"/>
              <w:jc w:val="center"/>
              <w:rPr>
                <w:rFonts w:eastAsia="Calibri"/>
                <w:b/>
                <w:color w:val="000000"/>
                <w:sz w:val="22"/>
              </w:rPr>
            </w:pPr>
            <w:r w:rsidRPr="00B75FD7">
              <w:rPr>
                <w:rFonts w:eastAsia="Calibri"/>
                <w:b/>
                <w:color w:val="000000"/>
                <w:sz w:val="22"/>
              </w:rPr>
              <w:t>Обсяг</w:t>
            </w:r>
          </w:p>
        </w:tc>
        <w:tc>
          <w:tcPr>
            <w:tcW w:w="1420" w:type="dxa"/>
            <w:gridSpan w:val="3"/>
            <w:tcBorders>
              <w:top w:val="single" w:sz="6" w:space="0" w:color="auto"/>
              <w:left w:val="single" w:sz="6" w:space="0" w:color="auto"/>
              <w:bottom w:val="single" w:sz="6" w:space="0" w:color="auto"/>
              <w:right w:val="single" w:sz="6" w:space="0" w:color="auto"/>
            </w:tcBorders>
          </w:tcPr>
          <w:p w:rsidR="00BA6A1E" w:rsidRPr="00B75FD7" w:rsidRDefault="00BA6A1E" w:rsidP="00C533DF">
            <w:pPr>
              <w:autoSpaceDE w:val="0"/>
              <w:autoSpaceDN w:val="0"/>
              <w:adjustRightInd w:val="0"/>
              <w:jc w:val="center"/>
              <w:rPr>
                <w:rFonts w:eastAsia="Calibri"/>
                <w:b/>
                <w:color w:val="000000"/>
                <w:sz w:val="22"/>
              </w:rPr>
            </w:pPr>
            <w:r w:rsidRPr="00B75FD7">
              <w:rPr>
                <w:rFonts w:eastAsia="Calibri"/>
                <w:b/>
                <w:color w:val="000000"/>
                <w:sz w:val="22"/>
              </w:rPr>
              <w:t>Назва джерела</w:t>
            </w:r>
          </w:p>
        </w:tc>
        <w:tc>
          <w:tcPr>
            <w:tcW w:w="1279" w:type="dxa"/>
            <w:vMerge/>
            <w:tcBorders>
              <w:left w:val="single" w:sz="6" w:space="0" w:color="auto"/>
              <w:bottom w:val="single" w:sz="6" w:space="0" w:color="auto"/>
              <w:right w:val="single" w:sz="6" w:space="0" w:color="auto"/>
            </w:tcBorders>
          </w:tcPr>
          <w:p w:rsidR="00BA6A1E" w:rsidRPr="00B75FD7" w:rsidRDefault="00BA6A1E" w:rsidP="00C533DF">
            <w:pPr>
              <w:autoSpaceDE w:val="0"/>
              <w:autoSpaceDN w:val="0"/>
              <w:adjustRightInd w:val="0"/>
              <w:jc w:val="center"/>
              <w:rPr>
                <w:rFonts w:eastAsia="Calibri"/>
                <w:b/>
                <w:color w:val="000000"/>
                <w:sz w:val="22"/>
              </w:rPr>
            </w:pPr>
          </w:p>
        </w:tc>
      </w:tr>
      <w:tr w:rsidR="00566192" w:rsidRPr="00B75FD7" w:rsidTr="00566192">
        <w:trPr>
          <w:gridAfter w:val="1"/>
          <w:wAfter w:w="54" w:type="dxa"/>
          <w:trHeight w:val="1335"/>
        </w:trPr>
        <w:tc>
          <w:tcPr>
            <w:tcW w:w="1447" w:type="dxa"/>
            <w:vMerge/>
            <w:tcBorders>
              <w:left w:val="nil"/>
              <w:bottom w:val="nil"/>
              <w:right w:val="nil"/>
            </w:tcBorders>
          </w:tcPr>
          <w:p w:rsidR="00566192" w:rsidRPr="00B75FD7" w:rsidRDefault="00566192" w:rsidP="00566192">
            <w:pPr>
              <w:autoSpaceDE w:val="0"/>
              <w:autoSpaceDN w:val="0"/>
              <w:adjustRightInd w:val="0"/>
              <w:jc w:val="right"/>
              <w:rPr>
                <w:rFonts w:eastAsia="Calibri"/>
                <w:color w:val="000000"/>
                <w:sz w:val="22"/>
              </w:rPr>
            </w:pPr>
          </w:p>
        </w:tc>
        <w:tc>
          <w:tcPr>
            <w:tcW w:w="2833" w:type="dxa"/>
            <w:vMerge/>
            <w:tcBorders>
              <w:left w:val="single" w:sz="6" w:space="0" w:color="auto"/>
              <w:bottom w:val="single" w:sz="6" w:space="0" w:color="auto"/>
              <w:right w:val="single" w:sz="6" w:space="0" w:color="auto"/>
            </w:tcBorders>
            <w:shd w:val="clear" w:color="00FFFF" w:fill="C6D9F1" w:themeFill="text2" w:themeFillTint="33"/>
          </w:tcPr>
          <w:p w:rsidR="00566192" w:rsidRPr="00B75FD7" w:rsidRDefault="00566192" w:rsidP="00566192">
            <w:pPr>
              <w:autoSpaceDE w:val="0"/>
              <w:autoSpaceDN w:val="0"/>
              <w:adjustRightInd w:val="0"/>
              <w:rPr>
                <w:rFonts w:eastAsia="Calibri"/>
                <w:b/>
                <w:color w:val="000000"/>
                <w:sz w:val="22"/>
              </w:rPr>
            </w:pPr>
          </w:p>
        </w:tc>
        <w:tc>
          <w:tcPr>
            <w:tcW w:w="1840" w:type="dxa"/>
            <w:tcBorders>
              <w:top w:val="single" w:sz="6" w:space="0" w:color="auto"/>
              <w:left w:val="single" w:sz="6" w:space="0" w:color="auto"/>
              <w:bottom w:val="single" w:sz="6" w:space="0" w:color="auto"/>
              <w:right w:val="single" w:sz="6" w:space="0" w:color="auto"/>
            </w:tcBorders>
          </w:tcPr>
          <w:p w:rsidR="00566192" w:rsidRPr="00B75FD7" w:rsidRDefault="008057F8" w:rsidP="00566192">
            <w:pPr>
              <w:autoSpaceDE w:val="0"/>
              <w:autoSpaceDN w:val="0"/>
              <w:adjustRightInd w:val="0"/>
              <w:jc w:val="center"/>
              <w:rPr>
                <w:rFonts w:eastAsia="Calibri"/>
                <w:color w:val="000000"/>
                <w:sz w:val="22"/>
                <w:lang w:val="ru-RU"/>
              </w:rPr>
            </w:pPr>
            <w:r w:rsidRPr="00B75FD7">
              <w:rPr>
                <w:rFonts w:eastAsia="Calibri"/>
                <w:color w:val="000000"/>
                <w:sz w:val="22"/>
                <w:lang w:val="ru-RU"/>
              </w:rPr>
              <w:t>-</w:t>
            </w:r>
          </w:p>
        </w:tc>
        <w:tc>
          <w:tcPr>
            <w:tcW w:w="1278" w:type="dxa"/>
            <w:tcBorders>
              <w:top w:val="single" w:sz="6" w:space="0" w:color="auto"/>
              <w:left w:val="single" w:sz="6" w:space="0" w:color="auto"/>
              <w:bottom w:val="single" w:sz="6" w:space="0" w:color="auto"/>
              <w:right w:val="single" w:sz="6" w:space="0" w:color="auto"/>
            </w:tcBorders>
          </w:tcPr>
          <w:p w:rsidR="00566192" w:rsidRPr="00B75FD7" w:rsidRDefault="00566192" w:rsidP="00566192">
            <w:pPr>
              <w:autoSpaceDE w:val="0"/>
              <w:autoSpaceDN w:val="0"/>
              <w:adjustRightInd w:val="0"/>
              <w:jc w:val="center"/>
              <w:rPr>
                <w:rFonts w:eastAsia="Calibri"/>
                <w:color w:val="000000"/>
                <w:sz w:val="22"/>
              </w:rPr>
            </w:pPr>
            <w:r w:rsidRPr="00B75FD7">
              <w:rPr>
                <w:rFonts w:eastAsia="Calibri"/>
                <w:color w:val="000000"/>
                <w:sz w:val="22"/>
              </w:rPr>
              <w:t>-</w:t>
            </w:r>
          </w:p>
        </w:tc>
        <w:tc>
          <w:tcPr>
            <w:tcW w:w="1138" w:type="dxa"/>
            <w:gridSpan w:val="3"/>
            <w:tcBorders>
              <w:top w:val="single" w:sz="6" w:space="0" w:color="auto"/>
              <w:left w:val="single" w:sz="6" w:space="0" w:color="auto"/>
              <w:bottom w:val="single" w:sz="6" w:space="0" w:color="auto"/>
              <w:right w:val="single" w:sz="6" w:space="0" w:color="auto"/>
            </w:tcBorders>
          </w:tcPr>
          <w:p w:rsidR="00566192" w:rsidRPr="00B75FD7" w:rsidRDefault="00566192" w:rsidP="00566192">
            <w:pPr>
              <w:autoSpaceDE w:val="0"/>
              <w:autoSpaceDN w:val="0"/>
              <w:adjustRightInd w:val="0"/>
              <w:rPr>
                <w:rFonts w:eastAsia="Calibri"/>
                <w:color w:val="000000"/>
                <w:sz w:val="22"/>
              </w:rPr>
            </w:pPr>
            <w:r w:rsidRPr="00B75FD7">
              <w:rPr>
                <w:rFonts w:eastAsia="Calibri"/>
                <w:color w:val="000000"/>
                <w:sz w:val="22"/>
              </w:rPr>
              <w:t>1 000,0</w:t>
            </w:r>
          </w:p>
        </w:tc>
        <w:tc>
          <w:tcPr>
            <w:tcW w:w="1414" w:type="dxa"/>
            <w:gridSpan w:val="2"/>
            <w:tcBorders>
              <w:top w:val="single" w:sz="6" w:space="0" w:color="auto"/>
              <w:left w:val="single" w:sz="6" w:space="0" w:color="auto"/>
              <w:bottom w:val="single" w:sz="6" w:space="0" w:color="auto"/>
              <w:right w:val="single" w:sz="6" w:space="0" w:color="auto"/>
            </w:tcBorders>
          </w:tcPr>
          <w:p w:rsidR="00566192" w:rsidRPr="00B75FD7" w:rsidRDefault="00566192" w:rsidP="00566192">
            <w:pPr>
              <w:autoSpaceDE w:val="0"/>
              <w:autoSpaceDN w:val="0"/>
              <w:adjustRightInd w:val="0"/>
              <w:rPr>
                <w:rFonts w:eastAsia="Calibri"/>
                <w:color w:val="000000"/>
                <w:sz w:val="22"/>
              </w:rPr>
            </w:pPr>
            <w:r w:rsidRPr="00B75FD7">
              <w:rPr>
                <w:sz w:val="22"/>
              </w:rPr>
              <w:t>Міжнародні інвестиції, кошти приватних осіб</w:t>
            </w:r>
          </w:p>
        </w:tc>
        <w:tc>
          <w:tcPr>
            <w:tcW w:w="1279" w:type="dxa"/>
            <w:tcBorders>
              <w:top w:val="single" w:sz="6" w:space="0" w:color="auto"/>
              <w:left w:val="single" w:sz="6" w:space="0" w:color="auto"/>
              <w:bottom w:val="single" w:sz="6" w:space="0" w:color="auto"/>
              <w:right w:val="single" w:sz="6" w:space="0" w:color="auto"/>
            </w:tcBorders>
          </w:tcPr>
          <w:p w:rsidR="00566192" w:rsidRPr="00B75FD7" w:rsidRDefault="00566192" w:rsidP="00566192">
            <w:pPr>
              <w:autoSpaceDE w:val="0"/>
              <w:autoSpaceDN w:val="0"/>
              <w:adjustRightInd w:val="0"/>
              <w:rPr>
                <w:rFonts w:eastAsia="Calibri"/>
                <w:color w:val="000000"/>
                <w:sz w:val="22"/>
              </w:rPr>
            </w:pPr>
            <w:r w:rsidRPr="00B75FD7">
              <w:rPr>
                <w:rFonts w:eastAsia="Calibri"/>
                <w:color w:val="000000"/>
                <w:sz w:val="22"/>
                <w:lang w:val="ru-RU"/>
              </w:rPr>
              <w:t>1</w:t>
            </w:r>
            <w:r w:rsidRPr="00B75FD7">
              <w:rPr>
                <w:rFonts w:eastAsia="Calibri"/>
                <w:color w:val="000000"/>
                <w:sz w:val="22"/>
              </w:rPr>
              <w:t> 000,0</w:t>
            </w:r>
          </w:p>
        </w:tc>
      </w:tr>
    </w:tbl>
    <w:p w:rsidR="00BA6A1E" w:rsidRPr="00B75FD7" w:rsidRDefault="00BA6A1E" w:rsidP="00E33AAA">
      <w:pPr>
        <w:tabs>
          <w:tab w:val="left" w:pos="5290"/>
        </w:tabs>
        <w:rPr>
          <w:b/>
          <w:sz w:val="22"/>
          <w:szCs w:val="22"/>
        </w:rPr>
      </w:pPr>
    </w:p>
    <w:p w:rsidR="00F069E5" w:rsidRPr="00B75FD7" w:rsidRDefault="00F069E5" w:rsidP="00E33AAA">
      <w:pPr>
        <w:tabs>
          <w:tab w:val="left" w:pos="5290"/>
        </w:tabs>
        <w:rPr>
          <w:b/>
          <w:sz w:val="22"/>
          <w:szCs w:val="22"/>
        </w:rPr>
      </w:pPr>
    </w:p>
    <w:tbl>
      <w:tblPr>
        <w:tblpPr w:leftFromText="180" w:rightFromText="180" w:vertAnchor="text" w:horzAnchor="margin" w:tblpX="-254" w:tblpY="138"/>
        <w:tblW w:w="9811" w:type="dxa"/>
        <w:tblLayout w:type="fixed"/>
        <w:tblCellMar>
          <w:left w:w="30" w:type="dxa"/>
          <w:right w:w="30" w:type="dxa"/>
        </w:tblCellMar>
        <w:tblLook w:val="0000" w:firstRow="0" w:lastRow="0" w:firstColumn="0" w:lastColumn="0" w:noHBand="0" w:noVBand="0"/>
      </w:tblPr>
      <w:tblGrid>
        <w:gridCol w:w="2865"/>
        <w:gridCol w:w="994"/>
        <w:gridCol w:w="1011"/>
        <w:gridCol w:w="1009"/>
        <w:gridCol w:w="864"/>
        <w:gridCol w:w="1154"/>
        <w:gridCol w:w="13"/>
        <w:gridCol w:w="276"/>
        <w:gridCol w:w="1625"/>
      </w:tblGrid>
      <w:tr w:rsidR="009227F0" w:rsidRPr="00B75FD7" w:rsidTr="009227F0">
        <w:trPr>
          <w:trHeight w:val="551"/>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9227F0" w:rsidRPr="00B75FD7" w:rsidRDefault="009227F0" w:rsidP="009227F0">
            <w:pPr>
              <w:autoSpaceDE w:val="0"/>
              <w:autoSpaceDN w:val="0"/>
              <w:adjustRightInd w:val="0"/>
              <w:rPr>
                <w:rFonts w:eastAsia="Calibri"/>
                <w:b/>
                <w:color w:val="000000"/>
                <w:sz w:val="22"/>
              </w:rPr>
            </w:pPr>
            <w:r w:rsidRPr="00B75FD7">
              <w:rPr>
                <w:rFonts w:eastAsia="Calibri"/>
                <w:b/>
                <w:color w:val="000000"/>
                <w:sz w:val="22"/>
              </w:rPr>
              <w:t>Оперативна ціль/завдання</w:t>
            </w:r>
          </w:p>
        </w:tc>
        <w:tc>
          <w:tcPr>
            <w:tcW w:w="6946" w:type="dxa"/>
            <w:gridSpan w:val="8"/>
            <w:tcBorders>
              <w:top w:val="single" w:sz="6" w:space="0" w:color="auto"/>
              <w:left w:val="single" w:sz="6" w:space="0" w:color="auto"/>
              <w:bottom w:val="single" w:sz="6" w:space="0" w:color="auto"/>
              <w:right w:val="single" w:sz="6" w:space="0" w:color="auto"/>
            </w:tcBorders>
          </w:tcPr>
          <w:p w:rsidR="009227F0" w:rsidRPr="00B75FD7" w:rsidRDefault="009227F0" w:rsidP="009227F0">
            <w:pPr>
              <w:pStyle w:val="a7"/>
              <w:ind w:left="0"/>
              <w:rPr>
                <w:rFonts w:eastAsia="Calibri"/>
                <w:color w:val="000000"/>
                <w:sz w:val="22"/>
              </w:rPr>
            </w:pPr>
            <w:r w:rsidRPr="00B75FD7">
              <w:rPr>
                <w:sz w:val="22"/>
              </w:rPr>
              <w:t xml:space="preserve">Людський розвиток через інновації управління та довіру до влади. Формування сучасного інклюзивного  </w:t>
            </w:r>
            <w:proofErr w:type="spellStart"/>
            <w:r w:rsidRPr="00B75FD7">
              <w:rPr>
                <w:sz w:val="22"/>
              </w:rPr>
              <w:t>освітньо</w:t>
            </w:r>
            <w:proofErr w:type="spellEnd"/>
            <w:r w:rsidRPr="00B75FD7">
              <w:rPr>
                <w:sz w:val="22"/>
              </w:rPr>
              <w:t>-культурного та спортивного простору для розвитку.</w:t>
            </w:r>
          </w:p>
        </w:tc>
      </w:tr>
      <w:tr w:rsidR="009227F0" w:rsidRPr="00B75FD7" w:rsidTr="009227F0">
        <w:trPr>
          <w:trHeight w:val="687"/>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9227F0" w:rsidRPr="00B75FD7" w:rsidRDefault="009227F0" w:rsidP="009227F0">
            <w:pPr>
              <w:autoSpaceDE w:val="0"/>
              <w:autoSpaceDN w:val="0"/>
              <w:adjustRightInd w:val="0"/>
              <w:rPr>
                <w:rFonts w:eastAsia="Calibri"/>
                <w:b/>
                <w:color w:val="000000"/>
                <w:sz w:val="22"/>
              </w:rPr>
            </w:pPr>
            <w:r w:rsidRPr="00B75FD7">
              <w:rPr>
                <w:rFonts w:eastAsia="Calibri"/>
                <w:b/>
                <w:color w:val="000000"/>
                <w:sz w:val="22"/>
              </w:rPr>
              <w:t>Назва проекту:</w:t>
            </w:r>
          </w:p>
        </w:tc>
        <w:tc>
          <w:tcPr>
            <w:tcW w:w="6946" w:type="dxa"/>
            <w:gridSpan w:val="8"/>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 xml:space="preserve">Капітальний ремонт основної будівлі та господарчих споруд Ясел - садка №24  міста Сєвєродонецька Луганської області, за </w:t>
            </w:r>
            <w:proofErr w:type="spellStart"/>
            <w:r w:rsidRPr="00B75FD7">
              <w:rPr>
                <w:rFonts w:eastAsia="Calibri"/>
                <w:color w:val="000000"/>
                <w:sz w:val="22"/>
              </w:rPr>
              <w:t>адресою</w:t>
            </w:r>
            <w:proofErr w:type="spellEnd"/>
            <w:r w:rsidRPr="00B75FD7">
              <w:rPr>
                <w:rFonts w:eastAsia="Calibri"/>
                <w:color w:val="000000"/>
                <w:sz w:val="22"/>
              </w:rPr>
              <w:t xml:space="preserve">, </w:t>
            </w:r>
            <w:proofErr w:type="spellStart"/>
            <w:r w:rsidRPr="00B75FD7">
              <w:rPr>
                <w:rFonts w:eastAsia="Calibri"/>
                <w:color w:val="000000"/>
                <w:sz w:val="22"/>
              </w:rPr>
              <w:t>вул.Енергетиків</w:t>
            </w:r>
            <w:proofErr w:type="spellEnd"/>
            <w:r w:rsidRPr="00B75FD7">
              <w:rPr>
                <w:rFonts w:eastAsia="Calibri"/>
                <w:color w:val="000000"/>
                <w:sz w:val="22"/>
              </w:rPr>
              <w:t>., буд.15, міста Сєвєродонецька, Сєвєродонецького району, Луганської області.</w:t>
            </w:r>
          </w:p>
        </w:tc>
      </w:tr>
      <w:tr w:rsidR="009227F0" w:rsidRPr="00B75FD7" w:rsidTr="009227F0">
        <w:trPr>
          <w:trHeight w:val="1102"/>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9227F0" w:rsidRPr="00B75FD7" w:rsidRDefault="009227F0" w:rsidP="009227F0">
            <w:pPr>
              <w:autoSpaceDE w:val="0"/>
              <w:autoSpaceDN w:val="0"/>
              <w:adjustRightInd w:val="0"/>
              <w:rPr>
                <w:rFonts w:eastAsia="Calibri"/>
                <w:b/>
                <w:color w:val="000000"/>
                <w:sz w:val="22"/>
              </w:rPr>
            </w:pPr>
            <w:r w:rsidRPr="00B75FD7">
              <w:rPr>
                <w:rFonts w:eastAsia="Calibri"/>
                <w:b/>
                <w:color w:val="000000"/>
                <w:sz w:val="22"/>
              </w:rPr>
              <w:lastRenderedPageBreak/>
              <w:t>Ціль проекту</w:t>
            </w:r>
          </w:p>
        </w:tc>
        <w:tc>
          <w:tcPr>
            <w:tcW w:w="6946" w:type="dxa"/>
            <w:gridSpan w:val="8"/>
            <w:tcBorders>
              <w:top w:val="single" w:sz="6" w:space="0" w:color="auto"/>
              <w:left w:val="single" w:sz="6" w:space="0" w:color="auto"/>
              <w:bottom w:val="single" w:sz="6" w:space="0" w:color="auto"/>
              <w:right w:val="single" w:sz="6" w:space="0" w:color="auto"/>
            </w:tcBorders>
          </w:tcPr>
          <w:p w:rsidR="009227F0" w:rsidRPr="00B75FD7" w:rsidRDefault="009227F0" w:rsidP="00711B81">
            <w:pPr>
              <w:autoSpaceDE w:val="0"/>
              <w:autoSpaceDN w:val="0"/>
              <w:adjustRightInd w:val="0"/>
              <w:rPr>
                <w:rFonts w:eastAsia="Calibri"/>
                <w:color w:val="000000"/>
                <w:sz w:val="22"/>
              </w:rPr>
            </w:pPr>
            <w:r w:rsidRPr="00B75FD7">
              <w:rPr>
                <w:rFonts w:eastAsia="Calibri"/>
                <w:color w:val="000000"/>
                <w:sz w:val="22"/>
              </w:rPr>
              <w:t xml:space="preserve">Відновлення пошкодженої будівлі та господарчих споруд внаслідок руйнування та мародерства країною агресора, яка вторглася на територію України. Підвищення енергоефективності будівель бюджетної  та житлової сфери громади. Покращення інфраструктури та привабливості населеного пункту. </w:t>
            </w:r>
            <w:r w:rsidRPr="00B75FD7">
              <w:rPr>
                <w:sz w:val="22"/>
              </w:rPr>
              <w:t xml:space="preserve"> пов’язаних із задоволенням та охопленням потреб мешканців дошкільної освіти Сєвєродонецької міської територіальної громади у необхідних послугах </w:t>
            </w:r>
            <w:r w:rsidRPr="00B75FD7">
              <w:rPr>
                <w:rFonts w:eastAsia="Calibri"/>
                <w:color w:val="000000"/>
                <w:sz w:val="22"/>
              </w:rPr>
              <w:t xml:space="preserve">Створення належних  умов для діяльності  закладу дошкільної освіти. Повноцінного та  всебічного розвитку дітей дошкільного віку, забезпечення реалізації права дитини на здобуття дошкільної освіти. Надання якісних освітніх  послуг учасникам освітнього процесу.  </w:t>
            </w:r>
            <w:r w:rsidR="00711B81" w:rsidRPr="00B75FD7">
              <w:rPr>
                <w:rFonts w:eastAsia="Calibri"/>
                <w:color w:val="000000"/>
                <w:sz w:val="22"/>
              </w:rPr>
              <w:t>Ф</w:t>
            </w:r>
            <w:r w:rsidRPr="00B75FD7">
              <w:rPr>
                <w:rFonts w:eastAsia="Calibri"/>
                <w:color w:val="000000"/>
                <w:sz w:val="22"/>
              </w:rPr>
              <w:t xml:space="preserve">ізичний, розумовий і духовний розвиток, соціальну адаптацію, створення комфортних та безпечних умов здобуття дошкільної освіти, розвитку, виховання та навчання дітей відповідно до санітарно-гігієнічних вимог, створення нових місць для </w:t>
            </w:r>
            <w:proofErr w:type="spellStart"/>
            <w:r w:rsidRPr="00B75FD7">
              <w:rPr>
                <w:rFonts w:eastAsia="Calibri"/>
                <w:color w:val="000000"/>
                <w:sz w:val="22"/>
              </w:rPr>
              <w:t>участнків</w:t>
            </w:r>
            <w:proofErr w:type="spellEnd"/>
            <w:r w:rsidRPr="00B75FD7">
              <w:rPr>
                <w:rFonts w:eastAsia="Calibri"/>
                <w:color w:val="000000"/>
                <w:sz w:val="22"/>
              </w:rPr>
              <w:t xml:space="preserve"> освітнього процесу в Ясла - садку №24 міста Сєвєродонецька  Луганської області.</w:t>
            </w:r>
          </w:p>
        </w:tc>
      </w:tr>
      <w:tr w:rsidR="009227F0" w:rsidRPr="00B75FD7" w:rsidTr="009227F0">
        <w:trPr>
          <w:trHeight w:val="288"/>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9227F0" w:rsidRPr="00B75FD7" w:rsidRDefault="009227F0" w:rsidP="009227F0">
            <w:pPr>
              <w:autoSpaceDE w:val="0"/>
              <w:autoSpaceDN w:val="0"/>
              <w:adjustRightInd w:val="0"/>
              <w:rPr>
                <w:rFonts w:eastAsia="Calibri"/>
                <w:b/>
                <w:color w:val="000000"/>
                <w:sz w:val="22"/>
              </w:rPr>
            </w:pPr>
            <w:r w:rsidRPr="00B75FD7">
              <w:rPr>
                <w:rFonts w:eastAsia="Calibri"/>
                <w:b/>
                <w:color w:val="000000"/>
                <w:sz w:val="22"/>
              </w:rPr>
              <w:t>Територія, на яку матиме вплив реалізація проекту</w:t>
            </w:r>
          </w:p>
        </w:tc>
        <w:tc>
          <w:tcPr>
            <w:tcW w:w="6946" w:type="dxa"/>
            <w:gridSpan w:val="8"/>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Сєвєродонецька міська територіальна громада</w:t>
            </w:r>
          </w:p>
        </w:tc>
      </w:tr>
      <w:tr w:rsidR="009227F0" w:rsidRPr="00B75FD7" w:rsidTr="009227F0">
        <w:trPr>
          <w:trHeight w:val="841"/>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9227F0" w:rsidRPr="00B75FD7" w:rsidRDefault="009227F0" w:rsidP="009227F0">
            <w:pPr>
              <w:autoSpaceDE w:val="0"/>
              <w:autoSpaceDN w:val="0"/>
              <w:adjustRightInd w:val="0"/>
              <w:rPr>
                <w:rFonts w:eastAsia="Calibri"/>
                <w:b/>
                <w:color w:val="000000"/>
                <w:sz w:val="22"/>
              </w:rPr>
            </w:pPr>
            <w:r w:rsidRPr="00B75FD7">
              <w:rPr>
                <w:rFonts w:eastAsia="Calibri"/>
                <w:b/>
                <w:color w:val="000000"/>
                <w:sz w:val="22"/>
              </w:rPr>
              <w:t>Чисельність населення, на яке матиме вплив реалізація проекту</w:t>
            </w:r>
          </w:p>
        </w:tc>
        <w:tc>
          <w:tcPr>
            <w:tcW w:w="6946" w:type="dxa"/>
            <w:gridSpan w:val="8"/>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70 000 осіб</w:t>
            </w:r>
          </w:p>
        </w:tc>
      </w:tr>
      <w:tr w:rsidR="009227F0" w:rsidRPr="00B75FD7" w:rsidTr="009227F0">
        <w:trPr>
          <w:trHeight w:val="1253"/>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9227F0" w:rsidRPr="00B75FD7" w:rsidRDefault="009227F0" w:rsidP="009227F0">
            <w:pPr>
              <w:autoSpaceDE w:val="0"/>
              <w:autoSpaceDN w:val="0"/>
              <w:adjustRightInd w:val="0"/>
              <w:rPr>
                <w:rFonts w:eastAsia="Calibri"/>
                <w:b/>
                <w:color w:val="000000"/>
                <w:sz w:val="22"/>
              </w:rPr>
            </w:pPr>
            <w:r w:rsidRPr="00B75FD7">
              <w:rPr>
                <w:rFonts w:eastAsia="Calibri"/>
                <w:b/>
                <w:color w:val="000000"/>
                <w:sz w:val="22"/>
              </w:rPr>
              <w:t>Опис проблеми, на вирішення якої спрямований проект</w:t>
            </w:r>
          </w:p>
        </w:tc>
        <w:tc>
          <w:tcPr>
            <w:tcW w:w="6946" w:type="dxa"/>
            <w:gridSpan w:val="8"/>
            <w:tcBorders>
              <w:top w:val="single" w:sz="6" w:space="0" w:color="auto"/>
              <w:left w:val="single" w:sz="6" w:space="0" w:color="auto"/>
              <w:bottom w:val="single" w:sz="6" w:space="0" w:color="auto"/>
              <w:right w:val="single" w:sz="6" w:space="0" w:color="auto"/>
            </w:tcBorders>
          </w:tcPr>
          <w:p w:rsidR="009227F0" w:rsidRPr="00B75FD7" w:rsidRDefault="009227F0" w:rsidP="009227F0">
            <w:pPr>
              <w:ind w:firstLine="708"/>
              <w:rPr>
                <w:color w:val="FF0000"/>
                <w:sz w:val="22"/>
              </w:rPr>
            </w:pPr>
            <w:r w:rsidRPr="00B75FD7">
              <w:rPr>
                <w:sz w:val="22"/>
              </w:rPr>
              <w:t xml:space="preserve">  Через військову агресію </w:t>
            </w:r>
            <w:r w:rsidR="00482195" w:rsidRPr="00B75FD7">
              <w:rPr>
                <w:sz w:val="22"/>
              </w:rPr>
              <w:t>РФ</w:t>
            </w:r>
            <w:r w:rsidRPr="00B75FD7">
              <w:rPr>
                <w:sz w:val="22"/>
              </w:rPr>
              <w:t xml:space="preserve"> територія Сєвєродонецької міської територіальної громади зазнала значних пошкоджень. Не оминуло це і територію та будівлі Ясел – садка №24  </w:t>
            </w:r>
          </w:p>
          <w:p w:rsidR="009227F0" w:rsidRPr="00B75FD7" w:rsidRDefault="009227F0" w:rsidP="00482195">
            <w:pPr>
              <w:autoSpaceDE w:val="0"/>
              <w:autoSpaceDN w:val="0"/>
              <w:adjustRightInd w:val="0"/>
              <w:rPr>
                <w:rFonts w:eastAsia="Calibri"/>
                <w:color w:val="000000"/>
                <w:sz w:val="22"/>
              </w:rPr>
            </w:pPr>
            <w:proofErr w:type="spellStart"/>
            <w:r w:rsidRPr="00B75FD7">
              <w:rPr>
                <w:sz w:val="22"/>
              </w:rPr>
              <w:t>Проєкт</w:t>
            </w:r>
            <w:proofErr w:type="spellEnd"/>
            <w:r w:rsidRPr="00B75FD7">
              <w:rPr>
                <w:sz w:val="22"/>
              </w:rPr>
              <w:t xml:space="preserve"> спрямований</w:t>
            </w:r>
            <w:r w:rsidR="00482195" w:rsidRPr="00B75FD7">
              <w:rPr>
                <w:sz w:val="22"/>
              </w:rPr>
              <w:t>,</w:t>
            </w:r>
            <w:r w:rsidRPr="00B75FD7">
              <w:rPr>
                <w:sz w:val="22"/>
              </w:rPr>
              <w:t xml:space="preserve"> зокрема</w:t>
            </w:r>
            <w:r w:rsidR="00482195" w:rsidRPr="00B75FD7">
              <w:rPr>
                <w:sz w:val="22"/>
              </w:rPr>
              <w:t>,</w:t>
            </w:r>
            <w:r w:rsidRPr="00B75FD7">
              <w:rPr>
                <w:sz w:val="22"/>
              </w:rPr>
              <w:t xml:space="preserve"> на подолання даної проблеми відновлення основної та господарчої будівлі, також підвищення комфортності і якості надання освітніх  послуг вихованцям та працівникам закладу дошкільної освіти.</w:t>
            </w:r>
          </w:p>
        </w:tc>
      </w:tr>
      <w:tr w:rsidR="009227F0" w:rsidRPr="00B75FD7" w:rsidTr="009227F0">
        <w:trPr>
          <w:trHeight w:val="1257"/>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9227F0" w:rsidRPr="00B75FD7" w:rsidRDefault="009227F0" w:rsidP="009227F0">
            <w:pPr>
              <w:autoSpaceDE w:val="0"/>
              <w:autoSpaceDN w:val="0"/>
              <w:adjustRightInd w:val="0"/>
              <w:rPr>
                <w:rFonts w:eastAsia="Calibri"/>
                <w:b/>
                <w:color w:val="000000"/>
                <w:sz w:val="22"/>
              </w:rPr>
            </w:pPr>
            <w:r w:rsidRPr="00B75FD7">
              <w:rPr>
                <w:rFonts w:eastAsia="Calibri"/>
                <w:b/>
                <w:color w:val="000000"/>
                <w:sz w:val="22"/>
              </w:rPr>
              <w:t>Очікувані якісні результати від реалізації проекту</w:t>
            </w:r>
          </w:p>
        </w:tc>
        <w:tc>
          <w:tcPr>
            <w:tcW w:w="6946" w:type="dxa"/>
            <w:gridSpan w:val="8"/>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sz w:val="22"/>
              </w:rPr>
            </w:pPr>
            <w:r w:rsidRPr="00B75FD7">
              <w:rPr>
                <w:rFonts w:eastAsia="Calibri"/>
                <w:sz w:val="22"/>
              </w:rPr>
              <w:t xml:space="preserve">       Проведення капітального  ремонту будівлі  Ясел - садка №24 підвищить якість надання освітніх  послуг  всім </w:t>
            </w:r>
            <w:proofErr w:type="spellStart"/>
            <w:r w:rsidRPr="00B75FD7">
              <w:rPr>
                <w:rFonts w:eastAsia="Calibri"/>
                <w:sz w:val="22"/>
              </w:rPr>
              <w:t>участникам</w:t>
            </w:r>
            <w:proofErr w:type="spellEnd"/>
            <w:r w:rsidRPr="00B75FD7">
              <w:rPr>
                <w:rFonts w:eastAsia="Calibri"/>
                <w:sz w:val="22"/>
              </w:rPr>
              <w:t xml:space="preserve"> освітнього процесу  шляхом  запровадженням енергозберігаючих технологій. Також реалізація </w:t>
            </w:r>
            <w:proofErr w:type="spellStart"/>
            <w:r w:rsidRPr="00B75FD7">
              <w:rPr>
                <w:rFonts w:eastAsia="Calibri"/>
                <w:sz w:val="22"/>
              </w:rPr>
              <w:t>проєкту</w:t>
            </w:r>
            <w:proofErr w:type="spellEnd"/>
            <w:r w:rsidRPr="00B75FD7">
              <w:rPr>
                <w:rFonts w:eastAsia="Calibri"/>
                <w:sz w:val="22"/>
              </w:rPr>
              <w:t xml:space="preserve"> дозволить надати  можливість дітям отримувати дошкільну освіту в сучасних, комфортних та безпечних умовах, поліпшення  умов з  запровадженням енергозберігаючих технологій.</w:t>
            </w:r>
          </w:p>
          <w:p w:rsidR="009227F0" w:rsidRPr="00B75FD7" w:rsidRDefault="009227F0" w:rsidP="009227F0">
            <w:pPr>
              <w:autoSpaceDE w:val="0"/>
              <w:autoSpaceDN w:val="0"/>
              <w:adjustRightInd w:val="0"/>
              <w:rPr>
                <w:rFonts w:eastAsia="Calibri"/>
                <w:color w:val="000000"/>
                <w:sz w:val="22"/>
              </w:rPr>
            </w:pPr>
            <w:r w:rsidRPr="00B75FD7">
              <w:rPr>
                <w:rFonts w:eastAsia="Arial"/>
                <w:sz w:val="22"/>
              </w:rPr>
              <w:t xml:space="preserve">            Для відбудови та сталого розвитку громади потрібне відновлення роботи</w:t>
            </w:r>
            <w:r w:rsidRPr="00B75FD7">
              <w:rPr>
                <w:rFonts w:eastAsia="Calibri"/>
                <w:sz w:val="22"/>
              </w:rPr>
              <w:t xml:space="preserve"> Ясел – садка №24 </w:t>
            </w:r>
            <w:r w:rsidRPr="00B75FD7">
              <w:rPr>
                <w:rFonts w:eastAsia="Arial"/>
                <w:sz w:val="22"/>
              </w:rPr>
              <w:t xml:space="preserve"> Мешканці громади потребують в отриманні якісних  послуг дошкільної освіти, які відповідають нормам сучасності</w:t>
            </w:r>
            <w:r w:rsidRPr="00B75FD7">
              <w:rPr>
                <w:rFonts w:eastAsia="Calibri"/>
                <w:sz w:val="22"/>
              </w:rPr>
              <w:t>.</w:t>
            </w:r>
          </w:p>
        </w:tc>
      </w:tr>
      <w:tr w:rsidR="009227F0" w:rsidRPr="00B75FD7" w:rsidTr="009227F0">
        <w:trPr>
          <w:trHeight w:val="577"/>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9227F0" w:rsidRPr="00B75FD7" w:rsidRDefault="009227F0" w:rsidP="009227F0">
            <w:pPr>
              <w:autoSpaceDE w:val="0"/>
              <w:autoSpaceDN w:val="0"/>
              <w:adjustRightInd w:val="0"/>
              <w:rPr>
                <w:rFonts w:eastAsia="Calibri"/>
                <w:b/>
                <w:color w:val="000000"/>
                <w:sz w:val="22"/>
              </w:rPr>
            </w:pPr>
            <w:r w:rsidRPr="00B75FD7">
              <w:rPr>
                <w:rFonts w:eastAsia="Calibri"/>
                <w:b/>
                <w:color w:val="000000"/>
                <w:sz w:val="22"/>
              </w:rPr>
              <w:t>Очікувані кількісні результати від реалізації проекту  (індикатори)</w:t>
            </w:r>
          </w:p>
        </w:tc>
        <w:tc>
          <w:tcPr>
            <w:tcW w:w="3878" w:type="dxa"/>
            <w:gridSpan w:val="4"/>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b/>
                <w:color w:val="000000"/>
                <w:sz w:val="22"/>
              </w:rPr>
            </w:pPr>
            <w:r w:rsidRPr="00B75FD7">
              <w:rPr>
                <w:rFonts w:eastAsia="Calibri"/>
                <w:b/>
                <w:color w:val="000000"/>
                <w:sz w:val="22"/>
              </w:rPr>
              <w:t>Найменування показника</w:t>
            </w:r>
          </w:p>
        </w:tc>
        <w:tc>
          <w:tcPr>
            <w:tcW w:w="1443" w:type="dxa"/>
            <w:gridSpan w:val="3"/>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b/>
                <w:color w:val="000000"/>
                <w:sz w:val="22"/>
              </w:rPr>
            </w:pPr>
            <w:r w:rsidRPr="00B75FD7">
              <w:rPr>
                <w:rFonts w:eastAsia="Calibri"/>
                <w:b/>
                <w:color w:val="000000"/>
                <w:sz w:val="22"/>
              </w:rPr>
              <w:t>Одиниця вимірювання</w:t>
            </w:r>
          </w:p>
        </w:tc>
        <w:tc>
          <w:tcPr>
            <w:tcW w:w="1625" w:type="dxa"/>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b/>
                <w:color w:val="000000"/>
                <w:sz w:val="22"/>
              </w:rPr>
            </w:pPr>
            <w:r w:rsidRPr="00B75FD7">
              <w:rPr>
                <w:rFonts w:eastAsia="Calibri"/>
                <w:b/>
                <w:color w:val="000000"/>
                <w:sz w:val="22"/>
              </w:rPr>
              <w:t>Прогнозне (цільове) значення</w:t>
            </w:r>
          </w:p>
        </w:tc>
      </w:tr>
      <w:tr w:rsidR="009227F0" w:rsidRPr="00B75FD7" w:rsidTr="009227F0">
        <w:trPr>
          <w:trHeight w:val="690"/>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9227F0" w:rsidRPr="00B75FD7" w:rsidRDefault="009227F0" w:rsidP="009227F0">
            <w:pPr>
              <w:autoSpaceDE w:val="0"/>
              <w:autoSpaceDN w:val="0"/>
              <w:adjustRightInd w:val="0"/>
              <w:rPr>
                <w:rFonts w:eastAsia="Calibri"/>
                <w:b/>
                <w:color w:val="000000"/>
                <w:sz w:val="22"/>
              </w:rPr>
            </w:pPr>
          </w:p>
        </w:tc>
        <w:tc>
          <w:tcPr>
            <w:tcW w:w="3878" w:type="dxa"/>
            <w:gridSpan w:val="4"/>
            <w:tcBorders>
              <w:top w:val="single" w:sz="6" w:space="0" w:color="auto"/>
              <w:left w:val="single" w:sz="6" w:space="0" w:color="auto"/>
              <w:bottom w:val="single" w:sz="6" w:space="0" w:color="auto"/>
              <w:right w:val="single" w:sz="6" w:space="0" w:color="auto"/>
            </w:tcBorders>
          </w:tcPr>
          <w:p w:rsidR="009227F0" w:rsidRPr="00B75FD7" w:rsidRDefault="009227F0" w:rsidP="009227F0">
            <w:pPr>
              <w:rPr>
                <w:rFonts w:eastAsia="Calibri"/>
                <w:sz w:val="22"/>
              </w:rPr>
            </w:pPr>
            <w:r w:rsidRPr="00B75FD7">
              <w:rPr>
                <w:rFonts w:eastAsia="Calibri"/>
                <w:sz w:val="22"/>
              </w:rPr>
              <w:t xml:space="preserve">Капітальний ремонт основної будівлі  </w:t>
            </w:r>
          </w:p>
          <w:p w:rsidR="009227F0" w:rsidRPr="00B75FD7" w:rsidRDefault="009227F0" w:rsidP="009227F0">
            <w:pPr>
              <w:rPr>
                <w:rFonts w:eastAsia="Calibri"/>
                <w:sz w:val="22"/>
              </w:rPr>
            </w:pPr>
          </w:p>
          <w:p w:rsidR="009227F0" w:rsidRPr="00B75FD7" w:rsidRDefault="009227F0" w:rsidP="009227F0">
            <w:pPr>
              <w:rPr>
                <w:rFonts w:eastAsia="Calibri"/>
                <w:sz w:val="22"/>
              </w:rPr>
            </w:pPr>
            <w:r w:rsidRPr="00B75FD7">
              <w:rPr>
                <w:rFonts w:eastAsia="Calibri"/>
                <w:sz w:val="22"/>
              </w:rPr>
              <w:t xml:space="preserve">Капітальний ремонт господарчої будівлі </w:t>
            </w:r>
          </w:p>
          <w:p w:rsidR="009227F0" w:rsidRPr="00B75FD7" w:rsidRDefault="009227F0" w:rsidP="009227F0">
            <w:pPr>
              <w:rPr>
                <w:rFonts w:eastAsia="Calibri"/>
                <w:sz w:val="22"/>
              </w:rPr>
            </w:pPr>
          </w:p>
          <w:p w:rsidR="009227F0" w:rsidRPr="00B75FD7" w:rsidRDefault="009227F0" w:rsidP="009227F0">
            <w:pPr>
              <w:rPr>
                <w:rFonts w:eastAsia="Calibri"/>
                <w:sz w:val="22"/>
              </w:rPr>
            </w:pPr>
            <w:r w:rsidRPr="00B75FD7">
              <w:rPr>
                <w:rFonts w:eastAsia="Calibri"/>
                <w:sz w:val="22"/>
              </w:rPr>
              <w:t>Кількість наданих послуг дошкільної освіти мешканцям Сєвєродонецької громади та ВПО.</w:t>
            </w:r>
          </w:p>
          <w:p w:rsidR="009227F0" w:rsidRPr="00B75FD7" w:rsidRDefault="009227F0" w:rsidP="009227F0">
            <w:pPr>
              <w:rPr>
                <w:rFonts w:eastAsia="Calibri"/>
                <w:sz w:val="22"/>
              </w:rPr>
            </w:pPr>
          </w:p>
          <w:p w:rsidR="009227F0" w:rsidRPr="00B75FD7" w:rsidRDefault="009227F0" w:rsidP="009227F0">
            <w:pPr>
              <w:rPr>
                <w:rFonts w:eastAsia="Calibri"/>
                <w:sz w:val="22"/>
              </w:rPr>
            </w:pPr>
            <w:r w:rsidRPr="00B75FD7">
              <w:rPr>
                <w:rFonts w:eastAsia="Calibri"/>
                <w:sz w:val="22"/>
              </w:rPr>
              <w:t xml:space="preserve">Кількість працевлаштування на нові робочі місця </w:t>
            </w:r>
          </w:p>
        </w:tc>
        <w:tc>
          <w:tcPr>
            <w:tcW w:w="1443" w:type="dxa"/>
            <w:gridSpan w:val="3"/>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sz w:val="22"/>
              </w:rPr>
            </w:pPr>
            <w:proofErr w:type="spellStart"/>
            <w:r w:rsidRPr="00B75FD7">
              <w:rPr>
                <w:rFonts w:eastAsia="Calibri"/>
                <w:sz w:val="22"/>
              </w:rPr>
              <w:t>кв.м</w:t>
            </w:r>
            <w:proofErr w:type="spellEnd"/>
          </w:p>
          <w:p w:rsidR="009227F0" w:rsidRPr="00B75FD7" w:rsidRDefault="009227F0" w:rsidP="009227F0">
            <w:pPr>
              <w:autoSpaceDE w:val="0"/>
              <w:autoSpaceDN w:val="0"/>
              <w:adjustRightInd w:val="0"/>
              <w:rPr>
                <w:rFonts w:eastAsia="Calibri"/>
                <w:color w:val="FF0000"/>
                <w:sz w:val="22"/>
              </w:rPr>
            </w:pPr>
          </w:p>
          <w:p w:rsidR="009227F0" w:rsidRPr="00B75FD7" w:rsidRDefault="009227F0" w:rsidP="009227F0">
            <w:pPr>
              <w:autoSpaceDE w:val="0"/>
              <w:autoSpaceDN w:val="0"/>
              <w:adjustRightInd w:val="0"/>
              <w:rPr>
                <w:rFonts w:eastAsia="Calibri"/>
                <w:sz w:val="22"/>
              </w:rPr>
            </w:pPr>
            <w:proofErr w:type="spellStart"/>
            <w:r w:rsidRPr="00B75FD7">
              <w:rPr>
                <w:rFonts w:eastAsia="Calibri"/>
                <w:sz w:val="22"/>
              </w:rPr>
              <w:t>кв.м</w:t>
            </w:r>
            <w:proofErr w:type="spellEnd"/>
          </w:p>
          <w:p w:rsidR="009227F0" w:rsidRPr="00B75FD7" w:rsidRDefault="009227F0" w:rsidP="009227F0">
            <w:pPr>
              <w:autoSpaceDE w:val="0"/>
              <w:autoSpaceDN w:val="0"/>
              <w:adjustRightInd w:val="0"/>
              <w:rPr>
                <w:rFonts w:eastAsia="Calibri"/>
                <w:color w:val="FF0000"/>
                <w:sz w:val="22"/>
              </w:rPr>
            </w:pPr>
          </w:p>
          <w:p w:rsidR="004A600A" w:rsidRPr="00B75FD7" w:rsidRDefault="004A600A" w:rsidP="009227F0">
            <w:pPr>
              <w:autoSpaceDE w:val="0"/>
              <w:autoSpaceDN w:val="0"/>
              <w:adjustRightInd w:val="0"/>
              <w:rPr>
                <w:rFonts w:eastAsia="Calibri"/>
                <w:sz w:val="22"/>
              </w:rPr>
            </w:pPr>
          </w:p>
          <w:p w:rsidR="004A600A" w:rsidRPr="00B75FD7" w:rsidRDefault="004A600A" w:rsidP="009227F0">
            <w:pPr>
              <w:autoSpaceDE w:val="0"/>
              <w:autoSpaceDN w:val="0"/>
              <w:adjustRightInd w:val="0"/>
              <w:rPr>
                <w:rFonts w:eastAsia="Calibri"/>
                <w:sz w:val="22"/>
              </w:rPr>
            </w:pPr>
          </w:p>
          <w:p w:rsidR="009227F0" w:rsidRPr="00B75FD7" w:rsidRDefault="009227F0" w:rsidP="009227F0">
            <w:pPr>
              <w:autoSpaceDE w:val="0"/>
              <w:autoSpaceDN w:val="0"/>
              <w:adjustRightInd w:val="0"/>
              <w:rPr>
                <w:rFonts w:eastAsia="Calibri"/>
                <w:sz w:val="22"/>
              </w:rPr>
            </w:pPr>
            <w:r w:rsidRPr="00B75FD7">
              <w:rPr>
                <w:rFonts w:eastAsia="Calibri"/>
                <w:sz w:val="22"/>
              </w:rPr>
              <w:t>осіб</w:t>
            </w:r>
          </w:p>
          <w:p w:rsidR="009227F0" w:rsidRPr="00B75FD7" w:rsidRDefault="009227F0" w:rsidP="009227F0">
            <w:pPr>
              <w:autoSpaceDE w:val="0"/>
              <w:autoSpaceDN w:val="0"/>
              <w:adjustRightInd w:val="0"/>
              <w:rPr>
                <w:rFonts w:eastAsia="Calibri"/>
                <w:sz w:val="22"/>
              </w:rPr>
            </w:pPr>
          </w:p>
          <w:p w:rsidR="009227F0" w:rsidRPr="00B75FD7" w:rsidRDefault="009227F0" w:rsidP="009227F0">
            <w:pPr>
              <w:autoSpaceDE w:val="0"/>
              <w:autoSpaceDN w:val="0"/>
              <w:adjustRightInd w:val="0"/>
              <w:rPr>
                <w:rFonts w:eastAsia="Calibri"/>
                <w:sz w:val="22"/>
              </w:rPr>
            </w:pPr>
          </w:p>
          <w:p w:rsidR="009227F0" w:rsidRPr="00B75FD7" w:rsidRDefault="009227F0" w:rsidP="009227F0">
            <w:pPr>
              <w:autoSpaceDE w:val="0"/>
              <w:autoSpaceDN w:val="0"/>
              <w:adjustRightInd w:val="0"/>
              <w:rPr>
                <w:rFonts w:eastAsia="Calibri"/>
                <w:sz w:val="22"/>
              </w:rPr>
            </w:pPr>
          </w:p>
          <w:p w:rsidR="009227F0" w:rsidRPr="00B75FD7" w:rsidRDefault="009227F0" w:rsidP="009227F0">
            <w:pPr>
              <w:autoSpaceDE w:val="0"/>
              <w:autoSpaceDN w:val="0"/>
              <w:adjustRightInd w:val="0"/>
              <w:rPr>
                <w:rFonts w:eastAsia="Calibri"/>
                <w:color w:val="FF0000"/>
                <w:sz w:val="22"/>
              </w:rPr>
            </w:pPr>
            <w:r w:rsidRPr="00B75FD7">
              <w:rPr>
                <w:rFonts w:eastAsia="Calibri"/>
                <w:sz w:val="22"/>
              </w:rPr>
              <w:t>осіб</w:t>
            </w:r>
          </w:p>
        </w:tc>
        <w:tc>
          <w:tcPr>
            <w:tcW w:w="1625" w:type="dxa"/>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599,8</w:t>
            </w:r>
          </w:p>
          <w:p w:rsidR="009227F0" w:rsidRPr="00B75FD7" w:rsidRDefault="009227F0" w:rsidP="009227F0">
            <w:pPr>
              <w:autoSpaceDE w:val="0"/>
              <w:autoSpaceDN w:val="0"/>
              <w:adjustRightInd w:val="0"/>
              <w:rPr>
                <w:rFonts w:eastAsia="Calibri"/>
                <w:sz w:val="22"/>
              </w:rPr>
            </w:pPr>
          </w:p>
          <w:p w:rsidR="009227F0" w:rsidRPr="00B75FD7" w:rsidRDefault="009227F0" w:rsidP="009227F0">
            <w:pPr>
              <w:autoSpaceDE w:val="0"/>
              <w:autoSpaceDN w:val="0"/>
              <w:adjustRightInd w:val="0"/>
              <w:rPr>
                <w:rFonts w:eastAsia="Calibri"/>
                <w:sz w:val="22"/>
              </w:rPr>
            </w:pPr>
          </w:p>
          <w:p w:rsidR="009227F0" w:rsidRPr="00B75FD7" w:rsidRDefault="009227F0" w:rsidP="009227F0">
            <w:pPr>
              <w:autoSpaceDE w:val="0"/>
              <w:autoSpaceDN w:val="0"/>
              <w:adjustRightInd w:val="0"/>
              <w:rPr>
                <w:rFonts w:eastAsia="Calibri"/>
                <w:sz w:val="22"/>
              </w:rPr>
            </w:pPr>
            <w:r w:rsidRPr="00B75FD7">
              <w:rPr>
                <w:rFonts w:eastAsia="Calibri"/>
                <w:sz w:val="22"/>
              </w:rPr>
              <w:t>335,5</w:t>
            </w:r>
          </w:p>
          <w:p w:rsidR="009227F0" w:rsidRPr="00B75FD7" w:rsidRDefault="009227F0" w:rsidP="009227F0">
            <w:pPr>
              <w:autoSpaceDE w:val="0"/>
              <w:autoSpaceDN w:val="0"/>
              <w:adjustRightInd w:val="0"/>
              <w:rPr>
                <w:rFonts w:eastAsia="Calibri"/>
                <w:sz w:val="22"/>
              </w:rPr>
            </w:pPr>
          </w:p>
          <w:p w:rsidR="004A600A" w:rsidRPr="00B75FD7" w:rsidRDefault="004A600A" w:rsidP="009227F0">
            <w:pPr>
              <w:autoSpaceDE w:val="0"/>
              <w:autoSpaceDN w:val="0"/>
              <w:adjustRightInd w:val="0"/>
              <w:rPr>
                <w:rFonts w:eastAsia="Calibri"/>
                <w:color w:val="000000"/>
                <w:sz w:val="22"/>
                <w:lang w:val="ru-RU"/>
              </w:rPr>
            </w:pPr>
          </w:p>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80</w:t>
            </w:r>
          </w:p>
          <w:p w:rsidR="009227F0" w:rsidRPr="00B75FD7" w:rsidRDefault="009227F0" w:rsidP="009227F0">
            <w:pPr>
              <w:autoSpaceDE w:val="0"/>
              <w:autoSpaceDN w:val="0"/>
              <w:adjustRightInd w:val="0"/>
              <w:rPr>
                <w:rFonts w:eastAsia="Calibri"/>
                <w:color w:val="000000"/>
                <w:sz w:val="22"/>
              </w:rPr>
            </w:pPr>
          </w:p>
          <w:p w:rsidR="009227F0" w:rsidRPr="00B75FD7" w:rsidRDefault="009227F0" w:rsidP="009227F0">
            <w:pPr>
              <w:autoSpaceDE w:val="0"/>
              <w:autoSpaceDN w:val="0"/>
              <w:adjustRightInd w:val="0"/>
              <w:rPr>
                <w:rFonts w:eastAsia="Calibri"/>
                <w:color w:val="000000"/>
                <w:sz w:val="22"/>
              </w:rPr>
            </w:pPr>
          </w:p>
          <w:p w:rsidR="004A600A" w:rsidRPr="00B75FD7" w:rsidRDefault="004A600A" w:rsidP="009227F0">
            <w:pPr>
              <w:autoSpaceDE w:val="0"/>
              <w:autoSpaceDN w:val="0"/>
              <w:adjustRightInd w:val="0"/>
              <w:rPr>
                <w:rFonts w:eastAsia="Calibri"/>
                <w:color w:val="000000"/>
                <w:sz w:val="22"/>
                <w:lang w:val="ru-RU"/>
              </w:rPr>
            </w:pPr>
          </w:p>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27</w:t>
            </w:r>
          </w:p>
        </w:tc>
      </w:tr>
      <w:tr w:rsidR="009227F0" w:rsidRPr="00B75FD7" w:rsidTr="009227F0">
        <w:trPr>
          <w:trHeight w:val="1673"/>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9227F0" w:rsidRPr="00B75FD7" w:rsidRDefault="009227F0" w:rsidP="009227F0">
            <w:pPr>
              <w:autoSpaceDE w:val="0"/>
              <w:autoSpaceDN w:val="0"/>
              <w:adjustRightInd w:val="0"/>
              <w:rPr>
                <w:rFonts w:eastAsia="Calibri"/>
                <w:b/>
                <w:color w:val="000000"/>
                <w:sz w:val="22"/>
              </w:rPr>
            </w:pPr>
            <w:r w:rsidRPr="00B75FD7">
              <w:rPr>
                <w:rFonts w:eastAsia="Calibri"/>
                <w:b/>
                <w:color w:val="000000"/>
                <w:sz w:val="22"/>
              </w:rPr>
              <w:lastRenderedPageBreak/>
              <w:t>Ключові заходи проекту:</w:t>
            </w:r>
          </w:p>
        </w:tc>
        <w:tc>
          <w:tcPr>
            <w:tcW w:w="6946" w:type="dxa"/>
            <w:gridSpan w:val="8"/>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 xml:space="preserve">- проведення </w:t>
            </w:r>
            <w:proofErr w:type="spellStart"/>
            <w:r w:rsidRPr="00B75FD7">
              <w:rPr>
                <w:rFonts w:eastAsia="Calibri"/>
                <w:color w:val="000000"/>
                <w:sz w:val="22"/>
              </w:rPr>
              <w:t>моніторінгу</w:t>
            </w:r>
            <w:proofErr w:type="spellEnd"/>
            <w:r w:rsidRPr="00B75FD7">
              <w:rPr>
                <w:rFonts w:eastAsia="Calibri"/>
                <w:color w:val="000000"/>
                <w:sz w:val="22"/>
              </w:rPr>
              <w:t xml:space="preserve"> поточного стану будівлі закладу освіти після </w:t>
            </w:r>
            <w:proofErr w:type="spellStart"/>
            <w:r w:rsidRPr="00B75FD7">
              <w:rPr>
                <w:rFonts w:eastAsia="Calibri"/>
                <w:color w:val="000000"/>
                <w:sz w:val="22"/>
              </w:rPr>
              <w:t>деокупаціі</w:t>
            </w:r>
            <w:proofErr w:type="spellEnd"/>
            <w:r w:rsidR="004A600A" w:rsidRPr="00B75FD7">
              <w:rPr>
                <w:rFonts w:eastAsia="Calibri"/>
                <w:color w:val="000000"/>
                <w:sz w:val="22"/>
                <w:lang w:val="ru-RU"/>
              </w:rPr>
              <w:t>;</w:t>
            </w:r>
            <w:r w:rsidRPr="00B75FD7">
              <w:rPr>
                <w:rFonts w:eastAsia="Calibri"/>
                <w:color w:val="000000"/>
                <w:sz w:val="22"/>
              </w:rPr>
              <w:t xml:space="preserve">   </w:t>
            </w:r>
          </w:p>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 xml:space="preserve"> -виготовлення про</w:t>
            </w:r>
            <w:r w:rsidR="004A600A" w:rsidRPr="00B75FD7">
              <w:rPr>
                <w:rFonts w:eastAsia="Calibri"/>
                <w:color w:val="000000"/>
                <w:sz w:val="22"/>
                <w:lang w:val="ru-RU"/>
              </w:rPr>
              <w:t>э</w:t>
            </w:r>
            <w:proofErr w:type="spellStart"/>
            <w:r w:rsidRPr="00B75FD7">
              <w:rPr>
                <w:rFonts w:eastAsia="Calibri"/>
                <w:color w:val="000000"/>
                <w:sz w:val="22"/>
              </w:rPr>
              <w:t>ктно</w:t>
            </w:r>
            <w:proofErr w:type="spellEnd"/>
            <w:r w:rsidRPr="00B75FD7">
              <w:rPr>
                <w:rFonts w:eastAsia="Calibri"/>
                <w:color w:val="000000"/>
                <w:sz w:val="22"/>
              </w:rPr>
              <w:t xml:space="preserve">-кошторисної </w:t>
            </w:r>
            <w:proofErr w:type="spellStart"/>
            <w:r w:rsidRPr="00B75FD7">
              <w:rPr>
                <w:rFonts w:eastAsia="Calibri"/>
                <w:color w:val="000000"/>
                <w:sz w:val="22"/>
              </w:rPr>
              <w:t>документаціі</w:t>
            </w:r>
            <w:proofErr w:type="spellEnd"/>
            <w:r w:rsidR="004A600A" w:rsidRPr="00B75FD7">
              <w:rPr>
                <w:rFonts w:eastAsia="Calibri"/>
                <w:color w:val="000000"/>
                <w:sz w:val="22"/>
                <w:lang w:val="ru-RU"/>
              </w:rPr>
              <w:t>;</w:t>
            </w:r>
            <w:r w:rsidRPr="00B75FD7">
              <w:rPr>
                <w:rFonts w:eastAsia="Calibri"/>
                <w:color w:val="000000"/>
                <w:sz w:val="22"/>
              </w:rPr>
              <w:t xml:space="preserve">   </w:t>
            </w:r>
          </w:p>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 заключення договору на проведення робіт по капітальному ремонту будівлі закладу</w:t>
            </w:r>
            <w:r w:rsidR="004A600A" w:rsidRPr="00B75FD7">
              <w:rPr>
                <w:rFonts w:eastAsia="Calibri"/>
                <w:color w:val="000000"/>
                <w:sz w:val="22"/>
                <w:lang w:val="ru-RU"/>
              </w:rPr>
              <w:t>;</w:t>
            </w:r>
            <w:r w:rsidRPr="00B75FD7">
              <w:rPr>
                <w:rFonts w:eastAsia="Calibri"/>
                <w:color w:val="000000"/>
                <w:sz w:val="22"/>
              </w:rPr>
              <w:t xml:space="preserve">    </w:t>
            </w:r>
          </w:p>
          <w:p w:rsidR="009227F0" w:rsidRPr="00B75FD7" w:rsidRDefault="009227F0" w:rsidP="009227F0">
            <w:pPr>
              <w:autoSpaceDE w:val="0"/>
              <w:autoSpaceDN w:val="0"/>
              <w:adjustRightInd w:val="0"/>
              <w:rPr>
                <w:rFonts w:eastAsia="Calibri"/>
                <w:color w:val="000000"/>
                <w:sz w:val="22"/>
                <w:lang w:val="ru-RU"/>
              </w:rPr>
            </w:pPr>
            <w:r w:rsidRPr="00B75FD7">
              <w:rPr>
                <w:rFonts w:eastAsia="Calibri"/>
                <w:color w:val="000000"/>
                <w:sz w:val="22"/>
              </w:rPr>
              <w:t xml:space="preserve">- проведення ремонтно - будівельних робіт основної будівлі та господарчої </w:t>
            </w:r>
            <w:proofErr w:type="spellStart"/>
            <w:r w:rsidRPr="00B75FD7">
              <w:rPr>
                <w:rFonts w:eastAsia="Calibri"/>
                <w:color w:val="000000"/>
                <w:sz w:val="22"/>
              </w:rPr>
              <w:t>буівлі</w:t>
            </w:r>
            <w:proofErr w:type="spellEnd"/>
            <w:r w:rsidRPr="00B75FD7">
              <w:rPr>
                <w:rFonts w:eastAsia="Calibri"/>
                <w:color w:val="000000"/>
                <w:sz w:val="22"/>
              </w:rPr>
              <w:t xml:space="preserve"> Ясел – садка №24</w:t>
            </w:r>
            <w:r w:rsidR="004A600A" w:rsidRPr="00B75FD7">
              <w:rPr>
                <w:rFonts w:eastAsia="Calibri"/>
                <w:color w:val="000000"/>
                <w:sz w:val="22"/>
                <w:lang w:val="ru-RU"/>
              </w:rPr>
              <w:t>;</w:t>
            </w:r>
          </w:p>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 xml:space="preserve"> -придбання електрообладнання та протипожежного обладнання; </w:t>
            </w:r>
          </w:p>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 xml:space="preserve">- </w:t>
            </w:r>
            <w:proofErr w:type="spellStart"/>
            <w:r w:rsidRPr="00B75FD7">
              <w:rPr>
                <w:rFonts w:eastAsia="Calibri"/>
                <w:color w:val="000000"/>
                <w:sz w:val="22"/>
              </w:rPr>
              <w:t>блаштування</w:t>
            </w:r>
            <w:proofErr w:type="spellEnd"/>
            <w:r w:rsidRPr="00B75FD7">
              <w:rPr>
                <w:rFonts w:eastAsia="Calibri"/>
                <w:color w:val="000000"/>
                <w:sz w:val="22"/>
              </w:rPr>
              <w:t xml:space="preserve"> водопроводу та каналізації; </w:t>
            </w:r>
          </w:p>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 xml:space="preserve">- заміна системи опалення;   </w:t>
            </w:r>
          </w:p>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 xml:space="preserve"> - </w:t>
            </w:r>
            <w:r w:rsidR="004A600A" w:rsidRPr="00B75FD7">
              <w:rPr>
                <w:rFonts w:eastAsia="Calibri"/>
                <w:color w:val="000000"/>
                <w:sz w:val="22"/>
                <w:lang w:val="ru-RU"/>
              </w:rPr>
              <w:t>з</w:t>
            </w:r>
            <w:proofErr w:type="spellStart"/>
            <w:r w:rsidRPr="00B75FD7">
              <w:rPr>
                <w:rFonts w:eastAsia="Calibri"/>
                <w:color w:val="000000"/>
                <w:sz w:val="22"/>
              </w:rPr>
              <w:t>аміна</w:t>
            </w:r>
            <w:proofErr w:type="spellEnd"/>
            <w:r w:rsidRPr="00B75FD7">
              <w:rPr>
                <w:rFonts w:eastAsia="Calibri"/>
                <w:color w:val="000000"/>
                <w:sz w:val="22"/>
              </w:rPr>
              <w:t xml:space="preserve"> вікон та дверей;  </w:t>
            </w:r>
          </w:p>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 xml:space="preserve">- термоізоляція приміщення; </w:t>
            </w:r>
          </w:p>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 xml:space="preserve"> - ремонт покрівлі основної та господарчої будівлі Ясел – садка №24; </w:t>
            </w:r>
          </w:p>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 xml:space="preserve"> - ремонт зовнішньої та внутрішньої системи </w:t>
            </w:r>
            <w:proofErr w:type="spellStart"/>
            <w:r w:rsidRPr="00B75FD7">
              <w:rPr>
                <w:rFonts w:eastAsia="Calibri"/>
                <w:color w:val="000000"/>
                <w:sz w:val="22"/>
              </w:rPr>
              <w:t>елект</w:t>
            </w:r>
            <w:proofErr w:type="spellEnd"/>
            <w:r w:rsidR="004A600A" w:rsidRPr="00B75FD7">
              <w:rPr>
                <w:rFonts w:eastAsia="Calibri"/>
                <w:color w:val="000000"/>
                <w:sz w:val="22"/>
                <w:lang w:val="ru-RU"/>
              </w:rPr>
              <w:t>р</w:t>
            </w:r>
            <w:proofErr w:type="spellStart"/>
            <w:r w:rsidRPr="00B75FD7">
              <w:rPr>
                <w:rFonts w:eastAsia="Calibri"/>
                <w:color w:val="000000"/>
                <w:sz w:val="22"/>
              </w:rPr>
              <w:t>омережі</w:t>
            </w:r>
            <w:proofErr w:type="spellEnd"/>
            <w:r w:rsidRPr="00B75FD7">
              <w:rPr>
                <w:rFonts w:eastAsia="Calibri"/>
                <w:color w:val="000000"/>
                <w:sz w:val="22"/>
              </w:rPr>
              <w:t xml:space="preserve"> основної та господарчої будівлі на території Ясел – садка №24;</w:t>
            </w:r>
          </w:p>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 xml:space="preserve"> - ремонт пральної кімнати в господарчій будівлі Ясел – садка №24;</w:t>
            </w:r>
          </w:p>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 xml:space="preserve"> - ремонт комори в господарчій будівлі для збереження харчових продуктів</w:t>
            </w:r>
          </w:p>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 xml:space="preserve"> - огорожа парканом території Ясел – садка №24;</w:t>
            </w:r>
          </w:p>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 xml:space="preserve"> У ході  реалізації про</w:t>
            </w:r>
            <w:r w:rsidR="004A600A" w:rsidRPr="00B75FD7">
              <w:rPr>
                <w:rFonts w:eastAsia="Calibri"/>
                <w:color w:val="000000"/>
                <w:sz w:val="22"/>
                <w:lang w:val="ru-RU"/>
              </w:rPr>
              <w:t>є</w:t>
            </w:r>
            <w:proofErr w:type="spellStart"/>
            <w:r w:rsidRPr="00B75FD7">
              <w:rPr>
                <w:rFonts w:eastAsia="Calibri"/>
                <w:color w:val="000000"/>
                <w:sz w:val="22"/>
              </w:rPr>
              <w:t>кту</w:t>
            </w:r>
            <w:proofErr w:type="spellEnd"/>
            <w:r w:rsidRPr="00B75FD7">
              <w:rPr>
                <w:rFonts w:eastAsia="Calibri"/>
                <w:color w:val="000000"/>
                <w:sz w:val="22"/>
              </w:rPr>
              <w:t xml:space="preserve">  передбачено інформування  населення про хід реалізації даного про</w:t>
            </w:r>
            <w:r w:rsidR="004A600A" w:rsidRPr="00B75FD7">
              <w:rPr>
                <w:rFonts w:eastAsia="Calibri"/>
                <w:color w:val="000000"/>
                <w:sz w:val="22"/>
                <w:lang w:val="ru-RU"/>
              </w:rPr>
              <w:t>є</w:t>
            </w:r>
            <w:proofErr w:type="spellStart"/>
            <w:r w:rsidRPr="00B75FD7">
              <w:rPr>
                <w:rFonts w:eastAsia="Calibri"/>
                <w:color w:val="000000"/>
                <w:sz w:val="22"/>
              </w:rPr>
              <w:t>кту</w:t>
            </w:r>
            <w:proofErr w:type="spellEnd"/>
            <w:r w:rsidRPr="00B75FD7">
              <w:rPr>
                <w:rFonts w:eastAsia="Calibri"/>
                <w:color w:val="000000"/>
                <w:sz w:val="22"/>
              </w:rPr>
              <w:t xml:space="preserve">: </w:t>
            </w:r>
          </w:p>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 xml:space="preserve">- інформування представників Сєвєродонецької територіальної громади щодо </w:t>
            </w:r>
            <w:proofErr w:type="spellStart"/>
            <w:r w:rsidRPr="00B75FD7">
              <w:rPr>
                <w:rFonts w:eastAsia="Calibri"/>
                <w:color w:val="000000"/>
                <w:sz w:val="22"/>
              </w:rPr>
              <w:t>реалізаціі</w:t>
            </w:r>
            <w:proofErr w:type="spellEnd"/>
            <w:r w:rsidRPr="00B75FD7">
              <w:rPr>
                <w:rFonts w:eastAsia="Calibri"/>
                <w:color w:val="000000"/>
                <w:sz w:val="22"/>
              </w:rPr>
              <w:t xml:space="preserve"> </w:t>
            </w:r>
            <w:proofErr w:type="spellStart"/>
            <w:r w:rsidRPr="00B75FD7">
              <w:rPr>
                <w:rFonts w:eastAsia="Calibri"/>
                <w:color w:val="000000"/>
                <w:sz w:val="22"/>
              </w:rPr>
              <w:t>про</w:t>
            </w:r>
            <w:r w:rsidR="004A600A" w:rsidRPr="00B75FD7">
              <w:rPr>
                <w:rFonts w:eastAsia="Calibri"/>
                <w:color w:val="000000"/>
                <w:sz w:val="22"/>
              </w:rPr>
              <w:t>є</w:t>
            </w:r>
            <w:r w:rsidRPr="00B75FD7">
              <w:rPr>
                <w:rFonts w:eastAsia="Calibri"/>
                <w:color w:val="000000"/>
                <w:sz w:val="22"/>
              </w:rPr>
              <w:t>кту</w:t>
            </w:r>
            <w:proofErr w:type="spellEnd"/>
            <w:r w:rsidRPr="00B75FD7">
              <w:rPr>
                <w:rFonts w:eastAsia="Calibri"/>
                <w:color w:val="000000"/>
                <w:sz w:val="22"/>
              </w:rPr>
              <w:t>,</w:t>
            </w:r>
            <w:r w:rsidR="004A600A" w:rsidRPr="00B75FD7">
              <w:rPr>
                <w:rFonts w:eastAsia="Calibri"/>
                <w:color w:val="000000"/>
                <w:sz w:val="22"/>
              </w:rPr>
              <w:t xml:space="preserve"> </w:t>
            </w:r>
            <w:r w:rsidRPr="00B75FD7">
              <w:rPr>
                <w:rFonts w:eastAsia="Calibri"/>
                <w:color w:val="000000"/>
                <w:sz w:val="22"/>
              </w:rPr>
              <w:t xml:space="preserve">висвітлення </w:t>
            </w:r>
            <w:proofErr w:type="spellStart"/>
            <w:r w:rsidRPr="00B75FD7">
              <w:rPr>
                <w:rFonts w:eastAsia="Calibri"/>
                <w:color w:val="000000"/>
                <w:sz w:val="22"/>
              </w:rPr>
              <w:t>реалізаціі</w:t>
            </w:r>
            <w:proofErr w:type="spellEnd"/>
            <w:r w:rsidRPr="00B75FD7">
              <w:rPr>
                <w:rFonts w:eastAsia="Calibri"/>
                <w:color w:val="000000"/>
                <w:sz w:val="22"/>
              </w:rPr>
              <w:t xml:space="preserve"> </w:t>
            </w:r>
            <w:proofErr w:type="spellStart"/>
            <w:r w:rsidRPr="00B75FD7">
              <w:rPr>
                <w:rFonts w:eastAsia="Calibri"/>
                <w:color w:val="000000"/>
                <w:sz w:val="22"/>
              </w:rPr>
              <w:t>про</w:t>
            </w:r>
            <w:r w:rsidR="004A600A" w:rsidRPr="00B75FD7">
              <w:rPr>
                <w:rFonts w:eastAsia="Calibri"/>
                <w:color w:val="000000"/>
                <w:sz w:val="22"/>
              </w:rPr>
              <w:t>є</w:t>
            </w:r>
            <w:r w:rsidRPr="00B75FD7">
              <w:rPr>
                <w:rFonts w:eastAsia="Calibri"/>
                <w:color w:val="000000"/>
                <w:sz w:val="22"/>
              </w:rPr>
              <w:t>кту</w:t>
            </w:r>
            <w:proofErr w:type="spellEnd"/>
            <w:r w:rsidRPr="00B75FD7">
              <w:rPr>
                <w:rFonts w:eastAsia="Calibri"/>
                <w:color w:val="000000"/>
                <w:sz w:val="22"/>
              </w:rPr>
              <w:t xml:space="preserve"> в засобах масової </w:t>
            </w:r>
            <w:proofErr w:type="spellStart"/>
            <w:r w:rsidRPr="00B75FD7">
              <w:rPr>
                <w:rFonts w:eastAsia="Calibri"/>
                <w:color w:val="000000"/>
                <w:sz w:val="22"/>
              </w:rPr>
              <w:t>інформаціі</w:t>
            </w:r>
            <w:proofErr w:type="spellEnd"/>
            <w:r w:rsidRPr="00B75FD7">
              <w:rPr>
                <w:rFonts w:eastAsia="Calibri"/>
                <w:color w:val="000000"/>
                <w:sz w:val="22"/>
              </w:rPr>
              <w:t>(сайт закладу,</w:t>
            </w:r>
            <w:r w:rsidR="004A600A" w:rsidRPr="00B75FD7">
              <w:rPr>
                <w:rFonts w:eastAsia="Calibri"/>
                <w:color w:val="000000"/>
                <w:sz w:val="22"/>
              </w:rPr>
              <w:t xml:space="preserve"> </w:t>
            </w:r>
            <w:r w:rsidRPr="00B75FD7">
              <w:rPr>
                <w:rFonts w:eastAsia="Calibri"/>
                <w:color w:val="000000"/>
                <w:sz w:val="22"/>
              </w:rPr>
              <w:t xml:space="preserve">фейсбук тощо).     </w:t>
            </w:r>
          </w:p>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 регулярне  висвітлення  на офіційній сторінці Управління освіти ВА Сєвєродонецька у фейсбуці;</w:t>
            </w:r>
          </w:p>
          <w:p w:rsidR="009227F0" w:rsidRPr="00B75FD7" w:rsidRDefault="009227F0" w:rsidP="004A600A">
            <w:pPr>
              <w:autoSpaceDE w:val="0"/>
              <w:autoSpaceDN w:val="0"/>
              <w:adjustRightInd w:val="0"/>
              <w:rPr>
                <w:rFonts w:eastAsia="Calibri"/>
                <w:color w:val="000000"/>
                <w:sz w:val="22"/>
              </w:rPr>
            </w:pPr>
            <w:r w:rsidRPr="00B75FD7">
              <w:rPr>
                <w:rFonts w:eastAsia="Calibri"/>
                <w:color w:val="000000"/>
                <w:sz w:val="22"/>
              </w:rPr>
              <w:t xml:space="preserve">- інформування на сайті Управління освіти та особистого сайту Ясел - садка №24 через об’яви та оголошення в приміщенні Ясел - садка №24 міста Сєвєродонецька Луганської області, </w:t>
            </w:r>
            <w:proofErr w:type="spellStart"/>
            <w:r w:rsidRPr="00B75FD7">
              <w:rPr>
                <w:rFonts w:eastAsia="Calibri"/>
                <w:color w:val="000000"/>
                <w:sz w:val="22"/>
              </w:rPr>
              <w:t>вул.Енергетиків</w:t>
            </w:r>
            <w:proofErr w:type="spellEnd"/>
            <w:r w:rsidRPr="00B75FD7">
              <w:rPr>
                <w:rFonts w:eastAsia="Calibri"/>
                <w:color w:val="000000"/>
                <w:sz w:val="22"/>
              </w:rPr>
              <w:t>, буд. 15 на дошці оголошень.</w:t>
            </w:r>
          </w:p>
        </w:tc>
      </w:tr>
      <w:tr w:rsidR="009227F0" w:rsidRPr="00B75FD7" w:rsidTr="009227F0">
        <w:trPr>
          <w:trHeight w:val="596"/>
        </w:trPr>
        <w:tc>
          <w:tcPr>
            <w:tcW w:w="2865" w:type="dxa"/>
            <w:vMerge w:val="restart"/>
            <w:tcBorders>
              <w:top w:val="single" w:sz="6" w:space="0" w:color="auto"/>
              <w:left w:val="single" w:sz="6" w:space="0" w:color="auto"/>
              <w:right w:val="single" w:sz="6" w:space="0" w:color="auto"/>
            </w:tcBorders>
            <w:shd w:val="clear" w:color="00FFFF" w:fill="C6D9F1" w:themeFill="text2" w:themeFillTint="33"/>
          </w:tcPr>
          <w:p w:rsidR="009227F0" w:rsidRPr="00B75FD7" w:rsidRDefault="009227F0" w:rsidP="009227F0">
            <w:pPr>
              <w:autoSpaceDE w:val="0"/>
              <w:autoSpaceDN w:val="0"/>
              <w:adjustRightInd w:val="0"/>
              <w:rPr>
                <w:rFonts w:eastAsia="Calibri"/>
                <w:b/>
                <w:color w:val="000000"/>
                <w:sz w:val="22"/>
              </w:rPr>
            </w:pPr>
            <w:r w:rsidRPr="00B75FD7">
              <w:rPr>
                <w:rFonts w:eastAsia="Calibri"/>
                <w:b/>
                <w:color w:val="000000"/>
                <w:sz w:val="22"/>
              </w:rPr>
              <w:t>Орієнтовний обсяг та джерела фінансування тис. гривень</w:t>
            </w:r>
          </w:p>
        </w:tc>
        <w:tc>
          <w:tcPr>
            <w:tcW w:w="994" w:type="dxa"/>
            <w:vMerge w:val="restart"/>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Державний бюджет</w:t>
            </w:r>
          </w:p>
        </w:tc>
        <w:tc>
          <w:tcPr>
            <w:tcW w:w="1011" w:type="dxa"/>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Місцевий бюджет</w:t>
            </w:r>
          </w:p>
        </w:tc>
        <w:tc>
          <w:tcPr>
            <w:tcW w:w="3040" w:type="dxa"/>
            <w:gridSpan w:val="4"/>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Інші джерела</w:t>
            </w:r>
          </w:p>
        </w:tc>
        <w:tc>
          <w:tcPr>
            <w:tcW w:w="1901" w:type="dxa"/>
            <w:gridSpan w:val="2"/>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Всього</w:t>
            </w:r>
          </w:p>
        </w:tc>
      </w:tr>
      <w:tr w:rsidR="009227F0" w:rsidRPr="00B75FD7" w:rsidTr="00C533DF">
        <w:trPr>
          <w:trHeight w:val="65"/>
        </w:trPr>
        <w:tc>
          <w:tcPr>
            <w:tcW w:w="2865" w:type="dxa"/>
            <w:vMerge/>
            <w:tcBorders>
              <w:left w:val="single" w:sz="6" w:space="0" w:color="auto"/>
              <w:right w:val="single" w:sz="6" w:space="0" w:color="auto"/>
            </w:tcBorders>
            <w:shd w:val="clear" w:color="00FFFF" w:fill="C6D9F1" w:themeFill="text2" w:themeFillTint="33"/>
          </w:tcPr>
          <w:p w:rsidR="009227F0" w:rsidRPr="00B75FD7" w:rsidRDefault="009227F0" w:rsidP="009227F0">
            <w:pPr>
              <w:autoSpaceDE w:val="0"/>
              <w:autoSpaceDN w:val="0"/>
              <w:adjustRightInd w:val="0"/>
              <w:rPr>
                <w:rFonts w:eastAsia="Calibri"/>
                <w:b/>
                <w:color w:val="000000"/>
                <w:sz w:val="22"/>
              </w:rPr>
            </w:pPr>
          </w:p>
        </w:tc>
        <w:tc>
          <w:tcPr>
            <w:tcW w:w="994" w:type="dxa"/>
            <w:vMerge/>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rPr>
            </w:pPr>
          </w:p>
        </w:tc>
        <w:tc>
          <w:tcPr>
            <w:tcW w:w="1011" w:type="dxa"/>
            <w:vMerge w:val="restart"/>
            <w:tcBorders>
              <w:top w:val="single" w:sz="6" w:space="0" w:color="auto"/>
              <w:left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w:t>
            </w:r>
          </w:p>
        </w:tc>
        <w:tc>
          <w:tcPr>
            <w:tcW w:w="1009" w:type="dxa"/>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Обсяг</w:t>
            </w:r>
          </w:p>
        </w:tc>
        <w:tc>
          <w:tcPr>
            <w:tcW w:w="2018" w:type="dxa"/>
            <w:gridSpan w:val="2"/>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Назва джерела</w:t>
            </w:r>
          </w:p>
        </w:tc>
        <w:tc>
          <w:tcPr>
            <w:tcW w:w="1914" w:type="dxa"/>
            <w:gridSpan w:val="3"/>
            <w:vMerge w:val="restart"/>
            <w:tcBorders>
              <w:top w:val="single" w:sz="6" w:space="0" w:color="auto"/>
              <w:left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19 760.00 </w:t>
            </w:r>
          </w:p>
          <w:p w:rsidR="009227F0" w:rsidRPr="00B75FD7" w:rsidRDefault="009227F0" w:rsidP="00C533DF">
            <w:pPr>
              <w:autoSpaceDE w:val="0"/>
              <w:autoSpaceDN w:val="0"/>
              <w:adjustRightInd w:val="0"/>
              <w:rPr>
                <w:rFonts w:eastAsia="Calibri"/>
                <w:color w:val="000000"/>
                <w:sz w:val="22"/>
              </w:rPr>
            </w:pPr>
          </w:p>
        </w:tc>
      </w:tr>
      <w:tr w:rsidR="009227F0" w:rsidRPr="00B75FD7" w:rsidTr="00C533DF">
        <w:trPr>
          <w:trHeight w:val="1327"/>
        </w:trPr>
        <w:tc>
          <w:tcPr>
            <w:tcW w:w="2865" w:type="dxa"/>
            <w:vMerge/>
            <w:tcBorders>
              <w:left w:val="single" w:sz="6" w:space="0" w:color="auto"/>
              <w:bottom w:val="single" w:sz="6" w:space="0" w:color="auto"/>
              <w:right w:val="single" w:sz="6" w:space="0" w:color="auto"/>
            </w:tcBorders>
            <w:shd w:val="clear" w:color="00FFFF" w:fill="C6D9F1" w:themeFill="text2" w:themeFillTint="33"/>
          </w:tcPr>
          <w:p w:rsidR="009227F0" w:rsidRPr="00B75FD7" w:rsidRDefault="009227F0" w:rsidP="009227F0">
            <w:pPr>
              <w:autoSpaceDE w:val="0"/>
              <w:autoSpaceDN w:val="0"/>
              <w:adjustRightInd w:val="0"/>
              <w:rPr>
                <w:rFonts w:eastAsia="Calibri"/>
                <w:b/>
                <w:color w:val="000000"/>
                <w:sz w:val="22"/>
              </w:rPr>
            </w:pPr>
          </w:p>
        </w:tc>
        <w:tc>
          <w:tcPr>
            <w:tcW w:w="994" w:type="dxa"/>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sz w:val="22"/>
              </w:rPr>
            </w:pPr>
            <w:r w:rsidRPr="00B75FD7">
              <w:rPr>
                <w:rFonts w:eastAsia="Calibri"/>
                <w:sz w:val="22"/>
              </w:rPr>
              <w:t>7 000.00</w:t>
            </w:r>
          </w:p>
        </w:tc>
        <w:tc>
          <w:tcPr>
            <w:tcW w:w="1011" w:type="dxa"/>
            <w:vMerge/>
            <w:tcBorders>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rPr>
            </w:pPr>
          </w:p>
        </w:tc>
        <w:tc>
          <w:tcPr>
            <w:tcW w:w="1009" w:type="dxa"/>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12 760,0</w:t>
            </w:r>
          </w:p>
        </w:tc>
        <w:tc>
          <w:tcPr>
            <w:tcW w:w="2018" w:type="dxa"/>
            <w:gridSpan w:val="2"/>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sz w:val="22"/>
              </w:rPr>
            </w:pPr>
            <w:proofErr w:type="spellStart"/>
            <w:r w:rsidRPr="00B75FD7">
              <w:rPr>
                <w:sz w:val="22"/>
              </w:rPr>
              <w:t>Іностранні</w:t>
            </w:r>
            <w:proofErr w:type="spellEnd"/>
            <w:r w:rsidRPr="00B75FD7">
              <w:rPr>
                <w:sz w:val="22"/>
              </w:rPr>
              <w:t xml:space="preserve"> інвестори, гранти, міжнародна технічна допомога, міжнародні донори та інші джерела</w:t>
            </w:r>
            <w:r w:rsidR="003A05DD" w:rsidRPr="00B75FD7">
              <w:rPr>
                <w:sz w:val="22"/>
              </w:rPr>
              <w:t>,</w:t>
            </w:r>
            <w:r w:rsidRPr="00B75FD7">
              <w:rPr>
                <w:sz w:val="22"/>
              </w:rPr>
              <w:t xml:space="preserve"> не заборонені законодавством</w:t>
            </w:r>
          </w:p>
          <w:p w:rsidR="009227F0" w:rsidRPr="00B75FD7" w:rsidRDefault="009227F0" w:rsidP="009227F0">
            <w:pPr>
              <w:autoSpaceDE w:val="0"/>
              <w:autoSpaceDN w:val="0"/>
              <w:adjustRightInd w:val="0"/>
              <w:rPr>
                <w:rFonts w:eastAsia="Calibri"/>
                <w:color w:val="000000"/>
                <w:sz w:val="22"/>
              </w:rPr>
            </w:pPr>
          </w:p>
        </w:tc>
        <w:tc>
          <w:tcPr>
            <w:tcW w:w="1914" w:type="dxa"/>
            <w:gridSpan w:val="3"/>
            <w:vMerge/>
            <w:tcBorders>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rPr>
            </w:pPr>
          </w:p>
        </w:tc>
      </w:tr>
    </w:tbl>
    <w:p w:rsidR="009227F0" w:rsidRPr="00B75FD7" w:rsidRDefault="009227F0" w:rsidP="00E33AAA">
      <w:pPr>
        <w:tabs>
          <w:tab w:val="left" w:pos="5290"/>
        </w:tabs>
        <w:rPr>
          <w:b/>
          <w:sz w:val="22"/>
          <w:szCs w:val="22"/>
        </w:rPr>
      </w:pPr>
    </w:p>
    <w:p w:rsidR="009227F0" w:rsidRPr="00B75FD7" w:rsidRDefault="009227F0" w:rsidP="00E33AAA">
      <w:pPr>
        <w:tabs>
          <w:tab w:val="left" w:pos="5290"/>
        </w:tabs>
        <w:rPr>
          <w:b/>
          <w:sz w:val="22"/>
          <w:szCs w:val="22"/>
        </w:rPr>
      </w:pPr>
    </w:p>
    <w:tbl>
      <w:tblPr>
        <w:tblpPr w:leftFromText="180" w:rightFromText="180" w:vertAnchor="text" w:horzAnchor="margin" w:tblpX="-254" w:tblpY="153"/>
        <w:tblW w:w="9811" w:type="dxa"/>
        <w:tblLayout w:type="fixed"/>
        <w:tblCellMar>
          <w:left w:w="30" w:type="dxa"/>
          <w:right w:w="30" w:type="dxa"/>
        </w:tblCellMar>
        <w:tblLook w:val="0000" w:firstRow="0" w:lastRow="0" w:firstColumn="0" w:lastColumn="0" w:noHBand="0" w:noVBand="0"/>
      </w:tblPr>
      <w:tblGrid>
        <w:gridCol w:w="2865"/>
        <w:gridCol w:w="1597"/>
        <w:gridCol w:w="1265"/>
        <w:gridCol w:w="141"/>
        <w:gridCol w:w="986"/>
        <w:gridCol w:w="276"/>
        <w:gridCol w:w="984"/>
        <w:gridCol w:w="1697"/>
      </w:tblGrid>
      <w:tr w:rsidR="009227F0" w:rsidRPr="00B75FD7" w:rsidTr="009227F0">
        <w:trPr>
          <w:trHeight w:val="548"/>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9227F0" w:rsidRPr="00B75FD7" w:rsidRDefault="009227F0" w:rsidP="009227F0">
            <w:pPr>
              <w:autoSpaceDE w:val="0"/>
              <w:autoSpaceDN w:val="0"/>
              <w:adjustRightInd w:val="0"/>
              <w:rPr>
                <w:rFonts w:eastAsia="Calibri"/>
                <w:b/>
                <w:bCs/>
                <w:color w:val="000000"/>
                <w:sz w:val="22"/>
                <w:szCs w:val="22"/>
              </w:rPr>
            </w:pPr>
            <w:r w:rsidRPr="00B75FD7">
              <w:rPr>
                <w:rFonts w:eastAsia="Calibri"/>
                <w:b/>
                <w:bCs/>
                <w:color w:val="000000"/>
                <w:sz w:val="22"/>
                <w:szCs w:val="22"/>
              </w:rPr>
              <w:t>Оперативна ціль/завдання</w:t>
            </w:r>
          </w:p>
        </w:tc>
        <w:tc>
          <w:tcPr>
            <w:tcW w:w="6946" w:type="dxa"/>
            <w:gridSpan w:val="7"/>
            <w:tcBorders>
              <w:top w:val="single" w:sz="6" w:space="0" w:color="auto"/>
              <w:left w:val="single" w:sz="6" w:space="0" w:color="auto"/>
              <w:bottom w:val="single" w:sz="6" w:space="0" w:color="auto"/>
              <w:right w:val="single" w:sz="6" w:space="0" w:color="auto"/>
            </w:tcBorders>
          </w:tcPr>
          <w:p w:rsidR="009227F0" w:rsidRPr="00B75FD7" w:rsidRDefault="009227F0" w:rsidP="009227F0">
            <w:pPr>
              <w:pStyle w:val="a7"/>
              <w:ind w:left="0"/>
              <w:rPr>
                <w:rFonts w:eastAsia="Calibri"/>
                <w:color w:val="000000"/>
                <w:sz w:val="22"/>
                <w:szCs w:val="22"/>
              </w:rPr>
            </w:pPr>
            <w:r w:rsidRPr="00B75FD7">
              <w:rPr>
                <w:sz w:val="22"/>
                <w:szCs w:val="22"/>
              </w:rPr>
              <w:t xml:space="preserve">Людський розвиток через інновації управління та довіру до влади. Формування сучасного інклюзивного  </w:t>
            </w:r>
            <w:proofErr w:type="spellStart"/>
            <w:r w:rsidRPr="00B75FD7">
              <w:rPr>
                <w:sz w:val="22"/>
                <w:szCs w:val="22"/>
              </w:rPr>
              <w:t>освітньо</w:t>
            </w:r>
            <w:proofErr w:type="spellEnd"/>
            <w:r w:rsidRPr="00B75FD7">
              <w:rPr>
                <w:sz w:val="22"/>
                <w:szCs w:val="22"/>
              </w:rPr>
              <w:t>-культурного та спортивного простору для розвитку"</w:t>
            </w:r>
          </w:p>
        </w:tc>
      </w:tr>
      <w:tr w:rsidR="009227F0" w:rsidRPr="00B75FD7" w:rsidTr="009227F0">
        <w:trPr>
          <w:trHeight w:val="682"/>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9227F0" w:rsidRPr="00B75FD7" w:rsidRDefault="009227F0" w:rsidP="009227F0">
            <w:pPr>
              <w:autoSpaceDE w:val="0"/>
              <w:autoSpaceDN w:val="0"/>
              <w:adjustRightInd w:val="0"/>
              <w:rPr>
                <w:rFonts w:eastAsia="Calibri"/>
                <w:b/>
                <w:bCs/>
                <w:color w:val="000000"/>
                <w:sz w:val="22"/>
                <w:szCs w:val="22"/>
              </w:rPr>
            </w:pPr>
            <w:r w:rsidRPr="00B75FD7">
              <w:rPr>
                <w:rFonts w:eastAsia="Calibri"/>
                <w:b/>
                <w:bCs/>
                <w:color w:val="000000"/>
                <w:sz w:val="22"/>
                <w:szCs w:val="22"/>
              </w:rPr>
              <w:t>Назва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9227F0" w:rsidRPr="00B75FD7" w:rsidRDefault="009227F0" w:rsidP="00826C3B">
            <w:pPr>
              <w:autoSpaceDE w:val="0"/>
              <w:autoSpaceDN w:val="0"/>
              <w:adjustRightInd w:val="0"/>
              <w:rPr>
                <w:sz w:val="22"/>
                <w:szCs w:val="22"/>
              </w:rPr>
            </w:pPr>
            <w:r w:rsidRPr="00B75FD7">
              <w:rPr>
                <w:sz w:val="22"/>
                <w:szCs w:val="22"/>
              </w:rPr>
              <w:t xml:space="preserve">Відновлення та оснащення харчоблоку, забезпечення усім необхідним обладнанням  </w:t>
            </w:r>
            <w:r w:rsidRPr="00B75FD7">
              <w:rPr>
                <w:rFonts w:eastAsia="Calibri"/>
                <w:color w:val="000000"/>
                <w:sz w:val="22"/>
                <w:szCs w:val="22"/>
              </w:rPr>
              <w:t xml:space="preserve">Ясел - садка №24  міста Сєвєродонецька Луганської області за </w:t>
            </w:r>
            <w:proofErr w:type="spellStart"/>
            <w:r w:rsidRPr="00B75FD7">
              <w:rPr>
                <w:rFonts w:eastAsia="Calibri"/>
                <w:color w:val="000000"/>
                <w:sz w:val="22"/>
                <w:szCs w:val="22"/>
              </w:rPr>
              <w:t>адресою</w:t>
            </w:r>
            <w:proofErr w:type="spellEnd"/>
            <w:r w:rsidRPr="00B75FD7">
              <w:rPr>
                <w:rFonts w:eastAsia="Calibri"/>
                <w:color w:val="000000"/>
                <w:sz w:val="22"/>
                <w:szCs w:val="22"/>
              </w:rPr>
              <w:t xml:space="preserve">, </w:t>
            </w:r>
            <w:proofErr w:type="spellStart"/>
            <w:r w:rsidRPr="00B75FD7">
              <w:rPr>
                <w:rFonts w:eastAsia="Calibri"/>
                <w:color w:val="000000"/>
                <w:sz w:val="22"/>
                <w:szCs w:val="22"/>
              </w:rPr>
              <w:t>вул.Енергетиків</w:t>
            </w:r>
            <w:proofErr w:type="spellEnd"/>
            <w:r w:rsidRPr="00B75FD7">
              <w:rPr>
                <w:rFonts w:eastAsia="Calibri"/>
                <w:color w:val="000000"/>
                <w:sz w:val="22"/>
                <w:szCs w:val="22"/>
              </w:rPr>
              <w:t>., буд.15, міста Сєвєродонецька, Сєвєродонецького району, Луганської області.</w:t>
            </w:r>
          </w:p>
        </w:tc>
      </w:tr>
      <w:tr w:rsidR="009227F0" w:rsidRPr="00B75FD7" w:rsidTr="009227F0">
        <w:trPr>
          <w:trHeight w:val="1095"/>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9227F0" w:rsidRPr="00B75FD7" w:rsidRDefault="009227F0" w:rsidP="009227F0">
            <w:pPr>
              <w:autoSpaceDE w:val="0"/>
              <w:autoSpaceDN w:val="0"/>
              <w:adjustRightInd w:val="0"/>
              <w:rPr>
                <w:rFonts w:eastAsia="Calibri"/>
                <w:b/>
                <w:bCs/>
                <w:color w:val="000000"/>
                <w:sz w:val="22"/>
                <w:szCs w:val="22"/>
              </w:rPr>
            </w:pPr>
            <w:r w:rsidRPr="00B75FD7">
              <w:rPr>
                <w:rFonts w:eastAsia="Calibri"/>
                <w:b/>
                <w:bCs/>
                <w:color w:val="000000"/>
                <w:sz w:val="22"/>
                <w:szCs w:val="22"/>
              </w:rPr>
              <w:lastRenderedPageBreak/>
              <w:t>Ціль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bCs/>
                <w:sz w:val="22"/>
                <w:szCs w:val="22"/>
              </w:rPr>
            </w:pPr>
            <w:r w:rsidRPr="00B75FD7">
              <w:rPr>
                <w:bCs/>
                <w:sz w:val="22"/>
                <w:szCs w:val="22"/>
              </w:rPr>
              <w:t xml:space="preserve">Організація харчування дітей в закладі дошкільної освіти   Сєвєродонецької територіальної громади. </w:t>
            </w:r>
            <w:r w:rsidRPr="00B75FD7">
              <w:rPr>
                <w:sz w:val="22"/>
                <w:szCs w:val="22"/>
              </w:rPr>
              <w:t xml:space="preserve">Відновлення та оснащення харчоблоку в господарчій будівлі Ясел – садка №24 через військову агресію </w:t>
            </w:r>
            <w:r w:rsidR="00826C3B" w:rsidRPr="00B75FD7">
              <w:rPr>
                <w:sz w:val="22"/>
                <w:szCs w:val="22"/>
              </w:rPr>
              <w:t xml:space="preserve">РФ </w:t>
            </w:r>
            <w:r w:rsidRPr="00B75FD7">
              <w:rPr>
                <w:sz w:val="22"/>
                <w:szCs w:val="22"/>
              </w:rPr>
              <w:t>з причин руйнувань та мародерство.</w:t>
            </w:r>
          </w:p>
          <w:p w:rsidR="009227F0" w:rsidRPr="00B75FD7" w:rsidRDefault="009227F0" w:rsidP="009227F0">
            <w:pPr>
              <w:autoSpaceDE w:val="0"/>
              <w:autoSpaceDN w:val="0"/>
              <w:adjustRightInd w:val="0"/>
              <w:rPr>
                <w:rFonts w:eastAsia="Calibri"/>
                <w:color w:val="000000"/>
                <w:sz w:val="22"/>
                <w:szCs w:val="22"/>
              </w:rPr>
            </w:pPr>
          </w:p>
        </w:tc>
      </w:tr>
      <w:tr w:rsidR="009227F0" w:rsidRPr="00B75FD7" w:rsidTr="009227F0">
        <w:trPr>
          <w:trHeight w:val="286"/>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9227F0" w:rsidRPr="00B75FD7" w:rsidRDefault="009227F0" w:rsidP="009227F0">
            <w:pPr>
              <w:autoSpaceDE w:val="0"/>
              <w:autoSpaceDN w:val="0"/>
              <w:adjustRightInd w:val="0"/>
              <w:rPr>
                <w:rFonts w:eastAsia="Calibri"/>
                <w:b/>
                <w:bCs/>
                <w:color w:val="000000"/>
                <w:sz w:val="22"/>
                <w:szCs w:val="22"/>
              </w:rPr>
            </w:pPr>
            <w:r w:rsidRPr="00B75FD7">
              <w:rPr>
                <w:rFonts w:eastAsia="Calibri"/>
                <w:b/>
                <w:bCs/>
                <w:color w:val="000000"/>
                <w:sz w:val="22"/>
                <w:szCs w:val="22"/>
              </w:rPr>
              <w:t>Територія, на яку матиме вплив реалізація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szCs w:val="22"/>
              </w:rPr>
            </w:pPr>
            <w:r w:rsidRPr="00B75FD7">
              <w:rPr>
                <w:rFonts w:eastAsia="Calibri"/>
                <w:color w:val="000000"/>
                <w:sz w:val="22"/>
                <w:szCs w:val="22"/>
              </w:rPr>
              <w:t>Сєвєродонецька міська територіальна громада</w:t>
            </w:r>
          </w:p>
        </w:tc>
      </w:tr>
      <w:tr w:rsidR="009227F0" w:rsidRPr="00B75FD7" w:rsidTr="009227F0">
        <w:trPr>
          <w:trHeight w:val="835"/>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9227F0" w:rsidRPr="00B75FD7" w:rsidRDefault="009227F0" w:rsidP="009227F0">
            <w:pPr>
              <w:autoSpaceDE w:val="0"/>
              <w:autoSpaceDN w:val="0"/>
              <w:adjustRightInd w:val="0"/>
              <w:rPr>
                <w:rFonts w:eastAsia="Calibri"/>
                <w:b/>
                <w:bCs/>
                <w:color w:val="000000"/>
                <w:sz w:val="22"/>
                <w:szCs w:val="22"/>
              </w:rPr>
            </w:pPr>
            <w:r w:rsidRPr="00B75FD7">
              <w:rPr>
                <w:rFonts w:eastAsia="Calibri"/>
                <w:b/>
                <w:bCs/>
                <w:color w:val="000000"/>
                <w:sz w:val="22"/>
                <w:szCs w:val="22"/>
              </w:rPr>
              <w:t>Чисельність населення, на яке матиме вплив реалізація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szCs w:val="22"/>
              </w:rPr>
            </w:pPr>
            <w:r w:rsidRPr="00B75FD7">
              <w:rPr>
                <w:rFonts w:eastAsia="Calibri"/>
                <w:color w:val="000000"/>
                <w:sz w:val="22"/>
                <w:szCs w:val="22"/>
              </w:rPr>
              <w:t>70 000 осіб</w:t>
            </w:r>
          </w:p>
        </w:tc>
      </w:tr>
      <w:tr w:rsidR="009227F0" w:rsidRPr="00B75FD7" w:rsidTr="009227F0">
        <w:trPr>
          <w:trHeight w:val="1245"/>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9227F0" w:rsidRPr="00B75FD7" w:rsidRDefault="009227F0" w:rsidP="009227F0">
            <w:pPr>
              <w:autoSpaceDE w:val="0"/>
              <w:autoSpaceDN w:val="0"/>
              <w:adjustRightInd w:val="0"/>
              <w:rPr>
                <w:rFonts w:eastAsia="Calibri"/>
                <w:b/>
                <w:bCs/>
                <w:color w:val="000000"/>
                <w:sz w:val="22"/>
                <w:szCs w:val="22"/>
              </w:rPr>
            </w:pPr>
            <w:r w:rsidRPr="00B75FD7">
              <w:rPr>
                <w:rFonts w:eastAsia="Calibri"/>
                <w:b/>
                <w:bCs/>
                <w:color w:val="000000"/>
                <w:sz w:val="22"/>
                <w:szCs w:val="22"/>
              </w:rPr>
              <w:t>Опис проблеми, на вирішення якої спрямований проект</w:t>
            </w:r>
          </w:p>
        </w:tc>
        <w:tc>
          <w:tcPr>
            <w:tcW w:w="6946" w:type="dxa"/>
            <w:gridSpan w:val="7"/>
            <w:tcBorders>
              <w:top w:val="single" w:sz="6" w:space="0" w:color="auto"/>
              <w:left w:val="single" w:sz="6" w:space="0" w:color="auto"/>
              <w:bottom w:val="single" w:sz="6" w:space="0" w:color="auto"/>
              <w:right w:val="single" w:sz="6" w:space="0" w:color="auto"/>
            </w:tcBorders>
          </w:tcPr>
          <w:p w:rsidR="009227F0" w:rsidRPr="00B75FD7" w:rsidRDefault="009227F0" w:rsidP="009227F0">
            <w:pPr>
              <w:ind w:firstLine="708"/>
              <w:rPr>
                <w:color w:val="FF0000"/>
                <w:sz w:val="22"/>
                <w:szCs w:val="22"/>
              </w:rPr>
            </w:pPr>
            <w:r w:rsidRPr="00B75FD7">
              <w:rPr>
                <w:sz w:val="22"/>
                <w:szCs w:val="22"/>
              </w:rPr>
              <w:t xml:space="preserve">  Через військову агресію </w:t>
            </w:r>
            <w:r w:rsidR="00826C3B" w:rsidRPr="00B75FD7">
              <w:rPr>
                <w:sz w:val="22"/>
                <w:szCs w:val="22"/>
              </w:rPr>
              <w:t>РФ</w:t>
            </w:r>
            <w:r w:rsidRPr="00B75FD7">
              <w:rPr>
                <w:sz w:val="22"/>
                <w:szCs w:val="22"/>
              </w:rPr>
              <w:t xml:space="preserve"> територія Сєвєродонецької міської територіальної громади зазнала значних пошкоджень. Не оминуло це і </w:t>
            </w:r>
            <w:r w:rsidRPr="00B75FD7">
              <w:rPr>
                <w:bCs/>
                <w:sz w:val="22"/>
                <w:szCs w:val="22"/>
              </w:rPr>
              <w:t xml:space="preserve">господарчу будівлю Ясел – садка №24, в </w:t>
            </w:r>
            <w:proofErr w:type="spellStart"/>
            <w:r w:rsidRPr="00B75FD7">
              <w:rPr>
                <w:bCs/>
                <w:sz w:val="22"/>
                <w:szCs w:val="22"/>
              </w:rPr>
              <w:t>якії</w:t>
            </w:r>
            <w:proofErr w:type="spellEnd"/>
            <w:r w:rsidRPr="00B75FD7">
              <w:rPr>
                <w:bCs/>
                <w:sz w:val="22"/>
                <w:szCs w:val="22"/>
              </w:rPr>
              <w:t xml:space="preserve"> розміщено приміщення харчоблоку, у зв’язку з цим обладнання пошкоджено та зазнало мар</w:t>
            </w:r>
            <w:r w:rsidR="00826C3B" w:rsidRPr="00B75FD7">
              <w:rPr>
                <w:bCs/>
                <w:sz w:val="22"/>
                <w:szCs w:val="22"/>
              </w:rPr>
              <w:t>о</w:t>
            </w:r>
            <w:r w:rsidRPr="00B75FD7">
              <w:rPr>
                <w:bCs/>
                <w:sz w:val="22"/>
                <w:szCs w:val="22"/>
              </w:rPr>
              <w:t>дерств</w:t>
            </w:r>
            <w:r w:rsidR="00826C3B" w:rsidRPr="00B75FD7">
              <w:rPr>
                <w:bCs/>
                <w:sz w:val="22"/>
                <w:szCs w:val="22"/>
              </w:rPr>
              <w:t>а.</w:t>
            </w:r>
            <w:r w:rsidRPr="00B75FD7">
              <w:rPr>
                <w:bCs/>
                <w:sz w:val="22"/>
                <w:szCs w:val="22"/>
              </w:rPr>
              <w:t xml:space="preserve">  </w:t>
            </w:r>
          </w:p>
          <w:p w:rsidR="009227F0" w:rsidRPr="00B75FD7" w:rsidRDefault="009227F0" w:rsidP="009227F0">
            <w:pPr>
              <w:ind w:firstLine="708"/>
              <w:rPr>
                <w:rFonts w:eastAsia="Arial"/>
                <w:sz w:val="22"/>
                <w:szCs w:val="22"/>
              </w:rPr>
            </w:pPr>
            <w:r w:rsidRPr="00B75FD7">
              <w:rPr>
                <w:rFonts w:eastAsia="Arial"/>
                <w:sz w:val="22"/>
                <w:szCs w:val="22"/>
              </w:rPr>
              <w:t>Для відбудови та сталого розвитку потрібне відновлення  та оснащення харчоблоку Ясел – садка №24.</w:t>
            </w:r>
          </w:p>
          <w:p w:rsidR="009227F0" w:rsidRPr="00B75FD7" w:rsidRDefault="009227F0" w:rsidP="009227F0">
            <w:pPr>
              <w:ind w:firstLine="708"/>
              <w:rPr>
                <w:sz w:val="22"/>
                <w:szCs w:val="22"/>
              </w:rPr>
            </w:pPr>
            <w:r w:rsidRPr="00B75FD7">
              <w:rPr>
                <w:bCs/>
                <w:sz w:val="22"/>
                <w:szCs w:val="22"/>
              </w:rPr>
              <w:t xml:space="preserve">Проблема якісного харчування дітей повинна бути предметом особливої уваги Сєвєродонецької територіальної громади. Один з основних чинників, що визначають стан здоров'я дитини, його фізичний і розумовий розвиток - організація якісного харчування підростаючого покоління.  Основною проблемою, на вирішення якої спрямований даний </w:t>
            </w:r>
            <w:proofErr w:type="spellStart"/>
            <w:r w:rsidRPr="00B75FD7">
              <w:rPr>
                <w:bCs/>
                <w:sz w:val="22"/>
                <w:szCs w:val="22"/>
              </w:rPr>
              <w:t>про</w:t>
            </w:r>
            <w:r w:rsidR="00826C3B" w:rsidRPr="00B75FD7">
              <w:rPr>
                <w:bCs/>
                <w:sz w:val="22"/>
                <w:szCs w:val="22"/>
              </w:rPr>
              <w:t>є</w:t>
            </w:r>
            <w:r w:rsidRPr="00B75FD7">
              <w:rPr>
                <w:bCs/>
                <w:sz w:val="22"/>
                <w:szCs w:val="22"/>
              </w:rPr>
              <w:t>кт</w:t>
            </w:r>
            <w:proofErr w:type="spellEnd"/>
            <w:r w:rsidRPr="00B75FD7">
              <w:rPr>
                <w:bCs/>
                <w:sz w:val="22"/>
                <w:szCs w:val="22"/>
              </w:rPr>
              <w:t xml:space="preserve">, є: </w:t>
            </w:r>
          </w:p>
          <w:p w:rsidR="009227F0" w:rsidRPr="00B75FD7" w:rsidRDefault="009227F0" w:rsidP="009227F0">
            <w:pPr>
              <w:autoSpaceDE w:val="0"/>
              <w:autoSpaceDN w:val="0"/>
              <w:adjustRightInd w:val="0"/>
              <w:rPr>
                <w:sz w:val="22"/>
                <w:szCs w:val="22"/>
              </w:rPr>
            </w:pPr>
            <w:r w:rsidRPr="00B75FD7">
              <w:rPr>
                <w:sz w:val="22"/>
                <w:szCs w:val="22"/>
              </w:rPr>
              <w:t xml:space="preserve"> - поліпшення умов для здійснення технологічних процесів</w:t>
            </w:r>
            <w:r w:rsidR="00826C3B" w:rsidRPr="00B75FD7">
              <w:rPr>
                <w:sz w:val="22"/>
                <w:szCs w:val="22"/>
              </w:rPr>
              <w:t>,</w:t>
            </w:r>
            <w:r w:rsidRPr="00B75FD7">
              <w:rPr>
                <w:sz w:val="22"/>
                <w:szCs w:val="22"/>
              </w:rPr>
              <w:t xml:space="preserve"> пов’язаних з організацією харчування дітей дошкільного віку;</w:t>
            </w:r>
          </w:p>
          <w:p w:rsidR="009227F0" w:rsidRPr="00B75FD7" w:rsidRDefault="009227F0" w:rsidP="009227F0">
            <w:pPr>
              <w:autoSpaceDE w:val="0"/>
              <w:autoSpaceDN w:val="0"/>
              <w:adjustRightInd w:val="0"/>
              <w:rPr>
                <w:rFonts w:eastAsia="Calibri"/>
                <w:color w:val="000000"/>
                <w:sz w:val="22"/>
                <w:szCs w:val="22"/>
              </w:rPr>
            </w:pPr>
            <w:r w:rsidRPr="00B75FD7">
              <w:rPr>
                <w:sz w:val="22"/>
                <w:szCs w:val="22"/>
              </w:rPr>
              <w:t>-</w:t>
            </w:r>
            <w:r w:rsidRPr="00B75FD7">
              <w:rPr>
                <w:rFonts w:eastAsia="Calibri"/>
                <w:color w:val="000000"/>
                <w:sz w:val="22"/>
                <w:szCs w:val="22"/>
              </w:rPr>
              <w:t>проводити контроль адміністративною, медичною, господарською службами і батьківською громадськістю за здійсненням якісного, збалансованого і доступного харчування вихованців.</w:t>
            </w:r>
          </w:p>
          <w:p w:rsidR="009227F0" w:rsidRPr="00B75FD7" w:rsidRDefault="009227F0" w:rsidP="009227F0">
            <w:pPr>
              <w:tabs>
                <w:tab w:val="left" w:pos="213"/>
              </w:tabs>
              <w:rPr>
                <w:sz w:val="22"/>
                <w:szCs w:val="22"/>
              </w:rPr>
            </w:pPr>
            <w:r w:rsidRPr="00B75FD7">
              <w:rPr>
                <w:sz w:val="22"/>
                <w:szCs w:val="22"/>
              </w:rPr>
              <w:t xml:space="preserve">-  популяризація гарячого харчування, здорового способу життя. </w:t>
            </w:r>
          </w:p>
          <w:p w:rsidR="009227F0" w:rsidRPr="00B75FD7" w:rsidRDefault="009227F0" w:rsidP="009227F0">
            <w:pPr>
              <w:autoSpaceDE w:val="0"/>
              <w:autoSpaceDN w:val="0"/>
              <w:adjustRightInd w:val="0"/>
              <w:rPr>
                <w:sz w:val="22"/>
                <w:szCs w:val="22"/>
              </w:rPr>
            </w:pPr>
            <w:r w:rsidRPr="00B75FD7">
              <w:rPr>
                <w:sz w:val="22"/>
                <w:szCs w:val="22"/>
              </w:rPr>
              <w:t xml:space="preserve"> - покращення умов праці працівників харчоблоку та дотримання вимог чинного законодавства з охорони праці;</w:t>
            </w:r>
          </w:p>
          <w:p w:rsidR="009227F0" w:rsidRPr="00B75FD7" w:rsidRDefault="009227F0" w:rsidP="009227F0">
            <w:pPr>
              <w:autoSpaceDE w:val="0"/>
              <w:autoSpaceDN w:val="0"/>
              <w:adjustRightInd w:val="0"/>
              <w:rPr>
                <w:sz w:val="22"/>
                <w:szCs w:val="22"/>
              </w:rPr>
            </w:pPr>
            <w:r w:rsidRPr="00B75FD7">
              <w:rPr>
                <w:sz w:val="22"/>
                <w:szCs w:val="22"/>
              </w:rPr>
              <w:t>- створення безпечного та сучасного середовища для приготування смачних та корисних страв, високоякісний процес приготування їжі для вихованців закладу дошкільної освіти; приймання, оброблення, зберігання та реалізація продовольчої сировини.</w:t>
            </w:r>
          </w:p>
          <w:p w:rsidR="009227F0" w:rsidRPr="00B75FD7" w:rsidRDefault="009227F0" w:rsidP="009227F0">
            <w:pPr>
              <w:autoSpaceDE w:val="0"/>
              <w:autoSpaceDN w:val="0"/>
              <w:adjustRightInd w:val="0"/>
              <w:rPr>
                <w:sz w:val="22"/>
                <w:szCs w:val="22"/>
              </w:rPr>
            </w:pPr>
            <w:r w:rsidRPr="00B75FD7">
              <w:rPr>
                <w:sz w:val="22"/>
                <w:szCs w:val="22"/>
              </w:rPr>
              <w:t xml:space="preserve">- </w:t>
            </w:r>
            <w:r w:rsidRPr="00B75FD7">
              <w:rPr>
                <w:rFonts w:eastAsia="Calibri"/>
                <w:color w:val="000000"/>
                <w:sz w:val="22"/>
                <w:szCs w:val="22"/>
              </w:rPr>
              <w:t>оновлення обладнання харчоблоку  новим енергозберігаючим обладнанням.</w:t>
            </w:r>
          </w:p>
          <w:p w:rsidR="009227F0" w:rsidRPr="00B75FD7" w:rsidRDefault="009227F0" w:rsidP="009227F0">
            <w:pPr>
              <w:autoSpaceDE w:val="0"/>
              <w:autoSpaceDN w:val="0"/>
              <w:adjustRightInd w:val="0"/>
              <w:rPr>
                <w:rFonts w:eastAsia="Calibri"/>
                <w:color w:val="000000"/>
                <w:sz w:val="22"/>
                <w:szCs w:val="22"/>
              </w:rPr>
            </w:pPr>
            <w:r w:rsidRPr="00B75FD7">
              <w:rPr>
                <w:rFonts w:eastAsia="Calibri"/>
                <w:color w:val="000000"/>
                <w:sz w:val="22"/>
                <w:szCs w:val="22"/>
              </w:rPr>
              <w:t>- оснащення кімнати для миття посуду в групових осередках сучасними меблями та столовим посудом.</w:t>
            </w:r>
          </w:p>
        </w:tc>
      </w:tr>
      <w:tr w:rsidR="009227F0" w:rsidRPr="00B75FD7" w:rsidTr="009227F0">
        <w:trPr>
          <w:trHeight w:val="406"/>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9227F0" w:rsidRPr="00B75FD7" w:rsidRDefault="009227F0" w:rsidP="009227F0">
            <w:pPr>
              <w:autoSpaceDE w:val="0"/>
              <w:autoSpaceDN w:val="0"/>
              <w:adjustRightInd w:val="0"/>
              <w:rPr>
                <w:rFonts w:eastAsia="Calibri"/>
                <w:b/>
                <w:bCs/>
                <w:color w:val="000000"/>
                <w:sz w:val="22"/>
                <w:szCs w:val="22"/>
              </w:rPr>
            </w:pPr>
            <w:r w:rsidRPr="00B75FD7">
              <w:rPr>
                <w:rFonts w:eastAsia="Calibri"/>
                <w:b/>
                <w:bCs/>
                <w:color w:val="000000"/>
                <w:sz w:val="22"/>
                <w:szCs w:val="22"/>
              </w:rPr>
              <w:t>Очікувані якісні результати від реалізації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9227F0" w:rsidRPr="00B75FD7" w:rsidRDefault="009227F0" w:rsidP="009227F0">
            <w:pPr>
              <w:rPr>
                <w:sz w:val="22"/>
                <w:szCs w:val="22"/>
              </w:rPr>
            </w:pPr>
            <w:r w:rsidRPr="00B75FD7">
              <w:rPr>
                <w:sz w:val="22"/>
                <w:szCs w:val="22"/>
              </w:rPr>
              <w:t>- створення комфортних та якісних умов для організації гарячого харчування в Ясла – садку №24 Сєвєродонецької територіальної громади.</w:t>
            </w:r>
          </w:p>
          <w:p w:rsidR="009227F0" w:rsidRPr="00B75FD7" w:rsidRDefault="009227F0" w:rsidP="009227F0">
            <w:pPr>
              <w:rPr>
                <w:sz w:val="22"/>
                <w:szCs w:val="22"/>
              </w:rPr>
            </w:pPr>
            <w:r w:rsidRPr="00B75FD7">
              <w:rPr>
                <w:sz w:val="22"/>
                <w:szCs w:val="22"/>
              </w:rPr>
              <w:t>- охоплення найбільшої кількості всіх учасників освітнього процесу гарячим харчуванням.</w:t>
            </w:r>
          </w:p>
          <w:p w:rsidR="009227F0" w:rsidRPr="00B75FD7" w:rsidRDefault="009227F0" w:rsidP="009227F0">
            <w:pPr>
              <w:rPr>
                <w:sz w:val="22"/>
                <w:szCs w:val="22"/>
              </w:rPr>
            </w:pPr>
            <w:r w:rsidRPr="00B75FD7">
              <w:rPr>
                <w:sz w:val="22"/>
                <w:szCs w:val="22"/>
              </w:rPr>
              <w:t>- зменшення захворюваності серед вихованців, що страждають на хвороби органів травлення.</w:t>
            </w:r>
          </w:p>
          <w:p w:rsidR="009227F0" w:rsidRPr="00B75FD7" w:rsidRDefault="009227F0" w:rsidP="009227F0">
            <w:pPr>
              <w:autoSpaceDE w:val="0"/>
              <w:autoSpaceDN w:val="0"/>
              <w:adjustRightInd w:val="0"/>
              <w:rPr>
                <w:sz w:val="22"/>
                <w:szCs w:val="22"/>
              </w:rPr>
            </w:pPr>
            <w:r w:rsidRPr="00B75FD7">
              <w:rPr>
                <w:sz w:val="22"/>
                <w:szCs w:val="22"/>
              </w:rPr>
              <w:t>-  формування серед вихованців значення харчування для здоров’я, розширення уявлення  про різноманітність продуктів, розвиток культурно-гігієнічних навичок поведінки під час прийому їжі.</w:t>
            </w:r>
          </w:p>
        </w:tc>
      </w:tr>
      <w:tr w:rsidR="009227F0" w:rsidRPr="00B75FD7" w:rsidTr="009227F0">
        <w:trPr>
          <w:trHeight w:val="574"/>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9227F0" w:rsidRPr="00B75FD7" w:rsidRDefault="009227F0" w:rsidP="009227F0">
            <w:pPr>
              <w:autoSpaceDE w:val="0"/>
              <w:autoSpaceDN w:val="0"/>
              <w:adjustRightInd w:val="0"/>
              <w:rPr>
                <w:rFonts w:eastAsia="Calibri"/>
                <w:b/>
                <w:bCs/>
                <w:color w:val="000000"/>
                <w:sz w:val="22"/>
                <w:szCs w:val="22"/>
              </w:rPr>
            </w:pPr>
            <w:r w:rsidRPr="00B75FD7">
              <w:rPr>
                <w:rFonts w:eastAsia="Calibri"/>
                <w:b/>
                <w:bCs/>
                <w:color w:val="000000"/>
                <w:sz w:val="22"/>
                <w:szCs w:val="22"/>
              </w:rPr>
              <w:t>Очікувані кількісні результати від реалізації проекту  (індикатори)</w:t>
            </w:r>
          </w:p>
        </w:tc>
        <w:tc>
          <w:tcPr>
            <w:tcW w:w="2862" w:type="dxa"/>
            <w:gridSpan w:val="2"/>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b/>
                <w:bCs/>
                <w:color w:val="000000"/>
                <w:sz w:val="22"/>
                <w:szCs w:val="22"/>
              </w:rPr>
            </w:pPr>
            <w:r w:rsidRPr="00B75FD7">
              <w:rPr>
                <w:rFonts w:eastAsia="Calibri"/>
                <w:b/>
                <w:bCs/>
                <w:color w:val="000000"/>
                <w:sz w:val="22"/>
                <w:szCs w:val="22"/>
              </w:rPr>
              <w:t>Найменування показника</w:t>
            </w:r>
          </w:p>
          <w:p w:rsidR="009227F0" w:rsidRPr="00B75FD7" w:rsidRDefault="009227F0" w:rsidP="009227F0">
            <w:pPr>
              <w:autoSpaceDE w:val="0"/>
              <w:autoSpaceDN w:val="0"/>
              <w:adjustRightInd w:val="0"/>
              <w:rPr>
                <w:rFonts w:eastAsia="Calibri"/>
                <w:b/>
                <w:bCs/>
                <w:color w:val="000000"/>
                <w:sz w:val="22"/>
                <w:szCs w:val="22"/>
              </w:rPr>
            </w:pPr>
          </w:p>
        </w:tc>
        <w:tc>
          <w:tcPr>
            <w:tcW w:w="1403" w:type="dxa"/>
            <w:gridSpan w:val="3"/>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b/>
                <w:bCs/>
                <w:color w:val="000000"/>
                <w:sz w:val="22"/>
                <w:szCs w:val="22"/>
              </w:rPr>
            </w:pPr>
            <w:r w:rsidRPr="00B75FD7">
              <w:rPr>
                <w:rFonts w:eastAsia="Calibri"/>
                <w:b/>
                <w:bCs/>
                <w:color w:val="000000"/>
                <w:sz w:val="22"/>
                <w:szCs w:val="22"/>
              </w:rPr>
              <w:t>Одиниця вимірювання</w:t>
            </w:r>
          </w:p>
        </w:tc>
        <w:tc>
          <w:tcPr>
            <w:tcW w:w="2681" w:type="dxa"/>
            <w:gridSpan w:val="2"/>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b/>
                <w:bCs/>
                <w:color w:val="000000"/>
                <w:sz w:val="22"/>
                <w:szCs w:val="22"/>
              </w:rPr>
            </w:pPr>
            <w:r w:rsidRPr="00B75FD7">
              <w:rPr>
                <w:rFonts w:eastAsia="Calibri"/>
                <w:b/>
                <w:bCs/>
                <w:color w:val="000000"/>
                <w:sz w:val="22"/>
                <w:szCs w:val="22"/>
              </w:rPr>
              <w:t>Прогнозне (цільове) значення</w:t>
            </w:r>
            <w:r w:rsidRPr="00B75FD7">
              <w:rPr>
                <w:sz w:val="22"/>
                <w:szCs w:val="22"/>
              </w:rPr>
              <w:t xml:space="preserve"> </w:t>
            </w:r>
          </w:p>
        </w:tc>
      </w:tr>
      <w:tr w:rsidR="009227F0" w:rsidRPr="00B75FD7" w:rsidTr="009227F0">
        <w:trPr>
          <w:trHeight w:val="849"/>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9227F0" w:rsidRPr="00B75FD7" w:rsidRDefault="009227F0" w:rsidP="009227F0">
            <w:pPr>
              <w:autoSpaceDE w:val="0"/>
              <w:autoSpaceDN w:val="0"/>
              <w:adjustRightInd w:val="0"/>
              <w:rPr>
                <w:rFonts w:eastAsia="Calibri"/>
                <w:b/>
                <w:bCs/>
                <w:color w:val="000000"/>
                <w:sz w:val="22"/>
                <w:szCs w:val="22"/>
              </w:rPr>
            </w:pPr>
          </w:p>
        </w:tc>
        <w:tc>
          <w:tcPr>
            <w:tcW w:w="2862" w:type="dxa"/>
            <w:gridSpan w:val="2"/>
            <w:tcBorders>
              <w:top w:val="single" w:sz="6" w:space="0" w:color="auto"/>
              <w:left w:val="single" w:sz="6" w:space="0" w:color="auto"/>
              <w:bottom w:val="single" w:sz="6" w:space="0" w:color="auto"/>
              <w:right w:val="single" w:sz="6" w:space="0" w:color="auto"/>
            </w:tcBorders>
          </w:tcPr>
          <w:p w:rsidR="009227F0" w:rsidRPr="00B75FD7" w:rsidRDefault="009227F0" w:rsidP="009227F0">
            <w:pPr>
              <w:shd w:val="clear" w:color="auto" w:fill="FFFFFF"/>
              <w:spacing w:after="75"/>
              <w:ind w:right="300"/>
              <w:rPr>
                <w:color w:val="222222"/>
                <w:sz w:val="22"/>
                <w:szCs w:val="22"/>
              </w:rPr>
            </w:pPr>
            <w:r w:rsidRPr="00B75FD7">
              <w:rPr>
                <w:sz w:val="22"/>
                <w:szCs w:val="22"/>
              </w:rPr>
              <w:t xml:space="preserve">Кількість вихованців </w:t>
            </w:r>
          </w:p>
        </w:tc>
        <w:tc>
          <w:tcPr>
            <w:tcW w:w="1403" w:type="dxa"/>
            <w:gridSpan w:val="3"/>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sz w:val="22"/>
                <w:szCs w:val="22"/>
              </w:rPr>
            </w:pPr>
            <w:r w:rsidRPr="00B75FD7">
              <w:rPr>
                <w:rFonts w:eastAsia="Calibri"/>
                <w:sz w:val="22"/>
                <w:szCs w:val="22"/>
              </w:rPr>
              <w:t>осіб</w:t>
            </w:r>
          </w:p>
        </w:tc>
        <w:tc>
          <w:tcPr>
            <w:tcW w:w="2681" w:type="dxa"/>
            <w:gridSpan w:val="2"/>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sz w:val="22"/>
                <w:szCs w:val="22"/>
              </w:rPr>
            </w:pPr>
            <w:r w:rsidRPr="00B75FD7">
              <w:rPr>
                <w:rFonts w:eastAsia="Calibri"/>
                <w:sz w:val="22"/>
                <w:szCs w:val="22"/>
              </w:rPr>
              <w:t>80</w:t>
            </w:r>
          </w:p>
        </w:tc>
      </w:tr>
      <w:tr w:rsidR="009227F0" w:rsidRPr="00B75FD7" w:rsidTr="009227F0">
        <w:trPr>
          <w:trHeight w:val="1663"/>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9227F0" w:rsidRPr="00B75FD7" w:rsidRDefault="009227F0" w:rsidP="009227F0">
            <w:pPr>
              <w:autoSpaceDE w:val="0"/>
              <w:autoSpaceDN w:val="0"/>
              <w:adjustRightInd w:val="0"/>
              <w:rPr>
                <w:rFonts w:eastAsia="Calibri"/>
                <w:b/>
                <w:bCs/>
                <w:color w:val="000000"/>
                <w:sz w:val="22"/>
                <w:szCs w:val="22"/>
              </w:rPr>
            </w:pPr>
            <w:r w:rsidRPr="00B75FD7">
              <w:rPr>
                <w:rFonts w:eastAsia="Calibri"/>
                <w:b/>
                <w:bCs/>
                <w:color w:val="000000"/>
                <w:sz w:val="22"/>
                <w:szCs w:val="22"/>
              </w:rPr>
              <w:lastRenderedPageBreak/>
              <w:t>Ключові заходи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9227F0" w:rsidRPr="00B75FD7" w:rsidRDefault="009227F0" w:rsidP="000303D7">
            <w:pPr>
              <w:numPr>
                <w:ilvl w:val="0"/>
                <w:numId w:val="82"/>
              </w:numPr>
              <w:ind w:left="252" w:hanging="179"/>
              <w:jc w:val="left"/>
              <w:rPr>
                <w:sz w:val="22"/>
                <w:szCs w:val="22"/>
              </w:rPr>
            </w:pPr>
            <w:r w:rsidRPr="00B75FD7">
              <w:rPr>
                <w:bCs/>
                <w:sz w:val="22"/>
                <w:szCs w:val="22"/>
              </w:rPr>
              <w:t xml:space="preserve">Обстеження стану харчоблоку в господарчій будівлі  Ясел – садка №24 </w:t>
            </w:r>
            <w:r w:rsidRPr="00B75FD7">
              <w:rPr>
                <w:rFonts w:eastAsia="Calibri"/>
                <w:color w:val="000000"/>
                <w:sz w:val="22"/>
                <w:szCs w:val="22"/>
              </w:rPr>
              <w:t xml:space="preserve">після </w:t>
            </w:r>
            <w:proofErr w:type="spellStart"/>
            <w:r w:rsidRPr="00B75FD7">
              <w:rPr>
                <w:rFonts w:eastAsia="Calibri"/>
                <w:color w:val="000000"/>
                <w:sz w:val="22"/>
                <w:szCs w:val="22"/>
              </w:rPr>
              <w:t>деокупаціі</w:t>
            </w:r>
            <w:proofErr w:type="spellEnd"/>
            <w:r w:rsidRPr="00B75FD7">
              <w:rPr>
                <w:rFonts w:eastAsia="Calibri"/>
                <w:color w:val="000000"/>
                <w:sz w:val="22"/>
                <w:szCs w:val="22"/>
              </w:rPr>
              <w:t>.</w:t>
            </w:r>
          </w:p>
          <w:p w:rsidR="009227F0" w:rsidRPr="00B75FD7" w:rsidRDefault="009227F0" w:rsidP="000303D7">
            <w:pPr>
              <w:numPr>
                <w:ilvl w:val="0"/>
                <w:numId w:val="82"/>
              </w:numPr>
              <w:ind w:left="252" w:hanging="179"/>
              <w:jc w:val="left"/>
              <w:rPr>
                <w:sz w:val="22"/>
                <w:szCs w:val="22"/>
              </w:rPr>
            </w:pPr>
            <w:r w:rsidRPr="00B75FD7">
              <w:rPr>
                <w:bCs/>
                <w:sz w:val="22"/>
                <w:szCs w:val="22"/>
              </w:rPr>
              <w:t>Проведення інвентаризації основних засобів;</w:t>
            </w:r>
          </w:p>
          <w:p w:rsidR="009227F0" w:rsidRPr="00B75FD7" w:rsidRDefault="009227F0" w:rsidP="000303D7">
            <w:pPr>
              <w:numPr>
                <w:ilvl w:val="0"/>
                <w:numId w:val="82"/>
              </w:numPr>
              <w:ind w:left="252" w:hanging="179"/>
              <w:jc w:val="left"/>
              <w:rPr>
                <w:sz w:val="22"/>
                <w:szCs w:val="22"/>
              </w:rPr>
            </w:pPr>
            <w:r w:rsidRPr="00B75FD7">
              <w:rPr>
                <w:sz w:val="22"/>
                <w:szCs w:val="22"/>
              </w:rPr>
              <w:t xml:space="preserve">Виготовлення </w:t>
            </w:r>
            <w:proofErr w:type="spellStart"/>
            <w:r w:rsidRPr="00B75FD7">
              <w:rPr>
                <w:sz w:val="22"/>
                <w:szCs w:val="22"/>
              </w:rPr>
              <w:t>про</w:t>
            </w:r>
            <w:r w:rsidR="00D02335" w:rsidRPr="00B75FD7">
              <w:rPr>
                <w:sz w:val="22"/>
                <w:szCs w:val="22"/>
              </w:rPr>
              <w:t>є</w:t>
            </w:r>
            <w:r w:rsidRPr="00B75FD7">
              <w:rPr>
                <w:sz w:val="22"/>
                <w:szCs w:val="22"/>
              </w:rPr>
              <w:t>ктно</w:t>
            </w:r>
            <w:proofErr w:type="spellEnd"/>
            <w:r w:rsidRPr="00B75FD7">
              <w:rPr>
                <w:sz w:val="22"/>
                <w:szCs w:val="22"/>
              </w:rPr>
              <w:t xml:space="preserve">-кошторисної </w:t>
            </w:r>
            <w:proofErr w:type="spellStart"/>
            <w:r w:rsidRPr="00B75FD7">
              <w:rPr>
                <w:sz w:val="22"/>
                <w:szCs w:val="22"/>
              </w:rPr>
              <w:t>документаціі</w:t>
            </w:r>
            <w:proofErr w:type="spellEnd"/>
            <w:r w:rsidRPr="00B75FD7">
              <w:rPr>
                <w:sz w:val="22"/>
                <w:szCs w:val="22"/>
              </w:rPr>
              <w:t xml:space="preserve">.   </w:t>
            </w:r>
          </w:p>
          <w:p w:rsidR="009227F0" w:rsidRPr="00B75FD7" w:rsidRDefault="009227F0" w:rsidP="000303D7">
            <w:pPr>
              <w:numPr>
                <w:ilvl w:val="0"/>
                <w:numId w:val="82"/>
              </w:numPr>
              <w:ind w:left="252" w:hanging="179"/>
              <w:jc w:val="left"/>
              <w:rPr>
                <w:sz w:val="22"/>
                <w:szCs w:val="22"/>
              </w:rPr>
            </w:pPr>
            <w:r w:rsidRPr="00B75FD7">
              <w:rPr>
                <w:sz w:val="22"/>
                <w:szCs w:val="22"/>
              </w:rPr>
              <w:t>Оновлення матеріально-технічної бази харчоблоку.</w:t>
            </w:r>
          </w:p>
          <w:p w:rsidR="009227F0" w:rsidRPr="00B75FD7" w:rsidRDefault="009227F0" w:rsidP="000303D7">
            <w:pPr>
              <w:numPr>
                <w:ilvl w:val="0"/>
                <w:numId w:val="82"/>
              </w:numPr>
              <w:ind w:left="252" w:hanging="179"/>
              <w:jc w:val="left"/>
              <w:rPr>
                <w:sz w:val="22"/>
                <w:szCs w:val="22"/>
              </w:rPr>
            </w:pPr>
            <w:r w:rsidRPr="00B75FD7">
              <w:rPr>
                <w:sz w:val="22"/>
                <w:szCs w:val="22"/>
              </w:rPr>
              <w:t>Оснащення харчоблоку.</w:t>
            </w:r>
          </w:p>
          <w:p w:rsidR="009227F0" w:rsidRPr="00B75FD7" w:rsidRDefault="009227F0" w:rsidP="000303D7">
            <w:pPr>
              <w:numPr>
                <w:ilvl w:val="0"/>
                <w:numId w:val="82"/>
              </w:numPr>
              <w:ind w:left="252" w:hanging="179"/>
              <w:jc w:val="left"/>
              <w:rPr>
                <w:sz w:val="22"/>
                <w:szCs w:val="22"/>
              </w:rPr>
            </w:pPr>
            <w:r w:rsidRPr="00B75FD7">
              <w:rPr>
                <w:sz w:val="22"/>
                <w:szCs w:val="22"/>
              </w:rPr>
              <w:t>Впровадження НАССР.</w:t>
            </w:r>
          </w:p>
          <w:p w:rsidR="009227F0" w:rsidRPr="00B75FD7" w:rsidRDefault="009227F0" w:rsidP="000303D7">
            <w:pPr>
              <w:numPr>
                <w:ilvl w:val="0"/>
                <w:numId w:val="82"/>
              </w:numPr>
              <w:ind w:left="252" w:hanging="179"/>
              <w:jc w:val="left"/>
              <w:rPr>
                <w:sz w:val="22"/>
                <w:szCs w:val="22"/>
              </w:rPr>
            </w:pPr>
            <w:r w:rsidRPr="00B75FD7">
              <w:rPr>
                <w:sz w:val="22"/>
                <w:szCs w:val="22"/>
              </w:rPr>
              <w:t>Культурно-просвітницька та виховна робота.</w:t>
            </w:r>
          </w:p>
          <w:p w:rsidR="009227F0" w:rsidRPr="00B75FD7" w:rsidRDefault="009227F0" w:rsidP="000303D7">
            <w:pPr>
              <w:numPr>
                <w:ilvl w:val="0"/>
                <w:numId w:val="82"/>
              </w:numPr>
              <w:ind w:left="252" w:hanging="179"/>
              <w:jc w:val="left"/>
              <w:rPr>
                <w:sz w:val="22"/>
                <w:szCs w:val="22"/>
              </w:rPr>
            </w:pPr>
            <w:r w:rsidRPr="00B75FD7">
              <w:rPr>
                <w:sz w:val="22"/>
                <w:szCs w:val="22"/>
              </w:rPr>
              <w:t xml:space="preserve">Інформування представників Сєвєродонецької територіальної громади щодо </w:t>
            </w:r>
            <w:proofErr w:type="spellStart"/>
            <w:r w:rsidRPr="00B75FD7">
              <w:rPr>
                <w:sz w:val="22"/>
                <w:szCs w:val="22"/>
              </w:rPr>
              <w:t>реалізаціі</w:t>
            </w:r>
            <w:proofErr w:type="spellEnd"/>
            <w:r w:rsidRPr="00B75FD7">
              <w:rPr>
                <w:sz w:val="22"/>
                <w:szCs w:val="22"/>
              </w:rPr>
              <w:t xml:space="preserve"> </w:t>
            </w:r>
            <w:proofErr w:type="spellStart"/>
            <w:r w:rsidRPr="00B75FD7">
              <w:rPr>
                <w:sz w:val="22"/>
                <w:szCs w:val="22"/>
              </w:rPr>
              <w:t>проєкту</w:t>
            </w:r>
            <w:proofErr w:type="spellEnd"/>
            <w:r w:rsidRPr="00B75FD7">
              <w:rPr>
                <w:sz w:val="22"/>
                <w:szCs w:val="22"/>
              </w:rPr>
              <w:t xml:space="preserve">, висвітлення </w:t>
            </w:r>
            <w:proofErr w:type="spellStart"/>
            <w:r w:rsidRPr="00B75FD7">
              <w:rPr>
                <w:sz w:val="22"/>
                <w:szCs w:val="22"/>
              </w:rPr>
              <w:t>реалізаціі</w:t>
            </w:r>
            <w:proofErr w:type="spellEnd"/>
            <w:r w:rsidRPr="00B75FD7">
              <w:rPr>
                <w:sz w:val="22"/>
                <w:szCs w:val="22"/>
              </w:rPr>
              <w:t xml:space="preserve"> </w:t>
            </w:r>
            <w:proofErr w:type="spellStart"/>
            <w:r w:rsidRPr="00B75FD7">
              <w:rPr>
                <w:sz w:val="22"/>
                <w:szCs w:val="22"/>
              </w:rPr>
              <w:t>про</w:t>
            </w:r>
            <w:r w:rsidR="00D02335" w:rsidRPr="00B75FD7">
              <w:rPr>
                <w:sz w:val="22"/>
                <w:szCs w:val="22"/>
              </w:rPr>
              <w:t>є</w:t>
            </w:r>
            <w:r w:rsidRPr="00B75FD7">
              <w:rPr>
                <w:sz w:val="22"/>
                <w:szCs w:val="22"/>
              </w:rPr>
              <w:t>кту</w:t>
            </w:r>
            <w:proofErr w:type="spellEnd"/>
            <w:r w:rsidRPr="00B75FD7">
              <w:rPr>
                <w:sz w:val="22"/>
                <w:szCs w:val="22"/>
              </w:rPr>
              <w:t xml:space="preserve"> в засобах масової </w:t>
            </w:r>
            <w:proofErr w:type="spellStart"/>
            <w:r w:rsidRPr="00B75FD7">
              <w:rPr>
                <w:sz w:val="22"/>
                <w:szCs w:val="22"/>
              </w:rPr>
              <w:t>інформаціі</w:t>
            </w:r>
            <w:proofErr w:type="spellEnd"/>
            <w:r w:rsidR="00D02335" w:rsidRPr="00B75FD7">
              <w:rPr>
                <w:sz w:val="22"/>
                <w:szCs w:val="22"/>
              </w:rPr>
              <w:t xml:space="preserve"> </w:t>
            </w:r>
            <w:r w:rsidRPr="00B75FD7">
              <w:rPr>
                <w:sz w:val="22"/>
                <w:szCs w:val="22"/>
              </w:rPr>
              <w:t>(сайт закладу,</w:t>
            </w:r>
            <w:r w:rsidR="00D02335" w:rsidRPr="00B75FD7">
              <w:rPr>
                <w:sz w:val="22"/>
                <w:szCs w:val="22"/>
              </w:rPr>
              <w:t xml:space="preserve"> </w:t>
            </w:r>
            <w:r w:rsidRPr="00B75FD7">
              <w:rPr>
                <w:sz w:val="22"/>
                <w:szCs w:val="22"/>
              </w:rPr>
              <w:t>фейсбук тощо).</w:t>
            </w:r>
          </w:p>
          <w:p w:rsidR="009227F0" w:rsidRPr="00B75FD7" w:rsidRDefault="009227F0" w:rsidP="000303D7">
            <w:pPr>
              <w:numPr>
                <w:ilvl w:val="0"/>
                <w:numId w:val="82"/>
              </w:numPr>
              <w:ind w:left="252" w:hanging="179"/>
              <w:jc w:val="left"/>
              <w:rPr>
                <w:sz w:val="22"/>
                <w:szCs w:val="22"/>
              </w:rPr>
            </w:pPr>
            <w:r w:rsidRPr="00B75FD7">
              <w:rPr>
                <w:bCs/>
                <w:sz w:val="22"/>
                <w:szCs w:val="22"/>
              </w:rPr>
              <w:t>Організація та початок робочого процесу.</w:t>
            </w:r>
          </w:p>
        </w:tc>
      </w:tr>
      <w:tr w:rsidR="009227F0" w:rsidRPr="00B75FD7" w:rsidTr="009227F0">
        <w:trPr>
          <w:trHeight w:val="592"/>
        </w:trPr>
        <w:tc>
          <w:tcPr>
            <w:tcW w:w="2865" w:type="dxa"/>
            <w:vMerge w:val="restart"/>
            <w:tcBorders>
              <w:top w:val="single" w:sz="6" w:space="0" w:color="auto"/>
              <w:left w:val="single" w:sz="6" w:space="0" w:color="auto"/>
              <w:right w:val="single" w:sz="6" w:space="0" w:color="auto"/>
            </w:tcBorders>
            <w:shd w:val="clear" w:color="00FFFF" w:fill="C6D9F1" w:themeFill="text2" w:themeFillTint="33"/>
          </w:tcPr>
          <w:p w:rsidR="009227F0" w:rsidRPr="00B75FD7" w:rsidRDefault="009227F0" w:rsidP="009227F0">
            <w:pPr>
              <w:autoSpaceDE w:val="0"/>
              <w:autoSpaceDN w:val="0"/>
              <w:adjustRightInd w:val="0"/>
              <w:rPr>
                <w:rFonts w:eastAsia="Calibri"/>
                <w:b/>
                <w:bCs/>
                <w:color w:val="000000"/>
                <w:sz w:val="22"/>
                <w:szCs w:val="22"/>
              </w:rPr>
            </w:pPr>
            <w:r w:rsidRPr="00B75FD7">
              <w:rPr>
                <w:rFonts w:eastAsia="Calibri"/>
                <w:b/>
                <w:bCs/>
                <w:color w:val="000000"/>
                <w:sz w:val="22"/>
                <w:szCs w:val="22"/>
              </w:rPr>
              <w:t>Орієнтовний обсяг та джерела фінансування тис. гривень</w:t>
            </w:r>
          </w:p>
        </w:tc>
        <w:tc>
          <w:tcPr>
            <w:tcW w:w="1597" w:type="dxa"/>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sz w:val="22"/>
                <w:szCs w:val="22"/>
              </w:rPr>
            </w:pPr>
            <w:r w:rsidRPr="00B75FD7">
              <w:rPr>
                <w:rFonts w:eastAsia="Calibri"/>
                <w:sz w:val="22"/>
                <w:szCs w:val="22"/>
              </w:rPr>
              <w:t>Державний бюджет</w:t>
            </w:r>
          </w:p>
        </w:tc>
        <w:tc>
          <w:tcPr>
            <w:tcW w:w="1406" w:type="dxa"/>
            <w:gridSpan w:val="2"/>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szCs w:val="22"/>
              </w:rPr>
            </w:pPr>
            <w:r w:rsidRPr="00B75FD7">
              <w:rPr>
                <w:rFonts w:eastAsia="Calibri"/>
                <w:color w:val="000000"/>
                <w:sz w:val="22"/>
                <w:szCs w:val="22"/>
              </w:rPr>
              <w:t>Місцевий бюджет</w:t>
            </w:r>
          </w:p>
        </w:tc>
        <w:tc>
          <w:tcPr>
            <w:tcW w:w="2246" w:type="dxa"/>
            <w:gridSpan w:val="3"/>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szCs w:val="22"/>
              </w:rPr>
            </w:pPr>
            <w:r w:rsidRPr="00B75FD7">
              <w:rPr>
                <w:rFonts w:eastAsia="Calibri"/>
                <w:color w:val="000000"/>
                <w:sz w:val="22"/>
                <w:szCs w:val="22"/>
              </w:rPr>
              <w:t>Інші джерела</w:t>
            </w:r>
          </w:p>
        </w:tc>
        <w:tc>
          <w:tcPr>
            <w:tcW w:w="1697" w:type="dxa"/>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szCs w:val="22"/>
              </w:rPr>
            </w:pPr>
            <w:r w:rsidRPr="00B75FD7">
              <w:rPr>
                <w:rFonts w:eastAsia="Calibri"/>
                <w:color w:val="000000"/>
                <w:sz w:val="22"/>
                <w:szCs w:val="22"/>
              </w:rPr>
              <w:t>Всього</w:t>
            </w:r>
          </w:p>
        </w:tc>
      </w:tr>
      <w:tr w:rsidR="009227F0" w:rsidRPr="00B75FD7" w:rsidTr="00C533DF">
        <w:trPr>
          <w:trHeight w:val="64"/>
        </w:trPr>
        <w:tc>
          <w:tcPr>
            <w:tcW w:w="2865" w:type="dxa"/>
            <w:vMerge/>
            <w:tcBorders>
              <w:left w:val="single" w:sz="6" w:space="0" w:color="auto"/>
              <w:right w:val="single" w:sz="6" w:space="0" w:color="auto"/>
            </w:tcBorders>
            <w:shd w:val="clear" w:color="00FFFF" w:fill="C6D9F1" w:themeFill="text2" w:themeFillTint="33"/>
          </w:tcPr>
          <w:p w:rsidR="009227F0" w:rsidRPr="00B75FD7" w:rsidRDefault="009227F0" w:rsidP="009227F0">
            <w:pPr>
              <w:autoSpaceDE w:val="0"/>
              <w:autoSpaceDN w:val="0"/>
              <w:adjustRightInd w:val="0"/>
              <w:rPr>
                <w:rFonts w:eastAsia="Calibri"/>
                <w:b/>
                <w:bCs/>
                <w:color w:val="000000"/>
                <w:sz w:val="22"/>
                <w:szCs w:val="22"/>
              </w:rPr>
            </w:pPr>
          </w:p>
        </w:tc>
        <w:tc>
          <w:tcPr>
            <w:tcW w:w="1597" w:type="dxa"/>
            <w:vMerge w:val="restart"/>
            <w:tcBorders>
              <w:top w:val="single" w:sz="6" w:space="0" w:color="auto"/>
              <w:left w:val="single" w:sz="6" w:space="0" w:color="auto"/>
              <w:right w:val="single" w:sz="6" w:space="0" w:color="auto"/>
            </w:tcBorders>
          </w:tcPr>
          <w:p w:rsidR="009227F0" w:rsidRPr="00B75FD7" w:rsidRDefault="009227F0" w:rsidP="009227F0">
            <w:pPr>
              <w:autoSpaceDE w:val="0"/>
              <w:autoSpaceDN w:val="0"/>
              <w:adjustRightInd w:val="0"/>
              <w:rPr>
                <w:rFonts w:eastAsia="Calibri"/>
                <w:sz w:val="22"/>
                <w:szCs w:val="22"/>
              </w:rPr>
            </w:pPr>
            <w:r w:rsidRPr="00B75FD7">
              <w:rPr>
                <w:rFonts w:eastAsia="Calibri"/>
                <w:sz w:val="22"/>
                <w:szCs w:val="22"/>
              </w:rPr>
              <w:t>3265,5</w:t>
            </w:r>
          </w:p>
        </w:tc>
        <w:tc>
          <w:tcPr>
            <w:tcW w:w="1406" w:type="dxa"/>
            <w:gridSpan w:val="2"/>
            <w:vMerge w:val="restart"/>
            <w:tcBorders>
              <w:top w:val="single" w:sz="6" w:space="0" w:color="auto"/>
              <w:left w:val="single" w:sz="6" w:space="0" w:color="auto"/>
              <w:right w:val="single" w:sz="6" w:space="0" w:color="auto"/>
            </w:tcBorders>
          </w:tcPr>
          <w:p w:rsidR="009227F0" w:rsidRPr="00B75FD7" w:rsidRDefault="009227F0" w:rsidP="00C533DF">
            <w:pPr>
              <w:autoSpaceDE w:val="0"/>
              <w:autoSpaceDN w:val="0"/>
              <w:adjustRightInd w:val="0"/>
              <w:rPr>
                <w:rFonts w:eastAsia="Calibri"/>
                <w:color w:val="000000"/>
                <w:sz w:val="22"/>
                <w:szCs w:val="22"/>
              </w:rPr>
            </w:pPr>
            <w:r w:rsidRPr="00B75FD7">
              <w:rPr>
                <w:rFonts w:eastAsia="Calibri"/>
                <w:color w:val="000000"/>
                <w:sz w:val="22"/>
                <w:szCs w:val="22"/>
              </w:rPr>
              <w:t>-</w:t>
            </w:r>
          </w:p>
        </w:tc>
        <w:tc>
          <w:tcPr>
            <w:tcW w:w="986" w:type="dxa"/>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szCs w:val="22"/>
              </w:rPr>
            </w:pPr>
            <w:r w:rsidRPr="00B75FD7">
              <w:rPr>
                <w:rFonts w:eastAsia="Calibri"/>
                <w:color w:val="000000"/>
                <w:sz w:val="22"/>
                <w:szCs w:val="22"/>
              </w:rPr>
              <w:t>Обсяг</w:t>
            </w:r>
          </w:p>
          <w:p w:rsidR="009227F0" w:rsidRPr="00B75FD7" w:rsidRDefault="009227F0" w:rsidP="009227F0">
            <w:pPr>
              <w:autoSpaceDE w:val="0"/>
              <w:autoSpaceDN w:val="0"/>
              <w:adjustRightInd w:val="0"/>
              <w:rPr>
                <w:rFonts w:eastAsia="Calibri"/>
                <w:color w:val="000000"/>
                <w:sz w:val="22"/>
                <w:szCs w:val="22"/>
              </w:rPr>
            </w:pPr>
          </w:p>
        </w:tc>
        <w:tc>
          <w:tcPr>
            <w:tcW w:w="1260" w:type="dxa"/>
            <w:gridSpan w:val="2"/>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szCs w:val="22"/>
              </w:rPr>
            </w:pPr>
            <w:r w:rsidRPr="00B75FD7">
              <w:rPr>
                <w:rFonts w:eastAsia="Calibri"/>
                <w:color w:val="000000"/>
                <w:sz w:val="22"/>
                <w:szCs w:val="22"/>
              </w:rPr>
              <w:t>Назва джерела</w:t>
            </w:r>
          </w:p>
        </w:tc>
        <w:tc>
          <w:tcPr>
            <w:tcW w:w="1697" w:type="dxa"/>
            <w:vMerge w:val="restart"/>
            <w:tcBorders>
              <w:top w:val="single" w:sz="6" w:space="0" w:color="auto"/>
              <w:left w:val="single" w:sz="6" w:space="0" w:color="auto"/>
              <w:right w:val="single" w:sz="6" w:space="0" w:color="auto"/>
            </w:tcBorders>
          </w:tcPr>
          <w:p w:rsidR="009227F0" w:rsidRPr="00B75FD7" w:rsidRDefault="009227F0" w:rsidP="00C533DF">
            <w:pPr>
              <w:autoSpaceDE w:val="0"/>
              <w:autoSpaceDN w:val="0"/>
              <w:adjustRightInd w:val="0"/>
              <w:rPr>
                <w:rFonts w:eastAsia="Calibri"/>
                <w:color w:val="000000"/>
                <w:sz w:val="22"/>
                <w:szCs w:val="22"/>
              </w:rPr>
            </w:pPr>
            <w:r w:rsidRPr="00B75FD7">
              <w:rPr>
                <w:rFonts w:eastAsia="Calibri"/>
                <w:color w:val="000000"/>
                <w:sz w:val="22"/>
                <w:szCs w:val="22"/>
              </w:rPr>
              <w:t>4 665. 00</w:t>
            </w:r>
          </w:p>
        </w:tc>
      </w:tr>
      <w:tr w:rsidR="009227F0" w:rsidRPr="00B75FD7" w:rsidTr="00C533DF">
        <w:trPr>
          <w:trHeight w:val="1318"/>
        </w:trPr>
        <w:tc>
          <w:tcPr>
            <w:tcW w:w="2865" w:type="dxa"/>
            <w:vMerge/>
            <w:tcBorders>
              <w:left w:val="single" w:sz="6" w:space="0" w:color="auto"/>
              <w:bottom w:val="single" w:sz="6" w:space="0" w:color="auto"/>
              <w:right w:val="single" w:sz="6" w:space="0" w:color="auto"/>
            </w:tcBorders>
            <w:shd w:val="clear" w:color="00FFFF" w:fill="C6D9F1" w:themeFill="text2" w:themeFillTint="33"/>
          </w:tcPr>
          <w:p w:rsidR="009227F0" w:rsidRPr="00B75FD7" w:rsidRDefault="009227F0" w:rsidP="009227F0">
            <w:pPr>
              <w:autoSpaceDE w:val="0"/>
              <w:autoSpaceDN w:val="0"/>
              <w:adjustRightInd w:val="0"/>
              <w:rPr>
                <w:rFonts w:eastAsia="Calibri"/>
                <w:b/>
                <w:bCs/>
                <w:color w:val="000000"/>
                <w:sz w:val="22"/>
                <w:szCs w:val="22"/>
              </w:rPr>
            </w:pPr>
          </w:p>
        </w:tc>
        <w:tc>
          <w:tcPr>
            <w:tcW w:w="1597" w:type="dxa"/>
            <w:vMerge/>
            <w:tcBorders>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sz w:val="22"/>
                <w:szCs w:val="22"/>
              </w:rPr>
            </w:pPr>
          </w:p>
        </w:tc>
        <w:tc>
          <w:tcPr>
            <w:tcW w:w="1406" w:type="dxa"/>
            <w:gridSpan w:val="2"/>
            <w:vMerge/>
            <w:tcBorders>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szCs w:val="22"/>
              </w:rPr>
            </w:pPr>
          </w:p>
        </w:tc>
        <w:tc>
          <w:tcPr>
            <w:tcW w:w="986" w:type="dxa"/>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sz w:val="22"/>
                <w:szCs w:val="22"/>
              </w:rPr>
            </w:pPr>
            <w:r w:rsidRPr="00B75FD7">
              <w:rPr>
                <w:rFonts w:eastAsia="Calibri"/>
                <w:sz w:val="22"/>
                <w:szCs w:val="22"/>
              </w:rPr>
              <w:t>1399,5</w:t>
            </w:r>
          </w:p>
        </w:tc>
        <w:tc>
          <w:tcPr>
            <w:tcW w:w="1260" w:type="dxa"/>
            <w:gridSpan w:val="2"/>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szCs w:val="22"/>
              </w:rPr>
            </w:pPr>
            <w:r w:rsidRPr="00B75FD7">
              <w:rPr>
                <w:bCs/>
                <w:sz w:val="22"/>
                <w:szCs w:val="22"/>
              </w:rPr>
              <w:t>міжнародні інвестиції, кошти приватних осіб, міжнародні благодійні фонди.</w:t>
            </w:r>
          </w:p>
        </w:tc>
        <w:tc>
          <w:tcPr>
            <w:tcW w:w="1697" w:type="dxa"/>
            <w:vMerge/>
            <w:tcBorders>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szCs w:val="22"/>
              </w:rPr>
            </w:pPr>
          </w:p>
        </w:tc>
      </w:tr>
    </w:tbl>
    <w:p w:rsidR="009227F0" w:rsidRPr="00B75FD7" w:rsidRDefault="009227F0" w:rsidP="00E33AAA">
      <w:pPr>
        <w:tabs>
          <w:tab w:val="left" w:pos="5290"/>
        </w:tabs>
        <w:rPr>
          <w:b/>
          <w:sz w:val="22"/>
          <w:szCs w:val="22"/>
        </w:rPr>
      </w:pPr>
    </w:p>
    <w:p w:rsidR="009227F0" w:rsidRPr="00B75FD7" w:rsidRDefault="009227F0" w:rsidP="00E33AAA">
      <w:pPr>
        <w:tabs>
          <w:tab w:val="left" w:pos="5290"/>
        </w:tabs>
        <w:rPr>
          <w:b/>
          <w:sz w:val="22"/>
          <w:szCs w:val="22"/>
        </w:rPr>
      </w:pPr>
    </w:p>
    <w:tbl>
      <w:tblPr>
        <w:tblpPr w:leftFromText="180" w:rightFromText="180" w:vertAnchor="text" w:horzAnchor="margin" w:tblpX="-254" w:tblpY="123"/>
        <w:tblW w:w="9811" w:type="dxa"/>
        <w:tblLayout w:type="fixed"/>
        <w:tblCellMar>
          <w:left w:w="30" w:type="dxa"/>
          <w:right w:w="30" w:type="dxa"/>
        </w:tblCellMar>
        <w:tblLook w:val="0000" w:firstRow="0" w:lastRow="0" w:firstColumn="0" w:lastColumn="0" w:noHBand="0" w:noVBand="0"/>
      </w:tblPr>
      <w:tblGrid>
        <w:gridCol w:w="2865"/>
        <w:gridCol w:w="934"/>
        <w:gridCol w:w="1228"/>
        <w:gridCol w:w="955"/>
        <w:gridCol w:w="136"/>
        <w:gridCol w:w="1229"/>
        <w:gridCol w:w="1188"/>
        <w:gridCol w:w="1276"/>
      </w:tblGrid>
      <w:tr w:rsidR="005057AD" w:rsidRPr="00B75FD7" w:rsidTr="005057AD">
        <w:trPr>
          <w:trHeight w:val="993"/>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57AD" w:rsidRPr="00B75FD7" w:rsidRDefault="005057AD" w:rsidP="005057AD">
            <w:pPr>
              <w:autoSpaceDE w:val="0"/>
              <w:autoSpaceDN w:val="0"/>
              <w:adjustRightInd w:val="0"/>
              <w:rPr>
                <w:rFonts w:eastAsia="Calibri"/>
                <w:b/>
                <w:color w:val="000000"/>
                <w:sz w:val="22"/>
              </w:rPr>
            </w:pPr>
            <w:r w:rsidRPr="00B75FD7">
              <w:rPr>
                <w:rFonts w:eastAsia="Calibri"/>
                <w:b/>
                <w:color w:val="000000"/>
                <w:sz w:val="22"/>
              </w:rPr>
              <w:t>Оперативна ціль/завдання</w:t>
            </w:r>
          </w:p>
        </w:tc>
        <w:tc>
          <w:tcPr>
            <w:tcW w:w="6946" w:type="dxa"/>
            <w:gridSpan w:val="7"/>
            <w:tcBorders>
              <w:top w:val="single" w:sz="6" w:space="0" w:color="auto"/>
              <w:left w:val="single" w:sz="6" w:space="0" w:color="auto"/>
              <w:bottom w:val="single" w:sz="6" w:space="0" w:color="auto"/>
              <w:right w:val="single" w:sz="6" w:space="0" w:color="auto"/>
            </w:tcBorders>
          </w:tcPr>
          <w:p w:rsidR="005057AD" w:rsidRPr="00B75FD7" w:rsidRDefault="005057AD" w:rsidP="005057AD">
            <w:pPr>
              <w:pStyle w:val="a7"/>
              <w:ind w:left="0"/>
              <w:rPr>
                <w:rFonts w:eastAsia="Calibri"/>
                <w:color w:val="000000"/>
                <w:sz w:val="22"/>
              </w:rPr>
            </w:pPr>
            <w:r w:rsidRPr="00B75FD7">
              <w:rPr>
                <w:sz w:val="22"/>
              </w:rPr>
              <w:t xml:space="preserve">Людський розвиток через інновації управління та довіру до влади. Формування сучасного інклюзивного  </w:t>
            </w:r>
            <w:proofErr w:type="spellStart"/>
            <w:r w:rsidRPr="00B75FD7">
              <w:rPr>
                <w:sz w:val="22"/>
              </w:rPr>
              <w:t>освітньо</w:t>
            </w:r>
            <w:proofErr w:type="spellEnd"/>
            <w:r w:rsidRPr="00B75FD7">
              <w:rPr>
                <w:sz w:val="22"/>
              </w:rPr>
              <w:t>-культурного та спортивного простору для розвитку.</w:t>
            </w:r>
          </w:p>
        </w:tc>
      </w:tr>
      <w:tr w:rsidR="005057AD" w:rsidRPr="00B75FD7" w:rsidTr="005057AD">
        <w:trPr>
          <w:trHeight w:val="284"/>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57AD" w:rsidRPr="00B75FD7" w:rsidRDefault="005057AD" w:rsidP="005057AD">
            <w:pPr>
              <w:autoSpaceDE w:val="0"/>
              <w:autoSpaceDN w:val="0"/>
              <w:adjustRightInd w:val="0"/>
              <w:rPr>
                <w:rFonts w:eastAsia="Calibri"/>
                <w:b/>
                <w:color w:val="000000"/>
                <w:sz w:val="22"/>
              </w:rPr>
            </w:pPr>
            <w:r w:rsidRPr="00B75FD7">
              <w:rPr>
                <w:rFonts w:eastAsia="Calibri"/>
                <w:b/>
                <w:color w:val="000000"/>
                <w:sz w:val="22"/>
              </w:rPr>
              <w:t>Назва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5057AD" w:rsidRPr="00B75FD7" w:rsidRDefault="005057AD" w:rsidP="005057AD">
            <w:pPr>
              <w:autoSpaceDE w:val="0"/>
              <w:autoSpaceDN w:val="0"/>
              <w:adjustRightInd w:val="0"/>
              <w:rPr>
                <w:sz w:val="22"/>
              </w:rPr>
            </w:pPr>
            <w:r w:rsidRPr="00B75FD7">
              <w:rPr>
                <w:sz w:val="22"/>
              </w:rPr>
              <w:t xml:space="preserve">Придбання та облаштування мобільних захисних споруд цивільного захисту, забезпечення усім необхідним обладнанням </w:t>
            </w:r>
            <w:r w:rsidRPr="00B75FD7">
              <w:rPr>
                <w:rFonts w:eastAsia="Calibri"/>
                <w:color w:val="000000"/>
                <w:sz w:val="22"/>
              </w:rPr>
              <w:t xml:space="preserve"> Ясел - садка №24  міста Сєвєродонецька Луганської області, за </w:t>
            </w:r>
            <w:proofErr w:type="spellStart"/>
            <w:r w:rsidRPr="00B75FD7">
              <w:rPr>
                <w:rFonts w:eastAsia="Calibri"/>
                <w:color w:val="000000"/>
                <w:sz w:val="22"/>
              </w:rPr>
              <w:t>адресою</w:t>
            </w:r>
            <w:proofErr w:type="spellEnd"/>
            <w:r w:rsidRPr="00B75FD7">
              <w:rPr>
                <w:rFonts w:eastAsia="Calibri"/>
                <w:color w:val="000000"/>
                <w:sz w:val="22"/>
              </w:rPr>
              <w:t xml:space="preserve">, </w:t>
            </w:r>
            <w:proofErr w:type="spellStart"/>
            <w:r w:rsidRPr="00B75FD7">
              <w:rPr>
                <w:rFonts w:eastAsia="Calibri"/>
                <w:color w:val="000000"/>
                <w:sz w:val="22"/>
              </w:rPr>
              <w:t>вул.Енергетиків</w:t>
            </w:r>
            <w:proofErr w:type="spellEnd"/>
            <w:r w:rsidRPr="00B75FD7">
              <w:rPr>
                <w:rFonts w:eastAsia="Calibri"/>
                <w:color w:val="000000"/>
                <w:sz w:val="22"/>
              </w:rPr>
              <w:t>., буд.15, міста Сєвєродонецька, Сєвєродонецького району, Луганської області.</w:t>
            </w:r>
          </w:p>
        </w:tc>
      </w:tr>
      <w:tr w:rsidR="005057AD" w:rsidRPr="00B75FD7" w:rsidTr="005057AD">
        <w:trPr>
          <w:trHeight w:val="1052"/>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57AD" w:rsidRPr="00B75FD7" w:rsidRDefault="005057AD" w:rsidP="005057AD">
            <w:pPr>
              <w:autoSpaceDE w:val="0"/>
              <w:autoSpaceDN w:val="0"/>
              <w:adjustRightInd w:val="0"/>
              <w:rPr>
                <w:rFonts w:eastAsia="Calibri"/>
                <w:b/>
                <w:color w:val="000000"/>
                <w:sz w:val="22"/>
              </w:rPr>
            </w:pPr>
            <w:r w:rsidRPr="00B75FD7">
              <w:rPr>
                <w:rFonts w:eastAsia="Calibri"/>
                <w:b/>
                <w:color w:val="000000"/>
                <w:sz w:val="22"/>
              </w:rPr>
              <w:t>Ціль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5057AD" w:rsidRPr="00B75FD7" w:rsidRDefault="005057AD" w:rsidP="00E81B30">
            <w:pPr>
              <w:shd w:val="clear" w:color="auto" w:fill="FFFFFF"/>
              <w:spacing w:after="75"/>
              <w:ind w:right="300"/>
              <w:rPr>
                <w:color w:val="222222"/>
                <w:sz w:val="22"/>
              </w:rPr>
            </w:pPr>
            <w:r w:rsidRPr="00B75FD7">
              <w:rPr>
                <w:sz w:val="22"/>
              </w:rPr>
              <w:t>Сприяння збереженню здоров’я здобувачів освіти громади, забезпечення  вихованців закладу в разі потенційної небезпеки шляхом придбання модульних одиниць зі збірних залізобетонних конструкцій, що дає можливість зробити укриття для захисту здобувачів дошкільної освіти понад 20 осіб та обладнання для можливого їх перебування .</w:t>
            </w:r>
          </w:p>
        </w:tc>
      </w:tr>
      <w:tr w:rsidR="005057AD" w:rsidRPr="00B75FD7" w:rsidTr="005057AD">
        <w:trPr>
          <w:trHeight w:val="284"/>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57AD" w:rsidRPr="00B75FD7" w:rsidRDefault="005057AD" w:rsidP="005057AD">
            <w:pPr>
              <w:autoSpaceDE w:val="0"/>
              <w:autoSpaceDN w:val="0"/>
              <w:adjustRightInd w:val="0"/>
              <w:rPr>
                <w:rFonts w:eastAsia="Calibri"/>
                <w:b/>
                <w:color w:val="000000"/>
                <w:sz w:val="22"/>
              </w:rPr>
            </w:pPr>
            <w:r w:rsidRPr="00B75FD7">
              <w:rPr>
                <w:rFonts w:eastAsia="Calibri"/>
                <w:b/>
                <w:color w:val="000000"/>
                <w:sz w:val="22"/>
              </w:rPr>
              <w:t>Територія, на яку матиме вплив реалізація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5057AD" w:rsidRPr="00B75FD7" w:rsidRDefault="005057AD" w:rsidP="005057AD">
            <w:pPr>
              <w:autoSpaceDE w:val="0"/>
              <w:autoSpaceDN w:val="0"/>
              <w:adjustRightInd w:val="0"/>
              <w:rPr>
                <w:rFonts w:eastAsia="Calibri"/>
                <w:color w:val="000000"/>
                <w:sz w:val="22"/>
              </w:rPr>
            </w:pPr>
            <w:r w:rsidRPr="00B75FD7">
              <w:rPr>
                <w:rFonts w:eastAsia="Calibri"/>
                <w:color w:val="000000"/>
                <w:sz w:val="22"/>
              </w:rPr>
              <w:t>Сєвєродонецька міська територіальна громада</w:t>
            </w:r>
          </w:p>
        </w:tc>
      </w:tr>
      <w:tr w:rsidR="005057AD" w:rsidRPr="00B75FD7" w:rsidTr="005057AD">
        <w:trPr>
          <w:trHeight w:val="569"/>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57AD" w:rsidRPr="00B75FD7" w:rsidRDefault="005057AD" w:rsidP="005057AD">
            <w:pPr>
              <w:autoSpaceDE w:val="0"/>
              <w:autoSpaceDN w:val="0"/>
              <w:adjustRightInd w:val="0"/>
              <w:rPr>
                <w:rFonts w:eastAsia="Calibri"/>
                <w:b/>
                <w:color w:val="000000"/>
                <w:sz w:val="22"/>
              </w:rPr>
            </w:pPr>
            <w:r w:rsidRPr="00B75FD7">
              <w:rPr>
                <w:rFonts w:eastAsia="Calibri"/>
                <w:b/>
                <w:color w:val="000000"/>
                <w:sz w:val="22"/>
              </w:rPr>
              <w:t>Чисельність населення, на яке матиме вплив реалізація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5057AD" w:rsidRPr="00B75FD7" w:rsidRDefault="005057AD" w:rsidP="005057AD">
            <w:pPr>
              <w:autoSpaceDE w:val="0"/>
              <w:autoSpaceDN w:val="0"/>
              <w:adjustRightInd w:val="0"/>
              <w:rPr>
                <w:rFonts w:eastAsia="Calibri"/>
                <w:color w:val="000000"/>
                <w:sz w:val="22"/>
              </w:rPr>
            </w:pPr>
            <w:r w:rsidRPr="00B75FD7">
              <w:rPr>
                <w:sz w:val="22"/>
              </w:rPr>
              <w:t>70 000 осіб</w:t>
            </w:r>
          </w:p>
          <w:p w:rsidR="005057AD" w:rsidRPr="00B75FD7" w:rsidRDefault="005057AD" w:rsidP="005057AD">
            <w:pPr>
              <w:autoSpaceDE w:val="0"/>
              <w:autoSpaceDN w:val="0"/>
              <w:adjustRightInd w:val="0"/>
              <w:rPr>
                <w:rFonts w:eastAsia="Calibri"/>
                <w:color w:val="000000"/>
                <w:sz w:val="22"/>
              </w:rPr>
            </w:pPr>
          </w:p>
        </w:tc>
      </w:tr>
      <w:tr w:rsidR="005057AD" w:rsidRPr="00B75FD7" w:rsidTr="005057AD">
        <w:trPr>
          <w:trHeight w:val="1198"/>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57AD" w:rsidRPr="00B75FD7" w:rsidRDefault="005057AD" w:rsidP="005057AD">
            <w:pPr>
              <w:autoSpaceDE w:val="0"/>
              <w:autoSpaceDN w:val="0"/>
              <w:adjustRightInd w:val="0"/>
              <w:rPr>
                <w:rFonts w:eastAsia="Calibri"/>
                <w:b/>
                <w:color w:val="000000"/>
                <w:sz w:val="22"/>
              </w:rPr>
            </w:pPr>
            <w:r w:rsidRPr="00B75FD7">
              <w:rPr>
                <w:rFonts w:eastAsia="Calibri"/>
                <w:b/>
                <w:color w:val="000000"/>
                <w:sz w:val="22"/>
              </w:rPr>
              <w:t>Опис проблеми, на вирішення якої спрямований проект</w:t>
            </w:r>
          </w:p>
        </w:tc>
        <w:tc>
          <w:tcPr>
            <w:tcW w:w="6946" w:type="dxa"/>
            <w:gridSpan w:val="7"/>
            <w:tcBorders>
              <w:top w:val="single" w:sz="6" w:space="0" w:color="auto"/>
              <w:left w:val="single" w:sz="6" w:space="0" w:color="auto"/>
              <w:bottom w:val="single" w:sz="6" w:space="0" w:color="auto"/>
              <w:right w:val="single" w:sz="6" w:space="0" w:color="auto"/>
            </w:tcBorders>
          </w:tcPr>
          <w:p w:rsidR="005057AD" w:rsidRPr="00B75FD7" w:rsidRDefault="005057AD" w:rsidP="00E242A5">
            <w:pPr>
              <w:rPr>
                <w:rFonts w:eastAsia="Calibri"/>
                <w:color w:val="000000"/>
                <w:sz w:val="22"/>
              </w:rPr>
            </w:pPr>
            <w:r w:rsidRPr="00B75FD7">
              <w:rPr>
                <w:sz w:val="22"/>
              </w:rPr>
              <w:t xml:space="preserve">        Цим  </w:t>
            </w:r>
            <w:proofErr w:type="spellStart"/>
            <w:r w:rsidRPr="00B75FD7">
              <w:rPr>
                <w:sz w:val="22"/>
              </w:rPr>
              <w:t>про</w:t>
            </w:r>
            <w:r w:rsidR="00E242A5" w:rsidRPr="00B75FD7">
              <w:rPr>
                <w:sz w:val="22"/>
              </w:rPr>
              <w:t>є</w:t>
            </w:r>
            <w:r w:rsidRPr="00B75FD7">
              <w:rPr>
                <w:sz w:val="22"/>
              </w:rPr>
              <w:t>ктом</w:t>
            </w:r>
            <w:proofErr w:type="spellEnd"/>
            <w:r w:rsidRPr="00B75FD7">
              <w:rPr>
                <w:sz w:val="22"/>
              </w:rPr>
              <w:t xml:space="preserve"> передбачено використання типових модульних одиниць зі збірних залізобетонних конструкцій, що дає можливість зробити укриття для захисту здобувачів дошкільної освіти. Відповідно до пункту 15.9 ЗМІНИ №3 </w:t>
            </w:r>
            <w:hyperlink r:id="rId71" w:tgtFrame="_blank" w:history="1">
              <w:r w:rsidRPr="00B75FD7">
                <w:rPr>
                  <w:sz w:val="22"/>
                  <w:u w:val="single"/>
                </w:rPr>
                <w:t>ДБН В.2.2-5-97</w:t>
              </w:r>
            </w:hyperlink>
            <w:r w:rsidRPr="00B75FD7">
              <w:rPr>
                <w:sz w:val="22"/>
              </w:rPr>
              <w:t xml:space="preserve">. </w:t>
            </w:r>
            <w:proofErr w:type="spellStart"/>
            <w:r w:rsidRPr="00B75FD7">
              <w:rPr>
                <w:sz w:val="22"/>
              </w:rPr>
              <w:t>швидкоспоруджувана</w:t>
            </w:r>
            <w:proofErr w:type="spellEnd"/>
            <w:r w:rsidRPr="00B75FD7">
              <w:rPr>
                <w:sz w:val="22"/>
              </w:rPr>
              <w:t xml:space="preserve">  захисна споруда цивільного захисту модульного типу - це захисна споруда цивільного захисту, що будується ( складається) з будівельних конструктивних </w:t>
            </w:r>
            <w:proofErr w:type="spellStart"/>
            <w:r w:rsidRPr="00B75FD7">
              <w:rPr>
                <w:sz w:val="22"/>
              </w:rPr>
              <w:t>модулей</w:t>
            </w:r>
            <w:proofErr w:type="spellEnd"/>
            <w:r w:rsidRPr="00B75FD7">
              <w:rPr>
                <w:sz w:val="22"/>
              </w:rPr>
              <w:t>, у тому числі збірно-розбірних, і за сукупністю показників має захисні властивості сховища</w:t>
            </w:r>
            <w:r w:rsidRPr="00B75FD7">
              <w:rPr>
                <w:rStyle w:val="afd"/>
                <w:i w:val="0"/>
                <w:sz w:val="22"/>
              </w:rPr>
              <w:t xml:space="preserve"> </w:t>
            </w:r>
          </w:p>
        </w:tc>
      </w:tr>
      <w:tr w:rsidR="005057AD" w:rsidRPr="00B75FD7" w:rsidTr="005057AD">
        <w:trPr>
          <w:trHeight w:val="517"/>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57AD" w:rsidRPr="00B75FD7" w:rsidRDefault="005057AD" w:rsidP="005057AD">
            <w:pPr>
              <w:autoSpaceDE w:val="0"/>
              <w:autoSpaceDN w:val="0"/>
              <w:adjustRightInd w:val="0"/>
              <w:rPr>
                <w:rFonts w:eastAsia="Calibri"/>
                <w:b/>
                <w:color w:val="000000"/>
                <w:sz w:val="22"/>
              </w:rPr>
            </w:pPr>
            <w:r w:rsidRPr="00B75FD7">
              <w:rPr>
                <w:rFonts w:eastAsia="Calibri"/>
                <w:b/>
                <w:color w:val="000000"/>
                <w:sz w:val="22"/>
              </w:rPr>
              <w:lastRenderedPageBreak/>
              <w:t>Очікувані якісні результати від реалізації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5057AD" w:rsidRPr="00B75FD7" w:rsidRDefault="005057AD" w:rsidP="000303D7">
            <w:pPr>
              <w:numPr>
                <w:ilvl w:val="0"/>
                <w:numId w:val="83"/>
              </w:numPr>
              <w:spacing w:before="100" w:beforeAutospacing="1" w:after="100" w:afterAutospacing="1"/>
              <w:jc w:val="left"/>
              <w:rPr>
                <w:sz w:val="22"/>
              </w:rPr>
            </w:pPr>
            <w:r w:rsidRPr="00B75FD7">
              <w:rPr>
                <w:rFonts w:eastAsia="Calibri"/>
                <w:sz w:val="22"/>
              </w:rPr>
              <w:t xml:space="preserve"> </w:t>
            </w:r>
            <w:r w:rsidRPr="00B75FD7">
              <w:rPr>
                <w:sz w:val="22"/>
              </w:rPr>
              <w:t xml:space="preserve">Відновлення  матеріальної бази дошкільного закладу, створення умов для захисту дітей відповідно до сучасних освітніх вимог, </w:t>
            </w:r>
          </w:p>
          <w:p w:rsidR="005057AD" w:rsidRPr="00B75FD7" w:rsidRDefault="005057AD" w:rsidP="000303D7">
            <w:pPr>
              <w:numPr>
                <w:ilvl w:val="0"/>
                <w:numId w:val="83"/>
              </w:numPr>
              <w:spacing w:before="100" w:beforeAutospacing="1" w:after="100" w:afterAutospacing="1"/>
              <w:jc w:val="left"/>
              <w:rPr>
                <w:rFonts w:eastAsia="Calibri"/>
                <w:color w:val="000000"/>
                <w:sz w:val="22"/>
              </w:rPr>
            </w:pPr>
            <w:r w:rsidRPr="00B75FD7">
              <w:rPr>
                <w:sz w:val="22"/>
              </w:rPr>
              <w:t xml:space="preserve">покращення надання освітніх послуг мешканцям громади, </w:t>
            </w:r>
          </w:p>
        </w:tc>
      </w:tr>
      <w:tr w:rsidR="005057AD" w:rsidRPr="00B75FD7" w:rsidTr="005057AD">
        <w:trPr>
          <w:trHeight w:val="569"/>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57AD" w:rsidRPr="00B75FD7" w:rsidRDefault="005057AD" w:rsidP="005057AD">
            <w:pPr>
              <w:autoSpaceDE w:val="0"/>
              <w:autoSpaceDN w:val="0"/>
              <w:adjustRightInd w:val="0"/>
              <w:rPr>
                <w:rFonts w:eastAsia="Calibri"/>
                <w:b/>
                <w:color w:val="000000"/>
                <w:sz w:val="22"/>
              </w:rPr>
            </w:pPr>
            <w:r w:rsidRPr="00B75FD7">
              <w:rPr>
                <w:rFonts w:eastAsia="Calibri"/>
                <w:b/>
                <w:color w:val="000000"/>
                <w:sz w:val="22"/>
              </w:rPr>
              <w:t>Очікувані кількісні результати від реалізації проекту  (індикатори)</w:t>
            </w:r>
          </w:p>
        </w:tc>
        <w:tc>
          <w:tcPr>
            <w:tcW w:w="3117" w:type="dxa"/>
            <w:gridSpan w:val="3"/>
            <w:tcBorders>
              <w:top w:val="single" w:sz="6" w:space="0" w:color="auto"/>
              <w:left w:val="single" w:sz="6" w:space="0" w:color="auto"/>
              <w:bottom w:val="single" w:sz="6" w:space="0" w:color="auto"/>
              <w:right w:val="single" w:sz="6" w:space="0" w:color="auto"/>
            </w:tcBorders>
          </w:tcPr>
          <w:p w:rsidR="005057AD" w:rsidRPr="00B75FD7" w:rsidRDefault="005057AD" w:rsidP="005057AD">
            <w:pPr>
              <w:autoSpaceDE w:val="0"/>
              <w:autoSpaceDN w:val="0"/>
              <w:adjustRightInd w:val="0"/>
              <w:jc w:val="center"/>
              <w:rPr>
                <w:rFonts w:eastAsia="Calibri"/>
                <w:b/>
                <w:sz w:val="22"/>
              </w:rPr>
            </w:pPr>
            <w:r w:rsidRPr="00B75FD7">
              <w:rPr>
                <w:rFonts w:eastAsia="Calibri"/>
                <w:b/>
                <w:sz w:val="22"/>
              </w:rPr>
              <w:t>Найменування показника</w:t>
            </w:r>
          </w:p>
          <w:p w:rsidR="005057AD" w:rsidRPr="00B75FD7" w:rsidRDefault="005057AD" w:rsidP="005057AD">
            <w:pPr>
              <w:autoSpaceDE w:val="0"/>
              <w:autoSpaceDN w:val="0"/>
              <w:adjustRightInd w:val="0"/>
              <w:rPr>
                <w:sz w:val="22"/>
              </w:rPr>
            </w:pPr>
          </w:p>
          <w:p w:rsidR="005057AD" w:rsidRPr="00B75FD7" w:rsidRDefault="005057AD" w:rsidP="005057AD">
            <w:pPr>
              <w:shd w:val="clear" w:color="auto" w:fill="FFFFFF"/>
              <w:spacing w:after="75"/>
              <w:ind w:right="300"/>
              <w:rPr>
                <w:rFonts w:eastAsia="Calibri"/>
                <w:sz w:val="22"/>
              </w:rPr>
            </w:pPr>
          </w:p>
        </w:tc>
        <w:tc>
          <w:tcPr>
            <w:tcW w:w="1365" w:type="dxa"/>
            <w:gridSpan w:val="2"/>
            <w:tcBorders>
              <w:top w:val="single" w:sz="6" w:space="0" w:color="auto"/>
              <w:left w:val="single" w:sz="6" w:space="0" w:color="auto"/>
              <w:bottom w:val="single" w:sz="6" w:space="0" w:color="auto"/>
              <w:right w:val="single" w:sz="6" w:space="0" w:color="auto"/>
            </w:tcBorders>
          </w:tcPr>
          <w:p w:rsidR="005057AD" w:rsidRPr="00B75FD7" w:rsidRDefault="005057AD" w:rsidP="005057AD">
            <w:pPr>
              <w:autoSpaceDE w:val="0"/>
              <w:autoSpaceDN w:val="0"/>
              <w:adjustRightInd w:val="0"/>
              <w:jc w:val="center"/>
              <w:rPr>
                <w:rFonts w:eastAsia="Calibri"/>
                <w:b/>
                <w:sz w:val="22"/>
              </w:rPr>
            </w:pPr>
            <w:r w:rsidRPr="00B75FD7">
              <w:rPr>
                <w:rFonts w:eastAsia="Calibri"/>
                <w:b/>
                <w:sz w:val="22"/>
              </w:rPr>
              <w:t>Одиниця вимірювання</w:t>
            </w:r>
          </w:p>
          <w:p w:rsidR="005057AD" w:rsidRPr="00B75FD7" w:rsidRDefault="005057AD" w:rsidP="005057AD">
            <w:pPr>
              <w:rPr>
                <w:rFonts w:eastAsia="Calibri"/>
                <w:sz w:val="22"/>
              </w:rPr>
            </w:pPr>
          </w:p>
        </w:tc>
        <w:tc>
          <w:tcPr>
            <w:tcW w:w="2464" w:type="dxa"/>
            <w:gridSpan w:val="2"/>
            <w:tcBorders>
              <w:top w:val="single" w:sz="6" w:space="0" w:color="auto"/>
              <w:left w:val="single" w:sz="6" w:space="0" w:color="auto"/>
              <w:bottom w:val="single" w:sz="6" w:space="0" w:color="auto"/>
              <w:right w:val="single" w:sz="6" w:space="0" w:color="auto"/>
            </w:tcBorders>
          </w:tcPr>
          <w:p w:rsidR="005057AD" w:rsidRPr="00B75FD7" w:rsidRDefault="005057AD" w:rsidP="005057AD">
            <w:pPr>
              <w:autoSpaceDE w:val="0"/>
              <w:autoSpaceDN w:val="0"/>
              <w:adjustRightInd w:val="0"/>
              <w:jc w:val="center"/>
              <w:rPr>
                <w:rFonts w:eastAsia="Calibri"/>
                <w:b/>
                <w:sz w:val="22"/>
              </w:rPr>
            </w:pPr>
            <w:r w:rsidRPr="00B75FD7">
              <w:rPr>
                <w:rFonts w:eastAsia="Calibri"/>
                <w:b/>
                <w:sz w:val="22"/>
              </w:rPr>
              <w:t>Прогнозне (цільове) значення</w:t>
            </w:r>
          </w:p>
          <w:p w:rsidR="005057AD" w:rsidRPr="00B75FD7" w:rsidRDefault="005057AD" w:rsidP="005057AD">
            <w:pPr>
              <w:autoSpaceDE w:val="0"/>
              <w:autoSpaceDN w:val="0"/>
              <w:adjustRightInd w:val="0"/>
              <w:jc w:val="center"/>
              <w:rPr>
                <w:rFonts w:eastAsia="Calibri"/>
                <w:b/>
                <w:sz w:val="22"/>
              </w:rPr>
            </w:pPr>
          </w:p>
        </w:tc>
      </w:tr>
      <w:tr w:rsidR="005057AD" w:rsidRPr="00B75FD7" w:rsidTr="005057AD">
        <w:trPr>
          <w:trHeight w:val="284"/>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57AD" w:rsidRPr="00B75FD7" w:rsidRDefault="005057AD" w:rsidP="005057AD">
            <w:pPr>
              <w:autoSpaceDE w:val="0"/>
              <w:autoSpaceDN w:val="0"/>
              <w:adjustRightInd w:val="0"/>
              <w:jc w:val="right"/>
              <w:rPr>
                <w:rFonts w:eastAsia="Calibri"/>
                <w:b/>
                <w:color w:val="000000"/>
                <w:sz w:val="22"/>
              </w:rPr>
            </w:pPr>
          </w:p>
        </w:tc>
        <w:tc>
          <w:tcPr>
            <w:tcW w:w="3117" w:type="dxa"/>
            <w:gridSpan w:val="3"/>
            <w:tcBorders>
              <w:top w:val="single" w:sz="6" w:space="0" w:color="auto"/>
              <w:left w:val="single" w:sz="6" w:space="0" w:color="auto"/>
              <w:bottom w:val="single" w:sz="6" w:space="0" w:color="auto"/>
              <w:right w:val="single" w:sz="6" w:space="0" w:color="auto"/>
            </w:tcBorders>
          </w:tcPr>
          <w:p w:rsidR="005057AD" w:rsidRPr="00B75FD7" w:rsidRDefault="005057AD" w:rsidP="005057AD">
            <w:pPr>
              <w:shd w:val="clear" w:color="auto" w:fill="FFFFFF"/>
              <w:spacing w:after="75"/>
              <w:ind w:right="300"/>
              <w:rPr>
                <w:rFonts w:eastAsia="Calibri"/>
                <w:sz w:val="22"/>
              </w:rPr>
            </w:pPr>
            <w:r w:rsidRPr="00B75FD7">
              <w:rPr>
                <w:sz w:val="22"/>
              </w:rPr>
              <w:t>Кількість осіб, які звернулись за послугами протягом  року</w:t>
            </w:r>
          </w:p>
        </w:tc>
        <w:tc>
          <w:tcPr>
            <w:tcW w:w="1365" w:type="dxa"/>
            <w:gridSpan w:val="2"/>
            <w:tcBorders>
              <w:top w:val="single" w:sz="6" w:space="0" w:color="auto"/>
              <w:left w:val="single" w:sz="6" w:space="0" w:color="auto"/>
              <w:bottom w:val="single" w:sz="6" w:space="0" w:color="auto"/>
              <w:right w:val="single" w:sz="6" w:space="0" w:color="auto"/>
            </w:tcBorders>
          </w:tcPr>
          <w:p w:rsidR="005057AD" w:rsidRPr="00B75FD7" w:rsidRDefault="005057AD" w:rsidP="005057AD">
            <w:pPr>
              <w:rPr>
                <w:rFonts w:eastAsia="Calibri"/>
                <w:sz w:val="22"/>
              </w:rPr>
            </w:pPr>
          </w:p>
          <w:p w:rsidR="005057AD" w:rsidRPr="00B75FD7" w:rsidRDefault="005057AD" w:rsidP="005057AD">
            <w:pPr>
              <w:rPr>
                <w:rFonts w:eastAsia="Calibri"/>
                <w:sz w:val="22"/>
              </w:rPr>
            </w:pPr>
            <w:r w:rsidRPr="00B75FD7">
              <w:rPr>
                <w:rFonts w:eastAsia="Calibri"/>
                <w:sz w:val="22"/>
              </w:rPr>
              <w:t>осіб</w:t>
            </w:r>
          </w:p>
          <w:p w:rsidR="005057AD" w:rsidRPr="00B75FD7" w:rsidRDefault="005057AD" w:rsidP="005057AD">
            <w:pPr>
              <w:autoSpaceDE w:val="0"/>
              <w:autoSpaceDN w:val="0"/>
              <w:adjustRightInd w:val="0"/>
              <w:jc w:val="right"/>
              <w:rPr>
                <w:rFonts w:eastAsia="Calibri"/>
                <w:sz w:val="22"/>
              </w:rPr>
            </w:pPr>
          </w:p>
        </w:tc>
        <w:tc>
          <w:tcPr>
            <w:tcW w:w="2464" w:type="dxa"/>
            <w:gridSpan w:val="2"/>
            <w:tcBorders>
              <w:top w:val="single" w:sz="6" w:space="0" w:color="auto"/>
              <w:left w:val="single" w:sz="6" w:space="0" w:color="auto"/>
              <w:bottom w:val="single" w:sz="6" w:space="0" w:color="auto"/>
              <w:right w:val="single" w:sz="6" w:space="0" w:color="auto"/>
            </w:tcBorders>
          </w:tcPr>
          <w:p w:rsidR="005057AD" w:rsidRPr="00B75FD7" w:rsidRDefault="005057AD" w:rsidP="005057AD">
            <w:pPr>
              <w:autoSpaceDE w:val="0"/>
              <w:autoSpaceDN w:val="0"/>
              <w:adjustRightInd w:val="0"/>
              <w:jc w:val="center"/>
              <w:rPr>
                <w:rFonts w:eastAsia="Calibri"/>
                <w:sz w:val="22"/>
              </w:rPr>
            </w:pPr>
          </w:p>
          <w:p w:rsidR="005057AD" w:rsidRPr="00B75FD7" w:rsidRDefault="005057AD" w:rsidP="005057AD">
            <w:pPr>
              <w:autoSpaceDE w:val="0"/>
              <w:autoSpaceDN w:val="0"/>
              <w:adjustRightInd w:val="0"/>
              <w:jc w:val="center"/>
              <w:rPr>
                <w:rFonts w:eastAsia="Calibri"/>
                <w:sz w:val="22"/>
              </w:rPr>
            </w:pPr>
            <w:r w:rsidRPr="00B75FD7">
              <w:rPr>
                <w:rFonts w:eastAsia="Calibri"/>
                <w:sz w:val="22"/>
              </w:rPr>
              <w:t>20-50</w:t>
            </w:r>
          </w:p>
        </w:tc>
      </w:tr>
      <w:tr w:rsidR="005057AD" w:rsidRPr="00B75FD7" w:rsidTr="00524B2F">
        <w:trPr>
          <w:trHeight w:val="2161"/>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57AD" w:rsidRPr="00B75FD7" w:rsidRDefault="005057AD" w:rsidP="005057AD">
            <w:pPr>
              <w:autoSpaceDE w:val="0"/>
              <w:autoSpaceDN w:val="0"/>
              <w:adjustRightInd w:val="0"/>
              <w:rPr>
                <w:rFonts w:eastAsia="Calibri"/>
                <w:b/>
                <w:color w:val="000000"/>
                <w:sz w:val="22"/>
              </w:rPr>
            </w:pPr>
            <w:r w:rsidRPr="00B75FD7">
              <w:rPr>
                <w:rFonts w:eastAsia="Calibri"/>
                <w:b/>
                <w:color w:val="000000"/>
                <w:sz w:val="22"/>
              </w:rPr>
              <w:t>Ключові заходи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5057AD" w:rsidRPr="00B75FD7" w:rsidRDefault="005057AD" w:rsidP="005057AD">
            <w:pPr>
              <w:tabs>
                <w:tab w:val="left" w:pos="301"/>
              </w:tabs>
              <w:spacing w:line="276" w:lineRule="auto"/>
              <w:contextualSpacing/>
              <w:rPr>
                <w:sz w:val="22"/>
              </w:rPr>
            </w:pPr>
            <w:r w:rsidRPr="00B75FD7">
              <w:rPr>
                <w:sz w:val="22"/>
              </w:rPr>
              <w:t xml:space="preserve">- виготовлення </w:t>
            </w:r>
            <w:proofErr w:type="spellStart"/>
            <w:r w:rsidRPr="00B75FD7">
              <w:rPr>
                <w:sz w:val="22"/>
              </w:rPr>
              <w:t>проєктно</w:t>
            </w:r>
            <w:proofErr w:type="spellEnd"/>
            <w:r w:rsidRPr="00B75FD7">
              <w:rPr>
                <w:sz w:val="22"/>
              </w:rPr>
              <w:t>-кошторисної документації;</w:t>
            </w:r>
          </w:p>
          <w:p w:rsidR="005057AD" w:rsidRPr="00B75FD7" w:rsidRDefault="005057AD" w:rsidP="005057AD">
            <w:pPr>
              <w:tabs>
                <w:tab w:val="left" w:pos="301"/>
              </w:tabs>
              <w:spacing w:line="276" w:lineRule="auto"/>
              <w:contextualSpacing/>
              <w:rPr>
                <w:sz w:val="22"/>
              </w:rPr>
            </w:pPr>
            <w:r w:rsidRPr="00B75FD7">
              <w:rPr>
                <w:sz w:val="22"/>
              </w:rPr>
              <w:t xml:space="preserve">- здійснення експертизи </w:t>
            </w:r>
            <w:proofErr w:type="spellStart"/>
            <w:r w:rsidRPr="00B75FD7">
              <w:rPr>
                <w:sz w:val="22"/>
              </w:rPr>
              <w:t>проєктно</w:t>
            </w:r>
            <w:proofErr w:type="spellEnd"/>
            <w:r w:rsidRPr="00B75FD7">
              <w:rPr>
                <w:sz w:val="22"/>
              </w:rPr>
              <w:t>-кошторисної документації;</w:t>
            </w:r>
          </w:p>
          <w:p w:rsidR="005057AD" w:rsidRPr="00B75FD7" w:rsidRDefault="005057AD" w:rsidP="005057AD">
            <w:pPr>
              <w:rPr>
                <w:i/>
                <w:sz w:val="22"/>
              </w:rPr>
            </w:pPr>
            <w:r w:rsidRPr="00B75FD7">
              <w:rPr>
                <w:sz w:val="22"/>
              </w:rPr>
              <w:t xml:space="preserve">- здійснення технічного нагляду </w:t>
            </w:r>
            <w:r w:rsidRPr="00B75FD7">
              <w:rPr>
                <w:rStyle w:val="afd"/>
                <w:i w:val="0"/>
                <w:sz w:val="22"/>
              </w:rPr>
              <w:t>- конструкція залізобетонна цільна загальною внутрішньою площею</w:t>
            </w:r>
            <w:r w:rsidR="00E242A5" w:rsidRPr="00B75FD7">
              <w:rPr>
                <w:rStyle w:val="afd"/>
                <w:i w:val="0"/>
                <w:sz w:val="22"/>
              </w:rPr>
              <w:t>;</w:t>
            </w:r>
            <w:r w:rsidRPr="00B75FD7">
              <w:rPr>
                <w:rStyle w:val="afd"/>
                <w:i w:val="0"/>
                <w:sz w:val="22"/>
              </w:rPr>
              <w:t xml:space="preserve"> </w:t>
            </w:r>
          </w:p>
          <w:p w:rsidR="005057AD" w:rsidRPr="00B75FD7" w:rsidRDefault="005057AD" w:rsidP="005057AD">
            <w:pPr>
              <w:rPr>
                <w:sz w:val="22"/>
              </w:rPr>
            </w:pPr>
            <w:r w:rsidRPr="00B75FD7">
              <w:rPr>
                <w:rStyle w:val="afd"/>
                <w:i w:val="0"/>
                <w:sz w:val="22"/>
              </w:rPr>
              <w:t>- повна місткість від 20-50 дітей із комфортними умовами</w:t>
            </w:r>
            <w:r w:rsidR="00E242A5" w:rsidRPr="00B75FD7">
              <w:rPr>
                <w:rStyle w:val="afd"/>
                <w:i w:val="0"/>
                <w:sz w:val="22"/>
              </w:rPr>
              <w:t>;</w:t>
            </w:r>
          </w:p>
          <w:p w:rsidR="005057AD" w:rsidRPr="00B75FD7" w:rsidRDefault="005057AD" w:rsidP="005057AD">
            <w:pPr>
              <w:rPr>
                <w:i/>
                <w:sz w:val="22"/>
              </w:rPr>
            </w:pPr>
            <w:r w:rsidRPr="00B75FD7">
              <w:rPr>
                <w:rStyle w:val="afd"/>
                <w:i w:val="0"/>
                <w:sz w:val="22"/>
              </w:rPr>
              <w:t xml:space="preserve">- облаштування герметичними </w:t>
            </w:r>
            <w:proofErr w:type="spellStart"/>
            <w:r w:rsidRPr="00B75FD7">
              <w:rPr>
                <w:rStyle w:val="afd"/>
                <w:i w:val="0"/>
                <w:sz w:val="22"/>
              </w:rPr>
              <w:t>противибуховими</w:t>
            </w:r>
            <w:proofErr w:type="spellEnd"/>
            <w:r w:rsidRPr="00B75FD7">
              <w:rPr>
                <w:rStyle w:val="afd"/>
                <w:i w:val="0"/>
                <w:sz w:val="22"/>
              </w:rPr>
              <w:t xml:space="preserve"> дверима</w:t>
            </w:r>
            <w:r w:rsidR="00E242A5" w:rsidRPr="00B75FD7">
              <w:rPr>
                <w:rStyle w:val="afd"/>
                <w:i w:val="0"/>
                <w:sz w:val="22"/>
              </w:rPr>
              <w:t>;</w:t>
            </w:r>
          </w:p>
          <w:p w:rsidR="005057AD" w:rsidRPr="00B75FD7" w:rsidRDefault="005057AD" w:rsidP="005057AD">
            <w:pPr>
              <w:rPr>
                <w:i/>
                <w:sz w:val="22"/>
              </w:rPr>
            </w:pPr>
            <w:r w:rsidRPr="00B75FD7">
              <w:rPr>
                <w:rStyle w:val="afd"/>
                <w:i w:val="0"/>
                <w:sz w:val="22"/>
              </w:rPr>
              <w:t>- облаштування автоматичної вентиляції  з можливістю роботи в механічному режимі</w:t>
            </w:r>
            <w:r w:rsidR="00E242A5" w:rsidRPr="00B75FD7">
              <w:rPr>
                <w:rStyle w:val="afd"/>
                <w:i w:val="0"/>
                <w:sz w:val="22"/>
              </w:rPr>
              <w:t>;</w:t>
            </w:r>
          </w:p>
          <w:p w:rsidR="005057AD" w:rsidRPr="00B75FD7" w:rsidRDefault="005057AD" w:rsidP="005057AD">
            <w:pPr>
              <w:rPr>
                <w:i/>
                <w:sz w:val="22"/>
              </w:rPr>
            </w:pPr>
            <w:r w:rsidRPr="00B75FD7">
              <w:rPr>
                <w:rStyle w:val="afd"/>
                <w:i w:val="0"/>
                <w:sz w:val="22"/>
              </w:rPr>
              <w:t xml:space="preserve">- </w:t>
            </w:r>
            <w:proofErr w:type="spellStart"/>
            <w:r w:rsidRPr="00B75FD7">
              <w:rPr>
                <w:rStyle w:val="afd"/>
                <w:i w:val="0"/>
                <w:sz w:val="22"/>
              </w:rPr>
              <w:t>облаштовання</w:t>
            </w:r>
            <w:proofErr w:type="spellEnd"/>
            <w:r w:rsidRPr="00B75FD7">
              <w:rPr>
                <w:rStyle w:val="afd"/>
                <w:i w:val="0"/>
                <w:sz w:val="22"/>
              </w:rPr>
              <w:t xml:space="preserve"> </w:t>
            </w:r>
            <w:proofErr w:type="spellStart"/>
            <w:r w:rsidRPr="00B75FD7">
              <w:rPr>
                <w:rStyle w:val="afd"/>
                <w:i w:val="0"/>
                <w:sz w:val="22"/>
              </w:rPr>
              <w:t>санвузолів</w:t>
            </w:r>
            <w:proofErr w:type="spellEnd"/>
            <w:r w:rsidRPr="00B75FD7">
              <w:rPr>
                <w:rStyle w:val="afd"/>
                <w:i w:val="0"/>
                <w:sz w:val="22"/>
              </w:rPr>
              <w:t xml:space="preserve">  та вмивальників</w:t>
            </w:r>
            <w:r w:rsidR="00E242A5" w:rsidRPr="00B75FD7">
              <w:rPr>
                <w:rStyle w:val="afd"/>
                <w:i w:val="0"/>
                <w:sz w:val="22"/>
              </w:rPr>
              <w:t>;</w:t>
            </w:r>
          </w:p>
          <w:p w:rsidR="005057AD" w:rsidRPr="00B75FD7" w:rsidRDefault="005057AD" w:rsidP="005057AD">
            <w:pPr>
              <w:rPr>
                <w:i/>
                <w:sz w:val="22"/>
              </w:rPr>
            </w:pPr>
            <w:r w:rsidRPr="00B75FD7">
              <w:rPr>
                <w:rStyle w:val="afd"/>
                <w:i w:val="0"/>
                <w:sz w:val="22"/>
              </w:rPr>
              <w:t>- облаштування повздовжніми лавками та додатковими відкидними нарами другого ярусу</w:t>
            </w:r>
            <w:r w:rsidR="00E242A5" w:rsidRPr="00B75FD7">
              <w:rPr>
                <w:rStyle w:val="afd"/>
                <w:i w:val="0"/>
                <w:sz w:val="22"/>
              </w:rPr>
              <w:t>;</w:t>
            </w:r>
          </w:p>
          <w:p w:rsidR="005057AD" w:rsidRPr="00B75FD7" w:rsidRDefault="005057AD" w:rsidP="005057AD">
            <w:pPr>
              <w:rPr>
                <w:i/>
                <w:sz w:val="22"/>
              </w:rPr>
            </w:pPr>
            <w:r w:rsidRPr="00B75FD7">
              <w:rPr>
                <w:rStyle w:val="afd"/>
                <w:i w:val="0"/>
                <w:sz w:val="22"/>
              </w:rPr>
              <w:t>- освітлення і електрозабезпечення основне від існуючих мереж і резервне в якості місця для ДЕС або безперебійного джерела живлення</w:t>
            </w:r>
            <w:r w:rsidR="00E242A5" w:rsidRPr="00B75FD7">
              <w:rPr>
                <w:rStyle w:val="afd"/>
                <w:i w:val="0"/>
                <w:sz w:val="22"/>
              </w:rPr>
              <w:t>;</w:t>
            </w:r>
          </w:p>
          <w:p w:rsidR="005057AD" w:rsidRPr="00B75FD7" w:rsidRDefault="005057AD" w:rsidP="005057AD">
            <w:pPr>
              <w:rPr>
                <w:i/>
                <w:sz w:val="22"/>
              </w:rPr>
            </w:pPr>
            <w:r w:rsidRPr="00B75FD7">
              <w:rPr>
                <w:rStyle w:val="afd"/>
                <w:i w:val="0"/>
                <w:sz w:val="22"/>
              </w:rPr>
              <w:t>- облаштування  індивідуального місця для збереження наборів їжі та води на 48 годин</w:t>
            </w:r>
            <w:r w:rsidR="00E242A5" w:rsidRPr="00B75FD7">
              <w:rPr>
                <w:rStyle w:val="afd"/>
                <w:i w:val="0"/>
                <w:sz w:val="22"/>
              </w:rPr>
              <w:t>;</w:t>
            </w:r>
          </w:p>
          <w:p w:rsidR="005057AD" w:rsidRPr="00B75FD7" w:rsidRDefault="005057AD" w:rsidP="005057AD">
            <w:pPr>
              <w:rPr>
                <w:i/>
                <w:sz w:val="22"/>
              </w:rPr>
            </w:pPr>
            <w:r w:rsidRPr="00B75FD7">
              <w:rPr>
                <w:rStyle w:val="afd"/>
                <w:i w:val="0"/>
                <w:sz w:val="22"/>
              </w:rPr>
              <w:t>- оснащ</w:t>
            </w:r>
            <w:r w:rsidR="00E242A5" w:rsidRPr="00B75FD7">
              <w:rPr>
                <w:rStyle w:val="afd"/>
                <w:i w:val="0"/>
                <w:sz w:val="22"/>
              </w:rPr>
              <w:t>ення</w:t>
            </w:r>
            <w:r w:rsidRPr="00B75FD7">
              <w:rPr>
                <w:rStyle w:val="afd"/>
                <w:i w:val="0"/>
                <w:sz w:val="22"/>
              </w:rPr>
              <w:t xml:space="preserve"> вентиляції </w:t>
            </w:r>
            <w:proofErr w:type="spellStart"/>
            <w:r w:rsidRPr="00B75FD7">
              <w:rPr>
                <w:rStyle w:val="afd"/>
                <w:i w:val="0"/>
                <w:sz w:val="22"/>
              </w:rPr>
              <w:t>противибуховими</w:t>
            </w:r>
            <w:proofErr w:type="spellEnd"/>
            <w:r w:rsidRPr="00B75FD7">
              <w:rPr>
                <w:rStyle w:val="afd"/>
                <w:i w:val="0"/>
                <w:sz w:val="22"/>
              </w:rPr>
              <w:t xml:space="preserve"> клапанами надмірного тиску вибухової хвилі</w:t>
            </w:r>
            <w:r w:rsidR="00E242A5" w:rsidRPr="00B75FD7">
              <w:rPr>
                <w:rStyle w:val="afd"/>
                <w:i w:val="0"/>
                <w:sz w:val="22"/>
              </w:rPr>
              <w:t>;</w:t>
            </w:r>
          </w:p>
          <w:p w:rsidR="005057AD" w:rsidRPr="00B75FD7" w:rsidRDefault="005057AD" w:rsidP="005057AD">
            <w:pPr>
              <w:rPr>
                <w:i/>
                <w:sz w:val="22"/>
              </w:rPr>
            </w:pPr>
            <w:r w:rsidRPr="00B75FD7">
              <w:rPr>
                <w:rStyle w:val="afd"/>
                <w:i w:val="0"/>
                <w:sz w:val="22"/>
              </w:rPr>
              <w:t>- оздоблення приміщення інтернетом та   телевізором для психологічно комфортного перебування вихованців Ясел – садка №24.</w:t>
            </w:r>
          </w:p>
          <w:p w:rsidR="005057AD" w:rsidRPr="00B75FD7" w:rsidRDefault="005057AD" w:rsidP="005057AD">
            <w:pPr>
              <w:autoSpaceDE w:val="0"/>
              <w:autoSpaceDN w:val="0"/>
              <w:adjustRightInd w:val="0"/>
              <w:jc w:val="right"/>
              <w:rPr>
                <w:rFonts w:eastAsia="Calibri"/>
                <w:sz w:val="22"/>
              </w:rPr>
            </w:pPr>
          </w:p>
        </w:tc>
      </w:tr>
      <w:tr w:rsidR="00524B2F" w:rsidRPr="00B75FD7" w:rsidTr="00524B2F">
        <w:trPr>
          <w:trHeight w:val="506"/>
        </w:trPr>
        <w:tc>
          <w:tcPr>
            <w:tcW w:w="2865" w:type="dxa"/>
            <w:vMerge w:val="restart"/>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24B2F" w:rsidRPr="00B75FD7" w:rsidRDefault="00524B2F" w:rsidP="005057AD">
            <w:pPr>
              <w:autoSpaceDE w:val="0"/>
              <w:autoSpaceDN w:val="0"/>
              <w:adjustRightInd w:val="0"/>
              <w:rPr>
                <w:rFonts w:eastAsia="Calibri"/>
                <w:b/>
                <w:color w:val="000000"/>
                <w:sz w:val="22"/>
              </w:rPr>
            </w:pPr>
            <w:r w:rsidRPr="00B75FD7">
              <w:rPr>
                <w:rFonts w:eastAsia="Calibri"/>
                <w:b/>
                <w:color w:val="000000"/>
                <w:sz w:val="22"/>
              </w:rPr>
              <w:t>Орієнтовний обсяг та джерела фінансування тис. гривень</w:t>
            </w:r>
          </w:p>
        </w:tc>
        <w:tc>
          <w:tcPr>
            <w:tcW w:w="934" w:type="dxa"/>
            <w:vMerge w:val="restart"/>
            <w:tcBorders>
              <w:top w:val="single" w:sz="6" w:space="0" w:color="auto"/>
              <w:left w:val="single" w:sz="6" w:space="0" w:color="auto"/>
              <w:right w:val="single" w:sz="6" w:space="0" w:color="auto"/>
            </w:tcBorders>
          </w:tcPr>
          <w:p w:rsidR="00524B2F" w:rsidRPr="00B75FD7" w:rsidRDefault="00524B2F" w:rsidP="005057AD">
            <w:pPr>
              <w:autoSpaceDE w:val="0"/>
              <w:autoSpaceDN w:val="0"/>
              <w:adjustRightInd w:val="0"/>
              <w:rPr>
                <w:rFonts w:eastAsia="Calibri"/>
                <w:sz w:val="22"/>
              </w:rPr>
            </w:pPr>
            <w:r w:rsidRPr="00B75FD7">
              <w:rPr>
                <w:rFonts w:eastAsia="Calibri"/>
                <w:sz w:val="22"/>
              </w:rPr>
              <w:t>Державний бюджет</w:t>
            </w:r>
          </w:p>
        </w:tc>
        <w:tc>
          <w:tcPr>
            <w:tcW w:w="1228" w:type="dxa"/>
            <w:vMerge w:val="restart"/>
            <w:tcBorders>
              <w:top w:val="single" w:sz="6" w:space="0" w:color="auto"/>
              <w:left w:val="single" w:sz="6" w:space="0" w:color="auto"/>
              <w:right w:val="single" w:sz="6" w:space="0" w:color="auto"/>
            </w:tcBorders>
          </w:tcPr>
          <w:p w:rsidR="00524B2F" w:rsidRPr="00B75FD7" w:rsidRDefault="00524B2F" w:rsidP="00524B2F">
            <w:pPr>
              <w:autoSpaceDE w:val="0"/>
              <w:autoSpaceDN w:val="0"/>
              <w:adjustRightInd w:val="0"/>
              <w:jc w:val="center"/>
              <w:rPr>
                <w:rFonts w:eastAsia="Calibri"/>
                <w:sz w:val="22"/>
              </w:rPr>
            </w:pPr>
            <w:r w:rsidRPr="00B75FD7">
              <w:rPr>
                <w:rFonts w:eastAsia="Calibri"/>
                <w:sz w:val="22"/>
              </w:rPr>
              <w:t>Місцевий бюджет</w:t>
            </w:r>
          </w:p>
        </w:tc>
        <w:tc>
          <w:tcPr>
            <w:tcW w:w="3508" w:type="dxa"/>
            <w:gridSpan w:val="4"/>
            <w:tcBorders>
              <w:top w:val="single" w:sz="6" w:space="0" w:color="auto"/>
              <w:left w:val="single" w:sz="6" w:space="0" w:color="auto"/>
              <w:bottom w:val="single" w:sz="6" w:space="0" w:color="auto"/>
              <w:right w:val="single" w:sz="6" w:space="0" w:color="auto"/>
            </w:tcBorders>
          </w:tcPr>
          <w:p w:rsidR="00524B2F" w:rsidRPr="00B75FD7" w:rsidRDefault="00524B2F" w:rsidP="005057AD">
            <w:pPr>
              <w:autoSpaceDE w:val="0"/>
              <w:autoSpaceDN w:val="0"/>
              <w:adjustRightInd w:val="0"/>
              <w:jc w:val="center"/>
              <w:rPr>
                <w:rFonts w:eastAsia="Calibri"/>
                <w:sz w:val="22"/>
              </w:rPr>
            </w:pPr>
            <w:r w:rsidRPr="00B75FD7">
              <w:rPr>
                <w:rFonts w:eastAsia="Calibri"/>
                <w:sz w:val="22"/>
              </w:rPr>
              <w:t>Інші джерела</w:t>
            </w:r>
          </w:p>
        </w:tc>
        <w:tc>
          <w:tcPr>
            <w:tcW w:w="1276" w:type="dxa"/>
            <w:vMerge w:val="restart"/>
            <w:tcBorders>
              <w:top w:val="single" w:sz="6" w:space="0" w:color="auto"/>
              <w:left w:val="single" w:sz="6" w:space="0" w:color="auto"/>
              <w:right w:val="single" w:sz="6" w:space="0" w:color="auto"/>
            </w:tcBorders>
          </w:tcPr>
          <w:p w:rsidR="00524B2F" w:rsidRPr="00B75FD7" w:rsidRDefault="00524B2F" w:rsidP="005057AD">
            <w:pPr>
              <w:autoSpaceDE w:val="0"/>
              <w:autoSpaceDN w:val="0"/>
              <w:adjustRightInd w:val="0"/>
              <w:jc w:val="center"/>
              <w:rPr>
                <w:rFonts w:eastAsia="Calibri"/>
                <w:sz w:val="22"/>
              </w:rPr>
            </w:pPr>
            <w:r w:rsidRPr="00B75FD7">
              <w:rPr>
                <w:rFonts w:eastAsia="Calibri"/>
                <w:sz w:val="22"/>
              </w:rPr>
              <w:t>Всього</w:t>
            </w:r>
          </w:p>
          <w:p w:rsidR="00524B2F" w:rsidRPr="00B75FD7" w:rsidRDefault="00524B2F" w:rsidP="005057AD">
            <w:pPr>
              <w:autoSpaceDE w:val="0"/>
              <w:autoSpaceDN w:val="0"/>
              <w:adjustRightInd w:val="0"/>
              <w:jc w:val="right"/>
              <w:rPr>
                <w:rFonts w:eastAsia="Calibri"/>
                <w:sz w:val="22"/>
              </w:rPr>
            </w:pPr>
          </w:p>
          <w:p w:rsidR="00524B2F" w:rsidRPr="00B75FD7" w:rsidRDefault="00524B2F" w:rsidP="005057AD">
            <w:pPr>
              <w:autoSpaceDE w:val="0"/>
              <w:autoSpaceDN w:val="0"/>
              <w:adjustRightInd w:val="0"/>
              <w:jc w:val="right"/>
              <w:rPr>
                <w:rFonts w:eastAsia="Calibri"/>
                <w:b/>
                <w:sz w:val="22"/>
              </w:rPr>
            </w:pPr>
          </w:p>
        </w:tc>
      </w:tr>
      <w:tr w:rsidR="00524B2F" w:rsidRPr="00B75FD7" w:rsidTr="00524B2F">
        <w:trPr>
          <w:trHeight w:val="43"/>
        </w:trPr>
        <w:tc>
          <w:tcPr>
            <w:tcW w:w="2865" w:type="dxa"/>
            <w:vMerge/>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24B2F" w:rsidRPr="00B75FD7" w:rsidRDefault="00524B2F" w:rsidP="005057AD">
            <w:pPr>
              <w:autoSpaceDE w:val="0"/>
              <w:autoSpaceDN w:val="0"/>
              <w:adjustRightInd w:val="0"/>
              <w:rPr>
                <w:rFonts w:eastAsia="Calibri"/>
                <w:b/>
                <w:color w:val="000000"/>
                <w:sz w:val="22"/>
              </w:rPr>
            </w:pPr>
          </w:p>
        </w:tc>
        <w:tc>
          <w:tcPr>
            <w:tcW w:w="934" w:type="dxa"/>
            <w:vMerge/>
            <w:tcBorders>
              <w:left w:val="single" w:sz="6" w:space="0" w:color="auto"/>
              <w:bottom w:val="single" w:sz="6" w:space="0" w:color="auto"/>
              <w:right w:val="single" w:sz="6" w:space="0" w:color="auto"/>
            </w:tcBorders>
          </w:tcPr>
          <w:p w:rsidR="00524B2F" w:rsidRPr="00B75FD7" w:rsidRDefault="00524B2F" w:rsidP="005057AD">
            <w:pPr>
              <w:autoSpaceDE w:val="0"/>
              <w:autoSpaceDN w:val="0"/>
              <w:adjustRightInd w:val="0"/>
              <w:jc w:val="right"/>
              <w:rPr>
                <w:rFonts w:eastAsia="Calibri"/>
                <w:color w:val="FF0000"/>
                <w:sz w:val="22"/>
              </w:rPr>
            </w:pPr>
          </w:p>
        </w:tc>
        <w:tc>
          <w:tcPr>
            <w:tcW w:w="1228" w:type="dxa"/>
            <w:vMerge/>
            <w:tcBorders>
              <w:left w:val="single" w:sz="6" w:space="0" w:color="auto"/>
              <w:bottom w:val="single" w:sz="6" w:space="0" w:color="auto"/>
              <w:right w:val="single" w:sz="6" w:space="0" w:color="auto"/>
            </w:tcBorders>
          </w:tcPr>
          <w:p w:rsidR="00524B2F" w:rsidRPr="00B75FD7" w:rsidRDefault="00524B2F" w:rsidP="005057AD">
            <w:pPr>
              <w:autoSpaceDE w:val="0"/>
              <w:autoSpaceDN w:val="0"/>
              <w:adjustRightInd w:val="0"/>
              <w:jc w:val="right"/>
              <w:rPr>
                <w:rFonts w:eastAsia="Calibri"/>
                <w:color w:val="FF0000"/>
                <w:sz w:val="22"/>
              </w:rPr>
            </w:pPr>
          </w:p>
        </w:tc>
        <w:tc>
          <w:tcPr>
            <w:tcW w:w="1091" w:type="dxa"/>
            <w:gridSpan w:val="2"/>
            <w:tcBorders>
              <w:top w:val="single" w:sz="6" w:space="0" w:color="auto"/>
              <w:left w:val="single" w:sz="6" w:space="0" w:color="auto"/>
              <w:bottom w:val="single" w:sz="6" w:space="0" w:color="auto"/>
              <w:right w:val="single" w:sz="6" w:space="0" w:color="auto"/>
            </w:tcBorders>
          </w:tcPr>
          <w:p w:rsidR="00524B2F" w:rsidRPr="00B75FD7" w:rsidRDefault="00524B2F" w:rsidP="005057AD">
            <w:pPr>
              <w:autoSpaceDE w:val="0"/>
              <w:autoSpaceDN w:val="0"/>
              <w:adjustRightInd w:val="0"/>
              <w:jc w:val="right"/>
              <w:rPr>
                <w:rFonts w:eastAsia="Calibri"/>
                <w:sz w:val="22"/>
              </w:rPr>
            </w:pPr>
          </w:p>
          <w:p w:rsidR="00524B2F" w:rsidRPr="00B75FD7" w:rsidRDefault="00524B2F" w:rsidP="005057AD">
            <w:pPr>
              <w:autoSpaceDE w:val="0"/>
              <w:autoSpaceDN w:val="0"/>
              <w:adjustRightInd w:val="0"/>
              <w:rPr>
                <w:rFonts w:eastAsia="Calibri"/>
                <w:sz w:val="22"/>
              </w:rPr>
            </w:pPr>
          </w:p>
          <w:p w:rsidR="00524B2F" w:rsidRPr="00B75FD7" w:rsidRDefault="00524B2F" w:rsidP="005057AD">
            <w:pPr>
              <w:autoSpaceDE w:val="0"/>
              <w:autoSpaceDN w:val="0"/>
              <w:adjustRightInd w:val="0"/>
              <w:jc w:val="center"/>
              <w:rPr>
                <w:rFonts w:eastAsia="Calibri"/>
                <w:sz w:val="22"/>
              </w:rPr>
            </w:pPr>
            <w:r w:rsidRPr="00B75FD7">
              <w:rPr>
                <w:rFonts w:eastAsia="Calibri"/>
                <w:sz w:val="22"/>
              </w:rPr>
              <w:t>Обсяг</w:t>
            </w:r>
          </w:p>
        </w:tc>
        <w:tc>
          <w:tcPr>
            <w:tcW w:w="2417" w:type="dxa"/>
            <w:gridSpan w:val="2"/>
            <w:tcBorders>
              <w:top w:val="single" w:sz="6" w:space="0" w:color="auto"/>
              <w:left w:val="single" w:sz="6" w:space="0" w:color="auto"/>
              <w:bottom w:val="single" w:sz="6" w:space="0" w:color="auto"/>
              <w:right w:val="single" w:sz="6" w:space="0" w:color="auto"/>
            </w:tcBorders>
          </w:tcPr>
          <w:p w:rsidR="00524B2F" w:rsidRPr="00B75FD7" w:rsidRDefault="00524B2F" w:rsidP="005057AD">
            <w:pPr>
              <w:autoSpaceDE w:val="0"/>
              <w:autoSpaceDN w:val="0"/>
              <w:adjustRightInd w:val="0"/>
              <w:jc w:val="right"/>
              <w:rPr>
                <w:rFonts w:eastAsia="Calibri"/>
                <w:sz w:val="22"/>
              </w:rPr>
            </w:pPr>
          </w:p>
          <w:p w:rsidR="00524B2F" w:rsidRPr="00B75FD7" w:rsidRDefault="00524B2F" w:rsidP="005057AD">
            <w:pPr>
              <w:autoSpaceDE w:val="0"/>
              <w:autoSpaceDN w:val="0"/>
              <w:adjustRightInd w:val="0"/>
              <w:jc w:val="right"/>
              <w:rPr>
                <w:rFonts w:eastAsia="Calibri"/>
                <w:sz w:val="22"/>
              </w:rPr>
            </w:pPr>
          </w:p>
          <w:p w:rsidR="00524B2F" w:rsidRPr="00B75FD7" w:rsidRDefault="00524B2F" w:rsidP="005057AD">
            <w:pPr>
              <w:autoSpaceDE w:val="0"/>
              <w:autoSpaceDN w:val="0"/>
              <w:adjustRightInd w:val="0"/>
              <w:jc w:val="center"/>
              <w:rPr>
                <w:rFonts w:eastAsia="Calibri"/>
                <w:sz w:val="22"/>
              </w:rPr>
            </w:pPr>
            <w:r w:rsidRPr="00B75FD7">
              <w:rPr>
                <w:rFonts w:eastAsia="Calibri"/>
                <w:sz w:val="22"/>
              </w:rPr>
              <w:t>Назва джерела</w:t>
            </w:r>
          </w:p>
        </w:tc>
        <w:tc>
          <w:tcPr>
            <w:tcW w:w="1276" w:type="dxa"/>
            <w:vMerge/>
            <w:tcBorders>
              <w:left w:val="single" w:sz="6" w:space="0" w:color="auto"/>
              <w:bottom w:val="single" w:sz="6" w:space="0" w:color="auto"/>
              <w:right w:val="single" w:sz="6" w:space="0" w:color="auto"/>
            </w:tcBorders>
          </w:tcPr>
          <w:p w:rsidR="00524B2F" w:rsidRPr="00B75FD7" w:rsidRDefault="00524B2F" w:rsidP="005057AD">
            <w:pPr>
              <w:autoSpaceDE w:val="0"/>
              <w:autoSpaceDN w:val="0"/>
              <w:adjustRightInd w:val="0"/>
              <w:jc w:val="right"/>
              <w:rPr>
                <w:rFonts w:eastAsia="Calibri"/>
                <w:color w:val="FF0000"/>
                <w:sz w:val="22"/>
              </w:rPr>
            </w:pPr>
          </w:p>
        </w:tc>
      </w:tr>
      <w:tr w:rsidR="00524B2F" w:rsidRPr="00B75FD7" w:rsidTr="00524B2F">
        <w:trPr>
          <w:trHeight w:val="293"/>
        </w:trPr>
        <w:tc>
          <w:tcPr>
            <w:tcW w:w="2865" w:type="dxa"/>
            <w:vMerge/>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57AD" w:rsidRPr="00B75FD7" w:rsidRDefault="005057AD" w:rsidP="005057AD">
            <w:pPr>
              <w:autoSpaceDE w:val="0"/>
              <w:autoSpaceDN w:val="0"/>
              <w:adjustRightInd w:val="0"/>
              <w:rPr>
                <w:rFonts w:eastAsia="Calibri"/>
                <w:b/>
                <w:color w:val="000000"/>
                <w:sz w:val="22"/>
              </w:rPr>
            </w:pPr>
          </w:p>
        </w:tc>
        <w:tc>
          <w:tcPr>
            <w:tcW w:w="934" w:type="dxa"/>
            <w:tcBorders>
              <w:top w:val="single" w:sz="6" w:space="0" w:color="auto"/>
              <w:left w:val="single" w:sz="6" w:space="0" w:color="auto"/>
              <w:bottom w:val="single" w:sz="6" w:space="0" w:color="auto"/>
              <w:right w:val="single" w:sz="6" w:space="0" w:color="auto"/>
            </w:tcBorders>
          </w:tcPr>
          <w:p w:rsidR="005057AD" w:rsidRPr="00B75FD7" w:rsidRDefault="005057AD" w:rsidP="005057AD">
            <w:pPr>
              <w:autoSpaceDE w:val="0"/>
              <w:autoSpaceDN w:val="0"/>
              <w:adjustRightInd w:val="0"/>
              <w:rPr>
                <w:rFonts w:eastAsia="Calibri"/>
                <w:sz w:val="22"/>
              </w:rPr>
            </w:pPr>
            <w:r w:rsidRPr="00B75FD7">
              <w:rPr>
                <w:rFonts w:eastAsia="Calibri"/>
                <w:sz w:val="22"/>
              </w:rPr>
              <w:t>700,0</w:t>
            </w:r>
          </w:p>
        </w:tc>
        <w:tc>
          <w:tcPr>
            <w:tcW w:w="1228" w:type="dxa"/>
            <w:tcBorders>
              <w:top w:val="single" w:sz="6" w:space="0" w:color="auto"/>
              <w:left w:val="single" w:sz="6" w:space="0" w:color="auto"/>
              <w:bottom w:val="single" w:sz="6" w:space="0" w:color="auto"/>
              <w:right w:val="single" w:sz="6" w:space="0" w:color="auto"/>
            </w:tcBorders>
          </w:tcPr>
          <w:p w:rsidR="005057AD" w:rsidRPr="00B75FD7" w:rsidRDefault="005057AD" w:rsidP="005057AD">
            <w:pPr>
              <w:autoSpaceDE w:val="0"/>
              <w:autoSpaceDN w:val="0"/>
              <w:adjustRightInd w:val="0"/>
              <w:rPr>
                <w:rFonts w:eastAsia="Calibri"/>
                <w:sz w:val="22"/>
              </w:rPr>
            </w:pPr>
          </w:p>
        </w:tc>
        <w:tc>
          <w:tcPr>
            <w:tcW w:w="1091" w:type="dxa"/>
            <w:gridSpan w:val="2"/>
            <w:tcBorders>
              <w:top w:val="single" w:sz="6" w:space="0" w:color="auto"/>
              <w:left w:val="single" w:sz="6" w:space="0" w:color="auto"/>
              <w:bottom w:val="single" w:sz="6" w:space="0" w:color="auto"/>
              <w:right w:val="single" w:sz="6" w:space="0" w:color="auto"/>
            </w:tcBorders>
          </w:tcPr>
          <w:p w:rsidR="005057AD" w:rsidRPr="00B75FD7" w:rsidRDefault="005057AD" w:rsidP="005057AD">
            <w:pPr>
              <w:autoSpaceDE w:val="0"/>
              <w:autoSpaceDN w:val="0"/>
              <w:adjustRightInd w:val="0"/>
              <w:rPr>
                <w:rFonts w:eastAsia="Calibri"/>
                <w:sz w:val="22"/>
              </w:rPr>
            </w:pPr>
            <w:r w:rsidRPr="00B75FD7">
              <w:rPr>
                <w:rFonts w:eastAsia="Calibri"/>
                <w:sz w:val="22"/>
              </w:rPr>
              <w:t>300,0</w:t>
            </w:r>
          </w:p>
        </w:tc>
        <w:tc>
          <w:tcPr>
            <w:tcW w:w="2417" w:type="dxa"/>
            <w:gridSpan w:val="2"/>
            <w:tcBorders>
              <w:top w:val="single" w:sz="6" w:space="0" w:color="auto"/>
              <w:left w:val="single" w:sz="6" w:space="0" w:color="auto"/>
              <w:bottom w:val="single" w:sz="6" w:space="0" w:color="auto"/>
              <w:right w:val="single" w:sz="6" w:space="0" w:color="auto"/>
            </w:tcBorders>
          </w:tcPr>
          <w:p w:rsidR="005057AD" w:rsidRPr="00B75FD7" w:rsidRDefault="005057AD" w:rsidP="005057AD">
            <w:pPr>
              <w:autoSpaceDE w:val="0"/>
              <w:autoSpaceDN w:val="0"/>
              <w:adjustRightInd w:val="0"/>
              <w:jc w:val="center"/>
              <w:rPr>
                <w:rFonts w:eastAsia="Calibri"/>
                <w:sz w:val="22"/>
              </w:rPr>
            </w:pPr>
            <w:r w:rsidRPr="00B75FD7">
              <w:rPr>
                <w:sz w:val="22"/>
              </w:rPr>
              <w:t>гранти, міжнародна технічна допомога, міжнародні донори та інші джерела не заборонені законодавством</w:t>
            </w:r>
          </w:p>
        </w:tc>
        <w:tc>
          <w:tcPr>
            <w:tcW w:w="1276" w:type="dxa"/>
            <w:tcBorders>
              <w:top w:val="single" w:sz="6" w:space="0" w:color="auto"/>
              <w:left w:val="single" w:sz="6" w:space="0" w:color="auto"/>
              <w:bottom w:val="single" w:sz="6" w:space="0" w:color="auto"/>
              <w:right w:val="single" w:sz="6" w:space="0" w:color="auto"/>
            </w:tcBorders>
          </w:tcPr>
          <w:p w:rsidR="005057AD" w:rsidRPr="00B75FD7" w:rsidRDefault="005057AD" w:rsidP="005057AD">
            <w:pPr>
              <w:autoSpaceDE w:val="0"/>
              <w:autoSpaceDN w:val="0"/>
              <w:adjustRightInd w:val="0"/>
              <w:rPr>
                <w:rFonts w:eastAsia="Calibri"/>
                <w:sz w:val="22"/>
              </w:rPr>
            </w:pPr>
            <w:r w:rsidRPr="00B75FD7">
              <w:rPr>
                <w:rFonts w:eastAsia="Calibri"/>
                <w:sz w:val="22"/>
              </w:rPr>
              <w:t>1 000.00</w:t>
            </w:r>
          </w:p>
          <w:p w:rsidR="005057AD" w:rsidRPr="00B75FD7" w:rsidRDefault="005057AD" w:rsidP="005057AD">
            <w:pPr>
              <w:autoSpaceDE w:val="0"/>
              <w:autoSpaceDN w:val="0"/>
              <w:adjustRightInd w:val="0"/>
              <w:jc w:val="right"/>
              <w:rPr>
                <w:rFonts w:eastAsia="Calibri"/>
                <w:color w:val="FF0000"/>
                <w:sz w:val="22"/>
              </w:rPr>
            </w:pPr>
          </w:p>
        </w:tc>
      </w:tr>
    </w:tbl>
    <w:p w:rsidR="009227F0" w:rsidRPr="00B75FD7" w:rsidRDefault="009227F0" w:rsidP="00E33AAA">
      <w:pPr>
        <w:tabs>
          <w:tab w:val="left" w:pos="5290"/>
        </w:tabs>
        <w:rPr>
          <w:b/>
          <w:sz w:val="22"/>
          <w:szCs w:val="22"/>
        </w:rPr>
      </w:pPr>
    </w:p>
    <w:p w:rsidR="009227F0" w:rsidRPr="00B75FD7" w:rsidRDefault="009227F0" w:rsidP="00E33AAA">
      <w:pPr>
        <w:tabs>
          <w:tab w:val="left" w:pos="5290"/>
        </w:tabs>
        <w:rPr>
          <w:b/>
          <w:sz w:val="22"/>
          <w:szCs w:val="22"/>
        </w:rPr>
      </w:pPr>
    </w:p>
    <w:tbl>
      <w:tblPr>
        <w:tblpPr w:leftFromText="180" w:rightFromText="180" w:vertAnchor="text" w:horzAnchor="page" w:tblpX="1" w:tblpY="123"/>
        <w:tblW w:w="11370" w:type="dxa"/>
        <w:tblLayout w:type="fixed"/>
        <w:tblCellMar>
          <w:left w:w="30" w:type="dxa"/>
          <w:right w:w="30" w:type="dxa"/>
        </w:tblCellMar>
        <w:tblLook w:val="0000" w:firstRow="0" w:lastRow="0" w:firstColumn="0" w:lastColumn="0" w:noHBand="0" w:noVBand="0"/>
      </w:tblPr>
      <w:tblGrid>
        <w:gridCol w:w="1448"/>
        <w:gridCol w:w="2830"/>
        <w:gridCol w:w="1422"/>
        <w:gridCol w:w="1276"/>
        <w:gridCol w:w="992"/>
        <w:gridCol w:w="709"/>
        <w:gridCol w:w="1418"/>
        <w:gridCol w:w="1275"/>
      </w:tblGrid>
      <w:tr w:rsidR="00524B2F" w:rsidRPr="00B75FD7" w:rsidTr="000018B2">
        <w:trPr>
          <w:trHeight w:val="555"/>
        </w:trPr>
        <w:tc>
          <w:tcPr>
            <w:tcW w:w="1448" w:type="dxa"/>
            <w:tcBorders>
              <w:top w:val="nil"/>
              <w:left w:val="nil"/>
              <w:bottom w:val="nil"/>
              <w:right w:val="nil"/>
            </w:tcBorders>
          </w:tcPr>
          <w:p w:rsidR="00524B2F" w:rsidRPr="00B75FD7" w:rsidRDefault="00524B2F" w:rsidP="00C533DF">
            <w:pPr>
              <w:rPr>
                <w:rFonts w:eastAsia="Calibri"/>
                <w:color w:val="000000"/>
                <w:sz w:val="22"/>
              </w:rPr>
            </w:pPr>
          </w:p>
        </w:tc>
        <w:tc>
          <w:tcPr>
            <w:tcW w:w="2830"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24B2F" w:rsidRPr="00B75FD7" w:rsidRDefault="00524B2F" w:rsidP="00C533DF">
            <w:pPr>
              <w:autoSpaceDE w:val="0"/>
              <w:autoSpaceDN w:val="0"/>
              <w:adjustRightInd w:val="0"/>
              <w:rPr>
                <w:rFonts w:eastAsia="Calibri"/>
                <w:b/>
                <w:color w:val="000000"/>
                <w:sz w:val="22"/>
              </w:rPr>
            </w:pPr>
            <w:r w:rsidRPr="00B75FD7">
              <w:rPr>
                <w:rFonts w:eastAsia="Calibri"/>
                <w:b/>
                <w:color w:val="000000"/>
                <w:sz w:val="22"/>
              </w:rPr>
              <w:t>Оперативна ціль/завдання</w:t>
            </w:r>
          </w:p>
        </w:tc>
        <w:tc>
          <w:tcPr>
            <w:tcW w:w="7092" w:type="dxa"/>
            <w:gridSpan w:val="6"/>
            <w:tcBorders>
              <w:top w:val="single" w:sz="6" w:space="0" w:color="auto"/>
              <w:left w:val="single" w:sz="6" w:space="0" w:color="auto"/>
              <w:bottom w:val="single" w:sz="6" w:space="0" w:color="auto"/>
              <w:right w:val="single" w:sz="6" w:space="0" w:color="auto"/>
            </w:tcBorders>
          </w:tcPr>
          <w:p w:rsidR="00524B2F" w:rsidRPr="00B75FD7" w:rsidRDefault="00524B2F" w:rsidP="00C533DF">
            <w:pPr>
              <w:autoSpaceDE w:val="0"/>
              <w:autoSpaceDN w:val="0"/>
              <w:adjustRightInd w:val="0"/>
              <w:rPr>
                <w:rFonts w:eastAsia="Calibri"/>
                <w:color w:val="000000"/>
                <w:sz w:val="22"/>
              </w:rPr>
            </w:pPr>
            <w:r w:rsidRPr="00B75FD7">
              <w:rPr>
                <w:sz w:val="22"/>
              </w:rPr>
              <w:t xml:space="preserve">Людський розвиток через інновації управління та довіру до влади. Формування сучасного інклюзивного  </w:t>
            </w:r>
            <w:proofErr w:type="spellStart"/>
            <w:r w:rsidRPr="00B75FD7">
              <w:rPr>
                <w:sz w:val="22"/>
              </w:rPr>
              <w:t>освітньо</w:t>
            </w:r>
            <w:proofErr w:type="spellEnd"/>
            <w:r w:rsidRPr="00B75FD7">
              <w:rPr>
                <w:sz w:val="22"/>
              </w:rPr>
              <w:t>-культурного та спортивного простору для розвитку.</w:t>
            </w:r>
          </w:p>
        </w:tc>
      </w:tr>
      <w:tr w:rsidR="00524B2F" w:rsidRPr="00B75FD7" w:rsidTr="000018B2">
        <w:trPr>
          <w:trHeight w:val="691"/>
        </w:trPr>
        <w:tc>
          <w:tcPr>
            <w:tcW w:w="1448" w:type="dxa"/>
            <w:tcBorders>
              <w:top w:val="nil"/>
              <w:left w:val="nil"/>
              <w:bottom w:val="nil"/>
              <w:right w:val="nil"/>
            </w:tcBorders>
          </w:tcPr>
          <w:p w:rsidR="00524B2F" w:rsidRPr="00B75FD7" w:rsidRDefault="00524B2F" w:rsidP="00C533DF">
            <w:pPr>
              <w:autoSpaceDE w:val="0"/>
              <w:autoSpaceDN w:val="0"/>
              <w:adjustRightInd w:val="0"/>
              <w:jc w:val="right"/>
              <w:rPr>
                <w:rFonts w:eastAsia="Calibri"/>
                <w:color w:val="000000"/>
                <w:sz w:val="22"/>
              </w:rPr>
            </w:pPr>
          </w:p>
        </w:tc>
        <w:tc>
          <w:tcPr>
            <w:tcW w:w="2830"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24B2F" w:rsidRPr="00B75FD7" w:rsidRDefault="00524B2F" w:rsidP="00C533DF">
            <w:pPr>
              <w:autoSpaceDE w:val="0"/>
              <w:autoSpaceDN w:val="0"/>
              <w:adjustRightInd w:val="0"/>
              <w:rPr>
                <w:rFonts w:eastAsia="Calibri"/>
                <w:b/>
                <w:color w:val="000000"/>
                <w:sz w:val="22"/>
              </w:rPr>
            </w:pPr>
            <w:r w:rsidRPr="00B75FD7">
              <w:rPr>
                <w:rFonts w:eastAsia="Calibri"/>
                <w:b/>
                <w:color w:val="000000"/>
                <w:sz w:val="22"/>
              </w:rPr>
              <w:t>Назва проекту:</w:t>
            </w:r>
          </w:p>
        </w:tc>
        <w:tc>
          <w:tcPr>
            <w:tcW w:w="7092" w:type="dxa"/>
            <w:gridSpan w:val="6"/>
            <w:tcBorders>
              <w:top w:val="single" w:sz="6" w:space="0" w:color="auto"/>
              <w:left w:val="single" w:sz="6" w:space="0" w:color="auto"/>
              <w:bottom w:val="single" w:sz="6" w:space="0" w:color="auto"/>
              <w:right w:val="single" w:sz="6" w:space="0" w:color="auto"/>
            </w:tcBorders>
          </w:tcPr>
          <w:p w:rsidR="00524B2F" w:rsidRPr="00B75FD7" w:rsidRDefault="00524B2F" w:rsidP="00C533DF">
            <w:pPr>
              <w:autoSpaceDE w:val="0"/>
              <w:autoSpaceDN w:val="0"/>
              <w:adjustRightInd w:val="0"/>
              <w:rPr>
                <w:rFonts w:eastAsia="Calibri"/>
                <w:color w:val="000000"/>
                <w:sz w:val="22"/>
              </w:rPr>
            </w:pPr>
            <w:r w:rsidRPr="00B75FD7">
              <w:rPr>
                <w:sz w:val="22"/>
              </w:rPr>
              <w:t xml:space="preserve">Відновлення діяльності  Ясел-садка №24 міста Сєвєродонецька Луганської області, за </w:t>
            </w:r>
            <w:proofErr w:type="spellStart"/>
            <w:r w:rsidRPr="00B75FD7">
              <w:rPr>
                <w:sz w:val="22"/>
              </w:rPr>
              <w:t>адресою</w:t>
            </w:r>
            <w:proofErr w:type="spellEnd"/>
            <w:r w:rsidRPr="00B75FD7">
              <w:rPr>
                <w:sz w:val="22"/>
              </w:rPr>
              <w:t xml:space="preserve">: </w:t>
            </w:r>
            <w:proofErr w:type="spellStart"/>
            <w:r w:rsidRPr="00B75FD7">
              <w:rPr>
                <w:sz w:val="22"/>
              </w:rPr>
              <w:t>вул</w:t>
            </w:r>
            <w:proofErr w:type="spellEnd"/>
            <w:r w:rsidRPr="00B75FD7">
              <w:rPr>
                <w:sz w:val="22"/>
              </w:rPr>
              <w:t xml:space="preserve"> Енергетиків, буд.15., </w:t>
            </w:r>
            <w:proofErr w:type="spellStart"/>
            <w:r w:rsidRPr="00B75FD7">
              <w:rPr>
                <w:sz w:val="22"/>
              </w:rPr>
              <w:t>м.Сєвєродонецьк</w:t>
            </w:r>
            <w:proofErr w:type="spellEnd"/>
            <w:r w:rsidRPr="00B75FD7">
              <w:rPr>
                <w:sz w:val="22"/>
              </w:rPr>
              <w:t>, Сєвєродонецького району, Луганської області.</w:t>
            </w:r>
          </w:p>
        </w:tc>
      </w:tr>
      <w:tr w:rsidR="00524B2F" w:rsidRPr="00B75FD7" w:rsidTr="000018B2">
        <w:trPr>
          <w:trHeight w:val="1109"/>
        </w:trPr>
        <w:tc>
          <w:tcPr>
            <w:tcW w:w="1448" w:type="dxa"/>
            <w:tcBorders>
              <w:top w:val="nil"/>
              <w:left w:val="nil"/>
              <w:bottom w:val="nil"/>
              <w:right w:val="nil"/>
            </w:tcBorders>
          </w:tcPr>
          <w:p w:rsidR="00524B2F" w:rsidRPr="00B75FD7" w:rsidRDefault="00524B2F" w:rsidP="00C533DF">
            <w:pPr>
              <w:autoSpaceDE w:val="0"/>
              <w:autoSpaceDN w:val="0"/>
              <w:adjustRightInd w:val="0"/>
              <w:jc w:val="right"/>
              <w:rPr>
                <w:rFonts w:eastAsia="Calibri"/>
                <w:color w:val="000000"/>
                <w:sz w:val="22"/>
              </w:rPr>
            </w:pPr>
            <w:r w:rsidRPr="00B75FD7">
              <w:rPr>
                <w:rFonts w:eastAsia="Calibri"/>
                <w:color w:val="000000"/>
                <w:sz w:val="22"/>
              </w:rPr>
              <w:lastRenderedPageBreak/>
              <w:t xml:space="preserve">    </w:t>
            </w:r>
          </w:p>
        </w:tc>
        <w:tc>
          <w:tcPr>
            <w:tcW w:w="2830"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24B2F" w:rsidRPr="00B75FD7" w:rsidRDefault="00524B2F" w:rsidP="00C533DF">
            <w:pPr>
              <w:autoSpaceDE w:val="0"/>
              <w:autoSpaceDN w:val="0"/>
              <w:adjustRightInd w:val="0"/>
              <w:rPr>
                <w:rFonts w:eastAsia="Calibri"/>
                <w:b/>
                <w:color w:val="000000"/>
                <w:sz w:val="22"/>
              </w:rPr>
            </w:pPr>
            <w:r w:rsidRPr="00B75FD7">
              <w:rPr>
                <w:rFonts w:eastAsia="Calibri"/>
                <w:b/>
                <w:color w:val="000000"/>
                <w:sz w:val="22"/>
              </w:rPr>
              <w:t>Ціль проекту</w:t>
            </w:r>
          </w:p>
        </w:tc>
        <w:tc>
          <w:tcPr>
            <w:tcW w:w="7092" w:type="dxa"/>
            <w:gridSpan w:val="6"/>
            <w:tcBorders>
              <w:top w:val="single" w:sz="6" w:space="0" w:color="auto"/>
              <w:left w:val="single" w:sz="6" w:space="0" w:color="auto"/>
              <w:bottom w:val="single" w:sz="6" w:space="0" w:color="auto"/>
              <w:right w:val="single" w:sz="6" w:space="0" w:color="auto"/>
            </w:tcBorders>
          </w:tcPr>
          <w:p w:rsidR="00524B2F" w:rsidRPr="00B75FD7" w:rsidRDefault="00524B2F" w:rsidP="00B50F85">
            <w:pPr>
              <w:pStyle w:val="a7"/>
              <w:ind w:left="0"/>
              <w:rPr>
                <w:sz w:val="22"/>
              </w:rPr>
            </w:pPr>
            <w:r w:rsidRPr="00B75FD7">
              <w:rPr>
                <w:sz w:val="22"/>
              </w:rPr>
              <w:t>Відновити діяльність для нада</w:t>
            </w:r>
            <w:r w:rsidR="00B50F85" w:rsidRPr="00B75FD7">
              <w:rPr>
                <w:sz w:val="22"/>
              </w:rPr>
              <w:t xml:space="preserve">ти </w:t>
            </w:r>
            <w:r w:rsidRPr="00B75FD7">
              <w:rPr>
                <w:sz w:val="22"/>
              </w:rPr>
              <w:t>широк</w:t>
            </w:r>
            <w:r w:rsidR="00B50F85" w:rsidRPr="00B75FD7">
              <w:rPr>
                <w:sz w:val="22"/>
              </w:rPr>
              <w:t>ого</w:t>
            </w:r>
            <w:r w:rsidRPr="00B75FD7">
              <w:rPr>
                <w:sz w:val="22"/>
              </w:rPr>
              <w:t xml:space="preserve"> спектру освітніх  послуг, пов’язаних із задоволенням потреб мешканців Сєвєродонецької міської територіальної громади у необхідних послугах дошкільної освіти для найменших громадян та  забезпечення якісного рівня розвитку дітей в Україні.</w:t>
            </w:r>
          </w:p>
        </w:tc>
      </w:tr>
      <w:tr w:rsidR="00524B2F" w:rsidRPr="00B75FD7" w:rsidTr="000018B2">
        <w:trPr>
          <w:trHeight w:val="290"/>
        </w:trPr>
        <w:tc>
          <w:tcPr>
            <w:tcW w:w="1448" w:type="dxa"/>
            <w:tcBorders>
              <w:top w:val="nil"/>
              <w:left w:val="nil"/>
              <w:bottom w:val="nil"/>
              <w:right w:val="nil"/>
            </w:tcBorders>
          </w:tcPr>
          <w:p w:rsidR="00524B2F" w:rsidRPr="00B75FD7" w:rsidRDefault="00524B2F" w:rsidP="00C533DF">
            <w:pPr>
              <w:autoSpaceDE w:val="0"/>
              <w:autoSpaceDN w:val="0"/>
              <w:adjustRightInd w:val="0"/>
              <w:jc w:val="right"/>
              <w:rPr>
                <w:rFonts w:eastAsia="Calibri"/>
                <w:color w:val="000000"/>
                <w:sz w:val="22"/>
              </w:rPr>
            </w:pPr>
          </w:p>
        </w:tc>
        <w:tc>
          <w:tcPr>
            <w:tcW w:w="2830"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24B2F" w:rsidRPr="00B75FD7" w:rsidRDefault="00524B2F" w:rsidP="00C533DF">
            <w:pPr>
              <w:autoSpaceDE w:val="0"/>
              <w:autoSpaceDN w:val="0"/>
              <w:adjustRightInd w:val="0"/>
              <w:rPr>
                <w:rFonts w:eastAsia="Calibri"/>
                <w:b/>
                <w:color w:val="000000"/>
                <w:sz w:val="22"/>
              </w:rPr>
            </w:pPr>
            <w:r w:rsidRPr="00B75FD7">
              <w:rPr>
                <w:rFonts w:eastAsia="Calibri"/>
                <w:b/>
                <w:color w:val="000000"/>
                <w:sz w:val="22"/>
              </w:rPr>
              <w:t>Територія, на яку матиме вплив реалізація проекту</w:t>
            </w:r>
          </w:p>
        </w:tc>
        <w:tc>
          <w:tcPr>
            <w:tcW w:w="7092" w:type="dxa"/>
            <w:gridSpan w:val="6"/>
            <w:tcBorders>
              <w:top w:val="single" w:sz="6" w:space="0" w:color="auto"/>
              <w:left w:val="single" w:sz="6" w:space="0" w:color="auto"/>
              <w:bottom w:val="single" w:sz="6" w:space="0" w:color="auto"/>
              <w:right w:val="single" w:sz="6" w:space="0" w:color="auto"/>
            </w:tcBorders>
          </w:tcPr>
          <w:p w:rsidR="00524B2F" w:rsidRPr="00B75FD7" w:rsidRDefault="00524B2F" w:rsidP="00C533DF">
            <w:pPr>
              <w:autoSpaceDE w:val="0"/>
              <w:autoSpaceDN w:val="0"/>
              <w:adjustRightInd w:val="0"/>
              <w:rPr>
                <w:rFonts w:eastAsia="Calibri"/>
                <w:color w:val="000000"/>
                <w:sz w:val="22"/>
              </w:rPr>
            </w:pPr>
            <w:r w:rsidRPr="00B75FD7">
              <w:rPr>
                <w:rFonts w:eastAsia="Calibri"/>
                <w:color w:val="000000"/>
                <w:sz w:val="22"/>
              </w:rPr>
              <w:t>Сєвєродонецька міська територіальна громада</w:t>
            </w:r>
          </w:p>
        </w:tc>
      </w:tr>
      <w:tr w:rsidR="00524B2F" w:rsidRPr="00B75FD7" w:rsidTr="000018B2">
        <w:trPr>
          <w:trHeight w:val="607"/>
        </w:trPr>
        <w:tc>
          <w:tcPr>
            <w:tcW w:w="1448" w:type="dxa"/>
            <w:tcBorders>
              <w:top w:val="nil"/>
              <w:left w:val="nil"/>
              <w:bottom w:val="nil"/>
              <w:right w:val="nil"/>
            </w:tcBorders>
          </w:tcPr>
          <w:p w:rsidR="00524B2F" w:rsidRPr="00B75FD7" w:rsidRDefault="00524B2F" w:rsidP="00C533DF">
            <w:pPr>
              <w:autoSpaceDE w:val="0"/>
              <w:autoSpaceDN w:val="0"/>
              <w:adjustRightInd w:val="0"/>
              <w:jc w:val="right"/>
              <w:rPr>
                <w:rFonts w:eastAsia="Calibri"/>
                <w:color w:val="000000"/>
                <w:sz w:val="22"/>
              </w:rPr>
            </w:pPr>
          </w:p>
        </w:tc>
        <w:tc>
          <w:tcPr>
            <w:tcW w:w="2830"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24B2F" w:rsidRPr="00B75FD7" w:rsidRDefault="00524B2F" w:rsidP="00C533DF">
            <w:pPr>
              <w:autoSpaceDE w:val="0"/>
              <w:autoSpaceDN w:val="0"/>
              <w:adjustRightInd w:val="0"/>
              <w:rPr>
                <w:rFonts w:eastAsia="Calibri"/>
                <w:b/>
                <w:color w:val="000000"/>
                <w:sz w:val="22"/>
              </w:rPr>
            </w:pPr>
            <w:r w:rsidRPr="00B75FD7">
              <w:rPr>
                <w:rFonts w:eastAsia="Calibri"/>
                <w:b/>
                <w:color w:val="000000"/>
                <w:sz w:val="22"/>
              </w:rPr>
              <w:t>Чисельність населення, на яке матиме вплив реалізація проекту</w:t>
            </w:r>
          </w:p>
        </w:tc>
        <w:tc>
          <w:tcPr>
            <w:tcW w:w="7092" w:type="dxa"/>
            <w:gridSpan w:val="6"/>
            <w:tcBorders>
              <w:top w:val="single" w:sz="6" w:space="0" w:color="auto"/>
              <w:left w:val="single" w:sz="6" w:space="0" w:color="auto"/>
              <w:bottom w:val="single" w:sz="6" w:space="0" w:color="auto"/>
              <w:right w:val="single" w:sz="6" w:space="0" w:color="auto"/>
            </w:tcBorders>
          </w:tcPr>
          <w:p w:rsidR="00524B2F" w:rsidRPr="00B75FD7" w:rsidRDefault="00524B2F" w:rsidP="00C533DF">
            <w:pPr>
              <w:autoSpaceDE w:val="0"/>
              <w:autoSpaceDN w:val="0"/>
              <w:adjustRightInd w:val="0"/>
              <w:rPr>
                <w:rFonts w:eastAsia="Calibri"/>
                <w:color w:val="000000"/>
                <w:sz w:val="22"/>
              </w:rPr>
            </w:pPr>
            <w:r w:rsidRPr="00B75FD7">
              <w:rPr>
                <w:sz w:val="22"/>
              </w:rPr>
              <w:t>70 000 осіб</w:t>
            </w:r>
          </w:p>
          <w:p w:rsidR="00524B2F" w:rsidRPr="00B75FD7" w:rsidRDefault="00524B2F" w:rsidP="00C533DF">
            <w:pPr>
              <w:autoSpaceDE w:val="0"/>
              <w:autoSpaceDN w:val="0"/>
              <w:adjustRightInd w:val="0"/>
              <w:jc w:val="center"/>
              <w:rPr>
                <w:rFonts w:eastAsia="Calibri"/>
                <w:color w:val="000000"/>
                <w:sz w:val="22"/>
              </w:rPr>
            </w:pPr>
          </w:p>
        </w:tc>
      </w:tr>
      <w:tr w:rsidR="00524B2F" w:rsidRPr="00B75FD7" w:rsidTr="000018B2">
        <w:trPr>
          <w:trHeight w:val="1261"/>
        </w:trPr>
        <w:tc>
          <w:tcPr>
            <w:tcW w:w="1448" w:type="dxa"/>
            <w:tcBorders>
              <w:top w:val="nil"/>
              <w:left w:val="nil"/>
              <w:bottom w:val="nil"/>
              <w:right w:val="nil"/>
            </w:tcBorders>
          </w:tcPr>
          <w:p w:rsidR="00524B2F" w:rsidRPr="00B75FD7" w:rsidRDefault="00524B2F" w:rsidP="00C533DF">
            <w:pPr>
              <w:autoSpaceDE w:val="0"/>
              <w:autoSpaceDN w:val="0"/>
              <w:adjustRightInd w:val="0"/>
              <w:jc w:val="right"/>
              <w:rPr>
                <w:rFonts w:eastAsia="Calibri"/>
                <w:color w:val="000000"/>
                <w:sz w:val="22"/>
              </w:rPr>
            </w:pPr>
          </w:p>
        </w:tc>
        <w:tc>
          <w:tcPr>
            <w:tcW w:w="2830"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24B2F" w:rsidRPr="00B75FD7" w:rsidRDefault="00524B2F" w:rsidP="00C533DF">
            <w:pPr>
              <w:autoSpaceDE w:val="0"/>
              <w:autoSpaceDN w:val="0"/>
              <w:adjustRightInd w:val="0"/>
              <w:rPr>
                <w:rFonts w:eastAsia="Calibri"/>
                <w:b/>
                <w:color w:val="000000"/>
                <w:sz w:val="22"/>
              </w:rPr>
            </w:pPr>
            <w:r w:rsidRPr="00B75FD7">
              <w:rPr>
                <w:rFonts w:eastAsia="Calibri"/>
                <w:b/>
                <w:color w:val="000000"/>
                <w:sz w:val="22"/>
              </w:rPr>
              <w:t>Опис проблеми, на вирішення якої спрямований проект</w:t>
            </w:r>
          </w:p>
        </w:tc>
        <w:tc>
          <w:tcPr>
            <w:tcW w:w="7092" w:type="dxa"/>
            <w:gridSpan w:val="6"/>
            <w:tcBorders>
              <w:top w:val="single" w:sz="6" w:space="0" w:color="auto"/>
              <w:left w:val="single" w:sz="6" w:space="0" w:color="auto"/>
              <w:bottom w:val="single" w:sz="6" w:space="0" w:color="auto"/>
              <w:right w:val="single" w:sz="6" w:space="0" w:color="auto"/>
            </w:tcBorders>
          </w:tcPr>
          <w:p w:rsidR="00524B2F" w:rsidRPr="00B75FD7" w:rsidRDefault="00524B2F" w:rsidP="00C533DF">
            <w:pPr>
              <w:ind w:firstLine="708"/>
              <w:rPr>
                <w:color w:val="FF0000"/>
                <w:sz w:val="22"/>
              </w:rPr>
            </w:pPr>
            <w:r w:rsidRPr="00B75FD7">
              <w:rPr>
                <w:sz w:val="22"/>
              </w:rPr>
              <w:t xml:space="preserve">Через військову агресію </w:t>
            </w:r>
            <w:r w:rsidR="00B50F85" w:rsidRPr="00B75FD7">
              <w:rPr>
                <w:sz w:val="22"/>
              </w:rPr>
              <w:t>РФ</w:t>
            </w:r>
            <w:r w:rsidRPr="00B75FD7">
              <w:rPr>
                <w:sz w:val="22"/>
              </w:rPr>
              <w:t xml:space="preserve"> територія Сєвєродонецької міської територіальної громади зазнала значних пошкоджень.  Не оминуло це Ясла – садок №24</w:t>
            </w:r>
            <w:r w:rsidR="003E3D49" w:rsidRPr="00B75FD7">
              <w:rPr>
                <w:sz w:val="22"/>
              </w:rPr>
              <w:t>.</w:t>
            </w:r>
            <w:r w:rsidRPr="00B75FD7">
              <w:rPr>
                <w:sz w:val="22"/>
              </w:rPr>
              <w:t xml:space="preserve"> </w:t>
            </w:r>
            <w:r w:rsidR="003E3D49" w:rsidRPr="00B75FD7">
              <w:rPr>
                <w:sz w:val="22"/>
              </w:rPr>
              <w:t>В</w:t>
            </w:r>
            <w:r w:rsidRPr="00B75FD7">
              <w:rPr>
                <w:sz w:val="22"/>
              </w:rPr>
              <w:t>ся матеріально – технічна база та обладнання закладу зазнало мародерство та пошкодження, зокрема:</w:t>
            </w:r>
          </w:p>
          <w:p w:rsidR="00524B2F" w:rsidRPr="00B75FD7" w:rsidRDefault="00524B2F" w:rsidP="000303D7">
            <w:pPr>
              <w:numPr>
                <w:ilvl w:val="0"/>
                <w:numId w:val="9"/>
              </w:numPr>
              <w:rPr>
                <w:sz w:val="22"/>
              </w:rPr>
            </w:pPr>
            <w:r w:rsidRPr="00B75FD7">
              <w:rPr>
                <w:sz w:val="22"/>
              </w:rPr>
              <w:t>обладнання (устаткування),</w:t>
            </w:r>
            <w:r w:rsidR="003E3D49" w:rsidRPr="00B75FD7">
              <w:rPr>
                <w:sz w:val="22"/>
              </w:rPr>
              <w:t xml:space="preserve"> </w:t>
            </w:r>
            <w:r w:rsidRPr="00B75FD7">
              <w:rPr>
                <w:sz w:val="22"/>
              </w:rPr>
              <w:t>технологічне холодильне, пральне;</w:t>
            </w:r>
          </w:p>
          <w:p w:rsidR="00524B2F" w:rsidRPr="00B75FD7" w:rsidRDefault="00524B2F" w:rsidP="000303D7">
            <w:pPr>
              <w:numPr>
                <w:ilvl w:val="0"/>
                <w:numId w:val="9"/>
              </w:numPr>
              <w:rPr>
                <w:sz w:val="22"/>
              </w:rPr>
            </w:pPr>
            <w:r w:rsidRPr="00B75FD7">
              <w:rPr>
                <w:sz w:val="22"/>
              </w:rPr>
              <w:t>комп’ютерна техніка із відповідним програмним забезпеченням;</w:t>
            </w:r>
          </w:p>
          <w:p w:rsidR="00524B2F" w:rsidRPr="00B75FD7" w:rsidRDefault="00524B2F" w:rsidP="000303D7">
            <w:pPr>
              <w:numPr>
                <w:ilvl w:val="0"/>
                <w:numId w:val="9"/>
              </w:numPr>
              <w:rPr>
                <w:sz w:val="22"/>
              </w:rPr>
            </w:pPr>
            <w:r w:rsidRPr="00B75FD7">
              <w:rPr>
                <w:sz w:val="22"/>
              </w:rPr>
              <w:t>інша оргтехніка (мультимедійні засоби, монітори, принтери, сканери тощо);</w:t>
            </w:r>
          </w:p>
          <w:p w:rsidR="00524B2F" w:rsidRPr="00B75FD7" w:rsidRDefault="00524B2F" w:rsidP="000303D7">
            <w:pPr>
              <w:pStyle w:val="13"/>
              <w:numPr>
                <w:ilvl w:val="0"/>
                <w:numId w:val="9"/>
              </w:numPr>
              <w:jc w:val="both"/>
              <w:rPr>
                <w:sz w:val="22"/>
                <w:lang w:val="uk-UA"/>
              </w:rPr>
            </w:pPr>
            <w:r w:rsidRPr="00B75FD7">
              <w:rPr>
                <w:sz w:val="22"/>
                <w:lang w:val="uk-UA"/>
              </w:rPr>
              <w:t>основні засоби (офісні меблі, меблі для дітей, сейф, іграшки тощо) були знищені або викрадені.</w:t>
            </w:r>
          </w:p>
          <w:p w:rsidR="00524B2F" w:rsidRPr="00B75FD7" w:rsidRDefault="00524B2F" w:rsidP="00C533DF">
            <w:pPr>
              <w:autoSpaceDE w:val="0"/>
              <w:autoSpaceDN w:val="0"/>
              <w:adjustRightInd w:val="0"/>
              <w:rPr>
                <w:rFonts w:eastAsia="Calibri"/>
                <w:color w:val="000000"/>
                <w:sz w:val="22"/>
              </w:rPr>
            </w:pPr>
            <w:r w:rsidRPr="00B75FD7">
              <w:rPr>
                <w:rFonts w:eastAsia="Arial"/>
                <w:sz w:val="22"/>
              </w:rPr>
              <w:t xml:space="preserve">            Для відбудови та сталого розвитку громади вкрай важливе  відновлення роботи мережі закладів дошкільної освіти і зокрема Ясла-садок №24 міста Сєвєродонецька Луганської області.</w:t>
            </w:r>
            <w:r w:rsidRPr="00B75FD7">
              <w:rPr>
                <w:sz w:val="22"/>
              </w:rPr>
              <w:t xml:space="preserve"> </w:t>
            </w:r>
            <w:r w:rsidRPr="00B75FD7">
              <w:rPr>
                <w:rFonts w:eastAsia="Arial"/>
                <w:sz w:val="22"/>
              </w:rPr>
              <w:t xml:space="preserve">Мешканці громади потребують в отриманні якісних  освітніх послуг, які відповідають нормам сучасності. </w:t>
            </w:r>
          </w:p>
        </w:tc>
      </w:tr>
      <w:tr w:rsidR="00524B2F" w:rsidRPr="00B75FD7" w:rsidTr="000018B2">
        <w:trPr>
          <w:trHeight w:val="1265"/>
        </w:trPr>
        <w:tc>
          <w:tcPr>
            <w:tcW w:w="1448" w:type="dxa"/>
            <w:tcBorders>
              <w:top w:val="nil"/>
              <w:left w:val="nil"/>
              <w:bottom w:val="nil"/>
              <w:right w:val="nil"/>
            </w:tcBorders>
          </w:tcPr>
          <w:p w:rsidR="00524B2F" w:rsidRPr="00B75FD7" w:rsidRDefault="00524B2F" w:rsidP="00C533DF">
            <w:pPr>
              <w:autoSpaceDE w:val="0"/>
              <w:autoSpaceDN w:val="0"/>
              <w:adjustRightInd w:val="0"/>
              <w:jc w:val="right"/>
              <w:rPr>
                <w:rFonts w:eastAsia="Calibri"/>
                <w:color w:val="000000"/>
                <w:sz w:val="22"/>
              </w:rPr>
            </w:pPr>
          </w:p>
        </w:tc>
        <w:tc>
          <w:tcPr>
            <w:tcW w:w="2830"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24B2F" w:rsidRPr="00B75FD7" w:rsidRDefault="00524B2F" w:rsidP="00C533DF">
            <w:pPr>
              <w:autoSpaceDE w:val="0"/>
              <w:autoSpaceDN w:val="0"/>
              <w:adjustRightInd w:val="0"/>
              <w:rPr>
                <w:rFonts w:eastAsia="Calibri"/>
                <w:b/>
                <w:color w:val="000000"/>
                <w:sz w:val="22"/>
              </w:rPr>
            </w:pPr>
            <w:r w:rsidRPr="00B75FD7">
              <w:rPr>
                <w:rFonts w:eastAsia="Calibri"/>
                <w:b/>
                <w:color w:val="000000"/>
                <w:sz w:val="22"/>
              </w:rPr>
              <w:t>Очікувані якісні результати від реалізації проекту</w:t>
            </w:r>
          </w:p>
        </w:tc>
        <w:tc>
          <w:tcPr>
            <w:tcW w:w="7092" w:type="dxa"/>
            <w:gridSpan w:val="6"/>
            <w:tcBorders>
              <w:top w:val="single" w:sz="6" w:space="0" w:color="auto"/>
              <w:left w:val="single" w:sz="6" w:space="0" w:color="auto"/>
              <w:bottom w:val="single" w:sz="6" w:space="0" w:color="auto"/>
              <w:right w:val="single" w:sz="6" w:space="0" w:color="auto"/>
            </w:tcBorders>
          </w:tcPr>
          <w:p w:rsidR="00524B2F" w:rsidRPr="00B75FD7" w:rsidRDefault="00524B2F" w:rsidP="00C533DF">
            <w:pPr>
              <w:pStyle w:val="af7"/>
              <w:jc w:val="both"/>
              <w:rPr>
                <w:sz w:val="22"/>
              </w:rPr>
            </w:pPr>
            <w:r w:rsidRPr="00B75FD7">
              <w:rPr>
                <w:sz w:val="22"/>
              </w:rPr>
              <w:t xml:space="preserve"> Повне відновлення діяльності Ясел-садка №24 міста  Сєвєродонецька Луганської області;</w:t>
            </w:r>
          </w:p>
          <w:p w:rsidR="00524B2F" w:rsidRPr="00B75FD7" w:rsidRDefault="00524B2F" w:rsidP="00C533DF">
            <w:pPr>
              <w:pStyle w:val="af7"/>
              <w:ind w:left="252" w:hanging="141"/>
              <w:jc w:val="both"/>
              <w:rPr>
                <w:sz w:val="22"/>
              </w:rPr>
            </w:pPr>
            <w:r w:rsidRPr="00B75FD7">
              <w:rPr>
                <w:sz w:val="22"/>
              </w:rPr>
              <w:t xml:space="preserve"> - надання широкого спектру послуг, пов’язаних із  реалізацією основних завдань дошкільної освіти дітей раннього та дошкільного віку: збереження та зміцнення фізичного, психічного і духовного здоров'я дитини; </w:t>
            </w:r>
          </w:p>
          <w:p w:rsidR="00524B2F" w:rsidRPr="00B75FD7" w:rsidRDefault="00524B2F" w:rsidP="00C533DF">
            <w:pPr>
              <w:pStyle w:val="af7"/>
              <w:ind w:left="252" w:hanging="141"/>
              <w:jc w:val="both"/>
              <w:rPr>
                <w:sz w:val="22"/>
              </w:rPr>
            </w:pPr>
            <w:r w:rsidRPr="00B75FD7">
              <w:rPr>
                <w:sz w:val="22"/>
              </w:rPr>
              <w:t xml:space="preserve">  - створення нових робочих місць;</w:t>
            </w:r>
          </w:p>
          <w:p w:rsidR="00524B2F" w:rsidRPr="00B75FD7" w:rsidRDefault="00524B2F" w:rsidP="00C533DF">
            <w:pPr>
              <w:pStyle w:val="a7"/>
              <w:ind w:left="252" w:hanging="141"/>
              <w:rPr>
                <w:sz w:val="22"/>
              </w:rPr>
            </w:pPr>
            <w:r w:rsidRPr="00B75FD7">
              <w:rPr>
                <w:sz w:val="22"/>
              </w:rPr>
              <w:t xml:space="preserve">  - стимул до повернення ВПО до громади;</w:t>
            </w:r>
          </w:p>
          <w:p w:rsidR="00524B2F" w:rsidRPr="00B75FD7" w:rsidRDefault="00524B2F" w:rsidP="00C533DF">
            <w:pPr>
              <w:pStyle w:val="a7"/>
              <w:ind w:left="252" w:hanging="141"/>
              <w:rPr>
                <w:sz w:val="22"/>
              </w:rPr>
            </w:pPr>
            <w:r w:rsidRPr="00B75FD7">
              <w:rPr>
                <w:sz w:val="22"/>
              </w:rPr>
              <w:t xml:space="preserve">  -забезпечення повноцінної діяльності всіх служб під час навчально-виховного процесу з дітьми мешканців  відновленої громади Сєвєродонецька</w:t>
            </w:r>
            <w:r w:rsidR="00F82BFF" w:rsidRPr="00B75FD7">
              <w:rPr>
                <w:sz w:val="22"/>
              </w:rPr>
              <w:t>;</w:t>
            </w:r>
          </w:p>
          <w:p w:rsidR="00524B2F" w:rsidRPr="00B75FD7" w:rsidRDefault="00524B2F" w:rsidP="00F82BFF">
            <w:pPr>
              <w:pStyle w:val="a7"/>
              <w:ind w:left="252" w:hanging="141"/>
              <w:rPr>
                <w:sz w:val="22"/>
              </w:rPr>
            </w:pPr>
            <w:r w:rsidRPr="00B75FD7">
              <w:rPr>
                <w:sz w:val="22"/>
              </w:rPr>
              <w:t xml:space="preserve">-  </w:t>
            </w:r>
            <w:r w:rsidR="00F82BFF" w:rsidRPr="00B75FD7">
              <w:rPr>
                <w:sz w:val="22"/>
              </w:rPr>
              <w:t>п</w:t>
            </w:r>
            <w:r w:rsidRPr="00B75FD7">
              <w:rPr>
                <w:sz w:val="22"/>
              </w:rPr>
              <w:t>олегшення доступу до дошкільного закладу</w:t>
            </w:r>
            <w:r w:rsidR="00F82BFF" w:rsidRPr="00B75FD7">
              <w:rPr>
                <w:sz w:val="22"/>
              </w:rPr>
              <w:t>.</w:t>
            </w:r>
          </w:p>
        </w:tc>
      </w:tr>
      <w:tr w:rsidR="00524B2F" w:rsidRPr="00B75FD7" w:rsidTr="000018B2">
        <w:trPr>
          <w:trHeight w:val="581"/>
        </w:trPr>
        <w:tc>
          <w:tcPr>
            <w:tcW w:w="1448" w:type="dxa"/>
            <w:tcBorders>
              <w:top w:val="nil"/>
              <w:left w:val="nil"/>
              <w:bottom w:val="nil"/>
              <w:right w:val="nil"/>
            </w:tcBorders>
          </w:tcPr>
          <w:p w:rsidR="00524B2F" w:rsidRPr="00B75FD7" w:rsidRDefault="00524B2F" w:rsidP="00C533DF">
            <w:pPr>
              <w:autoSpaceDE w:val="0"/>
              <w:autoSpaceDN w:val="0"/>
              <w:adjustRightInd w:val="0"/>
              <w:jc w:val="right"/>
              <w:rPr>
                <w:rFonts w:eastAsia="Calibri"/>
                <w:color w:val="000000"/>
                <w:sz w:val="22"/>
              </w:rPr>
            </w:pPr>
          </w:p>
        </w:tc>
        <w:tc>
          <w:tcPr>
            <w:tcW w:w="2830"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24B2F" w:rsidRPr="00B75FD7" w:rsidRDefault="00524B2F" w:rsidP="00C533DF">
            <w:pPr>
              <w:autoSpaceDE w:val="0"/>
              <w:autoSpaceDN w:val="0"/>
              <w:adjustRightInd w:val="0"/>
              <w:rPr>
                <w:rFonts w:eastAsia="Calibri"/>
                <w:b/>
                <w:color w:val="000000"/>
                <w:sz w:val="22"/>
              </w:rPr>
            </w:pPr>
            <w:r w:rsidRPr="00B75FD7">
              <w:rPr>
                <w:rFonts w:eastAsia="Calibri"/>
                <w:b/>
                <w:color w:val="000000"/>
                <w:sz w:val="22"/>
              </w:rPr>
              <w:t>Очікувані кількісні результати від реалізації проекту  (індикатори)</w:t>
            </w:r>
          </w:p>
        </w:tc>
        <w:tc>
          <w:tcPr>
            <w:tcW w:w="4399" w:type="dxa"/>
            <w:gridSpan w:val="4"/>
            <w:tcBorders>
              <w:top w:val="single" w:sz="6" w:space="0" w:color="auto"/>
              <w:left w:val="single" w:sz="6" w:space="0" w:color="auto"/>
              <w:bottom w:val="single" w:sz="6" w:space="0" w:color="auto"/>
              <w:right w:val="single" w:sz="6" w:space="0" w:color="auto"/>
            </w:tcBorders>
          </w:tcPr>
          <w:p w:rsidR="00524B2F" w:rsidRPr="00B75FD7" w:rsidRDefault="00524B2F" w:rsidP="00C533DF">
            <w:pPr>
              <w:autoSpaceDE w:val="0"/>
              <w:autoSpaceDN w:val="0"/>
              <w:adjustRightInd w:val="0"/>
              <w:rPr>
                <w:rFonts w:eastAsia="Calibri"/>
                <w:b/>
                <w:color w:val="000000"/>
                <w:sz w:val="22"/>
              </w:rPr>
            </w:pPr>
            <w:r w:rsidRPr="00B75FD7">
              <w:rPr>
                <w:rFonts w:eastAsia="Calibri"/>
                <w:b/>
                <w:color w:val="000000"/>
                <w:sz w:val="22"/>
              </w:rPr>
              <w:t>Найменування показника</w:t>
            </w:r>
          </w:p>
        </w:tc>
        <w:tc>
          <w:tcPr>
            <w:tcW w:w="1418" w:type="dxa"/>
            <w:tcBorders>
              <w:top w:val="single" w:sz="6" w:space="0" w:color="auto"/>
              <w:left w:val="single" w:sz="6" w:space="0" w:color="auto"/>
              <w:bottom w:val="single" w:sz="6" w:space="0" w:color="auto"/>
              <w:right w:val="single" w:sz="6" w:space="0" w:color="auto"/>
            </w:tcBorders>
          </w:tcPr>
          <w:p w:rsidR="00524B2F" w:rsidRPr="00B75FD7" w:rsidRDefault="00524B2F" w:rsidP="00C533DF">
            <w:pPr>
              <w:autoSpaceDE w:val="0"/>
              <w:autoSpaceDN w:val="0"/>
              <w:adjustRightInd w:val="0"/>
              <w:rPr>
                <w:rFonts w:eastAsia="Calibri"/>
                <w:b/>
                <w:color w:val="000000"/>
                <w:sz w:val="22"/>
              </w:rPr>
            </w:pPr>
            <w:r w:rsidRPr="00B75FD7">
              <w:rPr>
                <w:rFonts w:eastAsia="Calibri"/>
                <w:b/>
                <w:color w:val="000000"/>
                <w:sz w:val="22"/>
              </w:rPr>
              <w:t>Одиниця вимірювання</w:t>
            </w:r>
          </w:p>
        </w:tc>
        <w:tc>
          <w:tcPr>
            <w:tcW w:w="1275" w:type="dxa"/>
            <w:tcBorders>
              <w:top w:val="single" w:sz="6" w:space="0" w:color="auto"/>
              <w:left w:val="single" w:sz="6" w:space="0" w:color="auto"/>
              <w:bottom w:val="single" w:sz="6" w:space="0" w:color="auto"/>
              <w:right w:val="single" w:sz="6" w:space="0" w:color="auto"/>
            </w:tcBorders>
          </w:tcPr>
          <w:p w:rsidR="00524B2F" w:rsidRPr="00B75FD7" w:rsidRDefault="00524B2F" w:rsidP="00C533DF">
            <w:pPr>
              <w:autoSpaceDE w:val="0"/>
              <w:autoSpaceDN w:val="0"/>
              <w:adjustRightInd w:val="0"/>
              <w:rPr>
                <w:rFonts w:eastAsia="Calibri"/>
                <w:b/>
                <w:color w:val="000000"/>
                <w:sz w:val="22"/>
              </w:rPr>
            </w:pPr>
            <w:r w:rsidRPr="00B75FD7">
              <w:rPr>
                <w:rFonts w:eastAsia="Calibri"/>
                <w:b/>
                <w:color w:val="000000"/>
                <w:sz w:val="22"/>
              </w:rPr>
              <w:t>Прогнозне (цільове) значення</w:t>
            </w:r>
          </w:p>
        </w:tc>
      </w:tr>
      <w:tr w:rsidR="00524B2F" w:rsidRPr="00B75FD7" w:rsidTr="000018B2">
        <w:trPr>
          <w:trHeight w:val="842"/>
        </w:trPr>
        <w:tc>
          <w:tcPr>
            <w:tcW w:w="1448" w:type="dxa"/>
            <w:tcBorders>
              <w:top w:val="nil"/>
              <w:left w:val="nil"/>
              <w:right w:val="nil"/>
            </w:tcBorders>
          </w:tcPr>
          <w:p w:rsidR="00524B2F" w:rsidRPr="00B75FD7" w:rsidRDefault="00524B2F" w:rsidP="00C533DF">
            <w:pPr>
              <w:autoSpaceDE w:val="0"/>
              <w:autoSpaceDN w:val="0"/>
              <w:adjustRightInd w:val="0"/>
              <w:jc w:val="right"/>
              <w:rPr>
                <w:rFonts w:eastAsia="Calibri"/>
                <w:color w:val="000000"/>
                <w:sz w:val="22"/>
              </w:rPr>
            </w:pPr>
          </w:p>
        </w:tc>
        <w:tc>
          <w:tcPr>
            <w:tcW w:w="2830" w:type="dxa"/>
            <w:tcBorders>
              <w:top w:val="single" w:sz="6" w:space="0" w:color="auto"/>
              <w:left w:val="single" w:sz="6" w:space="0" w:color="auto"/>
              <w:right w:val="single" w:sz="6" w:space="0" w:color="auto"/>
            </w:tcBorders>
            <w:shd w:val="clear" w:color="00FFFF" w:fill="C6D9F1" w:themeFill="text2" w:themeFillTint="33"/>
          </w:tcPr>
          <w:p w:rsidR="00524B2F" w:rsidRPr="00B75FD7" w:rsidRDefault="00524B2F" w:rsidP="00C533DF">
            <w:pPr>
              <w:autoSpaceDE w:val="0"/>
              <w:autoSpaceDN w:val="0"/>
              <w:adjustRightInd w:val="0"/>
              <w:rPr>
                <w:rFonts w:eastAsia="Calibri"/>
                <w:b/>
                <w:color w:val="000000"/>
                <w:sz w:val="22"/>
              </w:rPr>
            </w:pPr>
          </w:p>
        </w:tc>
        <w:tc>
          <w:tcPr>
            <w:tcW w:w="4399" w:type="dxa"/>
            <w:gridSpan w:val="4"/>
            <w:tcBorders>
              <w:top w:val="single" w:sz="6" w:space="0" w:color="auto"/>
              <w:left w:val="single" w:sz="6" w:space="0" w:color="auto"/>
              <w:bottom w:val="single" w:sz="4" w:space="0" w:color="auto"/>
              <w:right w:val="single" w:sz="6" w:space="0" w:color="auto"/>
            </w:tcBorders>
          </w:tcPr>
          <w:p w:rsidR="00524B2F" w:rsidRPr="00B75FD7" w:rsidRDefault="00524B2F" w:rsidP="00C533DF">
            <w:pPr>
              <w:autoSpaceDE w:val="0"/>
              <w:autoSpaceDN w:val="0"/>
              <w:adjustRightInd w:val="0"/>
              <w:rPr>
                <w:rFonts w:eastAsia="Calibri"/>
                <w:color w:val="000000"/>
                <w:sz w:val="22"/>
              </w:rPr>
            </w:pPr>
            <w:r w:rsidRPr="00B75FD7">
              <w:rPr>
                <w:sz w:val="22"/>
              </w:rPr>
              <w:t xml:space="preserve">Кількість осіб, які звернулись за </w:t>
            </w:r>
            <w:proofErr w:type="spellStart"/>
            <w:r w:rsidRPr="00B75FD7">
              <w:rPr>
                <w:sz w:val="22"/>
              </w:rPr>
              <w:t>ослугами</w:t>
            </w:r>
            <w:proofErr w:type="spellEnd"/>
            <w:r w:rsidRPr="00B75FD7">
              <w:rPr>
                <w:sz w:val="22"/>
              </w:rPr>
              <w:t xml:space="preserve"> протягом року</w:t>
            </w:r>
          </w:p>
        </w:tc>
        <w:tc>
          <w:tcPr>
            <w:tcW w:w="1418" w:type="dxa"/>
            <w:tcBorders>
              <w:top w:val="single" w:sz="6" w:space="0" w:color="auto"/>
              <w:left w:val="single" w:sz="6" w:space="0" w:color="auto"/>
              <w:bottom w:val="single" w:sz="4" w:space="0" w:color="auto"/>
              <w:right w:val="single" w:sz="6" w:space="0" w:color="auto"/>
            </w:tcBorders>
          </w:tcPr>
          <w:p w:rsidR="00524B2F" w:rsidRPr="00B75FD7" w:rsidRDefault="00524B2F" w:rsidP="00C533DF">
            <w:pPr>
              <w:autoSpaceDE w:val="0"/>
              <w:autoSpaceDN w:val="0"/>
              <w:adjustRightInd w:val="0"/>
              <w:rPr>
                <w:sz w:val="22"/>
              </w:rPr>
            </w:pPr>
            <w:r w:rsidRPr="00B75FD7">
              <w:rPr>
                <w:sz w:val="22"/>
              </w:rPr>
              <w:t>осіб</w:t>
            </w:r>
          </w:p>
          <w:p w:rsidR="00524B2F" w:rsidRPr="00B75FD7" w:rsidRDefault="00524B2F" w:rsidP="00C533DF">
            <w:pPr>
              <w:autoSpaceDE w:val="0"/>
              <w:autoSpaceDN w:val="0"/>
              <w:adjustRightInd w:val="0"/>
              <w:rPr>
                <w:sz w:val="22"/>
              </w:rPr>
            </w:pPr>
          </w:p>
          <w:p w:rsidR="00524B2F" w:rsidRPr="00B75FD7" w:rsidRDefault="00524B2F" w:rsidP="00C533DF">
            <w:pPr>
              <w:autoSpaceDE w:val="0"/>
              <w:autoSpaceDN w:val="0"/>
              <w:adjustRightInd w:val="0"/>
              <w:rPr>
                <w:rFonts w:eastAsia="Calibri"/>
                <w:color w:val="000000"/>
                <w:sz w:val="22"/>
              </w:rPr>
            </w:pPr>
          </w:p>
        </w:tc>
        <w:tc>
          <w:tcPr>
            <w:tcW w:w="1275" w:type="dxa"/>
            <w:tcBorders>
              <w:top w:val="single" w:sz="6" w:space="0" w:color="auto"/>
              <w:left w:val="single" w:sz="6" w:space="0" w:color="auto"/>
              <w:bottom w:val="single" w:sz="4" w:space="0" w:color="auto"/>
              <w:right w:val="single" w:sz="6" w:space="0" w:color="auto"/>
            </w:tcBorders>
          </w:tcPr>
          <w:p w:rsidR="00524B2F" w:rsidRPr="00B75FD7" w:rsidRDefault="00524B2F" w:rsidP="00C533DF">
            <w:pPr>
              <w:autoSpaceDE w:val="0"/>
              <w:autoSpaceDN w:val="0"/>
              <w:adjustRightInd w:val="0"/>
              <w:rPr>
                <w:sz w:val="22"/>
              </w:rPr>
            </w:pPr>
            <w:r w:rsidRPr="00B75FD7">
              <w:rPr>
                <w:sz w:val="22"/>
              </w:rPr>
              <w:t>707</w:t>
            </w:r>
          </w:p>
        </w:tc>
      </w:tr>
      <w:tr w:rsidR="00524B2F" w:rsidRPr="00B75FD7" w:rsidTr="00524B2F">
        <w:trPr>
          <w:trHeight w:val="6259"/>
        </w:trPr>
        <w:tc>
          <w:tcPr>
            <w:tcW w:w="1448" w:type="dxa"/>
            <w:tcBorders>
              <w:top w:val="nil"/>
              <w:left w:val="nil"/>
              <w:bottom w:val="nil"/>
              <w:right w:val="nil"/>
            </w:tcBorders>
          </w:tcPr>
          <w:p w:rsidR="00524B2F" w:rsidRPr="00B75FD7" w:rsidRDefault="00524B2F" w:rsidP="00C533DF">
            <w:pPr>
              <w:autoSpaceDE w:val="0"/>
              <w:autoSpaceDN w:val="0"/>
              <w:adjustRightInd w:val="0"/>
              <w:jc w:val="right"/>
              <w:rPr>
                <w:rFonts w:eastAsia="Calibri"/>
                <w:color w:val="000000"/>
                <w:sz w:val="22"/>
              </w:rPr>
            </w:pPr>
          </w:p>
        </w:tc>
        <w:tc>
          <w:tcPr>
            <w:tcW w:w="2830"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24B2F" w:rsidRPr="00B75FD7" w:rsidRDefault="00524B2F" w:rsidP="00C533DF">
            <w:pPr>
              <w:autoSpaceDE w:val="0"/>
              <w:autoSpaceDN w:val="0"/>
              <w:adjustRightInd w:val="0"/>
              <w:rPr>
                <w:rFonts w:eastAsia="Calibri"/>
                <w:b/>
                <w:color w:val="000000"/>
                <w:sz w:val="22"/>
              </w:rPr>
            </w:pPr>
            <w:r w:rsidRPr="00B75FD7">
              <w:rPr>
                <w:rFonts w:eastAsia="Calibri"/>
                <w:b/>
                <w:color w:val="000000"/>
                <w:sz w:val="22"/>
              </w:rPr>
              <w:t>Ключові заходи проекту:</w:t>
            </w:r>
          </w:p>
        </w:tc>
        <w:tc>
          <w:tcPr>
            <w:tcW w:w="7092" w:type="dxa"/>
            <w:gridSpan w:val="6"/>
            <w:tcBorders>
              <w:top w:val="single" w:sz="6" w:space="0" w:color="auto"/>
              <w:left w:val="single" w:sz="6" w:space="0" w:color="auto"/>
              <w:bottom w:val="single" w:sz="6" w:space="0" w:color="auto"/>
              <w:right w:val="single" w:sz="6" w:space="0" w:color="auto"/>
            </w:tcBorders>
          </w:tcPr>
          <w:p w:rsidR="00524B2F" w:rsidRPr="00B75FD7" w:rsidRDefault="00524B2F" w:rsidP="00C533DF">
            <w:pPr>
              <w:pStyle w:val="a7"/>
              <w:ind w:left="0"/>
              <w:rPr>
                <w:sz w:val="22"/>
              </w:rPr>
            </w:pPr>
            <w:r w:rsidRPr="00B75FD7">
              <w:rPr>
                <w:sz w:val="22"/>
              </w:rPr>
              <w:t>- обстеження стану будівлі, ігрових та спортивних майданчиків;</w:t>
            </w:r>
          </w:p>
          <w:p w:rsidR="00524B2F" w:rsidRPr="00B75FD7" w:rsidRDefault="00524B2F" w:rsidP="00C533DF">
            <w:pPr>
              <w:pStyle w:val="a7"/>
              <w:ind w:left="0"/>
              <w:rPr>
                <w:sz w:val="22"/>
              </w:rPr>
            </w:pPr>
            <w:r w:rsidRPr="00B75FD7">
              <w:rPr>
                <w:sz w:val="22"/>
              </w:rPr>
              <w:t xml:space="preserve"> - проведення інвентаризації основних засобів;</w:t>
            </w:r>
          </w:p>
          <w:p w:rsidR="00524B2F" w:rsidRPr="00B75FD7" w:rsidRDefault="00524B2F" w:rsidP="00C533DF">
            <w:pPr>
              <w:pStyle w:val="a7"/>
              <w:ind w:left="0"/>
              <w:rPr>
                <w:sz w:val="22"/>
              </w:rPr>
            </w:pPr>
            <w:r w:rsidRPr="00B75FD7">
              <w:rPr>
                <w:sz w:val="22"/>
              </w:rPr>
              <w:t xml:space="preserve"> - придбання технічного забезпечення підприємства;</w:t>
            </w:r>
          </w:p>
          <w:p w:rsidR="00524B2F" w:rsidRPr="00B75FD7" w:rsidRDefault="00524B2F" w:rsidP="00C533DF">
            <w:pPr>
              <w:shd w:val="clear" w:color="auto" w:fill="FFFFFF"/>
              <w:spacing w:after="75"/>
              <w:ind w:right="300"/>
              <w:rPr>
                <w:sz w:val="22"/>
              </w:rPr>
            </w:pPr>
            <w:r w:rsidRPr="00B75FD7">
              <w:rPr>
                <w:sz w:val="22"/>
              </w:rPr>
              <w:t xml:space="preserve"> - організація та початок робочого процесу.</w:t>
            </w:r>
          </w:p>
          <w:p w:rsidR="00524B2F" w:rsidRPr="00B75FD7" w:rsidRDefault="00524B2F" w:rsidP="00524B2F">
            <w:pPr>
              <w:shd w:val="clear" w:color="auto" w:fill="FFFFFF"/>
              <w:ind w:left="111" w:right="301" w:hanging="142"/>
              <w:rPr>
                <w:rFonts w:eastAsia="Calibri"/>
                <w:sz w:val="22"/>
              </w:rPr>
            </w:pPr>
            <w:r w:rsidRPr="00B75FD7">
              <w:rPr>
                <w:sz w:val="22"/>
              </w:rPr>
              <w:t xml:space="preserve"> - </w:t>
            </w:r>
            <w:r w:rsidRPr="00B75FD7">
              <w:rPr>
                <w:rFonts w:eastAsia="Calibri"/>
                <w:sz w:val="22"/>
              </w:rPr>
              <w:t>визначення орієнтовних розрахунків комплексного оснащення Ясла – садка № 24 міста Сєвєродонецька Луганської області на предмет закупівлі меблів, обладнання, предметів та інвентарю, а саме:</w:t>
            </w:r>
          </w:p>
          <w:p w:rsidR="00524B2F" w:rsidRPr="00B75FD7" w:rsidRDefault="00524B2F" w:rsidP="000303D7">
            <w:pPr>
              <w:numPr>
                <w:ilvl w:val="0"/>
                <w:numId w:val="84"/>
              </w:numPr>
              <w:shd w:val="clear" w:color="auto" w:fill="FFFFFF"/>
              <w:ind w:right="301"/>
              <w:jc w:val="left"/>
              <w:rPr>
                <w:sz w:val="22"/>
              </w:rPr>
            </w:pPr>
            <w:r w:rsidRPr="00B75FD7">
              <w:rPr>
                <w:rFonts w:eastAsia="Calibri"/>
                <w:sz w:val="22"/>
              </w:rPr>
              <w:t xml:space="preserve">меблів для персоналу та для вихованців; </w:t>
            </w:r>
          </w:p>
          <w:p w:rsidR="00524B2F" w:rsidRPr="00B75FD7" w:rsidRDefault="00524B2F" w:rsidP="000303D7">
            <w:pPr>
              <w:numPr>
                <w:ilvl w:val="0"/>
                <w:numId w:val="84"/>
              </w:numPr>
              <w:shd w:val="clear" w:color="auto" w:fill="FFFFFF"/>
              <w:ind w:right="301"/>
              <w:jc w:val="left"/>
              <w:rPr>
                <w:sz w:val="22"/>
              </w:rPr>
            </w:pPr>
            <w:r w:rsidRPr="00B75FD7">
              <w:rPr>
                <w:sz w:val="22"/>
              </w:rPr>
              <w:t>дитячих меблів для групових кімнат та осередків;</w:t>
            </w:r>
          </w:p>
          <w:p w:rsidR="00524B2F" w:rsidRPr="00B75FD7" w:rsidRDefault="00524B2F" w:rsidP="000303D7">
            <w:pPr>
              <w:numPr>
                <w:ilvl w:val="0"/>
                <w:numId w:val="84"/>
              </w:numPr>
              <w:shd w:val="clear" w:color="auto" w:fill="FFFFFF"/>
              <w:ind w:right="301"/>
              <w:jc w:val="left"/>
              <w:rPr>
                <w:sz w:val="22"/>
              </w:rPr>
            </w:pPr>
            <w:r w:rsidRPr="00B75FD7">
              <w:rPr>
                <w:b/>
                <w:sz w:val="22"/>
              </w:rPr>
              <w:t xml:space="preserve"> </w:t>
            </w:r>
            <w:r w:rsidRPr="00B75FD7">
              <w:rPr>
                <w:sz w:val="22"/>
              </w:rPr>
              <w:t xml:space="preserve">меблів та </w:t>
            </w:r>
            <w:proofErr w:type="spellStart"/>
            <w:r w:rsidRPr="00B75FD7">
              <w:rPr>
                <w:sz w:val="22"/>
              </w:rPr>
              <w:t>приспособів</w:t>
            </w:r>
            <w:proofErr w:type="spellEnd"/>
            <w:r w:rsidRPr="00B75FD7">
              <w:rPr>
                <w:sz w:val="22"/>
              </w:rPr>
              <w:t xml:space="preserve"> для поширення інформації про заклад;</w:t>
            </w:r>
          </w:p>
          <w:p w:rsidR="00524B2F" w:rsidRPr="00B75FD7" w:rsidRDefault="00524B2F" w:rsidP="000303D7">
            <w:pPr>
              <w:numPr>
                <w:ilvl w:val="0"/>
                <w:numId w:val="84"/>
              </w:numPr>
              <w:shd w:val="clear" w:color="auto" w:fill="FFFFFF"/>
              <w:ind w:right="301"/>
              <w:jc w:val="left"/>
              <w:rPr>
                <w:sz w:val="22"/>
              </w:rPr>
            </w:pPr>
            <w:r w:rsidRPr="00B75FD7">
              <w:rPr>
                <w:b/>
                <w:sz w:val="22"/>
              </w:rPr>
              <w:t xml:space="preserve"> </w:t>
            </w:r>
            <w:r w:rsidRPr="00B75FD7">
              <w:rPr>
                <w:sz w:val="22"/>
              </w:rPr>
              <w:t xml:space="preserve">меблів  та </w:t>
            </w:r>
            <w:proofErr w:type="spellStart"/>
            <w:r w:rsidRPr="00B75FD7">
              <w:rPr>
                <w:sz w:val="22"/>
              </w:rPr>
              <w:t>приспособів</w:t>
            </w:r>
            <w:proofErr w:type="spellEnd"/>
            <w:r w:rsidRPr="00B75FD7">
              <w:rPr>
                <w:sz w:val="22"/>
              </w:rPr>
              <w:t xml:space="preserve"> медичного призначення; </w:t>
            </w:r>
          </w:p>
          <w:p w:rsidR="00524B2F" w:rsidRPr="00B75FD7" w:rsidRDefault="00524B2F" w:rsidP="000303D7">
            <w:pPr>
              <w:numPr>
                <w:ilvl w:val="0"/>
                <w:numId w:val="84"/>
              </w:numPr>
              <w:shd w:val="clear" w:color="auto" w:fill="FFFFFF"/>
              <w:ind w:right="301"/>
              <w:jc w:val="left"/>
              <w:rPr>
                <w:sz w:val="22"/>
              </w:rPr>
            </w:pPr>
            <w:r w:rsidRPr="00B75FD7">
              <w:rPr>
                <w:sz w:val="22"/>
              </w:rPr>
              <w:t xml:space="preserve">текстильні вироби; </w:t>
            </w:r>
          </w:p>
          <w:p w:rsidR="00524B2F" w:rsidRPr="00B75FD7" w:rsidRDefault="00524B2F" w:rsidP="000303D7">
            <w:pPr>
              <w:numPr>
                <w:ilvl w:val="0"/>
                <w:numId w:val="84"/>
              </w:numPr>
              <w:shd w:val="clear" w:color="auto" w:fill="FFFFFF"/>
              <w:ind w:right="301"/>
              <w:jc w:val="left"/>
              <w:rPr>
                <w:sz w:val="22"/>
              </w:rPr>
            </w:pPr>
            <w:r w:rsidRPr="00B75FD7">
              <w:rPr>
                <w:sz w:val="22"/>
              </w:rPr>
              <w:t>кухонне приладдя та меблі;</w:t>
            </w:r>
            <w:r w:rsidRPr="00B75FD7">
              <w:rPr>
                <w:b/>
                <w:sz w:val="22"/>
              </w:rPr>
              <w:t xml:space="preserve"> </w:t>
            </w:r>
          </w:p>
          <w:p w:rsidR="00524B2F" w:rsidRPr="00B75FD7" w:rsidRDefault="00524B2F" w:rsidP="000303D7">
            <w:pPr>
              <w:numPr>
                <w:ilvl w:val="0"/>
                <w:numId w:val="84"/>
              </w:numPr>
              <w:shd w:val="clear" w:color="auto" w:fill="FFFFFF"/>
              <w:ind w:right="301"/>
              <w:jc w:val="left"/>
              <w:rPr>
                <w:sz w:val="22"/>
              </w:rPr>
            </w:pPr>
            <w:r w:rsidRPr="00B75FD7">
              <w:rPr>
                <w:sz w:val="22"/>
              </w:rPr>
              <w:t xml:space="preserve">кухонних меблів та обладнання; </w:t>
            </w:r>
          </w:p>
          <w:p w:rsidR="00524B2F" w:rsidRPr="00B75FD7" w:rsidRDefault="00524B2F" w:rsidP="000303D7">
            <w:pPr>
              <w:numPr>
                <w:ilvl w:val="0"/>
                <w:numId w:val="84"/>
              </w:numPr>
              <w:shd w:val="clear" w:color="auto" w:fill="FFFFFF"/>
              <w:ind w:right="301"/>
              <w:jc w:val="left"/>
              <w:rPr>
                <w:sz w:val="22"/>
              </w:rPr>
            </w:pPr>
            <w:r w:rsidRPr="00B75FD7">
              <w:rPr>
                <w:sz w:val="22"/>
              </w:rPr>
              <w:t>посуду та інвентар для харчоблоку та груп;</w:t>
            </w:r>
            <w:r w:rsidRPr="00B75FD7">
              <w:rPr>
                <w:b/>
                <w:sz w:val="22"/>
              </w:rPr>
              <w:t xml:space="preserve"> </w:t>
            </w:r>
          </w:p>
          <w:p w:rsidR="00524B2F" w:rsidRPr="00B75FD7" w:rsidRDefault="00524B2F" w:rsidP="000303D7">
            <w:pPr>
              <w:numPr>
                <w:ilvl w:val="0"/>
                <w:numId w:val="84"/>
              </w:numPr>
              <w:shd w:val="clear" w:color="auto" w:fill="FFFFFF"/>
              <w:ind w:right="301"/>
              <w:jc w:val="left"/>
              <w:rPr>
                <w:sz w:val="22"/>
              </w:rPr>
            </w:pPr>
            <w:r w:rsidRPr="00B75FD7">
              <w:rPr>
                <w:sz w:val="22"/>
              </w:rPr>
              <w:t xml:space="preserve">меблів та пристроїв для спортивного обладнання побутової техніки; </w:t>
            </w:r>
          </w:p>
          <w:p w:rsidR="00524B2F" w:rsidRPr="00B75FD7" w:rsidRDefault="00524B2F" w:rsidP="000303D7">
            <w:pPr>
              <w:numPr>
                <w:ilvl w:val="0"/>
                <w:numId w:val="84"/>
              </w:numPr>
              <w:shd w:val="clear" w:color="auto" w:fill="FFFFFF"/>
              <w:ind w:right="301"/>
              <w:jc w:val="left"/>
              <w:rPr>
                <w:sz w:val="22"/>
              </w:rPr>
            </w:pPr>
            <w:r w:rsidRPr="00B75FD7">
              <w:rPr>
                <w:sz w:val="22"/>
              </w:rPr>
              <w:t xml:space="preserve">меблів та пристроїв для музичної зали;  </w:t>
            </w:r>
          </w:p>
          <w:p w:rsidR="00D14051" w:rsidRPr="00B75FD7" w:rsidRDefault="00524B2F" w:rsidP="000303D7">
            <w:pPr>
              <w:numPr>
                <w:ilvl w:val="0"/>
                <w:numId w:val="84"/>
              </w:numPr>
              <w:shd w:val="clear" w:color="auto" w:fill="FFFFFF"/>
              <w:ind w:right="301"/>
              <w:jc w:val="left"/>
              <w:rPr>
                <w:color w:val="000000"/>
                <w:sz w:val="22"/>
              </w:rPr>
            </w:pPr>
            <w:r w:rsidRPr="00B75FD7">
              <w:rPr>
                <w:sz w:val="22"/>
              </w:rPr>
              <w:t>комп’ютерної та копіювальної техніки;</w:t>
            </w:r>
          </w:p>
          <w:p w:rsidR="00524B2F" w:rsidRPr="00B75FD7" w:rsidRDefault="00524B2F" w:rsidP="000303D7">
            <w:pPr>
              <w:pStyle w:val="a7"/>
              <w:numPr>
                <w:ilvl w:val="0"/>
                <w:numId w:val="9"/>
              </w:numPr>
              <w:shd w:val="clear" w:color="auto" w:fill="FFFFFF"/>
              <w:tabs>
                <w:tab w:val="clear" w:pos="1068"/>
                <w:tab w:val="num" w:pos="400"/>
              </w:tabs>
              <w:ind w:right="301" w:hanging="951"/>
              <w:jc w:val="left"/>
              <w:rPr>
                <w:color w:val="000000"/>
                <w:sz w:val="22"/>
              </w:rPr>
            </w:pPr>
            <w:r w:rsidRPr="00B75FD7">
              <w:rPr>
                <w:sz w:val="22"/>
              </w:rPr>
              <w:t>розробка планів закупівлі та тендерної  документації.</w:t>
            </w:r>
          </w:p>
        </w:tc>
      </w:tr>
      <w:tr w:rsidR="00524B2F" w:rsidRPr="00B75FD7" w:rsidTr="00D67D41">
        <w:trPr>
          <w:trHeight w:val="600"/>
        </w:trPr>
        <w:tc>
          <w:tcPr>
            <w:tcW w:w="1448" w:type="dxa"/>
            <w:vMerge w:val="restart"/>
            <w:tcBorders>
              <w:top w:val="nil"/>
              <w:left w:val="nil"/>
              <w:right w:val="nil"/>
            </w:tcBorders>
          </w:tcPr>
          <w:p w:rsidR="00524B2F" w:rsidRPr="00B75FD7" w:rsidRDefault="00524B2F" w:rsidP="00C533DF">
            <w:pPr>
              <w:autoSpaceDE w:val="0"/>
              <w:autoSpaceDN w:val="0"/>
              <w:adjustRightInd w:val="0"/>
              <w:jc w:val="right"/>
              <w:rPr>
                <w:rFonts w:eastAsia="Calibri"/>
                <w:color w:val="000000"/>
                <w:sz w:val="22"/>
              </w:rPr>
            </w:pPr>
          </w:p>
        </w:tc>
        <w:tc>
          <w:tcPr>
            <w:tcW w:w="2830" w:type="dxa"/>
            <w:vMerge w:val="restart"/>
            <w:tcBorders>
              <w:top w:val="single" w:sz="6" w:space="0" w:color="auto"/>
              <w:left w:val="single" w:sz="6" w:space="0" w:color="auto"/>
              <w:right w:val="single" w:sz="6" w:space="0" w:color="auto"/>
            </w:tcBorders>
            <w:shd w:val="clear" w:color="00FFFF" w:fill="C6D9F1" w:themeFill="text2" w:themeFillTint="33"/>
          </w:tcPr>
          <w:p w:rsidR="00524B2F" w:rsidRPr="00B75FD7" w:rsidRDefault="00524B2F" w:rsidP="00C533DF">
            <w:pPr>
              <w:autoSpaceDE w:val="0"/>
              <w:autoSpaceDN w:val="0"/>
              <w:adjustRightInd w:val="0"/>
              <w:rPr>
                <w:rFonts w:eastAsia="Calibri"/>
                <w:b/>
                <w:color w:val="000000"/>
                <w:sz w:val="22"/>
              </w:rPr>
            </w:pPr>
            <w:r w:rsidRPr="00B75FD7">
              <w:rPr>
                <w:rFonts w:eastAsia="Calibri"/>
                <w:b/>
                <w:color w:val="000000"/>
                <w:sz w:val="22"/>
              </w:rPr>
              <w:t>Орієнтовний обсяг та джерела фінансування тис. гривень</w:t>
            </w:r>
          </w:p>
        </w:tc>
        <w:tc>
          <w:tcPr>
            <w:tcW w:w="1422" w:type="dxa"/>
            <w:vMerge w:val="restart"/>
            <w:tcBorders>
              <w:top w:val="single" w:sz="6" w:space="0" w:color="auto"/>
              <w:left w:val="single" w:sz="6" w:space="0" w:color="auto"/>
              <w:bottom w:val="single" w:sz="6" w:space="0" w:color="auto"/>
              <w:right w:val="single" w:sz="6" w:space="0" w:color="auto"/>
            </w:tcBorders>
          </w:tcPr>
          <w:p w:rsidR="00524B2F" w:rsidRPr="00B75FD7" w:rsidRDefault="00524B2F" w:rsidP="00C533DF">
            <w:pPr>
              <w:autoSpaceDE w:val="0"/>
              <w:autoSpaceDN w:val="0"/>
              <w:adjustRightInd w:val="0"/>
              <w:rPr>
                <w:rFonts w:eastAsia="Calibri"/>
                <w:b/>
                <w:color w:val="000000"/>
                <w:sz w:val="22"/>
              </w:rPr>
            </w:pPr>
            <w:r w:rsidRPr="00B75FD7">
              <w:rPr>
                <w:rFonts w:eastAsia="Calibri"/>
                <w:b/>
                <w:color w:val="000000"/>
                <w:sz w:val="22"/>
              </w:rPr>
              <w:t>Державний бюджет</w:t>
            </w:r>
          </w:p>
        </w:tc>
        <w:tc>
          <w:tcPr>
            <w:tcW w:w="1276" w:type="dxa"/>
            <w:vMerge w:val="restart"/>
            <w:tcBorders>
              <w:top w:val="single" w:sz="6" w:space="0" w:color="auto"/>
              <w:left w:val="single" w:sz="6" w:space="0" w:color="auto"/>
              <w:bottom w:val="single" w:sz="6" w:space="0" w:color="auto"/>
              <w:right w:val="single" w:sz="6" w:space="0" w:color="auto"/>
            </w:tcBorders>
          </w:tcPr>
          <w:p w:rsidR="00524B2F" w:rsidRPr="00B75FD7" w:rsidRDefault="00524B2F" w:rsidP="00C533DF">
            <w:pPr>
              <w:autoSpaceDE w:val="0"/>
              <w:autoSpaceDN w:val="0"/>
              <w:adjustRightInd w:val="0"/>
              <w:rPr>
                <w:rFonts w:eastAsia="Calibri"/>
                <w:b/>
                <w:color w:val="000000"/>
                <w:sz w:val="22"/>
              </w:rPr>
            </w:pPr>
            <w:r w:rsidRPr="00B75FD7">
              <w:rPr>
                <w:rFonts w:eastAsia="Calibri"/>
                <w:b/>
                <w:color w:val="000000"/>
                <w:sz w:val="22"/>
              </w:rPr>
              <w:t>Місцевий бюджет</w:t>
            </w:r>
          </w:p>
        </w:tc>
        <w:tc>
          <w:tcPr>
            <w:tcW w:w="3119" w:type="dxa"/>
            <w:gridSpan w:val="3"/>
            <w:tcBorders>
              <w:top w:val="single" w:sz="6" w:space="0" w:color="auto"/>
              <w:left w:val="single" w:sz="6" w:space="0" w:color="auto"/>
              <w:bottom w:val="single" w:sz="6" w:space="0" w:color="auto"/>
              <w:right w:val="single" w:sz="6" w:space="0" w:color="auto"/>
            </w:tcBorders>
          </w:tcPr>
          <w:p w:rsidR="00524B2F" w:rsidRPr="00B75FD7" w:rsidRDefault="00524B2F" w:rsidP="00C533DF">
            <w:pPr>
              <w:autoSpaceDE w:val="0"/>
              <w:autoSpaceDN w:val="0"/>
              <w:adjustRightInd w:val="0"/>
              <w:rPr>
                <w:rFonts w:eastAsia="Calibri"/>
                <w:b/>
                <w:color w:val="000000"/>
                <w:sz w:val="22"/>
              </w:rPr>
            </w:pPr>
            <w:r w:rsidRPr="00B75FD7">
              <w:rPr>
                <w:rFonts w:eastAsia="Calibri"/>
                <w:b/>
                <w:color w:val="000000"/>
                <w:sz w:val="22"/>
              </w:rPr>
              <w:t>Інші джерела</w:t>
            </w:r>
          </w:p>
        </w:tc>
        <w:tc>
          <w:tcPr>
            <w:tcW w:w="1275" w:type="dxa"/>
            <w:tcBorders>
              <w:top w:val="single" w:sz="6" w:space="0" w:color="auto"/>
              <w:left w:val="single" w:sz="6" w:space="0" w:color="auto"/>
              <w:bottom w:val="single" w:sz="6" w:space="0" w:color="auto"/>
              <w:right w:val="single" w:sz="6" w:space="0" w:color="auto"/>
            </w:tcBorders>
          </w:tcPr>
          <w:p w:rsidR="00524B2F" w:rsidRPr="00B75FD7" w:rsidRDefault="00524B2F" w:rsidP="00C533DF">
            <w:pPr>
              <w:autoSpaceDE w:val="0"/>
              <w:autoSpaceDN w:val="0"/>
              <w:adjustRightInd w:val="0"/>
              <w:rPr>
                <w:rFonts w:eastAsia="Calibri"/>
                <w:b/>
                <w:color w:val="000000"/>
                <w:sz w:val="22"/>
              </w:rPr>
            </w:pPr>
            <w:r w:rsidRPr="00B75FD7">
              <w:rPr>
                <w:rFonts w:eastAsia="Calibri"/>
                <w:b/>
                <w:color w:val="000000"/>
                <w:sz w:val="22"/>
              </w:rPr>
              <w:t>Всього</w:t>
            </w:r>
          </w:p>
        </w:tc>
      </w:tr>
      <w:tr w:rsidR="00524B2F" w:rsidRPr="00B75FD7" w:rsidTr="00D67D41">
        <w:trPr>
          <w:trHeight w:val="350"/>
        </w:trPr>
        <w:tc>
          <w:tcPr>
            <w:tcW w:w="1448" w:type="dxa"/>
            <w:vMerge/>
            <w:tcBorders>
              <w:top w:val="nil"/>
              <w:left w:val="nil"/>
              <w:right w:val="nil"/>
            </w:tcBorders>
          </w:tcPr>
          <w:p w:rsidR="00524B2F" w:rsidRPr="00B75FD7" w:rsidRDefault="00524B2F" w:rsidP="00C533DF">
            <w:pPr>
              <w:autoSpaceDE w:val="0"/>
              <w:autoSpaceDN w:val="0"/>
              <w:adjustRightInd w:val="0"/>
              <w:jc w:val="right"/>
              <w:rPr>
                <w:rFonts w:eastAsia="Calibri"/>
                <w:color w:val="000000"/>
                <w:sz w:val="22"/>
              </w:rPr>
            </w:pPr>
          </w:p>
        </w:tc>
        <w:tc>
          <w:tcPr>
            <w:tcW w:w="2830" w:type="dxa"/>
            <w:vMerge/>
            <w:tcBorders>
              <w:top w:val="single" w:sz="6" w:space="0" w:color="auto"/>
              <w:left w:val="single" w:sz="6" w:space="0" w:color="auto"/>
              <w:right w:val="single" w:sz="6" w:space="0" w:color="auto"/>
            </w:tcBorders>
            <w:shd w:val="clear" w:color="00FFFF" w:fill="C6D9F1" w:themeFill="text2" w:themeFillTint="33"/>
          </w:tcPr>
          <w:p w:rsidR="00524B2F" w:rsidRPr="00B75FD7" w:rsidRDefault="00524B2F" w:rsidP="00C533DF">
            <w:pPr>
              <w:autoSpaceDE w:val="0"/>
              <w:autoSpaceDN w:val="0"/>
              <w:adjustRightInd w:val="0"/>
              <w:rPr>
                <w:rFonts w:eastAsia="Calibri"/>
                <w:b/>
                <w:color w:val="000000"/>
                <w:sz w:val="22"/>
              </w:rPr>
            </w:pPr>
          </w:p>
        </w:tc>
        <w:tc>
          <w:tcPr>
            <w:tcW w:w="1422" w:type="dxa"/>
            <w:vMerge/>
            <w:tcBorders>
              <w:top w:val="single" w:sz="6" w:space="0" w:color="auto"/>
              <w:left w:val="single" w:sz="6" w:space="0" w:color="auto"/>
              <w:bottom w:val="single" w:sz="6" w:space="0" w:color="auto"/>
              <w:right w:val="single" w:sz="6" w:space="0" w:color="auto"/>
            </w:tcBorders>
          </w:tcPr>
          <w:p w:rsidR="00524B2F" w:rsidRPr="00B75FD7" w:rsidRDefault="00524B2F" w:rsidP="00C533DF">
            <w:pPr>
              <w:autoSpaceDE w:val="0"/>
              <w:autoSpaceDN w:val="0"/>
              <w:adjustRightInd w:val="0"/>
              <w:rPr>
                <w:rFonts w:eastAsia="Calibri"/>
                <w:color w:val="000000"/>
                <w:sz w:val="22"/>
              </w:rPr>
            </w:pPr>
          </w:p>
        </w:tc>
        <w:tc>
          <w:tcPr>
            <w:tcW w:w="1276" w:type="dxa"/>
            <w:vMerge/>
            <w:tcBorders>
              <w:top w:val="single" w:sz="6" w:space="0" w:color="auto"/>
              <w:left w:val="single" w:sz="6" w:space="0" w:color="auto"/>
              <w:bottom w:val="single" w:sz="6" w:space="0" w:color="auto"/>
              <w:right w:val="single" w:sz="6" w:space="0" w:color="auto"/>
            </w:tcBorders>
          </w:tcPr>
          <w:p w:rsidR="00524B2F" w:rsidRPr="00B75FD7" w:rsidRDefault="00524B2F" w:rsidP="00C533DF">
            <w:pPr>
              <w:autoSpaceDE w:val="0"/>
              <w:autoSpaceDN w:val="0"/>
              <w:adjustRightInd w:val="0"/>
              <w:rPr>
                <w:rFonts w:eastAsia="Calibri"/>
                <w:color w:val="000000"/>
                <w:sz w:val="22"/>
              </w:rPr>
            </w:pPr>
          </w:p>
        </w:tc>
        <w:tc>
          <w:tcPr>
            <w:tcW w:w="992" w:type="dxa"/>
            <w:tcBorders>
              <w:top w:val="single" w:sz="6" w:space="0" w:color="auto"/>
              <w:left w:val="single" w:sz="6" w:space="0" w:color="auto"/>
              <w:bottom w:val="single" w:sz="6" w:space="0" w:color="auto"/>
              <w:right w:val="single" w:sz="6" w:space="0" w:color="auto"/>
            </w:tcBorders>
          </w:tcPr>
          <w:p w:rsidR="00524B2F" w:rsidRPr="00B75FD7" w:rsidRDefault="00524B2F" w:rsidP="00C533DF">
            <w:pPr>
              <w:autoSpaceDE w:val="0"/>
              <w:autoSpaceDN w:val="0"/>
              <w:adjustRightInd w:val="0"/>
              <w:rPr>
                <w:rFonts w:eastAsia="Calibri"/>
                <w:b/>
                <w:color w:val="000000"/>
                <w:sz w:val="22"/>
              </w:rPr>
            </w:pPr>
            <w:r w:rsidRPr="00B75FD7">
              <w:rPr>
                <w:rFonts w:eastAsia="Calibri"/>
                <w:b/>
                <w:color w:val="000000"/>
                <w:sz w:val="22"/>
              </w:rPr>
              <w:t>Обсяг</w:t>
            </w:r>
          </w:p>
        </w:tc>
        <w:tc>
          <w:tcPr>
            <w:tcW w:w="2127" w:type="dxa"/>
            <w:gridSpan w:val="2"/>
            <w:tcBorders>
              <w:top w:val="single" w:sz="6" w:space="0" w:color="auto"/>
              <w:left w:val="single" w:sz="6" w:space="0" w:color="auto"/>
              <w:bottom w:val="single" w:sz="6" w:space="0" w:color="auto"/>
              <w:right w:val="single" w:sz="6" w:space="0" w:color="auto"/>
            </w:tcBorders>
          </w:tcPr>
          <w:p w:rsidR="00524B2F" w:rsidRPr="00B75FD7" w:rsidRDefault="00524B2F" w:rsidP="00C533DF">
            <w:pPr>
              <w:autoSpaceDE w:val="0"/>
              <w:autoSpaceDN w:val="0"/>
              <w:adjustRightInd w:val="0"/>
              <w:rPr>
                <w:rFonts w:eastAsia="Calibri"/>
                <w:b/>
                <w:color w:val="000000"/>
                <w:sz w:val="22"/>
              </w:rPr>
            </w:pPr>
            <w:r w:rsidRPr="00B75FD7">
              <w:rPr>
                <w:rFonts w:eastAsia="Calibri"/>
                <w:b/>
                <w:color w:val="000000"/>
                <w:sz w:val="22"/>
              </w:rPr>
              <w:t>Назва джерела</w:t>
            </w:r>
          </w:p>
        </w:tc>
        <w:tc>
          <w:tcPr>
            <w:tcW w:w="1275" w:type="dxa"/>
            <w:tcBorders>
              <w:top w:val="single" w:sz="6" w:space="0" w:color="auto"/>
              <w:left w:val="single" w:sz="6" w:space="0" w:color="auto"/>
              <w:bottom w:val="single" w:sz="6" w:space="0" w:color="auto"/>
              <w:right w:val="single" w:sz="6" w:space="0" w:color="auto"/>
            </w:tcBorders>
          </w:tcPr>
          <w:p w:rsidR="00524B2F" w:rsidRPr="00B75FD7" w:rsidRDefault="00524B2F" w:rsidP="00C533DF">
            <w:pPr>
              <w:autoSpaceDE w:val="0"/>
              <w:autoSpaceDN w:val="0"/>
              <w:adjustRightInd w:val="0"/>
              <w:rPr>
                <w:rFonts w:eastAsia="Calibri"/>
                <w:color w:val="000000"/>
                <w:sz w:val="22"/>
              </w:rPr>
            </w:pPr>
          </w:p>
        </w:tc>
      </w:tr>
      <w:tr w:rsidR="00524B2F" w:rsidRPr="00B75FD7" w:rsidTr="00D67D41">
        <w:trPr>
          <w:trHeight w:val="583"/>
        </w:trPr>
        <w:tc>
          <w:tcPr>
            <w:tcW w:w="1448" w:type="dxa"/>
            <w:vMerge/>
            <w:tcBorders>
              <w:left w:val="nil"/>
              <w:bottom w:val="nil"/>
              <w:right w:val="nil"/>
            </w:tcBorders>
          </w:tcPr>
          <w:p w:rsidR="00524B2F" w:rsidRPr="00B75FD7" w:rsidRDefault="00524B2F" w:rsidP="00C533DF">
            <w:pPr>
              <w:autoSpaceDE w:val="0"/>
              <w:autoSpaceDN w:val="0"/>
              <w:adjustRightInd w:val="0"/>
              <w:jc w:val="right"/>
              <w:rPr>
                <w:rFonts w:eastAsia="Calibri"/>
                <w:color w:val="000000"/>
                <w:sz w:val="22"/>
              </w:rPr>
            </w:pPr>
          </w:p>
        </w:tc>
        <w:tc>
          <w:tcPr>
            <w:tcW w:w="2830" w:type="dxa"/>
            <w:vMerge/>
            <w:tcBorders>
              <w:left w:val="single" w:sz="6" w:space="0" w:color="auto"/>
              <w:bottom w:val="single" w:sz="6" w:space="0" w:color="auto"/>
              <w:right w:val="single" w:sz="6" w:space="0" w:color="auto"/>
            </w:tcBorders>
            <w:shd w:val="clear" w:color="00FFFF" w:fill="C6D9F1" w:themeFill="text2" w:themeFillTint="33"/>
          </w:tcPr>
          <w:p w:rsidR="00524B2F" w:rsidRPr="00B75FD7" w:rsidRDefault="00524B2F" w:rsidP="00C533DF">
            <w:pPr>
              <w:autoSpaceDE w:val="0"/>
              <w:autoSpaceDN w:val="0"/>
              <w:adjustRightInd w:val="0"/>
              <w:rPr>
                <w:rFonts w:eastAsia="Calibri"/>
                <w:b/>
                <w:color w:val="000000"/>
                <w:sz w:val="22"/>
              </w:rPr>
            </w:pPr>
          </w:p>
        </w:tc>
        <w:tc>
          <w:tcPr>
            <w:tcW w:w="1422" w:type="dxa"/>
            <w:tcBorders>
              <w:top w:val="single" w:sz="6" w:space="0" w:color="auto"/>
              <w:left w:val="single" w:sz="6" w:space="0" w:color="auto"/>
              <w:bottom w:val="single" w:sz="6" w:space="0" w:color="auto"/>
              <w:right w:val="single" w:sz="6" w:space="0" w:color="auto"/>
            </w:tcBorders>
          </w:tcPr>
          <w:p w:rsidR="00524B2F" w:rsidRPr="00B75FD7" w:rsidRDefault="00524B2F" w:rsidP="00590CA2">
            <w:pPr>
              <w:autoSpaceDE w:val="0"/>
              <w:autoSpaceDN w:val="0"/>
              <w:adjustRightInd w:val="0"/>
              <w:rPr>
                <w:rFonts w:eastAsia="Calibri"/>
                <w:color w:val="000000"/>
                <w:sz w:val="22"/>
              </w:rPr>
            </w:pPr>
            <w:r w:rsidRPr="00B75FD7">
              <w:rPr>
                <w:rFonts w:eastAsia="Calibri"/>
                <w:color w:val="000000"/>
                <w:sz w:val="22"/>
              </w:rPr>
              <w:t>5 310,</w:t>
            </w:r>
            <w:r w:rsidR="00590CA2" w:rsidRPr="00B75FD7">
              <w:rPr>
                <w:rFonts w:eastAsia="Calibri"/>
                <w:color w:val="000000"/>
                <w:sz w:val="22"/>
              </w:rPr>
              <w:t>2</w:t>
            </w:r>
          </w:p>
        </w:tc>
        <w:tc>
          <w:tcPr>
            <w:tcW w:w="1276" w:type="dxa"/>
            <w:tcBorders>
              <w:top w:val="single" w:sz="6" w:space="0" w:color="auto"/>
              <w:left w:val="single" w:sz="6" w:space="0" w:color="auto"/>
              <w:bottom w:val="single" w:sz="6" w:space="0" w:color="auto"/>
              <w:right w:val="single" w:sz="6" w:space="0" w:color="auto"/>
            </w:tcBorders>
          </w:tcPr>
          <w:p w:rsidR="00524B2F" w:rsidRPr="00B75FD7" w:rsidRDefault="00F4352D" w:rsidP="00F4352D">
            <w:pPr>
              <w:autoSpaceDE w:val="0"/>
              <w:autoSpaceDN w:val="0"/>
              <w:adjustRightInd w:val="0"/>
              <w:jc w:val="center"/>
              <w:rPr>
                <w:rFonts w:eastAsia="Calibri"/>
                <w:color w:val="000000"/>
                <w:sz w:val="22"/>
              </w:rPr>
            </w:pPr>
            <w:r w:rsidRPr="00B75FD7">
              <w:rPr>
                <w:rFonts w:eastAsia="Calibri"/>
                <w:color w:val="000000"/>
                <w:sz w:val="22"/>
              </w:rPr>
              <w:t>-</w:t>
            </w:r>
          </w:p>
        </w:tc>
        <w:tc>
          <w:tcPr>
            <w:tcW w:w="992" w:type="dxa"/>
            <w:tcBorders>
              <w:top w:val="single" w:sz="6" w:space="0" w:color="auto"/>
              <w:left w:val="single" w:sz="6" w:space="0" w:color="auto"/>
              <w:bottom w:val="single" w:sz="6" w:space="0" w:color="auto"/>
              <w:right w:val="single" w:sz="6" w:space="0" w:color="auto"/>
            </w:tcBorders>
          </w:tcPr>
          <w:p w:rsidR="00524B2F" w:rsidRPr="00B75FD7" w:rsidRDefault="00524B2F" w:rsidP="00C533DF">
            <w:pPr>
              <w:autoSpaceDE w:val="0"/>
              <w:autoSpaceDN w:val="0"/>
              <w:adjustRightInd w:val="0"/>
              <w:rPr>
                <w:rFonts w:eastAsia="Calibri"/>
                <w:color w:val="000000"/>
                <w:sz w:val="22"/>
              </w:rPr>
            </w:pPr>
            <w:r w:rsidRPr="00B75FD7">
              <w:rPr>
                <w:rFonts w:eastAsia="Calibri"/>
                <w:color w:val="000000"/>
                <w:sz w:val="22"/>
              </w:rPr>
              <w:t>2 275,8</w:t>
            </w:r>
          </w:p>
        </w:tc>
        <w:tc>
          <w:tcPr>
            <w:tcW w:w="2127" w:type="dxa"/>
            <w:gridSpan w:val="2"/>
            <w:tcBorders>
              <w:top w:val="single" w:sz="6" w:space="0" w:color="auto"/>
              <w:left w:val="single" w:sz="6" w:space="0" w:color="auto"/>
              <w:bottom w:val="single" w:sz="6" w:space="0" w:color="auto"/>
              <w:right w:val="single" w:sz="6" w:space="0" w:color="auto"/>
            </w:tcBorders>
          </w:tcPr>
          <w:p w:rsidR="00524B2F" w:rsidRPr="00B75FD7" w:rsidRDefault="00524B2F" w:rsidP="00C533DF">
            <w:pPr>
              <w:autoSpaceDE w:val="0"/>
              <w:autoSpaceDN w:val="0"/>
              <w:adjustRightInd w:val="0"/>
              <w:rPr>
                <w:rFonts w:eastAsia="Calibri"/>
                <w:color w:val="000000"/>
                <w:sz w:val="22"/>
              </w:rPr>
            </w:pPr>
            <w:r w:rsidRPr="00B75FD7">
              <w:rPr>
                <w:rFonts w:eastAsia="Calibri"/>
                <w:color w:val="000000"/>
                <w:sz w:val="22"/>
              </w:rPr>
              <w:t>Міжнародні інвестиції, кошти приватних осіб</w:t>
            </w:r>
          </w:p>
        </w:tc>
        <w:tc>
          <w:tcPr>
            <w:tcW w:w="1275" w:type="dxa"/>
            <w:tcBorders>
              <w:top w:val="single" w:sz="6" w:space="0" w:color="auto"/>
              <w:left w:val="single" w:sz="6" w:space="0" w:color="auto"/>
              <w:bottom w:val="single" w:sz="6" w:space="0" w:color="auto"/>
              <w:right w:val="single" w:sz="6" w:space="0" w:color="auto"/>
            </w:tcBorders>
          </w:tcPr>
          <w:p w:rsidR="00524B2F" w:rsidRPr="00B75FD7" w:rsidRDefault="00524B2F" w:rsidP="00F4352D">
            <w:pPr>
              <w:autoSpaceDE w:val="0"/>
              <w:autoSpaceDN w:val="0"/>
              <w:adjustRightInd w:val="0"/>
              <w:rPr>
                <w:rFonts w:eastAsia="Calibri"/>
                <w:color w:val="000000"/>
                <w:sz w:val="22"/>
              </w:rPr>
            </w:pPr>
            <w:r w:rsidRPr="00B75FD7">
              <w:rPr>
                <w:rFonts w:eastAsia="Calibri"/>
                <w:color w:val="000000"/>
                <w:sz w:val="22"/>
              </w:rPr>
              <w:t>7</w:t>
            </w:r>
            <w:r w:rsidR="00F4352D" w:rsidRPr="00B75FD7">
              <w:rPr>
                <w:rFonts w:eastAsia="Calibri"/>
                <w:color w:val="000000"/>
                <w:sz w:val="22"/>
              </w:rPr>
              <w:t> </w:t>
            </w:r>
            <w:r w:rsidRPr="00B75FD7">
              <w:rPr>
                <w:rFonts w:eastAsia="Calibri"/>
                <w:color w:val="000000"/>
                <w:sz w:val="22"/>
              </w:rPr>
              <w:t>586</w:t>
            </w:r>
            <w:r w:rsidR="00F4352D" w:rsidRPr="00B75FD7">
              <w:rPr>
                <w:rFonts w:eastAsia="Calibri"/>
                <w:color w:val="000000"/>
                <w:sz w:val="22"/>
              </w:rPr>
              <w:t>,</w:t>
            </w:r>
            <w:r w:rsidRPr="00B75FD7">
              <w:rPr>
                <w:rFonts w:eastAsia="Calibri"/>
                <w:color w:val="000000"/>
                <w:sz w:val="22"/>
              </w:rPr>
              <w:t xml:space="preserve"> 00</w:t>
            </w:r>
          </w:p>
        </w:tc>
      </w:tr>
    </w:tbl>
    <w:p w:rsidR="00524B2F" w:rsidRPr="00B75FD7" w:rsidRDefault="00524B2F" w:rsidP="00E33AAA">
      <w:pPr>
        <w:tabs>
          <w:tab w:val="left" w:pos="5290"/>
        </w:tabs>
        <w:rPr>
          <w:b/>
          <w:sz w:val="22"/>
          <w:szCs w:val="22"/>
        </w:rPr>
      </w:pPr>
    </w:p>
    <w:p w:rsidR="00524B2F" w:rsidRPr="00B75FD7" w:rsidRDefault="00524B2F" w:rsidP="00E33AAA">
      <w:pPr>
        <w:tabs>
          <w:tab w:val="left" w:pos="5290"/>
        </w:tabs>
        <w:rPr>
          <w:b/>
          <w:sz w:val="22"/>
          <w:szCs w:val="22"/>
        </w:rPr>
      </w:pPr>
    </w:p>
    <w:p w:rsidR="00524B2F" w:rsidRPr="00B75FD7" w:rsidRDefault="00524B2F" w:rsidP="00E33AAA">
      <w:pPr>
        <w:tabs>
          <w:tab w:val="left" w:pos="5290"/>
        </w:tabs>
        <w:rPr>
          <w:b/>
          <w:sz w:val="22"/>
          <w:szCs w:val="22"/>
        </w:rPr>
      </w:pPr>
    </w:p>
    <w:tbl>
      <w:tblPr>
        <w:tblpPr w:leftFromText="180" w:rightFromText="180" w:vertAnchor="text" w:horzAnchor="page" w:tblpXSpec="center" w:tblpY="123"/>
        <w:tblW w:w="10803" w:type="dxa"/>
        <w:tblLayout w:type="fixed"/>
        <w:tblCellMar>
          <w:left w:w="30" w:type="dxa"/>
          <w:right w:w="30" w:type="dxa"/>
        </w:tblCellMar>
        <w:tblLook w:val="0000" w:firstRow="0" w:lastRow="0" w:firstColumn="0" w:lastColumn="0" w:noHBand="0" w:noVBand="0"/>
      </w:tblPr>
      <w:tblGrid>
        <w:gridCol w:w="738"/>
        <w:gridCol w:w="142"/>
        <w:gridCol w:w="2834"/>
        <w:gridCol w:w="2121"/>
        <w:gridCol w:w="274"/>
        <w:gridCol w:w="1151"/>
        <w:gridCol w:w="135"/>
        <w:gridCol w:w="432"/>
        <w:gridCol w:w="137"/>
        <w:gridCol w:w="146"/>
        <w:gridCol w:w="281"/>
        <w:gridCol w:w="1135"/>
        <w:gridCol w:w="132"/>
        <w:gridCol w:w="9"/>
        <w:gridCol w:w="1136"/>
      </w:tblGrid>
      <w:tr w:rsidR="001F6063" w:rsidRPr="00B75FD7" w:rsidTr="002D6D43">
        <w:trPr>
          <w:trHeight w:val="555"/>
        </w:trPr>
        <w:tc>
          <w:tcPr>
            <w:tcW w:w="880" w:type="dxa"/>
            <w:gridSpan w:val="2"/>
            <w:tcBorders>
              <w:top w:val="nil"/>
              <w:left w:val="nil"/>
              <w:bottom w:val="nil"/>
              <w:right w:val="nil"/>
            </w:tcBorders>
          </w:tcPr>
          <w:p w:rsidR="001F6063" w:rsidRPr="00B75FD7" w:rsidRDefault="001F6063" w:rsidP="00C533DF">
            <w:pPr>
              <w:rPr>
                <w:rFonts w:eastAsia="Calibri"/>
                <w:sz w:val="22"/>
              </w:rPr>
            </w:pPr>
          </w:p>
        </w:tc>
        <w:tc>
          <w:tcPr>
            <w:tcW w:w="283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r w:rsidRPr="00B75FD7">
              <w:rPr>
                <w:rFonts w:eastAsia="Calibri"/>
                <w:b/>
                <w:sz w:val="22"/>
              </w:rPr>
              <w:t>Оперативна ціль/завдання</w:t>
            </w:r>
          </w:p>
        </w:tc>
        <w:tc>
          <w:tcPr>
            <w:tcW w:w="7089" w:type="dxa"/>
            <w:gridSpan w:val="12"/>
            <w:tcBorders>
              <w:top w:val="single" w:sz="6" w:space="0" w:color="auto"/>
              <w:left w:val="single" w:sz="6" w:space="0" w:color="auto"/>
              <w:bottom w:val="single" w:sz="6" w:space="0" w:color="auto"/>
              <w:right w:val="single" w:sz="6" w:space="0" w:color="auto"/>
            </w:tcBorders>
          </w:tcPr>
          <w:p w:rsidR="001F6063" w:rsidRPr="00B75FD7" w:rsidRDefault="001F6063" w:rsidP="00C533DF">
            <w:pPr>
              <w:autoSpaceDE w:val="0"/>
              <w:autoSpaceDN w:val="0"/>
              <w:adjustRightInd w:val="0"/>
              <w:ind w:right="28"/>
              <w:rPr>
                <w:rFonts w:eastAsia="Calibri"/>
                <w:sz w:val="22"/>
              </w:rPr>
            </w:pPr>
            <w:r w:rsidRPr="00B75FD7">
              <w:rPr>
                <w:sz w:val="22"/>
                <w:shd w:val="clear" w:color="auto" w:fill="FFFFFF"/>
              </w:rPr>
              <w:t xml:space="preserve">Людський розвиток через інновації управління та довіру до влади. Формування сучасного інклюзивного  </w:t>
            </w:r>
            <w:proofErr w:type="spellStart"/>
            <w:r w:rsidRPr="00B75FD7">
              <w:rPr>
                <w:sz w:val="22"/>
                <w:shd w:val="clear" w:color="auto" w:fill="FFFFFF"/>
              </w:rPr>
              <w:t>освітньо</w:t>
            </w:r>
            <w:proofErr w:type="spellEnd"/>
            <w:r w:rsidRPr="00B75FD7">
              <w:rPr>
                <w:sz w:val="22"/>
                <w:shd w:val="clear" w:color="auto" w:fill="FFFFFF"/>
              </w:rPr>
              <w:t>-культурного та спортивного простору для розвитку.</w:t>
            </w:r>
            <w:r w:rsidRPr="00B75FD7">
              <w:rPr>
                <w:rFonts w:eastAsia="Calibri"/>
                <w:sz w:val="22"/>
              </w:rPr>
              <w:tab/>
            </w:r>
          </w:p>
        </w:tc>
      </w:tr>
      <w:tr w:rsidR="001F6063" w:rsidRPr="00B75FD7" w:rsidTr="002D6D43">
        <w:trPr>
          <w:trHeight w:val="691"/>
        </w:trPr>
        <w:tc>
          <w:tcPr>
            <w:tcW w:w="880" w:type="dxa"/>
            <w:gridSpan w:val="2"/>
            <w:tcBorders>
              <w:top w:val="nil"/>
              <w:left w:val="nil"/>
              <w:bottom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r w:rsidRPr="00B75FD7">
              <w:rPr>
                <w:rFonts w:eastAsia="Calibri"/>
                <w:b/>
                <w:sz w:val="22"/>
              </w:rPr>
              <w:t>Назва проекту:</w:t>
            </w:r>
          </w:p>
        </w:tc>
        <w:tc>
          <w:tcPr>
            <w:tcW w:w="7089" w:type="dxa"/>
            <w:gridSpan w:val="12"/>
            <w:tcBorders>
              <w:top w:val="single" w:sz="6" w:space="0" w:color="auto"/>
              <w:left w:val="single" w:sz="6" w:space="0" w:color="auto"/>
              <w:bottom w:val="single" w:sz="6" w:space="0" w:color="auto"/>
              <w:right w:val="single" w:sz="6" w:space="0" w:color="auto"/>
            </w:tcBorders>
          </w:tcPr>
          <w:p w:rsidR="001F6063" w:rsidRPr="00B75FD7" w:rsidRDefault="001F6063" w:rsidP="00C533DF">
            <w:pPr>
              <w:autoSpaceDE w:val="0"/>
              <w:autoSpaceDN w:val="0"/>
              <w:adjustRightInd w:val="0"/>
              <w:ind w:right="28"/>
              <w:rPr>
                <w:rFonts w:eastAsia="Calibri"/>
                <w:sz w:val="22"/>
              </w:rPr>
            </w:pPr>
            <w:r w:rsidRPr="00B75FD7">
              <w:rPr>
                <w:rFonts w:eastAsia="Calibri"/>
                <w:sz w:val="22"/>
              </w:rPr>
              <w:t xml:space="preserve">Капітальний ремонт будівлі та прилеглої території Ясел-садка №25 міста Сєвєродонецька Луганської області  пр-т Гвардійський буд.63-в </w:t>
            </w:r>
          </w:p>
        </w:tc>
      </w:tr>
      <w:tr w:rsidR="001F6063" w:rsidRPr="00B75FD7" w:rsidTr="002D6D43">
        <w:trPr>
          <w:trHeight w:val="1109"/>
        </w:trPr>
        <w:tc>
          <w:tcPr>
            <w:tcW w:w="880" w:type="dxa"/>
            <w:gridSpan w:val="2"/>
            <w:tcBorders>
              <w:top w:val="nil"/>
              <w:left w:val="nil"/>
              <w:bottom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r w:rsidRPr="00B75FD7">
              <w:rPr>
                <w:rFonts w:eastAsia="Calibri"/>
                <w:b/>
                <w:sz w:val="22"/>
              </w:rPr>
              <w:t>Ціль проекту</w:t>
            </w:r>
          </w:p>
        </w:tc>
        <w:tc>
          <w:tcPr>
            <w:tcW w:w="7089" w:type="dxa"/>
            <w:gridSpan w:val="12"/>
            <w:tcBorders>
              <w:top w:val="single" w:sz="6" w:space="0" w:color="auto"/>
              <w:left w:val="single" w:sz="6" w:space="0" w:color="auto"/>
              <w:bottom w:val="single" w:sz="6" w:space="0" w:color="auto"/>
              <w:right w:val="single" w:sz="6" w:space="0" w:color="auto"/>
            </w:tcBorders>
          </w:tcPr>
          <w:p w:rsidR="001F6063" w:rsidRPr="00B75FD7" w:rsidRDefault="001F6063" w:rsidP="00C533DF">
            <w:pPr>
              <w:autoSpaceDE w:val="0"/>
              <w:autoSpaceDN w:val="0"/>
              <w:adjustRightInd w:val="0"/>
              <w:ind w:right="28"/>
              <w:rPr>
                <w:rFonts w:eastAsia="Calibri"/>
                <w:sz w:val="22"/>
              </w:rPr>
            </w:pPr>
            <w:r w:rsidRPr="00B75FD7">
              <w:rPr>
                <w:rFonts w:eastAsia="Calibri"/>
                <w:sz w:val="22"/>
              </w:rPr>
              <w:t>Забезпечення необхідних умов функціонування і розвитку системи дошкільної освіти Сєвєродонецької міської територіальної громади шляхом капітального ремонту основної будівлі та господарчого блоку, обладнання бомбосховища в підвальному приміщенні та облаштування прилеглої території Ясел-садка №25.</w:t>
            </w:r>
          </w:p>
        </w:tc>
      </w:tr>
      <w:tr w:rsidR="001F6063" w:rsidRPr="00B75FD7" w:rsidTr="002D6D43">
        <w:trPr>
          <w:trHeight w:val="290"/>
        </w:trPr>
        <w:tc>
          <w:tcPr>
            <w:tcW w:w="880" w:type="dxa"/>
            <w:gridSpan w:val="2"/>
            <w:tcBorders>
              <w:top w:val="nil"/>
              <w:left w:val="nil"/>
              <w:bottom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r w:rsidRPr="00B75FD7">
              <w:rPr>
                <w:rFonts w:eastAsia="Calibri"/>
                <w:b/>
                <w:sz w:val="22"/>
              </w:rPr>
              <w:t>Територія, на яку матиме вплив реалізація проекту</w:t>
            </w:r>
          </w:p>
        </w:tc>
        <w:tc>
          <w:tcPr>
            <w:tcW w:w="7089" w:type="dxa"/>
            <w:gridSpan w:val="12"/>
            <w:tcBorders>
              <w:top w:val="single" w:sz="6" w:space="0" w:color="auto"/>
              <w:left w:val="single" w:sz="6" w:space="0" w:color="auto"/>
              <w:bottom w:val="single" w:sz="6"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Сєвєродонецька міська територіальна громада</w:t>
            </w:r>
          </w:p>
        </w:tc>
      </w:tr>
      <w:tr w:rsidR="001F6063" w:rsidRPr="00B75FD7" w:rsidTr="002D6D43">
        <w:trPr>
          <w:trHeight w:val="846"/>
        </w:trPr>
        <w:tc>
          <w:tcPr>
            <w:tcW w:w="880" w:type="dxa"/>
            <w:gridSpan w:val="2"/>
            <w:tcBorders>
              <w:top w:val="nil"/>
              <w:left w:val="nil"/>
              <w:bottom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r w:rsidRPr="00B75FD7">
              <w:rPr>
                <w:rFonts w:eastAsia="Calibri"/>
                <w:b/>
                <w:sz w:val="22"/>
              </w:rPr>
              <w:t>Чисельність населення, на яке матиме вплив реалізація проекту</w:t>
            </w:r>
          </w:p>
        </w:tc>
        <w:tc>
          <w:tcPr>
            <w:tcW w:w="7089" w:type="dxa"/>
            <w:gridSpan w:val="12"/>
            <w:tcBorders>
              <w:top w:val="single" w:sz="6" w:space="0" w:color="auto"/>
              <w:left w:val="single" w:sz="6" w:space="0" w:color="auto"/>
              <w:bottom w:val="single" w:sz="6"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sz w:val="22"/>
              </w:rPr>
              <w:t>70 000 осіб</w:t>
            </w:r>
            <w:r w:rsidRPr="00B75FD7">
              <w:rPr>
                <w:rFonts w:eastAsia="Calibri"/>
                <w:sz w:val="22"/>
              </w:rPr>
              <w:t xml:space="preserve"> </w:t>
            </w:r>
            <w:r w:rsidRPr="00B75FD7">
              <w:rPr>
                <w:rFonts w:eastAsia="Calibri"/>
                <w:sz w:val="22"/>
              </w:rPr>
              <w:tab/>
            </w:r>
          </w:p>
        </w:tc>
      </w:tr>
      <w:tr w:rsidR="001F6063" w:rsidRPr="00B75FD7" w:rsidTr="002D6D43">
        <w:trPr>
          <w:trHeight w:val="1261"/>
        </w:trPr>
        <w:tc>
          <w:tcPr>
            <w:tcW w:w="880" w:type="dxa"/>
            <w:gridSpan w:val="2"/>
            <w:tcBorders>
              <w:top w:val="nil"/>
              <w:left w:val="nil"/>
              <w:bottom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r w:rsidRPr="00B75FD7">
              <w:rPr>
                <w:rFonts w:eastAsia="Calibri"/>
                <w:b/>
                <w:sz w:val="22"/>
              </w:rPr>
              <w:t>Опис проблеми, на вирішення якої спрямований проект</w:t>
            </w:r>
          </w:p>
        </w:tc>
        <w:tc>
          <w:tcPr>
            <w:tcW w:w="7089" w:type="dxa"/>
            <w:gridSpan w:val="12"/>
            <w:tcBorders>
              <w:top w:val="single" w:sz="6" w:space="0" w:color="auto"/>
              <w:left w:val="single" w:sz="6" w:space="0" w:color="auto"/>
              <w:bottom w:val="single" w:sz="6" w:space="0" w:color="auto"/>
              <w:right w:val="single" w:sz="6" w:space="0" w:color="auto"/>
            </w:tcBorders>
          </w:tcPr>
          <w:p w:rsidR="001F6063" w:rsidRPr="00B75FD7" w:rsidRDefault="001F6063" w:rsidP="00E22FDC">
            <w:pPr>
              <w:autoSpaceDE w:val="0"/>
              <w:autoSpaceDN w:val="0"/>
              <w:adjustRightInd w:val="0"/>
              <w:ind w:right="28"/>
              <w:rPr>
                <w:rFonts w:eastAsia="Calibri"/>
                <w:sz w:val="22"/>
              </w:rPr>
            </w:pPr>
            <w:r w:rsidRPr="00B75FD7">
              <w:rPr>
                <w:rFonts w:eastAsia="Calibri"/>
                <w:sz w:val="22"/>
              </w:rPr>
              <w:t xml:space="preserve">У зв'язку з військовою агресією </w:t>
            </w:r>
            <w:r w:rsidR="00E22FDC" w:rsidRPr="00B75FD7">
              <w:rPr>
                <w:rFonts w:eastAsia="Calibri"/>
                <w:sz w:val="22"/>
              </w:rPr>
              <w:t>РФ</w:t>
            </w:r>
            <w:r w:rsidRPr="00B75FD7">
              <w:rPr>
                <w:rFonts w:eastAsia="Calibri"/>
                <w:sz w:val="22"/>
              </w:rPr>
              <w:t xml:space="preserve">, на сьогоднішній день, функціонування </w:t>
            </w:r>
            <w:r w:rsidRPr="00B75FD7">
              <w:rPr>
                <w:sz w:val="22"/>
              </w:rPr>
              <w:t xml:space="preserve"> </w:t>
            </w:r>
            <w:r w:rsidRPr="00B75FD7">
              <w:rPr>
                <w:rFonts w:eastAsia="Calibri"/>
                <w:sz w:val="22"/>
              </w:rPr>
              <w:t xml:space="preserve">Ясел-садка №25 неможливе через значні пошкодження основної будівлі та господарчого блоку, прилеглої території та відсутності бомбосховища. У результаті чого на території Сєвєродонецької міської територіальної громади не дотримується право на здобуття дошкільної освіти громадян у порядку, встановленому Законом України. Реалізація </w:t>
            </w:r>
            <w:proofErr w:type="spellStart"/>
            <w:r w:rsidRPr="00B75FD7">
              <w:rPr>
                <w:rFonts w:eastAsia="Calibri"/>
                <w:sz w:val="22"/>
              </w:rPr>
              <w:t>про</w:t>
            </w:r>
            <w:r w:rsidR="00E22FDC" w:rsidRPr="00B75FD7">
              <w:rPr>
                <w:rFonts w:eastAsia="Calibri"/>
                <w:sz w:val="22"/>
              </w:rPr>
              <w:t>є</w:t>
            </w:r>
            <w:r w:rsidRPr="00B75FD7">
              <w:rPr>
                <w:rFonts w:eastAsia="Calibri"/>
                <w:sz w:val="22"/>
              </w:rPr>
              <w:t>кту</w:t>
            </w:r>
            <w:proofErr w:type="spellEnd"/>
            <w:r w:rsidRPr="00B75FD7">
              <w:rPr>
                <w:rFonts w:eastAsia="Calibri"/>
                <w:sz w:val="22"/>
              </w:rPr>
              <w:t xml:space="preserve"> сприятиме розвитку громади, створенню доступної, безпечної дошкільної освіти,  утворенню робочих місць для працівників закладу. Відбудований сучасний заклад дошкільної освіти сприятиме підвищенню іміджу громади та рівня довіри громадян, які планують повертатися до міста. </w:t>
            </w:r>
          </w:p>
        </w:tc>
      </w:tr>
      <w:tr w:rsidR="001F6063" w:rsidRPr="00B75FD7" w:rsidTr="002D6D43">
        <w:trPr>
          <w:trHeight w:val="1265"/>
        </w:trPr>
        <w:tc>
          <w:tcPr>
            <w:tcW w:w="880" w:type="dxa"/>
            <w:gridSpan w:val="2"/>
            <w:tcBorders>
              <w:top w:val="nil"/>
              <w:left w:val="nil"/>
              <w:bottom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r w:rsidRPr="00B75FD7">
              <w:rPr>
                <w:rFonts w:eastAsia="Calibri"/>
                <w:b/>
                <w:sz w:val="22"/>
              </w:rPr>
              <w:t>Очікувані якісні результати від реалізації проекту</w:t>
            </w:r>
          </w:p>
        </w:tc>
        <w:tc>
          <w:tcPr>
            <w:tcW w:w="7089" w:type="dxa"/>
            <w:gridSpan w:val="12"/>
            <w:tcBorders>
              <w:top w:val="single" w:sz="6" w:space="0" w:color="auto"/>
              <w:left w:val="single" w:sz="6" w:space="0" w:color="auto"/>
              <w:bottom w:val="single" w:sz="6" w:space="0" w:color="auto"/>
              <w:right w:val="single" w:sz="6" w:space="0" w:color="auto"/>
            </w:tcBorders>
          </w:tcPr>
          <w:p w:rsidR="001F6063" w:rsidRPr="00B75FD7" w:rsidRDefault="001F6063" w:rsidP="000303D7">
            <w:pPr>
              <w:numPr>
                <w:ilvl w:val="0"/>
                <w:numId w:val="85"/>
              </w:numPr>
              <w:autoSpaceDE w:val="0"/>
              <w:autoSpaceDN w:val="0"/>
              <w:adjustRightInd w:val="0"/>
              <w:ind w:left="400" w:hanging="142"/>
              <w:jc w:val="left"/>
              <w:rPr>
                <w:rFonts w:eastAsia="Calibri"/>
                <w:sz w:val="22"/>
              </w:rPr>
            </w:pPr>
            <w:r w:rsidRPr="00B75FD7">
              <w:rPr>
                <w:rFonts w:eastAsia="Calibri"/>
                <w:sz w:val="22"/>
              </w:rPr>
              <w:t>Забезпечення населення можливостями для реалізації його конституційного права, пов’язаного із здобуттям дошкільної освіти.</w:t>
            </w:r>
          </w:p>
          <w:p w:rsidR="001F6063" w:rsidRPr="00B75FD7" w:rsidRDefault="001F6063" w:rsidP="000303D7">
            <w:pPr>
              <w:numPr>
                <w:ilvl w:val="0"/>
                <w:numId w:val="85"/>
              </w:numPr>
              <w:autoSpaceDE w:val="0"/>
              <w:autoSpaceDN w:val="0"/>
              <w:adjustRightInd w:val="0"/>
              <w:ind w:left="400" w:hanging="142"/>
              <w:jc w:val="left"/>
              <w:rPr>
                <w:rFonts w:eastAsia="Calibri"/>
                <w:sz w:val="22"/>
              </w:rPr>
            </w:pPr>
            <w:r w:rsidRPr="00B75FD7">
              <w:rPr>
                <w:rFonts w:eastAsia="Calibri"/>
                <w:sz w:val="22"/>
              </w:rPr>
              <w:t>Надання широкого спектру послуг</w:t>
            </w:r>
            <w:r w:rsidR="00E22FDC" w:rsidRPr="00B75FD7">
              <w:rPr>
                <w:rFonts w:eastAsia="Calibri"/>
                <w:sz w:val="22"/>
              </w:rPr>
              <w:t>,</w:t>
            </w:r>
            <w:r w:rsidRPr="00B75FD7">
              <w:rPr>
                <w:rFonts w:eastAsia="Calibri"/>
                <w:sz w:val="22"/>
              </w:rPr>
              <w:t xml:space="preserve"> </w:t>
            </w:r>
            <w:r w:rsidRPr="00B75FD7">
              <w:rPr>
                <w:sz w:val="22"/>
              </w:rPr>
              <w:t>направлених на реалізацію основних завдань дошкільної освіти: збереження та зміцнення фізичного, психічного і духовного здоров'я дитини; забезпечення цілісного розвитку дитини, її фізичних, інтелектуальних і творчих здібностей шляхом виховання, навчання, соціалізації та формування необхідних життєвих навичок.</w:t>
            </w:r>
          </w:p>
          <w:p w:rsidR="001F6063" w:rsidRPr="00B75FD7" w:rsidRDefault="001F6063" w:rsidP="000303D7">
            <w:pPr>
              <w:numPr>
                <w:ilvl w:val="0"/>
                <w:numId w:val="85"/>
              </w:numPr>
              <w:autoSpaceDE w:val="0"/>
              <w:autoSpaceDN w:val="0"/>
              <w:adjustRightInd w:val="0"/>
              <w:ind w:left="400" w:hanging="142"/>
              <w:jc w:val="left"/>
              <w:rPr>
                <w:rFonts w:eastAsia="Calibri"/>
                <w:sz w:val="22"/>
              </w:rPr>
            </w:pPr>
            <w:r w:rsidRPr="00B75FD7">
              <w:rPr>
                <w:sz w:val="22"/>
              </w:rPr>
              <w:t>Задоволення освітніх потреб для сталого розвитку.</w:t>
            </w:r>
          </w:p>
          <w:p w:rsidR="001F6063" w:rsidRPr="00B75FD7" w:rsidRDefault="001F6063" w:rsidP="000303D7">
            <w:pPr>
              <w:numPr>
                <w:ilvl w:val="0"/>
                <w:numId w:val="85"/>
              </w:numPr>
              <w:autoSpaceDE w:val="0"/>
              <w:autoSpaceDN w:val="0"/>
              <w:adjustRightInd w:val="0"/>
              <w:ind w:left="400" w:hanging="142"/>
              <w:jc w:val="left"/>
              <w:rPr>
                <w:rFonts w:eastAsia="Calibri"/>
                <w:sz w:val="22"/>
              </w:rPr>
            </w:pPr>
            <w:r w:rsidRPr="00B75FD7">
              <w:rPr>
                <w:rFonts w:eastAsia="Calibri"/>
                <w:sz w:val="22"/>
              </w:rPr>
              <w:t>Створення нових робочих місць.</w:t>
            </w:r>
          </w:p>
          <w:p w:rsidR="001F6063" w:rsidRPr="00B75FD7" w:rsidRDefault="001F6063" w:rsidP="000303D7">
            <w:pPr>
              <w:numPr>
                <w:ilvl w:val="0"/>
                <w:numId w:val="85"/>
              </w:numPr>
              <w:autoSpaceDE w:val="0"/>
              <w:autoSpaceDN w:val="0"/>
              <w:adjustRightInd w:val="0"/>
              <w:ind w:left="400" w:hanging="142"/>
              <w:jc w:val="left"/>
              <w:rPr>
                <w:rFonts w:eastAsia="Calibri"/>
                <w:sz w:val="22"/>
              </w:rPr>
            </w:pPr>
            <w:r w:rsidRPr="00B75FD7">
              <w:rPr>
                <w:rFonts w:eastAsia="Calibri"/>
                <w:sz w:val="22"/>
              </w:rPr>
              <w:t>Стимул до повернення ВПО до громади.</w:t>
            </w:r>
            <w:r w:rsidRPr="00B75FD7">
              <w:rPr>
                <w:rFonts w:eastAsia="Calibri"/>
                <w:sz w:val="22"/>
              </w:rPr>
              <w:tab/>
            </w:r>
          </w:p>
        </w:tc>
      </w:tr>
      <w:tr w:rsidR="001F6063" w:rsidRPr="00B75FD7" w:rsidTr="002D6D43">
        <w:trPr>
          <w:trHeight w:val="581"/>
        </w:trPr>
        <w:tc>
          <w:tcPr>
            <w:tcW w:w="880" w:type="dxa"/>
            <w:gridSpan w:val="2"/>
            <w:tcBorders>
              <w:top w:val="nil"/>
              <w:left w:val="nil"/>
              <w:bottom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r w:rsidRPr="00B75FD7">
              <w:rPr>
                <w:rFonts w:eastAsia="Calibri"/>
                <w:b/>
                <w:sz w:val="22"/>
              </w:rPr>
              <w:t>Очікувані кількісні результати від реалізації проекту  (індикатори)</w:t>
            </w:r>
          </w:p>
        </w:tc>
        <w:tc>
          <w:tcPr>
            <w:tcW w:w="4250" w:type="dxa"/>
            <w:gridSpan w:val="6"/>
            <w:tcBorders>
              <w:top w:val="single" w:sz="6" w:space="0" w:color="auto"/>
              <w:left w:val="single" w:sz="6" w:space="0" w:color="auto"/>
              <w:bottom w:val="single" w:sz="6" w:space="0" w:color="auto"/>
              <w:right w:val="single" w:sz="6" w:space="0" w:color="auto"/>
            </w:tcBorders>
          </w:tcPr>
          <w:p w:rsidR="001F6063" w:rsidRPr="00B75FD7" w:rsidRDefault="001F6063" w:rsidP="00C533DF">
            <w:pPr>
              <w:autoSpaceDE w:val="0"/>
              <w:autoSpaceDN w:val="0"/>
              <w:adjustRightInd w:val="0"/>
              <w:ind w:left="115"/>
              <w:rPr>
                <w:rFonts w:eastAsia="Calibri"/>
                <w:b/>
                <w:sz w:val="22"/>
              </w:rPr>
            </w:pPr>
            <w:r w:rsidRPr="00B75FD7">
              <w:rPr>
                <w:rFonts w:eastAsia="Calibri"/>
                <w:b/>
                <w:sz w:val="22"/>
              </w:rPr>
              <w:t>Найменування показника</w:t>
            </w:r>
          </w:p>
        </w:tc>
        <w:tc>
          <w:tcPr>
            <w:tcW w:w="1562" w:type="dxa"/>
            <w:gridSpan w:val="3"/>
            <w:tcBorders>
              <w:top w:val="single" w:sz="6" w:space="0" w:color="auto"/>
              <w:left w:val="single" w:sz="6" w:space="0" w:color="auto"/>
              <w:bottom w:val="single" w:sz="6" w:space="0" w:color="auto"/>
              <w:right w:val="single" w:sz="6" w:space="0" w:color="auto"/>
            </w:tcBorders>
          </w:tcPr>
          <w:p w:rsidR="001F6063" w:rsidRPr="00B75FD7" w:rsidRDefault="001F6063" w:rsidP="00C533DF">
            <w:pPr>
              <w:autoSpaceDE w:val="0"/>
              <w:autoSpaceDN w:val="0"/>
              <w:adjustRightInd w:val="0"/>
              <w:rPr>
                <w:rFonts w:eastAsia="Calibri"/>
                <w:b/>
                <w:sz w:val="22"/>
              </w:rPr>
            </w:pPr>
            <w:r w:rsidRPr="00B75FD7">
              <w:rPr>
                <w:rFonts w:eastAsia="Calibri"/>
                <w:b/>
                <w:sz w:val="22"/>
              </w:rPr>
              <w:t>Одиниця вимірювання</w:t>
            </w:r>
          </w:p>
        </w:tc>
        <w:tc>
          <w:tcPr>
            <w:tcW w:w="1277" w:type="dxa"/>
            <w:gridSpan w:val="3"/>
            <w:tcBorders>
              <w:top w:val="single" w:sz="6" w:space="0" w:color="auto"/>
              <w:left w:val="single" w:sz="6" w:space="0" w:color="auto"/>
              <w:bottom w:val="single" w:sz="6" w:space="0" w:color="auto"/>
              <w:right w:val="single" w:sz="6" w:space="0" w:color="auto"/>
            </w:tcBorders>
          </w:tcPr>
          <w:p w:rsidR="001F6063" w:rsidRPr="00B75FD7" w:rsidRDefault="001F6063" w:rsidP="00C533DF">
            <w:pPr>
              <w:autoSpaceDE w:val="0"/>
              <w:autoSpaceDN w:val="0"/>
              <w:adjustRightInd w:val="0"/>
              <w:rPr>
                <w:rFonts w:eastAsia="Calibri"/>
                <w:b/>
                <w:sz w:val="22"/>
              </w:rPr>
            </w:pPr>
            <w:r w:rsidRPr="00B75FD7">
              <w:rPr>
                <w:rFonts w:eastAsia="Calibri"/>
                <w:b/>
                <w:sz w:val="22"/>
              </w:rPr>
              <w:t>Прогнозне (цільове) значення</w:t>
            </w:r>
          </w:p>
        </w:tc>
      </w:tr>
      <w:tr w:rsidR="001F6063" w:rsidRPr="00B75FD7" w:rsidTr="002D6D43">
        <w:trPr>
          <w:trHeight w:val="605"/>
        </w:trPr>
        <w:tc>
          <w:tcPr>
            <w:tcW w:w="880" w:type="dxa"/>
            <w:gridSpan w:val="2"/>
            <w:vMerge w:val="restart"/>
            <w:tcBorders>
              <w:top w:val="nil"/>
              <w:left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vMerge w:val="restart"/>
            <w:tcBorders>
              <w:top w:val="single" w:sz="6" w:space="0" w:color="auto"/>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250" w:type="dxa"/>
            <w:gridSpan w:val="6"/>
            <w:tcBorders>
              <w:top w:val="single" w:sz="6"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1.Відремонтована покрівля основної будівлі та будівлі господарчого блоку.</w:t>
            </w:r>
          </w:p>
        </w:tc>
        <w:tc>
          <w:tcPr>
            <w:tcW w:w="1562" w:type="dxa"/>
            <w:gridSpan w:val="3"/>
            <w:tcBorders>
              <w:top w:val="single" w:sz="6"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 xml:space="preserve">м </w:t>
            </w:r>
            <w:proofErr w:type="spellStart"/>
            <w:r w:rsidRPr="00B75FD7">
              <w:rPr>
                <w:rFonts w:eastAsia="Calibri"/>
                <w:sz w:val="22"/>
              </w:rPr>
              <w:t>кв</w:t>
            </w:r>
            <w:proofErr w:type="spellEnd"/>
            <w:r w:rsidRPr="00B75FD7">
              <w:rPr>
                <w:rFonts w:eastAsia="Calibri"/>
                <w:sz w:val="22"/>
              </w:rPr>
              <w:t>.</w:t>
            </w:r>
          </w:p>
        </w:tc>
        <w:tc>
          <w:tcPr>
            <w:tcW w:w="1277" w:type="dxa"/>
            <w:gridSpan w:val="3"/>
            <w:tcBorders>
              <w:top w:val="single" w:sz="6"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1100</w:t>
            </w:r>
          </w:p>
        </w:tc>
      </w:tr>
      <w:tr w:rsidR="001F6063" w:rsidRPr="00B75FD7" w:rsidTr="002D6D43">
        <w:trPr>
          <w:trHeight w:val="548"/>
        </w:trPr>
        <w:tc>
          <w:tcPr>
            <w:tcW w:w="880" w:type="dxa"/>
            <w:gridSpan w:val="2"/>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250" w:type="dxa"/>
            <w:gridSpan w:val="6"/>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2. Ремонт зовнішніх і внутрішніх стін, плит перекриття.</w:t>
            </w:r>
          </w:p>
        </w:tc>
        <w:tc>
          <w:tcPr>
            <w:tcW w:w="1562"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 xml:space="preserve">м </w:t>
            </w:r>
            <w:proofErr w:type="spellStart"/>
            <w:r w:rsidRPr="00B75FD7">
              <w:rPr>
                <w:rFonts w:eastAsia="Calibri"/>
                <w:sz w:val="22"/>
              </w:rPr>
              <w:t>кв</w:t>
            </w:r>
            <w:proofErr w:type="spellEnd"/>
            <w:r w:rsidRPr="00B75FD7">
              <w:rPr>
                <w:rFonts w:eastAsia="Calibri"/>
                <w:sz w:val="22"/>
              </w:rPr>
              <w:t>.</w:t>
            </w:r>
          </w:p>
        </w:tc>
        <w:tc>
          <w:tcPr>
            <w:tcW w:w="1277"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Після експертної оцінки комісії.</w:t>
            </w:r>
          </w:p>
        </w:tc>
      </w:tr>
      <w:tr w:rsidR="001F6063" w:rsidRPr="00B75FD7" w:rsidTr="002D6D43">
        <w:trPr>
          <w:trHeight w:val="280"/>
        </w:trPr>
        <w:tc>
          <w:tcPr>
            <w:tcW w:w="880" w:type="dxa"/>
            <w:gridSpan w:val="2"/>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250" w:type="dxa"/>
            <w:gridSpan w:val="6"/>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3. Встановлення вікон.</w:t>
            </w:r>
          </w:p>
        </w:tc>
        <w:tc>
          <w:tcPr>
            <w:tcW w:w="1562"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одиниць</w:t>
            </w:r>
          </w:p>
        </w:tc>
        <w:tc>
          <w:tcPr>
            <w:tcW w:w="1277"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99</w:t>
            </w:r>
          </w:p>
        </w:tc>
      </w:tr>
      <w:tr w:rsidR="001F6063" w:rsidRPr="00B75FD7" w:rsidTr="002D6D43">
        <w:trPr>
          <w:trHeight w:val="273"/>
        </w:trPr>
        <w:tc>
          <w:tcPr>
            <w:tcW w:w="880" w:type="dxa"/>
            <w:gridSpan w:val="2"/>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250" w:type="dxa"/>
            <w:gridSpan w:val="6"/>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4. Встановлення вхідних дверей.</w:t>
            </w:r>
          </w:p>
        </w:tc>
        <w:tc>
          <w:tcPr>
            <w:tcW w:w="1562"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одиниць</w:t>
            </w:r>
          </w:p>
        </w:tc>
        <w:tc>
          <w:tcPr>
            <w:tcW w:w="1277"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6</w:t>
            </w:r>
          </w:p>
        </w:tc>
      </w:tr>
      <w:tr w:rsidR="001F6063" w:rsidRPr="00B75FD7" w:rsidTr="002D6D43">
        <w:trPr>
          <w:trHeight w:val="273"/>
        </w:trPr>
        <w:tc>
          <w:tcPr>
            <w:tcW w:w="880" w:type="dxa"/>
            <w:gridSpan w:val="2"/>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250" w:type="dxa"/>
            <w:gridSpan w:val="6"/>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5. Встановлення міжкімнатних дверей.</w:t>
            </w:r>
          </w:p>
        </w:tc>
        <w:tc>
          <w:tcPr>
            <w:tcW w:w="1562"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одиниць</w:t>
            </w:r>
          </w:p>
        </w:tc>
        <w:tc>
          <w:tcPr>
            <w:tcW w:w="1277"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67</w:t>
            </w:r>
          </w:p>
        </w:tc>
      </w:tr>
      <w:tr w:rsidR="001F6063" w:rsidRPr="00B75FD7" w:rsidTr="002D6D43">
        <w:trPr>
          <w:trHeight w:val="781"/>
        </w:trPr>
        <w:tc>
          <w:tcPr>
            <w:tcW w:w="880" w:type="dxa"/>
            <w:gridSpan w:val="2"/>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250" w:type="dxa"/>
            <w:gridSpan w:val="6"/>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6.Відремонтована система енергопостачання.</w:t>
            </w:r>
          </w:p>
        </w:tc>
        <w:tc>
          <w:tcPr>
            <w:tcW w:w="1562"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одиниць</w:t>
            </w:r>
          </w:p>
        </w:tc>
        <w:tc>
          <w:tcPr>
            <w:tcW w:w="1277"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Після експертної оцінки комісії.</w:t>
            </w:r>
          </w:p>
        </w:tc>
      </w:tr>
      <w:tr w:rsidR="001F6063" w:rsidRPr="00B75FD7" w:rsidTr="002D6D43">
        <w:trPr>
          <w:trHeight w:val="570"/>
        </w:trPr>
        <w:tc>
          <w:tcPr>
            <w:tcW w:w="880" w:type="dxa"/>
            <w:gridSpan w:val="2"/>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250" w:type="dxa"/>
            <w:gridSpan w:val="6"/>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7.Відремонтована система опалення.</w:t>
            </w:r>
          </w:p>
        </w:tc>
        <w:tc>
          <w:tcPr>
            <w:tcW w:w="1562"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одиниць</w:t>
            </w:r>
          </w:p>
        </w:tc>
        <w:tc>
          <w:tcPr>
            <w:tcW w:w="1277"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Після експертної оцінки комісії.</w:t>
            </w:r>
          </w:p>
        </w:tc>
      </w:tr>
      <w:tr w:rsidR="001F6063" w:rsidRPr="00B75FD7" w:rsidTr="002D6D43">
        <w:trPr>
          <w:trHeight w:val="852"/>
        </w:trPr>
        <w:tc>
          <w:tcPr>
            <w:tcW w:w="880" w:type="dxa"/>
            <w:gridSpan w:val="2"/>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250" w:type="dxa"/>
            <w:gridSpan w:val="6"/>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 xml:space="preserve">8. Відремонтована система водопостачання. </w:t>
            </w:r>
          </w:p>
        </w:tc>
        <w:tc>
          <w:tcPr>
            <w:tcW w:w="1562"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одиниць</w:t>
            </w:r>
          </w:p>
        </w:tc>
        <w:tc>
          <w:tcPr>
            <w:tcW w:w="1277"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Після експертної оцінки комісії.</w:t>
            </w:r>
          </w:p>
        </w:tc>
      </w:tr>
      <w:tr w:rsidR="001F6063" w:rsidRPr="00B75FD7" w:rsidTr="002D6D43">
        <w:trPr>
          <w:trHeight w:val="325"/>
        </w:trPr>
        <w:tc>
          <w:tcPr>
            <w:tcW w:w="880" w:type="dxa"/>
            <w:gridSpan w:val="2"/>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250" w:type="dxa"/>
            <w:gridSpan w:val="6"/>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9. Відновлений паркан.</w:t>
            </w:r>
          </w:p>
        </w:tc>
        <w:tc>
          <w:tcPr>
            <w:tcW w:w="1562"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м</w:t>
            </w:r>
          </w:p>
        </w:tc>
        <w:tc>
          <w:tcPr>
            <w:tcW w:w="1277"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400</w:t>
            </w:r>
          </w:p>
        </w:tc>
      </w:tr>
      <w:tr w:rsidR="001F6063" w:rsidRPr="00B75FD7" w:rsidTr="002D6D43">
        <w:trPr>
          <w:trHeight w:val="555"/>
        </w:trPr>
        <w:tc>
          <w:tcPr>
            <w:tcW w:w="880" w:type="dxa"/>
            <w:gridSpan w:val="2"/>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250" w:type="dxa"/>
            <w:gridSpan w:val="6"/>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10. Закуплено та встановлено павільйони.</w:t>
            </w:r>
          </w:p>
        </w:tc>
        <w:tc>
          <w:tcPr>
            <w:tcW w:w="1562"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одиниць</w:t>
            </w:r>
          </w:p>
        </w:tc>
        <w:tc>
          <w:tcPr>
            <w:tcW w:w="1277"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11</w:t>
            </w:r>
          </w:p>
        </w:tc>
      </w:tr>
      <w:tr w:rsidR="001F6063" w:rsidRPr="00B75FD7" w:rsidTr="002D6D43">
        <w:trPr>
          <w:trHeight w:val="280"/>
        </w:trPr>
        <w:tc>
          <w:tcPr>
            <w:tcW w:w="880" w:type="dxa"/>
            <w:gridSpan w:val="2"/>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250" w:type="dxa"/>
            <w:gridSpan w:val="6"/>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11. Придбано спортивний майданчик.</w:t>
            </w:r>
          </w:p>
        </w:tc>
        <w:tc>
          <w:tcPr>
            <w:tcW w:w="1562"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одиниць</w:t>
            </w:r>
          </w:p>
        </w:tc>
        <w:tc>
          <w:tcPr>
            <w:tcW w:w="1277"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1</w:t>
            </w:r>
          </w:p>
        </w:tc>
      </w:tr>
      <w:tr w:rsidR="001F6063" w:rsidRPr="00B75FD7" w:rsidTr="002D6D43">
        <w:trPr>
          <w:trHeight w:val="256"/>
        </w:trPr>
        <w:tc>
          <w:tcPr>
            <w:tcW w:w="880" w:type="dxa"/>
            <w:gridSpan w:val="2"/>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250" w:type="dxa"/>
            <w:gridSpan w:val="6"/>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12.</w:t>
            </w:r>
            <w:r w:rsidRPr="00B75FD7">
              <w:rPr>
                <w:sz w:val="22"/>
              </w:rPr>
              <w:t xml:space="preserve"> </w:t>
            </w:r>
            <w:r w:rsidRPr="00B75FD7">
              <w:rPr>
                <w:rFonts w:eastAsia="Calibri"/>
                <w:sz w:val="22"/>
              </w:rPr>
              <w:t>Придбано ігрові майданчики.</w:t>
            </w:r>
          </w:p>
        </w:tc>
        <w:tc>
          <w:tcPr>
            <w:tcW w:w="1562"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одиниць</w:t>
            </w:r>
          </w:p>
        </w:tc>
        <w:tc>
          <w:tcPr>
            <w:tcW w:w="1277"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11</w:t>
            </w:r>
          </w:p>
        </w:tc>
      </w:tr>
      <w:tr w:rsidR="001F6063" w:rsidRPr="00B75FD7" w:rsidTr="002D6D43">
        <w:trPr>
          <w:trHeight w:val="543"/>
        </w:trPr>
        <w:tc>
          <w:tcPr>
            <w:tcW w:w="880" w:type="dxa"/>
            <w:gridSpan w:val="2"/>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250" w:type="dxa"/>
            <w:gridSpan w:val="6"/>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13. Облаштовано бомбосховище в підвальному приміщенні закладу.</w:t>
            </w:r>
          </w:p>
        </w:tc>
        <w:tc>
          <w:tcPr>
            <w:tcW w:w="1562"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 xml:space="preserve">м </w:t>
            </w:r>
            <w:proofErr w:type="spellStart"/>
            <w:r w:rsidRPr="00B75FD7">
              <w:rPr>
                <w:rFonts w:eastAsia="Calibri"/>
                <w:sz w:val="22"/>
              </w:rPr>
              <w:t>кв</w:t>
            </w:r>
            <w:proofErr w:type="spellEnd"/>
            <w:r w:rsidRPr="00B75FD7">
              <w:rPr>
                <w:rFonts w:eastAsia="Calibri"/>
                <w:sz w:val="22"/>
              </w:rPr>
              <w:t>.</w:t>
            </w:r>
          </w:p>
        </w:tc>
        <w:tc>
          <w:tcPr>
            <w:tcW w:w="1277"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800</w:t>
            </w:r>
          </w:p>
        </w:tc>
      </w:tr>
      <w:tr w:rsidR="001F6063" w:rsidRPr="00B75FD7" w:rsidTr="002D6D43">
        <w:trPr>
          <w:trHeight w:val="552"/>
        </w:trPr>
        <w:tc>
          <w:tcPr>
            <w:tcW w:w="880" w:type="dxa"/>
            <w:gridSpan w:val="2"/>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250" w:type="dxa"/>
            <w:gridSpan w:val="6"/>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14.</w:t>
            </w:r>
            <w:r w:rsidRPr="00B75FD7">
              <w:rPr>
                <w:sz w:val="22"/>
              </w:rPr>
              <w:t xml:space="preserve"> </w:t>
            </w:r>
            <w:r w:rsidRPr="00B75FD7">
              <w:rPr>
                <w:rFonts w:eastAsia="Calibri"/>
                <w:sz w:val="22"/>
              </w:rPr>
              <w:t>Капітальний ремонт внутрішньої частини будівлі.</w:t>
            </w:r>
          </w:p>
        </w:tc>
        <w:tc>
          <w:tcPr>
            <w:tcW w:w="1562"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 xml:space="preserve">м </w:t>
            </w:r>
            <w:proofErr w:type="spellStart"/>
            <w:r w:rsidRPr="00B75FD7">
              <w:rPr>
                <w:rFonts w:eastAsia="Calibri"/>
                <w:sz w:val="22"/>
              </w:rPr>
              <w:t>кв</w:t>
            </w:r>
            <w:proofErr w:type="spellEnd"/>
            <w:r w:rsidRPr="00B75FD7">
              <w:rPr>
                <w:rFonts w:eastAsia="Calibri"/>
                <w:sz w:val="22"/>
              </w:rPr>
              <w:t>.</w:t>
            </w:r>
          </w:p>
        </w:tc>
        <w:tc>
          <w:tcPr>
            <w:tcW w:w="1277"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1880</w:t>
            </w:r>
          </w:p>
        </w:tc>
      </w:tr>
      <w:tr w:rsidR="001F6063" w:rsidRPr="00B75FD7" w:rsidTr="002D6D43">
        <w:trPr>
          <w:trHeight w:val="560"/>
        </w:trPr>
        <w:tc>
          <w:tcPr>
            <w:tcW w:w="880" w:type="dxa"/>
            <w:gridSpan w:val="2"/>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250" w:type="dxa"/>
            <w:gridSpan w:val="6"/>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15.</w:t>
            </w:r>
            <w:r w:rsidRPr="00B75FD7">
              <w:rPr>
                <w:sz w:val="22"/>
              </w:rPr>
              <w:t xml:space="preserve"> </w:t>
            </w:r>
            <w:r w:rsidRPr="00B75FD7">
              <w:rPr>
                <w:rFonts w:eastAsia="Calibri"/>
                <w:sz w:val="22"/>
              </w:rPr>
              <w:t>Капітальний ремонт будівлі комори.</w:t>
            </w:r>
          </w:p>
        </w:tc>
        <w:tc>
          <w:tcPr>
            <w:tcW w:w="1562"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 xml:space="preserve">м </w:t>
            </w:r>
            <w:proofErr w:type="spellStart"/>
            <w:r w:rsidRPr="00B75FD7">
              <w:rPr>
                <w:rFonts w:eastAsia="Calibri"/>
                <w:sz w:val="22"/>
              </w:rPr>
              <w:t>кв</w:t>
            </w:r>
            <w:proofErr w:type="spellEnd"/>
            <w:r w:rsidRPr="00B75FD7">
              <w:rPr>
                <w:rFonts w:eastAsia="Calibri"/>
                <w:sz w:val="22"/>
              </w:rPr>
              <w:t>.</w:t>
            </w:r>
          </w:p>
        </w:tc>
        <w:tc>
          <w:tcPr>
            <w:tcW w:w="1277"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43</w:t>
            </w:r>
          </w:p>
        </w:tc>
      </w:tr>
      <w:tr w:rsidR="001F6063" w:rsidRPr="00B75FD7" w:rsidTr="002D6D43">
        <w:trPr>
          <w:trHeight w:val="270"/>
        </w:trPr>
        <w:tc>
          <w:tcPr>
            <w:tcW w:w="880" w:type="dxa"/>
            <w:gridSpan w:val="2"/>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250" w:type="dxa"/>
            <w:gridSpan w:val="6"/>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16.</w:t>
            </w:r>
            <w:r w:rsidRPr="00B75FD7">
              <w:rPr>
                <w:sz w:val="22"/>
              </w:rPr>
              <w:t xml:space="preserve"> </w:t>
            </w:r>
            <w:r w:rsidRPr="00B75FD7">
              <w:rPr>
                <w:rFonts w:eastAsia="Calibri"/>
                <w:sz w:val="22"/>
              </w:rPr>
              <w:t>Придбано та встановлено ворота.</w:t>
            </w:r>
          </w:p>
        </w:tc>
        <w:tc>
          <w:tcPr>
            <w:tcW w:w="1562"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одиниць</w:t>
            </w:r>
          </w:p>
        </w:tc>
        <w:tc>
          <w:tcPr>
            <w:tcW w:w="1277"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2</w:t>
            </w:r>
          </w:p>
        </w:tc>
      </w:tr>
      <w:tr w:rsidR="001F6063" w:rsidRPr="00B75FD7" w:rsidTr="002D6D43">
        <w:trPr>
          <w:trHeight w:val="260"/>
        </w:trPr>
        <w:tc>
          <w:tcPr>
            <w:tcW w:w="880" w:type="dxa"/>
            <w:gridSpan w:val="2"/>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250" w:type="dxa"/>
            <w:gridSpan w:val="6"/>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highlight w:val="yellow"/>
              </w:rPr>
            </w:pPr>
            <w:r w:rsidRPr="00B75FD7">
              <w:rPr>
                <w:rFonts w:eastAsia="Calibri"/>
                <w:sz w:val="22"/>
              </w:rPr>
              <w:t>17. Встановлена вулична плитка.</w:t>
            </w:r>
          </w:p>
        </w:tc>
        <w:tc>
          <w:tcPr>
            <w:tcW w:w="1562"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 xml:space="preserve">м </w:t>
            </w:r>
            <w:proofErr w:type="spellStart"/>
            <w:r w:rsidRPr="00B75FD7">
              <w:rPr>
                <w:rFonts w:eastAsia="Calibri"/>
                <w:sz w:val="22"/>
              </w:rPr>
              <w:t>кв</w:t>
            </w:r>
            <w:proofErr w:type="spellEnd"/>
            <w:r w:rsidRPr="00B75FD7">
              <w:rPr>
                <w:rFonts w:eastAsia="Calibri"/>
                <w:sz w:val="22"/>
              </w:rPr>
              <w:t>.</w:t>
            </w:r>
          </w:p>
        </w:tc>
        <w:tc>
          <w:tcPr>
            <w:tcW w:w="1277"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1200</w:t>
            </w:r>
          </w:p>
        </w:tc>
      </w:tr>
      <w:tr w:rsidR="001F6063" w:rsidRPr="00B75FD7" w:rsidTr="002D6D43">
        <w:trPr>
          <w:trHeight w:val="1684"/>
        </w:trPr>
        <w:tc>
          <w:tcPr>
            <w:tcW w:w="880" w:type="dxa"/>
            <w:gridSpan w:val="2"/>
            <w:tcBorders>
              <w:top w:val="nil"/>
              <w:left w:val="nil"/>
              <w:bottom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r w:rsidRPr="00B75FD7">
              <w:rPr>
                <w:rFonts w:eastAsia="Calibri"/>
                <w:b/>
                <w:sz w:val="22"/>
              </w:rPr>
              <w:t>Ключові заходи проекту:</w:t>
            </w:r>
          </w:p>
        </w:tc>
        <w:tc>
          <w:tcPr>
            <w:tcW w:w="7089" w:type="dxa"/>
            <w:gridSpan w:val="12"/>
            <w:tcBorders>
              <w:top w:val="single" w:sz="6" w:space="0" w:color="auto"/>
              <w:left w:val="single" w:sz="6" w:space="0" w:color="auto"/>
              <w:bottom w:val="single" w:sz="6" w:space="0" w:color="auto"/>
              <w:right w:val="single" w:sz="6" w:space="0" w:color="auto"/>
            </w:tcBorders>
          </w:tcPr>
          <w:p w:rsidR="001F6063" w:rsidRPr="00B75FD7" w:rsidRDefault="001F6063" w:rsidP="00C533DF">
            <w:pPr>
              <w:rPr>
                <w:sz w:val="22"/>
              </w:rPr>
            </w:pPr>
            <w:r w:rsidRPr="00B75FD7">
              <w:rPr>
                <w:sz w:val="22"/>
              </w:rPr>
              <w:t xml:space="preserve">1.Моніторинг стану будівлі та проведення інвентаризації основних засобів. </w:t>
            </w:r>
          </w:p>
          <w:p w:rsidR="001F6063" w:rsidRPr="00B75FD7" w:rsidRDefault="001F6063" w:rsidP="00C533DF">
            <w:pPr>
              <w:rPr>
                <w:sz w:val="22"/>
              </w:rPr>
            </w:pPr>
            <w:r w:rsidRPr="00B75FD7">
              <w:rPr>
                <w:sz w:val="22"/>
              </w:rPr>
              <w:t xml:space="preserve">2. Виготовлення </w:t>
            </w:r>
            <w:proofErr w:type="spellStart"/>
            <w:r w:rsidRPr="00B75FD7">
              <w:rPr>
                <w:sz w:val="22"/>
              </w:rPr>
              <w:t>про</w:t>
            </w:r>
            <w:r w:rsidR="00E22FDC" w:rsidRPr="00B75FD7">
              <w:rPr>
                <w:sz w:val="22"/>
              </w:rPr>
              <w:t>є</w:t>
            </w:r>
            <w:r w:rsidRPr="00B75FD7">
              <w:rPr>
                <w:sz w:val="22"/>
              </w:rPr>
              <w:t>ктно</w:t>
            </w:r>
            <w:proofErr w:type="spellEnd"/>
            <w:r w:rsidRPr="00B75FD7">
              <w:rPr>
                <w:sz w:val="22"/>
              </w:rPr>
              <w:t xml:space="preserve">-кошторисної документації. </w:t>
            </w:r>
          </w:p>
          <w:p w:rsidR="001F6063" w:rsidRPr="00B75FD7" w:rsidRDefault="001F6063" w:rsidP="00C533DF">
            <w:pPr>
              <w:rPr>
                <w:sz w:val="22"/>
              </w:rPr>
            </w:pPr>
            <w:r w:rsidRPr="00B75FD7">
              <w:rPr>
                <w:sz w:val="22"/>
              </w:rPr>
              <w:t xml:space="preserve">3. Вивчення ринкових пропозицій щодо вартості ремонтних робіт. 4. Заключення договору про проведення робіт по капітальному ремонту основної будівлі, господарчого блоку, бомбосховища та придбання обладнання та устаткування. </w:t>
            </w:r>
          </w:p>
          <w:p w:rsidR="001F6063" w:rsidRPr="00B75FD7" w:rsidRDefault="001F6063" w:rsidP="00C533DF">
            <w:pPr>
              <w:rPr>
                <w:sz w:val="22"/>
              </w:rPr>
            </w:pPr>
            <w:r w:rsidRPr="00B75FD7">
              <w:rPr>
                <w:sz w:val="22"/>
              </w:rPr>
              <w:t xml:space="preserve">5. Проведення ремонтних робіт. </w:t>
            </w:r>
          </w:p>
          <w:p w:rsidR="001F6063" w:rsidRPr="00B75FD7" w:rsidRDefault="001F6063" w:rsidP="00C533DF">
            <w:pPr>
              <w:rPr>
                <w:sz w:val="22"/>
              </w:rPr>
            </w:pPr>
            <w:r w:rsidRPr="00B75FD7">
              <w:rPr>
                <w:sz w:val="22"/>
              </w:rPr>
              <w:t xml:space="preserve">6. Моніторингова оцінка реалізації </w:t>
            </w:r>
            <w:proofErr w:type="spellStart"/>
            <w:r w:rsidRPr="00B75FD7">
              <w:rPr>
                <w:sz w:val="22"/>
              </w:rPr>
              <w:t>про</w:t>
            </w:r>
            <w:r w:rsidR="00E22FDC" w:rsidRPr="00B75FD7">
              <w:rPr>
                <w:sz w:val="22"/>
              </w:rPr>
              <w:t>є</w:t>
            </w:r>
            <w:r w:rsidRPr="00B75FD7">
              <w:rPr>
                <w:sz w:val="22"/>
              </w:rPr>
              <w:t>кту</w:t>
            </w:r>
            <w:proofErr w:type="spellEnd"/>
            <w:r w:rsidRPr="00B75FD7">
              <w:rPr>
                <w:sz w:val="22"/>
              </w:rPr>
              <w:t>.</w:t>
            </w:r>
          </w:p>
          <w:p w:rsidR="001F6063" w:rsidRPr="00B75FD7" w:rsidRDefault="001F6063" w:rsidP="00C533DF">
            <w:pPr>
              <w:rPr>
                <w:sz w:val="22"/>
              </w:rPr>
            </w:pPr>
            <w:r w:rsidRPr="00B75FD7">
              <w:rPr>
                <w:sz w:val="22"/>
              </w:rPr>
              <w:t xml:space="preserve">7. Інформування представників громадськості щодо реалізації </w:t>
            </w:r>
            <w:proofErr w:type="spellStart"/>
            <w:r w:rsidRPr="00B75FD7">
              <w:rPr>
                <w:sz w:val="22"/>
              </w:rPr>
              <w:t>про</w:t>
            </w:r>
            <w:r w:rsidR="00E22FDC" w:rsidRPr="00B75FD7">
              <w:rPr>
                <w:sz w:val="22"/>
              </w:rPr>
              <w:t>є</w:t>
            </w:r>
            <w:r w:rsidRPr="00B75FD7">
              <w:rPr>
                <w:sz w:val="22"/>
              </w:rPr>
              <w:t>кту</w:t>
            </w:r>
            <w:proofErr w:type="spellEnd"/>
            <w:r w:rsidRPr="00B75FD7">
              <w:rPr>
                <w:sz w:val="22"/>
              </w:rPr>
              <w:t xml:space="preserve">. </w:t>
            </w:r>
          </w:p>
          <w:p w:rsidR="001F6063" w:rsidRPr="00B75FD7" w:rsidRDefault="001F6063" w:rsidP="00C533DF">
            <w:pPr>
              <w:rPr>
                <w:sz w:val="22"/>
              </w:rPr>
            </w:pPr>
            <w:r w:rsidRPr="00B75FD7">
              <w:rPr>
                <w:sz w:val="22"/>
              </w:rPr>
              <w:t xml:space="preserve">8. Здача об’єкта в експлуатацію. </w:t>
            </w:r>
          </w:p>
          <w:p w:rsidR="001F6063" w:rsidRPr="00B75FD7" w:rsidRDefault="001F6063" w:rsidP="00C533DF">
            <w:pPr>
              <w:rPr>
                <w:sz w:val="22"/>
              </w:rPr>
            </w:pPr>
            <w:r w:rsidRPr="00B75FD7">
              <w:rPr>
                <w:sz w:val="22"/>
              </w:rPr>
              <w:t>9. Початок роботи об’єкта та його функціонування.</w:t>
            </w:r>
          </w:p>
          <w:p w:rsidR="001F6063" w:rsidRPr="00B75FD7" w:rsidRDefault="001F6063" w:rsidP="00C533DF">
            <w:pPr>
              <w:autoSpaceDE w:val="0"/>
              <w:autoSpaceDN w:val="0"/>
              <w:adjustRightInd w:val="0"/>
              <w:rPr>
                <w:rFonts w:eastAsia="Calibri"/>
                <w:sz w:val="22"/>
              </w:rPr>
            </w:pPr>
          </w:p>
        </w:tc>
      </w:tr>
      <w:tr w:rsidR="001F6063" w:rsidRPr="00B75FD7" w:rsidTr="002D6D43">
        <w:trPr>
          <w:trHeight w:val="600"/>
        </w:trPr>
        <w:tc>
          <w:tcPr>
            <w:tcW w:w="880" w:type="dxa"/>
            <w:gridSpan w:val="2"/>
            <w:vMerge w:val="restart"/>
            <w:tcBorders>
              <w:top w:val="nil"/>
              <w:left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vMerge w:val="restart"/>
            <w:tcBorders>
              <w:top w:val="single" w:sz="6" w:space="0" w:color="auto"/>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r w:rsidRPr="00B75FD7">
              <w:rPr>
                <w:rFonts w:eastAsia="Calibri"/>
                <w:b/>
                <w:sz w:val="22"/>
              </w:rPr>
              <w:t>Орієнтовний обсяг та джерела фінансування тис. гривень</w:t>
            </w:r>
          </w:p>
        </w:tc>
        <w:tc>
          <w:tcPr>
            <w:tcW w:w="2121" w:type="dxa"/>
            <w:vMerge w:val="restart"/>
            <w:tcBorders>
              <w:top w:val="single" w:sz="6" w:space="0" w:color="auto"/>
              <w:left w:val="single" w:sz="6"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Державний бюджет</w:t>
            </w:r>
          </w:p>
        </w:tc>
        <w:tc>
          <w:tcPr>
            <w:tcW w:w="1560" w:type="dxa"/>
            <w:gridSpan w:val="3"/>
            <w:vMerge w:val="restart"/>
            <w:tcBorders>
              <w:top w:val="single" w:sz="6" w:space="0" w:color="auto"/>
              <w:left w:val="single" w:sz="6"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Місцевий бюджет</w:t>
            </w:r>
          </w:p>
        </w:tc>
        <w:tc>
          <w:tcPr>
            <w:tcW w:w="2131" w:type="dxa"/>
            <w:gridSpan w:val="5"/>
            <w:tcBorders>
              <w:top w:val="single" w:sz="6" w:space="0" w:color="auto"/>
              <w:left w:val="single" w:sz="6" w:space="0" w:color="auto"/>
              <w:bottom w:val="single" w:sz="6"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Інші джерела</w:t>
            </w:r>
          </w:p>
        </w:tc>
        <w:tc>
          <w:tcPr>
            <w:tcW w:w="1277" w:type="dxa"/>
            <w:gridSpan w:val="3"/>
            <w:tcBorders>
              <w:top w:val="single" w:sz="6" w:space="0" w:color="auto"/>
              <w:left w:val="single" w:sz="6"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Всього</w:t>
            </w:r>
          </w:p>
        </w:tc>
      </w:tr>
      <w:tr w:rsidR="001F6063" w:rsidRPr="00B75FD7" w:rsidTr="002D6D43">
        <w:trPr>
          <w:trHeight w:val="65"/>
        </w:trPr>
        <w:tc>
          <w:tcPr>
            <w:tcW w:w="880" w:type="dxa"/>
            <w:gridSpan w:val="2"/>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2121" w:type="dxa"/>
            <w:vMerge/>
            <w:tcBorders>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p>
        </w:tc>
        <w:tc>
          <w:tcPr>
            <w:tcW w:w="1560" w:type="dxa"/>
            <w:gridSpan w:val="3"/>
            <w:vMerge/>
            <w:tcBorders>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p>
        </w:tc>
        <w:tc>
          <w:tcPr>
            <w:tcW w:w="996" w:type="dxa"/>
            <w:gridSpan w:val="4"/>
            <w:tcBorders>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Обсяг</w:t>
            </w:r>
          </w:p>
        </w:tc>
        <w:tc>
          <w:tcPr>
            <w:tcW w:w="1135" w:type="dxa"/>
            <w:tcBorders>
              <w:top w:val="single" w:sz="6" w:space="0" w:color="auto"/>
              <w:left w:val="single" w:sz="6" w:space="0" w:color="auto"/>
              <w:bottom w:val="single" w:sz="6"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Назва джерела</w:t>
            </w:r>
          </w:p>
        </w:tc>
        <w:tc>
          <w:tcPr>
            <w:tcW w:w="1277" w:type="dxa"/>
            <w:gridSpan w:val="3"/>
            <w:vMerge w:val="restart"/>
            <w:tcBorders>
              <w:left w:val="single" w:sz="6" w:space="0" w:color="auto"/>
              <w:right w:val="single" w:sz="6" w:space="0" w:color="auto"/>
            </w:tcBorders>
          </w:tcPr>
          <w:p w:rsidR="001F6063" w:rsidRPr="00B75FD7" w:rsidRDefault="001F6063" w:rsidP="00C533DF">
            <w:pPr>
              <w:autoSpaceDE w:val="0"/>
              <w:autoSpaceDN w:val="0"/>
              <w:adjustRightInd w:val="0"/>
              <w:rPr>
                <w:rFonts w:eastAsia="Calibri"/>
                <w:sz w:val="22"/>
              </w:rPr>
            </w:pPr>
          </w:p>
          <w:p w:rsidR="001F6063" w:rsidRPr="00B75FD7" w:rsidRDefault="001F6063" w:rsidP="00C533DF">
            <w:pPr>
              <w:autoSpaceDE w:val="0"/>
              <w:autoSpaceDN w:val="0"/>
              <w:adjustRightInd w:val="0"/>
              <w:rPr>
                <w:rFonts w:eastAsia="Calibri"/>
                <w:sz w:val="22"/>
              </w:rPr>
            </w:pPr>
            <w:r w:rsidRPr="00B75FD7">
              <w:rPr>
                <w:rFonts w:eastAsia="Calibri"/>
                <w:sz w:val="22"/>
              </w:rPr>
              <w:t>__________</w:t>
            </w:r>
          </w:p>
          <w:p w:rsidR="001F6063" w:rsidRPr="00B75FD7" w:rsidRDefault="001F6063" w:rsidP="00C533DF">
            <w:pPr>
              <w:autoSpaceDE w:val="0"/>
              <w:autoSpaceDN w:val="0"/>
              <w:adjustRightInd w:val="0"/>
              <w:rPr>
                <w:rFonts w:eastAsia="Calibri"/>
                <w:sz w:val="22"/>
              </w:rPr>
            </w:pPr>
            <w:r w:rsidRPr="00B75FD7">
              <w:rPr>
                <w:rFonts w:eastAsia="Calibri"/>
                <w:sz w:val="22"/>
              </w:rPr>
              <w:t>33653,0</w:t>
            </w:r>
          </w:p>
        </w:tc>
      </w:tr>
      <w:tr w:rsidR="001F6063" w:rsidRPr="00B75FD7" w:rsidTr="002D6D43">
        <w:trPr>
          <w:trHeight w:val="1335"/>
        </w:trPr>
        <w:tc>
          <w:tcPr>
            <w:tcW w:w="880" w:type="dxa"/>
            <w:gridSpan w:val="2"/>
            <w:vMerge/>
            <w:tcBorders>
              <w:left w:val="nil"/>
              <w:bottom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vMerge/>
            <w:tcBorders>
              <w:left w:val="single" w:sz="6" w:space="0" w:color="auto"/>
              <w:bottom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2121" w:type="dxa"/>
            <w:tcBorders>
              <w:top w:val="single" w:sz="6" w:space="0" w:color="auto"/>
              <w:left w:val="single" w:sz="6" w:space="0" w:color="auto"/>
              <w:bottom w:val="single" w:sz="6"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13653,0</w:t>
            </w:r>
          </w:p>
        </w:tc>
        <w:tc>
          <w:tcPr>
            <w:tcW w:w="1560" w:type="dxa"/>
            <w:gridSpan w:val="3"/>
            <w:tcBorders>
              <w:left w:val="single" w:sz="6" w:space="0" w:color="auto"/>
              <w:bottom w:val="single" w:sz="6" w:space="0" w:color="auto"/>
              <w:right w:val="single" w:sz="6" w:space="0" w:color="auto"/>
            </w:tcBorders>
          </w:tcPr>
          <w:p w:rsidR="001F6063" w:rsidRPr="00B75FD7" w:rsidRDefault="00E22FDC" w:rsidP="00C533DF">
            <w:pPr>
              <w:autoSpaceDE w:val="0"/>
              <w:autoSpaceDN w:val="0"/>
              <w:adjustRightInd w:val="0"/>
              <w:jc w:val="center"/>
              <w:rPr>
                <w:rFonts w:eastAsia="Calibri"/>
                <w:sz w:val="22"/>
              </w:rPr>
            </w:pPr>
            <w:r w:rsidRPr="00B75FD7">
              <w:rPr>
                <w:rFonts w:eastAsia="Calibri"/>
                <w:sz w:val="22"/>
              </w:rPr>
              <w:t>-</w:t>
            </w:r>
          </w:p>
        </w:tc>
        <w:tc>
          <w:tcPr>
            <w:tcW w:w="996" w:type="dxa"/>
            <w:gridSpan w:val="4"/>
            <w:tcBorders>
              <w:left w:val="single" w:sz="6" w:space="0" w:color="auto"/>
              <w:bottom w:val="single" w:sz="6"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20000,0</w:t>
            </w:r>
          </w:p>
        </w:tc>
        <w:tc>
          <w:tcPr>
            <w:tcW w:w="1135" w:type="dxa"/>
            <w:tcBorders>
              <w:top w:val="single" w:sz="6" w:space="0" w:color="auto"/>
              <w:left w:val="single" w:sz="6" w:space="0" w:color="auto"/>
              <w:bottom w:val="single" w:sz="6" w:space="0" w:color="auto"/>
              <w:right w:val="single" w:sz="4"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Міжнародні інвестиції, кошти приватних осіб</w:t>
            </w:r>
          </w:p>
        </w:tc>
        <w:tc>
          <w:tcPr>
            <w:tcW w:w="1277" w:type="dxa"/>
            <w:gridSpan w:val="3"/>
            <w:vMerge/>
            <w:tcBorders>
              <w:left w:val="single" w:sz="4" w:space="0" w:color="auto"/>
              <w:bottom w:val="single" w:sz="6" w:space="0" w:color="auto"/>
              <w:right w:val="single" w:sz="6" w:space="0" w:color="auto"/>
            </w:tcBorders>
          </w:tcPr>
          <w:p w:rsidR="001F6063" w:rsidRPr="00B75FD7" w:rsidRDefault="001F6063" w:rsidP="00C533DF">
            <w:pPr>
              <w:autoSpaceDE w:val="0"/>
              <w:autoSpaceDN w:val="0"/>
              <w:adjustRightInd w:val="0"/>
              <w:rPr>
                <w:rFonts w:eastAsia="Calibri"/>
                <w:sz w:val="22"/>
              </w:rPr>
            </w:pPr>
          </w:p>
        </w:tc>
      </w:tr>
      <w:tr w:rsidR="001F6063" w:rsidRPr="00B75FD7" w:rsidTr="002D6D43">
        <w:trPr>
          <w:trHeight w:val="555"/>
        </w:trPr>
        <w:tc>
          <w:tcPr>
            <w:tcW w:w="738" w:type="dxa"/>
            <w:tcBorders>
              <w:top w:val="nil"/>
              <w:left w:val="nil"/>
              <w:bottom w:val="nil"/>
              <w:right w:val="nil"/>
            </w:tcBorders>
          </w:tcPr>
          <w:p w:rsidR="001F6063" w:rsidRPr="00B75FD7" w:rsidRDefault="001F6063" w:rsidP="00C533DF">
            <w:pPr>
              <w:rPr>
                <w:rFonts w:eastAsia="Calibri"/>
                <w:sz w:val="22"/>
              </w:rPr>
            </w:pPr>
          </w:p>
        </w:tc>
        <w:tc>
          <w:tcPr>
            <w:tcW w:w="2976" w:type="dxa"/>
            <w:gridSpan w:val="2"/>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r w:rsidRPr="00B75FD7">
              <w:rPr>
                <w:rFonts w:eastAsia="Calibri"/>
                <w:b/>
                <w:sz w:val="22"/>
              </w:rPr>
              <w:t>Оперативна ціль/завдання</w:t>
            </w:r>
          </w:p>
        </w:tc>
        <w:tc>
          <w:tcPr>
            <w:tcW w:w="7089" w:type="dxa"/>
            <w:gridSpan w:val="12"/>
            <w:tcBorders>
              <w:top w:val="single" w:sz="6" w:space="0" w:color="auto"/>
              <w:left w:val="single" w:sz="6" w:space="0" w:color="auto"/>
              <w:bottom w:val="single" w:sz="6"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sz w:val="22"/>
                <w:shd w:val="clear" w:color="auto" w:fill="FFFFFF"/>
              </w:rPr>
              <w:t xml:space="preserve">Людський розвиток через інновації управління та довіру до влади. Формування сучасного інклюзивного  </w:t>
            </w:r>
            <w:proofErr w:type="spellStart"/>
            <w:r w:rsidRPr="00B75FD7">
              <w:rPr>
                <w:sz w:val="22"/>
                <w:shd w:val="clear" w:color="auto" w:fill="FFFFFF"/>
              </w:rPr>
              <w:t>освітньо</w:t>
            </w:r>
            <w:proofErr w:type="spellEnd"/>
            <w:r w:rsidRPr="00B75FD7">
              <w:rPr>
                <w:sz w:val="22"/>
                <w:shd w:val="clear" w:color="auto" w:fill="FFFFFF"/>
              </w:rPr>
              <w:t>-культурного та спортивного простору для розвитку.</w:t>
            </w:r>
          </w:p>
        </w:tc>
      </w:tr>
      <w:tr w:rsidR="001F6063" w:rsidRPr="00B75FD7" w:rsidTr="002D6D43">
        <w:trPr>
          <w:trHeight w:val="691"/>
        </w:trPr>
        <w:tc>
          <w:tcPr>
            <w:tcW w:w="738" w:type="dxa"/>
            <w:tcBorders>
              <w:top w:val="nil"/>
              <w:left w:val="nil"/>
              <w:bottom w:val="nil"/>
              <w:right w:val="nil"/>
            </w:tcBorders>
          </w:tcPr>
          <w:p w:rsidR="001F6063" w:rsidRPr="00B75FD7" w:rsidRDefault="001F6063" w:rsidP="00C533DF">
            <w:pPr>
              <w:autoSpaceDE w:val="0"/>
              <w:autoSpaceDN w:val="0"/>
              <w:adjustRightInd w:val="0"/>
              <w:jc w:val="right"/>
              <w:rPr>
                <w:rFonts w:eastAsia="Calibri"/>
                <w:sz w:val="22"/>
              </w:rPr>
            </w:pPr>
          </w:p>
        </w:tc>
        <w:tc>
          <w:tcPr>
            <w:tcW w:w="2976" w:type="dxa"/>
            <w:gridSpan w:val="2"/>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r w:rsidRPr="00B75FD7">
              <w:rPr>
                <w:rFonts w:eastAsia="Calibri"/>
                <w:b/>
                <w:sz w:val="22"/>
              </w:rPr>
              <w:t>Назва проекту:</w:t>
            </w:r>
          </w:p>
        </w:tc>
        <w:tc>
          <w:tcPr>
            <w:tcW w:w="7089" w:type="dxa"/>
            <w:gridSpan w:val="12"/>
            <w:tcBorders>
              <w:top w:val="single" w:sz="6" w:space="0" w:color="auto"/>
              <w:left w:val="single" w:sz="6" w:space="0" w:color="auto"/>
              <w:bottom w:val="single" w:sz="6" w:space="0" w:color="auto"/>
              <w:right w:val="single" w:sz="6" w:space="0" w:color="auto"/>
            </w:tcBorders>
          </w:tcPr>
          <w:p w:rsidR="001F6063" w:rsidRPr="00B75FD7" w:rsidRDefault="001F6063" w:rsidP="00C533DF">
            <w:pPr>
              <w:rPr>
                <w:sz w:val="22"/>
              </w:rPr>
            </w:pPr>
            <w:r w:rsidRPr="00B75FD7">
              <w:rPr>
                <w:sz w:val="22"/>
              </w:rPr>
              <w:t>Відновлення діяльності Ясел-садка №25 міста Сєвєродонецька Луганської області пр-т Гвардійський буд.63-в</w:t>
            </w:r>
          </w:p>
        </w:tc>
      </w:tr>
      <w:tr w:rsidR="001F6063" w:rsidRPr="00B75FD7" w:rsidTr="002D6D43">
        <w:trPr>
          <w:trHeight w:val="1109"/>
        </w:trPr>
        <w:tc>
          <w:tcPr>
            <w:tcW w:w="738" w:type="dxa"/>
            <w:tcBorders>
              <w:top w:val="nil"/>
              <w:left w:val="nil"/>
              <w:bottom w:val="nil"/>
              <w:right w:val="nil"/>
            </w:tcBorders>
          </w:tcPr>
          <w:p w:rsidR="001F6063" w:rsidRPr="00B75FD7" w:rsidRDefault="001F6063" w:rsidP="00C533DF">
            <w:pPr>
              <w:autoSpaceDE w:val="0"/>
              <w:autoSpaceDN w:val="0"/>
              <w:adjustRightInd w:val="0"/>
              <w:jc w:val="right"/>
              <w:rPr>
                <w:rFonts w:eastAsia="Calibri"/>
                <w:sz w:val="22"/>
              </w:rPr>
            </w:pPr>
          </w:p>
        </w:tc>
        <w:tc>
          <w:tcPr>
            <w:tcW w:w="2976" w:type="dxa"/>
            <w:gridSpan w:val="2"/>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r w:rsidRPr="00B75FD7">
              <w:rPr>
                <w:rFonts w:eastAsia="Calibri"/>
                <w:b/>
                <w:sz w:val="22"/>
              </w:rPr>
              <w:t>Ціль проекту</w:t>
            </w:r>
          </w:p>
        </w:tc>
        <w:tc>
          <w:tcPr>
            <w:tcW w:w="7089" w:type="dxa"/>
            <w:gridSpan w:val="12"/>
            <w:tcBorders>
              <w:top w:val="single" w:sz="6" w:space="0" w:color="auto"/>
              <w:left w:val="single" w:sz="6" w:space="0" w:color="auto"/>
              <w:bottom w:val="single" w:sz="6" w:space="0" w:color="auto"/>
              <w:right w:val="single" w:sz="6" w:space="0" w:color="auto"/>
            </w:tcBorders>
          </w:tcPr>
          <w:p w:rsidR="001F6063" w:rsidRPr="00B75FD7" w:rsidRDefault="001F6063" w:rsidP="00C533DF">
            <w:pPr>
              <w:rPr>
                <w:sz w:val="22"/>
              </w:rPr>
            </w:pPr>
            <w:r w:rsidRPr="00B75FD7">
              <w:rPr>
                <w:sz w:val="22"/>
              </w:rPr>
              <w:t>Придбати матеріально-технічну базу для дошкільного закладу, що дозволить розпочати роботу дитячого садка, та створити сучасне, безпечне та комфортне предметно-розвиваюче середовище, яке буде сприяти розвитку дітей дошкільного віку.</w:t>
            </w:r>
          </w:p>
        </w:tc>
      </w:tr>
      <w:tr w:rsidR="001F6063" w:rsidRPr="00B75FD7" w:rsidTr="002D6D43">
        <w:trPr>
          <w:trHeight w:val="290"/>
        </w:trPr>
        <w:tc>
          <w:tcPr>
            <w:tcW w:w="738" w:type="dxa"/>
            <w:tcBorders>
              <w:top w:val="nil"/>
              <w:left w:val="nil"/>
              <w:bottom w:val="nil"/>
              <w:right w:val="nil"/>
            </w:tcBorders>
          </w:tcPr>
          <w:p w:rsidR="001F6063" w:rsidRPr="00B75FD7" w:rsidRDefault="001F6063" w:rsidP="00C533DF">
            <w:pPr>
              <w:autoSpaceDE w:val="0"/>
              <w:autoSpaceDN w:val="0"/>
              <w:adjustRightInd w:val="0"/>
              <w:jc w:val="right"/>
              <w:rPr>
                <w:rFonts w:eastAsia="Calibri"/>
                <w:sz w:val="22"/>
              </w:rPr>
            </w:pPr>
          </w:p>
        </w:tc>
        <w:tc>
          <w:tcPr>
            <w:tcW w:w="2976" w:type="dxa"/>
            <w:gridSpan w:val="2"/>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r w:rsidRPr="00B75FD7">
              <w:rPr>
                <w:rFonts w:eastAsia="Calibri"/>
                <w:b/>
                <w:sz w:val="22"/>
              </w:rPr>
              <w:t>Територія, на яку матиме вплив реалізація проекту</w:t>
            </w:r>
          </w:p>
        </w:tc>
        <w:tc>
          <w:tcPr>
            <w:tcW w:w="7089" w:type="dxa"/>
            <w:gridSpan w:val="12"/>
            <w:tcBorders>
              <w:top w:val="single" w:sz="6" w:space="0" w:color="auto"/>
              <w:left w:val="single" w:sz="6" w:space="0" w:color="auto"/>
              <w:bottom w:val="single" w:sz="6"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Сєвєродонецька міська територіальна громада</w:t>
            </w:r>
          </w:p>
        </w:tc>
      </w:tr>
      <w:tr w:rsidR="001F6063" w:rsidRPr="00B75FD7" w:rsidTr="002D6D43">
        <w:trPr>
          <w:trHeight w:val="578"/>
        </w:trPr>
        <w:tc>
          <w:tcPr>
            <w:tcW w:w="738" w:type="dxa"/>
            <w:tcBorders>
              <w:top w:val="nil"/>
              <w:left w:val="nil"/>
              <w:bottom w:val="nil"/>
              <w:right w:val="nil"/>
            </w:tcBorders>
          </w:tcPr>
          <w:p w:rsidR="001F6063" w:rsidRPr="00B75FD7" w:rsidRDefault="001F6063" w:rsidP="00C533DF">
            <w:pPr>
              <w:autoSpaceDE w:val="0"/>
              <w:autoSpaceDN w:val="0"/>
              <w:adjustRightInd w:val="0"/>
              <w:jc w:val="right"/>
              <w:rPr>
                <w:rFonts w:eastAsia="Calibri"/>
                <w:sz w:val="22"/>
              </w:rPr>
            </w:pPr>
          </w:p>
        </w:tc>
        <w:tc>
          <w:tcPr>
            <w:tcW w:w="2976" w:type="dxa"/>
            <w:gridSpan w:val="2"/>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r w:rsidRPr="00B75FD7">
              <w:rPr>
                <w:rFonts w:eastAsia="Calibri"/>
                <w:b/>
                <w:sz w:val="22"/>
              </w:rPr>
              <w:t>Чисельність населення, на яке матиме вплив реалізація проекту</w:t>
            </w:r>
          </w:p>
        </w:tc>
        <w:tc>
          <w:tcPr>
            <w:tcW w:w="7089" w:type="dxa"/>
            <w:gridSpan w:val="12"/>
            <w:tcBorders>
              <w:top w:val="single" w:sz="6" w:space="0" w:color="auto"/>
              <w:left w:val="single" w:sz="6" w:space="0" w:color="auto"/>
              <w:bottom w:val="single" w:sz="6" w:space="0" w:color="auto"/>
              <w:right w:val="single" w:sz="6" w:space="0" w:color="auto"/>
            </w:tcBorders>
          </w:tcPr>
          <w:p w:rsidR="001F6063" w:rsidRPr="00B75FD7" w:rsidRDefault="001F6063" w:rsidP="00C533DF">
            <w:pPr>
              <w:rPr>
                <w:sz w:val="22"/>
              </w:rPr>
            </w:pPr>
            <w:r w:rsidRPr="00B75FD7">
              <w:rPr>
                <w:sz w:val="22"/>
              </w:rPr>
              <w:t>70 000 осіб</w:t>
            </w:r>
          </w:p>
        </w:tc>
      </w:tr>
      <w:tr w:rsidR="001F6063" w:rsidRPr="00B75FD7" w:rsidTr="002D6D43">
        <w:trPr>
          <w:trHeight w:val="1261"/>
        </w:trPr>
        <w:tc>
          <w:tcPr>
            <w:tcW w:w="738" w:type="dxa"/>
            <w:tcBorders>
              <w:top w:val="nil"/>
              <w:left w:val="nil"/>
              <w:bottom w:val="nil"/>
              <w:right w:val="nil"/>
            </w:tcBorders>
          </w:tcPr>
          <w:p w:rsidR="001F6063" w:rsidRPr="00B75FD7" w:rsidRDefault="001F6063" w:rsidP="00C533DF">
            <w:pPr>
              <w:autoSpaceDE w:val="0"/>
              <w:autoSpaceDN w:val="0"/>
              <w:adjustRightInd w:val="0"/>
              <w:jc w:val="right"/>
              <w:rPr>
                <w:rFonts w:eastAsia="Calibri"/>
                <w:sz w:val="22"/>
              </w:rPr>
            </w:pPr>
          </w:p>
        </w:tc>
        <w:tc>
          <w:tcPr>
            <w:tcW w:w="2976" w:type="dxa"/>
            <w:gridSpan w:val="2"/>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r w:rsidRPr="00B75FD7">
              <w:rPr>
                <w:rFonts w:eastAsia="Calibri"/>
                <w:b/>
                <w:sz w:val="22"/>
              </w:rPr>
              <w:t>Опис проблеми, на вирішення якої спрямований проект</w:t>
            </w:r>
          </w:p>
        </w:tc>
        <w:tc>
          <w:tcPr>
            <w:tcW w:w="7089" w:type="dxa"/>
            <w:gridSpan w:val="12"/>
            <w:tcBorders>
              <w:top w:val="single" w:sz="6" w:space="0" w:color="auto"/>
              <w:left w:val="single" w:sz="6" w:space="0" w:color="auto"/>
              <w:bottom w:val="single" w:sz="6" w:space="0" w:color="auto"/>
              <w:right w:val="single" w:sz="6" w:space="0" w:color="auto"/>
            </w:tcBorders>
          </w:tcPr>
          <w:p w:rsidR="001F6063" w:rsidRPr="00B75FD7" w:rsidRDefault="001F6063" w:rsidP="00C533DF">
            <w:pPr>
              <w:rPr>
                <w:sz w:val="22"/>
              </w:rPr>
            </w:pPr>
            <w:r w:rsidRPr="00B75FD7">
              <w:rPr>
                <w:sz w:val="22"/>
              </w:rPr>
              <w:t xml:space="preserve">У зв'язку з військовою агресією </w:t>
            </w:r>
            <w:r w:rsidR="0089063F" w:rsidRPr="00B75FD7">
              <w:rPr>
                <w:sz w:val="22"/>
              </w:rPr>
              <w:t>РФ</w:t>
            </w:r>
            <w:r w:rsidRPr="00B75FD7">
              <w:rPr>
                <w:sz w:val="22"/>
              </w:rPr>
              <w:t>, на сьогоднішній день, функціонування  дитячого садка неможливе через відсутність матеріально-технічної бази, яка була викрадена та знищена. Зокрема це:</w:t>
            </w:r>
          </w:p>
          <w:p w:rsidR="001F6063" w:rsidRPr="00B75FD7" w:rsidRDefault="0089063F" w:rsidP="000303D7">
            <w:pPr>
              <w:numPr>
                <w:ilvl w:val="0"/>
                <w:numId w:val="86"/>
              </w:numPr>
              <w:rPr>
                <w:sz w:val="22"/>
              </w:rPr>
            </w:pPr>
            <w:r w:rsidRPr="00B75FD7">
              <w:rPr>
                <w:sz w:val="22"/>
              </w:rPr>
              <w:t>о</w:t>
            </w:r>
            <w:r w:rsidR="001F6063" w:rsidRPr="00B75FD7">
              <w:rPr>
                <w:sz w:val="22"/>
              </w:rPr>
              <w:t xml:space="preserve">ргтехніка (комп’ютери, принтери, ноутбук, проектор, мультимедійна дошка, музичний центр, </w:t>
            </w:r>
            <w:r w:rsidR="001F6063" w:rsidRPr="00B75FD7">
              <w:rPr>
                <w:rFonts w:eastAsia="Calibri"/>
                <w:sz w:val="22"/>
              </w:rPr>
              <w:t xml:space="preserve"> автономна акустична система та ін.)</w:t>
            </w:r>
            <w:r w:rsidRPr="00B75FD7">
              <w:rPr>
                <w:rFonts w:eastAsia="Calibri"/>
                <w:sz w:val="22"/>
              </w:rPr>
              <w:t>.</w:t>
            </w:r>
          </w:p>
          <w:p w:rsidR="001F6063" w:rsidRPr="00B75FD7" w:rsidRDefault="001F6063" w:rsidP="000303D7">
            <w:pPr>
              <w:numPr>
                <w:ilvl w:val="0"/>
                <w:numId w:val="86"/>
              </w:numPr>
              <w:rPr>
                <w:sz w:val="22"/>
              </w:rPr>
            </w:pPr>
            <w:r w:rsidRPr="00B75FD7">
              <w:rPr>
                <w:rFonts w:eastAsia="Calibri"/>
                <w:sz w:val="22"/>
              </w:rPr>
              <w:t xml:space="preserve">Основні засоби (меблі, посуд, іграшки, текстиль, сантехніка, кухонне обладнання та приладдя).  </w:t>
            </w:r>
          </w:p>
          <w:p w:rsidR="001F6063" w:rsidRPr="00B75FD7" w:rsidRDefault="001F6063" w:rsidP="0089063F">
            <w:pPr>
              <w:rPr>
                <w:sz w:val="22"/>
              </w:rPr>
            </w:pPr>
            <w:r w:rsidRPr="00B75FD7">
              <w:rPr>
                <w:sz w:val="22"/>
              </w:rPr>
              <w:t xml:space="preserve"> Реалізація </w:t>
            </w:r>
            <w:proofErr w:type="spellStart"/>
            <w:r w:rsidRPr="00B75FD7">
              <w:rPr>
                <w:sz w:val="22"/>
              </w:rPr>
              <w:t>про</w:t>
            </w:r>
            <w:r w:rsidR="0089063F" w:rsidRPr="00B75FD7">
              <w:rPr>
                <w:sz w:val="22"/>
              </w:rPr>
              <w:t>є</w:t>
            </w:r>
            <w:r w:rsidRPr="00B75FD7">
              <w:rPr>
                <w:sz w:val="22"/>
              </w:rPr>
              <w:t>кту</w:t>
            </w:r>
            <w:proofErr w:type="spellEnd"/>
            <w:r w:rsidRPr="00B75FD7">
              <w:rPr>
                <w:sz w:val="22"/>
              </w:rPr>
              <w:t xml:space="preserve"> дозволить розпочати роботу дошкільного закладу, забезпечивши комфортне та безпечне перебування дітей. </w:t>
            </w:r>
          </w:p>
        </w:tc>
      </w:tr>
      <w:tr w:rsidR="001F6063" w:rsidRPr="00B75FD7" w:rsidTr="002D6D43">
        <w:trPr>
          <w:trHeight w:val="1265"/>
        </w:trPr>
        <w:tc>
          <w:tcPr>
            <w:tcW w:w="738" w:type="dxa"/>
            <w:tcBorders>
              <w:top w:val="nil"/>
              <w:left w:val="nil"/>
              <w:bottom w:val="nil"/>
              <w:right w:val="nil"/>
            </w:tcBorders>
          </w:tcPr>
          <w:p w:rsidR="001F6063" w:rsidRPr="00B75FD7" w:rsidRDefault="001F6063" w:rsidP="00C533DF">
            <w:pPr>
              <w:autoSpaceDE w:val="0"/>
              <w:autoSpaceDN w:val="0"/>
              <w:adjustRightInd w:val="0"/>
              <w:jc w:val="right"/>
              <w:rPr>
                <w:rFonts w:eastAsia="Calibri"/>
                <w:sz w:val="22"/>
              </w:rPr>
            </w:pPr>
          </w:p>
        </w:tc>
        <w:tc>
          <w:tcPr>
            <w:tcW w:w="2976" w:type="dxa"/>
            <w:gridSpan w:val="2"/>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r w:rsidRPr="00B75FD7">
              <w:rPr>
                <w:rFonts w:eastAsia="Calibri"/>
                <w:b/>
                <w:sz w:val="22"/>
              </w:rPr>
              <w:t>Очікувані якісні результати від реалізації проекту</w:t>
            </w:r>
          </w:p>
        </w:tc>
        <w:tc>
          <w:tcPr>
            <w:tcW w:w="7089" w:type="dxa"/>
            <w:gridSpan w:val="12"/>
            <w:tcBorders>
              <w:top w:val="single" w:sz="6" w:space="0" w:color="auto"/>
              <w:left w:val="single" w:sz="6" w:space="0" w:color="auto"/>
              <w:bottom w:val="single" w:sz="6" w:space="0" w:color="auto"/>
              <w:right w:val="single" w:sz="6" w:space="0" w:color="auto"/>
            </w:tcBorders>
          </w:tcPr>
          <w:p w:rsidR="001F6063" w:rsidRPr="00B75FD7" w:rsidRDefault="001F6063" w:rsidP="000303D7">
            <w:pPr>
              <w:numPr>
                <w:ilvl w:val="0"/>
                <w:numId w:val="85"/>
              </w:numPr>
              <w:tabs>
                <w:tab w:val="left" w:pos="261"/>
              </w:tabs>
              <w:autoSpaceDE w:val="0"/>
              <w:autoSpaceDN w:val="0"/>
              <w:adjustRightInd w:val="0"/>
              <w:ind w:left="120" w:firstLine="0"/>
              <w:jc w:val="left"/>
              <w:rPr>
                <w:rFonts w:eastAsia="Calibri"/>
                <w:sz w:val="22"/>
              </w:rPr>
            </w:pPr>
            <w:r w:rsidRPr="00B75FD7">
              <w:rPr>
                <w:rFonts w:eastAsia="Calibri"/>
                <w:sz w:val="22"/>
              </w:rPr>
              <w:t>Забезпечення населення можливостями для реалізації його конституційного права, пов’язаного із здобуттям дошкільної освіти.</w:t>
            </w:r>
          </w:p>
          <w:p w:rsidR="001F6063" w:rsidRPr="00B75FD7" w:rsidRDefault="001F6063" w:rsidP="000303D7">
            <w:pPr>
              <w:numPr>
                <w:ilvl w:val="0"/>
                <w:numId w:val="85"/>
              </w:numPr>
              <w:tabs>
                <w:tab w:val="left" w:pos="261"/>
              </w:tabs>
              <w:autoSpaceDE w:val="0"/>
              <w:autoSpaceDN w:val="0"/>
              <w:adjustRightInd w:val="0"/>
              <w:ind w:left="120" w:firstLine="0"/>
              <w:jc w:val="left"/>
              <w:rPr>
                <w:rFonts w:eastAsia="Calibri"/>
                <w:sz w:val="22"/>
              </w:rPr>
            </w:pPr>
            <w:r w:rsidRPr="00B75FD7">
              <w:rPr>
                <w:rFonts w:eastAsia="Calibri"/>
                <w:sz w:val="22"/>
              </w:rPr>
              <w:t xml:space="preserve">Надання широкого спектру послуг, </w:t>
            </w:r>
            <w:r w:rsidRPr="00B75FD7">
              <w:rPr>
                <w:sz w:val="22"/>
              </w:rPr>
              <w:t>направлених на реалізацію основних завдань дошкільної освіти: збереження та зміцнення фізичного, психічного і духовного здоров'я дитини; забезпечення цілісного розвитку дитини, її фізичних, інтелектуальних і творчих здібностей шляхом виховання, навчання, соціалізації та формування необхідних життєвих навичок.</w:t>
            </w:r>
          </w:p>
          <w:p w:rsidR="001F6063" w:rsidRPr="00B75FD7" w:rsidRDefault="001F6063" w:rsidP="000303D7">
            <w:pPr>
              <w:numPr>
                <w:ilvl w:val="0"/>
                <w:numId w:val="85"/>
              </w:numPr>
              <w:tabs>
                <w:tab w:val="left" w:pos="261"/>
              </w:tabs>
              <w:autoSpaceDE w:val="0"/>
              <w:autoSpaceDN w:val="0"/>
              <w:adjustRightInd w:val="0"/>
              <w:ind w:left="120" w:firstLine="0"/>
              <w:jc w:val="left"/>
              <w:rPr>
                <w:rFonts w:eastAsia="Calibri"/>
                <w:sz w:val="22"/>
              </w:rPr>
            </w:pPr>
            <w:r w:rsidRPr="00B75FD7">
              <w:rPr>
                <w:sz w:val="22"/>
              </w:rPr>
              <w:t>Задоволення освітніх потреб для сталого розвитку.</w:t>
            </w:r>
          </w:p>
        </w:tc>
      </w:tr>
      <w:tr w:rsidR="001F6063" w:rsidRPr="00B75FD7" w:rsidTr="002D6D43">
        <w:trPr>
          <w:trHeight w:val="581"/>
        </w:trPr>
        <w:tc>
          <w:tcPr>
            <w:tcW w:w="738" w:type="dxa"/>
            <w:tcBorders>
              <w:top w:val="nil"/>
              <w:left w:val="nil"/>
              <w:bottom w:val="nil"/>
              <w:right w:val="nil"/>
            </w:tcBorders>
          </w:tcPr>
          <w:p w:rsidR="001F6063" w:rsidRPr="00B75FD7" w:rsidRDefault="001F6063" w:rsidP="00C533DF">
            <w:pPr>
              <w:autoSpaceDE w:val="0"/>
              <w:autoSpaceDN w:val="0"/>
              <w:adjustRightInd w:val="0"/>
              <w:jc w:val="right"/>
              <w:rPr>
                <w:rFonts w:eastAsia="Calibri"/>
                <w:sz w:val="22"/>
              </w:rPr>
            </w:pPr>
          </w:p>
        </w:tc>
        <w:tc>
          <w:tcPr>
            <w:tcW w:w="2976" w:type="dxa"/>
            <w:gridSpan w:val="2"/>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r w:rsidRPr="00B75FD7">
              <w:rPr>
                <w:rFonts w:eastAsia="Calibri"/>
                <w:b/>
                <w:sz w:val="22"/>
              </w:rPr>
              <w:t>Очікувані кількісні результати від реалізації проекту  (індикатори)</w:t>
            </w:r>
          </w:p>
        </w:tc>
        <w:tc>
          <w:tcPr>
            <w:tcW w:w="4113" w:type="dxa"/>
            <w:gridSpan w:val="5"/>
            <w:tcBorders>
              <w:top w:val="single" w:sz="6" w:space="0" w:color="auto"/>
              <w:left w:val="single" w:sz="6" w:space="0" w:color="auto"/>
              <w:bottom w:val="single" w:sz="6" w:space="0" w:color="auto"/>
              <w:right w:val="single" w:sz="6" w:space="0" w:color="auto"/>
            </w:tcBorders>
          </w:tcPr>
          <w:p w:rsidR="001F6063" w:rsidRPr="00B75FD7" w:rsidRDefault="001F6063" w:rsidP="00C533DF">
            <w:pPr>
              <w:autoSpaceDE w:val="0"/>
              <w:autoSpaceDN w:val="0"/>
              <w:adjustRightInd w:val="0"/>
              <w:rPr>
                <w:rFonts w:eastAsia="Calibri"/>
                <w:b/>
                <w:sz w:val="22"/>
              </w:rPr>
            </w:pPr>
            <w:r w:rsidRPr="00B75FD7">
              <w:rPr>
                <w:rFonts w:eastAsia="Calibri"/>
                <w:b/>
                <w:sz w:val="22"/>
              </w:rPr>
              <w:t>Найменування показника</w:t>
            </w:r>
          </w:p>
        </w:tc>
        <w:tc>
          <w:tcPr>
            <w:tcW w:w="1699" w:type="dxa"/>
            <w:gridSpan w:val="4"/>
            <w:tcBorders>
              <w:top w:val="single" w:sz="6" w:space="0" w:color="auto"/>
              <w:left w:val="single" w:sz="6" w:space="0" w:color="auto"/>
              <w:bottom w:val="single" w:sz="6" w:space="0" w:color="auto"/>
              <w:right w:val="single" w:sz="6" w:space="0" w:color="auto"/>
            </w:tcBorders>
          </w:tcPr>
          <w:p w:rsidR="001F6063" w:rsidRPr="00B75FD7" w:rsidRDefault="001F6063" w:rsidP="00C533DF">
            <w:pPr>
              <w:autoSpaceDE w:val="0"/>
              <w:autoSpaceDN w:val="0"/>
              <w:adjustRightInd w:val="0"/>
              <w:rPr>
                <w:rFonts w:eastAsia="Calibri"/>
                <w:b/>
                <w:sz w:val="22"/>
              </w:rPr>
            </w:pPr>
            <w:r w:rsidRPr="00B75FD7">
              <w:rPr>
                <w:rFonts w:eastAsia="Calibri"/>
                <w:b/>
                <w:sz w:val="22"/>
              </w:rPr>
              <w:t>Одиниця вимірювання</w:t>
            </w:r>
          </w:p>
        </w:tc>
        <w:tc>
          <w:tcPr>
            <w:tcW w:w="1277" w:type="dxa"/>
            <w:gridSpan w:val="3"/>
            <w:tcBorders>
              <w:top w:val="single" w:sz="6"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b/>
                <w:sz w:val="22"/>
              </w:rPr>
            </w:pPr>
            <w:r w:rsidRPr="00B75FD7">
              <w:rPr>
                <w:rFonts w:eastAsia="Calibri"/>
                <w:b/>
                <w:sz w:val="22"/>
              </w:rPr>
              <w:t>Прогнозне (цільове) значення</w:t>
            </w:r>
          </w:p>
        </w:tc>
      </w:tr>
      <w:tr w:rsidR="001F6063" w:rsidRPr="00B75FD7" w:rsidTr="002D6D43">
        <w:trPr>
          <w:trHeight w:val="401"/>
        </w:trPr>
        <w:tc>
          <w:tcPr>
            <w:tcW w:w="738" w:type="dxa"/>
            <w:vMerge w:val="restart"/>
            <w:tcBorders>
              <w:top w:val="nil"/>
              <w:left w:val="nil"/>
              <w:right w:val="nil"/>
            </w:tcBorders>
          </w:tcPr>
          <w:p w:rsidR="001F6063" w:rsidRPr="00B75FD7" w:rsidRDefault="001F6063" w:rsidP="00C533DF">
            <w:pPr>
              <w:autoSpaceDE w:val="0"/>
              <w:autoSpaceDN w:val="0"/>
              <w:adjustRightInd w:val="0"/>
              <w:jc w:val="right"/>
              <w:rPr>
                <w:rFonts w:eastAsia="Calibri"/>
                <w:sz w:val="22"/>
              </w:rPr>
            </w:pPr>
          </w:p>
        </w:tc>
        <w:tc>
          <w:tcPr>
            <w:tcW w:w="2976" w:type="dxa"/>
            <w:gridSpan w:val="2"/>
            <w:vMerge w:val="restart"/>
            <w:tcBorders>
              <w:top w:val="single" w:sz="6" w:space="0" w:color="auto"/>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113" w:type="dxa"/>
            <w:gridSpan w:val="5"/>
            <w:tcBorders>
              <w:top w:val="single" w:sz="6"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Кухонне обладнання</w:t>
            </w:r>
          </w:p>
        </w:tc>
        <w:tc>
          <w:tcPr>
            <w:tcW w:w="1699" w:type="dxa"/>
            <w:gridSpan w:val="4"/>
            <w:tcBorders>
              <w:top w:val="single" w:sz="6"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одиниць</w:t>
            </w:r>
          </w:p>
        </w:tc>
        <w:tc>
          <w:tcPr>
            <w:tcW w:w="1277"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50</w:t>
            </w:r>
          </w:p>
        </w:tc>
      </w:tr>
      <w:tr w:rsidR="001F6063" w:rsidRPr="00B75FD7" w:rsidTr="002D6D43">
        <w:trPr>
          <w:trHeight w:val="456"/>
        </w:trPr>
        <w:tc>
          <w:tcPr>
            <w:tcW w:w="738" w:type="dxa"/>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976" w:type="dxa"/>
            <w:gridSpan w:val="2"/>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113" w:type="dxa"/>
            <w:gridSpan w:val="5"/>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Посуд</w:t>
            </w:r>
          </w:p>
        </w:tc>
        <w:tc>
          <w:tcPr>
            <w:tcW w:w="1699" w:type="dxa"/>
            <w:gridSpan w:val="4"/>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одиниць</w:t>
            </w:r>
          </w:p>
        </w:tc>
        <w:tc>
          <w:tcPr>
            <w:tcW w:w="1277"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470</w:t>
            </w:r>
          </w:p>
        </w:tc>
      </w:tr>
      <w:tr w:rsidR="001F6063" w:rsidRPr="00B75FD7" w:rsidTr="002D6D43">
        <w:trPr>
          <w:trHeight w:val="506"/>
        </w:trPr>
        <w:tc>
          <w:tcPr>
            <w:tcW w:w="738" w:type="dxa"/>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976" w:type="dxa"/>
            <w:gridSpan w:val="2"/>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113" w:type="dxa"/>
            <w:gridSpan w:val="5"/>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Меблі</w:t>
            </w:r>
          </w:p>
        </w:tc>
        <w:tc>
          <w:tcPr>
            <w:tcW w:w="1699" w:type="dxa"/>
            <w:gridSpan w:val="4"/>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одиниць</w:t>
            </w:r>
          </w:p>
        </w:tc>
        <w:tc>
          <w:tcPr>
            <w:tcW w:w="1277"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846</w:t>
            </w:r>
          </w:p>
        </w:tc>
      </w:tr>
      <w:tr w:rsidR="001F6063" w:rsidRPr="00B75FD7" w:rsidTr="002D6D43">
        <w:trPr>
          <w:trHeight w:val="555"/>
        </w:trPr>
        <w:tc>
          <w:tcPr>
            <w:tcW w:w="738" w:type="dxa"/>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976" w:type="dxa"/>
            <w:gridSpan w:val="2"/>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113" w:type="dxa"/>
            <w:gridSpan w:val="5"/>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Офісна техніка</w:t>
            </w:r>
          </w:p>
        </w:tc>
        <w:tc>
          <w:tcPr>
            <w:tcW w:w="1699" w:type="dxa"/>
            <w:gridSpan w:val="4"/>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одиниць</w:t>
            </w:r>
          </w:p>
        </w:tc>
        <w:tc>
          <w:tcPr>
            <w:tcW w:w="1277"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10</w:t>
            </w:r>
          </w:p>
        </w:tc>
      </w:tr>
      <w:tr w:rsidR="001F6063" w:rsidRPr="00B75FD7" w:rsidTr="002D6D43">
        <w:trPr>
          <w:trHeight w:val="422"/>
        </w:trPr>
        <w:tc>
          <w:tcPr>
            <w:tcW w:w="738" w:type="dxa"/>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976" w:type="dxa"/>
            <w:gridSpan w:val="2"/>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113" w:type="dxa"/>
            <w:gridSpan w:val="5"/>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Текстиль</w:t>
            </w:r>
          </w:p>
        </w:tc>
        <w:tc>
          <w:tcPr>
            <w:tcW w:w="1699" w:type="dxa"/>
            <w:gridSpan w:val="4"/>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одиниць</w:t>
            </w:r>
          </w:p>
        </w:tc>
        <w:tc>
          <w:tcPr>
            <w:tcW w:w="1277"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1685</w:t>
            </w:r>
          </w:p>
        </w:tc>
      </w:tr>
      <w:tr w:rsidR="001F6063" w:rsidRPr="00B75FD7" w:rsidTr="002D6D43">
        <w:trPr>
          <w:trHeight w:val="424"/>
        </w:trPr>
        <w:tc>
          <w:tcPr>
            <w:tcW w:w="738" w:type="dxa"/>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976" w:type="dxa"/>
            <w:gridSpan w:val="2"/>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113" w:type="dxa"/>
            <w:gridSpan w:val="5"/>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Електротехніка</w:t>
            </w:r>
          </w:p>
        </w:tc>
        <w:tc>
          <w:tcPr>
            <w:tcW w:w="1699" w:type="dxa"/>
            <w:gridSpan w:val="4"/>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одиниць</w:t>
            </w:r>
          </w:p>
        </w:tc>
        <w:tc>
          <w:tcPr>
            <w:tcW w:w="1277"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20</w:t>
            </w:r>
          </w:p>
        </w:tc>
      </w:tr>
      <w:tr w:rsidR="001F6063" w:rsidRPr="00B75FD7" w:rsidTr="002D6D43">
        <w:trPr>
          <w:trHeight w:val="296"/>
        </w:trPr>
        <w:tc>
          <w:tcPr>
            <w:tcW w:w="738" w:type="dxa"/>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976" w:type="dxa"/>
            <w:gridSpan w:val="2"/>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113" w:type="dxa"/>
            <w:gridSpan w:val="5"/>
            <w:tcBorders>
              <w:top w:val="single" w:sz="4" w:space="0" w:color="auto"/>
              <w:left w:val="single" w:sz="6" w:space="0" w:color="auto"/>
              <w:bottom w:val="single" w:sz="4" w:space="0" w:color="auto"/>
              <w:right w:val="single" w:sz="6" w:space="0" w:color="auto"/>
            </w:tcBorders>
          </w:tcPr>
          <w:p w:rsidR="001F6063" w:rsidRPr="00B75FD7" w:rsidRDefault="001F6063" w:rsidP="00C533DF">
            <w:pPr>
              <w:rPr>
                <w:sz w:val="22"/>
              </w:rPr>
            </w:pPr>
            <w:r w:rsidRPr="00B75FD7">
              <w:rPr>
                <w:sz w:val="22"/>
              </w:rPr>
              <w:t>фонд літератури (кількість комплектів)</w:t>
            </w:r>
          </w:p>
        </w:tc>
        <w:tc>
          <w:tcPr>
            <w:tcW w:w="1699" w:type="dxa"/>
            <w:gridSpan w:val="4"/>
            <w:tcBorders>
              <w:top w:val="single" w:sz="4" w:space="0" w:color="auto"/>
              <w:left w:val="single" w:sz="6" w:space="0" w:color="auto"/>
              <w:bottom w:val="single" w:sz="4" w:space="0" w:color="auto"/>
              <w:right w:val="single" w:sz="6" w:space="0" w:color="auto"/>
            </w:tcBorders>
          </w:tcPr>
          <w:p w:rsidR="001F6063" w:rsidRPr="00B75FD7" w:rsidRDefault="001F6063" w:rsidP="00C533DF">
            <w:pPr>
              <w:rPr>
                <w:sz w:val="22"/>
              </w:rPr>
            </w:pPr>
            <w:r w:rsidRPr="00B75FD7">
              <w:rPr>
                <w:rFonts w:eastAsia="Calibri"/>
                <w:sz w:val="22"/>
              </w:rPr>
              <w:t>одиниць</w:t>
            </w:r>
          </w:p>
        </w:tc>
        <w:tc>
          <w:tcPr>
            <w:tcW w:w="1277"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jc w:val="center"/>
              <w:rPr>
                <w:sz w:val="22"/>
              </w:rPr>
            </w:pPr>
            <w:r w:rsidRPr="00B75FD7">
              <w:rPr>
                <w:sz w:val="22"/>
              </w:rPr>
              <w:t>12</w:t>
            </w:r>
          </w:p>
        </w:tc>
      </w:tr>
      <w:tr w:rsidR="001F6063" w:rsidRPr="00B75FD7" w:rsidTr="002D6D43">
        <w:trPr>
          <w:trHeight w:val="273"/>
        </w:trPr>
        <w:tc>
          <w:tcPr>
            <w:tcW w:w="738" w:type="dxa"/>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976" w:type="dxa"/>
            <w:gridSpan w:val="2"/>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113" w:type="dxa"/>
            <w:gridSpan w:val="5"/>
            <w:tcBorders>
              <w:top w:val="single" w:sz="4" w:space="0" w:color="auto"/>
              <w:left w:val="single" w:sz="6" w:space="0" w:color="auto"/>
              <w:bottom w:val="single" w:sz="4" w:space="0" w:color="auto"/>
              <w:right w:val="single" w:sz="6" w:space="0" w:color="auto"/>
            </w:tcBorders>
          </w:tcPr>
          <w:p w:rsidR="001F6063" w:rsidRPr="00B75FD7" w:rsidRDefault="001F6063" w:rsidP="00C533DF">
            <w:pPr>
              <w:rPr>
                <w:sz w:val="22"/>
              </w:rPr>
            </w:pPr>
            <w:r w:rsidRPr="00B75FD7">
              <w:rPr>
                <w:sz w:val="22"/>
              </w:rPr>
              <w:t>Наочність (кількість комплектів)</w:t>
            </w:r>
          </w:p>
        </w:tc>
        <w:tc>
          <w:tcPr>
            <w:tcW w:w="1699" w:type="dxa"/>
            <w:gridSpan w:val="4"/>
            <w:tcBorders>
              <w:top w:val="single" w:sz="4" w:space="0" w:color="auto"/>
              <w:left w:val="single" w:sz="6" w:space="0" w:color="auto"/>
              <w:bottom w:val="single" w:sz="4" w:space="0" w:color="auto"/>
              <w:right w:val="single" w:sz="6" w:space="0" w:color="auto"/>
            </w:tcBorders>
          </w:tcPr>
          <w:p w:rsidR="001F6063" w:rsidRPr="00B75FD7" w:rsidRDefault="001F6063" w:rsidP="00C533DF">
            <w:pPr>
              <w:rPr>
                <w:sz w:val="22"/>
              </w:rPr>
            </w:pPr>
            <w:r w:rsidRPr="00B75FD7">
              <w:rPr>
                <w:rFonts w:eastAsia="Calibri"/>
                <w:sz w:val="22"/>
              </w:rPr>
              <w:t>одиниць</w:t>
            </w:r>
          </w:p>
        </w:tc>
        <w:tc>
          <w:tcPr>
            <w:tcW w:w="1277"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jc w:val="center"/>
              <w:rPr>
                <w:sz w:val="22"/>
              </w:rPr>
            </w:pPr>
            <w:r w:rsidRPr="00B75FD7">
              <w:rPr>
                <w:sz w:val="22"/>
              </w:rPr>
              <w:t>11</w:t>
            </w:r>
          </w:p>
        </w:tc>
      </w:tr>
      <w:tr w:rsidR="001F6063" w:rsidRPr="00B75FD7" w:rsidTr="002D6D43">
        <w:trPr>
          <w:trHeight w:val="277"/>
        </w:trPr>
        <w:tc>
          <w:tcPr>
            <w:tcW w:w="738" w:type="dxa"/>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976" w:type="dxa"/>
            <w:gridSpan w:val="2"/>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113" w:type="dxa"/>
            <w:gridSpan w:val="5"/>
            <w:tcBorders>
              <w:top w:val="single" w:sz="4" w:space="0" w:color="auto"/>
              <w:left w:val="single" w:sz="6" w:space="0" w:color="auto"/>
              <w:bottom w:val="single" w:sz="4" w:space="0" w:color="auto"/>
              <w:right w:val="single" w:sz="6" w:space="0" w:color="auto"/>
            </w:tcBorders>
          </w:tcPr>
          <w:p w:rsidR="001F6063" w:rsidRPr="00B75FD7" w:rsidRDefault="001F6063" w:rsidP="00C533DF">
            <w:pPr>
              <w:rPr>
                <w:sz w:val="22"/>
              </w:rPr>
            </w:pPr>
            <w:r w:rsidRPr="00B75FD7">
              <w:rPr>
                <w:sz w:val="22"/>
              </w:rPr>
              <w:t>Іграшки (кількість комплектів)</w:t>
            </w:r>
          </w:p>
        </w:tc>
        <w:tc>
          <w:tcPr>
            <w:tcW w:w="1699" w:type="dxa"/>
            <w:gridSpan w:val="4"/>
            <w:tcBorders>
              <w:top w:val="single" w:sz="4" w:space="0" w:color="auto"/>
              <w:left w:val="single" w:sz="6" w:space="0" w:color="auto"/>
              <w:bottom w:val="single" w:sz="4" w:space="0" w:color="auto"/>
              <w:right w:val="single" w:sz="6" w:space="0" w:color="auto"/>
            </w:tcBorders>
          </w:tcPr>
          <w:p w:rsidR="001F6063" w:rsidRPr="00B75FD7" w:rsidRDefault="001F6063" w:rsidP="00C533DF">
            <w:pPr>
              <w:rPr>
                <w:sz w:val="22"/>
              </w:rPr>
            </w:pPr>
            <w:r w:rsidRPr="00B75FD7">
              <w:rPr>
                <w:rFonts w:eastAsia="Calibri"/>
                <w:sz w:val="22"/>
              </w:rPr>
              <w:t>одиниць</w:t>
            </w:r>
          </w:p>
        </w:tc>
        <w:tc>
          <w:tcPr>
            <w:tcW w:w="1277"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jc w:val="center"/>
              <w:rPr>
                <w:sz w:val="22"/>
              </w:rPr>
            </w:pPr>
            <w:r w:rsidRPr="00B75FD7">
              <w:rPr>
                <w:sz w:val="22"/>
              </w:rPr>
              <w:t>11</w:t>
            </w:r>
          </w:p>
        </w:tc>
      </w:tr>
      <w:tr w:rsidR="001F6063" w:rsidRPr="00B75FD7" w:rsidTr="002D6D43">
        <w:trPr>
          <w:trHeight w:val="300"/>
        </w:trPr>
        <w:tc>
          <w:tcPr>
            <w:tcW w:w="738" w:type="dxa"/>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976" w:type="dxa"/>
            <w:gridSpan w:val="2"/>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113" w:type="dxa"/>
            <w:gridSpan w:val="5"/>
            <w:tcBorders>
              <w:top w:val="single" w:sz="4" w:space="0" w:color="auto"/>
              <w:left w:val="single" w:sz="6" w:space="0" w:color="auto"/>
              <w:bottom w:val="single" w:sz="4" w:space="0" w:color="auto"/>
              <w:right w:val="single" w:sz="6" w:space="0" w:color="auto"/>
            </w:tcBorders>
          </w:tcPr>
          <w:p w:rsidR="001F6063" w:rsidRPr="00B75FD7" w:rsidRDefault="001F6063" w:rsidP="00C533DF">
            <w:pPr>
              <w:rPr>
                <w:sz w:val="22"/>
              </w:rPr>
            </w:pPr>
            <w:r w:rsidRPr="00B75FD7">
              <w:rPr>
                <w:sz w:val="22"/>
              </w:rPr>
              <w:t>спортивний інвентар (кількість комплектів)</w:t>
            </w:r>
          </w:p>
        </w:tc>
        <w:tc>
          <w:tcPr>
            <w:tcW w:w="1699" w:type="dxa"/>
            <w:gridSpan w:val="4"/>
            <w:tcBorders>
              <w:top w:val="single" w:sz="4" w:space="0" w:color="auto"/>
              <w:left w:val="single" w:sz="6" w:space="0" w:color="auto"/>
              <w:bottom w:val="single" w:sz="4" w:space="0" w:color="auto"/>
              <w:right w:val="single" w:sz="6" w:space="0" w:color="auto"/>
            </w:tcBorders>
          </w:tcPr>
          <w:p w:rsidR="001F6063" w:rsidRPr="00B75FD7" w:rsidRDefault="001F6063" w:rsidP="00C533DF">
            <w:pPr>
              <w:rPr>
                <w:sz w:val="22"/>
              </w:rPr>
            </w:pPr>
            <w:r w:rsidRPr="00B75FD7">
              <w:rPr>
                <w:rFonts w:eastAsia="Calibri"/>
                <w:sz w:val="22"/>
              </w:rPr>
              <w:t>одиниць</w:t>
            </w:r>
          </w:p>
        </w:tc>
        <w:tc>
          <w:tcPr>
            <w:tcW w:w="1277"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jc w:val="center"/>
              <w:rPr>
                <w:sz w:val="22"/>
              </w:rPr>
            </w:pPr>
            <w:r w:rsidRPr="00B75FD7">
              <w:rPr>
                <w:sz w:val="22"/>
              </w:rPr>
              <w:t>1</w:t>
            </w:r>
          </w:p>
        </w:tc>
      </w:tr>
      <w:tr w:rsidR="001F6063" w:rsidRPr="00B75FD7" w:rsidTr="002D6D43">
        <w:trPr>
          <w:trHeight w:val="1684"/>
        </w:trPr>
        <w:tc>
          <w:tcPr>
            <w:tcW w:w="738" w:type="dxa"/>
            <w:tcBorders>
              <w:top w:val="nil"/>
              <w:left w:val="nil"/>
              <w:bottom w:val="nil"/>
              <w:right w:val="nil"/>
            </w:tcBorders>
          </w:tcPr>
          <w:p w:rsidR="001F6063" w:rsidRPr="00B75FD7" w:rsidRDefault="001F6063" w:rsidP="00C533DF">
            <w:pPr>
              <w:autoSpaceDE w:val="0"/>
              <w:autoSpaceDN w:val="0"/>
              <w:adjustRightInd w:val="0"/>
              <w:jc w:val="right"/>
              <w:rPr>
                <w:rFonts w:eastAsia="Calibri"/>
                <w:sz w:val="22"/>
              </w:rPr>
            </w:pPr>
          </w:p>
        </w:tc>
        <w:tc>
          <w:tcPr>
            <w:tcW w:w="2976" w:type="dxa"/>
            <w:gridSpan w:val="2"/>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r w:rsidRPr="00B75FD7">
              <w:rPr>
                <w:rFonts w:eastAsia="Calibri"/>
                <w:b/>
                <w:sz w:val="22"/>
              </w:rPr>
              <w:t>Ключові заходи проекту:</w:t>
            </w:r>
          </w:p>
        </w:tc>
        <w:tc>
          <w:tcPr>
            <w:tcW w:w="7089" w:type="dxa"/>
            <w:gridSpan w:val="12"/>
            <w:tcBorders>
              <w:top w:val="single" w:sz="6" w:space="0" w:color="auto"/>
              <w:left w:val="single" w:sz="6" w:space="0" w:color="auto"/>
              <w:bottom w:val="single" w:sz="6" w:space="0" w:color="auto"/>
              <w:right w:val="single" w:sz="6" w:space="0" w:color="auto"/>
            </w:tcBorders>
          </w:tcPr>
          <w:p w:rsidR="001F6063" w:rsidRPr="00B75FD7" w:rsidRDefault="001F6063" w:rsidP="000303D7">
            <w:pPr>
              <w:numPr>
                <w:ilvl w:val="0"/>
                <w:numId w:val="87"/>
              </w:numPr>
              <w:tabs>
                <w:tab w:val="left" w:pos="120"/>
              </w:tabs>
              <w:ind w:left="403" w:hanging="141"/>
              <w:jc w:val="left"/>
              <w:rPr>
                <w:sz w:val="22"/>
              </w:rPr>
            </w:pPr>
            <w:r w:rsidRPr="00B75FD7">
              <w:rPr>
                <w:sz w:val="22"/>
              </w:rPr>
              <w:t>Проведення інвентаризації основних засобів.</w:t>
            </w:r>
          </w:p>
          <w:p w:rsidR="001F6063" w:rsidRPr="00B75FD7" w:rsidRDefault="001F6063" w:rsidP="000303D7">
            <w:pPr>
              <w:numPr>
                <w:ilvl w:val="0"/>
                <w:numId w:val="87"/>
              </w:numPr>
              <w:tabs>
                <w:tab w:val="left" w:pos="120"/>
              </w:tabs>
              <w:ind w:left="403" w:hanging="141"/>
              <w:jc w:val="left"/>
              <w:rPr>
                <w:sz w:val="22"/>
              </w:rPr>
            </w:pPr>
            <w:r w:rsidRPr="00B75FD7">
              <w:rPr>
                <w:sz w:val="22"/>
              </w:rPr>
              <w:t xml:space="preserve">Вивчення ринкових пропозицій щодо вартості товару. </w:t>
            </w:r>
          </w:p>
          <w:p w:rsidR="001F6063" w:rsidRPr="00B75FD7" w:rsidRDefault="001F6063" w:rsidP="000303D7">
            <w:pPr>
              <w:numPr>
                <w:ilvl w:val="0"/>
                <w:numId w:val="87"/>
              </w:numPr>
              <w:tabs>
                <w:tab w:val="left" w:pos="120"/>
              </w:tabs>
              <w:ind w:left="403" w:hanging="141"/>
              <w:jc w:val="left"/>
              <w:rPr>
                <w:sz w:val="22"/>
              </w:rPr>
            </w:pPr>
            <w:r w:rsidRPr="00B75FD7">
              <w:rPr>
                <w:sz w:val="22"/>
              </w:rPr>
              <w:t xml:space="preserve">Заключення договору на придбання обладнання та устаткування. </w:t>
            </w:r>
          </w:p>
          <w:p w:rsidR="001F6063" w:rsidRPr="00B75FD7" w:rsidRDefault="001F6063" w:rsidP="000303D7">
            <w:pPr>
              <w:numPr>
                <w:ilvl w:val="0"/>
                <w:numId w:val="87"/>
              </w:numPr>
              <w:tabs>
                <w:tab w:val="left" w:pos="120"/>
              </w:tabs>
              <w:ind w:left="403" w:hanging="141"/>
              <w:jc w:val="left"/>
              <w:rPr>
                <w:sz w:val="22"/>
              </w:rPr>
            </w:pPr>
            <w:r w:rsidRPr="00B75FD7">
              <w:rPr>
                <w:sz w:val="22"/>
              </w:rPr>
              <w:t xml:space="preserve">Закупівля. </w:t>
            </w:r>
          </w:p>
          <w:p w:rsidR="001F6063" w:rsidRPr="00B75FD7" w:rsidRDefault="001F6063" w:rsidP="000303D7">
            <w:pPr>
              <w:numPr>
                <w:ilvl w:val="0"/>
                <w:numId w:val="87"/>
              </w:numPr>
              <w:tabs>
                <w:tab w:val="left" w:pos="120"/>
              </w:tabs>
              <w:ind w:left="403" w:hanging="141"/>
              <w:jc w:val="left"/>
              <w:rPr>
                <w:sz w:val="22"/>
              </w:rPr>
            </w:pPr>
            <w:r w:rsidRPr="00B75FD7">
              <w:rPr>
                <w:sz w:val="22"/>
              </w:rPr>
              <w:t xml:space="preserve">Моніторингова оцінка реалізації </w:t>
            </w:r>
            <w:proofErr w:type="spellStart"/>
            <w:r w:rsidRPr="00B75FD7">
              <w:rPr>
                <w:sz w:val="22"/>
              </w:rPr>
              <w:t>про</w:t>
            </w:r>
            <w:r w:rsidR="00A10906" w:rsidRPr="00B75FD7">
              <w:rPr>
                <w:sz w:val="22"/>
              </w:rPr>
              <w:t>є</w:t>
            </w:r>
            <w:r w:rsidRPr="00B75FD7">
              <w:rPr>
                <w:sz w:val="22"/>
              </w:rPr>
              <w:t>кту</w:t>
            </w:r>
            <w:proofErr w:type="spellEnd"/>
            <w:r w:rsidRPr="00B75FD7">
              <w:rPr>
                <w:sz w:val="22"/>
              </w:rPr>
              <w:t xml:space="preserve">. </w:t>
            </w:r>
          </w:p>
          <w:p w:rsidR="001F6063" w:rsidRPr="00B75FD7" w:rsidRDefault="001F6063" w:rsidP="000303D7">
            <w:pPr>
              <w:numPr>
                <w:ilvl w:val="0"/>
                <w:numId w:val="87"/>
              </w:numPr>
              <w:tabs>
                <w:tab w:val="left" w:pos="120"/>
              </w:tabs>
              <w:ind w:left="403" w:hanging="141"/>
              <w:jc w:val="left"/>
              <w:rPr>
                <w:rFonts w:eastAsia="Calibri"/>
                <w:sz w:val="22"/>
              </w:rPr>
            </w:pPr>
            <w:r w:rsidRPr="00B75FD7">
              <w:rPr>
                <w:sz w:val="22"/>
              </w:rPr>
              <w:t xml:space="preserve">Інформування представників громадськості щодо реалізації </w:t>
            </w:r>
            <w:proofErr w:type="spellStart"/>
            <w:r w:rsidRPr="00B75FD7">
              <w:rPr>
                <w:sz w:val="22"/>
              </w:rPr>
              <w:t>про</w:t>
            </w:r>
            <w:r w:rsidR="00A10906" w:rsidRPr="00B75FD7">
              <w:rPr>
                <w:sz w:val="22"/>
              </w:rPr>
              <w:t>є</w:t>
            </w:r>
            <w:r w:rsidRPr="00B75FD7">
              <w:rPr>
                <w:sz w:val="22"/>
              </w:rPr>
              <w:t>кту</w:t>
            </w:r>
            <w:proofErr w:type="spellEnd"/>
            <w:r w:rsidRPr="00B75FD7">
              <w:rPr>
                <w:sz w:val="22"/>
              </w:rPr>
              <w:t xml:space="preserve">.  </w:t>
            </w:r>
          </w:p>
        </w:tc>
      </w:tr>
      <w:tr w:rsidR="001F6063" w:rsidRPr="00B75FD7" w:rsidTr="00A10906">
        <w:trPr>
          <w:trHeight w:val="600"/>
        </w:trPr>
        <w:tc>
          <w:tcPr>
            <w:tcW w:w="738" w:type="dxa"/>
            <w:vMerge w:val="restart"/>
            <w:tcBorders>
              <w:top w:val="nil"/>
              <w:left w:val="nil"/>
              <w:right w:val="nil"/>
            </w:tcBorders>
          </w:tcPr>
          <w:p w:rsidR="001F6063" w:rsidRPr="00B75FD7" w:rsidRDefault="001F6063" w:rsidP="00C533DF">
            <w:pPr>
              <w:autoSpaceDE w:val="0"/>
              <w:autoSpaceDN w:val="0"/>
              <w:adjustRightInd w:val="0"/>
              <w:jc w:val="right"/>
              <w:rPr>
                <w:rFonts w:eastAsia="Calibri"/>
                <w:sz w:val="22"/>
              </w:rPr>
            </w:pPr>
          </w:p>
        </w:tc>
        <w:tc>
          <w:tcPr>
            <w:tcW w:w="2976" w:type="dxa"/>
            <w:gridSpan w:val="2"/>
            <w:vMerge w:val="restart"/>
            <w:tcBorders>
              <w:top w:val="single" w:sz="6" w:space="0" w:color="auto"/>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r w:rsidRPr="00B75FD7">
              <w:rPr>
                <w:rFonts w:eastAsia="Calibri"/>
                <w:b/>
                <w:sz w:val="22"/>
              </w:rPr>
              <w:t>Орієнтовний обсяг та джерела фінансування тис. гривень</w:t>
            </w:r>
          </w:p>
        </w:tc>
        <w:tc>
          <w:tcPr>
            <w:tcW w:w="2395" w:type="dxa"/>
            <w:gridSpan w:val="2"/>
            <w:vMerge w:val="restart"/>
            <w:tcBorders>
              <w:top w:val="single" w:sz="6" w:space="0" w:color="auto"/>
              <w:left w:val="single" w:sz="6"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Державний бюджет</w:t>
            </w:r>
          </w:p>
        </w:tc>
        <w:tc>
          <w:tcPr>
            <w:tcW w:w="1151" w:type="dxa"/>
            <w:vMerge w:val="restart"/>
            <w:tcBorders>
              <w:top w:val="single" w:sz="6" w:space="0" w:color="auto"/>
              <w:left w:val="single" w:sz="6"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Місцевий бюджет</w:t>
            </w:r>
          </w:p>
        </w:tc>
        <w:tc>
          <w:tcPr>
            <w:tcW w:w="2407" w:type="dxa"/>
            <w:gridSpan w:val="8"/>
            <w:tcBorders>
              <w:top w:val="single" w:sz="6" w:space="0" w:color="auto"/>
              <w:left w:val="single" w:sz="6" w:space="0" w:color="auto"/>
              <w:bottom w:val="single" w:sz="6"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Інші джерела</w:t>
            </w:r>
          </w:p>
        </w:tc>
        <w:tc>
          <w:tcPr>
            <w:tcW w:w="1136" w:type="dxa"/>
            <w:vMerge w:val="restart"/>
            <w:tcBorders>
              <w:top w:val="single" w:sz="6" w:space="0" w:color="auto"/>
              <w:left w:val="single" w:sz="6"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Всього</w:t>
            </w:r>
          </w:p>
        </w:tc>
      </w:tr>
      <w:tr w:rsidR="001F6063" w:rsidRPr="00B75FD7" w:rsidTr="00A10906">
        <w:trPr>
          <w:trHeight w:val="65"/>
        </w:trPr>
        <w:tc>
          <w:tcPr>
            <w:tcW w:w="738" w:type="dxa"/>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976" w:type="dxa"/>
            <w:gridSpan w:val="2"/>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2395" w:type="dxa"/>
            <w:gridSpan w:val="2"/>
            <w:vMerge/>
            <w:tcBorders>
              <w:left w:val="single" w:sz="6" w:space="0" w:color="auto"/>
              <w:bottom w:val="single" w:sz="6" w:space="0" w:color="auto"/>
              <w:right w:val="single" w:sz="6" w:space="0" w:color="auto"/>
            </w:tcBorders>
          </w:tcPr>
          <w:p w:rsidR="001F6063" w:rsidRPr="00B75FD7" w:rsidRDefault="001F6063" w:rsidP="00C533DF">
            <w:pPr>
              <w:autoSpaceDE w:val="0"/>
              <w:autoSpaceDN w:val="0"/>
              <w:adjustRightInd w:val="0"/>
              <w:rPr>
                <w:rFonts w:eastAsia="Calibri"/>
                <w:sz w:val="22"/>
              </w:rPr>
            </w:pPr>
          </w:p>
        </w:tc>
        <w:tc>
          <w:tcPr>
            <w:tcW w:w="1151" w:type="dxa"/>
            <w:vMerge/>
            <w:tcBorders>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p>
        </w:tc>
        <w:tc>
          <w:tcPr>
            <w:tcW w:w="850" w:type="dxa"/>
            <w:gridSpan w:val="4"/>
            <w:tcBorders>
              <w:top w:val="single" w:sz="6" w:space="0" w:color="auto"/>
              <w:left w:val="single" w:sz="6" w:space="0" w:color="auto"/>
              <w:bottom w:val="single" w:sz="6"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Обсяг</w:t>
            </w:r>
          </w:p>
        </w:tc>
        <w:tc>
          <w:tcPr>
            <w:tcW w:w="1557" w:type="dxa"/>
            <w:gridSpan w:val="4"/>
            <w:tcBorders>
              <w:top w:val="single" w:sz="6" w:space="0" w:color="auto"/>
              <w:left w:val="single" w:sz="6" w:space="0" w:color="auto"/>
              <w:bottom w:val="single" w:sz="6"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Назва джерела</w:t>
            </w:r>
          </w:p>
        </w:tc>
        <w:tc>
          <w:tcPr>
            <w:tcW w:w="1136" w:type="dxa"/>
            <w:vMerge/>
            <w:tcBorders>
              <w:left w:val="single" w:sz="6" w:space="0" w:color="auto"/>
              <w:bottom w:val="single" w:sz="6" w:space="0" w:color="auto"/>
              <w:right w:val="single" w:sz="6" w:space="0" w:color="auto"/>
            </w:tcBorders>
          </w:tcPr>
          <w:p w:rsidR="001F6063" w:rsidRPr="00B75FD7" w:rsidRDefault="001F6063" w:rsidP="00C533DF">
            <w:pPr>
              <w:autoSpaceDE w:val="0"/>
              <w:autoSpaceDN w:val="0"/>
              <w:adjustRightInd w:val="0"/>
              <w:rPr>
                <w:rFonts w:eastAsia="Calibri"/>
                <w:sz w:val="22"/>
              </w:rPr>
            </w:pPr>
          </w:p>
        </w:tc>
      </w:tr>
      <w:tr w:rsidR="001F6063" w:rsidRPr="00B75FD7" w:rsidTr="00A10906">
        <w:trPr>
          <w:trHeight w:val="1335"/>
        </w:trPr>
        <w:tc>
          <w:tcPr>
            <w:tcW w:w="738" w:type="dxa"/>
            <w:vMerge/>
            <w:tcBorders>
              <w:left w:val="nil"/>
              <w:bottom w:val="nil"/>
              <w:right w:val="nil"/>
            </w:tcBorders>
          </w:tcPr>
          <w:p w:rsidR="001F6063" w:rsidRPr="00B75FD7" w:rsidRDefault="001F6063" w:rsidP="00C533DF">
            <w:pPr>
              <w:autoSpaceDE w:val="0"/>
              <w:autoSpaceDN w:val="0"/>
              <w:adjustRightInd w:val="0"/>
              <w:jc w:val="right"/>
              <w:rPr>
                <w:rFonts w:eastAsia="Calibri"/>
                <w:sz w:val="22"/>
              </w:rPr>
            </w:pPr>
          </w:p>
        </w:tc>
        <w:tc>
          <w:tcPr>
            <w:tcW w:w="2976" w:type="dxa"/>
            <w:gridSpan w:val="2"/>
            <w:vMerge/>
            <w:tcBorders>
              <w:left w:val="single" w:sz="6" w:space="0" w:color="auto"/>
              <w:bottom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2395" w:type="dxa"/>
            <w:gridSpan w:val="2"/>
            <w:tcBorders>
              <w:top w:val="single" w:sz="6" w:space="0" w:color="auto"/>
              <w:left w:val="single" w:sz="6" w:space="0" w:color="auto"/>
              <w:bottom w:val="single" w:sz="6"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1589,0</w:t>
            </w:r>
          </w:p>
        </w:tc>
        <w:tc>
          <w:tcPr>
            <w:tcW w:w="1151" w:type="dxa"/>
            <w:tcBorders>
              <w:top w:val="single" w:sz="4" w:space="0" w:color="auto"/>
              <w:left w:val="single" w:sz="6" w:space="0" w:color="auto"/>
              <w:bottom w:val="single" w:sz="6" w:space="0" w:color="auto"/>
              <w:right w:val="single" w:sz="6" w:space="0" w:color="auto"/>
            </w:tcBorders>
          </w:tcPr>
          <w:p w:rsidR="001F6063" w:rsidRPr="00B75FD7" w:rsidRDefault="00A10906" w:rsidP="00C533DF">
            <w:pPr>
              <w:autoSpaceDE w:val="0"/>
              <w:autoSpaceDN w:val="0"/>
              <w:adjustRightInd w:val="0"/>
              <w:jc w:val="center"/>
              <w:rPr>
                <w:rFonts w:eastAsia="Calibri"/>
                <w:sz w:val="22"/>
              </w:rPr>
            </w:pPr>
            <w:r w:rsidRPr="00B75FD7">
              <w:rPr>
                <w:rFonts w:eastAsia="Calibri"/>
                <w:sz w:val="22"/>
              </w:rPr>
              <w:t>-</w:t>
            </w:r>
          </w:p>
        </w:tc>
        <w:tc>
          <w:tcPr>
            <w:tcW w:w="850" w:type="dxa"/>
            <w:gridSpan w:val="4"/>
            <w:tcBorders>
              <w:top w:val="single" w:sz="6" w:space="0" w:color="auto"/>
              <w:left w:val="single" w:sz="6" w:space="0" w:color="auto"/>
              <w:bottom w:val="single" w:sz="6"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3000,0</w:t>
            </w:r>
          </w:p>
        </w:tc>
        <w:tc>
          <w:tcPr>
            <w:tcW w:w="1548" w:type="dxa"/>
            <w:gridSpan w:val="3"/>
            <w:tcBorders>
              <w:top w:val="single" w:sz="6" w:space="0" w:color="auto"/>
              <w:left w:val="single" w:sz="6" w:space="0" w:color="auto"/>
              <w:bottom w:val="single" w:sz="6" w:space="0" w:color="auto"/>
              <w:right w:val="single" w:sz="6" w:space="0" w:color="auto"/>
            </w:tcBorders>
          </w:tcPr>
          <w:p w:rsidR="001F6063" w:rsidRPr="00B75FD7" w:rsidRDefault="001F6063" w:rsidP="00A10906">
            <w:pPr>
              <w:autoSpaceDE w:val="0"/>
              <w:autoSpaceDN w:val="0"/>
              <w:adjustRightInd w:val="0"/>
              <w:rPr>
                <w:rFonts w:eastAsia="Calibri"/>
                <w:sz w:val="22"/>
              </w:rPr>
            </w:pPr>
            <w:r w:rsidRPr="00B75FD7">
              <w:rPr>
                <w:rFonts w:eastAsia="Calibri"/>
                <w:sz w:val="22"/>
              </w:rPr>
              <w:t xml:space="preserve">Міжнародні </w:t>
            </w:r>
            <w:r w:rsidR="00A10906" w:rsidRPr="00B75FD7">
              <w:rPr>
                <w:rFonts w:eastAsia="Calibri"/>
                <w:sz w:val="22"/>
              </w:rPr>
              <w:t>інвестиції</w:t>
            </w:r>
          </w:p>
        </w:tc>
        <w:tc>
          <w:tcPr>
            <w:tcW w:w="1145" w:type="dxa"/>
            <w:gridSpan w:val="2"/>
            <w:tcBorders>
              <w:top w:val="single" w:sz="6" w:space="0" w:color="auto"/>
              <w:left w:val="single" w:sz="6" w:space="0" w:color="auto"/>
              <w:bottom w:val="single" w:sz="6"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4589,0</w:t>
            </w:r>
          </w:p>
        </w:tc>
      </w:tr>
    </w:tbl>
    <w:p w:rsidR="001F6063" w:rsidRPr="00B75FD7" w:rsidRDefault="001F6063" w:rsidP="00E33AAA">
      <w:pPr>
        <w:tabs>
          <w:tab w:val="left" w:pos="5290"/>
        </w:tabs>
        <w:rPr>
          <w:b/>
          <w:sz w:val="22"/>
          <w:szCs w:val="22"/>
        </w:rPr>
      </w:pPr>
    </w:p>
    <w:p w:rsidR="001F6063" w:rsidRPr="00B75FD7" w:rsidRDefault="001F6063" w:rsidP="00E33AAA">
      <w:pPr>
        <w:tabs>
          <w:tab w:val="left" w:pos="5290"/>
        </w:tabs>
        <w:rPr>
          <w:b/>
          <w:sz w:val="22"/>
          <w:szCs w:val="22"/>
        </w:rPr>
      </w:pPr>
    </w:p>
    <w:p w:rsidR="001F6063" w:rsidRPr="00B75FD7" w:rsidRDefault="001F6063" w:rsidP="00E33AAA">
      <w:pPr>
        <w:tabs>
          <w:tab w:val="left" w:pos="5290"/>
        </w:tabs>
        <w:rPr>
          <w:b/>
          <w:sz w:val="22"/>
          <w:szCs w:val="22"/>
        </w:rPr>
      </w:pPr>
    </w:p>
    <w:tbl>
      <w:tblPr>
        <w:tblpPr w:leftFromText="180" w:rightFromText="180" w:vertAnchor="text" w:horzAnchor="page" w:tblpX="1398" w:tblpY="123"/>
        <w:tblW w:w="10144" w:type="dxa"/>
        <w:tblLayout w:type="fixed"/>
        <w:tblCellMar>
          <w:left w:w="30" w:type="dxa"/>
          <w:right w:w="30" w:type="dxa"/>
        </w:tblCellMar>
        <w:tblLook w:val="0000" w:firstRow="0" w:lastRow="0" w:firstColumn="0" w:lastColumn="0" w:noHBand="0" w:noVBand="0"/>
      </w:tblPr>
      <w:tblGrid>
        <w:gridCol w:w="2977"/>
        <w:gridCol w:w="1306"/>
        <w:gridCol w:w="1134"/>
        <w:gridCol w:w="992"/>
        <w:gridCol w:w="477"/>
        <w:gridCol w:w="1417"/>
        <w:gridCol w:w="37"/>
        <w:gridCol w:w="1613"/>
        <w:gridCol w:w="191"/>
      </w:tblGrid>
      <w:tr w:rsidR="00D66A51" w:rsidRPr="00B75FD7" w:rsidTr="00D66A51">
        <w:trPr>
          <w:gridAfter w:val="1"/>
          <w:wAfter w:w="191" w:type="dxa"/>
          <w:trHeight w:val="555"/>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66A51" w:rsidRPr="00B75FD7" w:rsidRDefault="00D66A51" w:rsidP="00D66A51">
            <w:pPr>
              <w:autoSpaceDE w:val="0"/>
              <w:autoSpaceDN w:val="0"/>
              <w:adjustRightInd w:val="0"/>
              <w:rPr>
                <w:rFonts w:eastAsia="Calibri"/>
                <w:b/>
                <w:color w:val="000000"/>
                <w:sz w:val="22"/>
              </w:rPr>
            </w:pPr>
            <w:bookmarkStart w:id="51" w:name="_Hlk139719456"/>
            <w:r w:rsidRPr="00B75FD7">
              <w:rPr>
                <w:rFonts w:eastAsia="Calibri"/>
                <w:b/>
                <w:color w:val="000000"/>
                <w:sz w:val="22"/>
              </w:rPr>
              <w:t>Оперативна ціль/завдання</w:t>
            </w:r>
          </w:p>
        </w:tc>
        <w:tc>
          <w:tcPr>
            <w:tcW w:w="6976" w:type="dxa"/>
            <w:gridSpan w:val="7"/>
            <w:tcBorders>
              <w:top w:val="single" w:sz="6" w:space="0" w:color="auto"/>
              <w:left w:val="single" w:sz="6" w:space="0" w:color="auto"/>
              <w:bottom w:val="single" w:sz="6" w:space="0" w:color="auto"/>
              <w:right w:val="single" w:sz="6" w:space="0" w:color="auto"/>
            </w:tcBorders>
          </w:tcPr>
          <w:p w:rsidR="00D66A51" w:rsidRPr="00B75FD7" w:rsidRDefault="00D66A51" w:rsidP="00D66A51">
            <w:pPr>
              <w:autoSpaceDE w:val="0"/>
              <w:autoSpaceDN w:val="0"/>
              <w:adjustRightInd w:val="0"/>
              <w:rPr>
                <w:rFonts w:eastAsia="Calibri"/>
                <w:color w:val="000000"/>
                <w:sz w:val="22"/>
              </w:rPr>
            </w:pPr>
            <w:r w:rsidRPr="00B75FD7">
              <w:rPr>
                <w:rFonts w:eastAsia="Calibri"/>
                <w:sz w:val="22"/>
              </w:rPr>
              <w:t xml:space="preserve">Людський розвиток через інновації управління та довіру до влади. Формування сучасного інклюзивного  </w:t>
            </w:r>
            <w:proofErr w:type="spellStart"/>
            <w:r w:rsidRPr="00B75FD7">
              <w:rPr>
                <w:rFonts w:eastAsia="Calibri"/>
                <w:sz w:val="22"/>
              </w:rPr>
              <w:t>освітньо</w:t>
            </w:r>
            <w:proofErr w:type="spellEnd"/>
            <w:r w:rsidRPr="00B75FD7">
              <w:rPr>
                <w:rFonts w:eastAsia="Calibri"/>
                <w:sz w:val="22"/>
              </w:rPr>
              <w:t>-культурного та спортивного простору для розвитку.</w:t>
            </w:r>
          </w:p>
        </w:tc>
      </w:tr>
      <w:tr w:rsidR="00D66A51" w:rsidRPr="00B75FD7" w:rsidTr="00D66A51">
        <w:trPr>
          <w:gridAfter w:val="1"/>
          <w:wAfter w:w="191" w:type="dxa"/>
          <w:trHeight w:val="691"/>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66A51" w:rsidRPr="00B75FD7" w:rsidRDefault="00D66A51" w:rsidP="00D66A51">
            <w:pPr>
              <w:autoSpaceDE w:val="0"/>
              <w:autoSpaceDN w:val="0"/>
              <w:adjustRightInd w:val="0"/>
              <w:rPr>
                <w:rFonts w:eastAsia="Calibri"/>
                <w:b/>
                <w:color w:val="000000"/>
                <w:sz w:val="22"/>
              </w:rPr>
            </w:pPr>
            <w:r w:rsidRPr="00B75FD7">
              <w:rPr>
                <w:rFonts w:eastAsia="Calibri"/>
                <w:b/>
                <w:color w:val="000000"/>
                <w:sz w:val="22"/>
              </w:rPr>
              <w:t>Назва проекту:</w:t>
            </w:r>
          </w:p>
        </w:tc>
        <w:tc>
          <w:tcPr>
            <w:tcW w:w="6976" w:type="dxa"/>
            <w:gridSpan w:val="7"/>
            <w:tcBorders>
              <w:top w:val="single" w:sz="6" w:space="0" w:color="auto"/>
              <w:left w:val="single" w:sz="6" w:space="0" w:color="auto"/>
              <w:bottom w:val="single" w:sz="6" w:space="0" w:color="auto"/>
              <w:right w:val="single" w:sz="6" w:space="0" w:color="auto"/>
            </w:tcBorders>
          </w:tcPr>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Відновлення благоустрою території: реконструкція павільйонів, спортивного майданчика, системи енергоефективного зовнішнього освітлення території, заміна асфальтного покриття,</w:t>
            </w:r>
            <w:r w:rsidRPr="00B75FD7">
              <w:rPr>
                <w:sz w:val="22"/>
              </w:rPr>
              <w:t xml:space="preserve"> відновлення</w:t>
            </w:r>
            <w:r w:rsidRPr="00B75FD7">
              <w:rPr>
                <w:rFonts w:eastAsia="Calibri"/>
                <w:color w:val="000000"/>
                <w:sz w:val="22"/>
              </w:rPr>
              <w:t xml:space="preserve"> паркану </w:t>
            </w:r>
            <w:r w:rsidRPr="00B75FD7">
              <w:rPr>
                <w:rFonts w:eastAsia="Calibri"/>
                <w:color w:val="000000"/>
                <w:sz w:val="22"/>
              </w:rPr>
              <w:lastRenderedPageBreak/>
              <w:t xml:space="preserve">та облаштування ігрових майданчиків на території Ясел-садка № 26 м. Сєвєродонецька Луганської обл., вул. </w:t>
            </w:r>
            <w:proofErr w:type="spellStart"/>
            <w:r w:rsidRPr="00B75FD7">
              <w:rPr>
                <w:rFonts w:eastAsia="Calibri"/>
                <w:color w:val="000000"/>
                <w:sz w:val="22"/>
              </w:rPr>
              <w:t>Сметаніна</w:t>
            </w:r>
            <w:proofErr w:type="spellEnd"/>
            <w:r w:rsidRPr="00B75FD7">
              <w:rPr>
                <w:rFonts w:eastAsia="Calibri"/>
                <w:color w:val="000000"/>
                <w:sz w:val="22"/>
              </w:rPr>
              <w:t>, 16</w:t>
            </w:r>
          </w:p>
        </w:tc>
      </w:tr>
      <w:tr w:rsidR="00D66A51" w:rsidRPr="00B75FD7" w:rsidTr="00D66A51">
        <w:trPr>
          <w:gridAfter w:val="1"/>
          <w:wAfter w:w="191" w:type="dxa"/>
          <w:trHeight w:val="581"/>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66A51" w:rsidRPr="00B75FD7" w:rsidRDefault="00D66A51" w:rsidP="00D66A51">
            <w:pPr>
              <w:autoSpaceDE w:val="0"/>
              <w:autoSpaceDN w:val="0"/>
              <w:adjustRightInd w:val="0"/>
              <w:rPr>
                <w:rFonts w:eastAsia="Calibri"/>
                <w:b/>
                <w:color w:val="000000"/>
                <w:sz w:val="22"/>
              </w:rPr>
            </w:pPr>
            <w:r w:rsidRPr="00B75FD7">
              <w:rPr>
                <w:rFonts w:eastAsia="Calibri"/>
                <w:b/>
                <w:color w:val="000000"/>
                <w:sz w:val="22"/>
              </w:rPr>
              <w:lastRenderedPageBreak/>
              <w:t>Ціль проекту</w:t>
            </w:r>
          </w:p>
        </w:tc>
        <w:tc>
          <w:tcPr>
            <w:tcW w:w="6976" w:type="dxa"/>
            <w:gridSpan w:val="7"/>
            <w:tcBorders>
              <w:top w:val="single" w:sz="6" w:space="0" w:color="auto"/>
              <w:left w:val="single" w:sz="6" w:space="0" w:color="auto"/>
              <w:bottom w:val="single" w:sz="6" w:space="0" w:color="auto"/>
              <w:right w:val="single" w:sz="6" w:space="0" w:color="auto"/>
            </w:tcBorders>
          </w:tcPr>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Створення повноцінного, безпечного, універсального середовища для зміцнення здоров’я вихованців, умов для розвитку спорту та ведення здорового способу життя.</w:t>
            </w:r>
          </w:p>
        </w:tc>
      </w:tr>
      <w:tr w:rsidR="00D66A51" w:rsidRPr="00B75FD7" w:rsidTr="00D66A51">
        <w:trPr>
          <w:gridAfter w:val="1"/>
          <w:wAfter w:w="191" w:type="dxa"/>
          <w:trHeight w:val="290"/>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66A51" w:rsidRPr="00B75FD7" w:rsidRDefault="00D66A51" w:rsidP="00D66A51">
            <w:pPr>
              <w:autoSpaceDE w:val="0"/>
              <w:autoSpaceDN w:val="0"/>
              <w:adjustRightInd w:val="0"/>
              <w:rPr>
                <w:rFonts w:eastAsia="Calibri"/>
                <w:b/>
                <w:color w:val="000000"/>
                <w:sz w:val="22"/>
              </w:rPr>
            </w:pPr>
            <w:r w:rsidRPr="00B75FD7">
              <w:rPr>
                <w:rFonts w:eastAsia="Calibri"/>
                <w:b/>
                <w:color w:val="000000"/>
                <w:sz w:val="22"/>
              </w:rPr>
              <w:t>Територія, на яку матиме вплив реалізація проекту</w:t>
            </w:r>
          </w:p>
        </w:tc>
        <w:tc>
          <w:tcPr>
            <w:tcW w:w="6976" w:type="dxa"/>
            <w:gridSpan w:val="7"/>
            <w:tcBorders>
              <w:top w:val="single" w:sz="6" w:space="0" w:color="auto"/>
              <w:left w:val="single" w:sz="6" w:space="0" w:color="auto"/>
              <w:bottom w:val="single" w:sz="6" w:space="0" w:color="auto"/>
              <w:right w:val="single" w:sz="6" w:space="0" w:color="auto"/>
            </w:tcBorders>
          </w:tcPr>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Сєвєродонецька міська територіальна громада</w:t>
            </w:r>
          </w:p>
        </w:tc>
      </w:tr>
      <w:tr w:rsidR="00D66A51" w:rsidRPr="00B75FD7" w:rsidTr="00D66A51">
        <w:trPr>
          <w:gridAfter w:val="1"/>
          <w:wAfter w:w="191" w:type="dxa"/>
          <w:trHeight w:val="508"/>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66A51" w:rsidRPr="00B75FD7" w:rsidRDefault="00D66A51" w:rsidP="00D66A51">
            <w:pPr>
              <w:autoSpaceDE w:val="0"/>
              <w:autoSpaceDN w:val="0"/>
              <w:adjustRightInd w:val="0"/>
              <w:rPr>
                <w:rFonts w:eastAsia="Calibri"/>
                <w:b/>
                <w:color w:val="000000"/>
                <w:sz w:val="22"/>
              </w:rPr>
            </w:pPr>
            <w:r w:rsidRPr="00B75FD7">
              <w:rPr>
                <w:rFonts w:eastAsia="Calibri"/>
                <w:b/>
                <w:color w:val="000000"/>
                <w:sz w:val="22"/>
              </w:rPr>
              <w:t>Чисельність населення, на яке матиме вплив реалізація проекту</w:t>
            </w:r>
          </w:p>
        </w:tc>
        <w:tc>
          <w:tcPr>
            <w:tcW w:w="6976" w:type="dxa"/>
            <w:gridSpan w:val="7"/>
            <w:tcBorders>
              <w:top w:val="single" w:sz="6" w:space="0" w:color="auto"/>
              <w:left w:val="single" w:sz="6" w:space="0" w:color="auto"/>
              <w:bottom w:val="single" w:sz="6" w:space="0" w:color="auto"/>
              <w:right w:val="single" w:sz="6" w:space="0" w:color="auto"/>
            </w:tcBorders>
          </w:tcPr>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70000 осіб</w:t>
            </w:r>
          </w:p>
        </w:tc>
      </w:tr>
      <w:tr w:rsidR="00D66A51" w:rsidRPr="00B75FD7" w:rsidTr="00D66A51">
        <w:trPr>
          <w:gridAfter w:val="1"/>
          <w:wAfter w:w="191" w:type="dxa"/>
          <w:trHeight w:val="411"/>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66A51" w:rsidRPr="00B75FD7" w:rsidRDefault="00D66A51" w:rsidP="00D66A51">
            <w:pPr>
              <w:autoSpaceDE w:val="0"/>
              <w:autoSpaceDN w:val="0"/>
              <w:adjustRightInd w:val="0"/>
              <w:rPr>
                <w:rFonts w:eastAsia="Calibri"/>
                <w:b/>
                <w:color w:val="000000"/>
                <w:sz w:val="22"/>
              </w:rPr>
            </w:pPr>
            <w:r w:rsidRPr="00B75FD7">
              <w:rPr>
                <w:rFonts w:eastAsia="Calibri"/>
                <w:b/>
                <w:color w:val="000000"/>
                <w:sz w:val="22"/>
              </w:rPr>
              <w:t>Опис проблеми, на вирішення якої спрямований проект</w:t>
            </w:r>
          </w:p>
        </w:tc>
        <w:tc>
          <w:tcPr>
            <w:tcW w:w="6976" w:type="dxa"/>
            <w:gridSpan w:val="7"/>
            <w:tcBorders>
              <w:top w:val="single" w:sz="6" w:space="0" w:color="auto"/>
              <w:left w:val="single" w:sz="6" w:space="0" w:color="auto"/>
              <w:bottom w:val="single" w:sz="6" w:space="0" w:color="auto"/>
              <w:right w:val="single" w:sz="6" w:space="0" w:color="auto"/>
            </w:tcBorders>
          </w:tcPr>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 xml:space="preserve">Ясла-садок № 26 міста </w:t>
            </w:r>
            <w:proofErr w:type="spellStart"/>
            <w:r w:rsidRPr="00B75FD7">
              <w:rPr>
                <w:rFonts w:eastAsia="Calibri"/>
                <w:color w:val="000000"/>
                <w:sz w:val="22"/>
              </w:rPr>
              <w:t>Сєвєродонецка</w:t>
            </w:r>
            <w:proofErr w:type="spellEnd"/>
            <w:r w:rsidRPr="00B75FD7">
              <w:rPr>
                <w:rFonts w:eastAsia="Calibri"/>
                <w:color w:val="000000"/>
                <w:sz w:val="22"/>
              </w:rPr>
              <w:t xml:space="preserve"> розташований у відносно спокійному та гарному районі міста, має невелику територію.  На території закладу є спортивний майданчик, групові майданчики, які призначені для прогулянок, спортивних занять, ігор, свят на свіжому повітрі та допомагають зберегти й примножити здоров'я малюків. Під час бойових дій у місті Сєвєродонецьк, споруди, майданчики,</w:t>
            </w:r>
            <w:r w:rsidR="00900C11" w:rsidRPr="00B75FD7">
              <w:rPr>
                <w:rFonts w:eastAsia="Calibri"/>
                <w:color w:val="000000"/>
                <w:sz w:val="22"/>
              </w:rPr>
              <w:t xml:space="preserve"> </w:t>
            </w:r>
            <w:r w:rsidRPr="00B75FD7">
              <w:rPr>
                <w:rFonts w:eastAsia="Calibri"/>
                <w:color w:val="000000"/>
                <w:sz w:val="22"/>
              </w:rPr>
              <w:t xml:space="preserve">асфальтні доріжки, зовнішнє освітлення та паркан зазнали обстрілів та були пошкоджені, зруйновані. Тому потребують оновлення на безпечні та сучасні. Реалізація </w:t>
            </w:r>
            <w:proofErr w:type="spellStart"/>
            <w:r w:rsidRPr="00B75FD7">
              <w:rPr>
                <w:rFonts w:eastAsia="Calibri"/>
                <w:color w:val="000000"/>
                <w:sz w:val="22"/>
              </w:rPr>
              <w:t>проєкту</w:t>
            </w:r>
            <w:proofErr w:type="spellEnd"/>
            <w:r w:rsidRPr="00B75FD7">
              <w:rPr>
                <w:rFonts w:eastAsia="Calibri"/>
                <w:color w:val="000000"/>
                <w:sz w:val="22"/>
              </w:rPr>
              <w:t xml:space="preserve"> </w:t>
            </w:r>
            <w:proofErr w:type="spellStart"/>
            <w:r w:rsidRPr="00B75FD7">
              <w:rPr>
                <w:rFonts w:eastAsia="Calibri"/>
                <w:color w:val="000000"/>
                <w:sz w:val="22"/>
              </w:rPr>
              <w:t>надасть</w:t>
            </w:r>
            <w:proofErr w:type="spellEnd"/>
            <w:r w:rsidRPr="00B75FD7">
              <w:rPr>
                <w:rFonts w:eastAsia="Calibri"/>
                <w:color w:val="000000"/>
                <w:sz w:val="22"/>
              </w:rPr>
              <w:t xml:space="preserve"> можливість замінити старе спортивне та ігрове обладнання, осучаснити майданчики та зробити їх безпечними, універсальними, доступними та цікавими не тільки для вихованців закладу, а й для дітей мікрорайону.  Для дошкільнят встановлять новий вуличний спортивний комплекс з гіркою, лавки, машинки, дитячі столи, пісочниці, будиночки, каруселі, та реставрувати 4 павільйони, а сам ігровий майданчик застелить гумовим покриттям, де можна буде проводити заняття на свіжому повітрі, а також бавитися за будь-якої погоди.</w:t>
            </w:r>
          </w:p>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 xml:space="preserve">Садочок також потребує заміни асфальту. Замінити його кольоровою бруківкою, яка не тільки </w:t>
            </w:r>
            <w:proofErr w:type="spellStart"/>
            <w:r w:rsidRPr="00B75FD7">
              <w:rPr>
                <w:rFonts w:eastAsia="Calibri"/>
                <w:color w:val="000000"/>
                <w:sz w:val="22"/>
              </w:rPr>
              <w:t>надасть</w:t>
            </w:r>
            <w:proofErr w:type="spellEnd"/>
            <w:r w:rsidRPr="00B75FD7">
              <w:rPr>
                <w:rFonts w:eastAsia="Calibri"/>
                <w:color w:val="000000"/>
                <w:sz w:val="22"/>
              </w:rPr>
              <w:t xml:space="preserve"> закладу більш естетичного вигляду, але й запобігатиме травматизму його вихованців. </w:t>
            </w:r>
          </w:p>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 xml:space="preserve">У закладі впевнені, що спорт та фізичне навантаження – це запорука здоров’я людини, а звичку до оздоровлення потрібно виховувати ще змалечку. Зовнішній вигляд спортивного майданчика має бути в гармонії з довкіллям. Спортивний майданчик потрібно облаштувати комплексно. Слід звернути увагу на вибір спеціального покриття. Він також може включати елементи колекційного спортивного комплексу, а саме: колода-змійка, стінка для скелелазіння, дитячий </w:t>
            </w:r>
            <w:proofErr w:type="spellStart"/>
            <w:r w:rsidRPr="00B75FD7">
              <w:rPr>
                <w:rFonts w:eastAsia="Calibri"/>
                <w:color w:val="000000"/>
                <w:sz w:val="22"/>
              </w:rPr>
              <w:t>скеледром</w:t>
            </w:r>
            <w:proofErr w:type="spellEnd"/>
            <w:r w:rsidRPr="00B75FD7">
              <w:rPr>
                <w:rFonts w:eastAsia="Calibri"/>
                <w:color w:val="000000"/>
                <w:sz w:val="22"/>
              </w:rPr>
              <w:t xml:space="preserve">, силові тренажери, баскетбольні та футбольні </w:t>
            </w:r>
            <w:proofErr w:type="spellStart"/>
            <w:r w:rsidRPr="00B75FD7">
              <w:rPr>
                <w:rFonts w:eastAsia="Calibri"/>
                <w:color w:val="000000"/>
                <w:sz w:val="22"/>
              </w:rPr>
              <w:t>стійки</w:t>
            </w:r>
            <w:proofErr w:type="spellEnd"/>
            <w:r w:rsidRPr="00B75FD7">
              <w:rPr>
                <w:rFonts w:eastAsia="Calibri"/>
                <w:color w:val="000000"/>
                <w:sz w:val="22"/>
              </w:rPr>
              <w:t xml:space="preserve">, </w:t>
            </w:r>
            <w:proofErr w:type="spellStart"/>
            <w:r w:rsidRPr="00B75FD7">
              <w:rPr>
                <w:rFonts w:eastAsia="Calibri"/>
                <w:color w:val="000000"/>
                <w:sz w:val="22"/>
              </w:rPr>
              <w:t>стійки</w:t>
            </w:r>
            <w:proofErr w:type="spellEnd"/>
            <w:r w:rsidRPr="00B75FD7">
              <w:rPr>
                <w:rFonts w:eastAsia="Calibri"/>
                <w:color w:val="000000"/>
                <w:sz w:val="22"/>
              </w:rPr>
              <w:t xml:space="preserve"> із сіткою для волейболу, футбольні ворота, бігова доріжка та смуга розгону для стрибків зі спеціальним покриттям. Сучасна зона спортивного дозвілля буде спонукати дітей  займатися спортом, спортивними іграми та прищеплювати культуру активного та здорового відпочинку.</w:t>
            </w:r>
          </w:p>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 xml:space="preserve">Зовнішнє освітлення території Ясла-садка № 26 є необхідним, адже допомагає підвищити рівень безпеки території, дозволяє відчувати комфорт навіть вночі. </w:t>
            </w:r>
            <w:proofErr w:type="spellStart"/>
            <w:r w:rsidRPr="00B75FD7">
              <w:rPr>
                <w:rFonts w:eastAsia="Calibri"/>
                <w:color w:val="000000"/>
                <w:sz w:val="22"/>
              </w:rPr>
              <w:t>Енергозбережувальне</w:t>
            </w:r>
            <w:proofErr w:type="spellEnd"/>
            <w:r w:rsidRPr="00B75FD7">
              <w:rPr>
                <w:rFonts w:eastAsia="Calibri"/>
                <w:color w:val="000000"/>
                <w:sz w:val="22"/>
              </w:rPr>
              <w:t xml:space="preserve"> освітлення буде економним та створить комфортні та безпечні умови для перебування малюків в дошкільному закладі.</w:t>
            </w:r>
          </w:p>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 xml:space="preserve">Встановлення огорожі біля будівлі є одним із заходів з </w:t>
            </w:r>
            <w:proofErr w:type="spellStart"/>
            <w:r w:rsidRPr="00B75FD7">
              <w:rPr>
                <w:rFonts w:eastAsia="Calibri"/>
                <w:color w:val="000000"/>
                <w:sz w:val="22"/>
              </w:rPr>
              <w:t>доброустрою</w:t>
            </w:r>
            <w:proofErr w:type="spellEnd"/>
            <w:r w:rsidRPr="00B75FD7">
              <w:rPr>
                <w:rFonts w:eastAsia="Calibri"/>
                <w:color w:val="000000"/>
                <w:sz w:val="22"/>
              </w:rPr>
              <w:t xml:space="preserve"> прилеглої території та забезпечення безпечного прибування дошкільників у Яслах-садку № 26.</w:t>
            </w:r>
          </w:p>
        </w:tc>
      </w:tr>
      <w:tr w:rsidR="00D66A51" w:rsidRPr="00B75FD7" w:rsidTr="00D66A51">
        <w:trPr>
          <w:gridAfter w:val="1"/>
          <w:wAfter w:w="191" w:type="dxa"/>
          <w:trHeight w:val="269"/>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66A51" w:rsidRPr="00B75FD7" w:rsidRDefault="00D66A51" w:rsidP="00D66A51">
            <w:pPr>
              <w:autoSpaceDE w:val="0"/>
              <w:autoSpaceDN w:val="0"/>
              <w:adjustRightInd w:val="0"/>
              <w:rPr>
                <w:rFonts w:eastAsia="Calibri"/>
                <w:b/>
                <w:color w:val="000000"/>
                <w:sz w:val="22"/>
              </w:rPr>
            </w:pPr>
            <w:r w:rsidRPr="00B75FD7">
              <w:rPr>
                <w:rFonts w:eastAsia="Calibri"/>
                <w:b/>
                <w:color w:val="000000"/>
                <w:sz w:val="22"/>
              </w:rPr>
              <w:t>Очікувані якісні результати від реалізації проекту</w:t>
            </w:r>
          </w:p>
        </w:tc>
        <w:tc>
          <w:tcPr>
            <w:tcW w:w="6976" w:type="dxa"/>
            <w:gridSpan w:val="7"/>
            <w:tcBorders>
              <w:top w:val="single" w:sz="6" w:space="0" w:color="auto"/>
              <w:left w:val="single" w:sz="6" w:space="0" w:color="auto"/>
              <w:bottom w:val="single" w:sz="6" w:space="0" w:color="auto"/>
              <w:right w:val="single" w:sz="6" w:space="0" w:color="auto"/>
            </w:tcBorders>
          </w:tcPr>
          <w:p w:rsidR="00D66A51" w:rsidRPr="00B75FD7" w:rsidRDefault="00D66A51" w:rsidP="00D66A51">
            <w:pPr>
              <w:pStyle w:val="docdata"/>
              <w:spacing w:before="0" w:beforeAutospacing="0" w:after="0" w:afterAutospacing="0" w:line="288" w:lineRule="atLeast"/>
              <w:rPr>
                <w:color w:val="000000"/>
                <w:sz w:val="22"/>
                <w:lang w:val="uk-UA"/>
              </w:rPr>
            </w:pPr>
            <w:r w:rsidRPr="00B75FD7">
              <w:rPr>
                <w:color w:val="000000"/>
                <w:sz w:val="22"/>
                <w:lang w:val="uk-UA"/>
              </w:rPr>
              <w:t>-</w:t>
            </w:r>
            <w:r w:rsidRPr="00B75FD7">
              <w:rPr>
                <w:color w:val="000000"/>
                <w:sz w:val="22"/>
              </w:rPr>
              <w:t> </w:t>
            </w:r>
            <w:proofErr w:type="spellStart"/>
            <w:r w:rsidRPr="00B75FD7">
              <w:rPr>
                <w:color w:val="000000"/>
                <w:sz w:val="22"/>
                <w:lang w:val="uk-UA"/>
              </w:rPr>
              <w:t>Підвищиння</w:t>
            </w:r>
            <w:proofErr w:type="spellEnd"/>
            <w:r w:rsidRPr="00B75FD7">
              <w:rPr>
                <w:color w:val="000000"/>
                <w:sz w:val="22"/>
              </w:rPr>
              <w:t> </w:t>
            </w:r>
            <w:r w:rsidRPr="00B75FD7">
              <w:rPr>
                <w:color w:val="000000"/>
                <w:sz w:val="22"/>
                <w:lang w:val="uk-UA"/>
              </w:rPr>
              <w:t>рівня</w:t>
            </w:r>
            <w:r w:rsidRPr="00B75FD7">
              <w:rPr>
                <w:color w:val="000000"/>
                <w:sz w:val="22"/>
              </w:rPr>
              <w:t> </w:t>
            </w:r>
            <w:r w:rsidRPr="00B75FD7">
              <w:rPr>
                <w:color w:val="000000"/>
                <w:sz w:val="22"/>
                <w:lang w:val="uk-UA"/>
              </w:rPr>
              <w:t>охоплення</w:t>
            </w:r>
            <w:r w:rsidRPr="00B75FD7">
              <w:rPr>
                <w:color w:val="000000"/>
                <w:sz w:val="22"/>
              </w:rPr>
              <w:t> </w:t>
            </w:r>
            <w:r w:rsidRPr="00B75FD7">
              <w:rPr>
                <w:color w:val="000000"/>
                <w:sz w:val="22"/>
                <w:lang w:val="uk-UA"/>
              </w:rPr>
              <w:t>усіх</w:t>
            </w:r>
            <w:r w:rsidRPr="00B75FD7">
              <w:rPr>
                <w:color w:val="000000"/>
                <w:sz w:val="22"/>
              </w:rPr>
              <w:t> </w:t>
            </w:r>
            <w:r w:rsidRPr="00B75FD7">
              <w:rPr>
                <w:color w:val="000000"/>
                <w:sz w:val="22"/>
                <w:lang w:val="uk-UA"/>
              </w:rPr>
              <w:t>учасників</w:t>
            </w:r>
            <w:r w:rsidRPr="00B75FD7">
              <w:rPr>
                <w:color w:val="000000"/>
                <w:sz w:val="22"/>
              </w:rPr>
              <w:t> </w:t>
            </w:r>
            <w:proofErr w:type="spellStart"/>
            <w:r w:rsidRPr="00B75FD7">
              <w:rPr>
                <w:color w:val="000000"/>
                <w:sz w:val="22"/>
                <w:lang w:val="uk-UA"/>
              </w:rPr>
              <w:t>освітньо</w:t>
            </w:r>
            <w:proofErr w:type="spellEnd"/>
            <w:r w:rsidRPr="00B75FD7">
              <w:rPr>
                <w:color w:val="000000"/>
                <w:sz w:val="22"/>
                <w:lang w:val="uk-UA"/>
              </w:rPr>
              <w:t>-виховного</w:t>
            </w:r>
            <w:r w:rsidRPr="00B75FD7">
              <w:rPr>
                <w:color w:val="000000"/>
                <w:sz w:val="22"/>
              </w:rPr>
              <w:t> </w:t>
            </w:r>
            <w:r w:rsidRPr="00B75FD7">
              <w:rPr>
                <w:color w:val="000000"/>
                <w:sz w:val="22"/>
                <w:lang w:val="uk-UA"/>
              </w:rPr>
              <w:t>процесу</w:t>
            </w:r>
            <w:r w:rsidRPr="00B75FD7">
              <w:rPr>
                <w:color w:val="000000"/>
                <w:sz w:val="22"/>
              </w:rPr>
              <w:t> </w:t>
            </w:r>
            <w:r w:rsidRPr="00B75FD7">
              <w:rPr>
                <w:color w:val="000000"/>
                <w:sz w:val="22"/>
                <w:lang w:val="uk-UA"/>
              </w:rPr>
              <w:t>фізичною культурою та спортом;</w:t>
            </w:r>
            <w:r w:rsidRPr="00B75FD7">
              <w:rPr>
                <w:color w:val="000000"/>
                <w:sz w:val="22"/>
                <w:lang w:val="uk-UA"/>
              </w:rPr>
              <w:br/>
            </w:r>
            <w:r w:rsidRPr="00B75FD7">
              <w:rPr>
                <w:color w:val="000000"/>
                <w:sz w:val="22"/>
              </w:rPr>
              <w:t> </w:t>
            </w:r>
            <w:r w:rsidRPr="00B75FD7">
              <w:rPr>
                <w:color w:val="000000"/>
                <w:sz w:val="22"/>
                <w:lang w:val="uk-UA"/>
              </w:rPr>
              <w:t xml:space="preserve">- </w:t>
            </w:r>
            <w:r w:rsidR="00172AA4" w:rsidRPr="00B75FD7">
              <w:rPr>
                <w:color w:val="000000"/>
                <w:sz w:val="22"/>
                <w:lang w:val="uk-UA"/>
              </w:rPr>
              <w:t>п</w:t>
            </w:r>
            <w:r w:rsidRPr="00B75FD7">
              <w:rPr>
                <w:color w:val="000000"/>
                <w:sz w:val="22"/>
                <w:lang w:val="uk-UA"/>
              </w:rPr>
              <w:t>ропаганда здорового способу життя;</w:t>
            </w:r>
            <w:r w:rsidRPr="00B75FD7">
              <w:rPr>
                <w:color w:val="000000"/>
                <w:sz w:val="22"/>
                <w:lang w:val="uk-UA"/>
              </w:rPr>
              <w:br/>
            </w:r>
            <w:r w:rsidRPr="00B75FD7">
              <w:rPr>
                <w:color w:val="000000"/>
                <w:sz w:val="22"/>
              </w:rPr>
              <w:lastRenderedPageBreak/>
              <w:t> </w:t>
            </w:r>
            <w:r w:rsidRPr="00B75FD7">
              <w:rPr>
                <w:color w:val="000000"/>
                <w:sz w:val="22"/>
                <w:lang w:val="uk-UA"/>
              </w:rPr>
              <w:t xml:space="preserve">- </w:t>
            </w:r>
            <w:r w:rsidR="00172AA4" w:rsidRPr="00B75FD7">
              <w:rPr>
                <w:color w:val="000000"/>
                <w:sz w:val="22"/>
                <w:lang w:val="uk-UA"/>
              </w:rPr>
              <w:t>с</w:t>
            </w:r>
            <w:r w:rsidRPr="00B75FD7">
              <w:rPr>
                <w:color w:val="000000"/>
                <w:sz w:val="22"/>
                <w:lang w:val="uk-UA"/>
              </w:rPr>
              <w:t>творення</w:t>
            </w:r>
            <w:r w:rsidRPr="00B75FD7">
              <w:rPr>
                <w:color w:val="000000"/>
                <w:sz w:val="22"/>
              </w:rPr>
              <w:t> </w:t>
            </w:r>
            <w:r w:rsidRPr="00B75FD7">
              <w:rPr>
                <w:color w:val="000000"/>
                <w:sz w:val="22"/>
                <w:lang w:val="uk-UA"/>
              </w:rPr>
              <w:t>сучасного</w:t>
            </w:r>
            <w:r w:rsidRPr="00B75FD7">
              <w:rPr>
                <w:color w:val="000000"/>
                <w:sz w:val="22"/>
              </w:rPr>
              <w:t> </w:t>
            </w:r>
            <w:r w:rsidRPr="00B75FD7">
              <w:rPr>
                <w:color w:val="000000"/>
                <w:sz w:val="22"/>
                <w:lang w:val="uk-UA"/>
              </w:rPr>
              <w:t>фізкультурно-спортивного середовища для зміцнення та збереження здоров’я усіх учасників освітнього процесу;</w:t>
            </w:r>
            <w:r w:rsidRPr="00B75FD7">
              <w:rPr>
                <w:color w:val="000000"/>
                <w:sz w:val="22"/>
              </w:rPr>
              <w:t> </w:t>
            </w:r>
          </w:p>
          <w:p w:rsidR="00D66A51" w:rsidRPr="00B75FD7" w:rsidRDefault="00D66A51" w:rsidP="00D66A51">
            <w:pPr>
              <w:pStyle w:val="docdata"/>
              <w:spacing w:before="0" w:beforeAutospacing="0" w:after="0" w:afterAutospacing="0" w:line="288" w:lineRule="atLeast"/>
              <w:rPr>
                <w:color w:val="000000"/>
                <w:sz w:val="22"/>
                <w:lang w:val="uk-UA"/>
              </w:rPr>
            </w:pPr>
            <w:r w:rsidRPr="00B75FD7">
              <w:rPr>
                <w:color w:val="000000"/>
                <w:sz w:val="22"/>
                <w:lang w:val="uk-UA"/>
              </w:rPr>
              <w:t xml:space="preserve">- </w:t>
            </w:r>
            <w:r w:rsidR="00172AA4" w:rsidRPr="00B75FD7">
              <w:rPr>
                <w:color w:val="000000"/>
                <w:sz w:val="22"/>
                <w:lang w:val="uk-UA"/>
              </w:rPr>
              <w:t>о</w:t>
            </w:r>
            <w:r w:rsidRPr="00B75FD7">
              <w:rPr>
                <w:rFonts w:eastAsia="Calibri"/>
                <w:color w:val="000000"/>
                <w:sz w:val="22"/>
                <w:lang w:val="uk-UA"/>
              </w:rPr>
              <w:t>городжувальні секції забезпечать захист території від випадкового або навмисного проникнення</w:t>
            </w:r>
            <w:r w:rsidR="00172AA4" w:rsidRPr="00B75FD7">
              <w:rPr>
                <w:rFonts w:eastAsia="Calibri"/>
                <w:color w:val="000000"/>
                <w:sz w:val="22"/>
                <w:lang w:val="uk-UA"/>
              </w:rPr>
              <w:t>;</w:t>
            </w:r>
          </w:p>
          <w:p w:rsidR="00D66A51" w:rsidRPr="00B75FD7" w:rsidRDefault="00D66A51" w:rsidP="00172AA4">
            <w:pPr>
              <w:pStyle w:val="docdata"/>
              <w:spacing w:before="0" w:beforeAutospacing="0" w:after="0" w:afterAutospacing="0" w:line="288" w:lineRule="atLeast"/>
              <w:rPr>
                <w:rFonts w:eastAsia="Calibri"/>
                <w:color w:val="000000"/>
                <w:sz w:val="22"/>
                <w:lang w:val="uk-UA"/>
              </w:rPr>
            </w:pPr>
            <w:r w:rsidRPr="00B75FD7">
              <w:rPr>
                <w:rFonts w:eastAsia="Calibri"/>
                <w:color w:val="000000"/>
                <w:sz w:val="22"/>
                <w:lang w:val="uk-UA"/>
              </w:rPr>
              <w:t xml:space="preserve">- </w:t>
            </w:r>
            <w:r w:rsidR="00172AA4" w:rsidRPr="00B75FD7">
              <w:rPr>
                <w:rFonts w:eastAsia="Calibri"/>
                <w:color w:val="000000"/>
                <w:sz w:val="22"/>
                <w:lang w:val="uk-UA"/>
              </w:rPr>
              <w:t>в</w:t>
            </w:r>
            <w:proofErr w:type="spellStart"/>
            <w:r w:rsidRPr="00B75FD7">
              <w:rPr>
                <w:rFonts w:eastAsia="Calibri"/>
                <w:color w:val="000000"/>
                <w:sz w:val="22"/>
              </w:rPr>
              <w:t>становлення</w:t>
            </w:r>
            <w:proofErr w:type="spellEnd"/>
            <w:r w:rsidRPr="00B75FD7">
              <w:rPr>
                <w:rFonts w:eastAsia="Calibri"/>
                <w:color w:val="000000"/>
                <w:sz w:val="22"/>
              </w:rPr>
              <w:t xml:space="preserve"> ламп на </w:t>
            </w:r>
            <w:proofErr w:type="spellStart"/>
            <w:r w:rsidRPr="00B75FD7">
              <w:rPr>
                <w:rFonts w:eastAsia="Calibri"/>
                <w:color w:val="000000"/>
                <w:sz w:val="22"/>
              </w:rPr>
              <w:t>основі</w:t>
            </w:r>
            <w:proofErr w:type="spellEnd"/>
            <w:r w:rsidRPr="00B75FD7">
              <w:rPr>
                <w:rFonts w:eastAsia="Calibri"/>
                <w:color w:val="000000"/>
                <w:sz w:val="22"/>
              </w:rPr>
              <w:t xml:space="preserve"> LED-</w:t>
            </w:r>
            <w:proofErr w:type="spellStart"/>
            <w:r w:rsidRPr="00B75FD7">
              <w:rPr>
                <w:rFonts w:eastAsia="Calibri"/>
                <w:color w:val="000000"/>
                <w:sz w:val="22"/>
              </w:rPr>
              <w:t>технологій</w:t>
            </w:r>
            <w:proofErr w:type="spellEnd"/>
            <w:r w:rsidRPr="00B75FD7">
              <w:rPr>
                <w:rFonts w:eastAsia="Calibri"/>
                <w:color w:val="000000"/>
                <w:sz w:val="22"/>
              </w:rPr>
              <w:t xml:space="preserve"> </w:t>
            </w:r>
            <w:proofErr w:type="spellStart"/>
            <w:r w:rsidRPr="00B75FD7">
              <w:rPr>
                <w:rFonts w:eastAsia="Calibri"/>
                <w:color w:val="000000"/>
                <w:sz w:val="22"/>
              </w:rPr>
              <w:t>суттєво</w:t>
            </w:r>
            <w:proofErr w:type="spellEnd"/>
            <w:r w:rsidRPr="00B75FD7">
              <w:rPr>
                <w:rFonts w:eastAsia="Calibri"/>
                <w:color w:val="000000"/>
                <w:sz w:val="22"/>
              </w:rPr>
              <w:t xml:space="preserve"> </w:t>
            </w:r>
            <w:proofErr w:type="spellStart"/>
            <w:r w:rsidRPr="00B75FD7">
              <w:rPr>
                <w:rFonts w:eastAsia="Calibri"/>
                <w:color w:val="000000"/>
                <w:sz w:val="22"/>
              </w:rPr>
              <w:t>зменшить</w:t>
            </w:r>
            <w:proofErr w:type="spellEnd"/>
            <w:r w:rsidRPr="00B75FD7">
              <w:rPr>
                <w:rFonts w:eastAsia="Calibri"/>
                <w:color w:val="000000"/>
                <w:sz w:val="22"/>
              </w:rPr>
              <w:t xml:space="preserve"> </w:t>
            </w:r>
            <w:proofErr w:type="spellStart"/>
            <w:r w:rsidRPr="00B75FD7">
              <w:rPr>
                <w:rFonts w:eastAsia="Calibri"/>
                <w:color w:val="000000"/>
                <w:sz w:val="22"/>
              </w:rPr>
              <w:t>витрати</w:t>
            </w:r>
            <w:proofErr w:type="spellEnd"/>
            <w:r w:rsidRPr="00B75FD7">
              <w:rPr>
                <w:rFonts w:eastAsia="Calibri"/>
                <w:color w:val="000000"/>
                <w:sz w:val="22"/>
              </w:rPr>
              <w:t xml:space="preserve"> </w:t>
            </w:r>
            <w:proofErr w:type="spellStart"/>
            <w:r w:rsidRPr="00B75FD7">
              <w:rPr>
                <w:rFonts w:eastAsia="Calibri"/>
                <w:color w:val="000000"/>
                <w:sz w:val="22"/>
              </w:rPr>
              <w:t>місцевого</w:t>
            </w:r>
            <w:proofErr w:type="spellEnd"/>
            <w:r w:rsidRPr="00B75FD7">
              <w:rPr>
                <w:rFonts w:eastAsia="Calibri"/>
                <w:color w:val="000000"/>
                <w:sz w:val="22"/>
              </w:rPr>
              <w:t xml:space="preserve"> бюджету на оплату </w:t>
            </w:r>
            <w:proofErr w:type="spellStart"/>
            <w:r w:rsidRPr="00B75FD7">
              <w:rPr>
                <w:rFonts w:eastAsia="Calibri"/>
                <w:color w:val="000000"/>
                <w:sz w:val="22"/>
              </w:rPr>
              <w:t>електроенергії</w:t>
            </w:r>
            <w:proofErr w:type="spellEnd"/>
            <w:r w:rsidRPr="00B75FD7">
              <w:rPr>
                <w:rFonts w:eastAsia="Calibri"/>
                <w:color w:val="000000"/>
                <w:sz w:val="22"/>
              </w:rPr>
              <w:t xml:space="preserve"> та створить </w:t>
            </w:r>
            <w:proofErr w:type="spellStart"/>
            <w:r w:rsidRPr="00B75FD7">
              <w:rPr>
                <w:rFonts w:eastAsia="Calibri"/>
                <w:color w:val="000000"/>
                <w:sz w:val="22"/>
              </w:rPr>
              <w:t>безпечні</w:t>
            </w:r>
            <w:proofErr w:type="spellEnd"/>
            <w:r w:rsidRPr="00B75FD7">
              <w:rPr>
                <w:rFonts w:eastAsia="Calibri"/>
                <w:color w:val="000000"/>
                <w:sz w:val="22"/>
              </w:rPr>
              <w:t xml:space="preserve"> </w:t>
            </w:r>
            <w:proofErr w:type="spellStart"/>
            <w:r w:rsidRPr="00B75FD7">
              <w:rPr>
                <w:rFonts w:eastAsia="Calibri"/>
                <w:color w:val="000000"/>
                <w:sz w:val="22"/>
              </w:rPr>
              <w:t>умови</w:t>
            </w:r>
            <w:proofErr w:type="spellEnd"/>
            <w:r w:rsidRPr="00B75FD7">
              <w:rPr>
                <w:rFonts w:eastAsia="Calibri"/>
                <w:color w:val="000000"/>
                <w:sz w:val="22"/>
              </w:rPr>
              <w:t xml:space="preserve"> для </w:t>
            </w:r>
            <w:proofErr w:type="spellStart"/>
            <w:r w:rsidRPr="00B75FD7">
              <w:rPr>
                <w:rFonts w:eastAsia="Calibri"/>
                <w:color w:val="000000"/>
                <w:sz w:val="22"/>
              </w:rPr>
              <w:t>учасників</w:t>
            </w:r>
            <w:proofErr w:type="spellEnd"/>
            <w:r w:rsidRPr="00B75FD7">
              <w:rPr>
                <w:rFonts w:eastAsia="Calibri"/>
                <w:color w:val="000000"/>
                <w:sz w:val="22"/>
              </w:rPr>
              <w:t xml:space="preserve"> </w:t>
            </w:r>
            <w:proofErr w:type="spellStart"/>
            <w:r w:rsidRPr="00B75FD7">
              <w:rPr>
                <w:rFonts w:eastAsia="Calibri"/>
                <w:color w:val="000000"/>
                <w:sz w:val="22"/>
              </w:rPr>
              <w:t>освітнього</w:t>
            </w:r>
            <w:proofErr w:type="spellEnd"/>
            <w:r w:rsidRPr="00B75FD7">
              <w:rPr>
                <w:rFonts w:eastAsia="Calibri"/>
                <w:color w:val="000000"/>
                <w:sz w:val="22"/>
              </w:rPr>
              <w:t xml:space="preserve"> </w:t>
            </w:r>
            <w:proofErr w:type="spellStart"/>
            <w:r w:rsidRPr="00B75FD7">
              <w:rPr>
                <w:rFonts w:eastAsia="Calibri"/>
                <w:color w:val="000000"/>
                <w:sz w:val="22"/>
              </w:rPr>
              <w:t>процесу</w:t>
            </w:r>
            <w:proofErr w:type="spellEnd"/>
            <w:r w:rsidRPr="00B75FD7">
              <w:rPr>
                <w:rFonts w:eastAsia="Calibri"/>
                <w:color w:val="000000"/>
                <w:sz w:val="22"/>
                <w:lang w:val="uk-UA"/>
              </w:rPr>
              <w:t>.</w:t>
            </w:r>
          </w:p>
        </w:tc>
      </w:tr>
      <w:tr w:rsidR="00D66A51" w:rsidRPr="00B75FD7" w:rsidTr="00D66A51">
        <w:trPr>
          <w:gridAfter w:val="1"/>
          <w:wAfter w:w="191" w:type="dxa"/>
          <w:trHeight w:val="581"/>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66A51" w:rsidRPr="00B75FD7" w:rsidRDefault="00D66A51" w:rsidP="00D66A51">
            <w:pPr>
              <w:autoSpaceDE w:val="0"/>
              <w:autoSpaceDN w:val="0"/>
              <w:adjustRightInd w:val="0"/>
              <w:rPr>
                <w:rFonts w:eastAsia="Calibri"/>
                <w:b/>
                <w:color w:val="000000"/>
                <w:sz w:val="22"/>
              </w:rPr>
            </w:pPr>
            <w:r w:rsidRPr="00B75FD7">
              <w:rPr>
                <w:rFonts w:eastAsia="Calibri"/>
                <w:b/>
                <w:color w:val="000000"/>
                <w:sz w:val="22"/>
              </w:rPr>
              <w:lastRenderedPageBreak/>
              <w:t>Очікувані кількісні результати від реалізації проекту (індикатори)</w:t>
            </w:r>
          </w:p>
        </w:tc>
        <w:tc>
          <w:tcPr>
            <w:tcW w:w="3909" w:type="dxa"/>
            <w:gridSpan w:val="4"/>
            <w:tcBorders>
              <w:top w:val="single" w:sz="6" w:space="0" w:color="auto"/>
              <w:left w:val="single" w:sz="6" w:space="0" w:color="auto"/>
              <w:bottom w:val="single" w:sz="6" w:space="0" w:color="auto"/>
              <w:right w:val="single" w:sz="6" w:space="0" w:color="auto"/>
            </w:tcBorders>
          </w:tcPr>
          <w:p w:rsidR="00D66A51" w:rsidRPr="00B75FD7" w:rsidRDefault="00D66A51" w:rsidP="00D66A51">
            <w:pPr>
              <w:autoSpaceDE w:val="0"/>
              <w:autoSpaceDN w:val="0"/>
              <w:adjustRightInd w:val="0"/>
              <w:rPr>
                <w:rFonts w:eastAsia="Calibri"/>
                <w:b/>
                <w:color w:val="000000"/>
                <w:sz w:val="22"/>
              </w:rPr>
            </w:pPr>
            <w:r w:rsidRPr="00B75FD7">
              <w:rPr>
                <w:rFonts w:eastAsia="Calibri"/>
                <w:b/>
                <w:color w:val="000000"/>
                <w:sz w:val="22"/>
              </w:rPr>
              <w:t>Найменування показника</w:t>
            </w:r>
          </w:p>
        </w:tc>
        <w:tc>
          <w:tcPr>
            <w:tcW w:w="1417" w:type="dxa"/>
            <w:tcBorders>
              <w:top w:val="single" w:sz="6" w:space="0" w:color="auto"/>
              <w:left w:val="single" w:sz="6" w:space="0" w:color="auto"/>
              <w:bottom w:val="single" w:sz="6" w:space="0" w:color="auto"/>
              <w:right w:val="single" w:sz="6" w:space="0" w:color="auto"/>
            </w:tcBorders>
          </w:tcPr>
          <w:p w:rsidR="00D66A51" w:rsidRPr="00B75FD7" w:rsidRDefault="00D66A51" w:rsidP="00D66A51">
            <w:pPr>
              <w:autoSpaceDE w:val="0"/>
              <w:autoSpaceDN w:val="0"/>
              <w:adjustRightInd w:val="0"/>
              <w:rPr>
                <w:rFonts w:eastAsia="Calibri"/>
                <w:b/>
                <w:color w:val="000000"/>
                <w:sz w:val="22"/>
              </w:rPr>
            </w:pPr>
            <w:r w:rsidRPr="00B75FD7">
              <w:rPr>
                <w:rFonts w:eastAsia="Calibri"/>
                <w:b/>
                <w:color w:val="000000"/>
                <w:sz w:val="22"/>
              </w:rPr>
              <w:t>Одиниця вимірювання</w:t>
            </w:r>
          </w:p>
        </w:tc>
        <w:tc>
          <w:tcPr>
            <w:tcW w:w="1650" w:type="dxa"/>
            <w:gridSpan w:val="2"/>
            <w:tcBorders>
              <w:top w:val="single" w:sz="6" w:space="0" w:color="auto"/>
              <w:left w:val="single" w:sz="6" w:space="0" w:color="auto"/>
              <w:bottom w:val="single" w:sz="6" w:space="0" w:color="auto"/>
              <w:right w:val="single" w:sz="6" w:space="0" w:color="auto"/>
            </w:tcBorders>
          </w:tcPr>
          <w:p w:rsidR="00D66A51" w:rsidRPr="00B75FD7" w:rsidRDefault="00D66A51" w:rsidP="00D66A51">
            <w:pPr>
              <w:autoSpaceDE w:val="0"/>
              <w:autoSpaceDN w:val="0"/>
              <w:adjustRightInd w:val="0"/>
              <w:rPr>
                <w:rFonts w:eastAsia="Calibri"/>
                <w:b/>
                <w:color w:val="000000"/>
                <w:sz w:val="22"/>
              </w:rPr>
            </w:pPr>
            <w:r w:rsidRPr="00B75FD7">
              <w:rPr>
                <w:rFonts w:eastAsia="Calibri"/>
                <w:b/>
                <w:color w:val="000000"/>
                <w:sz w:val="22"/>
              </w:rPr>
              <w:t>Прогнозне (цільове) значення</w:t>
            </w:r>
          </w:p>
        </w:tc>
      </w:tr>
      <w:tr w:rsidR="00D66A51" w:rsidRPr="00B75FD7" w:rsidTr="00D66A51">
        <w:trPr>
          <w:gridAfter w:val="1"/>
          <w:wAfter w:w="191" w:type="dxa"/>
          <w:trHeight w:val="581"/>
        </w:trPr>
        <w:tc>
          <w:tcPr>
            <w:tcW w:w="2977" w:type="dxa"/>
            <w:vMerge w:val="restart"/>
            <w:tcBorders>
              <w:top w:val="single" w:sz="6" w:space="0" w:color="auto"/>
              <w:left w:val="single" w:sz="6" w:space="0" w:color="auto"/>
              <w:right w:val="single" w:sz="6" w:space="0" w:color="auto"/>
            </w:tcBorders>
            <w:shd w:val="clear" w:color="00FFFF" w:fill="C6D9F1" w:themeFill="text2" w:themeFillTint="33"/>
          </w:tcPr>
          <w:p w:rsidR="00D66A51" w:rsidRPr="00B75FD7" w:rsidRDefault="00D66A51" w:rsidP="00D66A51">
            <w:pPr>
              <w:autoSpaceDE w:val="0"/>
              <w:autoSpaceDN w:val="0"/>
              <w:adjustRightInd w:val="0"/>
              <w:rPr>
                <w:rFonts w:eastAsia="Calibri"/>
                <w:b/>
                <w:color w:val="000000"/>
                <w:sz w:val="22"/>
              </w:rPr>
            </w:pPr>
          </w:p>
        </w:tc>
        <w:tc>
          <w:tcPr>
            <w:tcW w:w="3909" w:type="dxa"/>
            <w:gridSpan w:val="4"/>
            <w:tcBorders>
              <w:top w:val="single" w:sz="6" w:space="0" w:color="auto"/>
              <w:left w:val="single" w:sz="6" w:space="0" w:color="auto"/>
              <w:bottom w:val="single" w:sz="6" w:space="0" w:color="auto"/>
              <w:right w:val="single" w:sz="6" w:space="0" w:color="auto"/>
            </w:tcBorders>
          </w:tcPr>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Кількість фізичних осіб, які будуть користуватися облаштованою територією закладу в день</w:t>
            </w:r>
          </w:p>
        </w:tc>
        <w:tc>
          <w:tcPr>
            <w:tcW w:w="1417" w:type="dxa"/>
            <w:tcBorders>
              <w:top w:val="single" w:sz="6" w:space="0" w:color="auto"/>
              <w:left w:val="single" w:sz="6" w:space="0" w:color="auto"/>
              <w:bottom w:val="single" w:sz="6" w:space="0" w:color="auto"/>
              <w:right w:val="single" w:sz="6" w:space="0" w:color="auto"/>
            </w:tcBorders>
          </w:tcPr>
          <w:p w:rsidR="00D66A51" w:rsidRPr="00B75FD7" w:rsidRDefault="00D66A51" w:rsidP="00D66A51">
            <w:pPr>
              <w:autoSpaceDE w:val="0"/>
              <w:autoSpaceDN w:val="0"/>
              <w:adjustRightInd w:val="0"/>
              <w:jc w:val="center"/>
              <w:rPr>
                <w:rFonts w:eastAsia="Calibri"/>
                <w:color w:val="000000"/>
                <w:sz w:val="22"/>
              </w:rPr>
            </w:pPr>
            <w:r w:rsidRPr="00B75FD7">
              <w:rPr>
                <w:rFonts w:eastAsia="Calibri"/>
                <w:sz w:val="22"/>
              </w:rPr>
              <w:t>осіб</w:t>
            </w:r>
          </w:p>
        </w:tc>
        <w:tc>
          <w:tcPr>
            <w:tcW w:w="1650" w:type="dxa"/>
            <w:gridSpan w:val="2"/>
            <w:tcBorders>
              <w:top w:val="single" w:sz="6" w:space="0" w:color="auto"/>
              <w:left w:val="single" w:sz="6" w:space="0" w:color="auto"/>
              <w:bottom w:val="single" w:sz="6" w:space="0" w:color="auto"/>
              <w:right w:val="single" w:sz="6" w:space="0" w:color="auto"/>
            </w:tcBorders>
          </w:tcPr>
          <w:p w:rsidR="00D66A51" w:rsidRPr="00B75FD7" w:rsidRDefault="00D66A51" w:rsidP="00D66A51">
            <w:pPr>
              <w:autoSpaceDE w:val="0"/>
              <w:autoSpaceDN w:val="0"/>
              <w:adjustRightInd w:val="0"/>
              <w:jc w:val="center"/>
              <w:rPr>
                <w:rFonts w:eastAsia="Calibri"/>
                <w:color w:val="000000"/>
                <w:sz w:val="22"/>
              </w:rPr>
            </w:pPr>
            <w:r w:rsidRPr="00B75FD7">
              <w:rPr>
                <w:rFonts w:eastAsia="Calibri"/>
                <w:color w:val="000000"/>
                <w:sz w:val="22"/>
              </w:rPr>
              <w:t>200</w:t>
            </w:r>
          </w:p>
        </w:tc>
      </w:tr>
      <w:tr w:rsidR="00D66A51" w:rsidRPr="00B75FD7" w:rsidTr="00D66A51">
        <w:trPr>
          <w:gridAfter w:val="1"/>
          <w:wAfter w:w="191" w:type="dxa"/>
          <w:trHeight w:val="602"/>
        </w:trPr>
        <w:tc>
          <w:tcPr>
            <w:tcW w:w="2977" w:type="dxa"/>
            <w:vMerge/>
            <w:tcBorders>
              <w:left w:val="single" w:sz="6" w:space="0" w:color="auto"/>
              <w:right w:val="single" w:sz="6" w:space="0" w:color="auto"/>
            </w:tcBorders>
            <w:shd w:val="clear" w:color="00FFFF" w:fill="C6D9F1" w:themeFill="text2" w:themeFillTint="33"/>
          </w:tcPr>
          <w:p w:rsidR="00D66A51" w:rsidRPr="00B75FD7" w:rsidRDefault="00D66A51" w:rsidP="00D66A51">
            <w:pPr>
              <w:autoSpaceDE w:val="0"/>
              <w:autoSpaceDN w:val="0"/>
              <w:adjustRightInd w:val="0"/>
              <w:rPr>
                <w:rFonts w:eastAsia="Calibri"/>
                <w:b/>
                <w:color w:val="000000"/>
                <w:sz w:val="22"/>
              </w:rPr>
            </w:pPr>
          </w:p>
        </w:tc>
        <w:tc>
          <w:tcPr>
            <w:tcW w:w="3909" w:type="dxa"/>
            <w:gridSpan w:val="4"/>
            <w:tcBorders>
              <w:top w:val="single" w:sz="6" w:space="0" w:color="auto"/>
              <w:left w:val="single" w:sz="6" w:space="0" w:color="auto"/>
              <w:bottom w:val="single" w:sz="4" w:space="0" w:color="auto"/>
              <w:right w:val="single" w:sz="6" w:space="0" w:color="auto"/>
            </w:tcBorders>
          </w:tcPr>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Кількість занять, розваг з фізкультури проводиться на спортмайданчику на тиждень</w:t>
            </w:r>
          </w:p>
        </w:tc>
        <w:tc>
          <w:tcPr>
            <w:tcW w:w="1417" w:type="dxa"/>
            <w:tcBorders>
              <w:top w:val="single" w:sz="6" w:space="0" w:color="auto"/>
              <w:left w:val="single" w:sz="6" w:space="0" w:color="auto"/>
              <w:bottom w:val="single" w:sz="4" w:space="0" w:color="auto"/>
              <w:right w:val="single" w:sz="6" w:space="0" w:color="auto"/>
            </w:tcBorders>
          </w:tcPr>
          <w:p w:rsidR="00D66A51" w:rsidRPr="00B75FD7" w:rsidRDefault="00D66A51" w:rsidP="00D66A51">
            <w:pPr>
              <w:rPr>
                <w:rFonts w:eastAsia="Calibri"/>
                <w:sz w:val="22"/>
              </w:rPr>
            </w:pPr>
            <w:r w:rsidRPr="00B75FD7">
              <w:rPr>
                <w:rFonts w:eastAsia="Calibri"/>
                <w:sz w:val="22"/>
              </w:rPr>
              <w:t xml:space="preserve">       годин</w:t>
            </w:r>
          </w:p>
        </w:tc>
        <w:tc>
          <w:tcPr>
            <w:tcW w:w="1650" w:type="dxa"/>
            <w:gridSpan w:val="2"/>
            <w:tcBorders>
              <w:top w:val="single" w:sz="6" w:space="0" w:color="auto"/>
              <w:left w:val="single" w:sz="6" w:space="0" w:color="auto"/>
              <w:bottom w:val="single" w:sz="4" w:space="0" w:color="auto"/>
              <w:right w:val="single" w:sz="6" w:space="0" w:color="auto"/>
            </w:tcBorders>
          </w:tcPr>
          <w:p w:rsidR="00D66A51" w:rsidRPr="00B75FD7" w:rsidRDefault="00D66A51" w:rsidP="00D66A51">
            <w:pPr>
              <w:autoSpaceDE w:val="0"/>
              <w:autoSpaceDN w:val="0"/>
              <w:adjustRightInd w:val="0"/>
              <w:jc w:val="center"/>
              <w:rPr>
                <w:rFonts w:eastAsia="Calibri"/>
                <w:color w:val="000000"/>
                <w:sz w:val="22"/>
              </w:rPr>
            </w:pPr>
            <w:r w:rsidRPr="00B75FD7">
              <w:rPr>
                <w:rFonts w:eastAsia="Calibri"/>
                <w:color w:val="000000"/>
                <w:sz w:val="22"/>
              </w:rPr>
              <w:t>16</w:t>
            </w:r>
          </w:p>
        </w:tc>
      </w:tr>
      <w:tr w:rsidR="00D66A51" w:rsidRPr="00B75FD7" w:rsidTr="00D66A51">
        <w:trPr>
          <w:gridAfter w:val="1"/>
          <w:wAfter w:w="191" w:type="dxa"/>
          <w:trHeight w:val="825"/>
        </w:trPr>
        <w:tc>
          <w:tcPr>
            <w:tcW w:w="2977" w:type="dxa"/>
            <w:vMerge/>
            <w:tcBorders>
              <w:left w:val="single" w:sz="6" w:space="0" w:color="auto"/>
              <w:right w:val="single" w:sz="6" w:space="0" w:color="auto"/>
            </w:tcBorders>
            <w:shd w:val="clear" w:color="00FFFF" w:fill="C6D9F1" w:themeFill="text2" w:themeFillTint="33"/>
          </w:tcPr>
          <w:p w:rsidR="00D66A51" w:rsidRPr="00B75FD7" w:rsidRDefault="00D66A51" w:rsidP="00D66A51">
            <w:pPr>
              <w:autoSpaceDE w:val="0"/>
              <w:autoSpaceDN w:val="0"/>
              <w:adjustRightInd w:val="0"/>
              <w:rPr>
                <w:rFonts w:eastAsia="Calibri"/>
                <w:b/>
                <w:color w:val="000000"/>
                <w:sz w:val="22"/>
              </w:rPr>
            </w:pPr>
          </w:p>
        </w:tc>
        <w:tc>
          <w:tcPr>
            <w:tcW w:w="3909" w:type="dxa"/>
            <w:gridSpan w:val="4"/>
            <w:tcBorders>
              <w:top w:val="single" w:sz="4" w:space="0" w:color="auto"/>
              <w:left w:val="single" w:sz="6" w:space="0" w:color="auto"/>
              <w:bottom w:val="single" w:sz="4" w:space="0" w:color="auto"/>
              <w:right w:val="single" w:sz="6" w:space="0" w:color="auto"/>
            </w:tcBorders>
          </w:tcPr>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Охоплення мешканців мікрорайону фізичною культурою та спортом</w:t>
            </w:r>
          </w:p>
        </w:tc>
        <w:tc>
          <w:tcPr>
            <w:tcW w:w="1417" w:type="dxa"/>
            <w:tcBorders>
              <w:top w:val="single" w:sz="4" w:space="0" w:color="auto"/>
              <w:left w:val="single" w:sz="6" w:space="0" w:color="auto"/>
              <w:bottom w:val="single" w:sz="4" w:space="0" w:color="auto"/>
              <w:right w:val="single" w:sz="6" w:space="0" w:color="auto"/>
            </w:tcBorders>
          </w:tcPr>
          <w:p w:rsidR="00D66A51" w:rsidRPr="00B75FD7" w:rsidRDefault="00D66A51" w:rsidP="00D66A51">
            <w:pPr>
              <w:jc w:val="center"/>
              <w:rPr>
                <w:rFonts w:eastAsia="Calibri"/>
                <w:sz w:val="22"/>
              </w:rPr>
            </w:pPr>
            <w:r w:rsidRPr="00B75FD7">
              <w:rPr>
                <w:rFonts w:eastAsia="Calibri"/>
                <w:sz w:val="22"/>
              </w:rPr>
              <w:t>осіб</w:t>
            </w:r>
          </w:p>
        </w:tc>
        <w:tc>
          <w:tcPr>
            <w:tcW w:w="1650" w:type="dxa"/>
            <w:gridSpan w:val="2"/>
            <w:tcBorders>
              <w:top w:val="single" w:sz="4" w:space="0" w:color="auto"/>
              <w:left w:val="single" w:sz="6" w:space="0" w:color="auto"/>
              <w:bottom w:val="single" w:sz="4" w:space="0" w:color="auto"/>
              <w:right w:val="single" w:sz="6" w:space="0" w:color="auto"/>
            </w:tcBorders>
          </w:tcPr>
          <w:p w:rsidR="00D66A51" w:rsidRPr="00B75FD7" w:rsidRDefault="00D66A51" w:rsidP="00D66A51">
            <w:pPr>
              <w:autoSpaceDE w:val="0"/>
              <w:autoSpaceDN w:val="0"/>
              <w:adjustRightInd w:val="0"/>
              <w:jc w:val="center"/>
              <w:rPr>
                <w:rFonts w:eastAsia="Calibri"/>
                <w:sz w:val="22"/>
              </w:rPr>
            </w:pPr>
            <w:r w:rsidRPr="00B75FD7">
              <w:rPr>
                <w:rFonts w:eastAsia="Calibri"/>
                <w:sz w:val="22"/>
              </w:rPr>
              <w:t>500</w:t>
            </w:r>
          </w:p>
        </w:tc>
      </w:tr>
      <w:tr w:rsidR="00D66A51" w:rsidRPr="00B75FD7" w:rsidTr="00D66A51">
        <w:trPr>
          <w:gridAfter w:val="1"/>
          <w:wAfter w:w="191" w:type="dxa"/>
          <w:trHeight w:val="540"/>
        </w:trPr>
        <w:tc>
          <w:tcPr>
            <w:tcW w:w="2977" w:type="dxa"/>
            <w:vMerge/>
            <w:tcBorders>
              <w:left w:val="single" w:sz="6" w:space="0" w:color="auto"/>
              <w:right w:val="single" w:sz="6" w:space="0" w:color="auto"/>
            </w:tcBorders>
            <w:shd w:val="clear" w:color="00FFFF" w:fill="C6D9F1" w:themeFill="text2" w:themeFillTint="33"/>
          </w:tcPr>
          <w:p w:rsidR="00D66A51" w:rsidRPr="00B75FD7" w:rsidRDefault="00D66A51" w:rsidP="00D66A51">
            <w:pPr>
              <w:autoSpaceDE w:val="0"/>
              <w:autoSpaceDN w:val="0"/>
              <w:adjustRightInd w:val="0"/>
              <w:rPr>
                <w:rFonts w:eastAsia="Calibri"/>
                <w:b/>
                <w:color w:val="000000"/>
                <w:sz w:val="22"/>
              </w:rPr>
            </w:pPr>
          </w:p>
        </w:tc>
        <w:tc>
          <w:tcPr>
            <w:tcW w:w="3909" w:type="dxa"/>
            <w:gridSpan w:val="4"/>
            <w:tcBorders>
              <w:top w:val="single" w:sz="4" w:space="0" w:color="auto"/>
              <w:left w:val="single" w:sz="6" w:space="0" w:color="auto"/>
              <w:bottom w:val="single" w:sz="4" w:space="0" w:color="auto"/>
              <w:right w:val="single" w:sz="6" w:space="0" w:color="auto"/>
            </w:tcBorders>
          </w:tcPr>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Кількість групових павільйонів, ігрових</w:t>
            </w:r>
          </w:p>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майданчиків</w:t>
            </w:r>
          </w:p>
        </w:tc>
        <w:tc>
          <w:tcPr>
            <w:tcW w:w="1417" w:type="dxa"/>
            <w:tcBorders>
              <w:top w:val="single" w:sz="4" w:space="0" w:color="auto"/>
              <w:left w:val="single" w:sz="6" w:space="0" w:color="auto"/>
              <w:bottom w:val="single" w:sz="4" w:space="0" w:color="auto"/>
              <w:right w:val="single" w:sz="6" w:space="0" w:color="auto"/>
            </w:tcBorders>
          </w:tcPr>
          <w:p w:rsidR="00D66A51" w:rsidRPr="00B75FD7" w:rsidRDefault="00D66A51" w:rsidP="00D66A51">
            <w:pPr>
              <w:jc w:val="center"/>
              <w:rPr>
                <w:rFonts w:eastAsia="Calibri"/>
                <w:sz w:val="22"/>
              </w:rPr>
            </w:pPr>
            <w:r w:rsidRPr="00B75FD7">
              <w:rPr>
                <w:rFonts w:eastAsia="Calibri"/>
                <w:color w:val="000000"/>
                <w:sz w:val="22"/>
              </w:rPr>
              <w:t>одиниць</w:t>
            </w:r>
          </w:p>
        </w:tc>
        <w:tc>
          <w:tcPr>
            <w:tcW w:w="1650" w:type="dxa"/>
            <w:gridSpan w:val="2"/>
            <w:tcBorders>
              <w:top w:val="single" w:sz="4" w:space="0" w:color="auto"/>
              <w:left w:val="single" w:sz="6" w:space="0" w:color="auto"/>
              <w:bottom w:val="single" w:sz="4" w:space="0" w:color="auto"/>
              <w:right w:val="single" w:sz="6" w:space="0" w:color="auto"/>
            </w:tcBorders>
          </w:tcPr>
          <w:p w:rsidR="00D66A51" w:rsidRPr="00B75FD7" w:rsidRDefault="00D66A51" w:rsidP="00D66A51">
            <w:pPr>
              <w:autoSpaceDE w:val="0"/>
              <w:autoSpaceDN w:val="0"/>
              <w:adjustRightInd w:val="0"/>
              <w:jc w:val="center"/>
              <w:rPr>
                <w:rFonts w:eastAsia="Calibri"/>
                <w:sz w:val="22"/>
              </w:rPr>
            </w:pPr>
            <w:r w:rsidRPr="00B75FD7">
              <w:rPr>
                <w:rFonts w:eastAsia="Calibri"/>
                <w:sz w:val="22"/>
              </w:rPr>
              <w:t>4</w:t>
            </w:r>
          </w:p>
        </w:tc>
      </w:tr>
      <w:tr w:rsidR="00D66A51" w:rsidRPr="00B75FD7" w:rsidTr="00D66A51">
        <w:trPr>
          <w:gridAfter w:val="1"/>
          <w:wAfter w:w="191" w:type="dxa"/>
          <w:trHeight w:val="608"/>
        </w:trPr>
        <w:tc>
          <w:tcPr>
            <w:tcW w:w="2977" w:type="dxa"/>
            <w:vMerge/>
            <w:tcBorders>
              <w:left w:val="single" w:sz="6" w:space="0" w:color="auto"/>
              <w:right w:val="single" w:sz="6" w:space="0" w:color="auto"/>
            </w:tcBorders>
            <w:shd w:val="clear" w:color="00FFFF" w:fill="C6D9F1" w:themeFill="text2" w:themeFillTint="33"/>
          </w:tcPr>
          <w:p w:rsidR="00D66A51" w:rsidRPr="00B75FD7" w:rsidRDefault="00D66A51" w:rsidP="00D66A51">
            <w:pPr>
              <w:autoSpaceDE w:val="0"/>
              <w:autoSpaceDN w:val="0"/>
              <w:adjustRightInd w:val="0"/>
              <w:rPr>
                <w:rFonts w:eastAsia="Calibri"/>
                <w:b/>
                <w:color w:val="000000"/>
                <w:sz w:val="22"/>
              </w:rPr>
            </w:pPr>
          </w:p>
        </w:tc>
        <w:tc>
          <w:tcPr>
            <w:tcW w:w="3909" w:type="dxa"/>
            <w:gridSpan w:val="4"/>
            <w:tcBorders>
              <w:top w:val="single" w:sz="4" w:space="0" w:color="auto"/>
              <w:left w:val="single" w:sz="6" w:space="0" w:color="auto"/>
              <w:bottom w:val="single" w:sz="4" w:space="0" w:color="auto"/>
              <w:right w:val="single" w:sz="6" w:space="0" w:color="auto"/>
            </w:tcBorders>
          </w:tcPr>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Потужність консольного світильника</w:t>
            </w:r>
          </w:p>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 xml:space="preserve"> HL-604/150W CW </w:t>
            </w:r>
            <w:proofErr w:type="spellStart"/>
            <w:r w:rsidRPr="00B75FD7">
              <w:rPr>
                <w:rFonts w:eastAsia="Calibri"/>
                <w:color w:val="000000"/>
                <w:sz w:val="22"/>
              </w:rPr>
              <w:t>solar</w:t>
            </w:r>
            <w:proofErr w:type="spellEnd"/>
            <w:r w:rsidRPr="00B75FD7">
              <w:rPr>
                <w:rFonts w:eastAsia="Calibri"/>
                <w:color w:val="000000"/>
                <w:sz w:val="22"/>
              </w:rPr>
              <w:t xml:space="preserve"> LED IP65 RM</w:t>
            </w:r>
          </w:p>
        </w:tc>
        <w:tc>
          <w:tcPr>
            <w:tcW w:w="1417" w:type="dxa"/>
            <w:tcBorders>
              <w:top w:val="single" w:sz="4" w:space="0" w:color="auto"/>
              <w:left w:val="single" w:sz="6" w:space="0" w:color="auto"/>
              <w:bottom w:val="single" w:sz="4" w:space="0" w:color="auto"/>
              <w:right w:val="single" w:sz="6" w:space="0" w:color="auto"/>
            </w:tcBorders>
          </w:tcPr>
          <w:p w:rsidR="00D66A51" w:rsidRPr="00B75FD7" w:rsidRDefault="00D66A51" w:rsidP="00D66A51">
            <w:pPr>
              <w:jc w:val="center"/>
              <w:rPr>
                <w:rFonts w:eastAsia="Calibri"/>
                <w:sz w:val="22"/>
              </w:rPr>
            </w:pPr>
            <w:r w:rsidRPr="00B75FD7">
              <w:rPr>
                <w:rFonts w:eastAsia="Calibri"/>
                <w:sz w:val="22"/>
              </w:rPr>
              <w:t xml:space="preserve">Вт </w:t>
            </w:r>
          </w:p>
        </w:tc>
        <w:tc>
          <w:tcPr>
            <w:tcW w:w="1650" w:type="dxa"/>
            <w:gridSpan w:val="2"/>
            <w:tcBorders>
              <w:top w:val="single" w:sz="4" w:space="0" w:color="auto"/>
              <w:left w:val="single" w:sz="6" w:space="0" w:color="auto"/>
              <w:bottom w:val="single" w:sz="4" w:space="0" w:color="auto"/>
              <w:right w:val="single" w:sz="6" w:space="0" w:color="auto"/>
            </w:tcBorders>
          </w:tcPr>
          <w:p w:rsidR="00D66A51" w:rsidRPr="00B75FD7" w:rsidRDefault="00D66A51" w:rsidP="00D66A51">
            <w:pPr>
              <w:jc w:val="center"/>
              <w:rPr>
                <w:rFonts w:eastAsia="Calibri"/>
                <w:sz w:val="22"/>
              </w:rPr>
            </w:pPr>
            <w:r w:rsidRPr="00B75FD7">
              <w:rPr>
                <w:rFonts w:eastAsia="Calibri"/>
                <w:sz w:val="22"/>
              </w:rPr>
              <w:t>150</w:t>
            </w:r>
          </w:p>
        </w:tc>
      </w:tr>
      <w:tr w:rsidR="00D66A51" w:rsidRPr="00B75FD7" w:rsidTr="00D66A51">
        <w:trPr>
          <w:gridAfter w:val="1"/>
          <w:wAfter w:w="191" w:type="dxa"/>
          <w:trHeight w:val="525"/>
        </w:trPr>
        <w:tc>
          <w:tcPr>
            <w:tcW w:w="2977" w:type="dxa"/>
            <w:vMerge/>
            <w:tcBorders>
              <w:left w:val="single" w:sz="6" w:space="0" w:color="auto"/>
              <w:right w:val="single" w:sz="6" w:space="0" w:color="auto"/>
            </w:tcBorders>
            <w:shd w:val="clear" w:color="00FFFF" w:fill="C6D9F1" w:themeFill="text2" w:themeFillTint="33"/>
          </w:tcPr>
          <w:p w:rsidR="00D66A51" w:rsidRPr="00B75FD7" w:rsidRDefault="00D66A51" w:rsidP="00D66A51">
            <w:pPr>
              <w:autoSpaceDE w:val="0"/>
              <w:autoSpaceDN w:val="0"/>
              <w:adjustRightInd w:val="0"/>
              <w:rPr>
                <w:rFonts w:eastAsia="Calibri"/>
                <w:b/>
                <w:color w:val="000000"/>
                <w:sz w:val="22"/>
              </w:rPr>
            </w:pPr>
          </w:p>
        </w:tc>
        <w:tc>
          <w:tcPr>
            <w:tcW w:w="3909" w:type="dxa"/>
            <w:gridSpan w:val="4"/>
            <w:tcBorders>
              <w:top w:val="single" w:sz="4" w:space="0" w:color="auto"/>
              <w:left w:val="single" w:sz="6" w:space="0" w:color="auto"/>
              <w:bottom w:val="single" w:sz="4" w:space="0" w:color="auto"/>
              <w:right w:val="single" w:sz="6" w:space="0" w:color="auto"/>
            </w:tcBorders>
          </w:tcPr>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Кількість  дітей різної вікової категорії та працівники закладу</w:t>
            </w:r>
            <w:r w:rsidR="00172AA4" w:rsidRPr="00B75FD7">
              <w:rPr>
                <w:rFonts w:eastAsia="Calibri"/>
                <w:color w:val="000000"/>
                <w:sz w:val="22"/>
              </w:rPr>
              <w:t>,</w:t>
            </w:r>
            <w:r w:rsidRPr="00B75FD7">
              <w:rPr>
                <w:rFonts w:eastAsia="Calibri"/>
                <w:color w:val="000000"/>
                <w:sz w:val="22"/>
              </w:rPr>
              <w:t xml:space="preserve"> які потребують безпечного перебування на території Ясла-садка № 26 кожен день</w:t>
            </w:r>
          </w:p>
        </w:tc>
        <w:tc>
          <w:tcPr>
            <w:tcW w:w="1417" w:type="dxa"/>
            <w:tcBorders>
              <w:top w:val="single" w:sz="4" w:space="0" w:color="auto"/>
              <w:left w:val="single" w:sz="6" w:space="0" w:color="auto"/>
              <w:bottom w:val="single" w:sz="4" w:space="0" w:color="auto"/>
              <w:right w:val="single" w:sz="6" w:space="0" w:color="auto"/>
            </w:tcBorders>
          </w:tcPr>
          <w:p w:rsidR="00D66A51" w:rsidRPr="00B75FD7" w:rsidRDefault="00D66A51" w:rsidP="00D66A51">
            <w:pPr>
              <w:jc w:val="center"/>
              <w:rPr>
                <w:rFonts w:eastAsia="Calibri"/>
                <w:sz w:val="22"/>
              </w:rPr>
            </w:pPr>
            <w:r w:rsidRPr="00B75FD7">
              <w:rPr>
                <w:rFonts w:eastAsia="Calibri"/>
                <w:sz w:val="22"/>
              </w:rPr>
              <w:t>осіб</w:t>
            </w:r>
          </w:p>
        </w:tc>
        <w:tc>
          <w:tcPr>
            <w:tcW w:w="1650" w:type="dxa"/>
            <w:gridSpan w:val="2"/>
            <w:tcBorders>
              <w:top w:val="single" w:sz="4" w:space="0" w:color="auto"/>
              <w:left w:val="single" w:sz="6" w:space="0" w:color="auto"/>
              <w:bottom w:val="single" w:sz="4" w:space="0" w:color="auto"/>
              <w:right w:val="single" w:sz="6" w:space="0" w:color="auto"/>
            </w:tcBorders>
          </w:tcPr>
          <w:p w:rsidR="00D66A51" w:rsidRPr="00B75FD7" w:rsidRDefault="00D66A51" w:rsidP="00D66A51">
            <w:pPr>
              <w:autoSpaceDE w:val="0"/>
              <w:autoSpaceDN w:val="0"/>
              <w:adjustRightInd w:val="0"/>
              <w:jc w:val="center"/>
              <w:rPr>
                <w:rFonts w:eastAsia="Calibri"/>
                <w:sz w:val="22"/>
              </w:rPr>
            </w:pPr>
            <w:r w:rsidRPr="00B75FD7">
              <w:rPr>
                <w:rFonts w:eastAsia="Calibri"/>
                <w:sz w:val="22"/>
              </w:rPr>
              <w:t>120</w:t>
            </w:r>
          </w:p>
        </w:tc>
      </w:tr>
      <w:tr w:rsidR="00D66A51" w:rsidRPr="00B75FD7" w:rsidTr="00D66A51">
        <w:trPr>
          <w:gridAfter w:val="1"/>
          <w:wAfter w:w="191" w:type="dxa"/>
          <w:trHeight w:val="495"/>
        </w:trPr>
        <w:tc>
          <w:tcPr>
            <w:tcW w:w="2977" w:type="dxa"/>
            <w:vMerge/>
            <w:tcBorders>
              <w:left w:val="single" w:sz="6" w:space="0" w:color="auto"/>
              <w:right w:val="single" w:sz="6" w:space="0" w:color="auto"/>
            </w:tcBorders>
            <w:shd w:val="clear" w:color="00FFFF" w:fill="C6D9F1" w:themeFill="text2" w:themeFillTint="33"/>
          </w:tcPr>
          <w:p w:rsidR="00D66A51" w:rsidRPr="00B75FD7" w:rsidRDefault="00D66A51" w:rsidP="00D66A51">
            <w:pPr>
              <w:autoSpaceDE w:val="0"/>
              <w:autoSpaceDN w:val="0"/>
              <w:adjustRightInd w:val="0"/>
              <w:rPr>
                <w:rFonts w:eastAsia="Calibri"/>
                <w:b/>
                <w:color w:val="000000"/>
                <w:sz w:val="22"/>
              </w:rPr>
            </w:pPr>
          </w:p>
        </w:tc>
        <w:tc>
          <w:tcPr>
            <w:tcW w:w="3909" w:type="dxa"/>
            <w:gridSpan w:val="4"/>
            <w:tcBorders>
              <w:top w:val="single" w:sz="4" w:space="0" w:color="auto"/>
              <w:left w:val="single" w:sz="6" w:space="0" w:color="auto"/>
              <w:right w:val="single" w:sz="4" w:space="0" w:color="auto"/>
            </w:tcBorders>
          </w:tcPr>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Площа ділянки закладу, яка потребує огорожі та зовнішнього освітлення.</w:t>
            </w:r>
          </w:p>
        </w:tc>
        <w:tc>
          <w:tcPr>
            <w:tcW w:w="1417" w:type="dxa"/>
            <w:tcBorders>
              <w:top w:val="single" w:sz="4" w:space="0" w:color="auto"/>
              <w:left w:val="single" w:sz="4" w:space="0" w:color="auto"/>
              <w:right w:val="single" w:sz="4" w:space="0" w:color="auto"/>
            </w:tcBorders>
          </w:tcPr>
          <w:p w:rsidR="00D66A51" w:rsidRPr="00B75FD7" w:rsidRDefault="00D66A51" w:rsidP="00D66A51">
            <w:pPr>
              <w:jc w:val="center"/>
              <w:rPr>
                <w:rFonts w:eastAsia="Calibri"/>
                <w:sz w:val="22"/>
              </w:rPr>
            </w:pPr>
            <w:r w:rsidRPr="00B75FD7">
              <w:rPr>
                <w:rFonts w:eastAsia="Calibri"/>
                <w:sz w:val="22"/>
              </w:rPr>
              <w:t>га</w:t>
            </w:r>
          </w:p>
        </w:tc>
        <w:tc>
          <w:tcPr>
            <w:tcW w:w="1650" w:type="dxa"/>
            <w:gridSpan w:val="2"/>
            <w:tcBorders>
              <w:top w:val="single" w:sz="4" w:space="0" w:color="auto"/>
              <w:left w:val="single" w:sz="4" w:space="0" w:color="auto"/>
              <w:right w:val="single" w:sz="6" w:space="0" w:color="auto"/>
            </w:tcBorders>
          </w:tcPr>
          <w:p w:rsidR="00D66A51" w:rsidRPr="00B75FD7" w:rsidRDefault="00D66A51" w:rsidP="00D66A51">
            <w:pPr>
              <w:autoSpaceDE w:val="0"/>
              <w:autoSpaceDN w:val="0"/>
              <w:adjustRightInd w:val="0"/>
              <w:jc w:val="center"/>
              <w:rPr>
                <w:rFonts w:eastAsia="Calibri"/>
                <w:sz w:val="22"/>
              </w:rPr>
            </w:pPr>
            <w:r w:rsidRPr="00B75FD7">
              <w:rPr>
                <w:rFonts w:eastAsia="Calibri"/>
                <w:sz w:val="22"/>
              </w:rPr>
              <w:t>0,4602</w:t>
            </w:r>
          </w:p>
        </w:tc>
      </w:tr>
      <w:tr w:rsidR="00D66A51" w:rsidRPr="00B75FD7" w:rsidTr="00D66A51">
        <w:trPr>
          <w:gridAfter w:val="1"/>
          <w:wAfter w:w="191" w:type="dxa"/>
          <w:trHeight w:val="80"/>
        </w:trPr>
        <w:tc>
          <w:tcPr>
            <w:tcW w:w="2977" w:type="dxa"/>
            <w:vMerge/>
            <w:tcBorders>
              <w:left w:val="single" w:sz="6" w:space="0" w:color="auto"/>
              <w:right w:val="single" w:sz="6" w:space="0" w:color="auto"/>
            </w:tcBorders>
            <w:shd w:val="clear" w:color="00FFFF" w:fill="C6D9F1" w:themeFill="text2" w:themeFillTint="33"/>
          </w:tcPr>
          <w:p w:rsidR="00D66A51" w:rsidRPr="00B75FD7" w:rsidRDefault="00D66A51" w:rsidP="00D66A51">
            <w:pPr>
              <w:autoSpaceDE w:val="0"/>
              <w:autoSpaceDN w:val="0"/>
              <w:adjustRightInd w:val="0"/>
              <w:rPr>
                <w:rFonts w:eastAsia="Calibri"/>
                <w:b/>
                <w:color w:val="000000"/>
                <w:sz w:val="22"/>
              </w:rPr>
            </w:pPr>
          </w:p>
        </w:tc>
        <w:tc>
          <w:tcPr>
            <w:tcW w:w="3909" w:type="dxa"/>
            <w:gridSpan w:val="4"/>
            <w:tcBorders>
              <w:left w:val="single" w:sz="6" w:space="0" w:color="auto"/>
              <w:right w:val="single" w:sz="4" w:space="0" w:color="auto"/>
            </w:tcBorders>
          </w:tcPr>
          <w:p w:rsidR="00D66A51" w:rsidRPr="00B75FD7" w:rsidRDefault="00D66A51" w:rsidP="00D66A51">
            <w:pPr>
              <w:autoSpaceDE w:val="0"/>
              <w:autoSpaceDN w:val="0"/>
              <w:adjustRightInd w:val="0"/>
              <w:rPr>
                <w:rFonts w:eastAsia="Calibri"/>
                <w:sz w:val="22"/>
              </w:rPr>
            </w:pPr>
          </w:p>
        </w:tc>
        <w:tc>
          <w:tcPr>
            <w:tcW w:w="1417" w:type="dxa"/>
            <w:tcBorders>
              <w:left w:val="single" w:sz="4" w:space="0" w:color="auto"/>
              <w:right w:val="single" w:sz="4" w:space="0" w:color="auto"/>
            </w:tcBorders>
          </w:tcPr>
          <w:p w:rsidR="00D66A51" w:rsidRPr="00B75FD7" w:rsidRDefault="00D66A51" w:rsidP="00D66A51">
            <w:pPr>
              <w:autoSpaceDE w:val="0"/>
              <w:autoSpaceDN w:val="0"/>
              <w:adjustRightInd w:val="0"/>
              <w:rPr>
                <w:rFonts w:eastAsia="Calibri"/>
                <w:sz w:val="22"/>
              </w:rPr>
            </w:pPr>
          </w:p>
        </w:tc>
        <w:tc>
          <w:tcPr>
            <w:tcW w:w="1650" w:type="dxa"/>
            <w:gridSpan w:val="2"/>
            <w:tcBorders>
              <w:left w:val="single" w:sz="4" w:space="0" w:color="auto"/>
              <w:right w:val="single" w:sz="6" w:space="0" w:color="auto"/>
            </w:tcBorders>
          </w:tcPr>
          <w:p w:rsidR="00D66A51" w:rsidRPr="00B75FD7" w:rsidRDefault="00D66A51" w:rsidP="00D66A51">
            <w:pPr>
              <w:autoSpaceDE w:val="0"/>
              <w:autoSpaceDN w:val="0"/>
              <w:adjustRightInd w:val="0"/>
              <w:rPr>
                <w:rFonts w:eastAsia="Calibri"/>
                <w:sz w:val="22"/>
              </w:rPr>
            </w:pPr>
          </w:p>
        </w:tc>
      </w:tr>
      <w:tr w:rsidR="00D66A51" w:rsidRPr="00B75FD7" w:rsidTr="00CF0760">
        <w:trPr>
          <w:trHeight w:val="689"/>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66A51" w:rsidRPr="00B75FD7" w:rsidRDefault="00D66A51" w:rsidP="00D66A51">
            <w:pPr>
              <w:autoSpaceDE w:val="0"/>
              <w:autoSpaceDN w:val="0"/>
              <w:adjustRightInd w:val="0"/>
              <w:rPr>
                <w:rFonts w:eastAsia="Calibri"/>
                <w:b/>
                <w:color w:val="000000"/>
                <w:sz w:val="22"/>
              </w:rPr>
            </w:pPr>
            <w:r w:rsidRPr="00B75FD7">
              <w:rPr>
                <w:rFonts w:eastAsia="Calibri"/>
                <w:b/>
                <w:color w:val="000000"/>
                <w:sz w:val="22"/>
              </w:rPr>
              <w:t>Ключові заходи проекту:</w:t>
            </w:r>
          </w:p>
        </w:tc>
        <w:tc>
          <w:tcPr>
            <w:tcW w:w="6976" w:type="dxa"/>
            <w:gridSpan w:val="7"/>
            <w:tcBorders>
              <w:top w:val="single" w:sz="6" w:space="0" w:color="auto"/>
              <w:left w:val="single" w:sz="6" w:space="0" w:color="auto"/>
              <w:bottom w:val="single" w:sz="6" w:space="0" w:color="auto"/>
              <w:right w:val="single" w:sz="6" w:space="0" w:color="auto"/>
            </w:tcBorders>
          </w:tcPr>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 xml:space="preserve">1. Провести </w:t>
            </w:r>
            <w:proofErr w:type="spellStart"/>
            <w:r w:rsidRPr="00B75FD7">
              <w:rPr>
                <w:rFonts w:eastAsia="Calibri"/>
                <w:color w:val="000000"/>
                <w:sz w:val="22"/>
              </w:rPr>
              <w:t>проєктне</w:t>
            </w:r>
            <w:proofErr w:type="spellEnd"/>
            <w:r w:rsidRPr="00B75FD7">
              <w:rPr>
                <w:rFonts w:eastAsia="Calibri"/>
                <w:color w:val="000000"/>
                <w:sz w:val="22"/>
              </w:rPr>
              <w:t xml:space="preserve"> дослідження спортивно-ігрового обладнання, що пропонується вітчизняними виробниками, враховуючи якість, безпечність, ціну; розробити схему-модель спортивного та ігрових майданчиків;</w:t>
            </w:r>
          </w:p>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 xml:space="preserve">2. </w:t>
            </w:r>
            <w:r w:rsidRPr="00B75FD7">
              <w:rPr>
                <w:sz w:val="22"/>
              </w:rPr>
              <w:t xml:space="preserve"> </w:t>
            </w:r>
            <w:r w:rsidRPr="00B75FD7">
              <w:rPr>
                <w:rFonts w:eastAsia="Calibri"/>
                <w:color w:val="000000"/>
                <w:sz w:val="22"/>
              </w:rPr>
              <w:t xml:space="preserve">Розробка </w:t>
            </w:r>
            <w:proofErr w:type="spellStart"/>
            <w:r w:rsidRPr="00B75FD7">
              <w:rPr>
                <w:rFonts w:eastAsia="Calibri"/>
                <w:color w:val="000000"/>
                <w:sz w:val="22"/>
              </w:rPr>
              <w:t>пр</w:t>
            </w:r>
            <w:r w:rsidR="00A60BC0" w:rsidRPr="00B75FD7">
              <w:rPr>
                <w:rFonts w:eastAsia="Calibri"/>
                <w:color w:val="000000"/>
                <w:sz w:val="22"/>
              </w:rPr>
              <w:t>оєктно</w:t>
            </w:r>
            <w:proofErr w:type="spellEnd"/>
            <w:r w:rsidR="00A60BC0" w:rsidRPr="00B75FD7">
              <w:rPr>
                <w:rFonts w:eastAsia="Calibri"/>
                <w:color w:val="000000"/>
                <w:sz w:val="22"/>
              </w:rPr>
              <w:t>-кошторисної документації.</w:t>
            </w:r>
          </w:p>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3. Закупівля будівельних матеріалів та обладнання</w:t>
            </w:r>
            <w:r w:rsidR="00A60BC0" w:rsidRPr="00B75FD7">
              <w:rPr>
                <w:rFonts w:eastAsia="Calibri"/>
                <w:color w:val="000000"/>
                <w:sz w:val="22"/>
              </w:rPr>
              <w:t>.</w:t>
            </w:r>
            <w:r w:rsidRPr="00B75FD7">
              <w:rPr>
                <w:rFonts w:eastAsia="Calibri"/>
                <w:color w:val="000000"/>
                <w:sz w:val="22"/>
              </w:rPr>
              <w:t xml:space="preserve">  </w:t>
            </w:r>
          </w:p>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4.Демонтаж старого, пошкодженого обладнання, павільйонів</w:t>
            </w:r>
            <w:r w:rsidR="00A60BC0" w:rsidRPr="00B75FD7">
              <w:rPr>
                <w:rFonts w:eastAsia="Calibri"/>
                <w:color w:val="000000"/>
                <w:sz w:val="22"/>
              </w:rPr>
              <w:t>.</w:t>
            </w:r>
            <w:r w:rsidRPr="00B75FD7">
              <w:rPr>
                <w:rFonts w:eastAsia="Calibri"/>
                <w:color w:val="000000"/>
                <w:sz w:val="22"/>
              </w:rPr>
              <w:t xml:space="preserve"> 5.Реконструкція павільйонів</w:t>
            </w:r>
            <w:r w:rsidR="00A60BC0" w:rsidRPr="00B75FD7">
              <w:rPr>
                <w:rFonts w:eastAsia="Calibri"/>
                <w:color w:val="000000"/>
                <w:sz w:val="22"/>
              </w:rPr>
              <w:t>.</w:t>
            </w:r>
            <w:r w:rsidRPr="00B75FD7">
              <w:rPr>
                <w:rFonts w:eastAsia="Calibri"/>
                <w:color w:val="000000"/>
                <w:sz w:val="22"/>
              </w:rPr>
              <w:t xml:space="preserve">   </w:t>
            </w:r>
          </w:p>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6 Монтаж ігрового обладнання, гумового покриття</w:t>
            </w:r>
            <w:r w:rsidR="00A60BC0" w:rsidRPr="00B75FD7">
              <w:rPr>
                <w:rFonts w:eastAsia="Calibri"/>
                <w:color w:val="000000"/>
                <w:sz w:val="22"/>
              </w:rPr>
              <w:t>.</w:t>
            </w:r>
            <w:r w:rsidRPr="00B75FD7">
              <w:rPr>
                <w:rFonts w:eastAsia="Calibri"/>
                <w:color w:val="000000"/>
                <w:sz w:val="22"/>
              </w:rPr>
              <w:t xml:space="preserve">  </w:t>
            </w:r>
          </w:p>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7.Влаштування основи під покриття, монтаж фінішного безшовного гумового покриття на біговій доріжці та на доріжці для розгону для стрибків в довжину, влаштування спортивної ями для стрибків, тощо</w:t>
            </w:r>
            <w:r w:rsidR="00A60BC0" w:rsidRPr="00B75FD7">
              <w:rPr>
                <w:rFonts w:eastAsia="Calibri"/>
                <w:color w:val="000000"/>
                <w:sz w:val="22"/>
              </w:rPr>
              <w:t>.</w:t>
            </w:r>
            <w:r w:rsidRPr="00B75FD7">
              <w:rPr>
                <w:rFonts w:eastAsia="Calibri"/>
                <w:color w:val="000000"/>
                <w:sz w:val="22"/>
              </w:rPr>
              <w:t xml:space="preserve"> </w:t>
            </w:r>
          </w:p>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 xml:space="preserve">8.Монтаж спортивного обладнання (ворота для міні-футболу з сіткою та баскетбольним кільцем – 2 </w:t>
            </w:r>
            <w:proofErr w:type="spellStart"/>
            <w:r w:rsidRPr="00B75FD7">
              <w:rPr>
                <w:rFonts w:eastAsia="Calibri"/>
                <w:color w:val="000000"/>
                <w:sz w:val="22"/>
              </w:rPr>
              <w:t>шт</w:t>
            </w:r>
            <w:proofErr w:type="spellEnd"/>
            <w:r w:rsidRPr="00B75FD7">
              <w:rPr>
                <w:rFonts w:eastAsia="Calibri"/>
                <w:color w:val="000000"/>
                <w:sz w:val="22"/>
              </w:rPr>
              <w:t xml:space="preserve">, колода-змійка, дитячий </w:t>
            </w:r>
            <w:proofErr w:type="spellStart"/>
            <w:r w:rsidRPr="00B75FD7">
              <w:rPr>
                <w:rFonts w:eastAsia="Calibri"/>
                <w:color w:val="000000"/>
                <w:sz w:val="22"/>
              </w:rPr>
              <w:t>скеледром</w:t>
            </w:r>
            <w:proofErr w:type="spellEnd"/>
            <w:r w:rsidRPr="00B75FD7">
              <w:rPr>
                <w:rFonts w:eastAsia="Calibri"/>
                <w:color w:val="000000"/>
                <w:sz w:val="22"/>
              </w:rPr>
              <w:t>, спортивний гімнастичний багатофункціональний комплекс)</w:t>
            </w:r>
            <w:r w:rsidR="00A60BC0" w:rsidRPr="00B75FD7">
              <w:rPr>
                <w:rFonts w:eastAsia="Calibri"/>
                <w:color w:val="000000"/>
                <w:sz w:val="22"/>
              </w:rPr>
              <w:t>.</w:t>
            </w:r>
          </w:p>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9 Демонтаж асфальту</w:t>
            </w:r>
            <w:r w:rsidR="00A60BC0" w:rsidRPr="00B75FD7">
              <w:rPr>
                <w:rFonts w:eastAsia="Calibri"/>
                <w:color w:val="000000"/>
                <w:sz w:val="22"/>
              </w:rPr>
              <w:t>.</w:t>
            </w:r>
            <w:r w:rsidRPr="00B75FD7">
              <w:rPr>
                <w:rFonts w:eastAsia="Calibri"/>
                <w:color w:val="000000"/>
                <w:sz w:val="22"/>
              </w:rPr>
              <w:t xml:space="preserve">  </w:t>
            </w:r>
          </w:p>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10 Викладання бруківки.</w:t>
            </w:r>
          </w:p>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 xml:space="preserve">11. Закупівля консольних світильників HL-604/150W CW </w:t>
            </w:r>
            <w:proofErr w:type="spellStart"/>
            <w:r w:rsidRPr="00B75FD7">
              <w:rPr>
                <w:rFonts w:eastAsia="Calibri"/>
                <w:color w:val="000000"/>
                <w:sz w:val="22"/>
              </w:rPr>
              <w:t>solar</w:t>
            </w:r>
            <w:proofErr w:type="spellEnd"/>
            <w:r w:rsidRPr="00B75FD7">
              <w:rPr>
                <w:rFonts w:eastAsia="Calibri"/>
                <w:color w:val="000000"/>
                <w:sz w:val="22"/>
              </w:rPr>
              <w:t xml:space="preserve"> LED IP65 RM – 7 шт.</w:t>
            </w:r>
          </w:p>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12. Виконання робіт монтажу мережі зовнішнього освітлення.</w:t>
            </w:r>
          </w:p>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13. Закупівля  секцій паркану   та вхідні конструкції (ворота, 2 хвіртки)</w:t>
            </w:r>
            <w:r w:rsidR="00A60BC0" w:rsidRPr="00B75FD7">
              <w:rPr>
                <w:rFonts w:eastAsia="Calibri"/>
                <w:color w:val="000000"/>
                <w:sz w:val="22"/>
              </w:rPr>
              <w:t>.</w:t>
            </w:r>
            <w:r w:rsidRPr="00B75FD7">
              <w:rPr>
                <w:rFonts w:eastAsia="Calibri"/>
                <w:color w:val="000000"/>
                <w:sz w:val="22"/>
              </w:rPr>
              <w:t xml:space="preserve">     </w:t>
            </w:r>
          </w:p>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14. Закупівля матеріалу для фундаменту (цемент, щебінь, арматура, пісок)</w:t>
            </w:r>
            <w:r w:rsidR="00A60BC0" w:rsidRPr="00B75FD7">
              <w:rPr>
                <w:rFonts w:eastAsia="Calibri"/>
                <w:color w:val="000000"/>
                <w:sz w:val="22"/>
              </w:rPr>
              <w:t>.</w:t>
            </w:r>
            <w:r w:rsidRPr="00B75FD7">
              <w:rPr>
                <w:rFonts w:eastAsia="Calibri"/>
                <w:color w:val="000000"/>
                <w:sz w:val="22"/>
              </w:rPr>
              <w:t xml:space="preserve">   </w:t>
            </w:r>
          </w:p>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lastRenderedPageBreak/>
              <w:t>15. Закупівля опорних конструкцій</w:t>
            </w:r>
            <w:r w:rsidR="00A60BC0" w:rsidRPr="00B75FD7">
              <w:rPr>
                <w:rFonts w:eastAsia="Calibri"/>
                <w:color w:val="000000"/>
                <w:sz w:val="22"/>
              </w:rPr>
              <w:t>.</w:t>
            </w:r>
            <w:r w:rsidRPr="00B75FD7">
              <w:rPr>
                <w:rFonts w:eastAsia="Calibri"/>
                <w:color w:val="000000"/>
                <w:sz w:val="22"/>
              </w:rPr>
              <w:t xml:space="preserve">  </w:t>
            </w:r>
          </w:p>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16. Проведення земляних робіт (виїмка ґрунту під основу, свердління гнізд під опори, підсипка траншей піщано-гравійною сумішшю)</w:t>
            </w:r>
            <w:r w:rsidR="00A60BC0" w:rsidRPr="00B75FD7">
              <w:rPr>
                <w:rFonts w:eastAsia="Calibri"/>
                <w:color w:val="000000"/>
                <w:sz w:val="22"/>
              </w:rPr>
              <w:t>.</w:t>
            </w:r>
          </w:p>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17.Монтаж паркану (бетонування стовпців, збірка паркану).</w:t>
            </w:r>
          </w:p>
          <w:p w:rsidR="00D66A51" w:rsidRPr="00B75FD7" w:rsidRDefault="00D66A51" w:rsidP="00D66A51">
            <w:pPr>
              <w:autoSpaceDE w:val="0"/>
              <w:autoSpaceDN w:val="0"/>
              <w:adjustRightInd w:val="0"/>
              <w:rPr>
                <w:rFonts w:eastAsia="Calibri"/>
                <w:color w:val="000000"/>
                <w:sz w:val="22"/>
              </w:rPr>
            </w:pPr>
            <w:r w:rsidRPr="00B75FD7">
              <w:rPr>
                <w:rFonts w:eastAsia="Calibri"/>
                <w:sz w:val="22"/>
              </w:rPr>
              <w:t>18. Відновлення освітнього процесу в Яслах-садку № 26</w:t>
            </w:r>
          </w:p>
        </w:tc>
        <w:tc>
          <w:tcPr>
            <w:tcW w:w="191" w:type="dxa"/>
          </w:tcPr>
          <w:p w:rsidR="00D66A51" w:rsidRPr="00B75FD7" w:rsidRDefault="00D66A51" w:rsidP="00D66A51">
            <w:pPr>
              <w:spacing w:after="160" w:line="259" w:lineRule="auto"/>
              <w:rPr>
                <w:sz w:val="22"/>
              </w:rPr>
            </w:pPr>
          </w:p>
        </w:tc>
      </w:tr>
      <w:tr w:rsidR="00E56296" w:rsidRPr="00B75FD7" w:rsidTr="00C533DF">
        <w:trPr>
          <w:gridAfter w:val="1"/>
          <w:wAfter w:w="191" w:type="dxa"/>
          <w:trHeight w:val="448"/>
        </w:trPr>
        <w:tc>
          <w:tcPr>
            <w:tcW w:w="2977" w:type="dxa"/>
            <w:vMerge w:val="restart"/>
            <w:tcBorders>
              <w:top w:val="single" w:sz="6" w:space="0" w:color="auto"/>
              <w:left w:val="single" w:sz="6" w:space="0" w:color="auto"/>
              <w:right w:val="single" w:sz="6" w:space="0" w:color="auto"/>
            </w:tcBorders>
            <w:shd w:val="clear" w:color="00FFFF" w:fill="C6D9F1" w:themeFill="text2" w:themeFillTint="33"/>
          </w:tcPr>
          <w:p w:rsidR="00E56296" w:rsidRPr="00B75FD7" w:rsidRDefault="00E56296" w:rsidP="00D66A51">
            <w:pPr>
              <w:autoSpaceDE w:val="0"/>
              <w:autoSpaceDN w:val="0"/>
              <w:adjustRightInd w:val="0"/>
              <w:rPr>
                <w:rFonts w:eastAsia="Calibri"/>
                <w:b/>
                <w:color w:val="000000"/>
                <w:sz w:val="22"/>
              </w:rPr>
            </w:pPr>
            <w:r w:rsidRPr="00B75FD7">
              <w:rPr>
                <w:rFonts w:eastAsia="Calibri"/>
                <w:b/>
                <w:color w:val="000000"/>
                <w:sz w:val="22"/>
              </w:rPr>
              <w:t>Орієнтовний обсяг та джерела фінансування тис. гривень</w:t>
            </w:r>
          </w:p>
        </w:tc>
        <w:tc>
          <w:tcPr>
            <w:tcW w:w="1306" w:type="dxa"/>
            <w:vMerge w:val="restart"/>
            <w:tcBorders>
              <w:top w:val="single" w:sz="6" w:space="0" w:color="auto"/>
              <w:left w:val="single" w:sz="6" w:space="0" w:color="auto"/>
              <w:bottom w:val="single" w:sz="6" w:space="0" w:color="auto"/>
              <w:right w:val="single" w:sz="6" w:space="0" w:color="auto"/>
            </w:tcBorders>
          </w:tcPr>
          <w:p w:rsidR="00E56296" w:rsidRPr="00B75FD7" w:rsidRDefault="00E56296" w:rsidP="00D66A51">
            <w:pPr>
              <w:autoSpaceDE w:val="0"/>
              <w:autoSpaceDN w:val="0"/>
              <w:adjustRightInd w:val="0"/>
              <w:rPr>
                <w:rFonts w:eastAsia="Calibri"/>
                <w:color w:val="000000"/>
                <w:sz w:val="22"/>
              </w:rPr>
            </w:pPr>
            <w:r w:rsidRPr="00B75FD7">
              <w:rPr>
                <w:rFonts w:eastAsia="Calibri"/>
                <w:color w:val="000000"/>
                <w:sz w:val="22"/>
              </w:rPr>
              <w:t>Державний бюджет</w:t>
            </w:r>
          </w:p>
        </w:tc>
        <w:tc>
          <w:tcPr>
            <w:tcW w:w="1134" w:type="dxa"/>
            <w:vMerge w:val="restart"/>
            <w:tcBorders>
              <w:top w:val="single" w:sz="6" w:space="0" w:color="auto"/>
              <w:left w:val="single" w:sz="6" w:space="0" w:color="auto"/>
              <w:bottom w:val="single" w:sz="6" w:space="0" w:color="auto"/>
              <w:right w:val="single" w:sz="6" w:space="0" w:color="auto"/>
            </w:tcBorders>
          </w:tcPr>
          <w:p w:rsidR="00E56296" w:rsidRPr="00B75FD7" w:rsidRDefault="00E56296" w:rsidP="00D66A51">
            <w:pPr>
              <w:autoSpaceDE w:val="0"/>
              <w:autoSpaceDN w:val="0"/>
              <w:adjustRightInd w:val="0"/>
              <w:rPr>
                <w:rFonts w:eastAsia="Calibri"/>
                <w:color w:val="000000"/>
                <w:sz w:val="22"/>
              </w:rPr>
            </w:pPr>
            <w:r w:rsidRPr="00B75FD7">
              <w:rPr>
                <w:rFonts w:eastAsia="Calibri"/>
                <w:color w:val="000000"/>
                <w:sz w:val="22"/>
              </w:rPr>
              <w:t>Місцевий бюджет</w:t>
            </w:r>
          </w:p>
        </w:tc>
        <w:tc>
          <w:tcPr>
            <w:tcW w:w="2923" w:type="dxa"/>
            <w:gridSpan w:val="4"/>
            <w:tcBorders>
              <w:top w:val="single" w:sz="6" w:space="0" w:color="auto"/>
              <w:left w:val="single" w:sz="6" w:space="0" w:color="auto"/>
              <w:bottom w:val="single" w:sz="6" w:space="0" w:color="auto"/>
              <w:right w:val="single" w:sz="6" w:space="0" w:color="auto"/>
            </w:tcBorders>
          </w:tcPr>
          <w:p w:rsidR="00E56296" w:rsidRPr="00B75FD7" w:rsidRDefault="00E56296" w:rsidP="00D66A51">
            <w:pPr>
              <w:autoSpaceDE w:val="0"/>
              <w:autoSpaceDN w:val="0"/>
              <w:adjustRightInd w:val="0"/>
              <w:rPr>
                <w:rFonts w:eastAsia="Calibri"/>
                <w:color w:val="000000"/>
                <w:sz w:val="22"/>
              </w:rPr>
            </w:pPr>
            <w:r w:rsidRPr="00B75FD7">
              <w:rPr>
                <w:rFonts w:eastAsia="Calibri"/>
                <w:color w:val="000000"/>
                <w:sz w:val="22"/>
              </w:rPr>
              <w:t>Інші джерела</w:t>
            </w:r>
          </w:p>
        </w:tc>
        <w:tc>
          <w:tcPr>
            <w:tcW w:w="1613" w:type="dxa"/>
            <w:vMerge w:val="restart"/>
            <w:tcBorders>
              <w:top w:val="single" w:sz="6" w:space="0" w:color="auto"/>
              <w:left w:val="single" w:sz="6" w:space="0" w:color="auto"/>
              <w:right w:val="single" w:sz="6" w:space="0" w:color="auto"/>
            </w:tcBorders>
          </w:tcPr>
          <w:p w:rsidR="00E56296" w:rsidRPr="00B75FD7" w:rsidRDefault="00E56296" w:rsidP="00D66A51">
            <w:pPr>
              <w:autoSpaceDE w:val="0"/>
              <w:autoSpaceDN w:val="0"/>
              <w:adjustRightInd w:val="0"/>
              <w:rPr>
                <w:rFonts w:eastAsia="Calibri"/>
                <w:color w:val="000000"/>
                <w:sz w:val="22"/>
              </w:rPr>
            </w:pPr>
            <w:r w:rsidRPr="00B75FD7">
              <w:rPr>
                <w:rFonts w:eastAsia="Calibri"/>
                <w:color w:val="000000"/>
                <w:sz w:val="22"/>
              </w:rPr>
              <w:t>Всього</w:t>
            </w:r>
          </w:p>
        </w:tc>
      </w:tr>
      <w:tr w:rsidR="00E56296" w:rsidRPr="00B75FD7" w:rsidTr="00C533DF">
        <w:trPr>
          <w:gridAfter w:val="1"/>
          <w:wAfter w:w="191" w:type="dxa"/>
          <w:trHeight w:val="395"/>
        </w:trPr>
        <w:tc>
          <w:tcPr>
            <w:tcW w:w="2977" w:type="dxa"/>
            <w:vMerge/>
            <w:tcBorders>
              <w:top w:val="single" w:sz="6" w:space="0" w:color="auto"/>
              <w:left w:val="single" w:sz="6" w:space="0" w:color="auto"/>
              <w:right w:val="single" w:sz="6" w:space="0" w:color="auto"/>
            </w:tcBorders>
            <w:shd w:val="clear" w:color="00FFFF" w:fill="C6D9F1" w:themeFill="text2" w:themeFillTint="33"/>
          </w:tcPr>
          <w:p w:rsidR="00E56296" w:rsidRPr="00B75FD7" w:rsidRDefault="00E56296" w:rsidP="00D66A51">
            <w:pPr>
              <w:autoSpaceDE w:val="0"/>
              <w:autoSpaceDN w:val="0"/>
              <w:adjustRightInd w:val="0"/>
              <w:rPr>
                <w:rFonts w:eastAsia="Calibri"/>
                <w:b/>
                <w:color w:val="000000"/>
                <w:sz w:val="22"/>
              </w:rPr>
            </w:pPr>
          </w:p>
        </w:tc>
        <w:tc>
          <w:tcPr>
            <w:tcW w:w="1306" w:type="dxa"/>
            <w:vMerge/>
            <w:tcBorders>
              <w:top w:val="single" w:sz="6" w:space="0" w:color="auto"/>
              <w:left w:val="single" w:sz="6" w:space="0" w:color="auto"/>
              <w:bottom w:val="single" w:sz="6" w:space="0" w:color="auto"/>
              <w:right w:val="single" w:sz="6" w:space="0" w:color="auto"/>
            </w:tcBorders>
          </w:tcPr>
          <w:p w:rsidR="00E56296" w:rsidRPr="00B75FD7" w:rsidRDefault="00E56296" w:rsidP="00D66A51">
            <w:pPr>
              <w:autoSpaceDE w:val="0"/>
              <w:autoSpaceDN w:val="0"/>
              <w:adjustRightInd w:val="0"/>
              <w:rPr>
                <w:rFonts w:eastAsia="Calibri"/>
                <w:color w:val="000000"/>
                <w:sz w:val="22"/>
              </w:rPr>
            </w:pPr>
          </w:p>
        </w:tc>
        <w:tc>
          <w:tcPr>
            <w:tcW w:w="1134" w:type="dxa"/>
            <w:vMerge/>
            <w:tcBorders>
              <w:top w:val="single" w:sz="6" w:space="0" w:color="auto"/>
              <w:left w:val="single" w:sz="6" w:space="0" w:color="auto"/>
              <w:bottom w:val="single" w:sz="6" w:space="0" w:color="auto"/>
              <w:right w:val="single" w:sz="6" w:space="0" w:color="auto"/>
            </w:tcBorders>
          </w:tcPr>
          <w:p w:rsidR="00E56296" w:rsidRPr="00B75FD7" w:rsidRDefault="00E56296" w:rsidP="00D66A51">
            <w:pPr>
              <w:autoSpaceDE w:val="0"/>
              <w:autoSpaceDN w:val="0"/>
              <w:adjustRightInd w:val="0"/>
              <w:rPr>
                <w:rFonts w:eastAsia="Calibri"/>
                <w:color w:val="000000"/>
                <w:sz w:val="22"/>
              </w:rPr>
            </w:pPr>
          </w:p>
        </w:tc>
        <w:tc>
          <w:tcPr>
            <w:tcW w:w="992" w:type="dxa"/>
            <w:tcBorders>
              <w:top w:val="single" w:sz="6" w:space="0" w:color="auto"/>
              <w:left w:val="single" w:sz="6" w:space="0" w:color="auto"/>
              <w:bottom w:val="single" w:sz="6" w:space="0" w:color="auto"/>
              <w:right w:val="single" w:sz="6" w:space="0" w:color="auto"/>
            </w:tcBorders>
          </w:tcPr>
          <w:p w:rsidR="00E56296" w:rsidRPr="00B75FD7" w:rsidRDefault="00E56296" w:rsidP="00D66A51">
            <w:pPr>
              <w:autoSpaceDE w:val="0"/>
              <w:autoSpaceDN w:val="0"/>
              <w:adjustRightInd w:val="0"/>
              <w:rPr>
                <w:rFonts w:eastAsia="Calibri"/>
                <w:color w:val="000000"/>
                <w:sz w:val="22"/>
              </w:rPr>
            </w:pPr>
            <w:r w:rsidRPr="00B75FD7">
              <w:rPr>
                <w:rFonts w:eastAsia="Calibri"/>
                <w:color w:val="000000"/>
                <w:sz w:val="22"/>
              </w:rPr>
              <w:t xml:space="preserve">    Обсяг                </w:t>
            </w:r>
          </w:p>
        </w:tc>
        <w:tc>
          <w:tcPr>
            <w:tcW w:w="1931" w:type="dxa"/>
            <w:gridSpan w:val="3"/>
            <w:tcBorders>
              <w:top w:val="single" w:sz="6" w:space="0" w:color="auto"/>
              <w:left w:val="single" w:sz="6" w:space="0" w:color="auto"/>
              <w:bottom w:val="single" w:sz="6" w:space="0" w:color="auto"/>
              <w:right w:val="single" w:sz="6" w:space="0" w:color="auto"/>
            </w:tcBorders>
          </w:tcPr>
          <w:p w:rsidR="00E56296" w:rsidRPr="00B75FD7" w:rsidRDefault="00E56296" w:rsidP="00D66A51">
            <w:pPr>
              <w:autoSpaceDE w:val="0"/>
              <w:autoSpaceDN w:val="0"/>
              <w:adjustRightInd w:val="0"/>
              <w:rPr>
                <w:rFonts w:eastAsia="Calibri"/>
                <w:color w:val="000000"/>
                <w:sz w:val="22"/>
              </w:rPr>
            </w:pPr>
            <w:r w:rsidRPr="00B75FD7">
              <w:rPr>
                <w:rFonts w:eastAsia="Calibri"/>
                <w:color w:val="000000"/>
                <w:sz w:val="22"/>
              </w:rPr>
              <w:t>Назва джерела</w:t>
            </w:r>
          </w:p>
        </w:tc>
        <w:tc>
          <w:tcPr>
            <w:tcW w:w="1613" w:type="dxa"/>
            <w:vMerge/>
            <w:tcBorders>
              <w:left w:val="single" w:sz="6" w:space="0" w:color="auto"/>
              <w:bottom w:val="single" w:sz="6" w:space="0" w:color="auto"/>
              <w:right w:val="single" w:sz="6" w:space="0" w:color="auto"/>
            </w:tcBorders>
          </w:tcPr>
          <w:p w:rsidR="00E56296" w:rsidRPr="00B75FD7" w:rsidRDefault="00E56296" w:rsidP="00D66A51">
            <w:pPr>
              <w:autoSpaceDE w:val="0"/>
              <w:autoSpaceDN w:val="0"/>
              <w:adjustRightInd w:val="0"/>
              <w:rPr>
                <w:rFonts w:eastAsia="Calibri"/>
                <w:color w:val="000000"/>
                <w:sz w:val="22"/>
              </w:rPr>
            </w:pPr>
          </w:p>
        </w:tc>
      </w:tr>
      <w:tr w:rsidR="00CF0760" w:rsidRPr="00B75FD7" w:rsidTr="00CF0760">
        <w:trPr>
          <w:gridAfter w:val="1"/>
          <w:wAfter w:w="191" w:type="dxa"/>
          <w:trHeight w:val="379"/>
        </w:trPr>
        <w:tc>
          <w:tcPr>
            <w:tcW w:w="2977" w:type="dxa"/>
            <w:vMerge/>
            <w:tcBorders>
              <w:left w:val="single" w:sz="6" w:space="0" w:color="auto"/>
              <w:bottom w:val="single" w:sz="6" w:space="0" w:color="auto"/>
              <w:right w:val="single" w:sz="6" w:space="0" w:color="auto"/>
            </w:tcBorders>
            <w:shd w:val="clear" w:color="00FFFF" w:fill="C6D9F1" w:themeFill="text2" w:themeFillTint="33"/>
          </w:tcPr>
          <w:p w:rsidR="00CF0760" w:rsidRPr="00B75FD7" w:rsidRDefault="00CF0760" w:rsidP="00CF0760">
            <w:pPr>
              <w:autoSpaceDE w:val="0"/>
              <w:autoSpaceDN w:val="0"/>
              <w:adjustRightInd w:val="0"/>
              <w:rPr>
                <w:rFonts w:eastAsia="Calibri"/>
                <w:b/>
                <w:color w:val="000000"/>
                <w:sz w:val="22"/>
              </w:rPr>
            </w:pPr>
          </w:p>
        </w:tc>
        <w:tc>
          <w:tcPr>
            <w:tcW w:w="1306" w:type="dxa"/>
            <w:tcBorders>
              <w:top w:val="single" w:sz="6" w:space="0" w:color="auto"/>
              <w:left w:val="single" w:sz="6" w:space="0" w:color="auto"/>
              <w:bottom w:val="single" w:sz="6" w:space="0" w:color="auto"/>
              <w:right w:val="single" w:sz="6" w:space="0" w:color="auto"/>
            </w:tcBorders>
          </w:tcPr>
          <w:p w:rsidR="00CF0760" w:rsidRPr="00B75FD7" w:rsidRDefault="00CF0760" w:rsidP="00CF0760">
            <w:pPr>
              <w:autoSpaceDE w:val="0"/>
              <w:autoSpaceDN w:val="0"/>
              <w:adjustRightInd w:val="0"/>
              <w:rPr>
                <w:rFonts w:eastAsia="Calibri"/>
                <w:color w:val="000000"/>
                <w:sz w:val="22"/>
              </w:rPr>
            </w:pPr>
            <w:r w:rsidRPr="00B75FD7">
              <w:rPr>
                <w:rFonts w:eastAsia="Calibri"/>
                <w:color w:val="000000"/>
                <w:sz w:val="22"/>
              </w:rPr>
              <w:t>1500,55</w:t>
            </w:r>
          </w:p>
        </w:tc>
        <w:tc>
          <w:tcPr>
            <w:tcW w:w="1134" w:type="dxa"/>
            <w:tcBorders>
              <w:top w:val="single" w:sz="6" w:space="0" w:color="auto"/>
              <w:left w:val="single" w:sz="6" w:space="0" w:color="auto"/>
              <w:bottom w:val="single" w:sz="6" w:space="0" w:color="auto"/>
              <w:right w:val="single" w:sz="6" w:space="0" w:color="auto"/>
            </w:tcBorders>
          </w:tcPr>
          <w:p w:rsidR="00CF0760" w:rsidRPr="00B75FD7" w:rsidRDefault="00CF0760" w:rsidP="00CF0760">
            <w:pPr>
              <w:autoSpaceDE w:val="0"/>
              <w:autoSpaceDN w:val="0"/>
              <w:adjustRightInd w:val="0"/>
              <w:rPr>
                <w:rFonts w:eastAsia="Calibri"/>
                <w:color w:val="000000"/>
                <w:sz w:val="22"/>
              </w:rPr>
            </w:pPr>
            <w:r w:rsidRPr="00B75FD7">
              <w:rPr>
                <w:rFonts w:eastAsia="Calibri"/>
                <w:color w:val="000000"/>
                <w:sz w:val="22"/>
              </w:rPr>
              <w:t>-</w:t>
            </w:r>
          </w:p>
        </w:tc>
        <w:tc>
          <w:tcPr>
            <w:tcW w:w="992" w:type="dxa"/>
            <w:tcBorders>
              <w:top w:val="single" w:sz="6" w:space="0" w:color="auto"/>
              <w:left w:val="single" w:sz="6" w:space="0" w:color="auto"/>
              <w:bottom w:val="single" w:sz="6" w:space="0" w:color="auto"/>
              <w:right w:val="single" w:sz="6" w:space="0" w:color="auto"/>
            </w:tcBorders>
          </w:tcPr>
          <w:p w:rsidR="00CF0760" w:rsidRPr="00B75FD7" w:rsidRDefault="00CF0760" w:rsidP="00CF0760">
            <w:pPr>
              <w:autoSpaceDE w:val="0"/>
              <w:autoSpaceDN w:val="0"/>
              <w:adjustRightInd w:val="0"/>
              <w:rPr>
                <w:rFonts w:eastAsia="Calibri"/>
                <w:color w:val="000000"/>
                <w:sz w:val="22"/>
              </w:rPr>
            </w:pPr>
            <w:r w:rsidRPr="00B75FD7">
              <w:rPr>
                <w:rFonts w:eastAsia="Calibri"/>
                <w:sz w:val="22"/>
              </w:rPr>
              <w:t>1397,39</w:t>
            </w:r>
          </w:p>
        </w:tc>
        <w:tc>
          <w:tcPr>
            <w:tcW w:w="1931" w:type="dxa"/>
            <w:gridSpan w:val="3"/>
            <w:tcBorders>
              <w:top w:val="single" w:sz="6" w:space="0" w:color="auto"/>
              <w:left w:val="single" w:sz="6" w:space="0" w:color="auto"/>
              <w:bottom w:val="single" w:sz="6" w:space="0" w:color="auto"/>
              <w:right w:val="single" w:sz="6" w:space="0" w:color="auto"/>
            </w:tcBorders>
          </w:tcPr>
          <w:p w:rsidR="00CF0760" w:rsidRPr="00B75FD7" w:rsidRDefault="00CF0760" w:rsidP="00CF0760">
            <w:pPr>
              <w:autoSpaceDE w:val="0"/>
              <w:autoSpaceDN w:val="0"/>
              <w:adjustRightInd w:val="0"/>
              <w:rPr>
                <w:rFonts w:eastAsia="Calibri"/>
                <w:color w:val="000000"/>
                <w:sz w:val="22"/>
              </w:rPr>
            </w:pPr>
            <w:r w:rsidRPr="00B75FD7">
              <w:rPr>
                <w:rFonts w:eastAsia="Calibri"/>
                <w:color w:val="000000"/>
                <w:sz w:val="22"/>
              </w:rPr>
              <w:t>Міжнародні інвестиції,</w:t>
            </w:r>
          </w:p>
          <w:p w:rsidR="00CF0760" w:rsidRPr="00B75FD7" w:rsidRDefault="00CF0760" w:rsidP="00CF0760">
            <w:pPr>
              <w:autoSpaceDE w:val="0"/>
              <w:autoSpaceDN w:val="0"/>
              <w:adjustRightInd w:val="0"/>
              <w:rPr>
                <w:rFonts w:eastAsia="Calibri"/>
                <w:color w:val="000000"/>
                <w:sz w:val="22"/>
              </w:rPr>
            </w:pPr>
            <w:r w:rsidRPr="00B75FD7">
              <w:rPr>
                <w:rFonts w:eastAsia="Calibri"/>
                <w:color w:val="000000"/>
                <w:sz w:val="22"/>
              </w:rPr>
              <w:t>кошти</w:t>
            </w:r>
          </w:p>
          <w:p w:rsidR="00CF0760" w:rsidRPr="00B75FD7" w:rsidRDefault="00CF0760" w:rsidP="00CF0760">
            <w:pPr>
              <w:autoSpaceDE w:val="0"/>
              <w:autoSpaceDN w:val="0"/>
              <w:adjustRightInd w:val="0"/>
              <w:rPr>
                <w:rFonts w:eastAsia="Calibri"/>
                <w:color w:val="000000"/>
                <w:sz w:val="22"/>
              </w:rPr>
            </w:pPr>
            <w:r w:rsidRPr="00B75FD7">
              <w:rPr>
                <w:rFonts w:eastAsia="Calibri"/>
                <w:color w:val="000000"/>
                <w:sz w:val="22"/>
              </w:rPr>
              <w:t>приватних осіб</w:t>
            </w:r>
          </w:p>
        </w:tc>
        <w:tc>
          <w:tcPr>
            <w:tcW w:w="1613" w:type="dxa"/>
            <w:tcBorders>
              <w:top w:val="single" w:sz="6" w:space="0" w:color="auto"/>
              <w:left w:val="single" w:sz="6" w:space="0" w:color="auto"/>
              <w:bottom w:val="single" w:sz="6" w:space="0" w:color="auto"/>
              <w:right w:val="single" w:sz="6" w:space="0" w:color="auto"/>
            </w:tcBorders>
          </w:tcPr>
          <w:p w:rsidR="00CF0760" w:rsidRPr="00B75FD7" w:rsidRDefault="00E56296" w:rsidP="00CF0760">
            <w:pPr>
              <w:autoSpaceDE w:val="0"/>
              <w:autoSpaceDN w:val="0"/>
              <w:adjustRightInd w:val="0"/>
              <w:rPr>
                <w:rFonts w:eastAsia="Calibri"/>
                <w:color w:val="000000"/>
                <w:sz w:val="22"/>
              </w:rPr>
            </w:pPr>
            <w:r w:rsidRPr="00B75FD7">
              <w:rPr>
                <w:rFonts w:eastAsia="Calibri"/>
                <w:color w:val="000000"/>
                <w:sz w:val="22"/>
              </w:rPr>
              <w:t>2897,94</w:t>
            </w:r>
          </w:p>
        </w:tc>
      </w:tr>
      <w:bookmarkEnd w:id="51"/>
    </w:tbl>
    <w:p w:rsidR="001F6063" w:rsidRPr="00B75FD7" w:rsidRDefault="001F6063" w:rsidP="00E33AAA">
      <w:pPr>
        <w:tabs>
          <w:tab w:val="left" w:pos="5290"/>
        </w:tabs>
        <w:rPr>
          <w:b/>
          <w:sz w:val="22"/>
          <w:szCs w:val="22"/>
        </w:rPr>
      </w:pPr>
    </w:p>
    <w:p w:rsidR="00E56296" w:rsidRPr="00B75FD7" w:rsidRDefault="00E56296" w:rsidP="00E33AAA">
      <w:pPr>
        <w:tabs>
          <w:tab w:val="left" w:pos="5290"/>
        </w:tabs>
        <w:rPr>
          <w:b/>
          <w:sz w:val="22"/>
          <w:szCs w:val="22"/>
        </w:rPr>
      </w:pPr>
    </w:p>
    <w:p w:rsidR="00E56296" w:rsidRPr="00B75FD7" w:rsidRDefault="00E56296" w:rsidP="00E33AAA">
      <w:pPr>
        <w:tabs>
          <w:tab w:val="left" w:pos="5290"/>
        </w:tabs>
        <w:rPr>
          <w:b/>
          <w:sz w:val="22"/>
          <w:szCs w:val="22"/>
        </w:rPr>
      </w:pPr>
    </w:p>
    <w:p w:rsidR="001F6063" w:rsidRPr="00B75FD7" w:rsidRDefault="001F6063" w:rsidP="00E33AAA">
      <w:pPr>
        <w:tabs>
          <w:tab w:val="left" w:pos="5290"/>
        </w:tabs>
        <w:rPr>
          <w:b/>
          <w:sz w:val="22"/>
          <w:szCs w:val="22"/>
        </w:rPr>
      </w:pPr>
    </w:p>
    <w:p w:rsidR="00E56296" w:rsidRPr="00B75FD7" w:rsidRDefault="00E56296" w:rsidP="00E33AAA">
      <w:pPr>
        <w:tabs>
          <w:tab w:val="left" w:pos="5290"/>
        </w:tabs>
        <w:rPr>
          <w:b/>
          <w:sz w:val="22"/>
          <w:szCs w:val="22"/>
        </w:rPr>
      </w:pPr>
    </w:p>
    <w:p w:rsidR="00E56296" w:rsidRPr="00B75FD7" w:rsidRDefault="00E56296" w:rsidP="00E33AAA">
      <w:pPr>
        <w:tabs>
          <w:tab w:val="left" w:pos="5290"/>
        </w:tabs>
        <w:rPr>
          <w:b/>
          <w:sz w:val="22"/>
          <w:szCs w:val="22"/>
        </w:rPr>
      </w:pPr>
    </w:p>
    <w:tbl>
      <w:tblPr>
        <w:tblpPr w:leftFromText="180" w:rightFromText="180" w:vertAnchor="text" w:horzAnchor="margin" w:tblpXSpec="center" w:tblpY="-597"/>
        <w:tblW w:w="10065" w:type="dxa"/>
        <w:tblLayout w:type="fixed"/>
        <w:tblCellMar>
          <w:left w:w="30" w:type="dxa"/>
          <w:right w:w="30" w:type="dxa"/>
        </w:tblCellMar>
        <w:tblLook w:val="0000" w:firstRow="0" w:lastRow="0" w:firstColumn="0" w:lastColumn="0" w:noHBand="0" w:noVBand="0"/>
      </w:tblPr>
      <w:tblGrid>
        <w:gridCol w:w="2865"/>
        <w:gridCol w:w="1642"/>
        <w:gridCol w:w="1134"/>
        <w:gridCol w:w="1134"/>
        <w:gridCol w:w="626"/>
        <w:gridCol w:w="1583"/>
        <w:gridCol w:w="38"/>
        <w:gridCol w:w="1043"/>
      </w:tblGrid>
      <w:tr w:rsidR="00E56296" w:rsidRPr="00B75FD7" w:rsidTr="00C533DF">
        <w:trPr>
          <w:trHeight w:val="555"/>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56296" w:rsidRPr="00B75FD7" w:rsidRDefault="00E56296" w:rsidP="00C533DF">
            <w:pPr>
              <w:autoSpaceDE w:val="0"/>
              <w:autoSpaceDN w:val="0"/>
              <w:adjustRightInd w:val="0"/>
              <w:rPr>
                <w:rFonts w:eastAsia="Calibri"/>
                <w:b/>
                <w:color w:val="000000"/>
                <w:sz w:val="22"/>
              </w:rPr>
            </w:pPr>
            <w:r w:rsidRPr="00B75FD7">
              <w:rPr>
                <w:rFonts w:eastAsia="Calibri"/>
                <w:b/>
                <w:color w:val="000000"/>
                <w:sz w:val="22"/>
              </w:rPr>
              <w:lastRenderedPageBreak/>
              <w:t>Оперативна ціль/завдання</w:t>
            </w:r>
          </w:p>
        </w:tc>
        <w:tc>
          <w:tcPr>
            <w:tcW w:w="7200" w:type="dxa"/>
            <w:gridSpan w:val="7"/>
            <w:tcBorders>
              <w:top w:val="single" w:sz="6" w:space="0" w:color="auto"/>
              <w:left w:val="single" w:sz="6" w:space="0" w:color="auto"/>
              <w:bottom w:val="single" w:sz="6" w:space="0" w:color="auto"/>
              <w:right w:val="single" w:sz="6" w:space="0" w:color="auto"/>
            </w:tcBorders>
          </w:tcPr>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 xml:space="preserve">Людський розвиток через інновації управління та довіру до влади. Формування сучасного інклюзивного  </w:t>
            </w:r>
            <w:proofErr w:type="spellStart"/>
            <w:r w:rsidRPr="00B75FD7">
              <w:rPr>
                <w:rFonts w:eastAsia="Calibri"/>
                <w:color w:val="000000"/>
                <w:sz w:val="22"/>
              </w:rPr>
              <w:t>освітньо</w:t>
            </w:r>
            <w:proofErr w:type="spellEnd"/>
            <w:r w:rsidRPr="00B75FD7">
              <w:rPr>
                <w:rFonts w:eastAsia="Calibri"/>
                <w:color w:val="000000"/>
                <w:sz w:val="22"/>
              </w:rPr>
              <w:t>-культурного та спортивного простору для розвитку.</w:t>
            </w:r>
          </w:p>
        </w:tc>
      </w:tr>
      <w:tr w:rsidR="00E56296" w:rsidRPr="00B75FD7" w:rsidTr="00C533DF">
        <w:trPr>
          <w:trHeight w:val="691"/>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56296" w:rsidRPr="00B75FD7" w:rsidRDefault="00E56296" w:rsidP="00C533DF">
            <w:pPr>
              <w:autoSpaceDE w:val="0"/>
              <w:autoSpaceDN w:val="0"/>
              <w:adjustRightInd w:val="0"/>
              <w:rPr>
                <w:rFonts w:eastAsia="Calibri"/>
                <w:b/>
                <w:color w:val="000000"/>
                <w:sz w:val="22"/>
              </w:rPr>
            </w:pPr>
            <w:r w:rsidRPr="00B75FD7">
              <w:rPr>
                <w:rFonts w:eastAsia="Calibri"/>
                <w:b/>
                <w:color w:val="000000"/>
                <w:sz w:val="22"/>
              </w:rPr>
              <w:t>Назва проекту:</w:t>
            </w:r>
          </w:p>
        </w:tc>
        <w:tc>
          <w:tcPr>
            <w:tcW w:w="7200" w:type="dxa"/>
            <w:gridSpan w:val="7"/>
            <w:tcBorders>
              <w:top w:val="single" w:sz="6" w:space="0" w:color="auto"/>
              <w:left w:val="single" w:sz="6" w:space="0" w:color="auto"/>
              <w:bottom w:val="single" w:sz="6" w:space="0" w:color="auto"/>
              <w:right w:val="single" w:sz="6" w:space="0" w:color="auto"/>
            </w:tcBorders>
          </w:tcPr>
          <w:p w:rsidR="00E56296" w:rsidRPr="00B75FD7" w:rsidRDefault="00E56296" w:rsidP="00C533DF">
            <w:pPr>
              <w:autoSpaceDE w:val="0"/>
              <w:autoSpaceDN w:val="0"/>
              <w:adjustRightInd w:val="0"/>
              <w:rPr>
                <w:rFonts w:eastAsia="Calibri"/>
                <w:color w:val="000000"/>
                <w:sz w:val="22"/>
              </w:rPr>
            </w:pPr>
            <w:proofErr w:type="spellStart"/>
            <w:r w:rsidRPr="00B75FD7">
              <w:rPr>
                <w:rFonts w:eastAsia="Calibri"/>
                <w:color w:val="000000"/>
                <w:sz w:val="22"/>
              </w:rPr>
              <w:t>Капитальний</w:t>
            </w:r>
            <w:proofErr w:type="spellEnd"/>
            <w:r w:rsidRPr="00B75FD7">
              <w:rPr>
                <w:rFonts w:eastAsia="Calibri"/>
                <w:color w:val="000000"/>
                <w:sz w:val="22"/>
              </w:rPr>
              <w:t xml:space="preserve"> ремонт основної будівлі, будівлі господарчого блоку та бомбосховища Ясел - садка № 26 </w:t>
            </w:r>
            <w:proofErr w:type="spellStart"/>
            <w:r w:rsidRPr="00B75FD7">
              <w:rPr>
                <w:rFonts w:eastAsia="Calibri"/>
                <w:color w:val="000000"/>
                <w:sz w:val="22"/>
              </w:rPr>
              <w:t>м.Сєвєродонецька</w:t>
            </w:r>
            <w:proofErr w:type="spellEnd"/>
            <w:r w:rsidRPr="00B75FD7">
              <w:rPr>
                <w:rFonts w:eastAsia="Calibri"/>
                <w:color w:val="000000"/>
                <w:sz w:val="22"/>
              </w:rPr>
              <w:t xml:space="preserve"> Луганської обл. вул. </w:t>
            </w:r>
            <w:proofErr w:type="spellStart"/>
            <w:r w:rsidRPr="00B75FD7">
              <w:rPr>
                <w:rFonts w:eastAsia="Calibri"/>
                <w:color w:val="000000"/>
                <w:sz w:val="22"/>
              </w:rPr>
              <w:t>Смєтаніна</w:t>
            </w:r>
            <w:proofErr w:type="spellEnd"/>
            <w:r w:rsidRPr="00B75FD7">
              <w:rPr>
                <w:rFonts w:eastAsia="Calibri"/>
                <w:color w:val="000000"/>
                <w:sz w:val="22"/>
              </w:rPr>
              <w:t>, 16</w:t>
            </w:r>
          </w:p>
        </w:tc>
      </w:tr>
      <w:tr w:rsidR="00E56296" w:rsidRPr="00B75FD7" w:rsidTr="00C533DF">
        <w:trPr>
          <w:trHeight w:val="581"/>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56296" w:rsidRPr="00B75FD7" w:rsidRDefault="00E56296" w:rsidP="00C533DF">
            <w:pPr>
              <w:autoSpaceDE w:val="0"/>
              <w:autoSpaceDN w:val="0"/>
              <w:adjustRightInd w:val="0"/>
              <w:rPr>
                <w:rFonts w:eastAsia="Calibri"/>
                <w:b/>
                <w:color w:val="000000"/>
                <w:sz w:val="22"/>
              </w:rPr>
            </w:pPr>
            <w:r w:rsidRPr="00B75FD7">
              <w:rPr>
                <w:rFonts w:eastAsia="Calibri"/>
                <w:b/>
                <w:color w:val="000000"/>
                <w:sz w:val="22"/>
              </w:rPr>
              <w:t>Ціль проекту</w:t>
            </w:r>
          </w:p>
        </w:tc>
        <w:tc>
          <w:tcPr>
            <w:tcW w:w="7200" w:type="dxa"/>
            <w:gridSpan w:val="7"/>
            <w:tcBorders>
              <w:top w:val="single" w:sz="6" w:space="0" w:color="auto"/>
              <w:left w:val="single" w:sz="6" w:space="0" w:color="auto"/>
              <w:bottom w:val="single" w:sz="6" w:space="0" w:color="auto"/>
              <w:right w:val="single" w:sz="6" w:space="0" w:color="auto"/>
            </w:tcBorders>
          </w:tcPr>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 xml:space="preserve">Відновити та покращити роботу Ясла-садка № 26 м. Сєвєродонецька Луганської обл. вул. </w:t>
            </w:r>
            <w:proofErr w:type="spellStart"/>
            <w:r w:rsidRPr="00B75FD7">
              <w:rPr>
                <w:rFonts w:eastAsia="Calibri"/>
                <w:color w:val="000000"/>
                <w:sz w:val="22"/>
              </w:rPr>
              <w:t>Смєтаніна</w:t>
            </w:r>
            <w:proofErr w:type="spellEnd"/>
            <w:r w:rsidRPr="00B75FD7">
              <w:rPr>
                <w:rFonts w:eastAsia="Calibri"/>
                <w:color w:val="000000"/>
                <w:sz w:val="22"/>
              </w:rPr>
              <w:t>, 16 для надання освітніх послуг</w:t>
            </w:r>
            <w:r w:rsidR="003230D8" w:rsidRPr="00B75FD7">
              <w:rPr>
                <w:rFonts w:eastAsia="Calibri"/>
                <w:color w:val="000000"/>
                <w:sz w:val="22"/>
              </w:rPr>
              <w:t>.</w:t>
            </w:r>
            <w:r w:rsidRPr="00B75FD7">
              <w:rPr>
                <w:rFonts w:eastAsia="Calibri"/>
                <w:color w:val="000000"/>
                <w:sz w:val="22"/>
              </w:rPr>
              <w:t>, та задоволення потреб мешканців Сєвєродонецької міської територіальної громади у необхідних послугах.</w:t>
            </w:r>
          </w:p>
        </w:tc>
      </w:tr>
      <w:tr w:rsidR="00E56296" w:rsidRPr="00B75FD7" w:rsidTr="00C533DF">
        <w:trPr>
          <w:trHeight w:val="290"/>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56296" w:rsidRPr="00B75FD7" w:rsidRDefault="00E56296" w:rsidP="00C533DF">
            <w:pPr>
              <w:autoSpaceDE w:val="0"/>
              <w:autoSpaceDN w:val="0"/>
              <w:adjustRightInd w:val="0"/>
              <w:rPr>
                <w:rFonts w:eastAsia="Calibri"/>
                <w:b/>
                <w:color w:val="000000"/>
                <w:sz w:val="22"/>
              </w:rPr>
            </w:pPr>
            <w:r w:rsidRPr="00B75FD7">
              <w:rPr>
                <w:rFonts w:eastAsia="Calibri"/>
                <w:b/>
                <w:color w:val="000000"/>
                <w:sz w:val="22"/>
              </w:rPr>
              <w:t>Територія, на яку матиме вплив реалізація проекту</w:t>
            </w:r>
          </w:p>
        </w:tc>
        <w:tc>
          <w:tcPr>
            <w:tcW w:w="7200" w:type="dxa"/>
            <w:gridSpan w:val="7"/>
            <w:tcBorders>
              <w:top w:val="single" w:sz="6" w:space="0" w:color="auto"/>
              <w:left w:val="single" w:sz="6" w:space="0" w:color="auto"/>
              <w:bottom w:val="single" w:sz="6" w:space="0" w:color="auto"/>
              <w:right w:val="single" w:sz="6" w:space="0" w:color="auto"/>
            </w:tcBorders>
          </w:tcPr>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Сєвєродонецька міська територіальна громада</w:t>
            </w:r>
          </w:p>
        </w:tc>
      </w:tr>
      <w:tr w:rsidR="00E56296" w:rsidRPr="00B75FD7" w:rsidTr="00C533DF">
        <w:trPr>
          <w:trHeight w:val="508"/>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56296" w:rsidRPr="00B75FD7" w:rsidRDefault="00E56296" w:rsidP="00C533DF">
            <w:pPr>
              <w:autoSpaceDE w:val="0"/>
              <w:autoSpaceDN w:val="0"/>
              <w:adjustRightInd w:val="0"/>
              <w:rPr>
                <w:rFonts w:eastAsia="Calibri"/>
                <w:b/>
                <w:color w:val="000000"/>
                <w:sz w:val="22"/>
              </w:rPr>
            </w:pPr>
            <w:r w:rsidRPr="00B75FD7">
              <w:rPr>
                <w:rFonts w:eastAsia="Calibri"/>
                <w:b/>
                <w:color w:val="000000"/>
                <w:sz w:val="22"/>
              </w:rPr>
              <w:t>Чисельність населення, на яке матиме вплив реалізація проекту</w:t>
            </w:r>
          </w:p>
        </w:tc>
        <w:tc>
          <w:tcPr>
            <w:tcW w:w="7200" w:type="dxa"/>
            <w:gridSpan w:val="7"/>
            <w:tcBorders>
              <w:top w:val="single" w:sz="6" w:space="0" w:color="auto"/>
              <w:left w:val="single" w:sz="6" w:space="0" w:color="auto"/>
              <w:bottom w:val="single" w:sz="6" w:space="0" w:color="auto"/>
              <w:right w:val="single" w:sz="6" w:space="0" w:color="auto"/>
            </w:tcBorders>
          </w:tcPr>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70000 осіб</w:t>
            </w:r>
          </w:p>
        </w:tc>
      </w:tr>
      <w:tr w:rsidR="00E56296" w:rsidRPr="00B75FD7" w:rsidTr="00C533DF">
        <w:trPr>
          <w:trHeight w:val="5925"/>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56296" w:rsidRPr="00B75FD7" w:rsidRDefault="00E56296" w:rsidP="00C533DF">
            <w:pPr>
              <w:autoSpaceDE w:val="0"/>
              <w:autoSpaceDN w:val="0"/>
              <w:adjustRightInd w:val="0"/>
              <w:rPr>
                <w:rFonts w:eastAsia="Calibri"/>
                <w:b/>
                <w:color w:val="000000"/>
                <w:sz w:val="22"/>
              </w:rPr>
            </w:pPr>
            <w:r w:rsidRPr="00B75FD7">
              <w:rPr>
                <w:rFonts w:eastAsia="Calibri"/>
                <w:b/>
                <w:color w:val="000000"/>
                <w:sz w:val="22"/>
              </w:rPr>
              <w:t>Опис проблеми, на вирішення якої спрямований проект</w:t>
            </w:r>
          </w:p>
        </w:tc>
        <w:tc>
          <w:tcPr>
            <w:tcW w:w="7200" w:type="dxa"/>
            <w:gridSpan w:val="7"/>
            <w:tcBorders>
              <w:top w:val="single" w:sz="6" w:space="0" w:color="auto"/>
              <w:left w:val="single" w:sz="6" w:space="0" w:color="auto"/>
              <w:bottom w:val="single" w:sz="6" w:space="0" w:color="auto"/>
              <w:right w:val="single" w:sz="6" w:space="0" w:color="auto"/>
            </w:tcBorders>
          </w:tcPr>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 xml:space="preserve">Під час бойових дій в місті </w:t>
            </w:r>
            <w:proofErr w:type="spellStart"/>
            <w:r w:rsidRPr="00B75FD7">
              <w:rPr>
                <w:rFonts w:eastAsia="Calibri"/>
                <w:color w:val="000000"/>
                <w:sz w:val="22"/>
              </w:rPr>
              <w:t>Сєвєродонецк</w:t>
            </w:r>
            <w:proofErr w:type="spellEnd"/>
            <w:r w:rsidRPr="00B75FD7">
              <w:rPr>
                <w:rFonts w:eastAsia="Calibri"/>
                <w:color w:val="000000"/>
                <w:sz w:val="22"/>
              </w:rPr>
              <w:t xml:space="preserve"> було пошкоджено будівлі Ясла-садка № 26, за </w:t>
            </w:r>
            <w:proofErr w:type="spellStart"/>
            <w:r w:rsidRPr="00B75FD7">
              <w:rPr>
                <w:rFonts w:eastAsia="Calibri"/>
                <w:color w:val="000000"/>
                <w:sz w:val="22"/>
              </w:rPr>
              <w:t>адресою</w:t>
            </w:r>
            <w:proofErr w:type="spellEnd"/>
            <w:r w:rsidRPr="00B75FD7">
              <w:rPr>
                <w:rFonts w:eastAsia="Calibri"/>
                <w:color w:val="000000"/>
                <w:sz w:val="22"/>
              </w:rPr>
              <w:t xml:space="preserve"> вул. </w:t>
            </w:r>
            <w:proofErr w:type="spellStart"/>
            <w:r w:rsidRPr="00B75FD7">
              <w:rPr>
                <w:rFonts w:eastAsia="Calibri"/>
                <w:color w:val="000000"/>
                <w:sz w:val="22"/>
              </w:rPr>
              <w:t>Сметаніна</w:t>
            </w:r>
            <w:proofErr w:type="spellEnd"/>
            <w:r w:rsidRPr="00B75FD7">
              <w:rPr>
                <w:rFonts w:eastAsia="Calibri"/>
                <w:color w:val="000000"/>
                <w:sz w:val="22"/>
              </w:rPr>
              <w:t xml:space="preserve">, 16, м. Сєвєродонецьк Луганської області. У будівлях закладу пошкоджено дах, вікна, двері, посічені осколками стіни. Пошкоджена система </w:t>
            </w:r>
            <w:proofErr w:type="spellStart"/>
            <w:r w:rsidRPr="00B75FD7">
              <w:rPr>
                <w:rFonts w:eastAsia="Calibri"/>
                <w:color w:val="000000"/>
                <w:sz w:val="22"/>
              </w:rPr>
              <w:t>електро</w:t>
            </w:r>
            <w:proofErr w:type="spellEnd"/>
            <w:r w:rsidRPr="00B75FD7">
              <w:rPr>
                <w:rFonts w:eastAsia="Calibri"/>
                <w:color w:val="000000"/>
                <w:sz w:val="22"/>
              </w:rPr>
              <w:t xml:space="preserve">-, тепло-, водопостачання та водовідведення.   </w:t>
            </w:r>
            <w:proofErr w:type="spellStart"/>
            <w:r w:rsidRPr="00B75FD7">
              <w:rPr>
                <w:rFonts w:eastAsia="Calibri"/>
                <w:color w:val="000000"/>
                <w:sz w:val="22"/>
              </w:rPr>
              <w:t>Проєкт</w:t>
            </w:r>
            <w:proofErr w:type="spellEnd"/>
            <w:r w:rsidRPr="00B75FD7">
              <w:rPr>
                <w:rFonts w:eastAsia="Calibri"/>
                <w:color w:val="000000"/>
                <w:sz w:val="22"/>
              </w:rPr>
              <w:t xml:space="preserve"> капітального ремонту закладу створено для відновлення повноцінної роботи Ясла-садочка, для формування комфортних умов перебування здобувачів освіти у закладі та надання якісних, сучасних освітніх послуг.</w:t>
            </w:r>
          </w:p>
          <w:p w:rsidR="00E56296" w:rsidRPr="00B75FD7" w:rsidRDefault="00E56296" w:rsidP="00C533DF">
            <w:pPr>
              <w:autoSpaceDE w:val="0"/>
              <w:autoSpaceDN w:val="0"/>
              <w:adjustRightInd w:val="0"/>
              <w:rPr>
                <w:sz w:val="22"/>
              </w:rPr>
            </w:pPr>
            <w:proofErr w:type="spellStart"/>
            <w:r w:rsidRPr="00B75FD7">
              <w:rPr>
                <w:rFonts w:eastAsia="Calibri"/>
                <w:color w:val="000000"/>
                <w:sz w:val="22"/>
              </w:rPr>
              <w:t>Проєктом</w:t>
            </w:r>
            <w:proofErr w:type="spellEnd"/>
            <w:r w:rsidRPr="00B75FD7">
              <w:rPr>
                <w:rFonts w:eastAsia="Calibri"/>
                <w:color w:val="000000"/>
                <w:sz w:val="22"/>
              </w:rPr>
              <w:t xml:space="preserve"> передбачено: капітальний ремонт основної будівлі - заміна покрівлі, ремонт групових приміщень, кабінетів спеціалістів, музичної зали,  санвузлів, сходових прольотів, пральні, харчоблока, господарчого блоку; заміна даху, віконних та дверних блоків; утеплення та оздоблення зовнішніх стін, енергоощадним теплоізоляційним матеріалом;  установлення тепловідбивної теплоізоляції між приладами опалення і зовнішньою стіною; відновлення мереж </w:t>
            </w:r>
            <w:proofErr w:type="spellStart"/>
            <w:r w:rsidRPr="00B75FD7">
              <w:rPr>
                <w:rFonts w:eastAsia="Calibri"/>
                <w:color w:val="000000"/>
                <w:sz w:val="22"/>
              </w:rPr>
              <w:t>електро</w:t>
            </w:r>
            <w:proofErr w:type="spellEnd"/>
            <w:r w:rsidRPr="00B75FD7">
              <w:rPr>
                <w:rFonts w:eastAsia="Calibri"/>
                <w:color w:val="000000"/>
                <w:sz w:val="22"/>
              </w:rPr>
              <w:t>-, тепло-, водопостачання та водовідведення.  Для захисту інтересів маломобільних верств населення з метою </w:t>
            </w:r>
            <w:r w:rsidRPr="00B75FD7">
              <w:rPr>
                <w:sz w:val="22"/>
              </w:rPr>
              <w:t>обслуговування та безперешкодного доступу до приміщень при головному вході до закладу буде встановлено пандус.</w:t>
            </w:r>
          </w:p>
          <w:p w:rsidR="00E56296" w:rsidRPr="00B75FD7" w:rsidRDefault="00E56296" w:rsidP="00C533DF">
            <w:pPr>
              <w:autoSpaceDE w:val="0"/>
              <w:autoSpaceDN w:val="0"/>
              <w:adjustRightInd w:val="0"/>
              <w:rPr>
                <w:sz w:val="22"/>
              </w:rPr>
            </w:pPr>
            <w:r w:rsidRPr="00B75FD7">
              <w:rPr>
                <w:rFonts w:eastAsia="Calibri"/>
                <w:color w:val="000000"/>
                <w:sz w:val="22"/>
              </w:rPr>
              <w:t>У  ЗДО є бомбосховище, яке раніше не використовувалося для </w:t>
            </w:r>
            <w:r w:rsidRPr="00B75FD7">
              <w:rPr>
                <w:sz w:val="22"/>
              </w:rPr>
              <w:t>перебування в ньому дітей, а використовувалося як підвал. Тому це приміщення потребує певної підготовки, проведення </w:t>
            </w:r>
          </w:p>
          <w:p w:rsidR="00E56296" w:rsidRPr="00B75FD7" w:rsidRDefault="00E56296" w:rsidP="00C533DF">
            <w:pPr>
              <w:rPr>
                <w:rFonts w:eastAsia="Calibri"/>
                <w:sz w:val="22"/>
              </w:rPr>
            </w:pPr>
            <w:r w:rsidRPr="00B75FD7">
              <w:rPr>
                <w:rFonts w:eastAsia="Calibri"/>
                <w:color w:val="000000"/>
                <w:sz w:val="22"/>
              </w:rPr>
              <w:t>ремонтних робіт та перепланування відповідно до вимог ДСНС.</w:t>
            </w:r>
            <w:r w:rsidRPr="00B75FD7">
              <w:rPr>
                <w:rFonts w:eastAsia="Calibri"/>
                <w:sz w:val="22"/>
              </w:rPr>
              <w:t xml:space="preserve"> </w:t>
            </w:r>
          </w:p>
        </w:tc>
      </w:tr>
      <w:tr w:rsidR="00E56296" w:rsidRPr="00B75FD7" w:rsidTr="00C533DF">
        <w:trPr>
          <w:trHeight w:val="269"/>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56296" w:rsidRPr="00B75FD7" w:rsidRDefault="00E56296" w:rsidP="00C533DF">
            <w:pPr>
              <w:autoSpaceDE w:val="0"/>
              <w:autoSpaceDN w:val="0"/>
              <w:adjustRightInd w:val="0"/>
              <w:rPr>
                <w:rFonts w:eastAsia="Calibri"/>
                <w:b/>
                <w:color w:val="000000"/>
                <w:sz w:val="22"/>
              </w:rPr>
            </w:pPr>
            <w:r w:rsidRPr="00B75FD7">
              <w:rPr>
                <w:rFonts w:eastAsia="Calibri"/>
                <w:b/>
                <w:color w:val="000000"/>
                <w:sz w:val="22"/>
              </w:rPr>
              <w:t>Очікувані якісні результати від реалізації проекту</w:t>
            </w:r>
          </w:p>
        </w:tc>
        <w:tc>
          <w:tcPr>
            <w:tcW w:w="7200" w:type="dxa"/>
            <w:gridSpan w:val="7"/>
            <w:tcBorders>
              <w:top w:val="single" w:sz="6" w:space="0" w:color="auto"/>
              <w:left w:val="single" w:sz="6" w:space="0" w:color="auto"/>
              <w:bottom w:val="single" w:sz="6" w:space="0" w:color="auto"/>
              <w:right w:val="single" w:sz="6" w:space="0" w:color="auto"/>
            </w:tcBorders>
          </w:tcPr>
          <w:p w:rsidR="00E56296" w:rsidRPr="00B75FD7" w:rsidRDefault="00E56296" w:rsidP="000303D7">
            <w:pPr>
              <w:numPr>
                <w:ilvl w:val="0"/>
                <w:numId w:val="88"/>
              </w:numPr>
              <w:autoSpaceDE w:val="0"/>
              <w:autoSpaceDN w:val="0"/>
              <w:adjustRightInd w:val="0"/>
              <w:ind w:left="399" w:hanging="284"/>
              <w:contextualSpacing/>
              <w:jc w:val="left"/>
              <w:rPr>
                <w:rFonts w:eastAsia="Calibri"/>
                <w:color w:val="000000"/>
                <w:sz w:val="22"/>
              </w:rPr>
            </w:pPr>
            <w:r w:rsidRPr="00B75FD7">
              <w:rPr>
                <w:rFonts w:eastAsia="Calibri"/>
                <w:color w:val="000000"/>
                <w:sz w:val="22"/>
              </w:rPr>
              <w:t>Забезпечення населення можливостями для реалізації його конституційних прав, пов’язаних з освітою</w:t>
            </w:r>
            <w:r w:rsidR="00D24FEC" w:rsidRPr="00B75FD7">
              <w:rPr>
                <w:rFonts w:eastAsia="Calibri"/>
                <w:color w:val="000000"/>
                <w:sz w:val="22"/>
              </w:rPr>
              <w:t>.</w:t>
            </w:r>
          </w:p>
          <w:p w:rsidR="00E56296" w:rsidRPr="00B75FD7" w:rsidRDefault="00E56296" w:rsidP="000303D7">
            <w:pPr>
              <w:numPr>
                <w:ilvl w:val="0"/>
                <w:numId w:val="88"/>
              </w:numPr>
              <w:autoSpaceDE w:val="0"/>
              <w:autoSpaceDN w:val="0"/>
              <w:adjustRightInd w:val="0"/>
              <w:ind w:left="399" w:hanging="284"/>
              <w:contextualSpacing/>
              <w:jc w:val="left"/>
              <w:rPr>
                <w:rFonts w:eastAsia="Calibri"/>
                <w:color w:val="000000"/>
                <w:sz w:val="22"/>
              </w:rPr>
            </w:pPr>
            <w:r w:rsidRPr="00B75FD7">
              <w:rPr>
                <w:rFonts w:eastAsia="Calibri"/>
                <w:color w:val="000000"/>
                <w:sz w:val="22"/>
              </w:rPr>
              <w:t>Надання якісних освітніх послуг згідно з вимогами сьогодення</w:t>
            </w:r>
            <w:r w:rsidR="00D24FEC" w:rsidRPr="00B75FD7">
              <w:rPr>
                <w:rFonts w:eastAsia="Calibri"/>
                <w:color w:val="000000"/>
                <w:sz w:val="22"/>
              </w:rPr>
              <w:t>.</w:t>
            </w:r>
          </w:p>
          <w:p w:rsidR="00E56296" w:rsidRPr="00B75FD7" w:rsidRDefault="00E56296" w:rsidP="000303D7">
            <w:pPr>
              <w:numPr>
                <w:ilvl w:val="0"/>
                <w:numId w:val="88"/>
              </w:numPr>
              <w:autoSpaceDE w:val="0"/>
              <w:autoSpaceDN w:val="0"/>
              <w:adjustRightInd w:val="0"/>
              <w:ind w:left="399" w:hanging="284"/>
              <w:contextualSpacing/>
              <w:jc w:val="left"/>
              <w:rPr>
                <w:rFonts w:eastAsia="Calibri"/>
                <w:color w:val="000000"/>
                <w:sz w:val="22"/>
              </w:rPr>
            </w:pPr>
            <w:r w:rsidRPr="00B75FD7">
              <w:rPr>
                <w:rFonts w:eastAsia="Calibri"/>
                <w:color w:val="000000"/>
                <w:sz w:val="22"/>
              </w:rPr>
              <w:t>Створення робочих міст</w:t>
            </w:r>
            <w:r w:rsidR="00D24FEC" w:rsidRPr="00B75FD7">
              <w:rPr>
                <w:rFonts w:eastAsia="Calibri"/>
                <w:color w:val="000000"/>
                <w:sz w:val="22"/>
              </w:rPr>
              <w:t>.</w:t>
            </w:r>
          </w:p>
          <w:p w:rsidR="00E56296" w:rsidRPr="00B75FD7" w:rsidRDefault="00E56296" w:rsidP="000303D7">
            <w:pPr>
              <w:numPr>
                <w:ilvl w:val="0"/>
                <w:numId w:val="88"/>
              </w:numPr>
              <w:autoSpaceDE w:val="0"/>
              <w:autoSpaceDN w:val="0"/>
              <w:adjustRightInd w:val="0"/>
              <w:ind w:left="399" w:hanging="284"/>
              <w:contextualSpacing/>
              <w:jc w:val="left"/>
              <w:rPr>
                <w:rFonts w:eastAsia="Calibri"/>
                <w:color w:val="000000"/>
                <w:sz w:val="22"/>
              </w:rPr>
            </w:pPr>
            <w:r w:rsidRPr="00B75FD7">
              <w:rPr>
                <w:rFonts w:eastAsia="Calibri"/>
                <w:color w:val="000000"/>
                <w:sz w:val="22"/>
              </w:rPr>
              <w:t>Формування безпечного середовища для перебування вихованців та працівників</w:t>
            </w:r>
            <w:r w:rsidR="00D24FEC" w:rsidRPr="00B75FD7">
              <w:rPr>
                <w:rFonts w:eastAsia="Calibri"/>
                <w:color w:val="000000"/>
                <w:sz w:val="22"/>
              </w:rPr>
              <w:t>.</w:t>
            </w:r>
          </w:p>
          <w:p w:rsidR="00E56296" w:rsidRPr="00B75FD7" w:rsidRDefault="00E56296" w:rsidP="000303D7">
            <w:pPr>
              <w:numPr>
                <w:ilvl w:val="0"/>
                <w:numId w:val="88"/>
              </w:numPr>
              <w:autoSpaceDE w:val="0"/>
              <w:autoSpaceDN w:val="0"/>
              <w:adjustRightInd w:val="0"/>
              <w:ind w:left="399" w:hanging="284"/>
              <w:contextualSpacing/>
              <w:jc w:val="left"/>
              <w:rPr>
                <w:rFonts w:eastAsia="Calibri"/>
                <w:color w:val="000000"/>
                <w:sz w:val="22"/>
              </w:rPr>
            </w:pPr>
            <w:r w:rsidRPr="00B75FD7">
              <w:rPr>
                <w:rFonts w:eastAsia="Calibri"/>
                <w:color w:val="000000"/>
                <w:sz w:val="22"/>
              </w:rPr>
              <w:t>Зміна ставлення громади до необхідності впровадження енергоощадних технологій</w:t>
            </w:r>
            <w:r w:rsidR="00D24FEC" w:rsidRPr="00B75FD7">
              <w:rPr>
                <w:rFonts w:eastAsia="Calibri"/>
                <w:color w:val="000000"/>
                <w:sz w:val="22"/>
              </w:rPr>
              <w:t>.</w:t>
            </w:r>
          </w:p>
          <w:p w:rsidR="00E56296" w:rsidRPr="00B75FD7" w:rsidRDefault="00E56296" w:rsidP="000303D7">
            <w:pPr>
              <w:pStyle w:val="a7"/>
              <w:numPr>
                <w:ilvl w:val="0"/>
                <w:numId w:val="88"/>
              </w:numPr>
              <w:ind w:left="399" w:hanging="284"/>
              <w:jc w:val="left"/>
              <w:rPr>
                <w:rFonts w:eastAsia="Calibri"/>
                <w:sz w:val="22"/>
              </w:rPr>
            </w:pPr>
            <w:r w:rsidRPr="00B75FD7">
              <w:rPr>
                <w:rFonts w:eastAsia="Calibri"/>
                <w:color w:val="000000"/>
                <w:sz w:val="22"/>
              </w:rPr>
              <w:t>Стимул повернення ВПО до громади.</w:t>
            </w:r>
            <w:r w:rsidRPr="00B75FD7">
              <w:rPr>
                <w:rFonts w:eastAsia="Calibri"/>
                <w:sz w:val="22"/>
              </w:rPr>
              <w:t xml:space="preserve"> </w:t>
            </w:r>
          </w:p>
        </w:tc>
      </w:tr>
      <w:tr w:rsidR="00E56296" w:rsidRPr="00B75FD7" w:rsidTr="00D24FEC">
        <w:trPr>
          <w:trHeight w:val="581"/>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56296" w:rsidRPr="00B75FD7" w:rsidRDefault="00E56296" w:rsidP="00C533DF">
            <w:pPr>
              <w:autoSpaceDE w:val="0"/>
              <w:autoSpaceDN w:val="0"/>
              <w:adjustRightInd w:val="0"/>
              <w:rPr>
                <w:rFonts w:eastAsia="Calibri"/>
                <w:b/>
                <w:color w:val="000000"/>
                <w:sz w:val="22"/>
              </w:rPr>
            </w:pPr>
            <w:r w:rsidRPr="00B75FD7">
              <w:rPr>
                <w:rFonts w:eastAsia="Calibri"/>
                <w:b/>
                <w:color w:val="000000"/>
                <w:sz w:val="22"/>
              </w:rPr>
              <w:t>Очікувані кількісні результати від реалізації проекту (індикатори)</w:t>
            </w:r>
          </w:p>
        </w:tc>
        <w:tc>
          <w:tcPr>
            <w:tcW w:w="4536" w:type="dxa"/>
            <w:gridSpan w:val="4"/>
            <w:tcBorders>
              <w:top w:val="single" w:sz="6" w:space="0" w:color="auto"/>
              <w:left w:val="single" w:sz="6" w:space="0" w:color="auto"/>
              <w:bottom w:val="single" w:sz="6" w:space="0" w:color="auto"/>
              <w:right w:val="single" w:sz="6" w:space="0" w:color="auto"/>
            </w:tcBorders>
          </w:tcPr>
          <w:p w:rsidR="00E56296" w:rsidRPr="00B75FD7" w:rsidRDefault="00E56296" w:rsidP="00C533DF">
            <w:pPr>
              <w:autoSpaceDE w:val="0"/>
              <w:autoSpaceDN w:val="0"/>
              <w:adjustRightInd w:val="0"/>
              <w:rPr>
                <w:rFonts w:eastAsia="Calibri"/>
                <w:b/>
                <w:color w:val="000000"/>
                <w:sz w:val="22"/>
              </w:rPr>
            </w:pPr>
            <w:r w:rsidRPr="00B75FD7">
              <w:rPr>
                <w:rFonts w:eastAsia="Calibri"/>
                <w:b/>
                <w:color w:val="000000"/>
                <w:sz w:val="22"/>
              </w:rPr>
              <w:t>Найменування показника</w:t>
            </w:r>
          </w:p>
        </w:tc>
        <w:tc>
          <w:tcPr>
            <w:tcW w:w="1583" w:type="dxa"/>
            <w:tcBorders>
              <w:top w:val="single" w:sz="6" w:space="0" w:color="auto"/>
              <w:left w:val="single" w:sz="6" w:space="0" w:color="auto"/>
              <w:bottom w:val="single" w:sz="6" w:space="0" w:color="auto"/>
              <w:right w:val="single" w:sz="6" w:space="0" w:color="auto"/>
            </w:tcBorders>
          </w:tcPr>
          <w:p w:rsidR="00E56296" w:rsidRPr="00B75FD7" w:rsidRDefault="00E56296" w:rsidP="00C533DF">
            <w:pPr>
              <w:autoSpaceDE w:val="0"/>
              <w:autoSpaceDN w:val="0"/>
              <w:adjustRightInd w:val="0"/>
              <w:rPr>
                <w:rFonts w:eastAsia="Calibri"/>
                <w:b/>
                <w:color w:val="000000"/>
                <w:sz w:val="22"/>
              </w:rPr>
            </w:pPr>
            <w:r w:rsidRPr="00B75FD7">
              <w:rPr>
                <w:rFonts w:eastAsia="Calibri"/>
                <w:b/>
                <w:color w:val="000000"/>
                <w:sz w:val="22"/>
              </w:rPr>
              <w:t>Одиниця вимірювання</w:t>
            </w:r>
          </w:p>
        </w:tc>
        <w:tc>
          <w:tcPr>
            <w:tcW w:w="1081" w:type="dxa"/>
            <w:gridSpan w:val="2"/>
            <w:tcBorders>
              <w:top w:val="single" w:sz="6" w:space="0" w:color="auto"/>
              <w:left w:val="single" w:sz="6" w:space="0" w:color="auto"/>
              <w:bottom w:val="single" w:sz="6" w:space="0" w:color="auto"/>
              <w:right w:val="single" w:sz="6" w:space="0" w:color="auto"/>
            </w:tcBorders>
          </w:tcPr>
          <w:p w:rsidR="00E56296" w:rsidRPr="00B75FD7" w:rsidRDefault="00E56296" w:rsidP="00C533DF">
            <w:pPr>
              <w:autoSpaceDE w:val="0"/>
              <w:autoSpaceDN w:val="0"/>
              <w:adjustRightInd w:val="0"/>
              <w:rPr>
                <w:rFonts w:eastAsia="Calibri"/>
                <w:b/>
                <w:color w:val="000000"/>
                <w:sz w:val="22"/>
              </w:rPr>
            </w:pPr>
            <w:r w:rsidRPr="00B75FD7">
              <w:rPr>
                <w:rFonts w:eastAsia="Calibri"/>
                <w:b/>
                <w:color w:val="000000"/>
                <w:sz w:val="22"/>
              </w:rPr>
              <w:t>Прогнозне (цільове) значення</w:t>
            </w:r>
          </w:p>
        </w:tc>
      </w:tr>
      <w:tr w:rsidR="00E56296" w:rsidRPr="00B75FD7" w:rsidTr="00D24FEC">
        <w:trPr>
          <w:trHeight w:val="581"/>
        </w:trPr>
        <w:tc>
          <w:tcPr>
            <w:tcW w:w="2865" w:type="dxa"/>
            <w:vMerge w:val="restart"/>
            <w:tcBorders>
              <w:top w:val="single" w:sz="6" w:space="0" w:color="auto"/>
              <w:left w:val="single" w:sz="6" w:space="0" w:color="auto"/>
              <w:right w:val="single" w:sz="6" w:space="0" w:color="auto"/>
            </w:tcBorders>
            <w:shd w:val="clear" w:color="00FFFF" w:fill="C6D9F1" w:themeFill="text2" w:themeFillTint="33"/>
          </w:tcPr>
          <w:p w:rsidR="00E56296" w:rsidRPr="00B75FD7" w:rsidRDefault="00E56296" w:rsidP="00C533DF">
            <w:pPr>
              <w:autoSpaceDE w:val="0"/>
              <w:autoSpaceDN w:val="0"/>
              <w:adjustRightInd w:val="0"/>
              <w:rPr>
                <w:rFonts w:eastAsia="Calibri"/>
                <w:b/>
                <w:color w:val="000000"/>
                <w:sz w:val="22"/>
              </w:rPr>
            </w:pPr>
          </w:p>
        </w:tc>
        <w:tc>
          <w:tcPr>
            <w:tcW w:w="4536" w:type="dxa"/>
            <w:gridSpan w:val="4"/>
            <w:tcBorders>
              <w:top w:val="single" w:sz="6" w:space="0" w:color="auto"/>
              <w:left w:val="single" w:sz="6" w:space="0" w:color="auto"/>
              <w:bottom w:val="single" w:sz="4" w:space="0" w:color="auto"/>
              <w:right w:val="single" w:sz="6" w:space="0" w:color="auto"/>
            </w:tcBorders>
          </w:tcPr>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Якісний рівень доступу дітей до дошкільної освіти .</w:t>
            </w:r>
          </w:p>
        </w:tc>
        <w:tc>
          <w:tcPr>
            <w:tcW w:w="1583" w:type="dxa"/>
            <w:tcBorders>
              <w:top w:val="single" w:sz="6" w:space="0" w:color="auto"/>
              <w:left w:val="single" w:sz="6" w:space="0" w:color="auto"/>
              <w:bottom w:val="single" w:sz="4" w:space="0" w:color="auto"/>
              <w:right w:val="single" w:sz="6" w:space="0" w:color="auto"/>
            </w:tcBorders>
          </w:tcPr>
          <w:p w:rsidR="00E56296" w:rsidRPr="00B75FD7" w:rsidRDefault="00E56296" w:rsidP="00C533DF">
            <w:pPr>
              <w:autoSpaceDE w:val="0"/>
              <w:autoSpaceDN w:val="0"/>
              <w:adjustRightInd w:val="0"/>
              <w:jc w:val="center"/>
              <w:rPr>
                <w:rFonts w:eastAsia="Calibri"/>
                <w:color w:val="000000"/>
                <w:sz w:val="22"/>
              </w:rPr>
            </w:pPr>
            <w:r w:rsidRPr="00B75FD7">
              <w:rPr>
                <w:rFonts w:eastAsia="Calibri"/>
                <w:sz w:val="22"/>
              </w:rPr>
              <w:t>осіб</w:t>
            </w:r>
          </w:p>
        </w:tc>
        <w:tc>
          <w:tcPr>
            <w:tcW w:w="1081" w:type="dxa"/>
            <w:gridSpan w:val="2"/>
            <w:tcBorders>
              <w:top w:val="single" w:sz="6" w:space="0" w:color="auto"/>
              <w:left w:val="single" w:sz="6" w:space="0" w:color="auto"/>
              <w:bottom w:val="single" w:sz="4" w:space="0" w:color="auto"/>
              <w:right w:val="single" w:sz="6" w:space="0" w:color="auto"/>
            </w:tcBorders>
          </w:tcPr>
          <w:p w:rsidR="00E56296" w:rsidRPr="00B75FD7" w:rsidRDefault="00E56296" w:rsidP="00C533DF">
            <w:pPr>
              <w:autoSpaceDE w:val="0"/>
              <w:autoSpaceDN w:val="0"/>
              <w:adjustRightInd w:val="0"/>
              <w:jc w:val="center"/>
              <w:rPr>
                <w:rFonts w:eastAsia="Calibri"/>
                <w:color w:val="000000"/>
                <w:sz w:val="22"/>
              </w:rPr>
            </w:pPr>
            <w:r w:rsidRPr="00B75FD7">
              <w:rPr>
                <w:rFonts w:eastAsia="Calibri"/>
                <w:sz w:val="22"/>
              </w:rPr>
              <w:t>90</w:t>
            </w:r>
          </w:p>
        </w:tc>
      </w:tr>
      <w:tr w:rsidR="00E56296" w:rsidRPr="00B75FD7" w:rsidTr="00D24FEC">
        <w:trPr>
          <w:trHeight w:val="322"/>
        </w:trPr>
        <w:tc>
          <w:tcPr>
            <w:tcW w:w="2865" w:type="dxa"/>
            <w:vMerge/>
            <w:tcBorders>
              <w:left w:val="single" w:sz="6" w:space="0" w:color="auto"/>
              <w:right w:val="single" w:sz="6" w:space="0" w:color="auto"/>
            </w:tcBorders>
            <w:shd w:val="clear" w:color="00FFFF" w:fill="C6D9F1" w:themeFill="text2" w:themeFillTint="33"/>
          </w:tcPr>
          <w:p w:rsidR="00E56296" w:rsidRPr="00B75FD7" w:rsidRDefault="00E56296" w:rsidP="00C533DF">
            <w:pPr>
              <w:autoSpaceDE w:val="0"/>
              <w:autoSpaceDN w:val="0"/>
              <w:adjustRightInd w:val="0"/>
              <w:rPr>
                <w:rFonts w:eastAsia="Calibri"/>
                <w:b/>
                <w:color w:val="000000"/>
                <w:sz w:val="22"/>
              </w:rPr>
            </w:pPr>
          </w:p>
        </w:tc>
        <w:tc>
          <w:tcPr>
            <w:tcW w:w="4536" w:type="dxa"/>
            <w:gridSpan w:val="4"/>
            <w:tcBorders>
              <w:top w:val="single" w:sz="4" w:space="0" w:color="auto"/>
              <w:left w:val="single" w:sz="6" w:space="0" w:color="auto"/>
              <w:bottom w:val="single" w:sz="4" w:space="0" w:color="auto"/>
              <w:right w:val="single" w:sz="6" w:space="0" w:color="auto"/>
            </w:tcBorders>
          </w:tcPr>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Кількість робочих місць</w:t>
            </w:r>
          </w:p>
        </w:tc>
        <w:tc>
          <w:tcPr>
            <w:tcW w:w="1583" w:type="dxa"/>
            <w:tcBorders>
              <w:top w:val="single" w:sz="4" w:space="0" w:color="auto"/>
              <w:left w:val="single" w:sz="6" w:space="0" w:color="auto"/>
              <w:bottom w:val="single" w:sz="4" w:space="0" w:color="auto"/>
              <w:right w:val="single" w:sz="6" w:space="0" w:color="auto"/>
            </w:tcBorders>
          </w:tcPr>
          <w:p w:rsidR="00E56296" w:rsidRPr="00B75FD7" w:rsidRDefault="00E56296" w:rsidP="00C533DF">
            <w:pPr>
              <w:rPr>
                <w:rFonts w:eastAsia="Calibri"/>
                <w:sz w:val="22"/>
              </w:rPr>
            </w:pPr>
            <w:r w:rsidRPr="00B75FD7">
              <w:rPr>
                <w:rFonts w:eastAsia="Calibri"/>
                <w:sz w:val="22"/>
              </w:rPr>
              <w:t>одиниць</w:t>
            </w:r>
          </w:p>
        </w:tc>
        <w:tc>
          <w:tcPr>
            <w:tcW w:w="1081" w:type="dxa"/>
            <w:gridSpan w:val="2"/>
            <w:tcBorders>
              <w:top w:val="single" w:sz="4" w:space="0" w:color="auto"/>
              <w:left w:val="single" w:sz="6" w:space="0" w:color="auto"/>
              <w:bottom w:val="single" w:sz="4" w:space="0" w:color="auto"/>
              <w:right w:val="single" w:sz="6" w:space="0" w:color="auto"/>
            </w:tcBorders>
          </w:tcPr>
          <w:p w:rsidR="00E56296" w:rsidRPr="00B75FD7" w:rsidRDefault="00E56296" w:rsidP="00C533DF">
            <w:pPr>
              <w:autoSpaceDE w:val="0"/>
              <w:autoSpaceDN w:val="0"/>
              <w:adjustRightInd w:val="0"/>
              <w:jc w:val="center"/>
              <w:rPr>
                <w:rFonts w:eastAsia="Calibri"/>
                <w:color w:val="000000"/>
                <w:sz w:val="22"/>
              </w:rPr>
            </w:pPr>
            <w:r w:rsidRPr="00B75FD7">
              <w:rPr>
                <w:rFonts w:eastAsia="Calibri"/>
                <w:sz w:val="22"/>
              </w:rPr>
              <w:t>29,12</w:t>
            </w:r>
          </w:p>
        </w:tc>
      </w:tr>
      <w:tr w:rsidR="00E56296" w:rsidRPr="00B75FD7" w:rsidTr="00D24FEC">
        <w:trPr>
          <w:trHeight w:val="554"/>
        </w:trPr>
        <w:tc>
          <w:tcPr>
            <w:tcW w:w="2865" w:type="dxa"/>
            <w:vMerge/>
            <w:tcBorders>
              <w:left w:val="single" w:sz="6" w:space="0" w:color="auto"/>
              <w:right w:val="single" w:sz="6" w:space="0" w:color="auto"/>
            </w:tcBorders>
            <w:shd w:val="clear" w:color="00FFFF" w:fill="C6D9F1" w:themeFill="text2" w:themeFillTint="33"/>
          </w:tcPr>
          <w:p w:rsidR="00E56296" w:rsidRPr="00B75FD7" w:rsidRDefault="00E56296" w:rsidP="00C533DF">
            <w:pPr>
              <w:autoSpaceDE w:val="0"/>
              <w:autoSpaceDN w:val="0"/>
              <w:adjustRightInd w:val="0"/>
              <w:rPr>
                <w:rFonts w:eastAsia="Calibri"/>
                <w:b/>
                <w:color w:val="000000"/>
                <w:sz w:val="22"/>
              </w:rPr>
            </w:pPr>
          </w:p>
        </w:tc>
        <w:tc>
          <w:tcPr>
            <w:tcW w:w="4536" w:type="dxa"/>
            <w:gridSpan w:val="4"/>
            <w:tcBorders>
              <w:top w:val="single" w:sz="4" w:space="0" w:color="auto"/>
              <w:left w:val="single" w:sz="6" w:space="0" w:color="auto"/>
              <w:bottom w:val="single" w:sz="4" w:space="0" w:color="auto"/>
              <w:right w:val="single" w:sz="6" w:space="0" w:color="auto"/>
            </w:tcBorders>
          </w:tcPr>
          <w:p w:rsidR="00E56296" w:rsidRPr="00B75FD7" w:rsidRDefault="00E56296" w:rsidP="00D24FEC">
            <w:pPr>
              <w:autoSpaceDE w:val="0"/>
              <w:autoSpaceDN w:val="0"/>
              <w:adjustRightInd w:val="0"/>
              <w:rPr>
                <w:rFonts w:eastAsia="Calibri"/>
                <w:color w:val="000000"/>
                <w:sz w:val="22"/>
              </w:rPr>
            </w:pPr>
            <w:r w:rsidRPr="00B75FD7">
              <w:rPr>
                <w:rFonts w:eastAsia="Calibri"/>
                <w:color w:val="000000"/>
                <w:sz w:val="22"/>
              </w:rPr>
              <w:t>Капітальний ремонт покрівлі (скатний дах) основної будівлі</w:t>
            </w:r>
            <w:r w:rsidR="00D24FEC" w:rsidRPr="00B75FD7">
              <w:rPr>
                <w:rFonts w:eastAsia="Calibri"/>
                <w:color w:val="000000"/>
                <w:sz w:val="22"/>
              </w:rPr>
              <w:t>).</w:t>
            </w:r>
          </w:p>
        </w:tc>
        <w:tc>
          <w:tcPr>
            <w:tcW w:w="1583" w:type="dxa"/>
            <w:tcBorders>
              <w:top w:val="single" w:sz="4" w:space="0" w:color="auto"/>
              <w:left w:val="single" w:sz="6" w:space="0" w:color="auto"/>
              <w:bottom w:val="single" w:sz="4" w:space="0" w:color="auto"/>
              <w:right w:val="single" w:sz="6" w:space="0" w:color="auto"/>
            </w:tcBorders>
          </w:tcPr>
          <w:p w:rsidR="00E56296" w:rsidRPr="00B75FD7" w:rsidRDefault="00E56296" w:rsidP="00C533DF">
            <w:pPr>
              <w:jc w:val="center"/>
              <w:rPr>
                <w:rFonts w:eastAsia="Calibri"/>
                <w:sz w:val="22"/>
              </w:rPr>
            </w:pPr>
            <w:proofErr w:type="spellStart"/>
            <w:r w:rsidRPr="00B75FD7">
              <w:rPr>
                <w:rFonts w:eastAsia="Calibri"/>
                <w:sz w:val="22"/>
              </w:rPr>
              <w:t>Кв.м</w:t>
            </w:r>
            <w:proofErr w:type="spellEnd"/>
          </w:p>
        </w:tc>
        <w:tc>
          <w:tcPr>
            <w:tcW w:w="1081" w:type="dxa"/>
            <w:gridSpan w:val="2"/>
            <w:tcBorders>
              <w:top w:val="single" w:sz="4" w:space="0" w:color="auto"/>
              <w:left w:val="single" w:sz="6" w:space="0" w:color="auto"/>
              <w:bottom w:val="single" w:sz="4" w:space="0" w:color="auto"/>
              <w:right w:val="single" w:sz="6" w:space="0" w:color="auto"/>
            </w:tcBorders>
          </w:tcPr>
          <w:p w:rsidR="00E56296" w:rsidRPr="00B75FD7" w:rsidRDefault="00E56296" w:rsidP="00C533DF">
            <w:pPr>
              <w:autoSpaceDE w:val="0"/>
              <w:autoSpaceDN w:val="0"/>
              <w:adjustRightInd w:val="0"/>
              <w:jc w:val="center"/>
              <w:rPr>
                <w:rFonts w:eastAsia="Calibri"/>
                <w:sz w:val="22"/>
              </w:rPr>
            </w:pPr>
            <w:r w:rsidRPr="00B75FD7">
              <w:rPr>
                <w:rFonts w:eastAsia="Calibri"/>
                <w:sz w:val="22"/>
              </w:rPr>
              <w:t>657,10</w:t>
            </w:r>
          </w:p>
        </w:tc>
      </w:tr>
      <w:tr w:rsidR="00E56296" w:rsidRPr="00B75FD7" w:rsidTr="00D24FEC">
        <w:trPr>
          <w:trHeight w:val="540"/>
        </w:trPr>
        <w:tc>
          <w:tcPr>
            <w:tcW w:w="2865" w:type="dxa"/>
            <w:vMerge/>
            <w:tcBorders>
              <w:left w:val="single" w:sz="6" w:space="0" w:color="auto"/>
              <w:right w:val="single" w:sz="6" w:space="0" w:color="auto"/>
            </w:tcBorders>
            <w:shd w:val="clear" w:color="00FFFF" w:fill="C6D9F1" w:themeFill="text2" w:themeFillTint="33"/>
          </w:tcPr>
          <w:p w:rsidR="00E56296" w:rsidRPr="00B75FD7" w:rsidRDefault="00E56296" w:rsidP="00C533DF">
            <w:pPr>
              <w:autoSpaceDE w:val="0"/>
              <w:autoSpaceDN w:val="0"/>
              <w:adjustRightInd w:val="0"/>
              <w:rPr>
                <w:rFonts w:eastAsia="Calibri"/>
                <w:b/>
                <w:color w:val="000000"/>
                <w:sz w:val="22"/>
              </w:rPr>
            </w:pPr>
          </w:p>
        </w:tc>
        <w:tc>
          <w:tcPr>
            <w:tcW w:w="4536" w:type="dxa"/>
            <w:gridSpan w:val="4"/>
            <w:tcBorders>
              <w:top w:val="single" w:sz="4" w:space="0" w:color="auto"/>
              <w:left w:val="single" w:sz="6" w:space="0" w:color="auto"/>
              <w:bottom w:val="single" w:sz="4" w:space="0" w:color="auto"/>
              <w:right w:val="single" w:sz="6" w:space="0" w:color="auto"/>
            </w:tcBorders>
          </w:tcPr>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Капітальний ремонт покрівлі (скатний дах) будівлі пральні.</w:t>
            </w:r>
          </w:p>
        </w:tc>
        <w:tc>
          <w:tcPr>
            <w:tcW w:w="1583" w:type="dxa"/>
            <w:tcBorders>
              <w:top w:val="single" w:sz="4" w:space="0" w:color="auto"/>
              <w:left w:val="single" w:sz="6" w:space="0" w:color="auto"/>
              <w:bottom w:val="single" w:sz="4" w:space="0" w:color="auto"/>
              <w:right w:val="single" w:sz="6" w:space="0" w:color="auto"/>
            </w:tcBorders>
          </w:tcPr>
          <w:p w:rsidR="00E56296" w:rsidRPr="00B75FD7" w:rsidRDefault="00E56296" w:rsidP="00C533DF">
            <w:pPr>
              <w:jc w:val="center"/>
              <w:rPr>
                <w:rFonts w:eastAsia="Calibri"/>
                <w:sz w:val="22"/>
              </w:rPr>
            </w:pPr>
            <w:proofErr w:type="spellStart"/>
            <w:r w:rsidRPr="00B75FD7">
              <w:rPr>
                <w:rFonts w:eastAsia="Calibri"/>
                <w:sz w:val="22"/>
              </w:rPr>
              <w:t>Кв.м</w:t>
            </w:r>
            <w:proofErr w:type="spellEnd"/>
          </w:p>
        </w:tc>
        <w:tc>
          <w:tcPr>
            <w:tcW w:w="1081" w:type="dxa"/>
            <w:gridSpan w:val="2"/>
            <w:tcBorders>
              <w:top w:val="single" w:sz="4" w:space="0" w:color="auto"/>
              <w:left w:val="single" w:sz="6" w:space="0" w:color="auto"/>
              <w:bottom w:val="single" w:sz="4" w:space="0" w:color="auto"/>
              <w:right w:val="single" w:sz="6" w:space="0" w:color="auto"/>
            </w:tcBorders>
          </w:tcPr>
          <w:p w:rsidR="00E56296" w:rsidRPr="00B75FD7" w:rsidRDefault="00E56296" w:rsidP="00C533DF">
            <w:pPr>
              <w:autoSpaceDE w:val="0"/>
              <w:autoSpaceDN w:val="0"/>
              <w:adjustRightInd w:val="0"/>
              <w:jc w:val="center"/>
              <w:rPr>
                <w:rFonts w:eastAsia="Calibri"/>
                <w:sz w:val="22"/>
              </w:rPr>
            </w:pPr>
            <w:r w:rsidRPr="00B75FD7">
              <w:rPr>
                <w:rFonts w:eastAsia="Calibri"/>
                <w:sz w:val="22"/>
              </w:rPr>
              <w:t>44,2</w:t>
            </w:r>
          </w:p>
        </w:tc>
      </w:tr>
      <w:tr w:rsidR="00E56296" w:rsidRPr="00B75FD7" w:rsidTr="00D24FEC">
        <w:trPr>
          <w:trHeight w:val="556"/>
        </w:trPr>
        <w:tc>
          <w:tcPr>
            <w:tcW w:w="2865" w:type="dxa"/>
            <w:vMerge/>
            <w:tcBorders>
              <w:left w:val="single" w:sz="6" w:space="0" w:color="auto"/>
              <w:right w:val="single" w:sz="6" w:space="0" w:color="auto"/>
            </w:tcBorders>
            <w:shd w:val="clear" w:color="00FFFF" w:fill="C6D9F1" w:themeFill="text2" w:themeFillTint="33"/>
          </w:tcPr>
          <w:p w:rsidR="00E56296" w:rsidRPr="00B75FD7" w:rsidRDefault="00E56296" w:rsidP="00C533DF">
            <w:pPr>
              <w:autoSpaceDE w:val="0"/>
              <w:autoSpaceDN w:val="0"/>
              <w:adjustRightInd w:val="0"/>
              <w:rPr>
                <w:rFonts w:eastAsia="Calibri"/>
                <w:b/>
                <w:color w:val="000000"/>
                <w:sz w:val="22"/>
              </w:rPr>
            </w:pPr>
          </w:p>
        </w:tc>
        <w:tc>
          <w:tcPr>
            <w:tcW w:w="4536" w:type="dxa"/>
            <w:gridSpan w:val="4"/>
            <w:tcBorders>
              <w:top w:val="single" w:sz="4" w:space="0" w:color="auto"/>
              <w:left w:val="single" w:sz="6" w:space="0" w:color="auto"/>
              <w:bottom w:val="single" w:sz="4" w:space="0" w:color="auto"/>
              <w:right w:val="single" w:sz="6" w:space="0" w:color="auto"/>
            </w:tcBorders>
          </w:tcPr>
          <w:p w:rsidR="00E56296" w:rsidRPr="00B75FD7" w:rsidRDefault="00E56296" w:rsidP="00D24FEC">
            <w:pPr>
              <w:autoSpaceDE w:val="0"/>
              <w:autoSpaceDN w:val="0"/>
              <w:adjustRightInd w:val="0"/>
              <w:rPr>
                <w:rFonts w:eastAsia="Calibri"/>
                <w:color w:val="000000"/>
                <w:sz w:val="22"/>
              </w:rPr>
            </w:pPr>
            <w:r w:rsidRPr="00B75FD7">
              <w:rPr>
                <w:rFonts w:eastAsia="Calibri"/>
                <w:color w:val="000000"/>
                <w:sz w:val="22"/>
              </w:rPr>
              <w:t>Капітальний ремонт покрівлі (плоский дах) будівлі харчоблока</w:t>
            </w:r>
          </w:p>
        </w:tc>
        <w:tc>
          <w:tcPr>
            <w:tcW w:w="1583" w:type="dxa"/>
            <w:tcBorders>
              <w:top w:val="single" w:sz="4" w:space="0" w:color="auto"/>
              <w:left w:val="single" w:sz="6" w:space="0" w:color="auto"/>
              <w:bottom w:val="single" w:sz="4" w:space="0" w:color="auto"/>
              <w:right w:val="single" w:sz="6" w:space="0" w:color="auto"/>
            </w:tcBorders>
          </w:tcPr>
          <w:p w:rsidR="00E56296" w:rsidRPr="00B75FD7" w:rsidRDefault="00E56296" w:rsidP="00C533DF">
            <w:pPr>
              <w:jc w:val="center"/>
              <w:rPr>
                <w:rFonts w:eastAsia="Calibri"/>
                <w:sz w:val="22"/>
              </w:rPr>
            </w:pPr>
            <w:proofErr w:type="spellStart"/>
            <w:r w:rsidRPr="00B75FD7">
              <w:rPr>
                <w:rFonts w:eastAsia="Calibri"/>
                <w:sz w:val="22"/>
              </w:rPr>
              <w:t>Кв.м</w:t>
            </w:r>
            <w:proofErr w:type="spellEnd"/>
          </w:p>
        </w:tc>
        <w:tc>
          <w:tcPr>
            <w:tcW w:w="1081" w:type="dxa"/>
            <w:gridSpan w:val="2"/>
            <w:tcBorders>
              <w:top w:val="single" w:sz="4" w:space="0" w:color="auto"/>
              <w:left w:val="single" w:sz="6" w:space="0" w:color="auto"/>
              <w:bottom w:val="single" w:sz="4" w:space="0" w:color="auto"/>
              <w:right w:val="single" w:sz="6" w:space="0" w:color="auto"/>
            </w:tcBorders>
          </w:tcPr>
          <w:p w:rsidR="00E56296" w:rsidRPr="00B75FD7" w:rsidRDefault="00E56296" w:rsidP="00C533DF">
            <w:pPr>
              <w:jc w:val="center"/>
              <w:rPr>
                <w:rFonts w:eastAsia="Calibri"/>
                <w:sz w:val="22"/>
              </w:rPr>
            </w:pPr>
            <w:r w:rsidRPr="00B75FD7">
              <w:rPr>
                <w:rFonts w:eastAsia="Calibri"/>
                <w:sz w:val="22"/>
              </w:rPr>
              <w:t>114,5</w:t>
            </w:r>
          </w:p>
        </w:tc>
      </w:tr>
      <w:tr w:rsidR="00E56296" w:rsidRPr="00B75FD7" w:rsidTr="00D24FEC">
        <w:trPr>
          <w:trHeight w:val="525"/>
        </w:trPr>
        <w:tc>
          <w:tcPr>
            <w:tcW w:w="2865" w:type="dxa"/>
            <w:vMerge/>
            <w:tcBorders>
              <w:left w:val="single" w:sz="6" w:space="0" w:color="auto"/>
              <w:right w:val="single" w:sz="6" w:space="0" w:color="auto"/>
            </w:tcBorders>
            <w:shd w:val="clear" w:color="00FFFF" w:fill="C6D9F1" w:themeFill="text2" w:themeFillTint="33"/>
          </w:tcPr>
          <w:p w:rsidR="00E56296" w:rsidRPr="00B75FD7" w:rsidRDefault="00E56296" w:rsidP="00C533DF">
            <w:pPr>
              <w:autoSpaceDE w:val="0"/>
              <w:autoSpaceDN w:val="0"/>
              <w:adjustRightInd w:val="0"/>
              <w:rPr>
                <w:rFonts w:eastAsia="Calibri"/>
                <w:b/>
                <w:color w:val="000000"/>
                <w:sz w:val="22"/>
              </w:rPr>
            </w:pPr>
          </w:p>
        </w:tc>
        <w:tc>
          <w:tcPr>
            <w:tcW w:w="4536" w:type="dxa"/>
            <w:gridSpan w:val="4"/>
            <w:tcBorders>
              <w:top w:val="single" w:sz="4" w:space="0" w:color="auto"/>
              <w:left w:val="single" w:sz="6" w:space="0" w:color="auto"/>
              <w:bottom w:val="single" w:sz="4" w:space="0" w:color="auto"/>
              <w:right w:val="single" w:sz="6" w:space="0" w:color="auto"/>
            </w:tcBorders>
          </w:tcPr>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Капітальний ремонт покрівлі (плоский дах) будівлі господарчого блоку.</w:t>
            </w:r>
          </w:p>
        </w:tc>
        <w:tc>
          <w:tcPr>
            <w:tcW w:w="1583" w:type="dxa"/>
            <w:tcBorders>
              <w:top w:val="single" w:sz="4" w:space="0" w:color="auto"/>
              <w:left w:val="single" w:sz="6" w:space="0" w:color="auto"/>
              <w:bottom w:val="single" w:sz="4" w:space="0" w:color="auto"/>
              <w:right w:val="single" w:sz="6" w:space="0" w:color="auto"/>
            </w:tcBorders>
          </w:tcPr>
          <w:p w:rsidR="00E56296" w:rsidRPr="00B75FD7" w:rsidRDefault="00E56296" w:rsidP="00C533DF">
            <w:pPr>
              <w:jc w:val="center"/>
              <w:rPr>
                <w:rFonts w:eastAsia="Calibri"/>
                <w:sz w:val="22"/>
              </w:rPr>
            </w:pPr>
            <w:proofErr w:type="spellStart"/>
            <w:r w:rsidRPr="00B75FD7">
              <w:rPr>
                <w:rFonts w:eastAsia="Calibri"/>
                <w:sz w:val="22"/>
              </w:rPr>
              <w:t>Кв.м</w:t>
            </w:r>
            <w:proofErr w:type="spellEnd"/>
          </w:p>
        </w:tc>
        <w:tc>
          <w:tcPr>
            <w:tcW w:w="1081" w:type="dxa"/>
            <w:gridSpan w:val="2"/>
            <w:tcBorders>
              <w:top w:val="single" w:sz="4" w:space="0" w:color="auto"/>
              <w:left w:val="single" w:sz="6" w:space="0" w:color="auto"/>
              <w:bottom w:val="single" w:sz="4" w:space="0" w:color="auto"/>
              <w:right w:val="single" w:sz="6" w:space="0" w:color="auto"/>
            </w:tcBorders>
          </w:tcPr>
          <w:p w:rsidR="00E56296" w:rsidRPr="00B75FD7" w:rsidRDefault="00E56296" w:rsidP="00C533DF">
            <w:pPr>
              <w:autoSpaceDE w:val="0"/>
              <w:autoSpaceDN w:val="0"/>
              <w:adjustRightInd w:val="0"/>
              <w:jc w:val="center"/>
              <w:rPr>
                <w:rFonts w:eastAsia="Calibri"/>
                <w:sz w:val="22"/>
              </w:rPr>
            </w:pPr>
            <w:r w:rsidRPr="00B75FD7">
              <w:rPr>
                <w:rFonts w:eastAsia="Calibri"/>
                <w:sz w:val="22"/>
              </w:rPr>
              <w:t>76,1</w:t>
            </w:r>
          </w:p>
        </w:tc>
      </w:tr>
      <w:tr w:rsidR="00E56296" w:rsidRPr="00B75FD7" w:rsidTr="00D24FEC">
        <w:trPr>
          <w:trHeight w:val="495"/>
        </w:trPr>
        <w:tc>
          <w:tcPr>
            <w:tcW w:w="2865" w:type="dxa"/>
            <w:vMerge/>
            <w:tcBorders>
              <w:left w:val="single" w:sz="6" w:space="0" w:color="auto"/>
              <w:right w:val="single" w:sz="6" w:space="0" w:color="auto"/>
            </w:tcBorders>
            <w:shd w:val="clear" w:color="00FFFF" w:fill="C6D9F1" w:themeFill="text2" w:themeFillTint="33"/>
          </w:tcPr>
          <w:p w:rsidR="00E56296" w:rsidRPr="00B75FD7" w:rsidRDefault="00E56296" w:rsidP="00C533DF">
            <w:pPr>
              <w:autoSpaceDE w:val="0"/>
              <w:autoSpaceDN w:val="0"/>
              <w:adjustRightInd w:val="0"/>
              <w:rPr>
                <w:rFonts w:eastAsia="Calibri"/>
                <w:b/>
                <w:color w:val="000000"/>
                <w:sz w:val="22"/>
              </w:rPr>
            </w:pPr>
          </w:p>
        </w:tc>
        <w:tc>
          <w:tcPr>
            <w:tcW w:w="4536" w:type="dxa"/>
            <w:gridSpan w:val="4"/>
            <w:tcBorders>
              <w:top w:val="single" w:sz="4" w:space="0" w:color="auto"/>
              <w:left w:val="single" w:sz="6" w:space="0" w:color="auto"/>
              <w:bottom w:val="single" w:sz="4" w:space="0" w:color="auto"/>
              <w:right w:val="single" w:sz="6" w:space="0" w:color="auto"/>
            </w:tcBorders>
          </w:tcPr>
          <w:p w:rsidR="00E56296" w:rsidRPr="00B75FD7" w:rsidRDefault="00E56296" w:rsidP="00D24FEC">
            <w:pPr>
              <w:autoSpaceDE w:val="0"/>
              <w:autoSpaceDN w:val="0"/>
              <w:adjustRightInd w:val="0"/>
              <w:rPr>
                <w:rFonts w:eastAsia="Calibri"/>
                <w:color w:val="000000"/>
                <w:sz w:val="22"/>
              </w:rPr>
            </w:pPr>
            <w:r w:rsidRPr="00B75FD7">
              <w:rPr>
                <w:rFonts w:eastAsia="Calibri"/>
                <w:color w:val="000000"/>
                <w:sz w:val="22"/>
              </w:rPr>
              <w:t>Відновлення мереж електропостачання, теплопостачання, водопостачання та водовідведення.</w:t>
            </w:r>
          </w:p>
        </w:tc>
        <w:tc>
          <w:tcPr>
            <w:tcW w:w="1583" w:type="dxa"/>
            <w:tcBorders>
              <w:top w:val="single" w:sz="4" w:space="0" w:color="auto"/>
              <w:left w:val="single" w:sz="6" w:space="0" w:color="auto"/>
              <w:bottom w:val="single" w:sz="4" w:space="0" w:color="auto"/>
              <w:right w:val="single" w:sz="6" w:space="0" w:color="auto"/>
            </w:tcBorders>
          </w:tcPr>
          <w:p w:rsidR="00E56296" w:rsidRPr="00B75FD7" w:rsidRDefault="00E56296" w:rsidP="00C533DF">
            <w:pPr>
              <w:jc w:val="center"/>
              <w:rPr>
                <w:rFonts w:eastAsia="Calibri"/>
                <w:sz w:val="22"/>
              </w:rPr>
            </w:pPr>
            <w:r w:rsidRPr="00B75FD7">
              <w:rPr>
                <w:rFonts w:eastAsia="Calibri"/>
                <w:sz w:val="22"/>
              </w:rPr>
              <w:t>м</w:t>
            </w:r>
          </w:p>
        </w:tc>
        <w:tc>
          <w:tcPr>
            <w:tcW w:w="1081" w:type="dxa"/>
            <w:gridSpan w:val="2"/>
            <w:tcBorders>
              <w:top w:val="single" w:sz="4" w:space="0" w:color="auto"/>
              <w:left w:val="single" w:sz="6" w:space="0" w:color="auto"/>
              <w:bottom w:val="single" w:sz="4" w:space="0" w:color="auto"/>
              <w:right w:val="single" w:sz="6" w:space="0" w:color="auto"/>
            </w:tcBorders>
          </w:tcPr>
          <w:p w:rsidR="00E56296" w:rsidRPr="00B75FD7" w:rsidRDefault="00E56296" w:rsidP="00C533DF">
            <w:pPr>
              <w:autoSpaceDE w:val="0"/>
              <w:autoSpaceDN w:val="0"/>
              <w:adjustRightInd w:val="0"/>
              <w:jc w:val="center"/>
              <w:rPr>
                <w:rFonts w:eastAsia="Calibri"/>
                <w:sz w:val="22"/>
              </w:rPr>
            </w:pPr>
            <w:r w:rsidRPr="00B75FD7">
              <w:rPr>
                <w:rFonts w:eastAsia="Calibri"/>
                <w:sz w:val="22"/>
              </w:rPr>
              <w:t>62,0</w:t>
            </w:r>
          </w:p>
        </w:tc>
      </w:tr>
      <w:tr w:rsidR="00E56296" w:rsidRPr="00B75FD7" w:rsidTr="00D24FEC">
        <w:trPr>
          <w:trHeight w:val="495"/>
        </w:trPr>
        <w:tc>
          <w:tcPr>
            <w:tcW w:w="2865" w:type="dxa"/>
            <w:vMerge/>
            <w:tcBorders>
              <w:left w:val="single" w:sz="6" w:space="0" w:color="auto"/>
              <w:right w:val="single" w:sz="6" w:space="0" w:color="auto"/>
            </w:tcBorders>
            <w:shd w:val="clear" w:color="00FFFF" w:fill="C6D9F1" w:themeFill="text2" w:themeFillTint="33"/>
          </w:tcPr>
          <w:p w:rsidR="00E56296" w:rsidRPr="00B75FD7" w:rsidRDefault="00E56296" w:rsidP="00C533DF">
            <w:pPr>
              <w:autoSpaceDE w:val="0"/>
              <w:autoSpaceDN w:val="0"/>
              <w:adjustRightInd w:val="0"/>
              <w:rPr>
                <w:rFonts w:eastAsia="Calibri"/>
                <w:b/>
                <w:color w:val="000000"/>
                <w:sz w:val="22"/>
              </w:rPr>
            </w:pPr>
          </w:p>
        </w:tc>
        <w:tc>
          <w:tcPr>
            <w:tcW w:w="4536" w:type="dxa"/>
            <w:gridSpan w:val="4"/>
            <w:tcBorders>
              <w:top w:val="single" w:sz="4" w:space="0" w:color="auto"/>
              <w:left w:val="single" w:sz="6" w:space="0" w:color="auto"/>
              <w:bottom w:val="single" w:sz="4" w:space="0" w:color="auto"/>
              <w:right w:val="single" w:sz="6" w:space="0" w:color="auto"/>
            </w:tcBorders>
          </w:tcPr>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Капітальний ремонт всіх приміщень основної будівлі,</w:t>
            </w:r>
            <w:r w:rsidR="00D24FEC" w:rsidRPr="00B75FD7">
              <w:rPr>
                <w:rFonts w:eastAsia="Calibri"/>
                <w:color w:val="000000"/>
                <w:sz w:val="22"/>
              </w:rPr>
              <w:t xml:space="preserve"> </w:t>
            </w:r>
          </w:p>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горища,</w:t>
            </w:r>
          </w:p>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підвал</w:t>
            </w:r>
          </w:p>
        </w:tc>
        <w:tc>
          <w:tcPr>
            <w:tcW w:w="1583" w:type="dxa"/>
            <w:tcBorders>
              <w:top w:val="single" w:sz="4" w:space="0" w:color="auto"/>
              <w:left w:val="single" w:sz="6" w:space="0" w:color="auto"/>
              <w:bottom w:val="single" w:sz="4" w:space="0" w:color="auto"/>
              <w:right w:val="single" w:sz="6" w:space="0" w:color="auto"/>
            </w:tcBorders>
          </w:tcPr>
          <w:p w:rsidR="00E56296" w:rsidRPr="00B75FD7" w:rsidRDefault="00E56296" w:rsidP="00C533DF">
            <w:pPr>
              <w:jc w:val="center"/>
              <w:rPr>
                <w:rFonts w:eastAsia="Calibri"/>
                <w:sz w:val="22"/>
              </w:rPr>
            </w:pPr>
            <w:proofErr w:type="spellStart"/>
            <w:r w:rsidRPr="00B75FD7">
              <w:rPr>
                <w:rFonts w:eastAsia="Calibri"/>
                <w:sz w:val="22"/>
              </w:rPr>
              <w:t>Кв.м</w:t>
            </w:r>
            <w:proofErr w:type="spellEnd"/>
          </w:p>
        </w:tc>
        <w:tc>
          <w:tcPr>
            <w:tcW w:w="1081" w:type="dxa"/>
            <w:gridSpan w:val="2"/>
            <w:tcBorders>
              <w:top w:val="single" w:sz="4" w:space="0" w:color="auto"/>
              <w:left w:val="single" w:sz="6" w:space="0" w:color="auto"/>
              <w:bottom w:val="single" w:sz="4" w:space="0" w:color="auto"/>
              <w:right w:val="single" w:sz="6" w:space="0" w:color="auto"/>
            </w:tcBorders>
          </w:tcPr>
          <w:p w:rsidR="00E56296" w:rsidRPr="00B75FD7" w:rsidRDefault="00E56296" w:rsidP="00C533DF">
            <w:pPr>
              <w:tabs>
                <w:tab w:val="left" w:pos="1065"/>
                <w:tab w:val="left" w:pos="1155"/>
              </w:tabs>
              <w:autoSpaceDE w:val="0"/>
              <w:autoSpaceDN w:val="0"/>
              <w:adjustRightInd w:val="0"/>
              <w:jc w:val="center"/>
              <w:rPr>
                <w:rFonts w:eastAsia="Calibri"/>
                <w:sz w:val="22"/>
              </w:rPr>
            </w:pPr>
            <w:r w:rsidRPr="00B75FD7">
              <w:rPr>
                <w:rFonts w:eastAsia="Calibri"/>
                <w:sz w:val="22"/>
              </w:rPr>
              <w:t>733,2</w:t>
            </w:r>
          </w:p>
          <w:p w:rsidR="00E56296" w:rsidRPr="00B75FD7" w:rsidRDefault="00E56296" w:rsidP="00C533DF">
            <w:pPr>
              <w:jc w:val="center"/>
              <w:rPr>
                <w:rFonts w:eastAsia="Calibri"/>
                <w:sz w:val="22"/>
              </w:rPr>
            </w:pPr>
          </w:p>
          <w:p w:rsidR="00E56296" w:rsidRPr="00B75FD7" w:rsidRDefault="00E56296" w:rsidP="00C533DF">
            <w:pPr>
              <w:jc w:val="center"/>
              <w:rPr>
                <w:rFonts w:eastAsia="Calibri"/>
                <w:sz w:val="22"/>
              </w:rPr>
            </w:pPr>
            <w:r w:rsidRPr="00B75FD7">
              <w:rPr>
                <w:rFonts w:eastAsia="Calibri"/>
                <w:sz w:val="22"/>
              </w:rPr>
              <w:t>657,1</w:t>
            </w:r>
          </w:p>
          <w:p w:rsidR="00E56296" w:rsidRPr="00B75FD7" w:rsidRDefault="00E56296" w:rsidP="00C533DF">
            <w:pPr>
              <w:tabs>
                <w:tab w:val="left" w:pos="1065"/>
              </w:tabs>
              <w:autoSpaceDE w:val="0"/>
              <w:autoSpaceDN w:val="0"/>
              <w:adjustRightInd w:val="0"/>
              <w:jc w:val="center"/>
              <w:rPr>
                <w:rFonts w:eastAsia="Calibri"/>
                <w:sz w:val="22"/>
              </w:rPr>
            </w:pPr>
            <w:r w:rsidRPr="00B75FD7">
              <w:rPr>
                <w:rFonts w:eastAsia="Calibri"/>
                <w:sz w:val="22"/>
              </w:rPr>
              <w:t>222,</w:t>
            </w:r>
          </w:p>
        </w:tc>
      </w:tr>
      <w:tr w:rsidR="00E56296" w:rsidRPr="00B75FD7" w:rsidTr="00D24FEC">
        <w:trPr>
          <w:trHeight w:val="315"/>
        </w:trPr>
        <w:tc>
          <w:tcPr>
            <w:tcW w:w="2865" w:type="dxa"/>
            <w:vMerge/>
            <w:tcBorders>
              <w:left w:val="single" w:sz="6" w:space="0" w:color="auto"/>
              <w:right w:val="single" w:sz="6" w:space="0" w:color="auto"/>
            </w:tcBorders>
            <w:shd w:val="clear" w:color="00FFFF" w:fill="C6D9F1" w:themeFill="text2" w:themeFillTint="33"/>
          </w:tcPr>
          <w:p w:rsidR="00E56296" w:rsidRPr="00B75FD7" w:rsidRDefault="00E56296" w:rsidP="00C533DF">
            <w:pPr>
              <w:autoSpaceDE w:val="0"/>
              <w:autoSpaceDN w:val="0"/>
              <w:adjustRightInd w:val="0"/>
              <w:rPr>
                <w:rFonts w:eastAsia="Calibri"/>
                <w:b/>
                <w:color w:val="000000"/>
                <w:sz w:val="22"/>
              </w:rPr>
            </w:pPr>
          </w:p>
        </w:tc>
        <w:tc>
          <w:tcPr>
            <w:tcW w:w="4536" w:type="dxa"/>
            <w:gridSpan w:val="4"/>
            <w:tcBorders>
              <w:top w:val="single" w:sz="4" w:space="0" w:color="auto"/>
              <w:left w:val="single" w:sz="6" w:space="0" w:color="auto"/>
              <w:bottom w:val="single" w:sz="4" w:space="0" w:color="auto"/>
              <w:right w:val="single" w:sz="6" w:space="0" w:color="auto"/>
            </w:tcBorders>
          </w:tcPr>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Капітальний ремонт харчоблока</w:t>
            </w:r>
          </w:p>
        </w:tc>
        <w:tc>
          <w:tcPr>
            <w:tcW w:w="1583" w:type="dxa"/>
            <w:tcBorders>
              <w:top w:val="single" w:sz="4" w:space="0" w:color="auto"/>
              <w:left w:val="single" w:sz="6" w:space="0" w:color="auto"/>
              <w:bottom w:val="single" w:sz="4" w:space="0" w:color="auto"/>
              <w:right w:val="single" w:sz="6" w:space="0" w:color="auto"/>
            </w:tcBorders>
          </w:tcPr>
          <w:p w:rsidR="00E56296" w:rsidRPr="00B75FD7" w:rsidRDefault="00E56296" w:rsidP="00C533DF">
            <w:pPr>
              <w:jc w:val="center"/>
              <w:rPr>
                <w:rFonts w:eastAsia="Calibri"/>
                <w:sz w:val="22"/>
              </w:rPr>
            </w:pPr>
            <w:proofErr w:type="spellStart"/>
            <w:r w:rsidRPr="00B75FD7">
              <w:rPr>
                <w:rFonts w:eastAsia="Calibri"/>
                <w:sz w:val="22"/>
              </w:rPr>
              <w:t>Кв.м</w:t>
            </w:r>
            <w:proofErr w:type="spellEnd"/>
          </w:p>
        </w:tc>
        <w:tc>
          <w:tcPr>
            <w:tcW w:w="1081" w:type="dxa"/>
            <w:gridSpan w:val="2"/>
            <w:tcBorders>
              <w:top w:val="single" w:sz="4" w:space="0" w:color="auto"/>
              <w:left w:val="single" w:sz="6" w:space="0" w:color="auto"/>
              <w:bottom w:val="single" w:sz="4" w:space="0" w:color="auto"/>
              <w:right w:val="single" w:sz="6" w:space="0" w:color="auto"/>
            </w:tcBorders>
          </w:tcPr>
          <w:p w:rsidR="00E56296" w:rsidRPr="00B75FD7" w:rsidRDefault="00E56296" w:rsidP="00C533DF">
            <w:pPr>
              <w:tabs>
                <w:tab w:val="left" w:pos="1065"/>
              </w:tabs>
              <w:autoSpaceDE w:val="0"/>
              <w:autoSpaceDN w:val="0"/>
              <w:adjustRightInd w:val="0"/>
              <w:jc w:val="center"/>
              <w:rPr>
                <w:rFonts w:eastAsia="Calibri"/>
                <w:sz w:val="22"/>
              </w:rPr>
            </w:pPr>
            <w:r w:rsidRPr="00B75FD7">
              <w:rPr>
                <w:rFonts w:eastAsia="Calibri"/>
                <w:sz w:val="22"/>
              </w:rPr>
              <w:t>110,2</w:t>
            </w:r>
          </w:p>
        </w:tc>
      </w:tr>
      <w:tr w:rsidR="00E56296" w:rsidRPr="00B75FD7" w:rsidTr="00D24FEC">
        <w:trPr>
          <w:trHeight w:val="262"/>
        </w:trPr>
        <w:tc>
          <w:tcPr>
            <w:tcW w:w="2865" w:type="dxa"/>
            <w:vMerge/>
            <w:tcBorders>
              <w:left w:val="single" w:sz="6" w:space="0" w:color="auto"/>
              <w:right w:val="single" w:sz="6" w:space="0" w:color="auto"/>
            </w:tcBorders>
            <w:shd w:val="clear" w:color="00FFFF" w:fill="C6D9F1" w:themeFill="text2" w:themeFillTint="33"/>
          </w:tcPr>
          <w:p w:rsidR="00E56296" w:rsidRPr="00B75FD7" w:rsidRDefault="00E56296" w:rsidP="00C533DF">
            <w:pPr>
              <w:autoSpaceDE w:val="0"/>
              <w:autoSpaceDN w:val="0"/>
              <w:adjustRightInd w:val="0"/>
              <w:rPr>
                <w:rFonts w:eastAsia="Calibri"/>
                <w:b/>
                <w:color w:val="000000"/>
                <w:sz w:val="22"/>
              </w:rPr>
            </w:pPr>
          </w:p>
        </w:tc>
        <w:tc>
          <w:tcPr>
            <w:tcW w:w="4536" w:type="dxa"/>
            <w:gridSpan w:val="4"/>
            <w:tcBorders>
              <w:top w:val="single" w:sz="4" w:space="0" w:color="auto"/>
              <w:left w:val="single" w:sz="6" w:space="0" w:color="auto"/>
              <w:bottom w:val="single" w:sz="4" w:space="0" w:color="auto"/>
              <w:right w:val="single" w:sz="6" w:space="0" w:color="auto"/>
            </w:tcBorders>
          </w:tcPr>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Капітальний ремонт пральні</w:t>
            </w:r>
          </w:p>
        </w:tc>
        <w:tc>
          <w:tcPr>
            <w:tcW w:w="1583" w:type="dxa"/>
            <w:tcBorders>
              <w:top w:val="single" w:sz="4" w:space="0" w:color="auto"/>
              <w:left w:val="single" w:sz="6" w:space="0" w:color="auto"/>
              <w:bottom w:val="single" w:sz="4" w:space="0" w:color="auto"/>
              <w:right w:val="single" w:sz="6" w:space="0" w:color="auto"/>
            </w:tcBorders>
          </w:tcPr>
          <w:p w:rsidR="00E56296" w:rsidRPr="00B75FD7" w:rsidRDefault="00E56296" w:rsidP="00C533DF">
            <w:pPr>
              <w:jc w:val="center"/>
              <w:rPr>
                <w:rFonts w:eastAsia="Calibri"/>
                <w:sz w:val="22"/>
              </w:rPr>
            </w:pPr>
            <w:proofErr w:type="spellStart"/>
            <w:r w:rsidRPr="00B75FD7">
              <w:rPr>
                <w:rFonts w:eastAsia="Calibri"/>
                <w:sz w:val="22"/>
              </w:rPr>
              <w:t>Кв.м</w:t>
            </w:r>
            <w:proofErr w:type="spellEnd"/>
          </w:p>
        </w:tc>
        <w:tc>
          <w:tcPr>
            <w:tcW w:w="1081" w:type="dxa"/>
            <w:gridSpan w:val="2"/>
            <w:tcBorders>
              <w:top w:val="single" w:sz="4" w:space="0" w:color="auto"/>
              <w:left w:val="single" w:sz="6" w:space="0" w:color="auto"/>
              <w:bottom w:val="single" w:sz="4" w:space="0" w:color="auto"/>
              <w:right w:val="single" w:sz="6" w:space="0" w:color="auto"/>
            </w:tcBorders>
          </w:tcPr>
          <w:p w:rsidR="00E56296" w:rsidRPr="00B75FD7" w:rsidRDefault="00E56296" w:rsidP="00C533DF">
            <w:pPr>
              <w:tabs>
                <w:tab w:val="left" w:pos="1065"/>
              </w:tabs>
              <w:autoSpaceDE w:val="0"/>
              <w:autoSpaceDN w:val="0"/>
              <w:adjustRightInd w:val="0"/>
              <w:jc w:val="center"/>
              <w:rPr>
                <w:rFonts w:eastAsia="Calibri"/>
                <w:sz w:val="22"/>
              </w:rPr>
            </w:pPr>
            <w:r w:rsidRPr="00B75FD7">
              <w:rPr>
                <w:rFonts w:eastAsia="Calibri"/>
                <w:sz w:val="22"/>
              </w:rPr>
              <w:t>44,2</w:t>
            </w:r>
          </w:p>
        </w:tc>
      </w:tr>
      <w:tr w:rsidR="00E56296" w:rsidRPr="00B75FD7" w:rsidTr="00D24FEC">
        <w:trPr>
          <w:trHeight w:val="266"/>
        </w:trPr>
        <w:tc>
          <w:tcPr>
            <w:tcW w:w="2865" w:type="dxa"/>
            <w:vMerge/>
            <w:tcBorders>
              <w:left w:val="single" w:sz="6" w:space="0" w:color="auto"/>
              <w:right w:val="single" w:sz="6" w:space="0" w:color="auto"/>
            </w:tcBorders>
            <w:shd w:val="clear" w:color="00FFFF" w:fill="C6D9F1" w:themeFill="text2" w:themeFillTint="33"/>
          </w:tcPr>
          <w:p w:rsidR="00E56296" w:rsidRPr="00B75FD7" w:rsidRDefault="00E56296" w:rsidP="00C533DF">
            <w:pPr>
              <w:autoSpaceDE w:val="0"/>
              <w:autoSpaceDN w:val="0"/>
              <w:adjustRightInd w:val="0"/>
              <w:rPr>
                <w:rFonts w:eastAsia="Calibri"/>
                <w:b/>
                <w:color w:val="000000"/>
                <w:sz w:val="22"/>
              </w:rPr>
            </w:pPr>
          </w:p>
        </w:tc>
        <w:tc>
          <w:tcPr>
            <w:tcW w:w="4536" w:type="dxa"/>
            <w:gridSpan w:val="4"/>
            <w:tcBorders>
              <w:top w:val="single" w:sz="4" w:space="0" w:color="auto"/>
              <w:left w:val="single" w:sz="6" w:space="0" w:color="auto"/>
              <w:bottom w:val="single" w:sz="4" w:space="0" w:color="auto"/>
              <w:right w:val="single" w:sz="6" w:space="0" w:color="auto"/>
            </w:tcBorders>
          </w:tcPr>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Капітальний ремонт господарчого блоку</w:t>
            </w:r>
          </w:p>
        </w:tc>
        <w:tc>
          <w:tcPr>
            <w:tcW w:w="1583" w:type="dxa"/>
            <w:tcBorders>
              <w:top w:val="single" w:sz="4" w:space="0" w:color="auto"/>
              <w:left w:val="single" w:sz="6" w:space="0" w:color="auto"/>
              <w:bottom w:val="single" w:sz="4" w:space="0" w:color="auto"/>
              <w:right w:val="single" w:sz="6" w:space="0" w:color="auto"/>
            </w:tcBorders>
          </w:tcPr>
          <w:p w:rsidR="00E56296" w:rsidRPr="00B75FD7" w:rsidRDefault="00E56296" w:rsidP="00C533DF">
            <w:pPr>
              <w:jc w:val="center"/>
              <w:rPr>
                <w:rFonts w:eastAsia="Calibri"/>
                <w:sz w:val="22"/>
              </w:rPr>
            </w:pPr>
            <w:proofErr w:type="spellStart"/>
            <w:r w:rsidRPr="00B75FD7">
              <w:rPr>
                <w:rFonts w:eastAsia="Calibri"/>
                <w:sz w:val="22"/>
              </w:rPr>
              <w:t>Кв.м</w:t>
            </w:r>
            <w:proofErr w:type="spellEnd"/>
          </w:p>
        </w:tc>
        <w:tc>
          <w:tcPr>
            <w:tcW w:w="1081" w:type="dxa"/>
            <w:gridSpan w:val="2"/>
            <w:tcBorders>
              <w:top w:val="single" w:sz="4" w:space="0" w:color="auto"/>
              <w:left w:val="single" w:sz="6" w:space="0" w:color="auto"/>
              <w:bottom w:val="single" w:sz="4" w:space="0" w:color="auto"/>
              <w:right w:val="single" w:sz="6" w:space="0" w:color="auto"/>
            </w:tcBorders>
          </w:tcPr>
          <w:p w:rsidR="00E56296" w:rsidRPr="00B75FD7" w:rsidRDefault="00E56296" w:rsidP="00C533DF">
            <w:pPr>
              <w:tabs>
                <w:tab w:val="left" w:pos="1065"/>
              </w:tabs>
              <w:autoSpaceDE w:val="0"/>
              <w:autoSpaceDN w:val="0"/>
              <w:adjustRightInd w:val="0"/>
              <w:jc w:val="center"/>
              <w:rPr>
                <w:rFonts w:eastAsia="Calibri"/>
                <w:sz w:val="22"/>
              </w:rPr>
            </w:pPr>
            <w:r w:rsidRPr="00B75FD7">
              <w:rPr>
                <w:rFonts w:eastAsia="Calibri"/>
                <w:sz w:val="22"/>
              </w:rPr>
              <w:t>73,6</w:t>
            </w:r>
          </w:p>
        </w:tc>
      </w:tr>
      <w:tr w:rsidR="00E56296" w:rsidRPr="00B75FD7" w:rsidTr="00D24FEC">
        <w:trPr>
          <w:trHeight w:val="368"/>
        </w:trPr>
        <w:tc>
          <w:tcPr>
            <w:tcW w:w="2865" w:type="dxa"/>
            <w:vMerge/>
            <w:tcBorders>
              <w:left w:val="single" w:sz="6" w:space="0" w:color="auto"/>
              <w:bottom w:val="nil"/>
              <w:right w:val="single" w:sz="6" w:space="0" w:color="auto"/>
            </w:tcBorders>
            <w:shd w:val="clear" w:color="00FFFF" w:fill="C6D9F1" w:themeFill="text2" w:themeFillTint="33"/>
          </w:tcPr>
          <w:p w:rsidR="00E56296" w:rsidRPr="00B75FD7" w:rsidRDefault="00E56296" w:rsidP="00C533DF">
            <w:pPr>
              <w:autoSpaceDE w:val="0"/>
              <w:autoSpaceDN w:val="0"/>
              <w:adjustRightInd w:val="0"/>
              <w:rPr>
                <w:rFonts w:eastAsia="Calibri"/>
                <w:b/>
                <w:color w:val="000000"/>
                <w:sz w:val="22"/>
              </w:rPr>
            </w:pPr>
          </w:p>
        </w:tc>
        <w:tc>
          <w:tcPr>
            <w:tcW w:w="4536" w:type="dxa"/>
            <w:gridSpan w:val="4"/>
            <w:tcBorders>
              <w:top w:val="single" w:sz="4" w:space="0" w:color="auto"/>
              <w:left w:val="single" w:sz="6" w:space="0" w:color="auto"/>
              <w:bottom w:val="nil"/>
              <w:right w:val="single" w:sz="6" w:space="0" w:color="auto"/>
            </w:tcBorders>
          </w:tcPr>
          <w:p w:rsidR="00E56296" w:rsidRPr="00B75FD7" w:rsidRDefault="00E56296" w:rsidP="00C533DF">
            <w:pPr>
              <w:autoSpaceDE w:val="0"/>
              <w:autoSpaceDN w:val="0"/>
              <w:adjustRightInd w:val="0"/>
              <w:rPr>
                <w:rFonts w:eastAsia="Calibri"/>
                <w:sz w:val="22"/>
              </w:rPr>
            </w:pPr>
            <w:r w:rsidRPr="00B75FD7">
              <w:rPr>
                <w:rFonts w:eastAsia="Calibri"/>
                <w:color w:val="000000"/>
                <w:sz w:val="22"/>
              </w:rPr>
              <w:t>Встановлення пандусу</w:t>
            </w:r>
          </w:p>
        </w:tc>
        <w:tc>
          <w:tcPr>
            <w:tcW w:w="1583" w:type="dxa"/>
            <w:tcBorders>
              <w:top w:val="single" w:sz="4" w:space="0" w:color="auto"/>
              <w:left w:val="single" w:sz="6" w:space="0" w:color="auto"/>
              <w:bottom w:val="nil"/>
              <w:right w:val="single" w:sz="6" w:space="0" w:color="auto"/>
            </w:tcBorders>
          </w:tcPr>
          <w:p w:rsidR="00E56296" w:rsidRPr="00B75FD7" w:rsidRDefault="00E56296" w:rsidP="00C533DF">
            <w:pPr>
              <w:autoSpaceDE w:val="0"/>
              <w:autoSpaceDN w:val="0"/>
              <w:adjustRightInd w:val="0"/>
              <w:rPr>
                <w:rFonts w:eastAsia="Calibri"/>
                <w:sz w:val="22"/>
              </w:rPr>
            </w:pPr>
            <w:r w:rsidRPr="00B75FD7">
              <w:rPr>
                <w:rFonts w:eastAsia="Calibri"/>
                <w:sz w:val="22"/>
              </w:rPr>
              <w:t>одиниць</w:t>
            </w:r>
          </w:p>
        </w:tc>
        <w:tc>
          <w:tcPr>
            <w:tcW w:w="1081" w:type="dxa"/>
            <w:gridSpan w:val="2"/>
            <w:tcBorders>
              <w:top w:val="single" w:sz="4" w:space="0" w:color="auto"/>
              <w:left w:val="single" w:sz="6" w:space="0" w:color="auto"/>
              <w:bottom w:val="nil"/>
              <w:right w:val="single" w:sz="6" w:space="0" w:color="auto"/>
            </w:tcBorders>
          </w:tcPr>
          <w:p w:rsidR="00E56296" w:rsidRPr="00B75FD7" w:rsidRDefault="00E56296" w:rsidP="00C533DF">
            <w:pPr>
              <w:autoSpaceDE w:val="0"/>
              <w:autoSpaceDN w:val="0"/>
              <w:adjustRightInd w:val="0"/>
              <w:jc w:val="center"/>
              <w:rPr>
                <w:rFonts w:eastAsia="Calibri"/>
                <w:sz w:val="22"/>
              </w:rPr>
            </w:pPr>
            <w:r w:rsidRPr="00B75FD7">
              <w:rPr>
                <w:rFonts w:eastAsia="Calibri"/>
                <w:sz w:val="22"/>
              </w:rPr>
              <w:t>1</w:t>
            </w:r>
          </w:p>
        </w:tc>
      </w:tr>
      <w:tr w:rsidR="00E56296" w:rsidRPr="00B75FD7" w:rsidTr="00C533DF">
        <w:trPr>
          <w:trHeight w:val="689"/>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56296" w:rsidRPr="00B75FD7" w:rsidRDefault="00E56296" w:rsidP="00C533DF">
            <w:pPr>
              <w:autoSpaceDE w:val="0"/>
              <w:autoSpaceDN w:val="0"/>
              <w:adjustRightInd w:val="0"/>
              <w:rPr>
                <w:rFonts w:eastAsia="Calibri"/>
                <w:b/>
                <w:color w:val="000000"/>
                <w:sz w:val="22"/>
              </w:rPr>
            </w:pPr>
            <w:r w:rsidRPr="00B75FD7">
              <w:rPr>
                <w:rFonts w:eastAsia="Calibri"/>
                <w:b/>
                <w:color w:val="000000"/>
                <w:sz w:val="22"/>
              </w:rPr>
              <w:t>Ключові заходи проекту:</w:t>
            </w:r>
          </w:p>
        </w:tc>
        <w:tc>
          <w:tcPr>
            <w:tcW w:w="7200" w:type="dxa"/>
            <w:gridSpan w:val="7"/>
            <w:tcBorders>
              <w:top w:val="single" w:sz="6" w:space="0" w:color="auto"/>
              <w:left w:val="single" w:sz="6" w:space="0" w:color="auto"/>
              <w:bottom w:val="single" w:sz="6" w:space="0" w:color="auto"/>
              <w:right w:val="single" w:sz="6" w:space="0" w:color="auto"/>
            </w:tcBorders>
          </w:tcPr>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1. Обстеження стану будівлі</w:t>
            </w:r>
            <w:r w:rsidR="00D24FEC" w:rsidRPr="00B75FD7">
              <w:rPr>
                <w:rFonts w:eastAsia="Calibri"/>
                <w:color w:val="000000"/>
                <w:sz w:val="22"/>
              </w:rPr>
              <w:t>.</w:t>
            </w:r>
          </w:p>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2. Проведення інвентаризації основних засобів</w:t>
            </w:r>
            <w:r w:rsidR="00D24FEC" w:rsidRPr="00B75FD7">
              <w:rPr>
                <w:rFonts w:eastAsia="Calibri"/>
                <w:color w:val="000000"/>
                <w:sz w:val="22"/>
              </w:rPr>
              <w:t>.</w:t>
            </w:r>
          </w:p>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 xml:space="preserve">3. Розробка </w:t>
            </w:r>
            <w:proofErr w:type="spellStart"/>
            <w:r w:rsidRPr="00B75FD7">
              <w:rPr>
                <w:rFonts w:eastAsia="Calibri"/>
                <w:color w:val="000000"/>
                <w:sz w:val="22"/>
              </w:rPr>
              <w:t>проєктно</w:t>
            </w:r>
            <w:proofErr w:type="spellEnd"/>
            <w:r w:rsidRPr="00B75FD7">
              <w:rPr>
                <w:rFonts w:eastAsia="Calibri"/>
                <w:color w:val="000000"/>
                <w:sz w:val="22"/>
              </w:rPr>
              <w:t>-кошторисної документації</w:t>
            </w:r>
            <w:r w:rsidR="00D24FEC" w:rsidRPr="00B75FD7">
              <w:rPr>
                <w:rFonts w:eastAsia="Calibri"/>
                <w:color w:val="000000"/>
                <w:sz w:val="22"/>
              </w:rPr>
              <w:t>.</w:t>
            </w:r>
          </w:p>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4. Капітальний ремонт покрівлі (скатний дах) основної будівлі</w:t>
            </w:r>
            <w:r w:rsidR="00D24FEC" w:rsidRPr="00B75FD7">
              <w:rPr>
                <w:rFonts w:eastAsia="Calibri"/>
                <w:color w:val="000000"/>
                <w:sz w:val="22"/>
              </w:rPr>
              <w:t>.</w:t>
            </w:r>
          </w:p>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5. Капітальний ремонт покрівлі (скатний дах) будівлі пральні</w:t>
            </w:r>
            <w:r w:rsidR="00D24FEC" w:rsidRPr="00B75FD7">
              <w:rPr>
                <w:rFonts w:eastAsia="Calibri"/>
                <w:color w:val="000000"/>
                <w:sz w:val="22"/>
              </w:rPr>
              <w:t>.</w:t>
            </w:r>
          </w:p>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6. Капітальний ремонт покрівлі (плоский дах)  будівлі харчоблока</w:t>
            </w:r>
            <w:r w:rsidR="00D24FEC" w:rsidRPr="00B75FD7">
              <w:rPr>
                <w:rFonts w:eastAsia="Calibri"/>
                <w:color w:val="000000"/>
                <w:sz w:val="22"/>
              </w:rPr>
              <w:t>.</w:t>
            </w:r>
            <w:r w:rsidRPr="00B75FD7">
              <w:rPr>
                <w:rFonts w:eastAsia="Calibri"/>
                <w:color w:val="000000"/>
                <w:sz w:val="22"/>
              </w:rPr>
              <w:t> </w:t>
            </w:r>
          </w:p>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7. Капітальний ремонт покрівлі (плоский дах)  будівлі господарчого блоку</w:t>
            </w:r>
            <w:r w:rsidR="00D24FEC" w:rsidRPr="00B75FD7">
              <w:rPr>
                <w:rFonts w:eastAsia="Calibri"/>
                <w:color w:val="000000"/>
                <w:sz w:val="22"/>
              </w:rPr>
              <w:t>.</w:t>
            </w:r>
            <w:r w:rsidRPr="00B75FD7">
              <w:rPr>
                <w:rFonts w:eastAsia="Calibri"/>
                <w:color w:val="000000"/>
                <w:sz w:val="22"/>
              </w:rPr>
              <w:t> </w:t>
            </w:r>
          </w:p>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8. Відновлення мереж електропостачання, теплопостачання, водопостачання та водовідведення</w:t>
            </w:r>
            <w:r w:rsidR="00D24FEC" w:rsidRPr="00B75FD7">
              <w:rPr>
                <w:rFonts w:eastAsia="Calibri"/>
                <w:color w:val="000000"/>
                <w:sz w:val="22"/>
              </w:rPr>
              <w:t>.</w:t>
            </w:r>
          </w:p>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 xml:space="preserve"> 9. Капітальний ремонт групових приміщень, санвузлів - 4 групи</w:t>
            </w:r>
            <w:r w:rsidR="00D24FEC" w:rsidRPr="00B75FD7">
              <w:rPr>
                <w:rFonts w:eastAsia="Calibri"/>
                <w:color w:val="000000"/>
                <w:sz w:val="22"/>
              </w:rPr>
              <w:t>.</w:t>
            </w:r>
            <w:r w:rsidRPr="00B75FD7">
              <w:rPr>
                <w:rFonts w:eastAsia="Calibri"/>
                <w:color w:val="000000"/>
                <w:sz w:val="22"/>
              </w:rPr>
              <w:t xml:space="preserve"> </w:t>
            </w:r>
          </w:p>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10.Капітальний ремонт всіх приміщень (кабінети)</w:t>
            </w:r>
            <w:r w:rsidR="00D24FEC" w:rsidRPr="00B75FD7">
              <w:rPr>
                <w:rFonts w:eastAsia="Calibri"/>
                <w:color w:val="000000"/>
                <w:sz w:val="22"/>
              </w:rPr>
              <w:t>.</w:t>
            </w:r>
          </w:p>
          <w:p w:rsidR="00D24FEC" w:rsidRPr="00B75FD7" w:rsidRDefault="00E56296" w:rsidP="00C533DF">
            <w:pPr>
              <w:autoSpaceDE w:val="0"/>
              <w:autoSpaceDN w:val="0"/>
              <w:adjustRightInd w:val="0"/>
              <w:rPr>
                <w:rFonts w:eastAsia="Calibri"/>
                <w:color w:val="000000"/>
                <w:sz w:val="22"/>
              </w:rPr>
            </w:pPr>
            <w:r w:rsidRPr="00B75FD7">
              <w:rPr>
                <w:rFonts w:eastAsia="Calibri"/>
                <w:color w:val="000000"/>
                <w:sz w:val="22"/>
              </w:rPr>
              <w:t>11. Капітальний ремонт музичної зали</w:t>
            </w:r>
            <w:r w:rsidR="00D24FEC" w:rsidRPr="00B75FD7">
              <w:rPr>
                <w:rFonts w:eastAsia="Calibri"/>
                <w:color w:val="000000"/>
                <w:sz w:val="22"/>
              </w:rPr>
              <w:t>.</w:t>
            </w:r>
          </w:p>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12. Капітальний ремонт харчоблока</w:t>
            </w:r>
            <w:r w:rsidR="00D24FEC" w:rsidRPr="00B75FD7">
              <w:rPr>
                <w:rFonts w:eastAsia="Calibri"/>
                <w:color w:val="000000"/>
                <w:sz w:val="22"/>
              </w:rPr>
              <w:t>.</w:t>
            </w:r>
          </w:p>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13. Капітальний ремонт пральні</w:t>
            </w:r>
            <w:r w:rsidR="00D24FEC" w:rsidRPr="00B75FD7">
              <w:rPr>
                <w:rFonts w:eastAsia="Calibri"/>
                <w:color w:val="000000"/>
                <w:sz w:val="22"/>
              </w:rPr>
              <w:t>.</w:t>
            </w:r>
          </w:p>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 xml:space="preserve"> 14. Капітальний ремонт господарчого блоку</w:t>
            </w:r>
            <w:r w:rsidR="00D24FEC" w:rsidRPr="00B75FD7">
              <w:rPr>
                <w:rFonts w:eastAsia="Calibri"/>
                <w:color w:val="000000"/>
                <w:sz w:val="22"/>
              </w:rPr>
              <w:t>.</w:t>
            </w:r>
          </w:p>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 xml:space="preserve"> 15. Відновлення, утеплення та оздоблення зовнішніх стін</w:t>
            </w:r>
            <w:r w:rsidR="00D24FEC" w:rsidRPr="00B75FD7">
              <w:rPr>
                <w:rFonts w:eastAsia="Calibri"/>
                <w:color w:val="000000"/>
                <w:sz w:val="22"/>
              </w:rPr>
              <w:t>.</w:t>
            </w:r>
          </w:p>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 xml:space="preserve"> 16. Встановлення пандуса</w:t>
            </w:r>
            <w:r w:rsidR="00D24FEC" w:rsidRPr="00B75FD7">
              <w:rPr>
                <w:rFonts w:eastAsia="Calibri"/>
                <w:color w:val="000000"/>
                <w:sz w:val="22"/>
              </w:rPr>
              <w:t>.</w:t>
            </w:r>
          </w:p>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17. Улаштування системи пожежної сигналізації</w:t>
            </w:r>
            <w:r w:rsidR="00D24FEC" w:rsidRPr="00B75FD7">
              <w:rPr>
                <w:rFonts w:eastAsia="Calibri"/>
                <w:color w:val="000000"/>
                <w:sz w:val="22"/>
              </w:rPr>
              <w:t>.</w:t>
            </w:r>
          </w:p>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18. Капітальний ремонт бомбосховища</w:t>
            </w:r>
            <w:r w:rsidR="00D24FEC" w:rsidRPr="00B75FD7">
              <w:rPr>
                <w:rFonts w:eastAsia="Calibri"/>
                <w:color w:val="000000"/>
                <w:sz w:val="22"/>
              </w:rPr>
              <w:t>.</w:t>
            </w:r>
          </w:p>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19. Утеплення та оздоблення зовнішніх стін, перекриття енергоощадним теплоізоляційним матеріалом.</w:t>
            </w:r>
          </w:p>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20.Організація та початок освітнього процесу.</w:t>
            </w:r>
          </w:p>
        </w:tc>
      </w:tr>
      <w:tr w:rsidR="00E56296" w:rsidRPr="00B75FD7" w:rsidTr="00C533DF">
        <w:trPr>
          <w:trHeight w:val="600"/>
        </w:trPr>
        <w:tc>
          <w:tcPr>
            <w:tcW w:w="2865" w:type="dxa"/>
            <w:vMerge w:val="restart"/>
            <w:tcBorders>
              <w:top w:val="single" w:sz="6" w:space="0" w:color="auto"/>
              <w:left w:val="single" w:sz="6" w:space="0" w:color="auto"/>
              <w:right w:val="single" w:sz="6" w:space="0" w:color="auto"/>
            </w:tcBorders>
            <w:shd w:val="clear" w:color="00FFFF" w:fill="C6D9F1" w:themeFill="text2" w:themeFillTint="33"/>
          </w:tcPr>
          <w:p w:rsidR="00E56296" w:rsidRPr="00B75FD7" w:rsidRDefault="00E56296" w:rsidP="00C533DF">
            <w:pPr>
              <w:autoSpaceDE w:val="0"/>
              <w:autoSpaceDN w:val="0"/>
              <w:adjustRightInd w:val="0"/>
              <w:rPr>
                <w:rFonts w:eastAsia="Calibri"/>
                <w:b/>
                <w:color w:val="000000"/>
                <w:sz w:val="22"/>
              </w:rPr>
            </w:pPr>
            <w:r w:rsidRPr="00B75FD7">
              <w:rPr>
                <w:rFonts w:eastAsia="Calibri"/>
                <w:b/>
                <w:color w:val="000000"/>
                <w:sz w:val="22"/>
              </w:rPr>
              <w:t>Орієнтовний обсяг та джерела фінансування тис. гривень</w:t>
            </w:r>
          </w:p>
        </w:tc>
        <w:tc>
          <w:tcPr>
            <w:tcW w:w="1642" w:type="dxa"/>
            <w:vMerge w:val="restart"/>
            <w:tcBorders>
              <w:top w:val="single" w:sz="6" w:space="0" w:color="auto"/>
              <w:left w:val="single" w:sz="6" w:space="0" w:color="auto"/>
              <w:bottom w:val="single" w:sz="6" w:space="0" w:color="auto"/>
              <w:right w:val="single" w:sz="6" w:space="0" w:color="auto"/>
            </w:tcBorders>
          </w:tcPr>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Державний бюджет</w:t>
            </w:r>
          </w:p>
        </w:tc>
        <w:tc>
          <w:tcPr>
            <w:tcW w:w="1134" w:type="dxa"/>
            <w:vMerge w:val="restart"/>
            <w:tcBorders>
              <w:top w:val="single" w:sz="6" w:space="0" w:color="auto"/>
              <w:left w:val="single" w:sz="6" w:space="0" w:color="auto"/>
              <w:bottom w:val="single" w:sz="6" w:space="0" w:color="auto"/>
              <w:right w:val="single" w:sz="6" w:space="0" w:color="auto"/>
            </w:tcBorders>
          </w:tcPr>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Місцевий бюджет</w:t>
            </w:r>
          </w:p>
        </w:tc>
        <w:tc>
          <w:tcPr>
            <w:tcW w:w="3381" w:type="dxa"/>
            <w:gridSpan w:val="4"/>
            <w:tcBorders>
              <w:top w:val="single" w:sz="6" w:space="0" w:color="auto"/>
              <w:left w:val="single" w:sz="6" w:space="0" w:color="auto"/>
              <w:bottom w:val="single" w:sz="6" w:space="0" w:color="auto"/>
              <w:right w:val="single" w:sz="6" w:space="0" w:color="auto"/>
            </w:tcBorders>
          </w:tcPr>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Інші джерела</w:t>
            </w:r>
          </w:p>
        </w:tc>
        <w:tc>
          <w:tcPr>
            <w:tcW w:w="1043" w:type="dxa"/>
            <w:vMerge w:val="restart"/>
            <w:tcBorders>
              <w:top w:val="single" w:sz="6" w:space="0" w:color="auto"/>
              <w:left w:val="single" w:sz="6" w:space="0" w:color="auto"/>
              <w:right w:val="single" w:sz="6" w:space="0" w:color="auto"/>
            </w:tcBorders>
          </w:tcPr>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Всього</w:t>
            </w:r>
          </w:p>
        </w:tc>
      </w:tr>
      <w:tr w:rsidR="00E56296" w:rsidRPr="00B75FD7" w:rsidTr="00C533DF">
        <w:trPr>
          <w:trHeight w:val="395"/>
        </w:trPr>
        <w:tc>
          <w:tcPr>
            <w:tcW w:w="2865" w:type="dxa"/>
            <w:vMerge/>
            <w:tcBorders>
              <w:top w:val="single" w:sz="6" w:space="0" w:color="auto"/>
              <w:left w:val="single" w:sz="6" w:space="0" w:color="auto"/>
              <w:right w:val="single" w:sz="6" w:space="0" w:color="auto"/>
            </w:tcBorders>
            <w:shd w:val="clear" w:color="00FFFF" w:fill="C6D9F1" w:themeFill="text2" w:themeFillTint="33"/>
          </w:tcPr>
          <w:p w:rsidR="00E56296" w:rsidRPr="00B75FD7" w:rsidRDefault="00E56296" w:rsidP="00C533DF">
            <w:pPr>
              <w:autoSpaceDE w:val="0"/>
              <w:autoSpaceDN w:val="0"/>
              <w:adjustRightInd w:val="0"/>
              <w:rPr>
                <w:rFonts w:eastAsia="Calibri"/>
                <w:b/>
                <w:color w:val="000000"/>
                <w:sz w:val="22"/>
              </w:rPr>
            </w:pPr>
          </w:p>
        </w:tc>
        <w:tc>
          <w:tcPr>
            <w:tcW w:w="1642" w:type="dxa"/>
            <w:vMerge/>
            <w:tcBorders>
              <w:top w:val="single" w:sz="6" w:space="0" w:color="auto"/>
              <w:left w:val="single" w:sz="6" w:space="0" w:color="auto"/>
              <w:bottom w:val="single" w:sz="6" w:space="0" w:color="auto"/>
              <w:right w:val="single" w:sz="6" w:space="0" w:color="auto"/>
            </w:tcBorders>
          </w:tcPr>
          <w:p w:rsidR="00E56296" w:rsidRPr="00B75FD7" w:rsidRDefault="00E56296" w:rsidP="00C533DF">
            <w:pPr>
              <w:autoSpaceDE w:val="0"/>
              <w:autoSpaceDN w:val="0"/>
              <w:adjustRightInd w:val="0"/>
              <w:rPr>
                <w:rFonts w:eastAsia="Calibri"/>
                <w:color w:val="000000"/>
                <w:sz w:val="22"/>
              </w:rPr>
            </w:pPr>
          </w:p>
        </w:tc>
        <w:tc>
          <w:tcPr>
            <w:tcW w:w="1134" w:type="dxa"/>
            <w:vMerge/>
            <w:tcBorders>
              <w:top w:val="single" w:sz="6" w:space="0" w:color="auto"/>
              <w:left w:val="single" w:sz="6" w:space="0" w:color="auto"/>
              <w:bottom w:val="single" w:sz="6" w:space="0" w:color="auto"/>
              <w:right w:val="single" w:sz="6" w:space="0" w:color="auto"/>
            </w:tcBorders>
          </w:tcPr>
          <w:p w:rsidR="00E56296" w:rsidRPr="00B75FD7" w:rsidRDefault="00E56296" w:rsidP="00C533DF">
            <w:pPr>
              <w:autoSpaceDE w:val="0"/>
              <w:autoSpaceDN w:val="0"/>
              <w:adjustRightInd w:val="0"/>
              <w:rPr>
                <w:rFonts w:eastAsia="Calibri"/>
                <w:color w:val="000000"/>
                <w:sz w:val="22"/>
              </w:rPr>
            </w:pPr>
          </w:p>
        </w:tc>
        <w:tc>
          <w:tcPr>
            <w:tcW w:w="1134" w:type="dxa"/>
            <w:tcBorders>
              <w:top w:val="single" w:sz="6" w:space="0" w:color="auto"/>
              <w:left w:val="single" w:sz="6" w:space="0" w:color="auto"/>
              <w:bottom w:val="single" w:sz="6" w:space="0" w:color="auto"/>
              <w:right w:val="single" w:sz="6" w:space="0" w:color="auto"/>
            </w:tcBorders>
          </w:tcPr>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 xml:space="preserve">    Обсяг                </w:t>
            </w:r>
          </w:p>
        </w:tc>
        <w:tc>
          <w:tcPr>
            <w:tcW w:w="2247" w:type="dxa"/>
            <w:gridSpan w:val="3"/>
            <w:tcBorders>
              <w:top w:val="single" w:sz="6" w:space="0" w:color="auto"/>
              <w:left w:val="single" w:sz="6" w:space="0" w:color="auto"/>
              <w:bottom w:val="single" w:sz="6" w:space="0" w:color="auto"/>
              <w:right w:val="single" w:sz="6" w:space="0" w:color="auto"/>
            </w:tcBorders>
          </w:tcPr>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Назва джерела</w:t>
            </w:r>
          </w:p>
        </w:tc>
        <w:tc>
          <w:tcPr>
            <w:tcW w:w="1043" w:type="dxa"/>
            <w:vMerge/>
            <w:tcBorders>
              <w:left w:val="single" w:sz="6" w:space="0" w:color="auto"/>
              <w:bottom w:val="single" w:sz="6" w:space="0" w:color="auto"/>
              <w:right w:val="single" w:sz="6" w:space="0" w:color="auto"/>
            </w:tcBorders>
          </w:tcPr>
          <w:p w:rsidR="00E56296" w:rsidRPr="00B75FD7" w:rsidRDefault="00E56296" w:rsidP="00C533DF">
            <w:pPr>
              <w:autoSpaceDE w:val="0"/>
              <w:autoSpaceDN w:val="0"/>
              <w:adjustRightInd w:val="0"/>
              <w:rPr>
                <w:rFonts w:eastAsia="Calibri"/>
                <w:color w:val="000000"/>
                <w:sz w:val="22"/>
              </w:rPr>
            </w:pPr>
          </w:p>
        </w:tc>
      </w:tr>
      <w:tr w:rsidR="00C533DF" w:rsidRPr="00B75FD7" w:rsidTr="00C533DF">
        <w:trPr>
          <w:trHeight w:val="562"/>
        </w:trPr>
        <w:tc>
          <w:tcPr>
            <w:tcW w:w="2865" w:type="dxa"/>
            <w:vMerge/>
            <w:tcBorders>
              <w:left w:val="single" w:sz="6" w:space="0" w:color="auto"/>
              <w:bottom w:val="single" w:sz="6" w:space="0" w:color="auto"/>
              <w:right w:val="single" w:sz="6" w:space="0" w:color="auto"/>
            </w:tcBorders>
            <w:shd w:val="clear" w:color="00FFFF" w:fill="C6D9F1" w:themeFill="text2" w:themeFillTint="33"/>
          </w:tcPr>
          <w:p w:rsidR="00E56296" w:rsidRPr="00B75FD7" w:rsidRDefault="00E56296" w:rsidP="00E56296">
            <w:pPr>
              <w:autoSpaceDE w:val="0"/>
              <w:autoSpaceDN w:val="0"/>
              <w:adjustRightInd w:val="0"/>
              <w:rPr>
                <w:rFonts w:eastAsia="Calibri"/>
                <w:b/>
                <w:color w:val="000000"/>
                <w:sz w:val="22"/>
              </w:rPr>
            </w:pPr>
          </w:p>
        </w:tc>
        <w:tc>
          <w:tcPr>
            <w:tcW w:w="1642" w:type="dxa"/>
            <w:tcBorders>
              <w:top w:val="single" w:sz="6" w:space="0" w:color="auto"/>
              <w:left w:val="single" w:sz="6" w:space="0" w:color="auto"/>
              <w:bottom w:val="single" w:sz="6" w:space="0" w:color="auto"/>
              <w:right w:val="single" w:sz="6" w:space="0" w:color="auto"/>
            </w:tcBorders>
          </w:tcPr>
          <w:p w:rsidR="00E56296" w:rsidRPr="00B75FD7" w:rsidRDefault="00E56296" w:rsidP="00E56296">
            <w:pPr>
              <w:autoSpaceDE w:val="0"/>
              <w:autoSpaceDN w:val="0"/>
              <w:adjustRightInd w:val="0"/>
              <w:rPr>
                <w:rFonts w:eastAsia="Calibri"/>
                <w:color w:val="000000"/>
                <w:sz w:val="22"/>
              </w:rPr>
            </w:pPr>
            <w:r w:rsidRPr="00B75FD7">
              <w:rPr>
                <w:rFonts w:eastAsia="Calibri"/>
                <w:color w:val="000000"/>
                <w:sz w:val="22"/>
              </w:rPr>
              <w:t>2000,88</w:t>
            </w:r>
          </w:p>
        </w:tc>
        <w:tc>
          <w:tcPr>
            <w:tcW w:w="1134" w:type="dxa"/>
            <w:tcBorders>
              <w:top w:val="single" w:sz="6" w:space="0" w:color="auto"/>
              <w:left w:val="single" w:sz="6" w:space="0" w:color="auto"/>
              <w:bottom w:val="single" w:sz="6" w:space="0" w:color="auto"/>
              <w:right w:val="single" w:sz="6" w:space="0" w:color="auto"/>
            </w:tcBorders>
          </w:tcPr>
          <w:p w:rsidR="00E56296" w:rsidRPr="00B75FD7" w:rsidRDefault="00E56296" w:rsidP="00E56296">
            <w:pPr>
              <w:autoSpaceDE w:val="0"/>
              <w:autoSpaceDN w:val="0"/>
              <w:adjustRightInd w:val="0"/>
              <w:rPr>
                <w:rFonts w:eastAsia="Calibri"/>
                <w:color w:val="000000"/>
                <w:sz w:val="22"/>
              </w:rPr>
            </w:pPr>
          </w:p>
        </w:tc>
        <w:tc>
          <w:tcPr>
            <w:tcW w:w="1134" w:type="dxa"/>
            <w:tcBorders>
              <w:top w:val="single" w:sz="6" w:space="0" w:color="auto"/>
              <w:left w:val="single" w:sz="6" w:space="0" w:color="auto"/>
              <w:bottom w:val="single" w:sz="6" w:space="0" w:color="auto"/>
              <w:right w:val="single" w:sz="6" w:space="0" w:color="auto"/>
            </w:tcBorders>
          </w:tcPr>
          <w:p w:rsidR="00E56296" w:rsidRPr="00B75FD7" w:rsidRDefault="00E56296" w:rsidP="00E56296">
            <w:pPr>
              <w:autoSpaceDE w:val="0"/>
              <w:autoSpaceDN w:val="0"/>
              <w:adjustRightInd w:val="0"/>
              <w:rPr>
                <w:rFonts w:eastAsia="Calibri"/>
                <w:color w:val="000000"/>
                <w:sz w:val="22"/>
              </w:rPr>
            </w:pPr>
            <w:r w:rsidRPr="00B75FD7">
              <w:rPr>
                <w:rFonts w:eastAsia="Calibri"/>
                <w:color w:val="000000"/>
                <w:sz w:val="22"/>
              </w:rPr>
              <w:t>1090,0</w:t>
            </w:r>
          </w:p>
        </w:tc>
        <w:tc>
          <w:tcPr>
            <w:tcW w:w="2247" w:type="dxa"/>
            <w:gridSpan w:val="3"/>
            <w:tcBorders>
              <w:top w:val="single" w:sz="6" w:space="0" w:color="auto"/>
              <w:left w:val="single" w:sz="6" w:space="0" w:color="auto"/>
              <w:bottom w:val="single" w:sz="6" w:space="0" w:color="auto"/>
              <w:right w:val="single" w:sz="6" w:space="0" w:color="auto"/>
            </w:tcBorders>
          </w:tcPr>
          <w:p w:rsidR="00E56296" w:rsidRPr="00B75FD7" w:rsidRDefault="00E56296" w:rsidP="00E56296">
            <w:pPr>
              <w:autoSpaceDE w:val="0"/>
              <w:autoSpaceDN w:val="0"/>
              <w:adjustRightInd w:val="0"/>
              <w:rPr>
                <w:rFonts w:eastAsia="Calibri"/>
                <w:color w:val="000000"/>
                <w:sz w:val="22"/>
              </w:rPr>
            </w:pPr>
            <w:r w:rsidRPr="00B75FD7">
              <w:rPr>
                <w:rFonts w:eastAsia="Calibri"/>
                <w:color w:val="000000"/>
                <w:sz w:val="22"/>
              </w:rPr>
              <w:t>Міжнародні інвестиції,</w:t>
            </w:r>
          </w:p>
          <w:p w:rsidR="00E56296" w:rsidRPr="00B75FD7" w:rsidRDefault="00E56296" w:rsidP="00E56296">
            <w:pPr>
              <w:autoSpaceDE w:val="0"/>
              <w:autoSpaceDN w:val="0"/>
              <w:adjustRightInd w:val="0"/>
              <w:rPr>
                <w:rFonts w:eastAsia="Calibri"/>
                <w:color w:val="000000"/>
                <w:sz w:val="22"/>
              </w:rPr>
            </w:pPr>
            <w:r w:rsidRPr="00B75FD7">
              <w:rPr>
                <w:rFonts w:eastAsia="Calibri"/>
                <w:color w:val="000000"/>
                <w:sz w:val="22"/>
              </w:rPr>
              <w:t>кошти</w:t>
            </w:r>
          </w:p>
          <w:p w:rsidR="00E56296" w:rsidRPr="00B75FD7" w:rsidRDefault="00E56296" w:rsidP="00E56296">
            <w:pPr>
              <w:autoSpaceDE w:val="0"/>
              <w:autoSpaceDN w:val="0"/>
              <w:adjustRightInd w:val="0"/>
              <w:rPr>
                <w:rFonts w:eastAsia="Calibri"/>
                <w:color w:val="000000"/>
                <w:sz w:val="22"/>
              </w:rPr>
            </w:pPr>
            <w:r w:rsidRPr="00B75FD7">
              <w:rPr>
                <w:rFonts w:eastAsia="Calibri"/>
                <w:color w:val="000000"/>
                <w:sz w:val="22"/>
              </w:rPr>
              <w:t>приватних осіб</w:t>
            </w:r>
          </w:p>
        </w:tc>
        <w:tc>
          <w:tcPr>
            <w:tcW w:w="1043" w:type="dxa"/>
            <w:tcBorders>
              <w:top w:val="single" w:sz="6" w:space="0" w:color="auto"/>
              <w:left w:val="single" w:sz="6" w:space="0" w:color="auto"/>
              <w:bottom w:val="single" w:sz="6" w:space="0" w:color="auto"/>
              <w:right w:val="single" w:sz="6" w:space="0" w:color="auto"/>
            </w:tcBorders>
          </w:tcPr>
          <w:p w:rsidR="00E56296" w:rsidRPr="00B75FD7" w:rsidRDefault="00E56296" w:rsidP="00E56296">
            <w:pPr>
              <w:autoSpaceDE w:val="0"/>
              <w:autoSpaceDN w:val="0"/>
              <w:adjustRightInd w:val="0"/>
              <w:rPr>
                <w:rFonts w:eastAsia="Calibri"/>
                <w:color w:val="000000"/>
                <w:sz w:val="22"/>
              </w:rPr>
            </w:pPr>
            <w:r w:rsidRPr="00B75FD7">
              <w:rPr>
                <w:rFonts w:eastAsia="Calibri"/>
                <w:color w:val="000000"/>
                <w:sz w:val="22"/>
              </w:rPr>
              <w:t>3090,88</w:t>
            </w:r>
          </w:p>
        </w:tc>
      </w:tr>
    </w:tbl>
    <w:p w:rsidR="00E56296" w:rsidRPr="00B75FD7" w:rsidRDefault="00E56296" w:rsidP="00E33AAA">
      <w:pPr>
        <w:tabs>
          <w:tab w:val="left" w:pos="5290"/>
        </w:tabs>
        <w:rPr>
          <w:b/>
          <w:sz w:val="22"/>
          <w:szCs w:val="22"/>
        </w:rPr>
      </w:pPr>
    </w:p>
    <w:p w:rsidR="00E56296" w:rsidRPr="00B75FD7" w:rsidRDefault="00E56296" w:rsidP="00E33AAA">
      <w:pPr>
        <w:tabs>
          <w:tab w:val="left" w:pos="5290"/>
        </w:tabs>
        <w:rPr>
          <w:b/>
          <w:sz w:val="22"/>
          <w:szCs w:val="22"/>
        </w:rPr>
      </w:pPr>
    </w:p>
    <w:p w:rsidR="001F6063" w:rsidRPr="00B75FD7" w:rsidRDefault="001F6063" w:rsidP="00E33AAA">
      <w:pPr>
        <w:tabs>
          <w:tab w:val="left" w:pos="5290"/>
        </w:tabs>
        <w:rPr>
          <w:b/>
          <w:sz w:val="22"/>
          <w:szCs w:val="22"/>
        </w:rPr>
      </w:pPr>
    </w:p>
    <w:p w:rsidR="00C533DF" w:rsidRPr="00B75FD7" w:rsidRDefault="00C533DF" w:rsidP="00E33AAA">
      <w:pPr>
        <w:tabs>
          <w:tab w:val="left" w:pos="5290"/>
        </w:tabs>
        <w:rPr>
          <w:b/>
          <w:sz w:val="22"/>
          <w:szCs w:val="22"/>
        </w:rPr>
      </w:pPr>
    </w:p>
    <w:p w:rsidR="00C533DF" w:rsidRPr="00B75FD7" w:rsidRDefault="00C533DF" w:rsidP="00E33AAA">
      <w:pPr>
        <w:tabs>
          <w:tab w:val="left" w:pos="5290"/>
        </w:tabs>
        <w:rPr>
          <w:b/>
          <w:sz w:val="22"/>
          <w:szCs w:val="22"/>
        </w:rPr>
      </w:pPr>
    </w:p>
    <w:p w:rsidR="00C533DF" w:rsidRPr="00B75FD7" w:rsidRDefault="00C533DF" w:rsidP="00E33AAA">
      <w:pPr>
        <w:tabs>
          <w:tab w:val="left" w:pos="5290"/>
        </w:tabs>
        <w:rPr>
          <w:b/>
          <w:sz w:val="22"/>
          <w:szCs w:val="22"/>
        </w:rPr>
      </w:pPr>
    </w:p>
    <w:p w:rsidR="00C533DF" w:rsidRPr="00B75FD7" w:rsidRDefault="00C533DF" w:rsidP="00E33AAA">
      <w:pPr>
        <w:tabs>
          <w:tab w:val="left" w:pos="5290"/>
        </w:tabs>
        <w:rPr>
          <w:b/>
          <w:sz w:val="22"/>
          <w:szCs w:val="22"/>
        </w:rPr>
      </w:pPr>
    </w:p>
    <w:p w:rsidR="00C533DF" w:rsidRPr="00B75FD7" w:rsidRDefault="00C533DF" w:rsidP="00E33AAA">
      <w:pPr>
        <w:tabs>
          <w:tab w:val="left" w:pos="5290"/>
        </w:tabs>
        <w:rPr>
          <w:b/>
          <w:sz w:val="22"/>
          <w:szCs w:val="22"/>
        </w:rPr>
      </w:pPr>
    </w:p>
    <w:p w:rsidR="00C533DF" w:rsidRPr="00B75FD7" w:rsidRDefault="00C533DF" w:rsidP="00E33AAA">
      <w:pPr>
        <w:tabs>
          <w:tab w:val="left" w:pos="5290"/>
        </w:tabs>
        <w:rPr>
          <w:b/>
          <w:sz w:val="22"/>
          <w:szCs w:val="22"/>
        </w:rPr>
      </w:pPr>
    </w:p>
    <w:p w:rsidR="00C533DF" w:rsidRPr="00B75FD7" w:rsidRDefault="00C533DF" w:rsidP="00E33AAA">
      <w:pPr>
        <w:tabs>
          <w:tab w:val="left" w:pos="5290"/>
        </w:tabs>
        <w:rPr>
          <w:b/>
          <w:sz w:val="22"/>
          <w:szCs w:val="22"/>
        </w:rPr>
      </w:pPr>
    </w:p>
    <w:p w:rsidR="00C533DF" w:rsidRPr="00B75FD7" w:rsidRDefault="00C533DF" w:rsidP="00E33AAA">
      <w:pPr>
        <w:tabs>
          <w:tab w:val="left" w:pos="5290"/>
        </w:tabs>
        <w:rPr>
          <w:b/>
          <w:sz w:val="22"/>
          <w:szCs w:val="22"/>
        </w:rPr>
      </w:pPr>
    </w:p>
    <w:tbl>
      <w:tblPr>
        <w:tblpPr w:leftFromText="180" w:rightFromText="180" w:vertAnchor="text" w:horzAnchor="margin" w:tblpX="-224" w:tblpY="50"/>
        <w:tblW w:w="9923" w:type="dxa"/>
        <w:tblLayout w:type="fixed"/>
        <w:tblCellMar>
          <w:left w:w="30" w:type="dxa"/>
          <w:right w:w="30" w:type="dxa"/>
        </w:tblCellMar>
        <w:tblLook w:val="0000" w:firstRow="0" w:lastRow="0" w:firstColumn="0" w:lastColumn="0" w:noHBand="0" w:noVBand="0"/>
      </w:tblPr>
      <w:tblGrid>
        <w:gridCol w:w="2836"/>
        <w:gridCol w:w="1305"/>
        <w:gridCol w:w="1276"/>
        <w:gridCol w:w="1134"/>
        <w:gridCol w:w="335"/>
        <w:gridCol w:w="1366"/>
        <w:gridCol w:w="52"/>
        <w:gridCol w:w="1619"/>
      </w:tblGrid>
      <w:tr w:rsidR="00C533DF" w:rsidRPr="00B75FD7" w:rsidTr="00C533DF">
        <w:trPr>
          <w:trHeight w:val="555"/>
        </w:trPr>
        <w:tc>
          <w:tcPr>
            <w:tcW w:w="2836"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533DF" w:rsidRPr="00B75FD7" w:rsidRDefault="00C533DF" w:rsidP="00C533DF">
            <w:pPr>
              <w:autoSpaceDE w:val="0"/>
              <w:autoSpaceDN w:val="0"/>
              <w:adjustRightInd w:val="0"/>
              <w:rPr>
                <w:rFonts w:eastAsia="Calibri"/>
                <w:b/>
                <w:color w:val="000000"/>
                <w:sz w:val="22"/>
              </w:rPr>
            </w:pPr>
            <w:r w:rsidRPr="00B75FD7">
              <w:rPr>
                <w:rFonts w:eastAsia="Calibri"/>
                <w:b/>
                <w:color w:val="000000"/>
                <w:sz w:val="22"/>
              </w:rPr>
              <w:t>Оперативна ціль/завдання</w:t>
            </w:r>
          </w:p>
        </w:tc>
        <w:tc>
          <w:tcPr>
            <w:tcW w:w="7087" w:type="dxa"/>
            <w:gridSpan w:val="7"/>
            <w:tcBorders>
              <w:top w:val="single" w:sz="6" w:space="0" w:color="auto"/>
              <w:left w:val="single" w:sz="6" w:space="0" w:color="auto"/>
              <w:bottom w:val="single" w:sz="6" w:space="0" w:color="auto"/>
              <w:right w:val="single" w:sz="6" w:space="0" w:color="auto"/>
            </w:tcBorders>
          </w:tcPr>
          <w:p w:rsidR="00C533DF" w:rsidRPr="00B75FD7" w:rsidRDefault="00C533DF" w:rsidP="00C533DF">
            <w:pPr>
              <w:autoSpaceDE w:val="0"/>
              <w:autoSpaceDN w:val="0"/>
              <w:adjustRightInd w:val="0"/>
              <w:rPr>
                <w:rFonts w:eastAsia="Calibri"/>
                <w:color w:val="000000"/>
                <w:sz w:val="22"/>
              </w:rPr>
            </w:pPr>
            <w:r w:rsidRPr="00B75FD7">
              <w:rPr>
                <w:rFonts w:eastAsia="Calibri"/>
                <w:color w:val="000000"/>
                <w:sz w:val="22"/>
              </w:rPr>
              <w:t xml:space="preserve">Людський розвиток через інновації управління та довіру до влади. Формування сучасного інклюзивного  </w:t>
            </w:r>
            <w:proofErr w:type="spellStart"/>
            <w:r w:rsidRPr="00B75FD7">
              <w:rPr>
                <w:rFonts w:eastAsia="Calibri"/>
                <w:color w:val="000000"/>
                <w:sz w:val="22"/>
              </w:rPr>
              <w:t>освітньо</w:t>
            </w:r>
            <w:proofErr w:type="spellEnd"/>
            <w:r w:rsidRPr="00B75FD7">
              <w:rPr>
                <w:rFonts w:eastAsia="Calibri"/>
                <w:color w:val="000000"/>
                <w:sz w:val="22"/>
              </w:rPr>
              <w:t>-культурного та спортивного простору для розвитку.</w:t>
            </w:r>
          </w:p>
        </w:tc>
      </w:tr>
      <w:tr w:rsidR="00C533DF" w:rsidRPr="00B75FD7" w:rsidTr="00C533DF">
        <w:trPr>
          <w:trHeight w:val="691"/>
        </w:trPr>
        <w:tc>
          <w:tcPr>
            <w:tcW w:w="2836"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533DF" w:rsidRPr="00B75FD7" w:rsidRDefault="00C533DF" w:rsidP="00C533DF">
            <w:pPr>
              <w:autoSpaceDE w:val="0"/>
              <w:autoSpaceDN w:val="0"/>
              <w:adjustRightInd w:val="0"/>
              <w:rPr>
                <w:rFonts w:eastAsia="Calibri"/>
                <w:b/>
                <w:color w:val="000000"/>
                <w:sz w:val="22"/>
              </w:rPr>
            </w:pPr>
            <w:r w:rsidRPr="00B75FD7">
              <w:rPr>
                <w:rFonts w:eastAsia="Calibri"/>
                <w:b/>
                <w:color w:val="000000"/>
                <w:sz w:val="22"/>
              </w:rPr>
              <w:t>Назва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C533DF" w:rsidRPr="00B75FD7" w:rsidRDefault="00C533DF" w:rsidP="00C533DF">
            <w:pPr>
              <w:autoSpaceDE w:val="0"/>
              <w:autoSpaceDN w:val="0"/>
              <w:adjustRightInd w:val="0"/>
              <w:rPr>
                <w:rFonts w:eastAsia="Calibri"/>
                <w:color w:val="000000"/>
                <w:sz w:val="22"/>
              </w:rPr>
            </w:pPr>
            <w:r w:rsidRPr="00B75FD7">
              <w:rPr>
                <w:rFonts w:eastAsia="Calibri"/>
                <w:color w:val="000000"/>
                <w:sz w:val="22"/>
              </w:rPr>
              <w:t>Оснащення групових приміщень, кабінетів директора, вихователя-методиста, кабінетів спеціалістів, музичної зали.  Оснащення господарчого блоку: харчоблоку, комори, пральні Ясел-садка № 26 м. Сєвєродонецька Луганської обл., вул. Сметаніна,16</w:t>
            </w:r>
          </w:p>
        </w:tc>
      </w:tr>
      <w:tr w:rsidR="00C533DF" w:rsidRPr="00B75FD7" w:rsidTr="00C533DF">
        <w:trPr>
          <w:trHeight w:val="1109"/>
        </w:trPr>
        <w:tc>
          <w:tcPr>
            <w:tcW w:w="2836"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533DF" w:rsidRPr="00B75FD7" w:rsidRDefault="00C533DF" w:rsidP="00C533DF">
            <w:pPr>
              <w:autoSpaceDE w:val="0"/>
              <w:autoSpaceDN w:val="0"/>
              <w:adjustRightInd w:val="0"/>
              <w:rPr>
                <w:rFonts w:eastAsia="Calibri"/>
                <w:b/>
                <w:color w:val="000000"/>
                <w:sz w:val="22"/>
              </w:rPr>
            </w:pPr>
            <w:r w:rsidRPr="00B75FD7">
              <w:rPr>
                <w:rFonts w:eastAsia="Calibri"/>
                <w:b/>
                <w:color w:val="000000"/>
                <w:sz w:val="22"/>
              </w:rPr>
              <w:t>Ціль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C533DF" w:rsidRPr="00B75FD7" w:rsidRDefault="00C533DF" w:rsidP="00C533DF">
            <w:pPr>
              <w:rPr>
                <w:rFonts w:eastAsia="Calibri"/>
                <w:sz w:val="22"/>
              </w:rPr>
            </w:pPr>
            <w:r w:rsidRPr="00B75FD7">
              <w:rPr>
                <w:rFonts w:eastAsia="Calibri"/>
                <w:sz w:val="22"/>
              </w:rPr>
              <w:t>1.Створення сучасного розвивального середовища, яке відповідає комфортним, санітарним умо</w:t>
            </w:r>
            <w:r w:rsidR="00D94F0E" w:rsidRPr="00B75FD7">
              <w:rPr>
                <w:rFonts w:eastAsia="Calibri"/>
                <w:sz w:val="22"/>
              </w:rPr>
              <w:t xml:space="preserve">вам, віковим особливостям дітей </w:t>
            </w:r>
            <w:r w:rsidRPr="00B75FD7">
              <w:rPr>
                <w:rFonts w:eastAsia="Calibri"/>
                <w:sz w:val="22"/>
              </w:rPr>
              <w:t xml:space="preserve">з урахуванням принципів доступності, мобільності, змістовності, варіативності, естетичності   Ясел-садка № 26 </w:t>
            </w:r>
            <w:proofErr w:type="spellStart"/>
            <w:r w:rsidRPr="00B75FD7">
              <w:rPr>
                <w:rFonts w:eastAsia="Calibri"/>
                <w:sz w:val="22"/>
              </w:rPr>
              <w:t>м.Сєвєродонецька</w:t>
            </w:r>
            <w:proofErr w:type="spellEnd"/>
            <w:r w:rsidRPr="00B75FD7">
              <w:rPr>
                <w:rFonts w:eastAsia="Calibri"/>
                <w:sz w:val="22"/>
              </w:rPr>
              <w:t xml:space="preserve"> Луганської області, </w:t>
            </w:r>
          </w:p>
          <w:p w:rsidR="00C533DF" w:rsidRPr="00B75FD7" w:rsidRDefault="00C533DF" w:rsidP="00C533DF">
            <w:pPr>
              <w:rPr>
                <w:rFonts w:eastAsia="Calibri"/>
                <w:color w:val="000000"/>
                <w:sz w:val="22"/>
              </w:rPr>
            </w:pPr>
            <w:r w:rsidRPr="00B75FD7">
              <w:rPr>
                <w:rFonts w:eastAsia="Calibri"/>
                <w:color w:val="000000"/>
                <w:sz w:val="22"/>
              </w:rPr>
              <w:t xml:space="preserve">2.Підвищення якості та безпечності організації харчування дітей в закладі дошкільної освіти шляхом придбання кухонного обладнання харчоблока, а також створення безпечних та комфортних умов праці для працівників харчоблока.     </w:t>
            </w:r>
          </w:p>
          <w:p w:rsidR="00C533DF" w:rsidRPr="00B75FD7" w:rsidRDefault="00C533DF" w:rsidP="00D94F0E">
            <w:pPr>
              <w:rPr>
                <w:rFonts w:eastAsia="Calibri"/>
                <w:sz w:val="22"/>
              </w:rPr>
            </w:pPr>
            <w:r w:rsidRPr="00B75FD7">
              <w:rPr>
                <w:rFonts w:eastAsia="Calibri"/>
                <w:color w:val="000000"/>
                <w:sz w:val="22"/>
              </w:rPr>
              <w:t xml:space="preserve">3. Створення відповідних умов дотримання вимог Санітарного регламенту ЗДО щодо утримання приміщення закладу, економного та швидкого прання великої кількості постільної білизни та рушників, спецодягу працівників Ясла-садка № 26, покращення належних умов праці. Збереження здоров'я дітей та працівників, запобігання захворювання </w:t>
            </w:r>
            <w:r w:rsidRPr="00B75FD7">
              <w:rPr>
                <w:rFonts w:eastAsia="Calibri"/>
                <w:sz w:val="22"/>
              </w:rPr>
              <w:t>шляхом оснащення всіх приміщень дошкільного закладу.</w:t>
            </w:r>
          </w:p>
        </w:tc>
      </w:tr>
      <w:tr w:rsidR="00C533DF" w:rsidRPr="00B75FD7" w:rsidTr="00C533DF">
        <w:trPr>
          <w:trHeight w:val="290"/>
        </w:trPr>
        <w:tc>
          <w:tcPr>
            <w:tcW w:w="2836"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533DF" w:rsidRPr="00B75FD7" w:rsidRDefault="00C533DF" w:rsidP="00C533DF">
            <w:pPr>
              <w:autoSpaceDE w:val="0"/>
              <w:autoSpaceDN w:val="0"/>
              <w:adjustRightInd w:val="0"/>
              <w:rPr>
                <w:rFonts w:eastAsia="Calibri"/>
                <w:b/>
                <w:color w:val="000000"/>
                <w:sz w:val="22"/>
              </w:rPr>
            </w:pPr>
            <w:r w:rsidRPr="00B75FD7">
              <w:rPr>
                <w:rFonts w:eastAsia="Calibri"/>
                <w:b/>
                <w:color w:val="000000"/>
                <w:sz w:val="22"/>
              </w:rPr>
              <w:t>Територія, на яку матиме вплив реалізація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C533DF" w:rsidRPr="00B75FD7" w:rsidRDefault="00C533DF" w:rsidP="00C533DF">
            <w:pPr>
              <w:autoSpaceDE w:val="0"/>
              <w:autoSpaceDN w:val="0"/>
              <w:adjustRightInd w:val="0"/>
              <w:rPr>
                <w:rFonts w:eastAsia="Calibri"/>
                <w:color w:val="000000"/>
                <w:sz w:val="22"/>
              </w:rPr>
            </w:pPr>
            <w:r w:rsidRPr="00B75FD7">
              <w:rPr>
                <w:rFonts w:eastAsia="Calibri"/>
                <w:color w:val="000000"/>
                <w:sz w:val="22"/>
              </w:rPr>
              <w:t>Сєвєродонецька міська територіальна громада</w:t>
            </w:r>
          </w:p>
        </w:tc>
      </w:tr>
      <w:tr w:rsidR="00C533DF" w:rsidRPr="00B75FD7" w:rsidTr="00C533DF">
        <w:trPr>
          <w:trHeight w:val="846"/>
        </w:trPr>
        <w:tc>
          <w:tcPr>
            <w:tcW w:w="2836"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533DF" w:rsidRPr="00B75FD7" w:rsidRDefault="00C533DF" w:rsidP="00C533DF">
            <w:pPr>
              <w:autoSpaceDE w:val="0"/>
              <w:autoSpaceDN w:val="0"/>
              <w:adjustRightInd w:val="0"/>
              <w:rPr>
                <w:rFonts w:eastAsia="Calibri"/>
                <w:b/>
                <w:color w:val="000000"/>
                <w:sz w:val="22"/>
              </w:rPr>
            </w:pPr>
            <w:r w:rsidRPr="00B75FD7">
              <w:rPr>
                <w:rFonts w:eastAsia="Calibri"/>
                <w:b/>
                <w:color w:val="000000"/>
                <w:sz w:val="22"/>
              </w:rPr>
              <w:t>Чисельність населення, на яке матиме вплив реалізація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C533DF" w:rsidRPr="00B75FD7" w:rsidRDefault="00C533DF" w:rsidP="00C533DF">
            <w:pPr>
              <w:autoSpaceDE w:val="0"/>
              <w:autoSpaceDN w:val="0"/>
              <w:adjustRightInd w:val="0"/>
              <w:rPr>
                <w:rFonts w:eastAsia="Calibri"/>
                <w:color w:val="000000"/>
                <w:sz w:val="22"/>
              </w:rPr>
            </w:pPr>
            <w:r w:rsidRPr="00B75FD7">
              <w:rPr>
                <w:rFonts w:eastAsia="Calibri"/>
                <w:color w:val="000000"/>
                <w:sz w:val="22"/>
              </w:rPr>
              <w:t>70000 осіб</w:t>
            </w:r>
          </w:p>
        </w:tc>
      </w:tr>
      <w:tr w:rsidR="00C533DF" w:rsidRPr="00B75FD7" w:rsidTr="00C533DF">
        <w:trPr>
          <w:trHeight w:val="1261"/>
        </w:trPr>
        <w:tc>
          <w:tcPr>
            <w:tcW w:w="2836"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533DF" w:rsidRPr="00B75FD7" w:rsidRDefault="00C533DF" w:rsidP="00C533DF">
            <w:pPr>
              <w:autoSpaceDE w:val="0"/>
              <w:autoSpaceDN w:val="0"/>
              <w:adjustRightInd w:val="0"/>
              <w:rPr>
                <w:rFonts w:eastAsia="Calibri"/>
                <w:b/>
                <w:color w:val="000000"/>
                <w:sz w:val="22"/>
              </w:rPr>
            </w:pPr>
            <w:r w:rsidRPr="00B75FD7">
              <w:rPr>
                <w:rFonts w:eastAsia="Calibri"/>
                <w:b/>
                <w:color w:val="000000"/>
                <w:sz w:val="22"/>
              </w:rPr>
              <w:t>Опис проблеми, на вирішення якої спрямований проект</w:t>
            </w:r>
          </w:p>
        </w:tc>
        <w:tc>
          <w:tcPr>
            <w:tcW w:w="7087" w:type="dxa"/>
            <w:gridSpan w:val="7"/>
            <w:tcBorders>
              <w:top w:val="single" w:sz="6" w:space="0" w:color="auto"/>
              <w:left w:val="single" w:sz="6" w:space="0" w:color="auto"/>
              <w:bottom w:val="single" w:sz="6" w:space="0" w:color="auto"/>
              <w:right w:val="single" w:sz="6" w:space="0" w:color="auto"/>
            </w:tcBorders>
          </w:tcPr>
          <w:p w:rsidR="00C533DF" w:rsidRPr="00B75FD7" w:rsidRDefault="00C533DF" w:rsidP="00C533DF">
            <w:pPr>
              <w:autoSpaceDE w:val="0"/>
              <w:autoSpaceDN w:val="0"/>
              <w:adjustRightInd w:val="0"/>
              <w:spacing w:line="256" w:lineRule="auto"/>
              <w:rPr>
                <w:rFonts w:eastAsia="Calibri"/>
                <w:color w:val="000000"/>
                <w:sz w:val="22"/>
              </w:rPr>
            </w:pPr>
            <w:r w:rsidRPr="00B75FD7">
              <w:rPr>
                <w:rFonts w:eastAsia="Calibri"/>
                <w:color w:val="000000"/>
                <w:sz w:val="22"/>
              </w:rPr>
              <w:t xml:space="preserve">З урахуванням реалій сьогодення та збройної агресії </w:t>
            </w:r>
            <w:r w:rsidR="00E9762B" w:rsidRPr="00B75FD7">
              <w:rPr>
                <w:rFonts w:eastAsia="Calibri"/>
                <w:color w:val="000000"/>
                <w:sz w:val="22"/>
              </w:rPr>
              <w:t>РФ</w:t>
            </w:r>
            <w:r w:rsidRPr="00B75FD7">
              <w:rPr>
                <w:rFonts w:eastAsia="Calibri"/>
                <w:color w:val="000000"/>
                <w:sz w:val="22"/>
              </w:rPr>
              <w:t>, питання</w:t>
            </w:r>
          </w:p>
          <w:p w:rsidR="00C533DF" w:rsidRPr="00B75FD7" w:rsidRDefault="00E9762B" w:rsidP="00C533DF">
            <w:pPr>
              <w:autoSpaceDE w:val="0"/>
              <w:autoSpaceDN w:val="0"/>
              <w:adjustRightInd w:val="0"/>
              <w:spacing w:line="256" w:lineRule="auto"/>
              <w:rPr>
                <w:rFonts w:eastAsia="Calibri"/>
                <w:color w:val="000000"/>
                <w:sz w:val="22"/>
              </w:rPr>
            </w:pPr>
            <w:r w:rsidRPr="00B75FD7">
              <w:rPr>
                <w:rFonts w:eastAsia="Calibri"/>
                <w:color w:val="000000"/>
                <w:sz w:val="22"/>
              </w:rPr>
              <w:t>с</w:t>
            </w:r>
            <w:r w:rsidR="00C533DF" w:rsidRPr="00B75FD7">
              <w:rPr>
                <w:rFonts w:eastAsia="Calibri"/>
                <w:color w:val="000000"/>
                <w:sz w:val="22"/>
              </w:rPr>
              <w:t xml:space="preserve">творення безпечного, комфортного, інклюзивного середовища для всіх учасників освітнього процесу та підвищення якості освітньої діяльності закладів дошкільної освіти і надалі залишаються пріоритетними. Під час бойових дій в місті </w:t>
            </w:r>
            <w:proofErr w:type="spellStart"/>
            <w:r w:rsidR="00C533DF" w:rsidRPr="00B75FD7">
              <w:rPr>
                <w:rFonts w:eastAsia="Calibri"/>
                <w:color w:val="000000"/>
                <w:sz w:val="22"/>
              </w:rPr>
              <w:t>Сєвєродонецк</w:t>
            </w:r>
            <w:proofErr w:type="spellEnd"/>
            <w:r w:rsidR="00C533DF" w:rsidRPr="00B75FD7">
              <w:rPr>
                <w:rFonts w:eastAsia="Calibri"/>
                <w:color w:val="000000"/>
                <w:sz w:val="22"/>
              </w:rPr>
              <w:t xml:space="preserve"> будівля Ясла-садка № 26 м. Сєвєродонецька по вулиці </w:t>
            </w:r>
            <w:proofErr w:type="spellStart"/>
            <w:r w:rsidR="00C533DF" w:rsidRPr="00B75FD7">
              <w:rPr>
                <w:rFonts w:eastAsia="Calibri"/>
                <w:color w:val="000000"/>
                <w:sz w:val="22"/>
              </w:rPr>
              <w:t>Сметаніна</w:t>
            </w:r>
            <w:proofErr w:type="spellEnd"/>
            <w:r w:rsidR="00C533DF" w:rsidRPr="00B75FD7">
              <w:rPr>
                <w:rFonts w:eastAsia="Calibri"/>
                <w:color w:val="000000"/>
                <w:sz w:val="22"/>
              </w:rPr>
              <w:t xml:space="preserve">, 16 та все оснащення закладу було пошкоджено та </w:t>
            </w:r>
            <w:proofErr w:type="spellStart"/>
            <w:r w:rsidR="00C533DF" w:rsidRPr="00B75FD7">
              <w:rPr>
                <w:rFonts w:eastAsia="Calibri"/>
                <w:color w:val="000000"/>
                <w:sz w:val="22"/>
              </w:rPr>
              <w:t>розграблене</w:t>
            </w:r>
            <w:proofErr w:type="spellEnd"/>
            <w:r w:rsidR="00C533DF" w:rsidRPr="00B75FD7">
              <w:rPr>
                <w:rFonts w:eastAsia="Calibri"/>
                <w:color w:val="000000"/>
                <w:sz w:val="22"/>
              </w:rPr>
              <w:t xml:space="preserve">. </w:t>
            </w:r>
            <w:proofErr w:type="spellStart"/>
            <w:r w:rsidR="00C533DF" w:rsidRPr="00B75FD7">
              <w:rPr>
                <w:rFonts w:eastAsia="Calibri"/>
                <w:color w:val="000000"/>
                <w:sz w:val="22"/>
              </w:rPr>
              <w:t>Проєкт</w:t>
            </w:r>
            <w:proofErr w:type="spellEnd"/>
            <w:r w:rsidR="00C533DF" w:rsidRPr="00B75FD7">
              <w:rPr>
                <w:rFonts w:eastAsia="Calibri"/>
                <w:color w:val="000000"/>
                <w:sz w:val="22"/>
              </w:rPr>
              <w:t xml:space="preserve"> </w:t>
            </w:r>
            <w:proofErr w:type="spellStart"/>
            <w:r w:rsidR="00C533DF" w:rsidRPr="00B75FD7">
              <w:rPr>
                <w:rFonts w:eastAsia="Calibri"/>
                <w:color w:val="000000"/>
                <w:sz w:val="22"/>
              </w:rPr>
              <w:t>надасть</w:t>
            </w:r>
            <w:proofErr w:type="spellEnd"/>
            <w:r w:rsidR="00C533DF" w:rsidRPr="00B75FD7">
              <w:rPr>
                <w:rFonts w:eastAsia="Calibri"/>
                <w:color w:val="000000"/>
                <w:sz w:val="22"/>
              </w:rPr>
              <w:t xml:space="preserve"> можливість відновити матеріально-технічну базу Ясла-садка. Ці адміністративно-господарські та фінансові заходи, спрямовані на створення розвивального, життєвого та універсального простору дитини в дитячому садку: оснащення групових приміщень (ігрова зона, спальна зона, роздягальня, </w:t>
            </w:r>
            <w:proofErr w:type="spellStart"/>
            <w:r w:rsidR="00C533DF" w:rsidRPr="00B75FD7">
              <w:rPr>
                <w:rFonts w:eastAsia="Calibri"/>
                <w:color w:val="000000"/>
                <w:sz w:val="22"/>
              </w:rPr>
              <w:t>партомийка</w:t>
            </w:r>
            <w:proofErr w:type="spellEnd"/>
            <w:r w:rsidR="00C533DF" w:rsidRPr="00B75FD7">
              <w:rPr>
                <w:rFonts w:eastAsia="Calibri"/>
                <w:color w:val="000000"/>
                <w:sz w:val="22"/>
              </w:rPr>
              <w:t xml:space="preserve"> та туалетні кімнати), кабінетів директора, вихователя-методиста, медичної сестри, кабінету психолога, вчителя-логопеда, керівника музичного, діловода, завгоспа, каштелянки. Придбання меблів, м'якого інвентарю, ігрового матеріалу. Від того</w:t>
            </w:r>
            <w:r w:rsidRPr="00B75FD7">
              <w:rPr>
                <w:rFonts w:eastAsia="Calibri"/>
                <w:color w:val="000000"/>
                <w:sz w:val="22"/>
              </w:rPr>
              <w:t>,</w:t>
            </w:r>
            <w:r w:rsidR="00C533DF" w:rsidRPr="00B75FD7">
              <w:rPr>
                <w:rFonts w:eastAsia="Calibri"/>
                <w:color w:val="000000"/>
                <w:sz w:val="22"/>
              </w:rPr>
              <w:t xml:space="preserve"> в яких умовах буде розвиватися  дитина</w:t>
            </w:r>
            <w:r w:rsidRPr="00B75FD7">
              <w:rPr>
                <w:rFonts w:eastAsia="Calibri"/>
                <w:color w:val="000000"/>
                <w:sz w:val="22"/>
              </w:rPr>
              <w:t>,</w:t>
            </w:r>
            <w:r w:rsidR="00C533DF" w:rsidRPr="00B75FD7">
              <w:rPr>
                <w:rFonts w:eastAsia="Calibri"/>
                <w:color w:val="000000"/>
                <w:sz w:val="22"/>
              </w:rPr>
              <w:t xml:space="preserve"> залежить не тільки якість розвитку, а її здоров`я та майбутнє. Дитячі меблі </w:t>
            </w:r>
            <w:r w:rsidRPr="00B75FD7">
              <w:rPr>
                <w:rFonts w:eastAsia="Calibri"/>
                <w:color w:val="000000"/>
                <w:sz w:val="22"/>
              </w:rPr>
              <w:t xml:space="preserve">- </w:t>
            </w:r>
            <w:r w:rsidR="00C533DF" w:rsidRPr="00B75FD7">
              <w:rPr>
                <w:rFonts w:eastAsia="Calibri"/>
                <w:color w:val="000000"/>
                <w:sz w:val="22"/>
              </w:rPr>
              <w:t xml:space="preserve">це необхідний мінімум для того, щоб належним чином організувати </w:t>
            </w:r>
            <w:proofErr w:type="spellStart"/>
            <w:r w:rsidR="00C533DF" w:rsidRPr="00B75FD7">
              <w:rPr>
                <w:rFonts w:eastAsia="Calibri"/>
                <w:color w:val="000000"/>
                <w:sz w:val="22"/>
              </w:rPr>
              <w:t>освітньо</w:t>
            </w:r>
            <w:proofErr w:type="spellEnd"/>
            <w:r w:rsidR="00C533DF" w:rsidRPr="00B75FD7">
              <w:rPr>
                <w:rFonts w:eastAsia="Calibri"/>
                <w:color w:val="000000"/>
                <w:sz w:val="22"/>
              </w:rPr>
              <w:t xml:space="preserve">-виховний процес, а для цього треба придбати сучасні меблі </w:t>
            </w:r>
            <w:r w:rsidRPr="00B75FD7">
              <w:rPr>
                <w:rFonts w:eastAsia="Calibri"/>
                <w:color w:val="000000"/>
                <w:sz w:val="22"/>
              </w:rPr>
              <w:t xml:space="preserve">- </w:t>
            </w:r>
            <w:r w:rsidR="00C533DF" w:rsidRPr="00B75FD7">
              <w:rPr>
                <w:rFonts w:eastAsia="Calibri"/>
                <w:color w:val="000000"/>
                <w:sz w:val="22"/>
              </w:rPr>
              <w:t xml:space="preserve">зручні, функціональні, комфортабельні, безпечні та ергономічні, які відповідають всім гігієнічним вимогам.  </w:t>
            </w:r>
          </w:p>
          <w:p w:rsidR="00C533DF" w:rsidRPr="00B75FD7" w:rsidRDefault="00C533DF" w:rsidP="00C533DF">
            <w:pPr>
              <w:autoSpaceDE w:val="0"/>
              <w:autoSpaceDN w:val="0"/>
              <w:adjustRightInd w:val="0"/>
              <w:spacing w:line="256" w:lineRule="auto"/>
              <w:rPr>
                <w:rFonts w:eastAsia="Calibri"/>
                <w:color w:val="000000"/>
                <w:sz w:val="22"/>
              </w:rPr>
            </w:pPr>
            <w:r w:rsidRPr="00B75FD7">
              <w:rPr>
                <w:rFonts w:eastAsia="Calibri"/>
                <w:color w:val="000000"/>
                <w:sz w:val="22"/>
              </w:rPr>
              <w:t xml:space="preserve">Даний </w:t>
            </w:r>
            <w:proofErr w:type="spellStart"/>
            <w:r w:rsidRPr="00B75FD7">
              <w:rPr>
                <w:rFonts w:eastAsia="Calibri"/>
                <w:color w:val="000000"/>
                <w:sz w:val="22"/>
              </w:rPr>
              <w:t>проєкт</w:t>
            </w:r>
            <w:proofErr w:type="spellEnd"/>
            <w:r w:rsidRPr="00B75FD7">
              <w:rPr>
                <w:rFonts w:eastAsia="Calibri"/>
                <w:color w:val="000000"/>
                <w:sz w:val="22"/>
              </w:rPr>
              <w:t xml:space="preserve"> передбачає оновлення матеріальної бази дошкільного закладу, модернізацію спортивно-музичного осередку, який би відповідав  освітнім вимогам Примірному переліку ігрового та навчально-</w:t>
            </w:r>
            <w:r w:rsidRPr="00B75FD7">
              <w:rPr>
                <w:rFonts w:eastAsia="Calibri"/>
                <w:color w:val="000000"/>
                <w:sz w:val="22"/>
              </w:rPr>
              <w:lastRenderedPageBreak/>
              <w:t>дидактичного обладнання для закладів дошкільної освіти Наказ МОН України від 19.12.17 № 1633, сприяв би активізації рухової активності дітей</w:t>
            </w:r>
            <w:r w:rsidR="00E9762B" w:rsidRPr="00B75FD7">
              <w:rPr>
                <w:rFonts w:eastAsia="Calibri"/>
                <w:color w:val="000000"/>
                <w:sz w:val="22"/>
              </w:rPr>
              <w:t>.</w:t>
            </w:r>
            <w:r w:rsidRPr="00B75FD7">
              <w:rPr>
                <w:rFonts w:eastAsia="Calibri"/>
                <w:color w:val="000000"/>
                <w:sz w:val="22"/>
              </w:rPr>
              <w:t xml:space="preserve"> </w:t>
            </w:r>
            <w:r w:rsidR="00E9762B" w:rsidRPr="00B75FD7">
              <w:rPr>
                <w:rFonts w:eastAsia="Calibri"/>
                <w:color w:val="000000"/>
                <w:sz w:val="22"/>
              </w:rPr>
              <w:t>Т</w:t>
            </w:r>
            <w:r w:rsidRPr="00B75FD7">
              <w:rPr>
                <w:rFonts w:eastAsia="Calibri"/>
                <w:color w:val="000000"/>
                <w:sz w:val="22"/>
              </w:rPr>
              <w:t xml:space="preserve">акож  даний </w:t>
            </w:r>
            <w:proofErr w:type="spellStart"/>
            <w:r w:rsidRPr="00B75FD7">
              <w:rPr>
                <w:rFonts w:eastAsia="Calibri"/>
                <w:color w:val="000000"/>
                <w:sz w:val="22"/>
              </w:rPr>
              <w:t>проєкт</w:t>
            </w:r>
            <w:proofErr w:type="spellEnd"/>
            <w:r w:rsidRPr="00B75FD7">
              <w:rPr>
                <w:rFonts w:eastAsia="Calibri"/>
                <w:color w:val="000000"/>
                <w:sz w:val="22"/>
              </w:rPr>
              <w:t xml:space="preserve"> передбачає організацію та підвищення результативності </w:t>
            </w:r>
            <w:proofErr w:type="spellStart"/>
            <w:r w:rsidRPr="00B75FD7">
              <w:rPr>
                <w:rFonts w:eastAsia="Calibri"/>
                <w:color w:val="000000"/>
                <w:sz w:val="22"/>
              </w:rPr>
              <w:t>освітньо</w:t>
            </w:r>
            <w:proofErr w:type="spellEnd"/>
            <w:r w:rsidRPr="00B75FD7">
              <w:rPr>
                <w:rFonts w:eastAsia="Calibri"/>
                <w:color w:val="000000"/>
                <w:sz w:val="22"/>
              </w:rPr>
              <w:t>-виховної діяльності в дошкільному закладі №26  шляхом придбання сучасної техніки (музичної апаратури, музичних інструментів, дитячих національних костюмів та інше)</w:t>
            </w:r>
            <w:r w:rsidR="00E9762B" w:rsidRPr="00B75FD7">
              <w:rPr>
                <w:rFonts w:eastAsia="Calibri"/>
                <w:color w:val="000000"/>
                <w:sz w:val="22"/>
              </w:rPr>
              <w:t>.</w:t>
            </w:r>
            <w:r w:rsidRPr="00B75FD7">
              <w:rPr>
                <w:rFonts w:eastAsia="Calibri"/>
                <w:color w:val="000000"/>
                <w:sz w:val="22"/>
              </w:rPr>
              <w:t xml:space="preserve"> </w:t>
            </w:r>
            <w:r w:rsidR="00E9762B" w:rsidRPr="00B75FD7">
              <w:rPr>
                <w:rFonts w:eastAsia="Calibri"/>
                <w:color w:val="000000"/>
                <w:sz w:val="22"/>
              </w:rPr>
              <w:t>Ц</w:t>
            </w:r>
            <w:r w:rsidRPr="00B75FD7">
              <w:rPr>
                <w:rFonts w:eastAsia="Calibri"/>
                <w:color w:val="000000"/>
                <w:sz w:val="22"/>
              </w:rPr>
              <w:t>е дозволить педагогам повністю реалізувати навчальні програми в напрямку музично-естетичного розвитку дошкільників, підтримувати та розкривати творчі прояви, музикальні  здібності вихованців. Оскільки окремого приміщення для занять з фізкультури в ЗДО не передбачено, заняття, спортивні свята та розваги відбуваються у музичній залі, тому необхідно  придбати спортивний інвентар. Ці заходи дадуть можливість створити у ЗДО розвивальний простір для проведення фізкультурно-оздоровчої роботи та забезпечення успішного фізичного розвитку дітей, зміцнення їх здоров’я.</w:t>
            </w:r>
          </w:p>
          <w:p w:rsidR="00C533DF" w:rsidRPr="00B75FD7" w:rsidRDefault="00C533DF" w:rsidP="00C533DF">
            <w:pPr>
              <w:autoSpaceDE w:val="0"/>
              <w:autoSpaceDN w:val="0"/>
              <w:adjustRightInd w:val="0"/>
              <w:rPr>
                <w:rFonts w:eastAsia="Calibri"/>
                <w:color w:val="000000"/>
                <w:sz w:val="22"/>
              </w:rPr>
            </w:pPr>
            <w:r w:rsidRPr="00B75FD7">
              <w:rPr>
                <w:rFonts w:eastAsia="Calibri"/>
                <w:color w:val="000000"/>
                <w:sz w:val="22"/>
              </w:rPr>
              <w:t>Робоче місце адміністрації та працівників розташоване в окремому приміщенні (кабінеті, кімнаті) Ясла-садка та оснащене меблями, предметами й засобами праці відповідно до вимог законодавства</w:t>
            </w:r>
            <w:r w:rsidR="00E9762B" w:rsidRPr="00B75FD7">
              <w:rPr>
                <w:rFonts w:eastAsia="Calibri"/>
                <w:color w:val="000000"/>
                <w:sz w:val="22"/>
              </w:rPr>
              <w:t>,</w:t>
            </w:r>
            <w:r w:rsidRPr="00B75FD7">
              <w:rPr>
                <w:rFonts w:eastAsia="Calibri"/>
                <w:color w:val="000000"/>
                <w:sz w:val="22"/>
              </w:rPr>
              <w:t xml:space="preserve"> </w:t>
            </w:r>
            <w:proofErr w:type="spellStart"/>
            <w:r w:rsidRPr="00B75FD7">
              <w:rPr>
                <w:rFonts w:eastAsia="Calibri"/>
                <w:color w:val="000000"/>
                <w:sz w:val="22"/>
              </w:rPr>
              <w:t>надасть</w:t>
            </w:r>
            <w:proofErr w:type="spellEnd"/>
            <w:r w:rsidRPr="00B75FD7">
              <w:rPr>
                <w:rFonts w:eastAsia="Calibri"/>
                <w:color w:val="000000"/>
                <w:sz w:val="22"/>
              </w:rPr>
              <w:t xml:space="preserve"> можливість створити якісні умови для успішної реалізації завдань дошкільного закладу.</w:t>
            </w:r>
          </w:p>
          <w:p w:rsidR="00C533DF" w:rsidRPr="00B75FD7" w:rsidRDefault="00C533DF" w:rsidP="00C533DF">
            <w:pPr>
              <w:rPr>
                <w:rFonts w:eastAsia="Calibri"/>
                <w:color w:val="000000"/>
                <w:sz w:val="22"/>
              </w:rPr>
            </w:pPr>
            <w:r w:rsidRPr="00B75FD7">
              <w:rPr>
                <w:rFonts w:eastAsia="Calibri"/>
                <w:color w:val="000000"/>
                <w:sz w:val="22"/>
              </w:rPr>
              <w:t xml:space="preserve">Організація безпечного та якісного харчування в закладі дошкільної освіти потребує не лише наявності якісних харчових продуктів та дотримання технології приготування їжі, а й створення безпечного та сучасного середовища для приготування смачних та корисних страв для дітей; приймання, оброблення, зберігання та реалізація продовольчої сировини. А також створення більш комфортних та безпечних умов праці для працівників харчоблока. Одним з кроків для реалізації даної мети є придбання кухонного обладнання харчоблока, комори ЗДО, яке буде відповідати вимогам чинного санітарного законодавства.  </w:t>
            </w:r>
          </w:p>
          <w:p w:rsidR="00C533DF" w:rsidRPr="00B75FD7" w:rsidRDefault="00C533DF" w:rsidP="00C533DF">
            <w:pPr>
              <w:rPr>
                <w:rFonts w:eastAsia="Calibri"/>
                <w:color w:val="000000"/>
                <w:sz w:val="22"/>
              </w:rPr>
            </w:pPr>
            <w:r w:rsidRPr="00B75FD7">
              <w:rPr>
                <w:rFonts w:eastAsia="Calibri"/>
                <w:color w:val="000000"/>
                <w:sz w:val="22"/>
              </w:rPr>
              <w:t>В яслах-садку № 26 необхідно створити  відповідні умови дотримання вимог Санітарного регламенту ЗДО щодо утримання приміщення закладу, економного та швидкого прання великої кількості постільної білизни та рушників, спецодягу працівників закладу, покращення належних умов праці. Збереження здоров'я дітей та працівників, запобігання захворюванням. Потрібно придбати сучасні промислові пральні машини з сушкою, встановити виробничий прасувальний прес для швидкого висушування та прасування постільної білизни та рушників.</w:t>
            </w:r>
            <w:r w:rsidRPr="00B75FD7">
              <w:rPr>
                <w:rFonts w:eastAsia="Calibri"/>
                <w:sz w:val="22"/>
              </w:rPr>
              <w:t xml:space="preserve"> </w:t>
            </w:r>
          </w:p>
        </w:tc>
      </w:tr>
      <w:tr w:rsidR="00C533DF" w:rsidRPr="00B75FD7" w:rsidTr="00C533DF">
        <w:trPr>
          <w:trHeight w:val="552"/>
        </w:trPr>
        <w:tc>
          <w:tcPr>
            <w:tcW w:w="2836"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533DF" w:rsidRPr="00B75FD7" w:rsidRDefault="00C533DF" w:rsidP="00C533DF">
            <w:pPr>
              <w:autoSpaceDE w:val="0"/>
              <w:autoSpaceDN w:val="0"/>
              <w:adjustRightInd w:val="0"/>
              <w:rPr>
                <w:rFonts w:eastAsia="Calibri"/>
                <w:b/>
                <w:color w:val="000000"/>
                <w:sz w:val="22"/>
              </w:rPr>
            </w:pPr>
            <w:r w:rsidRPr="00B75FD7">
              <w:rPr>
                <w:rFonts w:eastAsia="Calibri"/>
                <w:b/>
                <w:color w:val="000000"/>
                <w:sz w:val="22"/>
              </w:rPr>
              <w:lastRenderedPageBreak/>
              <w:t>Очікувані якісні результати від реалізації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C533DF" w:rsidRPr="00B75FD7" w:rsidRDefault="00C533DF" w:rsidP="000303D7">
            <w:pPr>
              <w:pStyle w:val="a7"/>
              <w:numPr>
                <w:ilvl w:val="0"/>
                <w:numId w:val="89"/>
              </w:numPr>
              <w:ind w:left="264" w:hanging="142"/>
              <w:jc w:val="left"/>
              <w:rPr>
                <w:rFonts w:eastAsia="Calibri"/>
                <w:sz w:val="22"/>
              </w:rPr>
            </w:pPr>
            <w:r w:rsidRPr="00B75FD7">
              <w:rPr>
                <w:rFonts w:eastAsia="Calibri"/>
                <w:sz w:val="22"/>
              </w:rPr>
              <w:t>забезпеченн</w:t>
            </w:r>
            <w:r w:rsidR="00E9762B" w:rsidRPr="00B75FD7">
              <w:rPr>
                <w:rFonts w:eastAsia="Calibri"/>
                <w:sz w:val="22"/>
              </w:rPr>
              <w:t>я</w:t>
            </w:r>
            <w:r w:rsidRPr="00B75FD7">
              <w:rPr>
                <w:rFonts w:eastAsia="Calibri"/>
                <w:sz w:val="22"/>
              </w:rPr>
              <w:t xml:space="preserve"> захисту конституційних прав дітей дошкільного віку і державних гарантій щодо здобуття високоякісної дошкільної освіти; </w:t>
            </w:r>
          </w:p>
          <w:p w:rsidR="00C533DF" w:rsidRPr="00B75FD7" w:rsidRDefault="00C533DF" w:rsidP="000303D7">
            <w:pPr>
              <w:pStyle w:val="a7"/>
              <w:numPr>
                <w:ilvl w:val="0"/>
                <w:numId w:val="89"/>
              </w:numPr>
              <w:ind w:left="264" w:hanging="142"/>
              <w:jc w:val="left"/>
              <w:rPr>
                <w:rFonts w:eastAsia="Calibri"/>
                <w:sz w:val="22"/>
              </w:rPr>
            </w:pPr>
            <w:r w:rsidRPr="00B75FD7">
              <w:rPr>
                <w:rFonts w:eastAsia="Calibri"/>
                <w:sz w:val="22"/>
              </w:rPr>
              <w:t>створенн</w:t>
            </w:r>
            <w:r w:rsidR="00E9762B" w:rsidRPr="00B75FD7">
              <w:rPr>
                <w:rFonts w:eastAsia="Calibri"/>
                <w:sz w:val="22"/>
              </w:rPr>
              <w:t>я</w:t>
            </w:r>
            <w:r w:rsidRPr="00B75FD7">
              <w:rPr>
                <w:rFonts w:eastAsia="Calibri"/>
                <w:sz w:val="22"/>
              </w:rPr>
              <w:t xml:space="preserve"> умов для здобуття дітьми п'ятирічного віку обов'язкової дошкільної освіти;</w:t>
            </w:r>
          </w:p>
          <w:p w:rsidR="00C533DF" w:rsidRPr="00B75FD7" w:rsidRDefault="00C533DF" w:rsidP="000303D7">
            <w:pPr>
              <w:pStyle w:val="a7"/>
              <w:numPr>
                <w:ilvl w:val="0"/>
                <w:numId w:val="89"/>
              </w:numPr>
              <w:ind w:left="264" w:hanging="142"/>
              <w:jc w:val="left"/>
              <w:rPr>
                <w:rFonts w:eastAsia="Calibri"/>
                <w:sz w:val="22"/>
              </w:rPr>
            </w:pPr>
            <w:r w:rsidRPr="00B75FD7">
              <w:rPr>
                <w:rFonts w:eastAsia="Calibri"/>
                <w:sz w:val="22"/>
              </w:rPr>
              <w:t>поліпшенн</w:t>
            </w:r>
            <w:r w:rsidR="00E9762B" w:rsidRPr="00B75FD7">
              <w:rPr>
                <w:rFonts w:eastAsia="Calibri"/>
                <w:sz w:val="22"/>
              </w:rPr>
              <w:t>я</w:t>
            </w:r>
            <w:r w:rsidRPr="00B75FD7">
              <w:rPr>
                <w:rFonts w:eastAsia="Calibri"/>
                <w:sz w:val="22"/>
              </w:rPr>
              <w:t xml:space="preserve"> якості дошкільної освіти; </w:t>
            </w:r>
          </w:p>
          <w:p w:rsidR="00C533DF" w:rsidRPr="00B75FD7" w:rsidRDefault="00C533DF" w:rsidP="000303D7">
            <w:pPr>
              <w:pStyle w:val="a7"/>
              <w:numPr>
                <w:ilvl w:val="0"/>
                <w:numId w:val="89"/>
              </w:numPr>
              <w:ind w:left="264" w:hanging="142"/>
              <w:jc w:val="left"/>
              <w:rPr>
                <w:rFonts w:eastAsia="Calibri"/>
                <w:sz w:val="22"/>
              </w:rPr>
            </w:pPr>
            <w:r w:rsidRPr="00B75FD7">
              <w:rPr>
                <w:rFonts w:eastAsia="Calibri"/>
                <w:sz w:val="22"/>
              </w:rPr>
              <w:t>забезпеченн</w:t>
            </w:r>
            <w:r w:rsidR="00E9762B" w:rsidRPr="00B75FD7">
              <w:rPr>
                <w:rFonts w:eastAsia="Calibri"/>
                <w:sz w:val="22"/>
              </w:rPr>
              <w:t>я</w:t>
            </w:r>
            <w:r w:rsidRPr="00B75FD7">
              <w:rPr>
                <w:rFonts w:eastAsia="Calibri"/>
                <w:sz w:val="22"/>
              </w:rPr>
              <w:t xml:space="preserve"> особистісного зростання кожної дитини з урахуванням її нахилів, здібностей, індивідуальних, психічних та фізичних особливостей; </w:t>
            </w:r>
          </w:p>
          <w:p w:rsidR="00C533DF" w:rsidRPr="00B75FD7" w:rsidRDefault="00C533DF" w:rsidP="000303D7">
            <w:pPr>
              <w:pStyle w:val="a7"/>
              <w:numPr>
                <w:ilvl w:val="0"/>
                <w:numId w:val="89"/>
              </w:numPr>
              <w:ind w:left="264" w:hanging="142"/>
              <w:jc w:val="left"/>
              <w:rPr>
                <w:rFonts w:eastAsia="Calibri"/>
                <w:sz w:val="22"/>
              </w:rPr>
            </w:pPr>
            <w:r w:rsidRPr="00B75FD7">
              <w:rPr>
                <w:rFonts w:eastAsia="Calibri"/>
                <w:sz w:val="22"/>
              </w:rPr>
              <w:t>збереженн</w:t>
            </w:r>
            <w:r w:rsidR="00E9762B" w:rsidRPr="00B75FD7">
              <w:rPr>
                <w:rFonts w:eastAsia="Calibri"/>
                <w:sz w:val="22"/>
              </w:rPr>
              <w:t>я</w:t>
            </w:r>
            <w:r w:rsidRPr="00B75FD7">
              <w:rPr>
                <w:rFonts w:eastAsia="Calibri"/>
                <w:sz w:val="22"/>
              </w:rPr>
              <w:t xml:space="preserve"> та зміцненню здоров'я дітей; </w:t>
            </w:r>
          </w:p>
          <w:p w:rsidR="00C533DF" w:rsidRPr="00B75FD7" w:rsidRDefault="00C533DF" w:rsidP="000303D7">
            <w:pPr>
              <w:pStyle w:val="a7"/>
              <w:numPr>
                <w:ilvl w:val="0"/>
                <w:numId w:val="89"/>
              </w:numPr>
              <w:ind w:left="264" w:hanging="142"/>
              <w:jc w:val="left"/>
              <w:rPr>
                <w:rFonts w:eastAsia="Calibri"/>
                <w:sz w:val="22"/>
              </w:rPr>
            </w:pPr>
            <w:r w:rsidRPr="00B75FD7">
              <w:rPr>
                <w:rFonts w:eastAsia="Calibri"/>
                <w:sz w:val="22"/>
              </w:rPr>
              <w:t>зміцненн</w:t>
            </w:r>
            <w:r w:rsidR="00E9762B" w:rsidRPr="00B75FD7">
              <w:rPr>
                <w:rFonts w:eastAsia="Calibri"/>
                <w:sz w:val="22"/>
              </w:rPr>
              <w:t>я</w:t>
            </w:r>
            <w:r w:rsidRPr="00B75FD7">
              <w:rPr>
                <w:rFonts w:eastAsia="Calibri"/>
                <w:sz w:val="22"/>
              </w:rPr>
              <w:t xml:space="preserve"> навчально-методичної та матеріально-технічної бази дошкільного навчального закладу; </w:t>
            </w:r>
          </w:p>
          <w:p w:rsidR="00C533DF" w:rsidRPr="00B75FD7" w:rsidRDefault="00C533DF" w:rsidP="000303D7">
            <w:pPr>
              <w:pStyle w:val="a7"/>
              <w:numPr>
                <w:ilvl w:val="0"/>
                <w:numId w:val="89"/>
              </w:numPr>
              <w:ind w:left="264" w:hanging="142"/>
              <w:jc w:val="left"/>
              <w:rPr>
                <w:rFonts w:eastAsia="Calibri"/>
                <w:sz w:val="22"/>
              </w:rPr>
            </w:pPr>
            <w:r w:rsidRPr="00B75FD7">
              <w:rPr>
                <w:rFonts w:eastAsia="Calibri"/>
                <w:sz w:val="22"/>
              </w:rPr>
              <w:t>модернізаці</w:t>
            </w:r>
            <w:r w:rsidR="00E9762B" w:rsidRPr="00B75FD7">
              <w:rPr>
                <w:rFonts w:eastAsia="Calibri"/>
                <w:sz w:val="22"/>
              </w:rPr>
              <w:t>я</w:t>
            </w:r>
            <w:r w:rsidRPr="00B75FD7">
              <w:rPr>
                <w:rFonts w:eastAsia="Calibri"/>
                <w:sz w:val="22"/>
              </w:rPr>
              <w:t xml:space="preserve"> системи підготовки та підвищення кваліфікації педагогічних кадрів;</w:t>
            </w:r>
          </w:p>
          <w:p w:rsidR="00C533DF" w:rsidRPr="00B75FD7" w:rsidRDefault="00C533DF" w:rsidP="000303D7">
            <w:pPr>
              <w:pStyle w:val="a7"/>
              <w:numPr>
                <w:ilvl w:val="0"/>
                <w:numId w:val="89"/>
              </w:numPr>
              <w:ind w:left="264" w:hanging="142"/>
              <w:jc w:val="left"/>
              <w:rPr>
                <w:rFonts w:eastAsia="Calibri"/>
                <w:sz w:val="22"/>
              </w:rPr>
            </w:pPr>
            <w:r w:rsidRPr="00B75FD7">
              <w:rPr>
                <w:rFonts w:eastAsia="Calibri"/>
                <w:sz w:val="22"/>
              </w:rPr>
              <w:t>активізаці</w:t>
            </w:r>
            <w:r w:rsidR="00E9762B" w:rsidRPr="00B75FD7">
              <w:rPr>
                <w:rFonts w:eastAsia="Calibri"/>
                <w:sz w:val="22"/>
              </w:rPr>
              <w:t>я</w:t>
            </w:r>
            <w:r w:rsidRPr="00B75FD7">
              <w:rPr>
                <w:rFonts w:eastAsia="Calibri"/>
                <w:sz w:val="22"/>
              </w:rPr>
              <w:t xml:space="preserve"> роботи з обдарованими дітьми;</w:t>
            </w:r>
          </w:p>
          <w:p w:rsidR="00C533DF" w:rsidRPr="00B75FD7" w:rsidRDefault="00C533DF" w:rsidP="000303D7">
            <w:pPr>
              <w:pStyle w:val="a7"/>
              <w:numPr>
                <w:ilvl w:val="0"/>
                <w:numId w:val="89"/>
              </w:numPr>
              <w:ind w:left="264" w:hanging="142"/>
              <w:jc w:val="left"/>
              <w:rPr>
                <w:rFonts w:eastAsia="Calibri"/>
                <w:sz w:val="22"/>
              </w:rPr>
            </w:pPr>
            <w:r w:rsidRPr="00B75FD7">
              <w:rPr>
                <w:rFonts w:eastAsia="Calibri"/>
                <w:sz w:val="22"/>
              </w:rPr>
              <w:t>оновлення стратегії й тактики взаємодії дошкільного навчального закладу з батьками й громадськістю;</w:t>
            </w:r>
          </w:p>
          <w:p w:rsidR="00C533DF" w:rsidRPr="00B75FD7" w:rsidRDefault="00C533DF" w:rsidP="000303D7">
            <w:pPr>
              <w:pStyle w:val="a7"/>
              <w:numPr>
                <w:ilvl w:val="0"/>
                <w:numId w:val="89"/>
              </w:numPr>
              <w:ind w:left="264" w:hanging="142"/>
              <w:jc w:val="left"/>
              <w:rPr>
                <w:rFonts w:eastAsia="Calibri"/>
                <w:sz w:val="22"/>
              </w:rPr>
            </w:pPr>
            <w:r w:rsidRPr="00B75FD7">
              <w:rPr>
                <w:rFonts w:eastAsia="Calibri"/>
                <w:sz w:val="22"/>
              </w:rPr>
              <w:t>науково-методичн</w:t>
            </w:r>
            <w:r w:rsidR="00E9762B" w:rsidRPr="00B75FD7">
              <w:rPr>
                <w:rFonts w:eastAsia="Calibri"/>
                <w:sz w:val="22"/>
              </w:rPr>
              <w:t>ий</w:t>
            </w:r>
            <w:r w:rsidRPr="00B75FD7">
              <w:rPr>
                <w:rFonts w:eastAsia="Calibri"/>
                <w:sz w:val="22"/>
              </w:rPr>
              <w:t xml:space="preserve"> супров</w:t>
            </w:r>
            <w:r w:rsidR="00E9762B" w:rsidRPr="00B75FD7">
              <w:rPr>
                <w:rFonts w:eastAsia="Calibri"/>
                <w:sz w:val="22"/>
              </w:rPr>
              <w:t>і</w:t>
            </w:r>
            <w:r w:rsidRPr="00B75FD7">
              <w:rPr>
                <w:rFonts w:eastAsia="Calibri"/>
                <w:sz w:val="22"/>
              </w:rPr>
              <w:t>д професійного розвитку педагогічних працівників за індивідуальними освітніми траєкторіями;</w:t>
            </w:r>
          </w:p>
          <w:p w:rsidR="00C533DF" w:rsidRPr="00B75FD7" w:rsidRDefault="00E9762B" w:rsidP="000303D7">
            <w:pPr>
              <w:pStyle w:val="a7"/>
              <w:numPr>
                <w:ilvl w:val="0"/>
                <w:numId w:val="89"/>
              </w:numPr>
              <w:ind w:left="264" w:hanging="142"/>
              <w:jc w:val="left"/>
              <w:rPr>
                <w:rFonts w:eastAsia="Calibri"/>
                <w:sz w:val="22"/>
              </w:rPr>
            </w:pPr>
            <w:r w:rsidRPr="00B75FD7">
              <w:rPr>
                <w:rFonts w:eastAsia="Calibri"/>
                <w:sz w:val="22"/>
              </w:rPr>
              <w:lastRenderedPageBreak/>
              <w:t>п</w:t>
            </w:r>
            <w:r w:rsidR="00C533DF" w:rsidRPr="00B75FD7">
              <w:rPr>
                <w:rFonts w:eastAsia="Calibri"/>
                <w:sz w:val="22"/>
              </w:rPr>
              <w:t>окращення якості та безпечності організації харчування дітей;</w:t>
            </w:r>
          </w:p>
          <w:p w:rsidR="00C533DF" w:rsidRPr="00B75FD7" w:rsidRDefault="00E9762B" w:rsidP="000303D7">
            <w:pPr>
              <w:pStyle w:val="a7"/>
              <w:numPr>
                <w:ilvl w:val="0"/>
                <w:numId w:val="89"/>
              </w:numPr>
              <w:ind w:left="264" w:hanging="142"/>
              <w:jc w:val="left"/>
              <w:rPr>
                <w:rFonts w:eastAsia="Calibri"/>
                <w:sz w:val="22"/>
              </w:rPr>
            </w:pPr>
            <w:r w:rsidRPr="00B75FD7">
              <w:rPr>
                <w:rFonts w:eastAsia="Calibri"/>
                <w:sz w:val="22"/>
              </w:rPr>
              <w:t>о</w:t>
            </w:r>
            <w:r w:rsidR="00C533DF" w:rsidRPr="00B75FD7">
              <w:rPr>
                <w:rFonts w:eastAsia="Calibri"/>
                <w:sz w:val="22"/>
              </w:rPr>
              <w:t>тримання щорічного економічного ефекту зменшення рівня енергоспоживання за рахунок модернізації обладнання</w:t>
            </w:r>
            <w:r w:rsidRPr="00B75FD7">
              <w:rPr>
                <w:rFonts w:eastAsia="Calibri"/>
                <w:sz w:val="22"/>
              </w:rPr>
              <w:t>.</w:t>
            </w:r>
          </w:p>
        </w:tc>
      </w:tr>
      <w:tr w:rsidR="00C533DF" w:rsidRPr="00B75FD7" w:rsidTr="00C533DF">
        <w:trPr>
          <w:trHeight w:val="581"/>
        </w:trPr>
        <w:tc>
          <w:tcPr>
            <w:tcW w:w="2836"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533DF" w:rsidRPr="00B75FD7" w:rsidRDefault="00C533DF" w:rsidP="00C533DF">
            <w:pPr>
              <w:autoSpaceDE w:val="0"/>
              <w:autoSpaceDN w:val="0"/>
              <w:adjustRightInd w:val="0"/>
              <w:rPr>
                <w:rFonts w:eastAsia="Calibri"/>
                <w:b/>
                <w:color w:val="000000"/>
                <w:sz w:val="22"/>
              </w:rPr>
            </w:pPr>
            <w:r w:rsidRPr="00B75FD7">
              <w:rPr>
                <w:rFonts w:eastAsia="Calibri"/>
                <w:b/>
                <w:color w:val="000000"/>
                <w:sz w:val="22"/>
              </w:rPr>
              <w:lastRenderedPageBreak/>
              <w:t>Очікувані кількісні результати від реалізації проекту (індикатори)</w:t>
            </w:r>
          </w:p>
        </w:tc>
        <w:tc>
          <w:tcPr>
            <w:tcW w:w="4050" w:type="dxa"/>
            <w:gridSpan w:val="4"/>
            <w:tcBorders>
              <w:top w:val="single" w:sz="6" w:space="0" w:color="auto"/>
              <w:left w:val="single" w:sz="6" w:space="0" w:color="auto"/>
              <w:bottom w:val="single" w:sz="6" w:space="0" w:color="auto"/>
              <w:right w:val="single" w:sz="6" w:space="0" w:color="auto"/>
            </w:tcBorders>
          </w:tcPr>
          <w:p w:rsidR="00C533DF" w:rsidRPr="00B75FD7" w:rsidRDefault="00C533DF" w:rsidP="00C533DF">
            <w:pPr>
              <w:autoSpaceDE w:val="0"/>
              <w:autoSpaceDN w:val="0"/>
              <w:adjustRightInd w:val="0"/>
              <w:rPr>
                <w:rFonts w:eastAsia="Calibri"/>
                <w:b/>
                <w:color w:val="000000"/>
                <w:sz w:val="22"/>
              </w:rPr>
            </w:pPr>
            <w:r w:rsidRPr="00B75FD7">
              <w:rPr>
                <w:rFonts w:eastAsia="Calibri"/>
                <w:b/>
                <w:color w:val="000000"/>
                <w:sz w:val="22"/>
              </w:rPr>
              <w:t>Найменування показника</w:t>
            </w:r>
          </w:p>
        </w:tc>
        <w:tc>
          <w:tcPr>
            <w:tcW w:w="1418" w:type="dxa"/>
            <w:gridSpan w:val="2"/>
            <w:tcBorders>
              <w:top w:val="single" w:sz="6" w:space="0" w:color="auto"/>
              <w:left w:val="single" w:sz="6" w:space="0" w:color="auto"/>
              <w:bottom w:val="single" w:sz="6" w:space="0" w:color="auto"/>
              <w:right w:val="single" w:sz="6" w:space="0" w:color="auto"/>
            </w:tcBorders>
          </w:tcPr>
          <w:p w:rsidR="00C533DF" w:rsidRPr="00B75FD7" w:rsidRDefault="00C533DF" w:rsidP="00C533DF">
            <w:pPr>
              <w:autoSpaceDE w:val="0"/>
              <w:autoSpaceDN w:val="0"/>
              <w:adjustRightInd w:val="0"/>
              <w:rPr>
                <w:rFonts w:eastAsia="Calibri"/>
                <w:b/>
                <w:color w:val="000000"/>
                <w:sz w:val="22"/>
              </w:rPr>
            </w:pPr>
            <w:r w:rsidRPr="00B75FD7">
              <w:rPr>
                <w:rFonts w:eastAsia="Calibri"/>
                <w:b/>
                <w:color w:val="000000"/>
                <w:sz w:val="22"/>
              </w:rPr>
              <w:t>Одиниця вимірювання</w:t>
            </w:r>
          </w:p>
        </w:tc>
        <w:tc>
          <w:tcPr>
            <w:tcW w:w="1619" w:type="dxa"/>
            <w:tcBorders>
              <w:top w:val="single" w:sz="6" w:space="0" w:color="auto"/>
              <w:left w:val="single" w:sz="6" w:space="0" w:color="auto"/>
              <w:bottom w:val="single" w:sz="6" w:space="0" w:color="auto"/>
              <w:right w:val="single" w:sz="6" w:space="0" w:color="auto"/>
            </w:tcBorders>
          </w:tcPr>
          <w:p w:rsidR="00C533DF" w:rsidRPr="00B75FD7" w:rsidRDefault="00C533DF" w:rsidP="00C533DF">
            <w:pPr>
              <w:autoSpaceDE w:val="0"/>
              <w:autoSpaceDN w:val="0"/>
              <w:adjustRightInd w:val="0"/>
              <w:rPr>
                <w:rFonts w:eastAsia="Calibri"/>
                <w:b/>
                <w:color w:val="000000"/>
                <w:sz w:val="22"/>
              </w:rPr>
            </w:pPr>
            <w:r w:rsidRPr="00B75FD7">
              <w:rPr>
                <w:rFonts w:eastAsia="Calibri"/>
                <w:b/>
                <w:color w:val="000000"/>
                <w:sz w:val="22"/>
              </w:rPr>
              <w:t>Прогнозне (цільове) значення</w:t>
            </w:r>
          </w:p>
        </w:tc>
      </w:tr>
      <w:tr w:rsidR="00C533DF" w:rsidRPr="00B75FD7" w:rsidTr="00C533DF">
        <w:trPr>
          <w:trHeight w:val="786"/>
        </w:trPr>
        <w:tc>
          <w:tcPr>
            <w:tcW w:w="2836" w:type="dxa"/>
            <w:vMerge w:val="restart"/>
            <w:tcBorders>
              <w:top w:val="single" w:sz="6" w:space="0" w:color="auto"/>
              <w:left w:val="single" w:sz="6" w:space="0" w:color="auto"/>
              <w:right w:val="single" w:sz="6" w:space="0" w:color="auto"/>
            </w:tcBorders>
            <w:shd w:val="clear" w:color="00FFFF" w:fill="C6D9F1" w:themeFill="text2" w:themeFillTint="33"/>
          </w:tcPr>
          <w:p w:rsidR="00C533DF" w:rsidRPr="00B75FD7" w:rsidRDefault="00C533DF" w:rsidP="00C533DF">
            <w:pPr>
              <w:autoSpaceDE w:val="0"/>
              <w:autoSpaceDN w:val="0"/>
              <w:adjustRightInd w:val="0"/>
              <w:rPr>
                <w:rFonts w:eastAsia="Calibri"/>
                <w:b/>
                <w:color w:val="000000"/>
                <w:sz w:val="22"/>
              </w:rPr>
            </w:pPr>
          </w:p>
        </w:tc>
        <w:tc>
          <w:tcPr>
            <w:tcW w:w="4050" w:type="dxa"/>
            <w:gridSpan w:val="4"/>
            <w:tcBorders>
              <w:top w:val="single" w:sz="6" w:space="0" w:color="auto"/>
              <w:left w:val="single" w:sz="6" w:space="0" w:color="auto"/>
              <w:bottom w:val="single" w:sz="4" w:space="0" w:color="auto"/>
              <w:right w:val="single" w:sz="6" w:space="0" w:color="auto"/>
            </w:tcBorders>
          </w:tcPr>
          <w:p w:rsidR="00C533DF" w:rsidRPr="00B75FD7" w:rsidRDefault="00C533DF" w:rsidP="00C533DF">
            <w:pPr>
              <w:autoSpaceDE w:val="0"/>
              <w:autoSpaceDN w:val="0"/>
              <w:adjustRightInd w:val="0"/>
              <w:rPr>
                <w:rFonts w:eastAsia="Calibri"/>
                <w:color w:val="000000"/>
                <w:sz w:val="22"/>
              </w:rPr>
            </w:pPr>
            <w:r w:rsidRPr="00B75FD7">
              <w:rPr>
                <w:rFonts w:eastAsia="Calibri"/>
                <w:color w:val="000000"/>
                <w:sz w:val="22"/>
              </w:rPr>
              <w:t>Кількість фізичних осіб, які будуть користуватися облаштованими приміщеннями закладу в день</w:t>
            </w:r>
          </w:p>
        </w:tc>
        <w:tc>
          <w:tcPr>
            <w:tcW w:w="1418" w:type="dxa"/>
            <w:gridSpan w:val="2"/>
            <w:tcBorders>
              <w:top w:val="single" w:sz="6" w:space="0" w:color="auto"/>
              <w:left w:val="single" w:sz="6" w:space="0" w:color="auto"/>
              <w:bottom w:val="single" w:sz="4" w:space="0" w:color="auto"/>
              <w:right w:val="single" w:sz="6" w:space="0" w:color="auto"/>
            </w:tcBorders>
          </w:tcPr>
          <w:p w:rsidR="00C533DF" w:rsidRPr="00B75FD7" w:rsidRDefault="00C533DF" w:rsidP="00C533DF">
            <w:pPr>
              <w:jc w:val="center"/>
              <w:rPr>
                <w:rFonts w:eastAsia="Calibri"/>
                <w:sz w:val="22"/>
              </w:rPr>
            </w:pPr>
            <w:r w:rsidRPr="00B75FD7">
              <w:rPr>
                <w:rFonts w:eastAsia="Calibri"/>
                <w:sz w:val="22"/>
              </w:rPr>
              <w:t>осіб</w:t>
            </w:r>
          </w:p>
        </w:tc>
        <w:tc>
          <w:tcPr>
            <w:tcW w:w="1619" w:type="dxa"/>
            <w:tcBorders>
              <w:top w:val="single" w:sz="6" w:space="0" w:color="auto"/>
              <w:left w:val="single" w:sz="6" w:space="0" w:color="auto"/>
              <w:bottom w:val="single" w:sz="4" w:space="0" w:color="auto"/>
              <w:right w:val="single" w:sz="4" w:space="0" w:color="auto"/>
            </w:tcBorders>
          </w:tcPr>
          <w:p w:rsidR="00C533DF" w:rsidRPr="00B75FD7" w:rsidRDefault="00C533DF" w:rsidP="00C533DF">
            <w:pPr>
              <w:autoSpaceDE w:val="0"/>
              <w:autoSpaceDN w:val="0"/>
              <w:adjustRightInd w:val="0"/>
              <w:jc w:val="center"/>
              <w:rPr>
                <w:rFonts w:eastAsia="Calibri"/>
                <w:color w:val="000000"/>
                <w:sz w:val="22"/>
              </w:rPr>
            </w:pPr>
            <w:r w:rsidRPr="00B75FD7">
              <w:rPr>
                <w:rFonts w:eastAsia="Calibri"/>
                <w:color w:val="000000"/>
                <w:sz w:val="22"/>
              </w:rPr>
              <w:t>200</w:t>
            </w:r>
          </w:p>
          <w:p w:rsidR="00C533DF" w:rsidRPr="00B75FD7" w:rsidRDefault="00C533DF" w:rsidP="00C533DF">
            <w:pPr>
              <w:rPr>
                <w:rFonts w:eastAsia="Calibri"/>
                <w:sz w:val="22"/>
              </w:rPr>
            </w:pPr>
          </w:p>
        </w:tc>
      </w:tr>
      <w:tr w:rsidR="00C533DF" w:rsidRPr="00B75FD7" w:rsidTr="00C533DF">
        <w:trPr>
          <w:trHeight w:val="495"/>
        </w:trPr>
        <w:tc>
          <w:tcPr>
            <w:tcW w:w="2836" w:type="dxa"/>
            <w:vMerge/>
            <w:tcBorders>
              <w:top w:val="single" w:sz="6" w:space="0" w:color="auto"/>
              <w:left w:val="single" w:sz="6" w:space="0" w:color="auto"/>
              <w:right w:val="single" w:sz="6" w:space="0" w:color="auto"/>
            </w:tcBorders>
            <w:shd w:val="clear" w:color="00FFFF" w:fill="C6D9F1" w:themeFill="text2" w:themeFillTint="33"/>
          </w:tcPr>
          <w:p w:rsidR="00C533DF" w:rsidRPr="00B75FD7" w:rsidRDefault="00C533DF" w:rsidP="00C533DF">
            <w:pPr>
              <w:autoSpaceDE w:val="0"/>
              <w:autoSpaceDN w:val="0"/>
              <w:adjustRightInd w:val="0"/>
              <w:rPr>
                <w:rFonts w:eastAsia="Calibri"/>
                <w:b/>
                <w:color w:val="000000"/>
                <w:sz w:val="22"/>
              </w:rPr>
            </w:pPr>
          </w:p>
        </w:tc>
        <w:tc>
          <w:tcPr>
            <w:tcW w:w="4050" w:type="dxa"/>
            <w:gridSpan w:val="4"/>
            <w:tcBorders>
              <w:top w:val="single" w:sz="4" w:space="0" w:color="auto"/>
              <w:left w:val="single" w:sz="6" w:space="0" w:color="auto"/>
              <w:bottom w:val="single" w:sz="4" w:space="0" w:color="auto"/>
              <w:right w:val="single" w:sz="6" w:space="0" w:color="auto"/>
            </w:tcBorders>
          </w:tcPr>
          <w:p w:rsidR="00C533DF" w:rsidRPr="00B75FD7" w:rsidRDefault="00C533DF" w:rsidP="00C533DF">
            <w:pPr>
              <w:autoSpaceDE w:val="0"/>
              <w:autoSpaceDN w:val="0"/>
              <w:adjustRightInd w:val="0"/>
              <w:rPr>
                <w:rFonts w:eastAsia="Calibri"/>
                <w:color w:val="000000"/>
                <w:sz w:val="22"/>
              </w:rPr>
            </w:pPr>
            <w:r w:rsidRPr="00B75FD7">
              <w:rPr>
                <w:rFonts w:eastAsia="Calibri"/>
                <w:color w:val="000000"/>
                <w:sz w:val="22"/>
              </w:rPr>
              <w:t>Кількість педагогічних працівників, які надають освітні послуги.</w:t>
            </w:r>
          </w:p>
        </w:tc>
        <w:tc>
          <w:tcPr>
            <w:tcW w:w="1418" w:type="dxa"/>
            <w:gridSpan w:val="2"/>
            <w:tcBorders>
              <w:top w:val="single" w:sz="4" w:space="0" w:color="auto"/>
              <w:left w:val="single" w:sz="6" w:space="0" w:color="auto"/>
              <w:bottom w:val="single" w:sz="4" w:space="0" w:color="auto"/>
              <w:right w:val="single" w:sz="6" w:space="0" w:color="auto"/>
            </w:tcBorders>
          </w:tcPr>
          <w:p w:rsidR="00C533DF" w:rsidRPr="00B75FD7" w:rsidRDefault="00C533DF" w:rsidP="00C533DF">
            <w:pPr>
              <w:rPr>
                <w:rFonts w:eastAsia="Calibri"/>
                <w:sz w:val="22"/>
              </w:rPr>
            </w:pPr>
            <w:r w:rsidRPr="00B75FD7">
              <w:rPr>
                <w:rFonts w:eastAsia="Calibri"/>
                <w:sz w:val="22"/>
              </w:rPr>
              <w:t xml:space="preserve">           осіб</w:t>
            </w:r>
          </w:p>
        </w:tc>
        <w:tc>
          <w:tcPr>
            <w:tcW w:w="1619" w:type="dxa"/>
            <w:tcBorders>
              <w:top w:val="single" w:sz="4" w:space="0" w:color="auto"/>
              <w:left w:val="single" w:sz="6" w:space="0" w:color="auto"/>
              <w:bottom w:val="single" w:sz="4" w:space="0" w:color="auto"/>
              <w:right w:val="single" w:sz="6" w:space="0" w:color="auto"/>
            </w:tcBorders>
          </w:tcPr>
          <w:p w:rsidR="00C533DF" w:rsidRPr="00B75FD7" w:rsidRDefault="00C533DF" w:rsidP="00C533DF">
            <w:pPr>
              <w:jc w:val="center"/>
              <w:rPr>
                <w:rFonts w:eastAsia="Calibri"/>
                <w:color w:val="000000"/>
                <w:sz w:val="22"/>
              </w:rPr>
            </w:pPr>
            <w:r w:rsidRPr="00B75FD7">
              <w:rPr>
                <w:rFonts w:eastAsia="Calibri"/>
                <w:color w:val="000000"/>
                <w:sz w:val="22"/>
              </w:rPr>
              <w:t>10</w:t>
            </w:r>
          </w:p>
        </w:tc>
      </w:tr>
      <w:tr w:rsidR="00C533DF" w:rsidRPr="00B75FD7" w:rsidTr="00C533DF">
        <w:trPr>
          <w:trHeight w:val="354"/>
        </w:trPr>
        <w:tc>
          <w:tcPr>
            <w:tcW w:w="2836" w:type="dxa"/>
            <w:vMerge/>
            <w:tcBorders>
              <w:top w:val="single" w:sz="6" w:space="0" w:color="auto"/>
              <w:left w:val="single" w:sz="6" w:space="0" w:color="auto"/>
              <w:right w:val="single" w:sz="6" w:space="0" w:color="auto"/>
            </w:tcBorders>
            <w:shd w:val="clear" w:color="00FFFF" w:fill="C6D9F1" w:themeFill="text2" w:themeFillTint="33"/>
          </w:tcPr>
          <w:p w:rsidR="00C533DF" w:rsidRPr="00B75FD7" w:rsidRDefault="00C533DF" w:rsidP="00C533DF">
            <w:pPr>
              <w:autoSpaceDE w:val="0"/>
              <w:autoSpaceDN w:val="0"/>
              <w:adjustRightInd w:val="0"/>
              <w:rPr>
                <w:rFonts w:eastAsia="Calibri"/>
                <w:b/>
                <w:color w:val="000000"/>
                <w:sz w:val="22"/>
              </w:rPr>
            </w:pPr>
          </w:p>
        </w:tc>
        <w:tc>
          <w:tcPr>
            <w:tcW w:w="4050" w:type="dxa"/>
            <w:gridSpan w:val="4"/>
            <w:tcBorders>
              <w:top w:val="single" w:sz="4" w:space="0" w:color="auto"/>
              <w:left w:val="single" w:sz="6" w:space="0" w:color="auto"/>
              <w:bottom w:val="single" w:sz="4" w:space="0" w:color="auto"/>
              <w:right w:val="single" w:sz="6" w:space="0" w:color="auto"/>
            </w:tcBorders>
          </w:tcPr>
          <w:p w:rsidR="00C533DF" w:rsidRPr="00B75FD7" w:rsidRDefault="00C533DF" w:rsidP="00C533DF">
            <w:pPr>
              <w:autoSpaceDE w:val="0"/>
              <w:autoSpaceDN w:val="0"/>
              <w:adjustRightInd w:val="0"/>
              <w:rPr>
                <w:rFonts w:eastAsia="Calibri"/>
                <w:color w:val="000000"/>
                <w:sz w:val="22"/>
              </w:rPr>
            </w:pPr>
            <w:r w:rsidRPr="00B75FD7">
              <w:rPr>
                <w:rFonts w:eastAsia="Calibri"/>
                <w:color w:val="000000"/>
                <w:sz w:val="22"/>
              </w:rPr>
              <w:t>Кількість працівників, які обслуговують роботу закладу</w:t>
            </w:r>
          </w:p>
        </w:tc>
        <w:tc>
          <w:tcPr>
            <w:tcW w:w="1418" w:type="dxa"/>
            <w:gridSpan w:val="2"/>
            <w:tcBorders>
              <w:top w:val="single" w:sz="4" w:space="0" w:color="auto"/>
              <w:left w:val="single" w:sz="6" w:space="0" w:color="auto"/>
              <w:bottom w:val="single" w:sz="4" w:space="0" w:color="auto"/>
              <w:right w:val="single" w:sz="6" w:space="0" w:color="auto"/>
            </w:tcBorders>
          </w:tcPr>
          <w:p w:rsidR="00C533DF" w:rsidRPr="00B75FD7" w:rsidRDefault="00C533DF" w:rsidP="00C533DF">
            <w:pPr>
              <w:jc w:val="center"/>
              <w:rPr>
                <w:rFonts w:eastAsia="Calibri"/>
                <w:sz w:val="22"/>
              </w:rPr>
            </w:pPr>
            <w:r w:rsidRPr="00B75FD7">
              <w:rPr>
                <w:rFonts w:eastAsia="Calibri"/>
                <w:sz w:val="22"/>
              </w:rPr>
              <w:t>осіб</w:t>
            </w:r>
          </w:p>
        </w:tc>
        <w:tc>
          <w:tcPr>
            <w:tcW w:w="1619" w:type="dxa"/>
            <w:tcBorders>
              <w:top w:val="single" w:sz="4" w:space="0" w:color="auto"/>
              <w:left w:val="single" w:sz="6" w:space="0" w:color="auto"/>
              <w:bottom w:val="single" w:sz="4" w:space="0" w:color="auto"/>
              <w:right w:val="single" w:sz="6" w:space="0" w:color="auto"/>
            </w:tcBorders>
          </w:tcPr>
          <w:p w:rsidR="00C533DF" w:rsidRPr="00B75FD7" w:rsidRDefault="00C533DF" w:rsidP="00C533DF">
            <w:pPr>
              <w:jc w:val="center"/>
              <w:rPr>
                <w:rFonts w:eastAsia="Calibri"/>
                <w:color w:val="000000"/>
                <w:sz w:val="22"/>
              </w:rPr>
            </w:pPr>
            <w:r w:rsidRPr="00B75FD7">
              <w:rPr>
                <w:rFonts w:eastAsia="Calibri"/>
                <w:color w:val="000000"/>
                <w:sz w:val="22"/>
              </w:rPr>
              <w:t>20</w:t>
            </w:r>
          </w:p>
        </w:tc>
      </w:tr>
      <w:tr w:rsidR="00C533DF" w:rsidRPr="00B75FD7" w:rsidTr="00C533DF">
        <w:trPr>
          <w:trHeight w:val="354"/>
        </w:trPr>
        <w:tc>
          <w:tcPr>
            <w:tcW w:w="2836" w:type="dxa"/>
            <w:vMerge/>
            <w:tcBorders>
              <w:top w:val="single" w:sz="6" w:space="0" w:color="auto"/>
              <w:left w:val="single" w:sz="6" w:space="0" w:color="auto"/>
              <w:right w:val="single" w:sz="6" w:space="0" w:color="auto"/>
            </w:tcBorders>
            <w:shd w:val="clear" w:color="00FFFF" w:fill="C6D9F1" w:themeFill="text2" w:themeFillTint="33"/>
          </w:tcPr>
          <w:p w:rsidR="00C533DF" w:rsidRPr="00B75FD7" w:rsidRDefault="00C533DF" w:rsidP="00C533DF">
            <w:pPr>
              <w:autoSpaceDE w:val="0"/>
              <w:autoSpaceDN w:val="0"/>
              <w:adjustRightInd w:val="0"/>
              <w:rPr>
                <w:rFonts w:eastAsia="Calibri"/>
                <w:b/>
                <w:color w:val="000000"/>
                <w:sz w:val="22"/>
              </w:rPr>
            </w:pPr>
          </w:p>
        </w:tc>
        <w:tc>
          <w:tcPr>
            <w:tcW w:w="4050" w:type="dxa"/>
            <w:gridSpan w:val="4"/>
            <w:tcBorders>
              <w:top w:val="single" w:sz="4" w:space="0" w:color="auto"/>
              <w:left w:val="single" w:sz="6" w:space="0" w:color="auto"/>
              <w:bottom w:val="single" w:sz="4" w:space="0" w:color="auto"/>
              <w:right w:val="single" w:sz="6" w:space="0" w:color="auto"/>
            </w:tcBorders>
          </w:tcPr>
          <w:p w:rsidR="00C533DF" w:rsidRPr="00B75FD7" w:rsidRDefault="00C533DF" w:rsidP="00C533DF">
            <w:pPr>
              <w:autoSpaceDE w:val="0"/>
              <w:autoSpaceDN w:val="0"/>
              <w:adjustRightInd w:val="0"/>
              <w:rPr>
                <w:rFonts w:eastAsia="Calibri"/>
                <w:color w:val="000000"/>
                <w:sz w:val="22"/>
              </w:rPr>
            </w:pPr>
            <w:proofErr w:type="spellStart"/>
            <w:r w:rsidRPr="00B75FD7">
              <w:rPr>
                <w:rFonts w:eastAsia="Calibri"/>
                <w:color w:val="000000"/>
                <w:sz w:val="22"/>
              </w:rPr>
              <w:t>Проєктна</w:t>
            </w:r>
            <w:proofErr w:type="spellEnd"/>
            <w:r w:rsidRPr="00B75FD7">
              <w:rPr>
                <w:rFonts w:eastAsia="Calibri"/>
                <w:color w:val="000000"/>
                <w:sz w:val="22"/>
              </w:rPr>
              <w:t xml:space="preserve"> потужність закладу</w:t>
            </w:r>
          </w:p>
        </w:tc>
        <w:tc>
          <w:tcPr>
            <w:tcW w:w="1418" w:type="dxa"/>
            <w:gridSpan w:val="2"/>
            <w:tcBorders>
              <w:top w:val="single" w:sz="4" w:space="0" w:color="auto"/>
              <w:left w:val="single" w:sz="6" w:space="0" w:color="auto"/>
              <w:bottom w:val="single" w:sz="4" w:space="0" w:color="auto"/>
              <w:right w:val="single" w:sz="6" w:space="0" w:color="auto"/>
            </w:tcBorders>
          </w:tcPr>
          <w:p w:rsidR="00C533DF" w:rsidRPr="00B75FD7" w:rsidRDefault="00C533DF" w:rsidP="00C533DF">
            <w:pPr>
              <w:jc w:val="center"/>
              <w:rPr>
                <w:rFonts w:eastAsia="Calibri"/>
                <w:sz w:val="22"/>
              </w:rPr>
            </w:pPr>
            <w:r w:rsidRPr="00B75FD7">
              <w:rPr>
                <w:rFonts w:eastAsia="Calibri"/>
                <w:sz w:val="22"/>
              </w:rPr>
              <w:t>осіб</w:t>
            </w:r>
          </w:p>
        </w:tc>
        <w:tc>
          <w:tcPr>
            <w:tcW w:w="1619" w:type="dxa"/>
            <w:tcBorders>
              <w:top w:val="single" w:sz="4" w:space="0" w:color="auto"/>
              <w:left w:val="single" w:sz="6" w:space="0" w:color="auto"/>
              <w:bottom w:val="single" w:sz="4" w:space="0" w:color="auto"/>
              <w:right w:val="single" w:sz="6" w:space="0" w:color="auto"/>
            </w:tcBorders>
          </w:tcPr>
          <w:p w:rsidR="00C533DF" w:rsidRPr="00B75FD7" w:rsidRDefault="00C533DF" w:rsidP="00C533DF">
            <w:pPr>
              <w:jc w:val="center"/>
              <w:rPr>
                <w:rFonts w:eastAsia="Calibri"/>
                <w:color w:val="000000"/>
                <w:sz w:val="22"/>
              </w:rPr>
            </w:pPr>
            <w:r w:rsidRPr="00B75FD7">
              <w:rPr>
                <w:rFonts w:eastAsia="Calibri"/>
                <w:color w:val="000000"/>
                <w:sz w:val="22"/>
              </w:rPr>
              <w:t>90</w:t>
            </w:r>
          </w:p>
        </w:tc>
      </w:tr>
      <w:tr w:rsidR="00C533DF" w:rsidRPr="00B75FD7" w:rsidTr="00C533DF">
        <w:trPr>
          <w:trHeight w:val="390"/>
        </w:trPr>
        <w:tc>
          <w:tcPr>
            <w:tcW w:w="2836" w:type="dxa"/>
            <w:vMerge/>
            <w:tcBorders>
              <w:top w:val="single" w:sz="6" w:space="0" w:color="auto"/>
              <w:left w:val="single" w:sz="6" w:space="0" w:color="auto"/>
              <w:right w:val="single" w:sz="6" w:space="0" w:color="auto"/>
            </w:tcBorders>
            <w:shd w:val="clear" w:color="00FFFF" w:fill="C6D9F1" w:themeFill="text2" w:themeFillTint="33"/>
          </w:tcPr>
          <w:p w:rsidR="00C533DF" w:rsidRPr="00B75FD7" w:rsidRDefault="00C533DF" w:rsidP="00C533DF">
            <w:pPr>
              <w:autoSpaceDE w:val="0"/>
              <w:autoSpaceDN w:val="0"/>
              <w:adjustRightInd w:val="0"/>
              <w:rPr>
                <w:rFonts w:eastAsia="Calibri"/>
                <w:b/>
                <w:color w:val="000000"/>
                <w:sz w:val="22"/>
              </w:rPr>
            </w:pPr>
          </w:p>
        </w:tc>
        <w:tc>
          <w:tcPr>
            <w:tcW w:w="4050" w:type="dxa"/>
            <w:gridSpan w:val="4"/>
            <w:tcBorders>
              <w:top w:val="single" w:sz="4" w:space="0" w:color="auto"/>
              <w:left w:val="single" w:sz="6" w:space="0" w:color="auto"/>
              <w:bottom w:val="single" w:sz="4" w:space="0" w:color="auto"/>
              <w:right w:val="single" w:sz="6" w:space="0" w:color="auto"/>
            </w:tcBorders>
          </w:tcPr>
          <w:p w:rsidR="00C533DF" w:rsidRPr="00B75FD7" w:rsidRDefault="00C533DF" w:rsidP="00C533DF">
            <w:pPr>
              <w:autoSpaceDE w:val="0"/>
              <w:autoSpaceDN w:val="0"/>
              <w:adjustRightInd w:val="0"/>
              <w:rPr>
                <w:rFonts w:eastAsia="Calibri"/>
                <w:color w:val="000000"/>
                <w:sz w:val="22"/>
              </w:rPr>
            </w:pPr>
            <w:r w:rsidRPr="00B75FD7">
              <w:rPr>
                <w:rFonts w:eastAsia="Calibri"/>
                <w:color w:val="000000"/>
                <w:sz w:val="22"/>
              </w:rPr>
              <w:t>Кількість групових приміщень</w:t>
            </w:r>
          </w:p>
        </w:tc>
        <w:tc>
          <w:tcPr>
            <w:tcW w:w="1418" w:type="dxa"/>
            <w:gridSpan w:val="2"/>
            <w:tcBorders>
              <w:top w:val="single" w:sz="4" w:space="0" w:color="auto"/>
              <w:left w:val="single" w:sz="6" w:space="0" w:color="auto"/>
              <w:bottom w:val="single" w:sz="4" w:space="0" w:color="auto"/>
              <w:right w:val="single" w:sz="6" w:space="0" w:color="auto"/>
            </w:tcBorders>
          </w:tcPr>
          <w:p w:rsidR="00C533DF" w:rsidRPr="00B75FD7" w:rsidRDefault="00C533DF" w:rsidP="00C533DF">
            <w:pPr>
              <w:jc w:val="center"/>
              <w:rPr>
                <w:rFonts w:eastAsia="Calibri"/>
                <w:sz w:val="22"/>
              </w:rPr>
            </w:pPr>
            <w:r w:rsidRPr="00B75FD7">
              <w:rPr>
                <w:rFonts w:eastAsia="Calibri"/>
                <w:sz w:val="22"/>
              </w:rPr>
              <w:t>одиниць</w:t>
            </w:r>
          </w:p>
        </w:tc>
        <w:tc>
          <w:tcPr>
            <w:tcW w:w="1619" w:type="dxa"/>
            <w:tcBorders>
              <w:top w:val="single" w:sz="4" w:space="0" w:color="auto"/>
              <w:left w:val="single" w:sz="6" w:space="0" w:color="auto"/>
              <w:bottom w:val="single" w:sz="4" w:space="0" w:color="auto"/>
              <w:right w:val="single" w:sz="6" w:space="0" w:color="auto"/>
            </w:tcBorders>
          </w:tcPr>
          <w:p w:rsidR="00C533DF" w:rsidRPr="00B75FD7" w:rsidRDefault="00C533DF" w:rsidP="00C533DF">
            <w:pPr>
              <w:jc w:val="center"/>
              <w:rPr>
                <w:rFonts w:eastAsia="Calibri"/>
                <w:color w:val="000000"/>
                <w:sz w:val="22"/>
              </w:rPr>
            </w:pPr>
            <w:r w:rsidRPr="00B75FD7">
              <w:rPr>
                <w:rFonts w:eastAsia="Calibri"/>
                <w:color w:val="000000"/>
                <w:sz w:val="22"/>
              </w:rPr>
              <w:t>4</w:t>
            </w:r>
          </w:p>
        </w:tc>
      </w:tr>
      <w:tr w:rsidR="00C533DF" w:rsidRPr="00B75FD7" w:rsidTr="00C533DF">
        <w:trPr>
          <w:trHeight w:val="390"/>
        </w:trPr>
        <w:tc>
          <w:tcPr>
            <w:tcW w:w="2836" w:type="dxa"/>
            <w:vMerge/>
            <w:tcBorders>
              <w:top w:val="single" w:sz="6" w:space="0" w:color="auto"/>
              <w:left w:val="single" w:sz="6" w:space="0" w:color="auto"/>
              <w:right w:val="single" w:sz="6" w:space="0" w:color="auto"/>
            </w:tcBorders>
            <w:shd w:val="clear" w:color="00FFFF" w:fill="C6D9F1" w:themeFill="text2" w:themeFillTint="33"/>
          </w:tcPr>
          <w:p w:rsidR="00C533DF" w:rsidRPr="00B75FD7" w:rsidRDefault="00C533DF" w:rsidP="00C533DF">
            <w:pPr>
              <w:autoSpaceDE w:val="0"/>
              <w:autoSpaceDN w:val="0"/>
              <w:adjustRightInd w:val="0"/>
              <w:rPr>
                <w:rFonts w:eastAsia="Calibri"/>
                <w:b/>
                <w:color w:val="000000"/>
                <w:sz w:val="22"/>
              </w:rPr>
            </w:pPr>
          </w:p>
        </w:tc>
        <w:tc>
          <w:tcPr>
            <w:tcW w:w="4050" w:type="dxa"/>
            <w:gridSpan w:val="4"/>
            <w:tcBorders>
              <w:top w:val="single" w:sz="4" w:space="0" w:color="auto"/>
              <w:left w:val="single" w:sz="6" w:space="0" w:color="auto"/>
              <w:bottom w:val="single" w:sz="4" w:space="0" w:color="auto"/>
              <w:right w:val="single" w:sz="6" w:space="0" w:color="auto"/>
            </w:tcBorders>
          </w:tcPr>
          <w:p w:rsidR="00C533DF" w:rsidRPr="00B75FD7" w:rsidRDefault="00C533DF" w:rsidP="00C533DF">
            <w:pPr>
              <w:autoSpaceDE w:val="0"/>
              <w:autoSpaceDN w:val="0"/>
              <w:adjustRightInd w:val="0"/>
              <w:rPr>
                <w:rFonts w:eastAsia="Calibri"/>
                <w:color w:val="000000"/>
                <w:sz w:val="22"/>
              </w:rPr>
            </w:pPr>
            <w:r w:rsidRPr="00B75FD7">
              <w:rPr>
                <w:rFonts w:eastAsia="Calibri"/>
                <w:color w:val="000000"/>
                <w:sz w:val="22"/>
              </w:rPr>
              <w:t xml:space="preserve">Кількість кабінетів адміністрації  та спеціалістів </w:t>
            </w:r>
          </w:p>
        </w:tc>
        <w:tc>
          <w:tcPr>
            <w:tcW w:w="1418" w:type="dxa"/>
            <w:gridSpan w:val="2"/>
            <w:tcBorders>
              <w:top w:val="single" w:sz="4" w:space="0" w:color="auto"/>
              <w:left w:val="single" w:sz="6" w:space="0" w:color="auto"/>
              <w:bottom w:val="single" w:sz="4" w:space="0" w:color="auto"/>
              <w:right w:val="single" w:sz="6" w:space="0" w:color="auto"/>
            </w:tcBorders>
          </w:tcPr>
          <w:p w:rsidR="00C533DF" w:rsidRPr="00B75FD7" w:rsidRDefault="00C533DF" w:rsidP="00C533DF">
            <w:pPr>
              <w:jc w:val="center"/>
              <w:rPr>
                <w:rFonts w:eastAsia="Calibri"/>
                <w:sz w:val="22"/>
              </w:rPr>
            </w:pPr>
            <w:r w:rsidRPr="00B75FD7">
              <w:rPr>
                <w:rFonts w:eastAsia="Calibri"/>
                <w:sz w:val="22"/>
              </w:rPr>
              <w:t>одиниць</w:t>
            </w:r>
          </w:p>
        </w:tc>
        <w:tc>
          <w:tcPr>
            <w:tcW w:w="1619" w:type="dxa"/>
            <w:tcBorders>
              <w:top w:val="single" w:sz="4" w:space="0" w:color="auto"/>
              <w:left w:val="single" w:sz="6" w:space="0" w:color="auto"/>
              <w:bottom w:val="single" w:sz="4" w:space="0" w:color="auto"/>
              <w:right w:val="single" w:sz="6" w:space="0" w:color="auto"/>
            </w:tcBorders>
          </w:tcPr>
          <w:p w:rsidR="00C533DF" w:rsidRPr="00B75FD7" w:rsidRDefault="00C533DF" w:rsidP="00C533DF">
            <w:pPr>
              <w:jc w:val="center"/>
              <w:rPr>
                <w:rFonts w:eastAsia="Calibri"/>
                <w:color w:val="000000"/>
                <w:sz w:val="22"/>
              </w:rPr>
            </w:pPr>
            <w:r w:rsidRPr="00B75FD7">
              <w:rPr>
                <w:rFonts w:eastAsia="Calibri"/>
                <w:color w:val="000000"/>
                <w:sz w:val="22"/>
              </w:rPr>
              <w:t>8</w:t>
            </w:r>
          </w:p>
        </w:tc>
      </w:tr>
      <w:tr w:rsidR="00C533DF" w:rsidRPr="00B75FD7" w:rsidTr="00C533DF">
        <w:trPr>
          <w:trHeight w:val="390"/>
        </w:trPr>
        <w:tc>
          <w:tcPr>
            <w:tcW w:w="2836" w:type="dxa"/>
            <w:vMerge/>
            <w:tcBorders>
              <w:top w:val="single" w:sz="6" w:space="0" w:color="auto"/>
              <w:left w:val="single" w:sz="6" w:space="0" w:color="auto"/>
              <w:right w:val="single" w:sz="6" w:space="0" w:color="auto"/>
            </w:tcBorders>
            <w:shd w:val="clear" w:color="00FFFF" w:fill="C6D9F1" w:themeFill="text2" w:themeFillTint="33"/>
          </w:tcPr>
          <w:p w:rsidR="00C533DF" w:rsidRPr="00B75FD7" w:rsidRDefault="00C533DF" w:rsidP="00C533DF">
            <w:pPr>
              <w:autoSpaceDE w:val="0"/>
              <w:autoSpaceDN w:val="0"/>
              <w:adjustRightInd w:val="0"/>
              <w:rPr>
                <w:rFonts w:eastAsia="Calibri"/>
                <w:b/>
                <w:color w:val="000000"/>
                <w:sz w:val="22"/>
              </w:rPr>
            </w:pPr>
          </w:p>
        </w:tc>
        <w:tc>
          <w:tcPr>
            <w:tcW w:w="4050" w:type="dxa"/>
            <w:gridSpan w:val="4"/>
            <w:tcBorders>
              <w:top w:val="single" w:sz="4" w:space="0" w:color="auto"/>
              <w:left w:val="single" w:sz="6" w:space="0" w:color="auto"/>
              <w:bottom w:val="single" w:sz="4" w:space="0" w:color="auto"/>
              <w:right w:val="single" w:sz="6" w:space="0" w:color="auto"/>
            </w:tcBorders>
          </w:tcPr>
          <w:p w:rsidR="00C533DF" w:rsidRPr="00B75FD7" w:rsidRDefault="00C533DF" w:rsidP="00C533DF">
            <w:pPr>
              <w:autoSpaceDE w:val="0"/>
              <w:autoSpaceDN w:val="0"/>
              <w:adjustRightInd w:val="0"/>
              <w:rPr>
                <w:rFonts w:eastAsia="Calibri"/>
                <w:color w:val="000000"/>
                <w:sz w:val="22"/>
              </w:rPr>
            </w:pPr>
            <w:r w:rsidRPr="00B75FD7">
              <w:rPr>
                <w:rFonts w:eastAsia="Calibri"/>
                <w:color w:val="000000"/>
                <w:sz w:val="22"/>
              </w:rPr>
              <w:t>Кількість музичних та спортивних занять, розваг та свят проводиться в музичній залі на тиждень</w:t>
            </w:r>
          </w:p>
        </w:tc>
        <w:tc>
          <w:tcPr>
            <w:tcW w:w="1418" w:type="dxa"/>
            <w:gridSpan w:val="2"/>
            <w:tcBorders>
              <w:top w:val="single" w:sz="4" w:space="0" w:color="auto"/>
              <w:left w:val="single" w:sz="6" w:space="0" w:color="auto"/>
              <w:bottom w:val="single" w:sz="4" w:space="0" w:color="auto"/>
              <w:right w:val="single" w:sz="6" w:space="0" w:color="auto"/>
            </w:tcBorders>
          </w:tcPr>
          <w:p w:rsidR="00C533DF" w:rsidRPr="00B75FD7" w:rsidRDefault="00C533DF" w:rsidP="00C533DF">
            <w:pPr>
              <w:jc w:val="center"/>
              <w:rPr>
                <w:rFonts w:eastAsia="Calibri"/>
                <w:sz w:val="22"/>
              </w:rPr>
            </w:pPr>
            <w:r w:rsidRPr="00B75FD7">
              <w:rPr>
                <w:rFonts w:eastAsia="Calibri"/>
                <w:sz w:val="22"/>
              </w:rPr>
              <w:t>годин</w:t>
            </w:r>
          </w:p>
        </w:tc>
        <w:tc>
          <w:tcPr>
            <w:tcW w:w="1619" w:type="dxa"/>
            <w:tcBorders>
              <w:top w:val="single" w:sz="4" w:space="0" w:color="auto"/>
              <w:left w:val="single" w:sz="6" w:space="0" w:color="auto"/>
              <w:bottom w:val="single" w:sz="4" w:space="0" w:color="auto"/>
              <w:right w:val="single" w:sz="6" w:space="0" w:color="auto"/>
            </w:tcBorders>
          </w:tcPr>
          <w:p w:rsidR="00C533DF" w:rsidRPr="00B75FD7" w:rsidRDefault="00C533DF" w:rsidP="00C533DF">
            <w:pPr>
              <w:jc w:val="center"/>
              <w:rPr>
                <w:rFonts w:eastAsia="Calibri"/>
                <w:color w:val="000000"/>
                <w:sz w:val="22"/>
              </w:rPr>
            </w:pPr>
            <w:r w:rsidRPr="00B75FD7">
              <w:rPr>
                <w:rFonts w:eastAsia="Calibri"/>
                <w:color w:val="000000"/>
                <w:sz w:val="22"/>
              </w:rPr>
              <w:t>24</w:t>
            </w:r>
          </w:p>
        </w:tc>
      </w:tr>
      <w:tr w:rsidR="00C533DF" w:rsidRPr="00B75FD7" w:rsidTr="00C533DF">
        <w:trPr>
          <w:trHeight w:val="874"/>
        </w:trPr>
        <w:tc>
          <w:tcPr>
            <w:tcW w:w="2836" w:type="dxa"/>
            <w:vMerge/>
            <w:tcBorders>
              <w:top w:val="single" w:sz="6" w:space="0" w:color="auto"/>
              <w:left w:val="single" w:sz="6" w:space="0" w:color="auto"/>
              <w:right w:val="single" w:sz="6" w:space="0" w:color="auto"/>
            </w:tcBorders>
            <w:shd w:val="clear" w:color="00FFFF" w:fill="C6D9F1" w:themeFill="text2" w:themeFillTint="33"/>
          </w:tcPr>
          <w:p w:rsidR="00C533DF" w:rsidRPr="00B75FD7" w:rsidRDefault="00C533DF" w:rsidP="00C533DF">
            <w:pPr>
              <w:autoSpaceDE w:val="0"/>
              <w:autoSpaceDN w:val="0"/>
              <w:adjustRightInd w:val="0"/>
              <w:rPr>
                <w:rFonts w:eastAsia="Calibri"/>
                <w:b/>
                <w:color w:val="000000"/>
                <w:sz w:val="22"/>
              </w:rPr>
            </w:pPr>
          </w:p>
        </w:tc>
        <w:tc>
          <w:tcPr>
            <w:tcW w:w="4050" w:type="dxa"/>
            <w:gridSpan w:val="4"/>
            <w:tcBorders>
              <w:top w:val="single" w:sz="4" w:space="0" w:color="auto"/>
              <w:left w:val="single" w:sz="6" w:space="0" w:color="auto"/>
              <w:right w:val="single" w:sz="6" w:space="0" w:color="auto"/>
            </w:tcBorders>
          </w:tcPr>
          <w:p w:rsidR="00C533DF" w:rsidRPr="00B75FD7" w:rsidRDefault="00C533DF" w:rsidP="00C533DF">
            <w:pPr>
              <w:autoSpaceDE w:val="0"/>
              <w:autoSpaceDN w:val="0"/>
              <w:adjustRightInd w:val="0"/>
              <w:rPr>
                <w:rFonts w:eastAsia="Calibri"/>
                <w:color w:val="000000"/>
                <w:sz w:val="22"/>
              </w:rPr>
            </w:pPr>
            <w:r w:rsidRPr="00B75FD7">
              <w:rPr>
                <w:rFonts w:eastAsia="Calibri"/>
                <w:color w:val="000000"/>
                <w:sz w:val="22"/>
              </w:rPr>
              <w:t>Кількість фізичних осіб користуються медичним кабінетом протягом навчального року.</w:t>
            </w:r>
          </w:p>
        </w:tc>
        <w:tc>
          <w:tcPr>
            <w:tcW w:w="1418" w:type="dxa"/>
            <w:gridSpan w:val="2"/>
            <w:tcBorders>
              <w:top w:val="single" w:sz="4" w:space="0" w:color="auto"/>
              <w:left w:val="single" w:sz="6" w:space="0" w:color="auto"/>
              <w:right w:val="single" w:sz="6" w:space="0" w:color="auto"/>
            </w:tcBorders>
          </w:tcPr>
          <w:p w:rsidR="00C533DF" w:rsidRPr="00B75FD7" w:rsidRDefault="00C533DF" w:rsidP="00C533DF">
            <w:pPr>
              <w:jc w:val="center"/>
              <w:rPr>
                <w:rFonts w:eastAsia="Calibri"/>
                <w:sz w:val="22"/>
              </w:rPr>
            </w:pPr>
            <w:r w:rsidRPr="00B75FD7">
              <w:rPr>
                <w:rFonts w:eastAsia="Calibri"/>
                <w:sz w:val="22"/>
              </w:rPr>
              <w:t>осіб</w:t>
            </w:r>
          </w:p>
        </w:tc>
        <w:tc>
          <w:tcPr>
            <w:tcW w:w="1619" w:type="dxa"/>
            <w:tcBorders>
              <w:top w:val="single" w:sz="4" w:space="0" w:color="auto"/>
              <w:left w:val="single" w:sz="6" w:space="0" w:color="auto"/>
              <w:right w:val="single" w:sz="6" w:space="0" w:color="auto"/>
            </w:tcBorders>
          </w:tcPr>
          <w:p w:rsidR="00C533DF" w:rsidRPr="00B75FD7" w:rsidRDefault="00C533DF" w:rsidP="00C533DF">
            <w:pPr>
              <w:jc w:val="center"/>
              <w:rPr>
                <w:rFonts w:eastAsia="Calibri"/>
                <w:color w:val="000000"/>
                <w:sz w:val="22"/>
              </w:rPr>
            </w:pPr>
            <w:r w:rsidRPr="00B75FD7">
              <w:rPr>
                <w:rFonts w:eastAsia="Calibri"/>
                <w:color w:val="000000"/>
                <w:sz w:val="22"/>
              </w:rPr>
              <w:t>200</w:t>
            </w:r>
          </w:p>
        </w:tc>
      </w:tr>
      <w:tr w:rsidR="00C533DF" w:rsidRPr="00B75FD7" w:rsidTr="00C533DF">
        <w:trPr>
          <w:trHeight w:val="547"/>
        </w:trPr>
        <w:tc>
          <w:tcPr>
            <w:tcW w:w="2836" w:type="dxa"/>
            <w:tcBorders>
              <w:top w:val="single" w:sz="6" w:space="0" w:color="auto"/>
              <w:left w:val="single" w:sz="6" w:space="0" w:color="auto"/>
              <w:right w:val="single" w:sz="6" w:space="0" w:color="auto"/>
            </w:tcBorders>
            <w:shd w:val="clear" w:color="00FFFF" w:fill="C6D9F1" w:themeFill="text2" w:themeFillTint="33"/>
          </w:tcPr>
          <w:p w:rsidR="00C533DF" w:rsidRPr="00B75FD7" w:rsidRDefault="00C533DF" w:rsidP="00C533DF">
            <w:pPr>
              <w:autoSpaceDE w:val="0"/>
              <w:autoSpaceDN w:val="0"/>
              <w:adjustRightInd w:val="0"/>
              <w:rPr>
                <w:rFonts w:eastAsia="Calibri"/>
                <w:b/>
                <w:color w:val="000000"/>
                <w:sz w:val="22"/>
              </w:rPr>
            </w:pPr>
          </w:p>
        </w:tc>
        <w:tc>
          <w:tcPr>
            <w:tcW w:w="4050" w:type="dxa"/>
            <w:gridSpan w:val="4"/>
            <w:tcBorders>
              <w:top w:val="single" w:sz="4" w:space="0" w:color="auto"/>
              <w:left w:val="single" w:sz="6" w:space="0" w:color="auto"/>
              <w:right w:val="single" w:sz="6" w:space="0" w:color="auto"/>
            </w:tcBorders>
          </w:tcPr>
          <w:p w:rsidR="00C533DF" w:rsidRPr="00B75FD7" w:rsidRDefault="00C533DF" w:rsidP="00C533DF">
            <w:pPr>
              <w:autoSpaceDE w:val="0"/>
              <w:autoSpaceDN w:val="0"/>
              <w:adjustRightInd w:val="0"/>
              <w:rPr>
                <w:rFonts w:eastAsia="Calibri"/>
                <w:color w:val="000000"/>
                <w:sz w:val="22"/>
              </w:rPr>
            </w:pPr>
            <w:r w:rsidRPr="00B75FD7">
              <w:rPr>
                <w:rFonts w:eastAsia="Calibri"/>
                <w:color w:val="000000"/>
                <w:sz w:val="22"/>
              </w:rPr>
              <w:t>Кількість придбаного обладнання для харчоблока</w:t>
            </w:r>
          </w:p>
        </w:tc>
        <w:tc>
          <w:tcPr>
            <w:tcW w:w="1418" w:type="dxa"/>
            <w:gridSpan w:val="2"/>
            <w:tcBorders>
              <w:top w:val="single" w:sz="4" w:space="0" w:color="auto"/>
              <w:left w:val="single" w:sz="6" w:space="0" w:color="auto"/>
              <w:right w:val="single" w:sz="6" w:space="0" w:color="auto"/>
            </w:tcBorders>
          </w:tcPr>
          <w:p w:rsidR="00C533DF" w:rsidRPr="00B75FD7" w:rsidRDefault="00C533DF" w:rsidP="00C533DF">
            <w:pPr>
              <w:jc w:val="center"/>
              <w:rPr>
                <w:rFonts w:eastAsia="Calibri"/>
                <w:sz w:val="22"/>
              </w:rPr>
            </w:pPr>
            <w:r w:rsidRPr="00B75FD7">
              <w:rPr>
                <w:rFonts w:eastAsia="Calibri"/>
                <w:sz w:val="22"/>
              </w:rPr>
              <w:t>одиниць</w:t>
            </w:r>
          </w:p>
        </w:tc>
        <w:tc>
          <w:tcPr>
            <w:tcW w:w="1619" w:type="dxa"/>
            <w:tcBorders>
              <w:top w:val="single" w:sz="4" w:space="0" w:color="auto"/>
              <w:left w:val="single" w:sz="6" w:space="0" w:color="auto"/>
              <w:right w:val="single" w:sz="6" w:space="0" w:color="auto"/>
            </w:tcBorders>
          </w:tcPr>
          <w:p w:rsidR="00C533DF" w:rsidRPr="00B75FD7" w:rsidRDefault="00C533DF" w:rsidP="00C533DF">
            <w:pPr>
              <w:jc w:val="center"/>
              <w:rPr>
                <w:rFonts w:eastAsia="Calibri"/>
                <w:color w:val="000000"/>
                <w:sz w:val="22"/>
              </w:rPr>
            </w:pPr>
            <w:r w:rsidRPr="00B75FD7">
              <w:rPr>
                <w:rFonts w:eastAsia="Calibri"/>
                <w:color w:val="000000"/>
                <w:sz w:val="22"/>
              </w:rPr>
              <w:t>17</w:t>
            </w:r>
          </w:p>
        </w:tc>
      </w:tr>
      <w:tr w:rsidR="00C533DF" w:rsidRPr="00B75FD7" w:rsidTr="00C533DF">
        <w:trPr>
          <w:trHeight w:val="644"/>
        </w:trPr>
        <w:tc>
          <w:tcPr>
            <w:tcW w:w="2836" w:type="dxa"/>
            <w:tcBorders>
              <w:top w:val="single" w:sz="6" w:space="0" w:color="auto"/>
              <w:left w:val="single" w:sz="6" w:space="0" w:color="auto"/>
              <w:right w:val="single" w:sz="6" w:space="0" w:color="auto"/>
            </w:tcBorders>
            <w:shd w:val="clear" w:color="00FFFF" w:fill="C6D9F1" w:themeFill="text2" w:themeFillTint="33"/>
          </w:tcPr>
          <w:p w:rsidR="00C533DF" w:rsidRPr="00B75FD7" w:rsidRDefault="00C533DF" w:rsidP="00C533DF">
            <w:pPr>
              <w:autoSpaceDE w:val="0"/>
              <w:autoSpaceDN w:val="0"/>
              <w:adjustRightInd w:val="0"/>
              <w:rPr>
                <w:rFonts w:eastAsia="Calibri"/>
                <w:b/>
                <w:color w:val="000000"/>
                <w:sz w:val="22"/>
              </w:rPr>
            </w:pPr>
          </w:p>
        </w:tc>
        <w:tc>
          <w:tcPr>
            <w:tcW w:w="4050" w:type="dxa"/>
            <w:gridSpan w:val="4"/>
            <w:tcBorders>
              <w:top w:val="single" w:sz="4" w:space="0" w:color="auto"/>
              <w:left w:val="single" w:sz="6" w:space="0" w:color="auto"/>
              <w:right w:val="single" w:sz="6" w:space="0" w:color="auto"/>
            </w:tcBorders>
          </w:tcPr>
          <w:p w:rsidR="00C533DF" w:rsidRPr="00B75FD7" w:rsidRDefault="00C533DF" w:rsidP="00C533DF">
            <w:pPr>
              <w:autoSpaceDE w:val="0"/>
              <w:autoSpaceDN w:val="0"/>
              <w:adjustRightInd w:val="0"/>
              <w:rPr>
                <w:rFonts w:eastAsia="Calibri"/>
                <w:color w:val="000000"/>
                <w:sz w:val="22"/>
              </w:rPr>
            </w:pPr>
            <w:r w:rsidRPr="00B75FD7">
              <w:rPr>
                <w:rFonts w:eastAsia="Calibri"/>
                <w:color w:val="000000"/>
                <w:sz w:val="22"/>
              </w:rPr>
              <w:t>Кількість придбаного обладнання для пральні</w:t>
            </w:r>
          </w:p>
        </w:tc>
        <w:tc>
          <w:tcPr>
            <w:tcW w:w="1418" w:type="dxa"/>
            <w:gridSpan w:val="2"/>
            <w:tcBorders>
              <w:top w:val="single" w:sz="4" w:space="0" w:color="auto"/>
              <w:left w:val="single" w:sz="6" w:space="0" w:color="auto"/>
              <w:right w:val="single" w:sz="6" w:space="0" w:color="auto"/>
            </w:tcBorders>
          </w:tcPr>
          <w:p w:rsidR="00C533DF" w:rsidRPr="00B75FD7" w:rsidRDefault="00C533DF" w:rsidP="00C533DF">
            <w:pPr>
              <w:jc w:val="center"/>
              <w:rPr>
                <w:rFonts w:eastAsia="Calibri"/>
                <w:sz w:val="22"/>
              </w:rPr>
            </w:pPr>
            <w:r w:rsidRPr="00B75FD7">
              <w:rPr>
                <w:rFonts w:eastAsia="Calibri"/>
                <w:sz w:val="22"/>
              </w:rPr>
              <w:t>одиниць</w:t>
            </w:r>
          </w:p>
        </w:tc>
        <w:tc>
          <w:tcPr>
            <w:tcW w:w="1619" w:type="dxa"/>
            <w:tcBorders>
              <w:top w:val="single" w:sz="4" w:space="0" w:color="auto"/>
              <w:left w:val="single" w:sz="6" w:space="0" w:color="auto"/>
              <w:right w:val="single" w:sz="6" w:space="0" w:color="auto"/>
            </w:tcBorders>
          </w:tcPr>
          <w:p w:rsidR="00C533DF" w:rsidRPr="00B75FD7" w:rsidRDefault="00C533DF" w:rsidP="00C533DF">
            <w:pPr>
              <w:jc w:val="center"/>
              <w:rPr>
                <w:rFonts w:eastAsia="Calibri"/>
                <w:color w:val="000000"/>
                <w:sz w:val="22"/>
              </w:rPr>
            </w:pPr>
            <w:r w:rsidRPr="00B75FD7">
              <w:rPr>
                <w:rFonts w:eastAsia="Calibri"/>
                <w:color w:val="000000"/>
                <w:sz w:val="22"/>
              </w:rPr>
              <w:t>8</w:t>
            </w:r>
          </w:p>
        </w:tc>
      </w:tr>
      <w:tr w:rsidR="00C533DF" w:rsidRPr="00B75FD7" w:rsidTr="001D6CCD">
        <w:trPr>
          <w:trHeight w:val="1684"/>
        </w:trPr>
        <w:tc>
          <w:tcPr>
            <w:tcW w:w="2836"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533DF" w:rsidRPr="00B75FD7" w:rsidRDefault="00C533DF" w:rsidP="00C533DF">
            <w:pPr>
              <w:autoSpaceDE w:val="0"/>
              <w:autoSpaceDN w:val="0"/>
              <w:adjustRightInd w:val="0"/>
              <w:rPr>
                <w:rFonts w:eastAsia="Calibri"/>
                <w:b/>
                <w:color w:val="000000"/>
                <w:sz w:val="22"/>
              </w:rPr>
            </w:pPr>
            <w:r w:rsidRPr="00B75FD7">
              <w:rPr>
                <w:rFonts w:eastAsia="Calibri"/>
                <w:b/>
                <w:color w:val="000000"/>
                <w:sz w:val="22"/>
              </w:rPr>
              <w:t>Ключові заходи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C533DF" w:rsidRPr="00B75FD7" w:rsidRDefault="00C533DF" w:rsidP="00C533DF">
            <w:pPr>
              <w:autoSpaceDE w:val="0"/>
              <w:autoSpaceDN w:val="0"/>
              <w:adjustRightInd w:val="0"/>
              <w:jc w:val="left"/>
              <w:rPr>
                <w:rFonts w:eastAsia="Calibri"/>
                <w:color w:val="000000"/>
                <w:sz w:val="22"/>
              </w:rPr>
            </w:pPr>
            <w:r w:rsidRPr="00B75FD7">
              <w:rPr>
                <w:rFonts w:eastAsia="Calibri"/>
                <w:color w:val="000000"/>
                <w:sz w:val="22"/>
              </w:rPr>
              <w:t>1.Провести інвентаризацію в закладі</w:t>
            </w:r>
            <w:r w:rsidR="0014184C" w:rsidRPr="00B75FD7">
              <w:rPr>
                <w:rFonts w:eastAsia="Calibri"/>
                <w:color w:val="000000"/>
                <w:sz w:val="22"/>
              </w:rPr>
              <w:t>.</w:t>
            </w:r>
            <w:r w:rsidRPr="00B75FD7">
              <w:rPr>
                <w:rFonts w:eastAsia="Calibri"/>
                <w:color w:val="000000"/>
                <w:sz w:val="22"/>
              </w:rPr>
              <w:t xml:space="preserve">                                                                                                                          2.Розробка </w:t>
            </w:r>
            <w:proofErr w:type="spellStart"/>
            <w:r w:rsidRPr="00B75FD7">
              <w:rPr>
                <w:rFonts w:eastAsia="Calibri"/>
                <w:color w:val="000000"/>
                <w:sz w:val="22"/>
              </w:rPr>
              <w:t>проєктно</w:t>
            </w:r>
            <w:proofErr w:type="spellEnd"/>
            <w:r w:rsidRPr="00B75FD7">
              <w:rPr>
                <w:rFonts w:eastAsia="Calibri"/>
                <w:color w:val="000000"/>
                <w:sz w:val="22"/>
              </w:rPr>
              <w:t>-кошторисної документації</w:t>
            </w:r>
            <w:r w:rsidR="0014184C" w:rsidRPr="00B75FD7">
              <w:rPr>
                <w:rFonts w:eastAsia="Calibri"/>
                <w:color w:val="000000"/>
                <w:sz w:val="22"/>
              </w:rPr>
              <w:t>.</w:t>
            </w:r>
            <w:r w:rsidRPr="00B75FD7">
              <w:rPr>
                <w:rFonts w:eastAsia="Calibri"/>
                <w:color w:val="000000"/>
                <w:sz w:val="22"/>
              </w:rPr>
              <w:t xml:space="preserve">                                                                                                                                                          3.Закупівля дитячої меблі</w:t>
            </w:r>
            <w:r w:rsidR="0014184C" w:rsidRPr="00B75FD7">
              <w:rPr>
                <w:rFonts w:eastAsia="Calibri"/>
                <w:color w:val="000000"/>
                <w:sz w:val="22"/>
              </w:rPr>
              <w:t>.</w:t>
            </w:r>
            <w:r w:rsidRPr="00B75FD7">
              <w:rPr>
                <w:rFonts w:eastAsia="Calibri"/>
                <w:color w:val="000000"/>
                <w:sz w:val="22"/>
              </w:rPr>
              <w:t xml:space="preserve">                                                                                                                           4.Закупівля оргтехніки</w:t>
            </w:r>
            <w:r w:rsidR="0014184C" w:rsidRPr="00B75FD7">
              <w:rPr>
                <w:rFonts w:eastAsia="Calibri"/>
                <w:color w:val="000000"/>
                <w:sz w:val="22"/>
              </w:rPr>
              <w:t>.</w:t>
            </w:r>
            <w:r w:rsidRPr="00B75FD7">
              <w:rPr>
                <w:rFonts w:eastAsia="Calibri"/>
                <w:color w:val="000000"/>
                <w:sz w:val="22"/>
              </w:rPr>
              <w:t xml:space="preserve">                                                                                                                                                                           5.Закупівля меблів для кабінетів</w:t>
            </w:r>
            <w:r w:rsidR="0014184C" w:rsidRPr="00B75FD7">
              <w:rPr>
                <w:rFonts w:eastAsia="Calibri"/>
                <w:color w:val="000000"/>
                <w:sz w:val="22"/>
              </w:rPr>
              <w:t>.</w:t>
            </w:r>
            <w:r w:rsidRPr="00B75FD7">
              <w:rPr>
                <w:rFonts w:eastAsia="Calibri"/>
                <w:color w:val="000000"/>
                <w:sz w:val="22"/>
              </w:rPr>
              <w:t xml:space="preserve">                                                                                                                                6.Закупівля дитячих сюжетно-рольових меблів</w:t>
            </w:r>
            <w:r w:rsidR="0014184C" w:rsidRPr="00B75FD7">
              <w:rPr>
                <w:rFonts w:eastAsia="Calibri"/>
                <w:color w:val="000000"/>
                <w:sz w:val="22"/>
              </w:rPr>
              <w:t>.</w:t>
            </w:r>
            <w:r w:rsidRPr="00B75FD7">
              <w:rPr>
                <w:rFonts w:eastAsia="Calibri"/>
                <w:color w:val="000000"/>
                <w:sz w:val="22"/>
              </w:rPr>
              <w:t xml:space="preserve">                                                                                                                7. Закупівля м'якого інвентарю</w:t>
            </w:r>
            <w:r w:rsidR="0014184C" w:rsidRPr="00B75FD7">
              <w:rPr>
                <w:rFonts w:eastAsia="Calibri"/>
                <w:color w:val="000000"/>
                <w:sz w:val="22"/>
              </w:rPr>
              <w:t>.</w:t>
            </w:r>
            <w:r w:rsidRPr="00B75FD7">
              <w:rPr>
                <w:rFonts w:eastAsia="Calibri"/>
                <w:color w:val="000000"/>
                <w:sz w:val="22"/>
              </w:rPr>
              <w:t xml:space="preserve"> </w:t>
            </w:r>
          </w:p>
          <w:p w:rsidR="00C533DF" w:rsidRPr="00B75FD7" w:rsidRDefault="00C533DF" w:rsidP="00C533DF">
            <w:pPr>
              <w:autoSpaceDE w:val="0"/>
              <w:autoSpaceDN w:val="0"/>
              <w:adjustRightInd w:val="0"/>
              <w:jc w:val="left"/>
              <w:rPr>
                <w:rFonts w:eastAsia="Calibri"/>
                <w:color w:val="000000"/>
                <w:sz w:val="22"/>
              </w:rPr>
            </w:pPr>
            <w:r w:rsidRPr="00B75FD7">
              <w:rPr>
                <w:rFonts w:eastAsia="Calibri"/>
                <w:color w:val="000000"/>
                <w:sz w:val="22"/>
              </w:rPr>
              <w:t xml:space="preserve">8. Придбання 3d </w:t>
            </w:r>
            <w:proofErr w:type="spellStart"/>
            <w:r w:rsidRPr="00B75FD7">
              <w:rPr>
                <w:rFonts w:eastAsia="Calibri"/>
                <w:color w:val="000000"/>
                <w:sz w:val="22"/>
              </w:rPr>
              <w:t>фотоштор</w:t>
            </w:r>
            <w:proofErr w:type="spellEnd"/>
            <w:r w:rsidRPr="00B75FD7">
              <w:rPr>
                <w:rFonts w:eastAsia="Calibri"/>
                <w:color w:val="000000"/>
                <w:sz w:val="22"/>
              </w:rPr>
              <w:t xml:space="preserve"> (новорічна, осіння, весняна, літня).                                          9. Придбання карнизів і штор для вікон. </w:t>
            </w:r>
          </w:p>
          <w:p w:rsidR="00C533DF" w:rsidRPr="00B75FD7" w:rsidRDefault="00C533DF" w:rsidP="00C533DF">
            <w:pPr>
              <w:autoSpaceDE w:val="0"/>
              <w:autoSpaceDN w:val="0"/>
              <w:adjustRightInd w:val="0"/>
              <w:jc w:val="left"/>
              <w:rPr>
                <w:rFonts w:eastAsia="Calibri"/>
                <w:color w:val="000000"/>
                <w:sz w:val="22"/>
              </w:rPr>
            </w:pPr>
            <w:r w:rsidRPr="00B75FD7">
              <w:rPr>
                <w:rFonts w:eastAsia="Calibri"/>
                <w:color w:val="000000"/>
                <w:sz w:val="22"/>
              </w:rPr>
              <w:t xml:space="preserve">10.Придбання музичної апаратури (активний комплект, </w:t>
            </w:r>
            <w:proofErr w:type="spellStart"/>
            <w:r w:rsidRPr="00B75FD7">
              <w:rPr>
                <w:rFonts w:eastAsia="Calibri"/>
                <w:color w:val="000000"/>
                <w:sz w:val="22"/>
              </w:rPr>
              <w:t>мікшерний</w:t>
            </w:r>
            <w:proofErr w:type="spellEnd"/>
            <w:r w:rsidRPr="00B75FD7">
              <w:rPr>
                <w:rFonts w:eastAsia="Calibri"/>
                <w:color w:val="000000"/>
                <w:sz w:val="22"/>
              </w:rPr>
              <w:t xml:space="preserve"> пульт, мікрофони).</w:t>
            </w:r>
          </w:p>
          <w:p w:rsidR="00C533DF" w:rsidRPr="00B75FD7" w:rsidRDefault="00C533DF" w:rsidP="00C533DF">
            <w:pPr>
              <w:autoSpaceDE w:val="0"/>
              <w:autoSpaceDN w:val="0"/>
              <w:adjustRightInd w:val="0"/>
              <w:jc w:val="left"/>
              <w:rPr>
                <w:rFonts w:eastAsia="Calibri"/>
                <w:color w:val="000000"/>
                <w:sz w:val="22"/>
              </w:rPr>
            </w:pPr>
            <w:r w:rsidRPr="00B75FD7">
              <w:rPr>
                <w:rFonts w:eastAsia="Calibri"/>
                <w:color w:val="000000"/>
                <w:sz w:val="22"/>
              </w:rPr>
              <w:t xml:space="preserve">11. Придбання українських національних костюмів (20 комплектів для </w:t>
            </w:r>
            <w:proofErr w:type="spellStart"/>
            <w:r w:rsidRPr="00B75FD7">
              <w:rPr>
                <w:rFonts w:eastAsia="Calibri"/>
                <w:color w:val="000000"/>
                <w:sz w:val="22"/>
              </w:rPr>
              <w:t>дівчаток</w:t>
            </w:r>
            <w:proofErr w:type="spellEnd"/>
            <w:r w:rsidRPr="00B75FD7">
              <w:rPr>
                <w:rFonts w:eastAsia="Calibri"/>
                <w:color w:val="000000"/>
                <w:sz w:val="22"/>
              </w:rPr>
              <w:t xml:space="preserve"> і 20 для хлопчиків) та костюмів для театралізації.</w:t>
            </w:r>
          </w:p>
          <w:p w:rsidR="00C533DF" w:rsidRPr="00B75FD7" w:rsidRDefault="00C533DF" w:rsidP="00C533DF">
            <w:pPr>
              <w:autoSpaceDE w:val="0"/>
              <w:autoSpaceDN w:val="0"/>
              <w:adjustRightInd w:val="0"/>
              <w:jc w:val="left"/>
              <w:rPr>
                <w:rFonts w:eastAsia="Calibri"/>
                <w:color w:val="000000"/>
                <w:sz w:val="22"/>
              </w:rPr>
            </w:pPr>
            <w:r w:rsidRPr="00B75FD7">
              <w:rPr>
                <w:rFonts w:eastAsia="Calibri"/>
                <w:color w:val="000000"/>
                <w:sz w:val="22"/>
              </w:rPr>
              <w:t>12. Придбання дитячих музичних інструментів.</w:t>
            </w:r>
          </w:p>
          <w:p w:rsidR="00C533DF" w:rsidRPr="00B75FD7" w:rsidRDefault="00C533DF" w:rsidP="00C533DF">
            <w:pPr>
              <w:autoSpaceDE w:val="0"/>
              <w:autoSpaceDN w:val="0"/>
              <w:adjustRightInd w:val="0"/>
              <w:jc w:val="left"/>
              <w:rPr>
                <w:rFonts w:eastAsia="Calibri"/>
                <w:color w:val="000000"/>
                <w:sz w:val="22"/>
              </w:rPr>
            </w:pPr>
            <w:r w:rsidRPr="00B75FD7">
              <w:rPr>
                <w:rFonts w:eastAsia="Calibri"/>
                <w:color w:val="000000"/>
                <w:sz w:val="22"/>
              </w:rPr>
              <w:t xml:space="preserve">13. Придбання піаніно.                                                                                                        14. Придбання сценічного піаніно </w:t>
            </w:r>
            <w:proofErr w:type="spellStart"/>
            <w:r w:rsidRPr="00B75FD7">
              <w:rPr>
                <w:rFonts w:eastAsia="Calibri"/>
                <w:color w:val="000000"/>
                <w:sz w:val="22"/>
              </w:rPr>
              <w:t>Yamaha</w:t>
            </w:r>
            <w:proofErr w:type="spellEnd"/>
            <w:r w:rsidRPr="00B75FD7">
              <w:rPr>
                <w:rFonts w:eastAsia="Calibri"/>
                <w:color w:val="000000"/>
                <w:sz w:val="22"/>
              </w:rPr>
              <w:t xml:space="preserve"> NP-12.                                                             15. Придбання фізкультурного обладнання.</w:t>
            </w:r>
          </w:p>
          <w:p w:rsidR="00C533DF" w:rsidRPr="00B75FD7" w:rsidRDefault="00C533DF" w:rsidP="00C533DF">
            <w:pPr>
              <w:autoSpaceDE w:val="0"/>
              <w:autoSpaceDN w:val="0"/>
              <w:adjustRightInd w:val="0"/>
              <w:jc w:val="left"/>
              <w:rPr>
                <w:rFonts w:eastAsia="Calibri"/>
                <w:color w:val="000000"/>
                <w:sz w:val="22"/>
              </w:rPr>
            </w:pPr>
            <w:r w:rsidRPr="00B75FD7">
              <w:rPr>
                <w:rFonts w:eastAsia="Calibri"/>
                <w:color w:val="000000"/>
                <w:sz w:val="22"/>
              </w:rPr>
              <w:t>Асортимент та кількість музичних інструментів, костюмів відповідає Примірному переліку ігрового та навчально-дидактичного обладнання для закладів дошкільної освіти (Наказ МОН України від 19.12.17 № 1633).                                                                                                                                              16. Закупівля меблів для медичного кабінету.</w:t>
            </w:r>
          </w:p>
          <w:p w:rsidR="00C533DF" w:rsidRPr="00B75FD7" w:rsidRDefault="00C533DF" w:rsidP="00C533DF">
            <w:pPr>
              <w:autoSpaceDE w:val="0"/>
              <w:autoSpaceDN w:val="0"/>
              <w:adjustRightInd w:val="0"/>
              <w:jc w:val="left"/>
              <w:rPr>
                <w:rFonts w:eastAsia="Calibri"/>
                <w:color w:val="000000"/>
                <w:sz w:val="22"/>
              </w:rPr>
            </w:pPr>
            <w:r w:rsidRPr="00B75FD7">
              <w:rPr>
                <w:rFonts w:eastAsia="Calibri"/>
                <w:color w:val="000000"/>
                <w:sz w:val="22"/>
              </w:rPr>
              <w:t>17.</w:t>
            </w:r>
            <w:r w:rsidRPr="00B75FD7">
              <w:rPr>
                <w:sz w:val="22"/>
              </w:rPr>
              <w:t xml:space="preserve"> </w:t>
            </w:r>
            <w:r w:rsidRPr="00B75FD7">
              <w:rPr>
                <w:rFonts w:eastAsia="Calibri"/>
                <w:color w:val="000000"/>
                <w:sz w:val="22"/>
              </w:rPr>
              <w:t>Закупівля, доставка та установка технологічного обладнання для харчоблока, пральні.</w:t>
            </w:r>
          </w:p>
          <w:p w:rsidR="00C533DF" w:rsidRPr="00B75FD7" w:rsidRDefault="00C533DF" w:rsidP="00C533DF">
            <w:pPr>
              <w:jc w:val="left"/>
              <w:rPr>
                <w:rFonts w:eastAsia="Calibri"/>
                <w:sz w:val="22"/>
              </w:rPr>
            </w:pPr>
            <w:r w:rsidRPr="00B75FD7">
              <w:rPr>
                <w:rFonts w:eastAsia="Calibri"/>
                <w:color w:val="000000"/>
                <w:sz w:val="22"/>
              </w:rPr>
              <w:t>18. Відновлення освітнього процесу</w:t>
            </w:r>
            <w:r w:rsidRPr="00B75FD7">
              <w:rPr>
                <w:rFonts w:eastAsia="Calibri"/>
                <w:sz w:val="22"/>
              </w:rPr>
              <w:t>.</w:t>
            </w:r>
          </w:p>
        </w:tc>
      </w:tr>
      <w:tr w:rsidR="001D6CCD" w:rsidRPr="00B75FD7" w:rsidTr="001D6CCD">
        <w:trPr>
          <w:trHeight w:val="600"/>
        </w:trPr>
        <w:tc>
          <w:tcPr>
            <w:tcW w:w="2836" w:type="dxa"/>
            <w:vMerge w:val="restart"/>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D6CCD" w:rsidRPr="00B75FD7" w:rsidRDefault="001D6CCD" w:rsidP="00C533DF">
            <w:pPr>
              <w:autoSpaceDE w:val="0"/>
              <w:autoSpaceDN w:val="0"/>
              <w:adjustRightInd w:val="0"/>
              <w:rPr>
                <w:rFonts w:eastAsia="Calibri"/>
                <w:b/>
                <w:color w:val="000000"/>
                <w:sz w:val="22"/>
              </w:rPr>
            </w:pPr>
            <w:r w:rsidRPr="00B75FD7">
              <w:rPr>
                <w:rFonts w:eastAsia="Calibri"/>
                <w:b/>
                <w:color w:val="000000"/>
                <w:sz w:val="22"/>
              </w:rPr>
              <w:lastRenderedPageBreak/>
              <w:t>Орієнтовний обсяг та джерела фінансування тис. гривень</w:t>
            </w:r>
          </w:p>
        </w:tc>
        <w:tc>
          <w:tcPr>
            <w:tcW w:w="1305" w:type="dxa"/>
            <w:vMerge w:val="restart"/>
            <w:tcBorders>
              <w:top w:val="single" w:sz="6" w:space="0" w:color="auto"/>
              <w:left w:val="single" w:sz="6" w:space="0" w:color="auto"/>
              <w:bottom w:val="single" w:sz="6" w:space="0" w:color="auto"/>
              <w:right w:val="single" w:sz="6" w:space="0" w:color="auto"/>
            </w:tcBorders>
          </w:tcPr>
          <w:p w:rsidR="001D6CCD" w:rsidRPr="00B75FD7" w:rsidRDefault="001D6CCD" w:rsidP="00C533DF">
            <w:pPr>
              <w:autoSpaceDE w:val="0"/>
              <w:autoSpaceDN w:val="0"/>
              <w:adjustRightInd w:val="0"/>
              <w:rPr>
                <w:rFonts w:eastAsia="Calibri"/>
                <w:color w:val="000000"/>
                <w:sz w:val="22"/>
              </w:rPr>
            </w:pPr>
            <w:r w:rsidRPr="00B75FD7">
              <w:rPr>
                <w:rFonts w:eastAsia="Calibri"/>
                <w:color w:val="000000"/>
                <w:sz w:val="22"/>
              </w:rPr>
              <w:t>Державний бюджет</w:t>
            </w:r>
          </w:p>
        </w:tc>
        <w:tc>
          <w:tcPr>
            <w:tcW w:w="1276" w:type="dxa"/>
            <w:vMerge w:val="restart"/>
            <w:tcBorders>
              <w:top w:val="single" w:sz="6" w:space="0" w:color="auto"/>
              <w:left w:val="single" w:sz="6" w:space="0" w:color="auto"/>
              <w:bottom w:val="single" w:sz="6" w:space="0" w:color="auto"/>
              <w:right w:val="single" w:sz="6" w:space="0" w:color="auto"/>
            </w:tcBorders>
          </w:tcPr>
          <w:p w:rsidR="001D6CCD" w:rsidRPr="00B75FD7" w:rsidRDefault="001D6CCD" w:rsidP="00C533DF">
            <w:pPr>
              <w:autoSpaceDE w:val="0"/>
              <w:autoSpaceDN w:val="0"/>
              <w:adjustRightInd w:val="0"/>
              <w:rPr>
                <w:rFonts w:eastAsia="Calibri"/>
                <w:color w:val="000000"/>
                <w:sz w:val="22"/>
              </w:rPr>
            </w:pPr>
            <w:r w:rsidRPr="00B75FD7">
              <w:rPr>
                <w:rFonts w:eastAsia="Calibri"/>
                <w:color w:val="000000"/>
                <w:sz w:val="22"/>
              </w:rPr>
              <w:t>Місцевий бюджет</w:t>
            </w:r>
          </w:p>
        </w:tc>
        <w:tc>
          <w:tcPr>
            <w:tcW w:w="2835" w:type="dxa"/>
            <w:gridSpan w:val="3"/>
            <w:tcBorders>
              <w:top w:val="single" w:sz="6" w:space="0" w:color="auto"/>
              <w:left w:val="single" w:sz="6" w:space="0" w:color="auto"/>
              <w:bottom w:val="single" w:sz="6" w:space="0" w:color="auto"/>
              <w:right w:val="single" w:sz="6" w:space="0" w:color="auto"/>
            </w:tcBorders>
          </w:tcPr>
          <w:p w:rsidR="001D6CCD" w:rsidRPr="00B75FD7" w:rsidRDefault="001D6CCD" w:rsidP="00C533DF">
            <w:pPr>
              <w:autoSpaceDE w:val="0"/>
              <w:autoSpaceDN w:val="0"/>
              <w:adjustRightInd w:val="0"/>
              <w:rPr>
                <w:rFonts w:eastAsia="Calibri"/>
                <w:color w:val="000000"/>
                <w:sz w:val="22"/>
              </w:rPr>
            </w:pPr>
            <w:r w:rsidRPr="00B75FD7">
              <w:rPr>
                <w:rFonts w:eastAsia="Calibri"/>
                <w:color w:val="000000"/>
                <w:sz w:val="22"/>
              </w:rPr>
              <w:t>Інші джерела</w:t>
            </w:r>
          </w:p>
        </w:tc>
        <w:tc>
          <w:tcPr>
            <w:tcW w:w="1671" w:type="dxa"/>
            <w:gridSpan w:val="2"/>
            <w:tcBorders>
              <w:top w:val="single" w:sz="6" w:space="0" w:color="auto"/>
              <w:left w:val="single" w:sz="6" w:space="0" w:color="auto"/>
              <w:bottom w:val="single" w:sz="6" w:space="0" w:color="auto"/>
              <w:right w:val="single" w:sz="6" w:space="0" w:color="auto"/>
            </w:tcBorders>
          </w:tcPr>
          <w:p w:rsidR="001D6CCD" w:rsidRPr="00B75FD7" w:rsidRDefault="001D6CCD" w:rsidP="00C533DF">
            <w:pPr>
              <w:autoSpaceDE w:val="0"/>
              <w:autoSpaceDN w:val="0"/>
              <w:adjustRightInd w:val="0"/>
              <w:rPr>
                <w:rFonts w:eastAsia="Calibri"/>
                <w:color w:val="000000"/>
                <w:sz w:val="22"/>
              </w:rPr>
            </w:pPr>
            <w:r w:rsidRPr="00B75FD7">
              <w:rPr>
                <w:rFonts w:eastAsia="Calibri"/>
                <w:color w:val="000000"/>
                <w:sz w:val="22"/>
              </w:rPr>
              <w:t>Всього</w:t>
            </w:r>
          </w:p>
        </w:tc>
      </w:tr>
      <w:tr w:rsidR="001D6CCD" w:rsidRPr="00B75FD7" w:rsidTr="001D6CCD">
        <w:trPr>
          <w:trHeight w:val="395"/>
        </w:trPr>
        <w:tc>
          <w:tcPr>
            <w:tcW w:w="2836" w:type="dxa"/>
            <w:vMerge/>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D6CCD" w:rsidRPr="00B75FD7" w:rsidRDefault="001D6CCD" w:rsidP="00C533DF">
            <w:pPr>
              <w:autoSpaceDE w:val="0"/>
              <w:autoSpaceDN w:val="0"/>
              <w:adjustRightInd w:val="0"/>
              <w:rPr>
                <w:rFonts w:eastAsia="Calibri"/>
                <w:b/>
                <w:color w:val="000000"/>
                <w:sz w:val="22"/>
              </w:rPr>
            </w:pPr>
          </w:p>
        </w:tc>
        <w:tc>
          <w:tcPr>
            <w:tcW w:w="1305" w:type="dxa"/>
            <w:vMerge/>
            <w:tcBorders>
              <w:top w:val="single" w:sz="6" w:space="0" w:color="auto"/>
              <w:left w:val="single" w:sz="6" w:space="0" w:color="auto"/>
              <w:bottom w:val="single" w:sz="6" w:space="0" w:color="auto"/>
              <w:right w:val="single" w:sz="6" w:space="0" w:color="auto"/>
            </w:tcBorders>
          </w:tcPr>
          <w:p w:rsidR="001D6CCD" w:rsidRPr="00B75FD7" w:rsidRDefault="001D6CCD" w:rsidP="00C533DF">
            <w:pPr>
              <w:autoSpaceDE w:val="0"/>
              <w:autoSpaceDN w:val="0"/>
              <w:adjustRightInd w:val="0"/>
              <w:rPr>
                <w:rFonts w:eastAsia="Calibri"/>
                <w:color w:val="000000"/>
                <w:sz w:val="22"/>
              </w:rPr>
            </w:pPr>
          </w:p>
        </w:tc>
        <w:tc>
          <w:tcPr>
            <w:tcW w:w="1276" w:type="dxa"/>
            <w:vMerge/>
            <w:tcBorders>
              <w:top w:val="single" w:sz="6" w:space="0" w:color="auto"/>
              <w:left w:val="single" w:sz="6" w:space="0" w:color="auto"/>
              <w:bottom w:val="single" w:sz="6" w:space="0" w:color="auto"/>
              <w:right w:val="single" w:sz="6" w:space="0" w:color="auto"/>
            </w:tcBorders>
          </w:tcPr>
          <w:p w:rsidR="001D6CCD" w:rsidRPr="00B75FD7" w:rsidRDefault="001D6CCD" w:rsidP="00C533DF">
            <w:pPr>
              <w:autoSpaceDE w:val="0"/>
              <w:autoSpaceDN w:val="0"/>
              <w:adjustRightInd w:val="0"/>
              <w:rPr>
                <w:rFonts w:eastAsia="Calibri"/>
                <w:color w:val="000000"/>
                <w:sz w:val="22"/>
              </w:rPr>
            </w:pPr>
          </w:p>
        </w:tc>
        <w:tc>
          <w:tcPr>
            <w:tcW w:w="1134" w:type="dxa"/>
            <w:tcBorders>
              <w:top w:val="single" w:sz="6" w:space="0" w:color="auto"/>
              <w:left w:val="single" w:sz="6" w:space="0" w:color="auto"/>
              <w:bottom w:val="single" w:sz="6" w:space="0" w:color="auto"/>
              <w:right w:val="single" w:sz="6" w:space="0" w:color="auto"/>
            </w:tcBorders>
          </w:tcPr>
          <w:p w:rsidR="001D6CCD" w:rsidRPr="00B75FD7" w:rsidRDefault="001D6CCD" w:rsidP="00C533DF">
            <w:pPr>
              <w:autoSpaceDE w:val="0"/>
              <w:autoSpaceDN w:val="0"/>
              <w:adjustRightInd w:val="0"/>
              <w:rPr>
                <w:rFonts w:eastAsia="Calibri"/>
                <w:color w:val="000000"/>
                <w:sz w:val="22"/>
              </w:rPr>
            </w:pPr>
            <w:r w:rsidRPr="00B75FD7">
              <w:rPr>
                <w:rFonts w:eastAsia="Calibri"/>
                <w:color w:val="000000"/>
                <w:sz w:val="22"/>
              </w:rPr>
              <w:t>Обсяг</w:t>
            </w:r>
          </w:p>
        </w:tc>
        <w:tc>
          <w:tcPr>
            <w:tcW w:w="1701" w:type="dxa"/>
            <w:gridSpan w:val="2"/>
            <w:tcBorders>
              <w:top w:val="single" w:sz="6" w:space="0" w:color="auto"/>
              <w:left w:val="single" w:sz="6" w:space="0" w:color="auto"/>
              <w:bottom w:val="single" w:sz="6" w:space="0" w:color="auto"/>
              <w:right w:val="single" w:sz="6" w:space="0" w:color="auto"/>
            </w:tcBorders>
          </w:tcPr>
          <w:p w:rsidR="001D6CCD" w:rsidRPr="00B75FD7" w:rsidRDefault="001D6CCD" w:rsidP="00C533DF">
            <w:pPr>
              <w:autoSpaceDE w:val="0"/>
              <w:autoSpaceDN w:val="0"/>
              <w:adjustRightInd w:val="0"/>
              <w:rPr>
                <w:rFonts w:eastAsia="Calibri"/>
                <w:color w:val="000000"/>
                <w:sz w:val="22"/>
              </w:rPr>
            </w:pPr>
            <w:r w:rsidRPr="00B75FD7">
              <w:rPr>
                <w:rFonts w:eastAsia="Calibri"/>
                <w:color w:val="000000"/>
                <w:sz w:val="22"/>
              </w:rPr>
              <w:t>Назва джерела</w:t>
            </w:r>
          </w:p>
        </w:tc>
        <w:tc>
          <w:tcPr>
            <w:tcW w:w="1671" w:type="dxa"/>
            <w:gridSpan w:val="2"/>
            <w:tcBorders>
              <w:top w:val="single" w:sz="6" w:space="0" w:color="auto"/>
              <w:left w:val="single" w:sz="6" w:space="0" w:color="auto"/>
              <w:bottom w:val="single" w:sz="6" w:space="0" w:color="auto"/>
              <w:right w:val="single" w:sz="6" w:space="0" w:color="auto"/>
            </w:tcBorders>
          </w:tcPr>
          <w:p w:rsidR="001D6CCD" w:rsidRPr="00B75FD7" w:rsidRDefault="001D6CCD" w:rsidP="00C533DF">
            <w:pPr>
              <w:autoSpaceDE w:val="0"/>
              <w:autoSpaceDN w:val="0"/>
              <w:adjustRightInd w:val="0"/>
              <w:jc w:val="center"/>
              <w:rPr>
                <w:rFonts w:eastAsia="Calibri"/>
                <w:color w:val="000000"/>
                <w:sz w:val="22"/>
              </w:rPr>
            </w:pPr>
          </w:p>
        </w:tc>
      </w:tr>
      <w:tr w:rsidR="001D6CCD" w:rsidRPr="00B75FD7" w:rsidTr="001D6CCD">
        <w:trPr>
          <w:trHeight w:val="1124"/>
        </w:trPr>
        <w:tc>
          <w:tcPr>
            <w:tcW w:w="2836" w:type="dxa"/>
            <w:vMerge/>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D6CCD" w:rsidRPr="00B75FD7" w:rsidRDefault="001D6CCD" w:rsidP="001D6CCD">
            <w:pPr>
              <w:autoSpaceDE w:val="0"/>
              <w:autoSpaceDN w:val="0"/>
              <w:adjustRightInd w:val="0"/>
              <w:rPr>
                <w:rFonts w:eastAsia="Calibri"/>
                <w:b/>
                <w:color w:val="000000"/>
                <w:sz w:val="22"/>
              </w:rPr>
            </w:pPr>
          </w:p>
        </w:tc>
        <w:tc>
          <w:tcPr>
            <w:tcW w:w="1305" w:type="dxa"/>
            <w:tcBorders>
              <w:top w:val="single" w:sz="6" w:space="0" w:color="auto"/>
              <w:left w:val="single" w:sz="6" w:space="0" w:color="auto"/>
              <w:bottom w:val="single" w:sz="6" w:space="0" w:color="auto"/>
              <w:right w:val="single" w:sz="6" w:space="0" w:color="auto"/>
            </w:tcBorders>
          </w:tcPr>
          <w:p w:rsidR="001D6CCD" w:rsidRPr="00B75FD7" w:rsidRDefault="001D6CCD" w:rsidP="001D6CCD">
            <w:pPr>
              <w:autoSpaceDE w:val="0"/>
              <w:autoSpaceDN w:val="0"/>
              <w:adjustRightInd w:val="0"/>
              <w:rPr>
                <w:rFonts w:eastAsia="Calibri"/>
                <w:color w:val="000000"/>
                <w:sz w:val="22"/>
              </w:rPr>
            </w:pPr>
            <w:r w:rsidRPr="00B75FD7">
              <w:rPr>
                <w:rFonts w:eastAsia="Calibri"/>
                <w:color w:val="000000"/>
                <w:sz w:val="22"/>
              </w:rPr>
              <w:t>1590,767</w:t>
            </w:r>
          </w:p>
        </w:tc>
        <w:tc>
          <w:tcPr>
            <w:tcW w:w="1276" w:type="dxa"/>
            <w:tcBorders>
              <w:top w:val="single" w:sz="6" w:space="0" w:color="auto"/>
              <w:left w:val="single" w:sz="6" w:space="0" w:color="auto"/>
              <w:bottom w:val="single" w:sz="6" w:space="0" w:color="auto"/>
              <w:right w:val="single" w:sz="6" w:space="0" w:color="auto"/>
            </w:tcBorders>
          </w:tcPr>
          <w:p w:rsidR="001D6CCD" w:rsidRPr="00B75FD7" w:rsidRDefault="001D6CCD" w:rsidP="001D6CCD">
            <w:pPr>
              <w:autoSpaceDE w:val="0"/>
              <w:autoSpaceDN w:val="0"/>
              <w:adjustRightInd w:val="0"/>
              <w:rPr>
                <w:rFonts w:eastAsia="Calibri"/>
                <w:color w:val="000000"/>
                <w:sz w:val="22"/>
              </w:rPr>
            </w:pPr>
          </w:p>
        </w:tc>
        <w:tc>
          <w:tcPr>
            <w:tcW w:w="1134" w:type="dxa"/>
            <w:tcBorders>
              <w:top w:val="single" w:sz="6" w:space="0" w:color="auto"/>
              <w:left w:val="single" w:sz="6" w:space="0" w:color="auto"/>
              <w:bottom w:val="single" w:sz="6" w:space="0" w:color="auto"/>
              <w:right w:val="single" w:sz="6" w:space="0" w:color="auto"/>
            </w:tcBorders>
          </w:tcPr>
          <w:p w:rsidR="001D6CCD" w:rsidRPr="00B75FD7" w:rsidRDefault="001D6CCD" w:rsidP="001D6CCD">
            <w:pPr>
              <w:autoSpaceDE w:val="0"/>
              <w:autoSpaceDN w:val="0"/>
              <w:adjustRightInd w:val="0"/>
              <w:rPr>
                <w:rFonts w:eastAsia="Calibri"/>
                <w:color w:val="000000"/>
                <w:sz w:val="22"/>
              </w:rPr>
            </w:pPr>
            <w:r w:rsidRPr="00B75FD7">
              <w:rPr>
                <w:rFonts w:eastAsia="Calibri"/>
                <w:color w:val="000000"/>
                <w:sz w:val="22"/>
              </w:rPr>
              <w:t>2452,775</w:t>
            </w:r>
          </w:p>
        </w:tc>
        <w:tc>
          <w:tcPr>
            <w:tcW w:w="1701" w:type="dxa"/>
            <w:gridSpan w:val="2"/>
            <w:tcBorders>
              <w:top w:val="single" w:sz="6" w:space="0" w:color="auto"/>
              <w:left w:val="single" w:sz="6" w:space="0" w:color="auto"/>
              <w:bottom w:val="single" w:sz="6" w:space="0" w:color="auto"/>
              <w:right w:val="single" w:sz="6" w:space="0" w:color="auto"/>
            </w:tcBorders>
          </w:tcPr>
          <w:p w:rsidR="001D6CCD" w:rsidRPr="00B75FD7" w:rsidRDefault="001D6CCD" w:rsidP="001D6CCD">
            <w:pPr>
              <w:autoSpaceDE w:val="0"/>
              <w:autoSpaceDN w:val="0"/>
              <w:adjustRightInd w:val="0"/>
              <w:rPr>
                <w:rFonts w:eastAsia="Calibri"/>
                <w:color w:val="000000"/>
                <w:sz w:val="22"/>
              </w:rPr>
            </w:pPr>
            <w:r w:rsidRPr="00B75FD7">
              <w:rPr>
                <w:rFonts w:eastAsia="Calibri"/>
                <w:color w:val="000000"/>
                <w:sz w:val="22"/>
              </w:rPr>
              <w:t>Міжнародні інвестиції,</w:t>
            </w:r>
          </w:p>
          <w:p w:rsidR="001D6CCD" w:rsidRPr="00B75FD7" w:rsidRDefault="001D6CCD" w:rsidP="001D6CCD">
            <w:pPr>
              <w:autoSpaceDE w:val="0"/>
              <w:autoSpaceDN w:val="0"/>
              <w:adjustRightInd w:val="0"/>
              <w:rPr>
                <w:rFonts w:eastAsia="Calibri"/>
                <w:color w:val="000000"/>
                <w:sz w:val="22"/>
              </w:rPr>
            </w:pPr>
            <w:r w:rsidRPr="00B75FD7">
              <w:rPr>
                <w:rFonts w:eastAsia="Calibri"/>
                <w:color w:val="000000"/>
                <w:sz w:val="22"/>
              </w:rPr>
              <w:t>кошти</w:t>
            </w:r>
          </w:p>
          <w:p w:rsidR="001D6CCD" w:rsidRPr="00B75FD7" w:rsidRDefault="001D6CCD" w:rsidP="001D6CCD">
            <w:pPr>
              <w:autoSpaceDE w:val="0"/>
              <w:autoSpaceDN w:val="0"/>
              <w:adjustRightInd w:val="0"/>
              <w:rPr>
                <w:rFonts w:eastAsia="Calibri"/>
                <w:color w:val="000000"/>
                <w:sz w:val="22"/>
              </w:rPr>
            </w:pPr>
            <w:r w:rsidRPr="00B75FD7">
              <w:rPr>
                <w:rFonts w:eastAsia="Calibri"/>
                <w:color w:val="000000"/>
                <w:sz w:val="22"/>
              </w:rPr>
              <w:t>приватних осіб</w:t>
            </w:r>
          </w:p>
        </w:tc>
        <w:tc>
          <w:tcPr>
            <w:tcW w:w="1671" w:type="dxa"/>
            <w:gridSpan w:val="2"/>
            <w:tcBorders>
              <w:top w:val="single" w:sz="6" w:space="0" w:color="auto"/>
              <w:left w:val="single" w:sz="6" w:space="0" w:color="auto"/>
              <w:bottom w:val="single" w:sz="6" w:space="0" w:color="auto"/>
              <w:right w:val="single" w:sz="6" w:space="0" w:color="auto"/>
            </w:tcBorders>
          </w:tcPr>
          <w:p w:rsidR="001D6CCD" w:rsidRPr="00B75FD7" w:rsidRDefault="001D6CCD" w:rsidP="001D6CCD">
            <w:pPr>
              <w:autoSpaceDE w:val="0"/>
              <w:autoSpaceDN w:val="0"/>
              <w:adjustRightInd w:val="0"/>
              <w:rPr>
                <w:rFonts w:eastAsia="Calibri"/>
                <w:color w:val="000000"/>
                <w:sz w:val="22"/>
              </w:rPr>
            </w:pPr>
            <w:r w:rsidRPr="00B75FD7">
              <w:rPr>
                <w:rFonts w:eastAsia="Calibri"/>
                <w:color w:val="000000"/>
                <w:sz w:val="22"/>
              </w:rPr>
              <w:t>4043,542</w:t>
            </w:r>
          </w:p>
        </w:tc>
      </w:tr>
    </w:tbl>
    <w:p w:rsidR="00C533DF" w:rsidRPr="00B75FD7" w:rsidRDefault="00C533DF" w:rsidP="00E33AAA">
      <w:pPr>
        <w:tabs>
          <w:tab w:val="left" w:pos="5290"/>
        </w:tabs>
        <w:rPr>
          <w:b/>
          <w:sz w:val="22"/>
          <w:szCs w:val="22"/>
        </w:rPr>
      </w:pPr>
    </w:p>
    <w:p w:rsidR="002D6D43" w:rsidRPr="00B75FD7" w:rsidRDefault="002D6D43" w:rsidP="00E33AAA">
      <w:pPr>
        <w:tabs>
          <w:tab w:val="left" w:pos="5290"/>
        </w:tabs>
        <w:rPr>
          <w:b/>
          <w:sz w:val="22"/>
          <w:szCs w:val="22"/>
        </w:rPr>
      </w:pPr>
    </w:p>
    <w:tbl>
      <w:tblPr>
        <w:tblpPr w:leftFromText="180" w:rightFromText="180" w:vertAnchor="text" w:horzAnchor="page" w:tblpX="1" w:tblpY="123"/>
        <w:tblW w:w="11370" w:type="dxa"/>
        <w:tblLayout w:type="fixed"/>
        <w:tblCellMar>
          <w:left w:w="30" w:type="dxa"/>
          <w:right w:w="30" w:type="dxa"/>
        </w:tblCellMar>
        <w:tblLook w:val="0000" w:firstRow="0" w:lastRow="0" w:firstColumn="0" w:lastColumn="0" w:noHBand="0" w:noVBand="0"/>
      </w:tblPr>
      <w:tblGrid>
        <w:gridCol w:w="1447"/>
        <w:gridCol w:w="2831"/>
        <w:gridCol w:w="1136"/>
        <w:gridCol w:w="941"/>
        <w:gridCol w:w="193"/>
        <w:gridCol w:w="992"/>
        <w:gridCol w:w="284"/>
        <w:gridCol w:w="141"/>
        <w:gridCol w:w="1276"/>
        <w:gridCol w:w="284"/>
        <w:gridCol w:w="425"/>
        <w:gridCol w:w="1248"/>
        <w:gridCol w:w="31"/>
        <w:gridCol w:w="51"/>
        <w:gridCol w:w="90"/>
      </w:tblGrid>
      <w:tr w:rsidR="002D6D43" w:rsidRPr="00B75FD7" w:rsidTr="002D6D43">
        <w:trPr>
          <w:gridAfter w:val="3"/>
          <w:wAfter w:w="169" w:type="dxa"/>
          <w:trHeight w:val="68"/>
        </w:trPr>
        <w:tc>
          <w:tcPr>
            <w:tcW w:w="1448" w:type="dxa"/>
            <w:tcBorders>
              <w:top w:val="nil"/>
              <w:left w:val="nil"/>
              <w:bottom w:val="nil"/>
              <w:right w:val="nil"/>
            </w:tcBorders>
          </w:tcPr>
          <w:p w:rsidR="002D6D43" w:rsidRPr="00B75FD7" w:rsidRDefault="002D6D43" w:rsidP="00CF4B4F">
            <w:pPr>
              <w:autoSpaceDE w:val="0"/>
              <w:autoSpaceDN w:val="0"/>
              <w:adjustRightInd w:val="0"/>
              <w:jc w:val="right"/>
              <w:rPr>
                <w:rFonts w:eastAsia="Calibri"/>
                <w:color w:val="000000"/>
                <w:sz w:val="22"/>
              </w:rPr>
            </w:pPr>
          </w:p>
        </w:tc>
        <w:tc>
          <w:tcPr>
            <w:tcW w:w="2833" w:type="dxa"/>
            <w:tcBorders>
              <w:top w:val="nil"/>
              <w:left w:val="nil"/>
              <w:bottom w:val="single" w:sz="6" w:space="0" w:color="auto"/>
              <w:right w:val="nil"/>
            </w:tcBorders>
          </w:tcPr>
          <w:p w:rsidR="002D6D43" w:rsidRPr="00B75FD7" w:rsidRDefault="002D6D43" w:rsidP="00CF4B4F">
            <w:pPr>
              <w:autoSpaceDE w:val="0"/>
              <w:autoSpaceDN w:val="0"/>
              <w:adjustRightInd w:val="0"/>
              <w:jc w:val="center"/>
              <w:rPr>
                <w:rFonts w:eastAsia="Calibri"/>
                <w:color w:val="000000"/>
                <w:sz w:val="22"/>
              </w:rPr>
            </w:pPr>
          </w:p>
        </w:tc>
        <w:tc>
          <w:tcPr>
            <w:tcW w:w="2077" w:type="dxa"/>
            <w:gridSpan w:val="2"/>
            <w:tcBorders>
              <w:top w:val="nil"/>
              <w:left w:val="nil"/>
              <w:bottom w:val="single" w:sz="6" w:space="0" w:color="auto"/>
              <w:right w:val="nil"/>
            </w:tcBorders>
          </w:tcPr>
          <w:p w:rsidR="002D6D43" w:rsidRPr="00B75FD7" w:rsidRDefault="002D6D43" w:rsidP="00CF4B4F">
            <w:pPr>
              <w:autoSpaceDE w:val="0"/>
              <w:autoSpaceDN w:val="0"/>
              <w:adjustRightInd w:val="0"/>
              <w:jc w:val="center"/>
              <w:rPr>
                <w:rFonts w:eastAsia="Calibri"/>
                <w:color w:val="000000"/>
                <w:sz w:val="22"/>
              </w:rPr>
            </w:pPr>
          </w:p>
        </w:tc>
        <w:tc>
          <w:tcPr>
            <w:tcW w:w="1610" w:type="dxa"/>
            <w:gridSpan w:val="4"/>
            <w:tcBorders>
              <w:top w:val="nil"/>
              <w:left w:val="nil"/>
              <w:bottom w:val="single" w:sz="6" w:space="0" w:color="auto"/>
              <w:right w:val="nil"/>
            </w:tcBorders>
          </w:tcPr>
          <w:p w:rsidR="002D6D43" w:rsidRPr="00B75FD7" w:rsidRDefault="002D6D43" w:rsidP="00CF4B4F">
            <w:pPr>
              <w:autoSpaceDE w:val="0"/>
              <w:autoSpaceDN w:val="0"/>
              <w:adjustRightInd w:val="0"/>
              <w:jc w:val="center"/>
              <w:rPr>
                <w:rFonts w:eastAsia="Calibri"/>
                <w:color w:val="000000"/>
                <w:sz w:val="22"/>
              </w:rPr>
            </w:pPr>
          </w:p>
        </w:tc>
        <w:tc>
          <w:tcPr>
            <w:tcW w:w="1985" w:type="dxa"/>
            <w:gridSpan w:val="3"/>
            <w:tcBorders>
              <w:top w:val="nil"/>
              <w:left w:val="nil"/>
              <w:bottom w:val="single" w:sz="6" w:space="0" w:color="auto"/>
              <w:right w:val="nil"/>
            </w:tcBorders>
          </w:tcPr>
          <w:p w:rsidR="002D6D43" w:rsidRPr="00B75FD7" w:rsidRDefault="002D6D43" w:rsidP="00CF4B4F">
            <w:pPr>
              <w:autoSpaceDE w:val="0"/>
              <w:autoSpaceDN w:val="0"/>
              <w:adjustRightInd w:val="0"/>
              <w:jc w:val="center"/>
              <w:rPr>
                <w:rFonts w:eastAsia="Calibri"/>
                <w:color w:val="000000"/>
                <w:sz w:val="22"/>
              </w:rPr>
            </w:pPr>
          </w:p>
        </w:tc>
        <w:tc>
          <w:tcPr>
            <w:tcW w:w="1248" w:type="dxa"/>
            <w:tcBorders>
              <w:top w:val="nil"/>
              <w:left w:val="nil"/>
              <w:bottom w:val="single" w:sz="6" w:space="0" w:color="auto"/>
              <w:right w:val="nil"/>
            </w:tcBorders>
          </w:tcPr>
          <w:p w:rsidR="002D6D43" w:rsidRPr="00B75FD7" w:rsidRDefault="002D6D43" w:rsidP="00CF4B4F">
            <w:pPr>
              <w:autoSpaceDE w:val="0"/>
              <w:autoSpaceDN w:val="0"/>
              <w:adjustRightInd w:val="0"/>
              <w:jc w:val="center"/>
              <w:rPr>
                <w:rFonts w:eastAsia="Calibri"/>
                <w:color w:val="000000"/>
                <w:sz w:val="22"/>
              </w:rPr>
            </w:pPr>
          </w:p>
        </w:tc>
      </w:tr>
      <w:tr w:rsidR="002D6D43" w:rsidRPr="00B75FD7" w:rsidTr="002D6D43">
        <w:trPr>
          <w:trHeight w:val="555"/>
        </w:trPr>
        <w:tc>
          <w:tcPr>
            <w:tcW w:w="1448" w:type="dxa"/>
            <w:tcBorders>
              <w:top w:val="nil"/>
              <w:left w:val="nil"/>
              <w:bottom w:val="nil"/>
              <w:right w:val="nil"/>
            </w:tcBorders>
          </w:tcPr>
          <w:p w:rsidR="002D6D43" w:rsidRPr="00B75FD7" w:rsidRDefault="002D6D43" w:rsidP="00CF4B4F">
            <w:pPr>
              <w:autoSpaceDE w:val="0"/>
              <w:autoSpaceDN w:val="0"/>
              <w:adjustRightInd w:val="0"/>
              <w:jc w:val="right"/>
              <w:rPr>
                <w:rFonts w:eastAsia="Calibri"/>
                <w:color w:val="000000"/>
                <w:sz w:val="22"/>
                <w:szCs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D6D43" w:rsidRPr="00B75FD7" w:rsidRDefault="002D6D43" w:rsidP="00CF4B4F">
            <w:pPr>
              <w:autoSpaceDE w:val="0"/>
              <w:autoSpaceDN w:val="0"/>
              <w:adjustRightInd w:val="0"/>
              <w:rPr>
                <w:rFonts w:eastAsia="Calibri"/>
                <w:b/>
                <w:bCs/>
                <w:color w:val="000000"/>
                <w:sz w:val="22"/>
                <w:szCs w:val="22"/>
              </w:rPr>
            </w:pPr>
            <w:r w:rsidRPr="00B75FD7">
              <w:rPr>
                <w:rFonts w:eastAsia="Calibri"/>
                <w:b/>
                <w:bCs/>
                <w:color w:val="000000"/>
                <w:sz w:val="22"/>
                <w:szCs w:val="22"/>
              </w:rPr>
              <w:t>Оперативна ціль/завдання</w:t>
            </w:r>
          </w:p>
        </w:tc>
        <w:tc>
          <w:tcPr>
            <w:tcW w:w="7089" w:type="dxa"/>
            <w:gridSpan w:val="13"/>
            <w:tcBorders>
              <w:top w:val="single" w:sz="6" w:space="0" w:color="auto"/>
              <w:left w:val="single" w:sz="6" w:space="0" w:color="auto"/>
              <w:bottom w:val="single" w:sz="6" w:space="0" w:color="auto"/>
              <w:right w:val="single" w:sz="6" w:space="0" w:color="auto"/>
            </w:tcBorders>
          </w:tcPr>
          <w:p w:rsidR="002D6D43" w:rsidRPr="00B75FD7" w:rsidRDefault="002D6D43" w:rsidP="00CF4B4F">
            <w:pPr>
              <w:rPr>
                <w:rFonts w:eastAsia="Calibri"/>
                <w:color w:val="000000" w:themeColor="text1"/>
                <w:sz w:val="22"/>
                <w:szCs w:val="22"/>
              </w:rPr>
            </w:pPr>
            <w:r w:rsidRPr="00B75FD7">
              <w:rPr>
                <w:color w:val="000000" w:themeColor="text1"/>
                <w:sz w:val="22"/>
                <w:szCs w:val="22"/>
              </w:rPr>
              <w:t xml:space="preserve">Людський розвиток через інновації управління та довіру до влади. Формування сучасного інклюзивного </w:t>
            </w:r>
            <w:proofErr w:type="spellStart"/>
            <w:r w:rsidRPr="00B75FD7">
              <w:rPr>
                <w:color w:val="000000" w:themeColor="text1"/>
                <w:sz w:val="22"/>
                <w:szCs w:val="22"/>
              </w:rPr>
              <w:t>освітньо</w:t>
            </w:r>
            <w:proofErr w:type="spellEnd"/>
            <w:r w:rsidRPr="00B75FD7">
              <w:rPr>
                <w:color w:val="000000" w:themeColor="text1"/>
                <w:sz w:val="22"/>
                <w:szCs w:val="22"/>
              </w:rPr>
              <w:t>-культурного та спортивного простору для розвитку.</w:t>
            </w:r>
          </w:p>
        </w:tc>
      </w:tr>
      <w:tr w:rsidR="002D6D43" w:rsidRPr="00B75FD7" w:rsidTr="002D6D43">
        <w:trPr>
          <w:trHeight w:val="489"/>
        </w:trPr>
        <w:tc>
          <w:tcPr>
            <w:tcW w:w="1448" w:type="dxa"/>
            <w:tcBorders>
              <w:top w:val="nil"/>
              <w:left w:val="nil"/>
              <w:bottom w:val="nil"/>
              <w:right w:val="nil"/>
            </w:tcBorders>
          </w:tcPr>
          <w:p w:rsidR="002D6D43" w:rsidRPr="00B75FD7" w:rsidRDefault="002D6D43" w:rsidP="00CF4B4F">
            <w:pPr>
              <w:autoSpaceDE w:val="0"/>
              <w:autoSpaceDN w:val="0"/>
              <w:adjustRightInd w:val="0"/>
              <w:jc w:val="right"/>
              <w:rPr>
                <w:rFonts w:eastAsia="Calibri"/>
                <w:color w:val="000000"/>
                <w:sz w:val="22"/>
                <w:szCs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D6D43" w:rsidRPr="00B75FD7" w:rsidRDefault="002D6D43" w:rsidP="00CF4B4F">
            <w:pPr>
              <w:autoSpaceDE w:val="0"/>
              <w:autoSpaceDN w:val="0"/>
              <w:adjustRightInd w:val="0"/>
              <w:rPr>
                <w:rFonts w:eastAsia="Calibri"/>
                <w:b/>
                <w:bCs/>
                <w:color w:val="000000"/>
                <w:sz w:val="22"/>
                <w:szCs w:val="22"/>
              </w:rPr>
            </w:pPr>
            <w:r w:rsidRPr="00B75FD7">
              <w:rPr>
                <w:rFonts w:eastAsia="Calibri"/>
                <w:b/>
                <w:bCs/>
                <w:color w:val="000000"/>
                <w:sz w:val="22"/>
                <w:szCs w:val="22"/>
              </w:rPr>
              <w:t>Назва проекту:</w:t>
            </w:r>
          </w:p>
        </w:tc>
        <w:tc>
          <w:tcPr>
            <w:tcW w:w="7089" w:type="dxa"/>
            <w:gridSpan w:val="13"/>
            <w:tcBorders>
              <w:top w:val="single" w:sz="6" w:space="0" w:color="auto"/>
              <w:left w:val="single" w:sz="6" w:space="0" w:color="auto"/>
              <w:bottom w:val="single" w:sz="6" w:space="0" w:color="auto"/>
              <w:right w:val="single" w:sz="6" w:space="0" w:color="auto"/>
            </w:tcBorders>
          </w:tcPr>
          <w:p w:rsidR="002D6D43" w:rsidRPr="00B75FD7" w:rsidRDefault="002D6D43" w:rsidP="00CF4B4F">
            <w:pPr>
              <w:rPr>
                <w:color w:val="000000" w:themeColor="text1"/>
                <w:sz w:val="22"/>
                <w:szCs w:val="22"/>
              </w:rPr>
            </w:pPr>
            <w:r w:rsidRPr="00B75FD7">
              <w:rPr>
                <w:color w:val="000000" w:themeColor="text1"/>
                <w:sz w:val="22"/>
                <w:szCs w:val="22"/>
              </w:rPr>
              <w:t xml:space="preserve">Капітальний ремонт Ясел-садка 30 </w:t>
            </w:r>
            <w:proofErr w:type="spellStart"/>
            <w:r w:rsidRPr="00B75FD7">
              <w:rPr>
                <w:color w:val="000000" w:themeColor="text1"/>
                <w:sz w:val="22"/>
                <w:szCs w:val="22"/>
              </w:rPr>
              <w:t>м.Сєвєродонецька</w:t>
            </w:r>
            <w:proofErr w:type="spellEnd"/>
            <w:r w:rsidRPr="00B75FD7">
              <w:rPr>
                <w:color w:val="000000" w:themeColor="text1"/>
                <w:sz w:val="22"/>
                <w:szCs w:val="22"/>
              </w:rPr>
              <w:t xml:space="preserve"> Луганської області, </w:t>
            </w:r>
            <w:proofErr w:type="spellStart"/>
            <w:r w:rsidRPr="00B75FD7">
              <w:rPr>
                <w:color w:val="000000" w:themeColor="text1"/>
                <w:sz w:val="22"/>
                <w:szCs w:val="22"/>
              </w:rPr>
              <w:t>вул.Вілєсова</w:t>
            </w:r>
            <w:proofErr w:type="spellEnd"/>
            <w:r w:rsidRPr="00B75FD7">
              <w:rPr>
                <w:color w:val="000000" w:themeColor="text1"/>
                <w:sz w:val="22"/>
                <w:szCs w:val="22"/>
              </w:rPr>
              <w:t>, 9</w:t>
            </w:r>
          </w:p>
        </w:tc>
      </w:tr>
      <w:tr w:rsidR="002D6D43" w:rsidRPr="00B75FD7" w:rsidTr="002D6D43">
        <w:trPr>
          <w:trHeight w:val="964"/>
        </w:trPr>
        <w:tc>
          <w:tcPr>
            <w:tcW w:w="1448" w:type="dxa"/>
            <w:tcBorders>
              <w:top w:val="nil"/>
              <w:left w:val="nil"/>
              <w:bottom w:val="nil"/>
              <w:right w:val="nil"/>
            </w:tcBorders>
          </w:tcPr>
          <w:p w:rsidR="002D6D43" w:rsidRPr="00B75FD7" w:rsidRDefault="002D6D43" w:rsidP="00CF4B4F">
            <w:pPr>
              <w:autoSpaceDE w:val="0"/>
              <w:autoSpaceDN w:val="0"/>
              <w:adjustRightInd w:val="0"/>
              <w:jc w:val="right"/>
              <w:rPr>
                <w:rFonts w:eastAsia="Calibri"/>
                <w:color w:val="000000"/>
                <w:sz w:val="22"/>
                <w:szCs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D6D43" w:rsidRPr="00B75FD7" w:rsidRDefault="002D6D43" w:rsidP="00CF4B4F">
            <w:pPr>
              <w:autoSpaceDE w:val="0"/>
              <w:autoSpaceDN w:val="0"/>
              <w:adjustRightInd w:val="0"/>
              <w:rPr>
                <w:rFonts w:eastAsia="Calibri"/>
                <w:b/>
                <w:bCs/>
                <w:color w:val="000000"/>
                <w:sz w:val="22"/>
                <w:szCs w:val="22"/>
              </w:rPr>
            </w:pPr>
            <w:r w:rsidRPr="00B75FD7">
              <w:rPr>
                <w:rFonts w:eastAsia="Calibri"/>
                <w:b/>
                <w:bCs/>
                <w:color w:val="000000"/>
                <w:sz w:val="22"/>
                <w:szCs w:val="22"/>
              </w:rPr>
              <w:t>Ціль проекту</w:t>
            </w:r>
          </w:p>
        </w:tc>
        <w:tc>
          <w:tcPr>
            <w:tcW w:w="7089" w:type="dxa"/>
            <w:gridSpan w:val="13"/>
            <w:tcBorders>
              <w:top w:val="single" w:sz="6" w:space="0" w:color="auto"/>
              <w:left w:val="single" w:sz="6" w:space="0" w:color="auto"/>
              <w:bottom w:val="single" w:sz="6" w:space="0" w:color="auto"/>
              <w:right w:val="single" w:sz="6" w:space="0" w:color="auto"/>
            </w:tcBorders>
          </w:tcPr>
          <w:p w:rsidR="002D6D43" w:rsidRPr="00B75FD7" w:rsidRDefault="002D6D43" w:rsidP="006A2E59">
            <w:pPr>
              <w:rPr>
                <w:rFonts w:eastAsia="Calibri"/>
                <w:color w:val="000000" w:themeColor="text1"/>
                <w:sz w:val="22"/>
                <w:szCs w:val="22"/>
              </w:rPr>
            </w:pPr>
            <w:r w:rsidRPr="00B75FD7">
              <w:rPr>
                <w:rFonts w:eastAsia="Calibri"/>
                <w:color w:val="000000" w:themeColor="text1"/>
                <w:sz w:val="22"/>
                <w:szCs w:val="22"/>
              </w:rPr>
              <w:t xml:space="preserve">Відновити будівлю та приміщення Ясел-садка №30 з використанням </w:t>
            </w:r>
            <w:proofErr w:type="spellStart"/>
            <w:r w:rsidRPr="00B75FD7">
              <w:rPr>
                <w:rFonts w:eastAsia="Calibri"/>
                <w:color w:val="000000" w:themeColor="text1"/>
                <w:sz w:val="22"/>
                <w:szCs w:val="22"/>
              </w:rPr>
              <w:t>енергозберегаючих</w:t>
            </w:r>
            <w:proofErr w:type="spellEnd"/>
            <w:r w:rsidRPr="00B75FD7">
              <w:rPr>
                <w:rFonts w:eastAsia="Calibri"/>
                <w:color w:val="000000" w:themeColor="text1"/>
                <w:sz w:val="22"/>
                <w:szCs w:val="22"/>
              </w:rPr>
              <w:t xml:space="preserve"> технологій з дотриманням санітарних норм,</w:t>
            </w:r>
            <w:r w:rsidR="006A2E59" w:rsidRPr="00B75FD7">
              <w:rPr>
                <w:rFonts w:eastAsia="Calibri"/>
                <w:color w:val="000000" w:themeColor="text1"/>
                <w:sz w:val="22"/>
                <w:szCs w:val="22"/>
              </w:rPr>
              <w:t xml:space="preserve"> </w:t>
            </w:r>
            <w:r w:rsidRPr="00B75FD7">
              <w:rPr>
                <w:rFonts w:eastAsia="Calibri"/>
                <w:color w:val="000000" w:themeColor="text1"/>
                <w:sz w:val="22"/>
                <w:szCs w:val="22"/>
              </w:rPr>
              <w:t>норм протипожежної безпеки.</w:t>
            </w:r>
            <w:r w:rsidR="006A2E59" w:rsidRPr="00B75FD7">
              <w:rPr>
                <w:rFonts w:eastAsia="Calibri"/>
                <w:color w:val="000000" w:themeColor="text1"/>
                <w:sz w:val="22"/>
                <w:szCs w:val="22"/>
              </w:rPr>
              <w:t xml:space="preserve"> </w:t>
            </w:r>
            <w:r w:rsidRPr="00B75FD7">
              <w:rPr>
                <w:rFonts w:eastAsia="Calibri"/>
                <w:color w:val="000000" w:themeColor="text1"/>
                <w:sz w:val="22"/>
                <w:szCs w:val="22"/>
              </w:rPr>
              <w:t>Облаштувати бо</w:t>
            </w:r>
            <w:r w:rsidR="006A2E59" w:rsidRPr="00B75FD7">
              <w:rPr>
                <w:rFonts w:eastAsia="Calibri"/>
                <w:color w:val="000000" w:themeColor="text1"/>
                <w:sz w:val="22"/>
                <w:szCs w:val="22"/>
              </w:rPr>
              <w:t>м</w:t>
            </w:r>
            <w:r w:rsidRPr="00B75FD7">
              <w:rPr>
                <w:rFonts w:eastAsia="Calibri"/>
                <w:color w:val="000000" w:themeColor="text1"/>
                <w:sz w:val="22"/>
                <w:szCs w:val="22"/>
              </w:rPr>
              <w:t>босховище в зв’язку з нормами безпеки.</w:t>
            </w:r>
          </w:p>
        </w:tc>
      </w:tr>
      <w:tr w:rsidR="002D6D43" w:rsidRPr="00B75FD7" w:rsidTr="002D6D43">
        <w:trPr>
          <w:trHeight w:val="290"/>
        </w:trPr>
        <w:tc>
          <w:tcPr>
            <w:tcW w:w="1448" w:type="dxa"/>
            <w:tcBorders>
              <w:top w:val="nil"/>
              <w:left w:val="nil"/>
              <w:bottom w:val="nil"/>
              <w:right w:val="nil"/>
            </w:tcBorders>
          </w:tcPr>
          <w:p w:rsidR="002D6D43" w:rsidRPr="00B75FD7" w:rsidRDefault="002D6D43" w:rsidP="00CF4B4F">
            <w:pPr>
              <w:autoSpaceDE w:val="0"/>
              <w:autoSpaceDN w:val="0"/>
              <w:adjustRightInd w:val="0"/>
              <w:jc w:val="right"/>
              <w:rPr>
                <w:rFonts w:eastAsia="Calibri"/>
                <w:color w:val="000000"/>
                <w:sz w:val="22"/>
                <w:szCs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D6D43" w:rsidRPr="00B75FD7" w:rsidRDefault="002D6D43" w:rsidP="00CF4B4F">
            <w:pPr>
              <w:autoSpaceDE w:val="0"/>
              <w:autoSpaceDN w:val="0"/>
              <w:adjustRightInd w:val="0"/>
              <w:rPr>
                <w:rFonts w:eastAsia="Calibri"/>
                <w:b/>
                <w:bCs/>
                <w:color w:val="000000"/>
                <w:sz w:val="22"/>
                <w:szCs w:val="22"/>
              </w:rPr>
            </w:pPr>
            <w:r w:rsidRPr="00B75FD7">
              <w:rPr>
                <w:rFonts w:eastAsia="Calibri"/>
                <w:b/>
                <w:bCs/>
                <w:color w:val="000000"/>
                <w:sz w:val="22"/>
                <w:szCs w:val="22"/>
              </w:rPr>
              <w:t>Територія, на яку матиме вплив реалізація проекту</w:t>
            </w:r>
          </w:p>
        </w:tc>
        <w:tc>
          <w:tcPr>
            <w:tcW w:w="7089" w:type="dxa"/>
            <w:gridSpan w:val="13"/>
            <w:tcBorders>
              <w:top w:val="single" w:sz="6" w:space="0" w:color="auto"/>
              <w:left w:val="single" w:sz="6" w:space="0" w:color="auto"/>
              <w:bottom w:val="single" w:sz="6" w:space="0" w:color="auto"/>
              <w:right w:val="single" w:sz="6" w:space="0" w:color="auto"/>
            </w:tcBorders>
          </w:tcPr>
          <w:p w:rsidR="002D6D43" w:rsidRPr="00B75FD7" w:rsidRDefault="002D6D43" w:rsidP="00CF4B4F">
            <w:pPr>
              <w:autoSpaceDE w:val="0"/>
              <w:autoSpaceDN w:val="0"/>
              <w:adjustRightInd w:val="0"/>
              <w:rPr>
                <w:rFonts w:eastAsia="Calibri"/>
                <w:color w:val="000000" w:themeColor="text1"/>
                <w:sz w:val="22"/>
                <w:szCs w:val="22"/>
              </w:rPr>
            </w:pPr>
            <w:r w:rsidRPr="00B75FD7">
              <w:rPr>
                <w:rFonts w:eastAsia="Calibri"/>
                <w:color w:val="000000" w:themeColor="text1"/>
                <w:sz w:val="22"/>
                <w:szCs w:val="22"/>
              </w:rPr>
              <w:t>Сєвєродонецька міська територіальна громада</w:t>
            </w:r>
          </w:p>
        </w:tc>
      </w:tr>
      <w:tr w:rsidR="002D6D43" w:rsidRPr="00B75FD7" w:rsidTr="002D6D43">
        <w:trPr>
          <w:trHeight w:val="846"/>
        </w:trPr>
        <w:tc>
          <w:tcPr>
            <w:tcW w:w="1448" w:type="dxa"/>
            <w:tcBorders>
              <w:top w:val="nil"/>
              <w:left w:val="nil"/>
              <w:bottom w:val="nil"/>
              <w:right w:val="nil"/>
            </w:tcBorders>
          </w:tcPr>
          <w:p w:rsidR="002D6D43" w:rsidRPr="00B75FD7" w:rsidRDefault="002D6D43" w:rsidP="00CF4B4F">
            <w:pPr>
              <w:autoSpaceDE w:val="0"/>
              <w:autoSpaceDN w:val="0"/>
              <w:adjustRightInd w:val="0"/>
              <w:jc w:val="right"/>
              <w:rPr>
                <w:rFonts w:eastAsia="Calibri"/>
                <w:color w:val="000000"/>
                <w:sz w:val="22"/>
                <w:szCs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D6D43" w:rsidRPr="00B75FD7" w:rsidRDefault="002D6D43" w:rsidP="00CF4B4F">
            <w:pPr>
              <w:autoSpaceDE w:val="0"/>
              <w:autoSpaceDN w:val="0"/>
              <w:adjustRightInd w:val="0"/>
              <w:rPr>
                <w:rFonts w:eastAsia="Calibri"/>
                <w:b/>
                <w:bCs/>
                <w:color w:val="000000"/>
                <w:sz w:val="22"/>
                <w:szCs w:val="22"/>
              </w:rPr>
            </w:pPr>
            <w:r w:rsidRPr="00B75FD7">
              <w:rPr>
                <w:rFonts w:eastAsia="Calibri"/>
                <w:b/>
                <w:bCs/>
                <w:color w:val="000000"/>
                <w:sz w:val="22"/>
                <w:szCs w:val="22"/>
              </w:rPr>
              <w:t>Чисельність населення, на яке матиме вплив реалізація проекту</w:t>
            </w:r>
          </w:p>
        </w:tc>
        <w:tc>
          <w:tcPr>
            <w:tcW w:w="7089" w:type="dxa"/>
            <w:gridSpan w:val="13"/>
            <w:tcBorders>
              <w:top w:val="single" w:sz="6" w:space="0" w:color="auto"/>
              <w:left w:val="single" w:sz="6" w:space="0" w:color="auto"/>
              <w:bottom w:val="single" w:sz="6" w:space="0" w:color="auto"/>
              <w:right w:val="single" w:sz="6" w:space="0" w:color="auto"/>
            </w:tcBorders>
          </w:tcPr>
          <w:p w:rsidR="002D6D43" w:rsidRPr="00B75FD7" w:rsidRDefault="002D6D43" w:rsidP="00CF4B4F">
            <w:pPr>
              <w:rPr>
                <w:color w:val="000000" w:themeColor="text1"/>
                <w:sz w:val="22"/>
                <w:szCs w:val="22"/>
              </w:rPr>
            </w:pPr>
            <w:r w:rsidRPr="00B75FD7">
              <w:rPr>
                <w:color w:val="000000" w:themeColor="text1"/>
                <w:sz w:val="22"/>
                <w:szCs w:val="22"/>
              </w:rPr>
              <w:t>70 000 осіб</w:t>
            </w:r>
          </w:p>
          <w:p w:rsidR="002D6D43" w:rsidRPr="00B75FD7" w:rsidRDefault="002D6D43" w:rsidP="00CF4B4F">
            <w:pPr>
              <w:autoSpaceDE w:val="0"/>
              <w:autoSpaceDN w:val="0"/>
              <w:adjustRightInd w:val="0"/>
              <w:rPr>
                <w:rFonts w:eastAsia="Calibri"/>
                <w:color w:val="000000" w:themeColor="text1"/>
                <w:sz w:val="22"/>
                <w:szCs w:val="22"/>
              </w:rPr>
            </w:pPr>
          </w:p>
        </w:tc>
      </w:tr>
      <w:tr w:rsidR="002D6D43" w:rsidRPr="00B75FD7" w:rsidTr="002D6D43">
        <w:trPr>
          <w:trHeight w:val="1347"/>
        </w:trPr>
        <w:tc>
          <w:tcPr>
            <w:tcW w:w="1448" w:type="dxa"/>
            <w:tcBorders>
              <w:top w:val="nil"/>
              <w:left w:val="nil"/>
              <w:bottom w:val="nil"/>
              <w:right w:val="nil"/>
            </w:tcBorders>
          </w:tcPr>
          <w:p w:rsidR="002D6D43" w:rsidRPr="00B75FD7" w:rsidRDefault="002D6D43" w:rsidP="00CF4B4F">
            <w:pPr>
              <w:autoSpaceDE w:val="0"/>
              <w:autoSpaceDN w:val="0"/>
              <w:adjustRightInd w:val="0"/>
              <w:jc w:val="right"/>
              <w:rPr>
                <w:rFonts w:eastAsia="Calibri"/>
                <w:color w:val="000000"/>
                <w:sz w:val="22"/>
                <w:szCs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D6D43" w:rsidRPr="00B75FD7" w:rsidRDefault="002D6D43" w:rsidP="00CF4B4F">
            <w:pPr>
              <w:autoSpaceDE w:val="0"/>
              <w:autoSpaceDN w:val="0"/>
              <w:adjustRightInd w:val="0"/>
              <w:rPr>
                <w:rFonts w:eastAsia="Calibri"/>
                <w:b/>
                <w:bCs/>
                <w:color w:val="000000"/>
                <w:sz w:val="22"/>
                <w:szCs w:val="22"/>
              </w:rPr>
            </w:pPr>
            <w:r w:rsidRPr="00B75FD7">
              <w:rPr>
                <w:rFonts w:eastAsia="Calibri"/>
                <w:b/>
                <w:bCs/>
                <w:color w:val="000000"/>
                <w:sz w:val="22"/>
                <w:szCs w:val="22"/>
              </w:rPr>
              <w:t>Опис проблеми, на вирішення якої спрямований проект</w:t>
            </w:r>
          </w:p>
        </w:tc>
        <w:tc>
          <w:tcPr>
            <w:tcW w:w="7089" w:type="dxa"/>
            <w:gridSpan w:val="13"/>
            <w:tcBorders>
              <w:top w:val="single" w:sz="6" w:space="0" w:color="auto"/>
              <w:left w:val="single" w:sz="6" w:space="0" w:color="auto"/>
              <w:bottom w:val="single" w:sz="6" w:space="0" w:color="auto"/>
              <w:right w:val="single" w:sz="6" w:space="0" w:color="auto"/>
            </w:tcBorders>
          </w:tcPr>
          <w:p w:rsidR="002D6D43" w:rsidRPr="00B75FD7" w:rsidRDefault="002D6D43" w:rsidP="00CF4B4F">
            <w:pPr>
              <w:rPr>
                <w:rFonts w:eastAsia="Calibri"/>
                <w:color w:val="000000" w:themeColor="text1"/>
                <w:sz w:val="22"/>
                <w:szCs w:val="22"/>
              </w:rPr>
            </w:pPr>
            <w:r w:rsidRPr="00B75FD7">
              <w:rPr>
                <w:color w:val="000000" w:themeColor="text1"/>
                <w:sz w:val="22"/>
                <w:szCs w:val="22"/>
              </w:rPr>
              <w:t xml:space="preserve">У </w:t>
            </w:r>
            <w:proofErr w:type="spellStart"/>
            <w:r w:rsidRPr="00B75FD7">
              <w:rPr>
                <w:color w:val="000000" w:themeColor="text1"/>
                <w:sz w:val="22"/>
                <w:szCs w:val="22"/>
              </w:rPr>
              <w:t>з'язку</w:t>
            </w:r>
            <w:proofErr w:type="spellEnd"/>
            <w:r w:rsidRPr="00B75FD7">
              <w:rPr>
                <w:color w:val="000000" w:themeColor="text1"/>
                <w:sz w:val="22"/>
                <w:szCs w:val="22"/>
              </w:rPr>
              <w:t xml:space="preserve"> з війною постраждала інфраструктура міста Сєвєродонецька: Житлові будинки,  заклади освіти та інші сфери діяльності. Ясла-садок</w:t>
            </w:r>
            <w:r w:rsidR="005A5146" w:rsidRPr="00B75FD7">
              <w:rPr>
                <w:color w:val="000000" w:themeColor="text1"/>
                <w:sz w:val="22"/>
                <w:szCs w:val="22"/>
              </w:rPr>
              <w:t xml:space="preserve"> </w:t>
            </w:r>
            <w:r w:rsidRPr="00B75FD7">
              <w:rPr>
                <w:color w:val="000000" w:themeColor="text1"/>
                <w:sz w:val="22"/>
                <w:szCs w:val="22"/>
              </w:rPr>
              <w:t xml:space="preserve">№30 теж зазнав наслідків війни. Тому потребує капітального ремонту для подальшої роботи у вихованні та навчанні дітей після </w:t>
            </w:r>
            <w:proofErr w:type="spellStart"/>
            <w:r w:rsidRPr="00B75FD7">
              <w:rPr>
                <w:color w:val="000000" w:themeColor="text1"/>
                <w:sz w:val="22"/>
                <w:szCs w:val="22"/>
              </w:rPr>
              <w:t>деокупації</w:t>
            </w:r>
            <w:proofErr w:type="spellEnd"/>
            <w:r w:rsidRPr="00B75FD7">
              <w:rPr>
                <w:color w:val="000000" w:themeColor="text1"/>
                <w:sz w:val="22"/>
                <w:szCs w:val="22"/>
              </w:rPr>
              <w:t xml:space="preserve"> міста.</w:t>
            </w:r>
          </w:p>
        </w:tc>
      </w:tr>
      <w:tr w:rsidR="002D6D43" w:rsidRPr="00B75FD7" w:rsidTr="002D6D43">
        <w:trPr>
          <w:trHeight w:val="843"/>
        </w:trPr>
        <w:tc>
          <w:tcPr>
            <w:tcW w:w="1448" w:type="dxa"/>
            <w:tcBorders>
              <w:top w:val="nil"/>
              <w:left w:val="nil"/>
              <w:bottom w:val="nil"/>
              <w:right w:val="nil"/>
            </w:tcBorders>
          </w:tcPr>
          <w:p w:rsidR="002D6D43" w:rsidRPr="00B75FD7" w:rsidRDefault="002D6D43" w:rsidP="00CF4B4F">
            <w:pPr>
              <w:autoSpaceDE w:val="0"/>
              <w:autoSpaceDN w:val="0"/>
              <w:adjustRightInd w:val="0"/>
              <w:jc w:val="right"/>
              <w:rPr>
                <w:rFonts w:eastAsia="Calibri"/>
                <w:color w:val="000000"/>
                <w:sz w:val="22"/>
                <w:szCs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D6D43" w:rsidRPr="00B75FD7" w:rsidRDefault="002D6D43" w:rsidP="00CF4B4F">
            <w:pPr>
              <w:autoSpaceDE w:val="0"/>
              <w:autoSpaceDN w:val="0"/>
              <w:adjustRightInd w:val="0"/>
              <w:rPr>
                <w:rFonts w:eastAsia="Calibri"/>
                <w:b/>
                <w:bCs/>
                <w:color w:val="000000"/>
                <w:sz w:val="22"/>
                <w:szCs w:val="22"/>
              </w:rPr>
            </w:pPr>
            <w:r w:rsidRPr="00B75FD7">
              <w:rPr>
                <w:rFonts w:eastAsia="Calibri"/>
                <w:b/>
                <w:bCs/>
                <w:color w:val="000000"/>
                <w:sz w:val="22"/>
                <w:szCs w:val="22"/>
              </w:rPr>
              <w:t>Очікувані якісні результати від реалізації проекту</w:t>
            </w:r>
          </w:p>
        </w:tc>
        <w:tc>
          <w:tcPr>
            <w:tcW w:w="7089" w:type="dxa"/>
            <w:gridSpan w:val="13"/>
            <w:tcBorders>
              <w:top w:val="single" w:sz="6" w:space="0" w:color="auto"/>
              <w:left w:val="single" w:sz="6" w:space="0" w:color="auto"/>
              <w:bottom w:val="single" w:sz="6" w:space="0" w:color="auto"/>
              <w:right w:val="single" w:sz="6" w:space="0" w:color="auto"/>
            </w:tcBorders>
          </w:tcPr>
          <w:p w:rsidR="002D6D43" w:rsidRPr="00B75FD7" w:rsidRDefault="002D6D43" w:rsidP="005A5146">
            <w:pPr>
              <w:rPr>
                <w:rFonts w:eastAsia="Calibri"/>
                <w:color w:val="000000" w:themeColor="text1"/>
                <w:sz w:val="22"/>
                <w:szCs w:val="22"/>
              </w:rPr>
            </w:pPr>
            <w:r w:rsidRPr="00B75FD7">
              <w:rPr>
                <w:color w:val="000000" w:themeColor="text1"/>
                <w:sz w:val="22"/>
                <w:szCs w:val="22"/>
              </w:rPr>
              <w:t xml:space="preserve">Реалізація  </w:t>
            </w:r>
            <w:proofErr w:type="spellStart"/>
            <w:r w:rsidRPr="00B75FD7">
              <w:rPr>
                <w:color w:val="000000" w:themeColor="text1"/>
                <w:sz w:val="22"/>
                <w:szCs w:val="22"/>
              </w:rPr>
              <w:t>про</w:t>
            </w:r>
            <w:r w:rsidR="005A5146" w:rsidRPr="00B75FD7">
              <w:rPr>
                <w:color w:val="000000" w:themeColor="text1"/>
                <w:sz w:val="22"/>
                <w:szCs w:val="22"/>
              </w:rPr>
              <w:t>є</w:t>
            </w:r>
            <w:r w:rsidRPr="00B75FD7">
              <w:rPr>
                <w:color w:val="000000" w:themeColor="text1"/>
                <w:sz w:val="22"/>
                <w:szCs w:val="22"/>
              </w:rPr>
              <w:t>кту</w:t>
            </w:r>
            <w:proofErr w:type="spellEnd"/>
            <w:r w:rsidRPr="00B75FD7">
              <w:rPr>
                <w:color w:val="000000" w:themeColor="text1"/>
                <w:sz w:val="22"/>
                <w:szCs w:val="22"/>
              </w:rPr>
              <w:t xml:space="preserve"> відповідно до </w:t>
            </w:r>
            <w:proofErr w:type="spellStart"/>
            <w:r w:rsidRPr="00B75FD7">
              <w:rPr>
                <w:color w:val="000000" w:themeColor="text1"/>
                <w:sz w:val="22"/>
                <w:szCs w:val="22"/>
              </w:rPr>
              <w:t>ключовіх</w:t>
            </w:r>
            <w:proofErr w:type="spellEnd"/>
            <w:r w:rsidRPr="00B75FD7">
              <w:rPr>
                <w:color w:val="000000" w:themeColor="text1"/>
                <w:sz w:val="22"/>
                <w:szCs w:val="22"/>
              </w:rPr>
              <w:t xml:space="preserve"> заходів. Це </w:t>
            </w:r>
            <w:proofErr w:type="spellStart"/>
            <w:r w:rsidRPr="00B75FD7">
              <w:rPr>
                <w:color w:val="000000" w:themeColor="text1"/>
                <w:sz w:val="22"/>
                <w:szCs w:val="22"/>
              </w:rPr>
              <w:t>надасть</w:t>
            </w:r>
            <w:proofErr w:type="spellEnd"/>
            <w:r w:rsidRPr="00B75FD7">
              <w:rPr>
                <w:color w:val="000000" w:themeColor="text1"/>
                <w:sz w:val="22"/>
                <w:szCs w:val="22"/>
              </w:rPr>
              <w:t xml:space="preserve"> можливість дітям отримувати дошкільну освіту в сучасних, комфортних та безпечних умовах.</w:t>
            </w:r>
          </w:p>
        </w:tc>
      </w:tr>
      <w:tr w:rsidR="002D6D43" w:rsidRPr="00B75FD7" w:rsidTr="002D6D43">
        <w:trPr>
          <w:gridAfter w:val="2"/>
          <w:wAfter w:w="138" w:type="dxa"/>
          <w:trHeight w:val="581"/>
        </w:trPr>
        <w:tc>
          <w:tcPr>
            <w:tcW w:w="1448" w:type="dxa"/>
            <w:tcBorders>
              <w:top w:val="nil"/>
              <w:left w:val="nil"/>
              <w:bottom w:val="nil"/>
              <w:right w:val="nil"/>
            </w:tcBorders>
          </w:tcPr>
          <w:p w:rsidR="002D6D43" w:rsidRPr="00B75FD7" w:rsidRDefault="002D6D43" w:rsidP="00CF4B4F">
            <w:pPr>
              <w:autoSpaceDE w:val="0"/>
              <w:autoSpaceDN w:val="0"/>
              <w:adjustRightInd w:val="0"/>
              <w:jc w:val="right"/>
              <w:rPr>
                <w:rFonts w:eastAsia="Calibri"/>
                <w:color w:val="000000"/>
                <w:sz w:val="22"/>
                <w:szCs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D6D43" w:rsidRPr="00B75FD7" w:rsidRDefault="002D6D43" w:rsidP="00CF4B4F">
            <w:pPr>
              <w:autoSpaceDE w:val="0"/>
              <w:autoSpaceDN w:val="0"/>
              <w:adjustRightInd w:val="0"/>
              <w:rPr>
                <w:rFonts w:eastAsia="Calibri"/>
                <w:b/>
                <w:bCs/>
                <w:color w:val="000000"/>
                <w:sz w:val="22"/>
                <w:szCs w:val="22"/>
              </w:rPr>
            </w:pPr>
            <w:r w:rsidRPr="00B75FD7">
              <w:rPr>
                <w:rFonts w:eastAsia="Calibri"/>
                <w:b/>
                <w:bCs/>
                <w:color w:val="000000"/>
                <w:sz w:val="22"/>
                <w:szCs w:val="22"/>
              </w:rPr>
              <w:t>Очікувані кількісні результати від реалізації проекту  (індикатори)</w:t>
            </w:r>
          </w:p>
        </w:tc>
        <w:tc>
          <w:tcPr>
            <w:tcW w:w="3262" w:type="dxa"/>
            <w:gridSpan w:val="4"/>
            <w:tcBorders>
              <w:top w:val="single" w:sz="6" w:space="0" w:color="auto"/>
              <w:left w:val="single" w:sz="6" w:space="0" w:color="auto"/>
              <w:bottom w:val="single" w:sz="6" w:space="0" w:color="auto"/>
              <w:right w:val="single" w:sz="6" w:space="0" w:color="auto"/>
            </w:tcBorders>
          </w:tcPr>
          <w:p w:rsidR="002D6D43" w:rsidRPr="00B75FD7" w:rsidRDefault="002D6D43" w:rsidP="00CF4B4F">
            <w:pPr>
              <w:autoSpaceDE w:val="0"/>
              <w:autoSpaceDN w:val="0"/>
              <w:adjustRightInd w:val="0"/>
              <w:rPr>
                <w:rFonts w:eastAsia="Calibri"/>
                <w:b/>
                <w:bCs/>
                <w:color w:val="000000" w:themeColor="text1"/>
                <w:sz w:val="22"/>
                <w:szCs w:val="22"/>
              </w:rPr>
            </w:pPr>
            <w:r w:rsidRPr="00B75FD7">
              <w:rPr>
                <w:rFonts w:eastAsia="Calibri"/>
                <w:b/>
                <w:bCs/>
                <w:color w:val="000000" w:themeColor="text1"/>
                <w:sz w:val="22"/>
                <w:szCs w:val="22"/>
              </w:rPr>
              <w:t>Найменування показника</w:t>
            </w:r>
          </w:p>
        </w:tc>
        <w:tc>
          <w:tcPr>
            <w:tcW w:w="1701" w:type="dxa"/>
            <w:gridSpan w:val="3"/>
            <w:tcBorders>
              <w:top w:val="single" w:sz="6" w:space="0" w:color="auto"/>
              <w:left w:val="single" w:sz="6" w:space="0" w:color="auto"/>
              <w:bottom w:val="single" w:sz="6" w:space="0" w:color="auto"/>
              <w:right w:val="single" w:sz="6" w:space="0" w:color="auto"/>
            </w:tcBorders>
          </w:tcPr>
          <w:p w:rsidR="002D6D43" w:rsidRPr="00B75FD7" w:rsidRDefault="002D6D43" w:rsidP="00CF4B4F">
            <w:pPr>
              <w:autoSpaceDE w:val="0"/>
              <w:autoSpaceDN w:val="0"/>
              <w:adjustRightInd w:val="0"/>
              <w:rPr>
                <w:rFonts w:eastAsia="Calibri"/>
                <w:b/>
                <w:bCs/>
                <w:color w:val="000000" w:themeColor="text1"/>
                <w:sz w:val="22"/>
                <w:szCs w:val="22"/>
              </w:rPr>
            </w:pPr>
            <w:r w:rsidRPr="00B75FD7">
              <w:rPr>
                <w:rFonts w:eastAsia="Calibri"/>
                <w:b/>
                <w:bCs/>
                <w:color w:val="000000" w:themeColor="text1"/>
                <w:sz w:val="22"/>
                <w:szCs w:val="22"/>
              </w:rPr>
              <w:t>Одиниця вимірювання</w:t>
            </w:r>
          </w:p>
        </w:tc>
        <w:tc>
          <w:tcPr>
            <w:tcW w:w="1988" w:type="dxa"/>
            <w:gridSpan w:val="4"/>
            <w:tcBorders>
              <w:top w:val="single" w:sz="6" w:space="0" w:color="auto"/>
              <w:left w:val="single" w:sz="6" w:space="0" w:color="auto"/>
              <w:bottom w:val="single" w:sz="6" w:space="0" w:color="auto"/>
              <w:right w:val="single" w:sz="6" w:space="0" w:color="auto"/>
            </w:tcBorders>
          </w:tcPr>
          <w:p w:rsidR="002D6D43" w:rsidRPr="00B75FD7" w:rsidRDefault="002D6D43" w:rsidP="00CF4B4F">
            <w:pPr>
              <w:autoSpaceDE w:val="0"/>
              <w:autoSpaceDN w:val="0"/>
              <w:adjustRightInd w:val="0"/>
              <w:rPr>
                <w:rFonts w:eastAsia="Calibri"/>
                <w:b/>
                <w:bCs/>
                <w:color w:val="000000" w:themeColor="text1"/>
                <w:sz w:val="22"/>
                <w:szCs w:val="22"/>
              </w:rPr>
            </w:pPr>
            <w:r w:rsidRPr="00B75FD7">
              <w:rPr>
                <w:rFonts w:eastAsia="Calibri"/>
                <w:b/>
                <w:bCs/>
                <w:color w:val="000000" w:themeColor="text1"/>
                <w:sz w:val="22"/>
                <w:szCs w:val="22"/>
              </w:rPr>
              <w:t>Прогнозне (цільове) значення</w:t>
            </w:r>
          </w:p>
        </w:tc>
      </w:tr>
      <w:tr w:rsidR="002D6D43" w:rsidRPr="00B75FD7" w:rsidTr="002D6D43">
        <w:trPr>
          <w:gridAfter w:val="2"/>
          <w:wAfter w:w="138" w:type="dxa"/>
          <w:trHeight w:val="1235"/>
        </w:trPr>
        <w:tc>
          <w:tcPr>
            <w:tcW w:w="1448" w:type="dxa"/>
            <w:tcBorders>
              <w:top w:val="nil"/>
              <w:left w:val="nil"/>
              <w:bottom w:val="nil"/>
              <w:right w:val="nil"/>
            </w:tcBorders>
          </w:tcPr>
          <w:p w:rsidR="002D6D43" w:rsidRPr="00B75FD7" w:rsidRDefault="002D6D43" w:rsidP="00CF4B4F">
            <w:pPr>
              <w:autoSpaceDE w:val="0"/>
              <w:autoSpaceDN w:val="0"/>
              <w:adjustRightInd w:val="0"/>
              <w:jc w:val="right"/>
              <w:rPr>
                <w:rFonts w:eastAsia="Calibri"/>
                <w:color w:val="000000"/>
                <w:sz w:val="22"/>
                <w:szCs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D6D43" w:rsidRPr="00B75FD7" w:rsidRDefault="002D6D43" w:rsidP="00CF4B4F">
            <w:pPr>
              <w:autoSpaceDE w:val="0"/>
              <w:autoSpaceDN w:val="0"/>
              <w:adjustRightInd w:val="0"/>
              <w:rPr>
                <w:rFonts w:eastAsia="Calibri"/>
                <w:b/>
                <w:bCs/>
                <w:color w:val="000000"/>
                <w:sz w:val="22"/>
                <w:szCs w:val="22"/>
              </w:rPr>
            </w:pPr>
          </w:p>
        </w:tc>
        <w:tc>
          <w:tcPr>
            <w:tcW w:w="3262" w:type="dxa"/>
            <w:gridSpan w:val="4"/>
            <w:tcBorders>
              <w:top w:val="single" w:sz="6" w:space="0" w:color="auto"/>
              <w:left w:val="single" w:sz="6" w:space="0" w:color="auto"/>
              <w:bottom w:val="single" w:sz="6" w:space="0" w:color="auto"/>
              <w:right w:val="single" w:sz="6" w:space="0" w:color="auto"/>
            </w:tcBorders>
          </w:tcPr>
          <w:p w:rsidR="002D6D43" w:rsidRPr="00B75FD7" w:rsidRDefault="002D6D43" w:rsidP="00CF4B4F">
            <w:pPr>
              <w:rPr>
                <w:color w:val="000000" w:themeColor="text1"/>
                <w:sz w:val="22"/>
                <w:szCs w:val="22"/>
              </w:rPr>
            </w:pPr>
            <w:r w:rsidRPr="00B75FD7">
              <w:rPr>
                <w:color w:val="000000" w:themeColor="text1"/>
                <w:sz w:val="22"/>
                <w:szCs w:val="22"/>
              </w:rPr>
              <w:t>1.Заміна дверних блоків.</w:t>
            </w:r>
          </w:p>
          <w:p w:rsidR="002D6D43" w:rsidRPr="00B75FD7" w:rsidRDefault="002D6D43" w:rsidP="00CF4B4F">
            <w:pPr>
              <w:rPr>
                <w:color w:val="000000" w:themeColor="text1"/>
                <w:sz w:val="22"/>
                <w:szCs w:val="22"/>
              </w:rPr>
            </w:pPr>
            <w:r w:rsidRPr="00B75FD7">
              <w:rPr>
                <w:color w:val="000000" w:themeColor="text1"/>
                <w:sz w:val="22"/>
                <w:szCs w:val="22"/>
              </w:rPr>
              <w:t xml:space="preserve"> 2.Оздоблення стін внутрішніх приміщень.</w:t>
            </w:r>
            <w:r w:rsidRPr="00B75FD7">
              <w:rPr>
                <w:color w:val="000000" w:themeColor="text1"/>
                <w:sz w:val="22"/>
                <w:szCs w:val="22"/>
              </w:rPr>
              <w:br/>
              <w:t>3.Улаштовання підлоги.</w:t>
            </w:r>
            <w:r w:rsidRPr="00B75FD7">
              <w:rPr>
                <w:color w:val="000000" w:themeColor="text1"/>
                <w:sz w:val="22"/>
                <w:szCs w:val="22"/>
              </w:rPr>
              <w:br/>
              <w:t>4.Прокладенння трубопроводів опалення.</w:t>
            </w:r>
            <w:r w:rsidRPr="00B75FD7">
              <w:rPr>
                <w:color w:val="000000" w:themeColor="text1"/>
                <w:sz w:val="22"/>
                <w:szCs w:val="22"/>
              </w:rPr>
              <w:br/>
              <w:t>5.Прокладення</w:t>
            </w:r>
            <w:r w:rsidR="005A5146" w:rsidRPr="00B75FD7">
              <w:rPr>
                <w:color w:val="000000" w:themeColor="text1"/>
                <w:sz w:val="22"/>
                <w:szCs w:val="22"/>
              </w:rPr>
              <w:t xml:space="preserve"> </w:t>
            </w:r>
            <w:r w:rsidRPr="00B75FD7">
              <w:rPr>
                <w:color w:val="000000" w:themeColor="text1"/>
                <w:sz w:val="22"/>
                <w:szCs w:val="22"/>
              </w:rPr>
              <w:t>трубопроводів водопостачання/водовідведення.</w:t>
            </w:r>
          </w:p>
          <w:p w:rsidR="002D6D43" w:rsidRPr="00B75FD7" w:rsidRDefault="002D6D43" w:rsidP="00CF4B4F">
            <w:pPr>
              <w:rPr>
                <w:color w:val="000000" w:themeColor="text1"/>
                <w:sz w:val="22"/>
                <w:szCs w:val="22"/>
              </w:rPr>
            </w:pPr>
            <w:r w:rsidRPr="00B75FD7">
              <w:rPr>
                <w:color w:val="000000" w:themeColor="text1"/>
                <w:sz w:val="22"/>
                <w:szCs w:val="22"/>
              </w:rPr>
              <w:t>6.Відремонтування покрівлі,</w:t>
            </w:r>
            <w:r w:rsidR="005A5146" w:rsidRPr="00B75FD7">
              <w:rPr>
                <w:color w:val="000000" w:themeColor="text1"/>
                <w:sz w:val="22"/>
                <w:szCs w:val="22"/>
              </w:rPr>
              <w:t xml:space="preserve"> </w:t>
            </w:r>
            <w:r w:rsidRPr="00B75FD7">
              <w:rPr>
                <w:color w:val="000000" w:themeColor="text1"/>
                <w:sz w:val="22"/>
                <w:szCs w:val="22"/>
              </w:rPr>
              <w:t>утеплення будівлі.</w:t>
            </w:r>
          </w:p>
          <w:p w:rsidR="002D6D43" w:rsidRPr="00B75FD7" w:rsidRDefault="002D6D43" w:rsidP="00CF4B4F">
            <w:pPr>
              <w:rPr>
                <w:color w:val="000000" w:themeColor="text1"/>
                <w:sz w:val="22"/>
                <w:szCs w:val="22"/>
              </w:rPr>
            </w:pPr>
            <w:r w:rsidRPr="00B75FD7">
              <w:rPr>
                <w:color w:val="000000" w:themeColor="text1"/>
                <w:sz w:val="22"/>
                <w:szCs w:val="22"/>
              </w:rPr>
              <w:t xml:space="preserve"> 7.Встановлення вікон.</w:t>
            </w:r>
          </w:p>
          <w:p w:rsidR="002D6D43" w:rsidRPr="00B75FD7" w:rsidRDefault="002D6D43" w:rsidP="00CF4B4F">
            <w:pPr>
              <w:rPr>
                <w:color w:val="000000" w:themeColor="text1"/>
                <w:sz w:val="22"/>
                <w:szCs w:val="22"/>
              </w:rPr>
            </w:pPr>
            <w:r w:rsidRPr="00B75FD7">
              <w:rPr>
                <w:color w:val="000000" w:themeColor="text1"/>
                <w:sz w:val="22"/>
                <w:szCs w:val="22"/>
              </w:rPr>
              <w:t>8.Відновлення системи опалення.</w:t>
            </w:r>
          </w:p>
          <w:p w:rsidR="002D6D43" w:rsidRPr="00B75FD7" w:rsidRDefault="002D6D43" w:rsidP="002D6D43">
            <w:pPr>
              <w:rPr>
                <w:color w:val="000000" w:themeColor="text1"/>
                <w:sz w:val="22"/>
                <w:szCs w:val="22"/>
              </w:rPr>
            </w:pPr>
            <w:r w:rsidRPr="00B75FD7">
              <w:rPr>
                <w:color w:val="000000" w:themeColor="text1"/>
                <w:sz w:val="22"/>
                <w:szCs w:val="22"/>
              </w:rPr>
              <w:t xml:space="preserve">9.Відновлення </w:t>
            </w:r>
            <w:proofErr w:type="spellStart"/>
            <w:r w:rsidRPr="00B75FD7">
              <w:rPr>
                <w:color w:val="000000" w:themeColor="text1"/>
                <w:sz w:val="22"/>
                <w:szCs w:val="22"/>
              </w:rPr>
              <w:t>кровлі</w:t>
            </w:r>
            <w:proofErr w:type="spellEnd"/>
          </w:p>
        </w:tc>
        <w:tc>
          <w:tcPr>
            <w:tcW w:w="1701" w:type="dxa"/>
            <w:gridSpan w:val="3"/>
            <w:tcBorders>
              <w:top w:val="single" w:sz="6" w:space="0" w:color="auto"/>
              <w:left w:val="single" w:sz="6" w:space="0" w:color="auto"/>
              <w:bottom w:val="single" w:sz="6" w:space="0" w:color="auto"/>
              <w:right w:val="single" w:sz="6" w:space="0" w:color="auto"/>
            </w:tcBorders>
          </w:tcPr>
          <w:p w:rsidR="002D6D43" w:rsidRPr="00B75FD7" w:rsidRDefault="002D6D43" w:rsidP="00CF4B4F">
            <w:pPr>
              <w:rPr>
                <w:color w:val="000000" w:themeColor="text1"/>
                <w:sz w:val="22"/>
                <w:szCs w:val="22"/>
              </w:rPr>
            </w:pPr>
            <w:r w:rsidRPr="00B75FD7">
              <w:rPr>
                <w:color w:val="000000" w:themeColor="text1"/>
                <w:sz w:val="22"/>
                <w:szCs w:val="22"/>
              </w:rPr>
              <w:t>одиниць</w:t>
            </w:r>
          </w:p>
          <w:p w:rsidR="002D6D43" w:rsidRPr="00B75FD7" w:rsidRDefault="002D6D43" w:rsidP="00CF4B4F">
            <w:pPr>
              <w:rPr>
                <w:color w:val="000000" w:themeColor="text1"/>
                <w:sz w:val="22"/>
                <w:szCs w:val="22"/>
              </w:rPr>
            </w:pPr>
            <w:proofErr w:type="spellStart"/>
            <w:r w:rsidRPr="00B75FD7">
              <w:rPr>
                <w:color w:val="000000" w:themeColor="text1"/>
                <w:sz w:val="22"/>
                <w:szCs w:val="22"/>
              </w:rPr>
              <w:t>кв.м</w:t>
            </w:r>
            <w:proofErr w:type="spellEnd"/>
          </w:p>
          <w:p w:rsidR="002D6D43" w:rsidRPr="00B75FD7" w:rsidRDefault="002D6D43" w:rsidP="00CF4B4F">
            <w:pPr>
              <w:rPr>
                <w:color w:val="000000" w:themeColor="text1"/>
                <w:sz w:val="22"/>
                <w:szCs w:val="22"/>
              </w:rPr>
            </w:pPr>
          </w:p>
          <w:p w:rsidR="002D6D43" w:rsidRPr="00B75FD7" w:rsidRDefault="002D6D43" w:rsidP="00CF4B4F">
            <w:pPr>
              <w:rPr>
                <w:color w:val="000000" w:themeColor="text1"/>
                <w:sz w:val="22"/>
                <w:szCs w:val="22"/>
              </w:rPr>
            </w:pPr>
            <w:r w:rsidRPr="00B75FD7">
              <w:rPr>
                <w:color w:val="000000" w:themeColor="text1"/>
                <w:sz w:val="22"/>
                <w:szCs w:val="22"/>
              </w:rPr>
              <w:t xml:space="preserve"> </w:t>
            </w:r>
            <w:proofErr w:type="spellStart"/>
            <w:r w:rsidRPr="00B75FD7">
              <w:rPr>
                <w:color w:val="000000" w:themeColor="text1"/>
                <w:sz w:val="22"/>
                <w:szCs w:val="22"/>
              </w:rPr>
              <w:t>кв.м</w:t>
            </w:r>
            <w:proofErr w:type="spellEnd"/>
          </w:p>
          <w:p w:rsidR="002D6D43" w:rsidRPr="00B75FD7" w:rsidRDefault="002D6D43" w:rsidP="00CF4B4F">
            <w:pPr>
              <w:rPr>
                <w:color w:val="000000" w:themeColor="text1"/>
                <w:sz w:val="22"/>
                <w:szCs w:val="22"/>
              </w:rPr>
            </w:pPr>
            <w:proofErr w:type="spellStart"/>
            <w:r w:rsidRPr="00B75FD7">
              <w:rPr>
                <w:color w:val="000000" w:themeColor="text1"/>
                <w:sz w:val="22"/>
                <w:szCs w:val="22"/>
              </w:rPr>
              <w:t>м.пог</w:t>
            </w:r>
            <w:proofErr w:type="spellEnd"/>
            <w:r w:rsidRPr="00B75FD7">
              <w:rPr>
                <w:color w:val="000000" w:themeColor="text1"/>
                <w:sz w:val="22"/>
                <w:szCs w:val="22"/>
              </w:rPr>
              <w:t>.</w:t>
            </w:r>
          </w:p>
          <w:p w:rsidR="002D6D43" w:rsidRPr="00B75FD7" w:rsidRDefault="002D6D43" w:rsidP="00CF4B4F">
            <w:pPr>
              <w:rPr>
                <w:color w:val="000000" w:themeColor="text1"/>
                <w:sz w:val="22"/>
                <w:szCs w:val="22"/>
              </w:rPr>
            </w:pPr>
            <w:r w:rsidRPr="00B75FD7">
              <w:rPr>
                <w:color w:val="000000" w:themeColor="text1"/>
                <w:sz w:val="22"/>
                <w:szCs w:val="22"/>
              </w:rPr>
              <w:t xml:space="preserve"> </w:t>
            </w:r>
            <w:r w:rsidRPr="00B75FD7">
              <w:rPr>
                <w:color w:val="000000" w:themeColor="text1"/>
                <w:sz w:val="22"/>
                <w:szCs w:val="22"/>
              </w:rPr>
              <w:br/>
            </w:r>
            <w:proofErr w:type="spellStart"/>
            <w:r w:rsidRPr="00B75FD7">
              <w:rPr>
                <w:color w:val="000000" w:themeColor="text1"/>
                <w:sz w:val="22"/>
                <w:szCs w:val="22"/>
              </w:rPr>
              <w:t>м.пог</w:t>
            </w:r>
            <w:proofErr w:type="spellEnd"/>
            <w:r w:rsidRPr="00B75FD7">
              <w:rPr>
                <w:color w:val="000000" w:themeColor="text1"/>
                <w:sz w:val="22"/>
                <w:szCs w:val="22"/>
              </w:rPr>
              <w:t>.</w:t>
            </w:r>
          </w:p>
          <w:p w:rsidR="002D6D43" w:rsidRPr="00B75FD7" w:rsidRDefault="002D6D43" w:rsidP="00CF4B4F">
            <w:pPr>
              <w:rPr>
                <w:color w:val="000000" w:themeColor="text1"/>
                <w:sz w:val="22"/>
                <w:szCs w:val="22"/>
              </w:rPr>
            </w:pPr>
          </w:p>
          <w:p w:rsidR="002D6D43" w:rsidRPr="00B75FD7" w:rsidRDefault="002D6D43" w:rsidP="00CF4B4F">
            <w:pPr>
              <w:rPr>
                <w:color w:val="000000" w:themeColor="text1"/>
                <w:sz w:val="22"/>
                <w:szCs w:val="22"/>
              </w:rPr>
            </w:pPr>
          </w:p>
          <w:p w:rsidR="002D6D43" w:rsidRPr="00B75FD7" w:rsidRDefault="002D6D43" w:rsidP="00CF4B4F">
            <w:pPr>
              <w:rPr>
                <w:color w:val="000000" w:themeColor="text1"/>
                <w:sz w:val="22"/>
                <w:szCs w:val="22"/>
              </w:rPr>
            </w:pPr>
            <w:proofErr w:type="spellStart"/>
            <w:r w:rsidRPr="00B75FD7">
              <w:rPr>
                <w:color w:val="000000" w:themeColor="text1"/>
                <w:sz w:val="22"/>
                <w:szCs w:val="22"/>
              </w:rPr>
              <w:t>кв.м</w:t>
            </w:r>
            <w:proofErr w:type="spellEnd"/>
          </w:p>
          <w:p w:rsidR="002D6D43" w:rsidRPr="00B75FD7" w:rsidRDefault="002D6D43" w:rsidP="00CF4B4F">
            <w:pPr>
              <w:rPr>
                <w:color w:val="000000" w:themeColor="text1"/>
                <w:sz w:val="22"/>
                <w:szCs w:val="22"/>
              </w:rPr>
            </w:pPr>
            <w:r w:rsidRPr="00B75FD7">
              <w:rPr>
                <w:color w:val="000000" w:themeColor="text1"/>
                <w:sz w:val="22"/>
                <w:szCs w:val="22"/>
              </w:rPr>
              <w:t>одиниць</w:t>
            </w:r>
          </w:p>
          <w:p w:rsidR="002D6D43" w:rsidRPr="00B75FD7" w:rsidRDefault="002D6D43" w:rsidP="00CF4B4F">
            <w:pPr>
              <w:autoSpaceDE w:val="0"/>
              <w:autoSpaceDN w:val="0"/>
              <w:adjustRightInd w:val="0"/>
              <w:rPr>
                <w:rFonts w:eastAsia="Calibri"/>
                <w:color w:val="000000" w:themeColor="text1"/>
                <w:sz w:val="22"/>
                <w:szCs w:val="22"/>
              </w:rPr>
            </w:pPr>
            <w:proofErr w:type="spellStart"/>
            <w:r w:rsidRPr="00B75FD7">
              <w:rPr>
                <w:rFonts w:eastAsia="Calibri"/>
                <w:color w:val="000000" w:themeColor="text1"/>
                <w:sz w:val="22"/>
                <w:szCs w:val="22"/>
              </w:rPr>
              <w:t>кв.м</w:t>
            </w:r>
            <w:proofErr w:type="spellEnd"/>
          </w:p>
          <w:p w:rsidR="002D6D43" w:rsidRPr="00B75FD7" w:rsidRDefault="002D6D43" w:rsidP="00CF4B4F">
            <w:pPr>
              <w:autoSpaceDE w:val="0"/>
              <w:autoSpaceDN w:val="0"/>
              <w:adjustRightInd w:val="0"/>
              <w:rPr>
                <w:rFonts w:eastAsia="Calibri"/>
                <w:color w:val="000000" w:themeColor="text1"/>
                <w:sz w:val="22"/>
                <w:szCs w:val="22"/>
              </w:rPr>
            </w:pPr>
            <w:proofErr w:type="spellStart"/>
            <w:r w:rsidRPr="00B75FD7">
              <w:rPr>
                <w:rFonts w:eastAsia="Calibri"/>
                <w:color w:val="000000" w:themeColor="text1"/>
                <w:sz w:val="22"/>
                <w:szCs w:val="22"/>
              </w:rPr>
              <w:t>кв.м</w:t>
            </w:r>
            <w:proofErr w:type="spellEnd"/>
          </w:p>
        </w:tc>
        <w:tc>
          <w:tcPr>
            <w:tcW w:w="1988" w:type="dxa"/>
            <w:gridSpan w:val="4"/>
            <w:tcBorders>
              <w:top w:val="single" w:sz="6" w:space="0" w:color="auto"/>
              <w:left w:val="single" w:sz="6" w:space="0" w:color="auto"/>
              <w:bottom w:val="single" w:sz="6" w:space="0" w:color="auto"/>
              <w:right w:val="single" w:sz="6" w:space="0" w:color="auto"/>
            </w:tcBorders>
          </w:tcPr>
          <w:p w:rsidR="002D6D43" w:rsidRPr="00B75FD7" w:rsidRDefault="002D6D43" w:rsidP="00CF4B4F">
            <w:pPr>
              <w:rPr>
                <w:color w:val="000000" w:themeColor="text1"/>
                <w:sz w:val="22"/>
                <w:szCs w:val="22"/>
              </w:rPr>
            </w:pPr>
            <w:r w:rsidRPr="00B75FD7">
              <w:rPr>
                <w:color w:val="000000" w:themeColor="text1"/>
                <w:sz w:val="22"/>
                <w:szCs w:val="22"/>
              </w:rPr>
              <w:t>77</w:t>
            </w:r>
          </w:p>
          <w:p w:rsidR="002D6D43" w:rsidRPr="00B75FD7" w:rsidRDefault="002D6D43" w:rsidP="00CF4B4F">
            <w:pPr>
              <w:rPr>
                <w:rFonts w:eastAsia="Calibri"/>
                <w:color w:val="000000" w:themeColor="text1"/>
                <w:sz w:val="22"/>
                <w:szCs w:val="22"/>
              </w:rPr>
            </w:pPr>
            <w:r w:rsidRPr="00B75FD7">
              <w:rPr>
                <w:rFonts w:eastAsia="Calibri"/>
                <w:color w:val="000000" w:themeColor="text1"/>
                <w:sz w:val="22"/>
                <w:szCs w:val="22"/>
              </w:rPr>
              <w:t>1200</w:t>
            </w:r>
          </w:p>
          <w:p w:rsidR="002D6D43" w:rsidRPr="00B75FD7" w:rsidRDefault="002D6D43" w:rsidP="00CF4B4F">
            <w:pPr>
              <w:rPr>
                <w:rFonts w:eastAsia="Calibri"/>
                <w:color w:val="000000" w:themeColor="text1"/>
                <w:sz w:val="22"/>
                <w:szCs w:val="22"/>
              </w:rPr>
            </w:pPr>
          </w:p>
          <w:p w:rsidR="002D6D43" w:rsidRPr="00B75FD7" w:rsidRDefault="002D6D43" w:rsidP="00CF4B4F">
            <w:pPr>
              <w:rPr>
                <w:rFonts w:eastAsia="Calibri"/>
                <w:color w:val="000000" w:themeColor="text1"/>
                <w:sz w:val="22"/>
                <w:szCs w:val="22"/>
              </w:rPr>
            </w:pPr>
            <w:r w:rsidRPr="00B75FD7">
              <w:rPr>
                <w:rFonts w:eastAsia="Calibri"/>
                <w:color w:val="000000" w:themeColor="text1"/>
                <w:sz w:val="22"/>
                <w:szCs w:val="22"/>
              </w:rPr>
              <w:t>600</w:t>
            </w:r>
          </w:p>
          <w:p w:rsidR="002D6D43" w:rsidRPr="00B75FD7" w:rsidRDefault="002D6D43" w:rsidP="00CF4B4F">
            <w:pPr>
              <w:rPr>
                <w:rFonts w:eastAsia="Calibri"/>
                <w:color w:val="000000" w:themeColor="text1"/>
                <w:sz w:val="22"/>
                <w:szCs w:val="22"/>
              </w:rPr>
            </w:pPr>
            <w:r w:rsidRPr="00B75FD7">
              <w:rPr>
                <w:rFonts w:eastAsia="Calibri"/>
                <w:color w:val="000000" w:themeColor="text1"/>
                <w:sz w:val="22"/>
                <w:szCs w:val="22"/>
              </w:rPr>
              <w:t>800</w:t>
            </w:r>
          </w:p>
          <w:p w:rsidR="002D6D43" w:rsidRPr="00B75FD7" w:rsidRDefault="002D6D43" w:rsidP="00CF4B4F">
            <w:pPr>
              <w:rPr>
                <w:rFonts w:eastAsia="Calibri"/>
                <w:color w:val="000000" w:themeColor="text1"/>
                <w:sz w:val="22"/>
                <w:szCs w:val="22"/>
              </w:rPr>
            </w:pPr>
          </w:p>
          <w:p w:rsidR="002D6D43" w:rsidRPr="00B75FD7" w:rsidRDefault="002D6D43" w:rsidP="00CF4B4F">
            <w:pPr>
              <w:rPr>
                <w:rFonts w:eastAsia="Calibri"/>
                <w:color w:val="000000" w:themeColor="text1"/>
                <w:sz w:val="22"/>
                <w:szCs w:val="22"/>
              </w:rPr>
            </w:pPr>
            <w:r w:rsidRPr="00B75FD7">
              <w:rPr>
                <w:rFonts w:eastAsia="Calibri"/>
                <w:color w:val="000000" w:themeColor="text1"/>
                <w:sz w:val="22"/>
                <w:szCs w:val="22"/>
              </w:rPr>
              <w:t>800</w:t>
            </w:r>
          </w:p>
          <w:p w:rsidR="002D6D43" w:rsidRPr="00B75FD7" w:rsidRDefault="002D6D43" w:rsidP="00CF4B4F">
            <w:pPr>
              <w:rPr>
                <w:rFonts w:eastAsia="Calibri"/>
                <w:color w:val="000000" w:themeColor="text1"/>
                <w:sz w:val="22"/>
                <w:szCs w:val="22"/>
              </w:rPr>
            </w:pPr>
          </w:p>
          <w:p w:rsidR="002D6D43" w:rsidRPr="00B75FD7" w:rsidRDefault="002D6D43" w:rsidP="00CF4B4F">
            <w:pPr>
              <w:rPr>
                <w:rFonts w:eastAsia="Calibri"/>
                <w:color w:val="000000" w:themeColor="text1"/>
                <w:sz w:val="22"/>
                <w:szCs w:val="22"/>
              </w:rPr>
            </w:pPr>
          </w:p>
          <w:p w:rsidR="002D6D43" w:rsidRPr="00B75FD7" w:rsidRDefault="002D6D43" w:rsidP="00CF4B4F">
            <w:pPr>
              <w:rPr>
                <w:color w:val="000000" w:themeColor="text1"/>
                <w:sz w:val="22"/>
                <w:szCs w:val="22"/>
              </w:rPr>
            </w:pPr>
            <w:r w:rsidRPr="00B75FD7">
              <w:rPr>
                <w:color w:val="000000" w:themeColor="text1"/>
                <w:sz w:val="22"/>
                <w:szCs w:val="22"/>
              </w:rPr>
              <w:t>3400</w:t>
            </w:r>
          </w:p>
          <w:p w:rsidR="002D6D43" w:rsidRPr="00B75FD7" w:rsidRDefault="002D6D43" w:rsidP="00CF4B4F">
            <w:pPr>
              <w:rPr>
                <w:color w:val="000000" w:themeColor="text1"/>
                <w:sz w:val="22"/>
                <w:szCs w:val="22"/>
              </w:rPr>
            </w:pPr>
            <w:r w:rsidRPr="00B75FD7">
              <w:rPr>
                <w:color w:val="000000" w:themeColor="text1"/>
                <w:sz w:val="22"/>
                <w:szCs w:val="22"/>
              </w:rPr>
              <w:t>150</w:t>
            </w:r>
          </w:p>
          <w:p w:rsidR="002D6D43" w:rsidRPr="00B75FD7" w:rsidRDefault="002D6D43" w:rsidP="00CF4B4F">
            <w:pPr>
              <w:rPr>
                <w:color w:val="000000" w:themeColor="text1"/>
                <w:sz w:val="22"/>
                <w:szCs w:val="22"/>
              </w:rPr>
            </w:pPr>
            <w:r w:rsidRPr="00B75FD7">
              <w:rPr>
                <w:color w:val="000000" w:themeColor="text1"/>
                <w:sz w:val="22"/>
                <w:szCs w:val="22"/>
              </w:rPr>
              <w:t>2200</w:t>
            </w:r>
          </w:p>
          <w:p w:rsidR="002D6D43" w:rsidRPr="00B75FD7" w:rsidRDefault="002D6D43" w:rsidP="00CF4B4F">
            <w:pPr>
              <w:rPr>
                <w:rFonts w:eastAsia="Calibri"/>
                <w:color w:val="000000" w:themeColor="text1"/>
                <w:sz w:val="22"/>
                <w:szCs w:val="22"/>
              </w:rPr>
            </w:pPr>
            <w:r w:rsidRPr="00B75FD7">
              <w:rPr>
                <w:color w:val="000000" w:themeColor="text1"/>
                <w:sz w:val="22"/>
                <w:szCs w:val="22"/>
              </w:rPr>
              <w:t>300</w:t>
            </w:r>
          </w:p>
        </w:tc>
      </w:tr>
      <w:tr w:rsidR="002D6D43" w:rsidRPr="00B75FD7" w:rsidTr="002D6D43">
        <w:trPr>
          <w:gridAfter w:val="1"/>
          <w:wAfter w:w="87" w:type="dxa"/>
          <w:trHeight w:val="5378"/>
        </w:trPr>
        <w:tc>
          <w:tcPr>
            <w:tcW w:w="1448" w:type="dxa"/>
            <w:tcBorders>
              <w:top w:val="nil"/>
              <w:left w:val="nil"/>
              <w:bottom w:val="nil"/>
              <w:right w:val="nil"/>
            </w:tcBorders>
          </w:tcPr>
          <w:p w:rsidR="002D6D43" w:rsidRPr="00B75FD7" w:rsidRDefault="002D6D43" w:rsidP="00CF4B4F">
            <w:pPr>
              <w:autoSpaceDE w:val="0"/>
              <w:autoSpaceDN w:val="0"/>
              <w:adjustRightInd w:val="0"/>
              <w:jc w:val="right"/>
              <w:rPr>
                <w:rFonts w:eastAsia="Calibri"/>
                <w:color w:val="000000"/>
                <w:sz w:val="22"/>
                <w:szCs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D6D43" w:rsidRPr="00B75FD7" w:rsidRDefault="002D6D43" w:rsidP="00CF4B4F">
            <w:pPr>
              <w:autoSpaceDE w:val="0"/>
              <w:autoSpaceDN w:val="0"/>
              <w:adjustRightInd w:val="0"/>
              <w:rPr>
                <w:rFonts w:eastAsia="Calibri"/>
                <w:b/>
                <w:bCs/>
                <w:color w:val="000000"/>
                <w:sz w:val="22"/>
                <w:szCs w:val="22"/>
              </w:rPr>
            </w:pPr>
            <w:r w:rsidRPr="00B75FD7">
              <w:rPr>
                <w:rFonts w:eastAsia="Calibri"/>
                <w:b/>
                <w:bCs/>
                <w:color w:val="000000"/>
                <w:sz w:val="22"/>
                <w:szCs w:val="22"/>
              </w:rPr>
              <w:t>Ключові заходи проекту:</w:t>
            </w:r>
          </w:p>
        </w:tc>
        <w:tc>
          <w:tcPr>
            <w:tcW w:w="7002" w:type="dxa"/>
            <w:gridSpan w:val="12"/>
            <w:tcBorders>
              <w:top w:val="single" w:sz="6" w:space="0" w:color="auto"/>
              <w:left w:val="single" w:sz="6" w:space="0" w:color="auto"/>
              <w:bottom w:val="single" w:sz="6" w:space="0" w:color="auto"/>
              <w:right w:val="single" w:sz="6" w:space="0" w:color="auto"/>
            </w:tcBorders>
          </w:tcPr>
          <w:p w:rsidR="002D6D43" w:rsidRPr="00B75FD7" w:rsidRDefault="002D6D43" w:rsidP="00CF4B4F">
            <w:pPr>
              <w:rPr>
                <w:color w:val="000000" w:themeColor="text1"/>
                <w:sz w:val="22"/>
                <w:szCs w:val="22"/>
              </w:rPr>
            </w:pPr>
            <w:r w:rsidRPr="00B75FD7">
              <w:rPr>
                <w:color w:val="000000" w:themeColor="text1"/>
                <w:sz w:val="22"/>
                <w:szCs w:val="22"/>
              </w:rPr>
              <w:t>Проведення робіт по капітальному ремонту закладу дошкільної освіти.</w:t>
            </w:r>
          </w:p>
          <w:p w:rsidR="002D6D43" w:rsidRPr="00B75FD7" w:rsidRDefault="002D6D43" w:rsidP="00CF4B4F">
            <w:pPr>
              <w:rPr>
                <w:color w:val="000000" w:themeColor="text1"/>
                <w:sz w:val="22"/>
                <w:szCs w:val="22"/>
              </w:rPr>
            </w:pPr>
            <w:r w:rsidRPr="00B75FD7">
              <w:rPr>
                <w:color w:val="000000" w:themeColor="text1"/>
                <w:sz w:val="22"/>
                <w:szCs w:val="22"/>
              </w:rPr>
              <w:t xml:space="preserve">1.Розроблення </w:t>
            </w:r>
            <w:proofErr w:type="spellStart"/>
            <w:r w:rsidRPr="00B75FD7">
              <w:rPr>
                <w:color w:val="000000" w:themeColor="text1"/>
                <w:sz w:val="22"/>
                <w:szCs w:val="22"/>
              </w:rPr>
              <w:t>про</w:t>
            </w:r>
            <w:r w:rsidR="00B87FF0" w:rsidRPr="00B75FD7">
              <w:rPr>
                <w:color w:val="000000" w:themeColor="text1"/>
                <w:sz w:val="22"/>
                <w:szCs w:val="22"/>
              </w:rPr>
              <w:t>є</w:t>
            </w:r>
            <w:r w:rsidRPr="00B75FD7">
              <w:rPr>
                <w:color w:val="000000" w:themeColor="text1"/>
                <w:sz w:val="22"/>
                <w:szCs w:val="22"/>
              </w:rPr>
              <w:t>кту</w:t>
            </w:r>
            <w:proofErr w:type="spellEnd"/>
            <w:r w:rsidRPr="00B75FD7">
              <w:rPr>
                <w:color w:val="000000" w:themeColor="text1"/>
                <w:sz w:val="22"/>
                <w:szCs w:val="22"/>
              </w:rPr>
              <w:t>.</w:t>
            </w:r>
          </w:p>
          <w:p w:rsidR="002D6D43" w:rsidRPr="00B75FD7" w:rsidRDefault="002D6D43" w:rsidP="00CF4B4F">
            <w:pPr>
              <w:rPr>
                <w:color w:val="000000" w:themeColor="text1"/>
                <w:sz w:val="22"/>
                <w:szCs w:val="22"/>
              </w:rPr>
            </w:pPr>
            <w:r w:rsidRPr="00B75FD7">
              <w:rPr>
                <w:color w:val="000000" w:themeColor="text1"/>
                <w:sz w:val="22"/>
                <w:szCs w:val="22"/>
              </w:rPr>
              <w:t xml:space="preserve">2.Створення </w:t>
            </w:r>
            <w:proofErr w:type="spellStart"/>
            <w:r w:rsidRPr="00B75FD7">
              <w:rPr>
                <w:color w:val="000000" w:themeColor="text1"/>
                <w:sz w:val="22"/>
                <w:szCs w:val="22"/>
              </w:rPr>
              <w:t>про</w:t>
            </w:r>
            <w:r w:rsidR="00B87FF0" w:rsidRPr="00B75FD7">
              <w:rPr>
                <w:color w:val="000000" w:themeColor="text1"/>
                <w:sz w:val="22"/>
                <w:szCs w:val="22"/>
              </w:rPr>
              <w:t>є</w:t>
            </w:r>
            <w:r w:rsidRPr="00B75FD7">
              <w:rPr>
                <w:color w:val="000000" w:themeColor="text1"/>
                <w:sz w:val="22"/>
                <w:szCs w:val="22"/>
              </w:rPr>
              <w:t>ктно</w:t>
            </w:r>
            <w:proofErr w:type="spellEnd"/>
            <w:r w:rsidRPr="00B75FD7">
              <w:rPr>
                <w:color w:val="000000" w:themeColor="text1"/>
                <w:sz w:val="22"/>
                <w:szCs w:val="22"/>
              </w:rPr>
              <w:t>-кошторисної документації.</w:t>
            </w:r>
          </w:p>
          <w:p w:rsidR="002D6D43" w:rsidRPr="00B75FD7" w:rsidRDefault="002D6D43" w:rsidP="00CF4B4F">
            <w:pPr>
              <w:rPr>
                <w:color w:val="000000" w:themeColor="text1"/>
                <w:sz w:val="22"/>
                <w:szCs w:val="22"/>
              </w:rPr>
            </w:pPr>
            <w:r w:rsidRPr="00B75FD7">
              <w:rPr>
                <w:color w:val="000000" w:themeColor="text1"/>
                <w:sz w:val="22"/>
                <w:szCs w:val="22"/>
              </w:rPr>
              <w:t xml:space="preserve">3.Роботи з розробки </w:t>
            </w:r>
            <w:proofErr w:type="spellStart"/>
            <w:r w:rsidRPr="00B75FD7">
              <w:rPr>
                <w:color w:val="000000" w:themeColor="text1"/>
                <w:sz w:val="22"/>
                <w:szCs w:val="22"/>
              </w:rPr>
              <w:t>про</w:t>
            </w:r>
            <w:r w:rsidR="00B87FF0" w:rsidRPr="00B75FD7">
              <w:rPr>
                <w:color w:val="000000" w:themeColor="text1"/>
                <w:sz w:val="22"/>
                <w:szCs w:val="22"/>
              </w:rPr>
              <w:t>є</w:t>
            </w:r>
            <w:r w:rsidRPr="00B75FD7">
              <w:rPr>
                <w:color w:val="000000" w:themeColor="text1"/>
                <w:sz w:val="22"/>
                <w:szCs w:val="22"/>
              </w:rPr>
              <w:t>ктно</w:t>
            </w:r>
            <w:proofErr w:type="spellEnd"/>
            <w:r w:rsidRPr="00B75FD7">
              <w:rPr>
                <w:color w:val="000000" w:themeColor="text1"/>
                <w:sz w:val="22"/>
                <w:szCs w:val="22"/>
              </w:rPr>
              <w:t>-кошторисної документації:</w:t>
            </w:r>
          </w:p>
          <w:p w:rsidR="002D6D43" w:rsidRPr="00B75FD7" w:rsidRDefault="002D6D43" w:rsidP="00CF4B4F">
            <w:pPr>
              <w:rPr>
                <w:color w:val="000000" w:themeColor="text1"/>
                <w:sz w:val="22"/>
                <w:szCs w:val="22"/>
              </w:rPr>
            </w:pPr>
            <w:r w:rsidRPr="00B75FD7">
              <w:rPr>
                <w:color w:val="000000" w:themeColor="text1"/>
                <w:sz w:val="22"/>
                <w:szCs w:val="22"/>
              </w:rPr>
              <w:t>- капітальний ремонт покрівлі основної будівлі та покрівлі господарчого блоку</w:t>
            </w:r>
            <w:r w:rsidR="00B87FF0" w:rsidRPr="00B75FD7">
              <w:rPr>
                <w:color w:val="000000" w:themeColor="text1"/>
                <w:sz w:val="22"/>
                <w:szCs w:val="22"/>
              </w:rPr>
              <w:t>;</w:t>
            </w:r>
          </w:p>
          <w:p w:rsidR="002D6D43" w:rsidRPr="00B75FD7" w:rsidRDefault="002D6D43" w:rsidP="00CF4B4F">
            <w:pPr>
              <w:rPr>
                <w:color w:val="000000" w:themeColor="text1"/>
                <w:sz w:val="22"/>
                <w:szCs w:val="22"/>
              </w:rPr>
            </w:pPr>
            <w:r w:rsidRPr="00B75FD7">
              <w:rPr>
                <w:color w:val="000000" w:themeColor="text1"/>
                <w:sz w:val="22"/>
                <w:szCs w:val="22"/>
              </w:rPr>
              <w:t xml:space="preserve">- відновлення та утеплення </w:t>
            </w:r>
            <w:proofErr w:type="spellStart"/>
            <w:r w:rsidRPr="00B75FD7">
              <w:rPr>
                <w:color w:val="000000" w:themeColor="text1"/>
                <w:sz w:val="22"/>
                <w:szCs w:val="22"/>
              </w:rPr>
              <w:t>зовнішних</w:t>
            </w:r>
            <w:proofErr w:type="spellEnd"/>
            <w:r w:rsidRPr="00B75FD7">
              <w:rPr>
                <w:color w:val="000000" w:themeColor="text1"/>
                <w:sz w:val="22"/>
                <w:szCs w:val="22"/>
              </w:rPr>
              <w:t xml:space="preserve"> та </w:t>
            </w:r>
            <w:proofErr w:type="spellStart"/>
            <w:r w:rsidRPr="00B75FD7">
              <w:rPr>
                <w:color w:val="000000" w:themeColor="text1"/>
                <w:sz w:val="22"/>
                <w:szCs w:val="22"/>
              </w:rPr>
              <w:t>внутрішних</w:t>
            </w:r>
            <w:proofErr w:type="spellEnd"/>
            <w:r w:rsidRPr="00B75FD7">
              <w:rPr>
                <w:color w:val="000000" w:themeColor="text1"/>
                <w:sz w:val="22"/>
                <w:szCs w:val="22"/>
              </w:rPr>
              <w:t xml:space="preserve"> стін</w:t>
            </w:r>
            <w:r w:rsidR="00B87FF0" w:rsidRPr="00B75FD7">
              <w:rPr>
                <w:color w:val="000000" w:themeColor="text1"/>
                <w:sz w:val="22"/>
                <w:szCs w:val="22"/>
              </w:rPr>
              <w:t>;</w:t>
            </w:r>
            <w:r w:rsidRPr="00B75FD7">
              <w:rPr>
                <w:color w:val="000000" w:themeColor="text1"/>
                <w:sz w:val="22"/>
                <w:szCs w:val="22"/>
              </w:rPr>
              <w:t xml:space="preserve"> </w:t>
            </w:r>
          </w:p>
          <w:p w:rsidR="002D6D43" w:rsidRPr="00B75FD7" w:rsidRDefault="002D6D43" w:rsidP="00CF4B4F">
            <w:pPr>
              <w:rPr>
                <w:color w:val="000000" w:themeColor="text1"/>
                <w:sz w:val="22"/>
                <w:szCs w:val="22"/>
              </w:rPr>
            </w:pPr>
            <w:r w:rsidRPr="00B75FD7">
              <w:rPr>
                <w:color w:val="000000" w:themeColor="text1"/>
                <w:sz w:val="22"/>
                <w:szCs w:val="22"/>
              </w:rPr>
              <w:t>- встановлення вікон</w:t>
            </w:r>
            <w:r w:rsidR="00B87FF0" w:rsidRPr="00B75FD7">
              <w:rPr>
                <w:color w:val="000000" w:themeColor="text1"/>
                <w:sz w:val="22"/>
                <w:szCs w:val="22"/>
              </w:rPr>
              <w:t>;</w:t>
            </w:r>
          </w:p>
          <w:p w:rsidR="002D6D43" w:rsidRPr="00B75FD7" w:rsidRDefault="002D6D43" w:rsidP="00CF4B4F">
            <w:pPr>
              <w:rPr>
                <w:color w:val="000000" w:themeColor="text1"/>
                <w:sz w:val="22"/>
                <w:szCs w:val="22"/>
              </w:rPr>
            </w:pPr>
            <w:r w:rsidRPr="00B75FD7">
              <w:rPr>
                <w:color w:val="000000" w:themeColor="text1"/>
                <w:sz w:val="22"/>
                <w:szCs w:val="22"/>
              </w:rPr>
              <w:t xml:space="preserve">- встановлення вхідних вуличних </w:t>
            </w:r>
            <w:proofErr w:type="spellStart"/>
            <w:r w:rsidRPr="00B75FD7">
              <w:rPr>
                <w:color w:val="000000" w:themeColor="text1"/>
                <w:sz w:val="22"/>
                <w:szCs w:val="22"/>
              </w:rPr>
              <w:t>дверей,міжгрупових</w:t>
            </w:r>
            <w:proofErr w:type="spellEnd"/>
            <w:r w:rsidRPr="00B75FD7">
              <w:rPr>
                <w:color w:val="000000" w:themeColor="text1"/>
                <w:sz w:val="22"/>
                <w:szCs w:val="22"/>
              </w:rPr>
              <w:t>, кабінетних</w:t>
            </w:r>
            <w:r w:rsidR="00B87FF0" w:rsidRPr="00B75FD7">
              <w:rPr>
                <w:color w:val="000000" w:themeColor="text1"/>
                <w:sz w:val="22"/>
                <w:szCs w:val="22"/>
              </w:rPr>
              <w:t>;</w:t>
            </w:r>
          </w:p>
          <w:p w:rsidR="002D6D43" w:rsidRPr="00B75FD7" w:rsidRDefault="002D6D43" w:rsidP="00CF4B4F">
            <w:pPr>
              <w:rPr>
                <w:color w:val="000000" w:themeColor="text1"/>
                <w:sz w:val="22"/>
                <w:szCs w:val="22"/>
              </w:rPr>
            </w:pPr>
            <w:r w:rsidRPr="00B75FD7">
              <w:rPr>
                <w:color w:val="000000" w:themeColor="text1"/>
                <w:sz w:val="22"/>
                <w:szCs w:val="22"/>
              </w:rPr>
              <w:t>-ремонт підлоги</w:t>
            </w:r>
            <w:r w:rsidR="00B87FF0" w:rsidRPr="00B75FD7">
              <w:rPr>
                <w:color w:val="000000" w:themeColor="text1"/>
                <w:sz w:val="22"/>
                <w:szCs w:val="22"/>
              </w:rPr>
              <w:t>;</w:t>
            </w:r>
          </w:p>
          <w:p w:rsidR="002D6D43" w:rsidRPr="00B75FD7" w:rsidRDefault="002D6D43" w:rsidP="00CF4B4F">
            <w:pPr>
              <w:rPr>
                <w:color w:val="000000" w:themeColor="text1"/>
                <w:sz w:val="22"/>
                <w:szCs w:val="22"/>
              </w:rPr>
            </w:pPr>
            <w:r w:rsidRPr="00B75FD7">
              <w:rPr>
                <w:color w:val="000000" w:themeColor="text1"/>
                <w:sz w:val="22"/>
                <w:szCs w:val="22"/>
              </w:rPr>
              <w:t>-ремонт стелі</w:t>
            </w:r>
            <w:r w:rsidR="00B87FF0" w:rsidRPr="00B75FD7">
              <w:rPr>
                <w:color w:val="000000" w:themeColor="text1"/>
                <w:sz w:val="22"/>
                <w:szCs w:val="22"/>
              </w:rPr>
              <w:t>;</w:t>
            </w:r>
          </w:p>
          <w:p w:rsidR="002D6D43" w:rsidRPr="00B75FD7" w:rsidRDefault="002D6D43" w:rsidP="00CF4B4F">
            <w:pPr>
              <w:rPr>
                <w:color w:val="000000" w:themeColor="text1"/>
                <w:sz w:val="22"/>
                <w:szCs w:val="22"/>
              </w:rPr>
            </w:pPr>
            <w:r w:rsidRPr="00B75FD7">
              <w:rPr>
                <w:color w:val="000000" w:themeColor="text1"/>
                <w:sz w:val="22"/>
                <w:szCs w:val="22"/>
              </w:rPr>
              <w:t>-ремонт стін</w:t>
            </w:r>
            <w:r w:rsidR="00B87FF0" w:rsidRPr="00B75FD7">
              <w:rPr>
                <w:color w:val="000000" w:themeColor="text1"/>
                <w:sz w:val="22"/>
                <w:szCs w:val="22"/>
              </w:rPr>
              <w:t>;</w:t>
            </w:r>
          </w:p>
          <w:p w:rsidR="002D6D43" w:rsidRPr="00B75FD7" w:rsidRDefault="002D6D43" w:rsidP="00CF4B4F">
            <w:pPr>
              <w:rPr>
                <w:color w:val="000000" w:themeColor="text1"/>
                <w:sz w:val="22"/>
                <w:szCs w:val="22"/>
              </w:rPr>
            </w:pPr>
            <w:r w:rsidRPr="00B75FD7">
              <w:rPr>
                <w:color w:val="000000" w:themeColor="text1"/>
                <w:sz w:val="22"/>
                <w:szCs w:val="22"/>
              </w:rPr>
              <w:t>- відновлення системи водопостачання та водовідведення в будівлі</w:t>
            </w:r>
            <w:r w:rsidR="00B87FF0" w:rsidRPr="00B75FD7">
              <w:rPr>
                <w:color w:val="000000" w:themeColor="text1"/>
                <w:sz w:val="22"/>
                <w:szCs w:val="22"/>
              </w:rPr>
              <w:t>;</w:t>
            </w:r>
            <w:r w:rsidRPr="00B75FD7">
              <w:rPr>
                <w:color w:val="000000" w:themeColor="text1"/>
                <w:sz w:val="22"/>
                <w:szCs w:val="22"/>
              </w:rPr>
              <w:t xml:space="preserve"> </w:t>
            </w:r>
          </w:p>
          <w:p w:rsidR="002D6D43" w:rsidRPr="00B75FD7" w:rsidRDefault="002D6D43" w:rsidP="00CF4B4F">
            <w:pPr>
              <w:rPr>
                <w:color w:val="000000" w:themeColor="text1"/>
                <w:sz w:val="22"/>
                <w:szCs w:val="22"/>
              </w:rPr>
            </w:pPr>
            <w:r w:rsidRPr="00B75FD7">
              <w:rPr>
                <w:color w:val="000000" w:themeColor="text1"/>
                <w:sz w:val="22"/>
                <w:szCs w:val="22"/>
              </w:rPr>
              <w:t>- відновлення системи внутрішнього та зовнішнього енергопостачання та освітлення: придбання необхідних матеріалів</w:t>
            </w:r>
            <w:r w:rsidR="00B87FF0" w:rsidRPr="00B75FD7">
              <w:rPr>
                <w:color w:val="000000" w:themeColor="text1"/>
                <w:sz w:val="22"/>
                <w:szCs w:val="22"/>
              </w:rPr>
              <w:t>;</w:t>
            </w:r>
          </w:p>
          <w:p w:rsidR="002D6D43" w:rsidRPr="00B75FD7" w:rsidRDefault="002D6D43" w:rsidP="00CF4B4F">
            <w:pPr>
              <w:rPr>
                <w:color w:val="000000" w:themeColor="text1"/>
                <w:sz w:val="22"/>
                <w:szCs w:val="22"/>
              </w:rPr>
            </w:pPr>
            <w:r w:rsidRPr="00B75FD7">
              <w:rPr>
                <w:color w:val="000000" w:themeColor="text1"/>
                <w:sz w:val="22"/>
                <w:szCs w:val="22"/>
              </w:rPr>
              <w:t>- відновлення системи опалення</w:t>
            </w:r>
            <w:r w:rsidR="00B87FF0" w:rsidRPr="00B75FD7">
              <w:rPr>
                <w:color w:val="000000" w:themeColor="text1"/>
                <w:sz w:val="22"/>
                <w:szCs w:val="22"/>
              </w:rPr>
              <w:t>;</w:t>
            </w:r>
          </w:p>
          <w:p w:rsidR="002D6D43" w:rsidRPr="00B75FD7" w:rsidRDefault="002D6D43" w:rsidP="00CF4B4F">
            <w:pPr>
              <w:rPr>
                <w:color w:val="000000" w:themeColor="text1"/>
                <w:sz w:val="22"/>
                <w:szCs w:val="22"/>
              </w:rPr>
            </w:pPr>
            <w:r w:rsidRPr="00B75FD7">
              <w:rPr>
                <w:color w:val="000000" w:themeColor="text1"/>
                <w:sz w:val="22"/>
                <w:szCs w:val="22"/>
              </w:rPr>
              <w:t>- відновлення паркану навколо території та будівлі</w:t>
            </w:r>
            <w:r w:rsidR="00B87FF0" w:rsidRPr="00B75FD7">
              <w:rPr>
                <w:color w:val="000000" w:themeColor="text1"/>
                <w:sz w:val="22"/>
                <w:szCs w:val="22"/>
              </w:rPr>
              <w:t>;</w:t>
            </w:r>
          </w:p>
          <w:p w:rsidR="002D6D43" w:rsidRPr="00B75FD7" w:rsidRDefault="002D6D43" w:rsidP="00CF4B4F">
            <w:pPr>
              <w:rPr>
                <w:color w:val="000000" w:themeColor="text1"/>
                <w:sz w:val="22"/>
                <w:szCs w:val="22"/>
              </w:rPr>
            </w:pPr>
            <w:r w:rsidRPr="00B75FD7">
              <w:rPr>
                <w:color w:val="000000" w:themeColor="text1"/>
                <w:sz w:val="22"/>
                <w:szCs w:val="22"/>
              </w:rPr>
              <w:t xml:space="preserve">- відновлення благоустрою території: облаштування спортивного та ігрових майданчиків, </w:t>
            </w:r>
            <w:proofErr w:type="spellStart"/>
            <w:r w:rsidRPr="00B75FD7">
              <w:rPr>
                <w:color w:val="000000" w:themeColor="text1"/>
                <w:sz w:val="22"/>
                <w:szCs w:val="22"/>
              </w:rPr>
              <w:t>павільони</w:t>
            </w:r>
            <w:proofErr w:type="spellEnd"/>
            <w:r w:rsidRPr="00B75FD7">
              <w:rPr>
                <w:color w:val="000000" w:themeColor="text1"/>
                <w:sz w:val="22"/>
                <w:szCs w:val="22"/>
              </w:rPr>
              <w:t>, тротуарної плитки на території Ясел-садка</w:t>
            </w:r>
            <w:r w:rsidR="00B87FF0" w:rsidRPr="00B75FD7">
              <w:rPr>
                <w:color w:val="000000" w:themeColor="text1"/>
                <w:sz w:val="22"/>
                <w:szCs w:val="22"/>
              </w:rPr>
              <w:t>;</w:t>
            </w:r>
            <w:r w:rsidRPr="00B75FD7">
              <w:rPr>
                <w:color w:val="000000" w:themeColor="text1"/>
                <w:sz w:val="22"/>
                <w:szCs w:val="22"/>
              </w:rPr>
              <w:t xml:space="preserve"> </w:t>
            </w:r>
          </w:p>
          <w:p w:rsidR="002D6D43" w:rsidRPr="00B75FD7" w:rsidRDefault="002D6D43" w:rsidP="00CF4B4F">
            <w:pPr>
              <w:rPr>
                <w:rFonts w:eastAsia="Calibri"/>
                <w:color w:val="000000" w:themeColor="text1"/>
                <w:sz w:val="22"/>
                <w:szCs w:val="22"/>
              </w:rPr>
            </w:pPr>
            <w:r w:rsidRPr="00B75FD7">
              <w:rPr>
                <w:color w:val="000000" w:themeColor="text1"/>
                <w:sz w:val="22"/>
                <w:szCs w:val="22"/>
              </w:rPr>
              <w:t>- створення бомбосховищ.</w:t>
            </w:r>
          </w:p>
        </w:tc>
      </w:tr>
      <w:tr w:rsidR="002D6D43" w:rsidRPr="00B75FD7" w:rsidTr="002D6D43">
        <w:trPr>
          <w:gridAfter w:val="2"/>
          <w:wAfter w:w="141" w:type="dxa"/>
          <w:trHeight w:val="600"/>
        </w:trPr>
        <w:tc>
          <w:tcPr>
            <w:tcW w:w="1448" w:type="dxa"/>
            <w:vMerge w:val="restart"/>
            <w:tcBorders>
              <w:top w:val="nil"/>
              <w:left w:val="nil"/>
              <w:right w:val="nil"/>
            </w:tcBorders>
          </w:tcPr>
          <w:p w:rsidR="002D6D43" w:rsidRPr="00B75FD7" w:rsidRDefault="002D6D43" w:rsidP="00CF4B4F">
            <w:pPr>
              <w:autoSpaceDE w:val="0"/>
              <w:autoSpaceDN w:val="0"/>
              <w:adjustRightInd w:val="0"/>
              <w:jc w:val="right"/>
              <w:rPr>
                <w:rFonts w:eastAsia="Calibri"/>
                <w:color w:val="000000"/>
                <w:sz w:val="22"/>
                <w:szCs w:val="22"/>
              </w:rPr>
            </w:pPr>
          </w:p>
        </w:tc>
        <w:tc>
          <w:tcPr>
            <w:tcW w:w="2833" w:type="dxa"/>
            <w:vMerge w:val="restart"/>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D6D43" w:rsidRPr="00B75FD7" w:rsidRDefault="002D6D43" w:rsidP="00CF4B4F">
            <w:pPr>
              <w:autoSpaceDE w:val="0"/>
              <w:autoSpaceDN w:val="0"/>
              <w:adjustRightInd w:val="0"/>
              <w:rPr>
                <w:rFonts w:eastAsia="Calibri"/>
                <w:b/>
                <w:bCs/>
                <w:color w:val="000000"/>
                <w:sz w:val="22"/>
                <w:szCs w:val="22"/>
              </w:rPr>
            </w:pPr>
            <w:r w:rsidRPr="00B75FD7">
              <w:rPr>
                <w:rFonts w:eastAsia="Calibri"/>
                <w:b/>
                <w:bCs/>
                <w:color w:val="000000"/>
                <w:sz w:val="22"/>
                <w:szCs w:val="22"/>
              </w:rPr>
              <w:t>Орієнтовний обсяг та джерела фінансування тис. гривень</w:t>
            </w:r>
          </w:p>
        </w:tc>
        <w:tc>
          <w:tcPr>
            <w:tcW w:w="1136" w:type="dxa"/>
            <w:vMerge w:val="restart"/>
            <w:tcBorders>
              <w:top w:val="single" w:sz="6" w:space="0" w:color="auto"/>
              <w:left w:val="single" w:sz="6" w:space="0" w:color="auto"/>
              <w:bottom w:val="single" w:sz="6" w:space="0" w:color="auto"/>
              <w:right w:val="single" w:sz="6" w:space="0" w:color="auto"/>
            </w:tcBorders>
          </w:tcPr>
          <w:p w:rsidR="002D6D43" w:rsidRPr="00B75FD7" w:rsidRDefault="002D6D43" w:rsidP="00CF4B4F">
            <w:pPr>
              <w:autoSpaceDE w:val="0"/>
              <w:autoSpaceDN w:val="0"/>
              <w:adjustRightInd w:val="0"/>
              <w:rPr>
                <w:rFonts w:eastAsia="Calibri"/>
                <w:color w:val="000000" w:themeColor="text1"/>
                <w:sz w:val="22"/>
                <w:szCs w:val="22"/>
              </w:rPr>
            </w:pPr>
            <w:r w:rsidRPr="00B75FD7">
              <w:rPr>
                <w:rFonts w:eastAsia="Calibri"/>
                <w:color w:val="000000" w:themeColor="text1"/>
                <w:sz w:val="22"/>
                <w:szCs w:val="22"/>
              </w:rPr>
              <w:t>Державний бюджет</w:t>
            </w:r>
          </w:p>
        </w:tc>
        <w:tc>
          <w:tcPr>
            <w:tcW w:w="1134" w:type="dxa"/>
            <w:gridSpan w:val="2"/>
            <w:tcBorders>
              <w:top w:val="single" w:sz="6" w:space="0" w:color="auto"/>
              <w:left w:val="single" w:sz="6" w:space="0" w:color="auto"/>
              <w:bottom w:val="single" w:sz="6" w:space="0" w:color="auto"/>
              <w:right w:val="single" w:sz="6" w:space="0" w:color="auto"/>
            </w:tcBorders>
          </w:tcPr>
          <w:p w:rsidR="002D6D43" w:rsidRPr="00B75FD7" w:rsidRDefault="002D6D43" w:rsidP="00CF4B4F">
            <w:pPr>
              <w:autoSpaceDE w:val="0"/>
              <w:autoSpaceDN w:val="0"/>
              <w:adjustRightInd w:val="0"/>
              <w:rPr>
                <w:rFonts w:eastAsia="Calibri"/>
                <w:color w:val="000000" w:themeColor="text1"/>
                <w:sz w:val="22"/>
                <w:szCs w:val="22"/>
              </w:rPr>
            </w:pPr>
            <w:r w:rsidRPr="00B75FD7">
              <w:rPr>
                <w:rFonts w:eastAsia="Calibri"/>
                <w:color w:val="000000" w:themeColor="text1"/>
                <w:sz w:val="22"/>
                <w:szCs w:val="22"/>
              </w:rPr>
              <w:t>Місцевий бюджет</w:t>
            </w:r>
          </w:p>
        </w:tc>
        <w:tc>
          <w:tcPr>
            <w:tcW w:w="2977" w:type="dxa"/>
            <w:gridSpan w:val="5"/>
            <w:tcBorders>
              <w:top w:val="single" w:sz="6" w:space="0" w:color="auto"/>
              <w:left w:val="single" w:sz="6" w:space="0" w:color="auto"/>
              <w:bottom w:val="single" w:sz="6" w:space="0" w:color="auto"/>
              <w:right w:val="single" w:sz="6" w:space="0" w:color="auto"/>
            </w:tcBorders>
          </w:tcPr>
          <w:p w:rsidR="002D6D43" w:rsidRPr="00B75FD7" w:rsidRDefault="002D6D43" w:rsidP="00CF4B4F">
            <w:pPr>
              <w:autoSpaceDE w:val="0"/>
              <w:autoSpaceDN w:val="0"/>
              <w:adjustRightInd w:val="0"/>
              <w:rPr>
                <w:rFonts w:eastAsia="Calibri"/>
                <w:color w:val="000000" w:themeColor="text1"/>
                <w:sz w:val="22"/>
                <w:szCs w:val="22"/>
              </w:rPr>
            </w:pPr>
            <w:r w:rsidRPr="00B75FD7">
              <w:rPr>
                <w:rFonts w:eastAsia="Calibri"/>
                <w:color w:val="000000" w:themeColor="text1"/>
                <w:sz w:val="22"/>
                <w:szCs w:val="22"/>
              </w:rPr>
              <w:t>Інші джерела</w:t>
            </w:r>
          </w:p>
        </w:tc>
        <w:tc>
          <w:tcPr>
            <w:tcW w:w="1701" w:type="dxa"/>
            <w:gridSpan w:val="3"/>
            <w:tcBorders>
              <w:top w:val="single" w:sz="6" w:space="0" w:color="auto"/>
              <w:left w:val="single" w:sz="6" w:space="0" w:color="auto"/>
              <w:bottom w:val="single" w:sz="6" w:space="0" w:color="auto"/>
              <w:right w:val="single" w:sz="6" w:space="0" w:color="auto"/>
            </w:tcBorders>
          </w:tcPr>
          <w:p w:rsidR="002D6D43" w:rsidRPr="00B75FD7" w:rsidRDefault="002D6D43" w:rsidP="00CF4B4F">
            <w:pPr>
              <w:autoSpaceDE w:val="0"/>
              <w:autoSpaceDN w:val="0"/>
              <w:adjustRightInd w:val="0"/>
              <w:rPr>
                <w:rFonts w:eastAsia="Calibri"/>
                <w:color w:val="000000" w:themeColor="text1"/>
                <w:sz w:val="22"/>
                <w:szCs w:val="22"/>
              </w:rPr>
            </w:pPr>
            <w:r w:rsidRPr="00B75FD7">
              <w:rPr>
                <w:rFonts w:eastAsia="Calibri"/>
                <w:color w:val="000000" w:themeColor="text1"/>
                <w:sz w:val="22"/>
                <w:szCs w:val="22"/>
              </w:rPr>
              <w:t>Всього</w:t>
            </w:r>
          </w:p>
        </w:tc>
      </w:tr>
      <w:tr w:rsidR="002D6D43" w:rsidRPr="00B75FD7" w:rsidTr="002D6D43">
        <w:trPr>
          <w:gridAfter w:val="2"/>
          <w:wAfter w:w="141" w:type="dxa"/>
          <w:trHeight w:val="65"/>
        </w:trPr>
        <w:tc>
          <w:tcPr>
            <w:tcW w:w="1448" w:type="dxa"/>
            <w:vMerge/>
            <w:tcBorders>
              <w:left w:val="nil"/>
              <w:right w:val="nil"/>
            </w:tcBorders>
          </w:tcPr>
          <w:p w:rsidR="002D6D43" w:rsidRPr="00B75FD7" w:rsidRDefault="002D6D43" w:rsidP="00CF4B4F">
            <w:pPr>
              <w:autoSpaceDE w:val="0"/>
              <w:autoSpaceDN w:val="0"/>
              <w:adjustRightInd w:val="0"/>
              <w:jc w:val="right"/>
              <w:rPr>
                <w:rFonts w:eastAsia="Calibri"/>
                <w:color w:val="000000"/>
                <w:sz w:val="22"/>
                <w:szCs w:val="22"/>
              </w:rPr>
            </w:pPr>
          </w:p>
        </w:tc>
        <w:tc>
          <w:tcPr>
            <w:tcW w:w="2833" w:type="dxa"/>
            <w:vMerge/>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D6D43" w:rsidRPr="00B75FD7" w:rsidRDefault="002D6D43" w:rsidP="00CF4B4F">
            <w:pPr>
              <w:autoSpaceDE w:val="0"/>
              <w:autoSpaceDN w:val="0"/>
              <w:adjustRightInd w:val="0"/>
              <w:rPr>
                <w:rFonts w:eastAsia="Calibri"/>
                <w:b/>
                <w:bCs/>
                <w:color w:val="000000"/>
                <w:sz w:val="22"/>
                <w:szCs w:val="22"/>
              </w:rPr>
            </w:pPr>
          </w:p>
        </w:tc>
        <w:tc>
          <w:tcPr>
            <w:tcW w:w="1136" w:type="dxa"/>
            <w:vMerge/>
            <w:tcBorders>
              <w:top w:val="single" w:sz="6" w:space="0" w:color="auto"/>
              <w:left w:val="single" w:sz="6" w:space="0" w:color="auto"/>
              <w:bottom w:val="single" w:sz="6" w:space="0" w:color="auto"/>
              <w:right w:val="single" w:sz="6" w:space="0" w:color="auto"/>
            </w:tcBorders>
          </w:tcPr>
          <w:p w:rsidR="002D6D43" w:rsidRPr="00B75FD7" w:rsidRDefault="002D6D43" w:rsidP="00CF4B4F">
            <w:pPr>
              <w:autoSpaceDE w:val="0"/>
              <w:autoSpaceDN w:val="0"/>
              <w:adjustRightInd w:val="0"/>
              <w:rPr>
                <w:rFonts w:eastAsia="Calibri"/>
                <w:color w:val="000000" w:themeColor="text1"/>
                <w:sz w:val="22"/>
                <w:szCs w:val="22"/>
              </w:rPr>
            </w:pPr>
          </w:p>
        </w:tc>
        <w:tc>
          <w:tcPr>
            <w:tcW w:w="1134" w:type="dxa"/>
            <w:gridSpan w:val="2"/>
            <w:tcBorders>
              <w:top w:val="single" w:sz="6" w:space="0" w:color="auto"/>
              <w:left w:val="single" w:sz="6" w:space="0" w:color="auto"/>
              <w:bottom w:val="single" w:sz="6" w:space="0" w:color="auto"/>
              <w:right w:val="single" w:sz="6" w:space="0" w:color="auto"/>
            </w:tcBorders>
          </w:tcPr>
          <w:p w:rsidR="002D6D43" w:rsidRPr="00B75FD7" w:rsidRDefault="002D6D43" w:rsidP="00CF4B4F">
            <w:pPr>
              <w:autoSpaceDE w:val="0"/>
              <w:autoSpaceDN w:val="0"/>
              <w:adjustRightInd w:val="0"/>
              <w:rPr>
                <w:rFonts w:eastAsia="Calibri"/>
                <w:color w:val="000000" w:themeColor="text1"/>
                <w:sz w:val="22"/>
                <w:szCs w:val="22"/>
              </w:rPr>
            </w:pPr>
          </w:p>
        </w:tc>
        <w:tc>
          <w:tcPr>
            <w:tcW w:w="1276" w:type="dxa"/>
            <w:gridSpan w:val="2"/>
            <w:tcBorders>
              <w:top w:val="single" w:sz="6" w:space="0" w:color="auto"/>
              <w:left w:val="single" w:sz="6" w:space="0" w:color="auto"/>
              <w:bottom w:val="single" w:sz="6" w:space="0" w:color="auto"/>
              <w:right w:val="single" w:sz="6" w:space="0" w:color="auto"/>
            </w:tcBorders>
          </w:tcPr>
          <w:p w:rsidR="002D6D43" w:rsidRPr="00B75FD7" w:rsidRDefault="002D6D43" w:rsidP="002D6D43">
            <w:pPr>
              <w:autoSpaceDE w:val="0"/>
              <w:autoSpaceDN w:val="0"/>
              <w:adjustRightInd w:val="0"/>
              <w:rPr>
                <w:rFonts w:eastAsia="Calibri"/>
                <w:color w:val="000000" w:themeColor="text1"/>
                <w:sz w:val="22"/>
                <w:szCs w:val="22"/>
              </w:rPr>
            </w:pPr>
            <w:r w:rsidRPr="00B75FD7">
              <w:rPr>
                <w:rFonts w:eastAsia="Calibri"/>
                <w:color w:val="000000" w:themeColor="text1"/>
                <w:sz w:val="22"/>
                <w:szCs w:val="22"/>
              </w:rPr>
              <w:t>Обсяг</w:t>
            </w:r>
          </w:p>
        </w:tc>
        <w:tc>
          <w:tcPr>
            <w:tcW w:w="1701" w:type="dxa"/>
            <w:gridSpan w:val="3"/>
            <w:tcBorders>
              <w:top w:val="single" w:sz="6" w:space="0" w:color="auto"/>
              <w:left w:val="single" w:sz="6" w:space="0" w:color="auto"/>
              <w:bottom w:val="single" w:sz="6" w:space="0" w:color="auto"/>
              <w:right w:val="single" w:sz="6" w:space="0" w:color="auto"/>
            </w:tcBorders>
          </w:tcPr>
          <w:p w:rsidR="002D6D43" w:rsidRPr="00B75FD7" w:rsidRDefault="002D6D43" w:rsidP="00CF4B4F">
            <w:pPr>
              <w:autoSpaceDE w:val="0"/>
              <w:autoSpaceDN w:val="0"/>
              <w:adjustRightInd w:val="0"/>
              <w:rPr>
                <w:rFonts w:eastAsia="Calibri"/>
                <w:color w:val="000000" w:themeColor="text1"/>
                <w:sz w:val="22"/>
                <w:szCs w:val="22"/>
              </w:rPr>
            </w:pPr>
            <w:r w:rsidRPr="00B75FD7">
              <w:rPr>
                <w:rFonts w:eastAsia="Calibri"/>
                <w:color w:val="000000" w:themeColor="text1"/>
                <w:sz w:val="22"/>
                <w:szCs w:val="22"/>
              </w:rPr>
              <w:t>Міжнародні</w:t>
            </w:r>
          </w:p>
          <w:p w:rsidR="002D6D43" w:rsidRPr="00B75FD7" w:rsidRDefault="002D6D43" w:rsidP="00CF4B4F">
            <w:pPr>
              <w:autoSpaceDE w:val="0"/>
              <w:autoSpaceDN w:val="0"/>
              <w:adjustRightInd w:val="0"/>
              <w:rPr>
                <w:rFonts w:eastAsia="Calibri"/>
                <w:color w:val="000000" w:themeColor="text1"/>
                <w:sz w:val="22"/>
                <w:szCs w:val="22"/>
              </w:rPr>
            </w:pPr>
            <w:r w:rsidRPr="00B75FD7">
              <w:rPr>
                <w:rFonts w:eastAsia="Calibri"/>
                <w:color w:val="000000" w:themeColor="text1"/>
                <w:sz w:val="22"/>
                <w:szCs w:val="22"/>
              </w:rPr>
              <w:t>партнери</w:t>
            </w:r>
          </w:p>
        </w:tc>
        <w:tc>
          <w:tcPr>
            <w:tcW w:w="1701" w:type="dxa"/>
            <w:gridSpan w:val="3"/>
            <w:tcBorders>
              <w:top w:val="single" w:sz="6" w:space="0" w:color="auto"/>
              <w:left w:val="single" w:sz="6" w:space="0" w:color="auto"/>
              <w:bottom w:val="single" w:sz="6" w:space="0" w:color="auto"/>
              <w:right w:val="single" w:sz="6" w:space="0" w:color="auto"/>
            </w:tcBorders>
          </w:tcPr>
          <w:p w:rsidR="002D6D43" w:rsidRPr="00B75FD7" w:rsidRDefault="002D6D43" w:rsidP="00CF4B4F">
            <w:pPr>
              <w:autoSpaceDE w:val="0"/>
              <w:autoSpaceDN w:val="0"/>
              <w:adjustRightInd w:val="0"/>
              <w:rPr>
                <w:rFonts w:eastAsia="Calibri"/>
                <w:color w:val="000000" w:themeColor="text1"/>
                <w:sz w:val="22"/>
                <w:szCs w:val="22"/>
              </w:rPr>
            </w:pPr>
          </w:p>
        </w:tc>
      </w:tr>
      <w:tr w:rsidR="002D6D43" w:rsidRPr="00B75FD7" w:rsidTr="002D6D43">
        <w:trPr>
          <w:gridAfter w:val="2"/>
          <w:wAfter w:w="141" w:type="dxa"/>
          <w:trHeight w:val="1335"/>
        </w:trPr>
        <w:tc>
          <w:tcPr>
            <w:tcW w:w="1448" w:type="dxa"/>
            <w:vMerge/>
            <w:tcBorders>
              <w:left w:val="nil"/>
              <w:bottom w:val="nil"/>
              <w:right w:val="nil"/>
            </w:tcBorders>
          </w:tcPr>
          <w:p w:rsidR="002D6D43" w:rsidRPr="00B75FD7" w:rsidRDefault="002D6D43" w:rsidP="00CF4B4F">
            <w:pPr>
              <w:autoSpaceDE w:val="0"/>
              <w:autoSpaceDN w:val="0"/>
              <w:adjustRightInd w:val="0"/>
              <w:jc w:val="right"/>
              <w:rPr>
                <w:rFonts w:eastAsia="Calibri"/>
                <w:color w:val="000000"/>
                <w:sz w:val="22"/>
                <w:szCs w:val="22"/>
              </w:rPr>
            </w:pPr>
          </w:p>
        </w:tc>
        <w:tc>
          <w:tcPr>
            <w:tcW w:w="2833" w:type="dxa"/>
            <w:vMerge/>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D6D43" w:rsidRPr="00B75FD7" w:rsidRDefault="002D6D43" w:rsidP="00CF4B4F">
            <w:pPr>
              <w:autoSpaceDE w:val="0"/>
              <w:autoSpaceDN w:val="0"/>
              <w:adjustRightInd w:val="0"/>
              <w:rPr>
                <w:rFonts w:eastAsia="Calibri"/>
                <w:b/>
                <w:bCs/>
                <w:color w:val="000000"/>
                <w:sz w:val="22"/>
                <w:szCs w:val="22"/>
              </w:rPr>
            </w:pPr>
          </w:p>
        </w:tc>
        <w:tc>
          <w:tcPr>
            <w:tcW w:w="1136" w:type="dxa"/>
            <w:tcBorders>
              <w:top w:val="single" w:sz="6" w:space="0" w:color="auto"/>
              <w:left w:val="single" w:sz="6" w:space="0" w:color="auto"/>
              <w:bottom w:val="single" w:sz="6" w:space="0" w:color="auto"/>
              <w:right w:val="single" w:sz="6" w:space="0" w:color="auto"/>
            </w:tcBorders>
          </w:tcPr>
          <w:p w:rsidR="002D6D43" w:rsidRPr="00B75FD7" w:rsidRDefault="002D6D43" w:rsidP="00CF4B4F">
            <w:pPr>
              <w:autoSpaceDE w:val="0"/>
              <w:autoSpaceDN w:val="0"/>
              <w:adjustRightInd w:val="0"/>
              <w:rPr>
                <w:rFonts w:eastAsia="Calibri"/>
                <w:color w:val="000000" w:themeColor="text1"/>
                <w:sz w:val="22"/>
                <w:szCs w:val="22"/>
              </w:rPr>
            </w:pPr>
            <w:r w:rsidRPr="00B75FD7">
              <w:rPr>
                <w:rFonts w:eastAsia="Calibri"/>
                <w:color w:val="000000" w:themeColor="text1"/>
                <w:sz w:val="22"/>
                <w:szCs w:val="22"/>
              </w:rPr>
              <w:t>10500,0</w:t>
            </w:r>
          </w:p>
        </w:tc>
        <w:tc>
          <w:tcPr>
            <w:tcW w:w="1134" w:type="dxa"/>
            <w:gridSpan w:val="2"/>
            <w:tcBorders>
              <w:top w:val="single" w:sz="6" w:space="0" w:color="auto"/>
              <w:left w:val="single" w:sz="6" w:space="0" w:color="auto"/>
              <w:bottom w:val="single" w:sz="6" w:space="0" w:color="auto"/>
              <w:right w:val="single" w:sz="6" w:space="0" w:color="auto"/>
            </w:tcBorders>
          </w:tcPr>
          <w:p w:rsidR="002D6D43" w:rsidRPr="00B75FD7" w:rsidRDefault="002D6D43" w:rsidP="00CF4B4F">
            <w:pPr>
              <w:autoSpaceDE w:val="0"/>
              <w:autoSpaceDN w:val="0"/>
              <w:adjustRightInd w:val="0"/>
              <w:rPr>
                <w:rFonts w:eastAsia="Calibri"/>
                <w:color w:val="000000" w:themeColor="text1"/>
                <w:sz w:val="22"/>
                <w:szCs w:val="22"/>
              </w:rPr>
            </w:pPr>
          </w:p>
        </w:tc>
        <w:tc>
          <w:tcPr>
            <w:tcW w:w="1276" w:type="dxa"/>
            <w:gridSpan w:val="2"/>
            <w:tcBorders>
              <w:top w:val="single" w:sz="6" w:space="0" w:color="auto"/>
              <w:left w:val="single" w:sz="6" w:space="0" w:color="auto"/>
              <w:bottom w:val="single" w:sz="6" w:space="0" w:color="auto"/>
              <w:right w:val="single" w:sz="6" w:space="0" w:color="auto"/>
            </w:tcBorders>
          </w:tcPr>
          <w:p w:rsidR="002D6D43" w:rsidRPr="00B75FD7" w:rsidRDefault="002D6D43" w:rsidP="00CF4B4F">
            <w:pPr>
              <w:autoSpaceDE w:val="0"/>
              <w:autoSpaceDN w:val="0"/>
              <w:adjustRightInd w:val="0"/>
              <w:rPr>
                <w:rFonts w:eastAsia="Calibri"/>
                <w:color w:val="000000" w:themeColor="text1"/>
                <w:sz w:val="22"/>
                <w:szCs w:val="22"/>
              </w:rPr>
            </w:pPr>
            <w:r w:rsidRPr="00B75FD7">
              <w:rPr>
                <w:rFonts w:eastAsia="Calibri"/>
                <w:color w:val="000000" w:themeColor="text1"/>
                <w:sz w:val="22"/>
                <w:szCs w:val="22"/>
              </w:rPr>
              <w:t>4500,0</w:t>
            </w:r>
          </w:p>
        </w:tc>
        <w:tc>
          <w:tcPr>
            <w:tcW w:w="1701" w:type="dxa"/>
            <w:gridSpan w:val="3"/>
            <w:tcBorders>
              <w:top w:val="single" w:sz="6" w:space="0" w:color="auto"/>
              <w:left w:val="single" w:sz="6" w:space="0" w:color="auto"/>
              <w:bottom w:val="single" w:sz="6" w:space="0" w:color="auto"/>
              <w:right w:val="single" w:sz="6" w:space="0" w:color="auto"/>
            </w:tcBorders>
          </w:tcPr>
          <w:p w:rsidR="002D6D43" w:rsidRPr="00B75FD7" w:rsidRDefault="002D6D43" w:rsidP="00CF4B4F">
            <w:pPr>
              <w:autoSpaceDE w:val="0"/>
              <w:autoSpaceDN w:val="0"/>
              <w:adjustRightInd w:val="0"/>
              <w:rPr>
                <w:rFonts w:eastAsia="Calibri"/>
                <w:color w:val="000000" w:themeColor="text1"/>
                <w:sz w:val="22"/>
                <w:szCs w:val="22"/>
              </w:rPr>
            </w:pPr>
          </w:p>
        </w:tc>
        <w:tc>
          <w:tcPr>
            <w:tcW w:w="1701" w:type="dxa"/>
            <w:gridSpan w:val="3"/>
            <w:tcBorders>
              <w:top w:val="single" w:sz="6" w:space="0" w:color="auto"/>
              <w:left w:val="single" w:sz="6" w:space="0" w:color="auto"/>
              <w:bottom w:val="single" w:sz="6" w:space="0" w:color="auto"/>
              <w:right w:val="single" w:sz="6" w:space="0" w:color="auto"/>
            </w:tcBorders>
          </w:tcPr>
          <w:p w:rsidR="002D6D43" w:rsidRPr="00B75FD7" w:rsidRDefault="002D6D43" w:rsidP="00CF4B4F">
            <w:pPr>
              <w:autoSpaceDE w:val="0"/>
              <w:autoSpaceDN w:val="0"/>
              <w:adjustRightInd w:val="0"/>
              <w:rPr>
                <w:rFonts w:eastAsia="Calibri"/>
                <w:color w:val="000000" w:themeColor="text1"/>
                <w:sz w:val="22"/>
                <w:szCs w:val="22"/>
              </w:rPr>
            </w:pPr>
            <w:r w:rsidRPr="00B75FD7">
              <w:rPr>
                <w:rFonts w:eastAsia="Calibri"/>
                <w:color w:val="000000" w:themeColor="text1"/>
                <w:sz w:val="22"/>
                <w:szCs w:val="22"/>
              </w:rPr>
              <w:t>15000</w:t>
            </w:r>
          </w:p>
        </w:tc>
      </w:tr>
    </w:tbl>
    <w:p w:rsidR="002D6D43" w:rsidRPr="00B75FD7" w:rsidRDefault="002D6D43" w:rsidP="00E33AAA">
      <w:pPr>
        <w:tabs>
          <w:tab w:val="left" w:pos="5290"/>
        </w:tabs>
        <w:rPr>
          <w:b/>
          <w:sz w:val="22"/>
          <w:szCs w:val="22"/>
        </w:rPr>
      </w:pPr>
    </w:p>
    <w:p w:rsidR="002D6D43" w:rsidRPr="00B75FD7" w:rsidRDefault="002D6D43" w:rsidP="00E33AAA">
      <w:pPr>
        <w:tabs>
          <w:tab w:val="left" w:pos="5290"/>
        </w:tabs>
        <w:rPr>
          <w:b/>
          <w:sz w:val="22"/>
          <w:szCs w:val="22"/>
        </w:rPr>
      </w:pPr>
    </w:p>
    <w:tbl>
      <w:tblPr>
        <w:tblpPr w:leftFromText="180" w:rightFromText="180" w:vertAnchor="text" w:horzAnchor="page" w:tblpX="1" w:tblpY="123"/>
        <w:tblW w:w="11283" w:type="dxa"/>
        <w:tblLayout w:type="fixed"/>
        <w:tblCellMar>
          <w:left w:w="30" w:type="dxa"/>
          <w:right w:w="30" w:type="dxa"/>
        </w:tblCellMar>
        <w:tblLook w:val="0000" w:firstRow="0" w:lastRow="0" w:firstColumn="0" w:lastColumn="0" w:noHBand="0" w:noVBand="0"/>
      </w:tblPr>
      <w:tblGrid>
        <w:gridCol w:w="1446"/>
        <w:gridCol w:w="2829"/>
        <w:gridCol w:w="1278"/>
        <w:gridCol w:w="1134"/>
        <w:gridCol w:w="1134"/>
        <w:gridCol w:w="567"/>
        <w:gridCol w:w="995"/>
        <w:gridCol w:w="564"/>
        <w:gridCol w:w="1282"/>
        <w:gridCol w:w="54"/>
      </w:tblGrid>
      <w:tr w:rsidR="002F4714" w:rsidRPr="00B75FD7" w:rsidTr="00C40719">
        <w:trPr>
          <w:trHeight w:val="555"/>
        </w:trPr>
        <w:tc>
          <w:tcPr>
            <w:tcW w:w="1446" w:type="dxa"/>
            <w:tcBorders>
              <w:top w:val="nil"/>
              <w:left w:val="nil"/>
              <w:bottom w:val="nil"/>
              <w:right w:val="nil"/>
            </w:tcBorders>
          </w:tcPr>
          <w:p w:rsidR="002F4714" w:rsidRPr="00B75FD7" w:rsidRDefault="002F4714" w:rsidP="00CF4B4F">
            <w:pPr>
              <w:autoSpaceDE w:val="0"/>
              <w:autoSpaceDN w:val="0"/>
              <w:adjustRightInd w:val="0"/>
              <w:jc w:val="right"/>
              <w:rPr>
                <w:rFonts w:eastAsia="Calibri"/>
                <w:color w:val="000000"/>
                <w:sz w:val="22"/>
              </w:rPr>
            </w:pPr>
          </w:p>
        </w:tc>
        <w:tc>
          <w:tcPr>
            <w:tcW w:w="2829"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5FD7" w:rsidRDefault="002F4714" w:rsidP="00CF4B4F">
            <w:pPr>
              <w:autoSpaceDE w:val="0"/>
              <w:autoSpaceDN w:val="0"/>
              <w:adjustRightInd w:val="0"/>
              <w:rPr>
                <w:rFonts w:eastAsia="Calibri"/>
                <w:b/>
                <w:color w:val="000000"/>
                <w:sz w:val="22"/>
              </w:rPr>
            </w:pPr>
            <w:r w:rsidRPr="00B75FD7">
              <w:rPr>
                <w:rFonts w:eastAsia="Calibri"/>
                <w:b/>
                <w:color w:val="000000"/>
                <w:sz w:val="22"/>
              </w:rPr>
              <w:t>Оперативна ціль/завдання</w:t>
            </w:r>
          </w:p>
        </w:tc>
        <w:tc>
          <w:tcPr>
            <w:tcW w:w="7008" w:type="dxa"/>
            <w:gridSpan w:val="8"/>
            <w:tcBorders>
              <w:top w:val="single" w:sz="6" w:space="0" w:color="auto"/>
              <w:left w:val="single" w:sz="6" w:space="0" w:color="auto"/>
              <w:bottom w:val="single" w:sz="6" w:space="0" w:color="auto"/>
              <w:right w:val="single" w:sz="6" w:space="0" w:color="auto"/>
            </w:tcBorders>
          </w:tcPr>
          <w:sdt>
            <w:sdtPr>
              <w:rPr>
                <w:sz w:val="22"/>
              </w:rPr>
              <w:tag w:val="goog_rdk_12"/>
              <w:id w:val="1457445888"/>
            </w:sdtPr>
            <w:sdtEndPr/>
            <w:sdtContent>
              <w:p w:rsidR="002F4714" w:rsidRPr="00B75FD7" w:rsidRDefault="002F4714" w:rsidP="00CF4B4F">
                <w:pPr>
                  <w:rPr>
                    <w:rFonts w:eastAsia="Calibri"/>
                    <w:color w:val="000000"/>
                    <w:sz w:val="22"/>
                  </w:rPr>
                </w:pPr>
                <w:r w:rsidRPr="00B75FD7">
                  <w:rPr>
                    <w:rFonts w:eastAsia="Calibri"/>
                    <w:color w:val="000000"/>
                    <w:sz w:val="22"/>
                  </w:rPr>
                  <w:t xml:space="preserve">Людський розвиток через інновації управління та довіру до влади. Формування сучасного інклюзивного </w:t>
                </w:r>
                <w:proofErr w:type="spellStart"/>
                <w:r w:rsidRPr="00B75FD7">
                  <w:rPr>
                    <w:rFonts w:eastAsia="Calibri"/>
                    <w:color w:val="000000"/>
                    <w:sz w:val="22"/>
                  </w:rPr>
                  <w:t>освітньо</w:t>
                </w:r>
                <w:proofErr w:type="spellEnd"/>
                <w:r w:rsidRPr="00B75FD7">
                  <w:rPr>
                    <w:rFonts w:eastAsia="Calibri"/>
                    <w:color w:val="000000"/>
                    <w:sz w:val="22"/>
                  </w:rPr>
                  <w:t>-культурного та спортивного простору для розвитку.</w:t>
                </w:r>
              </w:p>
            </w:sdtContent>
          </w:sdt>
        </w:tc>
      </w:tr>
      <w:tr w:rsidR="002F4714" w:rsidRPr="00B75FD7" w:rsidTr="00C40719">
        <w:trPr>
          <w:trHeight w:val="691"/>
        </w:trPr>
        <w:tc>
          <w:tcPr>
            <w:tcW w:w="1446" w:type="dxa"/>
            <w:tcBorders>
              <w:top w:val="nil"/>
              <w:left w:val="nil"/>
              <w:bottom w:val="nil"/>
              <w:right w:val="nil"/>
            </w:tcBorders>
          </w:tcPr>
          <w:p w:rsidR="002F4714" w:rsidRPr="00B75FD7" w:rsidRDefault="002F4714" w:rsidP="00CF4B4F">
            <w:pPr>
              <w:autoSpaceDE w:val="0"/>
              <w:autoSpaceDN w:val="0"/>
              <w:adjustRightInd w:val="0"/>
              <w:jc w:val="right"/>
              <w:rPr>
                <w:rFonts w:eastAsia="Calibri"/>
                <w:color w:val="000000"/>
                <w:sz w:val="22"/>
              </w:rPr>
            </w:pPr>
          </w:p>
        </w:tc>
        <w:tc>
          <w:tcPr>
            <w:tcW w:w="2829"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5FD7" w:rsidRDefault="002F4714" w:rsidP="00CF4B4F">
            <w:pPr>
              <w:autoSpaceDE w:val="0"/>
              <w:autoSpaceDN w:val="0"/>
              <w:adjustRightInd w:val="0"/>
              <w:rPr>
                <w:rFonts w:eastAsia="Calibri"/>
                <w:b/>
                <w:color w:val="000000"/>
                <w:sz w:val="22"/>
              </w:rPr>
            </w:pPr>
            <w:r w:rsidRPr="00B75FD7">
              <w:rPr>
                <w:rFonts w:eastAsia="Calibri"/>
                <w:b/>
                <w:color w:val="000000"/>
                <w:sz w:val="22"/>
              </w:rPr>
              <w:t>Назва проекту:</w:t>
            </w:r>
          </w:p>
        </w:tc>
        <w:tc>
          <w:tcPr>
            <w:tcW w:w="7008" w:type="dxa"/>
            <w:gridSpan w:val="8"/>
            <w:tcBorders>
              <w:top w:val="single" w:sz="6" w:space="0" w:color="auto"/>
              <w:left w:val="single" w:sz="6" w:space="0" w:color="auto"/>
              <w:bottom w:val="single" w:sz="6" w:space="0" w:color="auto"/>
              <w:right w:val="single" w:sz="6" w:space="0" w:color="auto"/>
            </w:tcBorders>
          </w:tcPr>
          <w:p w:rsidR="002F4714" w:rsidRPr="00B75FD7" w:rsidRDefault="002F4714" w:rsidP="00CF4B4F">
            <w:pPr>
              <w:rPr>
                <w:rFonts w:eastAsia="Calibri"/>
                <w:color w:val="000000"/>
                <w:sz w:val="22"/>
              </w:rPr>
            </w:pPr>
            <w:r w:rsidRPr="00B75FD7">
              <w:rPr>
                <w:rFonts w:eastAsia="Calibri"/>
                <w:color w:val="000000"/>
                <w:sz w:val="22"/>
              </w:rPr>
              <w:t xml:space="preserve">Оснащення та модернізація матеріально-технічної бази закладу дошкільної освіти  Ясел-садка№ 30 </w:t>
            </w:r>
            <w:proofErr w:type="spellStart"/>
            <w:r w:rsidRPr="00B75FD7">
              <w:rPr>
                <w:rFonts w:eastAsia="Calibri"/>
                <w:color w:val="000000"/>
                <w:sz w:val="22"/>
              </w:rPr>
              <w:t>м.Сєвєродонецька</w:t>
            </w:r>
            <w:proofErr w:type="spellEnd"/>
            <w:r w:rsidRPr="00B75FD7">
              <w:rPr>
                <w:rFonts w:eastAsia="Calibri"/>
                <w:color w:val="000000"/>
                <w:sz w:val="22"/>
              </w:rPr>
              <w:t xml:space="preserve"> Луганської області, </w:t>
            </w:r>
            <w:r w:rsidRPr="00B75FD7">
              <w:rPr>
                <w:sz w:val="22"/>
              </w:rPr>
              <w:t xml:space="preserve"> </w:t>
            </w:r>
            <w:proofErr w:type="spellStart"/>
            <w:r w:rsidRPr="00B75FD7">
              <w:rPr>
                <w:rFonts w:eastAsia="Calibri"/>
                <w:color w:val="000000"/>
                <w:sz w:val="22"/>
              </w:rPr>
              <w:t>вул.Вілєсова</w:t>
            </w:r>
            <w:proofErr w:type="spellEnd"/>
            <w:r w:rsidRPr="00B75FD7">
              <w:rPr>
                <w:rFonts w:eastAsia="Calibri"/>
                <w:color w:val="000000"/>
                <w:sz w:val="22"/>
              </w:rPr>
              <w:t>, 9</w:t>
            </w:r>
          </w:p>
        </w:tc>
      </w:tr>
      <w:tr w:rsidR="002F4714" w:rsidRPr="00B75FD7" w:rsidTr="00C40719">
        <w:trPr>
          <w:trHeight w:val="1109"/>
        </w:trPr>
        <w:tc>
          <w:tcPr>
            <w:tcW w:w="1446" w:type="dxa"/>
            <w:tcBorders>
              <w:top w:val="nil"/>
              <w:left w:val="nil"/>
              <w:bottom w:val="nil"/>
              <w:right w:val="nil"/>
            </w:tcBorders>
          </w:tcPr>
          <w:p w:rsidR="002F4714" w:rsidRPr="00B75FD7" w:rsidRDefault="002F4714" w:rsidP="00CF4B4F">
            <w:pPr>
              <w:autoSpaceDE w:val="0"/>
              <w:autoSpaceDN w:val="0"/>
              <w:adjustRightInd w:val="0"/>
              <w:jc w:val="right"/>
              <w:rPr>
                <w:rFonts w:eastAsia="Calibri"/>
                <w:color w:val="000000"/>
                <w:sz w:val="22"/>
              </w:rPr>
            </w:pPr>
          </w:p>
        </w:tc>
        <w:tc>
          <w:tcPr>
            <w:tcW w:w="2829"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5FD7" w:rsidRDefault="002F4714" w:rsidP="00CF4B4F">
            <w:pPr>
              <w:autoSpaceDE w:val="0"/>
              <w:autoSpaceDN w:val="0"/>
              <w:adjustRightInd w:val="0"/>
              <w:rPr>
                <w:rFonts w:eastAsia="Calibri"/>
                <w:b/>
                <w:color w:val="000000"/>
                <w:sz w:val="22"/>
              </w:rPr>
            </w:pPr>
            <w:r w:rsidRPr="00B75FD7">
              <w:rPr>
                <w:rFonts w:eastAsia="Calibri"/>
                <w:b/>
                <w:color w:val="000000"/>
                <w:sz w:val="22"/>
              </w:rPr>
              <w:t>Ціль проекту</w:t>
            </w:r>
          </w:p>
        </w:tc>
        <w:tc>
          <w:tcPr>
            <w:tcW w:w="7008" w:type="dxa"/>
            <w:gridSpan w:val="8"/>
            <w:tcBorders>
              <w:top w:val="single" w:sz="6" w:space="0" w:color="auto"/>
              <w:left w:val="single" w:sz="6" w:space="0" w:color="auto"/>
              <w:bottom w:val="single" w:sz="6" w:space="0" w:color="auto"/>
              <w:right w:val="single" w:sz="6" w:space="0" w:color="auto"/>
            </w:tcBorders>
          </w:tcPr>
          <w:p w:rsidR="002F4714" w:rsidRPr="00B75FD7" w:rsidRDefault="002F4714" w:rsidP="00CF4B4F">
            <w:pPr>
              <w:rPr>
                <w:rFonts w:eastAsia="Calibri"/>
                <w:color w:val="000000" w:themeColor="text1"/>
                <w:sz w:val="22"/>
              </w:rPr>
            </w:pPr>
            <w:r w:rsidRPr="00B75FD7">
              <w:rPr>
                <w:sz w:val="22"/>
              </w:rPr>
              <w:t>Створення умов для повноцінного і всебічного розвитку дітей дошкільного віку, забезпечення реалізації права дитини на здобуття дошкільної освіти, її фізичний, розумовий і духовний розвиток, соціальну адаптацію, створення комфортних та безпечних умов здобуття дошкільної освіти, розвитку, виховання та навчання дітей, відповідно до санітарно-гігієнічних вимог</w:t>
            </w:r>
          </w:p>
        </w:tc>
      </w:tr>
      <w:tr w:rsidR="002F4714" w:rsidRPr="00B75FD7" w:rsidTr="00C40719">
        <w:trPr>
          <w:trHeight w:val="290"/>
        </w:trPr>
        <w:tc>
          <w:tcPr>
            <w:tcW w:w="1446" w:type="dxa"/>
            <w:tcBorders>
              <w:top w:val="nil"/>
              <w:left w:val="nil"/>
              <w:bottom w:val="nil"/>
              <w:right w:val="nil"/>
            </w:tcBorders>
          </w:tcPr>
          <w:p w:rsidR="002F4714" w:rsidRPr="00B75FD7" w:rsidRDefault="002F4714" w:rsidP="00CF4B4F">
            <w:pPr>
              <w:autoSpaceDE w:val="0"/>
              <w:autoSpaceDN w:val="0"/>
              <w:adjustRightInd w:val="0"/>
              <w:jc w:val="right"/>
              <w:rPr>
                <w:rFonts w:eastAsia="Calibri"/>
                <w:color w:val="000000"/>
                <w:sz w:val="22"/>
              </w:rPr>
            </w:pPr>
          </w:p>
        </w:tc>
        <w:tc>
          <w:tcPr>
            <w:tcW w:w="2829"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5FD7" w:rsidRDefault="002F4714" w:rsidP="00CF4B4F">
            <w:pPr>
              <w:autoSpaceDE w:val="0"/>
              <w:autoSpaceDN w:val="0"/>
              <w:adjustRightInd w:val="0"/>
              <w:rPr>
                <w:rFonts w:eastAsia="Calibri"/>
                <w:b/>
                <w:color w:val="000000"/>
                <w:sz w:val="22"/>
              </w:rPr>
            </w:pPr>
            <w:r w:rsidRPr="00B75FD7">
              <w:rPr>
                <w:rFonts w:eastAsia="Calibri"/>
                <w:b/>
                <w:color w:val="000000"/>
                <w:sz w:val="22"/>
              </w:rPr>
              <w:t>Територія, на яку матиме вплив реалізація проекту</w:t>
            </w:r>
          </w:p>
        </w:tc>
        <w:tc>
          <w:tcPr>
            <w:tcW w:w="7008" w:type="dxa"/>
            <w:gridSpan w:val="8"/>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color w:val="000000" w:themeColor="text1"/>
                <w:sz w:val="22"/>
              </w:rPr>
            </w:pPr>
            <w:r w:rsidRPr="00B75FD7">
              <w:rPr>
                <w:rFonts w:eastAsia="Calibri"/>
                <w:color w:val="000000" w:themeColor="text1"/>
                <w:sz w:val="22"/>
              </w:rPr>
              <w:t>Сєвєродонецька міська територіальна громада</w:t>
            </w:r>
          </w:p>
        </w:tc>
      </w:tr>
      <w:tr w:rsidR="002F4714" w:rsidRPr="00B75FD7" w:rsidTr="00C40719">
        <w:trPr>
          <w:trHeight w:val="846"/>
        </w:trPr>
        <w:tc>
          <w:tcPr>
            <w:tcW w:w="1446" w:type="dxa"/>
            <w:tcBorders>
              <w:top w:val="nil"/>
              <w:left w:val="nil"/>
              <w:bottom w:val="nil"/>
              <w:right w:val="nil"/>
            </w:tcBorders>
          </w:tcPr>
          <w:p w:rsidR="002F4714" w:rsidRPr="00B75FD7" w:rsidRDefault="002F4714" w:rsidP="00CF4B4F">
            <w:pPr>
              <w:autoSpaceDE w:val="0"/>
              <w:autoSpaceDN w:val="0"/>
              <w:adjustRightInd w:val="0"/>
              <w:jc w:val="right"/>
              <w:rPr>
                <w:rFonts w:eastAsia="Calibri"/>
                <w:color w:val="000000"/>
                <w:sz w:val="22"/>
              </w:rPr>
            </w:pPr>
          </w:p>
        </w:tc>
        <w:tc>
          <w:tcPr>
            <w:tcW w:w="2829"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5FD7" w:rsidRDefault="002F4714" w:rsidP="00CF4B4F">
            <w:pPr>
              <w:autoSpaceDE w:val="0"/>
              <w:autoSpaceDN w:val="0"/>
              <w:adjustRightInd w:val="0"/>
              <w:rPr>
                <w:rFonts w:eastAsia="Calibri"/>
                <w:b/>
                <w:color w:val="000000"/>
                <w:sz w:val="22"/>
              </w:rPr>
            </w:pPr>
            <w:r w:rsidRPr="00B75FD7">
              <w:rPr>
                <w:rFonts w:eastAsia="Calibri"/>
                <w:b/>
                <w:color w:val="000000"/>
                <w:sz w:val="22"/>
              </w:rPr>
              <w:t>Чисельність населення, на яке матиме вплив реалізація проекту</w:t>
            </w:r>
          </w:p>
        </w:tc>
        <w:tc>
          <w:tcPr>
            <w:tcW w:w="7008" w:type="dxa"/>
            <w:gridSpan w:val="8"/>
            <w:tcBorders>
              <w:top w:val="single" w:sz="6" w:space="0" w:color="auto"/>
              <w:left w:val="single" w:sz="6" w:space="0" w:color="auto"/>
              <w:bottom w:val="single" w:sz="6" w:space="0" w:color="auto"/>
              <w:right w:val="single" w:sz="6" w:space="0" w:color="auto"/>
            </w:tcBorders>
          </w:tcPr>
          <w:p w:rsidR="002F4714" w:rsidRPr="00B75FD7" w:rsidRDefault="002F4714" w:rsidP="00CF4B4F">
            <w:pPr>
              <w:rPr>
                <w:color w:val="000000" w:themeColor="text1"/>
                <w:sz w:val="22"/>
              </w:rPr>
            </w:pPr>
            <w:r w:rsidRPr="00B75FD7">
              <w:rPr>
                <w:color w:val="000000" w:themeColor="text1"/>
                <w:sz w:val="22"/>
              </w:rPr>
              <w:t>70 000 осіб</w:t>
            </w:r>
          </w:p>
          <w:p w:rsidR="002F4714" w:rsidRPr="00B75FD7" w:rsidRDefault="002F4714" w:rsidP="00CF4B4F">
            <w:pPr>
              <w:autoSpaceDE w:val="0"/>
              <w:autoSpaceDN w:val="0"/>
              <w:adjustRightInd w:val="0"/>
              <w:rPr>
                <w:rFonts w:eastAsia="Calibri"/>
                <w:color w:val="000000" w:themeColor="text1"/>
                <w:sz w:val="22"/>
              </w:rPr>
            </w:pPr>
          </w:p>
        </w:tc>
      </w:tr>
      <w:tr w:rsidR="002F4714" w:rsidRPr="00B75FD7" w:rsidTr="00C40719">
        <w:trPr>
          <w:trHeight w:val="1148"/>
        </w:trPr>
        <w:tc>
          <w:tcPr>
            <w:tcW w:w="1446" w:type="dxa"/>
            <w:tcBorders>
              <w:top w:val="nil"/>
              <w:left w:val="nil"/>
              <w:bottom w:val="nil"/>
              <w:right w:val="nil"/>
            </w:tcBorders>
          </w:tcPr>
          <w:p w:rsidR="002F4714" w:rsidRPr="00B75FD7" w:rsidRDefault="002F4714" w:rsidP="00CF4B4F">
            <w:pPr>
              <w:autoSpaceDE w:val="0"/>
              <w:autoSpaceDN w:val="0"/>
              <w:adjustRightInd w:val="0"/>
              <w:jc w:val="right"/>
              <w:rPr>
                <w:rFonts w:eastAsia="Calibri"/>
                <w:color w:val="000000"/>
                <w:sz w:val="22"/>
              </w:rPr>
            </w:pPr>
          </w:p>
        </w:tc>
        <w:tc>
          <w:tcPr>
            <w:tcW w:w="2829"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5FD7" w:rsidRDefault="002F4714" w:rsidP="00CF4B4F">
            <w:pPr>
              <w:autoSpaceDE w:val="0"/>
              <w:autoSpaceDN w:val="0"/>
              <w:adjustRightInd w:val="0"/>
              <w:rPr>
                <w:rFonts w:eastAsia="Calibri"/>
                <w:b/>
                <w:color w:val="000000"/>
                <w:sz w:val="22"/>
              </w:rPr>
            </w:pPr>
            <w:r w:rsidRPr="00B75FD7">
              <w:rPr>
                <w:rFonts w:eastAsia="Calibri"/>
                <w:b/>
                <w:color w:val="000000"/>
                <w:sz w:val="22"/>
              </w:rPr>
              <w:t>Опис проблеми, на вирішення якої спрямований проект</w:t>
            </w:r>
          </w:p>
        </w:tc>
        <w:tc>
          <w:tcPr>
            <w:tcW w:w="7008" w:type="dxa"/>
            <w:gridSpan w:val="8"/>
            <w:tcBorders>
              <w:top w:val="single" w:sz="6" w:space="0" w:color="auto"/>
              <w:left w:val="single" w:sz="6" w:space="0" w:color="auto"/>
              <w:bottom w:val="single" w:sz="6" w:space="0" w:color="auto"/>
              <w:right w:val="single" w:sz="6" w:space="0" w:color="auto"/>
            </w:tcBorders>
          </w:tcPr>
          <w:p w:rsidR="002F4714" w:rsidRPr="00B75FD7" w:rsidRDefault="002F4714" w:rsidP="00CF4B4F">
            <w:pPr>
              <w:rPr>
                <w:rFonts w:eastAsia="Calibri"/>
                <w:color w:val="000000"/>
                <w:sz w:val="22"/>
              </w:rPr>
            </w:pPr>
            <w:r w:rsidRPr="00B75FD7">
              <w:rPr>
                <w:rFonts w:eastAsia="Calibri"/>
                <w:color w:val="000000"/>
                <w:sz w:val="22"/>
              </w:rPr>
              <w:t>Виховання дитини є справою всього суспільства, що має не тільки визнавати право дитини на щасливе дитинство, а й створювати для цього реальні умови. У зв'язку з війною знищено всю матеріально-технічну базу  Ясел- садка. Плануються різні заходи для вирішення цього питання.</w:t>
            </w:r>
          </w:p>
          <w:p w:rsidR="002F4714" w:rsidRPr="00B75FD7" w:rsidRDefault="002F4714" w:rsidP="00CF4B4F">
            <w:pPr>
              <w:rPr>
                <w:rFonts w:eastAsia="Calibri"/>
                <w:color w:val="000000" w:themeColor="text1"/>
                <w:sz w:val="22"/>
              </w:rPr>
            </w:pPr>
          </w:p>
        </w:tc>
      </w:tr>
      <w:tr w:rsidR="002F4714" w:rsidRPr="00B75FD7" w:rsidTr="00C40719">
        <w:trPr>
          <w:trHeight w:val="1265"/>
        </w:trPr>
        <w:tc>
          <w:tcPr>
            <w:tcW w:w="1446" w:type="dxa"/>
            <w:tcBorders>
              <w:top w:val="nil"/>
              <w:left w:val="nil"/>
              <w:bottom w:val="nil"/>
              <w:right w:val="nil"/>
            </w:tcBorders>
          </w:tcPr>
          <w:p w:rsidR="002F4714" w:rsidRPr="00B75FD7" w:rsidRDefault="002F4714" w:rsidP="00CF4B4F">
            <w:pPr>
              <w:autoSpaceDE w:val="0"/>
              <w:autoSpaceDN w:val="0"/>
              <w:adjustRightInd w:val="0"/>
              <w:jc w:val="right"/>
              <w:rPr>
                <w:rFonts w:eastAsia="Calibri"/>
                <w:color w:val="000000"/>
                <w:sz w:val="22"/>
              </w:rPr>
            </w:pPr>
          </w:p>
        </w:tc>
        <w:tc>
          <w:tcPr>
            <w:tcW w:w="2829"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5FD7" w:rsidRDefault="002F4714" w:rsidP="00CF4B4F">
            <w:pPr>
              <w:autoSpaceDE w:val="0"/>
              <w:autoSpaceDN w:val="0"/>
              <w:adjustRightInd w:val="0"/>
              <w:rPr>
                <w:rFonts w:eastAsia="Calibri"/>
                <w:b/>
                <w:color w:val="000000"/>
                <w:sz w:val="22"/>
              </w:rPr>
            </w:pPr>
            <w:r w:rsidRPr="00B75FD7">
              <w:rPr>
                <w:rFonts w:eastAsia="Calibri"/>
                <w:b/>
                <w:color w:val="000000"/>
                <w:sz w:val="22"/>
              </w:rPr>
              <w:t>Очікувані якісні результати від реалізації проекту</w:t>
            </w:r>
          </w:p>
        </w:tc>
        <w:tc>
          <w:tcPr>
            <w:tcW w:w="7008" w:type="dxa"/>
            <w:gridSpan w:val="8"/>
            <w:tcBorders>
              <w:top w:val="single" w:sz="6" w:space="0" w:color="auto"/>
              <w:left w:val="single" w:sz="6" w:space="0" w:color="auto"/>
              <w:bottom w:val="single" w:sz="6" w:space="0" w:color="auto"/>
              <w:right w:val="single" w:sz="6" w:space="0" w:color="auto"/>
            </w:tcBorders>
          </w:tcPr>
          <w:p w:rsidR="002F4714" w:rsidRPr="00B75FD7" w:rsidRDefault="002F4714" w:rsidP="00F118D7">
            <w:pPr>
              <w:rPr>
                <w:color w:val="000000" w:themeColor="text1"/>
                <w:sz w:val="22"/>
              </w:rPr>
            </w:pPr>
            <w:r w:rsidRPr="00B75FD7">
              <w:rPr>
                <w:rFonts w:eastAsia="Calibri"/>
                <w:sz w:val="22"/>
              </w:rPr>
              <w:t>Створити матеріально-технічну базу дошкільного навчального закладу на достатньому рівні</w:t>
            </w:r>
            <w:r w:rsidR="00F118D7" w:rsidRPr="00B75FD7">
              <w:rPr>
                <w:rFonts w:eastAsia="Calibri"/>
                <w:sz w:val="22"/>
              </w:rPr>
              <w:t>.</w:t>
            </w:r>
            <w:r w:rsidRPr="00B75FD7">
              <w:rPr>
                <w:sz w:val="22"/>
              </w:rPr>
              <w:t xml:space="preserve"> Для повноцінного і всебічного розвитку дітей дошкільного віку, забезпечення реалізації права дитини на здобуття дошкільної освіти, її фізичний, розумовий і духовний розвиток, соціальну адаптацію, створення комфортних та безпечних умов здобуття дошкільної освіти, розвит</w:t>
            </w:r>
            <w:r w:rsidR="00F118D7" w:rsidRPr="00B75FD7">
              <w:rPr>
                <w:sz w:val="22"/>
              </w:rPr>
              <w:t>ку, виховання та навчання дітей</w:t>
            </w:r>
            <w:r w:rsidRPr="00B75FD7">
              <w:rPr>
                <w:sz w:val="22"/>
              </w:rPr>
              <w:t xml:space="preserve"> відповідно до санітарно-гігієнічних вимог</w:t>
            </w:r>
          </w:p>
        </w:tc>
      </w:tr>
      <w:tr w:rsidR="002F4714" w:rsidRPr="00B75FD7" w:rsidTr="00C40719">
        <w:trPr>
          <w:gridAfter w:val="1"/>
          <w:wAfter w:w="54" w:type="dxa"/>
          <w:trHeight w:val="581"/>
        </w:trPr>
        <w:tc>
          <w:tcPr>
            <w:tcW w:w="1446" w:type="dxa"/>
            <w:tcBorders>
              <w:top w:val="nil"/>
              <w:left w:val="nil"/>
              <w:bottom w:val="nil"/>
              <w:right w:val="nil"/>
            </w:tcBorders>
          </w:tcPr>
          <w:p w:rsidR="002F4714" w:rsidRPr="00B75FD7" w:rsidRDefault="002F4714" w:rsidP="00CF4B4F">
            <w:pPr>
              <w:autoSpaceDE w:val="0"/>
              <w:autoSpaceDN w:val="0"/>
              <w:adjustRightInd w:val="0"/>
              <w:jc w:val="right"/>
              <w:rPr>
                <w:rFonts w:eastAsia="Calibri"/>
                <w:color w:val="000000"/>
                <w:sz w:val="22"/>
              </w:rPr>
            </w:pPr>
          </w:p>
        </w:tc>
        <w:tc>
          <w:tcPr>
            <w:tcW w:w="2829"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5FD7" w:rsidRDefault="002F4714" w:rsidP="00CF4B4F">
            <w:pPr>
              <w:autoSpaceDE w:val="0"/>
              <w:autoSpaceDN w:val="0"/>
              <w:adjustRightInd w:val="0"/>
              <w:rPr>
                <w:rFonts w:eastAsia="Calibri"/>
                <w:b/>
                <w:color w:val="000000"/>
                <w:sz w:val="22"/>
              </w:rPr>
            </w:pPr>
            <w:r w:rsidRPr="00B75FD7">
              <w:rPr>
                <w:rFonts w:eastAsia="Calibri"/>
                <w:b/>
                <w:color w:val="000000"/>
                <w:sz w:val="22"/>
              </w:rPr>
              <w:t>Очікувані кількісні результати від реалізації проекту  (індикатори)</w:t>
            </w:r>
          </w:p>
        </w:tc>
        <w:tc>
          <w:tcPr>
            <w:tcW w:w="4113" w:type="dxa"/>
            <w:gridSpan w:val="4"/>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b/>
                <w:color w:val="000000" w:themeColor="text1"/>
                <w:sz w:val="22"/>
              </w:rPr>
            </w:pPr>
            <w:r w:rsidRPr="00B75FD7">
              <w:rPr>
                <w:rFonts w:eastAsia="Calibri"/>
                <w:b/>
                <w:color w:val="000000" w:themeColor="text1"/>
                <w:sz w:val="22"/>
              </w:rPr>
              <w:t>Найменування показника</w:t>
            </w:r>
          </w:p>
        </w:tc>
        <w:tc>
          <w:tcPr>
            <w:tcW w:w="1559" w:type="dxa"/>
            <w:gridSpan w:val="2"/>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b/>
                <w:color w:val="000000" w:themeColor="text1"/>
                <w:sz w:val="22"/>
              </w:rPr>
            </w:pPr>
            <w:r w:rsidRPr="00B75FD7">
              <w:rPr>
                <w:rFonts w:eastAsia="Calibri"/>
                <w:b/>
                <w:color w:val="000000" w:themeColor="text1"/>
                <w:sz w:val="22"/>
              </w:rPr>
              <w:t>Одиниця вимірювання</w:t>
            </w:r>
          </w:p>
        </w:tc>
        <w:tc>
          <w:tcPr>
            <w:tcW w:w="1282" w:type="dxa"/>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b/>
                <w:color w:val="000000" w:themeColor="text1"/>
                <w:sz w:val="22"/>
              </w:rPr>
            </w:pPr>
            <w:r w:rsidRPr="00B75FD7">
              <w:rPr>
                <w:rFonts w:eastAsia="Calibri"/>
                <w:b/>
                <w:color w:val="000000" w:themeColor="text1"/>
                <w:sz w:val="22"/>
              </w:rPr>
              <w:t>Прогнозне (цільове) значення</w:t>
            </w:r>
          </w:p>
        </w:tc>
      </w:tr>
      <w:tr w:rsidR="00C40719" w:rsidRPr="00B75FD7" w:rsidTr="00C40719">
        <w:trPr>
          <w:gridAfter w:val="1"/>
          <w:wAfter w:w="54" w:type="dxa"/>
          <w:trHeight w:val="53"/>
        </w:trPr>
        <w:tc>
          <w:tcPr>
            <w:tcW w:w="1446" w:type="dxa"/>
            <w:tcBorders>
              <w:top w:val="nil"/>
              <w:left w:val="nil"/>
              <w:bottom w:val="nil"/>
              <w:right w:val="nil"/>
            </w:tcBorders>
          </w:tcPr>
          <w:p w:rsidR="00C40719" w:rsidRPr="00B75FD7" w:rsidRDefault="00C40719" w:rsidP="00C40719">
            <w:pPr>
              <w:autoSpaceDE w:val="0"/>
              <w:autoSpaceDN w:val="0"/>
              <w:adjustRightInd w:val="0"/>
              <w:jc w:val="right"/>
              <w:rPr>
                <w:rFonts w:eastAsia="Calibri"/>
                <w:color w:val="000000"/>
                <w:sz w:val="22"/>
              </w:rPr>
            </w:pPr>
          </w:p>
        </w:tc>
        <w:tc>
          <w:tcPr>
            <w:tcW w:w="2829"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40719" w:rsidRPr="00B75FD7" w:rsidRDefault="00C40719" w:rsidP="00C40719">
            <w:pPr>
              <w:autoSpaceDE w:val="0"/>
              <w:autoSpaceDN w:val="0"/>
              <w:adjustRightInd w:val="0"/>
              <w:rPr>
                <w:rFonts w:eastAsia="Calibri"/>
                <w:b/>
                <w:color w:val="000000"/>
                <w:sz w:val="22"/>
              </w:rPr>
            </w:pPr>
          </w:p>
        </w:tc>
        <w:tc>
          <w:tcPr>
            <w:tcW w:w="4113" w:type="dxa"/>
            <w:gridSpan w:val="4"/>
            <w:tcBorders>
              <w:top w:val="single" w:sz="6" w:space="0" w:color="auto"/>
              <w:left w:val="single" w:sz="6" w:space="0" w:color="auto"/>
              <w:bottom w:val="single" w:sz="6" w:space="0" w:color="auto"/>
              <w:right w:val="single" w:sz="6" w:space="0" w:color="auto"/>
            </w:tcBorders>
          </w:tcPr>
          <w:p w:rsidR="00C40719" w:rsidRPr="00B75FD7" w:rsidRDefault="00C40719" w:rsidP="00C40719">
            <w:pPr>
              <w:rPr>
                <w:rFonts w:eastAsia="Calibri"/>
                <w:b/>
                <w:sz w:val="22"/>
              </w:rPr>
            </w:pPr>
            <w:r w:rsidRPr="00B75FD7">
              <w:rPr>
                <w:rFonts w:eastAsia="Calibri"/>
                <w:b/>
                <w:sz w:val="22"/>
              </w:rPr>
              <w:t xml:space="preserve"> </w:t>
            </w:r>
          </w:p>
          <w:p w:rsidR="00C40719" w:rsidRPr="00B75FD7" w:rsidRDefault="00C40719" w:rsidP="00C40719">
            <w:pPr>
              <w:rPr>
                <w:rFonts w:eastAsia="Calibri"/>
                <w:sz w:val="22"/>
              </w:rPr>
            </w:pPr>
            <w:r w:rsidRPr="00B75FD7">
              <w:rPr>
                <w:rFonts w:eastAsia="Calibri"/>
                <w:sz w:val="22"/>
              </w:rPr>
              <w:t>Меблі</w:t>
            </w:r>
          </w:p>
          <w:p w:rsidR="00C40719" w:rsidRPr="00B75FD7" w:rsidRDefault="00C40719" w:rsidP="00C40719">
            <w:pPr>
              <w:rPr>
                <w:rFonts w:eastAsia="Calibri"/>
                <w:sz w:val="22"/>
              </w:rPr>
            </w:pPr>
          </w:p>
          <w:p w:rsidR="00C40719" w:rsidRPr="00B75FD7" w:rsidRDefault="00C40719" w:rsidP="00C40719">
            <w:pPr>
              <w:rPr>
                <w:rFonts w:eastAsia="Calibri"/>
                <w:color w:val="000000"/>
                <w:sz w:val="22"/>
              </w:rPr>
            </w:pPr>
            <w:r w:rsidRPr="00B75FD7">
              <w:rPr>
                <w:rFonts w:eastAsia="Calibri"/>
                <w:color w:val="000000"/>
                <w:sz w:val="22"/>
              </w:rPr>
              <w:t>спальні приладдя:</w:t>
            </w:r>
          </w:p>
          <w:p w:rsidR="00C40719" w:rsidRPr="00B75FD7" w:rsidRDefault="00C40719" w:rsidP="00C40719">
            <w:pPr>
              <w:rPr>
                <w:rFonts w:eastAsia="Calibri"/>
                <w:color w:val="000000"/>
                <w:sz w:val="22"/>
              </w:rPr>
            </w:pPr>
          </w:p>
          <w:p w:rsidR="00C40719" w:rsidRPr="00B75FD7" w:rsidRDefault="00C40719" w:rsidP="00C40719">
            <w:pPr>
              <w:rPr>
                <w:rFonts w:eastAsia="Calibri"/>
                <w:color w:val="000000"/>
                <w:sz w:val="22"/>
              </w:rPr>
            </w:pPr>
            <w:r w:rsidRPr="00B75FD7">
              <w:rPr>
                <w:rFonts w:eastAsia="Calibri"/>
                <w:color w:val="000000"/>
                <w:sz w:val="22"/>
              </w:rPr>
              <w:t xml:space="preserve">меблі для </w:t>
            </w:r>
            <w:proofErr w:type="spellStart"/>
            <w:r w:rsidRPr="00B75FD7">
              <w:rPr>
                <w:rFonts w:eastAsia="Calibri"/>
                <w:color w:val="000000"/>
                <w:sz w:val="22"/>
              </w:rPr>
              <w:t>партомийні</w:t>
            </w:r>
            <w:proofErr w:type="spellEnd"/>
          </w:p>
          <w:p w:rsidR="00C40719" w:rsidRPr="00B75FD7" w:rsidRDefault="00C40719" w:rsidP="00C40719">
            <w:pPr>
              <w:rPr>
                <w:rFonts w:eastAsia="Calibri"/>
                <w:color w:val="000000"/>
                <w:sz w:val="22"/>
              </w:rPr>
            </w:pPr>
          </w:p>
          <w:p w:rsidR="00C40719" w:rsidRPr="00B75FD7" w:rsidRDefault="00C40719" w:rsidP="00C40719">
            <w:pPr>
              <w:rPr>
                <w:rFonts w:eastAsia="Calibri"/>
                <w:color w:val="000000"/>
                <w:sz w:val="22"/>
              </w:rPr>
            </w:pPr>
            <w:r w:rsidRPr="00B75FD7">
              <w:rPr>
                <w:rFonts w:eastAsia="Calibri"/>
                <w:color w:val="000000"/>
                <w:sz w:val="22"/>
              </w:rPr>
              <w:t>посуд</w:t>
            </w:r>
          </w:p>
          <w:p w:rsidR="00C40719" w:rsidRPr="00B75FD7" w:rsidRDefault="00C40719" w:rsidP="00C40719">
            <w:pPr>
              <w:rPr>
                <w:rFonts w:eastAsia="Calibri"/>
                <w:color w:val="000000"/>
                <w:sz w:val="22"/>
              </w:rPr>
            </w:pPr>
          </w:p>
          <w:p w:rsidR="00C40719" w:rsidRPr="00B75FD7" w:rsidRDefault="00C40719" w:rsidP="00C40719">
            <w:pPr>
              <w:rPr>
                <w:rFonts w:eastAsia="Calibri"/>
                <w:color w:val="000000"/>
                <w:sz w:val="22"/>
              </w:rPr>
            </w:pPr>
            <w:r w:rsidRPr="00B75FD7">
              <w:rPr>
                <w:rFonts w:eastAsia="Calibri"/>
                <w:color w:val="000000"/>
                <w:sz w:val="22"/>
              </w:rPr>
              <w:t>водонагрівач</w:t>
            </w:r>
          </w:p>
          <w:p w:rsidR="00C40719" w:rsidRPr="00B75FD7" w:rsidRDefault="00C40719" w:rsidP="00C40719">
            <w:pPr>
              <w:rPr>
                <w:rFonts w:eastAsia="Calibri"/>
                <w:color w:val="000000"/>
                <w:sz w:val="22"/>
              </w:rPr>
            </w:pPr>
          </w:p>
          <w:p w:rsidR="00C40719" w:rsidRPr="00B75FD7" w:rsidRDefault="00C40719" w:rsidP="00C40719">
            <w:pPr>
              <w:rPr>
                <w:rFonts w:eastAsia="Calibri"/>
                <w:color w:val="000000"/>
                <w:sz w:val="22"/>
              </w:rPr>
            </w:pPr>
            <w:r w:rsidRPr="00B75FD7">
              <w:rPr>
                <w:rFonts w:eastAsia="Calibri"/>
                <w:color w:val="000000"/>
                <w:sz w:val="22"/>
              </w:rPr>
              <w:t>обладнання санвузол</w:t>
            </w:r>
          </w:p>
          <w:p w:rsidR="00C40719" w:rsidRPr="00B75FD7" w:rsidRDefault="00C40719" w:rsidP="00C40719">
            <w:pPr>
              <w:rPr>
                <w:rFonts w:eastAsia="Calibri"/>
                <w:color w:val="000000"/>
                <w:sz w:val="22"/>
              </w:rPr>
            </w:pPr>
          </w:p>
          <w:p w:rsidR="00C40719" w:rsidRPr="00B75FD7" w:rsidRDefault="00C40719" w:rsidP="00C40719">
            <w:pPr>
              <w:rPr>
                <w:rFonts w:eastAsia="Calibri"/>
                <w:color w:val="000000" w:themeColor="text1"/>
                <w:sz w:val="22"/>
              </w:rPr>
            </w:pPr>
            <w:r w:rsidRPr="00B75FD7">
              <w:rPr>
                <w:rFonts w:eastAsia="Calibri"/>
                <w:color w:val="000000" w:themeColor="text1"/>
                <w:sz w:val="22"/>
              </w:rPr>
              <w:t>кухонне обладнання</w:t>
            </w:r>
          </w:p>
          <w:p w:rsidR="00C40719" w:rsidRPr="00B75FD7" w:rsidRDefault="00C40719" w:rsidP="00C40719">
            <w:pPr>
              <w:rPr>
                <w:rFonts w:eastAsia="Calibri"/>
                <w:color w:val="000000" w:themeColor="text1"/>
                <w:sz w:val="22"/>
              </w:rPr>
            </w:pPr>
          </w:p>
          <w:p w:rsidR="00C40719" w:rsidRPr="00B75FD7" w:rsidRDefault="00C40719" w:rsidP="00C40719">
            <w:pPr>
              <w:rPr>
                <w:rFonts w:eastAsia="Calibri"/>
                <w:color w:val="000000" w:themeColor="text1"/>
                <w:sz w:val="22"/>
              </w:rPr>
            </w:pPr>
            <w:r w:rsidRPr="00B75FD7">
              <w:rPr>
                <w:rFonts w:eastAsia="Calibri"/>
                <w:color w:val="000000" w:themeColor="text1"/>
                <w:sz w:val="22"/>
              </w:rPr>
              <w:t>посуд</w:t>
            </w:r>
          </w:p>
          <w:p w:rsidR="00C40719" w:rsidRPr="00B75FD7" w:rsidRDefault="00C40719" w:rsidP="00C40719">
            <w:pPr>
              <w:rPr>
                <w:rFonts w:eastAsia="Calibri"/>
                <w:color w:val="000000" w:themeColor="text1"/>
                <w:sz w:val="22"/>
              </w:rPr>
            </w:pPr>
          </w:p>
          <w:p w:rsidR="00C40719" w:rsidRPr="00B75FD7" w:rsidRDefault="00C40719" w:rsidP="00C40719">
            <w:pPr>
              <w:rPr>
                <w:rFonts w:eastAsia="Calibri"/>
                <w:color w:val="000000" w:themeColor="text1"/>
                <w:sz w:val="22"/>
              </w:rPr>
            </w:pPr>
            <w:r w:rsidRPr="00B75FD7">
              <w:rPr>
                <w:rFonts w:eastAsia="Calibri"/>
                <w:color w:val="000000" w:themeColor="text1"/>
                <w:sz w:val="22"/>
              </w:rPr>
              <w:t>обладнання для пральні</w:t>
            </w:r>
          </w:p>
          <w:p w:rsidR="00C40719" w:rsidRPr="00B75FD7" w:rsidRDefault="00C40719" w:rsidP="00C40719">
            <w:pPr>
              <w:rPr>
                <w:rFonts w:eastAsia="Calibri"/>
                <w:color w:val="000000" w:themeColor="text1"/>
                <w:sz w:val="22"/>
              </w:rPr>
            </w:pPr>
          </w:p>
          <w:p w:rsidR="00C40719" w:rsidRPr="00B75FD7" w:rsidRDefault="00C40719" w:rsidP="00C40719">
            <w:pPr>
              <w:rPr>
                <w:rFonts w:eastAsia="Calibri"/>
                <w:b/>
                <w:color w:val="000000" w:themeColor="text1"/>
                <w:sz w:val="22"/>
              </w:rPr>
            </w:pPr>
            <w:r w:rsidRPr="00B75FD7">
              <w:rPr>
                <w:rFonts w:eastAsia="Calibri"/>
                <w:color w:val="000000" w:themeColor="text1"/>
                <w:sz w:val="22"/>
              </w:rPr>
              <w:t>обладнання музичної зали</w:t>
            </w:r>
          </w:p>
        </w:tc>
        <w:tc>
          <w:tcPr>
            <w:tcW w:w="1559" w:type="dxa"/>
            <w:gridSpan w:val="2"/>
            <w:tcBorders>
              <w:top w:val="single" w:sz="6" w:space="0" w:color="auto"/>
              <w:left w:val="single" w:sz="6" w:space="0" w:color="auto"/>
              <w:bottom w:val="single" w:sz="6" w:space="0" w:color="auto"/>
              <w:right w:val="single" w:sz="6" w:space="0" w:color="auto"/>
            </w:tcBorders>
          </w:tcPr>
          <w:p w:rsidR="00C40719" w:rsidRPr="00B75FD7" w:rsidRDefault="00C40719" w:rsidP="00C40719">
            <w:pPr>
              <w:rPr>
                <w:color w:val="000000" w:themeColor="text1"/>
                <w:sz w:val="22"/>
              </w:rPr>
            </w:pPr>
          </w:p>
          <w:p w:rsidR="00C40719" w:rsidRPr="00B75FD7" w:rsidRDefault="00C40719" w:rsidP="00C40719">
            <w:pPr>
              <w:rPr>
                <w:color w:val="000000" w:themeColor="text1"/>
                <w:sz w:val="22"/>
              </w:rPr>
            </w:pPr>
            <w:r w:rsidRPr="00B75FD7">
              <w:rPr>
                <w:color w:val="000000" w:themeColor="text1"/>
                <w:sz w:val="22"/>
              </w:rPr>
              <w:t>одиниць</w:t>
            </w:r>
          </w:p>
          <w:p w:rsidR="00C40719" w:rsidRPr="00B75FD7" w:rsidRDefault="00C40719" w:rsidP="00C40719">
            <w:pPr>
              <w:rPr>
                <w:color w:val="000000" w:themeColor="text1"/>
                <w:sz w:val="22"/>
              </w:rPr>
            </w:pPr>
          </w:p>
          <w:p w:rsidR="00C40719" w:rsidRPr="00B75FD7" w:rsidRDefault="00C40719" w:rsidP="00C40719">
            <w:pPr>
              <w:rPr>
                <w:color w:val="000000" w:themeColor="text1"/>
                <w:sz w:val="22"/>
              </w:rPr>
            </w:pPr>
            <w:r w:rsidRPr="00B75FD7">
              <w:rPr>
                <w:color w:val="000000" w:themeColor="text1"/>
                <w:sz w:val="22"/>
              </w:rPr>
              <w:t>одиниць</w:t>
            </w:r>
          </w:p>
          <w:p w:rsidR="00C40719" w:rsidRPr="00B75FD7" w:rsidRDefault="00C40719" w:rsidP="00C40719">
            <w:pPr>
              <w:autoSpaceDE w:val="0"/>
              <w:autoSpaceDN w:val="0"/>
              <w:adjustRightInd w:val="0"/>
              <w:rPr>
                <w:rFonts w:eastAsia="Calibri"/>
                <w:color w:val="000000" w:themeColor="text1"/>
                <w:sz w:val="22"/>
              </w:rPr>
            </w:pPr>
          </w:p>
          <w:p w:rsidR="00C40719" w:rsidRPr="00B75FD7" w:rsidRDefault="00C40719" w:rsidP="00C40719">
            <w:pPr>
              <w:rPr>
                <w:color w:val="000000" w:themeColor="text1"/>
                <w:sz w:val="22"/>
              </w:rPr>
            </w:pPr>
            <w:r w:rsidRPr="00B75FD7">
              <w:rPr>
                <w:color w:val="000000" w:themeColor="text1"/>
                <w:sz w:val="22"/>
              </w:rPr>
              <w:t>одиниць</w:t>
            </w:r>
          </w:p>
          <w:p w:rsidR="00C40719" w:rsidRPr="00B75FD7" w:rsidRDefault="00C40719" w:rsidP="00C40719">
            <w:pPr>
              <w:rPr>
                <w:color w:val="000000" w:themeColor="text1"/>
                <w:sz w:val="22"/>
              </w:rPr>
            </w:pPr>
          </w:p>
          <w:p w:rsidR="00C40719" w:rsidRPr="00B75FD7" w:rsidRDefault="00C40719" w:rsidP="00C40719">
            <w:pPr>
              <w:rPr>
                <w:color w:val="000000" w:themeColor="text1"/>
                <w:sz w:val="22"/>
              </w:rPr>
            </w:pPr>
            <w:r w:rsidRPr="00B75FD7">
              <w:rPr>
                <w:color w:val="000000" w:themeColor="text1"/>
                <w:sz w:val="22"/>
              </w:rPr>
              <w:t>одиниць</w:t>
            </w:r>
          </w:p>
          <w:p w:rsidR="00C40719" w:rsidRPr="00B75FD7" w:rsidRDefault="00C40719" w:rsidP="00C40719">
            <w:pPr>
              <w:rPr>
                <w:color w:val="000000" w:themeColor="text1"/>
                <w:sz w:val="22"/>
              </w:rPr>
            </w:pPr>
          </w:p>
          <w:p w:rsidR="00C40719" w:rsidRPr="00B75FD7" w:rsidRDefault="00C40719" w:rsidP="00C40719">
            <w:pPr>
              <w:rPr>
                <w:color w:val="000000" w:themeColor="text1"/>
                <w:sz w:val="22"/>
              </w:rPr>
            </w:pPr>
            <w:r w:rsidRPr="00B75FD7">
              <w:rPr>
                <w:color w:val="000000" w:themeColor="text1"/>
                <w:sz w:val="22"/>
              </w:rPr>
              <w:t>одиниць</w:t>
            </w:r>
          </w:p>
          <w:p w:rsidR="00C40719" w:rsidRPr="00B75FD7" w:rsidRDefault="00C40719" w:rsidP="00C40719">
            <w:pPr>
              <w:rPr>
                <w:color w:val="000000" w:themeColor="text1"/>
                <w:sz w:val="22"/>
              </w:rPr>
            </w:pPr>
          </w:p>
          <w:p w:rsidR="00C40719" w:rsidRPr="00B75FD7" w:rsidRDefault="00C40719" w:rsidP="00C40719">
            <w:pPr>
              <w:rPr>
                <w:color w:val="000000" w:themeColor="text1"/>
                <w:sz w:val="22"/>
              </w:rPr>
            </w:pPr>
            <w:r w:rsidRPr="00B75FD7">
              <w:rPr>
                <w:color w:val="000000" w:themeColor="text1"/>
                <w:sz w:val="22"/>
              </w:rPr>
              <w:t>одиниць</w:t>
            </w:r>
          </w:p>
          <w:p w:rsidR="00C40719" w:rsidRPr="00B75FD7" w:rsidRDefault="00C40719" w:rsidP="00C40719">
            <w:pPr>
              <w:autoSpaceDE w:val="0"/>
              <w:autoSpaceDN w:val="0"/>
              <w:adjustRightInd w:val="0"/>
              <w:rPr>
                <w:rFonts w:eastAsia="Calibri"/>
                <w:color w:val="000000" w:themeColor="text1"/>
                <w:sz w:val="22"/>
              </w:rPr>
            </w:pPr>
          </w:p>
          <w:p w:rsidR="00C40719" w:rsidRPr="00B75FD7" w:rsidRDefault="00C40719" w:rsidP="00C40719">
            <w:pPr>
              <w:rPr>
                <w:color w:val="000000" w:themeColor="text1"/>
                <w:sz w:val="22"/>
              </w:rPr>
            </w:pPr>
            <w:r w:rsidRPr="00B75FD7">
              <w:rPr>
                <w:color w:val="000000" w:themeColor="text1"/>
                <w:sz w:val="22"/>
              </w:rPr>
              <w:t>одиниць</w:t>
            </w:r>
          </w:p>
          <w:p w:rsidR="00C40719" w:rsidRPr="00B75FD7" w:rsidRDefault="00C40719" w:rsidP="00C40719">
            <w:pPr>
              <w:rPr>
                <w:color w:val="000000" w:themeColor="text1"/>
                <w:sz w:val="22"/>
              </w:rPr>
            </w:pPr>
          </w:p>
          <w:p w:rsidR="00C40719" w:rsidRPr="00B75FD7" w:rsidRDefault="00C40719" w:rsidP="00C40719">
            <w:pPr>
              <w:rPr>
                <w:color w:val="000000" w:themeColor="text1"/>
                <w:sz w:val="22"/>
              </w:rPr>
            </w:pPr>
            <w:r w:rsidRPr="00B75FD7">
              <w:rPr>
                <w:color w:val="000000" w:themeColor="text1"/>
                <w:sz w:val="22"/>
              </w:rPr>
              <w:t>одиниць</w:t>
            </w:r>
          </w:p>
          <w:p w:rsidR="00C40719" w:rsidRPr="00B75FD7" w:rsidRDefault="00C40719" w:rsidP="00C40719">
            <w:pPr>
              <w:autoSpaceDE w:val="0"/>
              <w:autoSpaceDN w:val="0"/>
              <w:adjustRightInd w:val="0"/>
              <w:rPr>
                <w:rFonts w:eastAsia="Calibri"/>
                <w:color w:val="000000" w:themeColor="text1"/>
                <w:sz w:val="22"/>
              </w:rPr>
            </w:pPr>
          </w:p>
          <w:p w:rsidR="00C40719" w:rsidRPr="00B75FD7" w:rsidRDefault="00C40719" w:rsidP="00C40719">
            <w:pPr>
              <w:rPr>
                <w:color w:val="000000" w:themeColor="text1"/>
                <w:sz w:val="22"/>
              </w:rPr>
            </w:pPr>
            <w:r w:rsidRPr="00B75FD7">
              <w:rPr>
                <w:color w:val="000000" w:themeColor="text1"/>
                <w:sz w:val="22"/>
              </w:rPr>
              <w:t>одиниць</w:t>
            </w:r>
          </w:p>
          <w:p w:rsidR="00C40719" w:rsidRPr="00B75FD7" w:rsidRDefault="00C40719" w:rsidP="00C40719">
            <w:pPr>
              <w:autoSpaceDE w:val="0"/>
              <w:autoSpaceDN w:val="0"/>
              <w:adjustRightInd w:val="0"/>
              <w:rPr>
                <w:rFonts w:eastAsia="Calibri"/>
                <w:color w:val="000000" w:themeColor="text1"/>
                <w:sz w:val="22"/>
              </w:rPr>
            </w:pPr>
          </w:p>
          <w:p w:rsidR="00C40719" w:rsidRPr="00B75FD7" w:rsidRDefault="00C40719" w:rsidP="00C40719">
            <w:pPr>
              <w:rPr>
                <w:rFonts w:eastAsia="Calibri"/>
                <w:color w:val="000000" w:themeColor="text1"/>
                <w:sz w:val="22"/>
              </w:rPr>
            </w:pPr>
            <w:r w:rsidRPr="00B75FD7">
              <w:rPr>
                <w:color w:val="000000" w:themeColor="text1"/>
                <w:sz w:val="22"/>
              </w:rPr>
              <w:t>одиниць</w:t>
            </w:r>
          </w:p>
        </w:tc>
        <w:tc>
          <w:tcPr>
            <w:tcW w:w="1282" w:type="dxa"/>
            <w:tcBorders>
              <w:top w:val="single" w:sz="6" w:space="0" w:color="auto"/>
              <w:left w:val="single" w:sz="6" w:space="0" w:color="auto"/>
              <w:bottom w:val="single" w:sz="6" w:space="0" w:color="auto"/>
              <w:right w:val="single" w:sz="6" w:space="0" w:color="auto"/>
            </w:tcBorders>
          </w:tcPr>
          <w:p w:rsidR="00C40719" w:rsidRPr="00B75FD7" w:rsidRDefault="00C40719" w:rsidP="00C40719">
            <w:pPr>
              <w:rPr>
                <w:sz w:val="22"/>
              </w:rPr>
            </w:pPr>
          </w:p>
          <w:p w:rsidR="00C40719" w:rsidRPr="00B75FD7" w:rsidRDefault="00C40719" w:rsidP="00C40719">
            <w:pPr>
              <w:rPr>
                <w:rFonts w:eastAsia="Calibri"/>
                <w:color w:val="000000"/>
                <w:sz w:val="22"/>
              </w:rPr>
            </w:pPr>
            <w:r w:rsidRPr="00B75FD7">
              <w:rPr>
                <w:rFonts w:eastAsia="Calibri"/>
                <w:color w:val="000000"/>
                <w:sz w:val="22"/>
              </w:rPr>
              <w:t>1041</w:t>
            </w:r>
          </w:p>
          <w:p w:rsidR="00C40719" w:rsidRPr="00B75FD7" w:rsidRDefault="00C40719" w:rsidP="00C40719">
            <w:pPr>
              <w:rPr>
                <w:rFonts w:eastAsia="Calibri"/>
                <w:color w:val="000000"/>
                <w:sz w:val="22"/>
              </w:rPr>
            </w:pPr>
          </w:p>
          <w:p w:rsidR="00C40719" w:rsidRPr="00B75FD7" w:rsidRDefault="00C40719" w:rsidP="00C40719">
            <w:pPr>
              <w:rPr>
                <w:rFonts w:eastAsia="Calibri"/>
                <w:color w:val="000000"/>
                <w:sz w:val="22"/>
              </w:rPr>
            </w:pPr>
            <w:r w:rsidRPr="00B75FD7">
              <w:rPr>
                <w:rFonts w:eastAsia="Calibri"/>
                <w:color w:val="000000"/>
                <w:sz w:val="22"/>
              </w:rPr>
              <w:t>2210</w:t>
            </w:r>
          </w:p>
          <w:p w:rsidR="00C40719" w:rsidRPr="00B75FD7" w:rsidRDefault="00C40719" w:rsidP="00C40719">
            <w:pPr>
              <w:rPr>
                <w:rFonts w:eastAsia="Calibri"/>
                <w:color w:val="000000"/>
                <w:sz w:val="22"/>
              </w:rPr>
            </w:pPr>
          </w:p>
          <w:p w:rsidR="00C40719" w:rsidRPr="00B75FD7" w:rsidRDefault="00C40719" w:rsidP="00C40719">
            <w:pPr>
              <w:rPr>
                <w:sz w:val="22"/>
              </w:rPr>
            </w:pPr>
            <w:r w:rsidRPr="00B75FD7">
              <w:rPr>
                <w:sz w:val="22"/>
              </w:rPr>
              <w:t>7</w:t>
            </w:r>
          </w:p>
          <w:p w:rsidR="00C40719" w:rsidRPr="00B75FD7" w:rsidRDefault="00C40719" w:rsidP="00C40719">
            <w:pPr>
              <w:rPr>
                <w:sz w:val="22"/>
              </w:rPr>
            </w:pPr>
          </w:p>
          <w:p w:rsidR="00C40719" w:rsidRPr="00B75FD7" w:rsidRDefault="00C40719" w:rsidP="00C40719">
            <w:pPr>
              <w:rPr>
                <w:sz w:val="22"/>
              </w:rPr>
            </w:pPr>
            <w:r w:rsidRPr="00B75FD7">
              <w:rPr>
                <w:sz w:val="22"/>
              </w:rPr>
              <w:t>1270</w:t>
            </w:r>
          </w:p>
          <w:p w:rsidR="00C40719" w:rsidRPr="00B75FD7" w:rsidRDefault="00C40719" w:rsidP="00C40719">
            <w:pPr>
              <w:rPr>
                <w:sz w:val="22"/>
              </w:rPr>
            </w:pPr>
          </w:p>
          <w:p w:rsidR="00C40719" w:rsidRPr="00B75FD7" w:rsidRDefault="00C40719" w:rsidP="00C40719">
            <w:pPr>
              <w:rPr>
                <w:sz w:val="22"/>
              </w:rPr>
            </w:pPr>
            <w:r w:rsidRPr="00B75FD7">
              <w:rPr>
                <w:sz w:val="22"/>
              </w:rPr>
              <w:t>10</w:t>
            </w:r>
          </w:p>
          <w:p w:rsidR="00C40719" w:rsidRPr="00B75FD7" w:rsidRDefault="00C40719" w:rsidP="00C40719">
            <w:pPr>
              <w:rPr>
                <w:sz w:val="22"/>
              </w:rPr>
            </w:pPr>
          </w:p>
          <w:p w:rsidR="00C40719" w:rsidRPr="00B75FD7" w:rsidRDefault="00C40719" w:rsidP="00C40719">
            <w:pPr>
              <w:rPr>
                <w:sz w:val="22"/>
              </w:rPr>
            </w:pPr>
            <w:r w:rsidRPr="00B75FD7">
              <w:rPr>
                <w:sz w:val="22"/>
              </w:rPr>
              <w:t>102</w:t>
            </w:r>
          </w:p>
          <w:p w:rsidR="00C40719" w:rsidRPr="00B75FD7" w:rsidRDefault="00C40719" w:rsidP="00C40719">
            <w:pPr>
              <w:rPr>
                <w:sz w:val="22"/>
              </w:rPr>
            </w:pPr>
          </w:p>
          <w:p w:rsidR="00C40719" w:rsidRPr="00B75FD7" w:rsidRDefault="00C40719" w:rsidP="00C40719">
            <w:pPr>
              <w:rPr>
                <w:sz w:val="22"/>
              </w:rPr>
            </w:pPr>
            <w:r w:rsidRPr="00B75FD7">
              <w:rPr>
                <w:sz w:val="22"/>
              </w:rPr>
              <w:t>24</w:t>
            </w:r>
          </w:p>
          <w:p w:rsidR="00C40719" w:rsidRPr="00B75FD7" w:rsidRDefault="00C40719" w:rsidP="00C40719">
            <w:pPr>
              <w:rPr>
                <w:sz w:val="22"/>
              </w:rPr>
            </w:pPr>
          </w:p>
          <w:p w:rsidR="00C40719" w:rsidRPr="00B75FD7" w:rsidRDefault="00C40719" w:rsidP="00C40719">
            <w:pPr>
              <w:rPr>
                <w:sz w:val="22"/>
              </w:rPr>
            </w:pPr>
            <w:r w:rsidRPr="00B75FD7">
              <w:rPr>
                <w:sz w:val="22"/>
              </w:rPr>
              <w:t>215</w:t>
            </w:r>
          </w:p>
          <w:p w:rsidR="00C40719" w:rsidRPr="00B75FD7" w:rsidRDefault="00C40719" w:rsidP="00C40719">
            <w:pPr>
              <w:rPr>
                <w:sz w:val="22"/>
              </w:rPr>
            </w:pPr>
          </w:p>
          <w:p w:rsidR="00C40719" w:rsidRPr="00B75FD7" w:rsidRDefault="00C40719" w:rsidP="00C40719">
            <w:pPr>
              <w:rPr>
                <w:sz w:val="22"/>
              </w:rPr>
            </w:pPr>
            <w:r w:rsidRPr="00B75FD7">
              <w:rPr>
                <w:sz w:val="22"/>
              </w:rPr>
              <w:t>24</w:t>
            </w:r>
          </w:p>
          <w:p w:rsidR="00C40719" w:rsidRPr="00B75FD7" w:rsidRDefault="00C40719" w:rsidP="00C40719">
            <w:pPr>
              <w:rPr>
                <w:rFonts w:eastAsia="Calibri"/>
                <w:color w:val="000000" w:themeColor="text1"/>
                <w:sz w:val="22"/>
              </w:rPr>
            </w:pPr>
          </w:p>
          <w:p w:rsidR="00C40719" w:rsidRPr="00B75FD7" w:rsidRDefault="00C40719" w:rsidP="00C40719">
            <w:pPr>
              <w:rPr>
                <w:rFonts w:eastAsia="Calibri"/>
                <w:color w:val="000000" w:themeColor="text1"/>
                <w:sz w:val="22"/>
              </w:rPr>
            </w:pPr>
            <w:r w:rsidRPr="00B75FD7">
              <w:rPr>
                <w:rFonts w:eastAsia="Calibri"/>
                <w:color w:val="000000" w:themeColor="text1"/>
                <w:sz w:val="22"/>
              </w:rPr>
              <w:t>121</w:t>
            </w:r>
          </w:p>
        </w:tc>
      </w:tr>
      <w:tr w:rsidR="002F4714" w:rsidRPr="00B75FD7" w:rsidTr="00C40719">
        <w:trPr>
          <w:trHeight w:val="1684"/>
        </w:trPr>
        <w:tc>
          <w:tcPr>
            <w:tcW w:w="1446" w:type="dxa"/>
            <w:tcBorders>
              <w:top w:val="nil"/>
              <w:left w:val="nil"/>
              <w:bottom w:val="nil"/>
              <w:right w:val="nil"/>
            </w:tcBorders>
          </w:tcPr>
          <w:p w:rsidR="002F4714" w:rsidRPr="00B75FD7" w:rsidRDefault="002F4714" w:rsidP="00CF4B4F">
            <w:pPr>
              <w:autoSpaceDE w:val="0"/>
              <w:autoSpaceDN w:val="0"/>
              <w:adjustRightInd w:val="0"/>
              <w:jc w:val="right"/>
              <w:rPr>
                <w:rFonts w:eastAsia="Calibri"/>
                <w:color w:val="000000"/>
                <w:sz w:val="22"/>
              </w:rPr>
            </w:pPr>
          </w:p>
        </w:tc>
        <w:tc>
          <w:tcPr>
            <w:tcW w:w="2829"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5FD7" w:rsidRDefault="002F4714" w:rsidP="00CF4B4F">
            <w:pPr>
              <w:autoSpaceDE w:val="0"/>
              <w:autoSpaceDN w:val="0"/>
              <w:adjustRightInd w:val="0"/>
              <w:rPr>
                <w:rFonts w:eastAsia="Calibri"/>
                <w:b/>
                <w:color w:val="000000"/>
                <w:sz w:val="22"/>
              </w:rPr>
            </w:pPr>
            <w:r w:rsidRPr="00B75FD7">
              <w:rPr>
                <w:rFonts w:eastAsia="Calibri"/>
                <w:b/>
                <w:color w:val="000000"/>
                <w:sz w:val="22"/>
              </w:rPr>
              <w:t>Ключові заходи проекту:</w:t>
            </w:r>
          </w:p>
        </w:tc>
        <w:tc>
          <w:tcPr>
            <w:tcW w:w="7008" w:type="dxa"/>
            <w:gridSpan w:val="8"/>
            <w:tcBorders>
              <w:top w:val="single" w:sz="6" w:space="0" w:color="auto"/>
              <w:left w:val="single" w:sz="6" w:space="0" w:color="auto"/>
              <w:bottom w:val="single" w:sz="6" w:space="0" w:color="auto"/>
              <w:right w:val="single" w:sz="6" w:space="0" w:color="auto"/>
            </w:tcBorders>
          </w:tcPr>
          <w:sdt>
            <w:sdtPr>
              <w:rPr>
                <w:sz w:val="22"/>
              </w:rPr>
              <w:tag w:val="goog_rdk_178"/>
              <w:id w:val="-2117590521"/>
            </w:sdtPr>
            <w:sdtEndPr/>
            <w:sdtContent>
              <w:p w:rsidR="002F4714" w:rsidRPr="00B75FD7" w:rsidRDefault="002F4714" w:rsidP="00CF4B4F">
                <w:pPr>
                  <w:rPr>
                    <w:rFonts w:eastAsia="Calibri"/>
                    <w:color w:val="000000"/>
                    <w:sz w:val="22"/>
                  </w:rPr>
                </w:pPr>
                <w:r w:rsidRPr="00B75FD7">
                  <w:rPr>
                    <w:rFonts w:eastAsia="Calibri"/>
                    <w:color w:val="000000"/>
                    <w:sz w:val="22"/>
                  </w:rPr>
                  <w:t xml:space="preserve">1.Розроблення </w:t>
                </w:r>
                <w:proofErr w:type="spellStart"/>
                <w:r w:rsidRPr="00B75FD7">
                  <w:rPr>
                    <w:rFonts w:eastAsia="Calibri"/>
                    <w:color w:val="000000"/>
                    <w:sz w:val="22"/>
                  </w:rPr>
                  <w:t>про</w:t>
                </w:r>
                <w:r w:rsidR="00591431" w:rsidRPr="00B75FD7">
                  <w:rPr>
                    <w:rFonts w:eastAsia="Calibri"/>
                    <w:color w:val="000000"/>
                    <w:sz w:val="22"/>
                  </w:rPr>
                  <w:t>є</w:t>
                </w:r>
                <w:r w:rsidRPr="00B75FD7">
                  <w:rPr>
                    <w:rFonts w:eastAsia="Calibri"/>
                    <w:color w:val="000000"/>
                    <w:sz w:val="22"/>
                  </w:rPr>
                  <w:t>кту</w:t>
                </w:r>
                <w:proofErr w:type="spellEnd"/>
                <w:r w:rsidRPr="00B75FD7">
                  <w:rPr>
                    <w:rFonts w:eastAsia="Calibri"/>
                    <w:color w:val="000000"/>
                    <w:sz w:val="22"/>
                  </w:rPr>
                  <w:t>.</w:t>
                </w:r>
              </w:p>
            </w:sdtContent>
          </w:sdt>
          <w:sdt>
            <w:sdtPr>
              <w:rPr>
                <w:sz w:val="22"/>
              </w:rPr>
              <w:tag w:val="goog_rdk_179"/>
              <w:id w:val="-1424498329"/>
            </w:sdtPr>
            <w:sdtEndPr/>
            <w:sdtContent>
              <w:p w:rsidR="002F4714" w:rsidRPr="00B75FD7" w:rsidRDefault="002F4714" w:rsidP="00CF4B4F">
                <w:pPr>
                  <w:rPr>
                    <w:rFonts w:eastAsia="Calibri"/>
                    <w:color w:val="000000"/>
                    <w:sz w:val="22"/>
                  </w:rPr>
                </w:pPr>
                <w:r w:rsidRPr="00B75FD7">
                  <w:rPr>
                    <w:rFonts w:eastAsia="Calibri"/>
                    <w:color w:val="000000"/>
                    <w:sz w:val="22"/>
                  </w:rPr>
                  <w:t xml:space="preserve">1.Створення </w:t>
                </w:r>
                <w:proofErr w:type="spellStart"/>
                <w:r w:rsidRPr="00B75FD7">
                  <w:rPr>
                    <w:rFonts w:eastAsia="Calibri"/>
                    <w:color w:val="000000"/>
                    <w:sz w:val="22"/>
                  </w:rPr>
                  <w:t>про</w:t>
                </w:r>
                <w:r w:rsidR="00591431" w:rsidRPr="00B75FD7">
                  <w:rPr>
                    <w:rFonts w:eastAsia="Calibri"/>
                    <w:color w:val="000000"/>
                    <w:sz w:val="22"/>
                  </w:rPr>
                  <w:t>є</w:t>
                </w:r>
                <w:r w:rsidRPr="00B75FD7">
                  <w:rPr>
                    <w:rFonts w:eastAsia="Calibri"/>
                    <w:color w:val="000000"/>
                    <w:sz w:val="22"/>
                  </w:rPr>
                  <w:t>ктно</w:t>
                </w:r>
                <w:proofErr w:type="spellEnd"/>
                <w:r w:rsidRPr="00B75FD7">
                  <w:rPr>
                    <w:rFonts w:eastAsia="Calibri"/>
                    <w:color w:val="000000"/>
                    <w:sz w:val="22"/>
                  </w:rPr>
                  <w:t>-кошторисної документації.</w:t>
                </w:r>
              </w:p>
            </w:sdtContent>
          </w:sdt>
          <w:sdt>
            <w:sdtPr>
              <w:rPr>
                <w:sz w:val="22"/>
              </w:rPr>
              <w:tag w:val="goog_rdk_180"/>
              <w:id w:val="-1626769790"/>
            </w:sdtPr>
            <w:sdtEndPr/>
            <w:sdtContent>
              <w:p w:rsidR="002F4714" w:rsidRPr="00B75FD7" w:rsidRDefault="002F4714" w:rsidP="00CF4B4F">
                <w:pPr>
                  <w:rPr>
                    <w:rFonts w:eastAsia="Calibri"/>
                    <w:color w:val="000000"/>
                    <w:sz w:val="22"/>
                  </w:rPr>
                </w:pPr>
                <w:r w:rsidRPr="00B75FD7">
                  <w:rPr>
                    <w:rFonts w:eastAsia="Calibri"/>
                    <w:color w:val="000000"/>
                    <w:sz w:val="22"/>
                  </w:rPr>
                  <w:t xml:space="preserve">2.Роботи з розробки </w:t>
                </w:r>
                <w:proofErr w:type="spellStart"/>
                <w:r w:rsidRPr="00B75FD7">
                  <w:rPr>
                    <w:rFonts w:eastAsia="Calibri"/>
                    <w:color w:val="000000"/>
                    <w:sz w:val="22"/>
                  </w:rPr>
                  <w:t>про</w:t>
                </w:r>
                <w:r w:rsidR="00591431" w:rsidRPr="00B75FD7">
                  <w:rPr>
                    <w:rFonts w:eastAsia="Calibri"/>
                    <w:color w:val="000000"/>
                    <w:sz w:val="22"/>
                  </w:rPr>
                  <w:t>є</w:t>
                </w:r>
                <w:r w:rsidRPr="00B75FD7">
                  <w:rPr>
                    <w:rFonts w:eastAsia="Calibri"/>
                    <w:color w:val="000000"/>
                    <w:sz w:val="22"/>
                  </w:rPr>
                  <w:t>ктно</w:t>
                </w:r>
                <w:proofErr w:type="spellEnd"/>
                <w:r w:rsidRPr="00B75FD7">
                  <w:rPr>
                    <w:rFonts w:eastAsia="Calibri"/>
                    <w:color w:val="000000"/>
                    <w:sz w:val="22"/>
                  </w:rPr>
                  <w:t>-кошторисної документації.</w:t>
                </w:r>
              </w:p>
            </w:sdtContent>
          </w:sdt>
          <w:sdt>
            <w:sdtPr>
              <w:rPr>
                <w:sz w:val="22"/>
              </w:rPr>
              <w:tag w:val="goog_rdk_181"/>
              <w:id w:val="-1098484722"/>
            </w:sdtPr>
            <w:sdtEndPr/>
            <w:sdtContent>
              <w:p w:rsidR="002F4714" w:rsidRPr="00B75FD7" w:rsidRDefault="002F4714" w:rsidP="00CF4B4F">
                <w:pPr>
                  <w:rPr>
                    <w:rFonts w:eastAsia="Calibri"/>
                    <w:color w:val="000000"/>
                    <w:sz w:val="22"/>
                  </w:rPr>
                </w:pPr>
                <w:r w:rsidRPr="00B75FD7">
                  <w:rPr>
                    <w:rFonts w:eastAsia="Calibri"/>
                    <w:color w:val="000000"/>
                    <w:sz w:val="22"/>
                  </w:rPr>
                  <w:t>3.Кількість проведених заходів:</w:t>
                </w:r>
              </w:p>
            </w:sdtContent>
          </w:sdt>
          <w:sdt>
            <w:sdtPr>
              <w:rPr>
                <w:sz w:val="22"/>
              </w:rPr>
              <w:tag w:val="goog_rdk_182"/>
              <w:id w:val="-1452934858"/>
            </w:sdtPr>
            <w:sdtEndPr/>
            <w:sdtContent>
              <w:p w:rsidR="002F4714" w:rsidRPr="00B75FD7" w:rsidRDefault="002F4714" w:rsidP="00CF4B4F">
                <w:pPr>
                  <w:rPr>
                    <w:rFonts w:eastAsia="Calibri"/>
                    <w:color w:val="000000"/>
                    <w:sz w:val="22"/>
                  </w:rPr>
                </w:pPr>
                <w:r w:rsidRPr="00B75FD7">
                  <w:rPr>
                    <w:rFonts w:eastAsia="Calibri"/>
                    <w:color w:val="000000"/>
                    <w:sz w:val="22"/>
                  </w:rPr>
                  <w:t>-оснащення групових приміщень,</w:t>
                </w:r>
                <w:r w:rsidR="00591431" w:rsidRPr="00B75FD7">
                  <w:rPr>
                    <w:rFonts w:eastAsia="Calibri"/>
                    <w:color w:val="000000"/>
                    <w:sz w:val="22"/>
                  </w:rPr>
                  <w:t xml:space="preserve"> </w:t>
                </w:r>
                <w:proofErr w:type="spellStart"/>
                <w:r w:rsidRPr="00B75FD7">
                  <w:rPr>
                    <w:rFonts w:eastAsia="Calibri"/>
                    <w:color w:val="000000"/>
                    <w:sz w:val="22"/>
                  </w:rPr>
                  <w:t>партомийні</w:t>
                </w:r>
                <w:proofErr w:type="spellEnd"/>
                <w:r w:rsidRPr="00B75FD7">
                  <w:rPr>
                    <w:rFonts w:eastAsia="Calibri"/>
                    <w:color w:val="000000"/>
                    <w:sz w:val="22"/>
                  </w:rPr>
                  <w:t>,</w:t>
                </w:r>
                <w:r w:rsidR="00591431" w:rsidRPr="00B75FD7">
                  <w:rPr>
                    <w:rFonts w:eastAsia="Calibri"/>
                    <w:color w:val="000000"/>
                    <w:sz w:val="22"/>
                  </w:rPr>
                  <w:t xml:space="preserve"> </w:t>
                </w:r>
                <w:r w:rsidRPr="00B75FD7">
                  <w:rPr>
                    <w:rFonts w:eastAsia="Calibri"/>
                    <w:color w:val="000000"/>
                    <w:sz w:val="22"/>
                  </w:rPr>
                  <w:t>санвузол</w:t>
                </w:r>
                <w:r w:rsidR="00591431" w:rsidRPr="00B75FD7">
                  <w:rPr>
                    <w:rFonts w:eastAsia="Calibri"/>
                    <w:color w:val="000000"/>
                    <w:sz w:val="22"/>
                  </w:rPr>
                  <w:t>;</w:t>
                </w:r>
              </w:p>
            </w:sdtContent>
          </w:sdt>
          <w:sdt>
            <w:sdtPr>
              <w:rPr>
                <w:sz w:val="22"/>
              </w:rPr>
              <w:tag w:val="goog_rdk_183"/>
              <w:id w:val="43650338"/>
            </w:sdtPr>
            <w:sdtEndPr/>
            <w:sdtContent>
              <w:p w:rsidR="002F4714" w:rsidRPr="00B75FD7" w:rsidRDefault="002F4714" w:rsidP="00CF4B4F">
                <w:pPr>
                  <w:rPr>
                    <w:rFonts w:eastAsia="Calibri"/>
                    <w:color w:val="000000"/>
                    <w:sz w:val="22"/>
                  </w:rPr>
                </w:pPr>
                <w:r w:rsidRPr="00B75FD7">
                  <w:rPr>
                    <w:rFonts w:eastAsia="Calibri"/>
                    <w:color w:val="000000"/>
                    <w:sz w:val="22"/>
                  </w:rPr>
                  <w:t>- оснащення музичної зали</w:t>
                </w:r>
                <w:r w:rsidR="00591431" w:rsidRPr="00B75FD7">
                  <w:rPr>
                    <w:rFonts w:eastAsia="Calibri"/>
                    <w:color w:val="000000"/>
                    <w:sz w:val="22"/>
                  </w:rPr>
                  <w:t>;</w:t>
                </w:r>
              </w:p>
            </w:sdtContent>
          </w:sdt>
          <w:sdt>
            <w:sdtPr>
              <w:rPr>
                <w:sz w:val="22"/>
              </w:rPr>
              <w:tag w:val="goog_rdk_184"/>
              <w:id w:val="215632252"/>
            </w:sdtPr>
            <w:sdtEndPr/>
            <w:sdtContent>
              <w:p w:rsidR="002F4714" w:rsidRPr="00B75FD7" w:rsidRDefault="002F4714" w:rsidP="00CF4B4F">
                <w:pPr>
                  <w:rPr>
                    <w:rFonts w:eastAsia="Calibri"/>
                    <w:color w:val="000000"/>
                    <w:sz w:val="22"/>
                  </w:rPr>
                </w:pPr>
                <w:r w:rsidRPr="00B75FD7">
                  <w:rPr>
                    <w:rFonts w:eastAsia="Calibri"/>
                    <w:color w:val="000000"/>
                    <w:sz w:val="22"/>
                  </w:rPr>
                  <w:t>-оснащення кабінетів директора, методиста та приймальні</w:t>
                </w:r>
                <w:r w:rsidR="00591431" w:rsidRPr="00B75FD7">
                  <w:rPr>
                    <w:rFonts w:eastAsia="Calibri"/>
                    <w:color w:val="000000"/>
                    <w:sz w:val="22"/>
                  </w:rPr>
                  <w:t>;</w:t>
                </w:r>
              </w:p>
            </w:sdtContent>
          </w:sdt>
          <w:sdt>
            <w:sdtPr>
              <w:rPr>
                <w:sz w:val="22"/>
              </w:rPr>
              <w:tag w:val="goog_rdk_185"/>
              <w:id w:val="1789847005"/>
            </w:sdtPr>
            <w:sdtEndPr/>
            <w:sdtContent>
              <w:p w:rsidR="002F4714" w:rsidRPr="00B75FD7" w:rsidRDefault="002F4714" w:rsidP="00CF4B4F">
                <w:pPr>
                  <w:rPr>
                    <w:rFonts w:eastAsia="Calibri"/>
                    <w:color w:val="000000"/>
                    <w:sz w:val="22"/>
                  </w:rPr>
                </w:pPr>
                <w:r w:rsidRPr="00B75FD7">
                  <w:rPr>
                    <w:rFonts w:eastAsia="Calibri"/>
                    <w:color w:val="000000"/>
                    <w:sz w:val="22"/>
                  </w:rPr>
                  <w:t>-оснащення кабінету керівника музичного</w:t>
                </w:r>
                <w:r w:rsidR="00591431" w:rsidRPr="00B75FD7">
                  <w:rPr>
                    <w:rFonts w:eastAsia="Calibri"/>
                    <w:color w:val="000000"/>
                    <w:sz w:val="22"/>
                  </w:rPr>
                  <w:t>;</w:t>
                </w:r>
              </w:p>
            </w:sdtContent>
          </w:sdt>
          <w:sdt>
            <w:sdtPr>
              <w:rPr>
                <w:sz w:val="22"/>
              </w:rPr>
              <w:tag w:val="goog_rdk_186"/>
              <w:id w:val="-1076282648"/>
            </w:sdtPr>
            <w:sdtEndPr/>
            <w:sdtContent>
              <w:p w:rsidR="002F4714" w:rsidRPr="00B75FD7" w:rsidRDefault="002F4714" w:rsidP="00CF4B4F">
                <w:pPr>
                  <w:rPr>
                    <w:rFonts w:eastAsia="Calibri"/>
                    <w:color w:val="000000"/>
                    <w:sz w:val="22"/>
                  </w:rPr>
                </w:pPr>
                <w:r w:rsidRPr="00B75FD7">
                  <w:rPr>
                    <w:rFonts w:eastAsia="Calibri"/>
                    <w:color w:val="000000"/>
                    <w:sz w:val="22"/>
                  </w:rPr>
                  <w:t>-оснащення кабінетів</w:t>
                </w:r>
                <w:r w:rsidR="00591431" w:rsidRPr="00B75FD7">
                  <w:rPr>
                    <w:rFonts w:eastAsia="Calibri"/>
                    <w:color w:val="000000"/>
                    <w:sz w:val="22"/>
                  </w:rPr>
                  <w:t xml:space="preserve"> </w:t>
                </w:r>
                <w:r w:rsidRPr="00B75FD7">
                  <w:rPr>
                    <w:rFonts w:eastAsia="Calibri"/>
                    <w:color w:val="000000"/>
                    <w:sz w:val="22"/>
                  </w:rPr>
                  <w:t>(2) вчителів-логопедів</w:t>
                </w:r>
                <w:r w:rsidR="00591431" w:rsidRPr="00B75FD7">
                  <w:rPr>
                    <w:rFonts w:eastAsia="Calibri"/>
                    <w:color w:val="000000"/>
                    <w:sz w:val="22"/>
                  </w:rPr>
                  <w:t>;</w:t>
                </w:r>
              </w:p>
            </w:sdtContent>
          </w:sdt>
          <w:sdt>
            <w:sdtPr>
              <w:rPr>
                <w:sz w:val="22"/>
              </w:rPr>
              <w:tag w:val="goog_rdk_187"/>
              <w:id w:val="643393502"/>
            </w:sdtPr>
            <w:sdtEndPr/>
            <w:sdtContent>
              <w:p w:rsidR="002F4714" w:rsidRPr="00B75FD7" w:rsidRDefault="002F4714" w:rsidP="00CF4B4F">
                <w:pPr>
                  <w:rPr>
                    <w:rFonts w:eastAsia="Calibri"/>
                    <w:color w:val="000000"/>
                    <w:sz w:val="22"/>
                  </w:rPr>
                </w:pPr>
                <w:r w:rsidRPr="00B75FD7">
                  <w:rPr>
                    <w:rFonts w:eastAsia="Calibri"/>
                    <w:color w:val="000000"/>
                    <w:sz w:val="22"/>
                  </w:rPr>
                  <w:t xml:space="preserve">-оснащення кабінету </w:t>
                </w:r>
                <w:proofErr w:type="spellStart"/>
                <w:r w:rsidRPr="00B75FD7">
                  <w:rPr>
                    <w:rFonts w:eastAsia="Calibri"/>
                    <w:color w:val="000000"/>
                    <w:sz w:val="22"/>
                  </w:rPr>
                  <w:t>фізінструктора</w:t>
                </w:r>
                <w:proofErr w:type="spellEnd"/>
                <w:r w:rsidR="00591431" w:rsidRPr="00B75FD7">
                  <w:rPr>
                    <w:rFonts w:eastAsia="Calibri"/>
                    <w:color w:val="000000"/>
                    <w:sz w:val="22"/>
                  </w:rPr>
                  <w:t>;</w:t>
                </w:r>
              </w:p>
            </w:sdtContent>
          </w:sdt>
          <w:sdt>
            <w:sdtPr>
              <w:rPr>
                <w:sz w:val="22"/>
              </w:rPr>
              <w:tag w:val="goog_rdk_188"/>
              <w:id w:val="319246245"/>
            </w:sdtPr>
            <w:sdtEndPr/>
            <w:sdtContent>
              <w:p w:rsidR="002F4714" w:rsidRPr="00B75FD7" w:rsidRDefault="002F4714" w:rsidP="00CF4B4F">
                <w:pPr>
                  <w:rPr>
                    <w:rFonts w:eastAsia="Calibri"/>
                    <w:color w:val="000000"/>
                    <w:sz w:val="22"/>
                  </w:rPr>
                </w:pPr>
                <w:r w:rsidRPr="00B75FD7">
                  <w:rPr>
                    <w:rFonts w:eastAsia="Calibri"/>
                    <w:color w:val="000000"/>
                    <w:sz w:val="22"/>
                  </w:rPr>
                  <w:t>-оснащення кабінету  психолога</w:t>
                </w:r>
                <w:r w:rsidR="00591431" w:rsidRPr="00B75FD7">
                  <w:rPr>
                    <w:rFonts w:eastAsia="Calibri"/>
                    <w:color w:val="000000"/>
                    <w:sz w:val="22"/>
                  </w:rPr>
                  <w:t>;</w:t>
                </w:r>
              </w:p>
            </w:sdtContent>
          </w:sdt>
          <w:sdt>
            <w:sdtPr>
              <w:rPr>
                <w:sz w:val="22"/>
              </w:rPr>
              <w:tag w:val="goog_rdk_189"/>
              <w:id w:val="-752356909"/>
            </w:sdtPr>
            <w:sdtEndPr/>
            <w:sdtContent>
              <w:p w:rsidR="002F4714" w:rsidRPr="00B75FD7" w:rsidRDefault="002F4714" w:rsidP="00CF4B4F">
                <w:pPr>
                  <w:rPr>
                    <w:rFonts w:eastAsia="Calibri"/>
                    <w:color w:val="000000"/>
                    <w:sz w:val="22"/>
                  </w:rPr>
                </w:pPr>
                <w:r w:rsidRPr="00B75FD7">
                  <w:rPr>
                    <w:rFonts w:eastAsia="Calibri"/>
                    <w:color w:val="000000"/>
                    <w:sz w:val="22"/>
                  </w:rPr>
                  <w:t>-оснащення харчоблоку</w:t>
                </w:r>
                <w:r w:rsidR="00591431" w:rsidRPr="00B75FD7">
                  <w:rPr>
                    <w:rFonts w:eastAsia="Calibri"/>
                    <w:color w:val="000000"/>
                    <w:sz w:val="22"/>
                  </w:rPr>
                  <w:t>;</w:t>
                </w:r>
              </w:p>
            </w:sdtContent>
          </w:sdt>
          <w:sdt>
            <w:sdtPr>
              <w:rPr>
                <w:sz w:val="22"/>
              </w:rPr>
              <w:tag w:val="goog_rdk_190"/>
              <w:id w:val="-1758511021"/>
            </w:sdtPr>
            <w:sdtEndPr/>
            <w:sdtContent>
              <w:p w:rsidR="002F4714" w:rsidRPr="00B75FD7" w:rsidRDefault="002F4714" w:rsidP="00CF4B4F">
                <w:pPr>
                  <w:rPr>
                    <w:rFonts w:eastAsia="Calibri"/>
                    <w:color w:val="000000"/>
                    <w:sz w:val="22"/>
                  </w:rPr>
                </w:pPr>
                <w:r w:rsidRPr="00B75FD7">
                  <w:rPr>
                    <w:rFonts w:eastAsia="Calibri"/>
                    <w:color w:val="000000"/>
                    <w:sz w:val="22"/>
                  </w:rPr>
                  <w:t>-оснащення пральні</w:t>
                </w:r>
                <w:r w:rsidR="00591431" w:rsidRPr="00B75FD7">
                  <w:rPr>
                    <w:rFonts w:eastAsia="Calibri"/>
                    <w:color w:val="000000"/>
                    <w:sz w:val="22"/>
                  </w:rPr>
                  <w:t>;</w:t>
                </w:r>
              </w:p>
            </w:sdtContent>
          </w:sdt>
          <w:sdt>
            <w:sdtPr>
              <w:rPr>
                <w:sz w:val="22"/>
              </w:rPr>
              <w:tag w:val="goog_rdk_191"/>
              <w:id w:val="330954172"/>
            </w:sdtPr>
            <w:sdtEndPr/>
            <w:sdtContent>
              <w:p w:rsidR="002F4714" w:rsidRPr="00B75FD7" w:rsidRDefault="002F4714" w:rsidP="00CF4B4F">
                <w:pPr>
                  <w:rPr>
                    <w:rFonts w:eastAsia="Calibri"/>
                    <w:color w:val="000000"/>
                    <w:sz w:val="22"/>
                  </w:rPr>
                </w:pPr>
                <w:r w:rsidRPr="00B75FD7">
                  <w:rPr>
                    <w:rFonts w:eastAsia="Calibri"/>
                    <w:color w:val="000000"/>
                    <w:sz w:val="22"/>
                  </w:rPr>
                  <w:t>- оснащення коридорних приміщень</w:t>
                </w:r>
                <w:r w:rsidR="00591431" w:rsidRPr="00B75FD7">
                  <w:rPr>
                    <w:rFonts w:eastAsia="Calibri"/>
                    <w:color w:val="000000"/>
                    <w:sz w:val="22"/>
                  </w:rPr>
                  <w:t>;</w:t>
                </w:r>
              </w:p>
            </w:sdtContent>
          </w:sdt>
          <w:sdt>
            <w:sdtPr>
              <w:rPr>
                <w:sz w:val="22"/>
              </w:rPr>
              <w:tag w:val="goog_rdk_192"/>
              <w:id w:val="-1677327469"/>
            </w:sdtPr>
            <w:sdtEndPr/>
            <w:sdtContent>
              <w:p w:rsidR="002F4714" w:rsidRPr="00B75FD7" w:rsidRDefault="002F4714" w:rsidP="00591431">
                <w:pPr>
                  <w:rPr>
                    <w:rFonts w:eastAsia="Calibri"/>
                    <w:color w:val="000000" w:themeColor="text1"/>
                    <w:sz w:val="22"/>
                  </w:rPr>
                </w:pPr>
                <w:r w:rsidRPr="00B75FD7">
                  <w:rPr>
                    <w:rFonts w:eastAsia="Calibri"/>
                    <w:color w:val="000000"/>
                    <w:sz w:val="22"/>
                  </w:rPr>
                  <w:t xml:space="preserve">-комп’ютерне </w:t>
                </w:r>
                <w:r w:rsidR="00591431" w:rsidRPr="00B75FD7">
                  <w:rPr>
                    <w:rFonts w:eastAsia="Calibri"/>
                    <w:color w:val="000000"/>
                    <w:sz w:val="22"/>
                  </w:rPr>
                  <w:t>забезпечення.</w:t>
                </w:r>
                <w:r w:rsidRPr="00B75FD7">
                  <w:rPr>
                    <w:rFonts w:eastAsia="Calibri"/>
                    <w:sz w:val="22"/>
                  </w:rPr>
                  <w:t xml:space="preserve"> </w:t>
                </w:r>
              </w:p>
            </w:sdtContent>
          </w:sdt>
        </w:tc>
      </w:tr>
      <w:tr w:rsidR="002F4714" w:rsidRPr="00B75FD7" w:rsidTr="00C40719">
        <w:trPr>
          <w:gridAfter w:val="1"/>
          <w:wAfter w:w="54" w:type="dxa"/>
          <w:trHeight w:val="600"/>
        </w:trPr>
        <w:tc>
          <w:tcPr>
            <w:tcW w:w="1446" w:type="dxa"/>
            <w:vMerge w:val="restart"/>
            <w:tcBorders>
              <w:top w:val="single" w:sz="6" w:space="0" w:color="auto"/>
              <w:left w:val="single" w:sz="6" w:space="0" w:color="auto"/>
              <w:bottom w:val="single" w:sz="6" w:space="0" w:color="auto"/>
              <w:right w:val="nil"/>
            </w:tcBorders>
          </w:tcPr>
          <w:p w:rsidR="002F4714" w:rsidRPr="00B75FD7" w:rsidRDefault="002F4714" w:rsidP="00CF4B4F">
            <w:pPr>
              <w:autoSpaceDE w:val="0"/>
              <w:autoSpaceDN w:val="0"/>
              <w:adjustRightInd w:val="0"/>
              <w:jc w:val="right"/>
              <w:rPr>
                <w:rFonts w:eastAsia="Calibri"/>
                <w:color w:val="000000"/>
                <w:sz w:val="22"/>
              </w:rPr>
            </w:pPr>
          </w:p>
        </w:tc>
        <w:tc>
          <w:tcPr>
            <w:tcW w:w="2829" w:type="dxa"/>
            <w:vMerge w:val="restart"/>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5FD7" w:rsidRDefault="002F4714" w:rsidP="00CF4B4F">
            <w:pPr>
              <w:autoSpaceDE w:val="0"/>
              <w:autoSpaceDN w:val="0"/>
              <w:adjustRightInd w:val="0"/>
              <w:rPr>
                <w:rFonts w:eastAsia="Calibri"/>
                <w:b/>
                <w:color w:val="000000"/>
                <w:sz w:val="22"/>
              </w:rPr>
            </w:pPr>
            <w:r w:rsidRPr="00B75FD7">
              <w:rPr>
                <w:rFonts w:eastAsia="Calibri"/>
                <w:b/>
                <w:color w:val="000000"/>
                <w:sz w:val="22"/>
              </w:rPr>
              <w:t>Орієнтовний обсяг та джерела фінансування тис. гривень</w:t>
            </w:r>
          </w:p>
        </w:tc>
        <w:tc>
          <w:tcPr>
            <w:tcW w:w="1278" w:type="dxa"/>
            <w:vMerge w:val="restart"/>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color w:val="000000" w:themeColor="text1"/>
                <w:sz w:val="22"/>
              </w:rPr>
            </w:pPr>
            <w:r w:rsidRPr="00B75FD7">
              <w:rPr>
                <w:rFonts w:eastAsia="Calibri"/>
                <w:color w:val="000000" w:themeColor="text1"/>
                <w:sz w:val="22"/>
              </w:rPr>
              <w:t>Державний бюджет</w:t>
            </w:r>
          </w:p>
        </w:tc>
        <w:tc>
          <w:tcPr>
            <w:tcW w:w="1134" w:type="dxa"/>
            <w:vMerge w:val="restart"/>
            <w:tcBorders>
              <w:top w:val="single" w:sz="6" w:space="0" w:color="auto"/>
              <w:left w:val="single" w:sz="6" w:space="0" w:color="auto"/>
              <w:right w:val="single" w:sz="6" w:space="0" w:color="auto"/>
            </w:tcBorders>
          </w:tcPr>
          <w:p w:rsidR="002F4714" w:rsidRPr="00B75FD7" w:rsidRDefault="002F4714" w:rsidP="00CF4B4F">
            <w:pPr>
              <w:autoSpaceDE w:val="0"/>
              <w:autoSpaceDN w:val="0"/>
              <w:adjustRightInd w:val="0"/>
              <w:rPr>
                <w:rFonts w:eastAsia="Calibri"/>
                <w:color w:val="000000" w:themeColor="text1"/>
                <w:sz w:val="22"/>
              </w:rPr>
            </w:pPr>
            <w:r w:rsidRPr="00B75FD7">
              <w:rPr>
                <w:rFonts w:eastAsia="Calibri"/>
                <w:color w:val="000000" w:themeColor="text1"/>
                <w:sz w:val="22"/>
              </w:rPr>
              <w:t>Місцевий бюджет</w:t>
            </w:r>
          </w:p>
        </w:tc>
        <w:tc>
          <w:tcPr>
            <w:tcW w:w="2696" w:type="dxa"/>
            <w:gridSpan w:val="3"/>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color w:val="000000" w:themeColor="text1"/>
                <w:sz w:val="22"/>
              </w:rPr>
            </w:pPr>
            <w:r w:rsidRPr="00B75FD7">
              <w:rPr>
                <w:rFonts w:eastAsia="Calibri"/>
                <w:color w:val="000000" w:themeColor="text1"/>
                <w:sz w:val="22"/>
              </w:rPr>
              <w:t>Інші джерела</w:t>
            </w:r>
          </w:p>
        </w:tc>
        <w:tc>
          <w:tcPr>
            <w:tcW w:w="1846" w:type="dxa"/>
            <w:gridSpan w:val="2"/>
            <w:vMerge w:val="restart"/>
            <w:tcBorders>
              <w:top w:val="single" w:sz="6" w:space="0" w:color="auto"/>
              <w:left w:val="single" w:sz="6" w:space="0" w:color="auto"/>
              <w:right w:val="single" w:sz="6" w:space="0" w:color="auto"/>
            </w:tcBorders>
          </w:tcPr>
          <w:p w:rsidR="002F4714" w:rsidRPr="00B75FD7" w:rsidRDefault="002F4714" w:rsidP="00CF4B4F">
            <w:pPr>
              <w:autoSpaceDE w:val="0"/>
              <w:autoSpaceDN w:val="0"/>
              <w:adjustRightInd w:val="0"/>
              <w:rPr>
                <w:rFonts w:eastAsia="Calibri"/>
                <w:color w:val="000000" w:themeColor="text1"/>
                <w:sz w:val="22"/>
              </w:rPr>
            </w:pPr>
            <w:r w:rsidRPr="00B75FD7">
              <w:rPr>
                <w:rFonts w:eastAsia="Calibri"/>
                <w:color w:val="000000" w:themeColor="text1"/>
                <w:sz w:val="22"/>
              </w:rPr>
              <w:t>Всього</w:t>
            </w:r>
          </w:p>
        </w:tc>
      </w:tr>
      <w:tr w:rsidR="002F4714" w:rsidRPr="00B75FD7" w:rsidTr="00C40719">
        <w:trPr>
          <w:gridAfter w:val="1"/>
          <w:wAfter w:w="54" w:type="dxa"/>
          <w:trHeight w:val="65"/>
        </w:trPr>
        <w:tc>
          <w:tcPr>
            <w:tcW w:w="1446" w:type="dxa"/>
            <w:vMerge/>
            <w:tcBorders>
              <w:top w:val="single" w:sz="6" w:space="0" w:color="auto"/>
              <w:left w:val="single" w:sz="6" w:space="0" w:color="auto"/>
              <w:bottom w:val="single" w:sz="6" w:space="0" w:color="auto"/>
              <w:right w:val="nil"/>
            </w:tcBorders>
          </w:tcPr>
          <w:p w:rsidR="002F4714" w:rsidRPr="00B75FD7" w:rsidRDefault="002F4714" w:rsidP="00CF4B4F">
            <w:pPr>
              <w:autoSpaceDE w:val="0"/>
              <w:autoSpaceDN w:val="0"/>
              <w:adjustRightInd w:val="0"/>
              <w:jc w:val="right"/>
              <w:rPr>
                <w:rFonts w:eastAsia="Calibri"/>
                <w:color w:val="000000"/>
                <w:sz w:val="22"/>
              </w:rPr>
            </w:pPr>
          </w:p>
        </w:tc>
        <w:tc>
          <w:tcPr>
            <w:tcW w:w="2829" w:type="dxa"/>
            <w:vMerge/>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5FD7" w:rsidRDefault="002F4714" w:rsidP="00CF4B4F">
            <w:pPr>
              <w:autoSpaceDE w:val="0"/>
              <w:autoSpaceDN w:val="0"/>
              <w:adjustRightInd w:val="0"/>
              <w:rPr>
                <w:rFonts w:eastAsia="Calibri"/>
                <w:b/>
                <w:color w:val="000000"/>
                <w:sz w:val="22"/>
              </w:rPr>
            </w:pPr>
          </w:p>
        </w:tc>
        <w:tc>
          <w:tcPr>
            <w:tcW w:w="1278" w:type="dxa"/>
            <w:vMerge/>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color w:val="000000" w:themeColor="text1"/>
                <w:sz w:val="22"/>
              </w:rPr>
            </w:pPr>
          </w:p>
        </w:tc>
        <w:tc>
          <w:tcPr>
            <w:tcW w:w="1134" w:type="dxa"/>
            <w:vMerge/>
            <w:tcBorders>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color w:val="000000" w:themeColor="text1"/>
                <w:sz w:val="22"/>
              </w:rPr>
            </w:pPr>
          </w:p>
        </w:tc>
        <w:tc>
          <w:tcPr>
            <w:tcW w:w="1134" w:type="dxa"/>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color w:val="000000" w:themeColor="text1"/>
                <w:sz w:val="22"/>
              </w:rPr>
            </w:pPr>
            <w:r w:rsidRPr="00B75FD7">
              <w:rPr>
                <w:rFonts w:eastAsia="Calibri"/>
                <w:color w:val="000000" w:themeColor="text1"/>
                <w:sz w:val="22"/>
              </w:rPr>
              <w:t>Обсяг</w:t>
            </w:r>
          </w:p>
        </w:tc>
        <w:tc>
          <w:tcPr>
            <w:tcW w:w="1562" w:type="dxa"/>
            <w:gridSpan w:val="2"/>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color w:val="000000" w:themeColor="text1"/>
                <w:sz w:val="22"/>
              </w:rPr>
            </w:pPr>
            <w:r w:rsidRPr="00B75FD7">
              <w:rPr>
                <w:rFonts w:eastAsia="Calibri"/>
                <w:sz w:val="22"/>
              </w:rPr>
              <w:t>Назва джерела</w:t>
            </w:r>
          </w:p>
        </w:tc>
        <w:tc>
          <w:tcPr>
            <w:tcW w:w="1846" w:type="dxa"/>
            <w:gridSpan w:val="2"/>
            <w:vMerge/>
            <w:tcBorders>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color w:val="000000" w:themeColor="text1"/>
                <w:sz w:val="22"/>
              </w:rPr>
            </w:pPr>
          </w:p>
        </w:tc>
      </w:tr>
      <w:tr w:rsidR="002F4714" w:rsidRPr="00B75FD7" w:rsidTr="00C40719">
        <w:trPr>
          <w:gridAfter w:val="1"/>
          <w:wAfter w:w="54" w:type="dxa"/>
          <w:trHeight w:val="582"/>
        </w:trPr>
        <w:tc>
          <w:tcPr>
            <w:tcW w:w="1446" w:type="dxa"/>
            <w:vMerge/>
            <w:tcBorders>
              <w:top w:val="single" w:sz="6" w:space="0" w:color="auto"/>
              <w:left w:val="single" w:sz="6" w:space="0" w:color="auto"/>
              <w:bottom w:val="single" w:sz="6" w:space="0" w:color="auto"/>
              <w:right w:val="nil"/>
            </w:tcBorders>
          </w:tcPr>
          <w:p w:rsidR="002F4714" w:rsidRPr="00B75FD7" w:rsidRDefault="002F4714" w:rsidP="00CF4B4F">
            <w:pPr>
              <w:autoSpaceDE w:val="0"/>
              <w:autoSpaceDN w:val="0"/>
              <w:adjustRightInd w:val="0"/>
              <w:jc w:val="right"/>
              <w:rPr>
                <w:rFonts w:eastAsia="Calibri"/>
                <w:color w:val="000000"/>
                <w:sz w:val="22"/>
              </w:rPr>
            </w:pPr>
          </w:p>
        </w:tc>
        <w:tc>
          <w:tcPr>
            <w:tcW w:w="2829" w:type="dxa"/>
            <w:vMerge/>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5FD7" w:rsidRDefault="002F4714" w:rsidP="00CF4B4F">
            <w:pPr>
              <w:autoSpaceDE w:val="0"/>
              <w:autoSpaceDN w:val="0"/>
              <w:adjustRightInd w:val="0"/>
              <w:rPr>
                <w:rFonts w:eastAsia="Calibri"/>
                <w:b/>
                <w:color w:val="000000"/>
                <w:sz w:val="22"/>
              </w:rPr>
            </w:pPr>
          </w:p>
        </w:tc>
        <w:tc>
          <w:tcPr>
            <w:tcW w:w="1278" w:type="dxa"/>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color w:val="000000" w:themeColor="text1"/>
                <w:sz w:val="22"/>
              </w:rPr>
            </w:pPr>
            <w:r w:rsidRPr="00B75FD7">
              <w:rPr>
                <w:rFonts w:eastAsia="Calibri"/>
                <w:color w:val="000000" w:themeColor="text1"/>
                <w:sz w:val="22"/>
              </w:rPr>
              <w:t>17500,0</w:t>
            </w:r>
          </w:p>
        </w:tc>
        <w:tc>
          <w:tcPr>
            <w:tcW w:w="1134" w:type="dxa"/>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color w:val="000000" w:themeColor="text1"/>
                <w:sz w:val="22"/>
              </w:rPr>
            </w:pPr>
          </w:p>
        </w:tc>
        <w:tc>
          <w:tcPr>
            <w:tcW w:w="1134" w:type="dxa"/>
            <w:tcBorders>
              <w:top w:val="single" w:sz="6" w:space="0" w:color="auto"/>
              <w:left w:val="single" w:sz="6" w:space="0" w:color="auto"/>
              <w:bottom w:val="single" w:sz="6" w:space="0" w:color="auto"/>
              <w:right w:val="single" w:sz="6" w:space="0" w:color="auto"/>
            </w:tcBorders>
          </w:tcPr>
          <w:p w:rsidR="002F4714" w:rsidRPr="00B75FD7" w:rsidRDefault="00C40719" w:rsidP="00CF4B4F">
            <w:pPr>
              <w:autoSpaceDE w:val="0"/>
              <w:autoSpaceDN w:val="0"/>
              <w:adjustRightInd w:val="0"/>
              <w:rPr>
                <w:rFonts w:eastAsia="Calibri"/>
                <w:color w:val="000000" w:themeColor="text1"/>
                <w:sz w:val="22"/>
              </w:rPr>
            </w:pPr>
            <w:r w:rsidRPr="00B75FD7">
              <w:rPr>
                <w:rFonts w:eastAsia="Calibri"/>
                <w:color w:val="000000" w:themeColor="text1"/>
                <w:sz w:val="22"/>
              </w:rPr>
              <w:t>7500,0</w:t>
            </w:r>
          </w:p>
        </w:tc>
        <w:tc>
          <w:tcPr>
            <w:tcW w:w="1562" w:type="dxa"/>
            <w:gridSpan w:val="2"/>
            <w:tcBorders>
              <w:top w:val="single" w:sz="6" w:space="0" w:color="auto"/>
              <w:left w:val="single" w:sz="6" w:space="0" w:color="auto"/>
              <w:bottom w:val="single" w:sz="6" w:space="0" w:color="auto"/>
              <w:right w:val="single" w:sz="6" w:space="0" w:color="auto"/>
            </w:tcBorders>
          </w:tcPr>
          <w:p w:rsidR="002F4714" w:rsidRPr="00B75FD7" w:rsidRDefault="002F4714" w:rsidP="002F4714">
            <w:pPr>
              <w:autoSpaceDE w:val="0"/>
              <w:autoSpaceDN w:val="0"/>
              <w:adjustRightInd w:val="0"/>
              <w:rPr>
                <w:rFonts w:eastAsia="Calibri"/>
                <w:color w:val="000000" w:themeColor="text1"/>
                <w:sz w:val="22"/>
              </w:rPr>
            </w:pPr>
            <w:r w:rsidRPr="00B75FD7">
              <w:rPr>
                <w:rFonts w:eastAsia="Calibri"/>
                <w:color w:val="000000" w:themeColor="text1"/>
                <w:sz w:val="22"/>
              </w:rPr>
              <w:t>Міжнародні</w:t>
            </w:r>
          </w:p>
          <w:p w:rsidR="002F4714" w:rsidRPr="00B75FD7" w:rsidRDefault="002F4714" w:rsidP="002F4714">
            <w:pPr>
              <w:autoSpaceDE w:val="0"/>
              <w:autoSpaceDN w:val="0"/>
              <w:adjustRightInd w:val="0"/>
              <w:rPr>
                <w:rFonts w:eastAsia="Calibri"/>
                <w:color w:val="000000" w:themeColor="text1"/>
                <w:sz w:val="22"/>
              </w:rPr>
            </w:pPr>
            <w:r w:rsidRPr="00B75FD7">
              <w:rPr>
                <w:rFonts w:eastAsia="Calibri"/>
                <w:color w:val="000000" w:themeColor="text1"/>
                <w:sz w:val="22"/>
              </w:rPr>
              <w:t>партнери</w:t>
            </w:r>
          </w:p>
        </w:tc>
        <w:tc>
          <w:tcPr>
            <w:tcW w:w="1846" w:type="dxa"/>
            <w:gridSpan w:val="2"/>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color w:val="000000" w:themeColor="text1"/>
                <w:sz w:val="22"/>
              </w:rPr>
            </w:pPr>
            <w:r w:rsidRPr="00B75FD7">
              <w:rPr>
                <w:rFonts w:eastAsia="Calibri"/>
                <w:color w:val="000000" w:themeColor="text1"/>
                <w:sz w:val="22"/>
              </w:rPr>
              <w:t>25000,0</w:t>
            </w:r>
          </w:p>
        </w:tc>
      </w:tr>
    </w:tbl>
    <w:p w:rsidR="002F4714" w:rsidRPr="00B75FD7" w:rsidRDefault="002F4714" w:rsidP="002F4714">
      <w:pPr>
        <w:tabs>
          <w:tab w:val="left" w:pos="5290"/>
        </w:tabs>
        <w:rPr>
          <w:sz w:val="22"/>
        </w:rPr>
      </w:pPr>
    </w:p>
    <w:p w:rsidR="002D6D43" w:rsidRPr="00B75FD7" w:rsidRDefault="002D6D43" w:rsidP="00E33AAA">
      <w:pPr>
        <w:tabs>
          <w:tab w:val="left" w:pos="5290"/>
        </w:tabs>
        <w:rPr>
          <w:b/>
          <w:sz w:val="22"/>
        </w:rPr>
      </w:pPr>
    </w:p>
    <w:tbl>
      <w:tblPr>
        <w:tblpPr w:leftFromText="180" w:rightFromText="180" w:vertAnchor="text" w:horzAnchor="page" w:tblpX="345" w:tblpY="123"/>
        <w:tblW w:w="10945" w:type="dxa"/>
        <w:tblLayout w:type="fixed"/>
        <w:tblCellMar>
          <w:left w:w="30" w:type="dxa"/>
          <w:right w:w="30" w:type="dxa"/>
        </w:tblCellMar>
        <w:tblLook w:val="0000" w:firstRow="0" w:lastRow="0" w:firstColumn="0" w:lastColumn="0" w:noHBand="0" w:noVBand="0"/>
      </w:tblPr>
      <w:tblGrid>
        <w:gridCol w:w="1022"/>
        <w:gridCol w:w="2975"/>
        <w:gridCol w:w="1278"/>
        <w:gridCol w:w="1134"/>
        <w:gridCol w:w="140"/>
        <w:gridCol w:w="1136"/>
        <w:gridCol w:w="281"/>
        <w:gridCol w:w="1562"/>
        <w:gridCol w:w="1417"/>
      </w:tblGrid>
      <w:tr w:rsidR="002F4714" w:rsidRPr="00B75FD7" w:rsidTr="002F4714">
        <w:trPr>
          <w:trHeight w:val="555"/>
        </w:trPr>
        <w:tc>
          <w:tcPr>
            <w:tcW w:w="1022" w:type="dxa"/>
            <w:tcBorders>
              <w:top w:val="nil"/>
              <w:left w:val="nil"/>
              <w:bottom w:val="nil"/>
              <w:right w:val="nil"/>
            </w:tcBorders>
          </w:tcPr>
          <w:p w:rsidR="002F4714" w:rsidRPr="00B75FD7" w:rsidRDefault="002F4714" w:rsidP="00CF4B4F">
            <w:pPr>
              <w:spacing w:after="160" w:line="259" w:lineRule="auto"/>
              <w:rPr>
                <w:rFonts w:eastAsia="Calibri"/>
                <w:color w:val="000000"/>
                <w:sz w:val="22"/>
              </w:rPr>
            </w:pPr>
          </w:p>
        </w:tc>
        <w:tc>
          <w:tcPr>
            <w:tcW w:w="297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5FD7" w:rsidRDefault="002F4714" w:rsidP="00CF4B4F">
            <w:pPr>
              <w:autoSpaceDE w:val="0"/>
              <w:autoSpaceDN w:val="0"/>
              <w:adjustRightInd w:val="0"/>
              <w:rPr>
                <w:rFonts w:eastAsia="Calibri"/>
                <w:b/>
                <w:color w:val="000000"/>
                <w:sz w:val="22"/>
              </w:rPr>
            </w:pPr>
            <w:r w:rsidRPr="00B75FD7">
              <w:rPr>
                <w:rFonts w:eastAsia="Calibri"/>
                <w:b/>
                <w:color w:val="000000"/>
                <w:sz w:val="22"/>
              </w:rPr>
              <w:t>Оперативна ціль/завдання</w:t>
            </w:r>
          </w:p>
        </w:tc>
        <w:tc>
          <w:tcPr>
            <w:tcW w:w="6948" w:type="dxa"/>
            <w:gridSpan w:val="7"/>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color w:val="000000"/>
                <w:sz w:val="22"/>
              </w:rPr>
            </w:pPr>
            <w:r w:rsidRPr="00B75FD7">
              <w:rPr>
                <w:color w:val="000000"/>
                <w:sz w:val="22"/>
              </w:rPr>
              <w:t> </w:t>
            </w:r>
            <w:r w:rsidRPr="00B75FD7">
              <w:rPr>
                <w:color w:val="222222"/>
                <w:sz w:val="22"/>
                <w:shd w:val="clear" w:color="auto" w:fill="FFFFFF"/>
              </w:rPr>
              <w:t xml:space="preserve">Людський розвиток через інновації управління та довіру до влади. Формування сучасного інклюзивного  </w:t>
            </w:r>
            <w:proofErr w:type="spellStart"/>
            <w:r w:rsidRPr="00B75FD7">
              <w:rPr>
                <w:color w:val="222222"/>
                <w:sz w:val="22"/>
                <w:shd w:val="clear" w:color="auto" w:fill="FFFFFF"/>
              </w:rPr>
              <w:t>освітньо</w:t>
            </w:r>
            <w:proofErr w:type="spellEnd"/>
            <w:r w:rsidRPr="00B75FD7">
              <w:rPr>
                <w:color w:val="222222"/>
                <w:sz w:val="22"/>
                <w:shd w:val="clear" w:color="auto" w:fill="FFFFFF"/>
              </w:rPr>
              <w:t>-культурного та спортивного простору для розвитку</w:t>
            </w:r>
          </w:p>
        </w:tc>
      </w:tr>
      <w:tr w:rsidR="002F4714" w:rsidRPr="00B75FD7" w:rsidTr="002F4714">
        <w:trPr>
          <w:trHeight w:val="568"/>
        </w:trPr>
        <w:tc>
          <w:tcPr>
            <w:tcW w:w="1022" w:type="dxa"/>
            <w:tcBorders>
              <w:top w:val="nil"/>
              <w:left w:val="nil"/>
              <w:bottom w:val="nil"/>
              <w:right w:val="nil"/>
            </w:tcBorders>
          </w:tcPr>
          <w:p w:rsidR="002F4714" w:rsidRPr="00B75FD7" w:rsidRDefault="002F4714" w:rsidP="00CF4B4F">
            <w:pPr>
              <w:autoSpaceDE w:val="0"/>
              <w:autoSpaceDN w:val="0"/>
              <w:adjustRightInd w:val="0"/>
              <w:jc w:val="right"/>
              <w:rPr>
                <w:rFonts w:eastAsia="Calibri"/>
                <w:color w:val="000000"/>
                <w:sz w:val="22"/>
              </w:rPr>
            </w:pPr>
          </w:p>
        </w:tc>
        <w:tc>
          <w:tcPr>
            <w:tcW w:w="297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5FD7" w:rsidRDefault="002F4714" w:rsidP="00CF4B4F">
            <w:pPr>
              <w:autoSpaceDE w:val="0"/>
              <w:autoSpaceDN w:val="0"/>
              <w:adjustRightInd w:val="0"/>
              <w:rPr>
                <w:rFonts w:eastAsia="Calibri"/>
                <w:b/>
                <w:color w:val="000000"/>
                <w:sz w:val="22"/>
              </w:rPr>
            </w:pPr>
            <w:r w:rsidRPr="00B75FD7">
              <w:rPr>
                <w:rFonts w:eastAsia="Calibri"/>
                <w:b/>
                <w:color w:val="000000"/>
                <w:sz w:val="22"/>
              </w:rPr>
              <w:t>Назва проекту:</w:t>
            </w:r>
          </w:p>
        </w:tc>
        <w:tc>
          <w:tcPr>
            <w:tcW w:w="6948" w:type="dxa"/>
            <w:gridSpan w:val="7"/>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color w:val="000000"/>
                <w:sz w:val="22"/>
              </w:rPr>
            </w:pPr>
            <w:r w:rsidRPr="00B75FD7">
              <w:rPr>
                <w:rFonts w:eastAsia="Calibri"/>
                <w:color w:val="000000"/>
                <w:sz w:val="22"/>
              </w:rPr>
              <w:t xml:space="preserve">Капітальний ремонт будівлі та приміщень Ясел – садка № 37 </w:t>
            </w:r>
            <w:proofErr w:type="spellStart"/>
            <w:r w:rsidRPr="00B75FD7">
              <w:rPr>
                <w:rFonts w:eastAsia="Calibri"/>
                <w:color w:val="000000"/>
                <w:sz w:val="22"/>
              </w:rPr>
              <w:t>м.Сєвєродонецька</w:t>
            </w:r>
            <w:proofErr w:type="spellEnd"/>
            <w:r w:rsidRPr="00B75FD7">
              <w:rPr>
                <w:rFonts w:eastAsia="Calibri"/>
                <w:color w:val="000000"/>
                <w:sz w:val="22"/>
              </w:rPr>
              <w:t xml:space="preserve"> Луганської обл.,  вул. Гагаріна буд.101-В</w:t>
            </w:r>
          </w:p>
        </w:tc>
      </w:tr>
      <w:tr w:rsidR="002F4714" w:rsidRPr="00B75FD7" w:rsidTr="002F4714">
        <w:trPr>
          <w:trHeight w:val="1109"/>
        </w:trPr>
        <w:tc>
          <w:tcPr>
            <w:tcW w:w="1022" w:type="dxa"/>
            <w:tcBorders>
              <w:top w:val="nil"/>
              <w:left w:val="nil"/>
              <w:bottom w:val="nil"/>
              <w:right w:val="nil"/>
            </w:tcBorders>
          </w:tcPr>
          <w:p w:rsidR="002F4714" w:rsidRPr="00B75FD7" w:rsidRDefault="002F4714" w:rsidP="00CF4B4F">
            <w:pPr>
              <w:autoSpaceDE w:val="0"/>
              <w:autoSpaceDN w:val="0"/>
              <w:adjustRightInd w:val="0"/>
              <w:jc w:val="right"/>
              <w:rPr>
                <w:rFonts w:eastAsia="Calibri"/>
                <w:color w:val="000000"/>
                <w:sz w:val="22"/>
              </w:rPr>
            </w:pPr>
          </w:p>
        </w:tc>
        <w:tc>
          <w:tcPr>
            <w:tcW w:w="297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5FD7" w:rsidRDefault="002F4714" w:rsidP="00CF4B4F">
            <w:pPr>
              <w:autoSpaceDE w:val="0"/>
              <w:autoSpaceDN w:val="0"/>
              <w:adjustRightInd w:val="0"/>
              <w:rPr>
                <w:rFonts w:eastAsia="Calibri"/>
                <w:b/>
                <w:color w:val="000000"/>
                <w:sz w:val="22"/>
              </w:rPr>
            </w:pPr>
            <w:r w:rsidRPr="00B75FD7">
              <w:rPr>
                <w:rFonts w:eastAsia="Calibri"/>
                <w:b/>
                <w:color w:val="000000"/>
                <w:sz w:val="22"/>
              </w:rPr>
              <w:t>Ціль проекту</w:t>
            </w:r>
          </w:p>
        </w:tc>
        <w:tc>
          <w:tcPr>
            <w:tcW w:w="6948" w:type="dxa"/>
            <w:gridSpan w:val="7"/>
            <w:tcBorders>
              <w:top w:val="single" w:sz="6" w:space="0" w:color="auto"/>
              <w:left w:val="single" w:sz="6" w:space="0" w:color="auto"/>
              <w:bottom w:val="single" w:sz="6" w:space="0" w:color="auto"/>
              <w:right w:val="single" w:sz="6" w:space="0" w:color="auto"/>
            </w:tcBorders>
          </w:tcPr>
          <w:p w:rsidR="002F4714" w:rsidRPr="00B75FD7" w:rsidRDefault="002F4714" w:rsidP="00CF4B4F">
            <w:pPr>
              <w:rPr>
                <w:rFonts w:eastAsia="Calibri"/>
                <w:sz w:val="22"/>
              </w:rPr>
            </w:pPr>
            <w:r w:rsidRPr="00B75FD7">
              <w:rPr>
                <w:rFonts w:eastAsia="Calibri"/>
                <w:sz w:val="22"/>
              </w:rPr>
              <w:t>За допомогою ремонтних робіт відновити будівлю та приміщення Ясел - садка № 37 з використанням енергозберігаючих технологій, з дотриманням санітарних норм, норм протипожежної безпеки. А також облаштувати бомбосховище, яке буде відповідати нормам безпеки.</w:t>
            </w:r>
          </w:p>
        </w:tc>
      </w:tr>
      <w:tr w:rsidR="002F4714" w:rsidRPr="00B75FD7" w:rsidTr="002F4714">
        <w:trPr>
          <w:trHeight w:val="290"/>
        </w:trPr>
        <w:tc>
          <w:tcPr>
            <w:tcW w:w="1022" w:type="dxa"/>
            <w:tcBorders>
              <w:top w:val="nil"/>
              <w:left w:val="nil"/>
              <w:bottom w:val="nil"/>
              <w:right w:val="nil"/>
            </w:tcBorders>
          </w:tcPr>
          <w:p w:rsidR="002F4714" w:rsidRPr="00B75FD7" w:rsidRDefault="002F4714" w:rsidP="00CF4B4F">
            <w:pPr>
              <w:autoSpaceDE w:val="0"/>
              <w:autoSpaceDN w:val="0"/>
              <w:adjustRightInd w:val="0"/>
              <w:jc w:val="right"/>
              <w:rPr>
                <w:rFonts w:eastAsia="Calibri"/>
                <w:color w:val="000000"/>
                <w:sz w:val="22"/>
              </w:rPr>
            </w:pPr>
          </w:p>
        </w:tc>
        <w:tc>
          <w:tcPr>
            <w:tcW w:w="297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5FD7" w:rsidRDefault="002F4714" w:rsidP="00CF4B4F">
            <w:pPr>
              <w:autoSpaceDE w:val="0"/>
              <w:autoSpaceDN w:val="0"/>
              <w:adjustRightInd w:val="0"/>
              <w:rPr>
                <w:rFonts w:eastAsia="Calibri"/>
                <w:b/>
                <w:color w:val="000000"/>
                <w:sz w:val="22"/>
              </w:rPr>
            </w:pPr>
            <w:r w:rsidRPr="00B75FD7">
              <w:rPr>
                <w:rFonts w:eastAsia="Calibri"/>
                <w:b/>
                <w:color w:val="000000"/>
                <w:sz w:val="22"/>
              </w:rPr>
              <w:t>Територія, на яку матиме вплив реалізація проекту</w:t>
            </w:r>
          </w:p>
        </w:tc>
        <w:tc>
          <w:tcPr>
            <w:tcW w:w="6948" w:type="dxa"/>
            <w:gridSpan w:val="7"/>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color w:val="000000"/>
                <w:sz w:val="22"/>
              </w:rPr>
            </w:pPr>
            <w:r w:rsidRPr="00B75FD7">
              <w:rPr>
                <w:rFonts w:eastAsia="Calibri"/>
                <w:color w:val="000000"/>
                <w:sz w:val="22"/>
              </w:rPr>
              <w:t>Сєвєродонецька міська територіальна громада</w:t>
            </w:r>
          </w:p>
        </w:tc>
      </w:tr>
      <w:tr w:rsidR="002F4714" w:rsidRPr="00B75FD7" w:rsidTr="002F4714">
        <w:trPr>
          <w:trHeight w:val="605"/>
        </w:trPr>
        <w:tc>
          <w:tcPr>
            <w:tcW w:w="1022" w:type="dxa"/>
            <w:tcBorders>
              <w:top w:val="nil"/>
              <w:left w:val="nil"/>
              <w:bottom w:val="nil"/>
              <w:right w:val="nil"/>
            </w:tcBorders>
          </w:tcPr>
          <w:p w:rsidR="002F4714" w:rsidRPr="00B75FD7" w:rsidRDefault="002F4714" w:rsidP="00CF4B4F">
            <w:pPr>
              <w:autoSpaceDE w:val="0"/>
              <w:autoSpaceDN w:val="0"/>
              <w:adjustRightInd w:val="0"/>
              <w:jc w:val="right"/>
              <w:rPr>
                <w:rFonts w:eastAsia="Calibri"/>
                <w:color w:val="000000"/>
                <w:sz w:val="22"/>
              </w:rPr>
            </w:pPr>
          </w:p>
        </w:tc>
        <w:tc>
          <w:tcPr>
            <w:tcW w:w="297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5FD7" w:rsidRDefault="002F4714" w:rsidP="00CF4B4F">
            <w:pPr>
              <w:autoSpaceDE w:val="0"/>
              <w:autoSpaceDN w:val="0"/>
              <w:adjustRightInd w:val="0"/>
              <w:rPr>
                <w:rFonts w:eastAsia="Calibri"/>
                <w:b/>
                <w:color w:val="000000"/>
                <w:sz w:val="22"/>
              </w:rPr>
            </w:pPr>
            <w:r w:rsidRPr="00B75FD7">
              <w:rPr>
                <w:rFonts w:eastAsia="Calibri"/>
                <w:b/>
                <w:color w:val="000000"/>
                <w:sz w:val="22"/>
              </w:rPr>
              <w:t>Чисельність населення, на яке матиме вплив реалізація проекту</w:t>
            </w:r>
          </w:p>
        </w:tc>
        <w:tc>
          <w:tcPr>
            <w:tcW w:w="6948" w:type="dxa"/>
            <w:gridSpan w:val="7"/>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color w:val="000000"/>
                <w:sz w:val="22"/>
              </w:rPr>
            </w:pPr>
            <w:r w:rsidRPr="00B75FD7">
              <w:rPr>
                <w:rFonts w:eastAsia="Calibri"/>
                <w:color w:val="000000"/>
                <w:sz w:val="22"/>
              </w:rPr>
              <w:t>70 000 осіб</w:t>
            </w:r>
          </w:p>
        </w:tc>
      </w:tr>
      <w:tr w:rsidR="002F4714" w:rsidRPr="00B75FD7" w:rsidTr="002F4714">
        <w:trPr>
          <w:trHeight w:val="1261"/>
        </w:trPr>
        <w:tc>
          <w:tcPr>
            <w:tcW w:w="1022" w:type="dxa"/>
            <w:tcBorders>
              <w:top w:val="nil"/>
              <w:left w:val="nil"/>
              <w:bottom w:val="nil"/>
              <w:right w:val="nil"/>
            </w:tcBorders>
          </w:tcPr>
          <w:p w:rsidR="002F4714" w:rsidRPr="00B75FD7" w:rsidRDefault="002F4714" w:rsidP="00CF4B4F">
            <w:pPr>
              <w:autoSpaceDE w:val="0"/>
              <w:autoSpaceDN w:val="0"/>
              <w:adjustRightInd w:val="0"/>
              <w:jc w:val="right"/>
              <w:rPr>
                <w:rFonts w:eastAsia="Calibri"/>
                <w:color w:val="000000"/>
                <w:sz w:val="22"/>
              </w:rPr>
            </w:pPr>
          </w:p>
        </w:tc>
        <w:tc>
          <w:tcPr>
            <w:tcW w:w="297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5FD7" w:rsidRDefault="002F4714" w:rsidP="00CF4B4F">
            <w:pPr>
              <w:autoSpaceDE w:val="0"/>
              <w:autoSpaceDN w:val="0"/>
              <w:adjustRightInd w:val="0"/>
              <w:rPr>
                <w:rFonts w:eastAsia="Calibri"/>
                <w:b/>
                <w:color w:val="000000"/>
                <w:sz w:val="22"/>
              </w:rPr>
            </w:pPr>
            <w:r w:rsidRPr="00B75FD7">
              <w:rPr>
                <w:rFonts w:eastAsia="Calibri"/>
                <w:b/>
                <w:color w:val="000000"/>
                <w:sz w:val="22"/>
              </w:rPr>
              <w:t>Опис проблеми, на вирішення якої спрямований проект</w:t>
            </w:r>
          </w:p>
        </w:tc>
        <w:tc>
          <w:tcPr>
            <w:tcW w:w="6948" w:type="dxa"/>
            <w:gridSpan w:val="7"/>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color w:val="000000"/>
                <w:sz w:val="22"/>
              </w:rPr>
            </w:pPr>
            <w:r w:rsidRPr="00B75FD7">
              <w:rPr>
                <w:rFonts w:eastAsia="Calibri"/>
                <w:color w:val="000000"/>
                <w:sz w:val="22"/>
              </w:rPr>
              <w:t>У зв’язку з російською агресією була пошкоджена та частково зруйнована частина будівлі закладу. Після звільнення міста Сєвєродонецька від  російської окупації для відновлення освітнього процесу першочергове треба  провести капітальний ремонт  конструктивних елементів  будівлі та приміщень  Ясел-садка №37  з використанням енергоефективних технологій.</w:t>
            </w:r>
          </w:p>
        </w:tc>
      </w:tr>
      <w:tr w:rsidR="002F4714" w:rsidRPr="00B75FD7" w:rsidTr="002F4714">
        <w:trPr>
          <w:trHeight w:val="1265"/>
        </w:trPr>
        <w:tc>
          <w:tcPr>
            <w:tcW w:w="1022" w:type="dxa"/>
            <w:tcBorders>
              <w:top w:val="nil"/>
              <w:left w:val="nil"/>
              <w:bottom w:val="nil"/>
              <w:right w:val="nil"/>
            </w:tcBorders>
          </w:tcPr>
          <w:p w:rsidR="002F4714" w:rsidRPr="00B75FD7" w:rsidRDefault="002F4714" w:rsidP="00CF4B4F">
            <w:pPr>
              <w:autoSpaceDE w:val="0"/>
              <w:autoSpaceDN w:val="0"/>
              <w:adjustRightInd w:val="0"/>
              <w:jc w:val="right"/>
              <w:rPr>
                <w:rFonts w:eastAsia="Calibri"/>
                <w:color w:val="000000"/>
                <w:sz w:val="22"/>
              </w:rPr>
            </w:pPr>
          </w:p>
        </w:tc>
        <w:tc>
          <w:tcPr>
            <w:tcW w:w="297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5FD7" w:rsidRDefault="002F4714" w:rsidP="00CF4B4F">
            <w:pPr>
              <w:autoSpaceDE w:val="0"/>
              <w:autoSpaceDN w:val="0"/>
              <w:adjustRightInd w:val="0"/>
              <w:rPr>
                <w:rFonts w:eastAsia="Calibri"/>
                <w:b/>
                <w:color w:val="000000"/>
                <w:sz w:val="22"/>
              </w:rPr>
            </w:pPr>
            <w:r w:rsidRPr="00B75FD7">
              <w:rPr>
                <w:rFonts w:eastAsia="Calibri"/>
                <w:b/>
                <w:color w:val="000000"/>
                <w:sz w:val="22"/>
              </w:rPr>
              <w:t>Очікувані якісні результати від реалізації проекту</w:t>
            </w:r>
          </w:p>
        </w:tc>
        <w:tc>
          <w:tcPr>
            <w:tcW w:w="6948" w:type="dxa"/>
            <w:gridSpan w:val="7"/>
            <w:tcBorders>
              <w:top w:val="single" w:sz="6" w:space="0" w:color="auto"/>
              <w:left w:val="single" w:sz="6" w:space="0" w:color="auto"/>
              <w:bottom w:val="single" w:sz="6" w:space="0" w:color="auto"/>
              <w:right w:val="single" w:sz="6" w:space="0" w:color="auto"/>
            </w:tcBorders>
          </w:tcPr>
          <w:p w:rsidR="002F4714" w:rsidRPr="00B75FD7" w:rsidRDefault="002F4714" w:rsidP="00CF4B4F">
            <w:pPr>
              <w:rPr>
                <w:sz w:val="22"/>
              </w:rPr>
            </w:pPr>
            <w:r w:rsidRPr="00B75FD7">
              <w:rPr>
                <w:rFonts w:eastAsia="Calibri"/>
                <w:color w:val="000000"/>
                <w:sz w:val="22"/>
              </w:rPr>
              <w:t xml:space="preserve"> 1. </w:t>
            </w:r>
            <w:r w:rsidRPr="00B75FD7">
              <w:rPr>
                <w:sz w:val="22"/>
              </w:rPr>
              <w:t>Покращення рівня надання освітніх послуг населенню Сєвєродонецької  громади.</w:t>
            </w:r>
          </w:p>
          <w:p w:rsidR="002F4714" w:rsidRPr="00B75FD7" w:rsidRDefault="002F4714" w:rsidP="00CF4B4F">
            <w:pPr>
              <w:rPr>
                <w:sz w:val="22"/>
              </w:rPr>
            </w:pPr>
            <w:r w:rsidRPr="00B75FD7">
              <w:rPr>
                <w:sz w:val="22"/>
              </w:rPr>
              <w:t>2.Створення комфортних умов в будівлі закладу.</w:t>
            </w:r>
          </w:p>
          <w:p w:rsidR="002F4714" w:rsidRPr="00B75FD7" w:rsidRDefault="002F4714" w:rsidP="00CF4B4F">
            <w:pPr>
              <w:rPr>
                <w:sz w:val="22"/>
              </w:rPr>
            </w:pPr>
            <w:r w:rsidRPr="00B75FD7">
              <w:rPr>
                <w:sz w:val="22"/>
              </w:rPr>
              <w:t>3. Зниження експлуатаційних витрат до 30 %;</w:t>
            </w:r>
          </w:p>
          <w:p w:rsidR="002F4714" w:rsidRPr="00B75FD7" w:rsidRDefault="002F4714" w:rsidP="00CF4B4F">
            <w:pPr>
              <w:rPr>
                <w:sz w:val="22"/>
              </w:rPr>
            </w:pPr>
            <w:r w:rsidRPr="00B75FD7">
              <w:rPr>
                <w:sz w:val="22"/>
              </w:rPr>
              <w:t>4..Подовження терміну експлуатації будівель.</w:t>
            </w:r>
          </w:p>
          <w:p w:rsidR="002F4714" w:rsidRPr="00B75FD7" w:rsidRDefault="002F4714" w:rsidP="00CF4B4F">
            <w:pPr>
              <w:rPr>
                <w:sz w:val="22"/>
              </w:rPr>
            </w:pPr>
            <w:r w:rsidRPr="00B75FD7">
              <w:rPr>
                <w:sz w:val="22"/>
              </w:rPr>
              <w:t>4.Економія споживання теплової енергії на 30 %</w:t>
            </w:r>
            <w:r w:rsidR="006F52F5" w:rsidRPr="00B75FD7">
              <w:rPr>
                <w:sz w:val="22"/>
              </w:rPr>
              <w:t>.</w:t>
            </w:r>
          </w:p>
          <w:p w:rsidR="002F4714" w:rsidRPr="00B75FD7" w:rsidRDefault="002F4714" w:rsidP="00CF4B4F">
            <w:pPr>
              <w:rPr>
                <w:sz w:val="22"/>
              </w:rPr>
            </w:pPr>
            <w:r w:rsidRPr="00B75FD7">
              <w:rPr>
                <w:sz w:val="22"/>
              </w:rPr>
              <w:t>5.Зменшення споживання електричної енергії за рахунок заміни застарілого енергоємного обладнання на сучасне.</w:t>
            </w:r>
          </w:p>
          <w:p w:rsidR="002F4714" w:rsidRPr="00B75FD7" w:rsidRDefault="002F4714" w:rsidP="00CF4B4F">
            <w:pPr>
              <w:tabs>
                <w:tab w:val="left" w:pos="2235"/>
              </w:tabs>
              <w:rPr>
                <w:rFonts w:eastAsia="Calibri"/>
                <w:sz w:val="22"/>
              </w:rPr>
            </w:pPr>
            <w:r w:rsidRPr="00B75FD7">
              <w:rPr>
                <w:rFonts w:eastAsia="Calibri"/>
                <w:sz w:val="22"/>
              </w:rPr>
              <w:t>6.Стимул повернення ВПО до громади.</w:t>
            </w:r>
          </w:p>
        </w:tc>
      </w:tr>
      <w:tr w:rsidR="002F4714" w:rsidRPr="00B75FD7" w:rsidTr="002F4714">
        <w:trPr>
          <w:trHeight w:val="581"/>
        </w:trPr>
        <w:tc>
          <w:tcPr>
            <w:tcW w:w="1022" w:type="dxa"/>
            <w:tcBorders>
              <w:top w:val="nil"/>
              <w:left w:val="nil"/>
              <w:bottom w:val="nil"/>
              <w:right w:val="nil"/>
            </w:tcBorders>
          </w:tcPr>
          <w:p w:rsidR="002F4714" w:rsidRPr="00B75FD7" w:rsidRDefault="002F4714" w:rsidP="00CF4B4F">
            <w:pPr>
              <w:autoSpaceDE w:val="0"/>
              <w:autoSpaceDN w:val="0"/>
              <w:adjustRightInd w:val="0"/>
              <w:jc w:val="right"/>
              <w:rPr>
                <w:rFonts w:eastAsia="Calibri"/>
                <w:color w:val="000000"/>
                <w:sz w:val="22"/>
              </w:rPr>
            </w:pPr>
          </w:p>
        </w:tc>
        <w:tc>
          <w:tcPr>
            <w:tcW w:w="297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5FD7" w:rsidRDefault="002F4714" w:rsidP="00CF4B4F">
            <w:pPr>
              <w:autoSpaceDE w:val="0"/>
              <w:autoSpaceDN w:val="0"/>
              <w:adjustRightInd w:val="0"/>
              <w:rPr>
                <w:rFonts w:eastAsia="Calibri"/>
                <w:b/>
                <w:color w:val="000000"/>
                <w:sz w:val="22"/>
              </w:rPr>
            </w:pPr>
            <w:r w:rsidRPr="00B75FD7">
              <w:rPr>
                <w:rFonts w:eastAsia="Calibri"/>
                <w:b/>
                <w:color w:val="000000"/>
                <w:sz w:val="22"/>
              </w:rPr>
              <w:t>Очікувані кількісні результати від реалізації проекту  (індикатори)</w:t>
            </w:r>
          </w:p>
        </w:tc>
        <w:tc>
          <w:tcPr>
            <w:tcW w:w="2552" w:type="dxa"/>
            <w:gridSpan w:val="3"/>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b/>
                <w:color w:val="000000"/>
                <w:sz w:val="22"/>
              </w:rPr>
            </w:pPr>
            <w:r w:rsidRPr="00B75FD7">
              <w:rPr>
                <w:rFonts w:eastAsia="Calibri"/>
                <w:b/>
                <w:color w:val="000000"/>
                <w:sz w:val="22"/>
              </w:rPr>
              <w:t>Найменування показника</w:t>
            </w:r>
          </w:p>
        </w:tc>
        <w:tc>
          <w:tcPr>
            <w:tcW w:w="1417" w:type="dxa"/>
            <w:gridSpan w:val="2"/>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b/>
                <w:color w:val="000000"/>
                <w:sz w:val="22"/>
              </w:rPr>
            </w:pPr>
            <w:r w:rsidRPr="00B75FD7">
              <w:rPr>
                <w:rFonts w:eastAsia="Calibri"/>
                <w:b/>
                <w:color w:val="000000"/>
                <w:sz w:val="22"/>
              </w:rPr>
              <w:t>Одиниця вимірювання</w:t>
            </w:r>
          </w:p>
        </w:tc>
        <w:tc>
          <w:tcPr>
            <w:tcW w:w="2979" w:type="dxa"/>
            <w:gridSpan w:val="2"/>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b/>
                <w:color w:val="000000"/>
                <w:sz w:val="22"/>
              </w:rPr>
            </w:pPr>
            <w:r w:rsidRPr="00B75FD7">
              <w:rPr>
                <w:rFonts w:eastAsia="Calibri"/>
                <w:b/>
                <w:color w:val="000000"/>
                <w:sz w:val="22"/>
              </w:rPr>
              <w:t>Прогнозне (цільове) значення</w:t>
            </w:r>
          </w:p>
        </w:tc>
      </w:tr>
      <w:tr w:rsidR="002F4714" w:rsidRPr="00B75FD7" w:rsidTr="002F4714">
        <w:trPr>
          <w:trHeight w:val="625"/>
        </w:trPr>
        <w:tc>
          <w:tcPr>
            <w:tcW w:w="1022" w:type="dxa"/>
            <w:tcBorders>
              <w:top w:val="nil"/>
              <w:left w:val="nil"/>
              <w:bottom w:val="nil"/>
              <w:right w:val="nil"/>
            </w:tcBorders>
          </w:tcPr>
          <w:p w:rsidR="002F4714" w:rsidRPr="00B75FD7" w:rsidRDefault="002F4714" w:rsidP="00CF4B4F">
            <w:pPr>
              <w:autoSpaceDE w:val="0"/>
              <w:autoSpaceDN w:val="0"/>
              <w:adjustRightInd w:val="0"/>
              <w:jc w:val="right"/>
              <w:rPr>
                <w:rFonts w:eastAsia="Calibri"/>
                <w:color w:val="000000"/>
                <w:sz w:val="22"/>
              </w:rPr>
            </w:pPr>
          </w:p>
        </w:tc>
        <w:tc>
          <w:tcPr>
            <w:tcW w:w="2975" w:type="dxa"/>
            <w:vMerge w:val="restart"/>
            <w:tcBorders>
              <w:top w:val="single" w:sz="6" w:space="0" w:color="auto"/>
              <w:left w:val="single" w:sz="6" w:space="0" w:color="auto"/>
              <w:right w:val="single" w:sz="6" w:space="0" w:color="auto"/>
            </w:tcBorders>
            <w:shd w:val="clear" w:color="00FFFF" w:fill="C6D9F1" w:themeFill="text2" w:themeFillTint="33"/>
          </w:tcPr>
          <w:p w:rsidR="002F4714" w:rsidRPr="00B75FD7" w:rsidRDefault="002F4714" w:rsidP="00CF4B4F">
            <w:pPr>
              <w:autoSpaceDE w:val="0"/>
              <w:autoSpaceDN w:val="0"/>
              <w:adjustRightInd w:val="0"/>
              <w:rPr>
                <w:rFonts w:eastAsia="Calibri"/>
                <w:b/>
                <w:color w:val="000000"/>
                <w:sz w:val="22"/>
              </w:rPr>
            </w:pPr>
          </w:p>
        </w:tc>
        <w:tc>
          <w:tcPr>
            <w:tcW w:w="2552" w:type="dxa"/>
            <w:gridSpan w:val="3"/>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color w:val="000000"/>
                <w:sz w:val="22"/>
              </w:rPr>
            </w:pPr>
            <w:r w:rsidRPr="00B75FD7">
              <w:rPr>
                <w:rFonts w:eastAsia="Calibri"/>
                <w:color w:val="000000"/>
                <w:sz w:val="22"/>
              </w:rPr>
              <w:t>Економія світла, економія тепла, води.</w:t>
            </w:r>
          </w:p>
        </w:tc>
        <w:tc>
          <w:tcPr>
            <w:tcW w:w="1417" w:type="dxa"/>
            <w:gridSpan w:val="2"/>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color w:val="000000"/>
                <w:sz w:val="22"/>
              </w:rPr>
            </w:pPr>
            <w:r w:rsidRPr="00B75FD7">
              <w:rPr>
                <w:rFonts w:eastAsia="Calibri"/>
                <w:color w:val="000000"/>
                <w:sz w:val="22"/>
              </w:rPr>
              <w:t>%</w:t>
            </w:r>
          </w:p>
          <w:p w:rsidR="002F4714" w:rsidRPr="00B75FD7" w:rsidRDefault="002F4714" w:rsidP="00CF4B4F">
            <w:pPr>
              <w:autoSpaceDE w:val="0"/>
              <w:autoSpaceDN w:val="0"/>
              <w:adjustRightInd w:val="0"/>
              <w:rPr>
                <w:rFonts w:eastAsia="Calibri"/>
                <w:color w:val="000000"/>
                <w:sz w:val="22"/>
              </w:rPr>
            </w:pPr>
          </w:p>
        </w:tc>
        <w:tc>
          <w:tcPr>
            <w:tcW w:w="2979" w:type="dxa"/>
            <w:gridSpan w:val="2"/>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color w:val="000000"/>
                <w:sz w:val="22"/>
              </w:rPr>
            </w:pPr>
            <w:r w:rsidRPr="00B75FD7">
              <w:rPr>
                <w:rFonts w:eastAsia="Calibri"/>
                <w:color w:val="000000"/>
                <w:sz w:val="22"/>
              </w:rPr>
              <w:t>Економія складатиме  30% - 50%</w:t>
            </w:r>
          </w:p>
        </w:tc>
      </w:tr>
      <w:tr w:rsidR="002F4714" w:rsidRPr="00B75FD7" w:rsidTr="002F4714">
        <w:trPr>
          <w:trHeight w:val="551"/>
        </w:trPr>
        <w:tc>
          <w:tcPr>
            <w:tcW w:w="1022" w:type="dxa"/>
            <w:tcBorders>
              <w:top w:val="nil"/>
              <w:left w:val="nil"/>
              <w:bottom w:val="nil"/>
              <w:right w:val="nil"/>
            </w:tcBorders>
          </w:tcPr>
          <w:p w:rsidR="002F4714" w:rsidRPr="00B75FD7" w:rsidRDefault="002F4714" w:rsidP="00CF4B4F">
            <w:pPr>
              <w:autoSpaceDE w:val="0"/>
              <w:autoSpaceDN w:val="0"/>
              <w:adjustRightInd w:val="0"/>
              <w:jc w:val="right"/>
              <w:rPr>
                <w:rFonts w:eastAsia="Calibri"/>
                <w:color w:val="000000"/>
                <w:sz w:val="22"/>
              </w:rPr>
            </w:pPr>
          </w:p>
        </w:tc>
        <w:tc>
          <w:tcPr>
            <w:tcW w:w="2975" w:type="dxa"/>
            <w:vMerge/>
            <w:tcBorders>
              <w:left w:val="single" w:sz="6" w:space="0" w:color="auto"/>
              <w:right w:val="single" w:sz="6" w:space="0" w:color="auto"/>
            </w:tcBorders>
            <w:shd w:val="clear" w:color="00FFFF" w:fill="C6D9F1" w:themeFill="text2" w:themeFillTint="33"/>
          </w:tcPr>
          <w:p w:rsidR="002F4714" w:rsidRPr="00B75FD7" w:rsidRDefault="002F4714" w:rsidP="00CF4B4F">
            <w:pPr>
              <w:autoSpaceDE w:val="0"/>
              <w:autoSpaceDN w:val="0"/>
              <w:adjustRightInd w:val="0"/>
              <w:rPr>
                <w:rFonts w:eastAsia="Calibri"/>
                <w:b/>
                <w:color w:val="000000"/>
                <w:sz w:val="22"/>
              </w:rPr>
            </w:pPr>
          </w:p>
        </w:tc>
        <w:tc>
          <w:tcPr>
            <w:tcW w:w="2552" w:type="dxa"/>
            <w:gridSpan w:val="3"/>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color w:val="000000"/>
                <w:sz w:val="22"/>
              </w:rPr>
            </w:pPr>
            <w:r w:rsidRPr="00B75FD7">
              <w:rPr>
                <w:rFonts w:eastAsia="Calibri"/>
                <w:color w:val="000000"/>
                <w:sz w:val="22"/>
              </w:rPr>
              <w:t>Безпечне освітнє середовище</w:t>
            </w:r>
          </w:p>
        </w:tc>
        <w:tc>
          <w:tcPr>
            <w:tcW w:w="1417" w:type="dxa"/>
            <w:gridSpan w:val="2"/>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color w:val="000000"/>
                <w:sz w:val="22"/>
              </w:rPr>
            </w:pPr>
            <w:r w:rsidRPr="00B75FD7">
              <w:rPr>
                <w:rFonts w:eastAsia="Calibri"/>
                <w:color w:val="000000"/>
                <w:sz w:val="22"/>
              </w:rPr>
              <w:t>осіб</w:t>
            </w:r>
          </w:p>
          <w:p w:rsidR="002F4714" w:rsidRPr="00B75FD7" w:rsidRDefault="002F4714" w:rsidP="00CF4B4F">
            <w:pPr>
              <w:autoSpaceDE w:val="0"/>
              <w:autoSpaceDN w:val="0"/>
              <w:adjustRightInd w:val="0"/>
              <w:rPr>
                <w:rFonts w:eastAsia="Calibri"/>
                <w:color w:val="000000"/>
                <w:sz w:val="22"/>
              </w:rPr>
            </w:pPr>
          </w:p>
        </w:tc>
        <w:tc>
          <w:tcPr>
            <w:tcW w:w="2979" w:type="dxa"/>
            <w:gridSpan w:val="2"/>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color w:val="000000"/>
                <w:sz w:val="22"/>
              </w:rPr>
            </w:pPr>
            <w:r w:rsidRPr="00B75FD7">
              <w:rPr>
                <w:rFonts w:eastAsia="Calibri"/>
                <w:color w:val="000000"/>
                <w:sz w:val="22"/>
              </w:rPr>
              <w:t>500</w:t>
            </w:r>
          </w:p>
          <w:p w:rsidR="002F4714" w:rsidRPr="00B75FD7" w:rsidRDefault="002F4714" w:rsidP="00CF4B4F">
            <w:pPr>
              <w:autoSpaceDE w:val="0"/>
              <w:autoSpaceDN w:val="0"/>
              <w:adjustRightInd w:val="0"/>
              <w:rPr>
                <w:rFonts w:eastAsia="Calibri"/>
                <w:color w:val="000000"/>
                <w:sz w:val="22"/>
              </w:rPr>
            </w:pPr>
          </w:p>
        </w:tc>
      </w:tr>
      <w:tr w:rsidR="002F4714" w:rsidRPr="00B75FD7" w:rsidTr="002F4714">
        <w:trPr>
          <w:trHeight w:val="700"/>
        </w:trPr>
        <w:tc>
          <w:tcPr>
            <w:tcW w:w="1022" w:type="dxa"/>
            <w:tcBorders>
              <w:top w:val="nil"/>
              <w:left w:val="nil"/>
              <w:bottom w:val="nil"/>
              <w:right w:val="nil"/>
            </w:tcBorders>
          </w:tcPr>
          <w:p w:rsidR="002F4714" w:rsidRPr="00B75FD7" w:rsidRDefault="002F4714" w:rsidP="00CF4B4F">
            <w:pPr>
              <w:autoSpaceDE w:val="0"/>
              <w:autoSpaceDN w:val="0"/>
              <w:adjustRightInd w:val="0"/>
              <w:jc w:val="right"/>
              <w:rPr>
                <w:rFonts w:eastAsia="Calibri"/>
                <w:color w:val="000000"/>
                <w:sz w:val="22"/>
              </w:rPr>
            </w:pPr>
          </w:p>
        </w:tc>
        <w:tc>
          <w:tcPr>
            <w:tcW w:w="297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5FD7" w:rsidRDefault="002F4714" w:rsidP="00CF4B4F">
            <w:pPr>
              <w:autoSpaceDE w:val="0"/>
              <w:autoSpaceDN w:val="0"/>
              <w:adjustRightInd w:val="0"/>
              <w:rPr>
                <w:rFonts w:eastAsia="Calibri"/>
                <w:b/>
                <w:color w:val="000000"/>
                <w:sz w:val="22"/>
              </w:rPr>
            </w:pPr>
            <w:r w:rsidRPr="00B75FD7">
              <w:rPr>
                <w:rFonts w:eastAsia="Calibri"/>
                <w:b/>
                <w:color w:val="000000"/>
                <w:sz w:val="22"/>
              </w:rPr>
              <w:t>Ключові заходи проекту:</w:t>
            </w:r>
          </w:p>
        </w:tc>
        <w:tc>
          <w:tcPr>
            <w:tcW w:w="6948" w:type="dxa"/>
            <w:gridSpan w:val="7"/>
            <w:tcBorders>
              <w:top w:val="single" w:sz="6" w:space="0" w:color="auto"/>
              <w:left w:val="single" w:sz="6" w:space="0" w:color="auto"/>
              <w:bottom w:val="single" w:sz="6" w:space="0" w:color="auto"/>
              <w:right w:val="single" w:sz="6" w:space="0" w:color="auto"/>
            </w:tcBorders>
          </w:tcPr>
          <w:p w:rsidR="002F4714" w:rsidRPr="00B75FD7" w:rsidRDefault="002F4714" w:rsidP="00CF4B4F">
            <w:pPr>
              <w:pStyle w:val="a7"/>
              <w:autoSpaceDE w:val="0"/>
              <w:autoSpaceDN w:val="0"/>
              <w:adjustRightInd w:val="0"/>
              <w:ind w:left="0" w:hanging="51"/>
              <w:rPr>
                <w:rFonts w:eastAsia="Calibri"/>
                <w:color w:val="000000"/>
                <w:sz w:val="22"/>
              </w:rPr>
            </w:pPr>
            <w:r w:rsidRPr="00B75FD7">
              <w:rPr>
                <w:rFonts w:eastAsia="Calibri"/>
                <w:color w:val="000000"/>
                <w:sz w:val="22"/>
              </w:rPr>
              <w:t>1.Обстеження стану будівлі.</w:t>
            </w:r>
          </w:p>
          <w:p w:rsidR="002F4714" w:rsidRPr="00B75FD7" w:rsidRDefault="002F4714" w:rsidP="00CF4B4F">
            <w:pPr>
              <w:autoSpaceDE w:val="0"/>
              <w:autoSpaceDN w:val="0"/>
              <w:adjustRightInd w:val="0"/>
              <w:rPr>
                <w:rFonts w:eastAsia="Calibri"/>
                <w:color w:val="000000"/>
                <w:sz w:val="22"/>
              </w:rPr>
            </w:pPr>
            <w:r w:rsidRPr="00B75FD7">
              <w:rPr>
                <w:rFonts w:eastAsia="Calibri"/>
                <w:color w:val="000000"/>
                <w:sz w:val="22"/>
              </w:rPr>
              <w:t xml:space="preserve">2. Розробка </w:t>
            </w:r>
            <w:proofErr w:type="spellStart"/>
            <w:r w:rsidRPr="00B75FD7">
              <w:rPr>
                <w:rFonts w:eastAsia="Calibri"/>
                <w:color w:val="000000"/>
                <w:sz w:val="22"/>
              </w:rPr>
              <w:t>проєктно</w:t>
            </w:r>
            <w:proofErr w:type="spellEnd"/>
            <w:r w:rsidRPr="00B75FD7">
              <w:rPr>
                <w:rFonts w:eastAsia="Calibri"/>
                <w:color w:val="000000"/>
                <w:sz w:val="22"/>
              </w:rPr>
              <w:t>-кошторисної документації.</w:t>
            </w:r>
          </w:p>
          <w:p w:rsidR="002F4714" w:rsidRPr="00B75FD7" w:rsidRDefault="002F4714" w:rsidP="00CF4B4F">
            <w:pPr>
              <w:autoSpaceDE w:val="0"/>
              <w:autoSpaceDN w:val="0"/>
              <w:adjustRightInd w:val="0"/>
              <w:rPr>
                <w:rFonts w:eastAsia="Calibri"/>
                <w:color w:val="000000"/>
                <w:sz w:val="22"/>
              </w:rPr>
            </w:pPr>
            <w:r w:rsidRPr="00B75FD7">
              <w:rPr>
                <w:rFonts w:eastAsia="Calibri"/>
                <w:color w:val="000000"/>
                <w:sz w:val="22"/>
              </w:rPr>
              <w:t>3.Відновлення частини зруйнованої будівлі.</w:t>
            </w:r>
          </w:p>
          <w:p w:rsidR="002F4714" w:rsidRPr="00B75FD7" w:rsidRDefault="002F4714" w:rsidP="00CF4B4F">
            <w:pPr>
              <w:autoSpaceDE w:val="0"/>
              <w:autoSpaceDN w:val="0"/>
              <w:adjustRightInd w:val="0"/>
              <w:rPr>
                <w:rFonts w:eastAsia="Calibri"/>
                <w:color w:val="000000"/>
                <w:sz w:val="22"/>
              </w:rPr>
            </w:pPr>
            <w:r w:rsidRPr="00B75FD7">
              <w:rPr>
                <w:rFonts w:eastAsia="Calibri"/>
                <w:color w:val="000000"/>
                <w:sz w:val="22"/>
              </w:rPr>
              <w:t>4.Капітальний ремонт  холу, коридорів, кабінетів, групових приміщень, пральні, харчоблоку, службових приміщень.</w:t>
            </w:r>
          </w:p>
          <w:p w:rsidR="002F4714" w:rsidRPr="00B75FD7" w:rsidRDefault="002F4714" w:rsidP="00CF4B4F">
            <w:pPr>
              <w:autoSpaceDE w:val="0"/>
              <w:autoSpaceDN w:val="0"/>
              <w:adjustRightInd w:val="0"/>
              <w:rPr>
                <w:rFonts w:eastAsia="Calibri"/>
                <w:color w:val="000000"/>
                <w:sz w:val="22"/>
              </w:rPr>
            </w:pPr>
            <w:r w:rsidRPr="00B75FD7">
              <w:rPr>
                <w:rFonts w:eastAsia="Calibri"/>
                <w:color w:val="000000"/>
                <w:sz w:val="22"/>
              </w:rPr>
              <w:t xml:space="preserve"> 5.</w:t>
            </w:r>
            <w:r w:rsidRPr="00B75FD7">
              <w:rPr>
                <w:sz w:val="22"/>
              </w:rPr>
              <w:t xml:space="preserve"> Проведення робіт з </w:t>
            </w:r>
            <w:proofErr w:type="spellStart"/>
            <w:r w:rsidRPr="00B75FD7">
              <w:rPr>
                <w:sz w:val="22"/>
              </w:rPr>
              <w:t>термомодернізації</w:t>
            </w:r>
            <w:proofErr w:type="spellEnd"/>
            <w:r w:rsidRPr="00B75FD7">
              <w:rPr>
                <w:sz w:val="22"/>
              </w:rPr>
              <w:t xml:space="preserve"> (утеплення покрівлі, фасаду, встановлення енергоефективних вікон та дверей).</w:t>
            </w:r>
          </w:p>
          <w:p w:rsidR="002F4714" w:rsidRPr="00B75FD7" w:rsidRDefault="002F4714" w:rsidP="00CF4B4F">
            <w:pPr>
              <w:autoSpaceDE w:val="0"/>
              <w:autoSpaceDN w:val="0"/>
              <w:adjustRightInd w:val="0"/>
              <w:rPr>
                <w:rFonts w:eastAsia="Calibri"/>
                <w:color w:val="000000"/>
                <w:sz w:val="22"/>
              </w:rPr>
            </w:pPr>
            <w:r w:rsidRPr="00B75FD7">
              <w:rPr>
                <w:rFonts w:eastAsia="Calibri"/>
                <w:color w:val="000000"/>
                <w:sz w:val="22"/>
              </w:rPr>
              <w:t xml:space="preserve">6. Вимощення </w:t>
            </w:r>
            <w:proofErr w:type="spellStart"/>
            <w:r w:rsidRPr="00B75FD7">
              <w:rPr>
                <w:rFonts w:eastAsia="Calibri"/>
                <w:color w:val="000000"/>
                <w:sz w:val="22"/>
              </w:rPr>
              <w:t>ганків</w:t>
            </w:r>
            <w:proofErr w:type="spellEnd"/>
            <w:r w:rsidRPr="00B75FD7">
              <w:rPr>
                <w:rFonts w:eastAsia="Calibri"/>
                <w:color w:val="000000"/>
                <w:sz w:val="22"/>
              </w:rPr>
              <w:t xml:space="preserve"> з улаштуванням пандусу.</w:t>
            </w:r>
          </w:p>
          <w:p w:rsidR="002F4714" w:rsidRPr="00B75FD7" w:rsidRDefault="002F4714" w:rsidP="00CF4B4F">
            <w:pPr>
              <w:autoSpaceDE w:val="0"/>
              <w:autoSpaceDN w:val="0"/>
              <w:adjustRightInd w:val="0"/>
              <w:rPr>
                <w:rFonts w:eastAsia="Calibri"/>
                <w:color w:val="000000"/>
                <w:sz w:val="22"/>
              </w:rPr>
            </w:pPr>
            <w:r w:rsidRPr="00B75FD7">
              <w:rPr>
                <w:rFonts w:eastAsia="Calibri"/>
                <w:color w:val="000000"/>
                <w:sz w:val="22"/>
              </w:rPr>
              <w:t>9. Ремонтні роботи з відновлення системи водопостачання та водовідведення.</w:t>
            </w:r>
          </w:p>
          <w:p w:rsidR="002F4714" w:rsidRPr="00B75FD7" w:rsidRDefault="002F4714" w:rsidP="00CF4B4F">
            <w:pPr>
              <w:autoSpaceDE w:val="0"/>
              <w:autoSpaceDN w:val="0"/>
              <w:adjustRightInd w:val="0"/>
              <w:rPr>
                <w:rFonts w:eastAsia="Calibri"/>
                <w:color w:val="000000"/>
                <w:sz w:val="22"/>
              </w:rPr>
            </w:pPr>
            <w:r w:rsidRPr="00B75FD7">
              <w:rPr>
                <w:rFonts w:eastAsia="Calibri"/>
                <w:color w:val="000000"/>
                <w:sz w:val="22"/>
              </w:rPr>
              <w:t xml:space="preserve">10.Ремонтні роботи з відновлення системи електропостачання. </w:t>
            </w:r>
          </w:p>
          <w:p w:rsidR="002F4714" w:rsidRPr="00B75FD7" w:rsidRDefault="002F4714" w:rsidP="00CF4B4F">
            <w:pPr>
              <w:autoSpaceDE w:val="0"/>
              <w:autoSpaceDN w:val="0"/>
              <w:adjustRightInd w:val="0"/>
              <w:rPr>
                <w:rFonts w:eastAsia="Calibri"/>
                <w:color w:val="000000"/>
                <w:sz w:val="22"/>
              </w:rPr>
            </w:pPr>
            <w:r w:rsidRPr="00B75FD7">
              <w:rPr>
                <w:rFonts w:eastAsia="Calibri"/>
                <w:color w:val="000000"/>
                <w:sz w:val="22"/>
              </w:rPr>
              <w:t>11.Ремонтні роботи з відновлення системи опалення.</w:t>
            </w:r>
          </w:p>
          <w:p w:rsidR="002F4714" w:rsidRPr="00B75FD7" w:rsidRDefault="002F4714" w:rsidP="00CF4B4F">
            <w:pPr>
              <w:autoSpaceDE w:val="0"/>
              <w:autoSpaceDN w:val="0"/>
              <w:adjustRightInd w:val="0"/>
              <w:rPr>
                <w:rFonts w:eastAsia="Calibri"/>
                <w:color w:val="000000"/>
                <w:sz w:val="22"/>
              </w:rPr>
            </w:pPr>
            <w:r w:rsidRPr="00B75FD7">
              <w:rPr>
                <w:rFonts w:eastAsia="Calibri"/>
                <w:color w:val="000000"/>
                <w:sz w:val="22"/>
              </w:rPr>
              <w:t>12. Оснащення протипожежною сигналізацією.</w:t>
            </w:r>
          </w:p>
          <w:p w:rsidR="002F4714" w:rsidRPr="00B75FD7" w:rsidRDefault="002F4714" w:rsidP="00CF4B4F">
            <w:pPr>
              <w:autoSpaceDE w:val="0"/>
              <w:autoSpaceDN w:val="0"/>
              <w:adjustRightInd w:val="0"/>
              <w:rPr>
                <w:rFonts w:eastAsia="Calibri"/>
                <w:color w:val="000000"/>
                <w:sz w:val="22"/>
              </w:rPr>
            </w:pPr>
            <w:r w:rsidRPr="00B75FD7">
              <w:rPr>
                <w:rFonts w:eastAsia="Calibri"/>
                <w:color w:val="000000"/>
                <w:sz w:val="22"/>
              </w:rPr>
              <w:lastRenderedPageBreak/>
              <w:t>13. Реконструкція бомбосховища.</w:t>
            </w:r>
          </w:p>
          <w:p w:rsidR="002F4714" w:rsidRPr="00B75FD7" w:rsidRDefault="002F4714" w:rsidP="00CF4B4F">
            <w:pPr>
              <w:autoSpaceDE w:val="0"/>
              <w:autoSpaceDN w:val="0"/>
              <w:adjustRightInd w:val="0"/>
              <w:rPr>
                <w:rFonts w:eastAsia="Calibri"/>
                <w:color w:val="000000"/>
                <w:sz w:val="22"/>
              </w:rPr>
            </w:pPr>
          </w:p>
        </w:tc>
      </w:tr>
      <w:tr w:rsidR="002F4714" w:rsidRPr="00B75FD7" w:rsidTr="002F4714">
        <w:trPr>
          <w:trHeight w:val="406"/>
        </w:trPr>
        <w:tc>
          <w:tcPr>
            <w:tcW w:w="1022" w:type="dxa"/>
            <w:vMerge w:val="restart"/>
            <w:tcBorders>
              <w:top w:val="nil"/>
              <w:left w:val="nil"/>
              <w:right w:val="nil"/>
            </w:tcBorders>
          </w:tcPr>
          <w:p w:rsidR="002F4714" w:rsidRPr="00B75FD7" w:rsidRDefault="002F4714" w:rsidP="00CF4B4F">
            <w:pPr>
              <w:autoSpaceDE w:val="0"/>
              <w:autoSpaceDN w:val="0"/>
              <w:adjustRightInd w:val="0"/>
              <w:jc w:val="right"/>
              <w:rPr>
                <w:rFonts w:eastAsia="Calibri"/>
                <w:color w:val="000000"/>
                <w:sz w:val="22"/>
              </w:rPr>
            </w:pPr>
          </w:p>
        </w:tc>
        <w:tc>
          <w:tcPr>
            <w:tcW w:w="2975" w:type="dxa"/>
            <w:vMerge w:val="restart"/>
            <w:tcBorders>
              <w:top w:val="single" w:sz="6" w:space="0" w:color="auto"/>
              <w:left w:val="single" w:sz="6" w:space="0" w:color="auto"/>
              <w:right w:val="single" w:sz="6" w:space="0" w:color="auto"/>
            </w:tcBorders>
            <w:shd w:val="clear" w:color="00FFFF" w:fill="C6D9F1" w:themeFill="text2" w:themeFillTint="33"/>
          </w:tcPr>
          <w:p w:rsidR="002F4714" w:rsidRPr="00B75FD7" w:rsidRDefault="002F4714" w:rsidP="00CF4B4F">
            <w:pPr>
              <w:autoSpaceDE w:val="0"/>
              <w:autoSpaceDN w:val="0"/>
              <w:adjustRightInd w:val="0"/>
              <w:rPr>
                <w:rFonts w:eastAsia="Calibri"/>
                <w:b/>
                <w:sz w:val="22"/>
              </w:rPr>
            </w:pPr>
            <w:r w:rsidRPr="00B75FD7">
              <w:rPr>
                <w:rFonts w:eastAsia="Calibri"/>
                <w:b/>
                <w:sz w:val="22"/>
              </w:rPr>
              <w:t>Орієнтовний обсяг та джерела фінансування тис. гривень</w:t>
            </w:r>
          </w:p>
        </w:tc>
        <w:tc>
          <w:tcPr>
            <w:tcW w:w="1278" w:type="dxa"/>
            <w:vMerge w:val="restart"/>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sz w:val="22"/>
              </w:rPr>
            </w:pPr>
            <w:r w:rsidRPr="00B75FD7">
              <w:rPr>
                <w:rFonts w:eastAsia="Calibri"/>
                <w:sz w:val="22"/>
              </w:rPr>
              <w:t>Державний бюджет</w:t>
            </w:r>
          </w:p>
        </w:tc>
        <w:tc>
          <w:tcPr>
            <w:tcW w:w="1134" w:type="dxa"/>
            <w:vMerge w:val="restart"/>
            <w:tcBorders>
              <w:top w:val="single" w:sz="6" w:space="0" w:color="auto"/>
              <w:left w:val="single" w:sz="6" w:space="0" w:color="auto"/>
              <w:right w:val="single" w:sz="6" w:space="0" w:color="auto"/>
            </w:tcBorders>
          </w:tcPr>
          <w:p w:rsidR="002F4714" w:rsidRPr="00B75FD7" w:rsidRDefault="002F4714" w:rsidP="00CF4B4F">
            <w:pPr>
              <w:autoSpaceDE w:val="0"/>
              <w:autoSpaceDN w:val="0"/>
              <w:adjustRightInd w:val="0"/>
              <w:rPr>
                <w:rFonts w:eastAsia="Calibri"/>
                <w:sz w:val="22"/>
              </w:rPr>
            </w:pPr>
            <w:r w:rsidRPr="00B75FD7">
              <w:rPr>
                <w:rFonts w:eastAsia="Calibri"/>
                <w:sz w:val="22"/>
              </w:rPr>
              <w:t>Місцевий бюджет</w:t>
            </w:r>
          </w:p>
        </w:tc>
        <w:tc>
          <w:tcPr>
            <w:tcW w:w="3119" w:type="dxa"/>
            <w:gridSpan w:val="4"/>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sz w:val="22"/>
              </w:rPr>
            </w:pPr>
            <w:r w:rsidRPr="00B75FD7">
              <w:rPr>
                <w:rFonts w:eastAsia="Calibri"/>
                <w:sz w:val="22"/>
              </w:rPr>
              <w:t>Інші джерела</w:t>
            </w:r>
          </w:p>
        </w:tc>
        <w:tc>
          <w:tcPr>
            <w:tcW w:w="1417" w:type="dxa"/>
            <w:vMerge w:val="restart"/>
            <w:tcBorders>
              <w:top w:val="single" w:sz="6" w:space="0" w:color="auto"/>
              <w:left w:val="single" w:sz="6" w:space="0" w:color="auto"/>
              <w:right w:val="single" w:sz="6" w:space="0" w:color="auto"/>
            </w:tcBorders>
          </w:tcPr>
          <w:p w:rsidR="002F4714" w:rsidRPr="00B75FD7" w:rsidRDefault="002F4714" w:rsidP="00CF4B4F">
            <w:pPr>
              <w:autoSpaceDE w:val="0"/>
              <w:autoSpaceDN w:val="0"/>
              <w:adjustRightInd w:val="0"/>
              <w:rPr>
                <w:rFonts w:eastAsia="Calibri"/>
                <w:sz w:val="22"/>
              </w:rPr>
            </w:pPr>
            <w:r w:rsidRPr="00B75FD7">
              <w:rPr>
                <w:rFonts w:eastAsia="Calibri"/>
                <w:sz w:val="22"/>
              </w:rPr>
              <w:t>Всього</w:t>
            </w:r>
          </w:p>
        </w:tc>
      </w:tr>
      <w:tr w:rsidR="002F4714" w:rsidRPr="00B75FD7" w:rsidTr="002F4714">
        <w:trPr>
          <w:trHeight w:val="65"/>
        </w:trPr>
        <w:tc>
          <w:tcPr>
            <w:tcW w:w="1022" w:type="dxa"/>
            <w:vMerge/>
            <w:tcBorders>
              <w:left w:val="nil"/>
              <w:right w:val="nil"/>
            </w:tcBorders>
          </w:tcPr>
          <w:p w:rsidR="002F4714" w:rsidRPr="00B75FD7" w:rsidRDefault="002F4714" w:rsidP="00CF4B4F">
            <w:pPr>
              <w:autoSpaceDE w:val="0"/>
              <w:autoSpaceDN w:val="0"/>
              <w:adjustRightInd w:val="0"/>
              <w:jc w:val="right"/>
              <w:rPr>
                <w:rFonts w:eastAsia="Calibri"/>
                <w:color w:val="000000"/>
                <w:sz w:val="22"/>
              </w:rPr>
            </w:pPr>
          </w:p>
        </w:tc>
        <w:tc>
          <w:tcPr>
            <w:tcW w:w="2975" w:type="dxa"/>
            <w:vMerge/>
            <w:tcBorders>
              <w:left w:val="single" w:sz="6" w:space="0" w:color="auto"/>
              <w:right w:val="single" w:sz="6" w:space="0" w:color="auto"/>
            </w:tcBorders>
            <w:shd w:val="clear" w:color="00FFFF" w:fill="C6D9F1" w:themeFill="text2" w:themeFillTint="33"/>
          </w:tcPr>
          <w:p w:rsidR="002F4714" w:rsidRPr="00B75FD7" w:rsidRDefault="002F4714" w:rsidP="00CF4B4F">
            <w:pPr>
              <w:autoSpaceDE w:val="0"/>
              <w:autoSpaceDN w:val="0"/>
              <w:adjustRightInd w:val="0"/>
              <w:rPr>
                <w:rFonts w:eastAsia="Calibri"/>
                <w:b/>
                <w:sz w:val="22"/>
              </w:rPr>
            </w:pPr>
          </w:p>
        </w:tc>
        <w:tc>
          <w:tcPr>
            <w:tcW w:w="1278" w:type="dxa"/>
            <w:vMerge/>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sz w:val="22"/>
              </w:rPr>
            </w:pPr>
          </w:p>
        </w:tc>
        <w:tc>
          <w:tcPr>
            <w:tcW w:w="1134" w:type="dxa"/>
            <w:vMerge/>
            <w:tcBorders>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sz w:val="22"/>
              </w:rPr>
            </w:pPr>
          </w:p>
        </w:tc>
        <w:tc>
          <w:tcPr>
            <w:tcW w:w="1276" w:type="dxa"/>
            <w:gridSpan w:val="2"/>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sz w:val="22"/>
              </w:rPr>
            </w:pPr>
            <w:r w:rsidRPr="00B75FD7">
              <w:rPr>
                <w:rFonts w:eastAsia="Calibri"/>
                <w:sz w:val="22"/>
              </w:rPr>
              <w:t>Обсяг</w:t>
            </w:r>
          </w:p>
        </w:tc>
        <w:tc>
          <w:tcPr>
            <w:tcW w:w="1843" w:type="dxa"/>
            <w:gridSpan w:val="2"/>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sz w:val="22"/>
              </w:rPr>
            </w:pPr>
            <w:r w:rsidRPr="00B75FD7">
              <w:rPr>
                <w:rFonts w:eastAsia="Calibri"/>
                <w:sz w:val="22"/>
              </w:rPr>
              <w:t>Назва джерела</w:t>
            </w:r>
          </w:p>
        </w:tc>
        <w:tc>
          <w:tcPr>
            <w:tcW w:w="1417" w:type="dxa"/>
            <w:vMerge/>
            <w:tcBorders>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sz w:val="22"/>
              </w:rPr>
            </w:pPr>
          </w:p>
        </w:tc>
      </w:tr>
      <w:tr w:rsidR="002F4714" w:rsidRPr="00B75FD7" w:rsidTr="002F4714">
        <w:trPr>
          <w:trHeight w:val="499"/>
        </w:trPr>
        <w:tc>
          <w:tcPr>
            <w:tcW w:w="1022" w:type="dxa"/>
            <w:vMerge/>
            <w:tcBorders>
              <w:left w:val="nil"/>
              <w:bottom w:val="nil"/>
              <w:right w:val="nil"/>
            </w:tcBorders>
          </w:tcPr>
          <w:p w:rsidR="002F4714" w:rsidRPr="00B75FD7" w:rsidRDefault="002F4714" w:rsidP="00CF4B4F">
            <w:pPr>
              <w:autoSpaceDE w:val="0"/>
              <w:autoSpaceDN w:val="0"/>
              <w:adjustRightInd w:val="0"/>
              <w:jc w:val="right"/>
              <w:rPr>
                <w:rFonts w:eastAsia="Calibri"/>
                <w:color w:val="000000"/>
                <w:sz w:val="22"/>
              </w:rPr>
            </w:pPr>
          </w:p>
        </w:tc>
        <w:tc>
          <w:tcPr>
            <w:tcW w:w="2975" w:type="dxa"/>
            <w:vMerge/>
            <w:tcBorders>
              <w:left w:val="single" w:sz="6" w:space="0" w:color="auto"/>
              <w:bottom w:val="single" w:sz="6" w:space="0" w:color="auto"/>
              <w:right w:val="single" w:sz="6" w:space="0" w:color="auto"/>
            </w:tcBorders>
            <w:shd w:val="clear" w:color="00FFFF" w:fill="C6D9F1" w:themeFill="text2" w:themeFillTint="33"/>
          </w:tcPr>
          <w:p w:rsidR="002F4714" w:rsidRPr="00B75FD7" w:rsidRDefault="002F4714" w:rsidP="00CF4B4F">
            <w:pPr>
              <w:autoSpaceDE w:val="0"/>
              <w:autoSpaceDN w:val="0"/>
              <w:adjustRightInd w:val="0"/>
              <w:rPr>
                <w:rFonts w:eastAsia="Calibri"/>
                <w:b/>
                <w:sz w:val="22"/>
              </w:rPr>
            </w:pPr>
          </w:p>
        </w:tc>
        <w:tc>
          <w:tcPr>
            <w:tcW w:w="1278" w:type="dxa"/>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sz w:val="22"/>
              </w:rPr>
            </w:pPr>
            <w:r w:rsidRPr="00B75FD7">
              <w:rPr>
                <w:rFonts w:eastAsia="Calibri"/>
                <w:sz w:val="22"/>
              </w:rPr>
              <w:t>30 000, 0</w:t>
            </w:r>
          </w:p>
        </w:tc>
        <w:tc>
          <w:tcPr>
            <w:tcW w:w="1134" w:type="dxa"/>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sz w:val="22"/>
              </w:rPr>
            </w:pPr>
          </w:p>
        </w:tc>
        <w:tc>
          <w:tcPr>
            <w:tcW w:w="1276" w:type="dxa"/>
            <w:gridSpan w:val="2"/>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sz w:val="22"/>
              </w:rPr>
            </w:pPr>
            <w:r w:rsidRPr="00B75FD7">
              <w:rPr>
                <w:rFonts w:eastAsia="Calibri"/>
                <w:sz w:val="22"/>
              </w:rPr>
              <w:t>10000, 0</w:t>
            </w:r>
          </w:p>
        </w:tc>
        <w:tc>
          <w:tcPr>
            <w:tcW w:w="1843" w:type="dxa"/>
            <w:gridSpan w:val="2"/>
            <w:tcBorders>
              <w:top w:val="single" w:sz="6" w:space="0" w:color="auto"/>
              <w:left w:val="single" w:sz="6" w:space="0" w:color="auto"/>
              <w:bottom w:val="single" w:sz="6" w:space="0" w:color="auto"/>
              <w:right w:val="single" w:sz="6" w:space="0" w:color="auto"/>
            </w:tcBorders>
          </w:tcPr>
          <w:p w:rsidR="002F4714" w:rsidRPr="00B75FD7" w:rsidRDefault="002F4714" w:rsidP="002F4714">
            <w:pPr>
              <w:autoSpaceDE w:val="0"/>
              <w:autoSpaceDN w:val="0"/>
              <w:adjustRightInd w:val="0"/>
              <w:rPr>
                <w:rFonts w:eastAsia="Calibri"/>
                <w:sz w:val="22"/>
              </w:rPr>
            </w:pPr>
            <w:r w:rsidRPr="00B75FD7">
              <w:rPr>
                <w:rFonts w:eastAsia="Calibri"/>
                <w:sz w:val="22"/>
              </w:rPr>
              <w:t>Міжнародні інвестиції</w:t>
            </w:r>
          </w:p>
        </w:tc>
        <w:tc>
          <w:tcPr>
            <w:tcW w:w="1417" w:type="dxa"/>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sz w:val="22"/>
              </w:rPr>
            </w:pPr>
            <w:r w:rsidRPr="00B75FD7">
              <w:rPr>
                <w:rFonts w:eastAsia="Calibri"/>
                <w:sz w:val="22"/>
              </w:rPr>
              <w:t>40 000, 00</w:t>
            </w:r>
          </w:p>
        </w:tc>
      </w:tr>
    </w:tbl>
    <w:p w:rsidR="002F4714" w:rsidRPr="00B75FD7" w:rsidRDefault="002F4714" w:rsidP="00E33AAA">
      <w:pPr>
        <w:tabs>
          <w:tab w:val="left" w:pos="5290"/>
        </w:tabs>
        <w:rPr>
          <w:b/>
          <w:sz w:val="22"/>
        </w:rPr>
      </w:pPr>
    </w:p>
    <w:p w:rsidR="002F4714" w:rsidRPr="00B75FD7" w:rsidRDefault="002F4714" w:rsidP="00E33AAA">
      <w:pPr>
        <w:tabs>
          <w:tab w:val="left" w:pos="5290"/>
        </w:tabs>
        <w:rPr>
          <w:b/>
          <w:sz w:val="22"/>
        </w:rPr>
      </w:pPr>
    </w:p>
    <w:p w:rsidR="002D6D43" w:rsidRPr="00B75FD7" w:rsidRDefault="002D6D43" w:rsidP="00E33AAA">
      <w:pPr>
        <w:tabs>
          <w:tab w:val="left" w:pos="5290"/>
        </w:tabs>
        <w:rPr>
          <w:b/>
          <w:sz w:val="22"/>
          <w:szCs w:val="22"/>
        </w:rPr>
      </w:pPr>
    </w:p>
    <w:p w:rsidR="002D6D43" w:rsidRPr="00B74A55" w:rsidRDefault="002D6D43" w:rsidP="00E33AAA">
      <w:pPr>
        <w:tabs>
          <w:tab w:val="left" w:pos="5290"/>
        </w:tabs>
        <w:rPr>
          <w:b/>
          <w:sz w:val="22"/>
          <w:szCs w:val="22"/>
        </w:rPr>
      </w:pPr>
    </w:p>
    <w:tbl>
      <w:tblPr>
        <w:tblpPr w:leftFromText="180" w:rightFromText="180" w:vertAnchor="text" w:horzAnchor="page" w:tblpX="1" w:tblpY="123"/>
        <w:tblW w:w="11370" w:type="dxa"/>
        <w:tblLayout w:type="fixed"/>
        <w:tblCellMar>
          <w:left w:w="30" w:type="dxa"/>
          <w:right w:w="30" w:type="dxa"/>
        </w:tblCellMar>
        <w:tblLook w:val="0000" w:firstRow="0" w:lastRow="0" w:firstColumn="0" w:lastColumn="0" w:noHBand="0" w:noVBand="0"/>
      </w:tblPr>
      <w:tblGrid>
        <w:gridCol w:w="1306"/>
        <w:gridCol w:w="2977"/>
        <w:gridCol w:w="1276"/>
        <w:gridCol w:w="1134"/>
        <w:gridCol w:w="1134"/>
        <w:gridCol w:w="1842"/>
        <w:gridCol w:w="1701"/>
      </w:tblGrid>
      <w:tr w:rsidR="002F4714" w:rsidRPr="00B74A55" w:rsidTr="002F4714">
        <w:trPr>
          <w:trHeight w:val="555"/>
        </w:trPr>
        <w:tc>
          <w:tcPr>
            <w:tcW w:w="1306" w:type="dxa"/>
            <w:tcBorders>
              <w:top w:val="nil"/>
              <w:left w:val="nil"/>
              <w:bottom w:val="nil"/>
              <w:right w:val="nil"/>
            </w:tcBorders>
          </w:tcPr>
          <w:p w:rsidR="002F4714" w:rsidRPr="00B74A55" w:rsidRDefault="002F4714" w:rsidP="00CF4B4F">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4A55" w:rsidRDefault="002F4714" w:rsidP="00CF4B4F">
            <w:pPr>
              <w:autoSpaceDE w:val="0"/>
              <w:autoSpaceDN w:val="0"/>
              <w:adjustRightInd w:val="0"/>
              <w:rPr>
                <w:rFonts w:eastAsia="Calibri"/>
                <w:b/>
                <w:color w:val="000000"/>
                <w:sz w:val="22"/>
              </w:rPr>
            </w:pPr>
            <w:r w:rsidRPr="00B74A55">
              <w:rPr>
                <w:rFonts w:eastAsia="Calibri"/>
                <w:b/>
                <w:color w:val="000000"/>
                <w:sz w:val="22"/>
              </w:rPr>
              <w:t>Оперативна ціль/завдання</w:t>
            </w:r>
          </w:p>
        </w:tc>
        <w:tc>
          <w:tcPr>
            <w:tcW w:w="7087" w:type="dxa"/>
            <w:gridSpan w:val="5"/>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color w:val="000000"/>
                <w:sz w:val="22"/>
              </w:rPr>
            </w:pPr>
            <w:r w:rsidRPr="00B74A55">
              <w:rPr>
                <w:color w:val="222222"/>
                <w:sz w:val="22"/>
                <w:shd w:val="clear" w:color="auto" w:fill="FFFFFF"/>
              </w:rPr>
              <w:t xml:space="preserve">Людський розвиток через інновації управління та довіру до влади. Формування сучасного інклюзивного  </w:t>
            </w:r>
            <w:proofErr w:type="spellStart"/>
            <w:r w:rsidRPr="00B74A55">
              <w:rPr>
                <w:color w:val="222222"/>
                <w:sz w:val="22"/>
                <w:shd w:val="clear" w:color="auto" w:fill="FFFFFF"/>
              </w:rPr>
              <w:t>освітньо</w:t>
            </w:r>
            <w:proofErr w:type="spellEnd"/>
            <w:r w:rsidRPr="00B74A55">
              <w:rPr>
                <w:color w:val="222222"/>
                <w:sz w:val="22"/>
                <w:shd w:val="clear" w:color="auto" w:fill="FFFFFF"/>
              </w:rPr>
              <w:t>-культурного та спортивного простору для розвитку.</w:t>
            </w:r>
          </w:p>
        </w:tc>
      </w:tr>
      <w:tr w:rsidR="002F4714" w:rsidRPr="00B74A55" w:rsidTr="002F4714">
        <w:trPr>
          <w:trHeight w:val="691"/>
        </w:trPr>
        <w:tc>
          <w:tcPr>
            <w:tcW w:w="1306" w:type="dxa"/>
            <w:tcBorders>
              <w:top w:val="nil"/>
              <w:left w:val="nil"/>
              <w:bottom w:val="nil"/>
              <w:right w:val="nil"/>
            </w:tcBorders>
          </w:tcPr>
          <w:p w:rsidR="002F4714" w:rsidRPr="00B74A55" w:rsidRDefault="002F4714" w:rsidP="00CF4B4F">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4A55" w:rsidRDefault="002F4714" w:rsidP="00CF4B4F">
            <w:pPr>
              <w:autoSpaceDE w:val="0"/>
              <w:autoSpaceDN w:val="0"/>
              <w:adjustRightInd w:val="0"/>
              <w:rPr>
                <w:rFonts w:eastAsia="Calibri"/>
                <w:b/>
                <w:color w:val="000000"/>
                <w:sz w:val="22"/>
              </w:rPr>
            </w:pPr>
            <w:r w:rsidRPr="00B74A55">
              <w:rPr>
                <w:rFonts w:eastAsia="Calibri"/>
                <w:b/>
                <w:color w:val="000000"/>
                <w:sz w:val="22"/>
              </w:rPr>
              <w:t>Назва проекту:</w:t>
            </w:r>
          </w:p>
        </w:tc>
        <w:tc>
          <w:tcPr>
            <w:tcW w:w="7087" w:type="dxa"/>
            <w:gridSpan w:val="5"/>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color w:val="000000"/>
                <w:sz w:val="22"/>
              </w:rPr>
            </w:pPr>
            <w:r w:rsidRPr="00B74A55">
              <w:rPr>
                <w:rFonts w:eastAsia="Calibri"/>
                <w:color w:val="000000"/>
                <w:sz w:val="22"/>
              </w:rPr>
              <w:t>Матеріально – технічне оснащення  будівлі та приміщень Ясел – садка № 37 м. Сєвєродонецька Луганської обл. вул. Гагаріна буд.101-В</w:t>
            </w:r>
          </w:p>
        </w:tc>
      </w:tr>
      <w:tr w:rsidR="002F4714" w:rsidRPr="00B74A55" w:rsidTr="002F4714">
        <w:trPr>
          <w:trHeight w:val="1109"/>
        </w:trPr>
        <w:tc>
          <w:tcPr>
            <w:tcW w:w="1306" w:type="dxa"/>
            <w:tcBorders>
              <w:top w:val="nil"/>
              <w:left w:val="nil"/>
              <w:bottom w:val="nil"/>
              <w:right w:val="nil"/>
            </w:tcBorders>
          </w:tcPr>
          <w:p w:rsidR="002F4714" w:rsidRPr="00B74A55" w:rsidRDefault="002F4714" w:rsidP="00CF4B4F">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4A55" w:rsidRDefault="002F4714" w:rsidP="00CF4B4F">
            <w:pPr>
              <w:autoSpaceDE w:val="0"/>
              <w:autoSpaceDN w:val="0"/>
              <w:adjustRightInd w:val="0"/>
              <w:rPr>
                <w:rFonts w:eastAsia="Calibri"/>
                <w:b/>
                <w:color w:val="000000"/>
                <w:sz w:val="22"/>
              </w:rPr>
            </w:pPr>
            <w:r w:rsidRPr="00B74A55">
              <w:rPr>
                <w:rFonts w:eastAsia="Calibri"/>
                <w:b/>
                <w:color w:val="000000"/>
                <w:sz w:val="22"/>
              </w:rPr>
              <w:t>Ціль проекту</w:t>
            </w:r>
          </w:p>
        </w:tc>
        <w:tc>
          <w:tcPr>
            <w:tcW w:w="7087" w:type="dxa"/>
            <w:gridSpan w:val="5"/>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color w:val="000000"/>
                <w:sz w:val="22"/>
              </w:rPr>
            </w:pPr>
            <w:r w:rsidRPr="00B74A55">
              <w:rPr>
                <w:sz w:val="22"/>
              </w:rPr>
              <w:t xml:space="preserve">Після звільнення міста Сєвєродонецька після російської окупації перед командою Ясел-садка 38 постала проблема: відсутність матеріально-технічної бази для якісної дошкільної освіти дітей, </w:t>
            </w:r>
            <w:r w:rsidRPr="00B74A55">
              <w:rPr>
                <w:rFonts w:eastAsia="Calibri"/>
                <w:color w:val="000000"/>
                <w:sz w:val="22"/>
              </w:rPr>
              <w:t xml:space="preserve">відновлення якісного інклюзивного середовища  для розвитку, соціалізації, психологічного комфорту дітей з ООП  та надання їм якісних освітніх послуг у Яслах-садку № 37 </w:t>
            </w:r>
            <w:proofErr w:type="spellStart"/>
            <w:r w:rsidRPr="00B74A55">
              <w:rPr>
                <w:rFonts w:eastAsia="Calibri"/>
                <w:color w:val="000000"/>
                <w:sz w:val="22"/>
              </w:rPr>
              <w:t>м.Сєвєродонецьк</w:t>
            </w:r>
            <w:proofErr w:type="spellEnd"/>
            <w:r w:rsidRPr="00B74A55">
              <w:rPr>
                <w:rFonts w:eastAsia="Calibri"/>
                <w:color w:val="000000"/>
                <w:sz w:val="22"/>
              </w:rPr>
              <w:t>, Луганської області.</w:t>
            </w:r>
          </w:p>
        </w:tc>
      </w:tr>
      <w:tr w:rsidR="002F4714" w:rsidRPr="00B74A55" w:rsidTr="002F4714">
        <w:trPr>
          <w:trHeight w:val="290"/>
        </w:trPr>
        <w:tc>
          <w:tcPr>
            <w:tcW w:w="1306" w:type="dxa"/>
            <w:tcBorders>
              <w:top w:val="nil"/>
              <w:left w:val="nil"/>
              <w:bottom w:val="nil"/>
              <w:right w:val="nil"/>
            </w:tcBorders>
          </w:tcPr>
          <w:p w:rsidR="002F4714" w:rsidRPr="00B74A55" w:rsidRDefault="002F4714" w:rsidP="00CF4B4F">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4A55" w:rsidRDefault="002F4714" w:rsidP="00CF4B4F">
            <w:pPr>
              <w:autoSpaceDE w:val="0"/>
              <w:autoSpaceDN w:val="0"/>
              <w:adjustRightInd w:val="0"/>
              <w:rPr>
                <w:rFonts w:eastAsia="Calibri"/>
                <w:b/>
                <w:color w:val="000000"/>
                <w:sz w:val="22"/>
              </w:rPr>
            </w:pPr>
            <w:r w:rsidRPr="00B74A55">
              <w:rPr>
                <w:rFonts w:eastAsia="Calibri"/>
                <w:b/>
                <w:color w:val="000000"/>
                <w:sz w:val="22"/>
              </w:rPr>
              <w:t>Територія, на яку матиме вплив реалізація проекту</w:t>
            </w:r>
          </w:p>
        </w:tc>
        <w:tc>
          <w:tcPr>
            <w:tcW w:w="7087" w:type="dxa"/>
            <w:gridSpan w:val="5"/>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color w:val="000000"/>
                <w:sz w:val="22"/>
              </w:rPr>
            </w:pPr>
            <w:r w:rsidRPr="00B74A55">
              <w:rPr>
                <w:rFonts w:eastAsia="Calibri"/>
                <w:color w:val="000000"/>
                <w:sz w:val="22"/>
              </w:rPr>
              <w:t>Сєвєродонецька міська територіальна громада</w:t>
            </w:r>
          </w:p>
        </w:tc>
      </w:tr>
      <w:tr w:rsidR="002F4714" w:rsidRPr="00B74A55" w:rsidTr="002F4714">
        <w:trPr>
          <w:trHeight w:val="846"/>
        </w:trPr>
        <w:tc>
          <w:tcPr>
            <w:tcW w:w="1306" w:type="dxa"/>
            <w:tcBorders>
              <w:top w:val="nil"/>
              <w:left w:val="nil"/>
              <w:bottom w:val="nil"/>
              <w:right w:val="nil"/>
            </w:tcBorders>
          </w:tcPr>
          <w:p w:rsidR="002F4714" w:rsidRPr="00B74A55" w:rsidRDefault="002F4714" w:rsidP="00CF4B4F">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4A55" w:rsidRDefault="002F4714" w:rsidP="00CF4B4F">
            <w:pPr>
              <w:autoSpaceDE w:val="0"/>
              <w:autoSpaceDN w:val="0"/>
              <w:adjustRightInd w:val="0"/>
              <w:rPr>
                <w:rFonts w:eastAsia="Calibri"/>
                <w:b/>
                <w:color w:val="000000"/>
                <w:sz w:val="22"/>
              </w:rPr>
            </w:pPr>
            <w:r w:rsidRPr="00B74A55">
              <w:rPr>
                <w:rFonts w:eastAsia="Calibri"/>
                <w:b/>
                <w:color w:val="000000"/>
                <w:sz w:val="22"/>
              </w:rPr>
              <w:t>Чисельність населення, на яке матиме вплив реалізація проекту</w:t>
            </w:r>
          </w:p>
        </w:tc>
        <w:tc>
          <w:tcPr>
            <w:tcW w:w="7087" w:type="dxa"/>
            <w:gridSpan w:val="5"/>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color w:val="000000"/>
                <w:sz w:val="22"/>
              </w:rPr>
            </w:pPr>
            <w:r w:rsidRPr="00B74A55">
              <w:rPr>
                <w:rFonts w:eastAsia="Calibri"/>
                <w:color w:val="000000"/>
                <w:sz w:val="22"/>
              </w:rPr>
              <w:t>70 000 осіб</w:t>
            </w:r>
          </w:p>
        </w:tc>
      </w:tr>
      <w:tr w:rsidR="002F4714" w:rsidRPr="00B74A55" w:rsidTr="002F4714">
        <w:trPr>
          <w:trHeight w:val="1261"/>
        </w:trPr>
        <w:tc>
          <w:tcPr>
            <w:tcW w:w="1306" w:type="dxa"/>
            <w:tcBorders>
              <w:top w:val="nil"/>
              <w:left w:val="nil"/>
              <w:bottom w:val="nil"/>
              <w:right w:val="nil"/>
            </w:tcBorders>
          </w:tcPr>
          <w:p w:rsidR="002F4714" w:rsidRPr="00B74A55" w:rsidRDefault="002F4714" w:rsidP="00CF4B4F">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4A55" w:rsidRDefault="002F4714" w:rsidP="00CF4B4F">
            <w:pPr>
              <w:autoSpaceDE w:val="0"/>
              <w:autoSpaceDN w:val="0"/>
              <w:adjustRightInd w:val="0"/>
              <w:rPr>
                <w:rFonts w:eastAsia="Calibri"/>
                <w:b/>
                <w:color w:val="000000"/>
                <w:sz w:val="22"/>
              </w:rPr>
            </w:pPr>
            <w:r w:rsidRPr="00B74A55">
              <w:rPr>
                <w:rFonts w:eastAsia="Calibri"/>
                <w:b/>
                <w:color w:val="000000"/>
                <w:sz w:val="22"/>
              </w:rPr>
              <w:t>Опис проблеми, на вирішення якої спрямований проект</w:t>
            </w:r>
          </w:p>
        </w:tc>
        <w:tc>
          <w:tcPr>
            <w:tcW w:w="7087" w:type="dxa"/>
            <w:gridSpan w:val="5"/>
            <w:tcBorders>
              <w:top w:val="single" w:sz="6" w:space="0" w:color="auto"/>
              <w:left w:val="single" w:sz="6" w:space="0" w:color="auto"/>
              <w:bottom w:val="single" w:sz="6" w:space="0" w:color="auto"/>
              <w:right w:val="single" w:sz="6" w:space="0" w:color="auto"/>
            </w:tcBorders>
          </w:tcPr>
          <w:p w:rsidR="002F4714" w:rsidRPr="00B74A55" w:rsidRDefault="002F4714" w:rsidP="0033766E">
            <w:pPr>
              <w:autoSpaceDE w:val="0"/>
              <w:autoSpaceDN w:val="0"/>
              <w:adjustRightInd w:val="0"/>
              <w:rPr>
                <w:rFonts w:eastAsia="Calibri"/>
                <w:sz w:val="22"/>
              </w:rPr>
            </w:pPr>
            <w:r w:rsidRPr="00B74A55">
              <w:rPr>
                <w:rFonts w:eastAsia="Calibri"/>
                <w:sz w:val="22"/>
              </w:rPr>
              <w:t xml:space="preserve"> Матеріально-технічна база - необхідна умова функціонування освітнього закладу, тому необхідно осучаснити  засоби навчання та обладнання, якими комплектуються кабінети, групові приміщення, що дасть можливість зацікавити здобувачів  освіти у навчанні, реалізувати вимоги та досягти обов’язкових результатів навчання відповідно до  навчальних програм.</w:t>
            </w:r>
            <w:r w:rsidRPr="00B74A55">
              <w:rPr>
                <w:sz w:val="22"/>
              </w:rPr>
              <w:t xml:space="preserve"> </w:t>
            </w:r>
            <w:r w:rsidRPr="00B74A55">
              <w:rPr>
                <w:rFonts w:eastAsia="Calibri"/>
                <w:sz w:val="22"/>
              </w:rPr>
              <w:t>Нажаль</w:t>
            </w:r>
            <w:r w:rsidR="0033766E" w:rsidRPr="00B74A55">
              <w:rPr>
                <w:rFonts w:eastAsia="Calibri"/>
                <w:sz w:val="22"/>
              </w:rPr>
              <w:t>,</w:t>
            </w:r>
            <w:r w:rsidRPr="00B74A55">
              <w:rPr>
                <w:rFonts w:eastAsia="Calibri"/>
                <w:sz w:val="22"/>
              </w:rPr>
              <w:t xml:space="preserve"> після  перебування довгий час в окупації вся матеріально – технічна база була зламана або </w:t>
            </w:r>
            <w:proofErr w:type="spellStart"/>
            <w:r w:rsidRPr="00B74A55">
              <w:rPr>
                <w:rFonts w:eastAsia="Calibri"/>
                <w:sz w:val="22"/>
              </w:rPr>
              <w:t>розграблена</w:t>
            </w:r>
            <w:proofErr w:type="spellEnd"/>
            <w:r w:rsidRPr="00B74A55">
              <w:rPr>
                <w:rFonts w:eastAsia="Calibri"/>
                <w:sz w:val="22"/>
              </w:rPr>
              <w:t xml:space="preserve">.  Тому потребуємо відновлення та поповнення  освітнього середовища для подальшого надання якісних освітніх послуг дітям. У рамках реалізації  </w:t>
            </w:r>
            <w:proofErr w:type="spellStart"/>
            <w:r w:rsidRPr="00B74A55">
              <w:rPr>
                <w:rFonts w:eastAsia="Calibri"/>
                <w:sz w:val="22"/>
              </w:rPr>
              <w:t>проєкту</w:t>
            </w:r>
            <w:proofErr w:type="spellEnd"/>
            <w:r w:rsidRPr="00B74A55">
              <w:rPr>
                <w:rFonts w:eastAsia="Calibri"/>
                <w:sz w:val="22"/>
              </w:rPr>
              <w:t xml:space="preserve"> планується придбання якісного навчально-методичного, технічного обладнання,  </w:t>
            </w:r>
            <w:proofErr w:type="spellStart"/>
            <w:r w:rsidRPr="00B74A55">
              <w:rPr>
                <w:rFonts w:eastAsia="Calibri"/>
                <w:sz w:val="22"/>
              </w:rPr>
              <w:t>розвивально</w:t>
            </w:r>
            <w:proofErr w:type="spellEnd"/>
            <w:r w:rsidRPr="00B74A55">
              <w:rPr>
                <w:rFonts w:eastAsia="Calibri"/>
                <w:sz w:val="22"/>
              </w:rPr>
              <w:t xml:space="preserve"> - ігрового матеріалу, а також матеріалів, що сприятимуть розвитку фізичних якостей дітей та їх психологічному комфорту.</w:t>
            </w:r>
          </w:p>
        </w:tc>
      </w:tr>
      <w:tr w:rsidR="002F4714" w:rsidRPr="00B74A55" w:rsidTr="002F4714">
        <w:trPr>
          <w:trHeight w:val="1265"/>
        </w:trPr>
        <w:tc>
          <w:tcPr>
            <w:tcW w:w="1306" w:type="dxa"/>
            <w:tcBorders>
              <w:top w:val="nil"/>
              <w:left w:val="nil"/>
              <w:bottom w:val="nil"/>
              <w:right w:val="nil"/>
            </w:tcBorders>
          </w:tcPr>
          <w:p w:rsidR="002F4714" w:rsidRPr="00B74A55" w:rsidRDefault="002F4714" w:rsidP="00CF4B4F">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4A55" w:rsidRDefault="002F4714" w:rsidP="00CF4B4F">
            <w:pPr>
              <w:autoSpaceDE w:val="0"/>
              <w:autoSpaceDN w:val="0"/>
              <w:adjustRightInd w:val="0"/>
              <w:rPr>
                <w:rFonts w:eastAsia="Calibri"/>
                <w:b/>
                <w:color w:val="000000"/>
                <w:sz w:val="22"/>
              </w:rPr>
            </w:pPr>
            <w:r w:rsidRPr="00B74A55">
              <w:rPr>
                <w:rFonts w:eastAsia="Calibri"/>
                <w:b/>
                <w:color w:val="000000"/>
                <w:sz w:val="22"/>
              </w:rPr>
              <w:t>Очікувані якісні результати від реалізації проекту</w:t>
            </w:r>
          </w:p>
        </w:tc>
        <w:tc>
          <w:tcPr>
            <w:tcW w:w="7087" w:type="dxa"/>
            <w:gridSpan w:val="5"/>
            <w:tcBorders>
              <w:top w:val="single" w:sz="6" w:space="0" w:color="auto"/>
              <w:left w:val="single" w:sz="6" w:space="0" w:color="auto"/>
              <w:bottom w:val="single" w:sz="6" w:space="0" w:color="auto"/>
              <w:right w:val="single" w:sz="6" w:space="0" w:color="auto"/>
            </w:tcBorders>
          </w:tcPr>
          <w:p w:rsidR="002F4714" w:rsidRPr="00B74A55" w:rsidRDefault="002F4714" w:rsidP="00CF4B4F">
            <w:pPr>
              <w:spacing w:line="288" w:lineRule="atLeast"/>
              <w:rPr>
                <w:rFonts w:eastAsia="Calibri"/>
                <w:color w:val="000000"/>
                <w:sz w:val="22"/>
              </w:rPr>
            </w:pPr>
            <w:r w:rsidRPr="00B74A55">
              <w:rPr>
                <w:sz w:val="22"/>
              </w:rPr>
              <w:t xml:space="preserve">1. </w:t>
            </w:r>
            <w:r w:rsidRPr="00B74A55">
              <w:rPr>
                <w:rFonts w:eastAsia="Calibri"/>
                <w:color w:val="000000"/>
                <w:sz w:val="22"/>
              </w:rPr>
              <w:t>Відновлення роботи із надання якісних освітніх послуг .</w:t>
            </w:r>
          </w:p>
          <w:p w:rsidR="002F4714" w:rsidRPr="00B74A55" w:rsidRDefault="002F4714" w:rsidP="00CF4B4F">
            <w:pPr>
              <w:spacing w:line="288" w:lineRule="atLeast"/>
              <w:rPr>
                <w:sz w:val="22"/>
              </w:rPr>
            </w:pPr>
            <w:r w:rsidRPr="00B74A55">
              <w:rPr>
                <w:sz w:val="22"/>
              </w:rPr>
              <w:t>2. Створення необхідних умов для зміцнення та загартування дитячого організму.</w:t>
            </w:r>
          </w:p>
          <w:p w:rsidR="002F4714" w:rsidRPr="00B74A55" w:rsidRDefault="002F4714" w:rsidP="00CF4B4F">
            <w:pPr>
              <w:spacing w:line="288" w:lineRule="atLeast"/>
              <w:rPr>
                <w:sz w:val="22"/>
              </w:rPr>
            </w:pPr>
            <w:r w:rsidRPr="00B74A55">
              <w:rPr>
                <w:sz w:val="22"/>
              </w:rPr>
              <w:t>3. Забезпечення гармонійних умов перебування дітей в ЗДО.</w:t>
            </w:r>
            <w:r w:rsidRPr="00B74A55">
              <w:rPr>
                <w:sz w:val="22"/>
              </w:rPr>
              <w:br/>
              <w:t xml:space="preserve">4. </w:t>
            </w:r>
            <w:r w:rsidRPr="00B74A55">
              <w:rPr>
                <w:rFonts w:eastAsia="Calibri"/>
                <w:color w:val="000000"/>
                <w:sz w:val="22"/>
              </w:rPr>
              <w:t>Досягнення позитивної динаміки психологічного стану дітей та з особливими потребами, їх соціалізації, а також забезпечення кваліфікованої інформаційної та психологічної підтримки їх батьків.</w:t>
            </w:r>
            <w:r w:rsidRPr="00B74A55">
              <w:rPr>
                <w:sz w:val="22"/>
              </w:rPr>
              <w:t xml:space="preserve"> </w:t>
            </w:r>
          </w:p>
          <w:p w:rsidR="002F4714" w:rsidRPr="00B74A55" w:rsidRDefault="002F4714" w:rsidP="00CF4B4F">
            <w:pPr>
              <w:spacing w:line="288" w:lineRule="atLeast"/>
              <w:rPr>
                <w:color w:val="99A2AA"/>
                <w:sz w:val="22"/>
              </w:rPr>
            </w:pPr>
            <w:r w:rsidRPr="00B74A55">
              <w:rPr>
                <w:sz w:val="22"/>
              </w:rPr>
              <w:t>5. Ріст рейтингу органів місцевого самоврядування щодо покращення умов виховання дітей в дошкільному закладі, підняття іміджу закладу.</w:t>
            </w:r>
            <w:r w:rsidRPr="00B74A55">
              <w:rPr>
                <w:color w:val="99A2AA"/>
                <w:sz w:val="22"/>
              </w:rPr>
              <w:t>.</w:t>
            </w:r>
          </w:p>
        </w:tc>
      </w:tr>
      <w:tr w:rsidR="002F4714" w:rsidRPr="00B74A55" w:rsidTr="002F4714">
        <w:trPr>
          <w:trHeight w:val="581"/>
        </w:trPr>
        <w:tc>
          <w:tcPr>
            <w:tcW w:w="1306" w:type="dxa"/>
            <w:tcBorders>
              <w:top w:val="nil"/>
              <w:left w:val="nil"/>
              <w:bottom w:val="nil"/>
              <w:right w:val="nil"/>
            </w:tcBorders>
          </w:tcPr>
          <w:p w:rsidR="002F4714" w:rsidRPr="00B74A55" w:rsidRDefault="002F4714" w:rsidP="00CF4B4F">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4A55" w:rsidRDefault="002F4714" w:rsidP="00CF4B4F">
            <w:pPr>
              <w:autoSpaceDE w:val="0"/>
              <w:autoSpaceDN w:val="0"/>
              <w:adjustRightInd w:val="0"/>
              <w:rPr>
                <w:rFonts w:eastAsia="Calibri"/>
                <w:b/>
                <w:color w:val="000000"/>
                <w:sz w:val="22"/>
              </w:rPr>
            </w:pPr>
            <w:r w:rsidRPr="00B74A55">
              <w:rPr>
                <w:rFonts w:eastAsia="Calibri"/>
                <w:b/>
                <w:color w:val="000000"/>
                <w:sz w:val="22"/>
              </w:rPr>
              <w:t>Очікувані кількісні результати від реалізації проекту  (індикатори)</w:t>
            </w:r>
          </w:p>
        </w:tc>
        <w:tc>
          <w:tcPr>
            <w:tcW w:w="3544" w:type="dxa"/>
            <w:gridSpan w:val="3"/>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b/>
                <w:color w:val="000000"/>
                <w:sz w:val="22"/>
              </w:rPr>
            </w:pPr>
            <w:r w:rsidRPr="00B74A55">
              <w:rPr>
                <w:rFonts w:eastAsia="Calibri"/>
                <w:b/>
                <w:color w:val="000000"/>
                <w:sz w:val="22"/>
              </w:rPr>
              <w:t>Найменування показника</w:t>
            </w:r>
          </w:p>
        </w:tc>
        <w:tc>
          <w:tcPr>
            <w:tcW w:w="1842" w:type="dxa"/>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b/>
                <w:color w:val="000000"/>
                <w:sz w:val="22"/>
              </w:rPr>
            </w:pPr>
            <w:r w:rsidRPr="00B74A55">
              <w:rPr>
                <w:rFonts w:eastAsia="Calibri"/>
                <w:b/>
                <w:color w:val="000000"/>
                <w:sz w:val="22"/>
              </w:rPr>
              <w:t>Одиниця вимірювання</w:t>
            </w:r>
          </w:p>
        </w:tc>
        <w:tc>
          <w:tcPr>
            <w:tcW w:w="1701" w:type="dxa"/>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b/>
                <w:color w:val="000000"/>
                <w:sz w:val="22"/>
              </w:rPr>
            </w:pPr>
            <w:r w:rsidRPr="00B74A55">
              <w:rPr>
                <w:rFonts w:eastAsia="Calibri"/>
                <w:b/>
                <w:color w:val="000000"/>
                <w:sz w:val="22"/>
              </w:rPr>
              <w:t>Прогнозне (цільове) значення</w:t>
            </w:r>
          </w:p>
        </w:tc>
      </w:tr>
      <w:tr w:rsidR="002F4714" w:rsidRPr="00B74A55" w:rsidTr="002F4714">
        <w:trPr>
          <w:trHeight w:val="581"/>
        </w:trPr>
        <w:tc>
          <w:tcPr>
            <w:tcW w:w="1306" w:type="dxa"/>
            <w:tcBorders>
              <w:top w:val="nil"/>
              <w:left w:val="nil"/>
              <w:bottom w:val="nil"/>
              <w:right w:val="nil"/>
            </w:tcBorders>
          </w:tcPr>
          <w:p w:rsidR="002F4714" w:rsidRPr="00B74A55" w:rsidRDefault="002F4714" w:rsidP="00CF4B4F">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4A55" w:rsidRDefault="002F4714" w:rsidP="00CF4B4F">
            <w:pPr>
              <w:autoSpaceDE w:val="0"/>
              <w:autoSpaceDN w:val="0"/>
              <w:adjustRightInd w:val="0"/>
              <w:rPr>
                <w:rFonts w:eastAsia="Calibri"/>
                <w:b/>
                <w:color w:val="000000"/>
                <w:sz w:val="22"/>
              </w:rPr>
            </w:pPr>
          </w:p>
        </w:tc>
        <w:tc>
          <w:tcPr>
            <w:tcW w:w="3544" w:type="dxa"/>
            <w:gridSpan w:val="3"/>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color w:val="000000"/>
                <w:sz w:val="22"/>
              </w:rPr>
            </w:pPr>
            <w:r w:rsidRPr="00B74A55">
              <w:rPr>
                <w:sz w:val="22"/>
              </w:rPr>
              <w:t>1.Розвиток фізичних і духовних якостей особистості дитини</w:t>
            </w:r>
          </w:p>
        </w:tc>
        <w:tc>
          <w:tcPr>
            <w:tcW w:w="1842" w:type="dxa"/>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color w:val="000000"/>
                <w:sz w:val="22"/>
              </w:rPr>
            </w:pPr>
            <w:r w:rsidRPr="00B74A55">
              <w:rPr>
                <w:rFonts w:eastAsia="Calibri"/>
                <w:color w:val="000000"/>
                <w:sz w:val="22"/>
              </w:rPr>
              <w:t>осіб</w:t>
            </w:r>
          </w:p>
          <w:p w:rsidR="002F4714" w:rsidRPr="00B74A55" w:rsidRDefault="002F4714" w:rsidP="00CF4B4F">
            <w:pPr>
              <w:autoSpaceDE w:val="0"/>
              <w:autoSpaceDN w:val="0"/>
              <w:adjustRightInd w:val="0"/>
              <w:rPr>
                <w:rFonts w:eastAsia="Calibri"/>
                <w:b/>
                <w:color w:val="000000"/>
                <w:sz w:val="22"/>
              </w:rPr>
            </w:pPr>
          </w:p>
        </w:tc>
        <w:tc>
          <w:tcPr>
            <w:tcW w:w="1701" w:type="dxa"/>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color w:val="000000"/>
                <w:sz w:val="22"/>
              </w:rPr>
            </w:pPr>
            <w:r w:rsidRPr="00B74A55">
              <w:rPr>
                <w:rFonts w:eastAsia="Calibri"/>
                <w:color w:val="000000"/>
                <w:sz w:val="22"/>
              </w:rPr>
              <w:t>200</w:t>
            </w:r>
          </w:p>
        </w:tc>
      </w:tr>
      <w:tr w:rsidR="002F4714" w:rsidRPr="00B74A55" w:rsidTr="002F4714">
        <w:trPr>
          <w:trHeight w:val="581"/>
        </w:trPr>
        <w:tc>
          <w:tcPr>
            <w:tcW w:w="1306" w:type="dxa"/>
            <w:tcBorders>
              <w:top w:val="nil"/>
              <w:left w:val="nil"/>
              <w:bottom w:val="nil"/>
              <w:right w:val="nil"/>
            </w:tcBorders>
          </w:tcPr>
          <w:p w:rsidR="002F4714" w:rsidRPr="00B74A55" w:rsidRDefault="002F4714" w:rsidP="00CF4B4F">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4A55" w:rsidRDefault="002F4714" w:rsidP="00CF4B4F">
            <w:pPr>
              <w:autoSpaceDE w:val="0"/>
              <w:autoSpaceDN w:val="0"/>
              <w:adjustRightInd w:val="0"/>
              <w:rPr>
                <w:rFonts w:eastAsia="Calibri"/>
                <w:b/>
                <w:color w:val="000000"/>
                <w:sz w:val="22"/>
              </w:rPr>
            </w:pPr>
          </w:p>
        </w:tc>
        <w:tc>
          <w:tcPr>
            <w:tcW w:w="3544" w:type="dxa"/>
            <w:gridSpan w:val="3"/>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color w:val="000000"/>
                <w:sz w:val="22"/>
              </w:rPr>
            </w:pPr>
            <w:r w:rsidRPr="00B74A55">
              <w:rPr>
                <w:sz w:val="22"/>
              </w:rPr>
              <w:t>2.Організація безпечного дозвілля</w:t>
            </w:r>
          </w:p>
        </w:tc>
        <w:tc>
          <w:tcPr>
            <w:tcW w:w="1842" w:type="dxa"/>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color w:val="000000"/>
                <w:sz w:val="22"/>
              </w:rPr>
            </w:pPr>
            <w:r w:rsidRPr="00B74A55">
              <w:rPr>
                <w:rFonts w:eastAsia="Calibri"/>
                <w:color w:val="000000"/>
                <w:sz w:val="22"/>
              </w:rPr>
              <w:t>осіб</w:t>
            </w:r>
          </w:p>
          <w:p w:rsidR="002F4714" w:rsidRPr="00B74A55" w:rsidRDefault="002F4714" w:rsidP="00CF4B4F">
            <w:pPr>
              <w:autoSpaceDE w:val="0"/>
              <w:autoSpaceDN w:val="0"/>
              <w:adjustRightInd w:val="0"/>
              <w:rPr>
                <w:rFonts w:eastAsia="Calibri"/>
                <w:b/>
                <w:color w:val="000000"/>
                <w:sz w:val="22"/>
              </w:rPr>
            </w:pPr>
          </w:p>
        </w:tc>
        <w:tc>
          <w:tcPr>
            <w:tcW w:w="1701" w:type="dxa"/>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color w:val="000000"/>
                <w:sz w:val="22"/>
              </w:rPr>
            </w:pPr>
            <w:r w:rsidRPr="00B74A55">
              <w:rPr>
                <w:rFonts w:eastAsia="Calibri"/>
                <w:color w:val="000000"/>
                <w:sz w:val="22"/>
              </w:rPr>
              <w:t>200</w:t>
            </w:r>
          </w:p>
        </w:tc>
      </w:tr>
      <w:tr w:rsidR="002F4714" w:rsidRPr="00B74A55" w:rsidTr="002F4714">
        <w:trPr>
          <w:trHeight w:val="581"/>
        </w:trPr>
        <w:tc>
          <w:tcPr>
            <w:tcW w:w="1306" w:type="dxa"/>
            <w:tcBorders>
              <w:top w:val="nil"/>
              <w:left w:val="nil"/>
              <w:bottom w:val="nil"/>
              <w:right w:val="nil"/>
            </w:tcBorders>
          </w:tcPr>
          <w:p w:rsidR="002F4714" w:rsidRPr="00B74A55" w:rsidRDefault="002F4714" w:rsidP="00CF4B4F">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4A55" w:rsidRDefault="002F4714" w:rsidP="00CF4B4F">
            <w:pPr>
              <w:autoSpaceDE w:val="0"/>
              <w:autoSpaceDN w:val="0"/>
              <w:adjustRightInd w:val="0"/>
              <w:rPr>
                <w:rFonts w:eastAsia="Calibri"/>
                <w:b/>
                <w:color w:val="000000"/>
                <w:sz w:val="22"/>
              </w:rPr>
            </w:pPr>
          </w:p>
        </w:tc>
        <w:tc>
          <w:tcPr>
            <w:tcW w:w="3544" w:type="dxa"/>
            <w:gridSpan w:val="3"/>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sz w:val="22"/>
              </w:rPr>
            </w:pPr>
            <w:r w:rsidRPr="00B74A55">
              <w:rPr>
                <w:sz w:val="22"/>
              </w:rPr>
              <w:t>3. Покращення умов перебування дітей в садочку.</w:t>
            </w:r>
          </w:p>
        </w:tc>
        <w:tc>
          <w:tcPr>
            <w:tcW w:w="1842" w:type="dxa"/>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color w:val="000000"/>
                <w:sz w:val="22"/>
              </w:rPr>
            </w:pPr>
            <w:r w:rsidRPr="00B74A55">
              <w:rPr>
                <w:rFonts w:eastAsia="Calibri"/>
                <w:color w:val="000000"/>
                <w:sz w:val="22"/>
              </w:rPr>
              <w:t>осіб</w:t>
            </w:r>
          </w:p>
          <w:p w:rsidR="002F4714" w:rsidRPr="00B74A55" w:rsidRDefault="002F4714" w:rsidP="00CF4B4F">
            <w:pPr>
              <w:autoSpaceDE w:val="0"/>
              <w:autoSpaceDN w:val="0"/>
              <w:adjustRightInd w:val="0"/>
              <w:rPr>
                <w:rFonts w:eastAsia="Calibri"/>
                <w:b/>
                <w:color w:val="000000"/>
                <w:sz w:val="22"/>
              </w:rPr>
            </w:pPr>
          </w:p>
        </w:tc>
        <w:tc>
          <w:tcPr>
            <w:tcW w:w="1701" w:type="dxa"/>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contextualSpacing/>
              <w:rPr>
                <w:rFonts w:eastAsia="Calibri"/>
                <w:color w:val="000000"/>
                <w:sz w:val="22"/>
              </w:rPr>
            </w:pPr>
            <w:r w:rsidRPr="00B74A55">
              <w:rPr>
                <w:rFonts w:eastAsia="Calibri"/>
                <w:color w:val="000000"/>
                <w:sz w:val="22"/>
              </w:rPr>
              <w:t>200</w:t>
            </w:r>
          </w:p>
          <w:p w:rsidR="002F4714" w:rsidRPr="00B74A55" w:rsidRDefault="002F4714" w:rsidP="00CF4B4F">
            <w:pPr>
              <w:autoSpaceDE w:val="0"/>
              <w:autoSpaceDN w:val="0"/>
              <w:adjustRightInd w:val="0"/>
              <w:rPr>
                <w:rFonts w:eastAsia="Calibri"/>
                <w:b/>
                <w:color w:val="000000"/>
                <w:sz w:val="22"/>
              </w:rPr>
            </w:pPr>
          </w:p>
        </w:tc>
      </w:tr>
      <w:tr w:rsidR="002F4714" w:rsidRPr="00B74A55" w:rsidTr="002F4714">
        <w:trPr>
          <w:trHeight w:val="211"/>
        </w:trPr>
        <w:tc>
          <w:tcPr>
            <w:tcW w:w="1306" w:type="dxa"/>
            <w:tcBorders>
              <w:top w:val="nil"/>
              <w:left w:val="nil"/>
              <w:bottom w:val="nil"/>
              <w:right w:val="nil"/>
            </w:tcBorders>
          </w:tcPr>
          <w:p w:rsidR="002F4714" w:rsidRPr="00B74A55" w:rsidRDefault="002F4714" w:rsidP="00CF4B4F">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4A55" w:rsidRDefault="002F4714" w:rsidP="00CF4B4F">
            <w:pPr>
              <w:autoSpaceDE w:val="0"/>
              <w:autoSpaceDN w:val="0"/>
              <w:adjustRightInd w:val="0"/>
              <w:rPr>
                <w:rFonts w:eastAsia="Calibri"/>
                <w:b/>
                <w:color w:val="000000"/>
                <w:sz w:val="22"/>
              </w:rPr>
            </w:pPr>
          </w:p>
        </w:tc>
        <w:tc>
          <w:tcPr>
            <w:tcW w:w="3544" w:type="dxa"/>
            <w:gridSpan w:val="3"/>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color w:val="000000"/>
                <w:sz w:val="22"/>
              </w:rPr>
            </w:pPr>
            <w:r w:rsidRPr="00B74A55">
              <w:rPr>
                <w:sz w:val="22"/>
              </w:rPr>
              <w:t>4.Підтримка дітей з ООП.</w:t>
            </w:r>
          </w:p>
        </w:tc>
        <w:tc>
          <w:tcPr>
            <w:tcW w:w="1842" w:type="dxa"/>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color w:val="000000"/>
                <w:sz w:val="22"/>
              </w:rPr>
            </w:pPr>
            <w:r w:rsidRPr="00B74A55">
              <w:rPr>
                <w:rFonts w:eastAsia="Calibri"/>
                <w:color w:val="000000"/>
                <w:sz w:val="22"/>
              </w:rPr>
              <w:t>осіб</w:t>
            </w:r>
          </w:p>
        </w:tc>
        <w:tc>
          <w:tcPr>
            <w:tcW w:w="1701" w:type="dxa"/>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contextualSpacing/>
              <w:rPr>
                <w:rFonts w:eastAsia="Calibri"/>
                <w:color w:val="000000"/>
                <w:sz w:val="22"/>
              </w:rPr>
            </w:pPr>
            <w:r w:rsidRPr="00B74A55">
              <w:rPr>
                <w:rFonts w:eastAsia="Calibri"/>
                <w:color w:val="000000"/>
                <w:sz w:val="22"/>
              </w:rPr>
              <w:t>30</w:t>
            </w:r>
          </w:p>
        </w:tc>
      </w:tr>
      <w:tr w:rsidR="002F4714" w:rsidRPr="00B74A55" w:rsidTr="002F4714">
        <w:trPr>
          <w:trHeight w:val="1684"/>
        </w:trPr>
        <w:tc>
          <w:tcPr>
            <w:tcW w:w="1306" w:type="dxa"/>
            <w:tcBorders>
              <w:top w:val="nil"/>
              <w:left w:val="nil"/>
              <w:bottom w:val="nil"/>
              <w:right w:val="nil"/>
            </w:tcBorders>
          </w:tcPr>
          <w:p w:rsidR="002F4714" w:rsidRPr="00B74A55" w:rsidRDefault="002F4714" w:rsidP="00CF4B4F">
            <w:pPr>
              <w:autoSpaceDE w:val="0"/>
              <w:autoSpaceDN w:val="0"/>
              <w:adjustRightInd w:val="0"/>
              <w:jc w:val="right"/>
              <w:rPr>
                <w:rFonts w:eastAsia="Calibri"/>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4A55" w:rsidRDefault="002F4714" w:rsidP="00CF4B4F">
            <w:pPr>
              <w:autoSpaceDE w:val="0"/>
              <w:autoSpaceDN w:val="0"/>
              <w:adjustRightInd w:val="0"/>
              <w:rPr>
                <w:rFonts w:eastAsia="Calibri"/>
                <w:b/>
                <w:sz w:val="22"/>
              </w:rPr>
            </w:pPr>
            <w:r w:rsidRPr="00B74A55">
              <w:rPr>
                <w:rFonts w:eastAsia="Calibri"/>
                <w:b/>
                <w:sz w:val="22"/>
              </w:rPr>
              <w:t>Ключові заходи проекту:</w:t>
            </w:r>
          </w:p>
        </w:tc>
        <w:tc>
          <w:tcPr>
            <w:tcW w:w="7087" w:type="dxa"/>
            <w:gridSpan w:val="5"/>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ind w:hanging="51"/>
              <w:contextualSpacing/>
              <w:rPr>
                <w:rFonts w:eastAsia="Calibri"/>
                <w:sz w:val="22"/>
              </w:rPr>
            </w:pPr>
            <w:r w:rsidRPr="00B74A55">
              <w:rPr>
                <w:rFonts w:eastAsia="Calibri"/>
                <w:sz w:val="22"/>
              </w:rPr>
              <w:t xml:space="preserve">1.Проведення інвентаризації. </w:t>
            </w:r>
          </w:p>
          <w:p w:rsidR="002F4714" w:rsidRPr="00B74A55" w:rsidRDefault="002F4714" w:rsidP="00CF4B4F">
            <w:pPr>
              <w:autoSpaceDE w:val="0"/>
              <w:autoSpaceDN w:val="0"/>
              <w:adjustRightInd w:val="0"/>
              <w:rPr>
                <w:rFonts w:eastAsia="Calibri"/>
                <w:sz w:val="22"/>
              </w:rPr>
            </w:pPr>
            <w:r w:rsidRPr="00B74A55">
              <w:rPr>
                <w:rFonts w:eastAsia="Calibri"/>
                <w:sz w:val="22"/>
              </w:rPr>
              <w:t xml:space="preserve">2. Підготовка </w:t>
            </w:r>
            <w:proofErr w:type="spellStart"/>
            <w:r w:rsidRPr="00B74A55">
              <w:rPr>
                <w:rFonts w:eastAsia="Calibri"/>
                <w:sz w:val="22"/>
              </w:rPr>
              <w:t>проєктно</w:t>
            </w:r>
            <w:proofErr w:type="spellEnd"/>
            <w:r w:rsidRPr="00B74A55">
              <w:rPr>
                <w:rFonts w:eastAsia="Calibri"/>
                <w:sz w:val="22"/>
              </w:rPr>
              <w:t>-кошторисної документації.</w:t>
            </w:r>
          </w:p>
          <w:p w:rsidR="002F4714" w:rsidRPr="00B74A55" w:rsidRDefault="002F4714" w:rsidP="00CF4B4F">
            <w:pPr>
              <w:autoSpaceDE w:val="0"/>
              <w:autoSpaceDN w:val="0"/>
              <w:adjustRightInd w:val="0"/>
              <w:rPr>
                <w:rFonts w:eastAsia="Calibri"/>
                <w:sz w:val="22"/>
              </w:rPr>
            </w:pPr>
            <w:r w:rsidRPr="00B74A55">
              <w:rPr>
                <w:rFonts w:eastAsia="Calibri"/>
                <w:sz w:val="22"/>
              </w:rPr>
              <w:t xml:space="preserve">3. Придбання сенсорного,  дидактичного обладнання та посібників. </w:t>
            </w:r>
          </w:p>
          <w:p w:rsidR="002F4714" w:rsidRPr="00B74A55" w:rsidRDefault="002F4714" w:rsidP="00CF4B4F">
            <w:pPr>
              <w:autoSpaceDE w:val="0"/>
              <w:autoSpaceDN w:val="0"/>
              <w:adjustRightInd w:val="0"/>
              <w:rPr>
                <w:rFonts w:eastAsia="Calibri"/>
                <w:sz w:val="22"/>
              </w:rPr>
            </w:pPr>
            <w:r w:rsidRPr="00B74A55">
              <w:rPr>
                <w:rFonts w:eastAsia="Calibri"/>
                <w:sz w:val="22"/>
              </w:rPr>
              <w:t>4.Оснащення групових приміщень, кабінетів .</w:t>
            </w:r>
          </w:p>
          <w:p w:rsidR="002F4714" w:rsidRPr="00B74A55" w:rsidRDefault="002F4714" w:rsidP="00CF4B4F">
            <w:pPr>
              <w:autoSpaceDE w:val="0"/>
              <w:autoSpaceDN w:val="0"/>
              <w:adjustRightInd w:val="0"/>
              <w:rPr>
                <w:rFonts w:eastAsia="Calibri"/>
                <w:sz w:val="22"/>
              </w:rPr>
            </w:pPr>
            <w:r w:rsidRPr="00B74A55">
              <w:rPr>
                <w:rFonts w:eastAsia="Calibri"/>
                <w:sz w:val="22"/>
              </w:rPr>
              <w:t xml:space="preserve">5.Оновлення навчально-дидактичного обладнання </w:t>
            </w:r>
          </w:p>
          <w:p w:rsidR="002F4714" w:rsidRPr="00B74A55" w:rsidRDefault="002F4714" w:rsidP="00CF4B4F">
            <w:pPr>
              <w:autoSpaceDE w:val="0"/>
              <w:autoSpaceDN w:val="0"/>
              <w:adjustRightInd w:val="0"/>
              <w:rPr>
                <w:rFonts w:eastAsia="Calibri"/>
                <w:sz w:val="22"/>
              </w:rPr>
            </w:pPr>
            <w:r w:rsidRPr="00B74A55">
              <w:rPr>
                <w:rFonts w:eastAsia="Calibri"/>
                <w:sz w:val="22"/>
              </w:rPr>
              <w:t>6.Забезпечення  інформаційно-технічними засобами.</w:t>
            </w:r>
          </w:p>
          <w:p w:rsidR="002F4714" w:rsidRPr="00B74A55" w:rsidRDefault="002F4714" w:rsidP="00CF4B4F">
            <w:pPr>
              <w:autoSpaceDE w:val="0"/>
              <w:autoSpaceDN w:val="0"/>
              <w:adjustRightInd w:val="0"/>
              <w:rPr>
                <w:rFonts w:eastAsia="Calibri"/>
                <w:sz w:val="22"/>
              </w:rPr>
            </w:pPr>
            <w:r w:rsidRPr="00B74A55">
              <w:rPr>
                <w:rFonts w:eastAsia="Calibri"/>
                <w:sz w:val="22"/>
              </w:rPr>
              <w:t>7.Придбання технічних засобів, приладів для пральні та харчоблоку, сантехн</w:t>
            </w:r>
            <w:r w:rsidR="0033766E" w:rsidRPr="00B74A55">
              <w:rPr>
                <w:rFonts w:eastAsia="Calibri"/>
                <w:sz w:val="22"/>
              </w:rPr>
              <w:t>і</w:t>
            </w:r>
            <w:r w:rsidRPr="00B74A55">
              <w:rPr>
                <w:rFonts w:eastAsia="Calibri"/>
                <w:sz w:val="22"/>
              </w:rPr>
              <w:t>ки.</w:t>
            </w:r>
          </w:p>
          <w:p w:rsidR="002F4714" w:rsidRPr="00B74A55" w:rsidRDefault="002F4714" w:rsidP="00CF4B4F">
            <w:pPr>
              <w:autoSpaceDE w:val="0"/>
              <w:autoSpaceDN w:val="0"/>
              <w:adjustRightInd w:val="0"/>
              <w:rPr>
                <w:rFonts w:eastAsia="Calibri"/>
                <w:sz w:val="22"/>
              </w:rPr>
            </w:pPr>
            <w:r w:rsidRPr="00B74A55">
              <w:rPr>
                <w:rFonts w:eastAsia="Calibri"/>
                <w:sz w:val="22"/>
              </w:rPr>
              <w:t>8. Придбання м’якого інвентаря.</w:t>
            </w:r>
          </w:p>
          <w:p w:rsidR="002F4714" w:rsidRPr="00B74A55" w:rsidRDefault="002F4714" w:rsidP="00CF4B4F">
            <w:pPr>
              <w:autoSpaceDE w:val="0"/>
              <w:autoSpaceDN w:val="0"/>
              <w:adjustRightInd w:val="0"/>
              <w:rPr>
                <w:rFonts w:eastAsia="Calibri"/>
                <w:sz w:val="22"/>
              </w:rPr>
            </w:pPr>
            <w:r w:rsidRPr="00B74A55">
              <w:rPr>
                <w:rFonts w:eastAsia="Calibri"/>
                <w:sz w:val="22"/>
              </w:rPr>
              <w:t xml:space="preserve">9. Придбання посуду.    </w:t>
            </w:r>
          </w:p>
          <w:p w:rsidR="002F4714" w:rsidRPr="00B74A55" w:rsidRDefault="002F4714" w:rsidP="00CF4B4F">
            <w:pPr>
              <w:autoSpaceDE w:val="0"/>
              <w:autoSpaceDN w:val="0"/>
              <w:adjustRightInd w:val="0"/>
              <w:rPr>
                <w:rFonts w:eastAsia="Calibri"/>
                <w:sz w:val="22"/>
              </w:rPr>
            </w:pPr>
            <w:r w:rsidRPr="00B74A55">
              <w:rPr>
                <w:rFonts w:eastAsia="Calibri"/>
                <w:sz w:val="22"/>
              </w:rPr>
              <w:t>10. Обладнання для спортивної зали.</w:t>
            </w:r>
          </w:p>
          <w:p w:rsidR="002F4714" w:rsidRPr="00B74A55" w:rsidRDefault="002F4714" w:rsidP="00CF4B4F">
            <w:pPr>
              <w:autoSpaceDE w:val="0"/>
              <w:autoSpaceDN w:val="0"/>
              <w:adjustRightInd w:val="0"/>
              <w:rPr>
                <w:rFonts w:eastAsia="Calibri"/>
                <w:sz w:val="22"/>
              </w:rPr>
            </w:pPr>
            <w:r w:rsidRPr="00B74A55">
              <w:rPr>
                <w:rFonts w:eastAsia="Calibri"/>
                <w:sz w:val="22"/>
              </w:rPr>
              <w:t xml:space="preserve">11.Створити ігрові осередки, коригуючу та релаксаційну зони.  </w:t>
            </w:r>
          </w:p>
          <w:p w:rsidR="002F4714" w:rsidRPr="00B74A55" w:rsidRDefault="002F4714" w:rsidP="00CF4B4F">
            <w:pPr>
              <w:autoSpaceDE w:val="0"/>
              <w:autoSpaceDN w:val="0"/>
              <w:adjustRightInd w:val="0"/>
              <w:rPr>
                <w:rFonts w:eastAsia="Calibri"/>
                <w:sz w:val="22"/>
              </w:rPr>
            </w:pPr>
            <w:r w:rsidRPr="00B74A55">
              <w:rPr>
                <w:rFonts w:eastAsia="Calibri"/>
                <w:sz w:val="22"/>
              </w:rPr>
              <w:t>12.Придбання музичних інструментів.</w:t>
            </w:r>
          </w:p>
          <w:p w:rsidR="002F4714" w:rsidRPr="00B74A55" w:rsidRDefault="002F4714" w:rsidP="00CF4B4F">
            <w:pPr>
              <w:spacing w:line="288" w:lineRule="atLeast"/>
              <w:rPr>
                <w:rFonts w:eastAsia="Calibri"/>
                <w:sz w:val="22"/>
              </w:rPr>
            </w:pPr>
            <w:r w:rsidRPr="00B74A55">
              <w:rPr>
                <w:rFonts w:eastAsia="Calibri"/>
                <w:sz w:val="22"/>
              </w:rPr>
              <w:t xml:space="preserve"> 13. Відновлення роботи із надання якісних освітніх послуг .</w:t>
            </w:r>
          </w:p>
          <w:p w:rsidR="002F4714" w:rsidRPr="00B74A55" w:rsidRDefault="002F4714" w:rsidP="00CF4B4F">
            <w:pPr>
              <w:autoSpaceDE w:val="0"/>
              <w:autoSpaceDN w:val="0"/>
              <w:adjustRightInd w:val="0"/>
              <w:rPr>
                <w:rFonts w:eastAsia="Calibri"/>
                <w:sz w:val="22"/>
              </w:rPr>
            </w:pPr>
          </w:p>
        </w:tc>
      </w:tr>
      <w:tr w:rsidR="002F4714" w:rsidRPr="00B74A55" w:rsidTr="00CF4B4F">
        <w:trPr>
          <w:trHeight w:val="600"/>
        </w:trPr>
        <w:tc>
          <w:tcPr>
            <w:tcW w:w="1306" w:type="dxa"/>
            <w:vMerge w:val="restart"/>
            <w:tcBorders>
              <w:top w:val="nil"/>
              <w:left w:val="nil"/>
              <w:right w:val="nil"/>
            </w:tcBorders>
          </w:tcPr>
          <w:p w:rsidR="002F4714" w:rsidRPr="00B74A55" w:rsidRDefault="002F4714" w:rsidP="00CF4B4F">
            <w:pPr>
              <w:autoSpaceDE w:val="0"/>
              <w:autoSpaceDN w:val="0"/>
              <w:adjustRightInd w:val="0"/>
              <w:jc w:val="right"/>
              <w:rPr>
                <w:rFonts w:eastAsia="Calibri"/>
                <w:sz w:val="22"/>
              </w:rPr>
            </w:pPr>
          </w:p>
        </w:tc>
        <w:tc>
          <w:tcPr>
            <w:tcW w:w="2977" w:type="dxa"/>
            <w:vMerge w:val="restart"/>
            <w:tcBorders>
              <w:top w:val="single" w:sz="6" w:space="0" w:color="auto"/>
              <w:left w:val="single" w:sz="6" w:space="0" w:color="auto"/>
              <w:right w:val="single" w:sz="6" w:space="0" w:color="auto"/>
            </w:tcBorders>
            <w:shd w:val="clear" w:color="00FFFF" w:fill="C6D9F1" w:themeFill="text2" w:themeFillTint="33"/>
          </w:tcPr>
          <w:p w:rsidR="002F4714" w:rsidRPr="00B74A55" w:rsidRDefault="002F4714" w:rsidP="00CF4B4F">
            <w:pPr>
              <w:autoSpaceDE w:val="0"/>
              <w:autoSpaceDN w:val="0"/>
              <w:adjustRightInd w:val="0"/>
              <w:rPr>
                <w:rFonts w:eastAsia="Calibri"/>
                <w:b/>
                <w:sz w:val="22"/>
              </w:rPr>
            </w:pPr>
            <w:r w:rsidRPr="00B74A55">
              <w:rPr>
                <w:rFonts w:eastAsia="Calibri"/>
                <w:b/>
                <w:sz w:val="22"/>
              </w:rPr>
              <w:t>Орієнтовний обсяг та джерела фінансування тис. гривень</w:t>
            </w:r>
          </w:p>
        </w:tc>
        <w:tc>
          <w:tcPr>
            <w:tcW w:w="1276" w:type="dxa"/>
            <w:vMerge w:val="restart"/>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sz w:val="22"/>
              </w:rPr>
            </w:pPr>
            <w:r w:rsidRPr="00B74A55">
              <w:rPr>
                <w:rFonts w:eastAsia="Calibri"/>
                <w:sz w:val="22"/>
              </w:rPr>
              <w:t>Державний бюджет</w:t>
            </w:r>
          </w:p>
        </w:tc>
        <w:tc>
          <w:tcPr>
            <w:tcW w:w="1134" w:type="dxa"/>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sz w:val="22"/>
              </w:rPr>
            </w:pPr>
            <w:r w:rsidRPr="00B74A55">
              <w:rPr>
                <w:rFonts w:eastAsia="Calibri"/>
                <w:sz w:val="22"/>
              </w:rPr>
              <w:t>Місцевий бюджет</w:t>
            </w:r>
          </w:p>
        </w:tc>
        <w:tc>
          <w:tcPr>
            <w:tcW w:w="2976" w:type="dxa"/>
            <w:gridSpan w:val="2"/>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sz w:val="22"/>
              </w:rPr>
            </w:pPr>
            <w:r w:rsidRPr="00B74A55">
              <w:rPr>
                <w:rFonts w:eastAsia="Calibri"/>
                <w:sz w:val="22"/>
              </w:rPr>
              <w:t>Інші джерела</w:t>
            </w:r>
          </w:p>
        </w:tc>
        <w:tc>
          <w:tcPr>
            <w:tcW w:w="1701" w:type="dxa"/>
            <w:vMerge w:val="restart"/>
            <w:tcBorders>
              <w:top w:val="single" w:sz="6" w:space="0" w:color="auto"/>
              <w:left w:val="single" w:sz="6" w:space="0" w:color="auto"/>
              <w:right w:val="single" w:sz="6" w:space="0" w:color="auto"/>
            </w:tcBorders>
          </w:tcPr>
          <w:p w:rsidR="002F4714" w:rsidRPr="00B74A55" w:rsidRDefault="002F4714" w:rsidP="00CF4B4F">
            <w:pPr>
              <w:autoSpaceDE w:val="0"/>
              <w:autoSpaceDN w:val="0"/>
              <w:adjustRightInd w:val="0"/>
              <w:rPr>
                <w:rFonts w:eastAsia="Calibri"/>
                <w:sz w:val="22"/>
              </w:rPr>
            </w:pPr>
            <w:r w:rsidRPr="00B74A55">
              <w:rPr>
                <w:rFonts w:eastAsia="Calibri"/>
                <w:sz w:val="22"/>
              </w:rPr>
              <w:t>Всього</w:t>
            </w:r>
          </w:p>
        </w:tc>
      </w:tr>
      <w:tr w:rsidR="002F4714" w:rsidRPr="00B74A55" w:rsidTr="00CF4B4F">
        <w:trPr>
          <w:trHeight w:val="65"/>
        </w:trPr>
        <w:tc>
          <w:tcPr>
            <w:tcW w:w="1306" w:type="dxa"/>
            <w:vMerge/>
            <w:tcBorders>
              <w:left w:val="nil"/>
              <w:right w:val="nil"/>
            </w:tcBorders>
          </w:tcPr>
          <w:p w:rsidR="002F4714" w:rsidRPr="00B74A55" w:rsidRDefault="002F4714" w:rsidP="00CF4B4F">
            <w:pPr>
              <w:autoSpaceDE w:val="0"/>
              <w:autoSpaceDN w:val="0"/>
              <w:adjustRightInd w:val="0"/>
              <w:jc w:val="right"/>
              <w:rPr>
                <w:rFonts w:eastAsia="Calibri"/>
                <w:sz w:val="22"/>
              </w:rPr>
            </w:pPr>
          </w:p>
        </w:tc>
        <w:tc>
          <w:tcPr>
            <w:tcW w:w="2977" w:type="dxa"/>
            <w:vMerge/>
            <w:tcBorders>
              <w:left w:val="single" w:sz="6" w:space="0" w:color="auto"/>
              <w:right w:val="single" w:sz="6" w:space="0" w:color="auto"/>
            </w:tcBorders>
            <w:shd w:val="clear" w:color="00FFFF" w:fill="C6D9F1" w:themeFill="text2" w:themeFillTint="33"/>
          </w:tcPr>
          <w:p w:rsidR="002F4714" w:rsidRPr="00B74A55" w:rsidRDefault="002F4714" w:rsidP="00CF4B4F">
            <w:pPr>
              <w:autoSpaceDE w:val="0"/>
              <w:autoSpaceDN w:val="0"/>
              <w:adjustRightInd w:val="0"/>
              <w:rPr>
                <w:rFonts w:eastAsia="Calibri"/>
                <w:b/>
                <w:sz w:val="22"/>
              </w:rPr>
            </w:pPr>
          </w:p>
        </w:tc>
        <w:tc>
          <w:tcPr>
            <w:tcW w:w="1276" w:type="dxa"/>
            <w:vMerge/>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sz w:val="22"/>
              </w:rPr>
            </w:pPr>
          </w:p>
        </w:tc>
        <w:tc>
          <w:tcPr>
            <w:tcW w:w="1134" w:type="dxa"/>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sz w:val="22"/>
              </w:rPr>
            </w:pPr>
          </w:p>
        </w:tc>
        <w:tc>
          <w:tcPr>
            <w:tcW w:w="1134" w:type="dxa"/>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sz w:val="22"/>
              </w:rPr>
            </w:pPr>
            <w:r w:rsidRPr="00B74A55">
              <w:rPr>
                <w:rFonts w:eastAsia="Calibri"/>
                <w:sz w:val="22"/>
              </w:rPr>
              <w:t>Обсяг</w:t>
            </w:r>
          </w:p>
        </w:tc>
        <w:tc>
          <w:tcPr>
            <w:tcW w:w="1842" w:type="dxa"/>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sz w:val="22"/>
              </w:rPr>
            </w:pPr>
            <w:r w:rsidRPr="00B74A55">
              <w:rPr>
                <w:rFonts w:eastAsia="Calibri"/>
                <w:sz w:val="22"/>
              </w:rPr>
              <w:t>Назва джерела</w:t>
            </w:r>
          </w:p>
        </w:tc>
        <w:tc>
          <w:tcPr>
            <w:tcW w:w="1701" w:type="dxa"/>
            <w:vMerge/>
            <w:tcBorders>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sz w:val="22"/>
              </w:rPr>
            </w:pPr>
          </w:p>
        </w:tc>
      </w:tr>
      <w:tr w:rsidR="002F4714" w:rsidRPr="00B74A55" w:rsidTr="002F4714">
        <w:trPr>
          <w:trHeight w:val="625"/>
        </w:trPr>
        <w:tc>
          <w:tcPr>
            <w:tcW w:w="1306" w:type="dxa"/>
            <w:vMerge/>
            <w:tcBorders>
              <w:left w:val="nil"/>
              <w:bottom w:val="nil"/>
              <w:right w:val="nil"/>
            </w:tcBorders>
          </w:tcPr>
          <w:p w:rsidR="002F4714" w:rsidRPr="00B74A55" w:rsidRDefault="002F4714" w:rsidP="00CF4B4F">
            <w:pPr>
              <w:autoSpaceDE w:val="0"/>
              <w:autoSpaceDN w:val="0"/>
              <w:adjustRightInd w:val="0"/>
              <w:jc w:val="right"/>
              <w:rPr>
                <w:rFonts w:eastAsia="Calibri"/>
                <w:sz w:val="22"/>
              </w:rPr>
            </w:pPr>
          </w:p>
        </w:tc>
        <w:tc>
          <w:tcPr>
            <w:tcW w:w="2977" w:type="dxa"/>
            <w:vMerge/>
            <w:tcBorders>
              <w:left w:val="single" w:sz="6" w:space="0" w:color="auto"/>
              <w:bottom w:val="single" w:sz="6" w:space="0" w:color="auto"/>
              <w:right w:val="single" w:sz="6" w:space="0" w:color="auto"/>
            </w:tcBorders>
            <w:shd w:val="clear" w:color="00FFFF" w:fill="C6D9F1" w:themeFill="text2" w:themeFillTint="33"/>
          </w:tcPr>
          <w:p w:rsidR="002F4714" w:rsidRPr="00B74A55" w:rsidRDefault="002F4714" w:rsidP="00CF4B4F">
            <w:pPr>
              <w:autoSpaceDE w:val="0"/>
              <w:autoSpaceDN w:val="0"/>
              <w:adjustRightInd w:val="0"/>
              <w:rPr>
                <w:rFonts w:eastAsia="Calibri"/>
                <w:b/>
                <w:sz w:val="22"/>
              </w:rPr>
            </w:pPr>
          </w:p>
        </w:tc>
        <w:tc>
          <w:tcPr>
            <w:tcW w:w="1276" w:type="dxa"/>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sz w:val="22"/>
              </w:rPr>
            </w:pPr>
            <w:r w:rsidRPr="00B74A55">
              <w:rPr>
                <w:rFonts w:eastAsia="Calibri"/>
                <w:sz w:val="22"/>
              </w:rPr>
              <w:t>3 000, 000</w:t>
            </w:r>
          </w:p>
        </w:tc>
        <w:tc>
          <w:tcPr>
            <w:tcW w:w="1134" w:type="dxa"/>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sz w:val="22"/>
              </w:rPr>
            </w:pPr>
          </w:p>
        </w:tc>
        <w:tc>
          <w:tcPr>
            <w:tcW w:w="1134" w:type="dxa"/>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sz w:val="22"/>
              </w:rPr>
            </w:pPr>
            <w:r w:rsidRPr="00B74A55">
              <w:rPr>
                <w:rFonts w:eastAsia="Calibri"/>
                <w:sz w:val="22"/>
              </w:rPr>
              <w:t xml:space="preserve">3 500, 000 </w:t>
            </w:r>
          </w:p>
        </w:tc>
        <w:tc>
          <w:tcPr>
            <w:tcW w:w="1842" w:type="dxa"/>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sz w:val="22"/>
              </w:rPr>
            </w:pPr>
            <w:r w:rsidRPr="00B74A55">
              <w:rPr>
                <w:rFonts w:eastAsia="Calibri"/>
                <w:sz w:val="22"/>
              </w:rPr>
              <w:t>Міжнародні інвестиції</w:t>
            </w:r>
          </w:p>
        </w:tc>
        <w:tc>
          <w:tcPr>
            <w:tcW w:w="1701" w:type="dxa"/>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sz w:val="22"/>
              </w:rPr>
            </w:pPr>
            <w:r w:rsidRPr="00B74A55">
              <w:rPr>
                <w:rFonts w:eastAsia="Calibri"/>
                <w:sz w:val="22"/>
              </w:rPr>
              <w:t>6 500, 000</w:t>
            </w:r>
          </w:p>
        </w:tc>
      </w:tr>
    </w:tbl>
    <w:p w:rsidR="002D6D43" w:rsidRPr="00B74A55" w:rsidRDefault="002D6D43" w:rsidP="00E33AAA">
      <w:pPr>
        <w:tabs>
          <w:tab w:val="left" w:pos="5290"/>
        </w:tabs>
        <w:rPr>
          <w:b/>
          <w:sz w:val="22"/>
          <w:szCs w:val="22"/>
        </w:rPr>
      </w:pPr>
    </w:p>
    <w:p w:rsidR="002D6D43" w:rsidRPr="00B74A55" w:rsidRDefault="002D6D43" w:rsidP="00E33AAA">
      <w:pPr>
        <w:tabs>
          <w:tab w:val="left" w:pos="5290"/>
        </w:tabs>
        <w:rPr>
          <w:b/>
          <w:sz w:val="22"/>
          <w:szCs w:val="22"/>
        </w:rPr>
      </w:pPr>
    </w:p>
    <w:tbl>
      <w:tblPr>
        <w:tblpPr w:leftFromText="180" w:rightFromText="180" w:vertAnchor="text" w:horzAnchor="page" w:tblpX="1328" w:tblpY="78"/>
        <w:tblW w:w="10065" w:type="dxa"/>
        <w:tblLayout w:type="fixed"/>
        <w:tblCellMar>
          <w:left w:w="30" w:type="dxa"/>
          <w:right w:w="30" w:type="dxa"/>
        </w:tblCellMar>
        <w:tblLook w:val="0000" w:firstRow="0" w:lastRow="0" w:firstColumn="0" w:lastColumn="0" w:noHBand="0" w:noVBand="0"/>
      </w:tblPr>
      <w:tblGrid>
        <w:gridCol w:w="2977"/>
        <w:gridCol w:w="1276"/>
        <w:gridCol w:w="1276"/>
        <w:gridCol w:w="345"/>
        <w:gridCol w:w="931"/>
        <w:gridCol w:w="866"/>
        <w:gridCol w:w="835"/>
        <w:gridCol w:w="1548"/>
        <w:gridCol w:w="11"/>
      </w:tblGrid>
      <w:tr w:rsidR="00CA74F8" w:rsidRPr="00B74A55" w:rsidTr="00CA74F8">
        <w:trPr>
          <w:trHeight w:val="556"/>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A74F8" w:rsidRPr="00B74A55" w:rsidRDefault="00CA74F8" w:rsidP="00CA74F8">
            <w:pPr>
              <w:autoSpaceDE w:val="0"/>
              <w:autoSpaceDN w:val="0"/>
              <w:adjustRightInd w:val="0"/>
              <w:rPr>
                <w:rFonts w:eastAsia="Calibri"/>
                <w:b/>
                <w:color w:val="000000"/>
                <w:sz w:val="22"/>
              </w:rPr>
            </w:pPr>
            <w:r w:rsidRPr="00B74A55">
              <w:rPr>
                <w:rFonts w:eastAsia="Calibri"/>
                <w:b/>
                <w:color w:val="000000"/>
                <w:sz w:val="22"/>
              </w:rPr>
              <w:t>Оперативна ціль/завдання</w:t>
            </w:r>
          </w:p>
        </w:tc>
        <w:tc>
          <w:tcPr>
            <w:tcW w:w="7088" w:type="dxa"/>
            <w:gridSpan w:val="8"/>
            <w:tcBorders>
              <w:top w:val="single" w:sz="6" w:space="0" w:color="auto"/>
              <w:left w:val="single" w:sz="6" w:space="0" w:color="auto"/>
              <w:bottom w:val="single" w:sz="6" w:space="0" w:color="auto"/>
              <w:right w:val="single" w:sz="6" w:space="0" w:color="auto"/>
            </w:tcBorders>
          </w:tcPr>
          <w:p w:rsidR="00CA74F8" w:rsidRPr="00B74A55" w:rsidRDefault="00CA74F8" w:rsidP="00CA74F8">
            <w:pPr>
              <w:autoSpaceDE w:val="0"/>
              <w:autoSpaceDN w:val="0"/>
              <w:adjustRightInd w:val="0"/>
              <w:rPr>
                <w:rFonts w:eastAsia="Calibri"/>
                <w:color w:val="000000"/>
                <w:sz w:val="22"/>
              </w:rPr>
            </w:pPr>
            <w:r w:rsidRPr="00B74A55">
              <w:rPr>
                <w:color w:val="222222"/>
                <w:sz w:val="22"/>
                <w:shd w:val="clear" w:color="auto" w:fill="FFFFFF"/>
              </w:rPr>
              <w:t xml:space="preserve">Людський розвиток через інновації управління та довіру до влади. Формування сучасного інклюзивного  </w:t>
            </w:r>
            <w:proofErr w:type="spellStart"/>
            <w:r w:rsidRPr="00B74A55">
              <w:rPr>
                <w:color w:val="222222"/>
                <w:sz w:val="22"/>
                <w:shd w:val="clear" w:color="auto" w:fill="FFFFFF"/>
              </w:rPr>
              <w:t>освітньо</w:t>
            </w:r>
            <w:proofErr w:type="spellEnd"/>
            <w:r w:rsidRPr="00B74A55">
              <w:rPr>
                <w:color w:val="222222"/>
                <w:sz w:val="22"/>
                <w:shd w:val="clear" w:color="auto" w:fill="FFFFFF"/>
              </w:rPr>
              <w:t>-культурного та спортивного простору для розвитку</w:t>
            </w:r>
          </w:p>
        </w:tc>
      </w:tr>
      <w:tr w:rsidR="00CA74F8" w:rsidRPr="00B74A55" w:rsidTr="00CA74F8">
        <w:trPr>
          <w:trHeight w:val="693"/>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A74F8" w:rsidRPr="00B74A55" w:rsidRDefault="00CA74F8" w:rsidP="00CA74F8">
            <w:pPr>
              <w:autoSpaceDE w:val="0"/>
              <w:autoSpaceDN w:val="0"/>
              <w:adjustRightInd w:val="0"/>
              <w:rPr>
                <w:rFonts w:eastAsia="Calibri"/>
                <w:b/>
                <w:color w:val="000000"/>
                <w:sz w:val="22"/>
              </w:rPr>
            </w:pPr>
            <w:r w:rsidRPr="00B74A55">
              <w:rPr>
                <w:rFonts w:eastAsia="Calibri"/>
                <w:b/>
                <w:color w:val="000000"/>
                <w:sz w:val="22"/>
              </w:rPr>
              <w:t>Назва проекту:</w:t>
            </w:r>
          </w:p>
        </w:tc>
        <w:tc>
          <w:tcPr>
            <w:tcW w:w="7088" w:type="dxa"/>
            <w:gridSpan w:val="8"/>
            <w:tcBorders>
              <w:top w:val="single" w:sz="6" w:space="0" w:color="auto"/>
              <w:left w:val="single" w:sz="6" w:space="0" w:color="auto"/>
              <w:bottom w:val="single" w:sz="6" w:space="0" w:color="auto"/>
              <w:right w:val="single" w:sz="6" w:space="0" w:color="auto"/>
            </w:tcBorders>
          </w:tcPr>
          <w:p w:rsidR="00CA74F8" w:rsidRPr="00B74A55" w:rsidRDefault="00CA74F8" w:rsidP="00CA74F8">
            <w:pPr>
              <w:autoSpaceDE w:val="0"/>
              <w:autoSpaceDN w:val="0"/>
              <w:adjustRightInd w:val="0"/>
              <w:rPr>
                <w:rFonts w:eastAsia="Calibri"/>
                <w:color w:val="000000"/>
                <w:sz w:val="22"/>
              </w:rPr>
            </w:pPr>
            <w:r w:rsidRPr="00B74A55">
              <w:rPr>
                <w:rFonts w:eastAsia="Calibri"/>
                <w:color w:val="000000"/>
                <w:sz w:val="22"/>
              </w:rPr>
              <w:t xml:space="preserve"> Безпечний, комфортний простір території Ясел – садка № 37 м. Сєвєродонецька Луганської обл. вул. Гагаріна буд.101-В</w:t>
            </w:r>
          </w:p>
        </w:tc>
      </w:tr>
      <w:tr w:rsidR="00CA74F8" w:rsidRPr="00B74A55" w:rsidTr="00CA74F8">
        <w:trPr>
          <w:trHeight w:val="839"/>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A74F8" w:rsidRPr="00B74A55" w:rsidRDefault="00CA74F8" w:rsidP="00CA74F8">
            <w:pPr>
              <w:autoSpaceDE w:val="0"/>
              <w:autoSpaceDN w:val="0"/>
              <w:adjustRightInd w:val="0"/>
              <w:rPr>
                <w:rFonts w:eastAsia="Calibri"/>
                <w:b/>
                <w:color w:val="000000"/>
                <w:sz w:val="22"/>
              </w:rPr>
            </w:pPr>
            <w:r w:rsidRPr="00B74A55">
              <w:rPr>
                <w:rFonts w:eastAsia="Calibri"/>
                <w:b/>
                <w:color w:val="000000"/>
                <w:sz w:val="22"/>
              </w:rPr>
              <w:t>Ціль проекту</w:t>
            </w:r>
          </w:p>
        </w:tc>
        <w:tc>
          <w:tcPr>
            <w:tcW w:w="7088" w:type="dxa"/>
            <w:gridSpan w:val="8"/>
            <w:tcBorders>
              <w:top w:val="single" w:sz="6" w:space="0" w:color="auto"/>
              <w:left w:val="single" w:sz="6" w:space="0" w:color="auto"/>
              <w:bottom w:val="single" w:sz="6" w:space="0" w:color="auto"/>
              <w:right w:val="single" w:sz="6" w:space="0" w:color="auto"/>
            </w:tcBorders>
          </w:tcPr>
          <w:p w:rsidR="00CA74F8" w:rsidRPr="00B74A55" w:rsidRDefault="00CA74F8" w:rsidP="00CA74F8">
            <w:pPr>
              <w:autoSpaceDE w:val="0"/>
              <w:autoSpaceDN w:val="0"/>
              <w:adjustRightInd w:val="0"/>
              <w:rPr>
                <w:rFonts w:eastAsia="Calibri"/>
                <w:color w:val="000000"/>
                <w:sz w:val="22"/>
              </w:rPr>
            </w:pPr>
            <w:r w:rsidRPr="00B74A55">
              <w:rPr>
                <w:rFonts w:eastAsia="Calibri"/>
                <w:color w:val="000000"/>
                <w:sz w:val="22"/>
              </w:rPr>
              <w:t xml:space="preserve">Облаштування  території дошкільного закладу. </w:t>
            </w:r>
            <w:r w:rsidRPr="00B74A55">
              <w:rPr>
                <w:sz w:val="22"/>
              </w:rPr>
              <w:t xml:space="preserve"> </w:t>
            </w:r>
            <w:r w:rsidRPr="00B74A55">
              <w:rPr>
                <w:rFonts w:eastAsia="Calibri"/>
                <w:color w:val="000000"/>
                <w:sz w:val="22"/>
              </w:rPr>
              <w:t>Покращення благоустрою території, створення безпечного простору для відпочинку та розвитку всіх учасників освітнього процесу.</w:t>
            </w:r>
          </w:p>
        </w:tc>
      </w:tr>
      <w:tr w:rsidR="00CA74F8" w:rsidRPr="00B74A55" w:rsidTr="00CA74F8">
        <w:trPr>
          <w:trHeight w:val="291"/>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A74F8" w:rsidRPr="00B74A55" w:rsidRDefault="00CA74F8" w:rsidP="00CA74F8">
            <w:pPr>
              <w:autoSpaceDE w:val="0"/>
              <w:autoSpaceDN w:val="0"/>
              <w:adjustRightInd w:val="0"/>
              <w:rPr>
                <w:rFonts w:eastAsia="Calibri"/>
                <w:b/>
                <w:color w:val="000000"/>
                <w:sz w:val="22"/>
              </w:rPr>
            </w:pPr>
            <w:r w:rsidRPr="00B74A55">
              <w:rPr>
                <w:rFonts w:eastAsia="Calibri"/>
                <w:b/>
                <w:color w:val="000000"/>
                <w:sz w:val="22"/>
              </w:rPr>
              <w:t>Територія, на яку матиме вплив реалізація проекту</w:t>
            </w:r>
          </w:p>
        </w:tc>
        <w:tc>
          <w:tcPr>
            <w:tcW w:w="7088" w:type="dxa"/>
            <w:gridSpan w:val="8"/>
            <w:tcBorders>
              <w:top w:val="single" w:sz="6" w:space="0" w:color="auto"/>
              <w:left w:val="single" w:sz="6" w:space="0" w:color="auto"/>
              <w:bottom w:val="single" w:sz="6" w:space="0" w:color="auto"/>
              <w:right w:val="single" w:sz="6" w:space="0" w:color="auto"/>
            </w:tcBorders>
          </w:tcPr>
          <w:p w:rsidR="00CA74F8" w:rsidRPr="00B74A55" w:rsidRDefault="00CA74F8" w:rsidP="00CA74F8">
            <w:pPr>
              <w:autoSpaceDE w:val="0"/>
              <w:autoSpaceDN w:val="0"/>
              <w:adjustRightInd w:val="0"/>
              <w:rPr>
                <w:rFonts w:eastAsia="Calibri"/>
                <w:color w:val="000000"/>
                <w:sz w:val="22"/>
              </w:rPr>
            </w:pPr>
            <w:r w:rsidRPr="00B74A55">
              <w:rPr>
                <w:rFonts w:eastAsia="Calibri"/>
                <w:color w:val="000000"/>
                <w:sz w:val="22"/>
              </w:rPr>
              <w:t>Сєвєродонецька міська територіальна громада</w:t>
            </w:r>
          </w:p>
        </w:tc>
      </w:tr>
      <w:tr w:rsidR="00CA74F8" w:rsidRPr="00B74A55" w:rsidTr="00CA74F8">
        <w:trPr>
          <w:trHeight w:val="587"/>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A74F8" w:rsidRPr="00B74A55" w:rsidRDefault="00CA74F8" w:rsidP="00CA74F8">
            <w:pPr>
              <w:autoSpaceDE w:val="0"/>
              <w:autoSpaceDN w:val="0"/>
              <w:adjustRightInd w:val="0"/>
              <w:rPr>
                <w:rFonts w:eastAsia="Calibri"/>
                <w:b/>
                <w:color w:val="000000"/>
                <w:sz w:val="22"/>
              </w:rPr>
            </w:pPr>
            <w:r w:rsidRPr="00B74A55">
              <w:rPr>
                <w:rFonts w:eastAsia="Calibri"/>
                <w:b/>
                <w:color w:val="000000"/>
                <w:sz w:val="22"/>
              </w:rPr>
              <w:t>Чисельність населення, на яке матиме вплив реалізація проекту</w:t>
            </w:r>
          </w:p>
        </w:tc>
        <w:tc>
          <w:tcPr>
            <w:tcW w:w="7088" w:type="dxa"/>
            <w:gridSpan w:val="8"/>
            <w:tcBorders>
              <w:top w:val="single" w:sz="6" w:space="0" w:color="auto"/>
              <w:left w:val="single" w:sz="6" w:space="0" w:color="auto"/>
              <w:bottom w:val="single" w:sz="6" w:space="0" w:color="auto"/>
              <w:right w:val="single" w:sz="6" w:space="0" w:color="auto"/>
            </w:tcBorders>
          </w:tcPr>
          <w:p w:rsidR="00CA74F8" w:rsidRPr="00B74A55" w:rsidRDefault="00CA74F8" w:rsidP="00CA74F8">
            <w:pPr>
              <w:autoSpaceDE w:val="0"/>
              <w:autoSpaceDN w:val="0"/>
              <w:adjustRightInd w:val="0"/>
              <w:rPr>
                <w:rFonts w:eastAsia="Calibri"/>
                <w:color w:val="000000"/>
                <w:sz w:val="22"/>
              </w:rPr>
            </w:pPr>
            <w:r w:rsidRPr="00B74A55">
              <w:rPr>
                <w:rFonts w:eastAsia="Calibri"/>
                <w:color w:val="000000"/>
                <w:sz w:val="22"/>
              </w:rPr>
              <w:t>70 000 осіб</w:t>
            </w:r>
          </w:p>
        </w:tc>
      </w:tr>
      <w:tr w:rsidR="00CA74F8" w:rsidRPr="00B74A55" w:rsidTr="00CA74F8">
        <w:trPr>
          <w:trHeight w:val="1264"/>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A74F8" w:rsidRPr="00B74A55" w:rsidRDefault="00CA74F8" w:rsidP="00CA74F8">
            <w:pPr>
              <w:autoSpaceDE w:val="0"/>
              <w:autoSpaceDN w:val="0"/>
              <w:adjustRightInd w:val="0"/>
              <w:rPr>
                <w:rFonts w:eastAsia="Calibri"/>
                <w:b/>
                <w:color w:val="000000"/>
                <w:sz w:val="22"/>
              </w:rPr>
            </w:pPr>
            <w:r w:rsidRPr="00B74A55">
              <w:rPr>
                <w:rFonts w:eastAsia="Calibri"/>
                <w:b/>
                <w:color w:val="000000"/>
                <w:sz w:val="22"/>
              </w:rPr>
              <w:t>Опис проблеми, на вирішення якої спрямований проект</w:t>
            </w:r>
          </w:p>
        </w:tc>
        <w:tc>
          <w:tcPr>
            <w:tcW w:w="7088" w:type="dxa"/>
            <w:gridSpan w:val="8"/>
            <w:tcBorders>
              <w:top w:val="single" w:sz="6" w:space="0" w:color="auto"/>
              <w:left w:val="single" w:sz="6" w:space="0" w:color="auto"/>
              <w:bottom w:val="single" w:sz="6" w:space="0" w:color="auto"/>
              <w:right w:val="single" w:sz="6" w:space="0" w:color="auto"/>
            </w:tcBorders>
          </w:tcPr>
          <w:p w:rsidR="00CA74F8" w:rsidRPr="00B74A55" w:rsidRDefault="00CA74F8" w:rsidP="00CE4EA7">
            <w:pPr>
              <w:rPr>
                <w:rFonts w:eastAsia="Calibri"/>
                <w:color w:val="000000"/>
                <w:sz w:val="22"/>
              </w:rPr>
            </w:pPr>
            <w:r w:rsidRPr="00B74A55">
              <w:rPr>
                <w:rFonts w:eastAsia="Calibri"/>
                <w:color w:val="000000"/>
                <w:sz w:val="22"/>
              </w:rPr>
              <w:t xml:space="preserve">У зв’язку з російською агресією була пошкоджена огорожа, павільйони  подекуди аварійно небезпечні для життя та здоров’я дітей. Під час окупації занедбана,  </w:t>
            </w:r>
            <w:proofErr w:type="spellStart"/>
            <w:r w:rsidRPr="00B74A55">
              <w:rPr>
                <w:rFonts w:eastAsia="Calibri"/>
                <w:color w:val="000000"/>
                <w:sz w:val="22"/>
              </w:rPr>
              <w:t>розмародерена</w:t>
            </w:r>
            <w:proofErr w:type="spellEnd"/>
            <w:r w:rsidRPr="00B74A55">
              <w:rPr>
                <w:rFonts w:eastAsia="Calibri"/>
                <w:color w:val="000000"/>
                <w:sz w:val="22"/>
              </w:rPr>
              <w:t xml:space="preserve">  територія. Старі дерева несуть загрозу для життя та здоров’я всіх учасників освітнього процесу. Асфальтове покриття пішохідних доріжок не в належному стані, деформоване. Відсутнє освітлення на вулиці.  </w:t>
            </w:r>
          </w:p>
        </w:tc>
      </w:tr>
      <w:tr w:rsidR="00CA74F8" w:rsidRPr="00B74A55" w:rsidTr="00CE4EA7">
        <w:trPr>
          <w:trHeight w:val="978"/>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A74F8" w:rsidRPr="00B74A55" w:rsidRDefault="00CA74F8" w:rsidP="00CA74F8">
            <w:pPr>
              <w:autoSpaceDE w:val="0"/>
              <w:autoSpaceDN w:val="0"/>
              <w:adjustRightInd w:val="0"/>
              <w:rPr>
                <w:rFonts w:eastAsia="Calibri"/>
                <w:b/>
                <w:color w:val="000000"/>
                <w:sz w:val="22"/>
              </w:rPr>
            </w:pPr>
            <w:r w:rsidRPr="00B74A55">
              <w:rPr>
                <w:rFonts w:eastAsia="Calibri"/>
                <w:b/>
                <w:color w:val="000000"/>
                <w:sz w:val="22"/>
              </w:rPr>
              <w:lastRenderedPageBreak/>
              <w:t>Очікувані якісні результати від реалізації проекту</w:t>
            </w:r>
          </w:p>
        </w:tc>
        <w:tc>
          <w:tcPr>
            <w:tcW w:w="7088" w:type="dxa"/>
            <w:gridSpan w:val="8"/>
            <w:tcBorders>
              <w:top w:val="single" w:sz="6" w:space="0" w:color="auto"/>
              <w:left w:val="single" w:sz="6" w:space="0" w:color="auto"/>
              <w:bottom w:val="single" w:sz="6" w:space="0" w:color="auto"/>
              <w:right w:val="single" w:sz="6" w:space="0" w:color="auto"/>
            </w:tcBorders>
          </w:tcPr>
          <w:p w:rsidR="00CA74F8" w:rsidRPr="00B74A55" w:rsidRDefault="00CA74F8" w:rsidP="00CA74F8">
            <w:pPr>
              <w:rPr>
                <w:sz w:val="22"/>
              </w:rPr>
            </w:pPr>
            <w:r w:rsidRPr="00B74A55">
              <w:rPr>
                <w:sz w:val="22"/>
              </w:rPr>
              <w:t>1.Сучасна комфортна та безпечна територія закладу.</w:t>
            </w:r>
          </w:p>
          <w:p w:rsidR="00CA74F8" w:rsidRPr="00B74A55" w:rsidRDefault="00CA74F8" w:rsidP="00CA74F8">
            <w:pPr>
              <w:rPr>
                <w:sz w:val="22"/>
              </w:rPr>
            </w:pPr>
            <w:r w:rsidRPr="00B74A55">
              <w:rPr>
                <w:sz w:val="22"/>
              </w:rPr>
              <w:t>2.Можливості для проведення дозвілля,</w:t>
            </w:r>
            <w:r w:rsidR="00CE4EA7" w:rsidRPr="00B74A55">
              <w:rPr>
                <w:sz w:val="22"/>
              </w:rPr>
              <w:t xml:space="preserve"> </w:t>
            </w:r>
            <w:r w:rsidRPr="00B74A55">
              <w:rPr>
                <w:sz w:val="22"/>
              </w:rPr>
              <w:t>активного відпочинку та фізичного розвитку  дітей, позитивний вплив на розвиток дітей, їхнє здоров’я та настрій.</w:t>
            </w:r>
          </w:p>
          <w:p w:rsidR="00CA74F8" w:rsidRPr="00B74A55" w:rsidRDefault="00CA74F8" w:rsidP="00CA74F8">
            <w:pPr>
              <w:rPr>
                <w:sz w:val="22"/>
              </w:rPr>
            </w:pPr>
            <w:r w:rsidRPr="00B74A55">
              <w:rPr>
                <w:sz w:val="22"/>
              </w:rPr>
              <w:t>3. Запобігання травматизму внаслідок відновлення ігрових майданчиків, покриття доріг та тротуарів , зовнішнього освітлення.</w:t>
            </w:r>
          </w:p>
          <w:p w:rsidR="00CA74F8" w:rsidRPr="00B74A55" w:rsidRDefault="00CA74F8" w:rsidP="00CA74F8">
            <w:pPr>
              <w:rPr>
                <w:sz w:val="22"/>
              </w:rPr>
            </w:pPr>
            <w:r w:rsidRPr="00B74A55">
              <w:rPr>
                <w:sz w:val="22"/>
              </w:rPr>
              <w:t>4. Відповідальне та дієве ставлення до навколишнього природного середовища.</w:t>
            </w:r>
          </w:p>
          <w:p w:rsidR="00CA74F8" w:rsidRPr="00B74A55" w:rsidRDefault="00CA74F8" w:rsidP="00CA74F8">
            <w:pPr>
              <w:rPr>
                <w:sz w:val="22"/>
              </w:rPr>
            </w:pPr>
            <w:r w:rsidRPr="00B74A55">
              <w:rPr>
                <w:sz w:val="22"/>
              </w:rPr>
              <w:t>5.  Покращення іміджу закладу освіти.</w:t>
            </w:r>
          </w:p>
          <w:p w:rsidR="00CA74F8" w:rsidRPr="00B74A55" w:rsidRDefault="00CA74F8" w:rsidP="00CE4EA7">
            <w:pPr>
              <w:rPr>
                <w:sz w:val="22"/>
              </w:rPr>
            </w:pPr>
            <w:r w:rsidRPr="00B74A55">
              <w:rPr>
                <w:sz w:val="22"/>
              </w:rPr>
              <w:t>6.</w:t>
            </w:r>
            <w:r w:rsidR="00CE4EA7" w:rsidRPr="00B74A55">
              <w:rPr>
                <w:sz w:val="22"/>
              </w:rPr>
              <w:t xml:space="preserve"> С</w:t>
            </w:r>
            <w:r w:rsidRPr="00B74A55">
              <w:rPr>
                <w:sz w:val="22"/>
              </w:rPr>
              <w:t>тимул повернення ВПО до громади.</w:t>
            </w:r>
          </w:p>
        </w:tc>
      </w:tr>
      <w:tr w:rsidR="00CA74F8" w:rsidRPr="00B74A55" w:rsidTr="00CA74F8">
        <w:trPr>
          <w:trHeight w:val="582"/>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A74F8" w:rsidRPr="00B74A55" w:rsidRDefault="00CA74F8" w:rsidP="00CA74F8">
            <w:pPr>
              <w:autoSpaceDE w:val="0"/>
              <w:autoSpaceDN w:val="0"/>
              <w:adjustRightInd w:val="0"/>
              <w:rPr>
                <w:rFonts w:eastAsia="Calibri"/>
                <w:b/>
                <w:color w:val="000000"/>
                <w:sz w:val="22"/>
              </w:rPr>
            </w:pPr>
            <w:r w:rsidRPr="00B74A55">
              <w:rPr>
                <w:rFonts w:eastAsia="Calibri"/>
                <w:b/>
                <w:color w:val="000000"/>
                <w:sz w:val="22"/>
              </w:rPr>
              <w:t>Очікувані кількісні результати від реалізації проекту  (індикатори)</w:t>
            </w:r>
          </w:p>
        </w:tc>
        <w:tc>
          <w:tcPr>
            <w:tcW w:w="2897" w:type="dxa"/>
            <w:gridSpan w:val="3"/>
            <w:tcBorders>
              <w:top w:val="single" w:sz="6" w:space="0" w:color="auto"/>
              <w:left w:val="single" w:sz="6" w:space="0" w:color="auto"/>
              <w:bottom w:val="single" w:sz="6" w:space="0" w:color="auto"/>
              <w:right w:val="single" w:sz="6" w:space="0" w:color="auto"/>
            </w:tcBorders>
          </w:tcPr>
          <w:p w:rsidR="00CA74F8" w:rsidRPr="00B74A55" w:rsidRDefault="00CA74F8" w:rsidP="00CA74F8">
            <w:pPr>
              <w:autoSpaceDE w:val="0"/>
              <w:autoSpaceDN w:val="0"/>
              <w:adjustRightInd w:val="0"/>
              <w:rPr>
                <w:rFonts w:eastAsia="Calibri"/>
                <w:b/>
                <w:color w:val="000000"/>
                <w:sz w:val="22"/>
              </w:rPr>
            </w:pPr>
            <w:r w:rsidRPr="00B74A55">
              <w:rPr>
                <w:rFonts w:eastAsia="Calibri"/>
                <w:b/>
                <w:color w:val="000000"/>
                <w:sz w:val="22"/>
              </w:rPr>
              <w:t>Найменування показника</w:t>
            </w:r>
          </w:p>
        </w:tc>
        <w:tc>
          <w:tcPr>
            <w:tcW w:w="1797" w:type="dxa"/>
            <w:gridSpan w:val="2"/>
            <w:tcBorders>
              <w:top w:val="single" w:sz="6" w:space="0" w:color="auto"/>
              <w:left w:val="single" w:sz="6" w:space="0" w:color="auto"/>
              <w:bottom w:val="single" w:sz="6" w:space="0" w:color="auto"/>
              <w:right w:val="single" w:sz="6" w:space="0" w:color="auto"/>
            </w:tcBorders>
          </w:tcPr>
          <w:p w:rsidR="00CA74F8" w:rsidRPr="00B74A55" w:rsidRDefault="00CA74F8" w:rsidP="00CA74F8">
            <w:pPr>
              <w:autoSpaceDE w:val="0"/>
              <w:autoSpaceDN w:val="0"/>
              <w:adjustRightInd w:val="0"/>
              <w:rPr>
                <w:rFonts w:eastAsia="Calibri"/>
                <w:b/>
                <w:color w:val="000000"/>
                <w:sz w:val="22"/>
              </w:rPr>
            </w:pPr>
            <w:r w:rsidRPr="00B74A55">
              <w:rPr>
                <w:rFonts w:eastAsia="Calibri"/>
                <w:b/>
                <w:color w:val="000000"/>
                <w:sz w:val="22"/>
              </w:rPr>
              <w:t>Одиниця вимірювання</w:t>
            </w:r>
          </w:p>
        </w:tc>
        <w:tc>
          <w:tcPr>
            <w:tcW w:w="2394" w:type="dxa"/>
            <w:gridSpan w:val="3"/>
            <w:tcBorders>
              <w:top w:val="single" w:sz="6" w:space="0" w:color="auto"/>
              <w:left w:val="single" w:sz="6" w:space="0" w:color="auto"/>
              <w:bottom w:val="single" w:sz="6" w:space="0" w:color="auto"/>
              <w:right w:val="single" w:sz="6" w:space="0" w:color="auto"/>
            </w:tcBorders>
          </w:tcPr>
          <w:p w:rsidR="00CA74F8" w:rsidRPr="00B74A55" w:rsidRDefault="00CA74F8" w:rsidP="00CA74F8">
            <w:pPr>
              <w:autoSpaceDE w:val="0"/>
              <w:autoSpaceDN w:val="0"/>
              <w:adjustRightInd w:val="0"/>
              <w:rPr>
                <w:rFonts w:eastAsia="Calibri"/>
                <w:b/>
                <w:color w:val="000000"/>
                <w:sz w:val="22"/>
              </w:rPr>
            </w:pPr>
            <w:r w:rsidRPr="00B74A55">
              <w:rPr>
                <w:rFonts w:eastAsia="Calibri"/>
                <w:b/>
                <w:color w:val="000000"/>
                <w:sz w:val="22"/>
              </w:rPr>
              <w:t>Прогнозне (цільове) значення</w:t>
            </w:r>
          </w:p>
        </w:tc>
      </w:tr>
      <w:tr w:rsidR="00CA74F8" w:rsidRPr="00B74A55" w:rsidTr="00CA74F8">
        <w:trPr>
          <w:trHeight w:val="582"/>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A74F8" w:rsidRPr="00B74A55" w:rsidRDefault="00CA74F8" w:rsidP="00CA74F8">
            <w:pPr>
              <w:autoSpaceDE w:val="0"/>
              <w:autoSpaceDN w:val="0"/>
              <w:adjustRightInd w:val="0"/>
              <w:rPr>
                <w:rFonts w:eastAsia="Calibri"/>
                <w:b/>
                <w:sz w:val="22"/>
              </w:rPr>
            </w:pPr>
          </w:p>
        </w:tc>
        <w:tc>
          <w:tcPr>
            <w:tcW w:w="2897" w:type="dxa"/>
            <w:gridSpan w:val="3"/>
            <w:tcBorders>
              <w:top w:val="single" w:sz="6" w:space="0" w:color="auto"/>
              <w:left w:val="single" w:sz="6" w:space="0" w:color="auto"/>
              <w:bottom w:val="single" w:sz="6" w:space="0" w:color="auto"/>
              <w:right w:val="single" w:sz="6" w:space="0" w:color="auto"/>
            </w:tcBorders>
          </w:tcPr>
          <w:p w:rsidR="00CA74F8" w:rsidRPr="00B74A55" w:rsidRDefault="00CA74F8" w:rsidP="00CA74F8">
            <w:pPr>
              <w:autoSpaceDE w:val="0"/>
              <w:autoSpaceDN w:val="0"/>
              <w:adjustRightInd w:val="0"/>
              <w:rPr>
                <w:rFonts w:eastAsia="Calibri"/>
                <w:sz w:val="22"/>
              </w:rPr>
            </w:pPr>
            <w:r w:rsidRPr="00B74A55">
              <w:rPr>
                <w:sz w:val="22"/>
              </w:rPr>
              <w:t xml:space="preserve">1.Запобігання травматизму, безпека. </w:t>
            </w:r>
          </w:p>
        </w:tc>
        <w:tc>
          <w:tcPr>
            <w:tcW w:w="1797" w:type="dxa"/>
            <w:gridSpan w:val="2"/>
            <w:tcBorders>
              <w:top w:val="single" w:sz="6" w:space="0" w:color="auto"/>
              <w:left w:val="single" w:sz="6" w:space="0" w:color="auto"/>
              <w:bottom w:val="single" w:sz="6" w:space="0" w:color="auto"/>
              <w:right w:val="single" w:sz="6" w:space="0" w:color="auto"/>
            </w:tcBorders>
          </w:tcPr>
          <w:p w:rsidR="00CA74F8" w:rsidRPr="00B74A55" w:rsidRDefault="00CA74F8" w:rsidP="00CA74F8">
            <w:pPr>
              <w:autoSpaceDE w:val="0"/>
              <w:autoSpaceDN w:val="0"/>
              <w:adjustRightInd w:val="0"/>
              <w:rPr>
                <w:rFonts w:eastAsia="Calibri"/>
                <w:sz w:val="22"/>
              </w:rPr>
            </w:pPr>
            <w:r w:rsidRPr="00B74A55">
              <w:rPr>
                <w:rFonts w:eastAsia="Calibri"/>
                <w:sz w:val="22"/>
              </w:rPr>
              <w:t>осіб</w:t>
            </w:r>
          </w:p>
          <w:p w:rsidR="00CA74F8" w:rsidRPr="00B74A55" w:rsidRDefault="00CA74F8" w:rsidP="00CA74F8">
            <w:pPr>
              <w:autoSpaceDE w:val="0"/>
              <w:autoSpaceDN w:val="0"/>
              <w:adjustRightInd w:val="0"/>
              <w:rPr>
                <w:rFonts w:eastAsia="Calibri"/>
                <w:b/>
                <w:sz w:val="22"/>
              </w:rPr>
            </w:pPr>
          </w:p>
        </w:tc>
        <w:tc>
          <w:tcPr>
            <w:tcW w:w="2394" w:type="dxa"/>
            <w:gridSpan w:val="3"/>
            <w:tcBorders>
              <w:top w:val="single" w:sz="6" w:space="0" w:color="auto"/>
              <w:left w:val="single" w:sz="6" w:space="0" w:color="auto"/>
              <w:bottom w:val="single" w:sz="6" w:space="0" w:color="auto"/>
              <w:right w:val="single" w:sz="6" w:space="0" w:color="auto"/>
            </w:tcBorders>
          </w:tcPr>
          <w:p w:rsidR="00CA74F8" w:rsidRPr="00B74A55" w:rsidRDefault="00CA74F8" w:rsidP="00CA74F8">
            <w:pPr>
              <w:autoSpaceDE w:val="0"/>
              <w:autoSpaceDN w:val="0"/>
              <w:adjustRightInd w:val="0"/>
              <w:rPr>
                <w:rFonts w:eastAsia="Calibri"/>
                <w:b/>
                <w:sz w:val="22"/>
              </w:rPr>
            </w:pPr>
            <w:r w:rsidRPr="00B74A55">
              <w:rPr>
                <w:rFonts w:eastAsia="Calibri"/>
                <w:sz w:val="22"/>
              </w:rPr>
              <w:t>450</w:t>
            </w:r>
          </w:p>
        </w:tc>
      </w:tr>
      <w:tr w:rsidR="00CA74F8" w:rsidRPr="00B74A55" w:rsidTr="00CA74F8">
        <w:trPr>
          <w:trHeight w:val="582"/>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A74F8" w:rsidRPr="00B74A55" w:rsidRDefault="00CA74F8" w:rsidP="00CA74F8">
            <w:pPr>
              <w:autoSpaceDE w:val="0"/>
              <w:autoSpaceDN w:val="0"/>
              <w:adjustRightInd w:val="0"/>
              <w:rPr>
                <w:rFonts w:eastAsia="Calibri"/>
                <w:b/>
                <w:sz w:val="22"/>
              </w:rPr>
            </w:pPr>
          </w:p>
        </w:tc>
        <w:tc>
          <w:tcPr>
            <w:tcW w:w="2897" w:type="dxa"/>
            <w:gridSpan w:val="3"/>
            <w:tcBorders>
              <w:top w:val="single" w:sz="6" w:space="0" w:color="auto"/>
              <w:left w:val="single" w:sz="6" w:space="0" w:color="auto"/>
              <w:bottom w:val="single" w:sz="6" w:space="0" w:color="auto"/>
              <w:right w:val="single" w:sz="6" w:space="0" w:color="auto"/>
            </w:tcBorders>
          </w:tcPr>
          <w:p w:rsidR="00CA74F8" w:rsidRPr="00B74A55" w:rsidRDefault="00CA74F8" w:rsidP="00B43124">
            <w:pPr>
              <w:rPr>
                <w:sz w:val="22"/>
              </w:rPr>
            </w:pPr>
            <w:r w:rsidRPr="00B74A55">
              <w:rPr>
                <w:sz w:val="22"/>
              </w:rPr>
              <w:t>2.Створення привабливого сучасного комфортного громадського</w:t>
            </w:r>
            <w:r w:rsidR="00B43124" w:rsidRPr="00B74A55">
              <w:rPr>
                <w:sz w:val="22"/>
              </w:rPr>
              <w:t xml:space="preserve"> </w:t>
            </w:r>
            <w:r w:rsidRPr="00B74A55">
              <w:rPr>
                <w:sz w:val="22"/>
              </w:rPr>
              <w:t>простору, що відповідає стратегічним цілям розвитку громади.</w:t>
            </w:r>
          </w:p>
        </w:tc>
        <w:tc>
          <w:tcPr>
            <w:tcW w:w="1797" w:type="dxa"/>
            <w:gridSpan w:val="2"/>
            <w:tcBorders>
              <w:top w:val="single" w:sz="6" w:space="0" w:color="auto"/>
              <w:left w:val="single" w:sz="6" w:space="0" w:color="auto"/>
              <w:bottom w:val="single" w:sz="6" w:space="0" w:color="auto"/>
              <w:right w:val="single" w:sz="6" w:space="0" w:color="auto"/>
            </w:tcBorders>
          </w:tcPr>
          <w:p w:rsidR="00CA74F8" w:rsidRPr="00B74A55" w:rsidRDefault="00CA74F8" w:rsidP="00CA74F8">
            <w:pPr>
              <w:autoSpaceDE w:val="0"/>
              <w:autoSpaceDN w:val="0"/>
              <w:adjustRightInd w:val="0"/>
              <w:rPr>
                <w:rFonts w:eastAsia="Calibri"/>
                <w:sz w:val="22"/>
              </w:rPr>
            </w:pPr>
            <w:r w:rsidRPr="00B74A55">
              <w:rPr>
                <w:rFonts w:eastAsia="Calibri"/>
                <w:sz w:val="22"/>
              </w:rPr>
              <w:t>осіб</w:t>
            </w:r>
          </w:p>
          <w:p w:rsidR="00CA74F8" w:rsidRPr="00B74A55" w:rsidRDefault="00CA74F8" w:rsidP="00CA74F8">
            <w:pPr>
              <w:autoSpaceDE w:val="0"/>
              <w:autoSpaceDN w:val="0"/>
              <w:adjustRightInd w:val="0"/>
              <w:rPr>
                <w:rFonts w:eastAsia="Calibri"/>
                <w:b/>
                <w:sz w:val="22"/>
              </w:rPr>
            </w:pPr>
          </w:p>
        </w:tc>
        <w:tc>
          <w:tcPr>
            <w:tcW w:w="2394" w:type="dxa"/>
            <w:gridSpan w:val="3"/>
            <w:tcBorders>
              <w:top w:val="single" w:sz="6" w:space="0" w:color="auto"/>
              <w:left w:val="single" w:sz="6" w:space="0" w:color="auto"/>
              <w:bottom w:val="single" w:sz="6" w:space="0" w:color="auto"/>
              <w:right w:val="single" w:sz="6" w:space="0" w:color="auto"/>
            </w:tcBorders>
          </w:tcPr>
          <w:p w:rsidR="00CA74F8" w:rsidRPr="00B74A55" w:rsidRDefault="00CA74F8" w:rsidP="00CA74F8">
            <w:pPr>
              <w:autoSpaceDE w:val="0"/>
              <w:autoSpaceDN w:val="0"/>
              <w:adjustRightInd w:val="0"/>
              <w:rPr>
                <w:rFonts w:eastAsia="Calibri"/>
                <w:sz w:val="22"/>
              </w:rPr>
            </w:pPr>
            <w:r w:rsidRPr="00B74A55">
              <w:rPr>
                <w:rFonts w:eastAsia="Calibri"/>
                <w:sz w:val="22"/>
              </w:rPr>
              <w:t>1.000</w:t>
            </w:r>
          </w:p>
        </w:tc>
      </w:tr>
      <w:tr w:rsidR="00CA74F8" w:rsidRPr="00B74A55" w:rsidTr="00CA74F8">
        <w:trPr>
          <w:trHeight w:val="1688"/>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A74F8" w:rsidRPr="00B74A55" w:rsidRDefault="00CA74F8" w:rsidP="00CA74F8">
            <w:pPr>
              <w:autoSpaceDE w:val="0"/>
              <w:autoSpaceDN w:val="0"/>
              <w:adjustRightInd w:val="0"/>
              <w:rPr>
                <w:rFonts w:eastAsia="Calibri"/>
                <w:b/>
                <w:sz w:val="22"/>
              </w:rPr>
            </w:pPr>
            <w:r w:rsidRPr="00B74A55">
              <w:rPr>
                <w:rFonts w:eastAsia="Calibri"/>
                <w:b/>
                <w:sz w:val="22"/>
              </w:rPr>
              <w:t>Ключові заходи проекту:</w:t>
            </w:r>
          </w:p>
        </w:tc>
        <w:tc>
          <w:tcPr>
            <w:tcW w:w="7088" w:type="dxa"/>
            <w:gridSpan w:val="8"/>
            <w:tcBorders>
              <w:top w:val="single" w:sz="6" w:space="0" w:color="auto"/>
              <w:left w:val="single" w:sz="6" w:space="0" w:color="auto"/>
              <w:bottom w:val="single" w:sz="6" w:space="0" w:color="auto"/>
              <w:right w:val="single" w:sz="6" w:space="0" w:color="auto"/>
            </w:tcBorders>
          </w:tcPr>
          <w:p w:rsidR="00CA74F8" w:rsidRPr="00B74A55" w:rsidRDefault="00CA74F8" w:rsidP="00CA74F8">
            <w:pPr>
              <w:autoSpaceDE w:val="0"/>
              <w:autoSpaceDN w:val="0"/>
              <w:adjustRightInd w:val="0"/>
              <w:ind w:hanging="51"/>
              <w:contextualSpacing/>
              <w:rPr>
                <w:rFonts w:eastAsia="Calibri"/>
                <w:sz w:val="22"/>
              </w:rPr>
            </w:pPr>
            <w:r w:rsidRPr="00B74A55">
              <w:rPr>
                <w:rFonts w:eastAsia="Calibri"/>
                <w:sz w:val="22"/>
              </w:rPr>
              <w:t>1.Обстеження стану огорожі, вуличного освітлення, асфальтового покриття, ігрових та спортивного майданчиків, території.</w:t>
            </w:r>
          </w:p>
          <w:p w:rsidR="00CA74F8" w:rsidRPr="00B74A55" w:rsidRDefault="00CA74F8" w:rsidP="00CA74F8">
            <w:pPr>
              <w:autoSpaceDE w:val="0"/>
              <w:autoSpaceDN w:val="0"/>
              <w:adjustRightInd w:val="0"/>
              <w:rPr>
                <w:rFonts w:eastAsia="Calibri"/>
                <w:sz w:val="22"/>
              </w:rPr>
            </w:pPr>
            <w:r w:rsidRPr="00B74A55">
              <w:rPr>
                <w:rFonts w:eastAsia="Calibri"/>
                <w:sz w:val="22"/>
              </w:rPr>
              <w:t xml:space="preserve">2. Підготовка </w:t>
            </w:r>
            <w:proofErr w:type="spellStart"/>
            <w:r w:rsidRPr="00B74A55">
              <w:rPr>
                <w:rFonts w:eastAsia="Calibri"/>
                <w:sz w:val="22"/>
              </w:rPr>
              <w:t>проєктно</w:t>
            </w:r>
            <w:proofErr w:type="spellEnd"/>
            <w:r w:rsidRPr="00B74A55">
              <w:rPr>
                <w:rFonts w:eastAsia="Calibri"/>
                <w:sz w:val="22"/>
              </w:rPr>
              <w:t>-кошторисної документації.</w:t>
            </w:r>
          </w:p>
          <w:p w:rsidR="00CA74F8" w:rsidRPr="00B74A55" w:rsidRDefault="00CA74F8" w:rsidP="00CA74F8">
            <w:pPr>
              <w:autoSpaceDE w:val="0"/>
              <w:autoSpaceDN w:val="0"/>
              <w:adjustRightInd w:val="0"/>
              <w:rPr>
                <w:rFonts w:eastAsia="Calibri"/>
                <w:sz w:val="22"/>
              </w:rPr>
            </w:pPr>
            <w:r w:rsidRPr="00B74A55">
              <w:rPr>
                <w:rFonts w:eastAsia="Calibri"/>
                <w:sz w:val="22"/>
              </w:rPr>
              <w:t>3. Демонтаж та вивіз старої огорожі, воріт та хвірток.</w:t>
            </w:r>
          </w:p>
          <w:p w:rsidR="00CA74F8" w:rsidRPr="00B74A55" w:rsidRDefault="00CA74F8" w:rsidP="00CA74F8">
            <w:pPr>
              <w:autoSpaceDE w:val="0"/>
              <w:autoSpaceDN w:val="0"/>
              <w:adjustRightInd w:val="0"/>
              <w:rPr>
                <w:rFonts w:eastAsia="Calibri"/>
                <w:sz w:val="22"/>
              </w:rPr>
            </w:pPr>
            <w:r w:rsidRPr="00B74A55">
              <w:rPr>
                <w:rFonts w:eastAsia="Calibri"/>
                <w:sz w:val="22"/>
              </w:rPr>
              <w:t>Підготовка території та установка огорожі, в’їзних воріт та хвірток 4.</w:t>
            </w:r>
            <w:r w:rsidR="00F50972" w:rsidRPr="00B74A55">
              <w:rPr>
                <w:rFonts w:eastAsia="Calibri"/>
                <w:sz w:val="22"/>
              </w:rPr>
              <w:t xml:space="preserve"> </w:t>
            </w:r>
            <w:r w:rsidRPr="00B74A55">
              <w:rPr>
                <w:rFonts w:eastAsia="Calibri"/>
                <w:sz w:val="22"/>
              </w:rPr>
              <w:t>Реконструкція  асфальтового покриття.</w:t>
            </w:r>
          </w:p>
          <w:p w:rsidR="00CA74F8" w:rsidRPr="00B74A55" w:rsidRDefault="00CA74F8" w:rsidP="00CA74F8">
            <w:pPr>
              <w:autoSpaceDE w:val="0"/>
              <w:autoSpaceDN w:val="0"/>
              <w:adjustRightInd w:val="0"/>
              <w:rPr>
                <w:rFonts w:eastAsia="Calibri"/>
                <w:sz w:val="22"/>
              </w:rPr>
            </w:pPr>
            <w:r w:rsidRPr="00B74A55">
              <w:rPr>
                <w:rFonts w:eastAsia="Calibri"/>
                <w:sz w:val="22"/>
              </w:rPr>
              <w:t>5. Санітарна обробка старих дерев, корчування пнів. Висадка молодих дерев, кущів, квітів.</w:t>
            </w:r>
          </w:p>
          <w:p w:rsidR="00CA74F8" w:rsidRPr="00B74A55" w:rsidRDefault="00CA74F8" w:rsidP="00CA74F8">
            <w:pPr>
              <w:autoSpaceDE w:val="0"/>
              <w:autoSpaceDN w:val="0"/>
              <w:adjustRightInd w:val="0"/>
              <w:rPr>
                <w:rFonts w:eastAsia="Calibri"/>
                <w:sz w:val="22"/>
              </w:rPr>
            </w:pPr>
            <w:r w:rsidRPr="00B74A55">
              <w:rPr>
                <w:rFonts w:eastAsia="Calibri"/>
                <w:sz w:val="22"/>
              </w:rPr>
              <w:t>6. Вивезення сміття.</w:t>
            </w:r>
          </w:p>
          <w:p w:rsidR="00CA74F8" w:rsidRPr="00B74A55" w:rsidRDefault="00CA74F8" w:rsidP="00CA74F8">
            <w:pPr>
              <w:rPr>
                <w:sz w:val="22"/>
              </w:rPr>
            </w:pPr>
            <w:r w:rsidRPr="00B74A55">
              <w:rPr>
                <w:sz w:val="22"/>
              </w:rPr>
              <w:t>7. Реконструкція прогулянкових павільйонів, створення  безпечних ігрових майданчиків.</w:t>
            </w:r>
          </w:p>
          <w:p w:rsidR="00CA74F8" w:rsidRPr="00B74A55" w:rsidRDefault="00CA74F8" w:rsidP="00CA74F8">
            <w:pPr>
              <w:rPr>
                <w:sz w:val="22"/>
              </w:rPr>
            </w:pPr>
            <w:r w:rsidRPr="00B74A55">
              <w:rPr>
                <w:sz w:val="22"/>
              </w:rPr>
              <w:t>8.</w:t>
            </w:r>
            <w:r w:rsidR="00F50972" w:rsidRPr="00B74A55">
              <w:rPr>
                <w:sz w:val="22"/>
              </w:rPr>
              <w:t xml:space="preserve"> </w:t>
            </w:r>
            <w:r w:rsidRPr="00B74A55">
              <w:rPr>
                <w:sz w:val="22"/>
              </w:rPr>
              <w:t>Демонтаж та вивіз старого ігрового  обладнання.</w:t>
            </w:r>
          </w:p>
          <w:p w:rsidR="00CA74F8" w:rsidRPr="00B74A55" w:rsidRDefault="00CA74F8" w:rsidP="00CA74F8">
            <w:pPr>
              <w:rPr>
                <w:sz w:val="22"/>
              </w:rPr>
            </w:pPr>
            <w:r w:rsidRPr="00B74A55">
              <w:rPr>
                <w:sz w:val="22"/>
              </w:rPr>
              <w:t>9. Придбання та встановлення сучасного, безпечного обладнання на спортивному майданчику, майданчику для свят, прогулянкових майданчиків.</w:t>
            </w:r>
          </w:p>
          <w:p w:rsidR="00CA74F8" w:rsidRPr="00B74A55" w:rsidRDefault="00CA74F8" w:rsidP="00CA74F8">
            <w:pPr>
              <w:rPr>
                <w:sz w:val="22"/>
              </w:rPr>
            </w:pPr>
            <w:r w:rsidRPr="00B74A55">
              <w:rPr>
                <w:sz w:val="22"/>
              </w:rPr>
              <w:t>10. Реконструкція вуличного освітлення.</w:t>
            </w:r>
          </w:p>
        </w:tc>
      </w:tr>
      <w:tr w:rsidR="00CA74F8" w:rsidRPr="00B74A55" w:rsidTr="00CA74F8">
        <w:trPr>
          <w:gridAfter w:val="1"/>
          <w:wAfter w:w="11" w:type="dxa"/>
          <w:trHeight w:val="601"/>
        </w:trPr>
        <w:tc>
          <w:tcPr>
            <w:tcW w:w="2977" w:type="dxa"/>
            <w:vMerge w:val="restart"/>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A74F8" w:rsidRPr="00B74A55" w:rsidRDefault="00CA74F8" w:rsidP="00CA74F8">
            <w:pPr>
              <w:autoSpaceDE w:val="0"/>
              <w:autoSpaceDN w:val="0"/>
              <w:adjustRightInd w:val="0"/>
              <w:rPr>
                <w:rFonts w:eastAsia="Calibri"/>
                <w:b/>
                <w:sz w:val="22"/>
              </w:rPr>
            </w:pPr>
            <w:r w:rsidRPr="00B74A55">
              <w:rPr>
                <w:rFonts w:eastAsia="Calibri"/>
                <w:b/>
                <w:sz w:val="22"/>
              </w:rPr>
              <w:t>Орієнтовний обсяг та джерела фінансування тис. гривень</w:t>
            </w:r>
          </w:p>
        </w:tc>
        <w:tc>
          <w:tcPr>
            <w:tcW w:w="1276" w:type="dxa"/>
            <w:vMerge w:val="restart"/>
            <w:tcBorders>
              <w:top w:val="single" w:sz="6" w:space="0" w:color="auto"/>
              <w:left w:val="single" w:sz="6" w:space="0" w:color="auto"/>
              <w:bottom w:val="single" w:sz="6" w:space="0" w:color="auto"/>
              <w:right w:val="single" w:sz="6" w:space="0" w:color="auto"/>
            </w:tcBorders>
          </w:tcPr>
          <w:p w:rsidR="00CA74F8" w:rsidRPr="00B74A55" w:rsidRDefault="00CA74F8" w:rsidP="00CA74F8">
            <w:pPr>
              <w:autoSpaceDE w:val="0"/>
              <w:autoSpaceDN w:val="0"/>
              <w:adjustRightInd w:val="0"/>
              <w:rPr>
                <w:rFonts w:eastAsia="Calibri"/>
                <w:sz w:val="22"/>
              </w:rPr>
            </w:pPr>
            <w:r w:rsidRPr="00B74A55">
              <w:rPr>
                <w:rFonts w:eastAsia="Calibri"/>
                <w:sz w:val="22"/>
              </w:rPr>
              <w:t>Державний бюджет</w:t>
            </w:r>
          </w:p>
        </w:tc>
        <w:tc>
          <w:tcPr>
            <w:tcW w:w="1276" w:type="dxa"/>
            <w:vMerge w:val="restart"/>
            <w:tcBorders>
              <w:top w:val="single" w:sz="6" w:space="0" w:color="auto"/>
              <w:left w:val="single" w:sz="6" w:space="0" w:color="auto"/>
              <w:right w:val="single" w:sz="6" w:space="0" w:color="auto"/>
            </w:tcBorders>
          </w:tcPr>
          <w:p w:rsidR="00CA74F8" w:rsidRPr="00B74A55" w:rsidRDefault="00CA74F8" w:rsidP="00CA74F8">
            <w:pPr>
              <w:autoSpaceDE w:val="0"/>
              <w:autoSpaceDN w:val="0"/>
              <w:adjustRightInd w:val="0"/>
              <w:rPr>
                <w:rFonts w:eastAsia="Calibri"/>
                <w:sz w:val="22"/>
              </w:rPr>
            </w:pPr>
            <w:r w:rsidRPr="00B74A55">
              <w:rPr>
                <w:rFonts w:eastAsia="Calibri"/>
                <w:sz w:val="22"/>
              </w:rPr>
              <w:t>Місцевий бюджет</w:t>
            </w:r>
          </w:p>
        </w:tc>
        <w:tc>
          <w:tcPr>
            <w:tcW w:w="2977" w:type="dxa"/>
            <w:gridSpan w:val="4"/>
            <w:tcBorders>
              <w:top w:val="single" w:sz="6" w:space="0" w:color="auto"/>
              <w:left w:val="single" w:sz="6" w:space="0" w:color="auto"/>
              <w:bottom w:val="single" w:sz="6" w:space="0" w:color="auto"/>
              <w:right w:val="single" w:sz="6" w:space="0" w:color="auto"/>
            </w:tcBorders>
          </w:tcPr>
          <w:p w:rsidR="00CA74F8" w:rsidRPr="00B74A55" w:rsidRDefault="00CA74F8" w:rsidP="00CA74F8">
            <w:pPr>
              <w:autoSpaceDE w:val="0"/>
              <w:autoSpaceDN w:val="0"/>
              <w:adjustRightInd w:val="0"/>
              <w:rPr>
                <w:rFonts w:eastAsia="Calibri"/>
                <w:sz w:val="22"/>
              </w:rPr>
            </w:pPr>
            <w:r w:rsidRPr="00B74A55">
              <w:rPr>
                <w:rFonts w:eastAsia="Calibri"/>
                <w:sz w:val="22"/>
              </w:rPr>
              <w:t>Інші джерела</w:t>
            </w:r>
          </w:p>
        </w:tc>
        <w:tc>
          <w:tcPr>
            <w:tcW w:w="1548" w:type="dxa"/>
            <w:vMerge w:val="restart"/>
            <w:tcBorders>
              <w:top w:val="single" w:sz="6" w:space="0" w:color="auto"/>
              <w:left w:val="single" w:sz="6" w:space="0" w:color="auto"/>
              <w:right w:val="single" w:sz="6" w:space="0" w:color="auto"/>
            </w:tcBorders>
          </w:tcPr>
          <w:p w:rsidR="00CA74F8" w:rsidRPr="00B74A55" w:rsidRDefault="00CA74F8" w:rsidP="00CA74F8">
            <w:pPr>
              <w:autoSpaceDE w:val="0"/>
              <w:autoSpaceDN w:val="0"/>
              <w:adjustRightInd w:val="0"/>
              <w:rPr>
                <w:rFonts w:eastAsia="Calibri"/>
                <w:sz w:val="22"/>
              </w:rPr>
            </w:pPr>
            <w:r w:rsidRPr="00B74A55">
              <w:rPr>
                <w:rFonts w:eastAsia="Calibri"/>
                <w:sz w:val="22"/>
              </w:rPr>
              <w:t>Всього</w:t>
            </w:r>
          </w:p>
        </w:tc>
      </w:tr>
      <w:tr w:rsidR="00CA74F8" w:rsidRPr="00B74A55" w:rsidTr="00CA74F8">
        <w:trPr>
          <w:gridAfter w:val="1"/>
          <w:wAfter w:w="11" w:type="dxa"/>
          <w:trHeight w:val="65"/>
        </w:trPr>
        <w:tc>
          <w:tcPr>
            <w:tcW w:w="2977" w:type="dxa"/>
            <w:vMerge/>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A74F8" w:rsidRPr="00B74A55" w:rsidRDefault="00CA74F8" w:rsidP="00CA74F8">
            <w:pPr>
              <w:autoSpaceDE w:val="0"/>
              <w:autoSpaceDN w:val="0"/>
              <w:adjustRightInd w:val="0"/>
              <w:rPr>
                <w:rFonts w:eastAsia="Calibri"/>
                <w:b/>
                <w:sz w:val="22"/>
              </w:rPr>
            </w:pPr>
          </w:p>
        </w:tc>
        <w:tc>
          <w:tcPr>
            <w:tcW w:w="1276" w:type="dxa"/>
            <w:vMerge/>
            <w:tcBorders>
              <w:top w:val="single" w:sz="6" w:space="0" w:color="auto"/>
              <w:left w:val="single" w:sz="6" w:space="0" w:color="auto"/>
              <w:bottom w:val="single" w:sz="6" w:space="0" w:color="auto"/>
              <w:right w:val="single" w:sz="6" w:space="0" w:color="auto"/>
            </w:tcBorders>
          </w:tcPr>
          <w:p w:rsidR="00CA74F8" w:rsidRPr="00B74A55" w:rsidRDefault="00CA74F8" w:rsidP="00CA74F8">
            <w:pPr>
              <w:autoSpaceDE w:val="0"/>
              <w:autoSpaceDN w:val="0"/>
              <w:adjustRightInd w:val="0"/>
              <w:rPr>
                <w:rFonts w:eastAsia="Calibri"/>
                <w:sz w:val="22"/>
              </w:rPr>
            </w:pPr>
          </w:p>
        </w:tc>
        <w:tc>
          <w:tcPr>
            <w:tcW w:w="1276" w:type="dxa"/>
            <w:vMerge/>
            <w:tcBorders>
              <w:left w:val="single" w:sz="6" w:space="0" w:color="auto"/>
              <w:bottom w:val="single" w:sz="6" w:space="0" w:color="auto"/>
              <w:right w:val="single" w:sz="6" w:space="0" w:color="auto"/>
            </w:tcBorders>
          </w:tcPr>
          <w:p w:rsidR="00CA74F8" w:rsidRPr="00B74A55" w:rsidRDefault="00CA74F8" w:rsidP="00CA74F8">
            <w:pPr>
              <w:autoSpaceDE w:val="0"/>
              <w:autoSpaceDN w:val="0"/>
              <w:adjustRightInd w:val="0"/>
              <w:rPr>
                <w:rFonts w:eastAsia="Calibri"/>
                <w:sz w:val="22"/>
              </w:rPr>
            </w:pPr>
          </w:p>
        </w:tc>
        <w:tc>
          <w:tcPr>
            <w:tcW w:w="1276" w:type="dxa"/>
            <w:gridSpan w:val="2"/>
            <w:tcBorders>
              <w:top w:val="single" w:sz="6" w:space="0" w:color="auto"/>
              <w:left w:val="single" w:sz="6" w:space="0" w:color="auto"/>
              <w:bottom w:val="single" w:sz="6" w:space="0" w:color="auto"/>
              <w:right w:val="single" w:sz="6" w:space="0" w:color="auto"/>
            </w:tcBorders>
          </w:tcPr>
          <w:p w:rsidR="00CA74F8" w:rsidRPr="00B74A55" w:rsidRDefault="00CA74F8" w:rsidP="00CA74F8">
            <w:pPr>
              <w:autoSpaceDE w:val="0"/>
              <w:autoSpaceDN w:val="0"/>
              <w:adjustRightInd w:val="0"/>
              <w:rPr>
                <w:rFonts w:eastAsia="Calibri"/>
                <w:sz w:val="22"/>
              </w:rPr>
            </w:pPr>
            <w:r w:rsidRPr="00B74A55">
              <w:rPr>
                <w:rFonts w:eastAsia="Calibri"/>
                <w:sz w:val="22"/>
              </w:rPr>
              <w:t>Обсяг</w:t>
            </w:r>
          </w:p>
        </w:tc>
        <w:tc>
          <w:tcPr>
            <w:tcW w:w="1701" w:type="dxa"/>
            <w:gridSpan w:val="2"/>
            <w:tcBorders>
              <w:top w:val="single" w:sz="6" w:space="0" w:color="auto"/>
              <w:left w:val="single" w:sz="6" w:space="0" w:color="auto"/>
              <w:bottom w:val="single" w:sz="6" w:space="0" w:color="auto"/>
              <w:right w:val="single" w:sz="6" w:space="0" w:color="auto"/>
            </w:tcBorders>
          </w:tcPr>
          <w:p w:rsidR="00CA74F8" w:rsidRPr="00B74A55" w:rsidRDefault="00CA74F8" w:rsidP="00CA74F8">
            <w:pPr>
              <w:autoSpaceDE w:val="0"/>
              <w:autoSpaceDN w:val="0"/>
              <w:adjustRightInd w:val="0"/>
              <w:rPr>
                <w:rFonts w:eastAsia="Calibri"/>
                <w:sz w:val="22"/>
              </w:rPr>
            </w:pPr>
            <w:r w:rsidRPr="00B74A55">
              <w:rPr>
                <w:rFonts w:eastAsia="Calibri"/>
                <w:sz w:val="22"/>
              </w:rPr>
              <w:t>Назва джерела</w:t>
            </w:r>
          </w:p>
        </w:tc>
        <w:tc>
          <w:tcPr>
            <w:tcW w:w="1548" w:type="dxa"/>
            <w:vMerge/>
            <w:tcBorders>
              <w:left w:val="single" w:sz="6" w:space="0" w:color="auto"/>
              <w:bottom w:val="single" w:sz="6" w:space="0" w:color="auto"/>
              <w:right w:val="single" w:sz="6" w:space="0" w:color="auto"/>
            </w:tcBorders>
          </w:tcPr>
          <w:p w:rsidR="00CA74F8" w:rsidRPr="00B74A55" w:rsidRDefault="00CA74F8" w:rsidP="00CA74F8">
            <w:pPr>
              <w:autoSpaceDE w:val="0"/>
              <w:autoSpaceDN w:val="0"/>
              <w:adjustRightInd w:val="0"/>
              <w:rPr>
                <w:rFonts w:eastAsia="Calibri"/>
                <w:sz w:val="22"/>
              </w:rPr>
            </w:pPr>
          </w:p>
        </w:tc>
      </w:tr>
      <w:tr w:rsidR="00CA74F8" w:rsidRPr="00B74A55" w:rsidTr="00CA74F8">
        <w:trPr>
          <w:gridAfter w:val="1"/>
          <w:wAfter w:w="11" w:type="dxa"/>
          <w:trHeight w:val="1338"/>
        </w:trPr>
        <w:tc>
          <w:tcPr>
            <w:tcW w:w="2977" w:type="dxa"/>
            <w:vMerge/>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A74F8" w:rsidRPr="00B74A55" w:rsidRDefault="00CA74F8" w:rsidP="00CA74F8">
            <w:pPr>
              <w:autoSpaceDE w:val="0"/>
              <w:autoSpaceDN w:val="0"/>
              <w:adjustRightInd w:val="0"/>
              <w:rPr>
                <w:rFonts w:eastAsia="Calibri"/>
                <w:b/>
                <w:sz w:val="22"/>
              </w:rPr>
            </w:pPr>
          </w:p>
        </w:tc>
        <w:tc>
          <w:tcPr>
            <w:tcW w:w="1276" w:type="dxa"/>
            <w:tcBorders>
              <w:top w:val="single" w:sz="6" w:space="0" w:color="auto"/>
              <w:left w:val="single" w:sz="6" w:space="0" w:color="auto"/>
              <w:bottom w:val="single" w:sz="6" w:space="0" w:color="auto"/>
              <w:right w:val="single" w:sz="6" w:space="0" w:color="auto"/>
            </w:tcBorders>
          </w:tcPr>
          <w:p w:rsidR="00CA74F8" w:rsidRPr="00B74A55" w:rsidRDefault="00CA74F8" w:rsidP="00CA74F8">
            <w:pPr>
              <w:autoSpaceDE w:val="0"/>
              <w:autoSpaceDN w:val="0"/>
              <w:adjustRightInd w:val="0"/>
              <w:rPr>
                <w:rFonts w:eastAsia="Calibri"/>
                <w:sz w:val="22"/>
              </w:rPr>
            </w:pPr>
            <w:r w:rsidRPr="00B74A55">
              <w:rPr>
                <w:rFonts w:eastAsia="Calibri"/>
                <w:sz w:val="22"/>
              </w:rPr>
              <w:t>2 000, 000</w:t>
            </w:r>
          </w:p>
        </w:tc>
        <w:tc>
          <w:tcPr>
            <w:tcW w:w="1276" w:type="dxa"/>
            <w:tcBorders>
              <w:top w:val="single" w:sz="6" w:space="0" w:color="auto"/>
              <w:left w:val="single" w:sz="6" w:space="0" w:color="auto"/>
              <w:bottom w:val="single" w:sz="6" w:space="0" w:color="auto"/>
              <w:right w:val="single" w:sz="6" w:space="0" w:color="auto"/>
            </w:tcBorders>
          </w:tcPr>
          <w:p w:rsidR="00CA74F8" w:rsidRPr="00B74A55" w:rsidRDefault="00CA74F8" w:rsidP="00CA74F8">
            <w:pPr>
              <w:autoSpaceDE w:val="0"/>
              <w:autoSpaceDN w:val="0"/>
              <w:adjustRightInd w:val="0"/>
              <w:rPr>
                <w:rFonts w:eastAsia="Calibri"/>
                <w:sz w:val="22"/>
              </w:rPr>
            </w:pPr>
          </w:p>
        </w:tc>
        <w:tc>
          <w:tcPr>
            <w:tcW w:w="1276" w:type="dxa"/>
            <w:gridSpan w:val="2"/>
            <w:tcBorders>
              <w:top w:val="single" w:sz="6" w:space="0" w:color="auto"/>
              <w:left w:val="single" w:sz="6" w:space="0" w:color="auto"/>
              <w:bottom w:val="single" w:sz="6" w:space="0" w:color="auto"/>
              <w:right w:val="single" w:sz="6" w:space="0" w:color="auto"/>
            </w:tcBorders>
          </w:tcPr>
          <w:p w:rsidR="00CA74F8" w:rsidRPr="00B74A55" w:rsidRDefault="00CA74F8" w:rsidP="00CA74F8">
            <w:pPr>
              <w:autoSpaceDE w:val="0"/>
              <w:autoSpaceDN w:val="0"/>
              <w:adjustRightInd w:val="0"/>
              <w:rPr>
                <w:rFonts w:eastAsia="Calibri"/>
                <w:sz w:val="22"/>
              </w:rPr>
            </w:pPr>
            <w:r w:rsidRPr="00B74A55">
              <w:rPr>
                <w:rFonts w:eastAsia="Calibri"/>
                <w:sz w:val="22"/>
              </w:rPr>
              <w:t>2 500, 000 .</w:t>
            </w:r>
          </w:p>
        </w:tc>
        <w:tc>
          <w:tcPr>
            <w:tcW w:w="1701" w:type="dxa"/>
            <w:gridSpan w:val="2"/>
            <w:tcBorders>
              <w:top w:val="single" w:sz="6" w:space="0" w:color="auto"/>
              <w:left w:val="single" w:sz="6" w:space="0" w:color="auto"/>
              <w:bottom w:val="single" w:sz="6" w:space="0" w:color="auto"/>
              <w:right w:val="single" w:sz="6" w:space="0" w:color="auto"/>
            </w:tcBorders>
          </w:tcPr>
          <w:p w:rsidR="00CA74F8" w:rsidRPr="00B74A55" w:rsidRDefault="00CA74F8" w:rsidP="00CA74F8">
            <w:pPr>
              <w:autoSpaceDE w:val="0"/>
              <w:autoSpaceDN w:val="0"/>
              <w:adjustRightInd w:val="0"/>
              <w:rPr>
                <w:rFonts w:eastAsia="Calibri"/>
                <w:sz w:val="22"/>
              </w:rPr>
            </w:pPr>
            <w:r w:rsidRPr="00B74A55">
              <w:rPr>
                <w:rFonts w:eastAsia="Calibri"/>
                <w:sz w:val="22"/>
              </w:rPr>
              <w:t>Міжнародні інвестиції</w:t>
            </w:r>
          </w:p>
          <w:p w:rsidR="00CA74F8" w:rsidRPr="00B74A55" w:rsidRDefault="00CA74F8" w:rsidP="00CA74F8">
            <w:pPr>
              <w:autoSpaceDE w:val="0"/>
              <w:autoSpaceDN w:val="0"/>
              <w:adjustRightInd w:val="0"/>
              <w:rPr>
                <w:rFonts w:eastAsia="Calibri"/>
                <w:sz w:val="22"/>
              </w:rPr>
            </w:pPr>
          </w:p>
        </w:tc>
        <w:tc>
          <w:tcPr>
            <w:tcW w:w="1548" w:type="dxa"/>
            <w:tcBorders>
              <w:top w:val="single" w:sz="6" w:space="0" w:color="auto"/>
              <w:left w:val="single" w:sz="6" w:space="0" w:color="auto"/>
              <w:bottom w:val="single" w:sz="6" w:space="0" w:color="auto"/>
              <w:right w:val="single" w:sz="6" w:space="0" w:color="auto"/>
            </w:tcBorders>
          </w:tcPr>
          <w:p w:rsidR="00CA74F8" w:rsidRPr="00B74A55" w:rsidRDefault="00CA74F8" w:rsidP="00CA74F8">
            <w:pPr>
              <w:autoSpaceDE w:val="0"/>
              <w:autoSpaceDN w:val="0"/>
              <w:adjustRightInd w:val="0"/>
              <w:rPr>
                <w:rFonts w:eastAsia="Calibri"/>
                <w:sz w:val="22"/>
              </w:rPr>
            </w:pPr>
            <w:r w:rsidRPr="00B74A55">
              <w:rPr>
                <w:rFonts w:eastAsia="Calibri"/>
                <w:sz w:val="22"/>
              </w:rPr>
              <w:t>4.500, 000 .</w:t>
            </w:r>
          </w:p>
        </w:tc>
      </w:tr>
    </w:tbl>
    <w:p w:rsidR="00CA74F8" w:rsidRPr="00B74A55" w:rsidRDefault="00CA74F8" w:rsidP="00E33AAA">
      <w:pPr>
        <w:tabs>
          <w:tab w:val="left" w:pos="5290"/>
        </w:tabs>
        <w:rPr>
          <w:b/>
          <w:sz w:val="22"/>
          <w:szCs w:val="22"/>
        </w:rPr>
      </w:pPr>
    </w:p>
    <w:p w:rsidR="00CA74F8" w:rsidRPr="00B74A55" w:rsidRDefault="00CA74F8" w:rsidP="00E33AAA">
      <w:pPr>
        <w:tabs>
          <w:tab w:val="left" w:pos="5290"/>
        </w:tabs>
        <w:rPr>
          <w:b/>
          <w:sz w:val="22"/>
          <w:szCs w:val="22"/>
        </w:rPr>
      </w:pPr>
    </w:p>
    <w:p w:rsidR="004C1361" w:rsidRPr="00B74A55" w:rsidRDefault="004C1361" w:rsidP="00E33AAA">
      <w:pPr>
        <w:tabs>
          <w:tab w:val="left" w:pos="5290"/>
        </w:tabs>
        <w:rPr>
          <w:b/>
          <w:sz w:val="22"/>
          <w:szCs w:val="22"/>
        </w:rPr>
      </w:pPr>
    </w:p>
    <w:p w:rsidR="004C1361" w:rsidRPr="00B74A55" w:rsidRDefault="004C1361" w:rsidP="00E33AAA">
      <w:pPr>
        <w:tabs>
          <w:tab w:val="left" w:pos="5290"/>
        </w:tabs>
        <w:rPr>
          <w:b/>
          <w:sz w:val="22"/>
          <w:szCs w:val="22"/>
        </w:rPr>
      </w:pPr>
    </w:p>
    <w:p w:rsidR="004C1361" w:rsidRPr="00B74A55" w:rsidRDefault="004C1361" w:rsidP="00E33AAA">
      <w:pPr>
        <w:tabs>
          <w:tab w:val="left" w:pos="5290"/>
        </w:tabs>
        <w:rPr>
          <w:b/>
          <w:sz w:val="22"/>
          <w:szCs w:val="22"/>
        </w:rPr>
      </w:pPr>
    </w:p>
    <w:p w:rsidR="004C1361" w:rsidRPr="00B74A55" w:rsidRDefault="004C1361" w:rsidP="00E33AAA">
      <w:pPr>
        <w:tabs>
          <w:tab w:val="left" w:pos="5290"/>
        </w:tabs>
        <w:rPr>
          <w:b/>
          <w:sz w:val="22"/>
          <w:szCs w:val="22"/>
        </w:rPr>
      </w:pPr>
    </w:p>
    <w:p w:rsidR="00CA74F8" w:rsidRPr="00B74A55" w:rsidRDefault="00CA74F8" w:rsidP="00E33AAA">
      <w:pPr>
        <w:tabs>
          <w:tab w:val="left" w:pos="5290"/>
        </w:tabs>
        <w:rPr>
          <w:b/>
          <w:sz w:val="22"/>
          <w:szCs w:val="22"/>
        </w:rPr>
      </w:pPr>
    </w:p>
    <w:p w:rsidR="004C1361" w:rsidRPr="00B74A55" w:rsidRDefault="004C1361" w:rsidP="00E33AAA">
      <w:pPr>
        <w:tabs>
          <w:tab w:val="left" w:pos="5290"/>
        </w:tabs>
        <w:rPr>
          <w:b/>
          <w:sz w:val="22"/>
          <w:szCs w:val="22"/>
        </w:rPr>
      </w:pPr>
    </w:p>
    <w:tbl>
      <w:tblPr>
        <w:tblpPr w:leftFromText="180" w:rightFromText="180" w:vertAnchor="text" w:horzAnchor="margin" w:tblpXSpec="center" w:tblpY="228"/>
        <w:tblW w:w="10190" w:type="dxa"/>
        <w:tblLayout w:type="fixed"/>
        <w:tblCellMar>
          <w:left w:w="30" w:type="dxa"/>
          <w:right w:w="30" w:type="dxa"/>
        </w:tblCellMar>
        <w:tblLook w:val="0000" w:firstRow="0" w:lastRow="0" w:firstColumn="0" w:lastColumn="0" w:noHBand="0" w:noVBand="0"/>
      </w:tblPr>
      <w:tblGrid>
        <w:gridCol w:w="2977"/>
        <w:gridCol w:w="1306"/>
        <w:gridCol w:w="1134"/>
        <w:gridCol w:w="1276"/>
        <w:gridCol w:w="1583"/>
        <w:gridCol w:w="401"/>
        <w:gridCol w:w="1513"/>
      </w:tblGrid>
      <w:tr w:rsidR="004C1361" w:rsidRPr="00B74A55" w:rsidTr="004C1361">
        <w:trPr>
          <w:trHeight w:val="387"/>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r w:rsidRPr="00B74A55">
              <w:rPr>
                <w:rFonts w:eastAsia="Calibri"/>
                <w:b/>
                <w:color w:val="000000"/>
                <w:sz w:val="22"/>
              </w:rPr>
              <w:lastRenderedPageBreak/>
              <w:t>Оперативна ціль/завдання</w:t>
            </w:r>
          </w:p>
        </w:tc>
        <w:tc>
          <w:tcPr>
            <w:tcW w:w="7213" w:type="dxa"/>
            <w:gridSpan w:val="6"/>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 xml:space="preserve">Людський розвиток через інновації управління та довіру до влади. Формування сучасного інклюзивного та спортивного простору для розвитку. </w:t>
            </w:r>
          </w:p>
        </w:tc>
      </w:tr>
      <w:tr w:rsidR="004C1361" w:rsidRPr="00B74A55" w:rsidTr="004C1361">
        <w:trPr>
          <w:trHeight w:val="785"/>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r w:rsidRPr="00B74A55">
              <w:rPr>
                <w:rFonts w:eastAsia="Calibri"/>
                <w:b/>
                <w:color w:val="000000"/>
                <w:sz w:val="22"/>
              </w:rPr>
              <w:t>Назва проекту:</w:t>
            </w:r>
          </w:p>
        </w:tc>
        <w:tc>
          <w:tcPr>
            <w:tcW w:w="7213" w:type="dxa"/>
            <w:gridSpan w:val="6"/>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Комфортний, безпечний та енергоефективний життєвий простір для учасників освітнього процесу в Яслах-садку №38 м. Сєвєродонецька Луганської області, вул. Науки буд. 10</w:t>
            </w:r>
          </w:p>
        </w:tc>
      </w:tr>
      <w:tr w:rsidR="004C1361" w:rsidRPr="00B74A55" w:rsidTr="00E801B9">
        <w:trPr>
          <w:trHeight w:val="551"/>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r w:rsidRPr="00B74A55">
              <w:rPr>
                <w:rFonts w:eastAsia="Calibri"/>
                <w:b/>
                <w:color w:val="000000"/>
                <w:sz w:val="22"/>
              </w:rPr>
              <w:t>Ціль проекту</w:t>
            </w:r>
          </w:p>
        </w:tc>
        <w:tc>
          <w:tcPr>
            <w:tcW w:w="7213" w:type="dxa"/>
            <w:gridSpan w:val="6"/>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Відновити, покращити роботу Ясел-садка №38 для задоволення потреб мешканців Сєвєродонецької територіальної громади в освітніх послугах  для  дітей дошкільного віку. Виконання капітальних ремонтних робіт будівлі та приміщень закладу дошкільної освіти, що буде сприяти:</w:t>
            </w:r>
          </w:p>
          <w:p w:rsidR="004C1361" w:rsidRPr="00B74A55" w:rsidRDefault="004C1361" w:rsidP="000303D7">
            <w:pPr>
              <w:numPr>
                <w:ilvl w:val="0"/>
                <w:numId w:val="90"/>
              </w:numPr>
              <w:autoSpaceDE w:val="0"/>
              <w:autoSpaceDN w:val="0"/>
              <w:adjustRightInd w:val="0"/>
              <w:jc w:val="left"/>
              <w:rPr>
                <w:rFonts w:eastAsia="Calibri"/>
                <w:color w:val="000000"/>
                <w:sz w:val="22"/>
              </w:rPr>
            </w:pPr>
            <w:r w:rsidRPr="00B74A55">
              <w:rPr>
                <w:rFonts w:eastAsia="Calibri"/>
                <w:color w:val="000000"/>
                <w:sz w:val="22"/>
              </w:rPr>
              <w:t>покращенню умов надання освітніх послуг та перебування вихованців у навчальному закладі</w:t>
            </w:r>
            <w:r w:rsidR="00F61465" w:rsidRPr="00B74A55">
              <w:rPr>
                <w:rFonts w:eastAsia="Calibri"/>
                <w:color w:val="000000"/>
                <w:sz w:val="22"/>
              </w:rPr>
              <w:t>,</w:t>
            </w:r>
            <w:r w:rsidRPr="00B74A55">
              <w:rPr>
                <w:rFonts w:eastAsia="Calibri"/>
                <w:color w:val="000000"/>
                <w:sz w:val="22"/>
              </w:rPr>
              <w:t xml:space="preserve"> у тому числі дітей з особливими освітніми потребами;</w:t>
            </w:r>
          </w:p>
          <w:p w:rsidR="004C1361" w:rsidRPr="00B74A55" w:rsidRDefault="004C1361" w:rsidP="000303D7">
            <w:pPr>
              <w:numPr>
                <w:ilvl w:val="0"/>
                <w:numId w:val="90"/>
              </w:numPr>
              <w:autoSpaceDE w:val="0"/>
              <w:autoSpaceDN w:val="0"/>
              <w:adjustRightInd w:val="0"/>
              <w:jc w:val="left"/>
              <w:rPr>
                <w:rFonts w:eastAsia="Calibri"/>
                <w:color w:val="000000"/>
                <w:sz w:val="22"/>
              </w:rPr>
            </w:pPr>
            <w:r w:rsidRPr="00B74A55">
              <w:rPr>
                <w:rFonts w:eastAsia="Calibri"/>
                <w:color w:val="000000"/>
                <w:sz w:val="22"/>
              </w:rPr>
              <w:t>приведенню  темп</w:t>
            </w:r>
            <w:r w:rsidR="00F61465" w:rsidRPr="00B74A55">
              <w:rPr>
                <w:rFonts w:eastAsia="Calibri"/>
                <w:color w:val="000000"/>
                <w:sz w:val="22"/>
              </w:rPr>
              <w:t>ературних показників</w:t>
            </w:r>
            <w:r w:rsidRPr="00B74A55">
              <w:rPr>
                <w:rFonts w:eastAsia="Calibri"/>
                <w:color w:val="000000"/>
                <w:sz w:val="22"/>
              </w:rPr>
              <w:t xml:space="preserve"> для комфорту учасників освітнього процесу до санітарно-гігієнічних норм згідно Санітарного регламенту;</w:t>
            </w:r>
          </w:p>
          <w:p w:rsidR="004C1361" w:rsidRPr="00B74A55" w:rsidRDefault="004C1361" w:rsidP="000303D7">
            <w:pPr>
              <w:numPr>
                <w:ilvl w:val="0"/>
                <w:numId w:val="90"/>
              </w:numPr>
              <w:autoSpaceDE w:val="0"/>
              <w:autoSpaceDN w:val="0"/>
              <w:adjustRightInd w:val="0"/>
              <w:jc w:val="left"/>
              <w:rPr>
                <w:rFonts w:eastAsia="Calibri"/>
                <w:color w:val="000000"/>
                <w:sz w:val="22"/>
              </w:rPr>
            </w:pPr>
            <w:r w:rsidRPr="00B74A55">
              <w:rPr>
                <w:rFonts w:eastAsia="Calibri"/>
                <w:color w:val="000000"/>
                <w:sz w:val="22"/>
              </w:rPr>
              <w:t>запобіганню підвищення рівня захворюваності серед вихованців у осінньо-зимовий період;</w:t>
            </w:r>
          </w:p>
          <w:p w:rsidR="004C1361" w:rsidRPr="00B74A55" w:rsidRDefault="004C1361" w:rsidP="000303D7">
            <w:pPr>
              <w:numPr>
                <w:ilvl w:val="0"/>
                <w:numId w:val="90"/>
              </w:numPr>
              <w:autoSpaceDE w:val="0"/>
              <w:autoSpaceDN w:val="0"/>
              <w:adjustRightInd w:val="0"/>
              <w:jc w:val="left"/>
              <w:rPr>
                <w:rFonts w:eastAsia="Calibri"/>
                <w:color w:val="000000"/>
                <w:sz w:val="22"/>
              </w:rPr>
            </w:pPr>
            <w:r w:rsidRPr="00B74A55">
              <w:rPr>
                <w:rFonts w:eastAsia="Calibri"/>
                <w:color w:val="000000"/>
                <w:sz w:val="22"/>
              </w:rPr>
              <w:t xml:space="preserve">зменшенню ризиків для життя та здоров’я учасників освітнього процесу під час надзвичайних ситуацій за рахунок встановлення протипожежної, охоронної сигналізації, пристосування </w:t>
            </w:r>
            <w:proofErr w:type="spellStart"/>
            <w:r w:rsidRPr="00B74A55">
              <w:rPr>
                <w:rFonts w:eastAsia="Calibri"/>
                <w:color w:val="000000"/>
                <w:sz w:val="22"/>
              </w:rPr>
              <w:t>преміщення</w:t>
            </w:r>
            <w:proofErr w:type="spellEnd"/>
            <w:r w:rsidRPr="00B74A55">
              <w:rPr>
                <w:rFonts w:eastAsia="Calibri"/>
                <w:color w:val="000000"/>
                <w:sz w:val="22"/>
              </w:rPr>
              <w:t xml:space="preserve"> в </w:t>
            </w:r>
            <w:proofErr w:type="spellStart"/>
            <w:r w:rsidRPr="00B74A55">
              <w:rPr>
                <w:rFonts w:eastAsia="Calibri"/>
                <w:color w:val="000000"/>
                <w:sz w:val="22"/>
              </w:rPr>
              <w:t>цокальній</w:t>
            </w:r>
            <w:proofErr w:type="spellEnd"/>
            <w:r w:rsidRPr="00B74A55">
              <w:rPr>
                <w:rFonts w:eastAsia="Calibri"/>
                <w:color w:val="000000"/>
                <w:sz w:val="22"/>
              </w:rPr>
              <w:t xml:space="preserve"> частині будівлі під укриття;</w:t>
            </w:r>
          </w:p>
          <w:p w:rsidR="004C1361" w:rsidRPr="00B74A55" w:rsidRDefault="004C1361" w:rsidP="000303D7">
            <w:pPr>
              <w:numPr>
                <w:ilvl w:val="0"/>
                <w:numId w:val="90"/>
              </w:numPr>
              <w:autoSpaceDE w:val="0"/>
              <w:autoSpaceDN w:val="0"/>
              <w:adjustRightInd w:val="0"/>
              <w:jc w:val="left"/>
              <w:rPr>
                <w:rFonts w:eastAsia="Calibri"/>
                <w:color w:val="000000"/>
                <w:sz w:val="22"/>
              </w:rPr>
            </w:pPr>
            <w:r w:rsidRPr="00B74A55">
              <w:rPr>
                <w:rFonts w:eastAsia="Calibri"/>
                <w:color w:val="000000"/>
                <w:sz w:val="22"/>
              </w:rPr>
              <w:t xml:space="preserve">зменшенню споживання теплової , електроенергії, води  з метою економії коштів міського бюджету, без погіршення умов  перебування учасників освітнього процесу у будівлі   Ясел-садка;  </w:t>
            </w:r>
          </w:p>
          <w:p w:rsidR="004C1361" w:rsidRPr="00B74A55" w:rsidRDefault="004C1361" w:rsidP="000303D7">
            <w:pPr>
              <w:numPr>
                <w:ilvl w:val="0"/>
                <w:numId w:val="90"/>
              </w:numPr>
              <w:autoSpaceDE w:val="0"/>
              <w:autoSpaceDN w:val="0"/>
              <w:adjustRightInd w:val="0"/>
              <w:jc w:val="left"/>
              <w:rPr>
                <w:rFonts w:eastAsia="Calibri"/>
                <w:color w:val="000000"/>
                <w:sz w:val="22"/>
              </w:rPr>
            </w:pPr>
            <w:r w:rsidRPr="00B74A55">
              <w:rPr>
                <w:rFonts w:eastAsia="Calibri"/>
                <w:color w:val="000000"/>
                <w:sz w:val="22"/>
              </w:rPr>
              <w:t xml:space="preserve"> естетичному розвитку вихованців за рахунок приведення будівлі та приміщень закладу до естетично привабливого вигляду.</w:t>
            </w:r>
          </w:p>
        </w:tc>
      </w:tr>
      <w:tr w:rsidR="004C1361" w:rsidRPr="00B74A55" w:rsidTr="004C1361">
        <w:trPr>
          <w:trHeight w:val="781"/>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r w:rsidRPr="00B74A55">
              <w:rPr>
                <w:rFonts w:eastAsia="Calibri"/>
                <w:b/>
                <w:color w:val="000000"/>
                <w:sz w:val="22"/>
              </w:rPr>
              <w:t>Територія, на яку матиме вплив реалізація проекту</w:t>
            </w:r>
          </w:p>
        </w:tc>
        <w:tc>
          <w:tcPr>
            <w:tcW w:w="7213" w:type="dxa"/>
            <w:gridSpan w:val="6"/>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Сєвєродонецька міська територіальна громада</w:t>
            </w:r>
          </w:p>
        </w:tc>
      </w:tr>
      <w:tr w:rsidR="004C1361" w:rsidRPr="00B74A55" w:rsidTr="004C1361">
        <w:trPr>
          <w:trHeight w:val="543"/>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r w:rsidRPr="00B74A55">
              <w:rPr>
                <w:rFonts w:eastAsia="Calibri"/>
                <w:b/>
                <w:color w:val="000000"/>
                <w:sz w:val="22"/>
              </w:rPr>
              <w:t>Чисельність населення, на яке матиме вплив реалізація проекту</w:t>
            </w:r>
          </w:p>
        </w:tc>
        <w:tc>
          <w:tcPr>
            <w:tcW w:w="7213" w:type="dxa"/>
            <w:gridSpan w:val="6"/>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 xml:space="preserve"> 70 000 осіб</w:t>
            </w:r>
            <w:r w:rsidRPr="00B74A55">
              <w:rPr>
                <w:rFonts w:eastAsia="Calibri"/>
                <w:color w:val="000000"/>
                <w:sz w:val="22"/>
              </w:rPr>
              <w:tab/>
            </w:r>
            <w:r w:rsidRPr="00B74A55">
              <w:rPr>
                <w:rFonts w:eastAsia="Calibri"/>
                <w:color w:val="000000"/>
                <w:sz w:val="22"/>
              </w:rPr>
              <w:tab/>
            </w:r>
          </w:p>
        </w:tc>
      </w:tr>
      <w:tr w:rsidR="004C1361" w:rsidRPr="00B74A55" w:rsidTr="004C1361">
        <w:trPr>
          <w:trHeight w:val="1998"/>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r w:rsidRPr="00B74A55">
              <w:rPr>
                <w:rFonts w:eastAsia="Calibri"/>
                <w:b/>
                <w:color w:val="000000"/>
                <w:sz w:val="22"/>
              </w:rPr>
              <w:t>Опис проблеми, на вирішення якої спрямований проект</w:t>
            </w:r>
          </w:p>
        </w:tc>
        <w:tc>
          <w:tcPr>
            <w:tcW w:w="7213" w:type="dxa"/>
            <w:gridSpan w:val="6"/>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Через військову агресію РФ будівля Ясел-садка №38 зазнала руйнувань та пошкоджень:</w:t>
            </w:r>
          </w:p>
          <w:p w:rsidR="004C1361" w:rsidRPr="00B74A55" w:rsidRDefault="004C1361" w:rsidP="000303D7">
            <w:pPr>
              <w:numPr>
                <w:ilvl w:val="0"/>
                <w:numId w:val="90"/>
              </w:numPr>
              <w:autoSpaceDE w:val="0"/>
              <w:autoSpaceDN w:val="0"/>
              <w:adjustRightInd w:val="0"/>
              <w:jc w:val="left"/>
              <w:rPr>
                <w:rFonts w:eastAsia="Calibri"/>
                <w:color w:val="000000"/>
                <w:sz w:val="22"/>
              </w:rPr>
            </w:pPr>
            <w:r w:rsidRPr="00B74A55">
              <w:rPr>
                <w:rFonts w:eastAsia="Calibri"/>
                <w:color w:val="000000"/>
                <w:sz w:val="22"/>
              </w:rPr>
              <w:t xml:space="preserve">система опалення зруйнована внаслідок низької температури під час військових дій (весна 2022 р. </w:t>
            </w:r>
            <w:r w:rsidR="0062496A" w:rsidRPr="00B74A55">
              <w:rPr>
                <w:rFonts w:eastAsia="Calibri"/>
                <w:color w:val="000000"/>
                <w:sz w:val="22"/>
              </w:rPr>
              <w:t xml:space="preserve"> - </w:t>
            </w:r>
            <w:r w:rsidRPr="00B74A55">
              <w:rPr>
                <w:rFonts w:eastAsia="Calibri"/>
                <w:color w:val="000000"/>
                <w:sz w:val="22"/>
              </w:rPr>
              <w:t xml:space="preserve">- 18 градусів); індивідуальний тепловий пункт, який не експлуатувався під час окупації,  потребує ревізії, ремонту та налаштування;  мережа енергопостачання будівлі закладу не розрахована на використання сучасних приладів </w:t>
            </w:r>
            <w:proofErr w:type="spellStart"/>
            <w:r w:rsidRPr="00B74A55">
              <w:rPr>
                <w:rFonts w:eastAsia="Calibri"/>
                <w:color w:val="000000"/>
                <w:sz w:val="22"/>
              </w:rPr>
              <w:t>водонагрівання</w:t>
            </w:r>
            <w:proofErr w:type="spellEnd"/>
            <w:r w:rsidRPr="00B74A55">
              <w:rPr>
                <w:rFonts w:eastAsia="Calibri"/>
                <w:color w:val="000000"/>
                <w:sz w:val="22"/>
              </w:rPr>
              <w:t xml:space="preserve"> (у садку відсутнє централізоване постачання гарячої води) та обігріву приміщень, що є причиною частих аварійних вимкнень запобіжників на розподільчих щитках;  </w:t>
            </w:r>
          </w:p>
          <w:p w:rsidR="004C1361" w:rsidRPr="00B74A55" w:rsidRDefault="004C1361" w:rsidP="000303D7">
            <w:pPr>
              <w:numPr>
                <w:ilvl w:val="0"/>
                <w:numId w:val="90"/>
              </w:numPr>
              <w:autoSpaceDE w:val="0"/>
              <w:autoSpaceDN w:val="0"/>
              <w:adjustRightInd w:val="0"/>
              <w:jc w:val="left"/>
              <w:rPr>
                <w:rFonts w:eastAsia="Calibri"/>
                <w:color w:val="000000"/>
                <w:sz w:val="22"/>
              </w:rPr>
            </w:pPr>
            <w:r w:rsidRPr="00B74A55">
              <w:rPr>
                <w:rFonts w:eastAsia="Calibri"/>
                <w:color w:val="000000"/>
                <w:sz w:val="22"/>
              </w:rPr>
              <w:t>пошкоджені вибуховими хвилями та осколками вікна, вхідні двері; не утеплений фасад  і дах будівлі, не дають можливості підтримувати належні комфортні  температурні умови</w:t>
            </w:r>
            <w:r w:rsidR="0062496A" w:rsidRPr="00B74A55">
              <w:rPr>
                <w:rFonts w:eastAsia="Calibri"/>
                <w:color w:val="000000"/>
                <w:sz w:val="22"/>
              </w:rPr>
              <w:t>,</w:t>
            </w:r>
            <w:r w:rsidRPr="00B74A55">
              <w:rPr>
                <w:rFonts w:eastAsia="Calibri"/>
                <w:color w:val="000000"/>
                <w:sz w:val="22"/>
              </w:rPr>
              <w:t xml:space="preserve"> </w:t>
            </w:r>
            <w:proofErr w:type="spellStart"/>
            <w:r w:rsidRPr="00B74A55">
              <w:rPr>
                <w:rFonts w:eastAsia="Calibri"/>
                <w:color w:val="000000"/>
                <w:sz w:val="22"/>
              </w:rPr>
              <w:t>ощадливо</w:t>
            </w:r>
            <w:proofErr w:type="spellEnd"/>
            <w:r w:rsidRPr="00B74A55">
              <w:rPr>
                <w:rFonts w:eastAsia="Calibri"/>
                <w:color w:val="000000"/>
                <w:sz w:val="22"/>
              </w:rPr>
              <w:t xml:space="preserve">, </w:t>
            </w:r>
            <w:proofErr w:type="spellStart"/>
            <w:r w:rsidRPr="00B74A55">
              <w:rPr>
                <w:rFonts w:eastAsia="Calibri"/>
                <w:color w:val="000000"/>
                <w:sz w:val="22"/>
              </w:rPr>
              <w:t>економно</w:t>
            </w:r>
            <w:proofErr w:type="spellEnd"/>
            <w:r w:rsidRPr="00B74A55">
              <w:rPr>
                <w:rFonts w:eastAsia="Calibri"/>
                <w:color w:val="000000"/>
                <w:sz w:val="22"/>
              </w:rPr>
              <w:t xml:space="preserve"> використовувати </w:t>
            </w:r>
            <w:proofErr w:type="spellStart"/>
            <w:r w:rsidRPr="00B74A55">
              <w:rPr>
                <w:rFonts w:eastAsia="Calibri"/>
                <w:color w:val="000000"/>
                <w:sz w:val="22"/>
              </w:rPr>
              <w:t>дороговартісну</w:t>
            </w:r>
            <w:proofErr w:type="spellEnd"/>
            <w:r w:rsidRPr="00B74A55">
              <w:rPr>
                <w:rFonts w:eastAsia="Calibri"/>
                <w:color w:val="000000"/>
                <w:sz w:val="22"/>
              </w:rPr>
              <w:t xml:space="preserve"> теплову, електроенергію;</w:t>
            </w:r>
          </w:p>
          <w:p w:rsidR="004C1361" w:rsidRPr="00B74A55" w:rsidRDefault="004C1361" w:rsidP="000303D7">
            <w:pPr>
              <w:numPr>
                <w:ilvl w:val="0"/>
                <w:numId w:val="90"/>
              </w:numPr>
              <w:autoSpaceDE w:val="0"/>
              <w:autoSpaceDN w:val="0"/>
              <w:adjustRightInd w:val="0"/>
              <w:jc w:val="left"/>
              <w:rPr>
                <w:rFonts w:eastAsia="Calibri"/>
                <w:color w:val="000000"/>
                <w:sz w:val="22"/>
              </w:rPr>
            </w:pPr>
            <w:r w:rsidRPr="00B74A55">
              <w:rPr>
                <w:rFonts w:eastAsia="Calibri"/>
                <w:color w:val="000000"/>
                <w:sz w:val="22"/>
              </w:rPr>
              <w:t xml:space="preserve">внаслідок детонації снарядів, що відбувалася на території закладу, неможливості опалювати заклад у зимово-осінній період, постраждали приміщення Ясел-садка №38 (групові кімнати, санвузли, кабінети, музична та спортивна зала, холи, коридори, </w:t>
            </w:r>
            <w:proofErr w:type="spellStart"/>
            <w:r w:rsidRPr="00B74A55">
              <w:rPr>
                <w:rFonts w:eastAsia="Calibri"/>
                <w:color w:val="000000"/>
                <w:sz w:val="22"/>
              </w:rPr>
              <w:t>сходинкові</w:t>
            </w:r>
            <w:proofErr w:type="spellEnd"/>
            <w:r w:rsidRPr="00B74A55">
              <w:rPr>
                <w:rFonts w:eastAsia="Calibri"/>
                <w:color w:val="000000"/>
                <w:sz w:val="22"/>
              </w:rPr>
              <w:t xml:space="preserve"> клітини): тріщини на стінах, стелі, підлозі, деформовані або вибиті блоки внутрішніх дверей, </w:t>
            </w:r>
            <w:proofErr w:type="spellStart"/>
            <w:r w:rsidRPr="00B74A55">
              <w:rPr>
                <w:rFonts w:eastAsia="Calibri"/>
                <w:color w:val="000000"/>
                <w:sz w:val="22"/>
              </w:rPr>
              <w:t>сколи</w:t>
            </w:r>
            <w:proofErr w:type="spellEnd"/>
            <w:r w:rsidRPr="00B74A55">
              <w:rPr>
                <w:rFonts w:eastAsia="Calibri"/>
                <w:color w:val="000000"/>
                <w:sz w:val="22"/>
              </w:rPr>
              <w:t xml:space="preserve">  кахлю  та пошкодження обладнання у санвузлах, медичному блоці, харчоблоці та пральні не дають </w:t>
            </w:r>
            <w:r w:rsidRPr="00B74A55">
              <w:rPr>
                <w:rFonts w:eastAsia="Calibri"/>
                <w:color w:val="000000"/>
                <w:sz w:val="22"/>
              </w:rPr>
              <w:lastRenderedPageBreak/>
              <w:t xml:space="preserve">можливості закладу надавати освітні послуги дітям дошкільного віку, працювати безпечно та якісно; </w:t>
            </w:r>
          </w:p>
          <w:p w:rsidR="004C1361" w:rsidRPr="00B74A55" w:rsidRDefault="004C1361" w:rsidP="000303D7">
            <w:pPr>
              <w:numPr>
                <w:ilvl w:val="0"/>
                <w:numId w:val="90"/>
              </w:numPr>
              <w:autoSpaceDE w:val="0"/>
              <w:autoSpaceDN w:val="0"/>
              <w:adjustRightInd w:val="0"/>
              <w:jc w:val="left"/>
              <w:rPr>
                <w:rFonts w:eastAsia="Calibri"/>
                <w:color w:val="000000"/>
                <w:sz w:val="22"/>
              </w:rPr>
            </w:pPr>
            <w:r w:rsidRPr="00B74A55">
              <w:rPr>
                <w:rFonts w:eastAsia="Calibri"/>
                <w:color w:val="000000"/>
                <w:sz w:val="22"/>
              </w:rPr>
              <w:t xml:space="preserve">заклад освіти побудовано у 1983 році, за проектом в ньому непередбачено споруди, а саме укриття, для збереження життя та здоров’я учасників освітнього процесу під час надзвичайних ситуацій, повітряних </w:t>
            </w:r>
            <w:proofErr w:type="spellStart"/>
            <w:r w:rsidRPr="00B74A55">
              <w:rPr>
                <w:rFonts w:eastAsia="Calibri"/>
                <w:color w:val="000000"/>
                <w:sz w:val="22"/>
              </w:rPr>
              <w:t>тривог</w:t>
            </w:r>
            <w:proofErr w:type="spellEnd"/>
            <w:r w:rsidRPr="00B74A55">
              <w:rPr>
                <w:rFonts w:eastAsia="Calibri"/>
                <w:color w:val="000000"/>
                <w:sz w:val="22"/>
              </w:rPr>
              <w:t>, що є обов’язковою вимогою для повноцінної роботи Ясел-садка.</w:t>
            </w:r>
          </w:p>
        </w:tc>
      </w:tr>
      <w:tr w:rsidR="004C1361" w:rsidRPr="00B74A55" w:rsidTr="004C1361">
        <w:trPr>
          <w:trHeight w:val="1462"/>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r w:rsidRPr="00B74A55">
              <w:rPr>
                <w:rFonts w:eastAsia="Calibri"/>
                <w:b/>
                <w:color w:val="000000"/>
                <w:sz w:val="22"/>
              </w:rPr>
              <w:lastRenderedPageBreak/>
              <w:t>Очікувані якісні результати від реалізації проекту</w:t>
            </w:r>
          </w:p>
        </w:tc>
        <w:tc>
          <w:tcPr>
            <w:tcW w:w="7213" w:type="dxa"/>
            <w:gridSpan w:val="6"/>
            <w:tcBorders>
              <w:top w:val="single" w:sz="6" w:space="0" w:color="auto"/>
              <w:left w:val="single" w:sz="6" w:space="0" w:color="auto"/>
              <w:bottom w:val="single" w:sz="6" w:space="0" w:color="auto"/>
              <w:right w:val="single" w:sz="6" w:space="0" w:color="auto"/>
            </w:tcBorders>
          </w:tcPr>
          <w:p w:rsidR="004C1361" w:rsidRPr="00B74A55" w:rsidRDefault="004C1361" w:rsidP="000303D7">
            <w:pPr>
              <w:numPr>
                <w:ilvl w:val="0"/>
                <w:numId w:val="90"/>
              </w:numPr>
              <w:autoSpaceDE w:val="0"/>
              <w:autoSpaceDN w:val="0"/>
              <w:adjustRightInd w:val="0"/>
              <w:jc w:val="left"/>
              <w:rPr>
                <w:rFonts w:eastAsia="Calibri"/>
                <w:color w:val="000000"/>
                <w:sz w:val="22"/>
              </w:rPr>
            </w:pPr>
            <w:r w:rsidRPr="00B74A55">
              <w:rPr>
                <w:rFonts w:eastAsia="Calibri"/>
                <w:color w:val="000000"/>
                <w:sz w:val="22"/>
              </w:rPr>
              <w:t xml:space="preserve">Створення комфортних, безпечних умов для надання дошкільної освіти мешканцям Сєвєродонецької територіальної громади. </w:t>
            </w:r>
          </w:p>
          <w:p w:rsidR="004C1361" w:rsidRPr="00B74A55" w:rsidRDefault="004C1361" w:rsidP="000303D7">
            <w:pPr>
              <w:numPr>
                <w:ilvl w:val="0"/>
                <w:numId w:val="90"/>
              </w:numPr>
              <w:autoSpaceDE w:val="0"/>
              <w:autoSpaceDN w:val="0"/>
              <w:adjustRightInd w:val="0"/>
              <w:jc w:val="left"/>
              <w:rPr>
                <w:rFonts w:eastAsia="Calibri"/>
                <w:color w:val="000000"/>
                <w:sz w:val="22"/>
              </w:rPr>
            </w:pPr>
            <w:r w:rsidRPr="00B74A55">
              <w:rPr>
                <w:rFonts w:eastAsia="Calibri"/>
                <w:color w:val="000000"/>
                <w:sz w:val="22"/>
              </w:rPr>
              <w:t xml:space="preserve">Підвищення енергоефективності та ощадливого використання теплової  і електроенергії, води, економія бюджетних коштів міста. </w:t>
            </w:r>
          </w:p>
          <w:p w:rsidR="004C1361" w:rsidRPr="00B74A55" w:rsidRDefault="004C1361" w:rsidP="000303D7">
            <w:pPr>
              <w:numPr>
                <w:ilvl w:val="0"/>
                <w:numId w:val="90"/>
              </w:numPr>
              <w:autoSpaceDE w:val="0"/>
              <w:autoSpaceDN w:val="0"/>
              <w:adjustRightInd w:val="0"/>
              <w:jc w:val="left"/>
              <w:rPr>
                <w:rFonts w:eastAsia="Calibri"/>
                <w:color w:val="000000"/>
                <w:sz w:val="22"/>
              </w:rPr>
            </w:pPr>
            <w:r w:rsidRPr="00B74A55">
              <w:rPr>
                <w:rFonts w:eastAsia="Calibri"/>
                <w:color w:val="000000"/>
                <w:sz w:val="22"/>
              </w:rPr>
              <w:t>Поліпшення умов та якості дошкільної освіти, що буде стимулювати  повертатися  до міста внутрішньо перемішених осіб.</w:t>
            </w:r>
          </w:p>
        </w:tc>
      </w:tr>
      <w:tr w:rsidR="004C1361" w:rsidRPr="00B74A55" w:rsidTr="004C1361">
        <w:trPr>
          <w:trHeight w:val="516"/>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r w:rsidRPr="00B74A55">
              <w:rPr>
                <w:rFonts w:eastAsia="Calibri"/>
                <w:b/>
                <w:color w:val="000000"/>
                <w:sz w:val="22"/>
              </w:rPr>
              <w:t>Очікувані кількісні результати від реалізації проекту  (індикатори)</w:t>
            </w:r>
          </w:p>
        </w:tc>
        <w:tc>
          <w:tcPr>
            <w:tcW w:w="2440" w:type="dxa"/>
            <w:gridSpan w:val="2"/>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b/>
                <w:color w:val="000000"/>
                <w:sz w:val="22"/>
              </w:rPr>
            </w:pPr>
            <w:r w:rsidRPr="00B74A55">
              <w:rPr>
                <w:rFonts w:eastAsia="Calibri"/>
                <w:b/>
                <w:color w:val="000000"/>
                <w:sz w:val="22"/>
              </w:rPr>
              <w:t>Найменування показника</w:t>
            </w:r>
          </w:p>
        </w:tc>
        <w:tc>
          <w:tcPr>
            <w:tcW w:w="2859" w:type="dxa"/>
            <w:gridSpan w:val="2"/>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b/>
                <w:color w:val="000000"/>
                <w:sz w:val="22"/>
              </w:rPr>
            </w:pPr>
            <w:r w:rsidRPr="00B74A55">
              <w:rPr>
                <w:rFonts w:eastAsia="Calibri"/>
                <w:b/>
                <w:color w:val="000000"/>
                <w:sz w:val="22"/>
              </w:rPr>
              <w:t>Одиниця вимірювання</w:t>
            </w:r>
          </w:p>
        </w:tc>
        <w:tc>
          <w:tcPr>
            <w:tcW w:w="1914" w:type="dxa"/>
            <w:gridSpan w:val="2"/>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b/>
                <w:color w:val="000000"/>
                <w:sz w:val="22"/>
              </w:rPr>
            </w:pPr>
            <w:r w:rsidRPr="00B74A55">
              <w:rPr>
                <w:rFonts w:eastAsia="Calibri"/>
                <w:b/>
                <w:color w:val="000000"/>
                <w:sz w:val="22"/>
              </w:rPr>
              <w:t>Прогнозне (цільове) значення</w:t>
            </w:r>
          </w:p>
        </w:tc>
      </w:tr>
      <w:tr w:rsidR="004C1361" w:rsidRPr="00B74A55" w:rsidTr="004C1361">
        <w:trPr>
          <w:trHeight w:val="727"/>
        </w:trPr>
        <w:tc>
          <w:tcPr>
            <w:tcW w:w="2977" w:type="dxa"/>
            <w:vMerge w:val="restart"/>
            <w:tcBorders>
              <w:top w:val="single" w:sz="6" w:space="0" w:color="auto"/>
              <w:left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p>
        </w:tc>
        <w:tc>
          <w:tcPr>
            <w:tcW w:w="2440" w:type="dxa"/>
            <w:gridSpan w:val="2"/>
            <w:tcBorders>
              <w:top w:val="single" w:sz="6" w:space="0" w:color="auto"/>
              <w:left w:val="single" w:sz="6" w:space="0" w:color="auto"/>
              <w:bottom w:val="single" w:sz="4" w:space="0" w:color="auto"/>
              <w:right w:val="single" w:sz="6" w:space="0" w:color="auto"/>
            </w:tcBorders>
          </w:tcPr>
          <w:p w:rsidR="004C1361" w:rsidRPr="00B74A55" w:rsidRDefault="004C1361" w:rsidP="004C1361">
            <w:pPr>
              <w:autoSpaceDE w:val="0"/>
              <w:autoSpaceDN w:val="0"/>
              <w:adjustRightInd w:val="0"/>
              <w:rPr>
                <w:rFonts w:eastAsia="Calibri"/>
                <w:sz w:val="22"/>
              </w:rPr>
            </w:pPr>
            <w:r w:rsidRPr="00B74A55">
              <w:rPr>
                <w:rFonts w:eastAsia="Calibri"/>
                <w:color w:val="000000"/>
                <w:sz w:val="22"/>
              </w:rPr>
              <w:t>1.Кількість мешканців</w:t>
            </w:r>
            <w:r w:rsidR="00E71050" w:rsidRPr="00B74A55">
              <w:rPr>
                <w:rFonts w:eastAsia="Calibri"/>
                <w:color w:val="000000"/>
                <w:sz w:val="22"/>
              </w:rPr>
              <w:t>,</w:t>
            </w:r>
            <w:r w:rsidRPr="00B74A55">
              <w:rPr>
                <w:rFonts w:eastAsia="Calibri"/>
                <w:color w:val="000000"/>
                <w:sz w:val="22"/>
              </w:rPr>
              <w:t xml:space="preserve"> що звертаються за освітніми послугами протягом року.</w:t>
            </w:r>
          </w:p>
        </w:tc>
        <w:tc>
          <w:tcPr>
            <w:tcW w:w="2859" w:type="dxa"/>
            <w:gridSpan w:val="2"/>
            <w:tcBorders>
              <w:top w:val="single" w:sz="6" w:space="0" w:color="auto"/>
              <w:left w:val="single" w:sz="6" w:space="0" w:color="auto"/>
              <w:bottom w:val="single" w:sz="4"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 xml:space="preserve"> осіб</w:t>
            </w:r>
          </w:p>
          <w:p w:rsidR="004C1361" w:rsidRPr="00B74A55" w:rsidRDefault="004C1361" w:rsidP="004C1361">
            <w:pPr>
              <w:autoSpaceDE w:val="0"/>
              <w:autoSpaceDN w:val="0"/>
              <w:adjustRightInd w:val="0"/>
              <w:rPr>
                <w:rFonts w:eastAsia="Calibri"/>
                <w:color w:val="000000"/>
                <w:sz w:val="22"/>
              </w:rPr>
            </w:pPr>
          </w:p>
          <w:p w:rsidR="004C1361" w:rsidRPr="00B74A55" w:rsidRDefault="004C1361" w:rsidP="004C1361">
            <w:pPr>
              <w:autoSpaceDE w:val="0"/>
              <w:autoSpaceDN w:val="0"/>
              <w:adjustRightInd w:val="0"/>
              <w:rPr>
                <w:rFonts w:eastAsia="Calibri"/>
                <w:color w:val="000000"/>
                <w:sz w:val="22"/>
              </w:rPr>
            </w:pPr>
          </w:p>
        </w:tc>
        <w:tc>
          <w:tcPr>
            <w:tcW w:w="1914" w:type="dxa"/>
            <w:gridSpan w:val="2"/>
            <w:tcBorders>
              <w:top w:val="single" w:sz="6" w:space="0" w:color="auto"/>
              <w:left w:val="single" w:sz="6" w:space="0" w:color="auto"/>
              <w:bottom w:val="single" w:sz="4" w:space="0" w:color="auto"/>
              <w:right w:val="single" w:sz="6" w:space="0" w:color="auto"/>
            </w:tcBorders>
          </w:tcPr>
          <w:p w:rsidR="004C1361" w:rsidRPr="00B74A55" w:rsidRDefault="004C1361" w:rsidP="004C1361">
            <w:pPr>
              <w:jc w:val="center"/>
              <w:rPr>
                <w:rFonts w:eastAsia="Calibri"/>
                <w:sz w:val="22"/>
              </w:rPr>
            </w:pPr>
            <w:r w:rsidRPr="00B74A55">
              <w:rPr>
                <w:rFonts w:eastAsia="Calibri"/>
                <w:sz w:val="22"/>
              </w:rPr>
              <w:t>240, 12 з ООП</w:t>
            </w:r>
          </w:p>
        </w:tc>
      </w:tr>
      <w:tr w:rsidR="004C1361" w:rsidRPr="00B74A55" w:rsidTr="004C1361">
        <w:trPr>
          <w:trHeight w:val="943"/>
        </w:trPr>
        <w:tc>
          <w:tcPr>
            <w:tcW w:w="2977" w:type="dxa"/>
            <w:vMerge/>
            <w:tcBorders>
              <w:left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p>
        </w:tc>
        <w:tc>
          <w:tcPr>
            <w:tcW w:w="2440" w:type="dxa"/>
            <w:gridSpan w:val="2"/>
            <w:tcBorders>
              <w:top w:val="single" w:sz="4" w:space="0" w:color="auto"/>
              <w:left w:val="single" w:sz="6" w:space="0" w:color="auto"/>
              <w:bottom w:val="single" w:sz="4"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2.Кількість проведених групових та індивідуальних занять протягом одного робочого дня.</w:t>
            </w:r>
          </w:p>
        </w:tc>
        <w:tc>
          <w:tcPr>
            <w:tcW w:w="2859" w:type="dxa"/>
            <w:gridSpan w:val="2"/>
            <w:tcBorders>
              <w:top w:val="single" w:sz="4" w:space="0" w:color="auto"/>
              <w:left w:val="single" w:sz="6" w:space="0" w:color="auto"/>
              <w:bottom w:val="single" w:sz="4"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p>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одиниць</w:t>
            </w:r>
          </w:p>
        </w:tc>
        <w:tc>
          <w:tcPr>
            <w:tcW w:w="1914" w:type="dxa"/>
            <w:gridSpan w:val="2"/>
            <w:tcBorders>
              <w:top w:val="single" w:sz="4" w:space="0" w:color="auto"/>
              <w:left w:val="single" w:sz="6" w:space="0" w:color="auto"/>
              <w:bottom w:val="single" w:sz="4" w:space="0" w:color="auto"/>
              <w:right w:val="single" w:sz="6" w:space="0" w:color="auto"/>
            </w:tcBorders>
          </w:tcPr>
          <w:p w:rsidR="004C1361" w:rsidRPr="00B74A55" w:rsidRDefault="004C1361" w:rsidP="004C1361">
            <w:pPr>
              <w:jc w:val="center"/>
              <w:rPr>
                <w:rFonts w:eastAsia="Calibri"/>
                <w:sz w:val="22"/>
              </w:rPr>
            </w:pPr>
            <w:r w:rsidRPr="00B74A55">
              <w:rPr>
                <w:rFonts w:eastAsia="Calibri"/>
                <w:sz w:val="22"/>
              </w:rPr>
              <w:t>35</w:t>
            </w:r>
          </w:p>
        </w:tc>
      </w:tr>
      <w:tr w:rsidR="004C1361" w:rsidRPr="00B74A55" w:rsidTr="004C1361">
        <w:trPr>
          <w:trHeight w:val="783"/>
        </w:trPr>
        <w:tc>
          <w:tcPr>
            <w:tcW w:w="2977" w:type="dxa"/>
            <w:vMerge/>
            <w:tcBorders>
              <w:left w:val="single" w:sz="6" w:space="0" w:color="auto"/>
              <w:bottom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p>
        </w:tc>
        <w:tc>
          <w:tcPr>
            <w:tcW w:w="2440" w:type="dxa"/>
            <w:gridSpan w:val="2"/>
            <w:tcBorders>
              <w:top w:val="single" w:sz="4" w:space="0" w:color="auto"/>
              <w:left w:val="single" w:sz="6" w:space="0" w:color="auto"/>
              <w:bottom w:val="single" w:sz="6" w:space="0" w:color="auto"/>
              <w:right w:val="single" w:sz="6" w:space="0" w:color="auto"/>
            </w:tcBorders>
          </w:tcPr>
          <w:p w:rsidR="004C1361" w:rsidRPr="00B74A55" w:rsidRDefault="004C1361" w:rsidP="004C1361">
            <w:pPr>
              <w:rPr>
                <w:rFonts w:eastAsia="Calibri"/>
                <w:color w:val="000000"/>
                <w:sz w:val="22"/>
              </w:rPr>
            </w:pPr>
            <w:r w:rsidRPr="00B74A55">
              <w:rPr>
                <w:rFonts w:eastAsia="Calibri"/>
                <w:sz w:val="22"/>
              </w:rPr>
              <w:t>3.Економія природного газу; економія електроенергії (на виробництво тепла) в рік.</w:t>
            </w:r>
          </w:p>
        </w:tc>
        <w:tc>
          <w:tcPr>
            <w:tcW w:w="2859" w:type="dxa"/>
            <w:gridSpan w:val="2"/>
            <w:tcBorders>
              <w:top w:val="single" w:sz="4"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p>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відсотки</w:t>
            </w:r>
          </w:p>
        </w:tc>
        <w:tc>
          <w:tcPr>
            <w:tcW w:w="1914" w:type="dxa"/>
            <w:gridSpan w:val="2"/>
            <w:tcBorders>
              <w:top w:val="single" w:sz="4" w:space="0" w:color="auto"/>
              <w:left w:val="single" w:sz="6" w:space="0" w:color="auto"/>
              <w:bottom w:val="single" w:sz="6" w:space="0" w:color="auto"/>
              <w:right w:val="single" w:sz="6" w:space="0" w:color="auto"/>
            </w:tcBorders>
          </w:tcPr>
          <w:p w:rsidR="004C1361" w:rsidRPr="00B74A55" w:rsidRDefault="004C1361" w:rsidP="004C1361">
            <w:pPr>
              <w:ind w:left="390"/>
              <w:jc w:val="center"/>
              <w:rPr>
                <w:rFonts w:eastAsia="Calibri"/>
                <w:sz w:val="22"/>
              </w:rPr>
            </w:pPr>
            <w:r w:rsidRPr="00B74A55">
              <w:rPr>
                <w:rFonts w:eastAsia="Calibri"/>
                <w:color w:val="000000"/>
                <w:sz w:val="22"/>
              </w:rPr>
              <w:t>15%-20%</w:t>
            </w:r>
          </w:p>
        </w:tc>
      </w:tr>
      <w:tr w:rsidR="004C1361" w:rsidRPr="00B74A55" w:rsidTr="00E801B9">
        <w:trPr>
          <w:trHeight w:val="551"/>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r w:rsidRPr="00B74A55">
              <w:rPr>
                <w:rFonts w:eastAsia="Calibri"/>
                <w:b/>
                <w:color w:val="000000"/>
                <w:sz w:val="22"/>
              </w:rPr>
              <w:t>Ключові заходи проекту:</w:t>
            </w:r>
          </w:p>
        </w:tc>
        <w:tc>
          <w:tcPr>
            <w:tcW w:w="7213" w:type="dxa"/>
            <w:gridSpan w:val="6"/>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1.Обстеження стану будівлі та приміщень закладу.</w:t>
            </w:r>
          </w:p>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 xml:space="preserve">2.Підготовка </w:t>
            </w:r>
            <w:proofErr w:type="spellStart"/>
            <w:r w:rsidRPr="00B74A55">
              <w:rPr>
                <w:rFonts w:eastAsia="Calibri"/>
                <w:color w:val="000000"/>
                <w:sz w:val="22"/>
              </w:rPr>
              <w:t>про</w:t>
            </w:r>
            <w:r w:rsidR="00E71050" w:rsidRPr="00B74A55">
              <w:rPr>
                <w:rFonts w:eastAsia="Calibri"/>
                <w:color w:val="000000"/>
                <w:sz w:val="22"/>
              </w:rPr>
              <w:t>є</w:t>
            </w:r>
            <w:r w:rsidRPr="00B74A55">
              <w:rPr>
                <w:rFonts w:eastAsia="Calibri"/>
                <w:color w:val="000000"/>
                <w:sz w:val="22"/>
              </w:rPr>
              <w:t>ктно</w:t>
            </w:r>
            <w:proofErr w:type="spellEnd"/>
            <w:r w:rsidRPr="00B74A55">
              <w:rPr>
                <w:rFonts w:eastAsia="Calibri"/>
                <w:color w:val="000000"/>
                <w:sz w:val="22"/>
              </w:rPr>
              <w:t>-кошторисної документації.</w:t>
            </w:r>
          </w:p>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3.Утеплення  та оздоблення фасаду будівлі.</w:t>
            </w:r>
          </w:p>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 xml:space="preserve">4.Реконструкція та утеплення даху будівлі. </w:t>
            </w:r>
          </w:p>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 xml:space="preserve">5.Реконструкція прилеглих до будівлі прогулянкових веранд, </w:t>
            </w:r>
            <w:proofErr w:type="spellStart"/>
            <w:r w:rsidRPr="00B74A55">
              <w:rPr>
                <w:rFonts w:eastAsia="Calibri"/>
                <w:color w:val="000000"/>
                <w:sz w:val="22"/>
              </w:rPr>
              <w:t>ганків</w:t>
            </w:r>
            <w:proofErr w:type="spellEnd"/>
            <w:r w:rsidRPr="00B74A55">
              <w:rPr>
                <w:rFonts w:eastAsia="Calibri"/>
                <w:color w:val="000000"/>
                <w:sz w:val="22"/>
              </w:rPr>
              <w:t xml:space="preserve"> та пандусу для дітей з ООП. </w:t>
            </w:r>
          </w:p>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 xml:space="preserve">6.Заміна та налаштування опалювальної системи, системи </w:t>
            </w:r>
            <w:proofErr w:type="spellStart"/>
            <w:r w:rsidRPr="00B74A55">
              <w:rPr>
                <w:rFonts w:eastAsia="Calibri"/>
                <w:color w:val="000000"/>
                <w:sz w:val="22"/>
              </w:rPr>
              <w:t>електро</w:t>
            </w:r>
            <w:proofErr w:type="spellEnd"/>
            <w:r w:rsidR="00E71050" w:rsidRPr="00B74A55">
              <w:rPr>
                <w:rFonts w:eastAsia="Calibri"/>
                <w:color w:val="000000"/>
                <w:sz w:val="22"/>
              </w:rPr>
              <w:t>-</w:t>
            </w:r>
            <w:r w:rsidRPr="00B74A55">
              <w:rPr>
                <w:rFonts w:eastAsia="Calibri"/>
                <w:color w:val="000000"/>
                <w:sz w:val="22"/>
              </w:rPr>
              <w:t xml:space="preserve"> та водопостачання  будівлі.</w:t>
            </w:r>
          </w:p>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 xml:space="preserve">7.Заміна віконних, дверних блоків в будівлі на </w:t>
            </w:r>
            <w:proofErr w:type="spellStart"/>
            <w:r w:rsidRPr="00B74A55">
              <w:rPr>
                <w:rFonts w:eastAsia="Calibri"/>
                <w:color w:val="000000"/>
                <w:sz w:val="22"/>
              </w:rPr>
              <w:t>енергозаощадливі</w:t>
            </w:r>
            <w:proofErr w:type="spellEnd"/>
            <w:r w:rsidRPr="00B74A55">
              <w:rPr>
                <w:rFonts w:eastAsia="Calibri"/>
                <w:color w:val="000000"/>
                <w:sz w:val="22"/>
              </w:rPr>
              <w:t xml:space="preserve"> та сучасного дизайну.</w:t>
            </w:r>
          </w:p>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8. Оздоблювальні роботи  усіх приміщень будівлі.</w:t>
            </w:r>
          </w:p>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9. Ремонт підлоги в усіх приміщеннях та прогулянкових верандах.</w:t>
            </w:r>
          </w:p>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10.Капітальний ремонт сходових клітин, холів, коридорів.</w:t>
            </w:r>
          </w:p>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11.Капітальний ремонт санвузлів (у тому числі для дітей з ООП).</w:t>
            </w:r>
          </w:p>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12.Капітальний ремонт пральні та харчоблоку.</w:t>
            </w:r>
          </w:p>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13.Влаштування пожежної та охоронної сигналізації.</w:t>
            </w:r>
          </w:p>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14. Влаштування укриття у цокольній частині будівлі закладу.</w:t>
            </w:r>
          </w:p>
          <w:p w:rsidR="004C1361" w:rsidRPr="00B74A55" w:rsidRDefault="004C1361" w:rsidP="004C1361">
            <w:pPr>
              <w:autoSpaceDE w:val="0"/>
              <w:autoSpaceDN w:val="0"/>
              <w:adjustRightInd w:val="0"/>
              <w:rPr>
                <w:rFonts w:eastAsia="Calibri"/>
                <w:sz w:val="22"/>
              </w:rPr>
            </w:pPr>
            <w:r w:rsidRPr="00B74A55">
              <w:rPr>
                <w:rFonts w:eastAsia="Calibri"/>
                <w:sz w:val="22"/>
              </w:rPr>
              <w:t>15. Забезпечення робочими містами 70 мешканців громади міста.</w:t>
            </w:r>
          </w:p>
        </w:tc>
      </w:tr>
      <w:tr w:rsidR="004C1361" w:rsidRPr="00B74A55" w:rsidTr="004C1361">
        <w:trPr>
          <w:trHeight w:val="568"/>
        </w:trPr>
        <w:tc>
          <w:tcPr>
            <w:tcW w:w="2977" w:type="dxa"/>
            <w:vMerge w:val="restart"/>
            <w:tcBorders>
              <w:top w:val="single" w:sz="6" w:space="0" w:color="auto"/>
              <w:left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r w:rsidRPr="00B74A55">
              <w:rPr>
                <w:rFonts w:eastAsia="Calibri"/>
                <w:b/>
                <w:color w:val="000000"/>
                <w:sz w:val="22"/>
              </w:rPr>
              <w:t>Орієнтовний обсяг та джерела фінансування тис. гривень</w:t>
            </w:r>
          </w:p>
        </w:tc>
        <w:tc>
          <w:tcPr>
            <w:tcW w:w="1306" w:type="dxa"/>
            <w:vMerge w:val="restart"/>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Державний бюджет</w:t>
            </w:r>
          </w:p>
        </w:tc>
        <w:tc>
          <w:tcPr>
            <w:tcW w:w="1134" w:type="dxa"/>
            <w:vMerge w:val="restart"/>
            <w:tcBorders>
              <w:top w:val="single" w:sz="6" w:space="0" w:color="auto"/>
              <w:left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Місцевий бюджет</w:t>
            </w:r>
          </w:p>
        </w:tc>
        <w:tc>
          <w:tcPr>
            <w:tcW w:w="3260" w:type="dxa"/>
            <w:gridSpan w:val="3"/>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Інші джерела</w:t>
            </w:r>
          </w:p>
        </w:tc>
        <w:tc>
          <w:tcPr>
            <w:tcW w:w="1513" w:type="dxa"/>
            <w:vMerge w:val="restart"/>
            <w:tcBorders>
              <w:top w:val="single" w:sz="6" w:space="0" w:color="auto"/>
              <w:left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Всього</w:t>
            </w:r>
          </w:p>
        </w:tc>
      </w:tr>
      <w:tr w:rsidR="004C1361" w:rsidRPr="00B74A55" w:rsidTr="004C1361">
        <w:trPr>
          <w:trHeight w:val="62"/>
        </w:trPr>
        <w:tc>
          <w:tcPr>
            <w:tcW w:w="2977" w:type="dxa"/>
            <w:vMerge/>
            <w:tcBorders>
              <w:left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p>
        </w:tc>
        <w:tc>
          <w:tcPr>
            <w:tcW w:w="1306" w:type="dxa"/>
            <w:vMerge/>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p>
        </w:tc>
        <w:tc>
          <w:tcPr>
            <w:tcW w:w="1134" w:type="dxa"/>
            <w:vMerge/>
            <w:tcBorders>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p>
        </w:tc>
        <w:tc>
          <w:tcPr>
            <w:tcW w:w="1276" w:type="dxa"/>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Обсяг</w:t>
            </w:r>
          </w:p>
          <w:p w:rsidR="004C1361" w:rsidRPr="00B74A55" w:rsidRDefault="004C1361" w:rsidP="004C1361">
            <w:pPr>
              <w:autoSpaceDE w:val="0"/>
              <w:autoSpaceDN w:val="0"/>
              <w:adjustRightInd w:val="0"/>
              <w:rPr>
                <w:rFonts w:eastAsia="Calibri"/>
                <w:color w:val="000000"/>
                <w:sz w:val="22"/>
              </w:rPr>
            </w:pPr>
          </w:p>
        </w:tc>
        <w:tc>
          <w:tcPr>
            <w:tcW w:w="1984" w:type="dxa"/>
            <w:gridSpan w:val="2"/>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Назва</w:t>
            </w:r>
          </w:p>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джерела</w:t>
            </w:r>
          </w:p>
        </w:tc>
        <w:tc>
          <w:tcPr>
            <w:tcW w:w="1513" w:type="dxa"/>
            <w:vMerge/>
            <w:tcBorders>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b/>
                <w:color w:val="000000"/>
                <w:sz w:val="22"/>
              </w:rPr>
            </w:pPr>
          </w:p>
        </w:tc>
      </w:tr>
      <w:tr w:rsidR="004C1361" w:rsidRPr="00B74A55" w:rsidTr="004C1361">
        <w:trPr>
          <w:trHeight w:val="62"/>
        </w:trPr>
        <w:tc>
          <w:tcPr>
            <w:tcW w:w="2977" w:type="dxa"/>
            <w:vMerge/>
            <w:tcBorders>
              <w:left w:val="single" w:sz="6" w:space="0" w:color="auto"/>
              <w:bottom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p>
        </w:tc>
        <w:tc>
          <w:tcPr>
            <w:tcW w:w="1306" w:type="dxa"/>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b/>
                <w:color w:val="000000"/>
                <w:sz w:val="22"/>
              </w:rPr>
            </w:pPr>
          </w:p>
          <w:p w:rsidR="004C1361" w:rsidRPr="00B74A55" w:rsidRDefault="00672D42" w:rsidP="004C1361">
            <w:pPr>
              <w:autoSpaceDE w:val="0"/>
              <w:autoSpaceDN w:val="0"/>
              <w:adjustRightInd w:val="0"/>
              <w:rPr>
                <w:rFonts w:eastAsia="Calibri"/>
                <w:sz w:val="22"/>
                <w:lang w:val="ru-RU"/>
              </w:rPr>
            </w:pPr>
            <w:r w:rsidRPr="00B74A55">
              <w:rPr>
                <w:rFonts w:eastAsia="Calibri"/>
                <w:sz w:val="22"/>
                <w:lang w:val="ru-RU"/>
              </w:rPr>
              <w:t>26586</w:t>
            </w:r>
            <w:r w:rsidR="004C1361" w:rsidRPr="00B74A55">
              <w:rPr>
                <w:rFonts w:eastAsia="Calibri"/>
                <w:sz w:val="22"/>
              </w:rPr>
              <w:t>, 000</w:t>
            </w:r>
          </w:p>
        </w:tc>
        <w:tc>
          <w:tcPr>
            <w:tcW w:w="1134" w:type="dxa"/>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p>
        </w:tc>
        <w:tc>
          <w:tcPr>
            <w:tcW w:w="1276" w:type="dxa"/>
            <w:tcBorders>
              <w:top w:val="single" w:sz="6" w:space="0" w:color="auto"/>
              <w:left w:val="single" w:sz="6" w:space="0" w:color="auto"/>
              <w:bottom w:val="single" w:sz="6" w:space="0" w:color="auto"/>
              <w:right w:val="single" w:sz="6" w:space="0" w:color="auto"/>
            </w:tcBorders>
          </w:tcPr>
          <w:p w:rsidR="004C1361" w:rsidRPr="00B74A55" w:rsidRDefault="00672D42" w:rsidP="004C1361">
            <w:pPr>
              <w:autoSpaceDE w:val="0"/>
              <w:autoSpaceDN w:val="0"/>
              <w:adjustRightInd w:val="0"/>
              <w:rPr>
                <w:rFonts w:eastAsia="Calibri"/>
                <w:color w:val="000000"/>
                <w:sz w:val="22"/>
              </w:rPr>
            </w:pPr>
            <w:r w:rsidRPr="00B74A55">
              <w:rPr>
                <w:rFonts w:eastAsia="Calibri"/>
                <w:color w:val="000000"/>
                <w:sz w:val="22"/>
                <w:lang w:val="ru-RU"/>
              </w:rPr>
              <w:t>11394</w:t>
            </w:r>
            <w:r w:rsidRPr="00B74A55">
              <w:rPr>
                <w:rFonts w:eastAsia="Calibri"/>
                <w:color w:val="000000"/>
                <w:sz w:val="22"/>
              </w:rPr>
              <w:t>,</w:t>
            </w:r>
            <w:r w:rsidR="004C1361" w:rsidRPr="00B74A55">
              <w:rPr>
                <w:rFonts w:eastAsia="Calibri"/>
                <w:color w:val="000000"/>
                <w:sz w:val="22"/>
              </w:rPr>
              <w:t>000</w:t>
            </w:r>
          </w:p>
        </w:tc>
        <w:tc>
          <w:tcPr>
            <w:tcW w:w="1984" w:type="dxa"/>
            <w:gridSpan w:val="2"/>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Міжнародні інвестиції</w:t>
            </w:r>
          </w:p>
        </w:tc>
        <w:tc>
          <w:tcPr>
            <w:tcW w:w="1513" w:type="dxa"/>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37 980, 000</w:t>
            </w:r>
          </w:p>
        </w:tc>
      </w:tr>
    </w:tbl>
    <w:p w:rsidR="004C1361" w:rsidRPr="00B74A55" w:rsidRDefault="004C1361" w:rsidP="00E33AAA">
      <w:pPr>
        <w:tabs>
          <w:tab w:val="left" w:pos="5290"/>
        </w:tabs>
        <w:rPr>
          <w:b/>
          <w:sz w:val="22"/>
          <w:szCs w:val="22"/>
        </w:rPr>
      </w:pPr>
    </w:p>
    <w:tbl>
      <w:tblPr>
        <w:tblpPr w:leftFromText="180" w:rightFromText="180" w:vertAnchor="text" w:horzAnchor="margin" w:tblpX="-396" w:tblpY="273"/>
        <w:tblW w:w="9953" w:type="dxa"/>
        <w:tblLayout w:type="fixed"/>
        <w:tblCellMar>
          <w:left w:w="30" w:type="dxa"/>
          <w:right w:w="30" w:type="dxa"/>
        </w:tblCellMar>
        <w:tblLook w:val="0000" w:firstRow="0" w:lastRow="0" w:firstColumn="0" w:lastColumn="0" w:noHBand="0" w:noVBand="0"/>
      </w:tblPr>
      <w:tblGrid>
        <w:gridCol w:w="3007"/>
        <w:gridCol w:w="1276"/>
        <w:gridCol w:w="1134"/>
        <w:gridCol w:w="709"/>
        <w:gridCol w:w="803"/>
        <w:gridCol w:w="1039"/>
        <w:gridCol w:w="240"/>
        <w:gridCol w:w="1745"/>
      </w:tblGrid>
      <w:tr w:rsidR="004C1361" w:rsidRPr="00B74A55" w:rsidTr="00C161F9">
        <w:trPr>
          <w:trHeight w:val="381"/>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r w:rsidRPr="00B74A55">
              <w:rPr>
                <w:rFonts w:eastAsia="Calibri"/>
                <w:b/>
                <w:color w:val="000000"/>
                <w:sz w:val="22"/>
              </w:rPr>
              <w:lastRenderedPageBreak/>
              <w:t>Оперативна ціль/завдання</w:t>
            </w:r>
          </w:p>
        </w:tc>
        <w:tc>
          <w:tcPr>
            <w:tcW w:w="6946" w:type="dxa"/>
            <w:gridSpan w:val="7"/>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Людський розвиток через інновації управління та довіру до влади. Формування сучасного інклюзивного та спортивного простору для розвитку.</w:t>
            </w:r>
            <w:r w:rsidRPr="00B74A55">
              <w:rPr>
                <w:rFonts w:eastAsia="Calibri"/>
                <w:color w:val="000000"/>
                <w:sz w:val="22"/>
              </w:rPr>
              <w:tab/>
            </w:r>
            <w:r w:rsidRPr="00B74A55">
              <w:rPr>
                <w:rFonts w:eastAsia="Calibri"/>
                <w:color w:val="000000"/>
                <w:sz w:val="22"/>
              </w:rPr>
              <w:tab/>
            </w:r>
            <w:r w:rsidRPr="00B74A55">
              <w:rPr>
                <w:rFonts w:eastAsia="Calibri"/>
                <w:color w:val="000000"/>
                <w:sz w:val="22"/>
              </w:rPr>
              <w:tab/>
            </w:r>
          </w:p>
        </w:tc>
      </w:tr>
      <w:tr w:rsidR="004C1361" w:rsidRPr="00B74A55" w:rsidTr="00C161F9">
        <w:trPr>
          <w:trHeight w:val="650"/>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r w:rsidRPr="00B74A55">
              <w:rPr>
                <w:rFonts w:eastAsia="Calibri"/>
                <w:b/>
                <w:color w:val="000000"/>
                <w:sz w:val="22"/>
              </w:rPr>
              <w:t>Назва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Безпечний, комфортний, багатофункціональний  простір прилеглої території Ясел-садка №38 м. Сєвєродонецька Луганської області, вул. Науки буд. 10</w:t>
            </w:r>
            <w:r w:rsidRPr="00B74A55">
              <w:rPr>
                <w:rFonts w:eastAsia="Calibri"/>
                <w:color w:val="000000"/>
                <w:sz w:val="22"/>
              </w:rPr>
              <w:tab/>
            </w:r>
            <w:r w:rsidRPr="00B74A55">
              <w:rPr>
                <w:rFonts w:eastAsia="Calibri"/>
                <w:color w:val="000000"/>
                <w:sz w:val="22"/>
              </w:rPr>
              <w:tab/>
            </w:r>
            <w:r w:rsidRPr="00B74A55">
              <w:rPr>
                <w:rFonts w:eastAsia="Calibri"/>
                <w:color w:val="000000"/>
                <w:sz w:val="22"/>
              </w:rPr>
              <w:tab/>
            </w:r>
          </w:p>
        </w:tc>
      </w:tr>
      <w:tr w:rsidR="004C1361" w:rsidRPr="00B74A55" w:rsidTr="00C161F9">
        <w:trPr>
          <w:trHeight w:val="1043"/>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r w:rsidRPr="00B74A55">
              <w:rPr>
                <w:rFonts w:eastAsia="Calibri"/>
                <w:b/>
                <w:color w:val="000000"/>
                <w:sz w:val="22"/>
              </w:rPr>
              <w:t>Ціль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4C1361" w:rsidRPr="00B74A55" w:rsidRDefault="004C1361" w:rsidP="00E71050">
            <w:pPr>
              <w:autoSpaceDE w:val="0"/>
              <w:autoSpaceDN w:val="0"/>
              <w:adjustRightInd w:val="0"/>
              <w:rPr>
                <w:rFonts w:eastAsia="Calibri"/>
                <w:color w:val="000000"/>
                <w:sz w:val="22"/>
              </w:rPr>
            </w:pPr>
            <w:r w:rsidRPr="00B74A55">
              <w:rPr>
                <w:rFonts w:eastAsia="Calibri"/>
                <w:color w:val="000000"/>
                <w:sz w:val="22"/>
              </w:rPr>
              <w:t xml:space="preserve">Покращення умов для надання освітніх послуг. Відновлення загального рівня комфорту, безпеки та індивідуальних потреб учасників освітнього процесу на прилеглій території  Ясел-садка.  Створення екологічних  та безпечних зон для дітей дошкільного віку. Організація умов для прогулянок, занять фізкультурою та розваг на свіжому повітрі, що буде сприяти поліпшенню здоров’я та психоемоційного стану дошкільників   </w:t>
            </w:r>
          </w:p>
        </w:tc>
      </w:tr>
      <w:tr w:rsidR="004C1361" w:rsidRPr="00B74A55" w:rsidTr="00C161F9">
        <w:trPr>
          <w:trHeight w:val="273"/>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r w:rsidRPr="00B74A55">
              <w:rPr>
                <w:rFonts w:eastAsia="Calibri"/>
                <w:b/>
                <w:color w:val="000000"/>
                <w:sz w:val="22"/>
              </w:rPr>
              <w:t>Територія, на яку матиме вплив реалізація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Сєвєродонецька міська територіальна громада</w:t>
            </w:r>
          </w:p>
        </w:tc>
      </w:tr>
      <w:tr w:rsidR="004C1361" w:rsidRPr="00B74A55" w:rsidTr="00C161F9">
        <w:trPr>
          <w:trHeight w:val="651"/>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r w:rsidRPr="00B74A55">
              <w:rPr>
                <w:rFonts w:eastAsia="Calibri"/>
                <w:b/>
                <w:color w:val="000000"/>
                <w:sz w:val="22"/>
              </w:rPr>
              <w:t>Чисельність населення, на яке матиме вплив реалізація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70 000 осіб</w:t>
            </w:r>
            <w:r w:rsidRPr="00B74A55">
              <w:rPr>
                <w:rFonts w:eastAsia="Calibri"/>
                <w:color w:val="000000"/>
                <w:sz w:val="22"/>
              </w:rPr>
              <w:tab/>
            </w:r>
            <w:r w:rsidRPr="00B74A55">
              <w:rPr>
                <w:rFonts w:eastAsia="Calibri"/>
                <w:color w:val="000000"/>
                <w:sz w:val="22"/>
              </w:rPr>
              <w:tab/>
            </w:r>
            <w:r w:rsidRPr="00B74A55">
              <w:rPr>
                <w:rFonts w:eastAsia="Calibri"/>
                <w:color w:val="000000"/>
                <w:sz w:val="22"/>
              </w:rPr>
              <w:tab/>
            </w:r>
          </w:p>
        </w:tc>
      </w:tr>
      <w:tr w:rsidR="004C1361" w:rsidRPr="00B74A55" w:rsidTr="00C161F9">
        <w:trPr>
          <w:trHeight w:val="1186"/>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r w:rsidRPr="00B74A55">
              <w:rPr>
                <w:rFonts w:eastAsia="Calibri"/>
                <w:b/>
                <w:color w:val="000000"/>
                <w:sz w:val="22"/>
              </w:rPr>
              <w:t>Опис проблеми, на вирішення якої спрямований проект</w:t>
            </w:r>
          </w:p>
        </w:tc>
        <w:tc>
          <w:tcPr>
            <w:tcW w:w="6946" w:type="dxa"/>
            <w:gridSpan w:val="7"/>
            <w:tcBorders>
              <w:top w:val="single" w:sz="6" w:space="0" w:color="auto"/>
              <w:left w:val="single" w:sz="6" w:space="0" w:color="auto"/>
              <w:bottom w:val="single" w:sz="6" w:space="0" w:color="auto"/>
              <w:right w:val="single" w:sz="6" w:space="0" w:color="auto"/>
            </w:tcBorders>
          </w:tcPr>
          <w:p w:rsidR="004C1361" w:rsidRPr="00B74A55" w:rsidRDefault="004C1361" w:rsidP="00E71050">
            <w:pPr>
              <w:autoSpaceDE w:val="0"/>
              <w:autoSpaceDN w:val="0"/>
              <w:adjustRightInd w:val="0"/>
              <w:rPr>
                <w:rFonts w:eastAsia="Calibri"/>
                <w:color w:val="000000"/>
                <w:sz w:val="22"/>
              </w:rPr>
            </w:pPr>
            <w:r w:rsidRPr="00B74A55">
              <w:rPr>
                <w:rFonts w:eastAsia="Calibri"/>
                <w:color w:val="000000"/>
                <w:sz w:val="22"/>
              </w:rPr>
              <w:t xml:space="preserve">Внаслідок військової агресії </w:t>
            </w:r>
            <w:r w:rsidR="00E71050" w:rsidRPr="00B74A55">
              <w:rPr>
                <w:rFonts w:eastAsia="Calibri"/>
                <w:color w:val="000000"/>
                <w:sz w:val="22"/>
              </w:rPr>
              <w:t>РФ</w:t>
            </w:r>
            <w:r w:rsidRPr="00B74A55">
              <w:rPr>
                <w:rFonts w:eastAsia="Calibri"/>
                <w:color w:val="000000"/>
                <w:sz w:val="22"/>
              </w:rPr>
              <w:t xml:space="preserve"> на прилеглій території до закладу дошкільної освіти пошкоджено: асфальтоване покриття  доріжок, ігрових майданчиків;  прогулянкові </w:t>
            </w:r>
            <w:proofErr w:type="spellStart"/>
            <w:r w:rsidRPr="00B74A55">
              <w:rPr>
                <w:rFonts w:eastAsia="Calibri"/>
                <w:color w:val="000000"/>
                <w:sz w:val="22"/>
              </w:rPr>
              <w:t>павільони</w:t>
            </w:r>
            <w:proofErr w:type="spellEnd"/>
            <w:r w:rsidRPr="00B74A55">
              <w:rPr>
                <w:rFonts w:eastAsia="Calibri"/>
                <w:color w:val="000000"/>
                <w:sz w:val="22"/>
              </w:rPr>
              <w:t xml:space="preserve">;  обладнання ігрових ділянок; огорожа закладу, ворота та </w:t>
            </w:r>
            <w:proofErr w:type="spellStart"/>
            <w:r w:rsidRPr="00B74A55">
              <w:rPr>
                <w:rFonts w:eastAsia="Calibri"/>
                <w:color w:val="000000"/>
                <w:sz w:val="22"/>
              </w:rPr>
              <w:t>фіртки</w:t>
            </w:r>
            <w:proofErr w:type="spellEnd"/>
            <w:r w:rsidRPr="00B74A55">
              <w:rPr>
                <w:rFonts w:eastAsia="Calibri"/>
                <w:color w:val="000000"/>
                <w:sz w:val="22"/>
              </w:rPr>
              <w:t xml:space="preserve">; зовнішнє освітлення території;  без поливу та догляду знищена частина зелених насаджень (дерева, кущі, </w:t>
            </w:r>
            <w:proofErr w:type="spellStart"/>
            <w:r w:rsidRPr="00B74A55">
              <w:rPr>
                <w:rFonts w:eastAsia="Calibri"/>
                <w:color w:val="000000"/>
                <w:sz w:val="22"/>
              </w:rPr>
              <w:t>травяне</w:t>
            </w:r>
            <w:proofErr w:type="spellEnd"/>
            <w:r w:rsidRPr="00B74A55">
              <w:rPr>
                <w:rFonts w:eastAsia="Calibri"/>
                <w:color w:val="000000"/>
                <w:sz w:val="22"/>
              </w:rPr>
              <w:t xml:space="preserve"> покриття) двору;  зруйнована система поливу. Усе це може бути причиною травмування учасників освітнього процесу, унеможливлює якісно та безпечно організувати активності дітей на свіжому повітрі.</w:t>
            </w:r>
            <w:r w:rsidRPr="00B74A55">
              <w:rPr>
                <w:rFonts w:eastAsia="Calibri"/>
                <w:color w:val="000000"/>
                <w:sz w:val="22"/>
              </w:rPr>
              <w:tab/>
            </w:r>
            <w:r w:rsidRPr="00B74A55">
              <w:rPr>
                <w:rFonts w:eastAsia="Calibri"/>
                <w:color w:val="000000"/>
                <w:sz w:val="22"/>
              </w:rPr>
              <w:tab/>
            </w:r>
          </w:p>
        </w:tc>
      </w:tr>
      <w:tr w:rsidR="004C1361" w:rsidRPr="00B74A55" w:rsidTr="00C161F9">
        <w:trPr>
          <w:trHeight w:val="1190"/>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r w:rsidRPr="00B74A55">
              <w:rPr>
                <w:rFonts w:eastAsia="Calibri"/>
                <w:b/>
                <w:color w:val="000000"/>
                <w:sz w:val="22"/>
              </w:rPr>
              <w:t>Очікувані якісні результати від реалізації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4C1361" w:rsidRPr="00B74A55" w:rsidRDefault="004C1361" w:rsidP="00296D42">
            <w:pPr>
              <w:autoSpaceDE w:val="0"/>
              <w:autoSpaceDN w:val="0"/>
              <w:adjustRightInd w:val="0"/>
              <w:rPr>
                <w:rFonts w:eastAsia="Calibri"/>
                <w:color w:val="000000"/>
                <w:sz w:val="22"/>
              </w:rPr>
            </w:pPr>
            <w:r w:rsidRPr="00B74A55">
              <w:rPr>
                <w:rFonts w:eastAsia="Calibri"/>
                <w:color w:val="000000"/>
                <w:sz w:val="22"/>
              </w:rPr>
              <w:t>Безпечна, комфортна, приваблива територія, зручна та ефективна для організації освітнього процесу, яка буде відповідати потребам та індивідуальним особливостям дітей дошкільного віку.  Можливість якісно організовувати відпочинок, заняття  фізкультурою та оздоровлення дітей дошкільного віку, у тому числі і дітей з особливими освітніми потребами, на свіжому повітрі.  Зниження ризиків травмування учасників освітнього процесу на території закладу.</w:t>
            </w:r>
          </w:p>
        </w:tc>
      </w:tr>
      <w:tr w:rsidR="004C1361" w:rsidRPr="00B74A55" w:rsidTr="00C161F9">
        <w:trPr>
          <w:trHeight w:val="656"/>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r w:rsidRPr="00B74A55">
              <w:rPr>
                <w:rFonts w:eastAsia="Calibri"/>
                <w:b/>
                <w:color w:val="000000"/>
                <w:sz w:val="22"/>
              </w:rPr>
              <w:t>Очікувані кількісні результати від реалізації проекту  (індикатори)</w:t>
            </w:r>
          </w:p>
        </w:tc>
        <w:tc>
          <w:tcPr>
            <w:tcW w:w="3119" w:type="dxa"/>
            <w:gridSpan w:val="3"/>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b/>
                <w:color w:val="000000"/>
                <w:sz w:val="22"/>
              </w:rPr>
            </w:pPr>
            <w:r w:rsidRPr="00B74A55">
              <w:rPr>
                <w:rFonts w:eastAsia="Calibri"/>
                <w:b/>
                <w:color w:val="000000"/>
                <w:sz w:val="22"/>
              </w:rPr>
              <w:t>Найменування показника</w:t>
            </w:r>
          </w:p>
        </w:tc>
        <w:tc>
          <w:tcPr>
            <w:tcW w:w="1842" w:type="dxa"/>
            <w:gridSpan w:val="2"/>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b/>
                <w:color w:val="000000"/>
                <w:sz w:val="22"/>
              </w:rPr>
            </w:pPr>
            <w:r w:rsidRPr="00B74A55">
              <w:rPr>
                <w:rFonts w:eastAsia="Calibri"/>
                <w:b/>
                <w:color w:val="000000"/>
                <w:sz w:val="22"/>
              </w:rPr>
              <w:t>Одиниця вимірювання</w:t>
            </w:r>
          </w:p>
        </w:tc>
        <w:tc>
          <w:tcPr>
            <w:tcW w:w="1985" w:type="dxa"/>
            <w:gridSpan w:val="2"/>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b/>
                <w:color w:val="000000"/>
                <w:sz w:val="22"/>
              </w:rPr>
            </w:pPr>
            <w:r w:rsidRPr="00B74A55">
              <w:rPr>
                <w:rFonts w:eastAsia="Calibri"/>
                <w:b/>
                <w:color w:val="000000"/>
                <w:sz w:val="22"/>
              </w:rPr>
              <w:t>Прогнозне (цільове) значення</w:t>
            </w:r>
          </w:p>
        </w:tc>
      </w:tr>
      <w:tr w:rsidR="004C1361" w:rsidRPr="00B74A55" w:rsidTr="00C161F9">
        <w:trPr>
          <w:trHeight w:val="669"/>
        </w:trPr>
        <w:tc>
          <w:tcPr>
            <w:tcW w:w="3007" w:type="dxa"/>
            <w:vMerge w:val="restart"/>
            <w:tcBorders>
              <w:top w:val="single" w:sz="6" w:space="0" w:color="auto"/>
              <w:left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p>
        </w:tc>
        <w:tc>
          <w:tcPr>
            <w:tcW w:w="3119" w:type="dxa"/>
            <w:gridSpan w:val="3"/>
            <w:tcBorders>
              <w:top w:val="single" w:sz="6" w:space="0" w:color="auto"/>
              <w:left w:val="single" w:sz="6" w:space="0" w:color="auto"/>
              <w:bottom w:val="single" w:sz="4" w:space="0" w:color="auto"/>
              <w:right w:val="single" w:sz="6" w:space="0" w:color="auto"/>
            </w:tcBorders>
            <w:vAlign w:val="bottom"/>
          </w:tcPr>
          <w:p w:rsidR="004C1361" w:rsidRPr="00B74A55" w:rsidRDefault="004C1361" w:rsidP="004C1361">
            <w:pPr>
              <w:rPr>
                <w:sz w:val="22"/>
              </w:rPr>
            </w:pPr>
            <w:r w:rsidRPr="00B74A55">
              <w:rPr>
                <w:sz w:val="22"/>
              </w:rPr>
              <w:t>1. Покращення умов для надання освітніх послуг, осіб рік</w:t>
            </w:r>
          </w:p>
        </w:tc>
        <w:tc>
          <w:tcPr>
            <w:tcW w:w="1842" w:type="dxa"/>
            <w:gridSpan w:val="2"/>
            <w:tcBorders>
              <w:top w:val="single" w:sz="6" w:space="0" w:color="auto"/>
              <w:left w:val="single" w:sz="6" w:space="0" w:color="auto"/>
              <w:bottom w:val="single" w:sz="4" w:space="0" w:color="auto"/>
              <w:right w:val="single" w:sz="6" w:space="0" w:color="auto"/>
            </w:tcBorders>
            <w:vAlign w:val="bottom"/>
          </w:tcPr>
          <w:p w:rsidR="004C1361" w:rsidRPr="00B74A55" w:rsidRDefault="004C1361" w:rsidP="004C1361">
            <w:pPr>
              <w:rPr>
                <w:sz w:val="22"/>
              </w:rPr>
            </w:pPr>
            <w:r w:rsidRPr="00B74A55">
              <w:rPr>
                <w:sz w:val="22"/>
              </w:rPr>
              <w:t xml:space="preserve"> осіб </w:t>
            </w:r>
          </w:p>
        </w:tc>
        <w:tc>
          <w:tcPr>
            <w:tcW w:w="1985" w:type="dxa"/>
            <w:gridSpan w:val="2"/>
            <w:tcBorders>
              <w:top w:val="single" w:sz="6" w:space="0" w:color="auto"/>
              <w:left w:val="single" w:sz="6" w:space="0" w:color="auto"/>
              <w:bottom w:val="single" w:sz="4" w:space="0" w:color="auto"/>
              <w:right w:val="single" w:sz="6" w:space="0" w:color="auto"/>
            </w:tcBorders>
          </w:tcPr>
          <w:p w:rsidR="004C1361" w:rsidRPr="00B74A55" w:rsidRDefault="004C1361" w:rsidP="004C1361">
            <w:pPr>
              <w:rPr>
                <w:sz w:val="22"/>
              </w:rPr>
            </w:pPr>
          </w:p>
          <w:p w:rsidR="004C1361" w:rsidRPr="00B74A55" w:rsidRDefault="004C1361" w:rsidP="004C1361">
            <w:pPr>
              <w:rPr>
                <w:sz w:val="22"/>
              </w:rPr>
            </w:pPr>
            <w:r w:rsidRPr="00B74A55">
              <w:rPr>
                <w:sz w:val="22"/>
              </w:rPr>
              <w:t>240, 12 дітей з ООП</w:t>
            </w:r>
          </w:p>
        </w:tc>
      </w:tr>
      <w:tr w:rsidR="004C1361" w:rsidRPr="00B74A55" w:rsidTr="00C161F9">
        <w:trPr>
          <w:trHeight w:val="544"/>
        </w:trPr>
        <w:tc>
          <w:tcPr>
            <w:tcW w:w="3007" w:type="dxa"/>
            <w:vMerge/>
            <w:tcBorders>
              <w:left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p>
        </w:tc>
        <w:tc>
          <w:tcPr>
            <w:tcW w:w="3119" w:type="dxa"/>
            <w:gridSpan w:val="3"/>
            <w:tcBorders>
              <w:top w:val="single" w:sz="4" w:space="0" w:color="auto"/>
              <w:left w:val="single" w:sz="6" w:space="0" w:color="auto"/>
              <w:bottom w:val="single" w:sz="4" w:space="0" w:color="auto"/>
              <w:right w:val="single" w:sz="6" w:space="0" w:color="auto"/>
            </w:tcBorders>
            <w:vAlign w:val="bottom"/>
          </w:tcPr>
          <w:p w:rsidR="004C1361" w:rsidRPr="00B74A55" w:rsidRDefault="004C1361" w:rsidP="004C1361">
            <w:pPr>
              <w:rPr>
                <w:sz w:val="22"/>
              </w:rPr>
            </w:pPr>
            <w:r w:rsidRPr="00B74A55">
              <w:rPr>
                <w:sz w:val="22"/>
              </w:rPr>
              <w:t>2.Економне використання  електроенергії, води</w:t>
            </w:r>
          </w:p>
        </w:tc>
        <w:tc>
          <w:tcPr>
            <w:tcW w:w="1842" w:type="dxa"/>
            <w:gridSpan w:val="2"/>
            <w:tcBorders>
              <w:top w:val="single" w:sz="4" w:space="0" w:color="auto"/>
              <w:left w:val="single" w:sz="6" w:space="0" w:color="auto"/>
              <w:bottom w:val="single" w:sz="4" w:space="0" w:color="auto"/>
              <w:right w:val="single" w:sz="6" w:space="0" w:color="auto"/>
            </w:tcBorders>
            <w:vAlign w:val="bottom"/>
          </w:tcPr>
          <w:p w:rsidR="004C1361" w:rsidRPr="00B74A55" w:rsidRDefault="004C1361" w:rsidP="004C1361">
            <w:pPr>
              <w:rPr>
                <w:sz w:val="22"/>
              </w:rPr>
            </w:pPr>
            <w:r w:rsidRPr="00B74A55">
              <w:rPr>
                <w:sz w:val="22"/>
              </w:rPr>
              <w:t>%</w:t>
            </w:r>
          </w:p>
        </w:tc>
        <w:tc>
          <w:tcPr>
            <w:tcW w:w="1985" w:type="dxa"/>
            <w:gridSpan w:val="2"/>
            <w:tcBorders>
              <w:top w:val="single" w:sz="4" w:space="0" w:color="auto"/>
              <w:left w:val="single" w:sz="6" w:space="0" w:color="auto"/>
              <w:bottom w:val="single" w:sz="4" w:space="0" w:color="auto"/>
              <w:right w:val="single" w:sz="6" w:space="0" w:color="auto"/>
            </w:tcBorders>
          </w:tcPr>
          <w:p w:rsidR="004C1361" w:rsidRPr="00B74A55" w:rsidRDefault="004C1361" w:rsidP="004C1361">
            <w:pPr>
              <w:rPr>
                <w:sz w:val="22"/>
              </w:rPr>
            </w:pPr>
          </w:p>
          <w:p w:rsidR="004C1361" w:rsidRPr="00B74A55" w:rsidRDefault="004C1361" w:rsidP="00296D42">
            <w:pPr>
              <w:rPr>
                <w:sz w:val="22"/>
              </w:rPr>
            </w:pPr>
            <w:r w:rsidRPr="00B74A55">
              <w:rPr>
                <w:sz w:val="22"/>
              </w:rPr>
              <w:t>10-15</w:t>
            </w:r>
          </w:p>
        </w:tc>
      </w:tr>
      <w:tr w:rsidR="004C1361" w:rsidRPr="00B74A55" w:rsidTr="00C161F9">
        <w:trPr>
          <w:trHeight w:val="835"/>
        </w:trPr>
        <w:tc>
          <w:tcPr>
            <w:tcW w:w="3007" w:type="dxa"/>
            <w:vMerge/>
            <w:tcBorders>
              <w:left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p>
        </w:tc>
        <w:tc>
          <w:tcPr>
            <w:tcW w:w="3119" w:type="dxa"/>
            <w:gridSpan w:val="3"/>
            <w:tcBorders>
              <w:top w:val="single" w:sz="4" w:space="0" w:color="auto"/>
              <w:left w:val="single" w:sz="6" w:space="0" w:color="auto"/>
              <w:bottom w:val="single" w:sz="4" w:space="0" w:color="auto"/>
              <w:right w:val="single" w:sz="6" w:space="0" w:color="auto"/>
            </w:tcBorders>
            <w:vAlign w:val="bottom"/>
          </w:tcPr>
          <w:p w:rsidR="004C1361" w:rsidRPr="00B74A55" w:rsidRDefault="004C1361" w:rsidP="004C1361">
            <w:pPr>
              <w:jc w:val="left"/>
              <w:rPr>
                <w:sz w:val="22"/>
              </w:rPr>
            </w:pPr>
            <w:r w:rsidRPr="00B74A55">
              <w:rPr>
                <w:sz w:val="22"/>
              </w:rPr>
              <w:t>3. Озеленення та упорядкування території громади</w:t>
            </w:r>
          </w:p>
        </w:tc>
        <w:tc>
          <w:tcPr>
            <w:tcW w:w="1842" w:type="dxa"/>
            <w:gridSpan w:val="2"/>
            <w:tcBorders>
              <w:top w:val="single" w:sz="4" w:space="0" w:color="auto"/>
              <w:left w:val="single" w:sz="6" w:space="0" w:color="auto"/>
              <w:bottom w:val="single" w:sz="4" w:space="0" w:color="auto"/>
              <w:right w:val="single" w:sz="6" w:space="0" w:color="auto"/>
            </w:tcBorders>
            <w:vAlign w:val="bottom"/>
          </w:tcPr>
          <w:p w:rsidR="004C1361" w:rsidRPr="00B74A55" w:rsidRDefault="004C1361" w:rsidP="004C1361">
            <w:pPr>
              <w:rPr>
                <w:sz w:val="22"/>
              </w:rPr>
            </w:pPr>
            <w:r w:rsidRPr="00B74A55">
              <w:rPr>
                <w:sz w:val="22"/>
              </w:rPr>
              <w:t>га</w:t>
            </w:r>
          </w:p>
        </w:tc>
        <w:tc>
          <w:tcPr>
            <w:tcW w:w="1985" w:type="dxa"/>
            <w:gridSpan w:val="2"/>
            <w:tcBorders>
              <w:top w:val="single" w:sz="4" w:space="0" w:color="auto"/>
              <w:left w:val="single" w:sz="6" w:space="0" w:color="auto"/>
              <w:bottom w:val="single" w:sz="4" w:space="0" w:color="auto"/>
              <w:right w:val="single" w:sz="6" w:space="0" w:color="auto"/>
            </w:tcBorders>
          </w:tcPr>
          <w:p w:rsidR="004C1361" w:rsidRPr="00B74A55" w:rsidRDefault="004C1361" w:rsidP="004C1361">
            <w:pPr>
              <w:rPr>
                <w:sz w:val="22"/>
              </w:rPr>
            </w:pPr>
            <w:r w:rsidRPr="00B74A55">
              <w:rPr>
                <w:sz w:val="22"/>
              </w:rPr>
              <w:t>0,9</w:t>
            </w:r>
          </w:p>
        </w:tc>
      </w:tr>
      <w:tr w:rsidR="004C1361" w:rsidRPr="00B74A55" w:rsidTr="00C161F9">
        <w:trPr>
          <w:trHeight w:val="1186"/>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r w:rsidRPr="00B74A55">
              <w:rPr>
                <w:rFonts w:eastAsia="Calibri"/>
                <w:b/>
                <w:color w:val="000000"/>
                <w:sz w:val="22"/>
              </w:rPr>
              <w:t>Ключові заходи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1.Обстеження стану прилеглої до закладу території.</w:t>
            </w:r>
          </w:p>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 xml:space="preserve">2.Підготовка </w:t>
            </w:r>
            <w:proofErr w:type="spellStart"/>
            <w:r w:rsidRPr="00B74A55">
              <w:rPr>
                <w:rFonts w:eastAsia="Calibri"/>
                <w:color w:val="000000"/>
                <w:sz w:val="22"/>
              </w:rPr>
              <w:t>про</w:t>
            </w:r>
            <w:r w:rsidR="00AE570F" w:rsidRPr="00B74A55">
              <w:rPr>
                <w:rFonts w:eastAsia="Calibri"/>
                <w:color w:val="000000"/>
                <w:sz w:val="22"/>
              </w:rPr>
              <w:t>є</w:t>
            </w:r>
            <w:r w:rsidRPr="00B74A55">
              <w:rPr>
                <w:rFonts w:eastAsia="Calibri"/>
                <w:color w:val="000000"/>
                <w:sz w:val="22"/>
              </w:rPr>
              <w:t>ктно</w:t>
            </w:r>
            <w:proofErr w:type="spellEnd"/>
            <w:r w:rsidRPr="00B74A55">
              <w:rPr>
                <w:rFonts w:eastAsia="Calibri"/>
                <w:color w:val="000000"/>
                <w:sz w:val="22"/>
              </w:rPr>
              <w:t>-кошторисної документації.</w:t>
            </w:r>
          </w:p>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 xml:space="preserve">3. Санітарна обрізка дерев, висадка молодих дерев, кущів, трав'яних газонів. </w:t>
            </w:r>
          </w:p>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4. Реконструкція та осучаснення асфальтованого покриття на прогулянкових ділянках, спортивному майданчику та майданчику для свят і розваг.</w:t>
            </w:r>
          </w:p>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 xml:space="preserve">5.Відновлення зовнішнього освітлення з застосуванням прожекторів на сонячних </w:t>
            </w:r>
            <w:proofErr w:type="spellStart"/>
            <w:r w:rsidRPr="00B74A55">
              <w:rPr>
                <w:rFonts w:eastAsia="Calibri"/>
                <w:color w:val="000000"/>
                <w:sz w:val="22"/>
              </w:rPr>
              <w:t>батареях</w:t>
            </w:r>
            <w:proofErr w:type="spellEnd"/>
            <w:r w:rsidRPr="00B74A55">
              <w:rPr>
                <w:rFonts w:eastAsia="Calibri"/>
                <w:color w:val="000000"/>
                <w:sz w:val="22"/>
              </w:rPr>
              <w:t xml:space="preserve">. </w:t>
            </w:r>
          </w:p>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6.Демонтаж старого, ігрового та спортивного обладнання.</w:t>
            </w:r>
          </w:p>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lastRenderedPageBreak/>
              <w:t xml:space="preserve">7. Придбання і </w:t>
            </w:r>
            <w:proofErr w:type="spellStart"/>
            <w:r w:rsidRPr="00B74A55">
              <w:rPr>
                <w:rFonts w:eastAsia="Calibri"/>
                <w:color w:val="000000"/>
                <w:sz w:val="22"/>
              </w:rPr>
              <w:t>встановленн</w:t>
            </w:r>
            <w:proofErr w:type="spellEnd"/>
            <w:r w:rsidRPr="00B74A55">
              <w:rPr>
                <w:rFonts w:eastAsia="Calibri"/>
                <w:color w:val="000000"/>
                <w:sz w:val="22"/>
              </w:rPr>
              <w:t xml:space="preserve"> сучасного, </w:t>
            </w:r>
            <w:proofErr w:type="spellStart"/>
            <w:r w:rsidRPr="00B74A55">
              <w:rPr>
                <w:rFonts w:eastAsia="Calibri"/>
                <w:color w:val="000000"/>
                <w:sz w:val="22"/>
              </w:rPr>
              <w:t>беспечного</w:t>
            </w:r>
            <w:proofErr w:type="spellEnd"/>
            <w:r w:rsidRPr="00B74A55">
              <w:rPr>
                <w:rFonts w:eastAsia="Calibri"/>
                <w:color w:val="000000"/>
                <w:sz w:val="22"/>
              </w:rPr>
              <w:t xml:space="preserve"> ігрового та спортивного обладнання для прогулянкових ділянок, спортивного майданчика, майданчика для свят і розваг.</w:t>
            </w:r>
          </w:p>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 xml:space="preserve"> 8. Відновлення системи поливу.</w:t>
            </w:r>
          </w:p>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 xml:space="preserve"> 9.Демонтаж пошкодженої огорожі Ясел-садка.</w:t>
            </w:r>
          </w:p>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 xml:space="preserve">10. Встановлення  нової огорожі, воріт та </w:t>
            </w:r>
            <w:proofErr w:type="spellStart"/>
            <w:r w:rsidRPr="00B74A55">
              <w:rPr>
                <w:rFonts w:eastAsia="Calibri"/>
                <w:color w:val="000000"/>
                <w:sz w:val="22"/>
              </w:rPr>
              <w:t>фірток</w:t>
            </w:r>
            <w:proofErr w:type="spellEnd"/>
            <w:r w:rsidRPr="00B74A55">
              <w:rPr>
                <w:rFonts w:eastAsia="Calibri"/>
                <w:color w:val="000000"/>
                <w:sz w:val="22"/>
              </w:rPr>
              <w:t xml:space="preserve"> навколо закладу.</w:t>
            </w:r>
          </w:p>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 xml:space="preserve">11. Реконструкція 9 -ти прогулянкових </w:t>
            </w:r>
            <w:proofErr w:type="spellStart"/>
            <w:r w:rsidRPr="00B74A55">
              <w:rPr>
                <w:rFonts w:eastAsia="Calibri"/>
                <w:color w:val="000000"/>
                <w:sz w:val="22"/>
              </w:rPr>
              <w:t>павілйонів</w:t>
            </w:r>
            <w:proofErr w:type="spellEnd"/>
            <w:r w:rsidRPr="00B74A55">
              <w:rPr>
                <w:rFonts w:eastAsia="Calibri"/>
                <w:color w:val="000000"/>
                <w:sz w:val="22"/>
              </w:rPr>
              <w:t>.</w:t>
            </w:r>
            <w:r w:rsidRPr="00B74A55">
              <w:rPr>
                <w:rFonts w:eastAsia="Calibri"/>
                <w:color w:val="000000"/>
                <w:sz w:val="22"/>
              </w:rPr>
              <w:tab/>
            </w:r>
          </w:p>
          <w:p w:rsidR="004C1361" w:rsidRPr="00B74A55" w:rsidRDefault="004C1361" w:rsidP="004C1361">
            <w:pPr>
              <w:autoSpaceDE w:val="0"/>
              <w:autoSpaceDN w:val="0"/>
              <w:adjustRightInd w:val="0"/>
              <w:rPr>
                <w:rFonts w:eastAsia="Calibri"/>
                <w:color w:val="FF0000"/>
                <w:sz w:val="22"/>
              </w:rPr>
            </w:pPr>
            <w:r w:rsidRPr="00B74A55">
              <w:rPr>
                <w:rFonts w:eastAsia="Calibri"/>
                <w:color w:val="000000"/>
                <w:sz w:val="22"/>
              </w:rPr>
              <w:t>12.Отримання мешканцями громади якісних освітніх послуг, які відповідають сучасним вимогам.</w:t>
            </w:r>
          </w:p>
        </w:tc>
      </w:tr>
      <w:tr w:rsidR="00C161F9" w:rsidRPr="00B74A55" w:rsidTr="00CF4B4F">
        <w:trPr>
          <w:trHeight w:val="565"/>
        </w:trPr>
        <w:tc>
          <w:tcPr>
            <w:tcW w:w="3007" w:type="dxa"/>
            <w:vMerge w:val="restart"/>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161F9" w:rsidRPr="00B74A55" w:rsidRDefault="00C161F9" w:rsidP="004C1361">
            <w:pPr>
              <w:autoSpaceDE w:val="0"/>
              <w:autoSpaceDN w:val="0"/>
              <w:adjustRightInd w:val="0"/>
              <w:rPr>
                <w:rFonts w:eastAsia="Calibri"/>
                <w:b/>
                <w:color w:val="000000"/>
                <w:sz w:val="22"/>
              </w:rPr>
            </w:pPr>
            <w:r w:rsidRPr="00B74A55">
              <w:rPr>
                <w:rFonts w:eastAsia="Calibri"/>
                <w:b/>
                <w:color w:val="000000"/>
                <w:sz w:val="22"/>
              </w:rPr>
              <w:lastRenderedPageBreak/>
              <w:t>Орієнтовний обсяг та джерела фінансування тис. гривень</w:t>
            </w:r>
          </w:p>
        </w:tc>
        <w:tc>
          <w:tcPr>
            <w:tcW w:w="1276" w:type="dxa"/>
            <w:vMerge w:val="restart"/>
            <w:tcBorders>
              <w:top w:val="single" w:sz="6" w:space="0" w:color="auto"/>
              <w:left w:val="single" w:sz="6" w:space="0" w:color="auto"/>
              <w:bottom w:val="single" w:sz="6" w:space="0" w:color="auto"/>
              <w:right w:val="single" w:sz="6" w:space="0" w:color="auto"/>
            </w:tcBorders>
          </w:tcPr>
          <w:p w:rsidR="00C161F9" w:rsidRPr="00B74A55" w:rsidRDefault="00C161F9" w:rsidP="004C1361">
            <w:pPr>
              <w:autoSpaceDE w:val="0"/>
              <w:autoSpaceDN w:val="0"/>
              <w:adjustRightInd w:val="0"/>
              <w:rPr>
                <w:rFonts w:eastAsia="Calibri"/>
                <w:color w:val="000000"/>
                <w:sz w:val="22"/>
              </w:rPr>
            </w:pPr>
            <w:r w:rsidRPr="00B74A55">
              <w:rPr>
                <w:rFonts w:eastAsia="Calibri"/>
                <w:color w:val="000000"/>
                <w:sz w:val="22"/>
              </w:rPr>
              <w:t>Державний бюджет</w:t>
            </w:r>
          </w:p>
        </w:tc>
        <w:tc>
          <w:tcPr>
            <w:tcW w:w="1134" w:type="dxa"/>
            <w:vMerge w:val="restart"/>
            <w:tcBorders>
              <w:top w:val="single" w:sz="6" w:space="0" w:color="auto"/>
              <w:left w:val="single" w:sz="6" w:space="0" w:color="auto"/>
              <w:bottom w:val="single" w:sz="6" w:space="0" w:color="auto"/>
              <w:right w:val="single" w:sz="6" w:space="0" w:color="auto"/>
            </w:tcBorders>
          </w:tcPr>
          <w:p w:rsidR="00C161F9" w:rsidRPr="00B74A55" w:rsidRDefault="00C161F9" w:rsidP="004C1361">
            <w:pPr>
              <w:autoSpaceDE w:val="0"/>
              <w:autoSpaceDN w:val="0"/>
              <w:adjustRightInd w:val="0"/>
              <w:rPr>
                <w:rFonts w:eastAsia="Calibri"/>
                <w:color w:val="000000"/>
                <w:sz w:val="22"/>
              </w:rPr>
            </w:pPr>
            <w:r w:rsidRPr="00B74A55">
              <w:rPr>
                <w:rFonts w:eastAsia="Calibri"/>
                <w:color w:val="000000"/>
                <w:sz w:val="22"/>
              </w:rPr>
              <w:t>Місцевий бюджет</w:t>
            </w:r>
          </w:p>
        </w:tc>
        <w:tc>
          <w:tcPr>
            <w:tcW w:w="2791" w:type="dxa"/>
            <w:gridSpan w:val="4"/>
            <w:tcBorders>
              <w:top w:val="single" w:sz="6" w:space="0" w:color="auto"/>
              <w:left w:val="single" w:sz="6" w:space="0" w:color="auto"/>
              <w:bottom w:val="single" w:sz="6" w:space="0" w:color="auto"/>
              <w:right w:val="single" w:sz="6" w:space="0" w:color="auto"/>
            </w:tcBorders>
          </w:tcPr>
          <w:p w:rsidR="00C161F9" w:rsidRPr="00B74A55" w:rsidRDefault="00C161F9" w:rsidP="004C1361">
            <w:pPr>
              <w:autoSpaceDE w:val="0"/>
              <w:autoSpaceDN w:val="0"/>
              <w:adjustRightInd w:val="0"/>
              <w:rPr>
                <w:rFonts w:eastAsia="Calibri"/>
                <w:color w:val="000000"/>
                <w:sz w:val="22"/>
              </w:rPr>
            </w:pPr>
            <w:r w:rsidRPr="00B74A55">
              <w:rPr>
                <w:rFonts w:eastAsia="Calibri"/>
                <w:color w:val="000000"/>
                <w:sz w:val="22"/>
              </w:rPr>
              <w:t>Інші джерела</w:t>
            </w:r>
          </w:p>
        </w:tc>
        <w:tc>
          <w:tcPr>
            <w:tcW w:w="1745" w:type="dxa"/>
            <w:vMerge w:val="restart"/>
            <w:tcBorders>
              <w:top w:val="single" w:sz="6" w:space="0" w:color="auto"/>
              <w:left w:val="single" w:sz="6" w:space="0" w:color="auto"/>
              <w:right w:val="single" w:sz="6" w:space="0" w:color="auto"/>
            </w:tcBorders>
          </w:tcPr>
          <w:p w:rsidR="00C161F9" w:rsidRPr="00B74A55" w:rsidRDefault="00C161F9" w:rsidP="004C1361">
            <w:pPr>
              <w:autoSpaceDE w:val="0"/>
              <w:autoSpaceDN w:val="0"/>
              <w:adjustRightInd w:val="0"/>
              <w:rPr>
                <w:rFonts w:eastAsia="Calibri"/>
                <w:color w:val="000000"/>
                <w:sz w:val="22"/>
              </w:rPr>
            </w:pPr>
            <w:r w:rsidRPr="00B74A55">
              <w:rPr>
                <w:rFonts w:eastAsia="Calibri"/>
                <w:color w:val="000000"/>
                <w:sz w:val="22"/>
              </w:rPr>
              <w:t>Всього</w:t>
            </w:r>
          </w:p>
        </w:tc>
      </w:tr>
      <w:tr w:rsidR="00C161F9" w:rsidRPr="00B74A55" w:rsidTr="00CF4B4F">
        <w:trPr>
          <w:trHeight w:val="329"/>
        </w:trPr>
        <w:tc>
          <w:tcPr>
            <w:tcW w:w="3007" w:type="dxa"/>
            <w:vMerge/>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161F9" w:rsidRPr="00B74A55" w:rsidRDefault="00C161F9" w:rsidP="004C1361">
            <w:pPr>
              <w:autoSpaceDE w:val="0"/>
              <w:autoSpaceDN w:val="0"/>
              <w:adjustRightInd w:val="0"/>
              <w:rPr>
                <w:rFonts w:eastAsia="Calibri"/>
                <w:b/>
                <w:color w:val="000000"/>
                <w:sz w:val="22"/>
              </w:rPr>
            </w:pPr>
          </w:p>
        </w:tc>
        <w:tc>
          <w:tcPr>
            <w:tcW w:w="1276" w:type="dxa"/>
            <w:vMerge/>
            <w:tcBorders>
              <w:top w:val="single" w:sz="6" w:space="0" w:color="auto"/>
              <w:left w:val="single" w:sz="6" w:space="0" w:color="auto"/>
              <w:bottom w:val="single" w:sz="6" w:space="0" w:color="auto"/>
              <w:right w:val="single" w:sz="6" w:space="0" w:color="auto"/>
            </w:tcBorders>
          </w:tcPr>
          <w:p w:rsidR="00C161F9" w:rsidRPr="00B74A55" w:rsidRDefault="00C161F9" w:rsidP="004C1361">
            <w:pPr>
              <w:autoSpaceDE w:val="0"/>
              <w:autoSpaceDN w:val="0"/>
              <w:adjustRightInd w:val="0"/>
              <w:rPr>
                <w:rFonts w:eastAsia="Calibri"/>
                <w:color w:val="000000"/>
                <w:sz w:val="22"/>
              </w:rPr>
            </w:pPr>
          </w:p>
        </w:tc>
        <w:tc>
          <w:tcPr>
            <w:tcW w:w="1134" w:type="dxa"/>
            <w:vMerge/>
            <w:tcBorders>
              <w:top w:val="single" w:sz="6" w:space="0" w:color="auto"/>
              <w:left w:val="single" w:sz="6" w:space="0" w:color="auto"/>
              <w:bottom w:val="single" w:sz="6" w:space="0" w:color="auto"/>
              <w:right w:val="single" w:sz="6" w:space="0" w:color="auto"/>
            </w:tcBorders>
          </w:tcPr>
          <w:p w:rsidR="00C161F9" w:rsidRPr="00B74A55" w:rsidRDefault="00C161F9" w:rsidP="004C1361">
            <w:pPr>
              <w:autoSpaceDE w:val="0"/>
              <w:autoSpaceDN w:val="0"/>
              <w:adjustRightInd w:val="0"/>
              <w:rPr>
                <w:rFonts w:eastAsia="Calibri"/>
                <w:color w:val="000000"/>
                <w:sz w:val="22"/>
              </w:rPr>
            </w:pPr>
          </w:p>
        </w:tc>
        <w:tc>
          <w:tcPr>
            <w:tcW w:w="1512" w:type="dxa"/>
            <w:gridSpan w:val="2"/>
            <w:tcBorders>
              <w:top w:val="single" w:sz="6" w:space="0" w:color="auto"/>
              <w:left w:val="single" w:sz="6" w:space="0" w:color="auto"/>
              <w:bottom w:val="single" w:sz="6" w:space="0" w:color="auto"/>
              <w:right w:val="single" w:sz="6" w:space="0" w:color="auto"/>
            </w:tcBorders>
          </w:tcPr>
          <w:p w:rsidR="00C161F9" w:rsidRPr="00B74A55" w:rsidRDefault="00C161F9" w:rsidP="004C1361">
            <w:pPr>
              <w:autoSpaceDE w:val="0"/>
              <w:autoSpaceDN w:val="0"/>
              <w:adjustRightInd w:val="0"/>
              <w:rPr>
                <w:rFonts w:eastAsia="Calibri"/>
                <w:color w:val="000000"/>
                <w:sz w:val="22"/>
              </w:rPr>
            </w:pPr>
            <w:r w:rsidRPr="00B74A55">
              <w:rPr>
                <w:rFonts w:eastAsia="Calibri"/>
                <w:color w:val="000000"/>
                <w:sz w:val="22"/>
              </w:rPr>
              <w:t>Обсяг</w:t>
            </w:r>
          </w:p>
        </w:tc>
        <w:tc>
          <w:tcPr>
            <w:tcW w:w="1279" w:type="dxa"/>
            <w:gridSpan w:val="2"/>
            <w:tcBorders>
              <w:top w:val="single" w:sz="6" w:space="0" w:color="auto"/>
              <w:left w:val="single" w:sz="6" w:space="0" w:color="auto"/>
              <w:bottom w:val="single" w:sz="6" w:space="0" w:color="auto"/>
              <w:right w:val="single" w:sz="6" w:space="0" w:color="auto"/>
            </w:tcBorders>
          </w:tcPr>
          <w:p w:rsidR="00C161F9" w:rsidRPr="00B74A55" w:rsidRDefault="00C161F9" w:rsidP="004C1361">
            <w:pPr>
              <w:autoSpaceDE w:val="0"/>
              <w:autoSpaceDN w:val="0"/>
              <w:adjustRightInd w:val="0"/>
              <w:rPr>
                <w:rFonts w:eastAsia="Calibri"/>
                <w:color w:val="000000"/>
                <w:sz w:val="22"/>
              </w:rPr>
            </w:pPr>
            <w:r w:rsidRPr="00B74A55">
              <w:rPr>
                <w:rFonts w:eastAsia="Calibri"/>
                <w:color w:val="000000"/>
                <w:sz w:val="22"/>
              </w:rPr>
              <w:t>Назва джерела</w:t>
            </w:r>
          </w:p>
        </w:tc>
        <w:tc>
          <w:tcPr>
            <w:tcW w:w="1745" w:type="dxa"/>
            <w:vMerge/>
            <w:tcBorders>
              <w:left w:val="single" w:sz="6" w:space="0" w:color="auto"/>
              <w:bottom w:val="single" w:sz="6" w:space="0" w:color="auto"/>
              <w:right w:val="single" w:sz="6" w:space="0" w:color="auto"/>
            </w:tcBorders>
          </w:tcPr>
          <w:p w:rsidR="00C161F9" w:rsidRPr="00B74A55" w:rsidRDefault="00C161F9" w:rsidP="004C1361">
            <w:pPr>
              <w:autoSpaceDE w:val="0"/>
              <w:autoSpaceDN w:val="0"/>
              <w:adjustRightInd w:val="0"/>
              <w:rPr>
                <w:rFonts w:eastAsia="Calibri"/>
                <w:color w:val="000000"/>
                <w:sz w:val="22"/>
              </w:rPr>
            </w:pPr>
          </w:p>
        </w:tc>
      </w:tr>
      <w:tr w:rsidR="004C1361" w:rsidRPr="00B74A55" w:rsidTr="00C161F9">
        <w:trPr>
          <w:trHeight w:val="61"/>
        </w:trPr>
        <w:tc>
          <w:tcPr>
            <w:tcW w:w="3007" w:type="dxa"/>
            <w:vMerge/>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p>
        </w:tc>
        <w:tc>
          <w:tcPr>
            <w:tcW w:w="1276" w:type="dxa"/>
            <w:vMerge/>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p>
        </w:tc>
        <w:tc>
          <w:tcPr>
            <w:tcW w:w="1134" w:type="dxa"/>
            <w:vMerge/>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p>
        </w:tc>
        <w:tc>
          <w:tcPr>
            <w:tcW w:w="1512" w:type="dxa"/>
            <w:gridSpan w:val="2"/>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4 940, 000</w:t>
            </w:r>
          </w:p>
        </w:tc>
        <w:tc>
          <w:tcPr>
            <w:tcW w:w="1279" w:type="dxa"/>
            <w:gridSpan w:val="2"/>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r w:rsidRPr="00B74A55">
              <w:rPr>
                <w:rFonts w:eastAsia="Calibri"/>
                <w:sz w:val="22"/>
              </w:rPr>
              <w:t>Міжнародні</w:t>
            </w:r>
            <w:r w:rsidRPr="00B74A55">
              <w:rPr>
                <w:rFonts w:eastAsia="Calibri"/>
                <w:color w:val="000000"/>
                <w:sz w:val="22"/>
              </w:rPr>
              <w:t xml:space="preserve"> інвестиції</w:t>
            </w:r>
          </w:p>
          <w:p w:rsidR="004C1361" w:rsidRPr="00B74A55" w:rsidRDefault="004C1361" w:rsidP="004C1361">
            <w:pPr>
              <w:autoSpaceDE w:val="0"/>
              <w:autoSpaceDN w:val="0"/>
              <w:adjustRightInd w:val="0"/>
              <w:rPr>
                <w:rFonts w:eastAsia="Calibri"/>
                <w:color w:val="FF0000"/>
                <w:sz w:val="22"/>
              </w:rPr>
            </w:pPr>
          </w:p>
        </w:tc>
        <w:tc>
          <w:tcPr>
            <w:tcW w:w="1745" w:type="dxa"/>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4 940, 000</w:t>
            </w:r>
          </w:p>
        </w:tc>
      </w:tr>
    </w:tbl>
    <w:p w:rsidR="00CA74F8" w:rsidRPr="00B74A55" w:rsidRDefault="00CA74F8" w:rsidP="00E33AAA">
      <w:pPr>
        <w:tabs>
          <w:tab w:val="left" w:pos="5290"/>
        </w:tabs>
        <w:rPr>
          <w:b/>
          <w:sz w:val="22"/>
          <w:szCs w:val="22"/>
        </w:rPr>
      </w:pPr>
    </w:p>
    <w:p w:rsidR="00C161F9" w:rsidRPr="00B74A55" w:rsidRDefault="00C161F9" w:rsidP="00E33AAA">
      <w:pPr>
        <w:tabs>
          <w:tab w:val="left" w:pos="5290"/>
        </w:tabs>
        <w:rPr>
          <w:b/>
          <w:sz w:val="22"/>
          <w:szCs w:val="22"/>
        </w:rPr>
      </w:pPr>
    </w:p>
    <w:tbl>
      <w:tblPr>
        <w:tblpPr w:leftFromText="180" w:rightFromText="180" w:vertAnchor="text" w:horzAnchor="page" w:tblpX="1" w:tblpY="123"/>
        <w:tblW w:w="11370" w:type="dxa"/>
        <w:tblLayout w:type="fixed"/>
        <w:tblCellMar>
          <w:left w:w="30" w:type="dxa"/>
          <w:right w:w="30" w:type="dxa"/>
        </w:tblCellMar>
        <w:tblLook w:val="0000" w:firstRow="0" w:lastRow="0" w:firstColumn="0" w:lastColumn="0" w:noHBand="0" w:noVBand="0"/>
      </w:tblPr>
      <w:tblGrid>
        <w:gridCol w:w="1448"/>
        <w:gridCol w:w="2833"/>
        <w:gridCol w:w="1842"/>
        <w:gridCol w:w="1278"/>
        <w:gridCol w:w="1138"/>
        <w:gridCol w:w="563"/>
        <w:gridCol w:w="851"/>
        <w:gridCol w:w="1417"/>
      </w:tblGrid>
      <w:tr w:rsidR="00C161F9" w:rsidRPr="00B74A55" w:rsidTr="00C161F9">
        <w:trPr>
          <w:trHeight w:val="405"/>
        </w:trPr>
        <w:tc>
          <w:tcPr>
            <w:tcW w:w="1448" w:type="dxa"/>
            <w:tcBorders>
              <w:top w:val="nil"/>
              <w:left w:val="nil"/>
              <w:bottom w:val="nil"/>
              <w:right w:val="nil"/>
            </w:tcBorders>
          </w:tcPr>
          <w:p w:rsidR="00C161F9" w:rsidRPr="00B74A55" w:rsidRDefault="00C161F9" w:rsidP="00CF4B4F">
            <w:pPr>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161F9" w:rsidRPr="00B74A55" w:rsidRDefault="00C161F9" w:rsidP="00CF4B4F">
            <w:pPr>
              <w:autoSpaceDE w:val="0"/>
              <w:autoSpaceDN w:val="0"/>
              <w:adjustRightInd w:val="0"/>
              <w:rPr>
                <w:rFonts w:eastAsia="Calibri"/>
                <w:b/>
                <w:color w:val="000000"/>
                <w:sz w:val="22"/>
              </w:rPr>
            </w:pPr>
            <w:r w:rsidRPr="00B74A55">
              <w:rPr>
                <w:rFonts w:eastAsia="Calibri"/>
                <w:b/>
                <w:color w:val="000000"/>
                <w:sz w:val="22"/>
              </w:rPr>
              <w:t>Оперативна ціль/завдання</w:t>
            </w:r>
          </w:p>
        </w:tc>
        <w:tc>
          <w:tcPr>
            <w:tcW w:w="7089" w:type="dxa"/>
            <w:gridSpan w:val="6"/>
            <w:tcBorders>
              <w:top w:val="single" w:sz="6" w:space="0" w:color="auto"/>
              <w:left w:val="single" w:sz="6" w:space="0" w:color="auto"/>
              <w:bottom w:val="single" w:sz="6" w:space="0" w:color="auto"/>
              <w:right w:val="single" w:sz="6" w:space="0" w:color="auto"/>
            </w:tcBorders>
          </w:tcPr>
          <w:p w:rsidR="00C161F9" w:rsidRPr="00B74A55" w:rsidRDefault="00C161F9" w:rsidP="00CF4B4F">
            <w:pPr>
              <w:autoSpaceDE w:val="0"/>
              <w:autoSpaceDN w:val="0"/>
              <w:adjustRightInd w:val="0"/>
              <w:rPr>
                <w:rFonts w:eastAsia="Calibri"/>
                <w:color w:val="000000"/>
                <w:sz w:val="22"/>
              </w:rPr>
            </w:pPr>
            <w:r w:rsidRPr="00B74A55">
              <w:rPr>
                <w:rFonts w:eastAsia="Calibri"/>
                <w:color w:val="000000"/>
                <w:sz w:val="22"/>
              </w:rPr>
              <w:t>Людський розвиток через інновації управління та довіру до влади. Формування сучасного інклюзивного та спортивного простору для розвитку.</w:t>
            </w:r>
            <w:r w:rsidRPr="00B74A55">
              <w:rPr>
                <w:rFonts w:eastAsia="Calibri"/>
                <w:color w:val="000000"/>
                <w:sz w:val="22"/>
              </w:rPr>
              <w:tab/>
            </w:r>
            <w:r w:rsidRPr="00B74A55">
              <w:rPr>
                <w:rFonts w:eastAsia="Calibri"/>
                <w:color w:val="000000"/>
                <w:sz w:val="22"/>
              </w:rPr>
              <w:tab/>
            </w:r>
            <w:r w:rsidRPr="00B74A55">
              <w:rPr>
                <w:rFonts w:eastAsia="Calibri"/>
                <w:color w:val="000000"/>
                <w:sz w:val="22"/>
              </w:rPr>
              <w:tab/>
            </w:r>
          </w:p>
        </w:tc>
      </w:tr>
      <w:tr w:rsidR="00C161F9" w:rsidRPr="00B74A55" w:rsidTr="00C161F9">
        <w:trPr>
          <w:trHeight w:val="691"/>
        </w:trPr>
        <w:tc>
          <w:tcPr>
            <w:tcW w:w="1448" w:type="dxa"/>
            <w:tcBorders>
              <w:top w:val="nil"/>
              <w:left w:val="nil"/>
              <w:bottom w:val="nil"/>
              <w:right w:val="nil"/>
            </w:tcBorders>
          </w:tcPr>
          <w:p w:rsidR="00C161F9" w:rsidRPr="00B74A55" w:rsidRDefault="00C161F9" w:rsidP="00CF4B4F">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161F9" w:rsidRPr="00B74A55" w:rsidRDefault="00C161F9" w:rsidP="00CF4B4F">
            <w:pPr>
              <w:autoSpaceDE w:val="0"/>
              <w:autoSpaceDN w:val="0"/>
              <w:adjustRightInd w:val="0"/>
              <w:rPr>
                <w:rFonts w:eastAsia="Calibri"/>
                <w:b/>
                <w:color w:val="000000"/>
                <w:sz w:val="22"/>
              </w:rPr>
            </w:pPr>
            <w:r w:rsidRPr="00B74A55">
              <w:rPr>
                <w:rFonts w:eastAsia="Calibri"/>
                <w:b/>
                <w:color w:val="000000"/>
                <w:sz w:val="22"/>
              </w:rPr>
              <w:t>Назва проекту:</w:t>
            </w:r>
          </w:p>
        </w:tc>
        <w:tc>
          <w:tcPr>
            <w:tcW w:w="7089" w:type="dxa"/>
            <w:gridSpan w:val="6"/>
            <w:tcBorders>
              <w:top w:val="single" w:sz="6" w:space="0" w:color="auto"/>
              <w:left w:val="single" w:sz="6" w:space="0" w:color="auto"/>
              <w:bottom w:val="single" w:sz="6" w:space="0" w:color="auto"/>
              <w:right w:val="single" w:sz="6" w:space="0" w:color="auto"/>
            </w:tcBorders>
          </w:tcPr>
          <w:p w:rsidR="00C161F9" w:rsidRPr="00B74A55" w:rsidRDefault="00C161F9" w:rsidP="005967B0">
            <w:pPr>
              <w:autoSpaceDE w:val="0"/>
              <w:autoSpaceDN w:val="0"/>
              <w:adjustRightInd w:val="0"/>
              <w:rPr>
                <w:rFonts w:eastAsia="Calibri"/>
                <w:color w:val="000000"/>
                <w:sz w:val="22"/>
              </w:rPr>
            </w:pPr>
            <w:r w:rsidRPr="00B74A55">
              <w:rPr>
                <w:rFonts w:eastAsia="Calibri"/>
                <w:color w:val="000000"/>
                <w:sz w:val="22"/>
              </w:rPr>
              <w:t>Створення сучасних європейських умов для освітнього процесу з урахуванням індивідуальних потреб дітей дошкільного віку у  Яслах-садку №38 м. Сєвєродонецька Луганської обл., вул. Науки, буд. 10</w:t>
            </w:r>
            <w:r w:rsidRPr="00B74A55">
              <w:rPr>
                <w:rFonts w:eastAsia="Calibri"/>
                <w:color w:val="000000"/>
                <w:sz w:val="22"/>
              </w:rPr>
              <w:tab/>
            </w:r>
            <w:r w:rsidRPr="00B74A55">
              <w:rPr>
                <w:rFonts w:eastAsia="Calibri"/>
                <w:color w:val="000000"/>
                <w:sz w:val="22"/>
              </w:rPr>
              <w:tab/>
            </w:r>
            <w:r w:rsidRPr="00B74A55">
              <w:rPr>
                <w:rFonts w:eastAsia="Calibri"/>
                <w:color w:val="000000"/>
                <w:sz w:val="22"/>
              </w:rPr>
              <w:tab/>
            </w:r>
          </w:p>
        </w:tc>
      </w:tr>
      <w:tr w:rsidR="00C161F9" w:rsidRPr="00B74A55" w:rsidTr="00C161F9">
        <w:trPr>
          <w:trHeight w:val="1109"/>
        </w:trPr>
        <w:tc>
          <w:tcPr>
            <w:tcW w:w="1448" w:type="dxa"/>
            <w:tcBorders>
              <w:top w:val="nil"/>
              <w:left w:val="nil"/>
              <w:bottom w:val="nil"/>
              <w:right w:val="nil"/>
            </w:tcBorders>
          </w:tcPr>
          <w:p w:rsidR="00C161F9" w:rsidRPr="00B74A55" w:rsidRDefault="00C161F9" w:rsidP="00CF4B4F">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161F9" w:rsidRPr="00B74A55" w:rsidRDefault="00C161F9" w:rsidP="00CF4B4F">
            <w:pPr>
              <w:autoSpaceDE w:val="0"/>
              <w:autoSpaceDN w:val="0"/>
              <w:adjustRightInd w:val="0"/>
              <w:rPr>
                <w:rFonts w:eastAsia="Calibri"/>
                <w:b/>
                <w:color w:val="000000"/>
                <w:sz w:val="22"/>
              </w:rPr>
            </w:pPr>
            <w:r w:rsidRPr="00B74A55">
              <w:rPr>
                <w:rFonts w:eastAsia="Calibri"/>
                <w:b/>
                <w:color w:val="000000"/>
                <w:sz w:val="22"/>
              </w:rPr>
              <w:t>Ціль проекту</w:t>
            </w:r>
          </w:p>
        </w:tc>
        <w:tc>
          <w:tcPr>
            <w:tcW w:w="7089" w:type="dxa"/>
            <w:gridSpan w:val="6"/>
            <w:tcBorders>
              <w:top w:val="single" w:sz="6" w:space="0" w:color="auto"/>
              <w:left w:val="single" w:sz="6" w:space="0" w:color="auto"/>
              <w:bottom w:val="single" w:sz="6" w:space="0" w:color="auto"/>
              <w:right w:val="single" w:sz="6" w:space="0" w:color="auto"/>
            </w:tcBorders>
          </w:tcPr>
          <w:p w:rsidR="00C161F9" w:rsidRPr="00B74A55" w:rsidRDefault="00C161F9" w:rsidP="007B0976">
            <w:pPr>
              <w:autoSpaceDE w:val="0"/>
              <w:autoSpaceDN w:val="0"/>
              <w:adjustRightInd w:val="0"/>
              <w:rPr>
                <w:rFonts w:eastAsia="Calibri"/>
                <w:color w:val="000000"/>
                <w:sz w:val="22"/>
              </w:rPr>
            </w:pPr>
            <w:r w:rsidRPr="00B74A55">
              <w:rPr>
                <w:rFonts w:eastAsia="Calibri"/>
                <w:color w:val="000000"/>
                <w:sz w:val="22"/>
              </w:rPr>
              <w:t>Відновити та покращити роботу Ясел-садка №38 для надання освітніх послуг мешканцям Сєвєродонецької територіальної громади. Створити сучасні, комфортні, безпечні умови для перебування у закладі, повноцінного і всебічного розвитку дітей дошкільного віку шляхом забезпечення освітнього процесу відповідними меблями, ігровими, навчальними посібниками, технологічним обладнанням, оргтехнікою, м'яким інвентарем.</w:t>
            </w:r>
            <w:r w:rsidRPr="00B74A55">
              <w:rPr>
                <w:rFonts w:eastAsia="Calibri"/>
                <w:color w:val="000000"/>
                <w:sz w:val="22"/>
              </w:rPr>
              <w:tab/>
            </w:r>
            <w:r w:rsidRPr="00B74A55">
              <w:rPr>
                <w:rFonts w:eastAsia="Calibri"/>
                <w:color w:val="000000"/>
                <w:sz w:val="22"/>
              </w:rPr>
              <w:tab/>
            </w:r>
            <w:r w:rsidRPr="00B74A55">
              <w:rPr>
                <w:rFonts w:eastAsia="Calibri"/>
                <w:color w:val="000000"/>
                <w:sz w:val="22"/>
              </w:rPr>
              <w:tab/>
            </w:r>
          </w:p>
        </w:tc>
      </w:tr>
      <w:tr w:rsidR="00C161F9" w:rsidRPr="00B74A55" w:rsidTr="00C161F9">
        <w:trPr>
          <w:trHeight w:val="290"/>
        </w:trPr>
        <w:tc>
          <w:tcPr>
            <w:tcW w:w="1448" w:type="dxa"/>
            <w:tcBorders>
              <w:top w:val="nil"/>
              <w:left w:val="nil"/>
              <w:bottom w:val="nil"/>
              <w:right w:val="nil"/>
            </w:tcBorders>
          </w:tcPr>
          <w:p w:rsidR="00C161F9" w:rsidRPr="00B74A55" w:rsidRDefault="00C161F9" w:rsidP="00CF4B4F">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161F9" w:rsidRPr="00B74A55" w:rsidRDefault="00C161F9" w:rsidP="00CF4B4F">
            <w:pPr>
              <w:autoSpaceDE w:val="0"/>
              <w:autoSpaceDN w:val="0"/>
              <w:adjustRightInd w:val="0"/>
              <w:rPr>
                <w:rFonts w:eastAsia="Calibri"/>
                <w:b/>
                <w:color w:val="000000"/>
                <w:sz w:val="22"/>
              </w:rPr>
            </w:pPr>
            <w:r w:rsidRPr="00B74A55">
              <w:rPr>
                <w:rFonts w:eastAsia="Calibri"/>
                <w:b/>
                <w:color w:val="000000"/>
                <w:sz w:val="22"/>
              </w:rPr>
              <w:t>Територія, на яку матиме вплив реалізація проекту</w:t>
            </w:r>
          </w:p>
        </w:tc>
        <w:tc>
          <w:tcPr>
            <w:tcW w:w="7089" w:type="dxa"/>
            <w:gridSpan w:val="6"/>
            <w:tcBorders>
              <w:top w:val="single" w:sz="6" w:space="0" w:color="auto"/>
              <w:left w:val="single" w:sz="6" w:space="0" w:color="auto"/>
              <w:bottom w:val="single" w:sz="6" w:space="0" w:color="auto"/>
              <w:right w:val="single" w:sz="6" w:space="0" w:color="auto"/>
            </w:tcBorders>
          </w:tcPr>
          <w:p w:rsidR="00C161F9" w:rsidRPr="00B74A55" w:rsidRDefault="00C161F9" w:rsidP="00CF4B4F">
            <w:pPr>
              <w:autoSpaceDE w:val="0"/>
              <w:autoSpaceDN w:val="0"/>
              <w:adjustRightInd w:val="0"/>
              <w:rPr>
                <w:rFonts w:eastAsia="Calibri"/>
                <w:color w:val="000000"/>
                <w:sz w:val="22"/>
              </w:rPr>
            </w:pPr>
            <w:r w:rsidRPr="00B74A55">
              <w:rPr>
                <w:rFonts w:eastAsia="Calibri"/>
                <w:color w:val="000000"/>
                <w:sz w:val="22"/>
              </w:rPr>
              <w:t>Сєвєродонецька міська територіальна громада</w:t>
            </w:r>
          </w:p>
        </w:tc>
      </w:tr>
      <w:tr w:rsidR="00C161F9" w:rsidRPr="00B74A55" w:rsidTr="00C161F9">
        <w:trPr>
          <w:trHeight w:val="728"/>
        </w:trPr>
        <w:tc>
          <w:tcPr>
            <w:tcW w:w="1448" w:type="dxa"/>
            <w:tcBorders>
              <w:top w:val="nil"/>
              <w:left w:val="nil"/>
              <w:bottom w:val="nil"/>
              <w:right w:val="nil"/>
            </w:tcBorders>
          </w:tcPr>
          <w:p w:rsidR="00C161F9" w:rsidRPr="00B74A55" w:rsidRDefault="00C161F9" w:rsidP="00CF4B4F">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161F9" w:rsidRPr="00B74A55" w:rsidRDefault="00C161F9" w:rsidP="00CF4B4F">
            <w:pPr>
              <w:autoSpaceDE w:val="0"/>
              <w:autoSpaceDN w:val="0"/>
              <w:adjustRightInd w:val="0"/>
              <w:rPr>
                <w:rFonts w:eastAsia="Calibri"/>
                <w:b/>
                <w:color w:val="000000"/>
                <w:sz w:val="22"/>
              </w:rPr>
            </w:pPr>
            <w:r w:rsidRPr="00B74A55">
              <w:rPr>
                <w:rFonts w:eastAsia="Calibri"/>
                <w:b/>
                <w:color w:val="000000"/>
                <w:sz w:val="22"/>
              </w:rPr>
              <w:t>Чисельність населення, на яке матиме вплив реалізація проекту</w:t>
            </w:r>
          </w:p>
        </w:tc>
        <w:tc>
          <w:tcPr>
            <w:tcW w:w="7089" w:type="dxa"/>
            <w:gridSpan w:val="6"/>
            <w:tcBorders>
              <w:top w:val="single" w:sz="6" w:space="0" w:color="auto"/>
              <w:left w:val="single" w:sz="6" w:space="0" w:color="auto"/>
              <w:bottom w:val="single" w:sz="6" w:space="0" w:color="auto"/>
              <w:right w:val="single" w:sz="6" w:space="0" w:color="auto"/>
            </w:tcBorders>
          </w:tcPr>
          <w:p w:rsidR="00C161F9" w:rsidRPr="00B74A55" w:rsidRDefault="00C161F9" w:rsidP="00CF4B4F">
            <w:pPr>
              <w:autoSpaceDE w:val="0"/>
              <w:autoSpaceDN w:val="0"/>
              <w:adjustRightInd w:val="0"/>
              <w:rPr>
                <w:rFonts w:eastAsia="Calibri"/>
                <w:color w:val="000000"/>
                <w:sz w:val="22"/>
              </w:rPr>
            </w:pPr>
            <w:r w:rsidRPr="00B74A55">
              <w:rPr>
                <w:rFonts w:eastAsia="Calibri"/>
                <w:color w:val="000000"/>
                <w:sz w:val="22"/>
              </w:rPr>
              <w:t>70 000  осіб</w:t>
            </w:r>
            <w:r w:rsidRPr="00B74A55">
              <w:rPr>
                <w:rFonts w:eastAsia="Calibri"/>
                <w:color w:val="000000"/>
                <w:sz w:val="22"/>
              </w:rPr>
              <w:tab/>
            </w:r>
            <w:r w:rsidRPr="00B74A55">
              <w:rPr>
                <w:rFonts w:eastAsia="Calibri"/>
                <w:color w:val="000000"/>
                <w:sz w:val="22"/>
              </w:rPr>
              <w:tab/>
            </w:r>
            <w:r w:rsidRPr="00B74A55">
              <w:rPr>
                <w:rFonts w:eastAsia="Calibri"/>
                <w:color w:val="000000"/>
                <w:sz w:val="22"/>
              </w:rPr>
              <w:tab/>
            </w:r>
          </w:p>
        </w:tc>
      </w:tr>
      <w:tr w:rsidR="00C161F9" w:rsidRPr="00B74A55" w:rsidTr="00C161F9">
        <w:trPr>
          <w:trHeight w:val="1261"/>
        </w:trPr>
        <w:tc>
          <w:tcPr>
            <w:tcW w:w="1448" w:type="dxa"/>
            <w:tcBorders>
              <w:top w:val="nil"/>
              <w:left w:val="nil"/>
              <w:bottom w:val="nil"/>
              <w:right w:val="nil"/>
            </w:tcBorders>
          </w:tcPr>
          <w:p w:rsidR="00C161F9" w:rsidRPr="00B74A55" w:rsidRDefault="00C161F9" w:rsidP="00CF4B4F">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161F9" w:rsidRPr="00B74A55" w:rsidRDefault="00C161F9" w:rsidP="00CF4B4F">
            <w:pPr>
              <w:autoSpaceDE w:val="0"/>
              <w:autoSpaceDN w:val="0"/>
              <w:adjustRightInd w:val="0"/>
              <w:rPr>
                <w:rFonts w:eastAsia="Calibri"/>
                <w:b/>
                <w:color w:val="000000"/>
                <w:sz w:val="22"/>
              </w:rPr>
            </w:pPr>
            <w:r w:rsidRPr="00B74A55">
              <w:rPr>
                <w:rFonts w:eastAsia="Calibri"/>
                <w:b/>
                <w:color w:val="000000"/>
                <w:sz w:val="22"/>
              </w:rPr>
              <w:t>Опис проблеми, на вирішення якої спрямований проект</w:t>
            </w:r>
          </w:p>
        </w:tc>
        <w:tc>
          <w:tcPr>
            <w:tcW w:w="7089" w:type="dxa"/>
            <w:gridSpan w:val="6"/>
            <w:tcBorders>
              <w:top w:val="single" w:sz="6" w:space="0" w:color="auto"/>
              <w:left w:val="single" w:sz="6" w:space="0" w:color="auto"/>
              <w:bottom w:val="single" w:sz="6" w:space="0" w:color="auto"/>
              <w:right w:val="single" w:sz="6" w:space="0" w:color="auto"/>
            </w:tcBorders>
          </w:tcPr>
          <w:p w:rsidR="00C161F9" w:rsidRPr="00B74A55" w:rsidRDefault="00C161F9" w:rsidP="007B0976">
            <w:pPr>
              <w:autoSpaceDE w:val="0"/>
              <w:autoSpaceDN w:val="0"/>
              <w:adjustRightInd w:val="0"/>
              <w:rPr>
                <w:rFonts w:eastAsia="Calibri"/>
                <w:color w:val="000000"/>
                <w:sz w:val="22"/>
              </w:rPr>
            </w:pPr>
            <w:r w:rsidRPr="00B74A55">
              <w:rPr>
                <w:rFonts w:eastAsia="Calibri"/>
                <w:color w:val="000000"/>
                <w:sz w:val="22"/>
              </w:rPr>
              <w:t xml:space="preserve">Внаслідок військової агресії з боку </w:t>
            </w:r>
            <w:r w:rsidR="007B0976" w:rsidRPr="00B74A55">
              <w:rPr>
                <w:rFonts w:eastAsia="Calibri"/>
                <w:color w:val="000000"/>
                <w:sz w:val="22"/>
              </w:rPr>
              <w:t>РФ</w:t>
            </w:r>
            <w:r w:rsidRPr="00B74A55">
              <w:rPr>
                <w:rFonts w:eastAsia="Calibri"/>
                <w:color w:val="000000"/>
                <w:sz w:val="22"/>
              </w:rPr>
              <w:t xml:space="preserve"> садок постраждав від обстрілів, зруйновано та розграбовано меблі (стільці для дітей та співробітників, столи для дітей та співробітників, дитячі ліжка, шафи для методичного матеріалу та іграшок, шафи для роздягання дітей та дорослих, </w:t>
            </w:r>
            <w:proofErr w:type="spellStart"/>
            <w:r w:rsidRPr="00B74A55">
              <w:rPr>
                <w:rFonts w:eastAsia="Calibri"/>
                <w:color w:val="000000"/>
                <w:sz w:val="22"/>
              </w:rPr>
              <w:t>скамійки</w:t>
            </w:r>
            <w:proofErr w:type="spellEnd"/>
            <w:r w:rsidRPr="00B74A55">
              <w:rPr>
                <w:rFonts w:eastAsia="Calibri"/>
                <w:color w:val="000000"/>
                <w:sz w:val="22"/>
              </w:rPr>
              <w:t xml:space="preserve"> для приймальних), м'який інвентар (килими, килимові доріжки, матраци, подушки, ковдри, дитяча постільна білизна, рушники), методичний, ігровий матеріал для забезпечення </w:t>
            </w:r>
            <w:proofErr w:type="spellStart"/>
            <w:r w:rsidRPr="00B74A55">
              <w:rPr>
                <w:rFonts w:eastAsia="Calibri"/>
                <w:color w:val="000000"/>
                <w:sz w:val="22"/>
              </w:rPr>
              <w:t>освітньго</w:t>
            </w:r>
            <w:proofErr w:type="spellEnd"/>
            <w:r w:rsidRPr="00B74A55">
              <w:rPr>
                <w:rFonts w:eastAsia="Calibri"/>
                <w:color w:val="000000"/>
                <w:sz w:val="22"/>
              </w:rPr>
              <w:t xml:space="preserve"> процесу (різноманітні ігрові посібники, дидактичний матеріал, модульні конструктори, ігрове обладнання для дітей з особливими освітніми потребами, спортивне обладнання, музичне обладнання), технічні засоби навчання (інтерактивні дошки, проектори, музичні інструменти, акустичні системи), оргтехніка (</w:t>
            </w:r>
            <w:proofErr w:type="spellStart"/>
            <w:r w:rsidRPr="00B74A55">
              <w:rPr>
                <w:rFonts w:eastAsia="Calibri"/>
                <w:color w:val="000000"/>
                <w:sz w:val="22"/>
              </w:rPr>
              <w:t>компьютери</w:t>
            </w:r>
            <w:proofErr w:type="spellEnd"/>
            <w:r w:rsidRPr="00B74A55">
              <w:rPr>
                <w:rFonts w:eastAsia="Calibri"/>
                <w:color w:val="000000"/>
                <w:sz w:val="22"/>
              </w:rPr>
              <w:t xml:space="preserve">, ноутбуки, принтери, </w:t>
            </w:r>
            <w:proofErr w:type="spellStart"/>
            <w:r w:rsidRPr="00B74A55">
              <w:rPr>
                <w:rFonts w:eastAsia="Calibri"/>
                <w:color w:val="000000"/>
                <w:sz w:val="22"/>
              </w:rPr>
              <w:t>ламінатори</w:t>
            </w:r>
            <w:proofErr w:type="spellEnd"/>
            <w:r w:rsidRPr="00B74A55">
              <w:rPr>
                <w:rFonts w:eastAsia="Calibri"/>
                <w:color w:val="000000"/>
                <w:sz w:val="22"/>
              </w:rPr>
              <w:t>,), технологічне обладнання для харчоблоку  та пральні. Для повноцінної діяльності закладу виникла потреба у відновленні даного обладнання з урахуванням індивідуальних потреб дітей з особливими освітніми потребами</w:t>
            </w:r>
            <w:r w:rsidR="007B0976" w:rsidRPr="00B74A55">
              <w:rPr>
                <w:rFonts w:eastAsia="Calibri"/>
                <w:color w:val="000000"/>
                <w:sz w:val="22"/>
              </w:rPr>
              <w:t xml:space="preserve"> </w:t>
            </w:r>
            <w:r w:rsidRPr="00B74A55">
              <w:rPr>
                <w:rFonts w:eastAsia="Calibri"/>
                <w:color w:val="000000"/>
                <w:sz w:val="22"/>
              </w:rPr>
              <w:t>і приведенні його якості та функціональності до європейських стандартів.</w:t>
            </w:r>
            <w:r w:rsidRPr="00B74A55">
              <w:rPr>
                <w:rFonts w:eastAsia="Calibri"/>
                <w:color w:val="000000"/>
                <w:sz w:val="22"/>
              </w:rPr>
              <w:tab/>
            </w:r>
            <w:r w:rsidRPr="00B74A55">
              <w:rPr>
                <w:rFonts w:eastAsia="Calibri"/>
                <w:color w:val="000000"/>
                <w:sz w:val="22"/>
              </w:rPr>
              <w:tab/>
            </w:r>
            <w:r w:rsidRPr="00B74A55">
              <w:rPr>
                <w:rFonts w:eastAsia="Calibri"/>
                <w:color w:val="000000"/>
                <w:sz w:val="22"/>
              </w:rPr>
              <w:tab/>
            </w:r>
          </w:p>
        </w:tc>
      </w:tr>
      <w:tr w:rsidR="00C161F9" w:rsidRPr="00B74A55" w:rsidTr="00C161F9">
        <w:trPr>
          <w:trHeight w:val="1265"/>
        </w:trPr>
        <w:tc>
          <w:tcPr>
            <w:tcW w:w="1448" w:type="dxa"/>
            <w:tcBorders>
              <w:top w:val="nil"/>
              <w:left w:val="nil"/>
              <w:bottom w:val="nil"/>
              <w:right w:val="nil"/>
            </w:tcBorders>
          </w:tcPr>
          <w:p w:rsidR="00C161F9" w:rsidRPr="00B74A55" w:rsidRDefault="00C161F9" w:rsidP="00CF4B4F">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161F9" w:rsidRPr="00B74A55" w:rsidRDefault="00C161F9" w:rsidP="00CF4B4F">
            <w:pPr>
              <w:autoSpaceDE w:val="0"/>
              <w:autoSpaceDN w:val="0"/>
              <w:adjustRightInd w:val="0"/>
              <w:rPr>
                <w:rFonts w:eastAsia="Calibri"/>
                <w:b/>
                <w:color w:val="000000"/>
                <w:sz w:val="22"/>
              </w:rPr>
            </w:pPr>
            <w:r w:rsidRPr="00B74A55">
              <w:rPr>
                <w:rFonts w:eastAsia="Calibri"/>
                <w:b/>
                <w:color w:val="000000"/>
                <w:sz w:val="22"/>
              </w:rPr>
              <w:t>Очікувані якісні результати від реалізації проекту</w:t>
            </w:r>
          </w:p>
        </w:tc>
        <w:tc>
          <w:tcPr>
            <w:tcW w:w="7089" w:type="dxa"/>
            <w:gridSpan w:val="6"/>
            <w:tcBorders>
              <w:top w:val="single" w:sz="6" w:space="0" w:color="auto"/>
              <w:left w:val="single" w:sz="6" w:space="0" w:color="auto"/>
              <w:bottom w:val="single" w:sz="6" w:space="0" w:color="auto"/>
              <w:right w:val="single" w:sz="6" w:space="0" w:color="auto"/>
            </w:tcBorders>
          </w:tcPr>
          <w:p w:rsidR="00C161F9" w:rsidRPr="00B74A55" w:rsidRDefault="00C161F9" w:rsidP="007B0976">
            <w:pPr>
              <w:autoSpaceDE w:val="0"/>
              <w:autoSpaceDN w:val="0"/>
              <w:adjustRightInd w:val="0"/>
              <w:rPr>
                <w:rFonts w:eastAsia="Calibri"/>
                <w:color w:val="000000"/>
                <w:sz w:val="22"/>
              </w:rPr>
            </w:pPr>
            <w:r w:rsidRPr="00B74A55">
              <w:rPr>
                <w:rFonts w:eastAsia="Calibri"/>
                <w:color w:val="000000"/>
                <w:sz w:val="22"/>
              </w:rPr>
              <w:t>Створення належних якісних умов для відновлення освітнього процесу, максимального комфорту перебування дітей у Яслах-садку. Приведення матеріально-технічної бази освітніх приміщень до сучасних вимог з урахуванням принципів універсального дизайну та розумного пристосування.</w:t>
            </w:r>
            <w:r w:rsidRPr="00B74A55">
              <w:rPr>
                <w:rFonts w:eastAsia="Calibri"/>
                <w:color w:val="000000"/>
                <w:sz w:val="22"/>
              </w:rPr>
              <w:tab/>
            </w:r>
            <w:r w:rsidRPr="00B74A55">
              <w:rPr>
                <w:rFonts w:eastAsia="Calibri"/>
                <w:color w:val="000000"/>
                <w:sz w:val="22"/>
              </w:rPr>
              <w:tab/>
            </w:r>
            <w:r w:rsidRPr="00B74A55">
              <w:rPr>
                <w:rFonts w:eastAsia="Calibri"/>
                <w:color w:val="000000"/>
                <w:sz w:val="22"/>
              </w:rPr>
              <w:tab/>
            </w:r>
          </w:p>
        </w:tc>
      </w:tr>
      <w:tr w:rsidR="00C161F9" w:rsidRPr="00B74A55" w:rsidTr="00C161F9">
        <w:trPr>
          <w:trHeight w:val="909"/>
        </w:trPr>
        <w:tc>
          <w:tcPr>
            <w:tcW w:w="1448" w:type="dxa"/>
            <w:tcBorders>
              <w:top w:val="nil"/>
              <w:left w:val="nil"/>
              <w:bottom w:val="nil"/>
              <w:right w:val="nil"/>
            </w:tcBorders>
          </w:tcPr>
          <w:p w:rsidR="00C161F9" w:rsidRPr="00B74A55" w:rsidRDefault="00C161F9" w:rsidP="00CF4B4F">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161F9" w:rsidRPr="00B74A55" w:rsidRDefault="00C161F9" w:rsidP="00CF4B4F">
            <w:pPr>
              <w:autoSpaceDE w:val="0"/>
              <w:autoSpaceDN w:val="0"/>
              <w:adjustRightInd w:val="0"/>
              <w:rPr>
                <w:rFonts w:eastAsia="Calibri"/>
                <w:b/>
                <w:color w:val="000000"/>
                <w:sz w:val="22"/>
              </w:rPr>
            </w:pPr>
            <w:r w:rsidRPr="00B74A55">
              <w:rPr>
                <w:rFonts w:eastAsia="Calibri"/>
                <w:b/>
                <w:color w:val="000000"/>
                <w:sz w:val="22"/>
              </w:rPr>
              <w:t>Очікувані кількісні результати від реалізації проекту  (індикатори)</w:t>
            </w:r>
          </w:p>
        </w:tc>
        <w:tc>
          <w:tcPr>
            <w:tcW w:w="3120" w:type="dxa"/>
            <w:gridSpan w:val="2"/>
            <w:tcBorders>
              <w:top w:val="single" w:sz="6" w:space="0" w:color="auto"/>
              <w:left w:val="single" w:sz="6" w:space="0" w:color="auto"/>
              <w:bottom w:val="single" w:sz="6" w:space="0" w:color="auto"/>
              <w:right w:val="single" w:sz="6" w:space="0" w:color="auto"/>
            </w:tcBorders>
          </w:tcPr>
          <w:p w:rsidR="00C161F9" w:rsidRPr="00B74A55" w:rsidRDefault="00C161F9" w:rsidP="00CF4B4F">
            <w:pPr>
              <w:autoSpaceDE w:val="0"/>
              <w:autoSpaceDN w:val="0"/>
              <w:adjustRightInd w:val="0"/>
              <w:rPr>
                <w:rFonts w:eastAsia="Calibri"/>
                <w:b/>
                <w:color w:val="000000"/>
                <w:sz w:val="22"/>
              </w:rPr>
            </w:pPr>
            <w:r w:rsidRPr="00B74A55">
              <w:rPr>
                <w:rFonts w:eastAsia="Calibri"/>
                <w:b/>
                <w:color w:val="000000"/>
                <w:sz w:val="22"/>
              </w:rPr>
              <w:t>Найменування показника</w:t>
            </w:r>
          </w:p>
        </w:tc>
        <w:tc>
          <w:tcPr>
            <w:tcW w:w="1701" w:type="dxa"/>
            <w:gridSpan w:val="2"/>
            <w:tcBorders>
              <w:top w:val="single" w:sz="6" w:space="0" w:color="auto"/>
              <w:left w:val="single" w:sz="6" w:space="0" w:color="auto"/>
              <w:bottom w:val="single" w:sz="6" w:space="0" w:color="auto"/>
              <w:right w:val="single" w:sz="6" w:space="0" w:color="auto"/>
            </w:tcBorders>
          </w:tcPr>
          <w:p w:rsidR="00C161F9" w:rsidRPr="00B74A55" w:rsidRDefault="00C161F9" w:rsidP="00CF4B4F">
            <w:pPr>
              <w:autoSpaceDE w:val="0"/>
              <w:autoSpaceDN w:val="0"/>
              <w:adjustRightInd w:val="0"/>
              <w:rPr>
                <w:rFonts w:eastAsia="Calibri"/>
                <w:b/>
                <w:color w:val="000000"/>
                <w:sz w:val="22"/>
              </w:rPr>
            </w:pPr>
            <w:r w:rsidRPr="00B74A55">
              <w:rPr>
                <w:rFonts w:eastAsia="Calibri"/>
                <w:b/>
                <w:color w:val="000000"/>
                <w:sz w:val="22"/>
              </w:rPr>
              <w:t>Одиниця вимірювання</w:t>
            </w:r>
          </w:p>
        </w:tc>
        <w:tc>
          <w:tcPr>
            <w:tcW w:w="2268" w:type="dxa"/>
            <w:gridSpan w:val="2"/>
            <w:tcBorders>
              <w:top w:val="single" w:sz="6" w:space="0" w:color="auto"/>
              <w:left w:val="single" w:sz="6" w:space="0" w:color="auto"/>
              <w:bottom w:val="single" w:sz="6" w:space="0" w:color="auto"/>
              <w:right w:val="single" w:sz="6" w:space="0" w:color="auto"/>
            </w:tcBorders>
          </w:tcPr>
          <w:p w:rsidR="00C161F9" w:rsidRPr="00B74A55" w:rsidRDefault="00C161F9" w:rsidP="00CF4B4F">
            <w:pPr>
              <w:autoSpaceDE w:val="0"/>
              <w:autoSpaceDN w:val="0"/>
              <w:adjustRightInd w:val="0"/>
              <w:rPr>
                <w:rFonts w:eastAsia="Calibri"/>
                <w:b/>
                <w:color w:val="000000"/>
                <w:sz w:val="22"/>
              </w:rPr>
            </w:pPr>
            <w:r w:rsidRPr="00B74A55">
              <w:rPr>
                <w:rFonts w:eastAsia="Calibri"/>
                <w:b/>
                <w:color w:val="000000"/>
                <w:sz w:val="22"/>
              </w:rPr>
              <w:t>Прогнозне (цільове) значення</w:t>
            </w:r>
          </w:p>
        </w:tc>
      </w:tr>
      <w:tr w:rsidR="00C161F9" w:rsidRPr="00B74A55" w:rsidTr="00C161F9">
        <w:trPr>
          <w:trHeight w:val="552"/>
        </w:trPr>
        <w:tc>
          <w:tcPr>
            <w:tcW w:w="1448" w:type="dxa"/>
            <w:vMerge w:val="restart"/>
            <w:tcBorders>
              <w:top w:val="nil"/>
              <w:left w:val="nil"/>
              <w:right w:val="nil"/>
            </w:tcBorders>
          </w:tcPr>
          <w:p w:rsidR="00C161F9" w:rsidRPr="00B74A55" w:rsidRDefault="00C161F9" w:rsidP="00CF4B4F">
            <w:pPr>
              <w:autoSpaceDE w:val="0"/>
              <w:autoSpaceDN w:val="0"/>
              <w:adjustRightInd w:val="0"/>
              <w:jc w:val="right"/>
              <w:rPr>
                <w:rFonts w:eastAsia="Calibri"/>
                <w:color w:val="000000"/>
                <w:sz w:val="22"/>
              </w:rPr>
            </w:pPr>
          </w:p>
        </w:tc>
        <w:tc>
          <w:tcPr>
            <w:tcW w:w="2833" w:type="dxa"/>
            <w:vMerge w:val="restart"/>
            <w:tcBorders>
              <w:top w:val="single" w:sz="6" w:space="0" w:color="auto"/>
              <w:left w:val="single" w:sz="6" w:space="0" w:color="auto"/>
              <w:right w:val="single" w:sz="6" w:space="0" w:color="auto"/>
            </w:tcBorders>
            <w:shd w:val="clear" w:color="00FFFF" w:fill="C6D9F1" w:themeFill="text2" w:themeFillTint="33"/>
          </w:tcPr>
          <w:p w:rsidR="00C161F9" w:rsidRPr="00B74A55" w:rsidRDefault="00C161F9" w:rsidP="00CF4B4F">
            <w:pPr>
              <w:autoSpaceDE w:val="0"/>
              <w:autoSpaceDN w:val="0"/>
              <w:adjustRightInd w:val="0"/>
              <w:rPr>
                <w:rFonts w:eastAsia="Calibri"/>
                <w:b/>
                <w:color w:val="000000"/>
                <w:sz w:val="22"/>
              </w:rPr>
            </w:pPr>
          </w:p>
        </w:tc>
        <w:tc>
          <w:tcPr>
            <w:tcW w:w="3120" w:type="dxa"/>
            <w:gridSpan w:val="2"/>
            <w:tcBorders>
              <w:top w:val="single" w:sz="6" w:space="0" w:color="auto"/>
              <w:left w:val="single" w:sz="6" w:space="0" w:color="auto"/>
              <w:bottom w:val="single" w:sz="4" w:space="0" w:color="auto"/>
              <w:right w:val="single" w:sz="6" w:space="0" w:color="auto"/>
            </w:tcBorders>
          </w:tcPr>
          <w:p w:rsidR="00C161F9" w:rsidRPr="00B74A55" w:rsidRDefault="00C161F9" w:rsidP="00CF4B4F">
            <w:pPr>
              <w:rPr>
                <w:sz w:val="22"/>
              </w:rPr>
            </w:pPr>
            <w:r w:rsidRPr="00B74A55">
              <w:rPr>
                <w:sz w:val="22"/>
              </w:rPr>
              <w:t>1.Кількість одержувачів дошкільної освіти, в рік.</w:t>
            </w:r>
          </w:p>
        </w:tc>
        <w:tc>
          <w:tcPr>
            <w:tcW w:w="1701" w:type="dxa"/>
            <w:gridSpan w:val="2"/>
            <w:tcBorders>
              <w:top w:val="single" w:sz="6" w:space="0" w:color="auto"/>
              <w:left w:val="single" w:sz="6" w:space="0" w:color="auto"/>
              <w:bottom w:val="single" w:sz="4" w:space="0" w:color="auto"/>
              <w:right w:val="single" w:sz="6" w:space="0" w:color="auto"/>
            </w:tcBorders>
          </w:tcPr>
          <w:p w:rsidR="00C161F9" w:rsidRPr="00B74A55" w:rsidRDefault="00C161F9" w:rsidP="00CF4B4F">
            <w:pPr>
              <w:rPr>
                <w:sz w:val="22"/>
              </w:rPr>
            </w:pPr>
            <w:r w:rsidRPr="00B74A55">
              <w:rPr>
                <w:sz w:val="22"/>
              </w:rPr>
              <w:t>осіб</w:t>
            </w:r>
          </w:p>
        </w:tc>
        <w:tc>
          <w:tcPr>
            <w:tcW w:w="2268" w:type="dxa"/>
            <w:gridSpan w:val="2"/>
            <w:tcBorders>
              <w:top w:val="single" w:sz="6" w:space="0" w:color="auto"/>
              <w:left w:val="single" w:sz="6" w:space="0" w:color="auto"/>
              <w:bottom w:val="single" w:sz="4" w:space="0" w:color="auto"/>
              <w:right w:val="single" w:sz="6" w:space="0" w:color="auto"/>
            </w:tcBorders>
          </w:tcPr>
          <w:p w:rsidR="00C161F9" w:rsidRPr="00B74A55" w:rsidRDefault="00C161F9" w:rsidP="00CF4B4F">
            <w:pPr>
              <w:rPr>
                <w:sz w:val="22"/>
              </w:rPr>
            </w:pPr>
            <w:r w:rsidRPr="00B74A55">
              <w:rPr>
                <w:sz w:val="22"/>
              </w:rPr>
              <w:t xml:space="preserve">240 </w:t>
            </w:r>
          </w:p>
          <w:p w:rsidR="00C161F9" w:rsidRPr="00B74A55" w:rsidRDefault="00C161F9" w:rsidP="00C161F9">
            <w:pPr>
              <w:rPr>
                <w:sz w:val="22"/>
              </w:rPr>
            </w:pPr>
            <w:r w:rsidRPr="00B74A55">
              <w:rPr>
                <w:sz w:val="22"/>
              </w:rPr>
              <w:t>12 дітей з ООП</w:t>
            </w:r>
          </w:p>
        </w:tc>
      </w:tr>
      <w:tr w:rsidR="00C161F9" w:rsidRPr="00B74A55" w:rsidTr="00C161F9">
        <w:trPr>
          <w:trHeight w:val="70"/>
        </w:trPr>
        <w:tc>
          <w:tcPr>
            <w:tcW w:w="1448" w:type="dxa"/>
            <w:vMerge/>
            <w:tcBorders>
              <w:left w:val="nil"/>
              <w:right w:val="nil"/>
            </w:tcBorders>
          </w:tcPr>
          <w:p w:rsidR="00C161F9" w:rsidRPr="00B74A55" w:rsidRDefault="00C161F9" w:rsidP="00CF4B4F">
            <w:pPr>
              <w:autoSpaceDE w:val="0"/>
              <w:autoSpaceDN w:val="0"/>
              <w:adjustRightInd w:val="0"/>
              <w:jc w:val="right"/>
              <w:rPr>
                <w:rFonts w:eastAsia="Calibri"/>
                <w:color w:val="000000"/>
                <w:sz w:val="22"/>
              </w:rPr>
            </w:pPr>
          </w:p>
        </w:tc>
        <w:tc>
          <w:tcPr>
            <w:tcW w:w="2833" w:type="dxa"/>
            <w:vMerge/>
            <w:tcBorders>
              <w:left w:val="single" w:sz="6" w:space="0" w:color="auto"/>
              <w:right w:val="single" w:sz="6" w:space="0" w:color="auto"/>
            </w:tcBorders>
            <w:shd w:val="clear" w:color="00FFFF" w:fill="C6D9F1" w:themeFill="text2" w:themeFillTint="33"/>
          </w:tcPr>
          <w:p w:rsidR="00C161F9" w:rsidRPr="00B74A55" w:rsidRDefault="00C161F9" w:rsidP="00CF4B4F">
            <w:pPr>
              <w:autoSpaceDE w:val="0"/>
              <w:autoSpaceDN w:val="0"/>
              <w:adjustRightInd w:val="0"/>
              <w:rPr>
                <w:rFonts w:eastAsia="Calibri"/>
                <w:b/>
                <w:color w:val="000000"/>
                <w:sz w:val="22"/>
              </w:rPr>
            </w:pPr>
          </w:p>
        </w:tc>
        <w:tc>
          <w:tcPr>
            <w:tcW w:w="3120" w:type="dxa"/>
            <w:gridSpan w:val="2"/>
            <w:tcBorders>
              <w:top w:val="single" w:sz="4" w:space="0" w:color="auto"/>
              <w:left w:val="single" w:sz="6" w:space="0" w:color="auto"/>
              <w:bottom w:val="single" w:sz="4" w:space="0" w:color="auto"/>
              <w:right w:val="single" w:sz="6" w:space="0" w:color="auto"/>
            </w:tcBorders>
          </w:tcPr>
          <w:p w:rsidR="00C161F9" w:rsidRPr="00B74A55" w:rsidRDefault="00C161F9" w:rsidP="00CF4B4F">
            <w:pPr>
              <w:rPr>
                <w:sz w:val="22"/>
              </w:rPr>
            </w:pPr>
            <w:r w:rsidRPr="00B74A55">
              <w:rPr>
                <w:sz w:val="22"/>
              </w:rPr>
              <w:t>2.Кількість групових та індивідуальних занять</w:t>
            </w:r>
            <w:r w:rsidR="007B0976" w:rsidRPr="00B74A55">
              <w:rPr>
                <w:sz w:val="22"/>
              </w:rPr>
              <w:t>,</w:t>
            </w:r>
          </w:p>
          <w:p w:rsidR="00C161F9" w:rsidRPr="00B74A55" w:rsidRDefault="00E60BD4" w:rsidP="00CF4B4F">
            <w:pPr>
              <w:rPr>
                <w:sz w:val="22"/>
              </w:rPr>
            </w:pPr>
            <w:r w:rsidRPr="00B74A55">
              <w:rPr>
                <w:sz w:val="22"/>
              </w:rPr>
              <w:t>н</w:t>
            </w:r>
            <w:r w:rsidR="00C161F9" w:rsidRPr="00B74A55">
              <w:rPr>
                <w:sz w:val="22"/>
              </w:rPr>
              <w:t>аданих</w:t>
            </w:r>
            <w:r w:rsidR="007B0976" w:rsidRPr="00B74A55">
              <w:rPr>
                <w:sz w:val="22"/>
              </w:rPr>
              <w:t xml:space="preserve"> </w:t>
            </w:r>
            <w:r w:rsidR="00C161F9" w:rsidRPr="00B74A55">
              <w:rPr>
                <w:sz w:val="22"/>
              </w:rPr>
              <w:t>протягом одно</w:t>
            </w:r>
            <w:r w:rsidR="007B0976" w:rsidRPr="00B74A55">
              <w:rPr>
                <w:sz w:val="22"/>
              </w:rPr>
              <w:t>го</w:t>
            </w:r>
          </w:p>
          <w:p w:rsidR="00C161F9" w:rsidRPr="00B74A55" w:rsidRDefault="00C161F9" w:rsidP="00CF4B4F">
            <w:pPr>
              <w:rPr>
                <w:sz w:val="22"/>
              </w:rPr>
            </w:pPr>
            <w:r w:rsidRPr="00B74A55">
              <w:rPr>
                <w:sz w:val="22"/>
              </w:rPr>
              <w:t>робочого дня</w:t>
            </w:r>
          </w:p>
        </w:tc>
        <w:tc>
          <w:tcPr>
            <w:tcW w:w="1701" w:type="dxa"/>
            <w:gridSpan w:val="2"/>
            <w:tcBorders>
              <w:top w:val="single" w:sz="4" w:space="0" w:color="auto"/>
              <w:left w:val="single" w:sz="6" w:space="0" w:color="auto"/>
              <w:bottom w:val="single" w:sz="4" w:space="0" w:color="auto"/>
              <w:right w:val="single" w:sz="6" w:space="0" w:color="auto"/>
            </w:tcBorders>
          </w:tcPr>
          <w:p w:rsidR="00C161F9" w:rsidRPr="00B74A55" w:rsidRDefault="00C161F9" w:rsidP="00CF4B4F">
            <w:pPr>
              <w:rPr>
                <w:sz w:val="22"/>
              </w:rPr>
            </w:pPr>
          </w:p>
          <w:p w:rsidR="00C161F9" w:rsidRPr="00B74A55" w:rsidRDefault="00C161F9" w:rsidP="00CF4B4F">
            <w:pPr>
              <w:rPr>
                <w:sz w:val="22"/>
              </w:rPr>
            </w:pPr>
            <w:r w:rsidRPr="00B74A55">
              <w:rPr>
                <w:sz w:val="22"/>
              </w:rPr>
              <w:t>одиниць</w:t>
            </w:r>
          </w:p>
          <w:p w:rsidR="00C161F9" w:rsidRPr="00B74A55" w:rsidRDefault="00C161F9" w:rsidP="00CF4B4F">
            <w:pPr>
              <w:rPr>
                <w:sz w:val="22"/>
              </w:rPr>
            </w:pPr>
          </w:p>
          <w:p w:rsidR="00C161F9" w:rsidRPr="00B74A55" w:rsidRDefault="00C161F9" w:rsidP="00CF4B4F">
            <w:pPr>
              <w:rPr>
                <w:sz w:val="22"/>
              </w:rPr>
            </w:pPr>
          </w:p>
        </w:tc>
        <w:tc>
          <w:tcPr>
            <w:tcW w:w="2268" w:type="dxa"/>
            <w:gridSpan w:val="2"/>
            <w:tcBorders>
              <w:top w:val="single" w:sz="4" w:space="0" w:color="auto"/>
              <w:left w:val="single" w:sz="6" w:space="0" w:color="auto"/>
              <w:bottom w:val="single" w:sz="4" w:space="0" w:color="auto"/>
              <w:right w:val="single" w:sz="6" w:space="0" w:color="auto"/>
            </w:tcBorders>
          </w:tcPr>
          <w:p w:rsidR="00C161F9" w:rsidRPr="00B74A55" w:rsidRDefault="00C161F9" w:rsidP="00CF4B4F">
            <w:pPr>
              <w:rPr>
                <w:sz w:val="22"/>
              </w:rPr>
            </w:pPr>
            <w:r w:rsidRPr="00B74A55">
              <w:rPr>
                <w:sz w:val="22"/>
              </w:rPr>
              <w:t>38</w:t>
            </w:r>
          </w:p>
        </w:tc>
      </w:tr>
      <w:tr w:rsidR="00C161F9" w:rsidRPr="00B74A55" w:rsidTr="00C161F9">
        <w:trPr>
          <w:trHeight w:val="570"/>
        </w:trPr>
        <w:tc>
          <w:tcPr>
            <w:tcW w:w="1448" w:type="dxa"/>
            <w:vMerge/>
            <w:tcBorders>
              <w:left w:val="nil"/>
              <w:bottom w:val="nil"/>
              <w:right w:val="nil"/>
            </w:tcBorders>
          </w:tcPr>
          <w:p w:rsidR="00C161F9" w:rsidRPr="00B74A55" w:rsidRDefault="00C161F9" w:rsidP="00CF4B4F">
            <w:pPr>
              <w:autoSpaceDE w:val="0"/>
              <w:autoSpaceDN w:val="0"/>
              <w:adjustRightInd w:val="0"/>
              <w:jc w:val="right"/>
              <w:rPr>
                <w:rFonts w:eastAsia="Calibri"/>
                <w:color w:val="000000"/>
                <w:sz w:val="22"/>
              </w:rPr>
            </w:pPr>
          </w:p>
        </w:tc>
        <w:tc>
          <w:tcPr>
            <w:tcW w:w="2833" w:type="dxa"/>
            <w:vMerge/>
            <w:tcBorders>
              <w:left w:val="single" w:sz="6" w:space="0" w:color="auto"/>
              <w:bottom w:val="single" w:sz="6" w:space="0" w:color="auto"/>
              <w:right w:val="single" w:sz="6" w:space="0" w:color="auto"/>
            </w:tcBorders>
            <w:shd w:val="clear" w:color="00FFFF" w:fill="C6D9F1" w:themeFill="text2" w:themeFillTint="33"/>
          </w:tcPr>
          <w:p w:rsidR="00C161F9" w:rsidRPr="00B74A55" w:rsidRDefault="00C161F9" w:rsidP="00CF4B4F">
            <w:pPr>
              <w:autoSpaceDE w:val="0"/>
              <w:autoSpaceDN w:val="0"/>
              <w:adjustRightInd w:val="0"/>
              <w:rPr>
                <w:rFonts w:eastAsia="Calibri"/>
                <w:b/>
                <w:color w:val="000000"/>
                <w:sz w:val="22"/>
              </w:rPr>
            </w:pPr>
          </w:p>
        </w:tc>
        <w:tc>
          <w:tcPr>
            <w:tcW w:w="3120" w:type="dxa"/>
            <w:gridSpan w:val="2"/>
            <w:tcBorders>
              <w:top w:val="single" w:sz="4" w:space="0" w:color="auto"/>
              <w:left w:val="single" w:sz="6" w:space="0" w:color="auto"/>
              <w:bottom w:val="single" w:sz="6" w:space="0" w:color="auto"/>
              <w:right w:val="single" w:sz="6" w:space="0" w:color="auto"/>
            </w:tcBorders>
          </w:tcPr>
          <w:p w:rsidR="00C161F9" w:rsidRPr="00B74A55" w:rsidRDefault="00C161F9" w:rsidP="00CF4B4F">
            <w:pPr>
              <w:rPr>
                <w:sz w:val="22"/>
              </w:rPr>
            </w:pPr>
            <w:r w:rsidRPr="00B74A55">
              <w:rPr>
                <w:sz w:val="22"/>
              </w:rPr>
              <w:t xml:space="preserve">3.Стимул для повернення тимчасово переміщених осіб </w:t>
            </w:r>
          </w:p>
        </w:tc>
        <w:tc>
          <w:tcPr>
            <w:tcW w:w="1701" w:type="dxa"/>
            <w:gridSpan w:val="2"/>
            <w:tcBorders>
              <w:top w:val="single" w:sz="4" w:space="0" w:color="auto"/>
              <w:left w:val="single" w:sz="6" w:space="0" w:color="auto"/>
              <w:bottom w:val="single" w:sz="6" w:space="0" w:color="auto"/>
              <w:right w:val="single" w:sz="6" w:space="0" w:color="auto"/>
            </w:tcBorders>
          </w:tcPr>
          <w:p w:rsidR="00C161F9" w:rsidRPr="00B74A55" w:rsidRDefault="00C161F9" w:rsidP="00CF4B4F">
            <w:pPr>
              <w:rPr>
                <w:sz w:val="22"/>
              </w:rPr>
            </w:pPr>
            <w:r w:rsidRPr="00B74A55">
              <w:rPr>
                <w:sz w:val="22"/>
              </w:rPr>
              <w:t>осіб</w:t>
            </w:r>
          </w:p>
        </w:tc>
        <w:tc>
          <w:tcPr>
            <w:tcW w:w="2268" w:type="dxa"/>
            <w:gridSpan w:val="2"/>
            <w:tcBorders>
              <w:top w:val="single" w:sz="4" w:space="0" w:color="auto"/>
              <w:left w:val="single" w:sz="6" w:space="0" w:color="auto"/>
              <w:bottom w:val="single" w:sz="6" w:space="0" w:color="auto"/>
              <w:right w:val="single" w:sz="6" w:space="0" w:color="auto"/>
            </w:tcBorders>
          </w:tcPr>
          <w:p w:rsidR="00C161F9" w:rsidRPr="00B74A55" w:rsidRDefault="00C161F9" w:rsidP="00CF4B4F">
            <w:pPr>
              <w:rPr>
                <w:sz w:val="22"/>
              </w:rPr>
            </w:pPr>
            <w:r w:rsidRPr="00B74A55">
              <w:rPr>
                <w:sz w:val="22"/>
              </w:rPr>
              <w:t>70 000</w:t>
            </w:r>
          </w:p>
        </w:tc>
      </w:tr>
      <w:tr w:rsidR="00C161F9" w:rsidRPr="00B74A55" w:rsidTr="00C161F9">
        <w:trPr>
          <w:trHeight w:val="1684"/>
        </w:trPr>
        <w:tc>
          <w:tcPr>
            <w:tcW w:w="1448" w:type="dxa"/>
            <w:tcBorders>
              <w:top w:val="nil"/>
              <w:left w:val="nil"/>
              <w:bottom w:val="nil"/>
              <w:right w:val="nil"/>
            </w:tcBorders>
          </w:tcPr>
          <w:p w:rsidR="00C161F9" w:rsidRPr="00B74A55" w:rsidRDefault="00C161F9" w:rsidP="00CF4B4F">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161F9" w:rsidRPr="00B74A55" w:rsidRDefault="00C161F9" w:rsidP="00CF4B4F">
            <w:pPr>
              <w:autoSpaceDE w:val="0"/>
              <w:autoSpaceDN w:val="0"/>
              <w:adjustRightInd w:val="0"/>
              <w:rPr>
                <w:rFonts w:eastAsia="Calibri"/>
                <w:b/>
                <w:color w:val="000000"/>
                <w:sz w:val="22"/>
              </w:rPr>
            </w:pPr>
            <w:r w:rsidRPr="00B74A55">
              <w:rPr>
                <w:rFonts w:eastAsia="Calibri"/>
                <w:b/>
                <w:color w:val="000000"/>
                <w:sz w:val="22"/>
              </w:rPr>
              <w:t>Ключові заходи проекту:</w:t>
            </w:r>
          </w:p>
        </w:tc>
        <w:tc>
          <w:tcPr>
            <w:tcW w:w="7089" w:type="dxa"/>
            <w:gridSpan w:val="6"/>
            <w:tcBorders>
              <w:top w:val="single" w:sz="6" w:space="0" w:color="auto"/>
              <w:left w:val="single" w:sz="6" w:space="0" w:color="auto"/>
              <w:bottom w:val="single" w:sz="6" w:space="0" w:color="auto"/>
              <w:right w:val="single" w:sz="6" w:space="0" w:color="auto"/>
            </w:tcBorders>
          </w:tcPr>
          <w:p w:rsidR="00C161F9" w:rsidRPr="00B74A55" w:rsidRDefault="00C161F9" w:rsidP="00CF4B4F">
            <w:pPr>
              <w:autoSpaceDE w:val="0"/>
              <w:autoSpaceDN w:val="0"/>
              <w:adjustRightInd w:val="0"/>
              <w:rPr>
                <w:rFonts w:eastAsia="Calibri"/>
                <w:color w:val="000000"/>
                <w:sz w:val="22"/>
              </w:rPr>
            </w:pPr>
            <w:r w:rsidRPr="00B74A55">
              <w:rPr>
                <w:rFonts w:eastAsia="Calibri"/>
                <w:color w:val="000000"/>
                <w:sz w:val="22"/>
              </w:rPr>
              <w:t xml:space="preserve">1. Придбання меблів для 13 групових осередків (столи, стільці, шафки для роздягання, стелажі для іграшок та посібників, </w:t>
            </w:r>
            <w:proofErr w:type="spellStart"/>
            <w:r w:rsidRPr="00B74A55">
              <w:rPr>
                <w:rFonts w:eastAsia="Calibri"/>
                <w:color w:val="000000"/>
                <w:sz w:val="22"/>
              </w:rPr>
              <w:t>скамійки</w:t>
            </w:r>
            <w:proofErr w:type="spellEnd"/>
            <w:r w:rsidRPr="00B74A55">
              <w:rPr>
                <w:rFonts w:eastAsia="Calibri"/>
                <w:color w:val="000000"/>
                <w:sz w:val="22"/>
              </w:rPr>
              <w:t xml:space="preserve"> для приймальних). </w:t>
            </w:r>
          </w:p>
          <w:p w:rsidR="00C161F9" w:rsidRPr="00B74A55" w:rsidRDefault="00C161F9" w:rsidP="00CF4B4F">
            <w:pPr>
              <w:autoSpaceDE w:val="0"/>
              <w:autoSpaceDN w:val="0"/>
              <w:adjustRightInd w:val="0"/>
              <w:rPr>
                <w:rFonts w:eastAsia="Calibri"/>
                <w:color w:val="000000"/>
                <w:sz w:val="22"/>
              </w:rPr>
            </w:pPr>
            <w:r w:rsidRPr="00B74A55">
              <w:rPr>
                <w:rFonts w:eastAsia="Calibri"/>
                <w:color w:val="000000"/>
                <w:sz w:val="22"/>
              </w:rPr>
              <w:t>2. Придбання меблів для музичної зали.  Забезпечення музичної та спортивної залів акустичними системами, музичними інструментами.</w:t>
            </w:r>
          </w:p>
          <w:p w:rsidR="00C161F9" w:rsidRPr="00B74A55" w:rsidRDefault="00C161F9" w:rsidP="00CF4B4F">
            <w:pPr>
              <w:autoSpaceDE w:val="0"/>
              <w:autoSpaceDN w:val="0"/>
              <w:adjustRightInd w:val="0"/>
              <w:rPr>
                <w:rFonts w:eastAsia="Calibri"/>
                <w:color w:val="000000"/>
                <w:sz w:val="22"/>
              </w:rPr>
            </w:pPr>
            <w:r w:rsidRPr="00B74A55">
              <w:rPr>
                <w:rFonts w:eastAsia="Calibri"/>
                <w:color w:val="000000"/>
                <w:sz w:val="22"/>
              </w:rPr>
              <w:t xml:space="preserve">3. Придбання меблів для методичних кабінетів, адміністративних кабінетів та медичного блоку. </w:t>
            </w:r>
          </w:p>
          <w:p w:rsidR="00C161F9" w:rsidRPr="00B74A55" w:rsidRDefault="00C161F9" w:rsidP="00CF4B4F">
            <w:pPr>
              <w:autoSpaceDE w:val="0"/>
              <w:autoSpaceDN w:val="0"/>
              <w:adjustRightInd w:val="0"/>
              <w:rPr>
                <w:rFonts w:eastAsia="Calibri"/>
                <w:color w:val="000000"/>
                <w:sz w:val="22"/>
              </w:rPr>
            </w:pPr>
            <w:r w:rsidRPr="00B74A55">
              <w:rPr>
                <w:rFonts w:eastAsia="Calibri"/>
                <w:color w:val="000000"/>
                <w:sz w:val="22"/>
              </w:rPr>
              <w:t xml:space="preserve">4. Оновлення  м'якого інвентаря (килими для ігрових кімнат, спалень та музичної зали; килимові доріжки для </w:t>
            </w:r>
            <w:proofErr w:type="spellStart"/>
            <w:r w:rsidRPr="00B74A55">
              <w:rPr>
                <w:rFonts w:eastAsia="Calibri"/>
                <w:color w:val="000000"/>
                <w:sz w:val="22"/>
              </w:rPr>
              <w:t>приймалень</w:t>
            </w:r>
            <w:proofErr w:type="spellEnd"/>
            <w:r w:rsidRPr="00B74A55">
              <w:rPr>
                <w:rFonts w:eastAsia="Calibri"/>
                <w:color w:val="000000"/>
                <w:sz w:val="22"/>
              </w:rPr>
              <w:t xml:space="preserve"> та холів;  матраци, подушки, ковдри, постільна білизна для дитячих спалень; рушники для гігієнічних потреб дітей та співробітників.)</w:t>
            </w:r>
          </w:p>
          <w:p w:rsidR="00C161F9" w:rsidRPr="00B74A55" w:rsidRDefault="00C161F9" w:rsidP="00CF4B4F">
            <w:pPr>
              <w:autoSpaceDE w:val="0"/>
              <w:autoSpaceDN w:val="0"/>
              <w:adjustRightInd w:val="0"/>
              <w:rPr>
                <w:rFonts w:eastAsia="Calibri"/>
                <w:color w:val="000000"/>
                <w:sz w:val="22"/>
              </w:rPr>
            </w:pPr>
            <w:r w:rsidRPr="00B74A55">
              <w:rPr>
                <w:rFonts w:eastAsia="Calibri"/>
                <w:color w:val="000000"/>
                <w:sz w:val="22"/>
              </w:rPr>
              <w:t xml:space="preserve">5.Забезпечення Ясел-садка ігровим та методичним, дидактичним обладнанням різної </w:t>
            </w:r>
            <w:proofErr w:type="spellStart"/>
            <w:r w:rsidRPr="00B74A55">
              <w:rPr>
                <w:rFonts w:eastAsia="Calibri"/>
                <w:color w:val="000000"/>
                <w:sz w:val="22"/>
              </w:rPr>
              <w:t>направленності</w:t>
            </w:r>
            <w:proofErr w:type="spellEnd"/>
            <w:r w:rsidRPr="00B74A55">
              <w:rPr>
                <w:rFonts w:eastAsia="Calibri"/>
                <w:color w:val="000000"/>
                <w:sz w:val="22"/>
              </w:rPr>
              <w:t xml:space="preserve">. </w:t>
            </w:r>
          </w:p>
          <w:p w:rsidR="00C161F9" w:rsidRPr="00B74A55" w:rsidRDefault="00C161F9" w:rsidP="00CF4B4F">
            <w:pPr>
              <w:autoSpaceDE w:val="0"/>
              <w:autoSpaceDN w:val="0"/>
              <w:adjustRightInd w:val="0"/>
              <w:rPr>
                <w:rFonts w:eastAsia="Calibri"/>
                <w:color w:val="000000"/>
                <w:sz w:val="22"/>
              </w:rPr>
            </w:pPr>
            <w:r w:rsidRPr="00B74A55">
              <w:rPr>
                <w:rFonts w:eastAsia="Calibri"/>
                <w:color w:val="000000"/>
                <w:sz w:val="22"/>
              </w:rPr>
              <w:t xml:space="preserve">6. Забезпечення методичної служби та адміністрації  приладами та оргтехнікою (ноутбуки, </w:t>
            </w:r>
            <w:proofErr w:type="spellStart"/>
            <w:r w:rsidRPr="00B74A55">
              <w:rPr>
                <w:rFonts w:eastAsia="Calibri"/>
                <w:color w:val="000000"/>
                <w:sz w:val="22"/>
              </w:rPr>
              <w:t>компьютери</w:t>
            </w:r>
            <w:proofErr w:type="spellEnd"/>
            <w:r w:rsidRPr="00B74A55">
              <w:rPr>
                <w:rFonts w:eastAsia="Calibri"/>
                <w:color w:val="000000"/>
                <w:sz w:val="22"/>
              </w:rPr>
              <w:t xml:space="preserve">, принтери, сканери, </w:t>
            </w:r>
            <w:proofErr w:type="spellStart"/>
            <w:r w:rsidRPr="00B74A55">
              <w:rPr>
                <w:rFonts w:eastAsia="Calibri"/>
                <w:color w:val="000000"/>
                <w:sz w:val="22"/>
              </w:rPr>
              <w:t>ламінатори</w:t>
            </w:r>
            <w:proofErr w:type="spellEnd"/>
            <w:r w:rsidRPr="00B74A55">
              <w:rPr>
                <w:rFonts w:eastAsia="Calibri"/>
                <w:color w:val="000000"/>
                <w:sz w:val="22"/>
              </w:rPr>
              <w:t xml:space="preserve">, інтерактивні дошки, проектори). </w:t>
            </w:r>
          </w:p>
          <w:p w:rsidR="00C161F9" w:rsidRPr="00B74A55" w:rsidRDefault="00C161F9" w:rsidP="00CF4B4F">
            <w:pPr>
              <w:autoSpaceDE w:val="0"/>
              <w:autoSpaceDN w:val="0"/>
              <w:adjustRightInd w:val="0"/>
              <w:rPr>
                <w:rFonts w:eastAsia="Calibri"/>
                <w:color w:val="000000"/>
                <w:sz w:val="22"/>
              </w:rPr>
            </w:pPr>
            <w:r w:rsidRPr="00B74A55">
              <w:rPr>
                <w:rFonts w:eastAsia="Calibri"/>
                <w:color w:val="000000"/>
                <w:sz w:val="22"/>
              </w:rPr>
              <w:t>7  Забезпечення відповідним професійним обладнанням медичного блоку закладу.</w:t>
            </w:r>
            <w:r w:rsidRPr="00B74A55">
              <w:rPr>
                <w:rFonts w:eastAsia="Calibri"/>
                <w:color w:val="000000"/>
                <w:sz w:val="22"/>
              </w:rPr>
              <w:tab/>
            </w:r>
          </w:p>
          <w:p w:rsidR="00C161F9" w:rsidRPr="00B74A55" w:rsidRDefault="00C161F9" w:rsidP="00CF4B4F">
            <w:pPr>
              <w:autoSpaceDE w:val="0"/>
              <w:autoSpaceDN w:val="0"/>
              <w:adjustRightInd w:val="0"/>
              <w:rPr>
                <w:rFonts w:eastAsia="Calibri"/>
                <w:color w:val="000000"/>
                <w:sz w:val="22"/>
              </w:rPr>
            </w:pPr>
            <w:r w:rsidRPr="00B74A55">
              <w:rPr>
                <w:rFonts w:eastAsia="Calibri"/>
                <w:color w:val="000000"/>
                <w:sz w:val="22"/>
              </w:rPr>
              <w:t xml:space="preserve">8.  Забезпечення технологічним обладнанням харчоблоку (печі, духова шафа, </w:t>
            </w:r>
            <w:proofErr w:type="spellStart"/>
            <w:r w:rsidRPr="00B74A55">
              <w:rPr>
                <w:rFonts w:eastAsia="Calibri"/>
                <w:color w:val="000000"/>
                <w:sz w:val="22"/>
              </w:rPr>
              <w:t>електросковорода</w:t>
            </w:r>
            <w:proofErr w:type="spellEnd"/>
            <w:r w:rsidRPr="00B74A55">
              <w:rPr>
                <w:rFonts w:eastAsia="Calibri"/>
                <w:color w:val="000000"/>
                <w:sz w:val="22"/>
              </w:rPr>
              <w:t>, м’ясорубки, тістоміс, картоплечистка, водонагрівач, електрокип’ятильник,</w:t>
            </w:r>
            <w:r w:rsidR="007B0976" w:rsidRPr="00B74A55">
              <w:rPr>
                <w:rFonts w:eastAsia="Calibri"/>
                <w:color w:val="000000"/>
                <w:sz w:val="22"/>
              </w:rPr>
              <w:t xml:space="preserve"> </w:t>
            </w:r>
            <w:r w:rsidRPr="00B74A55">
              <w:rPr>
                <w:rFonts w:eastAsia="Calibri"/>
                <w:color w:val="000000"/>
                <w:sz w:val="22"/>
              </w:rPr>
              <w:t>морозильні камери, холодильна шафа, побутові холодильники, ваги, пральні машини, прасувальний прес, сушильна машина, праски).</w:t>
            </w:r>
            <w:r w:rsidRPr="00B74A55">
              <w:rPr>
                <w:rFonts w:eastAsia="Calibri"/>
                <w:color w:val="000000"/>
                <w:sz w:val="22"/>
              </w:rPr>
              <w:tab/>
            </w:r>
          </w:p>
          <w:p w:rsidR="00C161F9" w:rsidRPr="00B74A55" w:rsidRDefault="00C161F9" w:rsidP="00CF4B4F">
            <w:pPr>
              <w:autoSpaceDE w:val="0"/>
              <w:autoSpaceDN w:val="0"/>
              <w:adjustRightInd w:val="0"/>
              <w:rPr>
                <w:rFonts w:eastAsia="Calibri"/>
                <w:color w:val="FF0000"/>
                <w:sz w:val="22"/>
              </w:rPr>
            </w:pPr>
            <w:r w:rsidRPr="00B74A55">
              <w:rPr>
                <w:rFonts w:eastAsia="Calibri"/>
                <w:color w:val="000000"/>
                <w:sz w:val="22"/>
              </w:rPr>
              <w:t>9.Надання широкого спектру послуг</w:t>
            </w:r>
            <w:r w:rsidR="007B0976" w:rsidRPr="00B74A55">
              <w:rPr>
                <w:rFonts w:eastAsia="Calibri"/>
                <w:color w:val="000000"/>
                <w:sz w:val="22"/>
              </w:rPr>
              <w:t>,</w:t>
            </w:r>
            <w:r w:rsidRPr="00B74A55">
              <w:rPr>
                <w:rFonts w:eastAsia="Calibri"/>
                <w:color w:val="000000"/>
                <w:sz w:val="22"/>
              </w:rPr>
              <w:t xml:space="preserve"> пов’язаних з освітою дітей дошкільного віку.</w:t>
            </w:r>
          </w:p>
          <w:p w:rsidR="00C161F9" w:rsidRPr="00B74A55" w:rsidRDefault="00C161F9" w:rsidP="00CF4B4F">
            <w:pPr>
              <w:autoSpaceDE w:val="0"/>
              <w:autoSpaceDN w:val="0"/>
              <w:adjustRightInd w:val="0"/>
              <w:rPr>
                <w:rFonts w:eastAsia="Calibri"/>
                <w:color w:val="000000"/>
                <w:sz w:val="22"/>
              </w:rPr>
            </w:pPr>
            <w:r w:rsidRPr="00B74A55">
              <w:rPr>
                <w:rFonts w:eastAsia="Calibri"/>
                <w:color w:val="FF0000"/>
                <w:sz w:val="22"/>
              </w:rPr>
              <w:tab/>
            </w:r>
          </w:p>
        </w:tc>
      </w:tr>
      <w:tr w:rsidR="00C161F9" w:rsidRPr="00B74A55" w:rsidTr="00C161F9">
        <w:trPr>
          <w:trHeight w:val="600"/>
        </w:trPr>
        <w:tc>
          <w:tcPr>
            <w:tcW w:w="1448" w:type="dxa"/>
            <w:vMerge w:val="restart"/>
            <w:tcBorders>
              <w:top w:val="nil"/>
              <w:left w:val="nil"/>
              <w:right w:val="nil"/>
            </w:tcBorders>
          </w:tcPr>
          <w:p w:rsidR="00C161F9" w:rsidRPr="00B74A55" w:rsidRDefault="00C161F9" w:rsidP="00CF4B4F">
            <w:pPr>
              <w:autoSpaceDE w:val="0"/>
              <w:autoSpaceDN w:val="0"/>
              <w:adjustRightInd w:val="0"/>
              <w:jc w:val="right"/>
              <w:rPr>
                <w:rFonts w:eastAsia="Calibri"/>
                <w:color w:val="000000"/>
                <w:sz w:val="22"/>
              </w:rPr>
            </w:pPr>
          </w:p>
        </w:tc>
        <w:tc>
          <w:tcPr>
            <w:tcW w:w="2833" w:type="dxa"/>
            <w:vMerge w:val="restart"/>
            <w:tcBorders>
              <w:top w:val="single" w:sz="6" w:space="0" w:color="auto"/>
              <w:left w:val="single" w:sz="6" w:space="0" w:color="auto"/>
              <w:right w:val="single" w:sz="6" w:space="0" w:color="auto"/>
            </w:tcBorders>
            <w:shd w:val="clear" w:color="00FFFF" w:fill="C6D9F1" w:themeFill="text2" w:themeFillTint="33"/>
          </w:tcPr>
          <w:p w:rsidR="00C161F9" w:rsidRPr="00B74A55" w:rsidRDefault="00C161F9" w:rsidP="00CF4B4F">
            <w:pPr>
              <w:autoSpaceDE w:val="0"/>
              <w:autoSpaceDN w:val="0"/>
              <w:adjustRightInd w:val="0"/>
              <w:rPr>
                <w:rFonts w:eastAsia="Calibri"/>
                <w:b/>
                <w:color w:val="000000"/>
                <w:sz w:val="22"/>
              </w:rPr>
            </w:pPr>
            <w:r w:rsidRPr="00B74A55">
              <w:rPr>
                <w:rFonts w:eastAsia="Calibri"/>
                <w:b/>
                <w:color w:val="000000"/>
                <w:sz w:val="22"/>
              </w:rPr>
              <w:t>Орієнтовний обсяг та джерела фінансування тис. гривень</w:t>
            </w:r>
          </w:p>
        </w:tc>
        <w:tc>
          <w:tcPr>
            <w:tcW w:w="1842" w:type="dxa"/>
            <w:vMerge w:val="restart"/>
            <w:tcBorders>
              <w:top w:val="single" w:sz="6" w:space="0" w:color="auto"/>
              <w:left w:val="single" w:sz="6" w:space="0" w:color="auto"/>
              <w:bottom w:val="single" w:sz="6" w:space="0" w:color="auto"/>
              <w:right w:val="single" w:sz="6" w:space="0" w:color="auto"/>
            </w:tcBorders>
          </w:tcPr>
          <w:p w:rsidR="00C161F9" w:rsidRPr="00B74A55" w:rsidRDefault="00C161F9" w:rsidP="00CF4B4F">
            <w:pPr>
              <w:autoSpaceDE w:val="0"/>
              <w:autoSpaceDN w:val="0"/>
              <w:adjustRightInd w:val="0"/>
              <w:rPr>
                <w:rFonts w:eastAsia="Calibri"/>
                <w:color w:val="000000"/>
                <w:sz w:val="22"/>
              </w:rPr>
            </w:pPr>
            <w:r w:rsidRPr="00B74A55">
              <w:rPr>
                <w:rFonts w:eastAsia="Calibri"/>
                <w:color w:val="000000"/>
                <w:sz w:val="22"/>
              </w:rPr>
              <w:t>Державний бюджет</w:t>
            </w:r>
          </w:p>
        </w:tc>
        <w:tc>
          <w:tcPr>
            <w:tcW w:w="1278" w:type="dxa"/>
            <w:vMerge w:val="restart"/>
            <w:tcBorders>
              <w:top w:val="single" w:sz="6" w:space="0" w:color="auto"/>
              <w:left w:val="single" w:sz="6" w:space="0" w:color="auto"/>
              <w:right w:val="single" w:sz="6" w:space="0" w:color="auto"/>
            </w:tcBorders>
          </w:tcPr>
          <w:p w:rsidR="00C161F9" w:rsidRPr="00B74A55" w:rsidRDefault="00C161F9" w:rsidP="00CF4B4F">
            <w:pPr>
              <w:autoSpaceDE w:val="0"/>
              <w:autoSpaceDN w:val="0"/>
              <w:adjustRightInd w:val="0"/>
              <w:rPr>
                <w:rFonts w:eastAsia="Calibri"/>
                <w:color w:val="000000"/>
                <w:sz w:val="22"/>
              </w:rPr>
            </w:pPr>
            <w:r w:rsidRPr="00B74A55">
              <w:rPr>
                <w:rFonts w:eastAsia="Calibri"/>
                <w:color w:val="000000"/>
                <w:sz w:val="22"/>
              </w:rPr>
              <w:t>Місцевий бюджет</w:t>
            </w:r>
          </w:p>
        </w:tc>
        <w:tc>
          <w:tcPr>
            <w:tcW w:w="2552" w:type="dxa"/>
            <w:gridSpan w:val="3"/>
            <w:tcBorders>
              <w:top w:val="single" w:sz="6" w:space="0" w:color="auto"/>
              <w:left w:val="single" w:sz="6" w:space="0" w:color="auto"/>
              <w:bottom w:val="single" w:sz="6" w:space="0" w:color="auto"/>
              <w:right w:val="single" w:sz="6" w:space="0" w:color="auto"/>
            </w:tcBorders>
          </w:tcPr>
          <w:p w:rsidR="00C161F9" w:rsidRPr="00B74A55" w:rsidRDefault="00C161F9" w:rsidP="00CF4B4F">
            <w:pPr>
              <w:autoSpaceDE w:val="0"/>
              <w:autoSpaceDN w:val="0"/>
              <w:adjustRightInd w:val="0"/>
              <w:rPr>
                <w:rFonts w:eastAsia="Calibri"/>
                <w:color w:val="000000"/>
                <w:sz w:val="22"/>
              </w:rPr>
            </w:pPr>
            <w:r w:rsidRPr="00B74A55">
              <w:rPr>
                <w:rFonts w:eastAsia="Calibri"/>
                <w:color w:val="000000"/>
                <w:sz w:val="22"/>
              </w:rPr>
              <w:t>Інші джерела</w:t>
            </w:r>
          </w:p>
        </w:tc>
        <w:tc>
          <w:tcPr>
            <w:tcW w:w="1417" w:type="dxa"/>
            <w:vMerge w:val="restart"/>
            <w:tcBorders>
              <w:top w:val="single" w:sz="6" w:space="0" w:color="auto"/>
              <w:left w:val="single" w:sz="6" w:space="0" w:color="auto"/>
              <w:right w:val="single" w:sz="6" w:space="0" w:color="auto"/>
            </w:tcBorders>
          </w:tcPr>
          <w:p w:rsidR="00C161F9" w:rsidRPr="00B74A55" w:rsidRDefault="00C161F9" w:rsidP="00CF4B4F">
            <w:pPr>
              <w:autoSpaceDE w:val="0"/>
              <w:autoSpaceDN w:val="0"/>
              <w:adjustRightInd w:val="0"/>
              <w:rPr>
                <w:rFonts w:eastAsia="Calibri"/>
                <w:color w:val="000000"/>
                <w:sz w:val="22"/>
              </w:rPr>
            </w:pPr>
            <w:r w:rsidRPr="00B74A55">
              <w:rPr>
                <w:rFonts w:eastAsia="Calibri"/>
                <w:color w:val="000000"/>
                <w:sz w:val="22"/>
              </w:rPr>
              <w:t>Всього</w:t>
            </w:r>
          </w:p>
        </w:tc>
      </w:tr>
      <w:tr w:rsidR="00C161F9" w:rsidRPr="00B74A55" w:rsidTr="00C161F9">
        <w:trPr>
          <w:trHeight w:val="65"/>
        </w:trPr>
        <w:tc>
          <w:tcPr>
            <w:tcW w:w="1448" w:type="dxa"/>
            <w:vMerge/>
            <w:tcBorders>
              <w:left w:val="nil"/>
              <w:right w:val="nil"/>
            </w:tcBorders>
          </w:tcPr>
          <w:p w:rsidR="00C161F9" w:rsidRPr="00B74A55" w:rsidRDefault="00C161F9" w:rsidP="00C161F9">
            <w:pPr>
              <w:autoSpaceDE w:val="0"/>
              <w:autoSpaceDN w:val="0"/>
              <w:adjustRightInd w:val="0"/>
              <w:jc w:val="right"/>
              <w:rPr>
                <w:rFonts w:eastAsia="Calibri"/>
                <w:color w:val="000000"/>
                <w:sz w:val="22"/>
              </w:rPr>
            </w:pPr>
          </w:p>
        </w:tc>
        <w:tc>
          <w:tcPr>
            <w:tcW w:w="2833" w:type="dxa"/>
            <w:vMerge/>
            <w:tcBorders>
              <w:left w:val="single" w:sz="6" w:space="0" w:color="auto"/>
              <w:right w:val="single" w:sz="6" w:space="0" w:color="auto"/>
            </w:tcBorders>
            <w:shd w:val="clear" w:color="00FFFF" w:fill="C6D9F1" w:themeFill="text2" w:themeFillTint="33"/>
          </w:tcPr>
          <w:p w:rsidR="00C161F9" w:rsidRPr="00B74A55" w:rsidRDefault="00C161F9" w:rsidP="00C161F9">
            <w:pPr>
              <w:autoSpaceDE w:val="0"/>
              <w:autoSpaceDN w:val="0"/>
              <w:adjustRightInd w:val="0"/>
              <w:rPr>
                <w:rFonts w:eastAsia="Calibri"/>
                <w:b/>
                <w:color w:val="000000"/>
                <w:sz w:val="22"/>
              </w:rPr>
            </w:pPr>
          </w:p>
        </w:tc>
        <w:tc>
          <w:tcPr>
            <w:tcW w:w="1842" w:type="dxa"/>
            <w:vMerge/>
            <w:tcBorders>
              <w:top w:val="single" w:sz="6" w:space="0" w:color="auto"/>
              <w:left w:val="single" w:sz="6" w:space="0" w:color="auto"/>
              <w:bottom w:val="single" w:sz="6" w:space="0" w:color="auto"/>
              <w:right w:val="single" w:sz="6" w:space="0" w:color="auto"/>
            </w:tcBorders>
          </w:tcPr>
          <w:p w:rsidR="00C161F9" w:rsidRPr="00B74A55" w:rsidRDefault="00C161F9" w:rsidP="00C161F9">
            <w:pPr>
              <w:autoSpaceDE w:val="0"/>
              <w:autoSpaceDN w:val="0"/>
              <w:adjustRightInd w:val="0"/>
              <w:rPr>
                <w:rFonts w:eastAsia="Calibri"/>
                <w:color w:val="000000"/>
                <w:sz w:val="22"/>
              </w:rPr>
            </w:pPr>
          </w:p>
        </w:tc>
        <w:tc>
          <w:tcPr>
            <w:tcW w:w="1278" w:type="dxa"/>
            <w:vMerge/>
            <w:tcBorders>
              <w:left w:val="single" w:sz="6" w:space="0" w:color="auto"/>
              <w:bottom w:val="single" w:sz="6" w:space="0" w:color="auto"/>
              <w:right w:val="single" w:sz="6" w:space="0" w:color="auto"/>
            </w:tcBorders>
          </w:tcPr>
          <w:p w:rsidR="00C161F9" w:rsidRPr="00B74A55" w:rsidRDefault="00C161F9" w:rsidP="00C161F9">
            <w:pPr>
              <w:autoSpaceDE w:val="0"/>
              <w:autoSpaceDN w:val="0"/>
              <w:adjustRightInd w:val="0"/>
              <w:rPr>
                <w:rFonts w:eastAsia="Calibri"/>
                <w:color w:val="000000"/>
                <w:sz w:val="22"/>
              </w:rPr>
            </w:pPr>
          </w:p>
        </w:tc>
        <w:tc>
          <w:tcPr>
            <w:tcW w:w="1138" w:type="dxa"/>
            <w:tcBorders>
              <w:top w:val="single" w:sz="6" w:space="0" w:color="auto"/>
              <w:left w:val="single" w:sz="6" w:space="0" w:color="auto"/>
              <w:bottom w:val="single" w:sz="6" w:space="0" w:color="auto"/>
              <w:right w:val="single" w:sz="6" w:space="0" w:color="auto"/>
            </w:tcBorders>
          </w:tcPr>
          <w:p w:rsidR="00C161F9" w:rsidRPr="00B74A55" w:rsidRDefault="00C161F9" w:rsidP="00C161F9">
            <w:pPr>
              <w:autoSpaceDE w:val="0"/>
              <w:autoSpaceDN w:val="0"/>
              <w:adjustRightInd w:val="0"/>
              <w:rPr>
                <w:rFonts w:eastAsia="Calibri"/>
                <w:color w:val="000000"/>
                <w:sz w:val="22"/>
              </w:rPr>
            </w:pPr>
            <w:r w:rsidRPr="00B74A55">
              <w:rPr>
                <w:rFonts w:eastAsia="Calibri"/>
                <w:color w:val="000000"/>
                <w:sz w:val="22"/>
              </w:rPr>
              <w:t>Обсяг</w:t>
            </w:r>
          </w:p>
        </w:tc>
        <w:tc>
          <w:tcPr>
            <w:tcW w:w="1414" w:type="dxa"/>
            <w:gridSpan w:val="2"/>
            <w:tcBorders>
              <w:top w:val="single" w:sz="6" w:space="0" w:color="auto"/>
              <w:left w:val="single" w:sz="6" w:space="0" w:color="auto"/>
              <w:bottom w:val="single" w:sz="6" w:space="0" w:color="auto"/>
              <w:right w:val="single" w:sz="6" w:space="0" w:color="auto"/>
            </w:tcBorders>
          </w:tcPr>
          <w:p w:rsidR="00C161F9" w:rsidRPr="00B74A55" w:rsidRDefault="00C161F9" w:rsidP="00C161F9">
            <w:pPr>
              <w:autoSpaceDE w:val="0"/>
              <w:autoSpaceDN w:val="0"/>
              <w:adjustRightInd w:val="0"/>
              <w:rPr>
                <w:rFonts w:eastAsia="Calibri"/>
                <w:color w:val="000000"/>
                <w:sz w:val="22"/>
              </w:rPr>
            </w:pPr>
            <w:r w:rsidRPr="00B74A55">
              <w:rPr>
                <w:rFonts w:eastAsia="Calibri"/>
                <w:color w:val="000000"/>
                <w:sz w:val="22"/>
              </w:rPr>
              <w:t>Назва джерела</w:t>
            </w:r>
          </w:p>
        </w:tc>
        <w:tc>
          <w:tcPr>
            <w:tcW w:w="1417" w:type="dxa"/>
            <w:vMerge/>
            <w:tcBorders>
              <w:left w:val="single" w:sz="6" w:space="0" w:color="auto"/>
              <w:bottom w:val="single" w:sz="6" w:space="0" w:color="auto"/>
              <w:right w:val="single" w:sz="6" w:space="0" w:color="auto"/>
            </w:tcBorders>
          </w:tcPr>
          <w:p w:rsidR="00C161F9" w:rsidRPr="00B74A55" w:rsidRDefault="00C161F9" w:rsidP="00C161F9">
            <w:pPr>
              <w:autoSpaceDE w:val="0"/>
              <w:autoSpaceDN w:val="0"/>
              <w:adjustRightInd w:val="0"/>
              <w:rPr>
                <w:rFonts w:eastAsia="Calibri"/>
                <w:color w:val="000000"/>
                <w:sz w:val="22"/>
              </w:rPr>
            </w:pPr>
          </w:p>
        </w:tc>
      </w:tr>
      <w:tr w:rsidR="00C161F9" w:rsidRPr="00B74A55" w:rsidTr="00C161F9">
        <w:trPr>
          <w:trHeight w:val="476"/>
        </w:trPr>
        <w:tc>
          <w:tcPr>
            <w:tcW w:w="1448" w:type="dxa"/>
            <w:vMerge/>
            <w:tcBorders>
              <w:left w:val="nil"/>
              <w:bottom w:val="nil"/>
              <w:right w:val="nil"/>
            </w:tcBorders>
          </w:tcPr>
          <w:p w:rsidR="00C161F9" w:rsidRPr="00B74A55" w:rsidRDefault="00C161F9" w:rsidP="00C161F9">
            <w:pPr>
              <w:autoSpaceDE w:val="0"/>
              <w:autoSpaceDN w:val="0"/>
              <w:adjustRightInd w:val="0"/>
              <w:jc w:val="right"/>
              <w:rPr>
                <w:rFonts w:eastAsia="Calibri"/>
                <w:color w:val="000000"/>
                <w:sz w:val="22"/>
              </w:rPr>
            </w:pPr>
          </w:p>
        </w:tc>
        <w:tc>
          <w:tcPr>
            <w:tcW w:w="2833" w:type="dxa"/>
            <w:vMerge/>
            <w:tcBorders>
              <w:left w:val="single" w:sz="6" w:space="0" w:color="auto"/>
              <w:bottom w:val="single" w:sz="6" w:space="0" w:color="auto"/>
              <w:right w:val="single" w:sz="6" w:space="0" w:color="auto"/>
            </w:tcBorders>
            <w:shd w:val="clear" w:color="00FFFF" w:fill="C6D9F1" w:themeFill="text2" w:themeFillTint="33"/>
          </w:tcPr>
          <w:p w:rsidR="00C161F9" w:rsidRPr="00B74A55" w:rsidRDefault="00C161F9" w:rsidP="00C161F9">
            <w:pPr>
              <w:autoSpaceDE w:val="0"/>
              <w:autoSpaceDN w:val="0"/>
              <w:adjustRightInd w:val="0"/>
              <w:rPr>
                <w:rFonts w:eastAsia="Calibri"/>
                <w:b/>
                <w:color w:val="000000"/>
                <w:sz w:val="22"/>
              </w:rPr>
            </w:pPr>
          </w:p>
        </w:tc>
        <w:tc>
          <w:tcPr>
            <w:tcW w:w="1842" w:type="dxa"/>
            <w:tcBorders>
              <w:top w:val="single" w:sz="6" w:space="0" w:color="auto"/>
              <w:left w:val="single" w:sz="6" w:space="0" w:color="auto"/>
              <w:bottom w:val="single" w:sz="6" w:space="0" w:color="auto"/>
              <w:right w:val="single" w:sz="6" w:space="0" w:color="auto"/>
            </w:tcBorders>
          </w:tcPr>
          <w:p w:rsidR="00C161F9" w:rsidRPr="00B74A55" w:rsidRDefault="00C161F9" w:rsidP="00C161F9">
            <w:pPr>
              <w:autoSpaceDE w:val="0"/>
              <w:autoSpaceDN w:val="0"/>
              <w:adjustRightInd w:val="0"/>
              <w:rPr>
                <w:rFonts w:eastAsia="Calibri"/>
                <w:color w:val="000000"/>
                <w:sz w:val="22"/>
              </w:rPr>
            </w:pPr>
            <w:r w:rsidRPr="00B74A55">
              <w:rPr>
                <w:rFonts w:eastAsia="Calibri"/>
                <w:color w:val="000000"/>
                <w:sz w:val="22"/>
              </w:rPr>
              <w:t>2709,0</w:t>
            </w:r>
          </w:p>
        </w:tc>
        <w:tc>
          <w:tcPr>
            <w:tcW w:w="1278" w:type="dxa"/>
            <w:tcBorders>
              <w:top w:val="single" w:sz="6" w:space="0" w:color="auto"/>
              <w:left w:val="single" w:sz="6" w:space="0" w:color="auto"/>
              <w:bottom w:val="single" w:sz="6" w:space="0" w:color="auto"/>
              <w:right w:val="single" w:sz="6" w:space="0" w:color="auto"/>
            </w:tcBorders>
          </w:tcPr>
          <w:p w:rsidR="00C161F9" w:rsidRPr="00B74A55" w:rsidRDefault="00C161F9" w:rsidP="00C161F9">
            <w:pPr>
              <w:autoSpaceDE w:val="0"/>
              <w:autoSpaceDN w:val="0"/>
              <w:adjustRightInd w:val="0"/>
              <w:rPr>
                <w:rFonts w:eastAsia="Calibri"/>
                <w:color w:val="000000"/>
                <w:sz w:val="22"/>
              </w:rPr>
            </w:pPr>
          </w:p>
        </w:tc>
        <w:tc>
          <w:tcPr>
            <w:tcW w:w="1138" w:type="dxa"/>
            <w:tcBorders>
              <w:top w:val="single" w:sz="6" w:space="0" w:color="auto"/>
              <w:left w:val="single" w:sz="6" w:space="0" w:color="auto"/>
              <w:bottom w:val="single" w:sz="6" w:space="0" w:color="auto"/>
              <w:right w:val="single" w:sz="6" w:space="0" w:color="auto"/>
            </w:tcBorders>
          </w:tcPr>
          <w:p w:rsidR="00C161F9" w:rsidRPr="00B74A55" w:rsidRDefault="00C161F9" w:rsidP="00C161F9">
            <w:pPr>
              <w:autoSpaceDE w:val="0"/>
              <w:autoSpaceDN w:val="0"/>
              <w:adjustRightInd w:val="0"/>
              <w:rPr>
                <w:rFonts w:eastAsia="Calibri"/>
                <w:color w:val="000000"/>
                <w:sz w:val="22"/>
              </w:rPr>
            </w:pPr>
            <w:r w:rsidRPr="00B74A55">
              <w:rPr>
                <w:rFonts w:eastAsia="Calibri"/>
                <w:color w:val="000000"/>
                <w:sz w:val="22"/>
              </w:rPr>
              <w:t>1161,0</w:t>
            </w:r>
          </w:p>
        </w:tc>
        <w:tc>
          <w:tcPr>
            <w:tcW w:w="1414" w:type="dxa"/>
            <w:gridSpan w:val="2"/>
            <w:tcBorders>
              <w:top w:val="single" w:sz="6" w:space="0" w:color="auto"/>
              <w:left w:val="single" w:sz="6" w:space="0" w:color="auto"/>
              <w:bottom w:val="single" w:sz="6" w:space="0" w:color="auto"/>
              <w:right w:val="single" w:sz="6" w:space="0" w:color="auto"/>
            </w:tcBorders>
          </w:tcPr>
          <w:p w:rsidR="00C161F9" w:rsidRPr="00B74A55" w:rsidRDefault="00C161F9" w:rsidP="00C161F9">
            <w:pPr>
              <w:autoSpaceDE w:val="0"/>
              <w:autoSpaceDN w:val="0"/>
              <w:adjustRightInd w:val="0"/>
              <w:rPr>
                <w:rFonts w:eastAsia="Calibri"/>
                <w:color w:val="000000"/>
                <w:sz w:val="22"/>
              </w:rPr>
            </w:pPr>
            <w:r w:rsidRPr="00B74A55">
              <w:rPr>
                <w:sz w:val="22"/>
              </w:rPr>
              <w:t>Міжнародні інвестиції</w:t>
            </w:r>
          </w:p>
        </w:tc>
        <w:tc>
          <w:tcPr>
            <w:tcW w:w="1417" w:type="dxa"/>
            <w:tcBorders>
              <w:top w:val="single" w:sz="6" w:space="0" w:color="auto"/>
              <w:left w:val="single" w:sz="6" w:space="0" w:color="auto"/>
              <w:bottom w:val="single" w:sz="6" w:space="0" w:color="auto"/>
              <w:right w:val="single" w:sz="6" w:space="0" w:color="auto"/>
            </w:tcBorders>
          </w:tcPr>
          <w:p w:rsidR="00C161F9" w:rsidRPr="00B74A55" w:rsidRDefault="00C161F9" w:rsidP="00C161F9">
            <w:pPr>
              <w:autoSpaceDE w:val="0"/>
              <w:autoSpaceDN w:val="0"/>
              <w:adjustRightInd w:val="0"/>
              <w:rPr>
                <w:rFonts w:eastAsia="Calibri"/>
                <w:color w:val="000000"/>
                <w:sz w:val="22"/>
              </w:rPr>
            </w:pPr>
            <w:r w:rsidRPr="00B74A55">
              <w:rPr>
                <w:rFonts w:eastAsia="Calibri"/>
                <w:color w:val="000000"/>
                <w:sz w:val="22"/>
              </w:rPr>
              <w:t>3 870, 000</w:t>
            </w:r>
          </w:p>
        </w:tc>
      </w:tr>
    </w:tbl>
    <w:p w:rsidR="00C161F9" w:rsidRPr="00B74A55" w:rsidRDefault="00C161F9" w:rsidP="00E33AAA">
      <w:pPr>
        <w:tabs>
          <w:tab w:val="left" w:pos="5290"/>
        </w:tabs>
        <w:rPr>
          <w:b/>
          <w:sz w:val="22"/>
          <w:szCs w:val="22"/>
        </w:rPr>
      </w:pPr>
    </w:p>
    <w:p w:rsidR="004C1361" w:rsidRPr="00B74A55" w:rsidRDefault="004C1361" w:rsidP="00E33AAA">
      <w:pPr>
        <w:tabs>
          <w:tab w:val="left" w:pos="5290"/>
        </w:tabs>
        <w:rPr>
          <w:b/>
          <w:sz w:val="22"/>
          <w:szCs w:val="22"/>
        </w:rPr>
      </w:pPr>
    </w:p>
    <w:p w:rsidR="00CF4B4F" w:rsidRPr="00B74A55" w:rsidRDefault="00CF4B4F" w:rsidP="00E33AAA">
      <w:pPr>
        <w:tabs>
          <w:tab w:val="left" w:pos="5290"/>
        </w:tabs>
        <w:rPr>
          <w:b/>
          <w:sz w:val="22"/>
          <w:szCs w:val="22"/>
        </w:rPr>
      </w:pPr>
    </w:p>
    <w:p w:rsidR="00CF4B4F" w:rsidRPr="00B74A55" w:rsidRDefault="00CF4B4F" w:rsidP="00E33AAA">
      <w:pPr>
        <w:tabs>
          <w:tab w:val="left" w:pos="5290"/>
        </w:tabs>
        <w:rPr>
          <w:b/>
          <w:sz w:val="22"/>
          <w:szCs w:val="22"/>
        </w:rPr>
      </w:pPr>
    </w:p>
    <w:p w:rsidR="00CF4B4F" w:rsidRPr="00B74A55" w:rsidRDefault="00CF4B4F" w:rsidP="00E33AAA">
      <w:pPr>
        <w:tabs>
          <w:tab w:val="left" w:pos="5290"/>
        </w:tabs>
        <w:rPr>
          <w:b/>
          <w:sz w:val="22"/>
          <w:szCs w:val="22"/>
        </w:rPr>
      </w:pPr>
    </w:p>
    <w:p w:rsidR="00CF4B4F" w:rsidRPr="00B74A55" w:rsidRDefault="00CF4B4F" w:rsidP="00E33AAA">
      <w:pPr>
        <w:tabs>
          <w:tab w:val="left" w:pos="5290"/>
        </w:tabs>
        <w:rPr>
          <w:b/>
          <w:sz w:val="22"/>
          <w:szCs w:val="22"/>
        </w:rPr>
      </w:pPr>
    </w:p>
    <w:p w:rsidR="00CF4B4F" w:rsidRPr="00B74A55" w:rsidRDefault="00CF4B4F" w:rsidP="00E33AAA">
      <w:pPr>
        <w:tabs>
          <w:tab w:val="left" w:pos="5290"/>
        </w:tabs>
        <w:rPr>
          <w:b/>
          <w:sz w:val="22"/>
          <w:szCs w:val="22"/>
        </w:rPr>
      </w:pPr>
    </w:p>
    <w:p w:rsidR="00CF4B4F" w:rsidRPr="00B74A55" w:rsidRDefault="00CF4B4F" w:rsidP="00E33AAA">
      <w:pPr>
        <w:tabs>
          <w:tab w:val="left" w:pos="5290"/>
        </w:tabs>
        <w:rPr>
          <w:b/>
          <w:sz w:val="22"/>
          <w:szCs w:val="22"/>
        </w:rPr>
      </w:pPr>
    </w:p>
    <w:tbl>
      <w:tblPr>
        <w:tblpPr w:leftFromText="180" w:rightFromText="180" w:vertAnchor="text" w:horzAnchor="margin" w:tblpXSpec="center" w:tblpY="198"/>
        <w:tblW w:w="9806" w:type="dxa"/>
        <w:tblLayout w:type="fixed"/>
        <w:tblCellMar>
          <w:left w:w="30" w:type="dxa"/>
          <w:right w:w="30" w:type="dxa"/>
        </w:tblCellMar>
        <w:tblLook w:val="0000" w:firstRow="0" w:lastRow="0" w:firstColumn="0" w:lastColumn="0" w:noHBand="0" w:noVBand="0"/>
      </w:tblPr>
      <w:tblGrid>
        <w:gridCol w:w="2631"/>
        <w:gridCol w:w="1227"/>
        <w:gridCol w:w="1275"/>
        <w:gridCol w:w="1276"/>
        <w:gridCol w:w="1701"/>
        <w:gridCol w:w="1696"/>
      </w:tblGrid>
      <w:tr w:rsidR="00CF4B4F" w:rsidRPr="00B74A55" w:rsidTr="00CF4B4F">
        <w:trPr>
          <w:trHeight w:val="547"/>
        </w:trPr>
        <w:tc>
          <w:tcPr>
            <w:tcW w:w="2631"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F4B4F" w:rsidRPr="00B74A55" w:rsidRDefault="00CF4B4F" w:rsidP="00CF4B4F">
            <w:pPr>
              <w:autoSpaceDE w:val="0"/>
              <w:autoSpaceDN w:val="0"/>
              <w:adjustRightInd w:val="0"/>
              <w:rPr>
                <w:rFonts w:eastAsia="Calibri"/>
                <w:b/>
                <w:color w:val="000000"/>
                <w:sz w:val="22"/>
              </w:rPr>
            </w:pPr>
            <w:r w:rsidRPr="00B74A55">
              <w:rPr>
                <w:rFonts w:eastAsia="Calibri"/>
                <w:b/>
                <w:color w:val="000000"/>
                <w:sz w:val="22"/>
              </w:rPr>
              <w:t>Оперативна ціль/завдання</w:t>
            </w:r>
          </w:p>
        </w:tc>
        <w:tc>
          <w:tcPr>
            <w:tcW w:w="7175" w:type="dxa"/>
            <w:gridSpan w:val="5"/>
            <w:tcBorders>
              <w:top w:val="single" w:sz="6" w:space="0" w:color="auto"/>
              <w:left w:val="single" w:sz="6" w:space="0" w:color="auto"/>
              <w:bottom w:val="single" w:sz="6" w:space="0" w:color="auto"/>
              <w:right w:val="single" w:sz="6" w:space="0" w:color="auto"/>
            </w:tcBorders>
          </w:tcPr>
          <w:p w:rsidR="00CF4B4F" w:rsidRPr="00B74A55" w:rsidRDefault="00CF4B4F" w:rsidP="00CF4B4F">
            <w:pPr>
              <w:rPr>
                <w:rFonts w:eastAsia="Calibri"/>
                <w:color w:val="000000"/>
                <w:sz w:val="22"/>
              </w:rPr>
            </w:pPr>
            <w:r w:rsidRPr="00B74A55">
              <w:rPr>
                <w:color w:val="222222"/>
                <w:sz w:val="22"/>
                <w:shd w:val="clear" w:color="auto" w:fill="FFFFFF"/>
              </w:rPr>
              <w:t xml:space="preserve">Людський розвиток через інновації управління та довіру до влади. Формування сучасного інклюзивного  </w:t>
            </w:r>
            <w:proofErr w:type="spellStart"/>
            <w:r w:rsidRPr="00B74A55">
              <w:rPr>
                <w:color w:val="222222"/>
                <w:sz w:val="22"/>
                <w:shd w:val="clear" w:color="auto" w:fill="FFFFFF"/>
              </w:rPr>
              <w:t>освітньо</w:t>
            </w:r>
            <w:proofErr w:type="spellEnd"/>
            <w:r w:rsidRPr="00B74A55">
              <w:rPr>
                <w:color w:val="222222"/>
                <w:sz w:val="22"/>
                <w:shd w:val="clear" w:color="auto" w:fill="FFFFFF"/>
              </w:rPr>
              <w:t>-культурного та спортивного простору для розвитку.</w:t>
            </w:r>
            <w:r w:rsidRPr="00B74A55">
              <w:rPr>
                <w:color w:val="000000"/>
                <w:sz w:val="22"/>
              </w:rPr>
              <w:br/>
              <w:t xml:space="preserve">Ефективна система реагування на надзвичайні </w:t>
            </w:r>
            <w:proofErr w:type="spellStart"/>
            <w:r w:rsidRPr="00B74A55">
              <w:rPr>
                <w:color w:val="000000"/>
                <w:sz w:val="22"/>
              </w:rPr>
              <w:t>сітуації,воєнні</w:t>
            </w:r>
            <w:proofErr w:type="spellEnd"/>
            <w:r w:rsidRPr="00B74A55">
              <w:rPr>
                <w:color w:val="000000"/>
                <w:sz w:val="22"/>
              </w:rPr>
              <w:t xml:space="preserve"> дії або терористичні акти.</w:t>
            </w:r>
          </w:p>
        </w:tc>
      </w:tr>
      <w:tr w:rsidR="00CF4B4F" w:rsidRPr="00B74A55" w:rsidTr="00CF4B4F">
        <w:trPr>
          <w:trHeight w:val="681"/>
        </w:trPr>
        <w:tc>
          <w:tcPr>
            <w:tcW w:w="2631"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F4B4F" w:rsidRPr="00B74A55" w:rsidRDefault="00CF4B4F" w:rsidP="00CF4B4F">
            <w:pPr>
              <w:autoSpaceDE w:val="0"/>
              <w:autoSpaceDN w:val="0"/>
              <w:adjustRightInd w:val="0"/>
              <w:rPr>
                <w:rFonts w:eastAsia="Calibri"/>
                <w:b/>
                <w:color w:val="000000"/>
                <w:sz w:val="22"/>
              </w:rPr>
            </w:pPr>
            <w:r w:rsidRPr="00B74A55">
              <w:rPr>
                <w:rFonts w:eastAsia="Calibri"/>
                <w:b/>
                <w:color w:val="000000"/>
                <w:sz w:val="22"/>
              </w:rPr>
              <w:t>Назва проекту:</w:t>
            </w:r>
          </w:p>
        </w:tc>
        <w:tc>
          <w:tcPr>
            <w:tcW w:w="7175" w:type="dxa"/>
            <w:gridSpan w:val="5"/>
            <w:tcBorders>
              <w:top w:val="single" w:sz="6" w:space="0" w:color="auto"/>
              <w:left w:val="single" w:sz="6" w:space="0" w:color="auto"/>
              <w:bottom w:val="single" w:sz="6" w:space="0" w:color="auto"/>
              <w:right w:val="single" w:sz="6" w:space="0" w:color="auto"/>
            </w:tcBorders>
          </w:tcPr>
          <w:p w:rsidR="00CF4B4F" w:rsidRPr="00B74A55" w:rsidRDefault="00CF4B4F" w:rsidP="00CF4B4F">
            <w:pPr>
              <w:rPr>
                <w:rFonts w:eastAsia="Calibri"/>
                <w:color w:val="000000"/>
                <w:sz w:val="22"/>
              </w:rPr>
            </w:pPr>
            <w:r w:rsidRPr="00B74A55">
              <w:rPr>
                <w:color w:val="000000"/>
                <w:sz w:val="22"/>
              </w:rPr>
              <w:t xml:space="preserve">Будівництво та оснащення </w:t>
            </w:r>
            <w:proofErr w:type="spellStart"/>
            <w:r w:rsidRPr="00B74A55">
              <w:rPr>
                <w:color w:val="000000"/>
                <w:sz w:val="22"/>
              </w:rPr>
              <w:t>захистної</w:t>
            </w:r>
            <w:proofErr w:type="spellEnd"/>
            <w:r w:rsidRPr="00B74A55">
              <w:rPr>
                <w:color w:val="000000"/>
                <w:sz w:val="22"/>
              </w:rPr>
              <w:t xml:space="preserve"> споруди ЦЗ Ясел-садка №41 міста Сєвєродонецька Луганської області, за </w:t>
            </w:r>
            <w:proofErr w:type="spellStart"/>
            <w:r w:rsidRPr="00B74A55">
              <w:rPr>
                <w:color w:val="000000"/>
                <w:sz w:val="22"/>
              </w:rPr>
              <w:t>адресою:вул</w:t>
            </w:r>
            <w:proofErr w:type="spellEnd"/>
            <w:r w:rsidRPr="00B74A55">
              <w:rPr>
                <w:color w:val="000000"/>
                <w:sz w:val="22"/>
              </w:rPr>
              <w:t>. Курчатова, б.3-А.</w:t>
            </w:r>
          </w:p>
        </w:tc>
      </w:tr>
      <w:tr w:rsidR="00CF4B4F" w:rsidRPr="00B74A55" w:rsidTr="00CF4B4F">
        <w:trPr>
          <w:trHeight w:val="616"/>
        </w:trPr>
        <w:tc>
          <w:tcPr>
            <w:tcW w:w="2631"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F4B4F" w:rsidRPr="00B74A55" w:rsidRDefault="00CF4B4F" w:rsidP="00CF4B4F">
            <w:pPr>
              <w:autoSpaceDE w:val="0"/>
              <w:autoSpaceDN w:val="0"/>
              <w:adjustRightInd w:val="0"/>
              <w:rPr>
                <w:rFonts w:eastAsia="Calibri"/>
                <w:b/>
                <w:color w:val="000000"/>
                <w:sz w:val="22"/>
              </w:rPr>
            </w:pPr>
            <w:r w:rsidRPr="00B74A55">
              <w:rPr>
                <w:rFonts w:eastAsia="Calibri"/>
                <w:b/>
                <w:color w:val="000000"/>
                <w:sz w:val="22"/>
              </w:rPr>
              <w:t>Ціль проекту</w:t>
            </w:r>
          </w:p>
        </w:tc>
        <w:tc>
          <w:tcPr>
            <w:tcW w:w="7175" w:type="dxa"/>
            <w:gridSpan w:val="5"/>
            <w:tcBorders>
              <w:top w:val="single" w:sz="6" w:space="0" w:color="auto"/>
              <w:left w:val="single" w:sz="6" w:space="0" w:color="auto"/>
              <w:bottom w:val="single" w:sz="6" w:space="0" w:color="auto"/>
              <w:right w:val="single" w:sz="6" w:space="0" w:color="auto"/>
            </w:tcBorders>
          </w:tcPr>
          <w:p w:rsidR="00CF4B4F" w:rsidRPr="00B74A55" w:rsidRDefault="00CF4B4F" w:rsidP="00CF4B4F">
            <w:pPr>
              <w:rPr>
                <w:rFonts w:eastAsia="Calibri"/>
                <w:color w:val="000000"/>
                <w:sz w:val="22"/>
              </w:rPr>
            </w:pPr>
            <w:r w:rsidRPr="00B74A55">
              <w:rPr>
                <w:color w:val="000000"/>
                <w:sz w:val="22"/>
              </w:rPr>
              <w:t xml:space="preserve">Створення в закладі безпечних умов для всіх </w:t>
            </w:r>
            <w:proofErr w:type="spellStart"/>
            <w:r w:rsidRPr="00B74A55">
              <w:rPr>
                <w:color w:val="000000"/>
                <w:sz w:val="22"/>
              </w:rPr>
              <w:t>участників</w:t>
            </w:r>
            <w:proofErr w:type="spellEnd"/>
            <w:r w:rsidRPr="00B74A55">
              <w:rPr>
                <w:color w:val="000000"/>
                <w:sz w:val="22"/>
              </w:rPr>
              <w:t xml:space="preserve"> освітнього процесу.</w:t>
            </w:r>
          </w:p>
        </w:tc>
      </w:tr>
      <w:tr w:rsidR="00CF4B4F" w:rsidRPr="00B74A55" w:rsidTr="00CF4B4F">
        <w:trPr>
          <w:trHeight w:val="286"/>
        </w:trPr>
        <w:tc>
          <w:tcPr>
            <w:tcW w:w="2631"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F4B4F" w:rsidRPr="00B74A55" w:rsidRDefault="00CF4B4F" w:rsidP="00CF4B4F">
            <w:pPr>
              <w:autoSpaceDE w:val="0"/>
              <w:autoSpaceDN w:val="0"/>
              <w:adjustRightInd w:val="0"/>
              <w:rPr>
                <w:rFonts w:eastAsia="Calibri"/>
                <w:b/>
                <w:color w:val="000000"/>
                <w:sz w:val="22"/>
              </w:rPr>
            </w:pPr>
            <w:r w:rsidRPr="00B74A55">
              <w:rPr>
                <w:rFonts w:eastAsia="Calibri"/>
                <w:b/>
                <w:color w:val="000000"/>
                <w:sz w:val="22"/>
              </w:rPr>
              <w:t>Територія, на яку матиме вплив реалізація проекту</w:t>
            </w:r>
          </w:p>
        </w:tc>
        <w:tc>
          <w:tcPr>
            <w:tcW w:w="7175" w:type="dxa"/>
            <w:gridSpan w:val="5"/>
            <w:tcBorders>
              <w:top w:val="single" w:sz="6" w:space="0" w:color="auto"/>
              <w:left w:val="single" w:sz="6" w:space="0" w:color="auto"/>
              <w:bottom w:val="single" w:sz="6" w:space="0" w:color="auto"/>
              <w:right w:val="single" w:sz="6" w:space="0" w:color="auto"/>
            </w:tcBorders>
          </w:tcPr>
          <w:p w:rsidR="00CF4B4F" w:rsidRPr="00B74A55" w:rsidRDefault="00CF4B4F" w:rsidP="00CF4B4F">
            <w:pPr>
              <w:autoSpaceDE w:val="0"/>
              <w:autoSpaceDN w:val="0"/>
              <w:adjustRightInd w:val="0"/>
              <w:rPr>
                <w:rFonts w:eastAsia="Calibri"/>
                <w:color w:val="000000"/>
                <w:sz w:val="22"/>
              </w:rPr>
            </w:pPr>
            <w:r w:rsidRPr="00B74A55">
              <w:rPr>
                <w:rFonts w:eastAsia="Calibri"/>
                <w:color w:val="000000"/>
                <w:sz w:val="22"/>
              </w:rPr>
              <w:t>Сєвєродонецька міська територіальна громада</w:t>
            </w:r>
          </w:p>
        </w:tc>
      </w:tr>
      <w:tr w:rsidR="00CF4B4F" w:rsidRPr="00B74A55" w:rsidTr="00CF4B4F">
        <w:trPr>
          <w:trHeight w:val="585"/>
        </w:trPr>
        <w:tc>
          <w:tcPr>
            <w:tcW w:w="2631"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F4B4F" w:rsidRPr="00B74A55" w:rsidRDefault="00CF4B4F" w:rsidP="00CF4B4F">
            <w:pPr>
              <w:autoSpaceDE w:val="0"/>
              <w:autoSpaceDN w:val="0"/>
              <w:adjustRightInd w:val="0"/>
              <w:rPr>
                <w:rFonts w:eastAsia="Calibri"/>
                <w:b/>
                <w:color w:val="000000"/>
                <w:sz w:val="22"/>
              </w:rPr>
            </w:pPr>
            <w:r w:rsidRPr="00B74A55">
              <w:rPr>
                <w:rFonts w:eastAsia="Calibri"/>
                <w:b/>
                <w:color w:val="000000"/>
                <w:sz w:val="22"/>
              </w:rPr>
              <w:t>Чисельність населення, на яке матиме вплив реалізація проекту</w:t>
            </w:r>
          </w:p>
        </w:tc>
        <w:tc>
          <w:tcPr>
            <w:tcW w:w="7175" w:type="dxa"/>
            <w:gridSpan w:val="5"/>
            <w:tcBorders>
              <w:top w:val="single" w:sz="6" w:space="0" w:color="auto"/>
              <w:left w:val="single" w:sz="6" w:space="0" w:color="auto"/>
              <w:bottom w:val="single" w:sz="6" w:space="0" w:color="auto"/>
              <w:right w:val="single" w:sz="6" w:space="0" w:color="auto"/>
            </w:tcBorders>
          </w:tcPr>
          <w:p w:rsidR="00CF4B4F" w:rsidRPr="00B74A55" w:rsidRDefault="00CF4B4F" w:rsidP="00CF4B4F">
            <w:pPr>
              <w:rPr>
                <w:sz w:val="22"/>
              </w:rPr>
            </w:pPr>
            <w:r w:rsidRPr="00B74A55">
              <w:rPr>
                <w:sz w:val="22"/>
              </w:rPr>
              <w:t>70 000</w:t>
            </w:r>
          </w:p>
          <w:p w:rsidR="00CF4B4F" w:rsidRPr="00B74A55" w:rsidRDefault="00CF4B4F" w:rsidP="00CF4B4F">
            <w:pPr>
              <w:autoSpaceDE w:val="0"/>
              <w:autoSpaceDN w:val="0"/>
              <w:adjustRightInd w:val="0"/>
              <w:rPr>
                <w:rFonts w:eastAsia="Calibri"/>
                <w:color w:val="000000"/>
                <w:sz w:val="22"/>
              </w:rPr>
            </w:pPr>
          </w:p>
        </w:tc>
      </w:tr>
      <w:tr w:rsidR="00CF4B4F" w:rsidRPr="00B74A55" w:rsidTr="00CF4B4F">
        <w:trPr>
          <w:trHeight w:val="962"/>
        </w:trPr>
        <w:tc>
          <w:tcPr>
            <w:tcW w:w="2631"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F4B4F" w:rsidRPr="00B74A55" w:rsidRDefault="00CF4B4F" w:rsidP="00CF4B4F">
            <w:pPr>
              <w:autoSpaceDE w:val="0"/>
              <w:autoSpaceDN w:val="0"/>
              <w:adjustRightInd w:val="0"/>
              <w:rPr>
                <w:rFonts w:eastAsia="Calibri"/>
                <w:b/>
                <w:color w:val="000000"/>
                <w:sz w:val="22"/>
              </w:rPr>
            </w:pPr>
            <w:r w:rsidRPr="00B74A55">
              <w:rPr>
                <w:rFonts w:eastAsia="Calibri"/>
                <w:b/>
                <w:color w:val="000000"/>
                <w:sz w:val="22"/>
              </w:rPr>
              <w:t>Опис проблеми, на вирішення якої спрямований проект</w:t>
            </w:r>
          </w:p>
        </w:tc>
        <w:tc>
          <w:tcPr>
            <w:tcW w:w="7175" w:type="dxa"/>
            <w:gridSpan w:val="5"/>
            <w:tcBorders>
              <w:top w:val="single" w:sz="6" w:space="0" w:color="auto"/>
              <w:left w:val="single" w:sz="6" w:space="0" w:color="auto"/>
              <w:bottom w:val="single" w:sz="6" w:space="0" w:color="auto"/>
              <w:right w:val="single" w:sz="6" w:space="0" w:color="auto"/>
            </w:tcBorders>
          </w:tcPr>
          <w:p w:rsidR="00CF4B4F" w:rsidRPr="00B74A55" w:rsidRDefault="00CF4B4F" w:rsidP="00CF4B4F">
            <w:pPr>
              <w:rPr>
                <w:rFonts w:eastAsia="Calibri"/>
                <w:color w:val="000000"/>
                <w:sz w:val="22"/>
              </w:rPr>
            </w:pPr>
            <w:r w:rsidRPr="00B74A55">
              <w:rPr>
                <w:color w:val="000000"/>
                <w:sz w:val="22"/>
              </w:rPr>
              <w:t xml:space="preserve">Відсутність в Яслах-садку </w:t>
            </w:r>
            <w:proofErr w:type="spellStart"/>
            <w:r w:rsidRPr="00B74A55">
              <w:rPr>
                <w:color w:val="000000"/>
                <w:sz w:val="22"/>
              </w:rPr>
              <w:t>захистної</w:t>
            </w:r>
            <w:proofErr w:type="spellEnd"/>
            <w:r w:rsidRPr="00B74A55">
              <w:rPr>
                <w:color w:val="000000"/>
                <w:sz w:val="22"/>
              </w:rPr>
              <w:t xml:space="preserve"> споруди ЦЗ, призначеної для захисту учасників освітнього процесу від впливу небезпечних факторів,</w:t>
            </w:r>
            <w:r w:rsidR="00546030" w:rsidRPr="00B74A55">
              <w:rPr>
                <w:color w:val="000000"/>
                <w:sz w:val="22"/>
              </w:rPr>
              <w:t xml:space="preserve"> </w:t>
            </w:r>
            <w:r w:rsidRPr="00B74A55">
              <w:rPr>
                <w:color w:val="000000"/>
                <w:sz w:val="22"/>
              </w:rPr>
              <w:t>що виникають внаслідок надзвичайних ситуацій,</w:t>
            </w:r>
            <w:r w:rsidR="00546030" w:rsidRPr="00B74A55">
              <w:rPr>
                <w:color w:val="000000"/>
                <w:sz w:val="22"/>
              </w:rPr>
              <w:t xml:space="preserve"> </w:t>
            </w:r>
            <w:r w:rsidRPr="00B74A55">
              <w:rPr>
                <w:color w:val="000000"/>
                <w:sz w:val="22"/>
              </w:rPr>
              <w:t>воєнних дій або терористичних актів.</w:t>
            </w:r>
          </w:p>
        </w:tc>
      </w:tr>
      <w:tr w:rsidR="00CF4B4F" w:rsidRPr="00B74A55" w:rsidTr="00CF4B4F">
        <w:trPr>
          <w:trHeight w:val="780"/>
        </w:trPr>
        <w:tc>
          <w:tcPr>
            <w:tcW w:w="2631"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F4B4F" w:rsidRPr="00B74A55" w:rsidRDefault="00CF4B4F" w:rsidP="00CF4B4F">
            <w:pPr>
              <w:autoSpaceDE w:val="0"/>
              <w:autoSpaceDN w:val="0"/>
              <w:adjustRightInd w:val="0"/>
              <w:rPr>
                <w:rFonts w:eastAsia="Calibri"/>
                <w:b/>
                <w:color w:val="000000"/>
                <w:sz w:val="22"/>
              </w:rPr>
            </w:pPr>
            <w:r w:rsidRPr="00B74A55">
              <w:rPr>
                <w:rFonts w:eastAsia="Calibri"/>
                <w:b/>
                <w:color w:val="000000"/>
                <w:sz w:val="22"/>
              </w:rPr>
              <w:t>Очікувані якісні результати від реалізації проекту</w:t>
            </w:r>
          </w:p>
        </w:tc>
        <w:tc>
          <w:tcPr>
            <w:tcW w:w="7175" w:type="dxa"/>
            <w:gridSpan w:val="5"/>
            <w:tcBorders>
              <w:top w:val="single" w:sz="6" w:space="0" w:color="auto"/>
              <w:left w:val="single" w:sz="6" w:space="0" w:color="auto"/>
              <w:bottom w:val="single" w:sz="6" w:space="0" w:color="auto"/>
              <w:right w:val="single" w:sz="6" w:space="0" w:color="auto"/>
            </w:tcBorders>
          </w:tcPr>
          <w:p w:rsidR="00CF4B4F" w:rsidRPr="00B74A55" w:rsidRDefault="00CF4B4F" w:rsidP="00CF4B4F">
            <w:pPr>
              <w:rPr>
                <w:rFonts w:eastAsia="Calibri"/>
                <w:color w:val="000000"/>
                <w:sz w:val="22"/>
              </w:rPr>
            </w:pPr>
            <w:r w:rsidRPr="00B74A55">
              <w:rPr>
                <w:color w:val="000000"/>
                <w:sz w:val="22"/>
              </w:rPr>
              <w:t>Створення безпечних умов перебування в закладі,</w:t>
            </w:r>
            <w:r w:rsidR="00546030" w:rsidRPr="00B74A55">
              <w:rPr>
                <w:color w:val="000000"/>
                <w:sz w:val="22"/>
              </w:rPr>
              <w:t xml:space="preserve"> </w:t>
            </w:r>
            <w:r w:rsidRPr="00B74A55">
              <w:rPr>
                <w:color w:val="000000"/>
                <w:sz w:val="22"/>
              </w:rPr>
              <w:t xml:space="preserve">збереження життя та здоров’я всіх </w:t>
            </w:r>
            <w:proofErr w:type="spellStart"/>
            <w:r w:rsidRPr="00B74A55">
              <w:rPr>
                <w:color w:val="000000"/>
                <w:sz w:val="22"/>
              </w:rPr>
              <w:t>участників</w:t>
            </w:r>
            <w:proofErr w:type="spellEnd"/>
            <w:r w:rsidRPr="00B74A55">
              <w:rPr>
                <w:color w:val="000000"/>
                <w:sz w:val="22"/>
              </w:rPr>
              <w:t xml:space="preserve"> освітнього процесу у разі надзвичайних ситуацій.</w:t>
            </w:r>
          </w:p>
        </w:tc>
      </w:tr>
      <w:tr w:rsidR="00CF4B4F" w:rsidRPr="00B74A55" w:rsidTr="00CF4B4F">
        <w:trPr>
          <w:trHeight w:val="860"/>
        </w:trPr>
        <w:tc>
          <w:tcPr>
            <w:tcW w:w="2631"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F4B4F" w:rsidRPr="00B74A55" w:rsidRDefault="00CF4B4F" w:rsidP="00CF4B4F">
            <w:pPr>
              <w:autoSpaceDE w:val="0"/>
              <w:autoSpaceDN w:val="0"/>
              <w:adjustRightInd w:val="0"/>
              <w:rPr>
                <w:rFonts w:eastAsia="Calibri"/>
                <w:b/>
                <w:color w:val="000000"/>
                <w:sz w:val="22"/>
              </w:rPr>
            </w:pPr>
            <w:r w:rsidRPr="00B74A55">
              <w:rPr>
                <w:rFonts w:eastAsia="Calibri"/>
                <w:b/>
                <w:color w:val="000000"/>
                <w:sz w:val="22"/>
              </w:rPr>
              <w:t>Очікувані кількісні результати від реалізації проекту  (індикатори)</w:t>
            </w:r>
          </w:p>
        </w:tc>
        <w:tc>
          <w:tcPr>
            <w:tcW w:w="3778" w:type="dxa"/>
            <w:gridSpan w:val="3"/>
            <w:tcBorders>
              <w:top w:val="single" w:sz="6" w:space="0" w:color="auto"/>
              <w:left w:val="single" w:sz="6" w:space="0" w:color="auto"/>
              <w:bottom w:val="single" w:sz="6" w:space="0" w:color="auto"/>
              <w:right w:val="single" w:sz="6" w:space="0" w:color="auto"/>
            </w:tcBorders>
          </w:tcPr>
          <w:p w:rsidR="00CF4B4F" w:rsidRPr="00B74A55" w:rsidRDefault="00CF4B4F" w:rsidP="00CF4B4F">
            <w:pPr>
              <w:autoSpaceDE w:val="0"/>
              <w:autoSpaceDN w:val="0"/>
              <w:adjustRightInd w:val="0"/>
              <w:rPr>
                <w:rFonts w:eastAsia="Calibri"/>
                <w:b/>
                <w:color w:val="000000"/>
                <w:sz w:val="22"/>
              </w:rPr>
            </w:pPr>
            <w:r w:rsidRPr="00B74A55">
              <w:rPr>
                <w:rFonts w:eastAsia="Calibri"/>
                <w:b/>
                <w:color w:val="000000"/>
                <w:sz w:val="22"/>
              </w:rPr>
              <w:t>Найменування показника</w:t>
            </w:r>
          </w:p>
        </w:tc>
        <w:tc>
          <w:tcPr>
            <w:tcW w:w="1701" w:type="dxa"/>
            <w:tcBorders>
              <w:top w:val="single" w:sz="6" w:space="0" w:color="auto"/>
              <w:left w:val="single" w:sz="6" w:space="0" w:color="auto"/>
              <w:bottom w:val="single" w:sz="6" w:space="0" w:color="auto"/>
              <w:right w:val="single" w:sz="6" w:space="0" w:color="auto"/>
            </w:tcBorders>
          </w:tcPr>
          <w:p w:rsidR="00CF4B4F" w:rsidRPr="00B74A55" w:rsidRDefault="00CF4B4F" w:rsidP="00CF4B4F">
            <w:pPr>
              <w:autoSpaceDE w:val="0"/>
              <w:autoSpaceDN w:val="0"/>
              <w:adjustRightInd w:val="0"/>
              <w:rPr>
                <w:rFonts w:eastAsia="Calibri"/>
                <w:b/>
                <w:color w:val="000000"/>
                <w:sz w:val="22"/>
              </w:rPr>
            </w:pPr>
            <w:r w:rsidRPr="00B74A55">
              <w:rPr>
                <w:rFonts w:eastAsia="Calibri"/>
                <w:b/>
                <w:color w:val="000000"/>
                <w:sz w:val="22"/>
              </w:rPr>
              <w:t>Одиниця вимірювання</w:t>
            </w:r>
          </w:p>
        </w:tc>
        <w:tc>
          <w:tcPr>
            <w:tcW w:w="1696" w:type="dxa"/>
            <w:tcBorders>
              <w:top w:val="single" w:sz="6" w:space="0" w:color="auto"/>
              <w:left w:val="single" w:sz="6" w:space="0" w:color="auto"/>
              <w:bottom w:val="single" w:sz="6" w:space="0" w:color="auto"/>
              <w:right w:val="single" w:sz="6" w:space="0" w:color="auto"/>
            </w:tcBorders>
          </w:tcPr>
          <w:p w:rsidR="00CF4B4F" w:rsidRPr="00B74A55" w:rsidRDefault="00CF4B4F" w:rsidP="00CF4B4F">
            <w:pPr>
              <w:autoSpaceDE w:val="0"/>
              <w:autoSpaceDN w:val="0"/>
              <w:adjustRightInd w:val="0"/>
              <w:rPr>
                <w:rFonts w:eastAsia="Calibri"/>
                <w:b/>
                <w:color w:val="000000"/>
                <w:sz w:val="22"/>
              </w:rPr>
            </w:pPr>
            <w:r w:rsidRPr="00B74A55">
              <w:rPr>
                <w:rFonts w:eastAsia="Calibri"/>
                <w:b/>
                <w:color w:val="000000"/>
                <w:sz w:val="22"/>
              </w:rPr>
              <w:t>Прогнозне (цільове) значення</w:t>
            </w:r>
          </w:p>
        </w:tc>
      </w:tr>
      <w:tr w:rsidR="00CF4B4F" w:rsidRPr="00B74A55" w:rsidTr="00CF4B4F">
        <w:trPr>
          <w:trHeight w:val="1216"/>
        </w:trPr>
        <w:tc>
          <w:tcPr>
            <w:tcW w:w="2631"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F4B4F" w:rsidRPr="00B74A55" w:rsidRDefault="00CF4B4F" w:rsidP="00CF4B4F">
            <w:pPr>
              <w:autoSpaceDE w:val="0"/>
              <w:autoSpaceDN w:val="0"/>
              <w:adjustRightInd w:val="0"/>
              <w:rPr>
                <w:rFonts w:eastAsia="Calibri"/>
                <w:b/>
                <w:color w:val="000000"/>
                <w:sz w:val="22"/>
              </w:rPr>
            </w:pPr>
          </w:p>
        </w:tc>
        <w:tc>
          <w:tcPr>
            <w:tcW w:w="3778" w:type="dxa"/>
            <w:gridSpan w:val="3"/>
            <w:tcBorders>
              <w:top w:val="single" w:sz="6" w:space="0" w:color="auto"/>
              <w:left w:val="single" w:sz="6" w:space="0" w:color="auto"/>
              <w:bottom w:val="single" w:sz="6" w:space="0" w:color="auto"/>
              <w:right w:val="single" w:sz="6" w:space="0" w:color="auto"/>
            </w:tcBorders>
          </w:tcPr>
          <w:p w:rsidR="00CF4B4F" w:rsidRPr="00B74A55" w:rsidRDefault="00CF4B4F" w:rsidP="00CF4B4F">
            <w:pPr>
              <w:rPr>
                <w:sz w:val="22"/>
              </w:rPr>
            </w:pPr>
            <w:r w:rsidRPr="00B74A55">
              <w:rPr>
                <w:sz w:val="22"/>
              </w:rPr>
              <w:t>1.Побудувати та оснастити у закладі захисну споруду ЦЗ (сховище), призначену для захисту учасників освітнього процесу від впливу небезпечних факторів,</w:t>
            </w:r>
            <w:r w:rsidR="00132847" w:rsidRPr="00B74A55">
              <w:rPr>
                <w:sz w:val="22"/>
              </w:rPr>
              <w:t xml:space="preserve"> </w:t>
            </w:r>
            <w:r w:rsidRPr="00B74A55">
              <w:rPr>
                <w:sz w:val="22"/>
              </w:rPr>
              <w:t>що виникають внаслідок надзвичайних ситуацій,</w:t>
            </w:r>
            <w:r w:rsidR="00132847" w:rsidRPr="00B74A55">
              <w:rPr>
                <w:sz w:val="22"/>
              </w:rPr>
              <w:t xml:space="preserve"> </w:t>
            </w:r>
            <w:r w:rsidRPr="00B74A55">
              <w:rPr>
                <w:sz w:val="22"/>
              </w:rPr>
              <w:t>воєнних дій або терористичних актів.</w:t>
            </w:r>
          </w:p>
          <w:p w:rsidR="00CF4B4F" w:rsidRPr="00B74A55" w:rsidRDefault="00CF4B4F" w:rsidP="00CF4B4F">
            <w:pPr>
              <w:autoSpaceDE w:val="0"/>
              <w:autoSpaceDN w:val="0"/>
              <w:adjustRightInd w:val="0"/>
              <w:rPr>
                <w:rFonts w:eastAsia="Calibri"/>
                <w:color w:val="000000"/>
                <w:sz w:val="22"/>
              </w:rPr>
            </w:pPr>
            <w:r w:rsidRPr="00B74A55">
              <w:rPr>
                <w:rFonts w:eastAsia="Calibri"/>
                <w:color w:val="000000"/>
                <w:sz w:val="22"/>
              </w:rPr>
              <w:t>2.Термін надання послуги.</w:t>
            </w:r>
          </w:p>
        </w:tc>
        <w:tc>
          <w:tcPr>
            <w:tcW w:w="1701" w:type="dxa"/>
            <w:tcBorders>
              <w:top w:val="single" w:sz="6" w:space="0" w:color="auto"/>
              <w:left w:val="single" w:sz="6" w:space="0" w:color="auto"/>
              <w:bottom w:val="single" w:sz="6" w:space="0" w:color="auto"/>
              <w:right w:val="single" w:sz="6" w:space="0" w:color="auto"/>
            </w:tcBorders>
          </w:tcPr>
          <w:p w:rsidR="00CF4B4F" w:rsidRPr="00B74A55" w:rsidRDefault="00CF4B4F" w:rsidP="00CF4B4F">
            <w:pPr>
              <w:rPr>
                <w:sz w:val="22"/>
              </w:rPr>
            </w:pPr>
            <w:r w:rsidRPr="00B74A55">
              <w:rPr>
                <w:sz w:val="22"/>
              </w:rPr>
              <w:t>осіб</w:t>
            </w:r>
          </w:p>
          <w:p w:rsidR="00CF4B4F" w:rsidRPr="00B74A55" w:rsidRDefault="00CF4B4F" w:rsidP="00CF4B4F">
            <w:pPr>
              <w:rPr>
                <w:rFonts w:eastAsia="Calibri"/>
                <w:sz w:val="22"/>
              </w:rPr>
            </w:pPr>
          </w:p>
          <w:p w:rsidR="00CF4B4F" w:rsidRPr="00B74A55" w:rsidRDefault="00CF4B4F" w:rsidP="00CF4B4F">
            <w:pPr>
              <w:rPr>
                <w:rFonts w:eastAsia="Calibri"/>
                <w:sz w:val="22"/>
              </w:rPr>
            </w:pPr>
          </w:p>
          <w:p w:rsidR="00CF4B4F" w:rsidRPr="00B74A55" w:rsidRDefault="00CF4B4F" w:rsidP="00CF4B4F">
            <w:pPr>
              <w:rPr>
                <w:rFonts w:eastAsia="Calibri"/>
                <w:sz w:val="22"/>
              </w:rPr>
            </w:pPr>
          </w:p>
          <w:p w:rsidR="00CF4B4F" w:rsidRPr="00B74A55" w:rsidRDefault="00CF4B4F" w:rsidP="00CF4B4F">
            <w:pPr>
              <w:rPr>
                <w:rFonts w:eastAsia="Calibri"/>
                <w:sz w:val="22"/>
              </w:rPr>
            </w:pPr>
          </w:p>
          <w:p w:rsidR="00CF4B4F" w:rsidRPr="00B74A55" w:rsidRDefault="00CF4B4F" w:rsidP="00CF4B4F">
            <w:pPr>
              <w:rPr>
                <w:rFonts w:eastAsia="Calibri"/>
                <w:sz w:val="22"/>
              </w:rPr>
            </w:pPr>
          </w:p>
          <w:p w:rsidR="00CF4B4F" w:rsidRPr="00B74A55" w:rsidRDefault="00CF4B4F" w:rsidP="00CF4B4F">
            <w:pPr>
              <w:rPr>
                <w:rFonts w:eastAsia="Calibri"/>
                <w:sz w:val="22"/>
              </w:rPr>
            </w:pPr>
          </w:p>
          <w:p w:rsidR="00CF4B4F" w:rsidRPr="00B74A55" w:rsidRDefault="00CF4B4F" w:rsidP="00CF4B4F">
            <w:pPr>
              <w:rPr>
                <w:rFonts w:eastAsia="Calibri"/>
                <w:sz w:val="22"/>
              </w:rPr>
            </w:pPr>
          </w:p>
          <w:p w:rsidR="00CF4B4F" w:rsidRPr="00B74A55" w:rsidRDefault="00CF4B4F" w:rsidP="00CF4B4F">
            <w:pPr>
              <w:rPr>
                <w:rFonts w:eastAsia="Calibri"/>
                <w:sz w:val="22"/>
              </w:rPr>
            </w:pPr>
            <w:r w:rsidRPr="00B74A55">
              <w:rPr>
                <w:rFonts w:eastAsia="Calibri"/>
                <w:sz w:val="22"/>
              </w:rPr>
              <w:t>день в місяць</w:t>
            </w:r>
          </w:p>
        </w:tc>
        <w:tc>
          <w:tcPr>
            <w:tcW w:w="1696" w:type="dxa"/>
            <w:tcBorders>
              <w:top w:val="single" w:sz="6" w:space="0" w:color="auto"/>
              <w:left w:val="single" w:sz="6" w:space="0" w:color="auto"/>
              <w:bottom w:val="single" w:sz="6" w:space="0" w:color="auto"/>
              <w:right w:val="single" w:sz="6" w:space="0" w:color="auto"/>
            </w:tcBorders>
          </w:tcPr>
          <w:p w:rsidR="00CF4B4F" w:rsidRPr="00B74A55" w:rsidRDefault="00CF4B4F" w:rsidP="00CF4B4F">
            <w:pPr>
              <w:autoSpaceDE w:val="0"/>
              <w:autoSpaceDN w:val="0"/>
              <w:adjustRightInd w:val="0"/>
              <w:rPr>
                <w:rFonts w:eastAsia="Calibri"/>
                <w:sz w:val="22"/>
              </w:rPr>
            </w:pPr>
            <w:r w:rsidRPr="00B74A55">
              <w:rPr>
                <w:sz w:val="22"/>
              </w:rPr>
              <w:t>325</w:t>
            </w:r>
          </w:p>
          <w:p w:rsidR="00CF4B4F" w:rsidRPr="00B74A55" w:rsidRDefault="00CF4B4F" w:rsidP="00CF4B4F">
            <w:pPr>
              <w:rPr>
                <w:rFonts w:eastAsia="Calibri"/>
                <w:sz w:val="22"/>
              </w:rPr>
            </w:pPr>
          </w:p>
          <w:p w:rsidR="00CF4B4F" w:rsidRPr="00B74A55" w:rsidRDefault="00CF4B4F" w:rsidP="00CF4B4F">
            <w:pPr>
              <w:rPr>
                <w:rFonts w:eastAsia="Calibri"/>
                <w:sz w:val="22"/>
              </w:rPr>
            </w:pPr>
          </w:p>
          <w:p w:rsidR="00CF4B4F" w:rsidRPr="00B74A55" w:rsidRDefault="00CF4B4F" w:rsidP="00CF4B4F">
            <w:pPr>
              <w:rPr>
                <w:rFonts w:eastAsia="Calibri"/>
                <w:sz w:val="22"/>
              </w:rPr>
            </w:pPr>
          </w:p>
          <w:p w:rsidR="00CF4B4F" w:rsidRPr="00B74A55" w:rsidRDefault="00CF4B4F" w:rsidP="00CF4B4F">
            <w:pPr>
              <w:rPr>
                <w:rFonts w:eastAsia="Calibri"/>
                <w:sz w:val="22"/>
              </w:rPr>
            </w:pPr>
          </w:p>
          <w:p w:rsidR="00CF4B4F" w:rsidRPr="00B74A55" w:rsidRDefault="00CF4B4F" w:rsidP="00CF4B4F">
            <w:pPr>
              <w:rPr>
                <w:rFonts w:eastAsia="Calibri"/>
                <w:sz w:val="22"/>
              </w:rPr>
            </w:pPr>
          </w:p>
          <w:p w:rsidR="00CF4B4F" w:rsidRPr="00B74A55" w:rsidRDefault="00CF4B4F" w:rsidP="00CF4B4F">
            <w:pPr>
              <w:rPr>
                <w:rFonts w:eastAsia="Calibri"/>
                <w:sz w:val="22"/>
              </w:rPr>
            </w:pPr>
          </w:p>
          <w:p w:rsidR="00CF4B4F" w:rsidRPr="00B74A55" w:rsidRDefault="00CF4B4F" w:rsidP="00CF4B4F">
            <w:pPr>
              <w:rPr>
                <w:rFonts w:eastAsia="Calibri"/>
                <w:sz w:val="22"/>
              </w:rPr>
            </w:pPr>
          </w:p>
          <w:p w:rsidR="00CF4B4F" w:rsidRPr="00B74A55" w:rsidRDefault="00CF4B4F" w:rsidP="00CF4B4F">
            <w:pPr>
              <w:rPr>
                <w:rFonts w:eastAsia="Calibri"/>
                <w:sz w:val="22"/>
              </w:rPr>
            </w:pPr>
            <w:r w:rsidRPr="00B74A55">
              <w:rPr>
                <w:rFonts w:eastAsia="Calibri"/>
                <w:sz w:val="22"/>
              </w:rPr>
              <w:t>23</w:t>
            </w:r>
          </w:p>
        </w:tc>
      </w:tr>
      <w:tr w:rsidR="00CF4B4F" w:rsidRPr="00B74A55" w:rsidTr="00CF4B4F">
        <w:trPr>
          <w:trHeight w:val="893"/>
        </w:trPr>
        <w:tc>
          <w:tcPr>
            <w:tcW w:w="2631"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F4B4F" w:rsidRPr="00B74A55" w:rsidRDefault="00CF4B4F" w:rsidP="00CF4B4F">
            <w:pPr>
              <w:autoSpaceDE w:val="0"/>
              <w:autoSpaceDN w:val="0"/>
              <w:adjustRightInd w:val="0"/>
              <w:rPr>
                <w:rFonts w:eastAsia="Calibri"/>
                <w:b/>
                <w:color w:val="000000"/>
                <w:sz w:val="22"/>
              </w:rPr>
            </w:pPr>
            <w:r w:rsidRPr="00B74A55">
              <w:rPr>
                <w:rFonts w:eastAsia="Calibri"/>
                <w:b/>
                <w:color w:val="000000"/>
                <w:sz w:val="22"/>
              </w:rPr>
              <w:t>Ключові заходи проекту:</w:t>
            </w:r>
          </w:p>
        </w:tc>
        <w:tc>
          <w:tcPr>
            <w:tcW w:w="7175" w:type="dxa"/>
            <w:gridSpan w:val="5"/>
            <w:tcBorders>
              <w:top w:val="single" w:sz="6" w:space="0" w:color="auto"/>
              <w:left w:val="single" w:sz="6" w:space="0" w:color="auto"/>
              <w:bottom w:val="single" w:sz="6" w:space="0" w:color="auto"/>
              <w:right w:val="single" w:sz="6" w:space="0" w:color="auto"/>
            </w:tcBorders>
          </w:tcPr>
          <w:p w:rsidR="00CF4B4F" w:rsidRPr="00B74A55" w:rsidRDefault="00CF4B4F" w:rsidP="00CF4B4F">
            <w:pPr>
              <w:rPr>
                <w:color w:val="000000"/>
                <w:sz w:val="22"/>
              </w:rPr>
            </w:pPr>
            <w:r w:rsidRPr="00B74A55">
              <w:rPr>
                <w:color w:val="000000"/>
                <w:sz w:val="22"/>
              </w:rPr>
              <w:t>1.Будівництво на території Ясел-садка</w:t>
            </w:r>
            <w:r w:rsidR="009932A7" w:rsidRPr="00B74A55">
              <w:rPr>
                <w:color w:val="000000"/>
                <w:sz w:val="22"/>
              </w:rPr>
              <w:t xml:space="preserve"> </w:t>
            </w:r>
            <w:r w:rsidRPr="00B74A55">
              <w:rPr>
                <w:color w:val="000000"/>
                <w:sz w:val="22"/>
              </w:rPr>
              <w:t>№41 укриття або бомбосховища для всіх учасників освітнього процесу та оснащення його всім необхідним.</w:t>
            </w:r>
          </w:p>
          <w:p w:rsidR="00CF4B4F" w:rsidRPr="00B74A55" w:rsidRDefault="00CF4B4F" w:rsidP="009932A7">
            <w:pPr>
              <w:jc w:val="left"/>
              <w:rPr>
                <w:color w:val="000000"/>
                <w:sz w:val="22"/>
              </w:rPr>
            </w:pPr>
            <w:r w:rsidRPr="00B74A55">
              <w:rPr>
                <w:color w:val="000000"/>
                <w:sz w:val="22"/>
              </w:rPr>
              <w:t xml:space="preserve">2. Розробка </w:t>
            </w:r>
            <w:proofErr w:type="spellStart"/>
            <w:r w:rsidRPr="00B74A55">
              <w:rPr>
                <w:color w:val="000000"/>
                <w:sz w:val="22"/>
              </w:rPr>
              <w:t>про</w:t>
            </w:r>
            <w:r w:rsidR="009932A7" w:rsidRPr="00B74A55">
              <w:rPr>
                <w:color w:val="000000"/>
                <w:sz w:val="22"/>
              </w:rPr>
              <w:t>є</w:t>
            </w:r>
            <w:r w:rsidRPr="00B74A55">
              <w:rPr>
                <w:color w:val="000000"/>
                <w:sz w:val="22"/>
              </w:rPr>
              <w:t>кту</w:t>
            </w:r>
            <w:proofErr w:type="spellEnd"/>
            <w:r w:rsidRPr="00B74A55">
              <w:rPr>
                <w:color w:val="000000"/>
                <w:sz w:val="22"/>
              </w:rPr>
              <w:t xml:space="preserve"> та кошторисної і тендерної документації.</w:t>
            </w:r>
            <w:r w:rsidRPr="00B74A55">
              <w:rPr>
                <w:color w:val="000000"/>
                <w:sz w:val="22"/>
              </w:rPr>
              <w:br/>
              <w:t xml:space="preserve">3. Проведення експертизи </w:t>
            </w:r>
            <w:proofErr w:type="spellStart"/>
            <w:r w:rsidRPr="00B74A55">
              <w:rPr>
                <w:color w:val="000000"/>
                <w:sz w:val="22"/>
              </w:rPr>
              <w:t>проєктної</w:t>
            </w:r>
            <w:proofErr w:type="spellEnd"/>
            <w:r w:rsidRPr="00B74A55">
              <w:rPr>
                <w:color w:val="000000"/>
                <w:sz w:val="22"/>
              </w:rPr>
              <w:t xml:space="preserve"> документації.</w:t>
            </w:r>
            <w:r w:rsidRPr="00B74A55">
              <w:rPr>
                <w:color w:val="000000"/>
                <w:sz w:val="22"/>
              </w:rPr>
              <w:br/>
              <w:t xml:space="preserve">4. Складання та затвердження графіків </w:t>
            </w:r>
            <w:proofErr w:type="spellStart"/>
            <w:r w:rsidRPr="00B74A55">
              <w:rPr>
                <w:color w:val="000000"/>
                <w:sz w:val="22"/>
              </w:rPr>
              <w:t>проєктних</w:t>
            </w:r>
            <w:proofErr w:type="spellEnd"/>
            <w:r w:rsidRPr="00B74A55">
              <w:rPr>
                <w:color w:val="000000"/>
                <w:sz w:val="22"/>
              </w:rPr>
              <w:t>, ремонтних та будівельно-монтажних робіт.</w:t>
            </w:r>
            <w:r w:rsidRPr="00B74A55">
              <w:rPr>
                <w:color w:val="000000"/>
                <w:sz w:val="22"/>
              </w:rPr>
              <w:br/>
              <w:t>5. Визначення організації та підписання з нею договору про здійснення технічного нагляду.</w:t>
            </w:r>
          </w:p>
          <w:p w:rsidR="00CF4B4F" w:rsidRPr="00B74A55" w:rsidRDefault="00CF4B4F" w:rsidP="00CF4B4F">
            <w:pPr>
              <w:rPr>
                <w:color w:val="000000"/>
                <w:sz w:val="22"/>
              </w:rPr>
            </w:pPr>
            <w:r w:rsidRPr="00B74A55">
              <w:rPr>
                <w:rFonts w:eastAsia="Arial"/>
                <w:sz w:val="22"/>
              </w:rPr>
              <w:t>Для відбудови та сталого розвитку громади потрібне відновлення роботи Ясел-садка. Мешканці громади потребують отримання якісних навчальних послуг, які відповідають нормам сучасності.</w:t>
            </w:r>
          </w:p>
        </w:tc>
      </w:tr>
      <w:tr w:rsidR="00CF4B4F" w:rsidRPr="00B74A55" w:rsidTr="00CF4B4F">
        <w:trPr>
          <w:trHeight w:val="591"/>
        </w:trPr>
        <w:tc>
          <w:tcPr>
            <w:tcW w:w="2631" w:type="dxa"/>
            <w:vMerge w:val="restart"/>
            <w:tcBorders>
              <w:top w:val="single" w:sz="6" w:space="0" w:color="auto"/>
              <w:left w:val="single" w:sz="6" w:space="0" w:color="auto"/>
              <w:right w:val="single" w:sz="6" w:space="0" w:color="auto"/>
            </w:tcBorders>
            <w:shd w:val="clear" w:color="00FFFF" w:fill="C6D9F1" w:themeFill="text2" w:themeFillTint="33"/>
          </w:tcPr>
          <w:p w:rsidR="00CF4B4F" w:rsidRPr="00B74A55" w:rsidRDefault="00CF4B4F" w:rsidP="00CF4B4F">
            <w:pPr>
              <w:autoSpaceDE w:val="0"/>
              <w:autoSpaceDN w:val="0"/>
              <w:adjustRightInd w:val="0"/>
              <w:rPr>
                <w:rFonts w:eastAsia="Calibri"/>
                <w:b/>
                <w:color w:val="000000"/>
                <w:sz w:val="22"/>
              </w:rPr>
            </w:pPr>
            <w:r w:rsidRPr="00B74A55">
              <w:rPr>
                <w:rFonts w:eastAsia="Calibri"/>
                <w:b/>
                <w:color w:val="000000"/>
                <w:sz w:val="22"/>
              </w:rPr>
              <w:t>Орієнтовний обсяг та джерела фінансування тис. гривень</w:t>
            </w:r>
          </w:p>
        </w:tc>
        <w:tc>
          <w:tcPr>
            <w:tcW w:w="1227" w:type="dxa"/>
            <w:vMerge w:val="restart"/>
            <w:tcBorders>
              <w:top w:val="single" w:sz="6" w:space="0" w:color="auto"/>
              <w:left w:val="single" w:sz="6" w:space="0" w:color="auto"/>
              <w:bottom w:val="single" w:sz="6" w:space="0" w:color="auto"/>
              <w:right w:val="single" w:sz="6" w:space="0" w:color="auto"/>
            </w:tcBorders>
          </w:tcPr>
          <w:p w:rsidR="00CF4B4F" w:rsidRPr="00B74A55" w:rsidRDefault="00CF4B4F" w:rsidP="00CF4B4F">
            <w:pPr>
              <w:autoSpaceDE w:val="0"/>
              <w:autoSpaceDN w:val="0"/>
              <w:adjustRightInd w:val="0"/>
              <w:rPr>
                <w:rFonts w:eastAsia="Calibri"/>
                <w:color w:val="000000"/>
                <w:sz w:val="22"/>
              </w:rPr>
            </w:pPr>
            <w:r w:rsidRPr="00B74A55">
              <w:rPr>
                <w:rFonts w:eastAsia="Calibri"/>
                <w:color w:val="000000"/>
                <w:sz w:val="22"/>
              </w:rPr>
              <w:t>Державний бюджет</w:t>
            </w:r>
          </w:p>
        </w:tc>
        <w:tc>
          <w:tcPr>
            <w:tcW w:w="1275" w:type="dxa"/>
            <w:vMerge w:val="restart"/>
            <w:tcBorders>
              <w:top w:val="single" w:sz="6" w:space="0" w:color="auto"/>
              <w:left w:val="single" w:sz="6" w:space="0" w:color="auto"/>
              <w:right w:val="single" w:sz="6" w:space="0" w:color="auto"/>
            </w:tcBorders>
          </w:tcPr>
          <w:p w:rsidR="00CF4B4F" w:rsidRPr="00B74A55" w:rsidRDefault="00CF4B4F" w:rsidP="00CF4B4F">
            <w:pPr>
              <w:autoSpaceDE w:val="0"/>
              <w:autoSpaceDN w:val="0"/>
              <w:adjustRightInd w:val="0"/>
              <w:rPr>
                <w:rFonts w:eastAsia="Calibri"/>
                <w:color w:val="000000"/>
                <w:sz w:val="22"/>
              </w:rPr>
            </w:pPr>
            <w:r w:rsidRPr="00B74A55">
              <w:rPr>
                <w:rFonts w:eastAsia="Calibri"/>
                <w:color w:val="000000"/>
                <w:sz w:val="22"/>
              </w:rPr>
              <w:t>Місцевий бюджет</w:t>
            </w:r>
          </w:p>
        </w:tc>
        <w:tc>
          <w:tcPr>
            <w:tcW w:w="2977" w:type="dxa"/>
            <w:gridSpan w:val="2"/>
            <w:tcBorders>
              <w:top w:val="single" w:sz="6" w:space="0" w:color="auto"/>
              <w:left w:val="single" w:sz="6" w:space="0" w:color="auto"/>
              <w:bottom w:val="single" w:sz="6" w:space="0" w:color="auto"/>
              <w:right w:val="single" w:sz="6" w:space="0" w:color="auto"/>
            </w:tcBorders>
          </w:tcPr>
          <w:p w:rsidR="00CF4B4F" w:rsidRPr="00B74A55" w:rsidRDefault="00CF4B4F" w:rsidP="00CF4B4F">
            <w:pPr>
              <w:autoSpaceDE w:val="0"/>
              <w:autoSpaceDN w:val="0"/>
              <w:adjustRightInd w:val="0"/>
              <w:rPr>
                <w:rFonts w:eastAsia="Calibri"/>
                <w:color w:val="000000"/>
                <w:sz w:val="22"/>
              </w:rPr>
            </w:pPr>
            <w:r w:rsidRPr="00B74A55">
              <w:rPr>
                <w:rFonts w:eastAsia="Calibri"/>
                <w:color w:val="000000"/>
                <w:sz w:val="22"/>
              </w:rPr>
              <w:t>Інші джерела</w:t>
            </w:r>
          </w:p>
        </w:tc>
        <w:tc>
          <w:tcPr>
            <w:tcW w:w="1696" w:type="dxa"/>
            <w:vMerge w:val="restart"/>
            <w:tcBorders>
              <w:top w:val="single" w:sz="6" w:space="0" w:color="auto"/>
              <w:left w:val="single" w:sz="6" w:space="0" w:color="auto"/>
              <w:right w:val="single" w:sz="6" w:space="0" w:color="auto"/>
            </w:tcBorders>
          </w:tcPr>
          <w:p w:rsidR="00CF4B4F" w:rsidRPr="00B74A55" w:rsidRDefault="00CF4B4F" w:rsidP="00CF4B4F">
            <w:pPr>
              <w:autoSpaceDE w:val="0"/>
              <w:autoSpaceDN w:val="0"/>
              <w:adjustRightInd w:val="0"/>
              <w:rPr>
                <w:rFonts w:eastAsia="Calibri"/>
                <w:color w:val="000000"/>
                <w:sz w:val="22"/>
              </w:rPr>
            </w:pPr>
            <w:r w:rsidRPr="00B74A55">
              <w:rPr>
                <w:rFonts w:eastAsia="Calibri"/>
                <w:color w:val="000000"/>
                <w:sz w:val="22"/>
              </w:rPr>
              <w:t>Всього</w:t>
            </w:r>
          </w:p>
        </w:tc>
      </w:tr>
      <w:tr w:rsidR="00CF4B4F" w:rsidRPr="00B74A55" w:rsidTr="00CF4B4F">
        <w:trPr>
          <w:trHeight w:val="623"/>
        </w:trPr>
        <w:tc>
          <w:tcPr>
            <w:tcW w:w="2631" w:type="dxa"/>
            <w:vMerge/>
            <w:tcBorders>
              <w:left w:val="single" w:sz="6" w:space="0" w:color="auto"/>
              <w:right w:val="single" w:sz="6" w:space="0" w:color="auto"/>
            </w:tcBorders>
            <w:shd w:val="clear" w:color="00FFFF" w:fill="C6D9F1" w:themeFill="text2" w:themeFillTint="33"/>
          </w:tcPr>
          <w:p w:rsidR="00CF4B4F" w:rsidRPr="00B74A55" w:rsidRDefault="00CF4B4F" w:rsidP="00CF4B4F">
            <w:pPr>
              <w:autoSpaceDE w:val="0"/>
              <w:autoSpaceDN w:val="0"/>
              <w:adjustRightInd w:val="0"/>
              <w:rPr>
                <w:rFonts w:eastAsia="Calibri"/>
                <w:b/>
                <w:color w:val="000000"/>
                <w:sz w:val="22"/>
              </w:rPr>
            </w:pPr>
          </w:p>
        </w:tc>
        <w:tc>
          <w:tcPr>
            <w:tcW w:w="1227" w:type="dxa"/>
            <w:vMerge/>
            <w:tcBorders>
              <w:top w:val="single" w:sz="6" w:space="0" w:color="auto"/>
              <w:left w:val="single" w:sz="6" w:space="0" w:color="auto"/>
              <w:bottom w:val="single" w:sz="6" w:space="0" w:color="auto"/>
              <w:right w:val="single" w:sz="6" w:space="0" w:color="auto"/>
            </w:tcBorders>
          </w:tcPr>
          <w:p w:rsidR="00CF4B4F" w:rsidRPr="00B74A55" w:rsidRDefault="00CF4B4F" w:rsidP="00CF4B4F">
            <w:pPr>
              <w:autoSpaceDE w:val="0"/>
              <w:autoSpaceDN w:val="0"/>
              <w:adjustRightInd w:val="0"/>
              <w:rPr>
                <w:rFonts w:eastAsia="Calibri"/>
                <w:color w:val="000000"/>
                <w:sz w:val="22"/>
              </w:rPr>
            </w:pPr>
          </w:p>
        </w:tc>
        <w:tc>
          <w:tcPr>
            <w:tcW w:w="1275" w:type="dxa"/>
            <w:vMerge/>
            <w:tcBorders>
              <w:left w:val="single" w:sz="6" w:space="0" w:color="auto"/>
              <w:bottom w:val="single" w:sz="6" w:space="0" w:color="auto"/>
              <w:right w:val="single" w:sz="6" w:space="0" w:color="auto"/>
            </w:tcBorders>
          </w:tcPr>
          <w:p w:rsidR="00CF4B4F" w:rsidRPr="00B74A55" w:rsidRDefault="00CF4B4F" w:rsidP="00CF4B4F">
            <w:pPr>
              <w:autoSpaceDE w:val="0"/>
              <w:autoSpaceDN w:val="0"/>
              <w:adjustRightInd w:val="0"/>
              <w:rPr>
                <w:rFonts w:eastAsia="Calibri"/>
                <w:color w:val="000000"/>
                <w:sz w:val="22"/>
              </w:rPr>
            </w:pPr>
          </w:p>
        </w:tc>
        <w:tc>
          <w:tcPr>
            <w:tcW w:w="1276" w:type="dxa"/>
            <w:tcBorders>
              <w:top w:val="single" w:sz="6" w:space="0" w:color="auto"/>
              <w:left w:val="single" w:sz="6" w:space="0" w:color="auto"/>
              <w:bottom w:val="single" w:sz="6" w:space="0" w:color="auto"/>
              <w:right w:val="single" w:sz="6" w:space="0" w:color="auto"/>
            </w:tcBorders>
          </w:tcPr>
          <w:p w:rsidR="00CF4B4F" w:rsidRPr="00B74A55" w:rsidRDefault="00CF4B4F" w:rsidP="00CF4B4F">
            <w:pPr>
              <w:autoSpaceDE w:val="0"/>
              <w:autoSpaceDN w:val="0"/>
              <w:adjustRightInd w:val="0"/>
              <w:rPr>
                <w:rFonts w:eastAsia="Calibri"/>
                <w:color w:val="000000"/>
                <w:sz w:val="22"/>
              </w:rPr>
            </w:pPr>
            <w:r w:rsidRPr="00B74A55">
              <w:rPr>
                <w:rFonts w:eastAsia="Calibri"/>
                <w:color w:val="000000"/>
                <w:sz w:val="22"/>
              </w:rPr>
              <w:t>Обсяг</w:t>
            </w:r>
          </w:p>
        </w:tc>
        <w:tc>
          <w:tcPr>
            <w:tcW w:w="1701" w:type="dxa"/>
            <w:tcBorders>
              <w:top w:val="single" w:sz="6" w:space="0" w:color="auto"/>
              <w:left w:val="single" w:sz="6" w:space="0" w:color="auto"/>
              <w:bottom w:val="single" w:sz="6" w:space="0" w:color="auto"/>
              <w:right w:val="single" w:sz="6" w:space="0" w:color="auto"/>
            </w:tcBorders>
          </w:tcPr>
          <w:p w:rsidR="00CF4B4F" w:rsidRPr="00B74A55" w:rsidRDefault="00CF4B4F" w:rsidP="00CF4B4F">
            <w:pPr>
              <w:autoSpaceDE w:val="0"/>
              <w:autoSpaceDN w:val="0"/>
              <w:adjustRightInd w:val="0"/>
              <w:rPr>
                <w:rFonts w:eastAsia="Calibri"/>
                <w:color w:val="000000"/>
                <w:sz w:val="22"/>
              </w:rPr>
            </w:pPr>
            <w:r w:rsidRPr="00B74A55">
              <w:rPr>
                <w:rFonts w:eastAsia="Calibri"/>
                <w:color w:val="000000"/>
                <w:sz w:val="22"/>
              </w:rPr>
              <w:t>Назва джерела</w:t>
            </w:r>
          </w:p>
        </w:tc>
        <w:tc>
          <w:tcPr>
            <w:tcW w:w="1696" w:type="dxa"/>
            <w:vMerge/>
            <w:tcBorders>
              <w:left w:val="single" w:sz="6" w:space="0" w:color="auto"/>
              <w:bottom w:val="single" w:sz="6" w:space="0" w:color="auto"/>
              <w:right w:val="single" w:sz="6" w:space="0" w:color="auto"/>
            </w:tcBorders>
          </w:tcPr>
          <w:p w:rsidR="00CF4B4F" w:rsidRPr="00B74A55" w:rsidRDefault="00CF4B4F" w:rsidP="00CF4B4F">
            <w:pPr>
              <w:autoSpaceDE w:val="0"/>
              <w:autoSpaceDN w:val="0"/>
              <w:adjustRightInd w:val="0"/>
              <w:rPr>
                <w:rFonts w:eastAsia="Calibri"/>
                <w:color w:val="000000"/>
                <w:sz w:val="22"/>
              </w:rPr>
            </w:pPr>
          </w:p>
        </w:tc>
      </w:tr>
      <w:tr w:rsidR="00CF4B4F" w:rsidRPr="00B74A55" w:rsidTr="00CF4B4F">
        <w:trPr>
          <w:trHeight w:val="442"/>
        </w:trPr>
        <w:tc>
          <w:tcPr>
            <w:tcW w:w="2631" w:type="dxa"/>
            <w:vMerge/>
            <w:tcBorders>
              <w:left w:val="single" w:sz="6" w:space="0" w:color="auto"/>
              <w:bottom w:val="single" w:sz="6" w:space="0" w:color="auto"/>
              <w:right w:val="single" w:sz="6" w:space="0" w:color="auto"/>
            </w:tcBorders>
            <w:shd w:val="clear" w:color="00FFFF" w:fill="C6D9F1" w:themeFill="text2" w:themeFillTint="33"/>
          </w:tcPr>
          <w:p w:rsidR="00CF4B4F" w:rsidRPr="00B74A55" w:rsidRDefault="00CF4B4F" w:rsidP="00CF4B4F">
            <w:pPr>
              <w:autoSpaceDE w:val="0"/>
              <w:autoSpaceDN w:val="0"/>
              <w:adjustRightInd w:val="0"/>
              <w:rPr>
                <w:rFonts w:eastAsia="Calibri"/>
                <w:b/>
                <w:color w:val="000000"/>
                <w:sz w:val="22"/>
              </w:rPr>
            </w:pPr>
          </w:p>
        </w:tc>
        <w:tc>
          <w:tcPr>
            <w:tcW w:w="1227" w:type="dxa"/>
            <w:tcBorders>
              <w:top w:val="single" w:sz="6" w:space="0" w:color="auto"/>
              <w:left w:val="single" w:sz="6" w:space="0" w:color="auto"/>
              <w:bottom w:val="single" w:sz="6" w:space="0" w:color="auto"/>
              <w:right w:val="single" w:sz="6" w:space="0" w:color="auto"/>
            </w:tcBorders>
          </w:tcPr>
          <w:p w:rsidR="00CF4B4F" w:rsidRPr="00B74A55" w:rsidRDefault="00CF4B4F" w:rsidP="00CF4B4F">
            <w:pPr>
              <w:rPr>
                <w:sz w:val="22"/>
              </w:rPr>
            </w:pPr>
            <w:r w:rsidRPr="00B74A55">
              <w:rPr>
                <w:sz w:val="22"/>
              </w:rPr>
              <w:t>1 500,0</w:t>
            </w:r>
          </w:p>
        </w:tc>
        <w:tc>
          <w:tcPr>
            <w:tcW w:w="1275" w:type="dxa"/>
            <w:tcBorders>
              <w:top w:val="single" w:sz="6" w:space="0" w:color="auto"/>
              <w:left w:val="single" w:sz="6" w:space="0" w:color="auto"/>
              <w:bottom w:val="single" w:sz="6" w:space="0" w:color="auto"/>
              <w:right w:val="single" w:sz="6" w:space="0" w:color="auto"/>
            </w:tcBorders>
          </w:tcPr>
          <w:p w:rsidR="00CF4B4F" w:rsidRPr="00B74A55" w:rsidRDefault="00CF4B4F" w:rsidP="00CF4B4F">
            <w:pPr>
              <w:autoSpaceDE w:val="0"/>
              <w:autoSpaceDN w:val="0"/>
              <w:adjustRightInd w:val="0"/>
              <w:rPr>
                <w:rFonts w:eastAsia="Calibri"/>
                <w:color w:val="000000"/>
                <w:sz w:val="22"/>
              </w:rPr>
            </w:pPr>
          </w:p>
        </w:tc>
        <w:tc>
          <w:tcPr>
            <w:tcW w:w="1276" w:type="dxa"/>
            <w:tcBorders>
              <w:top w:val="single" w:sz="6" w:space="0" w:color="auto"/>
              <w:left w:val="single" w:sz="6" w:space="0" w:color="auto"/>
              <w:bottom w:val="single" w:sz="6" w:space="0" w:color="auto"/>
              <w:right w:val="single" w:sz="6" w:space="0" w:color="auto"/>
            </w:tcBorders>
          </w:tcPr>
          <w:p w:rsidR="00CF4B4F" w:rsidRPr="00B74A55" w:rsidRDefault="00CF4B4F" w:rsidP="00CF4B4F">
            <w:pPr>
              <w:autoSpaceDE w:val="0"/>
              <w:autoSpaceDN w:val="0"/>
              <w:adjustRightInd w:val="0"/>
              <w:rPr>
                <w:rFonts w:eastAsia="Calibri"/>
                <w:color w:val="000000"/>
                <w:sz w:val="22"/>
              </w:rPr>
            </w:pPr>
          </w:p>
        </w:tc>
        <w:tc>
          <w:tcPr>
            <w:tcW w:w="1701" w:type="dxa"/>
            <w:tcBorders>
              <w:top w:val="single" w:sz="6" w:space="0" w:color="auto"/>
              <w:left w:val="single" w:sz="6" w:space="0" w:color="auto"/>
              <w:bottom w:val="single" w:sz="6" w:space="0" w:color="auto"/>
              <w:right w:val="single" w:sz="6" w:space="0" w:color="auto"/>
            </w:tcBorders>
          </w:tcPr>
          <w:p w:rsidR="00CF4B4F" w:rsidRPr="00B74A55" w:rsidRDefault="00CF4B4F" w:rsidP="00CF4B4F">
            <w:pPr>
              <w:autoSpaceDE w:val="0"/>
              <w:autoSpaceDN w:val="0"/>
              <w:adjustRightInd w:val="0"/>
              <w:rPr>
                <w:rFonts w:eastAsia="Calibri"/>
                <w:color w:val="000000"/>
                <w:sz w:val="22"/>
              </w:rPr>
            </w:pPr>
          </w:p>
        </w:tc>
        <w:tc>
          <w:tcPr>
            <w:tcW w:w="1696" w:type="dxa"/>
            <w:tcBorders>
              <w:top w:val="single" w:sz="6" w:space="0" w:color="auto"/>
              <w:left w:val="single" w:sz="6" w:space="0" w:color="auto"/>
              <w:bottom w:val="single" w:sz="6" w:space="0" w:color="auto"/>
              <w:right w:val="single" w:sz="6" w:space="0" w:color="auto"/>
            </w:tcBorders>
          </w:tcPr>
          <w:p w:rsidR="00CF4B4F" w:rsidRPr="00B74A55" w:rsidRDefault="00CF4B4F" w:rsidP="00CF4B4F">
            <w:pPr>
              <w:rPr>
                <w:sz w:val="22"/>
              </w:rPr>
            </w:pPr>
            <w:r w:rsidRPr="00B74A55">
              <w:rPr>
                <w:sz w:val="22"/>
              </w:rPr>
              <w:t xml:space="preserve">1 500,0 </w:t>
            </w:r>
          </w:p>
        </w:tc>
      </w:tr>
    </w:tbl>
    <w:p w:rsidR="00CF4B4F" w:rsidRPr="00B74A55" w:rsidRDefault="00CF4B4F" w:rsidP="00E33AAA">
      <w:pPr>
        <w:tabs>
          <w:tab w:val="left" w:pos="5290"/>
        </w:tabs>
        <w:rPr>
          <w:b/>
          <w:sz w:val="22"/>
          <w:szCs w:val="22"/>
        </w:rPr>
      </w:pPr>
    </w:p>
    <w:p w:rsidR="00F069E5" w:rsidRPr="00B74A55" w:rsidRDefault="00F069E5" w:rsidP="00E33AAA">
      <w:pPr>
        <w:tabs>
          <w:tab w:val="left" w:pos="5290"/>
        </w:tabs>
        <w:rPr>
          <w:b/>
          <w:sz w:val="22"/>
          <w:szCs w:val="22"/>
        </w:rPr>
      </w:pPr>
    </w:p>
    <w:tbl>
      <w:tblPr>
        <w:tblpPr w:leftFromText="180" w:rightFromText="180" w:vertAnchor="text" w:horzAnchor="page" w:tblpX="1" w:tblpY="123"/>
        <w:tblW w:w="11370" w:type="dxa"/>
        <w:tblLayout w:type="fixed"/>
        <w:tblCellMar>
          <w:left w:w="30" w:type="dxa"/>
          <w:right w:w="30" w:type="dxa"/>
        </w:tblCellMar>
        <w:tblLook w:val="0000" w:firstRow="0" w:lastRow="0" w:firstColumn="0" w:lastColumn="0" w:noHBand="0" w:noVBand="0"/>
      </w:tblPr>
      <w:tblGrid>
        <w:gridCol w:w="1590"/>
        <w:gridCol w:w="2762"/>
        <w:gridCol w:w="1348"/>
        <w:gridCol w:w="1134"/>
        <w:gridCol w:w="993"/>
        <w:gridCol w:w="567"/>
        <w:gridCol w:w="74"/>
        <w:gridCol w:w="1421"/>
        <w:gridCol w:w="64"/>
        <w:gridCol w:w="1356"/>
        <w:gridCol w:w="39"/>
        <w:gridCol w:w="9"/>
        <w:gridCol w:w="13"/>
      </w:tblGrid>
      <w:tr w:rsidR="00CF4B4F" w:rsidRPr="00B74A55" w:rsidTr="00520C3E">
        <w:trPr>
          <w:gridAfter w:val="1"/>
          <w:wAfter w:w="13" w:type="dxa"/>
          <w:trHeight w:val="555"/>
        </w:trPr>
        <w:tc>
          <w:tcPr>
            <w:tcW w:w="1590" w:type="dxa"/>
            <w:tcBorders>
              <w:top w:val="nil"/>
              <w:left w:val="nil"/>
              <w:bottom w:val="nil"/>
              <w:right w:val="nil"/>
            </w:tcBorders>
          </w:tcPr>
          <w:p w:rsidR="00CF4B4F" w:rsidRPr="00B74A55" w:rsidRDefault="00CF4B4F" w:rsidP="00CF4B4F">
            <w:pPr>
              <w:rPr>
                <w:rFonts w:eastAsia="Calibri"/>
                <w:color w:val="000000"/>
                <w:sz w:val="22"/>
              </w:rPr>
            </w:pPr>
          </w:p>
        </w:tc>
        <w:tc>
          <w:tcPr>
            <w:tcW w:w="2762"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F4B4F" w:rsidRPr="00B74A55" w:rsidRDefault="00CF4B4F" w:rsidP="00CF4B4F">
            <w:pPr>
              <w:autoSpaceDE w:val="0"/>
              <w:autoSpaceDN w:val="0"/>
              <w:adjustRightInd w:val="0"/>
              <w:rPr>
                <w:rFonts w:eastAsia="Calibri"/>
                <w:b/>
                <w:color w:val="000000"/>
                <w:sz w:val="22"/>
              </w:rPr>
            </w:pPr>
            <w:r w:rsidRPr="00B74A55">
              <w:rPr>
                <w:rFonts w:eastAsia="Calibri"/>
                <w:b/>
                <w:color w:val="000000"/>
                <w:sz w:val="22"/>
              </w:rPr>
              <w:t>Оперативна ціль/завдання</w:t>
            </w:r>
          </w:p>
        </w:tc>
        <w:tc>
          <w:tcPr>
            <w:tcW w:w="7005" w:type="dxa"/>
            <w:gridSpan w:val="10"/>
            <w:tcBorders>
              <w:top w:val="single" w:sz="6" w:space="0" w:color="auto"/>
              <w:left w:val="single" w:sz="6" w:space="0" w:color="auto"/>
              <w:bottom w:val="single" w:sz="6" w:space="0" w:color="auto"/>
              <w:right w:val="single" w:sz="6" w:space="0" w:color="auto"/>
            </w:tcBorders>
          </w:tcPr>
          <w:p w:rsidR="00CF4B4F" w:rsidRPr="00B74A55" w:rsidRDefault="00CF4B4F" w:rsidP="00CF4B4F">
            <w:pPr>
              <w:pStyle w:val="a7"/>
              <w:ind w:left="0"/>
              <w:rPr>
                <w:sz w:val="22"/>
              </w:rPr>
            </w:pPr>
            <w:r w:rsidRPr="00B74A55">
              <w:rPr>
                <w:color w:val="222222"/>
                <w:sz w:val="22"/>
                <w:shd w:val="clear" w:color="auto" w:fill="FFFFFF"/>
              </w:rPr>
              <w:t xml:space="preserve">Людський розвиток через інновації управління та довіру до влади. Формування сучасного інклюзивного  </w:t>
            </w:r>
            <w:proofErr w:type="spellStart"/>
            <w:r w:rsidRPr="00B74A55">
              <w:rPr>
                <w:color w:val="222222"/>
                <w:sz w:val="22"/>
                <w:shd w:val="clear" w:color="auto" w:fill="FFFFFF"/>
              </w:rPr>
              <w:t>освітньо</w:t>
            </w:r>
            <w:proofErr w:type="spellEnd"/>
            <w:r w:rsidRPr="00B74A55">
              <w:rPr>
                <w:color w:val="222222"/>
                <w:sz w:val="22"/>
                <w:shd w:val="clear" w:color="auto" w:fill="FFFFFF"/>
              </w:rPr>
              <w:t>-культурного та спортивного простору для розвитку.</w:t>
            </w:r>
            <w:r w:rsidRPr="00B74A55">
              <w:rPr>
                <w:color w:val="000000"/>
                <w:sz w:val="22"/>
              </w:rPr>
              <w:br/>
              <w:t>Підвищення енергоефективності будівель бюджетної  та житлової сфери громади.</w:t>
            </w:r>
          </w:p>
        </w:tc>
      </w:tr>
      <w:tr w:rsidR="00CF4B4F" w:rsidRPr="00B74A55" w:rsidTr="00520C3E">
        <w:trPr>
          <w:gridAfter w:val="1"/>
          <w:wAfter w:w="13" w:type="dxa"/>
          <w:trHeight w:val="579"/>
        </w:trPr>
        <w:tc>
          <w:tcPr>
            <w:tcW w:w="1590" w:type="dxa"/>
            <w:tcBorders>
              <w:top w:val="nil"/>
              <w:left w:val="nil"/>
              <w:bottom w:val="nil"/>
              <w:right w:val="nil"/>
            </w:tcBorders>
          </w:tcPr>
          <w:p w:rsidR="00CF4B4F" w:rsidRPr="00B74A55" w:rsidRDefault="00CF4B4F" w:rsidP="00CF4B4F">
            <w:pPr>
              <w:autoSpaceDE w:val="0"/>
              <w:autoSpaceDN w:val="0"/>
              <w:adjustRightInd w:val="0"/>
              <w:jc w:val="right"/>
              <w:rPr>
                <w:rFonts w:eastAsia="Calibri"/>
                <w:color w:val="000000"/>
                <w:sz w:val="22"/>
              </w:rPr>
            </w:pPr>
          </w:p>
        </w:tc>
        <w:tc>
          <w:tcPr>
            <w:tcW w:w="2762"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F4B4F" w:rsidRPr="00B74A55" w:rsidRDefault="00CF4B4F" w:rsidP="00CF4B4F">
            <w:pPr>
              <w:autoSpaceDE w:val="0"/>
              <w:autoSpaceDN w:val="0"/>
              <w:adjustRightInd w:val="0"/>
              <w:rPr>
                <w:rFonts w:eastAsia="Calibri"/>
                <w:b/>
                <w:color w:val="000000"/>
                <w:sz w:val="22"/>
              </w:rPr>
            </w:pPr>
            <w:r w:rsidRPr="00B74A55">
              <w:rPr>
                <w:rFonts w:eastAsia="Calibri"/>
                <w:b/>
                <w:color w:val="000000"/>
                <w:sz w:val="22"/>
              </w:rPr>
              <w:t>Назва проекту:</w:t>
            </w:r>
          </w:p>
        </w:tc>
        <w:tc>
          <w:tcPr>
            <w:tcW w:w="7005" w:type="dxa"/>
            <w:gridSpan w:val="10"/>
            <w:tcBorders>
              <w:top w:val="single" w:sz="6" w:space="0" w:color="auto"/>
              <w:left w:val="single" w:sz="6" w:space="0" w:color="auto"/>
              <w:bottom w:val="single" w:sz="6" w:space="0" w:color="auto"/>
              <w:right w:val="single" w:sz="6" w:space="0" w:color="auto"/>
            </w:tcBorders>
          </w:tcPr>
          <w:p w:rsidR="00CF4B4F" w:rsidRPr="00B74A55" w:rsidRDefault="00CF4B4F" w:rsidP="00CF4B4F">
            <w:pPr>
              <w:rPr>
                <w:color w:val="000000"/>
                <w:sz w:val="22"/>
              </w:rPr>
            </w:pPr>
            <w:r w:rsidRPr="00B74A55">
              <w:rPr>
                <w:color w:val="000000"/>
                <w:sz w:val="22"/>
              </w:rPr>
              <w:t xml:space="preserve">Капітальний ремонт будівлі Ясел-садка №41 міста Сєвєродонецька Луганської області за </w:t>
            </w:r>
            <w:proofErr w:type="spellStart"/>
            <w:r w:rsidRPr="00B74A55">
              <w:rPr>
                <w:color w:val="000000"/>
                <w:sz w:val="22"/>
              </w:rPr>
              <w:t>адресою</w:t>
            </w:r>
            <w:proofErr w:type="spellEnd"/>
            <w:r w:rsidRPr="00B74A55">
              <w:rPr>
                <w:color w:val="000000"/>
                <w:sz w:val="22"/>
              </w:rPr>
              <w:t xml:space="preserve">: </w:t>
            </w:r>
            <w:proofErr w:type="spellStart"/>
            <w:r w:rsidRPr="00B74A55">
              <w:rPr>
                <w:color w:val="000000"/>
                <w:sz w:val="22"/>
              </w:rPr>
              <w:t>вул.Курчатова</w:t>
            </w:r>
            <w:proofErr w:type="spellEnd"/>
            <w:r w:rsidRPr="00B74A55">
              <w:rPr>
                <w:color w:val="000000"/>
                <w:sz w:val="22"/>
              </w:rPr>
              <w:t>, б.3-А.</w:t>
            </w:r>
          </w:p>
        </w:tc>
      </w:tr>
      <w:tr w:rsidR="00CF4B4F" w:rsidRPr="00B74A55" w:rsidTr="00520C3E">
        <w:trPr>
          <w:gridAfter w:val="1"/>
          <w:wAfter w:w="13" w:type="dxa"/>
          <w:trHeight w:val="1109"/>
        </w:trPr>
        <w:tc>
          <w:tcPr>
            <w:tcW w:w="1590" w:type="dxa"/>
            <w:tcBorders>
              <w:top w:val="nil"/>
              <w:left w:val="nil"/>
              <w:bottom w:val="nil"/>
              <w:right w:val="nil"/>
            </w:tcBorders>
          </w:tcPr>
          <w:p w:rsidR="00CF4B4F" w:rsidRPr="00B74A55" w:rsidRDefault="00CF4B4F" w:rsidP="00CF4B4F">
            <w:pPr>
              <w:autoSpaceDE w:val="0"/>
              <w:autoSpaceDN w:val="0"/>
              <w:adjustRightInd w:val="0"/>
              <w:jc w:val="right"/>
              <w:rPr>
                <w:rFonts w:eastAsia="Calibri"/>
                <w:color w:val="000000"/>
                <w:sz w:val="22"/>
              </w:rPr>
            </w:pPr>
          </w:p>
        </w:tc>
        <w:tc>
          <w:tcPr>
            <w:tcW w:w="2762"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F4B4F" w:rsidRPr="00B74A55" w:rsidRDefault="00CF4B4F" w:rsidP="00CF4B4F">
            <w:pPr>
              <w:autoSpaceDE w:val="0"/>
              <w:autoSpaceDN w:val="0"/>
              <w:adjustRightInd w:val="0"/>
              <w:rPr>
                <w:rFonts w:eastAsia="Calibri"/>
                <w:b/>
                <w:color w:val="000000"/>
                <w:sz w:val="22"/>
              </w:rPr>
            </w:pPr>
            <w:r w:rsidRPr="00B74A55">
              <w:rPr>
                <w:rFonts w:eastAsia="Calibri"/>
                <w:b/>
                <w:color w:val="000000"/>
                <w:sz w:val="22"/>
              </w:rPr>
              <w:t>Ціль проекту</w:t>
            </w:r>
          </w:p>
        </w:tc>
        <w:tc>
          <w:tcPr>
            <w:tcW w:w="7005" w:type="dxa"/>
            <w:gridSpan w:val="10"/>
            <w:tcBorders>
              <w:top w:val="single" w:sz="6" w:space="0" w:color="auto"/>
              <w:left w:val="single" w:sz="6" w:space="0" w:color="auto"/>
              <w:bottom w:val="single" w:sz="6" w:space="0" w:color="auto"/>
              <w:right w:val="single" w:sz="6" w:space="0" w:color="auto"/>
            </w:tcBorders>
          </w:tcPr>
          <w:p w:rsidR="00CF4B4F" w:rsidRPr="00B74A55" w:rsidRDefault="00CF4B4F" w:rsidP="00CF4B4F">
            <w:pPr>
              <w:rPr>
                <w:color w:val="000000"/>
                <w:sz w:val="22"/>
              </w:rPr>
            </w:pPr>
            <w:r w:rsidRPr="00B74A55">
              <w:rPr>
                <w:color w:val="000000"/>
                <w:sz w:val="22"/>
              </w:rPr>
              <w:t>Створення умов для повноцінного і всебічного розвитку дітей дошкільного віку, забезпечення реалізації права дитини на здобуття дошкільної освіти, її фізичний, розумовий і духовний розвиток, соціальну адаптацію, створення комфортних та безпечних умов здобуття дошкільної освіти, розвитку, виховання та навчання дітей, відповідно до санітарно-гігієнічних вимог.</w:t>
            </w:r>
          </w:p>
        </w:tc>
      </w:tr>
      <w:tr w:rsidR="00CF4B4F" w:rsidRPr="00B74A55" w:rsidTr="00520C3E">
        <w:trPr>
          <w:gridAfter w:val="1"/>
          <w:wAfter w:w="13" w:type="dxa"/>
          <w:trHeight w:val="290"/>
        </w:trPr>
        <w:tc>
          <w:tcPr>
            <w:tcW w:w="1590" w:type="dxa"/>
            <w:tcBorders>
              <w:top w:val="nil"/>
              <w:left w:val="nil"/>
              <w:bottom w:val="nil"/>
              <w:right w:val="nil"/>
            </w:tcBorders>
          </w:tcPr>
          <w:p w:rsidR="00CF4B4F" w:rsidRPr="00B74A55" w:rsidRDefault="00CF4B4F" w:rsidP="00CF4B4F">
            <w:pPr>
              <w:autoSpaceDE w:val="0"/>
              <w:autoSpaceDN w:val="0"/>
              <w:adjustRightInd w:val="0"/>
              <w:jc w:val="right"/>
              <w:rPr>
                <w:rFonts w:eastAsia="Calibri"/>
                <w:color w:val="000000"/>
                <w:sz w:val="22"/>
              </w:rPr>
            </w:pPr>
          </w:p>
        </w:tc>
        <w:tc>
          <w:tcPr>
            <w:tcW w:w="2762"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F4B4F" w:rsidRPr="00B74A55" w:rsidRDefault="00CF4B4F" w:rsidP="00CF4B4F">
            <w:pPr>
              <w:autoSpaceDE w:val="0"/>
              <w:autoSpaceDN w:val="0"/>
              <w:adjustRightInd w:val="0"/>
              <w:rPr>
                <w:rFonts w:eastAsia="Calibri"/>
                <w:b/>
                <w:color w:val="000000"/>
                <w:sz w:val="22"/>
              </w:rPr>
            </w:pPr>
            <w:r w:rsidRPr="00B74A55">
              <w:rPr>
                <w:rFonts w:eastAsia="Calibri"/>
                <w:b/>
                <w:color w:val="000000"/>
                <w:sz w:val="22"/>
              </w:rPr>
              <w:t>Територія, на яку матиме вплив реалізація проекту</w:t>
            </w:r>
          </w:p>
        </w:tc>
        <w:tc>
          <w:tcPr>
            <w:tcW w:w="7005" w:type="dxa"/>
            <w:gridSpan w:val="10"/>
            <w:tcBorders>
              <w:top w:val="single" w:sz="6" w:space="0" w:color="auto"/>
              <w:left w:val="single" w:sz="6" w:space="0" w:color="auto"/>
              <w:bottom w:val="single" w:sz="6" w:space="0" w:color="auto"/>
              <w:right w:val="single" w:sz="6" w:space="0" w:color="auto"/>
            </w:tcBorders>
          </w:tcPr>
          <w:p w:rsidR="00CF4B4F" w:rsidRPr="00B74A55" w:rsidRDefault="00CF4B4F" w:rsidP="00CF4B4F">
            <w:pPr>
              <w:autoSpaceDE w:val="0"/>
              <w:autoSpaceDN w:val="0"/>
              <w:adjustRightInd w:val="0"/>
              <w:rPr>
                <w:rFonts w:eastAsia="Calibri"/>
                <w:color w:val="000000"/>
                <w:sz w:val="22"/>
              </w:rPr>
            </w:pPr>
            <w:r w:rsidRPr="00B74A55">
              <w:rPr>
                <w:rFonts w:eastAsia="Calibri"/>
                <w:color w:val="000000"/>
                <w:sz w:val="22"/>
              </w:rPr>
              <w:t>Сєвєродонецька міська територіальна громада</w:t>
            </w:r>
          </w:p>
        </w:tc>
      </w:tr>
      <w:tr w:rsidR="00CF4B4F" w:rsidRPr="00B74A55" w:rsidTr="00520C3E">
        <w:trPr>
          <w:gridAfter w:val="1"/>
          <w:wAfter w:w="13" w:type="dxa"/>
          <w:trHeight w:val="846"/>
        </w:trPr>
        <w:tc>
          <w:tcPr>
            <w:tcW w:w="1590" w:type="dxa"/>
            <w:tcBorders>
              <w:top w:val="nil"/>
              <w:left w:val="nil"/>
              <w:bottom w:val="nil"/>
              <w:right w:val="nil"/>
            </w:tcBorders>
          </w:tcPr>
          <w:p w:rsidR="00CF4B4F" w:rsidRPr="00B74A55" w:rsidRDefault="00CF4B4F" w:rsidP="00CF4B4F">
            <w:pPr>
              <w:autoSpaceDE w:val="0"/>
              <w:autoSpaceDN w:val="0"/>
              <w:adjustRightInd w:val="0"/>
              <w:jc w:val="right"/>
              <w:rPr>
                <w:rFonts w:eastAsia="Calibri"/>
                <w:color w:val="000000"/>
                <w:sz w:val="22"/>
              </w:rPr>
            </w:pPr>
          </w:p>
        </w:tc>
        <w:tc>
          <w:tcPr>
            <w:tcW w:w="2762"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F4B4F" w:rsidRPr="00B74A55" w:rsidRDefault="00CF4B4F" w:rsidP="00CF4B4F">
            <w:pPr>
              <w:autoSpaceDE w:val="0"/>
              <w:autoSpaceDN w:val="0"/>
              <w:adjustRightInd w:val="0"/>
              <w:rPr>
                <w:rFonts w:eastAsia="Calibri"/>
                <w:b/>
                <w:color w:val="000000"/>
                <w:sz w:val="22"/>
              </w:rPr>
            </w:pPr>
            <w:r w:rsidRPr="00B74A55">
              <w:rPr>
                <w:rFonts w:eastAsia="Calibri"/>
                <w:b/>
                <w:color w:val="000000"/>
                <w:sz w:val="22"/>
              </w:rPr>
              <w:t>Чисельність населення, на яке матиме вплив реалізація проекту</w:t>
            </w:r>
          </w:p>
        </w:tc>
        <w:tc>
          <w:tcPr>
            <w:tcW w:w="7005" w:type="dxa"/>
            <w:gridSpan w:val="10"/>
            <w:tcBorders>
              <w:top w:val="single" w:sz="6" w:space="0" w:color="auto"/>
              <w:left w:val="single" w:sz="6" w:space="0" w:color="auto"/>
              <w:bottom w:val="single" w:sz="6" w:space="0" w:color="auto"/>
              <w:right w:val="single" w:sz="6" w:space="0" w:color="auto"/>
            </w:tcBorders>
          </w:tcPr>
          <w:p w:rsidR="00CF4B4F" w:rsidRPr="00B74A55" w:rsidRDefault="00CF4B4F" w:rsidP="00CF4B4F">
            <w:pPr>
              <w:rPr>
                <w:sz w:val="22"/>
              </w:rPr>
            </w:pPr>
            <w:r w:rsidRPr="00B74A55">
              <w:rPr>
                <w:sz w:val="22"/>
              </w:rPr>
              <w:t>70 000 осіб</w:t>
            </w:r>
          </w:p>
          <w:p w:rsidR="00CF4B4F" w:rsidRPr="00B74A55" w:rsidRDefault="00CF4B4F" w:rsidP="00CF4B4F">
            <w:pPr>
              <w:autoSpaceDE w:val="0"/>
              <w:autoSpaceDN w:val="0"/>
              <w:adjustRightInd w:val="0"/>
              <w:rPr>
                <w:rFonts w:eastAsia="Calibri"/>
                <w:color w:val="000000"/>
                <w:sz w:val="22"/>
              </w:rPr>
            </w:pPr>
          </w:p>
        </w:tc>
      </w:tr>
      <w:tr w:rsidR="00CF4B4F" w:rsidRPr="00B74A55" w:rsidTr="00520C3E">
        <w:trPr>
          <w:gridAfter w:val="1"/>
          <w:wAfter w:w="13" w:type="dxa"/>
          <w:trHeight w:val="1261"/>
        </w:trPr>
        <w:tc>
          <w:tcPr>
            <w:tcW w:w="1590" w:type="dxa"/>
            <w:tcBorders>
              <w:top w:val="nil"/>
              <w:left w:val="nil"/>
              <w:bottom w:val="nil"/>
              <w:right w:val="nil"/>
            </w:tcBorders>
          </w:tcPr>
          <w:p w:rsidR="00CF4B4F" w:rsidRPr="00B74A55" w:rsidRDefault="00CF4B4F" w:rsidP="00CF4B4F">
            <w:pPr>
              <w:autoSpaceDE w:val="0"/>
              <w:autoSpaceDN w:val="0"/>
              <w:adjustRightInd w:val="0"/>
              <w:jc w:val="right"/>
              <w:rPr>
                <w:rFonts w:eastAsia="Calibri"/>
                <w:color w:val="000000"/>
                <w:sz w:val="22"/>
              </w:rPr>
            </w:pPr>
          </w:p>
        </w:tc>
        <w:tc>
          <w:tcPr>
            <w:tcW w:w="2762"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F4B4F" w:rsidRPr="00B74A55" w:rsidRDefault="00CF4B4F" w:rsidP="00CF4B4F">
            <w:pPr>
              <w:autoSpaceDE w:val="0"/>
              <w:autoSpaceDN w:val="0"/>
              <w:adjustRightInd w:val="0"/>
              <w:rPr>
                <w:rFonts w:eastAsia="Calibri"/>
                <w:b/>
                <w:color w:val="000000"/>
                <w:sz w:val="22"/>
              </w:rPr>
            </w:pPr>
            <w:r w:rsidRPr="00B74A55">
              <w:rPr>
                <w:rFonts w:eastAsia="Calibri"/>
                <w:b/>
                <w:color w:val="000000"/>
                <w:sz w:val="22"/>
              </w:rPr>
              <w:t>Опис проблеми, на вирішення якої спрямований проект</w:t>
            </w:r>
          </w:p>
        </w:tc>
        <w:tc>
          <w:tcPr>
            <w:tcW w:w="7005" w:type="dxa"/>
            <w:gridSpan w:val="10"/>
            <w:tcBorders>
              <w:top w:val="single" w:sz="6" w:space="0" w:color="auto"/>
              <w:left w:val="single" w:sz="6" w:space="0" w:color="auto"/>
              <w:bottom w:val="single" w:sz="6" w:space="0" w:color="auto"/>
              <w:right w:val="single" w:sz="6" w:space="0" w:color="auto"/>
            </w:tcBorders>
          </w:tcPr>
          <w:p w:rsidR="00CF4B4F" w:rsidRPr="00B74A55" w:rsidRDefault="00CF4B4F" w:rsidP="00C11751">
            <w:pPr>
              <w:jc w:val="left"/>
              <w:rPr>
                <w:color w:val="000000"/>
                <w:sz w:val="22"/>
              </w:rPr>
            </w:pPr>
            <w:r w:rsidRPr="00B74A55">
              <w:rPr>
                <w:color w:val="000000"/>
                <w:sz w:val="22"/>
              </w:rPr>
              <w:t xml:space="preserve">Садок </w:t>
            </w:r>
            <w:r w:rsidR="00C11751" w:rsidRPr="00B74A55">
              <w:rPr>
                <w:color w:val="000000"/>
                <w:sz w:val="22"/>
              </w:rPr>
              <w:t>по</w:t>
            </w:r>
            <w:r w:rsidRPr="00B74A55">
              <w:rPr>
                <w:color w:val="000000"/>
                <w:sz w:val="22"/>
              </w:rPr>
              <w:t>будовано у 1985 році</w:t>
            </w:r>
            <w:r w:rsidR="00C11751" w:rsidRPr="00B74A55">
              <w:rPr>
                <w:color w:val="000000"/>
                <w:sz w:val="22"/>
              </w:rPr>
              <w:t>.</w:t>
            </w:r>
            <w:r w:rsidRPr="00B74A55">
              <w:rPr>
                <w:color w:val="000000"/>
                <w:sz w:val="22"/>
              </w:rPr>
              <w:t xml:space="preserve"> </w:t>
            </w:r>
            <w:r w:rsidR="00C11751" w:rsidRPr="00B74A55">
              <w:rPr>
                <w:color w:val="000000"/>
                <w:sz w:val="22"/>
              </w:rPr>
              <w:t>П</w:t>
            </w:r>
            <w:r w:rsidRPr="00B74A55">
              <w:rPr>
                <w:color w:val="000000"/>
                <w:sz w:val="22"/>
              </w:rPr>
              <w:t xml:space="preserve">ід час </w:t>
            </w:r>
            <w:proofErr w:type="spellStart"/>
            <w:r w:rsidRPr="00B74A55">
              <w:rPr>
                <w:color w:val="000000"/>
                <w:sz w:val="22"/>
              </w:rPr>
              <w:t>воєних</w:t>
            </w:r>
            <w:proofErr w:type="spellEnd"/>
            <w:r w:rsidRPr="00B74A55">
              <w:rPr>
                <w:color w:val="000000"/>
                <w:sz w:val="22"/>
              </w:rPr>
              <w:t xml:space="preserve"> дій у </w:t>
            </w:r>
            <w:proofErr w:type="spellStart"/>
            <w:r w:rsidRPr="00B74A55">
              <w:rPr>
                <w:color w:val="000000"/>
                <w:sz w:val="22"/>
              </w:rPr>
              <w:t>м.Сєвєродонецьку</w:t>
            </w:r>
            <w:proofErr w:type="spellEnd"/>
            <w:r w:rsidRPr="00B74A55">
              <w:rPr>
                <w:color w:val="000000"/>
                <w:sz w:val="22"/>
              </w:rPr>
              <w:t xml:space="preserve"> будівля Ясел-садка №41 була частково зруйнована і зазнала великих пошкоджень. Приміщення перебувають в незадовільному стані, пошкоджено покрівлю, двері, вікна та комунікації</w:t>
            </w:r>
            <w:r w:rsidR="00C11751" w:rsidRPr="00B74A55">
              <w:rPr>
                <w:color w:val="000000"/>
                <w:sz w:val="22"/>
              </w:rPr>
              <w:t xml:space="preserve"> </w:t>
            </w:r>
            <w:r w:rsidRPr="00B74A55">
              <w:rPr>
                <w:color w:val="000000"/>
                <w:sz w:val="22"/>
              </w:rPr>
              <w:t>(водовідведення, каналізація, опалення,</w:t>
            </w:r>
            <w:r w:rsidR="00DC651E" w:rsidRPr="00B74A55">
              <w:rPr>
                <w:color w:val="000000"/>
                <w:sz w:val="22"/>
              </w:rPr>
              <w:t xml:space="preserve"> </w:t>
            </w:r>
            <w:r w:rsidRPr="00B74A55">
              <w:rPr>
                <w:color w:val="000000"/>
                <w:sz w:val="22"/>
              </w:rPr>
              <w:t>електрика).</w:t>
            </w:r>
          </w:p>
        </w:tc>
      </w:tr>
      <w:tr w:rsidR="00CF4B4F" w:rsidRPr="00B74A55" w:rsidTr="00520C3E">
        <w:trPr>
          <w:gridAfter w:val="1"/>
          <w:wAfter w:w="13" w:type="dxa"/>
          <w:trHeight w:val="1265"/>
        </w:trPr>
        <w:tc>
          <w:tcPr>
            <w:tcW w:w="1590" w:type="dxa"/>
            <w:tcBorders>
              <w:top w:val="nil"/>
              <w:left w:val="nil"/>
              <w:bottom w:val="nil"/>
              <w:right w:val="nil"/>
            </w:tcBorders>
          </w:tcPr>
          <w:p w:rsidR="00CF4B4F" w:rsidRPr="00B74A55" w:rsidRDefault="00CF4B4F" w:rsidP="00CF4B4F">
            <w:pPr>
              <w:autoSpaceDE w:val="0"/>
              <w:autoSpaceDN w:val="0"/>
              <w:adjustRightInd w:val="0"/>
              <w:jc w:val="right"/>
              <w:rPr>
                <w:rFonts w:eastAsia="Calibri"/>
                <w:color w:val="000000"/>
                <w:sz w:val="22"/>
              </w:rPr>
            </w:pPr>
          </w:p>
        </w:tc>
        <w:tc>
          <w:tcPr>
            <w:tcW w:w="2762"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F4B4F" w:rsidRPr="00B74A55" w:rsidRDefault="00CF4B4F" w:rsidP="00CF4B4F">
            <w:pPr>
              <w:autoSpaceDE w:val="0"/>
              <w:autoSpaceDN w:val="0"/>
              <w:adjustRightInd w:val="0"/>
              <w:rPr>
                <w:rFonts w:eastAsia="Calibri"/>
                <w:b/>
                <w:color w:val="000000"/>
                <w:sz w:val="22"/>
              </w:rPr>
            </w:pPr>
            <w:r w:rsidRPr="00B74A55">
              <w:rPr>
                <w:rFonts w:eastAsia="Calibri"/>
                <w:b/>
                <w:color w:val="000000"/>
                <w:sz w:val="22"/>
              </w:rPr>
              <w:t>Очікувані якісні результати від реалізації проекту</w:t>
            </w:r>
          </w:p>
        </w:tc>
        <w:tc>
          <w:tcPr>
            <w:tcW w:w="7005" w:type="dxa"/>
            <w:gridSpan w:val="10"/>
            <w:tcBorders>
              <w:top w:val="single" w:sz="6" w:space="0" w:color="auto"/>
              <w:left w:val="single" w:sz="6" w:space="0" w:color="auto"/>
              <w:bottom w:val="single" w:sz="6" w:space="0" w:color="auto"/>
              <w:right w:val="single" w:sz="6" w:space="0" w:color="auto"/>
            </w:tcBorders>
          </w:tcPr>
          <w:p w:rsidR="00CF4B4F" w:rsidRPr="00B74A55" w:rsidRDefault="00CF4B4F" w:rsidP="00CF4B4F">
            <w:pPr>
              <w:rPr>
                <w:color w:val="000000"/>
                <w:sz w:val="22"/>
              </w:rPr>
            </w:pPr>
            <w:r w:rsidRPr="00B74A55">
              <w:rPr>
                <w:color w:val="000000"/>
                <w:sz w:val="22"/>
              </w:rPr>
              <w:t xml:space="preserve">Реалізація </w:t>
            </w:r>
            <w:proofErr w:type="spellStart"/>
            <w:r w:rsidRPr="00B74A55">
              <w:rPr>
                <w:color w:val="000000"/>
                <w:sz w:val="22"/>
              </w:rPr>
              <w:t>проєкту</w:t>
            </w:r>
            <w:proofErr w:type="spellEnd"/>
            <w:r w:rsidRPr="00B74A55">
              <w:rPr>
                <w:color w:val="000000"/>
                <w:sz w:val="22"/>
              </w:rPr>
              <w:t xml:space="preserve"> </w:t>
            </w:r>
            <w:proofErr w:type="spellStart"/>
            <w:r w:rsidRPr="00B74A55">
              <w:rPr>
                <w:color w:val="000000"/>
                <w:sz w:val="22"/>
              </w:rPr>
              <w:t>надасть</w:t>
            </w:r>
            <w:proofErr w:type="spellEnd"/>
            <w:r w:rsidRPr="00B74A55">
              <w:rPr>
                <w:color w:val="000000"/>
                <w:sz w:val="22"/>
              </w:rPr>
              <w:t xml:space="preserve"> можливість дітям отримувати дошкільну освіту в сучасних, комфортних та безпечних умовах. Забезпечить населення можливостями для реалізації їх конституційних прав,</w:t>
            </w:r>
            <w:r w:rsidR="00DD0F28" w:rsidRPr="00B74A55">
              <w:rPr>
                <w:color w:val="000000"/>
                <w:sz w:val="22"/>
              </w:rPr>
              <w:t xml:space="preserve"> </w:t>
            </w:r>
            <w:r w:rsidRPr="00B74A55">
              <w:rPr>
                <w:color w:val="000000"/>
                <w:sz w:val="22"/>
              </w:rPr>
              <w:t>пов’язаних із дошкільною освітою їх дітей. Зниження експлуатаційних витрат до 30 %.</w:t>
            </w:r>
          </w:p>
          <w:p w:rsidR="00CF4B4F" w:rsidRPr="00B74A55" w:rsidRDefault="00CF4B4F" w:rsidP="00CF4B4F">
            <w:pPr>
              <w:rPr>
                <w:color w:val="000000"/>
                <w:sz w:val="22"/>
              </w:rPr>
            </w:pPr>
            <w:r w:rsidRPr="00B74A55">
              <w:rPr>
                <w:color w:val="000000"/>
                <w:sz w:val="22"/>
              </w:rPr>
              <w:t>Подовження терміну експлуатації будівель, економія споживання теплової енергії на 20 %.</w:t>
            </w:r>
          </w:p>
          <w:p w:rsidR="00CF4B4F" w:rsidRPr="00B74A55" w:rsidRDefault="00CF4B4F" w:rsidP="00CF4B4F">
            <w:pPr>
              <w:rPr>
                <w:color w:val="000000"/>
                <w:sz w:val="22"/>
              </w:rPr>
            </w:pPr>
            <w:r w:rsidRPr="00B74A55">
              <w:rPr>
                <w:color w:val="000000"/>
                <w:sz w:val="22"/>
              </w:rPr>
              <w:t>Зменшення споживання електричної енергії за рахунок заміни застарілого енергоємного обладнання на сучасне.</w:t>
            </w:r>
          </w:p>
        </w:tc>
      </w:tr>
      <w:tr w:rsidR="00CF4B4F" w:rsidRPr="00B74A55" w:rsidTr="002F1205">
        <w:trPr>
          <w:trHeight w:val="581"/>
        </w:trPr>
        <w:tc>
          <w:tcPr>
            <w:tcW w:w="1590" w:type="dxa"/>
            <w:tcBorders>
              <w:top w:val="nil"/>
              <w:left w:val="nil"/>
              <w:bottom w:val="nil"/>
              <w:right w:val="nil"/>
            </w:tcBorders>
          </w:tcPr>
          <w:p w:rsidR="00CF4B4F" w:rsidRPr="00B74A55" w:rsidRDefault="00CF4B4F" w:rsidP="00CF4B4F">
            <w:pPr>
              <w:autoSpaceDE w:val="0"/>
              <w:autoSpaceDN w:val="0"/>
              <w:adjustRightInd w:val="0"/>
              <w:jc w:val="right"/>
              <w:rPr>
                <w:rFonts w:eastAsia="Calibri"/>
                <w:color w:val="000000"/>
                <w:sz w:val="22"/>
              </w:rPr>
            </w:pPr>
          </w:p>
        </w:tc>
        <w:tc>
          <w:tcPr>
            <w:tcW w:w="2762"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F4B4F" w:rsidRPr="00B74A55" w:rsidRDefault="00CF4B4F" w:rsidP="00CF4B4F">
            <w:pPr>
              <w:autoSpaceDE w:val="0"/>
              <w:autoSpaceDN w:val="0"/>
              <w:adjustRightInd w:val="0"/>
              <w:rPr>
                <w:rFonts w:eastAsia="Calibri"/>
                <w:b/>
                <w:color w:val="000000"/>
                <w:sz w:val="22"/>
              </w:rPr>
            </w:pPr>
            <w:r w:rsidRPr="00B74A55">
              <w:rPr>
                <w:rFonts w:eastAsia="Calibri"/>
                <w:b/>
                <w:color w:val="000000"/>
                <w:sz w:val="22"/>
              </w:rPr>
              <w:t>Очікувані кількісні результати від реалізації проекту  (індикатори)</w:t>
            </w:r>
          </w:p>
        </w:tc>
        <w:tc>
          <w:tcPr>
            <w:tcW w:w="4042" w:type="dxa"/>
            <w:gridSpan w:val="4"/>
            <w:tcBorders>
              <w:top w:val="single" w:sz="6" w:space="0" w:color="auto"/>
              <w:left w:val="single" w:sz="6" w:space="0" w:color="auto"/>
              <w:bottom w:val="single" w:sz="6" w:space="0" w:color="auto"/>
              <w:right w:val="single" w:sz="6" w:space="0" w:color="auto"/>
            </w:tcBorders>
          </w:tcPr>
          <w:p w:rsidR="00CF4B4F" w:rsidRPr="00B74A55" w:rsidRDefault="00CF4B4F" w:rsidP="00CF4B4F">
            <w:pPr>
              <w:autoSpaceDE w:val="0"/>
              <w:autoSpaceDN w:val="0"/>
              <w:adjustRightInd w:val="0"/>
              <w:rPr>
                <w:rFonts w:eastAsia="Calibri"/>
                <w:b/>
                <w:color w:val="000000"/>
                <w:sz w:val="22"/>
              </w:rPr>
            </w:pPr>
            <w:r w:rsidRPr="00B74A55">
              <w:rPr>
                <w:rFonts w:eastAsia="Calibri"/>
                <w:b/>
                <w:color w:val="000000"/>
                <w:sz w:val="22"/>
              </w:rPr>
              <w:t>Найменування показника</w:t>
            </w:r>
          </w:p>
        </w:tc>
        <w:tc>
          <w:tcPr>
            <w:tcW w:w="1559" w:type="dxa"/>
            <w:gridSpan w:val="3"/>
            <w:tcBorders>
              <w:top w:val="single" w:sz="6" w:space="0" w:color="auto"/>
              <w:left w:val="single" w:sz="6" w:space="0" w:color="auto"/>
              <w:bottom w:val="single" w:sz="6" w:space="0" w:color="auto"/>
              <w:right w:val="single" w:sz="6" w:space="0" w:color="auto"/>
            </w:tcBorders>
          </w:tcPr>
          <w:p w:rsidR="00CF4B4F" w:rsidRPr="00B74A55" w:rsidRDefault="00CF4B4F" w:rsidP="00CF4B4F">
            <w:pPr>
              <w:autoSpaceDE w:val="0"/>
              <w:autoSpaceDN w:val="0"/>
              <w:adjustRightInd w:val="0"/>
              <w:rPr>
                <w:rFonts w:eastAsia="Calibri"/>
                <w:b/>
                <w:color w:val="000000"/>
                <w:sz w:val="22"/>
              </w:rPr>
            </w:pPr>
            <w:r w:rsidRPr="00B74A55">
              <w:rPr>
                <w:rFonts w:eastAsia="Calibri"/>
                <w:b/>
                <w:color w:val="000000"/>
                <w:sz w:val="22"/>
              </w:rPr>
              <w:t>Одиниця вимірювання</w:t>
            </w:r>
          </w:p>
        </w:tc>
        <w:tc>
          <w:tcPr>
            <w:tcW w:w="1417" w:type="dxa"/>
            <w:gridSpan w:val="4"/>
            <w:tcBorders>
              <w:top w:val="single" w:sz="6" w:space="0" w:color="auto"/>
              <w:left w:val="single" w:sz="6" w:space="0" w:color="auto"/>
              <w:bottom w:val="single" w:sz="6" w:space="0" w:color="auto"/>
              <w:right w:val="single" w:sz="6" w:space="0" w:color="auto"/>
            </w:tcBorders>
          </w:tcPr>
          <w:p w:rsidR="00CF4B4F" w:rsidRPr="00B74A55" w:rsidRDefault="00CF4B4F" w:rsidP="00CF4B4F">
            <w:pPr>
              <w:autoSpaceDE w:val="0"/>
              <w:autoSpaceDN w:val="0"/>
              <w:adjustRightInd w:val="0"/>
              <w:rPr>
                <w:rFonts w:eastAsia="Calibri"/>
                <w:b/>
                <w:color w:val="000000"/>
                <w:sz w:val="22"/>
              </w:rPr>
            </w:pPr>
            <w:r w:rsidRPr="00B74A55">
              <w:rPr>
                <w:rFonts w:eastAsia="Calibri"/>
                <w:b/>
                <w:color w:val="000000"/>
                <w:sz w:val="22"/>
              </w:rPr>
              <w:t>Прогнозне (цільове) значення</w:t>
            </w:r>
          </w:p>
        </w:tc>
      </w:tr>
      <w:tr w:rsidR="00CF4B4F" w:rsidRPr="00B74A55" w:rsidTr="00520C3E">
        <w:trPr>
          <w:gridAfter w:val="3"/>
          <w:wAfter w:w="61" w:type="dxa"/>
          <w:trHeight w:val="1550"/>
        </w:trPr>
        <w:tc>
          <w:tcPr>
            <w:tcW w:w="1590" w:type="dxa"/>
            <w:tcBorders>
              <w:top w:val="nil"/>
              <w:left w:val="nil"/>
              <w:bottom w:val="nil"/>
              <w:right w:val="nil"/>
            </w:tcBorders>
          </w:tcPr>
          <w:p w:rsidR="00CF4B4F" w:rsidRPr="00B74A55" w:rsidRDefault="00CF4B4F" w:rsidP="00CF4B4F">
            <w:pPr>
              <w:autoSpaceDE w:val="0"/>
              <w:autoSpaceDN w:val="0"/>
              <w:adjustRightInd w:val="0"/>
              <w:jc w:val="right"/>
              <w:rPr>
                <w:rFonts w:eastAsia="Calibri"/>
                <w:color w:val="000000"/>
                <w:sz w:val="22"/>
              </w:rPr>
            </w:pPr>
          </w:p>
        </w:tc>
        <w:tc>
          <w:tcPr>
            <w:tcW w:w="2762"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F4B4F" w:rsidRPr="00B74A55" w:rsidRDefault="00CF4B4F" w:rsidP="00CF4B4F">
            <w:pPr>
              <w:autoSpaceDE w:val="0"/>
              <w:autoSpaceDN w:val="0"/>
              <w:adjustRightInd w:val="0"/>
              <w:rPr>
                <w:rFonts w:eastAsia="Calibri"/>
                <w:b/>
                <w:color w:val="000000"/>
                <w:sz w:val="22"/>
              </w:rPr>
            </w:pPr>
          </w:p>
        </w:tc>
        <w:tc>
          <w:tcPr>
            <w:tcW w:w="4116" w:type="dxa"/>
            <w:gridSpan w:val="5"/>
            <w:tcBorders>
              <w:top w:val="single" w:sz="6" w:space="0" w:color="auto"/>
              <w:left w:val="single" w:sz="6" w:space="0" w:color="auto"/>
              <w:bottom w:val="single" w:sz="6" w:space="0" w:color="auto"/>
              <w:right w:val="single" w:sz="6" w:space="0" w:color="auto"/>
            </w:tcBorders>
          </w:tcPr>
          <w:p w:rsidR="00CF4B4F" w:rsidRPr="00B74A55" w:rsidRDefault="00CF4B4F" w:rsidP="00DD0F28">
            <w:pPr>
              <w:jc w:val="left"/>
              <w:rPr>
                <w:color w:val="000000"/>
                <w:sz w:val="22"/>
              </w:rPr>
            </w:pPr>
            <w:r w:rsidRPr="00B74A55">
              <w:rPr>
                <w:color w:val="000000"/>
                <w:sz w:val="22"/>
              </w:rPr>
              <w:t>Капітальний ремонт покрівлі</w:t>
            </w:r>
            <w:r w:rsidRPr="00B74A55">
              <w:rPr>
                <w:color w:val="000000"/>
                <w:sz w:val="22"/>
              </w:rPr>
              <w:br/>
              <w:t xml:space="preserve"> </w:t>
            </w:r>
          </w:p>
          <w:p w:rsidR="00CF4B4F" w:rsidRPr="00B74A55" w:rsidRDefault="00CF4B4F" w:rsidP="00DD0F28">
            <w:pPr>
              <w:jc w:val="left"/>
              <w:rPr>
                <w:color w:val="000000"/>
                <w:sz w:val="22"/>
              </w:rPr>
            </w:pPr>
            <w:r w:rsidRPr="00B74A55">
              <w:rPr>
                <w:color w:val="000000"/>
                <w:sz w:val="22"/>
              </w:rPr>
              <w:t>Капітальний ремонт дитячих груп,</w:t>
            </w:r>
            <w:r w:rsidR="00DD0F28" w:rsidRPr="00B74A55">
              <w:rPr>
                <w:color w:val="000000"/>
                <w:sz w:val="22"/>
              </w:rPr>
              <w:t xml:space="preserve"> </w:t>
            </w:r>
            <w:r w:rsidRPr="00B74A55">
              <w:rPr>
                <w:color w:val="000000"/>
                <w:sz w:val="22"/>
              </w:rPr>
              <w:t>залів, кабінетів та харчоблоку</w:t>
            </w:r>
            <w:r w:rsidRPr="00B74A55">
              <w:rPr>
                <w:color w:val="000000"/>
                <w:sz w:val="22"/>
              </w:rPr>
              <w:br/>
            </w:r>
          </w:p>
          <w:p w:rsidR="00CF4B4F" w:rsidRPr="00B74A55" w:rsidRDefault="00CF4B4F" w:rsidP="00DD0F28">
            <w:pPr>
              <w:jc w:val="left"/>
              <w:rPr>
                <w:color w:val="000000"/>
                <w:sz w:val="22"/>
              </w:rPr>
            </w:pPr>
            <w:r w:rsidRPr="00B74A55">
              <w:rPr>
                <w:color w:val="000000"/>
                <w:sz w:val="22"/>
              </w:rPr>
              <w:t xml:space="preserve">Ремонт підлоги </w:t>
            </w:r>
          </w:p>
          <w:p w:rsidR="00CF4B4F" w:rsidRPr="00B74A55" w:rsidRDefault="00CF4B4F" w:rsidP="00CF4B4F">
            <w:pPr>
              <w:rPr>
                <w:color w:val="000000"/>
                <w:sz w:val="22"/>
              </w:rPr>
            </w:pPr>
          </w:p>
          <w:p w:rsidR="00CF4B4F" w:rsidRPr="00B74A55" w:rsidRDefault="00CF4B4F" w:rsidP="00DD0F28">
            <w:pPr>
              <w:jc w:val="left"/>
              <w:rPr>
                <w:color w:val="000000"/>
                <w:sz w:val="22"/>
                <w:lang w:val="pl-PL"/>
              </w:rPr>
            </w:pPr>
            <w:r w:rsidRPr="00B74A55">
              <w:rPr>
                <w:color w:val="000000"/>
                <w:sz w:val="22"/>
              </w:rPr>
              <w:t xml:space="preserve">Будівництво пандусу </w:t>
            </w:r>
            <w:r w:rsidRPr="00B74A55">
              <w:rPr>
                <w:color w:val="000000"/>
                <w:sz w:val="22"/>
              </w:rPr>
              <w:br/>
            </w:r>
          </w:p>
          <w:p w:rsidR="00CF4B4F" w:rsidRPr="00B74A55" w:rsidRDefault="00CF4B4F" w:rsidP="00DD0F28">
            <w:pPr>
              <w:jc w:val="left"/>
              <w:rPr>
                <w:color w:val="000000"/>
                <w:sz w:val="22"/>
              </w:rPr>
            </w:pPr>
            <w:r w:rsidRPr="00B74A55">
              <w:rPr>
                <w:color w:val="000000"/>
                <w:sz w:val="22"/>
              </w:rPr>
              <w:t xml:space="preserve">Ремонт </w:t>
            </w:r>
            <w:proofErr w:type="spellStart"/>
            <w:r w:rsidRPr="00B74A55">
              <w:rPr>
                <w:color w:val="000000"/>
                <w:sz w:val="22"/>
              </w:rPr>
              <w:t>електро</w:t>
            </w:r>
            <w:proofErr w:type="spellEnd"/>
            <w:r w:rsidRPr="00B74A55">
              <w:rPr>
                <w:color w:val="000000"/>
                <w:sz w:val="22"/>
              </w:rPr>
              <w:t>- (заміна 9 щитків), тепло- (заміна системи опалення), водопостачання та водовідведення (заміна труб);</w:t>
            </w:r>
            <w:r w:rsidRPr="00B74A55">
              <w:rPr>
                <w:color w:val="000000"/>
                <w:sz w:val="22"/>
              </w:rPr>
              <w:br/>
            </w:r>
          </w:p>
          <w:p w:rsidR="00CF4B4F" w:rsidRPr="00B74A55" w:rsidRDefault="00CF4B4F" w:rsidP="00CF4B4F">
            <w:pPr>
              <w:rPr>
                <w:color w:val="000000"/>
                <w:sz w:val="22"/>
              </w:rPr>
            </w:pPr>
            <w:r w:rsidRPr="00B74A55">
              <w:rPr>
                <w:color w:val="000000"/>
                <w:sz w:val="22"/>
              </w:rPr>
              <w:t xml:space="preserve">Утеплення зовнішніх стін будівлі </w:t>
            </w:r>
          </w:p>
          <w:p w:rsidR="00CF4B4F" w:rsidRPr="00B74A55" w:rsidRDefault="00CF4B4F" w:rsidP="00CF4B4F">
            <w:pPr>
              <w:rPr>
                <w:color w:val="000000"/>
                <w:sz w:val="22"/>
              </w:rPr>
            </w:pPr>
          </w:p>
          <w:p w:rsidR="00CF4B4F" w:rsidRPr="00B74A55" w:rsidRDefault="00CF4B4F" w:rsidP="00DD0F28">
            <w:pPr>
              <w:jc w:val="left"/>
              <w:rPr>
                <w:color w:val="000000"/>
                <w:sz w:val="22"/>
              </w:rPr>
            </w:pPr>
            <w:r w:rsidRPr="00B74A55">
              <w:rPr>
                <w:color w:val="000000"/>
                <w:sz w:val="22"/>
              </w:rPr>
              <w:t xml:space="preserve">Зовнішнє оздоблення фасаду </w:t>
            </w:r>
            <w:r w:rsidRPr="00B74A55">
              <w:rPr>
                <w:color w:val="000000"/>
                <w:sz w:val="22"/>
              </w:rPr>
              <w:br/>
            </w:r>
          </w:p>
          <w:p w:rsidR="00CF4B4F" w:rsidRPr="00B74A55" w:rsidRDefault="00CF4B4F" w:rsidP="00CD6F85">
            <w:pPr>
              <w:jc w:val="left"/>
              <w:rPr>
                <w:color w:val="000000"/>
                <w:sz w:val="22"/>
              </w:rPr>
            </w:pPr>
            <w:r w:rsidRPr="00B74A55">
              <w:rPr>
                <w:color w:val="000000"/>
                <w:sz w:val="22"/>
              </w:rPr>
              <w:lastRenderedPageBreak/>
              <w:t>Заміна віконних блоків</w:t>
            </w:r>
          </w:p>
        </w:tc>
        <w:tc>
          <w:tcPr>
            <w:tcW w:w="1421" w:type="dxa"/>
            <w:tcBorders>
              <w:top w:val="single" w:sz="6" w:space="0" w:color="auto"/>
              <w:left w:val="single" w:sz="6" w:space="0" w:color="auto"/>
              <w:bottom w:val="single" w:sz="6" w:space="0" w:color="auto"/>
              <w:right w:val="single" w:sz="6" w:space="0" w:color="auto"/>
            </w:tcBorders>
          </w:tcPr>
          <w:p w:rsidR="00CF4B4F" w:rsidRPr="00B74A55" w:rsidRDefault="00CF4B4F" w:rsidP="00CF4B4F">
            <w:pPr>
              <w:rPr>
                <w:sz w:val="22"/>
              </w:rPr>
            </w:pPr>
            <w:r w:rsidRPr="00B74A55">
              <w:rPr>
                <w:sz w:val="22"/>
              </w:rPr>
              <w:lastRenderedPageBreak/>
              <w:t>м</w:t>
            </w:r>
            <w:r w:rsidRPr="00B74A55">
              <w:rPr>
                <w:sz w:val="22"/>
                <w:vertAlign w:val="superscript"/>
              </w:rPr>
              <w:t>2</w:t>
            </w:r>
          </w:p>
          <w:p w:rsidR="00CF4B4F" w:rsidRPr="00B74A55" w:rsidRDefault="00CF4B4F" w:rsidP="002F1205">
            <w:pPr>
              <w:autoSpaceDE w:val="0"/>
              <w:autoSpaceDN w:val="0"/>
              <w:adjustRightInd w:val="0"/>
              <w:rPr>
                <w:sz w:val="22"/>
              </w:rPr>
            </w:pPr>
            <w:r w:rsidRPr="00B74A55">
              <w:rPr>
                <w:rFonts w:eastAsia="Calibri"/>
                <w:sz w:val="22"/>
              </w:rPr>
              <w:br/>
            </w:r>
            <w:r w:rsidRPr="00B74A55">
              <w:rPr>
                <w:sz w:val="22"/>
              </w:rPr>
              <w:t>одиниць</w:t>
            </w:r>
          </w:p>
          <w:p w:rsidR="00CF4B4F" w:rsidRPr="00B74A55" w:rsidRDefault="00CF4B4F" w:rsidP="00CF4B4F">
            <w:pPr>
              <w:rPr>
                <w:sz w:val="22"/>
              </w:rPr>
            </w:pPr>
          </w:p>
          <w:p w:rsidR="002F1205" w:rsidRPr="00B74A55" w:rsidRDefault="002F1205" w:rsidP="00CF4B4F">
            <w:pPr>
              <w:rPr>
                <w:sz w:val="22"/>
              </w:rPr>
            </w:pPr>
          </w:p>
          <w:p w:rsidR="00CF4B4F" w:rsidRPr="00B74A55" w:rsidRDefault="00CF4B4F" w:rsidP="00CF4B4F">
            <w:pPr>
              <w:rPr>
                <w:sz w:val="22"/>
              </w:rPr>
            </w:pPr>
            <w:r w:rsidRPr="00B74A55">
              <w:rPr>
                <w:sz w:val="22"/>
              </w:rPr>
              <w:t>м</w:t>
            </w:r>
            <w:r w:rsidRPr="00B74A55">
              <w:rPr>
                <w:sz w:val="22"/>
                <w:vertAlign w:val="superscript"/>
              </w:rPr>
              <w:t>2</w:t>
            </w:r>
          </w:p>
          <w:p w:rsidR="00CF4B4F" w:rsidRPr="00B74A55" w:rsidRDefault="00CF4B4F" w:rsidP="00CF4B4F">
            <w:pPr>
              <w:autoSpaceDE w:val="0"/>
              <w:autoSpaceDN w:val="0"/>
              <w:adjustRightInd w:val="0"/>
              <w:rPr>
                <w:rFonts w:eastAsia="Calibri"/>
                <w:sz w:val="22"/>
              </w:rPr>
            </w:pPr>
          </w:p>
          <w:p w:rsidR="00CF4B4F" w:rsidRPr="00B74A55" w:rsidRDefault="00CF4B4F" w:rsidP="00CF4B4F">
            <w:pPr>
              <w:rPr>
                <w:sz w:val="22"/>
              </w:rPr>
            </w:pPr>
            <w:r w:rsidRPr="00B74A55">
              <w:rPr>
                <w:sz w:val="22"/>
              </w:rPr>
              <w:t>одиниць</w:t>
            </w:r>
          </w:p>
          <w:p w:rsidR="00CF4B4F" w:rsidRPr="00B74A55" w:rsidRDefault="00CF4B4F" w:rsidP="00CF4B4F">
            <w:pPr>
              <w:rPr>
                <w:sz w:val="22"/>
              </w:rPr>
            </w:pPr>
            <w:r w:rsidRPr="00B74A55">
              <w:rPr>
                <w:rFonts w:eastAsia="Calibri"/>
                <w:sz w:val="22"/>
              </w:rPr>
              <w:br/>
            </w:r>
            <w:r w:rsidRPr="00B74A55">
              <w:rPr>
                <w:sz w:val="22"/>
              </w:rPr>
              <w:t>одиниць</w:t>
            </w:r>
          </w:p>
          <w:p w:rsidR="00CF4B4F" w:rsidRPr="00B74A55" w:rsidRDefault="00CF4B4F" w:rsidP="00CF4B4F">
            <w:pPr>
              <w:autoSpaceDE w:val="0"/>
              <w:autoSpaceDN w:val="0"/>
              <w:adjustRightInd w:val="0"/>
              <w:rPr>
                <w:rFonts w:eastAsia="Calibri"/>
                <w:sz w:val="22"/>
              </w:rPr>
            </w:pPr>
            <w:r w:rsidRPr="00B74A55">
              <w:rPr>
                <w:rFonts w:eastAsia="Calibri"/>
                <w:sz w:val="22"/>
              </w:rPr>
              <w:br/>
            </w:r>
          </w:p>
          <w:p w:rsidR="00CF4B4F" w:rsidRPr="00B74A55" w:rsidRDefault="00CF4B4F" w:rsidP="00CF4B4F">
            <w:pPr>
              <w:rPr>
                <w:sz w:val="22"/>
              </w:rPr>
            </w:pPr>
          </w:p>
          <w:p w:rsidR="00CF4B4F" w:rsidRPr="00B74A55" w:rsidRDefault="00CF4B4F" w:rsidP="00CF4B4F">
            <w:pPr>
              <w:rPr>
                <w:sz w:val="22"/>
              </w:rPr>
            </w:pPr>
          </w:p>
          <w:p w:rsidR="00CF4B4F" w:rsidRPr="00B74A55" w:rsidRDefault="00CF4B4F" w:rsidP="00CF4B4F">
            <w:pPr>
              <w:autoSpaceDE w:val="0"/>
              <w:autoSpaceDN w:val="0"/>
              <w:adjustRightInd w:val="0"/>
              <w:rPr>
                <w:sz w:val="22"/>
              </w:rPr>
            </w:pPr>
            <w:r w:rsidRPr="00B74A55">
              <w:rPr>
                <w:sz w:val="22"/>
              </w:rPr>
              <w:t>м</w:t>
            </w:r>
            <w:r w:rsidRPr="00B74A55">
              <w:rPr>
                <w:sz w:val="22"/>
                <w:vertAlign w:val="superscript"/>
              </w:rPr>
              <w:t>2</w:t>
            </w:r>
            <w:r w:rsidRPr="00B74A55">
              <w:rPr>
                <w:rFonts w:eastAsia="Calibri"/>
                <w:sz w:val="22"/>
              </w:rPr>
              <w:br/>
            </w:r>
          </w:p>
          <w:p w:rsidR="00CF4B4F" w:rsidRPr="00B74A55" w:rsidRDefault="00CF4B4F" w:rsidP="00CF4B4F">
            <w:pPr>
              <w:autoSpaceDE w:val="0"/>
              <w:autoSpaceDN w:val="0"/>
              <w:adjustRightInd w:val="0"/>
              <w:rPr>
                <w:rFonts w:eastAsia="Calibri"/>
                <w:sz w:val="22"/>
              </w:rPr>
            </w:pPr>
            <w:r w:rsidRPr="00B74A55">
              <w:rPr>
                <w:sz w:val="22"/>
              </w:rPr>
              <w:lastRenderedPageBreak/>
              <w:t>м</w:t>
            </w:r>
            <w:r w:rsidRPr="00B74A55">
              <w:rPr>
                <w:sz w:val="22"/>
                <w:vertAlign w:val="superscript"/>
              </w:rPr>
              <w:t>2</w:t>
            </w:r>
            <w:r w:rsidRPr="00B74A55">
              <w:rPr>
                <w:sz w:val="22"/>
                <w:vertAlign w:val="superscript"/>
              </w:rPr>
              <w:br/>
            </w:r>
            <w:r w:rsidRPr="00B74A55">
              <w:rPr>
                <w:sz w:val="22"/>
                <w:vertAlign w:val="superscript"/>
              </w:rPr>
              <w:br/>
            </w:r>
            <w:r w:rsidRPr="00B74A55">
              <w:rPr>
                <w:sz w:val="22"/>
              </w:rPr>
              <w:t>одиниць</w:t>
            </w:r>
          </w:p>
        </w:tc>
        <w:tc>
          <w:tcPr>
            <w:tcW w:w="1420" w:type="dxa"/>
            <w:gridSpan w:val="2"/>
            <w:tcBorders>
              <w:top w:val="single" w:sz="6" w:space="0" w:color="auto"/>
              <w:left w:val="single" w:sz="6" w:space="0" w:color="auto"/>
              <w:bottom w:val="single" w:sz="6" w:space="0" w:color="auto"/>
              <w:right w:val="single" w:sz="6" w:space="0" w:color="auto"/>
            </w:tcBorders>
          </w:tcPr>
          <w:p w:rsidR="00CF4B4F" w:rsidRPr="00B74A55" w:rsidRDefault="00CF4B4F" w:rsidP="00CF4B4F">
            <w:pPr>
              <w:autoSpaceDE w:val="0"/>
              <w:autoSpaceDN w:val="0"/>
              <w:adjustRightInd w:val="0"/>
              <w:rPr>
                <w:sz w:val="22"/>
              </w:rPr>
            </w:pPr>
            <w:r w:rsidRPr="00B74A55">
              <w:rPr>
                <w:sz w:val="22"/>
              </w:rPr>
              <w:lastRenderedPageBreak/>
              <w:t>1860</w:t>
            </w:r>
          </w:p>
          <w:p w:rsidR="00CF4B4F" w:rsidRPr="00B74A55" w:rsidRDefault="00CF4B4F" w:rsidP="00CF4B4F">
            <w:pPr>
              <w:autoSpaceDE w:val="0"/>
              <w:autoSpaceDN w:val="0"/>
              <w:adjustRightInd w:val="0"/>
              <w:rPr>
                <w:sz w:val="22"/>
              </w:rPr>
            </w:pPr>
          </w:p>
          <w:p w:rsidR="00CF4B4F" w:rsidRPr="00B74A55" w:rsidRDefault="00CF4B4F" w:rsidP="00CF4B4F">
            <w:pPr>
              <w:autoSpaceDE w:val="0"/>
              <w:autoSpaceDN w:val="0"/>
              <w:adjustRightInd w:val="0"/>
              <w:rPr>
                <w:sz w:val="22"/>
              </w:rPr>
            </w:pPr>
            <w:r w:rsidRPr="00B74A55">
              <w:rPr>
                <w:sz w:val="22"/>
              </w:rPr>
              <w:t>29</w:t>
            </w:r>
          </w:p>
          <w:p w:rsidR="00CF4B4F" w:rsidRPr="00B74A55" w:rsidRDefault="00CF4B4F" w:rsidP="00CF4B4F">
            <w:pPr>
              <w:autoSpaceDE w:val="0"/>
              <w:autoSpaceDN w:val="0"/>
              <w:adjustRightInd w:val="0"/>
              <w:rPr>
                <w:sz w:val="22"/>
              </w:rPr>
            </w:pPr>
          </w:p>
          <w:p w:rsidR="002F1205" w:rsidRPr="00B74A55" w:rsidRDefault="002F1205" w:rsidP="00CF4B4F">
            <w:pPr>
              <w:autoSpaceDE w:val="0"/>
              <w:autoSpaceDN w:val="0"/>
              <w:adjustRightInd w:val="0"/>
              <w:rPr>
                <w:sz w:val="22"/>
              </w:rPr>
            </w:pPr>
          </w:p>
          <w:p w:rsidR="00CF4B4F" w:rsidRPr="00B74A55" w:rsidRDefault="00CF4B4F" w:rsidP="00CF4B4F">
            <w:pPr>
              <w:autoSpaceDE w:val="0"/>
              <w:autoSpaceDN w:val="0"/>
              <w:adjustRightInd w:val="0"/>
              <w:rPr>
                <w:sz w:val="22"/>
              </w:rPr>
            </w:pPr>
            <w:r w:rsidRPr="00B74A55">
              <w:rPr>
                <w:sz w:val="22"/>
              </w:rPr>
              <w:t>2660</w:t>
            </w:r>
          </w:p>
          <w:p w:rsidR="00CF4B4F" w:rsidRPr="00B74A55" w:rsidRDefault="00CF4B4F" w:rsidP="00CF4B4F">
            <w:pPr>
              <w:autoSpaceDE w:val="0"/>
              <w:autoSpaceDN w:val="0"/>
              <w:adjustRightInd w:val="0"/>
              <w:rPr>
                <w:sz w:val="22"/>
              </w:rPr>
            </w:pPr>
          </w:p>
          <w:p w:rsidR="00CF4B4F" w:rsidRPr="00B74A55" w:rsidRDefault="00CF4B4F" w:rsidP="00CF4B4F">
            <w:pPr>
              <w:autoSpaceDE w:val="0"/>
              <w:autoSpaceDN w:val="0"/>
              <w:adjustRightInd w:val="0"/>
              <w:rPr>
                <w:sz w:val="22"/>
              </w:rPr>
            </w:pPr>
            <w:r w:rsidRPr="00B74A55">
              <w:rPr>
                <w:sz w:val="22"/>
              </w:rPr>
              <w:t>3</w:t>
            </w:r>
          </w:p>
          <w:p w:rsidR="00CF4B4F" w:rsidRPr="00B74A55" w:rsidRDefault="00CF4B4F" w:rsidP="00CF4B4F">
            <w:pPr>
              <w:autoSpaceDE w:val="0"/>
              <w:autoSpaceDN w:val="0"/>
              <w:adjustRightInd w:val="0"/>
              <w:rPr>
                <w:sz w:val="22"/>
              </w:rPr>
            </w:pPr>
          </w:p>
          <w:p w:rsidR="00CF4B4F" w:rsidRPr="00B74A55" w:rsidRDefault="00CF4B4F" w:rsidP="00CF4B4F">
            <w:pPr>
              <w:autoSpaceDE w:val="0"/>
              <w:autoSpaceDN w:val="0"/>
              <w:adjustRightInd w:val="0"/>
              <w:rPr>
                <w:sz w:val="22"/>
              </w:rPr>
            </w:pPr>
            <w:r w:rsidRPr="00B74A55">
              <w:rPr>
                <w:sz w:val="22"/>
              </w:rPr>
              <w:t>9</w:t>
            </w:r>
          </w:p>
          <w:p w:rsidR="00CF4B4F" w:rsidRPr="00B74A55" w:rsidRDefault="00CF4B4F" w:rsidP="00CF4B4F">
            <w:pPr>
              <w:autoSpaceDE w:val="0"/>
              <w:autoSpaceDN w:val="0"/>
              <w:adjustRightInd w:val="0"/>
              <w:rPr>
                <w:sz w:val="22"/>
              </w:rPr>
            </w:pPr>
          </w:p>
          <w:p w:rsidR="00CF4B4F" w:rsidRPr="00B74A55" w:rsidRDefault="00CF4B4F" w:rsidP="00CF4B4F">
            <w:pPr>
              <w:autoSpaceDE w:val="0"/>
              <w:autoSpaceDN w:val="0"/>
              <w:adjustRightInd w:val="0"/>
              <w:rPr>
                <w:sz w:val="22"/>
              </w:rPr>
            </w:pPr>
          </w:p>
          <w:p w:rsidR="00CF4B4F" w:rsidRPr="00B74A55" w:rsidRDefault="00CF4B4F" w:rsidP="00CF4B4F">
            <w:pPr>
              <w:autoSpaceDE w:val="0"/>
              <w:autoSpaceDN w:val="0"/>
              <w:adjustRightInd w:val="0"/>
              <w:rPr>
                <w:sz w:val="22"/>
              </w:rPr>
            </w:pPr>
          </w:p>
          <w:p w:rsidR="00CF4B4F" w:rsidRPr="00B74A55" w:rsidRDefault="00CF4B4F" w:rsidP="00CF4B4F">
            <w:pPr>
              <w:autoSpaceDE w:val="0"/>
              <w:autoSpaceDN w:val="0"/>
              <w:adjustRightInd w:val="0"/>
              <w:rPr>
                <w:sz w:val="22"/>
              </w:rPr>
            </w:pPr>
          </w:p>
          <w:p w:rsidR="00CF4B4F" w:rsidRPr="00B74A55" w:rsidRDefault="00CF4B4F" w:rsidP="00CF4B4F">
            <w:pPr>
              <w:autoSpaceDE w:val="0"/>
              <w:autoSpaceDN w:val="0"/>
              <w:adjustRightInd w:val="0"/>
              <w:rPr>
                <w:sz w:val="22"/>
              </w:rPr>
            </w:pPr>
            <w:r w:rsidRPr="00B74A55">
              <w:rPr>
                <w:sz w:val="22"/>
              </w:rPr>
              <w:t>2725</w:t>
            </w:r>
          </w:p>
          <w:p w:rsidR="00CF4B4F" w:rsidRPr="00B74A55" w:rsidRDefault="00CF4B4F" w:rsidP="00CF4B4F">
            <w:pPr>
              <w:autoSpaceDE w:val="0"/>
              <w:autoSpaceDN w:val="0"/>
              <w:adjustRightInd w:val="0"/>
              <w:rPr>
                <w:sz w:val="22"/>
              </w:rPr>
            </w:pPr>
          </w:p>
          <w:p w:rsidR="00CF4B4F" w:rsidRPr="00B74A55" w:rsidRDefault="00CF4B4F" w:rsidP="00CF4B4F">
            <w:pPr>
              <w:autoSpaceDE w:val="0"/>
              <w:autoSpaceDN w:val="0"/>
              <w:adjustRightInd w:val="0"/>
              <w:rPr>
                <w:sz w:val="22"/>
              </w:rPr>
            </w:pPr>
            <w:r w:rsidRPr="00B74A55">
              <w:rPr>
                <w:sz w:val="22"/>
              </w:rPr>
              <w:t>2725</w:t>
            </w:r>
          </w:p>
          <w:p w:rsidR="00CF4B4F" w:rsidRPr="00B74A55" w:rsidRDefault="00CF4B4F" w:rsidP="00CF4B4F">
            <w:pPr>
              <w:autoSpaceDE w:val="0"/>
              <w:autoSpaceDN w:val="0"/>
              <w:adjustRightInd w:val="0"/>
              <w:rPr>
                <w:sz w:val="22"/>
              </w:rPr>
            </w:pPr>
          </w:p>
          <w:p w:rsidR="00CF4B4F" w:rsidRPr="00B74A55" w:rsidRDefault="00CF4B4F" w:rsidP="00CF4B4F">
            <w:pPr>
              <w:autoSpaceDE w:val="0"/>
              <w:autoSpaceDN w:val="0"/>
              <w:adjustRightInd w:val="0"/>
              <w:rPr>
                <w:rFonts w:eastAsia="Calibri"/>
                <w:sz w:val="22"/>
              </w:rPr>
            </w:pPr>
            <w:r w:rsidRPr="00B74A55">
              <w:rPr>
                <w:sz w:val="22"/>
              </w:rPr>
              <w:lastRenderedPageBreak/>
              <w:t>146</w:t>
            </w:r>
          </w:p>
        </w:tc>
      </w:tr>
      <w:tr w:rsidR="00CF4B4F" w:rsidRPr="00B74A55" w:rsidTr="002F1205">
        <w:trPr>
          <w:gridAfter w:val="2"/>
          <w:wAfter w:w="22" w:type="dxa"/>
          <w:trHeight w:val="417"/>
        </w:trPr>
        <w:tc>
          <w:tcPr>
            <w:tcW w:w="1590" w:type="dxa"/>
            <w:tcBorders>
              <w:top w:val="nil"/>
              <w:left w:val="nil"/>
              <w:bottom w:val="nil"/>
              <w:right w:val="nil"/>
            </w:tcBorders>
          </w:tcPr>
          <w:p w:rsidR="00CF4B4F" w:rsidRPr="00B74A55" w:rsidRDefault="00CF4B4F" w:rsidP="00CF4B4F">
            <w:pPr>
              <w:autoSpaceDE w:val="0"/>
              <w:autoSpaceDN w:val="0"/>
              <w:adjustRightInd w:val="0"/>
              <w:jc w:val="right"/>
              <w:rPr>
                <w:rFonts w:eastAsia="Calibri"/>
                <w:color w:val="000000"/>
                <w:sz w:val="22"/>
              </w:rPr>
            </w:pPr>
          </w:p>
        </w:tc>
        <w:tc>
          <w:tcPr>
            <w:tcW w:w="2762"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F4B4F" w:rsidRPr="00B74A55" w:rsidRDefault="00CF4B4F" w:rsidP="00CF4B4F">
            <w:pPr>
              <w:autoSpaceDE w:val="0"/>
              <w:autoSpaceDN w:val="0"/>
              <w:adjustRightInd w:val="0"/>
              <w:rPr>
                <w:rFonts w:eastAsia="Calibri"/>
                <w:b/>
                <w:color w:val="000000"/>
                <w:sz w:val="22"/>
              </w:rPr>
            </w:pPr>
            <w:r w:rsidRPr="00B74A55">
              <w:rPr>
                <w:rFonts w:eastAsia="Calibri"/>
                <w:b/>
                <w:color w:val="000000"/>
                <w:sz w:val="22"/>
              </w:rPr>
              <w:t>Ключові заходи проекту:</w:t>
            </w:r>
          </w:p>
        </w:tc>
        <w:tc>
          <w:tcPr>
            <w:tcW w:w="6996" w:type="dxa"/>
            <w:gridSpan w:val="9"/>
            <w:tcBorders>
              <w:top w:val="single" w:sz="6" w:space="0" w:color="auto"/>
              <w:left w:val="single" w:sz="6" w:space="0" w:color="auto"/>
              <w:bottom w:val="single" w:sz="6" w:space="0" w:color="auto"/>
              <w:right w:val="single" w:sz="6" w:space="0" w:color="auto"/>
            </w:tcBorders>
          </w:tcPr>
          <w:p w:rsidR="00952825" w:rsidRPr="00B74A55" w:rsidRDefault="00CF4B4F" w:rsidP="00952825">
            <w:pPr>
              <w:jc w:val="left"/>
              <w:rPr>
                <w:color w:val="000000"/>
                <w:sz w:val="22"/>
              </w:rPr>
            </w:pPr>
            <w:r w:rsidRPr="00B74A55">
              <w:rPr>
                <w:color w:val="000000"/>
                <w:sz w:val="22"/>
              </w:rPr>
              <w:t xml:space="preserve">1.Розробка </w:t>
            </w:r>
            <w:proofErr w:type="spellStart"/>
            <w:r w:rsidRPr="00B74A55">
              <w:rPr>
                <w:color w:val="000000"/>
                <w:sz w:val="22"/>
              </w:rPr>
              <w:t>про</w:t>
            </w:r>
            <w:r w:rsidR="00952825" w:rsidRPr="00B74A55">
              <w:rPr>
                <w:color w:val="000000"/>
                <w:sz w:val="22"/>
              </w:rPr>
              <w:t>є</w:t>
            </w:r>
            <w:r w:rsidRPr="00B74A55">
              <w:rPr>
                <w:color w:val="000000"/>
                <w:sz w:val="22"/>
              </w:rPr>
              <w:t>кту</w:t>
            </w:r>
            <w:proofErr w:type="spellEnd"/>
            <w:r w:rsidRPr="00B74A55">
              <w:rPr>
                <w:color w:val="000000"/>
                <w:sz w:val="22"/>
              </w:rPr>
              <w:t xml:space="preserve"> та кошторисної і тендерної документації</w:t>
            </w:r>
            <w:r w:rsidR="00952825" w:rsidRPr="00B74A55">
              <w:rPr>
                <w:color w:val="000000"/>
                <w:sz w:val="22"/>
              </w:rPr>
              <w:t>.</w:t>
            </w:r>
            <w:r w:rsidRPr="00B74A55">
              <w:rPr>
                <w:color w:val="000000"/>
                <w:sz w:val="22"/>
              </w:rPr>
              <w:br/>
              <w:t>2.Проведення тендеру і обстеження стану будівлі</w:t>
            </w:r>
            <w:r w:rsidR="00952825" w:rsidRPr="00B74A55">
              <w:rPr>
                <w:color w:val="000000"/>
                <w:sz w:val="22"/>
              </w:rPr>
              <w:t>.</w:t>
            </w:r>
            <w:r w:rsidRPr="00B74A55">
              <w:rPr>
                <w:color w:val="000000"/>
                <w:sz w:val="22"/>
              </w:rPr>
              <w:br/>
              <w:t xml:space="preserve">3.Проведення експертизи </w:t>
            </w:r>
            <w:proofErr w:type="spellStart"/>
            <w:r w:rsidRPr="00B74A55">
              <w:rPr>
                <w:color w:val="000000"/>
                <w:sz w:val="22"/>
              </w:rPr>
              <w:t>проєктної</w:t>
            </w:r>
            <w:proofErr w:type="spellEnd"/>
            <w:r w:rsidRPr="00B74A55">
              <w:rPr>
                <w:color w:val="000000"/>
                <w:sz w:val="22"/>
              </w:rPr>
              <w:t xml:space="preserve"> документації</w:t>
            </w:r>
            <w:r w:rsidR="00952825" w:rsidRPr="00B74A55">
              <w:rPr>
                <w:color w:val="000000"/>
                <w:sz w:val="22"/>
              </w:rPr>
              <w:t>.</w:t>
            </w:r>
            <w:r w:rsidRPr="00B74A55">
              <w:rPr>
                <w:color w:val="000000"/>
                <w:sz w:val="22"/>
              </w:rPr>
              <w:br/>
              <w:t xml:space="preserve">4.Складання та затвердження графіків </w:t>
            </w:r>
            <w:proofErr w:type="spellStart"/>
            <w:r w:rsidRPr="00B74A55">
              <w:rPr>
                <w:color w:val="000000"/>
                <w:sz w:val="22"/>
              </w:rPr>
              <w:t>проєктних</w:t>
            </w:r>
            <w:proofErr w:type="spellEnd"/>
            <w:r w:rsidRPr="00B74A55">
              <w:rPr>
                <w:color w:val="000000"/>
                <w:sz w:val="22"/>
              </w:rPr>
              <w:t>, ремонтних та будівельно-монтажних робіт</w:t>
            </w:r>
            <w:r w:rsidR="00952825" w:rsidRPr="00B74A55">
              <w:rPr>
                <w:color w:val="000000"/>
                <w:sz w:val="22"/>
              </w:rPr>
              <w:t>.</w:t>
            </w:r>
            <w:r w:rsidRPr="00B74A55">
              <w:rPr>
                <w:color w:val="000000"/>
                <w:sz w:val="22"/>
              </w:rPr>
              <w:br/>
              <w:t>5.Визначення організації та підписання з нею договору про здійснення технічного нагляду</w:t>
            </w:r>
            <w:r w:rsidR="00952825" w:rsidRPr="00B74A55">
              <w:rPr>
                <w:color w:val="000000"/>
                <w:sz w:val="22"/>
              </w:rPr>
              <w:t>.</w:t>
            </w:r>
            <w:r w:rsidRPr="00B74A55">
              <w:rPr>
                <w:color w:val="000000"/>
                <w:sz w:val="22"/>
              </w:rPr>
              <w:br/>
              <w:t>6.Капітальний ремонт будівлі Ясел-садка №41</w:t>
            </w:r>
            <w:r w:rsidR="00952825" w:rsidRPr="00B74A55">
              <w:rPr>
                <w:color w:val="000000"/>
                <w:sz w:val="22"/>
              </w:rPr>
              <w:t>.</w:t>
            </w:r>
            <w:r w:rsidRPr="00B74A55">
              <w:rPr>
                <w:color w:val="000000"/>
                <w:sz w:val="22"/>
              </w:rPr>
              <w:br/>
              <w:t>7.Капітальний ремонт усіх приміщень (ремонт покрівлі, фасаду, заміна дверних блоків та вікон, системи опалення, водопостачання та водовідведення і ремонт групових приміщень)</w:t>
            </w:r>
            <w:r w:rsidR="00952825" w:rsidRPr="00B74A55">
              <w:rPr>
                <w:color w:val="000000"/>
                <w:sz w:val="22"/>
              </w:rPr>
              <w:t>.</w:t>
            </w:r>
            <w:r w:rsidRPr="00B74A55">
              <w:rPr>
                <w:color w:val="000000"/>
                <w:sz w:val="22"/>
              </w:rPr>
              <w:br/>
              <w:t xml:space="preserve">8.Проведення робіт з </w:t>
            </w:r>
            <w:proofErr w:type="spellStart"/>
            <w:r w:rsidRPr="00B74A55">
              <w:rPr>
                <w:color w:val="000000"/>
                <w:sz w:val="22"/>
              </w:rPr>
              <w:t>термомодернізації</w:t>
            </w:r>
            <w:proofErr w:type="spellEnd"/>
            <w:r w:rsidRPr="00B74A55">
              <w:rPr>
                <w:color w:val="000000"/>
                <w:sz w:val="22"/>
              </w:rPr>
              <w:t xml:space="preserve"> (утеплення покрівлі, фасаду, встановлення енергоефективних вікон та дверей);</w:t>
            </w:r>
            <w:r w:rsidR="00952825" w:rsidRPr="00B74A55">
              <w:rPr>
                <w:color w:val="000000"/>
                <w:sz w:val="22"/>
              </w:rPr>
              <w:t>.</w:t>
            </w:r>
          </w:p>
          <w:p w:rsidR="00CF4B4F" w:rsidRPr="00B74A55" w:rsidRDefault="00CF4B4F" w:rsidP="00952825">
            <w:pPr>
              <w:jc w:val="left"/>
              <w:rPr>
                <w:color w:val="000000"/>
                <w:sz w:val="22"/>
              </w:rPr>
            </w:pPr>
            <w:r w:rsidRPr="00B74A55">
              <w:rPr>
                <w:color w:val="000000"/>
                <w:sz w:val="22"/>
              </w:rPr>
              <w:t>9. Монтаж і установка обладнання ІТП</w:t>
            </w:r>
            <w:r w:rsidR="00952825" w:rsidRPr="00B74A55">
              <w:rPr>
                <w:color w:val="000000"/>
                <w:sz w:val="22"/>
              </w:rPr>
              <w:t>.</w:t>
            </w:r>
            <w:r w:rsidRPr="00B74A55">
              <w:rPr>
                <w:color w:val="000000"/>
                <w:sz w:val="22"/>
              </w:rPr>
              <w:br/>
              <w:t xml:space="preserve">10. </w:t>
            </w:r>
            <w:proofErr w:type="spellStart"/>
            <w:r w:rsidRPr="00B74A55">
              <w:rPr>
                <w:color w:val="000000"/>
                <w:sz w:val="22"/>
              </w:rPr>
              <w:t>Пуско</w:t>
            </w:r>
            <w:proofErr w:type="spellEnd"/>
            <w:r w:rsidRPr="00B74A55">
              <w:rPr>
                <w:color w:val="000000"/>
                <w:sz w:val="22"/>
              </w:rPr>
              <w:t xml:space="preserve"> - налагоджувальні роботи</w:t>
            </w:r>
            <w:r w:rsidR="00952825" w:rsidRPr="00B74A55">
              <w:rPr>
                <w:color w:val="000000"/>
                <w:sz w:val="22"/>
              </w:rPr>
              <w:t>.</w:t>
            </w:r>
            <w:r w:rsidRPr="00B74A55">
              <w:rPr>
                <w:color w:val="000000"/>
                <w:sz w:val="22"/>
              </w:rPr>
              <w:br/>
              <w:t>11.Заміна електромережі.</w:t>
            </w:r>
            <w:r w:rsidRPr="00B74A55">
              <w:rPr>
                <w:color w:val="000000"/>
                <w:sz w:val="22"/>
              </w:rPr>
              <w:br/>
              <w:t xml:space="preserve">12. </w:t>
            </w:r>
            <w:r w:rsidRPr="00B74A55">
              <w:rPr>
                <w:rFonts w:eastAsia="Arial"/>
                <w:sz w:val="22"/>
              </w:rPr>
              <w:t>Для відбудови та сталого розвитку громади потрібне відновлення роботи Ясел-садка. Мешканці громади потребують отримання якісних навчальних послуг, які відповідають нормам сучасності.</w:t>
            </w:r>
          </w:p>
        </w:tc>
      </w:tr>
      <w:tr w:rsidR="002F1205" w:rsidRPr="00B74A55" w:rsidTr="002F1205">
        <w:trPr>
          <w:gridAfter w:val="3"/>
          <w:wAfter w:w="61" w:type="dxa"/>
          <w:trHeight w:val="600"/>
        </w:trPr>
        <w:tc>
          <w:tcPr>
            <w:tcW w:w="1590" w:type="dxa"/>
            <w:vMerge w:val="restart"/>
            <w:tcBorders>
              <w:top w:val="nil"/>
              <w:left w:val="nil"/>
              <w:right w:val="nil"/>
            </w:tcBorders>
          </w:tcPr>
          <w:p w:rsidR="002F1205" w:rsidRPr="00B74A55" w:rsidRDefault="002F1205" w:rsidP="00CF4B4F">
            <w:pPr>
              <w:autoSpaceDE w:val="0"/>
              <w:autoSpaceDN w:val="0"/>
              <w:adjustRightInd w:val="0"/>
              <w:jc w:val="right"/>
              <w:rPr>
                <w:rFonts w:eastAsia="Calibri"/>
                <w:color w:val="000000"/>
                <w:sz w:val="22"/>
              </w:rPr>
            </w:pPr>
          </w:p>
        </w:tc>
        <w:tc>
          <w:tcPr>
            <w:tcW w:w="2762" w:type="dxa"/>
            <w:vMerge w:val="restart"/>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1205" w:rsidRPr="00B74A55" w:rsidRDefault="002F1205" w:rsidP="00CF4B4F">
            <w:pPr>
              <w:autoSpaceDE w:val="0"/>
              <w:autoSpaceDN w:val="0"/>
              <w:adjustRightInd w:val="0"/>
              <w:rPr>
                <w:rFonts w:eastAsia="Calibri"/>
                <w:b/>
                <w:color w:val="000000"/>
                <w:sz w:val="22"/>
              </w:rPr>
            </w:pPr>
            <w:r w:rsidRPr="00B74A55">
              <w:rPr>
                <w:rFonts w:eastAsia="Calibri"/>
                <w:b/>
                <w:color w:val="000000"/>
                <w:sz w:val="22"/>
              </w:rPr>
              <w:t>Орієнтовний обсяг та джерела фінансування тис. гривень</w:t>
            </w:r>
          </w:p>
        </w:tc>
        <w:tc>
          <w:tcPr>
            <w:tcW w:w="1348" w:type="dxa"/>
            <w:vMerge w:val="restart"/>
            <w:tcBorders>
              <w:top w:val="single" w:sz="6" w:space="0" w:color="auto"/>
              <w:left w:val="single" w:sz="6" w:space="0" w:color="auto"/>
              <w:bottom w:val="single" w:sz="6" w:space="0" w:color="auto"/>
              <w:right w:val="single" w:sz="6" w:space="0" w:color="auto"/>
            </w:tcBorders>
          </w:tcPr>
          <w:p w:rsidR="002F1205" w:rsidRPr="00B74A55" w:rsidRDefault="002F1205" w:rsidP="00CF4B4F">
            <w:pPr>
              <w:autoSpaceDE w:val="0"/>
              <w:autoSpaceDN w:val="0"/>
              <w:adjustRightInd w:val="0"/>
              <w:rPr>
                <w:rFonts w:eastAsia="Calibri"/>
                <w:color w:val="000000"/>
                <w:sz w:val="22"/>
              </w:rPr>
            </w:pPr>
            <w:r w:rsidRPr="00B74A55">
              <w:rPr>
                <w:rFonts w:eastAsia="Calibri"/>
                <w:color w:val="000000"/>
                <w:sz w:val="22"/>
              </w:rPr>
              <w:t>Державний бюджет</w:t>
            </w:r>
          </w:p>
        </w:tc>
        <w:tc>
          <w:tcPr>
            <w:tcW w:w="1134" w:type="dxa"/>
            <w:vMerge w:val="restart"/>
            <w:tcBorders>
              <w:top w:val="single" w:sz="6" w:space="0" w:color="auto"/>
              <w:left w:val="single" w:sz="6" w:space="0" w:color="auto"/>
              <w:right w:val="single" w:sz="6" w:space="0" w:color="auto"/>
            </w:tcBorders>
          </w:tcPr>
          <w:p w:rsidR="002F1205" w:rsidRPr="00B74A55" w:rsidRDefault="002F1205" w:rsidP="00CF4B4F">
            <w:pPr>
              <w:autoSpaceDE w:val="0"/>
              <w:autoSpaceDN w:val="0"/>
              <w:adjustRightInd w:val="0"/>
              <w:rPr>
                <w:rFonts w:eastAsia="Calibri"/>
                <w:color w:val="000000"/>
                <w:sz w:val="22"/>
              </w:rPr>
            </w:pPr>
            <w:r w:rsidRPr="00B74A55">
              <w:rPr>
                <w:rFonts w:eastAsia="Calibri"/>
                <w:color w:val="000000"/>
                <w:sz w:val="22"/>
              </w:rPr>
              <w:t>Місцевий бюджет</w:t>
            </w:r>
          </w:p>
        </w:tc>
        <w:tc>
          <w:tcPr>
            <w:tcW w:w="3055" w:type="dxa"/>
            <w:gridSpan w:val="4"/>
            <w:tcBorders>
              <w:top w:val="single" w:sz="6" w:space="0" w:color="auto"/>
              <w:left w:val="single" w:sz="6" w:space="0" w:color="auto"/>
              <w:bottom w:val="single" w:sz="6" w:space="0" w:color="auto"/>
              <w:right w:val="single" w:sz="6" w:space="0" w:color="auto"/>
            </w:tcBorders>
          </w:tcPr>
          <w:p w:rsidR="002F1205" w:rsidRPr="00B74A55" w:rsidRDefault="002F1205" w:rsidP="002F1205">
            <w:pPr>
              <w:autoSpaceDE w:val="0"/>
              <w:autoSpaceDN w:val="0"/>
              <w:adjustRightInd w:val="0"/>
              <w:rPr>
                <w:rFonts w:eastAsia="Calibri"/>
                <w:color w:val="000000"/>
                <w:sz w:val="22"/>
              </w:rPr>
            </w:pPr>
            <w:r w:rsidRPr="00B74A55">
              <w:rPr>
                <w:rFonts w:eastAsia="Calibri"/>
                <w:color w:val="000000"/>
                <w:sz w:val="22"/>
              </w:rPr>
              <w:t xml:space="preserve">Інші джерел    </w:t>
            </w:r>
          </w:p>
        </w:tc>
        <w:tc>
          <w:tcPr>
            <w:tcW w:w="1420" w:type="dxa"/>
            <w:gridSpan w:val="2"/>
            <w:vMerge w:val="restart"/>
            <w:tcBorders>
              <w:top w:val="single" w:sz="6" w:space="0" w:color="auto"/>
              <w:left w:val="single" w:sz="6" w:space="0" w:color="auto"/>
              <w:right w:val="single" w:sz="6" w:space="0" w:color="auto"/>
            </w:tcBorders>
          </w:tcPr>
          <w:p w:rsidR="002F1205" w:rsidRPr="00B74A55" w:rsidRDefault="002F1205" w:rsidP="002F1205">
            <w:pPr>
              <w:autoSpaceDE w:val="0"/>
              <w:autoSpaceDN w:val="0"/>
              <w:adjustRightInd w:val="0"/>
              <w:rPr>
                <w:rFonts w:eastAsia="Calibri"/>
                <w:color w:val="000000"/>
                <w:sz w:val="22"/>
              </w:rPr>
            </w:pPr>
            <w:r w:rsidRPr="00B74A55">
              <w:rPr>
                <w:rFonts w:eastAsia="Calibri"/>
                <w:color w:val="000000"/>
                <w:sz w:val="22"/>
              </w:rPr>
              <w:t>Всього</w:t>
            </w:r>
          </w:p>
          <w:p w:rsidR="002F1205" w:rsidRPr="00B74A55" w:rsidRDefault="002F1205" w:rsidP="00DA2766">
            <w:pPr>
              <w:autoSpaceDE w:val="0"/>
              <w:autoSpaceDN w:val="0"/>
              <w:adjustRightInd w:val="0"/>
              <w:rPr>
                <w:rFonts w:eastAsia="Calibri"/>
                <w:color w:val="000000"/>
                <w:sz w:val="22"/>
              </w:rPr>
            </w:pPr>
            <w:r w:rsidRPr="00B74A55">
              <w:rPr>
                <w:rFonts w:eastAsia="Calibri"/>
                <w:color w:val="000000"/>
                <w:sz w:val="22"/>
              </w:rPr>
              <w:t xml:space="preserve">         </w:t>
            </w:r>
          </w:p>
        </w:tc>
      </w:tr>
      <w:tr w:rsidR="002F1205" w:rsidRPr="00B74A55" w:rsidTr="002F1205">
        <w:trPr>
          <w:gridAfter w:val="3"/>
          <w:wAfter w:w="61" w:type="dxa"/>
          <w:trHeight w:val="65"/>
        </w:trPr>
        <w:tc>
          <w:tcPr>
            <w:tcW w:w="1590" w:type="dxa"/>
            <w:vMerge/>
            <w:tcBorders>
              <w:left w:val="nil"/>
              <w:right w:val="nil"/>
            </w:tcBorders>
          </w:tcPr>
          <w:p w:rsidR="002F1205" w:rsidRPr="00B74A55" w:rsidRDefault="002F1205" w:rsidP="00CF4B4F">
            <w:pPr>
              <w:autoSpaceDE w:val="0"/>
              <w:autoSpaceDN w:val="0"/>
              <w:adjustRightInd w:val="0"/>
              <w:jc w:val="right"/>
              <w:rPr>
                <w:rFonts w:eastAsia="Calibri"/>
                <w:color w:val="000000"/>
                <w:sz w:val="22"/>
              </w:rPr>
            </w:pPr>
          </w:p>
        </w:tc>
        <w:tc>
          <w:tcPr>
            <w:tcW w:w="2762" w:type="dxa"/>
            <w:vMerge/>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1205" w:rsidRPr="00B74A55" w:rsidRDefault="002F1205" w:rsidP="00CF4B4F">
            <w:pPr>
              <w:autoSpaceDE w:val="0"/>
              <w:autoSpaceDN w:val="0"/>
              <w:adjustRightInd w:val="0"/>
              <w:rPr>
                <w:rFonts w:eastAsia="Calibri"/>
                <w:b/>
                <w:color w:val="000000"/>
                <w:sz w:val="22"/>
              </w:rPr>
            </w:pPr>
          </w:p>
        </w:tc>
        <w:tc>
          <w:tcPr>
            <w:tcW w:w="1348" w:type="dxa"/>
            <w:vMerge/>
            <w:tcBorders>
              <w:top w:val="single" w:sz="6" w:space="0" w:color="auto"/>
              <w:left w:val="single" w:sz="6" w:space="0" w:color="auto"/>
              <w:bottom w:val="single" w:sz="6" w:space="0" w:color="auto"/>
              <w:right w:val="single" w:sz="6" w:space="0" w:color="auto"/>
            </w:tcBorders>
          </w:tcPr>
          <w:p w:rsidR="002F1205" w:rsidRPr="00B74A55" w:rsidRDefault="002F1205" w:rsidP="00CF4B4F">
            <w:pPr>
              <w:autoSpaceDE w:val="0"/>
              <w:autoSpaceDN w:val="0"/>
              <w:adjustRightInd w:val="0"/>
              <w:rPr>
                <w:rFonts w:eastAsia="Calibri"/>
                <w:color w:val="000000"/>
                <w:sz w:val="22"/>
              </w:rPr>
            </w:pPr>
          </w:p>
        </w:tc>
        <w:tc>
          <w:tcPr>
            <w:tcW w:w="1134" w:type="dxa"/>
            <w:vMerge/>
            <w:tcBorders>
              <w:left w:val="single" w:sz="6" w:space="0" w:color="auto"/>
              <w:bottom w:val="single" w:sz="6" w:space="0" w:color="auto"/>
              <w:right w:val="single" w:sz="6" w:space="0" w:color="auto"/>
            </w:tcBorders>
          </w:tcPr>
          <w:p w:rsidR="002F1205" w:rsidRPr="00B74A55" w:rsidRDefault="002F1205" w:rsidP="00CF4B4F">
            <w:pPr>
              <w:autoSpaceDE w:val="0"/>
              <w:autoSpaceDN w:val="0"/>
              <w:adjustRightInd w:val="0"/>
              <w:rPr>
                <w:rFonts w:eastAsia="Calibri"/>
                <w:color w:val="000000"/>
                <w:sz w:val="22"/>
              </w:rPr>
            </w:pPr>
          </w:p>
        </w:tc>
        <w:tc>
          <w:tcPr>
            <w:tcW w:w="993" w:type="dxa"/>
            <w:tcBorders>
              <w:top w:val="single" w:sz="6" w:space="0" w:color="auto"/>
              <w:left w:val="single" w:sz="6" w:space="0" w:color="auto"/>
              <w:bottom w:val="single" w:sz="6" w:space="0" w:color="auto"/>
              <w:right w:val="single" w:sz="6" w:space="0" w:color="auto"/>
            </w:tcBorders>
          </w:tcPr>
          <w:p w:rsidR="002F1205" w:rsidRPr="00B74A55" w:rsidRDefault="002F1205" w:rsidP="00CF4B4F">
            <w:pPr>
              <w:autoSpaceDE w:val="0"/>
              <w:autoSpaceDN w:val="0"/>
              <w:adjustRightInd w:val="0"/>
              <w:rPr>
                <w:rFonts w:eastAsia="Calibri"/>
                <w:color w:val="000000"/>
                <w:sz w:val="22"/>
              </w:rPr>
            </w:pPr>
            <w:r w:rsidRPr="00B74A55">
              <w:rPr>
                <w:rFonts w:eastAsia="Calibri"/>
                <w:color w:val="000000"/>
                <w:sz w:val="22"/>
              </w:rPr>
              <w:t>Обсяг</w:t>
            </w:r>
          </w:p>
        </w:tc>
        <w:tc>
          <w:tcPr>
            <w:tcW w:w="2062" w:type="dxa"/>
            <w:gridSpan w:val="3"/>
            <w:tcBorders>
              <w:top w:val="single" w:sz="6" w:space="0" w:color="auto"/>
              <w:left w:val="single" w:sz="6" w:space="0" w:color="auto"/>
              <w:bottom w:val="single" w:sz="6" w:space="0" w:color="auto"/>
              <w:right w:val="single" w:sz="6" w:space="0" w:color="auto"/>
            </w:tcBorders>
          </w:tcPr>
          <w:p w:rsidR="002F1205" w:rsidRPr="00B74A55" w:rsidRDefault="002F1205" w:rsidP="00CF4B4F">
            <w:pPr>
              <w:autoSpaceDE w:val="0"/>
              <w:autoSpaceDN w:val="0"/>
              <w:adjustRightInd w:val="0"/>
              <w:rPr>
                <w:rFonts w:eastAsia="Calibri"/>
                <w:color w:val="000000"/>
                <w:sz w:val="22"/>
              </w:rPr>
            </w:pPr>
            <w:r w:rsidRPr="00B74A55">
              <w:rPr>
                <w:rFonts w:eastAsia="Calibri"/>
                <w:color w:val="000000"/>
                <w:sz w:val="22"/>
              </w:rPr>
              <w:t>Назва джерела</w:t>
            </w:r>
          </w:p>
        </w:tc>
        <w:tc>
          <w:tcPr>
            <w:tcW w:w="1420" w:type="dxa"/>
            <w:gridSpan w:val="2"/>
            <w:vMerge/>
            <w:tcBorders>
              <w:left w:val="single" w:sz="6" w:space="0" w:color="auto"/>
              <w:bottom w:val="single" w:sz="6" w:space="0" w:color="auto"/>
              <w:right w:val="single" w:sz="6" w:space="0" w:color="auto"/>
            </w:tcBorders>
          </w:tcPr>
          <w:p w:rsidR="002F1205" w:rsidRPr="00B74A55" w:rsidRDefault="002F1205" w:rsidP="00CF4B4F">
            <w:pPr>
              <w:autoSpaceDE w:val="0"/>
              <w:autoSpaceDN w:val="0"/>
              <w:adjustRightInd w:val="0"/>
              <w:rPr>
                <w:rFonts w:eastAsia="Calibri"/>
                <w:color w:val="000000"/>
                <w:sz w:val="22"/>
              </w:rPr>
            </w:pPr>
          </w:p>
        </w:tc>
      </w:tr>
      <w:tr w:rsidR="00CF4B4F" w:rsidRPr="00B74A55" w:rsidTr="002F1205">
        <w:trPr>
          <w:gridAfter w:val="3"/>
          <w:wAfter w:w="61" w:type="dxa"/>
          <w:trHeight w:val="931"/>
        </w:trPr>
        <w:tc>
          <w:tcPr>
            <w:tcW w:w="1590" w:type="dxa"/>
            <w:vMerge/>
            <w:tcBorders>
              <w:left w:val="nil"/>
              <w:bottom w:val="nil"/>
              <w:right w:val="nil"/>
            </w:tcBorders>
          </w:tcPr>
          <w:p w:rsidR="00CF4B4F" w:rsidRPr="00B74A55" w:rsidRDefault="00CF4B4F" w:rsidP="00CF4B4F">
            <w:pPr>
              <w:autoSpaceDE w:val="0"/>
              <w:autoSpaceDN w:val="0"/>
              <w:adjustRightInd w:val="0"/>
              <w:jc w:val="right"/>
              <w:rPr>
                <w:rFonts w:eastAsia="Calibri"/>
                <w:color w:val="000000"/>
                <w:sz w:val="22"/>
              </w:rPr>
            </w:pPr>
          </w:p>
        </w:tc>
        <w:tc>
          <w:tcPr>
            <w:tcW w:w="2762" w:type="dxa"/>
            <w:vMerge/>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F4B4F" w:rsidRPr="00B74A55" w:rsidRDefault="00CF4B4F" w:rsidP="00CF4B4F">
            <w:pPr>
              <w:autoSpaceDE w:val="0"/>
              <w:autoSpaceDN w:val="0"/>
              <w:adjustRightInd w:val="0"/>
              <w:rPr>
                <w:rFonts w:eastAsia="Calibri"/>
                <w:b/>
                <w:color w:val="000000"/>
                <w:sz w:val="22"/>
              </w:rPr>
            </w:pPr>
          </w:p>
        </w:tc>
        <w:tc>
          <w:tcPr>
            <w:tcW w:w="1348" w:type="dxa"/>
            <w:tcBorders>
              <w:top w:val="single" w:sz="6" w:space="0" w:color="auto"/>
              <w:left w:val="single" w:sz="6" w:space="0" w:color="auto"/>
              <w:bottom w:val="single" w:sz="6" w:space="0" w:color="auto"/>
              <w:right w:val="single" w:sz="6" w:space="0" w:color="auto"/>
            </w:tcBorders>
          </w:tcPr>
          <w:p w:rsidR="00CF4B4F" w:rsidRPr="00B74A55" w:rsidRDefault="00CF4B4F" w:rsidP="00CF4B4F">
            <w:pPr>
              <w:rPr>
                <w:sz w:val="22"/>
              </w:rPr>
            </w:pPr>
            <w:r w:rsidRPr="00B74A55">
              <w:rPr>
                <w:sz w:val="22"/>
              </w:rPr>
              <w:t>40 000,0</w:t>
            </w:r>
          </w:p>
          <w:p w:rsidR="00CF4B4F" w:rsidRPr="00B74A55" w:rsidRDefault="00CF4B4F" w:rsidP="00CF4B4F">
            <w:pPr>
              <w:rPr>
                <w:rFonts w:eastAsia="Calibri"/>
                <w:color w:val="000000"/>
                <w:sz w:val="22"/>
              </w:rPr>
            </w:pPr>
          </w:p>
        </w:tc>
        <w:tc>
          <w:tcPr>
            <w:tcW w:w="1134" w:type="dxa"/>
            <w:tcBorders>
              <w:top w:val="single" w:sz="6" w:space="0" w:color="auto"/>
              <w:left w:val="single" w:sz="6" w:space="0" w:color="auto"/>
              <w:bottom w:val="single" w:sz="6" w:space="0" w:color="auto"/>
              <w:right w:val="single" w:sz="6" w:space="0" w:color="auto"/>
            </w:tcBorders>
          </w:tcPr>
          <w:p w:rsidR="00CF4B4F" w:rsidRPr="00B74A55" w:rsidRDefault="00CF4B4F" w:rsidP="00CF4B4F">
            <w:pPr>
              <w:autoSpaceDE w:val="0"/>
              <w:autoSpaceDN w:val="0"/>
              <w:adjustRightInd w:val="0"/>
              <w:rPr>
                <w:rFonts w:eastAsia="Calibri"/>
                <w:color w:val="000000"/>
                <w:sz w:val="22"/>
              </w:rPr>
            </w:pPr>
          </w:p>
        </w:tc>
        <w:tc>
          <w:tcPr>
            <w:tcW w:w="993" w:type="dxa"/>
            <w:tcBorders>
              <w:top w:val="single" w:sz="6" w:space="0" w:color="auto"/>
              <w:left w:val="single" w:sz="6" w:space="0" w:color="auto"/>
              <w:bottom w:val="single" w:sz="6" w:space="0" w:color="auto"/>
              <w:right w:val="single" w:sz="6" w:space="0" w:color="auto"/>
            </w:tcBorders>
          </w:tcPr>
          <w:p w:rsidR="00CF4B4F" w:rsidRPr="00B74A55" w:rsidRDefault="00CF4B4F" w:rsidP="00CF4B4F">
            <w:pPr>
              <w:autoSpaceDE w:val="0"/>
              <w:autoSpaceDN w:val="0"/>
              <w:adjustRightInd w:val="0"/>
              <w:rPr>
                <w:rFonts w:eastAsia="Calibri"/>
                <w:color w:val="000000"/>
                <w:sz w:val="22"/>
              </w:rPr>
            </w:pPr>
            <w:r w:rsidRPr="00B74A55">
              <w:rPr>
                <w:rFonts w:eastAsia="Calibri"/>
                <w:color w:val="000000"/>
                <w:sz w:val="22"/>
              </w:rPr>
              <w:t>20 579,0 </w:t>
            </w:r>
          </w:p>
        </w:tc>
        <w:tc>
          <w:tcPr>
            <w:tcW w:w="2062" w:type="dxa"/>
            <w:gridSpan w:val="3"/>
            <w:tcBorders>
              <w:top w:val="single" w:sz="6" w:space="0" w:color="auto"/>
              <w:left w:val="single" w:sz="6" w:space="0" w:color="auto"/>
              <w:bottom w:val="single" w:sz="6" w:space="0" w:color="auto"/>
              <w:right w:val="single" w:sz="6" w:space="0" w:color="auto"/>
            </w:tcBorders>
          </w:tcPr>
          <w:p w:rsidR="00CF4B4F" w:rsidRPr="00B74A55" w:rsidRDefault="00CF4B4F" w:rsidP="00952825">
            <w:pPr>
              <w:autoSpaceDE w:val="0"/>
              <w:autoSpaceDN w:val="0"/>
              <w:adjustRightInd w:val="0"/>
              <w:jc w:val="left"/>
              <w:rPr>
                <w:rFonts w:eastAsia="Calibri"/>
                <w:color w:val="000000"/>
                <w:sz w:val="22"/>
              </w:rPr>
            </w:pPr>
            <w:r w:rsidRPr="00B74A55">
              <w:rPr>
                <w:rFonts w:eastAsia="Calibri"/>
                <w:color w:val="000000"/>
                <w:sz w:val="22"/>
              </w:rPr>
              <w:t xml:space="preserve">Міжнародні </w:t>
            </w:r>
            <w:proofErr w:type="spellStart"/>
            <w:r w:rsidRPr="00B74A55">
              <w:rPr>
                <w:rFonts w:eastAsia="Calibri"/>
                <w:color w:val="000000"/>
                <w:sz w:val="22"/>
              </w:rPr>
              <w:t>інвестіції</w:t>
            </w:r>
            <w:proofErr w:type="spellEnd"/>
            <w:r w:rsidRPr="00B74A55">
              <w:rPr>
                <w:rFonts w:eastAsia="Calibri"/>
                <w:color w:val="000000"/>
                <w:sz w:val="22"/>
              </w:rPr>
              <w:t>,</w:t>
            </w:r>
            <w:r w:rsidR="00952825" w:rsidRPr="00B74A55">
              <w:rPr>
                <w:rFonts w:eastAsia="Calibri"/>
                <w:color w:val="000000"/>
                <w:sz w:val="22"/>
              </w:rPr>
              <w:t xml:space="preserve"> </w:t>
            </w:r>
            <w:r w:rsidRPr="00B74A55">
              <w:rPr>
                <w:rFonts w:eastAsia="Calibri"/>
                <w:color w:val="000000"/>
                <w:sz w:val="22"/>
              </w:rPr>
              <w:t>кошти приватних осіб</w:t>
            </w:r>
          </w:p>
        </w:tc>
        <w:tc>
          <w:tcPr>
            <w:tcW w:w="1420" w:type="dxa"/>
            <w:gridSpan w:val="2"/>
            <w:tcBorders>
              <w:top w:val="single" w:sz="6" w:space="0" w:color="auto"/>
              <w:left w:val="single" w:sz="6" w:space="0" w:color="auto"/>
              <w:bottom w:val="single" w:sz="6" w:space="0" w:color="auto"/>
              <w:right w:val="single" w:sz="6" w:space="0" w:color="auto"/>
            </w:tcBorders>
          </w:tcPr>
          <w:p w:rsidR="00CF4B4F" w:rsidRPr="00B74A55" w:rsidRDefault="00CF4B4F" w:rsidP="00CF4B4F">
            <w:pPr>
              <w:rPr>
                <w:sz w:val="22"/>
              </w:rPr>
            </w:pPr>
            <w:r w:rsidRPr="00B74A55">
              <w:rPr>
                <w:sz w:val="22"/>
              </w:rPr>
              <w:t>60 579 ,0</w:t>
            </w:r>
          </w:p>
          <w:p w:rsidR="00CF4B4F" w:rsidRPr="00B74A55" w:rsidRDefault="00CF4B4F" w:rsidP="00CF4B4F">
            <w:pPr>
              <w:autoSpaceDE w:val="0"/>
              <w:autoSpaceDN w:val="0"/>
              <w:adjustRightInd w:val="0"/>
              <w:rPr>
                <w:rFonts w:eastAsia="Calibri"/>
                <w:color w:val="000000"/>
                <w:sz w:val="22"/>
              </w:rPr>
            </w:pPr>
          </w:p>
        </w:tc>
      </w:tr>
    </w:tbl>
    <w:p w:rsidR="00CF4B4F" w:rsidRPr="00B74A55" w:rsidRDefault="00CF4B4F" w:rsidP="00E33AAA">
      <w:pPr>
        <w:tabs>
          <w:tab w:val="left" w:pos="5290"/>
        </w:tabs>
        <w:rPr>
          <w:b/>
          <w:sz w:val="22"/>
          <w:szCs w:val="22"/>
        </w:rPr>
      </w:pPr>
    </w:p>
    <w:p w:rsidR="00CF4B4F" w:rsidRPr="00B74A55" w:rsidRDefault="00CF4B4F" w:rsidP="00E33AAA">
      <w:pPr>
        <w:tabs>
          <w:tab w:val="left" w:pos="5290"/>
        </w:tabs>
        <w:rPr>
          <w:b/>
          <w:sz w:val="22"/>
          <w:szCs w:val="22"/>
        </w:rPr>
      </w:pPr>
    </w:p>
    <w:p w:rsidR="00CF4B4F" w:rsidRPr="00B74A55" w:rsidRDefault="00CF4B4F" w:rsidP="00E33AAA">
      <w:pPr>
        <w:tabs>
          <w:tab w:val="left" w:pos="5290"/>
        </w:tabs>
        <w:rPr>
          <w:b/>
          <w:sz w:val="22"/>
          <w:szCs w:val="22"/>
        </w:rPr>
      </w:pPr>
    </w:p>
    <w:p w:rsidR="00CF4B4F" w:rsidRPr="00B74A55" w:rsidRDefault="00CF4B4F" w:rsidP="00E33AAA">
      <w:pPr>
        <w:tabs>
          <w:tab w:val="left" w:pos="5290"/>
        </w:tabs>
        <w:rPr>
          <w:b/>
          <w:sz w:val="22"/>
          <w:szCs w:val="22"/>
        </w:rPr>
      </w:pPr>
    </w:p>
    <w:p w:rsidR="00CF4B4F" w:rsidRPr="00B74A55" w:rsidRDefault="00CF4B4F" w:rsidP="00E33AAA">
      <w:pPr>
        <w:tabs>
          <w:tab w:val="left" w:pos="5290"/>
        </w:tabs>
        <w:rPr>
          <w:b/>
          <w:sz w:val="22"/>
          <w:szCs w:val="22"/>
        </w:rPr>
      </w:pPr>
    </w:p>
    <w:tbl>
      <w:tblPr>
        <w:tblpPr w:leftFromText="180" w:rightFromText="180" w:vertAnchor="text" w:horzAnchor="page" w:tblpX="1" w:tblpY="123"/>
        <w:tblW w:w="11370" w:type="dxa"/>
        <w:tblLayout w:type="fixed"/>
        <w:tblCellMar>
          <w:left w:w="30" w:type="dxa"/>
          <w:right w:w="30" w:type="dxa"/>
        </w:tblCellMar>
        <w:tblLook w:val="0000" w:firstRow="0" w:lastRow="0" w:firstColumn="0" w:lastColumn="0" w:noHBand="0" w:noVBand="0"/>
      </w:tblPr>
      <w:tblGrid>
        <w:gridCol w:w="1589"/>
        <w:gridCol w:w="2691"/>
        <w:gridCol w:w="1279"/>
        <w:gridCol w:w="1134"/>
        <w:gridCol w:w="1134"/>
        <w:gridCol w:w="1414"/>
        <w:gridCol w:w="428"/>
        <w:gridCol w:w="1701"/>
      </w:tblGrid>
      <w:tr w:rsidR="002F1205" w:rsidRPr="00B74A55" w:rsidTr="002F1205">
        <w:trPr>
          <w:trHeight w:val="555"/>
        </w:trPr>
        <w:tc>
          <w:tcPr>
            <w:tcW w:w="1589" w:type="dxa"/>
            <w:tcBorders>
              <w:top w:val="nil"/>
              <w:left w:val="nil"/>
              <w:bottom w:val="nil"/>
              <w:right w:val="nil"/>
            </w:tcBorders>
          </w:tcPr>
          <w:p w:rsidR="002F1205" w:rsidRPr="00B74A55" w:rsidRDefault="002F1205" w:rsidP="00DA2766">
            <w:pPr>
              <w:autoSpaceDE w:val="0"/>
              <w:autoSpaceDN w:val="0"/>
              <w:adjustRightInd w:val="0"/>
              <w:jc w:val="right"/>
              <w:rPr>
                <w:rFonts w:eastAsia="Calibri"/>
                <w:color w:val="000000"/>
                <w:sz w:val="22"/>
              </w:rPr>
            </w:pPr>
          </w:p>
        </w:tc>
        <w:tc>
          <w:tcPr>
            <w:tcW w:w="2691"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1205" w:rsidRPr="00B74A55" w:rsidRDefault="002F1205" w:rsidP="00DA2766">
            <w:pPr>
              <w:autoSpaceDE w:val="0"/>
              <w:autoSpaceDN w:val="0"/>
              <w:adjustRightInd w:val="0"/>
              <w:rPr>
                <w:rFonts w:eastAsia="Calibri"/>
                <w:b/>
                <w:color w:val="000000"/>
                <w:sz w:val="22"/>
              </w:rPr>
            </w:pPr>
            <w:r w:rsidRPr="00B74A55">
              <w:rPr>
                <w:rFonts w:eastAsia="Calibri"/>
                <w:b/>
                <w:color w:val="000000"/>
                <w:sz w:val="22"/>
              </w:rPr>
              <w:t>Оперативна ціль/завдання</w:t>
            </w:r>
          </w:p>
        </w:tc>
        <w:tc>
          <w:tcPr>
            <w:tcW w:w="7090" w:type="dxa"/>
            <w:gridSpan w:val="6"/>
            <w:tcBorders>
              <w:top w:val="single" w:sz="6" w:space="0" w:color="auto"/>
              <w:left w:val="single" w:sz="6" w:space="0" w:color="auto"/>
              <w:bottom w:val="single" w:sz="6" w:space="0" w:color="auto"/>
              <w:right w:val="single" w:sz="6" w:space="0" w:color="auto"/>
            </w:tcBorders>
          </w:tcPr>
          <w:p w:rsidR="002F1205" w:rsidRPr="00B74A55" w:rsidRDefault="002F1205" w:rsidP="00DA2766">
            <w:pPr>
              <w:autoSpaceDE w:val="0"/>
              <w:autoSpaceDN w:val="0"/>
              <w:adjustRightInd w:val="0"/>
              <w:rPr>
                <w:rFonts w:eastAsia="Calibri"/>
                <w:color w:val="000000"/>
                <w:sz w:val="22"/>
              </w:rPr>
            </w:pPr>
            <w:r w:rsidRPr="00B74A55">
              <w:rPr>
                <w:color w:val="222222"/>
                <w:sz w:val="22"/>
                <w:shd w:val="clear" w:color="auto" w:fill="FFFFFF"/>
              </w:rPr>
              <w:t xml:space="preserve">Людський розвиток через інновації управління та довіру до влади. Формування сучасного інклюзивного  </w:t>
            </w:r>
            <w:proofErr w:type="spellStart"/>
            <w:r w:rsidRPr="00B74A55">
              <w:rPr>
                <w:color w:val="222222"/>
                <w:sz w:val="22"/>
                <w:shd w:val="clear" w:color="auto" w:fill="FFFFFF"/>
              </w:rPr>
              <w:t>освітньо</w:t>
            </w:r>
            <w:proofErr w:type="spellEnd"/>
            <w:r w:rsidRPr="00B74A55">
              <w:rPr>
                <w:color w:val="222222"/>
                <w:sz w:val="22"/>
                <w:shd w:val="clear" w:color="auto" w:fill="FFFFFF"/>
              </w:rPr>
              <w:t>-культурного та спортивного простору для </w:t>
            </w:r>
            <w:proofErr w:type="spellStart"/>
            <w:r w:rsidRPr="00B74A55">
              <w:rPr>
                <w:color w:val="222222"/>
                <w:sz w:val="22"/>
                <w:shd w:val="clear" w:color="auto" w:fill="FFFFFF"/>
              </w:rPr>
              <w:t>розвитку</w:t>
            </w:r>
            <w:r w:rsidRPr="00B74A55">
              <w:rPr>
                <w:rFonts w:eastAsia="Calibri"/>
                <w:color w:val="000000"/>
                <w:sz w:val="22"/>
              </w:rPr>
              <w:t>.Сучасна</w:t>
            </w:r>
            <w:proofErr w:type="spellEnd"/>
            <w:r w:rsidRPr="00B74A55">
              <w:rPr>
                <w:rFonts w:eastAsia="Calibri"/>
                <w:color w:val="000000"/>
                <w:sz w:val="22"/>
              </w:rPr>
              <w:t xml:space="preserve"> якісна інклюзивна освіта.</w:t>
            </w:r>
          </w:p>
        </w:tc>
      </w:tr>
      <w:tr w:rsidR="002F1205" w:rsidRPr="00B74A55" w:rsidTr="002F1205">
        <w:trPr>
          <w:trHeight w:val="691"/>
        </w:trPr>
        <w:tc>
          <w:tcPr>
            <w:tcW w:w="1589" w:type="dxa"/>
            <w:tcBorders>
              <w:top w:val="nil"/>
              <w:left w:val="nil"/>
              <w:bottom w:val="nil"/>
              <w:right w:val="nil"/>
            </w:tcBorders>
          </w:tcPr>
          <w:p w:rsidR="002F1205" w:rsidRPr="00B74A55" w:rsidRDefault="002F1205" w:rsidP="00DA2766">
            <w:pPr>
              <w:autoSpaceDE w:val="0"/>
              <w:autoSpaceDN w:val="0"/>
              <w:adjustRightInd w:val="0"/>
              <w:jc w:val="right"/>
              <w:rPr>
                <w:rFonts w:eastAsia="Calibri"/>
                <w:color w:val="000000"/>
                <w:sz w:val="22"/>
              </w:rPr>
            </w:pPr>
          </w:p>
        </w:tc>
        <w:tc>
          <w:tcPr>
            <w:tcW w:w="2691"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1205" w:rsidRPr="00B74A55" w:rsidRDefault="002F1205" w:rsidP="00DA2766">
            <w:pPr>
              <w:autoSpaceDE w:val="0"/>
              <w:autoSpaceDN w:val="0"/>
              <w:adjustRightInd w:val="0"/>
              <w:rPr>
                <w:rFonts w:eastAsia="Calibri"/>
                <w:b/>
                <w:color w:val="000000"/>
                <w:sz w:val="22"/>
              </w:rPr>
            </w:pPr>
            <w:r w:rsidRPr="00B74A55">
              <w:rPr>
                <w:rFonts w:eastAsia="Calibri"/>
                <w:b/>
                <w:color w:val="000000"/>
                <w:sz w:val="22"/>
              </w:rPr>
              <w:t>Назва проекту:</w:t>
            </w:r>
          </w:p>
        </w:tc>
        <w:tc>
          <w:tcPr>
            <w:tcW w:w="7090" w:type="dxa"/>
            <w:gridSpan w:val="6"/>
            <w:tcBorders>
              <w:top w:val="single" w:sz="6" w:space="0" w:color="auto"/>
              <w:left w:val="single" w:sz="6" w:space="0" w:color="auto"/>
              <w:bottom w:val="single" w:sz="6" w:space="0" w:color="auto"/>
              <w:right w:val="single" w:sz="6" w:space="0" w:color="auto"/>
            </w:tcBorders>
          </w:tcPr>
          <w:p w:rsidR="002F1205" w:rsidRPr="00B74A55" w:rsidRDefault="002F1205" w:rsidP="00BA2BA4">
            <w:pPr>
              <w:autoSpaceDE w:val="0"/>
              <w:autoSpaceDN w:val="0"/>
              <w:adjustRightInd w:val="0"/>
              <w:rPr>
                <w:rFonts w:eastAsia="Calibri"/>
                <w:color w:val="000000"/>
                <w:sz w:val="22"/>
              </w:rPr>
            </w:pPr>
            <w:r w:rsidRPr="00B74A55">
              <w:rPr>
                <w:rFonts w:eastAsia="Calibri"/>
                <w:color w:val="000000"/>
                <w:sz w:val="22"/>
              </w:rPr>
              <w:t xml:space="preserve">Відновлення діяльності та створення сучасних умов для освітнього процесу з урахуванням індивідуальних потреб дітей дошкільного віку у  Яслах-садку №41 м. Сєвєродонецька Луганської обл., за </w:t>
            </w:r>
            <w:proofErr w:type="spellStart"/>
            <w:r w:rsidRPr="00B74A55">
              <w:rPr>
                <w:rFonts w:eastAsia="Calibri"/>
                <w:color w:val="000000"/>
                <w:sz w:val="22"/>
              </w:rPr>
              <w:t>адресою</w:t>
            </w:r>
            <w:proofErr w:type="spellEnd"/>
            <w:r w:rsidRPr="00B74A55">
              <w:rPr>
                <w:rFonts w:eastAsia="Calibri"/>
                <w:color w:val="000000"/>
                <w:sz w:val="22"/>
              </w:rPr>
              <w:t>: вул. Курчатова, буд. 3-А.</w:t>
            </w:r>
            <w:r w:rsidRPr="00B74A55">
              <w:rPr>
                <w:rFonts w:eastAsia="Calibri"/>
                <w:color w:val="000000"/>
                <w:sz w:val="22"/>
              </w:rPr>
              <w:tab/>
            </w:r>
            <w:r w:rsidRPr="00B74A55">
              <w:rPr>
                <w:rFonts w:eastAsia="Calibri"/>
                <w:color w:val="000000"/>
                <w:sz w:val="22"/>
              </w:rPr>
              <w:tab/>
            </w:r>
            <w:r w:rsidRPr="00B74A55">
              <w:rPr>
                <w:rFonts w:eastAsia="Calibri"/>
                <w:color w:val="000000"/>
                <w:sz w:val="22"/>
              </w:rPr>
              <w:tab/>
            </w:r>
          </w:p>
        </w:tc>
      </w:tr>
      <w:tr w:rsidR="002F1205" w:rsidRPr="00B74A55" w:rsidTr="002F1205">
        <w:trPr>
          <w:trHeight w:val="1109"/>
        </w:trPr>
        <w:tc>
          <w:tcPr>
            <w:tcW w:w="1589" w:type="dxa"/>
            <w:tcBorders>
              <w:top w:val="nil"/>
              <w:left w:val="nil"/>
              <w:bottom w:val="nil"/>
              <w:right w:val="nil"/>
            </w:tcBorders>
          </w:tcPr>
          <w:p w:rsidR="002F1205" w:rsidRPr="00B74A55" w:rsidRDefault="002F1205" w:rsidP="00DA2766">
            <w:pPr>
              <w:autoSpaceDE w:val="0"/>
              <w:autoSpaceDN w:val="0"/>
              <w:adjustRightInd w:val="0"/>
              <w:jc w:val="right"/>
              <w:rPr>
                <w:rFonts w:eastAsia="Calibri"/>
                <w:color w:val="000000"/>
                <w:sz w:val="22"/>
              </w:rPr>
            </w:pPr>
          </w:p>
        </w:tc>
        <w:tc>
          <w:tcPr>
            <w:tcW w:w="2691"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1205" w:rsidRPr="00B74A55" w:rsidRDefault="002F1205" w:rsidP="00DA2766">
            <w:pPr>
              <w:autoSpaceDE w:val="0"/>
              <w:autoSpaceDN w:val="0"/>
              <w:adjustRightInd w:val="0"/>
              <w:rPr>
                <w:rFonts w:eastAsia="Calibri"/>
                <w:b/>
                <w:color w:val="000000"/>
                <w:sz w:val="22"/>
              </w:rPr>
            </w:pPr>
            <w:r w:rsidRPr="00B74A55">
              <w:rPr>
                <w:rFonts w:eastAsia="Calibri"/>
                <w:b/>
                <w:color w:val="000000"/>
                <w:sz w:val="22"/>
              </w:rPr>
              <w:t>Ціль проекту</w:t>
            </w:r>
          </w:p>
        </w:tc>
        <w:tc>
          <w:tcPr>
            <w:tcW w:w="7090" w:type="dxa"/>
            <w:gridSpan w:val="6"/>
            <w:tcBorders>
              <w:top w:val="single" w:sz="6" w:space="0" w:color="auto"/>
              <w:left w:val="single" w:sz="6" w:space="0" w:color="auto"/>
              <w:bottom w:val="single" w:sz="6" w:space="0" w:color="auto"/>
              <w:right w:val="single" w:sz="6" w:space="0" w:color="auto"/>
            </w:tcBorders>
          </w:tcPr>
          <w:p w:rsidR="002F1205" w:rsidRPr="00B74A55" w:rsidRDefault="002F1205" w:rsidP="00B814B6">
            <w:pPr>
              <w:autoSpaceDE w:val="0"/>
              <w:autoSpaceDN w:val="0"/>
              <w:adjustRightInd w:val="0"/>
              <w:rPr>
                <w:rFonts w:eastAsia="Calibri"/>
                <w:color w:val="000000"/>
                <w:sz w:val="22"/>
              </w:rPr>
            </w:pPr>
            <w:r w:rsidRPr="00B74A55">
              <w:rPr>
                <w:rFonts w:eastAsia="Calibri"/>
                <w:color w:val="000000"/>
                <w:sz w:val="22"/>
              </w:rPr>
              <w:t>Відновити та покращити роботу Ясел-садка №41 для надання освітніх послуг мешканцям Сєвєродонецької територіальної громади. Створити сучасні, комфортні, безпечні умови для перебування у закладі, повноцінного і всебічного розвитку дітей дошкільного віку шляхом забезпечення освітнього процесу відповідними меблями, ігровими, навчальними посібниками, технологічним обладнанням, оргтехнікою, м'яким інвентарем.</w:t>
            </w:r>
            <w:r w:rsidRPr="00B74A55">
              <w:rPr>
                <w:rFonts w:eastAsia="Calibri"/>
                <w:color w:val="000000"/>
                <w:sz w:val="22"/>
              </w:rPr>
              <w:tab/>
            </w:r>
            <w:r w:rsidRPr="00B74A55">
              <w:rPr>
                <w:rFonts w:eastAsia="Calibri"/>
                <w:color w:val="000000"/>
                <w:sz w:val="22"/>
              </w:rPr>
              <w:tab/>
            </w:r>
            <w:r w:rsidRPr="00B74A55">
              <w:rPr>
                <w:rFonts w:eastAsia="Calibri"/>
                <w:color w:val="000000"/>
                <w:sz w:val="22"/>
              </w:rPr>
              <w:tab/>
            </w:r>
          </w:p>
        </w:tc>
      </w:tr>
      <w:tr w:rsidR="002F1205" w:rsidRPr="00B74A55" w:rsidTr="002F1205">
        <w:trPr>
          <w:trHeight w:val="290"/>
        </w:trPr>
        <w:tc>
          <w:tcPr>
            <w:tcW w:w="1589" w:type="dxa"/>
            <w:tcBorders>
              <w:top w:val="nil"/>
              <w:left w:val="nil"/>
              <w:bottom w:val="nil"/>
              <w:right w:val="nil"/>
            </w:tcBorders>
          </w:tcPr>
          <w:p w:rsidR="002F1205" w:rsidRPr="00B74A55" w:rsidRDefault="002F1205" w:rsidP="00DA2766">
            <w:pPr>
              <w:autoSpaceDE w:val="0"/>
              <w:autoSpaceDN w:val="0"/>
              <w:adjustRightInd w:val="0"/>
              <w:jc w:val="right"/>
              <w:rPr>
                <w:rFonts w:eastAsia="Calibri"/>
                <w:color w:val="000000"/>
                <w:sz w:val="22"/>
              </w:rPr>
            </w:pPr>
          </w:p>
        </w:tc>
        <w:tc>
          <w:tcPr>
            <w:tcW w:w="2691"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1205" w:rsidRPr="00B74A55" w:rsidRDefault="002F1205" w:rsidP="00DA2766">
            <w:pPr>
              <w:autoSpaceDE w:val="0"/>
              <w:autoSpaceDN w:val="0"/>
              <w:adjustRightInd w:val="0"/>
              <w:rPr>
                <w:rFonts w:eastAsia="Calibri"/>
                <w:b/>
                <w:color w:val="000000"/>
                <w:sz w:val="22"/>
              </w:rPr>
            </w:pPr>
            <w:r w:rsidRPr="00B74A55">
              <w:rPr>
                <w:rFonts w:eastAsia="Calibri"/>
                <w:b/>
                <w:color w:val="000000"/>
                <w:sz w:val="22"/>
              </w:rPr>
              <w:t>Територія, на яку матиме вплив реалізація проекту</w:t>
            </w:r>
          </w:p>
        </w:tc>
        <w:tc>
          <w:tcPr>
            <w:tcW w:w="7090" w:type="dxa"/>
            <w:gridSpan w:val="6"/>
            <w:tcBorders>
              <w:top w:val="single" w:sz="6" w:space="0" w:color="auto"/>
              <w:left w:val="single" w:sz="6" w:space="0" w:color="auto"/>
              <w:bottom w:val="single" w:sz="6" w:space="0" w:color="auto"/>
              <w:right w:val="single" w:sz="6" w:space="0" w:color="auto"/>
            </w:tcBorders>
          </w:tcPr>
          <w:p w:rsidR="002F1205" w:rsidRPr="00B74A55" w:rsidRDefault="002F1205" w:rsidP="00DA2766">
            <w:pPr>
              <w:autoSpaceDE w:val="0"/>
              <w:autoSpaceDN w:val="0"/>
              <w:adjustRightInd w:val="0"/>
              <w:rPr>
                <w:rFonts w:eastAsia="Calibri"/>
                <w:color w:val="000000"/>
                <w:sz w:val="22"/>
              </w:rPr>
            </w:pPr>
            <w:r w:rsidRPr="00B74A55">
              <w:rPr>
                <w:rFonts w:eastAsia="Calibri"/>
                <w:color w:val="000000"/>
                <w:sz w:val="22"/>
              </w:rPr>
              <w:t>Сєвєродонецька міська територіальна громада</w:t>
            </w:r>
          </w:p>
        </w:tc>
      </w:tr>
      <w:tr w:rsidR="002F1205" w:rsidRPr="00B74A55" w:rsidTr="002F1205">
        <w:trPr>
          <w:trHeight w:val="846"/>
        </w:trPr>
        <w:tc>
          <w:tcPr>
            <w:tcW w:w="1589" w:type="dxa"/>
            <w:tcBorders>
              <w:top w:val="nil"/>
              <w:left w:val="nil"/>
              <w:bottom w:val="nil"/>
              <w:right w:val="nil"/>
            </w:tcBorders>
          </w:tcPr>
          <w:p w:rsidR="002F1205" w:rsidRPr="00B74A55" w:rsidRDefault="002F1205" w:rsidP="00DA2766">
            <w:pPr>
              <w:autoSpaceDE w:val="0"/>
              <w:autoSpaceDN w:val="0"/>
              <w:adjustRightInd w:val="0"/>
              <w:jc w:val="right"/>
              <w:rPr>
                <w:rFonts w:eastAsia="Calibri"/>
                <w:color w:val="000000"/>
                <w:sz w:val="22"/>
              </w:rPr>
            </w:pPr>
          </w:p>
        </w:tc>
        <w:tc>
          <w:tcPr>
            <w:tcW w:w="2691"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1205" w:rsidRPr="00B74A55" w:rsidRDefault="002F1205" w:rsidP="00DA2766">
            <w:pPr>
              <w:autoSpaceDE w:val="0"/>
              <w:autoSpaceDN w:val="0"/>
              <w:adjustRightInd w:val="0"/>
              <w:rPr>
                <w:rFonts w:eastAsia="Calibri"/>
                <w:b/>
                <w:color w:val="000000"/>
                <w:sz w:val="22"/>
              </w:rPr>
            </w:pPr>
            <w:r w:rsidRPr="00B74A55">
              <w:rPr>
                <w:rFonts w:eastAsia="Calibri"/>
                <w:b/>
                <w:color w:val="000000"/>
                <w:sz w:val="22"/>
              </w:rPr>
              <w:t>Чисельність населення, на яке матиме вплив реалізація проекту</w:t>
            </w:r>
          </w:p>
        </w:tc>
        <w:tc>
          <w:tcPr>
            <w:tcW w:w="7090" w:type="dxa"/>
            <w:gridSpan w:val="6"/>
            <w:tcBorders>
              <w:top w:val="single" w:sz="6" w:space="0" w:color="auto"/>
              <w:left w:val="single" w:sz="6" w:space="0" w:color="auto"/>
              <w:bottom w:val="single" w:sz="6" w:space="0" w:color="auto"/>
              <w:right w:val="single" w:sz="6" w:space="0" w:color="auto"/>
            </w:tcBorders>
          </w:tcPr>
          <w:p w:rsidR="002F1205" w:rsidRPr="00B74A55" w:rsidRDefault="002F1205" w:rsidP="00DA2766">
            <w:pPr>
              <w:autoSpaceDE w:val="0"/>
              <w:autoSpaceDN w:val="0"/>
              <w:adjustRightInd w:val="0"/>
              <w:rPr>
                <w:rFonts w:eastAsia="Calibri"/>
                <w:color w:val="FF0000"/>
                <w:sz w:val="22"/>
              </w:rPr>
            </w:pPr>
            <w:r w:rsidRPr="00B74A55">
              <w:rPr>
                <w:rFonts w:eastAsia="Calibri"/>
                <w:sz w:val="22"/>
              </w:rPr>
              <w:t>70 000 осіб</w:t>
            </w:r>
          </w:p>
        </w:tc>
      </w:tr>
      <w:tr w:rsidR="002F1205" w:rsidRPr="00B74A55" w:rsidTr="002F1205">
        <w:trPr>
          <w:trHeight w:val="1261"/>
        </w:trPr>
        <w:tc>
          <w:tcPr>
            <w:tcW w:w="1589" w:type="dxa"/>
            <w:tcBorders>
              <w:top w:val="nil"/>
              <w:left w:val="nil"/>
              <w:bottom w:val="nil"/>
              <w:right w:val="nil"/>
            </w:tcBorders>
          </w:tcPr>
          <w:p w:rsidR="002F1205" w:rsidRPr="00B74A55" w:rsidRDefault="002F1205" w:rsidP="00DA2766">
            <w:pPr>
              <w:autoSpaceDE w:val="0"/>
              <w:autoSpaceDN w:val="0"/>
              <w:adjustRightInd w:val="0"/>
              <w:jc w:val="right"/>
              <w:rPr>
                <w:rFonts w:eastAsia="Calibri"/>
                <w:color w:val="000000"/>
                <w:sz w:val="22"/>
              </w:rPr>
            </w:pPr>
          </w:p>
        </w:tc>
        <w:tc>
          <w:tcPr>
            <w:tcW w:w="2691"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1205" w:rsidRPr="00B74A55" w:rsidRDefault="002F1205" w:rsidP="00DA2766">
            <w:pPr>
              <w:autoSpaceDE w:val="0"/>
              <w:autoSpaceDN w:val="0"/>
              <w:adjustRightInd w:val="0"/>
              <w:rPr>
                <w:rFonts w:eastAsia="Calibri"/>
                <w:b/>
                <w:color w:val="000000"/>
                <w:sz w:val="22"/>
              </w:rPr>
            </w:pPr>
            <w:r w:rsidRPr="00B74A55">
              <w:rPr>
                <w:rFonts w:eastAsia="Calibri"/>
                <w:b/>
                <w:color w:val="000000"/>
                <w:sz w:val="22"/>
              </w:rPr>
              <w:t>Опис проблеми, на вирішення якої спрямований проект</w:t>
            </w:r>
          </w:p>
        </w:tc>
        <w:tc>
          <w:tcPr>
            <w:tcW w:w="7090" w:type="dxa"/>
            <w:gridSpan w:val="6"/>
            <w:tcBorders>
              <w:top w:val="single" w:sz="6" w:space="0" w:color="auto"/>
              <w:left w:val="single" w:sz="6" w:space="0" w:color="auto"/>
              <w:bottom w:val="single" w:sz="6" w:space="0" w:color="auto"/>
              <w:right w:val="single" w:sz="6" w:space="0" w:color="auto"/>
            </w:tcBorders>
          </w:tcPr>
          <w:p w:rsidR="002F1205" w:rsidRPr="00B74A55" w:rsidRDefault="002F1205" w:rsidP="00E05C1E">
            <w:pPr>
              <w:autoSpaceDE w:val="0"/>
              <w:autoSpaceDN w:val="0"/>
              <w:adjustRightInd w:val="0"/>
              <w:rPr>
                <w:rFonts w:eastAsia="Calibri"/>
                <w:color w:val="000000"/>
                <w:sz w:val="22"/>
              </w:rPr>
            </w:pPr>
            <w:r w:rsidRPr="00B74A55">
              <w:rPr>
                <w:rFonts w:eastAsia="Calibri"/>
                <w:color w:val="000000"/>
                <w:sz w:val="22"/>
              </w:rPr>
              <w:t xml:space="preserve">У зв'язку з тим, що на території міста велись активні бойові дії, садок постраждав від обстрілів, зруйновано та розграбовано меблі (стільці для дітей та співробітників, столи для дітей та співробітників, дитячі ліжка, шафи для методичного матеріалу та іграшок, шафи для роздягання дітей та дорослих, </w:t>
            </w:r>
            <w:proofErr w:type="spellStart"/>
            <w:r w:rsidRPr="00B74A55">
              <w:rPr>
                <w:rFonts w:eastAsia="Calibri"/>
                <w:color w:val="000000"/>
                <w:sz w:val="22"/>
              </w:rPr>
              <w:t>скамійки</w:t>
            </w:r>
            <w:proofErr w:type="spellEnd"/>
            <w:r w:rsidRPr="00B74A55">
              <w:rPr>
                <w:rFonts w:eastAsia="Calibri"/>
                <w:color w:val="000000"/>
                <w:sz w:val="22"/>
              </w:rPr>
              <w:t xml:space="preserve"> для приймальних), м'який інвентар (килими, килимові доріжки, матраци, подушки, ковдри, дитяча постільна білизна, рушники), методичний, ігровий матеріал для забезпечення </w:t>
            </w:r>
            <w:proofErr w:type="spellStart"/>
            <w:r w:rsidRPr="00B74A55">
              <w:rPr>
                <w:rFonts w:eastAsia="Calibri"/>
                <w:color w:val="000000"/>
                <w:sz w:val="22"/>
              </w:rPr>
              <w:t>освітньго</w:t>
            </w:r>
            <w:proofErr w:type="spellEnd"/>
            <w:r w:rsidRPr="00B74A55">
              <w:rPr>
                <w:rFonts w:eastAsia="Calibri"/>
                <w:color w:val="000000"/>
                <w:sz w:val="22"/>
              </w:rPr>
              <w:t xml:space="preserve"> процесу (різноманітні ігрові посібники, дидактичний матеріал, модульні конструктори, ігрове обладнання для дітей з особливими освітніми потребами, спортивне обладнання, музичне обладнання), технічні засоби навчання (інтерактивні дошки, проектори, музичні інструменти, акустичні системи), оргтехніка (</w:t>
            </w:r>
            <w:proofErr w:type="spellStart"/>
            <w:r w:rsidRPr="00B74A55">
              <w:rPr>
                <w:rFonts w:eastAsia="Calibri"/>
                <w:color w:val="000000"/>
                <w:sz w:val="22"/>
              </w:rPr>
              <w:t>компьютери</w:t>
            </w:r>
            <w:proofErr w:type="spellEnd"/>
            <w:r w:rsidRPr="00B74A55">
              <w:rPr>
                <w:rFonts w:eastAsia="Calibri"/>
                <w:color w:val="000000"/>
                <w:sz w:val="22"/>
              </w:rPr>
              <w:t xml:space="preserve">, ноутбуки, принтери, </w:t>
            </w:r>
            <w:proofErr w:type="spellStart"/>
            <w:r w:rsidRPr="00B74A55">
              <w:rPr>
                <w:rFonts w:eastAsia="Calibri"/>
                <w:color w:val="000000"/>
                <w:sz w:val="22"/>
              </w:rPr>
              <w:t>ламінатори</w:t>
            </w:r>
            <w:proofErr w:type="spellEnd"/>
            <w:r w:rsidRPr="00B74A55">
              <w:rPr>
                <w:rFonts w:eastAsia="Calibri"/>
                <w:color w:val="000000"/>
                <w:sz w:val="22"/>
              </w:rPr>
              <w:t>,), технологічне обладнання для харчоблоку  та пральні. Для повноцінної діяльності закладу виникла потреба у відновленні даного обладнання з урахуванням індивідуальних потреб дітей з особливими освітніми потребами</w:t>
            </w:r>
            <w:r w:rsidR="00E05C1E" w:rsidRPr="00B74A55">
              <w:rPr>
                <w:rFonts w:eastAsia="Calibri"/>
                <w:color w:val="000000"/>
                <w:sz w:val="22"/>
              </w:rPr>
              <w:t xml:space="preserve"> </w:t>
            </w:r>
            <w:r w:rsidRPr="00B74A55">
              <w:rPr>
                <w:rFonts w:eastAsia="Calibri"/>
                <w:color w:val="000000"/>
                <w:sz w:val="22"/>
              </w:rPr>
              <w:t>і приведенні його якості та функціональності до європейських стандартів.</w:t>
            </w:r>
            <w:r w:rsidRPr="00B74A55">
              <w:rPr>
                <w:rFonts w:eastAsia="Calibri"/>
                <w:color w:val="000000"/>
                <w:sz w:val="22"/>
              </w:rPr>
              <w:tab/>
            </w:r>
            <w:r w:rsidRPr="00B74A55">
              <w:rPr>
                <w:rFonts w:eastAsia="Calibri"/>
                <w:color w:val="000000"/>
                <w:sz w:val="22"/>
              </w:rPr>
              <w:tab/>
            </w:r>
            <w:r w:rsidRPr="00B74A55">
              <w:rPr>
                <w:rFonts w:eastAsia="Calibri"/>
                <w:color w:val="000000"/>
                <w:sz w:val="22"/>
              </w:rPr>
              <w:tab/>
            </w:r>
          </w:p>
        </w:tc>
      </w:tr>
      <w:tr w:rsidR="002F1205" w:rsidRPr="00B74A55" w:rsidTr="002F1205">
        <w:trPr>
          <w:trHeight w:val="1265"/>
        </w:trPr>
        <w:tc>
          <w:tcPr>
            <w:tcW w:w="1589" w:type="dxa"/>
            <w:tcBorders>
              <w:top w:val="nil"/>
              <w:left w:val="nil"/>
              <w:bottom w:val="nil"/>
              <w:right w:val="nil"/>
            </w:tcBorders>
          </w:tcPr>
          <w:p w:rsidR="002F1205" w:rsidRPr="00B74A55" w:rsidRDefault="002F1205" w:rsidP="00DA2766">
            <w:pPr>
              <w:autoSpaceDE w:val="0"/>
              <w:autoSpaceDN w:val="0"/>
              <w:adjustRightInd w:val="0"/>
              <w:jc w:val="right"/>
              <w:rPr>
                <w:rFonts w:eastAsia="Calibri"/>
                <w:color w:val="000000"/>
                <w:sz w:val="22"/>
              </w:rPr>
            </w:pPr>
          </w:p>
        </w:tc>
        <w:tc>
          <w:tcPr>
            <w:tcW w:w="2691"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1205" w:rsidRPr="00B74A55" w:rsidRDefault="002F1205" w:rsidP="00DA2766">
            <w:pPr>
              <w:autoSpaceDE w:val="0"/>
              <w:autoSpaceDN w:val="0"/>
              <w:adjustRightInd w:val="0"/>
              <w:rPr>
                <w:rFonts w:eastAsia="Calibri"/>
                <w:b/>
                <w:color w:val="000000"/>
                <w:sz w:val="22"/>
              </w:rPr>
            </w:pPr>
            <w:r w:rsidRPr="00B74A55">
              <w:rPr>
                <w:rFonts w:eastAsia="Calibri"/>
                <w:b/>
                <w:color w:val="000000"/>
                <w:sz w:val="22"/>
              </w:rPr>
              <w:t>Очікувані якісні результати від реалізації проекту</w:t>
            </w:r>
          </w:p>
        </w:tc>
        <w:tc>
          <w:tcPr>
            <w:tcW w:w="7090" w:type="dxa"/>
            <w:gridSpan w:val="6"/>
            <w:tcBorders>
              <w:top w:val="single" w:sz="6" w:space="0" w:color="auto"/>
              <w:left w:val="single" w:sz="6" w:space="0" w:color="auto"/>
              <w:bottom w:val="single" w:sz="6" w:space="0" w:color="auto"/>
              <w:right w:val="single" w:sz="6" w:space="0" w:color="auto"/>
            </w:tcBorders>
          </w:tcPr>
          <w:p w:rsidR="002F1205" w:rsidRPr="00B74A55" w:rsidRDefault="002F1205" w:rsidP="00E05C1E">
            <w:pPr>
              <w:autoSpaceDE w:val="0"/>
              <w:autoSpaceDN w:val="0"/>
              <w:adjustRightInd w:val="0"/>
              <w:rPr>
                <w:rFonts w:eastAsia="Calibri"/>
                <w:color w:val="000000"/>
                <w:sz w:val="22"/>
              </w:rPr>
            </w:pPr>
            <w:r w:rsidRPr="00B74A55">
              <w:rPr>
                <w:rFonts w:eastAsia="Calibri"/>
                <w:color w:val="000000"/>
                <w:sz w:val="22"/>
              </w:rPr>
              <w:t>Створення належних якісних умов для максимального комфорту перебування дітей у яслах-садку. Приведення матеріально-технічної бази освітніх приміщень до сучасних вимог з урахуванням принципів універсального дизайну або розумного пристосування.</w:t>
            </w:r>
            <w:r w:rsidRPr="00B74A55">
              <w:rPr>
                <w:rFonts w:eastAsia="Calibri"/>
                <w:color w:val="000000"/>
                <w:sz w:val="22"/>
              </w:rPr>
              <w:tab/>
            </w:r>
            <w:r w:rsidRPr="00B74A55">
              <w:rPr>
                <w:rFonts w:eastAsia="Calibri"/>
                <w:color w:val="000000"/>
                <w:sz w:val="22"/>
              </w:rPr>
              <w:tab/>
            </w:r>
            <w:r w:rsidRPr="00B74A55">
              <w:rPr>
                <w:rFonts w:eastAsia="Calibri"/>
                <w:color w:val="000000"/>
                <w:sz w:val="22"/>
              </w:rPr>
              <w:tab/>
            </w:r>
          </w:p>
        </w:tc>
      </w:tr>
      <w:tr w:rsidR="002F1205" w:rsidRPr="00B74A55" w:rsidTr="002F1205">
        <w:trPr>
          <w:trHeight w:val="581"/>
        </w:trPr>
        <w:tc>
          <w:tcPr>
            <w:tcW w:w="1589" w:type="dxa"/>
            <w:tcBorders>
              <w:top w:val="nil"/>
              <w:left w:val="nil"/>
              <w:bottom w:val="nil"/>
              <w:right w:val="nil"/>
            </w:tcBorders>
          </w:tcPr>
          <w:p w:rsidR="002F1205" w:rsidRPr="00B74A55" w:rsidRDefault="002F1205" w:rsidP="00DA2766">
            <w:pPr>
              <w:autoSpaceDE w:val="0"/>
              <w:autoSpaceDN w:val="0"/>
              <w:adjustRightInd w:val="0"/>
              <w:jc w:val="right"/>
              <w:rPr>
                <w:rFonts w:eastAsia="Calibri"/>
                <w:color w:val="000000"/>
                <w:sz w:val="22"/>
              </w:rPr>
            </w:pPr>
          </w:p>
        </w:tc>
        <w:tc>
          <w:tcPr>
            <w:tcW w:w="2691"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1205" w:rsidRPr="00B74A55" w:rsidRDefault="002F1205" w:rsidP="00DA2766">
            <w:pPr>
              <w:autoSpaceDE w:val="0"/>
              <w:autoSpaceDN w:val="0"/>
              <w:adjustRightInd w:val="0"/>
              <w:rPr>
                <w:rFonts w:eastAsia="Calibri"/>
                <w:b/>
                <w:color w:val="000000"/>
                <w:sz w:val="22"/>
              </w:rPr>
            </w:pPr>
            <w:r w:rsidRPr="00B74A55">
              <w:rPr>
                <w:rFonts w:eastAsia="Calibri"/>
                <w:b/>
                <w:color w:val="000000"/>
                <w:sz w:val="22"/>
              </w:rPr>
              <w:t>Очікувані кількісні результати від реалізації проекту  (індикатори)</w:t>
            </w:r>
          </w:p>
        </w:tc>
        <w:tc>
          <w:tcPr>
            <w:tcW w:w="2413" w:type="dxa"/>
            <w:gridSpan w:val="2"/>
            <w:tcBorders>
              <w:top w:val="single" w:sz="6" w:space="0" w:color="auto"/>
              <w:left w:val="single" w:sz="6" w:space="0" w:color="auto"/>
              <w:bottom w:val="single" w:sz="6" w:space="0" w:color="auto"/>
              <w:right w:val="single" w:sz="6" w:space="0" w:color="auto"/>
            </w:tcBorders>
          </w:tcPr>
          <w:p w:rsidR="002F1205" w:rsidRPr="00B74A55" w:rsidRDefault="002F1205" w:rsidP="00DA2766">
            <w:pPr>
              <w:autoSpaceDE w:val="0"/>
              <w:autoSpaceDN w:val="0"/>
              <w:adjustRightInd w:val="0"/>
              <w:rPr>
                <w:rFonts w:eastAsia="Calibri"/>
                <w:b/>
                <w:color w:val="000000"/>
                <w:sz w:val="22"/>
              </w:rPr>
            </w:pPr>
            <w:r w:rsidRPr="00B74A55">
              <w:rPr>
                <w:rFonts w:eastAsia="Calibri"/>
                <w:b/>
                <w:color w:val="000000"/>
                <w:sz w:val="22"/>
              </w:rPr>
              <w:t>Найменування показника</w:t>
            </w:r>
          </w:p>
        </w:tc>
        <w:tc>
          <w:tcPr>
            <w:tcW w:w="2548" w:type="dxa"/>
            <w:gridSpan w:val="2"/>
            <w:tcBorders>
              <w:top w:val="single" w:sz="6" w:space="0" w:color="auto"/>
              <w:left w:val="single" w:sz="6" w:space="0" w:color="auto"/>
              <w:bottom w:val="single" w:sz="6" w:space="0" w:color="auto"/>
              <w:right w:val="single" w:sz="6" w:space="0" w:color="auto"/>
            </w:tcBorders>
          </w:tcPr>
          <w:p w:rsidR="002F1205" w:rsidRPr="00B74A55" w:rsidRDefault="002F1205" w:rsidP="00DA2766">
            <w:pPr>
              <w:autoSpaceDE w:val="0"/>
              <w:autoSpaceDN w:val="0"/>
              <w:adjustRightInd w:val="0"/>
              <w:rPr>
                <w:rFonts w:eastAsia="Calibri"/>
                <w:b/>
                <w:color w:val="000000"/>
                <w:sz w:val="22"/>
              </w:rPr>
            </w:pPr>
            <w:r w:rsidRPr="00B74A55">
              <w:rPr>
                <w:rFonts w:eastAsia="Calibri"/>
                <w:b/>
                <w:color w:val="000000"/>
                <w:sz w:val="22"/>
              </w:rPr>
              <w:t>Одиниця вимірювання</w:t>
            </w:r>
          </w:p>
        </w:tc>
        <w:tc>
          <w:tcPr>
            <w:tcW w:w="2129" w:type="dxa"/>
            <w:gridSpan w:val="2"/>
            <w:tcBorders>
              <w:top w:val="single" w:sz="6" w:space="0" w:color="auto"/>
              <w:left w:val="single" w:sz="6" w:space="0" w:color="auto"/>
              <w:bottom w:val="single" w:sz="6" w:space="0" w:color="auto"/>
              <w:right w:val="single" w:sz="6" w:space="0" w:color="auto"/>
            </w:tcBorders>
          </w:tcPr>
          <w:p w:rsidR="002F1205" w:rsidRPr="00B74A55" w:rsidRDefault="002F1205" w:rsidP="00DA2766">
            <w:pPr>
              <w:autoSpaceDE w:val="0"/>
              <w:autoSpaceDN w:val="0"/>
              <w:adjustRightInd w:val="0"/>
              <w:rPr>
                <w:rFonts w:eastAsia="Calibri"/>
                <w:b/>
                <w:color w:val="000000"/>
                <w:sz w:val="22"/>
              </w:rPr>
            </w:pPr>
            <w:r w:rsidRPr="00B74A55">
              <w:rPr>
                <w:rFonts w:eastAsia="Calibri"/>
                <w:b/>
                <w:color w:val="000000"/>
                <w:sz w:val="22"/>
              </w:rPr>
              <w:t>Прогнозне (цільове) значення</w:t>
            </w:r>
          </w:p>
        </w:tc>
      </w:tr>
      <w:tr w:rsidR="002F1205" w:rsidRPr="00B74A55" w:rsidTr="00E05C1E">
        <w:trPr>
          <w:trHeight w:val="694"/>
        </w:trPr>
        <w:tc>
          <w:tcPr>
            <w:tcW w:w="1589" w:type="dxa"/>
            <w:tcBorders>
              <w:top w:val="nil"/>
              <w:left w:val="nil"/>
              <w:bottom w:val="nil"/>
              <w:right w:val="nil"/>
            </w:tcBorders>
          </w:tcPr>
          <w:p w:rsidR="002F1205" w:rsidRPr="00B74A55" w:rsidRDefault="002F1205" w:rsidP="00DA2766">
            <w:pPr>
              <w:autoSpaceDE w:val="0"/>
              <w:autoSpaceDN w:val="0"/>
              <w:adjustRightInd w:val="0"/>
              <w:jc w:val="right"/>
              <w:rPr>
                <w:rFonts w:eastAsia="Calibri"/>
                <w:color w:val="000000"/>
                <w:sz w:val="22"/>
              </w:rPr>
            </w:pPr>
          </w:p>
        </w:tc>
        <w:tc>
          <w:tcPr>
            <w:tcW w:w="2691"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1205" w:rsidRPr="00B74A55" w:rsidRDefault="002F1205" w:rsidP="00DA2766">
            <w:pPr>
              <w:autoSpaceDE w:val="0"/>
              <w:autoSpaceDN w:val="0"/>
              <w:adjustRightInd w:val="0"/>
              <w:rPr>
                <w:rFonts w:eastAsia="Calibri"/>
                <w:b/>
                <w:color w:val="000000"/>
                <w:sz w:val="22"/>
              </w:rPr>
            </w:pPr>
          </w:p>
        </w:tc>
        <w:tc>
          <w:tcPr>
            <w:tcW w:w="2413" w:type="dxa"/>
            <w:gridSpan w:val="2"/>
            <w:tcBorders>
              <w:top w:val="single" w:sz="6" w:space="0" w:color="auto"/>
              <w:left w:val="single" w:sz="6" w:space="0" w:color="auto"/>
              <w:bottom w:val="single" w:sz="6" w:space="0" w:color="auto"/>
              <w:right w:val="single" w:sz="6" w:space="0" w:color="auto"/>
            </w:tcBorders>
          </w:tcPr>
          <w:p w:rsidR="002F1205" w:rsidRPr="00B74A55" w:rsidRDefault="002F1205" w:rsidP="00DA2766">
            <w:pPr>
              <w:rPr>
                <w:sz w:val="22"/>
              </w:rPr>
            </w:pPr>
            <w:r w:rsidRPr="00B74A55">
              <w:rPr>
                <w:sz w:val="22"/>
              </w:rPr>
              <w:t>1.Кількість одержувачів дошкільної освіти, в рік.</w:t>
            </w:r>
          </w:p>
          <w:p w:rsidR="002F1205" w:rsidRPr="00B74A55" w:rsidRDefault="002F1205" w:rsidP="00E05C1E">
            <w:pPr>
              <w:jc w:val="left"/>
              <w:rPr>
                <w:sz w:val="22"/>
              </w:rPr>
            </w:pPr>
            <w:r w:rsidRPr="00B74A55">
              <w:rPr>
                <w:sz w:val="22"/>
              </w:rPr>
              <w:t xml:space="preserve">2.Організація 3-х разового харчування, в рік. </w:t>
            </w:r>
          </w:p>
          <w:p w:rsidR="002F1205" w:rsidRPr="00B74A55" w:rsidRDefault="002F1205" w:rsidP="00E05C1E">
            <w:pPr>
              <w:jc w:val="left"/>
              <w:rPr>
                <w:sz w:val="22"/>
              </w:rPr>
            </w:pPr>
            <w:r w:rsidRPr="00B74A55">
              <w:rPr>
                <w:sz w:val="22"/>
              </w:rPr>
              <w:t>3.Кількість населених пунктів,</w:t>
            </w:r>
            <w:r w:rsidR="00E05C1E" w:rsidRPr="00B74A55">
              <w:rPr>
                <w:sz w:val="22"/>
              </w:rPr>
              <w:t xml:space="preserve"> </w:t>
            </w:r>
            <w:r w:rsidRPr="00B74A55">
              <w:rPr>
                <w:sz w:val="22"/>
              </w:rPr>
              <w:t xml:space="preserve">які обслуговує Ясла-садок. </w:t>
            </w:r>
          </w:p>
        </w:tc>
        <w:tc>
          <w:tcPr>
            <w:tcW w:w="2548" w:type="dxa"/>
            <w:gridSpan w:val="2"/>
            <w:tcBorders>
              <w:top w:val="single" w:sz="6" w:space="0" w:color="auto"/>
              <w:left w:val="single" w:sz="6" w:space="0" w:color="auto"/>
              <w:bottom w:val="single" w:sz="6" w:space="0" w:color="auto"/>
              <w:right w:val="single" w:sz="6" w:space="0" w:color="auto"/>
            </w:tcBorders>
          </w:tcPr>
          <w:p w:rsidR="002F1205" w:rsidRPr="00B74A55" w:rsidRDefault="002F1205" w:rsidP="00DA2766">
            <w:pPr>
              <w:rPr>
                <w:sz w:val="22"/>
              </w:rPr>
            </w:pPr>
            <w:r w:rsidRPr="00B74A55">
              <w:rPr>
                <w:sz w:val="22"/>
              </w:rPr>
              <w:t>особи</w:t>
            </w:r>
          </w:p>
          <w:p w:rsidR="002F1205" w:rsidRPr="00B74A55" w:rsidRDefault="002F1205" w:rsidP="00DA2766">
            <w:pPr>
              <w:rPr>
                <w:sz w:val="22"/>
              </w:rPr>
            </w:pPr>
          </w:p>
          <w:p w:rsidR="002F1205" w:rsidRPr="00B74A55" w:rsidRDefault="002F1205" w:rsidP="00DA2766">
            <w:pPr>
              <w:rPr>
                <w:sz w:val="22"/>
              </w:rPr>
            </w:pPr>
            <w:r w:rsidRPr="00B74A55">
              <w:rPr>
                <w:sz w:val="22"/>
              </w:rPr>
              <w:t>особи</w:t>
            </w:r>
          </w:p>
          <w:p w:rsidR="002F1205" w:rsidRPr="00B74A55" w:rsidRDefault="002F1205" w:rsidP="00DA2766">
            <w:pPr>
              <w:rPr>
                <w:sz w:val="22"/>
              </w:rPr>
            </w:pPr>
          </w:p>
          <w:p w:rsidR="002F1205" w:rsidRPr="00B74A55" w:rsidRDefault="002F1205" w:rsidP="002F1205">
            <w:pPr>
              <w:rPr>
                <w:sz w:val="22"/>
              </w:rPr>
            </w:pPr>
            <w:r w:rsidRPr="00B74A55">
              <w:rPr>
                <w:sz w:val="22"/>
              </w:rPr>
              <w:t xml:space="preserve">одиниць                                                                                                        </w:t>
            </w:r>
            <w:r w:rsidRPr="00B74A55">
              <w:rPr>
                <w:sz w:val="22"/>
              </w:rPr>
              <w:br/>
            </w:r>
            <w:r w:rsidRPr="00B74A55">
              <w:rPr>
                <w:sz w:val="22"/>
              </w:rPr>
              <w:br/>
            </w:r>
            <w:r w:rsidRPr="00B74A55">
              <w:rPr>
                <w:sz w:val="22"/>
              </w:rPr>
              <w:br/>
              <w:t>день в місяці</w:t>
            </w:r>
          </w:p>
        </w:tc>
        <w:tc>
          <w:tcPr>
            <w:tcW w:w="2129" w:type="dxa"/>
            <w:gridSpan w:val="2"/>
            <w:tcBorders>
              <w:top w:val="single" w:sz="6" w:space="0" w:color="auto"/>
              <w:left w:val="single" w:sz="6" w:space="0" w:color="auto"/>
              <w:bottom w:val="single" w:sz="6" w:space="0" w:color="auto"/>
              <w:right w:val="single" w:sz="6" w:space="0" w:color="auto"/>
            </w:tcBorders>
          </w:tcPr>
          <w:p w:rsidR="002F1205" w:rsidRPr="00B74A55" w:rsidRDefault="002F1205" w:rsidP="00DA2766">
            <w:pPr>
              <w:rPr>
                <w:sz w:val="22"/>
              </w:rPr>
            </w:pPr>
            <w:r w:rsidRPr="00B74A55">
              <w:rPr>
                <w:sz w:val="22"/>
              </w:rPr>
              <w:t>250, 6 дітей з ООП</w:t>
            </w:r>
          </w:p>
          <w:p w:rsidR="002F1205" w:rsidRPr="00B74A55" w:rsidRDefault="002F1205" w:rsidP="00DA2766">
            <w:pPr>
              <w:rPr>
                <w:sz w:val="22"/>
              </w:rPr>
            </w:pPr>
          </w:p>
          <w:p w:rsidR="002F1205" w:rsidRPr="00B74A55" w:rsidRDefault="002F1205" w:rsidP="00DA2766">
            <w:pPr>
              <w:rPr>
                <w:sz w:val="22"/>
              </w:rPr>
            </w:pPr>
            <w:r w:rsidRPr="00B74A55">
              <w:rPr>
                <w:sz w:val="22"/>
              </w:rPr>
              <w:t>250, 6 дітей з ООП</w:t>
            </w:r>
          </w:p>
          <w:p w:rsidR="002F1205" w:rsidRPr="00B74A55" w:rsidRDefault="002F1205" w:rsidP="00DA2766">
            <w:pPr>
              <w:rPr>
                <w:sz w:val="22"/>
              </w:rPr>
            </w:pPr>
          </w:p>
          <w:p w:rsidR="002F1205" w:rsidRPr="00B74A55" w:rsidRDefault="002F1205" w:rsidP="00DA2766">
            <w:pPr>
              <w:rPr>
                <w:color w:val="FF0000"/>
                <w:sz w:val="22"/>
              </w:rPr>
            </w:pPr>
            <w:r w:rsidRPr="00B74A55">
              <w:rPr>
                <w:sz w:val="22"/>
              </w:rPr>
              <w:t>6</w:t>
            </w:r>
            <w:r w:rsidRPr="00B74A55">
              <w:rPr>
                <w:color w:val="FF0000"/>
                <w:sz w:val="22"/>
              </w:rPr>
              <w:br/>
            </w:r>
            <w:r w:rsidRPr="00B74A55">
              <w:rPr>
                <w:color w:val="FF0000"/>
                <w:sz w:val="22"/>
              </w:rPr>
              <w:br/>
            </w:r>
            <w:r w:rsidRPr="00B74A55">
              <w:rPr>
                <w:sz w:val="22"/>
              </w:rPr>
              <w:br/>
              <w:t>23</w:t>
            </w:r>
          </w:p>
        </w:tc>
      </w:tr>
      <w:tr w:rsidR="002F1205" w:rsidRPr="00B74A55" w:rsidTr="002F1205">
        <w:trPr>
          <w:trHeight w:val="1684"/>
        </w:trPr>
        <w:tc>
          <w:tcPr>
            <w:tcW w:w="1589" w:type="dxa"/>
            <w:tcBorders>
              <w:top w:val="nil"/>
              <w:left w:val="nil"/>
              <w:bottom w:val="nil"/>
              <w:right w:val="nil"/>
            </w:tcBorders>
          </w:tcPr>
          <w:p w:rsidR="002F1205" w:rsidRPr="00B74A55" w:rsidRDefault="002F1205" w:rsidP="00DA2766">
            <w:pPr>
              <w:autoSpaceDE w:val="0"/>
              <w:autoSpaceDN w:val="0"/>
              <w:adjustRightInd w:val="0"/>
              <w:jc w:val="right"/>
              <w:rPr>
                <w:rFonts w:eastAsia="Calibri"/>
                <w:color w:val="000000"/>
                <w:sz w:val="22"/>
              </w:rPr>
            </w:pPr>
          </w:p>
        </w:tc>
        <w:tc>
          <w:tcPr>
            <w:tcW w:w="2691"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1205" w:rsidRPr="00B74A55" w:rsidRDefault="002F1205" w:rsidP="00DA2766">
            <w:pPr>
              <w:autoSpaceDE w:val="0"/>
              <w:autoSpaceDN w:val="0"/>
              <w:adjustRightInd w:val="0"/>
              <w:rPr>
                <w:rFonts w:eastAsia="Calibri"/>
                <w:b/>
                <w:color w:val="000000"/>
                <w:sz w:val="22"/>
              </w:rPr>
            </w:pPr>
            <w:r w:rsidRPr="00B74A55">
              <w:rPr>
                <w:rFonts w:eastAsia="Calibri"/>
                <w:b/>
                <w:color w:val="000000"/>
                <w:sz w:val="22"/>
              </w:rPr>
              <w:t>Ключові заходи проекту:</w:t>
            </w:r>
          </w:p>
        </w:tc>
        <w:tc>
          <w:tcPr>
            <w:tcW w:w="7090" w:type="dxa"/>
            <w:gridSpan w:val="6"/>
            <w:tcBorders>
              <w:top w:val="single" w:sz="6" w:space="0" w:color="auto"/>
              <w:left w:val="single" w:sz="6" w:space="0" w:color="auto"/>
              <w:bottom w:val="single" w:sz="6" w:space="0" w:color="auto"/>
              <w:right w:val="single" w:sz="6" w:space="0" w:color="auto"/>
            </w:tcBorders>
          </w:tcPr>
          <w:p w:rsidR="002F1205" w:rsidRPr="00B74A55" w:rsidRDefault="002F1205" w:rsidP="00DA2766">
            <w:pPr>
              <w:autoSpaceDE w:val="0"/>
              <w:autoSpaceDN w:val="0"/>
              <w:adjustRightInd w:val="0"/>
              <w:rPr>
                <w:rFonts w:eastAsia="Calibri"/>
                <w:color w:val="000000"/>
                <w:sz w:val="22"/>
              </w:rPr>
            </w:pPr>
            <w:r w:rsidRPr="00B74A55">
              <w:rPr>
                <w:rFonts w:eastAsia="Calibri"/>
                <w:color w:val="000000"/>
                <w:sz w:val="22"/>
              </w:rPr>
              <w:t xml:space="preserve">1. Придбання меблів для 14 групових осередків (столи, стільці, шафки для роздягання, </w:t>
            </w:r>
            <w:proofErr w:type="spellStart"/>
            <w:r w:rsidRPr="00B74A55">
              <w:rPr>
                <w:rFonts w:eastAsia="Calibri"/>
                <w:color w:val="000000"/>
                <w:sz w:val="22"/>
              </w:rPr>
              <w:t>стелажи</w:t>
            </w:r>
            <w:proofErr w:type="spellEnd"/>
            <w:r w:rsidRPr="00B74A55">
              <w:rPr>
                <w:rFonts w:eastAsia="Calibri"/>
                <w:color w:val="000000"/>
                <w:sz w:val="22"/>
              </w:rPr>
              <w:t xml:space="preserve"> для іграшок та посібників, </w:t>
            </w:r>
            <w:proofErr w:type="spellStart"/>
            <w:r w:rsidRPr="00B74A55">
              <w:rPr>
                <w:rFonts w:eastAsia="Calibri"/>
                <w:color w:val="000000"/>
                <w:sz w:val="22"/>
              </w:rPr>
              <w:t>скамійки</w:t>
            </w:r>
            <w:proofErr w:type="spellEnd"/>
            <w:r w:rsidRPr="00B74A55">
              <w:rPr>
                <w:rFonts w:eastAsia="Calibri"/>
                <w:color w:val="000000"/>
                <w:sz w:val="22"/>
              </w:rPr>
              <w:t xml:space="preserve"> для приймальних). </w:t>
            </w:r>
          </w:p>
          <w:p w:rsidR="002F1205" w:rsidRPr="00B74A55" w:rsidRDefault="002F1205" w:rsidP="00DA2766">
            <w:pPr>
              <w:autoSpaceDE w:val="0"/>
              <w:autoSpaceDN w:val="0"/>
              <w:adjustRightInd w:val="0"/>
              <w:rPr>
                <w:rFonts w:eastAsia="Calibri"/>
                <w:color w:val="000000"/>
                <w:sz w:val="22"/>
              </w:rPr>
            </w:pPr>
            <w:r w:rsidRPr="00B74A55">
              <w:rPr>
                <w:rFonts w:eastAsia="Calibri"/>
                <w:color w:val="000000"/>
                <w:sz w:val="22"/>
              </w:rPr>
              <w:t xml:space="preserve">2. Придбання меблів для музичної зали. </w:t>
            </w:r>
          </w:p>
          <w:p w:rsidR="002F1205" w:rsidRPr="00B74A55" w:rsidRDefault="002F1205" w:rsidP="00DA2766">
            <w:pPr>
              <w:autoSpaceDE w:val="0"/>
              <w:autoSpaceDN w:val="0"/>
              <w:adjustRightInd w:val="0"/>
              <w:rPr>
                <w:rFonts w:eastAsia="Calibri"/>
                <w:color w:val="000000"/>
                <w:sz w:val="22"/>
              </w:rPr>
            </w:pPr>
            <w:r w:rsidRPr="00B74A55">
              <w:rPr>
                <w:rFonts w:eastAsia="Calibri"/>
                <w:color w:val="000000"/>
                <w:sz w:val="22"/>
              </w:rPr>
              <w:t xml:space="preserve">3. Придбання меблів для методичних кабінетів, адміністративних кабінетів та медичного блоку. </w:t>
            </w:r>
          </w:p>
          <w:p w:rsidR="002F1205" w:rsidRPr="00B74A55" w:rsidRDefault="002F1205" w:rsidP="00DA2766">
            <w:pPr>
              <w:autoSpaceDE w:val="0"/>
              <w:autoSpaceDN w:val="0"/>
              <w:adjustRightInd w:val="0"/>
              <w:rPr>
                <w:rFonts w:eastAsia="Calibri"/>
                <w:color w:val="000000"/>
                <w:sz w:val="22"/>
              </w:rPr>
            </w:pPr>
            <w:r w:rsidRPr="00B74A55">
              <w:rPr>
                <w:rFonts w:eastAsia="Calibri"/>
                <w:color w:val="000000"/>
                <w:sz w:val="22"/>
              </w:rPr>
              <w:t xml:space="preserve">4. Оновлення  м'якого інвентаря (килими для ігрових кімнат, спалень та музичної зали; килимові доріжки для </w:t>
            </w:r>
            <w:proofErr w:type="spellStart"/>
            <w:r w:rsidRPr="00B74A55">
              <w:rPr>
                <w:rFonts w:eastAsia="Calibri"/>
                <w:color w:val="000000"/>
                <w:sz w:val="22"/>
              </w:rPr>
              <w:t>приймалень</w:t>
            </w:r>
            <w:proofErr w:type="spellEnd"/>
            <w:r w:rsidRPr="00B74A55">
              <w:rPr>
                <w:rFonts w:eastAsia="Calibri"/>
                <w:color w:val="000000"/>
                <w:sz w:val="22"/>
              </w:rPr>
              <w:t xml:space="preserve"> та холів;  матраци, подушки, ковдри, постільна білизна для дитячих спалень; рушники для гігієнічних потреб дітей та співробітників.)</w:t>
            </w:r>
          </w:p>
          <w:p w:rsidR="002F1205" w:rsidRPr="00B74A55" w:rsidRDefault="002F1205" w:rsidP="00DA2766">
            <w:pPr>
              <w:autoSpaceDE w:val="0"/>
              <w:autoSpaceDN w:val="0"/>
              <w:adjustRightInd w:val="0"/>
              <w:rPr>
                <w:rFonts w:eastAsia="Calibri"/>
                <w:color w:val="000000"/>
                <w:sz w:val="22"/>
              </w:rPr>
            </w:pPr>
            <w:r w:rsidRPr="00B74A55">
              <w:rPr>
                <w:rFonts w:eastAsia="Calibri"/>
                <w:color w:val="000000"/>
                <w:sz w:val="22"/>
              </w:rPr>
              <w:t xml:space="preserve">5.Забезпечення Ясел-садка ігровим та методичним, дидактичним обладнанням різної </w:t>
            </w:r>
            <w:proofErr w:type="spellStart"/>
            <w:r w:rsidRPr="00B74A55">
              <w:rPr>
                <w:rFonts w:eastAsia="Calibri"/>
                <w:color w:val="000000"/>
                <w:sz w:val="22"/>
              </w:rPr>
              <w:t>направленності</w:t>
            </w:r>
            <w:proofErr w:type="spellEnd"/>
            <w:r w:rsidRPr="00B74A55">
              <w:rPr>
                <w:rFonts w:eastAsia="Calibri"/>
                <w:color w:val="000000"/>
                <w:sz w:val="22"/>
              </w:rPr>
              <w:t xml:space="preserve">. </w:t>
            </w:r>
          </w:p>
          <w:p w:rsidR="002F1205" w:rsidRPr="00B74A55" w:rsidRDefault="002F1205" w:rsidP="00DA2766">
            <w:pPr>
              <w:autoSpaceDE w:val="0"/>
              <w:autoSpaceDN w:val="0"/>
              <w:adjustRightInd w:val="0"/>
              <w:rPr>
                <w:rFonts w:eastAsia="Calibri"/>
                <w:color w:val="000000"/>
                <w:sz w:val="22"/>
              </w:rPr>
            </w:pPr>
            <w:r w:rsidRPr="00B74A55">
              <w:rPr>
                <w:rFonts w:eastAsia="Calibri"/>
                <w:color w:val="000000"/>
                <w:sz w:val="22"/>
              </w:rPr>
              <w:t xml:space="preserve">6. Забезпечення методичної служби та адміністрації  приладами та оргтехнікою (ноутбуки, </w:t>
            </w:r>
            <w:proofErr w:type="spellStart"/>
            <w:r w:rsidRPr="00B74A55">
              <w:rPr>
                <w:rFonts w:eastAsia="Calibri"/>
                <w:color w:val="000000"/>
                <w:sz w:val="22"/>
              </w:rPr>
              <w:t>компьютери</w:t>
            </w:r>
            <w:proofErr w:type="spellEnd"/>
            <w:r w:rsidRPr="00B74A55">
              <w:rPr>
                <w:rFonts w:eastAsia="Calibri"/>
                <w:color w:val="000000"/>
                <w:sz w:val="22"/>
              </w:rPr>
              <w:t xml:space="preserve">, принтери, сканери, </w:t>
            </w:r>
            <w:proofErr w:type="spellStart"/>
            <w:r w:rsidRPr="00B74A55">
              <w:rPr>
                <w:rFonts w:eastAsia="Calibri"/>
                <w:color w:val="000000"/>
                <w:sz w:val="22"/>
              </w:rPr>
              <w:t>ламінатори</w:t>
            </w:r>
            <w:proofErr w:type="spellEnd"/>
            <w:r w:rsidRPr="00B74A55">
              <w:rPr>
                <w:rFonts w:eastAsia="Calibri"/>
                <w:color w:val="000000"/>
                <w:sz w:val="22"/>
              </w:rPr>
              <w:t xml:space="preserve">, інтерактивні дошки, проектори). </w:t>
            </w:r>
          </w:p>
          <w:p w:rsidR="002F1205" w:rsidRPr="00B74A55" w:rsidRDefault="002F1205" w:rsidP="00DA2766">
            <w:pPr>
              <w:autoSpaceDE w:val="0"/>
              <w:autoSpaceDN w:val="0"/>
              <w:adjustRightInd w:val="0"/>
              <w:rPr>
                <w:rFonts w:eastAsia="Calibri"/>
                <w:color w:val="000000"/>
                <w:sz w:val="22"/>
              </w:rPr>
            </w:pPr>
            <w:r w:rsidRPr="00B74A55">
              <w:rPr>
                <w:rFonts w:eastAsia="Calibri"/>
                <w:color w:val="000000"/>
                <w:sz w:val="22"/>
              </w:rPr>
              <w:t xml:space="preserve">7 Забезпечення музичної та спортивної залів акустичними системами, музичними інструментами. </w:t>
            </w:r>
          </w:p>
          <w:p w:rsidR="002F1205" w:rsidRPr="00B74A55" w:rsidRDefault="002F1205" w:rsidP="00DA2766">
            <w:pPr>
              <w:autoSpaceDE w:val="0"/>
              <w:autoSpaceDN w:val="0"/>
              <w:adjustRightInd w:val="0"/>
              <w:rPr>
                <w:rFonts w:eastAsia="Calibri"/>
                <w:color w:val="000000"/>
                <w:sz w:val="22"/>
              </w:rPr>
            </w:pPr>
            <w:r w:rsidRPr="00B74A55">
              <w:rPr>
                <w:rFonts w:eastAsia="Calibri"/>
                <w:color w:val="000000"/>
                <w:sz w:val="22"/>
              </w:rPr>
              <w:t>8. Забезпечення відповідним, професійним обладнанням медичного блоку закладу.</w:t>
            </w:r>
            <w:r w:rsidRPr="00B74A55">
              <w:rPr>
                <w:rFonts w:eastAsia="Calibri"/>
                <w:color w:val="000000"/>
                <w:sz w:val="22"/>
              </w:rPr>
              <w:tab/>
            </w:r>
          </w:p>
          <w:p w:rsidR="002F1205" w:rsidRPr="00B74A55" w:rsidRDefault="002F1205" w:rsidP="00DA2766">
            <w:pPr>
              <w:autoSpaceDE w:val="0"/>
              <w:autoSpaceDN w:val="0"/>
              <w:adjustRightInd w:val="0"/>
              <w:rPr>
                <w:rFonts w:eastAsia="Calibri"/>
                <w:color w:val="000000"/>
                <w:sz w:val="22"/>
              </w:rPr>
            </w:pPr>
            <w:r w:rsidRPr="00B74A55">
              <w:rPr>
                <w:rFonts w:eastAsia="Calibri"/>
                <w:color w:val="000000"/>
                <w:sz w:val="22"/>
              </w:rPr>
              <w:lastRenderedPageBreak/>
              <w:t>9. Забезпечення технологічним обладнанням харчоблоку (</w:t>
            </w:r>
            <w:proofErr w:type="spellStart"/>
            <w:r w:rsidRPr="00B74A55">
              <w:rPr>
                <w:rFonts w:eastAsia="Calibri"/>
                <w:color w:val="000000"/>
                <w:sz w:val="22"/>
              </w:rPr>
              <w:t>пічі</w:t>
            </w:r>
            <w:proofErr w:type="spellEnd"/>
            <w:r w:rsidRPr="00B74A55">
              <w:rPr>
                <w:rFonts w:eastAsia="Calibri"/>
                <w:color w:val="000000"/>
                <w:sz w:val="22"/>
              </w:rPr>
              <w:t xml:space="preserve">, духова шафа, </w:t>
            </w:r>
            <w:proofErr w:type="spellStart"/>
            <w:r w:rsidRPr="00B74A55">
              <w:rPr>
                <w:rFonts w:eastAsia="Calibri"/>
                <w:color w:val="000000"/>
                <w:sz w:val="22"/>
              </w:rPr>
              <w:t>електросковорода</w:t>
            </w:r>
            <w:proofErr w:type="spellEnd"/>
            <w:r w:rsidRPr="00B74A55">
              <w:rPr>
                <w:rFonts w:eastAsia="Calibri"/>
                <w:color w:val="000000"/>
                <w:sz w:val="22"/>
              </w:rPr>
              <w:t>, м’ясорубки, тістоміс, картоплечистка, водонагрівач, електрокип’ятильник,</w:t>
            </w:r>
            <w:r w:rsidR="00E05C1E" w:rsidRPr="00B74A55">
              <w:rPr>
                <w:rFonts w:eastAsia="Calibri"/>
                <w:color w:val="000000"/>
                <w:sz w:val="22"/>
              </w:rPr>
              <w:t xml:space="preserve"> </w:t>
            </w:r>
            <w:r w:rsidRPr="00B74A55">
              <w:rPr>
                <w:rFonts w:eastAsia="Calibri"/>
                <w:color w:val="000000"/>
                <w:sz w:val="22"/>
              </w:rPr>
              <w:t>морозильні камери, холодильна шафа, побутові холодильники, пральні машини, прасувальний прес, сушильна машина, праски).</w:t>
            </w:r>
            <w:r w:rsidRPr="00B74A55">
              <w:rPr>
                <w:rFonts w:eastAsia="Calibri"/>
                <w:color w:val="000000"/>
                <w:sz w:val="22"/>
              </w:rPr>
              <w:br/>
              <w:t xml:space="preserve">10. </w:t>
            </w:r>
            <w:r w:rsidRPr="00B74A55">
              <w:rPr>
                <w:rFonts w:eastAsia="Arial"/>
                <w:sz w:val="22"/>
              </w:rPr>
              <w:t>Для відбудови та сталого розвитку громади потрібне відновлення роботи Ясел-садка. Мешканці громади потребують отримання якісних навчальних послуг, які відповідають нормам сучасності.</w:t>
            </w:r>
          </w:p>
        </w:tc>
      </w:tr>
      <w:tr w:rsidR="002F1205" w:rsidRPr="00B74A55" w:rsidTr="002F1205">
        <w:trPr>
          <w:trHeight w:val="600"/>
        </w:trPr>
        <w:tc>
          <w:tcPr>
            <w:tcW w:w="1589" w:type="dxa"/>
            <w:vMerge w:val="restart"/>
            <w:tcBorders>
              <w:top w:val="nil"/>
              <w:left w:val="nil"/>
              <w:right w:val="nil"/>
            </w:tcBorders>
          </w:tcPr>
          <w:p w:rsidR="002F1205" w:rsidRPr="00B74A55" w:rsidRDefault="002F1205" w:rsidP="00DA2766">
            <w:pPr>
              <w:autoSpaceDE w:val="0"/>
              <w:autoSpaceDN w:val="0"/>
              <w:adjustRightInd w:val="0"/>
              <w:jc w:val="right"/>
              <w:rPr>
                <w:rFonts w:eastAsia="Calibri"/>
                <w:color w:val="000000"/>
                <w:sz w:val="22"/>
              </w:rPr>
            </w:pPr>
          </w:p>
        </w:tc>
        <w:tc>
          <w:tcPr>
            <w:tcW w:w="2691" w:type="dxa"/>
            <w:vMerge w:val="restart"/>
            <w:tcBorders>
              <w:top w:val="single" w:sz="6" w:space="0" w:color="auto"/>
              <w:left w:val="single" w:sz="6" w:space="0" w:color="auto"/>
              <w:right w:val="single" w:sz="6" w:space="0" w:color="auto"/>
            </w:tcBorders>
            <w:shd w:val="clear" w:color="00FFFF" w:fill="C6D9F1" w:themeFill="text2" w:themeFillTint="33"/>
          </w:tcPr>
          <w:p w:rsidR="002F1205" w:rsidRPr="00B74A55" w:rsidRDefault="002F1205" w:rsidP="00DA2766">
            <w:pPr>
              <w:autoSpaceDE w:val="0"/>
              <w:autoSpaceDN w:val="0"/>
              <w:adjustRightInd w:val="0"/>
              <w:rPr>
                <w:rFonts w:eastAsia="Calibri"/>
                <w:b/>
                <w:color w:val="000000"/>
                <w:sz w:val="22"/>
              </w:rPr>
            </w:pPr>
            <w:r w:rsidRPr="00B74A55">
              <w:rPr>
                <w:rFonts w:eastAsia="Calibri"/>
                <w:b/>
                <w:color w:val="000000"/>
                <w:sz w:val="22"/>
              </w:rPr>
              <w:t>Орієнтовний обсяг та джерела фінансування тис. гривень</w:t>
            </w:r>
          </w:p>
        </w:tc>
        <w:tc>
          <w:tcPr>
            <w:tcW w:w="1279" w:type="dxa"/>
            <w:vMerge w:val="restart"/>
            <w:tcBorders>
              <w:top w:val="single" w:sz="6" w:space="0" w:color="auto"/>
              <w:left w:val="single" w:sz="6" w:space="0" w:color="auto"/>
              <w:bottom w:val="single" w:sz="6" w:space="0" w:color="auto"/>
              <w:right w:val="single" w:sz="6" w:space="0" w:color="auto"/>
            </w:tcBorders>
          </w:tcPr>
          <w:p w:rsidR="002F1205" w:rsidRPr="00B74A55" w:rsidRDefault="002F1205" w:rsidP="00DA2766">
            <w:pPr>
              <w:autoSpaceDE w:val="0"/>
              <w:autoSpaceDN w:val="0"/>
              <w:adjustRightInd w:val="0"/>
              <w:rPr>
                <w:rFonts w:eastAsia="Calibri"/>
                <w:color w:val="000000"/>
                <w:sz w:val="22"/>
              </w:rPr>
            </w:pPr>
            <w:r w:rsidRPr="00B74A55">
              <w:rPr>
                <w:rFonts w:eastAsia="Calibri"/>
                <w:color w:val="000000"/>
                <w:sz w:val="22"/>
              </w:rPr>
              <w:t>Державний бюджет</w:t>
            </w:r>
          </w:p>
        </w:tc>
        <w:tc>
          <w:tcPr>
            <w:tcW w:w="1134" w:type="dxa"/>
            <w:vMerge w:val="restart"/>
            <w:tcBorders>
              <w:top w:val="single" w:sz="6" w:space="0" w:color="auto"/>
              <w:left w:val="single" w:sz="6" w:space="0" w:color="auto"/>
              <w:right w:val="single" w:sz="6" w:space="0" w:color="auto"/>
            </w:tcBorders>
          </w:tcPr>
          <w:p w:rsidR="002F1205" w:rsidRPr="00B74A55" w:rsidRDefault="002F1205" w:rsidP="00DA2766">
            <w:pPr>
              <w:autoSpaceDE w:val="0"/>
              <w:autoSpaceDN w:val="0"/>
              <w:adjustRightInd w:val="0"/>
              <w:rPr>
                <w:rFonts w:eastAsia="Calibri"/>
                <w:color w:val="000000"/>
                <w:sz w:val="22"/>
              </w:rPr>
            </w:pPr>
            <w:r w:rsidRPr="00B74A55">
              <w:rPr>
                <w:rFonts w:eastAsia="Calibri"/>
                <w:color w:val="000000"/>
                <w:sz w:val="22"/>
              </w:rPr>
              <w:t>Місцевий бюджет</w:t>
            </w:r>
          </w:p>
        </w:tc>
        <w:tc>
          <w:tcPr>
            <w:tcW w:w="2976" w:type="dxa"/>
            <w:gridSpan w:val="3"/>
            <w:tcBorders>
              <w:top w:val="single" w:sz="6" w:space="0" w:color="auto"/>
              <w:left w:val="single" w:sz="6" w:space="0" w:color="auto"/>
              <w:bottom w:val="single" w:sz="6" w:space="0" w:color="auto"/>
              <w:right w:val="single" w:sz="6" w:space="0" w:color="auto"/>
            </w:tcBorders>
          </w:tcPr>
          <w:p w:rsidR="002F1205" w:rsidRPr="00B74A55" w:rsidRDefault="002F1205" w:rsidP="00DA2766">
            <w:pPr>
              <w:autoSpaceDE w:val="0"/>
              <w:autoSpaceDN w:val="0"/>
              <w:adjustRightInd w:val="0"/>
              <w:rPr>
                <w:rFonts w:eastAsia="Calibri"/>
                <w:color w:val="000000"/>
                <w:sz w:val="22"/>
              </w:rPr>
            </w:pPr>
            <w:r w:rsidRPr="00B74A55">
              <w:rPr>
                <w:rFonts w:eastAsia="Calibri"/>
                <w:color w:val="000000"/>
                <w:sz w:val="22"/>
              </w:rPr>
              <w:t>Інші джерела</w:t>
            </w:r>
          </w:p>
        </w:tc>
        <w:tc>
          <w:tcPr>
            <w:tcW w:w="1701" w:type="dxa"/>
            <w:vMerge w:val="restart"/>
            <w:tcBorders>
              <w:top w:val="single" w:sz="6" w:space="0" w:color="auto"/>
              <w:left w:val="single" w:sz="6" w:space="0" w:color="auto"/>
              <w:right w:val="single" w:sz="6" w:space="0" w:color="auto"/>
            </w:tcBorders>
          </w:tcPr>
          <w:p w:rsidR="002F1205" w:rsidRPr="00B74A55" w:rsidRDefault="002F1205" w:rsidP="00DA2766">
            <w:pPr>
              <w:autoSpaceDE w:val="0"/>
              <w:autoSpaceDN w:val="0"/>
              <w:adjustRightInd w:val="0"/>
              <w:rPr>
                <w:rFonts w:eastAsia="Calibri"/>
                <w:color w:val="000000"/>
                <w:sz w:val="22"/>
              </w:rPr>
            </w:pPr>
            <w:r w:rsidRPr="00B74A55">
              <w:rPr>
                <w:rFonts w:eastAsia="Calibri"/>
                <w:color w:val="000000"/>
                <w:sz w:val="22"/>
              </w:rPr>
              <w:t>Всього</w:t>
            </w:r>
          </w:p>
        </w:tc>
      </w:tr>
      <w:tr w:rsidR="002F1205" w:rsidRPr="00B74A55" w:rsidTr="002F1205">
        <w:trPr>
          <w:trHeight w:val="65"/>
        </w:trPr>
        <w:tc>
          <w:tcPr>
            <w:tcW w:w="1589" w:type="dxa"/>
            <w:vMerge/>
            <w:tcBorders>
              <w:left w:val="nil"/>
              <w:right w:val="nil"/>
            </w:tcBorders>
          </w:tcPr>
          <w:p w:rsidR="002F1205" w:rsidRPr="00B74A55" w:rsidRDefault="002F1205" w:rsidP="002F1205">
            <w:pPr>
              <w:autoSpaceDE w:val="0"/>
              <w:autoSpaceDN w:val="0"/>
              <w:adjustRightInd w:val="0"/>
              <w:jc w:val="right"/>
              <w:rPr>
                <w:rFonts w:eastAsia="Calibri"/>
                <w:color w:val="000000"/>
                <w:sz w:val="22"/>
              </w:rPr>
            </w:pPr>
          </w:p>
        </w:tc>
        <w:tc>
          <w:tcPr>
            <w:tcW w:w="2691" w:type="dxa"/>
            <w:vMerge/>
            <w:tcBorders>
              <w:left w:val="single" w:sz="6" w:space="0" w:color="auto"/>
              <w:right w:val="single" w:sz="6" w:space="0" w:color="auto"/>
            </w:tcBorders>
            <w:shd w:val="clear" w:color="00FFFF" w:fill="C6D9F1" w:themeFill="text2" w:themeFillTint="33"/>
          </w:tcPr>
          <w:p w:rsidR="002F1205" w:rsidRPr="00B74A55" w:rsidRDefault="002F1205" w:rsidP="002F1205">
            <w:pPr>
              <w:autoSpaceDE w:val="0"/>
              <w:autoSpaceDN w:val="0"/>
              <w:adjustRightInd w:val="0"/>
              <w:rPr>
                <w:rFonts w:eastAsia="Calibri"/>
                <w:b/>
                <w:color w:val="000000"/>
                <w:sz w:val="22"/>
              </w:rPr>
            </w:pPr>
          </w:p>
        </w:tc>
        <w:tc>
          <w:tcPr>
            <w:tcW w:w="1279" w:type="dxa"/>
            <w:vMerge/>
            <w:tcBorders>
              <w:top w:val="single" w:sz="6" w:space="0" w:color="auto"/>
              <w:left w:val="single" w:sz="6" w:space="0" w:color="auto"/>
              <w:bottom w:val="single" w:sz="6" w:space="0" w:color="auto"/>
              <w:right w:val="single" w:sz="6" w:space="0" w:color="auto"/>
            </w:tcBorders>
          </w:tcPr>
          <w:p w:rsidR="002F1205" w:rsidRPr="00B74A55" w:rsidRDefault="002F1205" w:rsidP="002F1205">
            <w:pPr>
              <w:autoSpaceDE w:val="0"/>
              <w:autoSpaceDN w:val="0"/>
              <w:adjustRightInd w:val="0"/>
              <w:rPr>
                <w:rFonts w:eastAsia="Calibri"/>
                <w:color w:val="000000"/>
                <w:sz w:val="22"/>
              </w:rPr>
            </w:pPr>
          </w:p>
        </w:tc>
        <w:tc>
          <w:tcPr>
            <w:tcW w:w="1134" w:type="dxa"/>
            <w:vMerge/>
            <w:tcBorders>
              <w:left w:val="single" w:sz="6" w:space="0" w:color="auto"/>
              <w:bottom w:val="single" w:sz="6" w:space="0" w:color="auto"/>
              <w:right w:val="single" w:sz="6" w:space="0" w:color="auto"/>
            </w:tcBorders>
          </w:tcPr>
          <w:p w:rsidR="002F1205" w:rsidRPr="00B74A55" w:rsidRDefault="002F1205" w:rsidP="002F1205">
            <w:pPr>
              <w:autoSpaceDE w:val="0"/>
              <w:autoSpaceDN w:val="0"/>
              <w:adjustRightInd w:val="0"/>
              <w:rPr>
                <w:rFonts w:eastAsia="Calibri"/>
                <w:color w:val="000000"/>
                <w:sz w:val="22"/>
              </w:rPr>
            </w:pPr>
          </w:p>
        </w:tc>
        <w:tc>
          <w:tcPr>
            <w:tcW w:w="1134" w:type="dxa"/>
            <w:tcBorders>
              <w:top w:val="single" w:sz="6" w:space="0" w:color="auto"/>
              <w:left w:val="single" w:sz="6" w:space="0" w:color="auto"/>
              <w:bottom w:val="single" w:sz="6" w:space="0" w:color="auto"/>
              <w:right w:val="single" w:sz="6" w:space="0" w:color="auto"/>
            </w:tcBorders>
          </w:tcPr>
          <w:p w:rsidR="002F1205" w:rsidRPr="00B74A55" w:rsidRDefault="002F1205" w:rsidP="002F1205">
            <w:pPr>
              <w:autoSpaceDE w:val="0"/>
              <w:autoSpaceDN w:val="0"/>
              <w:adjustRightInd w:val="0"/>
              <w:rPr>
                <w:rFonts w:eastAsia="Calibri"/>
                <w:color w:val="000000"/>
                <w:sz w:val="22"/>
              </w:rPr>
            </w:pPr>
            <w:r w:rsidRPr="00B74A55">
              <w:rPr>
                <w:rFonts w:eastAsia="Calibri"/>
                <w:color w:val="000000"/>
                <w:sz w:val="22"/>
              </w:rPr>
              <w:t>Обсяг</w:t>
            </w:r>
          </w:p>
        </w:tc>
        <w:tc>
          <w:tcPr>
            <w:tcW w:w="1842" w:type="dxa"/>
            <w:gridSpan w:val="2"/>
            <w:tcBorders>
              <w:top w:val="single" w:sz="6" w:space="0" w:color="auto"/>
              <w:left w:val="single" w:sz="6" w:space="0" w:color="auto"/>
              <w:bottom w:val="single" w:sz="6" w:space="0" w:color="auto"/>
              <w:right w:val="single" w:sz="6" w:space="0" w:color="auto"/>
            </w:tcBorders>
          </w:tcPr>
          <w:p w:rsidR="002F1205" w:rsidRPr="00B74A55" w:rsidRDefault="002F1205" w:rsidP="002F1205">
            <w:pPr>
              <w:autoSpaceDE w:val="0"/>
              <w:autoSpaceDN w:val="0"/>
              <w:adjustRightInd w:val="0"/>
              <w:rPr>
                <w:rFonts w:eastAsia="Calibri"/>
                <w:color w:val="000000"/>
                <w:sz w:val="22"/>
              </w:rPr>
            </w:pPr>
            <w:r w:rsidRPr="00B74A55">
              <w:rPr>
                <w:rFonts w:eastAsia="Calibri"/>
                <w:color w:val="000000"/>
                <w:sz w:val="22"/>
              </w:rPr>
              <w:t>Назва джерела</w:t>
            </w:r>
          </w:p>
        </w:tc>
        <w:tc>
          <w:tcPr>
            <w:tcW w:w="1701" w:type="dxa"/>
            <w:vMerge/>
            <w:tcBorders>
              <w:left w:val="single" w:sz="6" w:space="0" w:color="auto"/>
              <w:bottom w:val="single" w:sz="6" w:space="0" w:color="auto"/>
              <w:right w:val="single" w:sz="6" w:space="0" w:color="auto"/>
            </w:tcBorders>
          </w:tcPr>
          <w:p w:rsidR="002F1205" w:rsidRPr="00B74A55" w:rsidRDefault="002F1205" w:rsidP="002F1205">
            <w:pPr>
              <w:autoSpaceDE w:val="0"/>
              <w:autoSpaceDN w:val="0"/>
              <w:adjustRightInd w:val="0"/>
              <w:rPr>
                <w:rFonts w:eastAsia="Calibri"/>
                <w:color w:val="000000"/>
                <w:sz w:val="22"/>
              </w:rPr>
            </w:pPr>
          </w:p>
        </w:tc>
      </w:tr>
      <w:tr w:rsidR="002F1205" w:rsidRPr="00B74A55" w:rsidTr="002F1205">
        <w:trPr>
          <w:trHeight w:val="476"/>
        </w:trPr>
        <w:tc>
          <w:tcPr>
            <w:tcW w:w="1589" w:type="dxa"/>
            <w:vMerge/>
            <w:tcBorders>
              <w:left w:val="nil"/>
              <w:bottom w:val="nil"/>
              <w:right w:val="nil"/>
            </w:tcBorders>
          </w:tcPr>
          <w:p w:rsidR="002F1205" w:rsidRPr="00B74A55" w:rsidRDefault="002F1205" w:rsidP="002F1205">
            <w:pPr>
              <w:autoSpaceDE w:val="0"/>
              <w:autoSpaceDN w:val="0"/>
              <w:adjustRightInd w:val="0"/>
              <w:jc w:val="right"/>
              <w:rPr>
                <w:rFonts w:eastAsia="Calibri"/>
                <w:color w:val="000000"/>
                <w:sz w:val="22"/>
              </w:rPr>
            </w:pPr>
          </w:p>
        </w:tc>
        <w:tc>
          <w:tcPr>
            <w:tcW w:w="2691" w:type="dxa"/>
            <w:vMerge/>
            <w:tcBorders>
              <w:left w:val="single" w:sz="6" w:space="0" w:color="auto"/>
              <w:bottom w:val="single" w:sz="6" w:space="0" w:color="auto"/>
              <w:right w:val="single" w:sz="6" w:space="0" w:color="auto"/>
            </w:tcBorders>
            <w:shd w:val="clear" w:color="00FFFF" w:fill="C6D9F1" w:themeFill="text2" w:themeFillTint="33"/>
          </w:tcPr>
          <w:p w:rsidR="002F1205" w:rsidRPr="00B74A55" w:rsidRDefault="002F1205" w:rsidP="002F1205">
            <w:pPr>
              <w:autoSpaceDE w:val="0"/>
              <w:autoSpaceDN w:val="0"/>
              <w:adjustRightInd w:val="0"/>
              <w:rPr>
                <w:rFonts w:eastAsia="Calibri"/>
                <w:b/>
                <w:color w:val="000000"/>
                <w:sz w:val="22"/>
              </w:rPr>
            </w:pPr>
          </w:p>
        </w:tc>
        <w:tc>
          <w:tcPr>
            <w:tcW w:w="1279" w:type="dxa"/>
            <w:tcBorders>
              <w:top w:val="single" w:sz="6" w:space="0" w:color="auto"/>
              <w:left w:val="single" w:sz="6" w:space="0" w:color="auto"/>
              <w:bottom w:val="single" w:sz="6" w:space="0" w:color="auto"/>
              <w:right w:val="single" w:sz="6" w:space="0" w:color="auto"/>
            </w:tcBorders>
          </w:tcPr>
          <w:p w:rsidR="002F1205" w:rsidRPr="00B74A55" w:rsidRDefault="002F1205" w:rsidP="002F1205">
            <w:pPr>
              <w:autoSpaceDE w:val="0"/>
              <w:autoSpaceDN w:val="0"/>
              <w:adjustRightInd w:val="0"/>
              <w:rPr>
                <w:rFonts w:eastAsia="Calibri"/>
                <w:color w:val="000000"/>
                <w:sz w:val="22"/>
              </w:rPr>
            </w:pPr>
            <w:r w:rsidRPr="00B74A55">
              <w:rPr>
                <w:rFonts w:eastAsia="Calibri"/>
                <w:color w:val="000000"/>
                <w:sz w:val="22"/>
              </w:rPr>
              <w:t>5 850 ,0</w:t>
            </w:r>
          </w:p>
        </w:tc>
        <w:tc>
          <w:tcPr>
            <w:tcW w:w="1134" w:type="dxa"/>
            <w:tcBorders>
              <w:top w:val="single" w:sz="6" w:space="0" w:color="auto"/>
              <w:left w:val="single" w:sz="6" w:space="0" w:color="auto"/>
              <w:bottom w:val="single" w:sz="6" w:space="0" w:color="auto"/>
              <w:right w:val="single" w:sz="6" w:space="0" w:color="auto"/>
            </w:tcBorders>
          </w:tcPr>
          <w:p w:rsidR="002F1205" w:rsidRPr="00B74A55" w:rsidRDefault="002F1205" w:rsidP="002F1205">
            <w:pPr>
              <w:autoSpaceDE w:val="0"/>
              <w:autoSpaceDN w:val="0"/>
              <w:adjustRightInd w:val="0"/>
              <w:rPr>
                <w:rFonts w:eastAsia="Calibri"/>
                <w:color w:val="000000"/>
                <w:sz w:val="22"/>
              </w:rPr>
            </w:pPr>
          </w:p>
        </w:tc>
        <w:tc>
          <w:tcPr>
            <w:tcW w:w="1134" w:type="dxa"/>
            <w:tcBorders>
              <w:top w:val="single" w:sz="6" w:space="0" w:color="auto"/>
              <w:left w:val="single" w:sz="6" w:space="0" w:color="auto"/>
              <w:bottom w:val="single" w:sz="6" w:space="0" w:color="auto"/>
              <w:right w:val="single" w:sz="6" w:space="0" w:color="auto"/>
            </w:tcBorders>
          </w:tcPr>
          <w:p w:rsidR="002F1205" w:rsidRPr="00B74A55" w:rsidRDefault="002F1205" w:rsidP="002F1205">
            <w:pPr>
              <w:autoSpaceDE w:val="0"/>
              <w:autoSpaceDN w:val="0"/>
              <w:adjustRightInd w:val="0"/>
              <w:rPr>
                <w:rFonts w:eastAsia="Calibri"/>
                <w:color w:val="000000"/>
                <w:sz w:val="22"/>
              </w:rPr>
            </w:pPr>
            <w:r w:rsidRPr="00B74A55">
              <w:rPr>
                <w:rFonts w:eastAsia="Calibri"/>
                <w:color w:val="000000"/>
                <w:sz w:val="22"/>
              </w:rPr>
              <w:t>2 000,0</w:t>
            </w:r>
          </w:p>
        </w:tc>
        <w:tc>
          <w:tcPr>
            <w:tcW w:w="1842" w:type="dxa"/>
            <w:gridSpan w:val="2"/>
            <w:tcBorders>
              <w:top w:val="single" w:sz="6" w:space="0" w:color="auto"/>
              <w:left w:val="single" w:sz="6" w:space="0" w:color="auto"/>
              <w:bottom w:val="single" w:sz="6" w:space="0" w:color="auto"/>
              <w:right w:val="single" w:sz="6" w:space="0" w:color="auto"/>
            </w:tcBorders>
          </w:tcPr>
          <w:p w:rsidR="002F1205" w:rsidRPr="00B74A55" w:rsidRDefault="002F1205" w:rsidP="002F1205">
            <w:pPr>
              <w:autoSpaceDE w:val="0"/>
              <w:autoSpaceDN w:val="0"/>
              <w:adjustRightInd w:val="0"/>
              <w:rPr>
                <w:rFonts w:eastAsia="Calibri"/>
                <w:color w:val="000000"/>
                <w:sz w:val="22"/>
              </w:rPr>
            </w:pPr>
            <w:r w:rsidRPr="00B74A55">
              <w:rPr>
                <w:rFonts w:eastAsia="Calibri"/>
                <w:color w:val="000000"/>
                <w:sz w:val="22"/>
              </w:rPr>
              <w:t xml:space="preserve">Іноземні </w:t>
            </w:r>
            <w:proofErr w:type="spellStart"/>
            <w:r w:rsidRPr="00B74A55">
              <w:rPr>
                <w:rFonts w:eastAsia="Calibri"/>
                <w:color w:val="000000"/>
                <w:sz w:val="22"/>
              </w:rPr>
              <w:t>інвестиції,кошти</w:t>
            </w:r>
            <w:proofErr w:type="spellEnd"/>
            <w:r w:rsidRPr="00B74A55">
              <w:rPr>
                <w:rFonts w:eastAsia="Calibri"/>
                <w:color w:val="000000"/>
                <w:sz w:val="22"/>
              </w:rPr>
              <w:t xml:space="preserve"> приватних осіб</w:t>
            </w:r>
          </w:p>
        </w:tc>
        <w:tc>
          <w:tcPr>
            <w:tcW w:w="1701" w:type="dxa"/>
            <w:tcBorders>
              <w:top w:val="single" w:sz="6" w:space="0" w:color="auto"/>
              <w:left w:val="single" w:sz="6" w:space="0" w:color="auto"/>
              <w:bottom w:val="single" w:sz="6" w:space="0" w:color="auto"/>
              <w:right w:val="single" w:sz="6" w:space="0" w:color="auto"/>
            </w:tcBorders>
          </w:tcPr>
          <w:p w:rsidR="002F1205" w:rsidRPr="00B74A55" w:rsidRDefault="002F1205" w:rsidP="002F1205">
            <w:pPr>
              <w:autoSpaceDE w:val="0"/>
              <w:autoSpaceDN w:val="0"/>
              <w:adjustRightInd w:val="0"/>
              <w:rPr>
                <w:rFonts w:eastAsia="Calibri"/>
                <w:color w:val="000000"/>
                <w:sz w:val="22"/>
              </w:rPr>
            </w:pPr>
            <w:r w:rsidRPr="00B74A55">
              <w:rPr>
                <w:rFonts w:eastAsia="Calibri"/>
                <w:color w:val="000000"/>
                <w:sz w:val="22"/>
              </w:rPr>
              <w:t>7 850 ,0</w:t>
            </w:r>
          </w:p>
        </w:tc>
      </w:tr>
    </w:tbl>
    <w:p w:rsidR="00CF4B4F" w:rsidRPr="00B74A55" w:rsidRDefault="00CF4B4F" w:rsidP="00E33AAA">
      <w:pPr>
        <w:tabs>
          <w:tab w:val="left" w:pos="5290"/>
        </w:tabs>
        <w:rPr>
          <w:b/>
          <w:sz w:val="22"/>
          <w:szCs w:val="22"/>
        </w:rPr>
      </w:pPr>
    </w:p>
    <w:p w:rsidR="00CF4B4F" w:rsidRPr="00B74A55" w:rsidRDefault="00CF4B4F" w:rsidP="00E33AAA">
      <w:pPr>
        <w:tabs>
          <w:tab w:val="left" w:pos="5290"/>
        </w:tabs>
        <w:rPr>
          <w:b/>
          <w:sz w:val="22"/>
          <w:szCs w:val="22"/>
        </w:rPr>
      </w:pPr>
    </w:p>
    <w:p w:rsidR="00CF4B4F" w:rsidRPr="00B74A55" w:rsidRDefault="00CF4B4F" w:rsidP="00E33AAA">
      <w:pPr>
        <w:tabs>
          <w:tab w:val="left" w:pos="5290"/>
        </w:tabs>
        <w:rPr>
          <w:b/>
          <w:sz w:val="22"/>
          <w:szCs w:val="22"/>
        </w:rPr>
      </w:pPr>
    </w:p>
    <w:p w:rsidR="00CF4B4F" w:rsidRPr="00B74A55" w:rsidRDefault="00CF4B4F" w:rsidP="00E33AAA">
      <w:pPr>
        <w:tabs>
          <w:tab w:val="left" w:pos="5290"/>
        </w:tabs>
        <w:rPr>
          <w:b/>
          <w:sz w:val="22"/>
          <w:szCs w:val="22"/>
        </w:rPr>
      </w:pPr>
    </w:p>
    <w:p w:rsidR="00CF4B4F" w:rsidRPr="00B74A55" w:rsidRDefault="00CF4B4F" w:rsidP="00EA3771">
      <w:pPr>
        <w:tabs>
          <w:tab w:val="left" w:pos="5290"/>
        </w:tabs>
        <w:jc w:val="center"/>
        <w:rPr>
          <w:b/>
          <w:sz w:val="22"/>
          <w:szCs w:val="22"/>
        </w:rPr>
      </w:pPr>
    </w:p>
    <w:tbl>
      <w:tblPr>
        <w:tblpPr w:leftFromText="180" w:rightFromText="180" w:vertAnchor="text" w:horzAnchor="margin" w:tblpX="-224" w:tblpY="168"/>
        <w:tblW w:w="9923" w:type="dxa"/>
        <w:tblLayout w:type="fixed"/>
        <w:tblCellMar>
          <w:left w:w="30" w:type="dxa"/>
          <w:right w:w="30" w:type="dxa"/>
        </w:tblCellMar>
        <w:tblLook w:val="0000" w:firstRow="0" w:lastRow="0" w:firstColumn="0" w:lastColumn="0" w:noHBand="0" w:noVBand="0"/>
      </w:tblPr>
      <w:tblGrid>
        <w:gridCol w:w="2835"/>
        <w:gridCol w:w="1276"/>
        <w:gridCol w:w="1134"/>
        <w:gridCol w:w="1131"/>
        <w:gridCol w:w="170"/>
        <w:gridCol w:w="1531"/>
        <w:gridCol w:w="429"/>
        <w:gridCol w:w="1417"/>
      </w:tblGrid>
      <w:tr w:rsidR="00EA3771" w:rsidRPr="00B74A55" w:rsidTr="00EE75AB">
        <w:trPr>
          <w:trHeight w:val="527"/>
        </w:trPr>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A3771" w:rsidRPr="00B74A55" w:rsidRDefault="00EA3771" w:rsidP="00EE75AB">
            <w:pPr>
              <w:autoSpaceDE w:val="0"/>
              <w:autoSpaceDN w:val="0"/>
              <w:adjustRightInd w:val="0"/>
              <w:rPr>
                <w:rFonts w:eastAsia="Calibri"/>
                <w:b/>
                <w:color w:val="000000"/>
                <w:sz w:val="22"/>
              </w:rPr>
            </w:pPr>
            <w:r w:rsidRPr="00B74A55">
              <w:rPr>
                <w:rFonts w:eastAsia="Calibri"/>
                <w:b/>
                <w:color w:val="000000"/>
                <w:sz w:val="22"/>
              </w:rPr>
              <w:t>Оперативна ціль/завдання</w:t>
            </w:r>
          </w:p>
        </w:tc>
        <w:tc>
          <w:tcPr>
            <w:tcW w:w="7088" w:type="dxa"/>
            <w:gridSpan w:val="7"/>
            <w:tcBorders>
              <w:top w:val="single" w:sz="6" w:space="0" w:color="auto"/>
              <w:left w:val="single" w:sz="6" w:space="0" w:color="auto"/>
              <w:bottom w:val="single" w:sz="6" w:space="0" w:color="auto"/>
              <w:right w:val="single" w:sz="6" w:space="0" w:color="auto"/>
            </w:tcBorders>
          </w:tcPr>
          <w:p w:rsidR="00EA3771" w:rsidRPr="00B74A55" w:rsidRDefault="00EA3771" w:rsidP="00EE75AB">
            <w:pPr>
              <w:rPr>
                <w:color w:val="000000"/>
                <w:sz w:val="22"/>
              </w:rPr>
            </w:pPr>
            <w:r w:rsidRPr="00B74A55">
              <w:rPr>
                <w:color w:val="222222"/>
                <w:sz w:val="22"/>
                <w:shd w:val="clear" w:color="auto" w:fill="FFFFFF"/>
              </w:rPr>
              <w:t xml:space="preserve">Людський розвиток через інновації управління та довіру до влади. Формування сучасного інклюзивного  </w:t>
            </w:r>
            <w:proofErr w:type="spellStart"/>
            <w:r w:rsidRPr="00B74A55">
              <w:rPr>
                <w:color w:val="222222"/>
                <w:sz w:val="22"/>
                <w:shd w:val="clear" w:color="auto" w:fill="FFFFFF"/>
              </w:rPr>
              <w:t>освітньо</w:t>
            </w:r>
            <w:proofErr w:type="spellEnd"/>
            <w:r w:rsidRPr="00B74A55">
              <w:rPr>
                <w:color w:val="222222"/>
                <w:sz w:val="22"/>
                <w:shd w:val="clear" w:color="auto" w:fill="FFFFFF"/>
              </w:rPr>
              <w:t>-культурного та спортивного простору для розвитку.</w:t>
            </w:r>
            <w:r w:rsidRPr="00B74A55">
              <w:rPr>
                <w:color w:val="000000"/>
                <w:sz w:val="22"/>
              </w:rPr>
              <w:br/>
              <w:t>Громадська та інформаційна безпека території громади.</w:t>
            </w:r>
          </w:p>
        </w:tc>
      </w:tr>
      <w:tr w:rsidR="00EA3771" w:rsidRPr="00B74A55" w:rsidTr="00EE75AB">
        <w:trPr>
          <w:trHeight w:val="656"/>
        </w:trPr>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A3771" w:rsidRPr="00B74A55" w:rsidRDefault="00EA3771" w:rsidP="00EE75AB">
            <w:pPr>
              <w:autoSpaceDE w:val="0"/>
              <w:autoSpaceDN w:val="0"/>
              <w:adjustRightInd w:val="0"/>
              <w:rPr>
                <w:rFonts w:eastAsia="Calibri"/>
                <w:b/>
                <w:color w:val="000000"/>
                <w:sz w:val="22"/>
              </w:rPr>
            </w:pPr>
            <w:r w:rsidRPr="00B74A55">
              <w:rPr>
                <w:rFonts w:eastAsia="Calibri"/>
                <w:b/>
                <w:color w:val="000000"/>
                <w:sz w:val="22"/>
              </w:rPr>
              <w:t>Назва проекту:</w:t>
            </w:r>
          </w:p>
        </w:tc>
        <w:tc>
          <w:tcPr>
            <w:tcW w:w="7088" w:type="dxa"/>
            <w:gridSpan w:val="7"/>
            <w:tcBorders>
              <w:top w:val="single" w:sz="6" w:space="0" w:color="auto"/>
              <w:left w:val="single" w:sz="6" w:space="0" w:color="auto"/>
              <w:bottom w:val="single" w:sz="6" w:space="0" w:color="auto"/>
              <w:right w:val="single" w:sz="6" w:space="0" w:color="auto"/>
            </w:tcBorders>
          </w:tcPr>
          <w:p w:rsidR="00EA3771" w:rsidRPr="00B74A55" w:rsidRDefault="00EA3771" w:rsidP="00EE75AB">
            <w:pPr>
              <w:rPr>
                <w:color w:val="000000"/>
                <w:sz w:val="22"/>
              </w:rPr>
            </w:pPr>
            <w:r w:rsidRPr="00B74A55">
              <w:rPr>
                <w:color w:val="000000"/>
                <w:sz w:val="22"/>
              </w:rPr>
              <w:t xml:space="preserve">Відновлення </w:t>
            </w:r>
            <w:proofErr w:type="spellStart"/>
            <w:r w:rsidRPr="00B74A55">
              <w:rPr>
                <w:color w:val="000000"/>
                <w:sz w:val="22"/>
              </w:rPr>
              <w:t>благоустрію</w:t>
            </w:r>
            <w:proofErr w:type="spellEnd"/>
            <w:r w:rsidRPr="00B74A55">
              <w:rPr>
                <w:color w:val="000000"/>
                <w:sz w:val="22"/>
              </w:rPr>
              <w:t xml:space="preserve"> території, спортивного та ігрових майданчиків, облаштування асфальтових доріжок на території Ясел-садка №41 міста Сєвєродонецька Луганської області за </w:t>
            </w:r>
            <w:proofErr w:type="spellStart"/>
            <w:r w:rsidRPr="00B74A55">
              <w:rPr>
                <w:color w:val="000000"/>
                <w:sz w:val="22"/>
              </w:rPr>
              <w:t>адресою</w:t>
            </w:r>
            <w:proofErr w:type="spellEnd"/>
            <w:r w:rsidRPr="00B74A55">
              <w:rPr>
                <w:color w:val="000000"/>
                <w:sz w:val="22"/>
              </w:rPr>
              <w:t xml:space="preserve">: вул. </w:t>
            </w:r>
            <w:proofErr w:type="spellStart"/>
            <w:r w:rsidRPr="00B74A55">
              <w:rPr>
                <w:color w:val="000000"/>
                <w:sz w:val="22"/>
              </w:rPr>
              <w:t>Курчатова,б</w:t>
            </w:r>
            <w:proofErr w:type="spellEnd"/>
            <w:r w:rsidRPr="00B74A55">
              <w:rPr>
                <w:color w:val="000000"/>
                <w:sz w:val="22"/>
              </w:rPr>
              <w:t>. 3-А.</w:t>
            </w:r>
          </w:p>
        </w:tc>
      </w:tr>
      <w:tr w:rsidR="00EA3771" w:rsidRPr="00B74A55" w:rsidTr="00EE75AB">
        <w:trPr>
          <w:trHeight w:val="1053"/>
        </w:trPr>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A3771" w:rsidRPr="00B74A55" w:rsidRDefault="00EA3771" w:rsidP="00EE75AB">
            <w:pPr>
              <w:autoSpaceDE w:val="0"/>
              <w:autoSpaceDN w:val="0"/>
              <w:adjustRightInd w:val="0"/>
              <w:rPr>
                <w:rFonts w:eastAsia="Calibri"/>
                <w:b/>
                <w:color w:val="000000"/>
                <w:sz w:val="22"/>
              </w:rPr>
            </w:pPr>
            <w:r w:rsidRPr="00B74A55">
              <w:rPr>
                <w:rFonts w:eastAsia="Calibri"/>
                <w:b/>
                <w:color w:val="000000"/>
                <w:sz w:val="22"/>
              </w:rPr>
              <w:t>Ціль проекту</w:t>
            </w:r>
          </w:p>
        </w:tc>
        <w:tc>
          <w:tcPr>
            <w:tcW w:w="7088" w:type="dxa"/>
            <w:gridSpan w:val="7"/>
            <w:tcBorders>
              <w:top w:val="single" w:sz="6" w:space="0" w:color="auto"/>
              <w:left w:val="single" w:sz="6" w:space="0" w:color="auto"/>
              <w:bottom w:val="single" w:sz="6" w:space="0" w:color="auto"/>
              <w:right w:val="single" w:sz="6" w:space="0" w:color="auto"/>
            </w:tcBorders>
          </w:tcPr>
          <w:p w:rsidR="00EA3771" w:rsidRPr="00B74A55" w:rsidRDefault="00EA3771" w:rsidP="00217FCA">
            <w:pPr>
              <w:rPr>
                <w:color w:val="000000"/>
                <w:sz w:val="22"/>
              </w:rPr>
            </w:pPr>
            <w:r w:rsidRPr="00B74A55">
              <w:rPr>
                <w:color w:val="000000"/>
                <w:sz w:val="22"/>
              </w:rPr>
              <w:t>Підвищення загального рівня комфорту та без</w:t>
            </w:r>
            <w:r w:rsidR="00217FCA" w:rsidRPr="00B74A55">
              <w:rPr>
                <w:color w:val="000000"/>
                <w:sz w:val="22"/>
              </w:rPr>
              <w:t>п</w:t>
            </w:r>
            <w:r w:rsidRPr="00B74A55">
              <w:rPr>
                <w:color w:val="000000"/>
                <w:sz w:val="22"/>
              </w:rPr>
              <w:t>еки садового середовища, а саме розвиток та удосконалення садової території, відновлення асфальтових доріжок, тротуарів, спортивного та ігрових майданчиків в Яслах-садку №41.</w:t>
            </w:r>
          </w:p>
        </w:tc>
      </w:tr>
      <w:tr w:rsidR="00EA3771" w:rsidRPr="00B74A55" w:rsidTr="00EE75AB">
        <w:trPr>
          <w:trHeight w:val="275"/>
        </w:trPr>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A3771" w:rsidRPr="00B74A55" w:rsidRDefault="00EA3771" w:rsidP="00EE75AB">
            <w:pPr>
              <w:autoSpaceDE w:val="0"/>
              <w:autoSpaceDN w:val="0"/>
              <w:adjustRightInd w:val="0"/>
              <w:rPr>
                <w:rFonts w:eastAsia="Calibri"/>
                <w:b/>
                <w:color w:val="000000"/>
                <w:sz w:val="22"/>
              </w:rPr>
            </w:pPr>
            <w:r w:rsidRPr="00B74A55">
              <w:rPr>
                <w:rFonts w:eastAsia="Calibri"/>
                <w:b/>
                <w:color w:val="000000"/>
                <w:sz w:val="22"/>
              </w:rPr>
              <w:t>Територія, на яку матиме вплив реалізація проекту</w:t>
            </w:r>
          </w:p>
        </w:tc>
        <w:tc>
          <w:tcPr>
            <w:tcW w:w="7088" w:type="dxa"/>
            <w:gridSpan w:val="7"/>
            <w:tcBorders>
              <w:top w:val="single" w:sz="6" w:space="0" w:color="auto"/>
              <w:left w:val="single" w:sz="6" w:space="0" w:color="auto"/>
              <w:bottom w:val="single" w:sz="6" w:space="0" w:color="auto"/>
              <w:right w:val="single" w:sz="6" w:space="0" w:color="auto"/>
            </w:tcBorders>
          </w:tcPr>
          <w:p w:rsidR="00EA3771" w:rsidRPr="00B74A55" w:rsidRDefault="00EA3771" w:rsidP="00EE75AB">
            <w:pPr>
              <w:autoSpaceDE w:val="0"/>
              <w:autoSpaceDN w:val="0"/>
              <w:adjustRightInd w:val="0"/>
              <w:rPr>
                <w:rFonts w:eastAsia="Calibri"/>
                <w:color w:val="000000"/>
                <w:sz w:val="22"/>
              </w:rPr>
            </w:pPr>
            <w:r w:rsidRPr="00B74A55">
              <w:rPr>
                <w:rFonts w:eastAsia="Calibri"/>
                <w:color w:val="000000"/>
                <w:sz w:val="22"/>
              </w:rPr>
              <w:t>Сєвєродонецька міська територіальна громада</w:t>
            </w:r>
          </w:p>
        </w:tc>
      </w:tr>
      <w:tr w:rsidR="00EA3771" w:rsidRPr="00B74A55" w:rsidTr="00EE75AB">
        <w:trPr>
          <w:trHeight w:val="803"/>
        </w:trPr>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A3771" w:rsidRPr="00B74A55" w:rsidRDefault="00EA3771" w:rsidP="00EE75AB">
            <w:pPr>
              <w:autoSpaceDE w:val="0"/>
              <w:autoSpaceDN w:val="0"/>
              <w:adjustRightInd w:val="0"/>
              <w:rPr>
                <w:rFonts w:eastAsia="Calibri"/>
                <w:b/>
                <w:color w:val="000000"/>
                <w:sz w:val="22"/>
              </w:rPr>
            </w:pPr>
            <w:r w:rsidRPr="00B74A55">
              <w:rPr>
                <w:rFonts w:eastAsia="Calibri"/>
                <w:b/>
                <w:color w:val="000000"/>
                <w:sz w:val="22"/>
              </w:rPr>
              <w:t>Чисельність населення, на яке матиме вплив реалізація проекту</w:t>
            </w:r>
          </w:p>
        </w:tc>
        <w:tc>
          <w:tcPr>
            <w:tcW w:w="7088" w:type="dxa"/>
            <w:gridSpan w:val="7"/>
            <w:tcBorders>
              <w:top w:val="single" w:sz="6" w:space="0" w:color="auto"/>
              <w:left w:val="single" w:sz="6" w:space="0" w:color="auto"/>
              <w:bottom w:val="single" w:sz="6" w:space="0" w:color="auto"/>
              <w:right w:val="single" w:sz="6" w:space="0" w:color="auto"/>
            </w:tcBorders>
          </w:tcPr>
          <w:p w:rsidR="00EA3771" w:rsidRPr="00B74A55" w:rsidRDefault="00EA3771" w:rsidP="00EE75AB">
            <w:pPr>
              <w:rPr>
                <w:sz w:val="22"/>
              </w:rPr>
            </w:pPr>
            <w:r w:rsidRPr="00B74A55">
              <w:rPr>
                <w:sz w:val="22"/>
              </w:rPr>
              <w:t>70 000 осіб</w:t>
            </w:r>
          </w:p>
          <w:p w:rsidR="00EA3771" w:rsidRPr="00B74A55" w:rsidRDefault="00EA3771" w:rsidP="00EE75AB">
            <w:pPr>
              <w:autoSpaceDE w:val="0"/>
              <w:autoSpaceDN w:val="0"/>
              <w:adjustRightInd w:val="0"/>
              <w:rPr>
                <w:rFonts w:eastAsia="Calibri"/>
                <w:color w:val="000000"/>
                <w:sz w:val="22"/>
              </w:rPr>
            </w:pPr>
          </w:p>
        </w:tc>
      </w:tr>
      <w:tr w:rsidR="00EA3771" w:rsidRPr="00B74A55" w:rsidTr="00EE75AB">
        <w:trPr>
          <w:trHeight w:val="1197"/>
        </w:trPr>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A3771" w:rsidRPr="00B74A55" w:rsidRDefault="00EA3771" w:rsidP="00EE75AB">
            <w:pPr>
              <w:autoSpaceDE w:val="0"/>
              <w:autoSpaceDN w:val="0"/>
              <w:adjustRightInd w:val="0"/>
              <w:rPr>
                <w:rFonts w:eastAsia="Calibri"/>
                <w:b/>
                <w:color w:val="000000"/>
                <w:sz w:val="22"/>
              </w:rPr>
            </w:pPr>
            <w:r w:rsidRPr="00B74A55">
              <w:rPr>
                <w:rFonts w:eastAsia="Calibri"/>
                <w:b/>
                <w:color w:val="000000"/>
                <w:sz w:val="22"/>
              </w:rPr>
              <w:t>Опис проблеми, на вирішення якої спрямований проект</w:t>
            </w:r>
          </w:p>
        </w:tc>
        <w:tc>
          <w:tcPr>
            <w:tcW w:w="7088" w:type="dxa"/>
            <w:gridSpan w:val="7"/>
            <w:tcBorders>
              <w:top w:val="single" w:sz="6" w:space="0" w:color="auto"/>
              <w:left w:val="single" w:sz="6" w:space="0" w:color="auto"/>
              <w:bottom w:val="single" w:sz="6" w:space="0" w:color="auto"/>
              <w:right w:val="single" w:sz="6" w:space="0" w:color="auto"/>
            </w:tcBorders>
          </w:tcPr>
          <w:p w:rsidR="00EA3771" w:rsidRPr="00B74A55" w:rsidRDefault="00EA3771" w:rsidP="00EE75AB">
            <w:pPr>
              <w:rPr>
                <w:color w:val="000000"/>
                <w:sz w:val="22"/>
              </w:rPr>
            </w:pPr>
            <w:r w:rsidRPr="00B74A55">
              <w:rPr>
                <w:color w:val="000000"/>
                <w:sz w:val="22"/>
              </w:rPr>
              <w:t xml:space="preserve">Після воєнних дій у місті Сєвєродонецьку територія Ясел-садка №41 знаходиться в занедбаному стані. Доріжки, тротуари, асфальтове покриття, спортивний майданчик та дитячі ігрові майданчики знаходяться в стані майже повної руйнації, подекуди повністю зруйновані, вичерпали свій ресурс. Зовнішнє освітлення території відсутнє. Дитячі споруди мають травматичні елементи. </w:t>
            </w:r>
          </w:p>
        </w:tc>
      </w:tr>
      <w:tr w:rsidR="00EA3771" w:rsidRPr="00B74A55" w:rsidTr="00EE75AB">
        <w:trPr>
          <w:trHeight w:val="1201"/>
        </w:trPr>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A3771" w:rsidRPr="00B74A55" w:rsidRDefault="00EA3771" w:rsidP="00EE75AB">
            <w:pPr>
              <w:autoSpaceDE w:val="0"/>
              <w:autoSpaceDN w:val="0"/>
              <w:adjustRightInd w:val="0"/>
              <w:rPr>
                <w:rFonts w:eastAsia="Calibri"/>
                <w:b/>
                <w:color w:val="000000"/>
                <w:sz w:val="22"/>
              </w:rPr>
            </w:pPr>
            <w:r w:rsidRPr="00B74A55">
              <w:rPr>
                <w:rFonts w:eastAsia="Calibri"/>
                <w:b/>
                <w:color w:val="000000"/>
                <w:sz w:val="22"/>
              </w:rPr>
              <w:t>Очікувані якісні результати від реалізації проекту</w:t>
            </w:r>
          </w:p>
        </w:tc>
        <w:tc>
          <w:tcPr>
            <w:tcW w:w="7088" w:type="dxa"/>
            <w:gridSpan w:val="7"/>
            <w:tcBorders>
              <w:top w:val="single" w:sz="6" w:space="0" w:color="auto"/>
              <w:left w:val="single" w:sz="6" w:space="0" w:color="auto"/>
              <w:bottom w:val="single" w:sz="6" w:space="0" w:color="auto"/>
              <w:right w:val="single" w:sz="6" w:space="0" w:color="auto"/>
            </w:tcBorders>
          </w:tcPr>
          <w:p w:rsidR="00EA3771" w:rsidRPr="00B74A55" w:rsidRDefault="00EA3771" w:rsidP="00421D2C">
            <w:pPr>
              <w:rPr>
                <w:color w:val="000000"/>
                <w:sz w:val="22"/>
              </w:rPr>
            </w:pPr>
            <w:r w:rsidRPr="00B74A55">
              <w:rPr>
                <w:color w:val="000000"/>
                <w:sz w:val="22"/>
              </w:rPr>
              <w:t>Сучасні комфортні та безпечні дитячі майданчики</w:t>
            </w:r>
            <w:r w:rsidR="00421D2C" w:rsidRPr="00B74A55">
              <w:rPr>
                <w:color w:val="000000"/>
                <w:sz w:val="22"/>
              </w:rPr>
              <w:t>.</w:t>
            </w:r>
            <w:r w:rsidRPr="00B74A55">
              <w:rPr>
                <w:color w:val="000000"/>
                <w:sz w:val="22"/>
              </w:rPr>
              <w:br/>
              <w:t>Можливості для активного відпочинку та фізичного розвитку дітей</w:t>
            </w:r>
            <w:r w:rsidR="00421D2C" w:rsidRPr="00B74A55">
              <w:rPr>
                <w:color w:val="000000"/>
                <w:sz w:val="22"/>
              </w:rPr>
              <w:t>.</w:t>
            </w:r>
            <w:r w:rsidRPr="00B74A55">
              <w:rPr>
                <w:color w:val="000000"/>
                <w:sz w:val="22"/>
              </w:rPr>
              <w:br/>
              <w:t>Створення спеціалізованого безпечного спортивного майданчику</w:t>
            </w:r>
            <w:r w:rsidR="00421D2C" w:rsidRPr="00B74A55">
              <w:rPr>
                <w:color w:val="000000"/>
                <w:sz w:val="22"/>
              </w:rPr>
              <w:t>.</w:t>
            </w:r>
            <w:r w:rsidRPr="00B74A55">
              <w:rPr>
                <w:color w:val="000000"/>
                <w:sz w:val="22"/>
              </w:rPr>
              <w:br/>
              <w:t xml:space="preserve">Запобігання травматизму внаслідок ям та </w:t>
            </w:r>
            <w:proofErr w:type="spellStart"/>
            <w:r w:rsidRPr="00B74A55">
              <w:rPr>
                <w:color w:val="000000"/>
                <w:sz w:val="22"/>
              </w:rPr>
              <w:t>тріщин</w:t>
            </w:r>
            <w:proofErr w:type="spellEnd"/>
            <w:r w:rsidRPr="00B74A55">
              <w:rPr>
                <w:color w:val="000000"/>
                <w:sz w:val="22"/>
              </w:rPr>
              <w:t xml:space="preserve"> на асфальтовому покритті шляхом відновлення покриття асфальтових доріжок</w:t>
            </w:r>
            <w:r w:rsidR="00421D2C" w:rsidRPr="00B74A55">
              <w:rPr>
                <w:color w:val="000000"/>
                <w:sz w:val="22"/>
              </w:rPr>
              <w:t>.</w:t>
            </w:r>
            <w:r w:rsidRPr="00B74A55">
              <w:rPr>
                <w:color w:val="000000"/>
                <w:sz w:val="22"/>
              </w:rPr>
              <w:br/>
              <w:t>Чисті, охайні та зелені території для відпочинку дітей</w:t>
            </w:r>
            <w:r w:rsidR="00421D2C" w:rsidRPr="00B74A55">
              <w:rPr>
                <w:color w:val="000000"/>
                <w:sz w:val="22"/>
              </w:rPr>
              <w:t>.</w:t>
            </w:r>
            <w:r w:rsidRPr="00B74A55">
              <w:rPr>
                <w:color w:val="000000"/>
                <w:sz w:val="22"/>
              </w:rPr>
              <w:br/>
              <w:t>Створення привабливого сучасного комфортного громадського простору, що відповідає стратегічним цілям розвитку територіальної громади.</w:t>
            </w:r>
          </w:p>
        </w:tc>
      </w:tr>
      <w:tr w:rsidR="00EA3771" w:rsidRPr="00B74A55" w:rsidTr="00EE75AB">
        <w:trPr>
          <w:trHeight w:val="845"/>
        </w:trPr>
        <w:tc>
          <w:tcPr>
            <w:tcW w:w="2835" w:type="dxa"/>
            <w:vMerge w:val="restart"/>
            <w:tcBorders>
              <w:top w:val="single" w:sz="6" w:space="0" w:color="auto"/>
              <w:left w:val="single" w:sz="6" w:space="0" w:color="auto"/>
              <w:right w:val="single" w:sz="6" w:space="0" w:color="auto"/>
            </w:tcBorders>
            <w:shd w:val="clear" w:color="00FFFF" w:fill="C6D9F1" w:themeFill="text2" w:themeFillTint="33"/>
          </w:tcPr>
          <w:p w:rsidR="00EA3771" w:rsidRPr="00B74A55" w:rsidRDefault="00EA3771" w:rsidP="00EE75AB">
            <w:pPr>
              <w:autoSpaceDE w:val="0"/>
              <w:autoSpaceDN w:val="0"/>
              <w:adjustRightInd w:val="0"/>
              <w:rPr>
                <w:rFonts w:eastAsia="Calibri"/>
                <w:b/>
                <w:color w:val="000000"/>
                <w:sz w:val="22"/>
              </w:rPr>
            </w:pPr>
            <w:r w:rsidRPr="00B74A55">
              <w:rPr>
                <w:rFonts w:eastAsia="Calibri"/>
                <w:b/>
                <w:color w:val="000000"/>
                <w:sz w:val="22"/>
              </w:rPr>
              <w:t>Очікувані кількісні результати від реалізації проекту  (індикатори)</w:t>
            </w:r>
          </w:p>
        </w:tc>
        <w:tc>
          <w:tcPr>
            <w:tcW w:w="3541" w:type="dxa"/>
            <w:gridSpan w:val="3"/>
            <w:tcBorders>
              <w:top w:val="single" w:sz="6" w:space="0" w:color="auto"/>
              <w:left w:val="single" w:sz="6" w:space="0" w:color="auto"/>
              <w:bottom w:val="single" w:sz="6" w:space="0" w:color="auto"/>
              <w:right w:val="single" w:sz="6" w:space="0" w:color="auto"/>
            </w:tcBorders>
          </w:tcPr>
          <w:p w:rsidR="00EA3771" w:rsidRPr="00B74A55" w:rsidRDefault="00EA3771" w:rsidP="00EE75AB">
            <w:pPr>
              <w:autoSpaceDE w:val="0"/>
              <w:autoSpaceDN w:val="0"/>
              <w:adjustRightInd w:val="0"/>
              <w:rPr>
                <w:rFonts w:eastAsia="Calibri"/>
                <w:b/>
                <w:color w:val="000000"/>
                <w:sz w:val="22"/>
              </w:rPr>
            </w:pPr>
            <w:r w:rsidRPr="00B74A55">
              <w:rPr>
                <w:rFonts w:eastAsia="Calibri"/>
                <w:b/>
                <w:color w:val="000000"/>
                <w:sz w:val="22"/>
              </w:rPr>
              <w:t>Найменування показника</w:t>
            </w:r>
          </w:p>
        </w:tc>
        <w:tc>
          <w:tcPr>
            <w:tcW w:w="1701" w:type="dxa"/>
            <w:gridSpan w:val="2"/>
            <w:tcBorders>
              <w:top w:val="single" w:sz="6" w:space="0" w:color="auto"/>
              <w:left w:val="single" w:sz="6" w:space="0" w:color="auto"/>
              <w:bottom w:val="single" w:sz="6" w:space="0" w:color="auto"/>
              <w:right w:val="single" w:sz="6" w:space="0" w:color="auto"/>
            </w:tcBorders>
          </w:tcPr>
          <w:p w:rsidR="00EA3771" w:rsidRPr="00B74A55" w:rsidRDefault="00EA3771" w:rsidP="00EE75AB">
            <w:pPr>
              <w:autoSpaceDE w:val="0"/>
              <w:autoSpaceDN w:val="0"/>
              <w:adjustRightInd w:val="0"/>
              <w:rPr>
                <w:rFonts w:eastAsia="Calibri"/>
                <w:b/>
                <w:color w:val="000000"/>
                <w:sz w:val="22"/>
              </w:rPr>
            </w:pPr>
            <w:r w:rsidRPr="00B74A55">
              <w:rPr>
                <w:rFonts w:eastAsia="Calibri"/>
                <w:b/>
                <w:color w:val="000000"/>
                <w:sz w:val="22"/>
              </w:rPr>
              <w:t>Одиниця вимірювання</w:t>
            </w:r>
          </w:p>
        </w:tc>
        <w:tc>
          <w:tcPr>
            <w:tcW w:w="1846" w:type="dxa"/>
            <w:gridSpan w:val="2"/>
            <w:tcBorders>
              <w:top w:val="single" w:sz="6" w:space="0" w:color="auto"/>
              <w:left w:val="single" w:sz="6" w:space="0" w:color="auto"/>
              <w:bottom w:val="single" w:sz="6" w:space="0" w:color="auto"/>
              <w:right w:val="single" w:sz="6" w:space="0" w:color="auto"/>
            </w:tcBorders>
          </w:tcPr>
          <w:p w:rsidR="00EA3771" w:rsidRPr="00B74A55" w:rsidRDefault="00EA3771" w:rsidP="00EE75AB">
            <w:pPr>
              <w:autoSpaceDE w:val="0"/>
              <w:autoSpaceDN w:val="0"/>
              <w:adjustRightInd w:val="0"/>
              <w:rPr>
                <w:rFonts w:eastAsia="Calibri"/>
                <w:b/>
                <w:color w:val="000000"/>
                <w:sz w:val="22"/>
              </w:rPr>
            </w:pPr>
            <w:r w:rsidRPr="00B74A55">
              <w:rPr>
                <w:rFonts w:eastAsia="Calibri"/>
                <w:b/>
                <w:color w:val="000000"/>
                <w:sz w:val="22"/>
              </w:rPr>
              <w:t>Прогнозне (цільове) значення</w:t>
            </w:r>
          </w:p>
        </w:tc>
      </w:tr>
      <w:tr w:rsidR="00EA3771" w:rsidRPr="00B74A55" w:rsidTr="00EE75AB">
        <w:trPr>
          <w:trHeight w:val="1172"/>
        </w:trPr>
        <w:tc>
          <w:tcPr>
            <w:tcW w:w="2835" w:type="dxa"/>
            <w:vMerge/>
            <w:tcBorders>
              <w:left w:val="single" w:sz="6" w:space="0" w:color="auto"/>
              <w:bottom w:val="single" w:sz="6" w:space="0" w:color="auto"/>
              <w:right w:val="single" w:sz="6" w:space="0" w:color="auto"/>
            </w:tcBorders>
            <w:shd w:val="clear" w:color="00FFFF" w:fill="C6D9F1" w:themeFill="text2" w:themeFillTint="33"/>
          </w:tcPr>
          <w:p w:rsidR="00EA3771" w:rsidRPr="00B74A55" w:rsidRDefault="00EA3771" w:rsidP="00EE75AB">
            <w:pPr>
              <w:autoSpaceDE w:val="0"/>
              <w:autoSpaceDN w:val="0"/>
              <w:adjustRightInd w:val="0"/>
              <w:rPr>
                <w:rFonts w:eastAsia="Calibri"/>
                <w:b/>
                <w:color w:val="000000"/>
                <w:sz w:val="22"/>
              </w:rPr>
            </w:pPr>
          </w:p>
        </w:tc>
        <w:tc>
          <w:tcPr>
            <w:tcW w:w="3541" w:type="dxa"/>
            <w:gridSpan w:val="3"/>
            <w:tcBorders>
              <w:top w:val="single" w:sz="6" w:space="0" w:color="auto"/>
              <w:left w:val="single" w:sz="6" w:space="0" w:color="auto"/>
              <w:bottom w:val="single" w:sz="6" w:space="0" w:color="auto"/>
              <w:right w:val="single" w:sz="6" w:space="0" w:color="auto"/>
            </w:tcBorders>
          </w:tcPr>
          <w:p w:rsidR="00EA3771" w:rsidRPr="00B74A55" w:rsidRDefault="00EA3771" w:rsidP="00EE75AB">
            <w:pPr>
              <w:rPr>
                <w:i/>
                <w:sz w:val="22"/>
              </w:rPr>
            </w:pPr>
            <w:r w:rsidRPr="00B74A55">
              <w:rPr>
                <w:sz w:val="22"/>
              </w:rPr>
              <w:t>1.Зниження травматизму у дітей дошкільного віку</w:t>
            </w:r>
          </w:p>
          <w:p w:rsidR="00EA3771" w:rsidRPr="00B74A55" w:rsidRDefault="00EA3771" w:rsidP="00EE75AB">
            <w:pPr>
              <w:autoSpaceDE w:val="0"/>
              <w:autoSpaceDN w:val="0"/>
              <w:adjustRightInd w:val="0"/>
              <w:rPr>
                <w:rFonts w:eastAsia="Calibri"/>
                <w:color w:val="000000"/>
                <w:sz w:val="22"/>
              </w:rPr>
            </w:pPr>
            <w:r w:rsidRPr="00B74A55">
              <w:rPr>
                <w:rFonts w:eastAsia="Calibri"/>
                <w:color w:val="000000"/>
                <w:sz w:val="22"/>
              </w:rPr>
              <w:t>2.Термін надання послуги.</w:t>
            </w:r>
          </w:p>
        </w:tc>
        <w:tc>
          <w:tcPr>
            <w:tcW w:w="1701" w:type="dxa"/>
            <w:gridSpan w:val="2"/>
            <w:tcBorders>
              <w:top w:val="single" w:sz="6" w:space="0" w:color="auto"/>
              <w:left w:val="single" w:sz="6" w:space="0" w:color="auto"/>
              <w:bottom w:val="single" w:sz="6" w:space="0" w:color="auto"/>
              <w:right w:val="single" w:sz="6" w:space="0" w:color="auto"/>
            </w:tcBorders>
          </w:tcPr>
          <w:p w:rsidR="00EA3771" w:rsidRPr="00B74A55" w:rsidRDefault="00EA3771" w:rsidP="00EE75AB">
            <w:pPr>
              <w:rPr>
                <w:rFonts w:eastAsia="Calibri"/>
                <w:sz w:val="22"/>
              </w:rPr>
            </w:pPr>
            <w:r w:rsidRPr="00B74A55">
              <w:rPr>
                <w:sz w:val="22"/>
              </w:rPr>
              <w:t>осіб</w:t>
            </w:r>
          </w:p>
          <w:p w:rsidR="00EA3771" w:rsidRPr="00B74A55" w:rsidRDefault="00EA3771" w:rsidP="00EE75AB">
            <w:pPr>
              <w:rPr>
                <w:rFonts w:eastAsia="Calibri"/>
                <w:sz w:val="22"/>
              </w:rPr>
            </w:pPr>
          </w:p>
          <w:p w:rsidR="00EA3771" w:rsidRPr="00B74A55" w:rsidRDefault="00EA3771" w:rsidP="00EE75AB">
            <w:pPr>
              <w:rPr>
                <w:rFonts w:eastAsia="Calibri"/>
                <w:sz w:val="22"/>
              </w:rPr>
            </w:pPr>
            <w:r w:rsidRPr="00B74A55">
              <w:rPr>
                <w:rFonts w:eastAsia="Calibri"/>
                <w:sz w:val="22"/>
              </w:rPr>
              <w:t>день в місяці</w:t>
            </w:r>
          </w:p>
        </w:tc>
        <w:tc>
          <w:tcPr>
            <w:tcW w:w="1846" w:type="dxa"/>
            <w:gridSpan w:val="2"/>
            <w:tcBorders>
              <w:top w:val="single" w:sz="6" w:space="0" w:color="auto"/>
              <w:left w:val="single" w:sz="6" w:space="0" w:color="auto"/>
              <w:bottom w:val="single" w:sz="6" w:space="0" w:color="auto"/>
              <w:right w:val="single" w:sz="6" w:space="0" w:color="auto"/>
            </w:tcBorders>
          </w:tcPr>
          <w:p w:rsidR="00EA3771" w:rsidRPr="00B74A55" w:rsidRDefault="00EA3771" w:rsidP="00EE75AB">
            <w:pPr>
              <w:autoSpaceDE w:val="0"/>
              <w:autoSpaceDN w:val="0"/>
              <w:adjustRightInd w:val="0"/>
              <w:rPr>
                <w:rFonts w:eastAsia="Calibri"/>
                <w:sz w:val="22"/>
              </w:rPr>
            </w:pPr>
            <w:r w:rsidRPr="00B74A55">
              <w:rPr>
                <w:sz w:val="22"/>
              </w:rPr>
              <w:t>250</w:t>
            </w:r>
          </w:p>
          <w:p w:rsidR="00EA3771" w:rsidRPr="00B74A55" w:rsidRDefault="00EA3771" w:rsidP="00EE75AB">
            <w:pPr>
              <w:rPr>
                <w:rFonts w:eastAsia="Calibri"/>
                <w:sz w:val="22"/>
              </w:rPr>
            </w:pPr>
          </w:p>
          <w:p w:rsidR="00EA3771" w:rsidRPr="00B74A55" w:rsidRDefault="00EA3771" w:rsidP="00EE75AB">
            <w:pPr>
              <w:rPr>
                <w:rFonts w:eastAsia="Calibri"/>
                <w:sz w:val="22"/>
              </w:rPr>
            </w:pPr>
            <w:r w:rsidRPr="00B74A55">
              <w:rPr>
                <w:rFonts w:eastAsia="Calibri"/>
                <w:sz w:val="22"/>
              </w:rPr>
              <w:t>23</w:t>
            </w:r>
          </w:p>
        </w:tc>
      </w:tr>
      <w:tr w:rsidR="00EA3771" w:rsidRPr="00B74A55" w:rsidTr="00EE75AB">
        <w:trPr>
          <w:trHeight w:val="835"/>
        </w:trPr>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A3771" w:rsidRPr="00B74A55" w:rsidRDefault="00EA3771" w:rsidP="00EE75AB">
            <w:pPr>
              <w:autoSpaceDE w:val="0"/>
              <w:autoSpaceDN w:val="0"/>
              <w:adjustRightInd w:val="0"/>
              <w:rPr>
                <w:rFonts w:eastAsia="Calibri"/>
                <w:b/>
                <w:color w:val="000000"/>
                <w:sz w:val="22"/>
              </w:rPr>
            </w:pPr>
            <w:r w:rsidRPr="00B74A55">
              <w:rPr>
                <w:rFonts w:eastAsia="Calibri"/>
                <w:b/>
                <w:color w:val="000000"/>
                <w:sz w:val="22"/>
              </w:rPr>
              <w:t>Ключові заходи проекту:</w:t>
            </w:r>
          </w:p>
        </w:tc>
        <w:tc>
          <w:tcPr>
            <w:tcW w:w="7088" w:type="dxa"/>
            <w:gridSpan w:val="7"/>
            <w:tcBorders>
              <w:top w:val="single" w:sz="6" w:space="0" w:color="auto"/>
              <w:left w:val="single" w:sz="6" w:space="0" w:color="auto"/>
              <w:bottom w:val="single" w:sz="6" w:space="0" w:color="auto"/>
              <w:right w:val="single" w:sz="6" w:space="0" w:color="auto"/>
            </w:tcBorders>
          </w:tcPr>
          <w:p w:rsidR="00EA3771" w:rsidRPr="00B74A55" w:rsidRDefault="00EA3771" w:rsidP="00EE75AB">
            <w:pPr>
              <w:rPr>
                <w:color w:val="000000"/>
                <w:sz w:val="22"/>
              </w:rPr>
            </w:pPr>
            <w:r w:rsidRPr="00B74A55">
              <w:rPr>
                <w:color w:val="000000"/>
                <w:sz w:val="22"/>
              </w:rPr>
              <w:t>1</w:t>
            </w:r>
            <w:r w:rsidR="00421D2C" w:rsidRPr="00B74A55">
              <w:rPr>
                <w:color w:val="000000"/>
                <w:sz w:val="22"/>
              </w:rPr>
              <w:t>.</w:t>
            </w:r>
            <w:r w:rsidRPr="00B74A55">
              <w:rPr>
                <w:color w:val="000000"/>
                <w:sz w:val="22"/>
              </w:rPr>
              <w:t xml:space="preserve">Створення нових спортивного </w:t>
            </w:r>
            <w:r w:rsidR="00421D2C" w:rsidRPr="00B74A55">
              <w:rPr>
                <w:color w:val="000000"/>
                <w:sz w:val="22"/>
              </w:rPr>
              <w:t>та</w:t>
            </w:r>
            <w:r w:rsidRPr="00B74A55">
              <w:rPr>
                <w:color w:val="000000"/>
                <w:sz w:val="22"/>
              </w:rPr>
              <w:t xml:space="preserve"> ігрових майданчиків (14 </w:t>
            </w:r>
            <w:proofErr w:type="spellStart"/>
            <w:r w:rsidRPr="00B74A55">
              <w:rPr>
                <w:color w:val="000000"/>
                <w:sz w:val="22"/>
              </w:rPr>
              <w:t>шт</w:t>
            </w:r>
            <w:proofErr w:type="spellEnd"/>
            <w:r w:rsidRPr="00B74A55">
              <w:rPr>
                <w:color w:val="000000"/>
                <w:sz w:val="22"/>
              </w:rPr>
              <w:t xml:space="preserve">). </w:t>
            </w:r>
          </w:p>
          <w:p w:rsidR="00EA3771" w:rsidRPr="00B74A55" w:rsidRDefault="00EA3771" w:rsidP="00EE75AB">
            <w:pPr>
              <w:rPr>
                <w:color w:val="000000"/>
                <w:sz w:val="22"/>
              </w:rPr>
            </w:pPr>
            <w:r w:rsidRPr="00B74A55">
              <w:rPr>
                <w:color w:val="000000"/>
                <w:sz w:val="22"/>
              </w:rPr>
              <w:t>2</w:t>
            </w:r>
            <w:r w:rsidR="00421D2C" w:rsidRPr="00B74A55">
              <w:rPr>
                <w:color w:val="000000"/>
                <w:sz w:val="22"/>
              </w:rPr>
              <w:t>.</w:t>
            </w:r>
            <w:r w:rsidRPr="00B74A55">
              <w:rPr>
                <w:color w:val="000000"/>
                <w:sz w:val="22"/>
              </w:rPr>
              <w:t xml:space="preserve">Ремонт і модернізація існуючих майданчиків(14 шт.) </w:t>
            </w:r>
          </w:p>
          <w:p w:rsidR="00EA3771" w:rsidRPr="00B74A55" w:rsidRDefault="00EA3771" w:rsidP="00EE75AB">
            <w:pPr>
              <w:rPr>
                <w:color w:val="000000"/>
                <w:sz w:val="22"/>
              </w:rPr>
            </w:pPr>
            <w:r w:rsidRPr="00B74A55">
              <w:rPr>
                <w:color w:val="000000"/>
                <w:sz w:val="22"/>
              </w:rPr>
              <w:t>3</w:t>
            </w:r>
            <w:r w:rsidR="00421D2C" w:rsidRPr="00B74A55">
              <w:rPr>
                <w:color w:val="000000"/>
                <w:sz w:val="22"/>
              </w:rPr>
              <w:t>.</w:t>
            </w:r>
            <w:r w:rsidRPr="00B74A55">
              <w:rPr>
                <w:color w:val="000000"/>
                <w:sz w:val="22"/>
              </w:rPr>
              <w:t xml:space="preserve">Розчистка рослин, що розрослися, обрізка старих, небезпечних дерев, насадження нових рослин(600 </w:t>
            </w:r>
            <w:proofErr w:type="spellStart"/>
            <w:r w:rsidRPr="00B74A55">
              <w:rPr>
                <w:color w:val="000000"/>
                <w:sz w:val="22"/>
              </w:rPr>
              <w:t>кв.м</w:t>
            </w:r>
            <w:proofErr w:type="spellEnd"/>
            <w:r w:rsidRPr="00B74A55">
              <w:rPr>
                <w:color w:val="000000"/>
                <w:sz w:val="22"/>
              </w:rPr>
              <w:t xml:space="preserve">)  </w:t>
            </w:r>
          </w:p>
          <w:p w:rsidR="00EA3771" w:rsidRPr="00B74A55" w:rsidRDefault="00EA3771" w:rsidP="00EE75AB">
            <w:pPr>
              <w:rPr>
                <w:color w:val="000000"/>
                <w:sz w:val="22"/>
              </w:rPr>
            </w:pPr>
            <w:r w:rsidRPr="00B74A55">
              <w:rPr>
                <w:color w:val="000000"/>
                <w:sz w:val="22"/>
              </w:rPr>
              <w:t>4</w:t>
            </w:r>
            <w:r w:rsidR="00421D2C" w:rsidRPr="00B74A55">
              <w:rPr>
                <w:color w:val="000000"/>
                <w:sz w:val="22"/>
              </w:rPr>
              <w:t>.</w:t>
            </w:r>
            <w:r w:rsidRPr="00B74A55">
              <w:rPr>
                <w:color w:val="000000"/>
                <w:sz w:val="22"/>
              </w:rPr>
              <w:t xml:space="preserve">Ремонт та модернізація зовнішнього освітлення(12 шт.) </w:t>
            </w:r>
          </w:p>
          <w:p w:rsidR="00EA3771" w:rsidRPr="00B74A55" w:rsidRDefault="00EA3771" w:rsidP="00421D2C">
            <w:pPr>
              <w:jc w:val="left"/>
              <w:rPr>
                <w:rFonts w:eastAsia="Calibri"/>
                <w:color w:val="FF0000"/>
                <w:sz w:val="22"/>
              </w:rPr>
            </w:pPr>
            <w:r w:rsidRPr="00B74A55">
              <w:rPr>
                <w:color w:val="000000"/>
                <w:sz w:val="22"/>
              </w:rPr>
              <w:t>5</w:t>
            </w:r>
            <w:r w:rsidR="00421D2C" w:rsidRPr="00B74A55">
              <w:rPr>
                <w:color w:val="000000"/>
                <w:sz w:val="22"/>
              </w:rPr>
              <w:t>.</w:t>
            </w:r>
            <w:r w:rsidRPr="00B74A55">
              <w:rPr>
                <w:color w:val="000000"/>
                <w:sz w:val="22"/>
              </w:rPr>
              <w:t xml:space="preserve">Асфальтове покриття(500 </w:t>
            </w:r>
            <w:proofErr w:type="spellStart"/>
            <w:r w:rsidRPr="00B74A55">
              <w:rPr>
                <w:color w:val="000000"/>
                <w:sz w:val="22"/>
              </w:rPr>
              <w:t>кв.</w:t>
            </w:r>
            <w:r w:rsidR="00421D2C" w:rsidRPr="00B74A55">
              <w:rPr>
                <w:color w:val="000000"/>
                <w:sz w:val="22"/>
              </w:rPr>
              <w:t>м</w:t>
            </w:r>
            <w:proofErr w:type="spellEnd"/>
            <w:r w:rsidR="00421D2C" w:rsidRPr="00B74A55">
              <w:rPr>
                <w:color w:val="000000"/>
                <w:sz w:val="22"/>
              </w:rPr>
              <w:t>).</w:t>
            </w:r>
            <w:r w:rsidR="00421D2C" w:rsidRPr="00B74A55">
              <w:rPr>
                <w:color w:val="000000"/>
                <w:sz w:val="22"/>
              </w:rPr>
              <w:br/>
            </w:r>
            <w:r w:rsidRPr="00B74A55">
              <w:rPr>
                <w:rFonts w:eastAsia="Arial"/>
                <w:sz w:val="22"/>
              </w:rPr>
              <w:t>Для відбудови та сталого розвитку громади потрібне відновлення роботи Ясел-садка. Мешканці громади потребують отримання якісних навчальних послуг, які відповідають нормам сучасності.</w:t>
            </w:r>
          </w:p>
        </w:tc>
      </w:tr>
      <w:tr w:rsidR="00EA3771" w:rsidRPr="00B74A55" w:rsidTr="00EE75AB">
        <w:trPr>
          <w:trHeight w:val="570"/>
        </w:trPr>
        <w:tc>
          <w:tcPr>
            <w:tcW w:w="2835" w:type="dxa"/>
            <w:vMerge w:val="restart"/>
            <w:tcBorders>
              <w:top w:val="single" w:sz="6" w:space="0" w:color="auto"/>
              <w:left w:val="single" w:sz="6" w:space="0" w:color="auto"/>
              <w:right w:val="single" w:sz="6" w:space="0" w:color="auto"/>
            </w:tcBorders>
            <w:shd w:val="clear" w:color="00FFFF" w:fill="C6D9F1" w:themeFill="text2" w:themeFillTint="33"/>
          </w:tcPr>
          <w:p w:rsidR="00EA3771" w:rsidRPr="00B74A55" w:rsidRDefault="00EA3771" w:rsidP="00EE75AB">
            <w:pPr>
              <w:autoSpaceDE w:val="0"/>
              <w:autoSpaceDN w:val="0"/>
              <w:adjustRightInd w:val="0"/>
              <w:rPr>
                <w:rFonts w:eastAsia="Calibri"/>
                <w:b/>
                <w:color w:val="000000"/>
                <w:sz w:val="22"/>
              </w:rPr>
            </w:pPr>
            <w:r w:rsidRPr="00B74A55">
              <w:rPr>
                <w:rFonts w:eastAsia="Calibri"/>
                <w:b/>
                <w:color w:val="000000"/>
                <w:sz w:val="22"/>
              </w:rPr>
              <w:t>Орієнтовний обсяг та джерела фінансування тис. гривень</w:t>
            </w:r>
          </w:p>
        </w:tc>
        <w:tc>
          <w:tcPr>
            <w:tcW w:w="1276" w:type="dxa"/>
            <w:vMerge w:val="restart"/>
            <w:tcBorders>
              <w:top w:val="single" w:sz="6" w:space="0" w:color="auto"/>
              <w:left w:val="single" w:sz="6" w:space="0" w:color="auto"/>
              <w:bottom w:val="single" w:sz="6" w:space="0" w:color="auto"/>
              <w:right w:val="single" w:sz="6" w:space="0" w:color="auto"/>
            </w:tcBorders>
          </w:tcPr>
          <w:p w:rsidR="00EA3771" w:rsidRPr="00B74A55" w:rsidRDefault="00EA3771" w:rsidP="00EE75AB">
            <w:pPr>
              <w:autoSpaceDE w:val="0"/>
              <w:autoSpaceDN w:val="0"/>
              <w:adjustRightInd w:val="0"/>
              <w:rPr>
                <w:rFonts w:eastAsia="Calibri"/>
                <w:color w:val="000000"/>
                <w:sz w:val="22"/>
              </w:rPr>
            </w:pPr>
            <w:r w:rsidRPr="00B74A55">
              <w:rPr>
                <w:rFonts w:eastAsia="Calibri"/>
                <w:color w:val="000000"/>
                <w:sz w:val="22"/>
              </w:rPr>
              <w:t>Державний бюджет</w:t>
            </w:r>
          </w:p>
        </w:tc>
        <w:tc>
          <w:tcPr>
            <w:tcW w:w="1134" w:type="dxa"/>
            <w:vMerge w:val="restart"/>
            <w:tcBorders>
              <w:top w:val="single" w:sz="6" w:space="0" w:color="auto"/>
              <w:left w:val="single" w:sz="6" w:space="0" w:color="auto"/>
              <w:right w:val="single" w:sz="6" w:space="0" w:color="auto"/>
            </w:tcBorders>
          </w:tcPr>
          <w:p w:rsidR="00EA3771" w:rsidRPr="00B74A55" w:rsidRDefault="00EA3771" w:rsidP="00EE75AB">
            <w:pPr>
              <w:autoSpaceDE w:val="0"/>
              <w:autoSpaceDN w:val="0"/>
              <w:adjustRightInd w:val="0"/>
              <w:rPr>
                <w:rFonts w:eastAsia="Calibri"/>
                <w:color w:val="000000"/>
                <w:sz w:val="22"/>
              </w:rPr>
            </w:pPr>
            <w:r w:rsidRPr="00B74A55">
              <w:rPr>
                <w:rFonts w:eastAsia="Calibri"/>
                <w:color w:val="000000"/>
                <w:sz w:val="22"/>
              </w:rPr>
              <w:t>Місцевий бюджет</w:t>
            </w:r>
          </w:p>
        </w:tc>
        <w:tc>
          <w:tcPr>
            <w:tcW w:w="3261" w:type="dxa"/>
            <w:gridSpan w:val="4"/>
            <w:tcBorders>
              <w:top w:val="single" w:sz="6" w:space="0" w:color="auto"/>
              <w:left w:val="single" w:sz="6" w:space="0" w:color="auto"/>
              <w:bottom w:val="single" w:sz="6" w:space="0" w:color="auto"/>
              <w:right w:val="single" w:sz="6" w:space="0" w:color="auto"/>
            </w:tcBorders>
          </w:tcPr>
          <w:p w:rsidR="00EA3771" w:rsidRPr="00B74A55" w:rsidRDefault="00EA3771" w:rsidP="00EE75AB">
            <w:pPr>
              <w:autoSpaceDE w:val="0"/>
              <w:autoSpaceDN w:val="0"/>
              <w:adjustRightInd w:val="0"/>
              <w:rPr>
                <w:rFonts w:eastAsia="Calibri"/>
                <w:color w:val="000000"/>
                <w:sz w:val="22"/>
              </w:rPr>
            </w:pPr>
            <w:r w:rsidRPr="00B74A55">
              <w:rPr>
                <w:rFonts w:eastAsia="Calibri"/>
                <w:color w:val="000000"/>
                <w:sz w:val="22"/>
              </w:rPr>
              <w:t>Інші джерела</w:t>
            </w:r>
          </w:p>
        </w:tc>
        <w:tc>
          <w:tcPr>
            <w:tcW w:w="1417" w:type="dxa"/>
            <w:vMerge w:val="restart"/>
            <w:tcBorders>
              <w:top w:val="single" w:sz="6" w:space="0" w:color="auto"/>
              <w:left w:val="single" w:sz="6" w:space="0" w:color="auto"/>
              <w:right w:val="single" w:sz="6" w:space="0" w:color="auto"/>
            </w:tcBorders>
          </w:tcPr>
          <w:p w:rsidR="00EA3771" w:rsidRPr="00B74A55" w:rsidRDefault="00EA3771" w:rsidP="00EE75AB">
            <w:pPr>
              <w:autoSpaceDE w:val="0"/>
              <w:autoSpaceDN w:val="0"/>
              <w:adjustRightInd w:val="0"/>
              <w:rPr>
                <w:rFonts w:eastAsia="Calibri"/>
                <w:color w:val="000000"/>
                <w:sz w:val="22"/>
              </w:rPr>
            </w:pPr>
            <w:r w:rsidRPr="00B74A55">
              <w:rPr>
                <w:rFonts w:eastAsia="Calibri"/>
                <w:color w:val="000000"/>
                <w:sz w:val="22"/>
              </w:rPr>
              <w:t>Всього</w:t>
            </w:r>
          </w:p>
        </w:tc>
      </w:tr>
      <w:tr w:rsidR="00EA3771" w:rsidRPr="00B74A55" w:rsidTr="00EE75AB">
        <w:trPr>
          <w:trHeight w:val="62"/>
        </w:trPr>
        <w:tc>
          <w:tcPr>
            <w:tcW w:w="2835" w:type="dxa"/>
            <w:vMerge/>
            <w:tcBorders>
              <w:left w:val="single" w:sz="6" w:space="0" w:color="auto"/>
              <w:right w:val="single" w:sz="6" w:space="0" w:color="auto"/>
            </w:tcBorders>
            <w:shd w:val="clear" w:color="00FFFF" w:fill="C6D9F1" w:themeFill="text2" w:themeFillTint="33"/>
          </w:tcPr>
          <w:p w:rsidR="00EA3771" w:rsidRPr="00B74A55" w:rsidRDefault="00EA3771" w:rsidP="00EE75AB">
            <w:pPr>
              <w:autoSpaceDE w:val="0"/>
              <w:autoSpaceDN w:val="0"/>
              <w:adjustRightInd w:val="0"/>
              <w:rPr>
                <w:rFonts w:eastAsia="Calibri"/>
                <w:b/>
                <w:color w:val="000000"/>
                <w:sz w:val="22"/>
              </w:rPr>
            </w:pPr>
          </w:p>
        </w:tc>
        <w:tc>
          <w:tcPr>
            <w:tcW w:w="1276" w:type="dxa"/>
            <w:vMerge/>
            <w:tcBorders>
              <w:top w:val="single" w:sz="6" w:space="0" w:color="auto"/>
              <w:left w:val="single" w:sz="6" w:space="0" w:color="auto"/>
              <w:bottom w:val="single" w:sz="6" w:space="0" w:color="auto"/>
              <w:right w:val="single" w:sz="6" w:space="0" w:color="auto"/>
            </w:tcBorders>
          </w:tcPr>
          <w:p w:rsidR="00EA3771" w:rsidRPr="00B74A55" w:rsidRDefault="00EA3771" w:rsidP="00EE75AB">
            <w:pPr>
              <w:autoSpaceDE w:val="0"/>
              <w:autoSpaceDN w:val="0"/>
              <w:adjustRightInd w:val="0"/>
              <w:rPr>
                <w:rFonts w:eastAsia="Calibri"/>
                <w:color w:val="000000"/>
                <w:sz w:val="22"/>
              </w:rPr>
            </w:pPr>
          </w:p>
        </w:tc>
        <w:tc>
          <w:tcPr>
            <w:tcW w:w="1134" w:type="dxa"/>
            <w:vMerge/>
            <w:tcBorders>
              <w:left w:val="single" w:sz="6" w:space="0" w:color="auto"/>
              <w:bottom w:val="single" w:sz="6" w:space="0" w:color="auto"/>
              <w:right w:val="single" w:sz="6" w:space="0" w:color="auto"/>
            </w:tcBorders>
          </w:tcPr>
          <w:p w:rsidR="00EA3771" w:rsidRPr="00B74A55" w:rsidRDefault="00EA3771" w:rsidP="00EE75AB">
            <w:pPr>
              <w:autoSpaceDE w:val="0"/>
              <w:autoSpaceDN w:val="0"/>
              <w:adjustRightInd w:val="0"/>
              <w:rPr>
                <w:rFonts w:eastAsia="Calibri"/>
                <w:color w:val="000000"/>
                <w:sz w:val="22"/>
              </w:rPr>
            </w:pPr>
          </w:p>
        </w:tc>
        <w:tc>
          <w:tcPr>
            <w:tcW w:w="1301" w:type="dxa"/>
            <w:gridSpan w:val="2"/>
            <w:tcBorders>
              <w:top w:val="single" w:sz="6" w:space="0" w:color="auto"/>
              <w:left w:val="single" w:sz="6" w:space="0" w:color="auto"/>
              <w:bottom w:val="single" w:sz="6" w:space="0" w:color="auto"/>
              <w:right w:val="single" w:sz="6" w:space="0" w:color="auto"/>
            </w:tcBorders>
          </w:tcPr>
          <w:p w:rsidR="00EA3771" w:rsidRPr="00B74A55" w:rsidRDefault="00EA3771" w:rsidP="00EE75AB">
            <w:pPr>
              <w:autoSpaceDE w:val="0"/>
              <w:autoSpaceDN w:val="0"/>
              <w:adjustRightInd w:val="0"/>
              <w:rPr>
                <w:rFonts w:eastAsia="Calibri"/>
                <w:color w:val="000000"/>
                <w:sz w:val="22"/>
              </w:rPr>
            </w:pPr>
            <w:r w:rsidRPr="00B74A55">
              <w:rPr>
                <w:rFonts w:eastAsia="Calibri"/>
                <w:color w:val="000000"/>
                <w:sz w:val="22"/>
              </w:rPr>
              <w:t>Обсяг</w:t>
            </w:r>
          </w:p>
        </w:tc>
        <w:tc>
          <w:tcPr>
            <w:tcW w:w="1960" w:type="dxa"/>
            <w:gridSpan w:val="2"/>
            <w:tcBorders>
              <w:top w:val="single" w:sz="6" w:space="0" w:color="auto"/>
              <w:left w:val="single" w:sz="6" w:space="0" w:color="auto"/>
              <w:bottom w:val="single" w:sz="6" w:space="0" w:color="auto"/>
              <w:right w:val="single" w:sz="6" w:space="0" w:color="auto"/>
            </w:tcBorders>
          </w:tcPr>
          <w:p w:rsidR="00EA3771" w:rsidRPr="00B74A55" w:rsidRDefault="00EA3771" w:rsidP="00EE75AB">
            <w:pPr>
              <w:autoSpaceDE w:val="0"/>
              <w:autoSpaceDN w:val="0"/>
              <w:adjustRightInd w:val="0"/>
              <w:rPr>
                <w:rFonts w:eastAsia="Calibri"/>
                <w:color w:val="000000"/>
                <w:sz w:val="22"/>
              </w:rPr>
            </w:pPr>
            <w:r w:rsidRPr="00B74A55">
              <w:rPr>
                <w:rFonts w:eastAsia="Calibri"/>
                <w:color w:val="000000"/>
                <w:sz w:val="22"/>
              </w:rPr>
              <w:t>Назва джерела</w:t>
            </w:r>
          </w:p>
        </w:tc>
        <w:tc>
          <w:tcPr>
            <w:tcW w:w="1417" w:type="dxa"/>
            <w:vMerge/>
            <w:tcBorders>
              <w:left w:val="single" w:sz="6" w:space="0" w:color="auto"/>
              <w:bottom w:val="single" w:sz="6" w:space="0" w:color="auto"/>
              <w:right w:val="single" w:sz="6" w:space="0" w:color="auto"/>
            </w:tcBorders>
          </w:tcPr>
          <w:p w:rsidR="00EA3771" w:rsidRPr="00B74A55" w:rsidRDefault="00EA3771" w:rsidP="00EE75AB">
            <w:pPr>
              <w:autoSpaceDE w:val="0"/>
              <w:autoSpaceDN w:val="0"/>
              <w:adjustRightInd w:val="0"/>
              <w:rPr>
                <w:rFonts w:eastAsia="Calibri"/>
                <w:color w:val="000000"/>
                <w:sz w:val="22"/>
              </w:rPr>
            </w:pPr>
          </w:p>
        </w:tc>
      </w:tr>
      <w:tr w:rsidR="00EA3771" w:rsidRPr="00B74A55" w:rsidTr="00EE75AB">
        <w:trPr>
          <w:trHeight w:val="816"/>
        </w:trPr>
        <w:tc>
          <w:tcPr>
            <w:tcW w:w="2835" w:type="dxa"/>
            <w:vMerge/>
            <w:tcBorders>
              <w:left w:val="single" w:sz="6" w:space="0" w:color="auto"/>
              <w:bottom w:val="single" w:sz="6" w:space="0" w:color="auto"/>
              <w:right w:val="single" w:sz="6" w:space="0" w:color="auto"/>
            </w:tcBorders>
            <w:shd w:val="clear" w:color="00FFFF" w:fill="C6D9F1" w:themeFill="text2" w:themeFillTint="33"/>
          </w:tcPr>
          <w:p w:rsidR="00EA3771" w:rsidRPr="00B74A55" w:rsidRDefault="00EA3771" w:rsidP="00EE75AB">
            <w:pPr>
              <w:autoSpaceDE w:val="0"/>
              <w:autoSpaceDN w:val="0"/>
              <w:adjustRightInd w:val="0"/>
              <w:rPr>
                <w:rFonts w:eastAsia="Calibri"/>
                <w:b/>
                <w:color w:val="000000"/>
                <w:sz w:val="22"/>
              </w:rPr>
            </w:pPr>
          </w:p>
        </w:tc>
        <w:tc>
          <w:tcPr>
            <w:tcW w:w="1276" w:type="dxa"/>
            <w:tcBorders>
              <w:top w:val="single" w:sz="6" w:space="0" w:color="auto"/>
              <w:left w:val="single" w:sz="6" w:space="0" w:color="auto"/>
              <w:bottom w:val="single" w:sz="6" w:space="0" w:color="auto"/>
              <w:right w:val="single" w:sz="6" w:space="0" w:color="auto"/>
            </w:tcBorders>
          </w:tcPr>
          <w:p w:rsidR="00EA3771" w:rsidRPr="00B74A55" w:rsidRDefault="00EA3771" w:rsidP="00EE75AB">
            <w:pPr>
              <w:rPr>
                <w:sz w:val="22"/>
              </w:rPr>
            </w:pPr>
            <w:r w:rsidRPr="00B74A55">
              <w:rPr>
                <w:sz w:val="22"/>
              </w:rPr>
              <w:t>6 000,0</w:t>
            </w:r>
          </w:p>
          <w:p w:rsidR="00EA3771" w:rsidRPr="00B74A55" w:rsidRDefault="00EA3771" w:rsidP="00EE75AB">
            <w:pPr>
              <w:rPr>
                <w:rFonts w:eastAsia="Calibri"/>
                <w:color w:val="000000"/>
                <w:sz w:val="22"/>
              </w:rPr>
            </w:pPr>
          </w:p>
        </w:tc>
        <w:tc>
          <w:tcPr>
            <w:tcW w:w="1134" w:type="dxa"/>
            <w:tcBorders>
              <w:top w:val="single" w:sz="6" w:space="0" w:color="auto"/>
              <w:left w:val="single" w:sz="6" w:space="0" w:color="auto"/>
              <w:bottom w:val="single" w:sz="6" w:space="0" w:color="auto"/>
              <w:right w:val="single" w:sz="6" w:space="0" w:color="auto"/>
            </w:tcBorders>
          </w:tcPr>
          <w:p w:rsidR="00EA3771" w:rsidRPr="00B74A55" w:rsidRDefault="00EA3771" w:rsidP="00EE75AB">
            <w:pPr>
              <w:autoSpaceDE w:val="0"/>
              <w:autoSpaceDN w:val="0"/>
              <w:adjustRightInd w:val="0"/>
              <w:rPr>
                <w:rFonts w:eastAsia="Calibri"/>
                <w:color w:val="000000"/>
                <w:sz w:val="22"/>
              </w:rPr>
            </w:pPr>
          </w:p>
        </w:tc>
        <w:tc>
          <w:tcPr>
            <w:tcW w:w="1301" w:type="dxa"/>
            <w:gridSpan w:val="2"/>
            <w:tcBorders>
              <w:top w:val="single" w:sz="6" w:space="0" w:color="auto"/>
              <w:left w:val="single" w:sz="6" w:space="0" w:color="auto"/>
              <w:bottom w:val="single" w:sz="6" w:space="0" w:color="auto"/>
              <w:right w:val="single" w:sz="6" w:space="0" w:color="auto"/>
            </w:tcBorders>
          </w:tcPr>
          <w:p w:rsidR="00EA3771" w:rsidRPr="00B74A55" w:rsidRDefault="00EA3771" w:rsidP="00EE75AB">
            <w:pPr>
              <w:autoSpaceDE w:val="0"/>
              <w:autoSpaceDN w:val="0"/>
              <w:adjustRightInd w:val="0"/>
              <w:rPr>
                <w:rFonts w:eastAsia="Calibri"/>
                <w:color w:val="000000"/>
                <w:sz w:val="22"/>
              </w:rPr>
            </w:pPr>
            <w:r w:rsidRPr="00B74A55">
              <w:rPr>
                <w:rFonts w:eastAsia="Calibri"/>
                <w:color w:val="000000"/>
                <w:sz w:val="22"/>
              </w:rPr>
              <w:t>2 000,0</w:t>
            </w:r>
          </w:p>
        </w:tc>
        <w:tc>
          <w:tcPr>
            <w:tcW w:w="1960" w:type="dxa"/>
            <w:gridSpan w:val="2"/>
            <w:tcBorders>
              <w:top w:val="single" w:sz="6" w:space="0" w:color="auto"/>
              <w:left w:val="single" w:sz="6" w:space="0" w:color="auto"/>
              <w:bottom w:val="single" w:sz="6" w:space="0" w:color="auto"/>
              <w:right w:val="single" w:sz="6" w:space="0" w:color="auto"/>
            </w:tcBorders>
          </w:tcPr>
          <w:p w:rsidR="00EA3771" w:rsidRPr="00B74A55" w:rsidRDefault="00EA3771" w:rsidP="00EE75AB">
            <w:pPr>
              <w:autoSpaceDE w:val="0"/>
              <w:autoSpaceDN w:val="0"/>
              <w:adjustRightInd w:val="0"/>
              <w:rPr>
                <w:rFonts w:eastAsia="Calibri"/>
                <w:color w:val="000000"/>
                <w:sz w:val="22"/>
              </w:rPr>
            </w:pPr>
            <w:r w:rsidRPr="00B74A55">
              <w:rPr>
                <w:rFonts w:eastAsia="Calibri"/>
                <w:color w:val="000000"/>
                <w:sz w:val="22"/>
              </w:rPr>
              <w:t>Міжнародні інвестиції, кошти приватних осіб</w:t>
            </w:r>
          </w:p>
        </w:tc>
        <w:tc>
          <w:tcPr>
            <w:tcW w:w="1417" w:type="dxa"/>
            <w:tcBorders>
              <w:top w:val="single" w:sz="6" w:space="0" w:color="auto"/>
              <w:left w:val="single" w:sz="6" w:space="0" w:color="auto"/>
              <w:bottom w:val="single" w:sz="6" w:space="0" w:color="auto"/>
              <w:right w:val="single" w:sz="6" w:space="0" w:color="auto"/>
            </w:tcBorders>
          </w:tcPr>
          <w:p w:rsidR="00EA3771" w:rsidRPr="00B74A55" w:rsidRDefault="00EA3771" w:rsidP="00EE75AB">
            <w:pPr>
              <w:rPr>
                <w:sz w:val="22"/>
              </w:rPr>
            </w:pPr>
            <w:r w:rsidRPr="00B74A55">
              <w:rPr>
                <w:sz w:val="22"/>
              </w:rPr>
              <w:t>8 000,0</w:t>
            </w:r>
          </w:p>
          <w:p w:rsidR="00EA3771" w:rsidRPr="00B74A55" w:rsidRDefault="00EA3771" w:rsidP="00EE75AB">
            <w:pPr>
              <w:autoSpaceDE w:val="0"/>
              <w:autoSpaceDN w:val="0"/>
              <w:adjustRightInd w:val="0"/>
              <w:rPr>
                <w:rFonts w:eastAsia="Calibri"/>
                <w:color w:val="000000"/>
                <w:sz w:val="22"/>
              </w:rPr>
            </w:pPr>
          </w:p>
        </w:tc>
      </w:tr>
    </w:tbl>
    <w:p w:rsidR="00CF4B4F" w:rsidRPr="00B74A55" w:rsidRDefault="00CF4B4F" w:rsidP="00E33AAA">
      <w:pPr>
        <w:tabs>
          <w:tab w:val="left" w:pos="5290"/>
        </w:tabs>
        <w:rPr>
          <w:b/>
          <w:sz w:val="22"/>
          <w:szCs w:val="22"/>
        </w:rPr>
      </w:pPr>
    </w:p>
    <w:p w:rsidR="00CF4B4F" w:rsidRPr="00B74A55" w:rsidRDefault="00CF4B4F" w:rsidP="00E33AAA">
      <w:pPr>
        <w:tabs>
          <w:tab w:val="left" w:pos="5290"/>
        </w:tabs>
        <w:rPr>
          <w:b/>
          <w:sz w:val="22"/>
          <w:szCs w:val="22"/>
        </w:rPr>
      </w:pPr>
    </w:p>
    <w:p w:rsidR="00CF4B4F" w:rsidRPr="00B74A55" w:rsidRDefault="00CF4B4F" w:rsidP="00E33AAA">
      <w:pPr>
        <w:tabs>
          <w:tab w:val="left" w:pos="5290"/>
        </w:tabs>
        <w:rPr>
          <w:b/>
          <w:sz w:val="22"/>
          <w:szCs w:val="22"/>
        </w:rPr>
      </w:pPr>
    </w:p>
    <w:p w:rsidR="00CF4B4F" w:rsidRPr="00B74A55" w:rsidRDefault="00CF4B4F" w:rsidP="00E33AAA">
      <w:pPr>
        <w:tabs>
          <w:tab w:val="left" w:pos="5290"/>
        </w:tabs>
        <w:rPr>
          <w:b/>
          <w:sz w:val="22"/>
          <w:szCs w:val="22"/>
        </w:rPr>
      </w:pPr>
    </w:p>
    <w:tbl>
      <w:tblPr>
        <w:tblW w:w="9923" w:type="dxa"/>
        <w:tblInd w:w="-176" w:type="dxa"/>
        <w:tblLayout w:type="fixed"/>
        <w:tblLook w:val="0000" w:firstRow="0" w:lastRow="0" w:firstColumn="0" w:lastColumn="0" w:noHBand="0" w:noVBand="0"/>
      </w:tblPr>
      <w:tblGrid>
        <w:gridCol w:w="2978"/>
        <w:gridCol w:w="1417"/>
        <w:gridCol w:w="1418"/>
        <w:gridCol w:w="1133"/>
        <w:gridCol w:w="142"/>
        <w:gridCol w:w="1361"/>
        <w:gridCol w:w="323"/>
        <w:gridCol w:w="1151"/>
      </w:tblGrid>
      <w:tr w:rsidR="00DA2766" w:rsidRPr="00B74A55" w:rsidTr="00EE75AB">
        <w:trPr>
          <w:trHeight w:val="290"/>
        </w:trPr>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DA2766" w:rsidRPr="00B74A55" w:rsidRDefault="00DA2766" w:rsidP="00DA2766">
            <w:pPr>
              <w:pBdr>
                <w:top w:val="nil"/>
                <w:left w:val="nil"/>
                <w:bottom w:val="nil"/>
                <w:right w:val="nil"/>
                <w:between w:val="nil"/>
              </w:pBdr>
              <w:rPr>
                <w:color w:val="000000"/>
                <w:sz w:val="22"/>
              </w:rPr>
            </w:pPr>
            <w:r w:rsidRPr="00B74A55">
              <w:rPr>
                <w:b/>
                <w:color w:val="000000"/>
                <w:sz w:val="22"/>
              </w:rPr>
              <w:t>Оперативна ціль/завдання</w:t>
            </w:r>
          </w:p>
        </w:tc>
        <w:tc>
          <w:tcPr>
            <w:tcW w:w="6945" w:type="dxa"/>
            <w:gridSpan w:val="7"/>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rPr>
                <w:color w:val="000000"/>
                <w:sz w:val="22"/>
              </w:rPr>
            </w:pPr>
            <w:r w:rsidRPr="00B74A55">
              <w:rPr>
                <w:sz w:val="22"/>
              </w:rPr>
              <w:t xml:space="preserve">Людський розвиток через інновації управління та довіру до влади. Формування сучасного інклюзивного  </w:t>
            </w:r>
            <w:proofErr w:type="spellStart"/>
            <w:r w:rsidRPr="00B74A55">
              <w:rPr>
                <w:sz w:val="22"/>
              </w:rPr>
              <w:t>освітньо</w:t>
            </w:r>
            <w:proofErr w:type="spellEnd"/>
            <w:r w:rsidRPr="00B74A55">
              <w:rPr>
                <w:sz w:val="22"/>
              </w:rPr>
              <w:t>-культурного та спортивного простору для розвитку"</w:t>
            </w:r>
          </w:p>
        </w:tc>
      </w:tr>
      <w:tr w:rsidR="00DA2766" w:rsidRPr="00B74A55" w:rsidTr="00EE75AB">
        <w:trPr>
          <w:trHeight w:val="1130"/>
        </w:trPr>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DA2766" w:rsidRPr="00B74A55" w:rsidRDefault="00DA2766" w:rsidP="00DA2766">
            <w:pPr>
              <w:pBdr>
                <w:top w:val="nil"/>
                <w:left w:val="nil"/>
                <w:bottom w:val="nil"/>
                <w:right w:val="nil"/>
                <w:between w:val="nil"/>
              </w:pBdr>
              <w:rPr>
                <w:color w:val="000000"/>
                <w:sz w:val="22"/>
              </w:rPr>
            </w:pPr>
            <w:r w:rsidRPr="00B74A55">
              <w:rPr>
                <w:b/>
                <w:color w:val="000000"/>
                <w:sz w:val="22"/>
              </w:rPr>
              <w:t>Назва проекту:</w:t>
            </w:r>
          </w:p>
        </w:tc>
        <w:tc>
          <w:tcPr>
            <w:tcW w:w="6945" w:type="dxa"/>
            <w:gridSpan w:val="7"/>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rPr>
                <w:color w:val="000000"/>
                <w:sz w:val="22"/>
              </w:rPr>
            </w:pPr>
            <w:r w:rsidRPr="00B74A55">
              <w:rPr>
                <w:color w:val="000000"/>
                <w:sz w:val="22"/>
              </w:rPr>
              <w:t xml:space="preserve">"ЩАСЛИВЕ ДИТИНСТВО" </w:t>
            </w:r>
          </w:p>
          <w:p w:rsidR="00DA2766" w:rsidRPr="00B74A55" w:rsidRDefault="00DA2766" w:rsidP="00DA2766">
            <w:pPr>
              <w:pBdr>
                <w:top w:val="nil"/>
                <w:left w:val="nil"/>
                <w:bottom w:val="nil"/>
                <w:right w:val="nil"/>
                <w:between w:val="nil"/>
              </w:pBdr>
              <w:rPr>
                <w:color w:val="000000"/>
                <w:sz w:val="22"/>
              </w:rPr>
            </w:pPr>
            <w:r w:rsidRPr="00B74A55">
              <w:rPr>
                <w:color w:val="000000"/>
                <w:sz w:val="22"/>
              </w:rPr>
              <w:t>Відновлення та капітальний ремонт Ясел-садка № 42 міста Сєвєродонецька Луганської області, адреса: Луганська область, Сєвєродонецький район, м. Сєвєродонецьк, вулиця Курчатова, 17-А</w:t>
            </w:r>
          </w:p>
        </w:tc>
      </w:tr>
      <w:tr w:rsidR="00DA2766" w:rsidRPr="00B74A55" w:rsidTr="00EE75AB">
        <w:trPr>
          <w:trHeight w:val="2393"/>
        </w:trPr>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DA2766" w:rsidRPr="00B74A55" w:rsidRDefault="00DA2766" w:rsidP="00DA2766">
            <w:pPr>
              <w:pBdr>
                <w:top w:val="nil"/>
                <w:left w:val="nil"/>
                <w:bottom w:val="nil"/>
                <w:right w:val="nil"/>
                <w:between w:val="nil"/>
              </w:pBdr>
              <w:rPr>
                <w:color w:val="000000"/>
                <w:sz w:val="22"/>
              </w:rPr>
            </w:pPr>
            <w:r w:rsidRPr="00B74A55">
              <w:rPr>
                <w:b/>
                <w:color w:val="000000"/>
                <w:sz w:val="22"/>
              </w:rPr>
              <w:t>Ціль проекту</w:t>
            </w:r>
          </w:p>
        </w:tc>
        <w:tc>
          <w:tcPr>
            <w:tcW w:w="6945" w:type="dxa"/>
            <w:gridSpan w:val="7"/>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ind w:firstLine="398"/>
              <w:rPr>
                <w:color w:val="000000"/>
                <w:sz w:val="22"/>
              </w:rPr>
            </w:pPr>
            <w:r w:rsidRPr="00B74A55">
              <w:rPr>
                <w:color w:val="000000"/>
                <w:sz w:val="22"/>
              </w:rPr>
              <w:t>Після військових дій, після руйнації, мародерства виникла потреба відновлення та капітального ремонту Ясел-садка №42. Створення у ЗДО комфортних та безпечних умов для здобуття дітьми дошкільної освіти, формування життєздатної особистості, розвиток виховання та навчання дітей, створення нових місць для дітей шляхом</w:t>
            </w:r>
            <w:r w:rsidRPr="00B74A55">
              <w:rPr>
                <w:sz w:val="22"/>
              </w:rPr>
              <w:t xml:space="preserve"> </w:t>
            </w:r>
            <w:r w:rsidRPr="00B74A55">
              <w:rPr>
                <w:color w:val="000000"/>
                <w:sz w:val="22"/>
              </w:rPr>
              <w:t>відновлення роботи Ясел-садка № 42 міста Сєвєродонецька Луганської області</w:t>
            </w:r>
            <w:r w:rsidRPr="00B74A55">
              <w:rPr>
                <w:sz w:val="22"/>
              </w:rPr>
              <w:t>. Проведення капітального ремонту</w:t>
            </w:r>
            <w:r w:rsidRPr="00B74A55">
              <w:rPr>
                <w:color w:val="000000"/>
                <w:sz w:val="22"/>
              </w:rPr>
              <w:t xml:space="preserve"> будівлі закладу та допоміжного приміщення: ремонт покрівлі будівлі, капітальний ремонт усіх приміщень будівлі, заміна вікон, дверей; заміна на нову систем водопостачання та водовідведення, електропостачання, теплопостачання, каналізації, вентиляції, освітлення.  </w:t>
            </w:r>
          </w:p>
        </w:tc>
      </w:tr>
      <w:tr w:rsidR="00DA2766" w:rsidRPr="00B74A55" w:rsidTr="00EE75AB">
        <w:trPr>
          <w:trHeight w:val="290"/>
        </w:trPr>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DA2766" w:rsidRPr="00B74A55" w:rsidRDefault="00DA2766" w:rsidP="00DA2766">
            <w:pPr>
              <w:pBdr>
                <w:top w:val="nil"/>
                <w:left w:val="nil"/>
                <w:bottom w:val="nil"/>
                <w:right w:val="nil"/>
                <w:between w:val="nil"/>
              </w:pBdr>
              <w:rPr>
                <w:color w:val="000000"/>
                <w:sz w:val="22"/>
              </w:rPr>
            </w:pPr>
            <w:r w:rsidRPr="00B74A55">
              <w:rPr>
                <w:b/>
                <w:color w:val="000000"/>
                <w:sz w:val="22"/>
              </w:rPr>
              <w:t>Територія, на яку матиме вплив реалізація проекту</w:t>
            </w:r>
          </w:p>
        </w:tc>
        <w:tc>
          <w:tcPr>
            <w:tcW w:w="6945" w:type="dxa"/>
            <w:gridSpan w:val="7"/>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rPr>
                <w:color w:val="000000"/>
                <w:sz w:val="22"/>
              </w:rPr>
            </w:pPr>
            <w:r w:rsidRPr="00B74A55">
              <w:rPr>
                <w:color w:val="000000"/>
                <w:sz w:val="22"/>
              </w:rPr>
              <w:t>Сєвєродонецька міська територіальна громада</w:t>
            </w:r>
          </w:p>
        </w:tc>
      </w:tr>
      <w:tr w:rsidR="00DA2766" w:rsidRPr="00B74A55" w:rsidTr="00EE75AB">
        <w:trPr>
          <w:trHeight w:val="568"/>
        </w:trPr>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DA2766" w:rsidRPr="00B74A55" w:rsidRDefault="00DA2766" w:rsidP="00DA2766">
            <w:pPr>
              <w:pBdr>
                <w:top w:val="nil"/>
                <w:left w:val="nil"/>
                <w:bottom w:val="nil"/>
                <w:right w:val="nil"/>
                <w:between w:val="nil"/>
              </w:pBdr>
              <w:rPr>
                <w:color w:val="000000"/>
                <w:sz w:val="22"/>
              </w:rPr>
            </w:pPr>
            <w:r w:rsidRPr="00B74A55">
              <w:rPr>
                <w:b/>
                <w:color w:val="000000"/>
                <w:sz w:val="22"/>
              </w:rPr>
              <w:t>Чисельність населення, на яке матиме вплив реалізація проекту</w:t>
            </w:r>
          </w:p>
        </w:tc>
        <w:tc>
          <w:tcPr>
            <w:tcW w:w="6945" w:type="dxa"/>
            <w:gridSpan w:val="7"/>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tabs>
                <w:tab w:val="left" w:pos="5290"/>
              </w:tabs>
              <w:rPr>
                <w:color w:val="000000"/>
                <w:sz w:val="22"/>
              </w:rPr>
            </w:pPr>
            <w:r w:rsidRPr="00B74A55">
              <w:rPr>
                <w:sz w:val="22"/>
              </w:rPr>
              <w:t xml:space="preserve"> </w:t>
            </w:r>
            <w:r w:rsidRPr="00B74A55">
              <w:rPr>
                <w:color w:val="000000"/>
                <w:sz w:val="22"/>
              </w:rPr>
              <w:t>70 000 осіб</w:t>
            </w:r>
          </w:p>
        </w:tc>
      </w:tr>
      <w:tr w:rsidR="00DA2766" w:rsidRPr="00B74A55" w:rsidTr="00EE75AB">
        <w:trPr>
          <w:trHeight w:val="269"/>
        </w:trPr>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DA2766" w:rsidRPr="00B74A55" w:rsidRDefault="00DA2766" w:rsidP="00DA2766">
            <w:pPr>
              <w:pBdr>
                <w:top w:val="nil"/>
                <w:left w:val="nil"/>
                <w:bottom w:val="nil"/>
                <w:right w:val="nil"/>
                <w:between w:val="nil"/>
              </w:pBdr>
              <w:rPr>
                <w:color w:val="000000"/>
                <w:sz w:val="22"/>
              </w:rPr>
            </w:pPr>
            <w:r w:rsidRPr="00B74A55">
              <w:rPr>
                <w:b/>
                <w:color w:val="000000"/>
                <w:sz w:val="22"/>
              </w:rPr>
              <w:t>Опис проблеми, на вирішення якої спрямований проект</w:t>
            </w:r>
          </w:p>
        </w:tc>
        <w:tc>
          <w:tcPr>
            <w:tcW w:w="6945" w:type="dxa"/>
            <w:gridSpan w:val="7"/>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ind w:firstLine="397"/>
              <w:rPr>
                <w:color w:val="000000"/>
                <w:sz w:val="22"/>
              </w:rPr>
            </w:pPr>
            <w:r w:rsidRPr="00B74A55">
              <w:rPr>
                <w:color w:val="000000"/>
                <w:sz w:val="22"/>
              </w:rPr>
              <w:t xml:space="preserve">Мешканці громади потребують отримання якісних освітніх послуг, які відповідають нормам сучасності. Через військову агресію РФ територія Сєвєродонецької міської територіальної громади зазнала значних </w:t>
            </w:r>
            <w:proofErr w:type="spellStart"/>
            <w:r w:rsidRPr="00B74A55">
              <w:rPr>
                <w:color w:val="000000"/>
                <w:sz w:val="22"/>
              </w:rPr>
              <w:t>пошкоджень</w:t>
            </w:r>
            <w:r w:rsidR="00453C8D" w:rsidRPr="00B74A55">
              <w:rPr>
                <w:color w:val="000000"/>
                <w:sz w:val="22"/>
              </w:rPr>
              <w:t>.Н</w:t>
            </w:r>
            <w:r w:rsidRPr="00B74A55">
              <w:rPr>
                <w:color w:val="000000"/>
                <w:sz w:val="22"/>
              </w:rPr>
              <w:t>е</w:t>
            </w:r>
            <w:proofErr w:type="spellEnd"/>
            <w:r w:rsidRPr="00B74A55">
              <w:rPr>
                <w:color w:val="000000"/>
                <w:sz w:val="22"/>
              </w:rPr>
              <w:t xml:space="preserve"> оминуло це і  Ясл</w:t>
            </w:r>
            <w:r w:rsidR="00453C8D" w:rsidRPr="00B74A55">
              <w:rPr>
                <w:color w:val="000000"/>
                <w:sz w:val="22"/>
              </w:rPr>
              <w:t>а</w:t>
            </w:r>
            <w:r w:rsidRPr="00B74A55">
              <w:rPr>
                <w:color w:val="000000"/>
                <w:sz w:val="22"/>
              </w:rPr>
              <w:t>-сад</w:t>
            </w:r>
            <w:r w:rsidR="00453C8D" w:rsidRPr="00B74A55">
              <w:rPr>
                <w:color w:val="000000"/>
                <w:sz w:val="22"/>
              </w:rPr>
              <w:t>о</w:t>
            </w:r>
            <w:r w:rsidRPr="00B74A55">
              <w:rPr>
                <w:color w:val="000000"/>
                <w:sz w:val="22"/>
              </w:rPr>
              <w:t xml:space="preserve">к №42 міста Сєвєродонецька Луганської області. Будівля закладу зазнала часткового руйнування, матеріально-технічна база Ясел-садка, зокрема: обладнання, меблі, комп’ютерна техніка, оснащення,  інвентар та інше </w:t>
            </w:r>
            <w:r w:rsidRPr="00B74A55">
              <w:rPr>
                <w:color w:val="000000"/>
                <w:sz w:val="22"/>
              </w:rPr>
              <w:lastRenderedPageBreak/>
              <w:t xml:space="preserve">майно зіпсовано, розкрадено.  Для відбудови та сталого розвитку громади потрібен капітальний ремонт та відновлення  роботи Ясел-садка №42, а саме: </w:t>
            </w:r>
          </w:p>
          <w:p w:rsidR="00DA2766" w:rsidRPr="00B74A55" w:rsidRDefault="00DA2766" w:rsidP="00DA2766">
            <w:pPr>
              <w:pBdr>
                <w:top w:val="nil"/>
                <w:left w:val="nil"/>
                <w:bottom w:val="nil"/>
                <w:right w:val="nil"/>
                <w:between w:val="nil"/>
              </w:pBdr>
              <w:ind w:firstLine="397"/>
              <w:rPr>
                <w:b/>
                <w:color w:val="000000"/>
                <w:sz w:val="22"/>
              </w:rPr>
            </w:pPr>
            <w:r w:rsidRPr="00B74A55">
              <w:rPr>
                <w:b/>
                <w:color w:val="000000"/>
                <w:sz w:val="22"/>
              </w:rPr>
              <w:t xml:space="preserve">Блок №1 "Капітальний ремонт будівлі Ясел-садка №42 міста  Сєвєродонецька Луганської області ". </w:t>
            </w:r>
          </w:p>
          <w:p w:rsidR="00DA2766" w:rsidRPr="00B74A55" w:rsidRDefault="00DA2766" w:rsidP="00DA2766">
            <w:pPr>
              <w:pBdr>
                <w:top w:val="nil"/>
                <w:left w:val="nil"/>
                <w:bottom w:val="nil"/>
                <w:right w:val="nil"/>
                <w:between w:val="nil"/>
              </w:pBdr>
              <w:rPr>
                <w:color w:val="000000"/>
                <w:sz w:val="22"/>
              </w:rPr>
            </w:pPr>
            <w:r w:rsidRPr="00B74A55">
              <w:rPr>
                <w:color w:val="000000"/>
                <w:sz w:val="22"/>
              </w:rPr>
              <w:t xml:space="preserve">Адреса: Луганська область, Сєвєродонецький район, місто Сєвєродонецьк , вулиця Курчатова 17-А   </w:t>
            </w:r>
          </w:p>
          <w:p w:rsidR="00DA2766" w:rsidRPr="00B74A55" w:rsidRDefault="00DA2766" w:rsidP="00453C8D">
            <w:pPr>
              <w:pBdr>
                <w:top w:val="nil"/>
                <w:left w:val="nil"/>
                <w:bottom w:val="nil"/>
                <w:right w:val="nil"/>
                <w:between w:val="nil"/>
              </w:pBdr>
              <w:jc w:val="left"/>
              <w:rPr>
                <w:color w:val="000000"/>
                <w:sz w:val="22"/>
              </w:rPr>
            </w:pPr>
            <w:r w:rsidRPr="00B74A55">
              <w:rPr>
                <w:color w:val="000000"/>
                <w:sz w:val="22"/>
              </w:rPr>
              <w:t>• відновлення зовнішні</w:t>
            </w:r>
            <w:r w:rsidR="00453C8D" w:rsidRPr="00B74A55">
              <w:rPr>
                <w:color w:val="000000"/>
                <w:sz w:val="22"/>
              </w:rPr>
              <w:t>х</w:t>
            </w:r>
            <w:r w:rsidRPr="00B74A55">
              <w:rPr>
                <w:color w:val="000000"/>
                <w:sz w:val="22"/>
              </w:rPr>
              <w:t xml:space="preserve"> та внутрішніх стін, плит перекриття у будівлі; </w:t>
            </w:r>
            <w:r w:rsidRPr="00B74A55">
              <w:rPr>
                <w:color w:val="000000"/>
                <w:sz w:val="22"/>
              </w:rPr>
              <w:br/>
              <w:t xml:space="preserve">• капітальний ремонт покрівлі будівлі; </w:t>
            </w:r>
            <w:r w:rsidRPr="00B74A55">
              <w:rPr>
                <w:color w:val="000000"/>
                <w:sz w:val="22"/>
              </w:rPr>
              <w:br/>
              <w:t>• капітальний ремонт та утеплення фасаду будівлі по всьому периметру;</w:t>
            </w:r>
            <w:r w:rsidRPr="00B74A55">
              <w:rPr>
                <w:color w:val="000000"/>
                <w:sz w:val="22"/>
              </w:rPr>
              <w:br/>
              <w:t xml:space="preserve">• встановлення вікон; </w:t>
            </w:r>
            <w:r w:rsidRPr="00B74A55">
              <w:rPr>
                <w:color w:val="000000"/>
                <w:sz w:val="22"/>
              </w:rPr>
              <w:br/>
              <w:t xml:space="preserve">• встановлення вхідних та внутрішніх дверей у будівлі; </w:t>
            </w:r>
            <w:r w:rsidRPr="00B74A55">
              <w:rPr>
                <w:color w:val="000000"/>
                <w:sz w:val="22"/>
              </w:rPr>
              <w:br/>
              <w:t xml:space="preserve">• капітальний ремонт усіх приміщень будівлі: групові осередки 14 груп (56 кімнат), приміщення харчоблоку, приміщення пральної кімнати, приміщення музичної та спортивної залів, приміщення кабінетів спеціалістів (16 кімнат); </w:t>
            </w:r>
            <w:r w:rsidRPr="00B74A55">
              <w:rPr>
                <w:color w:val="000000"/>
                <w:sz w:val="22"/>
              </w:rPr>
              <w:br/>
              <w:t xml:space="preserve">• капітальний ремонт коридорів (8) та </w:t>
            </w:r>
            <w:proofErr w:type="spellStart"/>
            <w:r w:rsidRPr="00B74A55">
              <w:rPr>
                <w:color w:val="000000"/>
                <w:sz w:val="22"/>
              </w:rPr>
              <w:t>сходинкових</w:t>
            </w:r>
            <w:proofErr w:type="spellEnd"/>
            <w:r w:rsidRPr="00B74A55">
              <w:rPr>
                <w:color w:val="000000"/>
                <w:sz w:val="22"/>
              </w:rPr>
              <w:t xml:space="preserve"> маршів (4), </w:t>
            </w:r>
            <w:proofErr w:type="spellStart"/>
            <w:r w:rsidRPr="00B74A55">
              <w:rPr>
                <w:color w:val="000000"/>
                <w:sz w:val="22"/>
              </w:rPr>
              <w:t>привуличних</w:t>
            </w:r>
            <w:proofErr w:type="spellEnd"/>
            <w:r w:rsidRPr="00B74A55">
              <w:rPr>
                <w:color w:val="000000"/>
                <w:sz w:val="22"/>
              </w:rPr>
              <w:t xml:space="preserve"> коридорів. </w:t>
            </w:r>
          </w:p>
          <w:p w:rsidR="00DA2766" w:rsidRPr="00B74A55" w:rsidRDefault="00DA2766" w:rsidP="00A1777E">
            <w:pPr>
              <w:pBdr>
                <w:top w:val="nil"/>
                <w:left w:val="nil"/>
                <w:bottom w:val="nil"/>
                <w:right w:val="nil"/>
                <w:between w:val="nil"/>
              </w:pBdr>
              <w:ind w:firstLine="397"/>
              <w:jc w:val="left"/>
              <w:rPr>
                <w:color w:val="000000"/>
                <w:sz w:val="22"/>
              </w:rPr>
            </w:pPr>
            <w:r w:rsidRPr="00B74A55">
              <w:rPr>
                <w:b/>
                <w:color w:val="000000"/>
                <w:sz w:val="22"/>
              </w:rPr>
              <w:t>Блок №2</w:t>
            </w:r>
            <w:r w:rsidRPr="00B74A55">
              <w:rPr>
                <w:color w:val="000000"/>
                <w:sz w:val="22"/>
              </w:rPr>
              <w:t xml:space="preserve"> </w:t>
            </w:r>
            <w:r w:rsidRPr="00B74A55">
              <w:rPr>
                <w:b/>
                <w:color w:val="000000"/>
                <w:sz w:val="22"/>
              </w:rPr>
              <w:t>"Відновлення, капітальний ремонт усіх комунікаційних систем"</w:t>
            </w:r>
            <w:r w:rsidRPr="00B74A55">
              <w:rPr>
                <w:color w:val="000000"/>
                <w:sz w:val="22"/>
              </w:rPr>
              <w:br/>
              <w:t xml:space="preserve">• система водопостачання та водовідведення; </w:t>
            </w:r>
            <w:r w:rsidRPr="00B74A55">
              <w:rPr>
                <w:color w:val="000000"/>
                <w:sz w:val="22"/>
              </w:rPr>
              <w:br/>
              <w:t xml:space="preserve">• нової системи електропостачання та зовнішнього та внутрішнього освітлення у приміщенні будівлі та на території закладу; </w:t>
            </w:r>
            <w:r w:rsidRPr="00B74A55">
              <w:rPr>
                <w:color w:val="000000"/>
                <w:sz w:val="22"/>
              </w:rPr>
              <w:br/>
              <w:t xml:space="preserve">• відновлення системи опалення будівлі; встановлення ІТП; </w:t>
            </w:r>
            <w:r w:rsidRPr="00B74A55">
              <w:rPr>
                <w:color w:val="000000"/>
                <w:sz w:val="22"/>
              </w:rPr>
              <w:br/>
              <w:t xml:space="preserve">• нової вентиляційної системи. </w:t>
            </w:r>
          </w:p>
          <w:p w:rsidR="00DA2766" w:rsidRPr="00B74A55" w:rsidRDefault="00DA2766" w:rsidP="00A1777E">
            <w:pPr>
              <w:pBdr>
                <w:top w:val="nil"/>
                <w:left w:val="nil"/>
                <w:bottom w:val="nil"/>
                <w:right w:val="nil"/>
                <w:between w:val="nil"/>
              </w:pBdr>
              <w:ind w:firstLine="397"/>
              <w:jc w:val="left"/>
              <w:rPr>
                <w:color w:val="000000"/>
                <w:sz w:val="22"/>
              </w:rPr>
            </w:pPr>
            <w:r w:rsidRPr="00B74A55">
              <w:rPr>
                <w:b/>
                <w:color w:val="000000"/>
                <w:sz w:val="22"/>
              </w:rPr>
              <w:t>Блок №3</w:t>
            </w:r>
            <w:r w:rsidRPr="00B74A55">
              <w:rPr>
                <w:color w:val="000000"/>
                <w:sz w:val="22"/>
              </w:rPr>
              <w:t xml:space="preserve"> </w:t>
            </w:r>
            <w:r w:rsidRPr="00B74A55">
              <w:rPr>
                <w:b/>
                <w:color w:val="000000"/>
                <w:sz w:val="22"/>
              </w:rPr>
              <w:t xml:space="preserve">"Створення безпечного простору" </w:t>
            </w:r>
            <w:r w:rsidRPr="00B74A55">
              <w:rPr>
                <w:color w:val="000000"/>
                <w:sz w:val="22"/>
              </w:rPr>
              <w:br/>
              <w:t xml:space="preserve">• створення сучасного безпечного бомбосховища, укриття на випадок НС; </w:t>
            </w:r>
            <w:r w:rsidRPr="00B74A55">
              <w:rPr>
                <w:color w:val="000000"/>
                <w:sz w:val="22"/>
              </w:rPr>
              <w:br/>
              <w:t>• забезпечення ЗДО сучасною системою охорони та безпеки (система відеоспостереження</w:t>
            </w:r>
            <w:r w:rsidRPr="00B74A55">
              <w:rPr>
                <w:sz w:val="22"/>
              </w:rPr>
              <w:t xml:space="preserve"> </w:t>
            </w:r>
            <w:r w:rsidRPr="00B74A55">
              <w:rPr>
                <w:color w:val="000000"/>
                <w:sz w:val="22"/>
              </w:rPr>
              <w:t>);</w:t>
            </w:r>
            <w:r w:rsidRPr="00B74A55">
              <w:rPr>
                <w:color w:val="000000"/>
                <w:sz w:val="22"/>
              </w:rPr>
              <w:br/>
              <w:t xml:space="preserve">• встановлення в закладі системи пожежної сигналізації, системи оповіщення про пожежу.                              </w:t>
            </w:r>
          </w:p>
          <w:p w:rsidR="00DA2766" w:rsidRPr="00B74A55" w:rsidRDefault="00DA2766" w:rsidP="00DA2766">
            <w:pPr>
              <w:pBdr>
                <w:top w:val="nil"/>
                <w:left w:val="nil"/>
                <w:bottom w:val="nil"/>
                <w:right w:val="nil"/>
                <w:between w:val="nil"/>
              </w:pBdr>
              <w:ind w:firstLine="397"/>
              <w:rPr>
                <w:color w:val="000000"/>
                <w:sz w:val="22"/>
              </w:rPr>
            </w:pPr>
            <w:r w:rsidRPr="00B74A55">
              <w:rPr>
                <w:b/>
                <w:color w:val="000000"/>
                <w:sz w:val="22"/>
              </w:rPr>
              <w:t xml:space="preserve">Блок № 4 "Реконструкція та капітальний ремонт басейну у будівлі закладу"                                                      </w:t>
            </w:r>
          </w:p>
          <w:p w:rsidR="00DA2766" w:rsidRPr="00B74A55" w:rsidRDefault="00DA2766" w:rsidP="00DA2766">
            <w:pPr>
              <w:pBdr>
                <w:top w:val="nil"/>
                <w:left w:val="nil"/>
                <w:bottom w:val="nil"/>
                <w:right w:val="nil"/>
                <w:between w:val="nil"/>
              </w:pBdr>
              <w:ind w:firstLine="397"/>
              <w:rPr>
                <w:color w:val="000000"/>
                <w:sz w:val="22"/>
              </w:rPr>
            </w:pPr>
            <w:r w:rsidRPr="00B74A55">
              <w:rPr>
                <w:b/>
                <w:color w:val="000000"/>
                <w:sz w:val="22"/>
              </w:rPr>
              <w:t xml:space="preserve">Блок № 5 "Капітальний ремонт будівлі складського приміщення" </w:t>
            </w:r>
          </w:p>
        </w:tc>
      </w:tr>
      <w:tr w:rsidR="00DA2766" w:rsidRPr="00B74A55" w:rsidTr="00EE75AB">
        <w:trPr>
          <w:trHeight w:val="836"/>
        </w:trPr>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DA2766" w:rsidRPr="00B74A55" w:rsidRDefault="00DA2766" w:rsidP="00DA2766">
            <w:pPr>
              <w:pBdr>
                <w:top w:val="nil"/>
                <w:left w:val="nil"/>
                <w:bottom w:val="nil"/>
                <w:right w:val="nil"/>
                <w:between w:val="nil"/>
              </w:pBdr>
              <w:rPr>
                <w:color w:val="000000"/>
                <w:sz w:val="22"/>
              </w:rPr>
            </w:pPr>
            <w:r w:rsidRPr="00B74A55">
              <w:rPr>
                <w:b/>
                <w:color w:val="000000"/>
                <w:sz w:val="22"/>
              </w:rPr>
              <w:lastRenderedPageBreak/>
              <w:t>Очікувані якісні результати від реалізації проекту</w:t>
            </w:r>
          </w:p>
        </w:tc>
        <w:tc>
          <w:tcPr>
            <w:tcW w:w="6945" w:type="dxa"/>
            <w:gridSpan w:val="7"/>
            <w:tcBorders>
              <w:top w:val="single" w:sz="6" w:space="0" w:color="000000"/>
              <w:left w:val="single" w:sz="6" w:space="0" w:color="000000"/>
              <w:bottom w:val="single" w:sz="6" w:space="0" w:color="000000"/>
              <w:right w:val="single" w:sz="6" w:space="0" w:color="000000"/>
            </w:tcBorders>
          </w:tcPr>
          <w:p w:rsidR="00DA2766" w:rsidRPr="00B74A55" w:rsidRDefault="00DA2766" w:rsidP="000303D7">
            <w:pPr>
              <w:numPr>
                <w:ilvl w:val="0"/>
                <w:numId w:val="91"/>
              </w:numPr>
              <w:pBdr>
                <w:top w:val="nil"/>
                <w:left w:val="nil"/>
                <w:bottom w:val="nil"/>
                <w:right w:val="nil"/>
                <w:between w:val="nil"/>
              </w:pBdr>
              <w:jc w:val="left"/>
              <w:rPr>
                <w:color w:val="000000"/>
                <w:sz w:val="22"/>
              </w:rPr>
            </w:pPr>
            <w:r w:rsidRPr="00B74A55">
              <w:rPr>
                <w:color w:val="000000"/>
                <w:sz w:val="22"/>
              </w:rPr>
              <w:t>Задоволення освітніх потреб громади для сталого розвитку.</w:t>
            </w:r>
          </w:p>
          <w:p w:rsidR="00DA2766" w:rsidRPr="00B74A55" w:rsidRDefault="00DA2766" w:rsidP="000303D7">
            <w:pPr>
              <w:numPr>
                <w:ilvl w:val="0"/>
                <w:numId w:val="91"/>
              </w:numPr>
              <w:pBdr>
                <w:top w:val="nil"/>
                <w:left w:val="nil"/>
                <w:bottom w:val="nil"/>
                <w:right w:val="nil"/>
                <w:between w:val="nil"/>
              </w:pBdr>
              <w:jc w:val="left"/>
              <w:rPr>
                <w:color w:val="000000"/>
                <w:sz w:val="22"/>
              </w:rPr>
            </w:pPr>
            <w:r w:rsidRPr="00B74A55">
              <w:rPr>
                <w:color w:val="000000"/>
                <w:sz w:val="22"/>
              </w:rPr>
              <w:t>Надання широкого спектру освітніх послуг.</w:t>
            </w:r>
          </w:p>
          <w:p w:rsidR="00DA2766" w:rsidRPr="00B74A55" w:rsidRDefault="00DA2766" w:rsidP="000303D7">
            <w:pPr>
              <w:numPr>
                <w:ilvl w:val="0"/>
                <w:numId w:val="91"/>
              </w:numPr>
              <w:pBdr>
                <w:top w:val="nil"/>
                <w:left w:val="nil"/>
                <w:bottom w:val="nil"/>
                <w:right w:val="nil"/>
                <w:between w:val="nil"/>
              </w:pBdr>
              <w:jc w:val="left"/>
              <w:rPr>
                <w:color w:val="000000"/>
                <w:sz w:val="22"/>
              </w:rPr>
            </w:pPr>
            <w:r w:rsidRPr="00B74A55">
              <w:rPr>
                <w:color w:val="000000"/>
                <w:sz w:val="22"/>
              </w:rPr>
              <w:t>Створення нових робочих місць.</w:t>
            </w:r>
          </w:p>
          <w:p w:rsidR="00DA2766" w:rsidRPr="00B74A55" w:rsidRDefault="00DA2766" w:rsidP="000303D7">
            <w:pPr>
              <w:numPr>
                <w:ilvl w:val="0"/>
                <w:numId w:val="91"/>
              </w:numPr>
              <w:pBdr>
                <w:top w:val="nil"/>
                <w:left w:val="nil"/>
                <w:bottom w:val="nil"/>
                <w:right w:val="nil"/>
                <w:between w:val="nil"/>
              </w:pBdr>
              <w:jc w:val="left"/>
              <w:rPr>
                <w:color w:val="000000"/>
                <w:sz w:val="22"/>
              </w:rPr>
            </w:pPr>
            <w:r w:rsidRPr="00B74A55">
              <w:rPr>
                <w:color w:val="000000"/>
                <w:sz w:val="22"/>
              </w:rPr>
              <w:t xml:space="preserve">Стимул повернення ВПО, дітей до громади. </w:t>
            </w:r>
          </w:p>
          <w:p w:rsidR="00DA2766" w:rsidRPr="00B74A55" w:rsidRDefault="00DA2766" w:rsidP="00DA2766">
            <w:pPr>
              <w:pBdr>
                <w:top w:val="nil"/>
                <w:left w:val="nil"/>
                <w:bottom w:val="nil"/>
                <w:right w:val="nil"/>
                <w:between w:val="nil"/>
              </w:pBdr>
              <w:ind w:firstLine="393"/>
              <w:rPr>
                <w:color w:val="000000"/>
                <w:sz w:val="22"/>
              </w:rPr>
            </w:pPr>
            <w:r w:rsidRPr="00B74A55">
              <w:rPr>
                <w:color w:val="000000"/>
                <w:sz w:val="22"/>
              </w:rPr>
              <w:t>Ясла-садок № 42 міста Сєвєродонецька Луганської області після капітального ремонту відновив  роботу, надає дітям дошкільну освіту, розвиває, виховує, навчає дітей дошкільного віку, формує особистість готову до шкільного навчання та життя.</w:t>
            </w:r>
          </w:p>
        </w:tc>
      </w:tr>
      <w:tr w:rsidR="00DA2766" w:rsidRPr="00B74A55" w:rsidTr="00EE75AB">
        <w:trPr>
          <w:trHeight w:val="290"/>
        </w:trPr>
        <w:tc>
          <w:tcPr>
            <w:tcW w:w="2978" w:type="dxa"/>
            <w:tcBorders>
              <w:top w:val="single" w:sz="6" w:space="0" w:color="000000"/>
              <w:left w:val="single" w:sz="6" w:space="0" w:color="000000"/>
              <w:bottom w:val="single" w:sz="4" w:space="0" w:color="000000"/>
              <w:right w:val="single" w:sz="6" w:space="0" w:color="000000"/>
            </w:tcBorders>
            <w:shd w:val="clear" w:color="auto" w:fill="C6D9F1" w:themeFill="text2" w:themeFillTint="33"/>
          </w:tcPr>
          <w:p w:rsidR="00DA2766" w:rsidRPr="00B74A55" w:rsidRDefault="00DA2766" w:rsidP="00DA2766">
            <w:pPr>
              <w:pBdr>
                <w:top w:val="nil"/>
                <w:left w:val="nil"/>
                <w:bottom w:val="nil"/>
                <w:right w:val="nil"/>
                <w:between w:val="nil"/>
              </w:pBdr>
              <w:rPr>
                <w:color w:val="000000"/>
                <w:sz w:val="22"/>
              </w:rPr>
            </w:pPr>
            <w:r w:rsidRPr="00B74A55">
              <w:rPr>
                <w:b/>
                <w:color w:val="000000"/>
                <w:sz w:val="22"/>
              </w:rPr>
              <w:t>Очікувані кількісні результати від реалізації проекту  (індикатори)</w:t>
            </w:r>
          </w:p>
        </w:tc>
        <w:tc>
          <w:tcPr>
            <w:tcW w:w="3968" w:type="dxa"/>
            <w:gridSpan w:val="3"/>
            <w:tcBorders>
              <w:top w:val="single" w:sz="6" w:space="0" w:color="000000"/>
              <w:left w:val="single" w:sz="6" w:space="0" w:color="000000"/>
              <w:bottom w:val="single" w:sz="4"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r w:rsidRPr="00B74A55">
              <w:rPr>
                <w:b/>
                <w:color w:val="000000"/>
                <w:sz w:val="22"/>
              </w:rPr>
              <w:t>Найменування показника</w:t>
            </w:r>
          </w:p>
        </w:tc>
        <w:tc>
          <w:tcPr>
            <w:tcW w:w="1503" w:type="dxa"/>
            <w:gridSpan w:val="2"/>
            <w:tcBorders>
              <w:top w:val="single" w:sz="6" w:space="0" w:color="000000"/>
              <w:left w:val="single" w:sz="6" w:space="0" w:color="000000"/>
              <w:bottom w:val="single" w:sz="4"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r w:rsidRPr="00B74A55">
              <w:rPr>
                <w:b/>
                <w:color w:val="000000"/>
                <w:sz w:val="22"/>
              </w:rPr>
              <w:t>Одиниця вимірювання</w:t>
            </w:r>
          </w:p>
        </w:tc>
        <w:tc>
          <w:tcPr>
            <w:tcW w:w="1474" w:type="dxa"/>
            <w:gridSpan w:val="2"/>
            <w:tcBorders>
              <w:top w:val="single" w:sz="6" w:space="0" w:color="000000"/>
              <w:left w:val="single" w:sz="6" w:space="0" w:color="000000"/>
              <w:bottom w:val="single" w:sz="4"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r w:rsidRPr="00B74A55">
              <w:rPr>
                <w:b/>
                <w:color w:val="000000"/>
                <w:sz w:val="22"/>
              </w:rPr>
              <w:t>Прогнозне (цільове) значення</w:t>
            </w:r>
          </w:p>
        </w:tc>
      </w:tr>
      <w:tr w:rsidR="00DA2766" w:rsidRPr="00B74A55" w:rsidTr="00EE75AB">
        <w:trPr>
          <w:cantSplit/>
          <w:trHeight w:val="2069"/>
        </w:trPr>
        <w:tc>
          <w:tcPr>
            <w:tcW w:w="2978" w:type="dxa"/>
            <w:vMerge w:val="restart"/>
            <w:tcBorders>
              <w:top w:val="single" w:sz="4" w:space="0" w:color="000000"/>
              <w:left w:val="single" w:sz="6" w:space="0" w:color="000000"/>
              <w:right w:val="single" w:sz="6" w:space="0" w:color="000000"/>
            </w:tcBorders>
            <w:shd w:val="clear" w:color="auto" w:fill="C6D9F1" w:themeFill="text2" w:themeFillTint="33"/>
          </w:tcPr>
          <w:p w:rsidR="00DA2766" w:rsidRPr="00B74A55" w:rsidRDefault="00DA2766" w:rsidP="00DA2766">
            <w:pPr>
              <w:pBdr>
                <w:top w:val="nil"/>
                <w:left w:val="nil"/>
                <w:bottom w:val="nil"/>
                <w:right w:val="nil"/>
                <w:between w:val="nil"/>
              </w:pBdr>
              <w:rPr>
                <w:color w:val="000000"/>
                <w:sz w:val="22"/>
              </w:rPr>
            </w:pPr>
          </w:p>
        </w:tc>
        <w:tc>
          <w:tcPr>
            <w:tcW w:w="3968" w:type="dxa"/>
            <w:gridSpan w:val="3"/>
            <w:tcBorders>
              <w:top w:val="single" w:sz="4"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tabs>
                <w:tab w:val="left" w:pos="5290"/>
              </w:tabs>
              <w:rPr>
                <w:color w:val="000000"/>
                <w:sz w:val="22"/>
              </w:rPr>
            </w:pPr>
            <w:bookmarkStart w:id="52" w:name="_gjdgxs" w:colFirst="0" w:colLast="0"/>
            <w:bookmarkEnd w:id="52"/>
            <w:r w:rsidRPr="00B74A55">
              <w:rPr>
                <w:b/>
                <w:color w:val="000000"/>
                <w:sz w:val="22"/>
              </w:rPr>
              <w:t xml:space="preserve">БЛОК № 1. Капітальний ремонт будівлі закладу: </w:t>
            </w:r>
            <w:r w:rsidRPr="00B74A55">
              <w:rPr>
                <w:b/>
                <w:color w:val="000000"/>
                <w:sz w:val="22"/>
              </w:rPr>
              <w:br/>
              <w:t xml:space="preserve"> </w:t>
            </w:r>
            <w:r w:rsidRPr="00B74A55">
              <w:rPr>
                <w:color w:val="000000"/>
                <w:sz w:val="22"/>
              </w:rPr>
              <w:t xml:space="preserve">- відновлення зовнішніх та внутрішніх стін, плит перекриття будівлі, </w:t>
            </w:r>
            <w:r w:rsidRPr="00B74A55">
              <w:rPr>
                <w:color w:val="000000"/>
                <w:sz w:val="22"/>
              </w:rPr>
              <w:br/>
              <w:t xml:space="preserve"> - утеплення фасаду будівлі, </w:t>
            </w:r>
            <w:r w:rsidRPr="00B74A55">
              <w:rPr>
                <w:color w:val="000000"/>
                <w:sz w:val="22"/>
              </w:rPr>
              <w:br/>
              <w:t xml:space="preserve"> - капітальний ремонт покрівлі будівлі (частково),</w:t>
            </w:r>
          </w:p>
          <w:p w:rsidR="00DA2766" w:rsidRPr="00B74A55" w:rsidRDefault="00DA2766" w:rsidP="00DA2766">
            <w:pPr>
              <w:pBdr>
                <w:top w:val="nil"/>
                <w:left w:val="nil"/>
                <w:bottom w:val="nil"/>
                <w:right w:val="nil"/>
                <w:between w:val="nil"/>
              </w:pBdr>
              <w:tabs>
                <w:tab w:val="left" w:pos="5290"/>
              </w:tabs>
              <w:rPr>
                <w:color w:val="000000"/>
                <w:sz w:val="22"/>
              </w:rPr>
            </w:pPr>
            <w:r w:rsidRPr="00B74A55">
              <w:rPr>
                <w:color w:val="000000"/>
                <w:sz w:val="22"/>
              </w:rPr>
              <w:t xml:space="preserve">- капітальний ремонт підлоги, </w:t>
            </w:r>
          </w:p>
        </w:tc>
        <w:tc>
          <w:tcPr>
            <w:tcW w:w="1503" w:type="dxa"/>
            <w:gridSpan w:val="2"/>
            <w:tcBorders>
              <w:top w:val="single" w:sz="4"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p>
          <w:p w:rsidR="00DA2766" w:rsidRPr="00B74A55" w:rsidRDefault="00DA2766" w:rsidP="00DA2766">
            <w:pPr>
              <w:pBdr>
                <w:top w:val="nil"/>
                <w:left w:val="nil"/>
                <w:bottom w:val="nil"/>
                <w:right w:val="nil"/>
                <w:between w:val="nil"/>
              </w:pBdr>
              <w:jc w:val="center"/>
              <w:rPr>
                <w:color w:val="000000"/>
                <w:sz w:val="22"/>
              </w:rPr>
            </w:pPr>
          </w:p>
          <w:p w:rsidR="00DA2766" w:rsidRPr="00B74A55" w:rsidRDefault="00DA2766" w:rsidP="00DA2766">
            <w:pPr>
              <w:pBdr>
                <w:top w:val="nil"/>
                <w:left w:val="nil"/>
                <w:bottom w:val="nil"/>
                <w:right w:val="nil"/>
                <w:between w:val="nil"/>
              </w:pBdr>
              <w:jc w:val="center"/>
              <w:rPr>
                <w:color w:val="000000"/>
                <w:sz w:val="22"/>
              </w:rPr>
            </w:pPr>
          </w:p>
          <w:p w:rsidR="00DA2766" w:rsidRPr="00B74A55" w:rsidRDefault="00DA2766" w:rsidP="00DA2766">
            <w:pPr>
              <w:pBdr>
                <w:top w:val="nil"/>
                <w:left w:val="nil"/>
                <w:bottom w:val="nil"/>
                <w:right w:val="nil"/>
                <w:between w:val="nil"/>
              </w:pBdr>
              <w:jc w:val="center"/>
              <w:rPr>
                <w:color w:val="000000"/>
                <w:sz w:val="22"/>
              </w:rPr>
            </w:pPr>
            <w:proofErr w:type="spellStart"/>
            <w:r w:rsidRPr="00B74A55">
              <w:rPr>
                <w:color w:val="000000"/>
                <w:sz w:val="22"/>
              </w:rPr>
              <w:t>кв.м</w:t>
            </w:r>
            <w:proofErr w:type="spellEnd"/>
          </w:p>
          <w:p w:rsidR="00DA2766" w:rsidRPr="00B74A55" w:rsidRDefault="00DA2766" w:rsidP="00DA2766">
            <w:pPr>
              <w:pBdr>
                <w:top w:val="nil"/>
                <w:left w:val="nil"/>
                <w:bottom w:val="nil"/>
                <w:right w:val="nil"/>
                <w:between w:val="nil"/>
              </w:pBdr>
              <w:jc w:val="center"/>
              <w:rPr>
                <w:color w:val="000000"/>
                <w:sz w:val="22"/>
              </w:rPr>
            </w:pPr>
            <w:proofErr w:type="spellStart"/>
            <w:r w:rsidRPr="00B74A55">
              <w:rPr>
                <w:color w:val="000000"/>
                <w:sz w:val="22"/>
              </w:rPr>
              <w:t>кв.м</w:t>
            </w:r>
            <w:proofErr w:type="spellEnd"/>
          </w:p>
          <w:p w:rsidR="00DA2766" w:rsidRPr="00B74A55" w:rsidRDefault="00DA2766" w:rsidP="00DA2766">
            <w:pPr>
              <w:pBdr>
                <w:top w:val="nil"/>
                <w:left w:val="nil"/>
                <w:bottom w:val="nil"/>
                <w:right w:val="nil"/>
                <w:between w:val="nil"/>
              </w:pBdr>
              <w:jc w:val="center"/>
              <w:rPr>
                <w:color w:val="000000"/>
                <w:sz w:val="22"/>
              </w:rPr>
            </w:pPr>
          </w:p>
          <w:p w:rsidR="00DA2766" w:rsidRPr="00B74A55" w:rsidRDefault="00DA2766" w:rsidP="00DA2766">
            <w:pPr>
              <w:pBdr>
                <w:top w:val="nil"/>
                <w:left w:val="nil"/>
                <w:bottom w:val="nil"/>
                <w:right w:val="nil"/>
                <w:between w:val="nil"/>
              </w:pBdr>
              <w:jc w:val="center"/>
              <w:rPr>
                <w:color w:val="000000"/>
                <w:sz w:val="22"/>
              </w:rPr>
            </w:pPr>
            <w:proofErr w:type="spellStart"/>
            <w:r w:rsidRPr="00B74A55">
              <w:rPr>
                <w:color w:val="000000"/>
                <w:sz w:val="22"/>
              </w:rPr>
              <w:t>кв.м</w:t>
            </w:r>
            <w:proofErr w:type="spellEnd"/>
          </w:p>
          <w:p w:rsidR="00DA2766" w:rsidRPr="00B74A55" w:rsidRDefault="00DA2766" w:rsidP="00DA2766">
            <w:pPr>
              <w:pBdr>
                <w:top w:val="nil"/>
                <w:left w:val="nil"/>
                <w:bottom w:val="nil"/>
                <w:right w:val="nil"/>
                <w:between w:val="nil"/>
              </w:pBdr>
              <w:jc w:val="center"/>
              <w:rPr>
                <w:color w:val="000000"/>
                <w:sz w:val="22"/>
              </w:rPr>
            </w:pPr>
            <w:proofErr w:type="spellStart"/>
            <w:r w:rsidRPr="00B74A55">
              <w:rPr>
                <w:color w:val="000000"/>
                <w:sz w:val="22"/>
              </w:rPr>
              <w:t>кв.м</w:t>
            </w:r>
            <w:proofErr w:type="spellEnd"/>
          </w:p>
        </w:tc>
        <w:tc>
          <w:tcPr>
            <w:tcW w:w="1474" w:type="dxa"/>
            <w:gridSpan w:val="2"/>
            <w:tcBorders>
              <w:top w:val="single" w:sz="4" w:space="0" w:color="000000"/>
              <w:left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p>
          <w:p w:rsidR="00DA2766" w:rsidRPr="00B74A55" w:rsidRDefault="00DA2766" w:rsidP="00DA2766">
            <w:pPr>
              <w:pBdr>
                <w:top w:val="nil"/>
                <w:left w:val="nil"/>
                <w:bottom w:val="nil"/>
                <w:right w:val="nil"/>
                <w:between w:val="nil"/>
              </w:pBdr>
              <w:jc w:val="center"/>
              <w:rPr>
                <w:color w:val="000000"/>
                <w:sz w:val="22"/>
              </w:rPr>
            </w:pPr>
          </w:p>
          <w:p w:rsidR="00DA2766" w:rsidRPr="00B74A55" w:rsidRDefault="00DA2766" w:rsidP="00DA2766">
            <w:pPr>
              <w:pBdr>
                <w:top w:val="nil"/>
                <w:left w:val="nil"/>
                <w:bottom w:val="nil"/>
                <w:right w:val="nil"/>
                <w:between w:val="nil"/>
              </w:pBdr>
              <w:jc w:val="center"/>
              <w:rPr>
                <w:color w:val="000000"/>
                <w:sz w:val="22"/>
              </w:rPr>
            </w:pPr>
          </w:p>
          <w:p w:rsidR="00DA2766" w:rsidRPr="00B74A55" w:rsidRDefault="00DA2766" w:rsidP="00DA2766">
            <w:pPr>
              <w:pBdr>
                <w:top w:val="nil"/>
                <w:left w:val="nil"/>
                <w:bottom w:val="nil"/>
                <w:right w:val="nil"/>
                <w:between w:val="nil"/>
              </w:pBdr>
              <w:jc w:val="center"/>
              <w:rPr>
                <w:color w:val="000000"/>
                <w:sz w:val="22"/>
              </w:rPr>
            </w:pPr>
            <w:r w:rsidRPr="00B74A55">
              <w:rPr>
                <w:color w:val="000000"/>
                <w:sz w:val="22"/>
              </w:rPr>
              <w:t>2000</w:t>
            </w:r>
          </w:p>
          <w:p w:rsidR="00DA2766" w:rsidRPr="00B74A55" w:rsidRDefault="00DA2766" w:rsidP="00DA2766">
            <w:pPr>
              <w:pBdr>
                <w:top w:val="nil"/>
                <w:left w:val="nil"/>
                <w:bottom w:val="nil"/>
                <w:right w:val="nil"/>
                <w:between w:val="nil"/>
              </w:pBdr>
              <w:jc w:val="center"/>
              <w:rPr>
                <w:color w:val="000000"/>
                <w:sz w:val="22"/>
              </w:rPr>
            </w:pPr>
            <w:r w:rsidRPr="00B74A55">
              <w:rPr>
                <w:color w:val="000000"/>
                <w:sz w:val="22"/>
              </w:rPr>
              <w:t>2000</w:t>
            </w:r>
          </w:p>
          <w:p w:rsidR="00DA2766" w:rsidRPr="00B74A55" w:rsidRDefault="00DA2766" w:rsidP="00DA2766">
            <w:pPr>
              <w:pBdr>
                <w:top w:val="nil"/>
                <w:left w:val="nil"/>
                <w:bottom w:val="nil"/>
                <w:right w:val="nil"/>
                <w:between w:val="nil"/>
              </w:pBdr>
              <w:jc w:val="center"/>
              <w:rPr>
                <w:color w:val="000000"/>
                <w:sz w:val="22"/>
              </w:rPr>
            </w:pPr>
          </w:p>
          <w:p w:rsidR="00DA2766" w:rsidRPr="00B74A55" w:rsidRDefault="00DA2766" w:rsidP="00DA2766">
            <w:pPr>
              <w:pBdr>
                <w:top w:val="nil"/>
                <w:left w:val="nil"/>
                <w:bottom w:val="nil"/>
                <w:right w:val="nil"/>
                <w:between w:val="nil"/>
              </w:pBdr>
              <w:jc w:val="center"/>
              <w:rPr>
                <w:color w:val="000000"/>
                <w:sz w:val="22"/>
              </w:rPr>
            </w:pPr>
            <w:r w:rsidRPr="00B74A55">
              <w:rPr>
                <w:color w:val="000000"/>
                <w:sz w:val="22"/>
              </w:rPr>
              <w:t>2000</w:t>
            </w:r>
          </w:p>
          <w:p w:rsidR="00DA2766" w:rsidRPr="00B74A55" w:rsidRDefault="00DA2766" w:rsidP="00DA2766">
            <w:pPr>
              <w:pBdr>
                <w:top w:val="nil"/>
                <w:left w:val="nil"/>
                <w:bottom w:val="nil"/>
                <w:right w:val="nil"/>
                <w:between w:val="nil"/>
              </w:pBdr>
              <w:jc w:val="center"/>
              <w:rPr>
                <w:color w:val="000000"/>
                <w:sz w:val="22"/>
              </w:rPr>
            </w:pPr>
            <w:r w:rsidRPr="00B74A55">
              <w:rPr>
                <w:color w:val="000000"/>
                <w:sz w:val="22"/>
              </w:rPr>
              <w:t>1500</w:t>
            </w:r>
          </w:p>
        </w:tc>
      </w:tr>
      <w:tr w:rsidR="00DA2766" w:rsidRPr="00B74A55" w:rsidTr="00EE75AB">
        <w:trPr>
          <w:cantSplit/>
          <w:trHeight w:val="696"/>
        </w:trPr>
        <w:tc>
          <w:tcPr>
            <w:tcW w:w="2978" w:type="dxa"/>
            <w:vMerge/>
            <w:tcBorders>
              <w:top w:val="single" w:sz="4" w:space="0" w:color="000000"/>
              <w:left w:val="single" w:sz="6" w:space="0" w:color="000000"/>
              <w:right w:val="single" w:sz="6" w:space="0" w:color="000000"/>
            </w:tcBorders>
            <w:shd w:val="clear" w:color="auto" w:fill="C6D9F1" w:themeFill="text2" w:themeFillTint="33"/>
          </w:tcPr>
          <w:p w:rsidR="00DA2766" w:rsidRPr="00B74A55" w:rsidRDefault="00DA2766" w:rsidP="00DA2766">
            <w:pPr>
              <w:widowControl w:val="0"/>
              <w:pBdr>
                <w:top w:val="nil"/>
                <w:left w:val="nil"/>
                <w:bottom w:val="nil"/>
                <w:right w:val="nil"/>
                <w:between w:val="nil"/>
              </w:pBdr>
              <w:spacing w:line="276" w:lineRule="auto"/>
              <w:rPr>
                <w:color w:val="000000"/>
                <w:sz w:val="22"/>
              </w:rPr>
            </w:pPr>
          </w:p>
        </w:tc>
        <w:tc>
          <w:tcPr>
            <w:tcW w:w="3968" w:type="dxa"/>
            <w:gridSpan w:val="3"/>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rPr>
                <w:color w:val="000000"/>
                <w:sz w:val="22"/>
              </w:rPr>
            </w:pPr>
            <w:r w:rsidRPr="00B74A55">
              <w:rPr>
                <w:color w:val="000000"/>
                <w:sz w:val="22"/>
              </w:rPr>
              <w:t>- заміна вікон на нові,  у кількості:</w:t>
            </w:r>
          </w:p>
          <w:p w:rsidR="00DA2766" w:rsidRPr="00B74A55" w:rsidRDefault="00DA2766" w:rsidP="00DA2766">
            <w:pPr>
              <w:pBdr>
                <w:top w:val="nil"/>
                <w:left w:val="nil"/>
                <w:bottom w:val="nil"/>
                <w:right w:val="nil"/>
                <w:between w:val="nil"/>
              </w:pBdr>
              <w:rPr>
                <w:color w:val="000000"/>
                <w:sz w:val="22"/>
              </w:rPr>
            </w:pPr>
            <w:r w:rsidRPr="00B74A55">
              <w:rPr>
                <w:color w:val="000000"/>
                <w:sz w:val="22"/>
              </w:rPr>
              <w:t xml:space="preserve">   вікна; </w:t>
            </w:r>
          </w:p>
          <w:p w:rsidR="00DA2766" w:rsidRPr="00B74A55" w:rsidRDefault="00DA2766" w:rsidP="00DA2766">
            <w:pPr>
              <w:pBdr>
                <w:top w:val="nil"/>
                <w:left w:val="nil"/>
                <w:bottom w:val="nil"/>
                <w:right w:val="nil"/>
                <w:between w:val="nil"/>
              </w:pBdr>
              <w:rPr>
                <w:color w:val="000000"/>
                <w:sz w:val="22"/>
              </w:rPr>
            </w:pPr>
            <w:r w:rsidRPr="00B74A55">
              <w:rPr>
                <w:color w:val="000000"/>
                <w:sz w:val="22"/>
              </w:rPr>
              <w:t xml:space="preserve">   балконні блоки;</w:t>
            </w:r>
          </w:p>
        </w:tc>
        <w:tc>
          <w:tcPr>
            <w:tcW w:w="1503" w:type="dxa"/>
            <w:gridSpan w:val="2"/>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p>
          <w:p w:rsidR="00DA2766" w:rsidRPr="00B74A55" w:rsidRDefault="00DA2766" w:rsidP="00DA2766">
            <w:pPr>
              <w:pBdr>
                <w:top w:val="nil"/>
                <w:left w:val="nil"/>
                <w:bottom w:val="nil"/>
                <w:right w:val="nil"/>
                <w:between w:val="nil"/>
              </w:pBdr>
              <w:jc w:val="center"/>
              <w:rPr>
                <w:color w:val="000000"/>
                <w:sz w:val="22"/>
              </w:rPr>
            </w:pPr>
            <w:r w:rsidRPr="00B74A55">
              <w:rPr>
                <w:color w:val="000000"/>
                <w:sz w:val="22"/>
              </w:rPr>
              <w:t>одиниць</w:t>
            </w:r>
          </w:p>
          <w:p w:rsidR="00DA2766" w:rsidRPr="00B74A55" w:rsidRDefault="00DA2766" w:rsidP="00DA2766">
            <w:pPr>
              <w:pBdr>
                <w:top w:val="nil"/>
                <w:left w:val="nil"/>
                <w:bottom w:val="nil"/>
                <w:right w:val="nil"/>
                <w:between w:val="nil"/>
              </w:pBdr>
              <w:jc w:val="center"/>
              <w:rPr>
                <w:color w:val="000000"/>
                <w:sz w:val="22"/>
              </w:rPr>
            </w:pPr>
            <w:r w:rsidRPr="00B74A55">
              <w:rPr>
                <w:color w:val="000000"/>
                <w:sz w:val="22"/>
              </w:rPr>
              <w:t>одиниць</w:t>
            </w:r>
          </w:p>
          <w:p w:rsidR="00DA2766" w:rsidRPr="00B74A55" w:rsidRDefault="00DA2766" w:rsidP="00DA2766">
            <w:pPr>
              <w:pBdr>
                <w:top w:val="nil"/>
                <w:left w:val="nil"/>
                <w:bottom w:val="nil"/>
                <w:right w:val="nil"/>
                <w:between w:val="nil"/>
              </w:pBdr>
              <w:jc w:val="center"/>
              <w:rPr>
                <w:color w:val="000000"/>
                <w:sz w:val="22"/>
              </w:rPr>
            </w:pPr>
          </w:p>
        </w:tc>
        <w:tc>
          <w:tcPr>
            <w:tcW w:w="1474" w:type="dxa"/>
            <w:gridSpan w:val="2"/>
            <w:tcBorders>
              <w:top w:val="single" w:sz="6" w:space="0" w:color="000000"/>
              <w:left w:val="single" w:sz="6" w:space="0" w:color="000000"/>
              <w:right w:val="single" w:sz="6" w:space="0" w:color="000000"/>
            </w:tcBorders>
          </w:tcPr>
          <w:p w:rsidR="00DA2766" w:rsidRPr="00B74A55" w:rsidRDefault="00DA2766" w:rsidP="00DA2766">
            <w:pPr>
              <w:widowControl w:val="0"/>
              <w:pBdr>
                <w:top w:val="nil"/>
                <w:left w:val="nil"/>
                <w:bottom w:val="nil"/>
                <w:right w:val="nil"/>
                <w:between w:val="nil"/>
              </w:pBdr>
              <w:jc w:val="center"/>
              <w:rPr>
                <w:color w:val="000000"/>
                <w:sz w:val="22"/>
              </w:rPr>
            </w:pPr>
          </w:p>
          <w:p w:rsidR="00DA2766" w:rsidRPr="00B74A55" w:rsidRDefault="00DA2766" w:rsidP="00DA2766">
            <w:pPr>
              <w:widowControl w:val="0"/>
              <w:pBdr>
                <w:top w:val="nil"/>
                <w:left w:val="nil"/>
                <w:bottom w:val="nil"/>
                <w:right w:val="nil"/>
                <w:between w:val="nil"/>
              </w:pBdr>
              <w:jc w:val="center"/>
              <w:rPr>
                <w:color w:val="000000"/>
                <w:sz w:val="22"/>
              </w:rPr>
            </w:pPr>
            <w:r w:rsidRPr="00B74A55">
              <w:rPr>
                <w:color w:val="000000"/>
                <w:sz w:val="22"/>
              </w:rPr>
              <w:t>147</w:t>
            </w:r>
          </w:p>
          <w:p w:rsidR="00DA2766" w:rsidRPr="00B74A55" w:rsidRDefault="00DA2766" w:rsidP="00DA2766">
            <w:pPr>
              <w:widowControl w:val="0"/>
              <w:pBdr>
                <w:top w:val="nil"/>
                <w:left w:val="nil"/>
                <w:bottom w:val="nil"/>
                <w:right w:val="nil"/>
                <w:between w:val="nil"/>
              </w:pBdr>
              <w:spacing w:line="276" w:lineRule="auto"/>
              <w:jc w:val="center"/>
              <w:rPr>
                <w:color w:val="000000"/>
                <w:sz w:val="22"/>
              </w:rPr>
            </w:pPr>
            <w:r w:rsidRPr="00B74A55">
              <w:rPr>
                <w:color w:val="000000"/>
                <w:sz w:val="22"/>
              </w:rPr>
              <w:t>8</w:t>
            </w:r>
          </w:p>
        </w:tc>
      </w:tr>
      <w:tr w:rsidR="00DA2766" w:rsidRPr="00B74A55" w:rsidTr="00EE75AB">
        <w:trPr>
          <w:cantSplit/>
          <w:trHeight w:val="936"/>
        </w:trPr>
        <w:tc>
          <w:tcPr>
            <w:tcW w:w="2978" w:type="dxa"/>
            <w:vMerge/>
            <w:tcBorders>
              <w:top w:val="single" w:sz="4" w:space="0" w:color="000000"/>
              <w:left w:val="single" w:sz="6" w:space="0" w:color="000000"/>
              <w:right w:val="single" w:sz="6" w:space="0" w:color="000000"/>
            </w:tcBorders>
            <w:shd w:val="clear" w:color="auto" w:fill="C6D9F1" w:themeFill="text2" w:themeFillTint="33"/>
          </w:tcPr>
          <w:p w:rsidR="00DA2766" w:rsidRPr="00B74A55" w:rsidRDefault="00DA2766" w:rsidP="00DA2766">
            <w:pPr>
              <w:widowControl w:val="0"/>
              <w:pBdr>
                <w:top w:val="nil"/>
                <w:left w:val="nil"/>
                <w:bottom w:val="nil"/>
                <w:right w:val="nil"/>
                <w:between w:val="nil"/>
              </w:pBdr>
              <w:spacing w:line="276" w:lineRule="auto"/>
              <w:rPr>
                <w:color w:val="000000"/>
                <w:sz w:val="22"/>
              </w:rPr>
            </w:pPr>
          </w:p>
        </w:tc>
        <w:tc>
          <w:tcPr>
            <w:tcW w:w="3968" w:type="dxa"/>
            <w:gridSpan w:val="3"/>
            <w:tcBorders>
              <w:top w:val="single" w:sz="6" w:space="0" w:color="000000"/>
              <w:left w:val="single" w:sz="6" w:space="0" w:color="000000"/>
              <w:bottom w:val="single" w:sz="6" w:space="0" w:color="000000"/>
              <w:right w:val="single" w:sz="6" w:space="0" w:color="000000"/>
            </w:tcBorders>
          </w:tcPr>
          <w:p w:rsidR="00DA2766" w:rsidRPr="00B74A55" w:rsidRDefault="00DA2766" w:rsidP="00396F5A">
            <w:pPr>
              <w:pBdr>
                <w:top w:val="nil"/>
                <w:left w:val="nil"/>
                <w:bottom w:val="nil"/>
                <w:right w:val="nil"/>
                <w:between w:val="nil"/>
              </w:pBdr>
              <w:jc w:val="left"/>
              <w:rPr>
                <w:color w:val="000000"/>
                <w:sz w:val="22"/>
              </w:rPr>
            </w:pPr>
            <w:r w:rsidRPr="00B74A55">
              <w:rPr>
                <w:color w:val="000000"/>
                <w:sz w:val="22"/>
              </w:rPr>
              <w:t xml:space="preserve"> - заміна вхідних та внутрішніх дверей, у кількості:  </w:t>
            </w:r>
            <w:r w:rsidRPr="00B74A55">
              <w:rPr>
                <w:color w:val="000000"/>
                <w:sz w:val="22"/>
              </w:rPr>
              <w:br/>
              <w:t xml:space="preserve">  двері вхідні;</w:t>
            </w:r>
          </w:p>
          <w:p w:rsidR="00DA2766" w:rsidRPr="00B74A55" w:rsidRDefault="00DA2766" w:rsidP="00DA2766">
            <w:pPr>
              <w:pBdr>
                <w:top w:val="nil"/>
                <w:left w:val="nil"/>
                <w:bottom w:val="nil"/>
                <w:right w:val="nil"/>
                <w:between w:val="nil"/>
              </w:pBdr>
              <w:rPr>
                <w:color w:val="000000"/>
                <w:sz w:val="22"/>
              </w:rPr>
            </w:pPr>
            <w:r w:rsidRPr="00B74A55">
              <w:rPr>
                <w:color w:val="000000"/>
                <w:sz w:val="22"/>
              </w:rPr>
              <w:t xml:space="preserve">  двері внутрішні; </w:t>
            </w:r>
          </w:p>
        </w:tc>
        <w:tc>
          <w:tcPr>
            <w:tcW w:w="1503" w:type="dxa"/>
            <w:gridSpan w:val="2"/>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p>
          <w:p w:rsidR="00DA2766" w:rsidRPr="00B74A55" w:rsidRDefault="00DA2766" w:rsidP="00DA2766">
            <w:pPr>
              <w:pBdr>
                <w:top w:val="nil"/>
                <w:left w:val="nil"/>
                <w:bottom w:val="nil"/>
                <w:right w:val="nil"/>
                <w:between w:val="nil"/>
              </w:pBdr>
              <w:jc w:val="center"/>
              <w:rPr>
                <w:color w:val="000000"/>
                <w:sz w:val="22"/>
              </w:rPr>
            </w:pPr>
          </w:p>
          <w:p w:rsidR="00DA2766" w:rsidRPr="00B74A55" w:rsidRDefault="00DA2766" w:rsidP="00DA2766">
            <w:pPr>
              <w:pBdr>
                <w:top w:val="nil"/>
                <w:left w:val="nil"/>
                <w:bottom w:val="nil"/>
                <w:right w:val="nil"/>
                <w:between w:val="nil"/>
              </w:pBdr>
              <w:jc w:val="center"/>
              <w:rPr>
                <w:color w:val="000000"/>
                <w:sz w:val="22"/>
              </w:rPr>
            </w:pPr>
            <w:r w:rsidRPr="00B74A55">
              <w:rPr>
                <w:color w:val="000000"/>
                <w:sz w:val="22"/>
              </w:rPr>
              <w:t>одиниць</w:t>
            </w:r>
          </w:p>
          <w:p w:rsidR="00DA2766" w:rsidRPr="00B74A55" w:rsidRDefault="00DA2766" w:rsidP="00E7537E">
            <w:pPr>
              <w:pBdr>
                <w:top w:val="nil"/>
                <w:left w:val="nil"/>
                <w:bottom w:val="nil"/>
                <w:right w:val="nil"/>
                <w:between w:val="nil"/>
              </w:pBdr>
              <w:jc w:val="center"/>
              <w:rPr>
                <w:color w:val="000000"/>
                <w:sz w:val="22"/>
              </w:rPr>
            </w:pPr>
            <w:r w:rsidRPr="00B74A55">
              <w:rPr>
                <w:color w:val="000000"/>
                <w:sz w:val="22"/>
              </w:rPr>
              <w:t>одиниць</w:t>
            </w:r>
          </w:p>
        </w:tc>
        <w:tc>
          <w:tcPr>
            <w:tcW w:w="1474" w:type="dxa"/>
            <w:gridSpan w:val="2"/>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widowControl w:val="0"/>
              <w:pBdr>
                <w:top w:val="nil"/>
                <w:left w:val="nil"/>
                <w:bottom w:val="nil"/>
                <w:right w:val="nil"/>
                <w:between w:val="nil"/>
              </w:pBdr>
              <w:rPr>
                <w:color w:val="000000"/>
                <w:sz w:val="22"/>
              </w:rPr>
            </w:pPr>
          </w:p>
          <w:p w:rsidR="00DA2766" w:rsidRPr="00B74A55" w:rsidRDefault="00DA2766" w:rsidP="00DA2766">
            <w:pPr>
              <w:widowControl w:val="0"/>
              <w:pBdr>
                <w:top w:val="nil"/>
                <w:left w:val="nil"/>
                <w:bottom w:val="nil"/>
                <w:right w:val="nil"/>
                <w:between w:val="nil"/>
              </w:pBdr>
              <w:rPr>
                <w:color w:val="000000"/>
                <w:sz w:val="22"/>
              </w:rPr>
            </w:pPr>
          </w:p>
          <w:p w:rsidR="00DA2766" w:rsidRPr="00B74A55" w:rsidRDefault="00DA2766" w:rsidP="00DA2766">
            <w:pPr>
              <w:widowControl w:val="0"/>
              <w:pBdr>
                <w:top w:val="nil"/>
                <w:left w:val="nil"/>
                <w:bottom w:val="nil"/>
                <w:right w:val="nil"/>
                <w:between w:val="nil"/>
              </w:pBdr>
              <w:jc w:val="center"/>
              <w:rPr>
                <w:color w:val="000000"/>
                <w:sz w:val="22"/>
              </w:rPr>
            </w:pPr>
            <w:r w:rsidRPr="00B74A55">
              <w:rPr>
                <w:color w:val="000000"/>
                <w:sz w:val="22"/>
              </w:rPr>
              <w:t>11</w:t>
            </w:r>
          </w:p>
          <w:p w:rsidR="00DA2766" w:rsidRPr="00B74A55" w:rsidRDefault="00DA2766" w:rsidP="00DA2766">
            <w:pPr>
              <w:pBdr>
                <w:top w:val="nil"/>
                <w:left w:val="nil"/>
                <w:bottom w:val="nil"/>
                <w:right w:val="nil"/>
                <w:between w:val="nil"/>
              </w:pBdr>
              <w:tabs>
                <w:tab w:val="left" w:pos="5290"/>
              </w:tabs>
              <w:jc w:val="center"/>
              <w:rPr>
                <w:color w:val="000000"/>
                <w:sz w:val="22"/>
              </w:rPr>
            </w:pPr>
            <w:r w:rsidRPr="00B74A55">
              <w:rPr>
                <w:color w:val="000000"/>
                <w:sz w:val="22"/>
              </w:rPr>
              <w:t>128</w:t>
            </w:r>
          </w:p>
        </w:tc>
      </w:tr>
      <w:tr w:rsidR="00DA2766" w:rsidRPr="00B74A55" w:rsidTr="00EE75AB">
        <w:trPr>
          <w:cantSplit/>
          <w:trHeight w:val="2802"/>
        </w:trPr>
        <w:tc>
          <w:tcPr>
            <w:tcW w:w="2978" w:type="dxa"/>
            <w:vMerge/>
            <w:tcBorders>
              <w:top w:val="single" w:sz="4" w:space="0" w:color="000000"/>
              <w:left w:val="single" w:sz="6" w:space="0" w:color="000000"/>
              <w:right w:val="single" w:sz="6" w:space="0" w:color="000000"/>
            </w:tcBorders>
            <w:shd w:val="clear" w:color="auto" w:fill="C6D9F1" w:themeFill="text2" w:themeFillTint="33"/>
          </w:tcPr>
          <w:p w:rsidR="00DA2766" w:rsidRPr="00B74A55" w:rsidRDefault="00DA2766" w:rsidP="00DA2766">
            <w:pPr>
              <w:widowControl w:val="0"/>
              <w:pBdr>
                <w:top w:val="nil"/>
                <w:left w:val="nil"/>
                <w:bottom w:val="nil"/>
                <w:right w:val="nil"/>
                <w:between w:val="nil"/>
              </w:pBdr>
              <w:spacing w:line="276" w:lineRule="auto"/>
              <w:rPr>
                <w:color w:val="000000"/>
                <w:sz w:val="22"/>
              </w:rPr>
            </w:pPr>
          </w:p>
        </w:tc>
        <w:tc>
          <w:tcPr>
            <w:tcW w:w="3968" w:type="dxa"/>
            <w:gridSpan w:val="3"/>
            <w:tcBorders>
              <w:top w:val="single" w:sz="6" w:space="0" w:color="000000"/>
              <w:left w:val="single" w:sz="6" w:space="0" w:color="000000"/>
              <w:bottom w:val="single" w:sz="6" w:space="0" w:color="000000"/>
              <w:right w:val="single" w:sz="6" w:space="0" w:color="000000"/>
            </w:tcBorders>
          </w:tcPr>
          <w:p w:rsidR="00DA2766" w:rsidRPr="00B74A55" w:rsidRDefault="00DA2766" w:rsidP="00396F5A">
            <w:pPr>
              <w:pBdr>
                <w:top w:val="nil"/>
                <w:left w:val="nil"/>
                <w:bottom w:val="nil"/>
                <w:right w:val="nil"/>
                <w:between w:val="nil"/>
              </w:pBdr>
              <w:tabs>
                <w:tab w:val="left" w:pos="5290"/>
              </w:tabs>
              <w:jc w:val="left"/>
              <w:rPr>
                <w:color w:val="000000"/>
                <w:sz w:val="22"/>
              </w:rPr>
            </w:pPr>
            <w:r w:rsidRPr="00B74A55">
              <w:rPr>
                <w:color w:val="000000"/>
                <w:sz w:val="22"/>
              </w:rPr>
              <w:t xml:space="preserve"> капітальний ремонт усіх приміщень: </w:t>
            </w:r>
          </w:p>
          <w:p w:rsidR="00DA2766" w:rsidRPr="00B74A55" w:rsidRDefault="00DA2766" w:rsidP="00396F5A">
            <w:pPr>
              <w:pBdr>
                <w:top w:val="nil"/>
                <w:left w:val="nil"/>
                <w:bottom w:val="nil"/>
                <w:right w:val="nil"/>
                <w:between w:val="nil"/>
              </w:pBdr>
              <w:tabs>
                <w:tab w:val="left" w:pos="5290"/>
              </w:tabs>
              <w:jc w:val="left"/>
              <w:rPr>
                <w:color w:val="000000"/>
                <w:sz w:val="22"/>
              </w:rPr>
            </w:pPr>
            <w:r w:rsidRPr="00B74A55">
              <w:rPr>
                <w:color w:val="000000"/>
                <w:sz w:val="22"/>
              </w:rPr>
              <w:t xml:space="preserve"> - групових осередків</w:t>
            </w:r>
            <w:r w:rsidR="00E7537E" w:rsidRPr="00B74A55">
              <w:rPr>
                <w:color w:val="000000"/>
                <w:sz w:val="22"/>
              </w:rPr>
              <w:t>;</w:t>
            </w:r>
            <w:r w:rsidRPr="00B74A55">
              <w:rPr>
                <w:color w:val="000000"/>
                <w:sz w:val="22"/>
              </w:rPr>
              <w:t xml:space="preserve">  </w:t>
            </w:r>
            <w:r w:rsidRPr="00B74A55">
              <w:rPr>
                <w:color w:val="000000"/>
                <w:sz w:val="22"/>
              </w:rPr>
              <w:br/>
              <w:t xml:space="preserve"> - капітальний ремонт харчоблоку, </w:t>
            </w:r>
            <w:r w:rsidRPr="00B74A55">
              <w:rPr>
                <w:color w:val="000000"/>
                <w:sz w:val="22"/>
              </w:rPr>
              <w:br/>
              <w:t xml:space="preserve"> - капітальний ремонт пральної кімнати</w:t>
            </w:r>
            <w:r w:rsidR="00E7537E" w:rsidRPr="00B74A55">
              <w:rPr>
                <w:color w:val="000000"/>
                <w:sz w:val="22"/>
              </w:rPr>
              <w:t>;</w:t>
            </w:r>
            <w:r w:rsidRPr="00B74A55">
              <w:rPr>
                <w:color w:val="000000"/>
                <w:sz w:val="22"/>
              </w:rPr>
              <w:t xml:space="preserve">  </w:t>
            </w:r>
            <w:r w:rsidRPr="00B74A55">
              <w:rPr>
                <w:color w:val="000000"/>
                <w:sz w:val="22"/>
              </w:rPr>
              <w:br/>
              <w:t xml:space="preserve"> - капітальний ремонт кабінетів спеціалістів</w:t>
            </w:r>
            <w:r w:rsidR="00E7537E" w:rsidRPr="00B74A55">
              <w:rPr>
                <w:color w:val="000000"/>
                <w:sz w:val="22"/>
              </w:rPr>
              <w:t>.;</w:t>
            </w:r>
            <w:r w:rsidRPr="00B74A55">
              <w:rPr>
                <w:color w:val="000000"/>
                <w:sz w:val="22"/>
              </w:rPr>
              <w:t xml:space="preserve"> </w:t>
            </w:r>
            <w:r w:rsidRPr="00B74A55">
              <w:rPr>
                <w:color w:val="000000"/>
                <w:sz w:val="22"/>
              </w:rPr>
              <w:br/>
              <w:t xml:space="preserve"> - капітальний ремонт музичної та спортивної залів</w:t>
            </w:r>
            <w:r w:rsidR="00E7537E" w:rsidRPr="00B74A55">
              <w:rPr>
                <w:color w:val="000000"/>
                <w:sz w:val="22"/>
              </w:rPr>
              <w:t>.</w:t>
            </w:r>
          </w:p>
        </w:tc>
        <w:tc>
          <w:tcPr>
            <w:tcW w:w="1503" w:type="dxa"/>
            <w:gridSpan w:val="2"/>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p>
          <w:p w:rsidR="00396F5A" w:rsidRPr="00B74A55" w:rsidRDefault="00396F5A" w:rsidP="00DA2766">
            <w:pPr>
              <w:pBdr>
                <w:top w:val="nil"/>
                <w:left w:val="nil"/>
                <w:bottom w:val="nil"/>
                <w:right w:val="nil"/>
                <w:between w:val="nil"/>
              </w:pBdr>
              <w:jc w:val="center"/>
              <w:rPr>
                <w:color w:val="000000"/>
                <w:sz w:val="22"/>
              </w:rPr>
            </w:pPr>
          </w:p>
          <w:p w:rsidR="00DA2766" w:rsidRPr="00B74A55" w:rsidRDefault="00DA2766" w:rsidP="00DA2766">
            <w:pPr>
              <w:pBdr>
                <w:top w:val="nil"/>
                <w:left w:val="nil"/>
                <w:bottom w:val="nil"/>
                <w:right w:val="nil"/>
                <w:between w:val="nil"/>
              </w:pBdr>
              <w:jc w:val="center"/>
              <w:rPr>
                <w:color w:val="000000"/>
                <w:sz w:val="22"/>
              </w:rPr>
            </w:pPr>
            <w:proofErr w:type="spellStart"/>
            <w:r w:rsidRPr="00B74A55">
              <w:rPr>
                <w:color w:val="000000"/>
                <w:sz w:val="22"/>
              </w:rPr>
              <w:t>кв.м</w:t>
            </w:r>
            <w:proofErr w:type="spellEnd"/>
            <w:r w:rsidRPr="00B74A55">
              <w:rPr>
                <w:color w:val="000000"/>
                <w:sz w:val="22"/>
              </w:rPr>
              <w:t xml:space="preserve"> </w:t>
            </w:r>
          </w:p>
          <w:p w:rsidR="00396F5A" w:rsidRPr="00B74A55" w:rsidRDefault="00DA2766" w:rsidP="00DA2766">
            <w:pPr>
              <w:pBdr>
                <w:top w:val="nil"/>
                <w:left w:val="nil"/>
                <w:bottom w:val="nil"/>
                <w:right w:val="nil"/>
                <w:between w:val="nil"/>
              </w:pBdr>
              <w:jc w:val="center"/>
              <w:rPr>
                <w:color w:val="000000"/>
                <w:sz w:val="22"/>
              </w:rPr>
            </w:pPr>
            <w:proofErr w:type="spellStart"/>
            <w:r w:rsidRPr="00B74A55">
              <w:rPr>
                <w:color w:val="000000"/>
                <w:sz w:val="22"/>
              </w:rPr>
              <w:t>кв.м</w:t>
            </w:r>
            <w:proofErr w:type="spellEnd"/>
          </w:p>
          <w:p w:rsidR="00DA2766" w:rsidRPr="00B74A55" w:rsidRDefault="00DA2766" w:rsidP="00DA2766">
            <w:pPr>
              <w:pBdr>
                <w:top w:val="nil"/>
                <w:left w:val="nil"/>
                <w:bottom w:val="nil"/>
                <w:right w:val="nil"/>
                <w:between w:val="nil"/>
              </w:pBdr>
              <w:jc w:val="center"/>
              <w:rPr>
                <w:color w:val="000000"/>
                <w:sz w:val="22"/>
              </w:rPr>
            </w:pPr>
            <w:proofErr w:type="spellStart"/>
            <w:r w:rsidRPr="00B74A55">
              <w:rPr>
                <w:color w:val="000000"/>
                <w:sz w:val="22"/>
              </w:rPr>
              <w:t>кв.м</w:t>
            </w:r>
            <w:proofErr w:type="spellEnd"/>
          </w:p>
          <w:p w:rsidR="00DA2766" w:rsidRPr="00B74A55" w:rsidRDefault="00DA2766" w:rsidP="00DA2766">
            <w:pPr>
              <w:pBdr>
                <w:top w:val="nil"/>
                <w:left w:val="nil"/>
                <w:bottom w:val="nil"/>
                <w:right w:val="nil"/>
                <w:between w:val="nil"/>
              </w:pBdr>
              <w:jc w:val="center"/>
              <w:rPr>
                <w:color w:val="000000"/>
                <w:sz w:val="22"/>
              </w:rPr>
            </w:pPr>
          </w:p>
          <w:p w:rsidR="00DA2766" w:rsidRPr="00B74A55" w:rsidRDefault="00DA2766" w:rsidP="00DA2766">
            <w:pPr>
              <w:pBdr>
                <w:top w:val="nil"/>
                <w:left w:val="nil"/>
                <w:bottom w:val="nil"/>
                <w:right w:val="nil"/>
                <w:between w:val="nil"/>
              </w:pBdr>
              <w:jc w:val="center"/>
              <w:rPr>
                <w:color w:val="000000"/>
                <w:sz w:val="22"/>
              </w:rPr>
            </w:pPr>
            <w:r w:rsidRPr="00B74A55">
              <w:rPr>
                <w:color w:val="000000"/>
                <w:sz w:val="22"/>
              </w:rPr>
              <w:t>одиниць</w:t>
            </w:r>
          </w:p>
          <w:p w:rsidR="00DA2766" w:rsidRPr="00B74A55" w:rsidRDefault="00DA2766" w:rsidP="00DA2766">
            <w:pPr>
              <w:pBdr>
                <w:top w:val="nil"/>
                <w:left w:val="nil"/>
                <w:bottom w:val="nil"/>
                <w:right w:val="nil"/>
                <w:between w:val="nil"/>
              </w:pBdr>
              <w:jc w:val="center"/>
              <w:rPr>
                <w:color w:val="000000"/>
                <w:sz w:val="22"/>
              </w:rPr>
            </w:pPr>
          </w:p>
          <w:p w:rsidR="00DA2766" w:rsidRPr="00B74A55" w:rsidRDefault="00DA2766" w:rsidP="00396F5A">
            <w:pPr>
              <w:pBdr>
                <w:top w:val="nil"/>
                <w:left w:val="nil"/>
                <w:bottom w:val="nil"/>
                <w:right w:val="nil"/>
                <w:between w:val="nil"/>
              </w:pBdr>
              <w:jc w:val="center"/>
              <w:rPr>
                <w:color w:val="000000"/>
                <w:sz w:val="22"/>
              </w:rPr>
            </w:pPr>
            <w:proofErr w:type="spellStart"/>
            <w:r w:rsidRPr="00B74A55">
              <w:rPr>
                <w:color w:val="000000"/>
                <w:sz w:val="22"/>
              </w:rPr>
              <w:t>кв.м</w:t>
            </w:r>
            <w:proofErr w:type="spellEnd"/>
            <w:r w:rsidRPr="00B74A55">
              <w:rPr>
                <w:color w:val="000000"/>
                <w:sz w:val="22"/>
              </w:rPr>
              <w:t xml:space="preserve"> </w:t>
            </w:r>
          </w:p>
        </w:tc>
        <w:tc>
          <w:tcPr>
            <w:tcW w:w="1474" w:type="dxa"/>
            <w:gridSpan w:val="2"/>
            <w:tcBorders>
              <w:top w:val="single" w:sz="6" w:space="0" w:color="000000"/>
              <w:left w:val="single" w:sz="6" w:space="0" w:color="000000"/>
              <w:bottom w:val="single" w:sz="4" w:space="0" w:color="000000"/>
              <w:right w:val="single" w:sz="6" w:space="0" w:color="000000"/>
            </w:tcBorders>
          </w:tcPr>
          <w:p w:rsidR="00DA2766" w:rsidRPr="00B74A55" w:rsidRDefault="00DA2766" w:rsidP="00DA2766">
            <w:pPr>
              <w:widowControl w:val="0"/>
              <w:pBdr>
                <w:top w:val="nil"/>
                <w:left w:val="nil"/>
                <w:bottom w:val="nil"/>
                <w:right w:val="nil"/>
                <w:between w:val="nil"/>
              </w:pBdr>
              <w:spacing w:line="276" w:lineRule="auto"/>
              <w:rPr>
                <w:color w:val="000000"/>
                <w:sz w:val="22"/>
              </w:rPr>
            </w:pPr>
          </w:p>
          <w:p w:rsidR="00396F5A" w:rsidRPr="00B74A55" w:rsidRDefault="00396F5A" w:rsidP="00DA2766">
            <w:pPr>
              <w:widowControl w:val="0"/>
              <w:pBdr>
                <w:top w:val="nil"/>
                <w:left w:val="nil"/>
                <w:bottom w:val="nil"/>
                <w:right w:val="nil"/>
                <w:between w:val="nil"/>
              </w:pBdr>
              <w:spacing w:line="276" w:lineRule="auto"/>
              <w:jc w:val="center"/>
              <w:rPr>
                <w:color w:val="000000"/>
                <w:sz w:val="22"/>
              </w:rPr>
            </w:pPr>
          </w:p>
          <w:p w:rsidR="00DA2766" w:rsidRPr="00B74A55" w:rsidRDefault="00DA2766" w:rsidP="00DA2766">
            <w:pPr>
              <w:widowControl w:val="0"/>
              <w:pBdr>
                <w:top w:val="nil"/>
                <w:left w:val="nil"/>
                <w:bottom w:val="nil"/>
                <w:right w:val="nil"/>
                <w:between w:val="nil"/>
              </w:pBdr>
              <w:spacing w:line="276" w:lineRule="auto"/>
              <w:jc w:val="center"/>
              <w:rPr>
                <w:color w:val="000000"/>
                <w:sz w:val="22"/>
              </w:rPr>
            </w:pPr>
            <w:r w:rsidRPr="00B74A55">
              <w:rPr>
                <w:color w:val="000000"/>
                <w:sz w:val="22"/>
              </w:rPr>
              <w:t>1700</w:t>
            </w:r>
          </w:p>
          <w:p w:rsidR="00396F5A" w:rsidRPr="00B74A55" w:rsidRDefault="00DA2766" w:rsidP="00DA2766">
            <w:pPr>
              <w:widowControl w:val="0"/>
              <w:pBdr>
                <w:top w:val="nil"/>
                <w:left w:val="nil"/>
                <w:bottom w:val="nil"/>
                <w:right w:val="nil"/>
                <w:between w:val="nil"/>
              </w:pBdr>
              <w:spacing w:line="276" w:lineRule="auto"/>
              <w:jc w:val="center"/>
              <w:rPr>
                <w:color w:val="000000"/>
                <w:sz w:val="22"/>
              </w:rPr>
            </w:pPr>
            <w:r w:rsidRPr="00B74A55">
              <w:rPr>
                <w:color w:val="000000"/>
                <w:sz w:val="22"/>
              </w:rPr>
              <w:t>100</w:t>
            </w:r>
          </w:p>
          <w:p w:rsidR="00DA2766" w:rsidRPr="00B74A55" w:rsidRDefault="00DA2766" w:rsidP="00DA2766">
            <w:pPr>
              <w:widowControl w:val="0"/>
              <w:pBdr>
                <w:top w:val="nil"/>
                <w:left w:val="nil"/>
                <w:bottom w:val="nil"/>
                <w:right w:val="nil"/>
                <w:between w:val="nil"/>
              </w:pBdr>
              <w:spacing w:line="276" w:lineRule="auto"/>
              <w:jc w:val="center"/>
              <w:rPr>
                <w:color w:val="000000"/>
                <w:sz w:val="22"/>
              </w:rPr>
            </w:pPr>
            <w:r w:rsidRPr="00B74A55">
              <w:rPr>
                <w:color w:val="000000"/>
                <w:sz w:val="22"/>
              </w:rPr>
              <w:t>80</w:t>
            </w:r>
          </w:p>
          <w:p w:rsidR="00DA2766" w:rsidRPr="00B74A55" w:rsidRDefault="00DA2766" w:rsidP="00DA2766">
            <w:pPr>
              <w:widowControl w:val="0"/>
              <w:pBdr>
                <w:top w:val="nil"/>
                <w:left w:val="nil"/>
                <w:bottom w:val="nil"/>
                <w:right w:val="nil"/>
                <w:between w:val="nil"/>
              </w:pBdr>
              <w:spacing w:line="276" w:lineRule="auto"/>
              <w:jc w:val="center"/>
              <w:rPr>
                <w:color w:val="000000"/>
                <w:sz w:val="22"/>
              </w:rPr>
            </w:pPr>
            <w:r w:rsidRPr="00B74A55">
              <w:rPr>
                <w:color w:val="000000"/>
                <w:sz w:val="22"/>
              </w:rPr>
              <w:t>13</w:t>
            </w:r>
          </w:p>
          <w:p w:rsidR="00DA2766" w:rsidRPr="00B74A55" w:rsidRDefault="00DA2766" w:rsidP="00DA2766">
            <w:pPr>
              <w:widowControl w:val="0"/>
              <w:pBdr>
                <w:top w:val="nil"/>
                <w:left w:val="nil"/>
                <w:bottom w:val="nil"/>
                <w:right w:val="nil"/>
                <w:between w:val="nil"/>
              </w:pBdr>
              <w:spacing w:line="276" w:lineRule="auto"/>
              <w:jc w:val="center"/>
              <w:rPr>
                <w:color w:val="000000"/>
                <w:sz w:val="22"/>
              </w:rPr>
            </w:pPr>
          </w:p>
          <w:p w:rsidR="00DA2766" w:rsidRPr="00B74A55" w:rsidRDefault="00DA2766" w:rsidP="00DA2766">
            <w:pPr>
              <w:widowControl w:val="0"/>
              <w:pBdr>
                <w:top w:val="nil"/>
                <w:left w:val="nil"/>
                <w:bottom w:val="nil"/>
                <w:right w:val="nil"/>
                <w:between w:val="nil"/>
              </w:pBdr>
              <w:spacing w:line="276" w:lineRule="auto"/>
              <w:jc w:val="center"/>
              <w:rPr>
                <w:color w:val="000000"/>
                <w:sz w:val="22"/>
              </w:rPr>
            </w:pPr>
            <w:r w:rsidRPr="00B74A55">
              <w:rPr>
                <w:color w:val="000000"/>
                <w:sz w:val="22"/>
              </w:rPr>
              <w:t>180</w:t>
            </w:r>
          </w:p>
        </w:tc>
      </w:tr>
      <w:tr w:rsidR="00DA2766" w:rsidRPr="00B74A55" w:rsidTr="00EE75AB">
        <w:trPr>
          <w:cantSplit/>
          <w:trHeight w:val="2565"/>
        </w:trPr>
        <w:tc>
          <w:tcPr>
            <w:tcW w:w="2978" w:type="dxa"/>
            <w:vMerge/>
            <w:tcBorders>
              <w:top w:val="single" w:sz="4" w:space="0" w:color="000000"/>
              <w:left w:val="single" w:sz="6" w:space="0" w:color="000000"/>
              <w:right w:val="single" w:sz="6" w:space="0" w:color="000000"/>
            </w:tcBorders>
            <w:shd w:val="clear" w:color="auto" w:fill="C6D9F1" w:themeFill="text2" w:themeFillTint="33"/>
          </w:tcPr>
          <w:p w:rsidR="00DA2766" w:rsidRPr="00B74A55" w:rsidRDefault="00DA2766" w:rsidP="00DA2766">
            <w:pPr>
              <w:widowControl w:val="0"/>
              <w:pBdr>
                <w:top w:val="nil"/>
                <w:left w:val="nil"/>
                <w:bottom w:val="nil"/>
                <w:right w:val="nil"/>
                <w:between w:val="nil"/>
              </w:pBdr>
              <w:spacing w:line="276" w:lineRule="auto"/>
              <w:rPr>
                <w:color w:val="000000"/>
                <w:sz w:val="22"/>
              </w:rPr>
            </w:pPr>
          </w:p>
        </w:tc>
        <w:tc>
          <w:tcPr>
            <w:tcW w:w="3968" w:type="dxa"/>
            <w:gridSpan w:val="3"/>
            <w:tcBorders>
              <w:top w:val="single" w:sz="4" w:space="0" w:color="000000"/>
              <w:left w:val="single" w:sz="6" w:space="0" w:color="000000"/>
              <w:bottom w:val="single" w:sz="4" w:space="0" w:color="000000"/>
              <w:right w:val="single" w:sz="4" w:space="0" w:color="000000"/>
            </w:tcBorders>
          </w:tcPr>
          <w:p w:rsidR="00DA2766" w:rsidRPr="00B74A55" w:rsidRDefault="00DA2766" w:rsidP="00DA2766">
            <w:pPr>
              <w:pBdr>
                <w:top w:val="nil"/>
                <w:left w:val="nil"/>
                <w:bottom w:val="nil"/>
                <w:right w:val="nil"/>
                <w:between w:val="nil"/>
              </w:pBdr>
              <w:rPr>
                <w:color w:val="000000"/>
                <w:sz w:val="22"/>
              </w:rPr>
            </w:pPr>
            <w:r w:rsidRPr="00B74A55">
              <w:rPr>
                <w:b/>
                <w:color w:val="000000"/>
                <w:sz w:val="22"/>
              </w:rPr>
              <w:t xml:space="preserve">Блок №3 "Створення безпечного простору" </w:t>
            </w:r>
            <w:r w:rsidRPr="00B74A55">
              <w:rPr>
                <w:b/>
                <w:color w:val="000000"/>
                <w:sz w:val="22"/>
              </w:rPr>
              <w:br/>
            </w:r>
            <w:r w:rsidRPr="00B74A55">
              <w:rPr>
                <w:color w:val="000000"/>
                <w:sz w:val="22"/>
              </w:rPr>
              <w:t xml:space="preserve"> - створення сучасного безпечного бомбосховища, укриття на випадок НС; </w:t>
            </w:r>
            <w:r w:rsidRPr="00B74A55">
              <w:rPr>
                <w:color w:val="000000"/>
                <w:sz w:val="22"/>
              </w:rPr>
              <w:br/>
              <w:t xml:space="preserve"> - забезпечення ЗДО сучасною системою охорони та безпеки (система відеоспостереження);</w:t>
            </w:r>
            <w:r w:rsidRPr="00B74A55">
              <w:rPr>
                <w:color w:val="000000"/>
                <w:sz w:val="22"/>
              </w:rPr>
              <w:br/>
              <w:t xml:space="preserve"> - встановлення в закладі системи пожежної сигналізації, системи оповіщення про пожежу.  </w:t>
            </w:r>
          </w:p>
        </w:tc>
        <w:tc>
          <w:tcPr>
            <w:tcW w:w="1503" w:type="dxa"/>
            <w:gridSpan w:val="2"/>
            <w:tcBorders>
              <w:top w:val="single" w:sz="6" w:space="0" w:color="000000"/>
              <w:left w:val="single" w:sz="4"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p>
          <w:p w:rsidR="00DA2766" w:rsidRPr="00B74A55" w:rsidRDefault="00DA2766" w:rsidP="00DA2766">
            <w:pPr>
              <w:pBdr>
                <w:top w:val="nil"/>
                <w:left w:val="nil"/>
                <w:bottom w:val="nil"/>
                <w:right w:val="nil"/>
                <w:between w:val="nil"/>
              </w:pBdr>
              <w:jc w:val="center"/>
              <w:rPr>
                <w:color w:val="000000"/>
                <w:sz w:val="22"/>
              </w:rPr>
            </w:pPr>
          </w:p>
          <w:p w:rsidR="00DA2766" w:rsidRPr="00B74A55" w:rsidRDefault="00DA2766" w:rsidP="00DA2766">
            <w:pPr>
              <w:pBdr>
                <w:top w:val="nil"/>
                <w:left w:val="nil"/>
                <w:bottom w:val="nil"/>
                <w:right w:val="nil"/>
                <w:between w:val="nil"/>
              </w:pBdr>
              <w:jc w:val="center"/>
              <w:rPr>
                <w:color w:val="000000"/>
                <w:sz w:val="22"/>
              </w:rPr>
            </w:pPr>
            <w:proofErr w:type="spellStart"/>
            <w:r w:rsidRPr="00B74A55">
              <w:rPr>
                <w:color w:val="000000"/>
                <w:sz w:val="22"/>
              </w:rPr>
              <w:t>кв.м</w:t>
            </w:r>
            <w:proofErr w:type="spellEnd"/>
          </w:p>
          <w:p w:rsidR="00C8234F" w:rsidRPr="00B74A55" w:rsidRDefault="00C8234F" w:rsidP="00DA2766">
            <w:pPr>
              <w:pBdr>
                <w:top w:val="nil"/>
                <w:left w:val="nil"/>
                <w:bottom w:val="nil"/>
                <w:right w:val="nil"/>
                <w:between w:val="nil"/>
              </w:pBdr>
              <w:jc w:val="center"/>
              <w:rPr>
                <w:color w:val="000000"/>
                <w:sz w:val="22"/>
              </w:rPr>
            </w:pPr>
          </w:p>
          <w:p w:rsidR="00C8234F" w:rsidRPr="00B74A55" w:rsidRDefault="00C8234F" w:rsidP="00DA2766">
            <w:pPr>
              <w:pBdr>
                <w:top w:val="nil"/>
                <w:left w:val="nil"/>
                <w:bottom w:val="nil"/>
                <w:right w:val="nil"/>
                <w:between w:val="nil"/>
              </w:pBdr>
              <w:jc w:val="center"/>
              <w:rPr>
                <w:color w:val="000000"/>
                <w:sz w:val="22"/>
              </w:rPr>
            </w:pPr>
          </w:p>
          <w:p w:rsidR="00C8234F" w:rsidRPr="00B74A55" w:rsidRDefault="00C8234F" w:rsidP="00DA2766">
            <w:pPr>
              <w:pBdr>
                <w:top w:val="nil"/>
                <w:left w:val="nil"/>
                <w:bottom w:val="nil"/>
                <w:right w:val="nil"/>
                <w:between w:val="nil"/>
              </w:pBdr>
              <w:jc w:val="center"/>
              <w:rPr>
                <w:color w:val="000000"/>
                <w:sz w:val="22"/>
              </w:rPr>
            </w:pPr>
          </w:p>
          <w:p w:rsidR="00C8234F" w:rsidRPr="00B74A55" w:rsidRDefault="00C8234F" w:rsidP="00C8234F">
            <w:pPr>
              <w:pBdr>
                <w:top w:val="nil"/>
                <w:left w:val="nil"/>
                <w:bottom w:val="nil"/>
                <w:right w:val="nil"/>
                <w:between w:val="nil"/>
              </w:pBdr>
              <w:jc w:val="center"/>
              <w:rPr>
                <w:color w:val="000000"/>
                <w:sz w:val="22"/>
              </w:rPr>
            </w:pPr>
            <w:r w:rsidRPr="00B74A55">
              <w:rPr>
                <w:color w:val="000000"/>
                <w:sz w:val="22"/>
              </w:rPr>
              <w:t>одиниць</w:t>
            </w:r>
          </w:p>
          <w:p w:rsidR="00C8234F" w:rsidRPr="00B74A55" w:rsidRDefault="00C8234F" w:rsidP="00C8234F">
            <w:pPr>
              <w:pBdr>
                <w:top w:val="nil"/>
                <w:left w:val="nil"/>
                <w:bottom w:val="nil"/>
                <w:right w:val="nil"/>
                <w:between w:val="nil"/>
              </w:pBdr>
              <w:jc w:val="center"/>
              <w:rPr>
                <w:color w:val="000000"/>
                <w:sz w:val="22"/>
              </w:rPr>
            </w:pPr>
          </w:p>
          <w:p w:rsidR="00C8234F" w:rsidRPr="00B74A55" w:rsidRDefault="00C8234F" w:rsidP="00C8234F">
            <w:pPr>
              <w:pBdr>
                <w:top w:val="nil"/>
                <w:left w:val="nil"/>
                <w:bottom w:val="nil"/>
                <w:right w:val="nil"/>
                <w:between w:val="nil"/>
              </w:pBdr>
              <w:jc w:val="center"/>
              <w:rPr>
                <w:color w:val="000000"/>
                <w:sz w:val="22"/>
              </w:rPr>
            </w:pPr>
          </w:p>
          <w:p w:rsidR="00C8234F" w:rsidRPr="00B74A55" w:rsidRDefault="00C8234F" w:rsidP="00C8234F">
            <w:pPr>
              <w:pBdr>
                <w:top w:val="nil"/>
                <w:left w:val="nil"/>
                <w:bottom w:val="nil"/>
                <w:right w:val="nil"/>
                <w:between w:val="nil"/>
              </w:pBdr>
              <w:jc w:val="center"/>
              <w:rPr>
                <w:color w:val="000000"/>
                <w:sz w:val="22"/>
              </w:rPr>
            </w:pPr>
            <w:r w:rsidRPr="00B74A55">
              <w:rPr>
                <w:color w:val="000000"/>
                <w:sz w:val="22"/>
              </w:rPr>
              <w:t>одиниць</w:t>
            </w:r>
          </w:p>
          <w:p w:rsidR="00C8234F" w:rsidRPr="00B74A55" w:rsidRDefault="00C8234F" w:rsidP="00C8234F">
            <w:pPr>
              <w:pBdr>
                <w:top w:val="nil"/>
                <w:left w:val="nil"/>
                <w:bottom w:val="nil"/>
                <w:right w:val="nil"/>
                <w:between w:val="nil"/>
              </w:pBdr>
              <w:jc w:val="center"/>
              <w:rPr>
                <w:color w:val="000000"/>
                <w:sz w:val="22"/>
              </w:rPr>
            </w:pPr>
          </w:p>
          <w:p w:rsidR="00C8234F" w:rsidRPr="00B74A55" w:rsidRDefault="00C8234F" w:rsidP="00DA2766">
            <w:pPr>
              <w:pBdr>
                <w:top w:val="nil"/>
                <w:left w:val="nil"/>
                <w:bottom w:val="nil"/>
                <w:right w:val="nil"/>
                <w:between w:val="nil"/>
              </w:pBdr>
              <w:jc w:val="center"/>
              <w:rPr>
                <w:color w:val="000000"/>
                <w:sz w:val="22"/>
              </w:rPr>
            </w:pPr>
          </w:p>
        </w:tc>
        <w:tc>
          <w:tcPr>
            <w:tcW w:w="1474" w:type="dxa"/>
            <w:gridSpan w:val="2"/>
            <w:tcBorders>
              <w:top w:val="single" w:sz="6" w:space="0" w:color="000000"/>
              <w:left w:val="single" w:sz="6" w:space="0" w:color="000000"/>
              <w:right w:val="single" w:sz="6" w:space="0" w:color="000000"/>
            </w:tcBorders>
          </w:tcPr>
          <w:p w:rsidR="00DA2766" w:rsidRPr="00B74A55" w:rsidRDefault="00DA2766" w:rsidP="00DA2766">
            <w:pPr>
              <w:widowControl w:val="0"/>
              <w:pBdr>
                <w:top w:val="nil"/>
                <w:left w:val="nil"/>
                <w:bottom w:val="nil"/>
                <w:right w:val="nil"/>
                <w:between w:val="nil"/>
              </w:pBdr>
              <w:jc w:val="center"/>
              <w:rPr>
                <w:color w:val="000000"/>
                <w:sz w:val="22"/>
              </w:rPr>
            </w:pPr>
          </w:p>
          <w:p w:rsidR="00DA2766" w:rsidRPr="00B74A55" w:rsidRDefault="00DA2766" w:rsidP="00DA2766">
            <w:pPr>
              <w:widowControl w:val="0"/>
              <w:pBdr>
                <w:top w:val="nil"/>
                <w:left w:val="nil"/>
                <w:bottom w:val="nil"/>
                <w:right w:val="nil"/>
                <w:between w:val="nil"/>
              </w:pBdr>
              <w:jc w:val="center"/>
              <w:rPr>
                <w:color w:val="000000"/>
                <w:sz w:val="22"/>
              </w:rPr>
            </w:pPr>
          </w:p>
          <w:p w:rsidR="00DA2766" w:rsidRPr="00B74A55" w:rsidRDefault="00DA2766" w:rsidP="00DA2766">
            <w:pPr>
              <w:widowControl w:val="0"/>
              <w:pBdr>
                <w:top w:val="nil"/>
                <w:left w:val="nil"/>
                <w:bottom w:val="nil"/>
                <w:right w:val="nil"/>
                <w:between w:val="nil"/>
              </w:pBdr>
              <w:jc w:val="center"/>
              <w:rPr>
                <w:color w:val="000000"/>
                <w:sz w:val="22"/>
              </w:rPr>
            </w:pPr>
            <w:r w:rsidRPr="00B74A55">
              <w:rPr>
                <w:color w:val="000000"/>
                <w:sz w:val="22"/>
              </w:rPr>
              <w:t>600</w:t>
            </w:r>
          </w:p>
          <w:p w:rsidR="00C8234F" w:rsidRPr="00B74A55" w:rsidRDefault="00C8234F" w:rsidP="00DA2766">
            <w:pPr>
              <w:widowControl w:val="0"/>
              <w:pBdr>
                <w:top w:val="nil"/>
                <w:left w:val="nil"/>
                <w:bottom w:val="nil"/>
                <w:right w:val="nil"/>
                <w:between w:val="nil"/>
              </w:pBdr>
              <w:jc w:val="center"/>
              <w:rPr>
                <w:color w:val="000000"/>
                <w:sz w:val="22"/>
              </w:rPr>
            </w:pPr>
          </w:p>
          <w:p w:rsidR="00C8234F" w:rsidRPr="00B74A55" w:rsidRDefault="00C8234F" w:rsidP="00DA2766">
            <w:pPr>
              <w:widowControl w:val="0"/>
              <w:pBdr>
                <w:top w:val="nil"/>
                <w:left w:val="nil"/>
                <w:bottom w:val="nil"/>
                <w:right w:val="nil"/>
                <w:between w:val="nil"/>
              </w:pBdr>
              <w:jc w:val="center"/>
              <w:rPr>
                <w:color w:val="000000"/>
                <w:sz w:val="22"/>
              </w:rPr>
            </w:pPr>
          </w:p>
          <w:p w:rsidR="00C8234F" w:rsidRPr="00B74A55" w:rsidRDefault="00C8234F" w:rsidP="00DA2766">
            <w:pPr>
              <w:widowControl w:val="0"/>
              <w:pBdr>
                <w:top w:val="nil"/>
                <w:left w:val="nil"/>
                <w:bottom w:val="nil"/>
                <w:right w:val="nil"/>
                <w:between w:val="nil"/>
              </w:pBdr>
              <w:jc w:val="center"/>
              <w:rPr>
                <w:color w:val="000000"/>
                <w:sz w:val="22"/>
              </w:rPr>
            </w:pPr>
          </w:p>
          <w:p w:rsidR="00C8234F" w:rsidRPr="00B74A55" w:rsidRDefault="00C8234F" w:rsidP="00DA2766">
            <w:pPr>
              <w:widowControl w:val="0"/>
              <w:pBdr>
                <w:top w:val="nil"/>
                <w:left w:val="nil"/>
                <w:bottom w:val="nil"/>
                <w:right w:val="nil"/>
                <w:between w:val="nil"/>
              </w:pBdr>
              <w:jc w:val="center"/>
              <w:rPr>
                <w:color w:val="000000"/>
                <w:sz w:val="22"/>
              </w:rPr>
            </w:pPr>
            <w:r w:rsidRPr="00B74A55">
              <w:rPr>
                <w:color w:val="000000"/>
                <w:sz w:val="22"/>
              </w:rPr>
              <w:t>1</w:t>
            </w:r>
          </w:p>
          <w:p w:rsidR="00C8234F" w:rsidRPr="00B74A55" w:rsidRDefault="00C8234F" w:rsidP="00DA2766">
            <w:pPr>
              <w:widowControl w:val="0"/>
              <w:pBdr>
                <w:top w:val="nil"/>
                <w:left w:val="nil"/>
                <w:bottom w:val="nil"/>
                <w:right w:val="nil"/>
                <w:between w:val="nil"/>
              </w:pBdr>
              <w:jc w:val="center"/>
              <w:rPr>
                <w:color w:val="000000"/>
                <w:sz w:val="22"/>
              </w:rPr>
            </w:pPr>
          </w:p>
          <w:p w:rsidR="00C8234F" w:rsidRPr="00B74A55" w:rsidRDefault="00C8234F" w:rsidP="00DA2766">
            <w:pPr>
              <w:widowControl w:val="0"/>
              <w:pBdr>
                <w:top w:val="nil"/>
                <w:left w:val="nil"/>
                <w:bottom w:val="nil"/>
                <w:right w:val="nil"/>
                <w:between w:val="nil"/>
              </w:pBdr>
              <w:jc w:val="center"/>
              <w:rPr>
                <w:color w:val="000000"/>
                <w:sz w:val="22"/>
              </w:rPr>
            </w:pPr>
          </w:p>
          <w:p w:rsidR="00C8234F" w:rsidRPr="00B74A55" w:rsidRDefault="00C8234F" w:rsidP="00DA2766">
            <w:pPr>
              <w:widowControl w:val="0"/>
              <w:pBdr>
                <w:top w:val="nil"/>
                <w:left w:val="nil"/>
                <w:bottom w:val="nil"/>
                <w:right w:val="nil"/>
                <w:between w:val="nil"/>
              </w:pBdr>
              <w:jc w:val="center"/>
              <w:rPr>
                <w:color w:val="000000"/>
                <w:sz w:val="22"/>
              </w:rPr>
            </w:pPr>
            <w:r w:rsidRPr="00B74A55">
              <w:rPr>
                <w:color w:val="000000"/>
                <w:sz w:val="22"/>
              </w:rPr>
              <w:t>1</w:t>
            </w:r>
          </w:p>
          <w:p w:rsidR="00DA2766" w:rsidRPr="00B74A55" w:rsidRDefault="00DA2766" w:rsidP="00DA2766">
            <w:pPr>
              <w:widowControl w:val="0"/>
              <w:pBdr>
                <w:top w:val="nil"/>
                <w:left w:val="nil"/>
                <w:bottom w:val="nil"/>
                <w:right w:val="nil"/>
                <w:between w:val="nil"/>
              </w:pBdr>
              <w:spacing w:line="276" w:lineRule="auto"/>
              <w:jc w:val="center"/>
              <w:rPr>
                <w:color w:val="000000"/>
                <w:sz w:val="22"/>
              </w:rPr>
            </w:pPr>
          </w:p>
        </w:tc>
      </w:tr>
      <w:tr w:rsidR="00DA2766" w:rsidRPr="00B74A55" w:rsidTr="00EE75AB">
        <w:trPr>
          <w:cantSplit/>
          <w:trHeight w:val="290"/>
        </w:trPr>
        <w:tc>
          <w:tcPr>
            <w:tcW w:w="2978" w:type="dxa"/>
            <w:vMerge/>
            <w:tcBorders>
              <w:top w:val="single" w:sz="4" w:space="0" w:color="000000"/>
              <w:left w:val="single" w:sz="6" w:space="0" w:color="000000"/>
              <w:right w:val="single" w:sz="6" w:space="0" w:color="000000"/>
            </w:tcBorders>
            <w:shd w:val="clear" w:color="auto" w:fill="C6D9F1" w:themeFill="text2" w:themeFillTint="33"/>
          </w:tcPr>
          <w:p w:rsidR="00DA2766" w:rsidRPr="00B74A55" w:rsidRDefault="00DA2766" w:rsidP="00DA2766">
            <w:pPr>
              <w:widowControl w:val="0"/>
              <w:pBdr>
                <w:top w:val="nil"/>
                <w:left w:val="nil"/>
                <w:bottom w:val="nil"/>
                <w:right w:val="nil"/>
                <w:between w:val="nil"/>
              </w:pBdr>
              <w:spacing w:line="276" w:lineRule="auto"/>
              <w:rPr>
                <w:color w:val="000000"/>
                <w:sz w:val="22"/>
              </w:rPr>
            </w:pPr>
          </w:p>
        </w:tc>
        <w:tc>
          <w:tcPr>
            <w:tcW w:w="3968" w:type="dxa"/>
            <w:gridSpan w:val="3"/>
            <w:tcBorders>
              <w:top w:val="single" w:sz="4" w:space="0" w:color="000000"/>
              <w:left w:val="single" w:sz="6" w:space="0" w:color="000000"/>
              <w:bottom w:val="single" w:sz="4" w:space="0" w:color="000000"/>
              <w:right w:val="single" w:sz="4" w:space="0" w:color="000000"/>
            </w:tcBorders>
          </w:tcPr>
          <w:p w:rsidR="00DA2766" w:rsidRPr="00B74A55" w:rsidRDefault="00DA2766" w:rsidP="00DA2766">
            <w:pPr>
              <w:pBdr>
                <w:top w:val="nil"/>
                <w:left w:val="nil"/>
                <w:bottom w:val="nil"/>
                <w:right w:val="nil"/>
                <w:between w:val="nil"/>
              </w:pBdr>
              <w:rPr>
                <w:color w:val="000000"/>
                <w:sz w:val="22"/>
              </w:rPr>
            </w:pPr>
            <w:r w:rsidRPr="00B74A55">
              <w:rPr>
                <w:b/>
                <w:color w:val="000000"/>
                <w:sz w:val="22"/>
              </w:rPr>
              <w:t xml:space="preserve">Блок №4 "Реконструкція та капітальний ремонт басейну у будівлі закладу" </w:t>
            </w:r>
            <w:r w:rsidRPr="00B74A55">
              <w:rPr>
                <w:color w:val="000000"/>
                <w:sz w:val="22"/>
              </w:rPr>
              <w:t xml:space="preserve">                                                  </w:t>
            </w:r>
          </w:p>
        </w:tc>
        <w:tc>
          <w:tcPr>
            <w:tcW w:w="1503" w:type="dxa"/>
            <w:gridSpan w:val="2"/>
            <w:tcBorders>
              <w:top w:val="single" w:sz="6" w:space="0" w:color="000000"/>
              <w:left w:val="single" w:sz="4"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proofErr w:type="spellStart"/>
            <w:r w:rsidRPr="00B74A55">
              <w:rPr>
                <w:color w:val="000000"/>
                <w:sz w:val="22"/>
              </w:rPr>
              <w:t>кв.м</w:t>
            </w:r>
            <w:proofErr w:type="spellEnd"/>
          </w:p>
        </w:tc>
        <w:tc>
          <w:tcPr>
            <w:tcW w:w="1474" w:type="dxa"/>
            <w:gridSpan w:val="2"/>
            <w:tcBorders>
              <w:top w:val="single" w:sz="6" w:space="0" w:color="000000"/>
              <w:left w:val="single" w:sz="6" w:space="0" w:color="000000"/>
              <w:right w:val="single" w:sz="6" w:space="0" w:color="000000"/>
            </w:tcBorders>
          </w:tcPr>
          <w:p w:rsidR="00DA2766" w:rsidRPr="00B74A55" w:rsidRDefault="00DA2766" w:rsidP="00DA2766">
            <w:pPr>
              <w:widowControl w:val="0"/>
              <w:pBdr>
                <w:top w:val="nil"/>
                <w:left w:val="nil"/>
                <w:bottom w:val="nil"/>
                <w:right w:val="nil"/>
                <w:between w:val="nil"/>
              </w:pBdr>
              <w:spacing w:line="276" w:lineRule="auto"/>
              <w:jc w:val="center"/>
              <w:rPr>
                <w:color w:val="000000"/>
                <w:sz w:val="22"/>
              </w:rPr>
            </w:pPr>
            <w:r w:rsidRPr="00B74A55">
              <w:rPr>
                <w:color w:val="000000"/>
                <w:sz w:val="22"/>
              </w:rPr>
              <w:t>100</w:t>
            </w:r>
          </w:p>
        </w:tc>
      </w:tr>
      <w:tr w:rsidR="00DA2766" w:rsidRPr="00B74A55" w:rsidTr="00EE75AB">
        <w:trPr>
          <w:cantSplit/>
          <w:trHeight w:val="290"/>
        </w:trPr>
        <w:tc>
          <w:tcPr>
            <w:tcW w:w="2978" w:type="dxa"/>
            <w:vMerge/>
            <w:tcBorders>
              <w:top w:val="single" w:sz="4" w:space="0" w:color="000000"/>
              <w:left w:val="single" w:sz="6" w:space="0" w:color="000000"/>
              <w:right w:val="single" w:sz="6" w:space="0" w:color="000000"/>
            </w:tcBorders>
            <w:shd w:val="clear" w:color="auto" w:fill="C6D9F1" w:themeFill="text2" w:themeFillTint="33"/>
          </w:tcPr>
          <w:p w:rsidR="00DA2766" w:rsidRPr="00B74A55" w:rsidRDefault="00DA2766" w:rsidP="00DA2766">
            <w:pPr>
              <w:widowControl w:val="0"/>
              <w:pBdr>
                <w:top w:val="nil"/>
                <w:left w:val="nil"/>
                <w:bottom w:val="nil"/>
                <w:right w:val="nil"/>
                <w:between w:val="nil"/>
              </w:pBdr>
              <w:spacing w:line="276" w:lineRule="auto"/>
              <w:rPr>
                <w:color w:val="000000"/>
                <w:sz w:val="22"/>
              </w:rPr>
            </w:pPr>
          </w:p>
        </w:tc>
        <w:tc>
          <w:tcPr>
            <w:tcW w:w="3968" w:type="dxa"/>
            <w:gridSpan w:val="3"/>
            <w:tcBorders>
              <w:top w:val="single" w:sz="4" w:space="0" w:color="000000"/>
              <w:left w:val="single" w:sz="6" w:space="0" w:color="000000"/>
              <w:bottom w:val="single" w:sz="4" w:space="0" w:color="000000"/>
              <w:right w:val="single" w:sz="4" w:space="0" w:color="000000"/>
            </w:tcBorders>
          </w:tcPr>
          <w:p w:rsidR="00DA2766" w:rsidRPr="00B74A55" w:rsidRDefault="00DA2766" w:rsidP="00DA2766">
            <w:pPr>
              <w:pBdr>
                <w:top w:val="nil"/>
                <w:left w:val="nil"/>
                <w:bottom w:val="nil"/>
                <w:right w:val="nil"/>
                <w:between w:val="nil"/>
              </w:pBdr>
              <w:rPr>
                <w:color w:val="000000"/>
                <w:sz w:val="22"/>
              </w:rPr>
            </w:pPr>
            <w:r w:rsidRPr="00B74A55">
              <w:rPr>
                <w:b/>
                <w:color w:val="000000"/>
                <w:sz w:val="22"/>
              </w:rPr>
              <w:t xml:space="preserve">Блок №5 "Капітальний ремонт будівлі складського приміщення" </w:t>
            </w:r>
          </w:p>
        </w:tc>
        <w:tc>
          <w:tcPr>
            <w:tcW w:w="1503" w:type="dxa"/>
            <w:gridSpan w:val="2"/>
            <w:tcBorders>
              <w:top w:val="single" w:sz="6" w:space="0" w:color="000000"/>
              <w:left w:val="single" w:sz="4"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proofErr w:type="spellStart"/>
            <w:r w:rsidRPr="00B74A55">
              <w:rPr>
                <w:color w:val="000000"/>
                <w:sz w:val="22"/>
              </w:rPr>
              <w:t>кв.м</w:t>
            </w:r>
            <w:proofErr w:type="spellEnd"/>
          </w:p>
        </w:tc>
        <w:tc>
          <w:tcPr>
            <w:tcW w:w="1474" w:type="dxa"/>
            <w:gridSpan w:val="2"/>
            <w:tcBorders>
              <w:top w:val="single" w:sz="6" w:space="0" w:color="000000"/>
              <w:left w:val="single" w:sz="6" w:space="0" w:color="000000"/>
              <w:right w:val="single" w:sz="6" w:space="0" w:color="000000"/>
            </w:tcBorders>
          </w:tcPr>
          <w:p w:rsidR="00DA2766" w:rsidRPr="00B74A55" w:rsidRDefault="00DA2766" w:rsidP="00DA2766">
            <w:pPr>
              <w:widowControl w:val="0"/>
              <w:pBdr>
                <w:top w:val="nil"/>
                <w:left w:val="nil"/>
                <w:bottom w:val="nil"/>
                <w:right w:val="nil"/>
                <w:between w:val="nil"/>
              </w:pBdr>
              <w:spacing w:line="276" w:lineRule="auto"/>
              <w:jc w:val="center"/>
              <w:rPr>
                <w:color w:val="000000"/>
                <w:sz w:val="22"/>
              </w:rPr>
            </w:pPr>
            <w:r w:rsidRPr="00B74A55">
              <w:rPr>
                <w:color w:val="000000"/>
                <w:sz w:val="22"/>
              </w:rPr>
              <w:t>30</w:t>
            </w:r>
          </w:p>
        </w:tc>
      </w:tr>
      <w:tr w:rsidR="00DA2766" w:rsidRPr="00B74A55" w:rsidTr="00EE75AB">
        <w:trPr>
          <w:trHeight w:val="290"/>
        </w:trPr>
        <w:tc>
          <w:tcPr>
            <w:tcW w:w="2978" w:type="dxa"/>
            <w:tcBorders>
              <w:top w:val="single" w:sz="6" w:space="0" w:color="000000"/>
              <w:left w:val="single" w:sz="6" w:space="0" w:color="000000"/>
              <w:bottom w:val="single" w:sz="6" w:space="0" w:color="000000" w:themeColor="text1"/>
              <w:right w:val="single" w:sz="6" w:space="0" w:color="000000"/>
            </w:tcBorders>
            <w:shd w:val="clear" w:color="auto" w:fill="C6D9F1" w:themeFill="text2" w:themeFillTint="33"/>
          </w:tcPr>
          <w:p w:rsidR="00DA2766" w:rsidRPr="00B74A55" w:rsidRDefault="00DA2766" w:rsidP="00DA2766">
            <w:pPr>
              <w:pBdr>
                <w:top w:val="nil"/>
                <w:left w:val="nil"/>
                <w:bottom w:val="nil"/>
                <w:right w:val="nil"/>
                <w:between w:val="nil"/>
              </w:pBdr>
              <w:rPr>
                <w:color w:val="000000"/>
                <w:sz w:val="22"/>
              </w:rPr>
            </w:pPr>
            <w:r w:rsidRPr="00B74A55">
              <w:rPr>
                <w:b/>
                <w:color w:val="000000"/>
                <w:sz w:val="22"/>
              </w:rPr>
              <w:t>Ключові заходи проекту:</w:t>
            </w:r>
          </w:p>
        </w:tc>
        <w:tc>
          <w:tcPr>
            <w:tcW w:w="6945" w:type="dxa"/>
            <w:gridSpan w:val="7"/>
            <w:tcBorders>
              <w:top w:val="single" w:sz="6" w:space="0" w:color="000000"/>
              <w:left w:val="single" w:sz="6" w:space="0" w:color="000000"/>
              <w:bottom w:val="single" w:sz="6" w:space="0" w:color="000000"/>
              <w:right w:val="single" w:sz="6" w:space="0" w:color="000000"/>
            </w:tcBorders>
          </w:tcPr>
          <w:p w:rsidR="00DA2766" w:rsidRPr="00B74A55" w:rsidRDefault="00DA2766" w:rsidP="00C44CE6">
            <w:pPr>
              <w:pBdr>
                <w:top w:val="nil"/>
                <w:left w:val="nil"/>
                <w:bottom w:val="nil"/>
                <w:right w:val="nil"/>
                <w:between w:val="nil"/>
              </w:pBdr>
              <w:tabs>
                <w:tab w:val="left" w:pos="5290"/>
              </w:tabs>
              <w:jc w:val="left"/>
              <w:rPr>
                <w:color w:val="000000"/>
                <w:sz w:val="22"/>
              </w:rPr>
            </w:pPr>
            <w:r w:rsidRPr="00B74A55">
              <w:rPr>
                <w:color w:val="000000"/>
                <w:sz w:val="22"/>
              </w:rPr>
              <w:t>- офіційне повідомлення щодо завершення воєнних дій на території України;</w:t>
            </w:r>
            <w:r w:rsidRPr="00B74A55">
              <w:rPr>
                <w:color w:val="000000"/>
                <w:sz w:val="22"/>
              </w:rPr>
              <w:br/>
              <w:t>- повне обстеження стану будівлі спеціальними службами, отримання акту про безпечне функціонування закладу;</w:t>
            </w:r>
          </w:p>
          <w:p w:rsidR="00DA2766" w:rsidRPr="00B74A55" w:rsidRDefault="00DA2766" w:rsidP="00DA2766">
            <w:pPr>
              <w:pBdr>
                <w:top w:val="nil"/>
                <w:left w:val="nil"/>
                <w:bottom w:val="nil"/>
                <w:right w:val="nil"/>
                <w:between w:val="nil"/>
              </w:pBdr>
              <w:tabs>
                <w:tab w:val="left" w:pos="5290"/>
              </w:tabs>
              <w:rPr>
                <w:color w:val="000000"/>
                <w:sz w:val="22"/>
              </w:rPr>
            </w:pPr>
            <w:r w:rsidRPr="00B74A55">
              <w:rPr>
                <w:color w:val="000000"/>
                <w:sz w:val="22"/>
              </w:rPr>
              <w:t>- оцінка пошкоджень ЗДО;</w:t>
            </w:r>
          </w:p>
          <w:p w:rsidR="00DA2766" w:rsidRPr="00B74A55" w:rsidRDefault="00DA2766" w:rsidP="00DA2766">
            <w:pPr>
              <w:pBdr>
                <w:top w:val="nil"/>
                <w:left w:val="nil"/>
                <w:bottom w:val="nil"/>
                <w:right w:val="nil"/>
                <w:between w:val="nil"/>
              </w:pBdr>
              <w:tabs>
                <w:tab w:val="left" w:pos="5290"/>
              </w:tabs>
              <w:rPr>
                <w:color w:val="000000"/>
                <w:sz w:val="22"/>
              </w:rPr>
            </w:pPr>
            <w:r w:rsidRPr="00B74A55">
              <w:rPr>
                <w:color w:val="000000"/>
                <w:sz w:val="22"/>
              </w:rPr>
              <w:t xml:space="preserve">- проведення інвентаризації основних засобів;   </w:t>
            </w:r>
          </w:p>
          <w:p w:rsidR="00DA2766" w:rsidRPr="00B74A55" w:rsidRDefault="00DA2766" w:rsidP="00DA2766">
            <w:pPr>
              <w:pBdr>
                <w:top w:val="nil"/>
                <w:left w:val="nil"/>
                <w:bottom w:val="nil"/>
                <w:right w:val="nil"/>
                <w:between w:val="nil"/>
              </w:pBdr>
              <w:tabs>
                <w:tab w:val="left" w:pos="5290"/>
              </w:tabs>
              <w:rPr>
                <w:color w:val="000000"/>
                <w:sz w:val="22"/>
              </w:rPr>
            </w:pPr>
            <w:r w:rsidRPr="00B74A55">
              <w:rPr>
                <w:color w:val="000000"/>
                <w:sz w:val="22"/>
              </w:rPr>
              <w:t xml:space="preserve">- підготовка </w:t>
            </w:r>
            <w:proofErr w:type="spellStart"/>
            <w:r w:rsidRPr="00B74A55">
              <w:rPr>
                <w:color w:val="000000"/>
                <w:sz w:val="22"/>
              </w:rPr>
              <w:t>про</w:t>
            </w:r>
            <w:r w:rsidR="00C44CE6" w:rsidRPr="00B74A55">
              <w:rPr>
                <w:color w:val="000000"/>
                <w:sz w:val="22"/>
              </w:rPr>
              <w:t>є</w:t>
            </w:r>
            <w:r w:rsidRPr="00B74A55">
              <w:rPr>
                <w:color w:val="000000"/>
                <w:sz w:val="22"/>
              </w:rPr>
              <w:t>ктно</w:t>
            </w:r>
            <w:proofErr w:type="spellEnd"/>
            <w:r w:rsidRPr="00B74A55">
              <w:rPr>
                <w:color w:val="000000"/>
                <w:sz w:val="22"/>
              </w:rPr>
              <w:t>-кошторисної документації;</w:t>
            </w:r>
          </w:p>
          <w:p w:rsidR="00DA2766" w:rsidRPr="00B74A55" w:rsidRDefault="00DA2766" w:rsidP="00DA2766">
            <w:pPr>
              <w:pBdr>
                <w:top w:val="nil"/>
                <w:left w:val="nil"/>
                <w:bottom w:val="nil"/>
                <w:right w:val="nil"/>
                <w:between w:val="nil"/>
              </w:pBdr>
              <w:tabs>
                <w:tab w:val="left" w:pos="5290"/>
              </w:tabs>
              <w:rPr>
                <w:color w:val="000000"/>
                <w:sz w:val="22"/>
              </w:rPr>
            </w:pPr>
            <w:r w:rsidRPr="00B74A55">
              <w:rPr>
                <w:color w:val="000000"/>
                <w:sz w:val="22"/>
              </w:rPr>
              <w:t>- впровадження заходів щодо комплексного відновлення закладу;</w:t>
            </w:r>
          </w:p>
          <w:p w:rsidR="00DA2766" w:rsidRPr="00B74A55" w:rsidRDefault="00DA2766" w:rsidP="00DA2766">
            <w:pPr>
              <w:pBdr>
                <w:top w:val="nil"/>
                <w:left w:val="nil"/>
                <w:bottom w:val="nil"/>
                <w:right w:val="nil"/>
                <w:between w:val="nil"/>
              </w:pBdr>
              <w:tabs>
                <w:tab w:val="left" w:pos="5290"/>
              </w:tabs>
              <w:rPr>
                <w:color w:val="000000"/>
                <w:sz w:val="22"/>
              </w:rPr>
            </w:pPr>
            <w:r w:rsidRPr="00B74A55">
              <w:rPr>
                <w:color w:val="000000"/>
                <w:sz w:val="22"/>
              </w:rPr>
              <w:t xml:space="preserve">- створення безпечних умов для всіх учасників освітнього процесу; </w:t>
            </w:r>
          </w:p>
          <w:p w:rsidR="00DA2766" w:rsidRPr="00B74A55" w:rsidRDefault="00DA2766" w:rsidP="00DA2766">
            <w:pPr>
              <w:pBdr>
                <w:top w:val="nil"/>
                <w:left w:val="nil"/>
                <w:bottom w:val="nil"/>
                <w:right w:val="nil"/>
                <w:between w:val="nil"/>
              </w:pBdr>
              <w:tabs>
                <w:tab w:val="left" w:pos="5290"/>
              </w:tabs>
              <w:rPr>
                <w:color w:val="000000"/>
                <w:sz w:val="22"/>
              </w:rPr>
            </w:pPr>
            <w:r w:rsidRPr="00B74A55">
              <w:rPr>
                <w:color w:val="000000"/>
                <w:sz w:val="22"/>
              </w:rPr>
              <w:t xml:space="preserve">- проведення капітального ремонту будівлі закладу;  </w:t>
            </w:r>
          </w:p>
          <w:p w:rsidR="00DA2766" w:rsidRPr="00B74A55" w:rsidRDefault="00DA2766" w:rsidP="00DA2766">
            <w:pPr>
              <w:pBdr>
                <w:top w:val="nil"/>
                <w:left w:val="nil"/>
                <w:bottom w:val="nil"/>
                <w:right w:val="nil"/>
                <w:between w:val="nil"/>
              </w:pBdr>
              <w:tabs>
                <w:tab w:val="left" w:pos="5290"/>
              </w:tabs>
              <w:rPr>
                <w:color w:val="000000"/>
                <w:sz w:val="22"/>
              </w:rPr>
            </w:pPr>
            <w:r w:rsidRPr="00B74A55">
              <w:rPr>
                <w:color w:val="000000"/>
                <w:sz w:val="22"/>
              </w:rPr>
              <w:t xml:space="preserve">- відновлення роботи усіх комунікаційних систем ; </w:t>
            </w:r>
          </w:p>
          <w:p w:rsidR="00DA2766" w:rsidRPr="00B74A55" w:rsidRDefault="00DA2766" w:rsidP="00DA2766">
            <w:pPr>
              <w:pBdr>
                <w:top w:val="nil"/>
                <w:left w:val="nil"/>
                <w:bottom w:val="nil"/>
                <w:right w:val="nil"/>
                <w:between w:val="nil"/>
              </w:pBdr>
              <w:tabs>
                <w:tab w:val="left" w:pos="5290"/>
              </w:tabs>
              <w:rPr>
                <w:color w:val="000000"/>
                <w:sz w:val="22"/>
              </w:rPr>
            </w:pPr>
            <w:r w:rsidRPr="00B74A55">
              <w:rPr>
                <w:color w:val="000000"/>
                <w:sz w:val="22"/>
              </w:rPr>
              <w:lastRenderedPageBreak/>
              <w:t xml:space="preserve">-  набір кадрового складу, забезпечення працівників необхідними засобами для виконання роботи;   </w:t>
            </w:r>
          </w:p>
          <w:p w:rsidR="00DA2766" w:rsidRPr="00B74A55" w:rsidRDefault="00DA2766" w:rsidP="00DA2766">
            <w:pPr>
              <w:pBdr>
                <w:top w:val="nil"/>
                <w:left w:val="nil"/>
                <w:bottom w:val="nil"/>
                <w:right w:val="nil"/>
                <w:between w:val="nil"/>
              </w:pBdr>
              <w:tabs>
                <w:tab w:val="left" w:pos="5290"/>
              </w:tabs>
              <w:rPr>
                <w:color w:val="000000"/>
                <w:sz w:val="22"/>
              </w:rPr>
            </w:pPr>
            <w:r w:rsidRPr="00B74A55">
              <w:rPr>
                <w:color w:val="000000"/>
                <w:sz w:val="22"/>
              </w:rPr>
              <w:t xml:space="preserve">- визначення кількості осіб, які потребують отримання освітніх послуг у ЗДО, оновлення та складання </w:t>
            </w:r>
            <w:proofErr w:type="spellStart"/>
            <w:r w:rsidRPr="00B74A55">
              <w:rPr>
                <w:color w:val="000000"/>
                <w:sz w:val="22"/>
              </w:rPr>
              <w:t>списочного</w:t>
            </w:r>
            <w:proofErr w:type="spellEnd"/>
            <w:r w:rsidRPr="00B74A55">
              <w:rPr>
                <w:color w:val="000000"/>
                <w:sz w:val="22"/>
              </w:rPr>
              <w:t xml:space="preserve"> складу дітей, набір дітей до дошкільного закладу;      </w:t>
            </w:r>
          </w:p>
          <w:p w:rsidR="00DA2766" w:rsidRPr="00B74A55" w:rsidRDefault="00DA2766" w:rsidP="00DA2766">
            <w:pPr>
              <w:pBdr>
                <w:top w:val="nil"/>
                <w:left w:val="nil"/>
                <w:bottom w:val="nil"/>
                <w:right w:val="nil"/>
                <w:between w:val="nil"/>
              </w:pBdr>
              <w:tabs>
                <w:tab w:val="left" w:pos="5290"/>
              </w:tabs>
              <w:rPr>
                <w:color w:val="000000"/>
                <w:sz w:val="22"/>
              </w:rPr>
            </w:pPr>
            <w:r w:rsidRPr="00B74A55">
              <w:rPr>
                <w:color w:val="000000"/>
                <w:sz w:val="22"/>
              </w:rPr>
              <w:t xml:space="preserve">- рішення про відновлення діяльності та режим роботи ЗДО;   </w:t>
            </w:r>
          </w:p>
          <w:p w:rsidR="00DA2766" w:rsidRPr="00B74A55" w:rsidRDefault="00DA2766" w:rsidP="00DA2766">
            <w:pPr>
              <w:pBdr>
                <w:top w:val="nil"/>
                <w:left w:val="nil"/>
                <w:bottom w:val="nil"/>
                <w:right w:val="nil"/>
                <w:between w:val="nil"/>
              </w:pBdr>
              <w:tabs>
                <w:tab w:val="left" w:pos="5290"/>
              </w:tabs>
              <w:rPr>
                <w:color w:val="000000"/>
                <w:sz w:val="22"/>
              </w:rPr>
            </w:pPr>
            <w:r w:rsidRPr="00B74A55">
              <w:rPr>
                <w:color w:val="000000"/>
                <w:sz w:val="22"/>
              </w:rPr>
              <w:t xml:space="preserve">- </w:t>
            </w:r>
            <w:r w:rsidR="00C44CE6" w:rsidRPr="00B74A55">
              <w:rPr>
                <w:color w:val="000000"/>
                <w:sz w:val="22"/>
              </w:rPr>
              <w:t xml:space="preserve">відкриття </w:t>
            </w:r>
            <w:proofErr w:type="spellStart"/>
            <w:r w:rsidR="00C44CE6" w:rsidRPr="00B74A55">
              <w:rPr>
                <w:color w:val="000000"/>
                <w:sz w:val="22"/>
              </w:rPr>
              <w:t>здо</w:t>
            </w:r>
            <w:proofErr w:type="spellEnd"/>
            <w:r w:rsidR="00C44CE6" w:rsidRPr="00B74A55">
              <w:rPr>
                <w:color w:val="000000"/>
                <w:sz w:val="22"/>
              </w:rPr>
              <w:t xml:space="preserve"> </w:t>
            </w:r>
            <w:r w:rsidRPr="00B74A55">
              <w:rPr>
                <w:color w:val="000000"/>
                <w:sz w:val="22"/>
              </w:rPr>
              <w:t>та відновлення освітнього процесу.</w:t>
            </w:r>
          </w:p>
        </w:tc>
      </w:tr>
      <w:tr w:rsidR="00DA2766" w:rsidRPr="00B74A55" w:rsidTr="00EE75AB">
        <w:trPr>
          <w:cantSplit/>
          <w:trHeight w:val="290"/>
        </w:trPr>
        <w:tc>
          <w:tcPr>
            <w:tcW w:w="2978"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D9F1" w:themeFill="text2" w:themeFillTint="33"/>
          </w:tcPr>
          <w:p w:rsidR="00DA2766" w:rsidRPr="00B74A55" w:rsidRDefault="00DA2766" w:rsidP="00DA2766">
            <w:pPr>
              <w:pBdr>
                <w:top w:val="nil"/>
                <w:left w:val="nil"/>
                <w:bottom w:val="nil"/>
                <w:right w:val="nil"/>
                <w:between w:val="nil"/>
              </w:pBdr>
              <w:rPr>
                <w:sz w:val="22"/>
              </w:rPr>
            </w:pPr>
            <w:r w:rsidRPr="00B74A55">
              <w:rPr>
                <w:b/>
                <w:color w:val="000000"/>
                <w:sz w:val="22"/>
              </w:rPr>
              <w:lastRenderedPageBreak/>
              <w:t xml:space="preserve">Орієнтовний обсяг та джерела фінансування </w:t>
            </w:r>
            <w:r w:rsidRPr="00B74A55">
              <w:rPr>
                <w:b/>
                <w:sz w:val="22"/>
              </w:rPr>
              <w:t>тис. гривень</w:t>
            </w:r>
          </w:p>
        </w:tc>
        <w:tc>
          <w:tcPr>
            <w:tcW w:w="1417" w:type="dxa"/>
            <w:vMerge w:val="restart"/>
            <w:tcBorders>
              <w:top w:val="single" w:sz="6" w:space="0" w:color="000000"/>
              <w:left w:val="single" w:sz="6" w:space="0" w:color="000000" w:themeColor="text1"/>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r w:rsidRPr="00B74A55">
              <w:rPr>
                <w:b/>
                <w:color w:val="000000"/>
                <w:sz w:val="22"/>
              </w:rPr>
              <w:t>Державний бюджет</w:t>
            </w:r>
          </w:p>
        </w:tc>
        <w:tc>
          <w:tcPr>
            <w:tcW w:w="1418" w:type="dxa"/>
            <w:vMerge w:val="restart"/>
            <w:tcBorders>
              <w:top w:val="single" w:sz="6" w:space="0" w:color="000000"/>
              <w:left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r w:rsidRPr="00B74A55">
              <w:rPr>
                <w:b/>
                <w:color w:val="000000"/>
                <w:sz w:val="22"/>
              </w:rPr>
              <w:t>Місцевий бюджет</w:t>
            </w:r>
          </w:p>
        </w:tc>
        <w:tc>
          <w:tcPr>
            <w:tcW w:w="2959" w:type="dxa"/>
            <w:gridSpan w:val="4"/>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r w:rsidRPr="00B74A55">
              <w:rPr>
                <w:b/>
                <w:color w:val="000000"/>
                <w:sz w:val="22"/>
              </w:rPr>
              <w:t>Інші джерела</w:t>
            </w:r>
          </w:p>
        </w:tc>
        <w:tc>
          <w:tcPr>
            <w:tcW w:w="1151" w:type="dxa"/>
            <w:vMerge w:val="restart"/>
            <w:tcBorders>
              <w:top w:val="single" w:sz="6" w:space="0" w:color="000000"/>
              <w:left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r w:rsidRPr="00B74A55">
              <w:rPr>
                <w:b/>
                <w:color w:val="000000"/>
                <w:sz w:val="22"/>
              </w:rPr>
              <w:t>Всього</w:t>
            </w:r>
          </w:p>
        </w:tc>
      </w:tr>
      <w:tr w:rsidR="00DA2766" w:rsidRPr="00B74A55" w:rsidTr="00EE75AB">
        <w:trPr>
          <w:cantSplit/>
          <w:trHeight w:val="290"/>
        </w:trPr>
        <w:tc>
          <w:tcPr>
            <w:tcW w:w="2978"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D9F1" w:themeFill="text2" w:themeFillTint="33"/>
          </w:tcPr>
          <w:p w:rsidR="00DA2766" w:rsidRPr="00B74A55" w:rsidRDefault="00DA2766" w:rsidP="00DA2766">
            <w:pPr>
              <w:widowControl w:val="0"/>
              <w:pBdr>
                <w:top w:val="nil"/>
                <w:left w:val="nil"/>
                <w:bottom w:val="nil"/>
                <w:right w:val="nil"/>
                <w:between w:val="nil"/>
              </w:pBdr>
              <w:spacing w:line="276" w:lineRule="auto"/>
              <w:rPr>
                <w:color w:val="000000"/>
                <w:sz w:val="22"/>
              </w:rPr>
            </w:pPr>
          </w:p>
        </w:tc>
        <w:tc>
          <w:tcPr>
            <w:tcW w:w="1417" w:type="dxa"/>
            <w:vMerge/>
            <w:tcBorders>
              <w:top w:val="single" w:sz="6" w:space="0" w:color="000000"/>
              <w:left w:val="single" w:sz="6" w:space="0" w:color="000000" w:themeColor="text1"/>
              <w:right w:val="single" w:sz="6" w:space="0" w:color="000000"/>
            </w:tcBorders>
          </w:tcPr>
          <w:p w:rsidR="00DA2766" w:rsidRPr="00B74A55" w:rsidRDefault="00DA2766" w:rsidP="00DA2766">
            <w:pPr>
              <w:widowControl w:val="0"/>
              <w:pBdr>
                <w:top w:val="nil"/>
                <w:left w:val="nil"/>
                <w:bottom w:val="nil"/>
                <w:right w:val="nil"/>
                <w:between w:val="nil"/>
              </w:pBdr>
              <w:spacing w:line="276" w:lineRule="auto"/>
              <w:rPr>
                <w:color w:val="000000"/>
                <w:sz w:val="22"/>
              </w:rPr>
            </w:pPr>
          </w:p>
        </w:tc>
        <w:tc>
          <w:tcPr>
            <w:tcW w:w="1418" w:type="dxa"/>
            <w:vMerge/>
            <w:tcBorders>
              <w:top w:val="single" w:sz="6" w:space="0" w:color="000000"/>
              <w:left w:val="single" w:sz="6" w:space="0" w:color="000000"/>
              <w:right w:val="single" w:sz="6" w:space="0" w:color="000000"/>
            </w:tcBorders>
          </w:tcPr>
          <w:p w:rsidR="00DA2766" w:rsidRPr="00B74A55" w:rsidRDefault="00DA2766" w:rsidP="00DA2766">
            <w:pPr>
              <w:widowControl w:val="0"/>
              <w:pBdr>
                <w:top w:val="nil"/>
                <w:left w:val="nil"/>
                <w:bottom w:val="nil"/>
                <w:right w:val="nil"/>
                <w:between w:val="nil"/>
              </w:pBdr>
              <w:spacing w:line="276" w:lineRule="auto"/>
              <w:rPr>
                <w:color w:val="000000"/>
                <w:sz w:val="22"/>
              </w:rPr>
            </w:pPr>
          </w:p>
        </w:tc>
        <w:tc>
          <w:tcPr>
            <w:tcW w:w="1275" w:type="dxa"/>
            <w:gridSpan w:val="2"/>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r w:rsidRPr="00B74A55">
              <w:rPr>
                <w:b/>
                <w:color w:val="000000"/>
                <w:sz w:val="22"/>
              </w:rPr>
              <w:t>Обсяг</w:t>
            </w:r>
          </w:p>
        </w:tc>
        <w:tc>
          <w:tcPr>
            <w:tcW w:w="1684" w:type="dxa"/>
            <w:gridSpan w:val="2"/>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r w:rsidRPr="00B74A55">
              <w:rPr>
                <w:b/>
                <w:color w:val="000000"/>
                <w:sz w:val="22"/>
              </w:rPr>
              <w:t>Назва джерела</w:t>
            </w:r>
          </w:p>
        </w:tc>
        <w:tc>
          <w:tcPr>
            <w:tcW w:w="1151" w:type="dxa"/>
            <w:vMerge/>
            <w:tcBorders>
              <w:top w:val="single" w:sz="6" w:space="0" w:color="000000"/>
              <w:left w:val="single" w:sz="6" w:space="0" w:color="000000"/>
              <w:right w:val="single" w:sz="6" w:space="0" w:color="000000"/>
            </w:tcBorders>
          </w:tcPr>
          <w:p w:rsidR="00DA2766" w:rsidRPr="00B74A55" w:rsidRDefault="00DA2766" w:rsidP="00DA2766">
            <w:pPr>
              <w:widowControl w:val="0"/>
              <w:pBdr>
                <w:top w:val="nil"/>
                <w:left w:val="nil"/>
                <w:bottom w:val="nil"/>
                <w:right w:val="nil"/>
                <w:between w:val="nil"/>
              </w:pBdr>
              <w:spacing w:line="276" w:lineRule="auto"/>
              <w:rPr>
                <w:color w:val="000000"/>
                <w:sz w:val="22"/>
              </w:rPr>
            </w:pPr>
          </w:p>
        </w:tc>
      </w:tr>
      <w:tr w:rsidR="00DA2766" w:rsidRPr="00B74A55" w:rsidTr="00EE75AB">
        <w:trPr>
          <w:cantSplit/>
          <w:trHeight w:val="290"/>
        </w:trPr>
        <w:tc>
          <w:tcPr>
            <w:tcW w:w="2978"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D9F1" w:themeFill="text2" w:themeFillTint="33"/>
          </w:tcPr>
          <w:p w:rsidR="00DA2766" w:rsidRPr="00B74A55" w:rsidRDefault="00DA2766" w:rsidP="00DA2766">
            <w:pPr>
              <w:widowControl w:val="0"/>
              <w:pBdr>
                <w:top w:val="nil"/>
                <w:left w:val="nil"/>
                <w:bottom w:val="nil"/>
                <w:right w:val="nil"/>
                <w:between w:val="nil"/>
              </w:pBdr>
              <w:spacing w:line="276" w:lineRule="auto"/>
              <w:rPr>
                <w:color w:val="000000"/>
                <w:sz w:val="22"/>
              </w:rPr>
            </w:pPr>
          </w:p>
        </w:tc>
        <w:tc>
          <w:tcPr>
            <w:tcW w:w="1417" w:type="dxa"/>
            <w:tcBorders>
              <w:top w:val="single" w:sz="6" w:space="0" w:color="000000"/>
              <w:left w:val="single" w:sz="6" w:space="0" w:color="000000" w:themeColor="text1"/>
              <w:bottom w:val="single" w:sz="4" w:space="0" w:color="000000"/>
              <w:right w:val="single" w:sz="6" w:space="0" w:color="000000"/>
            </w:tcBorders>
          </w:tcPr>
          <w:p w:rsidR="00DA2766" w:rsidRPr="00B74A55" w:rsidRDefault="00DA2766" w:rsidP="00DA2766">
            <w:pPr>
              <w:pBdr>
                <w:top w:val="nil"/>
                <w:left w:val="nil"/>
                <w:bottom w:val="nil"/>
                <w:right w:val="nil"/>
                <w:between w:val="nil"/>
              </w:pBdr>
              <w:jc w:val="center"/>
              <w:rPr>
                <w:color w:val="FF0000"/>
                <w:sz w:val="22"/>
              </w:rPr>
            </w:pPr>
            <w:r w:rsidRPr="00B74A55">
              <w:rPr>
                <w:color w:val="000000"/>
                <w:sz w:val="22"/>
              </w:rPr>
              <w:t>80</w:t>
            </w:r>
            <w:r w:rsidRPr="00B74A55">
              <w:rPr>
                <w:sz w:val="22"/>
              </w:rPr>
              <w:t> 2</w:t>
            </w:r>
            <w:r w:rsidRPr="00B74A55">
              <w:rPr>
                <w:color w:val="000000"/>
                <w:sz w:val="22"/>
              </w:rPr>
              <w:t>00</w:t>
            </w:r>
            <w:r w:rsidRPr="00B74A55">
              <w:rPr>
                <w:color w:val="FF0000"/>
                <w:sz w:val="22"/>
              </w:rPr>
              <w:t xml:space="preserve"> </w:t>
            </w:r>
          </w:p>
          <w:p w:rsidR="00DA2766" w:rsidRPr="00B74A55" w:rsidRDefault="00DA2766" w:rsidP="00DA2766">
            <w:pPr>
              <w:pBdr>
                <w:top w:val="nil"/>
                <w:left w:val="nil"/>
                <w:bottom w:val="nil"/>
                <w:right w:val="nil"/>
                <w:between w:val="nil"/>
              </w:pBdr>
              <w:jc w:val="center"/>
              <w:rPr>
                <w:sz w:val="22"/>
              </w:rPr>
            </w:pPr>
          </w:p>
        </w:tc>
        <w:tc>
          <w:tcPr>
            <w:tcW w:w="1418" w:type="dxa"/>
            <w:tcBorders>
              <w:top w:val="single" w:sz="6" w:space="0" w:color="000000"/>
              <w:left w:val="single" w:sz="6" w:space="0" w:color="000000"/>
              <w:bottom w:val="single" w:sz="4"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p>
        </w:tc>
        <w:tc>
          <w:tcPr>
            <w:tcW w:w="1275" w:type="dxa"/>
            <w:gridSpan w:val="2"/>
            <w:tcBorders>
              <w:top w:val="single" w:sz="6" w:space="0" w:color="000000"/>
              <w:left w:val="single" w:sz="6" w:space="0" w:color="000000"/>
              <w:bottom w:val="single" w:sz="4" w:space="0" w:color="000000"/>
              <w:right w:val="single" w:sz="6" w:space="0" w:color="000000"/>
            </w:tcBorders>
          </w:tcPr>
          <w:p w:rsidR="00DA2766" w:rsidRPr="00B74A55" w:rsidRDefault="00DA2766" w:rsidP="00DA2766">
            <w:pPr>
              <w:pBdr>
                <w:top w:val="nil"/>
                <w:left w:val="nil"/>
                <w:bottom w:val="nil"/>
                <w:right w:val="nil"/>
                <w:between w:val="nil"/>
              </w:pBdr>
              <w:jc w:val="center"/>
              <w:rPr>
                <w:sz w:val="22"/>
              </w:rPr>
            </w:pPr>
            <w:r w:rsidRPr="00B74A55">
              <w:rPr>
                <w:color w:val="000000"/>
                <w:sz w:val="22"/>
              </w:rPr>
              <w:t xml:space="preserve">10 </w:t>
            </w:r>
            <w:r w:rsidRPr="00B74A55">
              <w:rPr>
                <w:sz w:val="22"/>
              </w:rPr>
              <w:t>100</w:t>
            </w:r>
          </w:p>
          <w:p w:rsidR="00DA2766" w:rsidRPr="00B74A55" w:rsidRDefault="00DA2766" w:rsidP="00DA2766">
            <w:pPr>
              <w:pBdr>
                <w:top w:val="nil"/>
                <w:left w:val="nil"/>
                <w:bottom w:val="nil"/>
                <w:right w:val="nil"/>
                <w:between w:val="nil"/>
              </w:pBdr>
              <w:jc w:val="center"/>
              <w:rPr>
                <w:color w:val="FF0000"/>
                <w:sz w:val="22"/>
              </w:rPr>
            </w:pPr>
          </w:p>
        </w:tc>
        <w:tc>
          <w:tcPr>
            <w:tcW w:w="1684" w:type="dxa"/>
            <w:gridSpan w:val="2"/>
            <w:tcBorders>
              <w:top w:val="single" w:sz="6" w:space="0" w:color="000000"/>
              <w:left w:val="single" w:sz="6" w:space="0" w:color="000000"/>
              <w:bottom w:val="single" w:sz="4"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r w:rsidRPr="00B74A55">
              <w:rPr>
                <w:color w:val="000000"/>
                <w:sz w:val="22"/>
              </w:rPr>
              <w:t>Міжнародні інвестиції</w:t>
            </w:r>
          </w:p>
        </w:tc>
        <w:tc>
          <w:tcPr>
            <w:tcW w:w="1151" w:type="dxa"/>
            <w:tcBorders>
              <w:top w:val="single" w:sz="6" w:space="0" w:color="000000"/>
              <w:left w:val="single" w:sz="6" w:space="0" w:color="000000"/>
              <w:bottom w:val="single" w:sz="4" w:space="0" w:color="000000"/>
              <w:right w:val="single" w:sz="6" w:space="0" w:color="000000"/>
            </w:tcBorders>
          </w:tcPr>
          <w:p w:rsidR="00DA2766" w:rsidRPr="00B74A55" w:rsidRDefault="00DA2766" w:rsidP="00DA2766">
            <w:pPr>
              <w:pBdr>
                <w:top w:val="nil"/>
                <w:left w:val="nil"/>
                <w:bottom w:val="nil"/>
                <w:right w:val="nil"/>
                <w:between w:val="nil"/>
              </w:pBdr>
              <w:jc w:val="center"/>
              <w:rPr>
                <w:color w:val="FF0000"/>
                <w:sz w:val="22"/>
              </w:rPr>
            </w:pPr>
            <w:r w:rsidRPr="00B74A55">
              <w:rPr>
                <w:color w:val="000000"/>
                <w:sz w:val="22"/>
              </w:rPr>
              <w:t xml:space="preserve">90 300 </w:t>
            </w:r>
          </w:p>
        </w:tc>
      </w:tr>
    </w:tbl>
    <w:p w:rsidR="00CF4B4F" w:rsidRPr="00B74A55" w:rsidRDefault="00CF4B4F" w:rsidP="00E33AAA">
      <w:pPr>
        <w:tabs>
          <w:tab w:val="left" w:pos="5290"/>
        </w:tabs>
        <w:rPr>
          <w:b/>
          <w:sz w:val="22"/>
          <w:szCs w:val="22"/>
        </w:rPr>
      </w:pPr>
    </w:p>
    <w:p w:rsidR="00CF4B4F" w:rsidRPr="00B74A55" w:rsidRDefault="00CF4B4F" w:rsidP="00E33AAA">
      <w:pPr>
        <w:tabs>
          <w:tab w:val="left" w:pos="5290"/>
        </w:tabs>
        <w:rPr>
          <w:b/>
          <w:sz w:val="22"/>
          <w:szCs w:val="22"/>
        </w:rPr>
      </w:pPr>
    </w:p>
    <w:p w:rsidR="00CF4B4F" w:rsidRPr="00B74A55" w:rsidRDefault="00CF4B4F" w:rsidP="00E33AAA">
      <w:pPr>
        <w:tabs>
          <w:tab w:val="left" w:pos="5290"/>
        </w:tabs>
        <w:rPr>
          <w:b/>
          <w:sz w:val="22"/>
          <w:szCs w:val="22"/>
        </w:rPr>
      </w:pPr>
    </w:p>
    <w:tbl>
      <w:tblPr>
        <w:tblW w:w="9927" w:type="dxa"/>
        <w:tblInd w:w="-176" w:type="dxa"/>
        <w:tblLayout w:type="fixed"/>
        <w:tblLook w:val="0000" w:firstRow="0" w:lastRow="0" w:firstColumn="0" w:lastColumn="0" w:noHBand="0" w:noVBand="0"/>
      </w:tblPr>
      <w:tblGrid>
        <w:gridCol w:w="2978"/>
        <w:gridCol w:w="1417"/>
        <w:gridCol w:w="1418"/>
        <w:gridCol w:w="1025"/>
        <w:gridCol w:w="567"/>
        <w:gridCol w:w="965"/>
        <w:gridCol w:w="367"/>
        <w:gridCol w:w="1190"/>
      </w:tblGrid>
      <w:tr w:rsidR="00DA2766" w:rsidRPr="00B74A55" w:rsidTr="00EE75AB">
        <w:trPr>
          <w:trHeight w:val="423"/>
        </w:trPr>
        <w:tc>
          <w:tcPr>
            <w:tcW w:w="9927" w:type="dxa"/>
            <w:gridSpan w:val="8"/>
            <w:tcBorders>
              <w:bottom w:val="single" w:sz="6" w:space="0" w:color="000000"/>
            </w:tcBorders>
            <w:shd w:val="clear" w:color="auto" w:fill="auto"/>
          </w:tcPr>
          <w:p w:rsidR="00DA2766" w:rsidRPr="00B74A55" w:rsidRDefault="00DA2766" w:rsidP="00DA2766">
            <w:pPr>
              <w:pBdr>
                <w:top w:val="nil"/>
                <w:left w:val="nil"/>
                <w:bottom w:val="nil"/>
                <w:right w:val="nil"/>
                <w:between w:val="nil"/>
              </w:pBdr>
              <w:jc w:val="center"/>
              <w:rPr>
                <w:sz w:val="22"/>
              </w:rPr>
            </w:pPr>
          </w:p>
        </w:tc>
      </w:tr>
      <w:tr w:rsidR="00DA2766" w:rsidRPr="00B74A55" w:rsidTr="00EE75AB">
        <w:trPr>
          <w:trHeight w:val="290"/>
        </w:trPr>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DA2766" w:rsidRPr="00B74A55" w:rsidRDefault="00DA2766" w:rsidP="00DA2766">
            <w:pPr>
              <w:pBdr>
                <w:top w:val="nil"/>
                <w:left w:val="nil"/>
                <w:bottom w:val="nil"/>
                <w:right w:val="nil"/>
                <w:between w:val="nil"/>
              </w:pBdr>
              <w:rPr>
                <w:color w:val="000000"/>
                <w:sz w:val="22"/>
              </w:rPr>
            </w:pPr>
            <w:r w:rsidRPr="00B74A55">
              <w:rPr>
                <w:b/>
                <w:color w:val="000000"/>
                <w:sz w:val="22"/>
              </w:rPr>
              <w:t>Оперативна ціль/завдання</w:t>
            </w:r>
          </w:p>
        </w:tc>
        <w:tc>
          <w:tcPr>
            <w:tcW w:w="6949" w:type="dxa"/>
            <w:gridSpan w:val="7"/>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rPr>
                <w:color w:val="000000"/>
                <w:sz w:val="22"/>
              </w:rPr>
            </w:pPr>
            <w:r w:rsidRPr="00B74A55">
              <w:rPr>
                <w:sz w:val="22"/>
              </w:rPr>
              <w:t xml:space="preserve">Людський розвиток через інновації управління та довіру до влади. Формування сучасного інклюзивного  </w:t>
            </w:r>
            <w:proofErr w:type="spellStart"/>
            <w:r w:rsidRPr="00B74A55">
              <w:rPr>
                <w:sz w:val="22"/>
              </w:rPr>
              <w:t>освітньо</w:t>
            </w:r>
            <w:proofErr w:type="spellEnd"/>
            <w:r w:rsidRPr="00B74A55">
              <w:rPr>
                <w:sz w:val="22"/>
              </w:rPr>
              <w:t>-культурного та спортивного простору для розвитку"</w:t>
            </w:r>
          </w:p>
        </w:tc>
      </w:tr>
      <w:tr w:rsidR="00DA2766" w:rsidRPr="00B74A55" w:rsidTr="00EE75AB">
        <w:trPr>
          <w:trHeight w:val="1128"/>
        </w:trPr>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DA2766" w:rsidRPr="00B74A55" w:rsidRDefault="00DA2766" w:rsidP="00DA2766">
            <w:pPr>
              <w:pBdr>
                <w:top w:val="nil"/>
                <w:left w:val="nil"/>
                <w:bottom w:val="nil"/>
                <w:right w:val="nil"/>
                <w:between w:val="nil"/>
              </w:pBdr>
              <w:rPr>
                <w:color w:val="000000"/>
                <w:sz w:val="22"/>
              </w:rPr>
            </w:pPr>
            <w:r w:rsidRPr="00B74A55">
              <w:rPr>
                <w:b/>
                <w:color w:val="000000"/>
                <w:sz w:val="22"/>
              </w:rPr>
              <w:t>Назва проекту:</w:t>
            </w:r>
          </w:p>
        </w:tc>
        <w:tc>
          <w:tcPr>
            <w:tcW w:w="6949" w:type="dxa"/>
            <w:gridSpan w:val="7"/>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rPr>
                <w:color w:val="000000"/>
                <w:sz w:val="22"/>
              </w:rPr>
            </w:pPr>
            <w:r w:rsidRPr="00B74A55">
              <w:rPr>
                <w:color w:val="000000"/>
                <w:sz w:val="22"/>
              </w:rPr>
              <w:t xml:space="preserve">"ЩАСЛИВЕ ДИТИНСТВО"    </w:t>
            </w:r>
          </w:p>
          <w:p w:rsidR="00DA2766" w:rsidRPr="00B74A55" w:rsidRDefault="00DA2766" w:rsidP="00DA2766">
            <w:pPr>
              <w:pBdr>
                <w:top w:val="nil"/>
                <w:left w:val="nil"/>
                <w:bottom w:val="nil"/>
                <w:right w:val="nil"/>
                <w:between w:val="nil"/>
              </w:pBdr>
              <w:rPr>
                <w:color w:val="000000"/>
                <w:sz w:val="22"/>
              </w:rPr>
            </w:pPr>
            <w:r w:rsidRPr="00B74A55">
              <w:rPr>
                <w:color w:val="000000"/>
                <w:sz w:val="22"/>
              </w:rPr>
              <w:t>Відновлення благоустрою території та матеріально-технічне забезпечення Ясел-садка № 42 міста Сєвєродонецька Луганської області, адреса: Луганська область, Сєвєродонецький район, м. Сєвєродонецьк, вулиця Курчатова, 17-А</w:t>
            </w:r>
          </w:p>
        </w:tc>
      </w:tr>
      <w:tr w:rsidR="00DA2766" w:rsidRPr="00B74A55" w:rsidTr="00EE75AB">
        <w:trPr>
          <w:trHeight w:val="2688"/>
        </w:trPr>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DA2766" w:rsidRPr="00B74A55" w:rsidRDefault="00DA2766" w:rsidP="00DA2766">
            <w:pPr>
              <w:pBdr>
                <w:top w:val="nil"/>
                <w:left w:val="nil"/>
                <w:bottom w:val="nil"/>
                <w:right w:val="nil"/>
                <w:between w:val="nil"/>
              </w:pBdr>
              <w:rPr>
                <w:color w:val="000000"/>
                <w:sz w:val="22"/>
              </w:rPr>
            </w:pPr>
            <w:r w:rsidRPr="00B74A55">
              <w:rPr>
                <w:b/>
                <w:color w:val="000000"/>
                <w:sz w:val="22"/>
              </w:rPr>
              <w:t>Ціль проекту</w:t>
            </w:r>
          </w:p>
        </w:tc>
        <w:tc>
          <w:tcPr>
            <w:tcW w:w="6949" w:type="dxa"/>
            <w:gridSpan w:val="7"/>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ind w:firstLine="389"/>
              <w:rPr>
                <w:color w:val="000000"/>
                <w:sz w:val="22"/>
              </w:rPr>
            </w:pPr>
            <w:r w:rsidRPr="00B74A55">
              <w:rPr>
                <w:color w:val="000000"/>
                <w:sz w:val="22"/>
              </w:rPr>
              <w:t xml:space="preserve">Після військових дій, після руйнації, мародерства виникла потреба відновлення благоустрою території та матеріально-технічного забезпечення Ясел-садка №42, а саме: забезпечення закладу необхідними меблями, обладнанням та інвентарем; забезпечення інтернет-ресурсом та комп'ютерним обладнанням. Оновлення та озеленення території закладу, забезпечення новим ігровим обладнанням прогулянкових ігрових майданчиків. Частковий ремонт павільйонів, відновлення огорожі для створення у ЗДО комфортних та безпечних умов для здобуття дітьми дошкільної освіти, формування життєздатної особистості, розвиток виховання та навчання дітей, створення нових місць для дітей шляхом проведення відновлення роботи Ясел-садка № 42 міста Сєвєродонецька Луганської області.  </w:t>
            </w:r>
          </w:p>
        </w:tc>
      </w:tr>
      <w:tr w:rsidR="00DA2766" w:rsidRPr="00B74A55" w:rsidTr="00EE75AB">
        <w:trPr>
          <w:trHeight w:val="570"/>
        </w:trPr>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DA2766" w:rsidRPr="00B74A55" w:rsidRDefault="00DA2766" w:rsidP="00DA2766">
            <w:pPr>
              <w:pBdr>
                <w:top w:val="nil"/>
                <w:left w:val="nil"/>
                <w:bottom w:val="nil"/>
                <w:right w:val="nil"/>
                <w:between w:val="nil"/>
              </w:pBdr>
              <w:rPr>
                <w:color w:val="000000"/>
                <w:sz w:val="22"/>
              </w:rPr>
            </w:pPr>
            <w:r w:rsidRPr="00B74A55">
              <w:rPr>
                <w:b/>
                <w:color w:val="000000"/>
                <w:sz w:val="22"/>
              </w:rPr>
              <w:t>Територія, на яку матиме вплив реалізація проекту</w:t>
            </w:r>
          </w:p>
        </w:tc>
        <w:tc>
          <w:tcPr>
            <w:tcW w:w="6949" w:type="dxa"/>
            <w:gridSpan w:val="7"/>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rPr>
                <w:color w:val="000000"/>
                <w:sz w:val="22"/>
              </w:rPr>
            </w:pPr>
            <w:r w:rsidRPr="00B74A55">
              <w:rPr>
                <w:color w:val="000000"/>
                <w:sz w:val="22"/>
              </w:rPr>
              <w:t>Сєвєродонецька міська територіальна громада</w:t>
            </w:r>
          </w:p>
        </w:tc>
      </w:tr>
      <w:tr w:rsidR="00DA2766" w:rsidRPr="00B74A55" w:rsidTr="00EE75AB">
        <w:trPr>
          <w:trHeight w:val="550"/>
        </w:trPr>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DA2766" w:rsidRPr="00B74A55" w:rsidRDefault="00DA2766" w:rsidP="00DA2766">
            <w:pPr>
              <w:pBdr>
                <w:top w:val="nil"/>
                <w:left w:val="nil"/>
                <w:bottom w:val="nil"/>
                <w:right w:val="nil"/>
                <w:between w:val="nil"/>
              </w:pBdr>
              <w:rPr>
                <w:color w:val="000000"/>
                <w:sz w:val="22"/>
              </w:rPr>
            </w:pPr>
            <w:r w:rsidRPr="00B74A55">
              <w:rPr>
                <w:b/>
                <w:color w:val="000000"/>
                <w:sz w:val="22"/>
              </w:rPr>
              <w:t>Чисельність населення, на яке матиме вплив реалізація проекту</w:t>
            </w:r>
          </w:p>
        </w:tc>
        <w:tc>
          <w:tcPr>
            <w:tcW w:w="6949" w:type="dxa"/>
            <w:gridSpan w:val="7"/>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tabs>
                <w:tab w:val="left" w:pos="5290"/>
              </w:tabs>
              <w:rPr>
                <w:color w:val="000000"/>
                <w:sz w:val="22"/>
              </w:rPr>
            </w:pPr>
            <w:r w:rsidRPr="00B74A55">
              <w:rPr>
                <w:color w:val="000000"/>
                <w:sz w:val="22"/>
              </w:rPr>
              <w:t>70 000 осіб</w:t>
            </w:r>
          </w:p>
        </w:tc>
      </w:tr>
      <w:tr w:rsidR="00DA2766" w:rsidRPr="00B74A55" w:rsidTr="00EE75AB">
        <w:trPr>
          <w:trHeight w:val="272"/>
        </w:trPr>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DA2766" w:rsidRPr="00B74A55" w:rsidRDefault="00DA2766" w:rsidP="00DA2766">
            <w:pPr>
              <w:pBdr>
                <w:top w:val="nil"/>
                <w:left w:val="nil"/>
                <w:bottom w:val="nil"/>
                <w:right w:val="nil"/>
                <w:between w:val="nil"/>
              </w:pBdr>
              <w:rPr>
                <w:color w:val="000000"/>
                <w:sz w:val="22"/>
              </w:rPr>
            </w:pPr>
            <w:r w:rsidRPr="00B74A55">
              <w:rPr>
                <w:b/>
                <w:color w:val="000000"/>
                <w:sz w:val="22"/>
              </w:rPr>
              <w:t>Опис проблеми, на вирішення якої спрямований проект</w:t>
            </w:r>
          </w:p>
        </w:tc>
        <w:tc>
          <w:tcPr>
            <w:tcW w:w="6949" w:type="dxa"/>
            <w:gridSpan w:val="7"/>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ind w:firstLine="389"/>
              <w:rPr>
                <w:color w:val="000000"/>
                <w:sz w:val="22"/>
              </w:rPr>
            </w:pPr>
            <w:r w:rsidRPr="00B74A55">
              <w:rPr>
                <w:color w:val="000000"/>
                <w:sz w:val="22"/>
              </w:rPr>
              <w:t>Мешканці громади потребують отримання якісних освітніх послуг, які відповідають нормам сучасності . Через військову агресію РФ територія Сєвєродонецької міської територіальної громади зазнала значних пошкоджень</w:t>
            </w:r>
            <w:r w:rsidR="00C5332D" w:rsidRPr="00B74A55">
              <w:rPr>
                <w:color w:val="000000"/>
                <w:sz w:val="22"/>
              </w:rPr>
              <w:t>.</w:t>
            </w:r>
            <w:r w:rsidRPr="00B74A55">
              <w:rPr>
                <w:color w:val="000000"/>
                <w:sz w:val="22"/>
              </w:rPr>
              <w:t xml:space="preserve"> </w:t>
            </w:r>
            <w:r w:rsidR="00C5332D" w:rsidRPr="00B74A55">
              <w:rPr>
                <w:color w:val="000000"/>
                <w:sz w:val="22"/>
              </w:rPr>
              <w:t>Н</w:t>
            </w:r>
            <w:r w:rsidRPr="00B74A55">
              <w:rPr>
                <w:color w:val="000000"/>
                <w:sz w:val="22"/>
              </w:rPr>
              <w:t>е оминуло це і  Ясл</w:t>
            </w:r>
            <w:r w:rsidR="00C5332D" w:rsidRPr="00B74A55">
              <w:rPr>
                <w:color w:val="000000"/>
                <w:sz w:val="22"/>
              </w:rPr>
              <w:t>а</w:t>
            </w:r>
            <w:r w:rsidRPr="00B74A55">
              <w:rPr>
                <w:color w:val="000000"/>
                <w:sz w:val="22"/>
              </w:rPr>
              <w:t>-сад</w:t>
            </w:r>
            <w:r w:rsidR="00C5332D" w:rsidRPr="00B74A55">
              <w:rPr>
                <w:color w:val="000000"/>
                <w:sz w:val="22"/>
              </w:rPr>
              <w:t>о</w:t>
            </w:r>
            <w:r w:rsidRPr="00B74A55">
              <w:rPr>
                <w:color w:val="000000"/>
                <w:sz w:val="22"/>
              </w:rPr>
              <w:t>к №42 міста Сєвєродонецька Луганської області. Будівля закладу зазнала часткового руйнування, матеріально-технічна база Ясел-садка, зокрема: обладнання, меблі, комп’ютерна техніка, оснащення, інвентар та інше майно зіпсовано, розкрадено. Для відбудови та сталого розвитку громади виникла потреба благоустрою території та матеріально-технічного забезпечення Ясел-садка №42.</w:t>
            </w:r>
          </w:p>
          <w:p w:rsidR="00DA2766" w:rsidRPr="00B74A55" w:rsidRDefault="00DA2766" w:rsidP="00C5332D">
            <w:pPr>
              <w:pBdr>
                <w:top w:val="nil"/>
                <w:left w:val="nil"/>
                <w:bottom w:val="nil"/>
                <w:right w:val="nil"/>
                <w:between w:val="nil"/>
              </w:pBdr>
              <w:ind w:firstLine="389"/>
              <w:jc w:val="left"/>
              <w:rPr>
                <w:color w:val="000000"/>
                <w:sz w:val="22"/>
              </w:rPr>
            </w:pPr>
            <w:r w:rsidRPr="00B74A55">
              <w:rPr>
                <w:b/>
                <w:color w:val="000000"/>
                <w:sz w:val="22"/>
              </w:rPr>
              <w:t>Блок №1 "Відновлення благоустрою території"</w:t>
            </w:r>
            <w:r w:rsidRPr="00B74A55">
              <w:rPr>
                <w:color w:val="000000"/>
                <w:sz w:val="22"/>
              </w:rPr>
              <w:t xml:space="preserve"> </w:t>
            </w:r>
            <w:r w:rsidRPr="00B74A55">
              <w:rPr>
                <w:color w:val="000000"/>
                <w:sz w:val="22"/>
              </w:rPr>
              <w:br/>
              <w:t xml:space="preserve">• відновлення паркану навколо території дошкільного закладу; </w:t>
            </w:r>
            <w:r w:rsidRPr="00B74A55">
              <w:rPr>
                <w:color w:val="000000"/>
                <w:sz w:val="22"/>
              </w:rPr>
              <w:br/>
              <w:t xml:space="preserve">• часткове відновлення асфальтного покриття на території закладу; </w:t>
            </w:r>
            <w:r w:rsidRPr="00B74A55">
              <w:rPr>
                <w:color w:val="000000"/>
                <w:sz w:val="22"/>
              </w:rPr>
              <w:br/>
            </w:r>
            <w:r w:rsidRPr="00B74A55">
              <w:rPr>
                <w:color w:val="000000"/>
                <w:sz w:val="22"/>
              </w:rPr>
              <w:lastRenderedPageBreak/>
              <w:t xml:space="preserve">• укладання тротуарної плитки на території закладу;  </w:t>
            </w:r>
            <w:r w:rsidRPr="00B74A55">
              <w:rPr>
                <w:color w:val="000000"/>
                <w:sz w:val="22"/>
              </w:rPr>
              <w:br/>
              <w:t xml:space="preserve">• створення </w:t>
            </w:r>
            <w:proofErr w:type="spellStart"/>
            <w:r w:rsidRPr="00B74A55">
              <w:rPr>
                <w:color w:val="000000"/>
                <w:sz w:val="22"/>
              </w:rPr>
              <w:t>безбар’єрного</w:t>
            </w:r>
            <w:proofErr w:type="spellEnd"/>
            <w:r w:rsidRPr="00B74A55">
              <w:rPr>
                <w:color w:val="000000"/>
                <w:sz w:val="22"/>
              </w:rPr>
              <w:t xml:space="preserve"> простору для осіб з ООП (встановлення пандусів</w:t>
            </w:r>
            <w:r w:rsidRPr="00B74A55">
              <w:rPr>
                <w:sz w:val="22"/>
              </w:rPr>
              <w:t xml:space="preserve"> </w:t>
            </w:r>
            <w:r w:rsidRPr="00B74A55">
              <w:rPr>
                <w:color w:val="000000"/>
                <w:sz w:val="22"/>
              </w:rPr>
              <w:t xml:space="preserve">); </w:t>
            </w:r>
            <w:r w:rsidRPr="00B74A55">
              <w:rPr>
                <w:color w:val="000000"/>
                <w:sz w:val="22"/>
              </w:rPr>
              <w:br/>
              <w:t xml:space="preserve">• капітальний ремонт спортивного майданчику (штучне покриття, забезпечення новим сучасним обладнанням) </w:t>
            </w:r>
            <w:r w:rsidR="00C5332D" w:rsidRPr="00B74A55">
              <w:rPr>
                <w:color w:val="000000"/>
                <w:sz w:val="22"/>
              </w:rPr>
              <w:t>;</w:t>
            </w:r>
            <w:r w:rsidRPr="00B74A55">
              <w:rPr>
                <w:color w:val="000000"/>
                <w:sz w:val="22"/>
              </w:rPr>
              <w:br/>
              <w:t xml:space="preserve">• реконструкція ігрових майданчиків, забезпечення їх сучасним обладнанням;  </w:t>
            </w:r>
            <w:r w:rsidRPr="00B74A55">
              <w:rPr>
                <w:color w:val="000000"/>
                <w:sz w:val="22"/>
              </w:rPr>
              <w:br/>
              <w:t xml:space="preserve">• часткове відновлення пошкоджених тіньових навісів (павільйонів) на ігрових майданчиках; </w:t>
            </w:r>
            <w:r w:rsidRPr="00B74A55">
              <w:rPr>
                <w:color w:val="000000"/>
                <w:sz w:val="22"/>
              </w:rPr>
              <w:br/>
              <w:t xml:space="preserve">• відновлення сучасної загальної </w:t>
            </w:r>
            <w:proofErr w:type="spellStart"/>
            <w:r w:rsidRPr="00B74A55">
              <w:rPr>
                <w:color w:val="000000"/>
                <w:sz w:val="22"/>
              </w:rPr>
              <w:t>оздоровчо</w:t>
            </w:r>
            <w:proofErr w:type="spellEnd"/>
            <w:r w:rsidRPr="00B74A55">
              <w:rPr>
                <w:color w:val="000000"/>
                <w:sz w:val="22"/>
              </w:rPr>
              <w:t xml:space="preserve">-ігрової зони для дітей на території закладу; </w:t>
            </w:r>
            <w:r w:rsidRPr="00B74A55">
              <w:rPr>
                <w:color w:val="000000"/>
                <w:sz w:val="22"/>
              </w:rPr>
              <w:br/>
              <w:t xml:space="preserve">• озеленення території закладу. </w:t>
            </w:r>
          </w:p>
          <w:p w:rsidR="00DA2766" w:rsidRPr="00B74A55" w:rsidRDefault="00DA2766" w:rsidP="00C5332D">
            <w:pPr>
              <w:pBdr>
                <w:top w:val="nil"/>
                <w:left w:val="nil"/>
                <w:bottom w:val="nil"/>
                <w:right w:val="nil"/>
                <w:between w:val="nil"/>
              </w:pBdr>
              <w:ind w:firstLine="389"/>
              <w:jc w:val="left"/>
              <w:rPr>
                <w:color w:val="000000"/>
                <w:sz w:val="22"/>
              </w:rPr>
            </w:pPr>
            <w:r w:rsidRPr="00B74A55">
              <w:rPr>
                <w:b/>
                <w:color w:val="000000"/>
                <w:sz w:val="22"/>
              </w:rPr>
              <w:t>Блок №2</w:t>
            </w:r>
            <w:r w:rsidRPr="00B74A55">
              <w:rPr>
                <w:color w:val="000000"/>
                <w:sz w:val="22"/>
              </w:rPr>
              <w:t xml:space="preserve"> </w:t>
            </w:r>
            <w:r w:rsidRPr="00B74A55">
              <w:rPr>
                <w:b/>
                <w:color w:val="000000"/>
                <w:sz w:val="22"/>
              </w:rPr>
              <w:t>"Матеріально-технічне забезпечення"</w:t>
            </w:r>
            <w:r w:rsidRPr="00B74A55">
              <w:rPr>
                <w:color w:val="000000"/>
                <w:sz w:val="22"/>
              </w:rPr>
              <w:t xml:space="preserve"> </w:t>
            </w:r>
            <w:r w:rsidRPr="00B74A55">
              <w:rPr>
                <w:color w:val="000000"/>
                <w:sz w:val="22"/>
              </w:rPr>
              <w:br/>
              <w:t xml:space="preserve">• оснащення меблями всіх групових осередків, адміністративних та навчально-методичних приміщень, допоміжних приміщень; </w:t>
            </w:r>
            <w:r w:rsidRPr="00B74A55">
              <w:rPr>
                <w:color w:val="000000"/>
                <w:sz w:val="22"/>
              </w:rPr>
              <w:br/>
              <w:t xml:space="preserve">• забезпечення технічними засобами навчання, методичними та дидактичними матеріалами; </w:t>
            </w:r>
            <w:r w:rsidRPr="00B74A55">
              <w:rPr>
                <w:color w:val="000000"/>
                <w:sz w:val="22"/>
              </w:rPr>
              <w:br/>
              <w:t xml:space="preserve">• забезпечення спеціалістів сучасним комп’ютерним та мультимедійним обладнанням та електронними засобами зв'язку; </w:t>
            </w:r>
            <w:r w:rsidRPr="00B74A55">
              <w:rPr>
                <w:color w:val="000000"/>
                <w:sz w:val="22"/>
              </w:rPr>
              <w:br/>
              <w:t xml:space="preserve">• відновлення мережі Інтернет, встановлення сучасної електронної системи; </w:t>
            </w:r>
            <w:r w:rsidRPr="00B74A55">
              <w:rPr>
                <w:color w:val="000000"/>
                <w:sz w:val="22"/>
              </w:rPr>
              <w:br/>
              <w:t>• оснащення музичної та спортивної зали необхідним обладнанням та інвентарем;</w:t>
            </w:r>
            <w:r w:rsidRPr="00B74A55">
              <w:rPr>
                <w:color w:val="000000"/>
                <w:sz w:val="22"/>
              </w:rPr>
              <w:br/>
              <w:t xml:space="preserve">• оснащення харчоблоку необхідним обладнанням та посудом; </w:t>
            </w:r>
            <w:r w:rsidRPr="00B74A55">
              <w:rPr>
                <w:color w:val="000000"/>
                <w:sz w:val="22"/>
              </w:rPr>
              <w:br/>
              <w:t>• оснащення пральної кімнати необхідним обладнанням та інвентарем.</w:t>
            </w:r>
          </w:p>
        </w:tc>
      </w:tr>
      <w:tr w:rsidR="00DA2766" w:rsidRPr="00B74A55" w:rsidTr="00EE75AB">
        <w:trPr>
          <w:trHeight w:val="950"/>
        </w:trPr>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DA2766" w:rsidRPr="00B74A55" w:rsidRDefault="00DA2766" w:rsidP="00DA2766">
            <w:pPr>
              <w:pBdr>
                <w:top w:val="nil"/>
                <w:left w:val="nil"/>
                <w:bottom w:val="nil"/>
                <w:right w:val="nil"/>
                <w:between w:val="nil"/>
              </w:pBdr>
              <w:rPr>
                <w:color w:val="000000"/>
                <w:sz w:val="22"/>
              </w:rPr>
            </w:pPr>
            <w:r w:rsidRPr="00B74A55">
              <w:rPr>
                <w:b/>
                <w:color w:val="000000"/>
                <w:sz w:val="22"/>
              </w:rPr>
              <w:lastRenderedPageBreak/>
              <w:t>Очікувані якісні результати від реалізації проекту</w:t>
            </w:r>
          </w:p>
        </w:tc>
        <w:tc>
          <w:tcPr>
            <w:tcW w:w="6949" w:type="dxa"/>
            <w:gridSpan w:val="7"/>
            <w:tcBorders>
              <w:top w:val="single" w:sz="6" w:space="0" w:color="000000"/>
              <w:left w:val="single" w:sz="6" w:space="0" w:color="000000"/>
              <w:bottom w:val="single" w:sz="6" w:space="0" w:color="000000"/>
              <w:right w:val="single" w:sz="6" w:space="0" w:color="000000"/>
            </w:tcBorders>
          </w:tcPr>
          <w:p w:rsidR="00DA2766" w:rsidRPr="00B74A55" w:rsidRDefault="00DA2766" w:rsidP="000303D7">
            <w:pPr>
              <w:numPr>
                <w:ilvl w:val="0"/>
                <w:numId w:val="92"/>
              </w:numPr>
              <w:pBdr>
                <w:top w:val="nil"/>
                <w:left w:val="nil"/>
                <w:bottom w:val="nil"/>
                <w:right w:val="nil"/>
                <w:between w:val="nil"/>
              </w:pBdr>
              <w:jc w:val="left"/>
              <w:rPr>
                <w:color w:val="000000"/>
                <w:sz w:val="22"/>
              </w:rPr>
            </w:pPr>
            <w:r w:rsidRPr="00B74A55">
              <w:rPr>
                <w:color w:val="000000"/>
                <w:sz w:val="22"/>
              </w:rPr>
              <w:t>Задоволення освітніх потреб громади для сталого розвитку.</w:t>
            </w:r>
          </w:p>
          <w:p w:rsidR="00DA2766" w:rsidRPr="00B74A55" w:rsidRDefault="00DA2766" w:rsidP="000303D7">
            <w:pPr>
              <w:numPr>
                <w:ilvl w:val="0"/>
                <w:numId w:val="92"/>
              </w:numPr>
              <w:pBdr>
                <w:top w:val="nil"/>
                <w:left w:val="nil"/>
                <w:bottom w:val="nil"/>
                <w:right w:val="nil"/>
                <w:between w:val="nil"/>
              </w:pBdr>
              <w:jc w:val="left"/>
              <w:rPr>
                <w:color w:val="000000"/>
                <w:sz w:val="22"/>
              </w:rPr>
            </w:pPr>
            <w:r w:rsidRPr="00B74A55">
              <w:rPr>
                <w:color w:val="000000"/>
                <w:sz w:val="22"/>
              </w:rPr>
              <w:t>Надання широкого спектру освітніх послуг.</w:t>
            </w:r>
          </w:p>
          <w:p w:rsidR="00DA2766" w:rsidRPr="00B74A55" w:rsidRDefault="00DA2766" w:rsidP="000303D7">
            <w:pPr>
              <w:numPr>
                <w:ilvl w:val="0"/>
                <w:numId w:val="92"/>
              </w:numPr>
              <w:pBdr>
                <w:top w:val="nil"/>
                <w:left w:val="nil"/>
                <w:bottom w:val="nil"/>
                <w:right w:val="nil"/>
                <w:between w:val="nil"/>
              </w:pBdr>
              <w:jc w:val="left"/>
              <w:rPr>
                <w:color w:val="000000"/>
                <w:sz w:val="22"/>
              </w:rPr>
            </w:pPr>
            <w:r w:rsidRPr="00B74A55">
              <w:rPr>
                <w:color w:val="000000"/>
                <w:sz w:val="22"/>
              </w:rPr>
              <w:t>Створення нових робочих місць.</w:t>
            </w:r>
          </w:p>
          <w:p w:rsidR="00DA2766" w:rsidRPr="00B74A55" w:rsidRDefault="00DA2766" w:rsidP="000303D7">
            <w:pPr>
              <w:numPr>
                <w:ilvl w:val="0"/>
                <w:numId w:val="92"/>
              </w:numPr>
              <w:pBdr>
                <w:top w:val="nil"/>
                <w:left w:val="nil"/>
                <w:bottom w:val="nil"/>
                <w:right w:val="nil"/>
                <w:between w:val="nil"/>
              </w:pBdr>
              <w:jc w:val="left"/>
              <w:rPr>
                <w:color w:val="000000"/>
                <w:sz w:val="22"/>
              </w:rPr>
            </w:pPr>
            <w:r w:rsidRPr="00B74A55">
              <w:rPr>
                <w:color w:val="000000"/>
                <w:sz w:val="22"/>
              </w:rPr>
              <w:t>Стимул повернення ВПО, дітей до громади.</w:t>
            </w:r>
          </w:p>
          <w:p w:rsidR="00DA2766" w:rsidRPr="00B74A55" w:rsidRDefault="00DA2766" w:rsidP="00DA2766">
            <w:pPr>
              <w:pBdr>
                <w:top w:val="nil"/>
                <w:left w:val="nil"/>
                <w:bottom w:val="nil"/>
                <w:right w:val="nil"/>
                <w:between w:val="nil"/>
              </w:pBdr>
              <w:ind w:firstLine="389"/>
              <w:rPr>
                <w:color w:val="000000"/>
                <w:sz w:val="22"/>
              </w:rPr>
            </w:pPr>
            <w:r w:rsidRPr="00B74A55">
              <w:rPr>
                <w:color w:val="000000"/>
                <w:sz w:val="22"/>
              </w:rPr>
              <w:t>Ясла-садок № 42 міста Сєвєродонецька Луганської області відновив  роботу, надає дітям дошкільну освіту, розвиває, виховує, навчає дітей дошкільного віку, формує особистість готову до шкільного навчання та життя.</w:t>
            </w:r>
          </w:p>
        </w:tc>
      </w:tr>
      <w:tr w:rsidR="00DA2766" w:rsidRPr="00B74A55" w:rsidTr="00EE75AB">
        <w:trPr>
          <w:trHeight w:val="549"/>
        </w:trPr>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DA2766" w:rsidRPr="00B74A55" w:rsidRDefault="00DA2766" w:rsidP="00DA2766">
            <w:pPr>
              <w:pBdr>
                <w:top w:val="nil"/>
                <w:left w:val="nil"/>
                <w:bottom w:val="nil"/>
                <w:right w:val="nil"/>
                <w:between w:val="nil"/>
              </w:pBdr>
              <w:rPr>
                <w:color w:val="000000"/>
                <w:sz w:val="22"/>
              </w:rPr>
            </w:pPr>
            <w:r w:rsidRPr="00B74A55">
              <w:rPr>
                <w:b/>
                <w:color w:val="000000"/>
                <w:sz w:val="22"/>
              </w:rPr>
              <w:t>Очікувані кількісні результати від реалізації проекту  (індикатори)</w:t>
            </w:r>
          </w:p>
        </w:tc>
        <w:tc>
          <w:tcPr>
            <w:tcW w:w="3860" w:type="dxa"/>
            <w:gridSpan w:val="3"/>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r w:rsidRPr="00B74A55">
              <w:rPr>
                <w:b/>
                <w:color w:val="000000"/>
                <w:sz w:val="22"/>
              </w:rPr>
              <w:t>Найменування показника</w:t>
            </w:r>
          </w:p>
        </w:tc>
        <w:tc>
          <w:tcPr>
            <w:tcW w:w="1532" w:type="dxa"/>
            <w:gridSpan w:val="2"/>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r w:rsidRPr="00B74A55">
              <w:rPr>
                <w:b/>
                <w:color w:val="000000"/>
                <w:sz w:val="22"/>
              </w:rPr>
              <w:t>Одиниця вимірювання</w:t>
            </w:r>
          </w:p>
        </w:tc>
        <w:tc>
          <w:tcPr>
            <w:tcW w:w="1557" w:type="dxa"/>
            <w:gridSpan w:val="2"/>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r w:rsidRPr="00B74A55">
              <w:rPr>
                <w:b/>
                <w:color w:val="000000"/>
                <w:sz w:val="22"/>
              </w:rPr>
              <w:t>Прогнозне (цільове) значення</w:t>
            </w:r>
          </w:p>
        </w:tc>
      </w:tr>
      <w:tr w:rsidR="00DA2766" w:rsidRPr="00B74A55" w:rsidTr="00C5332D">
        <w:trPr>
          <w:cantSplit/>
          <w:trHeight w:val="2678"/>
        </w:trPr>
        <w:tc>
          <w:tcPr>
            <w:tcW w:w="2978" w:type="dxa"/>
            <w:vMerge w:val="restart"/>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DA2766" w:rsidRPr="00B74A55" w:rsidRDefault="00DA2766" w:rsidP="00DA2766">
            <w:pPr>
              <w:pBdr>
                <w:top w:val="nil"/>
                <w:left w:val="nil"/>
                <w:bottom w:val="nil"/>
                <w:right w:val="nil"/>
                <w:between w:val="nil"/>
              </w:pBdr>
              <w:rPr>
                <w:color w:val="000000"/>
                <w:sz w:val="22"/>
              </w:rPr>
            </w:pPr>
          </w:p>
        </w:tc>
        <w:tc>
          <w:tcPr>
            <w:tcW w:w="3860" w:type="dxa"/>
            <w:gridSpan w:val="3"/>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tabs>
                <w:tab w:val="left" w:pos="5290"/>
              </w:tabs>
              <w:rPr>
                <w:color w:val="000000"/>
                <w:sz w:val="22"/>
              </w:rPr>
            </w:pPr>
            <w:r w:rsidRPr="00B74A55">
              <w:rPr>
                <w:b/>
                <w:color w:val="000000"/>
                <w:sz w:val="22"/>
              </w:rPr>
              <w:t>Блок №1 "Відновлення благоустрою території"</w:t>
            </w:r>
          </w:p>
          <w:p w:rsidR="00DA2766" w:rsidRPr="00B74A55" w:rsidRDefault="00DA2766" w:rsidP="00C5332D">
            <w:pPr>
              <w:pBdr>
                <w:top w:val="nil"/>
                <w:left w:val="nil"/>
                <w:bottom w:val="nil"/>
                <w:right w:val="nil"/>
                <w:between w:val="nil"/>
              </w:pBdr>
              <w:tabs>
                <w:tab w:val="left" w:pos="5290"/>
              </w:tabs>
              <w:jc w:val="left"/>
              <w:rPr>
                <w:color w:val="000000"/>
                <w:sz w:val="22"/>
              </w:rPr>
            </w:pPr>
            <w:r w:rsidRPr="00B74A55">
              <w:rPr>
                <w:color w:val="000000"/>
                <w:sz w:val="22"/>
              </w:rPr>
              <w:t xml:space="preserve">- відновлення паркану навколо території дошкільного закладу; </w:t>
            </w:r>
            <w:r w:rsidRPr="00B74A55">
              <w:rPr>
                <w:color w:val="000000"/>
                <w:sz w:val="22"/>
              </w:rPr>
              <w:br/>
              <w:t xml:space="preserve">- створення </w:t>
            </w:r>
            <w:proofErr w:type="spellStart"/>
            <w:r w:rsidRPr="00B74A55">
              <w:rPr>
                <w:color w:val="000000"/>
                <w:sz w:val="22"/>
              </w:rPr>
              <w:t>безбар’єрного</w:t>
            </w:r>
            <w:proofErr w:type="spellEnd"/>
            <w:r w:rsidRPr="00B74A55">
              <w:rPr>
                <w:color w:val="000000"/>
                <w:sz w:val="22"/>
              </w:rPr>
              <w:t xml:space="preserve"> простору для осіб з ООП (встановлення пандусів); </w:t>
            </w:r>
            <w:r w:rsidRPr="00B74A55">
              <w:rPr>
                <w:color w:val="000000"/>
                <w:sz w:val="22"/>
              </w:rPr>
              <w:br/>
              <w:t>- забезпечення</w:t>
            </w:r>
            <w:r w:rsidR="00C5332D" w:rsidRPr="00B74A55">
              <w:rPr>
                <w:color w:val="000000"/>
                <w:sz w:val="22"/>
              </w:rPr>
              <w:t xml:space="preserve"> новим сучасним обладнанням)</w:t>
            </w:r>
          </w:p>
        </w:tc>
        <w:tc>
          <w:tcPr>
            <w:tcW w:w="1532" w:type="dxa"/>
            <w:gridSpan w:val="2"/>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p>
          <w:p w:rsidR="00DA2766" w:rsidRPr="00B74A55" w:rsidRDefault="00DA2766" w:rsidP="00DA2766">
            <w:pPr>
              <w:pBdr>
                <w:top w:val="nil"/>
                <w:left w:val="nil"/>
                <w:bottom w:val="nil"/>
                <w:right w:val="nil"/>
                <w:between w:val="nil"/>
              </w:pBdr>
              <w:rPr>
                <w:color w:val="000000"/>
                <w:sz w:val="22"/>
              </w:rPr>
            </w:pPr>
          </w:p>
          <w:p w:rsidR="00DA2766" w:rsidRPr="00B74A55" w:rsidRDefault="00DA2766" w:rsidP="00DA2766">
            <w:pPr>
              <w:pBdr>
                <w:top w:val="nil"/>
                <w:left w:val="nil"/>
                <w:bottom w:val="nil"/>
                <w:right w:val="nil"/>
                <w:between w:val="nil"/>
              </w:pBdr>
              <w:jc w:val="center"/>
              <w:rPr>
                <w:color w:val="000000"/>
                <w:sz w:val="22"/>
              </w:rPr>
            </w:pPr>
          </w:p>
          <w:p w:rsidR="00DA2766" w:rsidRPr="00B74A55" w:rsidRDefault="00DA2766" w:rsidP="00DA2766">
            <w:pPr>
              <w:pBdr>
                <w:top w:val="nil"/>
                <w:left w:val="nil"/>
                <w:bottom w:val="nil"/>
                <w:right w:val="nil"/>
                <w:between w:val="nil"/>
              </w:pBdr>
              <w:jc w:val="center"/>
              <w:rPr>
                <w:color w:val="000000"/>
                <w:sz w:val="22"/>
              </w:rPr>
            </w:pPr>
            <w:proofErr w:type="spellStart"/>
            <w:r w:rsidRPr="00B74A55">
              <w:rPr>
                <w:color w:val="000000"/>
                <w:sz w:val="22"/>
              </w:rPr>
              <w:t>кв.м</w:t>
            </w:r>
            <w:proofErr w:type="spellEnd"/>
          </w:p>
          <w:p w:rsidR="00DA2766" w:rsidRPr="00B74A55" w:rsidRDefault="00DA2766" w:rsidP="00DA2766">
            <w:pPr>
              <w:pBdr>
                <w:top w:val="nil"/>
                <w:left w:val="nil"/>
                <w:bottom w:val="nil"/>
                <w:right w:val="nil"/>
                <w:between w:val="nil"/>
              </w:pBdr>
              <w:jc w:val="center"/>
              <w:rPr>
                <w:color w:val="000000"/>
                <w:sz w:val="22"/>
              </w:rPr>
            </w:pPr>
          </w:p>
          <w:p w:rsidR="00DA2766" w:rsidRPr="00B74A55" w:rsidRDefault="00DA2766" w:rsidP="00DA2766">
            <w:pPr>
              <w:jc w:val="center"/>
              <w:rPr>
                <w:color w:val="000000"/>
                <w:sz w:val="22"/>
              </w:rPr>
            </w:pPr>
            <w:r w:rsidRPr="00B74A55">
              <w:rPr>
                <w:color w:val="000000"/>
                <w:sz w:val="22"/>
              </w:rPr>
              <w:t>одиниць</w:t>
            </w:r>
          </w:p>
          <w:p w:rsidR="00DA2766" w:rsidRPr="00B74A55" w:rsidRDefault="00DA2766" w:rsidP="00DA2766">
            <w:pPr>
              <w:pBdr>
                <w:top w:val="nil"/>
                <w:left w:val="nil"/>
                <w:bottom w:val="nil"/>
                <w:right w:val="nil"/>
                <w:between w:val="nil"/>
              </w:pBdr>
              <w:jc w:val="center"/>
              <w:rPr>
                <w:color w:val="000000"/>
                <w:sz w:val="22"/>
              </w:rPr>
            </w:pPr>
          </w:p>
          <w:p w:rsidR="00DA2766" w:rsidRPr="00B74A55" w:rsidRDefault="00DA2766" w:rsidP="00C5332D">
            <w:pPr>
              <w:jc w:val="center"/>
              <w:rPr>
                <w:color w:val="000000"/>
                <w:sz w:val="22"/>
              </w:rPr>
            </w:pPr>
            <w:r w:rsidRPr="00B74A55">
              <w:rPr>
                <w:color w:val="000000"/>
                <w:sz w:val="22"/>
              </w:rPr>
              <w:t>одиниць</w:t>
            </w:r>
          </w:p>
        </w:tc>
        <w:tc>
          <w:tcPr>
            <w:tcW w:w="1557" w:type="dxa"/>
            <w:gridSpan w:val="2"/>
            <w:tcBorders>
              <w:top w:val="single" w:sz="6" w:space="0" w:color="000000"/>
              <w:left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p>
          <w:p w:rsidR="00DA2766" w:rsidRPr="00B74A55" w:rsidRDefault="00DA2766" w:rsidP="00DA2766">
            <w:pPr>
              <w:pBdr>
                <w:top w:val="nil"/>
                <w:left w:val="nil"/>
                <w:bottom w:val="nil"/>
                <w:right w:val="nil"/>
                <w:between w:val="nil"/>
              </w:pBdr>
              <w:jc w:val="center"/>
              <w:rPr>
                <w:color w:val="000000"/>
                <w:sz w:val="22"/>
              </w:rPr>
            </w:pPr>
          </w:p>
          <w:p w:rsidR="00DA2766" w:rsidRPr="00B74A55" w:rsidRDefault="00DA2766" w:rsidP="00DA2766">
            <w:pPr>
              <w:pBdr>
                <w:top w:val="nil"/>
                <w:left w:val="nil"/>
                <w:bottom w:val="nil"/>
                <w:right w:val="nil"/>
                <w:between w:val="nil"/>
              </w:pBdr>
              <w:jc w:val="center"/>
              <w:rPr>
                <w:color w:val="000000"/>
                <w:sz w:val="22"/>
              </w:rPr>
            </w:pPr>
          </w:p>
          <w:p w:rsidR="00DA2766" w:rsidRPr="00B74A55" w:rsidRDefault="00DA2766" w:rsidP="00DA2766">
            <w:pPr>
              <w:pBdr>
                <w:top w:val="nil"/>
                <w:left w:val="nil"/>
                <w:bottom w:val="nil"/>
                <w:right w:val="nil"/>
                <w:between w:val="nil"/>
              </w:pBdr>
              <w:jc w:val="center"/>
              <w:rPr>
                <w:color w:val="000000"/>
                <w:sz w:val="22"/>
              </w:rPr>
            </w:pPr>
            <w:r w:rsidRPr="00B74A55">
              <w:rPr>
                <w:color w:val="000000"/>
                <w:sz w:val="22"/>
              </w:rPr>
              <w:t>1200</w:t>
            </w:r>
          </w:p>
          <w:p w:rsidR="00DA2766" w:rsidRPr="00B74A55" w:rsidRDefault="00DA2766" w:rsidP="00DA2766">
            <w:pPr>
              <w:pBdr>
                <w:top w:val="nil"/>
                <w:left w:val="nil"/>
                <w:bottom w:val="nil"/>
                <w:right w:val="nil"/>
                <w:between w:val="nil"/>
              </w:pBdr>
              <w:jc w:val="center"/>
              <w:rPr>
                <w:color w:val="000000"/>
                <w:sz w:val="22"/>
              </w:rPr>
            </w:pPr>
          </w:p>
          <w:p w:rsidR="00DA2766" w:rsidRPr="00B74A55" w:rsidRDefault="00C5332D" w:rsidP="00DA2766">
            <w:pPr>
              <w:pBdr>
                <w:top w:val="nil"/>
                <w:left w:val="nil"/>
                <w:bottom w:val="nil"/>
                <w:right w:val="nil"/>
                <w:between w:val="nil"/>
              </w:pBdr>
              <w:jc w:val="center"/>
              <w:rPr>
                <w:color w:val="000000"/>
                <w:sz w:val="22"/>
              </w:rPr>
            </w:pPr>
            <w:r w:rsidRPr="00B74A55">
              <w:rPr>
                <w:color w:val="000000"/>
                <w:sz w:val="22"/>
              </w:rPr>
              <w:t>2</w:t>
            </w:r>
          </w:p>
          <w:p w:rsidR="00DA2766" w:rsidRPr="00B74A55" w:rsidRDefault="00DA2766" w:rsidP="00DA2766">
            <w:pPr>
              <w:pBdr>
                <w:top w:val="nil"/>
                <w:left w:val="nil"/>
                <w:bottom w:val="nil"/>
                <w:right w:val="nil"/>
                <w:between w:val="nil"/>
              </w:pBdr>
              <w:jc w:val="center"/>
              <w:rPr>
                <w:color w:val="000000"/>
                <w:sz w:val="22"/>
              </w:rPr>
            </w:pPr>
          </w:p>
          <w:p w:rsidR="00DA2766" w:rsidRPr="00B74A55" w:rsidRDefault="00DA2766" w:rsidP="00DA2766">
            <w:pPr>
              <w:pBdr>
                <w:top w:val="nil"/>
                <w:left w:val="nil"/>
                <w:bottom w:val="nil"/>
                <w:right w:val="nil"/>
                <w:between w:val="nil"/>
              </w:pBdr>
              <w:jc w:val="center"/>
              <w:rPr>
                <w:color w:val="000000"/>
                <w:sz w:val="22"/>
              </w:rPr>
            </w:pPr>
            <w:r w:rsidRPr="00B74A55">
              <w:rPr>
                <w:color w:val="000000"/>
                <w:sz w:val="22"/>
              </w:rPr>
              <w:t>2</w:t>
            </w:r>
          </w:p>
        </w:tc>
      </w:tr>
      <w:tr w:rsidR="00DA2766" w:rsidRPr="00B74A55" w:rsidTr="00EE75AB">
        <w:trPr>
          <w:cantSplit/>
          <w:trHeight w:val="290"/>
        </w:trPr>
        <w:tc>
          <w:tcPr>
            <w:tcW w:w="2978" w:type="dxa"/>
            <w:vMerge/>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DA2766" w:rsidRPr="00B74A55" w:rsidRDefault="00DA2766" w:rsidP="00DA2766">
            <w:pPr>
              <w:widowControl w:val="0"/>
              <w:pBdr>
                <w:top w:val="nil"/>
                <w:left w:val="nil"/>
                <w:bottom w:val="nil"/>
                <w:right w:val="nil"/>
                <w:between w:val="nil"/>
              </w:pBdr>
              <w:spacing w:line="276" w:lineRule="auto"/>
              <w:rPr>
                <w:color w:val="000000"/>
                <w:sz w:val="22"/>
              </w:rPr>
            </w:pPr>
          </w:p>
        </w:tc>
        <w:tc>
          <w:tcPr>
            <w:tcW w:w="3860" w:type="dxa"/>
            <w:gridSpan w:val="3"/>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rPr>
                <w:color w:val="000000"/>
                <w:sz w:val="22"/>
              </w:rPr>
            </w:pPr>
            <w:r w:rsidRPr="00B74A55">
              <w:rPr>
                <w:b/>
                <w:color w:val="000000"/>
                <w:sz w:val="22"/>
              </w:rPr>
              <w:t xml:space="preserve">Блок №2 "Матеріально-технічне забезпечення"      </w:t>
            </w:r>
          </w:p>
        </w:tc>
        <w:tc>
          <w:tcPr>
            <w:tcW w:w="1532" w:type="dxa"/>
            <w:gridSpan w:val="2"/>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jc w:val="right"/>
              <w:rPr>
                <w:color w:val="000000"/>
                <w:sz w:val="22"/>
              </w:rPr>
            </w:pPr>
          </w:p>
        </w:tc>
        <w:tc>
          <w:tcPr>
            <w:tcW w:w="1557" w:type="dxa"/>
            <w:gridSpan w:val="2"/>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widowControl w:val="0"/>
              <w:pBdr>
                <w:top w:val="nil"/>
                <w:left w:val="nil"/>
                <w:bottom w:val="nil"/>
                <w:right w:val="nil"/>
                <w:between w:val="nil"/>
              </w:pBdr>
              <w:spacing w:line="276" w:lineRule="auto"/>
              <w:rPr>
                <w:color w:val="000000"/>
                <w:sz w:val="22"/>
              </w:rPr>
            </w:pPr>
          </w:p>
        </w:tc>
      </w:tr>
      <w:tr w:rsidR="00DA2766" w:rsidRPr="00B74A55" w:rsidTr="00EE75AB">
        <w:trPr>
          <w:cantSplit/>
          <w:trHeight w:val="348"/>
        </w:trPr>
        <w:tc>
          <w:tcPr>
            <w:tcW w:w="2978" w:type="dxa"/>
            <w:vMerge/>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DA2766" w:rsidRPr="00B74A55" w:rsidRDefault="00DA2766" w:rsidP="00DA2766">
            <w:pPr>
              <w:widowControl w:val="0"/>
              <w:pBdr>
                <w:top w:val="nil"/>
                <w:left w:val="nil"/>
                <w:bottom w:val="nil"/>
                <w:right w:val="nil"/>
                <w:between w:val="nil"/>
              </w:pBdr>
              <w:spacing w:line="276" w:lineRule="auto"/>
              <w:rPr>
                <w:color w:val="000000"/>
                <w:sz w:val="22"/>
              </w:rPr>
            </w:pPr>
          </w:p>
        </w:tc>
        <w:tc>
          <w:tcPr>
            <w:tcW w:w="3860" w:type="dxa"/>
            <w:gridSpan w:val="3"/>
            <w:tcBorders>
              <w:top w:val="single" w:sz="6" w:space="0" w:color="000000"/>
              <w:left w:val="single" w:sz="6" w:space="0" w:color="000000"/>
              <w:bottom w:val="single" w:sz="6" w:space="0" w:color="000000"/>
              <w:right w:val="single" w:sz="6" w:space="0" w:color="000000"/>
            </w:tcBorders>
          </w:tcPr>
          <w:p w:rsidR="00DA2766" w:rsidRPr="00B74A55" w:rsidRDefault="00C5332D" w:rsidP="00993BB9">
            <w:pPr>
              <w:pBdr>
                <w:top w:val="nil"/>
                <w:left w:val="nil"/>
                <w:bottom w:val="nil"/>
                <w:right w:val="nil"/>
                <w:between w:val="nil"/>
              </w:pBdr>
              <w:rPr>
                <w:color w:val="000000"/>
                <w:sz w:val="22"/>
              </w:rPr>
            </w:pPr>
            <w:r w:rsidRPr="00B74A55">
              <w:rPr>
                <w:color w:val="000000"/>
                <w:sz w:val="22"/>
              </w:rPr>
              <w:t>меблі:</w:t>
            </w:r>
          </w:p>
        </w:tc>
        <w:tc>
          <w:tcPr>
            <w:tcW w:w="1532" w:type="dxa"/>
            <w:gridSpan w:val="2"/>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r w:rsidRPr="00B74A55">
              <w:rPr>
                <w:sz w:val="22"/>
              </w:rPr>
              <w:t xml:space="preserve"> </w:t>
            </w:r>
            <w:r w:rsidRPr="00B74A55">
              <w:rPr>
                <w:color w:val="000000"/>
                <w:sz w:val="22"/>
              </w:rPr>
              <w:t>одиниць</w:t>
            </w:r>
          </w:p>
        </w:tc>
        <w:tc>
          <w:tcPr>
            <w:tcW w:w="1557" w:type="dxa"/>
            <w:gridSpan w:val="2"/>
            <w:tcBorders>
              <w:top w:val="single" w:sz="6" w:space="0" w:color="000000"/>
              <w:left w:val="single" w:sz="6" w:space="0" w:color="000000"/>
              <w:bottom w:val="single" w:sz="4" w:space="0" w:color="000000"/>
              <w:right w:val="single" w:sz="6" w:space="0" w:color="000000"/>
            </w:tcBorders>
          </w:tcPr>
          <w:p w:rsidR="00DA2766" w:rsidRPr="00B74A55" w:rsidRDefault="00DA2766" w:rsidP="00DA2766">
            <w:pPr>
              <w:widowControl w:val="0"/>
              <w:pBdr>
                <w:top w:val="nil"/>
                <w:left w:val="nil"/>
                <w:bottom w:val="nil"/>
                <w:right w:val="nil"/>
                <w:between w:val="nil"/>
              </w:pBdr>
              <w:rPr>
                <w:color w:val="000000"/>
                <w:sz w:val="22"/>
              </w:rPr>
            </w:pPr>
            <w:r w:rsidRPr="00B74A55">
              <w:rPr>
                <w:sz w:val="22"/>
              </w:rPr>
              <w:t xml:space="preserve">          1401</w:t>
            </w:r>
          </w:p>
          <w:p w:rsidR="00DA2766" w:rsidRPr="00B74A55" w:rsidRDefault="00DA2766" w:rsidP="00DA2766">
            <w:pPr>
              <w:widowControl w:val="0"/>
              <w:pBdr>
                <w:top w:val="nil"/>
                <w:left w:val="nil"/>
                <w:bottom w:val="nil"/>
                <w:right w:val="nil"/>
                <w:between w:val="nil"/>
              </w:pBdr>
              <w:jc w:val="center"/>
              <w:rPr>
                <w:color w:val="000000"/>
                <w:sz w:val="22"/>
              </w:rPr>
            </w:pPr>
            <w:r w:rsidRPr="00B74A55">
              <w:rPr>
                <w:color w:val="000000"/>
                <w:sz w:val="22"/>
              </w:rPr>
              <w:t xml:space="preserve">                       </w:t>
            </w:r>
          </w:p>
        </w:tc>
      </w:tr>
      <w:tr w:rsidR="00DA2766" w:rsidRPr="00B74A55" w:rsidTr="00EE75AB">
        <w:trPr>
          <w:cantSplit/>
          <w:trHeight w:val="383"/>
        </w:trPr>
        <w:tc>
          <w:tcPr>
            <w:tcW w:w="2978" w:type="dxa"/>
            <w:vMerge/>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DA2766" w:rsidRPr="00B74A55" w:rsidRDefault="00DA2766" w:rsidP="00DA2766">
            <w:pPr>
              <w:widowControl w:val="0"/>
              <w:pBdr>
                <w:top w:val="nil"/>
                <w:left w:val="nil"/>
                <w:bottom w:val="nil"/>
                <w:right w:val="nil"/>
                <w:between w:val="nil"/>
              </w:pBdr>
              <w:spacing w:line="276" w:lineRule="auto"/>
              <w:rPr>
                <w:color w:val="000000"/>
                <w:sz w:val="22"/>
              </w:rPr>
            </w:pPr>
          </w:p>
        </w:tc>
        <w:tc>
          <w:tcPr>
            <w:tcW w:w="3860" w:type="dxa"/>
            <w:gridSpan w:val="3"/>
            <w:tcBorders>
              <w:top w:val="single" w:sz="6" w:space="0" w:color="000000"/>
              <w:left w:val="single" w:sz="6" w:space="0" w:color="000000"/>
              <w:bottom w:val="single" w:sz="6" w:space="0" w:color="000000"/>
              <w:right w:val="single" w:sz="6" w:space="0" w:color="000000"/>
            </w:tcBorders>
          </w:tcPr>
          <w:p w:rsidR="00DA2766" w:rsidRPr="00B74A55" w:rsidRDefault="00C5332D" w:rsidP="00993BB9">
            <w:pPr>
              <w:pBdr>
                <w:top w:val="nil"/>
                <w:left w:val="nil"/>
                <w:bottom w:val="nil"/>
                <w:right w:val="nil"/>
                <w:between w:val="nil"/>
              </w:pBdr>
              <w:tabs>
                <w:tab w:val="left" w:pos="5290"/>
              </w:tabs>
              <w:jc w:val="left"/>
              <w:rPr>
                <w:color w:val="000000"/>
                <w:sz w:val="22"/>
              </w:rPr>
            </w:pPr>
            <w:r w:rsidRPr="00B74A55">
              <w:rPr>
                <w:color w:val="000000"/>
                <w:sz w:val="22"/>
              </w:rPr>
              <w:t>комп’ютерна техніка:</w:t>
            </w:r>
            <w:r w:rsidRPr="00B74A55">
              <w:rPr>
                <w:color w:val="000000"/>
                <w:sz w:val="22"/>
              </w:rPr>
              <w:br/>
            </w:r>
          </w:p>
        </w:tc>
        <w:tc>
          <w:tcPr>
            <w:tcW w:w="1532" w:type="dxa"/>
            <w:gridSpan w:val="2"/>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jc w:val="center"/>
              <w:rPr>
                <w:color w:val="000000"/>
                <w:sz w:val="22"/>
              </w:rPr>
            </w:pPr>
            <w:r w:rsidRPr="00B74A55">
              <w:rPr>
                <w:color w:val="000000"/>
                <w:sz w:val="22"/>
              </w:rPr>
              <w:t>одиниць</w:t>
            </w:r>
          </w:p>
          <w:p w:rsidR="00DA2766" w:rsidRPr="00B74A55" w:rsidRDefault="00DA2766" w:rsidP="00DA2766">
            <w:pPr>
              <w:pBdr>
                <w:top w:val="nil"/>
                <w:left w:val="nil"/>
                <w:bottom w:val="nil"/>
                <w:right w:val="nil"/>
                <w:between w:val="nil"/>
              </w:pBdr>
              <w:jc w:val="center"/>
              <w:rPr>
                <w:color w:val="000000"/>
                <w:sz w:val="22"/>
              </w:rPr>
            </w:pPr>
          </w:p>
          <w:p w:rsidR="00DA2766" w:rsidRPr="00B74A55" w:rsidRDefault="00DA2766" w:rsidP="00DA2766">
            <w:pPr>
              <w:pBdr>
                <w:top w:val="nil"/>
                <w:left w:val="nil"/>
                <w:bottom w:val="nil"/>
                <w:right w:val="nil"/>
                <w:between w:val="nil"/>
              </w:pBdr>
              <w:jc w:val="center"/>
              <w:rPr>
                <w:color w:val="000000"/>
                <w:sz w:val="22"/>
              </w:rPr>
            </w:pPr>
          </w:p>
        </w:tc>
        <w:tc>
          <w:tcPr>
            <w:tcW w:w="1557" w:type="dxa"/>
            <w:gridSpan w:val="2"/>
            <w:tcBorders>
              <w:top w:val="single" w:sz="4" w:space="0" w:color="000000"/>
              <w:left w:val="single" w:sz="6" w:space="0" w:color="000000"/>
              <w:right w:val="single" w:sz="6" w:space="0" w:color="000000"/>
            </w:tcBorders>
          </w:tcPr>
          <w:p w:rsidR="00DA2766" w:rsidRPr="00B74A55" w:rsidRDefault="00DA2766" w:rsidP="00DA2766">
            <w:pPr>
              <w:widowControl w:val="0"/>
              <w:pBdr>
                <w:top w:val="nil"/>
                <w:left w:val="nil"/>
                <w:bottom w:val="nil"/>
                <w:right w:val="nil"/>
                <w:between w:val="nil"/>
              </w:pBdr>
              <w:jc w:val="center"/>
              <w:rPr>
                <w:color w:val="000000"/>
                <w:sz w:val="22"/>
              </w:rPr>
            </w:pPr>
            <w:r w:rsidRPr="00B74A55">
              <w:rPr>
                <w:sz w:val="22"/>
              </w:rPr>
              <w:t>71</w:t>
            </w:r>
          </w:p>
        </w:tc>
      </w:tr>
      <w:tr w:rsidR="00DA2766" w:rsidRPr="00B74A55" w:rsidTr="00EE75AB">
        <w:trPr>
          <w:cantSplit/>
          <w:trHeight w:val="606"/>
        </w:trPr>
        <w:tc>
          <w:tcPr>
            <w:tcW w:w="2978" w:type="dxa"/>
            <w:vMerge/>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DA2766" w:rsidRPr="00B74A55" w:rsidRDefault="00DA2766" w:rsidP="00DA2766">
            <w:pPr>
              <w:widowControl w:val="0"/>
              <w:pBdr>
                <w:top w:val="nil"/>
                <w:left w:val="nil"/>
                <w:bottom w:val="nil"/>
                <w:right w:val="nil"/>
                <w:between w:val="nil"/>
              </w:pBdr>
              <w:spacing w:line="276" w:lineRule="auto"/>
              <w:rPr>
                <w:color w:val="000000"/>
                <w:sz w:val="22"/>
              </w:rPr>
            </w:pPr>
          </w:p>
        </w:tc>
        <w:tc>
          <w:tcPr>
            <w:tcW w:w="3860" w:type="dxa"/>
            <w:gridSpan w:val="3"/>
            <w:tcBorders>
              <w:top w:val="single" w:sz="6" w:space="0" w:color="000000"/>
              <w:left w:val="single" w:sz="6" w:space="0" w:color="000000"/>
              <w:bottom w:val="single" w:sz="6" w:space="0" w:color="000000"/>
              <w:right w:val="single" w:sz="6" w:space="0" w:color="000000"/>
            </w:tcBorders>
          </w:tcPr>
          <w:p w:rsidR="00DA2766" w:rsidRPr="00B74A55" w:rsidRDefault="00C5332D" w:rsidP="00DA2766">
            <w:pPr>
              <w:pBdr>
                <w:top w:val="nil"/>
                <w:left w:val="nil"/>
                <w:bottom w:val="nil"/>
                <w:right w:val="nil"/>
                <w:between w:val="nil"/>
              </w:pBdr>
              <w:rPr>
                <w:color w:val="000000"/>
                <w:sz w:val="22"/>
              </w:rPr>
            </w:pPr>
            <w:r w:rsidRPr="00B74A55">
              <w:rPr>
                <w:color w:val="000000"/>
                <w:sz w:val="22"/>
              </w:rPr>
              <w:t>електрообладнання:</w:t>
            </w:r>
          </w:p>
        </w:tc>
        <w:tc>
          <w:tcPr>
            <w:tcW w:w="1532" w:type="dxa"/>
            <w:gridSpan w:val="2"/>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jc w:val="center"/>
              <w:rPr>
                <w:color w:val="000000"/>
                <w:sz w:val="22"/>
              </w:rPr>
            </w:pPr>
            <w:r w:rsidRPr="00B74A55">
              <w:rPr>
                <w:color w:val="000000"/>
                <w:sz w:val="22"/>
              </w:rPr>
              <w:t>одиниць</w:t>
            </w:r>
          </w:p>
          <w:p w:rsidR="00DA2766" w:rsidRPr="00B74A55" w:rsidRDefault="00DA2766" w:rsidP="00DA2766">
            <w:pPr>
              <w:pBdr>
                <w:top w:val="nil"/>
                <w:left w:val="nil"/>
                <w:bottom w:val="nil"/>
                <w:right w:val="nil"/>
                <w:between w:val="nil"/>
              </w:pBdr>
              <w:jc w:val="center"/>
              <w:rPr>
                <w:color w:val="000000"/>
                <w:sz w:val="22"/>
              </w:rPr>
            </w:pPr>
          </w:p>
        </w:tc>
        <w:tc>
          <w:tcPr>
            <w:tcW w:w="1557" w:type="dxa"/>
            <w:gridSpan w:val="2"/>
            <w:tcBorders>
              <w:top w:val="single" w:sz="6" w:space="0" w:color="000000"/>
              <w:left w:val="single" w:sz="6" w:space="0" w:color="000000"/>
              <w:right w:val="single" w:sz="6" w:space="0" w:color="000000"/>
            </w:tcBorders>
          </w:tcPr>
          <w:p w:rsidR="00DA2766" w:rsidRPr="00B74A55" w:rsidRDefault="00DA2766" w:rsidP="00DA2766">
            <w:pPr>
              <w:widowControl w:val="0"/>
              <w:pBdr>
                <w:top w:val="nil"/>
                <w:left w:val="nil"/>
                <w:bottom w:val="nil"/>
                <w:right w:val="nil"/>
                <w:between w:val="nil"/>
              </w:pBdr>
              <w:jc w:val="center"/>
              <w:rPr>
                <w:color w:val="000000"/>
                <w:sz w:val="22"/>
              </w:rPr>
            </w:pPr>
            <w:r w:rsidRPr="00B74A55">
              <w:rPr>
                <w:sz w:val="22"/>
              </w:rPr>
              <w:t>71</w:t>
            </w:r>
          </w:p>
        </w:tc>
      </w:tr>
      <w:tr w:rsidR="00DA2766" w:rsidRPr="00B74A55" w:rsidTr="00EE75AB">
        <w:trPr>
          <w:cantSplit/>
          <w:trHeight w:val="290"/>
        </w:trPr>
        <w:tc>
          <w:tcPr>
            <w:tcW w:w="2978" w:type="dxa"/>
            <w:vMerge/>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DA2766" w:rsidRPr="00B74A55" w:rsidRDefault="00DA2766" w:rsidP="00DA2766">
            <w:pPr>
              <w:widowControl w:val="0"/>
              <w:pBdr>
                <w:top w:val="nil"/>
                <w:left w:val="nil"/>
                <w:bottom w:val="nil"/>
                <w:right w:val="nil"/>
                <w:between w:val="nil"/>
              </w:pBdr>
              <w:spacing w:line="276" w:lineRule="auto"/>
              <w:rPr>
                <w:color w:val="000000"/>
                <w:sz w:val="22"/>
              </w:rPr>
            </w:pPr>
          </w:p>
        </w:tc>
        <w:tc>
          <w:tcPr>
            <w:tcW w:w="3860" w:type="dxa"/>
            <w:gridSpan w:val="3"/>
            <w:tcBorders>
              <w:top w:val="single" w:sz="6" w:space="0" w:color="000000"/>
              <w:left w:val="single" w:sz="6" w:space="0" w:color="000000"/>
              <w:bottom w:val="single" w:sz="6" w:space="0" w:color="000000"/>
              <w:right w:val="single" w:sz="6" w:space="0" w:color="000000"/>
            </w:tcBorders>
          </w:tcPr>
          <w:p w:rsidR="00DA2766" w:rsidRPr="00B74A55" w:rsidRDefault="00C5332D" w:rsidP="00DA2766">
            <w:pPr>
              <w:pBdr>
                <w:top w:val="nil"/>
                <w:left w:val="nil"/>
                <w:bottom w:val="nil"/>
                <w:right w:val="nil"/>
                <w:between w:val="nil"/>
              </w:pBdr>
              <w:rPr>
                <w:color w:val="000000"/>
                <w:sz w:val="22"/>
              </w:rPr>
            </w:pPr>
            <w:r w:rsidRPr="00B74A55">
              <w:rPr>
                <w:color w:val="000000"/>
                <w:sz w:val="22"/>
              </w:rPr>
              <w:t xml:space="preserve">оснащення: </w:t>
            </w:r>
          </w:p>
        </w:tc>
        <w:tc>
          <w:tcPr>
            <w:tcW w:w="1532" w:type="dxa"/>
            <w:gridSpan w:val="2"/>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jc w:val="center"/>
              <w:rPr>
                <w:color w:val="000000"/>
                <w:sz w:val="22"/>
              </w:rPr>
            </w:pPr>
            <w:r w:rsidRPr="00B74A55">
              <w:rPr>
                <w:color w:val="000000"/>
                <w:sz w:val="22"/>
              </w:rPr>
              <w:t>одиниць</w:t>
            </w:r>
          </w:p>
          <w:p w:rsidR="00DA2766" w:rsidRPr="00B74A55" w:rsidRDefault="00DA2766" w:rsidP="00DA2766">
            <w:pPr>
              <w:pBdr>
                <w:top w:val="nil"/>
                <w:left w:val="nil"/>
                <w:bottom w:val="nil"/>
                <w:right w:val="nil"/>
                <w:between w:val="nil"/>
              </w:pBdr>
              <w:rPr>
                <w:color w:val="000000"/>
                <w:sz w:val="22"/>
              </w:rPr>
            </w:pPr>
          </w:p>
        </w:tc>
        <w:tc>
          <w:tcPr>
            <w:tcW w:w="1557" w:type="dxa"/>
            <w:gridSpan w:val="2"/>
            <w:tcBorders>
              <w:top w:val="single" w:sz="6" w:space="0" w:color="000000"/>
              <w:left w:val="single" w:sz="6" w:space="0" w:color="000000"/>
              <w:right w:val="single" w:sz="6" w:space="0" w:color="000000"/>
            </w:tcBorders>
          </w:tcPr>
          <w:p w:rsidR="00DA2766" w:rsidRPr="00B74A55" w:rsidRDefault="00DA2766" w:rsidP="00DA2766">
            <w:pPr>
              <w:widowControl w:val="0"/>
              <w:pBdr>
                <w:top w:val="nil"/>
                <w:left w:val="nil"/>
                <w:bottom w:val="nil"/>
                <w:right w:val="nil"/>
                <w:between w:val="nil"/>
              </w:pBdr>
              <w:jc w:val="center"/>
              <w:rPr>
                <w:color w:val="000000"/>
                <w:sz w:val="22"/>
              </w:rPr>
            </w:pPr>
            <w:r w:rsidRPr="00B74A55">
              <w:rPr>
                <w:sz w:val="22"/>
              </w:rPr>
              <w:t>2937</w:t>
            </w:r>
          </w:p>
        </w:tc>
      </w:tr>
      <w:tr w:rsidR="00DA2766" w:rsidRPr="00B74A55" w:rsidTr="00EE75AB">
        <w:trPr>
          <w:trHeight w:val="290"/>
        </w:trPr>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DA2766" w:rsidRPr="00B74A55" w:rsidRDefault="00DA2766" w:rsidP="00DA2766">
            <w:pPr>
              <w:pBdr>
                <w:top w:val="nil"/>
                <w:left w:val="nil"/>
                <w:bottom w:val="nil"/>
                <w:right w:val="nil"/>
                <w:between w:val="nil"/>
              </w:pBdr>
              <w:rPr>
                <w:color w:val="000000"/>
                <w:sz w:val="22"/>
              </w:rPr>
            </w:pPr>
            <w:r w:rsidRPr="00B74A55">
              <w:rPr>
                <w:b/>
                <w:color w:val="000000"/>
                <w:sz w:val="22"/>
              </w:rPr>
              <w:t>Ключові заходи проекту:</w:t>
            </w:r>
          </w:p>
        </w:tc>
        <w:tc>
          <w:tcPr>
            <w:tcW w:w="6949" w:type="dxa"/>
            <w:gridSpan w:val="7"/>
            <w:tcBorders>
              <w:top w:val="single" w:sz="6" w:space="0" w:color="000000"/>
              <w:left w:val="single" w:sz="6" w:space="0" w:color="000000"/>
              <w:bottom w:val="single" w:sz="6" w:space="0" w:color="000000"/>
              <w:right w:val="single" w:sz="6" w:space="0" w:color="000000"/>
            </w:tcBorders>
          </w:tcPr>
          <w:p w:rsidR="00DA2766" w:rsidRPr="00B74A55" w:rsidRDefault="00DA2766" w:rsidP="00CD1B09">
            <w:pPr>
              <w:pBdr>
                <w:top w:val="nil"/>
                <w:left w:val="nil"/>
                <w:bottom w:val="nil"/>
                <w:right w:val="nil"/>
                <w:between w:val="nil"/>
              </w:pBdr>
              <w:tabs>
                <w:tab w:val="left" w:pos="5290"/>
              </w:tabs>
              <w:jc w:val="left"/>
              <w:rPr>
                <w:color w:val="000000"/>
                <w:sz w:val="22"/>
              </w:rPr>
            </w:pPr>
            <w:r w:rsidRPr="00B74A55">
              <w:rPr>
                <w:color w:val="000000"/>
                <w:sz w:val="22"/>
              </w:rPr>
              <w:t>- офіційне повідомлення щодо завершення воєнних дій на території України;</w:t>
            </w:r>
            <w:r w:rsidRPr="00B74A55">
              <w:rPr>
                <w:color w:val="000000"/>
                <w:sz w:val="22"/>
              </w:rPr>
              <w:br/>
              <w:t xml:space="preserve">- повне обстеження стану будівлі спеціальними службами, отримання акту про безпечне функціонування закладу;  </w:t>
            </w:r>
          </w:p>
          <w:p w:rsidR="00DA2766" w:rsidRPr="00B74A55" w:rsidRDefault="00DA2766" w:rsidP="00DA2766">
            <w:pPr>
              <w:pBdr>
                <w:top w:val="nil"/>
                <w:left w:val="nil"/>
                <w:bottom w:val="nil"/>
                <w:right w:val="nil"/>
                <w:between w:val="nil"/>
              </w:pBdr>
              <w:tabs>
                <w:tab w:val="left" w:pos="5290"/>
              </w:tabs>
              <w:rPr>
                <w:color w:val="000000"/>
                <w:sz w:val="22"/>
              </w:rPr>
            </w:pPr>
            <w:r w:rsidRPr="00B74A55">
              <w:rPr>
                <w:color w:val="000000"/>
                <w:sz w:val="22"/>
              </w:rPr>
              <w:t>- оцінка пошкоджень ЗДО;</w:t>
            </w:r>
          </w:p>
          <w:p w:rsidR="00DA2766" w:rsidRPr="00B74A55" w:rsidRDefault="00DA2766" w:rsidP="00DA2766">
            <w:pPr>
              <w:pBdr>
                <w:top w:val="nil"/>
                <w:left w:val="nil"/>
                <w:bottom w:val="nil"/>
                <w:right w:val="nil"/>
                <w:between w:val="nil"/>
              </w:pBdr>
              <w:tabs>
                <w:tab w:val="left" w:pos="5290"/>
              </w:tabs>
              <w:rPr>
                <w:color w:val="000000"/>
                <w:sz w:val="22"/>
              </w:rPr>
            </w:pPr>
            <w:r w:rsidRPr="00B74A55">
              <w:rPr>
                <w:color w:val="000000"/>
                <w:sz w:val="22"/>
              </w:rPr>
              <w:t xml:space="preserve">- проведення інвентаризації основних засобів;  </w:t>
            </w:r>
          </w:p>
          <w:p w:rsidR="00DA2766" w:rsidRPr="00B74A55" w:rsidRDefault="00DA2766" w:rsidP="00DA2766">
            <w:pPr>
              <w:pBdr>
                <w:top w:val="nil"/>
                <w:left w:val="nil"/>
                <w:bottom w:val="nil"/>
                <w:right w:val="nil"/>
                <w:between w:val="nil"/>
              </w:pBdr>
              <w:tabs>
                <w:tab w:val="left" w:pos="5290"/>
              </w:tabs>
              <w:rPr>
                <w:color w:val="000000"/>
                <w:sz w:val="22"/>
              </w:rPr>
            </w:pPr>
            <w:r w:rsidRPr="00B74A55">
              <w:rPr>
                <w:color w:val="000000"/>
                <w:sz w:val="22"/>
              </w:rPr>
              <w:t>- впровадження заходів щодо комплексного відновлення закладу;</w:t>
            </w:r>
          </w:p>
          <w:p w:rsidR="00DA2766" w:rsidRPr="00B74A55" w:rsidRDefault="00DA2766" w:rsidP="00DA2766">
            <w:pPr>
              <w:pBdr>
                <w:top w:val="nil"/>
                <w:left w:val="nil"/>
                <w:bottom w:val="nil"/>
                <w:right w:val="nil"/>
                <w:between w:val="nil"/>
              </w:pBdr>
              <w:tabs>
                <w:tab w:val="left" w:pos="5290"/>
              </w:tabs>
              <w:rPr>
                <w:color w:val="000000"/>
                <w:sz w:val="22"/>
              </w:rPr>
            </w:pPr>
            <w:r w:rsidRPr="00B74A55">
              <w:rPr>
                <w:color w:val="000000"/>
                <w:sz w:val="22"/>
              </w:rPr>
              <w:t>- створення безпечних умов для усіх учасників освітнього процесу;</w:t>
            </w:r>
          </w:p>
          <w:p w:rsidR="00DA2766" w:rsidRPr="00B74A55" w:rsidRDefault="00DA2766" w:rsidP="00DA2766">
            <w:pPr>
              <w:pBdr>
                <w:top w:val="nil"/>
                <w:left w:val="nil"/>
                <w:bottom w:val="nil"/>
                <w:right w:val="nil"/>
                <w:between w:val="nil"/>
              </w:pBdr>
              <w:tabs>
                <w:tab w:val="left" w:pos="5290"/>
              </w:tabs>
              <w:rPr>
                <w:color w:val="000000"/>
                <w:sz w:val="22"/>
              </w:rPr>
            </w:pPr>
            <w:r w:rsidRPr="00B74A55">
              <w:rPr>
                <w:sz w:val="22"/>
              </w:rPr>
              <w:t>- з</w:t>
            </w:r>
            <w:r w:rsidRPr="00B74A55">
              <w:rPr>
                <w:color w:val="000000"/>
                <w:sz w:val="22"/>
              </w:rPr>
              <w:t>абезпечення матеріально-технічної бази дошкільного закладу;</w:t>
            </w:r>
          </w:p>
          <w:p w:rsidR="00DA2766" w:rsidRPr="00B74A55" w:rsidRDefault="00DA2766" w:rsidP="00DA2766">
            <w:pPr>
              <w:pBdr>
                <w:top w:val="nil"/>
                <w:left w:val="nil"/>
                <w:bottom w:val="nil"/>
                <w:right w:val="nil"/>
                <w:between w:val="nil"/>
              </w:pBdr>
              <w:tabs>
                <w:tab w:val="left" w:pos="5290"/>
              </w:tabs>
              <w:rPr>
                <w:color w:val="000000"/>
                <w:sz w:val="22"/>
              </w:rPr>
            </w:pPr>
            <w:r w:rsidRPr="00B74A55">
              <w:rPr>
                <w:color w:val="000000"/>
                <w:sz w:val="22"/>
              </w:rPr>
              <w:t xml:space="preserve">- відновлення території дошкільного закладу;       </w:t>
            </w:r>
          </w:p>
          <w:p w:rsidR="00DA2766" w:rsidRPr="00B74A55" w:rsidRDefault="00DA2766" w:rsidP="00DA2766">
            <w:pPr>
              <w:pBdr>
                <w:top w:val="nil"/>
                <w:left w:val="nil"/>
                <w:bottom w:val="nil"/>
                <w:right w:val="nil"/>
                <w:between w:val="nil"/>
              </w:pBdr>
              <w:tabs>
                <w:tab w:val="left" w:pos="5290"/>
              </w:tabs>
              <w:rPr>
                <w:color w:val="000000"/>
                <w:sz w:val="22"/>
              </w:rPr>
            </w:pPr>
            <w:r w:rsidRPr="00B74A55">
              <w:rPr>
                <w:color w:val="000000"/>
                <w:sz w:val="22"/>
              </w:rPr>
              <w:t xml:space="preserve">- оновлення ігрового обладнання, його поповнення, капітальний ремонт тіньових навісів;  </w:t>
            </w:r>
          </w:p>
          <w:p w:rsidR="00DA2766" w:rsidRPr="00B74A55" w:rsidRDefault="00DA2766" w:rsidP="00DA2766">
            <w:pPr>
              <w:pBdr>
                <w:top w:val="nil"/>
                <w:left w:val="nil"/>
                <w:bottom w:val="nil"/>
                <w:right w:val="nil"/>
                <w:between w:val="nil"/>
              </w:pBdr>
              <w:tabs>
                <w:tab w:val="left" w:pos="5290"/>
              </w:tabs>
              <w:rPr>
                <w:color w:val="000000"/>
                <w:sz w:val="22"/>
              </w:rPr>
            </w:pPr>
            <w:r w:rsidRPr="00B74A55">
              <w:rPr>
                <w:color w:val="000000"/>
                <w:sz w:val="22"/>
              </w:rPr>
              <w:t xml:space="preserve">- забезпечення закладу засобами електронного зв’язку, комп’ютерним обладнанням, інтернет-ресурсом;      </w:t>
            </w:r>
          </w:p>
          <w:p w:rsidR="00DA2766" w:rsidRPr="00B74A55" w:rsidRDefault="00DA2766" w:rsidP="00DA2766">
            <w:pPr>
              <w:pBdr>
                <w:top w:val="nil"/>
                <w:left w:val="nil"/>
                <w:bottom w:val="nil"/>
                <w:right w:val="nil"/>
                <w:between w:val="nil"/>
              </w:pBdr>
              <w:tabs>
                <w:tab w:val="left" w:pos="5290"/>
              </w:tabs>
              <w:rPr>
                <w:color w:val="000000"/>
                <w:sz w:val="22"/>
              </w:rPr>
            </w:pPr>
            <w:r w:rsidRPr="00B74A55">
              <w:rPr>
                <w:color w:val="000000"/>
                <w:sz w:val="22"/>
              </w:rPr>
              <w:t xml:space="preserve">- набір кадрового складу, забезпечення працівників необхідними засобами для виконання роботи;  </w:t>
            </w:r>
          </w:p>
          <w:p w:rsidR="00DA2766" w:rsidRPr="00B74A55" w:rsidRDefault="00DA2766" w:rsidP="00DA2766">
            <w:pPr>
              <w:pBdr>
                <w:top w:val="nil"/>
                <w:left w:val="nil"/>
                <w:bottom w:val="nil"/>
                <w:right w:val="nil"/>
                <w:between w:val="nil"/>
              </w:pBdr>
              <w:tabs>
                <w:tab w:val="left" w:pos="5290"/>
              </w:tabs>
              <w:rPr>
                <w:color w:val="000000"/>
                <w:sz w:val="22"/>
              </w:rPr>
            </w:pPr>
            <w:r w:rsidRPr="00B74A55">
              <w:rPr>
                <w:color w:val="000000"/>
                <w:sz w:val="22"/>
              </w:rPr>
              <w:t xml:space="preserve">- визначення кількості осіб, які потребують отримання освітніх послуг у ЗДО, оновлення та складання </w:t>
            </w:r>
            <w:proofErr w:type="spellStart"/>
            <w:r w:rsidRPr="00B74A55">
              <w:rPr>
                <w:color w:val="000000"/>
                <w:sz w:val="22"/>
              </w:rPr>
              <w:t>списочного</w:t>
            </w:r>
            <w:proofErr w:type="spellEnd"/>
            <w:r w:rsidRPr="00B74A55">
              <w:rPr>
                <w:color w:val="000000"/>
                <w:sz w:val="22"/>
              </w:rPr>
              <w:t xml:space="preserve"> складу дітей, набір дітей до дошкільного закладу;   </w:t>
            </w:r>
          </w:p>
          <w:p w:rsidR="00DA2766" w:rsidRPr="00B74A55" w:rsidRDefault="00DA2766" w:rsidP="00DA2766">
            <w:pPr>
              <w:pBdr>
                <w:top w:val="nil"/>
                <w:left w:val="nil"/>
                <w:bottom w:val="nil"/>
                <w:right w:val="nil"/>
                <w:between w:val="nil"/>
              </w:pBdr>
              <w:tabs>
                <w:tab w:val="left" w:pos="5290"/>
              </w:tabs>
              <w:rPr>
                <w:color w:val="000000"/>
                <w:sz w:val="22"/>
              </w:rPr>
            </w:pPr>
            <w:r w:rsidRPr="00B74A55">
              <w:rPr>
                <w:color w:val="000000"/>
                <w:sz w:val="22"/>
              </w:rPr>
              <w:t>- рішення про відновлення діяльності та режим роботи ЗДО;</w:t>
            </w:r>
          </w:p>
          <w:p w:rsidR="00DA2766" w:rsidRPr="00B74A55" w:rsidRDefault="00DA2766" w:rsidP="00DA2766">
            <w:pPr>
              <w:pBdr>
                <w:top w:val="nil"/>
                <w:left w:val="nil"/>
                <w:bottom w:val="nil"/>
                <w:right w:val="nil"/>
                <w:between w:val="nil"/>
              </w:pBdr>
              <w:tabs>
                <w:tab w:val="left" w:pos="5290"/>
              </w:tabs>
              <w:rPr>
                <w:color w:val="000000"/>
                <w:sz w:val="22"/>
              </w:rPr>
            </w:pPr>
            <w:r w:rsidRPr="00B74A55">
              <w:rPr>
                <w:color w:val="000000"/>
                <w:sz w:val="22"/>
              </w:rPr>
              <w:t xml:space="preserve">- </w:t>
            </w:r>
            <w:r w:rsidR="00CD1B09" w:rsidRPr="00B74A55">
              <w:rPr>
                <w:color w:val="000000"/>
                <w:sz w:val="22"/>
              </w:rPr>
              <w:t xml:space="preserve">відкриття </w:t>
            </w:r>
            <w:proofErr w:type="spellStart"/>
            <w:r w:rsidR="00CD1B09" w:rsidRPr="00B74A55">
              <w:rPr>
                <w:color w:val="000000"/>
                <w:sz w:val="22"/>
              </w:rPr>
              <w:t>здо</w:t>
            </w:r>
            <w:proofErr w:type="spellEnd"/>
            <w:r w:rsidR="00CD1B09" w:rsidRPr="00B74A55">
              <w:rPr>
                <w:color w:val="000000"/>
                <w:sz w:val="22"/>
              </w:rPr>
              <w:t xml:space="preserve"> </w:t>
            </w:r>
            <w:r w:rsidRPr="00B74A55">
              <w:rPr>
                <w:color w:val="000000"/>
                <w:sz w:val="22"/>
              </w:rPr>
              <w:t xml:space="preserve">та відновлення освітнього процесу   </w:t>
            </w:r>
          </w:p>
        </w:tc>
      </w:tr>
      <w:tr w:rsidR="00DA2766" w:rsidRPr="00B74A55" w:rsidTr="00EE75AB">
        <w:trPr>
          <w:cantSplit/>
          <w:trHeight w:val="290"/>
        </w:trPr>
        <w:tc>
          <w:tcPr>
            <w:tcW w:w="2978" w:type="dxa"/>
            <w:vMerge w:val="restart"/>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DA2766" w:rsidRPr="00B74A55" w:rsidRDefault="00DA2766" w:rsidP="00DA2766">
            <w:pPr>
              <w:pBdr>
                <w:top w:val="nil"/>
                <w:left w:val="nil"/>
                <w:bottom w:val="nil"/>
                <w:right w:val="nil"/>
                <w:between w:val="nil"/>
              </w:pBdr>
              <w:rPr>
                <w:sz w:val="22"/>
              </w:rPr>
            </w:pPr>
            <w:r w:rsidRPr="00B74A55">
              <w:rPr>
                <w:b/>
                <w:color w:val="000000"/>
                <w:sz w:val="22"/>
              </w:rPr>
              <w:t xml:space="preserve">Орієнтовний обсяг та джерела фінансування </w:t>
            </w:r>
            <w:r w:rsidRPr="00B74A55">
              <w:rPr>
                <w:b/>
                <w:sz w:val="22"/>
              </w:rPr>
              <w:t>тис. гривень</w:t>
            </w:r>
          </w:p>
        </w:tc>
        <w:tc>
          <w:tcPr>
            <w:tcW w:w="1417" w:type="dxa"/>
            <w:vMerge w:val="restart"/>
            <w:tcBorders>
              <w:top w:val="single" w:sz="6" w:space="0" w:color="000000"/>
              <w:left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r w:rsidRPr="00B74A55">
              <w:rPr>
                <w:b/>
                <w:color w:val="000000"/>
                <w:sz w:val="22"/>
              </w:rPr>
              <w:t>Державний бюджет</w:t>
            </w:r>
          </w:p>
        </w:tc>
        <w:tc>
          <w:tcPr>
            <w:tcW w:w="1418" w:type="dxa"/>
            <w:vMerge w:val="restart"/>
            <w:tcBorders>
              <w:top w:val="single" w:sz="6" w:space="0" w:color="000000"/>
              <w:left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r w:rsidRPr="00B74A55">
              <w:rPr>
                <w:b/>
                <w:color w:val="000000"/>
                <w:sz w:val="22"/>
              </w:rPr>
              <w:t>Місцевий бюджет</w:t>
            </w:r>
          </w:p>
        </w:tc>
        <w:tc>
          <w:tcPr>
            <w:tcW w:w="2924" w:type="dxa"/>
            <w:gridSpan w:val="4"/>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r w:rsidRPr="00B74A55">
              <w:rPr>
                <w:b/>
                <w:color w:val="000000"/>
                <w:sz w:val="22"/>
              </w:rPr>
              <w:t>Інші джерела</w:t>
            </w:r>
          </w:p>
        </w:tc>
        <w:tc>
          <w:tcPr>
            <w:tcW w:w="1190" w:type="dxa"/>
            <w:vMerge w:val="restart"/>
            <w:tcBorders>
              <w:top w:val="single" w:sz="6" w:space="0" w:color="000000"/>
              <w:left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r w:rsidRPr="00B74A55">
              <w:rPr>
                <w:b/>
                <w:color w:val="000000"/>
                <w:sz w:val="22"/>
              </w:rPr>
              <w:t>Всього</w:t>
            </w:r>
          </w:p>
        </w:tc>
      </w:tr>
      <w:tr w:rsidR="00DA2766" w:rsidRPr="00B74A55" w:rsidTr="00EE75AB">
        <w:trPr>
          <w:cantSplit/>
          <w:trHeight w:val="290"/>
        </w:trPr>
        <w:tc>
          <w:tcPr>
            <w:tcW w:w="2978" w:type="dxa"/>
            <w:vMerge/>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DA2766" w:rsidRPr="00B74A55" w:rsidRDefault="00DA2766" w:rsidP="00DA2766">
            <w:pPr>
              <w:widowControl w:val="0"/>
              <w:pBdr>
                <w:top w:val="nil"/>
                <w:left w:val="nil"/>
                <w:bottom w:val="nil"/>
                <w:right w:val="nil"/>
                <w:between w:val="nil"/>
              </w:pBdr>
              <w:spacing w:line="276" w:lineRule="auto"/>
              <w:rPr>
                <w:color w:val="000000"/>
                <w:sz w:val="22"/>
              </w:rPr>
            </w:pPr>
          </w:p>
        </w:tc>
        <w:tc>
          <w:tcPr>
            <w:tcW w:w="1417" w:type="dxa"/>
            <w:vMerge/>
            <w:tcBorders>
              <w:top w:val="single" w:sz="6" w:space="0" w:color="000000"/>
              <w:left w:val="single" w:sz="6" w:space="0" w:color="000000"/>
              <w:right w:val="single" w:sz="6" w:space="0" w:color="000000"/>
            </w:tcBorders>
          </w:tcPr>
          <w:p w:rsidR="00DA2766" w:rsidRPr="00B74A55" w:rsidRDefault="00DA2766" w:rsidP="00DA2766">
            <w:pPr>
              <w:widowControl w:val="0"/>
              <w:pBdr>
                <w:top w:val="nil"/>
                <w:left w:val="nil"/>
                <w:bottom w:val="nil"/>
                <w:right w:val="nil"/>
                <w:between w:val="nil"/>
              </w:pBdr>
              <w:spacing w:line="276" w:lineRule="auto"/>
              <w:rPr>
                <w:color w:val="000000"/>
                <w:sz w:val="22"/>
              </w:rPr>
            </w:pPr>
          </w:p>
        </w:tc>
        <w:tc>
          <w:tcPr>
            <w:tcW w:w="1418" w:type="dxa"/>
            <w:vMerge/>
            <w:tcBorders>
              <w:top w:val="single" w:sz="6" w:space="0" w:color="000000"/>
              <w:left w:val="single" w:sz="6" w:space="0" w:color="000000"/>
              <w:right w:val="single" w:sz="6" w:space="0" w:color="000000"/>
            </w:tcBorders>
          </w:tcPr>
          <w:p w:rsidR="00DA2766" w:rsidRPr="00B74A55" w:rsidRDefault="00DA2766" w:rsidP="00DA2766">
            <w:pPr>
              <w:widowControl w:val="0"/>
              <w:pBdr>
                <w:top w:val="nil"/>
                <w:left w:val="nil"/>
                <w:bottom w:val="nil"/>
                <w:right w:val="nil"/>
                <w:between w:val="nil"/>
              </w:pBdr>
              <w:spacing w:line="276" w:lineRule="auto"/>
              <w:rPr>
                <w:color w:val="000000"/>
                <w:sz w:val="22"/>
              </w:rPr>
            </w:pPr>
          </w:p>
        </w:tc>
        <w:tc>
          <w:tcPr>
            <w:tcW w:w="1592" w:type="dxa"/>
            <w:gridSpan w:val="2"/>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r w:rsidRPr="00B74A55">
              <w:rPr>
                <w:b/>
                <w:color w:val="000000"/>
                <w:sz w:val="22"/>
              </w:rPr>
              <w:t>Обсяг</w:t>
            </w:r>
          </w:p>
        </w:tc>
        <w:tc>
          <w:tcPr>
            <w:tcW w:w="1332" w:type="dxa"/>
            <w:gridSpan w:val="2"/>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r w:rsidRPr="00B74A55">
              <w:rPr>
                <w:b/>
                <w:color w:val="000000"/>
                <w:sz w:val="22"/>
              </w:rPr>
              <w:t>Назва джерела</w:t>
            </w:r>
          </w:p>
        </w:tc>
        <w:tc>
          <w:tcPr>
            <w:tcW w:w="1190" w:type="dxa"/>
            <w:vMerge/>
            <w:tcBorders>
              <w:top w:val="single" w:sz="6" w:space="0" w:color="000000"/>
              <w:left w:val="single" w:sz="6" w:space="0" w:color="000000"/>
              <w:right w:val="single" w:sz="6" w:space="0" w:color="000000"/>
            </w:tcBorders>
          </w:tcPr>
          <w:p w:rsidR="00DA2766" w:rsidRPr="00B74A55" w:rsidRDefault="00DA2766" w:rsidP="00DA2766">
            <w:pPr>
              <w:widowControl w:val="0"/>
              <w:pBdr>
                <w:top w:val="nil"/>
                <w:left w:val="nil"/>
                <w:bottom w:val="nil"/>
                <w:right w:val="nil"/>
                <w:between w:val="nil"/>
              </w:pBdr>
              <w:spacing w:line="276" w:lineRule="auto"/>
              <w:rPr>
                <w:color w:val="000000"/>
                <w:sz w:val="22"/>
              </w:rPr>
            </w:pPr>
          </w:p>
        </w:tc>
      </w:tr>
      <w:tr w:rsidR="00DA2766" w:rsidRPr="00B74A55" w:rsidTr="00EE75AB">
        <w:trPr>
          <w:cantSplit/>
          <w:trHeight w:val="290"/>
        </w:trPr>
        <w:tc>
          <w:tcPr>
            <w:tcW w:w="2978" w:type="dxa"/>
            <w:vMerge/>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DA2766" w:rsidRPr="00B74A55" w:rsidRDefault="00DA2766" w:rsidP="00DA2766">
            <w:pPr>
              <w:widowControl w:val="0"/>
              <w:pBdr>
                <w:top w:val="nil"/>
                <w:left w:val="nil"/>
                <w:bottom w:val="nil"/>
                <w:right w:val="nil"/>
                <w:between w:val="nil"/>
              </w:pBdr>
              <w:spacing w:line="276" w:lineRule="auto"/>
              <w:rPr>
                <w:color w:val="000000"/>
                <w:sz w:val="22"/>
              </w:rPr>
            </w:pPr>
          </w:p>
        </w:tc>
        <w:tc>
          <w:tcPr>
            <w:tcW w:w="1417" w:type="dxa"/>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r w:rsidRPr="00B74A55">
              <w:rPr>
                <w:color w:val="000000"/>
                <w:sz w:val="22"/>
              </w:rPr>
              <w:t>32 500 ,0</w:t>
            </w:r>
          </w:p>
          <w:p w:rsidR="00DA2766" w:rsidRPr="00B74A55" w:rsidRDefault="00DA2766" w:rsidP="00DA2766">
            <w:pPr>
              <w:pBdr>
                <w:top w:val="nil"/>
                <w:left w:val="nil"/>
                <w:bottom w:val="nil"/>
                <w:right w:val="nil"/>
                <w:between w:val="nil"/>
              </w:pBdr>
              <w:jc w:val="center"/>
              <w:rPr>
                <w:color w:val="000000"/>
                <w:sz w:val="22"/>
              </w:rPr>
            </w:pPr>
          </w:p>
        </w:tc>
        <w:tc>
          <w:tcPr>
            <w:tcW w:w="1418" w:type="dxa"/>
            <w:tcBorders>
              <w:top w:val="single" w:sz="6" w:space="0" w:color="000000"/>
              <w:left w:val="single" w:sz="6" w:space="0" w:color="000000"/>
              <w:bottom w:val="single" w:sz="6" w:space="0" w:color="000000"/>
              <w:right w:val="single" w:sz="6" w:space="0" w:color="000000"/>
            </w:tcBorders>
          </w:tcPr>
          <w:p w:rsidR="00DA2766" w:rsidRPr="00B74A55" w:rsidRDefault="005E50DF" w:rsidP="005E50DF">
            <w:pPr>
              <w:pBdr>
                <w:top w:val="nil"/>
                <w:left w:val="nil"/>
                <w:bottom w:val="nil"/>
                <w:right w:val="nil"/>
                <w:between w:val="nil"/>
              </w:pBdr>
              <w:jc w:val="center"/>
              <w:rPr>
                <w:color w:val="000000"/>
                <w:sz w:val="22"/>
              </w:rPr>
            </w:pPr>
            <w:r w:rsidRPr="00B74A55">
              <w:rPr>
                <w:color w:val="000000"/>
                <w:sz w:val="22"/>
              </w:rPr>
              <w:t>-</w:t>
            </w:r>
          </w:p>
        </w:tc>
        <w:tc>
          <w:tcPr>
            <w:tcW w:w="1592" w:type="dxa"/>
            <w:gridSpan w:val="2"/>
            <w:tcBorders>
              <w:top w:val="single" w:sz="6" w:space="0" w:color="000000"/>
              <w:left w:val="single" w:sz="6" w:space="0" w:color="000000"/>
              <w:bottom w:val="single" w:sz="6" w:space="0" w:color="000000"/>
              <w:right w:val="single" w:sz="6" w:space="0" w:color="000000"/>
            </w:tcBorders>
          </w:tcPr>
          <w:p w:rsidR="00DA2766" w:rsidRPr="00B74A55" w:rsidRDefault="005E50DF" w:rsidP="005E50DF">
            <w:pPr>
              <w:pBdr>
                <w:top w:val="nil"/>
                <w:left w:val="nil"/>
                <w:bottom w:val="nil"/>
                <w:right w:val="nil"/>
                <w:between w:val="nil"/>
              </w:pBdr>
              <w:jc w:val="center"/>
              <w:rPr>
                <w:color w:val="000000"/>
                <w:sz w:val="22"/>
              </w:rPr>
            </w:pPr>
            <w:r w:rsidRPr="00B74A55">
              <w:rPr>
                <w:color w:val="000000"/>
                <w:sz w:val="22"/>
              </w:rPr>
              <w:t>-</w:t>
            </w:r>
          </w:p>
        </w:tc>
        <w:tc>
          <w:tcPr>
            <w:tcW w:w="1332" w:type="dxa"/>
            <w:gridSpan w:val="2"/>
            <w:tcBorders>
              <w:top w:val="single" w:sz="6" w:space="0" w:color="000000"/>
              <w:left w:val="single" w:sz="6" w:space="0" w:color="000000"/>
              <w:bottom w:val="single" w:sz="6" w:space="0" w:color="000000"/>
              <w:right w:val="single" w:sz="6" w:space="0" w:color="000000"/>
            </w:tcBorders>
          </w:tcPr>
          <w:p w:rsidR="00DA2766" w:rsidRPr="00B74A55" w:rsidRDefault="005E50DF" w:rsidP="005E50DF">
            <w:pPr>
              <w:pBdr>
                <w:top w:val="nil"/>
                <w:left w:val="nil"/>
                <w:bottom w:val="nil"/>
                <w:right w:val="nil"/>
                <w:between w:val="nil"/>
              </w:pBdr>
              <w:jc w:val="center"/>
              <w:rPr>
                <w:color w:val="000000"/>
                <w:sz w:val="22"/>
              </w:rPr>
            </w:pPr>
            <w:r w:rsidRPr="00B74A55">
              <w:rPr>
                <w:color w:val="000000"/>
                <w:sz w:val="22"/>
              </w:rPr>
              <w:t>-</w:t>
            </w:r>
          </w:p>
        </w:tc>
        <w:tc>
          <w:tcPr>
            <w:tcW w:w="1190" w:type="dxa"/>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r w:rsidRPr="00B74A55">
              <w:rPr>
                <w:color w:val="000000"/>
                <w:sz w:val="22"/>
              </w:rPr>
              <w:t>32 500 ,0</w:t>
            </w:r>
          </w:p>
          <w:p w:rsidR="00DA2766" w:rsidRPr="00B74A55" w:rsidRDefault="00DA2766" w:rsidP="00DA2766">
            <w:pPr>
              <w:pBdr>
                <w:top w:val="nil"/>
                <w:left w:val="nil"/>
                <w:bottom w:val="nil"/>
                <w:right w:val="nil"/>
                <w:between w:val="nil"/>
              </w:pBdr>
              <w:jc w:val="center"/>
              <w:rPr>
                <w:color w:val="000000"/>
                <w:sz w:val="22"/>
              </w:rPr>
            </w:pPr>
          </w:p>
        </w:tc>
      </w:tr>
    </w:tbl>
    <w:p w:rsidR="00CF4B4F" w:rsidRPr="00B74A55" w:rsidRDefault="00CF4B4F" w:rsidP="00E33AAA">
      <w:pPr>
        <w:tabs>
          <w:tab w:val="left" w:pos="5290"/>
        </w:tabs>
        <w:rPr>
          <w:b/>
          <w:sz w:val="22"/>
          <w:szCs w:val="22"/>
        </w:rPr>
      </w:pPr>
    </w:p>
    <w:p w:rsidR="00CF4B4F" w:rsidRPr="00B74A55" w:rsidRDefault="00CF4B4F" w:rsidP="00E33AAA">
      <w:pPr>
        <w:tabs>
          <w:tab w:val="left" w:pos="5290"/>
        </w:tabs>
        <w:rPr>
          <w:b/>
          <w:sz w:val="22"/>
          <w:szCs w:val="22"/>
        </w:rPr>
      </w:pPr>
    </w:p>
    <w:tbl>
      <w:tblPr>
        <w:tblStyle w:val="af"/>
        <w:tblW w:w="0" w:type="auto"/>
        <w:tblInd w:w="-176" w:type="dxa"/>
        <w:tblLook w:val="04A0" w:firstRow="1" w:lastRow="0" w:firstColumn="1" w:lastColumn="0" w:noHBand="0" w:noVBand="1"/>
      </w:tblPr>
      <w:tblGrid>
        <w:gridCol w:w="2838"/>
        <w:gridCol w:w="1742"/>
        <w:gridCol w:w="1260"/>
        <w:gridCol w:w="302"/>
        <w:gridCol w:w="813"/>
        <w:gridCol w:w="888"/>
        <w:gridCol w:w="556"/>
        <w:gridCol w:w="1263"/>
      </w:tblGrid>
      <w:tr w:rsidR="009F6B39" w:rsidRPr="00B74A55" w:rsidTr="009F6B39">
        <w:tc>
          <w:tcPr>
            <w:tcW w:w="2978" w:type="dxa"/>
            <w:shd w:val="clear" w:color="auto" w:fill="C6D9F1" w:themeFill="text2" w:themeFillTint="33"/>
          </w:tcPr>
          <w:p w:rsidR="009F6B39" w:rsidRPr="00B74A55" w:rsidRDefault="009F6B39" w:rsidP="001038B7">
            <w:pPr>
              <w:pStyle w:val="a7"/>
              <w:ind w:left="0"/>
              <w:rPr>
                <w:b/>
                <w:sz w:val="22"/>
              </w:rPr>
            </w:pPr>
            <w:r w:rsidRPr="00B74A55">
              <w:rPr>
                <w:b/>
                <w:sz w:val="22"/>
              </w:rPr>
              <w:t xml:space="preserve">Оперативна </w:t>
            </w:r>
            <w:proofErr w:type="spellStart"/>
            <w:r w:rsidRPr="00B74A55">
              <w:rPr>
                <w:b/>
                <w:sz w:val="22"/>
              </w:rPr>
              <w:t>ціль</w:t>
            </w:r>
            <w:proofErr w:type="spellEnd"/>
            <w:r w:rsidRPr="00B74A55">
              <w:rPr>
                <w:b/>
                <w:sz w:val="22"/>
              </w:rPr>
              <w:t>/</w:t>
            </w:r>
            <w:proofErr w:type="spellStart"/>
            <w:r w:rsidRPr="00B74A55">
              <w:rPr>
                <w:b/>
                <w:sz w:val="22"/>
              </w:rPr>
              <w:t>завдання</w:t>
            </w:r>
            <w:proofErr w:type="spellEnd"/>
          </w:p>
        </w:tc>
        <w:tc>
          <w:tcPr>
            <w:tcW w:w="6910" w:type="dxa"/>
            <w:gridSpan w:val="7"/>
            <w:shd w:val="clear" w:color="auto" w:fill="auto"/>
          </w:tcPr>
          <w:p w:rsidR="009F6B39" w:rsidRPr="00B74A55" w:rsidRDefault="009F6B39" w:rsidP="001038B7">
            <w:pPr>
              <w:pStyle w:val="a7"/>
              <w:ind w:left="0"/>
              <w:rPr>
                <w:sz w:val="22"/>
                <w:lang w:val="uk-UA"/>
              </w:rPr>
            </w:pPr>
            <w:proofErr w:type="spellStart"/>
            <w:r w:rsidRPr="00B74A55">
              <w:rPr>
                <w:sz w:val="22"/>
              </w:rPr>
              <w:t>Людський</w:t>
            </w:r>
            <w:proofErr w:type="spellEnd"/>
            <w:r w:rsidRPr="00B74A55">
              <w:rPr>
                <w:sz w:val="22"/>
              </w:rPr>
              <w:t xml:space="preserve"> </w:t>
            </w:r>
            <w:proofErr w:type="spellStart"/>
            <w:r w:rsidRPr="00B74A55">
              <w:rPr>
                <w:sz w:val="22"/>
              </w:rPr>
              <w:t>розвиток</w:t>
            </w:r>
            <w:proofErr w:type="spellEnd"/>
            <w:r w:rsidRPr="00B74A55">
              <w:rPr>
                <w:sz w:val="22"/>
              </w:rPr>
              <w:t xml:space="preserve"> через </w:t>
            </w:r>
            <w:proofErr w:type="spellStart"/>
            <w:r w:rsidRPr="00B74A55">
              <w:rPr>
                <w:sz w:val="22"/>
              </w:rPr>
              <w:t>інновації</w:t>
            </w:r>
            <w:proofErr w:type="spellEnd"/>
            <w:r w:rsidRPr="00B74A55">
              <w:rPr>
                <w:sz w:val="22"/>
              </w:rPr>
              <w:t xml:space="preserve"> </w:t>
            </w:r>
            <w:proofErr w:type="spellStart"/>
            <w:r w:rsidRPr="00B74A55">
              <w:rPr>
                <w:sz w:val="22"/>
              </w:rPr>
              <w:t>управління</w:t>
            </w:r>
            <w:proofErr w:type="spellEnd"/>
            <w:r w:rsidRPr="00B74A55">
              <w:rPr>
                <w:sz w:val="22"/>
              </w:rPr>
              <w:t xml:space="preserve"> та </w:t>
            </w:r>
            <w:proofErr w:type="spellStart"/>
            <w:r w:rsidRPr="00B74A55">
              <w:rPr>
                <w:sz w:val="22"/>
              </w:rPr>
              <w:t>довіру</w:t>
            </w:r>
            <w:proofErr w:type="spellEnd"/>
            <w:r w:rsidRPr="00B74A55">
              <w:rPr>
                <w:sz w:val="22"/>
              </w:rPr>
              <w:t xml:space="preserve"> до </w:t>
            </w:r>
            <w:proofErr w:type="spellStart"/>
            <w:r w:rsidRPr="00B74A55">
              <w:rPr>
                <w:sz w:val="22"/>
              </w:rPr>
              <w:t>влади</w:t>
            </w:r>
            <w:proofErr w:type="spellEnd"/>
            <w:r w:rsidRPr="00B74A55">
              <w:rPr>
                <w:sz w:val="22"/>
              </w:rPr>
              <w:t xml:space="preserve">. </w:t>
            </w:r>
            <w:proofErr w:type="spellStart"/>
            <w:r w:rsidRPr="00B74A55">
              <w:rPr>
                <w:sz w:val="22"/>
              </w:rPr>
              <w:t>Формування</w:t>
            </w:r>
            <w:proofErr w:type="spellEnd"/>
            <w:r w:rsidRPr="00B74A55">
              <w:rPr>
                <w:sz w:val="22"/>
              </w:rPr>
              <w:t xml:space="preserve"> </w:t>
            </w:r>
            <w:proofErr w:type="spellStart"/>
            <w:r w:rsidRPr="00B74A55">
              <w:rPr>
                <w:sz w:val="22"/>
              </w:rPr>
              <w:t>сучасного</w:t>
            </w:r>
            <w:proofErr w:type="spellEnd"/>
            <w:r w:rsidRPr="00B74A55">
              <w:rPr>
                <w:sz w:val="22"/>
              </w:rPr>
              <w:t xml:space="preserve"> </w:t>
            </w:r>
            <w:proofErr w:type="spellStart"/>
            <w:r w:rsidRPr="00B74A55">
              <w:rPr>
                <w:sz w:val="22"/>
              </w:rPr>
              <w:t>інклюзивного</w:t>
            </w:r>
            <w:proofErr w:type="spellEnd"/>
            <w:r w:rsidRPr="00B74A55">
              <w:rPr>
                <w:sz w:val="22"/>
              </w:rPr>
              <w:t xml:space="preserve"> </w:t>
            </w:r>
            <w:proofErr w:type="spellStart"/>
            <w:r w:rsidRPr="00B74A55">
              <w:rPr>
                <w:sz w:val="22"/>
              </w:rPr>
              <w:t>освітньо</w:t>
            </w:r>
            <w:proofErr w:type="spellEnd"/>
            <w:r w:rsidRPr="00B74A55">
              <w:rPr>
                <w:sz w:val="22"/>
              </w:rPr>
              <w:t xml:space="preserve">-культурного та спортивного простору для </w:t>
            </w:r>
            <w:proofErr w:type="spellStart"/>
            <w:r w:rsidRPr="00B74A55">
              <w:rPr>
                <w:sz w:val="22"/>
              </w:rPr>
              <w:t>розвитку</w:t>
            </w:r>
            <w:proofErr w:type="spellEnd"/>
            <w:r w:rsidRPr="00B74A55">
              <w:rPr>
                <w:sz w:val="22"/>
              </w:rPr>
              <w:t>.</w:t>
            </w:r>
          </w:p>
        </w:tc>
      </w:tr>
      <w:tr w:rsidR="009F6B39" w:rsidRPr="00B74A55" w:rsidTr="009F6B39">
        <w:tc>
          <w:tcPr>
            <w:tcW w:w="2978" w:type="dxa"/>
            <w:shd w:val="clear" w:color="auto" w:fill="C6D9F1" w:themeFill="text2" w:themeFillTint="33"/>
          </w:tcPr>
          <w:p w:rsidR="009F6B39" w:rsidRPr="00B74A55" w:rsidRDefault="009F6B39" w:rsidP="001038B7">
            <w:pPr>
              <w:pStyle w:val="a7"/>
              <w:ind w:left="0"/>
              <w:rPr>
                <w:b/>
                <w:sz w:val="22"/>
              </w:rPr>
            </w:pPr>
            <w:proofErr w:type="spellStart"/>
            <w:r w:rsidRPr="00B74A55">
              <w:rPr>
                <w:b/>
                <w:sz w:val="22"/>
              </w:rPr>
              <w:t>Назва</w:t>
            </w:r>
            <w:proofErr w:type="spellEnd"/>
            <w:r w:rsidRPr="00B74A55">
              <w:rPr>
                <w:b/>
                <w:sz w:val="22"/>
              </w:rPr>
              <w:t xml:space="preserve"> проекту:</w:t>
            </w:r>
          </w:p>
        </w:tc>
        <w:tc>
          <w:tcPr>
            <w:tcW w:w="6910" w:type="dxa"/>
            <w:gridSpan w:val="7"/>
          </w:tcPr>
          <w:p w:rsidR="009F6B39" w:rsidRPr="00B74A55" w:rsidRDefault="009F6B39" w:rsidP="001038B7">
            <w:pPr>
              <w:pStyle w:val="a7"/>
              <w:ind w:left="0"/>
              <w:rPr>
                <w:sz w:val="22"/>
              </w:rPr>
            </w:pPr>
            <w:proofErr w:type="spellStart"/>
            <w:r w:rsidRPr="00B74A55">
              <w:rPr>
                <w:sz w:val="22"/>
              </w:rPr>
              <w:t>Відновлення</w:t>
            </w:r>
            <w:proofErr w:type="spellEnd"/>
            <w:r w:rsidRPr="00B74A55">
              <w:rPr>
                <w:sz w:val="22"/>
              </w:rPr>
              <w:t xml:space="preserve"> </w:t>
            </w:r>
            <w:proofErr w:type="spellStart"/>
            <w:proofErr w:type="gramStart"/>
            <w:r w:rsidRPr="00B74A55">
              <w:rPr>
                <w:sz w:val="22"/>
              </w:rPr>
              <w:t>діяльності</w:t>
            </w:r>
            <w:proofErr w:type="spellEnd"/>
            <w:r w:rsidRPr="00B74A55">
              <w:rPr>
                <w:sz w:val="22"/>
              </w:rPr>
              <w:t xml:space="preserve">  закладу</w:t>
            </w:r>
            <w:proofErr w:type="gramEnd"/>
            <w:r w:rsidRPr="00B74A55">
              <w:rPr>
                <w:sz w:val="22"/>
              </w:rPr>
              <w:t xml:space="preserve"> </w:t>
            </w:r>
            <w:proofErr w:type="spellStart"/>
            <w:r w:rsidRPr="00B74A55">
              <w:rPr>
                <w:sz w:val="22"/>
              </w:rPr>
              <w:t>дошкільної</w:t>
            </w:r>
            <w:proofErr w:type="spellEnd"/>
            <w:r w:rsidRPr="00B74A55">
              <w:rPr>
                <w:sz w:val="22"/>
              </w:rPr>
              <w:t xml:space="preserve"> </w:t>
            </w:r>
            <w:proofErr w:type="spellStart"/>
            <w:r w:rsidRPr="00B74A55">
              <w:rPr>
                <w:sz w:val="22"/>
              </w:rPr>
              <w:t>освіти</w:t>
            </w:r>
            <w:proofErr w:type="spellEnd"/>
            <w:r w:rsidRPr="00B74A55">
              <w:rPr>
                <w:sz w:val="22"/>
              </w:rPr>
              <w:t xml:space="preserve"> «</w:t>
            </w:r>
            <w:proofErr w:type="spellStart"/>
            <w:r w:rsidRPr="00B74A55">
              <w:rPr>
                <w:sz w:val="22"/>
              </w:rPr>
              <w:t>Ясел</w:t>
            </w:r>
            <w:proofErr w:type="spellEnd"/>
            <w:r w:rsidRPr="00B74A55">
              <w:rPr>
                <w:sz w:val="22"/>
              </w:rPr>
              <w:t xml:space="preserve">-садка №43 </w:t>
            </w:r>
            <w:proofErr w:type="spellStart"/>
            <w:r w:rsidRPr="00B74A55">
              <w:rPr>
                <w:sz w:val="22"/>
              </w:rPr>
              <w:t>міста</w:t>
            </w:r>
            <w:proofErr w:type="spellEnd"/>
            <w:r w:rsidRPr="00B74A55">
              <w:rPr>
                <w:sz w:val="22"/>
              </w:rPr>
              <w:t xml:space="preserve"> </w:t>
            </w:r>
            <w:proofErr w:type="spellStart"/>
            <w:r w:rsidRPr="00B74A55">
              <w:rPr>
                <w:sz w:val="22"/>
              </w:rPr>
              <w:t>Сєвєродонецьк</w:t>
            </w:r>
            <w:proofErr w:type="spellEnd"/>
            <w:r w:rsidRPr="00B74A55">
              <w:rPr>
                <w:sz w:val="22"/>
              </w:rPr>
              <w:t xml:space="preserve"> </w:t>
            </w:r>
            <w:proofErr w:type="spellStart"/>
            <w:r w:rsidRPr="00B74A55">
              <w:rPr>
                <w:sz w:val="22"/>
              </w:rPr>
              <w:t>Луганської</w:t>
            </w:r>
            <w:proofErr w:type="spellEnd"/>
            <w:r w:rsidRPr="00B74A55">
              <w:rPr>
                <w:sz w:val="22"/>
              </w:rPr>
              <w:t xml:space="preserve"> </w:t>
            </w:r>
            <w:proofErr w:type="spellStart"/>
            <w:r w:rsidRPr="00B74A55">
              <w:rPr>
                <w:sz w:val="22"/>
              </w:rPr>
              <w:t>області</w:t>
            </w:r>
            <w:proofErr w:type="spellEnd"/>
            <w:r w:rsidRPr="00B74A55">
              <w:rPr>
                <w:sz w:val="22"/>
              </w:rPr>
              <w:t xml:space="preserve">», за </w:t>
            </w:r>
            <w:proofErr w:type="spellStart"/>
            <w:r w:rsidRPr="00B74A55">
              <w:rPr>
                <w:sz w:val="22"/>
              </w:rPr>
              <w:t>адресою</w:t>
            </w:r>
            <w:proofErr w:type="spellEnd"/>
            <w:r w:rsidRPr="00B74A55">
              <w:rPr>
                <w:sz w:val="22"/>
              </w:rPr>
              <w:t xml:space="preserve">: </w:t>
            </w:r>
            <w:proofErr w:type="spellStart"/>
            <w:r w:rsidRPr="00B74A55">
              <w:rPr>
                <w:sz w:val="22"/>
              </w:rPr>
              <w:t>вул</w:t>
            </w:r>
            <w:proofErr w:type="spellEnd"/>
            <w:r w:rsidRPr="00B74A55">
              <w:rPr>
                <w:sz w:val="22"/>
              </w:rPr>
              <w:t xml:space="preserve"> </w:t>
            </w:r>
            <w:proofErr w:type="spellStart"/>
            <w:r w:rsidRPr="00B74A55">
              <w:rPr>
                <w:sz w:val="22"/>
              </w:rPr>
              <w:t>Гагаріна</w:t>
            </w:r>
            <w:proofErr w:type="spellEnd"/>
            <w:r w:rsidRPr="00B74A55">
              <w:rPr>
                <w:sz w:val="22"/>
              </w:rPr>
              <w:t xml:space="preserve"> буд.113-А., </w:t>
            </w:r>
            <w:proofErr w:type="spellStart"/>
            <w:r w:rsidRPr="00B74A55">
              <w:rPr>
                <w:sz w:val="22"/>
              </w:rPr>
              <w:t>м.Сєвєродонецьк</w:t>
            </w:r>
            <w:proofErr w:type="spellEnd"/>
            <w:r w:rsidRPr="00B74A55">
              <w:rPr>
                <w:sz w:val="22"/>
              </w:rPr>
              <w:t xml:space="preserve">, </w:t>
            </w:r>
            <w:proofErr w:type="spellStart"/>
            <w:r w:rsidRPr="00B74A55">
              <w:rPr>
                <w:sz w:val="22"/>
              </w:rPr>
              <w:t>Сєвєродонецького</w:t>
            </w:r>
            <w:proofErr w:type="spellEnd"/>
            <w:r w:rsidRPr="00B74A55">
              <w:rPr>
                <w:sz w:val="22"/>
              </w:rPr>
              <w:t xml:space="preserve"> району, </w:t>
            </w:r>
            <w:proofErr w:type="spellStart"/>
            <w:r w:rsidRPr="00B74A55">
              <w:rPr>
                <w:sz w:val="22"/>
              </w:rPr>
              <w:t>Луганської</w:t>
            </w:r>
            <w:proofErr w:type="spellEnd"/>
            <w:r w:rsidRPr="00B74A55">
              <w:rPr>
                <w:sz w:val="22"/>
              </w:rPr>
              <w:t xml:space="preserve"> </w:t>
            </w:r>
            <w:proofErr w:type="spellStart"/>
            <w:r w:rsidRPr="00B74A55">
              <w:rPr>
                <w:sz w:val="22"/>
              </w:rPr>
              <w:t>області</w:t>
            </w:r>
            <w:proofErr w:type="spellEnd"/>
            <w:r w:rsidRPr="00B74A55">
              <w:rPr>
                <w:sz w:val="22"/>
              </w:rPr>
              <w:t>.</w:t>
            </w:r>
          </w:p>
        </w:tc>
      </w:tr>
      <w:tr w:rsidR="009F6B39" w:rsidRPr="00B74A55" w:rsidTr="009F6B39">
        <w:tc>
          <w:tcPr>
            <w:tcW w:w="2978" w:type="dxa"/>
            <w:shd w:val="clear" w:color="auto" w:fill="C6D9F1" w:themeFill="text2" w:themeFillTint="33"/>
          </w:tcPr>
          <w:p w:rsidR="009F6B39" w:rsidRPr="00B74A55" w:rsidRDefault="009F6B39" w:rsidP="001038B7">
            <w:pPr>
              <w:rPr>
                <w:b/>
                <w:sz w:val="22"/>
              </w:rPr>
            </w:pPr>
            <w:proofErr w:type="spellStart"/>
            <w:r w:rsidRPr="00B74A55">
              <w:rPr>
                <w:b/>
                <w:sz w:val="22"/>
              </w:rPr>
              <w:t>Ціль</w:t>
            </w:r>
            <w:proofErr w:type="spellEnd"/>
            <w:r w:rsidRPr="00B74A55">
              <w:rPr>
                <w:b/>
                <w:sz w:val="22"/>
              </w:rPr>
              <w:t xml:space="preserve"> проекту</w:t>
            </w:r>
          </w:p>
        </w:tc>
        <w:tc>
          <w:tcPr>
            <w:tcW w:w="6910" w:type="dxa"/>
            <w:gridSpan w:val="7"/>
          </w:tcPr>
          <w:p w:rsidR="009F6B39" w:rsidRPr="00B74A55" w:rsidRDefault="009F6B39" w:rsidP="001038B7">
            <w:pPr>
              <w:pStyle w:val="a7"/>
              <w:ind w:left="0"/>
              <w:rPr>
                <w:sz w:val="22"/>
              </w:rPr>
            </w:pPr>
            <w:proofErr w:type="spellStart"/>
            <w:r w:rsidRPr="00B74A55">
              <w:rPr>
                <w:sz w:val="22"/>
              </w:rPr>
              <w:t>Відбудувати</w:t>
            </w:r>
            <w:proofErr w:type="spellEnd"/>
            <w:r w:rsidRPr="00B74A55">
              <w:rPr>
                <w:sz w:val="22"/>
              </w:rPr>
              <w:t xml:space="preserve"> та </w:t>
            </w:r>
            <w:proofErr w:type="spellStart"/>
            <w:r w:rsidRPr="00B74A55">
              <w:rPr>
                <w:sz w:val="22"/>
              </w:rPr>
              <w:t>покращити</w:t>
            </w:r>
            <w:proofErr w:type="spellEnd"/>
            <w:r w:rsidRPr="00B74A55">
              <w:rPr>
                <w:sz w:val="22"/>
              </w:rPr>
              <w:t xml:space="preserve"> роботу закладу </w:t>
            </w:r>
            <w:proofErr w:type="spellStart"/>
            <w:r w:rsidRPr="00B74A55">
              <w:rPr>
                <w:sz w:val="22"/>
              </w:rPr>
              <w:t>дошкільної</w:t>
            </w:r>
            <w:proofErr w:type="spellEnd"/>
            <w:r w:rsidRPr="00B74A55">
              <w:rPr>
                <w:sz w:val="22"/>
              </w:rPr>
              <w:t xml:space="preserve"> </w:t>
            </w:r>
            <w:proofErr w:type="spellStart"/>
            <w:r w:rsidRPr="00B74A55">
              <w:rPr>
                <w:sz w:val="22"/>
              </w:rPr>
              <w:t>освіти</w:t>
            </w:r>
            <w:proofErr w:type="spellEnd"/>
            <w:r w:rsidRPr="00B74A55">
              <w:rPr>
                <w:sz w:val="22"/>
              </w:rPr>
              <w:t xml:space="preserve"> «</w:t>
            </w:r>
            <w:proofErr w:type="spellStart"/>
            <w:r w:rsidRPr="00B74A55">
              <w:rPr>
                <w:sz w:val="22"/>
              </w:rPr>
              <w:t>Ясел</w:t>
            </w:r>
            <w:proofErr w:type="spellEnd"/>
            <w:r w:rsidRPr="00B74A55">
              <w:rPr>
                <w:sz w:val="22"/>
              </w:rPr>
              <w:t xml:space="preserve">-садка №43 </w:t>
            </w:r>
            <w:proofErr w:type="spellStart"/>
            <w:r w:rsidRPr="00B74A55">
              <w:rPr>
                <w:sz w:val="22"/>
              </w:rPr>
              <w:t>міста</w:t>
            </w:r>
            <w:proofErr w:type="spellEnd"/>
            <w:r w:rsidRPr="00B74A55">
              <w:rPr>
                <w:sz w:val="22"/>
              </w:rPr>
              <w:t xml:space="preserve"> </w:t>
            </w:r>
            <w:proofErr w:type="spellStart"/>
            <w:r w:rsidRPr="00B74A55">
              <w:rPr>
                <w:sz w:val="22"/>
              </w:rPr>
              <w:t>Сєвєродонецька</w:t>
            </w:r>
            <w:proofErr w:type="spellEnd"/>
            <w:r w:rsidRPr="00B74A55">
              <w:rPr>
                <w:sz w:val="22"/>
              </w:rPr>
              <w:t xml:space="preserve"> </w:t>
            </w:r>
            <w:proofErr w:type="spellStart"/>
            <w:r w:rsidRPr="00B74A55">
              <w:rPr>
                <w:sz w:val="22"/>
              </w:rPr>
              <w:t>Луганської</w:t>
            </w:r>
            <w:proofErr w:type="spellEnd"/>
            <w:r w:rsidRPr="00B74A55">
              <w:rPr>
                <w:sz w:val="22"/>
              </w:rPr>
              <w:t xml:space="preserve"> </w:t>
            </w:r>
            <w:proofErr w:type="spellStart"/>
            <w:r w:rsidRPr="00B74A55">
              <w:rPr>
                <w:sz w:val="22"/>
              </w:rPr>
              <w:t>області</w:t>
            </w:r>
            <w:proofErr w:type="spellEnd"/>
            <w:r w:rsidRPr="00B74A55">
              <w:rPr>
                <w:sz w:val="22"/>
              </w:rPr>
              <w:t xml:space="preserve">» для </w:t>
            </w:r>
            <w:proofErr w:type="spellStart"/>
            <w:r w:rsidRPr="00B74A55">
              <w:rPr>
                <w:sz w:val="22"/>
              </w:rPr>
              <w:t>надання</w:t>
            </w:r>
            <w:proofErr w:type="spellEnd"/>
            <w:r w:rsidRPr="00B74A55">
              <w:rPr>
                <w:sz w:val="22"/>
              </w:rPr>
              <w:t xml:space="preserve"> широкого спектру </w:t>
            </w:r>
            <w:proofErr w:type="spellStart"/>
            <w:proofErr w:type="gramStart"/>
            <w:r w:rsidRPr="00B74A55">
              <w:rPr>
                <w:sz w:val="22"/>
              </w:rPr>
              <w:t>освітніх</w:t>
            </w:r>
            <w:proofErr w:type="spellEnd"/>
            <w:r w:rsidRPr="00B74A55">
              <w:rPr>
                <w:sz w:val="22"/>
              </w:rPr>
              <w:t xml:space="preserve">  </w:t>
            </w:r>
            <w:proofErr w:type="spellStart"/>
            <w:r w:rsidRPr="00B74A55">
              <w:rPr>
                <w:sz w:val="22"/>
              </w:rPr>
              <w:t>послуг</w:t>
            </w:r>
            <w:proofErr w:type="spellEnd"/>
            <w:proofErr w:type="gramEnd"/>
            <w:r w:rsidRPr="00B74A55">
              <w:rPr>
                <w:sz w:val="22"/>
              </w:rPr>
              <w:t xml:space="preserve">, </w:t>
            </w:r>
            <w:proofErr w:type="spellStart"/>
            <w:r w:rsidRPr="00B74A55">
              <w:rPr>
                <w:sz w:val="22"/>
              </w:rPr>
              <w:t>пов’язаних</w:t>
            </w:r>
            <w:proofErr w:type="spellEnd"/>
            <w:r w:rsidRPr="00B74A55">
              <w:rPr>
                <w:sz w:val="22"/>
              </w:rPr>
              <w:t xml:space="preserve"> </w:t>
            </w:r>
            <w:proofErr w:type="spellStart"/>
            <w:r w:rsidRPr="00B74A55">
              <w:rPr>
                <w:sz w:val="22"/>
              </w:rPr>
              <w:t>із</w:t>
            </w:r>
            <w:proofErr w:type="spellEnd"/>
            <w:r w:rsidRPr="00B74A55">
              <w:rPr>
                <w:sz w:val="22"/>
              </w:rPr>
              <w:t xml:space="preserve"> </w:t>
            </w:r>
            <w:proofErr w:type="spellStart"/>
            <w:r w:rsidRPr="00B74A55">
              <w:rPr>
                <w:sz w:val="22"/>
              </w:rPr>
              <w:t>задоволенням</w:t>
            </w:r>
            <w:proofErr w:type="spellEnd"/>
            <w:r w:rsidRPr="00B74A55">
              <w:rPr>
                <w:sz w:val="22"/>
              </w:rPr>
              <w:t xml:space="preserve"> потреб </w:t>
            </w:r>
            <w:proofErr w:type="spellStart"/>
            <w:r w:rsidRPr="00B74A55">
              <w:rPr>
                <w:sz w:val="22"/>
              </w:rPr>
              <w:t>мешканців</w:t>
            </w:r>
            <w:proofErr w:type="spellEnd"/>
            <w:r w:rsidRPr="00B74A55">
              <w:rPr>
                <w:sz w:val="22"/>
              </w:rPr>
              <w:t xml:space="preserve"> </w:t>
            </w:r>
            <w:proofErr w:type="spellStart"/>
            <w:r w:rsidRPr="00B74A55">
              <w:rPr>
                <w:sz w:val="22"/>
              </w:rPr>
              <w:t>Сєвєродонецької</w:t>
            </w:r>
            <w:proofErr w:type="spellEnd"/>
            <w:r w:rsidRPr="00B74A55">
              <w:rPr>
                <w:sz w:val="22"/>
              </w:rPr>
              <w:t xml:space="preserve"> </w:t>
            </w:r>
            <w:proofErr w:type="spellStart"/>
            <w:r w:rsidRPr="00B74A55">
              <w:rPr>
                <w:sz w:val="22"/>
              </w:rPr>
              <w:t>міської</w:t>
            </w:r>
            <w:proofErr w:type="spellEnd"/>
            <w:r w:rsidRPr="00B74A55">
              <w:rPr>
                <w:sz w:val="22"/>
              </w:rPr>
              <w:t xml:space="preserve"> </w:t>
            </w:r>
            <w:proofErr w:type="spellStart"/>
            <w:r w:rsidRPr="00B74A55">
              <w:rPr>
                <w:sz w:val="22"/>
              </w:rPr>
              <w:t>територіальної</w:t>
            </w:r>
            <w:proofErr w:type="spellEnd"/>
            <w:r w:rsidRPr="00B74A55">
              <w:rPr>
                <w:sz w:val="22"/>
              </w:rPr>
              <w:t xml:space="preserve"> </w:t>
            </w:r>
            <w:proofErr w:type="spellStart"/>
            <w:r w:rsidRPr="00B74A55">
              <w:rPr>
                <w:sz w:val="22"/>
              </w:rPr>
              <w:t>громади</w:t>
            </w:r>
            <w:proofErr w:type="spellEnd"/>
            <w:r w:rsidRPr="00B74A55">
              <w:rPr>
                <w:sz w:val="22"/>
              </w:rPr>
              <w:t xml:space="preserve"> у </w:t>
            </w:r>
            <w:proofErr w:type="spellStart"/>
            <w:r w:rsidRPr="00B74A55">
              <w:rPr>
                <w:sz w:val="22"/>
              </w:rPr>
              <w:t>необхідних</w:t>
            </w:r>
            <w:proofErr w:type="spellEnd"/>
            <w:r w:rsidRPr="00B74A55">
              <w:rPr>
                <w:sz w:val="22"/>
              </w:rPr>
              <w:t xml:space="preserve"> </w:t>
            </w:r>
            <w:proofErr w:type="spellStart"/>
            <w:r w:rsidRPr="00B74A55">
              <w:rPr>
                <w:sz w:val="22"/>
              </w:rPr>
              <w:t>послугах</w:t>
            </w:r>
            <w:proofErr w:type="spellEnd"/>
            <w:r w:rsidRPr="00B74A55">
              <w:rPr>
                <w:sz w:val="22"/>
              </w:rPr>
              <w:t xml:space="preserve"> </w:t>
            </w:r>
            <w:proofErr w:type="spellStart"/>
            <w:r w:rsidRPr="00B74A55">
              <w:rPr>
                <w:sz w:val="22"/>
              </w:rPr>
              <w:t>дошкільної</w:t>
            </w:r>
            <w:proofErr w:type="spellEnd"/>
            <w:r w:rsidRPr="00B74A55">
              <w:rPr>
                <w:sz w:val="22"/>
              </w:rPr>
              <w:t xml:space="preserve"> </w:t>
            </w:r>
            <w:proofErr w:type="spellStart"/>
            <w:r w:rsidRPr="00B74A55">
              <w:rPr>
                <w:sz w:val="22"/>
              </w:rPr>
              <w:t>освіти</w:t>
            </w:r>
            <w:proofErr w:type="spellEnd"/>
            <w:r w:rsidRPr="00B74A55">
              <w:rPr>
                <w:sz w:val="22"/>
              </w:rPr>
              <w:t xml:space="preserve"> для </w:t>
            </w:r>
            <w:proofErr w:type="spellStart"/>
            <w:r w:rsidRPr="00B74A55">
              <w:rPr>
                <w:sz w:val="22"/>
              </w:rPr>
              <w:t>найменших</w:t>
            </w:r>
            <w:proofErr w:type="spellEnd"/>
            <w:r w:rsidRPr="00B74A55">
              <w:rPr>
                <w:sz w:val="22"/>
              </w:rPr>
              <w:t xml:space="preserve"> </w:t>
            </w:r>
            <w:proofErr w:type="spellStart"/>
            <w:r w:rsidRPr="00B74A55">
              <w:rPr>
                <w:sz w:val="22"/>
              </w:rPr>
              <w:t>громадян</w:t>
            </w:r>
            <w:proofErr w:type="spellEnd"/>
            <w:r w:rsidRPr="00B74A55">
              <w:rPr>
                <w:sz w:val="22"/>
              </w:rPr>
              <w:t xml:space="preserve">, </w:t>
            </w:r>
            <w:proofErr w:type="spellStart"/>
            <w:r w:rsidRPr="00B74A55">
              <w:rPr>
                <w:sz w:val="22"/>
              </w:rPr>
              <w:t>забезпечення</w:t>
            </w:r>
            <w:proofErr w:type="spellEnd"/>
            <w:r w:rsidRPr="00B74A55">
              <w:rPr>
                <w:sz w:val="22"/>
              </w:rPr>
              <w:t xml:space="preserve"> </w:t>
            </w:r>
            <w:proofErr w:type="spellStart"/>
            <w:r w:rsidRPr="00B74A55">
              <w:rPr>
                <w:sz w:val="22"/>
              </w:rPr>
              <w:t>якісного</w:t>
            </w:r>
            <w:proofErr w:type="spellEnd"/>
            <w:r w:rsidRPr="00B74A55">
              <w:rPr>
                <w:sz w:val="22"/>
              </w:rPr>
              <w:t xml:space="preserve"> </w:t>
            </w:r>
            <w:proofErr w:type="spellStart"/>
            <w:r w:rsidRPr="00B74A55">
              <w:rPr>
                <w:sz w:val="22"/>
              </w:rPr>
              <w:t>рівня</w:t>
            </w:r>
            <w:proofErr w:type="spellEnd"/>
            <w:r w:rsidRPr="00B74A55">
              <w:rPr>
                <w:sz w:val="22"/>
              </w:rPr>
              <w:t xml:space="preserve"> </w:t>
            </w:r>
            <w:proofErr w:type="spellStart"/>
            <w:r w:rsidRPr="00B74A55">
              <w:rPr>
                <w:sz w:val="22"/>
              </w:rPr>
              <w:t>розвитку</w:t>
            </w:r>
            <w:proofErr w:type="spellEnd"/>
            <w:r w:rsidRPr="00B74A55">
              <w:rPr>
                <w:sz w:val="22"/>
              </w:rPr>
              <w:t xml:space="preserve"> </w:t>
            </w:r>
            <w:proofErr w:type="spellStart"/>
            <w:r w:rsidRPr="00B74A55">
              <w:rPr>
                <w:sz w:val="22"/>
              </w:rPr>
              <w:t>під</w:t>
            </w:r>
            <w:proofErr w:type="spellEnd"/>
            <w:r w:rsidRPr="00B74A55">
              <w:rPr>
                <w:sz w:val="22"/>
              </w:rPr>
              <w:t xml:space="preserve"> час </w:t>
            </w:r>
            <w:proofErr w:type="spellStart"/>
            <w:r w:rsidRPr="00B74A55">
              <w:rPr>
                <w:sz w:val="22"/>
              </w:rPr>
              <w:t>відсутності</w:t>
            </w:r>
            <w:proofErr w:type="spellEnd"/>
            <w:r w:rsidRPr="00B74A55">
              <w:rPr>
                <w:sz w:val="22"/>
              </w:rPr>
              <w:t xml:space="preserve"> </w:t>
            </w:r>
            <w:proofErr w:type="spellStart"/>
            <w:r w:rsidRPr="00B74A55">
              <w:rPr>
                <w:sz w:val="22"/>
              </w:rPr>
              <w:t>їх</w:t>
            </w:r>
            <w:proofErr w:type="spellEnd"/>
            <w:r w:rsidRPr="00B74A55">
              <w:rPr>
                <w:sz w:val="22"/>
              </w:rPr>
              <w:t xml:space="preserve"> </w:t>
            </w:r>
            <w:proofErr w:type="spellStart"/>
            <w:r w:rsidRPr="00B74A55">
              <w:rPr>
                <w:sz w:val="22"/>
              </w:rPr>
              <w:t>батьків</w:t>
            </w:r>
            <w:proofErr w:type="spellEnd"/>
            <w:r w:rsidRPr="00B74A55">
              <w:rPr>
                <w:sz w:val="22"/>
              </w:rPr>
              <w:t xml:space="preserve"> через </w:t>
            </w:r>
            <w:proofErr w:type="spellStart"/>
            <w:r w:rsidRPr="00B74A55">
              <w:rPr>
                <w:sz w:val="22"/>
              </w:rPr>
              <w:t>зайнятість</w:t>
            </w:r>
            <w:proofErr w:type="spellEnd"/>
            <w:r w:rsidRPr="00B74A55">
              <w:rPr>
                <w:sz w:val="22"/>
              </w:rPr>
              <w:t xml:space="preserve"> на роботах.</w:t>
            </w:r>
          </w:p>
        </w:tc>
      </w:tr>
      <w:tr w:rsidR="009F6B39" w:rsidRPr="00B74A55" w:rsidTr="009F6B39">
        <w:tc>
          <w:tcPr>
            <w:tcW w:w="2978" w:type="dxa"/>
            <w:shd w:val="clear" w:color="auto" w:fill="C6D9F1" w:themeFill="text2" w:themeFillTint="33"/>
          </w:tcPr>
          <w:p w:rsidR="009F6B39" w:rsidRPr="00B74A55" w:rsidRDefault="009F6B39" w:rsidP="001038B7">
            <w:pPr>
              <w:pStyle w:val="a7"/>
              <w:ind w:left="0"/>
              <w:rPr>
                <w:b/>
                <w:sz w:val="22"/>
              </w:rPr>
            </w:pPr>
            <w:proofErr w:type="spellStart"/>
            <w:r w:rsidRPr="00B74A55">
              <w:rPr>
                <w:b/>
                <w:sz w:val="22"/>
              </w:rPr>
              <w:t>Територія</w:t>
            </w:r>
            <w:proofErr w:type="spellEnd"/>
            <w:r w:rsidRPr="00B74A55">
              <w:rPr>
                <w:b/>
                <w:sz w:val="22"/>
              </w:rPr>
              <w:t xml:space="preserve">, </w:t>
            </w:r>
            <w:proofErr w:type="gramStart"/>
            <w:r w:rsidRPr="00B74A55">
              <w:rPr>
                <w:b/>
                <w:sz w:val="22"/>
              </w:rPr>
              <w:t>на яку</w:t>
            </w:r>
            <w:proofErr w:type="gramEnd"/>
            <w:r w:rsidRPr="00B74A55">
              <w:rPr>
                <w:b/>
                <w:sz w:val="22"/>
              </w:rPr>
              <w:t xml:space="preserve"> </w:t>
            </w:r>
            <w:proofErr w:type="spellStart"/>
            <w:r w:rsidRPr="00B74A55">
              <w:rPr>
                <w:b/>
                <w:sz w:val="22"/>
              </w:rPr>
              <w:t>матиме</w:t>
            </w:r>
            <w:proofErr w:type="spellEnd"/>
            <w:r w:rsidRPr="00B74A55">
              <w:rPr>
                <w:b/>
                <w:sz w:val="22"/>
              </w:rPr>
              <w:t xml:space="preserve"> </w:t>
            </w:r>
            <w:proofErr w:type="spellStart"/>
            <w:r w:rsidRPr="00B74A55">
              <w:rPr>
                <w:b/>
                <w:sz w:val="22"/>
              </w:rPr>
              <w:t>вплив</w:t>
            </w:r>
            <w:proofErr w:type="spellEnd"/>
            <w:r w:rsidRPr="00B74A55">
              <w:rPr>
                <w:b/>
                <w:sz w:val="22"/>
              </w:rPr>
              <w:t xml:space="preserve"> </w:t>
            </w:r>
            <w:proofErr w:type="spellStart"/>
            <w:r w:rsidRPr="00B74A55">
              <w:rPr>
                <w:b/>
                <w:sz w:val="22"/>
              </w:rPr>
              <w:t>реалізація</w:t>
            </w:r>
            <w:proofErr w:type="spellEnd"/>
            <w:r w:rsidRPr="00B74A55">
              <w:rPr>
                <w:b/>
                <w:sz w:val="22"/>
              </w:rPr>
              <w:t xml:space="preserve"> проекту</w:t>
            </w:r>
          </w:p>
        </w:tc>
        <w:tc>
          <w:tcPr>
            <w:tcW w:w="6910" w:type="dxa"/>
            <w:gridSpan w:val="7"/>
          </w:tcPr>
          <w:p w:rsidR="009F6B39" w:rsidRPr="00B74A55" w:rsidRDefault="009F6B39" w:rsidP="001038B7">
            <w:pPr>
              <w:pStyle w:val="a7"/>
              <w:ind w:left="0"/>
              <w:rPr>
                <w:sz w:val="22"/>
              </w:rPr>
            </w:pPr>
            <w:proofErr w:type="spellStart"/>
            <w:r w:rsidRPr="00B74A55">
              <w:rPr>
                <w:sz w:val="22"/>
              </w:rPr>
              <w:t>Сєвєродонецька</w:t>
            </w:r>
            <w:proofErr w:type="spellEnd"/>
            <w:r w:rsidRPr="00B74A55">
              <w:rPr>
                <w:sz w:val="22"/>
              </w:rPr>
              <w:t xml:space="preserve"> </w:t>
            </w:r>
            <w:proofErr w:type="spellStart"/>
            <w:r w:rsidRPr="00B74A55">
              <w:rPr>
                <w:sz w:val="22"/>
              </w:rPr>
              <w:t>міська</w:t>
            </w:r>
            <w:proofErr w:type="spellEnd"/>
            <w:r w:rsidRPr="00B74A55">
              <w:rPr>
                <w:sz w:val="22"/>
              </w:rPr>
              <w:t xml:space="preserve"> </w:t>
            </w:r>
            <w:proofErr w:type="spellStart"/>
            <w:r w:rsidRPr="00B74A55">
              <w:rPr>
                <w:sz w:val="22"/>
              </w:rPr>
              <w:t>територіальна</w:t>
            </w:r>
            <w:proofErr w:type="spellEnd"/>
            <w:r w:rsidRPr="00B74A55">
              <w:rPr>
                <w:sz w:val="22"/>
              </w:rPr>
              <w:t xml:space="preserve"> громада</w:t>
            </w:r>
          </w:p>
        </w:tc>
      </w:tr>
      <w:tr w:rsidR="009F6B39" w:rsidRPr="00B74A55" w:rsidTr="009F6B39">
        <w:tc>
          <w:tcPr>
            <w:tcW w:w="2978" w:type="dxa"/>
            <w:shd w:val="clear" w:color="auto" w:fill="C6D9F1" w:themeFill="text2" w:themeFillTint="33"/>
          </w:tcPr>
          <w:p w:rsidR="009F6B39" w:rsidRPr="00B74A55" w:rsidRDefault="009F6B39" w:rsidP="001038B7">
            <w:pPr>
              <w:pStyle w:val="a7"/>
              <w:ind w:left="0"/>
              <w:rPr>
                <w:b/>
                <w:sz w:val="22"/>
              </w:rPr>
            </w:pPr>
            <w:proofErr w:type="spellStart"/>
            <w:r w:rsidRPr="00B74A55">
              <w:rPr>
                <w:b/>
                <w:sz w:val="22"/>
              </w:rPr>
              <w:t>Чисельність</w:t>
            </w:r>
            <w:proofErr w:type="spellEnd"/>
            <w:r w:rsidRPr="00B74A55">
              <w:rPr>
                <w:b/>
                <w:sz w:val="22"/>
              </w:rPr>
              <w:t xml:space="preserve"> </w:t>
            </w:r>
            <w:proofErr w:type="spellStart"/>
            <w:r w:rsidRPr="00B74A55">
              <w:rPr>
                <w:b/>
                <w:sz w:val="22"/>
              </w:rPr>
              <w:t>населення</w:t>
            </w:r>
            <w:proofErr w:type="spellEnd"/>
            <w:r w:rsidRPr="00B74A55">
              <w:rPr>
                <w:b/>
                <w:sz w:val="22"/>
              </w:rPr>
              <w:t xml:space="preserve">, на яке </w:t>
            </w:r>
            <w:proofErr w:type="spellStart"/>
            <w:r w:rsidRPr="00B74A55">
              <w:rPr>
                <w:b/>
                <w:sz w:val="22"/>
              </w:rPr>
              <w:t>матиме</w:t>
            </w:r>
            <w:proofErr w:type="spellEnd"/>
            <w:r w:rsidRPr="00B74A55">
              <w:rPr>
                <w:b/>
                <w:sz w:val="22"/>
              </w:rPr>
              <w:t xml:space="preserve"> </w:t>
            </w:r>
            <w:proofErr w:type="spellStart"/>
            <w:r w:rsidRPr="00B74A55">
              <w:rPr>
                <w:b/>
                <w:sz w:val="22"/>
              </w:rPr>
              <w:t>вплив</w:t>
            </w:r>
            <w:proofErr w:type="spellEnd"/>
            <w:r w:rsidRPr="00B74A55">
              <w:rPr>
                <w:b/>
                <w:sz w:val="22"/>
              </w:rPr>
              <w:t xml:space="preserve"> </w:t>
            </w:r>
            <w:proofErr w:type="spellStart"/>
            <w:r w:rsidRPr="00B74A55">
              <w:rPr>
                <w:b/>
                <w:sz w:val="22"/>
              </w:rPr>
              <w:t>реалізація</w:t>
            </w:r>
            <w:proofErr w:type="spellEnd"/>
            <w:r w:rsidRPr="00B74A55">
              <w:rPr>
                <w:b/>
                <w:sz w:val="22"/>
              </w:rPr>
              <w:t xml:space="preserve"> проекту</w:t>
            </w:r>
          </w:p>
        </w:tc>
        <w:tc>
          <w:tcPr>
            <w:tcW w:w="6910" w:type="dxa"/>
            <w:gridSpan w:val="7"/>
          </w:tcPr>
          <w:p w:rsidR="009F6B39" w:rsidRPr="00B74A55" w:rsidRDefault="009F6B39" w:rsidP="001038B7">
            <w:pPr>
              <w:pStyle w:val="a7"/>
              <w:ind w:left="0"/>
              <w:rPr>
                <w:sz w:val="22"/>
              </w:rPr>
            </w:pPr>
            <w:r w:rsidRPr="00B74A55">
              <w:rPr>
                <w:sz w:val="22"/>
              </w:rPr>
              <w:t xml:space="preserve"> 70 </w:t>
            </w:r>
            <w:proofErr w:type="gramStart"/>
            <w:r w:rsidRPr="00B74A55">
              <w:rPr>
                <w:sz w:val="22"/>
              </w:rPr>
              <w:t xml:space="preserve">000  </w:t>
            </w:r>
            <w:proofErr w:type="spellStart"/>
            <w:r w:rsidRPr="00B74A55">
              <w:rPr>
                <w:sz w:val="22"/>
              </w:rPr>
              <w:t>осіб</w:t>
            </w:r>
            <w:proofErr w:type="spellEnd"/>
            <w:proofErr w:type="gramEnd"/>
          </w:p>
        </w:tc>
      </w:tr>
      <w:tr w:rsidR="009F6B39" w:rsidRPr="00B74A55" w:rsidTr="009F6B39">
        <w:tc>
          <w:tcPr>
            <w:tcW w:w="2978" w:type="dxa"/>
            <w:shd w:val="clear" w:color="auto" w:fill="C6D9F1" w:themeFill="text2" w:themeFillTint="33"/>
          </w:tcPr>
          <w:p w:rsidR="009F6B39" w:rsidRPr="00B74A55" w:rsidRDefault="009F6B39" w:rsidP="001038B7">
            <w:pPr>
              <w:rPr>
                <w:b/>
                <w:sz w:val="22"/>
              </w:rPr>
            </w:pPr>
            <w:proofErr w:type="spellStart"/>
            <w:r w:rsidRPr="00B74A55">
              <w:rPr>
                <w:b/>
                <w:sz w:val="22"/>
              </w:rPr>
              <w:t>Опис</w:t>
            </w:r>
            <w:proofErr w:type="spellEnd"/>
            <w:r w:rsidRPr="00B74A55">
              <w:rPr>
                <w:b/>
                <w:sz w:val="22"/>
              </w:rPr>
              <w:t xml:space="preserve"> </w:t>
            </w:r>
            <w:proofErr w:type="spellStart"/>
            <w:r w:rsidRPr="00B74A55">
              <w:rPr>
                <w:b/>
                <w:sz w:val="22"/>
              </w:rPr>
              <w:t>проблеми</w:t>
            </w:r>
            <w:proofErr w:type="spellEnd"/>
            <w:r w:rsidRPr="00B74A55">
              <w:rPr>
                <w:b/>
                <w:sz w:val="22"/>
              </w:rPr>
              <w:t xml:space="preserve">, на </w:t>
            </w:r>
            <w:proofErr w:type="spellStart"/>
            <w:r w:rsidRPr="00B74A55">
              <w:rPr>
                <w:b/>
                <w:sz w:val="22"/>
              </w:rPr>
              <w:t>вирішення</w:t>
            </w:r>
            <w:proofErr w:type="spellEnd"/>
            <w:r w:rsidRPr="00B74A55">
              <w:rPr>
                <w:b/>
                <w:sz w:val="22"/>
              </w:rPr>
              <w:t xml:space="preserve"> </w:t>
            </w:r>
            <w:proofErr w:type="spellStart"/>
            <w:proofErr w:type="gramStart"/>
            <w:r w:rsidRPr="00B74A55">
              <w:rPr>
                <w:b/>
                <w:sz w:val="22"/>
              </w:rPr>
              <w:t>якої</w:t>
            </w:r>
            <w:proofErr w:type="spellEnd"/>
            <w:r w:rsidRPr="00B74A55">
              <w:rPr>
                <w:b/>
                <w:sz w:val="22"/>
              </w:rPr>
              <w:t xml:space="preserve">  </w:t>
            </w:r>
            <w:proofErr w:type="spellStart"/>
            <w:r w:rsidRPr="00B74A55">
              <w:rPr>
                <w:b/>
                <w:sz w:val="22"/>
              </w:rPr>
              <w:t>спрямований</w:t>
            </w:r>
            <w:proofErr w:type="spellEnd"/>
            <w:proofErr w:type="gramEnd"/>
            <w:r w:rsidRPr="00B74A55">
              <w:rPr>
                <w:b/>
                <w:sz w:val="22"/>
              </w:rPr>
              <w:t xml:space="preserve"> проект</w:t>
            </w:r>
          </w:p>
        </w:tc>
        <w:tc>
          <w:tcPr>
            <w:tcW w:w="6910" w:type="dxa"/>
            <w:gridSpan w:val="7"/>
          </w:tcPr>
          <w:p w:rsidR="009F6B39" w:rsidRPr="00B74A55" w:rsidRDefault="009F6B39" w:rsidP="001038B7">
            <w:pPr>
              <w:autoSpaceDE w:val="0"/>
              <w:autoSpaceDN w:val="0"/>
              <w:adjustRightInd w:val="0"/>
              <w:rPr>
                <w:sz w:val="22"/>
              </w:rPr>
            </w:pPr>
            <w:r w:rsidRPr="00B74A55">
              <w:rPr>
                <w:sz w:val="22"/>
              </w:rPr>
              <w:t xml:space="preserve">Через </w:t>
            </w:r>
            <w:proofErr w:type="spellStart"/>
            <w:r w:rsidRPr="00B74A55">
              <w:rPr>
                <w:sz w:val="22"/>
              </w:rPr>
              <w:t>військову</w:t>
            </w:r>
            <w:proofErr w:type="spellEnd"/>
            <w:r w:rsidRPr="00B74A55">
              <w:rPr>
                <w:sz w:val="22"/>
              </w:rPr>
              <w:t xml:space="preserve"> </w:t>
            </w:r>
            <w:proofErr w:type="spellStart"/>
            <w:r w:rsidRPr="00B74A55">
              <w:rPr>
                <w:sz w:val="22"/>
              </w:rPr>
              <w:t>агресію</w:t>
            </w:r>
            <w:proofErr w:type="spellEnd"/>
            <w:r w:rsidRPr="00B74A55">
              <w:rPr>
                <w:sz w:val="22"/>
              </w:rPr>
              <w:t xml:space="preserve"> РФ </w:t>
            </w:r>
            <w:proofErr w:type="spellStart"/>
            <w:r w:rsidRPr="00B74A55">
              <w:rPr>
                <w:sz w:val="22"/>
              </w:rPr>
              <w:t>територія</w:t>
            </w:r>
            <w:proofErr w:type="spellEnd"/>
            <w:r w:rsidRPr="00B74A55">
              <w:rPr>
                <w:sz w:val="22"/>
              </w:rPr>
              <w:t xml:space="preserve"> </w:t>
            </w:r>
            <w:proofErr w:type="spellStart"/>
            <w:r w:rsidRPr="00B74A55">
              <w:rPr>
                <w:sz w:val="22"/>
              </w:rPr>
              <w:t>Сєвєродонецької</w:t>
            </w:r>
            <w:proofErr w:type="spellEnd"/>
            <w:r w:rsidRPr="00B74A55">
              <w:rPr>
                <w:sz w:val="22"/>
              </w:rPr>
              <w:t xml:space="preserve"> </w:t>
            </w:r>
            <w:proofErr w:type="spellStart"/>
            <w:r w:rsidRPr="00B74A55">
              <w:rPr>
                <w:sz w:val="22"/>
              </w:rPr>
              <w:t>міської</w:t>
            </w:r>
            <w:proofErr w:type="spellEnd"/>
            <w:r w:rsidRPr="00B74A55">
              <w:rPr>
                <w:sz w:val="22"/>
              </w:rPr>
              <w:t xml:space="preserve"> </w:t>
            </w:r>
            <w:proofErr w:type="spellStart"/>
            <w:r w:rsidRPr="00B74A55">
              <w:rPr>
                <w:sz w:val="22"/>
              </w:rPr>
              <w:t>територіальної</w:t>
            </w:r>
            <w:proofErr w:type="spellEnd"/>
            <w:r w:rsidRPr="00B74A55">
              <w:rPr>
                <w:sz w:val="22"/>
              </w:rPr>
              <w:t xml:space="preserve"> </w:t>
            </w:r>
            <w:proofErr w:type="spellStart"/>
            <w:r w:rsidRPr="00B74A55">
              <w:rPr>
                <w:sz w:val="22"/>
              </w:rPr>
              <w:t>громади</w:t>
            </w:r>
            <w:proofErr w:type="spellEnd"/>
            <w:r w:rsidRPr="00B74A55">
              <w:rPr>
                <w:sz w:val="22"/>
              </w:rPr>
              <w:t xml:space="preserve"> </w:t>
            </w:r>
            <w:proofErr w:type="spellStart"/>
            <w:r w:rsidRPr="00B74A55">
              <w:rPr>
                <w:sz w:val="22"/>
              </w:rPr>
              <w:t>зазнала</w:t>
            </w:r>
            <w:proofErr w:type="spellEnd"/>
            <w:r w:rsidRPr="00B74A55">
              <w:rPr>
                <w:sz w:val="22"/>
              </w:rPr>
              <w:t xml:space="preserve"> </w:t>
            </w:r>
            <w:proofErr w:type="spellStart"/>
            <w:r w:rsidRPr="00B74A55">
              <w:rPr>
                <w:sz w:val="22"/>
              </w:rPr>
              <w:t>значних</w:t>
            </w:r>
            <w:proofErr w:type="spellEnd"/>
            <w:r w:rsidRPr="00B74A55">
              <w:rPr>
                <w:sz w:val="22"/>
              </w:rPr>
              <w:t xml:space="preserve"> </w:t>
            </w:r>
            <w:proofErr w:type="spellStart"/>
            <w:r w:rsidRPr="00B74A55">
              <w:rPr>
                <w:sz w:val="22"/>
              </w:rPr>
              <w:t>пошкоджень</w:t>
            </w:r>
            <w:proofErr w:type="spellEnd"/>
            <w:r w:rsidRPr="00B74A55">
              <w:rPr>
                <w:sz w:val="22"/>
              </w:rPr>
              <w:t xml:space="preserve">. Заклад </w:t>
            </w:r>
            <w:proofErr w:type="spellStart"/>
            <w:r w:rsidRPr="00B74A55">
              <w:rPr>
                <w:sz w:val="22"/>
              </w:rPr>
              <w:lastRenderedPageBreak/>
              <w:t>дошкільної</w:t>
            </w:r>
            <w:proofErr w:type="spellEnd"/>
            <w:r w:rsidRPr="00B74A55">
              <w:rPr>
                <w:sz w:val="22"/>
              </w:rPr>
              <w:t xml:space="preserve"> </w:t>
            </w:r>
            <w:proofErr w:type="spellStart"/>
            <w:r w:rsidRPr="00B74A55">
              <w:rPr>
                <w:sz w:val="22"/>
              </w:rPr>
              <w:t>освіти</w:t>
            </w:r>
            <w:proofErr w:type="spellEnd"/>
            <w:r w:rsidRPr="00B74A55">
              <w:rPr>
                <w:sz w:val="22"/>
              </w:rPr>
              <w:t xml:space="preserve"> «</w:t>
            </w:r>
            <w:proofErr w:type="spellStart"/>
            <w:r w:rsidRPr="00B74A55">
              <w:rPr>
                <w:sz w:val="22"/>
              </w:rPr>
              <w:t>Ясел</w:t>
            </w:r>
            <w:proofErr w:type="spellEnd"/>
            <w:r w:rsidRPr="00B74A55">
              <w:rPr>
                <w:sz w:val="22"/>
              </w:rPr>
              <w:t xml:space="preserve">-садка №43 </w:t>
            </w:r>
            <w:proofErr w:type="spellStart"/>
            <w:r w:rsidRPr="00B74A55">
              <w:rPr>
                <w:sz w:val="22"/>
              </w:rPr>
              <w:t>міста</w:t>
            </w:r>
            <w:proofErr w:type="spellEnd"/>
            <w:r w:rsidRPr="00B74A55">
              <w:rPr>
                <w:sz w:val="22"/>
              </w:rPr>
              <w:t xml:space="preserve"> </w:t>
            </w:r>
            <w:proofErr w:type="spellStart"/>
            <w:r w:rsidRPr="00B74A55">
              <w:rPr>
                <w:sz w:val="22"/>
              </w:rPr>
              <w:t>Сєвєродонецька</w:t>
            </w:r>
            <w:proofErr w:type="spellEnd"/>
            <w:r w:rsidRPr="00B74A55">
              <w:rPr>
                <w:sz w:val="22"/>
              </w:rPr>
              <w:t xml:space="preserve"> </w:t>
            </w:r>
            <w:proofErr w:type="spellStart"/>
            <w:r w:rsidRPr="00B74A55">
              <w:rPr>
                <w:sz w:val="22"/>
              </w:rPr>
              <w:t>Луганської</w:t>
            </w:r>
            <w:proofErr w:type="spellEnd"/>
            <w:r w:rsidRPr="00B74A55">
              <w:rPr>
                <w:sz w:val="22"/>
              </w:rPr>
              <w:t xml:space="preserve"> </w:t>
            </w:r>
            <w:proofErr w:type="spellStart"/>
            <w:r w:rsidRPr="00B74A55">
              <w:rPr>
                <w:sz w:val="22"/>
              </w:rPr>
              <w:t>області</w:t>
            </w:r>
            <w:proofErr w:type="spellEnd"/>
            <w:r w:rsidRPr="00B74A55">
              <w:rPr>
                <w:sz w:val="22"/>
              </w:rPr>
              <w:t xml:space="preserve">» </w:t>
            </w:r>
            <w:proofErr w:type="spellStart"/>
            <w:r w:rsidRPr="00B74A55">
              <w:rPr>
                <w:sz w:val="22"/>
              </w:rPr>
              <w:t>зазнав</w:t>
            </w:r>
            <w:proofErr w:type="spellEnd"/>
            <w:r w:rsidRPr="00B74A55">
              <w:rPr>
                <w:sz w:val="22"/>
              </w:rPr>
              <w:t xml:space="preserve"> </w:t>
            </w:r>
            <w:proofErr w:type="spellStart"/>
            <w:r w:rsidRPr="00B74A55">
              <w:rPr>
                <w:sz w:val="22"/>
              </w:rPr>
              <w:t>значних</w:t>
            </w:r>
            <w:proofErr w:type="spellEnd"/>
            <w:r w:rsidRPr="00B74A55">
              <w:rPr>
                <w:sz w:val="22"/>
              </w:rPr>
              <w:t xml:space="preserve"> </w:t>
            </w:r>
            <w:proofErr w:type="spellStart"/>
            <w:r w:rsidRPr="00B74A55">
              <w:rPr>
                <w:sz w:val="22"/>
              </w:rPr>
              <w:t>пошкоджень</w:t>
            </w:r>
            <w:proofErr w:type="spellEnd"/>
            <w:r w:rsidRPr="00B74A55">
              <w:rPr>
                <w:sz w:val="22"/>
              </w:rPr>
              <w:t xml:space="preserve"> та </w:t>
            </w:r>
            <w:proofErr w:type="spellStart"/>
            <w:r w:rsidRPr="00B74A55">
              <w:rPr>
                <w:sz w:val="22"/>
              </w:rPr>
              <w:t>руйнувань</w:t>
            </w:r>
            <w:proofErr w:type="spellEnd"/>
            <w:r w:rsidRPr="00B74A55">
              <w:rPr>
                <w:sz w:val="22"/>
              </w:rPr>
              <w:t>.</w:t>
            </w:r>
          </w:p>
          <w:p w:rsidR="009F6B39" w:rsidRPr="00B74A55" w:rsidRDefault="009F6B39" w:rsidP="001038B7">
            <w:pPr>
              <w:ind w:firstLine="708"/>
              <w:rPr>
                <w:sz w:val="22"/>
              </w:rPr>
            </w:pPr>
            <w:proofErr w:type="spellStart"/>
            <w:r w:rsidRPr="00B74A55">
              <w:rPr>
                <w:sz w:val="22"/>
              </w:rPr>
              <w:t>Окрім</w:t>
            </w:r>
            <w:proofErr w:type="spellEnd"/>
            <w:r w:rsidRPr="00B74A55">
              <w:rPr>
                <w:sz w:val="22"/>
              </w:rPr>
              <w:t xml:space="preserve"> </w:t>
            </w:r>
            <w:proofErr w:type="spellStart"/>
            <w:proofErr w:type="gramStart"/>
            <w:r w:rsidRPr="00B74A55">
              <w:rPr>
                <w:sz w:val="22"/>
              </w:rPr>
              <w:t>основної</w:t>
            </w:r>
            <w:proofErr w:type="spellEnd"/>
            <w:r w:rsidRPr="00B74A55">
              <w:rPr>
                <w:sz w:val="22"/>
              </w:rPr>
              <w:t xml:space="preserve">  </w:t>
            </w:r>
            <w:proofErr w:type="spellStart"/>
            <w:r w:rsidRPr="00B74A55">
              <w:rPr>
                <w:sz w:val="22"/>
              </w:rPr>
              <w:t>будівлі</w:t>
            </w:r>
            <w:proofErr w:type="spellEnd"/>
            <w:proofErr w:type="gramEnd"/>
            <w:r w:rsidRPr="00B74A55">
              <w:rPr>
                <w:sz w:val="22"/>
              </w:rPr>
              <w:t xml:space="preserve"> </w:t>
            </w:r>
            <w:proofErr w:type="spellStart"/>
            <w:r w:rsidRPr="00B74A55">
              <w:rPr>
                <w:sz w:val="22"/>
              </w:rPr>
              <w:t>було</w:t>
            </w:r>
            <w:proofErr w:type="spellEnd"/>
            <w:r w:rsidRPr="00B74A55">
              <w:rPr>
                <w:sz w:val="22"/>
              </w:rPr>
              <w:t xml:space="preserve"> </w:t>
            </w:r>
            <w:proofErr w:type="spellStart"/>
            <w:r w:rsidRPr="00B74A55">
              <w:rPr>
                <w:sz w:val="22"/>
              </w:rPr>
              <w:t>також</w:t>
            </w:r>
            <w:proofErr w:type="spellEnd"/>
            <w:r w:rsidRPr="00B74A55">
              <w:rPr>
                <w:sz w:val="22"/>
              </w:rPr>
              <w:t xml:space="preserve">  </w:t>
            </w:r>
            <w:proofErr w:type="spellStart"/>
            <w:r w:rsidRPr="00B74A55">
              <w:rPr>
                <w:sz w:val="22"/>
              </w:rPr>
              <w:t>пошкоджено</w:t>
            </w:r>
            <w:proofErr w:type="spellEnd"/>
            <w:r w:rsidRPr="00B74A55">
              <w:rPr>
                <w:sz w:val="22"/>
              </w:rPr>
              <w:t xml:space="preserve"> та/</w:t>
            </w:r>
            <w:proofErr w:type="spellStart"/>
            <w:r w:rsidRPr="00B74A55">
              <w:rPr>
                <w:sz w:val="22"/>
              </w:rPr>
              <w:t>або</w:t>
            </w:r>
            <w:proofErr w:type="spellEnd"/>
            <w:r w:rsidRPr="00B74A55">
              <w:rPr>
                <w:sz w:val="22"/>
              </w:rPr>
              <w:t xml:space="preserve"> </w:t>
            </w:r>
            <w:proofErr w:type="spellStart"/>
            <w:r w:rsidRPr="00B74A55">
              <w:rPr>
                <w:sz w:val="22"/>
              </w:rPr>
              <w:t>викрадено</w:t>
            </w:r>
            <w:proofErr w:type="spellEnd"/>
            <w:r w:rsidRPr="00B74A55">
              <w:rPr>
                <w:sz w:val="22"/>
              </w:rPr>
              <w:t xml:space="preserve">  </w:t>
            </w:r>
            <w:proofErr w:type="spellStart"/>
            <w:r w:rsidRPr="00B74A55">
              <w:rPr>
                <w:sz w:val="22"/>
              </w:rPr>
              <w:t>майно</w:t>
            </w:r>
            <w:proofErr w:type="spellEnd"/>
            <w:r w:rsidRPr="00B74A55">
              <w:rPr>
                <w:sz w:val="22"/>
              </w:rPr>
              <w:t xml:space="preserve">, </w:t>
            </w:r>
            <w:proofErr w:type="spellStart"/>
            <w:r w:rsidRPr="00B74A55">
              <w:rPr>
                <w:sz w:val="22"/>
              </w:rPr>
              <w:t>що</w:t>
            </w:r>
            <w:proofErr w:type="spellEnd"/>
            <w:r w:rsidRPr="00B74A55">
              <w:rPr>
                <w:sz w:val="22"/>
              </w:rPr>
              <w:t xml:space="preserve"> </w:t>
            </w:r>
            <w:proofErr w:type="spellStart"/>
            <w:r w:rsidRPr="00B74A55">
              <w:rPr>
                <w:sz w:val="22"/>
              </w:rPr>
              <w:t>обмежує</w:t>
            </w:r>
            <w:proofErr w:type="spellEnd"/>
            <w:r w:rsidRPr="00B74A55">
              <w:rPr>
                <w:sz w:val="22"/>
              </w:rPr>
              <w:t xml:space="preserve"> </w:t>
            </w:r>
            <w:proofErr w:type="spellStart"/>
            <w:r w:rsidRPr="00B74A55">
              <w:rPr>
                <w:sz w:val="22"/>
              </w:rPr>
              <w:t>повернення</w:t>
            </w:r>
            <w:proofErr w:type="spellEnd"/>
            <w:r w:rsidRPr="00B74A55">
              <w:rPr>
                <w:sz w:val="22"/>
              </w:rPr>
              <w:t xml:space="preserve"> до очного </w:t>
            </w:r>
            <w:proofErr w:type="spellStart"/>
            <w:r w:rsidRPr="00B74A55">
              <w:rPr>
                <w:sz w:val="22"/>
              </w:rPr>
              <w:t>розвитку</w:t>
            </w:r>
            <w:proofErr w:type="spellEnd"/>
            <w:r w:rsidRPr="00B74A55">
              <w:rPr>
                <w:sz w:val="22"/>
              </w:rPr>
              <w:t xml:space="preserve"> та </w:t>
            </w:r>
            <w:proofErr w:type="spellStart"/>
            <w:r w:rsidRPr="00B74A55">
              <w:rPr>
                <w:sz w:val="22"/>
              </w:rPr>
              <w:t>виховання</w:t>
            </w:r>
            <w:proofErr w:type="spellEnd"/>
            <w:r w:rsidRPr="00B74A55">
              <w:rPr>
                <w:sz w:val="22"/>
              </w:rPr>
              <w:t xml:space="preserve"> </w:t>
            </w:r>
            <w:proofErr w:type="spellStart"/>
            <w:r w:rsidRPr="00B74A55">
              <w:rPr>
                <w:sz w:val="22"/>
              </w:rPr>
              <w:t>вихованців</w:t>
            </w:r>
            <w:proofErr w:type="spellEnd"/>
            <w:r w:rsidRPr="00B74A55">
              <w:rPr>
                <w:sz w:val="22"/>
              </w:rPr>
              <w:t xml:space="preserve">, </w:t>
            </w:r>
            <w:proofErr w:type="spellStart"/>
            <w:r w:rsidRPr="00B74A55">
              <w:rPr>
                <w:sz w:val="22"/>
              </w:rPr>
              <w:t>навіть</w:t>
            </w:r>
            <w:proofErr w:type="spellEnd"/>
            <w:r w:rsidRPr="00B74A55">
              <w:rPr>
                <w:sz w:val="22"/>
              </w:rPr>
              <w:t xml:space="preserve"> коли </w:t>
            </w:r>
            <w:proofErr w:type="spellStart"/>
            <w:r w:rsidRPr="00B74A55">
              <w:rPr>
                <w:sz w:val="22"/>
              </w:rPr>
              <w:t>безпекова</w:t>
            </w:r>
            <w:proofErr w:type="spellEnd"/>
            <w:r w:rsidRPr="00B74A55">
              <w:rPr>
                <w:sz w:val="22"/>
              </w:rPr>
              <w:t xml:space="preserve"> </w:t>
            </w:r>
            <w:proofErr w:type="spellStart"/>
            <w:r w:rsidRPr="00B74A55">
              <w:rPr>
                <w:sz w:val="22"/>
              </w:rPr>
              <w:t>ситуація</w:t>
            </w:r>
            <w:proofErr w:type="spellEnd"/>
            <w:r w:rsidRPr="00B74A55">
              <w:rPr>
                <w:sz w:val="22"/>
              </w:rPr>
              <w:t xml:space="preserve"> </w:t>
            </w:r>
            <w:proofErr w:type="spellStart"/>
            <w:r w:rsidRPr="00B74A55">
              <w:rPr>
                <w:sz w:val="22"/>
              </w:rPr>
              <w:t>це</w:t>
            </w:r>
            <w:proofErr w:type="spellEnd"/>
            <w:r w:rsidRPr="00B74A55">
              <w:rPr>
                <w:sz w:val="22"/>
              </w:rPr>
              <w:t xml:space="preserve"> дозволить.</w:t>
            </w:r>
          </w:p>
          <w:p w:rsidR="009F6B39" w:rsidRPr="00B74A55" w:rsidRDefault="009F6B39" w:rsidP="001038B7">
            <w:pPr>
              <w:ind w:firstLine="708"/>
              <w:rPr>
                <w:sz w:val="22"/>
              </w:rPr>
            </w:pPr>
            <w:proofErr w:type="spellStart"/>
            <w:r w:rsidRPr="00B74A55">
              <w:rPr>
                <w:sz w:val="22"/>
              </w:rPr>
              <w:t>Наразі</w:t>
            </w:r>
            <w:proofErr w:type="spellEnd"/>
            <w:r w:rsidRPr="00B74A55">
              <w:rPr>
                <w:sz w:val="22"/>
              </w:rPr>
              <w:t xml:space="preserve"> вся </w:t>
            </w:r>
            <w:proofErr w:type="spellStart"/>
            <w:r w:rsidRPr="00B74A55">
              <w:rPr>
                <w:sz w:val="22"/>
              </w:rPr>
              <w:t>матеріально-технічна</w:t>
            </w:r>
            <w:proofErr w:type="spellEnd"/>
            <w:r w:rsidRPr="00B74A55">
              <w:rPr>
                <w:sz w:val="22"/>
              </w:rPr>
              <w:t xml:space="preserve"> база закладу, </w:t>
            </w:r>
            <w:proofErr w:type="spellStart"/>
            <w:r w:rsidRPr="00B74A55">
              <w:rPr>
                <w:sz w:val="22"/>
              </w:rPr>
              <w:t>зокрема</w:t>
            </w:r>
            <w:proofErr w:type="spellEnd"/>
            <w:r w:rsidRPr="00B74A55">
              <w:rPr>
                <w:sz w:val="22"/>
              </w:rPr>
              <w:t>:</w:t>
            </w:r>
          </w:p>
          <w:p w:rsidR="009F6B39" w:rsidRPr="00B74A55" w:rsidRDefault="009F6B39" w:rsidP="000303D7">
            <w:pPr>
              <w:numPr>
                <w:ilvl w:val="0"/>
                <w:numId w:val="9"/>
              </w:numPr>
              <w:tabs>
                <w:tab w:val="clear" w:pos="1068"/>
                <w:tab w:val="num" w:pos="398"/>
              </w:tabs>
              <w:ind w:hanging="387"/>
              <w:rPr>
                <w:sz w:val="22"/>
              </w:rPr>
            </w:pPr>
            <w:proofErr w:type="spellStart"/>
            <w:r w:rsidRPr="00B74A55">
              <w:rPr>
                <w:sz w:val="22"/>
              </w:rPr>
              <w:t>обладнання</w:t>
            </w:r>
            <w:proofErr w:type="spellEnd"/>
            <w:r w:rsidRPr="00B74A55">
              <w:rPr>
                <w:sz w:val="22"/>
              </w:rPr>
              <w:t xml:space="preserve"> (</w:t>
            </w:r>
            <w:proofErr w:type="spellStart"/>
            <w:r w:rsidRPr="00B74A55">
              <w:rPr>
                <w:sz w:val="22"/>
              </w:rPr>
              <w:t>устаткування</w:t>
            </w:r>
            <w:proofErr w:type="spellEnd"/>
            <w:r w:rsidRPr="00B74A55">
              <w:rPr>
                <w:sz w:val="22"/>
              </w:rPr>
              <w:t xml:space="preserve">), </w:t>
            </w:r>
            <w:proofErr w:type="spellStart"/>
            <w:r w:rsidRPr="00B74A55">
              <w:rPr>
                <w:sz w:val="22"/>
              </w:rPr>
              <w:t>технологічне</w:t>
            </w:r>
            <w:proofErr w:type="spellEnd"/>
            <w:r w:rsidRPr="00B74A55">
              <w:rPr>
                <w:sz w:val="22"/>
              </w:rPr>
              <w:t xml:space="preserve"> </w:t>
            </w:r>
            <w:proofErr w:type="spellStart"/>
            <w:r w:rsidRPr="00B74A55">
              <w:rPr>
                <w:sz w:val="22"/>
              </w:rPr>
              <w:t>холодильне</w:t>
            </w:r>
            <w:proofErr w:type="spellEnd"/>
            <w:r w:rsidRPr="00B74A55">
              <w:rPr>
                <w:sz w:val="22"/>
              </w:rPr>
              <w:t xml:space="preserve">, </w:t>
            </w:r>
            <w:proofErr w:type="spellStart"/>
            <w:r w:rsidRPr="00B74A55">
              <w:rPr>
                <w:sz w:val="22"/>
              </w:rPr>
              <w:t>пральне</w:t>
            </w:r>
            <w:proofErr w:type="spellEnd"/>
            <w:r w:rsidRPr="00B74A55">
              <w:rPr>
                <w:sz w:val="22"/>
              </w:rPr>
              <w:t>;</w:t>
            </w:r>
          </w:p>
          <w:p w:rsidR="009F6B39" w:rsidRPr="00B74A55" w:rsidRDefault="009F6B39" w:rsidP="000303D7">
            <w:pPr>
              <w:numPr>
                <w:ilvl w:val="0"/>
                <w:numId w:val="9"/>
              </w:numPr>
              <w:rPr>
                <w:sz w:val="22"/>
              </w:rPr>
            </w:pPr>
            <w:proofErr w:type="spellStart"/>
            <w:r w:rsidRPr="00B74A55">
              <w:rPr>
                <w:sz w:val="22"/>
              </w:rPr>
              <w:t>комп’ютерна</w:t>
            </w:r>
            <w:proofErr w:type="spellEnd"/>
            <w:r w:rsidRPr="00B74A55">
              <w:rPr>
                <w:sz w:val="22"/>
              </w:rPr>
              <w:t xml:space="preserve"> </w:t>
            </w:r>
            <w:proofErr w:type="spellStart"/>
            <w:r w:rsidRPr="00B74A55">
              <w:rPr>
                <w:sz w:val="22"/>
              </w:rPr>
              <w:t>техніка</w:t>
            </w:r>
            <w:proofErr w:type="spellEnd"/>
            <w:r w:rsidRPr="00B74A55">
              <w:rPr>
                <w:sz w:val="22"/>
              </w:rPr>
              <w:t xml:space="preserve"> </w:t>
            </w:r>
            <w:proofErr w:type="spellStart"/>
            <w:r w:rsidRPr="00B74A55">
              <w:rPr>
                <w:sz w:val="22"/>
              </w:rPr>
              <w:t>із</w:t>
            </w:r>
            <w:proofErr w:type="spellEnd"/>
            <w:r w:rsidRPr="00B74A55">
              <w:rPr>
                <w:sz w:val="22"/>
              </w:rPr>
              <w:t xml:space="preserve"> </w:t>
            </w:r>
            <w:proofErr w:type="spellStart"/>
            <w:r w:rsidRPr="00B74A55">
              <w:rPr>
                <w:sz w:val="22"/>
              </w:rPr>
              <w:t>відповідним</w:t>
            </w:r>
            <w:proofErr w:type="spellEnd"/>
            <w:r w:rsidRPr="00B74A55">
              <w:rPr>
                <w:sz w:val="22"/>
              </w:rPr>
              <w:t xml:space="preserve"> </w:t>
            </w:r>
            <w:proofErr w:type="spellStart"/>
            <w:r w:rsidRPr="00B74A55">
              <w:rPr>
                <w:sz w:val="22"/>
              </w:rPr>
              <w:t>програмним</w:t>
            </w:r>
            <w:proofErr w:type="spellEnd"/>
            <w:r w:rsidRPr="00B74A55">
              <w:rPr>
                <w:sz w:val="22"/>
              </w:rPr>
              <w:t xml:space="preserve"> </w:t>
            </w:r>
            <w:proofErr w:type="spellStart"/>
            <w:r w:rsidRPr="00B74A55">
              <w:rPr>
                <w:sz w:val="22"/>
              </w:rPr>
              <w:t>забезпеченням</w:t>
            </w:r>
            <w:proofErr w:type="spellEnd"/>
            <w:r w:rsidRPr="00B74A55">
              <w:rPr>
                <w:sz w:val="22"/>
              </w:rPr>
              <w:t>;</w:t>
            </w:r>
          </w:p>
          <w:p w:rsidR="009F6B39" w:rsidRPr="00B74A55" w:rsidRDefault="009F6B39" w:rsidP="000303D7">
            <w:pPr>
              <w:numPr>
                <w:ilvl w:val="0"/>
                <w:numId w:val="9"/>
              </w:numPr>
              <w:rPr>
                <w:sz w:val="22"/>
              </w:rPr>
            </w:pPr>
            <w:proofErr w:type="spellStart"/>
            <w:r w:rsidRPr="00B74A55">
              <w:rPr>
                <w:sz w:val="22"/>
              </w:rPr>
              <w:t>інша</w:t>
            </w:r>
            <w:proofErr w:type="spellEnd"/>
            <w:r w:rsidRPr="00B74A55">
              <w:rPr>
                <w:sz w:val="22"/>
              </w:rPr>
              <w:t xml:space="preserve"> </w:t>
            </w:r>
            <w:proofErr w:type="spellStart"/>
            <w:r w:rsidRPr="00B74A55">
              <w:rPr>
                <w:sz w:val="22"/>
              </w:rPr>
              <w:t>оргтехніка</w:t>
            </w:r>
            <w:proofErr w:type="spellEnd"/>
            <w:r w:rsidRPr="00B74A55">
              <w:rPr>
                <w:sz w:val="22"/>
              </w:rPr>
              <w:t xml:space="preserve"> (</w:t>
            </w:r>
            <w:proofErr w:type="spellStart"/>
            <w:r w:rsidRPr="00B74A55">
              <w:rPr>
                <w:sz w:val="22"/>
              </w:rPr>
              <w:t>мультимедійні</w:t>
            </w:r>
            <w:proofErr w:type="spellEnd"/>
            <w:r w:rsidRPr="00B74A55">
              <w:rPr>
                <w:sz w:val="22"/>
              </w:rPr>
              <w:t xml:space="preserve"> </w:t>
            </w:r>
            <w:proofErr w:type="spellStart"/>
            <w:r w:rsidRPr="00B74A55">
              <w:rPr>
                <w:sz w:val="22"/>
              </w:rPr>
              <w:t>засоби</w:t>
            </w:r>
            <w:proofErr w:type="spellEnd"/>
            <w:r w:rsidRPr="00B74A55">
              <w:rPr>
                <w:sz w:val="22"/>
              </w:rPr>
              <w:t xml:space="preserve">, </w:t>
            </w:r>
            <w:proofErr w:type="spellStart"/>
            <w:r w:rsidRPr="00B74A55">
              <w:rPr>
                <w:sz w:val="22"/>
              </w:rPr>
              <w:t>монітори</w:t>
            </w:r>
            <w:proofErr w:type="spellEnd"/>
            <w:r w:rsidRPr="00B74A55">
              <w:rPr>
                <w:sz w:val="22"/>
              </w:rPr>
              <w:t xml:space="preserve">, </w:t>
            </w:r>
            <w:proofErr w:type="spellStart"/>
            <w:r w:rsidRPr="00B74A55">
              <w:rPr>
                <w:sz w:val="22"/>
              </w:rPr>
              <w:t>принтери</w:t>
            </w:r>
            <w:proofErr w:type="spellEnd"/>
            <w:r w:rsidRPr="00B74A55">
              <w:rPr>
                <w:sz w:val="22"/>
              </w:rPr>
              <w:t xml:space="preserve">, </w:t>
            </w:r>
            <w:proofErr w:type="spellStart"/>
            <w:r w:rsidRPr="00B74A55">
              <w:rPr>
                <w:sz w:val="22"/>
              </w:rPr>
              <w:t>сканери</w:t>
            </w:r>
            <w:proofErr w:type="spellEnd"/>
            <w:r w:rsidRPr="00B74A55">
              <w:rPr>
                <w:sz w:val="22"/>
              </w:rPr>
              <w:t xml:space="preserve"> </w:t>
            </w:r>
            <w:proofErr w:type="spellStart"/>
            <w:r w:rsidRPr="00B74A55">
              <w:rPr>
                <w:sz w:val="22"/>
              </w:rPr>
              <w:t>тощо</w:t>
            </w:r>
            <w:proofErr w:type="spellEnd"/>
            <w:r w:rsidRPr="00B74A55">
              <w:rPr>
                <w:sz w:val="22"/>
              </w:rPr>
              <w:t>);</w:t>
            </w:r>
          </w:p>
          <w:p w:rsidR="009F6B39" w:rsidRPr="00B74A55" w:rsidRDefault="009F6B39" w:rsidP="000303D7">
            <w:pPr>
              <w:pStyle w:val="13"/>
              <w:numPr>
                <w:ilvl w:val="0"/>
                <w:numId w:val="9"/>
              </w:numPr>
              <w:jc w:val="both"/>
              <w:rPr>
                <w:sz w:val="22"/>
                <w:lang w:val="uk-UA"/>
              </w:rPr>
            </w:pPr>
            <w:r w:rsidRPr="00B74A55">
              <w:rPr>
                <w:sz w:val="22"/>
                <w:lang w:val="uk-UA"/>
              </w:rPr>
              <w:t>основні засоби (офісні меблі, меблі для дітей, сейф, іграшки тощо) були знищені або викрадені.</w:t>
            </w:r>
          </w:p>
          <w:p w:rsidR="009F6B39" w:rsidRPr="00B74A55" w:rsidRDefault="009F6B39" w:rsidP="001038B7">
            <w:pPr>
              <w:ind w:firstLine="708"/>
              <w:rPr>
                <w:rFonts w:eastAsia="Arial"/>
                <w:sz w:val="22"/>
                <w:lang w:val="uk-UA"/>
              </w:rPr>
            </w:pPr>
            <w:r w:rsidRPr="00B74A55">
              <w:rPr>
                <w:rFonts w:eastAsia="Arial"/>
                <w:sz w:val="22"/>
                <w:lang w:val="uk-UA"/>
              </w:rPr>
              <w:t>Нагальною потребою є відновлення роботи закладу дошкільної освіти з причин руйнувань і втрат в закладі через  воєнні дії, під час яких дитсадок був безпосередньою ціллю атаки та зазнав супутньої шкоди, а також мародерство.</w:t>
            </w:r>
          </w:p>
          <w:p w:rsidR="009F6B39" w:rsidRPr="00B74A55" w:rsidRDefault="009F6B39" w:rsidP="001038B7">
            <w:pPr>
              <w:ind w:firstLine="708"/>
              <w:rPr>
                <w:rFonts w:eastAsia="Arial"/>
                <w:sz w:val="22"/>
                <w:lang w:val="uk-UA"/>
              </w:rPr>
            </w:pPr>
            <w:r w:rsidRPr="00B74A55">
              <w:rPr>
                <w:rFonts w:eastAsia="Arial"/>
                <w:sz w:val="22"/>
                <w:lang w:val="uk-UA"/>
              </w:rPr>
              <w:t xml:space="preserve"> Руйнування відбувалися внаслідок прямого влучання снарядів або бомб, осколків та уламків снарядів і пожеж. </w:t>
            </w:r>
          </w:p>
          <w:p w:rsidR="009F6B39" w:rsidRPr="00B74A55" w:rsidRDefault="009F6B39" w:rsidP="001038B7">
            <w:pPr>
              <w:ind w:firstLine="708"/>
              <w:rPr>
                <w:rFonts w:eastAsia="Arial"/>
                <w:sz w:val="22"/>
              </w:rPr>
            </w:pPr>
            <w:proofErr w:type="spellStart"/>
            <w:r w:rsidRPr="00B74A55">
              <w:rPr>
                <w:rFonts w:eastAsia="Arial"/>
                <w:sz w:val="22"/>
              </w:rPr>
              <w:t>Будівля</w:t>
            </w:r>
            <w:proofErr w:type="spellEnd"/>
            <w:r w:rsidRPr="00B74A55">
              <w:rPr>
                <w:rFonts w:eastAsia="Arial"/>
                <w:sz w:val="22"/>
              </w:rPr>
              <w:t xml:space="preserve"> </w:t>
            </w:r>
            <w:proofErr w:type="spellStart"/>
            <w:r w:rsidRPr="00B74A55">
              <w:rPr>
                <w:rFonts w:eastAsia="Arial"/>
                <w:sz w:val="22"/>
              </w:rPr>
              <w:t>Ясел</w:t>
            </w:r>
            <w:proofErr w:type="spellEnd"/>
            <w:r w:rsidRPr="00B74A55">
              <w:rPr>
                <w:rFonts w:eastAsia="Arial"/>
                <w:sz w:val="22"/>
              </w:rPr>
              <w:t xml:space="preserve">-садка №43 </w:t>
            </w:r>
            <w:proofErr w:type="spellStart"/>
            <w:r w:rsidRPr="00B74A55">
              <w:rPr>
                <w:rFonts w:eastAsia="Arial"/>
                <w:sz w:val="22"/>
              </w:rPr>
              <w:t>зруйнована</w:t>
            </w:r>
            <w:proofErr w:type="spellEnd"/>
            <w:r w:rsidRPr="00B74A55">
              <w:rPr>
                <w:rFonts w:eastAsia="Arial"/>
                <w:sz w:val="22"/>
              </w:rPr>
              <w:t xml:space="preserve"> та </w:t>
            </w:r>
            <w:proofErr w:type="spellStart"/>
            <w:r w:rsidRPr="00B74A55">
              <w:rPr>
                <w:rFonts w:eastAsia="Arial"/>
                <w:sz w:val="22"/>
              </w:rPr>
              <w:t>потребує</w:t>
            </w:r>
            <w:proofErr w:type="spellEnd"/>
            <w:r w:rsidRPr="00B74A55">
              <w:rPr>
                <w:rFonts w:eastAsia="Arial"/>
                <w:sz w:val="22"/>
              </w:rPr>
              <w:t xml:space="preserve"> </w:t>
            </w:r>
            <w:proofErr w:type="spellStart"/>
            <w:r w:rsidRPr="00B74A55">
              <w:rPr>
                <w:rFonts w:eastAsia="Arial"/>
                <w:sz w:val="22"/>
              </w:rPr>
              <w:t>капітального</w:t>
            </w:r>
            <w:proofErr w:type="spellEnd"/>
            <w:r w:rsidRPr="00B74A55">
              <w:rPr>
                <w:rFonts w:eastAsia="Arial"/>
                <w:sz w:val="22"/>
              </w:rPr>
              <w:t xml:space="preserve"> ремонту, </w:t>
            </w:r>
            <w:proofErr w:type="spellStart"/>
            <w:r w:rsidRPr="00B74A55">
              <w:rPr>
                <w:rFonts w:eastAsia="Arial"/>
                <w:sz w:val="22"/>
              </w:rPr>
              <w:t>зокрема</w:t>
            </w:r>
            <w:proofErr w:type="spellEnd"/>
            <w:r w:rsidRPr="00B74A55">
              <w:rPr>
                <w:rFonts w:eastAsia="Arial"/>
                <w:sz w:val="22"/>
              </w:rPr>
              <w:t>:</w:t>
            </w:r>
          </w:p>
          <w:p w:rsidR="009F6B39" w:rsidRPr="00B74A55" w:rsidRDefault="009F6B39" w:rsidP="001038B7">
            <w:pPr>
              <w:ind w:firstLine="708"/>
              <w:rPr>
                <w:rFonts w:eastAsia="Arial"/>
                <w:sz w:val="22"/>
              </w:rPr>
            </w:pPr>
            <w:r w:rsidRPr="00B74A55">
              <w:rPr>
                <w:rFonts w:eastAsia="Arial"/>
                <w:sz w:val="22"/>
              </w:rPr>
              <w:t xml:space="preserve">- </w:t>
            </w:r>
            <w:proofErr w:type="spellStart"/>
            <w:r w:rsidRPr="00B74A55">
              <w:rPr>
                <w:rFonts w:eastAsia="Arial"/>
                <w:sz w:val="22"/>
              </w:rPr>
              <w:t>обстеження</w:t>
            </w:r>
            <w:proofErr w:type="spellEnd"/>
            <w:r w:rsidRPr="00B74A55">
              <w:rPr>
                <w:rFonts w:eastAsia="Arial"/>
                <w:sz w:val="22"/>
              </w:rPr>
              <w:t xml:space="preserve"> стану </w:t>
            </w:r>
            <w:proofErr w:type="spellStart"/>
            <w:r w:rsidRPr="00B74A55">
              <w:rPr>
                <w:rFonts w:eastAsia="Arial"/>
                <w:sz w:val="22"/>
              </w:rPr>
              <w:t>будівлі</w:t>
            </w:r>
            <w:proofErr w:type="spellEnd"/>
            <w:r w:rsidRPr="00B74A55">
              <w:rPr>
                <w:rFonts w:eastAsia="Arial"/>
                <w:sz w:val="22"/>
              </w:rPr>
              <w:t>;</w:t>
            </w:r>
          </w:p>
          <w:p w:rsidR="009F6B39" w:rsidRPr="00B74A55" w:rsidRDefault="009F6B39" w:rsidP="001038B7">
            <w:pPr>
              <w:ind w:firstLine="681"/>
              <w:rPr>
                <w:rFonts w:eastAsia="Arial"/>
                <w:sz w:val="22"/>
              </w:rPr>
            </w:pPr>
            <w:r w:rsidRPr="00B74A55">
              <w:rPr>
                <w:rFonts w:eastAsia="Arial"/>
                <w:sz w:val="22"/>
              </w:rPr>
              <w:t xml:space="preserve"> - </w:t>
            </w:r>
            <w:proofErr w:type="spellStart"/>
            <w:r w:rsidRPr="00B74A55">
              <w:rPr>
                <w:rFonts w:eastAsia="Arial"/>
                <w:sz w:val="22"/>
              </w:rPr>
              <w:t>проведення</w:t>
            </w:r>
            <w:proofErr w:type="spellEnd"/>
            <w:r w:rsidRPr="00B74A55">
              <w:rPr>
                <w:rFonts w:eastAsia="Arial"/>
                <w:sz w:val="22"/>
              </w:rPr>
              <w:t xml:space="preserve"> </w:t>
            </w:r>
            <w:proofErr w:type="spellStart"/>
            <w:r w:rsidRPr="00B74A55">
              <w:rPr>
                <w:rFonts w:eastAsia="Arial"/>
                <w:sz w:val="22"/>
              </w:rPr>
              <w:t>інвентаризації</w:t>
            </w:r>
            <w:proofErr w:type="spellEnd"/>
            <w:r w:rsidRPr="00B74A55">
              <w:rPr>
                <w:rFonts w:eastAsia="Arial"/>
                <w:sz w:val="22"/>
              </w:rPr>
              <w:t xml:space="preserve"> </w:t>
            </w:r>
            <w:proofErr w:type="spellStart"/>
            <w:r w:rsidRPr="00B74A55">
              <w:rPr>
                <w:rFonts w:eastAsia="Arial"/>
                <w:sz w:val="22"/>
              </w:rPr>
              <w:t>основних</w:t>
            </w:r>
            <w:proofErr w:type="spellEnd"/>
            <w:r w:rsidRPr="00B74A55">
              <w:rPr>
                <w:rFonts w:eastAsia="Arial"/>
                <w:sz w:val="22"/>
              </w:rPr>
              <w:t xml:space="preserve"> </w:t>
            </w:r>
            <w:proofErr w:type="spellStart"/>
            <w:r w:rsidRPr="00B74A55">
              <w:rPr>
                <w:rFonts w:eastAsia="Arial"/>
                <w:sz w:val="22"/>
              </w:rPr>
              <w:t>засобів</w:t>
            </w:r>
            <w:proofErr w:type="spellEnd"/>
            <w:r w:rsidRPr="00B74A55">
              <w:rPr>
                <w:rFonts w:eastAsia="Arial"/>
                <w:sz w:val="22"/>
              </w:rPr>
              <w:t>;</w:t>
            </w:r>
          </w:p>
          <w:p w:rsidR="009F6B39" w:rsidRPr="00B74A55" w:rsidRDefault="009F6B39" w:rsidP="001038B7">
            <w:pPr>
              <w:ind w:firstLine="681"/>
              <w:rPr>
                <w:rFonts w:eastAsia="Arial"/>
                <w:sz w:val="22"/>
              </w:rPr>
            </w:pPr>
            <w:r w:rsidRPr="00B74A55">
              <w:rPr>
                <w:rFonts w:eastAsia="Arial"/>
                <w:sz w:val="22"/>
              </w:rPr>
              <w:t xml:space="preserve"> - </w:t>
            </w:r>
            <w:proofErr w:type="spellStart"/>
            <w:r w:rsidRPr="00B74A55">
              <w:rPr>
                <w:rFonts w:eastAsia="Arial"/>
                <w:sz w:val="22"/>
              </w:rPr>
              <w:t>визначення</w:t>
            </w:r>
            <w:proofErr w:type="spellEnd"/>
            <w:r w:rsidRPr="00B74A55">
              <w:rPr>
                <w:rFonts w:eastAsia="Arial"/>
                <w:sz w:val="22"/>
              </w:rPr>
              <w:t xml:space="preserve"> </w:t>
            </w:r>
            <w:proofErr w:type="spellStart"/>
            <w:r w:rsidRPr="00B74A55">
              <w:rPr>
                <w:rFonts w:eastAsia="Arial"/>
                <w:sz w:val="22"/>
              </w:rPr>
              <w:t>кількості</w:t>
            </w:r>
            <w:proofErr w:type="spellEnd"/>
            <w:r w:rsidRPr="00B74A55">
              <w:rPr>
                <w:rFonts w:eastAsia="Arial"/>
                <w:sz w:val="22"/>
              </w:rPr>
              <w:t xml:space="preserve"> </w:t>
            </w:r>
            <w:proofErr w:type="spellStart"/>
            <w:r w:rsidRPr="00B74A55">
              <w:rPr>
                <w:rFonts w:eastAsia="Arial"/>
                <w:sz w:val="22"/>
              </w:rPr>
              <w:t>осіб</w:t>
            </w:r>
            <w:proofErr w:type="spellEnd"/>
            <w:r w:rsidRPr="00B74A55">
              <w:rPr>
                <w:rFonts w:eastAsia="Arial"/>
                <w:sz w:val="22"/>
              </w:rPr>
              <w:t xml:space="preserve">, </w:t>
            </w:r>
            <w:proofErr w:type="spellStart"/>
            <w:r w:rsidRPr="00B74A55">
              <w:rPr>
                <w:rFonts w:eastAsia="Arial"/>
                <w:sz w:val="22"/>
              </w:rPr>
              <w:t>які</w:t>
            </w:r>
            <w:proofErr w:type="spellEnd"/>
            <w:r w:rsidRPr="00B74A55">
              <w:rPr>
                <w:rFonts w:eastAsia="Arial"/>
                <w:sz w:val="22"/>
              </w:rPr>
              <w:t xml:space="preserve"> </w:t>
            </w:r>
            <w:proofErr w:type="spellStart"/>
            <w:r w:rsidRPr="00B74A55">
              <w:rPr>
                <w:rFonts w:eastAsia="Arial"/>
                <w:sz w:val="22"/>
              </w:rPr>
              <w:t>потребують</w:t>
            </w:r>
            <w:proofErr w:type="spellEnd"/>
            <w:r w:rsidRPr="00B74A55">
              <w:rPr>
                <w:rFonts w:eastAsia="Arial"/>
                <w:sz w:val="22"/>
              </w:rPr>
              <w:t xml:space="preserve"> </w:t>
            </w:r>
            <w:proofErr w:type="spellStart"/>
            <w:r w:rsidRPr="00B74A55">
              <w:rPr>
                <w:rFonts w:eastAsia="Arial"/>
                <w:sz w:val="22"/>
              </w:rPr>
              <w:t>отримання</w:t>
            </w:r>
            <w:proofErr w:type="spellEnd"/>
            <w:r w:rsidRPr="00B74A55">
              <w:rPr>
                <w:rFonts w:eastAsia="Arial"/>
                <w:sz w:val="22"/>
              </w:rPr>
              <w:t xml:space="preserve"> </w:t>
            </w:r>
            <w:proofErr w:type="spellStart"/>
            <w:proofErr w:type="gramStart"/>
            <w:r w:rsidRPr="00B74A55">
              <w:rPr>
                <w:rFonts w:eastAsia="Arial"/>
                <w:sz w:val="22"/>
              </w:rPr>
              <w:t>освітніх</w:t>
            </w:r>
            <w:proofErr w:type="spellEnd"/>
            <w:r w:rsidRPr="00B74A55">
              <w:rPr>
                <w:rFonts w:eastAsia="Arial"/>
                <w:sz w:val="22"/>
              </w:rPr>
              <w:t xml:space="preserve">  </w:t>
            </w:r>
            <w:proofErr w:type="spellStart"/>
            <w:r w:rsidRPr="00B74A55">
              <w:rPr>
                <w:rFonts w:eastAsia="Arial"/>
                <w:sz w:val="22"/>
              </w:rPr>
              <w:t>послуг</w:t>
            </w:r>
            <w:proofErr w:type="spellEnd"/>
            <w:proofErr w:type="gramEnd"/>
            <w:r w:rsidRPr="00B74A55">
              <w:rPr>
                <w:rFonts w:eastAsia="Arial"/>
                <w:sz w:val="22"/>
              </w:rPr>
              <w:t xml:space="preserve">;  </w:t>
            </w:r>
          </w:p>
          <w:p w:rsidR="009F6B39" w:rsidRPr="00B74A55" w:rsidRDefault="009F6B39" w:rsidP="001038B7">
            <w:pPr>
              <w:ind w:firstLine="681"/>
              <w:rPr>
                <w:rFonts w:eastAsia="Arial"/>
                <w:sz w:val="22"/>
              </w:rPr>
            </w:pPr>
            <w:r w:rsidRPr="00B74A55">
              <w:rPr>
                <w:rFonts w:eastAsia="Arial"/>
                <w:sz w:val="22"/>
              </w:rPr>
              <w:t xml:space="preserve">- </w:t>
            </w:r>
            <w:proofErr w:type="spellStart"/>
            <w:r w:rsidRPr="00B74A55">
              <w:rPr>
                <w:rFonts w:eastAsia="Arial"/>
                <w:sz w:val="22"/>
              </w:rPr>
              <w:t>проведення</w:t>
            </w:r>
            <w:proofErr w:type="spellEnd"/>
            <w:r w:rsidRPr="00B74A55">
              <w:rPr>
                <w:rFonts w:eastAsia="Arial"/>
                <w:sz w:val="22"/>
              </w:rPr>
              <w:t xml:space="preserve"> </w:t>
            </w:r>
            <w:proofErr w:type="spellStart"/>
            <w:r w:rsidRPr="00B74A55">
              <w:rPr>
                <w:rFonts w:eastAsia="Arial"/>
                <w:sz w:val="22"/>
              </w:rPr>
              <w:t>заходів</w:t>
            </w:r>
            <w:proofErr w:type="spellEnd"/>
            <w:r w:rsidRPr="00B74A55">
              <w:rPr>
                <w:rFonts w:eastAsia="Arial"/>
                <w:sz w:val="22"/>
              </w:rPr>
              <w:t xml:space="preserve"> </w:t>
            </w:r>
            <w:proofErr w:type="spellStart"/>
            <w:r w:rsidRPr="00B74A55">
              <w:rPr>
                <w:rFonts w:eastAsia="Arial"/>
                <w:sz w:val="22"/>
              </w:rPr>
              <w:t>щодо</w:t>
            </w:r>
            <w:proofErr w:type="spellEnd"/>
            <w:r w:rsidRPr="00B74A55">
              <w:rPr>
                <w:rFonts w:eastAsia="Arial"/>
                <w:sz w:val="22"/>
              </w:rPr>
              <w:t xml:space="preserve"> </w:t>
            </w:r>
            <w:proofErr w:type="spellStart"/>
            <w:r w:rsidRPr="00B74A55">
              <w:rPr>
                <w:rFonts w:eastAsia="Arial"/>
                <w:sz w:val="22"/>
              </w:rPr>
              <w:t>виготовлення</w:t>
            </w:r>
            <w:proofErr w:type="spellEnd"/>
            <w:r w:rsidRPr="00B74A55">
              <w:rPr>
                <w:rFonts w:eastAsia="Arial"/>
                <w:sz w:val="22"/>
              </w:rPr>
              <w:t xml:space="preserve"> </w:t>
            </w:r>
            <w:proofErr w:type="spellStart"/>
            <w:r w:rsidRPr="00B74A55">
              <w:rPr>
                <w:rFonts w:eastAsia="Arial"/>
                <w:sz w:val="22"/>
              </w:rPr>
              <w:t>проєктно</w:t>
            </w:r>
            <w:proofErr w:type="spellEnd"/>
            <w:r w:rsidRPr="00B74A55">
              <w:rPr>
                <w:rFonts w:eastAsia="Arial"/>
                <w:sz w:val="22"/>
              </w:rPr>
              <w:t xml:space="preserve">-              </w:t>
            </w:r>
            <w:proofErr w:type="spellStart"/>
            <w:r w:rsidRPr="00B74A55">
              <w:rPr>
                <w:rFonts w:eastAsia="Arial"/>
                <w:sz w:val="22"/>
              </w:rPr>
              <w:t>кошторисної</w:t>
            </w:r>
            <w:proofErr w:type="spellEnd"/>
            <w:r w:rsidRPr="00B74A55">
              <w:rPr>
                <w:rFonts w:eastAsia="Arial"/>
                <w:sz w:val="22"/>
              </w:rPr>
              <w:t xml:space="preserve"> </w:t>
            </w:r>
            <w:proofErr w:type="spellStart"/>
            <w:r w:rsidRPr="00B74A55">
              <w:rPr>
                <w:rFonts w:eastAsia="Arial"/>
                <w:sz w:val="22"/>
              </w:rPr>
              <w:t>документації</w:t>
            </w:r>
            <w:proofErr w:type="spellEnd"/>
            <w:r w:rsidRPr="00B74A55">
              <w:rPr>
                <w:rFonts w:eastAsia="Arial"/>
                <w:sz w:val="22"/>
              </w:rPr>
              <w:t xml:space="preserve">, </w:t>
            </w:r>
            <w:proofErr w:type="spellStart"/>
            <w:r w:rsidRPr="00B74A55">
              <w:rPr>
                <w:rFonts w:eastAsia="Arial"/>
                <w:sz w:val="22"/>
              </w:rPr>
              <w:t>включаючи</w:t>
            </w:r>
            <w:proofErr w:type="spellEnd"/>
            <w:r w:rsidRPr="00B74A55">
              <w:rPr>
                <w:rFonts w:eastAsia="Arial"/>
                <w:sz w:val="22"/>
              </w:rPr>
              <w:t xml:space="preserve"> </w:t>
            </w:r>
            <w:proofErr w:type="spellStart"/>
            <w:r w:rsidRPr="00B74A55">
              <w:rPr>
                <w:rFonts w:eastAsia="Arial"/>
                <w:sz w:val="22"/>
              </w:rPr>
              <w:t>експертизу</w:t>
            </w:r>
            <w:proofErr w:type="spellEnd"/>
            <w:r w:rsidRPr="00B74A55">
              <w:rPr>
                <w:rFonts w:eastAsia="Arial"/>
                <w:sz w:val="22"/>
              </w:rPr>
              <w:t xml:space="preserve"> </w:t>
            </w:r>
            <w:proofErr w:type="gramStart"/>
            <w:r w:rsidRPr="00B74A55">
              <w:rPr>
                <w:rFonts w:eastAsia="Arial"/>
                <w:sz w:val="22"/>
              </w:rPr>
              <w:t xml:space="preserve">на  </w:t>
            </w:r>
            <w:proofErr w:type="spellStart"/>
            <w:r w:rsidRPr="00B74A55">
              <w:rPr>
                <w:rFonts w:eastAsia="Arial"/>
                <w:sz w:val="22"/>
              </w:rPr>
              <w:t>проведення</w:t>
            </w:r>
            <w:proofErr w:type="spellEnd"/>
            <w:proofErr w:type="gramEnd"/>
            <w:r w:rsidRPr="00B74A55">
              <w:rPr>
                <w:rFonts w:eastAsia="Arial"/>
                <w:sz w:val="22"/>
              </w:rPr>
              <w:t xml:space="preserve"> </w:t>
            </w:r>
            <w:proofErr w:type="spellStart"/>
            <w:r w:rsidRPr="00B74A55">
              <w:rPr>
                <w:rFonts w:eastAsia="Arial"/>
                <w:sz w:val="22"/>
              </w:rPr>
              <w:t>капітального</w:t>
            </w:r>
            <w:proofErr w:type="spellEnd"/>
            <w:r w:rsidRPr="00B74A55">
              <w:rPr>
                <w:rFonts w:eastAsia="Arial"/>
                <w:sz w:val="22"/>
              </w:rPr>
              <w:t xml:space="preserve"> ремонту </w:t>
            </w:r>
            <w:proofErr w:type="spellStart"/>
            <w:r w:rsidRPr="00B74A55">
              <w:rPr>
                <w:rFonts w:eastAsia="Arial"/>
                <w:sz w:val="22"/>
              </w:rPr>
              <w:t>пошкодженої</w:t>
            </w:r>
            <w:proofErr w:type="spellEnd"/>
            <w:r w:rsidRPr="00B74A55">
              <w:rPr>
                <w:rFonts w:eastAsia="Arial"/>
                <w:sz w:val="22"/>
              </w:rPr>
              <w:t xml:space="preserve"> </w:t>
            </w:r>
            <w:proofErr w:type="spellStart"/>
            <w:r w:rsidRPr="00B74A55">
              <w:rPr>
                <w:rFonts w:eastAsia="Arial"/>
                <w:sz w:val="22"/>
              </w:rPr>
              <w:t>будівлі</w:t>
            </w:r>
            <w:proofErr w:type="spellEnd"/>
            <w:r w:rsidRPr="00B74A55">
              <w:rPr>
                <w:rFonts w:eastAsia="Arial"/>
                <w:sz w:val="22"/>
              </w:rPr>
              <w:t xml:space="preserve">               </w:t>
            </w:r>
            <w:proofErr w:type="spellStart"/>
            <w:r w:rsidRPr="00B74A55">
              <w:rPr>
                <w:rFonts w:eastAsia="Arial"/>
                <w:sz w:val="22"/>
              </w:rPr>
              <w:t>Ясел</w:t>
            </w:r>
            <w:proofErr w:type="spellEnd"/>
            <w:r w:rsidRPr="00B74A55">
              <w:rPr>
                <w:rFonts w:eastAsia="Arial"/>
                <w:sz w:val="22"/>
              </w:rPr>
              <w:t xml:space="preserve">-садка №43 </w:t>
            </w:r>
            <w:proofErr w:type="spellStart"/>
            <w:r w:rsidRPr="00B74A55">
              <w:rPr>
                <w:rFonts w:eastAsia="Arial"/>
                <w:sz w:val="22"/>
              </w:rPr>
              <w:t>міста</w:t>
            </w:r>
            <w:proofErr w:type="spellEnd"/>
            <w:r w:rsidRPr="00B74A55">
              <w:rPr>
                <w:rFonts w:eastAsia="Arial"/>
                <w:sz w:val="22"/>
              </w:rPr>
              <w:t xml:space="preserve"> </w:t>
            </w:r>
            <w:proofErr w:type="spellStart"/>
            <w:r w:rsidRPr="00B74A55">
              <w:rPr>
                <w:rFonts w:eastAsia="Arial"/>
                <w:sz w:val="22"/>
              </w:rPr>
              <w:t>Сєвєродонецька</w:t>
            </w:r>
            <w:proofErr w:type="spellEnd"/>
            <w:r w:rsidRPr="00B74A55">
              <w:rPr>
                <w:rFonts w:eastAsia="Arial"/>
                <w:sz w:val="22"/>
              </w:rPr>
              <w:t xml:space="preserve"> </w:t>
            </w:r>
            <w:proofErr w:type="spellStart"/>
            <w:r w:rsidRPr="00B74A55">
              <w:rPr>
                <w:rFonts w:eastAsia="Arial"/>
                <w:sz w:val="22"/>
              </w:rPr>
              <w:t>Луганської</w:t>
            </w:r>
            <w:proofErr w:type="spellEnd"/>
            <w:r w:rsidRPr="00B74A55">
              <w:rPr>
                <w:rFonts w:eastAsia="Arial"/>
                <w:sz w:val="22"/>
              </w:rPr>
              <w:t xml:space="preserve"> </w:t>
            </w:r>
            <w:proofErr w:type="spellStart"/>
            <w:r w:rsidRPr="00B74A55">
              <w:rPr>
                <w:rFonts w:eastAsia="Arial"/>
                <w:sz w:val="22"/>
              </w:rPr>
              <w:t>області</w:t>
            </w:r>
            <w:proofErr w:type="spellEnd"/>
            <w:r w:rsidRPr="00B74A55">
              <w:rPr>
                <w:rFonts w:eastAsia="Arial"/>
                <w:sz w:val="22"/>
              </w:rPr>
              <w:t xml:space="preserve">               за </w:t>
            </w:r>
            <w:proofErr w:type="spellStart"/>
            <w:r w:rsidRPr="00B74A55">
              <w:rPr>
                <w:rFonts w:eastAsia="Arial"/>
                <w:sz w:val="22"/>
              </w:rPr>
              <w:t>адресою</w:t>
            </w:r>
            <w:proofErr w:type="spellEnd"/>
            <w:r w:rsidRPr="00B74A55">
              <w:rPr>
                <w:rFonts w:eastAsia="Arial"/>
                <w:sz w:val="22"/>
              </w:rPr>
              <w:t xml:space="preserve">:  </w:t>
            </w:r>
            <w:proofErr w:type="spellStart"/>
            <w:r w:rsidRPr="00B74A55">
              <w:rPr>
                <w:rFonts w:eastAsia="Arial"/>
                <w:sz w:val="22"/>
              </w:rPr>
              <w:t>вул</w:t>
            </w:r>
            <w:proofErr w:type="spellEnd"/>
            <w:r w:rsidRPr="00B74A55">
              <w:rPr>
                <w:rFonts w:eastAsia="Arial"/>
                <w:sz w:val="22"/>
              </w:rPr>
              <w:t xml:space="preserve">. </w:t>
            </w:r>
            <w:proofErr w:type="spellStart"/>
            <w:r w:rsidRPr="00B74A55">
              <w:rPr>
                <w:rFonts w:eastAsia="Arial"/>
                <w:sz w:val="22"/>
              </w:rPr>
              <w:t>Гагаріна</w:t>
            </w:r>
            <w:proofErr w:type="spellEnd"/>
            <w:r w:rsidRPr="00B74A55">
              <w:rPr>
                <w:rFonts w:eastAsia="Arial"/>
                <w:sz w:val="22"/>
              </w:rPr>
              <w:t xml:space="preserve">, 113-А, </w:t>
            </w:r>
            <w:proofErr w:type="spellStart"/>
            <w:r w:rsidRPr="00B74A55">
              <w:rPr>
                <w:rFonts w:eastAsia="Arial"/>
                <w:sz w:val="22"/>
              </w:rPr>
              <w:t>Сєвєродонецького</w:t>
            </w:r>
            <w:proofErr w:type="spellEnd"/>
            <w:r w:rsidRPr="00B74A55">
              <w:rPr>
                <w:rFonts w:eastAsia="Arial"/>
                <w:sz w:val="22"/>
              </w:rPr>
              <w:t xml:space="preserve"> </w:t>
            </w:r>
            <w:proofErr w:type="gramStart"/>
            <w:r w:rsidRPr="00B74A55">
              <w:rPr>
                <w:rFonts w:eastAsia="Arial"/>
                <w:sz w:val="22"/>
              </w:rPr>
              <w:t xml:space="preserve">району,   </w:t>
            </w:r>
            <w:proofErr w:type="gramEnd"/>
            <w:r w:rsidRPr="00B74A55">
              <w:rPr>
                <w:rFonts w:eastAsia="Arial"/>
                <w:sz w:val="22"/>
              </w:rPr>
              <w:t xml:space="preserve">            м. </w:t>
            </w:r>
            <w:proofErr w:type="spellStart"/>
            <w:r w:rsidRPr="00B74A55">
              <w:rPr>
                <w:rFonts w:eastAsia="Arial"/>
                <w:sz w:val="22"/>
              </w:rPr>
              <w:t>Сєвєродонецьк</w:t>
            </w:r>
            <w:proofErr w:type="spellEnd"/>
            <w:r w:rsidRPr="00B74A55">
              <w:rPr>
                <w:rFonts w:eastAsia="Arial"/>
                <w:sz w:val="22"/>
              </w:rPr>
              <w:t xml:space="preserve">, </w:t>
            </w:r>
            <w:proofErr w:type="spellStart"/>
            <w:r w:rsidRPr="00B74A55">
              <w:rPr>
                <w:rFonts w:eastAsia="Arial"/>
                <w:sz w:val="22"/>
              </w:rPr>
              <w:t>Луганської</w:t>
            </w:r>
            <w:proofErr w:type="spellEnd"/>
            <w:r w:rsidRPr="00B74A55">
              <w:rPr>
                <w:rFonts w:eastAsia="Arial"/>
                <w:sz w:val="22"/>
              </w:rPr>
              <w:t xml:space="preserve"> </w:t>
            </w:r>
            <w:proofErr w:type="spellStart"/>
            <w:r w:rsidRPr="00B74A55">
              <w:rPr>
                <w:rFonts w:eastAsia="Arial"/>
                <w:sz w:val="22"/>
              </w:rPr>
              <w:t>області</w:t>
            </w:r>
            <w:proofErr w:type="spellEnd"/>
            <w:r w:rsidRPr="00B74A55">
              <w:rPr>
                <w:rFonts w:eastAsia="Arial"/>
                <w:sz w:val="22"/>
              </w:rPr>
              <w:t>;</w:t>
            </w:r>
          </w:p>
          <w:p w:rsidR="009F6B39" w:rsidRPr="00B74A55" w:rsidRDefault="009F6B39" w:rsidP="001038B7">
            <w:pPr>
              <w:ind w:firstLine="681"/>
              <w:rPr>
                <w:rFonts w:eastAsia="Arial"/>
                <w:sz w:val="22"/>
              </w:rPr>
            </w:pPr>
            <w:r w:rsidRPr="00B74A55">
              <w:rPr>
                <w:rFonts w:eastAsia="Arial"/>
                <w:sz w:val="22"/>
              </w:rPr>
              <w:t xml:space="preserve">  -  </w:t>
            </w:r>
            <w:proofErr w:type="spellStart"/>
            <w:r w:rsidRPr="00B74A55">
              <w:rPr>
                <w:rFonts w:eastAsia="Arial"/>
                <w:sz w:val="22"/>
              </w:rPr>
              <w:t>роботи</w:t>
            </w:r>
            <w:proofErr w:type="spellEnd"/>
            <w:r w:rsidRPr="00B74A55">
              <w:rPr>
                <w:rFonts w:eastAsia="Arial"/>
                <w:sz w:val="22"/>
              </w:rPr>
              <w:t xml:space="preserve"> по </w:t>
            </w:r>
            <w:proofErr w:type="spellStart"/>
            <w:proofErr w:type="gramStart"/>
            <w:r w:rsidRPr="00B74A55">
              <w:rPr>
                <w:rFonts w:eastAsia="Arial"/>
                <w:sz w:val="22"/>
              </w:rPr>
              <w:t>тепломодернізації</w:t>
            </w:r>
            <w:proofErr w:type="spellEnd"/>
            <w:r w:rsidRPr="00B74A55">
              <w:rPr>
                <w:rFonts w:eastAsia="Arial"/>
                <w:sz w:val="22"/>
              </w:rPr>
              <w:t xml:space="preserve">  </w:t>
            </w:r>
            <w:proofErr w:type="spellStart"/>
            <w:r w:rsidRPr="00B74A55">
              <w:rPr>
                <w:rFonts w:eastAsia="Arial"/>
                <w:sz w:val="22"/>
              </w:rPr>
              <w:t>будівлі</w:t>
            </w:r>
            <w:proofErr w:type="spellEnd"/>
            <w:proofErr w:type="gramEnd"/>
            <w:r w:rsidRPr="00B74A55">
              <w:rPr>
                <w:rFonts w:eastAsia="Arial"/>
                <w:sz w:val="22"/>
              </w:rPr>
              <w:t xml:space="preserve"> з </w:t>
            </w:r>
            <w:proofErr w:type="spellStart"/>
            <w:r w:rsidRPr="00B74A55">
              <w:rPr>
                <w:rFonts w:eastAsia="Arial"/>
                <w:sz w:val="22"/>
              </w:rPr>
              <w:t>облаштуванням</w:t>
            </w:r>
            <w:proofErr w:type="spellEnd"/>
            <w:r w:rsidRPr="00B74A55">
              <w:rPr>
                <w:rFonts w:eastAsia="Arial"/>
                <w:sz w:val="22"/>
              </w:rPr>
              <w:t xml:space="preserve">     </w:t>
            </w:r>
            <w:proofErr w:type="spellStart"/>
            <w:r w:rsidRPr="00B74A55">
              <w:rPr>
                <w:rFonts w:eastAsia="Arial"/>
                <w:sz w:val="22"/>
              </w:rPr>
              <w:t>поручнів</w:t>
            </w:r>
            <w:proofErr w:type="spellEnd"/>
            <w:r w:rsidRPr="00B74A55">
              <w:rPr>
                <w:rFonts w:eastAsia="Arial"/>
                <w:sz w:val="22"/>
              </w:rPr>
              <w:t xml:space="preserve"> та </w:t>
            </w:r>
            <w:proofErr w:type="spellStart"/>
            <w:r w:rsidRPr="00B74A55">
              <w:rPr>
                <w:rFonts w:eastAsia="Arial"/>
                <w:sz w:val="22"/>
              </w:rPr>
              <w:t>пандусів</w:t>
            </w:r>
            <w:proofErr w:type="spellEnd"/>
            <w:r w:rsidRPr="00B74A55">
              <w:rPr>
                <w:rFonts w:eastAsia="Arial"/>
                <w:sz w:val="22"/>
              </w:rPr>
              <w:t xml:space="preserve"> та </w:t>
            </w:r>
            <w:proofErr w:type="spellStart"/>
            <w:r w:rsidRPr="00B74A55">
              <w:rPr>
                <w:rFonts w:eastAsia="Arial"/>
                <w:sz w:val="22"/>
              </w:rPr>
              <w:t>забезпечення</w:t>
            </w:r>
            <w:proofErr w:type="spellEnd"/>
            <w:r w:rsidRPr="00B74A55">
              <w:rPr>
                <w:rFonts w:eastAsia="Arial"/>
                <w:sz w:val="22"/>
              </w:rPr>
              <w:t xml:space="preserve"> </w:t>
            </w:r>
            <w:proofErr w:type="spellStart"/>
            <w:r w:rsidRPr="00B74A55">
              <w:rPr>
                <w:rFonts w:eastAsia="Arial"/>
                <w:sz w:val="22"/>
              </w:rPr>
              <w:t>доступності</w:t>
            </w:r>
            <w:proofErr w:type="spellEnd"/>
            <w:r w:rsidRPr="00B74A55">
              <w:rPr>
                <w:rFonts w:eastAsia="Arial"/>
                <w:sz w:val="22"/>
              </w:rPr>
              <w:t xml:space="preserve"> для               </w:t>
            </w:r>
            <w:proofErr w:type="spellStart"/>
            <w:r w:rsidRPr="00B74A55">
              <w:rPr>
                <w:rFonts w:eastAsia="Arial"/>
                <w:sz w:val="22"/>
              </w:rPr>
              <w:t>маломобільних</w:t>
            </w:r>
            <w:proofErr w:type="spellEnd"/>
            <w:r w:rsidRPr="00B74A55">
              <w:rPr>
                <w:rFonts w:eastAsia="Arial"/>
                <w:sz w:val="22"/>
              </w:rPr>
              <w:t xml:space="preserve"> </w:t>
            </w:r>
            <w:proofErr w:type="spellStart"/>
            <w:r w:rsidRPr="00B74A55">
              <w:rPr>
                <w:rFonts w:eastAsia="Arial"/>
                <w:sz w:val="22"/>
              </w:rPr>
              <w:t>груп</w:t>
            </w:r>
            <w:proofErr w:type="spellEnd"/>
            <w:r w:rsidRPr="00B74A55">
              <w:rPr>
                <w:rFonts w:eastAsia="Arial"/>
                <w:sz w:val="22"/>
              </w:rPr>
              <w:t xml:space="preserve"> </w:t>
            </w:r>
            <w:proofErr w:type="spellStart"/>
            <w:r w:rsidRPr="00B74A55">
              <w:rPr>
                <w:rFonts w:eastAsia="Arial"/>
                <w:sz w:val="22"/>
              </w:rPr>
              <w:t>населення</w:t>
            </w:r>
            <w:proofErr w:type="spellEnd"/>
            <w:r w:rsidRPr="00B74A55">
              <w:rPr>
                <w:rFonts w:eastAsia="Arial"/>
                <w:sz w:val="22"/>
              </w:rPr>
              <w:t xml:space="preserve"> до  </w:t>
            </w:r>
            <w:proofErr w:type="spellStart"/>
            <w:r w:rsidRPr="00B74A55">
              <w:rPr>
                <w:rFonts w:eastAsia="Arial"/>
                <w:sz w:val="22"/>
              </w:rPr>
              <w:t>будівлі</w:t>
            </w:r>
            <w:proofErr w:type="spellEnd"/>
            <w:r w:rsidRPr="00B74A55">
              <w:rPr>
                <w:rFonts w:eastAsia="Arial"/>
                <w:sz w:val="22"/>
              </w:rPr>
              <w:t xml:space="preserve">;                                                         </w:t>
            </w:r>
          </w:p>
          <w:p w:rsidR="009F6B39" w:rsidRPr="00B74A55" w:rsidRDefault="009F6B39" w:rsidP="001038B7">
            <w:pPr>
              <w:ind w:firstLine="681"/>
              <w:rPr>
                <w:rFonts w:eastAsia="Arial"/>
                <w:sz w:val="22"/>
              </w:rPr>
            </w:pPr>
            <w:r w:rsidRPr="00B74A55">
              <w:rPr>
                <w:rFonts w:eastAsia="Arial"/>
                <w:sz w:val="22"/>
              </w:rPr>
              <w:t xml:space="preserve">- </w:t>
            </w:r>
            <w:proofErr w:type="spellStart"/>
            <w:proofErr w:type="gramStart"/>
            <w:r w:rsidRPr="00B74A55">
              <w:rPr>
                <w:rFonts w:eastAsia="Arial"/>
                <w:sz w:val="22"/>
              </w:rPr>
              <w:t>оздоблення</w:t>
            </w:r>
            <w:proofErr w:type="spellEnd"/>
            <w:r w:rsidRPr="00B74A55">
              <w:rPr>
                <w:rFonts w:eastAsia="Arial"/>
                <w:sz w:val="22"/>
              </w:rPr>
              <w:t>  </w:t>
            </w:r>
            <w:proofErr w:type="spellStart"/>
            <w:r w:rsidRPr="00B74A55">
              <w:rPr>
                <w:rFonts w:eastAsia="Arial"/>
                <w:sz w:val="22"/>
              </w:rPr>
              <w:t>фасадів</w:t>
            </w:r>
            <w:proofErr w:type="spellEnd"/>
            <w:proofErr w:type="gramEnd"/>
            <w:r w:rsidRPr="00B74A55">
              <w:rPr>
                <w:rFonts w:eastAsia="Arial"/>
                <w:sz w:val="22"/>
              </w:rPr>
              <w:t xml:space="preserve"> з </w:t>
            </w:r>
            <w:proofErr w:type="spellStart"/>
            <w:r w:rsidRPr="00B74A55">
              <w:rPr>
                <w:rFonts w:eastAsia="Arial"/>
                <w:sz w:val="22"/>
              </w:rPr>
              <w:t>утепленням</w:t>
            </w:r>
            <w:proofErr w:type="spellEnd"/>
            <w:r w:rsidRPr="00B74A55">
              <w:rPr>
                <w:rFonts w:eastAsia="Arial"/>
                <w:sz w:val="22"/>
              </w:rPr>
              <w:t xml:space="preserve"> негорючими </w:t>
            </w:r>
            <w:proofErr w:type="spellStart"/>
            <w:r w:rsidRPr="00B74A55">
              <w:rPr>
                <w:rFonts w:eastAsia="Arial"/>
                <w:sz w:val="22"/>
              </w:rPr>
              <w:t>матеріалами</w:t>
            </w:r>
            <w:proofErr w:type="spellEnd"/>
            <w:r w:rsidRPr="00B74A55">
              <w:rPr>
                <w:rFonts w:eastAsia="Arial"/>
                <w:sz w:val="22"/>
              </w:rPr>
              <w:t xml:space="preserve">;                                                                      </w:t>
            </w:r>
          </w:p>
          <w:p w:rsidR="009F6B39" w:rsidRPr="00B74A55" w:rsidRDefault="009F6B39" w:rsidP="001038B7">
            <w:pPr>
              <w:ind w:firstLine="681"/>
              <w:rPr>
                <w:rFonts w:eastAsia="Arial"/>
                <w:sz w:val="22"/>
              </w:rPr>
            </w:pPr>
            <w:r w:rsidRPr="00B74A55">
              <w:rPr>
                <w:rFonts w:eastAsia="Arial"/>
                <w:sz w:val="22"/>
              </w:rPr>
              <w:t xml:space="preserve">- ремонт </w:t>
            </w:r>
            <w:proofErr w:type="spellStart"/>
            <w:r w:rsidRPr="00B74A55">
              <w:rPr>
                <w:rFonts w:eastAsia="Arial"/>
                <w:sz w:val="22"/>
              </w:rPr>
              <w:t>покрівлі</w:t>
            </w:r>
            <w:proofErr w:type="spellEnd"/>
            <w:r w:rsidRPr="00B74A55">
              <w:rPr>
                <w:rFonts w:eastAsia="Arial"/>
                <w:sz w:val="22"/>
              </w:rPr>
              <w:t xml:space="preserve"> </w:t>
            </w:r>
            <w:proofErr w:type="spellStart"/>
            <w:r w:rsidRPr="00B74A55">
              <w:rPr>
                <w:rFonts w:eastAsia="Arial"/>
                <w:sz w:val="22"/>
              </w:rPr>
              <w:t>основної</w:t>
            </w:r>
            <w:proofErr w:type="spellEnd"/>
            <w:r w:rsidRPr="00B74A55">
              <w:rPr>
                <w:rFonts w:eastAsia="Arial"/>
                <w:sz w:val="22"/>
              </w:rPr>
              <w:t xml:space="preserve"> </w:t>
            </w:r>
            <w:proofErr w:type="spellStart"/>
            <w:r w:rsidRPr="00B74A55">
              <w:rPr>
                <w:rFonts w:eastAsia="Arial"/>
                <w:sz w:val="22"/>
              </w:rPr>
              <w:t>будівлі</w:t>
            </w:r>
            <w:proofErr w:type="spellEnd"/>
            <w:r w:rsidRPr="00B74A55">
              <w:rPr>
                <w:rFonts w:eastAsia="Arial"/>
                <w:sz w:val="22"/>
              </w:rPr>
              <w:t>, </w:t>
            </w:r>
            <w:proofErr w:type="spellStart"/>
            <w:r w:rsidRPr="00B74A55">
              <w:rPr>
                <w:rFonts w:eastAsia="Arial"/>
                <w:sz w:val="22"/>
              </w:rPr>
              <w:t>якісне</w:t>
            </w:r>
            <w:proofErr w:type="spellEnd"/>
            <w:r w:rsidRPr="00B74A55">
              <w:rPr>
                <w:rFonts w:eastAsia="Arial"/>
                <w:sz w:val="22"/>
              </w:rPr>
              <w:t xml:space="preserve"> </w:t>
            </w:r>
            <w:proofErr w:type="spellStart"/>
            <w:r w:rsidRPr="00B74A55">
              <w:rPr>
                <w:rFonts w:eastAsia="Arial"/>
                <w:sz w:val="22"/>
              </w:rPr>
              <w:t>виконання</w:t>
            </w:r>
            <w:proofErr w:type="spellEnd"/>
            <w:r w:rsidRPr="00B74A55">
              <w:rPr>
                <w:rFonts w:eastAsia="Arial"/>
                <w:sz w:val="22"/>
              </w:rPr>
              <w:t xml:space="preserve">      </w:t>
            </w:r>
            <w:proofErr w:type="spellStart"/>
            <w:r w:rsidRPr="00B74A55">
              <w:rPr>
                <w:rFonts w:eastAsia="Arial"/>
                <w:sz w:val="22"/>
              </w:rPr>
              <w:t>робіт</w:t>
            </w:r>
            <w:proofErr w:type="spellEnd"/>
            <w:r w:rsidRPr="00B74A55">
              <w:rPr>
                <w:rFonts w:eastAsia="Arial"/>
                <w:sz w:val="22"/>
              </w:rPr>
              <w:t xml:space="preserve"> по монтажу і ремонту </w:t>
            </w:r>
            <w:proofErr w:type="spellStart"/>
            <w:r w:rsidRPr="00B74A55">
              <w:rPr>
                <w:rFonts w:eastAsia="Arial"/>
                <w:sz w:val="22"/>
              </w:rPr>
              <w:t>покрівель</w:t>
            </w:r>
            <w:proofErr w:type="spellEnd"/>
            <w:r w:rsidRPr="00B74A55">
              <w:rPr>
                <w:rFonts w:eastAsia="Arial"/>
                <w:sz w:val="22"/>
              </w:rPr>
              <w:t xml:space="preserve"> плоского типу;                                                                           </w:t>
            </w:r>
          </w:p>
          <w:p w:rsidR="009F6B39" w:rsidRPr="00B74A55" w:rsidRDefault="009F6B39" w:rsidP="001038B7">
            <w:pPr>
              <w:ind w:firstLine="539"/>
              <w:rPr>
                <w:rFonts w:eastAsia="Arial"/>
                <w:sz w:val="22"/>
              </w:rPr>
            </w:pPr>
            <w:r w:rsidRPr="00B74A55">
              <w:rPr>
                <w:rFonts w:eastAsia="Arial"/>
                <w:sz w:val="22"/>
              </w:rPr>
              <w:t xml:space="preserve">  - </w:t>
            </w:r>
            <w:proofErr w:type="spellStart"/>
            <w:r w:rsidRPr="00B74A55">
              <w:rPr>
                <w:rFonts w:eastAsia="Arial"/>
                <w:sz w:val="22"/>
              </w:rPr>
              <w:t>заміна</w:t>
            </w:r>
            <w:proofErr w:type="spellEnd"/>
            <w:r w:rsidRPr="00B74A55">
              <w:rPr>
                <w:rFonts w:eastAsia="Arial"/>
                <w:sz w:val="22"/>
              </w:rPr>
              <w:t xml:space="preserve"> </w:t>
            </w:r>
            <w:proofErr w:type="spellStart"/>
            <w:r w:rsidRPr="00B74A55">
              <w:rPr>
                <w:rFonts w:eastAsia="Arial"/>
                <w:sz w:val="22"/>
              </w:rPr>
              <w:t>вікон</w:t>
            </w:r>
            <w:proofErr w:type="spellEnd"/>
            <w:r w:rsidRPr="00B74A55">
              <w:rPr>
                <w:rFonts w:eastAsia="Arial"/>
                <w:sz w:val="22"/>
              </w:rPr>
              <w:t xml:space="preserve">;                                                              </w:t>
            </w:r>
          </w:p>
          <w:p w:rsidR="009F6B39" w:rsidRPr="00B74A55" w:rsidRDefault="009F6B39" w:rsidP="00F16438">
            <w:pPr>
              <w:pStyle w:val="a7"/>
              <w:tabs>
                <w:tab w:val="left" w:pos="965"/>
              </w:tabs>
              <w:ind w:left="-28" w:firstLine="709"/>
              <w:jc w:val="left"/>
              <w:rPr>
                <w:rFonts w:eastAsia="Arial"/>
                <w:sz w:val="22"/>
              </w:rPr>
            </w:pPr>
            <w:r w:rsidRPr="00B74A55">
              <w:rPr>
                <w:rFonts w:eastAsia="Arial"/>
                <w:sz w:val="22"/>
              </w:rPr>
              <w:t xml:space="preserve">- </w:t>
            </w:r>
            <w:proofErr w:type="spellStart"/>
            <w:r w:rsidRPr="00B74A55">
              <w:rPr>
                <w:rFonts w:eastAsia="Arial"/>
                <w:sz w:val="22"/>
              </w:rPr>
              <w:t>заміна</w:t>
            </w:r>
            <w:proofErr w:type="spellEnd"/>
            <w:r w:rsidRPr="00B74A55">
              <w:rPr>
                <w:rFonts w:eastAsia="Arial"/>
                <w:sz w:val="22"/>
              </w:rPr>
              <w:t xml:space="preserve"> </w:t>
            </w:r>
            <w:proofErr w:type="spellStart"/>
            <w:r w:rsidRPr="00B74A55">
              <w:rPr>
                <w:rFonts w:eastAsia="Arial"/>
                <w:sz w:val="22"/>
              </w:rPr>
              <w:t>вхідних</w:t>
            </w:r>
            <w:proofErr w:type="spellEnd"/>
            <w:r w:rsidRPr="00B74A55">
              <w:rPr>
                <w:rFonts w:eastAsia="Arial"/>
                <w:sz w:val="22"/>
              </w:rPr>
              <w:t xml:space="preserve">, </w:t>
            </w:r>
            <w:proofErr w:type="spellStart"/>
            <w:r w:rsidRPr="00B74A55">
              <w:rPr>
                <w:rFonts w:eastAsia="Arial"/>
                <w:sz w:val="22"/>
              </w:rPr>
              <w:t>вихідних</w:t>
            </w:r>
            <w:proofErr w:type="spellEnd"/>
            <w:r w:rsidRPr="00B74A55">
              <w:rPr>
                <w:rFonts w:eastAsia="Arial"/>
                <w:sz w:val="22"/>
              </w:rPr>
              <w:t xml:space="preserve">, </w:t>
            </w:r>
            <w:proofErr w:type="spellStart"/>
            <w:r w:rsidRPr="00B74A55">
              <w:rPr>
                <w:rFonts w:eastAsia="Arial"/>
                <w:sz w:val="22"/>
              </w:rPr>
              <w:t>міжкімнатних</w:t>
            </w:r>
            <w:proofErr w:type="spellEnd"/>
            <w:r w:rsidRPr="00B74A55">
              <w:rPr>
                <w:rFonts w:eastAsia="Arial"/>
                <w:sz w:val="22"/>
              </w:rPr>
              <w:t xml:space="preserve"> та                             </w:t>
            </w:r>
            <w:proofErr w:type="spellStart"/>
            <w:proofErr w:type="gramStart"/>
            <w:r w:rsidRPr="00B74A55">
              <w:rPr>
                <w:rFonts w:eastAsia="Arial"/>
                <w:sz w:val="22"/>
              </w:rPr>
              <w:t>пожежних</w:t>
            </w:r>
            <w:proofErr w:type="spellEnd"/>
            <w:r w:rsidRPr="00B74A55">
              <w:rPr>
                <w:rFonts w:eastAsia="Arial"/>
                <w:sz w:val="22"/>
              </w:rPr>
              <w:t xml:space="preserve">  дверей</w:t>
            </w:r>
            <w:proofErr w:type="gramEnd"/>
            <w:r w:rsidRPr="00B74A55">
              <w:rPr>
                <w:rFonts w:eastAsia="Arial"/>
                <w:sz w:val="22"/>
              </w:rPr>
              <w:t xml:space="preserve">;                                                    </w:t>
            </w:r>
          </w:p>
          <w:p w:rsidR="009F6B39" w:rsidRPr="00B74A55" w:rsidRDefault="009F6B39" w:rsidP="001038B7">
            <w:pPr>
              <w:pStyle w:val="a7"/>
              <w:rPr>
                <w:rFonts w:eastAsia="Arial"/>
                <w:sz w:val="22"/>
              </w:rPr>
            </w:pPr>
            <w:r w:rsidRPr="00B74A55">
              <w:rPr>
                <w:rFonts w:eastAsia="Arial"/>
                <w:sz w:val="22"/>
              </w:rPr>
              <w:t xml:space="preserve">- </w:t>
            </w:r>
            <w:proofErr w:type="spellStart"/>
            <w:r w:rsidRPr="00B74A55">
              <w:rPr>
                <w:rFonts w:eastAsia="Arial"/>
                <w:sz w:val="22"/>
              </w:rPr>
              <w:t>внутрішнє</w:t>
            </w:r>
            <w:proofErr w:type="spellEnd"/>
            <w:r w:rsidRPr="00B74A55">
              <w:rPr>
                <w:rFonts w:eastAsia="Arial"/>
                <w:sz w:val="22"/>
              </w:rPr>
              <w:t xml:space="preserve"> </w:t>
            </w:r>
            <w:proofErr w:type="spellStart"/>
            <w:r w:rsidRPr="00B74A55">
              <w:rPr>
                <w:rFonts w:eastAsia="Arial"/>
                <w:sz w:val="22"/>
              </w:rPr>
              <w:t>оздоблення</w:t>
            </w:r>
            <w:proofErr w:type="spellEnd"/>
            <w:r w:rsidRPr="00B74A55">
              <w:rPr>
                <w:rFonts w:eastAsia="Arial"/>
                <w:sz w:val="22"/>
              </w:rPr>
              <w:t xml:space="preserve"> </w:t>
            </w:r>
            <w:proofErr w:type="spellStart"/>
            <w:r w:rsidRPr="00B74A55">
              <w:rPr>
                <w:rFonts w:eastAsia="Arial"/>
                <w:sz w:val="22"/>
              </w:rPr>
              <w:t>приміщення</w:t>
            </w:r>
            <w:proofErr w:type="spellEnd"/>
            <w:r w:rsidRPr="00B74A55">
              <w:rPr>
                <w:rFonts w:eastAsia="Arial"/>
                <w:sz w:val="22"/>
              </w:rPr>
              <w:t xml:space="preserve">;                       </w:t>
            </w:r>
          </w:p>
          <w:p w:rsidR="009F6B39" w:rsidRPr="00B74A55" w:rsidRDefault="009F6B39" w:rsidP="001038B7">
            <w:pPr>
              <w:ind w:firstLine="681"/>
              <w:rPr>
                <w:rFonts w:eastAsia="Arial"/>
                <w:sz w:val="22"/>
              </w:rPr>
            </w:pPr>
            <w:r w:rsidRPr="00B74A55">
              <w:rPr>
                <w:rFonts w:eastAsia="Arial"/>
                <w:sz w:val="22"/>
              </w:rPr>
              <w:t xml:space="preserve">- </w:t>
            </w:r>
            <w:proofErr w:type="spellStart"/>
            <w:r w:rsidRPr="00B74A55">
              <w:rPr>
                <w:rFonts w:eastAsia="Arial"/>
                <w:sz w:val="22"/>
              </w:rPr>
              <w:t>відновлення</w:t>
            </w:r>
            <w:proofErr w:type="spellEnd"/>
            <w:r w:rsidRPr="00B74A55">
              <w:rPr>
                <w:rFonts w:eastAsia="Arial"/>
                <w:sz w:val="22"/>
              </w:rPr>
              <w:t xml:space="preserve"> </w:t>
            </w:r>
            <w:proofErr w:type="spellStart"/>
            <w:r w:rsidRPr="00B74A55">
              <w:rPr>
                <w:rFonts w:eastAsia="Arial"/>
                <w:sz w:val="22"/>
              </w:rPr>
              <w:t>системи</w:t>
            </w:r>
            <w:proofErr w:type="spellEnd"/>
            <w:r w:rsidRPr="00B74A55">
              <w:rPr>
                <w:rFonts w:eastAsia="Arial"/>
                <w:sz w:val="22"/>
              </w:rPr>
              <w:t xml:space="preserve"> водогону та </w:t>
            </w:r>
            <w:proofErr w:type="spellStart"/>
            <w:r w:rsidRPr="00B74A55">
              <w:rPr>
                <w:rFonts w:eastAsia="Arial"/>
                <w:sz w:val="22"/>
              </w:rPr>
              <w:t>водовідведення</w:t>
            </w:r>
            <w:proofErr w:type="spellEnd"/>
            <w:r w:rsidRPr="00B74A55">
              <w:rPr>
                <w:rFonts w:eastAsia="Arial"/>
                <w:sz w:val="22"/>
              </w:rPr>
              <w:t xml:space="preserve">                                   </w:t>
            </w:r>
            <w:proofErr w:type="spellStart"/>
            <w:r w:rsidRPr="00B74A55">
              <w:rPr>
                <w:rFonts w:eastAsia="Arial"/>
                <w:sz w:val="22"/>
              </w:rPr>
              <w:t>санвузлів</w:t>
            </w:r>
            <w:proofErr w:type="spellEnd"/>
            <w:r w:rsidRPr="00B74A55">
              <w:rPr>
                <w:rFonts w:eastAsia="Arial"/>
                <w:sz w:val="22"/>
              </w:rPr>
              <w:t xml:space="preserve">;                                                                   </w:t>
            </w:r>
          </w:p>
          <w:p w:rsidR="009F6B39" w:rsidRPr="00B74A55" w:rsidRDefault="009F6B39" w:rsidP="001038B7">
            <w:pPr>
              <w:ind w:firstLine="681"/>
              <w:rPr>
                <w:rFonts w:eastAsia="Arial"/>
                <w:sz w:val="22"/>
              </w:rPr>
            </w:pPr>
            <w:r w:rsidRPr="00B74A55">
              <w:rPr>
                <w:rFonts w:eastAsia="Arial"/>
                <w:sz w:val="22"/>
              </w:rPr>
              <w:t xml:space="preserve">- </w:t>
            </w:r>
            <w:proofErr w:type="spellStart"/>
            <w:r w:rsidRPr="00B74A55">
              <w:rPr>
                <w:rFonts w:eastAsia="Arial"/>
                <w:sz w:val="22"/>
              </w:rPr>
              <w:t>відновлення</w:t>
            </w:r>
            <w:proofErr w:type="spellEnd"/>
            <w:r w:rsidRPr="00B74A55">
              <w:rPr>
                <w:rFonts w:eastAsia="Arial"/>
                <w:sz w:val="22"/>
              </w:rPr>
              <w:t xml:space="preserve"> </w:t>
            </w:r>
            <w:proofErr w:type="spellStart"/>
            <w:r w:rsidRPr="00B74A55">
              <w:rPr>
                <w:rFonts w:eastAsia="Arial"/>
                <w:sz w:val="22"/>
              </w:rPr>
              <w:t>внутрішньої</w:t>
            </w:r>
            <w:proofErr w:type="spellEnd"/>
            <w:r w:rsidRPr="00B74A55">
              <w:rPr>
                <w:rFonts w:eastAsia="Arial"/>
                <w:sz w:val="22"/>
              </w:rPr>
              <w:t xml:space="preserve"> та </w:t>
            </w:r>
            <w:proofErr w:type="spellStart"/>
            <w:r w:rsidRPr="00B74A55">
              <w:rPr>
                <w:rFonts w:eastAsia="Arial"/>
                <w:sz w:val="22"/>
              </w:rPr>
              <w:t>зовнішньої</w:t>
            </w:r>
            <w:proofErr w:type="spellEnd"/>
            <w:r w:rsidRPr="00B74A55">
              <w:rPr>
                <w:rFonts w:eastAsia="Arial"/>
                <w:sz w:val="22"/>
              </w:rPr>
              <w:t xml:space="preserve"> </w:t>
            </w:r>
            <w:proofErr w:type="spellStart"/>
            <w:r w:rsidRPr="00B74A55">
              <w:rPr>
                <w:rFonts w:eastAsia="Arial"/>
                <w:sz w:val="22"/>
              </w:rPr>
              <w:t>системи</w:t>
            </w:r>
            <w:proofErr w:type="spellEnd"/>
            <w:r w:rsidRPr="00B74A55">
              <w:rPr>
                <w:rFonts w:eastAsia="Arial"/>
                <w:sz w:val="22"/>
              </w:rPr>
              <w:t xml:space="preserve">   </w:t>
            </w:r>
            <w:proofErr w:type="spellStart"/>
            <w:r w:rsidRPr="00B74A55">
              <w:rPr>
                <w:rFonts w:eastAsia="Arial"/>
                <w:sz w:val="22"/>
              </w:rPr>
              <w:t>енергопостачання</w:t>
            </w:r>
            <w:proofErr w:type="spellEnd"/>
            <w:r w:rsidRPr="00B74A55">
              <w:rPr>
                <w:rFonts w:eastAsia="Arial"/>
                <w:sz w:val="22"/>
              </w:rPr>
              <w:t xml:space="preserve"> та </w:t>
            </w:r>
            <w:proofErr w:type="spellStart"/>
            <w:r w:rsidRPr="00B74A55">
              <w:rPr>
                <w:rFonts w:eastAsia="Arial"/>
                <w:sz w:val="22"/>
              </w:rPr>
              <w:t>освітлення</w:t>
            </w:r>
            <w:proofErr w:type="spellEnd"/>
            <w:r w:rsidRPr="00B74A55">
              <w:rPr>
                <w:rFonts w:eastAsia="Arial"/>
                <w:sz w:val="22"/>
              </w:rPr>
              <w:t xml:space="preserve">;                                             </w:t>
            </w:r>
          </w:p>
          <w:p w:rsidR="009F6B39" w:rsidRPr="00B74A55" w:rsidRDefault="009F6B39" w:rsidP="001038B7">
            <w:pPr>
              <w:ind w:left="681"/>
              <w:rPr>
                <w:rFonts w:eastAsia="Arial"/>
                <w:sz w:val="22"/>
              </w:rPr>
            </w:pPr>
            <w:r w:rsidRPr="00B74A55">
              <w:rPr>
                <w:rFonts w:eastAsia="Arial"/>
                <w:sz w:val="22"/>
              </w:rPr>
              <w:t xml:space="preserve">- </w:t>
            </w:r>
            <w:proofErr w:type="spellStart"/>
            <w:r w:rsidRPr="00B74A55">
              <w:rPr>
                <w:rFonts w:eastAsia="Arial"/>
                <w:sz w:val="22"/>
              </w:rPr>
              <w:t>відновлення</w:t>
            </w:r>
            <w:proofErr w:type="spellEnd"/>
            <w:r w:rsidRPr="00B74A55">
              <w:rPr>
                <w:rFonts w:eastAsia="Arial"/>
                <w:sz w:val="22"/>
              </w:rPr>
              <w:t xml:space="preserve"> </w:t>
            </w:r>
            <w:proofErr w:type="spellStart"/>
            <w:r w:rsidRPr="00B74A55">
              <w:rPr>
                <w:rFonts w:eastAsia="Arial"/>
                <w:sz w:val="22"/>
              </w:rPr>
              <w:t>системи</w:t>
            </w:r>
            <w:proofErr w:type="spellEnd"/>
            <w:r w:rsidRPr="00B74A55">
              <w:rPr>
                <w:rFonts w:eastAsia="Arial"/>
                <w:sz w:val="22"/>
              </w:rPr>
              <w:t xml:space="preserve"> </w:t>
            </w:r>
            <w:proofErr w:type="spellStart"/>
            <w:r w:rsidRPr="00B74A55">
              <w:rPr>
                <w:rFonts w:eastAsia="Arial"/>
                <w:sz w:val="22"/>
              </w:rPr>
              <w:t>опалення</w:t>
            </w:r>
            <w:proofErr w:type="spellEnd"/>
            <w:r w:rsidRPr="00B74A55">
              <w:rPr>
                <w:rFonts w:eastAsia="Arial"/>
                <w:sz w:val="22"/>
              </w:rPr>
              <w:t xml:space="preserve"> та ІТП в </w:t>
            </w:r>
            <w:proofErr w:type="spellStart"/>
            <w:r w:rsidRPr="00B74A55">
              <w:rPr>
                <w:rFonts w:eastAsia="Arial"/>
                <w:sz w:val="22"/>
              </w:rPr>
              <w:t>будівлі</w:t>
            </w:r>
            <w:proofErr w:type="spellEnd"/>
            <w:r w:rsidRPr="00B74A55">
              <w:rPr>
                <w:rFonts w:eastAsia="Arial"/>
                <w:sz w:val="22"/>
              </w:rPr>
              <w:t xml:space="preserve">;                  </w:t>
            </w:r>
          </w:p>
          <w:p w:rsidR="009F6B39" w:rsidRPr="00B74A55" w:rsidRDefault="009F6B39" w:rsidP="001038B7">
            <w:pPr>
              <w:ind w:left="681"/>
              <w:rPr>
                <w:rFonts w:eastAsia="Arial"/>
                <w:sz w:val="22"/>
              </w:rPr>
            </w:pPr>
            <w:r w:rsidRPr="00B74A55">
              <w:rPr>
                <w:rFonts w:eastAsia="Arial"/>
                <w:sz w:val="22"/>
              </w:rPr>
              <w:t xml:space="preserve">- ремонт 14-ти </w:t>
            </w:r>
            <w:proofErr w:type="spellStart"/>
            <w:r w:rsidRPr="00B74A55">
              <w:rPr>
                <w:rFonts w:eastAsia="Arial"/>
                <w:sz w:val="22"/>
              </w:rPr>
              <w:t>групових</w:t>
            </w:r>
            <w:proofErr w:type="spellEnd"/>
            <w:r w:rsidRPr="00B74A55">
              <w:rPr>
                <w:rFonts w:eastAsia="Arial"/>
                <w:sz w:val="22"/>
              </w:rPr>
              <w:t xml:space="preserve"> </w:t>
            </w:r>
            <w:proofErr w:type="spellStart"/>
            <w:r w:rsidRPr="00B74A55">
              <w:rPr>
                <w:rFonts w:eastAsia="Arial"/>
                <w:sz w:val="22"/>
              </w:rPr>
              <w:t>осередків</w:t>
            </w:r>
            <w:proofErr w:type="spellEnd"/>
            <w:r w:rsidRPr="00B74A55">
              <w:rPr>
                <w:rFonts w:eastAsia="Arial"/>
                <w:sz w:val="22"/>
              </w:rPr>
              <w:t xml:space="preserve">;                         </w:t>
            </w:r>
          </w:p>
          <w:p w:rsidR="009F6B39" w:rsidRPr="00B74A55" w:rsidRDefault="009F6B39" w:rsidP="001038B7">
            <w:pPr>
              <w:ind w:left="681"/>
              <w:rPr>
                <w:rFonts w:eastAsia="Arial"/>
                <w:sz w:val="22"/>
              </w:rPr>
            </w:pPr>
            <w:r w:rsidRPr="00B74A55">
              <w:rPr>
                <w:rFonts w:eastAsia="Arial"/>
                <w:sz w:val="22"/>
              </w:rPr>
              <w:t xml:space="preserve">- </w:t>
            </w:r>
            <w:proofErr w:type="gramStart"/>
            <w:r w:rsidRPr="00B74A55">
              <w:rPr>
                <w:rFonts w:eastAsia="Arial"/>
                <w:sz w:val="22"/>
              </w:rPr>
              <w:t xml:space="preserve">ремонт  </w:t>
            </w:r>
            <w:proofErr w:type="spellStart"/>
            <w:r w:rsidRPr="00B74A55">
              <w:rPr>
                <w:rFonts w:eastAsia="Arial"/>
                <w:sz w:val="22"/>
              </w:rPr>
              <w:t>харчоблоку</w:t>
            </w:r>
            <w:proofErr w:type="spellEnd"/>
            <w:proofErr w:type="gramEnd"/>
            <w:r w:rsidRPr="00B74A55">
              <w:rPr>
                <w:rFonts w:eastAsia="Arial"/>
                <w:sz w:val="22"/>
              </w:rPr>
              <w:t xml:space="preserve">;                                                   </w:t>
            </w:r>
          </w:p>
          <w:p w:rsidR="009F6B39" w:rsidRPr="00B74A55" w:rsidRDefault="009F6B39" w:rsidP="001038B7">
            <w:pPr>
              <w:ind w:left="681"/>
              <w:rPr>
                <w:rFonts w:eastAsia="Arial"/>
                <w:sz w:val="22"/>
              </w:rPr>
            </w:pPr>
            <w:r w:rsidRPr="00B74A55">
              <w:rPr>
                <w:rFonts w:eastAsia="Arial"/>
                <w:sz w:val="22"/>
              </w:rPr>
              <w:t xml:space="preserve">- ремонт </w:t>
            </w:r>
            <w:proofErr w:type="spellStart"/>
            <w:r w:rsidRPr="00B74A55">
              <w:rPr>
                <w:rFonts w:eastAsia="Arial"/>
                <w:sz w:val="22"/>
              </w:rPr>
              <w:t>медичного</w:t>
            </w:r>
            <w:proofErr w:type="spellEnd"/>
            <w:r w:rsidRPr="00B74A55">
              <w:rPr>
                <w:rFonts w:eastAsia="Arial"/>
                <w:sz w:val="22"/>
              </w:rPr>
              <w:t xml:space="preserve"> блоку;                                           </w:t>
            </w:r>
          </w:p>
          <w:p w:rsidR="009F6B39" w:rsidRPr="00B74A55" w:rsidRDefault="009F6B39" w:rsidP="001038B7">
            <w:pPr>
              <w:ind w:left="681"/>
              <w:rPr>
                <w:rFonts w:eastAsia="Arial"/>
                <w:sz w:val="22"/>
              </w:rPr>
            </w:pPr>
            <w:r w:rsidRPr="00B74A55">
              <w:rPr>
                <w:rFonts w:eastAsia="Arial"/>
                <w:sz w:val="22"/>
              </w:rPr>
              <w:t xml:space="preserve">- </w:t>
            </w:r>
            <w:proofErr w:type="gramStart"/>
            <w:r w:rsidRPr="00B74A55">
              <w:rPr>
                <w:rFonts w:eastAsia="Arial"/>
                <w:sz w:val="22"/>
              </w:rPr>
              <w:t xml:space="preserve">ремонт  </w:t>
            </w:r>
            <w:proofErr w:type="spellStart"/>
            <w:r w:rsidRPr="00B74A55">
              <w:rPr>
                <w:rFonts w:eastAsia="Arial"/>
                <w:sz w:val="22"/>
              </w:rPr>
              <w:t>музичної</w:t>
            </w:r>
            <w:proofErr w:type="spellEnd"/>
            <w:proofErr w:type="gramEnd"/>
            <w:r w:rsidRPr="00B74A55">
              <w:rPr>
                <w:rFonts w:eastAsia="Arial"/>
                <w:sz w:val="22"/>
              </w:rPr>
              <w:t xml:space="preserve"> зали;                                               </w:t>
            </w:r>
          </w:p>
          <w:p w:rsidR="009F6B39" w:rsidRPr="00B74A55" w:rsidRDefault="009F6B39" w:rsidP="001038B7">
            <w:pPr>
              <w:ind w:left="681"/>
              <w:rPr>
                <w:rFonts w:eastAsia="Arial"/>
                <w:sz w:val="22"/>
              </w:rPr>
            </w:pPr>
            <w:r w:rsidRPr="00B74A55">
              <w:rPr>
                <w:rFonts w:eastAsia="Arial"/>
                <w:sz w:val="22"/>
              </w:rPr>
              <w:t xml:space="preserve">- ремонт </w:t>
            </w:r>
            <w:proofErr w:type="spellStart"/>
            <w:r w:rsidRPr="00B74A55">
              <w:rPr>
                <w:rFonts w:eastAsia="Arial"/>
                <w:sz w:val="22"/>
              </w:rPr>
              <w:t>кабінетів</w:t>
            </w:r>
            <w:proofErr w:type="spellEnd"/>
            <w:r w:rsidRPr="00B74A55">
              <w:rPr>
                <w:rFonts w:eastAsia="Arial"/>
                <w:sz w:val="22"/>
              </w:rPr>
              <w:t xml:space="preserve"> </w:t>
            </w:r>
            <w:proofErr w:type="spellStart"/>
            <w:r w:rsidRPr="00B74A55">
              <w:rPr>
                <w:rFonts w:eastAsia="Arial"/>
                <w:sz w:val="22"/>
              </w:rPr>
              <w:t>вузьких</w:t>
            </w:r>
            <w:proofErr w:type="spellEnd"/>
            <w:r w:rsidRPr="00B74A55">
              <w:rPr>
                <w:rFonts w:eastAsia="Arial"/>
                <w:sz w:val="22"/>
              </w:rPr>
              <w:t xml:space="preserve"> </w:t>
            </w:r>
            <w:proofErr w:type="spellStart"/>
            <w:r w:rsidRPr="00B74A55">
              <w:rPr>
                <w:rFonts w:eastAsia="Arial"/>
                <w:sz w:val="22"/>
              </w:rPr>
              <w:t>спеціалістів</w:t>
            </w:r>
            <w:proofErr w:type="spellEnd"/>
            <w:r w:rsidRPr="00B74A55">
              <w:rPr>
                <w:rFonts w:eastAsia="Arial"/>
                <w:sz w:val="22"/>
              </w:rPr>
              <w:t xml:space="preserve">;                     </w:t>
            </w:r>
          </w:p>
          <w:p w:rsidR="009F6B39" w:rsidRPr="00B74A55" w:rsidRDefault="009F6B39" w:rsidP="001038B7">
            <w:pPr>
              <w:ind w:firstLine="681"/>
              <w:rPr>
                <w:rFonts w:eastAsia="Arial"/>
                <w:sz w:val="22"/>
              </w:rPr>
            </w:pPr>
            <w:r w:rsidRPr="00B74A55">
              <w:rPr>
                <w:rFonts w:eastAsia="Arial"/>
                <w:sz w:val="22"/>
              </w:rPr>
              <w:t xml:space="preserve"> -  </w:t>
            </w:r>
            <w:proofErr w:type="spellStart"/>
            <w:r w:rsidRPr="00B74A55">
              <w:rPr>
                <w:rFonts w:eastAsia="Arial"/>
                <w:sz w:val="22"/>
              </w:rPr>
              <w:t>капітальний</w:t>
            </w:r>
            <w:proofErr w:type="spellEnd"/>
            <w:r w:rsidRPr="00B74A55">
              <w:rPr>
                <w:rFonts w:eastAsia="Arial"/>
                <w:sz w:val="22"/>
              </w:rPr>
              <w:t xml:space="preserve"> ремонт </w:t>
            </w:r>
            <w:proofErr w:type="spellStart"/>
            <w:r w:rsidRPr="00B74A55">
              <w:rPr>
                <w:rFonts w:eastAsia="Arial"/>
                <w:sz w:val="22"/>
              </w:rPr>
              <w:t>басейну</w:t>
            </w:r>
            <w:proofErr w:type="spellEnd"/>
            <w:r w:rsidRPr="00B74A55">
              <w:rPr>
                <w:rFonts w:eastAsia="Arial"/>
                <w:sz w:val="22"/>
              </w:rPr>
              <w:t xml:space="preserve">;                                     </w:t>
            </w:r>
          </w:p>
          <w:p w:rsidR="009F6B39" w:rsidRPr="00B74A55" w:rsidRDefault="009F6B39" w:rsidP="001038B7">
            <w:pPr>
              <w:ind w:firstLine="360"/>
              <w:rPr>
                <w:rFonts w:eastAsia="Arial"/>
                <w:sz w:val="22"/>
              </w:rPr>
            </w:pPr>
            <w:r w:rsidRPr="00B74A55">
              <w:rPr>
                <w:rFonts w:eastAsia="Arial"/>
                <w:sz w:val="22"/>
              </w:rPr>
              <w:t xml:space="preserve">      -   ремонт </w:t>
            </w:r>
            <w:proofErr w:type="spellStart"/>
            <w:r w:rsidRPr="00B74A55">
              <w:rPr>
                <w:rFonts w:eastAsia="Arial"/>
                <w:sz w:val="22"/>
              </w:rPr>
              <w:t>сходових</w:t>
            </w:r>
            <w:proofErr w:type="spellEnd"/>
            <w:r w:rsidRPr="00B74A55">
              <w:rPr>
                <w:rFonts w:eastAsia="Arial"/>
                <w:sz w:val="22"/>
              </w:rPr>
              <w:t xml:space="preserve"> клітин;                                            </w:t>
            </w:r>
          </w:p>
          <w:p w:rsidR="009F6B39" w:rsidRPr="00B74A55" w:rsidRDefault="009F6B39" w:rsidP="001038B7">
            <w:pPr>
              <w:ind w:firstLine="360"/>
              <w:rPr>
                <w:rFonts w:eastAsia="Arial"/>
                <w:sz w:val="22"/>
              </w:rPr>
            </w:pPr>
            <w:r w:rsidRPr="00B74A55">
              <w:rPr>
                <w:rFonts w:eastAsia="Arial"/>
                <w:sz w:val="22"/>
              </w:rPr>
              <w:t xml:space="preserve">      -   ремонт </w:t>
            </w:r>
            <w:proofErr w:type="spellStart"/>
            <w:r w:rsidRPr="00B74A55">
              <w:rPr>
                <w:rFonts w:eastAsia="Arial"/>
                <w:sz w:val="22"/>
              </w:rPr>
              <w:t>евакуаційних</w:t>
            </w:r>
            <w:proofErr w:type="spellEnd"/>
            <w:r w:rsidRPr="00B74A55">
              <w:rPr>
                <w:rFonts w:eastAsia="Arial"/>
                <w:sz w:val="22"/>
              </w:rPr>
              <w:t xml:space="preserve"> </w:t>
            </w:r>
            <w:proofErr w:type="spellStart"/>
            <w:proofErr w:type="gramStart"/>
            <w:r w:rsidRPr="00B74A55">
              <w:rPr>
                <w:rFonts w:eastAsia="Arial"/>
                <w:sz w:val="22"/>
              </w:rPr>
              <w:t>виходів</w:t>
            </w:r>
            <w:proofErr w:type="spellEnd"/>
            <w:r w:rsidRPr="00B74A55">
              <w:rPr>
                <w:rFonts w:eastAsia="Arial"/>
                <w:sz w:val="22"/>
              </w:rPr>
              <w:t xml:space="preserve"> ;</w:t>
            </w:r>
            <w:proofErr w:type="gramEnd"/>
            <w:r w:rsidRPr="00B74A55">
              <w:rPr>
                <w:rFonts w:eastAsia="Arial"/>
                <w:sz w:val="22"/>
              </w:rPr>
              <w:t xml:space="preserve"> </w:t>
            </w:r>
          </w:p>
          <w:p w:rsidR="009F6B39" w:rsidRPr="00B74A55" w:rsidRDefault="009F6B39" w:rsidP="001038B7">
            <w:pPr>
              <w:ind w:firstLine="360"/>
              <w:rPr>
                <w:rFonts w:eastAsia="Arial"/>
                <w:sz w:val="22"/>
              </w:rPr>
            </w:pPr>
            <w:r w:rsidRPr="00B74A55">
              <w:rPr>
                <w:rFonts w:eastAsia="Arial"/>
                <w:sz w:val="22"/>
              </w:rPr>
              <w:lastRenderedPageBreak/>
              <w:t xml:space="preserve">      -   </w:t>
            </w:r>
            <w:proofErr w:type="spellStart"/>
            <w:r w:rsidRPr="00B74A55">
              <w:rPr>
                <w:rFonts w:eastAsia="Arial"/>
                <w:sz w:val="22"/>
              </w:rPr>
              <w:t>оснащення</w:t>
            </w:r>
            <w:proofErr w:type="spellEnd"/>
            <w:r w:rsidRPr="00B74A55">
              <w:rPr>
                <w:rFonts w:eastAsia="Arial"/>
                <w:sz w:val="22"/>
              </w:rPr>
              <w:t xml:space="preserve"> педпроцесу.                                      </w:t>
            </w:r>
          </w:p>
          <w:p w:rsidR="009F6B39" w:rsidRPr="00B74A55" w:rsidRDefault="009F6B39" w:rsidP="001038B7">
            <w:pPr>
              <w:rPr>
                <w:sz w:val="22"/>
              </w:rPr>
            </w:pPr>
            <w:r w:rsidRPr="00B74A55">
              <w:rPr>
                <w:rFonts w:eastAsia="Arial"/>
                <w:sz w:val="22"/>
              </w:rPr>
              <w:t xml:space="preserve">Для </w:t>
            </w:r>
            <w:proofErr w:type="spellStart"/>
            <w:r w:rsidRPr="00B74A55">
              <w:rPr>
                <w:rFonts w:eastAsia="Arial"/>
                <w:sz w:val="22"/>
              </w:rPr>
              <w:t>відбудови</w:t>
            </w:r>
            <w:proofErr w:type="spellEnd"/>
            <w:r w:rsidRPr="00B74A55">
              <w:rPr>
                <w:rFonts w:eastAsia="Arial"/>
                <w:sz w:val="22"/>
              </w:rPr>
              <w:t xml:space="preserve"> та </w:t>
            </w:r>
            <w:proofErr w:type="spellStart"/>
            <w:r w:rsidRPr="00B74A55">
              <w:rPr>
                <w:rFonts w:eastAsia="Arial"/>
                <w:sz w:val="22"/>
              </w:rPr>
              <w:t>сталого</w:t>
            </w:r>
            <w:proofErr w:type="spellEnd"/>
            <w:r w:rsidRPr="00B74A55">
              <w:rPr>
                <w:rFonts w:eastAsia="Arial"/>
                <w:sz w:val="22"/>
              </w:rPr>
              <w:t xml:space="preserve"> </w:t>
            </w:r>
            <w:proofErr w:type="spellStart"/>
            <w:r w:rsidRPr="00B74A55">
              <w:rPr>
                <w:rFonts w:eastAsia="Arial"/>
                <w:sz w:val="22"/>
              </w:rPr>
              <w:t>розвитку</w:t>
            </w:r>
            <w:proofErr w:type="spellEnd"/>
            <w:r w:rsidRPr="00B74A55">
              <w:rPr>
                <w:rFonts w:eastAsia="Arial"/>
                <w:sz w:val="22"/>
              </w:rPr>
              <w:t xml:space="preserve"> </w:t>
            </w:r>
            <w:proofErr w:type="spellStart"/>
            <w:r w:rsidRPr="00B74A55">
              <w:rPr>
                <w:rFonts w:eastAsia="Arial"/>
                <w:sz w:val="22"/>
              </w:rPr>
              <w:t>громади</w:t>
            </w:r>
            <w:proofErr w:type="spellEnd"/>
            <w:r w:rsidRPr="00B74A55">
              <w:rPr>
                <w:rFonts w:eastAsia="Arial"/>
                <w:sz w:val="22"/>
              </w:rPr>
              <w:t xml:space="preserve"> </w:t>
            </w:r>
            <w:proofErr w:type="spellStart"/>
            <w:r w:rsidRPr="00B74A55">
              <w:rPr>
                <w:rFonts w:eastAsia="Arial"/>
                <w:sz w:val="22"/>
              </w:rPr>
              <w:t>вкрай</w:t>
            </w:r>
            <w:proofErr w:type="spellEnd"/>
            <w:r w:rsidRPr="00B74A55">
              <w:rPr>
                <w:rFonts w:eastAsia="Arial"/>
                <w:sz w:val="22"/>
              </w:rPr>
              <w:t xml:space="preserve"> </w:t>
            </w:r>
            <w:proofErr w:type="spellStart"/>
            <w:proofErr w:type="gramStart"/>
            <w:r w:rsidRPr="00B74A55">
              <w:rPr>
                <w:rFonts w:eastAsia="Arial"/>
                <w:sz w:val="22"/>
              </w:rPr>
              <w:t>важливе</w:t>
            </w:r>
            <w:proofErr w:type="spellEnd"/>
            <w:r w:rsidRPr="00B74A55">
              <w:rPr>
                <w:rFonts w:eastAsia="Arial"/>
                <w:sz w:val="22"/>
              </w:rPr>
              <w:t xml:space="preserve">  </w:t>
            </w:r>
            <w:proofErr w:type="spellStart"/>
            <w:r w:rsidRPr="00B74A55">
              <w:rPr>
                <w:rFonts w:eastAsia="Arial"/>
                <w:sz w:val="22"/>
              </w:rPr>
              <w:t>відновлення</w:t>
            </w:r>
            <w:proofErr w:type="spellEnd"/>
            <w:proofErr w:type="gramEnd"/>
            <w:r w:rsidRPr="00B74A55">
              <w:rPr>
                <w:rFonts w:eastAsia="Arial"/>
                <w:sz w:val="22"/>
              </w:rPr>
              <w:t xml:space="preserve"> </w:t>
            </w:r>
            <w:proofErr w:type="spellStart"/>
            <w:r w:rsidRPr="00B74A55">
              <w:rPr>
                <w:rFonts w:eastAsia="Arial"/>
                <w:sz w:val="22"/>
              </w:rPr>
              <w:t>роботи</w:t>
            </w:r>
            <w:proofErr w:type="spellEnd"/>
            <w:r w:rsidRPr="00B74A55">
              <w:rPr>
                <w:rFonts w:eastAsia="Arial"/>
                <w:sz w:val="22"/>
              </w:rPr>
              <w:t xml:space="preserve"> </w:t>
            </w:r>
            <w:proofErr w:type="spellStart"/>
            <w:r w:rsidRPr="00B74A55">
              <w:rPr>
                <w:rFonts w:eastAsia="Arial"/>
                <w:sz w:val="22"/>
              </w:rPr>
              <w:t>мережі</w:t>
            </w:r>
            <w:proofErr w:type="spellEnd"/>
            <w:r w:rsidRPr="00B74A55">
              <w:rPr>
                <w:rFonts w:eastAsia="Arial"/>
                <w:sz w:val="22"/>
              </w:rPr>
              <w:t xml:space="preserve"> </w:t>
            </w:r>
            <w:proofErr w:type="spellStart"/>
            <w:r w:rsidRPr="00B74A55">
              <w:rPr>
                <w:rFonts w:eastAsia="Arial"/>
                <w:sz w:val="22"/>
              </w:rPr>
              <w:t>закладів</w:t>
            </w:r>
            <w:proofErr w:type="spellEnd"/>
            <w:r w:rsidRPr="00B74A55">
              <w:rPr>
                <w:rFonts w:eastAsia="Arial"/>
                <w:sz w:val="22"/>
              </w:rPr>
              <w:t xml:space="preserve"> </w:t>
            </w:r>
            <w:proofErr w:type="spellStart"/>
            <w:r w:rsidRPr="00B74A55">
              <w:rPr>
                <w:rFonts w:eastAsia="Arial"/>
                <w:sz w:val="22"/>
              </w:rPr>
              <w:t>дошкільної</w:t>
            </w:r>
            <w:proofErr w:type="spellEnd"/>
            <w:r w:rsidRPr="00B74A55">
              <w:rPr>
                <w:rFonts w:eastAsia="Arial"/>
                <w:sz w:val="22"/>
              </w:rPr>
              <w:t xml:space="preserve"> </w:t>
            </w:r>
            <w:proofErr w:type="spellStart"/>
            <w:r w:rsidRPr="00B74A55">
              <w:rPr>
                <w:rFonts w:eastAsia="Arial"/>
                <w:sz w:val="22"/>
              </w:rPr>
              <w:t>освіти</w:t>
            </w:r>
            <w:proofErr w:type="spellEnd"/>
            <w:r w:rsidRPr="00B74A55">
              <w:rPr>
                <w:rFonts w:eastAsia="Arial"/>
                <w:sz w:val="22"/>
              </w:rPr>
              <w:t xml:space="preserve"> і </w:t>
            </w:r>
            <w:proofErr w:type="spellStart"/>
            <w:r w:rsidRPr="00B74A55">
              <w:rPr>
                <w:rFonts w:eastAsia="Arial"/>
                <w:sz w:val="22"/>
              </w:rPr>
              <w:t>зокрема</w:t>
            </w:r>
            <w:proofErr w:type="spellEnd"/>
            <w:r w:rsidRPr="00B74A55">
              <w:rPr>
                <w:rFonts w:eastAsia="Arial"/>
                <w:sz w:val="22"/>
              </w:rPr>
              <w:t xml:space="preserve"> </w:t>
            </w:r>
            <w:proofErr w:type="spellStart"/>
            <w:r w:rsidRPr="00B74A55">
              <w:rPr>
                <w:rFonts w:eastAsia="Arial"/>
                <w:sz w:val="22"/>
              </w:rPr>
              <w:t>Ясла</w:t>
            </w:r>
            <w:proofErr w:type="spellEnd"/>
            <w:r w:rsidRPr="00B74A55">
              <w:rPr>
                <w:rFonts w:eastAsia="Arial"/>
                <w:sz w:val="22"/>
              </w:rPr>
              <w:t xml:space="preserve">-садок №43 </w:t>
            </w:r>
            <w:proofErr w:type="spellStart"/>
            <w:r w:rsidRPr="00B74A55">
              <w:rPr>
                <w:rFonts w:eastAsia="Arial"/>
                <w:sz w:val="22"/>
              </w:rPr>
              <w:t>міста</w:t>
            </w:r>
            <w:proofErr w:type="spellEnd"/>
            <w:r w:rsidRPr="00B74A55">
              <w:rPr>
                <w:rFonts w:eastAsia="Arial"/>
                <w:sz w:val="22"/>
              </w:rPr>
              <w:t xml:space="preserve"> </w:t>
            </w:r>
            <w:proofErr w:type="spellStart"/>
            <w:r w:rsidRPr="00B74A55">
              <w:rPr>
                <w:rFonts w:eastAsia="Arial"/>
                <w:sz w:val="22"/>
              </w:rPr>
              <w:t>Сєвєродонецька</w:t>
            </w:r>
            <w:proofErr w:type="spellEnd"/>
            <w:r w:rsidRPr="00B74A55">
              <w:rPr>
                <w:rFonts w:eastAsia="Arial"/>
                <w:sz w:val="22"/>
              </w:rPr>
              <w:t xml:space="preserve"> </w:t>
            </w:r>
            <w:proofErr w:type="spellStart"/>
            <w:r w:rsidRPr="00B74A55">
              <w:rPr>
                <w:rFonts w:eastAsia="Arial"/>
                <w:sz w:val="22"/>
              </w:rPr>
              <w:t>Луганської</w:t>
            </w:r>
            <w:proofErr w:type="spellEnd"/>
            <w:r w:rsidRPr="00B74A55">
              <w:rPr>
                <w:rFonts w:eastAsia="Arial"/>
                <w:sz w:val="22"/>
              </w:rPr>
              <w:t xml:space="preserve"> </w:t>
            </w:r>
            <w:proofErr w:type="spellStart"/>
            <w:r w:rsidRPr="00B74A55">
              <w:rPr>
                <w:rFonts w:eastAsia="Arial"/>
                <w:sz w:val="22"/>
              </w:rPr>
              <w:t>області</w:t>
            </w:r>
            <w:proofErr w:type="spellEnd"/>
            <w:r w:rsidRPr="00B74A55">
              <w:rPr>
                <w:rFonts w:eastAsia="Arial"/>
                <w:sz w:val="22"/>
              </w:rPr>
              <w:t>.</w:t>
            </w:r>
            <w:r w:rsidRPr="00B74A55">
              <w:rPr>
                <w:sz w:val="22"/>
              </w:rPr>
              <w:t xml:space="preserve"> </w:t>
            </w:r>
            <w:proofErr w:type="spellStart"/>
            <w:r w:rsidRPr="00B74A55">
              <w:rPr>
                <w:rFonts w:eastAsia="Arial"/>
                <w:sz w:val="22"/>
              </w:rPr>
              <w:t>Мешканці</w:t>
            </w:r>
            <w:proofErr w:type="spellEnd"/>
            <w:r w:rsidRPr="00B74A55">
              <w:rPr>
                <w:rFonts w:eastAsia="Arial"/>
                <w:sz w:val="22"/>
              </w:rPr>
              <w:t xml:space="preserve"> </w:t>
            </w:r>
            <w:proofErr w:type="spellStart"/>
            <w:r w:rsidRPr="00B74A55">
              <w:rPr>
                <w:rFonts w:eastAsia="Arial"/>
                <w:sz w:val="22"/>
              </w:rPr>
              <w:t>громади</w:t>
            </w:r>
            <w:proofErr w:type="spellEnd"/>
            <w:r w:rsidRPr="00B74A55">
              <w:rPr>
                <w:rFonts w:eastAsia="Arial"/>
                <w:sz w:val="22"/>
              </w:rPr>
              <w:t xml:space="preserve"> </w:t>
            </w:r>
            <w:proofErr w:type="spellStart"/>
            <w:r w:rsidRPr="00B74A55">
              <w:rPr>
                <w:rFonts w:eastAsia="Arial"/>
                <w:sz w:val="22"/>
              </w:rPr>
              <w:t>потребують</w:t>
            </w:r>
            <w:proofErr w:type="spellEnd"/>
            <w:r w:rsidRPr="00B74A55">
              <w:rPr>
                <w:rFonts w:eastAsia="Arial"/>
                <w:sz w:val="22"/>
              </w:rPr>
              <w:t xml:space="preserve"> в </w:t>
            </w:r>
            <w:proofErr w:type="spellStart"/>
            <w:r w:rsidRPr="00B74A55">
              <w:rPr>
                <w:rFonts w:eastAsia="Arial"/>
                <w:sz w:val="22"/>
              </w:rPr>
              <w:t>отриманні</w:t>
            </w:r>
            <w:proofErr w:type="spellEnd"/>
            <w:r w:rsidRPr="00B74A55">
              <w:rPr>
                <w:rFonts w:eastAsia="Arial"/>
                <w:sz w:val="22"/>
              </w:rPr>
              <w:t xml:space="preserve"> </w:t>
            </w:r>
            <w:proofErr w:type="spellStart"/>
            <w:proofErr w:type="gramStart"/>
            <w:r w:rsidRPr="00B74A55">
              <w:rPr>
                <w:rFonts w:eastAsia="Arial"/>
                <w:sz w:val="22"/>
              </w:rPr>
              <w:t>якісних</w:t>
            </w:r>
            <w:proofErr w:type="spellEnd"/>
            <w:r w:rsidRPr="00B74A55">
              <w:rPr>
                <w:rFonts w:eastAsia="Arial"/>
                <w:sz w:val="22"/>
              </w:rPr>
              <w:t xml:space="preserve">  </w:t>
            </w:r>
            <w:proofErr w:type="spellStart"/>
            <w:r w:rsidRPr="00B74A55">
              <w:rPr>
                <w:rFonts w:eastAsia="Arial"/>
                <w:sz w:val="22"/>
              </w:rPr>
              <w:t>освітніх</w:t>
            </w:r>
            <w:proofErr w:type="spellEnd"/>
            <w:proofErr w:type="gramEnd"/>
            <w:r w:rsidRPr="00B74A55">
              <w:rPr>
                <w:rFonts w:eastAsia="Arial"/>
                <w:sz w:val="22"/>
              </w:rPr>
              <w:t xml:space="preserve"> </w:t>
            </w:r>
            <w:proofErr w:type="spellStart"/>
            <w:r w:rsidRPr="00B74A55">
              <w:rPr>
                <w:rFonts w:eastAsia="Arial"/>
                <w:sz w:val="22"/>
              </w:rPr>
              <w:t>послуг</w:t>
            </w:r>
            <w:proofErr w:type="spellEnd"/>
            <w:r w:rsidRPr="00B74A55">
              <w:rPr>
                <w:rFonts w:eastAsia="Arial"/>
                <w:sz w:val="22"/>
              </w:rPr>
              <w:t xml:space="preserve">, </w:t>
            </w:r>
            <w:proofErr w:type="spellStart"/>
            <w:r w:rsidRPr="00B74A55">
              <w:rPr>
                <w:rFonts w:eastAsia="Arial"/>
                <w:sz w:val="22"/>
              </w:rPr>
              <w:t>які</w:t>
            </w:r>
            <w:proofErr w:type="spellEnd"/>
            <w:r w:rsidRPr="00B74A55">
              <w:rPr>
                <w:rFonts w:eastAsia="Arial"/>
                <w:sz w:val="22"/>
              </w:rPr>
              <w:t xml:space="preserve"> </w:t>
            </w:r>
            <w:proofErr w:type="spellStart"/>
            <w:r w:rsidRPr="00B74A55">
              <w:rPr>
                <w:rFonts w:eastAsia="Arial"/>
                <w:sz w:val="22"/>
              </w:rPr>
              <w:t>відповідають</w:t>
            </w:r>
            <w:proofErr w:type="spellEnd"/>
            <w:r w:rsidRPr="00B74A55">
              <w:rPr>
                <w:rFonts w:eastAsia="Arial"/>
                <w:sz w:val="22"/>
              </w:rPr>
              <w:t xml:space="preserve"> нормам </w:t>
            </w:r>
            <w:proofErr w:type="spellStart"/>
            <w:r w:rsidRPr="00B74A55">
              <w:rPr>
                <w:rFonts w:eastAsia="Arial"/>
                <w:sz w:val="22"/>
              </w:rPr>
              <w:t>сучасності</w:t>
            </w:r>
            <w:proofErr w:type="spellEnd"/>
            <w:r w:rsidRPr="00B74A55">
              <w:rPr>
                <w:rFonts w:eastAsia="Arial"/>
                <w:sz w:val="22"/>
              </w:rPr>
              <w:t xml:space="preserve">. </w:t>
            </w:r>
          </w:p>
        </w:tc>
      </w:tr>
      <w:tr w:rsidR="009F6B39" w:rsidRPr="00B74A55" w:rsidTr="009F6B39">
        <w:tc>
          <w:tcPr>
            <w:tcW w:w="2978" w:type="dxa"/>
            <w:shd w:val="clear" w:color="auto" w:fill="C6D9F1" w:themeFill="text2" w:themeFillTint="33"/>
          </w:tcPr>
          <w:p w:rsidR="009F6B39" w:rsidRPr="00B74A55" w:rsidRDefault="009F6B39" w:rsidP="001038B7">
            <w:pPr>
              <w:pStyle w:val="a7"/>
              <w:ind w:left="0"/>
              <w:rPr>
                <w:b/>
                <w:sz w:val="22"/>
              </w:rPr>
            </w:pPr>
            <w:proofErr w:type="spellStart"/>
            <w:r w:rsidRPr="00B74A55">
              <w:rPr>
                <w:b/>
                <w:sz w:val="22"/>
              </w:rPr>
              <w:lastRenderedPageBreak/>
              <w:t>Очікувані</w:t>
            </w:r>
            <w:proofErr w:type="spellEnd"/>
            <w:r w:rsidRPr="00B74A55">
              <w:rPr>
                <w:b/>
                <w:sz w:val="22"/>
              </w:rPr>
              <w:t xml:space="preserve"> </w:t>
            </w:r>
            <w:proofErr w:type="spellStart"/>
            <w:r w:rsidRPr="00B74A55">
              <w:rPr>
                <w:b/>
                <w:sz w:val="22"/>
              </w:rPr>
              <w:t>якісні</w:t>
            </w:r>
            <w:proofErr w:type="spellEnd"/>
            <w:r w:rsidRPr="00B74A55">
              <w:rPr>
                <w:b/>
                <w:sz w:val="22"/>
              </w:rPr>
              <w:t xml:space="preserve"> </w:t>
            </w:r>
            <w:proofErr w:type="spellStart"/>
            <w:r w:rsidRPr="00B74A55">
              <w:rPr>
                <w:b/>
                <w:sz w:val="22"/>
              </w:rPr>
              <w:t>результати</w:t>
            </w:r>
            <w:proofErr w:type="spellEnd"/>
            <w:r w:rsidRPr="00B74A55">
              <w:rPr>
                <w:b/>
                <w:sz w:val="22"/>
              </w:rPr>
              <w:t xml:space="preserve"> </w:t>
            </w:r>
            <w:proofErr w:type="spellStart"/>
            <w:r w:rsidRPr="00B74A55">
              <w:rPr>
                <w:b/>
                <w:sz w:val="22"/>
              </w:rPr>
              <w:t>від</w:t>
            </w:r>
            <w:proofErr w:type="spellEnd"/>
            <w:r w:rsidRPr="00B74A55">
              <w:rPr>
                <w:b/>
                <w:sz w:val="22"/>
              </w:rPr>
              <w:t xml:space="preserve"> </w:t>
            </w:r>
            <w:proofErr w:type="spellStart"/>
            <w:r w:rsidRPr="00B74A55">
              <w:rPr>
                <w:b/>
                <w:sz w:val="22"/>
              </w:rPr>
              <w:t>реалізації</w:t>
            </w:r>
            <w:proofErr w:type="spellEnd"/>
            <w:r w:rsidRPr="00B74A55">
              <w:rPr>
                <w:b/>
                <w:sz w:val="22"/>
              </w:rPr>
              <w:t xml:space="preserve"> проекту</w:t>
            </w:r>
          </w:p>
        </w:tc>
        <w:tc>
          <w:tcPr>
            <w:tcW w:w="6910" w:type="dxa"/>
            <w:gridSpan w:val="7"/>
          </w:tcPr>
          <w:p w:rsidR="009F6B39" w:rsidRPr="00B74A55" w:rsidRDefault="009F6B39" w:rsidP="001038B7">
            <w:pPr>
              <w:pStyle w:val="af7"/>
              <w:jc w:val="both"/>
              <w:rPr>
                <w:sz w:val="22"/>
                <w:lang w:val="uk-UA"/>
              </w:rPr>
            </w:pPr>
            <w:r w:rsidRPr="00B74A55">
              <w:rPr>
                <w:sz w:val="22"/>
                <w:lang w:val="uk-UA"/>
              </w:rPr>
              <w:t xml:space="preserve">- Повне відновлення діяльності Ясел-садка №43 </w:t>
            </w:r>
          </w:p>
          <w:p w:rsidR="009F6B39" w:rsidRPr="00B74A55" w:rsidRDefault="009F6B39" w:rsidP="001038B7">
            <w:pPr>
              <w:pStyle w:val="af7"/>
              <w:jc w:val="both"/>
              <w:rPr>
                <w:sz w:val="22"/>
                <w:lang w:val="uk-UA"/>
              </w:rPr>
            </w:pPr>
            <w:r w:rsidRPr="00B74A55">
              <w:rPr>
                <w:sz w:val="22"/>
                <w:lang w:val="uk-UA"/>
              </w:rPr>
              <w:t xml:space="preserve">  міста Сєвєродонецька Луганської області;</w:t>
            </w:r>
          </w:p>
          <w:p w:rsidR="009F6B39" w:rsidRPr="00B74A55" w:rsidRDefault="009F6B39" w:rsidP="001038B7">
            <w:pPr>
              <w:pStyle w:val="af7"/>
              <w:jc w:val="both"/>
              <w:rPr>
                <w:sz w:val="22"/>
                <w:lang w:val="uk-UA"/>
              </w:rPr>
            </w:pPr>
            <w:r w:rsidRPr="00B74A55">
              <w:rPr>
                <w:sz w:val="22"/>
                <w:lang w:val="uk-UA"/>
              </w:rPr>
              <w:t>- забезпечення населення можливостями для реалізації його конституційних прав, пов’язаних із  забезпеченням реалізації права дитини на здобуття дошкільної освіти; реалізацію основних завдань дошкільної освіти: збереження та зміцнення фізичного, психічного і духовного здоров'я дитини; забезпечення цілісного розвитку дитини, її фізичних, інтелектуальних і творчих здібностей шляхом виховання, навчання, соціалізації та формування необхідних життєвих навичок.</w:t>
            </w:r>
          </w:p>
          <w:p w:rsidR="009F6B39" w:rsidRPr="00B74A55" w:rsidRDefault="009F6B39" w:rsidP="001038B7">
            <w:pPr>
              <w:pStyle w:val="af7"/>
              <w:jc w:val="both"/>
              <w:rPr>
                <w:sz w:val="22"/>
                <w:lang w:val="uk-UA"/>
              </w:rPr>
            </w:pPr>
            <w:r w:rsidRPr="00B74A55">
              <w:rPr>
                <w:sz w:val="22"/>
                <w:lang w:val="uk-UA"/>
              </w:rPr>
              <w:t>-</w:t>
            </w:r>
            <w:r w:rsidRPr="00B74A55">
              <w:rPr>
                <w:sz w:val="22"/>
                <w:shd w:val="clear" w:color="auto" w:fill="FFFFFF"/>
                <w:lang w:val="uk-UA"/>
              </w:rPr>
              <w:t xml:space="preserve"> створення  спеціальних умов з метою забезпечення виконання корекційно-розвивального та навчально-виховного процесів дітей з особливими освітніми потребами. </w:t>
            </w:r>
          </w:p>
          <w:p w:rsidR="009F6B39" w:rsidRPr="00B74A55" w:rsidRDefault="009F6B39" w:rsidP="001038B7">
            <w:pPr>
              <w:pStyle w:val="af7"/>
              <w:jc w:val="both"/>
              <w:rPr>
                <w:sz w:val="22"/>
              </w:rPr>
            </w:pPr>
            <w:r w:rsidRPr="00B74A55">
              <w:rPr>
                <w:sz w:val="22"/>
                <w:lang w:val="uk-UA"/>
              </w:rPr>
              <w:t xml:space="preserve">- </w:t>
            </w:r>
            <w:r w:rsidRPr="00B74A55">
              <w:rPr>
                <w:sz w:val="22"/>
              </w:rPr>
              <w:t xml:space="preserve"> </w:t>
            </w:r>
            <w:proofErr w:type="spellStart"/>
            <w:r w:rsidRPr="00B74A55">
              <w:rPr>
                <w:sz w:val="22"/>
              </w:rPr>
              <w:t>вирішення</w:t>
            </w:r>
            <w:proofErr w:type="spellEnd"/>
            <w:r w:rsidRPr="00B74A55">
              <w:rPr>
                <w:sz w:val="22"/>
              </w:rPr>
              <w:t xml:space="preserve"> ряду </w:t>
            </w:r>
            <w:proofErr w:type="spellStart"/>
            <w:r w:rsidRPr="00B74A55">
              <w:rPr>
                <w:sz w:val="22"/>
              </w:rPr>
              <w:t>питань</w:t>
            </w:r>
            <w:proofErr w:type="spellEnd"/>
            <w:r w:rsidRPr="00B74A55">
              <w:rPr>
                <w:sz w:val="22"/>
              </w:rPr>
              <w:t xml:space="preserve"> в межах </w:t>
            </w:r>
            <w:proofErr w:type="spellStart"/>
            <w:r w:rsidRPr="00B74A55">
              <w:rPr>
                <w:sz w:val="22"/>
              </w:rPr>
              <w:t>статутної</w:t>
            </w:r>
            <w:proofErr w:type="spellEnd"/>
            <w:r w:rsidRPr="00B74A55">
              <w:rPr>
                <w:sz w:val="22"/>
              </w:rPr>
              <w:t xml:space="preserve">  </w:t>
            </w:r>
            <w:proofErr w:type="spellStart"/>
            <w:r w:rsidRPr="00B74A55">
              <w:rPr>
                <w:sz w:val="22"/>
              </w:rPr>
              <w:t>діяльності</w:t>
            </w:r>
            <w:proofErr w:type="spellEnd"/>
            <w:r w:rsidRPr="00B74A55">
              <w:rPr>
                <w:sz w:val="22"/>
              </w:rPr>
              <w:t xml:space="preserve">,             </w:t>
            </w:r>
            <w:proofErr w:type="spellStart"/>
            <w:r w:rsidRPr="00B74A55">
              <w:rPr>
                <w:sz w:val="22"/>
              </w:rPr>
              <w:t>пов’язаних</w:t>
            </w:r>
            <w:proofErr w:type="spellEnd"/>
            <w:r w:rsidRPr="00B74A55">
              <w:rPr>
                <w:sz w:val="22"/>
              </w:rPr>
              <w:t xml:space="preserve"> </w:t>
            </w:r>
            <w:proofErr w:type="spellStart"/>
            <w:r w:rsidRPr="00B74A55">
              <w:rPr>
                <w:sz w:val="22"/>
              </w:rPr>
              <w:t>із</w:t>
            </w:r>
            <w:proofErr w:type="spellEnd"/>
            <w:r w:rsidRPr="00B74A55">
              <w:rPr>
                <w:sz w:val="22"/>
              </w:rPr>
              <w:t xml:space="preserve"> </w:t>
            </w:r>
            <w:proofErr w:type="spellStart"/>
            <w:r w:rsidRPr="00B74A55">
              <w:rPr>
                <w:sz w:val="22"/>
              </w:rPr>
              <w:t>відбудовою</w:t>
            </w:r>
            <w:proofErr w:type="spellEnd"/>
            <w:r w:rsidRPr="00B74A55">
              <w:rPr>
                <w:sz w:val="22"/>
              </w:rPr>
              <w:t xml:space="preserve"> та </w:t>
            </w:r>
            <w:proofErr w:type="spellStart"/>
            <w:r w:rsidRPr="00B74A55">
              <w:rPr>
                <w:sz w:val="22"/>
              </w:rPr>
              <w:t>сталим</w:t>
            </w:r>
            <w:proofErr w:type="spellEnd"/>
            <w:r w:rsidRPr="00B74A55">
              <w:rPr>
                <w:sz w:val="22"/>
              </w:rPr>
              <w:t xml:space="preserve"> </w:t>
            </w:r>
            <w:proofErr w:type="spellStart"/>
            <w:r w:rsidRPr="00B74A55">
              <w:rPr>
                <w:sz w:val="22"/>
              </w:rPr>
              <w:t>розвитком</w:t>
            </w:r>
            <w:proofErr w:type="spellEnd"/>
            <w:r w:rsidRPr="00B74A55">
              <w:rPr>
                <w:sz w:val="22"/>
              </w:rPr>
              <w:t xml:space="preserve"> </w:t>
            </w:r>
            <w:proofErr w:type="spellStart"/>
            <w:r w:rsidRPr="00B74A55">
              <w:rPr>
                <w:sz w:val="22"/>
              </w:rPr>
              <w:t>громади</w:t>
            </w:r>
            <w:proofErr w:type="spellEnd"/>
            <w:r w:rsidRPr="00B74A55">
              <w:rPr>
                <w:sz w:val="22"/>
              </w:rPr>
              <w:t>;</w:t>
            </w:r>
          </w:p>
          <w:p w:rsidR="009F6B39" w:rsidRPr="00B74A55" w:rsidRDefault="009F6B39" w:rsidP="001038B7">
            <w:pPr>
              <w:pStyle w:val="a7"/>
              <w:ind w:left="0"/>
              <w:rPr>
                <w:sz w:val="22"/>
              </w:rPr>
            </w:pPr>
            <w:r w:rsidRPr="00B74A55">
              <w:rPr>
                <w:sz w:val="22"/>
              </w:rPr>
              <w:t xml:space="preserve">- </w:t>
            </w:r>
            <w:proofErr w:type="spellStart"/>
            <w:r w:rsidRPr="00B74A55">
              <w:rPr>
                <w:sz w:val="22"/>
              </w:rPr>
              <w:t>створення</w:t>
            </w:r>
            <w:proofErr w:type="spellEnd"/>
            <w:r w:rsidRPr="00B74A55">
              <w:rPr>
                <w:sz w:val="22"/>
              </w:rPr>
              <w:t xml:space="preserve"> </w:t>
            </w:r>
            <w:proofErr w:type="spellStart"/>
            <w:r w:rsidRPr="00B74A55">
              <w:rPr>
                <w:sz w:val="22"/>
              </w:rPr>
              <w:t>нових</w:t>
            </w:r>
            <w:proofErr w:type="spellEnd"/>
            <w:r w:rsidRPr="00B74A55">
              <w:rPr>
                <w:sz w:val="22"/>
              </w:rPr>
              <w:t xml:space="preserve"> </w:t>
            </w:r>
            <w:proofErr w:type="spellStart"/>
            <w:r w:rsidRPr="00B74A55">
              <w:rPr>
                <w:sz w:val="22"/>
              </w:rPr>
              <w:t>робочих</w:t>
            </w:r>
            <w:proofErr w:type="spellEnd"/>
            <w:r w:rsidRPr="00B74A55">
              <w:rPr>
                <w:sz w:val="22"/>
              </w:rPr>
              <w:t xml:space="preserve"> </w:t>
            </w:r>
            <w:proofErr w:type="spellStart"/>
            <w:r w:rsidRPr="00B74A55">
              <w:rPr>
                <w:sz w:val="22"/>
              </w:rPr>
              <w:t>місць</w:t>
            </w:r>
            <w:proofErr w:type="spellEnd"/>
            <w:r w:rsidRPr="00B74A55">
              <w:rPr>
                <w:sz w:val="22"/>
              </w:rPr>
              <w:t>;</w:t>
            </w:r>
          </w:p>
          <w:p w:rsidR="009F6B39" w:rsidRPr="00B74A55" w:rsidRDefault="009F6B39" w:rsidP="001038B7">
            <w:pPr>
              <w:pStyle w:val="a7"/>
              <w:ind w:left="0"/>
              <w:rPr>
                <w:sz w:val="22"/>
              </w:rPr>
            </w:pPr>
            <w:r w:rsidRPr="00B74A55">
              <w:rPr>
                <w:sz w:val="22"/>
              </w:rPr>
              <w:t xml:space="preserve"> - стимул до </w:t>
            </w:r>
            <w:proofErr w:type="spellStart"/>
            <w:r w:rsidRPr="00B74A55">
              <w:rPr>
                <w:sz w:val="22"/>
              </w:rPr>
              <w:t>повернення</w:t>
            </w:r>
            <w:proofErr w:type="spellEnd"/>
            <w:r w:rsidRPr="00B74A55">
              <w:rPr>
                <w:sz w:val="22"/>
              </w:rPr>
              <w:t xml:space="preserve"> ВПО до </w:t>
            </w:r>
            <w:proofErr w:type="spellStart"/>
            <w:r w:rsidRPr="00B74A55">
              <w:rPr>
                <w:sz w:val="22"/>
              </w:rPr>
              <w:t>громади</w:t>
            </w:r>
            <w:proofErr w:type="spellEnd"/>
            <w:r w:rsidRPr="00B74A55">
              <w:rPr>
                <w:sz w:val="22"/>
              </w:rPr>
              <w:t>;</w:t>
            </w:r>
          </w:p>
          <w:p w:rsidR="009F6B39" w:rsidRPr="00B74A55" w:rsidRDefault="009F6B39" w:rsidP="001038B7">
            <w:pPr>
              <w:pStyle w:val="a7"/>
              <w:ind w:left="0"/>
              <w:rPr>
                <w:sz w:val="22"/>
                <w:shd w:val="clear" w:color="auto" w:fill="FFFFFF"/>
              </w:rPr>
            </w:pPr>
            <w:r w:rsidRPr="00B74A55">
              <w:rPr>
                <w:sz w:val="22"/>
              </w:rPr>
              <w:t xml:space="preserve"> -</w:t>
            </w:r>
            <w:r w:rsidRPr="00B74A55">
              <w:rPr>
                <w:sz w:val="22"/>
                <w:shd w:val="clear" w:color="auto" w:fill="FFFFFF"/>
              </w:rPr>
              <w:t xml:space="preserve"> </w:t>
            </w:r>
            <w:proofErr w:type="spellStart"/>
            <w:r w:rsidRPr="00B74A55">
              <w:rPr>
                <w:sz w:val="22"/>
                <w:shd w:val="clear" w:color="auto" w:fill="FFFFFF"/>
              </w:rPr>
              <w:t>отримання</w:t>
            </w:r>
            <w:proofErr w:type="spellEnd"/>
            <w:r w:rsidRPr="00B74A55">
              <w:rPr>
                <w:sz w:val="22"/>
                <w:shd w:val="clear" w:color="auto" w:fill="FFFFFF"/>
              </w:rPr>
              <w:t xml:space="preserve"> </w:t>
            </w:r>
            <w:proofErr w:type="spellStart"/>
            <w:r w:rsidRPr="00B74A55">
              <w:rPr>
                <w:sz w:val="22"/>
                <w:shd w:val="clear" w:color="auto" w:fill="FFFFFF"/>
              </w:rPr>
              <w:t>фінансової</w:t>
            </w:r>
            <w:proofErr w:type="spellEnd"/>
            <w:r w:rsidRPr="00B74A55">
              <w:rPr>
                <w:sz w:val="22"/>
                <w:shd w:val="clear" w:color="auto" w:fill="FFFFFF"/>
              </w:rPr>
              <w:t xml:space="preserve"> </w:t>
            </w:r>
            <w:proofErr w:type="spellStart"/>
            <w:r w:rsidRPr="00B74A55">
              <w:rPr>
                <w:sz w:val="22"/>
                <w:shd w:val="clear" w:color="auto" w:fill="FFFFFF"/>
              </w:rPr>
              <w:t>підтримки</w:t>
            </w:r>
            <w:proofErr w:type="spellEnd"/>
            <w:r w:rsidRPr="00B74A55">
              <w:rPr>
                <w:sz w:val="22"/>
                <w:shd w:val="clear" w:color="auto" w:fill="FFFFFF"/>
              </w:rPr>
              <w:t xml:space="preserve"> </w:t>
            </w:r>
            <w:proofErr w:type="spellStart"/>
            <w:r w:rsidRPr="00B74A55">
              <w:rPr>
                <w:sz w:val="22"/>
                <w:shd w:val="clear" w:color="auto" w:fill="FFFFFF"/>
              </w:rPr>
              <w:t>щодо</w:t>
            </w:r>
            <w:proofErr w:type="spellEnd"/>
            <w:r w:rsidRPr="00B74A55">
              <w:rPr>
                <w:sz w:val="22"/>
                <w:shd w:val="clear" w:color="auto" w:fill="FFFFFF"/>
              </w:rPr>
              <w:t xml:space="preserve"> </w:t>
            </w:r>
            <w:proofErr w:type="spellStart"/>
            <w:proofErr w:type="gramStart"/>
            <w:r w:rsidRPr="00B74A55">
              <w:rPr>
                <w:sz w:val="22"/>
                <w:shd w:val="clear" w:color="auto" w:fill="FFFFFF"/>
              </w:rPr>
              <w:t>реалізації</w:t>
            </w:r>
            <w:proofErr w:type="spellEnd"/>
            <w:r w:rsidRPr="00B74A55">
              <w:rPr>
                <w:sz w:val="22"/>
                <w:shd w:val="clear" w:color="auto" w:fill="FFFFFF"/>
              </w:rPr>
              <w:t xml:space="preserve">  </w:t>
            </w:r>
            <w:proofErr w:type="spellStart"/>
            <w:r w:rsidRPr="00B74A55">
              <w:rPr>
                <w:sz w:val="22"/>
                <w:shd w:val="clear" w:color="auto" w:fill="FFFFFF"/>
              </w:rPr>
              <w:t>про</w:t>
            </w:r>
            <w:r w:rsidR="00E80DD4" w:rsidRPr="00B74A55">
              <w:rPr>
                <w:sz w:val="22"/>
                <w:shd w:val="clear" w:color="auto" w:fill="FFFFFF"/>
              </w:rPr>
              <w:t>э</w:t>
            </w:r>
            <w:r w:rsidRPr="00B74A55">
              <w:rPr>
                <w:sz w:val="22"/>
                <w:shd w:val="clear" w:color="auto" w:fill="FFFFFF"/>
              </w:rPr>
              <w:t>кту</w:t>
            </w:r>
            <w:proofErr w:type="spellEnd"/>
            <w:proofErr w:type="gramEnd"/>
            <w:r w:rsidRPr="00B74A55">
              <w:rPr>
                <w:sz w:val="22"/>
                <w:shd w:val="clear" w:color="auto" w:fill="FFFFFF"/>
              </w:rPr>
              <w:t xml:space="preserve"> для </w:t>
            </w:r>
            <w:proofErr w:type="spellStart"/>
            <w:r w:rsidRPr="00B74A55">
              <w:rPr>
                <w:sz w:val="22"/>
                <w:shd w:val="clear" w:color="auto" w:fill="FFFFFF"/>
              </w:rPr>
              <w:t>покращення</w:t>
            </w:r>
            <w:proofErr w:type="spellEnd"/>
            <w:r w:rsidRPr="00B74A55">
              <w:rPr>
                <w:sz w:val="22"/>
                <w:shd w:val="clear" w:color="auto" w:fill="FFFFFF"/>
              </w:rPr>
              <w:t xml:space="preserve"> доступу до </w:t>
            </w:r>
            <w:proofErr w:type="spellStart"/>
            <w:r w:rsidRPr="00B74A55">
              <w:rPr>
                <w:sz w:val="22"/>
                <w:shd w:val="clear" w:color="auto" w:fill="FFFFFF"/>
              </w:rPr>
              <w:t>інклюзивних</w:t>
            </w:r>
            <w:proofErr w:type="spellEnd"/>
            <w:r w:rsidRPr="00B74A55">
              <w:rPr>
                <w:sz w:val="22"/>
                <w:shd w:val="clear" w:color="auto" w:fill="FFFFFF"/>
              </w:rPr>
              <w:t xml:space="preserve"> умов  для </w:t>
            </w:r>
            <w:proofErr w:type="spellStart"/>
            <w:r w:rsidRPr="00B74A55">
              <w:rPr>
                <w:sz w:val="22"/>
                <w:shd w:val="clear" w:color="auto" w:fill="FFFFFF"/>
              </w:rPr>
              <w:t>дітей</w:t>
            </w:r>
            <w:proofErr w:type="spellEnd"/>
            <w:r w:rsidRPr="00B74A55">
              <w:rPr>
                <w:sz w:val="22"/>
                <w:shd w:val="clear" w:color="auto" w:fill="FFFFFF"/>
              </w:rPr>
              <w:t xml:space="preserve"> з </w:t>
            </w:r>
            <w:proofErr w:type="spellStart"/>
            <w:r w:rsidRPr="00B74A55">
              <w:rPr>
                <w:sz w:val="22"/>
                <w:shd w:val="clear" w:color="auto" w:fill="FFFFFF"/>
              </w:rPr>
              <w:t>особливими</w:t>
            </w:r>
            <w:proofErr w:type="spellEnd"/>
            <w:r w:rsidRPr="00B74A55">
              <w:rPr>
                <w:sz w:val="22"/>
                <w:shd w:val="clear" w:color="auto" w:fill="FFFFFF"/>
              </w:rPr>
              <w:t xml:space="preserve"> </w:t>
            </w:r>
            <w:proofErr w:type="spellStart"/>
            <w:r w:rsidRPr="00B74A55">
              <w:rPr>
                <w:sz w:val="22"/>
                <w:shd w:val="clear" w:color="auto" w:fill="FFFFFF"/>
              </w:rPr>
              <w:t>освітніми</w:t>
            </w:r>
            <w:proofErr w:type="spellEnd"/>
            <w:r w:rsidRPr="00B74A55">
              <w:rPr>
                <w:sz w:val="22"/>
                <w:shd w:val="clear" w:color="auto" w:fill="FFFFFF"/>
              </w:rPr>
              <w:t xml:space="preserve"> потребами, </w:t>
            </w:r>
            <w:proofErr w:type="spellStart"/>
            <w:r w:rsidRPr="00B74A55">
              <w:rPr>
                <w:sz w:val="22"/>
                <w:shd w:val="clear" w:color="auto" w:fill="FFFFFF"/>
              </w:rPr>
              <w:t>дітей</w:t>
            </w:r>
            <w:proofErr w:type="spellEnd"/>
            <w:r w:rsidRPr="00B74A55">
              <w:rPr>
                <w:sz w:val="22"/>
                <w:shd w:val="clear" w:color="auto" w:fill="FFFFFF"/>
              </w:rPr>
              <w:t xml:space="preserve">  ВПО, </w:t>
            </w:r>
            <w:proofErr w:type="spellStart"/>
            <w:r w:rsidRPr="00B74A55">
              <w:rPr>
                <w:sz w:val="22"/>
                <w:shd w:val="clear" w:color="auto" w:fill="FFFFFF"/>
              </w:rPr>
              <w:t>дітей-сиріт</w:t>
            </w:r>
            <w:proofErr w:type="spellEnd"/>
            <w:r w:rsidRPr="00B74A55">
              <w:rPr>
                <w:sz w:val="22"/>
                <w:shd w:val="clear" w:color="auto" w:fill="FFFFFF"/>
              </w:rPr>
              <w:t xml:space="preserve">, </w:t>
            </w:r>
            <w:proofErr w:type="spellStart"/>
            <w:r w:rsidRPr="00B74A55">
              <w:rPr>
                <w:sz w:val="22"/>
                <w:shd w:val="clear" w:color="auto" w:fill="FFFFFF"/>
              </w:rPr>
              <w:t>дітей</w:t>
            </w:r>
            <w:proofErr w:type="spellEnd"/>
            <w:r w:rsidRPr="00B74A55">
              <w:rPr>
                <w:sz w:val="22"/>
                <w:shd w:val="clear" w:color="auto" w:fill="FFFFFF"/>
              </w:rPr>
              <w:t>,</w:t>
            </w:r>
            <w:r w:rsidR="00E80DD4" w:rsidRPr="00B74A55">
              <w:rPr>
                <w:sz w:val="22"/>
                <w:shd w:val="clear" w:color="auto" w:fill="FFFFFF"/>
              </w:rPr>
              <w:t xml:space="preserve"> </w:t>
            </w:r>
            <w:proofErr w:type="spellStart"/>
            <w:r w:rsidRPr="00B74A55">
              <w:rPr>
                <w:sz w:val="22"/>
                <w:shd w:val="clear" w:color="auto" w:fill="FFFFFF"/>
              </w:rPr>
              <w:t>постраждалих</w:t>
            </w:r>
            <w:proofErr w:type="spellEnd"/>
            <w:r w:rsidRPr="00B74A55">
              <w:rPr>
                <w:sz w:val="22"/>
                <w:shd w:val="clear" w:color="auto" w:fill="FFFFFF"/>
              </w:rPr>
              <w:t xml:space="preserve"> </w:t>
            </w:r>
            <w:proofErr w:type="spellStart"/>
            <w:r w:rsidRPr="00B74A55">
              <w:rPr>
                <w:sz w:val="22"/>
                <w:shd w:val="clear" w:color="auto" w:fill="FFFFFF"/>
              </w:rPr>
              <w:t>від</w:t>
            </w:r>
            <w:proofErr w:type="spellEnd"/>
            <w:r w:rsidRPr="00B74A55">
              <w:rPr>
                <w:sz w:val="22"/>
                <w:shd w:val="clear" w:color="auto" w:fill="FFFFFF"/>
              </w:rPr>
              <w:t xml:space="preserve"> </w:t>
            </w:r>
            <w:proofErr w:type="spellStart"/>
            <w:r w:rsidRPr="00B74A55">
              <w:rPr>
                <w:sz w:val="22"/>
                <w:shd w:val="clear" w:color="auto" w:fill="FFFFFF"/>
              </w:rPr>
              <w:t>наслідків</w:t>
            </w:r>
            <w:proofErr w:type="spellEnd"/>
            <w:r w:rsidRPr="00B74A55">
              <w:rPr>
                <w:sz w:val="22"/>
                <w:shd w:val="clear" w:color="auto" w:fill="FFFFFF"/>
              </w:rPr>
              <w:t xml:space="preserve"> </w:t>
            </w:r>
            <w:proofErr w:type="spellStart"/>
            <w:r w:rsidRPr="00B74A55">
              <w:rPr>
                <w:sz w:val="22"/>
                <w:shd w:val="clear" w:color="auto" w:fill="FFFFFF"/>
              </w:rPr>
              <w:t>війни</w:t>
            </w:r>
            <w:proofErr w:type="spellEnd"/>
            <w:r w:rsidRPr="00B74A55">
              <w:rPr>
                <w:sz w:val="22"/>
                <w:shd w:val="clear" w:color="auto" w:fill="FFFFFF"/>
              </w:rPr>
              <w:t>;</w:t>
            </w:r>
          </w:p>
          <w:p w:rsidR="009F6B39" w:rsidRPr="00B74A55" w:rsidRDefault="009F6B39" w:rsidP="001038B7">
            <w:pPr>
              <w:pStyle w:val="a7"/>
              <w:ind w:left="0"/>
              <w:rPr>
                <w:sz w:val="22"/>
              </w:rPr>
            </w:pPr>
            <w:r w:rsidRPr="00B74A55">
              <w:rPr>
                <w:sz w:val="22"/>
              </w:rPr>
              <w:t xml:space="preserve"> -  </w:t>
            </w:r>
            <w:proofErr w:type="spellStart"/>
            <w:r w:rsidRPr="00B74A55">
              <w:rPr>
                <w:sz w:val="22"/>
              </w:rPr>
              <w:t>забезпечення</w:t>
            </w:r>
            <w:proofErr w:type="spellEnd"/>
            <w:r w:rsidRPr="00B74A55">
              <w:rPr>
                <w:sz w:val="22"/>
              </w:rPr>
              <w:t xml:space="preserve"> </w:t>
            </w:r>
            <w:proofErr w:type="spellStart"/>
            <w:r w:rsidRPr="00B74A55">
              <w:rPr>
                <w:sz w:val="22"/>
              </w:rPr>
              <w:t>повноцінної</w:t>
            </w:r>
            <w:proofErr w:type="spellEnd"/>
            <w:r w:rsidRPr="00B74A55">
              <w:rPr>
                <w:sz w:val="22"/>
              </w:rPr>
              <w:t xml:space="preserve"> </w:t>
            </w:r>
            <w:proofErr w:type="spellStart"/>
            <w:r w:rsidRPr="00B74A55">
              <w:rPr>
                <w:sz w:val="22"/>
              </w:rPr>
              <w:t>діяльності</w:t>
            </w:r>
            <w:proofErr w:type="spellEnd"/>
            <w:r w:rsidRPr="00B74A55">
              <w:rPr>
                <w:sz w:val="22"/>
              </w:rPr>
              <w:t xml:space="preserve"> </w:t>
            </w:r>
            <w:proofErr w:type="spellStart"/>
            <w:r w:rsidRPr="00B74A55">
              <w:rPr>
                <w:sz w:val="22"/>
              </w:rPr>
              <w:t>всіх</w:t>
            </w:r>
            <w:proofErr w:type="spellEnd"/>
            <w:r w:rsidRPr="00B74A55">
              <w:rPr>
                <w:sz w:val="22"/>
              </w:rPr>
              <w:t xml:space="preserve"> служб </w:t>
            </w:r>
            <w:proofErr w:type="spellStart"/>
            <w:r w:rsidRPr="00B74A55">
              <w:rPr>
                <w:sz w:val="22"/>
              </w:rPr>
              <w:t>під</w:t>
            </w:r>
            <w:proofErr w:type="spellEnd"/>
            <w:r w:rsidRPr="00B74A55">
              <w:rPr>
                <w:sz w:val="22"/>
              </w:rPr>
              <w:t xml:space="preserve">              час </w:t>
            </w:r>
            <w:proofErr w:type="spellStart"/>
            <w:r w:rsidRPr="00B74A55">
              <w:rPr>
                <w:sz w:val="22"/>
              </w:rPr>
              <w:t>навчально-виховного</w:t>
            </w:r>
            <w:proofErr w:type="spellEnd"/>
            <w:r w:rsidRPr="00B74A55">
              <w:rPr>
                <w:sz w:val="22"/>
              </w:rPr>
              <w:t xml:space="preserve"> </w:t>
            </w:r>
            <w:proofErr w:type="spellStart"/>
            <w:r w:rsidRPr="00B74A55">
              <w:rPr>
                <w:sz w:val="22"/>
              </w:rPr>
              <w:t>процесу</w:t>
            </w:r>
            <w:proofErr w:type="spellEnd"/>
            <w:r w:rsidRPr="00B74A55">
              <w:rPr>
                <w:sz w:val="22"/>
              </w:rPr>
              <w:t xml:space="preserve"> з </w:t>
            </w:r>
            <w:proofErr w:type="spellStart"/>
            <w:r w:rsidRPr="00B74A55">
              <w:rPr>
                <w:sz w:val="22"/>
              </w:rPr>
              <w:t>дітьми</w:t>
            </w:r>
            <w:proofErr w:type="spellEnd"/>
            <w:r w:rsidRPr="00B74A55">
              <w:rPr>
                <w:sz w:val="22"/>
              </w:rPr>
              <w:t xml:space="preserve"> </w:t>
            </w:r>
            <w:proofErr w:type="spellStart"/>
            <w:r w:rsidRPr="00B74A55">
              <w:rPr>
                <w:sz w:val="22"/>
              </w:rPr>
              <w:t>мешканців</w:t>
            </w:r>
            <w:proofErr w:type="spellEnd"/>
            <w:r w:rsidRPr="00B74A55">
              <w:rPr>
                <w:sz w:val="22"/>
              </w:rPr>
              <w:t xml:space="preserve">                </w:t>
            </w:r>
            <w:proofErr w:type="spellStart"/>
            <w:r w:rsidRPr="00B74A55">
              <w:rPr>
                <w:sz w:val="22"/>
              </w:rPr>
              <w:t>відновленої</w:t>
            </w:r>
            <w:proofErr w:type="spellEnd"/>
            <w:r w:rsidRPr="00B74A55">
              <w:rPr>
                <w:sz w:val="22"/>
              </w:rPr>
              <w:t xml:space="preserve"> </w:t>
            </w:r>
            <w:proofErr w:type="spellStart"/>
            <w:r w:rsidRPr="00B74A55">
              <w:rPr>
                <w:sz w:val="22"/>
              </w:rPr>
              <w:t>громади</w:t>
            </w:r>
            <w:proofErr w:type="spellEnd"/>
            <w:r w:rsidRPr="00B74A55">
              <w:rPr>
                <w:sz w:val="22"/>
              </w:rPr>
              <w:t xml:space="preserve"> </w:t>
            </w:r>
            <w:proofErr w:type="spellStart"/>
            <w:r w:rsidRPr="00B74A55">
              <w:rPr>
                <w:sz w:val="22"/>
              </w:rPr>
              <w:t>Сєвєродонецька</w:t>
            </w:r>
            <w:proofErr w:type="spellEnd"/>
            <w:r w:rsidRPr="00B74A55">
              <w:rPr>
                <w:sz w:val="22"/>
              </w:rPr>
              <w:t>.</w:t>
            </w:r>
          </w:p>
        </w:tc>
      </w:tr>
      <w:tr w:rsidR="009F6B39" w:rsidRPr="00B74A55" w:rsidTr="009F6B39">
        <w:trPr>
          <w:trHeight w:val="390"/>
        </w:trPr>
        <w:tc>
          <w:tcPr>
            <w:tcW w:w="2978" w:type="dxa"/>
            <w:vMerge w:val="restart"/>
            <w:shd w:val="clear" w:color="auto" w:fill="C6D9F1" w:themeFill="text2" w:themeFillTint="33"/>
          </w:tcPr>
          <w:p w:rsidR="009F6B39" w:rsidRPr="00B74A55" w:rsidRDefault="009F6B39" w:rsidP="001038B7">
            <w:pPr>
              <w:pStyle w:val="a7"/>
              <w:ind w:left="0"/>
              <w:rPr>
                <w:b/>
                <w:sz w:val="22"/>
                <w:lang w:val="uk-UA"/>
              </w:rPr>
            </w:pPr>
            <w:r w:rsidRPr="00B74A55">
              <w:rPr>
                <w:b/>
                <w:sz w:val="22"/>
                <w:lang w:val="uk-UA"/>
              </w:rPr>
              <w:t xml:space="preserve">Очікувані кількісні результати реалізації </w:t>
            </w:r>
            <w:proofErr w:type="spellStart"/>
            <w:r w:rsidRPr="00B74A55">
              <w:rPr>
                <w:b/>
                <w:sz w:val="22"/>
                <w:lang w:val="uk-UA"/>
              </w:rPr>
              <w:t>проєкту</w:t>
            </w:r>
            <w:proofErr w:type="spellEnd"/>
            <w:r w:rsidRPr="00B74A55">
              <w:rPr>
                <w:b/>
                <w:sz w:val="22"/>
                <w:lang w:val="uk-UA"/>
              </w:rPr>
              <w:t xml:space="preserve"> (індикатори)</w:t>
            </w:r>
          </w:p>
          <w:p w:rsidR="009F6B39" w:rsidRPr="00B74A55" w:rsidRDefault="009F6B39" w:rsidP="001038B7">
            <w:pPr>
              <w:pStyle w:val="a7"/>
              <w:ind w:left="0"/>
              <w:rPr>
                <w:b/>
                <w:sz w:val="22"/>
                <w:lang w:val="uk-UA"/>
              </w:rPr>
            </w:pPr>
          </w:p>
        </w:tc>
        <w:tc>
          <w:tcPr>
            <w:tcW w:w="3374" w:type="dxa"/>
            <w:gridSpan w:val="3"/>
            <w:tcBorders>
              <w:bottom w:val="single" w:sz="4" w:space="0" w:color="auto"/>
              <w:right w:val="single" w:sz="4" w:space="0" w:color="auto"/>
            </w:tcBorders>
          </w:tcPr>
          <w:p w:rsidR="009F6B39" w:rsidRPr="00B74A55" w:rsidRDefault="009F6B39" w:rsidP="001038B7">
            <w:pPr>
              <w:pStyle w:val="a7"/>
              <w:ind w:left="-108"/>
              <w:jc w:val="center"/>
              <w:rPr>
                <w:b/>
                <w:sz w:val="22"/>
              </w:rPr>
            </w:pPr>
            <w:proofErr w:type="spellStart"/>
            <w:r w:rsidRPr="00B74A55">
              <w:rPr>
                <w:b/>
                <w:sz w:val="22"/>
              </w:rPr>
              <w:t>Найменування</w:t>
            </w:r>
            <w:proofErr w:type="spellEnd"/>
            <w:r w:rsidRPr="00B74A55">
              <w:rPr>
                <w:b/>
                <w:sz w:val="22"/>
              </w:rPr>
              <w:t xml:space="preserve"> </w:t>
            </w:r>
            <w:proofErr w:type="spellStart"/>
            <w:r w:rsidRPr="00B74A55">
              <w:rPr>
                <w:b/>
                <w:sz w:val="22"/>
              </w:rPr>
              <w:t>показника</w:t>
            </w:r>
            <w:proofErr w:type="spellEnd"/>
          </w:p>
        </w:tc>
        <w:tc>
          <w:tcPr>
            <w:tcW w:w="1701" w:type="dxa"/>
            <w:gridSpan w:val="2"/>
            <w:tcBorders>
              <w:left w:val="single" w:sz="4" w:space="0" w:color="auto"/>
              <w:bottom w:val="single" w:sz="4" w:space="0" w:color="auto"/>
              <w:right w:val="single" w:sz="4" w:space="0" w:color="auto"/>
            </w:tcBorders>
          </w:tcPr>
          <w:p w:rsidR="009F6B39" w:rsidRPr="00B74A55" w:rsidRDefault="009F6B39" w:rsidP="001038B7">
            <w:pPr>
              <w:pStyle w:val="a7"/>
              <w:ind w:left="0"/>
              <w:jc w:val="center"/>
              <w:rPr>
                <w:b/>
                <w:sz w:val="22"/>
              </w:rPr>
            </w:pPr>
            <w:proofErr w:type="spellStart"/>
            <w:r w:rsidRPr="00B74A55">
              <w:rPr>
                <w:b/>
                <w:sz w:val="22"/>
              </w:rPr>
              <w:t>Одиниця</w:t>
            </w:r>
            <w:proofErr w:type="spellEnd"/>
            <w:r w:rsidRPr="00B74A55">
              <w:rPr>
                <w:b/>
                <w:sz w:val="22"/>
              </w:rPr>
              <w:t xml:space="preserve"> </w:t>
            </w:r>
            <w:proofErr w:type="spellStart"/>
            <w:r w:rsidRPr="00B74A55">
              <w:rPr>
                <w:b/>
                <w:sz w:val="22"/>
              </w:rPr>
              <w:t>вимірювання</w:t>
            </w:r>
            <w:proofErr w:type="spellEnd"/>
          </w:p>
          <w:p w:rsidR="009F6B39" w:rsidRPr="00B74A55" w:rsidRDefault="009F6B39" w:rsidP="001038B7">
            <w:pPr>
              <w:pStyle w:val="a7"/>
              <w:ind w:left="0"/>
              <w:rPr>
                <w:b/>
                <w:sz w:val="22"/>
              </w:rPr>
            </w:pPr>
          </w:p>
        </w:tc>
        <w:tc>
          <w:tcPr>
            <w:tcW w:w="1835" w:type="dxa"/>
            <w:gridSpan w:val="2"/>
            <w:tcBorders>
              <w:left w:val="single" w:sz="4" w:space="0" w:color="auto"/>
              <w:bottom w:val="single" w:sz="4" w:space="0" w:color="auto"/>
            </w:tcBorders>
          </w:tcPr>
          <w:p w:rsidR="009F6B39" w:rsidRPr="00B74A55" w:rsidRDefault="009F6B39" w:rsidP="001038B7">
            <w:pPr>
              <w:pStyle w:val="a7"/>
              <w:ind w:left="0"/>
              <w:jc w:val="center"/>
              <w:rPr>
                <w:b/>
                <w:sz w:val="22"/>
              </w:rPr>
            </w:pPr>
            <w:proofErr w:type="spellStart"/>
            <w:r w:rsidRPr="00B74A55">
              <w:rPr>
                <w:b/>
                <w:sz w:val="22"/>
              </w:rPr>
              <w:t>Прогнозне</w:t>
            </w:r>
            <w:proofErr w:type="spellEnd"/>
            <w:r w:rsidRPr="00B74A55">
              <w:rPr>
                <w:b/>
                <w:sz w:val="22"/>
              </w:rPr>
              <w:t xml:space="preserve"> (</w:t>
            </w:r>
            <w:proofErr w:type="spellStart"/>
            <w:r w:rsidRPr="00B74A55">
              <w:rPr>
                <w:b/>
                <w:sz w:val="22"/>
              </w:rPr>
              <w:t>цільове</w:t>
            </w:r>
            <w:proofErr w:type="spellEnd"/>
            <w:r w:rsidRPr="00B74A55">
              <w:rPr>
                <w:b/>
                <w:sz w:val="22"/>
              </w:rPr>
              <w:t xml:space="preserve">) </w:t>
            </w:r>
            <w:proofErr w:type="spellStart"/>
            <w:r w:rsidRPr="00B74A55">
              <w:rPr>
                <w:b/>
                <w:sz w:val="22"/>
              </w:rPr>
              <w:t>значення</w:t>
            </w:r>
            <w:proofErr w:type="spellEnd"/>
          </w:p>
        </w:tc>
      </w:tr>
      <w:tr w:rsidR="009F6B39" w:rsidRPr="00B74A55" w:rsidTr="009F6B39">
        <w:trPr>
          <w:trHeight w:val="585"/>
        </w:trPr>
        <w:tc>
          <w:tcPr>
            <w:tcW w:w="2978" w:type="dxa"/>
            <w:vMerge/>
            <w:shd w:val="clear" w:color="auto" w:fill="C6D9F1" w:themeFill="text2" w:themeFillTint="33"/>
          </w:tcPr>
          <w:p w:rsidR="009F6B39" w:rsidRPr="00B74A55" w:rsidRDefault="009F6B39" w:rsidP="001038B7">
            <w:pPr>
              <w:pStyle w:val="a7"/>
              <w:ind w:left="0"/>
              <w:rPr>
                <w:b/>
                <w:sz w:val="22"/>
              </w:rPr>
            </w:pPr>
          </w:p>
        </w:tc>
        <w:tc>
          <w:tcPr>
            <w:tcW w:w="3374" w:type="dxa"/>
            <w:gridSpan w:val="3"/>
            <w:tcBorders>
              <w:top w:val="single" w:sz="4" w:space="0" w:color="auto"/>
              <w:bottom w:val="single" w:sz="4" w:space="0" w:color="auto"/>
              <w:right w:val="single" w:sz="4" w:space="0" w:color="auto"/>
            </w:tcBorders>
          </w:tcPr>
          <w:p w:rsidR="009F6B39" w:rsidRPr="00B74A55" w:rsidRDefault="009F6B39" w:rsidP="001038B7">
            <w:pPr>
              <w:pStyle w:val="a7"/>
              <w:ind w:left="0"/>
              <w:jc w:val="center"/>
              <w:rPr>
                <w:sz w:val="22"/>
              </w:rPr>
            </w:pPr>
            <w:proofErr w:type="spellStart"/>
            <w:r w:rsidRPr="00B74A55">
              <w:rPr>
                <w:sz w:val="22"/>
              </w:rPr>
              <w:t>Кількість</w:t>
            </w:r>
            <w:proofErr w:type="spellEnd"/>
            <w:r w:rsidRPr="00B74A55">
              <w:rPr>
                <w:sz w:val="22"/>
              </w:rPr>
              <w:t xml:space="preserve"> </w:t>
            </w:r>
            <w:proofErr w:type="spellStart"/>
            <w:r w:rsidRPr="00B74A55">
              <w:rPr>
                <w:sz w:val="22"/>
              </w:rPr>
              <w:t>отримувачів</w:t>
            </w:r>
            <w:proofErr w:type="spellEnd"/>
            <w:r w:rsidRPr="00B74A55">
              <w:rPr>
                <w:sz w:val="22"/>
              </w:rPr>
              <w:t xml:space="preserve"> </w:t>
            </w:r>
            <w:proofErr w:type="spellStart"/>
            <w:r w:rsidRPr="00B74A55">
              <w:rPr>
                <w:sz w:val="22"/>
              </w:rPr>
              <w:t>послуг</w:t>
            </w:r>
            <w:proofErr w:type="spellEnd"/>
            <w:r w:rsidRPr="00B74A55">
              <w:rPr>
                <w:sz w:val="22"/>
              </w:rPr>
              <w:t xml:space="preserve"> </w:t>
            </w:r>
            <w:proofErr w:type="spellStart"/>
            <w:r w:rsidRPr="00B74A55">
              <w:rPr>
                <w:sz w:val="22"/>
              </w:rPr>
              <w:t>дошкільної</w:t>
            </w:r>
            <w:proofErr w:type="spellEnd"/>
            <w:r w:rsidRPr="00B74A55">
              <w:rPr>
                <w:sz w:val="22"/>
              </w:rPr>
              <w:t xml:space="preserve"> </w:t>
            </w:r>
            <w:proofErr w:type="spellStart"/>
            <w:r w:rsidRPr="00B74A55">
              <w:rPr>
                <w:sz w:val="22"/>
              </w:rPr>
              <w:t>освіти</w:t>
            </w:r>
            <w:proofErr w:type="spellEnd"/>
          </w:p>
        </w:tc>
        <w:tc>
          <w:tcPr>
            <w:tcW w:w="1701" w:type="dxa"/>
            <w:gridSpan w:val="2"/>
            <w:tcBorders>
              <w:top w:val="single" w:sz="4" w:space="0" w:color="auto"/>
              <w:left w:val="single" w:sz="4" w:space="0" w:color="auto"/>
              <w:bottom w:val="single" w:sz="4" w:space="0" w:color="auto"/>
              <w:right w:val="single" w:sz="4" w:space="0" w:color="auto"/>
            </w:tcBorders>
            <w:vAlign w:val="center"/>
          </w:tcPr>
          <w:p w:rsidR="009F6B39" w:rsidRPr="00B74A55" w:rsidRDefault="009F6B39" w:rsidP="001038B7">
            <w:pPr>
              <w:pStyle w:val="a7"/>
              <w:ind w:left="0"/>
              <w:jc w:val="center"/>
              <w:rPr>
                <w:sz w:val="22"/>
              </w:rPr>
            </w:pPr>
            <w:proofErr w:type="spellStart"/>
            <w:r w:rsidRPr="00B74A55">
              <w:rPr>
                <w:sz w:val="22"/>
              </w:rPr>
              <w:t>осіб</w:t>
            </w:r>
            <w:proofErr w:type="spellEnd"/>
          </w:p>
        </w:tc>
        <w:tc>
          <w:tcPr>
            <w:tcW w:w="1835" w:type="dxa"/>
            <w:gridSpan w:val="2"/>
            <w:tcBorders>
              <w:top w:val="single" w:sz="4" w:space="0" w:color="auto"/>
              <w:left w:val="single" w:sz="4" w:space="0" w:color="auto"/>
              <w:bottom w:val="single" w:sz="4" w:space="0" w:color="auto"/>
            </w:tcBorders>
          </w:tcPr>
          <w:p w:rsidR="009F6B39" w:rsidRPr="00B74A55" w:rsidRDefault="009F6B39" w:rsidP="001038B7">
            <w:pPr>
              <w:autoSpaceDE w:val="0"/>
              <w:autoSpaceDN w:val="0"/>
              <w:adjustRightInd w:val="0"/>
              <w:rPr>
                <w:b/>
                <w:sz w:val="22"/>
              </w:rPr>
            </w:pPr>
            <w:r w:rsidRPr="00B74A55">
              <w:rPr>
                <w:sz w:val="22"/>
              </w:rPr>
              <w:t xml:space="preserve">  1200-1250</w:t>
            </w:r>
          </w:p>
          <w:p w:rsidR="009F6B39" w:rsidRPr="00B74A55" w:rsidRDefault="009F6B39" w:rsidP="001038B7">
            <w:pPr>
              <w:pStyle w:val="a7"/>
              <w:ind w:left="0"/>
              <w:jc w:val="center"/>
              <w:rPr>
                <w:b/>
                <w:sz w:val="22"/>
              </w:rPr>
            </w:pPr>
          </w:p>
        </w:tc>
      </w:tr>
      <w:tr w:rsidR="009F6B39" w:rsidRPr="00B74A55" w:rsidTr="009F6B39">
        <w:tc>
          <w:tcPr>
            <w:tcW w:w="2978" w:type="dxa"/>
            <w:shd w:val="clear" w:color="auto" w:fill="C6D9F1" w:themeFill="text2" w:themeFillTint="33"/>
          </w:tcPr>
          <w:p w:rsidR="009F6B39" w:rsidRPr="00B74A55" w:rsidRDefault="009F6B39" w:rsidP="001038B7">
            <w:pPr>
              <w:rPr>
                <w:b/>
                <w:sz w:val="22"/>
              </w:rPr>
            </w:pPr>
            <w:proofErr w:type="spellStart"/>
            <w:r w:rsidRPr="00B74A55">
              <w:rPr>
                <w:b/>
                <w:sz w:val="22"/>
              </w:rPr>
              <w:t>Ключові</w:t>
            </w:r>
            <w:proofErr w:type="spellEnd"/>
            <w:r w:rsidRPr="00B74A55">
              <w:rPr>
                <w:b/>
                <w:sz w:val="22"/>
              </w:rPr>
              <w:t xml:space="preserve"> заходи проекту: </w:t>
            </w:r>
          </w:p>
          <w:p w:rsidR="009F6B39" w:rsidRPr="00B74A55" w:rsidRDefault="009F6B39" w:rsidP="001038B7">
            <w:pPr>
              <w:pStyle w:val="a7"/>
              <w:ind w:left="0"/>
              <w:rPr>
                <w:b/>
                <w:sz w:val="22"/>
              </w:rPr>
            </w:pPr>
          </w:p>
        </w:tc>
        <w:tc>
          <w:tcPr>
            <w:tcW w:w="6910" w:type="dxa"/>
            <w:gridSpan w:val="7"/>
            <w:tcBorders>
              <w:top w:val="single" w:sz="6" w:space="0" w:color="auto"/>
              <w:left w:val="single" w:sz="6" w:space="0" w:color="auto"/>
              <w:bottom w:val="single" w:sz="6" w:space="0" w:color="auto"/>
              <w:right w:val="single" w:sz="6" w:space="0" w:color="auto"/>
            </w:tcBorders>
          </w:tcPr>
          <w:p w:rsidR="009F6B39" w:rsidRPr="00B74A55" w:rsidRDefault="009F6B39" w:rsidP="001038B7">
            <w:pPr>
              <w:contextualSpacing/>
              <w:rPr>
                <w:sz w:val="22"/>
              </w:rPr>
            </w:pPr>
            <w:r w:rsidRPr="00B74A55">
              <w:rPr>
                <w:sz w:val="22"/>
              </w:rPr>
              <w:t xml:space="preserve">  -   </w:t>
            </w:r>
            <w:proofErr w:type="spellStart"/>
            <w:r w:rsidRPr="00B74A55">
              <w:rPr>
                <w:sz w:val="22"/>
              </w:rPr>
              <w:t>обстеження</w:t>
            </w:r>
            <w:proofErr w:type="spellEnd"/>
            <w:r w:rsidRPr="00B74A55">
              <w:rPr>
                <w:sz w:val="22"/>
              </w:rPr>
              <w:t xml:space="preserve"> стану </w:t>
            </w:r>
            <w:proofErr w:type="spellStart"/>
            <w:r w:rsidRPr="00B74A55">
              <w:rPr>
                <w:sz w:val="22"/>
              </w:rPr>
              <w:t>будівлі</w:t>
            </w:r>
            <w:proofErr w:type="spellEnd"/>
            <w:r w:rsidRPr="00B74A55">
              <w:rPr>
                <w:sz w:val="22"/>
              </w:rPr>
              <w:t>;</w:t>
            </w:r>
          </w:p>
          <w:p w:rsidR="009F6B39" w:rsidRPr="00B74A55" w:rsidRDefault="009F6B39" w:rsidP="001038B7">
            <w:pPr>
              <w:contextualSpacing/>
              <w:rPr>
                <w:sz w:val="22"/>
              </w:rPr>
            </w:pPr>
            <w:r w:rsidRPr="00B74A55">
              <w:rPr>
                <w:sz w:val="22"/>
              </w:rPr>
              <w:t xml:space="preserve">  -   </w:t>
            </w:r>
            <w:proofErr w:type="spellStart"/>
            <w:r w:rsidRPr="00B74A55">
              <w:rPr>
                <w:sz w:val="22"/>
              </w:rPr>
              <w:t>проведення</w:t>
            </w:r>
            <w:proofErr w:type="spellEnd"/>
            <w:r w:rsidRPr="00B74A55">
              <w:rPr>
                <w:sz w:val="22"/>
              </w:rPr>
              <w:t xml:space="preserve"> </w:t>
            </w:r>
            <w:proofErr w:type="spellStart"/>
            <w:r w:rsidRPr="00B74A55">
              <w:rPr>
                <w:sz w:val="22"/>
              </w:rPr>
              <w:t>інвентаризації</w:t>
            </w:r>
            <w:proofErr w:type="spellEnd"/>
            <w:r w:rsidRPr="00B74A55">
              <w:rPr>
                <w:sz w:val="22"/>
              </w:rPr>
              <w:t xml:space="preserve"> </w:t>
            </w:r>
            <w:proofErr w:type="spellStart"/>
            <w:r w:rsidRPr="00B74A55">
              <w:rPr>
                <w:sz w:val="22"/>
              </w:rPr>
              <w:t>основних</w:t>
            </w:r>
            <w:proofErr w:type="spellEnd"/>
            <w:r w:rsidRPr="00B74A55">
              <w:rPr>
                <w:sz w:val="22"/>
              </w:rPr>
              <w:t xml:space="preserve"> </w:t>
            </w:r>
            <w:proofErr w:type="spellStart"/>
            <w:r w:rsidRPr="00B74A55">
              <w:rPr>
                <w:sz w:val="22"/>
              </w:rPr>
              <w:t>засобів</w:t>
            </w:r>
            <w:proofErr w:type="spellEnd"/>
            <w:r w:rsidRPr="00B74A55">
              <w:rPr>
                <w:sz w:val="22"/>
              </w:rPr>
              <w:t>;</w:t>
            </w:r>
          </w:p>
          <w:p w:rsidR="009F6B39" w:rsidRPr="00B74A55" w:rsidRDefault="009F6B39" w:rsidP="001038B7">
            <w:pPr>
              <w:contextualSpacing/>
              <w:rPr>
                <w:sz w:val="22"/>
              </w:rPr>
            </w:pPr>
            <w:r w:rsidRPr="00B74A55">
              <w:rPr>
                <w:sz w:val="22"/>
              </w:rPr>
              <w:t xml:space="preserve">  -   </w:t>
            </w:r>
            <w:proofErr w:type="spellStart"/>
            <w:r w:rsidRPr="00B74A55">
              <w:rPr>
                <w:sz w:val="22"/>
              </w:rPr>
              <w:t>визначення</w:t>
            </w:r>
            <w:proofErr w:type="spellEnd"/>
            <w:r w:rsidRPr="00B74A55">
              <w:rPr>
                <w:sz w:val="22"/>
              </w:rPr>
              <w:t xml:space="preserve"> </w:t>
            </w:r>
            <w:proofErr w:type="spellStart"/>
            <w:r w:rsidRPr="00B74A55">
              <w:rPr>
                <w:sz w:val="22"/>
              </w:rPr>
              <w:t>кількості</w:t>
            </w:r>
            <w:proofErr w:type="spellEnd"/>
            <w:r w:rsidRPr="00B74A55">
              <w:rPr>
                <w:sz w:val="22"/>
              </w:rPr>
              <w:t xml:space="preserve"> </w:t>
            </w:r>
            <w:proofErr w:type="spellStart"/>
            <w:r w:rsidRPr="00B74A55">
              <w:rPr>
                <w:sz w:val="22"/>
              </w:rPr>
              <w:t>осіб</w:t>
            </w:r>
            <w:proofErr w:type="spellEnd"/>
            <w:r w:rsidRPr="00B74A55">
              <w:rPr>
                <w:sz w:val="22"/>
              </w:rPr>
              <w:t xml:space="preserve">, </w:t>
            </w:r>
            <w:proofErr w:type="spellStart"/>
            <w:r w:rsidRPr="00B74A55">
              <w:rPr>
                <w:sz w:val="22"/>
              </w:rPr>
              <w:t>які</w:t>
            </w:r>
            <w:proofErr w:type="spellEnd"/>
            <w:r w:rsidRPr="00B74A55">
              <w:rPr>
                <w:sz w:val="22"/>
              </w:rPr>
              <w:t xml:space="preserve"> </w:t>
            </w:r>
            <w:proofErr w:type="spellStart"/>
            <w:r w:rsidRPr="00B74A55">
              <w:rPr>
                <w:sz w:val="22"/>
              </w:rPr>
              <w:t>потребують</w:t>
            </w:r>
            <w:proofErr w:type="spellEnd"/>
            <w:r w:rsidRPr="00B74A55">
              <w:rPr>
                <w:sz w:val="22"/>
              </w:rPr>
              <w:t xml:space="preserve"> </w:t>
            </w:r>
            <w:proofErr w:type="spellStart"/>
            <w:r w:rsidRPr="00B74A55">
              <w:rPr>
                <w:sz w:val="22"/>
              </w:rPr>
              <w:t>отримання</w:t>
            </w:r>
            <w:proofErr w:type="spellEnd"/>
            <w:r w:rsidRPr="00B74A55">
              <w:rPr>
                <w:sz w:val="22"/>
              </w:rPr>
              <w:t xml:space="preserve"> </w:t>
            </w:r>
          </w:p>
          <w:p w:rsidR="009F6B39" w:rsidRPr="00B74A55" w:rsidRDefault="009F6B39" w:rsidP="001038B7">
            <w:pPr>
              <w:contextualSpacing/>
              <w:rPr>
                <w:sz w:val="22"/>
              </w:rPr>
            </w:pPr>
            <w:r w:rsidRPr="00B74A55">
              <w:rPr>
                <w:sz w:val="22"/>
              </w:rPr>
              <w:t xml:space="preserve"> </w:t>
            </w:r>
            <w:proofErr w:type="spellStart"/>
            <w:proofErr w:type="gramStart"/>
            <w:r w:rsidRPr="00B74A55">
              <w:rPr>
                <w:sz w:val="22"/>
              </w:rPr>
              <w:t>освітніх</w:t>
            </w:r>
            <w:proofErr w:type="spellEnd"/>
            <w:r w:rsidRPr="00B74A55">
              <w:rPr>
                <w:sz w:val="22"/>
              </w:rPr>
              <w:t xml:space="preserve">  </w:t>
            </w:r>
            <w:proofErr w:type="spellStart"/>
            <w:r w:rsidRPr="00B74A55">
              <w:rPr>
                <w:sz w:val="22"/>
              </w:rPr>
              <w:t>послуг</w:t>
            </w:r>
            <w:proofErr w:type="spellEnd"/>
            <w:proofErr w:type="gramEnd"/>
            <w:r w:rsidRPr="00B74A55">
              <w:rPr>
                <w:sz w:val="22"/>
              </w:rPr>
              <w:t xml:space="preserve">; </w:t>
            </w:r>
          </w:p>
          <w:p w:rsidR="009F6B39" w:rsidRPr="00B74A55" w:rsidRDefault="009F6B39" w:rsidP="001038B7">
            <w:pPr>
              <w:keepNext/>
              <w:keepLines/>
              <w:shd w:val="clear" w:color="auto" w:fill="FFFFFF"/>
              <w:outlineLvl w:val="0"/>
              <w:rPr>
                <w:kern w:val="36"/>
                <w:sz w:val="22"/>
              </w:rPr>
            </w:pPr>
            <w:r w:rsidRPr="00B74A55">
              <w:rPr>
                <w:rFonts w:eastAsiaTheme="majorEastAsia"/>
                <w:sz w:val="22"/>
              </w:rPr>
              <w:t xml:space="preserve">  -    </w:t>
            </w:r>
            <w:proofErr w:type="spellStart"/>
            <w:r w:rsidRPr="00B74A55">
              <w:rPr>
                <w:rFonts w:eastAsiaTheme="majorEastAsia"/>
                <w:sz w:val="22"/>
              </w:rPr>
              <w:t>проведення</w:t>
            </w:r>
            <w:proofErr w:type="spellEnd"/>
            <w:r w:rsidRPr="00B74A55">
              <w:rPr>
                <w:rFonts w:eastAsiaTheme="majorEastAsia"/>
                <w:sz w:val="22"/>
                <w:shd w:val="clear" w:color="auto" w:fill="FFFFFF"/>
              </w:rPr>
              <w:t xml:space="preserve"> </w:t>
            </w:r>
            <w:proofErr w:type="spellStart"/>
            <w:r w:rsidRPr="00B74A55">
              <w:rPr>
                <w:rFonts w:eastAsiaTheme="majorEastAsia"/>
                <w:sz w:val="22"/>
                <w:shd w:val="clear" w:color="auto" w:fill="FFFFFF"/>
              </w:rPr>
              <w:t>заходів</w:t>
            </w:r>
            <w:proofErr w:type="spellEnd"/>
            <w:r w:rsidRPr="00B74A55">
              <w:rPr>
                <w:kern w:val="36"/>
                <w:sz w:val="22"/>
              </w:rPr>
              <w:t xml:space="preserve"> </w:t>
            </w:r>
            <w:proofErr w:type="spellStart"/>
            <w:r w:rsidRPr="00B74A55">
              <w:rPr>
                <w:kern w:val="36"/>
                <w:sz w:val="22"/>
              </w:rPr>
              <w:t>щодо</w:t>
            </w:r>
            <w:proofErr w:type="spellEnd"/>
            <w:r w:rsidRPr="00B74A55">
              <w:rPr>
                <w:kern w:val="36"/>
                <w:sz w:val="22"/>
              </w:rPr>
              <w:t xml:space="preserve"> </w:t>
            </w:r>
            <w:proofErr w:type="spellStart"/>
            <w:r w:rsidRPr="00B74A55">
              <w:rPr>
                <w:kern w:val="36"/>
                <w:sz w:val="22"/>
              </w:rPr>
              <w:t>виготовлення</w:t>
            </w:r>
            <w:proofErr w:type="spellEnd"/>
            <w:r w:rsidRPr="00B74A55">
              <w:rPr>
                <w:kern w:val="36"/>
                <w:sz w:val="22"/>
              </w:rPr>
              <w:t xml:space="preserve"> </w:t>
            </w:r>
            <w:proofErr w:type="spellStart"/>
            <w:r w:rsidRPr="00B74A55">
              <w:rPr>
                <w:kern w:val="36"/>
                <w:sz w:val="22"/>
              </w:rPr>
              <w:t>проєктно</w:t>
            </w:r>
            <w:proofErr w:type="spellEnd"/>
            <w:r w:rsidRPr="00B74A55">
              <w:rPr>
                <w:kern w:val="36"/>
                <w:sz w:val="22"/>
              </w:rPr>
              <w:t>-</w:t>
            </w:r>
          </w:p>
          <w:p w:rsidR="009F6B39" w:rsidRPr="00B74A55" w:rsidRDefault="009F6B39" w:rsidP="001038B7">
            <w:pPr>
              <w:keepNext/>
              <w:keepLines/>
              <w:shd w:val="clear" w:color="auto" w:fill="FFFFFF"/>
              <w:outlineLvl w:val="0"/>
              <w:rPr>
                <w:kern w:val="36"/>
                <w:sz w:val="22"/>
              </w:rPr>
            </w:pPr>
            <w:r w:rsidRPr="00B74A55">
              <w:rPr>
                <w:kern w:val="36"/>
                <w:sz w:val="22"/>
              </w:rPr>
              <w:t xml:space="preserve"> </w:t>
            </w:r>
            <w:proofErr w:type="spellStart"/>
            <w:r w:rsidRPr="00B74A55">
              <w:rPr>
                <w:kern w:val="36"/>
                <w:sz w:val="22"/>
              </w:rPr>
              <w:t>кошторисної</w:t>
            </w:r>
            <w:proofErr w:type="spellEnd"/>
            <w:r w:rsidRPr="00B74A55">
              <w:rPr>
                <w:kern w:val="36"/>
                <w:sz w:val="22"/>
              </w:rPr>
              <w:t xml:space="preserve"> </w:t>
            </w:r>
            <w:proofErr w:type="spellStart"/>
            <w:r w:rsidRPr="00B74A55">
              <w:rPr>
                <w:kern w:val="36"/>
                <w:sz w:val="22"/>
              </w:rPr>
              <w:t>документації</w:t>
            </w:r>
            <w:proofErr w:type="spellEnd"/>
            <w:r w:rsidRPr="00B74A55">
              <w:rPr>
                <w:kern w:val="36"/>
                <w:sz w:val="22"/>
              </w:rPr>
              <w:t xml:space="preserve">, </w:t>
            </w:r>
            <w:proofErr w:type="spellStart"/>
            <w:r w:rsidRPr="00B74A55">
              <w:rPr>
                <w:kern w:val="36"/>
                <w:sz w:val="22"/>
              </w:rPr>
              <w:t>включаючи</w:t>
            </w:r>
            <w:proofErr w:type="spellEnd"/>
            <w:r w:rsidRPr="00B74A55">
              <w:rPr>
                <w:kern w:val="36"/>
                <w:sz w:val="22"/>
              </w:rPr>
              <w:t xml:space="preserve"> </w:t>
            </w:r>
            <w:proofErr w:type="spellStart"/>
            <w:r w:rsidRPr="00B74A55">
              <w:rPr>
                <w:kern w:val="36"/>
                <w:sz w:val="22"/>
              </w:rPr>
              <w:t>експертизу</w:t>
            </w:r>
            <w:proofErr w:type="spellEnd"/>
            <w:r w:rsidRPr="00B74A55">
              <w:rPr>
                <w:kern w:val="36"/>
                <w:sz w:val="22"/>
              </w:rPr>
              <w:t xml:space="preserve">  </w:t>
            </w:r>
          </w:p>
          <w:p w:rsidR="009F6B39" w:rsidRPr="00B74A55" w:rsidRDefault="009F6B39" w:rsidP="001038B7">
            <w:pPr>
              <w:keepNext/>
              <w:keepLines/>
              <w:shd w:val="clear" w:color="auto" w:fill="FFFFFF"/>
              <w:outlineLvl w:val="0"/>
              <w:rPr>
                <w:kern w:val="36"/>
                <w:sz w:val="22"/>
              </w:rPr>
            </w:pPr>
            <w:r w:rsidRPr="00B74A55">
              <w:rPr>
                <w:kern w:val="36"/>
                <w:sz w:val="22"/>
              </w:rPr>
              <w:t xml:space="preserve">  </w:t>
            </w:r>
            <w:proofErr w:type="gramStart"/>
            <w:r w:rsidRPr="00B74A55">
              <w:rPr>
                <w:kern w:val="36"/>
                <w:sz w:val="22"/>
              </w:rPr>
              <w:t xml:space="preserve">на  </w:t>
            </w:r>
            <w:proofErr w:type="spellStart"/>
            <w:r w:rsidRPr="00B74A55">
              <w:rPr>
                <w:kern w:val="36"/>
                <w:sz w:val="22"/>
              </w:rPr>
              <w:t>проведення</w:t>
            </w:r>
            <w:proofErr w:type="spellEnd"/>
            <w:proofErr w:type="gramEnd"/>
            <w:r w:rsidRPr="00B74A55">
              <w:rPr>
                <w:kern w:val="36"/>
                <w:sz w:val="22"/>
              </w:rPr>
              <w:t xml:space="preserve"> </w:t>
            </w:r>
            <w:proofErr w:type="spellStart"/>
            <w:r w:rsidRPr="00B74A55">
              <w:rPr>
                <w:kern w:val="36"/>
                <w:sz w:val="22"/>
              </w:rPr>
              <w:t>капітального</w:t>
            </w:r>
            <w:proofErr w:type="spellEnd"/>
            <w:r w:rsidRPr="00B74A55">
              <w:rPr>
                <w:kern w:val="36"/>
                <w:sz w:val="22"/>
              </w:rPr>
              <w:t xml:space="preserve"> ремонту </w:t>
            </w:r>
            <w:proofErr w:type="spellStart"/>
            <w:r w:rsidRPr="00B74A55">
              <w:rPr>
                <w:kern w:val="36"/>
                <w:sz w:val="22"/>
              </w:rPr>
              <w:t>пошкодженої</w:t>
            </w:r>
            <w:proofErr w:type="spellEnd"/>
            <w:r w:rsidRPr="00B74A55">
              <w:rPr>
                <w:kern w:val="36"/>
                <w:sz w:val="22"/>
              </w:rPr>
              <w:t xml:space="preserve"> </w:t>
            </w:r>
            <w:proofErr w:type="spellStart"/>
            <w:r w:rsidRPr="00B74A55">
              <w:rPr>
                <w:kern w:val="36"/>
                <w:sz w:val="22"/>
              </w:rPr>
              <w:t>будівлі</w:t>
            </w:r>
            <w:proofErr w:type="spellEnd"/>
            <w:r w:rsidRPr="00B74A55">
              <w:rPr>
                <w:kern w:val="36"/>
                <w:sz w:val="22"/>
              </w:rPr>
              <w:t xml:space="preserve"> </w:t>
            </w:r>
          </w:p>
          <w:p w:rsidR="009F6B39" w:rsidRPr="00B74A55" w:rsidRDefault="009F6B39" w:rsidP="001038B7">
            <w:pPr>
              <w:keepNext/>
              <w:keepLines/>
              <w:shd w:val="clear" w:color="auto" w:fill="FFFFFF"/>
              <w:outlineLvl w:val="0"/>
              <w:rPr>
                <w:kern w:val="36"/>
                <w:sz w:val="22"/>
              </w:rPr>
            </w:pPr>
            <w:r w:rsidRPr="00B74A55">
              <w:rPr>
                <w:kern w:val="36"/>
                <w:sz w:val="22"/>
              </w:rPr>
              <w:t xml:space="preserve">  </w:t>
            </w:r>
            <w:proofErr w:type="spellStart"/>
            <w:r w:rsidRPr="00B74A55">
              <w:rPr>
                <w:kern w:val="36"/>
                <w:sz w:val="22"/>
              </w:rPr>
              <w:t>Ясел</w:t>
            </w:r>
            <w:proofErr w:type="spellEnd"/>
            <w:r w:rsidRPr="00B74A55">
              <w:rPr>
                <w:kern w:val="36"/>
                <w:sz w:val="22"/>
              </w:rPr>
              <w:t xml:space="preserve">-садка №43 </w:t>
            </w:r>
            <w:proofErr w:type="spellStart"/>
            <w:r w:rsidRPr="00B74A55">
              <w:rPr>
                <w:kern w:val="36"/>
                <w:sz w:val="22"/>
              </w:rPr>
              <w:t>міста</w:t>
            </w:r>
            <w:proofErr w:type="spellEnd"/>
            <w:r w:rsidRPr="00B74A55">
              <w:rPr>
                <w:kern w:val="36"/>
                <w:sz w:val="22"/>
              </w:rPr>
              <w:t xml:space="preserve"> </w:t>
            </w:r>
            <w:proofErr w:type="spellStart"/>
            <w:r w:rsidRPr="00B74A55">
              <w:rPr>
                <w:kern w:val="36"/>
                <w:sz w:val="22"/>
              </w:rPr>
              <w:t>Сєвєродонецька</w:t>
            </w:r>
            <w:proofErr w:type="spellEnd"/>
            <w:r w:rsidRPr="00B74A55">
              <w:rPr>
                <w:kern w:val="36"/>
                <w:sz w:val="22"/>
              </w:rPr>
              <w:t xml:space="preserve"> </w:t>
            </w:r>
            <w:proofErr w:type="spellStart"/>
            <w:r w:rsidRPr="00B74A55">
              <w:rPr>
                <w:kern w:val="36"/>
                <w:sz w:val="22"/>
              </w:rPr>
              <w:t>Луганської</w:t>
            </w:r>
            <w:proofErr w:type="spellEnd"/>
            <w:r w:rsidRPr="00B74A55">
              <w:rPr>
                <w:kern w:val="36"/>
                <w:sz w:val="22"/>
              </w:rPr>
              <w:t xml:space="preserve"> </w:t>
            </w:r>
            <w:proofErr w:type="spellStart"/>
            <w:r w:rsidRPr="00B74A55">
              <w:rPr>
                <w:kern w:val="36"/>
                <w:sz w:val="22"/>
              </w:rPr>
              <w:t>області</w:t>
            </w:r>
            <w:proofErr w:type="spellEnd"/>
            <w:r w:rsidRPr="00B74A55">
              <w:rPr>
                <w:kern w:val="36"/>
                <w:sz w:val="22"/>
              </w:rPr>
              <w:t xml:space="preserve"> </w:t>
            </w:r>
          </w:p>
          <w:p w:rsidR="009F6B39" w:rsidRPr="00B74A55" w:rsidRDefault="009F6B39" w:rsidP="001038B7">
            <w:pPr>
              <w:keepNext/>
              <w:keepLines/>
              <w:shd w:val="clear" w:color="auto" w:fill="FFFFFF"/>
              <w:outlineLvl w:val="0"/>
              <w:rPr>
                <w:kern w:val="36"/>
                <w:sz w:val="22"/>
              </w:rPr>
            </w:pPr>
            <w:r w:rsidRPr="00B74A55">
              <w:rPr>
                <w:kern w:val="36"/>
                <w:sz w:val="22"/>
              </w:rPr>
              <w:t xml:space="preserve">  за </w:t>
            </w:r>
            <w:proofErr w:type="spellStart"/>
            <w:r w:rsidRPr="00B74A55">
              <w:rPr>
                <w:kern w:val="36"/>
                <w:sz w:val="22"/>
              </w:rPr>
              <w:t>адресою</w:t>
            </w:r>
            <w:proofErr w:type="spellEnd"/>
            <w:r w:rsidRPr="00B74A55">
              <w:rPr>
                <w:kern w:val="36"/>
                <w:sz w:val="22"/>
              </w:rPr>
              <w:t>:</w:t>
            </w:r>
          </w:p>
          <w:p w:rsidR="009F6B39" w:rsidRPr="00B74A55" w:rsidRDefault="009F6B39" w:rsidP="001038B7">
            <w:pPr>
              <w:keepNext/>
              <w:keepLines/>
              <w:shd w:val="clear" w:color="auto" w:fill="FFFFFF"/>
              <w:outlineLvl w:val="0"/>
              <w:rPr>
                <w:kern w:val="36"/>
                <w:sz w:val="22"/>
              </w:rPr>
            </w:pPr>
            <w:r w:rsidRPr="00B74A55">
              <w:rPr>
                <w:kern w:val="36"/>
                <w:sz w:val="22"/>
              </w:rPr>
              <w:t xml:space="preserve"> </w:t>
            </w:r>
            <w:proofErr w:type="spellStart"/>
            <w:r w:rsidRPr="00B74A55">
              <w:rPr>
                <w:kern w:val="36"/>
                <w:sz w:val="22"/>
              </w:rPr>
              <w:t>вул</w:t>
            </w:r>
            <w:proofErr w:type="spellEnd"/>
            <w:r w:rsidRPr="00B74A55">
              <w:rPr>
                <w:kern w:val="36"/>
                <w:sz w:val="22"/>
              </w:rPr>
              <w:t xml:space="preserve">. </w:t>
            </w:r>
            <w:proofErr w:type="spellStart"/>
            <w:r w:rsidRPr="00B74A55">
              <w:rPr>
                <w:kern w:val="36"/>
                <w:sz w:val="22"/>
              </w:rPr>
              <w:t>Гагаріна</w:t>
            </w:r>
            <w:proofErr w:type="spellEnd"/>
            <w:r w:rsidRPr="00B74A55">
              <w:rPr>
                <w:kern w:val="36"/>
                <w:sz w:val="22"/>
              </w:rPr>
              <w:t xml:space="preserve">, 113-А, </w:t>
            </w:r>
            <w:proofErr w:type="spellStart"/>
            <w:r w:rsidRPr="00B74A55">
              <w:rPr>
                <w:kern w:val="36"/>
                <w:sz w:val="22"/>
              </w:rPr>
              <w:t>Сєвєродонецького</w:t>
            </w:r>
            <w:proofErr w:type="spellEnd"/>
            <w:r w:rsidRPr="00B74A55">
              <w:rPr>
                <w:kern w:val="36"/>
                <w:sz w:val="22"/>
              </w:rPr>
              <w:t xml:space="preserve"> району, </w:t>
            </w:r>
          </w:p>
          <w:p w:rsidR="009F6B39" w:rsidRPr="00B74A55" w:rsidRDefault="009F6B39" w:rsidP="001038B7">
            <w:pPr>
              <w:keepNext/>
              <w:keepLines/>
              <w:shd w:val="clear" w:color="auto" w:fill="FFFFFF"/>
              <w:outlineLvl w:val="0"/>
              <w:rPr>
                <w:kern w:val="36"/>
                <w:sz w:val="22"/>
              </w:rPr>
            </w:pPr>
            <w:r w:rsidRPr="00B74A55">
              <w:rPr>
                <w:kern w:val="36"/>
                <w:sz w:val="22"/>
              </w:rPr>
              <w:t xml:space="preserve"> м. </w:t>
            </w:r>
            <w:proofErr w:type="spellStart"/>
            <w:r w:rsidRPr="00B74A55">
              <w:rPr>
                <w:kern w:val="36"/>
                <w:sz w:val="22"/>
              </w:rPr>
              <w:t>Сєвєродонецьк</w:t>
            </w:r>
            <w:proofErr w:type="spellEnd"/>
            <w:r w:rsidRPr="00B74A55">
              <w:rPr>
                <w:kern w:val="36"/>
                <w:sz w:val="22"/>
              </w:rPr>
              <w:t xml:space="preserve">, </w:t>
            </w:r>
            <w:proofErr w:type="spellStart"/>
            <w:r w:rsidRPr="00B74A55">
              <w:rPr>
                <w:kern w:val="36"/>
                <w:sz w:val="22"/>
              </w:rPr>
              <w:t>Луганської</w:t>
            </w:r>
            <w:proofErr w:type="spellEnd"/>
            <w:r w:rsidRPr="00B74A55">
              <w:rPr>
                <w:kern w:val="36"/>
                <w:sz w:val="22"/>
              </w:rPr>
              <w:t xml:space="preserve"> </w:t>
            </w:r>
            <w:proofErr w:type="spellStart"/>
            <w:r w:rsidRPr="00B74A55">
              <w:rPr>
                <w:kern w:val="36"/>
                <w:sz w:val="22"/>
              </w:rPr>
              <w:t>області</w:t>
            </w:r>
            <w:proofErr w:type="spellEnd"/>
            <w:r w:rsidRPr="00B74A55">
              <w:rPr>
                <w:kern w:val="36"/>
                <w:sz w:val="22"/>
              </w:rPr>
              <w:t>;</w:t>
            </w:r>
          </w:p>
          <w:p w:rsidR="009F6B39" w:rsidRPr="00B74A55" w:rsidRDefault="009F6B39" w:rsidP="001038B7">
            <w:pPr>
              <w:contextualSpacing/>
              <w:rPr>
                <w:sz w:val="22"/>
              </w:rPr>
            </w:pPr>
            <w:r w:rsidRPr="00B74A55">
              <w:rPr>
                <w:sz w:val="22"/>
              </w:rPr>
              <w:t xml:space="preserve">  -     </w:t>
            </w:r>
            <w:proofErr w:type="spellStart"/>
            <w:r w:rsidRPr="00B74A55">
              <w:rPr>
                <w:sz w:val="22"/>
              </w:rPr>
              <w:t>організація</w:t>
            </w:r>
            <w:proofErr w:type="spellEnd"/>
            <w:r w:rsidRPr="00B74A55">
              <w:rPr>
                <w:sz w:val="22"/>
              </w:rPr>
              <w:t xml:space="preserve"> та початок </w:t>
            </w:r>
            <w:proofErr w:type="spellStart"/>
            <w:r w:rsidRPr="00B74A55">
              <w:rPr>
                <w:sz w:val="22"/>
              </w:rPr>
              <w:t>робочого</w:t>
            </w:r>
            <w:proofErr w:type="spellEnd"/>
            <w:r w:rsidRPr="00B74A55">
              <w:rPr>
                <w:sz w:val="22"/>
              </w:rPr>
              <w:t xml:space="preserve"> </w:t>
            </w:r>
            <w:proofErr w:type="spellStart"/>
            <w:r w:rsidRPr="00B74A55">
              <w:rPr>
                <w:sz w:val="22"/>
              </w:rPr>
              <w:t>процесу</w:t>
            </w:r>
            <w:proofErr w:type="spellEnd"/>
            <w:r w:rsidRPr="00B74A55">
              <w:rPr>
                <w:sz w:val="22"/>
              </w:rPr>
              <w:t>;</w:t>
            </w:r>
          </w:p>
          <w:p w:rsidR="009F6B39" w:rsidRPr="00B74A55" w:rsidRDefault="009F6B39" w:rsidP="001038B7">
            <w:pPr>
              <w:contextualSpacing/>
              <w:rPr>
                <w:kern w:val="36"/>
                <w:sz w:val="22"/>
              </w:rPr>
            </w:pPr>
            <w:r w:rsidRPr="00B74A55">
              <w:rPr>
                <w:sz w:val="22"/>
              </w:rPr>
              <w:t xml:space="preserve">  -     </w:t>
            </w:r>
            <w:proofErr w:type="spellStart"/>
            <w:r w:rsidRPr="00B74A55">
              <w:rPr>
                <w:sz w:val="22"/>
              </w:rPr>
              <w:t>роботи</w:t>
            </w:r>
            <w:proofErr w:type="spellEnd"/>
            <w:r w:rsidRPr="00B74A55">
              <w:rPr>
                <w:sz w:val="22"/>
              </w:rPr>
              <w:t xml:space="preserve"> по </w:t>
            </w:r>
            <w:proofErr w:type="spellStart"/>
            <w:r w:rsidRPr="00B74A55">
              <w:rPr>
                <w:sz w:val="22"/>
              </w:rPr>
              <w:t>т</w:t>
            </w:r>
            <w:r w:rsidRPr="00B74A55">
              <w:rPr>
                <w:kern w:val="36"/>
                <w:sz w:val="22"/>
              </w:rPr>
              <w:t>епловій</w:t>
            </w:r>
            <w:proofErr w:type="spellEnd"/>
            <w:r w:rsidRPr="00B74A55">
              <w:rPr>
                <w:kern w:val="36"/>
                <w:sz w:val="22"/>
              </w:rPr>
              <w:t xml:space="preserve"> </w:t>
            </w:r>
            <w:proofErr w:type="spellStart"/>
            <w:r w:rsidRPr="00B74A55">
              <w:rPr>
                <w:kern w:val="36"/>
                <w:sz w:val="22"/>
              </w:rPr>
              <w:t>ізоляції</w:t>
            </w:r>
            <w:proofErr w:type="spellEnd"/>
            <w:r w:rsidRPr="00B74A55">
              <w:rPr>
                <w:kern w:val="36"/>
                <w:sz w:val="22"/>
              </w:rPr>
              <w:t xml:space="preserve"> та </w:t>
            </w:r>
            <w:proofErr w:type="spellStart"/>
            <w:r w:rsidRPr="00B74A55">
              <w:rPr>
                <w:kern w:val="36"/>
                <w:sz w:val="22"/>
              </w:rPr>
              <w:t>енергоефективності</w:t>
            </w:r>
            <w:proofErr w:type="spellEnd"/>
          </w:p>
          <w:p w:rsidR="009F6B39" w:rsidRPr="00B74A55" w:rsidRDefault="009F6B39" w:rsidP="001038B7">
            <w:pPr>
              <w:contextualSpacing/>
              <w:rPr>
                <w:kern w:val="36"/>
                <w:sz w:val="22"/>
              </w:rPr>
            </w:pPr>
            <w:r w:rsidRPr="00B74A55">
              <w:rPr>
                <w:kern w:val="36"/>
                <w:sz w:val="22"/>
              </w:rPr>
              <w:t xml:space="preserve">  </w:t>
            </w:r>
            <w:proofErr w:type="spellStart"/>
            <w:r w:rsidRPr="00B74A55">
              <w:rPr>
                <w:kern w:val="36"/>
                <w:sz w:val="22"/>
              </w:rPr>
              <w:t>будівлі</w:t>
            </w:r>
            <w:proofErr w:type="spellEnd"/>
            <w:r w:rsidRPr="00B74A55">
              <w:rPr>
                <w:kern w:val="36"/>
                <w:sz w:val="22"/>
              </w:rPr>
              <w:t xml:space="preserve">                                                                        - 17000м</w:t>
            </w:r>
            <w:r w:rsidRPr="00B74A55">
              <w:rPr>
                <w:kern w:val="36"/>
                <w:sz w:val="22"/>
                <w:vertAlign w:val="superscript"/>
              </w:rPr>
              <w:t>3</w:t>
            </w:r>
            <w:r w:rsidRPr="00B74A55">
              <w:rPr>
                <w:kern w:val="36"/>
                <w:sz w:val="22"/>
              </w:rPr>
              <w:t>;</w:t>
            </w:r>
          </w:p>
          <w:p w:rsidR="009F6B39" w:rsidRPr="00B74A55" w:rsidRDefault="009F6B39" w:rsidP="000303D7">
            <w:pPr>
              <w:numPr>
                <w:ilvl w:val="0"/>
                <w:numId w:val="142"/>
              </w:numPr>
              <w:shd w:val="clear" w:color="auto" w:fill="FFFFFF"/>
              <w:spacing w:after="150"/>
              <w:ind w:left="398" w:hanging="284"/>
              <w:contextualSpacing/>
              <w:jc w:val="left"/>
              <w:rPr>
                <w:sz w:val="22"/>
              </w:rPr>
            </w:pPr>
            <w:r w:rsidRPr="00B74A55">
              <w:rPr>
                <w:sz w:val="22"/>
              </w:rPr>
              <w:t xml:space="preserve"> </w:t>
            </w:r>
            <w:proofErr w:type="spellStart"/>
            <w:proofErr w:type="gramStart"/>
            <w:r w:rsidRPr="00B74A55">
              <w:rPr>
                <w:sz w:val="22"/>
              </w:rPr>
              <w:t>оздоблення</w:t>
            </w:r>
            <w:proofErr w:type="spellEnd"/>
            <w:r w:rsidRPr="00B74A55">
              <w:rPr>
                <w:sz w:val="22"/>
              </w:rPr>
              <w:t>  </w:t>
            </w:r>
            <w:proofErr w:type="spellStart"/>
            <w:r w:rsidRPr="00B74A55">
              <w:rPr>
                <w:sz w:val="22"/>
              </w:rPr>
              <w:t>фасадів</w:t>
            </w:r>
            <w:proofErr w:type="spellEnd"/>
            <w:proofErr w:type="gramEnd"/>
            <w:r w:rsidRPr="00B74A55">
              <w:rPr>
                <w:sz w:val="22"/>
              </w:rPr>
              <w:t xml:space="preserve"> з </w:t>
            </w:r>
            <w:proofErr w:type="spellStart"/>
            <w:r w:rsidRPr="00B74A55">
              <w:rPr>
                <w:sz w:val="22"/>
              </w:rPr>
              <w:t>утепленням</w:t>
            </w:r>
            <w:proofErr w:type="spellEnd"/>
            <w:r w:rsidRPr="00B74A55">
              <w:rPr>
                <w:sz w:val="22"/>
              </w:rPr>
              <w:t xml:space="preserve"> негорючими   </w:t>
            </w:r>
            <w:proofErr w:type="spellStart"/>
            <w:r w:rsidRPr="00B74A55">
              <w:rPr>
                <w:sz w:val="22"/>
              </w:rPr>
              <w:t>матеріалами</w:t>
            </w:r>
            <w:proofErr w:type="spellEnd"/>
            <w:r w:rsidRPr="00B74A55">
              <w:rPr>
                <w:sz w:val="22"/>
              </w:rPr>
              <w:t xml:space="preserve">                                                           -18000 м</w:t>
            </w:r>
            <w:r w:rsidRPr="00B74A55">
              <w:rPr>
                <w:sz w:val="22"/>
                <w:vertAlign w:val="superscript"/>
              </w:rPr>
              <w:t>3</w:t>
            </w:r>
            <w:r w:rsidRPr="00B74A55">
              <w:rPr>
                <w:sz w:val="22"/>
              </w:rPr>
              <w:t>;</w:t>
            </w:r>
          </w:p>
          <w:p w:rsidR="009F6B39" w:rsidRPr="00B74A55" w:rsidRDefault="009F6B39" w:rsidP="000303D7">
            <w:pPr>
              <w:numPr>
                <w:ilvl w:val="0"/>
                <w:numId w:val="142"/>
              </w:numPr>
              <w:autoSpaceDE w:val="0"/>
              <w:autoSpaceDN w:val="0"/>
              <w:adjustRightInd w:val="0"/>
              <w:ind w:left="398" w:hanging="284"/>
              <w:contextualSpacing/>
              <w:jc w:val="left"/>
              <w:rPr>
                <w:color w:val="FF0000"/>
                <w:sz w:val="22"/>
              </w:rPr>
            </w:pPr>
            <w:r w:rsidRPr="00B74A55">
              <w:rPr>
                <w:sz w:val="22"/>
              </w:rPr>
              <w:t xml:space="preserve">ремонт </w:t>
            </w:r>
            <w:proofErr w:type="spellStart"/>
            <w:r w:rsidRPr="00B74A55">
              <w:rPr>
                <w:sz w:val="22"/>
              </w:rPr>
              <w:t>покрівлі</w:t>
            </w:r>
            <w:proofErr w:type="spellEnd"/>
            <w:r w:rsidRPr="00B74A55">
              <w:rPr>
                <w:sz w:val="22"/>
              </w:rPr>
              <w:t xml:space="preserve"> </w:t>
            </w:r>
            <w:proofErr w:type="spellStart"/>
            <w:r w:rsidRPr="00B74A55">
              <w:rPr>
                <w:sz w:val="22"/>
              </w:rPr>
              <w:t>основної</w:t>
            </w:r>
            <w:proofErr w:type="spellEnd"/>
            <w:r w:rsidRPr="00B74A55">
              <w:rPr>
                <w:sz w:val="22"/>
              </w:rPr>
              <w:t xml:space="preserve"> </w:t>
            </w:r>
            <w:proofErr w:type="spellStart"/>
            <w:r w:rsidRPr="00B74A55">
              <w:rPr>
                <w:sz w:val="22"/>
              </w:rPr>
              <w:t>будівлі</w:t>
            </w:r>
            <w:proofErr w:type="spellEnd"/>
            <w:r w:rsidRPr="00B74A55">
              <w:rPr>
                <w:sz w:val="22"/>
              </w:rPr>
              <w:t>,</w:t>
            </w:r>
            <w:r w:rsidRPr="00B74A55">
              <w:rPr>
                <w:color w:val="222222"/>
                <w:sz w:val="22"/>
                <w:shd w:val="clear" w:color="auto" w:fill="FFFFFF"/>
              </w:rPr>
              <w:t> </w:t>
            </w:r>
            <w:proofErr w:type="spellStart"/>
            <w:r w:rsidRPr="00B74A55">
              <w:rPr>
                <w:color w:val="222222"/>
                <w:sz w:val="22"/>
                <w:shd w:val="clear" w:color="auto" w:fill="FFFFFF"/>
              </w:rPr>
              <w:t>якісне</w:t>
            </w:r>
            <w:proofErr w:type="spellEnd"/>
            <w:r w:rsidRPr="00B74A55">
              <w:rPr>
                <w:color w:val="222222"/>
                <w:sz w:val="22"/>
                <w:shd w:val="clear" w:color="auto" w:fill="FFFFFF"/>
              </w:rPr>
              <w:t xml:space="preserve"> </w:t>
            </w:r>
            <w:proofErr w:type="spellStart"/>
            <w:r w:rsidRPr="00B74A55">
              <w:rPr>
                <w:color w:val="222222"/>
                <w:sz w:val="22"/>
                <w:shd w:val="clear" w:color="auto" w:fill="FFFFFF"/>
              </w:rPr>
              <w:t>виконання</w:t>
            </w:r>
            <w:proofErr w:type="spellEnd"/>
            <w:r w:rsidRPr="00B74A55">
              <w:rPr>
                <w:color w:val="FF0000"/>
                <w:sz w:val="22"/>
              </w:rPr>
              <w:t xml:space="preserve"> </w:t>
            </w:r>
            <w:proofErr w:type="spellStart"/>
            <w:r w:rsidRPr="00B74A55">
              <w:rPr>
                <w:color w:val="222222"/>
                <w:sz w:val="22"/>
                <w:shd w:val="clear" w:color="auto" w:fill="FFFFFF"/>
              </w:rPr>
              <w:t>робіт</w:t>
            </w:r>
            <w:proofErr w:type="spellEnd"/>
            <w:r w:rsidRPr="00B74A55">
              <w:rPr>
                <w:color w:val="222222"/>
                <w:sz w:val="22"/>
                <w:shd w:val="clear" w:color="auto" w:fill="FFFFFF"/>
              </w:rPr>
              <w:t xml:space="preserve"> по монтажу і ремонту </w:t>
            </w:r>
            <w:proofErr w:type="spellStart"/>
            <w:r w:rsidRPr="00B74A55">
              <w:rPr>
                <w:color w:val="222222"/>
                <w:sz w:val="22"/>
                <w:shd w:val="clear" w:color="auto" w:fill="FFFFFF"/>
              </w:rPr>
              <w:t>покрівель</w:t>
            </w:r>
            <w:proofErr w:type="spellEnd"/>
            <w:r w:rsidRPr="00B74A55">
              <w:rPr>
                <w:color w:val="222222"/>
                <w:sz w:val="22"/>
                <w:shd w:val="clear" w:color="auto" w:fill="FFFFFF"/>
              </w:rPr>
              <w:t xml:space="preserve"> плоского</w:t>
            </w:r>
          </w:p>
          <w:p w:rsidR="009F6B39" w:rsidRPr="00B74A55" w:rsidRDefault="009F6B39" w:rsidP="001038B7">
            <w:pPr>
              <w:autoSpaceDE w:val="0"/>
              <w:autoSpaceDN w:val="0"/>
              <w:adjustRightInd w:val="0"/>
              <w:ind w:left="398"/>
              <w:contextualSpacing/>
              <w:rPr>
                <w:color w:val="FF0000"/>
                <w:sz w:val="22"/>
              </w:rPr>
            </w:pPr>
            <w:r w:rsidRPr="00B74A55">
              <w:rPr>
                <w:color w:val="222222"/>
                <w:sz w:val="22"/>
                <w:shd w:val="clear" w:color="auto" w:fill="FFFFFF"/>
              </w:rPr>
              <w:t>типу                                                                        -    2415 м</w:t>
            </w:r>
            <w:r w:rsidRPr="00B74A55">
              <w:rPr>
                <w:color w:val="222222"/>
                <w:sz w:val="22"/>
                <w:shd w:val="clear" w:color="auto" w:fill="FFFFFF"/>
                <w:vertAlign w:val="superscript"/>
              </w:rPr>
              <w:t>2</w:t>
            </w:r>
            <w:r w:rsidRPr="00B74A55">
              <w:rPr>
                <w:color w:val="222222"/>
                <w:sz w:val="22"/>
                <w:shd w:val="clear" w:color="auto" w:fill="FFFFFF"/>
              </w:rPr>
              <w:t>;</w:t>
            </w:r>
          </w:p>
          <w:p w:rsidR="009F6B39" w:rsidRPr="00B74A55" w:rsidRDefault="009F6B39" w:rsidP="000303D7">
            <w:pPr>
              <w:numPr>
                <w:ilvl w:val="0"/>
                <w:numId w:val="142"/>
              </w:numPr>
              <w:autoSpaceDE w:val="0"/>
              <w:autoSpaceDN w:val="0"/>
              <w:adjustRightInd w:val="0"/>
              <w:ind w:left="114" w:hanging="322"/>
              <w:contextualSpacing/>
              <w:jc w:val="left"/>
              <w:rPr>
                <w:color w:val="FF0000"/>
                <w:sz w:val="22"/>
              </w:rPr>
            </w:pPr>
            <w:r w:rsidRPr="00B74A55">
              <w:rPr>
                <w:sz w:val="22"/>
              </w:rPr>
              <w:t xml:space="preserve">-   </w:t>
            </w:r>
            <w:proofErr w:type="spellStart"/>
            <w:r w:rsidRPr="00B74A55">
              <w:rPr>
                <w:sz w:val="22"/>
              </w:rPr>
              <w:t>заміна</w:t>
            </w:r>
            <w:proofErr w:type="spellEnd"/>
            <w:r w:rsidRPr="00B74A55">
              <w:rPr>
                <w:sz w:val="22"/>
              </w:rPr>
              <w:t xml:space="preserve"> вікон                                                           -    555 м</w:t>
            </w:r>
            <w:r w:rsidRPr="00B74A55">
              <w:rPr>
                <w:sz w:val="22"/>
                <w:vertAlign w:val="superscript"/>
              </w:rPr>
              <w:t>2</w:t>
            </w:r>
            <w:r w:rsidRPr="00B74A55">
              <w:rPr>
                <w:sz w:val="22"/>
              </w:rPr>
              <w:t>;</w:t>
            </w:r>
          </w:p>
          <w:p w:rsidR="009F6B39" w:rsidRPr="00B74A55" w:rsidRDefault="009F6B39" w:rsidP="000303D7">
            <w:pPr>
              <w:numPr>
                <w:ilvl w:val="0"/>
                <w:numId w:val="142"/>
              </w:numPr>
              <w:autoSpaceDE w:val="0"/>
              <w:autoSpaceDN w:val="0"/>
              <w:adjustRightInd w:val="0"/>
              <w:ind w:left="398" w:hanging="284"/>
              <w:contextualSpacing/>
              <w:jc w:val="left"/>
              <w:rPr>
                <w:color w:val="FF0000"/>
                <w:sz w:val="22"/>
              </w:rPr>
            </w:pPr>
            <w:proofErr w:type="spellStart"/>
            <w:r w:rsidRPr="00B74A55">
              <w:rPr>
                <w:sz w:val="22"/>
              </w:rPr>
              <w:lastRenderedPageBreak/>
              <w:t>заміна</w:t>
            </w:r>
            <w:proofErr w:type="spellEnd"/>
            <w:r w:rsidRPr="00B74A55">
              <w:rPr>
                <w:sz w:val="22"/>
              </w:rPr>
              <w:t xml:space="preserve"> </w:t>
            </w:r>
            <w:proofErr w:type="spellStart"/>
            <w:r w:rsidRPr="00B74A55">
              <w:rPr>
                <w:sz w:val="22"/>
              </w:rPr>
              <w:t>вхідних</w:t>
            </w:r>
            <w:proofErr w:type="spellEnd"/>
            <w:r w:rsidRPr="00B74A55">
              <w:rPr>
                <w:sz w:val="22"/>
              </w:rPr>
              <w:t xml:space="preserve">, </w:t>
            </w:r>
            <w:proofErr w:type="spellStart"/>
            <w:r w:rsidRPr="00B74A55">
              <w:rPr>
                <w:sz w:val="22"/>
              </w:rPr>
              <w:t>вихідних</w:t>
            </w:r>
            <w:proofErr w:type="spellEnd"/>
            <w:r w:rsidRPr="00B74A55">
              <w:rPr>
                <w:sz w:val="22"/>
              </w:rPr>
              <w:t xml:space="preserve">, </w:t>
            </w:r>
            <w:proofErr w:type="spellStart"/>
            <w:r w:rsidRPr="00B74A55">
              <w:rPr>
                <w:sz w:val="22"/>
              </w:rPr>
              <w:t>міжкімнатних</w:t>
            </w:r>
            <w:proofErr w:type="spellEnd"/>
            <w:r w:rsidRPr="00B74A55">
              <w:rPr>
                <w:sz w:val="22"/>
              </w:rPr>
              <w:t xml:space="preserve"> та                          </w:t>
            </w:r>
            <w:proofErr w:type="spellStart"/>
            <w:proofErr w:type="gramStart"/>
            <w:r w:rsidRPr="00B74A55">
              <w:rPr>
                <w:sz w:val="22"/>
              </w:rPr>
              <w:t>пожежних</w:t>
            </w:r>
            <w:proofErr w:type="spellEnd"/>
            <w:r w:rsidRPr="00B74A55">
              <w:rPr>
                <w:sz w:val="22"/>
              </w:rPr>
              <w:t xml:space="preserve">  дверей</w:t>
            </w:r>
            <w:proofErr w:type="gramEnd"/>
            <w:r w:rsidRPr="00B74A55">
              <w:rPr>
                <w:sz w:val="22"/>
              </w:rPr>
              <w:t xml:space="preserve">                                                 -       286 м</w:t>
            </w:r>
            <w:r w:rsidRPr="00B74A55">
              <w:rPr>
                <w:sz w:val="22"/>
                <w:vertAlign w:val="superscript"/>
              </w:rPr>
              <w:t>2</w:t>
            </w:r>
            <w:r w:rsidRPr="00B74A55">
              <w:rPr>
                <w:sz w:val="22"/>
              </w:rPr>
              <w:t>;</w:t>
            </w:r>
          </w:p>
          <w:p w:rsidR="009F6B39" w:rsidRPr="00B74A55" w:rsidRDefault="009F6B39" w:rsidP="000303D7">
            <w:pPr>
              <w:numPr>
                <w:ilvl w:val="0"/>
                <w:numId w:val="142"/>
              </w:numPr>
              <w:autoSpaceDE w:val="0"/>
              <w:autoSpaceDN w:val="0"/>
              <w:adjustRightInd w:val="0"/>
              <w:ind w:left="398" w:hanging="284"/>
              <w:contextualSpacing/>
              <w:jc w:val="left"/>
              <w:rPr>
                <w:sz w:val="22"/>
              </w:rPr>
            </w:pPr>
            <w:proofErr w:type="spellStart"/>
            <w:r w:rsidRPr="00B74A55">
              <w:rPr>
                <w:sz w:val="22"/>
              </w:rPr>
              <w:t>внутрішнє</w:t>
            </w:r>
            <w:proofErr w:type="spellEnd"/>
            <w:r w:rsidRPr="00B74A55">
              <w:rPr>
                <w:sz w:val="22"/>
              </w:rPr>
              <w:t xml:space="preserve"> </w:t>
            </w:r>
            <w:proofErr w:type="spellStart"/>
            <w:r w:rsidRPr="00B74A55">
              <w:rPr>
                <w:sz w:val="22"/>
              </w:rPr>
              <w:t>оздоблення</w:t>
            </w:r>
            <w:proofErr w:type="spellEnd"/>
            <w:r w:rsidRPr="00B74A55">
              <w:rPr>
                <w:sz w:val="22"/>
              </w:rPr>
              <w:t xml:space="preserve"> </w:t>
            </w:r>
            <w:proofErr w:type="spellStart"/>
            <w:r w:rsidRPr="00B74A55">
              <w:rPr>
                <w:sz w:val="22"/>
              </w:rPr>
              <w:t>приміщення</w:t>
            </w:r>
            <w:proofErr w:type="spellEnd"/>
            <w:r w:rsidRPr="00B74A55">
              <w:rPr>
                <w:sz w:val="22"/>
              </w:rPr>
              <w:t xml:space="preserve">                     </w:t>
            </w:r>
            <w:proofErr w:type="gramStart"/>
            <w:r w:rsidRPr="00B74A55">
              <w:rPr>
                <w:sz w:val="22"/>
              </w:rPr>
              <w:t>-  27</w:t>
            </w:r>
            <w:proofErr w:type="gramEnd"/>
            <w:r w:rsidRPr="00B74A55">
              <w:rPr>
                <w:sz w:val="22"/>
              </w:rPr>
              <w:t> 000 м</w:t>
            </w:r>
            <w:r w:rsidRPr="00B74A55">
              <w:rPr>
                <w:sz w:val="22"/>
                <w:vertAlign w:val="superscript"/>
              </w:rPr>
              <w:t>3</w:t>
            </w:r>
            <w:r w:rsidRPr="00B74A55">
              <w:rPr>
                <w:sz w:val="22"/>
              </w:rPr>
              <w:t xml:space="preserve">; </w:t>
            </w:r>
          </w:p>
          <w:p w:rsidR="009F6B39" w:rsidRPr="00B74A55" w:rsidRDefault="009F6B39" w:rsidP="000303D7">
            <w:pPr>
              <w:numPr>
                <w:ilvl w:val="0"/>
                <w:numId w:val="142"/>
              </w:numPr>
              <w:autoSpaceDE w:val="0"/>
              <w:autoSpaceDN w:val="0"/>
              <w:adjustRightInd w:val="0"/>
              <w:ind w:left="398" w:hanging="284"/>
              <w:contextualSpacing/>
              <w:jc w:val="left"/>
              <w:rPr>
                <w:sz w:val="22"/>
              </w:rPr>
            </w:pPr>
            <w:proofErr w:type="spellStart"/>
            <w:r w:rsidRPr="00B74A55">
              <w:rPr>
                <w:sz w:val="22"/>
              </w:rPr>
              <w:t>відновлення</w:t>
            </w:r>
            <w:proofErr w:type="spellEnd"/>
            <w:r w:rsidRPr="00B74A55">
              <w:rPr>
                <w:sz w:val="22"/>
              </w:rPr>
              <w:t xml:space="preserve"> </w:t>
            </w:r>
            <w:proofErr w:type="spellStart"/>
            <w:r w:rsidRPr="00B74A55">
              <w:rPr>
                <w:sz w:val="22"/>
              </w:rPr>
              <w:t>системи</w:t>
            </w:r>
            <w:proofErr w:type="spellEnd"/>
            <w:r w:rsidRPr="00B74A55">
              <w:rPr>
                <w:sz w:val="22"/>
              </w:rPr>
              <w:t xml:space="preserve"> водогону та </w:t>
            </w:r>
            <w:proofErr w:type="spellStart"/>
            <w:r w:rsidRPr="00B74A55">
              <w:rPr>
                <w:sz w:val="22"/>
              </w:rPr>
              <w:t>водовідведення</w:t>
            </w:r>
            <w:proofErr w:type="spellEnd"/>
            <w:r w:rsidRPr="00B74A55">
              <w:rPr>
                <w:sz w:val="22"/>
              </w:rPr>
              <w:t xml:space="preserve">                                   </w:t>
            </w:r>
            <w:proofErr w:type="spellStart"/>
            <w:r w:rsidRPr="00B74A55">
              <w:rPr>
                <w:sz w:val="22"/>
              </w:rPr>
              <w:t>санвузлів</w:t>
            </w:r>
            <w:proofErr w:type="spellEnd"/>
            <w:r w:rsidRPr="00B74A55">
              <w:rPr>
                <w:sz w:val="22"/>
              </w:rPr>
              <w:t xml:space="preserve">                                                                 </w:t>
            </w:r>
            <w:proofErr w:type="gramStart"/>
            <w:r w:rsidRPr="00B74A55">
              <w:rPr>
                <w:sz w:val="22"/>
              </w:rPr>
              <w:t>-  360</w:t>
            </w:r>
            <w:proofErr w:type="gramEnd"/>
            <w:r w:rsidRPr="00B74A55">
              <w:rPr>
                <w:sz w:val="22"/>
              </w:rPr>
              <w:t xml:space="preserve"> </w:t>
            </w:r>
            <w:proofErr w:type="spellStart"/>
            <w:r w:rsidRPr="00B74A55">
              <w:rPr>
                <w:sz w:val="22"/>
              </w:rPr>
              <w:t>м.пог</w:t>
            </w:r>
            <w:proofErr w:type="spellEnd"/>
            <w:r w:rsidRPr="00B74A55">
              <w:rPr>
                <w:sz w:val="22"/>
              </w:rPr>
              <w:t>.;</w:t>
            </w:r>
          </w:p>
          <w:p w:rsidR="009F6B39" w:rsidRPr="00B74A55" w:rsidRDefault="009F6B39" w:rsidP="000303D7">
            <w:pPr>
              <w:numPr>
                <w:ilvl w:val="0"/>
                <w:numId w:val="142"/>
              </w:numPr>
              <w:autoSpaceDE w:val="0"/>
              <w:autoSpaceDN w:val="0"/>
              <w:adjustRightInd w:val="0"/>
              <w:ind w:left="398" w:hanging="284"/>
              <w:contextualSpacing/>
              <w:jc w:val="left"/>
              <w:rPr>
                <w:sz w:val="22"/>
              </w:rPr>
            </w:pPr>
            <w:r w:rsidRPr="00B74A55">
              <w:rPr>
                <w:sz w:val="22"/>
              </w:rPr>
              <w:t xml:space="preserve">ремонт 14-ти </w:t>
            </w:r>
            <w:proofErr w:type="spellStart"/>
            <w:r w:rsidRPr="00B74A55">
              <w:rPr>
                <w:sz w:val="22"/>
              </w:rPr>
              <w:t>групових</w:t>
            </w:r>
            <w:proofErr w:type="spellEnd"/>
            <w:r w:rsidRPr="00B74A55">
              <w:rPr>
                <w:sz w:val="22"/>
              </w:rPr>
              <w:t xml:space="preserve"> </w:t>
            </w:r>
            <w:proofErr w:type="spellStart"/>
            <w:r w:rsidRPr="00B74A55">
              <w:rPr>
                <w:sz w:val="22"/>
              </w:rPr>
              <w:t>осередків</w:t>
            </w:r>
            <w:proofErr w:type="spellEnd"/>
            <w:r w:rsidRPr="00B74A55">
              <w:rPr>
                <w:sz w:val="22"/>
              </w:rPr>
              <w:t xml:space="preserve">                         </w:t>
            </w:r>
            <w:proofErr w:type="gramStart"/>
            <w:r w:rsidRPr="00B74A55">
              <w:rPr>
                <w:sz w:val="22"/>
              </w:rPr>
              <w:t>-  2100</w:t>
            </w:r>
            <w:proofErr w:type="gramEnd"/>
            <w:r w:rsidRPr="00B74A55">
              <w:rPr>
                <w:sz w:val="22"/>
              </w:rPr>
              <w:t xml:space="preserve"> м</w:t>
            </w:r>
            <w:r w:rsidRPr="00B74A55">
              <w:rPr>
                <w:sz w:val="22"/>
                <w:vertAlign w:val="superscript"/>
              </w:rPr>
              <w:t xml:space="preserve">2 </w:t>
            </w:r>
            <w:r w:rsidRPr="00B74A55">
              <w:rPr>
                <w:sz w:val="22"/>
              </w:rPr>
              <w:t>;</w:t>
            </w:r>
          </w:p>
          <w:p w:rsidR="009F6B39" w:rsidRPr="00B74A55" w:rsidRDefault="009F6B39" w:rsidP="000303D7">
            <w:pPr>
              <w:numPr>
                <w:ilvl w:val="0"/>
                <w:numId w:val="142"/>
              </w:numPr>
              <w:autoSpaceDE w:val="0"/>
              <w:autoSpaceDN w:val="0"/>
              <w:adjustRightInd w:val="0"/>
              <w:ind w:left="398" w:hanging="284"/>
              <w:contextualSpacing/>
              <w:jc w:val="left"/>
              <w:rPr>
                <w:sz w:val="22"/>
              </w:rPr>
            </w:pPr>
            <w:proofErr w:type="spellStart"/>
            <w:r w:rsidRPr="00B74A55">
              <w:rPr>
                <w:sz w:val="22"/>
              </w:rPr>
              <w:t>капітальний</w:t>
            </w:r>
            <w:proofErr w:type="spellEnd"/>
            <w:r w:rsidRPr="00B74A55">
              <w:rPr>
                <w:sz w:val="22"/>
              </w:rPr>
              <w:t xml:space="preserve"> </w:t>
            </w:r>
            <w:proofErr w:type="gramStart"/>
            <w:r w:rsidRPr="00B74A55">
              <w:rPr>
                <w:sz w:val="22"/>
              </w:rPr>
              <w:t xml:space="preserve">ремонт  </w:t>
            </w:r>
            <w:proofErr w:type="spellStart"/>
            <w:r w:rsidRPr="00B74A55">
              <w:rPr>
                <w:sz w:val="22"/>
              </w:rPr>
              <w:t>пральні</w:t>
            </w:r>
            <w:proofErr w:type="spellEnd"/>
            <w:proofErr w:type="gramEnd"/>
            <w:r w:rsidRPr="00B74A55">
              <w:rPr>
                <w:sz w:val="22"/>
              </w:rPr>
              <w:t xml:space="preserve"> та </w:t>
            </w:r>
            <w:proofErr w:type="spellStart"/>
            <w:r w:rsidRPr="00B74A55">
              <w:rPr>
                <w:sz w:val="22"/>
              </w:rPr>
              <w:t>кімнати</w:t>
            </w:r>
            <w:proofErr w:type="spellEnd"/>
            <w:r w:rsidRPr="00B74A55">
              <w:rPr>
                <w:sz w:val="22"/>
              </w:rPr>
              <w:t xml:space="preserve"> для </w:t>
            </w:r>
            <w:proofErr w:type="spellStart"/>
            <w:r w:rsidRPr="00B74A55">
              <w:rPr>
                <w:sz w:val="22"/>
              </w:rPr>
              <w:t>збереження</w:t>
            </w:r>
            <w:proofErr w:type="spellEnd"/>
            <w:r w:rsidRPr="00B74A55">
              <w:rPr>
                <w:sz w:val="22"/>
              </w:rPr>
              <w:t xml:space="preserve"> </w:t>
            </w:r>
            <w:proofErr w:type="spellStart"/>
            <w:r w:rsidRPr="00B74A55">
              <w:rPr>
                <w:sz w:val="22"/>
              </w:rPr>
              <w:t>чистої</w:t>
            </w:r>
            <w:proofErr w:type="spellEnd"/>
            <w:r w:rsidRPr="00B74A55">
              <w:rPr>
                <w:sz w:val="22"/>
              </w:rPr>
              <w:t xml:space="preserve"> </w:t>
            </w:r>
            <w:proofErr w:type="spellStart"/>
            <w:r w:rsidRPr="00B74A55">
              <w:rPr>
                <w:sz w:val="22"/>
              </w:rPr>
              <w:t>сухої</w:t>
            </w:r>
            <w:proofErr w:type="spellEnd"/>
            <w:r w:rsidRPr="00B74A55">
              <w:rPr>
                <w:sz w:val="22"/>
              </w:rPr>
              <w:t xml:space="preserve"> </w:t>
            </w:r>
            <w:proofErr w:type="spellStart"/>
            <w:r w:rsidRPr="00B74A55">
              <w:rPr>
                <w:sz w:val="22"/>
              </w:rPr>
              <w:t>білизни</w:t>
            </w:r>
            <w:proofErr w:type="spellEnd"/>
            <w:r w:rsidRPr="00B74A55">
              <w:rPr>
                <w:sz w:val="22"/>
              </w:rPr>
              <w:t xml:space="preserve"> та </w:t>
            </w:r>
            <w:proofErr w:type="spellStart"/>
            <w:r w:rsidRPr="00B74A55">
              <w:rPr>
                <w:sz w:val="22"/>
              </w:rPr>
              <w:t>спецодягу</w:t>
            </w:r>
            <w:proofErr w:type="spellEnd"/>
            <w:r w:rsidRPr="00B74A55">
              <w:rPr>
                <w:sz w:val="22"/>
              </w:rPr>
              <w:t xml:space="preserve">                       -     33 м</w:t>
            </w:r>
            <w:r w:rsidRPr="00B74A55">
              <w:rPr>
                <w:sz w:val="22"/>
                <w:vertAlign w:val="superscript"/>
              </w:rPr>
              <w:t xml:space="preserve">2 </w:t>
            </w:r>
            <w:r w:rsidRPr="00B74A55">
              <w:rPr>
                <w:sz w:val="22"/>
              </w:rPr>
              <w:t xml:space="preserve">; </w:t>
            </w:r>
          </w:p>
          <w:p w:rsidR="009F6B39" w:rsidRPr="00B74A55" w:rsidRDefault="009F6B39" w:rsidP="000303D7">
            <w:pPr>
              <w:numPr>
                <w:ilvl w:val="0"/>
                <w:numId w:val="142"/>
              </w:numPr>
              <w:autoSpaceDE w:val="0"/>
              <w:autoSpaceDN w:val="0"/>
              <w:adjustRightInd w:val="0"/>
              <w:ind w:left="398" w:hanging="284"/>
              <w:contextualSpacing/>
              <w:jc w:val="left"/>
              <w:rPr>
                <w:sz w:val="22"/>
              </w:rPr>
            </w:pPr>
            <w:proofErr w:type="gramStart"/>
            <w:r w:rsidRPr="00B74A55">
              <w:rPr>
                <w:sz w:val="22"/>
              </w:rPr>
              <w:t xml:space="preserve">ремонт  </w:t>
            </w:r>
            <w:proofErr w:type="spellStart"/>
            <w:r w:rsidRPr="00B74A55">
              <w:rPr>
                <w:sz w:val="22"/>
              </w:rPr>
              <w:t>харчоблоку</w:t>
            </w:r>
            <w:proofErr w:type="spellEnd"/>
            <w:proofErr w:type="gramEnd"/>
            <w:r w:rsidRPr="00B74A55">
              <w:rPr>
                <w:sz w:val="22"/>
              </w:rPr>
              <w:t xml:space="preserve">                                               -   140 м</w:t>
            </w:r>
            <w:r w:rsidRPr="00B74A55">
              <w:rPr>
                <w:sz w:val="22"/>
                <w:vertAlign w:val="superscript"/>
              </w:rPr>
              <w:t xml:space="preserve">2 </w:t>
            </w:r>
            <w:r w:rsidRPr="00B74A55">
              <w:rPr>
                <w:sz w:val="22"/>
              </w:rPr>
              <w:t>;</w:t>
            </w:r>
          </w:p>
          <w:p w:rsidR="009F6B39" w:rsidRPr="00B74A55" w:rsidRDefault="009F6B39" w:rsidP="000303D7">
            <w:pPr>
              <w:numPr>
                <w:ilvl w:val="0"/>
                <w:numId w:val="142"/>
              </w:numPr>
              <w:autoSpaceDE w:val="0"/>
              <w:autoSpaceDN w:val="0"/>
              <w:adjustRightInd w:val="0"/>
              <w:ind w:left="398" w:hanging="284"/>
              <w:contextualSpacing/>
              <w:jc w:val="left"/>
              <w:rPr>
                <w:sz w:val="22"/>
              </w:rPr>
            </w:pPr>
            <w:r w:rsidRPr="00B74A55">
              <w:rPr>
                <w:sz w:val="22"/>
              </w:rPr>
              <w:t xml:space="preserve">ремонт </w:t>
            </w:r>
            <w:proofErr w:type="spellStart"/>
            <w:r w:rsidRPr="00B74A55">
              <w:rPr>
                <w:sz w:val="22"/>
              </w:rPr>
              <w:t>медичного</w:t>
            </w:r>
            <w:proofErr w:type="spellEnd"/>
            <w:r w:rsidRPr="00B74A55">
              <w:rPr>
                <w:sz w:val="22"/>
              </w:rPr>
              <w:t xml:space="preserve"> блоку                                       -     72 м</w:t>
            </w:r>
            <w:r w:rsidRPr="00B74A55">
              <w:rPr>
                <w:sz w:val="22"/>
                <w:vertAlign w:val="superscript"/>
              </w:rPr>
              <w:t>2</w:t>
            </w:r>
            <w:r w:rsidRPr="00B74A55">
              <w:rPr>
                <w:sz w:val="22"/>
              </w:rPr>
              <w:t>;</w:t>
            </w:r>
          </w:p>
          <w:p w:rsidR="009F6B39" w:rsidRPr="00B74A55" w:rsidRDefault="009F6B39" w:rsidP="000303D7">
            <w:pPr>
              <w:numPr>
                <w:ilvl w:val="0"/>
                <w:numId w:val="142"/>
              </w:numPr>
              <w:autoSpaceDE w:val="0"/>
              <w:autoSpaceDN w:val="0"/>
              <w:adjustRightInd w:val="0"/>
              <w:ind w:left="398" w:hanging="284"/>
              <w:contextualSpacing/>
              <w:jc w:val="left"/>
              <w:rPr>
                <w:sz w:val="22"/>
              </w:rPr>
            </w:pPr>
            <w:proofErr w:type="gramStart"/>
            <w:r w:rsidRPr="00B74A55">
              <w:rPr>
                <w:sz w:val="22"/>
              </w:rPr>
              <w:t xml:space="preserve">ремонт  </w:t>
            </w:r>
            <w:proofErr w:type="spellStart"/>
            <w:r w:rsidRPr="00B74A55">
              <w:rPr>
                <w:sz w:val="22"/>
              </w:rPr>
              <w:t>музичної</w:t>
            </w:r>
            <w:proofErr w:type="spellEnd"/>
            <w:proofErr w:type="gramEnd"/>
            <w:r w:rsidRPr="00B74A55">
              <w:rPr>
                <w:sz w:val="22"/>
              </w:rPr>
              <w:t xml:space="preserve"> зали                                           -   162 м</w:t>
            </w:r>
            <w:r w:rsidRPr="00B74A55">
              <w:rPr>
                <w:sz w:val="22"/>
                <w:vertAlign w:val="superscript"/>
              </w:rPr>
              <w:t xml:space="preserve">2 </w:t>
            </w:r>
            <w:r w:rsidRPr="00B74A55">
              <w:rPr>
                <w:sz w:val="22"/>
              </w:rPr>
              <w:t xml:space="preserve">; </w:t>
            </w:r>
          </w:p>
          <w:p w:rsidR="009F6B39" w:rsidRPr="00B74A55" w:rsidRDefault="009F6B39" w:rsidP="000303D7">
            <w:pPr>
              <w:numPr>
                <w:ilvl w:val="0"/>
                <w:numId w:val="142"/>
              </w:numPr>
              <w:autoSpaceDE w:val="0"/>
              <w:autoSpaceDN w:val="0"/>
              <w:adjustRightInd w:val="0"/>
              <w:ind w:left="398" w:hanging="284"/>
              <w:contextualSpacing/>
              <w:jc w:val="left"/>
              <w:rPr>
                <w:sz w:val="22"/>
              </w:rPr>
            </w:pPr>
            <w:r w:rsidRPr="00B74A55">
              <w:rPr>
                <w:sz w:val="22"/>
              </w:rPr>
              <w:t xml:space="preserve">ремонт </w:t>
            </w:r>
            <w:proofErr w:type="spellStart"/>
            <w:r w:rsidRPr="00B74A55">
              <w:rPr>
                <w:sz w:val="22"/>
              </w:rPr>
              <w:t>кабінетів</w:t>
            </w:r>
            <w:proofErr w:type="spellEnd"/>
            <w:r w:rsidRPr="00B74A55">
              <w:rPr>
                <w:sz w:val="22"/>
              </w:rPr>
              <w:t xml:space="preserve"> </w:t>
            </w:r>
            <w:proofErr w:type="spellStart"/>
            <w:r w:rsidRPr="00B74A55">
              <w:rPr>
                <w:sz w:val="22"/>
              </w:rPr>
              <w:t>вузьких</w:t>
            </w:r>
            <w:proofErr w:type="spellEnd"/>
            <w:r w:rsidRPr="00B74A55">
              <w:rPr>
                <w:sz w:val="22"/>
              </w:rPr>
              <w:t xml:space="preserve"> </w:t>
            </w:r>
            <w:proofErr w:type="spellStart"/>
            <w:r w:rsidRPr="00B74A55">
              <w:rPr>
                <w:sz w:val="22"/>
              </w:rPr>
              <w:t>спеціалістів</w:t>
            </w:r>
            <w:proofErr w:type="spellEnd"/>
            <w:r w:rsidRPr="00B74A55">
              <w:rPr>
                <w:sz w:val="22"/>
              </w:rPr>
              <w:t xml:space="preserve">                 -    88 м</w:t>
            </w:r>
            <w:proofErr w:type="gramStart"/>
            <w:r w:rsidRPr="00B74A55">
              <w:rPr>
                <w:sz w:val="22"/>
                <w:vertAlign w:val="superscript"/>
              </w:rPr>
              <w:t>2</w:t>
            </w:r>
            <w:r w:rsidRPr="00B74A55">
              <w:rPr>
                <w:sz w:val="22"/>
              </w:rPr>
              <w:t xml:space="preserve"> ;</w:t>
            </w:r>
            <w:proofErr w:type="gramEnd"/>
          </w:p>
          <w:p w:rsidR="009F6B39" w:rsidRPr="00B74A55" w:rsidRDefault="009F6B39" w:rsidP="001038B7">
            <w:pPr>
              <w:autoSpaceDE w:val="0"/>
              <w:autoSpaceDN w:val="0"/>
              <w:adjustRightInd w:val="0"/>
              <w:rPr>
                <w:sz w:val="22"/>
              </w:rPr>
            </w:pPr>
            <w:r w:rsidRPr="00B74A55">
              <w:rPr>
                <w:sz w:val="22"/>
              </w:rPr>
              <w:t xml:space="preserve">  -     </w:t>
            </w:r>
            <w:proofErr w:type="spellStart"/>
            <w:r w:rsidRPr="00B74A55">
              <w:rPr>
                <w:sz w:val="22"/>
              </w:rPr>
              <w:t>капітальний</w:t>
            </w:r>
            <w:proofErr w:type="spellEnd"/>
            <w:r w:rsidRPr="00B74A55">
              <w:rPr>
                <w:sz w:val="22"/>
              </w:rPr>
              <w:t xml:space="preserve"> ремонт </w:t>
            </w:r>
            <w:proofErr w:type="spellStart"/>
            <w:r w:rsidRPr="00B74A55">
              <w:rPr>
                <w:sz w:val="22"/>
              </w:rPr>
              <w:t>басейну</w:t>
            </w:r>
            <w:proofErr w:type="spellEnd"/>
            <w:r w:rsidRPr="00B74A55">
              <w:rPr>
                <w:sz w:val="22"/>
              </w:rPr>
              <w:t xml:space="preserve">                              </w:t>
            </w:r>
            <w:proofErr w:type="gramStart"/>
            <w:r w:rsidRPr="00B74A55">
              <w:rPr>
                <w:sz w:val="22"/>
              </w:rPr>
              <w:t>-  293</w:t>
            </w:r>
            <w:proofErr w:type="gramEnd"/>
            <w:r w:rsidRPr="00B74A55">
              <w:rPr>
                <w:sz w:val="22"/>
              </w:rPr>
              <w:t xml:space="preserve"> м</w:t>
            </w:r>
            <w:r w:rsidRPr="00B74A55">
              <w:rPr>
                <w:sz w:val="22"/>
                <w:vertAlign w:val="superscript"/>
              </w:rPr>
              <w:t xml:space="preserve">2 </w:t>
            </w:r>
            <w:r w:rsidRPr="00B74A55">
              <w:rPr>
                <w:sz w:val="22"/>
              </w:rPr>
              <w:t>;</w:t>
            </w:r>
          </w:p>
          <w:p w:rsidR="009F6B39" w:rsidRPr="00B74A55" w:rsidRDefault="009F6B39" w:rsidP="001038B7">
            <w:pPr>
              <w:autoSpaceDE w:val="0"/>
              <w:autoSpaceDN w:val="0"/>
              <w:adjustRightInd w:val="0"/>
              <w:rPr>
                <w:sz w:val="22"/>
              </w:rPr>
            </w:pPr>
            <w:r w:rsidRPr="00B74A55">
              <w:rPr>
                <w:sz w:val="22"/>
              </w:rPr>
              <w:t xml:space="preserve">  -     ремонт </w:t>
            </w:r>
            <w:proofErr w:type="spellStart"/>
            <w:r w:rsidRPr="00B74A55">
              <w:rPr>
                <w:sz w:val="22"/>
              </w:rPr>
              <w:t>сходових</w:t>
            </w:r>
            <w:proofErr w:type="spellEnd"/>
            <w:r w:rsidRPr="00B74A55">
              <w:rPr>
                <w:sz w:val="22"/>
              </w:rPr>
              <w:t xml:space="preserve"> клітин                                      -   201 м</w:t>
            </w:r>
            <w:proofErr w:type="gramStart"/>
            <w:r w:rsidRPr="00B74A55">
              <w:rPr>
                <w:sz w:val="22"/>
                <w:vertAlign w:val="superscript"/>
              </w:rPr>
              <w:t xml:space="preserve">2 </w:t>
            </w:r>
            <w:r w:rsidRPr="00B74A55">
              <w:rPr>
                <w:sz w:val="22"/>
              </w:rPr>
              <w:t>;</w:t>
            </w:r>
            <w:proofErr w:type="gramEnd"/>
          </w:p>
          <w:p w:rsidR="009F6B39" w:rsidRPr="00B74A55" w:rsidRDefault="009F6B39" w:rsidP="001038B7">
            <w:pPr>
              <w:rPr>
                <w:rFonts w:eastAsiaTheme="minorHAnsi"/>
                <w:sz w:val="22"/>
              </w:rPr>
            </w:pPr>
            <w:r w:rsidRPr="00B74A55">
              <w:rPr>
                <w:rFonts w:eastAsiaTheme="minorHAnsi"/>
                <w:sz w:val="22"/>
              </w:rPr>
              <w:t xml:space="preserve">  -      ремонт </w:t>
            </w:r>
            <w:proofErr w:type="spellStart"/>
            <w:r w:rsidRPr="00B74A55">
              <w:rPr>
                <w:rFonts w:eastAsiaTheme="minorHAnsi"/>
                <w:sz w:val="22"/>
              </w:rPr>
              <w:t>евакуаційних</w:t>
            </w:r>
            <w:proofErr w:type="spellEnd"/>
            <w:r w:rsidRPr="00B74A55">
              <w:rPr>
                <w:rFonts w:eastAsiaTheme="minorHAnsi"/>
                <w:sz w:val="22"/>
              </w:rPr>
              <w:t xml:space="preserve"> </w:t>
            </w:r>
            <w:proofErr w:type="spellStart"/>
            <w:r w:rsidRPr="00B74A55">
              <w:rPr>
                <w:rFonts w:eastAsiaTheme="minorHAnsi"/>
                <w:sz w:val="22"/>
              </w:rPr>
              <w:t>виход</w:t>
            </w:r>
            <w:r w:rsidR="00E80DD4" w:rsidRPr="00B74A55">
              <w:rPr>
                <w:rFonts w:eastAsiaTheme="minorHAnsi"/>
                <w:sz w:val="22"/>
                <w:lang w:val="uk-UA"/>
              </w:rPr>
              <w:t>ів</w:t>
            </w:r>
            <w:proofErr w:type="spellEnd"/>
            <w:r w:rsidRPr="00B74A55">
              <w:rPr>
                <w:rFonts w:eastAsiaTheme="minorHAnsi"/>
                <w:sz w:val="22"/>
              </w:rPr>
              <w:t xml:space="preserve">                             </w:t>
            </w:r>
            <w:proofErr w:type="gramStart"/>
            <w:r w:rsidRPr="00B74A55">
              <w:rPr>
                <w:rFonts w:eastAsiaTheme="minorHAnsi"/>
                <w:sz w:val="22"/>
              </w:rPr>
              <w:t>-  266</w:t>
            </w:r>
            <w:proofErr w:type="gramEnd"/>
            <w:r w:rsidRPr="00B74A55">
              <w:rPr>
                <w:rFonts w:eastAsiaTheme="minorHAnsi"/>
                <w:sz w:val="22"/>
              </w:rPr>
              <w:t xml:space="preserve"> м</w:t>
            </w:r>
            <w:r w:rsidRPr="00B74A55">
              <w:rPr>
                <w:rFonts w:eastAsiaTheme="minorHAnsi"/>
                <w:sz w:val="22"/>
                <w:vertAlign w:val="superscript"/>
              </w:rPr>
              <w:t>2</w:t>
            </w:r>
            <w:r w:rsidRPr="00B74A55">
              <w:rPr>
                <w:rFonts w:eastAsiaTheme="minorHAnsi"/>
                <w:sz w:val="22"/>
              </w:rPr>
              <w:t>;</w:t>
            </w:r>
          </w:p>
          <w:p w:rsidR="009F6B39" w:rsidRPr="00B74A55" w:rsidRDefault="009F6B39" w:rsidP="001038B7">
            <w:pPr>
              <w:rPr>
                <w:rFonts w:eastAsiaTheme="minorHAnsi"/>
                <w:sz w:val="22"/>
              </w:rPr>
            </w:pPr>
            <w:r w:rsidRPr="00B74A55">
              <w:rPr>
                <w:rFonts w:eastAsiaTheme="minorHAnsi"/>
                <w:sz w:val="22"/>
              </w:rPr>
              <w:t xml:space="preserve">  -      </w:t>
            </w:r>
            <w:proofErr w:type="spellStart"/>
            <w:r w:rsidRPr="00B74A55">
              <w:rPr>
                <w:rFonts w:eastAsiaTheme="minorHAnsi"/>
                <w:sz w:val="22"/>
              </w:rPr>
              <w:t>облаштування</w:t>
            </w:r>
            <w:proofErr w:type="spellEnd"/>
            <w:r w:rsidRPr="00B74A55">
              <w:rPr>
                <w:rFonts w:eastAsiaTheme="minorHAnsi"/>
                <w:sz w:val="22"/>
              </w:rPr>
              <w:t xml:space="preserve"> </w:t>
            </w:r>
            <w:proofErr w:type="spellStart"/>
            <w:r w:rsidRPr="00B74A55">
              <w:rPr>
                <w:rFonts w:eastAsiaTheme="minorHAnsi"/>
                <w:sz w:val="22"/>
              </w:rPr>
              <w:t>пандусів</w:t>
            </w:r>
            <w:proofErr w:type="spellEnd"/>
            <w:r w:rsidRPr="00B74A55">
              <w:rPr>
                <w:rFonts w:eastAsiaTheme="minorHAnsi"/>
                <w:sz w:val="22"/>
              </w:rPr>
              <w:t xml:space="preserve">, </w:t>
            </w:r>
            <w:proofErr w:type="spellStart"/>
            <w:r w:rsidRPr="00B74A55">
              <w:rPr>
                <w:rFonts w:eastAsiaTheme="minorHAnsi"/>
                <w:sz w:val="22"/>
              </w:rPr>
              <w:t>поручнів</w:t>
            </w:r>
            <w:proofErr w:type="spellEnd"/>
            <w:r w:rsidRPr="00B74A55">
              <w:rPr>
                <w:rFonts w:eastAsiaTheme="minorHAnsi"/>
                <w:sz w:val="22"/>
              </w:rPr>
              <w:t xml:space="preserve"> для               -    30 м</w:t>
            </w:r>
            <w:r w:rsidRPr="00B74A55">
              <w:rPr>
                <w:rFonts w:eastAsiaTheme="minorHAnsi"/>
                <w:sz w:val="22"/>
                <w:vertAlign w:val="superscript"/>
              </w:rPr>
              <w:t>2</w:t>
            </w:r>
            <w:r w:rsidRPr="00B74A55">
              <w:rPr>
                <w:rFonts w:eastAsiaTheme="minorHAnsi"/>
                <w:sz w:val="22"/>
              </w:rPr>
              <w:t>.</w:t>
            </w:r>
          </w:p>
          <w:p w:rsidR="009F6B39" w:rsidRPr="00B74A55" w:rsidRDefault="009F6B39" w:rsidP="001038B7">
            <w:pPr>
              <w:rPr>
                <w:sz w:val="22"/>
              </w:rPr>
            </w:pPr>
            <w:r w:rsidRPr="00B74A55">
              <w:rPr>
                <w:rFonts w:eastAsiaTheme="minorHAnsi"/>
                <w:sz w:val="22"/>
              </w:rPr>
              <w:t xml:space="preserve">   </w:t>
            </w:r>
            <w:proofErr w:type="spellStart"/>
            <w:r w:rsidRPr="00B74A55">
              <w:rPr>
                <w:sz w:val="22"/>
              </w:rPr>
              <w:t>маломобільних</w:t>
            </w:r>
            <w:proofErr w:type="spellEnd"/>
            <w:r w:rsidRPr="00B74A55">
              <w:rPr>
                <w:sz w:val="22"/>
              </w:rPr>
              <w:t xml:space="preserve"> </w:t>
            </w:r>
            <w:proofErr w:type="spellStart"/>
            <w:r w:rsidRPr="00B74A55">
              <w:rPr>
                <w:sz w:val="22"/>
              </w:rPr>
              <w:t>груп</w:t>
            </w:r>
            <w:proofErr w:type="spellEnd"/>
            <w:r w:rsidRPr="00B74A55">
              <w:rPr>
                <w:sz w:val="22"/>
              </w:rPr>
              <w:t xml:space="preserve"> </w:t>
            </w:r>
            <w:proofErr w:type="spellStart"/>
            <w:r w:rsidRPr="00B74A55">
              <w:rPr>
                <w:sz w:val="22"/>
              </w:rPr>
              <w:t>населення</w:t>
            </w:r>
            <w:proofErr w:type="spellEnd"/>
            <w:r w:rsidRPr="00B74A55">
              <w:rPr>
                <w:sz w:val="22"/>
              </w:rPr>
              <w:t>;</w:t>
            </w:r>
          </w:p>
          <w:p w:rsidR="009F6B39" w:rsidRPr="00B74A55" w:rsidRDefault="009F6B39" w:rsidP="001038B7">
            <w:pPr>
              <w:tabs>
                <w:tab w:val="left" w:pos="257"/>
              </w:tabs>
              <w:rPr>
                <w:sz w:val="22"/>
              </w:rPr>
            </w:pPr>
            <w:r w:rsidRPr="00B74A55">
              <w:rPr>
                <w:sz w:val="22"/>
              </w:rPr>
              <w:t xml:space="preserve">У </w:t>
            </w:r>
            <w:proofErr w:type="spellStart"/>
            <w:proofErr w:type="gramStart"/>
            <w:r w:rsidRPr="00B74A55">
              <w:rPr>
                <w:sz w:val="22"/>
              </w:rPr>
              <w:t>ході</w:t>
            </w:r>
            <w:proofErr w:type="spellEnd"/>
            <w:r w:rsidRPr="00B74A55">
              <w:rPr>
                <w:sz w:val="22"/>
              </w:rPr>
              <w:t xml:space="preserve">  </w:t>
            </w:r>
            <w:proofErr w:type="spellStart"/>
            <w:r w:rsidRPr="00B74A55">
              <w:rPr>
                <w:sz w:val="22"/>
              </w:rPr>
              <w:t>реалізації</w:t>
            </w:r>
            <w:proofErr w:type="spellEnd"/>
            <w:proofErr w:type="gramEnd"/>
            <w:r w:rsidRPr="00B74A55">
              <w:rPr>
                <w:sz w:val="22"/>
              </w:rPr>
              <w:t xml:space="preserve"> </w:t>
            </w:r>
            <w:proofErr w:type="spellStart"/>
            <w:r w:rsidRPr="00B74A55">
              <w:rPr>
                <w:sz w:val="22"/>
              </w:rPr>
              <w:t>проєкту</w:t>
            </w:r>
            <w:proofErr w:type="spellEnd"/>
            <w:r w:rsidRPr="00B74A55">
              <w:rPr>
                <w:sz w:val="22"/>
              </w:rPr>
              <w:t xml:space="preserve">  </w:t>
            </w:r>
            <w:proofErr w:type="spellStart"/>
            <w:r w:rsidRPr="00B74A55">
              <w:rPr>
                <w:sz w:val="22"/>
              </w:rPr>
              <w:t>передбачено</w:t>
            </w:r>
            <w:proofErr w:type="spellEnd"/>
            <w:r w:rsidRPr="00B74A55">
              <w:rPr>
                <w:sz w:val="22"/>
              </w:rPr>
              <w:t xml:space="preserve"> </w:t>
            </w:r>
            <w:proofErr w:type="spellStart"/>
            <w:r w:rsidRPr="00B74A55">
              <w:rPr>
                <w:sz w:val="22"/>
              </w:rPr>
              <w:t>інформування</w:t>
            </w:r>
            <w:proofErr w:type="spellEnd"/>
            <w:r w:rsidRPr="00B74A55">
              <w:rPr>
                <w:sz w:val="22"/>
              </w:rPr>
              <w:t xml:space="preserve">  </w:t>
            </w:r>
            <w:proofErr w:type="spellStart"/>
            <w:r w:rsidRPr="00B74A55">
              <w:rPr>
                <w:sz w:val="22"/>
              </w:rPr>
              <w:t>населення</w:t>
            </w:r>
            <w:proofErr w:type="spellEnd"/>
            <w:r w:rsidRPr="00B74A55">
              <w:rPr>
                <w:sz w:val="22"/>
              </w:rPr>
              <w:t xml:space="preserve"> про </w:t>
            </w:r>
            <w:proofErr w:type="spellStart"/>
            <w:r w:rsidRPr="00B74A55">
              <w:rPr>
                <w:sz w:val="22"/>
              </w:rPr>
              <w:t>хід</w:t>
            </w:r>
            <w:proofErr w:type="spellEnd"/>
            <w:r w:rsidRPr="00B74A55">
              <w:rPr>
                <w:sz w:val="22"/>
              </w:rPr>
              <w:t xml:space="preserve"> </w:t>
            </w:r>
            <w:proofErr w:type="spellStart"/>
            <w:r w:rsidRPr="00B74A55">
              <w:rPr>
                <w:sz w:val="22"/>
              </w:rPr>
              <w:t>реалізації</w:t>
            </w:r>
            <w:proofErr w:type="spellEnd"/>
            <w:r w:rsidRPr="00B74A55">
              <w:rPr>
                <w:sz w:val="22"/>
              </w:rPr>
              <w:t xml:space="preserve"> </w:t>
            </w:r>
            <w:proofErr w:type="spellStart"/>
            <w:r w:rsidRPr="00B74A55">
              <w:rPr>
                <w:sz w:val="22"/>
              </w:rPr>
              <w:t>даного</w:t>
            </w:r>
            <w:proofErr w:type="spellEnd"/>
            <w:r w:rsidRPr="00B74A55">
              <w:rPr>
                <w:sz w:val="22"/>
              </w:rPr>
              <w:t xml:space="preserve"> </w:t>
            </w:r>
            <w:proofErr w:type="spellStart"/>
            <w:r w:rsidRPr="00B74A55">
              <w:rPr>
                <w:sz w:val="22"/>
              </w:rPr>
              <w:t>проєкту</w:t>
            </w:r>
            <w:proofErr w:type="spellEnd"/>
            <w:r w:rsidRPr="00B74A55">
              <w:rPr>
                <w:sz w:val="22"/>
              </w:rPr>
              <w:t>:</w:t>
            </w:r>
          </w:p>
          <w:p w:rsidR="009F6B39" w:rsidRPr="00B74A55" w:rsidRDefault="009F6B39" w:rsidP="001038B7">
            <w:pPr>
              <w:rPr>
                <w:rFonts w:eastAsia="Calibri"/>
                <w:color w:val="FF0000"/>
                <w:sz w:val="22"/>
              </w:rPr>
            </w:pPr>
            <w:r w:rsidRPr="00B74A55">
              <w:rPr>
                <w:sz w:val="22"/>
              </w:rPr>
              <w:t xml:space="preserve">- </w:t>
            </w:r>
            <w:proofErr w:type="spellStart"/>
            <w:proofErr w:type="gramStart"/>
            <w:r w:rsidRPr="00B74A55">
              <w:rPr>
                <w:sz w:val="22"/>
              </w:rPr>
              <w:t>регулярне</w:t>
            </w:r>
            <w:proofErr w:type="spellEnd"/>
            <w:r w:rsidRPr="00B74A55">
              <w:rPr>
                <w:sz w:val="22"/>
              </w:rPr>
              <w:t xml:space="preserve">  </w:t>
            </w:r>
            <w:proofErr w:type="spellStart"/>
            <w:r w:rsidRPr="00B74A55">
              <w:rPr>
                <w:sz w:val="22"/>
              </w:rPr>
              <w:t>висвітлення</w:t>
            </w:r>
            <w:proofErr w:type="spellEnd"/>
            <w:proofErr w:type="gramEnd"/>
            <w:r w:rsidRPr="00B74A55">
              <w:rPr>
                <w:sz w:val="22"/>
              </w:rPr>
              <w:t xml:space="preserve">  на </w:t>
            </w:r>
            <w:proofErr w:type="spellStart"/>
            <w:r w:rsidRPr="00B74A55">
              <w:rPr>
                <w:sz w:val="22"/>
              </w:rPr>
              <w:t>офіційній</w:t>
            </w:r>
            <w:proofErr w:type="spellEnd"/>
            <w:r w:rsidRPr="00B74A55">
              <w:rPr>
                <w:sz w:val="22"/>
              </w:rPr>
              <w:t xml:space="preserve"> </w:t>
            </w:r>
            <w:proofErr w:type="spellStart"/>
            <w:r w:rsidRPr="00B74A55">
              <w:rPr>
                <w:sz w:val="22"/>
              </w:rPr>
              <w:t>сторінці</w:t>
            </w:r>
            <w:proofErr w:type="spellEnd"/>
            <w:r w:rsidRPr="00B74A55">
              <w:rPr>
                <w:sz w:val="22"/>
              </w:rPr>
              <w:t xml:space="preserve"> </w:t>
            </w:r>
            <w:proofErr w:type="spellStart"/>
            <w:r w:rsidRPr="00B74A55">
              <w:rPr>
                <w:sz w:val="22"/>
              </w:rPr>
              <w:t>управління</w:t>
            </w:r>
            <w:proofErr w:type="spellEnd"/>
            <w:r w:rsidRPr="00B74A55">
              <w:rPr>
                <w:sz w:val="22"/>
              </w:rPr>
              <w:t xml:space="preserve"> </w:t>
            </w:r>
            <w:proofErr w:type="spellStart"/>
            <w:r w:rsidRPr="00B74A55">
              <w:rPr>
                <w:sz w:val="22"/>
              </w:rPr>
              <w:t>освіти</w:t>
            </w:r>
            <w:proofErr w:type="spellEnd"/>
            <w:r w:rsidRPr="00B74A55">
              <w:rPr>
                <w:sz w:val="22"/>
              </w:rPr>
              <w:t xml:space="preserve"> МВА </w:t>
            </w:r>
            <w:proofErr w:type="spellStart"/>
            <w:r w:rsidRPr="00B74A55">
              <w:rPr>
                <w:sz w:val="22"/>
              </w:rPr>
              <w:t>Сєвєродонецька</w:t>
            </w:r>
            <w:proofErr w:type="spellEnd"/>
            <w:r w:rsidRPr="00B74A55">
              <w:rPr>
                <w:sz w:val="22"/>
              </w:rPr>
              <w:t xml:space="preserve"> та у </w:t>
            </w:r>
            <w:proofErr w:type="spellStart"/>
            <w:r w:rsidRPr="00B74A55">
              <w:rPr>
                <w:sz w:val="22"/>
              </w:rPr>
              <w:t>фейсбуці</w:t>
            </w:r>
            <w:proofErr w:type="spellEnd"/>
            <w:r w:rsidRPr="00B74A55">
              <w:rPr>
                <w:sz w:val="22"/>
              </w:rPr>
              <w:t>;</w:t>
            </w:r>
          </w:p>
        </w:tc>
      </w:tr>
      <w:tr w:rsidR="009F6B39" w:rsidRPr="00B74A55" w:rsidTr="009F6B39">
        <w:trPr>
          <w:trHeight w:val="360"/>
        </w:trPr>
        <w:tc>
          <w:tcPr>
            <w:tcW w:w="2978" w:type="dxa"/>
            <w:vMerge w:val="restart"/>
            <w:shd w:val="clear" w:color="auto" w:fill="C6D9F1" w:themeFill="text2" w:themeFillTint="33"/>
          </w:tcPr>
          <w:p w:rsidR="009F6B39" w:rsidRPr="00B74A55" w:rsidRDefault="009F6B39" w:rsidP="001038B7">
            <w:pPr>
              <w:pStyle w:val="a7"/>
              <w:ind w:left="0"/>
              <w:rPr>
                <w:b/>
                <w:sz w:val="22"/>
              </w:rPr>
            </w:pPr>
            <w:proofErr w:type="spellStart"/>
            <w:r w:rsidRPr="00B74A55">
              <w:rPr>
                <w:b/>
                <w:sz w:val="22"/>
              </w:rPr>
              <w:lastRenderedPageBreak/>
              <w:t>Орієнтовний</w:t>
            </w:r>
            <w:proofErr w:type="spellEnd"/>
            <w:r w:rsidRPr="00B74A55">
              <w:rPr>
                <w:b/>
                <w:sz w:val="22"/>
              </w:rPr>
              <w:t xml:space="preserve"> </w:t>
            </w:r>
            <w:proofErr w:type="spellStart"/>
            <w:r w:rsidRPr="00B74A55">
              <w:rPr>
                <w:b/>
                <w:sz w:val="22"/>
              </w:rPr>
              <w:t>обсяг</w:t>
            </w:r>
            <w:proofErr w:type="spellEnd"/>
            <w:r w:rsidRPr="00B74A55">
              <w:rPr>
                <w:b/>
                <w:sz w:val="22"/>
              </w:rPr>
              <w:t xml:space="preserve"> та </w:t>
            </w:r>
            <w:proofErr w:type="spellStart"/>
            <w:r w:rsidRPr="00B74A55">
              <w:rPr>
                <w:b/>
                <w:sz w:val="22"/>
              </w:rPr>
              <w:t>джерела</w:t>
            </w:r>
            <w:proofErr w:type="spellEnd"/>
            <w:r w:rsidRPr="00B74A55">
              <w:rPr>
                <w:b/>
                <w:sz w:val="22"/>
              </w:rPr>
              <w:t xml:space="preserve"> </w:t>
            </w:r>
            <w:proofErr w:type="spellStart"/>
            <w:r w:rsidRPr="00B74A55">
              <w:rPr>
                <w:b/>
                <w:sz w:val="22"/>
              </w:rPr>
              <w:t>фінансування</w:t>
            </w:r>
            <w:proofErr w:type="spellEnd"/>
            <w:r w:rsidRPr="00B74A55">
              <w:rPr>
                <w:b/>
                <w:sz w:val="22"/>
              </w:rPr>
              <w:t xml:space="preserve">, тис. грн. </w:t>
            </w:r>
          </w:p>
          <w:p w:rsidR="009F6B39" w:rsidRPr="00B74A55" w:rsidRDefault="009F6B39" w:rsidP="001038B7">
            <w:pPr>
              <w:pStyle w:val="a7"/>
              <w:ind w:left="0"/>
              <w:rPr>
                <w:b/>
                <w:sz w:val="22"/>
              </w:rPr>
            </w:pPr>
          </w:p>
        </w:tc>
        <w:tc>
          <w:tcPr>
            <w:tcW w:w="1788" w:type="dxa"/>
            <w:tcBorders>
              <w:bottom w:val="single" w:sz="4" w:space="0" w:color="auto"/>
              <w:right w:val="single" w:sz="4" w:space="0" w:color="auto"/>
            </w:tcBorders>
          </w:tcPr>
          <w:p w:rsidR="009F6B39" w:rsidRPr="00B74A55" w:rsidRDefault="009F6B39" w:rsidP="001038B7">
            <w:pPr>
              <w:pStyle w:val="a7"/>
              <w:ind w:left="0"/>
              <w:jc w:val="center"/>
              <w:rPr>
                <w:b/>
                <w:sz w:val="22"/>
              </w:rPr>
            </w:pPr>
            <w:proofErr w:type="spellStart"/>
            <w:r w:rsidRPr="00B74A55">
              <w:rPr>
                <w:b/>
                <w:sz w:val="22"/>
              </w:rPr>
              <w:t>Державний</w:t>
            </w:r>
            <w:proofErr w:type="spellEnd"/>
            <w:r w:rsidRPr="00B74A55">
              <w:rPr>
                <w:b/>
                <w:sz w:val="22"/>
              </w:rPr>
              <w:t xml:space="preserve"> бюджет</w:t>
            </w:r>
          </w:p>
        </w:tc>
        <w:tc>
          <w:tcPr>
            <w:tcW w:w="1269" w:type="dxa"/>
            <w:tcBorders>
              <w:bottom w:val="single" w:sz="4" w:space="0" w:color="auto"/>
              <w:right w:val="single" w:sz="4" w:space="0" w:color="auto"/>
            </w:tcBorders>
          </w:tcPr>
          <w:p w:rsidR="009F6B39" w:rsidRPr="00B74A55" w:rsidRDefault="009F6B39" w:rsidP="001038B7">
            <w:pPr>
              <w:pStyle w:val="a7"/>
              <w:ind w:left="0"/>
              <w:jc w:val="center"/>
              <w:rPr>
                <w:b/>
                <w:sz w:val="22"/>
              </w:rPr>
            </w:pPr>
            <w:proofErr w:type="spellStart"/>
            <w:r w:rsidRPr="00B74A55">
              <w:rPr>
                <w:b/>
                <w:sz w:val="22"/>
              </w:rPr>
              <w:t>Місцевий</w:t>
            </w:r>
            <w:proofErr w:type="spellEnd"/>
            <w:r w:rsidRPr="00B74A55">
              <w:rPr>
                <w:b/>
                <w:sz w:val="22"/>
              </w:rPr>
              <w:t xml:space="preserve"> бюджет</w:t>
            </w:r>
          </w:p>
        </w:tc>
        <w:tc>
          <w:tcPr>
            <w:tcW w:w="2585" w:type="dxa"/>
            <w:gridSpan w:val="4"/>
            <w:tcBorders>
              <w:left w:val="single" w:sz="4" w:space="0" w:color="auto"/>
              <w:bottom w:val="single" w:sz="4" w:space="0" w:color="auto"/>
              <w:right w:val="single" w:sz="4" w:space="0" w:color="auto"/>
            </w:tcBorders>
          </w:tcPr>
          <w:p w:rsidR="009F6B39" w:rsidRPr="00B74A55" w:rsidRDefault="009F6B39" w:rsidP="001038B7">
            <w:pPr>
              <w:pStyle w:val="a7"/>
              <w:ind w:left="0"/>
              <w:jc w:val="center"/>
              <w:rPr>
                <w:b/>
                <w:sz w:val="22"/>
              </w:rPr>
            </w:pPr>
            <w:proofErr w:type="spellStart"/>
            <w:r w:rsidRPr="00B74A55">
              <w:rPr>
                <w:b/>
                <w:sz w:val="22"/>
              </w:rPr>
              <w:t>Інші</w:t>
            </w:r>
            <w:proofErr w:type="spellEnd"/>
            <w:r w:rsidRPr="00B74A55">
              <w:rPr>
                <w:b/>
                <w:sz w:val="22"/>
              </w:rPr>
              <w:t xml:space="preserve"> </w:t>
            </w:r>
            <w:proofErr w:type="spellStart"/>
            <w:r w:rsidRPr="00B74A55">
              <w:rPr>
                <w:b/>
                <w:sz w:val="22"/>
              </w:rPr>
              <w:t>джерела</w:t>
            </w:r>
            <w:proofErr w:type="spellEnd"/>
          </w:p>
        </w:tc>
        <w:tc>
          <w:tcPr>
            <w:tcW w:w="1268" w:type="dxa"/>
            <w:tcBorders>
              <w:left w:val="single" w:sz="4" w:space="0" w:color="auto"/>
              <w:bottom w:val="single" w:sz="4" w:space="0" w:color="auto"/>
            </w:tcBorders>
          </w:tcPr>
          <w:p w:rsidR="009F6B39" w:rsidRPr="00B74A55" w:rsidRDefault="009F6B39" w:rsidP="001038B7">
            <w:pPr>
              <w:pStyle w:val="a7"/>
              <w:ind w:left="0"/>
              <w:jc w:val="center"/>
              <w:rPr>
                <w:b/>
                <w:sz w:val="22"/>
              </w:rPr>
            </w:pPr>
            <w:proofErr w:type="spellStart"/>
            <w:r w:rsidRPr="00B74A55">
              <w:rPr>
                <w:b/>
                <w:sz w:val="22"/>
              </w:rPr>
              <w:t>Всього</w:t>
            </w:r>
            <w:proofErr w:type="spellEnd"/>
          </w:p>
        </w:tc>
      </w:tr>
      <w:tr w:rsidR="009F6B39" w:rsidRPr="00B74A55" w:rsidTr="009F6B39">
        <w:trPr>
          <w:trHeight w:val="225"/>
        </w:trPr>
        <w:tc>
          <w:tcPr>
            <w:tcW w:w="2978" w:type="dxa"/>
            <w:vMerge/>
            <w:shd w:val="clear" w:color="auto" w:fill="C6D9F1" w:themeFill="text2" w:themeFillTint="33"/>
          </w:tcPr>
          <w:p w:rsidR="009F6B39" w:rsidRPr="00B74A55" w:rsidRDefault="009F6B39" w:rsidP="001038B7">
            <w:pPr>
              <w:pStyle w:val="a7"/>
              <w:ind w:left="0"/>
              <w:rPr>
                <w:b/>
                <w:sz w:val="22"/>
              </w:rPr>
            </w:pPr>
          </w:p>
        </w:tc>
        <w:tc>
          <w:tcPr>
            <w:tcW w:w="1788" w:type="dxa"/>
            <w:vMerge w:val="restart"/>
            <w:tcBorders>
              <w:top w:val="single" w:sz="4" w:space="0" w:color="auto"/>
              <w:right w:val="single" w:sz="4" w:space="0" w:color="auto"/>
            </w:tcBorders>
          </w:tcPr>
          <w:p w:rsidR="009F6B39" w:rsidRPr="00B74A55" w:rsidRDefault="009F6B39" w:rsidP="001038B7">
            <w:pPr>
              <w:pStyle w:val="a7"/>
              <w:ind w:left="0"/>
              <w:jc w:val="center"/>
              <w:rPr>
                <w:sz w:val="22"/>
              </w:rPr>
            </w:pPr>
            <w:r w:rsidRPr="00B74A55">
              <w:rPr>
                <w:sz w:val="22"/>
              </w:rPr>
              <w:t>-</w:t>
            </w:r>
          </w:p>
        </w:tc>
        <w:tc>
          <w:tcPr>
            <w:tcW w:w="1269" w:type="dxa"/>
            <w:vMerge w:val="restart"/>
            <w:tcBorders>
              <w:top w:val="single" w:sz="4" w:space="0" w:color="auto"/>
              <w:right w:val="single" w:sz="4" w:space="0" w:color="auto"/>
            </w:tcBorders>
          </w:tcPr>
          <w:p w:rsidR="009F6B39" w:rsidRPr="00B74A55" w:rsidRDefault="009F6B39" w:rsidP="001038B7">
            <w:pPr>
              <w:pStyle w:val="a7"/>
              <w:ind w:left="0"/>
              <w:jc w:val="center"/>
              <w:rPr>
                <w:b/>
                <w:sz w:val="22"/>
              </w:rPr>
            </w:pPr>
            <w:r w:rsidRPr="00B74A55">
              <w:rPr>
                <w:b/>
                <w:sz w:val="22"/>
              </w:rPr>
              <w:t>-</w:t>
            </w:r>
          </w:p>
        </w:tc>
        <w:tc>
          <w:tcPr>
            <w:tcW w:w="1130" w:type="dxa"/>
            <w:gridSpan w:val="2"/>
            <w:tcBorders>
              <w:top w:val="single" w:sz="4" w:space="0" w:color="auto"/>
              <w:left w:val="single" w:sz="4" w:space="0" w:color="auto"/>
              <w:bottom w:val="single" w:sz="4" w:space="0" w:color="auto"/>
              <w:right w:val="single" w:sz="4" w:space="0" w:color="auto"/>
            </w:tcBorders>
          </w:tcPr>
          <w:p w:rsidR="009F6B39" w:rsidRPr="00B74A55" w:rsidRDefault="009F6B39" w:rsidP="001038B7">
            <w:pPr>
              <w:pStyle w:val="a7"/>
              <w:ind w:left="0"/>
              <w:jc w:val="center"/>
              <w:rPr>
                <w:b/>
                <w:sz w:val="22"/>
              </w:rPr>
            </w:pPr>
            <w:proofErr w:type="spellStart"/>
            <w:r w:rsidRPr="00B74A55">
              <w:rPr>
                <w:b/>
                <w:sz w:val="22"/>
              </w:rPr>
              <w:t>Обсяг</w:t>
            </w:r>
            <w:proofErr w:type="spellEnd"/>
          </w:p>
        </w:tc>
        <w:tc>
          <w:tcPr>
            <w:tcW w:w="1455" w:type="dxa"/>
            <w:gridSpan w:val="2"/>
            <w:tcBorders>
              <w:top w:val="single" w:sz="4" w:space="0" w:color="auto"/>
              <w:left w:val="single" w:sz="4" w:space="0" w:color="auto"/>
              <w:bottom w:val="single" w:sz="4" w:space="0" w:color="auto"/>
              <w:right w:val="single" w:sz="4" w:space="0" w:color="auto"/>
            </w:tcBorders>
          </w:tcPr>
          <w:p w:rsidR="009F6B39" w:rsidRPr="00B74A55" w:rsidRDefault="009F6B39" w:rsidP="001038B7">
            <w:pPr>
              <w:pStyle w:val="a7"/>
              <w:ind w:left="0"/>
              <w:jc w:val="center"/>
              <w:rPr>
                <w:b/>
                <w:sz w:val="22"/>
              </w:rPr>
            </w:pPr>
            <w:proofErr w:type="spellStart"/>
            <w:r w:rsidRPr="00B74A55">
              <w:rPr>
                <w:b/>
                <w:sz w:val="22"/>
              </w:rPr>
              <w:t>Назва</w:t>
            </w:r>
            <w:proofErr w:type="spellEnd"/>
            <w:r w:rsidRPr="00B74A55">
              <w:rPr>
                <w:b/>
                <w:sz w:val="22"/>
              </w:rPr>
              <w:t xml:space="preserve"> </w:t>
            </w:r>
            <w:proofErr w:type="spellStart"/>
            <w:r w:rsidRPr="00B74A55">
              <w:rPr>
                <w:b/>
                <w:sz w:val="22"/>
              </w:rPr>
              <w:t>джерела</w:t>
            </w:r>
            <w:proofErr w:type="spellEnd"/>
          </w:p>
        </w:tc>
        <w:tc>
          <w:tcPr>
            <w:tcW w:w="1268" w:type="dxa"/>
            <w:vMerge w:val="restart"/>
            <w:tcBorders>
              <w:top w:val="single" w:sz="4" w:space="0" w:color="auto"/>
              <w:left w:val="single" w:sz="4" w:space="0" w:color="auto"/>
            </w:tcBorders>
          </w:tcPr>
          <w:p w:rsidR="009F6B39" w:rsidRPr="00B74A55" w:rsidRDefault="009F6B39" w:rsidP="009B6CDC">
            <w:pPr>
              <w:pStyle w:val="a7"/>
              <w:ind w:left="0"/>
              <w:jc w:val="center"/>
              <w:rPr>
                <w:sz w:val="22"/>
              </w:rPr>
            </w:pPr>
            <w:r w:rsidRPr="00B74A55">
              <w:rPr>
                <w:sz w:val="22"/>
              </w:rPr>
              <w:t>42</w:t>
            </w:r>
            <w:r w:rsidR="009B6CDC" w:rsidRPr="00B74A55">
              <w:rPr>
                <w:sz w:val="22"/>
              </w:rPr>
              <w:t> </w:t>
            </w:r>
            <w:r w:rsidRPr="00B74A55">
              <w:rPr>
                <w:sz w:val="22"/>
              </w:rPr>
              <w:t>000</w:t>
            </w:r>
            <w:r w:rsidR="009B6CDC" w:rsidRPr="00B74A55">
              <w:rPr>
                <w:sz w:val="22"/>
              </w:rPr>
              <w:t>,00</w:t>
            </w:r>
          </w:p>
        </w:tc>
      </w:tr>
      <w:tr w:rsidR="009F6B39" w:rsidRPr="00B74A55" w:rsidTr="009F6B39">
        <w:trPr>
          <w:trHeight w:val="300"/>
        </w:trPr>
        <w:tc>
          <w:tcPr>
            <w:tcW w:w="2978" w:type="dxa"/>
            <w:vMerge/>
            <w:shd w:val="clear" w:color="auto" w:fill="C6D9F1" w:themeFill="text2" w:themeFillTint="33"/>
          </w:tcPr>
          <w:p w:rsidR="009F6B39" w:rsidRPr="00B74A55" w:rsidRDefault="009F6B39" w:rsidP="001038B7">
            <w:pPr>
              <w:pStyle w:val="a7"/>
              <w:ind w:left="0"/>
              <w:rPr>
                <w:b/>
                <w:sz w:val="22"/>
              </w:rPr>
            </w:pPr>
          </w:p>
        </w:tc>
        <w:tc>
          <w:tcPr>
            <w:tcW w:w="1788" w:type="dxa"/>
            <w:vMerge/>
            <w:tcBorders>
              <w:right w:val="single" w:sz="4" w:space="0" w:color="auto"/>
            </w:tcBorders>
          </w:tcPr>
          <w:p w:rsidR="009F6B39" w:rsidRPr="00B74A55" w:rsidRDefault="009F6B39" w:rsidP="001038B7">
            <w:pPr>
              <w:pStyle w:val="a7"/>
              <w:ind w:left="0"/>
              <w:jc w:val="center"/>
              <w:rPr>
                <w:sz w:val="22"/>
              </w:rPr>
            </w:pPr>
          </w:p>
        </w:tc>
        <w:tc>
          <w:tcPr>
            <w:tcW w:w="1269" w:type="dxa"/>
            <w:vMerge/>
            <w:tcBorders>
              <w:right w:val="single" w:sz="4" w:space="0" w:color="auto"/>
            </w:tcBorders>
          </w:tcPr>
          <w:p w:rsidR="009F6B39" w:rsidRPr="00B74A55" w:rsidRDefault="009F6B39" w:rsidP="001038B7">
            <w:pPr>
              <w:pStyle w:val="a7"/>
              <w:ind w:left="0"/>
              <w:jc w:val="center"/>
              <w:rPr>
                <w:b/>
                <w:sz w:val="22"/>
              </w:rPr>
            </w:pPr>
          </w:p>
        </w:tc>
        <w:tc>
          <w:tcPr>
            <w:tcW w:w="1130" w:type="dxa"/>
            <w:gridSpan w:val="2"/>
            <w:tcBorders>
              <w:top w:val="single" w:sz="4" w:space="0" w:color="auto"/>
              <w:left w:val="single" w:sz="4" w:space="0" w:color="auto"/>
              <w:right w:val="single" w:sz="4" w:space="0" w:color="auto"/>
            </w:tcBorders>
          </w:tcPr>
          <w:p w:rsidR="009F6B39" w:rsidRPr="00B74A55" w:rsidRDefault="009F6B39" w:rsidP="001038B7">
            <w:pPr>
              <w:pStyle w:val="a7"/>
              <w:ind w:left="0"/>
              <w:jc w:val="center"/>
              <w:rPr>
                <w:sz w:val="22"/>
              </w:rPr>
            </w:pPr>
            <w:r w:rsidRPr="00B74A55">
              <w:rPr>
                <w:sz w:val="22"/>
              </w:rPr>
              <w:t>42 000,0</w:t>
            </w:r>
          </w:p>
        </w:tc>
        <w:tc>
          <w:tcPr>
            <w:tcW w:w="1455" w:type="dxa"/>
            <w:gridSpan w:val="2"/>
            <w:tcBorders>
              <w:top w:val="single" w:sz="4" w:space="0" w:color="auto"/>
              <w:left w:val="single" w:sz="4" w:space="0" w:color="auto"/>
              <w:right w:val="single" w:sz="4" w:space="0" w:color="auto"/>
            </w:tcBorders>
          </w:tcPr>
          <w:p w:rsidR="009F6B39" w:rsidRPr="00B74A55" w:rsidRDefault="009F6B39" w:rsidP="001038B7">
            <w:pPr>
              <w:pStyle w:val="a7"/>
              <w:ind w:left="0"/>
              <w:jc w:val="center"/>
              <w:rPr>
                <w:sz w:val="22"/>
              </w:rPr>
            </w:pPr>
            <w:proofErr w:type="spellStart"/>
            <w:r w:rsidRPr="00B74A55">
              <w:rPr>
                <w:sz w:val="22"/>
              </w:rPr>
              <w:t>Міжнародні</w:t>
            </w:r>
            <w:proofErr w:type="spellEnd"/>
            <w:r w:rsidRPr="00B74A55">
              <w:rPr>
                <w:sz w:val="22"/>
              </w:rPr>
              <w:t xml:space="preserve"> </w:t>
            </w:r>
            <w:proofErr w:type="spellStart"/>
            <w:r w:rsidRPr="00B74A55">
              <w:rPr>
                <w:sz w:val="22"/>
              </w:rPr>
              <w:t>інвестиції</w:t>
            </w:r>
            <w:proofErr w:type="spellEnd"/>
            <w:r w:rsidRPr="00B74A55">
              <w:rPr>
                <w:sz w:val="22"/>
              </w:rPr>
              <w:t xml:space="preserve">, </w:t>
            </w:r>
            <w:proofErr w:type="spellStart"/>
            <w:r w:rsidRPr="00B74A55">
              <w:rPr>
                <w:sz w:val="22"/>
              </w:rPr>
              <w:t>кошти</w:t>
            </w:r>
            <w:proofErr w:type="spellEnd"/>
            <w:r w:rsidRPr="00B74A55">
              <w:rPr>
                <w:sz w:val="22"/>
              </w:rPr>
              <w:t xml:space="preserve"> </w:t>
            </w:r>
            <w:proofErr w:type="spellStart"/>
            <w:r w:rsidRPr="00B74A55">
              <w:rPr>
                <w:sz w:val="22"/>
              </w:rPr>
              <w:t>приватних</w:t>
            </w:r>
            <w:proofErr w:type="spellEnd"/>
            <w:r w:rsidRPr="00B74A55">
              <w:rPr>
                <w:sz w:val="22"/>
              </w:rPr>
              <w:t xml:space="preserve"> </w:t>
            </w:r>
            <w:proofErr w:type="spellStart"/>
            <w:r w:rsidRPr="00B74A55">
              <w:rPr>
                <w:sz w:val="22"/>
              </w:rPr>
              <w:t>осіб</w:t>
            </w:r>
            <w:proofErr w:type="spellEnd"/>
          </w:p>
        </w:tc>
        <w:tc>
          <w:tcPr>
            <w:tcW w:w="1268" w:type="dxa"/>
            <w:vMerge/>
            <w:tcBorders>
              <w:left w:val="single" w:sz="4" w:space="0" w:color="auto"/>
            </w:tcBorders>
          </w:tcPr>
          <w:p w:rsidR="009F6B39" w:rsidRPr="00B74A55" w:rsidRDefault="009F6B39" w:rsidP="001038B7">
            <w:pPr>
              <w:pStyle w:val="a7"/>
              <w:ind w:left="0"/>
              <w:jc w:val="center"/>
              <w:rPr>
                <w:sz w:val="22"/>
              </w:rPr>
            </w:pPr>
          </w:p>
        </w:tc>
      </w:tr>
    </w:tbl>
    <w:p w:rsidR="00CF4B4F" w:rsidRPr="00B74A55" w:rsidRDefault="00CF4B4F" w:rsidP="00E33AAA">
      <w:pPr>
        <w:tabs>
          <w:tab w:val="left" w:pos="5290"/>
        </w:tabs>
        <w:rPr>
          <w:b/>
          <w:sz w:val="22"/>
          <w:szCs w:val="22"/>
        </w:rPr>
      </w:pPr>
    </w:p>
    <w:p w:rsidR="00CF4B4F" w:rsidRPr="00B74A55" w:rsidRDefault="00CF4B4F" w:rsidP="00E33AAA">
      <w:pPr>
        <w:tabs>
          <w:tab w:val="left" w:pos="5290"/>
        </w:tabs>
        <w:rPr>
          <w:b/>
          <w:sz w:val="22"/>
          <w:szCs w:val="22"/>
        </w:rPr>
      </w:pPr>
    </w:p>
    <w:p w:rsidR="00CF4B4F" w:rsidRPr="00B74A55" w:rsidRDefault="00CF4B4F" w:rsidP="00E33AAA">
      <w:pPr>
        <w:tabs>
          <w:tab w:val="left" w:pos="5290"/>
        </w:tabs>
        <w:rPr>
          <w:b/>
          <w:sz w:val="22"/>
          <w:szCs w:val="22"/>
        </w:rPr>
      </w:pPr>
    </w:p>
    <w:p w:rsidR="00CF4B4F" w:rsidRPr="00B74A55" w:rsidRDefault="00CF4B4F" w:rsidP="00E33AAA">
      <w:pPr>
        <w:tabs>
          <w:tab w:val="left" w:pos="5290"/>
        </w:tabs>
        <w:rPr>
          <w:b/>
          <w:sz w:val="22"/>
          <w:szCs w:val="22"/>
        </w:rPr>
      </w:pPr>
    </w:p>
    <w:p w:rsidR="00CF4B4F" w:rsidRPr="00B74A55" w:rsidRDefault="00CF4B4F" w:rsidP="00E33AAA">
      <w:pPr>
        <w:tabs>
          <w:tab w:val="left" w:pos="5290"/>
        </w:tabs>
        <w:rPr>
          <w:b/>
          <w:sz w:val="22"/>
          <w:szCs w:val="22"/>
        </w:rPr>
      </w:pPr>
    </w:p>
    <w:p w:rsidR="00CF4B4F" w:rsidRPr="00B74A55" w:rsidRDefault="00CF4B4F" w:rsidP="00E33AAA">
      <w:pPr>
        <w:tabs>
          <w:tab w:val="left" w:pos="5290"/>
        </w:tabs>
        <w:rPr>
          <w:b/>
          <w:sz w:val="22"/>
          <w:szCs w:val="22"/>
        </w:rPr>
      </w:pPr>
    </w:p>
    <w:p w:rsidR="00CF4B4F" w:rsidRPr="00B74A55" w:rsidRDefault="00CF4B4F" w:rsidP="00E33AAA">
      <w:pPr>
        <w:tabs>
          <w:tab w:val="left" w:pos="5290"/>
        </w:tabs>
        <w:rPr>
          <w:b/>
          <w:sz w:val="22"/>
          <w:szCs w:val="22"/>
        </w:rPr>
      </w:pPr>
    </w:p>
    <w:tbl>
      <w:tblPr>
        <w:tblpPr w:leftFromText="180" w:rightFromText="180" w:vertAnchor="text" w:horzAnchor="page" w:tblpX="1" w:tblpY="123"/>
        <w:tblW w:w="11370" w:type="dxa"/>
        <w:tblLayout w:type="fixed"/>
        <w:tblCellMar>
          <w:left w:w="30" w:type="dxa"/>
          <w:right w:w="30" w:type="dxa"/>
        </w:tblCellMar>
        <w:tblLook w:val="0000" w:firstRow="0" w:lastRow="0" w:firstColumn="0" w:lastColumn="0" w:noHBand="0" w:noVBand="0"/>
      </w:tblPr>
      <w:tblGrid>
        <w:gridCol w:w="1448"/>
        <w:gridCol w:w="2977"/>
        <w:gridCol w:w="992"/>
        <w:gridCol w:w="1134"/>
        <w:gridCol w:w="992"/>
        <w:gridCol w:w="284"/>
        <w:gridCol w:w="1701"/>
        <w:gridCol w:w="141"/>
        <w:gridCol w:w="1701"/>
      </w:tblGrid>
      <w:tr w:rsidR="004479C5" w:rsidRPr="00B74A55" w:rsidTr="004843F9">
        <w:trPr>
          <w:trHeight w:val="555"/>
        </w:trPr>
        <w:tc>
          <w:tcPr>
            <w:tcW w:w="1448" w:type="dxa"/>
            <w:tcBorders>
              <w:top w:val="nil"/>
              <w:left w:val="nil"/>
              <w:bottom w:val="nil"/>
              <w:right w:val="nil"/>
            </w:tcBorders>
          </w:tcPr>
          <w:p w:rsidR="004479C5" w:rsidRPr="00B74A55" w:rsidRDefault="004479C5" w:rsidP="00CF479C">
            <w:pPr>
              <w:autoSpaceDE w:val="0"/>
              <w:autoSpaceDN w:val="0"/>
              <w:adjustRightInd w:val="0"/>
              <w:jc w:val="right"/>
              <w:rPr>
                <w:rFonts w:eastAsia="Calibri"/>
                <w:color w:val="000000"/>
                <w:sz w:val="22"/>
                <w:szCs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479C5" w:rsidRPr="00B74A55" w:rsidRDefault="004479C5" w:rsidP="00CF479C">
            <w:pPr>
              <w:autoSpaceDE w:val="0"/>
              <w:autoSpaceDN w:val="0"/>
              <w:adjustRightInd w:val="0"/>
              <w:rPr>
                <w:rFonts w:eastAsia="Calibri"/>
                <w:b/>
                <w:color w:val="000000"/>
                <w:sz w:val="22"/>
              </w:rPr>
            </w:pPr>
            <w:r w:rsidRPr="00B74A55">
              <w:rPr>
                <w:rFonts w:eastAsia="Calibri"/>
                <w:b/>
                <w:color w:val="000000"/>
                <w:sz w:val="22"/>
              </w:rPr>
              <w:t>Оперативна ціль/завдання</w:t>
            </w:r>
          </w:p>
        </w:tc>
        <w:tc>
          <w:tcPr>
            <w:tcW w:w="6945" w:type="dxa"/>
            <w:gridSpan w:val="7"/>
            <w:tcBorders>
              <w:top w:val="single" w:sz="6" w:space="0" w:color="auto"/>
              <w:left w:val="single" w:sz="6" w:space="0" w:color="auto"/>
              <w:bottom w:val="single" w:sz="6" w:space="0" w:color="auto"/>
              <w:right w:val="single" w:sz="6" w:space="0" w:color="auto"/>
            </w:tcBorders>
          </w:tcPr>
          <w:p w:rsidR="004479C5" w:rsidRPr="00B74A55" w:rsidRDefault="004479C5" w:rsidP="00CF479C">
            <w:pPr>
              <w:autoSpaceDE w:val="0"/>
              <w:autoSpaceDN w:val="0"/>
              <w:adjustRightInd w:val="0"/>
              <w:rPr>
                <w:rFonts w:eastAsia="Calibri"/>
                <w:color w:val="000000"/>
                <w:sz w:val="22"/>
              </w:rPr>
            </w:pPr>
            <w:r w:rsidRPr="00B74A55">
              <w:rPr>
                <w:color w:val="222222"/>
                <w:sz w:val="22"/>
                <w:shd w:val="clear" w:color="auto" w:fill="FFFFFF"/>
              </w:rPr>
              <w:t xml:space="preserve">Людський розвиток через інновації управління та довіру до влади. Формування сучасного інклюзивного  </w:t>
            </w:r>
            <w:proofErr w:type="spellStart"/>
            <w:r w:rsidRPr="00B74A55">
              <w:rPr>
                <w:color w:val="222222"/>
                <w:sz w:val="22"/>
                <w:shd w:val="clear" w:color="auto" w:fill="FFFFFF"/>
              </w:rPr>
              <w:t>освітньо</w:t>
            </w:r>
            <w:proofErr w:type="spellEnd"/>
            <w:r w:rsidRPr="00B74A55">
              <w:rPr>
                <w:color w:val="222222"/>
                <w:sz w:val="22"/>
                <w:shd w:val="clear" w:color="auto" w:fill="FFFFFF"/>
              </w:rPr>
              <w:t>-культурного та спортивного простору для розвитку.</w:t>
            </w:r>
          </w:p>
        </w:tc>
      </w:tr>
      <w:tr w:rsidR="004479C5" w:rsidRPr="00B74A55" w:rsidTr="004843F9">
        <w:trPr>
          <w:trHeight w:val="691"/>
        </w:trPr>
        <w:tc>
          <w:tcPr>
            <w:tcW w:w="1448" w:type="dxa"/>
            <w:tcBorders>
              <w:top w:val="nil"/>
              <w:left w:val="nil"/>
              <w:bottom w:val="nil"/>
              <w:right w:val="nil"/>
            </w:tcBorders>
          </w:tcPr>
          <w:p w:rsidR="004479C5" w:rsidRPr="00B74A55" w:rsidRDefault="004479C5" w:rsidP="00CF479C">
            <w:pPr>
              <w:autoSpaceDE w:val="0"/>
              <w:autoSpaceDN w:val="0"/>
              <w:adjustRightInd w:val="0"/>
              <w:jc w:val="right"/>
              <w:rPr>
                <w:rFonts w:eastAsia="Calibri"/>
                <w:color w:val="000000"/>
                <w:sz w:val="22"/>
                <w:szCs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479C5" w:rsidRPr="00B74A55" w:rsidRDefault="004479C5" w:rsidP="00CF479C">
            <w:pPr>
              <w:autoSpaceDE w:val="0"/>
              <w:autoSpaceDN w:val="0"/>
              <w:adjustRightInd w:val="0"/>
              <w:rPr>
                <w:rFonts w:eastAsia="Calibri"/>
                <w:b/>
                <w:color w:val="000000"/>
                <w:sz w:val="22"/>
              </w:rPr>
            </w:pPr>
            <w:r w:rsidRPr="00B74A55">
              <w:rPr>
                <w:rFonts w:eastAsia="Calibri"/>
                <w:b/>
                <w:color w:val="000000"/>
                <w:sz w:val="22"/>
              </w:rPr>
              <w:t>Назва проекту:</w:t>
            </w:r>
          </w:p>
        </w:tc>
        <w:tc>
          <w:tcPr>
            <w:tcW w:w="6945" w:type="dxa"/>
            <w:gridSpan w:val="7"/>
            <w:tcBorders>
              <w:top w:val="single" w:sz="6" w:space="0" w:color="auto"/>
              <w:left w:val="single" w:sz="6" w:space="0" w:color="auto"/>
              <w:bottom w:val="single" w:sz="6" w:space="0" w:color="auto"/>
              <w:right w:val="single" w:sz="6" w:space="0" w:color="auto"/>
            </w:tcBorders>
          </w:tcPr>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 xml:space="preserve">Капітальний ремонт будівлі Ясел-садка №10 міста Сєвєродонецька Луганської області. </w:t>
            </w:r>
          </w:p>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93400, Луганська область, Сєвєродонецький район, місто Сєвєродонецьк, вулиця Новікова, будинок 13Б.</w:t>
            </w:r>
          </w:p>
        </w:tc>
      </w:tr>
      <w:tr w:rsidR="004479C5" w:rsidRPr="00B74A55" w:rsidTr="004843F9">
        <w:trPr>
          <w:trHeight w:val="1109"/>
        </w:trPr>
        <w:tc>
          <w:tcPr>
            <w:tcW w:w="1448" w:type="dxa"/>
            <w:tcBorders>
              <w:top w:val="nil"/>
              <w:left w:val="nil"/>
              <w:bottom w:val="nil"/>
              <w:right w:val="nil"/>
            </w:tcBorders>
          </w:tcPr>
          <w:p w:rsidR="004479C5" w:rsidRPr="00B74A55" w:rsidRDefault="004479C5" w:rsidP="00CF479C">
            <w:pPr>
              <w:autoSpaceDE w:val="0"/>
              <w:autoSpaceDN w:val="0"/>
              <w:adjustRightInd w:val="0"/>
              <w:jc w:val="right"/>
              <w:rPr>
                <w:rFonts w:eastAsia="Calibri"/>
                <w:color w:val="000000"/>
                <w:sz w:val="22"/>
                <w:szCs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479C5" w:rsidRPr="00B74A55" w:rsidRDefault="004479C5" w:rsidP="00CF479C">
            <w:pPr>
              <w:autoSpaceDE w:val="0"/>
              <w:autoSpaceDN w:val="0"/>
              <w:adjustRightInd w:val="0"/>
              <w:rPr>
                <w:rFonts w:eastAsia="Calibri"/>
                <w:b/>
                <w:color w:val="000000"/>
                <w:sz w:val="22"/>
              </w:rPr>
            </w:pPr>
            <w:r w:rsidRPr="00B74A55">
              <w:rPr>
                <w:rFonts w:eastAsia="Calibri"/>
                <w:b/>
                <w:color w:val="000000"/>
                <w:sz w:val="22"/>
              </w:rPr>
              <w:t>Ціль проекту</w:t>
            </w:r>
          </w:p>
        </w:tc>
        <w:tc>
          <w:tcPr>
            <w:tcW w:w="6945" w:type="dxa"/>
            <w:gridSpan w:val="7"/>
            <w:tcBorders>
              <w:top w:val="single" w:sz="6" w:space="0" w:color="auto"/>
              <w:left w:val="single" w:sz="6" w:space="0" w:color="auto"/>
              <w:bottom w:val="single" w:sz="6" w:space="0" w:color="auto"/>
              <w:right w:val="single" w:sz="6" w:space="0" w:color="auto"/>
            </w:tcBorders>
          </w:tcPr>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Забезпечення функціонування закладу, створення належних умов для отримання повноцінної якісної дошкільної освіти у ЗДО.</w:t>
            </w:r>
            <w:r w:rsidRPr="00B74A55">
              <w:rPr>
                <w:sz w:val="22"/>
              </w:rPr>
              <w:t xml:space="preserve"> Покращення умов доступності дошкільної освіти для дітей з ООП, дітей з інвалідністю.</w:t>
            </w:r>
          </w:p>
        </w:tc>
      </w:tr>
      <w:tr w:rsidR="004479C5" w:rsidRPr="00B74A55" w:rsidTr="004843F9">
        <w:trPr>
          <w:trHeight w:val="290"/>
        </w:trPr>
        <w:tc>
          <w:tcPr>
            <w:tcW w:w="1448" w:type="dxa"/>
            <w:tcBorders>
              <w:top w:val="nil"/>
              <w:left w:val="nil"/>
              <w:bottom w:val="nil"/>
              <w:right w:val="nil"/>
            </w:tcBorders>
          </w:tcPr>
          <w:p w:rsidR="004479C5" w:rsidRPr="00B74A55" w:rsidRDefault="004479C5" w:rsidP="00CF479C">
            <w:pPr>
              <w:autoSpaceDE w:val="0"/>
              <w:autoSpaceDN w:val="0"/>
              <w:adjustRightInd w:val="0"/>
              <w:jc w:val="right"/>
              <w:rPr>
                <w:rFonts w:eastAsia="Calibri"/>
                <w:color w:val="000000"/>
                <w:sz w:val="22"/>
                <w:szCs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479C5" w:rsidRPr="00B74A55" w:rsidRDefault="004479C5" w:rsidP="00CF479C">
            <w:pPr>
              <w:autoSpaceDE w:val="0"/>
              <w:autoSpaceDN w:val="0"/>
              <w:adjustRightInd w:val="0"/>
              <w:rPr>
                <w:rFonts w:eastAsia="Calibri"/>
                <w:b/>
                <w:color w:val="000000"/>
                <w:sz w:val="22"/>
              </w:rPr>
            </w:pPr>
            <w:r w:rsidRPr="00B74A55">
              <w:rPr>
                <w:rFonts w:eastAsia="Calibri"/>
                <w:b/>
                <w:color w:val="000000"/>
                <w:sz w:val="22"/>
              </w:rPr>
              <w:t>Територія, на яку матиме вплив реалізація проекту</w:t>
            </w:r>
          </w:p>
        </w:tc>
        <w:tc>
          <w:tcPr>
            <w:tcW w:w="6945" w:type="dxa"/>
            <w:gridSpan w:val="7"/>
            <w:tcBorders>
              <w:top w:val="single" w:sz="6" w:space="0" w:color="auto"/>
              <w:left w:val="single" w:sz="6" w:space="0" w:color="auto"/>
              <w:bottom w:val="single" w:sz="6" w:space="0" w:color="auto"/>
              <w:right w:val="single" w:sz="6" w:space="0" w:color="auto"/>
            </w:tcBorders>
          </w:tcPr>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Сєвєродонецька міська територіальна громада</w:t>
            </w:r>
          </w:p>
        </w:tc>
      </w:tr>
      <w:tr w:rsidR="004479C5" w:rsidRPr="00B74A55" w:rsidTr="004843F9">
        <w:trPr>
          <w:trHeight w:val="846"/>
        </w:trPr>
        <w:tc>
          <w:tcPr>
            <w:tcW w:w="1448" w:type="dxa"/>
            <w:tcBorders>
              <w:top w:val="nil"/>
              <w:left w:val="nil"/>
              <w:bottom w:val="nil"/>
              <w:right w:val="nil"/>
            </w:tcBorders>
          </w:tcPr>
          <w:p w:rsidR="004479C5" w:rsidRPr="00B74A55" w:rsidRDefault="004479C5" w:rsidP="00CF479C">
            <w:pPr>
              <w:autoSpaceDE w:val="0"/>
              <w:autoSpaceDN w:val="0"/>
              <w:adjustRightInd w:val="0"/>
              <w:jc w:val="right"/>
              <w:rPr>
                <w:rFonts w:eastAsia="Calibri"/>
                <w:color w:val="000000"/>
                <w:sz w:val="22"/>
                <w:szCs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479C5" w:rsidRPr="00B74A55" w:rsidRDefault="004479C5" w:rsidP="00CF479C">
            <w:pPr>
              <w:autoSpaceDE w:val="0"/>
              <w:autoSpaceDN w:val="0"/>
              <w:adjustRightInd w:val="0"/>
              <w:rPr>
                <w:rFonts w:eastAsia="Calibri"/>
                <w:b/>
                <w:color w:val="000000"/>
                <w:sz w:val="22"/>
              </w:rPr>
            </w:pPr>
            <w:r w:rsidRPr="00B74A55">
              <w:rPr>
                <w:rFonts w:eastAsia="Calibri"/>
                <w:b/>
                <w:color w:val="000000"/>
                <w:sz w:val="22"/>
              </w:rPr>
              <w:t>Чисельність населення, на яке матиме вплив реалізація проекту</w:t>
            </w:r>
          </w:p>
        </w:tc>
        <w:tc>
          <w:tcPr>
            <w:tcW w:w="6945" w:type="dxa"/>
            <w:gridSpan w:val="7"/>
            <w:tcBorders>
              <w:top w:val="single" w:sz="6" w:space="0" w:color="auto"/>
              <w:left w:val="single" w:sz="6" w:space="0" w:color="auto"/>
              <w:bottom w:val="single" w:sz="6" w:space="0" w:color="auto"/>
              <w:right w:val="single" w:sz="6" w:space="0" w:color="auto"/>
            </w:tcBorders>
          </w:tcPr>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70 000 осіб</w:t>
            </w:r>
          </w:p>
        </w:tc>
      </w:tr>
      <w:tr w:rsidR="004479C5" w:rsidRPr="00B74A55" w:rsidTr="004843F9">
        <w:trPr>
          <w:trHeight w:val="1261"/>
        </w:trPr>
        <w:tc>
          <w:tcPr>
            <w:tcW w:w="1448" w:type="dxa"/>
            <w:tcBorders>
              <w:top w:val="nil"/>
              <w:left w:val="nil"/>
              <w:bottom w:val="nil"/>
              <w:right w:val="nil"/>
            </w:tcBorders>
          </w:tcPr>
          <w:p w:rsidR="004479C5" w:rsidRPr="00B74A55" w:rsidRDefault="004479C5" w:rsidP="00CF479C">
            <w:pPr>
              <w:autoSpaceDE w:val="0"/>
              <w:autoSpaceDN w:val="0"/>
              <w:adjustRightInd w:val="0"/>
              <w:jc w:val="right"/>
              <w:rPr>
                <w:rFonts w:eastAsia="Calibri"/>
                <w:color w:val="000000"/>
                <w:sz w:val="22"/>
                <w:szCs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479C5" w:rsidRPr="00B74A55" w:rsidRDefault="004479C5" w:rsidP="00CF479C">
            <w:pPr>
              <w:autoSpaceDE w:val="0"/>
              <w:autoSpaceDN w:val="0"/>
              <w:adjustRightInd w:val="0"/>
              <w:rPr>
                <w:rFonts w:eastAsia="Calibri"/>
                <w:b/>
                <w:color w:val="000000"/>
                <w:sz w:val="22"/>
              </w:rPr>
            </w:pPr>
            <w:r w:rsidRPr="00B74A55">
              <w:rPr>
                <w:rFonts w:eastAsia="Calibri"/>
                <w:b/>
                <w:color w:val="000000"/>
                <w:sz w:val="22"/>
              </w:rPr>
              <w:t>Опис проблеми, на вирішення якої спрямований проект</w:t>
            </w:r>
          </w:p>
        </w:tc>
        <w:tc>
          <w:tcPr>
            <w:tcW w:w="6945" w:type="dxa"/>
            <w:gridSpan w:val="7"/>
            <w:tcBorders>
              <w:top w:val="single" w:sz="6" w:space="0" w:color="auto"/>
              <w:left w:val="single" w:sz="6" w:space="0" w:color="auto"/>
              <w:bottom w:val="single" w:sz="6" w:space="0" w:color="auto"/>
              <w:right w:val="single" w:sz="6" w:space="0" w:color="auto"/>
            </w:tcBorders>
          </w:tcPr>
          <w:p w:rsidR="004479C5" w:rsidRPr="00B74A55" w:rsidRDefault="004479C5" w:rsidP="00CF479C">
            <w:pPr>
              <w:autoSpaceDE w:val="0"/>
              <w:autoSpaceDN w:val="0"/>
              <w:adjustRightInd w:val="0"/>
              <w:rPr>
                <w:rFonts w:eastAsia="Calibri"/>
                <w:color w:val="FF0000"/>
                <w:sz w:val="22"/>
              </w:rPr>
            </w:pPr>
            <w:r w:rsidRPr="00B74A55">
              <w:rPr>
                <w:rFonts w:eastAsia="Calibri"/>
                <w:color w:val="000000"/>
                <w:sz w:val="22"/>
              </w:rPr>
              <w:t xml:space="preserve">Через військову агресію </w:t>
            </w:r>
            <w:r w:rsidR="00B043B0" w:rsidRPr="00B74A55">
              <w:rPr>
                <w:rFonts w:eastAsia="Calibri"/>
                <w:color w:val="000000"/>
                <w:sz w:val="22"/>
              </w:rPr>
              <w:t>Р</w:t>
            </w:r>
            <w:r w:rsidRPr="00B74A55">
              <w:rPr>
                <w:rFonts w:eastAsia="Calibri"/>
                <w:color w:val="000000"/>
                <w:sz w:val="22"/>
              </w:rPr>
              <w:t xml:space="preserve">осійської </w:t>
            </w:r>
            <w:r w:rsidR="00B043B0" w:rsidRPr="00B74A55">
              <w:rPr>
                <w:rFonts w:eastAsia="Calibri"/>
                <w:color w:val="000000"/>
                <w:sz w:val="22"/>
              </w:rPr>
              <w:t>Ф</w:t>
            </w:r>
            <w:r w:rsidRPr="00B74A55">
              <w:rPr>
                <w:rFonts w:eastAsia="Calibri"/>
                <w:color w:val="000000"/>
                <w:sz w:val="22"/>
              </w:rPr>
              <w:t>едерації територія Сєвєродонецької міської територіальної громади зазнала значних пошкоджень. Не оминуло це і Ясла-садок № 10, а саме: руйнування частини будівлі, значне пошкодження приміщень будівлі внаслідок обстрілів та мародерства.</w:t>
            </w:r>
          </w:p>
        </w:tc>
      </w:tr>
      <w:tr w:rsidR="004479C5" w:rsidRPr="00B74A55" w:rsidTr="004843F9">
        <w:trPr>
          <w:trHeight w:val="1265"/>
        </w:trPr>
        <w:tc>
          <w:tcPr>
            <w:tcW w:w="1448" w:type="dxa"/>
            <w:tcBorders>
              <w:top w:val="nil"/>
              <w:left w:val="nil"/>
              <w:bottom w:val="nil"/>
              <w:right w:val="nil"/>
            </w:tcBorders>
          </w:tcPr>
          <w:p w:rsidR="004479C5" w:rsidRPr="00B74A55" w:rsidRDefault="004479C5" w:rsidP="00CF479C">
            <w:pPr>
              <w:autoSpaceDE w:val="0"/>
              <w:autoSpaceDN w:val="0"/>
              <w:adjustRightInd w:val="0"/>
              <w:jc w:val="right"/>
              <w:rPr>
                <w:rFonts w:eastAsia="Calibri"/>
                <w:color w:val="000000"/>
                <w:sz w:val="22"/>
                <w:szCs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479C5" w:rsidRPr="00B74A55" w:rsidRDefault="004479C5" w:rsidP="00CF479C">
            <w:pPr>
              <w:autoSpaceDE w:val="0"/>
              <w:autoSpaceDN w:val="0"/>
              <w:adjustRightInd w:val="0"/>
              <w:rPr>
                <w:rFonts w:eastAsia="Calibri"/>
                <w:b/>
                <w:color w:val="000000"/>
                <w:sz w:val="22"/>
              </w:rPr>
            </w:pPr>
            <w:r w:rsidRPr="00B74A55">
              <w:rPr>
                <w:rFonts w:eastAsia="Calibri"/>
                <w:b/>
                <w:color w:val="000000"/>
                <w:sz w:val="22"/>
              </w:rPr>
              <w:t>Очікувані якісні результати від реалізації проекту</w:t>
            </w:r>
          </w:p>
        </w:tc>
        <w:tc>
          <w:tcPr>
            <w:tcW w:w="6945" w:type="dxa"/>
            <w:gridSpan w:val="7"/>
            <w:tcBorders>
              <w:top w:val="single" w:sz="6" w:space="0" w:color="auto"/>
              <w:left w:val="single" w:sz="6" w:space="0" w:color="auto"/>
              <w:bottom w:val="single" w:sz="6" w:space="0" w:color="auto"/>
              <w:right w:val="single" w:sz="6" w:space="0" w:color="auto"/>
            </w:tcBorders>
          </w:tcPr>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Забезпечення функціонування ЗДО.</w:t>
            </w:r>
          </w:p>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Створення безпечних санітарно-гігієнічних умов перебування для всіх учасників освітнього процесу.</w:t>
            </w:r>
          </w:p>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Створення належних умов для отримання дітьми повноцінної якісної дошкільної освіти.</w:t>
            </w:r>
          </w:p>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Створення комфортних умов праці для педагогічного та технічного персоналу закладу.</w:t>
            </w:r>
          </w:p>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Надання батькам вихованців якісних освітніх послуг, психологічної допомоги.</w:t>
            </w:r>
          </w:p>
        </w:tc>
      </w:tr>
      <w:tr w:rsidR="004479C5" w:rsidRPr="00B74A55" w:rsidTr="004843F9">
        <w:trPr>
          <w:trHeight w:val="581"/>
        </w:trPr>
        <w:tc>
          <w:tcPr>
            <w:tcW w:w="1448" w:type="dxa"/>
            <w:tcBorders>
              <w:top w:val="nil"/>
              <w:left w:val="nil"/>
              <w:bottom w:val="nil"/>
              <w:right w:val="nil"/>
            </w:tcBorders>
          </w:tcPr>
          <w:p w:rsidR="004479C5" w:rsidRPr="00B74A55" w:rsidRDefault="004479C5" w:rsidP="00CF479C">
            <w:pPr>
              <w:autoSpaceDE w:val="0"/>
              <w:autoSpaceDN w:val="0"/>
              <w:adjustRightInd w:val="0"/>
              <w:jc w:val="right"/>
              <w:rPr>
                <w:rFonts w:eastAsia="Calibri"/>
                <w:color w:val="000000"/>
                <w:sz w:val="22"/>
                <w:szCs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479C5" w:rsidRPr="00B74A55" w:rsidRDefault="004479C5" w:rsidP="00CF479C">
            <w:pPr>
              <w:autoSpaceDE w:val="0"/>
              <w:autoSpaceDN w:val="0"/>
              <w:adjustRightInd w:val="0"/>
              <w:rPr>
                <w:rFonts w:eastAsia="Calibri"/>
                <w:b/>
                <w:color w:val="000000"/>
                <w:sz w:val="22"/>
              </w:rPr>
            </w:pPr>
            <w:r w:rsidRPr="00B74A55">
              <w:rPr>
                <w:rFonts w:eastAsia="Calibri"/>
                <w:b/>
                <w:color w:val="000000"/>
                <w:sz w:val="22"/>
              </w:rPr>
              <w:t>Очікувані кількісні результати від реалізації проекту  (індикатори)</w:t>
            </w:r>
          </w:p>
        </w:tc>
        <w:tc>
          <w:tcPr>
            <w:tcW w:w="3402" w:type="dxa"/>
            <w:gridSpan w:val="4"/>
            <w:tcBorders>
              <w:top w:val="single" w:sz="6" w:space="0" w:color="auto"/>
              <w:left w:val="single" w:sz="6" w:space="0" w:color="auto"/>
              <w:bottom w:val="single" w:sz="6" w:space="0" w:color="auto"/>
              <w:right w:val="single" w:sz="6" w:space="0" w:color="auto"/>
            </w:tcBorders>
          </w:tcPr>
          <w:p w:rsidR="004479C5" w:rsidRPr="00B74A55" w:rsidRDefault="004479C5" w:rsidP="00CF479C">
            <w:pPr>
              <w:autoSpaceDE w:val="0"/>
              <w:autoSpaceDN w:val="0"/>
              <w:adjustRightInd w:val="0"/>
              <w:rPr>
                <w:rFonts w:eastAsia="Calibri"/>
                <w:b/>
                <w:color w:val="000000"/>
                <w:sz w:val="22"/>
              </w:rPr>
            </w:pPr>
            <w:r w:rsidRPr="00B74A55">
              <w:rPr>
                <w:rFonts w:eastAsia="Calibri"/>
                <w:b/>
                <w:color w:val="000000"/>
                <w:sz w:val="22"/>
              </w:rPr>
              <w:t>Найменування показника</w:t>
            </w:r>
          </w:p>
        </w:tc>
        <w:tc>
          <w:tcPr>
            <w:tcW w:w="1701" w:type="dxa"/>
            <w:tcBorders>
              <w:top w:val="single" w:sz="6" w:space="0" w:color="auto"/>
              <w:left w:val="single" w:sz="6" w:space="0" w:color="auto"/>
              <w:bottom w:val="single" w:sz="6" w:space="0" w:color="auto"/>
              <w:right w:val="single" w:sz="6" w:space="0" w:color="auto"/>
            </w:tcBorders>
          </w:tcPr>
          <w:p w:rsidR="004479C5" w:rsidRPr="00B74A55" w:rsidRDefault="004479C5" w:rsidP="00CF479C">
            <w:pPr>
              <w:autoSpaceDE w:val="0"/>
              <w:autoSpaceDN w:val="0"/>
              <w:adjustRightInd w:val="0"/>
              <w:rPr>
                <w:rFonts w:eastAsia="Calibri"/>
                <w:b/>
                <w:color w:val="000000"/>
                <w:sz w:val="22"/>
              </w:rPr>
            </w:pPr>
            <w:r w:rsidRPr="00B74A55">
              <w:rPr>
                <w:rFonts w:eastAsia="Calibri"/>
                <w:b/>
                <w:color w:val="000000"/>
                <w:sz w:val="22"/>
              </w:rPr>
              <w:t>Одиниця вимірювання</w:t>
            </w:r>
          </w:p>
        </w:tc>
        <w:tc>
          <w:tcPr>
            <w:tcW w:w="1842" w:type="dxa"/>
            <w:gridSpan w:val="2"/>
            <w:tcBorders>
              <w:top w:val="single" w:sz="6" w:space="0" w:color="auto"/>
              <w:left w:val="single" w:sz="6" w:space="0" w:color="auto"/>
              <w:bottom w:val="single" w:sz="6" w:space="0" w:color="auto"/>
              <w:right w:val="single" w:sz="6" w:space="0" w:color="auto"/>
            </w:tcBorders>
          </w:tcPr>
          <w:p w:rsidR="004479C5" w:rsidRPr="00B74A55" w:rsidRDefault="004479C5" w:rsidP="00CF479C">
            <w:pPr>
              <w:autoSpaceDE w:val="0"/>
              <w:autoSpaceDN w:val="0"/>
              <w:adjustRightInd w:val="0"/>
              <w:rPr>
                <w:rFonts w:eastAsia="Calibri"/>
                <w:b/>
                <w:color w:val="000000"/>
                <w:sz w:val="22"/>
              </w:rPr>
            </w:pPr>
            <w:r w:rsidRPr="00B74A55">
              <w:rPr>
                <w:rFonts w:eastAsia="Calibri"/>
                <w:b/>
                <w:color w:val="000000"/>
                <w:sz w:val="22"/>
              </w:rPr>
              <w:t>Прогнозне (цільове) значення</w:t>
            </w:r>
          </w:p>
        </w:tc>
      </w:tr>
      <w:tr w:rsidR="004479C5" w:rsidRPr="00B74A55" w:rsidTr="004843F9">
        <w:trPr>
          <w:trHeight w:val="1052"/>
        </w:trPr>
        <w:tc>
          <w:tcPr>
            <w:tcW w:w="1448" w:type="dxa"/>
            <w:tcBorders>
              <w:top w:val="nil"/>
              <w:left w:val="nil"/>
              <w:bottom w:val="nil"/>
              <w:right w:val="nil"/>
            </w:tcBorders>
          </w:tcPr>
          <w:p w:rsidR="004479C5" w:rsidRPr="00B74A55" w:rsidRDefault="004479C5" w:rsidP="00CF479C">
            <w:pPr>
              <w:autoSpaceDE w:val="0"/>
              <w:autoSpaceDN w:val="0"/>
              <w:adjustRightInd w:val="0"/>
              <w:jc w:val="right"/>
              <w:rPr>
                <w:rFonts w:eastAsia="Calibri"/>
                <w:color w:val="000000"/>
                <w:sz w:val="22"/>
                <w:szCs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479C5" w:rsidRPr="00B74A55" w:rsidRDefault="004479C5" w:rsidP="00CF479C">
            <w:pPr>
              <w:autoSpaceDE w:val="0"/>
              <w:autoSpaceDN w:val="0"/>
              <w:adjustRightInd w:val="0"/>
              <w:rPr>
                <w:rFonts w:eastAsia="Calibri"/>
                <w:b/>
                <w:color w:val="000000"/>
                <w:sz w:val="22"/>
              </w:rPr>
            </w:pPr>
          </w:p>
        </w:tc>
        <w:tc>
          <w:tcPr>
            <w:tcW w:w="3402" w:type="dxa"/>
            <w:gridSpan w:val="4"/>
            <w:tcBorders>
              <w:top w:val="single" w:sz="6" w:space="0" w:color="auto"/>
              <w:left w:val="single" w:sz="6" w:space="0" w:color="auto"/>
              <w:bottom w:val="single" w:sz="6" w:space="0" w:color="auto"/>
              <w:right w:val="single" w:sz="6" w:space="0" w:color="auto"/>
            </w:tcBorders>
          </w:tcPr>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 кількість дітей у закладі</w:t>
            </w:r>
          </w:p>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 кількість батьків або осіб, які їх замінюють;</w:t>
            </w:r>
          </w:p>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 кількість працівників закладу.</w:t>
            </w:r>
          </w:p>
        </w:tc>
        <w:tc>
          <w:tcPr>
            <w:tcW w:w="1701" w:type="dxa"/>
            <w:tcBorders>
              <w:top w:val="single" w:sz="6" w:space="0" w:color="auto"/>
              <w:left w:val="single" w:sz="6" w:space="0" w:color="auto"/>
              <w:bottom w:val="single" w:sz="6" w:space="0" w:color="auto"/>
              <w:right w:val="single" w:sz="6" w:space="0" w:color="auto"/>
            </w:tcBorders>
          </w:tcPr>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Осіб</w:t>
            </w:r>
          </w:p>
          <w:p w:rsidR="004479C5" w:rsidRPr="00B74A55" w:rsidRDefault="004479C5" w:rsidP="004479C5">
            <w:pPr>
              <w:autoSpaceDE w:val="0"/>
              <w:autoSpaceDN w:val="0"/>
              <w:adjustRightInd w:val="0"/>
              <w:rPr>
                <w:rFonts w:eastAsia="Calibri"/>
                <w:color w:val="000000"/>
                <w:sz w:val="22"/>
              </w:rPr>
            </w:pPr>
            <w:r w:rsidRPr="00B74A55">
              <w:rPr>
                <w:rFonts w:eastAsia="Calibri"/>
                <w:color w:val="000000"/>
                <w:sz w:val="22"/>
              </w:rPr>
              <w:t>Осіб</w:t>
            </w:r>
          </w:p>
          <w:p w:rsidR="004479C5" w:rsidRPr="00B74A55" w:rsidRDefault="004479C5" w:rsidP="004479C5">
            <w:pPr>
              <w:autoSpaceDE w:val="0"/>
              <w:autoSpaceDN w:val="0"/>
              <w:adjustRightInd w:val="0"/>
              <w:rPr>
                <w:rFonts w:eastAsia="Calibri"/>
                <w:color w:val="000000"/>
                <w:sz w:val="22"/>
              </w:rPr>
            </w:pPr>
          </w:p>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Осіб</w:t>
            </w:r>
          </w:p>
        </w:tc>
        <w:tc>
          <w:tcPr>
            <w:tcW w:w="1842" w:type="dxa"/>
            <w:gridSpan w:val="2"/>
            <w:tcBorders>
              <w:top w:val="single" w:sz="6" w:space="0" w:color="auto"/>
              <w:left w:val="single" w:sz="6" w:space="0" w:color="auto"/>
              <w:bottom w:val="single" w:sz="6" w:space="0" w:color="auto"/>
              <w:right w:val="single" w:sz="6" w:space="0" w:color="auto"/>
            </w:tcBorders>
          </w:tcPr>
          <w:p w:rsidR="004479C5" w:rsidRPr="00B74A55" w:rsidRDefault="004479C5" w:rsidP="00CF479C">
            <w:pPr>
              <w:autoSpaceDE w:val="0"/>
              <w:autoSpaceDN w:val="0"/>
              <w:adjustRightInd w:val="0"/>
              <w:rPr>
                <w:rFonts w:eastAsia="Calibri"/>
                <w:sz w:val="22"/>
              </w:rPr>
            </w:pPr>
            <w:r w:rsidRPr="00B74A55">
              <w:rPr>
                <w:rFonts w:eastAsia="Calibri"/>
                <w:sz w:val="22"/>
              </w:rPr>
              <w:t>240</w:t>
            </w:r>
          </w:p>
          <w:p w:rsidR="004479C5" w:rsidRPr="00B74A55" w:rsidRDefault="004479C5" w:rsidP="00CF479C">
            <w:pPr>
              <w:autoSpaceDE w:val="0"/>
              <w:autoSpaceDN w:val="0"/>
              <w:adjustRightInd w:val="0"/>
              <w:rPr>
                <w:rFonts w:eastAsia="Calibri"/>
                <w:sz w:val="22"/>
              </w:rPr>
            </w:pPr>
            <w:r w:rsidRPr="00B74A55">
              <w:rPr>
                <w:rFonts w:eastAsia="Calibri"/>
                <w:sz w:val="22"/>
              </w:rPr>
              <w:t>480</w:t>
            </w:r>
          </w:p>
          <w:p w:rsidR="004479C5" w:rsidRPr="00B74A55" w:rsidRDefault="004479C5" w:rsidP="00CF479C">
            <w:pPr>
              <w:autoSpaceDE w:val="0"/>
              <w:autoSpaceDN w:val="0"/>
              <w:adjustRightInd w:val="0"/>
              <w:rPr>
                <w:rFonts w:eastAsia="Calibri"/>
                <w:sz w:val="22"/>
              </w:rPr>
            </w:pPr>
          </w:p>
          <w:p w:rsidR="004479C5" w:rsidRPr="00B74A55" w:rsidRDefault="004479C5" w:rsidP="00CF479C">
            <w:pPr>
              <w:autoSpaceDE w:val="0"/>
              <w:autoSpaceDN w:val="0"/>
              <w:adjustRightInd w:val="0"/>
              <w:rPr>
                <w:rFonts w:eastAsia="Calibri"/>
                <w:sz w:val="22"/>
              </w:rPr>
            </w:pPr>
            <w:r w:rsidRPr="00B74A55">
              <w:rPr>
                <w:rFonts w:eastAsia="Calibri"/>
                <w:sz w:val="22"/>
              </w:rPr>
              <w:t>60</w:t>
            </w:r>
          </w:p>
        </w:tc>
      </w:tr>
      <w:tr w:rsidR="004479C5" w:rsidRPr="00B74A55" w:rsidTr="004843F9">
        <w:trPr>
          <w:trHeight w:val="408"/>
        </w:trPr>
        <w:tc>
          <w:tcPr>
            <w:tcW w:w="1448" w:type="dxa"/>
            <w:tcBorders>
              <w:top w:val="nil"/>
              <w:left w:val="nil"/>
              <w:bottom w:val="nil"/>
              <w:right w:val="nil"/>
            </w:tcBorders>
          </w:tcPr>
          <w:p w:rsidR="004479C5" w:rsidRPr="00B74A55" w:rsidRDefault="004479C5" w:rsidP="00CF479C">
            <w:pPr>
              <w:autoSpaceDE w:val="0"/>
              <w:autoSpaceDN w:val="0"/>
              <w:adjustRightInd w:val="0"/>
              <w:jc w:val="right"/>
              <w:rPr>
                <w:rFonts w:eastAsia="Calibri"/>
                <w:color w:val="000000"/>
                <w:sz w:val="22"/>
                <w:szCs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479C5" w:rsidRPr="00B74A55" w:rsidRDefault="004479C5" w:rsidP="00CF479C">
            <w:pPr>
              <w:autoSpaceDE w:val="0"/>
              <w:autoSpaceDN w:val="0"/>
              <w:adjustRightInd w:val="0"/>
              <w:rPr>
                <w:rFonts w:eastAsia="Calibri"/>
                <w:b/>
                <w:color w:val="000000"/>
                <w:sz w:val="22"/>
              </w:rPr>
            </w:pPr>
            <w:r w:rsidRPr="00B74A55">
              <w:rPr>
                <w:rFonts w:eastAsia="Calibri"/>
                <w:b/>
                <w:color w:val="000000"/>
                <w:sz w:val="22"/>
              </w:rPr>
              <w:t>Ключові заходи проекту:</w:t>
            </w:r>
          </w:p>
        </w:tc>
        <w:tc>
          <w:tcPr>
            <w:tcW w:w="6945" w:type="dxa"/>
            <w:gridSpan w:val="7"/>
            <w:tcBorders>
              <w:top w:val="single" w:sz="6" w:space="0" w:color="auto"/>
              <w:left w:val="single" w:sz="6" w:space="0" w:color="auto"/>
              <w:bottom w:val="single" w:sz="6" w:space="0" w:color="auto"/>
              <w:right w:val="single" w:sz="6" w:space="0" w:color="auto"/>
            </w:tcBorders>
          </w:tcPr>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Обстеження спеціалістами  будівлі.</w:t>
            </w:r>
          </w:p>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 xml:space="preserve">Оцінка стану, надання висновків, розробка </w:t>
            </w:r>
            <w:proofErr w:type="spellStart"/>
            <w:r w:rsidRPr="00B74A55">
              <w:rPr>
                <w:rFonts w:eastAsia="Calibri"/>
                <w:color w:val="000000"/>
                <w:sz w:val="22"/>
              </w:rPr>
              <w:t>проєктно</w:t>
            </w:r>
            <w:proofErr w:type="spellEnd"/>
            <w:r w:rsidRPr="00B74A55">
              <w:rPr>
                <w:rFonts w:eastAsia="Calibri"/>
                <w:color w:val="000000"/>
                <w:sz w:val="22"/>
              </w:rPr>
              <w:t>-технічної, кошторисної документації.</w:t>
            </w:r>
          </w:p>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Проведення тендера на виконання робіт.</w:t>
            </w:r>
          </w:p>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 xml:space="preserve">Реконструкція та відновлення зруйнованої частини будівлі. </w:t>
            </w:r>
          </w:p>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Капітальний ремонт всіх приміщень будівлі:</w:t>
            </w:r>
          </w:p>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 xml:space="preserve">-відбудова зруйнованої частини будівлі; </w:t>
            </w:r>
          </w:p>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-відновлення зовнішніх та внутрішніх стін, плит перекриття, покрівлі;</w:t>
            </w:r>
          </w:p>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 xml:space="preserve">- встановлення вікон, дверей; </w:t>
            </w:r>
          </w:p>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 xml:space="preserve">-відновлення системи водопостачання та водовідведення; </w:t>
            </w:r>
          </w:p>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 xml:space="preserve">-системи електропостачання та освітлення; </w:t>
            </w:r>
          </w:p>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-системи опалення;</w:t>
            </w:r>
          </w:p>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-капітальний ремонт харчоблоку, комори;</w:t>
            </w:r>
          </w:p>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-кабінетів директора, заступника директора з господарства, психолога, вчителя-логопеда, методичного та медичного кабінетів;</w:t>
            </w:r>
          </w:p>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 xml:space="preserve">-музичної та спортивної зал; </w:t>
            </w:r>
          </w:p>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 xml:space="preserve">-групових приміщень, пральні.  </w:t>
            </w:r>
          </w:p>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 xml:space="preserve">Інформаційна кампанія серед населення щодо реалізації </w:t>
            </w:r>
            <w:proofErr w:type="spellStart"/>
            <w:r w:rsidRPr="00B74A55">
              <w:rPr>
                <w:rFonts w:eastAsia="Calibri"/>
                <w:color w:val="000000"/>
                <w:sz w:val="22"/>
              </w:rPr>
              <w:t>проєкту</w:t>
            </w:r>
            <w:proofErr w:type="spellEnd"/>
            <w:r w:rsidRPr="00B74A55">
              <w:rPr>
                <w:rFonts w:eastAsia="Calibri"/>
                <w:color w:val="000000"/>
                <w:sz w:val="22"/>
              </w:rPr>
              <w:t>.</w:t>
            </w:r>
          </w:p>
          <w:p w:rsidR="004479C5" w:rsidRPr="00B74A55" w:rsidRDefault="004479C5" w:rsidP="00CF479C">
            <w:pPr>
              <w:autoSpaceDE w:val="0"/>
              <w:autoSpaceDN w:val="0"/>
              <w:adjustRightInd w:val="0"/>
              <w:rPr>
                <w:sz w:val="22"/>
              </w:rPr>
            </w:pPr>
            <w:r w:rsidRPr="00B74A55">
              <w:rPr>
                <w:sz w:val="22"/>
              </w:rPr>
              <w:t>Введення об’єкту  в експлуатацію.</w:t>
            </w:r>
          </w:p>
        </w:tc>
      </w:tr>
      <w:tr w:rsidR="000818A8" w:rsidRPr="00B74A55" w:rsidTr="004843F9">
        <w:trPr>
          <w:trHeight w:val="354"/>
        </w:trPr>
        <w:tc>
          <w:tcPr>
            <w:tcW w:w="1448" w:type="dxa"/>
            <w:vMerge w:val="restart"/>
            <w:tcBorders>
              <w:top w:val="nil"/>
              <w:left w:val="nil"/>
              <w:right w:val="nil"/>
            </w:tcBorders>
          </w:tcPr>
          <w:p w:rsidR="000818A8" w:rsidRPr="00B74A55" w:rsidRDefault="000818A8" w:rsidP="00CF479C">
            <w:pPr>
              <w:autoSpaceDE w:val="0"/>
              <w:autoSpaceDN w:val="0"/>
              <w:adjustRightInd w:val="0"/>
              <w:jc w:val="right"/>
              <w:rPr>
                <w:rFonts w:eastAsia="Calibri"/>
                <w:color w:val="000000"/>
                <w:sz w:val="22"/>
                <w:szCs w:val="22"/>
              </w:rPr>
            </w:pPr>
          </w:p>
        </w:tc>
        <w:tc>
          <w:tcPr>
            <w:tcW w:w="2977" w:type="dxa"/>
            <w:vMerge w:val="restart"/>
            <w:tcBorders>
              <w:top w:val="single" w:sz="6" w:space="0" w:color="auto"/>
              <w:left w:val="single" w:sz="6" w:space="0" w:color="auto"/>
              <w:bottom w:val="single" w:sz="6" w:space="0" w:color="auto"/>
              <w:right w:val="single" w:sz="4" w:space="0" w:color="auto"/>
            </w:tcBorders>
            <w:shd w:val="clear" w:color="00FFFF" w:fill="C6D9F1" w:themeFill="text2" w:themeFillTint="33"/>
          </w:tcPr>
          <w:p w:rsidR="000818A8" w:rsidRPr="00B74A55" w:rsidRDefault="000818A8" w:rsidP="00CF479C">
            <w:pPr>
              <w:autoSpaceDE w:val="0"/>
              <w:autoSpaceDN w:val="0"/>
              <w:adjustRightInd w:val="0"/>
              <w:rPr>
                <w:rFonts w:eastAsia="Calibri"/>
                <w:b/>
                <w:color w:val="000000"/>
                <w:sz w:val="22"/>
              </w:rPr>
            </w:pPr>
            <w:r w:rsidRPr="00B74A55">
              <w:rPr>
                <w:rFonts w:eastAsia="Calibri"/>
                <w:b/>
                <w:color w:val="000000"/>
                <w:sz w:val="22"/>
              </w:rPr>
              <w:t>Орієнтовний обсяг та джерела фінансування тис. гривень</w:t>
            </w:r>
          </w:p>
        </w:tc>
        <w:tc>
          <w:tcPr>
            <w:tcW w:w="992" w:type="dxa"/>
            <w:vMerge w:val="restart"/>
            <w:tcBorders>
              <w:top w:val="single" w:sz="4" w:space="0" w:color="auto"/>
              <w:left w:val="single" w:sz="4" w:space="0" w:color="auto"/>
              <w:bottom w:val="single" w:sz="4" w:space="0" w:color="auto"/>
              <w:right w:val="single" w:sz="4" w:space="0" w:color="auto"/>
            </w:tcBorders>
          </w:tcPr>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Державний бюджет</w:t>
            </w:r>
          </w:p>
        </w:tc>
        <w:tc>
          <w:tcPr>
            <w:tcW w:w="1134" w:type="dxa"/>
            <w:vMerge w:val="restart"/>
            <w:tcBorders>
              <w:top w:val="single" w:sz="4" w:space="0" w:color="auto"/>
              <w:left w:val="single" w:sz="4" w:space="0" w:color="auto"/>
              <w:right w:val="single" w:sz="4" w:space="0" w:color="auto"/>
            </w:tcBorders>
          </w:tcPr>
          <w:p w:rsidR="000818A8" w:rsidRPr="00B74A55" w:rsidRDefault="000818A8" w:rsidP="00CF479C">
            <w:pPr>
              <w:autoSpaceDE w:val="0"/>
              <w:autoSpaceDN w:val="0"/>
              <w:adjustRightInd w:val="0"/>
              <w:rPr>
                <w:rFonts w:eastAsia="Calibri"/>
                <w:color w:val="000000"/>
                <w:sz w:val="22"/>
              </w:rPr>
            </w:pPr>
            <w:r w:rsidRPr="00B74A55">
              <w:rPr>
                <w:rFonts w:eastAsia="Calibri"/>
                <w:color w:val="000000"/>
                <w:sz w:val="22"/>
              </w:rPr>
              <w:t>Місцевий бюджет</w:t>
            </w:r>
          </w:p>
        </w:tc>
        <w:tc>
          <w:tcPr>
            <w:tcW w:w="3118" w:type="dxa"/>
            <w:gridSpan w:val="4"/>
            <w:tcBorders>
              <w:top w:val="single" w:sz="4" w:space="0" w:color="auto"/>
              <w:left w:val="single" w:sz="4" w:space="0" w:color="auto"/>
              <w:bottom w:val="single" w:sz="4" w:space="0" w:color="auto"/>
              <w:right w:val="single" w:sz="4" w:space="0" w:color="auto"/>
            </w:tcBorders>
          </w:tcPr>
          <w:p w:rsidR="000818A8" w:rsidRPr="00B74A55" w:rsidRDefault="000818A8" w:rsidP="00CF479C">
            <w:pPr>
              <w:autoSpaceDE w:val="0"/>
              <w:autoSpaceDN w:val="0"/>
              <w:adjustRightInd w:val="0"/>
              <w:rPr>
                <w:rFonts w:eastAsia="Calibri"/>
                <w:color w:val="000000"/>
                <w:sz w:val="22"/>
              </w:rPr>
            </w:pPr>
            <w:r w:rsidRPr="00B74A55">
              <w:rPr>
                <w:rFonts w:eastAsia="Calibri"/>
                <w:color w:val="000000"/>
                <w:sz w:val="22"/>
              </w:rPr>
              <w:t>Інші джерела</w:t>
            </w:r>
          </w:p>
        </w:tc>
        <w:tc>
          <w:tcPr>
            <w:tcW w:w="1701" w:type="dxa"/>
            <w:vMerge w:val="restart"/>
            <w:tcBorders>
              <w:top w:val="single" w:sz="4" w:space="0" w:color="auto"/>
              <w:left w:val="single" w:sz="4" w:space="0" w:color="auto"/>
              <w:right w:val="single" w:sz="4" w:space="0" w:color="auto"/>
            </w:tcBorders>
          </w:tcPr>
          <w:p w:rsidR="000818A8" w:rsidRPr="00B74A55" w:rsidRDefault="000818A8" w:rsidP="00CF479C">
            <w:pPr>
              <w:autoSpaceDE w:val="0"/>
              <w:autoSpaceDN w:val="0"/>
              <w:adjustRightInd w:val="0"/>
              <w:rPr>
                <w:rFonts w:eastAsia="Calibri"/>
                <w:color w:val="000000"/>
                <w:sz w:val="22"/>
              </w:rPr>
            </w:pPr>
            <w:r w:rsidRPr="00B74A55">
              <w:rPr>
                <w:rFonts w:eastAsia="Calibri"/>
                <w:color w:val="000000"/>
                <w:sz w:val="22"/>
              </w:rPr>
              <w:t>Всього</w:t>
            </w:r>
          </w:p>
        </w:tc>
      </w:tr>
      <w:tr w:rsidR="000818A8" w:rsidRPr="00B74A55" w:rsidTr="004843F9">
        <w:trPr>
          <w:trHeight w:val="53"/>
        </w:trPr>
        <w:tc>
          <w:tcPr>
            <w:tcW w:w="1448" w:type="dxa"/>
            <w:vMerge/>
            <w:tcBorders>
              <w:left w:val="nil"/>
              <w:right w:val="nil"/>
            </w:tcBorders>
          </w:tcPr>
          <w:p w:rsidR="000818A8" w:rsidRPr="00B74A55" w:rsidRDefault="000818A8" w:rsidP="00CF479C">
            <w:pPr>
              <w:autoSpaceDE w:val="0"/>
              <w:autoSpaceDN w:val="0"/>
              <w:adjustRightInd w:val="0"/>
              <w:jc w:val="right"/>
              <w:rPr>
                <w:rFonts w:eastAsia="Calibri"/>
                <w:color w:val="000000"/>
                <w:sz w:val="22"/>
                <w:szCs w:val="22"/>
              </w:rPr>
            </w:pPr>
          </w:p>
        </w:tc>
        <w:tc>
          <w:tcPr>
            <w:tcW w:w="2977" w:type="dxa"/>
            <w:vMerge/>
            <w:tcBorders>
              <w:left w:val="single" w:sz="6" w:space="0" w:color="auto"/>
              <w:bottom w:val="single" w:sz="6" w:space="0" w:color="auto"/>
              <w:right w:val="single" w:sz="4" w:space="0" w:color="auto"/>
            </w:tcBorders>
            <w:shd w:val="clear" w:color="00FFFF" w:fill="C6D9F1" w:themeFill="text2" w:themeFillTint="33"/>
          </w:tcPr>
          <w:p w:rsidR="000818A8" w:rsidRPr="00B74A55" w:rsidRDefault="000818A8" w:rsidP="00CF479C">
            <w:pPr>
              <w:autoSpaceDE w:val="0"/>
              <w:autoSpaceDN w:val="0"/>
              <w:adjustRightInd w:val="0"/>
              <w:rPr>
                <w:rFonts w:eastAsia="Calibri"/>
                <w:b/>
                <w:color w:val="000000"/>
                <w:sz w:val="22"/>
              </w:rPr>
            </w:pPr>
          </w:p>
        </w:tc>
        <w:tc>
          <w:tcPr>
            <w:tcW w:w="992" w:type="dxa"/>
            <w:vMerge/>
            <w:tcBorders>
              <w:top w:val="single" w:sz="4" w:space="0" w:color="auto"/>
              <w:left w:val="single" w:sz="4" w:space="0" w:color="auto"/>
              <w:bottom w:val="single" w:sz="4" w:space="0" w:color="auto"/>
              <w:right w:val="single" w:sz="4" w:space="0" w:color="auto"/>
            </w:tcBorders>
          </w:tcPr>
          <w:p w:rsidR="000818A8" w:rsidRPr="00B74A55" w:rsidRDefault="000818A8" w:rsidP="00CF479C">
            <w:pPr>
              <w:autoSpaceDE w:val="0"/>
              <w:autoSpaceDN w:val="0"/>
              <w:adjustRightInd w:val="0"/>
              <w:rPr>
                <w:rFonts w:eastAsia="Calibri"/>
                <w:color w:val="000000"/>
                <w:sz w:val="22"/>
              </w:rPr>
            </w:pPr>
          </w:p>
        </w:tc>
        <w:tc>
          <w:tcPr>
            <w:tcW w:w="1134" w:type="dxa"/>
            <w:vMerge/>
            <w:tcBorders>
              <w:left w:val="single" w:sz="4" w:space="0" w:color="auto"/>
              <w:bottom w:val="single" w:sz="4" w:space="0" w:color="auto"/>
              <w:right w:val="single" w:sz="4" w:space="0" w:color="auto"/>
            </w:tcBorders>
          </w:tcPr>
          <w:p w:rsidR="000818A8" w:rsidRPr="00B74A55" w:rsidRDefault="000818A8" w:rsidP="000818A8">
            <w:pPr>
              <w:autoSpaceDE w:val="0"/>
              <w:autoSpaceDN w:val="0"/>
              <w:adjustRightInd w:val="0"/>
              <w:rPr>
                <w:rFonts w:eastAsia="Calibri"/>
                <w:color w:val="000000"/>
                <w:sz w:val="22"/>
              </w:rPr>
            </w:pPr>
          </w:p>
        </w:tc>
        <w:tc>
          <w:tcPr>
            <w:tcW w:w="992" w:type="dxa"/>
            <w:tcBorders>
              <w:top w:val="single" w:sz="4" w:space="0" w:color="auto"/>
              <w:left w:val="single" w:sz="4" w:space="0" w:color="auto"/>
              <w:bottom w:val="single" w:sz="4" w:space="0" w:color="auto"/>
              <w:right w:val="single" w:sz="4" w:space="0" w:color="auto"/>
            </w:tcBorders>
          </w:tcPr>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Обсяг</w:t>
            </w:r>
          </w:p>
        </w:tc>
        <w:tc>
          <w:tcPr>
            <w:tcW w:w="2126" w:type="dxa"/>
            <w:gridSpan w:val="3"/>
            <w:tcBorders>
              <w:top w:val="single" w:sz="4" w:space="0" w:color="auto"/>
              <w:left w:val="single" w:sz="4" w:space="0" w:color="auto"/>
              <w:bottom w:val="single" w:sz="4" w:space="0" w:color="auto"/>
              <w:right w:val="single" w:sz="4" w:space="0" w:color="auto"/>
            </w:tcBorders>
          </w:tcPr>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Назва джерела</w:t>
            </w:r>
          </w:p>
        </w:tc>
        <w:tc>
          <w:tcPr>
            <w:tcW w:w="1701" w:type="dxa"/>
            <w:vMerge/>
            <w:tcBorders>
              <w:left w:val="single" w:sz="4" w:space="0" w:color="auto"/>
              <w:bottom w:val="single" w:sz="4" w:space="0" w:color="auto"/>
              <w:right w:val="single" w:sz="4" w:space="0" w:color="auto"/>
            </w:tcBorders>
          </w:tcPr>
          <w:p w:rsidR="000818A8" w:rsidRPr="00B74A55" w:rsidRDefault="000818A8" w:rsidP="00CF479C">
            <w:pPr>
              <w:autoSpaceDE w:val="0"/>
              <w:autoSpaceDN w:val="0"/>
              <w:adjustRightInd w:val="0"/>
              <w:rPr>
                <w:rFonts w:eastAsia="Calibri"/>
                <w:color w:val="000000"/>
                <w:sz w:val="22"/>
              </w:rPr>
            </w:pPr>
          </w:p>
        </w:tc>
      </w:tr>
      <w:tr w:rsidR="004479C5" w:rsidRPr="00B74A55" w:rsidTr="004843F9">
        <w:trPr>
          <w:trHeight w:val="1335"/>
        </w:trPr>
        <w:tc>
          <w:tcPr>
            <w:tcW w:w="1448" w:type="dxa"/>
            <w:vMerge/>
            <w:tcBorders>
              <w:left w:val="nil"/>
              <w:bottom w:val="nil"/>
              <w:right w:val="nil"/>
            </w:tcBorders>
          </w:tcPr>
          <w:p w:rsidR="004479C5" w:rsidRPr="00B74A55" w:rsidRDefault="004479C5" w:rsidP="00CF479C">
            <w:pPr>
              <w:autoSpaceDE w:val="0"/>
              <w:autoSpaceDN w:val="0"/>
              <w:adjustRightInd w:val="0"/>
              <w:jc w:val="right"/>
              <w:rPr>
                <w:rFonts w:eastAsia="Calibri"/>
                <w:color w:val="000000"/>
                <w:sz w:val="22"/>
                <w:szCs w:val="22"/>
              </w:rPr>
            </w:pPr>
          </w:p>
        </w:tc>
        <w:tc>
          <w:tcPr>
            <w:tcW w:w="2977" w:type="dxa"/>
            <w:vMerge/>
            <w:tcBorders>
              <w:left w:val="single" w:sz="6" w:space="0" w:color="auto"/>
              <w:bottom w:val="single" w:sz="6" w:space="0" w:color="auto"/>
              <w:right w:val="single" w:sz="4" w:space="0" w:color="auto"/>
            </w:tcBorders>
            <w:shd w:val="clear" w:color="00FFFF" w:fill="C6D9F1" w:themeFill="text2" w:themeFillTint="33"/>
          </w:tcPr>
          <w:p w:rsidR="004479C5" w:rsidRPr="00B74A55" w:rsidRDefault="004479C5" w:rsidP="00CF479C">
            <w:pPr>
              <w:autoSpaceDE w:val="0"/>
              <w:autoSpaceDN w:val="0"/>
              <w:adjustRightInd w:val="0"/>
              <w:rPr>
                <w:rFonts w:eastAsia="Calibri"/>
                <w:b/>
                <w:color w:val="000000"/>
                <w:sz w:val="22"/>
              </w:rPr>
            </w:pPr>
          </w:p>
        </w:tc>
        <w:tc>
          <w:tcPr>
            <w:tcW w:w="992" w:type="dxa"/>
            <w:tcBorders>
              <w:top w:val="single" w:sz="4" w:space="0" w:color="auto"/>
              <w:left w:val="single" w:sz="4" w:space="0" w:color="auto"/>
              <w:bottom w:val="single" w:sz="4" w:space="0" w:color="auto"/>
              <w:right w:val="single" w:sz="4" w:space="0" w:color="auto"/>
            </w:tcBorders>
          </w:tcPr>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60000,0</w:t>
            </w:r>
          </w:p>
        </w:tc>
        <w:tc>
          <w:tcPr>
            <w:tcW w:w="1134" w:type="dxa"/>
            <w:tcBorders>
              <w:top w:val="single" w:sz="4" w:space="0" w:color="auto"/>
              <w:left w:val="single" w:sz="4" w:space="0" w:color="auto"/>
              <w:bottom w:val="single" w:sz="4" w:space="0" w:color="auto"/>
              <w:right w:val="single" w:sz="4" w:space="0" w:color="auto"/>
            </w:tcBorders>
          </w:tcPr>
          <w:p w:rsidR="004479C5" w:rsidRPr="00B74A55" w:rsidRDefault="004479C5" w:rsidP="00CF479C">
            <w:pPr>
              <w:autoSpaceDE w:val="0"/>
              <w:autoSpaceDN w:val="0"/>
              <w:adjustRightInd w:val="0"/>
              <w:rPr>
                <w:rFonts w:eastAsia="Calibri"/>
                <w:color w:val="000000"/>
                <w:sz w:val="22"/>
              </w:rPr>
            </w:pPr>
          </w:p>
        </w:tc>
        <w:tc>
          <w:tcPr>
            <w:tcW w:w="992" w:type="dxa"/>
            <w:tcBorders>
              <w:top w:val="single" w:sz="4" w:space="0" w:color="auto"/>
              <w:left w:val="single" w:sz="4" w:space="0" w:color="auto"/>
              <w:bottom w:val="single" w:sz="4" w:space="0" w:color="auto"/>
              <w:right w:val="single" w:sz="4" w:space="0" w:color="auto"/>
            </w:tcBorders>
          </w:tcPr>
          <w:p w:rsidR="004479C5" w:rsidRPr="00B74A55" w:rsidRDefault="000818A8" w:rsidP="00CF479C">
            <w:pPr>
              <w:autoSpaceDE w:val="0"/>
              <w:autoSpaceDN w:val="0"/>
              <w:adjustRightInd w:val="0"/>
              <w:rPr>
                <w:rFonts w:eastAsia="Calibri"/>
                <w:color w:val="000000"/>
                <w:sz w:val="22"/>
              </w:rPr>
            </w:pPr>
            <w:r w:rsidRPr="00B74A55">
              <w:rPr>
                <w:rFonts w:eastAsia="Calibri"/>
                <w:color w:val="000000"/>
                <w:sz w:val="22"/>
              </w:rPr>
              <w:t>140000,0</w:t>
            </w:r>
          </w:p>
        </w:tc>
        <w:tc>
          <w:tcPr>
            <w:tcW w:w="2126" w:type="dxa"/>
            <w:gridSpan w:val="3"/>
            <w:tcBorders>
              <w:top w:val="single" w:sz="4" w:space="0" w:color="auto"/>
              <w:left w:val="single" w:sz="4" w:space="0" w:color="auto"/>
              <w:bottom w:val="single" w:sz="4" w:space="0" w:color="auto"/>
              <w:right w:val="single" w:sz="4" w:space="0" w:color="auto"/>
            </w:tcBorders>
          </w:tcPr>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Міжнародні фонди.</w:t>
            </w:r>
          </w:p>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Міжнародні інвестиції</w:t>
            </w:r>
          </w:p>
          <w:p w:rsidR="004479C5" w:rsidRPr="00B74A55" w:rsidRDefault="004479C5" w:rsidP="00CF479C">
            <w:pPr>
              <w:autoSpaceDE w:val="0"/>
              <w:autoSpaceDN w:val="0"/>
              <w:adjustRightInd w:val="0"/>
              <w:rPr>
                <w:rFonts w:eastAsia="Calibri"/>
                <w:color w:val="000000"/>
                <w:sz w:val="22"/>
              </w:rPr>
            </w:pPr>
          </w:p>
        </w:tc>
        <w:tc>
          <w:tcPr>
            <w:tcW w:w="1701" w:type="dxa"/>
            <w:tcBorders>
              <w:top w:val="single" w:sz="4" w:space="0" w:color="auto"/>
              <w:left w:val="single" w:sz="4" w:space="0" w:color="auto"/>
              <w:bottom w:val="single" w:sz="4" w:space="0" w:color="auto"/>
              <w:right w:val="single" w:sz="4" w:space="0" w:color="auto"/>
            </w:tcBorders>
          </w:tcPr>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200 000,0</w:t>
            </w:r>
          </w:p>
        </w:tc>
      </w:tr>
    </w:tbl>
    <w:p w:rsidR="000818A8" w:rsidRPr="00B74A55" w:rsidRDefault="000818A8" w:rsidP="004479C5">
      <w:pPr>
        <w:spacing w:after="160" w:line="259" w:lineRule="auto"/>
        <w:rPr>
          <w:rFonts w:eastAsia="Calibri"/>
          <w:b/>
          <w:bCs/>
          <w:noProof/>
          <w:sz w:val="22"/>
          <w:szCs w:val="22"/>
        </w:rPr>
      </w:pPr>
      <w:r w:rsidRPr="00B74A55">
        <w:rPr>
          <w:rFonts w:eastAsia="Calibri"/>
          <w:b/>
          <w:bCs/>
          <w:noProof/>
          <w:sz w:val="22"/>
          <w:szCs w:val="22"/>
        </w:rPr>
        <w:br/>
      </w:r>
    </w:p>
    <w:tbl>
      <w:tblPr>
        <w:tblpPr w:leftFromText="180" w:rightFromText="180" w:vertAnchor="text" w:horzAnchor="margin" w:tblpXSpec="center" w:tblpY="168"/>
        <w:tblW w:w="10095" w:type="dxa"/>
        <w:tblLayout w:type="fixed"/>
        <w:tblCellMar>
          <w:left w:w="30" w:type="dxa"/>
          <w:right w:w="30" w:type="dxa"/>
        </w:tblCellMar>
        <w:tblLook w:val="0000" w:firstRow="0" w:lastRow="0" w:firstColumn="0" w:lastColumn="0" w:noHBand="0" w:noVBand="0"/>
      </w:tblPr>
      <w:tblGrid>
        <w:gridCol w:w="3007"/>
        <w:gridCol w:w="1134"/>
        <w:gridCol w:w="992"/>
        <w:gridCol w:w="851"/>
        <w:gridCol w:w="142"/>
        <w:gridCol w:w="1842"/>
        <w:gridCol w:w="426"/>
        <w:gridCol w:w="1585"/>
        <w:gridCol w:w="53"/>
        <w:gridCol w:w="63"/>
      </w:tblGrid>
      <w:tr w:rsidR="000818A8" w:rsidRPr="00B74A55" w:rsidTr="004843F9">
        <w:trPr>
          <w:gridAfter w:val="1"/>
          <w:wAfter w:w="63" w:type="dxa"/>
          <w:trHeight w:val="399"/>
        </w:trPr>
        <w:tc>
          <w:tcPr>
            <w:tcW w:w="3007" w:type="dxa"/>
            <w:tcBorders>
              <w:top w:val="single" w:sz="6" w:space="0" w:color="auto"/>
              <w:left w:val="single" w:sz="6" w:space="0" w:color="auto"/>
              <w:right w:val="single" w:sz="6" w:space="0" w:color="auto"/>
            </w:tcBorders>
            <w:shd w:val="clear" w:color="00FFFF" w:fill="C6D9F1" w:themeFill="text2" w:themeFillTint="33"/>
          </w:tcPr>
          <w:p w:rsidR="000818A8" w:rsidRPr="00B74A55" w:rsidRDefault="000818A8" w:rsidP="000818A8">
            <w:pPr>
              <w:autoSpaceDE w:val="0"/>
              <w:autoSpaceDN w:val="0"/>
              <w:adjustRightInd w:val="0"/>
              <w:rPr>
                <w:rFonts w:eastAsia="Calibri"/>
                <w:b/>
                <w:color w:val="000000"/>
                <w:sz w:val="22"/>
              </w:rPr>
            </w:pPr>
            <w:r w:rsidRPr="00B74A55">
              <w:rPr>
                <w:rFonts w:eastAsia="Calibri"/>
                <w:b/>
                <w:color w:val="000000"/>
                <w:sz w:val="22"/>
              </w:rPr>
              <w:t>Оперативна ціль/завдання</w:t>
            </w:r>
          </w:p>
        </w:tc>
        <w:tc>
          <w:tcPr>
            <w:tcW w:w="7025" w:type="dxa"/>
            <w:gridSpan w:val="8"/>
            <w:tcBorders>
              <w:top w:val="single" w:sz="6" w:space="0" w:color="auto"/>
              <w:left w:val="single" w:sz="6" w:space="0" w:color="auto"/>
              <w:bottom w:val="single" w:sz="6" w:space="0" w:color="auto"/>
              <w:right w:val="single" w:sz="6" w:space="0" w:color="auto"/>
            </w:tcBorders>
          </w:tcPr>
          <w:p w:rsidR="000818A8" w:rsidRPr="00B74A55" w:rsidRDefault="000818A8" w:rsidP="000818A8">
            <w:pPr>
              <w:autoSpaceDE w:val="0"/>
              <w:autoSpaceDN w:val="0"/>
              <w:adjustRightInd w:val="0"/>
              <w:rPr>
                <w:rFonts w:eastAsia="Calibri"/>
                <w:color w:val="000000"/>
                <w:sz w:val="22"/>
              </w:rPr>
            </w:pPr>
            <w:r w:rsidRPr="00B74A55">
              <w:rPr>
                <w:color w:val="222222"/>
                <w:sz w:val="22"/>
                <w:shd w:val="clear" w:color="auto" w:fill="FFFFFF"/>
              </w:rPr>
              <w:t xml:space="preserve">Людський розвиток через інновації управління та довіру до влади. Формування сучасного інклюзивного  </w:t>
            </w:r>
            <w:proofErr w:type="spellStart"/>
            <w:r w:rsidRPr="00B74A55">
              <w:rPr>
                <w:color w:val="222222"/>
                <w:sz w:val="22"/>
                <w:shd w:val="clear" w:color="auto" w:fill="FFFFFF"/>
              </w:rPr>
              <w:t>освітньо</w:t>
            </w:r>
            <w:proofErr w:type="spellEnd"/>
            <w:r w:rsidRPr="00B74A55">
              <w:rPr>
                <w:color w:val="222222"/>
                <w:sz w:val="22"/>
                <w:shd w:val="clear" w:color="auto" w:fill="FFFFFF"/>
              </w:rPr>
              <w:t>-культурного та спортивного простору для розвитку</w:t>
            </w:r>
          </w:p>
        </w:tc>
      </w:tr>
      <w:tr w:rsidR="000818A8" w:rsidRPr="00B74A55" w:rsidTr="004843F9">
        <w:trPr>
          <w:gridAfter w:val="1"/>
          <w:wAfter w:w="63" w:type="dxa"/>
          <w:trHeight w:val="268"/>
        </w:trPr>
        <w:tc>
          <w:tcPr>
            <w:tcW w:w="3007" w:type="dxa"/>
            <w:tcBorders>
              <w:top w:val="single" w:sz="6" w:space="0" w:color="auto"/>
              <w:left w:val="single" w:sz="6" w:space="0" w:color="auto"/>
              <w:right w:val="single" w:sz="6" w:space="0" w:color="auto"/>
            </w:tcBorders>
            <w:shd w:val="clear" w:color="00FFFF" w:fill="C6D9F1" w:themeFill="text2" w:themeFillTint="33"/>
          </w:tcPr>
          <w:p w:rsidR="000818A8" w:rsidRPr="00B74A55" w:rsidRDefault="000818A8" w:rsidP="000818A8">
            <w:pPr>
              <w:autoSpaceDE w:val="0"/>
              <w:autoSpaceDN w:val="0"/>
              <w:adjustRightInd w:val="0"/>
              <w:rPr>
                <w:rFonts w:eastAsia="Calibri"/>
                <w:b/>
                <w:color w:val="000000"/>
                <w:sz w:val="22"/>
              </w:rPr>
            </w:pPr>
            <w:r w:rsidRPr="00B74A55">
              <w:rPr>
                <w:rFonts w:eastAsia="Calibri"/>
                <w:b/>
                <w:color w:val="000000"/>
                <w:sz w:val="22"/>
              </w:rPr>
              <w:lastRenderedPageBreak/>
              <w:t>Назва проекту:</w:t>
            </w:r>
          </w:p>
        </w:tc>
        <w:tc>
          <w:tcPr>
            <w:tcW w:w="7025" w:type="dxa"/>
            <w:gridSpan w:val="8"/>
            <w:tcBorders>
              <w:top w:val="single" w:sz="6" w:space="0" w:color="auto"/>
              <w:left w:val="single" w:sz="6" w:space="0" w:color="auto"/>
              <w:bottom w:val="single" w:sz="6" w:space="0" w:color="auto"/>
              <w:right w:val="single" w:sz="6" w:space="0" w:color="auto"/>
            </w:tcBorders>
          </w:tcPr>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 xml:space="preserve">Відновлення діяльності  Ясел-садка №10 міста Сєвєродонецька Луганської області. </w:t>
            </w:r>
          </w:p>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93400, Луганська область, Сєвєродонецький район, місто Сєвєродонецьк, вулиця Новікова, будинок 13Б.</w:t>
            </w:r>
          </w:p>
        </w:tc>
      </w:tr>
      <w:tr w:rsidR="000818A8" w:rsidRPr="00B74A55" w:rsidTr="004843F9">
        <w:trPr>
          <w:gridAfter w:val="1"/>
          <w:wAfter w:w="63" w:type="dxa"/>
          <w:trHeight w:val="1081"/>
        </w:trPr>
        <w:tc>
          <w:tcPr>
            <w:tcW w:w="3007" w:type="dxa"/>
            <w:tcBorders>
              <w:top w:val="single" w:sz="6" w:space="0" w:color="auto"/>
              <w:left w:val="single" w:sz="6" w:space="0" w:color="auto"/>
              <w:right w:val="single" w:sz="6" w:space="0" w:color="auto"/>
            </w:tcBorders>
            <w:shd w:val="clear" w:color="00FFFF" w:fill="C6D9F1" w:themeFill="text2" w:themeFillTint="33"/>
          </w:tcPr>
          <w:p w:rsidR="000818A8" w:rsidRPr="00B74A55" w:rsidRDefault="000818A8" w:rsidP="000818A8">
            <w:pPr>
              <w:autoSpaceDE w:val="0"/>
              <w:autoSpaceDN w:val="0"/>
              <w:adjustRightInd w:val="0"/>
              <w:rPr>
                <w:rFonts w:eastAsia="Calibri"/>
                <w:b/>
                <w:color w:val="000000"/>
                <w:sz w:val="22"/>
              </w:rPr>
            </w:pPr>
            <w:r w:rsidRPr="00B74A55">
              <w:rPr>
                <w:rFonts w:eastAsia="Calibri"/>
                <w:b/>
                <w:color w:val="000000"/>
                <w:sz w:val="22"/>
              </w:rPr>
              <w:t>Ціль проекту</w:t>
            </w:r>
          </w:p>
        </w:tc>
        <w:tc>
          <w:tcPr>
            <w:tcW w:w="7025" w:type="dxa"/>
            <w:gridSpan w:val="8"/>
            <w:tcBorders>
              <w:top w:val="single" w:sz="6" w:space="0" w:color="auto"/>
              <w:left w:val="single" w:sz="6" w:space="0" w:color="auto"/>
              <w:bottom w:val="single" w:sz="6" w:space="0" w:color="auto"/>
              <w:right w:val="single" w:sz="6" w:space="0" w:color="auto"/>
            </w:tcBorders>
          </w:tcPr>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Створення сучасної матеріально-технічної бази закладу.</w:t>
            </w:r>
            <w:r w:rsidRPr="00B74A55">
              <w:rPr>
                <w:sz w:val="22"/>
              </w:rPr>
              <w:t xml:space="preserve"> Покращення умов доступності ЗДО для дітей з ООП, дітей з інвалідністю.</w:t>
            </w:r>
            <w:r w:rsidRPr="00B74A55">
              <w:rPr>
                <w:rFonts w:eastAsia="Calibri"/>
                <w:color w:val="000000"/>
                <w:sz w:val="22"/>
              </w:rPr>
              <w:t xml:space="preserve"> Створення умов для медико-психологічного супроводу та </w:t>
            </w:r>
            <w:proofErr w:type="spellStart"/>
            <w:r w:rsidRPr="00B74A55">
              <w:rPr>
                <w:rFonts w:eastAsia="Calibri"/>
                <w:color w:val="000000"/>
                <w:sz w:val="22"/>
              </w:rPr>
              <w:t>здоров'язбереження</w:t>
            </w:r>
            <w:proofErr w:type="spellEnd"/>
            <w:r w:rsidRPr="00B74A55">
              <w:rPr>
                <w:rFonts w:eastAsia="Calibri"/>
                <w:color w:val="000000"/>
                <w:sz w:val="22"/>
              </w:rPr>
              <w:t xml:space="preserve"> дітей.  Оснащення медичного, методичного кабінетів; кабінетів практичного психолога, вчителя-логопеда, заступника директора з господарства, музичної і спортивної зали, групових кімнат Ясел-садка №10 міста Сєвєродонецька  Луганської  області.</w:t>
            </w:r>
          </w:p>
        </w:tc>
      </w:tr>
      <w:tr w:rsidR="000818A8" w:rsidRPr="00B74A55" w:rsidTr="004843F9">
        <w:trPr>
          <w:gridAfter w:val="1"/>
          <w:wAfter w:w="63" w:type="dxa"/>
          <w:trHeight w:val="283"/>
        </w:trPr>
        <w:tc>
          <w:tcPr>
            <w:tcW w:w="3007" w:type="dxa"/>
            <w:tcBorders>
              <w:top w:val="single" w:sz="6" w:space="0" w:color="auto"/>
              <w:left w:val="single" w:sz="6" w:space="0" w:color="auto"/>
              <w:right w:val="single" w:sz="6" w:space="0" w:color="auto"/>
            </w:tcBorders>
            <w:shd w:val="clear" w:color="00FFFF" w:fill="C6D9F1" w:themeFill="text2" w:themeFillTint="33"/>
          </w:tcPr>
          <w:p w:rsidR="000818A8" w:rsidRPr="00B74A55" w:rsidRDefault="000818A8" w:rsidP="000818A8">
            <w:pPr>
              <w:autoSpaceDE w:val="0"/>
              <w:autoSpaceDN w:val="0"/>
              <w:adjustRightInd w:val="0"/>
              <w:rPr>
                <w:rFonts w:eastAsia="Calibri"/>
                <w:b/>
                <w:color w:val="000000"/>
                <w:sz w:val="22"/>
              </w:rPr>
            </w:pPr>
            <w:r w:rsidRPr="00B74A55">
              <w:rPr>
                <w:rFonts w:eastAsia="Calibri"/>
                <w:b/>
                <w:color w:val="000000"/>
                <w:sz w:val="22"/>
              </w:rPr>
              <w:t>Територія, на яку матиме вплив реалізація проекту</w:t>
            </w:r>
          </w:p>
        </w:tc>
        <w:tc>
          <w:tcPr>
            <w:tcW w:w="7025" w:type="dxa"/>
            <w:gridSpan w:val="8"/>
            <w:tcBorders>
              <w:top w:val="single" w:sz="6" w:space="0" w:color="auto"/>
              <w:left w:val="single" w:sz="6" w:space="0" w:color="auto"/>
              <w:bottom w:val="single" w:sz="6" w:space="0" w:color="auto"/>
              <w:right w:val="single" w:sz="6" w:space="0" w:color="auto"/>
            </w:tcBorders>
          </w:tcPr>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Сєвєродонецька міська територіальна громада</w:t>
            </w:r>
          </w:p>
        </w:tc>
      </w:tr>
      <w:tr w:rsidR="000818A8" w:rsidRPr="00B74A55" w:rsidTr="004843F9">
        <w:trPr>
          <w:gridAfter w:val="1"/>
          <w:wAfter w:w="63" w:type="dxa"/>
          <w:trHeight w:val="825"/>
        </w:trPr>
        <w:tc>
          <w:tcPr>
            <w:tcW w:w="3007" w:type="dxa"/>
            <w:tcBorders>
              <w:top w:val="single" w:sz="6" w:space="0" w:color="auto"/>
              <w:left w:val="single" w:sz="6" w:space="0" w:color="auto"/>
              <w:right w:val="single" w:sz="6" w:space="0" w:color="auto"/>
            </w:tcBorders>
            <w:shd w:val="clear" w:color="00FFFF" w:fill="C6D9F1" w:themeFill="text2" w:themeFillTint="33"/>
          </w:tcPr>
          <w:p w:rsidR="000818A8" w:rsidRPr="00B74A55" w:rsidRDefault="000818A8" w:rsidP="000818A8">
            <w:pPr>
              <w:autoSpaceDE w:val="0"/>
              <w:autoSpaceDN w:val="0"/>
              <w:adjustRightInd w:val="0"/>
              <w:rPr>
                <w:rFonts w:eastAsia="Calibri"/>
                <w:b/>
                <w:color w:val="000000"/>
                <w:sz w:val="22"/>
              </w:rPr>
            </w:pPr>
            <w:r w:rsidRPr="00B74A55">
              <w:rPr>
                <w:rFonts w:eastAsia="Calibri"/>
                <w:b/>
                <w:color w:val="000000"/>
                <w:sz w:val="22"/>
              </w:rPr>
              <w:t>Чисельність населення, на яке матиме вплив реалізація проекту</w:t>
            </w:r>
          </w:p>
        </w:tc>
        <w:tc>
          <w:tcPr>
            <w:tcW w:w="7025" w:type="dxa"/>
            <w:gridSpan w:val="8"/>
            <w:tcBorders>
              <w:top w:val="single" w:sz="6" w:space="0" w:color="auto"/>
              <w:left w:val="single" w:sz="6" w:space="0" w:color="auto"/>
              <w:bottom w:val="single" w:sz="6" w:space="0" w:color="auto"/>
              <w:right w:val="single" w:sz="6" w:space="0" w:color="auto"/>
            </w:tcBorders>
          </w:tcPr>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70 000 осіб</w:t>
            </w:r>
          </w:p>
        </w:tc>
      </w:tr>
      <w:tr w:rsidR="000818A8" w:rsidRPr="00B74A55" w:rsidTr="004843F9">
        <w:trPr>
          <w:gridAfter w:val="1"/>
          <w:wAfter w:w="63" w:type="dxa"/>
          <w:trHeight w:val="1230"/>
        </w:trPr>
        <w:tc>
          <w:tcPr>
            <w:tcW w:w="3007" w:type="dxa"/>
            <w:tcBorders>
              <w:top w:val="single" w:sz="6" w:space="0" w:color="auto"/>
              <w:left w:val="single" w:sz="6" w:space="0" w:color="auto"/>
              <w:right w:val="single" w:sz="6" w:space="0" w:color="auto"/>
            </w:tcBorders>
            <w:shd w:val="clear" w:color="00FFFF" w:fill="C6D9F1" w:themeFill="text2" w:themeFillTint="33"/>
          </w:tcPr>
          <w:p w:rsidR="000818A8" w:rsidRPr="00B74A55" w:rsidRDefault="000818A8" w:rsidP="000818A8">
            <w:pPr>
              <w:autoSpaceDE w:val="0"/>
              <w:autoSpaceDN w:val="0"/>
              <w:adjustRightInd w:val="0"/>
              <w:rPr>
                <w:rFonts w:eastAsia="Calibri"/>
                <w:b/>
                <w:color w:val="000000"/>
                <w:sz w:val="22"/>
              </w:rPr>
            </w:pPr>
            <w:r w:rsidRPr="00B74A55">
              <w:rPr>
                <w:rFonts w:eastAsia="Calibri"/>
                <w:b/>
                <w:color w:val="000000"/>
                <w:sz w:val="22"/>
              </w:rPr>
              <w:t>Опис проблеми, на вирішення якої спрямований проект</w:t>
            </w:r>
          </w:p>
        </w:tc>
        <w:tc>
          <w:tcPr>
            <w:tcW w:w="7025" w:type="dxa"/>
            <w:gridSpan w:val="8"/>
            <w:tcBorders>
              <w:top w:val="single" w:sz="6" w:space="0" w:color="auto"/>
              <w:left w:val="single" w:sz="6" w:space="0" w:color="auto"/>
              <w:bottom w:val="single" w:sz="6" w:space="0" w:color="auto"/>
              <w:right w:val="single" w:sz="6" w:space="0" w:color="auto"/>
            </w:tcBorders>
          </w:tcPr>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 xml:space="preserve">Через військову агресію </w:t>
            </w:r>
            <w:r w:rsidR="00171225" w:rsidRPr="00B74A55">
              <w:rPr>
                <w:rFonts w:eastAsia="Calibri"/>
                <w:color w:val="000000"/>
                <w:sz w:val="22"/>
              </w:rPr>
              <w:t>Р</w:t>
            </w:r>
            <w:r w:rsidRPr="00B74A55">
              <w:rPr>
                <w:rFonts w:eastAsia="Calibri"/>
                <w:color w:val="000000"/>
                <w:sz w:val="22"/>
              </w:rPr>
              <w:t xml:space="preserve">осійської  </w:t>
            </w:r>
            <w:r w:rsidR="00171225" w:rsidRPr="00B74A55">
              <w:rPr>
                <w:rFonts w:eastAsia="Calibri"/>
                <w:color w:val="000000"/>
                <w:sz w:val="22"/>
              </w:rPr>
              <w:t>Ф</w:t>
            </w:r>
            <w:r w:rsidRPr="00B74A55">
              <w:rPr>
                <w:rFonts w:eastAsia="Calibri"/>
                <w:color w:val="000000"/>
                <w:sz w:val="22"/>
              </w:rPr>
              <w:t>едерації територія Сєвєродонецької міської територіальної  громади зазнала значних пошкоджень. Не оминуло це і Ясла-садок № 10</w:t>
            </w:r>
            <w:r w:rsidR="00171225" w:rsidRPr="00B74A55">
              <w:rPr>
                <w:rFonts w:eastAsia="Calibri"/>
                <w:color w:val="000000"/>
                <w:sz w:val="22"/>
              </w:rPr>
              <w:t>,</w:t>
            </w:r>
            <w:r w:rsidRPr="00B74A55">
              <w:rPr>
                <w:rFonts w:eastAsia="Calibri"/>
                <w:color w:val="000000"/>
                <w:sz w:val="22"/>
              </w:rPr>
              <w:t xml:space="preserve"> а саме: руйнування та пошкодження освітньої інфраструктури ЗДО, втрата матеріально-технічної бази: комп'ютерів, ноутбуків, інтерактивної дошки, </w:t>
            </w:r>
            <w:proofErr w:type="spellStart"/>
            <w:r w:rsidRPr="00B74A55">
              <w:rPr>
                <w:rFonts w:eastAsia="Calibri"/>
                <w:color w:val="000000"/>
                <w:sz w:val="22"/>
              </w:rPr>
              <w:t>проєкторів</w:t>
            </w:r>
            <w:proofErr w:type="spellEnd"/>
            <w:r w:rsidRPr="00B74A55">
              <w:rPr>
                <w:rFonts w:eastAsia="Calibri"/>
                <w:color w:val="000000"/>
                <w:sz w:val="22"/>
              </w:rPr>
              <w:t xml:space="preserve">, принтерів, музичних </w:t>
            </w:r>
            <w:proofErr w:type="spellStart"/>
            <w:r w:rsidRPr="00B74A55">
              <w:rPr>
                <w:rFonts w:eastAsia="Calibri"/>
                <w:color w:val="000000"/>
                <w:sz w:val="22"/>
              </w:rPr>
              <w:t>цетрів</w:t>
            </w:r>
            <w:proofErr w:type="spellEnd"/>
            <w:r w:rsidRPr="00B74A55">
              <w:rPr>
                <w:rFonts w:eastAsia="Calibri"/>
                <w:color w:val="000000"/>
                <w:sz w:val="22"/>
              </w:rPr>
              <w:t>, автономної акустичної системи, наочних посібників, методичної літератури, дидактичних матеріалів, меблів, спортивного, музичного інвентарю та обладнання, медичного обладнання тощо</w:t>
            </w:r>
          </w:p>
        </w:tc>
      </w:tr>
      <w:tr w:rsidR="000818A8" w:rsidRPr="00B74A55" w:rsidTr="004843F9">
        <w:trPr>
          <w:gridAfter w:val="1"/>
          <w:wAfter w:w="63" w:type="dxa"/>
          <w:trHeight w:val="1234"/>
        </w:trPr>
        <w:tc>
          <w:tcPr>
            <w:tcW w:w="3007" w:type="dxa"/>
            <w:tcBorders>
              <w:top w:val="single" w:sz="6" w:space="0" w:color="auto"/>
              <w:left w:val="single" w:sz="6" w:space="0" w:color="auto"/>
              <w:right w:val="single" w:sz="6" w:space="0" w:color="auto"/>
            </w:tcBorders>
            <w:shd w:val="clear" w:color="00FFFF" w:fill="C6D9F1" w:themeFill="text2" w:themeFillTint="33"/>
          </w:tcPr>
          <w:p w:rsidR="000818A8" w:rsidRPr="00B74A55" w:rsidRDefault="000818A8" w:rsidP="000818A8">
            <w:pPr>
              <w:autoSpaceDE w:val="0"/>
              <w:autoSpaceDN w:val="0"/>
              <w:adjustRightInd w:val="0"/>
              <w:rPr>
                <w:rFonts w:eastAsia="Calibri"/>
                <w:b/>
                <w:color w:val="000000"/>
                <w:sz w:val="22"/>
              </w:rPr>
            </w:pPr>
            <w:r w:rsidRPr="00B74A55">
              <w:rPr>
                <w:rFonts w:eastAsia="Calibri"/>
                <w:b/>
                <w:color w:val="000000"/>
                <w:sz w:val="22"/>
              </w:rPr>
              <w:t>Очікувані якісні результати від реалізації проекту</w:t>
            </w:r>
          </w:p>
        </w:tc>
        <w:tc>
          <w:tcPr>
            <w:tcW w:w="7025" w:type="dxa"/>
            <w:gridSpan w:val="8"/>
            <w:tcBorders>
              <w:top w:val="single" w:sz="6" w:space="0" w:color="auto"/>
              <w:left w:val="single" w:sz="6" w:space="0" w:color="auto"/>
              <w:bottom w:val="single" w:sz="6" w:space="0" w:color="auto"/>
              <w:right w:val="single" w:sz="6" w:space="0" w:color="auto"/>
            </w:tcBorders>
          </w:tcPr>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 xml:space="preserve">Створення матеріально-технічної бази, належних умов для відновлення освітнього процесу в ЗДО відповідно до вимог діючого законодавства, що сприятимуть особистісному зростанню, розвитку професійної компетентності та педагогічної майстерності, реалізації цифрової компетентності, створенню умов для медико-психологічного супроводу та </w:t>
            </w:r>
            <w:proofErr w:type="spellStart"/>
            <w:r w:rsidRPr="00B74A55">
              <w:rPr>
                <w:rFonts w:eastAsia="Calibri"/>
                <w:color w:val="000000"/>
                <w:sz w:val="22"/>
              </w:rPr>
              <w:t>здоров'язбереження</w:t>
            </w:r>
            <w:proofErr w:type="spellEnd"/>
            <w:r w:rsidRPr="00B74A55">
              <w:rPr>
                <w:rFonts w:eastAsia="Calibri"/>
                <w:color w:val="000000"/>
                <w:sz w:val="22"/>
              </w:rPr>
              <w:t xml:space="preserve"> дітей, особистісного розвитку та творчої самореалізації здобувачів освіти.</w:t>
            </w:r>
          </w:p>
        </w:tc>
      </w:tr>
      <w:tr w:rsidR="000818A8" w:rsidRPr="00B74A55" w:rsidTr="004843F9">
        <w:trPr>
          <w:gridAfter w:val="2"/>
          <w:wAfter w:w="116" w:type="dxa"/>
          <w:trHeight w:val="567"/>
        </w:trPr>
        <w:tc>
          <w:tcPr>
            <w:tcW w:w="3007" w:type="dxa"/>
            <w:tcBorders>
              <w:top w:val="single" w:sz="6" w:space="0" w:color="auto"/>
              <w:left w:val="single" w:sz="6" w:space="0" w:color="auto"/>
              <w:right w:val="single" w:sz="6" w:space="0" w:color="auto"/>
            </w:tcBorders>
            <w:shd w:val="clear" w:color="00FFFF" w:fill="C6D9F1" w:themeFill="text2" w:themeFillTint="33"/>
          </w:tcPr>
          <w:p w:rsidR="000818A8" w:rsidRPr="00B74A55" w:rsidRDefault="000818A8" w:rsidP="000818A8">
            <w:pPr>
              <w:autoSpaceDE w:val="0"/>
              <w:autoSpaceDN w:val="0"/>
              <w:adjustRightInd w:val="0"/>
              <w:rPr>
                <w:rFonts w:eastAsia="Calibri"/>
                <w:b/>
                <w:color w:val="000000"/>
                <w:sz w:val="22"/>
              </w:rPr>
            </w:pPr>
            <w:r w:rsidRPr="00B74A55">
              <w:rPr>
                <w:rFonts w:eastAsia="Calibri"/>
                <w:b/>
                <w:color w:val="000000"/>
                <w:sz w:val="22"/>
              </w:rPr>
              <w:t>Очікувані кількісні результати від реалізації проекту  (індикатори)</w:t>
            </w:r>
          </w:p>
        </w:tc>
        <w:tc>
          <w:tcPr>
            <w:tcW w:w="2977" w:type="dxa"/>
            <w:gridSpan w:val="3"/>
            <w:tcBorders>
              <w:top w:val="single" w:sz="6" w:space="0" w:color="auto"/>
              <w:left w:val="single" w:sz="6" w:space="0" w:color="auto"/>
              <w:bottom w:val="single" w:sz="6" w:space="0" w:color="auto"/>
              <w:right w:val="single" w:sz="6" w:space="0" w:color="auto"/>
            </w:tcBorders>
          </w:tcPr>
          <w:p w:rsidR="000818A8" w:rsidRPr="00B74A55" w:rsidRDefault="000818A8" w:rsidP="000818A8">
            <w:pPr>
              <w:autoSpaceDE w:val="0"/>
              <w:autoSpaceDN w:val="0"/>
              <w:adjustRightInd w:val="0"/>
              <w:rPr>
                <w:rFonts w:eastAsia="Calibri"/>
                <w:b/>
                <w:color w:val="000000"/>
                <w:sz w:val="22"/>
              </w:rPr>
            </w:pPr>
            <w:r w:rsidRPr="00B74A55">
              <w:rPr>
                <w:rFonts w:eastAsia="Calibri"/>
                <w:b/>
                <w:color w:val="000000"/>
                <w:sz w:val="22"/>
              </w:rPr>
              <w:t>Найменування показника</w:t>
            </w:r>
          </w:p>
        </w:tc>
        <w:tc>
          <w:tcPr>
            <w:tcW w:w="1984" w:type="dxa"/>
            <w:gridSpan w:val="2"/>
            <w:tcBorders>
              <w:top w:val="single" w:sz="6" w:space="0" w:color="auto"/>
              <w:left w:val="single" w:sz="6" w:space="0" w:color="auto"/>
              <w:bottom w:val="single" w:sz="6" w:space="0" w:color="auto"/>
              <w:right w:val="single" w:sz="6" w:space="0" w:color="auto"/>
            </w:tcBorders>
          </w:tcPr>
          <w:p w:rsidR="000818A8" w:rsidRPr="00B74A55" w:rsidRDefault="000818A8" w:rsidP="000818A8">
            <w:pPr>
              <w:autoSpaceDE w:val="0"/>
              <w:autoSpaceDN w:val="0"/>
              <w:adjustRightInd w:val="0"/>
              <w:rPr>
                <w:rFonts w:eastAsia="Calibri"/>
                <w:b/>
                <w:color w:val="000000"/>
                <w:sz w:val="22"/>
              </w:rPr>
            </w:pPr>
            <w:r w:rsidRPr="00B74A55">
              <w:rPr>
                <w:rFonts w:eastAsia="Calibri"/>
                <w:b/>
                <w:color w:val="000000"/>
                <w:sz w:val="22"/>
              </w:rPr>
              <w:t>Одиниця вимірювання</w:t>
            </w:r>
          </w:p>
        </w:tc>
        <w:tc>
          <w:tcPr>
            <w:tcW w:w="2011" w:type="dxa"/>
            <w:gridSpan w:val="2"/>
            <w:tcBorders>
              <w:top w:val="single" w:sz="6" w:space="0" w:color="auto"/>
              <w:left w:val="single" w:sz="6" w:space="0" w:color="auto"/>
              <w:bottom w:val="single" w:sz="6" w:space="0" w:color="auto"/>
              <w:right w:val="single" w:sz="6" w:space="0" w:color="auto"/>
            </w:tcBorders>
          </w:tcPr>
          <w:p w:rsidR="000818A8" w:rsidRPr="00B74A55" w:rsidRDefault="000818A8" w:rsidP="000818A8">
            <w:pPr>
              <w:autoSpaceDE w:val="0"/>
              <w:autoSpaceDN w:val="0"/>
              <w:adjustRightInd w:val="0"/>
              <w:rPr>
                <w:rFonts w:eastAsia="Calibri"/>
                <w:b/>
                <w:color w:val="000000"/>
                <w:sz w:val="22"/>
              </w:rPr>
            </w:pPr>
            <w:r w:rsidRPr="00B74A55">
              <w:rPr>
                <w:rFonts w:eastAsia="Calibri"/>
                <w:b/>
                <w:color w:val="000000"/>
                <w:sz w:val="22"/>
              </w:rPr>
              <w:t>Прогнозне (цільове) значення</w:t>
            </w:r>
          </w:p>
        </w:tc>
      </w:tr>
      <w:tr w:rsidR="000818A8" w:rsidRPr="00B74A55" w:rsidTr="004843F9">
        <w:trPr>
          <w:gridAfter w:val="2"/>
          <w:wAfter w:w="116" w:type="dxa"/>
          <w:trHeight w:val="1040"/>
        </w:trPr>
        <w:tc>
          <w:tcPr>
            <w:tcW w:w="3007" w:type="dxa"/>
            <w:tcBorders>
              <w:top w:val="single" w:sz="6" w:space="0" w:color="auto"/>
              <w:left w:val="single" w:sz="6" w:space="0" w:color="auto"/>
              <w:right w:val="single" w:sz="6" w:space="0" w:color="auto"/>
            </w:tcBorders>
            <w:shd w:val="clear" w:color="00FFFF" w:fill="C6D9F1" w:themeFill="text2" w:themeFillTint="33"/>
          </w:tcPr>
          <w:p w:rsidR="000818A8" w:rsidRPr="00B74A55" w:rsidRDefault="000818A8" w:rsidP="000818A8">
            <w:pPr>
              <w:autoSpaceDE w:val="0"/>
              <w:autoSpaceDN w:val="0"/>
              <w:adjustRightInd w:val="0"/>
              <w:rPr>
                <w:rFonts w:eastAsia="Calibri"/>
                <w:b/>
                <w:color w:val="000000"/>
                <w:sz w:val="22"/>
              </w:rPr>
            </w:pPr>
          </w:p>
        </w:tc>
        <w:tc>
          <w:tcPr>
            <w:tcW w:w="2977" w:type="dxa"/>
            <w:gridSpan w:val="3"/>
            <w:tcBorders>
              <w:top w:val="single" w:sz="6" w:space="0" w:color="auto"/>
              <w:left w:val="single" w:sz="6" w:space="0" w:color="auto"/>
              <w:bottom w:val="single" w:sz="6" w:space="0" w:color="auto"/>
              <w:right w:val="single" w:sz="6" w:space="0" w:color="auto"/>
            </w:tcBorders>
          </w:tcPr>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 кількість дітей у закладі</w:t>
            </w:r>
          </w:p>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 кількість батьків або осіб, які їх замінюють;</w:t>
            </w:r>
          </w:p>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 кількість працівників закладу.</w:t>
            </w:r>
          </w:p>
        </w:tc>
        <w:tc>
          <w:tcPr>
            <w:tcW w:w="1984" w:type="dxa"/>
            <w:gridSpan w:val="2"/>
            <w:tcBorders>
              <w:top w:val="single" w:sz="6" w:space="0" w:color="auto"/>
              <w:left w:val="single" w:sz="6" w:space="0" w:color="auto"/>
              <w:bottom w:val="single" w:sz="6" w:space="0" w:color="auto"/>
              <w:right w:val="single" w:sz="6" w:space="0" w:color="auto"/>
            </w:tcBorders>
          </w:tcPr>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осіб</w:t>
            </w:r>
          </w:p>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осіб</w:t>
            </w:r>
          </w:p>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 xml:space="preserve"> </w:t>
            </w:r>
          </w:p>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осіб</w:t>
            </w:r>
          </w:p>
        </w:tc>
        <w:tc>
          <w:tcPr>
            <w:tcW w:w="2011" w:type="dxa"/>
            <w:gridSpan w:val="2"/>
            <w:tcBorders>
              <w:top w:val="single" w:sz="6" w:space="0" w:color="auto"/>
              <w:left w:val="single" w:sz="6" w:space="0" w:color="auto"/>
              <w:bottom w:val="single" w:sz="6" w:space="0" w:color="auto"/>
              <w:right w:val="single" w:sz="6" w:space="0" w:color="auto"/>
            </w:tcBorders>
          </w:tcPr>
          <w:p w:rsidR="000818A8" w:rsidRPr="00B74A55" w:rsidRDefault="000818A8" w:rsidP="000818A8">
            <w:pPr>
              <w:autoSpaceDE w:val="0"/>
              <w:autoSpaceDN w:val="0"/>
              <w:adjustRightInd w:val="0"/>
              <w:rPr>
                <w:rFonts w:eastAsia="Calibri"/>
                <w:sz w:val="22"/>
              </w:rPr>
            </w:pPr>
            <w:r w:rsidRPr="00B74A55">
              <w:rPr>
                <w:rFonts w:eastAsia="Calibri"/>
                <w:sz w:val="22"/>
              </w:rPr>
              <w:t>240</w:t>
            </w:r>
          </w:p>
          <w:p w:rsidR="000818A8" w:rsidRPr="00B74A55" w:rsidRDefault="000818A8" w:rsidP="000818A8">
            <w:pPr>
              <w:autoSpaceDE w:val="0"/>
              <w:autoSpaceDN w:val="0"/>
              <w:adjustRightInd w:val="0"/>
              <w:rPr>
                <w:rFonts w:eastAsia="Calibri"/>
                <w:sz w:val="22"/>
              </w:rPr>
            </w:pPr>
            <w:r w:rsidRPr="00B74A55">
              <w:rPr>
                <w:rFonts w:eastAsia="Calibri"/>
                <w:sz w:val="22"/>
              </w:rPr>
              <w:t>480</w:t>
            </w:r>
          </w:p>
          <w:p w:rsidR="000818A8" w:rsidRPr="00B74A55" w:rsidRDefault="000818A8" w:rsidP="000818A8">
            <w:pPr>
              <w:autoSpaceDE w:val="0"/>
              <w:autoSpaceDN w:val="0"/>
              <w:adjustRightInd w:val="0"/>
              <w:rPr>
                <w:rFonts w:eastAsia="Calibri"/>
                <w:sz w:val="22"/>
              </w:rPr>
            </w:pPr>
          </w:p>
          <w:p w:rsidR="000818A8" w:rsidRPr="00B74A55" w:rsidRDefault="000818A8" w:rsidP="000818A8">
            <w:pPr>
              <w:autoSpaceDE w:val="0"/>
              <w:autoSpaceDN w:val="0"/>
              <w:adjustRightInd w:val="0"/>
              <w:rPr>
                <w:rFonts w:eastAsia="Calibri"/>
                <w:sz w:val="22"/>
              </w:rPr>
            </w:pPr>
            <w:r w:rsidRPr="00B74A55">
              <w:rPr>
                <w:rFonts w:eastAsia="Calibri"/>
                <w:sz w:val="22"/>
              </w:rPr>
              <w:t>60</w:t>
            </w:r>
          </w:p>
        </w:tc>
      </w:tr>
      <w:tr w:rsidR="000818A8" w:rsidRPr="00B74A55" w:rsidTr="004843F9">
        <w:trPr>
          <w:gridAfter w:val="1"/>
          <w:wAfter w:w="63" w:type="dxa"/>
          <w:trHeight w:val="821"/>
        </w:trPr>
        <w:tc>
          <w:tcPr>
            <w:tcW w:w="3007" w:type="dxa"/>
            <w:tcBorders>
              <w:top w:val="single" w:sz="6" w:space="0" w:color="auto"/>
              <w:left w:val="single" w:sz="6" w:space="0" w:color="auto"/>
              <w:bottom w:val="single" w:sz="4" w:space="0" w:color="auto"/>
              <w:right w:val="single" w:sz="6" w:space="0" w:color="auto"/>
            </w:tcBorders>
            <w:shd w:val="clear" w:color="00FFFF" w:fill="C6D9F1" w:themeFill="text2" w:themeFillTint="33"/>
          </w:tcPr>
          <w:p w:rsidR="000818A8" w:rsidRPr="00B74A55" w:rsidRDefault="000818A8" w:rsidP="000818A8">
            <w:pPr>
              <w:autoSpaceDE w:val="0"/>
              <w:autoSpaceDN w:val="0"/>
              <w:adjustRightInd w:val="0"/>
              <w:rPr>
                <w:rFonts w:eastAsia="Calibri"/>
                <w:b/>
                <w:color w:val="000000"/>
                <w:sz w:val="22"/>
              </w:rPr>
            </w:pPr>
            <w:r w:rsidRPr="00B74A55">
              <w:rPr>
                <w:rFonts w:eastAsia="Calibri"/>
                <w:b/>
                <w:color w:val="000000"/>
                <w:sz w:val="22"/>
              </w:rPr>
              <w:t>Ключові заходи проекту:</w:t>
            </w:r>
          </w:p>
        </w:tc>
        <w:tc>
          <w:tcPr>
            <w:tcW w:w="7025" w:type="dxa"/>
            <w:gridSpan w:val="8"/>
            <w:tcBorders>
              <w:top w:val="single" w:sz="6" w:space="0" w:color="auto"/>
              <w:left w:val="single" w:sz="6" w:space="0" w:color="auto"/>
              <w:bottom w:val="single" w:sz="6" w:space="0" w:color="auto"/>
              <w:right w:val="single" w:sz="6" w:space="0" w:color="auto"/>
            </w:tcBorders>
          </w:tcPr>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 xml:space="preserve"> Проведення моніторингу матеріально-технічного стану закладу. Розробка плану відновлення матеріально-технічного оснащення садка.  Визначення кількісних, якісних, технічних характеристик необхідного матеріально-технічного оснащення освітнього процесу в ЗДО. </w:t>
            </w:r>
          </w:p>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 xml:space="preserve">Вивчення ринкових пропозицій щодо вартості необхідних </w:t>
            </w:r>
            <w:proofErr w:type="spellStart"/>
            <w:r w:rsidRPr="00B74A55">
              <w:rPr>
                <w:rFonts w:eastAsia="Calibri"/>
                <w:color w:val="000000"/>
                <w:sz w:val="22"/>
              </w:rPr>
              <w:t>закупівель</w:t>
            </w:r>
            <w:proofErr w:type="spellEnd"/>
            <w:r w:rsidRPr="00B74A55">
              <w:rPr>
                <w:rFonts w:eastAsia="Calibri"/>
                <w:color w:val="000000"/>
                <w:sz w:val="22"/>
              </w:rPr>
              <w:t xml:space="preserve">. Проведення тендера на закупівлю. </w:t>
            </w:r>
          </w:p>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 xml:space="preserve">Закупівля необхідного </w:t>
            </w:r>
            <w:proofErr w:type="spellStart"/>
            <w:r w:rsidRPr="00B74A55">
              <w:rPr>
                <w:rFonts w:eastAsia="Calibri"/>
                <w:color w:val="000000"/>
                <w:sz w:val="22"/>
              </w:rPr>
              <w:t>обладння</w:t>
            </w:r>
            <w:proofErr w:type="spellEnd"/>
            <w:r w:rsidRPr="00B74A55">
              <w:rPr>
                <w:rFonts w:eastAsia="Calibri"/>
                <w:color w:val="000000"/>
                <w:sz w:val="22"/>
              </w:rPr>
              <w:t xml:space="preserve"> для освітнього процесу.</w:t>
            </w:r>
          </w:p>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 xml:space="preserve">Інформаційна кампанія серед населення щодо реалізації </w:t>
            </w:r>
            <w:proofErr w:type="spellStart"/>
            <w:r w:rsidRPr="00B74A55">
              <w:rPr>
                <w:rFonts w:eastAsia="Calibri"/>
                <w:color w:val="000000"/>
                <w:sz w:val="22"/>
              </w:rPr>
              <w:t>проєкту</w:t>
            </w:r>
            <w:proofErr w:type="spellEnd"/>
            <w:r w:rsidRPr="00B74A55">
              <w:rPr>
                <w:rFonts w:eastAsia="Calibri"/>
                <w:color w:val="000000"/>
                <w:sz w:val="22"/>
              </w:rPr>
              <w:t>.</w:t>
            </w:r>
          </w:p>
        </w:tc>
      </w:tr>
      <w:tr w:rsidR="000818A8" w:rsidRPr="00B74A55" w:rsidTr="004843F9">
        <w:trPr>
          <w:trHeight w:val="585"/>
        </w:trPr>
        <w:tc>
          <w:tcPr>
            <w:tcW w:w="3007" w:type="dxa"/>
            <w:vMerge w:val="restart"/>
            <w:tcBorders>
              <w:top w:val="single" w:sz="4" w:space="0" w:color="auto"/>
              <w:left w:val="single" w:sz="4" w:space="0" w:color="auto"/>
              <w:bottom w:val="single" w:sz="4" w:space="0" w:color="auto"/>
              <w:right w:val="single" w:sz="4" w:space="0" w:color="auto"/>
            </w:tcBorders>
            <w:shd w:val="clear" w:color="00FFFF" w:fill="C6D9F1" w:themeFill="text2" w:themeFillTint="33"/>
          </w:tcPr>
          <w:p w:rsidR="000818A8" w:rsidRPr="00B74A55" w:rsidRDefault="000818A8" w:rsidP="000818A8">
            <w:pPr>
              <w:autoSpaceDE w:val="0"/>
              <w:autoSpaceDN w:val="0"/>
              <w:adjustRightInd w:val="0"/>
              <w:rPr>
                <w:rFonts w:eastAsia="Calibri"/>
                <w:b/>
                <w:color w:val="000000"/>
                <w:sz w:val="22"/>
              </w:rPr>
            </w:pPr>
            <w:r w:rsidRPr="00B74A55">
              <w:rPr>
                <w:rFonts w:eastAsia="Calibri"/>
                <w:b/>
                <w:color w:val="000000"/>
                <w:sz w:val="22"/>
              </w:rPr>
              <w:t>Орієнтовний обсяг та джерела фінансування тис. гривень</w:t>
            </w:r>
          </w:p>
        </w:tc>
        <w:tc>
          <w:tcPr>
            <w:tcW w:w="1134" w:type="dxa"/>
            <w:vMerge w:val="restart"/>
            <w:tcBorders>
              <w:top w:val="single" w:sz="4" w:space="0" w:color="auto"/>
              <w:left w:val="single" w:sz="4" w:space="0" w:color="auto"/>
              <w:bottom w:val="single" w:sz="4" w:space="0" w:color="auto"/>
              <w:right w:val="single" w:sz="4" w:space="0" w:color="auto"/>
            </w:tcBorders>
          </w:tcPr>
          <w:p w:rsidR="000818A8" w:rsidRPr="00B74A55" w:rsidRDefault="000818A8" w:rsidP="000818A8">
            <w:pPr>
              <w:autoSpaceDE w:val="0"/>
              <w:autoSpaceDN w:val="0"/>
              <w:adjustRightInd w:val="0"/>
              <w:jc w:val="center"/>
              <w:rPr>
                <w:rFonts w:eastAsia="Calibri"/>
                <w:color w:val="000000"/>
                <w:sz w:val="22"/>
              </w:rPr>
            </w:pPr>
            <w:r w:rsidRPr="00B74A55">
              <w:rPr>
                <w:rFonts w:eastAsia="Calibri"/>
                <w:color w:val="000000"/>
                <w:sz w:val="22"/>
              </w:rPr>
              <w:t>Державний бюджет</w:t>
            </w:r>
          </w:p>
        </w:tc>
        <w:tc>
          <w:tcPr>
            <w:tcW w:w="992" w:type="dxa"/>
            <w:vMerge w:val="restart"/>
            <w:tcBorders>
              <w:top w:val="single" w:sz="4" w:space="0" w:color="auto"/>
              <w:left w:val="single" w:sz="4" w:space="0" w:color="auto"/>
              <w:right w:val="single" w:sz="4" w:space="0" w:color="auto"/>
            </w:tcBorders>
          </w:tcPr>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Місцевий бюджет</w:t>
            </w:r>
          </w:p>
        </w:tc>
        <w:tc>
          <w:tcPr>
            <w:tcW w:w="3261" w:type="dxa"/>
            <w:gridSpan w:val="4"/>
            <w:tcBorders>
              <w:top w:val="single" w:sz="4" w:space="0" w:color="auto"/>
              <w:left w:val="single" w:sz="4" w:space="0" w:color="auto"/>
              <w:bottom w:val="single" w:sz="4" w:space="0" w:color="auto"/>
              <w:right w:val="single" w:sz="4" w:space="0" w:color="auto"/>
            </w:tcBorders>
          </w:tcPr>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Інші джерела</w:t>
            </w:r>
          </w:p>
        </w:tc>
        <w:tc>
          <w:tcPr>
            <w:tcW w:w="1701" w:type="dxa"/>
            <w:gridSpan w:val="3"/>
            <w:vMerge w:val="restart"/>
            <w:tcBorders>
              <w:top w:val="single" w:sz="4" w:space="0" w:color="auto"/>
              <w:left w:val="single" w:sz="4" w:space="0" w:color="auto"/>
              <w:right w:val="single" w:sz="4" w:space="0" w:color="auto"/>
            </w:tcBorders>
          </w:tcPr>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Всього</w:t>
            </w:r>
          </w:p>
        </w:tc>
      </w:tr>
      <w:tr w:rsidR="000818A8" w:rsidRPr="00B74A55" w:rsidTr="004843F9">
        <w:trPr>
          <w:trHeight w:val="63"/>
        </w:trPr>
        <w:tc>
          <w:tcPr>
            <w:tcW w:w="3007" w:type="dxa"/>
            <w:vMerge/>
            <w:tcBorders>
              <w:top w:val="single" w:sz="4" w:space="0" w:color="auto"/>
              <w:left w:val="single" w:sz="4" w:space="0" w:color="auto"/>
              <w:bottom w:val="single" w:sz="4" w:space="0" w:color="auto"/>
              <w:right w:val="single" w:sz="4" w:space="0" w:color="auto"/>
            </w:tcBorders>
            <w:shd w:val="clear" w:color="00FFFF" w:fill="C6D9F1" w:themeFill="text2" w:themeFillTint="33"/>
          </w:tcPr>
          <w:p w:rsidR="000818A8" w:rsidRPr="00B74A55" w:rsidRDefault="000818A8" w:rsidP="000818A8">
            <w:pPr>
              <w:autoSpaceDE w:val="0"/>
              <w:autoSpaceDN w:val="0"/>
              <w:adjustRightInd w:val="0"/>
              <w:rPr>
                <w:rFonts w:eastAsia="Calibri"/>
                <w:b/>
                <w:color w:val="000000"/>
                <w:sz w:val="22"/>
              </w:rPr>
            </w:pPr>
          </w:p>
        </w:tc>
        <w:tc>
          <w:tcPr>
            <w:tcW w:w="1134" w:type="dxa"/>
            <w:vMerge/>
            <w:tcBorders>
              <w:top w:val="single" w:sz="4" w:space="0" w:color="auto"/>
              <w:left w:val="single" w:sz="4" w:space="0" w:color="auto"/>
              <w:bottom w:val="single" w:sz="4" w:space="0" w:color="auto"/>
              <w:right w:val="single" w:sz="4" w:space="0" w:color="auto"/>
            </w:tcBorders>
          </w:tcPr>
          <w:p w:rsidR="000818A8" w:rsidRPr="00B74A55" w:rsidRDefault="000818A8" w:rsidP="000818A8">
            <w:pPr>
              <w:autoSpaceDE w:val="0"/>
              <w:autoSpaceDN w:val="0"/>
              <w:adjustRightInd w:val="0"/>
              <w:rPr>
                <w:rFonts w:eastAsia="Calibri"/>
                <w:color w:val="000000"/>
                <w:sz w:val="22"/>
              </w:rPr>
            </w:pPr>
          </w:p>
        </w:tc>
        <w:tc>
          <w:tcPr>
            <w:tcW w:w="992" w:type="dxa"/>
            <w:vMerge/>
            <w:tcBorders>
              <w:left w:val="single" w:sz="4" w:space="0" w:color="auto"/>
              <w:bottom w:val="single" w:sz="4" w:space="0" w:color="auto"/>
              <w:right w:val="single" w:sz="4" w:space="0" w:color="auto"/>
            </w:tcBorders>
          </w:tcPr>
          <w:p w:rsidR="000818A8" w:rsidRPr="00B74A55" w:rsidRDefault="000818A8" w:rsidP="000818A8">
            <w:pPr>
              <w:autoSpaceDE w:val="0"/>
              <w:autoSpaceDN w:val="0"/>
              <w:adjustRightInd w:val="0"/>
              <w:rPr>
                <w:rFonts w:eastAsia="Calibri"/>
                <w:color w:val="000000"/>
                <w:sz w:val="22"/>
              </w:rPr>
            </w:pPr>
          </w:p>
        </w:tc>
        <w:tc>
          <w:tcPr>
            <w:tcW w:w="993" w:type="dxa"/>
            <w:gridSpan w:val="2"/>
            <w:tcBorders>
              <w:top w:val="single" w:sz="4" w:space="0" w:color="auto"/>
              <w:left w:val="single" w:sz="4" w:space="0" w:color="auto"/>
              <w:bottom w:val="single" w:sz="4" w:space="0" w:color="auto"/>
              <w:right w:val="single" w:sz="4" w:space="0" w:color="auto"/>
            </w:tcBorders>
          </w:tcPr>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Обсяг</w:t>
            </w:r>
          </w:p>
        </w:tc>
        <w:tc>
          <w:tcPr>
            <w:tcW w:w="2268" w:type="dxa"/>
            <w:gridSpan w:val="2"/>
            <w:tcBorders>
              <w:top w:val="single" w:sz="4" w:space="0" w:color="auto"/>
              <w:left w:val="single" w:sz="4" w:space="0" w:color="auto"/>
              <w:bottom w:val="single" w:sz="4" w:space="0" w:color="auto"/>
              <w:right w:val="single" w:sz="4" w:space="0" w:color="auto"/>
            </w:tcBorders>
          </w:tcPr>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Назва джерела</w:t>
            </w:r>
          </w:p>
        </w:tc>
        <w:tc>
          <w:tcPr>
            <w:tcW w:w="1701" w:type="dxa"/>
            <w:gridSpan w:val="3"/>
            <w:vMerge/>
            <w:tcBorders>
              <w:left w:val="single" w:sz="4" w:space="0" w:color="auto"/>
              <w:bottom w:val="single" w:sz="4" w:space="0" w:color="auto"/>
              <w:right w:val="single" w:sz="4" w:space="0" w:color="auto"/>
            </w:tcBorders>
          </w:tcPr>
          <w:p w:rsidR="000818A8" w:rsidRPr="00B74A55" w:rsidRDefault="000818A8" w:rsidP="000818A8">
            <w:pPr>
              <w:autoSpaceDE w:val="0"/>
              <w:autoSpaceDN w:val="0"/>
              <w:adjustRightInd w:val="0"/>
              <w:rPr>
                <w:rFonts w:eastAsia="Calibri"/>
                <w:color w:val="000000"/>
                <w:sz w:val="22"/>
              </w:rPr>
            </w:pPr>
          </w:p>
        </w:tc>
      </w:tr>
      <w:tr w:rsidR="000818A8" w:rsidRPr="00B74A55" w:rsidTr="004843F9">
        <w:trPr>
          <w:trHeight w:val="675"/>
        </w:trPr>
        <w:tc>
          <w:tcPr>
            <w:tcW w:w="3007" w:type="dxa"/>
            <w:vMerge/>
            <w:tcBorders>
              <w:top w:val="single" w:sz="4" w:space="0" w:color="auto"/>
              <w:left w:val="single" w:sz="4" w:space="0" w:color="auto"/>
              <w:bottom w:val="single" w:sz="4" w:space="0" w:color="auto"/>
              <w:right w:val="single" w:sz="4" w:space="0" w:color="auto"/>
            </w:tcBorders>
            <w:shd w:val="clear" w:color="00FFFF" w:fill="C6D9F1" w:themeFill="text2" w:themeFillTint="33"/>
          </w:tcPr>
          <w:p w:rsidR="000818A8" w:rsidRPr="00B74A55" w:rsidRDefault="000818A8" w:rsidP="000818A8">
            <w:pPr>
              <w:autoSpaceDE w:val="0"/>
              <w:autoSpaceDN w:val="0"/>
              <w:adjustRightInd w:val="0"/>
              <w:rPr>
                <w:rFonts w:eastAsia="Calibri"/>
                <w:b/>
                <w:color w:val="000000"/>
                <w:sz w:val="22"/>
              </w:rPr>
            </w:pPr>
          </w:p>
        </w:tc>
        <w:tc>
          <w:tcPr>
            <w:tcW w:w="1134" w:type="dxa"/>
            <w:tcBorders>
              <w:top w:val="single" w:sz="4" w:space="0" w:color="auto"/>
              <w:left w:val="single" w:sz="4" w:space="0" w:color="auto"/>
              <w:bottom w:val="single" w:sz="4" w:space="0" w:color="auto"/>
              <w:right w:val="single" w:sz="4" w:space="0" w:color="auto"/>
            </w:tcBorders>
          </w:tcPr>
          <w:p w:rsidR="000818A8" w:rsidRPr="00B74A55" w:rsidRDefault="009A09C8" w:rsidP="009A09C8">
            <w:pPr>
              <w:autoSpaceDE w:val="0"/>
              <w:autoSpaceDN w:val="0"/>
              <w:adjustRightInd w:val="0"/>
              <w:jc w:val="center"/>
              <w:rPr>
                <w:rFonts w:eastAsia="Calibri"/>
                <w:color w:val="000000"/>
                <w:sz w:val="22"/>
              </w:rPr>
            </w:pPr>
            <w:r w:rsidRPr="00B74A55">
              <w:rPr>
                <w:rFonts w:eastAsia="Calibri"/>
                <w:color w:val="000000"/>
                <w:sz w:val="22"/>
              </w:rPr>
              <w:t>-</w:t>
            </w:r>
          </w:p>
        </w:tc>
        <w:tc>
          <w:tcPr>
            <w:tcW w:w="992" w:type="dxa"/>
            <w:tcBorders>
              <w:top w:val="single" w:sz="4" w:space="0" w:color="auto"/>
              <w:left w:val="single" w:sz="4" w:space="0" w:color="auto"/>
              <w:bottom w:val="single" w:sz="4" w:space="0" w:color="auto"/>
              <w:right w:val="single" w:sz="4" w:space="0" w:color="auto"/>
            </w:tcBorders>
          </w:tcPr>
          <w:p w:rsidR="000818A8" w:rsidRPr="00B74A55" w:rsidRDefault="009A09C8" w:rsidP="009A09C8">
            <w:pPr>
              <w:autoSpaceDE w:val="0"/>
              <w:autoSpaceDN w:val="0"/>
              <w:adjustRightInd w:val="0"/>
              <w:jc w:val="center"/>
              <w:rPr>
                <w:rFonts w:eastAsia="Calibri"/>
                <w:color w:val="000000"/>
                <w:sz w:val="22"/>
              </w:rPr>
            </w:pPr>
            <w:r w:rsidRPr="00B74A55">
              <w:rPr>
                <w:rFonts w:eastAsia="Calibri"/>
                <w:color w:val="000000"/>
                <w:sz w:val="22"/>
              </w:rPr>
              <w:t>-</w:t>
            </w:r>
          </w:p>
        </w:tc>
        <w:tc>
          <w:tcPr>
            <w:tcW w:w="993" w:type="dxa"/>
            <w:gridSpan w:val="2"/>
            <w:tcBorders>
              <w:top w:val="single" w:sz="4" w:space="0" w:color="auto"/>
              <w:left w:val="single" w:sz="4" w:space="0" w:color="auto"/>
              <w:bottom w:val="single" w:sz="4" w:space="0" w:color="auto"/>
              <w:right w:val="single" w:sz="4" w:space="0" w:color="auto"/>
            </w:tcBorders>
          </w:tcPr>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5 000,0</w:t>
            </w:r>
          </w:p>
          <w:p w:rsidR="000818A8" w:rsidRPr="00B74A55" w:rsidRDefault="000818A8" w:rsidP="000818A8">
            <w:pPr>
              <w:autoSpaceDE w:val="0"/>
              <w:autoSpaceDN w:val="0"/>
              <w:adjustRightInd w:val="0"/>
              <w:rPr>
                <w:rFonts w:eastAsia="Calibri"/>
                <w:color w:val="000000"/>
                <w:sz w:val="22"/>
              </w:rPr>
            </w:pPr>
          </w:p>
        </w:tc>
        <w:tc>
          <w:tcPr>
            <w:tcW w:w="2268" w:type="dxa"/>
            <w:gridSpan w:val="2"/>
            <w:tcBorders>
              <w:top w:val="single" w:sz="4" w:space="0" w:color="auto"/>
              <w:left w:val="single" w:sz="4" w:space="0" w:color="auto"/>
              <w:bottom w:val="single" w:sz="4" w:space="0" w:color="auto"/>
              <w:right w:val="single" w:sz="4" w:space="0" w:color="auto"/>
            </w:tcBorders>
          </w:tcPr>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Міжнародні інвестиції.</w:t>
            </w:r>
          </w:p>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Міжнародні фонди.</w:t>
            </w:r>
          </w:p>
          <w:p w:rsidR="000818A8" w:rsidRPr="00B74A55" w:rsidRDefault="000818A8" w:rsidP="000818A8">
            <w:pPr>
              <w:autoSpaceDE w:val="0"/>
              <w:autoSpaceDN w:val="0"/>
              <w:adjustRightInd w:val="0"/>
              <w:rPr>
                <w:rFonts w:eastAsia="Calibri"/>
                <w:color w:val="000000"/>
                <w:sz w:val="22"/>
              </w:rPr>
            </w:pPr>
          </w:p>
        </w:tc>
        <w:tc>
          <w:tcPr>
            <w:tcW w:w="1701" w:type="dxa"/>
            <w:gridSpan w:val="3"/>
            <w:tcBorders>
              <w:top w:val="single" w:sz="4" w:space="0" w:color="auto"/>
              <w:left w:val="single" w:sz="4" w:space="0" w:color="auto"/>
              <w:bottom w:val="single" w:sz="4" w:space="0" w:color="auto"/>
              <w:right w:val="single" w:sz="4" w:space="0" w:color="auto"/>
            </w:tcBorders>
          </w:tcPr>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5 000,0</w:t>
            </w:r>
          </w:p>
        </w:tc>
      </w:tr>
    </w:tbl>
    <w:p w:rsidR="000818A8" w:rsidRPr="00B74A55" w:rsidRDefault="000818A8" w:rsidP="004479C5">
      <w:pPr>
        <w:spacing w:after="160" w:line="259" w:lineRule="auto"/>
        <w:rPr>
          <w:rFonts w:eastAsia="Calibri"/>
          <w:b/>
          <w:bCs/>
          <w:noProof/>
          <w:sz w:val="22"/>
          <w:szCs w:val="22"/>
          <w:lang w:val="ru-RU"/>
        </w:rPr>
      </w:pPr>
    </w:p>
    <w:tbl>
      <w:tblPr>
        <w:tblpPr w:leftFromText="180" w:rightFromText="180" w:vertAnchor="text" w:horzAnchor="margin" w:tblpXSpec="center" w:tblpY="198"/>
        <w:tblW w:w="10065" w:type="dxa"/>
        <w:tblLayout w:type="fixed"/>
        <w:tblCellMar>
          <w:left w:w="30" w:type="dxa"/>
          <w:right w:w="30" w:type="dxa"/>
        </w:tblCellMar>
        <w:tblLook w:val="0000" w:firstRow="0" w:lastRow="0" w:firstColumn="0" w:lastColumn="0" w:noHBand="0" w:noVBand="0"/>
      </w:tblPr>
      <w:tblGrid>
        <w:gridCol w:w="2977"/>
        <w:gridCol w:w="1902"/>
        <w:gridCol w:w="1019"/>
        <w:gridCol w:w="875"/>
        <w:gridCol w:w="144"/>
        <w:gridCol w:w="1312"/>
        <w:gridCol w:w="581"/>
        <w:gridCol w:w="1255"/>
      </w:tblGrid>
      <w:tr w:rsidR="00D65CFC" w:rsidRPr="00B74A55" w:rsidTr="00524DBF">
        <w:trPr>
          <w:trHeight w:val="638"/>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65CFC" w:rsidRPr="00B74A55" w:rsidRDefault="00D65CFC" w:rsidP="00524DBF">
            <w:pPr>
              <w:autoSpaceDE w:val="0"/>
              <w:autoSpaceDN w:val="0"/>
              <w:adjustRightInd w:val="0"/>
              <w:rPr>
                <w:rFonts w:eastAsia="Calibri"/>
                <w:b/>
                <w:color w:val="000000"/>
                <w:sz w:val="22"/>
              </w:rPr>
            </w:pPr>
            <w:r w:rsidRPr="00B74A55">
              <w:rPr>
                <w:rFonts w:eastAsia="Calibri"/>
                <w:b/>
                <w:color w:val="000000"/>
                <w:sz w:val="22"/>
              </w:rPr>
              <w:lastRenderedPageBreak/>
              <w:t>Оперативна ціль/завдання</w:t>
            </w:r>
          </w:p>
        </w:tc>
        <w:tc>
          <w:tcPr>
            <w:tcW w:w="7088" w:type="dxa"/>
            <w:gridSpan w:val="7"/>
            <w:tcBorders>
              <w:top w:val="single" w:sz="6" w:space="0" w:color="auto"/>
              <w:left w:val="single" w:sz="6" w:space="0" w:color="auto"/>
              <w:bottom w:val="single" w:sz="6" w:space="0" w:color="auto"/>
              <w:right w:val="single" w:sz="6" w:space="0" w:color="auto"/>
            </w:tcBorders>
          </w:tcPr>
          <w:p w:rsidR="00D65CFC" w:rsidRPr="00B74A55" w:rsidRDefault="00D65CFC" w:rsidP="00524DBF">
            <w:pPr>
              <w:autoSpaceDE w:val="0"/>
              <w:autoSpaceDN w:val="0"/>
              <w:adjustRightInd w:val="0"/>
              <w:rPr>
                <w:rFonts w:eastAsia="Calibri"/>
                <w:color w:val="000000"/>
                <w:sz w:val="22"/>
              </w:rPr>
            </w:pPr>
            <w:r w:rsidRPr="00B74A55">
              <w:rPr>
                <w:color w:val="222222"/>
                <w:sz w:val="22"/>
                <w:shd w:val="clear" w:color="auto" w:fill="FFFFFF"/>
              </w:rPr>
              <w:t xml:space="preserve">Людський розвиток через інновації управління та довіру до влади. Формування сучасного інклюзивного  </w:t>
            </w:r>
            <w:proofErr w:type="spellStart"/>
            <w:r w:rsidRPr="00B74A55">
              <w:rPr>
                <w:color w:val="222222"/>
                <w:sz w:val="22"/>
                <w:shd w:val="clear" w:color="auto" w:fill="FFFFFF"/>
              </w:rPr>
              <w:t>освітньо</w:t>
            </w:r>
            <w:proofErr w:type="spellEnd"/>
            <w:r w:rsidRPr="00B74A55">
              <w:rPr>
                <w:color w:val="222222"/>
                <w:sz w:val="22"/>
                <w:shd w:val="clear" w:color="auto" w:fill="FFFFFF"/>
              </w:rPr>
              <w:t>-культурного та спортивного простору для розвитку</w:t>
            </w:r>
          </w:p>
        </w:tc>
      </w:tr>
      <w:tr w:rsidR="00D65CFC" w:rsidRPr="00B74A55" w:rsidTr="00524DBF">
        <w:trPr>
          <w:trHeight w:val="265"/>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65CFC" w:rsidRPr="00B74A55" w:rsidRDefault="00D65CFC" w:rsidP="00524DBF">
            <w:pPr>
              <w:autoSpaceDE w:val="0"/>
              <w:autoSpaceDN w:val="0"/>
              <w:adjustRightInd w:val="0"/>
              <w:rPr>
                <w:rFonts w:eastAsia="Calibri"/>
                <w:b/>
                <w:color w:val="000000"/>
                <w:sz w:val="22"/>
              </w:rPr>
            </w:pPr>
            <w:r w:rsidRPr="00B74A55">
              <w:rPr>
                <w:rFonts w:eastAsia="Calibri"/>
                <w:b/>
                <w:color w:val="000000"/>
                <w:sz w:val="22"/>
              </w:rPr>
              <w:t xml:space="preserve">Назва проекту: </w:t>
            </w:r>
          </w:p>
        </w:tc>
        <w:tc>
          <w:tcPr>
            <w:tcW w:w="7088" w:type="dxa"/>
            <w:gridSpan w:val="7"/>
            <w:tcBorders>
              <w:top w:val="single" w:sz="6" w:space="0" w:color="auto"/>
              <w:left w:val="single" w:sz="6" w:space="0" w:color="auto"/>
              <w:bottom w:val="single" w:sz="6" w:space="0" w:color="auto"/>
              <w:right w:val="single" w:sz="6" w:space="0" w:color="auto"/>
            </w:tcBorders>
          </w:tcPr>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Оснащення меблями, технічними засобами навчання, методичними та дидактичними матеріалами методичного кабінету, адміністративних кабінетів, кабінетів психолога, медичного кабінету, кімнат для молодшого обслуговуючого персоналу та створення освітнього, розвиваючого, виховного середовища вихованців   Ясел-садка № 45 міста Сєвєродонецька  Луганської області, смт. Борівське вул. Колгоспна буд.30</w:t>
            </w:r>
          </w:p>
        </w:tc>
      </w:tr>
      <w:tr w:rsidR="00D65CFC" w:rsidRPr="00B74A55" w:rsidTr="00524DBF">
        <w:trPr>
          <w:trHeight w:val="802"/>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65CFC" w:rsidRPr="00B74A55" w:rsidRDefault="00D65CFC" w:rsidP="00524DBF">
            <w:pPr>
              <w:autoSpaceDE w:val="0"/>
              <w:autoSpaceDN w:val="0"/>
              <w:adjustRightInd w:val="0"/>
              <w:rPr>
                <w:rFonts w:eastAsia="Calibri"/>
                <w:b/>
                <w:color w:val="000000"/>
                <w:sz w:val="22"/>
              </w:rPr>
            </w:pPr>
            <w:r w:rsidRPr="00B74A55">
              <w:rPr>
                <w:rFonts w:eastAsia="Calibri"/>
                <w:b/>
                <w:color w:val="000000"/>
                <w:sz w:val="22"/>
              </w:rPr>
              <w:t>Ціль проекту</w:t>
            </w:r>
          </w:p>
        </w:tc>
        <w:tc>
          <w:tcPr>
            <w:tcW w:w="7088" w:type="dxa"/>
            <w:gridSpan w:val="7"/>
            <w:tcBorders>
              <w:top w:val="single" w:sz="6" w:space="0" w:color="auto"/>
              <w:left w:val="single" w:sz="6" w:space="0" w:color="auto"/>
              <w:bottom w:val="single" w:sz="6" w:space="0" w:color="auto"/>
              <w:right w:val="single" w:sz="6" w:space="0" w:color="auto"/>
            </w:tcBorders>
          </w:tcPr>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Оснастити  меблями, технічними засобами навчання, методичними та дидактичними матеріалами методичного кабінету, адміністративних кабінетів, кабінетів психолога, медичного кабінету, кімнат для молодшого обслуговуючого персоналу.</w:t>
            </w:r>
          </w:p>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 xml:space="preserve"> Забезпечити необхідними технічними засобами навчання, методичними та дидактичними матеріалами всіх робітників Ясел-садка № 45.</w:t>
            </w:r>
          </w:p>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 xml:space="preserve">Створити  освітнє  розвиваюче виховне середовище. Оснастити  ігрові кімнати, кімнати для занять сучасним освітнім матеріалом. Оснащення </w:t>
            </w:r>
            <w:r w:rsidRPr="00B74A55">
              <w:rPr>
                <w:sz w:val="22"/>
              </w:rPr>
              <w:t xml:space="preserve"> </w:t>
            </w:r>
            <w:r w:rsidRPr="00B74A55">
              <w:rPr>
                <w:rFonts w:eastAsia="Calibri"/>
                <w:color w:val="000000"/>
                <w:sz w:val="22"/>
              </w:rPr>
              <w:t>комп’ютерною технікою та іншими технічними засобами для освіти та виховання дітей ЗДО № 45.</w:t>
            </w:r>
          </w:p>
        </w:tc>
      </w:tr>
      <w:tr w:rsidR="00D65CFC" w:rsidRPr="00B74A55" w:rsidTr="00524DBF">
        <w:trPr>
          <w:trHeight w:val="265"/>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65CFC" w:rsidRPr="00B74A55" w:rsidRDefault="00D65CFC" w:rsidP="00524DBF">
            <w:pPr>
              <w:autoSpaceDE w:val="0"/>
              <w:autoSpaceDN w:val="0"/>
              <w:adjustRightInd w:val="0"/>
              <w:rPr>
                <w:rFonts w:eastAsia="Calibri"/>
                <w:b/>
                <w:color w:val="000000"/>
                <w:sz w:val="22"/>
              </w:rPr>
            </w:pPr>
            <w:r w:rsidRPr="00B74A55">
              <w:rPr>
                <w:rFonts w:eastAsia="Calibri"/>
                <w:b/>
                <w:color w:val="000000"/>
                <w:sz w:val="22"/>
              </w:rPr>
              <w:t>Територія, на яку матиме вплив реалізація проекту</w:t>
            </w:r>
          </w:p>
        </w:tc>
        <w:tc>
          <w:tcPr>
            <w:tcW w:w="7088" w:type="dxa"/>
            <w:gridSpan w:val="7"/>
            <w:tcBorders>
              <w:top w:val="single" w:sz="6" w:space="0" w:color="auto"/>
              <w:left w:val="single" w:sz="6" w:space="0" w:color="auto"/>
              <w:bottom w:val="single" w:sz="6" w:space="0" w:color="auto"/>
              <w:right w:val="single" w:sz="6" w:space="0" w:color="auto"/>
            </w:tcBorders>
          </w:tcPr>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Сєвєродонецька міська територіальна громада</w:t>
            </w:r>
          </w:p>
        </w:tc>
      </w:tr>
      <w:tr w:rsidR="00D65CFC" w:rsidRPr="00B74A55" w:rsidTr="00524DBF">
        <w:trPr>
          <w:trHeight w:val="532"/>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65CFC" w:rsidRPr="00B74A55" w:rsidRDefault="00D65CFC" w:rsidP="00524DBF">
            <w:pPr>
              <w:autoSpaceDE w:val="0"/>
              <w:autoSpaceDN w:val="0"/>
              <w:adjustRightInd w:val="0"/>
              <w:rPr>
                <w:rFonts w:eastAsia="Calibri"/>
                <w:b/>
                <w:color w:val="000000"/>
                <w:sz w:val="22"/>
              </w:rPr>
            </w:pPr>
            <w:r w:rsidRPr="00B74A55">
              <w:rPr>
                <w:rFonts w:eastAsia="Calibri"/>
                <w:b/>
                <w:color w:val="000000"/>
                <w:sz w:val="22"/>
              </w:rPr>
              <w:t>Чисельність населення, на яке матиме вплив реалізація проекту</w:t>
            </w:r>
          </w:p>
        </w:tc>
        <w:tc>
          <w:tcPr>
            <w:tcW w:w="7088" w:type="dxa"/>
            <w:gridSpan w:val="7"/>
            <w:tcBorders>
              <w:top w:val="single" w:sz="6" w:space="0" w:color="auto"/>
              <w:left w:val="single" w:sz="6" w:space="0" w:color="auto"/>
              <w:bottom w:val="single" w:sz="6" w:space="0" w:color="auto"/>
              <w:right w:val="single" w:sz="6" w:space="0" w:color="auto"/>
            </w:tcBorders>
          </w:tcPr>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70 000 осіб</w:t>
            </w:r>
          </w:p>
        </w:tc>
      </w:tr>
      <w:tr w:rsidR="00D65CFC" w:rsidRPr="00B74A55" w:rsidTr="00524DBF">
        <w:trPr>
          <w:trHeight w:val="1120"/>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65CFC" w:rsidRPr="00B74A55" w:rsidRDefault="00D65CFC" w:rsidP="00524DBF">
            <w:pPr>
              <w:autoSpaceDE w:val="0"/>
              <w:autoSpaceDN w:val="0"/>
              <w:adjustRightInd w:val="0"/>
              <w:rPr>
                <w:rFonts w:eastAsia="Calibri"/>
                <w:b/>
                <w:color w:val="000000"/>
                <w:sz w:val="22"/>
              </w:rPr>
            </w:pPr>
            <w:r w:rsidRPr="00B74A55">
              <w:rPr>
                <w:rFonts w:eastAsia="Calibri"/>
                <w:b/>
                <w:color w:val="000000"/>
                <w:sz w:val="22"/>
              </w:rPr>
              <w:t>Опис проблеми, на вирішення якої спрямований проект</w:t>
            </w:r>
          </w:p>
        </w:tc>
        <w:tc>
          <w:tcPr>
            <w:tcW w:w="7088" w:type="dxa"/>
            <w:gridSpan w:val="7"/>
            <w:tcBorders>
              <w:top w:val="single" w:sz="6" w:space="0" w:color="auto"/>
              <w:left w:val="single" w:sz="6" w:space="0" w:color="auto"/>
              <w:bottom w:val="single" w:sz="6" w:space="0" w:color="auto"/>
              <w:right w:val="single" w:sz="6" w:space="0" w:color="auto"/>
            </w:tcBorders>
          </w:tcPr>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Через військову агресію РФ територія Сєвєродонецької</w:t>
            </w:r>
          </w:p>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міської територіальної громади зазнала значних пошкоджень.</w:t>
            </w:r>
          </w:p>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Не оминуло це і Ясла-садок № 45.</w:t>
            </w:r>
          </w:p>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 xml:space="preserve">Вся матеріально-технічна база </w:t>
            </w:r>
            <w:r w:rsidR="00D77F71" w:rsidRPr="00B74A55">
              <w:rPr>
                <w:rFonts w:eastAsia="Calibri"/>
                <w:color w:val="000000"/>
                <w:sz w:val="22"/>
              </w:rPr>
              <w:t>закладу</w:t>
            </w:r>
            <w:r w:rsidRPr="00B74A55">
              <w:rPr>
                <w:rFonts w:eastAsia="Calibri"/>
                <w:color w:val="000000"/>
                <w:sz w:val="22"/>
              </w:rPr>
              <w:t>, зокрема:</w:t>
            </w:r>
          </w:p>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 обладнання (устаткування);</w:t>
            </w:r>
          </w:p>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 обчислювальна техніка із відповідним програмним</w:t>
            </w:r>
          </w:p>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забезпеченням;</w:t>
            </w:r>
          </w:p>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 інша оргтехніка (монітори, принтери, сканери</w:t>
            </w:r>
          </w:p>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тощо);</w:t>
            </w:r>
          </w:p>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 основні засоби (офісні меблі, сейф, тощо);</w:t>
            </w:r>
          </w:p>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 ігрові зони, дидактичний матеріал, обладнання для занять та розваг, обладнання групових кімнат були знищені або викрадені.</w:t>
            </w:r>
          </w:p>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Для відбудови та сталого розвитку громади потрібне</w:t>
            </w:r>
          </w:p>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відновлення роботи мережі закладів. Мешканці громади</w:t>
            </w:r>
          </w:p>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потребують в отриманні якісних послуг, які відповідають</w:t>
            </w:r>
          </w:p>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нормам сучасності.</w:t>
            </w:r>
          </w:p>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В смт.  Борівське  мешкає багато сімей з дітьми дошкільного віку. Для дітей смт. Борівське необхідно організувати якісну освіту. Але приміщення садочку потребує нового оснащення для повноцінного виховання та навчання дошкільників, а також для повноцінної організації навчально-виховного процесу.</w:t>
            </w:r>
          </w:p>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Воно не придатне для комфортного перебування</w:t>
            </w:r>
            <w:r w:rsidRPr="00B74A55">
              <w:rPr>
                <w:rFonts w:eastAsia="Calibri"/>
                <w:vanish/>
                <w:color w:val="000000"/>
                <w:sz w:val="22"/>
              </w:rPr>
              <w:t>,                    4</w:t>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color w:val="000000"/>
                <w:sz w:val="22"/>
              </w:rPr>
              <w:t xml:space="preserve"> та не відповідає  діючим санітарним нормам.</w:t>
            </w:r>
          </w:p>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 xml:space="preserve">Даний </w:t>
            </w:r>
            <w:proofErr w:type="spellStart"/>
            <w:r w:rsidRPr="00B74A55">
              <w:rPr>
                <w:rFonts w:eastAsia="Calibri"/>
                <w:color w:val="000000"/>
                <w:sz w:val="22"/>
              </w:rPr>
              <w:t>про</w:t>
            </w:r>
            <w:r w:rsidR="00D77F71" w:rsidRPr="00B74A55">
              <w:rPr>
                <w:rFonts w:eastAsia="Calibri"/>
                <w:color w:val="000000"/>
                <w:sz w:val="22"/>
              </w:rPr>
              <w:t>є</w:t>
            </w:r>
            <w:r w:rsidRPr="00B74A55">
              <w:rPr>
                <w:rFonts w:eastAsia="Calibri"/>
                <w:color w:val="000000"/>
                <w:sz w:val="22"/>
              </w:rPr>
              <w:t>кт</w:t>
            </w:r>
            <w:proofErr w:type="spellEnd"/>
            <w:r w:rsidRPr="00B74A55">
              <w:rPr>
                <w:rFonts w:eastAsia="Calibri"/>
                <w:color w:val="000000"/>
                <w:sz w:val="22"/>
              </w:rPr>
              <w:t xml:space="preserve"> спрямований на вирішення проблеми покращення  освітнього простору в ЗДО № 45. Для того</w:t>
            </w:r>
            <w:r w:rsidR="00D77F71" w:rsidRPr="00B74A55">
              <w:rPr>
                <w:rFonts w:eastAsia="Calibri"/>
                <w:color w:val="000000"/>
                <w:sz w:val="22"/>
              </w:rPr>
              <w:t>,</w:t>
            </w:r>
            <w:r w:rsidRPr="00B74A55">
              <w:rPr>
                <w:rFonts w:eastAsia="Calibri"/>
                <w:color w:val="000000"/>
                <w:sz w:val="22"/>
              </w:rPr>
              <w:t xml:space="preserve"> щоб забезпечити  всі освітні потреби сучасних дітей</w:t>
            </w:r>
            <w:r w:rsidR="00D77F71" w:rsidRPr="00B74A55">
              <w:rPr>
                <w:rFonts w:eastAsia="Calibri"/>
                <w:color w:val="000000"/>
                <w:sz w:val="22"/>
              </w:rPr>
              <w:t>,</w:t>
            </w:r>
            <w:r w:rsidRPr="00B74A55">
              <w:rPr>
                <w:rFonts w:eastAsia="Calibri"/>
                <w:color w:val="000000"/>
                <w:sz w:val="22"/>
              </w:rPr>
              <w:t xml:space="preserve"> педагогам потрібна допомога в оснащені відповідними технічними засобами навчання, методичними та дидактичними матеріалами та меблями.</w:t>
            </w:r>
          </w:p>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 xml:space="preserve">Для плідної роботи всього закладу освіти треба забезпечити належними умовами та засобами для праці всіх працівників ЗДО </w:t>
            </w:r>
            <w:r w:rsidR="00D77F71" w:rsidRPr="00B74A55">
              <w:rPr>
                <w:rFonts w:eastAsia="Calibri"/>
                <w:color w:val="000000"/>
                <w:sz w:val="22"/>
              </w:rPr>
              <w:t>№</w:t>
            </w:r>
            <w:r w:rsidRPr="00B74A55">
              <w:rPr>
                <w:rFonts w:eastAsia="Calibri"/>
                <w:color w:val="000000"/>
                <w:sz w:val="22"/>
              </w:rPr>
              <w:t>45.</w:t>
            </w:r>
          </w:p>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lastRenderedPageBreak/>
              <w:t>Сучасні діти потребують нового освітнього, розвиваючого, виховного середовища</w:t>
            </w:r>
            <w:r w:rsidR="00106A11" w:rsidRPr="00B74A55">
              <w:rPr>
                <w:rFonts w:eastAsia="Calibri"/>
                <w:color w:val="000000"/>
                <w:sz w:val="22"/>
              </w:rPr>
              <w:t>,</w:t>
            </w:r>
            <w:r w:rsidRPr="00B74A55">
              <w:rPr>
                <w:rFonts w:eastAsia="Calibri"/>
                <w:color w:val="000000"/>
                <w:sz w:val="22"/>
              </w:rPr>
              <w:t xml:space="preserve"> яке відповідає вимогам  закону України про Дошкільну Освіту. Сучасні діти потребують сучасного підходу для навчання та виховання.</w:t>
            </w:r>
          </w:p>
        </w:tc>
      </w:tr>
      <w:tr w:rsidR="00D65CFC" w:rsidRPr="00B74A55" w:rsidTr="00524DBF">
        <w:trPr>
          <w:trHeight w:val="483"/>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65CFC" w:rsidRPr="00B74A55" w:rsidRDefault="00D65CFC" w:rsidP="00524DBF">
            <w:pPr>
              <w:autoSpaceDE w:val="0"/>
              <w:autoSpaceDN w:val="0"/>
              <w:adjustRightInd w:val="0"/>
              <w:rPr>
                <w:rFonts w:eastAsia="Calibri"/>
                <w:b/>
                <w:color w:val="000000"/>
                <w:sz w:val="22"/>
              </w:rPr>
            </w:pPr>
            <w:r w:rsidRPr="00B74A55">
              <w:rPr>
                <w:rFonts w:eastAsia="Calibri"/>
                <w:b/>
                <w:color w:val="000000"/>
                <w:sz w:val="22"/>
              </w:rPr>
              <w:lastRenderedPageBreak/>
              <w:t>Очікувані якісні результати від реалізації проекту</w:t>
            </w:r>
          </w:p>
        </w:tc>
        <w:tc>
          <w:tcPr>
            <w:tcW w:w="7088" w:type="dxa"/>
            <w:gridSpan w:val="7"/>
            <w:tcBorders>
              <w:top w:val="single" w:sz="6" w:space="0" w:color="auto"/>
              <w:left w:val="single" w:sz="6" w:space="0" w:color="auto"/>
              <w:bottom w:val="single" w:sz="6" w:space="0" w:color="auto"/>
              <w:right w:val="single" w:sz="6" w:space="0" w:color="auto"/>
            </w:tcBorders>
          </w:tcPr>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Новий сучасний освітній простір для педагогів в ЗДО № 45.</w:t>
            </w:r>
          </w:p>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 xml:space="preserve">Забезпечення  належних умов праці та засобів для праці всіх працівників ЗДО </w:t>
            </w:r>
            <w:r w:rsidR="00CF7694" w:rsidRPr="00B74A55">
              <w:rPr>
                <w:rFonts w:eastAsia="Calibri"/>
                <w:color w:val="000000"/>
                <w:sz w:val="22"/>
              </w:rPr>
              <w:t>№</w:t>
            </w:r>
            <w:r w:rsidRPr="00B74A55">
              <w:rPr>
                <w:rFonts w:eastAsia="Calibri"/>
                <w:color w:val="000000"/>
                <w:sz w:val="22"/>
              </w:rPr>
              <w:t>45.</w:t>
            </w:r>
          </w:p>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 xml:space="preserve">Створення освітнього, розвиваючого, виховного середовища вихованців .  </w:t>
            </w:r>
          </w:p>
        </w:tc>
      </w:tr>
      <w:tr w:rsidR="00D65CFC" w:rsidRPr="00B74A55" w:rsidTr="00524DBF">
        <w:trPr>
          <w:trHeight w:val="532"/>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65CFC" w:rsidRPr="00B74A55" w:rsidRDefault="00D65CFC" w:rsidP="00524DBF">
            <w:pPr>
              <w:autoSpaceDE w:val="0"/>
              <w:autoSpaceDN w:val="0"/>
              <w:adjustRightInd w:val="0"/>
              <w:rPr>
                <w:rFonts w:eastAsia="Calibri"/>
                <w:b/>
                <w:color w:val="000000"/>
                <w:sz w:val="22"/>
              </w:rPr>
            </w:pPr>
            <w:r w:rsidRPr="00B74A55">
              <w:rPr>
                <w:rFonts w:eastAsia="Calibri"/>
                <w:b/>
                <w:color w:val="000000"/>
                <w:sz w:val="22"/>
              </w:rPr>
              <w:t>Очікувані кількісні результати від реалізації проекту  (індикатори)</w:t>
            </w:r>
          </w:p>
        </w:tc>
        <w:tc>
          <w:tcPr>
            <w:tcW w:w="3796" w:type="dxa"/>
            <w:gridSpan w:val="3"/>
            <w:tcBorders>
              <w:top w:val="single" w:sz="6" w:space="0" w:color="auto"/>
              <w:left w:val="single" w:sz="6" w:space="0" w:color="auto"/>
              <w:bottom w:val="single" w:sz="6" w:space="0" w:color="auto"/>
              <w:right w:val="single" w:sz="6" w:space="0" w:color="auto"/>
            </w:tcBorders>
          </w:tcPr>
          <w:p w:rsidR="00D65CFC" w:rsidRPr="00B74A55" w:rsidRDefault="00D65CFC" w:rsidP="00524DBF">
            <w:pPr>
              <w:autoSpaceDE w:val="0"/>
              <w:autoSpaceDN w:val="0"/>
              <w:adjustRightInd w:val="0"/>
              <w:jc w:val="center"/>
              <w:rPr>
                <w:rFonts w:eastAsia="Calibri"/>
                <w:b/>
                <w:color w:val="000000"/>
                <w:sz w:val="22"/>
              </w:rPr>
            </w:pPr>
            <w:r w:rsidRPr="00B74A55">
              <w:rPr>
                <w:rFonts w:eastAsia="Calibri"/>
                <w:b/>
                <w:color w:val="000000"/>
                <w:sz w:val="22"/>
              </w:rPr>
              <w:t>Найменування показника</w:t>
            </w:r>
          </w:p>
        </w:tc>
        <w:tc>
          <w:tcPr>
            <w:tcW w:w="1456" w:type="dxa"/>
            <w:gridSpan w:val="2"/>
            <w:tcBorders>
              <w:top w:val="single" w:sz="6" w:space="0" w:color="auto"/>
              <w:left w:val="single" w:sz="6" w:space="0" w:color="auto"/>
              <w:bottom w:val="single" w:sz="6" w:space="0" w:color="auto"/>
              <w:right w:val="single" w:sz="6" w:space="0" w:color="auto"/>
            </w:tcBorders>
          </w:tcPr>
          <w:p w:rsidR="00D65CFC" w:rsidRPr="00B74A55" w:rsidRDefault="00D65CFC" w:rsidP="00524DBF">
            <w:pPr>
              <w:autoSpaceDE w:val="0"/>
              <w:autoSpaceDN w:val="0"/>
              <w:adjustRightInd w:val="0"/>
              <w:jc w:val="center"/>
              <w:rPr>
                <w:rFonts w:eastAsia="Calibri"/>
                <w:b/>
                <w:color w:val="000000"/>
                <w:sz w:val="22"/>
              </w:rPr>
            </w:pPr>
            <w:r w:rsidRPr="00B74A55">
              <w:rPr>
                <w:rFonts w:eastAsia="Calibri"/>
                <w:b/>
                <w:color w:val="000000"/>
                <w:sz w:val="22"/>
              </w:rPr>
              <w:t>Одиниця вимірювання</w:t>
            </w:r>
          </w:p>
        </w:tc>
        <w:tc>
          <w:tcPr>
            <w:tcW w:w="1836" w:type="dxa"/>
            <w:gridSpan w:val="2"/>
            <w:tcBorders>
              <w:top w:val="single" w:sz="6" w:space="0" w:color="auto"/>
              <w:left w:val="single" w:sz="6" w:space="0" w:color="auto"/>
              <w:bottom w:val="single" w:sz="6" w:space="0" w:color="auto"/>
              <w:right w:val="single" w:sz="6" w:space="0" w:color="auto"/>
            </w:tcBorders>
          </w:tcPr>
          <w:p w:rsidR="00D65CFC" w:rsidRPr="00B74A55" w:rsidRDefault="00D65CFC" w:rsidP="00524DBF">
            <w:pPr>
              <w:autoSpaceDE w:val="0"/>
              <w:autoSpaceDN w:val="0"/>
              <w:adjustRightInd w:val="0"/>
              <w:jc w:val="center"/>
              <w:rPr>
                <w:rFonts w:eastAsia="Calibri"/>
                <w:b/>
                <w:color w:val="000000"/>
                <w:sz w:val="22"/>
              </w:rPr>
            </w:pPr>
            <w:r w:rsidRPr="00B74A55">
              <w:rPr>
                <w:rFonts w:eastAsia="Calibri"/>
                <w:b/>
                <w:color w:val="000000"/>
                <w:sz w:val="22"/>
              </w:rPr>
              <w:t>Прогнозне (цільове) значення</w:t>
            </w:r>
          </w:p>
        </w:tc>
      </w:tr>
      <w:tr w:rsidR="00D65CFC" w:rsidRPr="00B74A55" w:rsidTr="00CF7694">
        <w:trPr>
          <w:trHeight w:val="4409"/>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65CFC" w:rsidRPr="00B74A55" w:rsidRDefault="00D65CFC" w:rsidP="00524DBF">
            <w:pPr>
              <w:autoSpaceDE w:val="0"/>
              <w:autoSpaceDN w:val="0"/>
              <w:adjustRightInd w:val="0"/>
              <w:jc w:val="right"/>
              <w:rPr>
                <w:rFonts w:eastAsia="Calibri"/>
                <w:b/>
                <w:color w:val="000000"/>
                <w:sz w:val="22"/>
              </w:rPr>
            </w:pPr>
          </w:p>
        </w:tc>
        <w:tc>
          <w:tcPr>
            <w:tcW w:w="3796" w:type="dxa"/>
            <w:gridSpan w:val="3"/>
            <w:tcBorders>
              <w:top w:val="single" w:sz="6" w:space="0" w:color="auto"/>
              <w:left w:val="single" w:sz="6" w:space="0" w:color="auto"/>
              <w:bottom w:val="single" w:sz="6" w:space="0" w:color="auto"/>
              <w:right w:val="single" w:sz="6" w:space="0" w:color="auto"/>
            </w:tcBorders>
          </w:tcPr>
          <w:p w:rsidR="00D65CFC" w:rsidRPr="00B74A55" w:rsidRDefault="00D65CFC" w:rsidP="00CF7694">
            <w:pPr>
              <w:autoSpaceDE w:val="0"/>
              <w:autoSpaceDN w:val="0"/>
              <w:adjustRightInd w:val="0"/>
              <w:jc w:val="left"/>
              <w:rPr>
                <w:rFonts w:eastAsia="Calibri"/>
                <w:color w:val="000000"/>
                <w:sz w:val="22"/>
              </w:rPr>
            </w:pPr>
            <w:r w:rsidRPr="00B74A55">
              <w:rPr>
                <w:rFonts w:eastAsia="Calibri"/>
                <w:color w:val="000000"/>
                <w:sz w:val="22"/>
              </w:rPr>
              <w:t>Кількість фізичних</w:t>
            </w:r>
            <w:r w:rsidR="00CF7694" w:rsidRPr="00B74A55">
              <w:rPr>
                <w:rFonts w:eastAsia="Calibri"/>
                <w:color w:val="000000"/>
                <w:sz w:val="22"/>
              </w:rPr>
              <w:t xml:space="preserve"> </w:t>
            </w:r>
            <w:r w:rsidRPr="00B74A55">
              <w:rPr>
                <w:rFonts w:eastAsia="Calibri"/>
                <w:color w:val="000000"/>
                <w:sz w:val="22"/>
              </w:rPr>
              <w:t>осіб, які</w:t>
            </w:r>
          </w:p>
          <w:p w:rsidR="00D65CFC" w:rsidRPr="00B74A55" w:rsidRDefault="00D65CFC" w:rsidP="00CF7694">
            <w:pPr>
              <w:autoSpaceDE w:val="0"/>
              <w:autoSpaceDN w:val="0"/>
              <w:adjustRightInd w:val="0"/>
              <w:jc w:val="left"/>
              <w:rPr>
                <w:rFonts w:eastAsia="Calibri"/>
                <w:color w:val="000000"/>
                <w:sz w:val="22"/>
              </w:rPr>
            </w:pPr>
            <w:r w:rsidRPr="00B74A55">
              <w:rPr>
                <w:rFonts w:eastAsia="Calibri"/>
                <w:color w:val="000000"/>
                <w:sz w:val="22"/>
              </w:rPr>
              <w:t>звернулись за</w:t>
            </w:r>
            <w:r w:rsidR="00CF7694" w:rsidRPr="00B74A55">
              <w:rPr>
                <w:rFonts w:eastAsia="Calibri"/>
                <w:color w:val="000000"/>
                <w:sz w:val="22"/>
              </w:rPr>
              <w:t xml:space="preserve"> </w:t>
            </w:r>
            <w:r w:rsidRPr="00B74A55">
              <w:rPr>
                <w:rFonts w:eastAsia="Calibri"/>
                <w:color w:val="000000"/>
                <w:sz w:val="22"/>
              </w:rPr>
              <w:t>послугами</w:t>
            </w:r>
          </w:p>
          <w:p w:rsidR="00D65CFC" w:rsidRPr="00B74A55" w:rsidRDefault="00D65CFC" w:rsidP="00CF7694">
            <w:pPr>
              <w:autoSpaceDE w:val="0"/>
              <w:autoSpaceDN w:val="0"/>
              <w:adjustRightInd w:val="0"/>
              <w:jc w:val="left"/>
              <w:rPr>
                <w:rFonts w:eastAsia="Calibri"/>
                <w:color w:val="000000"/>
                <w:sz w:val="22"/>
              </w:rPr>
            </w:pPr>
            <w:r w:rsidRPr="00B74A55">
              <w:rPr>
                <w:rFonts w:eastAsia="Calibri"/>
                <w:color w:val="000000"/>
                <w:sz w:val="22"/>
              </w:rPr>
              <w:t>протягом року</w:t>
            </w:r>
          </w:p>
          <w:p w:rsidR="00D65CFC" w:rsidRPr="00B74A55" w:rsidRDefault="00D65CFC" w:rsidP="00CF7694">
            <w:pPr>
              <w:autoSpaceDE w:val="0"/>
              <w:autoSpaceDN w:val="0"/>
              <w:adjustRightInd w:val="0"/>
              <w:jc w:val="left"/>
              <w:rPr>
                <w:rFonts w:eastAsia="Calibri"/>
                <w:color w:val="000000"/>
                <w:sz w:val="22"/>
              </w:rPr>
            </w:pPr>
          </w:p>
          <w:p w:rsidR="00D65CFC" w:rsidRPr="00B74A55" w:rsidRDefault="00D65CFC" w:rsidP="00CF7694">
            <w:pPr>
              <w:autoSpaceDE w:val="0"/>
              <w:autoSpaceDN w:val="0"/>
              <w:adjustRightInd w:val="0"/>
              <w:jc w:val="left"/>
              <w:rPr>
                <w:rFonts w:eastAsia="Calibri"/>
                <w:color w:val="000000"/>
                <w:sz w:val="22"/>
              </w:rPr>
            </w:pPr>
            <w:r w:rsidRPr="00B74A55">
              <w:rPr>
                <w:rFonts w:eastAsia="Calibri"/>
                <w:color w:val="000000"/>
                <w:sz w:val="22"/>
              </w:rPr>
              <w:t>Оснащення меблями, технічними засобами навчання, методичними та дидактичними матеріалами методичного кабінету, адміністративних кабінетів, кабінетів психолога, медичного кабінету, кімнат для молодшого обслуговуючого персоналу</w:t>
            </w:r>
          </w:p>
          <w:p w:rsidR="00D65CFC" w:rsidRPr="00B74A55" w:rsidRDefault="00D65CFC" w:rsidP="00524DBF">
            <w:pPr>
              <w:autoSpaceDE w:val="0"/>
              <w:autoSpaceDN w:val="0"/>
              <w:adjustRightInd w:val="0"/>
              <w:jc w:val="center"/>
              <w:rPr>
                <w:rFonts w:eastAsia="Calibri"/>
                <w:color w:val="000000"/>
                <w:sz w:val="22"/>
              </w:rPr>
            </w:pPr>
          </w:p>
          <w:p w:rsidR="00D65CFC" w:rsidRPr="00B74A55" w:rsidRDefault="00D65CFC" w:rsidP="00CF7694">
            <w:pPr>
              <w:autoSpaceDE w:val="0"/>
              <w:autoSpaceDN w:val="0"/>
              <w:adjustRightInd w:val="0"/>
              <w:jc w:val="left"/>
              <w:rPr>
                <w:rFonts w:eastAsia="Calibri"/>
                <w:color w:val="000000"/>
                <w:sz w:val="22"/>
              </w:rPr>
            </w:pPr>
            <w:r w:rsidRPr="00B74A55">
              <w:rPr>
                <w:rFonts w:eastAsia="Calibri"/>
                <w:color w:val="000000"/>
                <w:sz w:val="22"/>
              </w:rPr>
              <w:t xml:space="preserve">Створення освітнього, розвиваючого, виховного середовища вихованців  </w:t>
            </w:r>
          </w:p>
        </w:tc>
        <w:tc>
          <w:tcPr>
            <w:tcW w:w="1456" w:type="dxa"/>
            <w:gridSpan w:val="2"/>
            <w:tcBorders>
              <w:top w:val="single" w:sz="6" w:space="0" w:color="auto"/>
              <w:left w:val="single" w:sz="6" w:space="0" w:color="auto"/>
              <w:bottom w:val="single" w:sz="6" w:space="0" w:color="auto"/>
              <w:right w:val="single" w:sz="6" w:space="0" w:color="auto"/>
            </w:tcBorders>
          </w:tcPr>
          <w:p w:rsidR="00D65CFC" w:rsidRPr="00B74A55" w:rsidRDefault="00D65CFC" w:rsidP="00524DBF">
            <w:pPr>
              <w:rPr>
                <w:rFonts w:eastAsia="Calibri"/>
                <w:sz w:val="22"/>
              </w:rPr>
            </w:pPr>
            <w:r w:rsidRPr="00B74A55">
              <w:rPr>
                <w:rFonts w:eastAsia="Calibri"/>
                <w:sz w:val="22"/>
              </w:rPr>
              <w:t>осіб</w:t>
            </w:r>
          </w:p>
          <w:p w:rsidR="00D65CFC" w:rsidRPr="00B74A55" w:rsidRDefault="00D65CFC" w:rsidP="00524DBF">
            <w:pPr>
              <w:rPr>
                <w:rFonts w:eastAsia="Calibri"/>
                <w:sz w:val="22"/>
              </w:rPr>
            </w:pPr>
          </w:p>
          <w:p w:rsidR="00D65CFC" w:rsidRPr="00B74A55" w:rsidRDefault="00D65CFC" w:rsidP="00524DBF">
            <w:pPr>
              <w:rPr>
                <w:rFonts w:eastAsia="Calibri"/>
                <w:sz w:val="22"/>
              </w:rPr>
            </w:pPr>
          </w:p>
          <w:p w:rsidR="00D65CFC" w:rsidRPr="00B74A55" w:rsidRDefault="00D65CFC" w:rsidP="00524DBF">
            <w:pPr>
              <w:rPr>
                <w:rFonts w:eastAsia="Calibri"/>
                <w:sz w:val="22"/>
              </w:rPr>
            </w:pPr>
          </w:p>
          <w:p w:rsidR="00D65CFC" w:rsidRPr="00B74A55" w:rsidRDefault="00D65CFC" w:rsidP="00524DBF">
            <w:pPr>
              <w:rPr>
                <w:rFonts w:eastAsia="Calibri"/>
                <w:sz w:val="22"/>
              </w:rPr>
            </w:pPr>
          </w:p>
          <w:p w:rsidR="00D65CFC" w:rsidRPr="00B74A55" w:rsidRDefault="00D65CFC" w:rsidP="00524DBF">
            <w:pPr>
              <w:rPr>
                <w:rFonts w:eastAsia="Calibri"/>
                <w:sz w:val="22"/>
              </w:rPr>
            </w:pPr>
          </w:p>
          <w:p w:rsidR="00D65CFC" w:rsidRPr="00B74A55" w:rsidRDefault="00D65CFC" w:rsidP="00524DBF">
            <w:pPr>
              <w:rPr>
                <w:rFonts w:eastAsia="Calibri"/>
                <w:sz w:val="22"/>
              </w:rPr>
            </w:pPr>
            <w:r w:rsidRPr="00B74A55">
              <w:rPr>
                <w:rFonts w:eastAsia="Calibri"/>
                <w:sz w:val="22"/>
              </w:rPr>
              <w:t>осіб</w:t>
            </w:r>
          </w:p>
          <w:p w:rsidR="00D65CFC" w:rsidRPr="00B74A55" w:rsidRDefault="00D65CFC" w:rsidP="00524DBF">
            <w:pPr>
              <w:rPr>
                <w:rFonts w:eastAsia="Calibri"/>
                <w:sz w:val="22"/>
              </w:rPr>
            </w:pPr>
          </w:p>
          <w:p w:rsidR="00D65CFC" w:rsidRPr="00B74A55" w:rsidRDefault="00D65CFC" w:rsidP="00524DBF">
            <w:pPr>
              <w:rPr>
                <w:rFonts w:eastAsia="Calibri"/>
                <w:sz w:val="22"/>
              </w:rPr>
            </w:pPr>
          </w:p>
          <w:p w:rsidR="00D65CFC" w:rsidRPr="00B74A55" w:rsidRDefault="00D65CFC" w:rsidP="00524DBF">
            <w:pPr>
              <w:rPr>
                <w:rFonts w:eastAsia="Calibri"/>
                <w:sz w:val="22"/>
              </w:rPr>
            </w:pPr>
          </w:p>
          <w:p w:rsidR="00D65CFC" w:rsidRPr="00B74A55" w:rsidRDefault="00D65CFC" w:rsidP="00524DBF">
            <w:pPr>
              <w:rPr>
                <w:rFonts w:eastAsia="Calibri"/>
                <w:sz w:val="22"/>
              </w:rPr>
            </w:pPr>
          </w:p>
          <w:p w:rsidR="00D65CFC" w:rsidRPr="00B74A55" w:rsidRDefault="00D65CFC" w:rsidP="00524DBF">
            <w:pPr>
              <w:rPr>
                <w:rFonts w:eastAsia="Calibri"/>
                <w:sz w:val="22"/>
              </w:rPr>
            </w:pPr>
          </w:p>
          <w:p w:rsidR="00D65CFC" w:rsidRPr="00B74A55" w:rsidRDefault="00D65CFC" w:rsidP="00524DBF">
            <w:pPr>
              <w:rPr>
                <w:rFonts w:eastAsia="Calibri"/>
                <w:sz w:val="22"/>
              </w:rPr>
            </w:pPr>
          </w:p>
          <w:p w:rsidR="00D65CFC" w:rsidRPr="00B74A55" w:rsidRDefault="00D65CFC" w:rsidP="00524DBF">
            <w:pPr>
              <w:rPr>
                <w:rFonts w:eastAsia="Calibri"/>
                <w:sz w:val="22"/>
              </w:rPr>
            </w:pPr>
            <w:r w:rsidRPr="00B74A55">
              <w:rPr>
                <w:rFonts w:eastAsia="Calibri"/>
                <w:sz w:val="22"/>
              </w:rPr>
              <w:t>осіб</w:t>
            </w:r>
          </w:p>
        </w:tc>
        <w:tc>
          <w:tcPr>
            <w:tcW w:w="1836" w:type="dxa"/>
            <w:gridSpan w:val="2"/>
            <w:tcBorders>
              <w:top w:val="single" w:sz="6" w:space="0" w:color="auto"/>
              <w:left w:val="single" w:sz="6" w:space="0" w:color="auto"/>
              <w:bottom w:val="single" w:sz="6" w:space="0" w:color="auto"/>
              <w:right w:val="single" w:sz="6" w:space="0" w:color="auto"/>
            </w:tcBorders>
          </w:tcPr>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100</w:t>
            </w:r>
          </w:p>
          <w:p w:rsidR="00D65CFC" w:rsidRPr="00B74A55" w:rsidRDefault="00D65CFC" w:rsidP="00524DBF">
            <w:pPr>
              <w:autoSpaceDE w:val="0"/>
              <w:autoSpaceDN w:val="0"/>
              <w:adjustRightInd w:val="0"/>
              <w:jc w:val="right"/>
              <w:rPr>
                <w:rFonts w:eastAsia="Calibri"/>
                <w:color w:val="000000"/>
                <w:sz w:val="22"/>
              </w:rPr>
            </w:pPr>
          </w:p>
          <w:p w:rsidR="00D65CFC" w:rsidRPr="00B74A55" w:rsidRDefault="00D65CFC" w:rsidP="00524DBF">
            <w:pPr>
              <w:autoSpaceDE w:val="0"/>
              <w:autoSpaceDN w:val="0"/>
              <w:adjustRightInd w:val="0"/>
              <w:jc w:val="right"/>
              <w:rPr>
                <w:rFonts w:eastAsia="Calibri"/>
                <w:color w:val="000000"/>
                <w:sz w:val="22"/>
              </w:rPr>
            </w:pPr>
          </w:p>
          <w:p w:rsidR="00D65CFC" w:rsidRPr="00B74A55" w:rsidRDefault="00D65CFC" w:rsidP="00524DBF">
            <w:pPr>
              <w:autoSpaceDE w:val="0"/>
              <w:autoSpaceDN w:val="0"/>
              <w:adjustRightInd w:val="0"/>
              <w:jc w:val="right"/>
              <w:rPr>
                <w:rFonts w:eastAsia="Calibri"/>
                <w:color w:val="000000"/>
                <w:sz w:val="22"/>
              </w:rPr>
            </w:pPr>
          </w:p>
          <w:p w:rsidR="00D65CFC" w:rsidRPr="00B74A55" w:rsidRDefault="00D65CFC" w:rsidP="00524DBF">
            <w:pPr>
              <w:autoSpaceDE w:val="0"/>
              <w:autoSpaceDN w:val="0"/>
              <w:adjustRightInd w:val="0"/>
              <w:jc w:val="right"/>
              <w:rPr>
                <w:rFonts w:eastAsia="Calibri"/>
                <w:color w:val="000000"/>
                <w:sz w:val="22"/>
              </w:rPr>
            </w:pPr>
          </w:p>
          <w:p w:rsidR="00D65CFC" w:rsidRPr="00B74A55" w:rsidRDefault="00D65CFC" w:rsidP="00524DBF">
            <w:pPr>
              <w:autoSpaceDE w:val="0"/>
              <w:autoSpaceDN w:val="0"/>
              <w:adjustRightInd w:val="0"/>
              <w:jc w:val="left"/>
              <w:rPr>
                <w:rFonts w:eastAsia="Calibri"/>
                <w:color w:val="000000"/>
                <w:sz w:val="22"/>
              </w:rPr>
            </w:pPr>
            <w:r w:rsidRPr="00B74A55">
              <w:rPr>
                <w:rFonts w:eastAsia="Calibri"/>
                <w:color w:val="000000"/>
                <w:sz w:val="22"/>
              </w:rPr>
              <w:t xml:space="preserve">                             </w:t>
            </w:r>
          </w:p>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 xml:space="preserve">  17</w:t>
            </w:r>
          </w:p>
          <w:p w:rsidR="00D65CFC" w:rsidRPr="00B74A55" w:rsidRDefault="00D65CFC" w:rsidP="00524DBF">
            <w:pPr>
              <w:autoSpaceDE w:val="0"/>
              <w:autoSpaceDN w:val="0"/>
              <w:adjustRightInd w:val="0"/>
              <w:rPr>
                <w:rFonts w:eastAsia="Calibri"/>
                <w:color w:val="000000"/>
                <w:sz w:val="22"/>
              </w:rPr>
            </w:pPr>
          </w:p>
          <w:p w:rsidR="00D65CFC" w:rsidRPr="00B74A55" w:rsidRDefault="00D65CFC" w:rsidP="00524DBF">
            <w:pPr>
              <w:autoSpaceDE w:val="0"/>
              <w:autoSpaceDN w:val="0"/>
              <w:adjustRightInd w:val="0"/>
              <w:rPr>
                <w:rFonts w:eastAsia="Calibri"/>
                <w:color w:val="000000"/>
                <w:sz w:val="22"/>
              </w:rPr>
            </w:pPr>
          </w:p>
          <w:p w:rsidR="00D65CFC" w:rsidRPr="00B74A55" w:rsidRDefault="00D65CFC" w:rsidP="00524DBF">
            <w:pPr>
              <w:autoSpaceDE w:val="0"/>
              <w:autoSpaceDN w:val="0"/>
              <w:adjustRightInd w:val="0"/>
              <w:rPr>
                <w:rFonts w:eastAsia="Calibri"/>
                <w:color w:val="000000"/>
                <w:sz w:val="22"/>
              </w:rPr>
            </w:pPr>
          </w:p>
          <w:p w:rsidR="00D65CFC" w:rsidRPr="00B74A55" w:rsidRDefault="00D65CFC" w:rsidP="00524DBF">
            <w:pPr>
              <w:autoSpaceDE w:val="0"/>
              <w:autoSpaceDN w:val="0"/>
              <w:adjustRightInd w:val="0"/>
              <w:rPr>
                <w:rFonts w:eastAsia="Calibri"/>
                <w:color w:val="000000"/>
                <w:sz w:val="22"/>
              </w:rPr>
            </w:pPr>
          </w:p>
          <w:p w:rsidR="00D65CFC" w:rsidRPr="00B74A55" w:rsidRDefault="00D65CFC" w:rsidP="00524DBF">
            <w:pPr>
              <w:autoSpaceDE w:val="0"/>
              <w:autoSpaceDN w:val="0"/>
              <w:adjustRightInd w:val="0"/>
              <w:rPr>
                <w:rFonts w:eastAsia="Calibri"/>
                <w:color w:val="000000"/>
                <w:sz w:val="22"/>
              </w:rPr>
            </w:pPr>
          </w:p>
          <w:p w:rsidR="00D65CFC" w:rsidRPr="00B74A55" w:rsidRDefault="00D65CFC" w:rsidP="00524DBF">
            <w:pPr>
              <w:autoSpaceDE w:val="0"/>
              <w:autoSpaceDN w:val="0"/>
              <w:adjustRightInd w:val="0"/>
              <w:rPr>
                <w:rFonts w:eastAsia="Calibri"/>
                <w:color w:val="000000"/>
                <w:sz w:val="22"/>
              </w:rPr>
            </w:pPr>
          </w:p>
          <w:p w:rsidR="00D65CFC" w:rsidRPr="00B74A55" w:rsidRDefault="00D65CFC" w:rsidP="00CF7694">
            <w:pPr>
              <w:autoSpaceDE w:val="0"/>
              <w:autoSpaceDN w:val="0"/>
              <w:adjustRightInd w:val="0"/>
              <w:rPr>
                <w:rFonts w:eastAsia="Calibri"/>
                <w:color w:val="000000"/>
                <w:sz w:val="22"/>
              </w:rPr>
            </w:pPr>
            <w:r w:rsidRPr="00B74A55">
              <w:rPr>
                <w:rFonts w:eastAsia="Calibri"/>
                <w:color w:val="000000"/>
                <w:sz w:val="22"/>
              </w:rPr>
              <w:t>40</w:t>
            </w:r>
          </w:p>
        </w:tc>
      </w:tr>
      <w:tr w:rsidR="00D65CFC" w:rsidRPr="00B74A55" w:rsidTr="00524DBF">
        <w:trPr>
          <w:trHeight w:val="1473"/>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65CFC" w:rsidRPr="00B74A55" w:rsidRDefault="00D65CFC" w:rsidP="00524DBF">
            <w:pPr>
              <w:autoSpaceDE w:val="0"/>
              <w:autoSpaceDN w:val="0"/>
              <w:adjustRightInd w:val="0"/>
              <w:rPr>
                <w:rFonts w:eastAsia="Calibri"/>
                <w:b/>
                <w:color w:val="000000"/>
                <w:sz w:val="22"/>
              </w:rPr>
            </w:pPr>
            <w:r w:rsidRPr="00B74A55">
              <w:rPr>
                <w:rFonts w:eastAsia="Calibri"/>
                <w:b/>
                <w:color w:val="000000"/>
                <w:sz w:val="22"/>
              </w:rPr>
              <w:t>Ключові заходи проекту:</w:t>
            </w:r>
          </w:p>
        </w:tc>
        <w:tc>
          <w:tcPr>
            <w:tcW w:w="7088" w:type="dxa"/>
            <w:gridSpan w:val="7"/>
            <w:tcBorders>
              <w:top w:val="single" w:sz="6" w:space="0" w:color="auto"/>
              <w:left w:val="single" w:sz="6" w:space="0" w:color="auto"/>
              <w:bottom w:val="single" w:sz="6" w:space="0" w:color="auto"/>
              <w:right w:val="single" w:sz="6" w:space="0" w:color="auto"/>
            </w:tcBorders>
          </w:tcPr>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 xml:space="preserve">1.Освітлення </w:t>
            </w:r>
            <w:proofErr w:type="spellStart"/>
            <w:r w:rsidRPr="00B74A55">
              <w:rPr>
                <w:rFonts w:eastAsia="Calibri"/>
                <w:color w:val="000000"/>
                <w:sz w:val="22"/>
              </w:rPr>
              <w:t>про</w:t>
            </w:r>
            <w:r w:rsidR="00CF7694" w:rsidRPr="00B74A55">
              <w:rPr>
                <w:rFonts w:eastAsia="Calibri"/>
                <w:color w:val="000000"/>
                <w:sz w:val="22"/>
              </w:rPr>
              <w:t>є</w:t>
            </w:r>
            <w:r w:rsidRPr="00B74A55">
              <w:rPr>
                <w:rFonts w:eastAsia="Calibri"/>
                <w:color w:val="000000"/>
                <w:sz w:val="22"/>
              </w:rPr>
              <w:t>кту</w:t>
            </w:r>
            <w:proofErr w:type="spellEnd"/>
            <w:r w:rsidRPr="00B74A55">
              <w:rPr>
                <w:rFonts w:eastAsia="Calibri"/>
                <w:color w:val="000000"/>
                <w:sz w:val="22"/>
              </w:rPr>
              <w:t xml:space="preserve"> серед </w:t>
            </w:r>
            <w:r w:rsidR="00CF7694" w:rsidRPr="00B74A55">
              <w:rPr>
                <w:rFonts w:eastAsia="Calibri"/>
                <w:color w:val="000000"/>
                <w:sz w:val="22"/>
              </w:rPr>
              <w:t>у</w:t>
            </w:r>
            <w:r w:rsidRPr="00B74A55">
              <w:rPr>
                <w:rFonts w:eastAsia="Calibri"/>
                <w:color w:val="000000"/>
                <w:sz w:val="22"/>
              </w:rPr>
              <w:t>країнських та міжнародних організацій.</w:t>
            </w:r>
          </w:p>
          <w:p w:rsidR="00D65CFC" w:rsidRPr="00B74A55" w:rsidRDefault="00D65CFC" w:rsidP="00524DBF">
            <w:pPr>
              <w:rPr>
                <w:rFonts w:eastAsia="Calibri"/>
                <w:sz w:val="22"/>
              </w:rPr>
            </w:pPr>
            <w:r w:rsidRPr="00B74A55">
              <w:rPr>
                <w:rFonts w:eastAsia="Calibri"/>
                <w:sz w:val="22"/>
              </w:rPr>
              <w:t>2. Вивчення та вибір оптимальної пропозиції.</w:t>
            </w:r>
          </w:p>
          <w:p w:rsidR="00D65CFC" w:rsidRPr="00B74A55" w:rsidRDefault="00D65CFC" w:rsidP="00524DBF">
            <w:pPr>
              <w:rPr>
                <w:rFonts w:eastAsia="Calibri"/>
                <w:sz w:val="22"/>
              </w:rPr>
            </w:pPr>
            <w:r w:rsidRPr="00B74A55">
              <w:rPr>
                <w:rFonts w:eastAsia="Calibri"/>
                <w:sz w:val="22"/>
              </w:rPr>
              <w:t>3.Складання договорів та кошторисної документації.</w:t>
            </w:r>
          </w:p>
          <w:p w:rsidR="00D65CFC" w:rsidRPr="00B74A55" w:rsidRDefault="00D65CFC" w:rsidP="00524DBF">
            <w:pPr>
              <w:rPr>
                <w:rFonts w:eastAsia="Calibri"/>
                <w:sz w:val="22"/>
              </w:rPr>
            </w:pPr>
            <w:r w:rsidRPr="00B74A55">
              <w:rPr>
                <w:rFonts w:eastAsia="Calibri"/>
                <w:sz w:val="22"/>
              </w:rPr>
              <w:t>4.Створення умов праці для  навчання та виховання вихованців ЗДО № 45</w:t>
            </w:r>
          </w:p>
          <w:p w:rsidR="00D65CFC" w:rsidRPr="00B74A55" w:rsidRDefault="00D65CFC" w:rsidP="00524DBF">
            <w:pPr>
              <w:autoSpaceDE w:val="0"/>
              <w:autoSpaceDN w:val="0"/>
              <w:adjustRightInd w:val="0"/>
              <w:rPr>
                <w:rFonts w:eastAsia="Calibri"/>
                <w:color w:val="000000"/>
                <w:sz w:val="22"/>
              </w:rPr>
            </w:pPr>
            <w:r w:rsidRPr="00B74A55">
              <w:rPr>
                <w:rFonts w:eastAsia="Calibri"/>
                <w:sz w:val="22"/>
              </w:rPr>
              <w:t>5. Висвітлення  результатів.</w:t>
            </w:r>
          </w:p>
        </w:tc>
      </w:tr>
      <w:tr w:rsidR="00D65CFC" w:rsidRPr="00B74A55" w:rsidTr="00524DBF">
        <w:trPr>
          <w:trHeight w:val="265"/>
        </w:trPr>
        <w:tc>
          <w:tcPr>
            <w:tcW w:w="2977" w:type="dxa"/>
            <w:vMerge w:val="restart"/>
            <w:tcBorders>
              <w:top w:val="single" w:sz="6" w:space="0" w:color="auto"/>
              <w:left w:val="single" w:sz="6" w:space="0" w:color="auto"/>
              <w:right w:val="single" w:sz="6" w:space="0" w:color="auto"/>
            </w:tcBorders>
            <w:shd w:val="clear" w:color="00FFFF" w:fill="C6D9F1" w:themeFill="text2" w:themeFillTint="33"/>
          </w:tcPr>
          <w:p w:rsidR="00D65CFC" w:rsidRPr="00B74A55" w:rsidRDefault="00D65CFC" w:rsidP="00524DBF">
            <w:pPr>
              <w:autoSpaceDE w:val="0"/>
              <w:autoSpaceDN w:val="0"/>
              <w:adjustRightInd w:val="0"/>
              <w:rPr>
                <w:rFonts w:eastAsia="Calibri"/>
                <w:b/>
                <w:color w:val="000000"/>
                <w:sz w:val="22"/>
              </w:rPr>
            </w:pPr>
            <w:r w:rsidRPr="00B74A55">
              <w:rPr>
                <w:rFonts w:eastAsia="Calibri"/>
                <w:b/>
                <w:color w:val="000000"/>
                <w:sz w:val="22"/>
              </w:rPr>
              <w:t>Орієнтовний обсяг та джерела фінансування тис. гривень</w:t>
            </w:r>
          </w:p>
        </w:tc>
        <w:tc>
          <w:tcPr>
            <w:tcW w:w="1902" w:type="dxa"/>
            <w:vMerge w:val="restart"/>
            <w:tcBorders>
              <w:top w:val="single" w:sz="6" w:space="0" w:color="auto"/>
              <w:left w:val="single" w:sz="6" w:space="0" w:color="auto"/>
              <w:right w:val="single" w:sz="6" w:space="0" w:color="auto"/>
            </w:tcBorders>
          </w:tcPr>
          <w:p w:rsidR="00D65CFC" w:rsidRPr="00B74A55" w:rsidRDefault="00D65CFC" w:rsidP="00524DBF">
            <w:pPr>
              <w:autoSpaceDE w:val="0"/>
              <w:autoSpaceDN w:val="0"/>
              <w:adjustRightInd w:val="0"/>
              <w:jc w:val="center"/>
              <w:rPr>
                <w:rFonts w:eastAsia="Calibri"/>
                <w:color w:val="000000"/>
                <w:sz w:val="22"/>
              </w:rPr>
            </w:pPr>
            <w:r w:rsidRPr="00B74A55">
              <w:rPr>
                <w:rFonts w:eastAsia="Calibri"/>
                <w:color w:val="000000"/>
                <w:sz w:val="22"/>
              </w:rPr>
              <w:t>Державний бюджет</w:t>
            </w:r>
          </w:p>
        </w:tc>
        <w:tc>
          <w:tcPr>
            <w:tcW w:w="1019" w:type="dxa"/>
            <w:vMerge w:val="restart"/>
            <w:tcBorders>
              <w:top w:val="single" w:sz="6" w:space="0" w:color="auto"/>
              <w:left w:val="single" w:sz="6" w:space="0" w:color="auto"/>
              <w:right w:val="single" w:sz="6" w:space="0" w:color="auto"/>
            </w:tcBorders>
          </w:tcPr>
          <w:p w:rsidR="00D65CFC" w:rsidRPr="00B74A55" w:rsidRDefault="00D65CFC" w:rsidP="00524DBF">
            <w:pPr>
              <w:autoSpaceDE w:val="0"/>
              <w:autoSpaceDN w:val="0"/>
              <w:adjustRightInd w:val="0"/>
              <w:jc w:val="center"/>
              <w:rPr>
                <w:rFonts w:eastAsia="Calibri"/>
                <w:color w:val="000000"/>
                <w:sz w:val="22"/>
              </w:rPr>
            </w:pPr>
            <w:r w:rsidRPr="00B74A55">
              <w:rPr>
                <w:rFonts w:eastAsia="Calibri"/>
                <w:color w:val="000000"/>
                <w:sz w:val="22"/>
              </w:rPr>
              <w:t>Місцевий бюджет</w:t>
            </w:r>
          </w:p>
        </w:tc>
        <w:tc>
          <w:tcPr>
            <w:tcW w:w="2912" w:type="dxa"/>
            <w:gridSpan w:val="4"/>
            <w:tcBorders>
              <w:top w:val="single" w:sz="6" w:space="0" w:color="auto"/>
              <w:left w:val="single" w:sz="6" w:space="0" w:color="auto"/>
              <w:bottom w:val="single" w:sz="6" w:space="0" w:color="auto"/>
              <w:right w:val="single" w:sz="6" w:space="0" w:color="auto"/>
            </w:tcBorders>
          </w:tcPr>
          <w:p w:rsidR="00D65CFC" w:rsidRPr="00B74A55" w:rsidRDefault="00D65CFC" w:rsidP="00524DBF">
            <w:pPr>
              <w:autoSpaceDE w:val="0"/>
              <w:autoSpaceDN w:val="0"/>
              <w:adjustRightInd w:val="0"/>
              <w:jc w:val="center"/>
              <w:rPr>
                <w:rFonts w:eastAsia="Calibri"/>
                <w:color w:val="000000"/>
                <w:sz w:val="22"/>
              </w:rPr>
            </w:pPr>
            <w:r w:rsidRPr="00B74A55">
              <w:rPr>
                <w:rFonts w:eastAsia="Calibri"/>
                <w:color w:val="000000"/>
                <w:sz w:val="22"/>
              </w:rPr>
              <w:t>Інші джерела</w:t>
            </w:r>
          </w:p>
        </w:tc>
        <w:tc>
          <w:tcPr>
            <w:tcW w:w="1255" w:type="dxa"/>
            <w:vMerge w:val="restart"/>
            <w:tcBorders>
              <w:top w:val="single" w:sz="6" w:space="0" w:color="auto"/>
              <w:left w:val="single" w:sz="6" w:space="0" w:color="auto"/>
              <w:right w:val="single" w:sz="6" w:space="0" w:color="auto"/>
            </w:tcBorders>
          </w:tcPr>
          <w:p w:rsidR="00D65CFC" w:rsidRPr="00B74A55" w:rsidRDefault="00D65CFC" w:rsidP="00524DBF">
            <w:pPr>
              <w:autoSpaceDE w:val="0"/>
              <w:autoSpaceDN w:val="0"/>
              <w:adjustRightInd w:val="0"/>
              <w:jc w:val="center"/>
              <w:rPr>
                <w:rFonts w:eastAsia="Calibri"/>
                <w:color w:val="000000"/>
                <w:sz w:val="22"/>
              </w:rPr>
            </w:pPr>
            <w:r w:rsidRPr="00B74A55">
              <w:rPr>
                <w:rFonts w:eastAsia="Calibri"/>
                <w:color w:val="000000"/>
                <w:sz w:val="22"/>
              </w:rPr>
              <w:t>Всього</w:t>
            </w:r>
          </w:p>
        </w:tc>
      </w:tr>
      <w:tr w:rsidR="00D65CFC" w:rsidRPr="00B74A55" w:rsidTr="00524DBF">
        <w:trPr>
          <w:trHeight w:val="242"/>
        </w:trPr>
        <w:tc>
          <w:tcPr>
            <w:tcW w:w="2977" w:type="dxa"/>
            <w:vMerge/>
            <w:tcBorders>
              <w:left w:val="single" w:sz="6" w:space="0" w:color="auto"/>
              <w:right w:val="single" w:sz="6" w:space="0" w:color="auto"/>
            </w:tcBorders>
            <w:shd w:val="clear" w:color="00FFFF" w:fill="C6D9F1" w:themeFill="text2" w:themeFillTint="33"/>
          </w:tcPr>
          <w:p w:rsidR="00D65CFC" w:rsidRPr="00B74A55" w:rsidRDefault="00D65CFC" w:rsidP="00524DBF">
            <w:pPr>
              <w:autoSpaceDE w:val="0"/>
              <w:autoSpaceDN w:val="0"/>
              <w:adjustRightInd w:val="0"/>
              <w:rPr>
                <w:rFonts w:eastAsia="Calibri"/>
                <w:b/>
                <w:color w:val="000000"/>
                <w:sz w:val="22"/>
              </w:rPr>
            </w:pPr>
          </w:p>
        </w:tc>
        <w:tc>
          <w:tcPr>
            <w:tcW w:w="1902" w:type="dxa"/>
            <w:vMerge/>
            <w:tcBorders>
              <w:left w:val="single" w:sz="6" w:space="0" w:color="auto"/>
              <w:bottom w:val="single" w:sz="6" w:space="0" w:color="auto"/>
              <w:right w:val="single" w:sz="6" w:space="0" w:color="auto"/>
            </w:tcBorders>
          </w:tcPr>
          <w:p w:rsidR="00D65CFC" w:rsidRPr="00B74A55" w:rsidRDefault="00D65CFC" w:rsidP="00524DBF">
            <w:pPr>
              <w:autoSpaceDE w:val="0"/>
              <w:autoSpaceDN w:val="0"/>
              <w:adjustRightInd w:val="0"/>
              <w:jc w:val="center"/>
              <w:rPr>
                <w:rFonts w:eastAsia="Calibri"/>
                <w:color w:val="000000"/>
                <w:sz w:val="22"/>
              </w:rPr>
            </w:pPr>
          </w:p>
        </w:tc>
        <w:tc>
          <w:tcPr>
            <w:tcW w:w="1019" w:type="dxa"/>
            <w:vMerge/>
            <w:tcBorders>
              <w:left w:val="single" w:sz="6" w:space="0" w:color="auto"/>
              <w:bottom w:val="single" w:sz="6" w:space="0" w:color="auto"/>
              <w:right w:val="single" w:sz="6" w:space="0" w:color="auto"/>
            </w:tcBorders>
          </w:tcPr>
          <w:p w:rsidR="00D65CFC" w:rsidRPr="00B74A55" w:rsidRDefault="00D65CFC" w:rsidP="00524DBF">
            <w:pPr>
              <w:autoSpaceDE w:val="0"/>
              <w:autoSpaceDN w:val="0"/>
              <w:adjustRightInd w:val="0"/>
              <w:jc w:val="center"/>
              <w:rPr>
                <w:rFonts w:eastAsia="Calibri"/>
                <w:color w:val="000000"/>
                <w:sz w:val="22"/>
              </w:rPr>
            </w:pPr>
          </w:p>
        </w:tc>
        <w:tc>
          <w:tcPr>
            <w:tcW w:w="1019" w:type="dxa"/>
            <w:gridSpan w:val="2"/>
            <w:tcBorders>
              <w:top w:val="single" w:sz="6" w:space="0" w:color="auto"/>
              <w:left w:val="single" w:sz="6" w:space="0" w:color="auto"/>
              <w:bottom w:val="single" w:sz="6" w:space="0" w:color="auto"/>
              <w:right w:val="single" w:sz="6" w:space="0" w:color="auto"/>
            </w:tcBorders>
          </w:tcPr>
          <w:p w:rsidR="00D65CFC" w:rsidRPr="00B74A55" w:rsidRDefault="00D65CFC" w:rsidP="00524DBF">
            <w:pPr>
              <w:autoSpaceDE w:val="0"/>
              <w:autoSpaceDN w:val="0"/>
              <w:adjustRightInd w:val="0"/>
              <w:jc w:val="center"/>
              <w:rPr>
                <w:rFonts w:eastAsia="Calibri"/>
                <w:color w:val="000000"/>
                <w:sz w:val="22"/>
              </w:rPr>
            </w:pPr>
            <w:r w:rsidRPr="00B74A55">
              <w:rPr>
                <w:rFonts w:eastAsia="Calibri"/>
                <w:color w:val="000000"/>
                <w:sz w:val="22"/>
              </w:rPr>
              <w:t>Обсяг</w:t>
            </w:r>
          </w:p>
        </w:tc>
        <w:tc>
          <w:tcPr>
            <w:tcW w:w="1893" w:type="dxa"/>
            <w:gridSpan w:val="2"/>
            <w:tcBorders>
              <w:top w:val="single" w:sz="6" w:space="0" w:color="auto"/>
              <w:left w:val="single" w:sz="6" w:space="0" w:color="auto"/>
              <w:bottom w:val="single" w:sz="6" w:space="0" w:color="auto"/>
              <w:right w:val="single" w:sz="6" w:space="0" w:color="auto"/>
            </w:tcBorders>
          </w:tcPr>
          <w:p w:rsidR="00D65CFC" w:rsidRPr="00B74A55" w:rsidRDefault="00D65CFC" w:rsidP="00524DBF">
            <w:pPr>
              <w:autoSpaceDE w:val="0"/>
              <w:autoSpaceDN w:val="0"/>
              <w:adjustRightInd w:val="0"/>
              <w:jc w:val="center"/>
              <w:rPr>
                <w:rFonts w:eastAsia="Calibri"/>
                <w:color w:val="000000"/>
                <w:sz w:val="22"/>
              </w:rPr>
            </w:pPr>
            <w:r w:rsidRPr="00B74A55">
              <w:rPr>
                <w:rFonts w:eastAsia="Calibri"/>
                <w:color w:val="000000"/>
                <w:sz w:val="22"/>
              </w:rPr>
              <w:t>Назва джерела</w:t>
            </w:r>
          </w:p>
        </w:tc>
        <w:tc>
          <w:tcPr>
            <w:tcW w:w="1255" w:type="dxa"/>
            <w:vMerge/>
            <w:tcBorders>
              <w:left w:val="single" w:sz="6" w:space="0" w:color="auto"/>
              <w:bottom w:val="single" w:sz="6" w:space="0" w:color="auto"/>
              <w:right w:val="single" w:sz="6" w:space="0" w:color="auto"/>
            </w:tcBorders>
          </w:tcPr>
          <w:p w:rsidR="00D65CFC" w:rsidRPr="00B74A55" w:rsidRDefault="00D65CFC" w:rsidP="00524DBF">
            <w:pPr>
              <w:autoSpaceDE w:val="0"/>
              <w:autoSpaceDN w:val="0"/>
              <w:adjustRightInd w:val="0"/>
              <w:jc w:val="center"/>
              <w:rPr>
                <w:rFonts w:eastAsia="Calibri"/>
                <w:color w:val="000000"/>
                <w:sz w:val="22"/>
              </w:rPr>
            </w:pPr>
          </w:p>
        </w:tc>
      </w:tr>
      <w:tr w:rsidR="00D65CFC" w:rsidRPr="00B74A55" w:rsidTr="00524DBF">
        <w:trPr>
          <w:trHeight w:val="165"/>
        </w:trPr>
        <w:tc>
          <w:tcPr>
            <w:tcW w:w="2977" w:type="dxa"/>
            <w:vMerge/>
            <w:tcBorders>
              <w:left w:val="single" w:sz="6" w:space="0" w:color="auto"/>
              <w:bottom w:val="single" w:sz="6" w:space="0" w:color="auto"/>
              <w:right w:val="single" w:sz="6" w:space="0" w:color="auto"/>
            </w:tcBorders>
            <w:shd w:val="clear" w:color="00FFFF" w:fill="C6D9F1" w:themeFill="text2" w:themeFillTint="33"/>
          </w:tcPr>
          <w:p w:rsidR="00D65CFC" w:rsidRPr="00B74A55" w:rsidRDefault="00D65CFC" w:rsidP="00524DBF">
            <w:pPr>
              <w:autoSpaceDE w:val="0"/>
              <w:autoSpaceDN w:val="0"/>
              <w:adjustRightInd w:val="0"/>
              <w:rPr>
                <w:rFonts w:eastAsia="Calibri"/>
                <w:b/>
                <w:color w:val="000000"/>
                <w:sz w:val="22"/>
              </w:rPr>
            </w:pPr>
          </w:p>
        </w:tc>
        <w:tc>
          <w:tcPr>
            <w:tcW w:w="1902" w:type="dxa"/>
            <w:tcBorders>
              <w:top w:val="single" w:sz="6" w:space="0" w:color="auto"/>
              <w:left w:val="single" w:sz="6" w:space="0" w:color="auto"/>
              <w:bottom w:val="single" w:sz="6" w:space="0" w:color="auto"/>
              <w:right w:val="single" w:sz="6" w:space="0" w:color="auto"/>
            </w:tcBorders>
          </w:tcPr>
          <w:p w:rsidR="00D65CFC" w:rsidRPr="00B74A55" w:rsidRDefault="00D65CFC" w:rsidP="00524DBF">
            <w:pPr>
              <w:autoSpaceDE w:val="0"/>
              <w:autoSpaceDN w:val="0"/>
              <w:adjustRightInd w:val="0"/>
              <w:jc w:val="center"/>
              <w:rPr>
                <w:rFonts w:eastAsia="Calibri"/>
                <w:color w:val="000000"/>
                <w:sz w:val="22"/>
              </w:rPr>
            </w:pPr>
            <w:r w:rsidRPr="00B74A55">
              <w:rPr>
                <w:rFonts w:eastAsia="Calibri"/>
                <w:color w:val="000000"/>
                <w:sz w:val="22"/>
              </w:rPr>
              <w:t>1120,0</w:t>
            </w:r>
          </w:p>
        </w:tc>
        <w:tc>
          <w:tcPr>
            <w:tcW w:w="1019" w:type="dxa"/>
            <w:tcBorders>
              <w:top w:val="single" w:sz="6" w:space="0" w:color="auto"/>
              <w:left w:val="single" w:sz="6" w:space="0" w:color="auto"/>
              <w:bottom w:val="single" w:sz="6" w:space="0" w:color="auto"/>
              <w:right w:val="single" w:sz="6" w:space="0" w:color="auto"/>
            </w:tcBorders>
          </w:tcPr>
          <w:p w:rsidR="00D65CFC" w:rsidRPr="00B74A55" w:rsidRDefault="00CF7694" w:rsidP="00524DBF">
            <w:pPr>
              <w:autoSpaceDE w:val="0"/>
              <w:autoSpaceDN w:val="0"/>
              <w:adjustRightInd w:val="0"/>
              <w:jc w:val="center"/>
              <w:rPr>
                <w:rFonts w:eastAsia="Calibri"/>
                <w:color w:val="000000"/>
                <w:sz w:val="22"/>
              </w:rPr>
            </w:pPr>
            <w:r w:rsidRPr="00B74A55">
              <w:rPr>
                <w:rFonts w:eastAsia="Calibri"/>
                <w:color w:val="000000"/>
                <w:sz w:val="22"/>
              </w:rPr>
              <w:t>-</w:t>
            </w:r>
          </w:p>
        </w:tc>
        <w:tc>
          <w:tcPr>
            <w:tcW w:w="1019" w:type="dxa"/>
            <w:gridSpan w:val="2"/>
            <w:tcBorders>
              <w:top w:val="single" w:sz="6" w:space="0" w:color="auto"/>
              <w:left w:val="single" w:sz="6" w:space="0" w:color="auto"/>
              <w:bottom w:val="single" w:sz="6" w:space="0" w:color="auto"/>
              <w:right w:val="single" w:sz="6" w:space="0" w:color="auto"/>
            </w:tcBorders>
          </w:tcPr>
          <w:p w:rsidR="00D65CFC" w:rsidRPr="00B74A55" w:rsidRDefault="00D65CFC" w:rsidP="00524DBF">
            <w:pPr>
              <w:autoSpaceDE w:val="0"/>
              <w:autoSpaceDN w:val="0"/>
              <w:adjustRightInd w:val="0"/>
              <w:jc w:val="center"/>
              <w:rPr>
                <w:rFonts w:eastAsia="Calibri"/>
                <w:color w:val="000000"/>
                <w:sz w:val="22"/>
              </w:rPr>
            </w:pPr>
          </w:p>
          <w:p w:rsidR="00D65CFC" w:rsidRPr="00B74A55" w:rsidRDefault="00D65CFC" w:rsidP="00524DBF">
            <w:pPr>
              <w:autoSpaceDE w:val="0"/>
              <w:autoSpaceDN w:val="0"/>
              <w:adjustRightInd w:val="0"/>
              <w:jc w:val="center"/>
              <w:rPr>
                <w:rFonts w:eastAsia="Calibri"/>
                <w:color w:val="000000"/>
                <w:sz w:val="22"/>
              </w:rPr>
            </w:pPr>
            <w:r w:rsidRPr="00B74A55">
              <w:rPr>
                <w:rFonts w:eastAsia="Calibri"/>
                <w:color w:val="000000"/>
                <w:sz w:val="22"/>
              </w:rPr>
              <w:t>480,0</w:t>
            </w:r>
          </w:p>
          <w:p w:rsidR="00D65CFC" w:rsidRPr="00B74A55" w:rsidRDefault="00D65CFC" w:rsidP="00524DBF">
            <w:pPr>
              <w:autoSpaceDE w:val="0"/>
              <w:autoSpaceDN w:val="0"/>
              <w:adjustRightInd w:val="0"/>
              <w:jc w:val="center"/>
              <w:rPr>
                <w:rFonts w:eastAsia="Calibri"/>
                <w:color w:val="000000"/>
                <w:sz w:val="22"/>
              </w:rPr>
            </w:pPr>
          </w:p>
        </w:tc>
        <w:tc>
          <w:tcPr>
            <w:tcW w:w="1893" w:type="dxa"/>
            <w:gridSpan w:val="2"/>
            <w:tcBorders>
              <w:top w:val="single" w:sz="6" w:space="0" w:color="auto"/>
              <w:left w:val="single" w:sz="6" w:space="0" w:color="auto"/>
              <w:bottom w:val="single" w:sz="6" w:space="0" w:color="auto"/>
              <w:right w:val="single" w:sz="6" w:space="0" w:color="auto"/>
            </w:tcBorders>
          </w:tcPr>
          <w:p w:rsidR="00D65CFC" w:rsidRPr="00B74A55" w:rsidRDefault="00D65CFC" w:rsidP="00524DBF">
            <w:pPr>
              <w:pStyle w:val="15"/>
              <w:jc w:val="center"/>
              <w:rPr>
                <w:rFonts w:ascii="Times New Roman" w:hAnsi="Times New Roman"/>
                <w:sz w:val="22"/>
                <w:lang w:val="uk-UA"/>
              </w:rPr>
            </w:pPr>
            <w:r w:rsidRPr="00B74A55">
              <w:rPr>
                <w:rFonts w:ascii="Times New Roman" w:hAnsi="Times New Roman"/>
                <w:sz w:val="22"/>
                <w:lang w:val="uk-UA"/>
              </w:rPr>
              <w:t>Міжнародні інвестиції, кошти приватних осіб</w:t>
            </w:r>
          </w:p>
        </w:tc>
        <w:tc>
          <w:tcPr>
            <w:tcW w:w="1255" w:type="dxa"/>
            <w:tcBorders>
              <w:top w:val="single" w:sz="6" w:space="0" w:color="auto"/>
              <w:left w:val="single" w:sz="6" w:space="0" w:color="auto"/>
              <w:bottom w:val="single" w:sz="6" w:space="0" w:color="auto"/>
              <w:right w:val="single" w:sz="6" w:space="0" w:color="auto"/>
            </w:tcBorders>
          </w:tcPr>
          <w:p w:rsidR="00D65CFC" w:rsidRPr="00B74A55" w:rsidRDefault="00D65CFC" w:rsidP="00524DBF">
            <w:pPr>
              <w:autoSpaceDE w:val="0"/>
              <w:autoSpaceDN w:val="0"/>
              <w:adjustRightInd w:val="0"/>
              <w:jc w:val="center"/>
              <w:rPr>
                <w:rFonts w:eastAsia="Calibri"/>
                <w:color w:val="000000"/>
                <w:sz w:val="22"/>
              </w:rPr>
            </w:pPr>
            <w:r w:rsidRPr="00B74A55">
              <w:rPr>
                <w:rFonts w:eastAsia="Calibri"/>
                <w:color w:val="000000"/>
                <w:sz w:val="22"/>
              </w:rPr>
              <w:t>1 600 ,0</w:t>
            </w:r>
          </w:p>
        </w:tc>
      </w:tr>
    </w:tbl>
    <w:p w:rsidR="00D65CFC" w:rsidRPr="00B74A55" w:rsidRDefault="00D65CFC" w:rsidP="004479C5">
      <w:pPr>
        <w:spacing w:after="160" w:line="259" w:lineRule="auto"/>
        <w:rPr>
          <w:rFonts w:eastAsia="Calibri"/>
          <w:b/>
          <w:bCs/>
          <w:noProof/>
          <w:sz w:val="22"/>
          <w:szCs w:val="22"/>
          <w:lang w:val="ru-RU"/>
        </w:rPr>
      </w:pPr>
    </w:p>
    <w:tbl>
      <w:tblPr>
        <w:tblpPr w:leftFromText="180" w:rightFromText="180" w:vertAnchor="text" w:horzAnchor="page" w:tblpX="1" w:tblpY="123"/>
        <w:tblW w:w="11512" w:type="dxa"/>
        <w:tblLayout w:type="fixed"/>
        <w:tblCellMar>
          <w:left w:w="30" w:type="dxa"/>
          <w:right w:w="30" w:type="dxa"/>
        </w:tblCellMar>
        <w:tblLook w:val="0000" w:firstRow="0" w:lastRow="0" w:firstColumn="0" w:lastColumn="0" w:noHBand="0" w:noVBand="0"/>
      </w:tblPr>
      <w:tblGrid>
        <w:gridCol w:w="1448"/>
        <w:gridCol w:w="2977"/>
        <w:gridCol w:w="1417"/>
        <w:gridCol w:w="1276"/>
        <w:gridCol w:w="1134"/>
        <w:gridCol w:w="283"/>
        <w:gridCol w:w="1560"/>
        <w:gridCol w:w="141"/>
        <w:gridCol w:w="1276"/>
      </w:tblGrid>
      <w:tr w:rsidR="000714B4" w:rsidRPr="00B74A55" w:rsidTr="000714B4">
        <w:trPr>
          <w:trHeight w:val="1015"/>
        </w:trPr>
        <w:tc>
          <w:tcPr>
            <w:tcW w:w="1448" w:type="dxa"/>
            <w:tcBorders>
              <w:top w:val="nil"/>
              <w:left w:val="nil"/>
              <w:bottom w:val="nil"/>
              <w:right w:val="nil"/>
            </w:tcBorders>
          </w:tcPr>
          <w:p w:rsidR="000714B4" w:rsidRPr="00B74A55" w:rsidRDefault="000714B4" w:rsidP="002F19B5">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right w:val="single" w:sz="6" w:space="0" w:color="auto"/>
            </w:tcBorders>
            <w:shd w:val="clear" w:color="00FFFF" w:fill="C6D9F1" w:themeFill="text2" w:themeFillTint="33"/>
          </w:tcPr>
          <w:p w:rsidR="000714B4" w:rsidRPr="00B74A55" w:rsidRDefault="000714B4" w:rsidP="002F19B5">
            <w:pPr>
              <w:autoSpaceDE w:val="0"/>
              <w:autoSpaceDN w:val="0"/>
              <w:adjustRightInd w:val="0"/>
              <w:rPr>
                <w:rFonts w:eastAsia="Calibri"/>
                <w:b/>
                <w:color w:val="000000"/>
                <w:sz w:val="22"/>
              </w:rPr>
            </w:pPr>
            <w:r w:rsidRPr="00B74A55">
              <w:rPr>
                <w:rFonts w:eastAsia="Calibri"/>
                <w:b/>
                <w:color w:val="000000"/>
                <w:sz w:val="22"/>
              </w:rPr>
              <w:t>Оперативна ціль/завдання</w:t>
            </w:r>
          </w:p>
        </w:tc>
        <w:tc>
          <w:tcPr>
            <w:tcW w:w="7087" w:type="dxa"/>
            <w:gridSpan w:val="7"/>
            <w:tcBorders>
              <w:top w:val="single" w:sz="6" w:space="0" w:color="auto"/>
              <w:left w:val="single" w:sz="6" w:space="0" w:color="auto"/>
              <w:bottom w:val="single" w:sz="6" w:space="0" w:color="auto"/>
              <w:right w:val="single" w:sz="6" w:space="0" w:color="auto"/>
            </w:tcBorders>
          </w:tcPr>
          <w:p w:rsidR="000714B4" w:rsidRPr="00B74A55" w:rsidRDefault="000714B4" w:rsidP="002F19B5">
            <w:pPr>
              <w:autoSpaceDE w:val="0"/>
              <w:autoSpaceDN w:val="0"/>
              <w:adjustRightInd w:val="0"/>
              <w:rPr>
                <w:rFonts w:eastAsia="Calibri"/>
                <w:color w:val="000000"/>
                <w:sz w:val="22"/>
              </w:rPr>
            </w:pPr>
            <w:r w:rsidRPr="00B74A55">
              <w:rPr>
                <w:color w:val="222222"/>
                <w:sz w:val="22"/>
                <w:shd w:val="clear" w:color="auto" w:fill="FFFFFF"/>
              </w:rPr>
              <w:t xml:space="preserve">Людський розвиток через інновації управління та довіру до влади. Формування сучасного інклюзивного  </w:t>
            </w:r>
            <w:proofErr w:type="spellStart"/>
            <w:r w:rsidRPr="00B74A55">
              <w:rPr>
                <w:color w:val="222222"/>
                <w:sz w:val="22"/>
                <w:shd w:val="clear" w:color="auto" w:fill="FFFFFF"/>
              </w:rPr>
              <w:t>освітньо</w:t>
            </w:r>
            <w:proofErr w:type="spellEnd"/>
            <w:r w:rsidRPr="00B74A55">
              <w:rPr>
                <w:color w:val="222222"/>
                <w:sz w:val="22"/>
                <w:shd w:val="clear" w:color="auto" w:fill="FFFFFF"/>
              </w:rPr>
              <w:t>-культурного та спортивного простору для розвитку.</w:t>
            </w:r>
          </w:p>
        </w:tc>
      </w:tr>
      <w:tr w:rsidR="000714B4" w:rsidRPr="00B74A55" w:rsidTr="000714B4">
        <w:trPr>
          <w:trHeight w:val="290"/>
        </w:trPr>
        <w:tc>
          <w:tcPr>
            <w:tcW w:w="1448" w:type="dxa"/>
            <w:tcBorders>
              <w:top w:val="nil"/>
              <w:left w:val="nil"/>
              <w:bottom w:val="nil"/>
              <w:right w:val="nil"/>
            </w:tcBorders>
          </w:tcPr>
          <w:p w:rsidR="000714B4" w:rsidRPr="00B74A55" w:rsidRDefault="000714B4" w:rsidP="002F19B5">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right w:val="single" w:sz="6" w:space="0" w:color="auto"/>
            </w:tcBorders>
            <w:shd w:val="clear" w:color="00FFFF" w:fill="C6D9F1" w:themeFill="text2" w:themeFillTint="33"/>
          </w:tcPr>
          <w:p w:rsidR="000714B4" w:rsidRPr="00B74A55" w:rsidRDefault="000714B4" w:rsidP="002F19B5">
            <w:pPr>
              <w:autoSpaceDE w:val="0"/>
              <w:autoSpaceDN w:val="0"/>
              <w:adjustRightInd w:val="0"/>
              <w:rPr>
                <w:rFonts w:eastAsia="Calibri"/>
                <w:b/>
                <w:color w:val="000000"/>
                <w:sz w:val="22"/>
              </w:rPr>
            </w:pPr>
            <w:r w:rsidRPr="00B74A55">
              <w:rPr>
                <w:rFonts w:eastAsia="Calibri"/>
                <w:b/>
                <w:color w:val="000000"/>
                <w:sz w:val="22"/>
              </w:rPr>
              <w:t xml:space="preserve">Назва проекту: </w:t>
            </w:r>
          </w:p>
        </w:tc>
        <w:tc>
          <w:tcPr>
            <w:tcW w:w="7087" w:type="dxa"/>
            <w:gridSpan w:val="7"/>
            <w:tcBorders>
              <w:top w:val="single" w:sz="6" w:space="0" w:color="auto"/>
              <w:left w:val="single" w:sz="6" w:space="0" w:color="auto"/>
              <w:bottom w:val="single" w:sz="6" w:space="0" w:color="auto"/>
              <w:right w:val="single" w:sz="6" w:space="0" w:color="auto"/>
            </w:tcBorders>
          </w:tcPr>
          <w:p w:rsidR="000714B4" w:rsidRPr="00B74A55" w:rsidRDefault="000714B4" w:rsidP="002F19B5">
            <w:pPr>
              <w:autoSpaceDE w:val="0"/>
              <w:autoSpaceDN w:val="0"/>
              <w:adjustRightInd w:val="0"/>
              <w:rPr>
                <w:rFonts w:eastAsia="Calibri"/>
                <w:sz w:val="22"/>
              </w:rPr>
            </w:pPr>
            <w:r w:rsidRPr="00B74A55">
              <w:rPr>
                <w:rFonts w:eastAsia="Calibri"/>
                <w:sz w:val="22"/>
              </w:rPr>
              <w:t>Капітальний ремонт  Ясел-садка № 45 міста Сєвєродонецька Луганської області, смт. Борівське вул. Колгоспна, буд.30</w:t>
            </w:r>
          </w:p>
        </w:tc>
      </w:tr>
      <w:tr w:rsidR="000714B4" w:rsidRPr="00B74A55" w:rsidTr="000714B4">
        <w:trPr>
          <w:trHeight w:val="1075"/>
        </w:trPr>
        <w:tc>
          <w:tcPr>
            <w:tcW w:w="1448" w:type="dxa"/>
            <w:tcBorders>
              <w:top w:val="nil"/>
              <w:left w:val="nil"/>
              <w:bottom w:val="nil"/>
              <w:right w:val="nil"/>
            </w:tcBorders>
          </w:tcPr>
          <w:p w:rsidR="000714B4" w:rsidRPr="00B74A55" w:rsidRDefault="000714B4" w:rsidP="002F19B5">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right w:val="single" w:sz="6" w:space="0" w:color="auto"/>
            </w:tcBorders>
            <w:shd w:val="clear" w:color="00FFFF" w:fill="C6D9F1" w:themeFill="text2" w:themeFillTint="33"/>
          </w:tcPr>
          <w:p w:rsidR="000714B4" w:rsidRPr="00B74A55" w:rsidRDefault="000714B4" w:rsidP="002F19B5">
            <w:pPr>
              <w:autoSpaceDE w:val="0"/>
              <w:autoSpaceDN w:val="0"/>
              <w:adjustRightInd w:val="0"/>
              <w:rPr>
                <w:rFonts w:eastAsia="Calibri"/>
                <w:b/>
                <w:color w:val="000000"/>
                <w:sz w:val="22"/>
              </w:rPr>
            </w:pPr>
            <w:r w:rsidRPr="00B74A55">
              <w:rPr>
                <w:rFonts w:eastAsia="Calibri"/>
                <w:b/>
                <w:color w:val="000000"/>
                <w:sz w:val="22"/>
              </w:rPr>
              <w:t>Ціль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0714B4" w:rsidRPr="00B74A55" w:rsidRDefault="000714B4" w:rsidP="002F19B5">
            <w:pPr>
              <w:autoSpaceDE w:val="0"/>
              <w:autoSpaceDN w:val="0"/>
              <w:adjustRightInd w:val="0"/>
              <w:rPr>
                <w:rFonts w:eastAsia="Calibri"/>
                <w:color w:val="000000"/>
                <w:sz w:val="22"/>
              </w:rPr>
            </w:pPr>
            <w:r w:rsidRPr="00B74A55">
              <w:rPr>
                <w:rFonts w:eastAsia="Calibri"/>
                <w:color w:val="000000"/>
                <w:sz w:val="22"/>
              </w:rPr>
              <w:t>Створення належних умов для отримання повноцінної якісної дошкільної освіти ко</w:t>
            </w:r>
            <w:r w:rsidR="004B137F" w:rsidRPr="00B74A55">
              <w:rPr>
                <w:rFonts w:eastAsia="Calibri"/>
                <w:color w:val="000000"/>
                <w:sz w:val="22"/>
              </w:rPr>
              <w:t xml:space="preserve">жною дитиною в Сєвєродонецькій </w:t>
            </w:r>
            <w:r w:rsidRPr="00B74A55">
              <w:rPr>
                <w:rFonts w:eastAsia="Calibri"/>
                <w:color w:val="000000"/>
                <w:sz w:val="22"/>
              </w:rPr>
              <w:t xml:space="preserve">ТГ. </w:t>
            </w:r>
          </w:p>
          <w:p w:rsidR="000714B4" w:rsidRPr="00B74A55" w:rsidRDefault="000714B4" w:rsidP="002F19B5">
            <w:pPr>
              <w:autoSpaceDE w:val="0"/>
              <w:autoSpaceDN w:val="0"/>
              <w:adjustRightInd w:val="0"/>
              <w:rPr>
                <w:rFonts w:eastAsia="Calibri"/>
                <w:sz w:val="22"/>
              </w:rPr>
            </w:pPr>
            <w:r w:rsidRPr="00B74A55">
              <w:rPr>
                <w:rFonts w:eastAsia="Calibri"/>
                <w:color w:val="000000"/>
                <w:sz w:val="22"/>
              </w:rPr>
              <w:t xml:space="preserve">Підвищення комфортних умов (санітарно-гігієнічних, технічних) для здобуття дошкільної освіти у Ясла-садку </w:t>
            </w:r>
            <w:r w:rsidR="004B137F" w:rsidRPr="00B74A55">
              <w:rPr>
                <w:rFonts w:eastAsia="Calibri"/>
                <w:color w:val="000000"/>
                <w:sz w:val="22"/>
              </w:rPr>
              <w:t>№</w:t>
            </w:r>
            <w:r w:rsidRPr="00B74A55">
              <w:rPr>
                <w:rFonts w:eastAsia="Calibri"/>
                <w:color w:val="000000"/>
                <w:sz w:val="22"/>
              </w:rPr>
              <w:t>45: капітальний ремонт будівлі,</w:t>
            </w:r>
            <w:r w:rsidRPr="00B74A55">
              <w:rPr>
                <w:color w:val="000000"/>
                <w:sz w:val="22"/>
                <w:shd w:val="clear" w:color="auto" w:fill="FFFFFF"/>
              </w:rPr>
              <w:t xml:space="preserve"> відновлення системи опалення, відновлення внутрішньої та зовнішньої системи енергопостачання та освітлення, відновлення системи </w:t>
            </w:r>
            <w:proofErr w:type="spellStart"/>
            <w:r w:rsidRPr="00B74A55">
              <w:rPr>
                <w:color w:val="000000"/>
                <w:sz w:val="22"/>
                <w:shd w:val="clear" w:color="auto" w:fill="FFFFFF"/>
              </w:rPr>
              <w:t>водогіну</w:t>
            </w:r>
            <w:proofErr w:type="spellEnd"/>
            <w:r w:rsidRPr="00B74A55">
              <w:rPr>
                <w:color w:val="000000"/>
                <w:sz w:val="22"/>
                <w:shd w:val="clear" w:color="auto" w:fill="FFFFFF"/>
              </w:rPr>
              <w:t xml:space="preserve"> та водовідведення,</w:t>
            </w:r>
            <w:r w:rsidRPr="00B74A55">
              <w:rPr>
                <w:rFonts w:eastAsia="Calibri"/>
                <w:color w:val="000000"/>
                <w:sz w:val="22"/>
              </w:rPr>
              <w:t xml:space="preserve"> поточний ремонт приміщення.</w:t>
            </w:r>
          </w:p>
        </w:tc>
      </w:tr>
      <w:tr w:rsidR="000714B4" w:rsidRPr="00B74A55" w:rsidTr="000714B4">
        <w:trPr>
          <w:trHeight w:val="290"/>
        </w:trPr>
        <w:tc>
          <w:tcPr>
            <w:tcW w:w="1448" w:type="dxa"/>
            <w:tcBorders>
              <w:top w:val="nil"/>
              <w:left w:val="nil"/>
              <w:bottom w:val="nil"/>
              <w:right w:val="nil"/>
            </w:tcBorders>
          </w:tcPr>
          <w:p w:rsidR="000714B4" w:rsidRPr="00B74A55" w:rsidRDefault="000714B4" w:rsidP="002F19B5">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right w:val="single" w:sz="6" w:space="0" w:color="auto"/>
            </w:tcBorders>
            <w:shd w:val="clear" w:color="00FFFF" w:fill="C6D9F1" w:themeFill="text2" w:themeFillTint="33"/>
          </w:tcPr>
          <w:p w:rsidR="000714B4" w:rsidRPr="00B74A55" w:rsidRDefault="000714B4" w:rsidP="002F19B5">
            <w:pPr>
              <w:autoSpaceDE w:val="0"/>
              <w:autoSpaceDN w:val="0"/>
              <w:adjustRightInd w:val="0"/>
              <w:rPr>
                <w:rFonts w:eastAsia="Calibri"/>
                <w:b/>
                <w:color w:val="000000"/>
                <w:sz w:val="22"/>
              </w:rPr>
            </w:pPr>
            <w:r w:rsidRPr="00B74A55">
              <w:rPr>
                <w:rFonts w:eastAsia="Calibri"/>
                <w:b/>
                <w:color w:val="000000"/>
                <w:sz w:val="22"/>
              </w:rPr>
              <w:t>Територія, на яку матиме вплив реалізація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0714B4" w:rsidRPr="00B74A55" w:rsidRDefault="000714B4" w:rsidP="002F19B5">
            <w:pPr>
              <w:autoSpaceDE w:val="0"/>
              <w:autoSpaceDN w:val="0"/>
              <w:adjustRightInd w:val="0"/>
              <w:rPr>
                <w:rFonts w:eastAsia="Calibri"/>
                <w:color w:val="000000"/>
                <w:sz w:val="22"/>
              </w:rPr>
            </w:pPr>
            <w:r w:rsidRPr="00B74A55">
              <w:rPr>
                <w:rFonts w:eastAsia="Calibri"/>
                <w:color w:val="000000"/>
                <w:sz w:val="22"/>
              </w:rPr>
              <w:t>Сєвєродонецька міська територіальна громада</w:t>
            </w:r>
          </w:p>
        </w:tc>
      </w:tr>
      <w:tr w:rsidR="000714B4" w:rsidRPr="00B74A55" w:rsidTr="000714B4">
        <w:trPr>
          <w:trHeight w:val="581"/>
        </w:trPr>
        <w:tc>
          <w:tcPr>
            <w:tcW w:w="1448" w:type="dxa"/>
            <w:tcBorders>
              <w:top w:val="nil"/>
              <w:left w:val="nil"/>
              <w:bottom w:val="nil"/>
              <w:right w:val="nil"/>
            </w:tcBorders>
          </w:tcPr>
          <w:p w:rsidR="000714B4" w:rsidRPr="00B74A55" w:rsidRDefault="000714B4" w:rsidP="002F19B5">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right w:val="single" w:sz="6" w:space="0" w:color="auto"/>
            </w:tcBorders>
            <w:shd w:val="clear" w:color="00FFFF" w:fill="C6D9F1" w:themeFill="text2" w:themeFillTint="33"/>
          </w:tcPr>
          <w:p w:rsidR="000714B4" w:rsidRPr="00B74A55" w:rsidRDefault="000714B4" w:rsidP="002F19B5">
            <w:pPr>
              <w:autoSpaceDE w:val="0"/>
              <w:autoSpaceDN w:val="0"/>
              <w:adjustRightInd w:val="0"/>
              <w:rPr>
                <w:rFonts w:eastAsia="Calibri"/>
                <w:b/>
                <w:color w:val="000000"/>
                <w:sz w:val="22"/>
              </w:rPr>
            </w:pPr>
            <w:r w:rsidRPr="00B74A55">
              <w:rPr>
                <w:rFonts w:eastAsia="Calibri"/>
                <w:b/>
                <w:color w:val="000000"/>
                <w:sz w:val="22"/>
              </w:rPr>
              <w:t>Чисельність населення, на яке матиме вплив реалізація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0714B4" w:rsidRPr="00B74A55" w:rsidRDefault="000714B4" w:rsidP="002F19B5">
            <w:pPr>
              <w:autoSpaceDE w:val="0"/>
              <w:autoSpaceDN w:val="0"/>
              <w:adjustRightInd w:val="0"/>
              <w:rPr>
                <w:rFonts w:eastAsia="Calibri"/>
                <w:color w:val="000000"/>
                <w:sz w:val="22"/>
              </w:rPr>
            </w:pPr>
            <w:r w:rsidRPr="00B74A55">
              <w:rPr>
                <w:rFonts w:eastAsia="Calibri"/>
                <w:color w:val="000000"/>
                <w:sz w:val="22"/>
              </w:rPr>
              <w:t>70 000 осіб</w:t>
            </w:r>
          </w:p>
        </w:tc>
      </w:tr>
      <w:tr w:rsidR="000714B4" w:rsidRPr="00B74A55" w:rsidTr="000714B4">
        <w:trPr>
          <w:trHeight w:val="1224"/>
        </w:trPr>
        <w:tc>
          <w:tcPr>
            <w:tcW w:w="1448" w:type="dxa"/>
            <w:tcBorders>
              <w:top w:val="nil"/>
              <w:left w:val="nil"/>
              <w:bottom w:val="nil"/>
              <w:right w:val="nil"/>
            </w:tcBorders>
          </w:tcPr>
          <w:p w:rsidR="000714B4" w:rsidRPr="00B74A55" w:rsidRDefault="000714B4" w:rsidP="002F19B5">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right w:val="single" w:sz="6" w:space="0" w:color="auto"/>
            </w:tcBorders>
            <w:shd w:val="clear" w:color="00FFFF" w:fill="C6D9F1" w:themeFill="text2" w:themeFillTint="33"/>
          </w:tcPr>
          <w:p w:rsidR="000714B4" w:rsidRPr="00B74A55" w:rsidRDefault="000714B4" w:rsidP="002F19B5">
            <w:pPr>
              <w:autoSpaceDE w:val="0"/>
              <w:autoSpaceDN w:val="0"/>
              <w:adjustRightInd w:val="0"/>
              <w:rPr>
                <w:rFonts w:eastAsia="Calibri"/>
                <w:b/>
                <w:color w:val="000000"/>
                <w:sz w:val="22"/>
              </w:rPr>
            </w:pPr>
            <w:r w:rsidRPr="00B74A55">
              <w:rPr>
                <w:rFonts w:eastAsia="Calibri"/>
                <w:b/>
                <w:color w:val="000000"/>
                <w:sz w:val="22"/>
              </w:rPr>
              <w:t>Опис проблеми, на вирішення якої спрямований проект</w:t>
            </w:r>
          </w:p>
        </w:tc>
        <w:tc>
          <w:tcPr>
            <w:tcW w:w="7087" w:type="dxa"/>
            <w:gridSpan w:val="7"/>
            <w:tcBorders>
              <w:top w:val="single" w:sz="6" w:space="0" w:color="auto"/>
              <w:left w:val="single" w:sz="6" w:space="0" w:color="auto"/>
              <w:bottom w:val="single" w:sz="6" w:space="0" w:color="auto"/>
              <w:right w:val="single" w:sz="6" w:space="0" w:color="auto"/>
            </w:tcBorders>
          </w:tcPr>
          <w:p w:rsidR="000714B4" w:rsidRPr="00B74A55" w:rsidRDefault="000714B4" w:rsidP="002F19B5">
            <w:pPr>
              <w:autoSpaceDE w:val="0"/>
              <w:autoSpaceDN w:val="0"/>
              <w:adjustRightInd w:val="0"/>
              <w:rPr>
                <w:rFonts w:eastAsia="Calibri"/>
                <w:color w:val="000000"/>
                <w:sz w:val="22"/>
              </w:rPr>
            </w:pPr>
            <w:r w:rsidRPr="00B74A55">
              <w:rPr>
                <w:rFonts w:eastAsia="Calibri"/>
                <w:color w:val="000000"/>
                <w:sz w:val="22"/>
              </w:rPr>
              <w:t>Через військову агресію РФ територія Сєвєродонецької</w:t>
            </w:r>
          </w:p>
          <w:p w:rsidR="000714B4" w:rsidRPr="00B74A55" w:rsidRDefault="000714B4" w:rsidP="002F19B5">
            <w:pPr>
              <w:autoSpaceDE w:val="0"/>
              <w:autoSpaceDN w:val="0"/>
              <w:adjustRightInd w:val="0"/>
              <w:rPr>
                <w:rFonts w:eastAsia="Calibri"/>
                <w:color w:val="000000"/>
                <w:sz w:val="22"/>
              </w:rPr>
            </w:pPr>
            <w:r w:rsidRPr="00B74A55">
              <w:rPr>
                <w:rFonts w:eastAsia="Calibri"/>
                <w:color w:val="000000"/>
                <w:sz w:val="22"/>
              </w:rPr>
              <w:t>міської територіальної громади зазнала значних пошкоджень.</w:t>
            </w:r>
          </w:p>
          <w:p w:rsidR="000714B4" w:rsidRPr="00B74A55" w:rsidRDefault="000714B4" w:rsidP="002F19B5">
            <w:pPr>
              <w:autoSpaceDE w:val="0"/>
              <w:autoSpaceDN w:val="0"/>
              <w:adjustRightInd w:val="0"/>
              <w:rPr>
                <w:rFonts w:eastAsia="Calibri"/>
                <w:color w:val="000000"/>
                <w:sz w:val="22"/>
              </w:rPr>
            </w:pPr>
            <w:r w:rsidRPr="00B74A55">
              <w:rPr>
                <w:rFonts w:eastAsia="Calibri"/>
                <w:color w:val="000000"/>
                <w:sz w:val="22"/>
              </w:rPr>
              <w:t>Не оминуло це і Ясла-садок № 45.</w:t>
            </w:r>
          </w:p>
          <w:p w:rsidR="000714B4" w:rsidRPr="00B74A55" w:rsidRDefault="000714B4" w:rsidP="002F19B5">
            <w:pPr>
              <w:autoSpaceDE w:val="0"/>
              <w:autoSpaceDN w:val="0"/>
              <w:adjustRightInd w:val="0"/>
              <w:rPr>
                <w:rFonts w:eastAsia="Calibri"/>
                <w:color w:val="FF0000"/>
                <w:sz w:val="22"/>
              </w:rPr>
            </w:pPr>
            <w:r w:rsidRPr="00B74A55">
              <w:rPr>
                <w:rFonts w:eastAsia="Calibri"/>
                <w:color w:val="000000"/>
                <w:sz w:val="22"/>
              </w:rPr>
              <w:t xml:space="preserve">У будівлю Ясел-садка 45 було пряме попадання снаряду. Пошкоджено фасад будівлі наскрізь з попаданням у групову кімнату. Пошкоджений дах та повністю знищена система опалення. </w:t>
            </w:r>
          </w:p>
          <w:p w:rsidR="000714B4" w:rsidRPr="00B74A55" w:rsidRDefault="000714B4" w:rsidP="002F19B5">
            <w:pPr>
              <w:autoSpaceDE w:val="0"/>
              <w:autoSpaceDN w:val="0"/>
              <w:adjustRightInd w:val="0"/>
              <w:rPr>
                <w:rFonts w:eastAsia="Calibri"/>
                <w:color w:val="000000"/>
                <w:sz w:val="22"/>
              </w:rPr>
            </w:pPr>
            <w:r w:rsidRPr="00B74A55">
              <w:rPr>
                <w:rFonts w:eastAsia="Calibri"/>
                <w:color w:val="000000"/>
                <w:sz w:val="22"/>
              </w:rPr>
              <w:t>Для відбудови та сталого розвитку громади потрібне</w:t>
            </w:r>
            <w:r w:rsidR="004B137F" w:rsidRPr="00B74A55">
              <w:rPr>
                <w:rFonts w:eastAsia="Calibri"/>
                <w:color w:val="000000"/>
                <w:sz w:val="22"/>
              </w:rPr>
              <w:t xml:space="preserve"> </w:t>
            </w:r>
            <w:r w:rsidRPr="00B74A55">
              <w:rPr>
                <w:rFonts w:eastAsia="Calibri"/>
                <w:color w:val="000000"/>
                <w:sz w:val="22"/>
              </w:rPr>
              <w:t>відновлення роботи мережі закладів. Мешканці громади</w:t>
            </w:r>
            <w:r w:rsidR="004B137F" w:rsidRPr="00B74A55">
              <w:rPr>
                <w:rFonts w:eastAsia="Calibri"/>
                <w:color w:val="000000"/>
                <w:sz w:val="22"/>
              </w:rPr>
              <w:t xml:space="preserve"> </w:t>
            </w:r>
            <w:r w:rsidRPr="00B74A55">
              <w:rPr>
                <w:rFonts w:eastAsia="Calibri"/>
                <w:color w:val="000000"/>
                <w:sz w:val="22"/>
              </w:rPr>
              <w:t>потребують в отриманні якісних послуг, які відповідають</w:t>
            </w:r>
            <w:r w:rsidR="004B137F" w:rsidRPr="00B74A55">
              <w:rPr>
                <w:rFonts w:eastAsia="Calibri"/>
                <w:color w:val="000000"/>
                <w:sz w:val="22"/>
              </w:rPr>
              <w:t xml:space="preserve"> </w:t>
            </w:r>
            <w:r w:rsidRPr="00B74A55">
              <w:rPr>
                <w:rFonts w:eastAsia="Calibri"/>
                <w:color w:val="000000"/>
                <w:sz w:val="22"/>
              </w:rPr>
              <w:t>нормам сучасності.</w:t>
            </w:r>
          </w:p>
          <w:p w:rsidR="000714B4" w:rsidRPr="00B74A55" w:rsidRDefault="000714B4" w:rsidP="002F19B5">
            <w:pPr>
              <w:autoSpaceDE w:val="0"/>
              <w:autoSpaceDN w:val="0"/>
              <w:adjustRightInd w:val="0"/>
              <w:rPr>
                <w:rFonts w:eastAsia="Calibri"/>
                <w:color w:val="000000"/>
                <w:sz w:val="22"/>
              </w:rPr>
            </w:pPr>
            <w:r w:rsidRPr="00B74A55">
              <w:rPr>
                <w:rFonts w:eastAsia="Calibri"/>
                <w:color w:val="000000"/>
                <w:sz w:val="22"/>
              </w:rPr>
              <w:t>В смт.  Борівське  мешкає багато сімей з дітьми дошкільного віку. Для дітей смт. Борівське необхідно організувати якісну освіту. Але приміщення садочку потребує повного відновлення.</w:t>
            </w:r>
          </w:p>
          <w:p w:rsidR="000714B4" w:rsidRPr="00B74A55" w:rsidRDefault="000714B4" w:rsidP="002F19B5">
            <w:pPr>
              <w:autoSpaceDE w:val="0"/>
              <w:autoSpaceDN w:val="0"/>
              <w:adjustRightInd w:val="0"/>
              <w:rPr>
                <w:rFonts w:eastAsia="Calibri"/>
                <w:color w:val="000000"/>
                <w:sz w:val="22"/>
              </w:rPr>
            </w:pPr>
            <w:r w:rsidRPr="00B74A55">
              <w:rPr>
                <w:rFonts w:eastAsia="Calibri"/>
                <w:color w:val="000000"/>
                <w:sz w:val="22"/>
              </w:rPr>
              <w:t>Воно не придатне для комфортного перебування</w:t>
            </w:r>
            <w:r w:rsidRPr="00B74A55">
              <w:rPr>
                <w:rFonts w:eastAsia="Calibri"/>
                <w:vanish/>
                <w:color w:val="000000"/>
                <w:sz w:val="22"/>
              </w:rPr>
              <w:t>,                    4</w:t>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color w:val="000000"/>
                <w:sz w:val="22"/>
              </w:rPr>
              <w:t xml:space="preserve"> та не відповідає  діючим санітарним нормам. У будівлю Ясел-садка 45 було пряме попадання снаряду.</w:t>
            </w:r>
          </w:p>
        </w:tc>
      </w:tr>
      <w:tr w:rsidR="000714B4" w:rsidRPr="00B74A55" w:rsidTr="000714B4">
        <w:trPr>
          <w:trHeight w:val="528"/>
        </w:trPr>
        <w:tc>
          <w:tcPr>
            <w:tcW w:w="1448" w:type="dxa"/>
            <w:tcBorders>
              <w:top w:val="nil"/>
              <w:left w:val="nil"/>
              <w:bottom w:val="nil"/>
              <w:right w:val="nil"/>
            </w:tcBorders>
          </w:tcPr>
          <w:p w:rsidR="000714B4" w:rsidRPr="00B74A55" w:rsidRDefault="000714B4" w:rsidP="002F19B5">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right w:val="single" w:sz="6" w:space="0" w:color="auto"/>
            </w:tcBorders>
            <w:shd w:val="clear" w:color="00FFFF" w:fill="C6D9F1" w:themeFill="text2" w:themeFillTint="33"/>
          </w:tcPr>
          <w:p w:rsidR="000714B4" w:rsidRPr="00B74A55" w:rsidRDefault="000714B4" w:rsidP="002F19B5">
            <w:pPr>
              <w:autoSpaceDE w:val="0"/>
              <w:autoSpaceDN w:val="0"/>
              <w:adjustRightInd w:val="0"/>
              <w:rPr>
                <w:rFonts w:eastAsia="Calibri"/>
                <w:b/>
                <w:color w:val="000000"/>
                <w:sz w:val="22"/>
              </w:rPr>
            </w:pPr>
            <w:r w:rsidRPr="00B74A55">
              <w:rPr>
                <w:rFonts w:eastAsia="Calibri"/>
                <w:b/>
                <w:color w:val="000000"/>
                <w:sz w:val="22"/>
              </w:rPr>
              <w:t>Очікувані якісні результати від реалізації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0714B4" w:rsidRPr="00B74A55" w:rsidRDefault="000714B4" w:rsidP="002F19B5">
            <w:pPr>
              <w:autoSpaceDE w:val="0"/>
              <w:autoSpaceDN w:val="0"/>
              <w:adjustRightInd w:val="0"/>
              <w:rPr>
                <w:rFonts w:eastAsia="Calibri"/>
                <w:color w:val="000000"/>
                <w:sz w:val="22"/>
              </w:rPr>
            </w:pPr>
            <w:r w:rsidRPr="00B74A55">
              <w:rPr>
                <w:rFonts w:eastAsia="Calibri"/>
                <w:color w:val="000000"/>
                <w:sz w:val="22"/>
              </w:rPr>
              <w:t>Підвищення культури батьків, їхньої громадської свідомості, можливість жителів громади, які мають дітей, працювати, покращуючи свій матеріальний стан і робити свій посильний внесок в економіку країни. Підвищення безпеки життєдіяльності дітей і працівників закладу.</w:t>
            </w:r>
          </w:p>
        </w:tc>
      </w:tr>
      <w:tr w:rsidR="000714B4" w:rsidRPr="00B74A55" w:rsidTr="000714B4">
        <w:trPr>
          <w:trHeight w:val="581"/>
        </w:trPr>
        <w:tc>
          <w:tcPr>
            <w:tcW w:w="1448" w:type="dxa"/>
            <w:tcBorders>
              <w:top w:val="nil"/>
              <w:left w:val="nil"/>
              <w:bottom w:val="nil"/>
              <w:right w:val="nil"/>
            </w:tcBorders>
          </w:tcPr>
          <w:p w:rsidR="000714B4" w:rsidRPr="00B74A55" w:rsidRDefault="000714B4" w:rsidP="002F19B5">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right w:val="single" w:sz="6" w:space="0" w:color="auto"/>
            </w:tcBorders>
            <w:shd w:val="clear" w:color="00FFFF" w:fill="C6D9F1" w:themeFill="text2" w:themeFillTint="33"/>
          </w:tcPr>
          <w:p w:rsidR="000714B4" w:rsidRPr="00B74A55" w:rsidRDefault="000714B4" w:rsidP="002F19B5">
            <w:pPr>
              <w:autoSpaceDE w:val="0"/>
              <w:autoSpaceDN w:val="0"/>
              <w:adjustRightInd w:val="0"/>
              <w:rPr>
                <w:rFonts w:eastAsia="Calibri"/>
                <w:b/>
                <w:color w:val="000000"/>
                <w:sz w:val="22"/>
              </w:rPr>
            </w:pPr>
            <w:r w:rsidRPr="00B74A55">
              <w:rPr>
                <w:rFonts w:eastAsia="Calibri"/>
                <w:b/>
                <w:color w:val="000000"/>
                <w:sz w:val="22"/>
              </w:rPr>
              <w:t>Очікувані кількісні результати від реалізації проекту  (індикатори)</w:t>
            </w:r>
          </w:p>
        </w:tc>
        <w:tc>
          <w:tcPr>
            <w:tcW w:w="4110" w:type="dxa"/>
            <w:gridSpan w:val="4"/>
            <w:tcBorders>
              <w:top w:val="single" w:sz="6" w:space="0" w:color="auto"/>
              <w:left w:val="single" w:sz="6" w:space="0" w:color="auto"/>
              <w:bottom w:val="single" w:sz="6" w:space="0" w:color="auto"/>
              <w:right w:val="single" w:sz="6" w:space="0" w:color="auto"/>
            </w:tcBorders>
          </w:tcPr>
          <w:p w:rsidR="000714B4" w:rsidRPr="00B74A55" w:rsidRDefault="000714B4" w:rsidP="002F19B5">
            <w:pPr>
              <w:autoSpaceDE w:val="0"/>
              <w:autoSpaceDN w:val="0"/>
              <w:adjustRightInd w:val="0"/>
              <w:jc w:val="center"/>
              <w:rPr>
                <w:rFonts w:eastAsia="Calibri"/>
                <w:b/>
                <w:color w:val="000000"/>
                <w:sz w:val="22"/>
              </w:rPr>
            </w:pPr>
            <w:r w:rsidRPr="00B74A55">
              <w:rPr>
                <w:rFonts w:eastAsia="Calibri"/>
                <w:b/>
                <w:color w:val="000000"/>
                <w:sz w:val="22"/>
              </w:rPr>
              <w:t>Найменування показника</w:t>
            </w:r>
          </w:p>
        </w:tc>
        <w:tc>
          <w:tcPr>
            <w:tcW w:w="1560" w:type="dxa"/>
            <w:tcBorders>
              <w:top w:val="single" w:sz="6" w:space="0" w:color="auto"/>
              <w:left w:val="single" w:sz="6" w:space="0" w:color="auto"/>
              <w:bottom w:val="single" w:sz="6" w:space="0" w:color="auto"/>
              <w:right w:val="single" w:sz="6" w:space="0" w:color="auto"/>
            </w:tcBorders>
          </w:tcPr>
          <w:p w:rsidR="000714B4" w:rsidRPr="00B74A55" w:rsidRDefault="000714B4" w:rsidP="002F19B5">
            <w:pPr>
              <w:autoSpaceDE w:val="0"/>
              <w:autoSpaceDN w:val="0"/>
              <w:adjustRightInd w:val="0"/>
              <w:jc w:val="center"/>
              <w:rPr>
                <w:rFonts w:eastAsia="Calibri"/>
                <w:b/>
                <w:color w:val="000000"/>
                <w:sz w:val="22"/>
              </w:rPr>
            </w:pPr>
            <w:r w:rsidRPr="00B74A55">
              <w:rPr>
                <w:rFonts w:eastAsia="Calibri"/>
                <w:b/>
                <w:color w:val="000000"/>
                <w:sz w:val="22"/>
              </w:rPr>
              <w:t>Одиниця вимірювання</w:t>
            </w:r>
          </w:p>
        </w:tc>
        <w:tc>
          <w:tcPr>
            <w:tcW w:w="1417" w:type="dxa"/>
            <w:gridSpan w:val="2"/>
            <w:tcBorders>
              <w:top w:val="single" w:sz="6" w:space="0" w:color="auto"/>
              <w:left w:val="single" w:sz="6" w:space="0" w:color="auto"/>
              <w:bottom w:val="single" w:sz="6" w:space="0" w:color="auto"/>
              <w:right w:val="single" w:sz="6" w:space="0" w:color="auto"/>
            </w:tcBorders>
          </w:tcPr>
          <w:p w:rsidR="000714B4" w:rsidRPr="00B74A55" w:rsidRDefault="000714B4" w:rsidP="002F19B5">
            <w:pPr>
              <w:autoSpaceDE w:val="0"/>
              <w:autoSpaceDN w:val="0"/>
              <w:adjustRightInd w:val="0"/>
              <w:jc w:val="center"/>
              <w:rPr>
                <w:rFonts w:eastAsia="Calibri"/>
                <w:b/>
                <w:color w:val="000000"/>
                <w:sz w:val="22"/>
              </w:rPr>
            </w:pPr>
            <w:r w:rsidRPr="00B74A55">
              <w:rPr>
                <w:rFonts w:eastAsia="Calibri"/>
                <w:b/>
                <w:color w:val="000000"/>
                <w:sz w:val="22"/>
              </w:rPr>
              <w:t>Прогнозне (цільове) значення</w:t>
            </w:r>
          </w:p>
        </w:tc>
      </w:tr>
      <w:tr w:rsidR="000714B4" w:rsidRPr="00B74A55" w:rsidTr="000714B4">
        <w:trPr>
          <w:trHeight w:val="290"/>
        </w:trPr>
        <w:tc>
          <w:tcPr>
            <w:tcW w:w="1448" w:type="dxa"/>
            <w:tcBorders>
              <w:top w:val="nil"/>
              <w:left w:val="nil"/>
              <w:bottom w:val="nil"/>
              <w:right w:val="nil"/>
            </w:tcBorders>
          </w:tcPr>
          <w:p w:rsidR="000714B4" w:rsidRPr="00B74A55" w:rsidRDefault="000714B4" w:rsidP="002F19B5">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right w:val="single" w:sz="6" w:space="0" w:color="auto"/>
            </w:tcBorders>
            <w:shd w:val="clear" w:color="00FFFF" w:fill="C6D9F1" w:themeFill="text2" w:themeFillTint="33"/>
          </w:tcPr>
          <w:p w:rsidR="000714B4" w:rsidRPr="00B74A55" w:rsidRDefault="000714B4" w:rsidP="002F19B5">
            <w:pPr>
              <w:autoSpaceDE w:val="0"/>
              <w:autoSpaceDN w:val="0"/>
              <w:adjustRightInd w:val="0"/>
              <w:jc w:val="right"/>
              <w:rPr>
                <w:rFonts w:eastAsia="Calibri"/>
                <w:b/>
                <w:color w:val="000000"/>
                <w:sz w:val="22"/>
              </w:rPr>
            </w:pPr>
          </w:p>
        </w:tc>
        <w:tc>
          <w:tcPr>
            <w:tcW w:w="4110" w:type="dxa"/>
            <w:gridSpan w:val="4"/>
            <w:tcBorders>
              <w:top w:val="single" w:sz="6" w:space="0" w:color="auto"/>
              <w:left w:val="single" w:sz="6" w:space="0" w:color="auto"/>
              <w:bottom w:val="single" w:sz="6" w:space="0" w:color="auto"/>
              <w:right w:val="single" w:sz="6" w:space="0" w:color="auto"/>
            </w:tcBorders>
          </w:tcPr>
          <w:p w:rsidR="000714B4" w:rsidRPr="00B74A55" w:rsidRDefault="000714B4" w:rsidP="002F19B5">
            <w:pPr>
              <w:autoSpaceDE w:val="0"/>
              <w:autoSpaceDN w:val="0"/>
              <w:adjustRightInd w:val="0"/>
              <w:rPr>
                <w:rFonts w:eastAsia="Calibri"/>
                <w:color w:val="000000"/>
                <w:sz w:val="22"/>
              </w:rPr>
            </w:pPr>
            <w:r w:rsidRPr="00B74A55">
              <w:rPr>
                <w:rFonts w:eastAsia="Calibri"/>
                <w:color w:val="000000"/>
                <w:sz w:val="22"/>
              </w:rPr>
              <w:t>Капітальний ремонт будівлі</w:t>
            </w:r>
          </w:p>
          <w:p w:rsidR="000714B4" w:rsidRPr="00B74A55" w:rsidRDefault="000714B4" w:rsidP="002F19B5">
            <w:pPr>
              <w:autoSpaceDE w:val="0"/>
              <w:autoSpaceDN w:val="0"/>
              <w:adjustRightInd w:val="0"/>
              <w:rPr>
                <w:rFonts w:eastAsia="Calibri"/>
                <w:color w:val="000000"/>
                <w:sz w:val="22"/>
              </w:rPr>
            </w:pPr>
          </w:p>
          <w:p w:rsidR="000714B4" w:rsidRPr="00B74A55" w:rsidRDefault="000714B4" w:rsidP="002F19B5">
            <w:pPr>
              <w:autoSpaceDE w:val="0"/>
              <w:autoSpaceDN w:val="0"/>
              <w:adjustRightInd w:val="0"/>
              <w:rPr>
                <w:color w:val="000000"/>
                <w:sz w:val="22"/>
                <w:shd w:val="clear" w:color="auto" w:fill="FFFFFF"/>
              </w:rPr>
            </w:pPr>
            <w:r w:rsidRPr="00B74A55">
              <w:rPr>
                <w:rFonts w:eastAsia="Calibri"/>
                <w:color w:val="000000"/>
                <w:sz w:val="22"/>
              </w:rPr>
              <w:t>В</w:t>
            </w:r>
            <w:r w:rsidRPr="00B74A55">
              <w:rPr>
                <w:color w:val="000000"/>
                <w:sz w:val="22"/>
                <w:shd w:val="clear" w:color="auto" w:fill="FFFFFF"/>
              </w:rPr>
              <w:t>ідновлення системи опалення</w:t>
            </w:r>
          </w:p>
          <w:p w:rsidR="000714B4" w:rsidRPr="00B74A55" w:rsidRDefault="000714B4" w:rsidP="002F19B5">
            <w:pPr>
              <w:autoSpaceDE w:val="0"/>
              <w:autoSpaceDN w:val="0"/>
              <w:adjustRightInd w:val="0"/>
              <w:rPr>
                <w:color w:val="000000"/>
                <w:sz w:val="22"/>
                <w:shd w:val="clear" w:color="auto" w:fill="FFFFFF"/>
              </w:rPr>
            </w:pPr>
          </w:p>
          <w:p w:rsidR="000714B4" w:rsidRPr="00B74A55" w:rsidRDefault="000714B4" w:rsidP="002F19B5">
            <w:pPr>
              <w:autoSpaceDE w:val="0"/>
              <w:autoSpaceDN w:val="0"/>
              <w:adjustRightInd w:val="0"/>
              <w:rPr>
                <w:color w:val="000000"/>
                <w:sz w:val="22"/>
                <w:shd w:val="clear" w:color="auto" w:fill="FFFFFF"/>
              </w:rPr>
            </w:pPr>
            <w:r w:rsidRPr="00B74A55">
              <w:rPr>
                <w:color w:val="000000"/>
                <w:sz w:val="22"/>
                <w:shd w:val="clear" w:color="auto" w:fill="FFFFFF"/>
              </w:rPr>
              <w:t>Відновлення внутрішньої та зовнішньої системи енергопостачання та освітлення</w:t>
            </w:r>
          </w:p>
          <w:p w:rsidR="000714B4" w:rsidRPr="00B74A55" w:rsidRDefault="000714B4" w:rsidP="002F19B5">
            <w:pPr>
              <w:autoSpaceDE w:val="0"/>
              <w:autoSpaceDN w:val="0"/>
              <w:adjustRightInd w:val="0"/>
              <w:rPr>
                <w:color w:val="000000"/>
                <w:sz w:val="22"/>
                <w:shd w:val="clear" w:color="auto" w:fill="FFFFFF"/>
              </w:rPr>
            </w:pPr>
          </w:p>
          <w:p w:rsidR="000714B4" w:rsidRPr="00B74A55" w:rsidRDefault="000714B4" w:rsidP="002F19B5">
            <w:pPr>
              <w:autoSpaceDE w:val="0"/>
              <w:autoSpaceDN w:val="0"/>
              <w:adjustRightInd w:val="0"/>
              <w:rPr>
                <w:color w:val="000000"/>
                <w:sz w:val="22"/>
                <w:shd w:val="clear" w:color="auto" w:fill="FFFFFF"/>
              </w:rPr>
            </w:pPr>
            <w:r w:rsidRPr="00B74A55">
              <w:rPr>
                <w:color w:val="000000"/>
                <w:sz w:val="22"/>
                <w:shd w:val="clear" w:color="auto" w:fill="FFFFFF"/>
              </w:rPr>
              <w:t xml:space="preserve">Відновлення системи </w:t>
            </w:r>
            <w:proofErr w:type="spellStart"/>
            <w:r w:rsidRPr="00B74A55">
              <w:rPr>
                <w:color w:val="000000"/>
                <w:sz w:val="22"/>
                <w:shd w:val="clear" w:color="auto" w:fill="FFFFFF"/>
              </w:rPr>
              <w:t>водогіну</w:t>
            </w:r>
            <w:proofErr w:type="spellEnd"/>
            <w:r w:rsidRPr="00B74A55">
              <w:rPr>
                <w:color w:val="000000"/>
                <w:sz w:val="22"/>
                <w:shd w:val="clear" w:color="auto" w:fill="FFFFFF"/>
              </w:rPr>
              <w:t xml:space="preserve"> та водовідведення</w:t>
            </w:r>
          </w:p>
          <w:p w:rsidR="000714B4" w:rsidRPr="00B74A55" w:rsidRDefault="000714B4" w:rsidP="002F19B5">
            <w:pPr>
              <w:autoSpaceDE w:val="0"/>
              <w:autoSpaceDN w:val="0"/>
              <w:adjustRightInd w:val="0"/>
              <w:rPr>
                <w:color w:val="000000"/>
                <w:sz w:val="22"/>
                <w:shd w:val="clear" w:color="auto" w:fill="FFFFFF"/>
              </w:rPr>
            </w:pPr>
          </w:p>
          <w:p w:rsidR="000714B4" w:rsidRPr="00B74A55" w:rsidRDefault="000714B4" w:rsidP="002F19B5">
            <w:pPr>
              <w:autoSpaceDE w:val="0"/>
              <w:autoSpaceDN w:val="0"/>
              <w:adjustRightInd w:val="0"/>
              <w:rPr>
                <w:rFonts w:eastAsia="Calibri"/>
                <w:color w:val="000000"/>
                <w:sz w:val="22"/>
              </w:rPr>
            </w:pPr>
            <w:r w:rsidRPr="00B74A55">
              <w:rPr>
                <w:rFonts w:eastAsia="Calibri"/>
                <w:color w:val="000000"/>
                <w:sz w:val="22"/>
              </w:rPr>
              <w:t>Відремонтовані кімнати</w:t>
            </w:r>
          </w:p>
          <w:p w:rsidR="000714B4" w:rsidRPr="00B74A55" w:rsidRDefault="000714B4" w:rsidP="002F19B5">
            <w:pPr>
              <w:autoSpaceDE w:val="0"/>
              <w:autoSpaceDN w:val="0"/>
              <w:adjustRightInd w:val="0"/>
              <w:rPr>
                <w:rFonts w:eastAsia="Calibri"/>
                <w:color w:val="000000"/>
                <w:sz w:val="22"/>
              </w:rPr>
            </w:pPr>
          </w:p>
          <w:p w:rsidR="000714B4" w:rsidRPr="00B74A55" w:rsidRDefault="000714B4" w:rsidP="002F19B5">
            <w:pPr>
              <w:autoSpaceDE w:val="0"/>
              <w:autoSpaceDN w:val="0"/>
              <w:adjustRightInd w:val="0"/>
              <w:rPr>
                <w:rFonts w:eastAsia="Calibri"/>
                <w:color w:val="000000"/>
                <w:sz w:val="22"/>
              </w:rPr>
            </w:pPr>
            <w:r w:rsidRPr="00B74A55">
              <w:rPr>
                <w:rFonts w:eastAsia="Calibri"/>
                <w:color w:val="000000"/>
                <w:sz w:val="22"/>
              </w:rPr>
              <w:t>Кількість</w:t>
            </w:r>
          </w:p>
          <w:p w:rsidR="000714B4" w:rsidRPr="00B74A55" w:rsidRDefault="000714B4" w:rsidP="002F19B5">
            <w:pPr>
              <w:autoSpaceDE w:val="0"/>
              <w:autoSpaceDN w:val="0"/>
              <w:adjustRightInd w:val="0"/>
              <w:rPr>
                <w:rFonts w:eastAsia="Calibri"/>
                <w:color w:val="000000"/>
                <w:sz w:val="22"/>
              </w:rPr>
            </w:pPr>
            <w:r w:rsidRPr="00B74A55">
              <w:rPr>
                <w:rFonts w:eastAsia="Calibri"/>
                <w:color w:val="000000"/>
                <w:sz w:val="22"/>
              </w:rPr>
              <w:t>населених пунктів,</w:t>
            </w:r>
          </w:p>
          <w:p w:rsidR="000714B4" w:rsidRPr="00B74A55" w:rsidRDefault="000714B4" w:rsidP="002F19B5">
            <w:pPr>
              <w:autoSpaceDE w:val="0"/>
              <w:autoSpaceDN w:val="0"/>
              <w:adjustRightInd w:val="0"/>
              <w:rPr>
                <w:rFonts w:eastAsia="Calibri"/>
                <w:color w:val="000000"/>
                <w:sz w:val="22"/>
              </w:rPr>
            </w:pPr>
            <w:r w:rsidRPr="00B74A55">
              <w:rPr>
                <w:rFonts w:eastAsia="Calibri"/>
                <w:color w:val="000000"/>
                <w:sz w:val="22"/>
              </w:rPr>
              <w:t>яке обслуговує</w:t>
            </w:r>
          </w:p>
          <w:p w:rsidR="000714B4" w:rsidRPr="00B74A55" w:rsidRDefault="000714B4" w:rsidP="000714B4">
            <w:pPr>
              <w:autoSpaceDE w:val="0"/>
              <w:autoSpaceDN w:val="0"/>
              <w:adjustRightInd w:val="0"/>
              <w:rPr>
                <w:rFonts w:eastAsia="Calibri"/>
                <w:color w:val="000000"/>
                <w:sz w:val="22"/>
                <w:lang w:val="ru-RU"/>
              </w:rPr>
            </w:pPr>
            <w:r w:rsidRPr="00B74A55">
              <w:rPr>
                <w:rFonts w:eastAsia="Calibri"/>
                <w:color w:val="000000"/>
                <w:sz w:val="22"/>
              </w:rPr>
              <w:t>підприємство</w:t>
            </w:r>
          </w:p>
        </w:tc>
        <w:tc>
          <w:tcPr>
            <w:tcW w:w="1560" w:type="dxa"/>
            <w:tcBorders>
              <w:top w:val="single" w:sz="6" w:space="0" w:color="auto"/>
              <w:left w:val="single" w:sz="6" w:space="0" w:color="auto"/>
              <w:bottom w:val="single" w:sz="6" w:space="0" w:color="auto"/>
              <w:right w:val="single" w:sz="6" w:space="0" w:color="auto"/>
            </w:tcBorders>
          </w:tcPr>
          <w:p w:rsidR="000714B4" w:rsidRPr="00B74A55" w:rsidRDefault="000714B4" w:rsidP="002F19B5">
            <w:pPr>
              <w:rPr>
                <w:rFonts w:eastAsia="Calibri"/>
                <w:sz w:val="22"/>
              </w:rPr>
            </w:pPr>
            <w:proofErr w:type="spellStart"/>
            <w:r w:rsidRPr="00B74A55">
              <w:rPr>
                <w:rFonts w:eastAsia="Calibri"/>
                <w:sz w:val="22"/>
              </w:rPr>
              <w:t>кв.м</w:t>
            </w:r>
            <w:proofErr w:type="spellEnd"/>
            <w:r w:rsidRPr="00B74A55">
              <w:rPr>
                <w:rFonts w:eastAsia="Calibri"/>
                <w:sz w:val="22"/>
              </w:rPr>
              <w:t>.</w:t>
            </w:r>
          </w:p>
          <w:p w:rsidR="004B137F" w:rsidRPr="00B74A55" w:rsidRDefault="004B137F" w:rsidP="002F19B5">
            <w:pPr>
              <w:rPr>
                <w:rFonts w:eastAsia="Calibri"/>
                <w:sz w:val="22"/>
              </w:rPr>
            </w:pPr>
          </w:p>
          <w:p w:rsidR="000714B4" w:rsidRPr="00B74A55" w:rsidRDefault="000714B4" w:rsidP="002F19B5">
            <w:pPr>
              <w:rPr>
                <w:rFonts w:eastAsia="Calibri"/>
                <w:sz w:val="22"/>
              </w:rPr>
            </w:pPr>
            <w:proofErr w:type="spellStart"/>
            <w:r w:rsidRPr="00B74A55">
              <w:rPr>
                <w:rFonts w:eastAsia="Calibri"/>
                <w:sz w:val="22"/>
              </w:rPr>
              <w:t>кв.м</w:t>
            </w:r>
            <w:proofErr w:type="spellEnd"/>
            <w:r w:rsidRPr="00B74A55">
              <w:rPr>
                <w:rFonts w:eastAsia="Calibri"/>
                <w:sz w:val="22"/>
              </w:rPr>
              <w:t>.</w:t>
            </w:r>
          </w:p>
          <w:p w:rsidR="000714B4" w:rsidRPr="00B74A55" w:rsidRDefault="000714B4" w:rsidP="002F19B5">
            <w:pPr>
              <w:rPr>
                <w:rFonts w:eastAsia="Calibri"/>
                <w:sz w:val="22"/>
              </w:rPr>
            </w:pPr>
          </w:p>
          <w:p w:rsidR="000714B4" w:rsidRPr="00B74A55" w:rsidRDefault="000714B4" w:rsidP="002F19B5">
            <w:pPr>
              <w:rPr>
                <w:rFonts w:eastAsia="Calibri"/>
                <w:sz w:val="22"/>
              </w:rPr>
            </w:pPr>
          </w:p>
          <w:p w:rsidR="000714B4" w:rsidRPr="00B74A55" w:rsidRDefault="000714B4" w:rsidP="002F19B5">
            <w:pPr>
              <w:rPr>
                <w:rFonts w:eastAsia="Calibri"/>
                <w:sz w:val="22"/>
              </w:rPr>
            </w:pPr>
            <w:proofErr w:type="spellStart"/>
            <w:r w:rsidRPr="00B74A55">
              <w:rPr>
                <w:rFonts w:eastAsia="Calibri"/>
                <w:sz w:val="22"/>
              </w:rPr>
              <w:t>кв.м</w:t>
            </w:r>
            <w:proofErr w:type="spellEnd"/>
            <w:r w:rsidRPr="00B74A55">
              <w:rPr>
                <w:rFonts w:eastAsia="Calibri"/>
                <w:sz w:val="22"/>
              </w:rPr>
              <w:t>.</w:t>
            </w:r>
          </w:p>
          <w:p w:rsidR="000714B4" w:rsidRPr="00B74A55" w:rsidRDefault="000714B4" w:rsidP="002F19B5">
            <w:pPr>
              <w:rPr>
                <w:rFonts w:eastAsia="Calibri"/>
                <w:sz w:val="22"/>
              </w:rPr>
            </w:pPr>
          </w:p>
          <w:p w:rsidR="000714B4" w:rsidRPr="00B74A55" w:rsidRDefault="000714B4" w:rsidP="002F19B5">
            <w:pPr>
              <w:rPr>
                <w:rFonts w:eastAsia="Calibri"/>
                <w:sz w:val="22"/>
              </w:rPr>
            </w:pPr>
          </w:p>
          <w:p w:rsidR="004B137F" w:rsidRPr="00B74A55" w:rsidRDefault="004B137F" w:rsidP="002F19B5">
            <w:pPr>
              <w:rPr>
                <w:rFonts w:eastAsia="Calibri"/>
                <w:sz w:val="22"/>
              </w:rPr>
            </w:pPr>
          </w:p>
          <w:p w:rsidR="000714B4" w:rsidRPr="00B74A55" w:rsidRDefault="000714B4" w:rsidP="002F19B5">
            <w:pPr>
              <w:rPr>
                <w:rFonts w:eastAsia="Calibri"/>
                <w:sz w:val="22"/>
              </w:rPr>
            </w:pPr>
            <w:proofErr w:type="spellStart"/>
            <w:r w:rsidRPr="00B74A55">
              <w:rPr>
                <w:rFonts w:eastAsia="Calibri"/>
                <w:sz w:val="22"/>
              </w:rPr>
              <w:t>кв.м</w:t>
            </w:r>
            <w:proofErr w:type="spellEnd"/>
            <w:r w:rsidRPr="00B74A55">
              <w:rPr>
                <w:rFonts w:eastAsia="Calibri"/>
                <w:sz w:val="22"/>
              </w:rPr>
              <w:t>.</w:t>
            </w:r>
          </w:p>
          <w:p w:rsidR="000714B4" w:rsidRPr="00B74A55" w:rsidRDefault="000714B4" w:rsidP="002F19B5">
            <w:pPr>
              <w:rPr>
                <w:rFonts w:eastAsia="Calibri"/>
                <w:sz w:val="22"/>
              </w:rPr>
            </w:pPr>
          </w:p>
          <w:p w:rsidR="000714B4" w:rsidRPr="00B74A55" w:rsidRDefault="000714B4" w:rsidP="002F19B5">
            <w:pPr>
              <w:rPr>
                <w:rFonts w:eastAsia="Calibri"/>
                <w:sz w:val="22"/>
              </w:rPr>
            </w:pPr>
          </w:p>
          <w:p w:rsidR="000714B4" w:rsidRPr="00B74A55" w:rsidRDefault="000714B4" w:rsidP="002F19B5">
            <w:pPr>
              <w:rPr>
                <w:rFonts w:eastAsia="Calibri"/>
                <w:sz w:val="22"/>
              </w:rPr>
            </w:pPr>
            <w:r w:rsidRPr="00B74A55">
              <w:rPr>
                <w:rFonts w:eastAsia="Calibri"/>
                <w:sz w:val="22"/>
              </w:rPr>
              <w:t xml:space="preserve">одиниць </w:t>
            </w:r>
          </w:p>
          <w:p w:rsidR="000714B4" w:rsidRPr="00B74A55" w:rsidRDefault="000714B4" w:rsidP="002F19B5">
            <w:pPr>
              <w:rPr>
                <w:rFonts w:eastAsia="Calibri"/>
                <w:sz w:val="22"/>
              </w:rPr>
            </w:pPr>
          </w:p>
          <w:p w:rsidR="000714B4" w:rsidRPr="00B74A55" w:rsidRDefault="000714B4" w:rsidP="002F19B5">
            <w:pPr>
              <w:rPr>
                <w:rFonts w:eastAsia="Calibri"/>
                <w:sz w:val="22"/>
              </w:rPr>
            </w:pPr>
            <w:r w:rsidRPr="00B74A55">
              <w:rPr>
                <w:rFonts w:eastAsia="Calibri"/>
                <w:sz w:val="22"/>
              </w:rPr>
              <w:t>одиниць</w:t>
            </w:r>
          </w:p>
        </w:tc>
        <w:tc>
          <w:tcPr>
            <w:tcW w:w="1417" w:type="dxa"/>
            <w:gridSpan w:val="2"/>
            <w:tcBorders>
              <w:top w:val="single" w:sz="6" w:space="0" w:color="auto"/>
              <w:left w:val="single" w:sz="6" w:space="0" w:color="auto"/>
              <w:bottom w:val="single" w:sz="6" w:space="0" w:color="auto"/>
              <w:right w:val="single" w:sz="6" w:space="0" w:color="auto"/>
            </w:tcBorders>
          </w:tcPr>
          <w:p w:rsidR="004B137F" w:rsidRPr="00B74A55" w:rsidRDefault="000714B4" w:rsidP="004B137F">
            <w:pPr>
              <w:autoSpaceDE w:val="0"/>
              <w:autoSpaceDN w:val="0"/>
              <w:adjustRightInd w:val="0"/>
              <w:jc w:val="left"/>
              <w:rPr>
                <w:rFonts w:eastAsia="Calibri"/>
                <w:color w:val="000000"/>
                <w:sz w:val="22"/>
              </w:rPr>
            </w:pPr>
            <w:r w:rsidRPr="00B74A55">
              <w:rPr>
                <w:rFonts w:eastAsia="Calibri"/>
                <w:color w:val="000000"/>
                <w:sz w:val="22"/>
              </w:rPr>
              <w:t xml:space="preserve">   </w:t>
            </w:r>
            <w:r w:rsidR="004B137F" w:rsidRPr="00B74A55">
              <w:rPr>
                <w:rFonts w:eastAsia="Calibri"/>
                <w:color w:val="000000"/>
                <w:sz w:val="22"/>
              </w:rPr>
              <w:t>280</w:t>
            </w:r>
            <w:r w:rsidRPr="00B74A55">
              <w:rPr>
                <w:rFonts w:eastAsia="Calibri"/>
                <w:color w:val="000000"/>
                <w:sz w:val="22"/>
              </w:rPr>
              <w:t xml:space="preserve">                                             </w:t>
            </w:r>
          </w:p>
          <w:p w:rsidR="004B137F" w:rsidRPr="00B74A55" w:rsidRDefault="004B137F" w:rsidP="004B137F">
            <w:pPr>
              <w:autoSpaceDE w:val="0"/>
              <w:autoSpaceDN w:val="0"/>
              <w:adjustRightInd w:val="0"/>
              <w:jc w:val="left"/>
              <w:rPr>
                <w:rFonts w:eastAsia="Calibri"/>
                <w:color w:val="000000"/>
                <w:sz w:val="22"/>
              </w:rPr>
            </w:pPr>
          </w:p>
          <w:p w:rsidR="000714B4" w:rsidRPr="00B74A55" w:rsidRDefault="000714B4" w:rsidP="004B137F">
            <w:pPr>
              <w:autoSpaceDE w:val="0"/>
              <w:autoSpaceDN w:val="0"/>
              <w:adjustRightInd w:val="0"/>
              <w:jc w:val="left"/>
              <w:rPr>
                <w:rFonts w:eastAsia="Calibri"/>
                <w:color w:val="000000"/>
                <w:sz w:val="22"/>
              </w:rPr>
            </w:pPr>
            <w:r w:rsidRPr="00B74A55">
              <w:rPr>
                <w:rFonts w:eastAsia="Calibri"/>
                <w:color w:val="000000"/>
                <w:sz w:val="22"/>
              </w:rPr>
              <w:t>280</w:t>
            </w:r>
          </w:p>
          <w:p w:rsidR="000714B4" w:rsidRPr="00B74A55" w:rsidRDefault="000714B4" w:rsidP="002F19B5">
            <w:pPr>
              <w:autoSpaceDE w:val="0"/>
              <w:autoSpaceDN w:val="0"/>
              <w:adjustRightInd w:val="0"/>
              <w:jc w:val="right"/>
              <w:rPr>
                <w:rFonts w:eastAsia="Calibri"/>
                <w:color w:val="000000"/>
                <w:sz w:val="22"/>
              </w:rPr>
            </w:pPr>
          </w:p>
          <w:p w:rsidR="000714B4" w:rsidRPr="00B74A55" w:rsidRDefault="000714B4" w:rsidP="002F19B5">
            <w:pPr>
              <w:autoSpaceDE w:val="0"/>
              <w:autoSpaceDN w:val="0"/>
              <w:adjustRightInd w:val="0"/>
              <w:rPr>
                <w:rFonts w:eastAsia="Calibri"/>
                <w:color w:val="000000"/>
                <w:sz w:val="22"/>
              </w:rPr>
            </w:pPr>
            <w:r w:rsidRPr="00B74A55">
              <w:rPr>
                <w:rFonts w:eastAsia="Calibri"/>
                <w:color w:val="000000"/>
                <w:sz w:val="22"/>
              </w:rPr>
              <w:t xml:space="preserve">                                                 280</w:t>
            </w:r>
          </w:p>
          <w:p w:rsidR="000714B4" w:rsidRPr="00B74A55" w:rsidRDefault="000714B4" w:rsidP="002F19B5">
            <w:pPr>
              <w:autoSpaceDE w:val="0"/>
              <w:autoSpaceDN w:val="0"/>
              <w:adjustRightInd w:val="0"/>
              <w:jc w:val="right"/>
              <w:rPr>
                <w:rFonts w:eastAsia="Calibri"/>
                <w:color w:val="000000"/>
                <w:sz w:val="22"/>
              </w:rPr>
            </w:pPr>
          </w:p>
          <w:p w:rsidR="000714B4" w:rsidRPr="00B74A55" w:rsidRDefault="000714B4" w:rsidP="002F19B5">
            <w:pPr>
              <w:autoSpaceDE w:val="0"/>
              <w:autoSpaceDN w:val="0"/>
              <w:adjustRightInd w:val="0"/>
              <w:jc w:val="right"/>
              <w:rPr>
                <w:rFonts w:eastAsia="Calibri"/>
                <w:color w:val="000000"/>
                <w:sz w:val="22"/>
              </w:rPr>
            </w:pPr>
          </w:p>
          <w:p w:rsidR="000714B4" w:rsidRPr="00B74A55" w:rsidRDefault="000714B4" w:rsidP="002F19B5">
            <w:pPr>
              <w:autoSpaceDE w:val="0"/>
              <w:autoSpaceDN w:val="0"/>
              <w:adjustRightInd w:val="0"/>
              <w:rPr>
                <w:rFonts w:eastAsia="Calibri"/>
                <w:color w:val="000000"/>
                <w:sz w:val="22"/>
              </w:rPr>
            </w:pPr>
            <w:r w:rsidRPr="00B74A55">
              <w:rPr>
                <w:rFonts w:eastAsia="Calibri"/>
                <w:color w:val="000000"/>
                <w:sz w:val="22"/>
              </w:rPr>
              <w:t xml:space="preserve">                                           280</w:t>
            </w:r>
          </w:p>
          <w:p w:rsidR="000714B4" w:rsidRPr="00B74A55" w:rsidRDefault="000714B4" w:rsidP="002F19B5">
            <w:pPr>
              <w:autoSpaceDE w:val="0"/>
              <w:autoSpaceDN w:val="0"/>
              <w:adjustRightInd w:val="0"/>
              <w:rPr>
                <w:rFonts w:eastAsia="Calibri"/>
                <w:color w:val="000000"/>
                <w:sz w:val="22"/>
              </w:rPr>
            </w:pPr>
          </w:p>
          <w:p w:rsidR="000714B4" w:rsidRPr="00B74A55" w:rsidRDefault="000714B4" w:rsidP="002F19B5">
            <w:pPr>
              <w:autoSpaceDE w:val="0"/>
              <w:autoSpaceDN w:val="0"/>
              <w:adjustRightInd w:val="0"/>
              <w:rPr>
                <w:rFonts w:eastAsia="Calibri"/>
                <w:color w:val="000000"/>
                <w:sz w:val="22"/>
              </w:rPr>
            </w:pPr>
            <w:r w:rsidRPr="00B74A55">
              <w:rPr>
                <w:rFonts w:eastAsia="Calibri"/>
                <w:color w:val="000000"/>
                <w:sz w:val="22"/>
              </w:rPr>
              <w:t xml:space="preserve">                                                    7 </w:t>
            </w:r>
          </w:p>
          <w:p w:rsidR="000714B4" w:rsidRPr="00B74A55" w:rsidRDefault="000714B4" w:rsidP="002F19B5">
            <w:pPr>
              <w:autoSpaceDE w:val="0"/>
              <w:autoSpaceDN w:val="0"/>
              <w:adjustRightInd w:val="0"/>
              <w:rPr>
                <w:rFonts w:eastAsia="Calibri"/>
                <w:color w:val="000000"/>
                <w:sz w:val="22"/>
              </w:rPr>
            </w:pPr>
            <w:r w:rsidRPr="00B74A55">
              <w:rPr>
                <w:rFonts w:eastAsia="Calibri"/>
                <w:color w:val="000000"/>
                <w:sz w:val="22"/>
              </w:rPr>
              <w:t xml:space="preserve">                                                    4                                                                   </w:t>
            </w:r>
          </w:p>
        </w:tc>
      </w:tr>
      <w:tr w:rsidR="000714B4" w:rsidRPr="00B74A55" w:rsidTr="000714B4">
        <w:trPr>
          <w:trHeight w:val="1587"/>
        </w:trPr>
        <w:tc>
          <w:tcPr>
            <w:tcW w:w="1448" w:type="dxa"/>
            <w:tcBorders>
              <w:top w:val="nil"/>
              <w:left w:val="nil"/>
              <w:bottom w:val="nil"/>
              <w:right w:val="nil"/>
            </w:tcBorders>
          </w:tcPr>
          <w:p w:rsidR="000714B4" w:rsidRPr="00B74A55" w:rsidRDefault="000714B4" w:rsidP="002F19B5">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0714B4" w:rsidRPr="00B74A55" w:rsidRDefault="000714B4" w:rsidP="002F19B5">
            <w:pPr>
              <w:autoSpaceDE w:val="0"/>
              <w:autoSpaceDN w:val="0"/>
              <w:adjustRightInd w:val="0"/>
              <w:rPr>
                <w:rFonts w:eastAsia="Calibri"/>
                <w:b/>
                <w:color w:val="000000"/>
                <w:sz w:val="22"/>
              </w:rPr>
            </w:pPr>
            <w:r w:rsidRPr="00B74A55">
              <w:rPr>
                <w:rFonts w:eastAsia="Calibri"/>
                <w:b/>
                <w:color w:val="000000"/>
                <w:sz w:val="22"/>
              </w:rPr>
              <w:t>Ключові заходи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0714B4" w:rsidRPr="00B74A55" w:rsidRDefault="000714B4" w:rsidP="002F19B5">
            <w:pPr>
              <w:autoSpaceDE w:val="0"/>
              <w:autoSpaceDN w:val="0"/>
              <w:adjustRightInd w:val="0"/>
              <w:rPr>
                <w:rFonts w:eastAsia="Calibri"/>
                <w:color w:val="000000"/>
                <w:sz w:val="22"/>
              </w:rPr>
            </w:pPr>
            <w:r w:rsidRPr="00B74A55">
              <w:rPr>
                <w:rFonts w:eastAsia="Calibri"/>
                <w:color w:val="000000"/>
                <w:sz w:val="22"/>
              </w:rPr>
              <w:t xml:space="preserve">1.Освітлення </w:t>
            </w:r>
            <w:proofErr w:type="spellStart"/>
            <w:r w:rsidRPr="00B74A55">
              <w:rPr>
                <w:rFonts w:eastAsia="Calibri"/>
                <w:color w:val="000000"/>
                <w:sz w:val="22"/>
              </w:rPr>
              <w:t>проєкту</w:t>
            </w:r>
            <w:proofErr w:type="spellEnd"/>
            <w:r w:rsidRPr="00B74A55">
              <w:rPr>
                <w:rFonts w:eastAsia="Calibri"/>
                <w:color w:val="000000"/>
                <w:sz w:val="22"/>
              </w:rPr>
              <w:t xml:space="preserve"> серед українських та міжнародних організацій.</w:t>
            </w:r>
          </w:p>
          <w:p w:rsidR="000714B4" w:rsidRPr="00B74A55" w:rsidRDefault="000714B4" w:rsidP="002F19B5">
            <w:pPr>
              <w:rPr>
                <w:rFonts w:eastAsia="Calibri"/>
                <w:sz w:val="22"/>
              </w:rPr>
            </w:pPr>
            <w:r w:rsidRPr="00B74A55">
              <w:rPr>
                <w:rFonts w:eastAsia="Calibri"/>
                <w:sz w:val="22"/>
              </w:rPr>
              <w:t>2. Вивчення та вибір оптимальної пропозиції.</w:t>
            </w:r>
          </w:p>
          <w:p w:rsidR="000714B4" w:rsidRPr="00B74A55" w:rsidRDefault="000714B4" w:rsidP="002F19B5">
            <w:pPr>
              <w:rPr>
                <w:rFonts w:eastAsia="Calibri"/>
                <w:sz w:val="22"/>
              </w:rPr>
            </w:pPr>
            <w:r w:rsidRPr="00B74A55">
              <w:rPr>
                <w:rFonts w:eastAsia="Calibri"/>
                <w:sz w:val="22"/>
              </w:rPr>
              <w:t>3. Складання договорів та кошторисної документації.</w:t>
            </w:r>
          </w:p>
          <w:p w:rsidR="000714B4" w:rsidRPr="00B74A55" w:rsidRDefault="000714B4" w:rsidP="002F19B5">
            <w:pPr>
              <w:rPr>
                <w:rFonts w:eastAsia="Calibri"/>
                <w:sz w:val="22"/>
              </w:rPr>
            </w:pPr>
            <w:r w:rsidRPr="00B74A55">
              <w:rPr>
                <w:rFonts w:eastAsia="Calibri"/>
                <w:sz w:val="22"/>
              </w:rPr>
              <w:t>4. Проведення капітального ремонту  Ясел-садка  № 45.</w:t>
            </w:r>
          </w:p>
          <w:p w:rsidR="000714B4" w:rsidRPr="00B74A55" w:rsidRDefault="000714B4" w:rsidP="002F19B5">
            <w:pPr>
              <w:rPr>
                <w:rFonts w:eastAsia="Calibri"/>
                <w:sz w:val="22"/>
              </w:rPr>
            </w:pPr>
            <w:r w:rsidRPr="00B74A55">
              <w:rPr>
                <w:rFonts w:eastAsia="Calibri"/>
                <w:sz w:val="22"/>
              </w:rPr>
              <w:t>5. Відновлення роботи закладу.</w:t>
            </w:r>
          </w:p>
          <w:p w:rsidR="000714B4" w:rsidRPr="00B74A55" w:rsidRDefault="000714B4" w:rsidP="002F19B5">
            <w:pPr>
              <w:rPr>
                <w:rFonts w:eastAsia="Calibri"/>
                <w:sz w:val="22"/>
              </w:rPr>
            </w:pPr>
            <w:r w:rsidRPr="00B74A55">
              <w:rPr>
                <w:rFonts w:eastAsia="Calibri"/>
                <w:sz w:val="22"/>
              </w:rPr>
              <w:t>6. Висвітлення  результатів.</w:t>
            </w:r>
          </w:p>
        </w:tc>
      </w:tr>
      <w:tr w:rsidR="000714B4" w:rsidRPr="00B74A55" w:rsidTr="000714B4">
        <w:trPr>
          <w:trHeight w:val="593"/>
        </w:trPr>
        <w:tc>
          <w:tcPr>
            <w:tcW w:w="1448" w:type="dxa"/>
            <w:vMerge w:val="restart"/>
            <w:tcBorders>
              <w:top w:val="nil"/>
              <w:left w:val="nil"/>
              <w:right w:val="nil"/>
            </w:tcBorders>
          </w:tcPr>
          <w:p w:rsidR="000714B4" w:rsidRPr="00B74A55" w:rsidRDefault="000714B4" w:rsidP="002F19B5">
            <w:pPr>
              <w:autoSpaceDE w:val="0"/>
              <w:autoSpaceDN w:val="0"/>
              <w:adjustRightInd w:val="0"/>
              <w:jc w:val="right"/>
              <w:rPr>
                <w:rFonts w:eastAsia="Calibri"/>
                <w:color w:val="000000"/>
                <w:sz w:val="22"/>
              </w:rPr>
            </w:pPr>
          </w:p>
        </w:tc>
        <w:tc>
          <w:tcPr>
            <w:tcW w:w="2977" w:type="dxa"/>
            <w:vMerge w:val="restart"/>
            <w:tcBorders>
              <w:top w:val="single" w:sz="6" w:space="0" w:color="auto"/>
              <w:left w:val="single" w:sz="6" w:space="0" w:color="auto"/>
              <w:bottom w:val="single" w:sz="6" w:space="0" w:color="auto"/>
              <w:right w:val="single" w:sz="6" w:space="0" w:color="auto"/>
            </w:tcBorders>
            <w:shd w:val="clear" w:color="00FFFF" w:fill="C6D9F1" w:themeFill="text2" w:themeFillTint="33"/>
          </w:tcPr>
          <w:p w:rsidR="000714B4" w:rsidRPr="00B74A55" w:rsidRDefault="000714B4" w:rsidP="002F19B5">
            <w:pPr>
              <w:autoSpaceDE w:val="0"/>
              <w:autoSpaceDN w:val="0"/>
              <w:adjustRightInd w:val="0"/>
              <w:rPr>
                <w:rFonts w:eastAsia="Calibri"/>
                <w:b/>
                <w:color w:val="000000"/>
                <w:sz w:val="22"/>
              </w:rPr>
            </w:pPr>
            <w:r w:rsidRPr="00B74A55">
              <w:rPr>
                <w:rFonts w:eastAsia="Calibri"/>
                <w:b/>
                <w:color w:val="000000"/>
                <w:sz w:val="22"/>
              </w:rPr>
              <w:t>Орієнтовний обсяг та джерела фінансування тис. гривень</w:t>
            </w:r>
          </w:p>
        </w:tc>
        <w:tc>
          <w:tcPr>
            <w:tcW w:w="1417" w:type="dxa"/>
            <w:tcBorders>
              <w:top w:val="single" w:sz="6" w:space="0" w:color="auto"/>
              <w:left w:val="single" w:sz="6" w:space="0" w:color="auto"/>
              <w:bottom w:val="single" w:sz="6" w:space="0" w:color="auto"/>
              <w:right w:val="single" w:sz="6" w:space="0" w:color="auto"/>
            </w:tcBorders>
          </w:tcPr>
          <w:p w:rsidR="000714B4" w:rsidRPr="00B74A55" w:rsidRDefault="000714B4" w:rsidP="002F19B5">
            <w:pPr>
              <w:autoSpaceDE w:val="0"/>
              <w:autoSpaceDN w:val="0"/>
              <w:adjustRightInd w:val="0"/>
              <w:jc w:val="center"/>
              <w:rPr>
                <w:rFonts w:eastAsia="Calibri"/>
                <w:color w:val="000000"/>
                <w:sz w:val="22"/>
              </w:rPr>
            </w:pPr>
            <w:r w:rsidRPr="00B74A55">
              <w:rPr>
                <w:rFonts w:eastAsia="Calibri"/>
                <w:color w:val="000000"/>
                <w:sz w:val="22"/>
              </w:rPr>
              <w:t>Державний бюджет</w:t>
            </w:r>
          </w:p>
        </w:tc>
        <w:tc>
          <w:tcPr>
            <w:tcW w:w="1276" w:type="dxa"/>
            <w:tcBorders>
              <w:top w:val="single" w:sz="6" w:space="0" w:color="auto"/>
              <w:left w:val="single" w:sz="6" w:space="0" w:color="auto"/>
              <w:bottom w:val="single" w:sz="6" w:space="0" w:color="auto"/>
              <w:right w:val="single" w:sz="6" w:space="0" w:color="auto"/>
            </w:tcBorders>
          </w:tcPr>
          <w:p w:rsidR="000714B4" w:rsidRPr="00B74A55" w:rsidRDefault="000714B4" w:rsidP="002F19B5">
            <w:pPr>
              <w:autoSpaceDE w:val="0"/>
              <w:autoSpaceDN w:val="0"/>
              <w:adjustRightInd w:val="0"/>
              <w:jc w:val="center"/>
              <w:rPr>
                <w:rFonts w:eastAsia="Calibri"/>
                <w:color w:val="000000"/>
                <w:sz w:val="22"/>
              </w:rPr>
            </w:pPr>
            <w:r w:rsidRPr="00B74A55">
              <w:rPr>
                <w:rFonts w:eastAsia="Calibri"/>
                <w:color w:val="000000"/>
                <w:sz w:val="22"/>
              </w:rPr>
              <w:t>Місцевий бюджет</w:t>
            </w:r>
          </w:p>
        </w:tc>
        <w:tc>
          <w:tcPr>
            <w:tcW w:w="3118" w:type="dxa"/>
            <w:gridSpan w:val="4"/>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jc w:val="center"/>
              <w:rPr>
                <w:rFonts w:eastAsia="Calibri"/>
                <w:color w:val="000000"/>
                <w:sz w:val="22"/>
              </w:rPr>
            </w:pPr>
            <w:r w:rsidRPr="00B74A55">
              <w:rPr>
                <w:rFonts w:eastAsia="Calibri"/>
                <w:color w:val="000000"/>
                <w:sz w:val="22"/>
              </w:rPr>
              <w:t>Інші джерела</w:t>
            </w:r>
          </w:p>
        </w:tc>
        <w:tc>
          <w:tcPr>
            <w:tcW w:w="1276" w:type="dxa"/>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jc w:val="center"/>
              <w:rPr>
                <w:rFonts w:eastAsia="Calibri"/>
                <w:sz w:val="22"/>
              </w:rPr>
            </w:pPr>
            <w:r w:rsidRPr="00B74A55">
              <w:rPr>
                <w:rFonts w:eastAsia="Calibri"/>
                <w:color w:val="000000"/>
                <w:sz w:val="22"/>
              </w:rPr>
              <w:t>Всього</w:t>
            </w:r>
          </w:p>
        </w:tc>
      </w:tr>
      <w:tr w:rsidR="000714B4" w:rsidRPr="00B74A55" w:rsidTr="000714B4">
        <w:trPr>
          <w:trHeight w:val="95"/>
        </w:trPr>
        <w:tc>
          <w:tcPr>
            <w:tcW w:w="1448" w:type="dxa"/>
            <w:vMerge/>
            <w:tcBorders>
              <w:left w:val="nil"/>
              <w:right w:val="nil"/>
            </w:tcBorders>
          </w:tcPr>
          <w:p w:rsidR="000714B4" w:rsidRPr="00B74A55" w:rsidRDefault="000714B4" w:rsidP="002F19B5">
            <w:pPr>
              <w:autoSpaceDE w:val="0"/>
              <w:autoSpaceDN w:val="0"/>
              <w:adjustRightInd w:val="0"/>
              <w:jc w:val="right"/>
              <w:rPr>
                <w:rFonts w:eastAsia="Calibri"/>
                <w:color w:val="000000"/>
                <w:sz w:val="22"/>
              </w:rPr>
            </w:pPr>
          </w:p>
        </w:tc>
        <w:tc>
          <w:tcPr>
            <w:tcW w:w="2977" w:type="dxa"/>
            <w:vMerge/>
            <w:tcBorders>
              <w:top w:val="single" w:sz="6" w:space="0" w:color="auto"/>
              <w:left w:val="single" w:sz="6" w:space="0" w:color="auto"/>
              <w:bottom w:val="single" w:sz="6" w:space="0" w:color="auto"/>
              <w:right w:val="single" w:sz="6" w:space="0" w:color="auto"/>
            </w:tcBorders>
            <w:shd w:val="clear" w:color="00FFFF" w:fill="C6D9F1" w:themeFill="text2" w:themeFillTint="33"/>
          </w:tcPr>
          <w:p w:rsidR="000714B4" w:rsidRPr="00B74A55" w:rsidRDefault="000714B4" w:rsidP="002F19B5">
            <w:pPr>
              <w:autoSpaceDE w:val="0"/>
              <w:autoSpaceDN w:val="0"/>
              <w:adjustRightInd w:val="0"/>
              <w:rPr>
                <w:rFonts w:eastAsia="Calibri"/>
                <w:b/>
                <w:color w:val="000000"/>
                <w:sz w:val="22"/>
              </w:rPr>
            </w:pPr>
          </w:p>
        </w:tc>
        <w:tc>
          <w:tcPr>
            <w:tcW w:w="1417" w:type="dxa"/>
            <w:vMerge w:val="restart"/>
            <w:tcBorders>
              <w:top w:val="single" w:sz="6" w:space="0" w:color="auto"/>
              <w:left w:val="single" w:sz="6" w:space="0" w:color="auto"/>
              <w:bottom w:val="single" w:sz="6" w:space="0" w:color="auto"/>
              <w:right w:val="single" w:sz="6" w:space="0" w:color="auto"/>
            </w:tcBorders>
          </w:tcPr>
          <w:p w:rsidR="000714B4" w:rsidRPr="00B74A55" w:rsidRDefault="000714B4" w:rsidP="002F19B5">
            <w:pPr>
              <w:autoSpaceDE w:val="0"/>
              <w:autoSpaceDN w:val="0"/>
              <w:adjustRightInd w:val="0"/>
              <w:rPr>
                <w:rFonts w:eastAsia="Calibri"/>
                <w:sz w:val="22"/>
              </w:rPr>
            </w:pPr>
            <w:r w:rsidRPr="00B74A55">
              <w:rPr>
                <w:rFonts w:eastAsia="Calibri"/>
                <w:sz w:val="22"/>
              </w:rPr>
              <w:t>3 290,0</w:t>
            </w:r>
          </w:p>
          <w:p w:rsidR="000714B4" w:rsidRPr="00B74A55" w:rsidRDefault="000714B4" w:rsidP="002F19B5">
            <w:pPr>
              <w:autoSpaceDE w:val="0"/>
              <w:autoSpaceDN w:val="0"/>
              <w:adjustRightInd w:val="0"/>
              <w:rPr>
                <w:rFonts w:eastAsia="Calibri"/>
                <w:color w:val="000000"/>
                <w:sz w:val="22"/>
              </w:rPr>
            </w:pPr>
          </w:p>
        </w:tc>
        <w:tc>
          <w:tcPr>
            <w:tcW w:w="1276" w:type="dxa"/>
            <w:vMerge w:val="restart"/>
            <w:tcBorders>
              <w:top w:val="single" w:sz="6" w:space="0" w:color="auto"/>
              <w:left w:val="single" w:sz="6" w:space="0" w:color="auto"/>
              <w:bottom w:val="single" w:sz="6" w:space="0" w:color="auto"/>
              <w:right w:val="single" w:sz="6" w:space="0" w:color="auto"/>
            </w:tcBorders>
          </w:tcPr>
          <w:p w:rsidR="000714B4" w:rsidRPr="00B74A55" w:rsidRDefault="00DA7740" w:rsidP="00DA7740">
            <w:pPr>
              <w:autoSpaceDE w:val="0"/>
              <w:autoSpaceDN w:val="0"/>
              <w:adjustRightInd w:val="0"/>
              <w:jc w:val="center"/>
              <w:rPr>
                <w:rFonts w:eastAsia="Calibri"/>
                <w:color w:val="000000"/>
                <w:sz w:val="22"/>
              </w:rPr>
            </w:pPr>
            <w:r w:rsidRPr="00B74A55">
              <w:rPr>
                <w:rFonts w:eastAsia="Calibri"/>
                <w:color w:val="000000"/>
                <w:sz w:val="22"/>
              </w:rPr>
              <w:lastRenderedPageBreak/>
              <w:t>-</w:t>
            </w:r>
          </w:p>
        </w:tc>
        <w:tc>
          <w:tcPr>
            <w:tcW w:w="1134" w:type="dxa"/>
            <w:tcBorders>
              <w:top w:val="single" w:sz="6" w:space="0" w:color="auto"/>
              <w:left w:val="single" w:sz="6" w:space="0" w:color="auto"/>
              <w:bottom w:val="single" w:sz="6" w:space="0" w:color="auto"/>
              <w:right w:val="single" w:sz="6" w:space="0" w:color="auto"/>
            </w:tcBorders>
          </w:tcPr>
          <w:p w:rsidR="000714B4" w:rsidRPr="00B74A55" w:rsidRDefault="000714B4" w:rsidP="002F19B5">
            <w:pPr>
              <w:autoSpaceDE w:val="0"/>
              <w:autoSpaceDN w:val="0"/>
              <w:adjustRightInd w:val="0"/>
              <w:jc w:val="right"/>
              <w:rPr>
                <w:rFonts w:eastAsia="Calibri"/>
                <w:color w:val="000000"/>
                <w:sz w:val="22"/>
              </w:rPr>
            </w:pPr>
            <w:r w:rsidRPr="00B74A55">
              <w:rPr>
                <w:rFonts w:eastAsia="Calibri"/>
                <w:color w:val="000000"/>
                <w:sz w:val="22"/>
              </w:rPr>
              <w:t>Обсяг</w:t>
            </w:r>
          </w:p>
        </w:tc>
        <w:tc>
          <w:tcPr>
            <w:tcW w:w="1984" w:type="dxa"/>
            <w:gridSpan w:val="3"/>
            <w:tcBorders>
              <w:top w:val="single" w:sz="6" w:space="0" w:color="auto"/>
              <w:left w:val="single" w:sz="6" w:space="0" w:color="auto"/>
              <w:bottom w:val="single" w:sz="6" w:space="0" w:color="auto"/>
              <w:right w:val="single" w:sz="6" w:space="0" w:color="auto"/>
            </w:tcBorders>
          </w:tcPr>
          <w:p w:rsidR="000714B4" w:rsidRPr="00B74A55" w:rsidRDefault="000714B4" w:rsidP="002F19B5">
            <w:pPr>
              <w:autoSpaceDE w:val="0"/>
              <w:autoSpaceDN w:val="0"/>
              <w:adjustRightInd w:val="0"/>
              <w:jc w:val="right"/>
              <w:rPr>
                <w:rFonts w:eastAsia="Calibri"/>
                <w:color w:val="000000"/>
                <w:sz w:val="22"/>
              </w:rPr>
            </w:pPr>
            <w:r w:rsidRPr="00B74A55">
              <w:rPr>
                <w:rFonts w:eastAsia="Calibri"/>
                <w:color w:val="000000"/>
                <w:sz w:val="22"/>
              </w:rPr>
              <w:t>Назва джерела</w:t>
            </w:r>
          </w:p>
        </w:tc>
        <w:tc>
          <w:tcPr>
            <w:tcW w:w="1276" w:type="dxa"/>
            <w:vMerge w:val="restart"/>
            <w:tcBorders>
              <w:top w:val="single" w:sz="6" w:space="0" w:color="auto"/>
              <w:left w:val="single" w:sz="6" w:space="0" w:color="auto"/>
              <w:bottom w:val="single" w:sz="6" w:space="0" w:color="auto"/>
              <w:right w:val="single" w:sz="6" w:space="0" w:color="auto"/>
            </w:tcBorders>
          </w:tcPr>
          <w:p w:rsidR="000714B4" w:rsidRPr="00B74A55" w:rsidRDefault="000714B4" w:rsidP="002F19B5">
            <w:pPr>
              <w:autoSpaceDE w:val="0"/>
              <w:autoSpaceDN w:val="0"/>
              <w:adjustRightInd w:val="0"/>
              <w:jc w:val="right"/>
              <w:rPr>
                <w:rFonts w:eastAsia="Calibri"/>
                <w:color w:val="000000"/>
                <w:sz w:val="22"/>
              </w:rPr>
            </w:pPr>
            <w:r w:rsidRPr="00B74A55">
              <w:rPr>
                <w:rFonts w:eastAsia="Calibri"/>
                <w:sz w:val="22"/>
              </w:rPr>
              <w:t>4 700,0</w:t>
            </w:r>
          </w:p>
        </w:tc>
      </w:tr>
      <w:tr w:rsidR="000714B4" w:rsidRPr="00B74A55" w:rsidTr="000714B4">
        <w:trPr>
          <w:trHeight w:val="188"/>
        </w:trPr>
        <w:tc>
          <w:tcPr>
            <w:tcW w:w="1448" w:type="dxa"/>
            <w:vMerge/>
            <w:tcBorders>
              <w:left w:val="nil"/>
              <w:bottom w:val="nil"/>
              <w:right w:val="nil"/>
            </w:tcBorders>
          </w:tcPr>
          <w:p w:rsidR="000714B4" w:rsidRPr="00B74A55" w:rsidRDefault="000714B4" w:rsidP="002F19B5">
            <w:pPr>
              <w:autoSpaceDE w:val="0"/>
              <w:autoSpaceDN w:val="0"/>
              <w:adjustRightInd w:val="0"/>
              <w:jc w:val="right"/>
              <w:rPr>
                <w:rFonts w:eastAsia="Calibri"/>
                <w:color w:val="000000"/>
                <w:sz w:val="22"/>
              </w:rPr>
            </w:pPr>
          </w:p>
        </w:tc>
        <w:tc>
          <w:tcPr>
            <w:tcW w:w="2977" w:type="dxa"/>
            <w:vMerge/>
            <w:tcBorders>
              <w:top w:val="single" w:sz="6" w:space="0" w:color="auto"/>
              <w:left w:val="single" w:sz="6" w:space="0" w:color="auto"/>
              <w:bottom w:val="single" w:sz="6" w:space="0" w:color="auto"/>
              <w:right w:val="single" w:sz="6" w:space="0" w:color="auto"/>
            </w:tcBorders>
            <w:shd w:val="clear" w:color="00FFFF" w:fill="C6D9F1" w:themeFill="text2" w:themeFillTint="33"/>
          </w:tcPr>
          <w:p w:rsidR="000714B4" w:rsidRPr="00B74A55" w:rsidRDefault="000714B4" w:rsidP="002F19B5">
            <w:pPr>
              <w:autoSpaceDE w:val="0"/>
              <w:autoSpaceDN w:val="0"/>
              <w:adjustRightInd w:val="0"/>
              <w:rPr>
                <w:rFonts w:eastAsia="Calibri"/>
                <w:b/>
                <w:color w:val="000000"/>
                <w:sz w:val="22"/>
              </w:rPr>
            </w:pPr>
          </w:p>
        </w:tc>
        <w:tc>
          <w:tcPr>
            <w:tcW w:w="1417" w:type="dxa"/>
            <w:vMerge/>
            <w:tcBorders>
              <w:top w:val="single" w:sz="6" w:space="0" w:color="auto"/>
              <w:left w:val="single" w:sz="6" w:space="0" w:color="auto"/>
              <w:bottom w:val="single" w:sz="6" w:space="0" w:color="auto"/>
              <w:right w:val="single" w:sz="6" w:space="0" w:color="auto"/>
            </w:tcBorders>
          </w:tcPr>
          <w:p w:rsidR="000714B4" w:rsidRPr="00B74A55" w:rsidRDefault="000714B4" w:rsidP="002F19B5">
            <w:pPr>
              <w:autoSpaceDE w:val="0"/>
              <w:autoSpaceDN w:val="0"/>
              <w:adjustRightInd w:val="0"/>
              <w:jc w:val="right"/>
              <w:rPr>
                <w:rFonts w:eastAsia="Calibri"/>
                <w:color w:val="000000"/>
                <w:sz w:val="22"/>
              </w:rPr>
            </w:pPr>
          </w:p>
        </w:tc>
        <w:tc>
          <w:tcPr>
            <w:tcW w:w="1276" w:type="dxa"/>
            <w:vMerge/>
            <w:tcBorders>
              <w:top w:val="single" w:sz="6" w:space="0" w:color="auto"/>
              <w:left w:val="single" w:sz="6" w:space="0" w:color="auto"/>
              <w:bottom w:val="single" w:sz="6" w:space="0" w:color="auto"/>
              <w:right w:val="single" w:sz="6" w:space="0" w:color="auto"/>
            </w:tcBorders>
          </w:tcPr>
          <w:p w:rsidR="000714B4" w:rsidRPr="00B74A55" w:rsidRDefault="000714B4" w:rsidP="002F19B5">
            <w:pPr>
              <w:autoSpaceDE w:val="0"/>
              <w:autoSpaceDN w:val="0"/>
              <w:adjustRightInd w:val="0"/>
              <w:jc w:val="right"/>
              <w:rPr>
                <w:rFonts w:eastAsia="Calibri"/>
                <w:color w:val="000000"/>
                <w:sz w:val="22"/>
              </w:rPr>
            </w:pPr>
          </w:p>
        </w:tc>
        <w:tc>
          <w:tcPr>
            <w:tcW w:w="1134" w:type="dxa"/>
            <w:tcBorders>
              <w:top w:val="single" w:sz="6" w:space="0" w:color="auto"/>
              <w:left w:val="single" w:sz="6" w:space="0" w:color="auto"/>
              <w:bottom w:val="single" w:sz="6" w:space="0" w:color="auto"/>
              <w:right w:val="single" w:sz="6" w:space="0" w:color="auto"/>
            </w:tcBorders>
          </w:tcPr>
          <w:p w:rsidR="000714B4" w:rsidRPr="00B74A55" w:rsidRDefault="000714B4" w:rsidP="002F19B5">
            <w:pPr>
              <w:autoSpaceDE w:val="0"/>
              <w:autoSpaceDN w:val="0"/>
              <w:adjustRightInd w:val="0"/>
              <w:jc w:val="center"/>
              <w:rPr>
                <w:rFonts w:eastAsia="Calibri"/>
                <w:color w:val="000000"/>
                <w:sz w:val="22"/>
              </w:rPr>
            </w:pPr>
            <w:r w:rsidRPr="00B74A55">
              <w:rPr>
                <w:rFonts w:eastAsia="Calibri"/>
                <w:color w:val="000000"/>
                <w:sz w:val="22"/>
              </w:rPr>
              <w:t>1410,0</w:t>
            </w:r>
          </w:p>
        </w:tc>
        <w:tc>
          <w:tcPr>
            <w:tcW w:w="1984" w:type="dxa"/>
            <w:gridSpan w:val="3"/>
            <w:tcBorders>
              <w:top w:val="single" w:sz="6" w:space="0" w:color="auto"/>
              <w:left w:val="single" w:sz="6" w:space="0" w:color="auto"/>
              <w:bottom w:val="single" w:sz="6" w:space="0" w:color="auto"/>
              <w:right w:val="single" w:sz="6" w:space="0" w:color="auto"/>
            </w:tcBorders>
          </w:tcPr>
          <w:p w:rsidR="000714B4" w:rsidRPr="00B74A55" w:rsidRDefault="000714B4" w:rsidP="002F19B5">
            <w:pPr>
              <w:pStyle w:val="23"/>
              <w:rPr>
                <w:rFonts w:ascii="Times New Roman" w:hAnsi="Times New Roman"/>
                <w:color w:val="000000"/>
                <w:sz w:val="22"/>
              </w:rPr>
            </w:pPr>
            <w:proofErr w:type="spellStart"/>
            <w:r w:rsidRPr="00B74A55">
              <w:rPr>
                <w:rFonts w:ascii="Times New Roman" w:hAnsi="Times New Roman"/>
                <w:sz w:val="22"/>
              </w:rPr>
              <w:t>Міжнародні</w:t>
            </w:r>
            <w:proofErr w:type="spellEnd"/>
            <w:r w:rsidRPr="00B74A55">
              <w:rPr>
                <w:rFonts w:ascii="Times New Roman" w:hAnsi="Times New Roman"/>
                <w:sz w:val="22"/>
              </w:rPr>
              <w:t xml:space="preserve"> </w:t>
            </w:r>
            <w:proofErr w:type="spellStart"/>
            <w:r w:rsidRPr="00B74A55">
              <w:rPr>
                <w:rFonts w:ascii="Times New Roman" w:hAnsi="Times New Roman"/>
                <w:sz w:val="22"/>
              </w:rPr>
              <w:t>інвестиції</w:t>
            </w:r>
            <w:proofErr w:type="spellEnd"/>
            <w:r w:rsidRPr="00B74A55">
              <w:rPr>
                <w:rFonts w:ascii="Times New Roman" w:hAnsi="Times New Roman"/>
                <w:sz w:val="22"/>
              </w:rPr>
              <w:t xml:space="preserve">, </w:t>
            </w:r>
            <w:proofErr w:type="spellStart"/>
            <w:r w:rsidRPr="00B74A55">
              <w:rPr>
                <w:rFonts w:ascii="Times New Roman" w:hAnsi="Times New Roman"/>
                <w:sz w:val="22"/>
              </w:rPr>
              <w:t>кошти</w:t>
            </w:r>
            <w:proofErr w:type="spellEnd"/>
            <w:r w:rsidRPr="00B74A55">
              <w:rPr>
                <w:rFonts w:ascii="Times New Roman" w:hAnsi="Times New Roman"/>
                <w:sz w:val="22"/>
              </w:rPr>
              <w:t xml:space="preserve"> </w:t>
            </w:r>
            <w:proofErr w:type="spellStart"/>
            <w:r w:rsidRPr="00B74A55">
              <w:rPr>
                <w:rFonts w:ascii="Times New Roman" w:hAnsi="Times New Roman"/>
                <w:sz w:val="22"/>
              </w:rPr>
              <w:t>приватних</w:t>
            </w:r>
            <w:proofErr w:type="spellEnd"/>
            <w:r w:rsidRPr="00B74A55">
              <w:rPr>
                <w:rFonts w:ascii="Times New Roman" w:hAnsi="Times New Roman"/>
                <w:sz w:val="22"/>
              </w:rPr>
              <w:t xml:space="preserve"> </w:t>
            </w:r>
            <w:proofErr w:type="spellStart"/>
            <w:r w:rsidRPr="00B74A55">
              <w:rPr>
                <w:rFonts w:ascii="Times New Roman" w:hAnsi="Times New Roman"/>
                <w:sz w:val="22"/>
              </w:rPr>
              <w:t>осіб</w:t>
            </w:r>
            <w:proofErr w:type="spellEnd"/>
          </w:p>
        </w:tc>
        <w:tc>
          <w:tcPr>
            <w:tcW w:w="1276" w:type="dxa"/>
            <w:vMerge/>
            <w:tcBorders>
              <w:top w:val="single" w:sz="6" w:space="0" w:color="auto"/>
              <w:left w:val="single" w:sz="6" w:space="0" w:color="auto"/>
              <w:bottom w:val="single" w:sz="6" w:space="0" w:color="auto"/>
              <w:right w:val="single" w:sz="6" w:space="0" w:color="auto"/>
            </w:tcBorders>
          </w:tcPr>
          <w:p w:rsidR="000714B4" w:rsidRPr="00B74A55" w:rsidRDefault="000714B4" w:rsidP="002F19B5">
            <w:pPr>
              <w:autoSpaceDE w:val="0"/>
              <w:autoSpaceDN w:val="0"/>
              <w:adjustRightInd w:val="0"/>
              <w:jc w:val="right"/>
              <w:rPr>
                <w:rFonts w:eastAsia="Calibri"/>
                <w:color w:val="000000"/>
                <w:sz w:val="22"/>
              </w:rPr>
            </w:pPr>
          </w:p>
        </w:tc>
      </w:tr>
    </w:tbl>
    <w:p w:rsidR="000714B4" w:rsidRPr="00B74A55" w:rsidRDefault="000714B4" w:rsidP="000714B4">
      <w:pPr>
        <w:tabs>
          <w:tab w:val="left" w:pos="5290"/>
        </w:tabs>
        <w:rPr>
          <w:sz w:val="22"/>
          <w:szCs w:val="22"/>
          <w:lang w:val="ru-RU"/>
        </w:rPr>
      </w:pPr>
    </w:p>
    <w:p w:rsidR="000714B4" w:rsidRPr="00B74A55" w:rsidRDefault="000714B4" w:rsidP="000714B4">
      <w:pPr>
        <w:tabs>
          <w:tab w:val="left" w:pos="5290"/>
        </w:tabs>
        <w:rPr>
          <w:sz w:val="22"/>
          <w:szCs w:val="22"/>
          <w:lang w:val="ru-RU"/>
        </w:rPr>
      </w:pPr>
    </w:p>
    <w:tbl>
      <w:tblPr>
        <w:tblpPr w:leftFromText="180" w:rightFromText="180" w:vertAnchor="text" w:horzAnchor="margin" w:tblpX="-254" w:tblpY="213"/>
        <w:tblW w:w="10095" w:type="dxa"/>
        <w:tblLayout w:type="fixed"/>
        <w:tblCellMar>
          <w:left w:w="30" w:type="dxa"/>
          <w:right w:w="30" w:type="dxa"/>
        </w:tblCellMar>
        <w:tblLook w:val="0000" w:firstRow="0" w:lastRow="0" w:firstColumn="0" w:lastColumn="0" w:noHBand="0" w:noVBand="0"/>
      </w:tblPr>
      <w:tblGrid>
        <w:gridCol w:w="2978"/>
        <w:gridCol w:w="1226"/>
        <w:gridCol w:w="1090"/>
        <w:gridCol w:w="953"/>
        <w:gridCol w:w="587"/>
        <w:gridCol w:w="1701"/>
        <w:gridCol w:w="1560"/>
      </w:tblGrid>
      <w:tr w:rsidR="000714B4" w:rsidRPr="00B74A55" w:rsidTr="000714B4">
        <w:trPr>
          <w:trHeight w:val="911"/>
        </w:trPr>
        <w:tc>
          <w:tcPr>
            <w:tcW w:w="2978"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0714B4" w:rsidRPr="00B74A55" w:rsidRDefault="000714B4" w:rsidP="000714B4">
            <w:pPr>
              <w:autoSpaceDE w:val="0"/>
              <w:autoSpaceDN w:val="0"/>
              <w:adjustRightInd w:val="0"/>
              <w:rPr>
                <w:rFonts w:eastAsia="Calibri"/>
                <w:b/>
                <w:color w:val="000000"/>
                <w:sz w:val="22"/>
              </w:rPr>
            </w:pPr>
            <w:r w:rsidRPr="00B74A55">
              <w:rPr>
                <w:rFonts w:eastAsia="Calibri"/>
                <w:b/>
                <w:color w:val="000000"/>
                <w:sz w:val="22"/>
              </w:rPr>
              <w:t>Оперативна ціль/завдання</w:t>
            </w:r>
          </w:p>
        </w:tc>
        <w:tc>
          <w:tcPr>
            <w:tcW w:w="7117" w:type="dxa"/>
            <w:gridSpan w:val="6"/>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rPr>
                <w:rFonts w:eastAsia="Calibri"/>
                <w:color w:val="000000"/>
                <w:sz w:val="22"/>
              </w:rPr>
            </w:pPr>
            <w:r w:rsidRPr="00B74A55">
              <w:rPr>
                <w:color w:val="222222"/>
                <w:sz w:val="22"/>
                <w:shd w:val="clear" w:color="auto" w:fill="FFFFFF"/>
              </w:rPr>
              <w:t xml:space="preserve">Людський розвиток через інновації управління та довіру до влади. Формування сучасного інклюзивного  </w:t>
            </w:r>
            <w:proofErr w:type="spellStart"/>
            <w:r w:rsidRPr="00B74A55">
              <w:rPr>
                <w:color w:val="222222"/>
                <w:sz w:val="22"/>
                <w:shd w:val="clear" w:color="auto" w:fill="FFFFFF"/>
              </w:rPr>
              <w:t>освітньо</w:t>
            </w:r>
            <w:proofErr w:type="spellEnd"/>
            <w:r w:rsidRPr="00B74A55">
              <w:rPr>
                <w:color w:val="222222"/>
                <w:sz w:val="22"/>
                <w:shd w:val="clear" w:color="auto" w:fill="FFFFFF"/>
              </w:rPr>
              <w:t>-культурного та спортивного простору для розвитку.</w:t>
            </w:r>
          </w:p>
        </w:tc>
      </w:tr>
      <w:tr w:rsidR="000714B4" w:rsidRPr="00B74A55" w:rsidTr="000714B4">
        <w:trPr>
          <w:trHeight w:val="260"/>
        </w:trPr>
        <w:tc>
          <w:tcPr>
            <w:tcW w:w="2978"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0714B4" w:rsidRPr="00B74A55" w:rsidRDefault="000714B4" w:rsidP="000714B4">
            <w:pPr>
              <w:autoSpaceDE w:val="0"/>
              <w:autoSpaceDN w:val="0"/>
              <w:adjustRightInd w:val="0"/>
              <w:rPr>
                <w:rFonts w:eastAsia="Calibri"/>
                <w:b/>
                <w:color w:val="000000"/>
                <w:sz w:val="22"/>
              </w:rPr>
            </w:pPr>
            <w:r w:rsidRPr="00B74A55">
              <w:rPr>
                <w:rFonts w:eastAsia="Calibri"/>
                <w:b/>
                <w:color w:val="000000"/>
                <w:sz w:val="22"/>
              </w:rPr>
              <w:t xml:space="preserve">Назва проекту: </w:t>
            </w:r>
          </w:p>
        </w:tc>
        <w:tc>
          <w:tcPr>
            <w:tcW w:w="7117" w:type="dxa"/>
            <w:gridSpan w:val="6"/>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rPr>
                <w:rFonts w:eastAsia="Calibri"/>
                <w:color w:val="000000"/>
                <w:sz w:val="22"/>
              </w:rPr>
            </w:pPr>
            <w:r w:rsidRPr="00B74A55">
              <w:rPr>
                <w:rFonts w:eastAsia="Calibri"/>
                <w:color w:val="000000"/>
                <w:sz w:val="22"/>
              </w:rPr>
              <w:t>Відновлення благоустрою території: улаштування ігрового та спортивного обладнання, облаштування асфальтових доріжок та озеленіння території  Ясел-садка  № 45 міста Сєвєродонецька Луганської області, смт Борівське вул. Колгоспна, буд.30</w:t>
            </w:r>
          </w:p>
        </w:tc>
      </w:tr>
      <w:tr w:rsidR="000714B4" w:rsidRPr="00B74A55" w:rsidTr="000714B4">
        <w:trPr>
          <w:trHeight w:val="965"/>
        </w:trPr>
        <w:tc>
          <w:tcPr>
            <w:tcW w:w="2978"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0714B4" w:rsidRPr="00B74A55" w:rsidRDefault="000714B4" w:rsidP="000714B4">
            <w:pPr>
              <w:autoSpaceDE w:val="0"/>
              <w:autoSpaceDN w:val="0"/>
              <w:adjustRightInd w:val="0"/>
              <w:rPr>
                <w:rFonts w:eastAsia="Calibri"/>
                <w:b/>
                <w:color w:val="000000"/>
                <w:sz w:val="22"/>
              </w:rPr>
            </w:pPr>
            <w:r w:rsidRPr="00B74A55">
              <w:rPr>
                <w:rFonts w:eastAsia="Calibri"/>
                <w:b/>
                <w:color w:val="000000"/>
                <w:sz w:val="22"/>
              </w:rPr>
              <w:t>Ціль проекту</w:t>
            </w:r>
          </w:p>
        </w:tc>
        <w:tc>
          <w:tcPr>
            <w:tcW w:w="7117" w:type="dxa"/>
            <w:gridSpan w:val="6"/>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rPr>
                <w:rFonts w:eastAsia="Calibri"/>
                <w:color w:val="000000"/>
                <w:sz w:val="22"/>
              </w:rPr>
            </w:pPr>
            <w:r w:rsidRPr="00B74A55">
              <w:rPr>
                <w:rFonts w:eastAsia="Calibri"/>
                <w:color w:val="000000"/>
                <w:sz w:val="22"/>
              </w:rPr>
              <w:t>Відновити  благоустрій території: улаштувати ігровий та спортивний  майданчики, облаштування асфальтових доріжок на території, озеленіння території .</w:t>
            </w:r>
          </w:p>
        </w:tc>
      </w:tr>
      <w:tr w:rsidR="000714B4" w:rsidRPr="00B74A55" w:rsidTr="000714B4">
        <w:trPr>
          <w:trHeight w:val="260"/>
        </w:trPr>
        <w:tc>
          <w:tcPr>
            <w:tcW w:w="2978"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0714B4" w:rsidRPr="00B74A55" w:rsidRDefault="000714B4" w:rsidP="000714B4">
            <w:pPr>
              <w:autoSpaceDE w:val="0"/>
              <w:autoSpaceDN w:val="0"/>
              <w:adjustRightInd w:val="0"/>
              <w:rPr>
                <w:rFonts w:eastAsia="Calibri"/>
                <w:b/>
                <w:color w:val="000000"/>
                <w:sz w:val="22"/>
              </w:rPr>
            </w:pPr>
            <w:r w:rsidRPr="00B74A55">
              <w:rPr>
                <w:rFonts w:eastAsia="Calibri"/>
                <w:b/>
                <w:color w:val="000000"/>
                <w:sz w:val="22"/>
              </w:rPr>
              <w:t>Територія, на яку матиме вплив реалізація проекту</w:t>
            </w:r>
          </w:p>
        </w:tc>
        <w:tc>
          <w:tcPr>
            <w:tcW w:w="7117" w:type="dxa"/>
            <w:gridSpan w:val="6"/>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rPr>
                <w:rFonts w:eastAsia="Calibri"/>
                <w:color w:val="000000"/>
                <w:sz w:val="22"/>
              </w:rPr>
            </w:pPr>
            <w:r w:rsidRPr="00B74A55">
              <w:rPr>
                <w:rFonts w:eastAsia="Calibri"/>
                <w:color w:val="000000"/>
                <w:sz w:val="22"/>
              </w:rPr>
              <w:t>Сєвєродонецька міська територіальна громада</w:t>
            </w:r>
          </w:p>
        </w:tc>
      </w:tr>
      <w:tr w:rsidR="000714B4" w:rsidRPr="00B74A55" w:rsidTr="000714B4">
        <w:trPr>
          <w:trHeight w:val="521"/>
        </w:trPr>
        <w:tc>
          <w:tcPr>
            <w:tcW w:w="2978"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0714B4" w:rsidRPr="00B74A55" w:rsidRDefault="000714B4" w:rsidP="000714B4">
            <w:pPr>
              <w:autoSpaceDE w:val="0"/>
              <w:autoSpaceDN w:val="0"/>
              <w:adjustRightInd w:val="0"/>
              <w:rPr>
                <w:rFonts w:eastAsia="Calibri"/>
                <w:b/>
                <w:color w:val="000000"/>
                <w:sz w:val="22"/>
              </w:rPr>
            </w:pPr>
            <w:r w:rsidRPr="00B74A55">
              <w:rPr>
                <w:rFonts w:eastAsia="Calibri"/>
                <w:b/>
                <w:color w:val="000000"/>
                <w:sz w:val="22"/>
              </w:rPr>
              <w:t>Чисельність населення, на яке матиме вплив реалізація проекту</w:t>
            </w:r>
          </w:p>
        </w:tc>
        <w:tc>
          <w:tcPr>
            <w:tcW w:w="7117" w:type="dxa"/>
            <w:gridSpan w:val="6"/>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rPr>
                <w:rFonts w:eastAsia="Calibri"/>
                <w:color w:val="000000"/>
                <w:sz w:val="22"/>
              </w:rPr>
            </w:pPr>
            <w:r w:rsidRPr="00B74A55">
              <w:rPr>
                <w:rFonts w:eastAsia="Calibri"/>
                <w:color w:val="000000"/>
                <w:sz w:val="22"/>
              </w:rPr>
              <w:t>70 000 осіб</w:t>
            </w:r>
          </w:p>
        </w:tc>
      </w:tr>
      <w:tr w:rsidR="000714B4" w:rsidRPr="00B74A55" w:rsidTr="000714B4">
        <w:trPr>
          <w:trHeight w:val="1098"/>
        </w:trPr>
        <w:tc>
          <w:tcPr>
            <w:tcW w:w="2978"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0714B4" w:rsidRPr="00B74A55" w:rsidRDefault="000714B4" w:rsidP="000714B4">
            <w:pPr>
              <w:autoSpaceDE w:val="0"/>
              <w:autoSpaceDN w:val="0"/>
              <w:adjustRightInd w:val="0"/>
              <w:rPr>
                <w:rFonts w:eastAsia="Calibri"/>
                <w:b/>
                <w:color w:val="000000"/>
                <w:sz w:val="22"/>
              </w:rPr>
            </w:pPr>
            <w:r w:rsidRPr="00B74A55">
              <w:rPr>
                <w:rFonts w:eastAsia="Calibri"/>
                <w:b/>
                <w:color w:val="000000"/>
                <w:sz w:val="22"/>
              </w:rPr>
              <w:t>Опис проблеми, на вирішення якої спрямований проект</w:t>
            </w:r>
          </w:p>
        </w:tc>
        <w:tc>
          <w:tcPr>
            <w:tcW w:w="7117" w:type="dxa"/>
            <w:gridSpan w:val="6"/>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rPr>
                <w:rFonts w:eastAsia="Calibri"/>
                <w:color w:val="000000"/>
                <w:sz w:val="22"/>
              </w:rPr>
            </w:pPr>
            <w:r w:rsidRPr="00B74A55">
              <w:rPr>
                <w:rFonts w:eastAsia="Calibri"/>
                <w:color w:val="000000"/>
                <w:sz w:val="22"/>
              </w:rPr>
              <w:t>Через військову агресію РФ територія Сєвєродонецької</w:t>
            </w:r>
            <w:r w:rsidR="00627E36" w:rsidRPr="00B74A55">
              <w:rPr>
                <w:rFonts w:eastAsia="Calibri"/>
                <w:color w:val="000000"/>
                <w:sz w:val="22"/>
              </w:rPr>
              <w:t xml:space="preserve"> </w:t>
            </w:r>
            <w:r w:rsidRPr="00B74A55">
              <w:rPr>
                <w:rFonts w:eastAsia="Calibri"/>
                <w:color w:val="000000"/>
                <w:sz w:val="22"/>
              </w:rPr>
              <w:t>міської територіальної громади зазнала значних пошкоджень.</w:t>
            </w:r>
          </w:p>
          <w:p w:rsidR="000714B4" w:rsidRPr="00B74A55" w:rsidRDefault="000714B4" w:rsidP="000714B4">
            <w:pPr>
              <w:autoSpaceDE w:val="0"/>
              <w:autoSpaceDN w:val="0"/>
              <w:adjustRightInd w:val="0"/>
              <w:rPr>
                <w:rFonts w:eastAsia="Calibri"/>
                <w:color w:val="000000"/>
                <w:sz w:val="22"/>
              </w:rPr>
            </w:pPr>
            <w:r w:rsidRPr="00B74A55">
              <w:rPr>
                <w:rFonts w:eastAsia="Calibri"/>
                <w:color w:val="000000"/>
                <w:sz w:val="22"/>
              </w:rPr>
              <w:t>Не оминуло це і Ясла-садок № 45.</w:t>
            </w:r>
          </w:p>
          <w:p w:rsidR="000714B4" w:rsidRPr="00B74A55" w:rsidRDefault="000714B4" w:rsidP="000714B4">
            <w:pPr>
              <w:autoSpaceDE w:val="0"/>
              <w:autoSpaceDN w:val="0"/>
              <w:adjustRightInd w:val="0"/>
              <w:rPr>
                <w:rFonts w:eastAsia="Calibri"/>
                <w:color w:val="000000"/>
                <w:sz w:val="22"/>
              </w:rPr>
            </w:pPr>
            <w:r w:rsidRPr="00B74A55">
              <w:rPr>
                <w:rFonts w:eastAsia="Calibri"/>
                <w:color w:val="000000"/>
                <w:sz w:val="22"/>
              </w:rPr>
              <w:t xml:space="preserve">Вся матеріально-технічна база </w:t>
            </w:r>
            <w:r w:rsidR="00627E36" w:rsidRPr="00B74A55">
              <w:rPr>
                <w:rFonts w:eastAsia="Calibri"/>
                <w:color w:val="000000"/>
                <w:sz w:val="22"/>
              </w:rPr>
              <w:t>закладу</w:t>
            </w:r>
            <w:r w:rsidRPr="00B74A55">
              <w:rPr>
                <w:rFonts w:eastAsia="Calibri"/>
                <w:color w:val="000000"/>
                <w:sz w:val="22"/>
              </w:rPr>
              <w:t>, зокрема:</w:t>
            </w:r>
          </w:p>
          <w:p w:rsidR="000714B4" w:rsidRPr="00B74A55" w:rsidRDefault="000714B4" w:rsidP="000714B4">
            <w:pPr>
              <w:autoSpaceDE w:val="0"/>
              <w:autoSpaceDN w:val="0"/>
              <w:adjustRightInd w:val="0"/>
              <w:rPr>
                <w:rFonts w:eastAsia="Calibri"/>
                <w:color w:val="000000"/>
                <w:sz w:val="22"/>
              </w:rPr>
            </w:pPr>
            <w:r w:rsidRPr="00B74A55">
              <w:rPr>
                <w:rFonts w:eastAsia="Calibri"/>
                <w:color w:val="000000"/>
                <w:sz w:val="22"/>
              </w:rPr>
              <w:t>- обладнання (устаткування);</w:t>
            </w:r>
          </w:p>
          <w:p w:rsidR="000714B4" w:rsidRPr="00B74A55" w:rsidRDefault="000714B4" w:rsidP="000714B4">
            <w:pPr>
              <w:autoSpaceDE w:val="0"/>
              <w:autoSpaceDN w:val="0"/>
              <w:adjustRightInd w:val="0"/>
              <w:rPr>
                <w:rFonts w:eastAsia="Calibri"/>
                <w:sz w:val="22"/>
              </w:rPr>
            </w:pPr>
            <w:r w:rsidRPr="00B74A55">
              <w:rPr>
                <w:rFonts w:eastAsia="Calibri"/>
                <w:sz w:val="22"/>
              </w:rPr>
              <w:t>- дитячий майданчик ;</w:t>
            </w:r>
          </w:p>
          <w:p w:rsidR="000714B4" w:rsidRPr="00B74A55" w:rsidRDefault="000714B4" w:rsidP="000714B4">
            <w:pPr>
              <w:autoSpaceDE w:val="0"/>
              <w:autoSpaceDN w:val="0"/>
              <w:adjustRightInd w:val="0"/>
              <w:rPr>
                <w:rFonts w:eastAsia="Calibri"/>
                <w:sz w:val="22"/>
              </w:rPr>
            </w:pPr>
            <w:r w:rsidRPr="00B74A55">
              <w:rPr>
                <w:rFonts w:eastAsia="Calibri"/>
                <w:sz w:val="22"/>
              </w:rPr>
              <w:t>- павільйон</w:t>
            </w:r>
            <w:r w:rsidR="00627E36" w:rsidRPr="00B74A55">
              <w:rPr>
                <w:rFonts w:eastAsia="Calibri"/>
                <w:sz w:val="22"/>
              </w:rPr>
              <w:t>.</w:t>
            </w:r>
          </w:p>
          <w:p w:rsidR="000714B4" w:rsidRPr="00B74A55" w:rsidRDefault="000714B4" w:rsidP="000714B4">
            <w:pPr>
              <w:autoSpaceDE w:val="0"/>
              <w:autoSpaceDN w:val="0"/>
              <w:adjustRightInd w:val="0"/>
              <w:rPr>
                <w:rFonts w:eastAsia="Calibri"/>
                <w:color w:val="000000"/>
                <w:sz w:val="22"/>
              </w:rPr>
            </w:pPr>
            <w:r w:rsidRPr="00B74A55">
              <w:rPr>
                <w:rFonts w:eastAsia="Calibri"/>
                <w:color w:val="000000"/>
                <w:sz w:val="22"/>
              </w:rPr>
              <w:t>Для відбудови та сталого розвитку громади потрібне</w:t>
            </w:r>
            <w:r w:rsidR="00627E36" w:rsidRPr="00B74A55">
              <w:rPr>
                <w:rFonts w:eastAsia="Calibri"/>
                <w:color w:val="000000"/>
                <w:sz w:val="22"/>
              </w:rPr>
              <w:t xml:space="preserve"> </w:t>
            </w:r>
            <w:r w:rsidRPr="00B74A55">
              <w:rPr>
                <w:rFonts w:eastAsia="Calibri"/>
                <w:color w:val="000000"/>
                <w:sz w:val="22"/>
              </w:rPr>
              <w:t>відновлення роботи мережі закладів. Мешканці громади</w:t>
            </w:r>
            <w:r w:rsidR="00627E36" w:rsidRPr="00B74A55">
              <w:rPr>
                <w:rFonts w:eastAsia="Calibri"/>
                <w:color w:val="000000"/>
                <w:sz w:val="22"/>
              </w:rPr>
              <w:t xml:space="preserve"> </w:t>
            </w:r>
            <w:r w:rsidRPr="00B74A55">
              <w:rPr>
                <w:rFonts w:eastAsia="Calibri"/>
                <w:color w:val="000000"/>
                <w:sz w:val="22"/>
              </w:rPr>
              <w:t>потребують в отриманні якісних послуг, які відповідають</w:t>
            </w:r>
            <w:r w:rsidR="00627E36" w:rsidRPr="00B74A55">
              <w:rPr>
                <w:rFonts w:eastAsia="Calibri"/>
                <w:color w:val="000000"/>
                <w:sz w:val="22"/>
              </w:rPr>
              <w:t xml:space="preserve"> </w:t>
            </w:r>
            <w:r w:rsidRPr="00B74A55">
              <w:rPr>
                <w:rFonts w:eastAsia="Calibri"/>
                <w:color w:val="000000"/>
                <w:sz w:val="22"/>
              </w:rPr>
              <w:t>нормам сучасності.</w:t>
            </w:r>
          </w:p>
          <w:p w:rsidR="000714B4" w:rsidRPr="00B74A55" w:rsidRDefault="000714B4" w:rsidP="000714B4">
            <w:pPr>
              <w:autoSpaceDE w:val="0"/>
              <w:autoSpaceDN w:val="0"/>
              <w:adjustRightInd w:val="0"/>
              <w:rPr>
                <w:rFonts w:eastAsia="Calibri"/>
                <w:color w:val="FF0000"/>
                <w:sz w:val="22"/>
              </w:rPr>
            </w:pPr>
            <w:r w:rsidRPr="00B74A55">
              <w:rPr>
                <w:rFonts w:eastAsia="Calibri"/>
                <w:color w:val="000000"/>
                <w:sz w:val="22"/>
              </w:rPr>
              <w:t xml:space="preserve">В смт.  Борівське  мешкає багато сімей з дітьми дошкільного віку. Для дітей смт. Борівське необхідно організувати якісну освіту. </w:t>
            </w:r>
            <w:r w:rsidRPr="00B74A55">
              <w:rPr>
                <w:rFonts w:eastAsia="Calibri"/>
                <w:sz w:val="22"/>
              </w:rPr>
              <w:t>На території ігрового та спортивного майданчика проводилося багато занять, змагань, розваг, що добре впливає на розвиток та здоров’я вихованців.</w:t>
            </w:r>
            <w:r w:rsidRPr="00B74A55">
              <w:rPr>
                <w:rFonts w:eastAsia="Calibri"/>
                <w:color w:val="FF0000"/>
                <w:sz w:val="22"/>
              </w:rPr>
              <w:t xml:space="preserve"> </w:t>
            </w:r>
            <w:r w:rsidR="00627E36" w:rsidRPr="00B74A55">
              <w:rPr>
                <w:rFonts w:eastAsia="Calibri"/>
                <w:sz w:val="22"/>
              </w:rPr>
              <w:t>Ця територія</w:t>
            </w:r>
            <w:r w:rsidRPr="00B74A55">
              <w:rPr>
                <w:rFonts w:eastAsia="Calibri"/>
                <w:color w:val="000000"/>
                <w:sz w:val="22"/>
              </w:rPr>
              <w:t xml:space="preserve"> не придатне для комфортного перебування </w:t>
            </w:r>
            <w:r w:rsidRPr="00B74A55">
              <w:rPr>
                <w:rFonts w:eastAsia="Calibri"/>
                <w:vanish/>
                <w:color w:val="000000"/>
                <w:sz w:val="22"/>
              </w:rPr>
              <w:t xml:space="preserve">, </w:t>
            </w:r>
            <w:r w:rsidRPr="00B74A55">
              <w:rPr>
                <w:rFonts w:eastAsia="Calibri"/>
                <w:color w:val="000000"/>
                <w:sz w:val="22"/>
              </w:rPr>
              <w:t xml:space="preserve">та не відповідає  діючим санітарним нормам. </w:t>
            </w:r>
          </w:p>
          <w:p w:rsidR="000714B4" w:rsidRPr="00B74A55" w:rsidRDefault="000714B4" w:rsidP="000714B4">
            <w:pPr>
              <w:autoSpaceDE w:val="0"/>
              <w:autoSpaceDN w:val="0"/>
              <w:adjustRightInd w:val="0"/>
              <w:rPr>
                <w:rFonts w:eastAsia="Calibri"/>
                <w:color w:val="000000"/>
                <w:sz w:val="22"/>
              </w:rPr>
            </w:pPr>
            <w:r w:rsidRPr="00B74A55">
              <w:rPr>
                <w:rFonts w:eastAsia="Calibri"/>
                <w:color w:val="000000"/>
                <w:sz w:val="22"/>
              </w:rPr>
              <w:t>В смт.  Борівське  мешкає багата кількість сімей з дітьми дошкільного віку. Благоустрій території та встановлення сучасних ігрових майданчиків сприятиме покращенню здоров’я, покращенню фізичного та психічного стану дітей Ясел-садка № 45 .</w:t>
            </w:r>
          </w:p>
        </w:tc>
      </w:tr>
      <w:tr w:rsidR="000714B4" w:rsidRPr="00B74A55" w:rsidTr="000714B4">
        <w:trPr>
          <w:trHeight w:val="474"/>
        </w:trPr>
        <w:tc>
          <w:tcPr>
            <w:tcW w:w="2978"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0714B4" w:rsidRPr="00B74A55" w:rsidRDefault="000714B4" w:rsidP="000714B4">
            <w:pPr>
              <w:autoSpaceDE w:val="0"/>
              <w:autoSpaceDN w:val="0"/>
              <w:adjustRightInd w:val="0"/>
              <w:rPr>
                <w:rFonts w:eastAsia="Calibri"/>
                <w:b/>
                <w:color w:val="000000"/>
                <w:sz w:val="22"/>
              </w:rPr>
            </w:pPr>
            <w:r w:rsidRPr="00B74A55">
              <w:rPr>
                <w:rFonts w:eastAsia="Calibri"/>
                <w:b/>
                <w:color w:val="000000"/>
                <w:sz w:val="22"/>
              </w:rPr>
              <w:t>Очікувані якісні результати від реалізації проекту</w:t>
            </w:r>
          </w:p>
        </w:tc>
        <w:tc>
          <w:tcPr>
            <w:tcW w:w="7117" w:type="dxa"/>
            <w:gridSpan w:val="6"/>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rPr>
                <w:rFonts w:eastAsia="Calibri"/>
                <w:color w:val="000000"/>
                <w:sz w:val="22"/>
              </w:rPr>
            </w:pPr>
            <w:r w:rsidRPr="00B74A55">
              <w:rPr>
                <w:rFonts w:eastAsia="Calibri"/>
                <w:color w:val="000000"/>
                <w:sz w:val="22"/>
              </w:rPr>
              <w:t>Сучасні та якісні ігровий та спортивний майданчики на території ЗДО 45. Благоустрій та озеленення прилеглих ділянок.</w:t>
            </w:r>
          </w:p>
        </w:tc>
      </w:tr>
      <w:tr w:rsidR="000714B4" w:rsidRPr="00B74A55" w:rsidTr="000714B4">
        <w:trPr>
          <w:trHeight w:val="521"/>
        </w:trPr>
        <w:tc>
          <w:tcPr>
            <w:tcW w:w="2978"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0714B4" w:rsidRPr="00B74A55" w:rsidRDefault="000714B4" w:rsidP="000714B4">
            <w:pPr>
              <w:autoSpaceDE w:val="0"/>
              <w:autoSpaceDN w:val="0"/>
              <w:adjustRightInd w:val="0"/>
              <w:rPr>
                <w:rFonts w:eastAsia="Calibri"/>
                <w:b/>
                <w:color w:val="000000"/>
                <w:sz w:val="22"/>
              </w:rPr>
            </w:pPr>
            <w:r w:rsidRPr="00B74A55">
              <w:rPr>
                <w:rFonts w:eastAsia="Calibri"/>
                <w:b/>
                <w:color w:val="000000"/>
                <w:sz w:val="22"/>
              </w:rPr>
              <w:t>Очікувані кількісні результати від реалізації проекту  (індикатори)</w:t>
            </w:r>
          </w:p>
        </w:tc>
        <w:tc>
          <w:tcPr>
            <w:tcW w:w="3856" w:type="dxa"/>
            <w:gridSpan w:val="4"/>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jc w:val="center"/>
              <w:rPr>
                <w:rFonts w:eastAsia="Calibri"/>
                <w:b/>
                <w:color w:val="000000"/>
                <w:sz w:val="22"/>
              </w:rPr>
            </w:pPr>
            <w:r w:rsidRPr="00B74A55">
              <w:rPr>
                <w:rFonts w:eastAsia="Calibri"/>
                <w:b/>
                <w:color w:val="000000"/>
                <w:sz w:val="22"/>
              </w:rPr>
              <w:t>Найменування показника</w:t>
            </w:r>
          </w:p>
        </w:tc>
        <w:tc>
          <w:tcPr>
            <w:tcW w:w="1701" w:type="dxa"/>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jc w:val="center"/>
              <w:rPr>
                <w:rFonts w:eastAsia="Calibri"/>
                <w:b/>
                <w:color w:val="000000"/>
                <w:sz w:val="22"/>
              </w:rPr>
            </w:pPr>
            <w:r w:rsidRPr="00B74A55">
              <w:rPr>
                <w:rFonts w:eastAsia="Calibri"/>
                <w:b/>
                <w:color w:val="000000"/>
                <w:sz w:val="22"/>
              </w:rPr>
              <w:t>Одиниця вимірювання</w:t>
            </w:r>
          </w:p>
        </w:tc>
        <w:tc>
          <w:tcPr>
            <w:tcW w:w="1560" w:type="dxa"/>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jc w:val="center"/>
              <w:rPr>
                <w:rFonts w:eastAsia="Calibri"/>
                <w:b/>
                <w:color w:val="000000"/>
                <w:sz w:val="22"/>
              </w:rPr>
            </w:pPr>
            <w:r w:rsidRPr="00B74A55">
              <w:rPr>
                <w:rFonts w:eastAsia="Calibri"/>
                <w:b/>
                <w:color w:val="000000"/>
                <w:sz w:val="22"/>
              </w:rPr>
              <w:t>Прогнозне (цільове) значення</w:t>
            </w:r>
          </w:p>
        </w:tc>
      </w:tr>
      <w:tr w:rsidR="000714B4" w:rsidRPr="00B74A55" w:rsidTr="000714B4">
        <w:trPr>
          <w:trHeight w:val="2536"/>
        </w:trPr>
        <w:tc>
          <w:tcPr>
            <w:tcW w:w="2978"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0714B4" w:rsidRPr="00B74A55" w:rsidRDefault="000714B4" w:rsidP="000714B4">
            <w:pPr>
              <w:autoSpaceDE w:val="0"/>
              <w:autoSpaceDN w:val="0"/>
              <w:adjustRightInd w:val="0"/>
              <w:jc w:val="right"/>
              <w:rPr>
                <w:rFonts w:eastAsia="Calibri"/>
                <w:b/>
                <w:color w:val="000000"/>
                <w:sz w:val="22"/>
              </w:rPr>
            </w:pPr>
          </w:p>
        </w:tc>
        <w:tc>
          <w:tcPr>
            <w:tcW w:w="3856" w:type="dxa"/>
            <w:gridSpan w:val="4"/>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jc w:val="center"/>
              <w:rPr>
                <w:rFonts w:eastAsia="Calibri"/>
                <w:color w:val="000000"/>
                <w:sz w:val="22"/>
              </w:rPr>
            </w:pPr>
            <w:r w:rsidRPr="00B74A55">
              <w:rPr>
                <w:rFonts w:eastAsia="Calibri"/>
                <w:color w:val="000000"/>
                <w:sz w:val="22"/>
              </w:rPr>
              <w:t>Кількість фізичних</w:t>
            </w:r>
            <w:r w:rsidRPr="00B74A55">
              <w:rPr>
                <w:rFonts w:eastAsia="Calibri"/>
                <w:color w:val="000000"/>
                <w:sz w:val="22"/>
                <w:lang w:val="ru-RU"/>
              </w:rPr>
              <w:t xml:space="preserve"> </w:t>
            </w:r>
            <w:r w:rsidRPr="00B74A55">
              <w:rPr>
                <w:rFonts w:eastAsia="Calibri"/>
                <w:color w:val="000000"/>
                <w:sz w:val="22"/>
              </w:rPr>
              <w:t>та юридичних</w:t>
            </w:r>
            <w:r w:rsidRPr="00B74A55">
              <w:rPr>
                <w:rFonts w:eastAsia="Calibri"/>
                <w:color w:val="000000"/>
                <w:sz w:val="22"/>
                <w:lang w:val="ru-RU"/>
              </w:rPr>
              <w:t xml:space="preserve"> </w:t>
            </w:r>
            <w:r w:rsidRPr="00B74A55">
              <w:rPr>
                <w:rFonts w:eastAsia="Calibri"/>
                <w:color w:val="000000"/>
                <w:sz w:val="22"/>
              </w:rPr>
              <w:t>осіб, які</w:t>
            </w:r>
            <w:r w:rsidRPr="00B74A55">
              <w:rPr>
                <w:rFonts w:eastAsia="Calibri"/>
                <w:color w:val="000000"/>
                <w:sz w:val="22"/>
                <w:lang w:val="ru-RU"/>
              </w:rPr>
              <w:t xml:space="preserve"> </w:t>
            </w:r>
            <w:r w:rsidRPr="00B74A55">
              <w:rPr>
                <w:rFonts w:eastAsia="Calibri"/>
                <w:color w:val="000000"/>
                <w:sz w:val="22"/>
              </w:rPr>
              <w:t>звернулись за</w:t>
            </w:r>
            <w:r w:rsidRPr="00B74A55">
              <w:rPr>
                <w:rFonts w:eastAsia="Calibri"/>
                <w:color w:val="000000"/>
                <w:sz w:val="22"/>
                <w:lang w:val="ru-RU"/>
              </w:rPr>
              <w:t xml:space="preserve"> </w:t>
            </w:r>
            <w:r w:rsidRPr="00B74A55">
              <w:rPr>
                <w:rFonts w:eastAsia="Calibri"/>
                <w:color w:val="000000"/>
                <w:sz w:val="22"/>
              </w:rPr>
              <w:t>послугами</w:t>
            </w:r>
          </w:p>
          <w:p w:rsidR="000714B4" w:rsidRPr="00B74A55" w:rsidRDefault="000714B4" w:rsidP="000714B4">
            <w:pPr>
              <w:autoSpaceDE w:val="0"/>
              <w:autoSpaceDN w:val="0"/>
              <w:adjustRightInd w:val="0"/>
              <w:jc w:val="center"/>
              <w:rPr>
                <w:rFonts w:eastAsia="Calibri"/>
                <w:color w:val="000000"/>
                <w:sz w:val="22"/>
              </w:rPr>
            </w:pPr>
            <w:r w:rsidRPr="00B74A55">
              <w:rPr>
                <w:rFonts w:eastAsia="Calibri"/>
                <w:color w:val="000000"/>
                <w:sz w:val="22"/>
              </w:rPr>
              <w:t>протягом року</w:t>
            </w:r>
          </w:p>
          <w:p w:rsidR="000714B4" w:rsidRPr="00B74A55" w:rsidRDefault="000714B4" w:rsidP="000714B4">
            <w:pPr>
              <w:autoSpaceDE w:val="0"/>
              <w:autoSpaceDN w:val="0"/>
              <w:adjustRightInd w:val="0"/>
              <w:jc w:val="center"/>
              <w:rPr>
                <w:rFonts w:eastAsia="Calibri"/>
                <w:color w:val="000000"/>
                <w:sz w:val="22"/>
              </w:rPr>
            </w:pPr>
          </w:p>
          <w:p w:rsidR="000714B4" w:rsidRPr="00B74A55" w:rsidRDefault="000714B4" w:rsidP="000714B4">
            <w:pPr>
              <w:autoSpaceDE w:val="0"/>
              <w:autoSpaceDN w:val="0"/>
              <w:adjustRightInd w:val="0"/>
              <w:jc w:val="center"/>
              <w:rPr>
                <w:rFonts w:eastAsia="Calibri"/>
                <w:color w:val="000000"/>
                <w:sz w:val="22"/>
              </w:rPr>
            </w:pPr>
            <w:r w:rsidRPr="00B74A55">
              <w:rPr>
                <w:rFonts w:eastAsia="Calibri"/>
                <w:color w:val="000000"/>
                <w:sz w:val="22"/>
              </w:rPr>
              <w:t>ігровий та спортивний майданчик</w:t>
            </w:r>
          </w:p>
          <w:p w:rsidR="000714B4" w:rsidRPr="00B74A55" w:rsidRDefault="000714B4" w:rsidP="000714B4">
            <w:pPr>
              <w:autoSpaceDE w:val="0"/>
              <w:autoSpaceDN w:val="0"/>
              <w:adjustRightInd w:val="0"/>
              <w:jc w:val="center"/>
              <w:rPr>
                <w:rFonts w:eastAsia="Calibri"/>
                <w:color w:val="000000"/>
                <w:sz w:val="22"/>
              </w:rPr>
            </w:pPr>
          </w:p>
          <w:p w:rsidR="000714B4" w:rsidRPr="00B74A55" w:rsidRDefault="000714B4" w:rsidP="000714B4">
            <w:pPr>
              <w:autoSpaceDE w:val="0"/>
              <w:autoSpaceDN w:val="0"/>
              <w:adjustRightInd w:val="0"/>
              <w:jc w:val="center"/>
              <w:rPr>
                <w:rFonts w:eastAsia="Calibri"/>
                <w:color w:val="000000"/>
                <w:sz w:val="22"/>
              </w:rPr>
            </w:pPr>
            <w:r w:rsidRPr="00B74A55">
              <w:rPr>
                <w:rFonts w:eastAsia="Calibri"/>
                <w:color w:val="000000"/>
                <w:sz w:val="22"/>
              </w:rPr>
              <w:t xml:space="preserve">  асфальтова доріжка на території</w:t>
            </w:r>
          </w:p>
          <w:p w:rsidR="000714B4" w:rsidRPr="00B74A55" w:rsidRDefault="000714B4" w:rsidP="000714B4">
            <w:pPr>
              <w:autoSpaceDE w:val="0"/>
              <w:autoSpaceDN w:val="0"/>
              <w:adjustRightInd w:val="0"/>
              <w:jc w:val="center"/>
              <w:rPr>
                <w:rFonts w:eastAsia="Calibri"/>
                <w:color w:val="000000"/>
                <w:sz w:val="22"/>
              </w:rPr>
            </w:pPr>
          </w:p>
          <w:p w:rsidR="000714B4" w:rsidRPr="00B74A55" w:rsidRDefault="000714B4" w:rsidP="000714B4">
            <w:pPr>
              <w:autoSpaceDE w:val="0"/>
              <w:autoSpaceDN w:val="0"/>
              <w:adjustRightInd w:val="0"/>
              <w:jc w:val="center"/>
              <w:rPr>
                <w:rFonts w:eastAsia="Calibri"/>
                <w:color w:val="000000"/>
                <w:sz w:val="22"/>
              </w:rPr>
            </w:pPr>
            <w:r w:rsidRPr="00B74A55">
              <w:rPr>
                <w:rFonts w:eastAsia="Calibri"/>
                <w:color w:val="000000"/>
                <w:sz w:val="22"/>
              </w:rPr>
              <w:t>Озеленіння території</w:t>
            </w:r>
          </w:p>
        </w:tc>
        <w:tc>
          <w:tcPr>
            <w:tcW w:w="1701" w:type="dxa"/>
            <w:tcBorders>
              <w:top w:val="single" w:sz="6" w:space="0" w:color="auto"/>
              <w:left w:val="single" w:sz="6" w:space="0" w:color="auto"/>
              <w:bottom w:val="single" w:sz="6" w:space="0" w:color="auto"/>
              <w:right w:val="single" w:sz="6" w:space="0" w:color="auto"/>
            </w:tcBorders>
          </w:tcPr>
          <w:p w:rsidR="000714B4" w:rsidRPr="00B74A55" w:rsidRDefault="000714B4" w:rsidP="000714B4">
            <w:pPr>
              <w:rPr>
                <w:rFonts w:eastAsia="Calibri"/>
                <w:sz w:val="22"/>
              </w:rPr>
            </w:pPr>
            <w:r w:rsidRPr="00B74A55">
              <w:rPr>
                <w:rFonts w:eastAsia="Calibri"/>
                <w:sz w:val="22"/>
              </w:rPr>
              <w:t>осіб</w:t>
            </w:r>
          </w:p>
          <w:p w:rsidR="000714B4" w:rsidRPr="00B74A55" w:rsidRDefault="000714B4" w:rsidP="000714B4">
            <w:pPr>
              <w:rPr>
                <w:rFonts w:eastAsia="Calibri"/>
                <w:sz w:val="22"/>
              </w:rPr>
            </w:pPr>
          </w:p>
          <w:p w:rsidR="000714B4" w:rsidRPr="00B74A55" w:rsidRDefault="000714B4" w:rsidP="000714B4">
            <w:pPr>
              <w:rPr>
                <w:rFonts w:eastAsia="Calibri"/>
                <w:sz w:val="22"/>
              </w:rPr>
            </w:pPr>
          </w:p>
          <w:p w:rsidR="000714B4" w:rsidRPr="00B74A55" w:rsidRDefault="000714B4" w:rsidP="000714B4">
            <w:pPr>
              <w:rPr>
                <w:rFonts w:eastAsia="Calibri"/>
                <w:sz w:val="22"/>
              </w:rPr>
            </w:pPr>
          </w:p>
          <w:p w:rsidR="000714B4" w:rsidRPr="00B74A55" w:rsidRDefault="000714B4" w:rsidP="000714B4">
            <w:pPr>
              <w:rPr>
                <w:rFonts w:eastAsia="Calibri"/>
                <w:sz w:val="22"/>
              </w:rPr>
            </w:pPr>
            <w:r w:rsidRPr="00B74A55">
              <w:rPr>
                <w:rFonts w:eastAsia="Calibri"/>
                <w:sz w:val="22"/>
              </w:rPr>
              <w:t>одиниць</w:t>
            </w:r>
          </w:p>
          <w:p w:rsidR="000714B4" w:rsidRPr="00B74A55" w:rsidRDefault="000714B4" w:rsidP="000714B4">
            <w:pPr>
              <w:rPr>
                <w:rFonts w:eastAsia="Calibri"/>
                <w:sz w:val="22"/>
              </w:rPr>
            </w:pPr>
          </w:p>
          <w:p w:rsidR="000714B4" w:rsidRPr="00B74A55" w:rsidRDefault="000714B4" w:rsidP="000714B4">
            <w:pPr>
              <w:rPr>
                <w:rFonts w:eastAsia="Calibri"/>
                <w:sz w:val="22"/>
              </w:rPr>
            </w:pPr>
            <w:r w:rsidRPr="00B74A55">
              <w:rPr>
                <w:rFonts w:eastAsia="Calibri"/>
                <w:sz w:val="22"/>
              </w:rPr>
              <w:t>метрів</w:t>
            </w:r>
          </w:p>
          <w:p w:rsidR="000714B4" w:rsidRPr="00B74A55" w:rsidRDefault="000714B4" w:rsidP="000714B4">
            <w:pPr>
              <w:rPr>
                <w:rFonts w:eastAsia="Calibri"/>
                <w:sz w:val="22"/>
              </w:rPr>
            </w:pPr>
          </w:p>
          <w:p w:rsidR="000714B4" w:rsidRPr="00B74A55" w:rsidRDefault="000714B4" w:rsidP="000714B4">
            <w:pPr>
              <w:rPr>
                <w:rFonts w:eastAsia="Calibri"/>
                <w:sz w:val="22"/>
              </w:rPr>
            </w:pPr>
            <w:r w:rsidRPr="00B74A55">
              <w:rPr>
                <w:rFonts w:eastAsia="Calibri"/>
                <w:sz w:val="22"/>
              </w:rPr>
              <w:t>га</w:t>
            </w:r>
          </w:p>
        </w:tc>
        <w:tc>
          <w:tcPr>
            <w:tcW w:w="1560" w:type="dxa"/>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rPr>
                <w:rFonts w:eastAsia="Calibri"/>
                <w:color w:val="000000"/>
                <w:sz w:val="22"/>
              </w:rPr>
            </w:pPr>
            <w:r w:rsidRPr="00B74A55">
              <w:rPr>
                <w:rFonts w:eastAsia="Calibri"/>
                <w:color w:val="000000"/>
                <w:sz w:val="22"/>
              </w:rPr>
              <w:t>100</w:t>
            </w:r>
          </w:p>
          <w:p w:rsidR="000714B4" w:rsidRPr="00B74A55" w:rsidRDefault="000714B4" w:rsidP="000714B4">
            <w:pPr>
              <w:autoSpaceDE w:val="0"/>
              <w:autoSpaceDN w:val="0"/>
              <w:adjustRightInd w:val="0"/>
              <w:rPr>
                <w:rFonts w:eastAsia="Calibri"/>
                <w:color w:val="000000"/>
                <w:sz w:val="22"/>
                <w:lang w:val="ru-RU"/>
              </w:rPr>
            </w:pPr>
          </w:p>
          <w:p w:rsidR="000714B4" w:rsidRPr="00B74A55" w:rsidRDefault="000714B4" w:rsidP="000714B4">
            <w:pPr>
              <w:autoSpaceDE w:val="0"/>
              <w:autoSpaceDN w:val="0"/>
              <w:adjustRightInd w:val="0"/>
              <w:rPr>
                <w:rFonts w:eastAsia="Calibri"/>
                <w:color w:val="000000"/>
                <w:sz w:val="22"/>
                <w:lang w:val="ru-RU"/>
              </w:rPr>
            </w:pPr>
          </w:p>
          <w:p w:rsidR="000714B4" w:rsidRPr="00B74A55" w:rsidRDefault="000714B4" w:rsidP="000714B4">
            <w:pPr>
              <w:autoSpaceDE w:val="0"/>
              <w:autoSpaceDN w:val="0"/>
              <w:adjustRightInd w:val="0"/>
              <w:rPr>
                <w:rFonts w:eastAsia="Calibri"/>
                <w:color w:val="000000"/>
                <w:sz w:val="22"/>
              </w:rPr>
            </w:pPr>
          </w:p>
          <w:p w:rsidR="000714B4" w:rsidRPr="00B74A55" w:rsidRDefault="000714B4" w:rsidP="000714B4">
            <w:pPr>
              <w:autoSpaceDE w:val="0"/>
              <w:autoSpaceDN w:val="0"/>
              <w:adjustRightInd w:val="0"/>
              <w:rPr>
                <w:rFonts w:eastAsia="Calibri"/>
                <w:color w:val="000000"/>
                <w:sz w:val="22"/>
              </w:rPr>
            </w:pPr>
            <w:r w:rsidRPr="00B74A55">
              <w:rPr>
                <w:rFonts w:eastAsia="Calibri"/>
                <w:color w:val="000000"/>
                <w:sz w:val="22"/>
              </w:rPr>
              <w:t>2</w:t>
            </w:r>
          </w:p>
          <w:p w:rsidR="000714B4" w:rsidRPr="00B74A55" w:rsidRDefault="000714B4" w:rsidP="000714B4">
            <w:pPr>
              <w:autoSpaceDE w:val="0"/>
              <w:autoSpaceDN w:val="0"/>
              <w:adjustRightInd w:val="0"/>
              <w:rPr>
                <w:rFonts w:eastAsia="Calibri"/>
                <w:color w:val="000000"/>
                <w:sz w:val="22"/>
              </w:rPr>
            </w:pPr>
            <w:r w:rsidRPr="00B74A55">
              <w:rPr>
                <w:rFonts w:eastAsia="Calibri"/>
                <w:color w:val="000000"/>
                <w:sz w:val="22"/>
              </w:rPr>
              <w:t xml:space="preserve">                                               200</w:t>
            </w:r>
          </w:p>
          <w:p w:rsidR="000714B4" w:rsidRPr="00B74A55" w:rsidRDefault="000714B4" w:rsidP="000714B4">
            <w:pPr>
              <w:autoSpaceDE w:val="0"/>
              <w:autoSpaceDN w:val="0"/>
              <w:adjustRightInd w:val="0"/>
              <w:rPr>
                <w:rFonts w:eastAsia="Calibri"/>
                <w:color w:val="000000"/>
                <w:sz w:val="22"/>
              </w:rPr>
            </w:pPr>
            <w:r w:rsidRPr="00B74A55">
              <w:rPr>
                <w:rFonts w:eastAsia="Calibri"/>
                <w:color w:val="000000"/>
                <w:sz w:val="22"/>
              </w:rPr>
              <w:t xml:space="preserve">                                              0,280 </w:t>
            </w:r>
          </w:p>
        </w:tc>
      </w:tr>
      <w:tr w:rsidR="000714B4" w:rsidRPr="00B74A55" w:rsidTr="000714B4">
        <w:trPr>
          <w:trHeight w:val="1705"/>
        </w:trPr>
        <w:tc>
          <w:tcPr>
            <w:tcW w:w="2978"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0714B4" w:rsidRPr="00B74A55" w:rsidRDefault="000714B4" w:rsidP="000714B4">
            <w:pPr>
              <w:autoSpaceDE w:val="0"/>
              <w:autoSpaceDN w:val="0"/>
              <w:adjustRightInd w:val="0"/>
              <w:rPr>
                <w:rFonts w:eastAsia="Calibri"/>
                <w:b/>
                <w:color w:val="000000"/>
                <w:sz w:val="22"/>
              </w:rPr>
            </w:pPr>
            <w:r w:rsidRPr="00B74A55">
              <w:rPr>
                <w:rFonts w:eastAsia="Calibri"/>
                <w:b/>
                <w:color w:val="000000"/>
                <w:sz w:val="22"/>
              </w:rPr>
              <w:t>Ключові заходи проекту:</w:t>
            </w:r>
          </w:p>
        </w:tc>
        <w:tc>
          <w:tcPr>
            <w:tcW w:w="7117" w:type="dxa"/>
            <w:gridSpan w:val="6"/>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rPr>
                <w:rFonts w:eastAsia="Calibri"/>
                <w:color w:val="000000"/>
                <w:sz w:val="22"/>
              </w:rPr>
            </w:pPr>
            <w:r w:rsidRPr="00B74A55">
              <w:rPr>
                <w:rFonts w:eastAsia="Calibri"/>
                <w:color w:val="000000"/>
                <w:sz w:val="22"/>
              </w:rPr>
              <w:t xml:space="preserve">1.Освітлення </w:t>
            </w:r>
            <w:proofErr w:type="spellStart"/>
            <w:r w:rsidRPr="00B74A55">
              <w:rPr>
                <w:rFonts w:eastAsia="Calibri"/>
                <w:color w:val="000000"/>
                <w:sz w:val="22"/>
              </w:rPr>
              <w:t>про</w:t>
            </w:r>
            <w:r w:rsidR="00627E36" w:rsidRPr="00B74A55">
              <w:rPr>
                <w:rFonts w:eastAsia="Calibri"/>
                <w:color w:val="000000"/>
                <w:sz w:val="22"/>
              </w:rPr>
              <w:t>є</w:t>
            </w:r>
            <w:r w:rsidRPr="00B74A55">
              <w:rPr>
                <w:rFonts w:eastAsia="Calibri"/>
                <w:color w:val="000000"/>
                <w:sz w:val="22"/>
              </w:rPr>
              <w:t>кту</w:t>
            </w:r>
            <w:proofErr w:type="spellEnd"/>
            <w:r w:rsidRPr="00B74A55">
              <w:rPr>
                <w:rFonts w:eastAsia="Calibri"/>
                <w:color w:val="000000"/>
                <w:sz w:val="22"/>
              </w:rPr>
              <w:t xml:space="preserve"> серед українських та міжнародних організацій.</w:t>
            </w:r>
          </w:p>
          <w:p w:rsidR="000714B4" w:rsidRPr="00B74A55" w:rsidRDefault="000714B4" w:rsidP="000714B4">
            <w:pPr>
              <w:rPr>
                <w:rFonts w:eastAsia="Calibri"/>
                <w:sz w:val="22"/>
              </w:rPr>
            </w:pPr>
            <w:r w:rsidRPr="00B74A55">
              <w:rPr>
                <w:rFonts w:eastAsia="Calibri"/>
                <w:sz w:val="22"/>
              </w:rPr>
              <w:t>2. Вивчення та вибір оптимальної пропозиції.</w:t>
            </w:r>
          </w:p>
          <w:p w:rsidR="000714B4" w:rsidRPr="00B74A55" w:rsidRDefault="000714B4" w:rsidP="000714B4">
            <w:pPr>
              <w:rPr>
                <w:rFonts w:eastAsia="Calibri"/>
                <w:sz w:val="22"/>
              </w:rPr>
            </w:pPr>
            <w:r w:rsidRPr="00B74A55">
              <w:rPr>
                <w:rFonts w:eastAsia="Calibri"/>
                <w:sz w:val="22"/>
              </w:rPr>
              <w:t>3. Складання договорів та кошторисної документації.</w:t>
            </w:r>
          </w:p>
          <w:p w:rsidR="000714B4" w:rsidRPr="00B74A55" w:rsidRDefault="000714B4" w:rsidP="000714B4">
            <w:pPr>
              <w:rPr>
                <w:rFonts w:eastAsia="Calibri"/>
                <w:sz w:val="22"/>
              </w:rPr>
            </w:pPr>
            <w:r w:rsidRPr="00B74A55">
              <w:rPr>
                <w:rFonts w:eastAsia="Calibri"/>
                <w:sz w:val="22"/>
              </w:rPr>
              <w:t xml:space="preserve">4.Проведення </w:t>
            </w:r>
            <w:r w:rsidRPr="00B74A55">
              <w:rPr>
                <w:rFonts w:eastAsia="Calibri"/>
                <w:color w:val="000000"/>
                <w:sz w:val="22"/>
              </w:rPr>
              <w:t xml:space="preserve">благоустрою території та встановлення сучасних ігрових майданчиків </w:t>
            </w:r>
            <w:r w:rsidRPr="00B74A55">
              <w:rPr>
                <w:rFonts w:eastAsia="Calibri"/>
                <w:sz w:val="22"/>
              </w:rPr>
              <w:t>ЗДО № 45</w:t>
            </w:r>
          </w:p>
          <w:p w:rsidR="000714B4" w:rsidRPr="00B74A55" w:rsidRDefault="000714B4" w:rsidP="000714B4">
            <w:pPr>
              <w:rPr>
                <w:rFonts w:eastAsia="Calibri"/>
                <w:sz w:val="22"/>
              </w:rPr>
            </w:pPr>
            <w:r w:rsidRPr="00B74A55">
              <w:rPr>
                <w:rFonts w:eastAsia="Calibri"/>
                <w:sz w:val="22"/>
              </w:rPr>
              <w:t>5. Висвітлення  результатів.</w:t>
            </w:r>
          </w:p>
        </w:tc>
      </w:tr>
      <w:tr w:rsidR="000714B4" w:rsidRPr="00B74A55" w:rsidTr="000714B4">
        <w:trPr>
          <w:trHeight w:val="593"/>
        </w:trPr>
        <w:tc>
          <w:tcPr>
            <w:tcW w:w="2978" w:type="dxa"/>
            <w:vMerge w:val="restart"/>
            <w:tcBorders>
              <w:top w:val="single" w:sz="6" w:space="0" w:color="auto"/>
              <w:left w:val="single" w:sz="6" w:space="0" w:color="auto"/>
              <w:right w:val="single" w:sz="6" w:space="0" w:color="auto"/>
            </w:tcBorders>
            <w:shd w:val="clear" w:color="00FFFF" w:fill="C6D9F1" w:themeFill="text2" w:themeFillTint="33"/>
          </w:tcPr>
          <w:p w:rsidR="000714B4" w:rsidRPr="00B74A55" w:rsidRDefault="000714B4" w:rsidP="000714B4">
            <w:pPr>
              <w:autoSpaceDE w:val="0"/>
              <w:autoSpaceDN w:val="0"/>
              <w:adjustRightInd w:val="0"/>
              <w:rPr>
                <w:rFonts w:eastAsia="Calibri"/>
                <w:b/>
                <w:color w:val="000000"/>
                <w:sz w:val="22"/>
              </w:rPr>
            </w:pPr>
            <w:r w:rsidRPr="00B74A55">
              <w:rPr>
                <w:rFonts w:eastAsia="Calibri"/>
                <w:b/>
                <w:color w:val="000000"/>
                <w:sz w:val="22"/>
              </w:rPr>
              <w:t>Орієнтовний обсяг та джерела фінансування тис. гривень</w:t>
            </w:r>
          </w:p>
        </w:tc>
        <w:tc>
          <w:tcPr>
            <w:tcW w:w="1226" w:type="dxa"/>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jc w:val="center"/>
              <w:rPr>
                <w:rFonts w:eastAsia="Calibri"/>
                <w:color w:val="000000"/>
                <w:sz w:val="22"/>
              </w:rPr>
            </w:pPr>
            <w:r w:rsidRPr="00B74A55">
              <w:rPr>
                <w:rFonts w:eastAsia="Calibri"/>
                <w:color w:val="000000"/>
                <w:sz w:val="22"/>
              </w:rPr>
              <w:t>державний бюджет</w:t>
            </w:r>
          </w:p>
        </w:tc>
        <w:tc>
          <w:tcPr>
            <w:tcW w:w="1090" w:type="dxa"/>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jc w:val="center"/>
              <w:rPr>
                <w:rFonts w:eastAsia="Calibri"/>
                <w:color w:val="000000"/>
                <w:sz w:val="22"/>
              </w:rPr>
            </w:pPr>
            <w:r w:rsidRPr="00B74A55">
              <w:rPr>
                <w:rFonts w:eastAsia="Calibri"/>
                <w:color w:val="000000"/>
                <w:sz w:val="22"/>
              </w:rPr>
              <w:t>Місцевий бюджет</w:t>
            </w:r>
          </w:p>
        </w:tc>
        <w:tc>
          <w:tcPr>
            <w:tcW w:w="3241" w:type="dxa"/>
            <w:gridSpan w:val="3"/>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jc w:val="center"/>
              <w:rPr>
                <w:rFonts w:eastAsia="Calibri"/>
                <w:color w:val="000000"/>
                <w:sz w:val="22"/>
              </w:rPr>
            </w:pPr>
            <w:r w:rsidRPr="00B74A55">
              <w:rPr>
                <w:rFonts w:eastAsia="Calibri"/>
                <w:color w:val="000000"/>
                <w:sz w:val="22"/>
              </w:rPr>
              <w:t>Інші джерела</w:t>
            </w:r>
          </w:p>
          <w:p w:rsidR="000714B4" w:rsidRPr="00B74A55" w:rsidRDefault="000714B4" w:rsidP="000714B4">
            <w:pPr>
              <w:autoSpaceDE w:val="0"/>
              <w:autoSpaceDN w:val="0"/>
              <w:adjustRightInd w:val="0"/>
              <w:rPr>
                <w:rFonts w:eastAsia="Calibri"/>
                <w:color w:val="000000"/>
                <w:sz w:val="22"/>
              </w:rPr>
            </w:pPr>
          </w:p>
        </w:tc>
        <w:tc>
          <w:tcPr>
            <w:tcW w:w="1560" w:type="dxa"/>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jc w:val="center"/>
              <w:rPr>
                <w:rFonts w:eastAsia="Calibri"/>
                <w:sz w:val="22"/>
              </w:rPr>
            </w:pPr>
            <w:r w:rsidRPr="00B74A55">
              <w:rPr>
                <w:rFonts w:eastAsia="Calibri"/>
                <w:color w:val="000000"/>
                <w:sz w:val="22"/>
              </w:rPr>
              <w:t>Всього</w:t>
            </w:r>
          </w:p>
        </w:tc>
      </w:tr>
      <w:tr w:rsidR="00E20212" w:rsidRPr="00B74A55" w:rsidTr="000714B4">
        <w:trPr>
          <w:trHeight w:val="37"/>
        </w:trPr>
        <w:tc>
          <w:tcPr>
            <w:tcW w:w="2978" w:type="dxa"/>
            <w:vMerge/>
            <w:tcBorders>
              <w:left w:val="single" w:sz="6" w:space="0" w:color="auto"/>
              <w:right w:val="single" w:sz="6" w:space="0" w:color="auto"/>
            </w:tcBorders>
            <w:shd w:val="clear" w:color="00FFFF" w:fill="C6D9F1" w:themeFill="text2" w:themeFillTint="33"/>
          </w:tcPr>
          <w:p w:rsidR="000714B4" w:rsidRPr="00B74A55" w:rsidRDefault="000714B4" w:rsidP="000714B4">
            <w:pPr>
              <w:autoSpaceDE w:val="0"/>
              <w:autoSpaceDN w:val="0"/>
              <w:adjustRightInd w:val="0"/>
              <w:rPr>
                <w:rFonts w:eastAsia="Calibri"/>
                <w:b/>
                <w:color w:val="000000"/>
                <w:sz w:val="22"/>
              </w:rPr>
            </w:pPr>
          </w:p>
        </w:tc>
        <w:tc>
          <w:tcPr>
            <w:tcW w:w="1226" w:type="dxa"/>
            <w:vMerge w:val="restart"/>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jc w:val="center"/>
              <w:rPr>
                <w:rFonts w:eastAsia="Calibri"/>
                <w:color w:val="000000"/>
                <w:sz w:val="22"/>
              </w:rPr>
            </w:pPr>
            <w:r w:rsidRPr="00B74A55">
              <w:rPr>
                <w:rFonts w:eastAsia="Calibri"/>
                <w:color w:val="000000"/>
                <w:sz w:val="22"/>
              </w:rPr>
              <w:t>-</w:t>
            </w:r>
          </w:p>
        </w:tc>
        <w:tc>
          <w:tcPr>
            <w:tcW w:w="1090" w:type="dxa"/>
            <w:vMerge w:val="restart"/>
            <w:tcBorders>
              <w:top w:val="single" w:sz="6" w:space="0" w:color="auto"/>
              <w:left w:val="single" w:sz="6" w:space="0" w:color="auto"/>
              <w:bottom w:val="single" w:sz="6" w:space="0" w:color="auto"/>
              <w:right w:val="single" w:sz="6" w:space="0" w:color="auto"/>
            </w:tcBorders>
          </w:tcPr>
          <w:p w:rsidR="000714B4" w:rsidRPr="00B74A55" w:rsidRDefault="00627E36" w:rsidP="00627E36">
            <w:pPr>
              <w:autoSpaceDE w:val="0"/>
              <w:autoSpaceDN w:val="0"/>
              <w:adjustRightInd w:val="0"/>
              <w:jc w:val="center"/>
              <w:rPr>
                <w:rFonts w:eastAsia="Calibri"/>
                <w:color w:val="000000"/>
                <w:sz w:val="22"/>
              </w:rPr>
            </w:pPr>
            <w:r w:rsidRPr="00B74A55">
              <w:rPr>
                <w:rFonts w:eastAsia="Calibri"/>
                <w:color w:val="000000"/>
                <w:sz w:val="22"/>
              </w:rPr>
              <w:t>-</w:t>
            </w:r>
          </w:p>
        </w:tc>
        <w:tc>
          <w:tcPr>
            <w:tcW w:w="953" w:type="dxa"/>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rPr>
                <w:rFonts w:eastAsia="Calibri"/>
                <w:color w:val="000000"/>
                <w:sz w:val="22"/>
              </w:rPr>
            </w:pPr>
            <w:r w:rsidRPr="00B74A55">
              <w:rPr>
                <w:rFonts w:eastAsia="Calibri"/>
                <w:color w:val="000000"/>
                <w:sz w:val="22"/>
              </w:rPr>
              <w:t>Обсяг</w:t>
            </w:r>
          </w:p>
        </w:tc>
        <w:tc>
          <w:tcPr>
            <w:tcW w:w="2288" w:type="dxa"/>
            <w:gridSpan w:val="2"/>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jc w:val="right"/>
              <w:rPr>
                <w:rFonts w:eastAsia="Calibri"/>
                <w:color w:val="000000"/>
                <w:sz w:val="22"/>
              </w:rPr>
            </w:pPr>
            <w:r w:rsidRPr="00B74A55">
              <w:rPr>
                <w:rFonts w:eastAsia="Calibri"/>
                <w:color w:val="000000"/>
                <w:sz w:val="22"/>
              </w:rPr>
              <w:t>Назва джерела</w:t>
            </w:r>
          </w:p>
        </w:tc>
        <w:tc>
          <w:tcPr>
            <w:tcW w:w="1560" w:type="dxa"/>
            <w:vMerge w:val="restart"/>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jc w:val="right"/>
              <w:rPr>
                <w:rFonts w:eastAsia="Calibri"/>
                <w:color w:val="000000"/>
                <w:sz w:val="22"/>
              </w:rPr>
            </w:pPr>
            <w:r w:rsidRPr="00B74A55">
              <w:rPr>
                <w:rFonts w:eastAsia="Calibri"/>
                <w:sz w:val="22"/>
              </w:rPr>
              <w:t>350 ,0</w:t>
            </w:r>
          </w:p>
        </w:tc>
      </w:tr>
      <w:tr w:rsidR="000714B4" w:rsidRPr="00B74A55" w:rsidTr="000714B4">
        <w:trPr>
          <w:trHeight w:val="818"/>
        </w:trPr>
        <w:tc>
          <w:tcPr>
            <w:tcW w:w="2978" w:type="dxa"/>
            <w:vMerge/>
            <w:tcBorders>
              <w:left w:val="single" w:sz="6" w:space="0" w:color="auto"/>
              <w:bottom w:val="single" w:sz="6" w:space="0" w:color="auto"/>
              <w:right w:val="single" w:sz="6" w:space="0" w:color="auto"/>
            </w:tcBorders>
            <w:shd w:val="clear" w:color="00FFFF" w:fill="C6D9F1" w:themeFill="text2" w:themeFillTint="33"/>
          </w:tcPr>
          <w:p w:rsidR="000714B4" w:rsidRPr="00B74A55" w:rsidRDefault="000714B4" w:rsidP="000714B4">
            <w:pPr>
              <w:autoSpaceDE w:val="0"/>
              <w:autoSpaceDN w:val="0"/>
              <w:adjustRightInd w:val="0"/>
              <w:rPr>
                <w:rFonts w:eastAsia="Calibri"/>
                <w:b/>
                <w:color w:val="000000"/>
                <w:sz w:val="22"/>
              </w:rPr>
            </w:pPr>
          </w:p>
        </w:tc>
        <w:tc>
          <w:tcPr>
            <w:tcW w:w="1226" w:type="dxa"/>
            <w:vMerge/>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jc w:val="right"/>
              <w:rPr>
                <w:rFonts w:eastAsia="Calibri"/>
                <w:color w:val="000000"/>
                <w:sz w:val="22"/>
              </w:rPr>
            </w:pPr>
          </w:p>
        </w:tc>
        <w:tc>
          <w:tcPr>
            <w:tcW w:w="1090" w:type="dxa"/>
            <w:vMerge/>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jc w:val="right"/>
              <w:rPr>
                <w:rFonts w:eastAsia="Calibri"/>
                <w:color w:val="000000"/>
                <w:sz w:val="22"/>
              </w:rPr>
            </w:pPr>
          </w:p>
        </w:tc>
        <w:tc>
          <w:tcPr>
            <w:tcW w:w="953" w:type="dxa"/>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jc w:val="center"/>
              <w:rPr>
                <w:rFonts w:eastAsia="Calibri"/>
                <w:color w:val="000000"/>
                <w:sz w:val="22"/>
              </w:rPr>
            </w:pPr>
            <w:r w:rsidRPr="00B74A55">
              <w:rPr>
                <w:rFonts w:eastAsia="Calibri"/>
                <w:sz w:val="22"/>
              </w:rPr>
              <w:t>350,0</w:t>
            </w:r>
          </w:p>
        </w:tc>
        <w:tc>
          <w:tcPr>
            <w:tcW w:w="2288" w:type="dxa"/>
            <w:gridSpan w:val="2"/>
            <w:tcBorders>
              <w:top w:val="single" w:sz="6" w:space="0" w:color="auto"/>
              <w:left w:val="single" w:sz="6" w:space="0" w:color="auto"/>
              <w:bottom w:val="single" w:sz="6" w:space="0" w:color="auto"/>
              <w:right w:val="single" w:sz="6" w:space="0" w:color="auto"/>
            </w:tcBorders>
          </w:tcPr>
          <w:p w:rsidR="000714B4" w:rsidRPr="00B74A55" w:rsidRDefault="000714B4" w:rsidP="000714B4">
            <w:pPr>
              <w:pStyle w:val="23"/>
              <w:rPr>
                <w:rFonts w:ascii="Times New Roman" w:hAnsi="Times New Roman"/>
                <w:sz w:val="22"/>
              </w:rPr>
            </w:pPr>
            <w:proofErr w:type="spellStart"/>
            <w:r w:rsidRPr="00B74A55">
              <w:rPr>
                <w:rFonts w:ascii="Times New Roman" w:hAnsi="Times New Roman"/>
                <w:sz w:val="22"/>
              </w:rPr>
              <w:t>Міжнародні</w:t>
            </w:r>
            <w:proofErr w:type="spellEnd"/>
            <w:r w:rsidRPr="00B74A55">
              <w:rPr>
                <w:rFonts w:ascii="Times New Roman" w:hAnsi="Times New Roman"/>
                <w:sz w:val="22"/>
              </w:rPr>
              <w:t xml:space="preserve"> </w:t>
            </w:r>
            <w:proofErr w:type="spellStart"/>
            <w:r w:rsidRPr="00B74A55">
              <w:rPr>
                <w:rFonts w:ascii="Times New Roman" w:hAnsi="Times New Roman"/>
                <w:sz w:val="22"/>
              </w:rPr>
              <w:t>інвестиції</w:t>
            </w:r>
            <w:proofErr w:type="spellEnd"/>
            <w:r w:rsidRPr="00B74A55">
              <w:rPr>
                <w:rFonts w:ascii="Times New Roman" w:hAnsi="Times New Roman"/>
                <w:sz w:val="22"/>
              </w:rPr>
              <w:t xml:space="preserve">, </w:t>
            </w:r>
            <w:proofErr w:type="spellStart"/>
            <w:r w:rsidRPr="00B74A55">
              <w:rPr>
                <w:rFonts w:ascii="Times New Roman" w:hAnsi="Times New Roman"/>
                <w:sz w:val="22"/>
              </w:rPr>
              <w:t>кошти</w:t>
            </w:r>
            <w:proofErr w:type="spellEnd"/>
            <w:r w:rsidRPr="00B74A55">
              <w:rPr>
                <w:rFonts w:ascii="Times New Roman" w:hAnsi="Times New Roman"/>
                <w:sz w:val="22"/>
              </w:rPr>
              <w:t xml:space="preserve"> </w:t>
            </w:r>
            <w:proofErr w:type="spellStart"/>
            <w:r w:rsidRPr="00B74A55">
              <w:rPr>
                <w:rFonts w:ascii="Times New Roman" w:hAnsi="Times New Roman"/>
                <w:sz w:val="22"/>
              </w:rPr>
              <w:t>приватних</w:t>
            </w:r>
            <w:proofErr w:type="spellEnd"/>
            <w:r w:rsidRPr="00B74A55">
              <w:rPr>
                <w:rFonts w:ascii="Times New Roman" w:hAnsi="Times New Roman"/>
                <w:sz w:val="22"/>
              </w:rPr>
              <w:t xml:space="preserve"> </w:t>
            </w:r>
            <w:proofErr w:type="spellStart"/>
            <w:r w:rsidRPr="00B74A55">
              <w:rPr>
                <w:rFonts w:ascii="Times New Roman" w:hAnsi="Times New Roman"/>
                <w:sz w:val="22"/>
              </w:rPr>
              <w:t>осіб</w:t>
            </w:r>
            <w:proofErr w:type="spellEnd"/>
          </w:p>
        </w:tc>
        <w:tc>
          <w:tcPr>
            <w:tcW w:w="1560" w:type="dxa"/>
            <w:vMerge/>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jc w:val="right"/>
              <w:rPr>
                <w:rFonts w:eastAsia="Calibri"/>
                <w:color w:val="000000"/>
                <w:sz w:val="22"/>
              </w:rPr>
            </w:pPr>
          </w:p>
        </w:tc>
      </w:tr>
    </w:tbl>
    <w:p w:rsidR="00D65CFC" w:rsidRPr="00B74A55" w:rsidRDefault="00D65CFC" w:rsidP="004479C5">
      <w:pPr>
        <w:spacing w:after="160" w:line="259" w:lineRule="auto"/>
        <w:rPr>
          <w:rFonts w:eastAsia="Calibri"/>
          <w:b/>
          <w:bCs/>
          <w:noProof/>
          <w:sz w:val="22"/>
          <w:szCs w:val="22"/>
        </w:rPr>
      </w:pPr>
    </w:p>
    <w:p w:rsidR="000714B4" w:rsidRPr="00B74A55" w:rsidRDefault="000714B4" w:rsidP="004479C5">
      <w:pPr>
        <w:spacing w:after="160" w:line="259" w:lineRule="auto"/>
        <w:rPr>
          <w:rFonts w:eastAsia="Calibri"/>
          <w:b/>
          <w:bCs/>
          <w:noProof/>
          <w:sz w:val="22"/>
          <w:szCs w:val="22"/>
          <w:lang w:val="ru-RU"/>
        </w:rPr>
      </w:pPr>
    </w:p>
    <w:p w:rsidR="00D65CFC" w:rsidRPr="00B74A55" w:rsidRDefault="00D65CFC" w:rsidP="004479C5">
      <w:pPr>
        <w:spacing w:after="160" w:line="259" w:lineRule="auto"/>
        <w:rPr>
          <w:rFonts w:eastAsia="Calibri"/>
          <w:b/>
          <w:bCs/>
          <w:noProof/>
          <w:sz w:val="22"/>
          <w:szCs w:val="22"/>
          <w:lang w:val="ru-RU"/>
        </w:rPr>
      </w:pPr>
    </w:p>
    <w:tbl>
      <w:tblPr>
        <w:tblStyle w:val="af"/>
        <w:tblW w:w="10065" w:type="dxa"/>
        <w:tblInd w:w="-176" w:type="dxa"/>
        <w:tblLayout w:type="fixed"/>
        <w:tblLook w:val="04A0" w:firstRow="1" w:lastRow="0" w:firstColumn="1" w:lastColumn="0" w:noHBand="0" w:noVBand="1"/>
      </w:tblPr>
      <w:tblGrid>
        <w:gridCol w:w="2978"/>
        <w:gridCol w:w="1417"/>
        <w:gridCol w:w="1276"/>
        <w:gridCol w:w="1231"/>
        <w:gridCol w:w="220"/>
        <w:gridCol w:w="1667"/>
        <w:gridCol w:w="34"/>
        <w:gridCol w:w="1242"/>
      </w:tblGrid>
      <w:tr w:rsidR="003A4A66" w:rsidRPr="00B74A55" w:rsidTr="004843F9">
        <w:tc>
          <w:tcPr>
            <w:tcW w:w="2978" w:type="dxa"/>
            <w:shd w:val="clear" w:color="auto" w:fill="C6D9F1" w:themeFill="text2" w:themeFillTint="33"/>
          </w:tcPr>
          <w:p w:rsidR="003A4A66" w:rsidRPr="00B74A55" w:rsidRDefault="003A4A66" w:rsidP="00CF479C">
            <w:pPr>
              <w:pStyle w:val="a7"/>
              <w:ind w:left="0"/>
              <w:rPr>
                <w:b/>
                <w:sz w:val="22"/>
                <w:lang w:val="uk-UA"/>
              </w:rPr>
            </w:pPr>
            <w:r w:rsidRPr="00B74A55">
              <w:rPr>
                <w:b/>
                <w:sz w:val="22"/>
                <w:lang w:val="uk-UA"/>
              </w:rPr>
              <w:t>Оперативна ціль/завдання</w:t>
            </w:r>
          </w:p>
        </w:tc>
        <w:tc>
          <w:tcPr>
            <w:tcW w:w="7087" w:type="dxa"/>
            <w:gridSpan w:val="7"/>
            <w:shd w:val="clear" w:color="auto" w:fill="auto"/>
          </w:tcPr>
          <w:p w:rsidR="003A4A66" w:rsidRPr="00B74A55" w:rsidRDefault="003A4A66" w:rsidP="00CF479C">
            <w:pPr>
              <w:rPr>
                <w:sz w:val="22"/>
                <w:lang w:val="uk-UA"/>
              </w:rPr>
            </w:pPr>
            <w:r w:rsidRPr="00B74A55">
              <w:rPr>
                <w:rFonts w:eastAsia="SimSun"/>
                <w:sz w:val="22"/>
                <w:lang w:val="uk-UA"/>
              </w:rPr>
              <w:t xml:space="preserve">Людський розвиток через інновації управління та довіру до влади. Формування сучасного інклюзивного  </w:t>
            </w:r>
            <w:proofErr w:type="spellStart"/>
            <w:r w:rsidRPr="00B74A55">
              <w:rPr>
                <w:rFonts w:eastAsia="SimSun"/>
                <w:sz w:val="22"/>
                <w:lang w:val="uk-UA"/>
              </w:rPr>
              <w:t>освітньо</w:t>
            </w:r>
            <w:proofErr w:type="spellEnd"/>
            <w:r w:rsidRPr="00B74A55">
              <w:rPr>
                <w:rFonts w:eastAsia="SimSun"/>
                <w:sz w:val="22"/>
                <w:lang w:val="uk-UA"/>
              </w:rPr>
              <w:t>-культурного та спортивного простору для розвитку"</w:t>
            </w:r>
          </w:p>
        </w:tc>
      </w:tr>
      <w:tr w:rsidR="003A4A66" w:rsidRPr="00B74A55" w:rsidTr="004843F9">
        <w:tc>
          <w:tcPr>
            <w:tcW w:w="2978" w:type="dxa"/>
            <w:shd w:val="clear" w:color="auto" w:fill="C6D9F1" w:themeFill="text2" w:themeFillTint="33"/>
          </w:tcPr>
          <w:p w:rsidR="003A4A66" w:rsidRPr="00B74A55" w:rsidRDefault="003A4A66" w:rsidP="00CF479C">
            <w:pPr>
              <w:pStyle w:val="a7"/>
              <w:ind w:left="0"/>
              <w:rPr>
                <w:b/>
                <w:sz w:val="22"/>
                <w:lang w:val="uk-UA"/>
              </w:rPr>
            </w:pPr>
            <w:r w:rsidRPr="00B74A55">
              <w:rPr>
                <w:b/>
                <w:sz w:val="22"/>
                <w:lang w:val="uk-UA"/>
              </w:rPr>
              <w:t>Назва проекту:</w:t>
            </w:r>
          </w:p>
        </w:tc>
        <w:tc>
          <w:tcPr>
            <w:tcW w:w="7087" w:type="dxa"/>
            <w:gridSpan w:val="7"/>
          </w:tcPr>
          <w:p w:rsidR="003A4A66" w:rsidRPr="00B74A55" w:rsidRDefault="003A4A66" w:rsidP="00CF479C">
            <w:pPr>
              <w:pStyle w:val="a7"/>
              <w:ind w:left="0"/>
              <w:rPr>
                <w:sz w:val="22"/>
                <w:lang w:val="uk-UA"/>
              </w:rPr>
            </w:pPr>
            <w:r w:rsidRPr="00B74A55">
              <w:rPr>
                <w:sz w:val="22"/>
                <w:lang w:val="uk-UA"/>
              </w:rPr>
              <w:t>Відновлення діяльності гімназії № 4 міста Сєвєродонецька Луганської області, вулиця Гагаріна, будинок 90 "Школа нових можливостей"</w:t>
            </w:r>
          </w:p>
        </w:tc>
      </w:tr>
      <w:tr w:rsidR="003A4A66" w:rsidRPr="00B74A55" w:rsidTr="004843F9">
        <w:tc>
          <w:tcPr>
            <w:tcW w:w="2978" w:type="dxa"/>
            <w:shd w:val="clear" w:color="auto" w:fill="C6D9F1" w:themeFill="text2" w:themeFillTint="33"/>
          </w:tcPr>
          <w:p w:rsidR="003A4A66" w:rsidRPr="00B74A55" w:rsidRDefault="003A4A66" w:rsidP="00CF479C">
            <w:pPr>
              <w:rPr>
                <w:b/>
                <w:sz w:val="22"/>
                <w:lang w:val="uk-UA"/>
              </w:rPr>
            </w:pPr>
            <w:r w:rsidRPr="00B74A55">
              <w:rPr>
                <w:b/>
                <w:sz w:val="22"/>
                <w:lang w:val="uk-UA"/>
              </w:rPr>
              <w:t>Ціль проекту</w:t>
            </w:r>
          </w:p>
        </w:tc>
        <w:tc>
          <w:tcPr>
            <w:tcW w:w="7087" w:type="dxa"/>
            <w:gridSpan w:val="7"/>
          </w:tcPr>
          <w:p w:rsidR="003A4A66" w:rsidRPr="00B74A55" w:rsidRDefault="003A4A66" w:rsidP="00CF479C">
            <w:pPr>
              <w:pStyle w:val="a7"/>
              <w:ind w:left="0"/>
              <w:rPr>
                <w:sz w:val="22"/>
                <w:lang w:val="uk-UA"/>
              </w:rPr>
            </w:pPr>
            <w:r w:rsidRPr="00B74A55">
              <w:rPr>
                <w:sz w:val="22"/>
                <w:lang w:val="uk-UA"/>
              </w:rPr>
              <w:t xml:space="preserve">Здійснення капітального ремонту споруди освітнього закладу, зруйнованої під час воєнних дій та мародерства на території  м. Сєвєродонецька Сєвєродонецької міської територіальної громади Луганської області. Організація сучасного, комфортного, безпечного і якісного освітнього процесу в умовах </w:t>
            </w:r>
            <w:proofErr w:type="spellStart"/>
            <w:r w:rsidRPr="00B74A55">
              <w:rPr>
                <w:sz w:val="22"/>
                <w:lang w:val="uk-UA"/>
              </w:rPr>
              <w:t>деокупації</w:t>
            </w:r>
            <w:proofErr w:type="spellEnd"/>
            <w:r w:rsidRPr="00B74A55">
              <w:rPr>
                <w:sz w:val="22"/>
                <w:lang w:val="uk-UA"/>
              </w:rPr>
              <w:t xml:space="preserve"> від агресії </w:t>
            </w:r>
            <w:r w:rsidR="005C66AB" w:rsidRPr="00B74A55">
              <w:rPr>
                <w:sz w:val="22"/>
                <w:lang w:val="uk-UA"/>
              </w:rPr>
              <w:t>РФ</w:t>
            </w:r>
            <w:r w:rsidRPr="00B74A55">
              <w:rPr>
                <w:sz w:val="22"/>
                <w:lang w:val="uk-UA"/>
              </w:rPr>
              <w:t xml:space="preserve"> на території м. Сєвєродонецька Сєвєродонецької міської територіальної громади Луганської області. </w:t>
            </w:r>
          </w:p>
        </w:tc>
      </w:tr>
      <w:tr w:rsidR="003A4A66" w:rsidRPr="00B74A55" w:rsidTr="004843F9">
        <w:tc>
          <w:tcPr>
            <w:tcW w:w="2978" w:type="dxa"/>
            <w:shd w:val="clear" w:color="auto" w:fill="C6D9F1" w:themeFill="text2" w:themeFillTint="33"/>
          </w:tcPr>
          <w:p w:rsidR="003A4A66" w:rsidRPr="00B74A55" w:rsidRDefault="003A4A66" w:rsidP="00CF479C">
            <w:pPr>
              <w:pStyle w:val="a7"/>
              <w:ind w:left="0"/>
              <w:rPr>
                <w:b/>
                <w:sz w:val="22"/>
                <w:lang w:val="uk-UA"/>
              </w:rPr>
            </w:pPr>
            <w:r w:rsidRPr="00B74A55">
              <w:rPr>
                <w:b/>
                <w:sz w:val="22"/>
                <w:lang w:val="uk-UA"/>
              </w:rPr>
              <w:t>Територія, на яку матиме вплив реалізація проекту</w:t>
            </w:r>
          </w:p>
        </w:tc>
        <w:tc>
          <w:tcPr>
            <w:tcW w:w="7087" w:type="dxa"/>
            <w:gridSpan w:val="7"/>
          </w:tcPr>
          <w:p w:rsidR="003A4A66" w:rsidRPr="00B74A55" w:rsidRDefault="003A4A66" w:rsidP="00CF479C">
            <w:pPr>
              <w:pStyle w:val="a7"/>
              <w:ind w:left="0"/>
              <w:rPr>
                <w:sz w:val="22"/>
                <w:lang w:val="uk-UA"/>
              </w:rPr>
            </w:pPr>
            <w:r w:rsidRPr="00B74A55">
              <w:rPr>
                <w:sz w:val="22"/>
                <w:lang w:val="uk-UA"/>
              </w:rPr>
              <w:t>Сєвєродонецька міська територіальна громада</w:t>
            </w:r>
          </w:p>
        </w:tc>
      </w:tr>
      <w:tr w:rsidR="003A4A66" w:rsidRPr="00B74A55" w:rsidTr="004843F9">
        <w:tc>
          <w:tcPr>
            <w:tcW w:w="2978" w:type="dxa"/>
            <w:shd w:val="clear" w:color="auto" w:fill="C6D9F1" w:themeFill="text2" w:themeFillTint="33"/>
          </w:tcPr>
          <w:p w:rsidR="003A4A66" w:rsidRPr="00B74A55" w:rsidRDefault="003A4A66" w:rsidP="00CF479C">
            <w:pPr>
              <w:pStyle w:val="a7"/>
              <w:ind w:left="0"/>
              <w:rPr>
                <w:b/>
                <w:sz w:val="22"/>
                <w:lang w:val="uk-UA"/>
              </w:rPr>
            </w:pPr>
            <w:r w:rsidRPr="00B74A55">
              <w:rPr>
                <w:b/>
                <w:sz w:val="22"/>
                <w:lang w:val="uk-UA"/>
              </w:rPr>
              <w:t>Чисельність населення, на яке матиме вплив реалізація проекту</w:t>
            </w:r>
          </w:p>
        </w:tc>
        <w:tc>
          <w:tcPr>
            <w:tcW w:w="7087" w:type="dxa"/>
            <w:gridSpan w:val="7"/>
          </w:tcPr>
          <w:p w:rsidR="003A4A66" w:rsidRPr="00B74A55" w:rsidRDefault="003A4A66" w:rsidP="00CF479C">
            <w:pPr>
              <w:pStyle w:val="a7"/>
              <w:ind w:left="0"/>
              <w:rPr>
                <w:sz w:val="22"/>
                <w:lang w:val="uk-UA"/>
              </w:rPr>
            </w:pPr>
            <w:r w:rsidRPr="00B74A55">
              <w:rPr>
                <w:sz w:val="22"/>
                <w:lang w:val="uk-UA"/>
              </w:rPr>
              <w:t xml:space="preserve"> 70 000  осіб</w:t>
            </w:r>
          </w:p>
        </w:tc>
      </w:tr>
      <w:tr w:rsidR="003A4A66" w:rsidRPr="00B74A55" w:rsidTr="004843F9">
        <w:tc>
          <w:tcPr>
            <w:tcW w:w="2978" w:type="dxa"/>
            <w:shd w:val="clear" w:color="auto" w:fill="C6D9F1" w:themeFill="text2" w:themeFillTint="33"/>
          </w:tcPr>
          <w:p w:rsidR="003A4A66" w:rsidRPr="00B74A55" w:rsidRDefault="003A4A66" w:rsidP="00CF479C">
            <w:pPr>
              <w:rPr>
                <w:b/>
                <w:sz w:val="22"/>
                <w:lang w:val="uk-UA"/>
              </w:rPr>
            </w:pPr>
            <w:r w:rsidRPr="00B74A55">
              <w:rPr>
                <w:b/>
                <w:sz w:val="22"/>
                <w:lang w:val="uk-UA"/>
              </w:rPr>
              <w:t>Опис проблеми, на вирішення якої  спрямований проект</w:t>
            </w:r>
          </w:p>
        </w:tc>
        <w:tc>
          <w:tcPr>
            <w:tcW w:w="7087" w:type="dxa"/>
            <w:gridSpan w:val="7"/>
          </w:tcPr>
          <w:p w:rsidR="003A4A66" w:rsidRPr="00B74A55" w:rsidRDefault="003A4A66" w:rsidP="00CF479C">
            <w:pPr>
              <w:rPr>
                <w:sz w:val="22"/>
                <w:lang w:val="uk-UA"/>
              </w:rPr>
            </w:pPr>
            <w:r w:rsidRPr="00B74A55">
              <w:rPr>
                <w:sz w:val="22"/>
                <w:lang w:val="uk-UA"/>
              </w:rPr>
              <w:t xml:space="preserve">Через військову агресію </w:t>
            </w:r>
            <w:r w:rsidR="005C66AB" w:rsidRPr="00B74A55">
              <w:rPr>
                <w:sz w:val="22"/>
                <w:lang w:val="uk-UA"/>
              </w:rPr>
              <w:t>РФ</w:t>
            </w:r>
            <w:r w:rsidRPr="00B74A55">
              <w:rPr>
                <w:sz w:val="22"/>
                <w:lang w:val="uk-UA"/>
              </w:rPr>
              <w:t xml:space="preserve"> територія Сєвєродонецької міської територіальної громади зазнала значних пошкоджень. Не оминуло це і гімназію № 4 міста Сєвєродонецька Луганської області.</w:t>
            </w:r>
          </w:p>
          <w:p w:rsidR="003A4A66" w:rsidRPr="00B74A55" w:rsidRDefault="003A4A66" w:rsidP="005C66AB">
            <w:pPr>
              <w:pStyle w:val="13"/>
              <w:jc w:val="both"/>
              <w:rPr>
                <w:rFonts w:eastAsia="SimSun"/>
                <w:color w:val="000000"/>
                <w:sz w:val="22"/>
                <w:lang w:val="uk-UA"/>
              </w:rPr>
            </w:pPr>
            <w:r w:rsidRPr="00B74A55">
              <w:rPr>
                <w:rFonts w:eastAsia="SimSun"/>
                <w:color w:val="000000"/>
                <w:sz w:val="22"/>
                <w:lang w:val="uk-UA"/>
              </w:rPr>
              <w:t xml:space="preserve">Руйнація та мародерство освітнього закладу внаслідок російського вторгнення на території м. Сєвєродонецька Сєвєродонецької міської територіальної громади Луганської області. Важливою проблемою на даний час є руйнація будівлі освітнього закладу внаслідок попадання артснарядів та дії вибухової хвилі, що призвело до вигорання певної частини, утворення отворів, деформації плит та цегли. Через порушення </w:t>
            </w:r>
            <w:r w:rsidRPr="00B74A55">
              <w:rPr>
                <w:rFonts w:eastAsia="SimSun"/>
                <w:color w:val="000000"/>
                <w:sz w:val="22"/>
                <w:lang w:val="uk-UA"/>
              </w:rPr>
              <w:lastRenderedPageBreak/>
              <w:t>цілісності будівлі та покрівлі виникає загроза подальшої руйнації та попадання всередину споруди різних предметів, природних явищ (дощ, сніг тощо), щ</w:t>
            </w:r>
            <w:r w:rsidRPr="00B74A55">
              <w:rPr>
                <w:sz w:val="22"/>
                <w:lang w:val="uk-UA"/>
              </w:rPr>
              <w:t xml:space="preserve">о спричиняє вологість, появу плісняви у зруйнованих приміщеннях, а також появу інфекційних збудників. </w:t>
            </w:r>
          </w:p>
        </w:tc>
      </w:tr>
      <w:tr w:rsidR="003A4A66" w:rsidRPr="00B74A55" w:rsidTr="004843F9">
        <w:tc>
          <w:tcPr>
            <w:tcW w:w="2978" w:type="dxa"/>
            <w:shd w:val="clear" w:color="auto" w:fill="C6D9F1" w:themeFill="text2" w:themeFillTint="33"/>
          </w:tcPr>
          <w:p w:rsidR="003A4A66" w:rsidRPr="00B74A55" w:rsidRDefault="003A4A66" w:rsidP="00CF479C">
            <w:pPr>
              <w:pStyle w:val="a7"/>
              <w:ind w:left="0"/>
              <w:rPr>
                <w:b/>
                <w:sz w:val="22"/>
                <w:lang w:val="uk-UA"/>
              </w:rPr>
            </w:pPr>
            <w:r w:rsidRPr="00B74A55">
              <w:rPr>
                <w:b/>
                <w:sz w:val="22"/>
                <w:lang w:val="uk-UA"/>
              </w:rPr>
              <w:lastRenderedPageBreak/>
              <w:t>Очікувані якісні результати від реалізації проекту</w:t>
            </w:r>
          </w:p>
        </w:tc>
        <w:tc>
          <w:tcPr>
            <w:tcW w:w="7087" w:type="dxa"/>
            <w:gridSpan w:val="7"/>
          </w:tcPr>
          <w:p w:rsidR="003A4A66" w:rsidRPr="00B74A55" w:rsidRDefault="003A4A66" w:rsidP="00CF479C">
            <w:pPr>
              <w:pStyle w:val="a7"/>
              <w:ind w:left="0"/>
              <w:rPr>
                <w:sz w:val="22"/>
                <w:lang w:val="uk-UA"/>
              </w:rPr>
            </w:pPr>
            <w:r w:rsidRPr="00B74A55">
              <w:rPr>
                <w:sz w:val="22"/>
                <w:lang w:val="uk-UA"/>
              </w:rPr>
              <w:t>- комфортна громада, об'єднана на засадах співпраці з освітнім закладом, який надає мешканцям послуги високої якості, дружній до нового природного середовища;</w:t>
            </w:r>
          </w:p>
          <w:p w:rsidR="003A4A66" w:rsidRPr="00B74A55" w:rsidRDefault="003A4A66" w:rsidP="00CF479C">
            <w:pPr>
              <w:pStyle w:val="a7"/>
              <w:ind w:left="0"/>
              <w:rPr>
                <w:sz w:val="22"/>
                <w:lang w:val="uk-UA"/>
              </w:rPr>
            </w:pPr>
            <w:r w:rsidRPr="00B74A55">
              <w:rPr>
                <w:sz w:val="22"/>
                <w:lang w:val="uk-UA"/>
              </w:rPr>
              <w:t>- відновлення освітнього середовища, контингенту учнів;</w:t>
            </w:r>
          </w:p>
          <w:p w:rsidR="003A4A66" w:rsidRPr="00B74A55" w:rsidRDefault="003A4A66" w:rsidP="00CF479C">
            <w:pPr>
              <w:pStyle w:val="a7"/>
              <w:ind w:left="0"/>
              <w:rPr>
                <w:sz w:val="22"/>
                <w:lang w:val="uk-UA"/>
              </w:rPr>
            </w:pPr>
            <w:r w:rsidRPr="00B74A55">
              <w:rPr>
                <w:sz w:val="22"/>
                <w:lang w:val="uk-UA"/>
              </w:rPr>
              <w:t>- благоустрій мікрорайону гімназії, перетворення гімназії на осередок соціальної згуртованості та стійкості в громаді;</w:t>
            </w:r>
          </w:p>
          <w:p w:rsidR="003A4A66" w:rsidRPr="00B74A55" w:rsidRDefault="003A4A66" w:rsidP="00CF479C">
            <w:pPr>
              <w:pStyle w:val="a7"/>
              <w:ind w:left="0"/>
              <w:rPr>
                <w:sz w:val="22"/>
                <w:lang w:val="uk-UA"/>
              </w:rPr>
            </w:pPr>
            <w:r w:rsidRPr="00B74A55">
              <w:rPr>
                <w:sz w:val="22"/>
                <w:lang w:val="uk-UA"/>
              </w:rPr>
              <w:t>- дотримання санітарно-гігієнічних вимог до експлуатації споруди.</w:t>
            </w:r>
          </w:p>
        </w:tc>
      </w:tr>
      <w:tr w:rsidR="003A4A66" w:rsidRPr="00B74A55" w:rsidTr="004843F9">
        <w:trPr>
          <w:trHeight w:val="390"/>
        </w:trPr>
        <w:tc>
          <w:tcPr>
            <w:tcW w:w="2978" w:type="dxa"/>
            <w:vMerge w:val="restart"/>
            <w:shd w:val="clear" w:color="auto" w:fill="C6D9F1" w:themeFill="text2" w:themeFillTint="33"/>
          </w:tcPr>
          <w:p w:rsidR="003A4A66" w:rsidRPr="00B74A55" w:rsidRDefault="003A4A66" w:rsidP="00CF479C">
            <w:pPr>
              <w:pStyle w:val="a7"/>
              <w:ind w:left="0"/>
              <w:rPr>
                <w:b/>
                <w:sz w:val="22"/>
                <w:lang w:val="uk-UA"/>
              </w:rPr>
            </w:pPr>
            <w:r w:rsidRPr="00B74A55">
              <w:rPr>
                <w:b/>
                <w:sz w:val="22"/>
                <w:lang w:val="uk-UA"/>
              </w:rPr>
              <w:t xml:space="preserve">Очікувані кількісні результати реалізації </w:t>
            </w:r>
            <w:proofErr w:type="spellStart"/>
            <w:r w:rsidRPr="00B74A55">
              <w:rPr>
                <w:b/>
                <w:sz w:val="22"/>
                <w:lang w:val="uk-UA"/>
              </w:rPr>
              <w:t>проєкту</w:t>
            </w:r>
            <w:proofErr w:type="spellEnd"/>
            <w:r w:rsidRPr="00B74A55">
              <w:rPr>
                <w:b/>
                <w:sz w:val="22"/>
                <w:lang w:val="uk-UA"/>
              </w:rPr>
              <w:t xml:space="preserve"> (індикатори)</w:t>
            </w:r>
          </w:p>
          <w:p w:rsidR="003A4A66" w:rsidRPr="00B74A55" w:rsidRDefault="003A4A66" w:rsidP="00CF479C">
            <w:pPr>
              <w:pStyle w:val="a7"/>
              <w:ind w:left="0"/>
              <w:rPr>
                <w:b/>
                <w:sz w:val="22"/>
                <w:lang w:val="uk-UA"/>
              </w:rPr>
            </w:pPr>
          </w:p>
        </w:tc>
        <w:tc>
          <w:tcPr>
            <w:tcW w:w="4144" w:type="dxa"/>
            <w:gridSpan w:val="4"/>
            <w:tcBorders>
              <w:bottom w:val="single" w:sz="4" w:space="0" w:color="auto"/>
              <w:right w:val="single" w:sz="4" w:space="0" w:color="auto"/>
            </w:tcBorders>
          </w:tcPr>
          <w:p w:rsidR="003A4A66" w:rsidRPr="00B74A55" w:rsidRDefault="003A4A66" w:rsidP="00CF479C">
            <w:pPr>
              <w:pStyle w:val="a7"/>
              <w:ind w:left="-108"/>
              <w:rPr>
                <w:b/>
                <w:sz w:val="22"/>
                <w:lang w:val="uk-UA"/>
              </w:rPr>
            </w:pPr>
            <w:r w:rsidRPr="00B74A55">
              <w:rPr>
                <w:b/>
                <w:sz w:val="22"/>
                <w:lang w:val="uk-UA"/>
              </w:rPr>
              <w:t>Найменування показника</w:t>
            </w:r>
          </w:p>
        </w:tc>
        <w:tc>
          <w:tcPr>
            <w:tcW w:w="1701" w:type="dxa"/>
            <w:gridSpan w:val="2"/>
            <w:tcBorders>
              <w:left w:val="single" w:sz="4" w:space="0" w:color="auto"/>
              <w:bottom w:val="single" w:sz="4" w:space="0" w:color="auto"/>
              <w:right w:val="single" w:sz="4" w:space="0" w:color="auto"/>
            </w:tcBorders>
          </w:tcPr>
          <w:p w:rsidR="003A4A66" w:rsidRPr="00B74A55" w:rsidRDefault="003A4A66" w:rsidP="00CF479C">
            <w:pPr>
              <w:pStyle w:val="a7"/>
              <w:ind w:left="0"/>
              <w:rPr>
                <w:b/>
                <w:sz w:val="22"/>
                <w:lang w:val="uk-UA"/>
              </w:rPr>
            </w:pPr>
            <w:r w:rsidRPr="00B74A55">
              <w:rPr>
                <w:b/>
                <w:sz w:val="22"/>
                <w:lang w:val="uk-UA"/>
              </w:rPr>
              <w:t>Одиниця вимірювання</w:t>
            </w:r>
          </w:p>
          <w:p w:rsidR="003A4A66" w:rsidRPr="00B74A55" w:rsidRDefault="003A4A66" w:rsidP="00CF479C">
            <w:pPr>
              <w:pStyle w:val="a7"/>
              <w:ind w:left="0"/>
              <w:rPr>
                <w:b/>
                <w:sz w:val="22"/>
                <w:lang w:val="uk-UA"/>
              </w:rPr>
            </w:pPr>
          </w:p>
        </w:tc>
        <w:tc>
          <w:tcPr>
            <w:tcW w:w="1242" w:type="dxa"/>
            <w:tcBorders>
              <w:left w:val="single" w:sz="4" w:space="0" w:color="auto"/>
              <w:bottom w:val="single" w:sz="4" w:space="0" w:color="auto"/>
            </w:tcBorders>
          </w:tcPr>
          <w:p w:rsidR="003A4A66" w:rsidRPr="00B74A55" w:rsidRDefault="003A4A66" w:rsidP="00CF479C">
            <w:pPr>
              <w:pStyle w:val="a7"/>
              <w:ind w:left="0"/>
              <w:rPr>
                <w:b/>
                <w:sz w:val="22"/>
                <w:lang w:val="uk-UA"/>
              </w:rPr>
            </w:pPr>
            <w:r w:rsidRPr="00B74A55">
              <w:rPr>
                <w:b/>
                <w:sz w:val="22"/>
                <w:lang w:val="uk-UA"/>
              </w:rPr>
              <w:t>Прогнозне (цільове) .значення</w:t>
            </w:r>
          </w:p>
        </w:tc>
      </w:tr>
      <w:tr w:rsidR="003A4A66" w:rsidRPr="00B74A55" w:rsidTr="004843F9">
        <w:trPr>
          <w:trHeight w:val="585"/>
        </w:trPr>
        <w:tc>
          <w:tcPr>
            <w:tcW w:w="2978" w:type="dxa"/>
            <w:vMerge/>
            <w:shd w:val="clear" w:color="auto" w:fill="C6D9F1" w:themeFill="text2" w:themeFillTint="33"/>
          </w:tcPr>
          <w:p w:rsidR="003A4A66" w:rsidRPr="00B74A55" w:rsidRDefault="003A4A66" w:rsidP="00CF479C">
            <w:pPr>
              <w:pStyle w:val="a7"/>
              <w:ind w:left="0"/>
              <w:rPr>
                <w:b/>
                <w:sz w:val="22"/>
                <w:lang w:val="uk-UA"/>
              </w:rPr>
            </w:pPr>
          </w:p>
        </w:tc>
        <w:tc>
          <w:tcPr>
            <w:tcW w:w="4144" w:type="dxa"/>
            <w:gridSpan w:val="4"/>
            <w:tcBorders>
              <w:top w:val="single" w:sz="4" w:space="0" w:color="auto"/>
              <w:bottom w:val="single" w:sz="4" w:space="0" w:color="auto"/>
              <w:right w:val="single" w:sz="4" w:space="0" w:color="auto"/>
            </w:tcBorders>
          </w:tcPr>
          <w:p w:rsidR="003A4A66" w:rsidRPr="00B74A55" w:rsidRDefault="003A4A66" w:rsidP="00CF479C">
            <w:pPr>
              <w:pStyle w:val="a7"/>
              <w:ind w:left="0"/>
              <w:jc w:val="center"/>
              <w:rPr>
                <w:sz w:val="22"/>
                <w:lang w:val="uk-UA"/>
              </w:rPr>
            </w:pPr>
            <w:r w:rsidRPr="00B74A55">
              <w:rPr>
                <w:sz w:val="22"/>
                <w:lang w:val="uk-UA"/>
              </w:rPr>
              <w:t>Кількість одержувачів освітніх послуг у ЗО</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3A4A66" w:rsidRPr="00B74A55" w:rsidRDefault="003A4A66" w:rsidP="00CF479C">
            <w:pPr>
              <w:pStyle w:val="a7"/>
              <w:ind w:left="0"/>
              <w:jc w:val="center"/>
              <w:rPr>
                <w:sz w:val="22"/>
                <w:lang w:val="uk-UA"/>
              </w:rPr>
            </w:pPr>
            <w:r w:rsidRPr="00B74A55">
              <w:rPr>
                <w:sz w:val="22"/>
                <w:lang w:val="uk-UA"/>
              </w:rPr>
              <w:t>осіб</w:t>
            </w:r>
          </w:p>
        </w:tc>
        <w:tc>
          <w:tcPr>
            <w:tcW w:w="1242" w:type="dxa"/>
            <w:tcBorders>
              <w:top w:val="single" w:sz="4" w:space="0" w:color="auto"/>
              <w:left w:val="single" w:sz="4" w:space="0" w:color="auto"/>
              <w:bottom w:val="single" w:sz="4" w:space="0" w:color="auto"/>
            </w:tcBorders>
          </w:tcPr>
          <w:p w:rsidR="003A4A66" w:rsidRPr="00B74A55" w:rsidRDefault="003A4A66" w:rsidP="00CF479C">
            <w:pPr>
              <w:pStyle w:val="a7"/>
              <w:ind w:left="0"/>
              <w:jc w:val="center"/>
              <w:rPr>
                <w:b/>
                <w:sz w:val="22"/>
                <w:lang w:val="uk-UA"/>
              </w:rPr>
            </w:pPr>
            <w:r w:rsidRPr="00B74A55">
              <w:rPr>
                <w:sz w:val="22"/>
                <w:lang w:val="uk-UA"/>
              </w:rPr>
              <w:t xml:space="preserve">до 2000 </w:t>
            </w:r>
          </w:p>
        </w:tc>
      </w:tr>
      <w:tr w:rsidR="003A4A66" w:rsidRPr="00B74A55" w:rsidTr="004843F9">
        <w:trPr>
          <w:trHeight w:val="150"/>
        </w:trPr>
        <w:tc>
          <w:tcPr>
            <w:tcW w:w="2978" w:type="dxa"/>
            <w:vMerge/>
            <w:shd w:val="clear" w:color="auto" w:fill="C6D9F1" w:themeFill="text2" w:themeFillTint="33"/>
          </w:tcPr>
          <w:p w:rsidR="003A4A66" w:rsidRPr="00B74A55" w:rsidRDefault="003A4A66" w:rsidP="00CF479C">
            <w:pPr>
              <w:pStyle w:val="a7"/>
              <w:ind w:left="0"/>
              <w:rPr>
                <w:b/>
                <w:sz w:val="22"/>
                <w:lang w:val="uk-UA"/>
              </w:rPr>
            </w:pPr>
          </w:p>
        </w:tc>
        <w:tc>
          <w:tcPr>
            <w:tcW w:w="4144" w:type="dxa"/>
            <w:gridSpan w:val="4"/>
            <w:tcBorders>
              <w:top w:val="single" w:sz="4" w:space="0" w:color="auto"/>
              <w:right w:val="single" w:sz="4" w:space="0" w:color="auto"/>
            </w:tcBorders>
          </w:tcPr>
          <w:p w:rsidR="003A4A66" w:rsidRPr="00B74A55" w:rsidRDefault="003A4A66" w:rsidP="00CF479C">
            <w:pPr>
              <w:pStyle w:val="a7"/>
              <w:ind w:left="0"/>
              <w:jc w:val="center"/>
              <w:rPr>
                <w:sz w:val="22"/>
                <w:lang w:val="uk-UA"/>
              </w:rPr>
            </w:pPr>
            <w:r w:rsidRPr="00B74A55">
              <w:rPr>
                <w:sz w:val="22"/>
                <w:lang w:val="uk-UA"/>
              </w:rPr>
              <w:t>Термін надання послуги</w:t>
            </w:r>
          </w:p>
        </w:tc>
        <w:tc>
          <w:tcPr>
            <w:tcW w:w="1701" w:type="dxa"/>
            <w:gridSpan w:val="2"/>
            <w:tcBorders>
              <w:top w:val="single" w:sz="4" w:space="0" w:color="auto"/>
              <w:left w:val="single" w:sz="4" w:space="0" w:color="auto"/>
              <w:right w:val="single" w:sz="4" w:space="0" w:color="auto"/>
            </w:tcBorders>
            <w:vAlign w:val="center"/>
          </w:tcPr>
          <w:p w:rsidR="003A4A66" w:rsidRPr="00B74A55" w:rsidRDefault="003A4A66" w:rsidP="00CF479C">
            <w:pPr>
              <w:pStyle w:val="a7"/>
              <w:ind w:left="0"/>
              <w:jc w:val="center"/>
              <w:rPr>
                <w:sz w:val="22"/>
                <w:lang w:val="uk-UA"/>
              </w:rPr>
            </w:pPr>
            <w:r w:rsidRPr="00B74A55">
              <w:rPr>
                <w:sz w:val="22"/>
                <w:lang w:val="uk-UA"/>
              </w:rPr>
              <w:t>місяць</w:t>
            </w:r>
          </w:p>
        </w:tc>
        <w:tc>
          <w:tcPr>
            <w:tcW w:w="1242" w:type="dxa"/>
            <w:tcBorders>
              <w:top w:val="single" w:sz="4" w:space="0" w:color="auto"/>
              <w:left w:val="single" w:sz="4" w:space="0" w:color="auto"/>
            </w:tcBorders>
          </w:tcPr>
          <w:p w:rsidR="003A4A66" w:rsidRPr="00B74A55" w:rsidRDefault="003A4A66" w:rsidP="00CF479C">
            <w:pPr>
              <w:pStyle w:val="a7"/>
              <w:ind w:left="0"/>
              <w:jc w:val="center"/>
              <w:rPr>
                <w:sz w:val="22"/>
                <w:lang w:val="uk-UA"/>
              </w:rPr>
            </w:pPr>
            <w:r w:rsidRPr="00B74A55">
              <w:rPr>
                <w:sz w:val="22"/>
                <w:lang w:val="uk-UA"/>
              </w:rPr>
              <w:t xml:space="preserve">12 </w:t>
            </w:r>
          </w:p>
        </w:tc>
      </w:tr>
      <w:tr w:rsidR="003A4A66" w:rsidRPr="00B74A55" w:rsidTr="004843F9">
        <w:trPr>
          <w:trHeight w:val="150"/>
        </w:trPr>
        <w:tc>
          <w:tcPr>
            <w:tcW w:w="2978" w:type="dxa"/>
            <w:shd w:val="clear" w:color="auto" w:fill="C6D9F1" w:themeFill="text2" w:themeFillTint="33"/>
          </w:tcPr>
          <w:p w:rsidR="003A4A66" w:rsidRPr="00B74A55" w:rsidRDefault="003A4A66" w:rsidP="00CF479C">
            <w:pPr>
              <w:pStyle w:val="a7"/>
              <w:ind w:left="0"/>
              <w:rPr>
                <w:b/>
                <w:sz w:val="22"/>
                <w:lang w:val="uk-UA"/>
              </w:rPr>
            </w:pPr>
          </w:p>
        </w:tc>
        <w:tc>
          <w:tcPr>
            <w:tcW w:w="4144" w:type="dxa"/>
            <w:gridSpan w:val="4"/>
            <w:tcBorders>
              <w:top w:val="single" w:sz="4" w:space="0" w:color="auto"/>
              <w:right w:val="single" w:sz="4" w:space="0" w:color="auto"/>
            </w:tcBorders>
          </w:tcPr>
          <w:p w:rsidR="003A4A66" w:rsidRPr="00B74A55" w:rsidRDefault="003A4A66" w:rsidP="00CF479C">
            <w:pPr>
              <w:pStyle w:val="a7"/>
              <w:ind w:left="0"/>
              <w:jc w:val="center"/>
              <w:rPr>
                <w:sz w:val="22"/>
                <w:lang w:val="uk-UA"/>
              </w:rPr>
            </w:pPr>
            <w:r w:rsidRPr="00B74A55">
              <w:rPr>
                <w:sz w:val="22"/>
                <w:lang w:val="uk-UA"/>
              </w:rPr>
              <w:t>Кількість населених пунктів, яке обслуговує заклад освіти</w:t>
            </w:r>
          </w:p>
        </w:tc>
        <w:tc>
          <w:tcPr>
            <w:tcW w:w="1701" w:type="dxa"/>
            <w:gridSpan w:val="2"/>
            <w:tcBorders>
              <w:top w:val="single" w:sz="4" w:space="0" w:color="auto"/>
              <w:left w:val="single" w:sz="4" w:space="0" w:color="auto"/>
              <w:right w:val="single" w:sz="4" w:space="0" w:color="auto"/>
            </w:tcBorders>
            <w:vAlign w:val="center"/>
          </w:tcPr>
          <w:p w:rsidR="003A4A66" w:rsidRPr="00B74A55" w:rsidRDefault="003A4A66" w:rsidP="00CF479C">
            <w:pPr>
              <w:pStyle w:val="a7"/>
              <w:ind w:left="0"/>
              <w:jc w:val="center"/>
              <w:rPr>
                <w:sz w:val="22"/>
                <w:lang w:val="uk-UA"/>
              </w:rPr>
            </w:pPr>
            <w:r w:rsidRPr="00B74A55">
              <w:rPr>
                <w:sz w:val="22"/>
                <w:lang w:val="uk-UA"/>
              </w:rPr>
              <w:t>одиниць</w:t>
            </w:r>
          </w:p>
        </w:tc>
        <w:tc>
          <w:tcPr>
            <w:tcW w:w="1242" w:type="dxa"/>
            <w:tcBorders>
              <w:top w:val="single" w:sz="4" w:space="0" w:color="auto"/>
              <w:left w:val="single" w:sz="4" w:space="0" w:color="auto"/>
            </w:tcBorders>
          </w:tcPr>
          <w:p w:rsidR="003A4A66" w:rsidRPr="00B74A55" w:rsidRDefault="003A4A66" w:rsidP="00CF479C">
            <w:pPr>
              <w:pStyle w:val="a7"/>
              <w:ind w:left="0"/>
              <w:jc w:val="center"/>
              <w:rPr>
                <w:sz w:val="22"/>
                <w:lang w:val="uk-UA"/>
              </w:rPr>
            </w:pPr>
            <w:r w:rsidRPr="00B74A55">
              <w:rPr>
                <w:sz w:val="22"/>
                <w:lang w:val="uk-UA"/>
              </w:rPr>
              <w:t xml:space="preserve">1 </w:t>
            </w:r>
          </w:p>
        </w:tc>
      </w:tr>
      <w:tr w:rsidR="003A4A66" w:rsidRPr="00B74A55" w:rsidTr="004843F9">
        <w:tc>
          <w:tcPr>
            <w:tcW w:w="2978" w:type="dxa"/>
            <w:shd w:val="clear" w:color="auto" w:fill="C6D9F1" w:themeFill="text2" w:themeFillTint="33"/>
          </w:tcPr>
          <w:p w:rsidR="003A4A66" w:rsidRPr="00B74A55" w:rsidRDefault="003A4A66" w:rsidP="00CF479C">
            <w:pPr>
              <w:rPr>
                <w:b/>
                <w:sz w:val="22"/>
                <w:lang w:val="uk-UA"/>
              </w:rPr>
            </w:pPr>
            <w:r w:rsidRPr="00B74A55">
              <w:rPr>
                <w:b/>
                <w:sz w:val="22"/>
                <w:lang w:val="uk-UA"/>
              </w:rPr>
              <w:t xml:space="preserve">Ключові заходи </w:t>
            </w:r>
            <w:proofErr w:type="spellStart"/>
            <w:r w:rsidRPr="00B74A55">
              <w:rPr>
                <w:b/>
                <w:sz w:val="22"/>
                <w:lang w:val="uk-UA"/>
              </w:rPr>
              <w:t>проєкту</w:t>
            </w:r>
            <w:proofErr w:type="spellEnd"/>
            <w:r w:rsidRPr="00B74A55">
              <w:rPr>
                <w:b/>
                <w:sz w:val="22"/>
                <w:lang w:val="uk-UA"/>
              </w:rPr>
              <w:t xml:space="preserve">: </w:t>
            </w:r>
          </w:p>
          <w:p w:rsidR="003A4A66" w:rsidRPr="00B74A55" w:rsidRDefault="003A4A66" w:rsidP="00CF479C">
            <w:pPr>
              <w:pStyle w:val="a7"/>
              <w:ind w:left="0"/>
              <w:rPr>
                <w:b/>
                <w:sz w:val="22"/>
                <w:lang w:val="uk-UA"/>
              </w:rPr>
            </w:pPr>
          </w:p>
        </w:tc>
        <w:tc>
          <w:tcPr>
            <w:tcW w:w="7087" w:type="dxa"/>
            <w:gridSpan w:val="7"/>
          </w:tcPr>
          <w:p w:rsidR="003A4A66" w:rsidRPr="00B74A55" w:rsidRDefault="003A4A66" w:rsidP="00CF479C">
            <w:pPr>
              <w:pStyle w:val="a7"/>
              <w:ind w:left="0"/>
              <w:rPr>
                <w:sz w:val="22"/>
                <w:lang w:val="uk-UA"/>
              </w:rPr>
            </w:pPr>
            <w:r w:rsidRPr="00B74A55">
              <w:rPr>
                <w:sz w:val="22"/>
                <w:lang w:val="uk-UA"/>
              </w:rPr>
              <w:t>І. Обстеження стану будівлі:</w:t>
            </w:r>
          </w:p>
          <w:p w:rsidR="003A4A66" w:rsidRPr="00B74A55" w:rsidRDefault="003A4A66" w:rsidP="00CF479C">
            <w:pPr>
              <w:pStyle w:val="a7"/>
              <w:ind w:left="0"/>
              <w:rPr>
                <w:sz w:val="22"/>
                <w:lang w:val="uk-UA"/>
              </w:rPr>
            </w:pPr>
            <w:r w:rsidRPr="00B74A55">
              <w:rPr>
                <w:sz w:val="22"/>
                <w:lang w:val="uk-UA"/>
              </w:rPr>
              <w:t xml:space="preserve">-виготовлення </w:t>
            </w:r>
            <w:proofErr w:type="spellStart"/>
            <w:r w:rsidRPr="00B74A55">
              <w:rPr>
                <w:sz w:val="22"/>
                <w:lang w:val="uk-UA"/>
              </w:rPr>
              <w:t>проєктно</w:t>
            </w:r>
            <w:proofErr w:type="spellEnd"/>
            <w:r w:rsidRPr="00B74A55">
              <w:rPr>
                <w:sz w:val="22"/>
                <w:lang w:val="uk-UA"/>
              </w:rPr>
              <w:t xml:space="preserve">-кошторисної документації або послуги з інженерного </w:t>
            </w:r>
            <w:proofErr w:type="spellStart"/>
            <w:r w:rsidRPr="00B74A55">
              <w:rPr>
                <w:sz w:val="22"/>
                <w:lang w:val="uk-UA"/>
              </w:rPr>
              <w:t>проєктування</w:t>
            </w:r>
            <w:proofErr w:type="spellEnd"/>
            <w:r w:rsidRPr="00B74A55">
              <w:rPr>
                <w:sz w:val="22"/>
                <w:lang w:val="uk-UA"/>
              </w:rPr>
              <w:t>;</w:t>
            </w:r>
          </w:p>
          <w:p w:rsidR="003A4A66" w:rsidRPr="00B74A55" w:rsidRDefault="003A4A66" w:rsidP="00CF479C">
            <w:pPr>
              <w:pStyle w:val="a7"/>
              <w:ind w:left="0"/>
              <w:rPr>
                <w:sz w:val="22"/>
                <w:lang w:val="uk-UA"/>
              </w:rPr>
            </w:pPr>
            <w:r w:rsidRPr="00B74A55">
              <w:rPr>
                <w:sz w:val="22"/>
                <w:lang w:val="uk-UA"/>
              </w:rPr>
              <w:t xml:space="preserve">- проведення експертизи </w:t>
            </w:r>
            <w:proofErr w:type="spellStart"/>
            <w:r w:rsidRPr="00B74A55">
              <w:rPr>
                <w:sz w:val="22"/>
                <w:lang w:val="uk-UA"/>
              </w:rPr>
              <w:t>проєкту</w:t>
            </w:r>
            <w:proofErr w:type="spellEnd"/>
            <w:r w:rsidRPr="00B74A55">
              <w:rPr>
                <w:sz w:val="22"/>
                <w:lang w:val="uk-UA"/>
              </w:rPr>
              <w:t xml:space="preserve"> відновлення:</w:t>
            </w:r>
          </w:p>
          <w:p w:rsidR="003A4A66" w:rsidRPr="00B74A55" w:rsidRDefault="003A4A66" w:rsidP="00CF479C">
            <w:pPr>
              <w:pStyle w:val="a7"/>
              <w:ind w:left="0"/>
              <w:rPr>
                <w:sz w:val="22"/>
                <w:lang w:val="uk-UA"/>
              </w:rPr>
            </w:pPr>
            <w:r w:rsidRPr="00B74A55">
              <w:rPr>
                <w:sz w:val="22"/>
                <w:lang w:val="uk-UA"/>
              </w:rPr>
              <w:t>- звернення в експертну компанію і підписання договору;</w:t>
            </w:r>
          </w:p>
          <w:p w:rsidR="003A4A66" w:rsidRPr="00B74A55" w:rsidRDefault="003A4A66" w:rsidP="00CF479C">
            <w:pPr>
              <w:pStyle w:val="a7"/>
              <w:ind w:left="0"/>
              <w:rPr>
                <w:sz w:val="22"/>
                <w:lang w:val="uk-UA"/>
              </w:rPr>
            </w:pPr>
            <w:r w:rsidRPr="00B74A55">
              <w:rPr>
                <w:sz w:val="22"/>
                <w:lang w:val="uk-UA"/>
              </w:rPr>
              <w:t xml:space="preserve">- проведення експертизи </w:t>
            </w:r>
            <w:proofErr w:type="spellStart"/>
            <w:r w:rsidRPr="00B74A55">
              <w:rPr>
                <w:sz w:val="22"/>
                <w:lang w:val="uk-UA"/>
              </w:rPr>
              <w:t>проєктної</w:t>
            </w:r>
            <w:proofErr w:type="spellEnd"/>
            <w:r w:rsidRPr="00B74A55">
              <w:rPr>
                <w:sz w:val="22"/>
                <w:lang w:val="uk-UA"/>
              </w:rPr>
              <w:t xml:space="preserve"> документації; </w:t>
            </w:r>
          </w:p>
          <w:p w:rsidR="003A4A66" w:rsidRPr="00B74A55" w:rsidRDefault="003A4A66" w:rsidP="00CF479C">
            <w:pPr>
              <w:pStyle w:val="a7"/>
              <w:ind w:left="0"/>
              <w:rPr>
                <w:sz w:val="22"/>
                <w:lang w:val="uk-UA"/>
              </w:rPr>
            </w:pPr>
            <w:r w:rsidRPr="00B74A55">
              <w:rPr>
                <w:sz w:val="22"/>
                <w:lang w:val="uk-UA"/>
              </w:rPr>
              <w:t xml:space="preserve">- усунення недоліків; </w:t>
            </w:r>
          </w:p>
          <w:p w:rsidR="003A4A66" w:rsidRPr="00B74A55" w:rsidRDefault="003A4A66" w:rsidP="00CF479C">
            <w:pPr>
              <w:pStyle w:val="a7"/>
              <w:ind w:left="0"/>
              <w:rPr>
                <w:sz w:val="22"/>
                <w:lang w:val="uk-UA"/>
              </w:rPr>
            </w:pPr>
            <w:r w:rsidRPr="00B74A55">
              <w:rPr>
                <w:sz w:val="22"/>
                <w:lang w:val="uk-UA"/>
              </w:rPr>
              <w:t>- отримання експертного звіту.</w:t>
            </w:r>
          </w:p>
          <w:p w:rsidR="003A4A66" w:rsidRPr="00B74A55" w:rsidRDefault="003A4A66" w:rsidP="00CF479C">
            <w:pPr>
              <w:pStyle w:val="a7"/>
              <w:ind w:left="0"/>
              <w:rPr>
                <w:sz w:val="22"/>
                <w:lang w:val="uk-UA"/>
              </w:rPr>
            </w:pPr>
            <w:r w:rsidRPr="00B74A55">
              <w:rPr>
                <w:sz w:val="22"/>
                <w:lang w:val="uk-UA"/>
              </w:rPr>
              <w:t>ІІ. Визначення будівельно-підрядної організації:</w:t>
            </w:r>
          </w:p>
          <w:p w:rsidR="003A4A66" w:rsidRPr="00B74A55" w:rsidRDefault="003A4A66" w:rsidP="00CF479C">
            <w:pPr>
              <w:pStyle w:val="a7"/>
              <w:ind w:left="0"/>
              <w:rPr>
                <w:sz w:val="22"/>
                <w:lang w:val="uk-UA"/>
              </w:rPr>
            </w:pPr>
            <w:r w:rsidRPr="00B74A55">
              <w:rPr>
                <w:sz w:val="22"/>
                <w:lang w:val="uk-UA"/>
              </w:rPr>
              <w:t>-укладання угоди із організацією-підрядником та проведення підготовчих заходів по виконанню будівельних робіт.</w:t>
            </w:r>
          </w:p>
          <w:p w:rsidR="003A4A66" w:rsidRPr="00B74A55" w:rsidRDefault="003A4A66" w:rsidP="00CF479C">
            <w:pPr>
              <w:pStyle w:val="a7"/>
              <w:ind w:left="0"/>
              <w:rPr>
                <w:sz w:val="22"/>
                <w:lang w:val="uk-UA"/>
              </w:rPr>
            </w:pPr>
            <w:r w:rsidRPr="00B74A55">
              <w:rPr>
                <w:sz w:val="22"/>
                <w:lang w:val="uk-UA"/>
              </w:rPr>
              <w:t xml:space="preserve">ІІІ. Проведення робіт по капітальному ремонту гімназії. </w:t>
            </w:r>
          </w:p>
          <w:p w:rsidR="003A4A66" w:rsidRPr="00B74A55" w:rsidRDefault="003A4A66" w:rsidP="00CF479C">
            <w:pPr>
              <w:pStyle w:val="a7"/>
              <w:ind w:left="0"/>
              <w:rPr>
                <w:sz w:val="22"/>
                <w:lang w:val="uk-UA"/>
              </w:rPr>
            </w:pPr>
            <w:r w:rsidRPr="00B74A55">
              <w:rPr>
                <w:sz w:val="22"/>
                <w:lang w:val="uk-UA"/>
              </w:rPr>
              <w:t>ІV. Введення об’єкту в експлуатацію:</w:t>
            </w:r>
          </w:p>
          <w:p w:rsidR="003A4A66" w:rsidRPr="00B74A55" w:rsidRDefault="003A4A66" w:rsidP="00CF479C">
            <w:pPr>
              <w:pStyle w:val="a7"/>
              <w:ind w:left="0"/>
              <w:rPr>
                <w:sz w:val="22"/>
                <w:lang w:val="uk-UA"/>
              </w:rPr>
            </w:pPr>
            <w:r w:rsidRPr="00B74A55">
              <w:rPr>
                <w:sz w:val="22"/>
                <w:lang w:val="uk-UA"/>
              </w:rPr>
              <w:t xml:space="preserve">- звіт про реалізацію </w:t>
            </w:r>
            <w:proofErr w:type="spellStart"/>
            <w:r w:rsidRPr="00B74A55">
              <w:rPr>
                <w:sz w:val="22"/>
                <w:lang w:val="uk-UA"/>
              </w:rPr>
              <w:t>проєкту</w:t>
            </w:r>
            <w:proofErr w:type="spellEnd"/>
            <w:r w:rsidRPr="00B74A55">
              <w:rPr>
                <w:sz w:val="22"/>
                <w:lang w:val="uk-UA"/>
              </w:rPr>
              <w:t xml:space="preserve"> та досягнення його мети.</w:t>
            </w:r>
          </w:p>
          <w:p w:rsidR="003A4A66" w:rsidRPr="00B74A55" w:rsidRDefault="003A4A66" w:rsidP="00CF479C">
            <w:pPr>
              <w:pStyle w:val="a7"/>
              <w:ind w:left="0"/>
              <w:rPr>
                <w:sz w:val="22"/>
                <w:lang w:val="uk-UA"/>
              </w:rPr>
            </w:pPr>
            <w:r w:rsidRPr="00B74A55">
              <w:rPr>
                <w:sz w:val="22"/>
                <w:lang w:val="uk-UA"/>
              </w:rPr>
              <w:t>- організація та початок робочого процесу.</w:t>
            </w:r>
          </w:p>
        </w:tc>
      </w:tr>
      <w:tr w:rsidR="003A4A66" w:rsidRPr="00B74A55" w:rsidTr="004843F9">
        <w:trPr>
          <w:trHeight w:val="360"/>
        </w:trPr>
        <w:tc>
          <w:tcPr>
            <w:tcW w:w="2978" w:type="dxa"/>
            <w:vMerge w:val="restart"/>
            <w:shd w:val="clear" w:color="auto" w:fill="C6D9F1" w:themeFill="text2" w:themeFillTint="33"/>
          </w:tcPr>
          <w:p w:rsidR="003A4A66" w:rsidRPr="00B74A55" w:rsidRDefault="003A4A66" w:rsidP="00CF479C">
            <w:pPr>
              <w:pStyle w:val="a7"/>
              <w:ind w:left="0"/>
              <w:rPr>
                <w:b/>
                <w:sz w:val="22"/>
                <w:lang w:val="uk-UA"/>
              </w:rPr>
            </w:pPr>
            <w:r w:rsidRPr="00B74A55">
              <w:rPr>
                <w:b/>
                <w:sz w:val="22"/>
                <w:lang w:val="uk-UA"/>
              </w:rPr>
              <w:t xml:space="preserve">Орієнтовний обсяг та джерела фінансування, тис. грн. </w:t>
            </w:r>
          </w:p>
          <w:p w:rsidR="003A4A66" w:rsidRPr="00B74A55" w:rsidRDefault="003A4A66" w:rsidP="00CF479C">
            <w:pPr>
              <w:pStyle w:val="a7"/>
              <w:ind w:left="0"/>
              <w:rPr>
                <w:b/>
                <w:sz w:val="22"/>
                <w:lang w:val="uk-UA"/>
              </w:rPr>
            </w:pPr>
          </w:p>
        </w:tc>
        <w:tc>
          <w:tcPr>
            <w:tcW w:w="1417" w:type="dxa"/>
            <w:tcBorders>
              <w:bottom w:val="single" w:sz="4" w:space="0" w:color="auto"/>
              <w:right w:val="single" w:sz="4" w:space="0" w:color="auto"/>
            </w:tcBorders>
          </w:tcPr>
          <w:p w:rsidR="003A4A66" w:rsidRPr="00B74A55" w:rsidRDefault="003A4A66" w:rsidP="00CF479C">
            <w:pPr>
              <w:pStyle w:val="a7"/>
              <w:ind w:left="0"/>
              <w:jc w:val="center"/>
              <w:rPr>
                <w:b/>
                <w:sz w:val="22"/>
                <w:lang w:val="uk-UA"/>
              </w:rPr>
            </w:pPr>
            <w:r w:rsidRPr="00B74A55">
              <w:rPr>
                <w:b/>
                <w:sz w:val="22"/>
                <w:lang w:val="uk-UA"/>
              </w:rPr>
              <w:t>Державний бюджет</w:t>
            </w:r>
          </w:p>
        </w:tc>
        <w:tc>
          <w:tcPr>
            <w:tcW w:w="1276" w:type="dxa"/>
            <w:tcBorders>
              <w:bottom w:val="single" w:sz="4" w:space="0" w:color="auto"/>
              <w:right w:val="single" w:sz="4" w:space="0" w:color="auto"/>
            </w:tcBorders>
          </w:tcPr>
          <w:p w:rsidR="003A4A66" w:rsidRPr="00B74A55" w:rsidRDefault="003A4A66" w:rsidP="00CF479C">
            <w:pPr>
              <w:pStyle w:val="a7"/>
              <w:ind w:left="0"/>
              <w:jc w:val="center"/>
              <w:rPr>
                <w:b/>
                <w:sz w:val="22"/>
                <w:lang w:val="uk-UA"/>
              </w:rPr>
            </w:pPr>
            <w:r w:rsidRPr="00B74A55">
              <w:rPr>
                <w:b/>
                <w:sz w:val="22"/>
                <w:lang w:val="uk-UA"/>
              </w:rPr>
              <w:t>Місцевий бюджет</w:t>
            </w:r>
          </w:p>
        </w:tc>
        <w:tc>
          <w:tcPr>
            <w:tcW w:w="3118" w:type="dxa"/>
            <w:gridSpan w:val="3"/>
            <w:tcBorders>
              <w:left w:val="single" w:sz="4" w:space="0" w:color="auto"/>
              <w:bottom w:val="single" w:sz="4" w:space="0" w:color="auto"/>
              <w:right w:val="single" w:sz="4" w:space="0" w:color="auto"/>
            </w:tcBorders>
          </w:tcPr>
          <w:p w:rsidR="003A4A66" w:rsidRPr="00B74A55" w:rsidRDefault="003A4A66" w:rsidP="00CF479C">
            <w:pPr>
              <w:pStyle w:val="a7"/>
              <w:ind w:left="0"/>
              <w:jc w:val="center"/>
              <w:rPr>
                <w:b/>
                <w:sz w:val="22"/>
                <w:lang w:val="uk-UA"/>
              </w:rPr>
            </w:pPr>
            <w:r w:rsidRPr="00B74A55">
              <w:rPr>
                <w:b/>
                <w:sz w:val="22"/>
                <w:lang w:val="uk-UA"/>
              </w:rPr>
              <w:t>Інші джерела</w:t>
            </w:r>
          </w:p>
        </w:tc>
        <w:tc>
          <w:tcPr>
            <w:tcW w:w="1276" w:type="dxa"/>
            <w:gridSpan w:val="2"/>
            <w:tcBorders>
              <w:left w:val="single" w:sz="4" w:space="0" w:color="auto"/>
              <w:bottom w:val="single" w:sz="4" w:space="0" w:color="auto"/>
            </w:tcBorders>
          </w:tcPr>
          <w:p w:rsidR="003A4A66" w:rsidRPr="00B74A55" w:rsidRDefault="003A4A66" w:rsidP="00CF479C">
            <w:pPr>
              <w:pStyle w:val="a7"/>
              <w:ind w:left="0"/>
              <w:jc w:val="center"/>
              <w:rPr>
                <w:b/>
                <w:sz w:val="22"/>
                <w:lang w:val="uk-UA"/>
              </w:rPr>
            </w:pPr>
            <w:r w:rsidRPr="00B74A55">
              <w:rPr>
                <w:b/>
                <w:sz w:val="22"/>
                <w:lang w:val="uk-UA"/>
              </w:rPr>
              <w:t>Всього</w:t>
            </w:r>
          </w:p>
        </w:tc>
      </w:tr>
      <w:tr w:rsidR="003A4A66" w:rsidRPr="00B74A55" w:rsidTr="004843F9">
        <w:trPr>
          <w:trHeight w:val="225"/>
        </w:trPr>
        <w:tc>
          <w:tcPr>
            <w:tcW w:w="2978" w:type="dxa"/>
            <w:vMerge/>
            <w:shd w:val="clear" w:color="auto" w:fill="C6D9F1" w:themeFill="text2" w:themeFillTint="33"/>
          </w:tcPr>
          <w:p w:rsidR="003A4A66" w:rsidRPr="00B74A55" w:rsidRDefault="003A4A66" w:rsidP="00CF479C">
            <w:pPr>
              <w:pStyle w:val="a7"/>
              <w:ind w:left="0"/>
              <w:rPr>
                <w:b/>
                <w:sz w:val="22"/>
                <w:lang w:val="uk-UA"/>
              </w:rPr>
            </w:pPr>
          </w:p>
        </w:tc>
        <w:tc>
          <w:tcPr>
            <w:tcW w:w="1417" w:type="dxa"/>
            <w:vMerge w:val="restart"/>
            <w:tcBorders>
              <w:top w:val="single" w:sz="4" w:space="0" w:color="auto"/>
              <w:right w:val="single" w:sz="4" w:space="0" w:color="auto"/>
            </w:tcBorders>
          </w:tcPr>
          <w:p w:rsidR="003A4A66" w:rsidRPr="00B74A55" w:rsidRDefault="003A4A66" w:rsidP="00CF479C">
            <w:pPr>
              <w:pStyle w:val="a7"/>
              <w:ind w:left="0"/>
              <w:jc w:val="center"/>
              <w:rPr>
                <w:sz w:val="22"/>
                <w:lang w:val="uk-UA"/>
              </w:rPr>
            </w:pPr>
            <w:r w:rsidRPr="00B74A55">
              <w:rPr>
                <w:sz w:val="22"/>
                <w:lang w:val="uk-UA"/>
              </w:rPr>
              <w:t>10000</w:t>
            </w:r>
          </w:p>
        </w:tc>
        <w:tc>
          <w:tcPr>
            <w:tcW w:w="1276" w:type="dxa"/>
            <w:vMerge w:val="restart"/>
            <w:tcBorders>
              <w:top w:val="single" w:sz="4" w:space="0" w:color="auto"/>
              <w:right w:val="single" w:sz="4" w:space="0" w:color="auto"/>
            </w:tcBorders>
          </w:tcPr>
          <w:p w:rsidR="003A4A66" w:rsidRPr="00B74A55" w:rsidRDefault="003A4A66" w:rsidP="00CF479C">
            <w:pPr>
              <w:pStyle w:val="a7"/>
              <w:ind w:left="0"/>
              <w:jc w:val="center"/>
              <w:rPr>
                <w:b/>
                <w:sz w:val="22"/>
                <w:lang w:val="uk-UA"/>
              </w:rPr>
            </w:pPr>
            <w:r w:rsidRPr="00B74A55">
              <w:rPr>
                <w:b/>
                <w:sz w:val="22"/>
                <w:lang w:val="uk-UA"/>
              </w:rPr>
              <w:t>-</w:t>
            </w:r>
          </w:p>
        </w:tc>
        <w:tc>
          <w:tcPr>
            <w:tcW w:w="1231" w:type="dxa"/>
            <w:tcBorders>
              <w:top w:val="single" w:sz="4" w:space="0" w:color="auto"/>
              <w:left w:val="single" w:sz="4" w:space="0" w:color="auto"/>
              <w:bottom w:val="single" w:sz="4" w:space="0" w:color="auto"/>
              <w:right w:val="single" w:sz="4" w:space="0" w:color="auto"/>
            </w:tcBorders>
          </w:tcPr>
          <w:p w:rsidR="003A4A66" w:rsidRPr="00B74A55" w:rsidRDefault="003A4A66" w:rsidP="00CF479C">
            <w:pPr>
              <w:pStyle w:val="a7"/>
              <w:ind w:left="0"/>
              <w:jc w:val="center"/>
              <w:rPr>
                <w:b/>
                <w:sz w:val="22"/>
                <w:lang w:val="uk-UA"/>
              </w:rPr>
            </w:pPr>
            <w:r w:rsidRPr="00B74A55">
              <w:rPr>
                <w:b/>
                <w:sz w:val="22"/>
                <w:lang w:val="uk-UA"/>
              </w:rPr>
              <w:t>Обсяг</w:t>
            </w:r>
          </w:p>
        </w:tc>
        <w:tc>
          <w:tcPr>
            <w:tcW w:w="1887" w:type="dxa"/>
            <w:gridSpan w:val="2"/>
            <w:tcBorders>
              <w:top w:val="single" w:sz="4" w:space="0" w:color="auto"/>
              <w:left w:val="single" w:sz="4" w:space="0" w:color="auto"/>
              <w:bottom w:val="single" w:sz="4" w:space="0" w:color="auto"/>
              <w:right w:val="single" w:sz="4" w:space="0" w:color="auto"/>
            </w:tcBorders>
          </w:tcPr>
          <w:p w:rsidR="003A4A66" w:rsidRPr="00B74A55" w:rsidRDefault="003A4A66" w:rsidP="00CF479C">
            <w:pPr>
              <w:pStyle w:val="a7"/>
              <w:ind w:left="0"/>
              <w:jc w:val="center"/>
              <w:rPr>
                <w:b/>
                <w:sz w:val="22"/>
                <w:lang w:val="uk-UA"/>
              </w:rPr>
            </w:pPr>
            <w:r w:rsidRPr="00B74A55">
              <w:rPr>
                <w:b/>
                <w:sz w:val="22"/>
                <w:lang w:val="uk-UA"/>
              </w:rPr>
              <w:t>Назва джерела</w:t>
            </w:r>
          </w:p>
        </w:tc>
        <w:tc>
          <w:tcPr>
            <w:tcW w:w="1276" w:type="dxa"/>
            <w:gridSpan w:val="2"/>
            <w:vMerge w:val="restart"/>
            <w:tcBorders>
              <w:top w:val="single" w:sz="4" w:space="0" w:color="auto"/>
              <w:left w:val="single" w:sz="4" w:space="0" w:color="auto"/>
            </w:tcBorders>
          </w:tcPr>
          <w:p w:rsidR="003A4A66" w:rsidRPr="00B74A55" w:rsidRDefault="003A4A66" w:rsidP="00CF479C">
            <w:pPr>
              <w:pStyle w:val="a7"/>
              <w:ind w:left="0"/>
              <w:jc w:val="center"/>
              <w:rPr>
                <w:sz w:val="22"/>
                <w:lang w:val="uk-UA"/>
              </w:rPr>
            </w:pPr>
            <w:r w:rsidRPr="00B74A55">
              <w:rPr>
                <w:sz w:val="22"/>
                <w:lang w:val="uk-UA"/>
              </w:rPr>
              <w:t>24000,4</w:t>
            </w:r>
          </w:p>
        </w:tc>
      </w:tr>
      <w:tr w:rsidR="003A4A66" w:rsidRPr="00B74A55" w:rsidTr="004843F9">
        <w:trPr>
          <w:trHeight w:val="300"/>
        </w:trPr>
        <w:tc>
          <w:tcPr>
            <w:tcW w:w="2978" w:type="dxa"/>
            <w:vMerge/>
            <w:shd w:val="clear" w:color="auto" w:fill="C6D9F1" w:themeFill="text2" w:themeFillTint="33"/>
          </w:tcPr>
          <w:p w:rsidR="003A4A66" w:rsidRPr="00B74A55" w:rsidRDefault="003A4A66" w:rsidP="00CF479C">
            <w:pPr>
              <w:pStyle w:val="a7"/>
              <w:ind w:left="0"/>
              <w:rPr>
                <w:b/>
                <w:sz w:val="22"/>
                <w:lang w:val="uk-UA"/>
              </w:rPr>
            </w:pPr>
          </w:p>
        </w:tc>
        <w:tc>
          <w:tcPr>
            <w:tcW w:w="1417" w:type="dxa"/>
            <w:vMerge/>
            <w:tcBorders>
              <w:right w:val="single" w:sz="4" w:space="0" w:color="auto"/>
            </w:tcBorders>
          </w:tcPr>
          <w:p w:rsidR="003A4A66" w:rsidRPr="00B74A55" w:rsidRDefault="003A4A66" w:rsidP="00CF479C">
            <w:pPr>
              <w:pStyle w:val="a7"/>
              <w:ind w:left="0"/>
              <w:jc w:val="center"/>
              <w:rPr>
                <w:sz w:val="22"/>
                <w:lang w:val="uk-UA"/>
              </w:rPr>
            </w:pPr>
          </w:p>
        </w:tc>
        <w:tc>
          <w:tcPr>
            <w:tcW w:w="1276" w:type="dxa"/>
            <w:vMerge/>
            <w:tcBorders>
              <w:right w:val="single" w:sz="4" w:space="0" w:color="auto"/>
            </w:tcBorders>
          </w:tcPr>
          <w:p w:rsidR="003A4A66" w:rsidRPr="00B74A55" w:rsidRDefault="003A4A66" w:rsidP="00CF479C">
            <w:pPr>
              <w:pStyle w:val="a7"/>
              <w:ind w:left="0"/>
              <w:jc w:val="center"/>
              <w:rPr>
                <w:b/>
                <w:sz w:val="22"/>
                <w:lang w:val="uk-UA"/>
              </w:rPr>
            </w:pPr>
          </w:p>
        </w:tc>
        <w:tc>
          <w:tcPr>
            <w:tcW w:w="1231" w:type="dxa"/>
            <w:tcBorders>
              <w:top w:val="single" w:sz="4" w:space="0" w:color="auto"/>
              <w:left w:val="single" w:sz="4" w:space="0" w:color="auto"/>
              <w:right w:val="single" w:sz="4" w:space="0" w:color="auto"/>
            </w:tcBorders>
          </w:tcPr>
          <w:p w:rsidR="003A4A66" w:rsidRPr="00B74A55" w:rsidRDefault="003A4A66" w:rsidP="00CF479C">
            <w:pPr>
              <w:pStyle w:val="a7"/>
              <w:ind w:left="0"/>
              <w:jc w:val="center"/>
              <w:rPr>
                <w:sz w:val="22"/>
                <w:lang w:val="uk-UA"/>
              </w:rPr>
            </w:pPr>
            <w:r w:rsidRPr="00B74A55">
              <w:rPr>
                <w:sz w:val="22"/>
                <w:lang w:val="uk-UA"/>
              </w:rPr>
              <w:t>14000,4</w:t>
            </w:r>
          </w:p>
        </w:tc>
        <w:tc>
          <w:tcPr>
            <w:tcW w:w="1887" w:type="dxa"/>
            <w:gridSpan w:val="2"/>
            <w:tcBorders>
              <w:top w:val="single" w:sz="4" w:space="0" w:color="auto"/>
              <w:left w:val="single" w:sz="4" w:space="0" w:color="auto"/>
              <w:right w:val="single" w:sz="4" w:space="0" w:color="auto"/>
            </w:tcBorders>
          </w:tcPr>
          <w:p w:rsidR="003A4A66" w:rsidRPr="00B74A55" w:rsidRDefault="003A4A66" w:rsidP="00CF479C">
            <w:pPr>
              <w:pStyle w:val="a7"/>
              <w:ind w:left="0"/>
              <w:jc w:val="center"/>
              <w:rPr>
                <w:sz w:val="22"/>
                <w:lang w:val="uk-UA"/>
              </w:rPr>
            </w:pPr>
            <w:r w:rsidRPr="00B74A55">
              <w:rPr>
                <w:sz w:val="22"/>
                <w:lang w:val="uk-UA"/>
              </w:rPr>
              <w:t>Міжнародні інвестиції, кошти приватних осіб</w:t>
            </w:r>
          </w:p>
        </w:tc>
        <w:tc>
          <w:tcPr>
            <w:tcW w:w="1276" w:type="dxa"/>
            <w:gridSpan w:val="2"/>
            <w:vMerge/>
            <w:tcBorders>
              <w:left w:val="single" w:sz="4" w:space="0" w:color="auto"/>
            </w:tcBorders>
          </w:tcPr>
          <w:p w:rsidR="003A4A66" w:rsidRPr="00B74A55" w:rsidRDefault="003A4A66" w:rsidP="00CF479C">
            <w:pPr>
              <w:pStyle w:val="a7"/>
              <w:ind w:left="0"/>
              <w:jc w:val="center"/>
              <w:rPr>
                <w:sz w:val="22"/>
                <w:lang w:val="uk-UA"/>
              </w:rPr>
            </w:pPr>
          </w:p>
        </w:tc>
      </w:tr>
    </w:tbl>
    <w:p w:rsidR="004479C5" w:rsidRPr="00B74A55" w:rsidRDefault="004479C5" w:rsidP="004479C5">
      <w:pPr>
        <w:spacing w:after="160" w:line="259" w:lineRule="auto"/>
        <w:rPr>
          <w:rFonts w:eastAsia="Calibri"/>
          <w:b/>
          <w:bCs/>
          <w:noProof/>
          <w:sz w:val="22"/>
          <w:szCs w:val="22"/>
        </w:rPr>
      </w:pPr>
    </w:p>
    <w:tbl>
      <w:tblPr>
        <w:tblStyle w:val="af"/>
        <w:tblW w:w="10087" w:type="dxa"/>
        <w:tblInd w:w="-176" w:type="dxa"/>
        <w:tblLayout w:type="fixed"/>
        <w:tblLook w:val="04A0" w:firstRow="1" w:lastRow="0" w:firstColumn="1" w:lastColumn="0" w:noHBand="0" w:noVBand="1"/>
      </w:tblPr>
      <w:tblGrid>
        <w:gridCol w:w="2978"/>
        <w:gridCol w:w="1417"/>
        <w:gridCol w:w="1276"/>
        <w:gridCol w:w="1167"/>
        <w:gridCol w:w="1590"/>
        <w:gridCol w:w="361"/>
        <w:gridCol w:w="1298"/>
      </w:tblGrid>
      <w:tr w:rsidR="003A4A66" w:rsidRPr="00B74A55" w:rsidTr="004843F9">
        <w:tc>
          <w:tcPr>
            <w:tcW w:w="2978" w:type="dxa"/>
            <w:shd w:val="clear" w:color="auto" w:fill="C6D9F1" w:themeFill="text2" w:themeFillTint="33"/>
          </w:tcPr>
          <w:p w:rsidR="003A4A66" w:rsidRPr="00B74A55" w:rsidRDefault="003A4A66" w:rsidP="00CF479C">
            <w:pPr>
              <w:pStyle w:val="a7"/>
              <w:ind w:left="0"/>
              <w:rPr>
                <w:b/>
                <w:sz w:val="22"/>
              </w:rPr>
            </w:pPr>
            <w:r w:rsidRPr="00B74A55">
              <w:rPr>
                <w:b/>
                <w:sz w:val="22"/>
              </w:rPr>
              <w:t xml:space="preserve">Оперативна </w:t>
            </w:r>
            <w:proofErr w:type="spellStart"/>
            <w:r w:rsidRPr="00B74A55">
              <w:rPr>
                <w:b/>
                <w:sz w:val="22"/>
              </w:rPr>
              <w:t>ціль</w:t>
            </w:r>
            <w:proofErr w:type="spellEnd"/>
            <w:r w:rsidRPr="00B74A55">
              <w:rPr>
                <w:b/>
                <w:sz w:val="22"/>
              </w:rPr>
              <w:t>/</w:t>
            </w:r>
            <w:proofErr w:type="spellStart"/>
            <w:r w:rsidRPr="00B74A55">
              <w:rPr>
                <w:b/>
                <w:sz w:val="22"/>
              </w:rPr>
              <w:t>завдання</w:t>
            </w:r>
            <w:proofErr w:type="spellEnd"/>
          </w:p>
        </w:tc>
        <w:tc>
          <w:tcPr>
            <w:tcW w:w="7109" w:type="dxa"/>
            <w:gridSpan w:val="6"/>
            <w:shd w:val="clear" w:color="auto" w:fill="auto"/>
          </w:tcPr>
          <w:p w:rsidR="003A4A66" w:rsidRPr="00B74A55" w:rsidRDefault="003A4A66" w:rsidP="00CF479C">
            <w:pPr>
              <w:rPr>
                <w:sz w:val="22"/>
              </w:rPr>
            </w:pPr>
            <w:proofErr w:type="spellStart"/>
            <w:r w:rsidRPr="00B74A55">
              <w:rPr>
                <w:rFonts w:eastAsia="SimSun"/>
                <w:sz w:val="22"/>
              </w:rPr>
              <w:t>Людський</w:t>
            </w:r>
            <w:proofErr w:type="spellEnd"/>
            <w:r w:rsidRPr="00B74A55">
              <w:rPr>
                <w:rFonts w:eastAsia="SimSun"/>
                <w:sz w:val="22"/>
              </w:rPr>
              <w:t xml:space="preserve"> </w:t>
            </w:r>
            <w:proofErr w:type="spellStart"/>
            <w:r w:rsidRPr="00B74A55">
              <w:rPr>
                <w:rFonts w:eastAsia="SimSun"/>
                <w:sz w:val="22"/>
              </w:rPr>
              <w:t>розвиток</w:t>
            </w:r>
            <w:proofErr w:type="spellEnd"/>
            <w:r w:rsidRPr="00B74A55">
              <w:rPr>
                <w:rFonts w:eastAsia="SimSun"/>
                <w:sz w:val="22"/>
              </w:rPr>
              <w:t xml:space="preserve"> через </w:t>
            </w:r>
            <w:proofErr w:type="spellStart"/>
            <w:r w:rsidRPr="00B74A55">
              <w:rPr>
                <w:rFonts w:eastAsia="SimSun"/>
                <w:sz w:val="22"/>
              </w:rPr>
              <w:t>інновації</w:t>
            </w:r>
            <w:proofErr w:type="spellEnd"/>
            <w:r w:rsidRPr="00B74A55">
              <w:rPr>
                <w:rFonts w:eastAsia="SimSun"/>
                <w:sz w:val="22"/>
              </w:rPr>
              <w:t xml:space="preserve"> </w:t>
            </w:r>
            <w:proofErr w:type="spellStart"/>
            <w:r w:rsidRPr="00B74A55">
              <w:rPr>
                <w:rFonts w:eastAsia="SimSun"/>
                <w:sz w:val="22"/>
              </w:rPr>
              <w:t>управління</w:t>
            </w:r>
            <w:proofErr w:type="spellEnd"/>
            <w:r w:rsidRPr="00B74A55">
              <w:rPr>
                <w:rFonts w:eastAsia="SimSun"/>
                <w:sz w:val="22"/>
              </w:rPr>
              <w:t xml:space="preserve"> та </w:t>
            </w:r>
            <w:proofErr w:type="spellStart"/>
            <w:r w:rsidRPr="00B74A55">
              <w:rPr>
                <w:rFonts w:eastAsia="SimSun"/>
                <w:sz w:val="22"/>
              </w:rPr>
              <w:t>довіру</w:t>
            </w:r>
            <w:proofErr w:type="spellEnd"/>
            <w:r w:rsidRPr="00B74A55">
              <w:rPr>
                <w:rFonts w:eastAsia="SimSun"/>
                <w:sz w:val="22"/>
              </w:rPr>
              <w:t xml:space="preserve"> до </w:t>
            </w:r>
            <w:proofErr w:type="spellStart"/>
            <w:r w:rsidRPr="00B74A55">
              <w:rPr>
                <w:rFonts w:eastAsia="SimSun"/>
                <w:sz w:val="22"/>
              </w:rPr>
              <w:t>влади</w:t>
            </w:r>
            <w:proofErr w:type="spellEnd"/>
            <w:r w:rsidRPr="00B74A55">
              <w:rPr>
                <w:rFonts w:eastAsia="SimSun"/>
                <w:sz w:val="22"/>
              </w:rPr>
              <w:t xml:space="preserve">. </w:t>
            </w:r>
            <w:proofErr w:type="spellStart"/>
            <w:r w:rsidRPr="00B74A55">
              <w:rPr>
                <w:rFonts w:eastAsia="SimSun"/>
                <w:sz w:val="22"/>
              </w:rPr>
              <w:t>Формування</w:t>
            </w:r>
            <w:proofErr w:type="spellEnd"/>
            <w:r w:rsidRPr="00B74A55">
              <w:rPr>
                <w:rFonts w:eastAsia="SimSun"/>
                <w:sz w:val="22"/>
              </w:rPr>
              <w:t xml:space="preserve"> </w:t>
            </w:r>
            <w:proofErr w:type="spellStart"/>
            <w:r w:rsidRPr="00B74A55">
              <w:rPr>
                <w:rFonts w:eastAsia="SimSun"/>
                <w:sz w:val="22"/>
              </w:rPr>
              <w:t>сучасного</w:t>
            </w:r>
            <w:proofErr w:type="spellEnd"/>
            <w:r w:rsidRPr="00B74A55">
              <w:rPr>
                <w:rFonts w:eastAsia="SimSun"/>
                <w:sz w:val="22"/>
              </w:rPr>
              <w:t xml:space="preserve"> </w:t>
            </w:r>
            <w:proofErr w:type="spellStart"/>
            <w:proofErr w:type="gramStart"/>
            <w:r w:rsidRPr="00B74A55">
              <w:rPr>
                <w:rFonts w:eastAsia="SimSun"/>
                <w:sz w:val="22"/>
              </w:rPr>
              <w:t>інклюзивного</w:t>
            </w:r>
            <w:proofErr w:type="spellEnd"/>
            <w:r w:rsidRPr="00B74A55">
              <w:rPr>
                <w:rFonts w:eastAsia="SimSun"/>
                <w:sz w:val="22"/>
                <w:lang w:val="en-US"/>
              </w:rPr>
              <w:t> </w:t>
            </w:r>
            <w:r w:rsidRPr="00B74A55">
              <w:rPr>
                <w:rFonts w:eastAsia="SimSun"/>
                <w:sz w:val="22"/>
              </w:rPr>
              <w:t xml:space="preserve"> </w:t>
            </w:r>
            <w:proofErr w:type="spellStart"/>
            <w:r w:rsidRPr="00B74A55">
              <w:rPr>
                <w:rFonts w:eastAsia="SimSun"/>
                <w:sz w:val="22"/>
              </w:rPr>
              <w:t>освітньо</w:t>
            </w:r>
            <w:proofErr w:type="spellEnd"/>
            <w:proofErr w:type="gramEnd"/>
            <w:r w:rsidRPr="00B74A55">
              <w:rPr>
                <w:rFonts w:eastAsia="SimSun"/>
                <w:sz w:val="22"/>
              </w:rPr>
              <w:t xml:space="preserve">-культурного та спортивного простору для </w:t>
            </w:r>
            <w:proofErr w:type="spellStart"/>
            <w:r w:rsidRPr="00B74A55">
              <w:rPr>
                <w:rFonts w:eastAsia="SimSun"/>
                <w:sz w:val="22"/>
              </w:rPr>
              <w:t>розвитку</w:t>
            </w:r>
            <w:proofErr w:type="spellEnd"/>
            <w:r w:rsidRPr="00B74A55">
              <w:rPr>
                <w:rFonts w:eastAsia="SimSun"/>
                <w:sz w:val="22"/>
              </w:rPr>
              <w:t>"</w:t>
            </w:r>
          </w:p>
        </w:tc>
      </w:tr>
      <w:tr w:rsidR="003A4A66" w:rsidRPr="00B74A55" w:rsidTr="004843F9">
        <w:tc>
          <w:tcPr>
            <w:tcW w:w="2978" w:type="dxa"/>
            <w:shd w:val="clear" w:color="auto" w:fill="C6D9F1" w:themeFill="text2" w:themeFillTint="33"/>
          </w:tcPr>
          <w:p w:rsidR="003A4A66" w:rsidRPr="00B74A55" w:rsidRDefault="003A4A66" w:rsidP="00CF479C">
            <w:pPr>
              <w:pStyle w:val="a7"/>
              <w:ind w:left="0"/>
              <w:rPr>
                <w:b/>
                <w:sz w:val="22"/>
              </w:rPr>
            </w:pPr>
            <w:proofErr w:type="spellStart"/>
            <w:r w:rsidRPr="00B74A55">
              <w:rPr>
                <w:b/>
                <w:sz w:val="22"/>
              </w:rPr>
              <w:t>Назва</w:t>
            </w:r>
            <w:proofErr w:type="spellEnd"/>
            <w:r w:rsidRPr="00B74A55">
              <w:rPr>
                <w:b/>
                <w:sz w:val="22"/>
              </w:rPr>
              <w:t xml:space="preserve"> проекту:</w:t>
            </w:r>
          </w:p>
        </w:tc>
        <w:tc>
          <w:tcPr>
            <w:tcW w:w="7109" w:type="dxa"/>
            <w:gridSpan w:val="6"/>
          </w:tcPr>
          <w:p w:rsidR="003A4A66" w:rsidRPr="00B74A55" w:rsidRDefault="003A4A66" w:rsidP="00CF479C">
            <w:pPr>
              <w:pStyle w:val="a7"/>
              <w:ind w:left="0"/>
              <w:rPr>
                <w:sz w:val="22"/>
              </w:rPr>
            </w:pPr>
            <w:r w:rsidRPr="00B74A55">
              <w:rPr>
                <w:sz w:val="22"/>
              </w:rPr>
              <w:t>"</w:t>
            </w:r>
            <w:proofErr w:type="spellStart"/>
            <w:r w:rsidRPr="00B74A55">
              <w:rPr>
                <w:sz w:val="22"/>
              </w:rPr>
              <w:t>Безпечна</w:t>
            </w:r>
            <w:proofErr w:type="spellEnd"/>
            <w:r w:rsidRPr="00B74A55">
              <w:rPr>
                <w:sz w:val="22"/>
              </w:rPr>
              <w:t xml:space="preserve"> </w:t>
            </w:r>
            <w:proofErr w:type="spellStart"/>
            <w:r w:rsidRPr="00B74A55">
              <w:rPr>
                <w:sz w:val="22"/>
              </w:rPr>
              <w:t>гімназія</w:t>
            </w:r>
            <w:proofErr w:type="spellEnd"/>
            <w:r w:rsidRPr="00B74A55">
              <w:rPr>
                <w:sz w:val="22"/>
              </w:rPr>
              <w:t xml:space="preserve">" - </w:t>
            </w:r>
            <w:proofErr w:type="spellStart"/>
            <w:r w:rsidRPr="00B74A55">
              <w:rPr>
                <w:sz w:val="22"/>
              </w:rPr>
              <w:t>облаштування</w:t>
            </w:r>
            <w:proofErr w:type="spellEnd"/>
            <w:r w:rsidRPr="00B74A55">
              <w:rPr>
                <w:sz w:val="22"/>
              </w:rPr>
              <w:t xml:space="preserve"> </w:t>
            </w:r>
            <w:proofErr w:type="spellStart"/>
            <w:r w:rsidRPr="00B74A55">
              <w:rPr>
                <w:sz w:val="22"/>
              </w:rPr>
              <w:t>огорожі</w:t>
            </w:r>
            <w:proofErr w:type="spellEnd"/>
            <w:r w:rsidRPr="00B74A55">
              <w:rPr>
                <w:sz w:val="22"/>
              </w:rPr>
              <w:t xml:space="preserve"> </w:t>
            </w:r>
            <w:proofErr w:type="spellStart"/>
            <w:proofErr w:type="gramStart"/>
            <w:r w:rsidRPr="00B74A55">
              <w:rPr>
                <w:sz w:val="22"/>
              </w:rPr>
              <w:t>території</w:t>
            </w:r>
            <w:proofErr w:type="spellEnd"/>
            <w:r w:rsidRPr="00B74A55">
              <w:rPr>
                <w:sz w:val="22"/>
              </w:rPr>
              <w:t xml:space="preserve">  </w:t>
            </w:r>
            <w:proofErr w:type="spellStart"/>
            <w:r w:rsidRPr="00B74A55">
              <w:rPr>
                <w:sz w:val="22"/>
              </w:rPr>
              <w:t>гімназії</w:t>
            </w:r>
            <w:proofErr w:type="spellEnd"/>
            <w:proofErr w:type="gramEnd"/>
            <w:r w:rsidRPr="00B74A55">
              <w:rPr>
                <w:sz w:val="22"/>
              </w:rPr>
              <w:t xml:space="preserve"> № 4 </w:t>
            </w:r>
            <w:proofErr w:type="spellStart"/>
            <w:r w:rsidRPr="00B74A55">
              <w:rPr>
                <w:sz w:val="22"/>
              </w:rPr>
              <w:t>міста</w:t>
            </w:r>
            <w:proofErr w:type="spellEnd"/>
            <w:r w:rsidRPr="00B74A55">
              <w:rPr>
                <w:sz w:val="22"/>
              </w:rPr>
              <w:t xml:space="preserve"> </w:t>
            </w:r>
            <w:proofErr w:type="spellStart"/>
            <w:r w:rsidRPr="00B74A55">
              <w:rPr>
                <w:sz w:val="22"/>
              </w:rPr>
              <w:t>Сєвєродонецька</w:t>
            </w:r>
            <w:proofErr w:type="spellEnd"/>
            <w:r w:rsidRPr="00B74A55">
              <w:rPr>
                <w:sz w:val="22"/>
              </w:rPr>
              <w:t xml:space="preserve"> </w:t>
            </w:r>
            <w:proofErr w:type="spellStart"/>
            <w:r w:rsidRPr="00B74A55">
              <w:rPr>
                <w:sz w:val="22"/>
              </w:rPr>
              <w:t>Луганської</w:t>
            </w:r>
            <w:proofErr w:type="spellEnd"/>
            <w:r w:rsidRPr="00B74A55">
              <w:rPr>
                <w:sz w:val="22"/>
              </w:rPr>
              <w:t xml:space="preserve"> </w:t>
            </w:r>
            <w:proofErr w:type="spellStart"/>
            <w:r w:rsidRPr="00B74A55">
              <w:rPr>
                <w:sz w:val="22"/>
              </w:rPr>
              <w:t>області</w:t>
            </w:r>
            <w:proofErr w:type="spellEnd"/>
            <w:r w:rsidRPr="00B74A55">
              <w:rPr>
                <w:sz w:val="22"/>
              </w:rPr>
              <w:t xml:space="preserve">, </w:t>
            </w:r>
            <w:proofErr w:type="spellStart"/>
            <w:r w:rsidRPr="00B74A55">
              <w:rPr>
                <w:sz w:val="22"/>
              </w:rPr>
              <w:t>вулиця</w:t>
            </w:r>
            <w:proofErr w:type="spellEnd"/>
            <w:r w:rsidRPr="00B74A55">
              <w:rPr>
                <w:sz w:val="22"/>
              </w:rPr>
              <w:t xml:space="preserve"> </w:t>
            </w:r>
            <w:proofErr w:type="spellStart"/>
            <w:r w:rsidRPr="00B74A55">
              <w:rPr>
                <w:sz w:val="22"/>
              </w:rPr>
              <w:t>Гагаріна</w:t>
            </w:r>
            <w:proofErr w:type="spellEnd"/>
            <w:r w:rsidRPr="00B74A55">
              <w:rPr>
                <w:sz w:val="22"/>
              </w:rPr>
              <w:t xml:space="preserve">, </w:t>
            </w:r>
            <w:proofErr w:type="spellStart"/>
            <w:r w:rsidRPr="00B74A55">
              <w:rPr>
                <w:sz w:val="22"/>
              </w:rPr>
              <w:t>будинок</w:t>
            </w:r>
            <w:proofErr w:type="spellEnd"/>
            <w:r w:rsidRPr="00B74A55">
              <w:rPr>
                <w:sz w:val="22"/>
              </w:rPr>
              <w:t xml:space="preserve"> 90</w:t>
            </w:r>
          </w:p>
        </w:tc>
      </w:tr>
      <w:tr w:rsidR="003A4A66" w:rsidRPr="00B74A55" w:rsidTr="004843F9">
        <w:tc>
          <w:tcPr>
            <w:tcW w:w="2978" w:type="dxa"/>
            <w:shd w:val="clear" w:color="auto" w:fill="C6D9F1" w:themeFill="text2" w:themeFillTint="33"/>
          </w:tcPr>
          <w:p w:rsidR="003A4A66" w:rsidRPr="00B74A55" w:rsidRDefault="003A4A66" w:rsidP="00CF479C">
            <w:pPr>
              <w:rPr>
                <w:b/>
                <w:sz w:val="22"/>
              </w:rPr>
            </w:pPr>
            <w:proofErr w:type="spellStart"/>
            <w:r w:rsidRPr="00B74A55">
              <w:rPr>
                <w:b/>
                <w:sz w:val="22"/>
              </w:rPr>
              <w:t>Ціль</w:t>
            </w:r>
            <w:proofErr w:type="spellEnd"/>
            <w:r w:rsidRPr="00B74A55">
              <w:rPr>
                <w:b/>
                <w:sz w:val="22"/>
              </w:rPr>
              <w:t xml:space="preserve"> проекту</w:t>
            </w:r>
          </w:p>
        </w:tc>
        <w:tc>
          <w:tcPr>
            <w:tcW w:w="7109" w:type="dxa"/>
            <w:gridSpan w:val="6"/>
          </w:tcPr>
          <w:p w:rsidR="003A4A66" w:rsidRPr="00B74A55" w:rsidRDefault="003A4A66" w:rsidP="00CF479C">
            <w:pPr>
              <w:pStyle w:val="a7"/>
              <w:ind w:left="0"/>
              <w:rPr>
                <w:sz w:val="22"/>
              </w:rPr>
            </w:pPr>
            <w:proofErr w:type="spellStart"/>
            <w:r w:rsidRPr="00B74A55">
              <w:rPr>
                <w:sz w:val="22"/>
              </w:rPr>
              <w:t>Встановлення</w:t>
            </w:r>
            <w:proofErr w:type="spellEnd"/>
            <w:r w:rsidRPr="00B74A55">
              <w:rPr>
                <w:sz w:val="22"/>
              </w:rPr>
              <w:t xml:space="preserve"> </w:t>
            </w:r>
            <w:proofErr w:type="spellStart"/>
            <w:r w:rsidRPr="00B74A55">
              <w:rPr>
                <w:sz w:val="22"/>
              </w:rPr>
              <w:t>сучасної</w:t>
            </w:r>
            <w:proofErr w:type="spellEnd"/>
            <w:r w:rsidRPr="00B74A55">
              <w:rPr>
                <w:sz w:val="22"/>
              </w:rPr>
              <w:t xml:space="preserve"> </w:t>
            </w:r>
            <w:proofErr w:type="spellStart"/>
            <w:r w:rsidRPr="00B74A55">
              <w:rPr>
                <w:sz w:val="22"/>
              </w:rPr>
              <w:t>огорожі</w:t>
            </w:r>
            <w:proofErr w:type="spellEnd"/>
            <w:r w:rsidRPr="00B74A55">
              <w:rPr>
                <w:sz w:val="22"/>
              </w:rPr>
              <w:t xml:space="preserve"> </w:t>
            </w:r>
            <w:proofErr w:type="spellStart"/>
            <w:r w:rsidRPr="00B74A55">
              <w:rPr>
                <w:sz w:val="22"/>
              </w:rPr>
              <w:t>навколо</w:t>
            </w:r>
            <w:proofErr w:type="spellEnd"/>
            <w:r w:rsidRPr="00B74A55">
              <w:rPr>
                <w:sz w:val="22"/>
              </w:rPr>
              <w:t xml:space="preserve"> закладу </w:t>
            </w:r>
            <w:proofErr w:type="spellStart"/>
            <w:r w:rsidRPr="00B74A55">
              <w:rPr>
                <w:sz w:val="22"/>
              </w:rPr>
              <w:t>освіти</w:t>
            </w:r>
            <w:proofErr w:type="spellEnd"/>
            <w:r w:rsidRPr="00B74A55">
              <w:rPr>
                <w:sz w:val="22"/>
              </w:rPr>
              <w:t xml:space="preserve"> </w:t>
            </w:r>
            <w:proofErr w:type="spellStart"/>
            <w:r w:rsidRPr="00B74A55">
              <w:rPr>
                <w:sz w:val="22"/>
              </w:rPr>
              <w:t>замість</w:t>
            </w:r>
            <w:proofErr w:type="spellEnd"/>
            <w:r w:rsidRPr="00B74A55">
              <w:rPr>
                <w:sz w:val="22"/>
              </w:rPr>
              <w:t xml:space="preserve"> </w:t>
            </w:r>
            <w:proofErr w:type="spellStart"/>
            <w:r w:rsidRPr="00B74A55">
              <w:rPr>
                <w:sz w:val="22"/>
              </w:rPr>
              <w:t>старої</w:t>
            </w:r>
            <w:proofErr w:type="spellEnd"/>
            <w:r w:rsidRPr="00B74A55">
              <w:rPr>
                <w:sz w:val="22"/>
              </w:rPr>
              <w:t xml:space="preserve"> </w:t>
            </w:r>
            <w:proofErr w:type="spellStart"/>
            <w:r w:rsidRPr="00B74A55">
              <w:rPr>
                <w:sz w:val="22"/>
              </w:rPr>
              <w:t>огорожі</w:t>
            </w:r>
            <w:proofErr w:type="spellEnd"/>
            <w:r w:rsidRPr="00B74A55">
              <w:rPr>
                <w:sz w:val="22"/>
              </w:rPr>
              <w:t xml:space="preserve"> на </w:t>
            </w:r>
            <w:proofErr w:type="spellStart"/>
            <w:r w:rsidRPr="00B74A55">
              <w:rPr>
                <w:sz w:val="22"/>
              </w:rPr>
              <w:t>території</w:t>
            </w:r>
            <w:proofErr w:type="spellEnd"/>
            <w:r w:rsidRPr="00B74A55">
              <w:rPr>
                <w:sz w:val="22"/>
              </w:rPr>
              <w:t xml:space="preserve"> </w:t>
            </w:r>
            <w:proofErr w:type="spellStart"/>
            <w:proofErr w:type="gramStart"/>
            <w:r w:rsidRPr="00B74A55">
              <w:rPr>
                <w:sz w:val="22"/>
              </w:rPr>
              <w:t>гімназії</w:t>
            </w:r>
            <w:proofErr w:type="spellEnd"/>
            <w:r w:rsidRPr="00B74A55">
              <w:rPr>
                <w:sz w:val="22"/>
              </w:rPr>
              <w:t xml:space="preserve">  №</w:t>
            </w:r>
            <w:proofErr w:type="gramEnd"/>
            <w:r w:rsidRPr="00B74A55">
              <w:rPr>
                <w:sz w:val="22"/>
              </w:rPr>
              <w:t xml:space="preserve"> 4  для </w:t>
            </w:r>
            <w:proofErr w:type="spellStart"/>
            <w:r w:rsidRPr="00B74A55">
              <w:rPr>
                <w:sz w:val="22"/>
              </w:rPr>
              <w:t>організації</w:t>
            </w:r>
            <w:proofErr w:type="spellEnd"/>
            <w:r w:rsidRPr="00B74A55">
              <w:rPr>
                <w:sz w:val="22"/>
              </w:rPr>
              <w:t xml:space="preserve">  </w:t>
            </w:r>
            <w:proofErr w:type="spellStart"/>
            <w:r w:rsidRPr="00B74A55">
              <w:rPr>
                <w:sz w:val="22"/>
              </w:rPr>
              <w:t>сучасного</w:t>
            </w:r>
            <w:proofErr w:type="spellEnd"/>
            <w:r w:rsidRPr="00B74A55">
              <w:rPr>
                <w:sz w:val="22"/>
              </w:rPr>
              <w:t xml:space="preserve">, комфортного, </w:t>
            </w:r>
            <w:proofErr w:type="spellStart"/>
            <w:r w:rsidRPr="00B74A55">
              <w:rPr>
                <w:sz w:val="22"/>
              </w:rPr>
              <w:t>безпечного</w:t>
            </w:r>
            <w:proofErr w:type="spellEnd"/>
            <w:r w:rsidRPr="00B74A55">
              <w:rPr>
                <w:sz w:val="22"/>
              </w:rPr>
              <w:t xml:space="preserve"> і </w:t>
            </w:r>
            <w:proofErr w:type="spellStart"/>
            <w:r w:rsidRPr="00B74A55">
              <w:rPr>
                <w:sz w:val="22"/>
              </w:rPr>
              <w:t>якісного</w:t>
            </w:r>
            <w:proofErr w:type="spellEnd"/>
            <w:r w:rsidRPr="00B74A55">
              <w:rPr>
                <w:sz w:val="22"/>
              </w:rPr>
              <w:t xml:space="preserve"> </w:t>
            </w:r>
            <w:proofErr w:type="spellStart"/>
            <w:r w:rsidRPr="00B74A55">
              <w:rPr>
                <w:sz w:val="22"/>
              </w:rPr>
              <w:t>освітнього</w:t>
            </w:r>
            <w:proofErr w:type="spellEnd"/>
            <w:r w:rsidRPr="00B74A55">
              <w:rPr>
                <w:sz w:val="22"/>
              </w:rPr>
              <w:t xml:space="preserve"> </w:t>
            </w:r>
            <w:proofErr w:type="spellStart"/>
            <w:r w:rsidRPr="00B74A55">
              <w:rPr>
                <w:sz w:val="22"/>
              </w:rPr>
              <w:t>процесу</w:t>
            </w:r>
            <w:proofErr w:type="spellEnd"/>
            <w:r w:rsidRPr="00B74A55">
              <w:rPr>
                <w:sz w:val="22"/>
              </w:rPr>
              <w:t xml:space="preserve"> в </w:t>
            </w:r>
            <w:proofErr w:type="spellStart"/>
            <w:r w:rsidRPr="00B74A55">
              <w:rPr>
                <w:sz w:val="22"/>
              </w:rPr>
              <w:t>умовах</w:t>
            </w:r>
            <w:proofErr w:type="spellEnd"/>
            <w:r w:rsidRPr="00B74A55">
              <w:rPr>
                <w:sz w:val="22"/>
              </w:rPr>
              <w:t xml:space="preserve"> </w:t>
            </w:r>
            <w:proofErr w:type="spellStart"/>
            <w:r w:rsidRPr="00B74A55">
              <w:rPr>
                <w:sz w:val="22"/>
              </w:rPr>
              <w:t>деокупації</w:t>
            </w:r>
            <w:proofErr w:type="spellEnd"/>
            <w:r w:rsidRPr="00B74A55">
              <w:rPr>
                <w:sz w:val="22"/>
              </w:rPr>
              <w:t xml:space="preserve"> </w:t>
            </w:r>
            <w:proofErr w:type="spellStart"/>
            <w:r w:rsidRPr="00B74A55">
              <w:rPr>
                <w:sz w:val="22"/>
              </w:rPr>
              <w:t>від</w:t>
            </w:r>
            <w:proofErr w:type="spellEnd"/>
            <w:r w:rsidRPr="00B74A55">
              <w:rPr>
                <w:sz w:val="22"/>
              </w:rPr>
              <w:t xml:space="preserve"> </w:t>
            </w:r>
            <w:proofErr w:type="spellStart"/>
            <w:r w:rsidRPr="00B74A55">
              <w:rPr>
                <w:sz w:val="22"/>
              </w:rPr>
              <w:t>агресії</w:t>
            </w:r>
            <w:proofErr w:type="spellEnd"/>
            <w:r w:rsidRPr="00B74A55">
              <w:rPr>
                <w:sz w:val="22"/>
              </w:rPr>
              <w:t xml:space="preserve"> </w:t>
            </w:r>
            <w:r w:rsidR="00431CC3" w:rsidRPr="00B74A55">
              <w:rPr>
                <w:sz w:val="22"/>
              </w:rPr>
              <w:t>РФ</w:t>
            </w:r>
            <w:r w:rsidRPr="00B74A55">
              <w:rPr>
                <w:sz w:val="22"/>
              </w:rPr>
              <w:t xml:space="preserve"> на </w:t>
            </w:r>
            <w:proofErr w:type="spellStart"/>
            <w:r w:rsidRPr="00B74A55">
              <w:rPr>
                <w:sz w:val="22"/>
              </w:rPr>
              <w:t>території</w:t>
            </w:r>
            <w:proofErr w:type="spellEnd"/>
            <w:r w:rsidRPr="00B74A55">
              <w:rPr>
                <w:sz w:val="22"/>
              </w:rPr>
              <w:t xml:space="preserve"> м. </w:t>
            </w:r>
            <w:proofErr w:type="spellStart"/>
            <w:r w:rsidRPr="00B74A55">
              <w:rPr>
                <w:sz w:val="22"/>
              </w:rPr>
              <w:t>Сєвєродонецька</w:t>
            </w:r>
            <w:proofErr w:type="spellEnd"/>
            <w:r w:rsidRPr="00B74A55">
              <w:rPr>
                <w:sz w:val="22"/>
              </w:rPr>
              <w:t xml:space="preserve"> </w:t>
            </w:r>
            <w:proofErr w:type="spellStart"/>
            <w:r w:rsidRPr="00B74A55">
              <w:rPr>
                <w:sz w:val="22"/>
              </w:rPr>
              <w:t>Сєвєродонецької</w:t>
            </w:r>
            <w:proofErr w:type="spellEnd"/>
            <w:r w:rsidRPr="00B74A55">
              <w:rPr>
                <w:sz w:val="22"/>
              </w:rPr>
              <w:t xml:space="preserve"> </w:t>
            </w:r>
            <w:proofErr w:type="spellStart"/>
            <w:r w:rsidRPr="00B74A55">
              <w:rPr>
                <w:sz w:val="22"/>
              </w:rPr>
              <w:t>міської</w:t>
            </w:r>
            <w:proofErr w:type="spellEnd"/>
            <w:r w:rsidRPr="00B74A55">
              <w:rPr>
                <w:sz w:val="22"/>
              </w:rPr>
              <w:t xml:space="preserve"> </w:t>
            </w:r>
            <w:proofErr w:type="spellStart"/>
            <w:r w:rsidRPr="00B74A55">
              <w:rPr>
                <w:sz w:val="22"/>
              </w:rPr>
              <w:t>територіальної</w:t>
            </w:r>
            <w:proofErr w:type="spellEnd"/>
            <w:r w:rsidRPr="00B74A55">
              <w:rPr>
                <w:sz w:val="22"/>
              </w:rPr>
              <w:t xml:space="preserve"> </w:t>
            </w:r>
            <w:proofErr w:type="spellStart"/>
            <w:r w:rsidRPr="00B74A55">
              <w:rPr>
                <w:sz w:val="22"/>
              </w:rPr>
              <w:t>громади</w:t>
            </w:r>
            <w:proofErr w:type="spellEnd"/>
            <w:r w:rsidRPr="00B74A55">
              <w:rPr>
                <w:sz w:val="22"/>
              </w:rPr>
              <w:t xml:space="preserve"> </w:t>
            </w:r>
            <w:proofErr w:type="spellStart"/>
            <w:r w:rsidRPr="00B74A55">
              <w:rPr>
                <w:sz w:val="22"/>
              </w:rPr>
              <w:t>Луганської</w:t>
            </w:r>
            <w:proofErr w:type="spellEnd"/>
            <w:r w:rsidRPr="00B74A55">
              <w:rPr>
                <w:sz w:val="22"/>
              </w:rPr>
              <w:t xml:space="preserve"> </w:t>
            </w:r>
            <w:proofErr w:type="spellStart"/>
            <w:r w:rsidRPr="00B74A55">
              <w:rPr>
                <w:sz w:val="22"/>
              </w:rPr>
              <w:t>області</w:t>
            </w:r>
            <w:proofErr w:type="spellEnd"/>
            <w:r w:rsidRPr="00B74A55">
              <w:rPr>
                <w:sz w:val="22"/>
              </w:rPr>
              <w:t xml:space="preserve">. </w:t>
            </w:r>
            <w:proofErr w:type="spellStart"/>
            <w:r w:rsidRPr="00B74A55">
              <w:rPr>
                <w:sz w:val="22"/>
              </w:rPr>
              <w:t>Створення</w:t>
            </w:r>
            <w:proofErr w:type="spellEnd"/>
            <w:r w:rsidRPr="00B74A55">
              <w:rPr>
                <w:sz w:val="22"/>
              </w:rPr>
              <w:t xml:space="preserve"> у </w:t>
            </w:r>
            <w:proofErr w:type="spellStart"/>
            <w:proofErr w:type="gramStart"/>
            <w:r w:rsidRPr="00B74A55">
              <w:rPr>
                <w:sz w:val="22"/>
              </w:rPr>
              <w:t>подальшому</w:t>
            </w:r>
            <w:proofErr w:type="spellEnd"/>
            <w:r w:rsidRPr="00B74A55">
              <w:rPr>
                <w:sz w:val="22"/>
              </w:rPr>
              <w:t xml:space="preserve">  </w:t>
            </w:r>
            <w:proofErr w:type="spellStart"/>
            <w:r w:rsidRPr="00B74A55">
              <w:rPr>
                <w:sz w:val="22"/>
              </w:rPr>
              <w:t>безпечного</w:t>
            </w:r>
            <w:proofErr w:type="spellEnd"/>
            <w:proofErr w:type="gramEnd"/>
            <w:r w:rsidRPr="00B74A55">
              <w:rPr>
                <w:sz w:val="22"/>
              </w:rPr>
              <w:t xml:space="preserve"> простору </w:t>
            </w:r>
            <w:proofErr w:type="spellStart"/>
            <w:r w:rsidRPr="00B74A55">
              <w:rPr>
                <w:sz w:val="22"/>
              </w:rPr>
              <w:t>всіх</w:t>
            </w:r>
            <w:proofErr w:type="spellEnd"/>
            <w:r w:rsidRPr="00B74A55">
              <w:rPr>
                <w:sz w:val="22"/>
              </w:rPr>
              <w:t xml:space="preserve"> </w:t>
            </w:r>
            <w:proofErr w:type="spellStart"/>
            <w:r w:rsidRPr="00B74A55">
              <w:rPr>
                <w:sz w:val="22"/>
              </w:rPr>
              <w:t>учасників</w:t>
            </w:r>
            <w:proofErr w:type="spellEnd"/>
            <w:r w:rsidRPr="00B74A55">
              <w:rPr>
                <w:sz w:val="22"/>
              </w:rPr>
              <w:t xml:space="preserve"> </w:t>
            </w:r>
            <w:proofErr w:type="spellStart"/>
            <w:r w:rsidRPr="00B74A55">
              <w:rPr>
                <w:sz w:val="22"/>
              </w:rPr>
              <w:t>освітнього</w:t>
            </w:r>
            <w:proofErr w:type="spellEnd"/>
            <w:r w:rsidRPr="00B74A55">
              <w:rPr>
                <w:sz w:val="22"/>
              </w:rPr>
              <w:t xml:space="preserve"> </w:t>
            </w:r>
            <w:proofErr w:type="spellStart"/>
            <w:r w:rsidRPr="00B74A55">
              <w:rPr>
                <w:sz w:val="22"/>
              </w:rPr>
              <w:t>процесу</w:t>
            </w:r>
            <w:proofErr w:type="spellEnd"/>
            <w:r w:rsidRPr="00B74A55">
              <w:rPr>
                <w:sz w:val="22"/>
              </w:rPr>
              <w:t xml:space="preserve">. </w:t>
            </w:r>
          </w:p>
        </w:tc>
      </w:tr>
      <w:tr w:rsidR="003A4A66" w:rsidRPr="00B74A55" w:rsidTr="004843F9">
        <w:tc>
          <w:tcPr>
            <w:tcW w:w="2978" w:type="dxa"/>
            <w:shd w:val="clear" w:color="auto" w:fill="C6D9F1" w:themeFill="text2" w:themeFillTint="33"/>
          </w:tcPr>
          <w:p w:rsidR="003A4A66" w:rsidRPr="00B74A55" w:rsidRDefault="003A4A66" w:rsidP="00CF479C">
            <w:pPr>
              <w:pStyle w:val="a7"/>
              <w:ind w:left="0"/>
              <w:rPr>
                <w:b/>
                <w:sz w:val="22"/>
              </w:rPr>
            </w:pPr>
            <w:proofErr w:type="spellStart"/>
            <w:r w:rsidRPr="00B74A55">
              <w:rPr>
                <w:b/>
                <w:sz w:val="22"/>
              </w:rPr>
              <w:lastRenderedPageBreak/>
              <w:t>Територія</w:t>
            </w:r>
            <w:proofErr w:type="spellEnd"/>
            <w:r w:rsidRPr="00B74A55">
              <w:rPr>
                <w:b/>
                <w:sz w:val="22"/>
              </w:rPr>
              <w:t xml:space="preserve">, </w:t>
            </w:r>
            <w:proofErr w:type="gramStart"/>
            <w:r w:rsidRPr="00B74A55">
              <w:rPr>
                <w:b/>
                <w:sz w:val="22"/>
              </w:rPr>
              <w:t>на яку</w:t>
            </w:r>
            <w:proofErr w:type="gramEnd"/>
            <w:r w:rsidRPr="00B74A55">
              <w:rPr>
                <w:b/>
                <w:sz w:val="22"/>
              </w:rPr>
              <w:t xml:space="preserve"> </w:t>
            </w:r>
            <w:proofErr w:type="spellStart"/>
            <w:r w:rsidRPr="00B74A55">
              <w:rPr>
                <w:b/>
                <w:sz w:val="22"/>
              </w:rPr>
              <w:t>матиме</w:t>
            </w:r>
            <w:proofErr w:type="spellEnd"/>
            <w:r w:rsidRPr="00B74A55">
              <w:rPr>
                <w:b/>
                <w:sz w:val="22"/>
              </w:rPr>
              <w:t xml:space="preserve"> </w:t>
            </w:r>
            <w:proofErr w:type="spellStart"/>
            <w:r w:rsidRPr="00B74A55">
              <w:rPr>
                <w:b/>
                <w:sz w:val="22"/>
              </w:rPr>
              <w:t>вплив</w:t>
            </w:r>
            <w:proofErr w:type="spellEnd"/>
            <w:r w:rsidRPr="00B74A55">
              <w:rPr>
                <w:b/>
                <w:sz w:val="22"/>
              </w:rPr>
              <w:t xml:space="preserve"> </w:t>
            </w:r>
            <w:proofErr w:type="spellStart"/>
            <w:r w:rsidRPr="00B74A55">
              <w:rPr>
                <w:b/>
                <w:sz w:val="22"/>
              </w:rPr>
              <w:t>реалізація</w:t>
            </w:r>
            <w:proofErr w:type="spellEnd"/>
            <w:r w:rsidRPr="00B74A55">
              <w:rPr>
                <w:b/>
                <w:sz w:val="22"/>
              </w:rPr>
              <w:t xml:space="preserve"> проекту</w:t>
            </w:r>
          </w:p>
        </w:tc>
        <w:tc>
          <w:tcPr>
            <w:tcW w:w="7109" w:type="dxa"/>
            <w:gridSpan w:val="6"/>
          </w:tcPr>
          <w:p w:rsidR="003A4A66" w:rsidRPr="00B74A55" w:rsidRDefault="003A4A66" w:rsidP="00CF479C">
            <w:pPr>
              <w:pStyle w:val="a7"/>
              <w:ind w:left="0"/>
              <w:rPr>
                <w:sz w:val="22"/>
              </w:rPr>
            </w:pPr>
            <w:proofErr w:type="spellStart"/>
            <w:r w:rsidRPr="00B74A55">
              <w:rPr>
                <w:sz w:val="22"/>
              </w:rPr>
              <w:t>Сєвєродонецька</w:t>
            </w:r>
            <w:proofErr w:type="spellEnd"/>
            <w:r w:rsidRPr="00B74A55">
              <w:rPr>
                <w:sz w:val="22"/>
              </w:rPr>
              <w:t xml:space="preserve"> </w:t>
            </w:r>
            <w:proofErr w:type="spellStart"/>
            <w:r w:rsidRPr="00B74A55">
              <w:rPr>
                <w:sz w:val="22"/>
              </w:rPr>
              <w:t>міська</w:t>
            </w:r>
            <w:proofErr w:type="spellEnd"/>
            <w:r w:rsidRPr="00B74A55">
              <w:rPr>
                <w:sz w:val="22"/>
              </w:rPr>
              <w:t xml:space="preserve"> </w:t>
            </w:r>
            <w:proofErr w:type="spellStart"/>
            <w:r w:rsidRPr="00B74A55">
              <w:rPr>
                <w:sz w:val="22"/>
              </w:rPr>
              <w:t>територіальна</w:t>
            </w:r>
            <w:proofErr w:type="spellEnd"/>
            <w:r w:rsidRPr="00B74A55">
              <w:rPr>
                <w:sz w:val="22"/>
              </w:rPr>
              <w:t xml:space="preserve"> громада</w:t>
            </w:r>
          </w:p>
        </w:tc>
      </w:tr>
      <w:tr w:rsidR="003A4A66" w:rsidRPr="00B74A55" w:rsidTr="004843F9">
        <w:tc>
          <w:tcPr>
            <w:tcW w:w="2978" w:type="dxa"/>
            <w:shd w:val="clear" w:color="auto" w:fill="C6D9F1" w:themeFill="text2" w:themeFillTint="33"/>
          </w:tcPr>
          <w:p w:rsidR="003A4A66" w:rsidRPr="00B74A55" w:rsidRDefault="003A4A66" w:rsidP="00CF479C">
            <w:pPr>
              <w:pStyle w:val="a7"/>
              <w:ind w:left="0"/>
              <w:rPr>
                <w:b/>
                <w:sz w:val="22"/>
              </w:rPr>
            </w:pPr>
            <w:proofErr w:type="spellStart"/>
            <w:r w:rsidRPr="00B74A55">
              <w:rPr>
                <w:b/>
                <w:sz w:val="22"/>
              </w:rPr>
              <w:t>Чисельність</w:t>
            </w:r>
            <w:proofErr w:type="spellEnd"/>
            <w:r w:rsidRPr="00B74A55">
              <w:rPr>
                <w:b/>
                <w:sz w:val="22"/>
              </w:rPr>
              <w:t xml:space="preserve"> </w:t>
            </w:r>
            <w:proofErr w:type="spellStart"/>
            <w:r w:rsidRPr="00B74A55">
              <w:rPr>
                <w:b/>
                <w:sz w:val="22"/>
              </w:rPr>
              <w:t>населення</w:t>
            </w:r>
            <w:proofErr w:type="spellEnd"/>
            <w:r w:rsidRPr="00B74A55">
              <w:rPr>
                <w:b/>
                <w:sz w:val="22"/>
              </w:rPr>
              <w:t xml:space="preserve">, на яке </w:t>
            </w:r>
            <w:proofErr w:type="spellStart"/>
            <w:r w:rsidRPr="00B74A55">
              <w:rPr>
                <w:b/>
                <w:sz w:val="22"/>
              </w:rPr>
              <w:t>матиме</w:t>
            </w:r>
            <w:proofErr w:type="spellEnd"/>
            <w:r w:rsidRPr="00B74A55">
              <w:rPr>
                <w:b/>
                <w:sz w:val="22"/>
              </w:rPr>
              <w:t xml:space="preserve"> </w:t>
            </w:r>
            <w:proofErr w:type="spellStart"/>
            <w:r w:rsidRPr="00B74A55">
              <w:rPr>
                <w:b/>
                <w:sz w:val="22"/>
              </w:rPr>
              <w:t>вплив</w:t>
            </w:r>
            <w:proofErr w:type="spellEnd"/>
            <w:r w:rsidRPr="00B74A55">
              <w:rPr>
                <w:b/>
                <w:sz w:val="22"/>
              </w:rPr>
              <w:t xml:space="preserve"> </w:t>
            </w:r>
            <w:proofErr w:type="spellStart"/>
            <w:r w:rsidRPr="00B74A55">
              <w:rPr>
                <w:b/>
                <w:sz w:val="22"/>
              </w:rPr>
              <w:t>реалізація</w:t>
            </w:r>
            <w:proofErr w:type="spellEnd"/>
            <w:r w:rsidRPr="00B74A55">
              <w:rPr>
                <w:b/>
                <w:sz w:val="22"/>
              </w:rPr>
              <w:t xml:space="preserve"> проекту</w:t>
            </w:r>
          </w:p>
        </w:tc>
        <w:tc>
          <w:tcPr>
            <w:tcW w:w="7109" w:type="dxa"/>
            <w:gridSpan w:val="6"/>
          </w:tcPr>
          <w:p w:rsidR="003A4A66" w:rsidRPr="00B74A55" w:rsidRDefault="003A4A66" w:rsidP="00CF479C">
            <w:pPr>
              <w:pStyle w:val="a7"/>
              <w:ind w:left="0"/>
              <w:rPr>
                <w:sz w:val="22"/>
              </w:rPr>
            </w:pPr>
            <w:r w:rsidRPr="00B74A55">
              <w:rPr>
                <w:sz w:val="22"/>
              </w:rPr>
              <w:t xml:space="preserve"> 70 </w:t>
            </w:r>
            <w:proofErr w:type="gramStart"/>
            <w:r w:rsidRPr="00B74A55">
              <w:rPr>
                <w:sz w:val="22"/>
              </w:rPr>
              <w:t xml:space="preserve">000  </w:t>
            </w:r>
            <w:proofErr w:type="spellStart"/>
            <w:r w:rsidRPr="00B74A55">
              <w:rPr>
                <w:sz w:val="22"/>
              </w:rPr>
              <w:t>осіб</w:t>
            </w:r>
            <w:proofErr w:type="spellEnd"/>
            <w:proofErr w:type="gramEnd"/>
          </w:p>
        </w:tc>
      </w:tr>
      <w:tr w:rsidR="003A4A66" w:rsidRPr="00B74A55" w:rsidTr="004843F9">
        <w:tc>
          <w:tcPr>
            <w:tcW w:w="2978" w:type="dxa"/>
            <w:shd w:val="clear" w:color="auto" w:fill="C6D9F1" w:themeFill="text2" w:themeFillTint="33"/>
          </w:tcPr>
          <w:p w:rsidR="003A4A66" w:rsidRPr="00B74A55" w:rsidRDefault="003A4A66" w:rsidP="00CF479C">
            <w:pPr>
              <w:rPr>
                <w:b/>
                <w:sz w:val="22"/>
              </w:rPr>
            </w:pPr>
            <w:proofErr w:type="spellStart"/>
            <w:r w:rsidRPr="00B74A55">
              <w:rPr>
                <w:b/>
                <w:sz w:val="22"/>
              </w:rPr>
              <w:t>Опис</w:t>
            </w:r>
            <w:proofErr w:type="spellEnd"/>
            <w:r w:rsidRPr="00B74A55">
              <w:rPr>
                <w:b/>
                <w:sz w:val="22"/>
              </w:rPr>
              <w:t xml:space="preserve"> </w:t>
            </w:r>
            <w:proofErr w:type="spellStart"/>
            <w:r w:rsidRPr="00B74A55">
              <w:rPr>
                <w:b/>
                <w:sz w:val="22"/>
              </w:rPr>
              <w:t>проблеми</w:t>
            </w:r>
            <w:proofErr w:type="spellEnd"/>
            <w:r w:rsidRPr="00B74A55">
              <w:rPr>
                <w:b/>
                <w:sz w:val="22"/>
              </w:rPr>
              <w:t xml:space="preserve">, на </w:t>
            </w:r>
            <w:proofErr w:type="spellStart"/>
            <w:r w:rsidRPr="00B74A55">
              <w:rPr>
                <w:b/>
                <w:sz w:val="22"/>
              </w:rPr>
              <w:t>вирішення</w:t>
            </w:r>
            <w:proofErr w:type="spellEnd"/>
            <w:r w:rsidRPr="00B74A55">
              <w:rPr>
                <w:b/>
                <w:sz w:val="22"/>
              </w:rPr>
              <w:t xml:space="preserve"> </w:t>
            </w:r>
            <w:proofErr w:type="spellStart"/>
            <w:proofErr w:type="gramStart"/>
            <w:r w:rsidRPr="00B74A55">
              <w:rPr>
                <w:b/>
                <w:sz w:val="22"/>
              </w:rPr>
              <w:t>якої</w:t>
            </w:r>
            <w:proofErr w:type="spellEnd"/>
            <w:r w:rsidRPr="00B74A55">
              <w:rPr>
                <w:b/>
                <w:sz w:val="22"/>
              </w:rPr>
              <w:t xml:space="preserve">  </w:t>
            </w:r>
            <w:proofErr w:type="spellStart"/>
            <w:r w:rsidRPr="00B74A55">
              <w:rPr>
                <w:b/>
                <w:sz w:val="22"/>
              </w:rPr>
              <w:t>спрямований</w:t>
            </w:r>
            <w:proofErr w:type="spellEnd"/>
            <w:proofErr w:type="gramEnd"/>
            <w:r w:rsidRPr="00B74A55">
              <w:rPr>
                <w:b/>
                <w:sz w:val="22"/>
              </w:rPr>
              <w:t xml:space="preserve"> проект</w:t>
            </w:r>
          </w:p>
        </w:tc>
        <w:tc>
          <w:tcPr>
            <w:tcW w:w="7109" w:type="dxa"/>
            <w:gridSpan w:val="6"/>
          </w:tcPr>
          <w:p w:rsidR="003A4A66" w:rsidRPr="00B74A55" w:rsidRDefault="003A4A66" w:rsidP="00CF479C">
            <w:pPr>
              <w:ind w:firstLine="708"/>
              <w:rPr>
                <w:sz w:val="22"/>
              </w:rPr>
            </w:pPr>
            <w:r w:rsidRPr="00B74A55">
              <w:rPr>
                <w:sz w:val="22"/>
              </w:rPr>
              <w:t xml:space="preserve">Через </w:t>
            </w:r>
            <w:proofErr w:type="spellStart"/>
            <w:r w:rsidRPr="00B74A55">
              <w:rPr>
                <w:sz w:val="22"/>
              </w:rPr>
              <w:t>військову</w:t>
            </w:r>
            <w:proofErr w:type="spellEnd"/>
            <w:r w:rsidRPr="00B74A55">
              <w:rPr>
                <w:sz w:val="22"/>
              </w:rPr>
              <w:t xml:space="preserve"> </w:t>
            </w:r>
            <w:proofErr w:type="spellStart"/>
            <w:r w:rsidRPr="00B74A55">
              <w:rPr>
                <w:sz w:val="22"/>
              </w:rPr>
              <w:t>агресію</w:t>
            </w:r>
            <w:proofErr w:type="spellEnd"/>
            <w:r w:rsidRPr="00B74A55">
              <w:rPr>
                <w:sz w:val="22"/>
              </w:rPr>
              <w:t xml:space="preserve"> </w:t>
            </w:r>
            <w:r w:rsidR="00431CC3" w:rsidRPr="00B74A55">
              <w:rPr>
                <w:sz w:val="22"/>
              </w:rPr>
              <w:t>РФ</w:t>
            </w:r>
            <w:r w:rsidRPr="00B74A55">
              <w:rPr>
                <w:sz w:val="22"/>
              </w:rPr>
              <w:t xml:space="preserve"> </w:t>
            </w:r>
            <w:proofErr w:type="spellStart"/>
            <w:r w:rsidRPr="00B74A55">
              <w:rPr>
                <w:sz w:val="22"/>
              </w:rPr>
              <w:t>територія</w:t>
            </w:r>
            <w:proofErr w:type="spellEnd"/>
            <w:r w:rsidRPr="00B74A55">
              <w:rPr>
                <w:sz w:val="22"/>
              </w:rPr>
              <w:t xml:space="preserve"> </w:t>
            </w:r>
            <w:proofErr w:type="spellStart"/>
            <w:r w:rsidRPr="00B74A55">
              <w:rPr>
                <w:sz w:val="22"/>
              </w:rPr>
              <w:t>Сєвєродонецької</w:t>
            </w:r>
            <w:proofErr w:type="spellEnd"/>
            <w:r w:rsidRPr="00B74A55">
              <w:rPr>
                <w:sz w:val="22"/>
              </w:rPr>
              <w:t xml:space="preserve"> </w:t>
            </w:r>
            <w:proofErr w:type="spellStart"/>
            <w:r w:rsidRPr="00B74A55">
              <w:rPr>
                <w:sz w:val="22"/>
              </w:rPr>
              <w:t>міської</w:t>
            </w:r>
            <w:proofErr w:type="spellEnd"/>
            <w:r w:rsidRPr="00B74A55">
              <w:rPr>
                <w:sz w:val="22"/>
              </w:rPr>
              <w:t xml:space="preserve"> </w:t>
            </w:r>
            <w:proofErr w:type="spellStart"/>
            <w:r w:rsidRPr="00B74A55">
              <w:rPr>
                <w:sz w:val="22"/>
              </w:rPr>
              <w:t>територіальної</w:t>
            </w:r>
            <w:proofErr w:type="spellEnd"/>
            <w:r w:rsidRPr="00B74A55">
              <w:rPr>
                <w:sz w:val="22"/>
              </w:rPr>
              <w:t xml:space="preserve"> </w:t>
            </w:r>
            <w:proofErr w:type="spellStart"/>
            <w:r w:rsidRPr="00B74A55">
              <w:rPr>
                <w:sz w:val="22"/>
              </w:rPr>
              <w:t>громади</w:t>
            </w:r>
            <w:proofErr w:type="spellEnd"/>
            <w:r w:rsidRPr="00B74A55">
              <w:rPr>
                <w:sz w:val="22"/>
              </w:rPr>
              <w:t xml:space="preserve"> </w:t>
            </w:r>
            <w:proofErr w:type="spellStart"/>
            <w:r w:rsidRPr="00B74A55">
              <w:rPr>
                <w:sz w:val="22"/>
              </w:rPr>
              <w:t>зазнала</w:t>
            </w:r>
            <w:proofErr w:type="spellEnd"/>
            <w:r w:rsidRPr="00B74A55">
              <w:rPr>
                <w:sz w:val="22"/>
              </w:rPr>
              <w:t xml:space="preserve"> </w:t>
            </w:r>
            <w:proofErr w:type="spellStart"/>
            <w:r w:rsidRPr="00B74A55">
              <w:rPr>
                <w:sz w:val="22"/>
              </w:rPr>
              <w:t>значних</w:t>
            </w:r>
            <w:proofErr w:type="spellEnd"/>
            <w:r w:rsidRPr="00B74A55">
              <w:rPr>
                <w:sz w:val="22"/>
              </w:rPr>
              <w:t xml:space="preserve"> </w:t>
            </w:r>
            <w:proofErr w:type="spellStart"/>
            <w:r w:rsidRPr="00B74A55">
              <w:rPr>
                <w:sz w:val="22"/>
              </w:rPr>
              <w:t>пошкоджень</w:t>
            </w:r>
            <w:proofErr w:type="spellEnd"/>
            <w:r w:rsidRPr="00B74A55">
              <w:rPr>
                <w:sz w:val="22"/>
              </w:rPr>
              <w:t xml:space="preserve">. Не </w:t>
            </w:r>
            <w:proofErr w:type="spellStart"/>
            <w:r w:rsidRPr="00B74A55">
              <w:rPr>
                <w:sz w:val="22"/>
              </w:rPr>
              <w:t>оминуло</w:t>
            </w:r>
            <w:proofErr w:type="spellEnd"/>
            <w:r w:rsidRPr="00B74A55">
              <w:rPr>
                <w:sz w:val="22"/>
              </w:rPr>
              <w:t xml:space="preserve"> це і </w:t>
            </w:r>
            <w:proofErr w:type="spellStart"/>
            <w:r w:rsidRPr="00B74A55">
              <w:rPr>
                <w:sz w:val="22"/>
              </w:rPr>
              <w:t>гімназію</w:t>
            </w:r>
            <w:proofErr w:type="spellEnd"/>
            <w:r w:rsidRPr="00B74A55">
              <w:rPr>
                <w:sz w:val="22"/>
              </w:rPr>
              <w:t xml:space="preserve"> № 4 </w:t>
            </w:r>
            <w:proofErr w:type="spellStart"/>
            <w:r w:rsidRPr="00B74A55">
              <w:rPr>
                <w:sz w:val="22"/>
              </w:rPr>
              <w:t>міста</w:t>
            </w:r>
            <w:proofErr w:type="spellEnd"/>
            <w:r w:rsidRPr="00B74A55">
              <w:rPr>
                <w:sz w:val="22"/>
              </w:rPr>
              <w:t xml:space="preserve"> </w:t>
            </w:r>
            <w:proofErr w:type="spellStart"/>
            <w:r w:rsidRPr="00B74A55">
              <w:rPr>
                <w:sz w:val="22"/>
              </w:rPr>
              <w:t>Сєвєродонецька</w:t>
            </w:r>
            <w:proofErr w:type="spellEnd"/>
            <w:r w:rsidRPr="00B74A55">
              <w:rPr>
                <w:sz w:val="22"/>
              </w:rPr>
              <w:t xml:space="preserve"> </w:t>
            </w:r>
            <w:proofErr w:type="spellStart"/>
            <w:r w:rsidRPr="00B74A55">
              <w:rPr>
                <w:sz w:val="22"/>
              </w:rPr>
              <w:t>Луганської</w:t>
            </w:r>
            <w:proofErr w:type="spellEnd"/>
            <w:r w:rsidRPr="00B74A55">
              <w:rPr>
                <w:sz w:val="22"/>
              </w:rPr>
              <w:t xml:space="preserve"> </w:t>
            </w:r>
            <w:proofErr w:type="spellStart"/>
            <w:r w:rsidRPr="00B74A55">
              <w:rPr>
                <w:sz w:val="22"/>
              </w:rPr>
              <w:t>області</w:t>
            </w:r>
            <w:proofErr w:type="spellEnd"/>
            <w:r w:rsidRPr="00B74A55">
              <w:rPr>
                <w:sz w:val="22"/>
              </w:rPr>
              <w:t>.</w:t>
            </w:r>
          </w:p>
          <w:p w:rsidR="003A4A66" w:rsidRPr="00B74A55" w:rsidRDefault="003A4A66" w:rsidP="00CF479C">
            <w:pPr>
              <w:ind w:firstLine="708"/>
              <w:rPr>
                <w:sz w:val="22"/>
              </w:rPr>
            </w:pPr>
            <w:r w:rsidRPr="00B74A55">
              <w:rPr>
                <w:sz w:val="22"/>
              </w:rPr>
              <w:t xml:space="preserve">Стара огорожа не </w:t>
            </w:r>
            <w:proofErr w:type="spellStart"/>
            <w:r w:rsidRPr="00B74A55">
              <w:rPr>
                <w:sz w:val="22"/>
              </w:rPr>
              <w:t>виконує</w:t>
            </w:r>
            <w:proofErr w:type="spellEnd"/>
            <w:r w:rsidRPr="00B74A55">
              <w:rPr>
                <w:sz w:val="22"/>
              </w:rPr>
              <w:t xml:space="preserve"> </w:t>
            </w:r>
            <w:proofErr w:type="spellStart"/>
            <w:r w:rsidRPr="00B74A55">
              <w:rPr>
                <w:sz w:val="22"/>
              </w:rPr>
              <w:t>своєї</w:t>
            </w:r>
            <w:proofErr w:type="spellEnd"/>
            <w:r w:rsidRPr="00B74A55">
              <w:rPr>
                <w:sz w:val="22"/>
              </w:rPr>
              <w:t xml:space="preserve"> </w:t>
            </w:r>
            <w:proofErr w:type="spellStart"/>
            <w:r w:rsidRPr="00B74A55">
              <w:rPr>
                <w:sz w:val="22"/>
              </w:rPr>
              <w:t>функції</w:t>
            </w:r>
            <w:proofErr w:type="spellEnd"/>
            <w:r w:rsidRPr="00B74A55">
              <w:rPr>
                <w:sz w:val="22"/>
              </w:rPr>
              <w:t xml:space="preserve">, </w:t>
            </w:r>
            <w:proofErr w:type="spellStart"/>
            <w:r w:rsidRPr="00B74A55">
              <w:rPr>
                <w:sz w:val="22"/>
              </w:rPr>
              <w:t>адже</w:t>
            </w:r>
            <w:proofErr w:type="spellEnd"/>
            <w:r w:rsidRPr="00B74A55">
              <w:rPr>
                <w:sz w:val="22"/>
              </w:rPr>
              <w:t xml:space="preserve"> заклад </w:t>
            </w:r>
            <w:proofErr w:type="spellStart"/>
            <w:r w:rsidRPr="00B74A55">
              <w:rPr>
                <w:sz w:val="22"/>
              </w:rPr>
              <w:t>освіти</w:t>
            </w:r>
            <w:proofErr w:type="spellEnd"/>
            <w:r w:rsidRPr="00B74A55">
              <w:rPr>
                <w:sz w:val="22"/>
              </w:rPr>
              <w:t xml:space="preserve"> </w:t>
            </w:r>
            <w:proofErr w:type="spellStart"/>
            <w:r w:rsidRPr="00B74A55">
              <w:rPr>
                <w:sz w:val="22"/>
              </w:rPr>
              <w:t>знаходиться</w:t>
            </w:r>
            <w:proofErr w:type="spellEnd"/>
            <w:r w:rsidRPr="00B74A55">
              <w:rPr>
                <w:sz w:val="22"/>
              </w:rPr>
              <w:t xml:space="preserve"> </w:t>
            </w:r>
            <w:proofErr w:type="spellStart"/>
            <w:r w:rsidRPr="00B74A55">
              <w:rPr>
                <w:sz w:val="22"/>
              </w:rPr>
              <w:t>біля</w:t>
            </w:r>
            <w:proofErr w:type="spellEnd"/>
            <w:r w:rsidRPr="00B74A55">
              <w:rPr>
                <w:sz w:val="22"/>
              </w:rPr>
              <w:t xml:space="preserve"> дороги, </w:t>
            </w:r>
            <w:proofErr w:type="spellStart"/>
            <w:r w:rsidRPr="00B74A55">
              <w:rPr>
                <w:sz w:val="22"/>
              </w:rPr>
              <w:t>що</w:t>
            </w:r>
            <w:proofErr w:type="spellEnd"/>
            <w:r w:rsidRPr="00B74A55">
              <w:rPr>
                <w:sz w:val="22"/>
              </w:rPr>
              <w:t xml:space="preserve"> </w:t>
            </w:r>
            <w:proofErr w:type="spellStart"/>
            <w:r w:rsidRPr="00B74A55">
              <w:rPr>
                <w:sz w:val="22"/>
              </w:rPr>
              <w:t>створює</w:t>
            </w:r>
            <w:proofErr w:type="spellEnd"/>
            <w:r w:rsidRPr="00B74A55">
              <w:rPr>
                <w:sz w:val="22"/>
              </w:rPr>
              <w:t xml:space="preserve"> </w:t>
            </w:r>
            <w:proofErr w:type="spellStart"/>
            <w:r w:rsidRPr="00B74A55">
              <w:rPr>
                <w:sz w:val="22"/>
              </w:rPr>
              <w:t>небезпеку</w:t>
            </w:r>
            <w:proofErr w:type="spellEnd"/>
            <w:r w:rsidRPr="00B74A55">
              <w:rPr>
                <w:sz w:val="22"/>
              </w:rPr>
              <w:t xml:space="preserve"> для </w:t>
            </w:r>
            <w:proofErr w:type="spellStart"/>
            <w:r w:rsidRPr="00B74A55">
              <w:rPr>
                <w:sz w:val="22"/>
              </w:rPr>
              <w:t>школярів</w:t>
            </w:r>
            <w:proofErr w:type="spellEnd"/>
            <w:r w:rsidRPr="00B74A55">
              <w:rPr>
                <w:sz w:val="22"/>
              </w:rPr>
              <w:t xml:space="preserve">. </w:t>
            </w:r>
            <w:proofErr w:type="spellStart"/>
            <w:r w:rsidRPr="00B74A55">
              <w:rPr>
                <w:sz w:val="22"/>
              </w:rPr>
              <w:t>Основна</w:t>
            </w:r>
            <w:proofErr w:type="spellEnd"/>
            <w:r w:rsidRPr="00B74A55">
              <w:rPr>
                <w:sz w:val="22"/>
              </w:rPr>
              <w:t xml:space="preserve"> мета - </w:t>
            </w:r>
            <w:proofErr w:type="spellStart"/>
            <w:r w:rsidRPr="00B74A55">
              <w:rPr>
                <w:sz w:val="22"/>
              </w:rPr>
              <w:t>забезпечити</w:t>
            </w:r>
            <w:proofErr w:type="spellEnd"/>
            <w:r w:rsidRPr="00B74A55">
              <w:rPr>
                <w:sz w:val="22"/>
              </w:rPr>
              <w:t xml:space="preserve"> </w:t>
            </w:r>
            <w:proofErr w:type="spellStart"/>
            <w:r w:rsidRPr="00B74A55">
              <w:rPr>
                <w:sz w:val="22"/>
              </w:rPr>
              <w:t>безпечне</w:t>
            </w:r>
            <w:proofErr w:type="spellEnd"/>
            <w:r w:rsidRPr="00B74A55">
              <w:rPr>
                <w:sz w:val="22"/>
              </w:rPr>
              <w:t xml:space="preserve"> </w:t>
            </w:r>
            <w:proofErr w:type="spellStart"/>
            <w:r w:rsidRPr="00B74A55">
              <w:rPr>
                <w:sz w:val="22"/>
              </w:rPr>
              <w:t>перебування</w:t>
            </w:r>
            <w:proofErr w:type="spellEnd"/>
            <w:r w:rsidRPr="00B74A55">
              <w:rPr>
                <w:sz w:val="22"/>
              </w:rPr>
              <w:t xml:space="preserve"> </w:t>
            </w:r>
            <w:proofErr w:type="spellStart"/>
            <w:r w:rsidRPr="00B74A55">
              <w:rPr>
                <w:sz w:val="22"/>
              </w:rPr>
              <w:t>дітей</w:t>
            </w:r>
            <w:proofErr w:type="spellEnd"/>
            <w:r w:rsidRPr="00B74A55">
              <w:rPr>
                <w:sz w:val="22"/>
              </w:rPr>
              <w:t xml:space="preserve"> в </w:t>
            </w:r>
            <w:proofErr w:type="spellStart"/>
            <w:r w:rsidRPr="00B74A55">
              <w:rPr>
                <w:sz w:val="22"/>
              </w:rPr>
              <w:t>урочний</w:t>
            </w:r>
            <w:proofErr w:type="spellEnd"/>
            <w:r w:rsidRPr="00B74A55">
              <w:rPr>
                <w:sz w:val="22"/>
              </w:rPr>
              <w:t xml:space="preserve"> та </w:t>
            </w:r>
            <w:proofErr w:type="spellStart"/>
            <w:r w:rsidRPr="00B74A55">
              <w:rPr>
                <w:sz w:val="22"/>
              </w:rPr>
              <w:t>позаурочний</w:t>
            </w:r>
            <w:proofErr w:type="spellEnd"/>
            <w:r w:rsidRPr="00B74A55">
              <w:rPr>
                <w:sz w:val="22"/>
              </w:rPr>
              <w:t xml:space="preserve"> час. Огорожа, яка </w:t>
            </w:r>
            <w:proofErr w:type="spellStart"/>
            <w:r w:rsidRPr="00B74A55">
              <w:rPr>
                <w:sz w:val="22"/>
              </w:rPr>
              <w:t>планується</w:t>
            </w:r>
            <w:proofErr w:type="spellEnd"/>
            <w:r w:rsidRPr="00B74A55">
              <w:rPr>
                <w:sz w:val="22"/>
              </w:rPr>
              <w:t xml:space="preserve"> для </w:t>
            </w:r>
            <w:proofErr w:type="spellStart"/>
            <w:r w:rsidRPr="00B74A55">
              <w:rPr>
                <w:sz w:val="22"/>
              </w:rPr>
              <w:t>встановлення</w:t>
            </w:r>
            <w:proofErr w:type="spellEnd"/>
            <w:r w:rsidRPr="00B74A55">
              <w:rPr>
                <w:sz w:val="22"/>
              </w:rPr>
              <w:t xml:space="preserve">, буде </w:t>
            </w:r>
            <w:proofErr w:type="spellStart"/>
            <w:r w:rsidRPr="00B74A55">
              <w:rPr>
                <w:sz w:val="22"/>
              </w:rPr>
              <w:t>надійним</w:t>
            </w:r>
            <w:proofErr w:type="spellEnd"/>
            <w:r w:rsidRPr="00B74A55">
              <w:rPr>
                <w:sz w:val="22"/>
              </w:rPr>
              <w:t xml:space="preserve"> </w:t>
            </w:r>
            <w:proofErr w:type="spellStart"/>
            <w:r w:rsidRPr="00B74A55">
              <w:rPr>
                <w:sz w:val="22"/>
              </w:rPr>
              <w:t>захистом</w:t>
            </w:r>
            <w:proofErr w:type="spellEnd"/>
            <w:r w:rsidRPr="00B74A55">
              <w:rPr>
                <w:sz w:val="22"/>
              </w:rPr>
              <w:t xml:space="preserve"> </w:t>
            </w:r>
            <w:proofErr w:type="spellStart"/>
            <w:r w:rsidRPr="00B74A55">
              <w:rPr>
                <w:sz w:val="22"/>
              </w:rPr>
              <w:t>школярів</w:t>
            </w:r>
            <w:proofErr w:type="spellEnd"/>
            <w:r w:rsidRPr="00B74A55">
              <w:rPr>
                <w:sz w:val="22"/>
              </w:rPr>
              <w:t xml:space="preserve"> на </w:t>
            </w:r>
            <w:proofErr w:type="spellStart"/>
            <w:r w:rsidRPr="00B74A55">
              <w:rPr>
                <w:sz w:val="22"/>
              </w:rPr>
              <w:t>території</w:t>
            </w:r>
            <w:proofErr w:type="spellEnd"/>
            <w:r w:rsidRPr="00B74A55">
              <w:rPr>
                <w:sz w:val="22"/>
              </w:rPr>
              <w:t xml:space="preserve"> </w:t>
            </w:r>
            <w:proofErr w:type="spellStart"/>
            <w:r w:rsidRPr="00B74A55">
              <w:rPr>
                <w:sz w:val="22"/>
              </w:rPr>
              <w:t>гімназії</w:t>
            </w:r>
            <w:proofErr w:type="spellEnd"/>
            <w:r w:rsidRPr="00B74A55">
              <w:rPr>
                <w:sz w:val="22"/>
              </w:rPr>
              <w:t xml:space="preserve"> № 4.</w:t>
            </w:r>
          </w:p>
        </w:tc>
      </w:tr>
      <w:tr w:rsidR="003A4A66" w:rsidRPr="00B74A55" w:rsidTr="004843F9">
        <w:tc>
          <w:tcPr>
            <w:tcW w:w="2978" w:type="dxa"/>
            <w:shd w:val="clear" w:color="auto" w:fill="C6D9F1" w:themeFill="text2" w:themeFillTint="33"/>
          </w:tcPr>
          <w:p w:rsidR="003A4A66" w:rsidRPr="00B74A55" w:rsidRDefault="003A4A66" w:rsidP="00CF479C">
            <w:pPr>
              <w:pStyle w:val="a7"/>
              <w:ind w:left="0"/>
              <w:rPr>
                <w:b/>
                <w:sz w:val="22"/>
              </w:rPr>
            </w:pPr>
            <w:proofErr w:type="spellStart"/>
            <w:r w:rsidRPr="00B74A55">
              <w:rPr>
                <w:b/>
                <w:sz w:val="22"/>
              </w:rPr>
              <w:t>Очікувані</w:t>
            </w:r>
            <w:proofErr w:type="spellEnd"/>
            <w:r w:rsidRPr="00B74A55">
              <w:rPr>
                <w:b/>
                <w:sz w:val="22"/>
              </w:rPr>
              <w:t xml:space="preserve"> </w:t>
            </w:r>
            <w:proofErr w:type="spellStart"/>
            <w:r w:rsidRPr="00B74A55">
              <w:rPr>
                <w:b/>
                <w:sz w:val="22"/>
              </w:rPr>
              <w:t>якісні</w:t>
            </w:r>
            <w:proofErr w:type="spellEnd"/>
            <w:r w:rsidRPr="00B74A55">
              <w:rPr>
                <w:b/>
                <w:sz w:val="22"/>
              </w:rPr>
              <w:t xml:space="preserve"> </w:t>
            </w:r>
            <w:proofErr w:type="spellStart"/>
            <w:r w:rsidRPr="00B74A55">
              <w:rPr>
                <w:b/>
                <w:sz w:val="22"/>
              </w:rPr>
              <w:t>результати</w:t>
            </w:r>
            <w:proofErr w:type="spellEnd"/>
            <w:r w:rsidRPr="00B74A55">
              <w:rPr>
                <w:b/>
                <w:sz w:val="22"/>
              </w:rPr>
              <w:t xml:space="preserve"> </w:t>
            </w:r>
            <w:proofErr w:type="spellStart"/>
            <w:r w:rsidRPr="00B74A55">
              <w:rPr>
                <w:b/>
                <w:sz w:val="22"/>
              </w:rPr>
              <w:t>від</w:t>
            </w:r>
            <w:proofErr w:type="spellEnd"/>
            <w:r w:rsidRPr="00B74A55">
              <w:rPr>
                <w:b/>
                <w:sz w:val="22"/>
              </w:rPr>
              <w:t xml:space="preserve"> </w:t>
            </w:r>
            <w:proofErr w:type="spellStart"/>
            <w:r w:rsidRPr="00B74A55">
              <w:rPr>
                <w:b/>
                <w:sz w:val="22"/>
              </w:rPr>
              <w:t>реалізації</w:t>
            </w:r>
            <w:proofErr w:type="spellEnd"/>
            <w:r w:rsidRPr="00B74A55">
              <w:rPr>
                <w:b/>
                <w:sz w:val="22"/>
              </w:rPr>
              <w:t xml:space="preserve"> проекту</w:t>
            </w:r>
          </w:p>
        </w:tc>
        <w:tc>
          <w:tcPr>
            <w:tcW w:w="7109" w:type="dxa"/>
            <w:gridSpan w:val="6"/>
          </w:tcPr>
          <w:p w:rsidR="003A4A66" w:rsidRPr="00B74A55" w:rsidRDefault="003A4A66" w:rsidP="00CF479C">
            <w:pPr>
              <w:pStyle w:val="a7"/>
              <w:ind w:left="0"/>
              <w:rPr>
                <w:sz w:val="22"/>
              </w:rPr>
            </w:pPr>
            <w:r w:rsidRPr="00B74A55">
              <w:rPr>
                <w:sz w:val="22"/>
              </w:rPr>
              <w:t xml:space="preserve">- </w:t>
            </w:r>
            <w:proofErr w:type="spellStart"/>
            <w:r w:rsidRPr="00B74A55">
              <w:rPr>
                <w:sz w:val="22"/>
              </w:rPr>
              <w:t>відновлення</w:t>
            </w:r>
            <w:proofErr w:type="spellEnd"/>
            <w:r w:rsidRPr="00B74A55">
              <w:rPr>
                <w:sz w:val="22"/>
              </w:rPr>
              <w:t xml:space="preserve"> </w:t>
            </w:r>
            <w:proofErr w:type="spellStart"/>
            <w:r w:rsidRPr="00B74A55">
              <w:rPr>
                <w:sz w:val="22"/>
              </w:rPr>
              <w:t>освітнього</w:t>
            </w:r>
            <w:proofErr w:type="spellEnd"/>
            <w:r w:rsidRPr="00B74A55">
              <w:rPr>
                <w:sz w:val="22"/>
              </w:rPr>
              <w:t xml:space="preserve"> </w:t>
            </w:r>
            <w:proofErr w:type="spellStart"/>
            <w:r w:rsidRPr="00B74A55">
              <w:rPr>
                <w:sz w:val="22"/>
              </w:rPr>
              <w:t>середовища</w:t>
            </w:r>
            <w:proofErr w:type="spellEnd"/>
            <w:r w:rsidRPr="00B74A55">
              <w:rPr>
                <w:sz w:val="22"/>
              </w:rPr>
              <w:t xml:space="preserve">, контингенту </w:t>
            </w:r>
            <w:proofErr w:type="spellStart"/>
            <w:r w:rsidRPr="00B74A55">
              <w:rPr>
                <w:sz w:val="22"/>
              </w:rPr>
              <w:t>учнів</w:t>
            </w:r>
            <w:proofErr w:type="spellEnd"/>
            <w:r w:rsidRPr="00B74A55">
              <w:rPr>
                <w:sz w:val="22"/>
              </w:rPr>
              <w:t xml:space="preserve">; </w:t>
            </w:r>
          </w:p>
          <w:p w:rsidR="003A4A66" w:rsidRPr="00B74A55" w:rsidRDefault="003A4A66" w:rsidP="00CF479C">
            <w:pPr>
              <w:pStyle w:val="a7"/>
              <w:ind w:left="0"/>
              <w:rPr>
                <w:sz w:val="22"/>
              </w:rPr>
            </w:pPr>
            <w:r w:rsidRPr="00B74A55">
              <w:rPr>
                <w:sz w:val="22"/>
              </w:rPr>
              <w:t xml:space="preserve">- </w:t>
            </w:r>
            <w:proofErr w:type="spellStart"/>
            <w:r w:rsidRPr="00B74A55">
              <w:rPr>
                <w:sz w:val="22"/>
              </w:rPr>
              <w:t>благоустрій</w:t>
            </w:r>
            <w:proofErr w:type="spellEnd"/>
            <w:r w:rsidRPr="00B74A55">
              <w:rPr>
                <w:sz w:val="22"/>
              </w:rPr>
              <w:t xml:space="preserve"> </w:t>
            </w:r>
            <w:proofErr w:type="spellStart"/>
            <w:r w:rsidRPr="00B74A55">
              <w:rPr>
                <w:sz w:val="22"/>
              </w:rPr>
              <w:t>мікрорайону</w:t>
            </w:r>
            <w:proofErr w:type="spellEnd"/>
            <w:r w:rsidRPr="00B74A55">
              <w:rPr>
                <w:sz w:val="22"/>
              </w:rPr>
              <w:t xml:space="preserve"> </w:t>
            </w:r>
            <w:proofErr w:type="spellStart"/>
            <w:r w:rsidRPr="00B74A55">
              <w:rPr>
                <w:sz w:val="22"/>
              </w:rPr>
              <w:t>гімназії</w:t>
            </w:r>
            <w:proofErr w:type="spellEnd"/>
            <w:r w:rsidRPr="00B74A55">
              <w:rPr>
                <w:sz w:val="22"/>
              </w:rPr>
              <w:t>;</w:t>
            </w:r>
          </w:p>
          <w:p w:rsidR="003A4A66" w:rsidRPr="00B74A55" w:rsidRDefault="003A4A66" w:rsidP="00CF479C">
            <w:pPr>
              <w:pStyle w:val="a7"/>
              <w:ind w:left="0"/>
              <w:rPr>
                <w:sz w:val="22"/>
              </w:rPr>
            </w:pPr>
            <w:r w:rsidRPr="00B74A55">
              <w:rPr>
                <w:sz w:val="22"/>
              </w:rPr>
              <w:t xml:space="preserve">- </w:t>
            </w:r>
            <w:proofErr w:type="spellStart"/>
            <w:r w:rsidRPr="00B74A55">
              <w:rPr>
                <w:sz w:val="22"/>
              </w:rPr>
              <w:t>перетворення</w:t>
            </w:r>
            <w:proofErr w:type="spellEnd"/>
            <w:r w:rsidRPr="00B74A55">
              <w:rPr>
                <w:sz w:val="22"/>
              </w:rPr>
              <w:t xml:space="preserve"> закладу </w:t>
            </w:r>
            <w:proofErr w:type="spellStart"/>
            <w:r w:rsidRPr="00B74A55">
              <w:rPr>
                <w:sz w:val="22"/>
              </w:rPr>
              <w:t>освіти</w:t>
            </w:r>
            <w:proofErr w:type="spellEnd"/>
            <w:r w:rsidRPr="00B74A55">
              <w:rPr>
                <w:sz w:val="22"/>
              </w:rPr>
              <w:t xml:space="preserve"> на </w:t>
            </w:r>
            <w:proofErr w:type="spellStart"/>
            <w:r w:rsidRPr="00B74A55">
              <w:rPr>
                <w:sz w:val="22"/>
              </w:rPr>
              <w:t>осередок</w:t>
            </w:r>
            <w:proofErr w:type="spellEnd"/>
            <w:r w:rsidRPr="00B74A55">
              <w:rPr>
                <w:sz w:val="22"/>
              </w:rPr>
              <w:t xml:space="preserve"> </w:t>
            </w:r>
            <w:proofErr w:type="spellStart"/>
            <w:r w:rsidRPr="00B74A55">
              <w:rPr>
                <w:sz w:val="22"/>
              </w:rPr>
              <w:t>соціальної</w:t>
            </w:r>
            <w:proofErr w:type="spellEnd"/>
            <w:r w:rsidRPr="00B74A55">
              <w:rPr>
                <w:sz w:val="22"/>
              </w:rPr>
              <w:t xml:space="preserve"> </w:t>
            </w:r>
            <w:proofErr w:type="spellStart"/>
            <w:r w:rsidRPr="00B74A55">
              <w:rPr>
                <w:sz w:val="22"/>
              </w:rPr>
              <w:t>згуртованості</w:t>
            </w:r>
            <w:proofErr w:type="spellEnd"/>
            <w:r w:rsidRPr="00B74A55">
              <w:rPr>
                <w:sz w:val="22"/>
              </w:rPr>
              <w:t xml:space="preserve"> та </w:t>
            </w:r>
            <w:proofErr w:type="spellStart"/>
            <w:r w:rsidRPr="00B74A55">
              <w:rPr>
                <w:sz w:val="22"/>
              </w:rPr>
              <w:t>стійкості</w:t>
            </w:r>
            <w:proofErr w:type="spellEnd"/>
            <w:r w:rsidRPr="00B74A55">
              <w:rPr>
                <w:sz w:val="22"/>
              </w:rPr>
              <w:t xml:space="preserve"> в </w:t>
            </w:r>
            <w:proofErr w:type="spellStart"/>
            <w:r w:rsidRPr="00B74A55">
              <w:rPr>
                <w:sz w:val="22"/>
              </w:rPr>
              <w:t>громаді</w:t>
            </w:r>
            <w:proofErr w:type="spellEnd"/>
            <w:r w:rsidRPr="00B74A55">
              <w:rPr>
                <w:sz w:val="22"/>
              </w:rPr>
              <w:t xml:space="preserve">. </w:t>
            </w:r>
          </w:p>
        </w:tc>
      </w:tr>
      <w:tr w:rsidR="003A4A66" w:rsidRPr="00B74A55" w:rsidTr="004843F9">
        <w:trPr>
          <w:trHeight w:val="390"/>
        </w:trPr>
        <w:tc>
          <w:tcPr>
            <w:tcW w:w="2978" w:type="dxa"/>
            <w:vMerge w:val="restart"/>
            <w:shd w:val="clear" w:color="auto" w:fill="C6D9F1" w:themeFill="text2" w:themeFillTint="33"/>
          </w:tcPr>
          <w:p w:rsidR="003A4A66" w:rsidRPr="00B74A55" w:rsidRDefault="003A4A66" w:rsidP="00CF479C">
            <w:pPr>
              <w:pStyle w:val="a7"/>
              <w:ind w:left="0"/>
              <w:rPr>
                <w:b/>
                <w:sz w:val="22"/>
                <w:lang w:val="uk-UA"/>
              </w:rPr>
            </w:pPr>
            <w:r w:rsidRPr="00B74A55">
              <w:rPr>
                <w:b/>
                <w:sz w:val="22"/>
                <w:lang w:val="uk-UA"/>
              </w:rPr>
              <w:t xml:space="preserve">Очікувані кількісні результати реалізації </w:t>
            </w:r>
            <w:proofErr w:type="spellStart"/>
            <w:r w:rsidRPr="00B74A55">
              <w:rPr>
                <w:b/>
                <w:sz w:val="22"/>
                <w:lang w:val="uk-UA"/>
              </w:rPr>
              <w:t>проєкту</w:t>
            </w:r>
            <w:proofErr w:type="spellEnd"/>
            <w:r w:rsidRPr="00B74A55">
              <w:rPr>
                <w:b/>
                <w:sz w:val="22"/>
                <w:lang w:val="uk-UA"/>
              </w:rPr>
              <w:t xml:space="preserve"> (індикатори)</w:t>
            </w:r>
          </w:p>
          <w:p w:rsidR="003A4A66" w:rsidRPr="00B74A55" w:rsidRDefault="003A4A66" w:rsidP="00CF479C">
            <w:pPr>
              <w:pStyle w:val="a7"/>
              <w:ind w:left="0"/>
              <w:rPr>
                <w:b/>
                <w:sz w:val="22"/>
                <w:lang w:val="uk-UA"/>
              </w:rPr>
            </w:pPr>
          </w:p>
        </w:tc>
        <w:tc>
          <w:tcPr>
            <w:tcW w:w="3860" w:type="dxa"/>
            <w:gridSpan w:val="3"/>
            <w:tcBorders>
              <w:bottom w:val="single" w:sz="4" w:space="0" w:color="auto"/>
              <w:right w:val="single" w:sz="4" w:space="0" w:color="auto"/>
            </w:tcBorders>
          </w:tcPr>
          <w:p w:rsidR="003A4A66" w:rsidRPr="00B74A55" w:rsidRDefault="003A4A66" w:rsidP="00CF479C">
            <w:pPr>
              <w:pStyle w:val="a7"/>
              <w:ind w:left="-108"/>
              <w:jc w:val="center"/>
              <w:rPr>
                <w:b/>
                <w:sz w:val="22"/>
              </w:rPr>
            </w:pPr>
            <w:proofErr w:type="spellStart"/>
            <w:r w:rsidRPr="00B74A55">
              <w:rPr>
                <w:b/>
                <w:sz w:val="22"/>
              </w:rPr>
              <w:t>Найменування</w:t>
            </w:r>
            <w:proofErr w:type="spellEnd"/>
            <w:r w:rsidRPr="00B74A55">
              <w:rPr>
                <w:b/>
                <w:sz w:val="22"/>
              </w:rPr>
              <w:t xml:space="preserve"> </w:t>
            </w:r>
            <w:proofErr w:type="spellStart"/>
            <w:r w:rsidRPr="00B74A55">
              <w:rPr>
                <w:b/>
                <w:sz w:val="22"/>
              </w:rPr>
              <w:t>показника</w:t>
            </w:r>
            <w:proofErr w:type="spellEnd"/>
          </w:p>
        </w:tc>
        <w:tc>
          <w:tcPr>
            <w:tcW w:w="1590" w:type="dxa"/>
            <w:tcBorders>
              <w:left w:val="single" w:sz="4" w:space="0" w:color="auto"/>
              <w:bottom w:val="single" w:sz="4" w:space="0" w:color="auto"/>
              <w:right w:val="single" w:sz="4" w:space="0" w:color="auto"/>
            </w:tcBorders>
          </w:tcPr>
          <w:p w:rsidR="003A4A66" w:rsidRPr="00B74A55" w:rsidRDefault="003A4A66" w:rsidP="00CF479C">
            <w:pPr>
              <w:pStyle w:val="a7"/>
              <w:ind w:left="0"/>
              <w:jc w:val="center"/>
              <w:rPr>
                <w:b/>
                <w:sz w:val="22"/>
              </w:rPr>
            </w:pPr>
            <w:proofErr w:type="spellStart"/>
            <w:r w:rsidRPr="00B74A55">
              <w:rPr>
                <w:b/>
                <w:sz w:val="22"/>
              </w:rPr>
              <w:t>Одиниця</w:t>
            </w:r>
            <w:proofErr w:type="spellEnd"/>
            <w:r w:rsidRPr="00B74A55">
              <w:rPr>
                <w:b/>
                <w:sz w:val="22"/>
              </w:rPr>
              <w:t xml:space="preserve"> </w:t>
            </w:r>
            <w:proofErr w:type="spellStart"/>
            <w:r w:rsidRPr="00B74A55">
              <w:rPr>
                <w:b/>
                <w:sz w:val="22"/>
              </w:rPr>
              <w:t>вмірювання</w:t>
            </w:r>
            <w:proofErr w:type="spellEnd"/>
          </w:p>
          <w:p w:rsidR="003A4A66" w:rsidRPr="00B74A55" w:rsidRDefault="003A4A66" w:rsidP="00CF479C">
            <w:pPr>
              <w:pStyle w:val="a7"/>
              <w:ind w:left="0"/>
              <w:rPr>
                <w:b/>
                <w:sz w:val="22"/>
              </w:rPr>
            </w:pPr>
          </w:p>
        </w:tc>
        <w:tc>
          <w:tcPr>
            <w:tcW w:w="1659" w:type="dxa"/>
            <w:gridSpan w:val="2"/>
            <w:tcBorders>
              <w:left w:val="single" w:sz="4" w:space="0" w:color="auto"/>
              <w:bottom w:val="single" w:sz="4" w:space="0" w:color="auto"/>
            </w:tcBorders>
          </w:tcPr>
          <w:p w:rsidR="003A4A66" w:rsidRPr="00B74A55" w:rsidRDefault="003A4A66" w:rsidP="00CF479C">
            <w:pPr>
              <w:pStyle w:val="a7"/>
              <w:ind w:left="0"/>
              <w:jc w:val="center"/>
              <w:rPr>
                <w:b/>
                <w:sz w:val="22"/>
              </w:rPr>
            </w:pPr>
            <w:proofErr w:type="spellStart"/>
            <w:r w:rsidRPr="00B74A55">
              <w:rPr>
                <w:b/>
                <w:sz w:val="22"/>
              </w:rPr>
              <w:t>Прогнозне</w:t>
            </w:r>
            <w:proofErr w:type="spellEnd"/>
            <w:r w:rsidRPr="00B74A55">
              <w:rPr>
                <w:b/>
                <w:sz w:val="22"/>
              </w:rPr>
              <w:t xml:space="preserve"> (</w:t>
            </w:r>
            <w:proofErr w:type="spellStart"/>
            <w:r w:rsidRPr="00B74A55">
              <w:rPr>
                <w:b/>
                <w:sz w:val="22"/>
              </w:rPr>
              <w:t>цільове</w:t>
            </w:r>
            <w:proofErr w:type="spellEnd"/>
            <w:proofErr w:type="gramStart"/>
            <w:r w:rsidRPr="00B74A55">
              <w:rPr>
                <w:b/>
                <w:sz w:val="22"/>
              </w:rPr>
              <w:t>) .</w:t>
            </w:r>
            <w:proofErr w:type="spellStart"/>
            <w:r w:rsidRPr="00B74A55">
              <w:rPr>
                <w:b/>
                <w:sz w:val="22"/>
              </w:rPr>
              <w:t>значення</w:t>
            </w:r>
            <w:proofErr w:type="spellEnd"/>
            <w:proofErr w:type="gramEnd"/>
          </w:p>
        </w:tc>
      </w:tr>
      <w:tr w:rsidR="003A4A66" w:rsidRPr="00B74A55" w:rsidTr="004843F9">
        <w:trPr>
          <w:trHeight w:val="585"/>
        </w:trPr>
        <w:tc>
          <w:tcPr>
            <w:tcW w:w="2978" w:type="dxa"/>
            <w:vMerge/>
            <w:shd w:val="clear" w:color="auto" w:fill="C6D9F1" w:themeFill="text2" w:themeFillTint="33"/>
          </w:tcPr>
          <w:p w:rsidR="003A4A66" w:rsidRPr="00B74A55" w:rsidRDefault="003A4A66" w:rsidP="00CF479C">
            <w:pPr>
              <w:pStyle w:val="a7"/>
              <w:ind w:left="0"/>
              <w:rPr>
                <w:b/>
                <w:sz w:val="22"/>
              </w:rPr>
            </w:pPr>
          </w:p>
        </w:tc>
        <w:tc>
          <w:tcPr>
            <w:tcW w:w="3860" w:type="dxa"/>
            <w:gridSpan w:val="3"/>
            <w:tcBorders>
              <w:top w:val="single" w:sz="4" w:space="0" w:color="auto"/>
              <w:bottom w:val="single" w:sz="4" w:space="0" w:color="auto"/>
              <w:right w:val="single" w:sz="4" w:space="0" w:color="auto"/>
            </w:tcBorders>
          </w:tcPr>
          <w:p w:rsidR="003A4A66" w:rsidRPr="00B74A55" w:rsidRDefault="003A4A66" w:rsidP="00CF479C">
            <w:pPr>
              <w:pStyle w:val="a7"/>
              <w:ind w:left="0"/>
              <w:jc w:val="center"/>
              <w:rPr>
                <w:sz w:val="22"/>
              </w:rPr>
            </w:pPr>
            <w:proofErr w:type="spellStart"/>
            <w:r w:rsidRPr="00B74A55">
              <w:rPr>
                <w:sz w:val="22"/>
              </w:rPr>
              <w:t>Кількість</w:t>
            </w:r>
            <w:proofErr w:type="spellEnd"/>
            <w:r w:rsidRPr="00B74A55">
              <w:rPr>
                <w:sz w:val="22"/>
              </w:rPr>
              <w:t xml:space="preserve"> </w:t>
            </w:r>
            <w:proofErr w:type="spellStart"/>
            <w:r w:rsidRPr="00B74A55">
              <w:rPr>
                <w:sz w:val="22"/>
              </w:rPr>
              <w:t>одержувачів</w:t>
            </w:r>
            <w:proofErr w:type="spellEnd"/>
            <w:r w:rsidRPr="00B74A55">
              <w:rPr>
                <w:sz w:val="22"/>
              </w:rPr>
              <w:t xml:space="preserve"> </w:t>
            </w:r>
            <w:proofErr w:type="spellStart"/>
            <w:r w:rsidRPr="00B74A55">
              <w:rPr>
                <w:sz w:val="22"/>
              </w:rPr>
              <w:t>освітніх</w:t>
            </w:r>
            <w:proofErr w:type="spellEnd"/>
            <w:r w:rsidRPr="00B74A55">
              <w:rPr>
                <w:sz w:val="22"/>
              </w:rPr>
              <w:t xml:space="preserve"> </w:t>
            </w:r>
            <w:proofErr w:type="spellStart"/>
            <w:r w:rsidRPr="00B74A55">
              <w:rPr>
                <w:sz w:val="22"/>
              </w:rPr>
              <w:t>послуг</w:t>
            </w:r>
            <w:proofErr w:type="spellEnd"/>
            <w:r w:rsidRPr="00B74A55">
              <w:rPr>
                <w:b/>
                <w:sz w:val="22"/>
              </w:rPr>
              <w:t xml:space="preserve"> </w:t>
            </w:r>
            <w:r w:rsidRPr="00B74A55">
              <w:rPr>
                <w:sz w:val="22"/>
              </w:rPr>
              <w:t>у ЗО</w:t>
            </w:r>
          </w:p>
        </w:tc>
        <w:tc>
          <w:tcPr>
            <w:tcW w:w="1590" w:type="dxa"/>
            <w:tcBorders>
              <w:top w:val="single" w:sz="4" w:space="0" w:color="auto"/>
              <w:left w:val="single" w:sz="4" w:space="0" w:color="auto"/>
              <w:bottom w:val="single" w:sz="4" w:space="0" w:color="auto"/>
              <w:right w:val="single" w:sz="4" w:space="0" w:color="auto"/>
            </w:tcBorders>
            <w:vAlign w:val="center"/>
          </w:tcPr>
          <w:p w:rsidR="003A4A66" w:rsidRPr="00B74A55" w:rsidRDefault="003A4A66" w:rsidP="00CF479C">
            <w:pPr>
              <w:pStyle w:val="a7"/>
              <w:ind w:left="0"/>
              <w:jc w:val="center"/>
              <w:rPr>
                <w:sz w:val="22"/>
              </w:rPr>
            </w:pPr>
            <w:proofErr w:type="spellStart"/>
            <w:r w:rsidRPr="00B74A55">
              <w:rPr>
                <w:sz w:val="22"/>
              </w:rPr>
              <w:t>осіб</w:t>
            </w:r>
            <w:proofErr w:type="spellEnd"/>
          </w:p>
        </w:tc>
        <w:tc>
          <w:tcPr>
            <w:tcW w:w="1659" w:type="dxa"/>
            <w:gridSpan w:val="2"/>
            <w:tcBorders>
              <w:top w:val="single" w:sz="4" w:space="0" w:color="auto"/>
              <w:left w:val="single" w:sz="4" w:space="0" w:color="auto"/>
              <w:bottom w:val="single" w:sz="4" w:space="0" w:color="auto"/>
            </w:tcBorders>
          </w:tcPr>
          <w:p w:rsidR="003A4A66" w:rsidRPr="00B74A55" w:rsidRDefault="003A4A66" w:rsidP="00CF479C">
            <w:pPr>
              <w:pStyle w:val="a7"/>
              <w:ind w:left="0"/>
              <w:jc w:val="center"/>
              <w:rPr>
                <w:sz w:val="22"/>
              </w:rPr>
            </w:pPr>
            <w:r w:rsidRPr="00B74A55">
              <w:rPr>
                <w:sz w:val="22"/>
              </w:rPr>
              <w:t xml:space="preserve">до 2000 </w:t>
            </w:r>
          </w:p>
        </w:tc>
      </w:tr>
      <w:tr w:rsidR="003A4A66" w:rsidRPr="00B74A55" w:rsidTr="004843F9">
        <w:trPr>
          <w:trHeight w:val="150"/>
        </w:trPr>
        <w:tc>
          <w:tcPr>
            <w:tcW w:w="2978" w:type="dxa"/>
            <w:vMerge/>
            <w:shd w:val="clear" w:color="auto" w:fill="C6D9F1" w:themeFill="text2" w:themeFillTint="33"/>
          </w:tcPr>
          <w:p w:rsidR="003A4A66" w:rsidRPr="00B74A55" w:rsidRDefault="003A4A66" w:rsidP="00CF479C">
            <w:pPr>
              <w:pStyle w:val="a7"/>
              <w:ind w:left="0"/>
              <w:rPr>
                <w:b/>
                <w:sz w:val="22"/>
              </w:rPr>
            </w:pPr>
          </w:p>
        </w:tc>
        <w:tc>
          <w:tcPr>
            <w:tcW w:w="3860" w:type="dxa"/>
            <w:gridSpan w:val="3"/>
            <w:tcBorders>
              <w:top w:val="single" w:sz="4" w:space="0" w:color="auto"/>
              <w:right w:val="single" w:sz="4" w:space="0" w:color="auto"/>
            </w:tcBorders>
          </w:tcPr>
          <w:p w:rsidR="003A4A66" w:rsidRPr="00B74A55" w:rsidRDefault="003A4A66" w:rsidP="00CF479C">
            <w:pPr>
              <w:pStyle w:val="a7"/>
              <w:ind w:left="0"/>
              <w:jc w:val="center"/>
              <w:rPr>
                <w:sz w:val="22"/>
              </w:rPr>
            </w:pPr>
            <w:proofErr w:type="spellStart"/>
            <w:r w:rsidRPr="00B74A55">
              <w:rPr>
                <w:sz w:val="22"/>
              </w:rPr>
              <w:t>Термін</w:t>
            </w:r>
            <w:proofErr w:type="spellEnd"/>
            <w:r w:rsidRPr="00B74A55">
              <w:rPr>
                <w:sz w:val="22"/>
              </w:rPr>
              <w:t xml:space="preserve"> </w:t>
            </w:r>
            <w:proofErr w:type="spellStart"/>
            <w:r w:rsidRPr="00B74A55">
              <w:rPr>
                <w:sz w:val="22"/>
              </w:rPr>
              <w:t>надання</w:t>
            </w:r>
            <w:proofErr w:type="spellEnd"/>
            <w:r w:rsidRPr="00B74A55">
              <w:rPr>
                <w:sz w:val="22"/>
              </w:rPr>
              <w:t xml:space="preserve"> </w:t>
            </w:r>
            <w:proofErr w:type="spellStart"/>
            <w:r w:rsidRPr="00B74A55">
              <w:rPr>
                <w:sz w:val="22"/>
              </w:rPr>
              <w:t>послуги</w:t>
            </w:r>
            <w:proofErr w:type="spellEnd"/>
          </w:p>
        </w:tc>
        <w:tc>
          <w:tcPr>
            <w:tcW w:w="1590" w:type="dxa"/>
            <w:tcBorders>
              <w:top w:val="single" w:sz="4" w:space="0" w:color="auto"/>
              <w:left w:val="single" w:sz="4" w:space="0" w:color="auto"/>
              <w:right w:val="single" w:sz="4" w:space="0" w:color="auto"/>
            </w:tcBorders>
            <w:vAlign w:val="center"/>
          </w:tcPr>
          <w:p w:rsidR="003A4A66" w:rsidRPr="00B74A55" w:rsidRDefault="003A4A66" w:rsidP="00CF479C">
            <w:pPr>
              <w:pStyle w:val="a7"/>
              <w:ind w:left="0"/>
              <w:jc w:val="center"/>
              <w:rPr>
                <w:sz w:val="22"/>
              </w:rPr>
            </w:pPr>
            <w:proofErr w:type="spellStart"/>
            <w:r w:rsidRPr="00B74A55">
              <w:rPr>
                <w:sz w:val="22"/>
              </w:rPr>
              <w:t>місяць</w:t>
            </w:r>
            <w:proofErr w:type="spellEnd"/>
          </w:p>
        </w:tc>
        <w:tc>
          <w:tcPr>
            <w:tcW w:w="1659" w:type="dxa"/>
            <w:gridSpan w:val="2"/>
            <w:tcBorders>
              <w:top w:val="single" w:sz="4" w:space="0" w:color="auto"/>
              <w:left w:val="single" w:sz="4" w:space="0" w:color="auto"/>
            </w:tcBorders>
          </w:tcPr>
          <w:p w:rsidR="003A4A66" w:rsidRPr="00B74A55" w:rsidRDefault="003A4A66" w:rsidP="00CF479C">
            <w:pPr>
              <w:pStyle w:val="a7"/>
              <w:ind w:left="0"/>
              <w:jc w:val="center"/>
              <w:rPr>
                <w:sz w:val="22"/>
              </w:rPr>
            </w:pPr>
            <w:r w:rsidRPr="00B74A55">
              <w:rPr>
                <w:sz w:val="22"/>
              </w:rPr>
              <w:t xml:space="preserve">12 </w:t>
            </w:r>
          </w:p>
        </w:tc>
      </w:tr>
      <w:tr w:rsidR="003A4A66" w:rsidRPr="00B74A55" w:rsidTr="004843F9">
        <w:trPr>
          <w:trHeight w:val="150"/>
        </w:trPr>
        <w:tc>
          <w:tcPr>
            <w:tcW w:w="2978" w:type="dxa"/>
            <w:shd w:val="clear" w:color="auto" w:fill="C6D9F1" w:themeFill="text2" w:themeFillTint="33"/>
          </w:tcPr>
          <w:p w:rsidR="003A4A66" w:rsidRPr="00B74A55" w:rsidRDefault="003A4A66" w:rsidP="00CF479C">
            <w:pPr>
              <w:pStyle w:val="a7"/>
              <w:ind w:left="0"/>
              <w:rPr>
                <w:b/>
                <w:sz w:val="22"/>
              </w:rPr>
            </w:pPr>
          </w:p>
        </w:tc>
        <w:tc>
          <w:tcPr>
            <w:tcW w:w="3860" w:type="dxa"/>
            <w:gridSpan w:val="3"/>
            <w:tcBorders>
              <w:top w:val="single" w:sz="4" w:space="0" w:color="auto"/>
              <w:right w:val="single" w:sz="4" w:space="0" w:color="auto"/>
            </w:tcBorders>
          </w:tcPr>
          <w:p w:rsidR="003A4A66" w:rsidRPr="00B74A55" w:rsidRDefault="003A4A66" w:rsidP="00CF479C">
            <w:pPr>
              <w:pStyle w:val="a7"/>
              <w:ind w:left="0"/>
              <w:jc w:val="center"/>
              <w:rPr>
                <w:sz w:val="22"/>
              </w:rPr>
            </w:pPr>
            <w:proofErr w:type="spellStart"/>
            <w:r w:rsidRPr="00B74A55">
              <w:rPr>
                <w:sz w:val="22"/>
              </w:rPr>
              <w:t>Кількість</w:t>
            </w:r>
            <w:proofErr w:type="spellEnd"/>
            <w:r w:rsidRPr="00B74A55">
              <w:rPr>
                <w:sz w:val="22"/>
              </w:rPr>
              <w:t xml:space="preserve"> </w:t>
            </w:r>
            <w:proofErr w:type="spellStart"/>
            <w:r w:rsidRPr="00B74A55">
              <w:rPr>
                <w:sz w:val="22"/>
              </w:rPr>
              <w:t>населених</w:t>
            </w:r>
            <w:proofErr w:type="spellEnd"/>
            <w:r w:rsidRPr="00B74A55">
              <w:rPr>
                <w:sz w:val="22"/>
              </w:rPr>
              <w:t xml:space="preserve"> </w:t>
            </w:r>
            <w:proofErr w:type="spellStart"/>
            <w:r w:rsidRPr="00B74A55">
              <w:rPr>
                <w:sz w:val="22"/>
              </w:rPr>
              <w:t>пунктів</w:t>
            </w:r>
            <w:proofErr w:type="spellEnd"/>
            <w:r w:rsidRPr="00B74A55">
              <w:rPr>
                <w:sz w:val="22"/>
              </w:rPr>
              <w:t xml:space="preserve">, яке </w:t>
            </w:r>
            <w:proofErr w:type="spellStart"/>
            <w:r w:rsidRPr="00B74A55">
              <w:rPr>
                <w:sz w:val="22"/>
              </w:rPr>
              <w:t>обслуговує</w:t>
            </w:r>
            <w:proofErr w:type="spellEnd"/>
            <w:r w:rsidRPr="00B74A55">
              <w:rPr>
                <w:sz w:val="22"/>
              </w:rPr>
              <w:t xml:space="preserve"> </w:t>
            </w:r>
            <w:proofErr w:type="spellStart"/>
            <w:r w:rsidRPr="00B74A55">
              <w:rPr>
                <w:sz w:val="22"/>
              </w:rPr>
              <w:t>підприємство</w:t>
            </w:r>
            <w:proofErr w:type="spellEnd"/>
          </w:p>
        </w:tc>
        <w:tc>
          <w:tcPr>
            <w:tcW w:w="1590" w:type="dxa"/>
            <w:tcBorders>
              <w:top w:val="single" w:sz="4" w:space="0" w:color="auto"/>
              <w:left w:val="single" w:sz="4" w:space="0" w:color="auto"/>
              <w:right w:val="single" w:sz="4" w:space="0" w:color="auto"/>
            </w:tcBorders>
            <w:vAlign w:val="center"/>
          </w:tcPr>
          <w:p w:rsidR="003A4A66" w:rsidRPr="00B74A55" w:rsidRDefault="003A4A66" w:rsidP="00CF479C">
            <w:pPr>
              <w:pStyle w:val="a7"/>
              <w:ind w:left="0"/>
              <w:jc w:val="center"/>
              <w:rPr>
                <w:sz w:val="22"/>
              </w:rPr>
            </w:pPr>
            <w:proofErr w:type="spellStart"/>
            <w:r w:rsidRPr="00B74A55">
              <w:rPr>
                <w:sz w:val="22"/>
              </w:rPr>
              <w:t>одиниць</w:t>
            </w:r>
            <w:proofErr w:type="spellEnd"/>
          </w:p>
        </w:tc>
        <w:tc>
          <w:tcPr>
            <w:tcW w:w="1659" w:type="dxa"/>
            <w:gridSpan w:val="2"/>
            <w:tcBorders>
              <w:top w:val="single" w:sz="4" w:space="0" w:color="auto"/>
              <w:left w:val="single" w:sz="4" w:space="0" w:color="auto"/>
            </w:tcBorders>
          </w:tcPr>
          <w:p w:rsidR="003A4A66" w:rsidRPr="00B74A55" w:rsidRDefault="003A4A66" w:rsidP="00CF479C">
            <w:pPr>
              <w:pStyle w:val="a7"/>
              <w:ind w:left="0"/>
              <w:jc w:val="center"/>
              <w:rPr>
                <w:sz w:val="22"/>
              </w:rPr>
            </w:pPr>
            <w:r w:rsidRPr="00B74A55">
              <w:rPr>
                <w:sz w:val="22"/>
              </w:rPr>
              <w:t xml:space="preserve">1 </w:t>
            </w:r>
          </w:p>
          <w:p w:rsidR="003A4A66" w:rsidRPr="00B74A55" w:rsidRDefault="003A4A66" w:rsidP="00CF479C">
            <w:pPr>
              <w:pStyle w:val="a7"/>
              <w:ind w:left="0"/>
              <w:jc w:val="center"/>
              <w:rPr>
                <w:sz w:val="22"/>
              </w:rPr>
            </w:pPr>
          </w:p>
        </w:tc>
      </w:tr>
      <w:tr w:rsidR="003A4A66" w:rsidRPr="00B74A55" w:rsidTr="004843F9">
        <w:tc>
          <w:tcPr>
            <w:tcW w:w="2978" w:type="dxa"/>
            <w:shd w:val="clear" w:color="auto" w:fill="C6D9F1" w:themeFill="text2" w:themeFillTint="33"/>
          </w:tcPr>
          <w:p w:rsidR="003A4A66" w:rsidRPr="00B74A55" w:rsidRDefault="003A4A66" w:rsidP="00CF479C">
            <w:pPr>
              <w:rPr>
                <w:b/>
                <w:sz w:val="22"/>
              </w:rPr>
            </w:pPr>
            <w:proofErr w:type="spellStart"/>
            <w:r w:rsidRPr="00B74A55">
              <w:rPr>
                <w:b/>
                <w:sz w:val="22"/>
              </w:rPr>
              <w:t>Ключові</w:t>
            </w:r>
            <w:proofErr w:type="spellEnd"/>
            <w:r w:rsidRPr="00B74A55">
              <w:rPr>
                <w:b/>
                <w:sz w:val="22"/>
              </w:rPr>
              <w:t xml:space="preserve"> заходи проекту: </w:t>
            </w:r>
          </w:p>
          <w:p w:rsidR="003A4A66" w:rsidRPr="00B74A55" w:rsidRDefault="003A4A66" w:rsidP="00CF479C">
            <w:pPr>
              <w:pStyle w:val="a7"/>
              <w:ind w:left="0"/>
              <w:rPr>
                <w:b/>
                <w:sz w:val="22"/>
              </w:rPr>
            </w:pPr>
          </w:p>
        </w:tc>
        <w:tc>
          <w:tcPr>
            <w:tcW w:w="7109" w:type="dxa"/>
            <w:gridSpan w:val="6"/>
          </w:tcPr>
          <w:p w:rsidR="003A4A66" w:rsidRPr="00B74A55" w:rsidRDefault="003A4A66" w:rsidP="00CF479C">
            <w:pPr>
              <w:pStyle w:val="a7"/>
              <w:ind w:left="0"/>
              <w:rPr>
                <w:sz w:val="22"/>
              </w:rPr>
            </w:pPr>
            <w:r w:rsidRPr="00B74A55">
              <w:rPr>
                <w:sz w:val="22"/>
              </w:rPr>
              <w:t xml:space="preserve">І. </w:t>
            </w:r>
            <w:proofErr w:type="spellStart"/>
            <w:r w:rsidRPr="00B74A55">
              <w:rPr>
                <w:sz w:val="22"/>
              </w:rPr>
              <w:t>Обстеження</w:t>
            </w:r>
            <w:proofErr w:type="spellEnd"/>
            <w:r w:rsidRPr="00B74A55">
              <w:rPr>
                <w:sz w:val="22"/>
              </w:rPr>
              <w:t xml:space="preserve"> стану </w:t>
            </w:r>
            <w:proofErr w:type="spellStart"/>
            <w:r w:rsidRPr="00B74A55">
              <w:rPr>
                <w:sz w:val="22"/>
              </w:rPr>
              <w:t>будівлі</w:t>
            </w:r>
            <w:proofErr w:type="spellEnd"/>
            <w:r w:rsidRPr="00B74A55">
              <w:rPr>
                <w:sz w:val="22"/>
              </w:rPr>
              <w:t>:</w:t>
            </w:r>
          </w:p>
          <w:p w:rsidR="003A4A66" w:rsidRPr="00B74A55" w:rsidRDefault="003A4A66" w:rsidP="00CF479C">
            <w:pPr>
              <w:pStyle w:val="a7"/>
              <w:ind w:left="0"/>
              <w:rPr>
                <w:sz w:val="22"/>
              </w:rPr>
            </w:pPr>
            <w:r w:rsidRPr="00B74A55">
              <w:rPr>
                <w:sz w:val="22"/>
              </w:rPr>
              <w:t>-</w:t>
            </w:r>
            <w:proofErr w:type="spellStart"/>
            <w:r w:rsidRPr="00B74A55">
              <w:rPr>
                <w:sz w:val="22"/>
              </w:rPr>
              <w:t>виготовлення</w:t>
            </w:r>
            <w:proofErr w:type="spellEnd"/>
            <w:r w:rsidRPr="00B74A55">
              <w:rPr>
                <w:sz w:val="22"/>
              </w:rPr>
              <w:t xml:space="preserve"> </w:t>
            </w:r>
            <w:proofErr w:type="spellStart"/>
            <w:r w:rsidRPr="00B74A55">
              <w:rPr>
                <w:sz w:val="22"/>
              </w:rPr>
              <w:t>проєктно-кошторисної</w:t>
            </w:r>
            <w:proofErr w:type="spellEnd"/>
            <w:r w:rsidRPr="00B74A55">
              <w:rPr>
                <w:sz w:val="22"/>
              </w:rPr>
              <w:t xml:space="preserve"> </w:t>
            </w:r>
            <w:proofErr w:type="spellStart"/>
            <w:r w:rsidRPr="00B74A55">
              <w:rPr>
                <w:sz w:val="22"/>
              </w:rPr>
              <w:t>документації</w:t>
            </w:r>
            <w:proofErr w:type="spellEnd"/>
            <w:r w:rsidRPr="00B74A55">
              <w:rPr>
                <w:sz w:val="22"/>
              </w:rPr>
              <w:t xml:space="preserve"> </w:t>
            </w:r>
            <w:proofErr w:type="spellStart"/>
            <w:r w:rsidRPr="00B74A55">
              <w:rPr>
                <w:sz w:val="22"/>
              </w:rPr>
              <w:t>або</w:t>
            </w:r>
            <w:proofErr w:type="spellEnd"/>
            <w:r w:rsidRPr="00B74A55">
              <w:rPr>
                <w:sz w:val="22"/>
              </w:rPr>
              <w:t xml:space="preserve"> </w:t>
            </w:r>
            <w:proofErr w:type="spellStart"/>
            <w:r w:rsidRPr="00B74A55">
              <w:rPr>
                <w:sz w:val="22"/>
              </w:rPr>
              <w:t>послуги</w:t>
            </w:r>
            <w:proofErr w:type="spellEnd"/>
            <w:r w:rsidRPr="00B74A55">
              <w:rPr>
                <w:sz w:val="22"/>
              </w:rPr>
              <w:t xml:space="preserve"> з </w:t>
            </w:r>
            <w:proofErr w:type="spellStart"/>
            <w:r w:rsidRPr="00B74A55">
              <w:rPr>
                <w:sz w:val="22"/>
              </w:rPr>
              <w:t>інженерного</w:t>
            </w:r>
            <w:proofErr w:type="spellEnd"/>
            <w:r w:rsidRPr="00B74A55">
              <w:rPr>
                <w:sz w:val="22"/>
              </w:rPr>
              <w:t xml:space="preserve"> </w:t>
            </w:r>
            <w:proofErr w:type="spellStart"/>
            <w:r w:rsidRPr="00B74A55">
              <w:rPr>
                <w:sz w:val="22"/>
              </w:rPr>
              <w:t>проєктування</w:t>
            </w:r>
            <w:proofErr w:type="spellEnd"/>
            <w:r w:rsidRPr="00B74A55">
              <w:rPr>
                <w:sz w:val="22"/>
              </w:rPr>
              <w:t>;</w:t>
            </w:r>
          </w:p>
          <w:p w:rsidR="003A4A66" w:rsidRPr="00B74A55" w:rsidRDefault="003A4A66" w:rsidP="00CF479C">
            <w:pPr>
              <w:pStyle w:val="a7"/>
              <w:ind w:left="0"/>
              <w:rPr>
                <w:sz w:val="22"/>
              </w:rPr>
            </w:pPr>
            <w:r w:rsidRPr="00B74A55">
              <w:rPr>
                <w:sz w:val="22"/>
              </w:rPr>
              <w:t xml:space="preserve">ІІ. </w:t>
            </w:r>
            <w:proofErr w:type="spellStart"/>
            <w:r w:rsidRPr="00B74A55">
              <w:rPr>
                <w:sz w:val="22"/>
              </w:rPr>
              <w:t>Проведення</w:t>
            </w:r>
            <w:proofErr w:type="spellEnd"/>
            <w:r w:rsidRPr="00B74A55">
              <w:rPr>
                <w:sz w:val="22"/>
              </w:rPr>
              <w:t xml:space="preserve"> </w:t>
            </w:r>
            <w:proofErr w:type="spellStart"/>
            <w:r w:rsidRPr="00B74A55">
              <w:rPr>
                <w:sz w:val="22"/>
              </w:rPr>
              <w:t>експертизи</w:t>
            </w:r>
            <w:proofErr w:type="spellEnd"/>
            <w:r w:rsidRPr="00B74A55">
              <w:rPr>
                <w:sz w:val="22"/>
              </w:rPr>
              <w:t xml:space="preserve"> </w:t>
            </w:r>
            <w:proofErr w:type="spellStart"/>
            <w:r w:rsidRPr="00B74A55">
              <w:rPr>
                <w:sz w:val="22"/>
              </w:rPr>
              <w:t>проєкту</w:t>
            </w:r>
            <w:proofErr w:type="spellEnd"/>
            <w:r w:rsidRPr="00B74A55">
              <w:rPr>
                <w:sz w:val="22"/>
              </w:rPr>
              <w:t>:</w:t>
            </w:r>
          </w:p>
          <w:p w:rsidR="003A4A66" w:rsidRPr="00B74A55" w:rsidRDefault="003A4A66" w:rsidP="00CF479C">
            <w:pPr>
              <w:pStyle w:val="a7"/>
              <w:ind w:left="0"/>
              <w:rPr>
                <w:sz w:val="22"/>
              </w:rPr>
            </w:pPr>
            <w:r w:rsidRPr="00B74A55">
              <w:rPr>
                <w:sz w:val="22"/>
              </w:rPr>
              <w:t>-</w:t>
            </w:r>
            <w:proofErr w:type="spellStart"/>
            <w:r w:rsidRPr="00B74A55">
              <w:rPr>
                <w:sz w:val="22"/>
              </w:rPr>
              <w:t>звернення</w:t>
            </w:r>
            <w:proofErr w:type="spellEnd"/>
            <w:r w:rsidRPr="00B74A55">
              <w:rPr>
                <w:sz w:val="22"/>
              </w:rPr>
              <w:t xml:space="preserve"> в </w:t>
            </w:r>
            <w:proofErr w:type="spellStart"/>
            <w:r w:rsidRPr="00B74A55">
              <w:rPr>
                <w:sz w:val="22"/>
              </w:rPr>
              <w:t>експертну</w:t>
            </w:r>
            <w:proofErr w:type="spellEnd"/>
            <w:r w:rsidRPr="00B74A55">
              <w:rPr>
                <w:sz w:val="22"/>
              </w:rPr>
              <w:t xml:space="preserve"> </w:t>
            </w:r>
            <w:proofErr w:type="spellStart"/>
            <w:r w:rsidRPr="00B74A55">
              <w:rPr>
                <w:sz w:val="22"/>
              </w:rPr>
              <w:t>компанію</w:t>
            </w:r>
            <w:proofErr w:type="spellEnd"/>
            <w:r w:rsidRPr="00B74A55">
              <w:rPr>
                <w:sz w:val="22"/>
              </w:rPr>
              <w:t xml:space="preserve"> і </w:t>
            </w:r>
            <w:proofErr w:type="spellStart"/>
            <w:r w:rsidRPr="00B74A55">
              <w:rPr>
                <w:sz w:val="22"/>
              </w:rPr>
              <w:t>підписання</w:t>
            </w:r>
            <w:proofErr w:type="spellEnd"/>
            <w:r w:rsidRPr="00B74A55">
              <w:rPr>
                <w:sz w:val="22"/>
              </w:rPr>
              <w:t xml:space="preserve"> договору;</w:t>
            </w:r>
          </w:p>
          <w:p w:rsidR="003A4A66" w:rsidRPr="00B74A55" w:rsidRDefault="003A4A66" w:rsidP="00CF479C">
            <w:pPr>
              <w:pStyle w:val="a7"/>
              <w:ind w:left="0"/>
              <w:rPr>
                <w:sz w:val="22"/>
              </w:rPr>
            </w:pPr>
            <w:r w:rsidRPr="00B74A55">
              <w:rPr>
                <w:sz w:val="22"/>
              </w:rPr>
              <w:t>-</w:t>
            </w:r>
            <w:proofErr w:type="spellStart"/>
            <w:r w:rsidRPr="00B74A55">
              <w:rPr>
                <w:sz w:val="22"/>
              </w:rPr>
              <w:t>проведення</w:t>
            </w:r>
            <w:proofErr w:type="spellEnd"/>
            <w:r w:rsidRPr="00B74A55">
              <w:rPr>
                <w:sz w:val="22"/>
              </w:rPr>
              <w:t xml:space="preserve"> </w:t>
            </w:r>
            <w:proofErr w:type="spellStart"/>
            <w:r w:rsidRPr="00B74A55">
              <w:rPr>
                <w:sz w:val="22"/>
              </w:rPr>
              <w:t>експертизи</w:t>
            </w:r>
            <w:proofErr w:type="spellEnd"/>
            <w:r w:rsidRPr="00B74A55">
              <w:rPr>
                <w:sz w:val="22"/>
              </w:rPr>
              <w:t xml:space="preserve"> </w:t>
            </w:r>
            <w:proofErr w:type="spellStart"/>
            <w:r w:rsidRPr="00B74A55">
              <w:rPr>
                <w:sz w:val="22"/>
              </w:rPr>
              <w:t>проектної</w:t>
            </w:r>
            <w:proofErr w:type="spellEnd"/>
            <w:r w:rsidRPr="00B74A55">
              <w:rPr>
                <w:sz w:val="22"/>
              </w:rPr>
              <w:t xml:space="preserve"> </w:t>
            </w:r>
            <w:proofErr w:type="spellStart"/>
            <w:r w:rsidRPr="00B74A55">
              <w:rPr>
                <w:sz w:val="22"/>
              </w:rPr>
              <w:t>документації</w:t>
            </w:r>
            <w:proofErr w:type="spellEnd"/>
            <w:r w:rsidRPr="00B74A55">
              <w:rPr>
                <w:sz w:val="22"/>
              </w:rPr>
              <w:t>;</w:t>
            </w:r>
          </w:p>
          <w:p w:rsidR="003A4A66" w:rsidRPr="00B74A55" w:rsidRDefault="003A4A66" w:rsidP="00CF479C">
            <w:pPr>
              <w:pStyle w:val="a7"/>
              <w:ind w:left="0"/>
              <w:rPr>
                <w:sz w:val="22"/>
              </w:rPr>
            </w:pPr>
            <w:r w:rsidRPr="00B74A55">
              <w:rPr>
                <w:sz w:val="22"/>
              </w:rPr>
              <w:t xml:space="preserve"> -</w:t>
            </w:r>
            <w:proofErr w:type="spellStart"/>
            <w:r w:rsidRPr="00B74A55">
              <w:rPr>
                <w:sz w:val="22"/>
              </w:rPr>
              <w:t>усунення</w:t>
            </w:r>
            <w:proofErr w:type="spellEnd"/>
            <w:r w:rsidRPr="00B74A55">
              <w:rPr>
                <w:sz w:val="22"/>
              </w:rPr>
              <w:t xml:space="preserve"> </w:t>
            </w:r>
            <w:proofErr w:type="spellStart"/>
            <w:r w:rsidRPr="00B74A55">
              <w:rPr>
                <w:sz w:val="22"/>
              </w:rPr>
              <w:t>недоліків</w:t>
            </w:r>
            <w:proofErr w:type="spellEnd"/>
            <w:r w:rsidRPr="00B74A55">
              <w:rPr>
                <w:sz w:val="22"/>
              </w:rPr>
              <w:t>;</w:t>
            </w:r>
          </w:p>
          <w:p w:rsidR="003A4A66" w:rsidRPr="00B74A55" w:rsidRDefault="003A4A66" w:rsidP="00CF479C">
            <w:pPr>
              <w:pStyle w:val="a7"/>
              <w:ind w:left="0"/>
              <w:rPr>
                <w:sz w:val="22"/>
              </w:rPr>
            </w:pPr>
            <w:r w:rsidRPr="00B74A55">
              <w:rPr>
                <w:sz w:val="22"/>
              </w:rPr>
              <w:t xml:space="preserve"> -</w:t>
            </w:r>
            <w:proofErr w:type="spellStart"/>
            <w:r w:rsidRPr="00B74A55">
              <w:rPr>
                <w:sz w:val="22"/>
              </w:rPr>
              <w:t>отримання</w:t>
            </w:r>
            <w:proofErr w:type="spellEnd"/>
            <w:r w:rsidRPr="00B74A55">
              <w:rPr>
                <w:sz w:val="22"/>
              </w:rPr>
              <w:t xml:space="preserve"> </w:t>
            </w:r>
            <w:proofErr w:type="spellStart"/>
            <w:r w:rsidRPr="00B74A55">
              <w:rPr>
                <w:sz w:val="22"/>
              </w:rPr>
              <w:t>експертного</w:t>
            </w:r>
            <w:proofErr w:type="spellEnd"/>
            <w:r w:rsidRPr="00B74A55">
              <w:rPr>
                <w:sz w:val="22"/>
              </w:rPr>
              <w:t xml:space="preserve"> </w:t>
            </w:r>
            <w:proofErr w:type="spellStart"/>
            <w:r w:rsidRPr="00B74A55">
              <w:rPr>
                <w:sz w:val="22"/>
              </w:rPr>
              <w:t>звіту</w:t>
            </w:r>
            <w:proofErr w:type="spellEnd"/>
            <w:r w:rsidRPr="00B74A55">
              <w:rPr>
                <w:sz w:val="22"/>
              </w:rPr>
              <w:t xml:space="preserve">. </w:t>
            </w:r>
          </w:p>
          <w:p w:rsidR="003A4A66" w:rsidRPr="00B74A55" w:rsidRDefault="003A4A66" w:rsidP="00CF479C">
            <w:pPr>
              <w:pStyle w:val="a7"/>
              <w:ind w:left="0"/>
              <w:rPr>
                <w:sz w:val="22"/>
              </w:rPr>
            </w:pPr>
            <w:r w:rsidRPr="00B74A55">
              <w:rPr>
                <w:sz w:val="22"/>
              </w:rPr>
              <w:t xml:space="preserve">ІІІ. </w:t>
            </w:r>
            <w:proofErr w:type="spellStart"/>
            <w:r w:rsidRPr="00B74A55">
              <w:rPr>
                <w:sz w:val="22"/>
              </w:rPr>
              <w:t>Розроблення</w:t>
            </w:r>
            <w:proofErr w:type="spellEnd"/>
            <w:r w:rsidRPr="00B74A55">
              <w:rPr>
                <w:sz w:val="22"/>
              </w:rPr>
              <w:t xml:space="preserve"> </w:t>
            </w:r>
            <w:proofErr w:type="spellStart"/>
            <w:r w:rsidRPr="00B74A55">
              <w:rPr>
                <w:sz w:val="22"/>
              </w:rPr>
              <w:t>архітектурного</w:t>
            </w:r>
            <w:proofErr w:type="spellEnd"/>
            <w:r w:rsidRPr="00B74A55">
              <w:rPr>
                <w:sz w:val="22"/>
              </w:rPr>
              <w:t xml:space="preserve"> </w:t>
            </w:r>
            <w:proofErr w:type="spellStart"/>
            <w:r w:rsidRPr="00B74A55">
              <w:rPr>
                <w:sz w:val="22"/>
              </w:rPr>
              <w:t>проєкту</w:t>
            </w:r>
            <w:proofErr w:type="spellEnd"/>
            <w:r w:rsidRPr="00B74A55">
              <w:rPr>
                <w:sz w:val="22"/>
              </w:rPr>
              <w:t xml:space="preserve"> </w:t>
            </w:r>
            <w:proofErr w:type="spellStart"/>
            <w:r w:rsidRPr="00B74A55">
              <w:rPr>
                <w:sz w:val="22"/>
              </w:rPr>
              <w:t>щодо</w:t>
            </w:r>
            <w:proofErr w:type="spellEnd"/>
            <w:r w:rsidRPr="00B74A55">
              <w:rPr>
                <w:sz w:val="22"/>
              </w:rPr>
              <w:t xml:space="preserve"> </w:t>
            </w:r>
            <w:proofErr w:type="spellStart"/>
            <w:r w:rsidRPr="00B74A55">
              <w:rPr>
                <w:sz w:val="22"/>
              </w:rPr>
              <w:t>встановлення</w:t>
            </w:r>
            <w:proofErr w:type="spellEnd"/>
            <w:r w:rsidRPr="00B74A55">
              <w:rPr>
                <w:sz w:val="22"/>
              </w:rPr>
              <w:t xml:space="preserve"> </w:t>
            </w:r>
            <w:proofErr w:type="spellStart"/>
            <w:r w:rsidRPr="00B74A55">
              <w:rPr>
                <w:sz w:val="22"/>
              </w:rPr>
              <w:t>огорожі</w:t>
            </w:r>
            <w:proofErr w:type="spellEnd"/>
            <w:r w:rsidRPr="00B74A55">
              <w:rPr>
                <w:sz w:val="22"/>
              </w:rPr>
              <w:t xml:space="preserve">. </w:t>
            </w:r>
          </w:p>
          <w:p w:rsidR="003A4A66" w:rsidRPr="00B74A55" w:rsidRDefault="003A4A66" w:rsidP="00CF479C">
            <w:pPr>
              <w:pStyle w:val="a7"/>
              <w:ind w:left="0"/>
              <w:rPr>
                <w:sz w:val="22"/>
              </w:rPr>
            </w:pPr>
            <w:r w:rsidRPr="00B74A55">
              <w:rPr>
                <w:sz w:val="22"/>
              </w:rPr>
              <w:t>І</w:t>
            </w:r>
            <w:r w:rsidRPr="00B74A55">
              <w:rPr>
                <w:sz w:val="22"/>
                <w:lang w:val="en-US"/>
              </w:rPr>
              <w:t>V</w:t>
            </w:r>
            <w:r w:rsidRPr="00B74A55">
              <w:rPr>
                <w:sz w:val="22"/>
              </w:rPr>
              <w:t xml:space="preserve">. </w:t>
            </w:r>
            <w:proofErr w:type="spellStart"/>
            <w:r w:rsidRPr="00B74A55">
              <w:rPr>
                <w:sz w:val="22"/>
              </w:rPr>
              <w:t>Визначення</w:t>
            </w:r>
            <w:proofErr w:type="spellEnd"/>
            <w:r w:rsidRPr="00B74A55">
              <w:rPr>
                <w:sz w:val="22"/>
              </w:rPr>
              <w:t xml:space="preserve"> </w:t>
            </w:r>
            <w:proofErr w:type="spellStart"/>
            <w:r w:rsidRPr="00B74A55">
              <w:rPr>
                <w:sz w:val="22"/>
              </w:rPr>
              <w:t>будівельно-підрядної</w:t>
            </w:r>
            <w:proofErr w:type="spellEnd"/>
            <w:r w:rsidRPr="00B74A55">
              <w:rPr>
                <w:sz w:val="22"/>
              </w:rPr>
              <w:t xml:space="preserve"> </w:t>
            </w:r>
            <w:proofErr w:type="spellStart"/>
            <w:r w:rsidRPr="00B74A55">
              <w:rPr>
                <w:sz w:val="22"/>
              </w:rPr>
              <w:t>організації-укладання</w:t>
            </w:r>
            <w:proofErr w:type="spellEnd"/>
            <w:r w:rsidRPr="00B74A55">
              <w:rPr>
                <w:sz w:val="22"/>
              </w:rPr>
              <w:t xml:space="preserve"> угоди </w:t>
            </w:r>
            <w:proofErr w:type="spellStart"/>
            <w:r w:rsidRPr="00B74A55">
              <w:rPr>
                <w:sz w:val="22"/>
              </w:rPr>
              <w:t>із</w:t>
            </w:r>
            <w:proofErr w:type="spellEnd"/>
            <w:r w:rsidRPr="00B74A55">
              <w:rPr>
                <w:sz w:val="22"/>
              </w:rPr>
              <w:t xml:space="preserve"> </w:t>
            </w:r>
            <w:proofErr w:type="spellStart"/>
            <w:r w:rsidRPr="00B74A55">
              <w:rPr>
                <w:sz w:val="22"/>
              </w:rPr>
              <w:t>організацією-підрядником</w:t>
            </w:r>
            <w:proofErr w:type="spellEnd"/>
            <w:r w:rsidRPr="00B74A55">
              <w:rPr>
                <w:sz w:val="22"/>
              </w:rPr>
              <w:t xml:space="preserve"> та </w:t>
            </w:r>
            <w:proofErr w:type="spellStart"/>
            <w:r w:rsidRPr="00B74A55">
              <w:rPr>
                <w:sz w:val="22"/>
              </w:rPr>
              <w:t>проведення</w:t>
            </w:r>
            <w:proofErr w:type="spellEnd"/>
            <w:r w:rsidRPr="00B74A55">
              <w:rPr>
                <w:sz w:val="22"/>
              </w:rPr>
              <w:t xml:space="preserve"> </w:t>
            </w:r>
            <w:proofErr w:type="spellStart"/>
            <w:r w:rsidRPr="00B74A55">
              <w:rPr>
                <w:sz w:val="22"/>
              </w:rPr>
              <w:t>підготовчих</w:t>
            </w:r>
            <w:proofErr w:type="spellEnd"/>
            <w:r w:rsidRPr="00B74A55">
              <w:rPr>
                <w:sz w:val="22"/>
              </w:rPr>
              <w:t xml:space="preserve"> </w:t>
            </w:r>
            <w:proofErr w:type="spellStart"/>
            <w:r w:rsidRPr="00B74A55">
              <w:rPr>
                <w:sz w:val="22"/>
              </w:rPr>
              <w:t>заходів</w:t>
            </w:r>
            <w:proofErr w:type="spellEnd"/>
            <w:r w:rsidRPr="00B74A55">
              <w:rPr>
                <w:sz w:val="22"/>
              </w:rPr>
              <w:t xml:space="preserve"> по </w:t>
            </w:r>
            <w:proofErr w:type="spellStart"/>
            <w:r w:rsidRPr="00B74A55">
              <w:rPr>
                <w:sz w:val="22"/>
              </w:rPr>
              <w:t>виконанню</w:t>
            </w:r>
            <w:proofErr w:type="spellEnd"/>
            <w:r w:rsidRPr="00B74A55">
              <w:rPr>
                <w:sz w:val="22"/>
              </w:rPr>
              <w:t xml:space="preserve"> </w:t>
            </w:r>
            <w:proofErr w:type="spellStart"/>
            <w:r w:rsidRPr="00B74A55">
              <w:rPr>
                <w:sz w:val="22"/>
              </w:rPr>
              <w:t>будівельних</w:t>
            </w:r>
            <w:proofErr w:type="spellEnd"/>
            <w:r w:rsidRPr="00B74A55">
              <w:rPr>
                <w:sz w:val="22"/>
              </w:rPr>
              <w:t xml:space="preserve"> </w:t>
            </w:r>
            <w:proofErr w:type="spellStart"/>
            <w:r w:rsidRPr="00B74A55">
              <w:rPr>
                <w:sz w:val="22"/>
              </w:rPr>
              <w:t>робіт</w:t>
            </w:r>
            <w:proofErr w:type="spellEnd"/>
            <w:r w:rsidRPr="00B74A55">
              <w:rPr>
                <w:sz w:val="22"/>
              </w:rPr>
              <w:t xml:space="preserve">.  </w:t>
            </w:r>
          </w:p>
          <w:p w:rsidR="003A4A66" w:rsidRPr="00B74A55" w:rsidRDefault="003A4A66" w:rsidP="00CF479C">
            <w:pPr>
              <w:pStyle w:val="a7"/>
              <w:ind w:left="0"/>
              <w:rPr>
                <w:sz w:val="22"/>
              </w:rPr>
            </w:pPr>
            <w:r w:rsidRPr="00B74A55">
              <w:rPr>
                <w:sz w:val="22"/>
                <w:lang w:val="en-US"/>
              </w:rPr>
              <w:t>V</w:t>
            </w:r>
            <w:r w:rsidRPr="00B74A55">
              <w:rPr>
                <w:sz w:val="22"/>
              </w:rPr>
              <w:t xml:space="preserve">. Закупка </w:t>
            </w:r>
            <w:proofErr w:type="spellStart"/>
            <w:r w:rsidRPr="00B74A55">
              <w:rPr>
                <w:sz w:val="22"/>
              </w:rPr>
              <w:t>матеріалів</w:t>
            </w:r>
            <w:proofErr w:type="spellEnd"/>
            <w:r w:rsidRPr="00B74A55">
              <w:rPr>
                <w:sz w:val="22"/>
              </w:rPr>
              <w:t xml:space="preserve"> для </w:t>
            </w:r>
            <w:proofErr w:type="spellStart"/>
            <w:r w:rsidRPr="00B74A55">
              <w:rPr>
                <w:sz w:val="22"/>
              </w:rPr>
              <w:t>встановлення</w:t>
            </w:r>
            <w:proofErr w:type="spellEnd"/>
            <w:r w:rsidRPr="00B74A55">
              <w:rPr>
                <w:sz w:val="22"/>
              </w:rPr>
              <w:t xml:space="preserve"> </w:t>
            </w:r>
            <w:proofErr w:type="spellStart"/>
            <w:r w:rsidRPr="00B74A55">
              <w:rPr>
                <w:sz w:val="22"/>
              </w:rPr>
              <w:t>огорожі</w:t>
            </w:r>
            <w:proofErr w:type="spellEnd"/>
            <w:r w:rsidRPr="00B74A55">
              <w:rPr>
                <w:sz w:val="22"/>
              </w:rPr>
              <w:t xml:space="preserve">: </w:t>
            </w:r>
          </w:p>
          <w:p w:rsidR="00C5130C" w:rsidRPr="00B74A55" w:rsidRDefault="003A4A66" w:rsidP="00CF479C">
            <w:pPr>
              <w:pStyle w:val="a7"/>
              <w:ind w:left="0"/>
              <w:rPr>
                <w:sz w:val="22"/>
              </w:rPr>
            </w:pPr>
            <w:r w:rsidRPr="00B74A55">
              <w:rPr>
                <w:sz w:val="22"/>
              </w:rPr>
              <w:t xml:space="preserve">-провести і </w:t>
            </w:r>
            <w:proofErr w:type="spellStart"/>
            <w:r w:rsidRPr="00B74A55">
              <w:rPr>
                <w:sz w:val="22"/>
              </w:rPr>
              <w:t>проконтролювати</w:t>
            </w:r>
            <w:proofErr w:type="spellEnd"/>
            <w:r w:rsidRPr="00B74A55">
              <w:rPr>
                <w:sz w:val="22"/>
              </w:rPr>
              <w:t xml:space="preserve"> </w:t>
            </w:r>
            <w:proofErr w:type="spellStart"/>
            <w:r w:rsidRPr="00B74A55">
              <w:rPr>
                <w:sz w:val="22"/>
              </w:rPr>
              <w:t>роботи</w:t>
            </w:r>
            <w:proofErr w:type="spellEnd"/>
            <w:r w:rsidRPr="00B74A55">
              <w:rPr>
                <w:sz w:val="22"/>
              </w:rPr>
              <w:t xml:space="preserve"> </w:t>
            </w:r>
            <w:proofErr w:type="spellStart"/>
            <w:r w:rsidRPr="00B74A55">
              <w:rPr>
                <w:sz w:val="22"/>
              </w:rPr>
              <w:t>зі</w:t>
            </w:r>
            <w:proofErr w:type="spellEnd"/>
            <w:r w:rsidRPr="00B74A55">
              <w:rPr>
                <w:sz w:val="22"/>
              </w:rPr>
              <w:t xml:space="preserve"> </w:t>
            </w:r>
            <w:proofErr w:type="spellStart"/>
            <w:r w:rsidRPr="00B74A55">
              <w:rPr>
                <w:sz w:val="22"/>
              </w:rPr>
              <w:t>встановлення</w:t>
            </w:r>
            <w:proofErr w:type="spellEnd"/>
            <w:r w:rsidRPr="00B74A55">
              <w:rPr>
                <w:sz w:val="22"/>
              </w:rPr>
              <w:t xml:space="preserve"> </w:t>
            </w:r>
            <w:proofErr w:type="spellStart"/>
            <w:r w:rsidRPr="00B74A55">
              <w:rPr>
                <w:sz w:val="22"/>
              </w:rPr>
              <w:t>огорожі</w:t>
            </w:r>
            <w:proofErr w:type="spellEnd"/>
            <w:r w:rsidRPr="00B74A55">
              <w:rPr>
                <w:sz w:val="22"/>
              </w:rPr>
              <w:t xml:space="preserve">. </w:t>
            </w:r>
          </w:p>
          <w:p w:rsidR="003A4A66" w:rsidRPr="00B74A55" w:rsidRDefault="003A4A66" w:rsidP="00CF479C">
            <w:pPr>
              <w:pStyle w:val="a7"/>
              <w:ind w:left="0"/>
              <w:rPr>
                <w:sz w:val="22"/>
              </w:rPr>
            </w:pPr>
            <w:r w:rsidRPr="00B74A55">
              <w:rPr>
                <w:sz w:val="22"/>
                <w:lang w:val="en-US"/>
              </w:rPr>
              <w:t>VI</w:t>
            </w:r>
            <w:r w:rsidRPr="00B74A55">
              <w:rPr>
                <w:sz w:val="22"/>
              </w:rPr>
              <w:t xml:space="preserve">. </w:t>
            </w:r>
            <w:proofErr w:type="spellStart"/>
            <w:r w:rsidRPr="00B74A55">
              <w:rPr>
                <w:sz w:val="22"/>
              </w:rPr>
              <w:t>Введення</w:t>
            </w:r>
            <w:proofErr w:type="spellEnd"/>
            <w:r w:rsidRPr="00B74A55">
              <w:rPr>
                <w:sz w:val="22"/>
              </w:rPr>
              <w:t xml:space="preserve"> </w:t>
            </w:r>
            <w:proofErr w:type="spellStart"/>
            <w:r w:rsidRPr="00B74A55">
              <w:rPr>
                <w:sz w:val="22"/>
              </w:rPr>
              <w:t>об’єкту</w:t>
            </w:r>
            <w:proofErr w:type="spellEnd"/>
            <w:r w:rsidRPr="00B74A55">
              <w:rPr>
                <w:sz w:val="22"/>
              </w:rPr>
              <w:t xml:space="preserve"> в </w:t>
            </w:r>
            <w:proofErr w:type="spellStart"/>
            <w:r w:rsidRPr="00B74A55">
              <w:rPr>
                <w:sz w:val="22"/>
              </w:rPr>
              <w:t>експлуатацію</w:t>
            </w:r>
            <w:proofErr w:type="spellEnd"/>
            <w:r w:rsidRPr="00B74A55">
              <w:rPr>
                <w:sz w:val="22"/>
              </w:rPr>
              <w:t xml:space="preserve">. </w:t>
            </w:r>
          </w:p>
          <w:p w:rsidR="003A4A66" w:rsidRPr="00B74A55" w:rsidRDefault="003A4A66" w:rsidP="00CF479C">
            <w:pPr>
              <w:pStyle w:val="a7"/>
              <w:ind w:left="0"/>
              <w:rPr>
                <w:sz w:val="22"/>
              </w:rPr>
            </w:pPr>
            <w:r w:rsidRPr="00B74A55">
              <w:rPr>
                <w:sz w:val="22"/>
                <w:lang w:val="en-US"/>
              </w:rPr>
              <w:t>VII</w:t>
            </w:r>
            <w:r w:rsidRPr="00B74A55">
              <w:rPr>
                <w:sz w:val="22"/>
              </w:rPr>
              <w:t xml:space="preserve">. </w:t>
            </w:r>
            <w:proofErr w:type="spellStart"/>
            <w:r w:rsidRPr="00B74A55">
              <w:rPr>
                <w:sz w:val="22"/>
              </w:rPr>
              <w:t>Прозвітувати</w:t>
            </w:r>
            <w:proofErr w:type="spellEnd"/>
            <w:r w:rsidRPr="00B74A55">
              <w:rPr>
                <w:sz w:val="22"/>
              </w:rPr>
              <w:t xml:space="preserve"> про </w:t>
            </w:r>
            <w:proofErr w:type="spellStart"/>
            <w:r w:rsidRPr="00B74A55">
              <w:rPr>
                <w:sz w:val="22"/>
              </w:rPr>
              <w:t>реалізацію</w:t>
            </w:r>
            <w:proofErr w:type="spellEnd"/>
            <w:r w:rsidRPr="00B74A55">
              <w:rPr>
                <w:sz w:val="22"/>
              </w:rPr>
              <w:t xml:space="preserve"> </w:t>
            </w:r>
            <w:proofErr w:type="spellStart"/>
            <w:r w:rsidRPr="00B74A55">
              <w:rPr>
                <w:sz w:val="22"/>
              </w:rPr>
              <w:t>проєкту</w:t>
            </w:r>
            <w:proofErr w:type="spellEnd"/>
            <w:r w:rsidRPr="00B74A55">
              <w:rPr>
                <w:sz w:val="22"/>
              </w:rPr>
              <w:t xml:space="preserve"> та </w:t>
            </w:r>
            <w:proofErr w:type="spellStart"/>
            <w:r w:rsidRPr="00B74A55">
              <w:rPr>
                <w:sz w:val="22"/>
              </w:rPr>
              <w:t>досягнення</w:t>
            </w:r>
            <w:proofErr w:type="spellEnd"/>
            <w:r w:rsidRPr="00B74A55">
              <w:rPr>
                <w:sz w:val="22"/>
              </w:rPr>
              <w:t xml:space="preserve"> </w:t>
            </w:r>
            <w:proofErr w:type="spellStart"/>
            <w:r w:rsidRPr="00B74A55">
              <w:rPr>
                <w:sz w:val="22"/>
              </w:rPr>
              <w:t>його</w:t>
            </w:r>
            <w:proofErr w:type="spellEnd"/>
            <w:r w:rsidRPr="00B74A55">
              <w:rPr>
                <w:sz w:val="22"/>
              </w:rPr>
              <w:t xml:space="preserve"> мети.</w:t>
            </w:r>
          </w:p>
        </w:tc>
      </w:tr>
      <w:tr w:rsidR="003A4A66" w:rsidRPr="00B74A55" w:rsidTr="004843F9">
        <w:trPr>
          <w:trHeight w:val="360"/>
        </w:trPr>
        <w:tc>
          <w:tcPr>
            <w:tcW w:w="2978" w:type="dxa"/>
            <w:vMerge w:val="restart"/>
            <w:shd w:val="clear" w:color="auto" w:fill="C6D9F1" w:themeFill="text2" w:themeFillTint="33"/>
          </w:tcPr>
          <w:p w:rsidR="003A4A66" w:rsidRPr="00B74A55" w:rsidRDefault="003A4A66" w:rsidP="00CF479C">
            <w:pPr>
              <w:pStyle w:val="a7"/>
              <w:ind w:left="0"/>
              <w:rPr>
                <w:b/>
                <w:sz w:val="22"/>
              </w:rPr>
            </w:pPr>
            <w:proofErr w:type="spellStart"/>
            <w:r w:rsidRPr="00B74A55">
              <w:rPr>
                <w:b/>
                <w:sz w:val="22"/>
              </w:rPr>
              <w:t>Орієнтовний</w:t>
            </w:r>
            <w:proofErr w:type="spellEnd"/>
            <w:r w:rsidRPr="00B74A55">
              <w:rPr>
                <w:b/>
                <w:sz w:val="22"/>
              </w:rPr>
              <w:t xml:space="preserve"> </w:t>
            </w:r>
            <w:proofErr w:type="spellStart"/>
            <w:r w:rsidRPr="00B74A55">
              <w:rPr>
                <w:b/>
                <w:sz w:val="22"/>
              </w:rPr>
              <w:t>обсяг</w:t>
            </w:r>
            <w:proofErr w:type="spellEnd"/>
            <w:r w:rsidRPr="00B74A55">
              <w:rPr>
                <w:b/>
                <w:sz w:val="22"/>
              </w:rPr>
              <w:t xml:space="preserve"> та </w:t>
            </w:r>
            <w:proofErr w:type="spellStart"/>
            <w:r w:rsidRPr="00B74A55">
              <w:rPr>
                <w:b/>
                <w:sz w:val="22"/>
              </w:rPr>
              <w:t>джерела</w:t>
            </w:r>
            <w:proofErr w:type="spellEnd"/>
            <w:r w:rsidRPr="00B74A55">
              <w:rPr>
                <w:b/>
                <w:sz w:val="22"/>
              </w:rPr>
              <w:t xml:space="preserve"> </w:t>
            </w:r>
            <w:proofErr w:type="spellStart"/>
            <w:r w:rsidRPr="00B74A55">
              <w:rPr>
                <w:b/>
                <w:sz w:val="22"/>
              </w:rPr>
              <w:t>фінансування</w:t>
            </w:r>
            <w:proofErr w:type="spellEnd"/>
            <w:r w:rsidRPr="00B74A55">
              <w:rPr>
                <w:b/>
                <w:sz w:val="22"/>
              </w:rPr>
              <w:t xml:space="preserve">, тис. грн. </w:t>
            </w:r>
          </w:p>
          <w:p w:rsidR="003A4A66" w:rsidRPr="00B74A55" w:rsidRDefault="003A4A66" w:rsidP="00CF479C">
            <w:pPr>
              <w:pStyle w:val="a7"/>
              <w:ind w:left="0"/>
              <w:rPr>
                <w:b/>
                <w:sz w:val="22"/>
              </w:rPr>
            </w:pPr>
          </w:p>
        </w:tc>
        <w:tc>
          <w:tcPr>
            <w:tcW w:w="1417" w:type="dxa"/>
            <w:tcBorders>
              <w:bottom w:val="single" w:sz="4" w:space="0" w:color="auto"/>
              <w:right w:val="single" w:sz="4" w:space="0" w:color="auto"/>
            </w:tcBorders>
          </w:tcPr>
          <w:p w:rsidR="003A4A66" w:rsidRPr="00B74A55" w:rsidRDefault="003A4A66" w:rsidP="00CF479C">
            <w:pPr>
              <w:pStyle w:val="a7"/>
              <w:ind w:left="0"/>
              <w:jc w:val="center"/>
              <w:rPr>
                <w:b/>
                <w:sz w:val="22"/>
              </w:rPr>
            </w:pPr>
            <w:proofErr w:type="spellStart"/>
            <w:r w:rsidRPr="00B74A55">
              <w:rPr>
                <w:b/>
                <w:sz w:val="22"/>
              </w:rPr>
              <w:t>Державний</w:t>
            </w:r>
            <w:proofErr w:type="spellEnd"/>
            <w:r w:rsidRPr="00B74A55">
              <w:rPr>
                <w:b/>
                <w:sz w:val="22"/>
              </w:rPr>
              <w:t xml:space="preserve"> бюджет</w:t>
            </w:r>
          </w:p>
        </w:tc>
        <w:tc>
          <w:tcPr>
            <w:tcW w:w="1276" w:type="dxa"/>
            <w:tcBorders>
              <w:bottom w:val="single" w:sz="4" w:space="0" w:color="auto"/>
              <w:right w:val="single" w:sz="4" w:space="0" w:color="auto"/>
            </w:tcBorders>
          </w:tcPr>
          <w:p w:rsidR="003A4A66" w:rsidRPr="00B74A55" w:rsidRDefault="003A4A66" w:rsidP="00CF479C">
            <w:pPr>
              <w:pStyle w:val="a7"/>
              <w:ind w:left="0"/>
              <w:jc w:val="center"/>
              <w:rPr>
                <w:b/>
                <w:sz w:val="22"/>
              </w:rPr>
            </w:pPr>
            <w:proofErr w:type="spellStart"/>
            <w:r w:rsidRPr="00B74A55">
              <w:rPr>
                <w:b/>
                <w:sz w:val="22"/>
              </w:rPr>
              <w:t>Місцевий</w:t>
            </w:r>
            <w:proofErr w:type="spellEnd"/>
            <w:r w:rsidRPr="00B74A55">
              <w:rPr>
                <w:b/>
                <w:sz w:val="22"/>
              </w:rPr>
              <w:t xml:space="preserve"> бюджет</w:t>
            </w:r>
          </w:p>
        </w:tc>
        <w:tc>
          <w:tcPr>
            <w:tcW w:w="3118" w:type="dxa"/>
            <w:gridSpan w:val="3"/>
            <w:tcBorders>
              <w:left w:val="single" w:sz="4" w:space="0" w:color="auto"/>
              <w:bottom w:val="single" w:sz="4" w:space="0" w:color="auto"/>
              <w:right w:val="single" w:sz="4" w:space="0" w:color="auto"/>
            </w:tcBorders>
          </w:tcPr>
          <w:p w:rsidR="003A4A66" w:rsidRPr="00B74A55" w:rsidRDefault="003A4A66" w:rsidP="00CF479C">
            <w:pPr>
              <w:pStyle w:val="a7"/>
              <w:ind w:left="0"/>
              <w:jc w:val="center"/>
              <w:rPr>
                <w:b/>
                <w:sz w:val="22"/>
              </w:rPr>
            </w:pPr>
            <w:proofErr w:type="spellStart"/>
            <w:r w:rsidRPr="00B74A55">
              <w:rPr>
                <w:b/>
                <w:sz w:val="22"/>
              </w:rPr>
              <w:t>Інші</w:t>
            </w:r>
            <w:proofErr w:type="spellEnd"/>
            <w:r w:rsidRPr="00B74A55">
              <w:rPr>
                <w:b/>
                <w:sz w:val="22"/>
              </w:rPr>
              <w:t xml:space="preserve"> </w:t>
            </w:r>
            <w:proofErr w:type="spellStart"/>
            <w:r w:rsidRPr="00B74A55">
              <w:rPr>
                <w:b/>
                <w:sz w:val="22"/>
              </w:rPr>
              <w:t>джерела</w:t>
            </w:r>
            <w:proofErr w:type="spellEnd"/>
          </w:p>
        </w:tc>
        <w:tc>
          <w:tcPr>
            <w:tcW w:w="1298" w:type="dxa"/>
            <w:tcBorders>
              <w:left w:val="single" w:sz="4" w:space="0" w:color="auto"/>
              <w:bottom w:val="single" w:sz="4" w:space="0" w:color="auto"/>
            </w:tcBorders>
          </w:tcPr>
          <w:p w:rsidR="003A4A66" w:rsidRPr="00B74A55" w:rsidRDefault="003A4A66" w:rsidP="00CF479C">
            <w:pPr>
              <w:pStyle w:val="a7"/>
              <w:ind w:left="0"/>
              <w:jc w:val="center"/>
              <w:rPr>
                <w:b/>
                <w:sz w:val="22"/>
              </w:rPr>
            </w:pPr>
            <w:proofErr w:type="spellStart"/>
            <w:r w:rsidRPr="00B74A55">
              <w:rPr>
                <w:b/>
                <w:sz w:val="22"/>
              </w:rPr>
              <w:t>Всього</w:t>
            </w:r>
            <w:proofErr w:type="spellEnd"/>
          </w:p>
        </w:tc>
      </w:tr>
      <w:tr w:rsidR="003A4A66" w:rsidRPr="00B74A55" w:rsidTr="004843F9">
        <w:trPr>
          <w:trHeight w:val="225"/>
        </w:trPr>
        <w:tc>
          <w:tcPr>
            <w:tcW w:w="2978" w:type="dxa"/>
            <w:vMerge/>
            <w:shd w:val="clear" w:color="auto" w:fill="C6D9F1" w:themeFill="text2" w:themeFillTint="33"/>
          </w:tcPr>
          <w:p w:rsidR="003A4A66" w:rsidRPr="00B74A55" w:rsidRDefault="003A4A66" w:rsidP="00CF479C">
            <w:pPr>
              <w:pStyle w:val="a7"/>
              <w:ind w:left="0"/>
              <w:rPr>
                <w:b/>
                <w:sz w:val="22"/>
              </w:rPr>
            </w:pPr>
          </w:p>
        </w:tc>
        <w:tc>
          <w:tcPr>
            <w:tcW w:w="1417" w:type="dxa"/>
            <w:vMerge w:val="restart"/>
            <w:tcBorders>
              <w:top w:val="single" w:sz="4" w:space="0" w:color="auto"/>
              <w:right w:val="single" w:sz="4" w:space="0" w:color="auto"/>
            </w:tcBorders>
          </w:tcPr>
          <w:p w:rsidR="003A4A66" w:rsidRPr="00B74A55" w:rsidRDefault="003A4A66" w:rsidP="00CF479C">
            <w:pPr>
              <w:pStyle w:val="a7"/>
              <w:ind w:left="0"/>
              <w:jc w:val="center"/>
              <w:rPr>
                <w:sz w:val="22"/>
              </w:rPr>
            </w:pPr>
            <w:r w:rsidRPr="00B74A55">
              <w:rPr>
                <w:sz w:val="22"/>
              </w:rPr>
              <w:t>2800,0</w:t>
            </w:r>
          </w:p>
        </w:tc>
        <w:tc>
          <w:tcPr>
            <w:tcW w:w="1276" w:type="dxa"/>
            <w:vMerge w:val="restart"/>
            <w:tcBorders>
              <w:top w:val="single" w:sz="4" w:space="0" w:color="auto"/>
              <w:right w:val="single" w:sz="4" w:space="0" w:color="auto"/>
            </w:tcBorders>
          </w:tcPr>
          <w:p w:rsidR="003A4A66" w:rsidRPr="00B74A55" w:rsidRDefault="003A4A66" w:rsidP="00CF479C">
            <w:pPr>
              <w:pStyle w:val="a7"/>
              <w:ind w:left="0"/>
              <w:jc w:val="center"/>
              <w:rPr>
                <w:b/>
                <w:sz w:val="22"/>
              </w:rPr>
            </w:pPr>
            <w:r w:rsidRPr="00B74A55">
              <w:rPr>
                <w:b/>
                <w:sz w:val="22"/>
              </w:rPr>
              <w:t>-</w:t>
            </w:r>
          </w:p>
        </w:tc>
        <w:tc>
          <w:tcPr>
            <w:tcW w:w="1167" w:type="dxa"/>
            <w:tcBorders>
              <w:top w:val="single" w:sz="4" w:space="0" w:color="auto"/>
              <w:left w:val="single" w:sz="4" w:space="0" w:color="auto"/>
              <w:bottom w:val="single" w:sz="4" w:space="0" w:color="auto"/>
              <w:right w:val="single" w:sz="4" w:space="0" w:color="auto"/>
            </w:tcBorders>
          </w:tcPr>
          <w:p w:rsidR="003A4A66" w:rsidRPr="00B74A55" w:rsidRDefault="003A4A66" w:rsidP="00CF479C">
            <w:pPr>
              <w:pStyle w:val="a7"/>
              <w:ind w:left="0"/>
              <w:jc w:val="center"/>
              <w:rPr>
                <w:b/>
                <w:sz w:val="22"/>
              </w:rPr>
            </w:pPr>
            <w:proofErr w:type="spellStart"/>
            <w:r w:rsidRPr="00B74A55">
              <w:rPr>
                <w:b/>
                <w:sz w:val="22"/>
              </w:rPr>
              <w:t>Обсяг</w:t>
            </w:r>
            <w:proofErr w:type="spellEnd"/>
          </w:p>
        </w:tc>
        <w:tc>
          <w:tcPr>
            <w:tcW w:w="1951" w:type="dxa"/>
            <w:gridSpan w:val="2"/>
            <w:tcBorders>
              <w:top w:val="single" w:sz="4" w:space="0" w:color="auto"/>
              <w:left w:val="single" w:sz="4" w:space="0" w:color="auto"/>
              <w:bottom w:val="single" w:sz="4" w:space="0" w:color="auto"/>
              <w:right w:val="single" w:sz="4" w:space="0" w:color="auto"/>
            </w:tcBorders>
          </w:tcPr>
          <w:p w:rsidR="003A4A66" w:rsidRPr="00B74A55" w:rsidRDefault="003A4A66" w:rsidP="00CF479C">
            <w:pPr>
              <w:pStyle w:val="a7"/>
              <w:ind w:left="0"/>
              <w:jc w:val="center"/>
              <w:rPr>
                <w:b/>
                <w:sz w:val="22"/>
              </w:rPr>
            </w:pPr>
            <w:proofErr w:type="spellStart"/>
            <w:r w:rsidRPr="00B74A55">
              <w:rPr>
                <w:b/>
                <w:sz w:val="22"/>
              </w:rPr>
              <w:t>Назва</w:t>
            </w:r>
            <w:proofErr w:type="spellEnd"/>
            <w:r w:rsidRPr="00B74A55">
              <w:rPr>
                <w:b/>
                <w:sz w:val="22"/>
              </w:rPr>
              <w:t xml:space="preserve"> </w:t>
            </w:r>
            <w:proofErr w:type="spellStart"/>
            <w:r w:rsidRPr="00B74A55">
              <w:rPr>
                <w:b/>
                <w:sz w:val="22"/>
              </w:rPr>
              <w:t>джерела</w:t>
            </w:r>
            <w:proofErr w:type="spellEnd"/>
          </w:p>
        </w:tc>
        <w:tc>
          <w:tcPr>
            <w:tcW w:w="1298" w:type="dxa"/>
            <w:vMerge w:val="restart"/>
            <w:tcBorders>
              <w:top w:val="single" w:sz="4" w:space="0" w:color="auto"/>
              <w:left w:val="single" w:sz="4" w:space="0" w:color="auto"/>
            </w:tcBorders>
          </w:tcPr>
          <w:p w:rsidR="003A4A66" w:rsidRPr="00B74A55" w:rsidRDefault="003A4A66" w:rsidP="00CF479C">
            <w:pPr>
              <w:pStyle w:val="a7"/>
              <w:ind w:left="0"/>
              <w:jc w:val="center"/>
              <w:rPr>
                <w:sz w:val="22"/>
              </w:rPr>
            </w:pPr>
            <w:r w:rsidRPr="00B74A55">
              <w:rPr>
                <w:sz w:val="22"/>
              </w:rPr>
              <w:t>4000,4</w:t>
            </w:r>
          </w:p>
        </w:tc>
      </w:tr>
      <w:tr w:rsidR="003A4A66" w:rsidRPr="00B74A55" w:rsidTr="004843F9">
        <w:trPr>
          <w:trHeight w:val="300"/>
        </w:trPr>
        <w:tc>
          <w:tcPr>
            <w:tcW w:w="2978" w:type="dxa"/>
            <w:vMerge/>
            <w:shd w:val="clear" w:color="auto" w:fill="C6D9F1" w:themeFill="text2" w:themeFillTint="33"/>
          </w:tcPr>
          <w:p w:rsidR="003A4A66" w:rsidRPr="00B74A55" w:rsidRDefault="003A4A66" w:rsidP="00CF479C">
            <w:pPr>
              <w:pStyle w:val="a7"/>
              <w:ind w:left="0"/>
              <w:rPr>
                <w:b/>
                <w:sz w:val="22"/>
              </w:rPr>
            </w:pPr>
          </w:p>
        </w:tc>
        <w:tc>
          <w:tcPr>
            <w:tcW w:w="1417" w:type="dxa"/>
            <w:vMerge/>
            <w:tcBorders>
              <w:right w:val="single" w:sz="4" w:space="0" w:color="auto"/>
            </w:tcBorders>
          </w:tcPr>
          <w:p w:rsidR="003A4A66" w:rsidRPr="00B74A55" w:rsidRDefault="003A4A66" w:rsidP="00CF479C">
            <w:pPr>
              <w:pStyle w:val="a7"/>
              <w:ind w:left="0"/>
              <w:jc w:val="center"/>
              <w:rPr>
                <w:sz w:val="22"/>
              </w:rPr>
            </w:pPr>
          </w:p>
        </w:tc>
        <w:tc>
          <w:tcPr>
            <w:tcW w:w="1276" w:type="dxa"/>
            <w:vMerge/>
            <w:tcBorders>
              <w:right w:val="single" w:sz="4" w:space="0" w:color="auto"/>
            </w:tcBorders>
          </w:tcPr>
          <w:p w:rsidR="003A4A66" w:rsidRPr="00B74A55" w:rsidRDefault="003A4A66" w:rsidP="00CF479C">
            <w:pPr>
              <w:pStyle w:val="a7"/>
              <w:ind w:left="0"/>
              <w:jc w:val="center"/>
              <w:rPr>
                <w:b/>
                <w:sz w:val="22"/>
              </w:rPr>
            </w:pPr>
          </w:p>
        </w:tc>
        <w:tc>
          <w:tcPr>
            <w:tcW w:w="1167" w:type="dxa"/>
            <w:tcBorders>
              <w:top w:val="single" w:sz="4" w:space="0" w:color="auto"/>
              <w:left w:val="single" w:sz="4" w:space="0" w:color="auto"/>
              <w:right w:val="single" w:sz="4" w:space="0" w:color="auto"/>
            </w:tcBorders>
          </w:tcPr>
          <w:p w:rsidR="003A4A66" w:rsidRPr="00B74A55" w:rsidRDefault="003A4A66" w:rsidP="00CF479C">
            <w:pPr>
              <w:pStyle w:val="a7"/>
              <w:ind w:left="0"/>
              <w:jc w:val="center"/>
              <w:rPr>
                <w:sz w:val="22"/>
              </w:rPr>
            </w:pPr>
            <w:r w:rsidRPr="00B74A55">
              <w:rPr>
                <w:sz w:val="22"/>
              </w:rPr>
              <w:t>1200,4</w:t>
            </w:r>
          </w:p>
        </w:tc>
        <w:tc>
          <w:tcPr>
            <w:tcW w:w="1951" w:type="dxa"/>
            <w:gridSpan w:val="2"/>
            <w:tcBorders>
              <w:top w:val="single" w:sz="4" w:space="0" w:color="auto"/>
              <w:left w:val="single" w:sz="4" w:space="0" w:color="auto"/>
              <w:right w:val="single" w:sz="4" w:space="0" w:color="auto"/>
            </w:tcBorders>
          </w:tcPr>
          <w:p w:rsidR="003A4A66" w:rsidRPr="00B74A55" w:rsidRDefault="003A4A66" w:rsidP="00CF479C">
            <w:pPr>
              <w:pStyle w:val="a7"/>
              <w:ind w:left="0"/>
              <w:jc w:val="center"/>
              <w:rPr>
                <w:sz w:val="22"/>
              </w:rPr>
            </w:pPr>
            <w:proofErr w:type="spellStart"/>
            <w:r w:rsidRPr="00B74A55">
              <w:rPr>
                <w:sz w:val="22"/>
              </w:rPr>
              <w:t>Міжнародні</w:t>
            </w:r>
            <w:proofErr w:type="spellEnd"/>
            <w:r w:rsidRPr="00B74A55">
              <w:rPr>
                <w:sz w:val="22"/>
              </w:rPr>
              <w:t xml:space="preserve"> </w:t>
            </w:r>
            <w:proofErr w:type="spellStart"/>
            <w:r w:rsidRPr="00B74A55">
              <w:rPr>
                <w:sz w:val="22"/>
              </w:rPr>
              <w:t>інвестиції</w:t>
            </w:r>
            <w:proofErr w:type="spellEnd"/>
            <w:r w:rsidRPr="00B74A55">
              <w:rPr>
                <w:sz w:val="22"/>
              </w:rPr>
              <w:t xml:space="preserve">, </w:t>
            </w:r>
            <w:proofErr w:type="spellStart"/>
            <w:r w:rsidRPr="00B74A55">
              <w:rPr>
                <w:sz w:val="22"/>
              </w:rPr>
              <w:t>кошти</w:t>
            </w:r>
            <w:proofErr w:type="spellEnd"/>
            <w:r w:rsidRPr="00B74A55">
              <w:rPr>
                <w:sz w:val="22"/>
              </w:rPr>
              <w:t xml:space="preserve"> </w:t>
            </w:r>
            <w:proofErr w:type="spellStart"/>
            <w:r w:rsidRPr="00B74A55">
              <w:rPr>
                <w:sz w:val="22"/>
              </w:rPr>
              <w:t>приватних</w:t>
            </w:r>
            <w:proofErr w:type="spellEnd"/>
            <w:r w:rsidRPr="00B74A55">
              <w:rPr>
                <w:sz w:val="22"/>
              </w:rPr>
              <w:t xml:space="preserve"> </w:t>
            </w:r>
            <w:proofErr w:type="spellStart"/>
            <w:r w:rsidRPr="00B74A55">
              <w:rPr>
                <w:sz w:val="22"/>
              </w:rPr>
              <w:t>осіб</w:t>
            </w:r>
            <w:proofErr w:type="spellEnd"/>
          </w:p>
        </w:tc>
        <w:tc>
          <w:tcPr>
            <w:tcW w:w="1298" w:type="dxa"/>
            <w:vMerge/>
            <w:tcBorders>
              <w:left w:val="single" w:sz="4" w:space="0" w:color="auto"/>
            </w:tcBorders>
          </w:tcPr>
          <w:p w:rsidR="003A4A66" w:rsidRPr="00B74A55" w:rsidRDefault="003A4A66" w:rsidP="00CF479C">
            <w:pPr>
              <w:pStyle w:val="a7"/>
              <w:ind w:left="0"/>
              <w:jc w:val="center"/>
              <w:rPr>
                <w:sz w:val="22"/>
              </w:rPr>
            </w:pPr>
          </w:p>
        </w:tc>
      </w:tr>
    </w:tbl>
    <w:p w:rsidR="004479C5" w:rsidRPr="00B74A55" w:rsidRDefault="004479C5" w:rsidP="004479C5">
      <w:pPr>
        <w:spacing w:after="160" w:line="259" w:lineRule="auto"/>
        <w:rPr>
          <w:rFonts w:eastAsia="Calibri"/>
          <w:b/>
          <w:bCs/>
          <w:noProof/>
          <w:sz w:val="22"/>
          <w:szCs w:val="22"/>
        </w:rPr>
      </w:pPr>
    </w:p>
    <w:p w:rsidR="00CF4B4F" w:rsidRPr="00B74A55" w:rsidRDefault="00CF4B4F" w:rsidP="00E33AAA">
      <w:pPr>
        <w:tabs>
          <w:tab w:val="left" w:pos="5290"/>
        </w:tabs>
        <w:rPr>
          <w:b/>
          <w:sz w:val="22"/>
          <w:szCs w:val="22"/>
        </w:rPr>
      </w:pPr>
    </w:p>
    <w:p w:rsidR="008B5C21" w:rsidRPr="00B74A55" w:rsidRDefault="008B5C21" w:rsidP="00E33AAA">
      <w:pPr>
        <w:tabs>
          <w:tab w:val="left" w:pos="5290"/>
        </w:tabs>
        <w:rPr>
          <w:b/>
          <w:sz w:val="22"/>
          <w:szCs w:val="22"/>
        </w:rPr>
      </w:pPr>
    </w:p>
    <w:p w:rsidR="008B5C21" w:rsidRPr="00B74A55" w:rsidRDefault="008B5C21" w:rsidP="00E33AAA">
      <w:pPr>
        <w:tabs>
          <w:tab w:val="left" w:pos="5290"/>
        </w:tabs>
        <w:rPr>
          <w:b/>
          <w:sz w:val="22"/>
          <w:szCs w:val="22"/>
        </w:rPr>
      </w:pPr>
    </w:p>
    <w:tbl>
      <w:tblPr>
        <w:tblStyle w:val="af"/>
        <w:tblW w:w="9923" w:type="dxa"/>
        <w:tblInd w:w="-176" w:type="dxa"/>
        <w:tblLayout w:type="fixed"/>
        <w:tblLook w:val="04A0" w:firstRow="1" w:lastRow="0" w:firstColumn="1" w:lastColumn="0" w:noHBand="0" w:noVBand="1"/>
      </w:tblPr>
      <w:tblGrid>
        <w:gridCol w:w="2978"/>
        <w:gridCol w:w="1633"/>
        <w:gridCol w:w="1347"/>
        <w:gridCol w:w="610"/>
        <w:gridCol w:w="264"/>
        <w:gridCol w:w="1455"/>
        <w:gridCol w:w="361"/>
        <w:gridCol w:w="1275"/>
      </w:tblGrid>
      <w:tr w:rsidR="00CF479C" w:rsidRPr="00B74A55" w:rsidTr="004843F9">
        <w:tc>
          <w:tcPr>
            <w:tcW w:w="2978" w:type="dxa"/>
            <w:shd w:val="clear" w:color="auto" w:fill="C6D9F1" w:themeFill="text2" w:themeFillTint="33"/>
          </w:tcPr>
          <w:p w:rsidR="00CF479C" w:rsidRPr="00B74A55" w:rsidRDefault="00CF479C" w:rsidP="00CF479C">
            <w:pPr>
              <w:pStyle w:val="a7"/>
              <w:ind w:left="0"/>
              <w:rPr>
                <w:b/>
                <w:sz w:val="22"/>
                <w:lang w:val="uk-UA"/>
              </w:rPr>
            </w:pPr>
            <w:r w:rsidRPr="00B74A55">
              <w:rPr>
                <w:b/>
                <w:sz w:val="22"/>
                <w:lang w:val="uk-UA"/>
              </w:rPr>
              <w:t>Оперативна ціль/завдання</w:t>
            </w:r>
          </w:p>
        </w:tc>
        <w:tc>
          <w:tcPr>
            <w:tcW w:w="6945" w:type="dxa"/>
            <w:gridSpan w:val="7"/>
            <w:shd w:val="clear" w:color="auto" w:fill="auto"/>
          </w:tcPr>
          <w:p w:rsidR="00CF479C" w:rsidRPr="00B74A55" w:rsidRDefault="00CF479C" w:rsidP="00CF479C">
            <w:pPr>
              <w:rPr>
                <w:sz w:val="22"/>
                <w:lang w:val="uk-UA"/>
              </w:rPr>
            </w:pPr>
            <w:r w:rsidRPr="00B74A55">
              <w:rPr>
                <w:rFonts w:eastAsia="SimSun"/>
                <w:sz w:val="22"/>
                <w:lang w:val="uk-UA"/>
              </w:rPr>
              <w:t xml:space="preserve">Людський розвиток через інновації управління та довіру до влади. Формування сучасного інклюзивного  </w:t>
            </w:r>
            <w:proofErr w:type="spellStart"/>
            <w:r w:rsidRPr="00B74A55">
              <w:rPr>
                <w:rFonts w:eastAsia="SimSun"/>
                <w:sz w:val="22"/>
                <w:lang w:val="uk-UA"/>
              </w:rPr>
              <w:t>освітньо</w:t>
            </w:r>
            <w:proofErr w:type="spellEnd"/>
            <w:r w:rsidRPr="00B74A55">
              <w:rPr>
                <w:rFonts w:eastAsia="SimSun"/>
                <w:sz w:val="22"/>
                <w:lang w:val="uk-UA"/>
              </w:rPr>
              <w:t>-культурного та спортивного простору для розвитку"</w:t>
            </w:r>
          </w:p>
        </w:tc>
      </w:tr>
      <w:tr w:rsidR="00CF479C" w:rsidRPr="00B74A55" w:rsidTr="004843F9">
        <w:tc>
          <w:tcPr>
            <w:tcW w:w="2978" w:type="dxa"/>
            <w:shd w:val="clear" w:color="auto" w:fill="C6D9F1" w:themeFill="text2" w:themeFillTint="33"/>
          </w:tcPr>
          <w:p w:rsidR="00CF479C" w:rsidRPr="00B74A55" w:rsidRDefault="00CF479C" w:rsidP="00CF479C">
            <w:pPr>
              <w:pStyle w:val="a7"/>
              <w:ind w:left="0"/>
              <w:rPr>
                <w:b/>
                <w:sz w:val="22"/>
                <w:lang w:val="uk-UA"/>
              </w:rPr>
            </w:pPr>
            <w:r w:rsidRPr="00B74A55">
              <w:rPr>
                <w:b/>
                <w:sz w:val="22"/>
                <w:lang w:val="uk-UA"/>
              </w:rPr>
              <w:lastRenderedPageBreak/>
              <w:t>Назва проекту:</w:t>
            </w:r>
          </w:p>
        </w:tc>
        <w:tc>
          <w:tcPr>
            <w:tcW w:w="6945" w:type="dxa"/>
            <w:gridSpan w:val="7"/>
          </w:tcPr>
          <w:p w:rsidR="00CF479C" w:rsidRPr="00B74A55" w:rsidRDefault="00CF479C" w:rsidP="00CF479C">
            <w:pPr>
              <w:pStyle w:val="a7"/>
              <w:ind w:left="0"/>
              <w:rPr>
                <w:sz w:val="22"/>
                <w:lang w:val="uk-UA"/>
              </w:rPr>
            </w:pPr>
            <w:r w:rsidRPr="00B74A55">
              <w:rPr>
                <w:sz w:val="22"/>
                <w:lang w:val="uk-UA"/>
              </w:rPr>
              <w:t>"Безпечна школа" - облаштування укриття на території  гімназії № 4 міста Сєвєродонецька Луганської області, вулиця Гагаріна, будинок 90</w:t>
            </w:r>
          </w:p>
        </w:tc>
      </w:tr>
      <w:tr w:rsidR="00CF479C" w:rsidRPr="00B74A55" w:rsidTr="004843F9">
        <w:tc>
          <w:tcPr>
            <w:tcW w:w="2978" w:type="dxa"/>
            <w:shd w:val="clear" w:color="auto" w:fill="C6D9F1" w:themeFill="text2" w:themeFillTint="33"/>
          </w:tcPr>
          <w:p w:rsidR="00CF479C" w:rsidRPr="00B74A55" w:rsidRDefault="00CF479C" w:rsidP="00CF479C">
            <w:pPr>
              <w:rPr>
                <w:b/>
                <w:sz w:val="22"/>
                <w:lang w:val="uk-UA"/>
              </w:rPr>
            </w:pPr>
            <w:r w:rsidRPr="00B74A55">
              <w:rPr>
                <w:b/>
                <w:sz w:val="22"/>
                <w:lang w:val="uk-UA"/>
              </w:rPr>
              <w:t>Ціль проекту</w:t>
            </w:r>
          </w:p>
        </w:tc>
        <w:tc>
          <w:tcPr>
            <w:tcW w:w="6945" w:type="dxa"/>
            <w:gridSpan w:val="7"/>
          </w:tcPr>
          <w:p w:rsidR="00CF479C" w:rsidRPr="00B74A55" w:rsidRDefault="00CF479C" w:rsidP="00CF479C">
            <w:pPr>
              <w:pStyle w:val="a7"/>
              <w:ind w:left="0"/>
              <w:rPr>
                <w:sz w:val="22"/>
                <w:lang w:val="uk-UA"/>
              </w:rPr>
            </w:pPr>
            <w:r w:rsidRPr="00B74A55">
              <w:rPr>
                <w:sz w:val="22"/>
                <w:lang w:val="uk-UA"/>
              </w:rPr>
              <w:t xml:space="preserve">Облаштування укриття на території гімназії № 4 міста Сєвєродонецька Луганської області для організації  сучасного, комфортного, безпечного і якісного освітнього процесу в умовах </w:t>
            </w:r>
            <w:proofErr w:type="spellStart"/>
            <w:r w:rsidRPr="00B74A55">
              <w:rPr>
                <w:sz w:val="22"/>
                <w:lang w:val="uk-UA"/>
              </w:rPr>
              <w:t>деокупації</w:t>
            </w:r>
            <w:proofErr w:type="spellEnd"/>
            <w:r w:rsidRPr="00B74A55">
              <w:rPr>
                <w:sz w:val="22"/>
                <w:lang w:val="uk-UA"/>
              </w:rPr>
              <w:t xml:space="preserve"> від агресії </w:t>
            </w:r>
            <w:r w:rsidR="001C7EE7" w:rsidRPr="00B74A55">
              <w:rPr>
                <w:sz w:val="22"/>
                <w:lang w:val="uk-UA"/>
              </w:rPr>
              <w:t>РФ</w:t>
            </w:r>
            <w:r w:rsidRPr="00B74A55">
              <w:rPr>
                <w:sz w:val="22"/>
                <w:lang w:val="uk-UA"/>
              </w:rPr>
              <w:t xml:space="preserve"> на території м. Сєвєродонецька Сєвєродонецької міської територіальної громади Луганської області. Створення у подальшому  безпечного простору всіх учасників освітнього процесу. </w:t>
            </w:r>
          </w:p>
        </w:tc>
      </w:tr>
      <w:tr w:rsidR="00CF479C" w:rsidRPr="00B74A55" w:rsidTr="004843F9">
        <w:tc>
          <w:tcPr>
            <w:tcW w:w="2978" w:type="dxa"/>
            <w:shd w:val="clear" w:color="auto" w:fill="C6D9F1" w:themeFill="text2" w:themeFillTint="33"/>
          </w:tcPr>
          <w:p w:rsidR="00CF479C" w:rsidRPr="00B74A55" w:rsidRDefault="00CF479C" w:rsidP="00CF479C">
            <w:pPr>
              <w:pStyle w:val="a7"/>
              <w:ind w:left="0"/>
              <w:rPr>
                <w:b/>
                <w:sz w:val="22"/>
                <w:lang w:val="uk-UA"/>
              </w:rPr>
            </w:pPr>
            <w:r w:rsidRPr="00B74A55">
              <w:rPr>
                <w:b/>
                <w:sz w:val="22"/>
                <w:lang w:val="uk-UA"/>
              </w:rPr>
              <w:t>Територія, на яку матиме вплив реалізація проекту</w:t>
            </w:r>
          </w:p>
        </w:tc>
        <w:tc>
          <w:tcPr>
            <w:tcW w:w="6945" w:type="dxa"/>
            <w:gridSpan w:val="7"/>
          </w:tcPr>
          <w:p w:rsidR="00CF479C" w:rsidRPr="00B74A55" w:rsidRDefault="00CF479C" w:rsidP="00CF479C">
            <w:pPr>
              <w:pStyle w:val="a7"/>
              <w:ind w:left="0"/>
              <w:rPr>
                <w:sz w:val="22"/>
                <w:lang w:val="uk-UA"/>
              </w:rPr>
            </w:pPr>
            <w:r w:rsidRPr="00B74A55">
              <w:rPr>
                <w:sz w:val="22"/>
                <w:lang w:val="uk-UA"/>
              </w:rPr>
              <w:t>Сєвєродонецька міська територіальна громада</w:t>
            </w:r>
          </w:p>
        </w:tc>
      </w:tr>
      <w:tr w:rsidR="00CF479C" w:rsidRPr="00B74A55" w:rsidTr="004843F9">
        <w:tc>
          <w:tcPr>
            <w:tcW w:w="2978" w:type="dxa"/>
            <w:shd w:val="clear" w:color="auto" w:fill="C6D9F1" w:themeFill="text2" w:themeFillTint="33"/>
          </w:tcPr>
          <w:p w:rsidR="00CF479C" w:rsidRPr="00B74A55" w:rsidRDefault="00CF479C" w:rsidP="00CF479C">
            <w:pPr>
              <w:pStyle w:val="a7"/>
              <w:ind w:left="0"/>
              <w:rPr>
                <w:b/>
                <w:sz w:val="22"/>
                <w:lang w:val="uk-UA"/>
              </w:rPr>
            </w:pPr>
            <w:r w:rsidRPr="00B74A55">
              <w:rPr>
                <w:b/>
                <w:sz w:val="22"/>
                <w:lang w:val="uk-UA"/>
              </w:rPr>
              <w:t>Чисельність населення, на яке матиме вплив реалізація проекту</w:t>
            </w:r>
          </w:p>
        </w:tc>
        <w:tc>
          <w:tcPr>
            <w:tcW w:w="6945" w:type="dxa"/>
            <w:gridSpan w:val="7"/>
          </w:tcPr>
          <w:p w:rsidR="00CF479C" w:rsidRPr="00B74A55" w:rsidRDefault="00CF479C" w:rsidP="00CF479C">
            <w:pPr>
              <w:pStyle w:val="a7"/>
              <w:ind w:left="0"/>
              <w:rPr>
                <w:sz w:val="22"/>
                <w:lang w:val="uk-UA"/>
              </w:rPr>
            </w:pPr>
            <w:r w:rsidRPr="00B74A55">
              <w:rPr>
                <w:sz w:val="22"/>
                <w:lang w:val="uk-UA"/>
              </w:rPr>
              <w:t xml:space="preserve"> 70 000  осіб</w:t>
            </w:r>
          </w:p>
        </w:tc>
      </w:tr>
      <w:tr w:rsidR="00CF479C" w:rsidRPr="00B74A55" w:rsidTr="004843F9">
        <w:tc>
          <w:tcPr>
            <w:tcW w:w="2978" w:type="dxa"/>
            <w:shd w:val="clear" w:color="auto" w:fill="C6D9F1" w:themeFill="text2" w:themeFillTint="33"/>
          </w:tcPr>
          <w:p w:rsidR="00CF479C" w:rsidRPr="00B74A55" w:rsidRDefault="00CF479C" w:rsidP="00CF479C">
            <w:pPr>
              <w:rPr>
                <w:b/>
                <w:sz w:val="22"/>
                <w:lang w:val="uk-UA"/>
              </w:rPr>
            </w:pPr>
            <w:r w:rsidRPr="00B74A55">
              <w:rPr>
                <w:b/>
                <w:sz w:val="22"/>
                <w:lang w:val="uk-UA"/>
              </w:rPr>
              <w:t>Опис проблеми, на вирішення якої  спрямований проект</w:t>
            </w:r>
          </w:p>
        </w:tc>
        <w:tc>
          <w:tcPr>
            <w:tcW w:w="6945" w:type="dxa"/>
            <w:gridSpan w:val="7"/>
          </w:tcPr>
          <w:p w:rsidR="00CF479C" w:rsidRPr="00B74A55" w:rsidRDefault="00CF479C" w:rsidP="00CF479C">
            <w:pPr>
              <w:ind w:firstLine="708"/>
              <w:rPr>
                <w:sz w:val="22"/>
                <w:lang w:val="uk-UA"/>
              </w:rPr>
            </w:pPr>
            <w:r w:rsidRPr="00B74A55">
              <w:rPr>
                <w:sz w:val="22"/>
                <w:lang w:val="uk-UA"/>
              </w:rPr>
              <w:t>Через військову агресію РФ територія Сєвєродонецької міської територіальної громади зазнала значних пошкоджень. Не оминуло це і гімназію № 4 міста Сєвєродонецька Луганської області.</w:t>
            </w:r>
          </w:p>
          <w:p w:rsidR="00CF479C" w:rsidRPr="00B74A55" w:rsidRDefault="00CF479C" w:rsidP="00CF479C">
            <w:pPr>
              <w:pStyle w:val="13"/>
              <w:jc w:val="both"/>
              <w:rPr>
                <w:sz w:val="22"/>
                <w:lang w:val="uk-UA"/>
              </w:rPr>
            </w:pPr>
            <w:r w:rsidRPr="00B74A55">
              <w:rPr>
                <w:sz w:val="22"/>
                <w:lang w:val="uk-UA"/>
              </w:rPr>
              <w:t xml:space="preserve">Обладнане укриття не виконує своєї функції, адже заклад освіти після 24.02.2022 року </w:t>
            </w:r>
            <w:proofErr w:type="spellStart"/>
            <w:r w:rsidRPr="00B74A55">
              <w:rPr>
                <w:sz w:val="22"/>
                <w:lang w:val="uk-UA"/>
              </w:rPr>
              <w:t>пребував</w:t>
            </w:r>
            <w:proofErr w:type="spellEnd"/>
            <w:r w:rsidRPr="00B74A55">
              <w:rPr>
                <w:sz w:val="22"/>
                <w:lang w:val="uk-UA"/>
              </w:rPr>
              <w:t xml:space="preserve"> під постійними обстрілами. Основна мета - забезпечити безпечне перебування дітей в урочний  та позаурочний час. Укриття, яке планується для встановлення, буде надійним захистом для здобувачів освіти на  території гімназії. Даний </w:t>
            </w:r>
            <w:proofErr w:type="spellStart"/>
            <w:r w:rsidRPr="00B74A55">
              <w:rPr>
                <w:sz w:val="22"/>
                <w:lang w:val="uk-UA"/>
              </w:rPr>
              <w:t>проєкт</w:t>
            </w:r>
            <w:proofErr w:type="spellEnd"/>
            <w:r w:rsidRPr="00B74A55">
              <w:rPr>
                <w:sz w:val="22"/>
                <w:lang w:val="uk-UA"/>
              </w:rPr>
              <w:t xml:space="preserve"> спрямований на облаштування укриття до 1000 осіб, що дасть можливість навчати дітей і в очному форматі.</w:t>
            </w:r>
          </w:p>
        </w:tc>
      </w:tr>
      <w:tr w:rsidR="00CF479C" w:rsidRPr="00B74A55" w:rsidTr="004843F9">
        <w:trPr>
          <w:trHeight w:val="1048"/>
        </w:trPr>
        <w:tc>
          <w:tcPr>
            <w:tcW w:w="2978" w:type="dxa"/>
            <w:shd w:val="clear" w:color="auto" w:fill="C6D9F1" w:themeFill="text2" w:themeFillTint="33"/>
          </w:tcPr>
          <w:p w:rsidR="00CF479C" w:rsidRPr="00B74A55" w:rsidRDefault="00CF479C" w:rsidP="00CF479C">
            <w:pPr>
              <w:pStyle w:val="a7"/>
              <w:ind w:left="0"/>
              <w:rPr>
                <w:b/>
                <w:sz w:val="22"/>
                <w:lang w:val="uk-UA"/>
              </w:rPr>
            </w:pPr>
            <w:r w:rsidRPr="00B74A55">
              <w:rPr>
                <w:b/>
                <w:sz w:val="22"/>
                <w:lang w:val="uk-UA"/>
              </w:rPr>
              <w:t>Очікувані якісні результати від реалізації проекту</w:t>
            </w:r>
          </w:p>
        </w:tc>
        <w:tc>
          <w:tcPr>
            <w:tcW w:w="6945" w:type="dxa"/>
            <w:gridSpan w:val="7"/>
          </w:tcPr>
          <w:p w:rsidR="00CF479C" w:rsidRPr="00B74A55" w:rsidRDefault="00CF479C" w:rsidP="00CF479C">
            <w:pPr>
              <w:pStyle w:val="a7"/>
              <w:ind w:left="0"/>
              <w:rPr>
                <w:sz w:val="22"/>
                <w:lang w:val="uk-UA"/>
              </w:rPr>
            </w:pPr>
            <w:r w:rsidRPr="00B74A55">
              <w:rPr>
                <w:sz w:val="22"/>
                <w:lang w:val="uk-UA"/>
              </w:rPr>
              <w:t xml:space="preserve">- відновлення освітнього середовища, контингенту учнів; </w:t>
            </w:r>
          </w:p>
          <w:p w:rsidR="00CF479C" w:rsidRPr="00B74A55" w:rsidRDefault="00CF479C" w:rsidP="00CF479C">
            <w:pPr>
              <w:pStyle w:val="a7"/>
              <w:ind w:left="0"/>
              <w:rPr>
                <w:sz w:val="22"/>
                <w:lang w:val="uk-UA"/>
              </w:rPr>
            </w:pPr>
            <w:r w:rsidRPr="00B74A55">
              <w:rPr>
                <w:sz w:val="22"/>
                <w:lang w:val="uk-UA"/>
              </w:rPr>
              <w:t>- благоустрій мікрорайону гімназії;</w:t>
            </w:r>
          </w:p>
          <w:p w:rsidR="00CF479C" w:rsidRPr="00B74A55" w:rsidRDefault="00CF479C" w:rsidP="00CF479C">
            <w:pPr>
              <w:pStyle w:val="a7"/>
              <w:ind w:left="0"/>
              <w:rPr>
                <w:sz w:val="22"/>
                <w:lang w:val="uk-UA"/>
              </w:rPr>
            </w:pPr>
            <w:r w:rsidRPr="00B74A55">
              <w:rPr>
                <w:sz w:val="22"/>
                <w:lang w:val="uk-UA"/>
              </w:rPr>
              <w:t xml:space="preserve">- перетворення закладу освіти на осередок соціальної згуртованості та стійкості в громаді. </w:t>
            </w:r>
          </w:p>
        </w:tc>
      </w:tr>
      <w:tr w:rsidR="00CF479C" w:rsidRPr="00B74A55" w:rsidTr="004843F9">
        <w:trPr>
          <w:trHeight w:val="390"/>
        </w:trPr>
        <w:tc>
          <w:tcPr>
            <w:tcW w:w="2978" w:type="dxa"/>
            <w:vMerge w:val="restart"/>
            <w:shd w:val="clear" w:color="auto" w:fill="C6D9F1" w:themeFill="text2" w:themeFillTint="33"/>
          </w:tcPr>
          <w:p w:rsidR="00CF479C" w:rsidRPr="00B74A55" w:rsidRDefault="00CF479C" w:rsidP="00CF479C">
            <w:pPr>
              <w:pStyle w:val="a7"/>
              <w:ind w:left="0"/>
              <w:rPr>
                <w:b/>
                <w:sz w:val="22"/>
                <w:lang w:val="uk-UA"/>
              </w:rPr>
            </w:pPr>
            <w:r w:rsidRPr="00B74A55">
              <w:rPr>
                <w:b/>
                <w:sz w:val="22"/>
                <w:lang w:val="uk-UA"/>
              </w:rPr>
              <w:t xml:space="preserve">Очікувані кількісні результати реалізації </w:t>
            </w:r>
            <w:proofErr w:type="spellStart"/>
            <w:r w:rsidRPr="00B74A55">
              <w:rPr>
                <w:b/>
                <w:sz w:val="22"/>
                <w:lang w:val="uk-UA"/>
              </w:rPr>
              <w:t>проєкту</w:t>
            </w:r>
            <w:proofErr w:type="spellEnd"/>
            <w:r w:rsidRPr="00B74A55">
              <w:rPr>
                <w:b/>
                <w:sz w:val="22"/>
                <w:lang w:val="uk-UA"/>
              </w:rPr>
              <w:t xml:space="preserve"> (індикатори)</w:t>
            </w:r>
          </w:p>
          <w:p w:rsidR="00CF479C" w:rsidRPr="00B74A55" w:rsidRDefault="00CF479C" w:rsidP="00CF479C">
            <w:pPr>
              <w:pStyle w:val="a7"/>
              <w:ind w:left="0"/>
              <w:rPr>
                <w:b/>
                <w:sz w:val="22"/>
                <w:lang w:val="uk-UA"/>
              </w:rPr>
            </w:pPr>
          </w:p>
        </w:tc>
        <w:tc>
          <w:tcPr>
            <w:tcW w:w="3590" w:type="dxa"/>
            <w:gridSpan w:val="3"/>
            <w:tcBorders>
              <w:bottom w:val="single" w:sz="4" w:space="0" w:color="auto"/>
              <w:right w:val="single" w:sz="4" w:space="0" w:color="auto"/>
            </w:tcBorders>
          </w:tcPr>
          <w:p w:rsidR="00CF479C" w:rsidRPr="00B74A55" w:rsidRDefault="00CF479C" w:rsidP="00CF479C">
            <w:pPr>
              <w:pStyle w:val="a7"/>
              <w:ind w:left="-108"/>
              <w:jc w:val="center"/>
              <w:rPr>
                <w:b/>
                <w:sz w:val="22"/>
                <w:lang w:val="uk-UA"/>
              </w:rPr>
            </w:pPr>
            <w:r w:rsidRPr="00B74A55">
              <w:rPr>
                <w:b/>
                <w:sz w:val="22"/>
                <w:lang w:val="uk-UA"/>
              </w:rPr>
              <w:t>Найменування показника</w:t>
            </w:r>
          </w:p>
        </w:tc>
        <w:tc>
          <w:tcPr>
            <w:tcW w:w="1719" w:type="dxa"/>
            <w:gridSpan w:val="2"/>
            <w:tcBorders>
              <w:left w:val="single" w:sz="4" w:space="0" w:color="auto"/>
              <w:bottom w:val="single" w:sz="4" w:space="0" w:color="auto"/>
              <w:right w:val="single" w:sz="4" w:space="0" w:color="auto"/>
            </w:tcBorders>
          </w:tcPr>
          <w:p w:rsidR="00CF479C" w:rsidRPr="00B74A55" w:rsidRDefault="00CF479C" w:rsidP="00CF479C">
            <w:pPr>
              <w:pStyle w:val="a7"/>
              <w:ind w:left="0"/>
              <w:jc w:val="center"/>
              <w:rPr>
                <w:b/>
                <w:sz w:val="22"/>
                <w:lang w:val="uk-UA"/>
              </w:rPr>
            </w:pPr>
            <w:r w:rsidRPr="00B74A55">
              <w:rPr>
                <w:b/>
                <w:sz w:val="22"/>
                <w:lang w:val="uk-UA"/>
              </w:rPr>
              <w:t>Одиниця вимірювання</w:t>
            </w:r>
          </w:p>
          <w:p w:rsidR="00CF479C" w:rsidRPr="00B74A55" w:rsidRDefault="00CF479C" w:rsidP="00CF479C">
            <w:pPr>
              <w:pStyle w:val="a7"/>
              <w:ind w:left="0"/>
              <w:rPr>
                <w:b/>
                <w:sz w:val="22"/>
                <w:lang w:val="uk-UA"/>
              </w:rPr>
            </w:pPr>
          </w:p>
        </w:tc>
        <w:tc>
          <w:tcPr>
            <w:tcW w:w="1636" w:type="dxa"/>
            <w:gridSpan w:val="2"/>
            <w:tcBorders>
              <w:left w:val="single" w:sz="4" w:space="0" w:color="auto"/>
              <w:bottom w:val="single" w:sz="4" w:space="0" w:color="auto"/>
            </w:tcBorders>
          </w:tcPr>
          <w:p w:rsidR="00CF479C" w:rsidRPr="00B74A55" w:rsidRDefault="00C04B84" w:rsidP="00CF479C">
            <w:pPr>
              <w:pStyle w:val="a7"/>
              <w:ind w:left="0"/>
              <w:jc w:val="center"/>
              <w:rPr>
                <w:b/>
                <w:sz w:val="22"/>
                <w:lang w:val="uk-UA"/>
              </w:rPr>
            </w:pPr>
            <w:r w:rsidRPr="00B74A55">
              <w:rPr>
                <w:b/>
                <w:sz w:val="22"/>
                <w:lang w:val="uk-UA"/>
              </w:rPr>
              <w:t xml:space="preserve">Прогнозне (цільове) </w:t>
            </w:r>
            <w:r w:rsidR="00CF479C" w:rsidRPr="00B74A55">
              <w:rPr>
                <w:b/>
                <w:sz w:val="22"/>
                <w:lang w:val="uk-UA"/>
              </w:rPr>
              <w:t>значення</w:t>
            </w:r>
          </w:p>
        </w:tc>
      </w:tr>
      <w:tr w:rsidR="00CF479C" w:rsidRPr="00B74A55" w:rsidTr="004843F9">
        <w:trPr>
          <w:trHeight w:val="585"/>
        </w:trPr>
        <w:tc>
          <w:tcPr>
            <w:tcW w:w="2978" w:type="dxa"/>
            <w:vMerge/>
            <w:shd w:val="clear" w:color="auto" w:fill="C6D9F1" w:themeFill="text2" w:themeFillTint="33"/>
          </w:tcPr>
          <w:p w:rsidR="00CF479C" w:rsidRPr="00B74A55" w:rsidRDefault="00CF479C" w:rsidP="00CF479C">
            <w:pPr>
              <w:pStyle w:val="a7"/>
              <w:ind w:left="0"/>
              <w:rPr>
                <w:b/>
                <w:sz w:val="22"/>
                <w:lang w:val="uk-UA"/>
              </w:rPr>
            </w:pPr>
          </w:p>
        </w:tc>
        <w:tc>
          <w:tcPr>
            <w:tcW w:w="3590" w:type="dxa"/>
            <w:gridSpan w:val="3"/>
            <w:tcBorders>
              <w:top w:val="single" w:sz="4" w:space="0" w:color="auto"/>
              <w:bottom w:val="single" w:sz="4" w:space="0" w:color="auto"/>
              <w:right w:val="single" w:sz="4" w:space="0" w:color="auto"/>
            </w:tcBorders>
          </w:tcPr>
          <w:p w:rsidR="00CF479C" w:rsidRPr="00B74A55" w:rsidRDefault="00CF479C" w:rsidP="00CF479C">
            <w:pPr>
              <w:pStyle w:val="a7"/>
              <w:ind w:left="0"/>
              <w:jc w:val="center"/>
              <w:rPr>
                <w:sz w:val="22"/>
                <w:lang w:val="uk-UA"/>
              </w:rPr>
            </w:pPr>
            <w:r w:rsidRPr="00B74A55">
              <w:rPr>
                <w:sz w:val="22"/>
                <w:lang w:val="uk-UA"/>
              </w:rPr>
              <w:t>Кількість фізичних та юридичних осіб, які звернулись за послугами протягом  року</w:t>
            </w:r>
          </w:p>
        </w:tc>
        <w:tc>
          <w:tcPr>
            <w:tcW w:w="1719" w:type="dxa"/>
            <w:gridSpan w:val="2"/>
            <w:tcBorders>
              <w:top w:val="single" w:sz="4" w:space="0" w:color="auto"/>
              <w:left w:val="single" w:sz="4" w:space="0" w:color="auto"/>
              <w:bottom w:val="single" w:sz="4" w:space="0" w:color="auto"/>
              <w:right w:val="single" w:sz="4" w:space="0" w:color="auto"/>
            </w:tcBorders>
            <w:vAlign w:val="center"/>
          </w:tcPr>
          <w:p w:rsidR="00CF479C" w:rsidRPr="00B74A55" w:rsidRDefault="00CF479C" w:rsidP="00CF479C">
            <w:pPr>
              <w:pStyle w:val="a7"/>
              <w:ind w:left="0"/>
              <w:jc w:val="center"/>
              <w:rPr>
                <w:sz w:val="22"/>
                <w:lang w:val="uk-UA"/>
              </w:rPr>
            </w:pPr>
            <w:r w:rsidRPr="00B74A55">
              <w:rPr>
                <w:sz w:val="22"/>
                <w:lang w:val="uk-UA"/>
              </w:rPr>
              <w:t>осіб</w:t>
            </w:r>
          </w:p>
        </w:tc>
        <w:tc>
          <w:tcPr>
            <w:tcW w:w="1636" w:type="dxa"/>
            <w:gridSpan w:val="2"/>
            <w:tcBorders>
              <w:top w:val="single" w:sz="4" w:space="0" w:color="auto"/>
              <w:left w:val="single" w:sz="4" w:space="0" w:color="auto"/>
              <w:bottom w:val="single" w:sz="4" w:space="0" w:color="auto"/>
            </w:tcBorders>
          </w:tcPr>
          <w:p w:rsidR="00CF479C" w:rsidRPr="00B74A55" w:rsidRDefault="00CF479C" w:rsidP="00CF479C">
            <w:pPr>
              <w:pStyle w:val="a7"/>
              <w:ind w:left="0"/>
              <w:jc w:val="center"/>
              <w:rPr>
                <w:b/>
                <w:sz w:val="22"/>
                <w:lang w:val="uk-UA"/>
              </w:rPr>
            </w:pPr>
            <w:r w:rsidRPr="00B74A55">
              <w:rPr>
                <w:sz w:val="22"/>
                <w:lang w:val="uk-UA"/>
              </w:rPr>
              <w:t>До 1000</w:t>
            </w:r>
          </w:p>
        </w:tc>
      </w:tr>
      <w:tr w:rsidR="00CF479C" w:rsidRPr="00B74A55" w:rsidTr="004843F9">
        <w:trPr>
          <w:trHeight w:val="150"/>
        </w:trPr>
        <w:tc>
          <w:tcPr>
            <w:tcW w:w="2978" w:type="dxa"/>
            <w:vMerge/>
            <w:shd w:val="clear" w:color="auto" w:fill="C6D9F1" w:themeFill="text2" w:themeFillTint="33"/>
          </w:tcPr>
          <w:p w:rsidR="00CF479C" w:rsidRPr="00B74A55" w:rsidRDefault="00CF479C" w:rsidP="00CF479C">
            <w:pPr>
              <w:pStyle w:val="a7"/>
              <w:ind w:left="0"/>
              <w:rPr>
                <w:b/>
                <w:sz w:val="22"/>
                <w:lang w:val="uk-UA"/>
              </w:rPr>
            </w:pPr>
          </w:p>
        </w:tc>
        <w:tc>
          <w:tcPr>
            <w:tcW w:w="3590" w:type="dxa"/>
            <w:gridSpan w:val="3"/>
            <w:tcBorders>
              <w:top w:val="single" w:sz="4" w:space="0" w:color="auto"/>
              <w:right w:val="single" w:sz="4" w:space="0" w:color="auto"/>
            </w:tcBorders>
          </w:tcPr>
          <w:p w:rsidR="00CF479C" w:rsidRPr="00B74A55" w:rsidRDefault="00CF479C" w:rsidP="00CF479C">
            <w:pPr>
              <w:pStyle w:val="a7"/>
              <w:ind w:left="0"/>
              <w:jc w:val="center"/>
              <w:rPr>
                <w:sz w:val="22"/>
                <w:lang w:val="uk-UA"/>
              </w:rPr>
            </w:pPr>
            <w:r w:rsidRPr="00B74A55">
              <w:rPr>
                <w:sz w:val="22"/>
                <w:lang w:val="uk-UA"/>
              </w:rPr>
              <w:t>Термін надання послуги</w:t>
            </w:r>
          </w:p>
        </w:tc>
        <w:tc>
          <w:tcPr>
            <w:tcW w:w="1719" w:type="dxa"/>
            <w:gridSpan w:val="2"/>
            <w:tcBorders>
              <w:top w:val="single" w:sz="4" w:space="0" w:color="auto"/>
              <w:left w:val="single" w:sz="4" w:space="0" w:color="auto"/>
              <w:right w:val="single" w:sz="4" w:space="0" w:color="auto"/>
            </w:tcBorders>
            <w:vAlign w:val="center"/>
          </w:tcPr>
          <w:p w:rsidR="00CF479C" w:rsidRPr="00B74A55" w:rsidRDefault="00CF479C" w:rsidP="00CF479C">
            <w:pPr>
              <w:pStyle w:val="a7"/>
              <w:ind w:left="0"/>
              <w:jc w:val="center"/>
              <w:rPr>
                <w:sz w:val="22"/>
                <w:lang w:val="uk-UA"/>
              </w:rPr>
            </w:pPr>
            <w:r w:rsidRPr="00B74A55">
              <w:rPr>
                <w:sz w:val="22"/>
                <w:lang w:val="uk-UA"/>
              </w:rPr>
              <w:t>місяць</w:t>
            </w:r>
          </w:p>
        </w:tc>
        <w:tc>
          <w:tcPr>
            <w:tcW w:w="1636" w:type="dxa"/>
            <w:gridSpan w:val="2"/>
            <w:tcBorders>
              <w:top w:val="single" w:sz="4" w:space="0" w:color="auto"/>
              <w:left w:val="single" w:sz="4" w:space="0" w:color="auto"/>
            </w:tcBorders>
          </w:tcPr>
          <w:p w:rsidR="00CF479C" w:rsidRPr="00B74A55" w:rsidRDefault="00CF479C" w:rsidP="00CF479C">
            <w:pPr>
              <w:pStyle w:val="a7"/>
              <w:ind w:left="0"/>
              <w:jc w:val="center"/>
              <w:rPr>
                <w:sz w:val="22"/>
                <w:lang w:val="uk-UA"/>
              </w:rPr>
            </w:pPr>
            <w:r w:rsidRPr="00B74A55">
              <w:rPr>
                <w:sz w:val="22"/>
                <w:lang w:val="uk-UA"/>
              </w:rPr>
              <w:t xml:space="preserve">12 </w:t>
            </w:r>
          </w:p>
        </w:tc>
      </w:tr>
      <w:tr w:rsidR="00CF479C" w:rsidRPr="00B74A55" w:rsidTr="004843F9">
        <w:trPr>
          <w:trHeight w:val="150"/>
        </w:trPr>
        <w:tc>
          <w:tcPr>
            <w:tcW w:w="2978" w:type="dxa"/>
            <w:shd w:val="clear" w:color="auto" w:fill="C6D9F1" w:themeFill="text2" w:themeFillTint="33"/>
          </w:tcPr>
          <w:p w:rsidR="00CF479C" w:rsidRPr="00B74A55" w:rsidRDefault="00CF479C" w:rsidP="00CF479C">
            <w:pPr>
              <w:pStyle w:val="a7"/>
              <w:ind w:left="0"/>
              <w:rPr>
                <w:b/>
                <w:sz w:val="22"/>
                <w:lang w:val="uk-UA"/>
              </w:rPr>
            </w:pPr>
          </w:p>
        </w:tc>
        <w:tc>
          <w:tcPr>
            <w:tcW w:w="3590" w:type="dxa"/>
            <w:gridSpan w:val="3"/>
            <w:tcBorders>
              <w:top w:val="single" w:sz="4" w:space="0" w:color="auto"/>
              <w:right w:val="single" w:sz="4" w:space="0" w:color="auto"/>
            </w:tcBorders>
          </w:tcPr>
          <w:p w:rsidR="00CF479C" w:rsidRPr="00B74A55" w:rsidRDefault="00CF479C" w:rsidP="00CF479C">
            <w:pPr>
              <w:pStyle w:val="a7"/>
              <w:ind w:left="0"/>
              <w:jc w:val="center"/>
              <w:rPr>
                <w:sz w:val="22"/>
                <w:lang w:val="uk-UA"/>
              </w:rPr>
            </w:pPr>
            <w:r w:rsidRPr="00B74A55">
              <w:rPr>
                <w:sz w:val="22"/>
                <w:lang w:val="uk-UA"/>
              </w:rPr>
              <w:t>Кількість населених пунктів, яке обслуговує підприємство</w:t>
            </w:r>
          </w:p>
        </w:tc>
        <w:tc>
          <w:tcPr>
            <w:tcW w:w="1719" w:type="dxa"/>
            <w:gridSpan w:val="2"/>
            <w:tcBorders>
              <w:top w:val="single" w:sz="4" w:space="0" w:color="auto"/>
              <w:left w:val="single" w:sz="4" w:space="0" w:color="auto"/>
              <w:right w:val="single" w:sz="4" w:space="0" w:color="auto"/>
            </w:tcBorders>
            <w:vAlign w:val="center"/>
          </w:tcPr>
          <w:p w:rsidR="00CF479C" w:rsidRPr="00B74A55" w:rsidRDefault="00CF479C" w:rsidP="00CF479C">
            <w:pPr>
              <w:pStyle w:val="a7"/>
              <w:ind w:left="0"/>
              <w:jc w:val="center"/>
              <w:rPr>
                <w:sz w:val="22"/>
                <w:lang w:val="uk-UA"/>
              </w:rPr>
            </w:pPr>
            <w:r w:rsidRPr="00B74A55">
              <w:rPr>
                <w:sz w:val="22"/>
                <w:lang w:val="uk-UA"/>
              </w:rPr>
              <w:t>одиниць</w:t>
            </w:r>
          </w:p>
        </w:tc>
        <w:tc>
          <w:tcPr>
            <w:tcW w:w="1636" w:type="dxa"/>
            <w:gridSpan w:val="2"/>
            <w:tcBorders>
              <w:top w:val="single" w:sz="4" w:space="0" w:color="auto"/>
              <w:left w:val="single" w:sz="4" w:space="0" w:color="auto"/>
            </w:tcBorders>
          </w:tcPr>
          <w:p w:rsidR="00CF479C" w:rsidRPr="00B74A55" w:rsidRDefault="00CF479C" w:rsidP="00CF479C">
            <w:pPr>
              <w:pStyle w:val="a7"/>
              <w:ind w:left="0"/>
              <w:jc w:val="center"/>
              <w:rPr>
                <w:sz w:val="22"/>
                <w:lang w:val="uk-UA"/>
              </w:rPr>
            </w:pPr>
            <w:r w:rsidRPr="00B74A55">
              <w:rPr>
                <w:sz w:val="22"/>
                <w:lang w:val="uk-UA"/>
              </w:rPr>
              <w:t xml:space="preserve">1 </w:t>
            </w:r>
          </w:p>
          <w:p w:rsidR="00CF479C" w:rsidRPr="00B74A55" w:rsidRDefault="00CF479C" w:rsidP="00CF479C">
            <w:pPr>
              <w:pStyle w:val="a7"/>
              <w:ind w:left="0"/>
              <w:jc w:val="center"/>
              <w:rPr>
                <w:sz w:val="22"/>
                <w:lang w:val="uk-UA"/>
              </w:rPr>
            </w:pPr>
          </w:p>
        </w:tc>
      </w:tr>
      <w:tr w:rsidR="00CF479C" w:rsidRPr="00B74A55" w:rsidTr="004843F9">
        <w:trPr>
          <w:trHeight w:val="2329"/>
        </w:trPr>
        <w:tc>
          <w:tcPr>
            <w:tcW w:w="2978" w:type="dxa"/>
            <w:shd w:val="clear" w:color="auto" w:fill="C6D9F1" w:themeFill="text2" w:themeFillTint="33"/>
          </w:tcPr>
          <w:p w:rsidR="00CF479C" w:rsidRPr="00B74A55" w:rsidRDefault="00CF479C" w:rsidP="00CF479C">
            <w:pPr>
              <w:rPr>
                <w:b/>
                <w:sz w:val="22"/>
                <w:lang w:val="uk-UA"/>
              </w:rPr>
            </w:pPr>
            <w:r w:rsidRPr="00B74A55">
              <w:rPr>
                <w:b/>
                <w:sz w:val="22"/>
                <w:lang w:val="uk-UA"/>
              </w:rPr>
              <w:t xml:space="preserve">Ключові заходи проекту: </w:t>
            </w:r>
          </w:p>
          <w:p w:rsidR="00CF479C" w:rsidRPr="00B74A55" w:rsidRDefault="00CF479C" w:rsidP="00CF479C">
            <w:pPr>
              <w:pStyle w:val="a7"/>
              <w:ind w:left="0"/>
              <w:rPr>
                <w:b/>
                <w:sz w:val="22"/>
                <w:lang w:val="uk-UA"/>
              </w:rPr>
            </w:pPr>
          </w:p>
        </w:tc>
        <w:tc>
          <w:tcPr>
            <w:tcW w:w="6945" w:type="dxa"/>
            <w:gridSpan w:val="7"/>
          </w:tcPr>
          <w:p w:rsidR="00CF479C" w:rsidRPr="00B74A55" w:rsidRDefault="00CF479C" w:rsidP="00CF479C">
            <w:pPr>
              <w:pStyle w:val="a7"/>
              <w:ind w:left="0"/>
              <w:rPr>
                <w:sz w:val="22"/>
                <w:lang w:val="uk-UA"/>
              </w:rPr>
            </w:pPr>
            <w:r w:rsidRPr="00B74A55">
              <w:rPr>
                <w:sz w:val="22"/>
                <w:lang w:val="uk-UA"/>
              </w:rPr>
              <w:t>І. Обстеження стану будівлі:</w:t>
            </w:r>
          </w:p>
          <w:p w:rsidR="00CF479C" w:rsidRPr="00B74A55" w:rsidRDefault="00CF479C" w:rsidP="00CF479C">
            <w:pPr>
              <w:pStyle w:val="a7"/>
              <w:ind w:left="0"/>
              <w:rPr>
                <w:sz w:val="22"/>
                <w:lang w:val="uk-UA"/>
              </w:rPr>
            </w:pPr>
            <w:r w:rsidRPr="00B74A55">
              <w:rPr>
                <w:sz w:val="22"/>
                <w:lang w:val="uk-UA"/>
              </w:rPr>
              <w:t xml:space="preserve">-виготовлення </w:t>
            </w:r>
            <w:proofErr w:type="spellStart"/>
            <w:r w:rsidRPr="00B74A55">
              <w:rPr>
                <w:sz w:val="22"/>
                <w:lang w:val="uk-UA"/>
              </w:rPr>
              <w:t>проєктно</w:t>
            </w:r>
            <w:proofErr w:type="spellEnd"/>
            <w:r w:rsidRPr="00B74A55">
              <w:rPr>
                <w:sz w:val="22"/>
                <w:lang w:val="uk-UA"/>
              </w:rPr>
              <w:t xml:space="preserve">-кошторисної документації або послуги з інженерного </w:t>
            </w:r>
            <w:proofErr w:type="spellStart"/>
            <w:r w:rsidRPr="00B74A55">
              <w:rPr>
                <w:sz w:val="22"/>
                <w:lang w:val="uk-UA"/>
              </w:rPr>
              <w:t>проєктування</w:t>
            </w:r>
            <w:proofErr w:type="spellEnd"/>
            <w:r w:rsidRPr="00B74A55">
              <w:rPr>
                <w:sz w:val="22"/>
                <w:lang w:val="uk-UA"/>
              </w:rPr>
              <w:t>;</w:t>
            </w:r>
          </w:p>
          <w:p w:rsidR="00CF479C" w:rsidRPr="00B74A55" w:rsidRDefault="00CF479C" w:rsidP="00CF479C">
            <w:pPr>
              <w:pStyle w:val="a7"/>
              <w:ind w:left="0"/>
              <w:rPr>
                <w:sz w:val="22"/>
                <w:lang w:val="uk-UA"/>
              </w:rPr>
            </w:pPr>
            <w:r w:rsidRPr="00B74A55">
              <w:rPr>
                <w:sz w:val="22"/>
                <w:lang w:val="uk-UA"/>
              </w:rPr>
              <w:t xml:space="preserve">ІІ. Проведення експертизи </w:t>
            </w:r>
            <w:proofErr w:type="spellStart"/>
            <w:r w:rsidRPr="00B74A55">
              <w:rPr>
                <w:sz w:val="22"/>
                <w:lang w:val="uk-UA"/>
              </w:rPr>
              <w:t>про</w:t>
            </w:r>
            <w:r w:rsidR="001C7EE7" w:rsidRPr="00B74A55">
              <w:rPr>
                <w:sz w:val="22"/>
                <w:lang w:val="uk-UA"/>
              </w:rPr>
              <w:t>є</w:t>
            </w:r>
            <w:r w:rsidRPr="00B74A55">
              <w:rPr>
                <w:sz w:val="22"/>
                <w:lang w:val="uk-UA"/>
              </w:rPr>
              <w:t>кту</w:t>
            </w:r>
            <w:proofErr w:type="spellEnd"/>
            <w:r w:rsidRPr="00B74A55">
              <w:rPr>
                <w:sz w:val="22"/>
                <w:lang w:val="uk-UA"/>
              </w:rPr>
              <w:t>:</w:t>
            </w:r>
          </w:p>
          <w:p w:rsidR="00CF479C" w:rsidRPr="00B74A55" w:rsidRDefault="00CF479C" w:rsidP="00CF479C">
            <w:pPr>
              <w:pStyle w:val="a7"/>
              <w:ind w:left="0"/>
              <w:rPr>
                <w:sz w:val="22"/>
                <w:lang w:val="uk-UA"/>
              </w:rPr>
            </w:pPr>
            <w:r w:rsidRPr="00B74A55">
              <w:rPr>
                <w:sz w:val="22"/>
                <w:lang w:val="uk-UA"/>
              </w:rPr>
              <w:t>-звернення в експертну компанію і підписання договору;</w:t>
            </w:r>
          </w:p>
          <w:p w:rsidR="00CF479C" w:rsidRPr="00B74A55" w:rsidRDefault="00CF479C" w:rsidP="00CF479C">
            <w:pPr>
              <w:pStyle w:val="a7"/>
              <w:ind w:left="0"/>
              <w:rPr>
                <w:sz w:val="22"/>
                <w:lang w:val="uk-UA"/>
              </w:rPr>
            </w:pPr>
            <w:r w:rsidRPr="00B74A55">
              <w:rPr>
                <w:sz w:val="22"/>
                <w:lang w:val="uk-UA"/>
              </w:rPr>
              <w:t xml:space="preserve">-проведення експертизи </w:t>
            </w:r>
            <w:proofErr w:type="spellStart"/>
            <w:r w:rsidRPr="00B74A55">
              <w:rPr>
                <w:sz w:val="22"/>
                <w:lang w:val="uk-UA"/>
              </w:rPr>
              <w:t>про</w:t>
            </w:r>
            <w:r w:rsidR="001C7EE7" w:rsidRPr="00B74A55">
              <w:rPr>
                <w:sz w:val="22"/>
                <w:lang w:val="uk-UA"/>
              </w:rPr>
              <w:t>є</w:t>
            </w:r>
            <w:r w:rsidRPr="00B74A55">
              <w:rPr>
                <w:sz w:val="22"/>
                <w:lang w:val="uk-UA"/>
              </w:rPr>
              <w:t>ктної</w:t>
            </w:r>
            <w:proofErr w:type="spellEnd"/>
            <w:r w:rsidRPr="00B74A55">
              <w:rPr>
                <w:sz w:val="22"/>
                <w:lang w:val="uk-UA"/>
              </w:rPr>
              <w:t xml:space="preserve"> документації; </w:t>
            </w:r>
          </w:p>
          <w:p w:rsidR="00CF479C" w:rsidRPr="00B74A55" w:rsidRDefault="00CF479C" w:rsidP="00CF479C">
            <w:pPr>
              <w:pStyle w:val="a7"/>
              <w:ind w:left="0"/>
              <w:rPr>
                <w:sz w:val="22"/>
                <w:lang w:val="uk-UA"/>
              </w:rPr>
            </w:pPr>
            <w:r w:rsidRPr="00B74A55">
              <w:rPr>
                <w:sz w:val="22"/>
                <w:lang w:val="uk-UA"/>
              </w:rPr>
              <w:t xml:space="preserve">-усунення недоліків; </w:t>
            </w:r>
          </w:p>
          <w:p w:rsidR="00CF479C" w:rsidRPr="00B74A55" w:rsidRDefault="00CF479C" w:rsidP="00CF479C">
            <w:pPr>
              <w:pStyle w:val="a7"/>
              <w:ind w:left="0"/>
              <w:rPr>
                <w:sz w:val="22"/>
                <w:lang w:val="uk-UA"/>
              </w:rPr>
            </w:pPr>
            <w:r w:rsidRPr="00B74A55">
              <w:rPr>
                <w:sz w:val="22"/>
                <w:lang w:val="uk-UA"/>
              </w:rPr>
              <w:t xml:space="preserve">-отримання експертного звіту. </w:t>
            </w:r>
          </w:p>
          <w:p w:rsidR="00CF479C" w:rsidRPr="00B74A55" w:rsidRDefault="00CF479C" w:rsidP="00CF479C">
            <w:pPr>
              <w:pStyle w:val="a7"/>
              <w:ind w:left="0"/>
              <w:rPr>
                <w:sz w:val="22"/>
                <w:lang w:val="uk-UA"/>
              </w:rPr>
            </w:pPr>
            <w:r w:rsidRPr="00B74A55">
              <w:rPr>
                <w:sz w:val="22"/>
                <w:lang w:val="uk-UA"/>
              </w:rPr>
              <w:t xml:space="preserve">ІІІ. Розроблення архітектурного </w:t>
            </w:r>
            <w:proofErr w:type="spellStart"/>
            <w:r w:rsidRPr="00B74A55">
              <w:rPr>
                <w:sz w:val="22"/>
                <w:lang w:val="uk-UA"/>
              </w:rPr>
              <w:t>проєкту</w:t>
            </w:r>
            <w:proofErr w:type="spellEnd"/>
            <w:r w:rsidRPr="00B74A55">
              <w:rPr>
                <w:sz w:val="22"/>
                <w:lang w:val="uk-UA"/>
              </w:rPr>
              <w:t xml:space="preserve"> облаштування укриття. ІV. Визначення будівельно-підрядної організації</w:t>
            </w:r>
          </w:p>
          <w:p w:rsidR="00CF479C" w:rsidRPr="00B74A55" w:rsidRDefault="00CF479C" w:rsidP="00CF479C">
            <w:pPr>
              <w:pStyle w:val="a7"/>
              <w:ind w:left="0"/>
              <w:rPr>
                <w:sz w:val="22"/>
                <w:lang w:val="uk-UA"/>
              </w:rPr>
            </w:pPr>
            <w:r w:rsidRPr="00B74A55">
              <w:rPr>
                <w:sz w:val="22"/>
                <w:lang w:val="uk-UA"/>
              </w:rPr>
              <w:t xml:space="preserve">-укладання угоди із організацією-підрядником та проведення підготовчих заходів по виконанню будівельних робіт.  </w:t>
            </w:r>
          </w:p>
          <w:p w:rsidR="00CF479C" w:rsidRPr="00B74A55" w:rsidRDefault="00CF479C" w:rsidP="00CF479C">
            <w:pPr>
              <w:pStyle w:val="a7"/>
              <w:ind w:left="0"/>
              <w:rPr>
                <w:sz w:val="22"/>
                <w:lang w:val="uk-UA"/>
              </w:rPr>
            </w:pPr>
            <w:r w:rsidRPr="00B74A55">
              <w:rPr>
                <w:sz w:val="22"/>
                <w:lang w:val="uk-UA"/>
              </w:rPr>
              <w:t xml:space="preserve">V. Закупити матеріали для облаштування укриття. </w:t>
            </w:r>
          </w:p>
          <w:p w:rsidR="00CF479C" w:rsidRPr="00B74A55" w:rsidRDefault="00CF479C" w:rsidP="00CF479C">
            <w:pPr>
              <w:pStyle w:val="a7"/>
              <w:ind w:left="0"/>
              <w:rPr>
                <w:sz w:val="22"/>
                <w:lang w:val="uk-UA"/>
              </w:rPr>
            </w:pPr>
            <w:r w:rsidRPr="00B74A55">
              <w:rPr>
                <w:sz w:val="22"/>
                <w:lang w:val="uk-UA"/>
              </w:rPr>
              <w:t xml:space="preserve">VI. Провести і проконтролювати роботи з облаштування укриття. </w:t>
            </w:r>
          </w:p>
          <w:p w:rsidR="00CF479C" w:rsidRPr="00B74A55" w:rsidRDefault="00CF479C" w:rsidP="00CF479C">
            <w:pPr>
              <w:pStyle w:val="a7"/>
              <w:ind w:left="0"/>
              <w:rPr>
                <w:sz w:val="22"/>
                <w:lang w:val="uk-UA"/>
              </w:rPr>
            </w:pPr>
            <w:r w:rsidRPr="00B74A55">
              <w:rPr>
                <w:sz w:val="22"/>
                <w:lang w:val="uk-UA"/>
              </w:rPr>
              <w:t xml:space="preserve">VII. Введення об’єкту в експлуатацію. </w:t>
            </w:r>
          </w:p>
          <w:p w:rsidR="00CF479C" w:rsidRPr="00B74A55" w:rsidRDefault="00CF479C" w:rsidP="00CF479C">
            <w:pPr>
              <w:pStyle w:val="a7"/>
              <w:ind w:left="0"/>
              <w:rPr>
                <w:sz w:val="22"/>
                <w:lang w:val="uk-UA"/>
              </w:rPr>
            </w:pPr>
            <w:r w:rsidRPr="00B74A55">
              <w:rPr>
                <w:sz w:val="22"/>
                <w:lang w:val="uk-UA"/>
              </w:rPr>
              <w:t xml:space="preserve">VIII. Прозвітувати про реалізацію </w:t>
            </w:r>
            <w:proofErr w:type="spellStart"/>
            <w:r w:rsidRPr="00B74A55">
              <w:rPr>
                <w:sz w:val="22"/>
                <w:lang w:val="uk-UA"/>
              </w:rPr>
              <w:t>проєкту</w:t>
            </w:r>
            <w:proofErr w:type="spellEnd"/>
            <w:r w:rsidRPr="00B74A55">
              <w:rPr>
                <w:sz w:val="22"/>
                <w:lang w:val="uk-UA"/>
              </w:rPr>
              <w:t xml:space="preserve"> і досягнення його мети.</w:t>
            </w:r>
          </w:p>
        </w:tc>
      </w:tr>
      <w:tr w:rsidR="00CF479C" w:rsidRPr="00B74A55" w:rsidTr="004843F9">
        <w:trPr>
          <w:trHeight w:val="360"/>
        </w:trPr>
        <w:tc>
          <w:tcPr>
            <w:tcW w:w="2978" w:type="dxa"/>
            <w:vMerge w:val="restart"/>
            <w:shd w:val="clear" w:color="auto" w:fill="C6D9F1" w:themeFill="text2" w:themeFillTint="33"/>
          </w:tcPr>
          <w:p w:rsidR="00CF479C" w:rsidRPr="00B74A55" w:rsidRDefault="00CF479C" w:rsidP="00CF479C">
            <w:pPr>
              <w:pStyle w:val="a7"/>
              <w:ind w:left="0"/>
              <w:rPr>
                <w:b/>
                <w:sz w:val="22"/>
                <w:lang w:val="uk-UA"/>
              </w:rPr>
            </w:pPr>
            <w:r w:rsidRPr="00B74A55">
              <w:rPr>
                <w:b/>
                <w:sz w:val="22"/>
                <w:lang w:val="uk-UA"/>
              </w:rPr>
              <w:t xml:space="preserve">Орієнтовний обсяг та джерела фінансування, тис. грн. </w:t>
            </w:r>
          </w:p>
          <w:p w:rsidR="00CF479C" w:rsidRPr="00B74A55" w:rsidRDefault="00CF479C" w:rsidP="00CF479C">
            <w:pPr>
              <w:pStyle w:val="a7"/>
              <w:ind w:left="0"/>
              <w:rPr>
                <w:b/>
                <w:sz w:val="22"/>
                <w:lang w:val="uk-UA"/>
              </w:rPr>
            </w:pPr>
          </w:p>
        </w:tc>
        <w:tc>
          <w:tcPr>
            <w:tcW w:w="1633" w:type="dxa"/>
            <w:tcBorders>
              <w:bottom w:val="single" w:sz="4" w:space="0" w:color="auto"/>
              <w:right w:val="single" w:sz="4" w:space="0" w:color="auto"/>
            </w:tcBorders>
          </w:tcPr>
          <w:p w:rsidR="00CF479C" w:rsidRPr="00B74A55" w:rsidRDefault="00CF479C" w:rsidP="00CF479C">
            <w:pPr>
              <w:pStyle w:val="a7"/>
              <w:ind w:left="0"/>
              <w:jc w:val="center"/>
              <w:rPr>
                <w:b/>
                <w:sz w:val="22"/>
                <w:lang w:val="uk-UA"/>
              </w:rPr>
            </w:pPr>
            <w:r w:rsidRPr="00B74A55">
              <w:rPr>
                <w:b/>
                <w:sz w:val="22"/>
                <w:lang w:val="uk-UA"/>
              </w:rPr>
              <w:lastRenderedPageBreak/>
              <w:t>Державний бюджет</w:t>
            </w:r>
          </w:p>
        </w:tc>
        <w:tc>
          <w:tcPr>
            <w:tcW w:w="1347" w:type="dxa"/>
            <w:tcBorders>
              <w:bottom w:val="single" w:sz="4" w:space="0" w:color="auto"/>
              <w:right w:val="single" w:sz="4" w:space="0" w:color="auto"/>
            </w:tcBorders>
          </w:tcPr>
          <w:p w:rsidR="00CF479C" w:rsidRPr="00B74A55" w:rsidRDefault="00CF479C" w:rsidP="00CF479C">
            <w:pPr>
              <w:pStyle w:val="a7"/>
              <w:ind w:left="0"/>
              <w:jc w:val="center"/>
              <w:rPr>
                <w:b/>
                <w:sz w:val="22"/>
                <w:lang w:val="uk-UA"/>
              </w:rPr>
            </w:pPr>
            <w:r w:rsidRPr="00B74A55">
              <w:rPr>
                <w:b/>
                <w:sz w:val="22"/>
                <w:lang w:val="uk-UA"/>
              </w:rPr>
              <w:t>Місцевий бюджет</w:t>
            </w:r>
          </w:p>
        </w:tc>
        <w:tc>
          <w:tcPr>
            <w:tcW w:w="2690" w:type="dxa"/>
            <w:gridSpan w:val="4"/>
            <w:tcBorders>
              <w:left w:val="single" w:sz="4" w:space="0" w:color="auto"/>
              <w:bottom w:val="single" w:sz="4" w:space="0" w:color="auto"/>
              <w:right w:val="single" w:sz="4" w:space="0" w:color="auto"/>
            </w:tcBorders>
          </w:tcPr>
          <w:p w:rsidR="00CF479C" w:rsidRPr="00B74A55" w:rsidRDefault="00CF479C" w:rsidP="00CF479C">
            <w:pPr>
              <w:pStyle w:val="a7"/>
              <w:ind w:left="0"/>
              <w:jc w:val="center"/>
              <w:rPr>
                <w:b/>
                <w:sz w:val="22"/>
                <w:lang w:val="uk-UA"/>
              </w:rPr>
            </w:pPr>
            <w:r w:rsidRPr="00B74A55">
              <w:rPr>
                <w:b/>
                <w:sz w:val="22"/>
                <w:lang w:val="uk-UA"/>
              </w:rPr>
              <w:t>Інші джерела</w:t>
            </w:r>
          </w:p>
        </w:tc>
        <w:tc>
          <w:tcPr>
            <w:tcW w:w="1275" w:type="dxa"/>
            <w:tcBorders>
              <w:left w:val="single" w:sz="4" w:space="0" w:color="auto"/>
              <w:bottom w:val="single" w:sz="4" w:space="0" w:color="auto"/>
            </w:tcBorders>
          </w:tcPr>
          <w:p w:rsidR="00CF479C" w:rsidRPr="00B74A55" w:rsidRDefault="00CF479C" w:rsidP="00CF479C">
            <w:pPr>
              <w:pStyle w:val="a7"/>
              <w:ind w:left="0"/>
              <w:jc w:val="center"/>
              <w:rPr>
                <w:b/>
                <w:sz w:val="22"/>
                <w:lang w:val="uk-UA"/>
              </w:rPr>
            </w:pPr>
            <w:r w:rsidRPr="00B74A55">
              <w:rPr>
                <w:b/>
                <w:sz w:val="22"/>
                <w:lang w:val="uk-UA"/>
              </w:rPr>
              <w:t>Всього</w:t>
            </w:r>
          </w:p>
        </w:tc>
      </w:tr>
      <w:tr w:rsidR="00CF479C" w:rsidRPr="00B74A55" w:rsidTr="004843F9">
        <w:trPr>
          <w:trHeight w:val="225"/>
        </w:trPr>
        <w:tc>
          <w:tcPr>
            <w:tcW w:w="2978" w:type="dxa"/>
            <w:vMerge/>
            <w:shd w:val="clear" w:color="auto" w:fill="C6D9F1" w:themeFill="text2" w:themeFillTint="33"/>
          </w:tcPr>
          <w:p w:rsidR="00CF479C" w:rsidRPr="00B74A55" w:rsidRDefault="00CF479C" w:rsidP="00CF479C">
            <w:pPr>
              <w:pStyle w:val="a7"/>
              <w:ind w:left="0"/>
              <w:rPr>
                <w:b/>
                <w:sz w:val="22"/>
                <w:lang w:val="uk-UA"/>
              </w:rPr>
            </w:pPr>
          </w:p>
        </w:tc>
        <w:tc>
          <w:tcPr>
            <w:tcW w:w="1633" w:type="dxa"/>
            <w:vMerge w:val="restart"/>
            <w:tcBorders>
              <w:top w:val="single" w:sz="4" w:space="0" w:color="auto"/>
              <w:right w:val="single" w:sz="4" w:space="0" w:color="auto"/>
            </w:tcBorders>
          </w:tcPr>
          <w:p w:rsidR="00CF479C" w:rsidRPr="00B74A55" w:rsidRDefault="00CF479C" w:rsidP="00CF479C">
            <w:pPr>
              <w:pStyle w:val="a7"/>
              <w:ind w:left="0"/>
              <w:jc w:val="center"/>
              <w:rPr>
                <w:sz w:val="22"/>
                <w:lang w:val="uk-UA"/>
              </w:rPr>
            </w:pPr>
            <w:r w:rsidRPr="00B74A55">
              <w:rPr>
                <w:sz w:val="22"/>
                <w:lang w:val="uk-UA"/>
              </w:rPr>
              <w:t>2100,0</w:t>
            </w:r>
          </w:p>
        </w:tc>
        <w:tc>
          <w:tcPr>
            <w:tcW w:w="1347" w:type="dxa"/>
            <w:vMerge w:val="restart"/>
            <w:tcBorders>
              <w:top w:val="single" w:sz="4" w:space="0" w:color="auto"/>
              <w:right w:val="single" w:sz="4" w:space="0" w:color="auto"/>
            </w:tcBorders>
          </w:tcPr>
          <w:p w:rsidR="00CF479C" w:rsidRPr="00B74A55" w:rsidRDefault="00CF479C" w:rsidP="00CF479C">
            <w:pPr>
              <w:pStyle w:val="a7"/>
              <w:ind w:left="0"/>
              <w:jc w:val="center"/>
              <w:rPr>
                <w:b/>
                <w:sz w:val="22"/>
                <w:lang w:val="uk-UA"/>
              </w:rPr>
            </w:pPr>
            <w:r w:rsidRPr="00B74A55">
              <w:rPr>
                <w:b/>
                <w:sz w:val="22"/>
                <w:lang w:val="uk-UA"/>
              </w:rPr>
              <w:t>-</w:t>
            </w:r>
          </w:p>
        </w:tc>
        <w:tc>
          <w:tcPr>
            <w:tcW w:w="874" w:type="dxa"/>
            <w:gridSpan w:val="2"/>
            <w:tcBorders>
              <w:top w:val="single" w:sz="4" w:space="0" w:color="auto"/>
              <w:left w:val="single" w:sz="4" w:space="0" w:color="auto"/>
              <w:bottom w:val="single" w:sz="4" w:space="0" w:color="auto"/>
              <w:right w:val="single" w:sz="4" w:space="0" w:color="auto"/>
            </w:tcBorders>
          </w:tcPr>
          <w:p w:rsidR="00CF479C" w:rsidRPr="00B74A55" w:rsidRDefault="00CF479C" w:rsidP="00CF479C">
            <w:pPr>
              <w:pStyle w:val="a7"/>
              <w:ind w:left="0"/>
              <w:jc w:val="center"/>
              <w:rPr>
                <w:b/>
                <w:sz w:val="22"/>
                <w:lang w:val="uk-UA"/>
              </w:rPr>
            </w:pPr>
            <w:r w:rsidRPr="00B74A55">
              <w:rPr>
                <w:b/>
                <w:sz w:val="22"/>
                <w:lang w:val="uk-UA"/>
              </w:rPr>
              <w:t>Обсяг</w:t>
            </w:r>
          </w:p>
        </w:tc>
        <w:tc>
          <w:tcPr>
            <w:tcW w:w="1816" w:type="dxa"/>
            <w:gridSpan w:val="2"/>
            <w:tcBorders>
              <w:top w:val="single" w:sz="4" w:space="0" w:color="auto"/>
              <w:left w:val="single" w:sz="4" w:space="0" w:color="auto"/>
              <w:bottom w:val="single" w:sz="4" w:space="0" w:color="auto"/>
              <w:right w:val="single" w:sz="4" w:space="0" w:color="auto"/>
            </w:tcBorders>
          </w:tcPr>
          <w:p w:rsidR="00CF479C" w:rsidRPr="00B74A55" w:rsidRDefault="00CF479C" w:rsidP="00CF479C">
            <w:pPr>
              <w:pStyle w:val="a7"/>
              <w:ind w:left="0"/>
              <w:jc w:val="center"/>
              <w:rPr>
                <w:b/>
                <w:sz w:val="22"/>
                <w:lang w:val="uk-UA"/>
              </w:rPr>
            </w:pPr>
            <w:r w:rsidRPr="00B74A55">
              <w:rPr>
                <w:b/>
                <w:sz w:val="22"/>
                <w:lang w:val="uk-UA"/>
              </w:rPr>
              <w:t>Назва джерела</w:t>
            </w:r>
          </w:p>
        </w:tc>
        <w:tc>
          <w:tcPr>
            <w:tcW w:w="1275" w:type="dxa"/>
            <w:vMerge w:val="restart"/>
            <w:tcBorders>
              <w:top w:val="single" w:sz="4" w:space="0" w:color="auto"/>
              <w:left w:val="single" w:sz="4" w:space="0" w:color="auto"/>
            </w:tcBorders>
          </w:tcPr>
          <w:p w:rsidR="00CF479C" w:rsidRPr="00B74A55" w:rsidRDefault="00CF479C" w:rsidP="00CF479C">
            <w:pPr>
              <w:pStyle w:val="a7"/>
              <w:ind w:left="0"/>
              <w:jc w:val="center"/>
              <w:rPr>
                <w:sz w:val="22"/>
                <w:lang w:val="uk-UA"/>
              </w:rPr>
            </w:pPr>
            <w:r w:rsidRPr="00B74A55">
              <w:rPr>
                <w:sz w:val="22"/>
                <w:lang w:val="uk-UA"/>
              </w:rPr>
              <w:t>3000,5</w:t>
            </w:r>
          </w:p>
        </w:tc>
      </w:tr>
      <w:tr w:rsidR="00CF479C" w:rsidRPr="00B74A55" w:rsidTr="004843F9">
        <w:trPr>
          <w:trHeight w:val="300"/>
        </w:trPr>
        <w:tc>
          <w:tcPr>
            <w:tcW w:w="2978" w:type="dxa"/>
            <w:vMerge/>
            <w:shd w:val="clear" w:color="auto" w:fill="C6D9F1" w:themeFill="text2" w:themeFillTint="33"/>
          </w:tcPr>
          <w:p w:rsidR="00CF479C" w:rsidRPr="00B74A55" w:rsidRDefault="00CF479C" w:rsidP="00CF479C">
            <w:pPr>
              <w:pStyle w:val="a7"/>
              <w:ind w:left="0"/>
              <w:rPr>
                <w:b/>
                <w:sz w:val="22"/>
                <w:lang w:val="uk-UA"/>
              </w:rPr>
            </w:pPr>
          </w:p>
        </w:tc>
        <w:tc>
          <w:tcPr>
            <w:tcW w:w="1633" w:type="dxa"/>
            <w:vMerge/>
            <w:tcBorders>
              <w:right w:val="single" w:sz="4" w:space="0" w:color="auto"/>
            </w:tcBorders>
          </w:tcPr>
          <w:p w:rsidR="00CF479C" w:rsidRPr="00B74A55" w:rsidRDefault="00CF479C" w:rsidP="00CF479C">
            <w:pPr>
              <w:pStyle w:val="a7"/>
              <w:ind w:left="0"/>
              <w:jc w:val="center"/>
              <w:rPr>
                <w:sz w:val="22"/>
                <w:lang w:val="uk-UA"/>
              </w:rPr>
            </w:pPr>
          </w:p>
        </w:tc>
        <w:tc>
          <w:tcPr>
            <w:tcW w:w="1347" w:type="dxa"/>
            <w:vMerge/>
            <w:tcBorders>
              <w:right w:val="single" w:sz="4" w:space="0" w:color="auto"/>
            </w:tcBorders>
          </w:tcPr>
          <w:p w:rsidR="00CF479C" w:rsidRPr="00B74A55" w:rsidRDefault="00CF479C" w:rsidP="00CF479C">
            <w:pPr>
              <w:pStyle w:val="a7"/>
              <w:ind w:left="0"/>
              <w:jc w:val="center"/>
              <w:rPr>
                <w:b/>
                <w:sz w:val="22"/>
                <w:lang w:val="uk-UA"/>
              </w:rPr>
            </w:pPr>
          </w:p>
        </w:tc>
        <w:tc>
          <w:tcPr>
            <w:tcW w:w="874" w:type="dxa"/>
            <w:gridSpan w:val="2"/>
            <w:tcBorders>
              <w:top w:val="single" w:sz="4" w:space="0" w:color="auto"/>
              <w:left w:val="single" w:sz="4" w:space="0" w:color="auto"/>
              <w:right w:val="single" w:sz="4" w:space="0" w:color="auto"/>
            </w:tcBorders>
          </w:tcPr>
          <w:p w:rsidR="00CF479C" w:rsidRPr="00B74A55" w:rsidRDefault="00CF479C" w:rsidP="00CF479C">
            <w:pPr>
              <w:pStyle w:val="a7"/>
              <w:ind w:left="0"/>
              <w:jc w:val="center"/>
              <w:rPr>
                <w:b/>
                <w:sz w:val="22"/>
                <w:lang w:val="uk-UA"/>
              </w:rPr>
            </w:pPr>
            <w:r w:rsidRPr="00B74A55">
              <w:rPr>
                <w:sz w:val="22"/>
                <w:lang w:val="uk-UA"/>
              </w:rPr>
              <w:t>900,5</w:t>
            </w:r>
          </w:p>
        </w:tc>
        <w:tc>
          <w:tcPr>
            <w:tcW w:w="1816" w:type="dxa"/>
            <w:gridSpan w:val="2"/>
            <w:tcBorders>
              <w:top w:val="single" w:sz="4" w:space="0" w:color="auto"/>
              <w:left w:val="single" w:sz="4" w:space="0" w:color="auto"/>
              <w:right w:val="single" w:sz="4" w:space="0" w:color="auto"/>
            </w:tcBorders>
          </w:tcPr>
          <w:p w:rsidR="00CF479C" w:rsidRPr="00B74A55" w:rsidRDefault="00CF479C" w:rsidP="00CF479C">
            <w:pPr>
              <w:pStyle w:val="a7"/>
              <w:ind w:left="0"/>
              <w:jc w:val="center"/>
              <w:rPr>
                <w:sz w:val="22"/>
                <w:lang w:val="uk-UA"/>
              </w:rPr>
            </w:pPr>
            <w:r w:rsidRPr="00B74A55">
              <w:rPr>
                <w:sz w:val="22"/>
                <w:lang w:val="uk-UA"/>
              </w:rPr>
              <w:t>Міжнародні інвестиції, кошти приватних осіб</w:t>
            </w:r>
          </w:p>
        </w:tc>
        <w:tc>
          <w:tcPr>
            <w:tcW w:w="1275" w:type="dxa"/>
            <w:vMerge/>
            <w:tcBorders>
              <w:left w:val="single" w:sz="4" w:space="0" w:color="auto"/>
            </w:tcBorders>
          </w:tcPr>
          <w:p w:rsidR="00CF479C" w:rsidRPr="00B74A55" w:rsidRDefault="00CF479C" w:rsidP="00CF479C">
            <w:pPr>
              <w:pStyle w:val="a7"/>
              <w:ind w:left="0"/>
              <w:jc w:val="center"/>
              <w:rPr>
                <w:sz w:val="22"/>
                <w:lang w:val="uk-UA"/>
              </w:rPr>
            </w:pPr>
          </w:p>
        </w:tc>
      </w:tr>
    </w:tbl>
    <w:p w:rsidR="00297BFF" w:rsidRPr="00B74A55" w:rsidRDefault="00297BFF" w:rsidP="00E95FB1">
      <w:pPr>
        <w:rPr>
          <w:sz w:val="22"/>
        </w:rPr>
      </w:pPr>
    </w:p>
    <w:p w:rsidR="00E95FB1" w:rsidRPr="00B74A55" w:rsidRDefault="00E95FB1" w:rsidP="00E95FB1">
      <w:pPr>
        <w:rPr>
          <w:sz w:val="22"/>
        </w:rPr>
      </w:pPr>
    </w:p>
    <w:tbl>
      <w:tblPr>
        <w:tblStyle w:val="af"/>
        <w:tblW w:w="9923" w:type="dxa"/>
        <w:tblInd w:w="-176" w:type="dxa"/>
        <w:tblLayout w:type="fixed"/>
        <w:tblLook w:val="04A0" w:firstRow="1" w:lastRow="0" w:firstColumn="1" w:lastColumn="0" w:noHBand="0" w:noVBand="1"/>
      </w:tblPr>
      <w:tblGrid>
        <w:gridCol w:w="2978"/>
        <w:gridCol w:w="1417"/>
        <w:gridCol w:w="1418"/>
        <w:gridCol w:w="992"/>
        <w:gridCol w:w="1701"/>
        <w:gridCol w:w="283"/>
        <w:gridCol w:w="1134"/>
      </w:tblGrid>
      <w:tr w:rsidR="00C04B84" w:rsidRPr="00B74A55" w:rsidTr="004843F9">
        <w:tc>
          <w:tcPr>
            <w:tcW w:w="2978" w:type="dxa"/>
            <w:shd w:val="clear" w:color="auto" w:fill="C6D9F1" w:themeFill="text2" w:themeFillTint="33"/>
          </w:tcPr>
          <w:p w:rsidR="00C04B84" w:rsidRPr="00B74A55" w:rsidRDefault="00C04B84" w:rsidP="00832B51">
            <w:pPr>
              <w:pStyle w:val="a7"/>
              <w:ind w:left="0"/>
              <w:rPr>
                <w:b/>
                <w:sz w:val="22"/>
                <w:lang w:val="uk-UA"/>
              </w:rPr>
            </w:pPr>
            <w:r w:rsidRPr="00B74A55">
              <w:rPr>
                <w:b/>
                <w:sz w:val="22"/>
                <w:lang w:val="uk-UA"/>
              </w:rPr>
              <w:t>Оперативна ціль/завдання</w:t>
            </w:r>
          </w:p>
        </w:tc>
        <w:tc>
          <w:tcPr>
            <w:tcW w:w="6945" w:type="dxa"/>
            <w:gridSpan w:val="6"/>
            <w:shd w:val="clear" w:color="auto" w:fill="auto"/>
          </w:tcPr>
          <w:p w:rsidR="00C04B84" w:rsidRPr="00B74A55" w:rsidRDefault="00C04B84" w:rsidP="00832B51">
            <w:pPr>
              <w:rPr>
                <w:sz w:val="22"/>
                <w:lang w:val="uk-UA"/>
              </w:rPr>
            </w:pPr>
            <w:r w:rsidRPr="00B74A55">
              <w:rPr>
                <w:rFonts w:eastAsia="SimSun"/>
                <w:sz w:val="22"/>
                <w:lang w:val="uk-UA"/>
              </w:rPr>
              <w:t xml:space="preserve">Людський розвиток через інновації управління та довіру до влади. Формування сучасного інклюзивного  </w:t>
            </w:r>
            <w:proofErr w:type="spellStart"/>
            <w:r w:rsidRPr="00B74A55">
              <w:rPr>
                <w:rFonts w:eastAsia="SimSun"/>
                <w:sz w:val="22"/>
                <w:lang w:val="uk-UA"/>
              </w:rPr>
              <w:t>освітньо</w:t>
            </w:r>
            <w:proofErr w:type="spellEnd"/>
            <w:r w:rsidRPr="00B74A55">
              <w:rPr>
                <w:rFonts w:eastAsia="SimSun"/>
                <w:sz w:val="22"/>
                <w:lang w:val="uk-UA"/>
              </w:rPr>
              <w:t>-культурного та спортивного простору для розвитку"</w:t>
            </w:r>
          </w:p>
        </w:tc>
      </w:tr>
      <w:tr w:rsidR="00C04B84" w:rsidRPr="00B74A55" w:rsidTr="004843F9">
        <w:tc>
          <w:tcPr>
            <w:tcW w:w="2978" w:type="dxa"/>
            <w:shd w:val="clear" w:color="auto" w:fill="C6D9F1" w:themeFill="text2" w:themeFillTint="33"/>
          </w:tcPr>
          <w:p w:rsidR="00C04B84" w:rsidRPr="00B74A55" w:rsidRDefault="00C04B84" w:rsidP="00832B51">
            <w:pPr>
              <w:pStyle w:val="a7"/>
              <w:ind w:left="0"/>
              <w:rPr>
                <w:b/>
                <w:sz w:val="22"/>
                <w:lang w:val="uk-UA"/>
              </w:rPr>
            </w:pPr>
            <w:r w:rsidRPr="00B74A55">
              <w:rPr>
                <w:b/>
                <w:sz w:val="22"/>
                <w:lang w:val="uk-UA"/>
              </w:rPr>
              <w:t>Назва проекту:</w:t>
            </w:r>
          </w:p>
        </w:tc>
        <w:tc>
          <w:tcPr>
            <w:tcW w:w="6945" w:type="dxa"/>
            <w:gridSpan w:val="6"/>
          </w:tcPr>
          <w:p w:rsidR="00C04B84" w:rsidRPr="00B74A55" w:rsidRDefault="00C04B84" w:rsidP="00832B51">
            <w:pPr>
              <w:pStyle w:val="a7"/>
              <w:ind w:left="0"/>
              <w:rPr>
                <w:sz w:val="22"/>
                <w:lang w:val="uk-UA"/>
              </w:rPr>
            </w:pPr>
            <w:r w:rsidRPr="00B74A55">
              <w:rPr>
                <w:sz w:val="22"/>
                <w:lang w:val="uk-UA"/>
              </w:rPr>
              <w:t>"Поле майбутніх чемпіонів"  гімназії № 4 міста Сєвєродонецька Луганської області, вулиця Гагаріна, будинок 90</w:t>
            </w:r>
          </w:p>
        </w:tc>
      </w:tr>
      <w:tr w:rsidR="00C04B84" w:rsidRPr="00B74A55" w:rsidTr="004843F9">
        <w:tc>
          <w:tcPr>
            <w:tcW w:w="2978" w:type="dxa"/>
            <w:shd w:val="clear" w:color="auto" w:fill="C6D9F1" w:themeFill="text2" w:themeFillTint="33"/>
          </w:tcPr>
          <w:p w:rsidR="00C04B84" w:rsidRPr="00B74A55" w:rsidRDefault="00C04B84" w:rsidP="00832B51">
            <w:pPr>
              <w:rPr>
                <w:b/>
                <w:sz w:val="22"/>
                <w:lang w:val="uk-UA"/>
              </w:rPr>
            </w:pPr>
            <w:r w:rsidRPr="00B74A55">
              <w:rPr>
                <w:b/>
                <w:sz w:val="22"/>
                <w:lang w:val="uk-UA"/>
              </w:rPr>
              <w:t>Ціль проекту</w:t>
            </w:r>
          </w:p>
        </w:tc>
        <w:tc>
          <w:tcPr>
            <w:tcW w:w="6945" w:type="dxa"/>
            <w:gridSpan w:val="6"/>
          </w:tcPr>
          <w:p w:rsidR="00C04B84" w:rsidRPr="00B74A55" w:rsidRDefault="00C04B84" w:rsidP="00832B51">
            <w:pPr>
              <w:pStyle w:val="a7"/>
              <w:ind w:left="0"/>
              <w:rPr>
                <w:sz w:val="22"/>
                <w:lang w:val="uk-UA"/>
              </w:rPr>
            </w:pPr>
            <w:r w:rsidRPr="00B74A55">
              <w:rPr>
                <w:sz w:val="22"/>
                <w:lang w:val="uk-UA"/>
              </w:rPr>
              <w:t xml:space="preserve">Встановлення футбольного поля зі штучним покриттям на території гімназії № 4 міста Сєвєродонецька Луганської області  для організації  сучасного, комфортного, безпечного і якісного освітнього процесу в умовах </w:t>
            </w:r>
            <w:proofErr w:type="spellStart"/>
            <w:r w:rsidRPr="00B74A55">
              <w:rPr>
                <w:sz w:val="22"/>
                <w:lang w:val="uk-UA"/>
              </w:rPr>
              <w:t>деокупації</w:t>
            </w:r>
            <w:proofErr w:type="spellEnd"/>
            <w:r w:rsidRPr="00B74A55">
              <w:rPr>
                <w:sz w:val="22"/>
                <w:lang w:val="uk-UA"/>
              </w:rPr>
              <w:t xml:space="preserve"> від агресії </w:t>
            </w:r>
            <w:r w:rsidR="00343FE9" w:rsidRPr="00B74A55">
              <w:rPr>
                <w:sz w:val="22"/>
                <w:lang w:val="uk-UA"/>
              </w:rPr>
              <w:t>РФ</w:t>
            </w:r>
            <w:r w:rsidRPr="00B74A55">
              <w:rPr>
                <w:sz w:val="22"/>
                <w:lang w:val="uk-UA"/>
              </w:rPr>
              <w:t xml:space="preserve"> на території м. Сєвєродонецька Сєвєродонецької міської територіальної громади Луганської області. Створення у подальшому  безпечного простору всіх учасників </w:t>
            </w:r>
            <w:proofErr w:type="spellStart"/>
            <w:r w:rsidRPr="00B74A55">
              <w:rPr>
                <w:sz w:val="22"/>
                <w:lang w:val="uk-UA"/>
              </w:rPr>
              <w:t>освітного</w:t>
            </w:r>
            <w:proofErr w:type="spellEnd"/>
            <w:r w:rsidRPr="00B74A55">
              <w:rPr>
                <w:sz w:val="22"/>
                <w:lang w:val="uk-UA"/>
              </w:rPr>
              <w:t xml:space="preserve"> процесу. </w:t>
            </w:r>
          </w:p>
        </w:tc>
      </w:tr>
      <w:tr w:rsidR="00C04B84" w:rsidRPr="00B74A55" w:rsidTr="004843F9">
        <w:tc>
          <w:tcPr>
            <w:tcW w:w="2978" w:type="dxa"/>
            <w:shd w:val="clear" w:color="auto" w:fill="C6D9F1" w:themeFill="text2" w:themeFillTint="33"/>
          </w:tcPr>
          <w:p w:rsidR="00C04B84" w:rsidRPr="00B74A55" w:rsidRDefault="00C04B84" w:rsidP="00832B51">
            <w:pPr>
              <w:pStyle w:val="a7"/>
              <w:ind w:left="0"/>
              <w:rPr>
                <w:b/>
                <w:sz w:val="22"/>
                <w:lang w:val="uk-UA"/>
              </w:rPr>
            </w:pPr>
            <w:r w:rsidRPr="00B74A55">
              <w:rPr>
                <w:b/>
                <w:sz w:val="22"/>
                <w:lang w:val="uk-UA"/>
              </w:rPr>
              <w:t>Територія, на яку матиме вплив реалізація проекту</w:t>
            </w:r>
          </w:p>
        </w:tc>
        <w:tc>
          <w:tcPr>
            <w:tcW w:w="6945" w:type="dxa"/>
            <w:gridSpan w:val="6"/>
          </w:tcPr>
          <w:p w:rsidR="00C04B84" w:rsidRPr="00B74A55" w:rsidRDefault="00C04B84" w:rsidP="00832B51">
            <w:pPr>
              <w:pStyle w:val="a7"/>
              <w:ind w:left="0"/>
              <w:rPr>
                <w:sz w:val="22"/>
                <w:lang w:val="uk-UA"/>
              </w:rPr>
            </w:pPr>
            <w:r w:rsidRPr="00B74A55">
              <w:rPr>
                <w:sz w:val="22"/>
                <w:lang w:val="uk-UA"/>
              </w:rPr>
              <w:t>Сєвєродонецька міська територіальна громада</w:t>
            </w:r>
          </w:p>
        </w:tc>
      </w:tr>
      <w:tr w:rsidR="00C04B84" w:rsidRPr="00B74A55" w:rsidTr="004843F9">
        <w:tc>
          <w:tcPr>
            <w:tcW w:w="2978" w:type="dxa"/>
            <w:shd w:val="clear" w:color="auto" w:fill="C6D9F1" w:themeFill="text2" w:themeFillTint="33"/>
          </w:tcPr>
          <w:p w:rsidR="00C04B84" w:rsidRPr="00B74A55" w:rsidRDefault="00C04B84" w:rsidP="00832B51">
            <w:pPr>
              <w:pStyle w:val="a7"/>
              <w:ind w:left="0"/>
              <w:rPr>
                <w:b/>
                <w:sz w:val="22"/>
                <w:lang w:val="uk-UA"/>
              </w:rPr>
            </w:pPr>
            <w:r w:rsidRPr="00B74A55">
              <w:rPr>
                <w:b/>
                <w:sz w:val="22"/>
                <w:lang w:val="uk-UA"/>
              </w:rPr>
              <w:t>Чисельність населення, на яке матиме вплив реалізація проекту</w:t>
            </w:r>
          </w:p>
        </w:tc>
        <w:tc>
          <w:tcPr>
            <w:tcW w:w="6945" w:type="dxa"/>
            <w:gridSpan w:val="6"/>
          </w:tcPr>
          <w:p w:rsidR="00C04B84" w:rsidRPr="00B74A55" w:rsidRDefault="00C04B84" w:rsidP="00832B51">
            <w:pPr>
              <w:pStyle w:val="a7"/>
              <w:ind w:left="0"/>
              <w:rPr>
                <w:sz w:val="22"/>
                <w:lang w:val="uk-UA"/>
              </w:rPr>
            </w:pPr>
            <w:r w:rsidRPr="00B74A55">
              <w:rPr>
                <w:sz w:val="22"/>
                <w:lang w:val="uk-UA"/>
              </w:rPr>
              <w:t xml:space="preserve"> 70 000  осіб</w:t>
            </w:r>
          </w:p>
        </w:tc>
      </w:tr>
      <w:tr w:rsidR="00C04B84" w:rsidRPr="00B74A55" w:rsidTr="004843F9">
        <w:tc>
          <w:tcPr>
            <w:tcW w:w="2978" w:type="dxa"/>
            <w:shd w:val="clear" w:color="auto" w:fill="C6D9F1" w:themeFill="text2" w:themeFillTint="33"/>
          </w:tcPr>
          <w:p w:rsidR="00C04B84" w:rsidRPr="00B74A55" w:rsidRDefault="00C04B84" w:rsidP="00832B51">
            <w:pPr>
              <w:rPr>
                <w:b/>
                <w:sz w:val="22"/>
                <w:lang w:val="uk-UA"/>
              </w:rPr>
            </w:pPr>
            <w:r w:rsidRPr="00B74A55">
              <w:rPr>
                <w:b/>
                <w:sz w:val="22"/>
                <w:lang w:val="uk-UA"/>
              </w:rPr>
              <w:t>Опис проблеми, на вирішення якої  спрямований проект</w:t>
            </w:r>
          </w:p>
        </w:tc>
        <w:tc>
          <w:tcPr>
            <w:tcW w:w="6945" w:type="dxa"/>
            <w:gridSpan w:val="6"/>
          </w:tcPr>
          <w:p w:rsidR="00C04B84" w:rsidRPr="00B74A55" w:rsidRDefault="00C04B84" w:rsidP="00832B51">
            <w:pPr>
              <w:ind w:firstLine="708"/>
              <w:rPr>
                <w:sz w:val="22"/>
                <w:lang w:val="uk-UA"/>
              </w:rPr>
            </w:pPr>
            <w:r w:rsidRPr="00B74A55">
              <w:rPr>
                <w:sz w:val="22"/>
                <w:lang w:val="uk-UA"/>
              </w:rPr>
              <w:t xml:space="preserve">Через військову агресію РФ територія Сєвєродонецької міської територіальної громади зазнала значних пошкоджень. Не оминуло це і гімназію № 4 міста </w:t>
            </w:r>
            <w:proofErr w:type="spellStart"/>
            <w:r w:rsidRPr="00B74A55">
              <w:rPr>
                <w:sz w:val="22"/>
                <w:lang w:val="uk-UA"/>
              </w:rPr>
              <w:t>Сєвєроднецька</w:t>
            </w:r>
            <w:proofErr w:type="spellEnd"/>
            <w:r w:rsidRPr="00B74A55">
              <w:rPr>
                <w:sz w:val="22"/>
                <w:lang w:val="uk-UA"/>
              </w:rPr>
              <w:t xml:space="preserve"> Луганської області.</w:t>
            </w:r>
          </w:p>
          <w:p w:rsidR="00C04B84" w:rsidRPr="00B74A55" w:rsidRDefault="00C04B84" w:rsidP="00832B51">
            <w:pPr>
              <w:ind w:firstLine="708"/>
              <w:rPr>
                <w:sz w:val="22"/>
                <w:lang w:val="uk-UA"/>
              </w:rPr>
            </w:pPr>
            <w:r w:rsidRPr="00B74A55">
              <w:rPr>
                <w:sz w:val="22"/>
                <w:lang w:val="uk-UA"/>
              </w:rPr>
              <w:t xml:space="preserve">Гімназія № 4 за місцем розташування є центром спального району з обмеженою інфраструктурою для проведення активного відпочинку. Популярна гра </w:t>
            </w:r>
            <w:r w:rsidR="00343FE9" w:rsidRPr="00B74A55">
              <w:rPr>
                <w:sz w:val="22"/>
                <w:lang w:val="uk-UA"/>
              </w:rPr>
              <w:t xml:space="preserve">в </w:t>
            </w:r>
            <w:r w:rsidRPr="00B74A55">
              <w:rPr>
                <w:sz w:val="22"/>
                <w:lang w:val="uk-UA"/>
              </w:rPr>
              <w:t xml:space="preserve">футбол є альтернативою для активного дозвілля й відпочинку. Стадіон гімназії є місцем для спортивного відпочинку. Проте, через брак фінансування спортивна інфраструктура школи не оновлювалася, а через бойові дії - зазнала руйнувань. </w:t>
            </w:r>
          </w:p>
        </w:tc>
      </w:tr>
      <w:tr w:rsidR="00C04B84" w:rsidRPr="00B74A55" w:rsidTr="004843F9">
        <w:tc>
          <w:tcPr>
            <w:tcW w:w="2978" w:type="dxa"/>
            <w:shd w:val="clear" w:color="auto" w:fill="C6D9F1" w:themeFill="text2" w:themeFillTint="33"/>
          </w:tcPr>
          <w:p w:rsidR="00C04B84" w:rsidRPr="00B74A55" w:rsidRDefault="00C04B84" w:rsidP="00832B51">
            <w:pPr>
              <w:pStyle w:val="a7"/>
              <w:ind w:left="0"/>
              <w:rPr>
                <w:b/>
                <w:sz w:val="22"/>
                <w:lang w:val="uk-UA"/>
              </w:rPr>
            </w:pPr>
            <w:r w:rsidRPr="00B74A55">
              <w:rPr>
                <w:b/>
                <w:sz w:val="22"/>
                <w:lang w:val="uk-UA"/>
              </w:rPr>
              <w:t>Очікувані якісні результати від реалізації проекту</w:t>
            </w:r>
          </w:p>
        </w:tc>
        <w:tc>
          <w:tcPr>
            <w:tcW w:w="6945" w:type="dxa"/>
            <w:gridSpan w:val="6"/>
          </w:tcPr>
          <w:p w:rsidR="00C04B84" w:rsidRPr="00B74A55" w:rsidRDefault="00C04B84" w:rsidP="00832B51">
            <w:pPr>
              <w:pStyle w:val="a7"/>
              <w:ind w:left="0"/>
              <w:rPr>
                <w:sz w:val="22"/>
                <w:lang w:val="uk-UA"/>
              </w:rPr>
            </w:pPr>
            <w:r w:rsidRPr="00B74A55">
              <w:rPr>
                <w:sz w:val="22"/>
                <w:lang w:val="uk-UA"/>
              </w:rPr>
              <w:t xml:space="preserve">- відновлення освітнього середовища, контингенту учнів; </w:t>
            </w:r>
          </w:p>
          <w:p w:rsidR="00C04B84" w:rsidRPr="00B74A55" w:rsidRDefault="00C04B84" w:rsidP="00832B51">
            <w:pPr>
              <w:pStyle w:val="a7"/>
              <w:ind w:left="0"/>
              <w:rPr>
                <w:sz w:val="22"/>
                <w:lang w:val="uk-UA"/>
              </w:rPr>
            </w:pPr>
            <w:r w:rsidRPr="00B74A55">
              <w:rPr>
                <w:sz w:val="22"/>
                <w:lang w:val="uk-UA"/>
              </w:rPr>
              <w:t>- благоустрій мікрорайону гімназії;</w:t>
            </w:r>
          </w:p>
          <w:p w:rsidR="00C04B84" w:rsidRPr="00B74A55" w:rsidRDefault="00C04B84" w:rsidP="00832B51">
            <w:pPr>
              <w:pStyle w:val="a7"/>
              <w:ind w:left="0"/>
              <w:rPr>
                <w:sz w:val="22"/>
                <w:lang w:val="uk-UA"/>
              </w:rPr>
            </w:pPr>
            <w:r w:rsidRPr="00B74A55">
              <w:rPr>
                <w:sz w:val="22"/>
                <w:lang w:val="uk-UA"/>
              </w:rPr>
              <w:t>- перетворення закладу освіти на осередок соціальної згуртованості та стійкості в громаді;</w:t>
            </w:r>
          </w:p>
          <w:p w:rsidR="00C04B84" w:rsidRPr="00B74A55" w:rsidRDefault="00C04B84" w:rsidP="00832B51">
            <w:pPr>
              <w:pStyle w:val="a7"/>
              <w:ind w:left="0"/>
              <w:rPr>
                <w:sz w:val="22"/>
                <w:lang w:val="uk-UA"/>
              </w:rPr>
            </w:pPr>
            <w:r w:rsidRPr="00B74A55">
              <w:rPr>
                <w:sz w:val="22"/>
                <w:lang w:val="uk-UA"/>
              </w:rPr>
              <w:t xml:space="preserve">- популяризація улюбленого виду спорту футболу; </w:t>
            </w:r>
          </w:p>
          <w:p w:rsidR="00C04B84" w:rsidRPr="00B74A55" w:rsidRDefault="00C04B84" w:rsidP="00832B51">
            <w:pPr>
              <w:pStyle w:val="a7"/>
              <w:ind w:left="0"/>
              <w:rPr>
                <w:sz w:val="22"/>
                <w:lang w:val="uk-UA"/>
              </w:rPr>
            </w:pPr>
            <w:r w:rsidRPr="00B74A55">
              <w:rPr>
                <w:sz w:val="22"/>
                <w:lang w:val="uk-UA"/>
              </w:rPr>
              <w:t xml:space="preserve">- формування здорового способу життя; </w:t>
            </w:r>
          </w:p>
          <w:p w:rsidR="00C04B84" w:rsidRPr="00B74A55" w:rsidRDefault="00C04B84" w:rsidP="00832B51">
            <w:pPr>
              <w:pStyle w:val="a7"/>
              <w:ind w:left="0"/>
              <w:rPr>
                <w:sz w:val="22"/>
                <w:lang w:val="uk-UA"/>
              </w:rPr>
            </w:pPr>
            <w:r w:rsidRPr="00B74A55">
              <w:rPr>
                <w:sz w:val="22"/>
                <w:lang w:val="uk-UA"/>
              </w:rPr>
              <w:t>- організація активного відпочинку.</w:t>
            </w:r>
          </w:p>
        </w:tc>
      </w:tr>
      <w:tr w:rsidR="00C04B84" w:rsidRPr="00B74A55" w:rsidTr="004843F9">
        <w:trPr>
          <w:trHeight w:val="390"/>
        </w:trPr>
        <w:tc>
          <w:tcPr>
            <w:tcW w:w="2978" w:type="dxa"/>
            <w:vMerge w:val="restart"/>
            <w:shd w:val="clear" w:color="auto" w:fill="C6D9F1" w:themeFill="text2" w:themeFillTint="33"/>
          </w:tcPr>
          <w:p w:rsidR="00C04B84" w:rsidRPr="00B74A55" w:rsidRDefault="00C04B84" w:rsidP="00832B51">
            <w:pPr>
              <w:pStyle w:val="a7"/>
              <w:ind w:left="0"/>
              <w:rPr>
                <w:b/>
                <w:sz w:val="22"/>
                <w:lang w:val="uk-UA"/>
              </w:rPr>
            </w:pPr>
            <w:r w:rsidRPr="00B74A55">
              <w:rPr>
                <w:b/>
                <w:sz w:val="22"/>
                <w:lang w:val="uk-UA"/>
              </w:rPr>
              <w:t xml:space="preserve">Очікувані кількісні результати реалізації </w:t>
            </w:r>
            <w:proofErr w:type="spellStart"/>
            <w:r w:rsidRPr="00B74A55">
              <w:rPr>
                <w:b/>
                <w:sz w:val="22"/>
                <w:lang w:val="uk-UA"/>
              </w:rPr>
              <w:t>проєкту</w:t>
            </w:r>
            <w:proofErr w:type="spellEnd"/>
            <w:r w:rsidRPr="00B74A55">
              <w:rPr>
                <w:b/>
                <w:sz w:val="22"/>
                <w:lang w:val="uk-UA"/>
              </w:rPr>
              <w:t xml:space="preserve"> (індикатори)</w:t>
            </w:r>
          </w:p>
          <w:p w:rsidR="00C04B84" w:rsidRPr="00B74A55" w:rsidRDefault="00C04B84" w:rsidP="00832B51">
            <w:pPr>
              <w:pStyle w:val="a7"/>
              <w:ind w:left="0"/>
              <w:rPr>
                <w:b/>
                <w:sz w:val="22"/>
                <w:lang w:val="uk-UA"/>
              </w:rPr>
            </w:pPr>
          </w:p>
        </w:tc>
        <w:tc>
          <w:tcPr>
            <w:tcW w:w="3827" w:type="dxa"/>
            <w:gridSpan w:val="3"/>
            <w:tcBorders>
              <w:bottom w:val="single" w:sz="4" w:space="0" w:color="auto"/>
              <w:right w:val="single" w:sz="4" w:space="0" w:color="auto"/>
            </w:tcBorders>
          </w:tcPr>
          <w:p w:rsidR="00C04B84" w:rsidRPr="00B74A55" w:rsidRDefault="00C04B84" w:rsidP="00832B51">
            <w:pPr>
              <w:pStyle w:val="a7"/>
              <w:ind w:left="-108"/>
              <w:jc w:val="center"/>
              <w:rPr>
                <w:b/>
                <w:sz w:val="22"/>
                <w:lang w:val="uk-UA"/>
              </w:rPr>
            </w:pPr>
            <w:r w:rsidRPr="00B74A55">
              <w:rPr>
                <w:b/>
                <w:sz w:val="22"/>
                <w:lang w:val="uk-UA"/>
              </w:rPr>
              <w:t>Найменування показника</w:t>
            </w:r>
          </w:p>
        </w:tc>
        <w:tc>
          <w:tcPr>
            <w:tcW w:w="1701" w:type="dxa"/>
            <w:tcBorders>
              <w:left w:val="single" w:sz="4" w:space="0" w:color="auto"/>
              <w:bottom w:val="single" w:sz="4" w:space="0" w:color="auto"/>
              <w:right w:val="single" w:sz="4" w:space="0" w:color="auto"/>
            </w:tcBorders>
          </w:tcPr>
          <w:p w:rsidR="00C04B84" w:rsidRPr="00B74A55" w:rsidRDefault="00C04B84" w:rsidP="00832B51">
            <w:pPr>
              <w:pStyle w:val="a7"/>
              <w:ind w:left="0"/>
              <w:jc w:val="center"/>
              <w:rPr>
                <w:b/>
                <w:sz w:val="22"/>
                <w:lang w:val="uk-UA"/>
              </w:rPr>
            </w:pPr>
            <w:r w:rsidRPr="00B74A55">
              <w:rPr>
                <w:b/>
                <w:sz w:val="22"/>
                <w:lang w:val="uk-UA"/>
              </w:rPr>
              <w:t>Одиниця вимірювання</w:t>
            </w:r>
          </w:p>
          <w:p w:rsidR="00C04B84" w:rsidRPr="00B74A55" w:rsidRDefault="00C04B84" w:rsidP="00832B51">
            <w:pPr>
              <w:pStyle w:val="a7"/>
              <w:ind w:left="0"/>
              <w:rPr>
                <w:b/>
                <w:sz w:val="22"/>
                <w:lang w:val="uk-UA"/>
              </w:rPr>
            </w:pPr>
          </w:p>
        </w:tc>
        <w:tc>
          <w:tcPr>
            <w:tcW w:w="1417" w:type="dxa"/>
            <w:gridSpan w:val="2"/>
            <w:tcBorders>
              <w:left w:val="single" w:sz="4" w:space="0" w:color="auto"/>
              <w:bottom w:val="single" w:sz="4" w:space="0" w:color="auto"/>
            </w:tcBorders>
          </w:tcPr>
          <w:p w:rsidR="00C04B84" w:rsidRPr="00B74A55" w:rsidRDefault="00C04B84" w:rsidP="00832B51">
            <w:pPr>
              <w:pStyle w:val="a7"/>
              <w:ind w:left="0"/>
              <w:jc w:val="center"/>
              <w:rPr>
                <w:b/>
                <w:sz w:val="22"/>
                <w:lang w:val="uk-UA"/>
              </w:rPr>
            </w:pPr>
            <w:r w:rsidRPr="00B74A55">
              <w:rPr>
                <w:b/>
                <w:sz w:val="22"/>
                <w:lang w:val="uk-UA"/>
              </w:rPr>
              <w:t>Прогнозне (цільове) значення</w:t>
            </w:r>
          </w:p>
        </w:tc>
      </w:tr>
      <w:tr w:rsidR="00C04B84" w:rsidRPr="00B74A55" w:rsidTr="004843F9">
        <w:trPr>
          <w:trHeight w:val="585"/>
        </w:trPr>
        <w:tc>
          <w:tcPr>
            <w:tcW w:w="2978" w:type="dxa"/>
            <w:vMerge/>
            <w:shd w:val="clear" w:color="auto" w:fill="C6D9F1" w:themeFill="text2" w:themeFillTint="33"/>
          </w:tcPr>
          <w:p w:rsidR="00C04B84" w:rsidRPr="00B74A55" w:rsidRDefault="00C04B84" w:rsidP="00832B51">
            <w:pPr>
              <w:pStyle w:val="a7"/>
              <w:ind w:left="0"/>
              <w:rPr>
                <w:b/>
                <w:sz w:val="22"/>
                <w:lang w:val="uk-UA"/>
              </w:rPr>
            </w:pPr>
          </w:p>
        </w:tc>
        <w:tc>
          <w:tcPr>
            <w:tcW w:w="3827" w:type="dxa"/>
            <w:gridSpan w:val="3"/>
            <w:tcBorders>
              <w:top w:val="single" w:sz="4" w:space="0" w:color="auto"/>
              <w:bottom w:val="single" w:sz="4" w:space="0" w:color="auto"/>
              <w:right w:val="single" w:sz="4" w:space="0" w:color="auto"/>
            </w:tcBorders>
          </w:tcPr>
          <w:p w:rsidR="00C04B84" w:rsidRPr="00B74A55" w:rsidRDefault="00C04B84" w:rsidP="00832B51">
            <w:pPr>
              <w:pStyle w:val="a7"/>
              <w:ind w:left="0"/>
              <w:jc w:val="center"/>
              <w:rPr>
                <w:sz w:val="22"/>
                <w:lang w:val="uk-UA"/>
              </w:rPr>
            </w:pPr>
            <w:r w:rsidRPr="00B74A55">
              <w:rPr>
                <w:sz w:val="22"/>
                <w:lang w:val="uk-UA"/>
              </w:rPr>
              <w:t>Кількість одержувачів освітніх послуг у ЗО</w:t>
            </w:r>
          </w:p>
        </w:tc>
        <w:tc>
          <w:tcPr>
            <w:tcW w:w="1701" w:type="dxa"/>
            <w:tcBorders>
              <w:top w:val="single" w:sz="4" w:space="0" w:color="auto"/>
              <w:left w:val="single" w:sz="4" w:space="0" w:color="auto"/>
              <w:bottom w:val="single" w:sz="4" w:space="0" w:color="auto"/>
              <w:right w:val="single" w:sz="4" w:space="0" w:color="auto"/>
            </w:tcBorders>
            <w:vAlign w:val="center"/>
          </w:tcPr>
          <w:p w:rsidR="00C04B84" w:rsidRPr="00B74A55" w:rsidRDefault="00C04B84" w:rsidP="00832B51">
            <w:pPr>
              <w:pStyle w:val="a7"/>
              <w:ind w:left="0"/>
              <w:jc w:val="center"/>
              <w:rPr>
                <w:sz w:val="22"/>
                <w:lang w:val="uk-UA"/>
              </w:rPr>
            </w:pPr>
            <w:r w:rsidRPr="00B74A55">
              <w:rPr>
                <w:sz w:val="22"/>
                <w:lang w:val="uk-UA"/>
              </w:rPr>
              <w:t>осіб</w:t>
            </w:r>
          </w:p>
        </w:tc>
        <w:tc>
          <w:tcPr>
            <w:tcW w:w="1417" w:type="dxa"/>
            <w:gridSpan w:val="2"/>
            <w:tcBorders>
              <w:top w:val="single" w:sz="4" w:space="0" w:color="auto"/>
              <w:left w:val="single" w:sz="4" w:space="0" w:color="auto"/>
              <w:bottom w:val="single" w:sz="4" w:space="0" w:color="auto"/>
            </w:tcBorders>
          </w:tcPr>
          <w:p w:rsidR="00C04B84" w:rsidRPr="00B74A55" w:rsidRDefault="00C04B84" w:rsidP="00832B51">
            <w:pPr>
              <w:pStyle w:val="a7"/>
              <w:ind w:left="0"/>
              <w:jc w:val="center"/>
              <w:rPr>
                <w:sz w:val="22"/>
                <w:lang w:val="uk-UA"/>
              </w:rPr>
            </w:pPr>
            <w:r w:rsidRPr="00B74A55">
              <w:rPr>
                <w:sz w:val="22"/>
                <w:lang w:val="uk-UA"/>
              </w:rPr>
              <w:t xml:space="preserve">до 2000 </w:t>
            </w:r>
          </w:p>
        </w:tc>
      </w:tr>
      <w:tr w:rsidR="00C04B84" w:rsidRPr="00B74A55" w:rsidTr="004843F9">
        <w:trPr>
          <w:trHeight w:val="150"/>
        </w:trPr>
        <w:tc>
          <w:tcPr>
            <w:tcW w:w="2978" w:type="dxa"/>
            <w:vMerge/>
            <w:shd w:val="clear" w:color="auto" w:fill="C6D9F1" w:themeFill="text2" w:themeFillTint="33"/>
          </w:tcPr>
          <w:p w:rsidR="00C04B84" w:rsidRPr="00B74A55" w:rsidRDefault="00C04B84" w:rsidP="00832B51">
            <w:pPr>
              <w:pStyle w:val="a7"/>
              <w:ind w:left="0"/>
              <w:rPr>
                <w:b/>
                <w:sz w:val="22"/>
                <w:lang w:val="uk-UA"/>
              </w:rPr>
            </w:pPr>
          </w:p>
        </w:tc>
        <w:tc>
          <w:tcPr>
            <w:tcW w:w="3827" w:type="dxa"/>
            <w:gridSpan w:val="3"/>
            <w:tcBorders>
              <w:top w:val="single" w:sz="4" w:space="0" w:color="auto"/>
              <w:right w:val="single" w:sz="4" w:space="0" w:color="auto"/>
            </w:tcBorders>
          </w:tcPr>
          <w:p w:rsidR="00C04B84" w:rsidRPr="00B74A55" w:rsidRDefault="00C04B84" w:rsidP="00832B51">
            <w:pPr>
              <w:pStyle w:val="a7"/>
              <w:ind w:left="0"/>
              <w:jc w:val="center"/>
              <w:rPr>
                <w:sz w:val="22"/>
                <w:lang w:val="uk-UA"/>
              </w:rPr>
            </w:pPr>
            <w:r w:rsidRPr="00B74A55">
              <w:rPr>
                <w:sz w:val="22"/>
                <w:lang w:val="uk-UA"/>
              </w:rPr>
              <w:t>Термін надання послуги</w:t>
            </w:r>
          </w:p>
        </w:tc>
        <w:tc>
          <w:tcPr>
            <w:tcW w:w="1701" w:type="dxa"/>
            <w:tcBorders>
              <w:top w:val="single" w:sz="4" w:space="0" w:color="auto"/>
              <w:left w:val="single" w:sz="4" w:space="0" w:color="auto"/>
              <w:right w:val="single" w:sz="4" w:space="0" w:color="auto"/>
            </w:tcBorders>
            <w:vAlign w:val="center"/>
          </w:tcPr>
          <w:p w:rsidR="00C04B84" w:rsidRPr="00B74A55" w:rsidRDefault="00C04B84" w:rsidP="00832B51">
            <w:pPr>
              <w:pStyle w:val="a7"/>
              <w:ind w:left="0"/>
              <w:jc w:val="center"/>
              <w:rPr>
                <w:sz w:val="22"/>
                <w:lang w:val="uk-UA"/>
              </w:rPr>
            </w:pPr>
            <w:r w:rsidRPr="00B74A55">
              <w:rPr>
                <w:sz w:val="22"/>
                <w:lang w:val="uk-UA"/>
              </w:rPr>
              <w:t>місяць</w:t>
            </w:r>
          </w:p>
        </w:tc>
        <w:tc>
          <w:tcPr>
            <w:tcW w:w="1417" w:type="dxa"/>
            <w:gridSpan w:val="2"/>
            <w:tcBorders>
              <w:top w:val="single" w:sz="4" w:space="0" w:color="auto"/>
              <w:left w:val="single" w:sz="4" w:space="0" w:color="auto"/>
            </w:tcBorders>
          </w:tcPr>
          <w:p w:rsidR="00C04B84" w:rsidRPr="00B74A55" w:rsidRDefault="00C04B84" w:rsidP="00832B51">
            <w:pPr>
              <w:pStyle w:val="a7"/>
              <w:ind w:left="0"/>
              <w:jc w:val="center"/>
              <w:rPr>
                <w:sz w:val="22"/>
                <w:lang w:val="uk-UA"/>
              </w:rPr>
            </w:pPr>
            <w:r w:rsidRPr="00B74A55">
              <w:rPr>
                <w:sz w:val="22"/>
                <w:lang w:val="uk-UA"/>
              </w:rPr>
              <w:t xml:space="preserve">12 </w:t>
            </w:r>
          </w:p>
        </w:tc>
      </w:tr>
      <w:tr w:rsidR="00C04B84" w:rsidRPr="00B74A55" w:rsidTr="004843F9">
        <w:trPr>
          <w:trHeight w:val="150"/>
        </w:trPr>
        <w:tc>
          <w:tcPr>
            <w:tcW w:w="2978" w:type="dxa"/>
            <w:shd w:val="clear" w:color="auto" w:fill="C6D9F1" w:themeFill="text2" w:themeFillTint="33"/>
          </w:tcPr>
          <w:p w:rsidR="00C04B84" w:rsidRPr="00B74A55" w:rsidRDefault="00C04B84" w:rsidP="00832B51">
            <w:pPr>
              <w:pStyle w:val="a7"/>
              <w:ind w:left="0"/>
              <w:rPr>
                <w:b/>
                <w:sz w:val="22"/>
                <w:lang w:val="uk-UA"/>
              </w:rPr>
            </w:pPr>
          </w:p>
        </w:tc>
        <w:tc>
          <w:tcPr>
            <w:tcW w:w="3827" w:type="dxa"/>
            <w:gridSpan w:val="3"/>
            <w:tcBorders>
              <w:top w:val="single" w:sz="4" w:space="0" w:color="auto"/>
              <w:right w:val="single" w:sz="4" w:space="0" w:color="auto"/>
            </w:tcBorders>
          </w:tcPr>
          <w:p w:rsidR="00C04B84" w:rsidRPr="00B74A55" w:rsidRDefault="00C04B84" w:rsidP="00832B51">
            <w:pPr>
              <w:pStyle w:val="a7"/>
              <w:ind w:left="0"/>
              <w:jc w:val="center"/>
              <w:rPr>
                <w:sz w:val="22"/>
                <w:lang w:val="uk-UA"/>
              </w:rPr>
            </w:pPr>
            <w:r w:rsidRPr="00B74A55">
              <w:rPr>
                <w:sz w:val="22"/>
                <w:lang w:val="uk-UA"/>
              </w:rPr>
              <w:t>Кількість населених пунктів, яке обслуговує підприємство</w:t>
            </w:r>
          </w:p>
        </w:tc>
        <w:tc>
          <w:tcPr>
            <w:tcW w:w="1701" w:type="dxa"/>
            <w:tcBorders>
              <w:top w:val="single" w:sz="4" w:space="0" w:color="auto"/>
              <w:left w:val="single" w:sz="4" w:space="0" w:color="auto"/>
              <w:right w:val="single" w:sz="4" w:space="0" w:color="auto"/>
            </w:tcBorders>
            <w:vAlign w:val="center"/>
          </w:tcPr>
          <w:p w:rsidR="00C04B84" w:rsidRPr="00B74A55" w:rsidRDefault="00C04B84" w:rsidP="00832B51">
            <w:pPr>
              <w:pStyle w:val="a7"/>
              <w:ind w:left="0"/>
              <w:jc w:val="center"/>
              <w:rPr>
                <w:sz w:val="22"/>
                <w:lang w:val="uk-UA"/>
              </w:rPr>
            </w:pPr>
            <w:r w:rsidRPr="00B74A55">
              <w:rPr>
                <w:sz w:val="22"/>
                <w:lang w:val="uk-UA"/>
              </w:rPr>
              <w:t>одиниць</w:t>
            </w:r>
          </w:p>
        </w:tc>
        <w:tc>
          <w:tcPr>
            <w:tcW w:w="1417" w:type="dxa"/>
            <w:gridSpan w:val="2"/>
            <w:tcBorders>
              <w:top w:val="single" w:sz="4" w:space="0" w:color="auto"/>
              <w:left w:val="single" w:sz="4" w:space="0" w:color="auto"/>
            </w:tcBorders>
          </w:tcPr>
          <w:p w:rsidR="00C04B84" w:rsidRPr="00B74A55" w:rsidRDefault="00C04B84" w:rsidP="00832B51">
            <w:pPr>
              <w:pStyle w:val="a7"/>
              <w:ind w:left="0"/>
              <w:jc w:val="center"/>
              <w:rPr>
                <w:sz w:val="22"/>
                <w:lang w:val="uk-UA"/>
              </w:rPr>
            </w:pPr>
            <w:r w:rsidRPr="00B74A55">
              <w:rPr>
                <w:sz w:val="22"/>
                <w:lang w:val="uk-UA"/>
              </w:rPr>
              <w:t xml:space="preserve">1 </w:t>
            </w:r>
          </w:p>
          <w:p w:rsidR="00C04B84" w:rsidRPr="00B74A55" w:rsidRDefault="00C04B84" w:rsidP="00832B51">
            <w:pPr>
              <w:pStyle w:val="a7"/>
              <w:ind w:left="0"/>
              <w:jc w:val="center"/>
              <w:rPr>
                <w:sz w:val="22"/>
                <w:lang w:val="uk-UA"/>
              </w:rPr>
            </w:pPr>
          </w:p>
        </w:tc>
      </w:tr>
      <w:tr w:rsidR="00C04B84" w:rsidRPr="00B74A55" w:rsidTr="004843F9">
        <w:tc>
          <w:tcPr>
            <w:tcW w:w="2978" w:type="dxa"/>
            <w:shd w:val="clear" w:color="auto" w:fill="C6D9F1" w:themeFill="text2" w:themeFillTint="33"/>
          </w:tcPr>
          <w:p w:rsidR="00C04B84" w:rsidRPr="00B74A55" w:rsidRDefault="00C04B84" w:rsidP="00832B51">
            <w:pPr>
              <w:rPr>
                <w:b/>
                <w:sz w:val="22"/>
                <w:lang w:val="uk-UA"/>
              </w:rPr>
            </w:pPr>
            <w:r w:rsidRPr="00B74A55">
              <w:rPr>
                <w:b/>
                <w:sz w:val="22"/>
                <w:lang w:val="uk-UA"/>
              </w:rPr>
              <w:t xml:space="preserve">Ключові заходи проекту: </w:t>
            </w:r>
          </w:p>
          <w:p w:rsidR="00C04B84" w:rsidRPr="00B74A55" w:rsidRDefault="00C04B84" w:rsidP="00832B51">
            <w:pPr>
              <w:pStyle w:val="a7"/>
              <w:ind w:left="0"/>
              <w:rPr>
                <w:b/>
                <w:sz w:val="22"/>
                <w:lang w:val="uk-UA"/>
              </w:rPr>
            </w:pPr>
          </w:p>
        </w:tc>
        <w:tc>
          <w:tcPr>
            <w:tcW w:w="6945" w:type="dxa"/>
            <w:gridSpan w:val="6"/>
          </w:tcPr>
          <w:p w:rsidR="00C04B84" w:rsidRPr="00B74A55" w:rsidRDefault="00C04B84" w:rsidP="00832B51">
            <w:pPr>
              <w:pStyle w:val="a7"/>
              <w:ind w:left="0"/>
              <w:rPr>
                <w:sz w:val="22"/>
                <w:lang w:val="uk-UA"/>
              </w:rPr>
            </w:pPr>
            <w:r w:rsidRPr="00B74A55">
              <w:rPr>
                <w:sz w:val="22"/>
                <w:lang w:val="uk-UA"/>
              </w:rPr>
              <w:t>І. Обстеження стану території:</w:t>
            </w:r>
          </w:p>
          <w:p w:rsidR="00C04B84" w:rsidRPr="00B74A55" w:rsidRDefault="00C04B84" w:rsidP="00832B51">
            <w:pPr>
              <w:pStyle w:val="a7"/>
              <w:ind w:left="0"/>
              <w:rPr>
                <w:sz w:val="22"/>
                <w:lang w:val="uk-UA"/>
              </w:rPr>
            </w:pPr>
            <w:r w:rsidRPr="00B74A55">
              <w:rPr>
                <w:sz w:val="22"/>
                <w:lang w:val="uk-UA"/>
              </w:rPr>
              <w:t xml:space="preserve">-виготовлення </w:t>
            </w:r>
            <w:proofErr w:type="spellStart"/>
            <w:r w:rsidRPr="00B74A55">
              <w:rPr>
                <w:sz w:val="22"/>
                <w:lang w:val="uk-UA"/>
              </w:rPr>
              <w:t>проєктно</w:t>
            </w:r>
            <w:proofErr w:type="spellEnd"/>
            <w:r w:rsidRPr="00B74A55">
              <w:rPr>
                <w:sz w:val="22"/>
                <w:lang w:val="uk-UA"/>
              </w:rPr>
              <w:t xml:space="preserve">-кошторисної документації або послуги з інженерного </w:t>
            </w:r>
            <w:proofErr w:type="spellStart"/>
            <w:r w:rsidRPr="00B74A55">
              <w:rPr>
                <w:sz w:val="22"/>
                <w:lang w:val="uk-UA"/>
              </w:rPr>
              <w:t>проєктування</w:t>
            </w:r>
            <w:proofErr w:type="spellEnd"/>
            <w:r w:rsidRPr="00B74A55">
              <w:rPr>
                <w:sz w:val="22"/>
                <w:lang w:val="uk-UA"/>
              </w:rPr>
              <w:t>;</w:t>
            </w:r>
          </w:p>
          <w:p w:rsidR="00343FE9" w:rsidRPr="00B74A55" w:rsidRDefault="00C04B84" w:rsidP="00832B51">
            <w:pPr>
              <w:pStyle w:val="a7"/>
              <w:ind w:left="0"/>
              <w:rPr>
                <w:sz w:val="22"/>
                <w:lang w:val="uk-UA"/>
              </w:rPr>
            </w:pPr>
            <w:r w:rsidRPr="00B74A55">
              <w:rPr>
                <w:sz w:val="22"/>
                <w:lang w:val="uk-UA"/>
              </w:rPr>
              <w:t xml:space="preserve">ІІ. Проведення експертизи </w:t>
            </w:r>
            <w:proofErr w:type="spellStart"/>
            <w:r w:rsidRPr="00B74A55">
              <w:rPr>
                <w:sz w:val="22"/>
                <w:lang w:val="uk-UA"/>
              </w:rPr>
              <w:t>про</w:t>
            </w:r>
            <w:r w:rsidR="00343FE9" w:rsidRPr="00B74A55">
              <w:rPr>
                <w:sz w:val="22"/>
                <w:lang w:val="uk-UA"/>
              </w:rPr>
              <w:t>є</w:t>
            </w:r>
            <w:r w:rsidRPr="00B74A55">
              <w:rPr>
                <w:sz w:val="22"/>
                <w:lang w:val="uk-UA"/>
              </w:rPr>
              <w:t>кту</w:t>
            </w:r>
            <w:proofErr w:type="spellEnd"/>
            <w:r w:rsidRPr="00B74A55">
              <w:rPr>
                <w:sz w:val="22"/>
                <w:lang w:val="uk-UA"/>
              </w:rPr>
              <w:t xml:space="preserve"> відновлення:</w:t>
            </w:r>
          </w:p>
          <w:p w:rsidR="00343FE9" w:rsidRPr="00B74A55" w:rsidRDefault="00C04B84" w:rsidP="00832B51">
            <w:pPr>
              <w:pStyle w:val="a7"/>
              <w:ind w:left="0"/>
              <w:rPr>
                <w:sz w:val="22"/>
                <w:lang w:val="uk-UA"/>
              </w:rPr>
            </w:pPr>
            <w:r w:rsidRPr="00B74A55">
              <w:rPr>
                <w:sz w:val="22"/>
                <w:lang w:val="uk-UA"/>
              </w:rPr>
              <w:t>-звернення в експертну компанію і підписання договору:</w:t>
            </w:r>
          </w:p>
          <w:p w:rsidR="00343FE9" w:rsidRPr="00B74A55" w:rsidRDefault="00C04B84" w:rsidP="00832B51">
            <w:pPr>
              <w:pStyle w:val="a7"/>
              <w:ind w:left="0"/>
              <w:rPr>
                <w:sz w:val="22"/>
                <w:lang w:val="uk-UA"/>
              </w:rPr>
            </w:pPr>
            <w:r w:rsidRPr="00B74A55">
              <w:rPr>
                <w:sz w:val="22"/>
                <w:lang w:val="uk-UA"/>
              </w:rPr>
              <w:t xml:space="preserve">-проведення експертизи </w:t>
            </w:r>
            <w:proofErr w:type="spellStart"/>
            <w:r w:rsidRPr="00B74A55">
              <w:rPr>
                <w:sz w:val="22"/>
                <w:lang w:val="uk-UA"/>
              </w:rPr>
              <w:t>про</w:t>
            </w:r>
            <w:r w:rsidR="00343FE9" w:rsidRPr="00B74A55">
              <w:rPr>
                <w:sz w:val="22"/>
                <w:lang w:val="uk-UA"/>
              </w:rPr>
              <w:t>є</w:t>
            </w:r>
            <w:r w:rsidRPr="00B74A55">
              <w:rPr>
                <w:sz w:val="22"/>
                <w:lang w:val="uk-UA"/>
              </w:rPr>
              <w:t>ктної</w:t>
            </w:r>
            <w:proofErr w:type="spellEnd"/>
            <w:r w:rsidRPr="00B74A55">
              <w:rPr>
                <w:sz w:val="22"/>
                <w:lang w:val="uk-UA"/>
              </w:rPr>
              <w:t xml:space="preserve"> документації; </w:t>
            </w:r>
          </w:p>
          <w:p w:rsidR="00343FE9" w:rsidRPr="00B74A55" w:rsidRDefault="00C04B84" w:rsidP="00832B51">
            <w:pPr>
              <w:pStyle w:val="a7"/>
              <w:ind w:left="0"/>
              <w:rPr>
                <w:sz w:val="22"/>
                <w:lang w:val="uk-UA"/>
              </w:rPr>
            </w:pPr>
            <w:r w:rsidRPr="00B74A55">
              <w:rPr>
                <w:sz w:val="22"/>
                <w:lang w:val="uk-UA"/>
              </w:rPr>
              <w:t xml:space="preserve">-усунення недоліків; </w:t>
            </w:r>
          </w:p>
          <w:p w:rsidR="00C04B84" w:rsidRPr="00B74A55" w:rsidRDefault="00C04B84" w:rsidP="00832B51">
            <w:pPr>
              <w:pStyle w:val="a7"/>
              <w:ind w:left="0"/>
              <w:rPr>
                <w:sz w:val="22"/>
                <w:lang w:val="uk-UA"/>
              </w:rPr>
            </w:pPr>
            <w:r w:rsidRPr="00B74A55">
              <w:rPr>
                <w:sz w:val="22"/>
                <w:lang w:val="uk-UA"/>
              </w:rPr>
              <w:t>-отримання експертного звіту.</w:t>
            </w:r>
          </w:p>
          <w:p w:rsidR="00C04B84" w:rsidRPr="00B74A55" w:rsidRDefault="00C04B84" w:rsidP="00832B51">
            <w:pPr>
              <w:pStyle w:val="a7"/>
              <w:ind w:left="0"/>
              <w:rPr>
                <w:sz w:val="22"/>
                <w:lang w:val="uk-UA"/>
              </w:rPr>
            </w:pPr>
            <w:r w:rsidRPr="00B74A55">
              <w:rPr>
                <w:sz w:val="22"/>
                <w:lang w:val="uk-UA"/>
              </w:rPr>
              <w:lastRenderedPageBreak/>
              <w:t>ІІІ. Визначення будівельно-підрядної організації-укладання угоди із організацією-підрядником та проведення підготовчих заходів по виконанню будівельних робіт. (Підготовка поля; монтаж: огорожа, освітлення тощо; покриття; футбольне обладнання для майданчика)</w:t>
            </w:r>
          </w:p>
          <w:p w:rsidR="00C04B84" w:rsidRPr="00B74A55" w:rsidRDefault="00C04B84" w:rsidP="00832B51">
            <w:pPr>
              <w:pStyle w:val="a7"/>
              <w:ind w:left="0"/>
              <w:rPr>
                <w:sz w:val="22"/>
                <w:lang w:val="uk-UA"/>
              </w:rPr>
            </w:pPr>
            <w:r w:rsidRPr="00B74A55">
              <w:rPr>
                <w:sz w:val="22"/>
                <w:lang w:val="uk-UA"/>
              </w:rPr>
              <w:t>IV. Проведення робіт по встановленню футбольного поля зі штучним покриттям. Введення об’єкту в експлуатацію.</w:t>
            </w:r>
          </w:p>
          <w:p w:rsidR="00C04B84" w:rsidRPr="00B74A55" w:rsidRDefault="00C04B84" w:rsidP="00832B51">
            <w:pPr>
              <w:pStyle w:val="a7"/>
              <w:ind w:left="0"/>
              <w:rPr>
                <w:sz w:val="22"/>
                <w:lang w:val="uk-UA"/>
              </w:rPr>
            </w:pPr>
            <w:r w:rsidRPr="00B74A55">
              <w:rPr>
                <w:sz w:val="22"/>
                <w:lang w:val="uk-UA"/>
              </w:rPr>
              <w:t xml:space="preserve">V. Прозвітувати про реалізацію </w:t>
            </w:r>
            <w:proofErr w:type="spellStart"/>
            <w:r w:rsidRPr="00B74A55">
              <w:rPr>
                <w:sz w:val="22"/>
                <w:lang w:val="uk-UA"/>
              </w:rPr>
              <w:t>проєкту</w:t>
            </w:r>
            <w:proofErr w:type="spellEnd"/>
            <w:r w:rsidRPr="00B74A55">
              <w:rPr>
                <w:sz w:val="22"/>
                <w:lang w:val="uk-UA"/>
              </w:rPr>
              <w:t xml:space="preserve"> та досягнення його мети.</w:t>
            </w:r>
          </w:p>
        </w:tc>
      </w:tr>
      <w:tr w:rsidR="00C04B84" w:rsidRPr="00B74A55" w:rsidTr="004843F9">
        <w:trPr>
          <w:trHeight w:val="360"/>
        </w:trPr>
        <w:tc>
          <w:tcPr>
            <w:tcW w:w="2978" w:type="dxa"/>
            <w:vMerge w:val="restart"/>
            <w:shd w:val="clear" w:color="auto" w:fill="C6D9F1" w:themeFill="text2" w:themeFillTint="33"/>
          </w:tcPr>
          <w:p w:rsidR="00C04B84" w:rsidRPr="00B74A55" w:rsidRDefault="00C04B84" w:rsidP="00832B51">
            <w:pPr>
              <w:pStyle w:val="a7"/>
              <w:ind w:left="0"/>
              <w:rPr>
                <w:b/>
                <w:sz w:val="22"/>
                <w:lang w:val="uk-UA"/>
              </w:rPr>
            </w:pPr>
            <w:r w:rsidRPr="00B74A55">
              <w:rPr>
                <w:b/>
                <w:sz w:val="22"/>
                <w:lang w:val="uk-UA"/>
              </w:rPr>
              <w:lastRenderedPageBreak/>
              <w:t xml:space="preserve">Орієнтовний обсяг та джерела фінансування, тис. грн. </w:t>
            </w:r>
          </w:p>
          <w:p w:rsidR="00C04B84" w:rsidRPr="00B74A55" w:rsidRDefault="00C04B84" w:rsidP="00832B51">
            <w:pPr>
              <w:pStyle w:val="a7"/>
              <w:ind w:left="0"/>
              <w:rPr>
                <w:b/>
                <w:sz w:val="22"/>
                <w:lang w:val="uk-UA"/>
              </w:rPr>
            </w:pPr>
          </w:p>
        </w:tc>
        <w:tc>
          <w:tcPr>
            <w:tcW w:w="1417" w:type="dxa"/>
            <w:tcBorders>
              <w:bottom w:val="single" w:sz="4" w:space="0" w:color="auto"/>
              <w:right w:val="single" w:sz="4" w:space="0" w:color="auto"/>
            </w:tcBorders>
          </w:tcPr>
          <w:p w:rsidR="00C04B84" w:rsidRPr="00B74A55" w:rsidRDefault="00C04B84" w:rsidP="00832B51">
            <w:pPr>
              <w:pStyle w:val="a7"/>
              <w:ind w:left="0"/>
              <w:jc w:val="center"/>
              <w:rPr>
                <w:b/>
                <w:sz w:val="22"/>
                <w:lang w:val="uk-UA"/>
              </w:rPr>
            </w:pPr>
            <w:r w:rsidRPr="00B74A55">
              <w:rPr>
                <w:b/>
                <w:sz w:val="22"/>
                <w:lang w:val="uk-UA"/>
              </w:rPr>
              <w:t>Державний бюджет</w:t>
            </w:r>
          </w:p>
        </w:tc>
        <w:tc>
          <w:tcPr>
            <w:tcW w:w="1418" w:type="dxa"/>
            <w:tcBorders>
              <w:bottom w:val="single" w:sz="4" w:space="0" w:color="auto"/>
              <w:right w:val="single" w:sz="4" w:space="0" w:color="auto"/>
            </w:tcBorders>
          </w:tcPr>
          <w:p w:rsidR="00C04B84" w:rsidRPr="00B74A55" w:rsidRDefault="00C04B84" w:rsidP="00832B51">
            <w:pPr>
              <w:pStyle w:val="a7"/>
              <w:ind w:left="0"/>
              <w:jc w:val="center"/>
              <w:rPr>
                <w:b/>
                <w:sz w:val="22"/>
                <w:lang w:val="uk-UA"/>
              </w:rPr>
            </w:pPr>
            <w:r w:rsidRPr="00B74A55">
              <w:rPr>
                <w:b/>
                <w:sz w:val="22"/>
                <w:lang w:val="uk-UA"/>
              </w:rPr>
              <w:t>Місцевий бюджет</w:t>
            </w:r>
          </w:p>
        </w:tc>
        <w:tc>
          <w:tcPr>
            <w:tcW w:w="2976" w:type="dxa"/>
            <w:gridSpan w:val="3"/>
            <w:tcBorders>
              <w:left w:val="single" w:sz="4" w:space="0" w:color="auto"/>
              <w:bottom w:val="single" w:sz="4" w:space="0" w:color="auto"/>
              <w:right w:val="single" w:sz="4" w:space="0" w:color="auto"/>
            </w:tcBorders>
          </w:tcPr>
          <w:p w:rsidR="00C04B84" w:rsidRPr="00B74A55" w:rsidRDefault="00C04B84" w:rsidP="00832B51">
            <w:pPr>
              <w:pStyle w:val="a7"/>
              <w:ind w:left="0"/>
              <w:jc w:val="center"/>
              <w:rPr>
                <w:b/>
                <w:sz w:val="22"/>
                <w:lang w:val="uk-UA"/>
              </w:rPr>
            </w:pPr>
            <w:r w:rsidRPr="00B74A55">
              <w:rPr>
                <w:b/>
                <w:sz w:val="22"/>
                <w:lang w:val="uk-UA"/>
              </w:rPr>
              <w:t>Інші джерела</w:t>
            </w:r>
          </w:p>
        </w:tc>
        <w:tc>
          <w:tcPr>
            <w:tcW w:w="1134" w:type="dxa"/>
            <w:tcBorders>
              <w:left w:val="single" w:sz="4" w:space="0" w:color="auto"/>
              <w:bottom w:val="single" w:sz="4" w:space="0" w:color="auto"/>
            </w:tcBorders>
          </w:tcPr>
          <w:p w:rsidR="00C04B84" w:rsidRPr="00B74A55" w:rsidRDefault="00C04B84" w:rsidP="00832B51">
            <w:pPr>
              <w:pStyle w:val="a7"/>
              <w:ind w:left="0"/>
              <w:jc w:val="center"/>
              <w:rPr>
                <w:b/>
                <w:sz w:val="22"/>
                <w:lang w:val="uk-UA"/>
              </w:rPr>
            </w:pPr>
            <w:r w:rsidRPr="00B74A55">
              <w:rPr>
                <w:b/>
                <w:sz w:val="22"/>
                <w:lang w:val="uk-UA"/>
              </w:rPr>
              <w:t>Всього</w:t>
            </w:r>
          </w:p>
        </w:tc>
      </w:tr>
      <w:tr w:rsidR="00C04B84" w:rsidRPr="00B74A55" w:rsidTr="004843F9">
        <w:trPr>
          <w:trHeight w:val="225"/>
        </w:trPr>
        <w:tc>
          <w:tcPr>
            <w:tcW w:w="2978" w:type="dxa"/>
            <w:vMerge/>
            <w:shd w:val="clear" w:color="auto" w:fill="C6D9F1" w:themeFill="text2" w:themeFillTint="33"/>
          </w:tcPr>
          <w:p w:rsidR="00C04B84" w:rsidRPr="00B74A55" w:rsidRDefault="00C04B84" w:rsidP="00832B51">
            <w:pPr>
              <w:pStyle w:val="a7"/>
              <w:ind w:left="0"/>
              <w:rPr>
                <w:b/>
                <w:sz w:val="22"/>
                <w:lang w:val="uk-UA"/>
              </w:rPr>
            </w:pPr>
          </w:p>
        </w:tc>
        <w:tc>
          <w:tcPr>
            <w:tcW w:w="1417" w:type="dxa"/>
            <w:vMerge w:val="restart"/>
            <w:tcBorders>
              <w:top w:val="single" w:sz="4" w:space="0" w:color="auto"/>
              <w:right w:val="single" w:sz="4" w:space="0" w:color="auto"/>
            </w:tcBorders>
          </w:tcPr>
          <w:p w:rsidR="00C04B84" w:rsidRPr="00B74A55" w:rsidRDefault="00C04B84" w:rsidP="00832B51">
            <w:pPr>
              <w:pStyle w:val="a7"/>
              <w:ind w:left="0"/>
              <w:jc w:val="center"/>
              <w:rPr>
                <w:sz w:val="22"/>
                <w:lang w:val="uk-UA"/>
              </w:rPr>
            </w:pPr>
            <w:r w:rsidRPr="00B74A55">
              <w:rPr>
                <w:sz w:val="22"/>
                <w:lang w:val="uk-UA"/>
              </w:rPr>
              <w:t>3500,0</w:t>
            </w:r>
          </w:p>
        </w:tc>
        <w:tc>
          <w:tcPr>
            <w:tcW w:w="1418" w:type="dxa"/>
            <w:vMerge w:val="restart"/>
            <w:tcBorders>
              <w:top w:val="single" w:sz="4" w:space="0" w:color="auto"/>
              <w:right w:val="single" w:sz="4" w:space="0" w:color="auto"/>
            </w:tcBorders>
          </w:tcPr>
          <w:p w:rsidR="00C04B84" w:rsidRPr="00B74A55" w:rsidRDefault="00C04B84" w:rsidP="00832B51">
            <w:pPr>
              <w:pStyle w:val="a7"/>
              <w:ind w:left="0"/>
              <w:jc w:val="center"/>
              <w:rPr>
                <w:b/>
                <w:sz w:val="22"/>
                <w:lang w:val="uk-UA"/>
              </w:rPr>
            </w:pPr>
            <w:r w:rsidRPr="00B74A55">
              <w:rPr>
                <w:b/>
                <w:sz w:val="22"/>
                <w:lang w:val="uk-UA"/>
              </w:rPr>
              <w:t>-</w:t>
            </w:r>
          </w:p>
        </w:tc>
        <w:tc>
          <w:tcPr>
            <w:tcW w:w="992" w:type="dxa"/>
            <w:tcBorders>
              <w:top w:val="single" w:sz="4" w:space="0" w:color="auto"/>
              <w:left w:val="single" w:sz="4" w:space="0" w:color="auto"/>
              <w:bottom w:val="single" w:sz="4" w:space="0" w:color="auto"/>
              <w:right w:val="single" w:sz="4" w:space="0" w:color="auto"/>
            </w:tcBorders>
          </w:tcPr>
          <w:p w:rsidR="00C04B84" w:rsidRPr="00B74A55" w:rsidRDefault="00C04B84" w:rsidP="00832B51">
            <w:pPr>
              <w:pStyle w:val="a7"/>
              <w:ind w:left="0"/>
              <w:jc w:val="center"/>
              <w:rPr>
                <w:b/>
                <w:sz w:val="22"/>
                <w:lang w:val="uk-UA"/>
              </w:rPr>
            </w:pPr>
            <w:r w:rsidRPr="00B74A55">
              <w:rPr>
                <w:b/>
                <w:sz w:val="22"/>
                <w:lang w:val="uk-UA"/>
              </w:rPr>
              <w:t>Обсяг</w:t>
            </w:r>
          </w:p>
        </w:tc>
        <w:tc>
          <w:tcPr>
            <w:tcW w:w="1984" w:type="dxa"/>
            <w:gridSpan w:val="2"/>
            <w:tcBorders>
              <w:top w:val="single" w:sz="4" w:space="0" w:color="auto"/>
              <w:left w:val="single" w:sz="4" w:space="0" w:color="auto"/>
              <w:bottom w:val="single" w:sz="4" w:space="0" w:color="auto"/>
              <w:right w:val="single" w:sz="4" w:space="0" w:color="auto"/>
            </w:tcBorders>
          </w:tcPr>
          <w:p w:rsidR="00C04B84" w:rsidRPr="00B74A55" w:rsidRDefault="00C04B84" w:rsidP="00832B51">
            <w:pPr>
              <w:pStyle w:val="a7"/>
              <w:ind w:left="0"/>
              <w:jc w:val="center"/>
              <w:rPr>
                <w:b/>
                <w:sz w:val="22"/>
                <w:lang w:val="uk-UA"/>
              </w:rPr>
            </w:pPr>
            <w:r w:rsidRPr="00B74A55">
              <w:rPr>
                <w:b/>
                <w:sz w:val="22"/>
                <w:lang w:val="uk-UA"/>
              </w:rPr>
              <w:t>Назва джерела</w:t>
            </w:r>
          </w:p>
        </w:tc>
        <w:tc>
          <w:tcPr>
            <w:tcW w:w="1134" w:type="dxa"/>
            <w:vMerge w:val="restart"/>
            <w:tcBorders>
              <w:top w:val="single" w:sz="4" w:space="0" w:color="auto"/>
              <w:left w:val="single" w:sz="4" w:space="0" w:color="auto"/>
            </w:tcBorders>
          </w:tcPr>
          <w:p w:rsidR="00C04B84" w:rsidRPr="00B74A55" w:rsidRDefault="00C04B84" w:rsidP="00832B51">
            <w:pPr>
              <w:pStyle w:val="a7"/>
              <w:ind w:left="0"/>
              <w:jc w:val="center"/>
              <w:rPr>
                <w:sz w:val="22"/>
                <w:lang w:val="uk-UA"/>
              </w:rPr>
            </w:pPr>
            <w:r w:rsidRPr="00B74A55">
              <w:rPr>
                <w:sz w:val="22"/>
                <w:lang w:val="uk-UA"/>
              </w:rPr>
              <w:t>5000,5</w:t>
            </w:r>
          </w:p>
        </w:tc>
      </w:tr>
      <w:tr w:rsidR="00C04B84" w:rsidRPr="00B74A55" w:rsidTr="004843F9">
        <w:trPr>
          <w:trHeight w:val="300"/>
        </w:trPr>
        <w:tc>
          <w:tcPr>
            <w:tcW w:w="2978" w:type="dxa"/>
            <w:vMerge/>
            <w:shd w:val="clear" w:color="auto" w:fill="C6D9F1" w:themeFill="text2" w:themeFillTint="33"/>
          </w:tcPr>
          <w:p w:rsidR="00C04B84" w:rsidRPr="00B74A55" w:rsidRDefault="00C04B84" w:rsidP="00832B51">
            <w:pPr>
              <w:pStyle w:val="a7"/>
              <w:ind w:left="0"/>
              <w:rPr>
                <w:b/>
                <w:sz w:val="22"/>
                <w:lang w:val="uk-UA"/>
              </w:rPr>
            </w:pPr>
          </w:p>
        </w:tc>
        <w:tc>
          <w:tcPr>
            <w:tcW w:w="1417" w:type="dxa"/>
            <w:vMerge/>
            <w:tcBorders>
              <w:right w:val="single" w:sz="4" w:space="0" w:color="auto"/>
            </w:tcBorders>
          </w:tcPr>
          <w:p w:rsidR="00C04B84" w:rsidRPr="00B74A55" w:rsidRDefault="00C04B84" w:rsidP="00832B51">
            <w:pPr>
              <w:pStyle w:val="a7"/>
              <w:ind w:left="0"/>
              <w:jc w:val="center"/>
              <w:rPr>
                <w:sz w:val="22"/>
                <w:lang w:val="uk-UA"/>
              </w:rPr>
            </w:pPr>
          </w:p>
        </w:tc>
        <w:tc>
          <w:tcPr>
            <w:tcW w:w="1418" w:type="dxa"/>
            <w:vMerge/>
            <w:tcBorders>
              <w:right w:val="single" w:sz="4" w:space="0" w:color="auto"/>
            </w:tcBorders>
          </w:tcPr>
          <w:p w:rsidR="00C04B84" w:rsidRPr="00B74A55" w:rsidRDefault="00C04B84" w:rsidP="00832B51">
            <w:pPr>
              <w:pStyle w:val="a7"/>
              <w:ind w:left="0"/>
              <w:jc w:val="center"/>
              <w:rPr>
                <w:b/>
                <w:sz w:val="22"/>
                <w:lang w:val="uk-UA"/>
              </w:rPr>
            </w:pPr>
          </w:p>
        </w:tc>
        <w:tc>
          <w:tcPr>
            <w:tcW w:w="992" w:type="dxa"/>
            <w:tcBorders>
              <w:top w:val="single" w:sz="4" w:space="0" w:color="auto"/>
              <w:left w:val="single" w:sz="4" w:space="0" w:color="auto"/>
              <w:right w:val="single" w:sz="4" w:space="0" w:color="auto"/>
            </w:tcBorders>
          </w:tcPr>
          <w:p w:rsidR="00C04B84" w:rsidRPr="00B74A55" w:rsidRDefault="00C04B84" w:rsidP="00832B51">
            <w:pPr>
              <w:pStyle w:val="a7"/>
              <w:ind w:left="0"/>
              <w:jc w:val="center"/>
              <w:rPr>
                <w:b/>
                <w:sz w:val="22"/>
                <w:lang w:val="uk-UA"/>
              </w:rPr>
            </w:pPr>
            <w:r w:rsidRPr="00B74A55">
              <w:rPr>
                <w:sz w:val="22"/>
                <w:lang w:val="uk-UA"/>
              </w:rPr>
              <w:t>1500,5</w:t>
            </w:r>
          </w:p>
        </w:tc>
        <w:tc>
          <w:tcPr>
            <w:tcW w:w="1984" w:type="dxa"/>
            <w:gridSpan w:val="2"/>
            <w:tcBorders>
              <w:top w:val="single" w:sz="4" w:space="0" w:color="auto"/>
              <w:left w:val="single" w:sz="4" w:space="0" w:color="auto"/>
              <w:right w:val="single" w:sz="4" w:space="0" w:color="auto"/>
            </w:tcBorders>
          </w:tcPr>
          <w:p w:rsidR="00C04B84" w:rsidRPr="00B74A55" w:rsidRDefault="00C04B84" w:rsidP="00832B51">
            <w:pPr>
              <w:pStyle w:val="a7"/>
              <w:ind w:left="0"/>
              <w:jc w:val="center"/>
              <w:rPr>
                <w:sz w:val="22"/>
                <w:lang w:val="uk-UA"/>
              </w:rPr>
            </w:pPr>
            <w:r w:rsidRPr="00B74A55">
              <w:rPr>
                <w:sz w:val="22"/>
                <w:lang w:val="uk-UA"/>
              </w:rPr>
              <w:t>Міжнародні інвестиції, кошти приватних осіб</w:t>
            </w:r>
          </w:p>
        </w:tc>
        <w:tc>
          <w:tcPr>
            <w:tcW w:w="1134" w:type="dxa"/>
            <w:vMerge/>
            <w:tcBorders>
              <w:left w:val="single" w:sz="4" w:space="0" w:color="auto"/>
            </w:tcBorders>
          </w:tcPr>
          <w:p w:rsidR="00C04B84" w:rsidRPr="00B74A55" w:rsidRDefault="00C04B84" w:rsidP="00832B51">
            <w:pPr>
              <w:pStyle w:val="a7"/>
              <w:ind w:left="0"/>
              <w:jc w:val="center"/>
              <w:rPr>
                <w:sz w:val="22"/>
                <w:lang w:val="uk-UA"/>
              </w:rPr>
            </w:pPr>
          </w:p>
        </w:tc>
      </w:tr>
    </w:tbl>
    <w:p w:rsidR="00CF4B4F" w:rsidRPr="00B74A55" w:rsidRDefault="00CF4B4F" w:rsidP="00E95FB1">
      <w:pPr>
        <w:rPr>
          <w:sz w:val="22"/>
        </w:rPr>
      </w:pPr>
    </w:p>
    <w:p w:rsidR="00C04B84" w:rsidRPr="00B74A55" w:rsidRDefault="00C04B84" w:rsidP="00E95FB1">
      <w:pPr>
        <w:rPr>
          <w:sz w:val="22"/>
        </w:rPr>
      </w:pPr>
    </w:p>
    <w:tbl>
      <w:tblPr>
        <w:tblStyle w:val="af"/>
        <w:tblW w:w="9923" w:type="dxa"/>
        <w:tblInd w:w="-176" w:type="dxa"/>
        <w:tblLayout w:type="fixed"/>
        <w:tblLook w:val="04A0" w:firstRow="1" w:lastRow="0" w:firstColumn="1" w:lastColumn="0" w:noHBand="0" w:noVBand="1"/>
      </w:tblPr>
      <w:tblGrid>
        <w:gridCol w:w="2978"/>
        <w:gridCol w:w="1417"/>
        <w:gridCol w:w="1418"/>
        <w:gridCol w:w="992"/>
        <w:gridCol w:w="1701"/>
        <w:gridCol w:w="162"/>
        <w:gridCol w:w="1255"/>
      </w:tblGrid>
      <w:tr w:rsidR="00C04B84" w:rsidRPr="00B74A55" w:rsidTr="004843F9">
        <w:tc>
          <w:tcPr>
            <w:tcW w:w="2978" w:type="dxa"/>
            <w:shd w:val="clear" w:color="auto" w:fill="C6D9F1" w:themeFill="text2" w:themeFillTint="33"/>
          </w:tcPr>
          <w:p w:rsidR="00C04B84" w:rsidRPr="00B74A55" w:rsidRDefault="00C04B84" w:rsidP="00832B51">
            <w:pPr>
              <w:pStyle w:val="a7"/>
              <w:ind w:left="0"/>
              <w:rPr>
                <w:b/>
                <w:sz w:val="22"/>
                <w:lang w:val="uk-UA"/>
              </w:rPr>
            </w:pPr>
            <w:r w:rsidRPr="00B74A55">
              <w:rPr>
                <w:b/>
                <w:sz w:val="22"/>
                <w:lang w:val="uk-UA"/>
              </w:rPr>
              <w:t>Оперативна ціль/завдання</w:t>
            </w:r>
          </w:p>
        </w:tc>
        <w:tc>
          <w:tcPr>
            <w:tcW w:w="6945" w:type="dxa"/>
            <w:gridSpan w:val="6"/>
            <w:shd w:val="clear" w:color="auto" w:fill="auto"/>
          </w:tcPr>
          <w:p w:rsidR="00C04B84" w:rsidRPr="00B74A55" w:rsidRDefault="00C04B84" w:rsidP="00832B51">
            <w:pPr>
              <w:rPr>
                <w:color w:val="FF0000"/>
                <w:sz w:val="22"/>
                <w:lang w:val="uk-UA"/>
              </w:rPr>
            </w:pPr>
            <w:r w:rsidRPr="00B74A55">
              <w:rPr>
                <w:rFonts w:eastAsia="SimSun"/>
                <w:sz w:val="22"/>
                <w:lang w:val="uk-UA"/>
              </w:rPr>
              <w:t xml:space="preserve">Людський розвиток через інновації управління та довіру до влади. Формування сучасного інклюзивного  </w:t>
            </w:r>
            <w:proofErr w:type="spellStart"/>
            <w:r w:rsidRPr="00B74A55">
              <w:rPr>
                <w:rFonts w:eastAsia="SimSun"/>
                <w:sz w:val="22"/>
                <w:lang w:val="uk-UA"/>
              </w:rPr>
              <w:t>освітньо</w:t>
            </w:r>
            <w:proofErr w:type="spellEnd"/>
            <w:r w:rsidRPr="00B74A55">
              <w:rPr>
                <w:rFonts w:eastAsia="SimSun"/>
                <w:sz w:val="22"/>
                <w:lang w:val="uk-UA"/>
              </w:rPr>
              <w:t>-культурного та спортивного простору для розвитку"</w:t>
            </w:r>
          </w:p>
        </w:tc>
      </w:tr>
      <w:tr w:rsidR="00C04B84" w:rsidRPr="00B74A55" w:rsidTr="004843F9">
        <w:tc>
          <w:tcPr>
            <w:tcW w:w="2978" w:type="dxa"/>
            <w:shd w:val="clear" w:color="auto" w:fill="C6D9F1" w:themeFill="text2" w:themeFillTint="33"/>
          </w:tcPr>
          <w:p w:rsidR="00C04B84" w:rsidRPr="00B74A55" w:rsidRDefault="00C04B84" w:rsidP="00832B51">
            <w:pPr>
              <w:pStyle w:val="a7"/>
              <w:ind w:left="0"/>
              <w:rPr>
                <w:b/>
                <w:sz w:val="22"/>
                <w:lang w:val="uk-UA"/>
              </w:rPr>
            </w:pPr>
            <w:r w:rsidRPr="00B74A55">
              <w:rPr>
                <w:b/>
                <w:sz w:val="22"/>
                <w:lang w:val="uk-UA"/>
              </w:rPr>
              <w:t>Назва проекту:</w:t>
            </w:r>
          </w:p>
        </w:tc>
        <w:tc>
          <w:tcPr>
            <w:tcW w:w="6945" w:type="dxa"/>
            <w:gridSpan w:val="6"/>
          </w:tcPr>
          <w:p w:rsidR="00C04B84" w:rsidRPr="00B74A55" w:rsidRDefault="00C04B84" w:rsidP="00832B51">
            <w:pPr>
              <w:pStyle w:val="a7"/>
              <w:ind w:left="0"/>
              <w:rPr>
                <w:sz w:val="22"/>
                <w:lang w:val="uk-UA"/>
              </w:rPr>
            </w:pPr>
            <w:r w:rsidRPr="00B74A55">
              <w:rPr>
                <w:rFonts w:eastAsia="san-serif"/>
                <w:sz w:val="22"/>
                <w:lang w:val="uk-UA"/>
              </w:rPr>
              <w:t xml:space="preserve"> «Встановлення системи опалення (ІТП) в Гімназії № 4 міста Сєвєродонецька Луганської області” вулиця Гагаріна, будинок 90</w:t>
            </w:r>
          </w:p>
        </w:tc>
      </w:tr>
      <w:tr w:rsidR="00C04B84" w:rsidRPr="00B74A55" w:rsidTr="004843F9">
        <w:tc>
          <w:tcPr>
            <w:tcW w:w="2978" w:type="dxa"/>
            <w:shd w:val="clear" w:color="auto" w:fill="C6D9F1" w:themeFill="text2" w:themeFillTint="33"/>
          </w:tcPr>
          <w:p w:rsidR="00C04B84" w:rsidRPr="00B74A55" w:rsidRDefault="00C04B84" w:rsidP="00832B51">
            <w:pPr>
              <w:rPr>
                <w:b/>
                <w:sz w:val="22"/>
                <w:lang w:val="uk-UA"/>
              </w:rPr>
            </w:pPr>
            <w:r w:rsidRPr="00B74A55">
              <w:rPr>
                <w:b/>
                <w:sz w:val="22"/>
                <w:lang w:val="uk-UA"/>
              </w:rPr>
              <w:t>Ціль проекту</w:t>
            </w:r>
          </w:p>
        </w:tc>
        <w:tc>
          <w:tcPr>
            <w:tcW w:w="6945" w:type="dxa"/>
            <w:gridSpan w:val="6"/>
          </w:tcPr>
          <w:p w:rsidR="00C04B84" w:rsidRPr="00B74A55" w:rsidRDefault="00C04B84" w:rsidP="00832B51">
            <w:pPr>
              <w:pStyle w:val="a7"/>
              <w:ind w:left="0"/>
              <w:rPr>
                <w:sz w:val="22"/>
                <w:lang w:val="uk-UA"/>
              </w:rPr>
            </w:pPr>
            <w:r w:rsidRPr="00B74A55">
              <w:rPr>
                <w:rFonts w:eastAsia="san-serif"/>
                <w:sz w:val="22"/>
                <w:lang w:val="uk-UA"/>
              </w:rPr>
              <w:t xml:space="preserve">Мета </w:t>
            </w:r>
            <w:proofErr w:type="spellStart"/>
            <w:r w:rsidRPr="00B74A55">
              <w:rPr>
                <w:rFonts w:eastAsia="san-serif"/>
                <w:sz w:val="22"/>
                <w:lang w:val="uk-UA"/>
              </w:rPr>
              <w:t>проєкту</w:t>
            </w:r>
            <w:proofErr w:type="spellEnd"/>
            <w:r w:rsidRPr="00B74A55">
              <w:rPr>
                <w:rFonts w:eastAsia="san-serif"/>
                <w:sz w:val="22"/>
                <w:lang w:val="uk-UA"/>
              </w:rPr>
              <w:t xml:space="preserve"> «Встановлення системи опалення (ІТП) в Гімназії № 4 міста Сєвєродонецька Луганської області” - скорочення питомих показників використання енергетичних і матеріальних ресурсів, зокрема зменшення споживання теплової енергії з одночасним покращенням умов перебування відвідувачів шляхом модернізації системи опалення будівлі.</w:t>
            </w:r>
          </w:p>
        </w:tc>
      </w:tr>
      <w:tr w:rsidR="00C04B84" w:rsidRPr="00B74A55" w:rsidTr="004843F9">
        <w:tc>
          <w:tcPr>
            <w:tcW w:w="2978" w:type="dxa"/>
            <w:shd w:val="clear" w:color="auto" w:fill="C6D9F1" w:themeFill="text2" w:themeFillTint="33"/>
          </w:tcPr>
          <w:p w:rsidR="00C04B84" w:rsidRPr="00B74A55" w:rsidRDefault="00C04B84" w:rsidP="00832B51">
            <w:pPr>
              <w:pStyle w:val="a7"/>
              <w:ind w:left="0"/>
              <w:rPr>
                <w:b/>
                <w:sz w:val="22"/>
                <w:lang w:val="uk-UA"/>
              </w:rPr>
            </w:pPr>
            <w:r w:rsidRPr="00B74A55">
              <w:rPr>
                <w:b/>
                <w:sz w:val="22"/>
                <w:lang w:val="uk-UA"/>
              </w:rPr>
              <w:t>Територія, на яку матиме вплив реалізація проекту</w:t>
            </w:r>
          </w:p>
        </w:tc>
        <w:tc>
          <w:tcPr>
            <w:tcW w:w="6945" w:type="dxa"/>
            <w:gridSpan w:val="6"/>
          </w:tcPr>
          <w:p w:rsidR="00C04B84" w:rsidRPr="00B74A55" w:rsidRDefault="00C04B84" w:rsidP="00832B51">
            <w:pPr>
              <w:pStyle w:val="a7"/>
              <w:ind w:left="0"/>
              <w:rPr>
                <w:sz w:val="22"/>
                <w:lang w:val="uk-UA"/>
              </w:rPr>
            </w:pPr>
            <w:r w:rsidRPr="00B74A55">
              <w:rPr>
                <w:sz w:val="22"/>
                <w:lang w:val="uk-UA"/>
              </w:rPr>
              <w:t>Сєвєродонецька міська територіальна громада</w:t>
            </w:r>
          </w:p>
        </w:tc>
      </w:tr>
      <w:tr w:rsidR="00C04B84" w:rsidRPr="00B74A55" w:rsidTr="004843F9">
        <w:tc>
          <w:tcPr>
            <w:tcW w:w="2978" w:type="dxa"/>
            <w:shd w:val="clear" w:color="auto" w:fill="C6D9F1" w:themeFill="text2" w:themeFillTint="33"/>
          </w:tcPr>
          <w:p w:rsidR="00C04B84" w:rsidRPr="00B74A55" w:rsidRDefault="00C04B84" w:rsidP="00832B51">
            <w:pPr>
              <w:pStyle w:val="a7"/>
              <w:ind w:left="0"/>
              <w:rPr>
                <w:b/>
                <w:sz w:val="22"/>
                <w:lang w:val="uk-UA"/>
              </w:rPr>
            </w:pPr>
            <w:r w:rsidRPr="00B74A55">
              <w:rPr>
                <w:b/>
                <w:sz w:val="22"/>
                <w:lang w:val="uk-UA"/>
              </w:rPr>
              <w:t>Чисельність населення, на яке матиме вплив реалізація проекту</w:t>
            </w:r>
          </w:p>
        </w:tc>
        <w:tc>
          <w:tcPr>
            <w:tcW w:w="6945" w:type="dxa"/>
            <w:gridSpan w:val="6"/>
          </w:tcPr>
          <w:p w:rsidR="00C04B84" w:rsidRPr="00B74A55" w:rsidRDefault="00C04B84" w:rsidP="00832B51">
            <w:pPr>
              <w:pStyle w:val="a7"/>
              <w:ind w:left="0"/>
              <w:rPr>
                <w:sz w:val="22"/>
                <w:lang w:val="uk-UA"/>
              </w:rPr>
            </w:pPr>
            <w:r w:rsidRPr="00B74A55">
              <w:rPr>
                <w:sz w:val="22"/>
                <w:lang w:val="uk-UA"/>
              </w:rPr>
              <w:t xml:space="preserve"> 70 000  осіб</w:t>
            </w:r>
          </w:p>
        </w:tc>
      </w:tr>
      <w:tr w:rsidR="00C04B84" w:rsidRPr="00B74A55" w:rsidTr="004843F9">
        <w:tc>
          <w:tcPr>
            <w:tcW w:w="2978" w:type="dxa"/>
            <w:shd w:val="clear" w:color="auto" w:fill="C6D9F1" w:themeFill="text2" w:themeFillTint="33"/>
          </w:tcPr>
          <w:p w:rsidR="00C04B84" w:rsidRPr="00B74A55" w:rsidRDefault="00C04B84" w:rsidP="00832B51">
            <w:pPr>
              <w:rPr>
                <w:b/>
                <w:sz w:val="22"/>
                <w:lang w:val="uk-UA"/>
              </w:rPr>
            </w:pPr>
            <w:r w:rsidRPr="00B74A55">
              <w:rPr>
                <w:b/>
                <w:sz w:val="22"/>
                <w:lang w:val="uk-UA"/>
              </w:rPr>
              <w:t>Опис проблеми, на вирішення якої  спрямований проект</w:t>
            </w:r>
          </w:p>
        </w:tc>
        <w:tc>
          <w:tcPr>
            <w:tcW w:w="6945" w:type="dxa"/>
            <w:gridSpan w:val="6"/>
          </w:tcPr>
          <w:p w:rsidR="00C04B84" w:rsidRPr="00B74A55" w:rsidRDefault="00C04B84" w:rsidP="00832B51">
            <w:pPr>
              <w:ind w:firstLine="708"/>
              <w:rPr>
                <w:sz w:val="22"/>
                <w:lang w:val="uk-UA"/>
              </w:rPr>
            </w:pPr>
            <w:r w:rsidRPr="00B74A55">
              <w:rPr>
                <w:sz w:val="22"/>
                <w:lang w:val="uk-UA"/>
              </w:rPr>
              <w:t>Через військову агресію РФ територія Сєвєродонецької міської територіальної громади зазнала значних пошкоджень. Не оминуло це і гімназію № 4 міста Сєвєродонецька Луганської області.</w:t>
            </w:r>
          </w:p>
          <w:p w:rsidR="00C04B84" w:rsidRPr="00B74A55" w:rsidRDefault="00C04B84" w:rsidP="00832B51">
            <w:pPr>
              <w:ind w:firstLine="708"/>
              <w:rPr>
                <w:sz w:val="22"/>
                <w:lang w:val="uk-UA"/>
              </w:rPr>
            </w:pPr>
            <w:r w:rsidRPr="00B74A55">
              <w:rPr>
                <w:sz w:val="22"/>
                <w:lang w:val="uk-UA"/>
              </w:rPr>
              <w:t>Система опалення Гімназії № 4 зазнала значних руйнувань та пошкоджень через обстріли.</w:t>
            </w:r>
          </w:p>
        </w:tc>
      </w:tr>
      <w:tr w:rsidR="00C04B84" w:rsidRPr="00B74A55" w:rsidTr="004843F9">
        <w:tc>
          <w:tcPr>
            <w:tcW w:w="2978" w:type="dxa"/>
            <w:shd w:val="clear" w:color="auto" w:fill="C6D9F1" w:themeFill="text2" w:themeFillTint="33"/>
          </w:tcPr>
          <w:p w:rsidR="00C04B84" w:rsidRPr="00B74A55" w:rsidRDefault="00C04B84" w:rsidP="00832B51">
            <w:pPr>
              <w:pStyle w:val="a7"/>
              <w:ind w:left="0"/>
              <w:rPr>
                <w:b/>
                <w:sz w:val="22"/>
                <w:lang w:val="uk-UA"/>
              </w:rPr>
            </w:pPr>
            <w:r w:rsidRPr="00B74A55">
              <w:rPr>
                <w:b/>
                <w:sz w:val="22"/>
                <w:lang w:val="uk-UA"/>
              </w:rPr>
              <w:t>Очікувані якісні результати від реалізації проекту</w:t>
            </w:r>
          </w:p>
        </w:tc>
        <w:tc>
          <w:tcPr>
            <w:tcW w:w="6945" w:type="dxa"/>
            <w:gridSpan w:val="6"/>
          </w:tcPr>
          <w:p w:rsidR="00C04B84" w:rsidRPr="00B74A55" w:rsidRDefault="00C04B84" w:rsidP="00832B51">
            <w:pPr>
              <w:pStyle w:val="a7"/>
              <w:ind w:left="0"/>
              <w:rPr>
                <w:sz w:val="22"/>
                <w:lang w:val="uk-UA"/>
              </w:rPr>
            </w:pPr>
            <w:r w:rsidRPr="00B74A55">
              <w:rPr>
                <w:sz w:val="22"/>
                <w:lang w:val="uk-UA"/>
              </w:rPr>
              <w:t xml:space="preserve">- відновлення освітнього середовища, контингенту учнів; </w:t>
            </w:r>
          </w:p>
          <w:p w:rsidR="00C04B84" w:rsidRPr="00B74A55" w:rsidRDefault="00C04B84" w:rsidP="00832B51">
            <w:pPr>
              <w:pStyle w:val="a7"/>
              <w:ind w:left="0"/>
              <w:rPr>
                <w:sz w:val="22"/>
                <w:lang w:val="uk-UA"/>
              </w:rPr>
            </w:pPr>
            <w:r w:rsidRPr="00B74A55">
              <w:rPr>
                <w:sz w:val="22"/>
                <w:lang w:val="uk-UA"/>
              </w:rPr>
              <w:t xml:space="preserve">- благоустрій мікрорайону гімназії; </w:t>
            </w:r>
          </w:p>
          <w:p w:rsidR="00C04B84" w:rsidRPr="00B74A55" w:rsidRDefault="00C04B84" w:rsidP="00832B51">
            <w:pPr>
              <w:pStyle w:val="a7"/>
              <w:ind w:left="0"/>
              <w:rPr>
                <w:sz w:val="22"/>
                <w:lang w:val="uk-UA"/>
              </w:rPr>
            </w:pPr>
            <w:r w:rsidRPr="00B74A55">
              <w:rPr>
                <w:sz w:val="22"/>
                <w:lang w:val="uk-UA"/>
              </w:rPr>
              <w:t xml:space="preserve">- </w:t>
            </w:r>
            <w:r w:rsidRPr="00B74A55">
              <w:rPr>
                <w:rFonts w:eastAsia="san-serif"/>
                <w:sz w:val="22"/>
                <w:lang w:val="uk-UA"/>
              </w:rPr>
              <w:t>покращенням умов перебування відвідувачів шляхом модернізації системи опалення будівлі;</w:t>
            </w:r>
          </w:p>
          <w:p w:rsidR="00C04B84" w:rsidRPr="00B74A55" w:rsidRDefault="00C04B84" w:rsidP="00832B51">
            <w:pPr>
              <w:pStyle w:val="a7"/>
              <w:ind w:left="0"/>
              <w:rPr>
                <w:sz w:val="22"/>
                <w:lang w:val="uk-UA"/>
              </w:rPr>
            </w:pPr>
            <w:r w:rsidRPr="00B74A55">
              <w:rPr>
                <w:sz w:val="22"/>
                <w:lang w:val="uk-UA"/>
              </w:rPr>
              <w:t xml:space="preserve">- перетворення закладу освіти на осередок соціальної згуртованості та стійкості в громаді. </w:t>
            </w:r>
          </w:p>
        </w:tc>
      </w:tr>
      <w:tr w:rsidR="00C04B84" w:rsidRPr="00B74A55" w:rsidTr="004843F9">
        <w:trPr>
          <w:trHeight w:val="390"/>
        </w:trPr>
        <w:tc>
          <w:tcPr>
            <w:tcW w:w="2978" w:type="dxa"/>
            <w:vMerge w:val="restart"/>
            <w:shd w:val="clear" w:color="auto" w:fill="C6D9F1" w:themeFill="text2" w:themeFillTint="33"/>
          </w:tcPr>
          <w:p w:rsidR="00C04B84" w:rsidRPr="00B74A55" w:rsidRDefault="00C04B84" w:rsidP="00832B51">
            <w:pPr>
              <w:pStyle w:val="a7"/>
              <w:ind w:left="0"/>
              <w:rPr>
                <w:b/>
                <w:sz w:val="22"/>
                <w:lang w:val="uk-UA"/>
              </w:rPr>
            </w:pPr>
            <w:r w:rsidRPr="00B74A55">
              <w:rPr>
                <w:b/>
                <w:sz w:val="22"/>
                <w:lang w:val="uk-UA"/>
              </w:rPr>
              <w:t xml:space="preserve">Очікувані кількісні результати реалізації </w:t>
            </w:r>
            <w:proofErr w:type="spellStart"/>
            <w:r w:rsidRPr="00B74A55">
              <w:rPr>
                <w:b/>
                <w:sz w:val="22"/>
                <w:lang w:val="uk-UA"/>
              </w:rPr>
              <w:t>проєкту</w:t>
            </w:r>
            <w:proofErr w:type="spellEnd"/>
            <w:r w:rsidRPr="00B74A55">
              <w:rPr>
                <w:b/>
                <w:sz w:val="22"/>
                <w:lang w:val="uk-UA"/>
              </w:rPr>
              <w:t xml:space="preserve"> (індикатори)</w:t>
            </w:r>
          </w:p>
          <w:p w:rsidR="00C04B84" w:rsidRPr="00B74A55" w:rsidRDefault="00C04B84" w:rsidP="00832B51">
            <w:pPr>
              <w:pStyle w:val="a7"/>
              <w:ind w:left="0"/>
              <w:rPr>
                <w:b/>
                <w:sz w:val="22"/>
                <w:lang w:val="uk-UA"/>
              </w:rPr>
            </w:pPr>
          </w:p>
        </w:tc>
        <w:tc>
          <w:tcPr>
            <w:tcW w:w="3827" w:type="dxa"/>
            <w:gridSpan w:val="3"/>
            <w:tcBorders>
              <w:bottom w:val="single" w:sz="4" w:space="0" w:color="auto"/>
              <w:right w:val="single" w:sz="4" w:space="0" w:color="auto"/>
            </w:tcBorders>
          </w:tcPr>
          <w:p w:rsidR="00C04B84" w:rsidRPr="00B74A55" w:rsidRDefault="00C04B84" w:rsidP="00832B51">
            <w:pPr>
              <w:pStyle w:val="a7"/>
              <w:ind w:left="-108"/>
              <w:jc w:val="center"/>
              <w:rPr>
                <w:b/>
                <w:sz w:val="22"/>
                <w:lang w:val="uk-UA"/>
              </w:rPr>
            </w:pPr>
            <w:r w:rsidRPr="00B74A55">
              <w:rPr>
                <w:b/>
                <w:sz w:val="22"/>
                <w:lang w:val="uk-UA"/>
              </w:rPr>
              <w:t>Найменування показника</w:t>
            </w:r>
          </w:p>
        </w:tc>
        <w:tc>
          <w:tcPr>
            <w:tcW w:w="1701" w:type="dxa"/>
            <w:tcBorders>
              <w:left w:val="single" w:sz="4" w:space="0" w:color="auto"/>
              <w:bottom w:val="single" w:sz="4" w:space="0" w:color="auto"/>
              <w:right w:val="single" w:sz="4" w:space="0" w:color="auto"/>
            </w:tcBorders>
          </w:tcPr>
          <w:p w:rsidR="00C04B84" w:rsidRPr="00B74A55" w:rsidRDefault="00C04B84" w:rsidP="00832B51">
            <w:pPr>
              <w:pStyle w:val="a7"/>
              <w:ind w:left="0"/>
              <w:jc w:val="center"/>
              <w:rPr>
                <w:b/>
                <w:sz w:val="22"/>
                <w:lang w:val="uk-UA"/>
              </w:rPr>
            </w:pPr>
            <w:r w:rsidRPr="00B74A55">
              <w:rPr>
                <w:b/>
                <w:sz w:val="22"/>
                <w:lang w:val="uk-UA"/>
              </w:rPr>
              <w:t>Одиниця вимірювання</w:t>
            </w:r>
          </w:p>
          <w:p w:rsidR="00C04B84" w:rsidRPr="00B74A55" w:rsidRDefault="00C04B84" w:rsidP="00832B51">
            <w:pPr>
              <w:pStyle w:val="a7"/>
              <w:ind w:left="0"/>
              <w:rPr>
                <w:b/>
                <w:sz w:val="22"/>
                <w:lang w:val="uk-UA"/>
              </w:rPr>
            </w:pPr>
          </w:p>
        </w:tc>
        <w:tc>
          <w:tcPr>
            <w:tcW w:w="1417" w:type="dxa"/>
            <w:gridSpan w:val="2"/>
            <w:tcBorders>
              <w:left w:val="single" w:sz="4" w:space="0" w:color="auto"/>
              <w:bottom w:val="single" w:sz="4" w:space="0" w:color="auto"/>
            </w:tcBorders>
          </w:tcPr>
          <w:p w:rsidR="00C04B84" w:rsidRPr="00B74A55" w:rsidRDefault="00C04B84" w:rsidP="00832B51">
            <w:pPr>
              <w:pStyle w:val="a7"/>
              <w:ind w:left="0"/>
              <w:jc w:val="center"/>
              <w:rPr>
                <w:b/>
                <w:sz w:val="22"/>
                <w:lang w:val="uk-UA"/>
              </w:rPr>
            </w:pPr>
            <w:r w:rsidRPr="00B74A55">
              <w:rPr>
                <w:b/>
                <w:sz w:val="22"/>
                <w:lang w:val="uk-UA"/>
              </w:rPr>
              <w:t>Прогнозне (цільове) значення</w:t>
            </w:r>
          </w:p>
        </w:tc>
      </w:tr>
      <w:tr w:rsidR="00C04B84" w:rsidRPr="00B74A55" w:rsidTr="004843F9">
        <w:trPr>
          <w:trHeight w:val="585"/>
        </w:trPr>
        <w:tc>
          <w:tcPr>
            <w:tcW w:w="2978" w:type="dxa"/>
            <w:vMerge/>
            <w:shd w:val="clear" w:color="auto" w:fill="C6D9F1" w:themeFill="text2" w:themeFillTint="33"/>
          </w:tcPr>
          <w:p w:rsidR="00C04B84" w:rsidRPr="00B74A55" w:rsidRDefault="00C04B84" w:rsidP="00832B51">
            <w:pPr>
              <w:pStyle w:val="a7"/>
              <w:ind w:left="0"/>
              <w:rPr>
                <w:b/>
                <w:sz w:val="22"/>
                <w:lang w:val="uk-UA"/>
              </w:rPr>
            </w:pPr>
          </w:p>
        </w:tc>
        <w:tc>
          <w:tcPr>
            <w:tcW w:w="3827" w:type="dxa"/>
            <w:gridSpan w:val="3"/>
            <w:tcBorders>
              <w:top w:val="single" w:sz="4" w:space="0" w:color="auto"/>
              <w:bottom w:val="single" w:sz="4" w:space="0" w:color="auto"/>
              <w:right w:val="single" w:sz="4" w:space="0" w:color="auto"/>
            </w:tcBorders>
          </w:tcPr>
          <w:p w:rsidR="00C04B84" w:rsidRPr="00B74A55" w:rsidRDefault="00C04B84" w:rsidP="00832B51">
            <w:pPr>
              <w:pStyle w:val="a7"/>
              <w:ind w:left="0"/>
              <w:jc w:val="center"/>
              <w:rPr>
                <w:sz w:val="22"/>
                <w:lang w:val="uk-UA"/>
              </w:rPr>
            </w:pPr>
            <w:r w:rsidRPr="00B74A55">
              <w:rPr>
                <w:sz w:val="22"/>
                <w:lang w:val="uk-UA"/>
              </w:rPr>
              <w:t>Кількість фізичних та одержувачів освітніх послуг у ЗО</w:t>
            </w:r>
          </w:p>
        </w:tc>
        <w:tc>
          <w:tcPr>
            <w:tcW w:w="1701" w:type="dxa"/>
            <w:tcBorders>
              <w:top w:val="single" w:sz="4" w:space="0" w:color="auto"/>
              <w:left w:val="single" w:sz="4" w:space="0" w:color="auto"/>
              <w:bottom w:val="single" w:sz="4" w:space="0" w:color="auto"/>
              <w:right w:val="single" w:sz="4" w:space="0" w:color="auto"/>
            </w:tcBorders>
            <w:vAlign w:val="center"/>
          </w:tcPr>
          <w:p w:rsidR="00C04B84" w:rsidRPr="00B74A55" w:rsidRDefault="00C04B84" w:rsidP="00832B51">
            <w:pPr>
              <w:pStyle w:val="a7"/>
              <w:ind w:left="0"/>
              <w:jc w:val="center"/>
              <w:rPr>
                <w:sz w:val="22"/>
                <w:lang w:val="uk-UA"/>
              </w:rPr>
            </w:pPr>
            <w:r w:rsidRPr="00B74A55">
              <w:rPr>
                <w:sz w:val="22"/>
                <w:lang w:val="uk-UA"/>
              </w:rPr>
              <w:t>осіб</w:t>
            </w:r>
          </w:p>
        </w:tc>
        <w:tc>
          <w:tcPr>
            <w:tcW w:w="1417" w:type="dxa"/>
            <w:gridSpan w:val="2"/>
            <w:tcBorders>
              <w:top w:val="single" w:sz="4" w:space="0" w:color="auto"/>
              <w:left w:val="single" w:sz="4" w:space="0" w:color="auto"/>
              <w:bottom w:val="single" w:sz="4" w:space="0" w:color="auto"/>
            </w:tcBorders>
          </w:tcPr>
          <w:p w:rsidR="00C04B84" w:rsidRPr="00B74A55" w:rsidRDefault="00C04B84" w:rsidP="00832B51">
            <w:pPr>
              <w:pStyle w:val="a7"/>
              <w:ind w:left="0"/>
              <w:jc w:val="center"/>
              <w:rPr>
                <w:sz w:val="22"/>
                <w:lang w:val="uk-UA"/>
              </w:rPr>
            </w:pPr>
            <w:r w:rsidRPr="00B74A55">
              <w:rPr>
                <w:sz w:val="22"/>
                <w:lang w:val="uk-UA"/>
              </w:rPr>
              <w:t xml:space="preserve">до 2000 </w:t>
            </w:r>
          </w:p>
        </w:tc>
      </w:tr>
      <w:tr w:rsidR="00C04B84" w:rsidRPr="00B74A55" w:rsidTr="004843F9">
        <w:trPr>
          <w:trHeight w:val="150"/>
        </w:trPr>
        <w:tc>
          <w:tcPr>
            <w:tcW w:w="2978" w:type="dxa"/>
            <w:vMerge/>
            <w:shd w:val="clear" w:color="auto" w:fill="C6D9F1" w:themeFill="text2" w:themeFillTint="33"/>
          </w:tcPr>
          <w:p w:rsidR="00C04B84" w:rsidRPr="00B74A55" w:rsidRDefault="00C04B84" w:rsidP="00832B51">
            <w:pPr>
              <w:pStyle w:val="a7"/>
              <w:ind w:left="0"/>
              <w:rPr>
                <w:b/>
                <w:sz w:val="22"/>
                <w:lang w:val="uk-UA"/>
              </w:rPr>
            </w:pPr>
          </w:p>
        </w:tc>
        <w:tc>
          <w:tcPr>
            <w:tcW w:w="3827" w:type="dxa"/>
            <w:gridSpan w:val="3"/>
            <w:tcBorders>
              <w:top w:val="single" w:sz="4" w:space="0" w:color="auto"/>
              <w:right w:val="single" w:sz="4" w:space="0" w:color="auto"/>
            </w:tcBorders>
          </w:tcPr>
          <w:p w:rsidR="00C04B84" w:rsidRPr="00B74A55" w:rsidRDefault="00C04B84" w:rsidP="00832B51">
            <w:pPr>
              <w:pStyle w:val="a7"/>
              <w:ind w:left="0"/>
              <w:jc w:val="center"/>
              <w:rPr>
                <w:sz w:val="22"/>
                <w:lang w:val="uk-UA"/>
              </w:rPr>
            </w:pPr>
            <w:r w:rsidRPr="00B74A55">
              <w:rPr>
                <w:sz w:val="22"/>
                <w:lang w:val="uk-UA"/>
              </w:rPr>
              <w:t>Термін надання послуги</w:t>
            </w:r>
          </w:p>
        </w:tc>
        <w:tc>
          <w:tcPr>
            <w:tcW w:w="1701" w:type="dxa"/>
            <w:tcBorders>
              <w:top w:val="single" w:sz="4" w:space="0" w:color="auto"/>
              <w:left w:val="single" w:sz="4" w:space="0" w:color="auto"/>
              <w:right w:val="single" w:sz="4" w:space="0" w:color="auto"/>
            </w:tcBorders>
            <w:vAlign w:val="center"/>
          </w:tcPr>
          <w:p w:rsidR="00C04B84" w:rsidRPr="00B74A55" w:rsidRDefault="00C04B84" w:rsidP="00832B51">
            <w:pPr>
              <w:pStyle w:val="a7"/>
              <w:ind w:left="0"/>
              <w:jc w:val="center"/>
              <w:rPr>
                <w:sz w:val="22"/>
                <w:lang w:val="uk-UA"/>
              </w:rPr>
            </w:pPr>
            <w:r w:rsidRPr="00B74A55">
              <w:rPr>
                <w:sz w:val="22"/>
                <w:lang w:val="uk-UA"/>
              </w:rPr>
              <w:t>місяць</w:t>
            </w:r>
          </w:p>
        </w:tc>
        <w:tc>
          <w:tcPr>
            <w:tcW w:w="1417" w:type="dxa"/>
            <w:gridSpan w:val="2"/>
            <w:tcBorders>
              <w:top w:val="single" w:sz="4" w:space="0" w:color="auto"/>
              <w:left w:val="single" w:sz="4" w:space="0" w:color="auto"/>
            </w:tcBorders>
          </w:tcPr>
          <w:p w:rsidR="00C04B84" w:rsidRPr="00B74A55" w:rsidRDefault="00C04B84" w:rsidP="00832B51">
            <w:pPr>
              <w:pStyle w:val="a7"/>
              <w:ind w:left="0"/>
              <w:jc w:val="center"/>
              <w:rPr>
                <w:sz w:val="22"/>
                <w:lang w:val="uk-UA"/>
              </w:rPr>
            </w:pPr>
            <w:r w:rsidRPr="00B74A55">
              <w:rPr>
                <w:sz w:val="22"/>
                <w:lang w:val="uk-UA"/>
              </w:rPr>
              <w:t xml:space="preserve">12 </w:t>
            </w:r>
          </w:p>
        </w:tc>
      </w:tr>
      <w:tr w:rsidR="00C04B84" w:rsidRPr="00B74A55" w:rsidTr="004843F9">
        <w:trPr>
          <w:trHeight w:val="150"/>
        </w:trPr>
        <w:tc>
          <w:tcPr>
            <w:tcW w:w="2978" w:type="dxa"/>
            <w:shd w:val="clear" w:color="auto" w:fill="C6D9F1" w:themeFill="text2" w:themeFillTint="33"/>
          </w:tcPr>
          <w:p w:rsidR="00C04B84" w:rsidRPr="00B74A55" w:rsidRDefault="00C04B84" w:rsidP="00832B51">
            <w:pPr>
              <w:pStyle w:val="a7"/>
              <w:ind w:left="0"/>
              <w:rPr>
                <w:b/>
                <w:sz w:val="22"/>
                <w:lang w:val="uk-UA"/>
              </w:rPr>
            </w:pPr>
          </w:p>
        </w:tc>
        <w:tc>
          <w:tcPr>
            <w:tcW w:w="3827" w:type="dxa"/>
            <w:gridSpan w:val="3"/>
            <w:tcBorders>
              <w:top w:val="single" w:sz="4" w:space="0" w:color="auto"/>
              <w:right w:val="single" w:sz="4" w:space="0" w:color="auto"/>
            </w:tcBorders>
          </w:tcPr>
          <w:p w:rsidR="00C04B84" w:rsidRPr="00B74A55" w:rsidRDefault="00C04B84" w:rsidP="00832B51">
            <w:pPr>
              <w:pStyle w:val="a7"/>
              <w:ind w:left="0"/>
              <w:jc w:val="center"/>
              <w:rPr>
                <w:sz w:val="22"/>
                <w:lang w:val="uk-UA"/>
              </w:rPr>
            </w:pPr>
            <w:r w:rsidRPr="00B74A55">
              <w:rPr>
                <w:sz w:val="22"/>
                <w:lang w:val="uk-UA"/>
              </w:rPr>
              <w:t>Кількість населених пунктів, яке обслуговує заклад освіти</w:t>
            </w:r>
          </w:p>
        </w:tc>
        <w:tc>
          <w:tcPr>
            <w:tcW w:w="1701" w:type="dxa"/>
            <w:tcBorders>
              <w:top w:val="single" w:sz="4" w:space="0" w:color="auto"/>
              <w:left w:val="single" w:sz="4" w:space="0" w:color="auto"/>
              <w:right w:val="single" w:sz="4" w:space="0" w:color="auto"/>
            </w:tcBorders>
            <w:vAlign w:val="center"/>
          </w:tcPr>
          <w:p w:rsidR="00C04B84" w:rsidRPr="00B74A55" w:rsidRDefault="00C04B84" w:rsidP="00832B51">
            <w:pPr>
              <w:pStyle w:val="a7"/>
              <w:ind w:left="0"/>
              <w:jc w:val="center"/>
              <w:rPr>
                <w:sz w:val="22"/>
                <w:lang w:val="uk-UA"/>
              </w:rPr>
            </w:pPr>
            <w:r w:rsidRPr="00B74A55">
              <w:rPr>
                <w:sz w:val="22"/>
                <w:lang w:val="uk-UA"/>
              </w:rPr>
              <w:t>одиниць</w:t>
            </w:r>
          </w:p>
        </w:tc>
        <w:tc>
          <w:tcPr>
            <w:tcW w:w="1417" w:type="dxa"/>
            <w:gridSpan w:val="2"/>
            <w:tcBorders>
              <w:top w:val="single" w:sz="4" w:space="0" w:color="auto"/>
              <w:left w:val="single" w:sz="4" w:space="0" w:color="auto"/>
            </w:tcBorders>
          </w:tcPr>
          <w:p w:rsidR="00C04B84" w:rsidRPr="00B74A55" w:rsidRDefault="00C04B84" w:rsidP="00832B51">
            <w:pPr>
              <w:pStyle w:val="a7"/>
              <w:ind w:left="0"/>
              <w:jc w:val="center"/>
              <w:rPr>
                <w:sz w:val="22"/>
                <w:lang w:val="uk-UA"/>
              </w:rPr>
            </w:pPr>
            <w:r w:rsidRPr="00B74A55">
              <w:rPr>
                <w:sz w:val="22"/>
                <w:lang w:val="uk-UA"/>
              </w:rPr>
              <w:t xml:space="preserve">1 </w:t>
            </w:r>
          </w:p>
          <w:p w:rsidR="00C04B84" w:rsidRPr="00B74A55" w:rsidRDefault="00C04B84" w:rsidP="00832B51">
            <w:pPr>
              <w:pStyle w:val="a7"/>
              <w:ind w:left="0"/>
              <w:jc w:val="center"/>
              <w:rPr>
                <w:sz w:val="22"/>
                <w:lang w:val="uk-UA"/>
              </w:rPr>
            </w:pPr>
          </w:p>
        </w:tc>
      </w:tr>
      <w:tr w:rsidR="00C04B84" w:rsidRPr="00B74A55" w:rsidTr="004843F9">
        <w:tc>
          <w:tcPr>
            <w:tcW w:w="2978" w:type="dxa"/>
            <w:shd w:val="clear" w:color="auto" w:fill="C6D9F1" w:themeFill="text2" w:themeFillTint="33"/>
          </w:tcPr>
          <w:p w:rsidR="00C04B84" w:rsidRPr="00B74A55" w:rsidRDefault="00C04B84" w:rsidP="00832B51">
            <w:pPr>
              <w:rPr>
                <w:b/>
                <w:sz w:val="22"/>
                <w:lang w:val="uk-UA"/>
              </w:rPr>
            </w:pPr>
            <w:r w:rsidRPr="00B74A55">
              <w:rPr>
                <w:b/>
                <w:sz w:val="22"/>
                <w:lang w:val="uk-UA"/>
              </w:rPr>
              <w:t xml:space="preserve">Ключові заходи проекту: </w:t>
            </w:r>
          </w:p>
          <w:p w:rsidR="00C04B84" w:rsidRPr="00B74A55" w:rsidRDefault="00C04B84" w:rsidP="00832B51">
            <w:pPr>
              <w:pStyle w:val="a7"/>
              <w:ind w:left="0"/>
              <w:rPr>
                <w:b/>
                <w:sz w:val="22"/>
                <w:lang w:val="uk-UA"/>
              </w:rPr>
            </w:pPr>
          </w:p>
        </w:tc>
        <w:tc>
          <w:tcPr>
            <w:tcW w:w="6945" w:type="dxa"/>
            <w:gridSpan w:val="6"/>
          </w:tcPr>
          <w:p w:rsidR="00C04B84" w:rsidRPr="00B74A55" w:rsidRDefault="00C04B84" w:rsidP="00832B51">
            <w:pPr>
              <w:pStyle w:val="a7"/>
              <w:ind w:left="0"/>
              <w:rPr>
                <w:sz w:val="22"/>
                <w:lang w:val="uk-UA"/>
              </w:rPr>
            </w:pPr>
            <w:r w:rsidRPr="00B74A55">
              <w:rPr>
                <w:sz w:val="22"/>
                <w:lang w:val="uk-UA"/>
              </w:rPr>
              <w:t>І. Обстеження стану території:</w:t>
            </w:r>
          </w:p>
          <w:p w:rsidR="00C04B84" w:rsidRPr="00B74A55" w:rsidRDefault="00C04B84" w:rsidP="00832B51">
            <w:pPr>
              <w:pStyle w:val="a7"/>
              <w:ind w:left="0"/>
              <w:rPr>
                <w:sz w:val="22"/>
                <w:lang w:val="uk-UA"/>
              </w:rPr>
            </w:pPr>
            <w:r w:rsidRPr="00B74A55">
              <w:rPr>
                <w:sz w:val="22"/>
                <w:lang w:val="uk-UA"/>
              </w:rPr>
              <w:t xml:space="preserve">-виготовлення </w:t>
            </w:r>
            <w:proofErr w:type="spellStart"/>
            <w:r w:rsidRPr="00B74A55">
              <w:rPr>
                <w:sz w:val="22"/>
                <w:lang w:val="uk-UA"/>
              </w:rPr>
              <w:t>проєктно</w:t>
            </w:r>
            <w:proofErr w:type="spellEnd"/>
            <w:r w:rsidRPr="00B74A55">
              <w:rPr>
                <w:sz w:val="22"/>
                <w:lang w:val="uk-UA"/>
              </w:rPr>
              <w:t xml:space="preserve">-кошторисної документації або послуги з інженерного </w:t>
            </w:r>
            <w:proofErr w:type="spellStart"/>
            <w:r w:rsidRPr="00B74A55">
              <w:rPr>
                <w:sz w:val="22"/>
                <w:lang w:val="uk-UA"/>
              </w:rPr>
              <w:t>проєктування</w:t>
            </w:r>
            <w:proofErr w:type="spellEnd"/>
            <w:r w:rsidRPr="00B74A55">
              <w:rPr>
                <w:sz w:val="22"/>
                <w:lang w:val="uk-UA"/>
              </w:rPr>
              <w:t>;</w:t>
            </w:r>
          </w:p>
          <w:p w:rsidR="00173866" w:rsidRPr="00B74A55" w:rsidRDefault="00C04B84" w:rsidP="00832B51">
            <w:pPr>
              <w:pStyle w:val="a7"/>
              <w:ind w:left="0"/>
              <w:rPr>
                <w:sz w:val="22"/>
                <w:lang w:val="uk-UA"/>
              </w:rPr>
            </w:pPr>
            <w:r w:rsidRPr="00B74A55">
              <w:rPr>
                <w:sz w:val="22"/>
                <w:lang w:val="uk-UA"/>
              </w:rPr>
              <w:t xml:space="preserve">ІІ. Проведення експертизи </w:t>
            </w:r>
            <w:proofErr w:type="spellStart"/>
            <w:r w:rsidRPr="00B74A55">
              <w:rPr>
                <w:sz w:val="22"/>
                <w:lang w:val="uk-UA"/>
              </w:rPr>
              <w:t>проєкту</w:t>
            </w:r>
            <w:proofErr w:type="spellEnd"/>
            <w:r w:rsidRPr="00B74A55">
              <w:rPr>
                <w:sz w:val="22"/>
                <w:lang w:val="uk-UA"/>
              </w:rPr>
              <w:t xml:space="preserve"> відновлення:</w:t>
            </w:r>
          </w:p>
          <w:p w:rsidR="00173866" w:rsidRPr="00B74A55" w:rsidRDefault="00C04B84" w:rsidP="00832B51">
            <w:pPr>
              <w:pStyle w:val="a7"/>
              <w:ind w:left="0"/>
              <w:rPr>
                <w:sz w:val="22"/>
                <w:lang w:val="uk-UA"/>
              </w:rPr>
            </w:pPr>
            <w:r w:rsidRPr="00B74A55">
              <w:rPr>
                <w:sz w:val="22"/>
                <w:lang w:val="uk-UA"/>
              </w:rPr>
              <w:lastRenderedPageBreak/>
              <w:t>-звернення в експертну компанію і підписання договору:</w:t>
            </w:r>
          </w:p>
          <w:p w:rsidR="00173866" w:rsidRPr="00B74A55" w:rsidRDefault="00C04B84" w:rsidP="00832B51">
            <w:pPr>
              <w:pStyle w:val="a7"/>
              <w:ind w:left="0"/>
              <w:rPr>
                <w:sz w:val="22"/>
                <w:lang w:val="uk-UA"/>
              </w:rPr>
            </w:pPr>
            <w:r w:rsidRPr="00B74A55">
              <w:rPr>
                <w:sz w:val="22"/>
                <w:lang w:val="uk-UA"/>
              </w:rPr>
              <w:t xml:space="preserve">-проведення експертизи </w:t>
            </w:r>
            <w:proofErr w:type="spellStart"/>
            <w:r w:rsidRPr="00B74A55">
              <w:rPr>
                <w:sz w:val="22"/>
                <w:lang w:val="uk-UA"/>
              </w:rPr>
              <w:t>проєктної</w:t>
            </w:r>
            <w:proofErr w:type="spellEnd"/>
            <w:r w:rsidRPr="00B74A55">
              <w:rPr>
                <w:sz w:val="22"/>
                <w:lang w:val="uk-UA"/>
              </w:rPr>
              <w:t xml:space="preserve"> документації; </w:t>
            </w:r>
          </w:p>
          <w:p w:rsidR="00173866" w:rsidRPr="00B74A55" w:rsidRDefault="00C04B84" w:rsidP="00832B51">
            <w:pPr>
              <w:pStyle w:val="a7"/>
              <w:ind w:left="0"/>
              <w:rPr>
                <w:sz w:val="22"/>
                <w:lang w:val="uk-UA"/>
              </w:rPr>
            </w:pPr>
            <w:r w:rsidRPr="00B74A55">
              <w:rPr>
                <w:sz w:val="22"/>
                <w:lang w:val="uk-UA"/>
              </w:rPr>
              <w:t xml:space="preserve">-усунення недоліків; </w:t>
            </w:r>
          </w:p>
          <w:p w:rsidR="00C04B84" w:rsidRPr="00B74A55" w:rsidRDefault="00C04B84" w:rsidP="00832B51">
            <w:pPr>
              <w:pStyle w:val="a7"/>
              <w:ind w:left="0"/>
              <w:rPr>
                <w:sz w:val="22"/>
                <w:lang w:val="uk-UA"/>
              </w:rPr>
            </w:pPr>
            <w:r w:rsidRPr="00B74A55">
              <w:rPr>
                <w:sz w:val="22"/>
                <w:lang w:val="uk-UA"/>
              </w:rPr>
              <w:t>-отримання експертного звіту.</w:t>
            </w:r>
          </w:p>
          <w:p w:rsidR="00C04B84" w:rsidRPr="00B74A55" w:rsidRDefault="00C04B84" w:rsidP="00832B51">
            <w:pPr>
              <w:pStyle w:val="a7"/>
              <w:ind w:left="0"/>
              <w:rPr>
                <w:sz w:val="22"/>
                <w:lang w:val="uk-UA"/>
              </w:rPr>
            </w:pPr>
            <w:r w:rsidRPr="00B74A55">
              <w:rPr>
                <w:sz w:val="22"/>
                <w:lang w:val="uk-UA"/>
              </w:rPr>
              <w:t xml:space="preserve">ІІІ. Визначення будівельно-підрядної організації-укладання угоди із організацією-підрядником та проведення підготовчих заходів по виконанню будівельних робіт. </w:t>
            </w:r>
          </w:p>
          <w:p w:rsidR="00C04B84" w:rsidRPr="00B74A55" w:rsidRDefault="00C04B84" w:rsidP="00832B51">
            <w:pPr>
              <w:pStyle w:val="a7"/>
              <w:ind w:left="0"/>
              <w:rPr>
                <w:rFonts w:eastAsia="san-serif"/>
                <w:sz w:val="22"/>
                <w:lang w:val="uk-UA"/>
              </w:rPr>
            </w:pPr>
            <w:r w:rsidRPr="00B74A55">
              <w:rPr>
                <w:sz w:val="22"/>
                <w:lang w:val="uk-UA"/>
              </w:rPr>
              <w:t xml:space="preserve">IV. </w:t>
            </w:r>
            <w:r w:rsidRPr="00B74A55">
              <w:rPr>
                <w:rFonts w:eastAsia="san-serif"/>
                <w:sz w:val="22"/>
                <w:lang w:val="uk-UA"/>
              </w:rPr>
              <w:t>Облаштування індивідуального теплового пункту (ІТП):</w:t>
            </w:r>
            <w:r w:rsidRPr="00B74A55">
              <w:rPr>
                <w:rFonts w:eastAsia="san-serif"/>
                <w:sz w:val="22"/>
                <w:lang w:val="uk-UA"/>
              </w:rPr>
              <w:br/>
              <w:t>- промивка системи опалення;</w:t>
            </w:r>
          </w:p>
          <w:p w:rsidR="00C04B84" w:rsidRPr="00B74A55" w:rsidRDefault="00C04B84" w:rsidP="00832B51">
            <w:pPr>
              <w:pStyle w:val="a7"/>
              <w:ind w:left="0"/>
              <w:rPr>
                <w:rFonts w:eastAsia="san-serif"/>
                <w:sz w:val="22"/>
                <w:lang w:val="uk-UA"/>
              </w:rPr>
            </w:pPr>
            <w:r w:rsidRPr="00B74A55">
              <w:rPr>
                <w:rFonts w:eastAsia="san-serif"/>
                <w:sz w:val="22"/>
                <w:lang w:val="uk-UA"/>
              </w:rPr>
              <w:t>- встановлення тепловідбивних екранів між стінами приміщень і радіаторами;</w:t>
            </w:r>
          </w:p>
          <w:p w:rsidR="00C04B84" w:rsidRPr="00B74A55" w:rsidRDefault="00C04B84" w:rsidP="00832B51">
            <w:pPr>
              <w:pStyle w:val="a7"/>
              <w:ind w:left="0"/>
              <w:rPr>
                <w:rFonts w:eastAsia="san-serif"/>
                <w:sz w:val="22"/>
                <w:lang w:val="uk-UA"/>
              </w:rPr>
            </w:pPr>
            <w:r w:rsidRPr="00B74A55">
              <w:rPr>
                <w:rFonts w:eastAsia="san-serif"/>
                <w:sz w:val="22"/>
                <w:lang w:val="uk-UA"/>
              </w:rPr>
              <w:t xml:space="preserve">- проведення робіт з </w:t>
            </w:r>
            <w:proofErr w:type="spellStart"/>
            <w:r w:rsidRPr="00B74A55">
              <w:rPr>
                <w:rFonts w:eastAsia="san-serif"/>
                <w:sz w:val="22"/>
                <w:lang w:val="uk-UA"/>
              </w:rPr>
              <w:t>термомодернізації</w:t>
            </w:r>
            <w:proofErr w:type="spellEnd"/>
            <w:r w:rsidRPr="00B74A55">
              <w:rPr>
                <w:rFonts w:eastAsia="san-serif"/>
                <w:sz w:val="22"/>
                <w:lang w:val="uk-UA"/>
              </w:rPr>
              <w:t xml:space="preserve"> (утеплення покрівлі, фасаду, встановлення енергоефективних вікон та дверей);</w:t>
            </w:r>
          </w:p>
          <w:p w:rsidR="00C04B84" w:rsidRPr="00B74A55" w:rsidRDefault="00C04B84" w:rsidP="00832B51">
            <w:pPr>
              <w:pStyle w:val="a7"/>
              <w:ind w:left="0"/>
              <w:rPr>
                <w:sz w:val="22"/>
                <w:lang w:val="uk-UA"/>
              </w:rPr>
            </w:pPr>
            <w:r w:rsidRPr="00B74A55">
              <w:rPr>
                <w:rFonts w:eastAsia="san-serif"/>
                <w:sz w:val="22"/>
                <w:lang w:val="uk-UA"/>
              </w:rPr>
              <w:t>-в</w:t>
            </w:r>
            <w:r w:rsidRPr="00B74A55">
              <w:rPr>
                <w:sz w:val="22"/>
                <w:lang w:val="uk-UA"/>
              </w:rPr>
              <w:t>ведення об’єкту в експлуатацію.</w:t>
            </w:r>
          </w:p>
          <w:p w:rsidR="00C04B84" w:rsidRPr="00B74A55" w:rsidRDefault="00C04B84" w:rsidP="00832B51">
            <w:pPr>
              <w:pStyle w:val="a7"/>
              <w:ind w:left="0"/>
              <w:rPr>
                <w:sz w:val="22"/>
                <w:lang w:val="uk-UA"/>
              </w:rPr>
            </w:pPr>
            <w:r w:rsidRPr="00B74A55">
              <w:rPr>
                <w:sz w:val="22"/>
                <w:lang w:val="uk-UA"/>
              </w:rPr>
              <w:t xml:space="preserve">V. Прозвітувати про реалізацію </w:t>
            </w:r>
            <w:proofErr w:type="spellStart"/>
            <w:r w:rsidRPr="00B74A55">
              <w:rPr>
                <w:sz w:val="22"/>
                <w:lang w:val="uk-UA"/>
              </w:rPr>
              <w:t>проєкту</w:t>
            </w:r>
            <w:proofErr w:type="spellEnd"/>
            <w:r w:rsidRPr="00B74A55">
              <w:rPr>
                <w:sz w:val="22"/>
                <w:lang w:val="uk-UA"/>
              </w:rPr>
              <w:t xml:space="preserve"> та досягнення його мети.</w:t>
            </w:r>
          </w:p>
        </w:tc>
      </w:tr>
      <w:tr w:rsidR="00C04B84" w:rsidRPr="00B74A55" w:rsidTr="004843F9">
        <w:trPr>
          <w:trHeight w:val="360"/>
        </w:trPr>
        <w:tc>
          <w:tcPr>
            <w:tcW w:w="2978" w:type="dxa"/>
            <w:vMerge w:val="restart"/>
            <w:shd w:val="clear" w:color="auto" w:fill="C6D9F1" w:themeFill="text2" w:themeFillTint="33"/>
          </w:tcPr>
          <w:p w:rsidR="00C04B84" w:rsidRPr="00B74A55" w:rsidRDefault="00C04B84" w:rsidP="00832B51">
            <w:pPr>
              <w:pStyle w:val="a7"/>
              <w:ind w:left="0"/>
              <w:rPr>
                <w:b/>
                <w:sz w:val="22"/>
                <w:lang w:val="uk-UA"/>
              </w:rPr>
            </w:pPr>
            <w:r w:rsidRPr="00B74A55">
              <w:rPr>
                <w:b/>
                <w:sz w:val="22"/>
                <w:lang w:val="uk-UA"/>
              </w:rPr>
              <w:lastRenderedPageBreak/>
              <w:t xml:space="preserve">Орієнтовний обсяг та джерела фінансування, тис. грн. </w:t>
            </w:r>
          </w:p>
          <w:p w:rsidR="00C04B84" w:rsidRPr="00B74A55" w:rsidRDefault="00C04B84" w:rsidP="00832B51">
            <w:pPr>
              <w:pStyle w:val="a7"/>
              <w:ind w:left="0"/>
              <w:rPr>
                <w:b/>
                <w:sz w:val="22"/>
                <w:lang w:val="uk-UA"/>
              </w:rPr>
            </w:pPr>
          </w:p>
        </w:tc>
        <w:tc>
          <w:tcPr>
            <w:tcW w:w="1417" w:type="dxa"/>
            <w:tcBorders>
              <w:bottom w:val="single" w:sz="4" w:space="0" w:color="auto"/>
              <w:right w:val="single" w:sz="4" w:space="0" w:color="auto"/>
            </w:tcBorders>
          </w:tcPr>
          <w:p w:rsidR="00C04B84" w:rsidRPr="00B74A55" w:rsidRDefault="00C04B84" w:rsidP="00832B51">
            <w:pPr>
              <w:pStyle w:val="a7"/>
              <w:ind w:left="0"/>
              <w:jc w:val="center"/>
              <w:rPr>
                <w:b/>
                <w:sz w:val="22"/>
                <w:lang w:val="uk-UA"/>
              </w:rPr>
            </w:pPr>
            <w:r w:rsidRPr="00B74A55">
              <w:rPr>
                <w:b/>
                <w:sz w:val="22"/>
                <w:lang w:val="uk-UA"/>
              </w:rPr>
              <w:t>Державний бюджет</w:t>
            </w:r>
          </w:p>
        </w:tc>
        <w:tc>
          <w:tcPr>
            <w:tcW w:w="1418" w:type="dxa"/>
            <w:tcBorders>
              <w:bottom w:val="single" w:sz="4" w:space="0" w:color="auto"/>
              <w:right w:val="single" w:sz="4" w:space="0" w:color="auto"/>
            </w:tcBorders>
          </w:tcPr>
          <w:p w:rsidR="00C04B84" w:rsidRPr="00B74A55" w:rsidRDefault="00C04B84" w:rsidP="00832B51">
            <w:pPr>
              <w:pStyle w:val="a7"/>
              <w:ind w:left="0"/>
              <w:jc w:val="center"/>
              <w:rPr>
                <w:b/>
                <w:sz w:val="22"/>
                <w:lang w:val="uk-UA"/>
              </w:rPr>
            </w:pPr>
            <w:r w:rsidRPr="00B74A55">
              <w:rPr>
                <w:b/>
                <w:sz w:val="22"/>
                <w:lang w:val="uk-UA"/>
              </w:rPr>
              <w:t>Місцевий бюджет</w:t>
            </w:r>
          </w:p>
        </w:tc>
        <w:tc>
          <w:tcPr>
            <w:tcW w:w="2855" w:type="dxa"/>
            <w:gridSpan w:val="3"/>
            <w:tcBorders>
              <w:left w:val="single" w:sz="4" w:space="0" w:color="auto"/>
              <w:bottom w:val="single" w:sz="4" w:space="0" w:color="auto"/>
              <w:right w:val="single" w:sz="4" w:space="0" w:color="auto"/>
            </w:tcBorders>
          </w:tcPr>
          <w:p w:rsidR="00C04B84" w:rsidRPr="00B74A55" w:rsidRDefault="00C04B84" w:rsidP="00832B51">
            <w:pPr>
              <w:pStyle w:val="a7"/>
              <w:ind w:left="0"/>
              <w:jc w:val="center"/>
              <w:rPr>
                <w:b/>
                <w:sz w:val="22"/>
                <w:lang w:val="uk-UA"/>
              </w:rPr>
            </w:pPr>
            <w:r w:rsidRPr="00B74A55">
              <w:rPr>
                <w:b/>
                <w:sz w:val="22"/>
                <w:lang w:val="uk-UA"/>
              </w:rPr>
              <w:t>Інші джерела</w:t>
            </w:r>
          </w:p>
        </w:tc>
        <w:tc>
          <w:tcPr>
            <w:tcW w:w="1255" w:type="dxa"/>
            <w:tcBorders>
              <w:left w:val="single" w:sz="4" w:space="0" w:color="auto"/>
              <w:bottom w:val="single" w:sz="4" w:space="0" w:color="auto"/>
            </w:tcBorders>
          </w:tcPr>
          <w:p w:rsidR="00C04B84" w:rsidRPr="00B74A55" w:rsidRDefault="00C04B84" w:rsidP="00832B51">
            <w:pPr>
              <w:pStyle w:val="a7"/>
              <w:ind w:left="0"/>
              <w:jc w:val="center"/>
              <w:rPr>
                <w:b/>
                <w:sz w:val="22"/>
                <w:lang w:val="uk-UA"/>
              </w:rPr>
            </w:pPr>
            <w:r w:rsidRPr="00B74A55">
              <w:rPr>
                <w:b/>
                <w:sz w:val="22"/>
                <w:lang w:val="uk-UA"/>
              </w:rPr>
              <w:t>Всього</w:t>
            </w:r>
          </w:p>
        </w:tc>
      </w:tr>
      <w:tr w:rsidR="00C04B84" w:rsidRPr="00B74A55" w:rsidTr="004843F9">
        <w:trPr>
          <w:trHeight w:val="225"/>
        </w:trPr>
        <w:tc>
          <w:tcPr>
            <w:tcW w:w="2978" w:type="dxa"/>
            <w:vMerge/>
            <w:shd w:val="clear" w:color="auto" w:fill="C6D9F1" w:themeFill="text2" w:themeFillTint="33"/>
          </w:tcPr>
          <w:p w:rsidR="00C04B84" w:rsidRPr="00B74A55" w:rsidRDefault="00C04B84" w:rsidP="00832B51">
            <w:pPr>
              <w:pStyle w:val="a7"/>
              <w:ind w:left="0"/>
              <w:rPr>
                <w:b/>
                <w:sz w:val="22"/>
                <w:lang w:val="uk-UA"/>
              </w:rPr>
            </w:pPr>
          </w:p>
        </w:tc>
        <w:tc>
          <w:tcPr>
            <w:tcW w:w="1417" w:type="dxa"/>
            <w:vMerge w:val="restart"/>
            <w:tcBorders>
              <w:top w:val="single" w:sz="4" w:space="0" w:color="auto"/>
              <w:right w:val="single" w:sz="4" w:space="0" w:color="auto"/>
            </w:tcBorders>
          </w:tcPr>
          <w:p w:rsidR="00C04B84" w:rsidRPr="00B74A55" w:rsidRDefault="00C04B84" w:rsidP="00832B51">
            <w:pPr>
              <w:pStyle w:val="a7"/>
              <w:ind w:left="0"/>
              <w:jc w:val="center"/>
              <w:rPr>
                <w:sz w:val="22"/>
                <w:lang w:val="uk-UA"/>
              </w:rPr>
            </w:pPr>
            <w:r w:rsidRPr="00B74A55">
              <w:rPr>
                <w:sz w:val="22"/>
                <w:lang w:val="uk-UA"/>
              </w:rPr>
              <w:t>700,0</w:t>
            </w:r>
          </w:p>
        </w:tc>
        <w:tc>
          <w:tcPr>
            <w:tcW w:w="1418" w:type="dxa"/>
            <w:vMerge w:val="restart"/>
            <w:tcBorders>
              <w:top w:val="single" w:sz="4" w:space="0" w:color="auto"/>
              <w:right w:val="single" w:sz="4" w:space="0" w:color="auto"/>
            </w:tcBorders>
          </w:tcPr>
          <w:p w:rsidR="00C04B84" w:rsidRPr="00B74A55" w:rsidRDefault="00C04B84" w:rsidP="00832B51">
            <w:pPr>
              <w:pStyle w:val="a7"/>
              <w:ind w:left="0"/>
              <w:jc w:val="center"/>
              <w:rPr>
                <w:b/>
                <w:sz w:val="22"/>
                <w:lang w:val="uk-UA"/>
              </w:rPr>
            </w:pPr>
            <w:r w:rsidRPr="00B74A55">
              <w:rPr>
                <w:b/>
                <w:sz w:val="22"/>
                <w:lang w:val="uk-UA"/>
              </w:rPr>
              <w:t>-</w:t>
            </w:r>
          </w:p>
        </w:tc>
        <w:tc>
          <w:tcPr>
            <w:tcW w:w="992" w:type="dxa"/>
            <w:tcBorders>
              <w:top w:val="single" w:sz="4" w:space="0" w:color="auto"/>
              <w:left w:val="single" w:sz="4" w:space="0" w:color="auto"/>
              <w:bottom w:val="single" w:sz="4" w:space="0" w:color="auto"/>
              <w:right w:val="single" w:sz="4" w:space="0" w:color="auto"/>
            </w:tcBorders>
          </w:tcPr>
          <w:p w:rsidR="00C04B84" w:rsidRPr="00B74A55" w:rsidRDefault="00C04B84" w:rsidP="00832B51">
            <w:pPr>
              <w:pStyle w:val="a7"/>
              <w:ind w:left="0"/>
              <w:jc w:val="center"/>
              <w:rPr>
                <w:b/>
                <w:sz w:val="22"/>
                <w:lang w:val="uk-UA"/>
              </w:rPr>
            </w:pPr>
            <w:r w:rsidRPr="00B74A55">
              <w:rPr>
                <w:b/>
                <w:sz w:val="22"/>
                <w:lang w:val="uk-UA"/>
              </w:rPr>
              <w:t>Обсяг</w:t>
            </w:r>
          </w:p>
        </w:tc>
        <w:tc>
          <w:tcPr>
            <w:tcW w:w="1863" w:type="dxa"/>
            <w:gridSpan w:val="2"/>
            <w:tcBorders>
              <w:top w:val="single" w:sz="4" w:space="0" w:color="auto"/>
              <w:left w:val="single" w:sz="4" w:space="0" w:color="auto"/>
              <w:bottom w:val="single" w:sz="4" w:space="0" w:color="auto"/>
              <w:right w:val="single" w:sz="4" w:space="0" w:color="auto"/>
            </w:tcBorders>
          </w:tcPr>
          <w:p w:rsidR="00C04B84" w:rsidRPr="00B74A55" w:rsidRDefault="00C04B84" w:rsidP="00832B51">
            <w:pPr>
              <w:pStyle w:val="a7"/>
              <w:ind w:left="0"/>
              <w:jc w:val="center"/>
              <w:rPr>
                <w:b/>
                <w:sz w:val="22"/>
                <w:lang w:val="uk-UA"/>
              </w:rPr>
            </w:pPr>
            <w:r w:rsidRPr="00B74A55">
              <w:rPr>
                <w:b/>
                <w:sz w:val="22"/>
                <w:lang w:val="uk-UA"/>
              </w:rPr>
              <w:t>Назва джерела</w:t>
            </w:r>
          </w:p>
        </w:tc>
        <w:tc>
          <w:tcPr>
            <w:tcW w:w="1255" w:type="dxa"/>
            <w:vMerge w:val="restart"/>
            <w:tcBorders>
              <w:top w:val="single" w:sz="4" w:space="0" w:color="auto"/>
              <w:left w:val="single" w:sz="4" w:space="0" w:color="auto"/>
            </w:tcBorders>
          </w:tcPr>
          <w:p w:rsidR="00C04B84" w:rsidRPr="00B74A55" w:rsidRDefault="00C04B84" w:rsidP="00832B51">
            <w:pPr>
              <w:pStyle w:val="a7"/>
              <w:ind w:left="0"/>
              <w:jc w:val="center"/>
              <w:rPr>
                <w:sz w:val="22"/>
                <w:lang w:val="uk-UA"/>
              </w:rPr>
            </w:pPr>
            <w:r w:rsidRPr="00B74A55">
              <w:rPr>
                <w:sz w:val="22"/>
                <w:lang w:val="uk-UA"/>
              </w:rPr>
              <w:t>1000,5</w:t>
            </w:r>
          </w:p>
        </w:tc>
      </w:tr>
      <w:tr w:rsidR="00C04B84" w:rsidRPr="00B74A55" w:rsidTr="004843F9">
        <w:trPr>
          <w:trHeight w:val="300"/>
        </w:trPr>
        <w:tc>
          <w:tcPr>
            <w:tcW w:w="2978" w:type="dxa"/>
            <w:vMerge/>
            <w:shd w:val="clear" w:color="auto" w:fill="C6D9F1" w:themeFill="text2" w:themeFillTint="33"/>
          </w:tcPr>
          <w:p w:rsidR="00C04B84" w:rsidRPr="00B74A55" w:rsidRDefault="00C04B84" w:rsidP="00832B51">
            <w:pPr>
              <w:pStyle w:val="a7"/>
              <w:ind w:left="0"/>
              <w:rPr>
                <w:b/>
                <w:sz w:val="22"/>
                <w:lang w:val="uk-UA"/>
              </w:rPr>
            </w:pPr>
          </w:p>
        </w:tc>
        <w:tc>
          <w:tcPr>
            <w:tcW w:w="1417" w:type="dxa"/>
            <w:vMerge/>
            <w:tcBorders>
              <w:right w:val="single" w:sz="4" w:space="0" w:color="auto"/>
            </w:tcBorders>
          </w:tcPr>
          <w:p w:rsidR="00C04B84" w:rsidRPr="00B74A55" w:rsidRDefault="00C04B84" w:rsidP="00832B51">
            <w:pPr>
              <w:pStyle w:val="a7"/>
              <w:ind w:left="0"/>
              <w:jc w:val="center"/>
              <w:rPr>
                <w:sz w:val="22"/>
                <w:lang w:val="uk-UA"/>
              </w:rPr>
            </w:pPr>
          </w:p>
        </w:tc>
        <w:tc>
          <w:tcPr>
            <w:tcW w:w="1418" w:type="dxa"/>
            <w:vMerge/>
            <w:tcBorders>
              <w:right w:val="single" w:sz="4" w:space="0" w:color="auto"/>
            </w:tcBorders>
          </w:tcPr>
          <w:p w:rsidR="00C04B84" w:rsidRPr="00B74A55" w:rsidRDefault="00C04B84" w:rsidP="00832B51">
            <w:pPr>
              <w:pStyle w:val="a7"/>
              <w:ind w:left="0"/>
              <w:jc w:val="center"/>
              <w:rPr>
                <w:b/>
                <w:sz w:val="22"/>
                <w:lang w:val="uk-UA"/>
              </w:rPr>
            </w:pPr>
          </w:p>
        </w:tc>
        <w:tc>
          <w:tcPr>
            <w:tcW w:w="992" w:type="dxa"/>
            <w:tcBorders>
              <w:top w:val="single" w:sz="4" w:space="0" w:color="auto"/>
              <w:left w:val="single" w:sz="4" w:space="0" w:color="auto"/>
              <w:right w:val="single" w:sz="4" w:space="0" w:color="auto"/>
            </w:tcBorders>
          </w:tcPr>
          <w:p w:rsidR="00C04B84" w:rsidRPr="00B74A55" w:rsidRDefault="00C04B84" w:rsidP="00832B51">
            <w:pPr>
              <w:pStyle w:val="a7"/>
              <w:ind w:left="0"/>
              <w:jc w:val="center"/>
              <w:rPr>
                <w:b/>
                <w:sz w:val="22"/>
                <w:lang w:val="uk-UA"/>
              </w:rPr>
            </w:pPr>
            <w:r w:rsidRPr="00B74A55">
              <w:rPr>
                <w:sz w:val="22"/>
                <w:lang w:val="uk-UA"/>
              </w:rPr>
              <w:t>300,5</w:t>
            </w:r>
          </w:p>
        </w:tc>
        <w:tc>
          <w:tcPr>
            <w:tcW w:w="1863" w:type="dxa"/>
            <w:gridSpan w:val="2"/>
            <w:tcBorders>
              <w:top w:val="single" w:sz="4" w:space="0" w:color="auto"/>
              <w:left w:val="single" w:sz="4" w:space="0" w:color="auto"/>
              <w:right w:val="single" w:sz="4" w:space="0" w:color="auto"/>
            </w:tcBorders>
          </w:tcPr>
          <w:p w:rsidR="00C04B84" w:rsidRPr="00B74A55" w:rsidRDefault="00C04B84" w:rsidP="00832B51">
            <w:pPr>
              <w:pStyle w:val="a7"/>
              <w:ind w:left="0"/>
              <w:jc w:val="center"/>
              <w:rPr>
                <w:sz w:val="22"/>
                <w:lang w:val="uk-UA"/>
              </w:rPr>
            </w:pPr>
            <w:r w:rsidRPr="00B74A55">
              <w:rPr>
                <w:sz w:val="22"/>
                <w:lang w:val="uk-UA"/>
              </w:rPr>
              <w:t>Міжнародні інвестиції, кошти приватних осіб</w:t>
            </w:r>
          </w:p>
        </w:tc>
        <w:tc>
          <w:tcPr>
            <w:tcW w:w="1255" w:type="dxa"/>
            <w:vMerge/>
            <w:tcBorders>
              <w:left w:val="single" w:sz="4" w:space="0" w:color="auto"/>
            </w:tcBorders>
          </w:tcPr>
          <w:p w:rsidR="00C04B84" w:rsidRPr="00B74A55" w:rsidRDefault="00C04B84" w:rsidP="00832B51">
            <w:pPr>
              <w:pStyle w:val="a7"/>
              <w:ind w:left="0"/>
              <w:jc w:val="center"/>
              <w:rPr>
                <w:sz w:val="22"/>
                <w:lang w:val="uk-UA"/>
              </w:rPr>
            </w:pPr>
          </w:p>
        </w:tc>
      </w:tr>
    </w:tbl>
    <w:p w:rsidR="00CF4B4F" w:rsidRPr="00B74A55" w:rsidRDefault="00CF4B4F" w:rsidP="00E95FB1">
      <w:pPr>
        <w:rPr>
          <w:sz w:val="22"/>
        </w:rPr>
      </w:pPr>
    </w:p>
    <w:p w:rsidR="0001540D" w:rsidRPr="00B74A55" w:rsidRDefault="0001540D" w:rsidP="00E95FB1">
      <w:pPr>
        <w:rPr>
          <w:sz w:val="22"/>
        </w:rPr>
      </w:pPr>
    </w:p>
    <w:p w:rsidR="0001540D" w:rsidRPr="00B74A55" w:rsidRDefault="0001540D" w:rsidP="00E95FB1">
      <w:pPr>
        <w:rPr>
          <w:sz w:val="22"/>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8"/>
        <w:gridCol w:w="1417"/>
        <w:gridCol w:w="1276"/>
        <w:gridCol w:w="1134"/>
        <w:gridCol w:w="1701"/>
        <w:gridCol w:w="283"/>
        <w:gridCol w:w="1134"/>
      </w:tblGrid>
      <w:tr w:rsidR="0001540D" w:rsidRPr="00B74A55" w:rsidTr="004843F9">
        <w:tc>
          <w:tcPr>
            <w:tcW w:w="2978" w:type="dxa"/>
            <w:shd w:val="clear" w:color="auto" w:fill="C6D9F1"/>
          </w:tcPr>
          <w:p w:rsidR="0001540D" w:rsidRPr="00B74A55" w:rsidRDefault="0001540D" w:rsidP="00832B51">
            <w:pPr>
              <w:pBdr>
                <w:top w:val="nil"/>
                <w:left w:val="nil"/>
                <w:bottom w:val="nil"/>
                <w:right w:val="nil"/>
                <w:between w:val="nil"/>
              </w:pBdr>
              <w:rPr>
                <w:b/>
                <w:color w:val="000000"/>
                <w:sz w:val="22"/>
              </w:rPr>
            </w:pPr>
            <w:r w:rsidRPr="00B74A55">
              <w:rPr>
                <w:b/>
                <w:color w:val="000000"/>
                <w:sz w:val="22"/>
              </w:rPr>
              <w:t>Оперативна ціль/завдання</w:t>
            </w:r>
          </w:p>
        </w:tc>
        <w:tc>
          <w:tcPr>
            <w:tcW w:w="6945" w:type="dxa"/>
            <w:gridSpan w:val="6"/>
            <w:shd w:val="clear" w:color="auto" w:fill="auto"/>
          </w:tcPr>
          <w:p w:rsidR="0001540D" w:rsidRPr="00B74A55" w:rsidRDefault="0001540D" w:rsidP="00832B51">
            <w:pPr>
              <w:ind w:right="132"/>
              <w:rPr>
                <w:color w:val="000000"/>
                <w:sz w:val="22"/>
              </w:rPr>
            </w:pPr>
            <w:r w:rsidRPr="00B74A55">
              <w:rPr>
                <w:color w:val="222222"/>
                <w:sz w:val="22"/>
              </w:rPr>
              <w:t xml:space="preserve">Людський розвиток через інновації управління та довіру до влади. Формування сучасного інклюзивного  </w:t>
            </w:r>
            <w:proofErr w:type="spellStart"/>
            <w:r w:rsidRPr="00B74A55">
              <w:rPr>
                <w:color w:val="222222"/>
                <w:sz w:val="22"/>
              </w:rPr>
              <w:t>освітньо</w:t>
            </w:r>
            <w:proofErr w:type="spellEnd"/>
            <w:r w:rsidRPr="00B74A55">
              <w:rPr>
                <w:color w:val="222222"/>
                <w:sz w:val="22"/>
              </w:rPr>
              <w:t>-культурного та спортивного простору для розвитку</w:t>
            </w:r>
          </w:p>
        </w:tc>
      </w:tr>
      <w:tr w:rsidR="0001540D" w:rsidRPr="00B74A55" w:rsidTr="004843F9">
        <w:tc>
          <w:tcPr>
            <w:tcW w:w="2978" w:type="dxa"/>
            <w:shd w:val="clear" w:color="auto" w:fill="C6D9F1"/>
          </w:tcPr>
          <w:p w:rsidR="0001540D" w:rsidRPr="00B74A55" w:rsidRDefault="0001540D" w:rsidP="00832B51">
            <w:pPr>
              <w:pBdr>
                <w:top w:val="nil"/>
                <w:left w:val="nil"/>
                <w:bottom w:val="nil"/>
                <w:right w:val="nil"/>
                <w:between w:val="nil"/>
              </w:pBdr>
              <w:rPr>
                <w:b/>
                <w:color w:val="000000"/>
                <w:sz w:val="22"/>
              </w:rPr>
            </w:pPr>
            <w:r w:rsidRPr="00B74A55">
              <w:rPr>
                <w:b/>
                <w:color w:val="000000"/>
                <w:sz w:val="22"/>
              </w:rPr>
              <w:t>Назва проекту:</w:t>
            </w:r>
          </w:p>
        </w:tc>
        <w:tc>
          <w:tcPr>
            <w:tcW w:w="6945" w:type="dxa"/>
            <w:gridSpan w:val="6"/>
          </w:tcPr>
          <w:p w:rsidR="0001540D" w:rsidRPr="00B74A55" w:rsidRDefault="0001540D" w:rsidP="00832B51">
            <w:pPr>
              <w:pBdr>
                <w:top w:val="nil"/>
                <w:left w:val="nil"/>
                <w:bottom w:val="nil"/>
                <w:right w:val="nil"/>
                <w:between w:val="nil"/>
              </w:pBdr>
              <w:rPr>
                <w:color w:val="000000"/>
                <w:sz w:val="22"/>
              </w:rPr>
            </w:pPr>
            <w:r w:rsidRPr="00B74A55">
              <w:rPr>
                <w:sz w:val="22"/>
              </w:rPr>
              <w:t xml:space="preserve">Капітальне відновлення будівлі майстерні Гімназії №5 міста Сєвєродонецька Луганської області, розташованої за </w:t>
            </w:r>
            <w:proofErr w:type="spellStart"/>
            <w:r w:rsidRPr="00B74A55">
              <w:rPr>
                <w:sz w:val="22"/>
              </w:rPr>
              <w:t>адресою</w:t>
            </w:r>
            <w:proofErr w:type="spellEnd"/>
            <w:r w:rsidRPr="00B74A55">
              <w:rPr>
                <w:sz w:val="22"/>
              </w:rPr>
              <w:t xml:space="preserve">: 93400, Луганська обл., Сєвєродонецький р-н,  м. Сєвєродонецьк, </w:t>
            </w:r>
            <w:proofErr w:type="spellStart"/>
            <w:r w:rsidRPr="00B74A55">
              <w:rPr>
                <w:sz w:val="22"/>
              </w:rPr>
              <w:t>пр-кт</w:t>
            </w:r>
            <w:proofErr w:type="spellEnd"/>
            <w:r w:rsidRPr="00B74A55">
              <w:rPr>
                <w:sz w:val="22"/>
              </w:rPr>
              <w:t xml:space="preserve"> Хіміків, 18 </w:t>
            </w:r>
          </w:p>
        </w:tc>
      </w:tr>
      <w:tr w:rsidR="0001540D" w:rsidRPr="00B74A55" w:rsidTr="004843F9">
        <w:tc>
          <w:tcPr>
            <w:tcW w:w="2978" w:type="dxa"/>
            <w:shd w:val="clear" w:color="auto" w:fill="C6D9F1"/>
          </w:tcPr>
          <w:p w:rsidR="0001540D" w:rsidRPr="00B74A55" w:rsidRDefault="0001540D" w:rsidP="00832B51">
            <w:pPr>
              <w:rPr>
                <w:b/>
                <w:sz w:val="22"/>
              </w:rPr>
            </w:pPr>
            <w:r w:rsidRPr="00B74A55">
              <w:rPr>
                <w:b/>
                <w:sz w:val="22"/>
              </w:rPr>
              <w:t>Ціль проекту</w:t>
            </w:r>
          </w:p>
        </w:tc>
        <w:tc>
          <w:tcPr>
            <w:tcW w:w="6945" w:type="dxa"/>
            <w:gridSpan w:val="6"/>
          </w:tcPr>
          <w:p w:rsidR="0001540D" w:rsidRPr="00B74A55" w:rsidRDefault="0001540D" w:rsidP="00832B51">
            <w:pPr>
              <w:pBdr>
                <w:top w:val="nil"/>
                <w:left w:val="nil"/>
                <w:bottom w:val="nil"/>
                <w:right w:val="nil"/>
                <w:between w:val="nil"/>
              </w:pBdr>
              <w:rPr>
                <w:sz w:val="22"/>
                <w:highlight w:val="white"/>
              </w:rPr>
            </w:pPr>
            <w:r w:rsidRPr="00B74A55">
              <w:rPr>
                <w:sz w:val="22"/>
                <w:highlight w:val="white"/>
              </w:rPr>
              <w:t>Створення сучасного безпечного інклюзивного освітнього середовища для реалізації та виконання завдань та вимог освітньої галузі "Технології" шляхом капітального ремонту будівлі майстерень Гімназії №5 міста Сєвєродонецька Луганської області</w:t>
            </w:r>
            <w:r w:rsidR="003E1A41" w:rsidRPr="00B74A55">
              <w:rPr>
                <w:sz w:val="22"/>
                <w:highlight w:val="white"/>
              </w:rPr>
              <w:t>,</w:t>
            </w:r>
            <w:r w:rsidRPr="00B74A55">
              <w:rPr>
                <w:sz w:val="22"/>
                <w:highlight w:val="white"/>
              </w:rPr>
              <w:t xml:space="preserve"> знищеної пожежею, яка виникла внаслідок потрапляння боєприпасів 06.04.2022 р. </w:t>
            </w:r>
          </w:p>
        </w:tc>
      </w:tr>
      <w:tr w:rsidR="0001540D" w:rsidRPr="00B74A55" w:rsidTr="004843F9">
        <w:tc>
          <w:tcPr>
            <w:tcW w:w="2978" w:type="dxa"/>
            <w:shd w:val="clear" w:color="auto" w:fill="C6D9F1"/>
          </w:tcPr>
          <w:p w:rsidR="0001540D" w:rsidRPr="00B74A55" w:rsidRDefault="0001540D" w:rsidP="00832B51">
            <w:pPr>
              <w:pBdr>
                <w:top w:val="nil"/>
                <w:left w:val="nil"/>
                <w:bottom w:val="nil"/>
                <w:right w:val="nil"/>
                <w:between w:val="nil"/>
              </w:pBdr>
              <w:rPr>
                <w:b/>
                <w:color w:val="000000"/>
                <w:sz w:val="22"/>
              </w:rPr>
            </w:pPr>
            <w:r w:rsidRPr="00B74A55">
              <w:rPr>
                <w:b/>
                <w:color w:val="000000"/>
                <w:sz w:val="22"/>
              </w:rPr>
              <w:t>Територія, на яку матиме вплив реалізація проекту</w:t>
            </w:r>
          </w:p>
        </w:tc>
        <w:tc>
          <w:tcPr>
            <w:tcW w:w="6945" w:type="dxa"/>
            <w:gridSpan w:val="6"/>
          </w:tcPr>
          <w:p w:rsidR="0001540D" w:rsidRPr="00B74A55" w:rsidRDefault="0001540D" w:rsidP="00832B51">
            <w:pPr>
              <w:pBdr>
                <w:top w:val="nil"/>
                <w:left w:val="nil"/>
                <w:bottom w:val="nil"/>
                <w:right w:val="nil"/>
                <w:between w:val="nil"/>
              </w:pBdr>
              <w:rPr>
                <w:color w:val="000000"/>
                <w:sz w:val="22"/>
              </w:rPr>
            </w:pPr>
            <w:r w:rsidRPr="00B74A55">
              <w:rPr>
                <w:color w:val="000000"/>
                <w:sz w:val="22"/>
              </w:rPr>
              <w:t>Сєвєродонецька міська територіальна громада</w:t>
            </w:r>
          </w:p>
        </w:tc>
      </w:tr>
      <w:tr w:rsidR="0001540D" w:rsidRPr="00B74A55" w:rsidTr="004843F9">
        <w:tc>
          <w:tcPr>
            <w:tcW w:w="2978" w:type="dxa"/>
            <w:shd w:val="clear" w:color="auto" w:fill="C6D9F1"/>
          </w:tcPr>
          <w:p w:rsidR="0001540D" w:rsidRPr="00B74A55" w:rsidRDefault="0001540D" w:rsidP="00832B51">
            <w:pPr>
              <w:pBdr>
                <w:top w:val="nil"/>
                <w:left w:val="nil"/>
                <w:bottom w:val="nil"/>
                <w:right w:val="nil"/>
                <w:between w:val="nil"/>
              </w:pBdr>
              <w:rPr>
                <w:b/>
                <w:color w:val="000000"/>
                <w:sz w:val="22"/>
              </w:rPr>
            </w:pPr>
            <w:r w:rsidRPr="00B74A55">
              <w:rPr>
                <w:b/>
                <w:color w:val="000000"/>
                <w:sz w:val="22"/>
              </w:rPr>
              <w:t>Чисельність населення, на яке матиме вплив реалізація проекту</w:t>
            </w:r>
          </w:p>
        </w:tc>
        <w:tc>
          <w:tcPr>
            <w:tcW w:w="6945" w:type="dxa"/>
            <w:gridSpan w:val="6"/>
          </w:tcPr>
          <w:p w:rsidR="0001540D" w:rsidRPr="00B74A55" w:rsidRDefault="0001540D" w:rsidP="00832B51">
            <w:pPr>
              <w:pBdr>
                <w:top w:val="nil"/>
                <w:left w:val="nil"/>
                <w:bottom w:val="nil"/>
                <w:right w:val="nil"/>
                <w:between w:val="nil"/>
              </w:pBdr>
              <w:rPr>
                <w:color w:val="000000"/>
                <w:sz w:val="22"/>
              </w:rPr>
            </w:pPr>
            <w:r w:rsidRPr="00B74A55">
              <w:rPr>
                <w:color w:val="1F1F1F"/>
                <w:sz w:val="22"/>
              </w:rPr>
              <w:t>70 000 осіб</w:t>
            </w:r>
          </w:p>
        </w:tc>
      </w:tr>
      <w:tr w:rsidR="0001540D" w:rsidRPr="00B74A55" w:rsidTr="004843F9">
        <w:tc>
          <w:tcPr>
            <w:tcW w:w="2978" w:type="dxa"/>
            <w:shd w:val="clear" w:color="auto" w:fill="C6D9F1"/>
          </w:tcPr>
          <w:p w:rsidR="0001540D" w:rsidRPr="00B74A55" w:rsidRDefault="0001540D" w:rsidP="00832B51">
            <w:pPr>
              <w:rPr>
                <w:b/>
                <w:sz w:val="22"/>
              </w:rPr>
            </w:pPr>
            <w:r w:rsidRPr="00B74A55">
              <w:rPr>
                <w:b/>
                <w:sz w:val="22"/>
              </w:rPr>
              <w:t>Опис проблеми, на вирішення якої  спрямований проект</w:t>
            </w:r>
          </w:p>
        </w:tc>
        <w:tc>
          <w:tcPr>
            <w:tcW w:w="6945" w:type="dxa"/>
            <w:gridSpan w:val="6"/>
          </w:tcPr>
          <w:p w:rsidR="0001540D" w:rsidRPr="00B74A55" w:rsidRDefault="0001540D" w:rsidP="00832B51">
            <w:pPr>
              <w:ind w:firstLine="518"/>
              <w:rPr>
                <w:sz w:val="22"/>
              </w:rPr>
            </w:pPr>
            <w:r w:rsidRPr="00B74A55">
              <w:rPr>
                <w:sz w:val="22"/>
              </w:rPr>
              <w:t xml:space="preserve">Через військову агресію РФ територія Сєвєродонецької міської територіальної громади зазнала значних пошкоджень. 06.04.2022 року окремо розташована будівля майстерень Гімназії №5 міста Сєвєродонецька Луганської області, розташованої за </w:t>
            </w:r>
            <w:proofErr w:type="spellStart"/>
            <w:r w:rsidRPr="00B74A55">
              <w:rPr>
                <w:sz w:val="22"/>
              </w:rPr>
              <w:t>адресою</w:t>
            </w:r>
            <w:proofErr w:type="spellEnd"/>
            <w:r w:rsidRPr="00B74A55">
              <w:rPr>
                <w:sz w:val="22"/>
              </w:rPr>
              <w:t xml:space="preserve">: 93400, Луганська обл., Сєвєродонецький р-н, м. Сєвєродонецьк, </w:t>
            </w:r>
            <w:proofErr w:type="spellStart"/>
            <w:r w:rsidRPr="00B74A55">
              <w:rPr>
                <w:sz w:val="22"/>
              </w:rPr>
              <w:t>пр-кт</w:t>
            </w:r>
            <w:proofErr w:type="spellEnd"/>
            <w:r w:rsidRPr="00B74A55">
              <w:rPr>
                <w:sz w:val="22"/>
              </w:rPr>
              <w:t xml:space="preserve"> Хіміків, 18</w:t>
            </w:r>
            <w:r w:rsidR="003E1A41" w:rsidRPr="00B74A55">
              <w:rPr>
                <w:sz w:val="22"/>
              </w:rPr>
              <w:t>,</w:t>
            </w:r>
            <w:r w:rsidRPr="00B74A55">
              <w:rPr>
                <w:b/>
                <w:sz w:val="22"/>
              </w:rPr>
              <w:t xml:space="preserve"> </w:t>
            </w:r>
            <w:r w:rsidRPr="00B74A55">
              <w:rPr>
                <w:sz w:val="22"/>
              </w:rPr>
              <w:t>була суттєво пошкоджена</w:t>
            </w:r>
            <w:r w:rsidRPr="00B74A55">
              <w:rPr>
                <w:sz w:val="22"/>
                <w:highlight w:val="white"/>
              </w:rPr>
              <w:t xml:space="preserve"> внаслідок влучання боєприпасів.</w:t>
            </w:r>
            <w:r w:rsidRPr="00B74A55">
              <w:rPr>
                <w:color w:val="FF0000"/>
                <w:sz w:val="22"/>
              </w:rPr>
              <w:t xml:space="preserve"> </w:t>
            </w:r>
            <w:r w:rsidRPr="00B74A55">
              <w:rPr>
                <w:sz w:val="22"/>
              </w:rPr>
              <w:t xml:space="preserve">Усе матеріально-технічне обладнання (устаткування), </w:t>
            </w:r>
            <w:r w:rsidRPr="00B74A55">
              <w:rPr>
                <w:color w:val="000000"/>
                <w:sz w:val="22"/>
              </w:rPr>
              <w:t>основні засоби (</w:t>
            </w:r>
            <w:r w:rsidRPr="00B74A55">
              <w:rPr>
                <w:sz w:val="22"/>
              </w:rPr>
              <w:t>учнівські меблі, дидактичне та методичне забезпечення</w:t>
            </w:r>
            <w:r w:rsidRPr="00B74A55">
              <w:rPr>
                <w:color w:val="000000"/>
                <w:sz w:val="22"/>
              </w:rPr>
              <w:t xml:space="preserve"> меблі тощо) були знищені або викрадені.</w:t>
            </w:r>
          </w:p>
          <w:p w:rsidR="0001540D" w:rsidRPr="00B74A55" w:rsidRDefault="0001540D" w:rsidP="003E1A41">
            <w:pPr>
              <w:ind w:firstLine="510"/>
              <w:rPr>
                <w:sz w:val="22"/>
                <w:highlight w:val="white"/>
              </w:rPr>
            </w:pPr>
            <w:r w:rsidRPr="00B74A55">
              <w:rPr>
                <w:color w:val="000000"/>
                <w:sz w:val="22"/>
              </w:rPr>
              <w:t>Для відбудови та сталого розвитку громади потрібне відновлення роботи мережі закладів</w:t>
            </w:r>
            <w:r w:rsidRPr="00B74A55">
              <w:rPr>
                <w:sz w:val="22"/>
              </w:rPr>
              <w:t xml:space="preserve"> освіти</w:t>
            </w:r>
            <w:r w:rsidRPr="00B74A55">
              <w:rPr>
                <w:color w:val="000000"/>
                <w:sz w:val="22"/>
              </w:rPr>
              <w:t>. Мешканці громади</w:t>
            </w:r>
            <w:r w:rsidRPr="00B74A55">
              <w:rPr>
                <w:sz w:val="22"/>
              </w:rPr>
              <w:t xml:space="preserve"> мають право на отримання</w:t>
            </w:r>
            <w:r w:rsidRPr="00B74A55">
              <w:rPr>
                <w:color w:val="000000"/>
                <w:sz w:val="22"/>
              </w:rPr>
              <w:t xml:space="preserve"> якісних</w:t>
            </w:r>
            <w:r w:rsidRPr="00B74A55">
              <w:rPr>
                <w:sz w:val="22"/>
              </w:rPr>
              <w:t xml:space="preserve"> освітніх та соціальних </w:t>
            </w:r>
            <w:r w:rsidRPr="00B74A55">
              <w:rPr>
                <w:color w:val="000000"/>
                <w:sz w:val="22"/>
              </w:rPr>
              <w:t xml:space="preserve">послуг, які відповідають нормам сучасності. </w:t>
            </w:r>
            <w:r w:rsidRPr="00B74A55">
              <w:rPr>
                <w:sz w:val="22"/>
                <w:highlight w:val="white"/>
              </w:rPr>
              <w:t>Отож</w:t>
            </w:r>
            <w:r w:rsidR="003E1A41" w:rsidRPr="00B74A55">
              <w:rPr>
                <w:sz w:val="22"/>
                <w:highlight w:val="white"/>
              </w:rPr>
              <w:t>,</w:t>
            </w:r>
            <w:r w:rsidRPr="00B74A55">
              <w:rPr>
                <w:sz w:val="22"/>
                <w:highlight w:val="white"/>
              </w:rPr>
              <w:t xml:space="preserve"> ліквідація наслідків потраплянь артилерійських снарядів у фасадні стіни та дах будівлі, наслідків </w:t>
            </w:r>
            <w:r w:rsidRPr="00B74A55">
              <w:rPr>
                <w:sz w:val="22"/>
                <w:highlight w:val="white"/>
              </w:rPr>
              <w:lastRenderedPageBreak/>
              <w:t xml:space="preserve">пожежі, ремонт внутрішніх перегородок, навчальних, адміністративних та службових приміщень, заміна віконних склопакетів, інженерних мереж та утеплення фасадних стін, забезпечення освітнього процесу сучасним обладнанням та устаткуванням, надання сучасного вигляду будівлі майстерні з урахуванням архітектурних елементів міста </w:t>
            </w:r>
            <w:proofErr w:type="spellStart"/>
            <w:r w:rsidRPr="00B74A55">
              <w:rPr>
                <w:sz w:val="22"/>
                <w:highlight w:val="white"/>
              </w:rPr>
              <w:t>створять</w:t>
            </w:r>
            <w:proofErr w:type="spellEnd"/>
            <w:r w:rsidRPr="00B74A55">
              <w:rPr>
                <w:sz w:val="22"/>
                <w:highlight w:val="white"/>
              </w:rPr>
              <w:t xml:space="preserve"> сучасний безпечний інклюзивний освітній простір для реалізації вимог та завдань  освітньої галузі "Технології", сприятимуть розбудові мирного функціонування Сєвєродонецької територіальної громади </w:t>
            </w:r>
            <w:proofErr w:type="spellStart"/>
            <w:r w:rsidRPr="00B74A55">
              <w:rPr>
                <w:sz w:val="22"/>
                <w:highlight w:val="white"/>
              </w:rPr>
              <w:t>вцілому</w:t>
            </w:r>
            <w:proofErr w:type="spellEnd"/>
            <w:r w:rsidRPr="00B74A55">
              <w:rPr>
                <w:sz w:val="22"/>
                <w:highlight w:val="white"/>
              </w:rPr>
              <w:t>.</w:t>
            </w:r>
          </w:p>
        </w:tc>
      </w:tr>
      <w:tr w:rsidR="0001540D" w:rsidRPr="00B74A55" w:rsidTr="004843F9">
        <w:tc>
          <w:tcPr>
            <w:tcW w:w="2978" w:type="dxa"/>
            <w:shd w:val="clear" w:color="auto" w:fill="C6D9F1"/>
          </w:tcPr>
          <w:p w:rsidR="0001540D" w:rsidRPr="00B74A55" w:rsidRDefault="0001540D" w:rsidP="00832B51">
            <w:pPr>
              <w:pBdr>
                <w:top w:val="nil"/>
                <w:left w:val="nil"/>
                <w:bottom w:val="nil"/>
                <w:right w:val="nil"/>
                <w:between w:val="nil"/>
              </w:pBdr>
              <w:rPr>
                <w:b/>
                <w:color w:val="000000"/>
                <w:sz w:val="22"/>
              </w:rPr>
            </w:pPr>
            <w:r w:rsidRPr="00B74A55">
              <w:rPr>
                <w:b/>
                <w:color w:val="000000"/>
                <w:sz w:val="22"/>
              </w:rPr>
              <w:lastRenderedPageBreak/>
              <w:t>Очікувані якісні результати від реалізації проекту</w:t>
            </w:r>
          </w:p>
        </w:tc>
        <w:tc>
          <w:tcPr>
            <w:tcW w:w="6945" w:type="dxa"/>
            <w:gridSpan w:val="6"/>
          </w:tcPr>
          <w:p w:rsidR="0001540D" w:rsidRPr="00B74A55" w:rsidRDefault="0001540D" w:rsidP="00832B51">
            <w:pPr>
              <w:pBdr>
                <w:top w:val="nil"/>
                <w:left w:val="nil"/>
                <w:bottom w:val="nil"/>
                <w:right w:val="nil"/>
                <w:between w:val="nil"/>
              </w:pBdr>
              <w:rPr>
                <w:sz w:val="22"/>
                <w:highlight w:val="white"/>
              </w:rPr>
            </w:pPr>
            <w:r w:rsidRPr="00B74A55">
              <w:rPr>
                <w:sz w:val="22"/>
                <w:highlight w:val="white"/>
              </w:rPr>
              <w:t xml:space="preserve">У результаті реалізації </w:t>
            </w:r>
            <w:proofErr w:type="spellStart"/>
            <w:r w:rsidRPr="00B74A55">
              <w:rPr>
                <w:sz w:val="22"/>
                <w:highlight w:val="white"/>
              </w:rPr>
              <w:t>проєкту</w:t>
            </w:r>
            <w:proofErr w:type="spellEnd"/>
            <w:r w:rsidRPr="00B74A55">
              <w:rPr>
                <w:sz w:val="22"/>
                <w:highlight w:val="white"/>
              </w:rPr>
              <w:t>:</w:t>
            </w:r>
          </w:p>
          <w:p w:rsidR="0001540D" w:rsidRPr="00B74A55" w:rsidRDefault="0001540D" w:rsidP="000303D7">
            <w:pPr>
              <w:numPr>
                <w:ilvl w:val="0"/>
                <w:numId w:val="94"/>
              </w:numPr>
              <w:pBdr>
                <w:top w:val="nil"/>
                <w:left w:val="nil"/>
                <w:bottom w:val="nil"/>
                <w:right w:val="nil"/>
                <w:between w:val="nil"/>
              </w:pBdr>
              <w:rPr>
                <w:sz w:val="22"/>
              </w:rPr>
            </w:pPr>
            <w:r w:rsidRPr="00B74A55">
              <w:rPr>
                <w:sz w:val="22"/>
                <w:highlight w:val="white"/>
              </w:rPr>
              <w:t xml:space="preserve"> Будуть створені належні, безпечні інклюзивні умови для навчання учнів та виконання завдань та вимог освітньої галузі "Технології" у Гімназії №5 міста Сєвєродонецька Луганської області  шляхом проведення будівельно-відновлювальних робіт закладу освіти.</w:t>
            </w:r>
          </w:p>
          <w:p w:rsidR="0001540D" w:rsidRPr="00B74A55" w:rsidRDefault="0001540D" w:rsidP="000303D7">
            <w:pPr>
              <w:numPr>
                <w:ilvl w:val="0"/>
                <w:numId w:val="94"/>
              </w:numPr>
              <w:ind w:right="132"/>
              <w:rPr>
                <w:sz w:val="22"/>
              </w:rPr>
            </w:pPr>
            <w:r w:rsidRPr="00B74A55">
              <w:rPr>
                <w:sz w:val="22"/>
              </w:rPr>
              <w:t>Буде забезпечена реалізація конституційних прав для учасників освітнього процесу, пов’язаних із отриманням якісних освітніх послуг.</w:t>
            </w:r>
          </w:p>
          <w:p w:rsidR="0001540D" w:rsidRPr="00B74A55" w:rsidRDefault="0001540D" w:rsidP="000303D7">
            <w:pPr>
              <w:numPr>
                <w:ilvl w:val="0"/>
                <w:numId w:val="94"/>
              </w:numPr>
              <w:ind w:right="132"/>
              <w:rPr>
                <w:sz w:val="22"/>
              </w:rPr>
            </w:pPr>
            <w:r w:rsidRPr="00B74A55">
              <w:rPr>
                <w:sz w:val="22"/>
              </w:rPr>
              <w:t>Буде вирішено низку питань у межах статутної діяльності, пов’язаних із відбудовою та сталим розвитком громади; стане стимулом до повернення ВПО до громади тощо.</w:t>
            </w:r>
          </w:p>
        </w:tc>
      </w:tr>
      <w:tr w:rsidR="0001540D" w:rsidRPr="00B74A55" w:rsidTr="004843F9">
        <w:trPr>
          <w:trHeight w:val="390"/>
        </w:trPr>
        <w:tc>
          <w:tcPr>
            <w:tcW w:w="2978" w:type="dxa"/>
            <w:vMerge w:val="restart"/>
            <w:shd w:val="clear" w:color="auto" w:fill="C6D9F1"/>
          </w:tcPr>
          <w:p w:rsidR="0001540D" w:rsidRPr="00B74A55" w:rsidRDefault="0001540D" w:rsidP="00832B51">
            <w:pPr>
              <w:pBdr>
                <w:top w:val="nil"/>
                <w:left w:val="nil"/>
                <w:bottom w:val="nil"/>
                <w:right w:val="nil"/>
                <w:between w:val="nil"/>
              </w:pBdr>
              <w:rPr>
                <w:b/>
                <w:color w:val="000000"/>
                <w:sz w:val="22"/>
              </w:rPr>
            </w:pPr>
            <w:r w:rsidRPr="00B74A55">
              <w:rPr>
                <w:b/>
                <w:color w:val="000000"/>
                <w:sz w:val="22"/>
              </w:rPr>
              <w:t xml:space="preserve">Очікувані кількісні результати реалізації </w:t>
            </w:r>
            <w:proofErr w:type="spellStart"/>
            <w:r w:rsidRPr="00B74A55">
              <w:rPr>
                <w:b/>
                <w:color w:val="000000"/>
                <w:sz w:val="22"/>
              </w:rPr>
              <w:t>проєкту</w:t>
            </w:r>
            <w:proofErr w:type="spellEnd"/>
            <w:r w:rsidRPr="00B74A55">
              <w:rPr>
                <w:b/>
                <w:color w:val="000000"/>
                <w:sz w:val="22"/>
              </w:rPr>
              <w:t xml:space="preserve"> (індикатори)</w:t>
            </w:r>
          </w:p>
          <w:p w:rsidR="0001540D" w:rsidRPr="00B74A55" w:rsidRDefault="0001540D" w:rsidP="00832B51">
            <w:pPr>
              <w:pBdr>
                <w:top w:val="nil"/>
                <w:left w:val="nil"/>
                <w:bottom w:val="nil"/>
                <w:right w:val="nil"/>
                <w:between w:val="nil"/>
              </w:pBdr>
              <w:rPr>
                <w:b/>
                <w:color w:val="000000"/>
                <w:sz w:val="22"/>
              </w:rPr>
            </w:pPr>
          </w:p>
        </w:tc>
        <w:tc>
          <w:tcPr>
            <w:tcW w:w="3827" w:type="dxa"/>
            <w:gridSpan w:val="3"/>
            <w:tcBorders>
              <w:bottom w:val="single" w:sz="4" w:space="0" w:color="000000"/>
              <w:right w:val="single" w:sz="4" w:space="0" w:color="000000"/>
            </w:tcBorders>
          </w:tcPr>
          <w:p w:rsidR="0001540D" w:rsidRPr="00B74A55" w:rsidRDefault="0001540D" w:rsidP="00832B51">
            <w:pPr>
              <w:pBdr>
                <w:top w:val="nil"/>
                <w:left w:val="nil"/>
                <w:bottom w:val="nil"/>
                <w:right w:val="nil"/>
                <w:between w:val="nil"/>
              </w:pBdr>
              <w:ind w:left="-108"/>
              <w:jc w:val="center"/>
              <w:rPr>
                <w:b/>
                <w:color w:val="000000"/>
                <w:sz w:val="22"/>
              </w:rPr>
            </w:pPr>
            <w:r w:rsidRPr="00B74A55">
              <w:rPr>
                <w:b/>
                <w:color w:val="000000"/>
                <w:sz w:val="22"/>
              </w:rPr>
              <w:t>Найменування показника</w:t>
            </w:r>
          </w:p>
        </w:tc>
        <w:tc>
          <w:tcPr>
            <w:tcW w:w="1701" w:type="dxa"/>
            <w:tcBorders>
              <w:left w:val="single" w:sz="4" w:space="0" w:color="000000"/>
              <w:bottom w:val="single" w:sz="4" w:space="0" w:color="000000"/>
              <w:right w:val="single" w:sz="4" w:space="0" w:color="000000"/>
            </w:tcBorders>
          </w:tcPr>
          <w:p w:rsidR="0001540D" w:rsidRPr="00B74A55" w:rsidRDefault="0001540D" w:rsidP="00832B51">
            <w:pPr>
              <w:pBdr>
                <w:top w:val="nil"/>
                <w:left w:val="nil"/>
                <w:bottom w:val="nil"/>
                <w:right w:val="nil"/>
                <w:between w:val="nil"/>
              </w:pBdr>
              <w:jc w:val="center"/>
              <w:rPr>
                <w:b/>
                <w:color w:val="000000"/>
                <w:sz w:val="22"/>
              </w:rPr>
            </w:pPr>
            <w:r w:rsidRPr="00B74A55">
              <w:rPr>
                <w:b/>
                <w:color w:val="000000"/>
                <w:sz w:val="22"/>
              </w:rPr>
              <w:t>Одиниця вимірювання</w:t>
            </w:r>
          </w:p>
          <w:p w:rsidR="0001540D" w:rsidRPr="00B74A55" w:rsidRDefault="0001540D" w:rsidP="00832B51">
            <w:pPr>
              <w:pBdr>
                <w:top w:val="nil"/>
                <w:left w:val="nil"/>
                <w:bottom w:val="nil"/>
                <w:right w:val="nil"/>
                <w:between w:val="nil"/>
              </w:pBdr>
              <w:rPr>
                <w:b/>
                <w:color w:val="000000"/>
                <w:sz w:val="22"/>
              </w:rPr>
            </w:pPr>
          </w:p>
        </w:tc>
        <w:tc>
          <w:tcPr>
            <w:tcW w:w="1417" w:type="dxa"/>
            <w:gridSpan w:val="2"/>
            <w:tcBorders>
              <w:left w:val="single" w:sz="4" w:space="0" w:color="000000"/>
              <w:bottom w:val="single" w:sz="4" w:space="0" w:color="000000"/>
            </w:tcBorders>
          </w:tcPr>
          <w:p w:rsidR="0001540D" w:rsidRPr="00B74A55" w:rsidRDefault="0001540D" w:rsidP="00832B51">
            <w:pPr>
              <w:pBdr>
                <w:top w:val="nil"/>
                <w:left w:val="nil"/>
                <w:bottom w:val="nil"/>
                <w:right w:val="nil"/>
                <w:between w:val="nil"/>
              </w:pBdr>
              <w:jc w:val="center"/>
              <w:rPr>
                <w:b/>
                <w:color w:val="000000"/>
                <w:sz w:val="22"/>
              </w:rPr>
            </w:pPr>
            <w:r w:rsidRPr="00B74A55">
              <w:rPr>
                <w:b/>
                <w:color w:val="000000"/>
                <w:sz w:val="22"/>
              </w:rPr>
              <w:t>Прогнозне (цільове) значення</w:t>
            </w:r>
          </w:p>
        </w:tc>
      </w:tr>
      <w:tr w:rsidR="0001540D" w:rsidRPr="00B74A55" w:rsidTr="004843F9">
        <w:trPr>
          <w:trHeight w:val="585"/>
        </w:trPr>
        <w:tc>
          <w:tcPr>
            <w:tcW w:w="2978" w:type="dxa"/>
            <w:vMerge/>
            <w:shd w:val="clear" w:color="auto" w:fill="C6D9F1"/>
          </w:tcPr>
          <w:p w:rsidR="0001540D" w:rsidRPr="00B74A55" w:rsidRDefault="0001540D" w:rsidP="00832B51">
            <w:pPr>
              <w:widowControl w:val="0"/>
              <w:pBdr>
                <w:top w:val="nil"/>
                <w:left w:val="nil"/>
                <w:bottom w:val="nil"/>
                <w:right w:val="nil"/>
                <w:between w:val="nil"/>
              </w:pBdr>
              <w:spacing w:line="276" w:lineRule="auto"/>
              <w:rPr>
                <w:b/>
                <w:color w:val="000000"/>
                <w:sz w:val="22"/>
              </w:rPr>
            </w:pPr>
          </w:p>
        </w:tc>
        <w:tc>
          <w:tcPr>
            <w:tcW w:w="3827" w:type="dxa"/>
            <w:gridSpan w:val="3"/>
            <w:tcBorders>
              <w:top w:val="single" w:sz="4" w:space="0" w:color="000000"/>
              <w:bottom w:val="single" w:sz="4" w:space="0" w:color="000000"/>
              <w:right w:val="single" w:sz="4" w:space="0" w:color="000000"/>
            </w:tcBorders>
          </w:tcPr>
          <w:p w:rsidR="0001540D" w:rsidRPr="00B74A55" w:rsidRDefault="0001540D" w:rsidP="00832B51">
            <w:pPr>
              <w:rPr>
                <w:sz w:val="22"/>
              </w:rPr>
            </w:pPr>
            <w:r w:rsidRPr="00B74A55">
              <w:rPr>
                <w:sz w:val="22"/>
              </w:rPr>
              <w:t>Кількість фізичних осіб, які звернулись за освітніми, соціальними  та іншими послугами в межах компетенції закладу протягом  року</w:t>
            </w:r>
          </w:p>
        </w:tc>
        <w:tc>
          <w:tcPr>
            <w:tcW w:w="1701" w:type="dxa"/>
            <w:tcBorders>
              <w:top w:val="single" w:sz="4" w:space="0" w:color="000000"/>
              <w:left w:val="single" w:sz="4" w:space="0" w:color="000000"/>
              <w:bottom w:val="single" w:sz="4" w:space="0" w:color="000000"/>
              <w:right w:val="single" w:sz="4" w:space="0" w:color="000000"/>
            </w:tcBorders>
            <w:vAlign w:val="center"/>
          </w:tcPr>
          <w:p w:rsidR="0001540D" w:rsidRPr="00B74A55" w:rsidRDefault="0001540D" w:rsidP="00832B51">
            <w:pPr>
              <w:pBdr>
                <w:top w:val="nil"/>
                <w:left w:val="nil"/>
                <w:bottom w:val="nil"/>
                <w:right w:val="nil"/>
                <w:between w:val="nil"/>
              </w:pBdr>
              <w:jc w:val="center"/>
              <w:rPr>
                <w:color w:val="000000"/>
                <w:sz w:val="22"/>
              </w:rPr>
            </w:pPr>
            <w:r w:rsidRPr="00B74A55">
              <w:rPr>
                <w:color w:val="000000"/>
                <w:sz w:val="22"/>
              </w:rPr>
              <w:t>осіб</w:t>
            </w:r>
          </w:p>
        </w:tc>
        <w:tc>
          <w:tcPr>
            <w:tcW w:w="1417" w:type="dxa"/>
            <w:gridSpan w:val="2"/>
            <w:tcBorders>
              <w:top w:val="single" w:sz="4" w:space="0" w:color="000000"/>
              <w:left w:val="single" w:sz="4" w:space="0" w:color="000000"/>
              <w:bottom w:val="single" w:sz="4" w:space="0" w:color="000000"/>
            </w:tcBorders>
            <w:vAlign w:val="center"/>
          </w:tcPr>
          <w:p w:rsidR="0001540D" w:rsidRPr="00B74A55" w:rsidRDefault="0001540D" w:rsidP="0001540D">
            <w:pPr>
              <w:pBdr>
                <w:top w:val="nil"/>
                <w:left w:val="nil"/>
                <w:bottom w:val="nil"/>
                <w:right w:val="nil"/>
                <w:between w:val="nil"/>
              </w:pBdr>
              <w:jc w:val="center"/>
              <w:rPr>
                <w:b/>
                <w:color w:val="000000"/>
                <w:sz w:val="22"/>
              </w:rPr>
            </w:pPr>
            <w:r w:rsidRPr="00B74A55">
              <w:rPr>
                <w:sz w:val="22"/>
              </w:rPr>
              <w:t>650</w:t>
            </w:r>
          </w:p>
        </w:tc>
      </w:tr>
      <w:tr w:rsidR="0001540D" w:rsidRPr="00B74A55" w:rsidTr="004843F9">
        <w:tc>
          <w:tcPr>
            <w:tcW w:w="2978" w:type="dxa"/>
            <w:shd w:val="clear" w:color="auto" w:fill="C6D9F1"/>
          </w:tcPr>
          <w:p w:rsidR="0001540D" w:rsidRPr="00B74A55" w:rsidRDefault="0001540D" w:rsidP="00832B51">
            <w:pPr>
              <w:rPr>
                <w:b/>
                <w:sz w:val="22"/>
              </w:rPr>
            </w:pPr>
            <w:r w:rsidRPr="00B74A55">
              <w:rPr>
                <w:b/>
                <w:sz w:val="22"/>
              </w:rPr>
              <w:t xml:space="preserve">Ключові заходи проекту: </w:t>
            </w:r>
          </w:p>
          <w:p w:rsidR="0001540D" w:rsidRPr="00B74A55" w:rsidRDefault="0001540D" w:rsidP="00832B51">
            <w:pPr>
              <w:pBdr>
                <w:top w:val="nil"/>
                <w:left w:val="nil"/>
                <w:bottom w:val="nil"/>
                <w:right w:val="nil"/>
                <w:between w:val="nil"/>
              </w:pBdr>
              <w:rPr>
                <w:b/>
                <w:color w:val="000000"/>
                <w:sz w:val="22"/>
              </w:rPr>
            </w:pPr>
          </w:p>
        </w:tc>
        <w:tc>
          <w:tcPr>
            <w:tcW w:w="6945" w:type="dxa"/>
            <w:gridSpan w:val="6"/>
          </w:tcPr>
          <w:p w:rsidR="0001540D" w:rsidRPr="00B74A55" w:rsidRDefault="0001540D" w:rsidP="00832B51">
            <w:pPr>
              <w:rPr>
                <w:sz w:val="22"/>
              </w:rPr>
            </w:pPr>
            <w:r w:rsidRPr="00B74A55">
              <w:rPr>
                <w:sz w:val="22"/>
              </w:rPr>
              <w:t>Захід 1. Обстеження стану будівлі.</w:t>
            </w:r>
          </w:p>
          <w:p w:rsidR="0001540D" w:rsidRPr="00B74A55" w:rsidRDefault="0001540D" w:rsidP="00832B51">
            <w:pPr>
              <w:rPr>
                <w:sz w:val="22"/>
              </w:rPr>
            </w:pPr>
            <w:r w:rsidRPr="00B74A55">
              <w:rPr>
                <w:sz w:val="22"/>
              </w:rPr>
              <w:t>Захід 2. Проведення інвентаризації основних засобів.</w:t>
            </w:r>
          </w:p>
          <w:p w:rsidR="0001540D" w:rsidRPr="00B74A55" w:rsidRDefault="0001540D" w:rsidP="00832B51">
            <w:pPr>
              <w:rPr>
                <w:sz w:val="22"/>
              </w:rPr>
            </w:pPr>
            <w:r w:rsidRPr="00B74A55">
              <w:rPr>
                <w:sz w:val="22"/>
              </w:rPr>
              <w:t>Захід 3. Визначення кількості осіб, які потребують отримання соціальних, освітніх та інших послуг в межах компетенції закладу.</w:t>
            </w:r>
          </w:p>
          <w:p w:rsidR="0001540D" w:rsidRPr="00B74A55" w:rsidRDefault="0001540D" w:rsidP="00832B51">
            <w:pPr>
              <w:rPr>
                <w:sz w:val="22"/>
              </w:rPr>
            </w:pPr>
            <w:r w:rsidRPr="00B74A55">
              <w:rPr>
                <w:sz w:val="22"/>
              </w:rPr>
              <w:t xml:space="preserve">Захід 3. Виготовлення </w:t>
            </w:r>
            <w:proofErr w:type="spellStart"/>
            <w:r w:rsidRPr="00B74A55">
              <w:rPr>
                <w:sz w:val="22"/>
              </w:rPr>
              <w:t>про</w:t>
            </w:r>
            <w:r w:rsidR="00A83C9A" w:rsidRPr="00B74A55">
              <w:rPr>
                <w:sz w:val="22"/>
              </w:rPr>
              <w:t>є</w:t>
            </w:r>
            <w:r w:rsidRPr="00B74A55">
              <w:rPr>
                <w:sz w:val="22"/>
              </w:rPr>
              <w:t>ктно</w:t>
            </w:r>
            <w:proofErr w:type="spellEnd"/>
            <w:r w:rsidRPr="00B74A55">
              <w:rPr>
                <w:sz w:val="22"/>
              </w:rPr>
              <w:t>-кошторисної документації.</w:t>
            </w:r>
          </w:p>
          <w:p w:rsidR="0001540D" w:rsidRPr="00B74A55" w:rsidRDefault="0001540D" w:rsidP="00832B51">
            <w:pPr>
              <w:rPr>
                <w:sz w:val="22"/>
              </w:rPr>
            </w:pPr>
            <w:r w:rsidRPr="00B74A55">
              <w:rPr>
                <w:sz w:val="22"/>
              </w:rPr>
              <w:t>Захід 4. Проведення тендерних процедур та підписання необхідних договорів з підрядною організацією на проведення будівельно-монтажних робіт.</w:t>
            </w:r>
          </w:p>
          <w:p w:rsidR="0001540D" w:rsidRPr="00B74A55" w:rsidRDefault="0001540D" w:rsidP="00832B51">
            <w:pPr>
              <w:rPr>
                <w:sz w:val="22"/>
              </w:rPr>
            </w:pPr>
            <w:r w:rsidRPr="00B74A55">
              <w:rPr>
                <w:sz w:val="22"/>
              </w:rPr>
              <w:t xml:space="preserve">Захід 5. Проведення будівельно-монтажних робіт згідно </w:t>
            </w:r>
            <w:proofErr w:type="spellStart"/>
            <w:r w:rsidRPr="00B74A55">
              <w:rPr>
                <w:sz w:val="22"/>
              </w:rPr>
              <w:t>про</w:t>
            </w:r>
            <w:r w:rsidR="00A83C9A" w:rsidRPr="00B74A55">
              <w:rPr>
                <w:sz w:val="22"/>
              </w:rPr>
              <w:t>є</w:t>
            </w:r>
            <w:r w:rsidRPr="00B74A55">
              <w:rPr>
                <w:sz w:val="22"/>
              </w:rPr>
              <w:t>ктно</w:t>
            </w:r>
            <w:proofErr w:type="spellEnd"/>
            <w:r w:rsidRPr="00B74A55">
              <w:rPr>
                <w:sz w:val="22"/>
              </w:rPr>
              <w:t>-кошторисної документації.</w:t>
            </w:r>
          </w:p>
          <w:p w:rsidR="0001540D" w:rsidRPr="00B74A55" w:rsidRDefault="0001540D" w:rsidP="00832B51">
            <w:pPr>
              <w:rPr>
                <w:sz w:val="22"/>
              </w:rPr>
            </w:pPr>
            <w:r w:rsidRPr="00B74A55">
              <w:rPr>
                <w:sz w:val="22"/>
              </w:rPr>
              <w:t xml:space="preserve">Захід 6. Придбання технічного та технологічного забезпечення роботи окремо розташованої будівлі майстерні закладу освіти. </w:t>
            </w:r>
          </w:p>
          <w:p w:rsidR="0001540D" w:rsidRPr="00B74A55" w:rsidRDefault="0001540D" w:rsidP="00832B51">
            <w:pPr>
              <w:rPr>
                <w:sz w:val="22"/>
              </w:rPr>
            </w:pPr>
            <w:r w:rsidRPr="00B74A55">
              <w:rPr>
                <w:sz w:val="22"/>
              </w:rPr>
              <w:t>Захід 7. Введення об’єкта будівництва в експлуатацію, організація та початок робочого процесу.</w:t>
            </w:r>
          </w:p>
          <w:p w:rsidR="0001540D" w:rsidRPr="00B74A55" w:rsidRDefault="0001540D" w:rsidP="00A83C9A">
            <w:pPr>
              <w:rPr>
                <w:sz w:val="22"/>
              </w:rPr>
            </w:pPr>
            <w:r w:rsidRPr="00B74A55">
              <w:rPr>
                <w:sz w:val="22"/>
              </w:rPr>
              <w:t xml:space="preserve">Захід 8. Інформування громадськості про хід та завершення реалізації </w:t>
            </w:r>
            <w:proofErr w:type="spellStart"/>
            <w:r w:rsidRPr="00B74A55">
              <w:rPr>
                <w:sz w:val="22"/>
              </w:rPr>
              <w:t>про</w:t>
            </w:r>
            <w:r w:rsidR="00A83C9A" w:rsidRPr="00B74A55">
              <w:rPr>
                <w:sz w:val="22"/>
              </w:rPr>
              <w:t>є</w:t>
            </w:r>
            <w:r w:rsidRPr="00B74A55">
              <w:rPr>
                <w:sz w:val="22"/>
              </w:rPr>
              <w:t>кту</w:t>
            </w:r>
            <w:proofErr w:type="spellEnd"/>
            <w:r w:rsidRPr="00B74A55">
              <w:rPr>
                <w:sz w:val="22"/>
              </w:rPr>
              <w:t>.</w:t>
            </w:r>
          </w:p>
        </w:tc>
      </w:tr>
      <w:tr w:rsidR="0001540D" w:rsidRPr="00B74A55" w:rsidTr="004843F9">
        <w:trPr>
          <w:trHeight w:val="360"/>
        </w:trPr>
        <w:tc>
          <w:tcPr>
            <w:tcW w:w="2978" w:type="dxa"/>
            <w:vMerge w:val="restart"/>
            <w:shd w:val="clear" w:color="auto" w:fill="C6D9F1"/>
          </w:tcPr>
          <w:p w:rsidR="0001540D" w:rsidRPr="00B74A55" w:rsidRDefault="0001540D" w:rsidP="00832B51">
            <w:pPr>
              <w:pBdr>
                <w:top w:val="nil"/>
                <w:left w:val="nil"/>
                <w:bottom w:val="nil"/>
                <w:right w:val="nil"/>
                <w:between w:val="nil"/>
              </w:pBdr>
              <w:rPr>
                <w:b/>
                <w:color w:val="000000"/>
                <w:sz w:val="22"/>
              </w:rPr>
            </w:pPr>
            <w:r w:rsidRPr="00B74A55">
              <w:rPr>
                <w:b/>
                <w:color w:val="000000"/>
                <w:sz w:val="22"/>
              </w:rPr>
              <w:t xml:space="preserve">Орієнтовний обсяг та джерела фінансування, тис. грн. </w:t>
            </w:r>
          </w:p>
          <w:p w:rsidR="0001540D" w:rsidRPr="00B74A55" w:rsidRDefault="0001540D" w:rsidP="00832B51">
            <w:pPr>
              <w:pBdr>
                <w:top w:val="nil"/>
                <w:left w:val="nil"/>
                <w:bottom w:val="nil"/>
                <w:right w:val="nil"/>
                <w:between w:val="nil"/>
              </w:pBdr>
              <w:rPr>
                <w:b/>
                <w:color w:val="000000"/>
                <w:sz w:val="22"/>
              </w:rPr>
            </w:pPr>
          </w:p>
        </w:tc>
        <w:tc>
          <w:tcPr>
            <w:tcW w:w="1417" w:type="dxa"/>
            <w:tcBorders>
              <w:bottom w:val="single" w:sz="4" w:space="0" w:color="000000"/>
              <w:right w:val="single" w:sz="4" w:space="0" w:color="000000"/>
            </w:tcBorders>
          </w:tcPr>
          <w:p w:rsidR="0001540D" w:rsidRPr="00B74A55" w:rsidRDefault="0001540D" w:rsidP="00832B51">
            <w:pPr>
              <w:pBdr>
                <w:top w:val="nil"/>
                <w:left w:val="nil"/>
                <w:bottom w:val="nil"/>
                <w:right w:val="nil"/>
                <w:between w:val="nil"/>
              </w:pBdr>
              <w:jc w:val="center"/>
              <w:rPr>
                <w:b/>
                <w:color w:val="000000"/>
                <w:sz w:val="22"/>
              </w:rPr>
            </w:pPr>
            <w:r w:rsidRPr="00B74A55">
              <w:rPr>
                <w:b/>
                <w:color w:val="000000"/>
                <w:sz w:val="22"/>
              </w:rPr>
              <w:t>Державний бюджет</w:t>
            </w:r>
          </w:p>
        </w:tc>
        <w:tc>
          <w:tcPr>
            <w:tcW w:w="1276" w:type="dxa"/>
            <w:tcBorders>
              <w:bottom w:val="single" w:sz="4" w:space="0" w:color="000000"/>
              <w:right w:val="single" w:sz="4" w:space="0" w:color="000000"/>
            </w:tcBorders>
          </w:tcPr>
          <w:p w:rsidR="0001540D" w:rsidRPr="00B74A55" w:rsidRDefault="0001540D" w:rsidP="00832B51">
            <w:pPr>
              <w:pBdr>
                <w:top w:val="nil"/>
                <w:left w:val="nil"/>
                <w:bottom w:val="nil"/>
                <w:right w:val="nil"/>
                <w:between w:val="nil"/>
              </w:pBdr>
              <w:jc w:val="center"/>
              <w:rPr>
                <w:b/>
                <w:color w:val="000000"/>
                <w:sz w:val="22"/>
              </w:rPr>
            </w:pPr>
            <w:r w:rsidRPr="00B74A55">
              <w:rPr>
                <w:b/>
                <w:color w:val="000000"/>
                <w:sz w:val="22"/>
              </w:rPr>
              <w:t>Місцевий бюджет</w:t>
            </w:r>
          </w:p>
        </w:tc>
        <w:tc>
          <w:tcPr>
            <w:tcW w:w="3118" w:type="dxa"/>
            <w:gridSpan w:val="3"/>
            <w:tcBorders>
              <w:left w:val="single" w:sz="4" w:space="0" w:color="000000"/>
              <w:bottom w:val="single" w:sz="4" w:space="0" w:color="000000"/>
              <w:right w:val="single" w:sz="4" w:space="0" w:color="000000"/>
            </w:tcBorders>
          </w:tcPr>
          <w:p w:rsidR="0001540D" w:rsidRPr="00B74A55" w:rsidRDefault="0001540D" w:rsidP="00832B51">
            <w:pPr>
              <w:pBdr>
                <w:top w:val="nil"/>
                <w:left w:val="nil"/>
                <w:bottom w:val="nil"/>
                <w:right w:val="nil"/>
                <w:between w:val="nil"/>
              </w:pBdr>
              <w:jc w:val="center"/>
              <w:rPr>
                <w:b/>
                <w:color w:val="000000"/>
                <w:sz w:val="22"/>
              </w:rPr>
            </w:pPr>
            <w:r w:rsidRPr="00B74A55">
              <w:rPr>
                <w:b/>
                <w:color w:val="000000"/>
                <w:sz w:val="22"/>
              </w:rPr>
              <w:t>Інші джерела</w:t>
            </w:r>
          </w:p>
        </w:tc>
        <w:tc>
          <w:tcPr>
            <w:tcW w:w="1134" w:type="dxa"/>
            <w:tcBorders>
              <w:left w:val="single" w:sz="4" w:space="0" w:color="000000"/>
              <w:bottom w:val="single" w:sz="4" w:space="0" w:color="000000"/>
            </w:tcBorders>
          </w:tcPr>
          <w:p w:rsidR="0001540D" w:rsidRPr="00B74A55" w:rsidRDefault="0001540D" w:rsidP="00832B51">
            <w:pPr>
              <w:pBdr>
                <w:top w:val="nil"/>
                <w:left w:val="nil"/>
                <w:bottom w:val="nil"/>
                <w:right w:val="nil"/>
                <w:between w:val="nil"/>
              </w:pBdr>
              <w:jc w:val="center"/>
              <w:rPr>
                <w:b/>
                <w:color w:val="000000"/>
                <w:sz w:val="22"/>
              </w:rPr>
            </w:pPr>
            <w:r w:rsidRPr="00B74A55">
              <w:rPr>
                <w:b/>
                <w:color w:val="000000"/>
                <w:sz w:val="22"/>
              </w:rPr>
              <w:t>Всього</w:t>
            </w:r>
          </w:p>
        </w:tc>
      </w:tr>
      <w:tr w:rsidR="0001540D" w:rsidRPr="00B74A55" w:rsidTr="004843F9">
        <w:trPr>
          <w:trHeight w:val="225"/>
        </w:trPr>
        <w:tc>
          <w:tcPr>
            <w:tcW w:w="2978" w:type="dxa"/>
            <w:vMerge/>
            <w:shd w:val="clear" w:color="auto" w:fill="C6D9F1"/>
          </w:tcPr>
          <w:p w:rsidR="0001540D" w:rsidRPr="00B74A55" w:rsidRDefault="0001540D" w:rsidP="00832B51">
            <w:pPr>
              <w:widowControl w:val="0"/>
              <w:pBdr>
                <w:top w:val="nil"/>
                <w:left w:val="nil"/>
                <w:bottom w:val="nil"/>
                <w:right w:val="nil"/>
                <w:between w:val="nil"/>
              </w:pBdr>
              <w:spacing w:line="276" w:lineRule="auto"/>
              <w:rPr>
                <w:b/>
                <w:color w:val="000000"/>
                <w:sz w:val="22"/>
              </w:rPr>
            </w:pPr>
          </w:p>
        </w:tc>
        <w:tc>
          <w:tcPr>
            <w:tcW w:w="1417" w:type="dxa"/>
            <w:vMerge w:val="restart"/>
            <w:tcBorders>
              <w:top w:val="single" w:sz="4" w:space="0" w:color="000000"/>
              <w:right w:val="single" w:sz="4" w:space="0" w:color="000000"/>
            </w:tcBorders>
          </w:tcPr>
          <w:p w:rsidR="0001540D" w:rsidRPr="00B74A55" w:rsidRDefault="0001540D" w:rsidP="00832B51">
            <w:pPr>
              <w:pBdr>
                <w:top w:val="nil"/>
                <w:left w:val="nil"/>
                <w:bottom w:val="nil"/>
                <w:right w:val="nil"/>
                <w:between w:val="nil"/>
              </w:pBdr>
              <w:jc w:val="center"/>
              <w:rPr>
                <w:color w:val="000000"/>
                <w:sz w:val="22"/>
              </w:rPr>
            </w:pPr>
            <w:r w:rsidRPr="00B74A55">
              <w:rPr>
                <w:color w:val="000000"/>
                <w:sz w:val="22"/>
              </w:rPr>
              <w:t>25060,0</w:t>
            </w:r>
          </w:p>
        </w:tc>
        <w:tc>
          <w:tcPr>
            <w:tcW w:w="1276" w:type="dxa"/>
            <w:vMerge w:val="restart"/>
            <w:tcBorders>
              <w:top w:val="single" w:sz="4" w:space="0" w:color="000000"/>
              <w:right w:val="single" w:sz="4" w:space="0" w:color="000000"/>
            </w:tcBorders>
          </w:tcPr>
          <w:p w:rsidR="0001540D" w:rsidRPr="00B74A55" w:rsidRDefault="0001540D" w:rsidP="00832B51">
            <w:pPr>
              <w:pBdr>
                <w:top w:val="nil"/>
                <w:left w:val="nil"/>
                <w:bottom w:val="nil"/>
                <w:right w:val="nil"/>
                <w:between w:val="nil"/>
              </w:pBdr>
              <w:jc w:val="center"/>
              <w:rPr>
                <w:b/>
                <w:color w:val="000000"/>
                <w:sz w:val="22"/>
              </w:rPr>
            </w:pPr>
            <w:r w:rsidRPr="00B74A55">
              <w:rPr>
                <w:b/>
                <w:color w:val="000000"/>
                <w:sz w:val="22"/>
              </w:rPr>
              <w:t>-</w:t>
            </w:r>
          </w:p>
        </w:tc>
        <w:tc>
          <w:tcPr>
            <w:tcW w:w="1134" w:type="dxa"/>
            <w:tcBorders>
              <w:top w:val="single" w:sz="4" w:space="0" w:color="000000"/>
              <w:left w:val="single" w:sz="4" w:space="0" w:color="000000"/>
              <w:bottom w:val="single" w:sz="4" w:space="0" w:color="000000"/>
              <w:right w:val="single" w:sz="4" w:space="0" w:color="000000"/>
            </w:tcBorders>
          </w:tcPr>
          <w:p w:rsidR="0001540D" w:rsidRPr="00B74A55" w:rsidRDefault="0001540D" w:rsidP="00832B51">
            <w:pPr>
              <w:pBdr>
                <w:top w:val="nil"/>
                <w:left w:val="nil"/>
                <w:bottom w:val="nil"/>
                <w:right w:val="nil"/>
                <w:between w:val="nil"/>
              </w:pBdr>
              <w:jc w:val="center"/>
              <w:rPr>
                <w:b/>
                <w:color w:val="000000"/>
                <w:sz w:val="22"/>
              </w:rPr>
            </w:pPr>
            <w:r w:rsidRPr="00B74A55">
              <w:rPr>
                <w:b/>
                <w:color w:val="000000"/>
                <w:sz w:val="22"/>
              </w:rPr>
              <w:t>Обсяг</w:t>
            </w:r>
          </w:p>
        </w:tc>
        <w:tc>
          <w:tcPr>
            <w:tcW w:w="1984" w:type="dxa"/>
            <w:gridSpan w:val="2"/>
            <w:tcBorders>
              <w:top w:val="single" w:sz="4" w:space="0" w:color="000000"/>
              <w:left w:val="single" w:sz="4" w:space="0" w:color="000000"/>
              <w:bottom w:val="single" w:sz="4" w:space="0" w:color="000000"/>
              <w:right w:val="single" w:sz="4" w:space="0" w:color="000000"/>
            </w:tcBorders>
          </w:tcPr>
          <w:p w:rsidR="0001540D" w:rsidRPr="00B74A55" w:rsidRDefault="0001540D" w:rsidP="00832B51">
            <w:pPr>
              <w:pBdr>
                <w:top w:val="nil"/>
                <w:left w:val="nil"/>
                <w:bottom w:val="nil"/>
                <w:right w:val="nil"/>
                <w:between w:val="nil"/>
              </w:pBdr>
              <w:jc w:val="center"/>
              <w:rPr>
                <w:b/>
                <w:color w:val="000000"/>
                <w:sz w:val="22"/>
              </w:rPr>
            </w:pPr>
            <w:r w:rsidRPr="00B74A55">
              <w:rPr>
                <w:b/>
                <w:color w:val="000000"/>
                <w:sz w:val="22"/>
              </w:rPr>
              <w:t>Назва джерела</w:t>
            </w:r>
          </w:p>
        </w:tc>
        <w:tc>
          <w:tcPr>
            <w:tcW w:w="1134" w:type="dxa"/>
            <w:vMerge w:val="restart"/>
            <w:tcBorders>
              <w:top w:val="single" w:sz="4" w:space="0" w:color="000000"/>
              <w:left w:val="single" w:sz="4" w:space="0" w:color="000000"/>
            </w:tcBorders>
          </w:tcPr>
          <w:p w:rsidR="0001540D" w:rsidRPr="00B74A55" w:rsidRDefault="0001540D" w:rsidP="00832B51">
            <w:pPr>
              <w:jc w:val="center"/>
              <w:rPr>
                <w:sz w:val="22"/>
              </w:rPr>
            </w:pPr>
            <w:r w:rsidRPr="00B74A55">
              <w:rPr>
                <w:sz w:val="22"/>
              </w:rPr>
              <w:t>35 800 ,00</w:t>
            </w:r>
          </w:p>
          <w:p w:rsidR="0001540D" w:rsidRPr="00B74A55" w:rsidRDefault="0001540D" w:rsidP="00832B51">
            <w:pPr>
              <w:jc w:val="center"/>
              <w:rPr>
                <w:color w:val="000000"/>
                <w:sz w:val="22"/>
              </w:rPr>
            </w:pPr>
          </w:p>
        </w:tc>
      </w:tr>
      <w:tr w:rsidR="0001540D" w:rsidRPr="00B74A55" w:rsidTr="004843F9">
        <w:trPr>
          <w:trHeight w:val="300"/>
        </w:trPr>
        <w:tc>
          <w:tcPr>
            <w:tcW w:w="2978" w:type="dxa"/>
            <w:vMerge/>
            <w:shd w:val="clear" w:color="auto" w:fill="C6D9F1"/>
          </w:tcPr>
          <w:p w:rsidR="0001540D" w:rsidRPr="00B74A55" w:rsidRDefault="0001540D" w:rsidP="00832B51">
            <w:pPr>
              <w:widowControl w:val="0"/>
              <w:pBdr>
                <w:top w:val="nil"/>
                <w:left w:val="nil"/>
                <w:bottom w:val="nil"/>
                <w:right w:val="nil"/>
                <w:between w:val="nil"/>
              </w:pBdr>
              <w:spacing w:line="276" w:lineRule="auto"/>
              <w:rPr>
                <w:color w:val="000000"/>
                <w:sz w:val="22"/>
              </w:rPr>
            </w:pPr>
          </w:p>
        </w:tc>
        <w:tc>
          <w:tcPr>
            <w:tcW w:w="1417" w:type="dxa"/>
            <w:vMerge/>
            <w:tcBorders>
              <w:top w:val="single" w:sz="4" w:space="0" w:color="000000"/>
              <w:right w:val="single" w:sz="4" w:space="0" w:color="000000"/>
            </w:tcBorders>
          </w:tcPr>
          <w:p w:rsidR="0001540D" w:rsidRPr="00B74A55" w:rsidRDefault="0001540D" w:rsidP="00832B51">
            <w:pPr>
              <w:widowControl w:val="0"/>
              <w:pBdr>
                <w:top w:val="nil"/>
                <w:left w:val="nil"/>
                <w:bottom w:val="nil"/>
                <w:right w:val="nil"/>
                <w:between w:val="nil"/>
              </w:pBdr>
              <w:spacing w:line="276" w:lineRule="auto"/>
              <w:rPr>
                <w:color w:val="000000"/>
                <w:sz w:val="22"/>
              </w:rPr>
            </w:pPr>
          </w:p>
        </w:tc>
        <w:tc>
          <w:tcPr>
            <w:tcW w:w="1276" w:type="dxa"/>
            <w:vMerge/>
            <w:tcBorders>
              <w:top w:val="single" w:sz="4" w:space="0" w:color="000000"/>
              <w:right w:val="single" w:sz="4" w:space="0" w:color="000000"/>
            </w:tcBorders>
          </w:tcPr>
          <w:p w:rsidR="0001540D" w:rsidRPr="00B74A55" w:rsidRDefault="0001540D" w:rsidP="00832B51">
            <w:pPr>
              <w:widowControl w:val="0"/>
              <w:pBdr>
                <w:top w:val="nil"/>
                <w:left w:val="nil"/>
                <w:bottom w:val="nil"/>
                <w:right w:val="nil"/>
                <w:between w:val="nil"/>
              </w:pBdr>
              <w:spacing w:line="276" w:lineRule="auto"/>
              <w:rPr>
                <w:color w:val="000000"/>
                <w:sz w:val="22"/>
              </w:rPr>
            </w:pPr>
          </w:p>
        </w:tc>
        <w:tc>
          <w:tcPr>
            <w:tcW w:w="1134" w:type="dxa"/>
            <w:tcBorders>
              <w:top w:val="single" w:sz="4" w:space="0" w:color="000000"/>
              <w:left w:val="single" w:sz="4" w:space="0" w:color="000000"/>
              <w:right w:val="single" w:sz="4" w:space="0" w:color="000000"/>
            </w:tcBorders>
          </w:tcPr>
          <w:p w:rsidR="0001540D" w:rsidRPr="00B74A55" w:rsidRDefault="0001540D" w:rsidP="00832B51">
            <w:pPr>
              <w:pBdr>
                <w:top w:val="nil"/>
                <w:left w:val="nil"/>
                <w:bottom w:val="nil"/>
                <w:right w:val="nil"/>
                <w:between w:val="nil"/>
              </w:pBdr>
              <w:jc w:val="center"/>
              <w:rPr>
                <w:sz w:val="22"/>
              </w:rPr>
            </w:pPr>
            <w:r w:rsidRPr="00B74A55">
              <w:rPr>
                <w:sz w:val="22"/>
              </w:rPr>
              <w:t>10740,0</w:t>
            </w:r>
          </w:p>
          <w:p w:rsidR="0001540D" w:rsidRPr="00B74A55" w:rsidRDefault="0001540D" w:rsidP="00832B51">
            <w:pPr>
              <w:pBdr>
                <w:top w:val="nil"/>
                <w:left w:val="nil"/>
                <w:bottom w:val="nil"/>
                <w:right w:val="nil"/>
                <w:between w:val="nil"/>
              </w:pBdr>
              <w:jc w:val="center"/>
              <w:rPr>
                <w:b/>
                <w:color w:val="000000"/>
                <w:sz w:val="22"/>
              </w:rPr>
            </w:pPr>
            <w:r w:rsidRPr="00B74A55">
              <w:rPr>
                <w:sz w:val="22"/>
              </w:rPr>
              <w:t xml:space="preserve"> </w:t>
            </w:r>
          </w:p>
        </w:tc>
        <w:tc>
          <w:tcPr>
            <w:tcW w:w="1984" w:type="dxa"/>
            <w:gridSpan w:val="2"/>
            <w:tcBorders>
              <w:top w:val="single" w:sz="4" w:space="0" w:color="000000"/>
              <w:left w:val="single" w:sz="4" w:space="0" w:color="000000"/>
              <w:right w:val="single" w:sz="4" w:space="0" w:color="000000"/>
            </w:tcBorders>
          </w:tcPr>
          <w:p w:rsidR="0001540D" w:rsidRPr="00B74A55" w:rsidRDefault="0001540D" w:rsidP="0001540D">
            <w:pPr>
              <w:pBdr>
                <w:top w:val="nil"/>
                <w:left w:val="nil"/>
                <w:bottom w:val="nil"/>
                <w:right w:val="nil"/>
                <w:between w:val="nil"/>
              </w:pBdr>
              <w:jc w:val="center"/>
              <w:rPr>
                <w:color w:val="000000"/>
                <w:sz w:val="22"/>
              </w:rPr>
            </w:pPr>
            <w:r w:rsidRPr="00B74A55">
              <w:rPr>
                <w:color w:val="000000"/>
                <w:sz w:val="22"/>
              </w:rPr>
              <w:t>Міжнародні інвестиції, кошти приватних осіб</w:t>
            </w:r>
          </w:p>
        </w:tc>
        <w:tc>
          <w:tcPr>
            <w:tcW w:w="1134" w:type="dxa"/>
            <w:vMerge/>
            <w:tcBorders>
              <w:top w:val="single" w:sz="4" w:space="0" w:color="000000"/>
              <w:left w:val="single" w:sz="4" w:space="0" w:color="000000"/>
            </w:tcBorders>
          </w:tcPr>
          <w:p w:rsidR="0001540D" w:rsidRPr="00B74A55" w:rsidRDefault="0001540D" w:rsidP="00832B51">
            <w:pPr>
              <w:widowControl w:val="0"/>
              <w:pBdr>
                <w:top w:val="nil"/>
                <w:left w:val="nil"/>
                <w:bottom w:val="nil"/>
                <w:right w:val="nil"/>
                <w:between w:val="nil"/>
              </w:pBdr>
              <w:spacing w:line="276" w:lineRule="auto"/>
              <w:rPr>
                <w:sz w:val="22"/>
              </w:rPr>
            </w:pPr>
          </w:p>
        </w:tc>
      </w:tr>
    </w:tbl>
    <w:p w:rsidR="00C04B84" w:rsidRPr="00B74A55" w:rsidRDefault="00C04B84" w:rsidP="00E95FB1">
      <w:pPr>
        <w:rPr>
          <w:sz w:val="22"/>
        </w:rPr>
      </w:pPr>
    </w:p>
    <w:p w:rsidR="0001540D" w:rsidRPr="00B74A55" w:rsidRDefault="0001540D" w:rsidP="00E95FB1">
      <w:pPr>
        <w:rPr>
          <w:sz w:val="22"/>
        </w:rPr>
      </w:pPr>
    </w:p>
    <w:p w:rsidR="0001540D" w:rsidRPr="00B74A55" w:rsidRDefault="0001540D" w:rsidP="00E95FB1">
      <w:pPr>
        <w:rPr>
          <w:sz w:val="22"/>
        </w:rPr>
      </w:pPr>
    </w:p>
    <w:p w:rsidR="00C04B84" w:rsidRPr="00B74A55" w:rsidRDefault="00C04B84" w:rsidP="00E95FB1">
      <w:pPr>
        <w:rPr>
          <w:sz w:val="22"/>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8"/>
        <w:gridCol w:w="1417"/>
        <w:gridCol w:w="1276"/>
        <w:gridCol w:w="992"/>
        <w:gridCol w:w="142"/>
        <w:gridCol w:w="1701"/>
        <w:gridCol w:w="142"/>
        <w:gridCol w:w="1275"/>
      </w:tblGrid>
      <w:tr w:rsidR="0001540D" w:rsidRPr="00B74A55" w:rsidTr="004843F9">
        <w:tc>
          <w:tcPr>
            <w:tcW w:w="2978" w:type="dxa"/>
            <w:shd w:val="clear" w:color="auto" w:fill="C6D9F1"/>
          </w:tcPr>
          <w:p w:rsidR="0001540D" w:rsidRPr="00B74A55" w:rsidRDefault="0001540D" w:rsidP="00832B51">
            <w:pPr>
              <w:pBdr>
                <w:top w:val="nil"/>
                <w:left w:val="nil"/>
                <w:bottom w:val="nil"/>
                <w:right w:val="nil"/>
                <w:between w:val="nil"/>
              </w:pBdr>
              <w:rPr>
                <w:b/>
                <w:color w:val="000000"/>
                <w:sz w:val="22"/>
              </w:rPr>
            </w:pPr>
            <w:r w:rsidRPr="00B74A55">
              <w:rPr>
                <w:b/>
                <w:color w:val="000000"/>
                <w:sz w:val="22"/>
              </w:rPr>
              <w:lastRenderedPageBreak/>
              <w:t>Оперативна ціль/завдання</w:t>
            </w:r>
          </w:p>
        </w:tc>
        <w:tc>
          <w:tcPr>
            <w:tcW w:w="6945" w:type="dxa"/>
            <w:gridSpan w:val="7"/>
            <w:tcBorders>
              <w:top w:val="single" w:sz="6" w:space="0" w:color="000000"/>
              <w:left w:val="single" w:sz="6" w:space="0" w:color="000000"/>
              <w:bottom w:val="single" w:sz="6" w:space="0" w:color="000000"/>
              <w:right w:val="single" w:sz="6" w:space="0" w:color="000000"/>
            </w:tcBorders>
          </w:tcPr>
          <w:p w:rsidR="0001540D" w:rsidRPr="00B74A55" w:rsidRDefault="0001540D" w:rsidP="00832B51">
            <w:pPr>
              <w:ind w:right="132"/>
              <w:rPr>
                <w:sz w:val="22"/>
              </w:rPr>
            </w:pPr>
            <w:r w:rsidRPr="00B74A55">
              <w:rPr>
                <w:color w:val="222222"/>
                <w:sz w:val="22"/>
                <w:highlight w:val="white"/>
              </w:rPr>
              <w:t xml:space="preserve">Людський розвиток через інновації управління та довіру до влади. Формування сучасного інклюзивного  </w:t>
            </w:r>
            <w:proofErr w:type="spellStart"/>
            <w:r w:rsidRPr="00B74A55">
              <w:rPr>
                <w:color w:val="222222"/>
                <w:sz w:val="22"/>
                <w:highlight w:val="white"/>
              </w:rPr>
              <w:t>освітньо</w:t>
            </w:r>
            <w:proofErr w:type="spellEnd"/>
            <w:r w:rsidRPr="00B74A55">
              <w:rPr>
                <w:color w:val="222222"/>
                <w:sz w:val="22"/>
                <w:highlight w:val="white"/>
              </w:rPr>
              <w:t>-культурного та спортивного простору для розвитку</w:t>
            </w:r>
          </w:p>
        </w:tc>
      </w:tr>
      <w:tr w:rsidR="0001540D" w:rsidRPr="00B74A55" w:rsidTr="004843F9">
        <w:tc>
          <w:tcPr>
            <w:tcW w:w="2978" w:type="dxa"/>
            <w:shd w:val="clear" w:color="auto" w:fill="C6D9F1"/>
          </w:tcPr>
          <w:p w:rsidR="0001540D" w:rsidRPr="00B74A55" w:rsidRDefault="0001540D" w:rsidP="00832B51">
            <w:pPr>
              <w:pBdr>
                <w:top w:val="nil"/>
                <w:left w:val="nil"/>
                <w:bottom w:val="nil"/>
                <w:right w:val="nil"/>
                <w:between w:val="nil"/>
              </w:pBdr>
              <w:rPr>
                <w:b/>
                <w:color w:val="000000"/>
                <w:sz w:val="22"/>
              </w:rPr>
            </w:pPr>
            <w:r w:rsidRPr="00B74A55">
              <w:rPr>
                <w:b/>
                <w:color w:val="000000"/>
                <w:sz w:val="22"/>
              </w:rPr>
              <w:t>Назва проекту:</w:t>
            </w:r>
          </w:p>
        </w:tc>
        <w:tc>
          <w:tcPr>
            <w:tcW w:w="6945" w:type="dxa"/>
            <w:gridSpan w:val="7"/>
            <w:tcBorders>
              <w:top w:val="single" w:sz="6" w:space="0" w:color="000000"/>
              <w:left w:val="single" w:sz="6" w:space="0" w:color="000000"/>
              <w:bottom w:val="single" w:sz="6" w:space="0" w:color="000000"/>
              <w:right w:val="single" w:sz="6" w:space="0" w:color="000000"/>
            </w:tcBorders>
          </w:tcPr>
          <w:p w:rsidR="0001540D" w:rsidRPr="00B74A55" w:rsidRDefault="0001540D" w:rsidP="00832B51">
            <w:pPr>
              <w:ind w:right="132"/>
              <w:rPr>
                <w:color w:val="1F1F1F"/>
                <w:sz w:val="22"/>
                <w:highlight w:val="white"/>
              </w:rPr>
            </w:pPr>
            <w:r w:rsidRPr="00B74A55">
              <w:rPr>
                <w:color w:val="1F1F1F"/>
                <w:sz w:val="22"/>
                <w:highlight w:val="white"/>
              </w:rPr>
              <w:t xml:space="preserve">Капітальне відновлення будівлі закладу освіти Гімназії №5 міста Сєвєродонецька Луганської області, розташованої за </w:t>
            </w:r>
            <w:proofErr w:type="spellStart"/>
            <w:r w:rsidRPr="00B74A55">
              <w:rPr>
                <w:color w:val="1F1F1F"/>
                <w:sz w:val="22"/>
                <w:highlight w:val="white"/>
              </w:rPr>
              <w:t>адресою</w:t>
            </w:r>
            <w:proofErr w:type="spellEnd"/>
            <w:r w:rsidRPr="00B74A55">
              <w:rPr>
                <w:color w:val="1F1F1F"/>
                <w:sz w:val="22"/>
                <w:highlight w:val="white"/>
              </w:rPr>
              <w:t xml:space="preserve">: 93400, Луганська обл., Сєвєродонецький р-н, м. Сєвєродонецьк, </w:t>
            </w:r>
            <w:proofErr w:type="spellStart"/>
            <w:r w:rsidRPr="00B74A55">
              <w:rPr>
                <w:color w:val="1F1F1F"/>
                <w:sz w:val="22"/>
                <w:highlight w:val="white"/>
              </w:rPr>
              <w:t>пр-кт</w:t>
            </w:r>
            <w:proofErr w:type="spellEnd"/>
            <w:r w:rsidRPr="00B74A55">
              <w:rPr>
                <w:color w:val="1F1F1F"/>
                <w:sz w:val="22"/>
                <w:highlight w:val="white"/>
              </w:rPr>
              <w:t xml:space="preserve"> Хіміків, 18</w:t>
            </w:r>
          </w:p>
        </w:tc>
      </w:tr>
      <w:tr w:rsidR="0001540D" w:rsidRPr="00B74A55" w:rsidTr="004843F9">
        <w:tc>
          <w:tcPr>
            <w:tcW w:w="2978" w:type="dxa"/>
            <w:shd w:val="clear" w:color="auto" w:fill="C6D9F1"/>
          </w:tcPr>
          <w:p w:rsidR="0001540D" w:rsidRPr="00B74A55" w:rsidRDefault="0001540D" w:rsidP="00832B51">
            <w:pPr>
              <w:rPr>
                <w:b/>
                <w:sz w:val="22"/>
              </w:rPr>
            </w:pPr>
            <w:r w:rsidRPr="00B74A55">
              <w:rPr>
                <w:b/>
                <w:sz w:val="22"/>
              </w:rPr>
              <w:t>Ціль проекту</w:t>
            </w:r>
          </w:p>
        </w:tc>
        <w:tc>
          <w:tcPr>
            <w:tcW w:w="6945" w:type="dxa"/>
            <w:gridSpan w:val="7"/>
            <w:tcBorders>
              <w:top w:val="single" w:sz="6" w:space="0" w:color="000000"/>
              <w:left w:val="single" w:sz="6" w:space="0" w:color="000000"/>
              <w:bottom w:val="single" w:sz="6" w:space="0" w:color="000000"/>
              <w:right w:val="single" w:sz="6" w:space="0" w:color="000000"/>
            </w:tcBorders>
          </w:tcPr>
          <w:p w:rsidR="0001540D" w:rsidRPr="00B74A55" w:rsidRDefault="0001540D" w:rsidP="00832B51">
            <w:pPr>
              <w:ind w:right="132"/>
              <w:rPr>
                <w:color w:val="1F1F1F"/>
                <w:sz w:val="22"/>
                <w:highlight w:val="white"/>
              </w:rPr>
            </w:pPr>
            <w:r w:rsidRPr="00B74A55">
              <w:rPr>
                <w:color w:val="1F1F1F"/>
                <w:sz w:val="22"/>
                <w:highlight w:val="white"/>
              </w:rPr>
              <w:t>Створення належних, безпечних інклюзивних умов для організації якісного освітнього процесу в Гімназії №5 міста Сєвєродонецька Луганської області шляхом проведення будівельно-відновлювальних робіт закладу освіти, знищеного пожежею, яка виникла внаслідок влучання боєприпасів 30.05.2022 р.</w:t>
            </w:r>
          </w:p>
        </w:tc>
      </w:tr>
      <w:tr w:rsidR="0001540D" w:rsidRPr="00B74A55" w:rsidTr="004843F9">
        <w:tc>
          <w:tcPr>
            <w:tcW w:w="2978" w:type="dxa"/>
            <w:shd w:val="clear" w:color="auto" w:fill="C6D9F1"/>
          </w:tcPr>
          <w:p w:rsidR="0001540D" w:rsidRPr="00B74A55" w:rsidRDefault="0001540D" w:rsidP="00832B51">
            <w:pPr>
              <w:pBdr>
                <w:top w:val="nil"/>
                <w:left w:val="nil"/>
                <w:bottom w:val="nil"/>
                <w:right w:val="nil"/>
                <w:between w:val="nil"/>
              </w:pBdr>
              <w:rPr>
                <w:b/>
                <w:color w:val="000000"/>
                <w:sz w:val="22"/>
              </w:rPr>
            </w:pPr>
            <w:r w:rsidRPr="00B74A55">
              <w:rPr>
                <w:b/>
                <w:color w:val="000000"/>
                <w:sz w:val="22"/>
              </w:rPr>
              <w:t>Територія, на яку матиме вплив реалізація проекту</w:t>
            </w:r>
          </w:p>
        </w:tc>
        <w:tc>
          <w:tcPr>
            <w:tcW w:w="6945" w:type="dxa"/>
            <w:gridSpan w:val="7"/>
            <w:tcBorders>
              <w:top w:val="single" w:sz="6" w:space="0" w:color="000000"/>
              <w:left w:val="single" w:sz="6" w:space="0" w:color="000000"/>
              <w:bottom w:val="single" w:sz="6" w:space="0" w:color="000000"/>
              <w:right w:val="single" w:sz="6" w:space="0" w:color="000000"/>
            </w:tcBorders>
          </w:tcPr>
          <w:p w:rsidR="0001540D" w:rsidRPr="00B74A55" w:rsidRDefault="0001540D" w:rsidP="00832B51">
            <w:pPr>
              <w:rPr>
                <w:sz w:val="22"/>
              </w:rPr>
            </w:pPr>
            <w:r w:rsidRPr="00B74A55">
              <w:rPr>
                <w:sz w:val="22"/>
              </w:rPr>
              <w:t>Сєвєродонецька міська територіальна громада</w:t>
            </w:r>
          </w:p>
        </w:tc>
      </w:tr>
      <w:tr w:rsidR="0001540D" w:rsidRPr="00B74A55" w:rsidTr="004843F9">
        <w:tc>
          <w:tcPr>
            <w:tcW w:w="2978" w:type="dxa"/>
            <w:shd w:val="clear" w:color="auto" w:fill="C6D9F1"/>
          </w:tcPr>
          <w:p w:rsidR="0001540D" w:rsidRPr="00B74A55" w:rsidRDefault="0001540D" w:rsidP="00832B51">
            <w:pPr>
              <w:pBdr>
                <w:top w:val="nil"/>
                <w:left w:val="nil"/>
                <w:bottom w:val="nil"/>
                <w:right w:val="nil"/>
                <w:between w:val="nil"/>
              </w:pBdr>
              <w:rPr>
                <w:b/>
                <w:color w:val="000000"/>
                <w:sz w:val="22"/>
              </w:rPr>
            </w:pPr>
            <w:r w:rsidRPr="00B74A55">
              <w:rPr>
                <w:b/>
                <w:color w:val="000000"/>
                <w:sz w:val="22"/>
              </w:rPr>
              <w:t>Чисельність населення, на яке матиме вплив реалізація проекту</w:t>
            </w:r>
          </w:p>
        </w:tc>
        <w:tc>
          <w:tcPr>
            <w:tcW w:w="6945" w:type="dxa"/>
            <w:gridSpan w:val="7"/>
            <w:tcBorders>
              <w:top w:val="single" w:sz="6" w:space="0" w:color="000000"/>
              <w:left w:val="single" w:sz="6" w:space="0" w:color="000000"/>
              <w:bottom w:val="single" w:sz="6" w:space="0" w:color="000000"/>
              <w:right w:val="single" w:sz="6" w:space="0" w:color="000000"/>
            </w:tcBorders>
          </w:tcPr>
          <w:p w:rsidR="0001540D" w:rsidRPr="00B74A55" w:rsidRDefault="0001540D" w:rsidP="00832B51">
            <w:pPr>
              <w:tabs>
                <w:tab w:val="left" w:pos="1104"/>
              </w:tabs>
              <w:ind w:right="132"/>
              <w:rPr>
                <w:color w:val="1F1F1F"/>
                <w:sz w:val="22"/>
                <w:highlight w:val="white"/>
              </w:rPr>
            </w:pPr>
            <w:r w:rsidRPr="00B74A55">
              <w:rPr>
                <w:color w:val="1F1F1F"/>
                <w:sz w:val="22"/>
                <w:highlight w:val="white"/>
              </w:rPr>
              <w:t>70 000 осіб</w:t>
            </w:r>
          </w:p>
        </w:tc>
      </w:tr>
      <w:tr w:rsidR="0001540D" w:rsidRPr="00B74A55" w:rsidTr="004843F9">
        <w:tc>
          <w:tcPr>
            <w:tcW w:w="2978" w:type="dxa"/>
            <w:shd w:val="clear" w:color="auto" w:fill="C6D9F1"/>
          </w:tcPr>
          <w:p w:rsidR="0001540D" w:rsidRPr="00B74A55" w:rsidRDefault="0001540D" w:rsidP="00832B51">
            <w:pPr>
              <w:rPr>
                <w:b/>
                <w:sz w:val="22"/>
              </w:rPr>
            </w:pPr>
            <w:r w:rsidRPr="00B74A55">
              <w:rPr>
                <w:b/>
                <w:sz w:val="22"/>
              </w:rPr>
              <w:t>Опис проблеми, на вирішення якої  спрямований проект</w:t>
            </w:r>
          </w:p>
        </w:tc>
        <w:tc>
          <w:tcPr>
            <w:tcW w:w="6945" w:type="dxa"/>
            <w:gridSpan w:val="7"/>
            <w:tcBorders>
              <w:top w:val="single" w:sz="6" w:space="0" w:color="000000"/>
              <w:left w:val="single" w:sz="6" w:space="0" w:color="000000"/>
              <w:bottom w:val="single" w:sz="6" w:space="0" w:color="000000"/>
              <w:right w:val="single" w:sz="6" w:space="0" w:color="000000"/>
            </w:tcBorders>
          </w:tcPr>
          <w:p w:rsidR="0001540D" w:rsidRPr="00B74A55" w:rsidRDefault="0001540D" w:rsidP="00832B51">
            <w:pPr>
              <w:ind w:right="132"/>
              <w:rPr>
                <w:sz w:val="22"/>
              </w:rPr>
            </w:pPr>
            <w:r w:rsidRPr="00B74A55">
              <w:rPr>
                <w:sz w:val="22"/>
              </w:rPr>
              <w:t xml:space="preserve">Через військову агресію РФ територія Сєвєродонецької міської територіальної громади зазнала значних пошкоджень. </w:t>
            </w:r>
            <w:r w:rsidRPr="00B74A55">
              <w:rPr>
                <w:sz w:val="22"/>
                <w:highlight w:val="white"/>
              </w:rPr>
              <w:t xml:space="preserve">Будівля Гімназії №5 міста Сєвєродонецька Луганської області була знищена пожежею, яка виникла внаслідок влучання боєприпасів в ході ведення активних бойових дій 30.05.2022 р. </w:t>
            </w:r>
            <w:r w:rsidRPr="00B74A55">
              <w:rPr>
                <w:sz w:val="22"/>
              </w:rPr>
              <w:t>Усе матеріально-технічне обладнання (устаткування), основні засоби (учнівські меблі, дидактичне та методичне забезпечення, меблі</w:t>
            </w:r>
            <w:r w:rsidR="00A026AE" w:rsidRPr="00B74A55">
              <w:rPr>
                <w:sz w:val="22"/>
              </w:rPr>
              <w:t xml:space="preserve"> </w:t>
            </w:r>
            <w:r w:rsidRPr="00B74A55">
              <w:rPr>
                <w:sz w:val="22"/>
              </w:rPr>
              <w:t>тощо) були знищені або викрадені.</w:t>
            </w:r>
          </w:p>
          <w:p w:rsidR="0001540D" w:rsidRPr="00B74A55" w:rsidRDefault="0001540D" w:rsidP="00832B51">
            <w:pPr>
              <w:ind w:right="132"/>
              <w:rPr>
                <w:sz w:val="22"/>
                <w:highlight w:val="white"/>
              </w:rPr>
            </w:pPr>
            <w:r w:rsidRPr="00B74A55">
              <w:rPr>
                <w:sz w:val="22"/>
              </w:rPr>
              <w:t xml:space="preserve">Для відбудови та сталого розвитку громади потрібне відновлення роботи мережі закладів освіти. Мешканці громади мають право на отримання якісних освітніх та соціальних послуг, які відповідають нормам сучасності. </w:t>
            </w:r>
            <w:r w:rsidRPr="00B74A55">
              <w:rPr>
                <w:sz w:val="22"/>
                <w:highlight w:val="white"/>
              </w:rPr>
              <w:t xml:space="preserve">Тому реалізація </w:t>
            </w:r>
            <w:proofErr w:type="spellStart"/>
            <w:r w:rsidRPr="00B74A55">
              <w:rPr>
                <w:sz w:val="22"/>
                <w:highlight w:val="white"/>
              </w:rPr>
              <w:t>проєкту</w:t>
            </w:r>
            <w:proofErr w:type="spellEnd"/>
            <w:r w:rsidRPr="00B74A55">
              <w:rPr>
                <w:sz w:val="22"/>
                <w:highlight w:val="white"/>
              </w:rPr>
              <w:t>, а саме створення належних, безпечних інклюзивних умов для організації якісного освітнього процесу дасть "друге дихання" не лише закладу загальної середньої освіти, а поверне до мирного життя учнів, батьківську громаду, педагогічний колектив, інших працівників закладу освіти, мешканців мікрорайону - усього близько 2500 осіб, сприятиме розбудові мирного функціонування Сєвєродонецької територіальної громади в цілому.</w:t>
            </w:r>
          </w:p>
        </w:tc>
      </w:tr>
      <w:tr w:rsidR="0001540D" w:rsidRPr="00B74A55" w:rsidTr="004843F9">
        <w:tc>
          <w:tcPr>
            <w:tcW w:w="2978" w:type="dxa"/>
            <w:shd w:val="clear" w:color="auto" w:fill="C6D9F1"/>
          </w:tcPr>
          <w:p w:rsidR="0001540D" w:rsidRPr="00B74A55" w:rsidRDefault="0001540D" w:rsidP="00832B51">
            <w:pPr>
              <w:pBdr>
                <w:top w:val="nil"/>
                <w:left w:val="nil"/>
                <w:bottom w:val="nil"/>
                <w:right w:val="nil"/>
                <w:between w:val="nil"/>
              </w:pBdr>
              <w:rPr>
                <w:b/>
                <w:color w:val="000000"/>
                <w:sz w:val="22"/>
              </w:rPr>
            </w:pPr>
            <w:r w:rsidRPr="00B74A55">
              <w:rPr>
                <w:b/>
                <w:color w:val="000000"/>
                <w:sz w:val="22"/>
              </w:rPr>
              <w:t>Очікувані якісні результати від реалізації проекту</w:t>
            </w:r>
          </w:p>
        </w:tc>
        <w:tc>
          <w:tcPr>
            <w:tcW w:w="6945" w:type="dxa"/>
            <w:gridSpan w:val="7"/>
            <w:tcBorders>
              <w:top w:val="single" w:sz="6" w:space="0" w:color="000000"/>
              <w:left w:val="single" w:sz="6" w:space="0" w:color="000000"/>
              <w:bottom w:val="single" w:sz="6" w:space="0" w:color="000000"/>
              <w:right w:val="single" w:sz="6" w:space="0" w:color="000000"/>
            </w:tcBorders>
          </w:tcPr>
          <w:p w:rsidR="0001540D" w:rsidRPr="00B74A55" w:rsidRDefault="0001540D" w:rsidP="00832B51">
            <w:pPr>
              <w:ind w:right="132"/>
              <w:rPr>
                <w:sz w:val="22"/>
                <w:highlight w:val="white"/>
              </w:rPr>
            </w:pPr>
            <w:r w:rsidRPr="00B74A55">
              <w:rPr>
                <w:sz w:val="22"/>
                <w:highlight w:val="white"/>
              </w:rPr>
              <w:t xml:space="preserve">У результаті реалізації </w:t>
            </w:r>
            <w:proofErr w:type="spellStart"/>
            <w:r w:rsidRPr="00B74A55">
              <w:rPr>
                <w:sz w:val="22"/>
                <w:highlight w:val="white"/>
              </w:rPr>
              <w:t>проєкту</w:t>
            </w:r>
            <w:proofErr w:type="spellEnd"/>
            <w:r w:rsidRPr="00B74A55">
              <w:rPr>
                <w:sz w:val="22"/>
                <w:highlight w:val="white"/>
              </w:rPr>
              <w:t>:</w:t>
            </w:r>
          </w:p>
          <w:p w:rsidR="0001540D" w:rsidRPr="00B74A55" w:rsidRDefault="0001540D" w:rsidP="000303D7">
            <w:pPr>
              <w:numPr>
                <w:ilvl w:val="0"/>
                <w:numId w:val="95"/>
              </w:numPr>
              <w:ind w:right="132"/>
              <w:rPr>
                <w:sz w:val="22"/>
              </w:rPr>
            </w:pPr>
            <w:r w:rsidRPr="00B74A55">
              <w:rPr>
                <w:sz w:val="22"/>
                <w:highlight w:val="white"/>
              </w:rPr>
              <w:t xml:space="preserve">Будуть створені належні, безпечні умови для навчання учнів у Гімназії №5 міста Сєвєродонецька Луганської області </w:t>
            </w:r>
            <w:r w:rsidRPr="00B74A55">
              <w:rPr>
                <w:sz w:val="22"/>
              </w:rPr>
              <w:t>шляхом проведення будівельно-відновлювальних робіт закладу освіти.</w:t>
            </w:r>
          </w:p>
          <w:p w:rsidR="0001540D" w:rsidRPr="00B74A55" w:rsidRDefault="0001540D" w:rsidP="000303D7">
            <w:pPr>
              <w:numPr>
                <w:ilvl w:val="0"/>
                <w:numId w:val="95"/>
              </w:numPr>
              <w:ind w:right="132"/>
              <w:rPr>
                <w:sz w:val="22"/>
              </w:rPr>
            </w:pPr>
            <w:r w:rsidRPr="00B74A55">
              <w:rPr>
                <w:sz w:val="22"/>
              </w:rPr>
              <w:t xml:space="preserve">Буде забезпечена реалізація конституційних прав для учасників освітнього процесу, пов’язаних із отриманням якісних освітніх </w:t>
            </w:r>
            <w:proofErr w:type="spellStart"/>
            <w:r w:rsidRPr="00B74A55">
              <w:rPr>
                <w:sz w:val="22"/>
              </w:rPr>
              <w:t>послугю</w:t>
            </w:r>
            <w:proofErr w:type="spellEnd"/>
          </w:p>
          <w:p w:rsidR="0001540D" w:rsidRPr="00B74A55" w:rsidRDefault="0001540D" w:rsidP="000303D7">
            <w:pPr>
              <w:numPr>
                <w:ilvl w:val="0"/>
                <w:numId w:val="95"/>
              </w:numPr>
              <w:ind w:right="132"/>
              <w:rPr>
                <w:sz w:val="22"/>
                <w:highlight w:val="white"/>
              </w:rPr>
            </w:pPr>
            <w:r w:rsidRPr="00B74A55">
              <w:rPr>
                <w:sz w:val="22"/>
              </w:rPr>
              <w:t>Буде вирішено низку питань у межах статутної діяльності, пов’язаних із відбудовою та сталим розвитком громади; стане стимулом до повернення ВПО до громади тощо.</w:t>
            </w:r>
          </w:p>
        </w:tc>
      </w:tr>
      <w:tr w:rsidR="0001540D" w:rsidRPr="00B74A55" w:rsidTr="004843F9">
        <w:trPr>
          <w:trHeight w:val="390"/>
        </w:trPr>
        <w:tc>
          <w:tcPr>
            <w:tcW w:w="2978" w:type="dxa"/>
            <w:vMerge w:val="restart"/>
            <w:shd w:val="clear" w:color="auto" w:fill="C6D9F1"/>
          </w:tcPr>
          <w:p w:rsidR="0001540D" w:rsidRPr="00B74A55" w:rsidRDefault="0001540D" w:rsidP="00832B51">
            <w:pPr>
              <w:pBdr>
                <w:top w:val="nil"/>
                <w:left w:val="nil"/>
                <w:bottom w:val="nil"/>
                <w:right w:val="nil"/>
                <w:between w:val="nil"/>
              </w:pBdr>
              <w:rPr>
                <w:b/>
                <w:color w:val="000000"/>
                <w:sz w:val="22"/>
              </w:rPr>
            </w:pPr>
            <w:r w:rsidRPr="00B74A55">
              <w:rPr>
                <w:b/>
                <w:color w:val="000000"/>
                <w:sz w:val="22"/>
              </w:rPr>
              <w:t xml:space="preserve">Очікувані кількісні результати реалізації </w:t>
            </w:r>
            <w:proofErr w:type="spellStart"/>
            <w:r w:rsidRPr="00B74A55">
              <w:rPr>
                <w:b/>
                <w:color w:val="000000"/>
                <w:sz w:val="22"/>
              </w:rPr>
              <w:t>проєкту</w:t>
            </w:r>
            <w:proofErr w:type="spellEnd"/>
            <w:r w:rsidRPr="00B74A55">
              <w:rPr>
                <w:b/>
                <w:color w:val="000000"/>
                <w:sz w:val="22"/>
              </w:rPr>
              <w:t xml:space="preserve"> (індикатори)</w:t>
            </w:r>
          </w:p>
          <w:p w:rsidR="0001540D" w:rsidRPr="00B74A55" w:rsidRDefault="0001540D" w:rsidP="00832B51">
            <w:pPr>
              <w:pBdr>
                <w:top w:val="nil"/>
                <w:left w:val="nil"/>
                <w:bottom w:val="nil"/>
                <w:right w:val="nil"/>
                <w:between w:val="nil"/>
              </w:pBdr>
              <w:rPr>
                <w:b/>
                <w:color w:val="000000"/>
                <w:sz w:val="22"/>
              </w:rPr>
            </w:pPr>
          </w:p>
        </w:tc>
        <w:tc>
          <w:tcPr>
            <w:tcW w:w="3685" w:type="dxa"/>
            <w:gridSpan w:val="3"/>
            <w:tcBorders>
              <w:bottom w:val="single" w:sz="4" w:space="0" w:color="000000"/>
              <w:right w:val="single" w:sz="4" w:space="0" w:color="000000"/>
            </w:tcBorders>
          </w:tcPr>
          <w:p w:rsidR="0001540D" w:rsidRPr="00B74A55" w:rsidRDefault="0001540D" w:rsidP="00832B51">
            <w:pPr>
              <w:pBdr>
                <w:top w:val="nil"/>
                <w:left w:val="nil"/>
                <w:bottom w:val="nil"/>
                <w:right w:val="nil"/>
                <w:between w:val="nil"/>
              </w:pBdr>
              <w:ind w:left="-108"/>
              <w:jc w:val="center"/>
              <w:rPr>
                <w:b/>
                <w:color w:val="000000"/>
                <w:sz w:val="22"/>
              </w:rPr>
            </w:pPr>
            <w:r w:rsidRPr="00B74A55">
              <w:rPr>
                <w:b/>
                <w:color w:val="000000"/>
                <w:sz w:val="22"/>
              </w:rPr>
              <w:t>Найменування показника</w:t>
            </w:r>
          </w:p>
        </w:tc>
        <w:tc>
          <w:tcPr>
            <w:tcW w:w="1843" w:type="dxa"/>
            <w:gridSpan w:val="2"/>
            <w:tcBorders>
              <w:left w:val="single" w:sz="4" w:space="0" w:color="000000"/>
              <w:bottom w:val="single" w:sz="4" w:space="0" w:color="000000"/>
              <w:right w:val="single" w:sz="4" w:space="0" w:color="000000"/>
            </w:tcBorders>
          </w:tcPr>
          <w:p w:rsidR="0001540D" w:rsidRPr="00B74A55" w:rsidRDefault="0001540D" w:rsidP="00832B51">
            <w:pPr>
              <w:pBdr>
                <w:top w:val="nil"/>
                <w:left w:val="nil"/>
                <w:bottom w:val="nil"/>
                <w:right w:val="nil"/>
                <w:between w:val="nil"/>
              </w:pBdr>
              <w:jc w:val="center"/>
              <w:rPr>
                <w:b/>
                <w:color w:val="000000"/>
                <w:sz w:val="22"/>
              </w:rPr>
            </w:pPr>
            <w:r w:rsidRPr="00B74A55">
              <w:rPr>
                <w:b/>
                <w:color w:val="000000"/>
                <w:sz w:val="22"/>
              </w:rPr>
              <w:t>Одиниця вимірювання</w:t>
            </w:r>
          </w:p>
          <w:p w:rsidR="0001540D" w:rsidRPr="00B74A55" w:rsidRDefault="0001540D" w:rsidP="00832B51">
            <w:pPr>
              <w:pBdr>
                <w:top w:val="nil"/>
                <w:left w:val="nil"/>
                <w:bottom w:val="nil"/>
                <w:right w:val="nil"/>
                <w:between w:val="nil"/>
              </w:pBdr>
              <w:rPr>
                <w:b/>
                <w:color w:val="000000"/>
                <w:sz w:val="22"/>
              </w:rPr>
            </w:pPr>
          </w:p>
        </w:tc>
        <w:tc>
          <w:tcPr>
            <w:tcW w:w="1417" w:type="dxa"/>
            <w:gridSpan w:val="2"/>
            <w:tcBorders>
              <w:left w:val="single" w:sz="4" w:space="0" w:color="000000"/>
              <w:bottom w:val="single" w:sz="4" w:space="0" w:color="000000"/>
            </w:tcBorders>
          </w:tcPr>
          <w:p w:rsidR="0001540D" w:rsidRPr="00B74A55" w:rsidRDefault="0001540D" w:rsidP="00832B51">
            <w:pPr>
              <w:pBdr>
                <w:top w:val="nil"/>
                <w:left w:val="nil"/>
                <w:bottom w:val="nil"/>
                <w:right w:val="nil"/>
                <w:between w:val="nil"/>
              </w:pBdr>
              <w:jc w:val="center"/>
              <w:rPr>
                <w:b/>
                <w:color w:val="000000"/>
                <w:sz w:val="22"/>
              </w:rPr>
            </w:pPr>
            <w:r w:rsidRPr="00B74A55">
              <w:rPr>
                <w:b/>
                <w:color w:val="000000"/>
                <w:sz w:val="22"/>
              </w:rPr>
              <w:t>Прогнозне (цільове) значення</w:t>
            </w:r>
          </w:p>
        </w:tc>
      </w:tr>
      <w:tr w:rsidR="0001540D" w:rsidRPr="00B74A55" w:rsidTr="004843F9">
        <w:trPr>
          <w:trHeight w:val="585"/>
        </w:trPr>
        <w:tc>
          <w:tcPr>
            <w:tcW w:w="2978" w:type="dxa"/>
            <w:vMerge/>
            <w:shd w:val="clear" w:color="auto" w:fill="C6D9F1"/>
          </w:tcPr>
          <w:p w:rsidR="0001540D" w:rsidRPr="00B74A55" w:rsidRDefault="0001540D" w:rsidP="00832B51">
            <w:pPr>
              <w:widowControl w:val="0"/>
              <w:pBdr>
                <w:top w:val="nil"/>
                <w:left w:val="nil"/>
                <w:bottom w:val="nil"/>
                <w:right w:val="nil"/>
                <w:between w:val="nil"/>
              </w:pBdr>
              <w:spacing w:line="276" w:lineRule="auto"/>
              <w:rPr>
                <w:b/>
                <w:color w:val="000000"/>
                <w:sz w:val="22"/>
              </w:rPr>
            </w:pPr>
          </w:p>
        </w:tc>
        <w:tc>
          <w:tcPr>
            <w:tcW w:w="3685" w:type="dxa"/>
            <w:gridSpan w:val="3"/>
            <w:tcBorders>
              <w:top w:val="single" w:sz="4" w:space="0" w:color="000000"/>
              <w:bottom w:val="single" w:sz="4" w:space="0" w:color="000000"/>
              <w:right w:val="single" w:sz="4" w:space="0" w:color="000000"/>
            </w:tcBorders>
          </w:tcPr>
          <w:p w:rsidR="0001540D" w:rsidRPr="00B74A55" w:rsidRDefault="0001540D" w:rsidP="00832B51">
            <w:pPr>
              <w:pBdr>
                <w:top w:val="nil"/>
                <w:left w:val="nil"/>
                <w:bottom w:val="nil"/>
                <w:right w:val="nil"/>
                <w:between w:val="nil"/>
              </w:pBdr>
              <w:rPr>
                <w:color w:val="000000"/>
                <w:sz w:val="22"/>
              </w:rPr>
            </w:pPr>
            <w:r w:rsidRPr="00B74A55">
              <w:rPr>
                <w:color w:val="000000"/>
                <w:sz w:val="22"/>
              </w:rPr>
              <w:t>Кількість фізичних</w:t>
            </w:r>
            <w:r w:rsidRPr="00B74A55">
              <w:rPr>
                <w:sz w:val="22"/>
              </w:rPr>
              <w:t xml:space="preserve"> осіб</w:t>
            </w:r>
            <w:r w:rsidRPr="00B74A55">
              <w:rPr>
                <w:color w:val="000000"/>
                <w:sz w:val="22"/>
              </w:rPr>
              <w:t xml:space="preserve">, які звернулись за </w:t>
            </w:r>
            <w:r w:rsidRPr="00B74A55">
              <w:rPr>
                <w:sz w:val="22"/>
              </w:rPr>
              <w:t xml:space="preserve">освітніми, соціальними  та іншими </w:t>
            </w:r>
            <w:r w:rsidRPr="00B74A55">
              <w:rPr>
                <w:color w:val="000000"/>
                <w:sz w:val="22"/>
              </w:rPr>
              <w:t>послугами в межах компетенції зак</w:t>
            </w:r>
            <w:r w:rsidRPr="00B74A55">
              <w:rPr>
                <w:sz w:val="22"/>
              </w:rPr>
              <w:t xml:space="preserve">ладу </w:t>
            </w:r>
            <w:r w:rsidRPr="00B74A55">
              <w:rPr>
                <w:color w:val="000000"/>
                <w:sz w:val="22"/>
              </w:rPr>
              <w:t>протягом  року</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01540D" w:rsidRPr="00B74A55" w:rsidRDefault="0001540D" w:rsidP="00832B51">
            <w:pPr>
              <w:pBdr>
                <w:top w:val="nil"/>
                <w:left w:val="nil"/>
                <w:bottom w:val="nil"/>
                <w:right w:val="nil"/>
                <w:between w:val="nil"/>
              </w:pBdr>
              <w:jc w:val="center"/>
              <w:rPr>
                <w:color w:val="000000"/>
                <w:sz w:val="22"/>
              </w:rPr>
            </w:pPr>
            <w:r w:rsidRPr="00B74A55">
              <w:rPr>
                <w:color w:val="000000"/>
                <w:sz w:val="22"/>
              </w:rPr>
              <w:t>осіб</w:t>
            </w:r>
          </w:p>
        </w:tc>
        <w:tc>
          <w:tcPr>
            <w:tcW w:w="1417" w:type="dxa"/>
            <w:gridSpan w:val="2"/>
            <w:tcBorders>
              <w:top w:val="single" w:sz="4" w:space="0" w:color="000000"/>
              <w:left w:val="single" w:sz="4" w:space="0" w:color="000000"/>
              <w:bottom w:val="single" w:sz="4" w:space="0" w:color="000000"/>
            </w:tcBorders>
            <w:vAlign w:val="center"/>
          </w:tcPr>
          <w:p w:rsidR="0001540D" w:rsidRPr="00B74A55" w:rsidRDefault="0001540D" w:rsidP="0001540D">
            <w:pPr>
              <w:pBdr>
                <w:top w:val="nil"/>
                <w:left w:val="nil"/>
                <w:bottom w:val="nil"/>
                <w:right w:val="nil"/>
                <w:between w:val="nil"/>
              </w:pBdr>
              <w:jc w:val="center"/>
              <w:rPr>
                <w:b/>
                <w:color w:val="000000"/>
                <w:sz w:val="22"/>
              </w:rPr>
            </w:pPr>
            <w:r w:rsidRPr="00B74A55">
              <w:rPr>
                <w:sz w:val="22"/>
              </w:rPr>
              <w:t>2</w:t>
            </w:r>
            <w:r w:rsidRPr="00B74A55">
              <w:rPr>
                <w:color w:val="000000"/>
                <w:sz w:val="22"/>
              </w:rPr>
              <w:t>500</w:t>
            </w:r>
          </w:p>
        </w:tc>
      </w:tr>
      <w:tr w:rsidR="0001540D" w:rsidRPr="00B74A55" w:rsidTr="004843F9">
        <w:tc>
          <w:tcPr>
            <w:tcW w:w="2978" w:type="dxa"/>
            <w:shd w:val="clear" w:color="auto" w:fill="C6D9F1"/>
          </w:tcPr>
          <w:p w:rsidR="0001540D" w:rsidRPr="00B74A55" w:rsidRDefault="0001540D" w:rsidP="00832B51">
            <w:pPr>
              <w:rPr>
                <w:b/>
                <w:sz w:val="22"/>
              </w:rPr>
            </w:pPr>
            <w:r w:rsidRPr="00B74A55">
              <w:rPr>
                <w:b/>
                <w:sz w:val="22"/>
              </w:rPr>
              <w:t xml:space="preserve">Ключові заходи проекту: </w:t>
            </w:r>
          </w:p>
          <w:p w:rsidR="0001540D" w:rsidRPr="00B74A55" w:rsidRDefault="0001540D" w:rsidP="00832B51">
            <w:pPr>
              <w:pBdr>
                <w:top w:val="nil"/>
                <w:left w:val="nil"/>
                <w:bottom w:val="nil"/>
                <w:right w:val="nil"/>
                <w:between w:val="nil"/>
              </w:pBdr>
              <w:rPr>
                <w:b/>
                <w:color w:val="000000"/>
                <w:sz w:val="22"/>
              </w:rPr>
            </w:pPr>
          </w:p>
        </w:tc>
        <w:tc>
          <w:tcPr>
            <w:tcW w:w="6945" w:type="dxa"/>
            <w:gridSpan w:val="7"/>
          </w:tcPr>
          <w:p w:rsidR="0001540D" w:rsidRPr="00B74A55" w:rsidRDefault="0001540D" w:rsidP="00832B51">
            <w:pPr>
              <w:pBdr>
                <w:top w:val="nil"/>
                <w:left w:val="nil"/>
                <w:bottom w:val="nil"/>
                <w:right w:val="nil"/>
                <w:between w:val="nil"/>
              </w:pBdr>
              <w:rPr>
                <w:sz w:val="22"/>
              </w:rPr>
            </w:pPr>
            <w:r w:rsidRPr="00B74A55">
              <w:rPr>
                <w:sz w:val="22"/>
              </w:rPr>
              <w:lastRenderedPageBreak/>
              <w:t>Захід 1. Обстеження стану будівлі.</w:t>
            </w:r>
          </w:p>
          <w:p w:rsidR="0001540D" w:rsidRPr="00B74A55" w:rsidRDefault="0001540D" w:rsidP="00832B51">
            <w:pPr>
              <w:rPr>
                <w:sz w:val="22"/>
              </w:rPr>
            </w:pPr>
            <w:r w:rsidRPr="00B74A55">
              <w:rPr>
                <w:sz w:val="22"/>
              </w:rPr>
              <w:lastRenderedPageBreak/>
              <w:t>Захід 2. Проведення інвентаризації основних засобів.</w:t>
            </w:r>
          </w:p>
          <w:p w:rsidR="0001540D" w:rsidRPr="00B74A55" w:rsidRDefault="0001540D" w:rsidP="00832B51">
            <w:pPr>
              <w:rPr>
                <w:sz w:val="22"/>
              </w:rPr>
            </w:pPr>
            <w:r w:rsidRPr="00B74A55">
              <w:rPr>
                <w:sz w:val="22"/>
              </w:rPr>
              <w:t>Захід 3. Визначення кількості осіб, які потребують отримання соціальних, освітніх та інших послуг в межах компетенції закладу.</w:t>
            </w:r>
          </w:p>
          <w:p w:rsidR="0001540D" w:rsidRPr="00B74A55" w:rsidRDefault="0001540D" w:rsidP="00832B51">
            <w:pPr>
              <w:rPr>
                <w:sz w:val="22"/>
              </w:rPr>
            </w:pPr>
            <w:r w:rsidRPr="00B74A55">
              <w:rPr>
                <w:sz w:val="22"/>
              </w:rPr>
              <w:t xml:space="preserve">Захід 3. Виготовлення </w:t>
            </w:r>
            <w:proofErr w:type="spellStart"/>
            <w:r w:rsidRPr="00B74A55">
              <w:rPr>
                <w:sz w:val="22"/>
              </w:rPr>
              <w:t>про</w:t>
            </w:r>
            <w:r w:rsidR="00A026AE" w:rsidRPr="00B74A55">
              <w:rPr>
                <w:sz w:val="22"/>
              </w:rPr>
              <w:t>є</w:t>
            </w:r>
            <w:r w:rsidRPr="00B74A55">
              <w:rPr>
                <w:sz w:val="22"/>
              </w:rPr>
              <w:t>ктно</w:t>
            </w:r>
            <w:proofErr w:type="spellEnd"/>
            <w:r w:rsidRPr="00B74A55">
              <w:rPr>
                <w:sz w:val="22"/>
              </w:rPr>
              <w:t>-кошторисної документації.</w:t>
            </w:r>
          </w:p>
          <w:p w:rsidR="0001540D" w:rsidRPr="00B74A55" w:rsidRDefault="0001540D" w:rsidP="00832B51">
            <w:pPr>
              <w:rPr>
                <w:sz w:val="22"/>
              </w:rPr>
            </w:pPr>
            <w:r w:rsidRPr="00B74A55">
              <w:rPr>
                <w:sz w:val="22"/>
              </w:rPr>
              <w:t>Захід 4. Проведення тендерних процедур та підписання необхідних договорів з підрядною організацією на проведення будівельно-монтажних робіт.</w:t>
            </w:r>
          </w:p>
          <w:p w:rsidR="0001540D" w:rsidRPr="00B74A55" w:rsidRDefault="0001540D" w:rsidP="00832B51">
            <w:pPr>
              <w:rPr>
                <w:sz w:val="22"/>
              </w:rPr>
            </w:pPr>
            <w:r w:rsidRPr="00B74A55">
              <w:rPr>
                <w:sz w:val="22"/>
              </w:rPr>
              <w:t xml:space="preserve">Захід 5. Проведення будівельно-монтажних робіт згідно </w:t>
            </w:r>
            <w:proofErr w:type="spellStart"/>
            <w:r w:rsidRPr="00B74A55">
              <w:rPr>
                <w:sz w:val="22"/>
              </w:rPr>
              <w:t>про</w:t>
            </w:r>
            <w:r w:rsidR="00A026AE" w:rsidRPr="00B74A55">
              <w:rPr>
                <w:sz w:val="22"/>
              </w:rPr>
              <w:t>є</w:t>
            </w:r>
            <w:r w:rsidRPr="00B74A55">
              <w:rPr>
                <w:sz w:val="22"/>
              </w:rPr>
              <w:t>ктно</w:t>
            </w:r>
            <w:proofErr w:type="spellEnd"/>
            <w:r w:rsidRPr="00B74A55">
              <w:rPr>
                <w:sz w:val="22"/>
              </w:rPr>
              <w:t>-кошторисної документації.</w:t>
            </w:r>
          </w:p>
          <w:p w:rsidR="0001540D" w:rsidRPr="00B74A55" w:rsidRDefault="0001540D" w:rsidP="00832B51">
            <w:pPr>
              <w:rPr>
                <w:sz w:val="22"/>
              </w:rPr>
            </w:pPr>
            <w:r w:rsidRPr="00B74A55">
              <w:rPr>
                <w:sz w:val="22"/>
              </w:rPr>
              <w:t xml:space="preserve">Захід 6. Придбання технічного та технологічного забезпечення роботи закладу освіти. </w:t>
            </w:r>
          </w:p>
          <w:p w:rsidR="0001540D" w:rsidRPr="00B74A55" w:rsidRDefault="0001540D" w:rsidP="00832B51">
            <w:pPr>
              <w:rPr>
                <w:sz w:val="22"/>
              </w:rPr>
            </w:pPr>
            <w:r w:rsidRPr="00B74A55">
              <w:rPr>
                <w:sz w:val="22"/>
              </w:rPr>
              <w:t>Захід 7. Введення об’єкта будівництва в експлуатацію, організація та початок робочого процесу.</w:t>
            </w:r>
          </w:p>
          <w:p w:rsidR="0001540D" w:rsidRPr="00B74A55" w:rsidRDefault="0001540D" w:rsidP="00832B51">
            <w:pPr>
              <w:rPr>
                <w:sz w:val="22"/>
              </w:rPr>
            </w:pPr>
            <w:r w:rsidRPr="00B74A55">
              <w:rPr>
                <w:sz w:val="22"/>
              </w:rPr>
              <w:t>Захід 8. Інформування громадськості про хід та завершення реалізації проекту.</w:t>
            </w:r>
          </w:p>
        </w:tc>
      </w:tr>
      <w:tr w:rsidR="0001540D" w:rsidRPr="00B74A55" w:rsidTr="00886780">
        <w:trPr>
          <w:trHeight w:val="360"/>
        </w:trPr>
        <w:tc>
          <w:tcPr>
            <w:tcW w:w="2978" w:type="dxa"/>
            <w:vMerge w:val="restart"/>
            <w:shd w:val="clear" w:color="auto" w:fill="C6D9F1"/>
          </w:tcPr>
          <w:p w:rsidR="0001540D" w:rsidRPr="00B74A55" w:rsidRDefault="0001540D" w:rsidP="00832B51">
            <w:pPr>
              <w:pBdr>
                <w:top w:val="nil"/>
                <w:left w:val="nil"/>
                <w:bottom w:val="nil"/>
                <w:right w:val="nil"/>
                <w:between w:val="nil"/>
              </w:pBdr>
              <w:rPr>
                <w:b/>
                <w:color w:val="000000"/>
                <w:sz w:val="22"/>
              </w:rPr>
            </w:pPr>
            <w:r w:rsidRPr="00B74A55">
              <w:rPr>
                <w:b/>
                <w:color w:val="000000"/>
                <w:sz w:val="22"/>
              </w:rPr>
              <w:lastRenderedPageBreak/>
              <w:t xml:space="preserve">Орієнтовний обсяг та джерела фінансування, тис. грн. </w:t>
            </w:r>
          </w:p>
          <w:p w:rsidR="0001540D" w:rsidRPr="00B74A55" w:rsidRDefault="0001540D" w:rsidP="00832B51">
            <w:pPr>
              <w:pBdr>
                <w:top w:val="nil"/>
                <w:left w:val="nil"/>
                <w:bottom w:val="nil"/>
                <w:right w:val="nil"/>
                <w:between w:val="nil"/>
              </w:pBdr>
              <w:rPr>
                <w:b/>
                <w:color w:val="000000"/>
                <w:sz w:val="22"/>
              </w:rPr>
            </w:pPr>
          </w:p>
        </w:tc>
        <w:tc>
          <w:tcPr>
            <w:tcW w:w="1417" w:type="dxa"/>
            <w:tcBorders>
              <w:bottom w:val="single" w:sz="4" w:space="0" w:color="000000"/>
              <w:right w:val="single" w:sz="4" w:space="0" w:color="000000"/>
            </w:tcBorders>
          </w:tcPr>
          <w:p w:rsidR="0001540D" w:rsidRPr="00B74A55" w:rsidRDefault="0001540D" w:rsidP="00832B51">
            <w:pPr>
              <w:pBdr>
                <w:top w:val="nil"/>
                <w:left w:val="nil"/>
                <w:bottom w:val="nil"/>
                <w:right w:val="nil"/>
                <w:between w:val="nil"/>
              </w:pBdr>
              <w:jc w:val="center"/>
              <w:rPr>
                <w:b/>
                <w:color w:val="000000"/>
                <w:sz w:val="22"/>
              </w:rPr>
            </w:pPr>
            <w:r w:rsidRPr="00B74A55">
              <w:rPr>
                <w:b/>
                <w:color w:val="000000"/>
                <w:sz w:val="22"/>
              </w:rPr>
              <w:t>Державний бюджет</w:t>
            </w:r>
          </w:p>
        </w:tc>
        <w:tc>
          <w:tcPr>
            <w:tcW w:w="1276" w:type="dxa"/>
            <w:tcBorders>
              <w:bottom w:val="single" w:sz="4" w:space="0" w:color="000000"/>
              <w:right w:val="single" w:sz="4" w:space="0" w:color="000000"/>
            </w:tcBorders>
          </w:tcPr>
          <w:p w:rsidR="0001540D" w:rsidRPr="00B74A55" w:rsidRDefault="0001540D" w:rsidP="00832B51">
            <w:pPr>
              <w:pBdr>
                <w:top w:val="nil"/>
                <w:left w:val="nil"/>
                <w:bottom w:val="nil"/>
                <w:right w:val="nil"/>
                <w:between w:val="nil"/>
              </w:pBdr>
              <w:jc w:val="center"/>
              <w:rPr>
                <w:b/>
                <w:color w:val="000000"/>
                <w:sz w:val="22"/>
              </w:rPr>
            </w:pPr>
            <w:r w:rsidRPr="00B74A55">
              <w:rPr>
                <w:b/>
                <w:color w:val="000000"/>
                <w:sz w:val="22"/>
              </w:rPr>
              <w:t>Місцевий бюджет</w:t>
            </w:r>
          </w:p>
        </w:tc>
        <w:tc>
          <w:tcPr>
            <w:tcW w:w="2977" w:type="dxa"/>
            <w:gridSpan w:val="4"/>
            <w:tcBorders>
              <w:left w:val="single" w:sz="4" w:space="0" w:color="000000"/>
              <w:bottom w:val="single" w:sz="4" w:space="0" w:color="000000"/>
              <w:right w:val="single" w:sz="4" w:space="0" w:color="000000"/>
            </w:tcBorders>
          </w:tcPr>
          <w:p w:rsidR="0001540D" w:rsidRPr="00B74A55" w:rsidRDefault="0001540D" w:rsidP="00832B51">
            <w:pPr>
              <w:pBdr>
                <w:top w:val="nil"/>
                <w:left w:val="nil"/>
                <w:bottom w:val="nil"/>
                <w:right w:val="nil"/>
                <w:between w:val="nil"/>
              </w:pBdr>
              <w:jc w:val="center"/>
              <w:rPr>
                <w:b/>
                <w:sz w:val="22"/>
              </w:rPr>
            </w:pPr>
            <w:r w:rsidRPr="00B74A55">
              <w:rPr>
                <w:b/>
                <w:sz w:val="22"/>
              </w:rPr>
              <w:t>Інші джерела</w:t>
            </w:r>
          </w:p>
        </w:tc>
        <w:tc>
          <w:tcPr>
            <w:tcW w:w="1275" w:type="dxa"/>
            <w:tcBorders>
              <w:left w:val="single" w:sz="4" w:space="0" w:color="000000"/>
              <w:bottom w:val="single" w:sz="4" w:space="0" w:color="000000"/>
            </w:tcBorders>
          </w:tcPr>
          <w:p w:rsidR="0001540D" w:rsidRPr="00B74A55" w:rsidRDefault="0001540D" w:rsidP="00832B51">
            <w:pPr>
              <w:pBdr>
                <w:top w:val="nil"/>
                <w:left w:val="nil"/>
                <w:bottom w:val="nil"/>
                <w:right w:val="nil"/>
                <w:between w:val="nil"/>
              </w:pBdr>
              <w:jc w:val="center"/>
              <w:rPr>
                <w:b/>
                <w:color w:val="000000"/>
                <w:sz w:val="22"/>
              </w:rPr>
            </w:pPr>
            <w:r w:rsidRPr="00B74A55">
              <w:rPr>
                <w:b/>
                <w:color w:val="000000"/>
                <w:sz w:val="22"/>
              </w:rPr>
              <w:t>Всього</w:t>
            </w:r>
          </w:p>
        </w:tc>
      </w:tr>
      <w:tr w:rsidR="0001540D" w:rsidRPr="00B74A55" w:rsidTr="00886780">
        <w:trPr>
          <w:trHeight w:val="225"/>
        </w:trPr>
        <w:tc>
          <w:tcPr>
            <w:tcW w:w="2978" w:type="dxa"/>
            <w:vMerge/>
            <w:shd w:val="clear" w:color="auto" w:fill="C6D9F1"/>
          </w:tcPr>
          <w:p w:rsidR="0001540D" w:rsidRPr="00B74A55" w:rsidRDefault="0001540D" w:rsidP="00832B51">
            <w:pPr>
              <w:widowControl w:val="0"/>
              <w:pBdr>
                <w:top w:val="nil"/>
                <w:left w:val="nil"/>
                <w:bottom w:val="nil"/>
                <w:right w:val="nil"/>
                <w:between w:val="nil"/>
              </w:pBdr>
              <w:spacing w:line="276" w:lineRule="auto"/>
              <w:rPr>
                <w:b/>
                <w:color w:val="000000"/>
                <w:sz w:val="22"/>
              </w:rPr>
            </w:pPr>
          </w:p>
        </w:tc>
        <w:tc>
          <w:tcPr>
            <w:tcW w:w="1417" w:type="dxa"/>
            <w:vMerge w:val="restart"/>
            <w:tcBorders>
              <w:top w:val="single" w:sz="4" w:space="0" w:color="000000"/>
              <w:right w:val="single" w:sz="4" w:space="0" w:color="000000"/>
            </w:tcBorders>
          </w:tcPr>
          <w:p w:rsidR="0001540D" w:rsidRPr="00B74A55" w:rsidRDefault="0001540D" w:rsidP="00832B51">
            <w:pPr>
              <w:pBdr>
                <w:top w:val="nil"/>
                <w:left w:val="nil"/>
                <w:bottom w:val="nil"/>
                <w:right w:val="nil"/>
                <w:between w:val="nil"/>
              </w:pBdr>
              <w:rPr>
                <w:b/>
                <w:color w:val="000000"/>
                <w:sz w:val="22"/>
              </w:rPr>
            </w:pPr>
            <w:r w:rsidRPr="00B74A55">
              <w:rPr>
                <w:sz w:val="22"/>
              </w:rPr>
              <w:t>125545,0</w:t>
            </w:r>
          </w:p>
        </w:tc>
        <w:tc>
          <w:tcPr>
            <w:tcW w:w="1276" w:type="dxa"/>
            <w:vMerge w:val="restart"/>
            <w:tcBorders>
              <w:top w:val="single" w:sz="4" w:space="0" w:color="000000"/>
              <w:right w:val="single" w:sz="4" w:space="0" w:color="000000"/>
            </w:tcBorders>
          </w:tcPr>
          <w:p w:rsidR="0001540D" w:rsidRPr="00B74A55" w:rsidRDefault="0001540D" w:rsidP="00832B51">
            <w:pPr>
              <w:pBdr>
                <w:top w:val="nil"/>
                <w:left w:val="nil"/>
                <w:bottom w:val="nil"/>
                <w:right w:val="nil"/>
                <w:between w:val="nil"/>
              </w:pBdr>
              <w:jc w:val="center"/>
              <w:rPr>
                <w:b/>
                <w:color w:val="000000"/>
                <w:sz w:val="22"/>
              </w:rPr>
            </w:pPr>
            <w:r w:rsidRPr="00B74A55">
              <w:rPr>
                <w:b/>
                <w:color w:val="000000"/>
                <w:sz w:val="22"/>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01540D" w:rsidRPr="00B74A55" w:rsidRDefault="0001540D" w:rsidP="00832B51">
            <w:pPr>
              <w:pBdr>
                <w:top w:val="nil"/>
                <w:left w:val="nil"/>
                <w:bottom w:val="nil"/>
                <w:right w:val="nil"/>
                <w:between w:val="nil"/>
              </w:pBdr>
              <w:jc w:val="center"/>
              <w:rPr>
                <w:b/>
                <w:color w:val="000000"/>
                <w:sz w:val="22"/>
              </w:rPr>
            </w:pPr>
            <w:r w:rsidRPr="00B74A55">
              <w:rPr>
                <w:b/>
                <w:color w:val="000000"/>
                <w:sz w:val="22"/>
              </w:rPr>
              <w:t>Обсяг</w:t>
            </w:r>
          </w:p>
        </w:tc>
        <w:tc>
          <w:tcPr>
            <w:tcW w:w="1843" w:type="dxa"/>
            <w:gridSpan w:val="2"/>
            <w:tcBorders>
              <w:top w:val="single" w:sz="4" w:space="0" w:color="000000"/>
              <w:left w:val="single" w:sz="4" w:space="0" w:color="000000"/>
              <w:bottom w:val="single" w:sz="4" w:space="0" w:color="000000"/>
              <w:right w:val="single" w:sz="4" w:space="0" w:color="000000"/>
            </w:tcBorders>
          </w:tcPr>
          <w:p w:rsidR="0001540D" w:rsidRPr="00B74A55" w:rsidRDefault="0001540D" w:rsidP="00832B51">
            <w:pPr>
              <w:pBdr>
                <w:top w:val="nil"/>
                <w:left w:val="nil"/>
                <w:bottom w:val="nil"/>
                <w:right w:val="nil"/>
                <w:between w:val="nil"/>
              </w:pBdr>
              <w:jc w:val="center"/>
              <w:rPr>
                <w:b/>
                <w:color w:val="000000"/>
                <w:sz w:val="22"/>
              </w:rPr>
            </w:pPr>
            <w:r w:rsidRPr="00B74A55">
              <w:rPr>
                <w:b/>
                <w:color w:val="000000"/>
                <w:sz w:val="22"/>
              </w:rPr>
              <w:t>Назва джерела</w:t>
            </w:r>
          </w:p>
        </w:tc>
        <w:tc>
          <w:tcPr>
            <w:tcW w:w="1275" w:type="dxa"/>
            <w:vMerge w:val="restart"/>
            <w:tcBorders>
              <w:top w:val="single" w:sz="4" w:space="0" w:color="000000"/>
              <w:left w:val="single" w:sz="4" w:space="0" w:color="000000"/>
            </w:tcBorders>
          </w:tcPr>
          <w:p w:rsidR="0001540D" w:rsidRPr="00B74A55" w:rsidRDefault="0001540D" w:rsidP="00832B51">
            <w:pPr>
              <w:rPr>
                <w:color w:val="000000"/>
                <w:sz w:val="22"/>
              </w:rPr>
            </w:pPr>
            <w:r w:rsidRPr="00B74A55">
              <w:rPr>
                <w:sz w:val="22"/>
              </w:rPr>
              <w:t xml:space="preserve">179 350,0 </w:t>
            </w:r>
          </w:p>
        </w:tc>
      </w:tr>
      <w:tr w:rsidR="0001540D" w:rsidRPr="00B74A55" w:rsidTr="00886780">
        <w:trPr>
          <w:trHeight w:val="300"/>
        </w:trPr>
        <w:tc>
          <w:tcPr>
            <w:tcW w:w="2978" w:type="dxa"/>
            <w:vMerge/>
            <w:shd w:val="clear" w:color="auto" w:fill="C6D9F1"/>
          </w:tcPr>
          <w:p w:rsidR="0001540D" w:rsidRPr="00B74A55" w:rsidRDefault="0001540D" w:rsidP="00832B51">
            <w:pPr>
              <w:widowControl w:val="0"/>
              <w:pBdr>
                <w:top w:val="nil"/>
                <w:left w:val="nil"/>
                <w:bottom w:val="nil"/>
                <w:right w:val="nil"/>
                <w:between w:val="nil"/>
              </w:pBdr>
              <w:spacing w:line="276" w:lineRule="auto"/>
              <w:rPr>
                <w:color w:val="000000"/>
                <w:sz w:val="22"/>
              </w:rPr>
            </w:pPr>
          </w:p>
        </w:tc>
        <w:tc>
          <w:tcPr>
            <w:tcW w:w="1417" w:type="dxa"/>
            <w:vMerge/>
            <w:tcBorders>
              <w:top w:val="single" w:sz="4" w:space="0" w:color="000000"/>
              <w:right w:val="single" w:sz="4" w:space="0" w:color="000000"/>
            </w:tcBorders>
          </w:tcPr>
          <w:p w:rsidR="0001540D" w:rsidRPr="00B74A55" w:rsidRDefault="0001540D" w:rsidP="00832B51">
            <w:pPr>
              <w:widowControl w:val="0"/>
              <w:pBdr>
                <w:top w:val="nil"/>
                <w:left w:val="nil"/>
                <w:bottom w:val="nil"/>
                <w:right w:val="nil"/>
                <w:between w:val="nil"/>
              </w:pBdr>
              <w:spacing w:line="276" w:lineRule="auto"/>
              <w:rPr>
                <w:color w:val="000000"/>
                <w:sz w:val="22"/>
              </w:rPr>
            </w:pPr>
          </w:p>
        </w:tc>
        <w:tc>
          <w:tcPr>
            <w:tcW w:w="1276" w:type="dxa"/>
            <w:vMerge/>
            <w:tcBorders>
              <w:top w:val="single" w:sz="4" w:space="0" w:color="000000"/>
              <w:right w:val="single" w:sz="4" w:space="0" w:color="000000"/>
            </w:tcBorders>
          </w:tcPr>
          <w:p w:rsidR="0001540D" w:rsidRPr="00B74A55" w:rsidRDefault="0001540D" w:rsidP="00832B51">
            <w:pPr>
              <w:widowControl w:val="0"/>
              <w:pBdr>
                <w:top w:val="nil"/>
                <w:left w:val="nil"/>
                <w:bottom w:val="nil"/>
                <w:right w:val="nil"/>
                <w:between w:val="nil"/>
              </w:pBdr>
              <w:spacing w:line="276" w:lineRule="auto"/>
              <w:rPr>
                <w:color w:val="000000"/>
                <w:sz w:val="22"/>
              </w:rPr>
            </w:pPr>
          </w:p>
        </w:tc>
        <w:tc>
          <w:tcPr>
            <w:tcW w:w="1134" w:type="dxa"/>
            <w:gridSpan w:val="2"/>
            <w:tcBorders>
              <w:top w:val="single" w:sz="4" w:space="0" w:color="000000"/>
              <w:left w:val="single" w:sz="4" w:space="0" w:color="000000"/>
              <w:right w:val="single" w:sz="4" w:space="0" w:color="000000"/>
            </w:tcBorders>
          </w:tcPr>
          <w:p w:rsidR="0001540D" w:rsidRPr="00B74A55" w:rsidRDefault="0001540D" w:rsidP="00832B51">
            <w:pPr>
              <w:pBdr>
                <w:top w:val="nil"/>
                <w:left w:val="nil"/>
                <w:bottom w:val="nil"/>
                <w:right w:val="nil"/>
                <w:between w:val="nil"/>
              </w:pBdr>
              <w:jc w:val="center"/>
              <w:rPr>
                <w:b/>
                <w:color w:val="000000"/>
                <w:sz w:val="22"/>
              </w:rPr>
            </w:pPr>
            <w:r w:rsidRPr="00B74A55">
              <w:rPr>
                <w:sz w:val="22"/>
              </w:rPr>
              <w:t xml:space="preserve">53805,0 </w:t>
            </w:r>
          </w:p>
        </w:tc>
        <w:tc>
          <w:tcPr>
            <w:tcW w:w="1843" w:type="dxa"/>
            <w:gridSpan w:val="2"/>
            <w:tcBorders>
              <w:top w:val="single" w:sz="4" w:space="0" w:color="000000"/>
              <w:left w:val="single" w:sz="4" w:space="0" w:color="000000"/>
              <w:right w:val="single" w:sz="4" w:space="0" w:color="000000"/>
            </w:tcBorders>
          </w:tcPr>
          <w:p w:rsidR="0001540D" w:rsidRPr="00B74A55" w:rsidRDefault="0001540D" w:rsidP="00EA656C">
            <w:pPr>
              <w:pBdr>
                <w:top w:val="nil"/>
                <w:left w:val="nil"/>
                <w:bottom w:val="nil"/>
                <w:right w:val="nil"/>
                <w:between w:val="nil"/>
              </w:pBdr>
              <w:jc w:val="center"/>
              <w:rPr>
                <w:color w:val="000000"/>
                <w:sz w:val="22"/>
              </w:rPr>
            </w:pPr>
            <w:r w:rsidRPr="00B74A55">
              <w:rPr>
                <w:color w:val="000000"/>
                <w:sz w:val="22"/>
              </w:rPr>
              <w:t>Міжнародні інвестиції, кошти приватних осіб</w:t>
            </w:r>
          </w:p>
        </w:tc>
        <w:tc>
          <w:tcPr>
            <w:tcW w:w="1275" w:type="dxa"/>
            <w:vMerge/>
            <w:tcBorders>
              <w:top w:val="single" w:sz="4" w:space="0" w:color="000000"/>
              <w:left w:val="single" w:sz="4" w:space="0" w:color="000000"/>
            </w:tcBorders>
          </w:tcPr>
          <w:p w:rsidR="0001540D" w:rsidRPr="00B74A55" w:rsidRDefault="0001540D" w:rsidP="00832B51">
            <w:pPr>
              <w:widowControl w:val="0"/>
              <w:pBdr>
                <w:top w:val="nil"/>
                <w:left w:val="nil"/>
                <w:bottom w:val="nil"/>
                <w:right w:val="nil"/>
                <w:between w:val="nil"/>
              </w:pBdr>
              <w:spacing w:line="276" w:lineRule="auto"/>
              <w:rPr>
                <w:sz w:val="22"/>
              </w:rPr>
            </w:pPr>
          </w:p>
        </w:tc>
      </w:tr>
    </w:tbl>
    <w:p w:rsidR="00CF4B4F" w:rsidRPr="00B74A55" w:rsidRDefault="00CF4B4F" w:rsidP="00E95FB1">
      <w:pPr>
        <w:rPr>
          <w:sz w:val="22"/>
        </w:rPr>
      </w:pPr>
    </w:p>
    <w:p w:rsidR="00EA656C" w:rsidRPr="00B74A55" w:rsidRDefault="00EA656C" w:rsidP="00E95FB1">
      <w:pPr>
        <w:rPr>
          <w:sz w:val="22"/>
        </w:rPr>
      </w:pPr>
    </w:p>
    <w:p w:rsidR="00EA656C" w:rsidRPr="00B74A55" w:rsidRDefault="00EA656C" w:rsidP="00E95FB1">
      <w:pPr>
        <w:rPr>
          <w:sz w:val="22"/>
        </w:rPr>
      </w:pPr>
    </w:p>
    <w:tbl>
      <w:tblPr>
        <w:tblpPr w:leftFromText="180" w:rightFromText="180" w:vertAnchor="text" w:horzAnchor="page" w:tblpX="1" w:tblpY="123"/>
        <w:tblW w:w="11370" w:type="dxa"/>
        <w:tblLayout w:type="fixed"/>
        <w:tblCellMar>
          <w:left w:w="30" w:type="dxa"/>
          <w:right w:w="30" w:type="dxa"/>
        </w:tblCellMar>
        <w:tblLook w:val="0000" w:firstRow="0" w:lastRow="0" w:firstColumn="0" w:lastColumn="0" w:noHBand="0" w:noVBand="0"/>
      </w:tblPr>
      <w:tblGrid>
        <w:gridCol w:w="1448"/>
        <w:gridCol w:w="2977"/>
        <w:gridCol w:w="1275"/>
        <w:gridCol w:w="1418"/>
        <w:gridCol w:w="425"/>
        <w:gridCol w:w="709"/>
        <w:gridCol w:w="992"/>
        <w:gridCol w:w="851"/>
        <w:gridCol w:w="1275"/>
      </w:tblGrid>
      <w:tr w:rsidR="00EA656C" w:rsidRPr="00B74A55" w:rsidTr="004843F9">
        <w:trPr>
          <w:trHeight w:val="555"/>
        </w:trPr>
        <w:tc>
          <w:tcPr>
            <w:tcW w:w="1448" w:type="dxa"/>
            <w:tcBorders>
              <w:top w:val="nil"/>
              <w:left w:val="nil"/>
              <w:bottom w:val="nil"/>
              <w:right w:val="nil"/>
            </w:tcBorders>
          </w:tcPr>
          <w:p w:rsidR="00EA656C" w:rsidRPr="00B74A55" w:rsidRDefault="00EA656C" w:rsidP="00832B51">
            <w:pPr>
              <w:rPr>
                <w:rFonts w:eastAsia="Calibri"/>
                <w:color w:val="000000"/>
                <w:sz w:val="22"/>
              </w:rPr>
            </w:pPr>
          </w:p>
        </w:tc>
        <w:tc>
          <w:tcPr>
            <w:tcW w:w="2977" w:type="dxa"/>
            <w:tcBorders>
              <w:top w:val="single" w:sz="6" w:space="0" w:color="auto"/>
              <w:left w:val="single" w:sz="6" w:space="0" w:color="auto"/>
              <w:right w:val="single" w:sz="6" w:space="0" w:color="auto"/>
            </w:tcBorders>
            <w:shd w:val="clear" w:color="auto" w:fill="C6D9F1" w:themeFill="text2" w:themeFillTint="33"/>
          </w:tcPr>
          <w:p w:rsidR="00EA656C" w:rsidRPr="00B74A55" w:rsidRDefault="00EA656C" w:rsidP="00832B51">
            <w:pPr>
              <w:autoSpaceDE w:val="0"/>
              <w:autoSpaceDN w:val="0"/>
              <w:adjustRightInd w:val="0"/>
              <w:rPr>
                <w:rFonts w:eastAsia="Calibri"/>
                <w:b/>
                <w:color w:val="000000"/>
                <w:sz w:val="22"/>
              </w:rPr>
            </w:pPr>
            <w:r w:rsidRPr="00B74A55">
              <w:rPr>
                <w:rFonts w:eastAsia="Calibri"/>
                <w:b/>
                <w:color w:val="000000"/>
                <w:sz w:val="22"/>
              </w:rPr>
              <w:t>Оперативна ціль/завдання</w:t>
            </w:r>
          </w:p>
        </w:tc>
        <w:tc>
          <w:tcPr>
            <w:tcW w:w="6945" w:type="dxa"/>
            <w:gridSpan w:val="7"/>
            <w:tcBorders>
              <w:top w:val="single" w:sz="4" w:space="0" w:color="auto"/>
              <w:left w:val="single" w:sz="4" w:space="0" w:color="auto"/>
              <w:bottom w:val="single" w:sz="4" w:space="0" w:color="auto"/>
              <w:right w:val="single" w:sz="4" w:space="0" w:color="auto"/>
            </w:tcBorders>
            <w:shd w:val="clear" w:color="auto" w:fill="auto"/>
          </w:tcPr>
          <w:p w:rsidR="00EA656C" w:rsidRPr="00B74A55" w:rsidRDefault="00EA656C" w:rsidP="00832B51">
            <w:pPr>
              <w:rPr>
                <w:color w:val="000000"/>
                <w:sz w:val="22"/>
              </w:rPr>
            </w:pPr>
            <w:r w:rsidRPr="00B74A55">
              <w:rPr>
                <w:color w:val="000000"/>
                <w:sz w:val="22"/>
              </w:rPr>
              <w:t xml:space="preserve">Людський розвиток через інновації управління та довіру до влади. Формування сучасного інклюзивного  </w:t>
            </w:r>
            <w:proofErr w:type="spellStart"/>
            <w:r w:rsidRPr="00B74A55">
              <w:rPr>
                <w:color w:val="000000"/>
                <w:sz w:val="22"/>
              </w:rPr>
              <w:t>освітньо</w:t>
            </w:r>
            <w:proofErr w:type="spellEnd"/>
            <w:r w:rsidRPr="00B74A55">
              <w:rPr>
                <w:color w:val="000000"/>
                <w:sz w:val="22"/>
              </w:rPr>
              <w:t>-культурного та спортивного простору для розвитку</w:t>
            </w:r>
          </w:p>
        </w:tc>
      </w:tr>
      <w:tr w:rsidR="00EA656C" w:rsidRPr="00B74A55" w:rsidTr="004843F9">
        <w:trPr>
          <w:trHeight w:val="691"/>
        </w:trPr>
        <w:tc>
          <w:tcPr>
            <w:tcW w:w="1448" w:type="dxa"/>
            <w:tcBorders>
              <w:top w:val="nil"/>
              <w:left w:val="nil"/>
              <w:bottom w:val="nil"/>
              <w:right w:val="nil"/>
            </w:tcBorders>
          </w:tcPr>
          <w:p w:rsidR="00EA656C" w:rsidRPr="00B74A55" w:rsidRDefault="00EA656C" w:rsidP="00832B51">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right w:val="single" w:sz="6" w:space="0" w:color="auto"/>
            </w:tcBorders>
            <w:shd w:val="clear" w:color="auto" w:fill="C6D9F1" w:themeFill="text2" w:themeFillTint="33"/>
          </w:tcPr>
          <w:p w:rsidR="00EA656C" w:rsidRPr="00B74A55" w:rsidRDefault="00EA656C" w:rsidP="00832B51">
            <w:pPr>
              <w:autoSpaceDE w:val="0"/>
              <w:autoSpaceDN w:val="0"/>
              <w:adjustRightInd w:val="0"/>
              <w:rPr>
                <w:rFonts w:eastAsia="Calibri"/>
                <w:b/>
                <w:color w:val="000000"/>
                <w:sz w:val="22"/>
              </w:rPr>
            </w:pPr>
            <w:r w:rsidRPr="00B74A55">
              <w:rPr>
                <w:rFonts w:eastAsia="Calibri"/>
                <w:b/>
                <w:color w:val="000000"/>
                <w:sz w:val="22"/>
              </w:rPr>
              <w:t>Назва проекту:</w:t>
            </w:r>
          </w:p>
        </w:tc>
        <w:tc>
          <w:tcPr>
            <w:tcW w:w="6945" w:type="dxa"/>
            <w:gridSpan w:val="7"/>
            <w:tcBorders>
              <w:top w:val="single" w:sz="4" w:space="0" w:color="auto"/>
              <w:left w:val="single" w:sz="4" w:space="0" w:color="auto"/>
              <w:bottom w:val="single" w:sz="4" w:space="0" w:color="auto"/>
              <w:right w:val="single" w:sz="4" w:space="0" w:color="auto"/>
            </w:tcBorders>
            <w:shd w:val="clear" w:color="auto" w:fill="auto"/>
          </w:tcPr>
          <w:p w:rsidR="00EA656C" w:rsidRPr="00B74A55" w:rsidRDefault="00EA656C" w:rsidP="00832B51">
            <w:pPr>
              <w:rPr>
                <w:color w:val="000000"/>
                <w:sz w:val="22"/>
              </w:rPr>
            </w:pPr>
            <w:r w:rsidRPr="00B74A55">
              <w:rPr>
                <w:color w:val="000000"/>
                <w:sz w:val="22"/>
              </w:rPr>
              <w:t>Відновлення діяльності Гімназії № 6 міста Сєвєродонецька Луганської області</w:t>
            </w:r>
            <w:r w:rsidRPr="00B74A55">
              <w:rPr>
                <w:sz w:val="22"/>
              </w:rPr>
              <w:t xml:space="preserve"> через створення </w:t>
            </w:r>
            <w:r w:rsidRPr="00B74A55">
              <w:rPr>
                <w:color w:val="000000"/>
                <w:sz w:val="22"/>
              </w:rPr>
              <w:t>сучасного безпечного освітнього простору.</w:t>
            </w:r>
          </w:p>
          <w:p w:rsidR="00EA656C" w:rsidRPr="00B74A55" w:rsidRDefault="00EA656C" w:rsidP="00832B51">
            <w:pPr>
              <w:rPr>
                <w:color w:val="000000"/>
                <w:sz w:val="22"/>
              </w:rPr>
            </w:pPr>
            <w:r w:rsidRPr="00B74A55">
              <w:rPr>
                <w:color w:val="000000"/>
                <w:sz w:val="22"/>
              </w:rPr>
              <w:t>вул. Маяковського, 9, м. Сєвєродонецьк, Сєвєродонецький р-н, Луганська обл.</w:t>
            </w:r>
          </w:p>
        </w:tc>
      </w:tr>
      <w:tr w:rsidR="00EA656C" w:rsidRPr="00B74A55" w:rsidTr="004843F9">
        <w:trPr>
          <w:trHeight w:val="1109"/>
        </w:trPr>
        <w:tc>
          <w:tcPr>
            <w:tcW w:w="1448" w:type="dxa"/>
            <w:tcBorders>
              <w:top w:val="nil"/>
              <w:left w:val="nil"/>
              <w:bottom w:val="nil"/>
              <w:right w:val="nil"/>
            </w:tcBorders>
          </w:tcPr>
          <w:p w:rsidR="00EA656C" w:rsidRPr="00B74A55" w:rsidRDefault="00EA656C" w:rsidP="00832B51">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right w:val="single" w:sz="6" w:space="0" w:color="auto"/>
            </w:tcBorders>
            <w:shd w:val="clear" w:color="auto" w:fill="C6D9F1" w:themeFill="text2" w:themeFillTint="33"/>
          </w:tcPr>
          <w:p w:rsidR="00EA656C" w:rsidRPr="00B74A55" w:rsidRDefault="00EA656C" w:rsidP="00832B51">
            <w:pPr>
              <w:autoSpaceDE w:val="0"/>
              <w:autoSpaceDN w:val="0"/>
              <w:adjustRightInd w:val="0"/>
              <w:rPr>
                <w:rFonts w:eastAsia="Calibri"/>
                <w:b/>
                <w:color w:val="000000"/>
                <w:sz w:val="22"/>
              </w:rPr>
            </w:pPr>
            <w:r w:rsidRPr="00B74A55">
              <w:rPr>
                <w:rFonts w:eastAsia="Calibri"/>
                <w:b/>
                <w:color w:val="000000"/>
                <w:sz w:val="22"/>
              </w:rPr>
              <w:t>Ціль проекту</w:t>
            </w:r>
          </w:p>
        </w:tc>
        <w:tc>
          <w:tcPr>
            <w:tcW w:w="6945" w:type="dxa"/>
            <w:gridSpan w:val="7"/>
            <w:tcBorders>
              <w:top w:val="single" w:sz="4" w:space="0" w:color="auto"/>
              <w:left w:val="single" w:sz="4" w:space="0" w:color="auto"/>
              <w:bottom w:val="single" w:sz="4" w:space="0" w:color="auto"/>
              <w:right w:val="single" w:sz="4" w:space="0" w:color="auto"/>
            </w:tcBorders>
            <w:shd w:val="clear" w:color="auto" w:fill="auto"/>
          </w:tcPr>
          <w:p w:rsidR="00EA656C" w:rsidRPr="00B74A55" w:rsidRDefault="00EA656C" w:rsidP="00832B51">
            <w:pPr>
              <w:rPr>
                <w:color w:val="000000"/>
                <w:sz w:val="22"/>
              </w:rPr>
            </w:pPr>
            <w:r w:rsidRPr="00B74A55">
              <w:rPr>
                <w:color w:val="000000"/>
                <w:sz w:val="22"/>
              </w:rPr>
              <w:t>Створення сучасного безпечного освітнього простору в закладі через закупівлю обладнання для відновлення роботи служби порозуміння «Медіація. Рівний-рівному», центру активної молоді (упровадження моделі ООН), лінгафонного кабінету, кабінетів інформаційних технологій, кабінетів НУШ, ресурсної кімнати, шкільної бібліотеки, медичного кабінету, конференц-зали, ігрових майданчиків.</w:t>
            </w:r>
          </w:p>
        </w:tc>
      </w:tr>
      <w:tr w:rsidR="00EA656C" w:rsidRPr="00B74A55" w:rsidTr="004843F9">
        <w:trPr>
          <w:trHeight w:val="290"/>
        </w:trPr>
        <w:tc>
          <w:tcPr>
            <w:tcW w:w="1448" w:type="dxa"/>
            <w:tcBorders>
              <w:top w:val="nil"/>
              <w:left w:val="nil"/>
              <w:bottom w:val="nil"/>
              <w:right w:val="nil"/>
            </w:tcBorders>
          </w:tcPr>
          <w:p w:rsidR="00EA656C" w:rsidRPr="00B74A55" w:rsidRDefault="00EA656C" w:rsidP="00832B51">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right w:val="single" w:sz="6" w:space="0" w:color="auto"/>
            </w:tcBorders>
            <w:shd w:val="clear" w:color="auto" w:fill="C6D9F1" w:themeFill="text2" w:themeFillTint="33"/>
          </w:tcPr>
          <w:p w:rsidR="00EA656C" w:rsidRPr="00B74A55" w:rsidRDefault="00EA656C" w:rsidP="00832B51">
            <w:pPr>
              <w:autoSpaceDE w:val="0"/>
              <w:autoSpaceDN w:val="0"/>
              <w:adjustRightInd w:val="0"/>
              <w:rPr>
                <w:rFonts w:eastAsia="Calibri"/>
                <w:b/>
                <w:color w:val="000000"/>
                <w:sz w:val="22"/>
              </w:rPr>
            </w:pPr>
            <w:r w:rsidRPr="00B74A55">
              <w:rPr>
                <w:rFonts w:eastAsia="Calibri"/>
                <w:b/>
                <w:color w:val="000000"/>
                <w:sz w:val="22"/>
              </w:rPr>
              <w:t>Територія, на яку матиме вплив реалізація проекту</w:t>
            </w:r>
          </w:p>
        </w:tc>
        <w:tc>
          <w:tcPr>
            <w:tcW w:w="6945" w:type="dxa"/>
            <w:gridSpan w:val="7"/>
            <w:tcBorders>
              <w:top w:val="single" w:sz="6" w:space="0" w:color="auto"/>
              <w:left w:val="single" w:sz="6" w:space="0" w:color="auto"/>
              <w:bottom w:val="single" w:sz="6" w:space="0" w:color="auto"/>
              <w:right w:val="single" w:sz="6" w:space="0" w:color="auto"/>
            </w:tcBorders>
          </w:tcPr>
          <w:p w:rsidR="00EA656C" w:rsidRPr="00B74A55" w:rsidRDefault="00EA656C" w:rsidP="00832B51">
            <w:pPr>
              <w:autoSpaceDE w:val="0"/>
              <w:autoSpaceDN w:val="0"/>
              <w:adjustRightInd w:val="0"/>
              <w:rPr>
                <w:rFonts w:eastAsia="Calibri"/>
                <w:color w:val="000000"/>
                <w:sz w:val="22"/>
              </w:rPr>
            </w:pPr>
            <w:r w:rsidRPr="00B74A55">
              <w:rPr>
                <w:rFonts w:eastAsia="Calibri"/>
                <w:color w:val="000000"/>
                <w:sz w:val="22"/>
              </w:rPr>
              <w:t>Сєвєродонецька міська територіальна громада</w:t>
            </w:r>
          </w:p>
        </w:tc>
      </w:tr>
      <w:tr w:rsidR="00EA656C" w:rsidRPr="00B74A55" w:rsidTr="004843F9">
        <w:trPr>
          <w:trHeight w:val="578"/>
        </w:trPr>
        <w:tc>
          <w:tcPr>
            <w:tcW w:w="1448" w:type="dxa"/>
            <w:tcBorders>
              <w:top w:val="nil"/>
              <w:left w:val="nil"/>
              <w:bottom w:val="nil"/>
              <w:right w:val="nil"/>
            </w:tcBorders>
          </w:tcPr>
          <w:p w:rsidR="00EA656C" w:rsidRPr="00B74A55" w:rsidRDefault="00EA656C" w:rsidP="00832B51">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right w:val="single" w:sz="6" w:space="0" w:color="auto"/>
            </w:tcBorders>
            <w:shd w:val="clear" w:color="auto" w:fill="C6D9F1" w:themeFill="text2" w:themeFillTint="33"/>
          </w:tcPr>
          <w:p w:rsidR="00EA656C" w:rsidRPr="00B74A55" w:rsidRDefault="00EA656C" w:rsidP="00832B51">
            <w:pPr>
              <w:autoSpaceDE w:val="0"/>
              <w:autoSpaceDN w:val="0"/>
              <w:adjustRightInd w:val="0"/>
              <w:rPr>
                <w:rFonts w:eastAsia="Calibri"/>
                <w:b/>
                <w:color w:val="000000"/>
                <w:sz w:val="22"/>
              </w:rPr>
            </w:pPr>
            <w:r w:rsidRPr="00B74A55">
              <w:rPr>
                <w:rFonts w:eastAsia="Calibri"/>
                <w:b/>
                <w:color w:val="000000"/>
                <w:sz w:val="22"/>
              </w:rPr>
              <w:t>Чисельність населення, на яке матиме вплив реалізація проекту</w:t>
            </w:r>
          </w:p>
        </w:tc>
        <w:tc>
          <w:tcPr>
            <w:tcW w:w="6945" w:type="dxa"/>
            <w:gridSpan w:val="7"/>
            <w:tcBorders>
              <w:top w:val="single" w:sz="6" w:space="0" w:color="auto"/>
              <w:left w:val="single" w:sz="6" w:space="0" w:color="auto"/>
              <w:bottom w:val="single" w:sz="6" w:space="0" w:color="auto"/>
              <w:right w:val="single" w:sz="6" w:space="0" w:color="auto"/>
            </w:tcBorders>
          </w:tcPr>
          <w:p w:rsidR="00EA656C" w:rsidRPr="00B74A55" w:rsidRDefault="00EA656C" w:rsidP="00832B51">
            <w:pPr>
              <w:autoSpaceDE w:val="0"/>
              <w:autoSpaceDN w:val="0"/>
              <w:adjustRightInd w:val="0"/>
              <w:rPr>
                <w:rFonts w:eastAsia="Calibri"/>
                <w:color w:val="000000"/>
                <w:sz w:val="22"/>
              </w:rPr>
            </w:pPr>
            <w:r w:rsidRPr="00B74A55">
              <w:rPr>
                <w:rFonts w:eastAsia="Calibri"/>
                <w:color w:val="000000"/>
                <w:sz w:val="22"/>
              </w:rPr>
              <w:t>70 000 осіб</w:t>
            </w:r>
          </w:p>
        </w:tc>
      </w:tr>
      <w:tr w:rsidR="00EA656C" w:rsidRPr="00B74A55" w:rsidTr="004843F9">
        <w:trPr>
          <w:trHeight w:val="558"/>
        </w:trPr>
        <w:tc>
          <w:tcPr>
            <w:tcW w:w="1448" w:type="dxa"/>
            <w:tcBorders>
              <w:top w:val="nil"/>
              <w:left w:val="nil"/>
              <w:bottom w:val="nil"/>
              <w:right w:val="nil"/>
            </w:tcBorders>
          </w:tcPr>
          <w:p w:rsidR="00EA656C" w:rsidRPr="00B74A55" w:rsidRDefault="00EA656C" w:rsidP="00832B51">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right w:val="single" w:sz="6" w:space="0" w:color="auto"/>
            </w:tcBorders>
            <w:shd w:val="clear" w:color="auto" w:fill="C6D9F1" w:themeFill="text2" w:themeFillTint="33"/>
          </w:tcPr>
          <w:p w:rsidR="00EA656C" w:rsidRPr="00B74A55" w:rsidRDefault="00EA656C" w:rsidP="00832B51">
            <w:pPr>
              <w:autoSpaceDE w:val="0"/>
              <w:autoSpaceDN w:val="0"/>
              <w:adjustRightInd w:val="0"/>
              <w:rPr>
                <w:rFonts w:eastAsia="Calibri"/>
                <w:b/>
                <w:color w:val="000000"/>
                <w:sz w:val="22"/>
              </w:rPr>
            </w:pPr>
            <w:r w:rsidRPr="00B74A55">
              <w:rPr>
                <w:rFonts w:eastAsia="Calibri"/>
                <w:b/>
                <w:color w:val="000000"/>
                <w:sz w:val="22"/>
              </w:rPr>
              <w:t>Опис проблеми, на вирішення якої спрямований проект</w:t>
            </w:r>
          </w:p>
        </w:tc>
        <w:tc>
          <w:tcPr>
            <w:tcW w:w="6945" w:type="dxa"/>
            <w:gridSpan w:val="7"/>
            <w:tcBorders>
              <w:top w:val="single" w:sz="6" w:space="0" w:color="auto"/>
              <w:left w:val="single" w:sz="6" w:space="0" w:color="auto"/>
              <w:bottom w:val="single" w:sz="6" w:space="0" w:color="auto"/>
              <w:right w:val="single" w:sz="6" w:space="0" w:color="auto"/>
            </w:tcBorders>
          </w:tcPr>
          <w:p w:rsidR="00EA656C" w:rsidRPr="00B74A55" w:rsidRDefault="00EA656C" w:rsidP="00832B51">
            <w:pPr>
              <w:autoSpaceDE w:val="0"/>
              <w:autoSpaceDN w:val="0"/>
              <w:adjustRightInd w:val="0"/>
              <w:rPr>
                <w:rFonts w:eastAsia="Calibri"/>
                <w:color w:val="000000"/>
                <w:sz w:val="22"/>
              </w:rPr>
            </w:pPr>
            <w:r w:rsidRPr="00B74A55">
              <w:rPr>
                <w:rFonts w:eastAsia="Calibri"/>
                <w:color w:val="000000"/>
                <w:sz w:val="22"/>
              </w:rPr>
              <w:t xml:space="preserve">     На момент повномасштабного вторгнення </w:t>
            </w:r>
            <w:r w:rsidR="002C3012" w:rsidRPr="00B74A55">
              <w:rPr>
                <w:rFonts w:eastAsia="Calibri"/>
                <w:color w:val="000000"/>
                <w:sz w:val="22"/>
              </w:rPr>
              <w:t>РФ</w:t>
            </w:r>
            <w:r w:rsidRPr="00B74A55">
              <w:rPr>
                <w:rFonts w:eastAsia="Calibri"/>
                <w:color w:val="000000"/>
                <w:sz w:val="22"/>
              </w:rPr>
              <w:t xml:space="preserve"> на територію України середня Гімназія № 6 міста Сєвєродонецька Луганської області була сучасним закладом освіти. Свою освітню діяльність заклад тісно пов’язував із упровадженням Концепції Нової української школи. Розбудова безпечного середовища, створення вільного ненасильницького простору в закладі, поширення </w:t>
            </w:r>
            <w:proofErr w:type="spellStart"/>
            <w:r w:rsidRPr="00B74A55">
              <w:rPr>
                <w:rFonts w:eastAsia="Calibri"/>
                <w:color w:val="000000"/>
                <w:sz w:val="22"/>
              </w:rPr>
              <w:t>проєктної</w:t>
            </w:r>
            <w:proofErr w:type="spellEnd"/>
            <w:r w:rsidRPr="00B74A55">
              <w:rPr>
                <w:rFonts w:eastAsia="Calibri"/>
                <w:color w:val="000000"/>
                <w:sz w:val="22"/>
              </w:rPr>
              <w:t xml:space="preserve"> діяльності були пріоритетними напрямками роботи педагогічного колективу та батьків.</w:t>
            </w:r>
          </w:p>
          <w:p w:rsidR="00EA656C" w:rsidRPr="00B74A55" w:rsidRDefault="00EA656C" w:rsidP="00832B51">
            <w:pPr>
              <w:autoSpaceDE w:val="0"/>
              <w:autoSpaceDN w:val="0"/>
              <w:adjustRightInd w:val="0"/>
              <w:rPr>
                <w:rFonts w:eastAsia="Calibri"/>
                <w:color w:val="000000"/>
                <w:sz w:val="22"/>
              </w:rPr>
            </w:pPr>
            <w:r w:rsidRPr="00B74A55">
              <w:rPr>
                <w:rFonts w:eastAsia="Calibri"/>
                <w:color w:val="000000"/>
                <w:sz w:val="22"/>
              </w:rPr>
              <w:t xml:space="preserve">     У школі на той час:</w:t>
            </w:r>
          </w:p>
          <w:p w:rsidR="00EA656C" w:rsidRPr="00B74A55" w:rsidRDefault="00EA656C" w:rsidP="00832B51">
            <w:pPr>
              <w:autoSpaceDE w:val="0"/>
              <w:autoSpaceDN w:val="0"/>
              <w:adjustRightInd w:val="0"/>
              <w:rPr>
                <w:rFonts w:eastAsia="Calibri"/>
                <w:color w:val="000000"/>
                <w:sz w:val="22"/>
              </w:rPr>
            </w:pPr>
            <w:r w:rsidRPr="00B74A55">
              <w:rPr>
                <w:rFonts w:eastAsia="Calibri"/>
                <w:color w:val="000000"/>
                <w:sz w:val="22"/>
              </w:rPr>
              <w:t xml:space="preserve">- працював Центр порозуміння «Ти не один», на базі якого було створено шкільну службу порозуміння «Медіація. Рівний-рівному», організовано </w:t>
            </w:r>
            <w:r w:rsidRPr="00B74A55">
              <w:rPr>
                <w:rFonts w:eastAsia="Calibri"/>
                <w:color w:val="000000"/>
                <w:sz w:val="22"/>
              </w:rPr>
              <w:lastRenderedPageBreak/>
              <w:t xml:space="preserve">роботу студій порозуміння, роботу факультативу «Вирішую конфлікти мирним шляхом, будую мир навколо себе»; </w:t>
            </w:r>
          </w:p>
          <w:p w:rsidR="00EA656C" w:rsidRPr="00B74A55" w:rsidRDefault="00EA656C" w:rsidP="00832B51">
            <w:pPr>
              <w:autoSpaceDE w:val="0"/>
              <w:autoSpaceDN w:val="0"/>
              <w:adjustRightInd w:val="0"/>
              <w:rPr>
                <w:rFonts w:eastAsia="Calibri"/>
                <w:color w:val="000000"/>
                <w:sz w:val="22"/>
              </w:rPr>
            </w:pPr>
            <w:r w:rsidRPr="00B74A55">
              <w:rPr>
                <w:rFonts w:eastAsia="Calibri"/>
                <w:color w:val="000000"/>
                <w:sz w:val="22"/>
              </w:rPr>
              <w:t>- відкрився Центр активної молоді, члени якого активно впроваджували модель ООН у закладі, виступали організаторами учнівського самоврядування - шкільної парламентської республіки «Нова формація»;</w:t>
            </w:r>
          </w:p>
          <w:p w:rsidR="00EA656C" w:rsidRPr="00B74A55" w:rsidRDefault="00EA656C" w:rsidP="00832B51">
            <w:pPr>
              <w:autoSpaceDE w:val="0"/>
              <w:autoSpaceDN w:val="0"/>
              <w:adjustRightInd w:val="0"/>
              <w:rPr>
                <w:rFonts w:eastAsia="Calibri"/>
                <w:color w:val="000000"/>
                <w:sz w:val="22"/>
              </w:rPr>
            </w:pPr>
            <w:r w:rsidRPr="00B74A55">
              <w:rPr>
                <w:rFonts w:eastAsia="Calibri"/>
                <w:color w:val="000000"/>
                <w:sz w:val="22"/>
              </w:rPr>
              <w:t>- у закладі працювали 2 кабінети інформаційних технологій, сучасні кабінети НУШ, лінгафонний кабінет, шкільна бібліотека, ресурсна кімната, кабінет практичного психолога, медичний кабінет;</w:t>
            </w:r>
          </w:p>
          <w:p w:rsidR="00EA656C" w:rsidRPr="00B74A55" w:rsidRDefault="00EA656C" w:rsidP="00832B51">
            <w:pPr>
              <w:autoSpaceDE w:val="0"/>
              <w:autoSpaceDN w:val="0"/>
              <w:adjustRightInd w:val="0"/>
              <w:rPr>
                <w:rFonts w:eastAsia="Calibri"/>
                <w:color w:val="000000"/>
                <w:sz w:val="22"/>
              </w:rPr>
            </w:pPr>
            <w:r w:rsidRPr="00B74A55">
              <w:rPr>
                <w:rFonts w:eastAsia="Calibri"/>
                <w:color w:val="000000"/>
                <w:sz w:val="22"/>
              </w:rPr>
              <w:t xml:space="preserve">- було створено ігрові майданчики, рекреаційні зони.       </w:t>
            </w:r>
          </w:p>
          <w:p w:rsidR="00EA656C" w:rsidRPr="00B74A55" w:rsidRDefault="00EA656C" w:rsidP="00832B51">
            <w:pPr>
              <w:autoSpaceDE w:val="0"/>
              <w:autoSpaceDN w:val="0"/>
              <w:adjustRightInd w:val="0"/>
              <w:rPr>
                <w:rFonts w:eastAsia="Calibri"/>
                <w:color w:val="000000"/>
                <w:sz w:val="22"/>
              </w:rPr>
            </w:pPr>
            <w:r w:rsidRPr="00B74A55">
              <w:rPr>
                <w:rFonts w:eastAsia="Calibri"/>
                <w:color w:val="000000"/>
                <w:sz w:val="22"/>
              </w:rPr>
              <w:t xml:space="preserve">У закладі налічувалось: </w:t>
            </w:r>
          </w:p>
          <w:p w:rsidR="00EA656C" w:rsidRPr="00B74A55" w:rsidRDefault="00EA656C" w:rsidP="00832B51">
            <w:pPr>
              <w:autoSpaceDE w:val="0"/>
              <w:autoSpaceDN w:val="0"/>
              <w:adjustRightInd w:val="0"/>
              <w:rPr>
                <w:rFonts w:eastAsia="Calibri"/>
                <w:color w:val="000000"/>
                <w:sz w:val="22"/>
              </w:rPr>
            </w:pPr>
            <w:r w:rsidRPr="00B74A55">
              <w:rPr>
                <w:rFonts w:eastAsia="Calibri"/>
                <w:color w:val="000000"/>
                <w:sz w:val="22"/>
              </w:rPr>
              <w:t>- 42 персональних комп’ютери;</w:t>
            </w:r>
          </w:p>
          <w:p w:rsidR="00EA656C" w:rsidRPr="00B74A55" w:rsidRDefault="00EA656C" w:rsidP="00832B51">
            <w:pPr>
              <w:autoSpaceDE w:val="0"/>
              <w:autoSpaceDN w:val="0"/>
              <w:adjustRightInd w:val="0"/>
              <w:rPr>
                <w:rFonts w:eastAsia="Calibri"/>
                <w:color w:val="000000"/>
                <w:sz w:val="22"/>
              </w:rPr>
            </w:pPr>
            <w:r w:rsidRPr="00B74A55">
              <w:rPr>
                <w:rFonts w:eastAsia="Calibri"/>
                <w:color w:val="000000"/>
                <w:sz w:val="22"/>
              </w:rPr>
              <w:t>- 22 ноутбуки;</w:t>
            </w:r>
          </w:p>
          <w:p w:rsidR="00EA656C" w:rsidRPr="00B74A55" w:rsidRDefault="00EA656C" w:rsidP="00832B51">
            <w:pPr>
              <w:autoSpaceDE w:val="0"/>
              <w:autoSpaceDN w:val="0"/>
              <w:adjustRightInd w:val="0"/>
              <w:rPr>
                <w:rFonts w:eastAsia="Calibri"/>
                <w:color w:val="000000"/>
                <w:sz w:val="22"/>
              </w:rPr>
            </w:pPr>
            <w:r w:rsidRPr="00B74A55">
              <w:rPr>
                <w:rFonts w:eastAsia="Calibri"/>
                <w:color w:val="000000"/>
                <w:sz w:val="22"/>
              </w:rPr>
              <w:t>- 15 планшетів;</w:t>
            </w:r>
          </w:p>
          <w:p w:rsidR="00EA656C" w:rsidRPr="00B74A55" w:rsidRDefault="00EA656C" w:rsidP="00832B51">
            <w:pPr>
              <w:autoSpaceDE w:val="0"/>
              <w:autoSpaceDN w:val="0"/>
              <w:adjustRightInd w:val="0"/>
              <w:rPr>
                <w:rFonts w:eastAsia="Calibri"/>
                <w:color w:val="000000"/>
                <w:sz w:val="22"/>
              </w:rPr>
            </w:pPr>
            <w:r w:rsidRPr="00B74A55">
              <w:rPr>
                <w:rFonts w:eastAsia="Calibri"/>
                <w:color w:val="000000"/>
                <w:sz w:val="22"/>
              </w:rPr>
              <w:t>- 7 інтерактивних поверхонь з проекторами;</w:t>
            </w:r>
          </w:p>
          <w:p w:rsidR="00EA656C" w:rsidRPr="00B74A55" w:rsidRDefault="00EA656C" w:rsidP="00832B51">
            <w:pPr>
              <w:autoSpaceDE w:val="0"/>
              <w:autoSpaceDN w:val="0"/>
              <w:adjustRightInd w:val="0"/>
              <w:rPr>
                <w:rFonts w:eastAsia="Calibri"/>
                <w:color w:val="000000"/>
                <w:sz w:val="22"/>
              </w:rPr>
            </w:pPr>
            <w:r w:rsidRPr="00B74A55">
              <w:rPr>
                <w:rFonts w:eastAsia="Calibri"/>
                <w:color w:val="000000"/>
                <w:sz w:val="22"/>
              </w:rPr>
              <w:t>- 12 проекторів;</w:t>
            </w:r>
          </w:p>
          <w:p w:rsidR="00EA656C" w:rsidRPr="00B74A55" w:rsidRDefault="00EA656C" w:rsidP="00832B51">
            <w:pPr>
              <w:autoSpaceDE w:val="0"/>
              <w:autoSpaceDN w:val="0"/>
              <w:adjustRightInd w:val="0"/>
              <w:rPr>
                <w:rFonts w:eastAsia="Calibri"/>
                <w:color w:val="000000"/>
                <w:sz w:val="22"/>
              </w:rPr>
            </w:pPr>
            <w:r w:rsidRPr="00B74A55">
              <w:rPr>
                <w:rFonts w:eastAsia="Calibri"/>
                <w:color w:val="000000"/>
                <w:sz w:val="22"/>
              </w:rPr>
              <w:t>- 3 телевізори;</w:t>
            </w:r>
          </w:p>
          <w:p w:rsidR="00EA656C" w:rsidRPr="00B74A55" w:rsidRDefault="00EA656C" w:rsidP="00832B51">
            <w:pPr>
              <w:autoSpaceDE w:val="0"/>
              <w:autoSpaceDN w:val="0"/>
              <w:adjustRightInd w:val="0"/>
              <w:rPr>
                <w:rFonts w:eastAsia="Calibri"/>
                <w:color w:val="000000"/>
                <w:sz w:val="22"/>
              </w:rPr>
            </w:pPr>
            <w:r w:rsidRPr="00B74A55">
              <w:rPr>
                <w:rFonts w:eastAsia="Calibri"/>
                <w:color w:val="000000"/>
                <w:sz w:val="22"/>
              </w:rPr>
              <w:t>- 22 принтери та інша копіювальна техніка;</w:t>
            </w:r>
          </w:p>
          <w:p w:rsidR="00EA656C" w:rsidRPr="00B74A55" w:rsidRDefault="00EA656C" w:rsidP="00832B51">
            <w:pPr>
              <w:autoSpaceDE w:val="0"/>
              <w:autoSpaceDN w:val="0"/>
              <w:adjustRightInd w:val="0"/>
              <w:rPr>
                <w:rFonts w:eastAsia="Calibri"/>
                <w:color w:val="000000"/>
                <w:sz w:val="22"/>
              </w:rPr>
            </w:pPr>
            <w:r w:rsidRPr="00B74A55">
              <w:rPr>
                <w:rFonts w:eastAsia="Calibri"/>
                <w:color w:val="000000"/>
                <w:sz w:val="22"/>
              </w:rPr>
              <w:t xml:space="preserve">- звукове та мультимедійне обладнання для конференц-зали;                                                                                                                                                                                                                                                                                 - сучасні нові меблі в кабінетах. </w:t>
            </w:r>
          </w:p>
          <w:p w:rsidR="00EA656C" w:rsidRPr="00B74A55" w:rsidRDefault="00EA656C" w:rsidP="002C3012">
            <w:pPr>
              <w:autoSpaceDE w:val="0"/>
              <w:autoSpaceDN w:val="0"/>
              <w:adjustRightInd w:val="0"/>
              <w:rPr>
                <w:rFonts w:eastAsia="Calibri"/>
                <w:color w:val="000000"/>
                <w:sz w:val="22"/>
              </w:rPr>
            </w:pPr>
            <w:r w:rsidRPr="00B74A55">
              <w:rPr>
                <w:rFonts w:eastAsia="Calibri"/>
                <w:color w:val="000000"/>
                <w:sz w:val="22"/>
              </w:rPr>
              <w:t xml:space="preserve">     Сьогодні Гімназія № 6 працює дистанційно </w:t>
            </w:r>
            <w:r w:rsidR="002C3012" w:rsidRPr="00B74A55">
              <w:rPr>
                <w:rFonts w:eastAsia="Calibri"/>
                <w:color w:val="000000"/>
                <w:sz w:val="22"/>
              </w:rPr>
              <w:t>через</w:t>
            </w:r>
            <w:r w:rsidRPr="00B74A55">
              <w:rPr>
                <w:rFonts w:eastAsia="Calibri"/>
                <w:color w:val="000000"/>
                <w:sz w:val="22"/>
              </w:rPr>
              <w:t xml:space="preserve"> тимчасов</w:t>
            </w:r>
            <w:r w:rsidR="002C3012" w:rsidRPr="00B74A55">
              <w:rPr>
                <w:rFonts w:eastAsia="Calibri"/>
                <w:color w:val="000000"/>
                <w:sz w:val="22"/>
              </w:rPr>
              <w:t>у</w:t>
            </w:r>
            <w:r w:rsidRPr="00B74A55">
              <w:rPr>
                <w:rFonts w:eastAsia="Calibri"/>
                <w:color w:val="000000"/>
                <w:sz w:val="22"/>
              </w:rPr>
              <w:t xml:space="preserve"> окупаці</w:t>
            </w:r>
            <w:r w:rsidR="002C3012" w:rsidRPr="00B74A55">
              <w:rPr>
                <w:rFonts w:eastAsia="Calibri"/>
                <w:color w:val="000000"/>
                <w:sz w:val="22"/>
              </w:rPr>
              <w:t>ю</w:t>
            </w:r>
            <w:r w:rsidRPr="00B74A55">
              <w:rPr>
                <w:rFonts w:eastAsia="Calibri"/>
                <w:color w:val="000000"/>
                <w:sz w:val="22"/>
              </w:rPr>
              <w:t xml:space="preserve"> Сєвєродонецька, немає доступу до приміщення закладу, більша частина техніки зникла. Отже, проблема полягає в тому, що після </w:t>
            </w:r>
            <w:proofErr w:type="spellStart"/>
            <w:r w:rsidRPr="00B74A55">
              <w:rPr>
                <w:rFonts w:eastAsia="Calibri"/>
                <w:color w:val="000000"/>
                <w:sz w:val="22"/>
              </w:rPr>
              <w:t>деокупації</w:t>
            </w:r>
            <w:proofErr w:type="spellEnd"/>
            <w:r w:rsidRPr="00B74A55">
              <w:rPr>
                <w:rFonts w:eastAsia="Calibri"/>
                <w:color w:val="000000"/>
                <w:sz w:val="22"/>
              </w:rPr>
              <w:t xml:space="preserve"> Луганської області необхідно буде відновити діяльність школи через створення сучасного безпечного освітнього простору. А для цього необхідно провести закупівлю обладнання для відновлення роботи служби порозуміння «Медіація. Рівний-рівному», центру активної молоді (упровадження моделі ООН), лінгафонного кабінету, кабінетів інформаційних технологій, кабінетів НУШ, ресурсної кімнати, шкільної бібліотеки, медичного кабінету, конференц-зали, ігрових майданчиків.</w:t>
            </w:r>
          </w:p>
        </w:tc>
      </w:tr>
      <w:tr w:rsidR="00EA656C" w:rsidRPr="00B74A55" w:rsidTr="004843F9">
        <w:trPr>
          <w:trHeight w:val="1265"/>
        </w:trPr>
        <w:tc>
          <w:tcPr>
            <w:tcW w:w="1448" w:type="dxa"/>
            <w:tcBorders>
              <w:top w:val="nil"/>
              <w:left w:val="nil"/>
              <w:bottom w:val="nil"/>
              <w:right w:val="nil"/>
            </w:tcBorders>
          </w:tcPr>
          <w:p w:rsidR="00EA656C" w:rsidRPr="00B74A55" w:rsidRDefault="00EA656C" w:rsidP="00832B51">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right w:val="single" w:sz="6" w:space="0" w:color="auto"/>
            </w:tcBorders>
            <w:shd w:val="clear" w:color="auto" w:fill="C6D9F1" w:themeFill="text2" w:themeFillTint="33"/>
          </w:tcPr>
          <w:p w:rsidR="00EA656C" w:rsidRPr="00B74A55" w:rsidRDefault="00EA656C" w:rsidP="00832B51">
            <w:pPr>
              <w:autoSpaceDE w:val="0"/>
              <w:autoSpaceDN w:val="0"/>
              <w:adjustRightInd w:val="0"/>
              <w:rPr>
                <w:rFonts w:eastAsia="Calibri"/>
                <w:b/>
                <w:color w:val="000000"/>
                <w:sz w:val="22"/>
              </w:rPr>
            </w:pPr>
            <w:r w:rsidRPr="00B74A55">
              <w:rPr>
                <w:rFonts w:eastAsia="Calibri"/>
                <w:b/>
                <w:color w:val="000000"/>
                <w:sz w:val="22"/>
              </w:rPr>
              <w:t>Очікувані якісні результати від реалізації проекту</w:t>
            </w:r>
          </w:p>
        </w:tc>
        <w:tc>
          <w:tcPr>
            <w:tcW w:w="6945" w:type="dxa"/>
            <w:gridSpan w:val="7"/>
            <w:tcBorders>
              <w:top w:val="single" w:sz="6" w:space="0" w:color="auto"/>
              <w:left w:val="single" w:sz="6" w:space="0" w:color="auto"/>
              <w:bottom w:val="single" w:sz="6" w:space="0" w:color="auto"/>
              <w:right w:val="single" w:sz="6" w:space="0" w:color="auto"/>
            </w:tcBorders>
          </w:tcPr>
          <w:p w:rsidR="00EA656C" w:rsidRPr="00B74A55" w:rsidRDefault="00EA656C" w:rsidP="00832B51">
            <w:pPr>
              <w:autoSpaceDE w:val="0"/>
              <w:autoSpaceDN w:val="0"/>
              <w:adjustRightInd w:val="0"/>
              <w:rPr>
                <w:rFonts w:eastAsia="Calibri"/>
                <w:color w:val="000000"/>
                <w:sz w:val="22"/>
              </w:rPr>
            </w:pPr>
            <w:r w:rsidRPr="00B74A55">
              <w:rPr>
                <w:rFonts w:eastAsia="Calibri"/>
                <w:color w:val="000000"/>
                <w:sz w:val="22"/>
              </w:rPr>
              <w:t xml:space="preserve">     Як результат: у закладі буде створено умови для поновлення організації освітнього процесу </w:t>
            </w:r>
            <w:proofErr w:type="spellStart"/>
            <w:r w:rsidRPr="00B74A55">
              <w:rPr>
                <w:rFonts w:eastAsia="Calibri"/>
                <w:color w:val="000000"/>
                <w:sz w:val="22"/>
              </w:rPr>
              <w:t>офлайн</w:t>
            </w:r>
            <w:proofErr w:type="spellEnd"/>
            <w:r w:rsidRPr="00B74A55">
              <w:rPr>
                <w:rFonts w:eastAsia="Calibri"/>
                <w:color w:val="000000"/>
                <w:sz w:val="22"/>
              </w:rPr>
              <w:t xml:space="preserve"> відповідно до Концепції НУШ. </w:t>
            </w:r>
            <w:proofErr w:type="spellStart"/>
            <w:r w:rsidRPr="00B74A55">
              <w:rPr>
                <w:rFonts w:eastAsia="Calibri"/>
                <w:color w:val="000000"/>
                <w:sz w:val="22"/>
              </w:rPr>
              <w:t>Проєкт</w:t>
            </w:r>
            <w:proofErr w:type="spellEnd"/>
            <w:r w:rsidRPr="00B74A55">
              <w:rPr>
                <w:rFonts w:eastAsia="Calibri"/>
                <w:color w:val="000000"/>
                <w:sz w:val="22"/>
              </w:rPr>
              <w:t xml:space="preserve"> «Новому поколінню – сучасні можливості» - це поштовх не тільки для відновлення освітнього простору закладу, а й сучасний розвиток, що буде мати продовження в наступних </w:t>
            </w:r>
            <w:proofErr w:type="spellStart"/>
            <w:r w:rsidRPr="00B74A55">
              <w:rPr>
                <w:rFonts w:eastAsia="Calibri"/>
                <w:color w:val="000000"/>
                <w:sz w:val="22"/>
              </w:rPr>
              <w:t>проєктах</w:t>
            </w:r>
            <w:proofErr w:type="spellEnd"/>
            <w:r w:rsidRPr="00B74A55">
              <w:rPr>
                <w:rFonts w:eastAsia="Calibri"/>
                <w:color w:val="000000"/>
                <w:sz w:val="22"/>
              </w:rPr>
              <w:t xml:space="preserve">: «Медіація: відновлюємо стосунки в громаді», «Нова формація - новий вимір», проведення рольової гри «Модель ООН», міська гра «Вивчай англійську - спілкуйся по-сучасному», «Сучасна культура спілкування в </w:t>
            </w:r>
            <w:proofErr w:type="spellStart"/>
            <w:r w:rsidRPr="00B74A55">
              <w:rPr>
                <w:rFonts w:eastAsia="Calibri"/>
                <w:color w:val="000000"/>
                <w:sz w:val="22"/>
              </w:rPr>
              <w:t>Інтеренті</w:t>
            </w:r>
            <w:proofErr w:type="spellEnd"/>
            <w:r w:rsidRPr="00B74A55">
              <w:rPr>
                <w:rFonts w:eastAsia="Calibri"/>
                <w:color w:val="000000"/>
                <w:sz w:val="22"/>
              </w:rPr>
              <w:t>», «Шкільна бібліотека: трансформуємося».</w:t>
            </w:r>
          </w:p>
        </w:tc>
      </w:tr>
      <w:tr w:rsidR="00EA656C" w:rsidRPr="00B74A55" w:rsidTr="004843F9">
        <w:trPr>
          <w:trHeight w:val="433"/>
        </w:trPr>
        <w:tc>
          <w:tcPr>
            <w:tcW w:w="1448" w:type="dxa"/>
            <w:tcBorders>
              <w:top w:val="nil"/>
              <w:left w:val="nil"/>
              <w:bottom w:val="nil"/>
              <w:right w:val="nil"/>
            </w:tcBorders>
          </w:tcPr>
          <w:p w:rsidR="00EA656C" w:rsidRPr="00B74A55" w:rsidRDefault="00EA656C" w:rsidP="00832B51">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right w:val="single" w:sz="6" w:space="0" w:color="auto"/>
            </w:tcBorders>
            <w:shd w:val="clear" w:color="auto" w:fill="C6D9F1" w:themeFill="text2" w:themeFillTint="33"/>
          </w:tcPr>
          <w:p w:rsidR="00EA656C" w:rsidRPr="00B74A55" w:rsidRDefault="00EA656C" w:rsidP="00832B51">
            <w:pPr>
              <w:autoSpaceDE w:val="0"/>
              <w:autoSpaceDN w:val="0"/>
              <w:adjustRightInd w:val="0"/>
              <w:rPr>
                <w:rFonts w:eastAsia="Calibri"/>
                <w:b/>
                <w:color w:val="000000"/>
                <w:sz w:val="22"/>
              </w:rPr>
            </w:pPr>
            <w:r w:rsidRPr="00B74A55">
              <w:rPr>
                <w:rFonts w:eastAsia="Calibri"/>
                <w:b/>
                <w:color w:val="000000"/>
                <w:sz w:val="22"/>
              </w:rPr>
              <w:t>Очікувані кількісні результати від реалізації проекту  (індикатори)</w:t>
            </w:r>
          </w:p>
        </w:tc>
        <w:tc>
          <w:tcPr>
            <w:tcW w:w="3118" w:type="dxa"/>
            <w:gridSpan w:val="3"/>
            <w:tcBorders>
              <w:top w:val="single" w:sz="6" w:space="0" w:color="auto"/>
              <w:left w:val="single" w:sz="6" w:space="0" w:color="auto"/>
              <w:bottom w:val="single" w:sz="6" w:space="0" w:color="auto"/>
              <w:right w:val="single" w:sz="6" w:space="0" w:color="auto"/>
            </w:tcBorders>
          </w:tcPr>
          <w:p w:rsidR="00EA656C" w:rsidRPr="00B74A55" w:rsidRDefault="00EA656C" w:rsidP="00832B51">
            <w:pPr>
              <w:autoSpaceDE w:val="0"/>
              <w:autoSpaceDN w:val="0"/>
              <w:adjustRightInd w:val="0"/>
              <w:jc w:val="center"/>
              <w:rPr>
                <w:rFonts w:eastAsia="Calibri"/>
                <w:b/>
                <w:color w:val="000000"/>
                <w:sz w:val="22"/>
              </w:rPr>
            </w:pPr>
            <w:r w:rsidRPr="00B74A55">
              <w:rPr>
                <w:rFonts w:eastAsia="Calibri"/>
                <w:b/>
                <w:color w:val="000000"/>
                <w:sz w:val="22"/>
              </w:rPr>
              <w:t>Найменування показника</w:t>
            </w:r>
          </w:p>
        </w:tc>
        <w:tc>
          <w:tcPr>
            <w:tcW w:w="1701" w:type="dxa"/>
            <w:gridSpan w:val="2"/>
            <w:tcBorders>
              <w:top w:val="single" w:sz="6" w:space="0" w:color="auto"/>
              <w:left w:val="single" w:sz="6" w:space="0" w:color="auto"/>
              <w:bottom w:val="single" w:sz="6" w:space="0" w:color="auto"/>
              <w:right w:val="single" w:sz="6" w:space="0" w:color="auto"/>
            </w:tcBorders>
          </w:tcPr>
          <w:p w:rsidR="00EA656C" w:rsidRPr="00B74A55" w:rsidRDefault="00EA656C" w:rsidP="00832B51">
            <w:pPr>
              <w:autoSpaceDE w:val="0"/>
              <w:autoSpaceDN w:val="0"/>
              <w:adjustRightInd w:val="0"/>
              <w:jc w:val="center"/>
              <w:rPr>
                <w:rFonts w:eastAsia="Calibri"/>
                <w:b/>
                <w:color w:val="000000"/>
                <w:sz w:val="22"/>
              </w:rPr>
            </w:pPr>
            <w:r w:rsidRPr="00B74A55">
              <w:rPr>
                <w:rFonts w:eastAsia="Calibri"/>
                <w:b/>
                <w:color w:val="000000"/>
                <w:sz w:val="22"/>
              </w:rPr>
              <w:t>Одиниця вимірювання</w:t>
            </w:r>
          </w:p>
        </w:tc>
        <w:tc>
          <w:tcPr>
            <w:tcW w:w="2126" w:type="dxa"/>
            <w:gridSpan w:val="2"/>
            <w:tcBorders>
              <w:top w:val="single" w:sz="6" w:space="0" w:color="auto"/>
              <w:left w:val="single" w:sz="6" w:space="0" w:color="auto"/>
              <w:bottom w:val="single" w:sz="6" w:space="0" w:color="auto"/>
              <w:right w:val="single" w:sz="6" w:space="0" w:color="auto"/>
            </w:tcBorders>
          </w:tcPr>
          <w:p w:rsidR="00EA656C" w:rsidRPr="00B74A55" w:rsidRDefault="00EA656C" w:rsidP="00832B51">
            <w:pPr>
              <w:autoSpaceDE w:val="0"/>
              <w:autoSpaceDN w:val="0"/>
              <w:adjustRightInd w:val="0"/>
              <w:jc w:val="center"/>
              <w:rPr>
                <w:rFonts w:eastAsia="Calibri"/>
                <w:b/>
                <w:color w:val="000000"/>
                <w:sz w:val="22"/>
              </w:rPr>
            </w:pPr>
            <w:r w:rsidRPr="00B74A55">
              <w:rPr>
                <w:rFonts w:eastAsia="Calibri"/>
                <w:b/>
                <w:color w:val="000000"/>
                <w:sz w:val="22"/>
              </w:rPr>
              <w:t>Прогнозне (цільове) значення</w:t>
            </w:r>
          </w:p>
        </w:tc>
      </w:tr>
      <w:tr w:rsidR="00EA656C" w:rsidRPr="00B74A55" w:rsidTr="004843F9">
        <w:trPr>
          <w:trHeight w:val="252"/>
        </w:trPr>
        <w:tc>
          <w:tcPr>
            <w:tcW w:w="1448" w:type="dxa"/>
            <w:vMerge w:val="restart"/>
            <w:tcBorders>
              <w:top w:val="nil"/>
              <w:left w:val="nil"/>
              <w:right w:val="nil"/>
            </w:tcBorders>
          </w:tcPr>
          <w:p w:rsidR="00EA656C" w:rsidRPr="00B74A55" w:rsidRDefault="00EA656C" w:rsidP="00832B51">
            <w:pPr>
              <w:autoSpaceDE w:val="0"/>
              <w:autoSpaceDN w:val="0"/>
              <w:adjustRightInd w:val="0"/>
              <w:jc w:val="right"/>
              <w:rPr>
                <w:rFonts w:eastAsia="Calibri"/>
                <w:color w:val="000000"/>
                <w:sz w:val="22"/>
              </w:rPr>
            </w:pPr>
          </w:p>
        </w:tc>
        <w:tc>
          <w:tcPr>
            <w:tcW w:w="2977" w:type="dxa"/>
            <w:vMerge w:val="restart"/>
            <w:tcBorders>
              <w:top w:val="single" w:sz="6" w:space="0" w:color="auto"/>
              <w:left w:val="single" w:sz="6" w:space="0" w:color="auto"/>
              <w:right w:val="single" w:sz="6" w:space="0" w:color="auto"/>
            </w:tcBorders>
            <w:shd w:val="clear" w:color="auto" w:fill="C6D9F1" w:themeFill="text2" w:themeFillTint="33"/>
          </w:tcPr>
          <w:p w:rsidR="00EA656C" w:rsidRPr="00B74A55" w:rsidRDefault="00EA656C" w:rsidP="00832B51">
            <w:pPr>
              <w:autoSpaceDE w:val="0"/>
              <w:autoSpaceDN w:val="0"/>
              <w:adjustRightInd w:val="0"/>
              <w:rPr>
                <w:rFonts w:eastAsia="Calibri"/>
                <w:b/>
                <w:color w:val="000000"/>
                <w:sz w:val="22"/>
              </w:rPr>
            </w:pP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rsidR="00EA656C" w:rsidRPr="00B74A55" w:rsidRDefault="00EA656C" w:rsidP="00832B51">
            <w:pPr>
              <w:rPr>
                <w:color w:val="000000"/>
                <w:sz w:val="22"/>
              </w:rPr>
            </w:pPr>
            <w:r w:rsidRPr="00B74A55">
              <w:rPr>
                <w:color w:val="000000"/>
                <w:sz w:val="22"/>
              </w:rPr>
              <w:t xml:space="preserve">Кількісний склад </w:t>
            </w:r>
            <w:proofErr w:type="spellStart"/>
            <w:r w:rsidRPr="00B74A55">
              <w:rPr>
                <w:color w:val="000000"/>
                <w:sz w:val="22"/>
              </w:rPr>
              <w:t>проєкту</w:t>
            </w:r>
            <w:proofErr w:type="spellEnd"/>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EA656C" w:rsidRPr="00B74A55" w:rsidRDefault="00EA656C" w:rsidP="00832B51">
            <w:pPr>
              <w:jc w:val="center"/>
              <w:rPr>
                <w:color w:val="000000"/>
                <w:sz w:val="22"/>
              </w:rPr>
            </w:pPr>
            <w:r w:rsidRPr="00B74A55">
              <w:rPr>
                <w:color w:val="000000"/>
                <w:sz w:val="22"/>
              </w:rPr>
              <w:t>осіб</w:t>
            </w:r>
          </w:p>
        </w:tc>
        <w:tc>
          <w:tcPr>
            <w:tcW w:w="2126" w:type="dxa"/>
            <w:gridSpan w:val="2"/>
            <w:tcBorders>
              <w:top w:val="single" w:sz="4" w:space="0" w:color="auto"/>
              <w:left w:val="nil"/>
              <w:bottom w:val="single" w:sz="4" w:space="0" w:color="auto"/>
              <w:right w:val="single" w:sz="4" w:space="0" w:color="000000"/>
            </w:tcBorders>
            <w:shd w:val="clear" w:color="auto" w:fill="auto"/>
          </w:tcPr>
          <w:p w:rsidR="00EA656C" w:rsidRPr="00B74A55" w:rsidRDefault="00EA656C" w:rsidP="00832B51">
            <w:pPr>
              <w:rPr>
                <w:color w:val="000000"/>
                <w:sz w:val="22"/>
              </w:rPr>
            </w:pPr>
            <w:r w:rsidRPr="00B74A55">
              <w:rPr>
                <w:color w:val="000000"/>
                <w:sz w:val="22"/>
              </w:rPr>
              <w:t xml:space="preserve">20 </w:t>
            </w:r>
          </w:p>
          <w:p w:rsidR="00EA656C" w:rsidRPr="00B74A55" w:rsidRDefault="00EA656C" w:rsidP="00832B51">
            <w:pPr>
              <w:rPr>
                <w:color w:val="000000"/>
                <w:sz w:val="22"/>
              </w:rPr>
            </w:pPr>
            <w:r w:rsidRPr="00B74A55">
              <w:rPr>
                <w:color w:val="000000"/>
                <w:sz w:val="22"/>
              </w:rPr>
              <w:t xml:space="preserve">(Реалізація </w:t>
            </w:r>
            <w:proofErr w:type="spellStart"/>
            <w:r w:rsidRPr="00B74A55">
              <w:rPr>
                <w:color w:val="000000"/>
                <w:sz w:val="22"/>
              </w:rPr>
              <w:t>проєкту</w:t>
            </w:r>
            <w:proofErr w:type="spellEnd"/>
            <w:r w:rsidRPr="00B74A55">
              <w:rPr>
                <w:color w:val="000000"/>
                <w:sz w:val="22"/>
              </w:rPr>
              <w:t xml:space="preserve">, проведення заходів в межах </w:t>
            </w:r>
            <w:proofErr w:type="spellStart"/>
            <w:r w:rsidRPr="00B74A55">
              <w:rPr>
                <w:color w:val="000000"/>
                <w:sz w:val="22"/>
              </w:rPr>
              <w:t>проєкту</w:t>
            </w:r>
            <w:proofErr w:type="spellEnd"/>
            <w:r w:rsidRPr="00B74A55">
              <w:rPr>
                <w:color w:val="000000"/>
                <w:sz w:val="22"/>
              </w:rPr>
              <w:t>)</w:t>
            </w:r>
          </w:p>
        </w:tc>
      </w:tr>
      <w:tr w:rsidR="00EA656C" w:rsidRPr="00B74A55" w:rsidTr="004843F9">
        <w:trPr>
          <w:trHeight w:val="252"/>
        </w:trPr>
        <w:tc>
          <w:tcPr>
            <w:tcW w:w="1448" w:type="dxa"/>
            <w:vMerge/>
            <w:tcBorders>
              <w:left w:val="nil"/>
              <w:right w:val="nil"/>
            </w:tcBorders>
          </w:tcPr>
          <w:p w:rsidR="00EA656C" w:rsidRPr="00B74A55" w:rsidRDefault="00EA656C" w:rsidP="00832B51">
            <w:pPr>
              <w:autoSpaceDE w:val="0"/>
              <w:autoSpaceDN w:val="0"/>
              <w:adjustRightInd w:val="0"/>
              <w:jc w:val="right"/>
              <w:rPr>
                <w:rFonts w:eastAsia="Calibri"/>
                <w:color w:val="000000"/>
                <w:sz w:val="22"/>
              </w:rPr>
            </w:pPr>
          </w:p>
        </w:tc>
        <w:tc>
          <w:tcPr>
            <w:tcW w:w="2977" w:type="dxa"/>
            <w:vMerge/>
            <w:tcBorders>
              <w:left w:val="single" w:sz="6" w:space="0" w:color="auto"/>
              <w:right w:val="single" w:sz="6" w:space="0" w:color="auto"/>
            </w:tcBorders>
            <w:shd w:val="clear" w:color="auto" w:fill="C6D9F1" w:themeFill="text2" w:themeFillTint="33"/>
          </w:tcPr>
          <w:p w:rsidR="00EA656C" w:rsidRPr="00B74A55" w:rsidRDefault="00EA656C" w:rsidP="00832B51">
            <w:pPr>
              <w:autoSpaceDE w:val="0"/>
              <w:autoSpaceDN w:val="0"/>
              <w:adjustRightInd w:val="0"/>
              <w:rPr>
                <w:rFonts w:eastAsia="Calibri"/>
                <w:b/>
                <w:color w:val="000000"/>
                <w:sz w:val="22"/>
              </w:rPr>
            </w:pPr>
          </w:p>
        </w:tc>
        <w:tc>
          <w:tcPr>
            <w:tcW w:w="3118" w:type="dxa"/>
            <w:gridSpan w:val="3"/>
            <w:tcBorders>
              <w:top w:val="nil"/>
              <w:left w:val="single" w:sz="4" w:space="0" w:color="auto"/>
              <w:bottom w:val="single" w:sz="4" w:space="0" w:color="auto"/>
              <w:right w:val="single" w:sz="4" w:space="0" w:color="auto"/>
            </w:tcBorders>
            <w:shd w:val="clear" w:color="auto" w:fill="auto"/>
          </w:tcPr>
          <w:p w:rsidR="00EA656C" w:rsidRPr="00B74A55" w:rsidRDefault="00EA656C" w:rsidP="00832B51">
            <w:pPr>
              <w:rPr>
                <w:sz w:val="22"/>
              </w:rPr>
            </w:pPr>
            <w:r w:rsidRPr="00B74A55">
              <w:rPr>
                <w:sz w:val="22"/>
              </w:rPr>
              <w:t>Круглі столи в межах рекламної кампанії</w:t>
            </w:r>
          </w:p>
        </w:tc>
        <w:tc>
          <w:tcPr>
            <w:tcW w:w="1701" w:type="dxa"/>
            <w:gridSpan w:val="2"/>
            <w:tcBorders>
              <w:top w:val="nil"/>
              <w:left w:val="nil"/>
              <w:bottom w:val="single" w:sz="4" w:space="0" w:color="auto"/>
              <w:right w:val="single" w:sz="4" w:space="0" w:color="auto"/>
            </w:tcBorders>
            <w:shd w:val="clear" w:color="auto" w:fill="auto"/>
          </w:tcPr>
          <w:p w:rsidR="00EA656C" w:rsidRPr="00B74A55" w:rsidRDefault="00EA656C" w:rsidP="00832B51">
            <w:pPr>
              <w:jc w:val="center"/>
              <w:rPr>
                <w:sz w:val="22"/>
              </w:rPr>
            </w:pPr>
            <w:r w:rsidRPr="00B74A55">
              <w:rPr>
                <w:sz w:val="22"/>
              </w:rPr>
              <w:t>одиниць</w:t>
            </w:r>
          </w:p>
        </w:tc>
        <w:tc>
          <w:tcPr>
            <w:tcW w:w="2126" w:type="dxa"/>
            <w:gridSpan w:val="2"/>
            <w:tcBorders>
              <w:top w:val="single" w:sz="4" w:space="0" w:color="auto"/>
              <w:left w:val="nil"/>
              <w:bottom w:val="single" w:sz="4" w:space="0" w:color="auto"/>
              <w:right w:val="single" w:sz="4" w:space="0" w:color="auto"/>
            </w:tcBorders>
            <w:shd w:val="clear" w:color="auto" w:fill="auto"/>
          </w:tcPr>
          <w:p w:rsidR="00EA656C" w:rsidRPr="00B74A55" w:rsidRDefault="00EA656C" w:rsidP="00832B51">
            <w:pPr>
              <w:rPr>
                <w:sz w:val="22"/>
              </w:rPr>
            </w:pPr>
            <w:r w:rsidRPr="00B74A55">
              <w:rPr>
                <w:sz w:val="22"/>
              </w:rPr>
              <w:t>2</w:t>
            </w:r>
          </w:p>
          <w:p w:rsidR="00EA656C" w:rsidRPr="00B74A55" w:rsidRDefault="00EA656C" w:rsidP="00832B51">
            <w:pPr>
              <w:rPr>
                <w:sz w:val="22"/>
              </w:rPr>
            </w:pPr>
          </w:p>
        </w:tc>
      </w:tr>
      <w:tr w:rsidR="00EA656C" w:rsidRPr="00B74A55" w:rsidTr="004843F9">
        <w:trPr>
          <w:trHeight w:val="252"/>
        </w:trPr>
        <w:tc>
          <w:tcPr>
            <w:tcW w:w="1448" w:type="dxa"/>
            <w:vMerge/>
            <w:tcBorders>
              <w:left w:val="nil"/>
              <w:right w:val="nil"/>
            </w:tcBorders>
          </w:tcPr>
          <w:p w:rsidR="00EA656C" w:rsidRPr="00B74A55" w:rsidRDefault="00EA656C" w:rsidP="00832B51">
            <w:pPr>
              <w:autoSpaceDE w:val="0"/>
              <w:autoSpaceDN w:val="0"/>
              <w:adjustRightInd w:val="0"/>
              <w:jc w:val="right"/>
              <w:rPr>
                <w:rFonts w:eastAsia="Calibri"/>
                <w:color w:val="000000"/>
                <w:sz w:val="22"/>
              </w:rPr>
            </w:pPr>
          </w:p>
        </w:tc>
        <w:tc>
          <w:tcPr>
            <w:tcW w:w="2977" w:type="dxa"/>
            <w:vMerge/>
            <w:tcBorders>
              <w:left w:val="single" w:sz="6" w:space="0" w:color="auto"/>
              <w:right w:val="single" w:sz="6" w:space="0" w:color="auto"/>
            </w:tcBorders>
            <w:shd w:val="clear" w:color="auto" w:fill="C6D9F1" w:themeFill="text2" w:themeFillTint="33"/>
          </w:tcPr>
          <w:p w:rsidR="00EA656C" w:rsidRPr="00B74A55" w:rsidRDefault="00EA656C" w:rsidP="00832B51">
            <w:pPr>
              <w:autoSpaceDE w:val="0"/>
              <w:autoSpaceDN w:val="0"/>
              <w:adjustRightInd w:val="0"/>
              <w:rPr>
                <w:rFonts w:eastAsia="Calibri"/>
                <w:b/>
                <w:color w:val="000000"/>
                <w:sz w:val="22"/>
              </w:rPr>
            </w:pPr>
          </w:p>
        </w:tc>
        <w:tc>
          <w:tcPr>
            <w:tcW w:w="3118" w:type="dxa"/>
            <w:gridSpan w:val="3"/>
            <w:tcBorders>
              <w:top w:val="nil"/>
              <w:left w:val="single" w:sz="4" w:space="0" w:color="auto"/>
              <w:bottom w:val="single" w:sz="4" w:space="0" w:color="auto"/>
              <w:right w:val="single" w:sz="4" w:space="0" w:color="auto"/>
            </w:tcBorders>
            <w:shd w:val="clear" w:color="auto" w:fill="auto"/>
          </w:tcPr>
          <w:p w:rsidR="00EA656C" w:rsidRPr="00B74A55" w:rsidRDefault="00EA656C" w:rsidP="00832B51">
            <w:pPr>
              <w:rPr>
                <w:sz w:val="22"/>
              </w:rPr>
            </w:pPr>
            <w:r w:rsidRPr="00B74A55">
              <w:rPr>
                <w:sz w:val="22"/>
              </w:rPr>
              <w:t>Кількість меблів</w:t>
            </w:r>
          </w:p>
        </w:tc>
        <w:tc>
          <w:tcPr>
            <w:tcW w:w="1701" w:type="dxa"/>
            <w:gridSpan w:val="2"/>
            <w:tcBorders>
              <w:top w:val="nil"/>
              <w:left w:val="nil"/>
              <w:bottom w:val="single" w:sz="4" w:space="0" w:color="auto"/>
              <w:right w:val="single" w:sz="4" w:space="0" w:color="auto"/>
            </w:tcBorders>
            <w:shd w:val="clear" w:color="auto" w:fill="auto"/>
          </w:tcPr>
          <w:p w:rsidR="00EA656C" w:rsidRPr="00B74A55" w:rsidRDefault="00EA656C" w:rsidP="00832B51">
            <w:pPr>
              <w:jc w:val="center"/>
              <w:rPr>
                <w:sz w:val="22"/>
              </w:rPr>
            </w:pPr>
            <w:r w:rsidRPr="00B74A55">
              <w:rPr>
                <w:sz w:val="22"/>
              </w:rPr>
              <w:t>одиниць</w:t>
            </w:r>
          </w:p>
        </w:tc>
        <w:tc>
          <w:tcPr>
            <w:tcW w:w="2126" w:type="dxa"/>
            <w:gridSpan w:val="2"/>
            <w:tcBorders>
              <w:top w:val="single" w:sz="4" w:space="0" w:color="auto"/>
              <w:left w:val="nil"/>
              <w:bottom w:val="single" w:sz="4" w:space="0" w:color="auto"/>
              <w:right w:val="single" w:sz="4" w:space="0" w:color="000000"/>
            </w:tcBorders>
            <w:shd w:val="clear" w:color="auto" w:fill="auto"/>
          </w:tcPr>
          <w:p w:rsidR="00EA656C" w:rsidRPr="00B74A55" w:rsidRDefault="00EA656C" w:rsidP="00832B51">
            <w:pPr>
              <w:rPr>
                <w:sz w:val="22"/>
              </w:rPr>
            </w:pPr>
            <w:r w:rsidRPr="00B74A55">
              <w:rPr>
                <w:sz w:val="22"/>
              </w:rPr>
              <w:t>1502</w:t>
            </w:r>
          </w:p>
        </w:tc>
      </w:tr>
      <w:tr w:rsidR="00EA656C" w:rsidRPr="00B74A55" w:rsidTr="004843F9">
        <w:trPr>
          <w:trHeight w:val="252"/>
        </w:trPr>
        <w:tc>
          <w:tcPr>
            <w:tcW w:w="1448" w:type="dxa"/>
            <w:vMerge/>
            <w:tcBorders>
              <w:left w:val="nil"/>
              <w:right w:val="nil"/>
            </w:tcBorders>
          </w:tcPr>
          <w:p w:rsidR="00EA656C" w:rsidRPr="00B74A55" w:rsidRDefault="00EA656C" w:rsidP="00832B51">
            <w:pPr>
              <w:autoSpaceDE w:val="0"/>
              <w:autoSpaceDN w:val="0"/>
              <w:adjustRightInd w:val="0"/>
              <w:jc w:val="right"/>
              <w:rPr>
                <w:rFonts w:eastAsia="Calibri"/>
                <w:color w:val="000000"/>
                <w:sz w:val="22"/>
              </w:rPr>
            </w:pPr>
          </w:p>
        </w:tc>
        <w:tc>
          <w:tcPr>
            <w:tcW w:w="2977" w:type="dxa"/>
            <w:vMerge/>
            <w:tcBorders>
              <w:left w:val="single" w:sz="6" w:space="0" w:color="auto"/>
              <w:right w:val="single" w:sz="4" w:space="0" w:color="auto"/>
            </w:tcBorders>
            <w:shd w:val="clear" w:color="auto" w:fill="C6D9F1" w:themeFill="text2" w:themeFillTint="33"/>
          </w:tcPr>
          <w:p w:rsidR="00EA656C" w:rsidRPr="00B74A55" w:rsidRDefault="00EA656C" w:rsidP="00832B51">
            <w:pPr>
              <w:autoSpaceDE w:val="0"/>
              <w:autoSpaceDN w:val="0"/>
              <w:adjustRightInd w:val="0"/>
              <w:rPr>
                <w:rFonts w:eastAsia="Calibri"/>
                <w:b/>
                <w:color w:val="000000"/>
                <w:sz w:val="22"/>
              </w:rPr>
            </w:pP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rsidR="00EA656C" w:rsidRPr="00B74A55" w:rsidRDefault="00EA656C" w:rsidP="00832B51">
            <w:pPr>
              <w:rPr>
                <w:sz w:val="22"/>
              </w:rPr>
            </w:pPr>
            <w:r w:rsidRPr="00B74A55">
              <w:rPr>
                <w:sz w:val="22"/>
              </w:rPr>
              <w:t>Кількість техніки для оснащення кабінетів, шкільної служби порозуміння, центру активної молоді, спеціальних кабінетів та ін.</w:t>
            </w:r>
          </w:p>
        </w:tc>
        <w:tc>
          <w:tcPr>
            <w:tcW w:w="1701" w:type="dxa"/>
            <w:gridSpan w:val="2"/>
            <w:tcBorders>
              <w:top w:val="single" w:sz="4" w:space="0" w:color="auto"/>
              <w:left w:val="nil"/>
              <w:bottom w:val="single" w:sz="4" w:space="0" w:color="auto"/>
              <w:right w:val="single" w:sz="4" w:space="0" w:color="auto"/>
            </w:tcBorders>
            <w:shd w:val="clear" w:color="auto" w:fill="auto"/>
          </w:tcPr>
          <w:p w:rsidR="00EA656C" w:rsidRPr="00B74A55" w:rsidRDefault="00EA656C" w:rsidP="00832B51">
            <w:pPr>
              <w:jc w:val="center"/>
              <w:rPr>
                <w:sz w:val="22"/>
              </w:rPr>
            </w:pPr>
            <w:r w:rsidRPr="00B74A55">
              <w:rPr>
                <w:sz w:val="22"/>
              </w:rPr>
              <w:t>одиниць</w:t>
            </w:r>
          </w:p>
        </w:tc>
        <w:tc>
          <w:tcPr>
            <w:tcW w:w="2126" w:type="dxa"/>
            <w:gridSpan w:val="2"/>
            <w:tcBorders>
              <w:top w:val="single" w:sz="4" w:space="0" w:color="auto"/>
              <w:left w:val="nil"/>
              <w:bottom w:val="single" w:sz="4" w:space="0" w:color="auto"/>
              <w:right w:val="single" w:sz="4" w:space="0" w:color="000000"/>
            </w:tcBorders>
            <w:shd w:val="clear" w:color="auto" w:fill="auto"/>
          </w:tcPr>
          <w:p w:rsidR="00EA656C" w:rsidRPr="00B74A55" w:rsidRDefault="00EA656C" w:rsidP="00832B51">
            <w:pPr>
              <w:rPr>
                <w:sz w:val="22"/>
              </w:rPr>
            </w:pPr>
            <w:r w:rsidRPr="00B74A55">
              <w:rPr>
                <w:sz w:val="22"/>
              </w:rPr>
              <w:t>413</w:t>
            </w:r>
          </w:p>
          <w:p w:rsidR="00EA656C" w:rsidRPr="00B74A55" w:rsidRDefault="00EA656C" w:rsidP="00832B51">
            <w:pPr>
              <w:rPr>
                <w:sz w:val="22"/>
              </w:rPr>
            </w:pPr>
          </w:p>
        </w:tc>
      </w:tr>
      <w:tr w:rsidR="00EA656C" w:rsidRPr="00B74A55" w:rsidTr="004843F9">
        <w:trPr>
          <w:trHeight w:val="288"/>
        </w:trPr>
        <w:tc>
          <w:tcPr>
            <w:tcW w:w="1448" w:type="dxa"/>
            <w:vMerge/>
            <w:tcBorders>
              <w:left w:val="nil"/>
              <w:right w:val="nil"/>
            </w:tcBorders>
          </w:tcPr>
          <w:p w:rsidR="00EA656C" w:rsidRPr="00B74A55" w:rsidRDefault="00EA656C" w:rsidP="00832B51">
            <w:pPr>
              <w:autoSpaceDE w:val="0"/>
              <w:autoSpaceDN w:val="0"/>
              <w:adjustRightInd w:val="0"/>
              <w:jc w:val="right"/>
              <w:rPr>
                <w:rFonts w:eastAsia="Calibri"/>
                <w:color w:val="000000"/>
                <w:sz w:val="22"/>
              </w:rPr>
            </w:pPr>
          </w:p>
        </w:tc>
        <w:tc>
          <w:tcPr>
            <w:tcW w:w="2977" w:type="dxa"/>
            <w:vMerge/>
            <w:tcBorders>
              <w:left w:val="single" w:sz="6" w:space="0" w:color="auto"/>
              <w:right w:val="single" w:sz="6" w:space="0" w:color="auto"/>
            </w:tcBorders>
            <w:shd w:val="clear" w:color="auto" w:fill="C6D9F1" w:themeFill="text2" w:themeFillTint="33"/>
          </w:tcPr>
          <w:p w:rsidR="00EA656C" w:rsidRPr="00B74A55" w:rsidRDefault="00EA656C" w:rsidP="00832B51">
            <w:pPr>
              <w:autoSpaceDE w:val="0"/>
              <w:autoSpaceDN w:val="0"/>
              <w:adjustRightInd w:val="0"/>
              <w:rPr>
                <w:rFonts w:eastAsia="Calibri"/>
                <w:b/>
                <w:color w:val="000000"/>
                <w:sz w:val="22"/>
              </w:rPr>
            </w:pPr>
          </w:p>
        </w:tc>
        <w:tc>
          <w:tcPr>
            <w:tcW w:w="3118" w:type="dxa"/>
            <w:gridSpan w:val="3"/>
            <w:tcBorders>
              <w:top w:val="nil"/>
              <w:left w:val="single" w:sz="4" w:space="0" w:color="auto"/>
              <w:bottom w:val="single" w:sz="4" w:space="0" w:color="auto"/>
              <w:right w:val="single" w:sz="4" w:space="0" w:color="auto"/>
            </w:tcBorders>
            <w:shd w:val="clear" w:color="auto" w:fill="auto"/>
          </w:tcPr>
          <w:p w:rsidR="00EA656C" w:rsidRPr="00B74A55" w:rsidRDefault="00EA656C" w:rsidP="00832B51">
            <w:pPr>
              <w:rPr>
                <w:sz w:val="22"/>
              </w:rPr>
            </w:pPr>
            <w:r w:rsidRPr="00B74A55">
              <w:rPr>
                <w:sz w:val="22"/>
              </w:rPr>
              <w:t>Кількість оснащення для куточків відпочинку, рекреаційних зон</w:t>
            </w:r>
          </w:p>
        </w:tc>
        <w:tc>
          <w:tcPr>
            <w:tcW w:w="1701" w:type="dxa"/>
            <w:gridSpan w:val="2"/>
            <w:tcBorders>
              <w:top w:val="nil"/>
              <w:left w:val="nil"/>
              <w:bottom w:val="single" w:sz="4" w:space="0" w:color="auto"/>
              <w:right w:val="single" w:sz="4" w:space="0" w:color="auto"/>
            </w:tcBorders>
            <w:shd w:val="clear" w:color="auto" w:fill="auto"/>
          </w:tcPr>
          <w:p w:rsidR="00EA656C" w:rsidRPr="00B74A55" w:rsidRDefault="00EA656C" w:rsidP="00832B51">
            <w:pPr>
              <w:jc w:val="center"/>
              <w:rPr>
                <w:sz w:val="22"/>
              </w:rPr>
            </w:pPr>
            <w:r w:rsidRPr="00B74A55">
              <w:rPr>
                <w:sz w:val="22"/>
              </w:rPr>
              <w:t>одиниць</w:t>
            </w:r>
          </w:p>
        </w:tc>
        <w:tc>
          <w:tcPr>
            <w:tcW w:w="2126" w:type="dxa"/>
            <w:gridSpan w:val="2"/>
            <w:tcBorders>
              <w:top w:val="single" w:sz="4" w:space="0" w:color="auto"/>
              <w:left w:val="nil"/>
              <w:bottom w:val="single" w:sz="4" w:space="0" w:color="auto"/>
              <w:right w:val="single" w:sz="4" w:space="0" w:color="000000"/>
            </w:tcBorders>
            <w:shd w:val="clear" w:color="auto" w:fill="auto"/>
          </w:tcPr>
          <w:p w:rsidR="00EA656C" w:rsidRPr="00B74A55" w:rsidRDefault="00EA656C" w:rsidP="00832B51">
            <w:pPr>
              <w:rPr>
                <w:sz w:val="22"/>
              </w:rPr>
            </w:pPr>
            <w:r w:rsidRPr="00B74A55">
              <w:rPr>
                <w:sz w:val="22"/>
              </w:rPr>
              <w:t>75</w:t>
            </w:r>
          </w:p>
          <w:p w:rsidR="00EA656C" w:rsidRPr="00B74A55" w:rsidRDefault="00EA656C" w:rsidP="00832B51">
            <w:pPr>
              <w:rPr>
                <w:sz w:val="22"/>
              </w:rPr>
            </w:pPr>
          </w:p>
        </w:tc>
      </w:tr>
      <w:tr w:rsidR="00EA656C" w:rsidRPr="00B74A55" w:rsidTr="004843F9">
        <w:trPr>
          <w:trHeight w:val="1684"/>
        </w:trPr>
        <w:tc>
          <w:tcPr>
            <w:tcW w:w="1448" w:type="dxa"/>
            <w:tcBorders>
              <w:top w:val="nil"/>
              <w:left w:val="nil"/>
              <w:bottom w:val="nil"/>
              <w:right w:val="nil"/>
            </w:tcBorders>
          </w:tcPr>
          <w:p w:rsidR="00EA656C" w:rsidRPr="00B74A55" w:rsidRDefault="00EA656C" w:rsidP="00832B51">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right w:val="single" w:sz="6" w:space="0" w:color="auto"/>
            </w:tcBorders>
            <w:shd w:val="clear" w:color="auto" w:fill="C6D9F1" w:themeFill="text2" w:themeFillTint="33"/>
          </w:tcPr>
          <w:p w:rsidR="00EA656C" w:rsidRPr="00B74A55" w:rsidRDefault="00EA656C" w:rsidP="00832B51">
            <w:pPr>
              <w:autoSpaceDE w:val="0"/>
              <w:autoSpaceDN w:val="0"/>
              <w:adjustRightInd w:val="0"/>
              <w:rPr>
                <w:rFonts w:eastAsia="Calibri"/>
                <w:b/>
                <w:color w:val="000000"/>
                <w:sz w:val="22"/>
              </w:rPr>
            </w:pPr>
            <w:r w:rsidRPr="00B74A55">
              <w:rPr>
                <w:rFonts w:eastAsia="Calibri"/>
                <w:b/>
                <w:color w:val="000000"/>
                <w:sz w:val="22"/>
              </w:rPr>
              <w:t>Ключові заходи проекту:</w:t>
            </w:r>
          </w:p>
        </w:tc>
        <w:tc>
          <w:tcPr>
            <w:tcW w:w="6945" w:type="dxa"/>
            <w:gridSpan w:val="7"/>
            <w:tcBorders>
              <w:top w:val="single" w:sz="6" w:space="0" w:color="auto"/>
              <w:left w:val="single" w:sz="6" w:space="0" w:color="auto"/>
              <w:bottom w:val="single" w:sz="6" w:space="0" w:color="auto"/>
              <w:right w:val="single" w:sz="6" w:space="0" w:color="auto"/>
            </w:tcBorders>
          </w:tcPr>
          <w:p w:rsidR="00EA656C" w:rsidRPr="00B74A55" w:rsidRDefault="00EA656C" w:rsidP="00832B51">
            <w:pPr>
              <w:autoSpaceDE w:val="0"/>
              <w:autoSpaceDN w:val="0"/>
              <w:adjustRightInd w:val="0"/>
              <w:rPr>
                <w:rFonts w:eastAsia="Calibri"/>
                <w:color w:val="000000"/>
                <w:sz w:val="22"/>
              </w:rPr>
            </w:pPr>
            <w:r w:rsidRPr="00B74A55">
              <w:rPr>
                <w:rFonts w:eastAsia="Calibri"/>
                <w:color w:val="000000"/>
                <w:sz w:val="22"/>
              </w:rPr>
              <w:t xml:space="preserve">1. Створення команди </w:t>
            </w:r>
            <w:proofErr w:type="spellStart"/>
            <w:r w:rsidRPr="00B74A55">
              <w:rPr>
                <w:rFonts w:eastAsia="Calibri"/>
                <w:color w:val="000000"/>
                <w:sz w:val="22"/>
              </w:rPr>
              <w:t>проєкту</w:t>
            </w:r>
            <w:proofErr w:type="spellEnd"/>
            <w:r w:rsidRPr="00B74A55">
              <w:rPr>
                <w:rFonts w:eastAsia="Calibri"/>
                <w:color w:val="000000"/>
                <w:sz w:val="22"/>
              </w:rPr>
              <w:t xml:space="preserve"> з числа адміністрації закладу, педагогів, учнів, батьків, мешканців мікрорайону.  </w:t>
            </w:r>
          </w:p>
          <w:p w:rsidR="00EA656C" w:rsidRPr="00B74A55" w:rsidRDefault="00EA656C" w:rsidP="00832B51">
            <w:pPr>
              <w:autoSpaceDE w:val="0"/>
              <w:autoSpaceDN w:val="0"/>
              <w:adjustRightInd w:val="0"/>
              <w:rPr>
                <w:rFonts w:eastAsia="Calibri"/>
                <w:color w:val="000000"/>
                <w:sz w:val="22"/>
              </w:rPr>
            </w:pPr>
            <w:r w:rsidRPr="00B74A55">
              <w:rPr>
                <w:rFonts w:eastAsia="Calibri"/>
                <w:color w:val="000000"/>
                <w:sz w:val="22"/>
              </w:rPr>
              <w:t xml:space="preserve">2. Проведення рекламної кампанії </w:t>
            </w:r>
            <w:proofErr w:type="spellStart"/>
            <w:r w:rsidRPr="00B74A55">
              <w:rPr>
                <w:rFonts w:eastAsia="Calibri"/>
                <w:color w:val="000000"/>
                <w:sz w:val="22"/>
              </w:rPr>
              <w:t>проєкту</w:t>
            </w:r>
            <w:proofErr w:type="spellEnd"/>
            <w:r w:rsidRPr="00B74A55">
              <w:rPr>
                <w:rFonts w:eastAsia="Calibri"/>
                <w:color w:val="000000"/>
                <w:sz w:val="22"/>
              </w:rPr>
              <w:t xml:space="preserve"> «Просуваємо школу - оновлюємо життя» (виготовлення рекламних буклетів, розміщення реклами </w:t>
            </w:r>
            <w:proofErr w:type="spellStart"/>
            <w:r w:rsidRPr="00B74A55">
              <w:rPr>
                <w:rFonts w:eastAsia="Calibri"/>
                <w:color w:val="000000"/>
                <w:sz w:val="22"/>
              </w:rPr>
              <w:t>проєкту</w:t>
            </w:r>
            <w:proofErr w:type="spellEnd"/>
            <w:r w:rsidRPr="00B74A55">
              <w:rPr>
                <w:rFonts w:eastAsia="Calibri"/>
                <w:color w:val="000000"/>
                <w:sz w:val="22"/>
              </w:rPr>
              <w:t xml:space="preserve"> в мікрорайоні школи, створення презентації, проведення круглого столу).     </w:t>
            </w:r>
          </w:p>
          <w:p w:rsidR="00EA656C" w:rsidRPr="00B74A55" w:rsidRDefault="00EA656C" w:rsidP="00832B51">
            <w:pPr>
              <w:autoSpaceDE w:val="0"/>
              <w:autoSpaceDN w:val="0"/>
              <w:adjustRightInd w:val="0"/>
              <w:rPr>
                <w:rFonts w:eastAsia="Calibri"/>
                <w:color w:val="000000"/>
                <w:sz w:val="22"/>
              </w:rPr>
            </w:pPr>
            <w:r w:rsidRPr="00B74A55">
              <w:rPr>
                <w:rFonts w:eastAsia="Calibri"/>
                <w:color w:val="000000"/>
                <w:sz w:val="22"/>
              </w:rPr>
              <w:t xml:space="preserve">3. Проведення повторної оцінки потреб закладу, створення кошторису </w:t>
            </w:r>
            <w:proofErr w:type="spellStart"/>
            <w:r w:rsidRPr="00B74A55">
              <w:rPr>
                <w:rFonts w:eastAsia="Calibri"/>
                <w:color w:val="000000"/>
                <w:sz w:val="22"/>
              </w:rPr>
              <w:t>проєкту</w:t>
            </w:r>
            <w:proofErr w:type="spellEnd"/>
            <w:r w:rsidRPr="00B74A55">
              <w:rPr>
                <w:rFonts w:eastAsia="Calibri"/>
                <w:color w:val="000000"/>
                <w:sz w:val="22"/>
              </w:rPr>
              <w:t xml:space="preserve"> з уточненнями.     </w:t>
            </w:r>
          </w:p>
          <w:p w:rsidR="00EA656C" w:rsidRPr="00B74A55" w:rsidRDefault="00EA656C" w:rsidP="00832B51">
            <w:pPr>
              <w:autoSpaceDE w:val="0"/>
              <w:autoSpaceDN w:val="0"/>
              <w:adjustRightInd w:val="0"/>
              <w:rPr>
                <w:rFonts w:eastAsia="Calibri"/>
                <w:color w:val="000000"/>
                <w:sz w:val="22"/>
              </w:rPr>
            </w:pPr>
            <w:r w:rsidRPr="00B74A55">
              <w:rPr>
                <w:rFonts w:eastAsia="Calibri"/>
                <w:color w:val="000000"/>
                <w:sz w:val="22"/>
              </w:rPr>
              <w:t xml:space="preserve">4. Проведення </w:t>
            </w:r>
            <w:proofErr w:type="spellStart"/>
            <w:r w:rsidRPr="00B74A55">
              <w:rPr>
                <w:rFonts w:eastAsia="Calibri"/>
                <w:color w:val="000000"/>
                <w:sz w:val="22"/>
              </w:rPr>
              <w:t>закупівель</w:t>
            </w:r>
            <w:proofErr w:type="spellEnd"/>
            <w:r w:rsidRPr="00B74A55">
              <w:rPr>
                <w:rFonts w:eastAsia="Calibri"/>
                <w:color w:val="000000"/>
                <w:sz w:val="22"/>
              </w:rPr>
              <w:t xml:space="preserve"> </w:t>
            </w:r>
            <w:proofErr w:type="spellStart"/>
            <w:r w:rsidRPr="00B74A55">
              <w:rPr>
                <w:rFonts w:eastAsia="Calibri"/>
                <w:color w:val="000000"/>
                <w:sz w:val="22"/>
              </w:rPr>
              <w:t>проєкту</w:t>
            </w:r>
            <w:proofErr w:type="spellEnd"/>
            <w:r w:rsidRPr="00B74A55">
              <w:rPr>
                <w:rFonts w:eastAsia="Calibri"/>
                <w:color w:val="000000"/>
                <w:sz w:val="22"/>
              </w:rPr>
              <w:t xml:space="preserve"> (обладнання, меблі для кабінетів та зон відпочинку) через держзакупівлі </w:t>
            </w:r>
            <w:proofErr w:type="spellStart"/>
            <w:r w:rsidRPr="00B74A55">
              <w:rPr>
                <w:rFonts w:eastAsia="Calibri"/>
                <w:color w:val="000000"/>
                <w:sz w:val="22"/>
              </w:rPr>
              <w:t>Prozorro</w:t>
            </w:r>
            <w:proofErr w:type="spellEnd"/>
            <w:r w:rsidRPr="00B74A55">
              <w:rPr>
                <w:rFonts w:eastAsia="Calibri"/>
                <w:color w:val="000000"/>
                <w:sz w:val="22"/>
              </w:rPr>
              <w:t xml:space="preserve">.   </w:t>
            </w:r>
          </w:p>
          <w:p w:rsidR="00EA656C" w:rsidRPr="00B74A55" w:rsidRDefault="00EA656C" w:rsidP="00832B51">
            <w:pPr>
              <w:autoSpaceDE w:val="0"/>
              <w:autoSpaceDN w:val="0"/>
              <w:adjustRightInd w:val="0"/>
              <w:rPr>
                <w:rFonts w:eastAsia="Calibri"/>
                <w:color w:val="000000"/>
                <w:sz w:val="22"/>
              </w:rPr>
            </w:pPr>
            <w:r w:rsidRPr="00B74A55">
              <w:rPr>
                <w:rFonts w:eastAsia="Calibri"/>
                <w:color w:val="000000"/>
                <w:sz w:val="22"/>
              </w:rPr>
              <w:t>5. Відкриття шкільної службу порозуміння «Медіація. Рівний-рівному», проведення занять у студіях порозуміння, поновлення роботи факультативу «Вирішую конфлікти мирним шляхом, будую мир навколо себе».</w:t>
            </w:r>
          </w:p>
          <w:p w:rsidR="00EA656C" w:rsidRPr="00B74A55" w:rsidRDefault="00EA656C" w:rsidP="00832B51">
            <w:pPr>
              <w:autoSpaceDE w:val="0"/>
              <w:autoSpaceDN w:val="0"/>
              <w:adjustRightInd w:val="0"/>
              <w:rPr>
                <w:rFonts w:eastAsia="Calibri"/>
                <w:color w:val="000000"/>
                <w:sz w:val="22"/>
              </w:rPr>
            </w:pPr>
            <w:r w:rsidRPr="00B74A55">
              <w:rPr>
                <w:rFonts w:eastAsia="Calibri"/>
                <w:color w:val="000000"/>
                <w:sz w:val="22"/>
              </w:rPr>
              <w:t>6. Відкриття Центру активної молоді та проведення рольової гри «Модель ООН».</w:t>
            </w:r>
          </w:p>
        </w:tc>
      </w:tr>
      <w:tr w:rsidR="00EA656C" w:rsidRPr="00B74A55" w:rsidTr="004843F9">
        <w:trPr>
          <w:trHeight w:val="504"/>
        </w:trPr>
        <w:tc>
          <w:tcPr>
            <w:tcW w:w="1448" w:type="dxa"/>
            <w:vMerge w:val="restart"/>
            <w:tcBorders>
              <w:top w:val="nil"/>
              <w:left w:val="nil"/>
              <w:right w:val="single" w:sz="4" w:space="0" w:color="auto"/>
            </w:tcBorders>
          </w:tcPr>
          <w:p w:rsidR="00EA656C" w:rsidRPr="00B74A55" w:rsidRDefault="00EA656C" w:rsidP="00832B51">
            <w:pPr>
              <w:autoSpaceDE w:val="0"/>
              <w:autoSpaceDN w:val="0"/>
              <w:adjustRightInd w:val="0"/>
              <w:jc w:val="right"/>
              <w:rPr>
                <w:rFonts w:eastAsia="Calibri"/>
                <w:color w:val="000000"/>
                <w:sz w:val="22"/>
              </w:rPr>
            </w:pPr>
          </w:p>
        </w:tc>
        <w:tc>
          <w:tcPr>
            <w:tcW w:w="2977" w:type="dxa"/>
            <w:vMerge w:val="restart"/>
            <w:tcBorders>
              <w:top w:val="single" w:sz="4" w:space="0" w:color="auto"/>
              <w:left w:val="single" w:sz="4" w:space="0" w:color="auto"/>
              <w:right w:val="single" w:sz="4" w:space="0" w:color="auto"/>
            </w:tcBorders>
            <w:shd w:val="clear" w:color="auto" w:fill="C6D9F1" w:themeFill="text2" w:themeFillTint="33"/>
          </w:tcPr>
          <w:p w:rsidR="00EA656C" w:rsidRPr="00B74A55" w:rsidRDefault="00EA656C" w:rsidP="00832B51">
            <w:pPr>
              <w:autoSpaceDE w:val="0"/>
              <w:autoSpaceDN w:val="0"/>
              <w:adjustRightInd w:val="0"/>
              <w:rPr>
                <w:rFonts w:eastAsia="Calibri"/>
                <w:b/>
                <w:color w:val="000000"/>
                <w:sz w:val="22"/>
              </w:rPr>
            </w:pPr>
            <w:r w:rsidRPr="00B74A55">
              <w:rPr>
                <w:rFonts w:eastAsia="Calibri"/>
                <w:b/>
                <w:color w:val="000000"/>
                <w:sz w:val="22"/>
              </w:rPr>
              <w:t>Орієнтовний обсяг та джерела фінансування тис. гривень</w:t>
            </w:r>
          </w:p>
        </w:tc>
        <w:tc>
          <w:tcPr>
            <w:tcW w:w="1275" w:type="dxa"/>
            <w:tcBorders>
              <w:top w:val="single" w:sz="4" w:space="0" w:color="auto"/>
              <w:left w:val="single" w:sz="4" w:space="0" w:color="auto"/>
              <w:bottom w:val="single" w:sz="4" w:space="0" w:color="auto"/>
              <w:right w:val="single" w:sz="4" w:space="0" w:color="auto"/>
            </w:tcBorders>
          </w:tcPr>
          <w:p w:rsidR="00EA656C" w:rsidRPr="00B74A55" w:rsidRDefault="00EA656C" w:rsidP="00832B51">
            <w:pPr>
              <w:autoSpaceDE w:val="0"/>
              <w:autoSpaceDN w:val="0"/>
              <w:adjustRightInd w:val="0"/>
              <w:jc w:val="center"/>
              <w:rPr>
                <w:rFonts w:eastAsia="Calibri"/>
                <w:b/>
                <w:color w:val="000000"/>
                <w:sz w:val="22"/>
              </w:rPr>
            </w:pPr>
            <w:r w:rsidRPr="00B74A55">
              <w:rPr>
                <w:rFonts w:eastAsia="Calibri"/>
                <w:b/>
                <w:color w:val="000000"/>
                <w:sz w:val="22"/>
              </w:rPr>
              <w:t>Державний бюджет</w:t>
            </w:r>
          </w:p>
        </w:tc>
        <w:tc>
          <w:tcPr>
            <w:tcW w:w="1418" w:type="dxa"/>
            <w:tcBorders>
              <w:top w:val="single" w:sz="4" w:space="0" w:color="auto"/>
              <w:left w:val="single" w:sz="4" w:space="0" w:color="auto"/>
              <w:bottom w:val="single" w:sz="4" w:space="0" w:color="auto"/>
              <w:right w:val="single" w:sz="4" w:space="0" w:color="auto"/>
            </w:tcBorders>
          </w:tcPr>
          <w:p w:rsidR="00EA656C" w:rsidRPr="00B74A55" w:rsidRDefault="00EA656C" w:rsidP="00832B51">
            <w:pPr>
              <w:autoSpaceDE w:val="0"/>
              <w:autoSpaceDN w:val="0"/>
              <w:adjustRightInd w:val="0"/>
              <w:jc w:val="center"/>
              <w:rPr>
                <w:rFonts w:eastAsia="Calibri"/>
                <w:b/>
                <w:sz w:val="22"/>
              </w:rPr>
            </w:pPr>
            <w:r w:rsidRPr="00B74A55">
              <w:rPr>
                <w:rFonts w:eastAsia="Calibri"/>
                <w:b/>
                <w:sz w:val="22"/>
              </w:rPr>
              <w:t>Місцевий бюджет</w:t>
            </w:r>
          </w:p>
        </w:tc>
        <w:tc>
          <w:tcPr>
            <w:tcW w:w="2977" w:type="dxa"/>
            <w:gridSpan w:val="4"/>
            <w:tcBorders>
              <w:top w:val="single" w:sz="4" w:space="0" w:color="auto"/>
              <w:left w:val="single" w:sz="4" w:space="0" w:color="auto"/>
              <w:bottom w:val="single" w:sz="4" w:space="0" w:color="auto"/>
              <w:right w:val="single" w:sz="4" w:space="0" w:color="auto"/>
            </w:tcBorders>
          </w:tcPr>
          <w:p w:rsidR="00EA656C" w:rsidRPr="00B74A55" w:rsidRDefault="00EA656C" w:rsidP="00832B51">
            <w:pPr>
              <w:autoSpaceDE w:val="0"/>
              <w:autoSpaceDN w:val="0"/>
              <w:adjustRightInd w:val="0"/>
              <w:jc w:val="center"/>
              <w:rPr>
                <w:rFonts w:eastAsia="Calibri"/>
                <w:b/>
                <w:color w:val="000000"/>
                <w:sz w:val="22"/>
              </w:rPr>
            </w:pPr>
            <w:r w:rsidRPr="00B74A55">
              <w:rPr>
                <w:rFonts w:eastAsia="Calibri"/>
                <w:b/>
                <w:color w:val="000000"/>
                <w:sz w:val="22"/>
              </w:rPr>
              <w:t>Інші джерела</w:t>
            </w:r>
          </w:p>
        </w:tc>
        <w:tc>
          <w:tcPr>
            <w:tcW w:w="1275" w:type="dxa"/>
            <w:tcBorders>
              <w:top w:val="single" w:sz="4" w:space="0" w:color="auto"/>
              <w:left w:val="single" w:sz="4" w:space="0" w:color="auto"/>
              <w:bottom w:val="single" w:sz="4" w:space="0" w:color="auto"/>
              <w:right w:val="single" w:sz="4" w:space="0" w:color="auto"/>
            </w:tcBorders>
          </w:tcPr>
          <w:p w:rsidR="00EA656C" w:rsidRPr="00B74A55" w:rsidRDefault="00EA656C" w:rsidP="00832B51">
            <w:pPr>
              <w:autoSpaceDE w:val="0"/>
              <w:autoSpaceDN w:val="0"/>
              <w:adjustRightInd w:val="0"/>
              <w:jc w:val="center"/>
              <w:rPr>
                <w:rFonts w:eastAsia="Calibri"/>
                <w:b/>
                <w:color w:val="000000"/>
                <w:sz w:val="22"/>
              </w:rPr>
            </w:pPr>
            <w:r w:rsidRPr="00B74A55">
              <w:rPr>
                <w:rFonts w:eastAsia="Calibri"/>
                <w:b/>
                <w:color w:val="000000"/>
                <w:sz w:val="22"/>
              </w:rPr>
              <w:t>Всього</w:t>
            </w:r>
          </w:p>
        </w:tc>
      </w:tr>
      <w:tr w:rsidR="00EA656C" w:rsidRPr="00B74A55" w:rsidTr="004843F9">
        <w:trPr>
          <w:trHeight w:val="327"/>
        </w:trPr>
        <w:tc>
          <w:tcPr>
            <w:tcW w:w="1448" w:type="dxa"/>
            <w:vMerge/>
            <w:tcBorders>
              <w:left w:val="nil"/>
              <w:right w:val="single" w:sz="4" w:space="0" w:color="auto"/>
            </w:tcBorders>
          </w:tcPr>
          <w:p w:rsidR="00EA656C" w:rsidRPr="00B74A55" w:rsidRDefault="00EA656C" w:rsidP="00832B51">
            <w:pPr>
              <w:autoSpaceDE w:val="0"/>
              <w:autoSpaceDN w:val="0"/>
              <w:adjustRightInd w:val="0"/>
              <w:jc w:val="right"/>
              <w:rPr>
                <w:rFonts w:eastAsia="Calibri"/>
                <w:color w:val="000000"/>
                <w:sz w:val="22"/>
              </w:rPr>
            </w:pPr>
          </w:p>
        </w:tc>
        <w:tc>
          <w:tcPr>
            <w:tcW w:w="2977" w:type="dxa"/>
            <w:vMerge/>
            <w:tcBorders>
              <w:left w:val="single" w:sz="4" w:space="0" w:color="auto"/>
              <w:right w:val="single" w:sz="4" w:space="0" w:color="auto"/>
            </w:tcBorders>
            <w:shd w:val="clear" w:color="auto" w:fill="C6D9F1" w:themeFill="text2" w:themeFillTint="33"/>
          </w:tcPr>
          <w:p w:rsidR="00EA656C" w:rsidRPr="00B74A55" w:rsidRDefault="00EA656C" w:rsidP="00832B51">
            <w:pPr>
              <w:autoSpaceDE w:val="0"/>
              <w:autoSpaceDN w:val="0"/>
              <w:adjustRightInd w:val="0"/>
              <w:rPr>
                <w:rFonts w:eastAsia="Calibri"/>
                <w:b/>
                <w:color w:val="000000"/>
                <w:sz w:val="22"/>
              </w:rPr>
            </w:pPr>
          </w:p>
        </w:tc>
        <w:tc>
          <w:tcPr>
            <w:tcW w:w="1275" w:type="dxa"/>
            <w:vMerge w:val="restart"/>
            <w:tcBorders>
              <w:top w:val="single" w:sz="4" w:space="0" w:color="auto"/>
              <w:left w:val="single" w:sz="4" w:space="0" w:color="auto"/>
              <w:right w:val="single" w:sz="4" w:space="0" w:color="auto"/>
            </w:tcBorders>
          </w:tcPr>
          <w:p w:rsidR="00EA656C" w:rsidRPr="00B74A55" w:rsidRDefault="00EA656C" w:rsidP="00832B51">
            <w:pPr>
              <w:autoSpaceDE w:val="0"/>
              <w:autoSpaceDN w:val="0"/>
              <w:adjustRightInd w:val="0"/>
              <w:rPr>
                <w:rFonts w:eastAsia="Calibri"/>
                <w:color w:val="000000"/>
                <w:sz w:val="22"/>
              </w:rPr>
            </w:pPr>
            <w:r w:rsidRPr="00B74A55">
              <w:rPr>
                <w:rFonts w:eastAsia="Calibri"/>
                <w:color w:val="000000"/>
                <w:sz w:val="22"/>
              </w:rPr>
              <w:t>3 867,1</w:t>
            </w:r>
          </w:p>
        </w:tc>
        <w:tc>
          <w:tcPr>
            <w:tcW w:w="1418" w:type="dxa"/>
            <w:vMerge w:val="restart"/>
            <w:tcBorders>
              <w:top w:val="single" w:sz="4" w:space="0" w:color="auto"/>
              <w:left w:val="single" w:sz="4" w:space="0" w:color="auto"/>
              <w:right w:val="single" w:sz="4" w:space="0" w:color="auto"/>
            </w:tcBorders>
          </w:tcPr>
          <w:p w:rsidR="00EA656C" w:rsidRPr="00B74A55" w:rsidRDefault="00C62899" w:rsidP="00C62899">
            <w:pPr>
              <w:autoSpaceDE w:val="0"/>
              <w:autoSpaceDN w:val="0"/>
              <w:adjustRightInd w:val="0"/>
              <w:jc w:val="center"/>
              <w:rPr>
                <w:rFonts w:eastAsia="Calibri"/>
                <w:sz w:val="22"/>
              </w:rPr>
            </w:pPr>
            <w:r w:rsidRPr="00B74A55">
              <w:rPr>
                <w:rFonts w:eastAsia="Calibri"/>
                <w:sz w:val="22"/>
              </w:rPr>
              <w:t>-</w:t>
            </w:r>
          </w:p>
        </w:tc>
        <w:tc>
          <w:tcPr>
            <w:tcW w:w="1134" w:type="dxa"/>
            <w:gridSpan w:val="2"/>
            <w:tcBorders>
              <w:top w:val="single" w:sz="4" w:space="0" w:color="auto"/>
              <w:left w:val="single" w:sz="4" w:space="0" w:color="auto"/>
              <w:bottom w:val="single" w:sz="4" w:space="0" w:color="auto"/>
              <w:right w:val="single" w:sz="4" w:space="0" w:color="auto"/>
            </w:tcBorders>
          </w:tcPr>
          <w:p w:rsidR="00EA656C" w:rsidRPr="00B74A55" w:rsidRDefault="00EA656C" w:rsidP="00832B51">
            <w:pPr>
              <w:autoSpaceDE w:val="0"/>
              <w:autoSpaceDN w:val="0"/>
              <w:adjustRightInd w:val="0"/>
              <w:jc w:val="center"/>
              <w:rPr>
                <w:rFonts w:eastAsia="Calibri"/>
                <w:b/>
                <w:color w:val="000000"/>
                <w:sz w:val="22"/>
              </w:rPr>
            </w:pPr>
            <w:r w:rsidRPr="00B74A55">
              <w:rPr>
                <w:rFonts w:eastAsia="Calibri"/>
                <w:b/>
                <w:color w:val="000000"/>
                <w:sz w:val="22"/>
              </w:rPr>
              <w:t>Обсяг</w:t>
            </w:r>
          </w:p>
        </w:tc>
        <w:tc>
          <w:tcPr>
            <w:tcW w:w="1843" w:type="dxa"/>
            <w:gridSpan w:val="2"/>
            <w:tcBorders>
              <w:top w:val="single" w:sz="4" w:space="0" w:color="auto"/>
              <w:left w:val="single" w:sz="4" w:space="0" w:color="auto"/>
              <w:bottom w:val="single" w:sz="4" w:space="0" w:color="auto"/>
              <w:right w:val="single" w:sz="4" w:space="0" w:color="auto"/>
            </w:tcBorders>
          </w:tcPr>
          <w:p w:rsidR="00EA656C" w:rsidRPr="00B74A55" w:rsidRDefault="00EA656C" w:rsidP="00832B51">
            <w:pPr>
              <w:autoSpaceDE w:val="0"/>
              <w:autoSpaceDN w:val="0"/>
              <w:adjustRightInd w:val="0"/>
              <w:jc w:val="center"/>
              <w:rPr>
                <w:rFonts w:eastAsia="Calibri"/>
                <w:b/>
                <w:color w:val="000000"/>
                <w:sz w:val="22"/>
              </w:rPr>
            </w:pPr>
            <w:r w:rsidRPr="00B74A55">
              <w:rPr>
                <w:rFonts w:eastAsia="Calibri"/>
                <w:b/>
                <w:color w:val="000000"/>
                <w:sz w:val="22"/>
              </w:rPr>
              <w:t>Назва джерела</w:t>
            </w:r>
          </w:p>
        </w:tc>
        <w:tc>
          <w:tcPr>
            <w:tcW w:w="1275" w:type="dxa"/>
            <w:vMerge w:val="restart"/>
            <w:tcBorders>
              <w:top w:val="single" w:sz="4" w:space="0" w:color="auto"/>
              <w:left w:val="single" w:sz="4" w:space="0" w:color="auto"/>
              <w:right w:val="single" w:sz="4" w:space="0" w:color="auto"/>
            </w:tcBorders>
          </w:tcPr>
          <w:p w:rsidR="00EA656C" w:rsidRPr="00B74A55" w:rsidRDefault="00EA656C" w:rsidP="00E801B9">
            <w:pPr>
              <w:autoSpaceDE w:val="0"/>
              <w:autoSpaceDN w:val="0"/>
              <w:adjustRightInd w:val="0"/>
              <w:jc w:val="center"/>
              <w:rPr>
                <w:rFonts w:eastAsia="Calibri"/>
                <w:color w:val="000000"/>
                <w:sz w:val="22"/>
                <w:lang w:val="ru-RU"/>
              </w:rPr>
            </w:pPr>
            <w:r w:rsidRPr="00B74A55">
              <w:rPr>
                <w:rFonts w:eastAsia="Calibri"/>
                <w:color w:val="000000"/>
                <w:sz w:val="22"/>
              </w:rPr>
              <w:t>9279,</w:t>
            </w:r>
            <w:r w:rsidR="00E801B9" w:rsidRPr="00B74A55">
              <w:rPr>
                <w:rFonts w:eastAsia="Calibri"/>
                <w:color w:val="000000"/>
                <w:sz w:val="22"/>
                <w:lang w:val="ru-RU"/>
              </w:rPr>
              <w:t>1</w:t>
            </w:r>
          </w:p>
        </w:tc>
      </w:tr>
      <w:tr w:rsidR="00EA656C" w:rsidRPr="00B74A55" w:rsidTr="004843F9">
        <w:trPr>
          <w:trHeight w:val="996"/>
        </w:trPr>
        <w:tc>
          <w:tcPr>
            <w:tcW w:w="1448" w:type="dxa"/>
            <w:vMerge/>
            <w:tcBorders>
              <w:left w:val="nil"/>
              <w:bottom w:val="nil"/>
              <w:right w:val="single" w:sz="4" w:space="0" w:color="auto"/>
            </w:tcBorders>
          </w:tcPr>
          <w:p w:rsidR="00EA656C" w:rsidRPr="00B74A55" w:rsidRDefault="00EA656C" w:rsidP="00832B51">
            <w:pPr>
              <w:autoSpaceDE w:val="0"/>
              <w:autoSpaceDN w:val="0"/>
              <w:adjustRightInd w:val="0"/>
              <w:jc w:val="right"/>
              <w:rPr>
                <w:rFonts w:eastAsia="Calibri"/>
                <w:color w:val="000000"/>
                <w:sz w:val="22"/>
              </w:rPr>
            </w:pPr>
          </w:p>
        </w:tc>
        <w:tc>
          <w:tcPr>
            <w:tcW w:w="2977" w:type="dxa"/>
            <w:vMerge/>
            <w:tcBorders>
              <w:left w:val="single" w:sz="4" w:space="0" w:color="auto"/>
              <w:right w:val="single" w:sz="4" w:space="0" w:color="auto"/>
            </w:tcBorders>
            <w:shd w:val="clear" w:color="auto" w:fill="C6D9F1" w:themeFill="text2" w:themeFillTint="33"/>
          </w:tcPr>
          <w:p w:rsidR="00EA656C" w:rsidRPr="00B74A55" w:rsidRDefault="00EA656C" w:rsidP="00832B51">
            <w:pPr>
              <w:autoSpaceDE w:val="0"/>
              <w:autoSpaceDN w:val="0"/>
              <w:adjustRightInd w:val="0"/>
              <w:rPr>
                <w:rFonts w:eastAsia="Calibri"/>
                <w:b/>
                <w:color w:val="000000"/>
                <w:sz w:val="22"/>
              </w:rPr>
            </w:pPr>
          </w:p>
        </w:tc>
        <w:tc>
          <w:tcPr>
            <w:tcW w:w="1275" w:type="dxa"/>
            <w:vMerge/>
            <w:tcBorders>
              <w:left w:val="single" w:sz="4" w:space="0" w:color="auto"/>
              <w:bottom w:val="single" w:sz="4" w:space="0" w:color="auto"/>
              <w:right w:val="single" w:sz="4" w:space="0" w:color="auto"/>
            </w:tcBorders>
          </w:tcPr>
          <w:p w:rsidR="00EA656C" w:rsidRPr="00B74A55" w:rsidRDefault="00EA656C" w:rsidP="00832B51">
            <w:pPr>
              <w:autoSpaceDE w:val="0"/>
              <w:autoSpaceDN w:val="0"/>
              <w:adjustRightInd w:val="0"/>
              <w:rPr>
                <w:rFonts w:eastAsia="Calibri"/>
                <w:color w:val="000000"/>
                <w:sz w:val="22"/>
              </w:rPr>
            </w:pPr>
          </w:p>
        </w:tc>
        <w:tc>
          <w:tcPr>
            <w:tcW w:w="1418" w:type="dxa"/>
            <w:vMerge/>
            <w:tcBorders>
              <w:left w:val="single" w:sz="4" w:space="0" w:color="auto"/>
              <w:bottom w:val="single" w:sz="4" w:space="0" w:color="auto"/>
              <w:right w:val="single" w:sz="4" w:space="0" w:color="auto"/>
            </w:tcBorders>
          </w:tcPr>
          <w:p w:rsidR="00EA656C" w:rsidRPr="00B74A55" w:rsidRDefault="00EA656C" w:rsidP="00832B51">
            <w:pPr>
              <w:autoSpaceDE w:val="0"/>
              <w:autoSpaceDN w:val="0"/>
              <w:adjustRightInd w:val="0"/>
              <w:rPr>
                <w:rFonts w:eastAsia="Calibri"/>
                <w:color w:val="000000"/>
                <w:sz w:val="22"/>
              </w:rPr>
            </w:pPr>
          </w:p>
        </w:tc>
        <w:tc>
          <w:tcPr>
            <w:tcW w:w="1134" w:type="dxa"/>
            <w:gridSpan w:val="2"/>
            <w:tcBorders>
              <w:top w:val="single" w:sz="4" w:space="0" w:color="auto"/>
              <w:left w:val="single" w:sz="4" w:space="0" w:color="auto"/>
              <w:bottom w:val="single" w:sz="4" w:space="0" w:color="auto"/>
              <w:right w:val="single" w:sz="4" w:space="0" w:color="auto"/>
            </w:tcBorders>
          </w:tcPr>
          <w:p w:rsidR="00EA656C" w:rsidRPr="00B74A55" w:rsidRDefault="00EA656C" w:rsidP="00832B51">
            <w:pPr>
              <w:autoSpaceDE w:val="0"/>
              <w:autoSpaceDN w:val="0"/>
              <w:adjustRightInd w:val="0"/>
              <w:jc w:val="center"/>
              <w:rPr>
                <w:rFonts w:eastAsia="Calibri"/>
                <w:color w:val="000000"/>
                <w:sz w:val="22"/>
              </w:rPr>
            </w:pPr>
            <w:r w:rsidRPr="00B74A55">
              <w:rPr>
                <w:rFonts w:eastAsia="Calibri"/>
                <w:color w:val="000000"/>
                <w:sz w:val="22"/>
              </w:rPr>
              <w:t>5412,0</w:t>
            </w:r>
          </w:p>
        </w:tc>
        <w:tc>
          <w:tcPr>
            <w:tcW w:w="1843" w:type="dxa"/>
            <w:gridSpan w:val="2"/>
            <w:tcBorders>
              <w:top w:val="single" w:sz="4" w:space="0" w:color="auto"/>
              <w:left w:val="single" w:sz="4" w:space="0" w:color="auto"/>
              <w:bottom w:val="single" w:sz="4" w:space="0" w:color="auto"/>
              <w:right w:val="single" w:sz="4" w:space="0" w:color="auto"/>
            </w:tcBorders>
          </w:tcPr>
          <w:p w:rsidR="00EA656C" w:rsidRPr="00B74A55" w:rsidRDefault="00EA656C" w:rsidP="00832B51">
            <w:pPr>
              <w:autoSpaceDE w:val="0"/>
              <w:autoSpaceDN w:val="0"/>
              <w:adjustRightInd w:val="0"/>
              <w:rPr>
                <w:rFonts w:eastAsia="Calibri"/>
                <w:sz w:val="22"/>
              </w:rPr>
            </w:pPr>
            <w:r w:rsidRPr="00B74A55">
              <w:rPr>
                <w:rFonts w:eastAsia="Calibri"/>
                <w:sz w:val="22"/>
              </w:rPr>
              <w:t>Міжнародні інвестиції, кошти приватних осіб</w:t>
            </w:r>
          </w:p>
        </w:tc>
        <w:tc>
          <w:tcPr>
            <w:tcW w:w="1275" w:type="dxa"/>
            <w:vMerge/>
            <w:tcBorders>
              <w:left w:val="single" w:sz="4" w:space="0" w:color="auto"/>
              <w:bottom w:val="single" w:sz="4" w:space="0" w:color="auto"/>
              <w:right w:val="single" w:sz="4" w:space="0" w:color="auto"/>
            </w:tcBorders>
          </w:tcPr>
          <w:p w:rsidR="00EA656C" w:rsidRPr="00B74A55" w:rsidRDefault="00EA656C" w:rsidP="00832B51">
            <w:pPr>
              <w:autoSpaceDE w:val="0"/>
              <w:autoSpaceDN w:val="0"/>
              <w:adjustRightInd w:val="0"/>
              <w:rPr>
                <w:rFonts w:eastAsia="Calibri"/>
                <w:color w:val="000000"/>
                <w:sz w:val="22"/>
              </w:rPr>
            </w:pPr>
          </w:p>
        </w:tc>
      </w:tr>
    </w:tbl>
    <w:p w:rsidR="00EA656C" w:rsidRPr="00B74A55" w:rsidRDefault="00EA656C" w:rsidP="00E95FB1">
      <w:pPr>
        <w:rPr>
          <w:sz w:val="22"/>
        </w:rPr>
      </w:pPr>
    </w:p>
    <w:p w:rsidR="00EA656C" w:rsidRPr="00B74A55" w:rsidRDefault="00EA656C" w:rsidP="00E95FB1">
      <w:pPr>
        <w:rPr>
          <w:sz w:val="22"/>
        </w:rPr>
      </w:pPr>
    </w:p>
    <w:tbl>
      <w:tblPr>
        <w:tblStyle w:val="af"/>
        <w:tblW w:w="0" w:type="auto"/>
        <w:tblInd w:w="-176" w:type="dxa"/>
        <w:tblLayout w:type="fixed"/>
        <w:tblLook w:val="04A0" w:firstRow="1" w:lastRow="0" w:firstColumn="1" w:lastColumn="0" w:noHBand="0" w:noVBand="1"/>
      </w:tblPr>
      <w:tblGrid>
        <w:gridCol w:w="2978"/>
        <w:gridCol w:w="1559"/>
        <w:gridCol w:w="1417"/>
        <w:gridCol w:w="709"/>
        <w:gridCol w:w="284"/>
        <w:gridCol w:w="1417"/>
        <w:gridCol w:w="147"/>
        <w:gridCol w:w="1377"/>
      </w:tblGrid>
      <w:tr w:rsidR="00EA656C" w:rsidRPr="00B74A55" w:rsidTr="00F34B87">
        <w:tc>
          <w:tcPr>
            <w:tcW w:w="2978" w:type="dxa"/>
            <w:shd w:val="clear" w:color="auto" w:fill="C6D9F1" w:themeFill="text2" w:themeFillTint="33"/>
          </w:tcPr>
          <w:p w:rsidR="00EA656C" w:rsidRPr="00B74A55" w:rsidRDefault="00EA656C" w:rsidP="00832B51">
            <w:pPr>
              <w:pStyle w:val="a7"/>
              <w:ind w:left="0"/>
              <w:rPr>
                <w:b/>
                <w:sz w:val="22"/>
                <w:lang w:val="uk-UA"/>
              </w:rPr>
            </w:pPr>
            <w:r w:rsidRPr="00B74A55">
              <w:rPr>
                <w:b/>
                <w:sz w:val="22"/>
                <w:lang w:val="uk-UA"/>
              </w:rPr>
              <w:t>Оперативна ціль/завдання</w:t>
            </w:r>
          </w:p>
        </w:tc>
        <w:tc>
          <w:tcPr>
            <w:tcW w:w="6910" w:type="dxa"/>
            <w:gridSpan w:val="7"/>
            <w:shd w:val="clear" w:color="auto" w:fill="auto"/>
          </w:tcPr>
          <w:p w:rsidR="00EA656C" w:rsidRPr="00B74A55" w:rsidRDefault="00EA656C" w:rsidP="00832B51">
            <w:pPr>
              <w:rPr>
                <w:sz w:val="22"/>
                <w:lang w:val="uk-UA"/>
              </w:rPr>
            </w:pPr>
            <w:r w:rsidRPr="00B74A55">
              <w:rPr>
                <w:sz w:val="22"/>
                <w:lang w:val="uk-UA"/>
              </w:rPr>
              <w:t xml:space="preserve">Людський розвиток через інновації управління та довіру до влади. Формування сучасного інклюзивного  </w:t>
            </w:r>
            <w:proofErr w:type="spellStart"/>
            <w:r w:rsidRPr="00B74A55">
              <w:rPr>
                <w:sz w:val="22"/>
                <w:lang w:val="uk-UA"/>
              </w:rPr>
              <w:t>освітньо</w:t>
            </w:r>
            <w:proofErr w:type="spellEnd"/>
            <w:r w:rsidRPr="00B74A55">
              <w:rPr>
                <w:sz w:val="22"/>
                <w:lang w:val="uk-UA"/>
              </w:rPr>
              <w:t>-культурного та сп</w:t>
            </w:r>
            <w:r w:rsidR="00E16873" w:rsidRPr="00B74A55">
              <w:rPr>
                <w:sz w:val="22"/>
                <w:lang w:val="uk-UA"/>
              </w:rPr>
              <w:t>ортивного простору для розвитку</w:t>
            </w:r>
          </w:p>
        </w:tc>
      </w:tr>
      <w:tr w:rsidR="00EA656C" w:rsidRPr="00B74A55" w:rsidTr="00F34B87">
        <w:tc>
          <w:tcPr>
            <w:tcW w:w="2978" w:type="dxa"/>
            <w:shd w:val="clear" w:color="auto" w:fill="C6D9F1" w:themeFill="text2" w:themeFillTint="33"/>
          </w:tcPr>
          <w:p w:rsidR="00EA656C" w:rsidRPr="00B74A55" w:rsidRDefault="00EA656C" w:rsidP="00832B51">
            <w:pPr>
              <w:pStyle w:val="a7"/>
              <w:ind w:left="0"/>
              <w:rPr>
                <w:b/>
                <w:sz w:val="22"/>
                <w:lang w:val="uk-UA"/>
              </w:rPr>
            </w:pPr>
            <w:r w:rsidRPr="00B74A55">
              <w:rPr>
                <w:b/>
                <w:sz w:val="22"/>
                <w:lang w:val="uk-UA"/>
              </w:rPr>
              <w:t>Назва проекту:</w:t>
            </w:r>
          </w:p>
        </w:tc>
        <w:tc>
          <w:tcPr>
            <w:tcW w:w="6910" w:type="dxa"/>
            <w:gridSpan w:val="7"/>
          </w:tcPr>
          <w:p w:rsidR="00EA656C" w:rsidRPr="00B74A55" w:rsidRDefault="00EA656C" w:rsidP="00281286">
            <w:pPr>
              <w:pStyle w:val="a7"/>
              <w:ind w:left="0"/>
              <w:rPr>
                <w:sz w:val="22"/>
                <w:lang w:val="uk-UA"/>
              </w:rPr>
            </w:pPr>
            <w:r w:rsidRPr="00B74A55">
              <w:rPr>
                <w:sz w:val="22"/>
                <w:lang w:val="uk-UA"/>
              </w:rPr>
              <w:t xml:space="preserve">Відновлення діяльності комунального закладу Гімназії  № 8 міста Сєвєродонецька  Луганської області, розташованої за </w:t>
            </w:r>
            <w:proofErr w:type="spellStart"/>
            <w:r w:rsidRPr="00B74A55">
              <w:rPr>
                <w:sz w:val="22"/>
                <w:lang w:val="uk-UA"/>
              </w:rPr>
              <w:t>адресою</w:t>
            </w:r>
            <w:proofErr w:type="spellEnd"/>
            <w:r w:rsidRPr="00B74A55">
              <w:rPr>
                <w:sz w:val="22"/>
                <w:lang w:val="uk-UA"/>
              </w:rPr>
              <w:t xml:space="preserve">: Луганська область, місто Сєвєродонецьк, вул. </w:t>
            </w:r>
            <w:proofErr w:type="spellStart"/>
            <w:r w:rsidRPr="00B74A55">
              <w:rPr>
                <w:sz w:val="22"/>
                <w:lang w:val="uk-UA"/>
              </w:rPr>
              <w:t>Вілєсова</w:t>
            </w:r>
            <w:proofErr w:type="spellEnd"/>
            <w:r w:rsidR="00281286" w:rsidRPr="00B74A55">
              <w:rPr>
                <w:sz w:val="22"/>
                <w:lang w:val="uk-UA"/>
              </w:rPr>
              <w:t>,</w:t>
            </w:r>
            <w:r w:rsidRPr="00B74A55">
              <w:rPr>
                <w:sz w:val="22"/>
                <w:lang w:val="uk-UA"/>
              </w:rPr>
              <w:t xml:space="preserve"> б.10</w:t>
            </w:r>
          </w:p>
        </w:tc>
      </w:tr>
      <w:tr w:rsidR="00EA656C" w:rsidRPr="00B74A55" w:rsidTr="00F34B87">
        <w:tc>
          <w:tcPr>
            <w:tcW w:w="2978" w:type="dxa"/>
            <w:shd w:val="clear" w:color="auto" w:fill="C6D9F1" w:themeFill="text2" w:themeFillTint="33"/>
          </w:tcPr>
          <w:p w:rsidR="00EA656C" w:rsidRPr="00B74A55" w:rsidRDefault="00EA656C" w:rsidP="00832B51">
            <w:pPr>
              <w:rPr>
                <w:b/>
                <w:sz w:val="22"/>
                <w:lang w:val="uk-UA"/>
              </w:rPr>
            </w:pPr>
            <w:r w:rsidRPr="00B74A55">
              <w:rPr>
                <w:b/>
                <w:sz w:val="22"/>
                <w:lang w:val="uk-UA"/>
              </w:rPr>
              <w:t>Ціль проекту</w:t>
            </w:r>
          </w:p>
        </w:tc>
        <w:tc>
          <w:tcPr>
            <w:tcW w:w="6910" w:type="dxa"/>
            <w:gridSpan w:val="7"/>
          </w:tcPr>
          <w:p w:rsidR="00EA656C" w:rsidRPr="00B74A55" w:rsidRDefault="00EA656C" w:rsidP="00832B51">
            <w:pPr>
              <w:pStyle w:val="a7"/>
              <w:ind w:left="0"/>
              <w:rPr>
                <w:sz w:val="22"/>
                <w:lang w:val="uk-UA"/>
              </w:rPr>
            </w:pPr>
            <w:r w:rsidRPr="00B74A55">
              <w:rPr>
                <w:sz w:val="22"/>
                <w:lang w:val="uk-UA"/>
              </w:rPr>
              <w:t>Відновити та покращити роботу комунального закладу Гімназії № 8 для надання широкого спектру послуг, пов’язаних із освітньою діяльністю та задоволення потреб мешканців Сєвєродонецької міської територіальної громади у необхідних послугах через закупівлю обладнання (устаткування), обчислювальних технічних засобів, оргтехніки.</w:t>
            </w:r>
          </w:p>
        </w:tc>
      </w:tr>
      <w:tr w:rsidR="00EA656C" w:rsidRPr="00B74A55" w:rsidTr="00F34B87">
        <w:tc>
          <w:tcPr>
            <w:tcW w:w="2978" w:type="dxa"/>
            <w:shd w:val="clear" w:color="auto" w:fill="C6D9F1" w:themeFill="text2" w:themeFillTint="33"/>
          </w:tcPr>
          <w:p w:rsidR="00EA656C" w:rsidRPr="00B74A55" w:rsidRDefault="00EA656C" w:rsidP="00832B51">
            <w:pPr>
              <w:pStyle w:val="a7"/>
              <w:ind w:left="0"/>
              <w:rPr>
                <w:b/>
                <w:sz w:val="22"/>
                <w:lang w:val="uk-UA"/>
              </w:rPr>
            </w:pPr>
            <w:r w:rsidRPr="00B74A55">
              <w:rPr>
                <w:b/>
                <w:sz w:val="22"/>
                <w:lang w:val="uk-UA"/>
              </w:rPr>
              <w:t>Територія, на яку матиме вплив реалізація проекту</w:t>
            </w:r>
          </w:p>
        </w:tc>
        <w:tc>
          <w:tcPr>
            <w:tcW w:w="6910" w:type="dxa"/>
            <w:gridSpan w:val="7"/>
          </w:tcPr>
          <w:p w:rsidR="00EA656C" w:rsidRPr="00B74A55" w:rsidRDefault="00EA656C" w:rsidP="00832B51">
            <w:pPr>
              <w:pStyle w:val="a7"/>
              <w:ind w:left="0"/>
              <w:rPr>
                <w:sz w:val="22"/>
                <w:lang w:val="uk-UA"/>
              </w:rPr>
            </w:pPr>
            <w:r w:rsidRPr="00B74A55">
              <w:rPr>
                <w:sz w:val="22"/>
                <w:lang w:val="uk-UA"/>
              </w:rPr>
              <w:t>Сєвєродонецька міська територіальна громада</w:t>
            </w:r>
          </w:p>
        </w:tc>
      </w:tr>
      <w:tr w:rsidR="00EA656C" w:rsidRPr="00B74A55" w:rsidTr="00F34B87">
        <w:tc>
          <w:tcPr>
            <w:tcW w:w="2978" w:type="dxa"/>
            <w:shd w:val="clear" w:color="auto" w:fill="C6D9F1" w:themeFill="text2" w:themeFillTint="33"/>
          </w:tcPr>
          <w:p w:rsidR="00EA656C" w:rsidRPr="00B74A55" w:rsidRDefault="00EA656C" w:rsidP="00832B51">
            <w:pPr>
              <w:pStyle w:val="a7"/>
              <w:ind w:left="0"/>
              <w:rPr>
                <w:b/>
                <w:sz w:val="22"/>
                <w:lang w:val="uk-UA"/>
              </w:rPr>
            </w:pPr>
            <w:r w:rsidRPr="00B74A55">
              <w:rPr>
                <w:b/>
                <w:sz w:val="22"/>
                <w:lang w:val="uk-UA"/>
              </w:rPr>
              <w:t>Чисельність населення, на яке матиме вплив реалізація проекту</w:t>
            </w:r>
          </w:p>
        </w:tc>
        <w:tc>
          <w:tcPr>
            <w:tcW w:w="6910" w:type="dxa"/>
            <w:gridSpan w:val="7"/>
          </w:tcPr>
          <w:p w:rsidR="00EA656C" w:rsidRPr="00B74A55" w:rsidRDefault="00EA656C" w:rsidP="00832B51">
            <w:pPr>
              <w:pStyle w:val="a7"/>
              <w:ind w:left="0"/>
              <w:rPr>
                <w:sz w:val="22"/>
                <w:lang w:val="uk-UA"/>
              </w:rPr>
            </w:pPr>
            <w:r w:rsidRPr="00B74A55">
              <w:rPr>
                <w:sz w:val="22"/>
                <w:lang w:val="uk-UA"/>
              </w:rPr>
              <w:t xml:space="preserve"> 70 000  осіб</w:t>
            </w:r>
          </w:p>
        </w:tc>
      </w:tr>
      <w:tr w:rsidR="00EA656C" w:rsidRPr="00B74A55" w:rsidTr="00F34B87">
        <w:tc>
          <w:tcPr>
            <w:tcW w:w="2978" w:type="dxa"/>
            <w:shd w:val="clear" w:color="auto" w:fill="C6D9F1" w:themeFill="text2" w:themeFillTint="33"/>
          </w:tcPr>
          <w:p w:rsidR="00EA656C" w:rsidRPr="00B74A55" w:rsidRDefault="00EA656C" w:rsidP="00832B51">
            <w:pPr>
              <w:rPr>
                <w:b/>
                <w:sz w:val="22"/>
                <w:lang w:val="uk-UA"/>
              </w:rPr>
            </w:pPr>
            <w:r w:rsidRPr="00B74A55">
              <w:rPr>
                <w:b/>
                <w:sz w:val="22"/>
                <w:lang w:val="uk-UA"/>
              </w:rPr>
              <w:t>Опис проблеми, на вирішення якої  спрямований проект</w:t>
            </w:r>
          </w:p>
        </w:tc>
        <w:tc>
          <w:tcPr>
            <w:tcW w:w="6910" w:type="dxa"/>
            <w:gridSpan w:val="7"/>
          </w:tcPr>
          <w:p w:rsidR="00EA656C" w:rsidRPr="00B74A55" w:rsidRDefault="00EA656C" w:rsidP="00832B51">
            <w:pPr>
              <w:ind w:firstLine="708"/>
              <w:rPr>
                <w:sz w:val="22"/>
                <w:lang w:val="uk-UA"/>
              </w:rPr>
            </w:pPr>
            <w:r w:rsidRPr="00B74A55">
              <w:rPr>
                <w:sz w:val="22"/>
                <w:lang w:val="uk-UA"/>
              </w:rPr>
              <w:t>Через військову агресію РФ територія Сєвєродонецької міської територіальної громади зазнала значних пошкоджень. Не оминуло це і Гімназію № 8.</w:t>
            </w:r>
          </w:p>
          <w:p w:rsidR="00EA656C" w:rsidRPr="00B74A55" w:rsidRDefault="00EA656C" w:rsidP="00832B51">
            <w:pPr>
              <w:ind w:firstLine="708"/>
              <w:rPr>
                <w:sz w:val="22"/>
                <w:lang w:val="uk-UA"/>
              </w:rPr>
            </w:pPr>
            <w:r w:rsidRPr="00B74A55">
              <w:rPr>
                <w:sz w:val="22"/>
                <w:lang w:val="uk-UA"/>
              </w:rPr>
              <w:t>Вся матеріально-технічна база закладу, зокрема:</w:t>
            </w:r>
          </w:p>
          <w:p w:rsidR="00EA656C" w:rsidRPr="00B74A55" w:rsidRDefault="00EA656C" w:rsidP="000303D7">
            <w:pPr>
              <w:numPr>
                <w:ilvl w:val="0"/>
                <w:numId w:val="9"/>
              </w:numPr>
              <w:rPr>
                <w:sz w:val="22"/>
                <w:lang w:val="uk-UA"/>
              </w:rPr>
            </w:pPr>
            <w:r w:rsidRPr="00B74A55">
              <w:rPr>
                <w:sz w:val="22"/>
                <w:lang w:val="uk-UA"/>
              </w:rPr>
              <w:t>обладнання (устаткування):шкільні одномісні парти для НУШ, шкільні кабінетні  меблі  (стільці, столи),</w:t>
            </w:r>
            <w:r w:rsidR="006A1857" w:rsidRPr="00B74A55">
              <w:rPr>
                <w:sz w:val="22"/>
                <w:lang w:val="uk-UA"/>
              </w:rPr>
              <w:t xml:space="preserve"> </w:t>
            </w:r>
            <w:r w:rsidRPr="00B74A55">
              <w:rPr>
                <w:sz w:val="22"/>
                <w:lang w:val="uk-UA"/>
              </w:rPr>
              <w:t xml:space="preserve">смарт-дошки та інтерактивні дошки,  офісні меблі для вчителів, шафи; устаткування спеціалізованих кабінетів (хімії, фізики, трудового навчання, шкільної їдальні, харчоблоку, спортивної  зали, гімнастичної зали, комп’ютерних класів, </w:t>
            </w:r>
            <w:r w:rsidRPr="00B74A55">
              <w:rPr>
                <w:sz w:val="22"/>
                <w:lang w:val="uk-UA"/>
              </w:rPr>
              <w:lastRenderedPageBreak/>
              <w:t>медичного кабінету, лінгафонного кабінету, ресурсної кімнати для інклюзивної освіти, шкільної бібліотеки, спеціалізованого кабінету психолога, актової зали, конференц-зали, бомбосховища, ігрових майданчиків).</w:t>
            </w:r>
          </w:p>
          <w:p w:rsidR="00EA656C" w:rsidRPr="00B74A55" w:rsidRDefault="00EA656C" w:rsidP="000303D7">
            <w:pPr>
              <w:numPr>
                <w:ilvl w:val="0"/>
                <w:numId w:val="9"/>
              </w:numPr>
              <w:rPr>
                <w:sz w:val="22"/>
                <w:lang w:val="uk-UA"/>
              </w:rPr>
            </w:pPr>
            <w:r w:rsidRPr="00B74A55">
              <w:rPr>
                <w:sz w:val="22"/>
                <w:lang w:val="uk-UA"/>
              </w:rPr>
              <w:t>обчислювальна техніка із відповідним програмним забезпеченням;</w:t>
            </w:r>
          </w:p>
          <w:p w:rsidR="00EA656C" w:rsidRPr="00B74A55" w:rsidRDefault="00EA656C" w:rsidP="000303D7">
            <w:pPr>
              <w:numPr>
                <w:ilvl w:val="0"/>
                <w:numId w:val="9"/>
              </w:numPr>
              <w:rPr>
                <w:sz w:val="22"/>
                <w:lang w:val="uk-UA"/>
              </w:rPr>
            </w:pPr>
            <w:r w:rsidRPr="00B74A55">
              <w:rPr>
                <w:sz w:val="22"/>
                <w:lang w:val="uk-UA"/>
              </w:rPr>
              <w:t xml:space="preserve">інша оргтехніка (монітори, принтери, сканери, телевізори, аудіо- апаратура, колонки, мікрофони, </w:t>
            </w:r>
            <w:proofErr w:type="spellStart"/>
            <w:r w:rsidRPr="00B74A55">
              <w:rPr>
                <w:sz w:val="22"/>
                <w:lang w:val="uk-UA"/>
              </w:rPr>
              <w:t>проєктори</w:t>
            </w:r>
            <w:proofErr w:type="spellEnd"/>
            <w:r w:rsidRPr="00B74A55">
              <w:rPr>
                <w:sz w:val="22"/>
                <w:lang w:val="uk-UA"/>
              </w:rPr>
              <w:t>, кондиціонери тощо);</w:t>
            </w:r>
          </w:p>
          <w:p w:rsidR="00EA656C" w:rsidRPr="00B74A55" w:rsidRDefault="00EA656C" w:rsidP="000303D7">
            <w:pPr>
              <w:pStyle w:val="13"/>
              <w:numPr>
                <w:ilvl w:val="0"/>
                <w:numId w:val="9"/>
              </w:numPr>
              <w:jc w:val="both"/>
              <w:rPr>
                <w:sz w:val="22"/>
                <w:lang w:val="uk-UA"/>
              </w:rPr>
            </w:pPr>
            <w:r w:rsidRPr="00B74A55">
              <w:rPr>
                <w:sz w:val="22"/>
                <w:lang w:val="uk-UA"/>
              </w:rPr>
              <w:t>основні засоби (офісні меблі, сейф  тощо) були знищені або викрадені.</w:t>
            </w:r>
          </w:p>
          <w:p w:rsidR="00EA656C" w:rsidRPr="00B74A55" w:rsidRDefault="00EA656C" w:rsidP="00832B51">
            <w:pPr>
              <w:pStyle w:val="13"/>
              <w:jc w:val="both"/>
              <w:rPr>
                <w:sz w:val="22"/>
                <w:lang w:val="uk-UA"/>
              </w:rPr>
            </w:pPr>
            <w:r w:rsidRPr="00B74A55">
              <w:rPr>
                <w:rFonts w:eastAsia="Arial"/>
                <w:sz w:val="22"/>
                <w:lang w:val="uk-UA"/>
              </w:rPr>
              <w:t xml:space="preserve">            Для відбудови та сталого розвитку громади потрібне відновлення роботи комунального закладу Гімназії № 8. Мешканці громади потребують в отриманні якісних освітніх послуг, які відповідають нормам сучасності. </w:t>
            </w:r>
          </w:p>
        </w:tc>
      </w:tr>
      <w:tr w:rsidR="00EA656C" w:rsidRPr="00B74A55" w:rsidTr="00F34B87">
        <w:tc>
          <w:tcPr>
            <w:tcW w:w="2978" w:type="dxa"/>
            <w:shd w:val="clear" w:color="auto" w:fill="C6D9F1" w:themeFill="text2" w:themeFillTint="33"/>
          </w:tcPr>
          <w:p w:rsidR="00EA656C" w:rsidRPr="00B74A55" w:rsidRDefault="00EA656C" w:rsidP="00832B51">
            <w:pPr>
              <w:pStyle w:val="a7"/>
              <w:ind w:left="0"/>
              <w:rPr>
                <w:b/>
                <w:sz w:val="22"/>
                <w:lang w:val="uk-UA"/>
              </w:rPr>
            </w:pPr>
            <w:r w:rsidRPr="00B74A55">
              <w:rPr>
                <w:b/>
                <w:sz w:val="22"/>
                <w:lang w:val="uk-UA"/>
              </w:rPr>
              <w:lastRenderedPageBreak/>
              <w:t>Очікувані якісні результати від реалізації проекту</w:t>
            </w:r>
          </w:p>
        </w:tc>
        <w:tc>
          <w:tcPr>
            <w:tcW w:w="6910" w:type="dxa"/>
            <w:gridSpan w:val="7"/>
          </w:tcPr>
          <w:p w:rsidR="00EA656C" w:rsidRPr="00B74A55" w:rsidRDefault="00EA656C" w:rsidP="00832B51">
            <w:pPr>
              <w:pStyle w:val="a7"/>
              <w:ind w:left="0"/>
              <w:rPr>
                <w:sz w:val="22"/>
                <w:lang w:val="uk-UA"/>
              </w:rPr>
            </w:pPr>
            <w:r w:rsidRPr="00B74A55">
              <w:rPr>
                <w:sz w:val="22"/>
                <w:lang w:val="uk-UA"/>
              </w:rPr>
              <w:t>- забезпечення населення можливостями для реалізації його конституційних прав, пов’язаних із правом громадян на освіту;</w:t>
            </w:r>
          </w:p>
          <w:p w:rsidR="00EA656C" w:rsidRPr="00B74A55" w:rsidRDefault="00EA656C" w:rsidP="00832B51">
            <w:pPr>
              <w:pStyle w:val="a7"/>
              <w:ind w:left="0"/>
              <w:rPr>
                <w:sz w:val="22"/>
                <w:lang w:val="uk-UA"/>
              </w:rPr>
            </w:pPr>
            <w:r w:rsidRPr="00B74A55">
              <w:rPr>
                <w:sz w:val="22"/>
                <w:lang w:val="uk-UA"/>
              </w:rPr>
              <w:t>- надання широкого спектру послуг, пов’язаних із освітньою діяльністю;</w:t>
            </w:r>
          </w:p>
          <w:p w:rsidR="00EA656C" w:rsidRPr="00B74A55" w:rsidRDefault="00EA656C" w:rsidP="00832B51">
            <w:pPr>
              <w:pStyle w:val="a7"/>
              <w:ind w:left="0"/>
              <w:rPr>
                <w:sz w:val="22"/>
                <w:lang w:val="uk-UA"/>
              </w:rPr>
            </w:pPr>
            <w:r w:rsidRPr="00B74A55">
              <w:rPr>
                <w:sz w:val="22"/>
                <w:lang w:val="uk-UA"/>
              </w:rPr>
              <w:t>- вирішення ряду питань у межах статутної діяльності, пов’язаних із відбудовою та сталим розвитком громади;</w:t>
            </w:r>
          </w:p>
          <w:p w:rsidR="00EA656C" w:rsidRPr="00B74A55" w:rsidRDefault="00EA656C" w:rsidP="00832B51">
            <w:pPr>
              <w:pStyle w:val="a7"/>
              <w:ind w:left="0"/>
              <w:rPr>
                <w:sz w:val="22"/>
                <w:lang w:val="uk-UA"/>
              </w:rPr>
            </w:pPr>
            <w:r w:rsidRPr="00B74A55">
              <w:rPr>
                <w:sz w:val="22"/>
                <w:lang w:val="uk-UA"/>
              </w:rPr>
              <w:t>- створення нових робочих місць.</w:t>
            </w:r>
          </w:p>
          <w:p w:rsidR="00EA656C" w:rsidRPr="00B74A55" w:rsidRDefault="00EA656C" w:rsidP="00832B51">
            <w:pPr>
              <w:pStyle w:val="a7"/>
              <w:ind w:left="0"/>
              <w:rPr>
                <w:sz w:val="22"/>
                <w:lang w:val="uk-UA"/>
              </w:rPr>
            </w:pPr>
            <w:r w:rsidRPr="00B74A55">
              <w:rPr>
                <w:sz w:val="22"/>
                <w:lang w:val="uk-UA"/>
              </w:rPr>
              <w:t>- стимул до повернення ВПО до громади;</w:t>
            </w:r>
          </w:p>
          <w:p w:rsidR="00EA656C" w:rsidRPr="00B74A55" w:rsidRDefault="00EA656C" w:rsidP="00832B51">
            <w:pPr>
              <w:pStyle w:val="a7"/>
              <w:ind w:left="0"/>
              <w:rPr>
                <w:sz w:val="22"/>
                <w:lang w:val="uk-UA"/>
              </w:rPr>
            </w:pPr>
            <w:r w:rsidRPr="00B74A55">
              <w:rPr>
                <w:sz w:val="22"/>
                <w:lang w:val="uk-UA"/>
              </w:rPr>
              <w:t>- робота з активною молоддю;</w:t>
            </w:r>
          </w:p>
          <w:p w:rsidR="00EA656C" w:rsidRPr="00B74A55" w:rsidRDefault="00EA656C" w:rsidP="00832B51">
            <w:pPr>
              <w:pStyle w:val="a7"/>
              <w:ind w:left="0"/>
              <w:rPr>
                <w:sz w:val="22"/>
                <w:lang w:val="uk-UA"/>
              </w:rPr>
            </w:pPr>
            <w:r w:rsidRPr="00B74A55">
              <w:rPr>
                <w:sz w:val="22"/>
                <w:lang w:val="uk-UA"/>
              </w:rPr>
              <w:t>-оновлення роботи центру «Медіація – крок до порозуміння», центру активної молоді, психологічної служби, лінгафонного кабінету, кабінетів інформаційних технологій.</w:t>
            </w:r>
          </w:p>
        </w:tc>
      </w:tr>
      <w:tr w:rsidR="00EA656C" w:rsidRPr="00B74A55" w:rsidTr="00F34B87">
        <w:trPr>
          <w:trHeight w:val="390"/>
        </w:trPr>
        <w:tc>
          <w:tcPr>
            <w:tcW w:w="2978" w:type="dxa"/>
            <w:vMerge w:val="restart"/>
            <w:shd w:val="clear" w:color="auto" w:fill="C6D9F1" w:themeFill="text2" w:themeFillTint="33"/>
          </w:tcPr>
          <w:p w:rsidR="00EA656C" w:rsidRPr="00B74A55" w:rsidRDefault="00EA656C" w:rsidP="00832B51">
            <w:pPr>
              <w:pStyle w:val="a7"/>
              <w:ind w:left="0"/>
              <w:rPr>
                <w:b/>
                <w:sz w:val="22"/>
                <w:lang w:val="uk-UA"/>
              </w:rPr>
            </w:pPr>
            <w:r w:rsidRPr="00B74A55">
              <w:rPr>
                <w:b/>
                <w:sz w:val="22"/>
                <w:lang w:val="uk-UA"/>
              </w:rPr>
              <w:t xml:space="preserve">Очікувані кількісні результати реалізації </w:t>
            </w:r>
            <w:proofErr w:type="spellStart"/>
            <w:r w:rsidRPr="00B74A55">
              <w:rPr>
                <w:b/>
                <w:sz w:val="22"/>
                <w:lang w:val="uk-UA"/>
              </w:rPr>
              <w:t>проєкту</w:t>
            </w:r>
            <w:proofErr w:type="spellEnd"/>
            <w:r w:rsidRPr="00B74A55">
              <w:rPr>
                <w:b/>
                <w:sz w:val="22"/>
                <w:lang w:val="uk-UA"/>
              </w:rPr>
              <w:t xml:space="preserve"> (індикатори)</w:t>
            </w:r>
          </w:p>
          <w:p w:rsidR="00EA656C" w:rsidRPr="00B74A55" w:rsidRDefault="00EA656C" w:rsidP="00832B51">
            <w:pPr>
              <w:pStyle w:val="a7"/>
              <w:ind w:left="0"/>
              <w:rPr>
                <w:b/>
                <w:sz w:val="22"/>
                <w:lang w:val="uk-UA"/>
              </w:rPr>
            </w:pPr>
          </w:p>
        </w:tc>
        <w:tc>
          <w:tcPr>
            <w:tcW w:w="3685" w:type="dxa"/>
            <w:gridSpan w:val="3"/>
            <w:tcBorders>
              <w:bottom w:val="single" w:sz="4" w:space="0" w:color="auto"/>
              <w:right w:val="single" w:sz="4" w:space="0" w:color="auto"/>
            </w:tcBorders>
          </w:tcPr>
          <w:p w:rsidR="00EA656C" w:rsidRPr="00B74A55" w:rsidRDefault="00EA656C" w:rsidP="00832B51">
            <w:pPr>
              <w:pStyle w:val="a7"/>
              <w:ind w:left="-108"/>
              <w:jc w:val="center"/>
              <w:rPr>
                <w:b/>
                <w:sz w:val="22"/>
                <w:lang w:val="uk-UA"/>
              </w:rPr>
            </w:pPr>
            <w:r w:rsidRPr="00B74A55">
              <w:rPr>
                <w:b/>
                <w:sz w:val="22"/>
                <w:lang w:val="uk-UA"/>
              </w:rPr>
              <w:t>Найменування показника</w:t>
            </w:r>
          </w:p>
        </w:tc>
        <w:tc>
          <w:tcPr>
            <w:tcW w:w="1701" w:type="dxa"/>
            <w:gridSpan w:val="2"/>
            <w:tcBorders>
              <w:left w:val="single" w:sz="4" w:space="0" w:color="auto"/>
              <w:bottom w:val="single" w:sz="4" w:space="0" w:color="auto"/>
              <w:right w:val="single" w:sz="4" w:space="0" w:color="auto"/>
            </w:tcBorders>
          </w:tcPr>
          <w:p w:rsidR="00EA656C" w:rsidRPr="00B74A55" w:rsidRDefault="00EA656C" w:rsidP="00832B51">
            <w:pPr>
              <w:pStyle w:val="a7"/>
              <w:ind w:left="0"/>
              <w:jc w:val="center"/>
              <w:rPr>
                <w:b/>
                <w:sz w:val="22"/>
                <w:lang w:val="uk-UA"/>
              </w:rPr>
            </w:pPr>
            <w:r w:rsidRPr="00B74A55">
              <w:rPr>
                <w:b/>
                <w:sz w:val="22"/>
                <w:lang w:val="uk-UA"/>
              </w:rPr>
              <w:t>Одиниця вимірювання</w:t>
            </w:r>
          </w:p>
          <w:p w:rsidR="00EA656C" w:rsidRPr="00B74A55" w:rsidRDefault="00EA656C" w:rsidP="00832B51">
            <w:pPr>
              <w:pStyle w:val="a7"/>
              <w:ind w:left="0"/>
              <w:rPr>
                <w:b/>
                <w:sz w:val="22"/>
                <w:lang w:val="uk-UA"/>
              </w:rPr>
            </w:pPr>
          </w:p>
        </w:tc>
        <w:tc>
          <w:tcPr>
            <w:tcW w:w="1524" w:type="dxa"/>
            <w:gridSpan w:val="2"/>
            <w:tcBorders>
              <w:left w:val="single" w:sz="4" w:space="0" w:color="auto"/>
              <w:bottom w:val="single" w:sz="4" w:space="0" w:color="auto"/>
            </w:tcBorders>
          </w:tcPr>
          <w:p w:rsidR="00EA656C" w:rsidRPr="00B74A55" w:rsidRDefault="00EA656C" w:rsidP="00832B51">
            <w:pPr>
              <w:pStyle w:val="a7"/>
              <w:ind w:left="0"/>
              <w:jc w:val="center"/>
              <w:rPr>
                <w:b/>
                <w:sz w:val="22"/>
                <w:lang w:val="uk-UA"/>
              </w:rPr>
            </w:pPr>
            <w:r w:rsidRPr="00B74A55">
              <w:rPr>
                <w:b/>
                <w:sz w:val="22"/>
                <w:lang w:val="uk-UA"/>
              </w:rPr>
              <w:t>Прогнозне (цільове) значення</w:t>
            </w:r>
          </w:p>
        </w:tc>
      </w:tr>
      <w:tr w:rsidR="00EA656C" w:rsidRPr="00B74A55" w:rsidTr="00F34B87">
        <w:trPr>
          <w:trHeight w:val="585"/>
        </w:trPr>
        <w:tc>
          <w:tcPr>
            <w:tcW w:w="2978" w:type="dxa"/>
            <w:vMerge/>
            <w:shd w:val="clear" w:color="auto" w:fill="C6D9F1" w:themeFill="text2" w:themeFillTint="33"/>
          </w:tcPr>
          <w:p w:rsidR="00EA656C" w:rsidRPr="00B74A55" w:rsidRDefault="00EA656C" w:rsidP="00832B51">
            <w:pPr>
              <w:pStyle w:val="a7"/>
              <w:ind w:left="0"/>
              <w:rPr>
                <w:b/>
                <w:sz w:val="22"/>
                <w:lang w:val="uk-UA"/>
              </w:rPr>
            </w:pPr>
          </w:p>
        </w:tc>
        <w:tc>
          <w:tcPr>
            <w:tcW w:w="3685" w:type="dxa"/>
            <w:gridSpan w:val="3"/>
            <w:tcBorders>
              <w:top w:val="single" w:sz="4" w:space="0" w:color="auto"/>
              <w:bottom w:val="single" w:sz="4" w:space="0" w:color="auto"/>
              <w:right w:val="single" w:sz="4" w:space="0" w:color="auto"/>
            </w:tcBorders>
          </w:tcPr>
          <w:p w:rsidR="00EA656C" w:rsidRPr="00B74A55" w:rsidRDefault="00EA656C" w:rsidP="00832B51">
            <w:pPr>
              <w:pStyle w:val="a7"/>
              <w:ind w:left="0"/>
              <w:jc w:val="center"/>
              <w:rPr>
                <w:sz w:val="22"/>
                <w:lang w:val="uk-UA"/>
              </w:rPr>
            </w:pPr>
            <w:r w:rsidRPr="00B74A55">
              <w:rPr>
                <w:sz w:val="22"/>
                <w:lang w:val="uk-UA"/>
              </w:rPr>
              <w:t>Кількість фізичних та юридичних осіб, які звернулись за послугами протягом  року</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A656C" w:rsidRPr="00B74A55" w:rsidRDefault="00EA656C" w:rsidP="00832B51">
            <w:pPr>
              <w:pStyle w:val="a7"/>
              <w:ind w:left="0"/>
              <w:jc w:val="center"/>
              <w:rPr>
                <w:sz w:val="22"/>
                <w:lang w:val="uk-UA"/>
              </w:rPr>
            </w:pPr>
            <w:r w:rsidRPr="00B74A55">
              <w:rPr>
                <w:sz w:val="22"/>
                <w:lang w:val="uk-UA"/>
              </w:rPr>
              <w:t>осіб</w:t>
            </w:r>
          </w:p>
        </w:tc>
        <w:tc>
          <w:tcPr>
            <w:tcW w:w="1524" w:type="dxa"/>
            <w:gridSpan w:val="2"/>
            <w:tcBorders>
              <w:top w:val="single" w:sz="4" w:space="0" w:color="auto"/>
              <w:left w:val="single" w:sz="4" w:space="0" w:color="auto"/>
              <w:bottom w:val="single" w:sz="4" w:space="0" w:color="auto"/>
            </w:tcBorders>
          </w:tcPr>
          <w:p w:rsidR="00EA656C" w:rsidRPr="00B74A55" w:rsidRDefault="00EA656C" w:rsidP="00832B51">
            <w:pPr>
              <w:pStyle w:val="a7"/>
              <w:ind w:left="0"/>
              <w:jc w:val="center"/>
              <w:rPr>
                <w:b/>
                <w:sz w:val="22"/>
                <w:lang w:val="uk-UA"/>
              </w:rPr>
            </w:pPr>
            <w:r w:rsidRPr="00B74A55">
              <w:rPr>
                <w:sz w:val="22"/>
                <w:lang w:val="uk-UA"/>
              </w:rPr>
              <w:t>606</w:t>
            </w:r>
          </w:p>
        </w:tc>
      </w:tr>
      <w:tr w:rsidR="00EA656C" w:rsidRPr="00B74A55" w:rsidTr="00F34B87">
        <w:trPr>
          <w:trHeight w:val="184"/>
        </w:trPr>
        <w:tc>
          <w:tcPr>
            <w:tcW w:w="2978" w:type="dxa"/>
            <w:vMerge/>
            <w:shd w:val="clear" w:color="auto" w:fill="C6D9F1" w:themeFill="text2" w:themeFillTint="33"/>
          </w:tcPr>
          <w:p w:rsidR="00EA656C" w:rsidRPr="00B74A55" w:rsidRDefault="00EA656C" w:rsidP="00832B51">
            <w:pPr>
              <w:pStyle w:val="a7"/>
              <w:ind w:left="0"/>
              <w:rPr>
                <w:b/>
                <w:sz w:val="22"/>
                <w:lang w:val="uk-UA"/>
              </w:rPr>
            </w:pPr>
          </w:p>
        </w:tc>
        <w:tc>
          <w:tcPr>
            <w:tcW w:w="3685" w:type="dxa"/>
            <w:gridSpan w:val="3"/>
            <w:tcBorders>
              <w:top w:val="single" w:sz="4" w:space="0" w:color="auto"/>
              <w:bottom w:val="single" w:sz="4" w:space="0" w:color="auto"/>
              <w:right w:val="single" w:sz="4" w:space="0" w:color="auto"/>
            </w:tcBorders>
          </w:tcPr>
          <w:p w:rsidR="00EA656C" w:rsidRPr="00B74A55" w:rsidRDefault="00EA656C" w:rsidP="00832B51">
            <w:pPr>
              <w:pStyle w:val="a7"/>
              <w:ind w:left="0"/>
              <w:jc w:val="center"/>
              <w:rPr>
                <w:sz w:val="22"/>
                <w:lang w:val="uk-UA"/>
              </w:rPr>
            </w:pPr>
            <w:r w:rsidRPr="00B74A55">
              <w:rPr>
                <w:sz w:val="22"/>
                <w:lang w:val="uk-UA"/>
              </w:rPr>
              <w:t>Кількість уроків</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A656C" w:rsidRPr="00B74A55" w:rsidRDefault="00EA656C" w:rsidP="00832B51">
            <w:pPr>
              <w:pStyle w:val="a7"/>
              <w:ind w:left="0"/>
              <w:jc w:val="center"/>
              <w:rPr>
                <w:sz w:val="22"/>
                <w:lang w:val="uk-UA"/>
              </w:rPr>
            </w:pPr>
            <w:r w:rsidRPr="00B74A55">
              <w:rPr>
                <w:sz w:val="22"/>
                <w:lang w:val="uk-UA"/>
              </w:rPr>
              <w:t>одиниць</w:t>
            </w:r>
          </w:p>
        </w:tc>
        <w:tc>
          <w:tcPr>
            <w:tcW w:w="1524" w:type="dxa"/>
            <w:gridSpan w:val="2"/>
            <w:tcBorders>
              <w:top w:val="single" w:sz="4" w:space="0" w:color="auto"/>
              <w:left w:val="single" w:sz="4" w:space="0" w:color="auto"/>
              <w:bottom w:val="single" w:sz="4" w:space="0" w:color="auto"/>
            </w:tcBorders>
          </w:tcPr>
          <w:p w:rsidR="00EA656C" w:rsidRPr="00B74A55" w:rsidRDefault="00EA656C" w:rsidP="00832B51">
            <w:pPr>
              <w:pStyle w:val="a7"/>
              <w:ind w:left="0"/>
              <w:jc w:val="center"/>
              <w:rPr>
                <w:sz w:val="22"/>
                <w:lang w:val="uk-UA"/>
              </w:rPr>
            </w:pPr>
            <w:r w:rsidRPr="00B74A55">
              <w:rPr>
                <w:sz w:val="22"/>
                <w:lang w:val="uk-UA"/>
              </w:rPr>
              <w:t>63</w:t>
            </w:r>
          </w:p>
        </w:tc>
      </w:tr>
      <w:tr w:rsidR="00EA656C" w:rsidRPr="00B74A55" w:rsidTr="00F34B87">
        <w:trPr>
          <w:trHeight w:val="165"/>
        </w:trPr>
        <w:tc>
          <w:tcPr>
            <w:tcW w:w="2978" w:type="dxa"/>
            <w:vMerge/>
            <w:shd w:val="clear" w:color="auto" w:fill="C6D9F1" w:themeFill="text2" w:themeFillTint="33"/>
          </w:tcPr>
          <w:p w:rsidR="00EA656C" w:rsidRPr="00B74A55" w:rsidRDefault="00EA656C" w:rsidP="00832B51">
            <w:pPr>
              <w:pStyle w:val="a7"/>
              <w:ind w:left="0"/>
              <w:rPr>
                <w:b/>
                <w:sz w:val="22"/>
                <w:lang w:val="uk-UA"/>
              </w:rPr>
            </w:pPr>
          </w:p>
        </w:tc>
        <w:tc>
          <w:tcPr>
            <w:tcW w:w="3685" w:type="dxa"/>
            <w:gridSpan w:val="3"/>
            <w:tcBorders>
              <w:top w:val="single" w:sz="4" w:space="0" w:color="auto"/>
              <w:bottom w:val="single" w:sz="4" w:space="0" w:color="auto"/>
              <w:right w:val="single" w:sz="4" w:space="0" w:color="auto"/>
            </w:tcBorders>
          </w:tcPr>
          <w:p w:rsidR="00EA656C" w:rsidRPr="00B74A55" w:rsidRDefault="00EA656C" w:rsidP="00832B51">
            <w:pPr>
              <w:pStyle w:val="a7"/>
              <w:ind w:left="0"/>
              <w:jc w:val="center"/>
              <w:rPr>
                <w:sz w:val="22"/>
                <w:lang w:val="uk-UA"/>
              </w:rPr>
            </w:pPr>
            <w:r w:rsidRPr="00B74A55">
              <w:rPr>
                <w:sz w:val="22"/>
                <w:lang w:val="uk-UA"/>
              </w:rPr>
              <w:t>Середня вартість послуг</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A656C" w:rsidRPr="00B74A55" w:rsidRDefault="00EA656C" w:rsidP="00832B51">
            <w:pPr>
              <w:pStyle w:val="a7"/>
              <w:ind w:left="0"/>
              <w:jc w:val="center"/>
              <w:rPr>
                <w:sz w:val="22"/>
                <w:lang w:val="uk-UA"/>
              </w:rPr>
            </w:pPr>
            <w:r w:rsidRPr="00B74A55">
              <w:rPr>
                <w:sz w:val="22"/>
                <w:lang w:val="uk-UA"/>
              </w:rPr>
              <w:t>грн</w:t>
            </w:r>
          </w:p>
        </w:tc>
        <w:tc>
          <w:tcPr>
            <w:tcW w:w="1524" w:type="dxa"/>
            <w:gridSpan w:val="2"/>
            <w:tcBorders>
              <w:top w:val="single" w:sz="4" w:space="0" w:color="auto"/>
              <w:left w:val="single" w:sz="4" w:space="0" w:color="auto"/>
              <w:bottom w:val="single" w:sz="4" w:space="0" w:color="auto"/>
            </w:tcBorders>
          </w:tcPr>
          <w:p w:rsidR="00EA656C" w:rsidRPr="00B74A55" w:rsidRDefault="00EA656C" w:rsidP="00832B51">
            <w:pPr>
              <w:pStyle w:val="a7"/>
              <w:ind w:left="0"/>
              <w:jc w:val="center"/>
              <w:rPr>
                <w:sz w:val="22"/>
                <w:lang w:val="uk-UA"/>
              </w:rPr>
            </w:pPr>
            <w:r w:rsidRPr="00B74A55">
              <w:rPr>
                <w:sz w:val="22"/>
                <w:lang w:val="uk-UA"/>
              </w:rPr>
              <w:t>1000,1</w:t>
            </w:r>
          </w:p>
        </w:tc>
      </w:tr>
      <w:tr w:rsidR="00EA656C" w:rsidRPr="00B74A55" w:rsidTr="00F34B87">
        <w:trPr>
          <w:trHeight w:val="150"/>
        </w:trPr>
        <w:tc>
          <w:tcPr>
            <w:tcW w:w="2978" w:type="dxa"/>
            <w:vMerge/>
            <w:shd w:val="clear" w:color="auto" w:fill="C6D9F1" w:themeFill="text2" w:themeFillTint="33"/>
          </w:tcPr>
          <w:p w:rsidR="00EA656C" w:rsidRPr="00B74A55" w:rsidRDefault="00EA656C" w:rsidP="00832B51">
            <w:pPr>
              <w:pStyle w:val="a7"/>
              <w:ind w:left="0"/>
              <w:rPr>
                <w:b/>
                <w:sz w:val="22"/>
                <w:lang w:val="uk-UA"/>
              </w:rPr>
            </w:pPr>
          </w:p>
        </w:tc>
        <w:tc>
          <w:tcPr>
            <w:tcW w:w="3685" w:type="dxa"/>
            <w:gridSpan w:val="3"/>
            <w:tcBorders>
              <w:top w:val="single" w:sz="4" w:space="0" w:color="auto"/>
              <w:right w:val="single" w:sz="4" w:space="0" w:color="auto"/>
            </w:tcBorders>
          </w:tcPr>
          <w:p w:rsidR="00EA656C" w:rsidRPr="00B74A55" w:rsidRDefault="00EA656C" w:rsidP="00832B51">
            <w:pPr>
              <w:pStyle w:val="a7"/>
              <w:ind w:left="0"/>
              <w:jc w:val="center"/>
              <w:rPr>
                <w:sz w:val="22"/>
                <w:lang w:val="uk-UA"/>
              </w:rPr>
            </w:pPr>
            <w:r w:rsidRPr="00B74A55">
              <w:rPr>
                <w:sz w:val="22"/>
                <w:lang w:val="uk-UA"/>
              </w:rPr>
              <w:t>Термін надання послуги</w:t>
            </w:r>
          </w:p>
        </w:tc>
        <w:tc>
          <w:tcPr>
            <w:tcW w:w="1701" w:type="dxa"/>
            <w:gridSpan w:val="2"/>
            <w:tcBorders>
              <w:top w:val="single" w:sz="4" w:space="0" w:color="auto"/>
              <w:left w:val="single" w:sz="4" w:space="0" w:color="auto"/>
              <w:right w:val="single" w:sz="4" w:space="0" w:color="auto"/>
            </w:tcBorders>
            <w:vAlign w:val="center"/>
          </w:tcPr>
          <w:p w:rsidR="00EA656C" w:rsidRPr="00B74A55" w:rsidRDefault="00EA656C" w:rsidP="00832B51">
            <w:pPr>
              <w:pStyle w:val="a7"/>
              <w:ind w:left="0"/>
              <w:jc w:val="center"/>
              <w:rPr>
                <w:sz w:val="22"/>
                <w:lang w:val="uk-UA"/>
              </w:rPr>
            </w:pPr>
            <w:r w:rsidRPr="00B74A55">
              <w:rPr>
                <w:sz w:val="22"/>
                <w:lang w:val="uk-UA"/>
              </w:rPr>
              <w:t>день</w:t>
            </w:r>
          </w:p>
        </w:tc>
        <w:tc>
          <w:tcPr>
            <w:tcW w:w="1524" w:type="dxa"/>
            <w:gridSpan w:val="2"/>
            <w:tcBorders>
              <w:top w:val="single" w:sz="4" w:space="0" w:color="auto"/>
              <w:left w:val="single" w:sz="4" w:space="0" w:color="auto"/>
            </w:tcBorders>
          </w:tcPr>
          <w:p w:rsidR="00EA656C" w:rsidRPr="00B74A55" w:rsidRDefault="00EA656C" w:rsidP="00832B51">
            <w:pPr>
              <w:pStyle w:val="a7"/>
              <w:ind w:left="0"/>
              <w:jc w:val="center"/>
              <w:rPr>
                <w:sz w:val="22"/>
                <w:lang w:val="uk-UA"/>
              </w:rPr>
            </w:pPr>
            <w:r w:rsidRPr="00B74A55">
              <w:rPr>
                <w:sz w:val="22"/>
                <w:lang w:val="uk-UA"/>
              </w:rPr>
              <w:t>365</w:t>
            </w:r>
          </w:p>
        </w:tc>
      </w:tr>
      <w:tr w:rsidR="00EA656C" w:rsidRPr="00B74A55" w:rsidTr="00F34B87">
        <w:trPr>
          <w:trHeight w:val="150"/>
        </w:trPr>
        <w:tc>
          <w:tcPr>
            <w:tcW w:w="2978" w:type="dxa"/>
            <w:shd w:val="clear" w:color="auto" w:fill="C6D9F1" w:themeFill="text2" w:themeFillTint="33"/>
          </w:tcPr>
          <w:p w:rsidR="00EA656C" w:rsidRPr="00B74A55" w:rsidRDefault="00EA656C" w:rsidP="00832B51">
            <w:pPr>
              <w:pStyle w:val="a7"/>
              <w:ind w:left="0"/>
              <w:rPr>
                <w:b/>
                <w:sz w:val="22"/>
                <w:lang w:val="uk-UA"/>
              </w:rPr>
            </w:pPr>
          </w:p>
        </w:tc>
        <w:tc>
          <w:tcPr>
            <w:tcW w:w="3685" w:type="dxa"/>
            <w:gridSpan w:val="3"/>
            <w:tcBorders>
              <w:top w:val="single" w:sz="4" w:space="0" w:color="auto"/>
              <w:right w:val="single" w:sz="4" w:space="0" w:color="auto"/>
            </w:tcBorders>
          </w:tcPr>
          <w:p w:rsidR="00EA656C" w:rsidRPr="00B74A55" w:rsidRDefault="00EA656C" w:rsidP="001717F0">
            <w:pPr>
              <w:pStyle w:val="a7"/>
              <w:ind w:left="0"/>
              <w:jc w:val="center"/>
              <w:rPr>
                <w:sz w:val="22"/>
                <w:lang w:val="uk-UA"/>
              </w:rPr>
            </w:pPr>
            <w:r w:rsidRPr="00B74A55">
              <w:rPr>
                <w:sz w:val="22"/>
                <w:lang w:val="uk-UA"/>
              </w:rPr>
              <w:t>Кількість населених пунктів, як</w:t>
            </w:r>
            <w:r w:rsidR="001717F0" w:rsidRPr="00B74A55">
              <w:rPr>
                <w:sz w:val="22"/>
                <w:lang w:val="uk-UA"/>
              </w:rPr>
              <w:t>і</w:t>
            </w:r>
            <w:r w:rsidRPr="00B74A55">
              <w:rPr>
                <w:sz w:val="22"/>
                <w:lang w:val="uk-UA"/>
              </w:rPr>
              <w:t xml:space="preserve"> обслуговує </w:t>
            </w:r>
            <w:r w:rsidR="001717F0" w:rsidRPr="00B74A55">
              <w:rPr>
                <w:sz w:val="22"/>
                <w:lang w:val="uk-UA"/>
              </w:rPr>
              <w:t>заклад</w:t>
            </w:r>
          </w:p>
        </w:tc>
        <w:tc>
          <w:tcPr>
            <w:tcW w:w="1701" w:type="dxa"/>
            <w:gridSpan w:val="2"/>
            <w:tcBorders>
              <w:top w:val="single" w:sz="4" w:space="0" w:color="auto"/>
              <w:left w:val="single" w:sz="4" w:space="0" w:color="auto"/>
              <w:right w:val="single" w:sz="4" w:space="0" w:color="auto"/>
            </w:tcBorders>
            <w:vAlign w:val="center"/>
          </w:tcPr>
          <w:p w:rsidR="00EA656C" w:rsidRPr="00B74A55" w:rsidRDefault="00EA656C" w:rsidP="00832B51">
            <w:pPr>
              <w:pStyle w:val="a7"/>
              <w:ind w:left="0"/>
              <w:jc w:val="center"/>
              <w:rPr>
                <w:sz w:val="22"/>
                <w:lang w:val="uk-UA"/>
              </w:rPr>
            </w:pPr>
            <w:r w:rsidRPr="00B74A55">
              <w:rPr>
                <w:sz w:val="22"/>
                <w:lang w:val="uk-UA"/>
              </w:rPr>
              <w:t>одиниць</w:t>
            </w:r>
          </w:p>
        </w:tc>
        <w:tc>
          <w:tcPr>
            <w:tcW w:w="1524" w:type="dxa"/>
            <w:gridSpan w:val="2"/>
            <w:tcBorders>
              <w:top w:val="single" w:sz="4" w:space="0" w:color="auto"/>
              <w:left w:val="single" w:sz="4" w:space="0" w:color="auto"/>
            </w:tcBorders>
          </w:tcPr>
          <w:p w:rsidR="00EA656C" w:rsidRPr="00B74A55" w:rsidRDefault="00EA656C" w:rsidP="00832B51">
            <w:pPr>
              <w:pStyle w:val="a7"/>
              <w:ind w:left="0"/>
              <w:jc w:val="center"/>
              <w:rPr>
                <w:sz w:val="22"/>
                <w:lang w:val="uk-UA"/>
              </w:rPr>
            </w:pPr>
            <w:r w:rsidRPr="00B74A55">
              <w:rPr>
                <w:sz w:val="22"/>
                <w:lang w:val="uk-UA"/>
              </w:rPr>
              <w:t>20</w:t>
            </w:r>
          </w:p>
        </w:tc>
      </w:tr>
      <w:tr w:rsidR="00EA656C" w:rsidRPr="00B74A55" w:rsidTr="00F34B87">
        <w:tc>
          <w:tcPr>
            <w:tcW w:w="2978" w:type="dxa"/>
            <w:shd w:val="clear" w:color="auto" w:fill="C6D9F1" w:themeFill="text2" w:themeFillTint="33"/>
          </w:tcPr>
          <w:p w:rsidR="00EA656C" w:rsidRPr="00B74A55" w:rsidRDefault="00EA656C" w:rsidP="00832B51">
            <w:pPr>
              <w:rPr>
                <w:b/>
                <w:sz w:val="22"/>
                <w:lang w:val="uk-UA"/>
              </w:rPr>
            </w:pPr>
            <w:r w:rsidRPr="00B74A55">
              <w:rPr>
                <w:b/>
                <w:sz w:val="22"/>
                <w:lang w:val="uk-UA"/>
              </w:rPr>
              <w:t xml:space="preserve">Ключові заходи проекту: </w:t>
            </w:r>
          </w:p>
          <w:p w:rsidR="00EA656C" w:rsidRPr="00B74A55" w:rsidRDefault="00EA656C" w:rsidP="00832B51">
            <w:pPr>
              <w:pStyle w:val="a7"/>
              <w:ind w:left="0"/>
              <w:rPr>
                <w:b/>
                <w:sz w:val="22"/>
                <w:lang w:val="uk-UA"/>
              </w:rPr>
            </w:pPr>
          </w:p>
        </w:tc>
        <w:tc>
          <w:tcPr>
            <w:tcW w:w="6910" w:type="dxa"/>
            <w:gridSpan w:val="7"/>
          </w:tcPr>
          <w:p w:rsidR="00EA656C" w:rsidRPr="00B74A55" w:rsidRDefault="00EA656C" w:rsidP="00832B51">
            <w:pPr>
              <w:pStyle w:val="a7"/>
              <w:ind w:left="0"/>
              <w:rPr>
                <w:sz w:val="22"/>
                <w:lang w:val="uk-UA"/>
              </w:rPr>
            </w:pPr>
            <w:r w:rsidRPr="00B74A55">
              <w:rPr>
                <w:sz w:val="22"/>
                <w:lang w:val="uk-UA"/>
              </w:rPr>
              <w:t>- обстеження стану будівлі освітнього закладу ;</w:t>
            </w:r>
          </w:p>
          <w:p w:rsidR="00EA656C" w:rsidRPr="00B74A55" w:rsidRDefault="00EA656C" w:rsidP="00832B51">
            <w:pPr>
              <w:pStyle w:val="a7"/>
              <w:ind w:left="0"/>
              <w:rPr>
                <w:sz w:val="22"/>
                <w:lang w:val="uk-UA"/>
              </w:rPr>
            </w:pPr>
            <w:r w:rsidRPr="00B74A55">
              <w:rPr>
                <w:sz w:val="22"/>
                <w:lang w:val="uk-UA"/>
              </w:rPr>
              <w:t>- проведення інвентаризації основних засобів;</w:t>
            </w:r>
          </w:p>
          <w:p w:rsidR="00EA656C" w:rsidRPr="00B74A55" w:rsidRDefault="00EA656C" w:rsidP="00832B51">
            <w:pPr>
              <w:pStyle w:val="a7"/>
              <w:ind w:left="0"/>
              <w:rPr>
                <w:sz w:val="22"/>
                <w:lang w:val="uk-UA"/>
              </w:rPr>
            </w:pPr>
            <w:r w:rsidRPr="00B74A55">
              <w:rPr>
                <w:sz w:val="22"/>
                <w:lang w:val="uk-UA"/>
              </w:rPr>
              <w:t xml:space="preserve"> - придбання технічного забезпечення для закладу;</w:t>
            </w:r>
          </w:p>
          <w:p w:rsidR="00EA656C" w:rsidRPr="00B74A55" w:rsidRDefault="00EA656C" w:rsidP="00832B51">
            <w:pPr>
              <w:pStyle w:val="a7"/>
              <w:ind w:left="0"/>
              <w:rPr>
                <w:sz w:val="22"/>
                <w:lang w:val="uk-UA"/>
              </w:rPr>
            </w:pPr>
            <w:r w:rsidRPr="00B74A55">
              <w:rPr>
                <w:sz w:val="22"/>
                <w:lang w:val="uk-UA"/>
              </w:rPr>
              <w:t>- придбання технологічного забезпечення;</w:t>
            </w:r>
          </w:p>
          <w:p w:rsidR="00EA656C" w:rsidRPr="00B74A55" w:rsidRDefault="00EA656C" w:rsidP="00832B51">
            <w:pPr>
              <w:pStyle w:val="a7"/>
              <w:ind w:left="0"/>
              <w:rPr>
                <w:sz w:val="22"/>
                <w:lang w:val="uk-UA"/>
              </w:rPr>
            </w:pPr>
            <w:r w:rsidRPr="00B74A55">
              <w:rPr>
                <w:sz w:val="22"/>
                <w:lang w:val="uk-UA"/>
              </w:rPr>
              <w:t>- визначення кількості осіб, які потребують отримання соціальних, освітніх, послуг від освітнього закладу;</w:t>
            </w:r>
          </w:p>
          <w:p w:rsidR="00EA656C" w:rsidRPr="00B74A55" w:rsidRDefault="00EA656C" w:rsidP="00832B51">
            <w:pPr>
              <w:pStyle w:val="a7"/>
              <w:ind w:left="0"/>
              <w:rPr>
                <w:sz w:val="22"/>
                <w:lang w:val="uk-UA"/>
              </w:rPr>
            </w:pPr>
            <w:r w:rsidRPr="00B74A55">
              <w:rPr>
                <w:sz w:val="22"/>
                <w:lang w:val="uk-UA"/>
              </w:rPr>
              <w:t>- організація та початок освітнього процесу.</w:t>
            </w:r>
          </w:p>
        </w:tc>
      </w:tr>
      <w:tr w:rsidR="00EA656C" w:rsidRPr="00B74A55" w:rsidTr="00F34B87">
        <w:trPr>
          <w:trHeight w:val="360"/>
        </w:trPr>
        <w:tc>
          <w:tcPr>
            <w:tcW w:w="2978" w:type="dxa"/>
            <w:vMerge w:val="restart"/>
            <w:shd w:val="clear" w:color="auto" w:fill="C6D9F1" w:themeFill="text2" w:themeFillTint="33"/>
          </w:tcPr>
          <w:p w:rsidR="00EA656C" w:rsidRPr="00B74A55" w:rsidRDefault="00EA656C" w:rsidP="00832B51">
            <w:pPr>
              <w:pStyle w:val="a7"/>
              <w:ind w:left="0"/>
              <w:rPr>
                <w:b/>
                <w:sz w:val="22"/>
                <w:lang w:val="uk-UA"/>
              </w:rPr>
            </w:pPr>
            <w:r w:rsidRPr="00B74A55">
              <w:rPr>
                <w:b/>
                <w:sz w:val="22"/>
                <w:lang w:val="uk-UA"/>
              </w:rPr>
              <w:t xml:space="preserve">Орієнтовний обсяг та джерела фінансування, тис. грн. </w:t>
            </w:r>
          </w:p>
          <w:p w:rsidR="00EA656C" w:rsidRPr="00B74A55" w:rsidRDefault="00EA656C" w:rsidP="00832B51">
            <w:pPr>
              <w:pStyle w:val="a7"/>
              <w:ind w:left="0"/>
              <w:rPr>
                <w:b/>
                <w:sz w:val="22"/>
                <w:lang w:val="uk-UA"/>
              </w:rPr>
            </w:pPr>
          </w:p>
        </w:tc>
        <w:tc>
          <w:tcPr>
            <w:tcW w:w="1559" w:type="dxa"/>
            <w:tcBorders>
              <w:bottom w:val="single" w:sz="4" w:space="0" w:color="auto"/>
              <w:right w:val="single" w:sz="4" w:space="0" w:color="auto"/>
            </w:tcBorders>
          </w:tcPr>
          <w:p w:rsidR="00EA656C" w:rsidRPr="00B74A55" w:rsidRDefault="00EA656C" w:rsidP="00832B51">
            <w:pPr>
              <w:pStyle w:val="a7"/>
              <w:ind w:left="0"/>
              <w:jc w:val="center"/>
              <w:rPr>
                <w:b/>
                <w:sz w:val="22"/>
                <w:lang w:val="uk-UA"/>
              </w:rPr>
            </w:pPr>
            <w:r w:rsidRPr="00B74A55">
              <w:rPr>
                <w:b/>
                <w:sz w:val="22"/>
                <w:lang w:val="uk-UA"/>
              </w:rPr>
              <w:t>Державний бюджет</w:t>
            </w:r>
          </w:p>
        </w:tc>
        <w:tc>
          <w:tcPr>
            <w:tcW w:w="1417" w:type="dxa"/>
            <w:tcBorders>
              <w:bottom w:val="single" w:sz="4" w:space="0" w:color="auto"/>
              <w:right w:val="single" w:sz="4" w:space="0" w:color="auto"/>
            </w:tcBorders>
          </w:tcPr>
          <w:p w:rsidR="00EA656C" w:rsidRPr="00B74A55" w:rsidRDefault="00EA656C" w:rsidP="00832B51">
            <w:pPr>
              <w:pStyle w:val="a7"/>
              <w:ind w:left="0"/>
              <w:jc w:val="center"/>
              <w:rPr>
                <w:b/>
                <w:sz w:val="22"/>
                <w:lang w:val="uk-UA"/>
              </w:rPr>
            </w:pPr>
            <w:r w:rsidRPr="00B74A55">
              <w:rPr>
                <w:b/>
                <w:sz w:val="22"/>
                <w:lang w:val="uk-UA"/>
              </w:rPr>
              <w:t>Місцевий бюджет</w:t>
            </w:r>
          </w:p>
        </w:tc>
        <w:tc>
          <w:tcPr>
            <w:tcW w:w="2557" w:type="dxa"/>
            <w:gridSpan w:val="4"/>
            <w:tcBorders>
              <w:left w:val="single" w:sz="4" w:space="0" w:color="auto"/>
              <w:bottom w:val="single" w:sz="4" w:space="0" w:color="auto"/>
              <w:right w:val="single" w:sz="4" w:space="0" w:color="auto"/>
            </w:tcBorders>
          </w:tcPr>
          <w:p w:rsidR="00EA656C" w:rsidRPr="00B74A55" w:rsidRDefault="00EA656C" w:rsidP="00832B51">
            <w:pPr>
              <w:pStyle w:val="a7"/>
              <w:ind w:left="0"/>
              <w:jc w:val="center"/>
              <w:rPr>
                <w:b/>
                <w:sz w:val="22"/>
                <w:lang w:val="uk-UA"/>
              </w:rPr>
            </w:pPr>
            <w:r w:rsidRPr="00B74A55">
              <w:rPr>
                <w:b/>
                <w:sz w:val="22"/>
                <w:lang w:val="uk-UA"/>
              </w:rPr>
              <w:t>Інші джерела</w:t>
            </w:r>
          </w:p>
        </w:tc>
        <w:tc>
          <w:tcPr>
            <w:tcW w:w="1377" w:type="dxa"/>
            <w:tcBorders>
              <w:left w:val="single" w:sz="4" w:space="0" w:color="auto"/>
              <w:bottom w:val="single" w:sz="4" w:space="0" w:color="auto"/>
            </w:tcBorders>
          </w:tcPr>
          <w:p w:rsidR="00EA656C" w:rsidRPr="00B74A55" w:rsidRDefault="00EA656C" w:rsidP="00832B51">
            <w:pPr>
              <w:pStyle w:val="a7"/>
              <w:ind w:left="0"/>
              <w:jc w:val="center"/>
              <w:rPr>
                <w:b/>
                <w:sz w:val="22"/>
                <w:lang w:val="uk-UA"/>
              </w:rPr>
            </w:pPr>
            <w:r w:rsidRPr="00B74A55">
              <w:rPr>
                <w:b/>
                <w:sz w:val="22"/>
                <w:lang w:val="uk-UA"/>
              </w:rPr>
              <w:t>Всього</w:t>
            </w:r>
          </w:p>
        </w:tc>
      </w:tr>
      <w:tr w:rsidR="00EA656C" w:rsidRPr="00B74A55" w:rsidTr="00F34B87">
        <w:trPr>
          <w:trHeight w:val="225"/>
        </w:trPr>
        <w:tc>
          <w:tcPr>
            <w:tcW w:w="2978" w:type="dxa"/>
            <w:vMerge/>
            <w:shd w:val="clear" w:color="auto" w:fill="C6D9F1" w:themeFill="text2" w:themeFillTint="33"/>
          </w:tcPr>
          <w:p w:rsidR="00EA656C" w:rsidRPr="00B74A55" w:rsidRDefault="00EA656C" w:rsidP="00832B51">
            <w:pPr>
              <w:pStyle w:val="a7"/>
              <w:ind w:left="0"/>
              <w:rPr>
                <w:b/>
                <w:sz w:val="22"/>
                <w:lang w:val="uk-UA"/>
              </w:rPr>
            </w:pPr>
          </w:p>
        </w:tc>
        <w:tc>
          <w:tcPr>
            <w:tcW w:w="1559" w:type="dxa"/>
            <w:vMerge w:val="restart"/>
            <w:tcBorders>
              <w:top w:val="single" w:sz="4" w:space="0" w:color="auto"/>
              <w:right w:val="single" w:sz="4" w:space="0" w:color="auto"/>
            </w:tcBorders>
          </w:tcPr>
          <w:p w:rsidR="00EA656C" w:rsidRPr="00B74A55" w:rsidRDefault="00EA656C" w:rsidP="00832B51">
            <w:pPr>
              <w:pStyle w:val="a7"/>
              <w:ind w:left="0"/>
              <w:jc w:val="center"/>
              <w:rPr>
                <w:sz w:val="22"/>
                <w:lang w:val="uk-UA"/>
              </w:rPr>
            </w:pPr>
            <w:r w:rsidRPr="00B74A55">
              <w:rPr>
                <w:sz w:val="22"/>
                <w:lang w:val="uk-UA"/>
              </w:rPr>
              <w:t>5000,5</w:t>
            </w:r>
          </w:p>
        </w:tc>
        <w:tc>
          <w:tcPr>
            <w:tcW w:w="1417" w:type="dxa"/>
            <w:vMerge w:val="restart"/>
            <w:tcBorders>
              <w:top w:val="single" w:sz="4" w:space="0" w:color="auto"/>
              <w:right w:val="single" w:sz="4" w:space="0" w:color="auto"/>
            </w:tcBorders>
          </w:tcPr>
          <w:p w:rsidR="00EA656C" w:rsidRPr="00B74A55" w:rsidRDefault="00EA656C" w:rsidP="00832B51">
            <w:pPr>
              <w:pStyle w:val="a7"/>
              <w:ind w:left="0"/>
              <w:jc w:val="center"/>
              <w:rPr>
                <w:b/>
                <w:sz w:val="22"/>
                <w:lang w:val="uk-UA"/>
              </w:rPr>
            </w:pPr>
            <w:r w:rsidRPr="00B74A55">
              <w:rPr>
                <w:b/>
                <w:sz w:val="22"/>
                <w:lang w:val="uk-UA"/>
              </w:rPr>
              <w:t>-</w:t>
            </w:r>
          </w:p>
        </w:tc>
        <w:tc>
          <w:tcPr>
            <w:tcW w:w="993" w:type="dxa"/>
            <w:gridSpan w:val="2"/>
            <w:tcBorders>
              <w:top w:val="single" w:sz="4" w:space="0" w:color="auto"/>
              <w:left w:val="single" w:sz="4" w:space="0" w:color="auto"/>
              <w:bottom w:val="single" w:sz="4" w:space="0" w:color="auto"/>
              <w:right w:val="single" w:sz="4" w:space="0" w:color="auto"/>
            </w:tcBorders>
          </w:tcPr>
          <w:p w:rsidR="00EA656C" w:rsidRPr="00B74A55" w:rsidRDefault="00EA656C" w:rsidP="00832B51">
            <w:pPr>
              <w:pStyle w:val="a7"/>
              <w:ind w:left="0"/>
              <w:jc w:val="center"/>
              <w:rPr>
                <w:b/>
                <w:sz w:val="22"/>
                <w:lang w:val="uk-UA"/>
              </w:rPr>
            </w:pPr>
            <w:r w:rsidRPr="00B74A55">
              <w:rPr>
                <w:b/>
                <w:sz w:val="22"/>
                <w:lang w:val="uk-UA"/>
              </w:rPr>
              <w:t>Обсяг</w:t>
            </w:r>
          </w:p>
        </w:tc>
        <w:tc>
          <w:tcPr>
            <w:tcW w:w="1564" w:type="dxa"/>
            <w:gridSpan w:val="2"/>
            <w:tcBorders>
              <w:top w:val="single" w:sz="4" w:space="0" w:color="auto"/>
              <w:left w:val="single" w:sz="4" w:space="0" w:color="auto"/>
              <w:bottom w:val="single" w:sz="4" w:space="0" w:color="auto"/>
              <w:right w:val="single" w:sz="4" w:space="0" w:color="auto"/>
            </w:tcBorders>
          </w:tcPr>
          <w:p w:rsidR="00EA656C" w:rsidRPr="00B74A55" w:rsidRDefault="00EA656C" w:rsidP="00832B51">
            <w:pPr>
              <w:pStyle w:val="a7"/>
              <w:ind w:left="0"/>
              <w:jc w:val="center"/>
              <w:rPr>
                <w:b/>
                <w:sz w:val="22"/>
                <w:lang w:val="uk-UA"/>
              </w:rPr>
            </w:pPr>
            <w:r w:rsidRPr="00B74A55">
              <w:rPr>
                <w:b/>
                <w:sz w:val="22"/>
                <w:lang w:val="uk-UA"/>
              </w:rPr>
              <w:t>Назва джерела</w:t>
            </w:r>
          </w:p>
        </w:tc>
        <w:tc>
          <w:tcPr>
            <w:tcW w:w="1377" w:type="dxa"/>
            <w:vMerge w:val="restart"/>
            <w:tcBorders>
              <w:top w:val="single" w:sz="4" w:space="0" w:color="auto"/>
              <w:left w:val="single" w:sz="4" w:space="0" w:color="auto"/>
            </w:tcBorders>
          </w:tcPr>
          <w:p w:rsidR="00EA656C" w:rsidRPr="00B74A55" w:rsidRDefault="00EA656C" w:rsidP="00832B51">
            <w:pPr>
              <w:pStyle w:val="a7"/>
              <w:ind w:left="0"/>
              <w:jc w:val="center"/>
              <w:rPr>
                <w:sz w:val="22"/>
                <w:lang w:val="uk-UA"/>
              </w:rPr>
            </w:pPr>
            <w:r w:rsidRPr="00B74A55">
              <w:rPr>
                <w:sz w:val="22"/>
                <w:lang w:val="uk-UA"/>
              </w:rPr>
              <w:t xml:space="preserve">5000,5 </w:t>
            </w:r>
          </w:p>
        </w:tc>
      </w:tr>
      <w:tr w:rsidR="00EA656C" w:rsidRPr="00B74A55" w:rsidTr="00F34B87">
        <w:trPr>
          <w:trHeight w:val="300"/>
        </w:trPr>
        <w:tc>
          <w:tcPr>
            <w:tcW w:w="2978" w:type="dxa"/>
            <w:vMerge/>
            <w:shd w:val="clear" w:color="auto" w:fill="C6D9F1" w:themeFill="text2" w:themeFillTint="33"/>
          </w:tcPr>
          <w:p w:rsidR="00EA656C" w:rsidRPr="00B74A55" w:rsidRDefault="00EA656C" w:rsidP="00832B51">
            <w:pPr>
              <w:pStyle w:val="a7"/>
              <w:ind w:left="0"/>
              <w:rPr>
                <w:b/>
                <w:sz w:val="22"/>
                <w:lang w:val="uk-UA"/>
              </w:rPr>
            </w:pPr>
          </w:p>
        </w:tc>
        <w:tc>
          <w:tcPr>
            <w:tcW w:w="1559" w:type="dxa"/>
            <w:vMerge/>
            <w:tcBorders>
              <w:right w:val="single" w:sz="4" w:space="0" w:color="auto"/>
            </w:tcBorders>
          </w:tcPr>
          <w:p w:rsidR="00EA656C" w:rsidRPr="00B74A55" w:rsidRDefault="00EA656C" w:rsidP="00832B51">
            <w:pPr>
              <w:pStyle w:val="a7"/>
              <w:ind w:left="0"/>
              <w:jc w:val="center"/>
              <w:rPr>
                <w:sz w:val="22"/>
                <w:lang w:val="uk-UA"/>
              </w:rPr>
            </w:pPr>
          </w:p>
        </w:tc>
        <w:tc>
          <w:tcPr>
            <w:tcW w:w="1417" w:type="dxa"/>
            <w:vMerge/>
            <w:tcBorders>
              <w:right w:val="single" w:sz="4" w:space="0" w:color="auto"/>
            </w:tcBorders>
          </w:tcPr>
          <w:p w:rsidR="00EA656C" w:rsidRPr="00B74A55" w:rsidRDefault="00EA656C" w:rsidP="00832B51">
            <w:pPr>
              <w:pStyle w:val="a7"/>
              <w:ind w:left="0"/>
              <w:jc w:val="center"/>
              <w:rPr>
                <w:b/>
                <w:sz w:val="22"/>
                <w:lang w:val="uk-UA"/>
              </w:rPr>
            </w:pPr>
          </w:p>
        </w:tc>
        <w:tc>
          <w:tcPr>
            <w:tcW w:w="993" w:type="dxa"/>
            <w:gridSpan w:val="2"/>
            <w:tcBorders>
              <w:top w:val="single" w:sz="4" w:space="0" w:color="auto"/>
              <w:left w:val="single" w:sz="4" w:space="0" w:color="auto"/>
              <w:right w:val="single" w:sz="4" w:space="0" w:color="auto"/>
            </w:tcBorders>
          </w:tcPr>
          <w:p w:rsidR="00EA656C" w:rsidRPr="00B74A55" w:rsidRDefault="00EA656C" w:rsidP="00832B51">
            <w:pPr>
              <w:pStyle w:val="a7"/>
              <w:ind w:left="0"/>
              <w:jc w:val="center"/>
              <w:rPr>
                <w:b/>
                <w:sz w:val="22"/>
                <w:lang w:val="uk-UA"/>
              </w:rPr>
            </w:pPr>
          </w:p>
        </w:tc>
        <w:tc>
          <w:tcPr>
            <w:tcW w:w="1564" w:type="dxa"/>
            <w:gridSpan w:val="2"/>
            <w:tcBorders>
              <w:top w:val="single" w:sz="4" w:space="0" w:color="auto"/>
              <w:left w:val="single" w:sz="4" w:space="0" w:color="auto"/>
              <w:right w:val="single" w:sz="4" w:space="0" w:color="auto"/>
            </w:tcBorders>
          </w:tcPr>
          <w:p w:rsidR="00EA656C" w:rsidRPr="00B74A55" w:rsidRDefault="00EA656C" w:rsidP="00EA656C">
            <w:pPr>
              <w:pStyle w:val="a7"/>
              <w:ind w:left="0"/>
              <w:jc w:val="center"/>
              <w:rPr>
                <w:sz w:val="22"/>
                <w:lang w:val="uk-UA"/>
              </w:rPr>
            </w:pPr>
            <w:r w:rsidRPr="00B74A55">
              <w:rPr>
                <w:sz w:val="22"/>
                <w:lang w:val="uk-UA"/>
              </w:rPr>
              <w:t xml:space="preserve">Міжнародні інвестиції </w:t>
            </w:r>
          </w:p>
        </w:tc>
        <w:tc>
          <w:tcPr>
            <w:tcW w:w="1377" w:type="dxa"/>
            <w:vMerge/>
            <w:tcBorders>
              <w:left w:val="single" w:sz="4" w:space="0" w:color="auto"/>
            </w:tcBorders>
          </w:tcPr>
          <w:p w:rsidR="00EA656C" w:rsidRPr="00B74A55" w:rsidRDefault="00EA656C" w:rsidP="00832B51">
            <w:pPr>
              <w:pStyle w:val="a7"/>
              <w:ind w:left="0"/>
              <w:jc w:val="center"/>
              <w:rPr>
                <w:sz w:val="22"/>
                <w:lang w:val="uk-UA"/>
              </w:rPr>
            </w:pPr>
          </w:p>
        </w:tc>
      </w:tr>
    </w:tbl>
    <w:p w:rsidR="00EA656C" w:rsidRPr="00B74A55" w:rsidRDefault="00EA656C" w:rsidP="00E95FB1">
      <w:pPr>
        <w:rPr>
          <w:sz w:val="22"/>
        </w:rPr>
      </w:pPr>
    </w:p>
    <w:p w:rsidR="00EA656C" w:rsidRPr="00B74A55" w:rsidRDefault="00EA656C" w:rsidP="00E95FB1">
      <w:pPr>
        <w:rPr>
          <w:sz w:val="22"/>
        </w:rPr>
      </w:pPr>
    </w:p>
    <w:tbl>
      <w:tblPr>
        <w:tblStyle w:val="af"/>
        <w:tblW w:w="0" w:type="auto"/>
        <w:tblInd w:w="-176" w:type="dxa"/>
        <w:tblLayout w:type="fixed"/>
        <w:tblLook w:val="04A0" w:firstRow="1" w:lastRow="0" w:firstColumn="1" w:lastColumn="0" w:noHBand="0" w:noVBand="1"/>
      </w:tblPr>
      <w:tblGrid>
        <w:gridCol w:w="2978"/>
        <w:gridCol w:w="1417"/>
        <w:gridCol w:w="1276"/>
        <w:gridCol w:w="992"/>
        <w:gridCol w:w="142"/>
        <w:gridCol w:w="1559"/>
        <w:gridCol w:w="114"/>
        <w:gridCol w:w="1410"/>
      </w:tblGrid>
      <w:tr w:rsidR="00BA629D" w:rsidRPr="00B74A55" w:rsidTr="00F34B87">
        <w:tc>
          <w:tcPr>
            <w:tcW w:w="2978" w:type="dxa"/>
            <w:shd w:val="clear" w:color="auto" w:fill="C6D9F1" w:themeFill="text2" w:themeFillTint="33"/>
          </w:tcPr>
          <w:p w:rsidR="00BA629D" w:rsidRPr="00B74A55" w:rsidRDefault="00BA629D" w:rsidP="00832B51">
            <w:pPr>
              <w:pStyle w:val="a7"/>
              <w:ind w:left="0"/>
              <w:rPr>
                <w:b/>
                <w:sz w:val="22"/>
                <w:lang w:val="uk-UA"/>
              </w:rPr>
            </w:pPr>
            <w:r w:rsidRPr="00B74A55">
              <w:rPr>
                <w:b/>
                <w:sz w:val="22"/>
                <w:lang w:val="uk-UA"/>
              </w:rPr>
              <w:lastRenderedPageBreak/>
              <w:t>Оперативна ціль/завдання</w:t>
            </w:r>
          </w:p>
        </w:tc>
        <w:tc>
          <w:tcPr>
            <w:tcW w:w="6910" w:type="dxa"/>
            <w:gridSpan w:val="7"/>
            <w:shd w:val="clear" w:color="auto" w:fill="auto"/>
          </w:tcPr>
          <w:p w:rsidR="00BA629D" w:rsidRPr="00B74A55" w:rsidRDefault="00BA629D" w:rsidP="00832B51">
            <w:pPr>
              <w:rPr>
                <w:sz w:val="22"/>
                <w:lang w:val="uk-UA"/>
              </w:rPr>
            </w:pPr>
            <w:r w:rsidRPr="00B74A55">
              <w:rPr>
                <w:sz w:val="22"/>
                <w:lang w:val="uk-UA"/>
              </w:rPr>
              <w:t xml:space="preserve">Людський розвиток через інновації управління та довіру до влади. Формування сучасного інклюзивного  </w:t>
            </w:r>
            <w:proofErr w:type="spellStart"/>
            <w:r w:rsidRPr="00B74A55">
              <w:rPr>
                <w:sz w:val="22"/>
                <w:lang w:val="uk-UA"/>
              </w:rPr>
              <w:t>освітньо</w:t>
            </w:r>
            <w:proofErr w:type="spellEnd"/>
            <w:r w:rsidRPr="00B74A55">
              <w:rPr>
                <w:sz w:val="22"/>
                <w:lang w:val="uk-UA"/>
              </w:rPr>
              <w:t>-культурного та спортивног</w:t>
            </w:r>
            <w:r w:rsidR="005400E9" w:rsidRPr="00B74A55">
              <w:rPr>
                <w:sz w:val="22"/>
                <w:lang w:val="uk-UA"/>
              </w:rPr>
              <w:t>о простору для розвитку</w:t>
            </w:r>
          </w:p>
        </w:tc>
      </w:tr>
      <w:tr w:rsidR="00BA629D" w:rsidRPr="00B74A55" w:rsidTr="00F34B87">
        <w:tc>
          <w:tcPr>
            <w:tcW w:w="2978" w:type="dxa"/>
            <w:shd w:val="clear" w:color="auto" w:fill="C6D9F1" w:themeFill="text2" w:themeFillTint="33"/>
          </w:tcPr>
          <w:p w:rsidR="00BA629D" w:rsidRPr="00B74A55" w:rsidRDefault="00BA629D" w:rsidP="00832B51">
            <w:pPr>
              <w:pStyle w:val="a7"/>
              <w:ind w:left="0"/>
              <w:rPr>
                <w:b/>
                <w:sz w:val="22"/>
                <w:lang w:val="uk-UA"/>
              </w:rPr>
            </w:pPr>
            <w:r w:rsidRPr="00B74A55">
              <w:rPr>
                <w:b/>
                <w:sz w:val="22"/>
                <w:lang w:val="uk-UA"/>
              </w:rPr>
              <w:t>Назва проекту:</w:t>
            </w:r>
          </w:p>
        </w:tc>
        <w:tc>
          <w:tcPr>
            <w:tcW w:w="6910" w:type="dxa"/>
            <w:gridSpan w:val="7"/>
          </w:tcPr>
          <w:p w:rsidR="00BA629D" w:rsidRPr="00B74A55" w:rsidRDefault="00BA629D" w:rsidP="00832B51">
            <w:pPr>
              <w:pStyle w:val="a7"/>
              <w:ind w:left="0"/>
              <w:rPr>
                <w:sz w:val="22"/>
                <w:lang w:val="uk-UA"/>
              </w:rPr>
            </w:pPr>
            <w:r w:rsidRPr="00B74A55">
              <w:rPr>
                <w:sz w:val="22"/>
                <w:lang w:val="uk-UA"/>
              </w:rPr>
              <w:t xml:space="preserve">Капітальний ремонт будівлі комунального </w:t>
            </w:r>
            <w:r w:rsidRPr="00B74A55">
              <w:rPr>
                <w:color w:val="FF0000"/>
                <w:sz w:val="22"/>
                <w:lang w:val="uk-UA"/>
              </w:rPr>
              <w:t xml:space="preserve"> </w:t>
            </w:r>
            <w:r w:rsidRPr="00B74A55">
              <w:rPr>
                <w:sz w:val="22"/>
                <w:lang w:val="uk-UA"/>
              </w:rPr>
              <w:t xml:space="preserve">закладу (Гімназії № 8 міста Сєвєродонецька Луганської області розташованої за </w:t>
            </w:r>
            <w:proofErr w:type="spellStart"/>
            <w:r w:rsidRPr="00B74A55">
              <w:rPr>
                <w:sz w:val="22"/>
                <w:lang w:val="uk-UA"/>
              </w:rPr>
              <w:t>адресою</w:t>
            </w:r>
            <w:proofErr w:type="spellEnd"/>
            <w:r w:rsidRPr="00B74A55">
              <w:rPr>
                <w:sz w:val="22"/>
                <w:lang w:val="uk-UA"/>
              </w:rPr>
              <w:t xml:space="preserve">: Луганська область, місто Сєвєродонецьк, вул. </w:t>
            </w:r>
            <w:proofErr w:type="spellStart"/>
            <w:r w:rsidRPr="00B74A55">
              <w:rPr>
                <w:sz w:val="22"/>
                <w:lang w:val="uk-UA"/>
              </w:rPr>
              <w:t>Вілєсова</w:t>
            </w:r>
            <w:proofErr w:type="spellEnd"/>
            <w:r w:rsidRPr="00B74A55">
              <w:rPr>
                <w:sz w:val="22"/>
                <w:lang w:val="uk-UA"/>
              </w:rPr>
              <w:t>. б.10)</w:t>
            </w:r>
          </w:p>
        </w:tc>
      </w:tr>
      <w:tr w:rsidR="00BA629D" w:rsidRPr="00B74A55" w:rsidTr="00F34B87">
        <w:tc>
          <w:tcPr>
            <w:tcW w:w="2978" w:type="dxa"/>
            <w:shd w:val="clear" w:color="auto" w:fill="C6D9F1" w:themeFill="text2" w:themeFillTint="33"/>
          </w:tcPr>
          <w:p w:rsidR="00BA629D" w:rsidRPr="00B74A55" w:rsidRDefault="00BA629D" w:rsidP="00832B51">
            <w:pPr>
              <w:rPr>
                <w:b/>
                <w:sz w:val="22"/>
                <w:lang w:val="uk-UA"/>
              </w:rPr>
            </w:pPr>
            <w:r w:rsidRPr="00B74A55">
              <w:rPr>
                <w:b/>
                <w:sz w:val="22"/>
                <w:lang w:val="uk-UA"/>
              </w:rPr>
              <w:t>Ціль проекту</w:t>
            </w:r>
          </w:p>
        </w:tc>
        <w:tc>
          <w:tcPr>
            <w:tcW w:w="6910" w:type="dxa"/>
            <w:gridSpan w:val="7"/>
          </w:tcPr>
          <w:p w:rsidR="00BA629D" w:rsidRPr="00B74A55" w:rsidRDefault="00BA629D" w:rsidP="00832B51">
            <w:pPr>
              <w:pStyle w:val="a7"/>
              <w:ind w:left="0"/>
              <w:rPr>
                <w:sz w:val="22"/>
                <w:lang w:val="uk-UA"/>
              </w:rPr>
            </w:pPr>
            <w:r w:rsidRPr="00B74A55">
              <w:rPr>
                <w:sz w:val="22"/>
                <w:lang w:val="uk-UA"/>
              </w:rPr>
              <w:t>Відновлення  та покращення роботи комунального закладу</w:t>
            </w:r>
            <w:r w:rsidRPr="00B74A55">
              <w:rPr>
                <w:color w:val="FF0000"/>
                <w:sz w:val="22"/>
                <w:lang w:val="uk-UA"/>
              </w:rPr>
              <w:t xml:space="preserve"> </w:t>
            </w:r>
            <w:r w:rsidRPr="00B74A55">
              <w:rPr>
                <w:sz w:val="22"/>
                <w:lang w:val="uk-UA"/>
              </w:rPr>
              <w:t xml:space="preserve">(Гімназії № 8 міста Сєвєродонецька Луганської області)  для надання широкого спектру послуг, пов’язаних з впровадженням якісної </w:t>
            </w:r>
            <w:proofErr w:type="spellStart"/>
            <w:r w:rsidRPr="00B74A55">
              <w:rPr>
                <w:sz w:val="22"/>
                <w:lang w:val="uk-UA"/>
              </w:rPr>
              <w:t>освітньо</w:t>
            </w:r>
            <w:proofErr w:type="spellEnd"/>
            <w:r w:rsidRPr="00B74A55">
              <w:rPr>
                <w:sz w:val="22"/>
                <w:lang w:val="uk-UA"/>
              </w:rPr>
              <w:t>-виховної, культурно-просвітницької, оздоровчої  діяльності, відповідність освітнього закладу  потребам Сєвєродонецької міської територіальної   громади для надання   якісних освітніх послуг. Створення належних умов для розвитку дитячої та родинної громади, виховання справжніх патріотів-українці</w:t>
            </w:r>
            <w:r w:rsidR="00BD09C9" w:rsidRPr="00B74A55">
              <w:rPr>
                <w:sz w:val="22"/>
                <w:lang w:val="uk-UA"/>
              </w:rPr>
              <w:t>в</w:t>
            </w:r>
            <w:r w:rsidRPr="00B74A55">
              <w:rPr>
                <w:sz w:val="22"/>
                <w:lang w:val="uk-UA"/>
              </w:rPr>
              <w:t>. Залучення батьків, мешканців мікрорайону  до проведення освітніх, культурних  та соціальних заходів.</w:t>
            </w:r>
          </w:p>
        </w:tc>
      </w:tr>
      <w:tr w:rsidR="00BA629D" w:rsidRPr="00B74A55" w:rsidTr="00F34B87">
        <w:tc>
          <w:tcPr>
            <w:tcW w:w="2978" w:type="dxa"/>
            <w:shd w:val="clear" w:color="auto" w:fill="C6D9F1" w:themeFill="text2" w:themeFillTint="33"/>
          </w:tcPr>
          <w:p w:rsidR="00BA629D" w:rsidRPr="00B74A55" w:rsidRDefault="00BA629D" w:rsidP="00832B51">
            <w:pPr>
              <w:pStyle w:val="a7"/>
              <w:ind w:left="0"/>
              <w:rPr>
                <w:b/>
                <w:sz w:val="22"/>
                <w:lang w:val="uk-UA"/>
              </w:rPr>
            </w:pPr>
            <w:r w:rsidRPr="00B74A55">
              <w:rPr>
                <w:b/>
                <w:sz w:val="22"/>
                <w:lang w:val="uk-UA"/>
              </w:rPr>
              <w:t>Територія, на яку матиме вплив реалізація проекту</w:t>
            </w:r>
          </w:p>
        </w:tc>
        <w:tc>
          <w:tcPr>
            <w:tcW w:w="6910" w:type="dxa"/>
            <w:gridSpan w:val="7"/>
          </w:tcPr>
          <w:p w:rsidR="00BA629D" w:rsidRPr="00B74A55" w:rsidRDefault="00BA629D" w:rsidP="00832B51">
            <w:pPr>
              <w:pStyle w:val="a7"/>
              <w:ind w:left="0"/>
              <w:rPr>
                <w:sz w:val="22"/>
                <w:lang w:val="uk-UA"/>
              </w:rPr>
            </w:pPr>
            <w:r w:rsidRPr="00B74A55">
              <w:rPr>
                <w:sz w:val="22"/>
                <w:lang w:val="uk-UA"/>
              </w:rPr>
              <w:t>Сєвєродонецька міська територіальна громада</w:t>
            </w:r>
          </w:p>
        </w:tc>
      </w:tr>
      <w:tr w:rsidR="00BA629D" w:rsidRPr="00B74A55" w:rsidTr="00F34B87">
        <w:tc>
          <w:tcPr>
            <w:tcW w:w="2978" w:type="dxa"/>
            <w:shd w:val="clear" w:color="auto" w:fill="C6D9F1" w:themeFill="text2" w:themeFillTint="33"/>
          </w:tcPr>
          <w:p w:rsidR="00BA629D" w:rsidRPr="00B74A55" w:rsidRDefault="00BA629D" w:rsidP="00832B51">
            <w:pPr>
              <w:pStyle w:val="a7"/>
              <w:ind w:left="0"/>
              <w:rPr>
                <w:b/>
                <w:sz w:val="22"/>
                <w:lang w:val="uk-UA"/>
              </w:rPr>
            </w:pPr>
            <w:r w:rsidRPr="00B74A55">
              <w:rPr>
                <w:b/>
                <w:sz w:val="22"/>
                <w:lang w:val="uk-UA"/>
              </w:rPr>
              <w:t>Чисельність населення, на яке матиме вплив реалізація проекту</w:t>
            </w:r>
          </w:p>
        </w:tc>
        <w:tc>
          <w:tcPr>
            <w:tcW w:w="6910" w:type="dxa"/>
            <w:gridSpan w:val="7"/>
          </w:tcPr>
          <w:p w:rsidR="00BA629D" w:rsidRPr="00B74A55" w:rsidRDefault="00BA629D" w:rsidP="00832B51">
            <w:pPr>
              <w:pStyle w:val="a7"/>
              <w:ind w:left="0"/>
              <w:rPr>
                <w:sz w:val="22"/>
                <w:lang w:val="uk-UA"/>
              </w:rPr>
            </w:pPr>
            <w:r w:rsidRPr="00B74A55">
              <w:rPr>
                <w:sz w:val="22"/>
                <w:lang w:val="uk-UA"/>
              </w:rPr>
              <w:t xml:space="preserve"> 70 000  осіб</w:t>
            </w:r>
          </w:p>
        </w:tc>
      </w:tr>
      <w:tr w:rsidR="00BA629D" w:rsidRPr="00B74A55" w:rsidTr="00F34B87">
        <w:tc>
          <w:tcPr>
            <w:tcW w:w="2978" w:type="dxa"/>
            <w:shd w:val="clear" w:color="auto" w:fill="C6D9F1" w:themeFill="text2" w:themeFillTint="33"/>
          </w:tcPr>
          <w:p w:rsidR="00BA629D" w:rsidRPr="00B74A55" w:rsidRDefault="00BA629D" w:rsidP="00832B51">
            <w:pPr>
              <w:rPr>
                <w:b/>
                <w:sz w:val="22"/>
                <w:lang w:val="uk-UA"/>
              </w:rPr>
            </w:pPr>
            <w:r w:rsidRPr="00B74A55">
              <w:rPr>
                <w:b/>
                <w:sz w:val="22"/>
                <w:lang w:val="uk-UA"/>
              </w:rPr>
              <w:t>Опис проблеми, на вирішення якої  спрямований проект</w:t>
            </w:r>
          </w:p>
        </w:tc>
        <w:tc>
          <w:tcPr>
            <w:tcW w:w="6910" w:type="dxa"/>
            <w:gridSpan w:val="7"/>
          </w:tcPr>
          <w:p w:rsidR="00BA629D" w:rsidRPr="00B74A55" w:rsidRDefault="00BA629D" w:rsidP="00832B51">
            <w:pPr>
              <w:ind w:firstLine="512"/>
              <w:rPr>
                <w:sz w:val="22"/>
                <w:lang w:val="uk-UA"/>
              </w:rPr>
            </w:pPr>
            <w:r w:rsidRPr="00B74A55">
              <w:rPr>
                <w:sz w:val="22"/>
                <w:lang w:val="uk-UA"/>
              </w:rPr>
              <w:t xml:space="preserve">Через військову агресію РФ територія Сєвєродонецької міської територіальної громади зазнала значних пошкоджень. Не оминуло це й  комунальний заклад - Гімназію № 8 міста Сєвєродонецька Луганської області», яка розташована за </w:t>
            </w:r>
            <w:proofErr w:type="spellStart"/>
            <w:r w:rsidRPr="00B74A55">
              <w:rPr>
                <w:sz w:val="22"/>
                <w:lang w:val="uk-UA"/>
              </w:rPr>
              <w:t>адресою</w:t>
            </w:r>
            <w:proofErr w:type="spellEnd"/>
            <w:r w:rsidRPr="00B74A55">
              <w:rPr>
                <w:sz w:val="22"/>
                <w:lang w:val="uk-UA"/>
              </w:rPr>
              <w:t xml:space="preserve">: Луганська область, вул. </w:t>
            </w:r>
            <w:proofErr w:type="spellStart"/>
            <w:r w:rsidRPr="00B74A55">
              <w:rPr>
                <w:sz w:val="22"/>
                <w:lang w:val="uk-UA"/>
              </w:rPr>
              <w:t>Вілєсова</w:t>
            </w:r>
            <w:proofErr w:type="spellEnd"/>
            <w:r w:rsidRPr="00B74A55">
              <w:rPr>
                <w:sz w:val="22"/>
                <w:lang w:val="uk-UA"/>
              </w:rPr>
              <w:t xml:space="preserve">, 10. </w:t>
            </w:r>
          </w:p>
          <w:p w:rsidR="00BA629D" w:rsidRPr="00B74A55" w:rsidRDefault="00BA629D" w:rsidP="00832B51">
            <w:pPr>
              <w:ind w:firstLine="512"/>
              <w:rPr>
                <w:sz w:val="22"/>
                <w:lang w:val="uk-UA"/>
              </w:rPr>
            </w:pPr>
            <w:r w:rsidRPr="00B74A55">
              <w:rPr>
                <w:sz w:val="22"/>
                <w:lang w:val="uk-UA"/>
              </w:rPr>
              <w:t>Сама будівля закладу   отримала значної руйнації та потребує капітального ремонту та відновлення, а саме:</w:t>
            </w:r>
          </w:p>
          <w:p w:rsidR="00BA629D" w:rsidRPr="00B74A55" w:rsidRDefault="00BA629D" w:rsidP="000303D7">
            <w:pPr>
              <w:pStyle w:val="af7"/>
              <w:numPr>
                <w:ilvl w:val="0"/>
                <w:numId w:val="96"/>
              </w:numPr>
              <w:jc w:val="both"/>
              <w:rPr>
                <w:sz w:val="22"/>
                <w:lang w:val="uk-UA"/>
              </w:rPr>
            </w:pPr>
            <w:r w:rsidRPr="00B74A55">
              <w:rPr>
                <w:color w:val="FF0000"/>
                <w:sz w:val="22"/>
                <w:lang w:val="uk-UA"/>
              </w:rPr>
              <w:t xml:space="preserve"> </w:t>
            </w:r>
            <w:r w:rsidRPr="00B74A55">
              <w:rPr>
                <w:sz w:val="22"/>
                <w:lang w:val="uk-UA"/>
              </w:rPr>
              <w:t xml:space="preserve">обладнання (офісні меблі, навчальні та технічні кабінети, приміщення для бомбосховища (яке знаходилось на І поверсі закладу), вікна, двері, покрівля закладу, внутрішня система водопостачання і водовідведення, внутрішня система опалення, внутрішня мережа електропостачання. система зв’язку та інтернету, спортивна зала, гімнастична зала, актова та конференц-зали, санвузли,  окремі санвузли для дітей з особливими освітніми потребами, зовнішнє </w:t>
            </w:r>
            <w:proofErr w:type="spellStart"/>
            <w:r w:rsidRPr="00B74A55">
              <w:rPr>
                <w:sz w:val="22"/>
                <w:lang w:val="uk-UA"/>
              </w:rPr>
              <w:t>термоутеплення</w:t>
            </w:r>
            <w:proofErr w:type="spellEnd"/>
            <w:r w:rsidRPr="00B74A55">
              <w:rPr>
                <w:sz w:val="22"/>
                <w:lang w:val="uk-UA"/>
              </w:rPr>
              <w:t>, їдальня та харчоблок, підлога приміщення);</w:t>
            </w:r>
          </w:p>
          <w:p w:rsidR="00BA629D" w:rsidRPr="00B74A55" w:rsidRDefault="00BA629D" w:rsidP="00832B51">
            <w:pPr>
              <w:ind w:firstLine="512"/>
              <w:rPr>
                <w:sz w:val="22"/>
                <w:lang w:val="uk-UA"/>
              </w:rPr>
            </w:pPr>
            <w:proofErr w:type="spellStart"/>
            <w:r w:rsidRPr="00B74A55">
              <w:rPr>
                <w:sz w:val="22"/>
                <w:lang w:val="uk-UA"/>
              </w:rPr>
              <w:t>Проєкт</w:t>
            </w:r>
            <w:proofErr w:type="spellEnd"/>
            <w:r w:rsidRPr="00B74A55">
              <w:rPr>
                <w:sz w:val="22"/>
                <w:lang w:val="uk-UA"/>
              </w:rPr>
              <w:t xml:space="preserve"> планується реалізувати шляхом підготовки </w:t>
            </w:r>
            <w:proofErr w:type="spellStart"/>
            <w:r w:rsidRPr="00B74A55">
              <w:rPr>
                <w:sz w:val="22"/>
                <w:lang w:val="uk-UA"/>
              </w:rPr>
              <w:t>проєктно</w:t>
            </w:r>
            <w:proofErr w:type="spellEnd"/>
            <w:r w:rsidRPr="00B74A55">
              <w:rPr>
                <w:sz w:val="22"/>
                <w:lang w:val="uk-UA"/>
              </w:rPr>
              <w:t xml:space="preserve">-кошторисної документації та отримання позитивного експертного звіту. Згідно до висновків експертної групи та кошторисної документації будуть виконані </w:t>
            </w:r>
            <w:proofErr w:type="spellStart"/>
            <w:r w:rsidRPr="00B74A55">
              <w:rPr>
                <w:sz w:val="22"/>
                <w:lang w:val="uk-UA"/>
              </w:rPr>
              <w:t>капітально</w:t>
            </w:r>
            <w:proofErr w:type="spellEnd"/>
            <w:r w:rsidRPr="00B74A55">
              <w:rPr>
                <w:sz w:val="22"/>
                <w:lang w:val="uk-UA"/>
              </w:rPr>
              <w:t xml:space="preserve">-будівельно-монтажні роботи. </w:t>
            </w:r>
            <w:proofErr w:type="spellStart"/>
            <w:r w:rsidRPr="00B74A55">
              <w:rPr>
                <w:sz w:val="22"/>
                <w:lang w:val="uk-UA"/>
              </w:rPr>
              <w:t>Проєктом</w:t>
            </w:r>
            <w:proofErr w:type="spellEnd"/>
            <w:r w:rsidRPr="00B74A55">
              <w:rPr>
                <w:sz w:val="22"/>
                <w:lang w:val="uk-UA"/>
              </w:rPr>
              <w:t xml:space="preserve"> передбачено капітальний  ремонт усієї будівлі освітнього закладу: </w:t>
            </w:r>
          </w:p>
          <w:p w:rsidR="00BA629D" w:rsidRPr="00B74A55" w:rsidRDefault="00BA629D" w:rsidP="00832B51">
            <w:pPr>
              <w:pStyle w:val="af7"/>
              <w:jc w:val="both"/>
              <w:rPr>
                <w:sz w:val="22"/>
                <w:lang w:val="uk-UA"/>
              </w:rPr>
            </w:pPr>
            <w:r w:rsidRPr="00B74A55">
              <w:rPr>
                <w:sz w:val="22"/>
                <w:lang w:val="uk-UA"/>
              </w:rPr>
              <w:t>1. Навчальних та технічних кабінетів,  актової зали, конференц-зали, спортивних залів, пандусів, ремонт підлоги, ремонт покрівлі.</w:t>
            </w:r>
          </w:p>
          <w:p w:rsidR="00BA629D" w:rsidRPr="00B74A55" w:rsidRDefault="00BA629D" w:rsidP="00832B51">
            <w:pPr>
              <w:pStyle w:val="af7"/>
              <w:jc w:val="both"/>
              <w:rPr>
                <w:sz w:val="22"/>
                <w:lang w:val="uk-UA"/>
              </w:rPr>
            </w:pPr>
            <w:r w:rsidRPr="00B74A55">
              <w:rPr>
                <w:sz w:val="22"/>
                <w:lang w:val="uk-UA"/>
              </w:rPr>
              <w:t>2.Ремонт кабінетів для педагогічного персоналу, санвузлів,  окремих санвузлів для дітей з особливими освітніми потребами.</w:t>
            </w:r>
          </w:p>
          <w:p w:rsidR="00BA629D" w:rsidRPr="00B74A55" w:rsidRDefault="00BA629D" w:rsidP="00832B51">
            <w:pPr>
              <w:pStyle w:val="af7"/>
              <w:jc w:val="both"/>
              <w:rPr>
                <w:sz w:val="22"/>
                <w:lang w:val="uk-UA"/>
              </w:rPr>
            </w:pPr>
            <w:r w:rsidRPr="00B74A55">
              <w:rPr>
                <w:sz w:val="22"/>
                <w:lang w:val="uk-UA"/>
              </w:rPr>
              <w:t>3.Для захисту інтересів маломобільних верств населення, з метою обслуговування та безперешкодного доступу до приміщень при головному вході до закладу буде встановлено 3 пандус</w:t>
            </w:r>
            <w:r w:rsidR="0093204B" w:rsidRPr="00B74A55">
              <w:rPr>
                <w:sz w:val="22"/>
                <w:lang w:val="uk-UA"/>
              </w:rPr>
              <w:t>и</w:t>
            </w:r>
            <w:r w:rsidRPr="00B74A55">
              <w:rPr>
                <w:sz w:val="22"/>
                <w:lang w:val="uk-UA"/>
              </w:rPr>
              <w:t xml:space="preserve">. </w:t>
            </w:r>
          </w:p>
          <w:p w:rsidR="00BA629D" w:rsidRPr="00B74A55" w:rsidRDefault="00BA629D" w:rsidP="00832B51">
            <w:pPr>
              <w:pStyle w:val="af7"/>
              <w:jc w:val="both"/>
              <w:rPr>
                <w:sz w:val="22"/>
                <w:lang w:val="uk-UA"/>
              </w:rPr>
            </w:pPr>
            <w:r w:rsidRPr="00B74A55">
              <w:rPr>
                <w:sz w:val="22"/>
                <w:lang w:val="uk-UA"/>
              </w:rPr>
              <w:t>4.Капітальний ремонт системи опалення (заміна  трубопроводів та радіаторів).</w:t>
            </w:r>
          </w:p>
          <w:p w:rsidR="00BA629D" w:rsidRPr="00B74A55" w:rsidRDefault="00BA629D" w:rsidP="00832B51">
            <w:pPr>
              <w:pStyle w:val="af7"/>
              <w:jc w:val="both"/>
              <w:rPr>
                <w:sz w:val="22"/>
                <w:lang w:val="uk-UA"/>
              </w:rPr>
            </w:pPr>
            <w:r w:rsidRPr="00B74A55">
              <w:rPr>
                <w:sz w:val="22"/>
                <w:lang w:val="uk-UA"/>
              </w:rPr>
              <w:t>5. Заміна віконних та дверних блоків.</w:t>
            </w:r>
          </w:p>
          <w:p w:rsidR="00BA629D" w:rsidRPr="00B74A55" w:rsidRDefault="00BA629D" w:rsidP="00832B51">
            <w:pPr>
              <w:pStyle w:val="af7"/>
              <w:jc w:val="both"/>
              <w:rPr>
                <w:sz w:val="22"/>
                <w:lang w:val="uk-UA"/>
              </w:rPr>
            </w:pPr>
            <w:r w:rsidRPr="00B74A55">
              <w:rPr>
                <w:sz w:val="22"/>
                <w:lang w:val="uk-UA"/>
              </w:rPr>
              <w:t xml:space="preserve">6.Утеплення зовнішніх стін, перекриття енергозберігаючим теплоізоляційним матеріалом "ROCKWOOL", "SUPERROCK", </w:t>
            </w:r>
            <w:r w:rsidRPr="00B74A55">
              <w:rPr>
                <w:sz w:val="22"/>
                <w:lang w:val="uk-UA"/>
              </w:rPr>
              <w:lastRenderedPageBreak/>
              <w:t xml:space="preserve">установлення тепловідбивної теплоізоляції між приладами опалення і зовнішньою стіною. </w:t>
            </w:r>
          </w:p>
          <w:p w:rsidR="00BA629D" w:rsidRPr="00B74A55" w:rsidRDefault="00BA629D" w:rsidP="00832B51">
            <w:pPr>
              <w:pStyle w:val="af7"/>
              <w:jc w:val="both"/>
              <w:rPr>
                <w:sz w:val="22"/>
                <w:lang w:val="uk-UA"/>
              </w:rPr>
            </w:pPr>
            <w:r w:rsidRPr="00B74A55">
              <w:rPr>
                <w:sz w:val="22"/>
                <w:lang w:val="uk-UA"/>
              </w:rPr>
              <w:t xml:space="preserve">8. Відновлення  мереж </w:t>
            </w:r>
            <w:proofErr w:type="spellStart"/>
            <w:r w:rsidRPr="00B74A55">
              <w:rPr>
                <w:sz w:val="22"/>
                <w:lang w:val="uk-UA"/>
              </w:rPr>
              <w:t>електро</w:t>
            </w:r>
            <w:proofErr w:type="spellEnd"/>
            <w:r w:rsidRPr="00B74A55">
              <w:rPr>
                <w:sz w:val="22"/>
                <w:lang w:val="uk-UA"/>
              </w:rPr>
              <w:t>-, тепло-, водопостачання та водовідведення.</w:t>
            </w:r>
          </w:p>
          <w:p w:rsidR="00BA629D" w:rsidRPr="00B74A55" w:rsidRDefault="00BA629D" w:rsidP="00832B51">
            <w:pPr>
              <w:pStyle w:val="af7"/>
              <w:jc w:val="both"/>
              <w:rPr>
                <w:sz w:val="22"/>
                <w:lang w:val="uk-UA"/>
              </w:rPr>
            </w:pPr>
            <w:r w:rsidRPr="00B74A55">
              <w:rPr>
                <w:sz w:val="22"/>
                <w:lang w:val="uk-UA"/>
              </w:rPr>
              <w:t>9. Реконструкція зовнішнього освітлення.</w:t>
            </w:r>
          </w:p>
          <w:p w:rsidR="00BA629D" w:rsidRPr="00B74A55" w:rsidRDefault="00BA629D" w:rsidP="00832B51">
            <w:pPr>
              <w:pStyle w:val="af7"/>
              <w:jc w:val="both"/>
              <w:rPr>
                <w:sz w:val="22"/>
                <w:lang w:val="uk-UA"/>
              </w:rPr>
            </w:pPr>
            <w:r w:rsidRPr="00B74A55">
              <w:rPr>
                <w:sz w:val="22"/>
                <w:lang w:val="uk-UA"/>
              </w:rPr>
              <w:t>10. Капітальний ремонт приміщення для бомбосховища.</w:t>
            </w:r>
          </w:p>
          <w:p w:rsidR="00BA629D" w:rsidRPr="00B74A55" w:rsidRDefault="00BA629D" w:rsidP="00832B51">
            <w:pPr>
              <w:ind w:firstLine="654"/>
              <w:rPr>
                <w:color w:val="FF0000"/>
                <w:sz w:val="22"/>
                <w:lang w:val="uk-UA"/>
              </w:rPr>
            </w:pPr>
            <w:r w:rsidRPr="00B74A55">
              <w:rPr>
                <w:rFonts w:eastAsia="Arial"/>
                <w:color w:val="000000" w:themeColor="text1"/>
                <w:sz w:val="22"/>
                <w:lang w:val="uk-UA"/>
              </w:rPr>
              <w:t>Для відбудови та сталого розвитку громади потрібне відновлення роботи комунального закладу Гімназії № 8 міста Сєвєродонецька. Мешканці громади потребують  в отриманні якісних освітніх  послуг, які відповідають нормам сучасності</w:t>
            </w:r>
            <w:r w:rsidRPr="00B74A55">
              <w:rPr>
                <w:rFonts w:eastAsia="Arial"/>
                <w:color w:val="FF0000"/>
                <w:sz w:val="22"/>
                <w:lang w:val="uk-UA"/>
              </w:rPr>
              <w:t>.</w:t>
            </w:r>
          </w:p>
        </w:tc>
      </w:tr>
      <w:tr w:rsidR="00BA629D" w:rsidRPr="00B74A55" w:rsidTr="00F34B87">
        <w:tc>
          <w:tcPr>
            <w:tcW w:w="2978" w:type="dxa"/>
            <w:shd w:val="clear" w:color="auto" w:fill="C6D9F1" w:themeFill="text2" w:themeFillTint="33"/>
          </w:tcPr>
          <w:p w:rsidR="00BA629D" w:rsidRPr="00B74A55" w:rsidRDefault="00BA629D" w:rsidP="00832B51">
            <w:pPr>
              <w:pStyle w:val="a7"/>
              <w:ind w:left="0"/>
              <w:rPr>
                <w:b/>
                <w:sz w:val="22"/>
                <w:lang w:val="uk-UA"/>
              </w:rPr>
            </w:pPr>
            <w:r w:rsidRPr="00B74A55">
              <w:rPr>
                <w:b/>
                <w:sz w:val="22"/>
                <w:lang w:val="uk-UA"/>
              </w:rPr>
              <w:lastRenderedPageBreak/>
              <w:t>Очікувані якісні результати від реалізації проекту</w:t>
            </w:r>
          </w:p>
        </w:tc>
        <w:tc>
          <w:tcPr>
            <w:tcW w:w="6910" w:type="dxa"/>
            <w:gridSpan w:val="7"/>
          </w:tcPr>
          <w:p w:rsidR="00BA629D" w:rsidRPr="00B74A55" w:rsidRDefault="00BA629D" w:rsidP="00832B51">
            <w:pPr>
              <w:pStyle w:val="a7"/>
              <w:ind w:left="0"/>
              <w:rPr>
                <w:sz w:val="22"/>
                <w:lang w:val="uk-UA"/>
              </w:rPr>
            </w:pPr>
            <w:r w:rsidRPr="00B74A55">
              <w:rPr>
                <w:sz w:val="22"/>
                <w:lang w:val="uk-UA"/>
              </w:rPr>
              <w:t>1.Забезпечення населення можливостями для реалізації його конституційних прав, пов’язаних із отриманням якісних, безпечних освітніх послуг.</w:t>
            </w:r>
          </w:p>
          <w:p w:rsidR="00BA629D" w:rsidRPr="00B74A55" w:rsidRDefault="00BA629D" w:rsidP="00832B51">
            <w:pPr>
              <w:pStyle w:val="a7"/>
              <w:ind w:left="0"/>
              <w:rPr>
                <w:sz w:val="22"/>
                <w:lang w:val="uk-UA"/>
              </w:rPr>
            </w:pPr>
            <w:r w:rsidRPr="00B74A55">
              <w:rPr>
                <w:sz w:val="22"/>
                <w:lang w:val="uk-UA"/>
              </w:rPr>
              <w:t>2.Вирішення ряду питань в межах статутної діяльності, пов’язаних із відбудовою та сталим розвитком громади.</w:t>
            </w:r>
          </w:p>
          <w:p w:rsidR="00BA629D" w:rsidRPr="00B74A55" w:rsidRDefault="00BA629D" w:rsidP="00832B51">
            <w:pPr>
              <w:pStyle w:val="a7"/>
              <w:ind w:left="0"/>
              <w:rPr>
                <w:sz w:val="22"/>
                <w:lang w:val="uk-UA"/>
              </w:rPr>
            </w:pPr>
            <w:r w:rsidRPr="00B74A55">
              <w:rPr>
                <w:sz w:val="22"/>
                <w:lang w:val="uk-UA"/>
              </w:rPr>
              <w:t>3.Створення нових робочих місць.</w:t>
            </w:r>
          </w:p>
          <w:p w:rsidR="00BA629D" w:rsidRPr="00B74A55" w:rsidRDefault="00BA629D" w:rsidP="00832B51">
            <w:pPr>
              <w:pStyle w:val="a7"/>
              <w:ind w:left="0"/>
              <w:rPr>
                <w:sz w:val="22"/>
                <w:lang w:val="uk-UA"/>
              </w:rPr>
            </w:pPr>
            <w:r w:rsidRPr="00B74A55">
              <w:rPr>
                <w:sz w:val="22"/>
                <w:lang w:val="uk-UA"/>
              </w:rPr>
              <w:t>4.Стимул д</w:t>
            </w:r>
            <w:r w:rsidR="0093204B" w:rsidRPr="00B74A55">
              <w:rPr>
                <w:sz w:val="22"/>
                <w:lang w:val="uk-UA"/>
              </w:rPr>
              <w:t>ля</w:t>
            </w:r>
            <w:r w:rsidRPr="00B74A55">
              <w:rPr>
                <w:sz w:val="22"/>
                <w:lang w:val="uk-UA"/>
              </w:rPr>
              <w:t xml:space="preserve"> повернення ВПО до громади.</w:t>
            </w:r>
          </w:p>
          <w:p w:rsidR="00BA629D" w:rsidRPr="00B74A55" w:rsidRDefault="00BA629D" w:rsidP="00832B51">
            <w:pPr>
              <w:pStyle w:val="a7"/>
              <w:ind w:left="0"/>
              <w:rPr>
                <w:sz w:val="22"/>
                <w:lang w:val="uk-UA"/>
              </w:rPr>
            </w:pPr>
            <w:r w:rsidRPr="00B74A55">
              <w:rPr>
                <w:sz w:val="22"/>
                <w:lang w:val="uk-UA"/>
              </w:rPr>
              <w:t>5. Залучення молоді до здорового способу життя.</w:t>
            </w:r>
          </w:p>
          <w:p w:rsidR="00BA629D" w:rsidRPr="00B74A55" w:rsidRDefault="00BA629D" w:rsidP="00832B51">
            <w:pPr>
              <w:pStyle w:val="a7"/>
              <w:ind w:left="0"/>
              <w:rPr>
                <w:sz w:val="22"/>
                <w:lang w:val="uk-UA"/>
              </w:rPr>
            </w:pPr>
            <w:r w:rsidRPr="00B74A55">
              <w:rPr>
                <w:sz w:val="22"/>
                <w:lang w:val="uk-UA"/>
              </w:rPr>
              <w:t>6. Спільні, корисні справи між мешканцями мікрорайону та шкільною громадою.</w:t>
            </w:r>
          </w:p>
        </w:tc>
      </w:tr>
      <w:tr w:rsidR="00BA629D" w:rsidRPr="00B74A55" w:rsidTr="00F34B87">
        <w:trPr>
          <w:trHeight w:val="390"/>
        </w:trPr>
        <w:tc>
          <w:tcPr>
            <w:tcW w:w="2978" w:type="dxa"/>
            <w:vMerge w:val="restart"/>
            <w:shd w:val="clear" w:color="auto" w:fill="C6D9F1" w:themeFill="text2" w:themeFillTint="33"/>
          </w:tcPr>
          <w:p w:rsidR="00BA629D" w:rsidRPr="00B74A55" w:rsidRDefault="00BA629D" w:rsidP="00832B51">
            <w:pPr>
              <w:pStyle w:val="a7"/>
              <w:ind w:left="0"/>
              <w:rPr>
                <w:b/>
                <w:sz w:val="22"/>
                <w:lang w:val="uk-UA"/>
              </w:rPr>
            </w:pPr>
            <w:r w:rsidRPr="00B74A55">
              <w:rPr>
                <w:b/>
                <w:sz w:val="22"/>
                <w:lang w:val="uk-UA"/>
              </w:rPr>
              <w:t xml:space="preserve">Очікувані кількісні результати реалізації </w:t>
            </w:r>
            <w:proofErr w:type="spellStart"/>
            <w:r w:rsidRPr="00B74A55">
              <w:rPr>
                <w:b/>
                <w:sz w:val="22"/>
                <w:lang w:val="uk-UA"/>
              </w:rPr>
              <w:t>проєкту</w:t>
            </w:r>
            <w:proofErr w:type="spellEnd"/>
            <w:r w:rsidRPr="00B74A55">
              <w:rPr>
                <w:b/>
                <w:sz w:val="22"/>
                <w:lang w:val="uk-UA"/>
              </w:rPr>
              <w:t xml:space="preserve"> (індикатори)</w:t>
            </w:r>
          </w:p>
          <w:p w:rsidR="00BA629D" w:rsidRPr="00B74A55" w:rsidRDefault="00BA629D" w:rsidP="00832B51">
            <w:pPr>
              <w:pStyle w:val="a7"/>
              <w:ind w:left="0"/>
              <w:rPr>
                <w:b/>
                <w:sz w:val="22"/>
                <w:lang w:val="uk-UA"/>
              </w:rPr>
            </w:pPr>
          </w:p>
        </w:tc>
        <w:tc>
          <w:tcPr>
            <w:tcW w:w="3685" w:type="dxa"/>
            <w:gridSpan w:val="3"/>
            <w:tcBorders>
              <w:bottom w:val="single" w:sz="4" w:space="0" w:color="auto"/>
              <w:right w:val="single" w:sz="4" w:space="0" w:color="auto"/>
            </w:tcBorders>
          </w:tcPr>
          <w:p w:rsidR="00BA629D" w:rsidRPr="00B74A55" w:rsidRDefault="00BA629D" w:rsidP="00832B51">
            <w:pPr>
              <w:pStyle w:val="a7"/>
              <w:ind w:left="-108"/>
              <w:jc w:val="center"/>
              <w:rPr>
                <w:b/>
                <w:sz w:val="22"/>
                <w:lang w:val="uk-UA"/>
              </w:rPr>
            </w:pPr>
            <w:r w:rsidRPr="00B74A55">
              <w:rPr>
                <w:b/>
                <w:sz w:val="22"/>
                <w:lang w:val="uk-UA"/>
              </w:rPr>
              <w:t>Найменування показника</w:t>
            </w:r>
          </w:p>
        </w:tc>
        <w:tc>
          <w:tcPr>
            <w:tcW w:w="1701" w:type="dxa"/>
            <w:gridSpan w:val="2"/>
            <w:tcBorders>
              <w:left w:val="single" w:sz="4" w:space="0" w:color="auto"/>
              <w:bottom w:val="single" w:sz="4" w:space="0" w:color="auto"/>
              <w:right w:val="single" w:sz="4" w:space="0" w:color="auto"/>
            </w:tcBorders>
          </w:tcPr>
          <w:p w:rsidR="00BA629D" w:rsidRPr="00B74A55" w:rsidRDefault="00BA629D" w:rsidP="00832B51">
            <w:pPr>
              <w:pStyle w:val="a7"/>
              <w:ind w:left="0"/>
              <w:jc w:val="center"/>
              <w:rPr>
                <w:b/>
                <w:sz w:val="22"/>
                <w:lang w:val="uk-UA"/>
              </w:rPr>
            </w:pPr>
            <w:r w:rsidRPr="00B74A55">
              <w:rPr>
                <w:b/>
                <w:sz w:val="22"/>
                <w:lang w:val="uk-UA"/>
              </w:rPr>
              <w:t>Одиниця вимірювання</w:t>
            </w:r>
          </w:p>
          <w:p w:rsidR="00BA629D" w:rsidRPr="00B74A55" w:rsidRDefault="00BA629D" w:rsidP="00832B51">
            <w:pPr>
              <w:pStyle w:val="a7"/>
              <w:ind w:left="0"/>
              <w:rPr>
                <w:b/>
                <w:sz w:val="22"/>
                <w:lang w:val="uk-UA"/>
              </w:rPr>
            </w:pPr>
          </w:p>
        </w:tc>
        <w:tc>
          <w:tcPr>
            <w:tcW w:w="1524" w:type="dxa"/>
            <w:gridSpan w:val="2"/>
            <w:tcBorders>
              <w:left w:val="single" w:sz="4" w:space="0" w:color="auto"/>
              <w:bottom w:val="single" w:sz="4" w:space="0" w:color="auto"/>
            </w:tcBorders>
          </w:tcPr>
          <w:p w:rsidR="00BA629D" w:rsidRPr="00B74A55" w:rsidRDefault="00BA629D" w:rsidP="00832B51">
            <w:pPr>
              <w:pStyle w:val="a7"/>
              <w:ind w:left="0"/>
              <w:jc w:val="center"/>
              <w:rPr>
                <w:b/>
                <w:sz w:val="22"/>
                <w:lang w:val="uk-UA"/>
              </w:rPr>
            </w:pPr>
            <w:r w:rsidRPr="00B74A55">
              <w:rPr>
                <w:b/>
                <w:sz w:val="22"/>
                <w:lang w:val="uk-UA"/>
              </w:rPr>
              <w:t>Прогнозне (цільове) значення</w:t>
            </w:r>
          </w:p>
        </w:tc>
      </w:tr>
      <w:tr w:rsidR="00BA629D" w:rsidRPr="00B74A55" w:rsidTr="00F34B87">
        <w:trPr>
          <w:trHeight w:val="585"/>
        </w:trPr>
        <w:tc>
          <w:tcPr>
            <w:tcW w:w="2978" w:type="dxa"/>
            <w:vMerge/>
            <w:shd w:val="clear" w:color="auto" w:fill="C6D9F1" w:themeFill="text2" w:themeFillTint="33"/>
          </w:tcPr>
          <w:p w:rsidR="00BA629D" w:rsidRPr="00B74A55" w:rsidRDefault="00BA629D" w:rsidP="00832B51">
            <w:pPr>
              <w:pStyle w:val="a7"/>
              <w:ind w:left="0"/>
              <w:rPr>
                <w:b/>
                <w:sz w:val="22"/>
                <w:lang w:val="uk-UA"/>
              </w:rPr>
            </w:pPr>
          </w:p>
        </w:tc>
        <w:tc>
          <w:tcPr>
            <w:tcW w:w="3685" w:type="dxa"/>
            <w:gridSpan w:val="3"/>
            <w:tcBorders>
              <w:top w:val="single" w:sz="4" w:space="0" w:color="auto"/>
              <w:bottom w:val="single" w:sz="4" w:space="0" w:color="auto"/>
              <w:right w:val="single" w:sz="4" w:space="0" w:color="auto"/>
            </w:tcBorders>
            <w:vAlign w:val="center"/>
          </w:tcPr>
          <w:p w:rsidR="00BA629D" w:rsidRPr="00B74A55" w:rsidRDefault="00BA629D" w:rsidP="0093204B">
            <w:pPr>
              <w:pStyle w:val="a7"/>
              <w:ind w:left="0"/>
              <w:jc w:val="center"/>
              <w:rPr>
                <w:sz w:val="22"/>
                <w:lang w:val="uk-UA"/>
              </w:rPr>
            </w:pPr>
            <w:r w:rsidRPr="00B74A55">
              <w:rPr>
                <w:sz w:val="22"/>
                <w:lang w:val="uk-UA"/>
              </w:rPr>
              <w:t>Кількість фізичних осіб, які звернулись за послугами протягом  року</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BA629D" w:rsidRPr="00B74A55" w:rsidRDefault="00BA629D" w:rsidP="00BA629D">
            <w:pPr>
              <w:pStyle w:val="a7"/>
              <w:ind w:left="0"/>
              <w:jc w:val="center"/>
              <w:rPr>
                <w:sz w:val="22"/>
                <w:lang w:val="uk-UA"/>
              </w:rPr>
            </w:pPr>
            <w:r w:rsidRPr="00B74A55">
              <w:rPr>
                <w:sz w:val="22"/>
                <w:lang w:val="uk-UA"/>
              </w:rPr>
              <w:t>осіб</w:t>
            </w:r>
          </w:p>
        </w:tc>
        <w:tc>
          <w:tcPr>
            <w:tcW w:w="1524" w:type="dxa"/>
            <w:gridSpan w:val="2"/>
            <w:tcBorders>
              <w:top w:val="single" w:sz="4" w:space="0" w:color="auto"/>
              <w:left w:val="single" w:sz="4" w:space="0" w:color="auto"/>
              <w:bottom w:val="single" w:sz="4" w:space="0" w:color="auto"/>
            </w:tcBorders>
            <w:vAlign w:val="center"/>
          </w:tcPr>
          <w:p w:rsidR="00BA629D" w:rsidRPr="00B74A55" w:rsidRDefault="00BA629D" w:rsidP="00BA629D">
            <w:pPr>
              <w:pStyle w:val="a7"/>
              <w:ind w:left="0"/>
              <w:jc w:val="center"/>
              <w:rPr>
                <w:sz w:val="22"/>
                <w:lang w:val="uk-UA"/>
              </w:rPr>
            </w:pPr>
            <w:r w:rsidRPr="00B74A55">
              <w:rPr>
                <w:sz w:val="22"/>
                <w:lang w:val="uk-UA"/>
              </w:rPr>
              <w:t>606</w:t>
            </w:r>
          </w:p>
        </w:tc>
      </w:tr>
      <w:tr w:rsidR="00BA629D" w:rsidRPr="00B74A55" w:rsidTr="00F34B87">
        <w:trPr>
          <w:trHeight w:val="184"/>
        </w:trPr>
        <w:tc>
          <w:tcPr>
            <w:tcW w:w="2978" w:type="dxa"/>
            <w:vMerge/>
            <w:shd w:val="clear" w:color="auto" w:fill="C6D9F1" w:themeFill="text2" w:themeFillTint="33"/>
          </w:tcPr>
          <w:p w:rsidR="00BA629D" w:rsidRPr="00B74A55" w:rsidRDefault="00BA629D" w:rsidP="00832B51">
            <w:pPr>
              <w:pStyle w:val="a7"/>
              <w:ind w:left="0"/>
              <w:rPr>
                <w:b/>
                <w:sz w:val="22"/>
                <w:lang w:val="uk-UA"/>
              </w:rPr>
            </w:pPr>
          </w:p>
        </w:tc>
        <w:tc>
          <w:tcPr>
            <w:tcW w:w="3685" w:type="dxa"/>
            <w:gridSpan w:val="3"/>
            <w:tcBorders>
              <w:top w:val="single" w:sz="4" w:space="0" w:color="auto"/>
              <w:bottom w:val="single" w:sz="4" w:space="0" w:color="000000" w:themeColor="text1"/>
              <w:right w:val="single" w:sz="4" w:space="0" w:color="auto"/>
            </w:tcBorders>
            <w:vAlign w:val="center"/>
          </w:tcPr>
          <w:p w:rsidR="00BA629D" w:rsidRPr="00B74A55" w:rsidRDefault="00BA629D" w:rsidP="0093204B">
            <w:pPr>
              <w:pStyle w:val="a7"/>
              <w:ind w:left="0"/>
              <w:jc w:val="center"/>
              <w:rPr>
                <w:sz w:val="22"/>
                <w:lang w:val="uk-UA"/>
              </w:rPr>
            </w:pPr>
            <w:r w:rsidRPr="00B74A55">
              <w:rPr>
                <w:sz w:val="22"/>
                <w:lang w:val="uk-UA"/>
              </w:rPr>
              <w:t>Кількість видів та типів послуг</w:t>
            </w:r>
            <w:r w:rsidR="0093204B" w:rsidRPr="00B74A55">
              <w:rPr>
                <w:sz w:val="22"/>
                <w:lang w:val="uk-UA"/>
              </w:rPr>
              <w:t xml:space="preserve">, </w:t>
            </w:r>
            <w:r w:rsidRPr="00B74A55">
              <w:rPr>
                <w:sz w:val="22"/>
                <w:lang w:val="uk-UA"/>
              </w:rPr>
              <w:t>наданих протягом одно робочого дня</w:t>
            </w:r>
          </w:p>
        </w:tc>
        <w:tc>
          <w:tcPr>
            <w:tcW w:w="1701" w:type="dxa"/>
            <w:gridSpan w:val="2"/>
            <w:tcBorders>
              <w:top w:val="single" w:sz="4" w:space="0" w:color="auto"/>
              <w:left w:val="single" w:sz="4" w:space="0" w:color="auto"/>
              <w:bottom w:val="single" w:sz="4" w:space="0" w:color="000000" w:themeColor="text1"/>
              <w:right w:val="single" w:sz="4" w:space="0" w:color="auto"/>
            </w:tcBorders>
            <w:vAlign w:val="center"/>
          </w:tcPr>
          <w:p w:rsidR="00BA629D" w:rsidRPr="00B74A55" w:rsidRDefault="00BA629D" w:rsidP="00BA629D">
            <w:pPr>
              <w:pStyle w:val="a7"/>
              <w:ind w:left="0"/>
              <w:jc w:val="center"/>
              <w:rPr>
                <w:sz w:val="22"/>
                <w:lang w:val="uk-UA"/>
              </w:rPr>
            </w:pPr>
            <w:r w:rsidRPr="00B74A55">
              <w:rPr>
                <w:sz w:val="22"/>
                <w:lang w:val="uk-UA"/>
              </w:rPr>
              <w:t>одиниць</w:t>
            </w:r>
          </w:p>
        </w:tc>
        <w:tc>
          <w:tcPr>
            <w:tcW w:w="1524" w:type="dxa"/>
            <w:gridSpan w:val="2"/>
            <w:tcBorders>
              <w:top w:val="single" w:sz="4" w:space="0" w:color="auto"/>
              <w:left w:val="single" w:sz="4" w:space="0" w:color="auto"/>
              <w:bottom w:val="single" w:sz="4" w:space="0" w:color="000000" w:themeColor="text1"/>
            </w:tcBorders>
            <w:vAlign w:val="center"/>
          </w:tcPr>
          <w:p w:rsidR="00BA629D" w:rsidRPr="00B74A55" w:rsidRDefault="00BA629D" w:rsidP="00BA629D">
            <w:pPr>
              <w:pStyle w:val="a7"/>
              <w:ind w:left="0"/>
              <w:jc w:val="center"/>
              <w:rPr>
                <w:sz w:val="22"/>
                <w:lang w:val="uk-UA"/>
              </w:rPr>
            </w:pPr>
            <w:r w:rsidRPr="00B74A55">
              <w:rPr>
                <w:sz w:val="22"/>
                <w:lang w:val="uk-UA"/>
              </w:rPr>
              <w:t>65</w:t>
            </w:r>
          </w:p>
        </w:tc>
      </w:tr>
      <w:tr w:rsidR="00BA629D" w:rsidRPr="00B74A55" w:rsidTr="00F34B87">
        <w:trPr>
          <w:trHeight w:val="150"/>
        </w:trPr>
        <w:tc>
          <w:tcPr>
            <w:tcW w:w="2978" w:type="dxa"/>
            <w:vMerge/>
            <w:tcBorders>
              <w:right w:val="single" w:sz="4" w:space="0" w:color="000000" w:themeColor="text1"/>
            </w:tcBorders>
            <w:shd w:val="clear" w:color="auto" w:fill="C6D9F1" w:themeFill="text2" w:themeFillTint="33"/>
          </w:tcPr>
          <w:p w:rsidR="00BA629D" w:rsidRPr="00B74A55" w:rsidRDefault="00BA629D" w:rsidP="00832B51">
            <w:pPr>
              <w:pStyle w:val="a7"/>
              <w:ind w:left="0"/>
              <w:rPr>
                <w:b/>
                <w:sz w:val="22"/>
                <w:lang w:val="uk-UA"/>
              </w:rPr>
            </w:pPr>
          </w:p>
        </w:tc>
        <w:tc>
          <w:tcPr>
            <w:tcW w:w="36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A629D" w:rsidRPr="00B74A55" w:rsidRDefault="00BA629D" w:rsidP="00BA629D">
            <w:pPr>
              <w:pStyle w:val="a7"/>
              <w:ind w:left="0"/>
              <w:jc w:val="center"/>
              <w:rPr>
                <w:sz w:val="22"/>
                <w:lang w:val="uk-UA"/>
              </w:rPr>
            </w:pPr>
            <w:r w:rsidRPr="00B74A55">
              <w:rPr>
                <w:sz w:val="22"/>
                <w:lang w:val="uk-UA"/>
              </w:rPr>
              <w:t>Термін надання послуги</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A629D" w:rsidRPr="00B74A55" w:rsidRDefault="00BA629D" w:rsidP="00BA629D">
            <w:pPr>
              <w:pStyle w:val="a7"/>
              <w:ind w:left="0"/>
              <w:jc w:val="center"/>
              <w:rPr>
                <w:sz w:val="22"/>
                <w:lang w:val="uk-UA"/>
              </w:rPr>
            </w:pPr>
            <w:r w:rsidRPr="00B74A55">
              <w:rPr>
                <w:sz w:val="22"/>
                <w:lang w:val="uk-UA"/>
              </w:rPr>
              <w:t>день</w:t>
            </w:r>
          </w:p>
        </w:tc>
        <w:tc>
          <w:tcPr>
            <w:tcW w:w="15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A629D" w:rsidRPr="00B74A55" w:rsidRDefault="00BA629D" w:rsidP="00BA629D">
            <w:pPr>
              <w:pStyle w:val="a7"/>
              <w:ind w:left="0"/>
              <w:jc w:val="center"/>
              <w:rPr>
                <w:sz w:val="22"/>
                <w:lang w:val="uk-UA"/>
              </w:rPr>
            </w:pPr>
            <w:r w:rsidRPr="00B74A55">
              <w:rPr>
                <w:sz w:val="22"/>
                <w:lang w:val="uk-UA"/>
              </w:rPr>
              <w:t>з 1  по 9 клас</w:t>
            </w:r>
          </w:p>
          <w:p w:rsidR="00BA629D" w:rsidRPr="00B74A55" w:rsidRDefault="00BA629D" w:rsidP="00BA629D">
            <w:pPr>
              <w:pStyle w:val="a7"/>
              <w:ind w:left="0"/>
              <w:jc w:val="center"/>
              <w:rPr>
                <w:sz w:val="22"/>
                <w:lang w:val="uk-UA"/>
              </w:rPr>
            </w:pPr>
            <w:r w:rsidRPr="00B74A55">
              <w:rPr>
                <w:sz w:val="22"/>
                <w:lang w:val="uk-UA"/>
              </w:rPr>
              <w:t>(9 років)</w:t>
            </w:r>
          </w:p>
        </w:tc>
      </w:tr>
      <w:tr w:rsidR="00BA629D" w:rsidRPr="00B74A55" w:rsidTr="00F34B87">
        <w:trPr>
          <w:trHeight w:val="150"/>
        </w:trPr>
        <w:tc>
          <w:tcPr>
            <w:tcW w:w="2978" w:type="dxa"/>
            <w:shd w:val="clear" w:color="auto" w:fill="C6D9F1" w:themeFill="text2" w:themeFillTint="33"/>
          </w:tcPr>
          <w:p w:rsidR="00BA629D" w:rsidRPr="00B74A55" w:rsidRDefault="00BA629D" w:rsidP="00832B51">
            <w:pPr>
              <w:pStyle w:val="a7"/>
              <w:ind w:left="0"/>
              <w:rPr>
                <w:b/>
                <w:sz w:val="22"/>
                <w:lang w:val="uk-UA"/>
              </w:rPr>
            </w:pPr>
          </w:p>
        </w:tc>
        <w:tc>
          <w:tcPr>
            <w:tcW w:w="3685" w:type="dxa"/>
            <w:gridSpan w:val="3"/>
            <w:tcBorders>
              <w:top w:val="single" w:sz="4" w:space="0" w:color="000000" w:themeColor="text1"/>
              <w:right w:val="single" w:sz="4" w:space="0" w:color="auto"/>
            </w:tcBorders>
            <w:vAlign w:val="center"/>
          </w:tcPr>
          <w:p w:rsidR="00BA629D" w:rsidRPr="00B74A55" w:rsidRDefault="00BA629D" w:rsidP="0093204B">
            <w:pPr>
              <w:pStyle w:val="a7"/>
              <w:ind w:left="0"/>
              <w:jc w:val="center"/>
              <w:rPr>
                <w:sz w:val="22"/>
                <w:lang w:val="uk-UA"/>
              </w:rPr>
            </w:pPr>
            <w:r w:rsidRPr="00B74A55">
              <w:rPr>
                <w:sz w:val="22"/>
                <w:lang w:val="uk-UA"/>
              </w:rPr>
              <w:t>Кількість населених пунктів, як</w:t>
            </w:r>
            <w:r w:rsidR="0093204B" w:rsidRPr="00B74A55">
              <w:rPr>
                <w:sz w:val="22"/>
                <w:lang w:val="uk-UA"/>
              </w:rPr>
              <w:t>і</w:t>
            </w:r>
            <w:r w:rsidRPr="00B74A55">
              <w:rPr>
                <w:sz w:val="22"/>
                <w:lang w:val="uk-UA"/>
              </w:rPr>
              <w:t xml:space="preserve"> обслуговує </w:t>
            </w:r>
            <w:r w:rsidR="0093204B" w:rsidRPr="00B74A55">
              <w:rPr>
                <w:sz w:val="22"/>
                <w:lang w:val="uk-UA"/>
              </w:rPr>
              <w:t>заклад</w:t>
            </w:r>
          </w:p>
        </w:tc>
        <w:tc>
          <w:tcPr>
            <w:tcW w:w="1701" w:type="dxa"/>
            <w:gridSpan w:val="2"/>
            <w:tcBorders>
              <w:top w:val="single" w:sz="4" w:space="0" w:color="000000" w:themeColor="text1"/>
              <w:left w:val="single" w:sz="4" w:space="0" w:color="auto"/>
              <w:right w:val="single" w:sz="4" w:space="0" w:color="auto"/>
            </w:tcBorders>
            <w:vAlign w:val="center"/>
          </w:tcPr>
          <w:p w:rsidR="00BA629D" w:rsidRPr="00B74A55" w:rsidRDefault="00BA629D" w:rsidP="00BA629D">
            <w:pPr>
              <w:pStyle w:val="a7"/>
              <w:ind w:left="0"/>
              <w:jc w:val="center"/>
              <w:rPr>
                <w:sz w:val="22"/>
                <w:lang w:val="uk-UA"/>
              </w:rPr>
            </w:pPr>
            <w:r w:rsidRPr="00B74A55">
              <w:rPr>
                <w:sz w:val="22"/>
                <w:lang w:val="uk-UA"/>
              </w:rPr>
              <w:t>одиниць</w:t>
            </w:r>
          </w:p>
        </w:tc>
        <w:tc>
          <w:tcPr>
            <w:tcW w:w="1524" w:type="dxa"/>
            <w:gridSpan w:val="2"/>
            <w:tcBorders>
              <w:top w:val="single" w:sz="4" w:space="0" w:color="000000" w:themeColor="text1"/>
              <w:left w:val="single" w:sz="4" w:space="0" w:color="auto"/>
              <w:right w:val="single" w:sz="4" w:space="0" w:color="auto"/>
            </w:tcBorders>
            <w:vAlign w:val="center"/>
          </w:tcPr>
          <w:p w:rsidR="00BA629D" w:rsidRPr="00B74A55" w:rsidRDefault="00BA629D" w:rsidP="00BA629D">
            <w:pPr>
              <w:pStyle w:val="a7"/>
              <w:ind w:left="0"/>
              <w:jc w:val="center"/>
              <w:rPr>
                <w:sz w:val="22"/>
                <w:lang w:val="uk-UA"/>
              </w:rPr>
            </w:pPr>
            <w:r w:rsidRPr="00B74A55">
              <w:rPr>
                <w:sz w:val="22"/>
                <w:lang w:val="uk-UA"/>
              </w:rPr>
              <w:t>20</w:t>
            </w:r>
          </w:p>
        </w:tc>
      </w:tr>
      <w:tr w:rsidR="00BA629D" w:rsidRPr="00B74A55" w:rsidTr="00F34B87">
        <w:tc>
          <w:tcPr>
            <w:tcW w:w="2978" w:type="dxa"/>
            <w:shd w:val="clear" w:color="auto" w:fill="C6D9F1" w:themeFill="text2" w:themeFillTint="33"/>
          </w:tcPr>
          <w:p w:rsidR="00BA629D" w:rsidRPr="00B74A55" w:rsidRDefault="00BA629D" w:rsidP="00832B51">
            <w:pPr>
              <w:rPr>
                <w:b/>
                <w:sz w:val="22"/>
                <w:lang w:val="uk-UA"/>
              </w:rPr>
            </w:pPr>
            <w:r w:rsidRPr="00B74A55">
              <w:rPr>
                <w:b/>
                <w:sz w:val="22"/>
                <w:lang w:val="uk-UA"/>
              </w:rPr>
              <w:t xml:space="preserve">Ключові заходи проекту: </w:t>
            </w:r>
          </w:p>
          <w:p w:rsidR="00BA629D" w:rsidRPr="00B74A55" w:rsidRDefault="00BA629D" w:rsidP="00832B51">
            <w:pPr>
              <w:pStyle w:val="a7"/>
              <w:ind w:left="0"/>
              <w:rPr>
                <w:b/>
                <w:sz w:val="22"/>
                <w:lang w:val="uk-UA"/>
              </w:rPr>
            </w:pPr>
          </w:p>
        </w:tc>
        <w:tc>
          <w:tcPr>
            <w:tcW w:w="6910" w:type="dxa"/>
            <w:gridSpan w:val="7"/>
          </w:tcPr>
          <w:p w:rsidR="00BA629D" w:rsidRPr="00B74A55" w:rsidRDefault="00BA629D" w:rsidP="00832B51">
            <w:pPr>
              <w:pStyle w:val="a7"/>
              <w:ind w:left="0"/>
              <w:rPr>
                <w:sz w:val="22"/>
                <w:lang w:val="uk-UA"/>
              </w:rPr>
            </w:pPr>
            <w:r w:rsidRPr="00B74A55">
              <w:rPr>
                <w:sz w:val="22"/>
                <w:lang w:val="uk-UA"/>
              </w:rPr>
              <w:t>- обстеження стану будівлі закладу;</w:t>
            </w:r>
          </w:p>
          <w:p w:rsidR="00BA629D" w:rsidRPr="00B74A55" w:rsidRDefault="00BA629D" w:rsidP="00832B51">
            <w:pPr>
              <w:pStyle w:val="a7"/>
              <w:ind w:left="0"/>
              <w:rPr>
                <w:sz w:val="22"/>
                <w:lang w:val="uk-UA"/>
              </w:rPr>
            </w:pPr>
            <w:r w:rsidRPr="00B74A55">
              <w:rPr>
                <w:sz w:val="22"/>
                <w:lang w:val="uk-UA"/>
              </w:rPr>
              <w:t>- проведення інвентаризації основних засобів;</w:t>
            </w:r>
          </w:p>
          <w:p w:rsidR="00BA629D" w:rsidRPr="00B74A55" w:rsidRDefault="00BA629D" w:rsidP="00832B51">
            <w:pPr>
              <w:pStyle w:val="a7"/>
              <w:ind w:left="0"/>
              <w:rPr>
                <w:sz w:val="22"/>
                <w:lang w:val="uk-UA"/>
              </w:rPr>
            </w:pPr>
            <w:r w:rsidRPr="00B74A55">
              <w:rPr>
                <w:sz w:val="22"/>
                <w:lang w:val="uk-UA"/>
              </w:rPr>
              <w:t>- визначення кількості осіб, які потребують отримання соціальних, освітніх послуг від закладу;</w:t>
            </w:r>
          </w:p>
          <w:p w:rsidR="00BA629D" w:rsidRPr="00B74A55" w:rsidRDefault="00BA629D" w:rsidP="00832B51">
            <w:pPr>
              <w:pStyle w:val="a7"/>
              <w:ind w:left="0"/>
              <w:rPr>
                <w:sz w:val="22"/>
                <w:lang w:val="uk-UA"/>
              </w:rPr>
            </w:pPr>
            <w:r w:rsidRPr="00B74A55">
              <w:rPr>
                <w:sz w:val="22"/>
                <w:lang w:val="uk-UA"/>
              </w:rPr>
              <w:t>- придбання технічного забезпечення закладу;</w:t>
            </w:r>
          </w:p>
          <w:p w:rsidR="00BA629D" w:rsidRPr="00B74A55" w:rsidRDefault="00BA629D" w:rsidP="00832B51">
            <w:pPr>
              <w:shd w:val="clear" w:color="auto" w:fill="FFFFFF"/>
              <w:tabs>
                <w:tab w:val="left" w:pos="378"/>
              </w:tabs>
              <w:rPr>
                <w:sz w:val="22"/>
                <w:lang w:val="uk-UA"/>
              </w:rPr>
            </w:pPr>
            <w:r w:rsidRPr="00B74A55">
              <w:rPr>
                <w:sz w:val="22"/>
                <w:lang w:val="uk-UA"/>
              </w:rPr>
              <w:t>-  капітальний ремонт покрівлі;</w:t>
            </w:r>
          </w:p>
          <w:p w:rsidR="00BA629D" w:rsidRPr="00B74A55" w:rsidRDefault="00BA629D" w:rsidP="00832B51">
            <w:pPr>
              <w:shd w:val="clear" w:color="auto" w:fill="FFFFFF"/>
              <w:tabs>
                <w:tab w:val="left" w:pos="378"/>
              </w:tabs>
              <w:rPr>
                <w:sz w:val="22"/>
                <w:lang w:val="uk-UA"/>
              </w:rPr>
            </w:pPr>
            <w:r w:rsidRPr="00B74A55">
              <w:rPr>
                <w:sz w:val="22"/>
                <w:lang w:val="uk-UA"/>
              </w:rPr>
              <w:t>- капітальний ремонт навчальних та технічних кабінетів;</w:t>
            </w:r>
          </w:p>
          <w:p w:rsidR="00BA629D" w:rsidRPr="00B74A55" w:rsidRDefault="00BA629D" w:rsidP="00832B51">
            <w:pPr>
              <w:shd w:val="clear" w:color="auto" w:fill="FFFFFF"/>
              <w:tabs>
                <w:tab w:val="left" w:pos="378"/>
              </w:tabs>
              <w:rPr>
                <w:sz w:val="22"/>
                <w:lang w:val="uk-UA"/>
              </w:rPr>
            </w:pPr>
            <w:r w:rsidRPr="00B74A55">
              <w:rPr>
                <w:sz w:val="22"/>
                <w:lang w:val="uk-UA"/>
              </w:rPr>
              <w:t>- капітальний ремонт санвузлів та обладнання санвузлів для дітей з обмеженими фізичними можливостями;</w:t>
            </w:r>
          </w:p>
          <w:p w:rsidR="00BA629D" w:rsidRPr="00B74A55" w:rsidRDefault="00BA629D" w:rsidP="00832B51">
            <w:pPr>
              <w:shd w:val="clear" w:color="auto" w:fill="FFFFFF"/>
              <w:tabs>
                <w:tab w:val="left" w:pos="378"/>
              </w:tabs>
              <w:rPr>
                <w:sz w:val="22"/>
                <w:lang w:val="uk-UA"/>
              </w:rPr>
            </w:pPr>
            <w:r w:rsidRPr="00B74A55">
              <w:rPr>
                <w:sz w:val="22"/>
                <w:lang w:val="uk-UA"/>
              </w:rPr>
              <w:t>- будівництво пандусу;</w:t>
            </w:r>
          </w:p>
          <w:p w:rsidR="00BA629D" w:rsidRPr="00B74A55" w:rsidRDefault="00BA629D" w:rsidP="00832B51">
            <w:pPr>
              <w:shd w:val="clear" w:color="auto" w:fill="FFFFFF"/>
              <w:tabs>
                <w:tab w:val="left" w:pos="378"/>
              </w:tabs>
              <w:rPr>
                <w:sz w:val="22"/>
                <w:lang w:val="uk-UA"/>
              </w:rPr>
            </w:pPr>
            <w:r w:rsidRPr="00B74A55">
              <w:rPr>
                <w:sz w:val="22"/>
                <w:lang w:val="uk-UA"/>
              </w:rPr>
              <w:t>- капітальний ремонт ганку;</w:t>
            </w:r>
          </w:p>
          <w:p w:rsidR="00BA629D" w:rsidRPr="00B74A55" w:rsidRDefault="00BA629D" w:rsidP="00832B51">
            <w:pPr>
              <w:shd w:val="clear" w:color="auto" w:fill="FFFFFF"/>
              <w:tabs>
                <w:tab w:val="left" w:pos="378"/>
              </w:tabs>
              <w:rPr>
                <w:sz w:val="22"/>
                <w:lang w:val="uk-UA"/>
              </w:rPr>
            </w:pPr>
            <w:r w:rsidRPr="00B74A55">
              <w:rPr>
                <w:sz w:val="22"/>
                <w:lang w:val="uk-UA"/>
              </w:rPr>
              <w:t>- ремонт та оздоблення приміщення для бомбосховища;</w:t>
            </w:r>
          </w:p>
          <w:p w:rsidR="00BA629D" w:rsidRPr="00B74A55" w:rsidRDefault="00BA629D" w:rsidP="00832B51">
            <w:pPr>
              <w:shd w:val="clear" w:color="auto" w:fill="FFFFFF"/>
              <w:tabs>
                <w:tab w:val="left" w:pos="378"/>
              </w:tabs>
              <w:rPr>
                <w:sz w:val="22"/>
                <w:lang w:val="uk-UA"/>
              </w:rPr>
            </w:pPr>
            <w:r w:rsidRPr="00B74A55">
              <w:rPr>
                <w:sz w:val="22"/>
                <w:lang w:val="uk-UA"/>
              </w:rPr>
              <w:t xml:space="preserve">- ремонт </w:t>
            </w:r>
            <w:proofErr w:type="spellStart"/>
            <w:r w:rsidRPr="00B74A55">
              <w:rPr>
                <w:sz w:val="22"/>
                <w:lang w:val="uk-UA"/>
              </w:rPr>
              <w:t>електро</w:t>
            </w:r>
            <w:proofErr w:type="spellEnd"/>
            <w:r w:rsidRPr="00B74A55">
              <w:rPr>
                <w:sz w:val="22"/>
                <w:lang w:val="uk-UA"/>
              </w:rPr>
              <w:t>-, тепло-, водопостачання та водовідведення;</w:t>
            </w:r>
          </w:p>
          <w:p w:rsidR="00BA629D" w:rsidRPr="00B74A55" w:rsidRDefault="00BA629D" w:rsidP="00832B51">
            <w:pPr>
              <w:shd w:val="clear" w:color="auto" w:fill="FFFFFF"/>
              <w:tabs>
                <w:tab w:val="left" w:pos="378"/>
              </w:tabs>
              <w:rPr>
                <w:sz w:val="22"/>
                <w:lang w:val="uk-UA"/>
              </w:rPr>
            </w:pPr>
            <w:r w:rsidRPr="00B74A55">
              <w:rPr>
                <w:sz w:val="22"/>
                <w:lang w:val="uk-UA"/>
              </w:rPr>
              <w:t>- відновлення інтернет-мережі;</w:t>
            </w:r>
          </w:p>
          <w:p w:rsidR="00BA629D" w:rsidRPr="00B74A55" w:rsidRDefault="00BA629D" w:rsidP="00832B51">
            <w:pPr>
              <w:shd w:val="clear" w:color="auto" w:fill="FFFFFF"/>
              <w:tabs>
                <w:tab w:val="left" w:pos="378"/>
              </w:tabs>
              <w:rPr>
                <w:sz w:val="22"/>
                <w:lang w:val="uk-UA"/>
              </w:rPr>
            </w:pPr>
            <w:r w:rsidRPr="00B74A55">
              <w:rPr>
                <w:sz w:val="22"/>
                <w:lang w:val="uk-UA"/>
              </w:rPr>
              <w:t>- утеплення зовнішніх стін будівлі;</w:t>
            </w:r>
          </w:p>
          <w:p w:rsidR="00BA629D" w:rsidRPr="00B74A55" w:rsidRDefault="00BA629D" w:rsidP="00832B51">
            <w:pPr>
              <w:shd w:val="clear" w:color="auto" w:fill="FFFFFF"/>
              <w:tabs>
                <w:tab w:val="left" w:pos="378"/>
              </w:tabs>
              <w:rPr>
                <w:sz w:val="22"/>
                <w:lang w:val="uk-UA"/>
              </w:rPr>
            </w:pPr>
            <w:r w:rsidRPr="00B74A55">
              <w:rPr>
                <w:sz w:val="22"/>
                <w:lang w:val="uk-UA"/>
              </w:rPr>
              <w:t>- зовнішнє оздоблення фасаду;</w:t>
            </w:r>
          </w:p>
          <w:p w:rsidR="00BA629D" w:rsidRPr="00B74A55" w:rsidRDefault="00BA629D" w:rsidP="00832B51">
            <w:pPr>
              <w:shd w:val="clear" w:color="auto" w:fill="FFFFFF"/>
              <w:tabs>
                <w:tab w:val="left" w:pos="378"/>
              </w:tabs>
              <w:rPr>
                <w:sz w:val="22"/>
                <w:lang w:val="uk-UA"/>
              </w:rPr>
            </w:pPr>
            <w:r w:rsidRPr="00B74A55">
              <w:rPr>
                <w:sz w:val="22"/>
                <w:lang w:val="uk-UA"/>
              </w:rPr>
              <w:t>- заміна віконних та дверних блоків;</w:t>
            </w:r>
          </w:p>
          <w:p w:rsidR="00BA629D" w:rsidRPr="00B74A55" w:rsidRDefault="00BA629D" w:rsidP="00832B51">
            <w:pPr>
              <w:shd w:val="clear" w:color="auto" w:fill="FFFFFF"/>
              <w:tabs>
                <w:tab w:val="left" w:pos="378"/>
              </w:tabs>
              <w:rPr>
                <w:sz w:val="22"/>
                <w:lang w:val="uk-UA"/>
              </w:rPr>
            </w:pPr>
            <w:r w:rsidRPr="00B74A55">
              <w:rPr>
                <w:sz w:val="22"/>
                <w:lang w:val="uk-UA"/>
              </w:rPr>
              <w:t>- ремонт спортивної зали;</w:t>
            </w:r>
          </w:p>
          <w:p w:rsidR="00BA629D" w:rsidRPr="00B74A55" w:rsidRDefault="00BA629D" w:rsidP="00832B51">
            <w:pPr>
              <w:shd w:val="clear" w:color="auto" w:fill="FFFFFF"/>
              <w:tabs>
                <w:tab w:val="left" w:pos="378"/>
              </w:tabs>
              <w:rPr>
                <w:sz w:val="22"/>
                <w:lang w:val="uk-UA"/>
              </w:rPr>
            </w:pPr>
            <w:r w:rsidRPr="00B74A55">
              <w:rPr>
                <w:sz w:val="22"/>
                <w:lang w:val="uk-UA"/>
              </w:rPr>
              <w:t>- ремонт гімнастичної зали:</w:t>
            </w:r>
          </w:p>
          <w:p w:rsidR="00BA629D" w:rsidRPr="00B74A55" w:rsidRDefault="00BA629D" w:rsidP="00832B51">
            <w:pPr>
              <w:shd w:val="clear" w:color="auto" w:fill="FFFFFF"/>
              <w:tabs>
                <w:tab w:val="left" w:pos="378"/>
              </w:tabs>
              <w:rPr>
                <w:sz w:val="22"/>
                <w:lang w:val="uk-UA"/>
              </w:rPr>
            </w:pPr>
            <w:r w:rsidRPr="00B74A55">
              <w:rPr>
                <w:sz w:val="22"/>
                <w:lang w:val="uk-UA"/>
              </w:rPr>
              <w:t>- ремонт конференц-зали;</w:t>
            </w:r>
          </w:p>
          <w:p w:rsidR="00BA629D" w:rsidRPr="00B74A55" w:rsidRDefault="00BA629D" w:rsidP="00832B51">
            <w:pPr>
              <w:shd w:val="clear" w:color="auto" w:fill="FFFFFF"/>
              <w:tabs>
                <w:tab w:val="left" w:pos="378"/>
              </w:tabs>
              <w:rPr>
                <w:sz w:val="22"/>
                <w:lang w:val="uk-UA"/>
              </w:rPr>
            </w:pPr>
            <w:r w:rsidRPr="00B74A55">
              <w:rPr>
                <w:sz w:val="22"/>
                <w:lang w:val="uk-UA"/>
              </w:rPr>
              <w:t>- ремонт актової зали;</w:t>
            </w:r>
          </w:p>
          <w:p w:rsidR="00BA629D" w:rsidRPr="00B74A55" w:rsidRDefault="00BA629D" w:rsidP="00832B51">
            <w:pPr>
              <w:shd w:val="clear" w:color="auto" w:fill="FFFFFF"/>
              <w:tabs>
                <w:tab w:val="left" w:pos="378"/>
              </w:tabs>
              <w:rPr>
                <w:sz w:val="22"/>
                <w:lang w:val="uk-UA"/>
              </w:rPr>
            </w:pPr>
            <w:r w:rsidRPr="00B74A55">
              <w:rPr>
                <w:sz w:val="22"/>
                <w:lang w:val="uk-UA"/>
              </w:rPr>
              <w:t>- ремонт їдальні та харчоблоку;</w:t>
            </w:r>
          </w:p>
          <w:p w:rsidR="00BA629D" w:rsidRPr="00B74A55" w:rsidRDefault="00BA629D" w:rsidP="00832B51">
            <w:pPr>
              <w:shd w:val="clear" w:color="auto" w:fill="FFFFFF"/>
              <w:tabs>
                <w:tab w:val="left" w:pos="378"/>
              </w:tabs>
              <w:rPr>
                <w:sz w:val="22"/>
                <w:lang w:val="uk-UA"/>
              </w:rPr>
            </w:pPr>
            <w:r w:rsidRPr="00B74A55">
              <w:rPr>
                <w:sz w:val="22"/>
                <w:lang w:val="uk-UA"/>
              </w:rPr>
              <w:lastRenderedPageBreak/>
              <w:t>- облаштування підлоги;</w:t>
            </w:r>
          </w:p>
          <w:p w:rsidR="00BA629D" w:rsidRPr="00B74A55" w:rsidRDefault="00BA629D" w:rsidP="00832B51">
            <w:pPr>
              <w:shd w:val="clear" w:color="auto" w:fill="FFFFFF"/>
              <w:tabs>
                <w:tab w:val="left" w:pos="378"/>
              </w:tabs>
              <w:rPr>
                <w:sz w:val="22"/>
                <w:lang w:val="uk-UA"/>
              </w:rPr>
            </w:pPr>
            <w:r w:rsidRPr="00B74A55">
              <w:rPr>
                <w:sz w:val="22"/>
                <w:lang w:val="uk-UA"/>
              </w:rPr>
              <w:t>-реконструкція зовнішнього та внутрішнього  освітлення приміщення;</w:t>
            </w:r>
          </w:p>
          <w:p w:rsidR="00BA629D" w:rsidRPr="00B74A55" w:rsidRDefault="00BA629D" w:rsidP="00832B51">
            <w:pPr>
              <w:pStyle w:val="a7"/>
              <w:ind w:left="0"/>
              <w:rPr>
                <w:sz w:val="22"/>
                <w:lang w:val="uk-UA"/>
              </w:rPr>
            </w:pPr>
            <w:r w:rsidRPr="00B74A55">
              <w:rPr>
                <w:sz w:val="22"/>
                <w:lang w:val="uk-UA"/>
              </w:rPr>
              <w:t>- оновлення роботи системи  екстреного виклику;</w:t>
            </w:r>
          </w:p>
          <w:p w:rsidR="00BA629D" w:rsidRPr="00B74A55" w:rsidRDefault="00BA629D" w:rsidP="00832B51">
            <w:pPr>
              <w:pStyle w:val="a7"/>
              <w:ind w:left="0"/>
              <w:rPr>
                <w:sz w:val="22"/>
                <w:lang w:val="uk-UA"/>
              </w:rPr>
            </w:pPr>
            <w:r w:rsidRPr="00B74A55">
              <w:rPr>
                <w:sz w:val="22"/>
                <w:lang w:val="uk-UA"/>
              </w:rPr>
              <w:t xml:space="preserve">- визначення кількості осіб, які потребують отримання соціальних, освітніх послуг від закладу; </w:t>
            </w:r>
          </w:p>
          <w:p w:rsidR="00101CAC" w:rsidRPr="00B74A55" w:rsidRDefault="00101CAC" w:rsidP="00101CAC">
            <w:pPr>
              <w:pStyle w:val="a7"/>
              <w:ind w:left="0"/>
              <w:rPr>
                <w:sz w:val="22"/>
                <w:lang w:val="uk-UA"/>
              </w:rPr>
            </w:pPr>
            <w:r w:rsidRPr="00B74A55">
              <w:rPr>
                <w:sz w:val="22"/>
                <w:lang w:val="uk-UA"/>
              </w:rPr>
              <w:t>- організація та початок освітнього процесу.</w:t>
            </w:r>
          </w:p>
        </w:tc>
      </w:tr>
      <w:tr w:rsidR="00BA629D" w:rsidRPr="00B74A55" w:rsidTr="00F34B87">
        <w:trPr>
          <w:trHeight w:val="360"/>
        </w:trPr>
        <w:tc>
          <w:tcPr>
            <w:tcW w:w="2978" w:type="dxa"/>
            <w:vMerge w:val="restart"/>
            <w:shd w:val="clear" w:color="auto" w:fill="C6D9F1" w:themeFill="text2" w:themeFillTint="33"/>
          </w:tcPr>
          <w:p w:rsidR="00BA629D" w:rsidRPr="00B74A55" w:rsidRDefault="00BA629D" w:rsidP="00832B51">
            <w:pPr>
              <w:pStyle w:val="a7"/>
              <w:ind w:left="0"/>
              <w:rPr>
                <w:b/>
                <w:sz w:val="22"/>
                <w:lang w:val="uk-UA"/>
              </w:rPr>
            </w:pPr>
            <w:r w:rsidRPr="00B74A55">
              <w:rPr>
                <w:b/>
                <w:sz w:val="22"/>
                <w:lang w:val="uk-UA"/>
              </w:rPr>
              <w:lastRenderedPageBreak/>
              <w:t xml:space="preserve">Орієнтовний обсяг та джерела фінансування, тис. грн. </w:t>
            </w:r>
          </w:p>
          <w:p w:rsidR="00BA629D" w:rsidRPr="00B74A55" w:rsidRDefault="00BA629D" w:rsidP="00832B51">
            <w:pPr>
              <w:pStyle w:val="a7"/>
              <w:ind w:left="0"/>
              <w:rPr>
                <w:b/>
                <w:sz w:val="22"/>
                <w:lang w:val="uk-UA"/>
              </w:rPr>
            </w:pPr>
          </w:p>
        </w:tc>
        <w:tc>
          <w:tcPr>
            <w:tcW w:w="1417" w:type="dxa"/>
            <w:tcBorders>
              <w:bottom w:val="single" w:sz="4" w:space="0" w:color="auto"/>
              <w:right w:val="single" w:sz="4" w:space="0" w:color="auto"/>
            </w:tcBorders>
          </w:tcPr>
          <w:p w:rsidR="00BA629D" w:rsidRPr="00B74A55" w:rsidRDefault="00BA629D" w:rsidP="00832B51">
            <w:pPr>
              <w:pStyle w:val="a7"/>
              <w:ind w:left="0"/>
              <w:jc w:val="center"/>
              <w:rPr>
                <w:b/>
                <w:sz w:val="22"/>
                <w:lang w:val="uk-UA"/>
              </w:rPr>
            </w:pPr>
            <w:r w:rsidRPr="00B74A55">
              <w:rPr>
                <w:b/>
                <w:sz w:val="22"/>
                <w:lang w:val="uk-UA"/>
              </w:rPr>
              <w:t>Державний бюджет</w:t>
            </w:r>
          </w:p>
        </w:tc>
        <w:tc>
          <w:tcPr>
            <w:tcW w:w="1276" w:type="dxa"/>
            <w:tcBorders>
              <w:bottom w:val="single" w:sz="4" w:space="0" w:color="auto"/>
              <w:right w:val="single" w:sz="4" w:space="0" w:color="auto"/>
            </w:tcBorders>
          </w:tcPr>
          <w:p w:rsidR="00BA629D" w:rsidRPr="00B74A55" w:rsidRDefault="00BA629D" w:rsidP="00832B51">
            <w:pPr>
              <w:pStyle w:val="a7"/>
              <w:ind w:left="0"/>
              <w:jc w:val="center"/>
              <w:rPr>
                <w:b/>
                <w:sz w:val="22"/>
                <w:lang w:val="uk-UA"/>
              </w:rPr>
            </w:pPr>
            <w:r w:rsidRPr="00B74A55">
              <w:rPr>
                <w:b/>
                <w:sz w:val="22"/>
                <w:lang w:val="uk-UA"/>
              </w:rPr>
              <w:t>Місцевий бюджет</w:t>
            </w:r>
          </w:p>
        </w:tc>
        <w:tc>
          <w:tcPr>
            <w:tcW w:w="2807" w:type="dxa"/>
            <w:gridSpan w:val="4"/>
            <w:tcBorders>
              <w:left w:val="single" w:sz="4" w:space="0" w:color="auto"/>
              <w:bottom w:val="single" w:sz="4" w:space="0" w:color="auto"/>
              <w:right w:val="single" w:sz="4" w:space="0" w:color="auto"/>
            </w:tcBorders>
          </w:tcPr>
          <w:p w:rsidR="00BA629D" w:rsidRPr="00B74A55" w:rsidRDefault="00BA629D" w:rsidP="00832B51">
            <w:pPr>
              <w:pStyle w:val="a7"/>
              <w:ind w:left="0"/>
              <w:jc w:val="center"/>
              <w:rPr>
                <w:b/>
                <w:sz w:val="22"/>
                <w:lang w:val="uk-UA"/>
              </w:rPr>
            </w:pPr>
            <w:r w:rsidRPr="00B74A55">
              <w:rPr>
                <w:b/>
                <w:sz w:val="22"/>
                <w:lang w:val="uk-UA"/>
              </w:rPr>
              <w:t>Інші джерела</w:t>
            </w:r>
          </w:p>
        </w:tc>
        <w:tc>
          <w:tcPr>
            <w:tcW w:w="1410" w:type="dxa"/>
            <w:tcBorders>
              <w:left w:val="single" w:sz="4" w:space="0" w:color="auto"/>
              <w:bottom w:val="single" w:sz="4" w:space="0" w:color="auto"/>
            </w:tcBorders>
          </w:tcPr>
          <w:p w:rsidR="00BA629D" w:rsidRPr="00B74A55" w:rsidRDefault="00BA629D" w:rsidP="00832B51">
            <w:pPr>
              <w:pStyle w:val="a7"/>
              <w:ind w:left="0"/>
              <w:jc w:val="center"/>
              <w:rPr>
                <w:b/>
                <w:sz w:val="22"/>
                <w:lang w:val="uk-UA"/>
              </w:rPr>
            </w:pPr>
            <w:r w:rsidRPr="00B74A55">
              <w:rPr>
                <w:b/>
                <w:sz w:val="22"/>
                <w:lang w:val="uk-UA"/>
              </w:rPr>
              <w:t>Всього</w:t>
            </w:r>
          </w:p>
        </w:tc>
      </w:tr>
      <w:tr w:rsidR="00BA629D" w:rsidRPr="00B74A55" w:rsidTr="00F34B87">
        <w:trPr>
          <w:trHeight w:val="225"/>
        </w:trPr>
        <w:tc>
          <w:tcPr>
            <w:tcW w:w="2978" w:type="dxa"/>
            <w:vMerge/>
            <w:shd w:val="clear" w:color="auto" w:fill="C6D9F1" w:themeFill="text2" w:themeFillTint="33"/>
          </w:tcPr>
          <w:p w:rsidR="00BA629D" w:rsidRPr="00B74A55" w:rsidRDefault="00BA629D" w:rsidP="00832B51">
            <w:pPr>
              <w:pStyle w:val="a7"/>
              <w:ind w:left="0"/>
              <w:rPr>
                <w:b/>
                <w:sz w:val="22"/>
                <w:lang w:val="uk-UA"/>
              </w:rPr>
            </w:pPr>
          </w:p>
        </w:tc>
        <w:tc>
          <w:tcPr>
            <w:tcW w:w="1417" w:type="dxa"/>
            <w:vMerge w:val="restart"/>
            <w:tcBorders>
              <w:top w:val="single" w:sz="4" w:space="0" w:color="auto"/>
              <w:right w:val="single" w:sz="4" w:space="0" w:color="auto"/>
            </w:tcBorders>
          </w:tcPr>
          <w:p w:rsidR="00BA629D" w:rsidRPr="00B74A55" w:rsidRDefault="00BA629D" w:rsidP="00832B51">
            <w:pPr>
              <w:pStyle w:val="a7"/>
              <w:ind w:left="0"/>
              <w:jc w:val="center"/>
              <w:rPr>
                <w:sz w:val="22"/>
                <w:lang w:val="uk-UA"/>
              </w:rPr>
            </w:pPr>
            <w:r w:rsidRPr="00B74A55">
              <w:rPr>
                <w:sz w:val="22"/>
                <w:lang w:val="uk-UA"/>
              </w:rPr>
              <w:t>9000,1</w:t>
            </w:r>
          </w:p>
        </w:tc>
        <w:tc>
          <w:tcPr>
            <w:tcW w:w="1276" w:type="dxa"/>
            <w:vMerge w:val="restart"/>
            <w:tcBorders>
              <w:top w:val="single" w:sz="4" w:space="0" w:color="auto"/>
              <w:right w:val="single" w:sz="4" w:space="0" w:color="auto"/>
            </w:tcBorders>
          </w:tcPr>
          <w:p w:rsidR="00BA629D" w:rsidRPr="00B74A55" w:rsidRDefault="00BA629D" w:rsidP="00832B51">
            <w:pPr>
              <w:pStyle w:val="a7"/>
              <w:ind w:left="0"/>
              <w:jc w:val="center"/>
              <w:rPr>
                <w:b/>
                <w:sz w:val="22"/>
                <w:lang w:val="uk-UA"/>
              </w:rPr>
            </w:pPr>
            <w:r w:rsidRPr="00B74A55">
              <w:rPr>
                <w:b/>
                <w:sz w:val="22"/>
                <w:lang w:val="uk-UA"/>
              </w:rPr>
              <w:t>-</w:t>
            </w:r>
          </w:p>
        </w:tc>
        <w:tc>
          <w:tcPr>
            <w:tcW w:w="1134" w:type="dxa"/>
            <w:gridSpan w:val="2"/>
            <w:tcBorders>
              <w:top w:val="single" w:sz="4" w:space="0" w:color="auto"/>
              <w:left w:val="single" w:sz="4" w:space="0" w:color="auto"/>
              <w:bottom w:val="single" w:sz="4" w:space="0" w:color="auto"/>
              <w:right w:val="single" w:sz="4" w:space="0" w:color="auto"/>
            </w:tcBorders>
          </w:tcPr>
          <w:p w:rsidR="00BA629D" w:rsidRPr="00B74A55" w:rsidRDefault="00BA629D" w:rsidP="00832B51">
            <w:pPr>
              <w:pStyle w:val="a7"/>
              <w:ind w:left="0"/>
              <w:jc w:val="center"/>
              <w:rPr>
                <w:b/>
                <w:sz w:val="22"/>
                <w:lang w:val="uk-UA"/>
              </w:rPr>
            </w:pPr>
            <w:r w:rsidRPr="00B74A55">
              <w:rPr>
                <w:b/>
                <w:sz w:val="22"/>
                <w:lang w:val="uk-UA"/>
              </w:rPr>
              <w:t>Обсяг</w:t>
            </w:r>
          </w:p>
        </w:tc>
        <w:tc>
          <w:tcPr>
            <w:tcW w:w="1673" w:type="dxa"/>
            <w:gridSpan w:val="2"/>
            <w:tcBorders>
              <w:top w:val="single" w:sz="4" w:space="0" w:color="auto"/>
              <w:left w:val="single" w:sz="4" w:space="0" w:color="auto"/>
              <w:bottom w:val="single" w:sz="4" w:space="0" w:color="auto"/>
              <w:right w:val="single" w:sz="4" w:space="0" w:color="auto"/>
            </w:tcBorders>
          </w:tcPr>
          <w:p w:rsidR="00BA629D" w:rsidRPr="00B74A55" w:rsidRDefault="00BA629D" w:rsidP="00832B51">
            <w:pPr>
              <w:pStyle w:val="a7"/>
              <w:ind w:left="0"/>
              <w:jc w:val="center"/>
              <w:rPr>
                <w:b/>
                <w:sz w:val="22"/>
                <w:lang w:val="uk-UA"/>
              </w:rPr>
            </w:pPr>
            <w:r w:rsidRPr="00B74A55">
              <w:rPr>
                <w:b/>
                <w:sz w:val="22"/>
                <w:lang w:val="uk-UA"/>
              </w:rPr>
              <w:t>Назва джерела</w:t>
            </w:r>
          </w:p>
        </w:tc>
        <w:tc>
          <w:tcPr>
            <w:tcW w:w="1410" w:type="dxa"/>
            <w:vMerge w:val="restart"/>
            <w:tcBorders>
              <w:top w:val="single" w:sz="4" w:space="0" w:color="auto"/>
              <w:left w:val="single" w:sz="4" w:space="0" w:color="auto"/>
            </w:tcBorders>
          </w:tcPr>
          <w:p w:rsidR="00BA629D" w:rsidRPr="00B74A55" w:rsidRDefault="00BA629D" w:rsidP="00832B51">
            <w:pPr>
              <w:pStyle w:val="a7"/>
              <w:ind w:left="0"/>
              <w:jc w:val="center"/>
              <w:rPr>
                <w:sz w:val="22"/>
                <w:lang w:val="uk-UA"/>
              </w:rPr>
            </w:pPr>
            <w:r w:rsidRPr="00B74A55">
              <w:rPr>
                <w:sz w:val="22"/>
                <w:lang w:val="uk-UA"/>
              </w:rPr>
              <w:t>9000,1</w:t>
            </w:r>
          </w:p>
        </w:tc>
      </w:tr>
      <w:tr w:rsidR="00BA629D" w:rsidRPr="00B74A55" w:rsidTr="00F34B87">
        <w:trPr>
          <w:trHeight w:val="300"/>
        </w:trPr>
        <w:tc>
          <w:tcPr>
            <w:tcW w:w="2978" w:type="dxa"/>
            <w:vMerge/>
            <w:shd w:val="clear" w:color="auto" w:fill="C6D9F1" w:themeFill="text2" w:themeFillTint="33"/>
          </w:tcPr>
          <w:p w:rsidR="00BA629D" w:rsidRPr="00B74A55" w:rsidRDefault="00BA629D" w:rsidP="00832B51">
            <w:pPr>
              <w:pStyle w:val="a7"/>
              <w:ind w:left="0"/>
              <w:rPr>
                <w:b/>
                <w:sz w:val="22"/>
                <w:lang w:val="uk-UA"/>
              </w:rPr>
            </w:pPr>
          </w:p>
        </w:tc>
        <w:tc>
          <w:tcPr>
            <w:tcW w:w="1417" w:type="dxa"/>
            <w:vMerge/>
            <w:tcBorders>
              <w:right w:val="single" w:sz="4" w:space="0" w:color="auto"/>
            </w:tcBorders>
          </w:tcPr>
          <w:p w:rsidR="00BA629D" w:rsidRPr="00B74A55" w:rsidRDefault="00BA629D" w:rsidP="00832B51">
            <w:pPr>
              <w:pStyle w:val="a7"/>
              <w:ind w:left="0"/>
              <w:jc w:val="center"/>
              <w:rPr>
                <w:sz w:val="22"/>
                <w:lang w:val="uk-UA"/>
              </w:rPr>
            </w:pPr>
          </w:p>
        </w:tc>
        <w:tc>
          <w:tcPr>
            <w:tcW w:w="1276" w:type="dxa"/>
            <w:vMerge/>
            <w:tcBorders>
              <w:right w:val="single" w:sz="4" w:space="0" w:color="auto"/>
            </w:tcBorders>
          </w:tcPr>
          <w:p w:rsidR="00BA629D" w:rsidRPr="00B74A55" w:rsidRDefault="00BA629D" w:rsidP="00832B51">
            <w:pPr>
              <w:pStyle w:val="a7"/>
              <w:ind w:left="0"/>
              <w:jc w:val="center"/>
              <w:rPr>
                <w:b/>
                <w:sz w:val="22"/>
                <w:lang w:val="uk-UA"/>
              </w:rPr>
            </w:pPr>
          </w:p>
        </w:tc>
        <w:tc>
          <w:tcPr>
            <w:tcW w:w="1134" w:type="dxa"/>
            <w:gridSpan w:val="2"/>
            <w:tcBorders>
              <w:top w:val="single" w:sz="4" w:space="0" w:color="auto"/>
              <w:left w:val="single" w:sz="4" w:space="0" w:color="auto"/>
              <w:right w:val="single" w:sz="4" w:space="0" w:color="auto"/>
            </w:tcBorders>
          </w:tcPr>
          <w:p w:rsidR="00BA629D" w:rsidRPr="00B74A55" w:rsidRDefault="00BA629D" w:rsidP="00832B51">
            <w:pPr>
              <w:pStyle w:val="a7"/>
              <w:ind w:left="0"/>
              <w:jc w:val="center"/>
              <w:rPr>
                <w:b/>
                <w:sz w:val="22"/>
                <w:lang w:val="uk-UA"/>
              </w:rPr>
            </w:pPr>
          </w:p>
        </w:tc>
        <w:tc>
          <w:tcPr>
            <w:tcW w:w="1673" w:type="dxa"/>
            <w:gridSpan w:val="2"/>
            <w:tcBorders>
              <w:top w:val="single" w:sz="4" w:space="0" w:color="auto"/>
              <w:left w:val="single" w:sz="4" w:space="0" w:color="auto"/>
              <w:right w:val="single" w:sz="4" w:space="0" w:color="auto"/>
            </w:tcBorders>
          </w:tcPr>
          <w:p w:rsidR="00BA629D" w:rsidRPr="00B74A55" w:rsidRDefault="00BA629D" w:rsidP="00832B51">
            <w:pPr>
              <w:pStyle w:val="a7"/>
              <w:ind w:left="0"/>
              <w:jc w:val="center"/>
              <w:rPr>
                <w:sz w:val="22"/>
                <w:lang w:val="uk-UA"/>
              </w:rPr>
            </w:pPr>
            <w:r w:rsidRPr="00B74A55">
              <w:rPr>
                <w:sz w:val="22"/>
                <w:lang w:val="uk-UA"/>
              </w:rPr>
              <w:t>Міжнародні інвестиції, кошти приватних осіб</w:t>
            </w:r>
          </w:p>
        </w:tc>
        <w:tc>
          <w:tcPr>
            <w:tcW w:w="1410" w:type="dxa"/>
            <w:vMerge/>
            <w:tcBorders>
              <w:left w:val="single" w:sz="4" w:space="0" w:color="auto"/>
            </w:tcBorders>
          </w:tcPr>
          <w:p w:rsidR="00BA629D" w:rsidRPr="00B74A55" w:rsidRDefault="00BA629D" w:rsidP="00832B51">
            <w:pPr>
              <w:pStyle w:val="a7"/>
              <w:ind w:left="0"/>
              <w:jc w:val="center"/>
              <w:rPr>
                <w:sz w:val="22"/>
                <w:lang w:val="uk-UA"/>
              </w:rPr>
            </w:pPr>
          </w:p>
        </w:tc>
      </w:tr>
    </w:tbl>
    <w:p w:rsidR="00EA656C" w:rsidRPr="00B74A55" w:rsidRDefault="00EA656C" w:rsidP="00E95FB1">
      <w:pPr>
        <w:rPr>
          <w:sz w:val="22"/>
        </w:rPr>
      </w:pPr>
    </w:p>
    <w:p w:rsidR="00832B51" w:rsidRPr="00B74A55" w:rsidRDefault="00832B51" w:rsidP="00E95FB1">
      <w:pPr>
        <w:rPr>
          <w:sz w:val="22"/>
        </w:rPr>
      </w:pPr>
    </w:p>
    <w:p w:rsidR="00832B51" w:rsidRPr="00B74A55" w:rsidRDefault="00832B51" w:rsidP="00E95FB1">
      <w:pPr>
        <w:rPr>
          <w:sz w:val="22"/>
        </w:rPr>
      </w:pPr>
    </w:p>
    <w:tbl>
      <w:tblPr>
        <w:tblStyle w:val="af"/>
        <w:tblW w:w="9923" w:type="dxa"/>
        <w:tblInd w:w="-176" w:type="dxa"/>
        <w:tblLayout w:type="fixed"/>
        <w:tblLook w:val="04A0" w:firstRow="1" w:lastRow="0" w:firstColumn="1" w:lastColumn="0" w:noHBand="0" w:noVBand="1"/>
      </w:tblPr>
      <w:tblGrid>
        <w:gridCol w:w="2978"/>
        <w:gridCol w:w="1559"/>
        <w:gridCol w:w="1559"/>
        <w:gridCol w:w="425"/>
        <w:gridCol w:w="709"/>
        <w:gridCol w:w="1134"/>
        <w:gridCol w:w="570"/>
        <w:gridCol w:w="989"/>
      </w:tblGrid>
      <w:tr w:rsidR="00832B51" w:rsidRPr="00B74A55" w:rsidTr="00F34B87">
        <w:tc>
          <w:tcPr>
            <w:tcW w:w="2978" w:type="dxa"/>
            <w:shd w:val="clear" w:color="auto" w:fill="C6D9F1" w:themeFill="text2" w:themeFillTint="33"/>
          </w:tcPr>
          <w:p w:rsidR="00832B51" w:rsidRPr="00B74A55" w:rsidRDefault="00832B51" w:rsidP="00832B51">
            <w:pPr>
              <w:pStyle w:val="a7"/>
              <w:ind w:left="0"/>
              <w:rPr>
                <w:b/>
                <w:sz w:val="22"/>
                <w:lang w:val="uk-UA"/>
              </w:rPr>
            </w:pPr>
            <w:r w:rsidRPr="00B74A55">
              <w:rPr>
                <w:b/>
                <w:sz w:val="22"/>
                <w:lang w:val="uk-UA"/>
              </w:rPr>
              <w:t>Оперативна ціль/завдання</w:t>
            </w:r>
          </w:p>
        </w:tc>
        <w:tc>
          <w:tcPr>
            <w:tcW w:w="6945" w:type="dxa"/>
            <w:gridSpan w:val="7"/>
            <w:shd w:val="clear" w:color="auto" w:fill="auto"/>
          </w:tcPr>
          <w:p w:rsidR="00832B51" w:rsidRPr="00B74A55" w:rsidRDefault="00832B51" w:rsidP="00832B51">
            <w:pPr>
              <w:rPr>
                <w:sz w:val="22"/>
                <w:lang w:val="uk-UA"/>
              </w:rPr>
            </w:pPr>
            <w:r w:rsidRPr="00B74A55">
              <w:rPr>
                <w:sz w:val="22"/>
                <w:lang w:val="uk-UA"/>
              </w:rPr>
              <w:t xml:space="preserve">Людський розвиток через інновації управління та довіру до влади. Формування сучасного інклюзивного  </w:t>
            </w:r>
            <w:proofErr w:type="spellStart"/>
            <w:r w:rsidRPr="00B74A55">
              <w:rPr>
                <w:sz w:val="22"/>
                <w:lang w:val="uk-UA"/>
              </w:rPr>
              <w:t>освітньо</w:t>
            </w:r>
            <w:proofErr w:type="spellEnd"/>
            <w:r w:rsidRPr="00B74A55">
              <w:rPr>
                <w:sz w:val="22"/>
                <w:lang w:val="uk-UA"/>
              </w:rPr>
              <w:t>-культурного та спортивного простору для розвитку</w:t>
            </w:r>
          </w:p>
        </w:tc>
      </w:tr>
      <w:tr w:rsidR="00832B51" w:rsidRPr="00B74A55" w:rsidTr="00F34B87">
        <w:tc>
          <w:tcPr>
            <w:tcW w:w="2978" w:type="dxa"/>
            <w:shd w:val="clear" w:color="auto" w:fill="C6D9F1" w:themeFill="text2" w:themeFillTint="33"/>
          </w:tcPr>
          <w:p w:rsidR="00832B51" w:rsidRPr="00B74A55" w:rsidRDefault="00832B51" w:rsidP="00832B51">
            <w:pPr>
              <w:pStyle w:val="a7"/>
              <w:ind w:left="0"/>
              <w:rPr>
                <w:b/>
                <w:sz w:val="22"/>
                <w:lang w:val="uk-UA"/>
              </w:rPr>
            </w:pPr>
            <w:r w:rsidRPr="00B74A55">
              <w:rPr>
                <w:b/>
                <w:sz w:val="22"/>
                <w:lang w:val="uk-UA"/>
              </w:rPr>
              <w:t>Назва проекту:</w:t>
            </w:r>
          </w:p>
        </w:tc>
        <w:tc>
          <w:tcPr>
            <w:tcW w:w="6945" w:type="dxa"/>
            <w:gridSpan w:val="7"/>
          </w:tcPr>
          <w:p w:rsidR="00832B51" w:rsidRPr="00B74A55" w:rsidRDefault="00832B51" w:rsidP="00832B51">
            <w:pPr>
              <w:pStyle w:val="a7"/>
              <w:ind w:left="0"/>
              <w:rPr>
                <w:sz w:val="22"/>
                <w:lang w:val="uk-UA"/>
              </w:rPr>
            </w:pPr>
            <w:r w:rsidRPr="00B74A55">
              <w:rPr>
                <w:sz w:val="22"/>
                <w:lang w:val="uk-UA"/>
              </w:rPr>
              <w:t xml:space="preserve">Капітальний ремонт спортивного стадіону комунального закладу Гімназії № 8 міста Сєвєродонецька Луганської області, розташованої за </w:t>
            </w:r>
            <w:proofErr w:type="spellStart"/>
            <w:r w:rsidRPr="00B74A55">
              <w:rPr>
                <w:sz w:val="22"/>
                <w:lang w:val="uk-UA"/>
              </w:rPr>
              <w:t>адресою</w:t>
            </w:r>
            <w:proofErr w:type="spellEnd"/>
            <w:r w:rsidRPr="00B74A55">
              <w:rPr>
                <w:sz w:val="22"/>
                <w:lang w:val="uk-UA"/>
              </w:rPr>
              <w:t xml:space="preserve">: Луганська область, місто Сєвєродонецьк, вул. </w:t>
            </w:r>
            <w:proofErr w:type="spellStart"/>
            <w:r w:rsidRPr="00B74A55">
              <w:rPr>
                <w:sz w:val="22"/>
                <w:lang w:val="uk-UA"/>
              </w:rPr>
              <w:t>Вілєсова</w:t>
            </w:r>
            <w:proofErr w:type="spellEnd"/>
            <w:r w:rsidRPr="00B74A55">
              <w:rPr>
                <w:sz w:val="22"/>
                <w:lang w:val="uk-UA"/>
              </w:rPr>
              <w:t>. б.10</w:t>
            </w:r>
          </w:p>
        </w:tc>
      </w:tr>
      <w:tr w:rsidR="00832B51" w:rsidRPr="00B74A55" w:rsidTr="00F34B87">
        <w:tc>
          <w:tcPr>
            <w:tcW w:w="2978" w:type="dxa"/>
            <w:shd w:val="clear" w:color="auto" w:fill="C6D9F1" w:themeFill="text2" w:themeFillTint="33"/>
          </w:tcPr>
          <w:p w:rsidR="00832B51" w:rsidRPr="00B74A55" w:rsidRDefault="00832B51" w:rsidP="00832B51">
            <w:pPr>
              <w:rPr>
                <w:b/>
                <w:sz w:val="22"/>
                <w:lang w:val="uk-UA"/>
              </w:rPr>
            </w:pPr>
            <w:r w:rsidRPr="00B74A55">
              <w:rPr>
                <w:b/>
                <w:sz w:val="22"/>
                <w:lang w:val="uk-UA"/>
              </w:rPr>
              <w:t>Ціль проекту</w:t>
            </w:r>
          </w:p>
        </w:tc>
        <w:tc>
          <w:tcPr>
            <w:tcW w:w="6945" w:type="dxa"/>
            <w:gridSpan w:val="7"/>
          </w:tcPr>
          <w:p w:rsidR="00832B51" w:rsidRPr="00B74A55" w:rsidRDefault="00832B51" w:rsidP="00832B51">
            <w:pPr>
              <w:pStyle w:val="a7"/>
              <w:ind w:left="0"/>
              <w:rPr>
                <w:sz w:val="22"/>
                <w:lang w:val="uk-UA"/>
              </w:rPr>
            </w:pPr>
            <w:r w:rsidRPr="00B74A55">
              <w:rPr>
                <w:sz w:val="22"/>
                <w:lang w:val="uk-UA"/>
              </w:rPr>
              <w:t>Відновити та покращити роботу комунального закладу Гімназія № 8 для надання широкого спектру послуг, пов’язаних із освітньою діяльністю та задоволення потреб мешканців Сєвєродонецької міської територіальної громади у необхідних послугах. Впровадження здорового способу життя.</w:t>
            </w:r>
          </w:p>
        </w:tc>
      </w:tr>
      <w:tr w:rsidR="00832B51" w:rsidRPr="00B74A55" w:rsidTr="00F34B87">
        <w:tc>
          <w:tcPr>
            <w:tcW w:w="2978" w:type="dxa"/>
            <w:shd w:val="clear" w:color="auto" w:fill="C6D9F1" w:themeFill="text2" w:themeFillTint="33"/>
          </w:tcPr>
          <w:p w:rsidR="00832B51" w:rsidRPr="00B74A55" w:rsidRDefault="00832B51" w:rsidP="00832B51">
            <w:pPr>
              <w:pStyle w:val="a7"/>
              <w:ind w:left="0"/>
              <w:rPr>
                <w:b/>
                <w:sz w:val="22"/>
                <w:lang w:val="uk-UA"/>
              </w:rPr>
            </w:pPr>
            <w:r w:rsidRPr="00B74A55">
              <w:rPr>
                <w:b/>
                <w:sz w:val="22"/>
                <w:lang w:val="uk-UA"/>
              </w:rPr>
              <w:t>Територія, на яку матиме вплив реалізація проекту</w:t>
            </w:r>
          </w:p>
        </w:tc>
        <w:tc>
          <w:tcPr>
            <w:tcW w:w="6945" w:type="dxa"/>
            <w:gridSpan w:val="7"/>
          </w:tcPr>
          <w:p w:rsidR="00832B51" w:rsidRPr="00B74A55" w:rsidRDefault="00832B51" w:rsidP="00832B51">
            <w:pPr>
              <w:pStyle w:val="a7"/>
              <w:ind w:left="0"/>
              <w:rPr>
                <w:sz w:val="22"/>
                <w:lang w:val="uk-UA"/>
              </w:rPr>
            </w:pPr>
            <w:r w:rsidRPr="00B74A55">
              <w:rPr>
                <w:sz w:val="22"/>
                <w:lang w:val="uk-UA"/>
              </w:rPr>
              <w:t>Сєвєродонецька міська територіальна громада</w:t>
            </w:r>
          </w:p>
        </w:tc>
      </w:tr>
      <w:tr w:rsidR="00832B51" w:rsidRPr="00B74A55" w:rsidTr="00F34B87">
        <w:tc>
          <w:tcPr>
            <w:tcW w:w="2978" w:type="dxa"/>
            <w:shd w:val="clear" w:color="auto" w:fill="C6D9F1" w:themeFill="text2" w:themeFillTint="33"/>
          </w:tcPr>
          <w:p w:rsidR="00832B51" w:rsidRPr="00B74A55" w:rsidRDefault="00832B51" w:rsidP="00832B51">
            <w:pPr>
              <w:pStyle w:val="a7"/>
              <w:ind w:left="0"/>
              <w:rPr>
                <w:b/>
                <w:sz w:val="22"/>
                <w:lang w:val="uk-UA"/>
              </w:rPr>
            </w:pPr>
            <w:r w:rsidRPr="00B74A55">
              <w:rPr>
                <w:b/>
                <w:sz w:val="22"/>
                <w:lang w:val="uk-UA"/>
              </w:rPr>
              <w:t>Чисельність населення, на яке матиме вплив реалізація проекту</w:t>
            </w:r>
          </w:p>
        </w:tc>
        <w:tc>
          <w:tcPr>
            <w:tcW w:w="6945" w:type="dxa"/>
            <w:gridSpan w:val="7"/>
          </w:tcPr>
          <w:p w:rsidR="00832B51" w:rsidRPr="00B74A55" w:rsidRDefault="00832B51" w:rsidP="00832B51">
            <w:pPr>
              <w:pStyle w:val="a7"/>
              <w:ind w:left="0"/>
              <w:rPr>
                <w:sz w:val="22"/>
                <w:lang w:val="uk-UA"/>
              </w:rPr>
            </w:pPr>
            <w:r w:rsidRPr="00B74A55">
              <w:rPr>
                <w:sz w:val="22"/>
                <w:lang w:val="uk-UA"/>
              </w:rPr>
              <w:t xml:space="preserve"> 70 000  осіб</w:t>
            </w:r>
          </w:p>
        </w:tc>
      </w:tr>
      <w:tr w:rsidR="00832B51" w:rsidRPr="00B74A55" w:rsidTr="00F34B87">
        <w:tc>
          <w:tcPr>
            <w:tcW w:w="2978" w:type="dxa"/>
            <w:shd w:val="clear" w:color="auto" w:fill="C6D9F1" w:themeFill="text2" w:themeFillTint="33"/>
          </w:tcPr>
          <w:p w:rsidR="00832B51" w:rsidRPr="00B74A55" w:rsidRDefault="00832B51" w:rsidP="00832B51">
            <w:pPr>
              <w:rPr>
                <w:b/>
                <w:sz w:val="22"/>
                <w:lang w:val="uk-UA"/>
              </w:rPr>
            </w:pPr>
            <w:r w:rsidRPr="00B74A55">
              <w:rPr>
                <w:b/>
                <w:sz w:val="22"/>
                <w:lang w:val="uk-UA"/>
              </w:rPr>
              <w:t>Опис проблеми, на вирішення якої  спрямований проект</w:t>
            </w:r>
          </w:p>
        </w:tc>
        <w:tc>
          <w:tcPr>
            <w:tcW w:w="6945" w:type="dxa"/>
            <w:gridSpan w:val="7"/>
          </w:tcPr>
          <w:p w:rsidR="00832B51" w:rsidRPr="00B74A55" w:rsidRDefault="00832B51" w:rsidP="00832B51">
            <w:pPr>
              <w:ind w:firstLine="708"/>
              <w:rPr>
                <w:sz w:val="22"/>
                <w:lang w:val="uk-UA"/>
              </w:rPr>
            </w:pPr>
            <w:r w:rsidRPr="00B74A55">
              <w:rPr>
                <w:sz w:val="22"/>
                <w:lang w:val="uk-UA"/>
              </w:rPr>
              <w:t>Через військову агресію РФ територія Сєвєродонецької міської територіальної громади зазнала значних пошкоджень. Не оминуло це і Гімназію № 8.</w:t>
            </w:r>
          </w:p>
          <w:p w:rsidR="00832B51" w:rsidRPr="00B74A55" w:rsidRDefault="00832B51" w:rsidP="00832B51">
            <w:pPr>
              <w:ind w:firstLine="708"/>
              <w:rPr>
                <w:sz w:val="22"/>
                <w:lang w:val="uk-UA"/>
              </w:rPr>
            </w:pPr>
            <w:r w:rsidRPr="00B74A55">
              <w:rPr>
                <w:sz w:val="22"/>
                <w:lang w:val="uk-UA"/>
              </w:rPr>
              <w:t>Вся матеріально-технічна база спортивного стадіону закладу, зокрема:</w:t>
            </w:r>
          </w:p>
          <w:p w:rsidR="00832B51" w:rsidRPr="00B74A55" w:rsidRDefault="00832B51" w:rsidP="000303D7">
            <w:pPr>
              <w:pStyle w:val="a7"/>
              <w:numPr>
                <w:ilvl w:val="0"/>
                <w:numId w:val="9"/>
              </w:numPr>
              <w:rPr>
                <w:sz w:val="22"/>
                <w:lang w:val="uk-UA"/>
              </w:rPr>
            </w:pPr>
            <w:r w:rsidRPr="00B74A55">
              <w:rPr>
                <w:sz w:val="22"/>
                <w:lang w:val="uk-UA"/>
              </w:rPr>
              <w:t>територія, на якій знаходився стадіон;</w:t>
            </w:r>
          </w:p>
          <w:p w:rsidR="00832B51" w:rsidRPr="00B74A55" w:rsidRDefault="00832B51" w:rsidP="000303D7">
            <w:pPr>
              <w:numPr>
                <w:ilvl w:val="0"/>
                <w:numId w:val="9"/>
              </w:numPr>
              <w:rPr>
                <w:sz w:val="22"/>
                <w:lang w:val="uk-UA"/>
              </w:rPr>
            </w:pPr>
            <w:r w:rsidRPr="00B74A55">
              <w:rPr>
                <w:sz w:val="22"/>
                <w:lang w:val="uk-UA"/>
              </w:rPr>
              <w:t>обладнання (устаткування): штучне покриття футбольного поля, футбольні ворота, спортивні тренажери, бігові доріжки, флагшток, місця для уболівальників, спортивний інвентар, огорожа, освітлення - було знищено або викрадені.</w:t>
            </w:r>
          </w:p>
          <w:p w:rsidR="00832B51" w:rsidRPr="00B74A55" w:rsidRDefault="00832B51" w:rsidP="00832B51">
            <w:pPr>
              <w:pStyle w:val="13"/>
              <w:jc w:val="both"/>
              <w:rPr>
                <w:sz w:val="22"/>
                <w:lang w:val="uk-UA"/>
              </w:rPr>
            </w:pPr>
            <w:r w:rsidRPr="00B74A55">
              <w:rPr>
                <w:rFonts w:eastAsia="Arial"/>
                <w:sz w:val="22"/>
                <w:lang w:val="uk-UA"/>
              </w:rPr>
              <w:t xml:space="preserve">            Для відбудови та сталого розвитку громади потрібне капітальне відновлення роботи комунального закладу Гімназії № 8. Мешканці громади потребують в отриманні якісних освітніх послуг, пропаганди  здорового способу життя, які відповідають нормам сучасності. </w:t>
            </w:r>
          </w:p>
        </w:tc>
      </w:tr>
      <w:tr w:rsidR="00832B51" w:rsidRPr="00B74A55" w:rsidTr="00F34B87">
        <w:tc>
          <w:tcPr>
            <w:tcW w:w="2978" w:type="dxa"/>
            <w:shd w:val="clear" w:color="auto" w:fill="C6D9F1" w:themeFill="text2" w:themeFillTint="33"/>
          </w:tcPr>
          <w:p w:rsidR="00832B51" w:rsidRPr="00B74A55" w:rsidRDefault="00832B51" w:rsidP="00832B51">
            <w:pPr>
              <w:pStyle w:val="a7"/>
              <w:ind w:left="0"/>
              <w:rPr>
                <w:b/>
                <w:sz w:val="22"/>
                <w:lang w:val="uk-UA"/>
              </w:rPr>
            </w:pPr>
            <w:r w:rsidRPr="00B74A55">
              <w:rPr>
                <w:b/>
                <w:sz w:val="22"/>
                <w:lang w:val="uk-UA"/>
              </w:rPr>
              <w:t>Очікувані якісні результати від реалізації проекту</w:t>
            </w:r>
          </w:p>
        </w:tc>
        <w:tc>
          <w:tcPr>
            <w:tcW w:w="6945" w:type="dxa"/>
            <w:gridSpan w:val="7"/>
          </w:tcPr>
          <w:p w:rsidR="00832B51" w:rsidRPr="00B74A55" w:rsidRDefault="00832B51" w:rsidP="00832B51">
            <w:pPr>
              <w:pStyle w:val="a7"/>
              <w:ind w:left="0"/>
              <w:rPr>
                <w:sz w:val="22"/>
                <w:lang w:val="uk-UA"/>
              </w:rPr>
            </w:pPr>
            <w:r w:rsidRPr="00B74A55">
              <w:rPr>
                <w:sz w:val="22"/>
                <w:lang w:val="uk-UA"/>
              </w:rPr>
              <w:t>- забезпечення населення можливостями для реалізації його конституційних прав, пов’язаних із правом громадян на освіту та здорового способу життя;</w:t>
            </w:r>
          </w:p>
          <w:p w:rsidR="00832B51" w:rsidRPr="00B74A55" w:rsidRDefault="00832B51" w:rsidP="00832B51">
            <w:pPr>
              <w:pStyle w:val="a7"/>
              <w:ind w:left="0"/>
              <w:rPr>
                <w:sz w:val="22"/>
                <w:lang w:val="uk-UA"/>
              </w:rPr>
            </w:pPr>
            <w:r w:rsidRPr="00B74A55">
              <w:rPr>
                <w:sz w:val="22"/>
                <w:lang w:val="uk-UA"/>
              </w:rPr>
              <w:t>- надання широкого спектру послуг, пов’язаних із освітньою діяльністю;</w:t>
            </w:r>
          </w:p>
          <w:p w:rsidR="00832B51" w:rsidRPr="00B74A55" w:rsidRDefault="00832B51" w:rsidP="00832B51">
            <w:pPr>
              <w:pStyle w:val="a7"/>
              <w:ind w:left="0"/>
              <w:rPr>
                <w:sz w:val="22"/>
                <w:lang w:val="uk-UA"/>
              </w:rPr>
            </w:pPr>
            <w:r w:rsidRPr="00B74A55">
              <w:rPr>
                <w:sz w:val="22"/>
                <w:lang w:val="uk-UA"/>
              </w:rPr>
              <w:t>- вирішення ряду питань в межах статутної діяльності, пов’язаних із відбудовою та сталим розвитком громади;</w:t>
            </w:r>
          </w:p>
          <w:p w:rsidR="00832B51" w:rsidRPr="00B74A55" w:rsidRDefault="00832B51" w:rsidP="00832B51">
            <w:pPr>
              <w:pStyle w:val="a7"/>
              <w:ind w:left="0"/>
              <w:rPr>
                <w:sz w:val="22"/>
                <w:lang w:val="uk-UA"/>
              </w:rPr>
            </w:pPr>
            <w:r w:rsidRPr="00B74A55">
              <w:rPr>
                <w:sz w:val="22"/>
                <w:lang w:val="uk-UA"/>
              </w:rPr>
              <w:t>- створення нових робочих місць;</w:t>
            </w:r>
          </w:p>
          <w:p w:rsidR="00832B51" w:rsidRPr="00B74A55" w:rsidRDefault="00832B51" w:rsidP="00832B51">
            <w:pPr>
              <w:pStyle w:val="a7"/>
              <w:ind w:left="0"/>
              <w:rPr>
                <w:sz w:val="22"/>
                <w:lang w:val="uk-UA"/>
              </w:rPr>
            </w:pPr>
            <w:r w:rsidRPr="00B74A55">
              <w:rPr>
                <w:sz w:val="22"/>
                <w:lang w:val="uk-UA"/>
              </w:rPr>
              <w:lastRenderedPageBreak/>
              <w:t>- стимул до повернення ВПО до громади;</w:t>
            </w:r>
          </w:p>
          <w:p w:rsidR="00832B51" w:rsidRPr="00B74A55" w:rsidRDefault="00832B51" w:rsidP="00832B51">
            <w:pPr>
              <w:pStyle w:val="a7"/>
              <w:ind w:left="0"/>
              <w:rPr>
                <w:sz w:val="22"/>
                <w:lang w:val="uk-UA"/>
              </w:rPr>
            </w:pPr>
            <w:r w:rsidRPr="00B74A55">
              <w:rPr>
                <w:sz w:val="22"/>
                <w:lang w:val="uk-UA"/>
              </w:rPr>
              <w:t>- налагодження партнерських  відносин між закладом та мешканцями мікрорайону.</w:t>
            </w:r>
          </w:p>
        </w:tc>
      </w:tr>
      <w:tr w:rsidR="00832B51" w:rsidRPr="00B74A55" w:rsidTr="00F34B87">
        <w:trPr>
          <w:trHeight w:val="390"/>
        </w:trPr>
        <w:tc>
          <w:tcPr>
            <w:tcW w:w="2978" w:type="dxa"/>
            <w:vMerge w:val="restart"/>
            <w:shd w:val="clear" w:color="auto" w:fill="C6D9F1" w:themeFill="text2" w:themeFillTint="33"/>
          </w:tcPr>
          <w:p w:rsidR="00832B51" w:rsidRPr="00B74A55" w:rsidRDefault="00832B51" w:rsidP="00832B51">
            <w:pPr>
              <w:pStyle w:val="a7"/>
              <w:ind w:left="0"/>
              <w:rPr>
                <w:b/>
                <w:sz w:val="22"/>
                <w:lang w:val="uk-UA"/>
              </w:rPr>
            </w:pPr>
            <w:r w:rsidRPr="00B74A55">
              <w:rPr>
                <w:b/>
                <w:sz w:val="22"/>
                <w:lang w:val="uk-UA"/>
              </w:rPr>
              <w:lastRenderedPageBreak/>
              <w:t xml:space="preserve">Очікувані кількісні результати реалізації </w:t>
            </w:r>
            <w:proofErr w:type="spellStart"/>
            <w:r w:rsidRPr="00B74A55">
              <w:rPr>
                <w:b/>
                <w:sz w:val="22"/>
                <w:lang w:val="uk-UA"/>
              </w:rPr>
              <w:t>проєкту</w:t>
            </w:r>
            <w:proofErr w:type="spellEnd"/>
            <w:r w:rsidRPr="00B74A55">
              <w:rPr>
                <w:b/>
                <w:sz w:val="22"/>
                <w:lang w:val="uk-UA"/>
              </w:rPr>
              <w:t xml:space="preserve"> (індикатори)</w:t>
            </w:r>
          </w:p>
          <w:p w:rsidR="00832B51" w:rsidRPr="00B74A55" w:rsidRDefault="00832B51" w:rsidP="00832B51">
            <w:pPr>
              <w:pStyle w:val="a7"/>
              <w:ind w:left="0"/>
              <w:rPr>
                <w:b/>
                <w:sz w:val="22"/>
                <w:lang w:val="uk-UA"/>
              </w:rPr>
            </w:pPr>
          </w:p>
        </w:tc>
        <w:tc>
          <w:tcPr>
            <w:tcW w:w="3543" w:type="dxa"/>
            <w:gridSpan w:val="3"/>
            <w:tcBorders>
              <w:bottom w:val="single" w:sz="4" w:space="0" w:color="auto"/>
              <w:right w:val="single" w:sz="4" w:space="0" w:color="auto"/>
            </w:tcBorders>
          </w:tcPr>
          <w:p w:rsidR="00832B51" w:rsidRPr="00B74A55" w:rsidRDefault="00832B51" w:rsidP="00832B51">
            <w:pPr>
              <w:pStyle w:val="a7"/>
              <w:ind w:left="-108"/>
              <w:jc w:val="center"/>
              <w:rPr>
                <w:b/>
                <w:sz w:val="22"/>
                <w:lang w:val="uk-UA"/>
              </w:rPr>
            </w:pPr>
            <w:r w:rsidRPr="00B74A55">
              <w:rPr>
                <w:b/>
                <w:sz w:val="22"/>
                <w:lang w:val="uk-UA"/>
              </w:rPr>
              <w:t>Найменування показника</w:t>
            </w:r>
          </w:p>
        </w:tc>
        <w:tc>
          <w:tcPr>
            <w:tcW w:w="1843" w:type="dxa"/>
            <w:gridSpan w:val="2"/>
            <w:tcBorders>
              <w:left w:val="single" w:sz="4" w:space="0" w:color="auto"/>
              <w:bottom w:val="single" w:sz="4" w:space="0" w:color="auto"/>
              <w:right w:val="single" w:sz="4" w:space="0" w:color="auto"/>
            </w:tcBorders>
          </w:tcPr>
          <w:p w:rsidR="00832B51" w:rsidRPr="00B74A55" w:rsidRDefault="00832B51" w:rsidP="00832B51">
            <w:pPr>
              <w:pStyle w:val="a7"/>
              <w:ind w:left="0"/>
              <w:jc w:val="center"/>
              <w:rPr>
                <w:b/>
                <w:sz w:val="22"/>
                <w:lang w:val="uk-UA"/>
              </w:rPr>
            </w:pPr>
            <w:r w:rsidRPr="00B74A55">
              <w:rPr>
                <w:b/>
                <w:sz w:val="22"/>
                <w:lang w:val="uk-UA"/>
              </w:rPr>
              <w:t>Одиниця вимірювання</w:t>
            </w:r>
          </w:p>
          <w:p w:rsidR="00832B51" w:rsidRPr="00B74A55" w:rsidRDefault="00832B51" w:rsidP="00832B51">
            <w:pPr>
              <w:pStyle w:val="a7"/>
              <w:ind w:left="0"/>
              <w:rPr>
                <w:b/>
                <w:sz w:val="22"/>
                <w:lang w:val="uk-UA"/>
              </w:rPr>
            </w:pPr>
          </w:p>
        </w:tc>
        <w:tc>
          <w:tcPr>
            <w:tcW w:w="1559" w:type="dxa"/>
            <w:gridSpan w:val="2"/>
            <w:tcBorders>
              <w:left w:val="single" w:sz="4" w:space="0" w:color="auto"/>
              <w:bottom w:val="single" w:sz="4" w:space="0" w:color="auto"/>
            </w:tcBorders>
          </w:tcPr>
          <w:p w:rsidR="00832B51" w:rsidRPr="00B74A55" w:rsidRDefault="00832B51" w:rsidP="00832B51">
            <w:pPr>
              <w:pStyle w:val="a7"/>
              <w:ind w:left="0"/>
              <w:jc w:val="center"/>
              <w:rPr>
                <w:b/>
                <w:sz w:val="22"/>
                <w:lang w:val="uk-UA"/>
              </w:rPr>
            </w:pPr>
            <w:r w:rsidRPr="00B74A55">
              <w:rPr>
                <w:b/>
                <w:sz w:val="22"/>
                <w:lang w:val="uk-UA"/>
              </w:rPr>
              <w:t>Прогнозне (цільове) значення</w:t>
            </w:r>
          </w:p>
        </w:tc>
      </w:tr>
      <w:tr w:rsidR="00832B51" w:rsidRPr="00B74A55" w:rsidTr="00F34B87">
        <w:trPr>
          <w:trHeight w:val="585"/>
        </w:trPr>
        <w:tc>
          <w:tcPr>
            <w:tcW w:w="2978" w:type="dxa"/>
            <w:vMerge/>
            <w:shd w:val="clear" w:color="auto" w:fill="C6D9F1" w:themeFill="text2" w:themeFillTint="33"/>
          </w:tcPr>
          <w:p w:rsidR="00832B51" w:rsidRPr="00B74A55" w:rsidRDefault="00832B51" w:rsidP="00832B51">
            <w:pPr>
              <w:pStyle w:val="a7"/>
              <w:ind w:left="0"/>
              <w:rPr>
                <w:b/>
                <w:sz w:val="22"/>
                <w:lang w:val="uk-UA"/>
              </w:rPr>
            </w:pPr>
          </w:p>
        </w:tc>
        <w:tc>
          <w:tcPr>
            <w:tcW w:w="3543" w:type="dxa"/>
            <w:gridSpan w:val="3"/>
            <w:tcBorders>
              <w:top w:val="single" w:sz="4" w:space="0" w:color="auto"/>
              <w:bottom w:val="single" w:sz="4" w:space="0" w:color="auto"/>
              <w:right w:val="single" w:sz="4" w:space="0" w:color="auto"/>
            </w:tcBorders>
            <w:vAlign w:val="center"/>
          </w:tcPr>
          <w:p w:rsidR="00832B51" w:rsidRPr="00B74A55" w:rsidRDefault="00832B51" w:rsidP="00945FF2">
            <w:pPr>
              <w:pStyle w:val="a7"/>
              <w:ind w:left="0"/>
              <w:jc w:val="center"/>
              <w:rPr>
                <w:sz w:val="22"/>
                <w:lang w:val="uk-UA"/>
              </w:rPr>
            </w:pPr>
            <w:r w:rsidRPr="00B74A55">
              <w:rPr>
                <w:sz w:val="22"/>
                <w:lang w:val="uk-UA"/>
              </w:rPr>
              <w:t>Кількість фізичних осіб, які звернулись за послугами протягом  року</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832B51" w:rsidRPr="00B74A55" w:rsidRDefault="00832B51" w:rsidP="00832B51">
            <w:pPr>
              <w:pStyle w:val="a7"/>
              <w:ind w:left="0"/>
              <w:jc w:val="center"/>
              <w:rPr>
                <w:sz w:val="22"/>
                <w:lang w:val="uk-UA"/>
              </w:rPr>
            </w:pPr>
            <w:r w:rsidRPr="00B74A55">
              <w:rPr>
                <w:sz w:val="22"/>
                <w:lang w:val="uk-UA"/>
              </w:rPr>
              <w:t>осіб</w:t>
            </w:r>
          </w:p>
        </w:tc>
        <w:tc>
          <w:tcPr>
            <w:tcW w:w="1559" w:type="dxa"/>
            <w:gridSpan w:val="2"/>
            <w:tcBorders>
              <w:top w:val="single" w:sz="4" w:space="0" w:color="auto"/>
              <w:left w:val="single" w:sz="4" w:space="0" w:color="auto"/>
              <w:bottom w:val="single" w:sz="4" w:space="0" w:color="auto"/>
            </w:tcBorders>
            <w:vAlign w:val="center"/>
          </w:tcPr>
          <w:p w:rsidR="00832B51" w:rsidRPr="00B74A55" w:rsidRDefault="00832B51" w:rsidP="00832B51">
            <w:pPr>
              <w:pStyle w:val="a7"/>
              <w:ind w:left="0"/>
              <w:jc w:val="center"/>
              <w:rPr>
                <w:sz w:val="22"/>
                <w:lang w:val="uk-UA"/>
              </w:rPr>
            </w:pPr>
            <w:r w:rsidRPr="00B74A55">
              <w:rPr>
                <w:sz w:val="22"/>
                <w:lang w:val="uk-UA"/>
              </w:rPr>
              <w:t>780</w:t>
            </w:r>
          </w:p>
        </w:tc>
      </w:tr>
      <w:tr w:rsidR="00832B51" w:rsidRPr="00B74A55" w:rsidTr="00F34B87">
        <w:trPr>
          <w:trHeight w:val="184"/>
        </w:trPr>
        <w:tc>
          <w:tcPr>
            <w:tcW w:w="2978" w:type="dxa"/>
            <w:vMerge/>
            <w:shd w:val="clear" w:color="auto" w:fill="C6D9F1" w:themeFill="text2" w:themeFillTint="33"/>
          </w:tcPr>
          <w:p w:rsidR="00832B51" w:rsidRPr="00B74A55" w:rsidRDefault="00832B51" w:rsidP="00832B51">
            <w:pPr>
              <w:pStyle w:val="a7"/>
              <w:ind w:left="0"/>
              <w:rPr>
                <w:b/>
                <w:sz w:val="22"/>
                <w:lang w:val="uk-UA"/>
              </w:rPr>
            </w:pPr>
          </w:p>
        </w:tc>
        <w:tc>
          <w:tcPr>
            <w:tcW w:w="3543" w:type="dxa"/>
            <w:gridSpan w:val="3"/>
            <w:tcBorders>
              <w:top w:val="single" w:sz="4" w:space="0" w:color="auto"/>
              <w:bottom w:val="single" w:sz="4" w:space="0" w:color="auto"/>
              <w:right w:val="single" w:sz="4" w:space="0" w:color="auto"/>
            </w:tcBorders>
            <w:vAlign w:val="center"/>
          </w:tcPr>
          <w:p w:rsidR="00832B51" w:rsidRPr="00B74A55" w:rsidRDefault="00832B51" w:rsidP="00832B51">
            <w:pPr>
              <w:pStyle w:val="a7"/>
              <w:ind w:left="0"/>
              <w:jc w:val="center"/>
              <w:rPr>
                <w:sz w:val="22"/>
                <w:lang w:val="uk-UA"/>
              </w:rPr>
            </w:pPr>
            <w:r w:rsidRPr="00B74A55">
              <w:rPr>
                <w:sz w:val="22"/>
                <w:lang w:val="uk-UA"/>
              </w:rPr>
              <w:t>Кількість уроків</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832B51" w:rsidRPr="00B74A55" w:rsidRDefault="00832B51" w:rsidP="00832B51">
            <w:pPr>
              <w:pStyle w:val="a7"/>
              <w:ind w:left="0"/>
              <w:jc w:val="center"/>
              <w:rPr>
                <w:sz w:val="22"/>
                <w:lang w:val="uk-UA"/>
              </w:rPr>
            </w:pPr>
            <w:r w:rsidRPr="00B74A55">
              <w:rPr>
                <w:sz w:val="22"/>
                <w:lang w:val="uk-UA"/>
              </w:rPr>
              <w:t>одиниць</w:t>
            </w:r>
          </w:p>
        </w:tc>
        <w:tc>
          <w:tcPr>
            <w:tcW w:w="1559" w:type="dxa"/>
            <w:gridSpan w:val="2"/>
            <w:tcBorders>
              <w:top w:val="single" w:sz="4" w:space="0" w:color="auto"/>
              <w:left w:val="single" w:sz="4" w:space="0" w:color="auto"/>
              <w:bottom w:val="single" w:sz="4" w:space="0" w:color="auto"/>
            </w:tcBorders>
            <w:vAlign w:val="center"/>
          </w:tcPr>
          <w:p w:rsidR="00832B51" w:rsidRPr="00B74A55" w:rsidRDefault="00832B51" w:rsidP="00832B51">
            <w:pPr>
              <w:pStyle w:val="a7"/>
              <w:ind w:left="0"/>
              <w:jc w:val="center"/>
              <w:rPr>
                <w:sz w:val="22"/>
                <w:lang w:val="uk-UA"/>
              </w:rPr>
            </w:pPr>
            <w:r w:rsidRPr="00B74A55">
              <w:rPr>
                <w:sz w:val="22"/>
                <w:lang w:val="uk-UA"/>
              </w:rPr>
              <w:t>63</w:t>
            </w:r>
          </w:p>
        </w:tc>
      </w:tr>
      <w:tr w:rsidR="00832B51" w:rsidRPr="00B74A55" w:rsidTr="00F34B87">
        <w:trPr>
          <w:trHeight w:val="838"/>
        </w:trPr>
        <w:tc>
          <w:tcPr>
            <w:tcW w:w="2978" w:type="dxa"/>
            <w:vMerge/>
            <w:shd w:val="clear" w:color="auto" w:fill="C6D9F1" w:themeFill="text2" w:themeFillTint="33"/>
          </w:tcPr>
          <w:p w:rsidR="00832B51" w:rsidRPr="00B74A55" w:rsidRDefault="00832B51" w:rsidP="00832B51">
            <w:pPr>
              <w:pStyle w:val="a7"/>
              <w:ind w:left="0"/>
              <w:rPr>
                <w:b/>
                <w:sz w:val="22"/>
                <w:lang w:val="uk-UA"/>
              </w:rPr>
            </w:pPr>
          </w:p>
        </w:tc>
        <w:tc>
          <w:tcPr>
            <w:tcW w:w="3543" w:type="dxa"/>
            <w:gridSpan w:val="3"/>
            <w:tcBorders>
              <w:top w:val="single" w:sz="4" w:space="0" w:color="auto"/>
              <w:right w:val="single" w:sz="4" w:space="0" w:color="auto"/>
            </w:tcBorders>
            <w:vAlign w:val="center"/>
          </w:tcPr>
          <w:p w:rsidR="00832B51" w:rsidRPr="00B74A55" w:rsidRDefault="00832B51" w:rsidP="00832B51">
            <w:pPr>
              <w:pStyle w:val="a7"/>
              <w:ind w:left="0"/>
              <w:jc w:val="center"/>
              <w:rPr>
                <w:sz w:val="22"/>
                <w:lang w:val="uk-UA"/>
              </w:rPr>
            </w:pPr>
            <w:r w:rsidRPr="00B74A55">
              <w:rPr>
                <w:sz w:val="22"/>
                <w:lang w:val="uk-UA"/>
              </w:rPr>
              <w:t>Термін надання послуги</w:t>
            </w:r>
          </w:p>
        </w:tc>
        <w:tc>
          <w:tcPr>
            <w:tcW w:w="1843" w:type="dxa"/>
            <w:gridSpan w:val="2"/>
            <w:tcBorders>
              <w:top w:val="single" w:sz="4" w:space="0" w:color="auto"/>
              <w:left w:val="single" w:sz="4" w:space="0" w:color="auto"/>
              <w:right w:val="single" w:sz="4" w:space="0" w:color="auto"/>
            </w:tcBorders>
            <w:vAlign w:val="center"/>
          </w:tcPr>
          <w:p w:rsidR="00832B51" w:rsidRPr="00B74A55" w:rsidRDefault="00832B51" w:rsidP="00832B51">
            <w:pPr>
              <w:pStyle w:val="a7"/>
              <w:ind w:left="0"/>
              <w:jc w:val="center"/>
              <w:rPr>
                <w:sz w:val="22"/>
                <w:lang w:val="uk-UA"/>
              </w:rPr>
            </w:pPr>
            <w:r w:rsidRPr="00B74A55">
              <w:rPr>
                <w:sz w:val="22"/>
                <w:lang w:val="uk-UA"/>
              </w:rPr>
              <w:t>день</w:t>
            </w:r>
          </w:p>
        </w:tc>
        <w:tc>
          <w:tcPr>
            <w:tcW w:w="1559" w:type="dxa"/>
            <w:gridSpan w:val="2"/>
            <w:tcBorders>
              <w:top w:val="single" w:sz="4" w:space="0" w:color="auto"/>
              <w:left w:val="single" w:sz="4" w:space="0" w:color="auto"/>
            </w:tcBorders>
            <w:vAlign w:val="center"/>
          </w:tcPr>
          <w:p w:rsidR="00832B51" w:rsidRPr="00B74A55" w:rsidRDefault="00832B51" w:rsidP="00832B51">
            <w:pPr>
              <w:pStyle w:val="a7"/>
              <w:ind w:left="0"/>
              <w:jc w:val="center"/>
              <w:rPr>
                <w:sz w:val="22"/>
                <w:lang w:val="uk-UA"/>
              </w:rPr>
            </w:pPr>
            <w:r w:rsidRPr="00B74A55">
              <w:rPr>
                <w:sz w:val="22"/>
                <w:lang w:val="uk-UA"/>
              </w:rPr>
              <w:t>Протягом 9 років,</w:t>
            </w:r>
          </w:p>
          <w:p w:rsidR="00832B51" w:rsidRPr="00B74A55" w:rsidRDefault="00832B51" w:rsidP="00832B51">
            <w:pPr>
              <w:pStyle w:val="a7"/>
              <w:ind w:left="0"/>
              <w:jc w:val="center"/>
              <w:rPr>
                <w:sz w:val="22"/>
                <w:lang w:val="uk-UA"/>
              </w:rPr>
            </w:pPr>
            <w:r w:rsidRPr="00B74A55">
              <w:rPr>
                <w:sz w:val="22"/>
                <w:lang w:val="uk-UA"/>
              </w:rPr>
              <w:t>365 днів</w:t>
            </w:r>
          </w:p>
        </w:tc>
      </w:tr>
      <w:tr w:rsidR="00832B51" w:rsidRPr="00B74A55" w:rsidTr="00F34B87">
        <w:trPr>
          <w:trHeight w:val="150"/>
        </w:trPr>
        <w:tc>
          <w:tcPr>
            <w:tcW w:w="2978" w:type="dxa"/>
            <w:shd w:val="clear" w:color="auto" w:fill="C6D9F1" w:themeFill="text2" w:themeFillTint="33"/>
          </w:tcPr>
          <w:p w:rsidR="00832B51" w:rsidRPr="00B74A55" w:rsidRDefault="00832B51" w:rsidP="00832B51">
            <w:pPr>
              <w:pStyle w:val="a7"/>
              <w:ind w:left="0"/>
              <w:rPr>
                <w:b/>
                <w:sz w:val="22"/>
                <w:lang w:val="uk-UA"/>
              </w:rPr>
            </w:pPr>
          </w:p>
        </w:tc>
        <w:tc>
          <w:tcPr>
            <w:tcW w:w="3543" w:type="dxa"/>
            <w:gridSpan w:val="3"/>
            <w:tcBorders>
              <w:top w:val="single" w:sz="4" w:space="0" w:color="auto"/>
              <w:right w:val="single" w:sz="4" w:space="0" w:color="auto"/>
            </w:tcBorders>
            <w:vAlign w:val="center"/>
          </w:tcPr>
          <w:p w:rsidR="00832B51" w:rsidRPr="00B74A55" w:rsidRDefault="00832B51" w:rsidP="00945FF2">
            <w:pPr>
              <w:pStyle w:val="a7"/>
              <w:ind w:left="0"/>
              <w:jc w:val="center"/>
              <w:rPr>
                <w:sz w:val="22"/>
                <w:lang w:val="uk-UA"/>
              </w:rPr>
            </w:pPr>
            <w:r w:rsidRPr="00B74A55">
              <w:rPr>
                <w:sz w:val="22"/>
                <w:lang w:val="uk-UA"/>
              </w:rPr>
              <w:t>Кількість населених пунктів, як</w:t>
            </w:r>
            <w:r w:rsidR="00945FF2" w:rsidRPr="00B74A55">
              <w:rPr>
                <w:sz w:val="22"/>
                <w:lang w:val="uk-UA"/>
              </w:rPr>
              <w:t>і</w:t>
            </w:r>
            <w:r w:rsidRPr="00B74A55">
              <w:rPr>
                <w:sz w:val="22"/>
                <w:lang w:val="uk-UA"/>
              </w:rPr>
              <w:t xml:space="preserve"> обслуговує </w:t>
            </w:r>
            <w:r w:rsidR="00945FF2" w:rsidRPr="00B74A55">
              <w:rPr>
                <w:sz w:val="22"/>
                <w:lang w:val="uk-UA"/>
              </w:rPr>
              <w:t>заклад</w:t>
            </w:r>
          </w:p>
        </w:tc>
        <w:tc>
          <w:tcPr>
            <w:tcW w:w="1843" w:type="dxa"/>
            <w:gridSpan w:val="2"/>
            <w:tcBorders>
              <w:top w:val="single" w:sz="4" w:space="0" w:color="auto"/>
              <w:left w:val="single" w:sz="4" w:space="0" w:color="auto"/>
              <w:right w:val="single" w:sz="4" w:space="0" w:color="auto"/>
            </w:tcBorders>
            <w:vAlign w:val="center"/>
          </w:tcPr>
          <w:p w:rsidR="00832B51" w:rsidRPr="00B74A55" w:rsidRDefault="00832B51" w:rsidP="00832B51">
            <w:pPr>
              <w:pStyle w:val="a7"/>
              <w:ind w:left="0"/>
              <w:jc w:val="center"/>
              <w:rPr>
                <w:sz w:val="22"/>
                <w:lang w:val="uk-UA"/>
              </w:rPr>
            </w:pPr>
            <w:r w:rsidRPr="00B74A55">
              <w:rPr>
                <w:sz w:val="22"/>
                <w:lang w:val="uk-UA"/>
              </w:rPr>
              <w:t>одиниць</w:t>
            </w:r>
          </w:p>
        </w:tc>
        <w:tc>
          <w:tcPr>
            <w:tcW w:w="1559" w:type="dxa"/>
            <w:gridSpan w:val="2"/>
            <w:tcBorders>
              <w:top w:val="single" w:sz="4" w:space="0" w:color="auto"/>
              <w:left w:val="single" w:sz="4" w:space="0" w:color="auto"/>
            </w:tcBorders>
            <w:vAlign w:val="center"/>
          </w:tcPr>
          <w:p w:rsidR="00832B51" w:rsidRPr="00B74A55" w:rsidRDefault="00832B51" w:rsidP="00832B51">
            <w:pPr>
              <w:pStyle w:val="a7"/>
              <w:ind w:left="0"/>
              <w:jc w:val="center"/>
              <w:rPr>
                <w:sz w:val="22"/>
                <w:lang w:val="uk-UA"/>
              </w:rPr>
            </w:pPr>
            <w:r w:rsidRPr="00B74A55">
              <w:rPr>
                <w:sz w:val="22"/>
                <w:lang w:val="uk-UA"/>
              </w:rPr>
              <w:t>20</w:t>
            </w:r>
          </w:p>
        </w:tc>
      </w:tr>
      <w:tr w:rsidR="00832B51" w:rsidRPr="00B74A55" w:rsidTr="00F34B87">
        <w:tc>
          <w:tcPr>
            <w:tcW w:w="2978" w:type="dxa"/>
            <w:shd w:val="clear" w:color="auto" w:fill="C6D9F1" w:themeFill="text2" w:themeFillTint="33"/>
          </w:tcPr>
          <w:p w:rsidR="00832B51" w:rsidRPr="00B74A55" w:rsidRDefault="00832B51" w:rsidP="00832B51">
            <w:pPr>
              <w:rPr>
                <w:b/>
                <w:sz w:val="22"/>
                <w:lang w:val="uk-UA"/>
              </w:rPr>
            </w:pPr>
            <w:r w:rsidRPr="00B74A55">
              <w:rPr>
                <w:b/>
                <w:sz w:val="22"/>
                <w:lang w:val="uk-UA"/>
              </w:rPr>
              <w:t xml:space="preserve">Ключові заходи проекту: </w:t>
            </w:r>
          </w:p>
          <w:p w:rsidR="00832B51" w:rsidRPr="00B74A55" w:rsidRDefault="00832B51" w:rsidP="00832B51">
            <w:pPr>
              <w:pStyle w:val="a7"/>
              <w:ind w:left="0"/>
              <w:rPr>
                <w:b/>
                <w:sz w:val="22"/>
                <w:lang w:val="uk-UA"/>
              </w:rPr>
            </w:pPr>
          </w:p>
        </w:tc>
        <w:tc>
          <w:tcPr>
            <w:tcW w:w="6945" w:type="dxa"/>
            <w:gridSpan w:val="7"/>
          </w:tcPr>
          <w:p w:rsidR="00832B51" w:rsidRPr="00B74A55" w:rsidRDefault="00832B51" w:rsidP="00832B51">
            <w:pPr>
              <w:pStyle w:val="a7"/>
              <w:ind w:left="0"/>
              <w:rPr>
                <w:sz w:val="22"/>
                <w:lang w:val="uk-UA"/>
              </w:rPr>
            </w:pPr>
            <w:r w:rsidRPr="00B74A55">
              <w:rPr>
                <w:sz w:val="22"/>
                <w:lang w:val="uk-UA"/>
              </w:rPr>
              <w:t>- обстеження місця розташування стадіону;</w:t>
            </w:r>
          </w:p>
          <w:p w:rsidR="00832B51" w:rsidRPr="00B74A55" w:rsidRDefault="00832B51" w:rsidP="00832B51">
            <w:pPr>
              <w:pStyle w:val="a7"/>
              <w:ind w:left="0"/>
              <w:rPr>
                <w:sz w:val="22"/>
                <w:lang w:val="uk-UA"/>
              </w:rPr>
            </w:pPr>
            <w:r w:rsidRPr="00B74A55">
              <w:rPr>
                <w:sz w:val="22"/>
                <w:lang w:val="uk-UA"/>
              </w:rPr>
              <w:t>- проведення інвентаризації основних засобів;</w:t>
            </w:r>
          </w:p>
          <w:p w:rsidR="00832B51" w:rsidRPr="00B74A55" w:rsidRDefault="00832B51" w:rsidP="00832B51">
            <w:pPr>
              <w:pStyle w:val="a7"/>
              <w:ind w:left="0"/>
              <w:rPr>
                <w:sz w:val="22"/>
                <w:lang w:val="uk-UA"/>
              </w:rPr>
            </w:pPr>
            <w:r w:rsidRPr="00B74A55">
              <w:rPr>
                <w:sz w:val="22"/>
                <w:lang w:val="uk-UA"/>
              </w:rPr>
              <w:t xml:space="preserve">- складання </w:t>
            </w:r>
            <w:proofErr w:type="spellStart"/>
            <w:r w:rsidRPr="00B74A55">
              <w:rPr>
                <w:sz w:val="22"/>
                <w:lang w:val="uk-UA"/>
              </w:rPr>
              <w:t>проєктно</w:t>
            </w:r>
            <w:proofErr w:type="spellEnd"/>
            <w:r w:rsidRPr="00B74A55">
              <w:rPr>
                <w:sz w:val="22"/>
                <w:lang w:val="uk-UA"/>
              </w:rPr>
              <w:t>-кошторисної документації;</w:t>
            </w:r>
          </w:p>
          <w:p w:rsidR="00832B51" w:rsidRPr="00B74A55" w:rsidRDefault="00832B51" w:rsidP="00832B51">
            <w:pPr>
              <w:pStyle w:val="a7"/>
              <w:ind w:left="0"/>
              <w:rPr>
                <w:sz w:val="22"/>
                <w:lang w:val="uk-UA"/>
              </w:rPr>
            </w:pPr>
            <w:r w:rsidRPr="00B74A55">
              <w:rPr>
                <w:sz w:val="22"/>
                <w:lang w:val="uk-UA"/>
              </w:rPr>
              <w:t xml:space="preserve"> - придбання технічного та матеріального забезпечення;</w:t>
            </w:r>
          </w:p>
          <w:p w:rsidR="00832B51" w:rsidRPr="00B74A55" w:rsidRDefault="00832B51" w:rsidP="00832B51">
            <w:pPr>
              <w:pStyle w:val="a7"/>
              <w:ind w:left="0"/>
              <w:rPr>
                <w:sz w:val="22"/>
                <w:lang w:val="uk-UA"/>
              </w:rPr>
            </w:pPr>
            <w:r w:rsidRPr="00B74A55">
              <w:rPr>
                <w:sz w:val="22"/>
                <w:lang w:val="uk-UA"/>
              </w:rPr>
              <w:t>- демонтаж конструкції спортивної споруди;</w:t>
            </w:r>
          </w:p>
          <w:p w:rsidR="00832B51" w:rsidRPr="00B74A55" w:rsidRDefault="00832B51" w:rsidP="00832B51">
            <w:pPr>
              <w:pStyle w:val="a7"/>
              <w:ind w:left="0"/>
              <w:rPr>
                <w:sz w:val="22"/>
                <w:lang w:val="uk-UA"/>
              </w:rPr>
            </w:pPr>
            <w:r w:rsidRPr="00B74A55">
              <w:rPr>
                <w:sz w:val="22"/>
                <w:lang w:val="uk-UA"/>
              </w:rPr>
              <w:t>- монтаж конструкції спортивної споруди;</w:t>
            </w:r>
          </w:p>
          <w:p w:rsidR="00832B51" w:rsidRPr="00B74A55" w:rsidRDefault="00832B51" w:rsidP="00832B51">
            <w:pPr>
              <w:pStyle w:val="a7"/>
              <w:ind w:left="0"/>
              <w:rPr>
                <w:sz w:val="22"/>
                <w:lang w:val="uk-UA"/>
              </w:rPr>
            </w:pPr>
            <w:r w:rsidRPr="00B74A55">
              <w:rPr>
                <w:sz w:val="22"/>
                <w:lang w:val="uk-UA"/>
              </w:rPr>
              <w:t>- визначення кількості осіб, які потребують отримання соціальних, освітніх послуг закладу;</w:t>
            </w:r>
          </w:p>
          <w:p w:rsidR="00832B51" w:rsidRPr="00B74A55" w:rsidRDefault="00832B51" w:rsidP="00832B51">
            <w:pPr>
              <w:pStyle w:val="a7"/>
              <w:ind w:left="0"/>
              <w:rPr>
                <w:sz w:val="22"/>
                <w:lang w:val="uk-UA"/>
              </w:rPr>
            </w:pPr>
            <w:r w:rsidRPr="00B74A55">
              <w:rPr>
                <w:sz w:val="22"/>
                <w:lang w:val="uk-UA"/>
              </w:rPr>
              <w:t>- організація та початок освітнього процесу.</w:t>
            </w:r>
          </w:p>
        </w:tc>
      </w:tr>
      <w:tr w:rsidR="00832B51" w:rsidRPr="00B74A55" w:rsidTr="00F34B87">
        <w:trPr>
          <w:trHeight w:val="360"/>
        </w:trPr>
        <w:tc>
          <w:tcPr>
            <w:tcW w:w="2978" w:type="dxa"/>
            <w:vMerge w:val="restart"/>
            <w:shd w:val="clear" w:color="auto" w:fill="C6D9F1" w:themeFill="text2" w:themeFillTint="33"/>
          </w:tcPr>
          <w:p w:rsidR="00832B51" w:rsidRPr="00B74A55" w:rsidRDefault="00832B51" w:rsidP="00832B51">
            <w:pPr>
              <w:pStyle w:val="a7"/>
              <w:ind w:left="0"/>
              <w:rPr>
                <w:b/>
                <w:sz w:val="22"/>
                <w:lang w:val="uk-UA"/>
              </w:rPr>
            </w:pPr>
            <w:r w:rsidRPr="00B74A55">
              <w:rPr>
                <w:b/>
                <w:sz w:val="22"/>
                <w:lang w:val="uk-UA"/>
              </w:rPr>
              <w:t xml:space="preserve">Орієнтовний обсяг та джерела фінансування, тис. грн. </w:t>
            </w:r>
          </w:p>
          <w:p w:rsidR="00832B51" w:rsidRPr="00B74A55" w:rsidRDefault="00832B51" w:rsidP="00832B51">
            <w:pPr>
              <w:pStyle w:val="a7"/>
              <w:ind w:left="0"/>
              <w:rPr>
                <w:b/>
                <w:sz w:val="22"/>
                <w:lang w:val="uk-UA"/>
              </w:rPr>
            </w:pPr>
          </w:p>
        </w:tc>
        <w:tc>
          <w:tcPr>
            <w:tcW w:w="1559" w:type="dxa"/>
            <w:tcBorders>
              <w:bottom w:val="single" w:sz="4" w:space="0" w:color="auto"/>
              <w:right w:val="single" w:sz="4" w:space="0" w:color="auto"/>
            </w:tcBorders>
          </w:tcPr>
          <w:p w:rsidR="00832B51" w:rsidRPr="00B74A55" w:rsidRDefault="00832B51" w:rsidP="00832B51">
            <w:pPr>
              <w:pStyle w:val="a7"/>
              <w:ind w:left="0"/>
              <w:jc w:val="center"/>
              <w:rPr>
                <w:b/>
                <w:sz w:val="22"/>
                <w:lang w:val="uk-UA"/>
              </w:rPr>
            </w:pPr>
            <w:r w:rsidRPr="00B74A55">
              <w:rPr>
                <w:b/>
                <w:sz w:val="22"/>
                <w:lang w:val="uk-UA"/>
              </w:rPr>
              <w:t>Державний бюджет</w:t>
            </w:r>
          </w:p>
        </w:tc>
        <w:tc>
          <w:tcPr>
            <w:tcW w:w="1559" w:type="dxa"/>
            <w:tcBorders>
              <w:bottom w:val="single" w:sz="4" w:space="0" w:color="auto"/>
              <w:right w:val="single" w:sz="4" w:space="0" w:color="auto"/>
            </w:tcBorders>
          </w:tcPr>
          <w:p w:rsidR="00832B51" w:rsidRPr="00B74A55" w:rsidRDefault="00832B51" w:rsidP="00832B51">
            <w:pPr>
              <w:pStyle w:val="a7"/>
              <w:ind w:left="0"/>
              <w:jc w:val="center"/>
              <w:rPr>
                <w:b/>
                <w:sz w:val="22"/>
                <w:lang w:val="uk-UA"/>
              </w:rPr>
            </w:pPr>
            <w:r w:rsidRPr="00B74A55">
              <w:rPr>
                <w:b/>
                <w:sz w:val="22"/>
                <w:lang w:val="uk-UA"/>
              </w:rPr>
              <w:t>Місцевий бюджет</w:t>
            </w:r>
          </w:p>
        </w:tc>
        <w:tc>
          <w:tcPr>
            <w:tcW w:w="2838" w:type="dxa"/>
            <w:gridSpan w:val="4"/>
            <w:tcBorders>
              <w:left w:val="single" w:sz="4" w:space="0" w:color="auto"/>
              <w:bottom w:val="single" w:sz="4" w:space="0" w:color="auto"/>
              <w:right w:val="single" w:sz="4" w:space="0" w:color="auto"/>
            </w:tcBorders>
          </w:tcPr>
          <w:p w:rsidR="00832B51" w:rsidRPr="00B74A55" w:rsidRDefault="00832B51" w:rsidP="00832B51">
            <w:pPr>
              <w:pStyle w:val="a7"/>
              <w:ind w:left="0"/>
              <w:jc w:val="center"/>
              <w:rPr>
                <w:b/>
                <w:sz w:val="22"/>
                <w:lang w:val="uk-UA"/>
              </w:rPr>
            </w:pPr>
            <w:r w:rsidRPr="00B74A55">
              <w:rPr>
                <w:b/>
                <w:sz w:val="22"/>
                <w:lang w:val="uk-UA"/>
              </w:rPr>
              <w:t>Інші джерела</w:t>
            </w:r>
          </w:p>
        </w:tc>
        <w:tc>
          <w:tcPr>
            <w:tcW w:w="989" w:type="dxa"/>
            <w:tcBorders>
              <w:left w:val="single" w:sz="4" w:space="0" w:color="auto"/>
              <w:bottom w:val="single" w:sz="4" w:space="0" w:color="auto"/>
            </w:tcBorders>
          </w:tcPr>
          <w:p w:rsidR="00832B51" w:rsidRPr="00B74A55" w:rsidRDefault="00832B51" w:rsidP="00832B51">
            <w:pPr>
              <w:pStyle w:val="a7"/>
              <w:ind w:left="0"/>
              <w:jc w:val="center"/>
              <w:rPr>
                <w:b/>
                <w:sz w:val="22"/>
                <w:lang w:val="uk-UA"/>
              </w:rPr>
            </w:pPr>
            <w:r w:rsidRPr="00B74A55">
              <w:rPr>
                <w:b/>
                <w:sz w:val="22"/>
                <w:lang w:val="uk-UA"/>
              </w:rPr>
              <w:t>Всього</w:t>
            </w:r>
          </w:p>
        </w:tc>
      </w:tr>
      <w:tr w:rsidR="00832B51" w:rsidRPr="00B74A55" w:rsidTr="00F34B87">
        <w:trPr>
          <w:trHeight w:val="225"/>
        </w:trPr>
        <w:tc>
          <w:tcPr>
            <w:tcW w:w="2978" w:type="dxa"/>
            <w:vMerge/>
            <w:shd w:val="clear" w:color="auto" w:fill="C6D9F1" w:themeFill="text2" w:themeFillTint="33"/>
          </w:tcPr>
          <w:p w:rsidR="00832B51" w:rsidRPr="00B74A55" w:rsidRDefault="00832B51" w:rsidP="00832B51">
            <w:pPr>
              <w:pStyle w:val="a7"/>
              <w:ind w:left="0"/>
              <w:rPr>
                <w:b/>
                <w:sz w:val="22"/>
                <w:lang w:val="uk-UA"/>
              </w:rPr>
            </w:pPr>
          </w:p>
        </w:tc>
        <w:tc>
          <w:tcPr>
            <w:tcW w:w="1559" w:type="dxa"/>
            <w:vMerge w:val="restart"/>
            <w:tcBorders>
              <w:top w:val="single" w:sz="4" w:space="0" w:color="auto"/>
              <w:right w:val="single" w:sz="4" w:space="0" w:color="auto"/>
            </w:tcBorders>
          </w:tcPr>
          <w:p w:rsidR="00832B51" w:rsidRPr="00B74A55" w:rsidRDefault="00832B51" w:rsidP="00832B51">
            <w:pPr>
              <w:pStyle w:val="a7"/>
              <w:ind w:left="0"/>
              <w:jc w:val="center"/>
              <w:rPr>
                <w:sz w:val="22"/>
                <w:lang w:val="uk-UA"/>
              </w:rPr>
            </w:pPr>
            <w:r w:rsidRPr="00B74A55">
              <w:rPr>
                <w:sz w:val="22"/>
                <w:lang w:val="uk-UA"/>
              </w:rPr>
              <w:t>3000,1</w:t>
            </w:r>
          </w:p>
        </w:tc>
        <w:tc>
          <w:tcPr>
            <w:tcW w:w="1559" w:type="dxa"/>
            <w:vMerge w:val="restart"/>
            <w:tcBorders>
              <w:top w:val="single" w:sz="4" w:space="0" w:color="auto"/>
              <w:right w:val="single" w:sz="4" w:space="0" w:color="auto"/>
            </w:tcBorders>
          </w:tcPr>
          <w:p w:rsidR="00832B51" w:rsidRPr="00B74A55" w:rsidRDefault="00832B51" w:rsidP="00832B51">
            <w:pPr>
              <w:pStyle w:val="a7"/>
              <w:ind w:left="0"/>
              <w:jc w:val="center"/>
              <w:rPr>
                <w:b/>
                <w:sz w:val="22"/>
                <w:lang w:val="uk-UA"/>
              </w:rPr>
            </w:pPr>
            <w:r w:rsidRPr="00B74A55">
              <w:rPr>
                <w:b/>
                <w:sz w:val="22"/>
                <w:lang w:val="uk-UA"/>
              </w:rPr>
              <w:t>-</w:t>
            </w:r>
          </w:p>
        </w:tc>
        <w:tc>
          <w:tcPr>
            <w:tcW w:w="1134" w:type="dxa"/>
            <w:gridSpan w:val="2"/>
            <w:tcBorders>
              <w:top w:val="single" w:sz="4" w:space="0" w:color="auto"/>
              <w:left w:val="single" w:sz="4" w:space="0" w:color="auto"/>
              <w:bottom w:val="single" w:sz="4" w:space="0" w:color="auto"/>
              <w:right w:val="single" w:sz="4" w:space="0" w:color="auto"/>
            </w:tcBorders>
          </w:tcPr>
          <w:p w:rsidR="00832B51" w:rsidRPr="00B74A55" w:rsidRDefault="00832B51" w:rsidP="00832B51">
            <w:pPr>
              <w:pStyle w:val="a7"/>
              <w:ind w:left="0"/>
              <w:jc w:val="center"/>
              <w:rPr>
                <w:b/>
                <w:sz w:val="22"/>
                <w:lang w:val="uk-UA"/>
              </w:rPr>
            </w:pPr>
            <w:r w:rsidRPr="00B74A55">
              <w:rPr>
                <w:b/>
                <w:sz w:val="22"/>
                <w:lang w:val="uk-UA"/>
              </w:rPr>
              <w:t>Обсяг</w:t>
            </w:r>
          </w:p>
        </w:tc>
        <w:tc>
          <w:tcPr>
            <w:tcW w:w="1704" w:type="dxa"/>
            <w:gridSpan w:val="2"/>
            <w:tcBorders>
              <w:top w:val="single" w:sz="4" w:space="0" w:color="auto"/>
              <w:left w:val="single" w:sz="4" w:space="0" w:color="auto"/>
              <w:bottom w:val="single" w:sz="4" w:space="0" w:color="auto"/>
              <w:right w:val="single" w:sz="4" w:space="0" w:color="auto"/>
            </w:tcBorders>
          </w:tcPr>
          <w:p w:rsidR="00832B51" w:rsidRPr="00B74A55" w:rsidRDefault="00832B51" w:rsidP="00832B51">
            <w:pPr>
              <w:pStyle w:val="a7"/>
              <w:ind w:left="0"/>
              <w:jc w:val="center"/>
              <w:rPr>
                <w:b/>
                <w:sz w:val="22"/>
                <w:lang w:val="uk-UA"/>
              </w:rPr>
            </w:pPr>
            <w:r w:rsidRPr="00B74A55">
              <w:rPr>
                <w:b/>
                <w:sz w:val="22"/>
                <w:lang w:val="uk-UA"/>
              </w:rPr>
              <w:t>Назва джерела</w:t>
            </w:r>
          </w:p>
        </w:tc>
        <w:tc>
          <w:tcPr>
            <w:tcW w:w="989" w:type="dxa"/>
            <w:vMerge w:val="restart"/>
            <w:tcBorders>
              <w:top w:val="single" w:sz="4" w:space="0" w:color="auto"/>
              <w:left w:val="single" w:sz="4" w:space="0" w:color="auto"/>
            </w:tcBorders>
          </w:tcPr>
          <w:p w:rsidR="00832B51" w:rsidRPr="00B74A55" w:rsidRDefault="00832B51" w:rsidP="00832B51">
            <w:pPr>
              <w:pStyle w:val="a7"/>
              <w:ind w:left="0"/>
              <w:jc w:val="center"/>
              <w:rPr>
                <w:sz w:val="22"/>
                <w:lang w:val="uk-UA"/>
              </w:rPr>
            </w:pPr>
            <w:r w:rsidRPr="00B74A55">
              <w:rPr>
                <w:sz w:val="22"/>
                <w:lang w:val="uk-UA"/>
              </w:rPr>
              <w:t>3000,1</w:t>
            </w:r>
          </w:p>
        </w:tc>
      </w:tr>
      <w:tr w:rsidR="00832B51" w:rsidRPr="00B74A55" w:rsidTr="00F34B87">
        <w:trPr>
          <w:trHeight w:val="300"/>
        </w:trPr>
        <w:tc>
          <w:tcPr>
            <w:tcW w:w="2978" w:type="dxa"/>
            <w:vMerge/>
            <w:shd w:val="clear" w:color="auto" w:fill="C6D9F1" w:themeFill="text2" w:themeFillTint="33"/>
          </w:tcPr>
          <w:p w:rsidR="00832B51" w:rsidRPr="00B74A55" w:rsidRDefault="00832B51" w:rsidP="00832B51">
            <w:pPr>
              <w:pStyle w:val="a7"/>
              <w:ind w:left="0"/>
              <w:rPr>
                <w:b/>
                <w:sz w:val="22"/>
                <w:lang w:val="uk-UA"/>
              </w:rPr>
            </w:pPr>
          </w:p>
        </w:tc>
        <w:tc>
          <w:tcPr>
            <w:tcW w:w="1559" w:type="dxa"/>
            <w:vMerge/>
            <w:tcBorders>
              <w:right w:val="single" w:sz="4" w:space="0" w:color="auto"/>
            </w:tcBorders>
          </w:tcPr>
          <w:p w:rsidR="00832B51" w:rsidRPr="00B74A55" w:rsidRDefault="00832B51" w:rsidP="00832B51">
            <w:pPr>
              <w:pStyle w:val="a7"/>
              <w:ind w:left="0"/>
              <w:jc w:val="center"/>
              <w:rPr>
                <w:sz w:val="22"/>
                <w:lang w:val="uk-UA"/>
              </w:rPr>
            </w:pPr>
          </w:p>
        </w:tc>
        <w:tc>
          <w:tcPr>
            <w:tcW w:w="1559" w:type="dxa"/>
            <w:vMerge/>
            <w:tcBorders>
              <w:right w:val="single" w:sz="4" w:space="0" w:color="auto"/>
            </w:tcBorders>
          </w:tcPr>
          <w:p w:rsidR="00832B51" w:rsidRPr="00B74A55" w:rsidRDefault="00832B51" w:rsidP="00832B51">
            <w:pPr>
              <w:pStyle w:val="a7"/>
              <w:ind w:left="0"/>
              <w:jc w:val="center"/>
              <w:rPr>
                <w:b/>
                <w:sz w:val="22"/>
                <w:lang w:val="uk-UA"/>
              </w:rPr>
            </w:pPr>
          </w:p>
        </w:tc>
        <w:tc>
          <w:tcPr>
            <w:tcW w:w="1134" w:type="dxa"/>
            <w:gridSpan w:val="2"/>
            <w:tcBorders>
              <w:top w:val="single" w:sz="4" w:space="0" w:color="auto"/>
              <w:left w:val="single" w:sz="4" w:space="0" w:color="auto"/>
              <w:right w:val="single" w:sz="4" w:space="0" w:color="auto"/>
            </w:tcBorders>
          </w:tcPr>
          <w:p w:rsidR="00832B51" w:rsidRPr="00B74A55" w:rsidRDefault="00832B51" w:rsidP="00832B51">
            <w:pPr>
              <w:pStyle w:val="a7"/>
              <w:ind w:left="0"/>
              <w:jc w:val="center"/>
              <w:rPr>
                <w:b/>
                <w:sz w:val="22"/>
                <w:lang w:val="uk-UA"/>
              </w:rPr>
            </w:pPr>
          </w:p>
        </w:tc>
        <w:tc>
          <w:tcPr>
            <w:tcW w:w="1704" w:type="dxa"/>
            <w:gridSpan w:val="2"/>
            <w:tcBorders>
              <w:top w:val="single" w:sz="4" w:space="0" w:color="auto"/>
              <w:left w:val="single" w:sz="4" w:space="0" w:color="auto"/>
              <w:right w:val="single" w:sz="4" w:space="0" w:color="auto"/>
            </w:tcBorders>
          </w:tcPr>
          <w:p w:rsidR="00832B51" w:rsidRPr="00B74A55" w:rsidRDefault="00832B51" w:rsidP="00832B51">
            <w:pPr>
              <w:pStyle w:val="a7"/>
              <w:ind w:left="0"/>
              <w:jc w:val="center"/>
              <w:rPr>
                <w:sz w:val="22"/>
                <w:lang w:val="uk-UA"/>
              </w:rPr>
            </w:pPr>
            <w:r w:rsidRPr="00B74A55">
              <w:rPr>
                <w:sz w:val="22"/>
                <w:lang w:val="uk-UA"/>
              </w:rPr>
              <w:t>Міжнародні інвестиції, кошти приватних осіб</w:t>
            </w:r>
          </w:p>
        </w:tc>
        <w:tc>
          <w:tcPr>
            <w:tcW w:w="989" w:type="dxa"/>
            <w:vMerge/>
            <w:tcBorders>
              <w:left w:val="single" w:sz="4" w:space="0" w:color="auto"/>
            </w:tcBorders>
          </w:tcPr>
          <w:p w:rsidR="00832B51" w:rsidRPr="00B74A55" w:rsidRDefault="00832B51" w:rsidP="00832B51">
            <w:pPr>
              <w:pStyle w:val="a7"/>
              <w:ind w:left="0"/>
              <w:jc w:val="center"/>
              <w:rPr>
                <w:sz w:val="22"/>
                <w:lang w:val="uk-UA"/>
              </w:rPr>
            </w:pPr>
          </w:p>
        </w:tc>
      </w:tr>
    </w:tbl>
    <w:p w:rsidR="00EA656C" w:rsidRPr="00B74A55" w:rsidRDefault="00EA656C" w:rsidP="00E95FB1">
      <w:pPr>
        <w:rPr>
          <w:sz w:val="22"/>
        </w:rPr>
      </w:pPr>
    </w:p>
    <w:p w:rsidR="00832B51" w:rsidRPr="00B74A55" w:rsidRDefault="00832B51" w:rsidP="00E95FB1">
      <w:pPr>
        <w:rPr>
          <w:sz w:val="22"/>
        </w:rPr>
      </w:pPr>
    </w:p>
    <w:tbl>
      <w:tblPr>
        <w:tblStyle w:val="af"/>
        <w:tblW w:w="9923" w:type="dxa"/>
        <w:tblInd w:w="-176" w:type="dxa"/>
        <w:tblLayout w:type="fixed"/>
        <w:tblLook w:val="04A0" w:firstRow="1" w:lastRow="0" w:firstColumn="1" w:lastColumn="0" w:noHBand="0" w:noVBand="1"/>
      </w:tblPr>
      <w:tblGrid>
        <w:gridCol w:w="2978"/>
        <w:gridCol w:w="1417"/>
        <w:gridCol w:w="1276"/>
        <w:gridCol w:w="1134"/>
        <w:gridCol w:w="283"/>
        <w:gridCol w:w="1701"/>
        <w:gridCol w:w="145"/>
        <w:gridCol w:w="989"/>
      </w:tblGrid>
      <w:tr w:rsidR="00325923" w:rsidRPr="00B74A55" w:rsidTr="00F34B87">
        <w:tc>
          <w:tcPr>
            <w:tcW w:w="2978" w:type="dxa"/>
            <w:shd w:val="clear" w:color="auto" w:fill="C6D9F1" w:themeFill="text2" w:themeFillTint="33"/>
          </w:tcPr>
          <w:p w:rsidR="00325923" w:rsidRPr="00B74A55" w:rsidRDefault="00325923" w:rsidP="00BE7B50">
            <w:pPr>
              <w:pStyle w:val="a7"/>
              <w:ind w:left="0"/>
              <w:rPr>
                <w:b/>
                <w:sz w:val="22"/>
                <w:lang w:val="uk-UA"/>
              </w:rPr>
            </w:pPr>
            <w:r w:rsidRPr="00B74A55">
              <w:rPr>
                <w:b/>
                <w:sz w:val="22"/>
                <w:lang w:val="uk-UA"/>
              </w:rPr>
              <w:t>Оперативна ціль/завдання</w:t>
            </w:r>
          </w:p>
        </w:tc>
        <w:tc>
          <w:tcPr>
            <w:tcW w:w="6945" w:type="dxa"/>
            <w:gridSpan w:val="7"/>
            <w:shd w:val="clear" w:color="auto" w:fill="auto"/>
          </w:tcPr>
          <w:p w:rsidR="00325923" w:rsidRPr="00B74A55" w:rsidRDefault="00325923" w:rsidP="00BE7B50">
            <w:pPr>
              <w:rPr>
                <w:sz w:val="22"/>
                <w:lang w:val="uk-UA"/>
              </w:rPr>
            </w:pPr>
            <w:r w:rsidRPr="00B74A55">
              <w:rPr>
                <w:sz w:val="22"/>
                <w:lang w:val="uk-UA"/>
              </w:rPr>
              <w:t xml:space="preserve">Людський розвиток через інновації управління та довіру до влади. Формування сучасного інклюзивного  </w:t>
            </w:r>
            <w:proofErr w:type="spellStart"/>
            <w:r w:rsidRPr="00B74A55">
              <w:rPr>
                <w:sz w:val="22"/>
                <w:lang w:val="uk-UA"/>
              </w:rPr>
              <w:t>освітньо</w:t>
            </w:r>
            <w:proofErr w:type="spellEnd"/>
            <w:r w:rsidRPr="00B74A55">
              <w:rPr>
                <w:sz w:val="22"/>
                <w:lang w:val="uk-UA"/>
              </w:rPr>
              <w:t>-культурного та спортивного простору для розвитку</w:t>
            </w:r>
          </w:p>
        </w:tc>
      </w:tr>
      <w:tr w:rsidR="00325923" w:rsidRPr="00B74A55" w:rsidTr="00F34B87">
        <w:tc>
          <w:tcPr>
            <w:tcW w:w="2978" w:type="dxa"/>
            <w:shd w:val="clear" w:color="auto" w:fill="C6D9F1" w:themeFill="text2" w:themeFillTint="33"/>
          </w:tcPr>
          <w:p w:rsidR="00325923" w:rsidRPr="00B74A55" w:rsidRDefault="00325923" w:rsidP="00BE7B50">
            <w:pPr>
              <w:pStyle w:val="a7"/>
              <w:ind w:left="0"/>
              <w:rPr>
                <w:b/>
                <w:sz w:val="22"/>
                <w:lang w:val="uk-UA"/>
              </w:rPr>
            </w:pPr>
            <w:r w:rsidRPr="00B74A55">
              <w:rPr>
                <w:b/>
                <w:sz w:val="22"/>
                <w:lang w:val="uk-UA"/>
              </w:rPr>
              <w:t>Назва проекту:</w:t>
            </w:r>
          </w:p>
        </w:tc>
        <w:tc>
          <w:tcPr>
            <w:tcW w:w="6945" w:type="dxa"/>
            <w:gridSpan w:val="7"/>
          </w:tcPr>
          <w:p w:rsidR="00325923" w:rsidRPr="00B74A55" w:rsidRDefault="00325923" w:rsidP="00BE7B50">
            <w:pPr>
              <w:pStyle w:val="a7"/>
              <w:ind w:left="0"/>
              <w:rPr>
                <w:sz w:val="22"/>
                <w:lang w:val="uk-UA"/>
              </w:rPr>
            </w:pPr>
            <w:r w:rsidRPr="00B74A55">
              <w:rPr>
                <w:sz w:val="22"/>
                <w:lang w:val="uk-UA"/>
              </w:rPr>
              <w:t xml:space="preserve">Капітальний ремонт їдальні та харчоблоку комунального закладу Гімназії № 8 міста Сєвєродонецька Луганської області, розташованої за </w:t>
            </w:r>
            <w:proofErr w:type="spellStart"/>
            <w:r w:rsidRPr="00B74A55">
              <w:rPr>
                <w:sz w:val="22"/>
                <w:lang w:val="uk-UA"/>
              </w:rPr>
              <w:t>адресою</w:t>
            </w:r>
            <w:proofErr w:type="spellEnd"/>
            <w:r w:rsidRPr="00B74A55">
              <w:rPr>
                <w:sz w:val="22"/>
                <w:lang w:val="uk-UA"/>
              </w:rPr>
              <w:t xml:space="preserve">: Луганська область, місто Сєвєродонецьк, вул. </w:t>
            </w:r>
            <w:proofErr w:type="spellStart"/>
            <w:r w:rsidRPr="00B74A55">
              <w:rPr>
                <w:sz w:val="22"/>
                <w:lang w:val="uk-UA"/>
              </w:rPr>
              <w:t>Вілєсова</w:t>
            </w:r>
            <w:proofErr w:type="spellEnd"/>
            <w:r w:rsidRPr="00B74A55">
              <w:rPr>
                <w:sz w:val="22"/>
                <w:lang w:val="uk-UA"/>
              </w:rPr>
              <w:t>. б.10</w:t>
            </w:r>
          </w:p>
        </w:tc>
      </w:tr>
      <w:tr w:rsidR="00325923" w:rsidRPr="00B74A55" w:rsidTr="00F34B87">
        <w:tc>
          <w:tcPr>
            <w:tcW w:w="2978" w:type="dxa"/>
            <w:shd w:val="clear" w:color="auto" w:fill="C6D9F1" w:themeFill="text2" w:themeFillTint="33"/>
          </w:tcPr>
          <w:p w:rsidR="00325923" w:rsidRPr="00B74A55" w:rsidRDefault="00325923" w:rsidP="00BE7B50">
            <w:pPr>
              <w:rPr>
                <w:b/>
                <w:sz w:val="22"/>
                <w:lang w:val="uk-UA"/>
              </w:rPr>
            </w:pPr>
            <w:r w:rsidRPr="00B74A55">
              <w:rPr>
                <w:b/>
                <w:sz w:val="22"/>
                <w:lang w:val="uk-UA"/>
              </w:rPr>
              <w:t>Ціль проекту</w:t>
            </w:r>
          </w:p>
        </w:tc>
        <w:tc>
          <w:tcPr>
            <w:tcW w:w="6945" w:type="dxa"/>
            <w:gridSpan w:val="7"/>
          </w:tcPr>
          <w:p w:rsidR="00325923" w:rsidRPr="00B74A55" w:rsidRDefault="00325923" w:rsidP="00BE7B50">
            <w:pPr>
              <w:pStyle w:val="a7"/>
              <w:ind w:left="0"/>
              <w:rPr>
                <w:sz w:val="22"/>
                <w:lang w:val="uk-UA"/>
              </w:rPr>
            </w:pPr>
            <w:r w:rsidRPr="00B74A55">
              <w:rPr>
                <w:sz w:val="22"/>
                <w:lang w:val="uk-UA"/>
              </w:rPr>
              <w:t>Відновити та покращити роботу комунального закладу Гімназії № 8 для надання широкого спектру послуг, пов’язаних із освітньою діяльністю та задоволення потреб мешканців Сєвєродонецької міської територіальної громади у необхідних послугах. Сприяння збереженню здоров’я здобувачів освіти громади, забезпечення  раціональним, якісним та безпечним харчуванням, впровадження нових технологій приготування їжі, впровадження здорового способу життя.</w:t>
            </w:r>
          </w:p>
        </w:tc>
      </w:tr>
      <w:tr w:rsidR="00325923" w:rsidRPr="00B74A55" w:rsidTr="00F34B87">
        <w:tc>
          <w:tcPr>
            <w:tcW w:w="2978" w:type="dxa"/>
            <w:shd w:val="clear" w:color="auto" w:fill="C6D9F1" w:themeFill="text2" w:themeFillTint="33"/>
          </w:tcPr>
          <w:p w:rsidR="00325923" w:rsidRPr="00B74A55" w:rsidRDefault="00325923" w:rsidP="00BE7B50">
            <w:pPr>
              <w:pStyle w:val="a7"/>
              <w:ind w:left="0"/>
              <w:rPr>
                <w:b/>
                <w:sz w:val="22"/>
                <w:lang w:val="uk-UA"/>
              </w:rPr>
            </w:pPr>
            <w:r w:rsidRPr="00B74A55">
              <w:rPr>
                <w:b/>
                <w:sz w:val="22"/>
                <w:lang w:val="uk-UA"/>
              </w:rPr>
              <w:t>Територія, на яку матиме вплив реалізація проекту</w:t>
            </w:r>
          </w:p>
        </w:tc>
        <w:tc>
          <w:tcPr>
            <w:tcW w:w="6945" w:type="dxa"/>
            <w:gridSpan w:val="7"/>
          </w:tcPr>
          <w:p w:rsidR="00325923" w:rsidRPr="00B74A55" w:rsidRDefault="00325923" w:rsidP="00BE7B50">
            <w:pPr>
              <w:pStyle w:val="a7"/>
              <w:ind w:left="0"/>
              <w:rPr>
                <w:sz w:val="22"/>
                <w:lang w:val="uk-UA"/>
              </w:rPr>
            </w:pPr>
            <w:r w:rsidRPr="00B74A55">
              <w:rPr>
                <w:sz w:val="22"/>
                <w:lang w:val="uk-UA"/>
              </w:rPr>
              <w:t>Сєвєродонецька міська територіальна громада</w:t>
            </w:r>
          </w:p>
        </w:tc>
      </w:tr>
      <w:tr w:rsidR="00325923" w:rsidRPr="00B74A55" w:rsidTr="00F34B87">
        <w:tc>
          <w:tcPr>
            <w:tcW w:w="2978" w:type="dxa"/>
            <w:shd w:val="clear" w:color="auto" w:fill="C6D9F1" w:themeFill="text2" w:themeFillTint="33"/>
          </w:tcPr>
          <w:p w:rsidR="00325923" w:rsidRPr="00B74A55" w:rsidRDefault="00325923" w:rsidP="00BE7B50">
            <w:pPr>
              <w:pStyle w:val="a7"/>
              <w:ind w:left="0"/>
              <w:rPr>
                <w:b/>
                <w:sz w:val="22"/>
                <w:lang w:val="uk-UA"/>
              </w:rPr>
            </w:pPr>
            <w:r w:rsidRPr="00B74A55">
              <w:rPr>
                <w:b/>
                <w:sz w:val="22"/>
                <w:lang w:val="uk-UA"/>
              </w:rPr>
              <w:t>Чисельність населення, на яке матиме вплив реалізація проекту</w:t>
            </w:r>
          </w:p>
        </w:tc>
        <w:tc>
          <w:tcPr>
            <w:tcW w:w="6945" w:type="dxa"/>
            <w:gridSpan w:val="7"/>
          </w:tcPr>
          <w:p w:rsidR="00325923" w:rsidRPr="00B74A55" w:rsidRDefault="00325923" w:rsidP="00BE7B50">
            <w:pPr>
              <w:pStyle w:val="a7"/>
              <w:ind w:left="0"/>
              <w:rPr>
                <w:sz w:val="22"/>
                <w:lang w:val="uk-UA"/>
              </w:rPr>
            </w:pPr>
            <w:r w:rsidRPr="00B74A55">
              <w:rPr>
                <w:sz w:val="22"/>
                <w:lang w:val="uk-UA"/>
              </w:rPr>
              <w:t xml:space="preserve"> 70 000  осіб</w:t>
            </w:r>
          </w:p>
        </w:tc>
      </w:tr>
      <w:tr w:rsidR="00325923" w:rsidRPr="00B74A55" w:rsidTr="00F34B87">
        <w:tc>
          <w:tcPr>
            <w:tcW w:w="2978" w:type="dxa"/>
            <w:shd w:val="clear" w:color="auto" w:fill="C6D9F1" w:themeFill="text2" w:themeFillTint="33"/>
          </w:tcPr>
          <w:p w:rsidR="00325923" w:rsidRPr="00B74A55" w:rsidRDefault="00325923" w:rsidP="00BE7B50">
            <w:pPr>
              <w:rPr>
                <w:b/>
                <w:sz w:val="22"/>
                <w:lang w:val="uk-UA"/>
              </w:rPr>
            </w:pPr>
            <w:r w:rsidRPr="00B74A55">
              <w:rPr>
                <w:b/>
                <w:sz w:val="22"/>
                <w:lang w:val="uk-UA"/>
              </w:rPr>
              <w:t>Опис проблеми, на вирішення якої  спрямований проект</w:t>
            </w:r>
          </w:p>
        </w:tc>
        <w:tc>
          <w:tcPr>
            <w:tcW w:w="6945" w:type="dxa"/>
            <w:gridSpan w:val="7"/>
          </w:tcPr>
          <w:p w:rsidR="00325923" w:rsidRPr="00B74A55" w:rsidRDefault="00325923" w:rsidP="00BE7B50">
            <w:pPr>
              <w:ind w:firstLine="708"/>
              <w:rPr>
                <w:sz w:val="22"/>
                <w:lang w:val="uk-UA"/>
              </w:rPr>
            </w:pPr>
            <w:r w:rsidRPr="00B74A55">
              <w:rPr>
                <w:sz w:val="22"/>
                <w:lang w:val="uk-UA"/>
              </w:rPr>
              <w:t>Через військову агресію РФ територія Сєвєродонецької міської територіальної громади зазнала значних пошкоджень. Не оминуло це і Гімназію № 8.</w:t>
            </w:r>
          </w:p>
          <w:p w:rsidR="00325923" w:rsidRPr="00B74A55" w:rsidRDefault="00325923" w:rsidP="00BE7B50">
            <w:pPr>
              <w:ind w:firstLine="708"/>
              <w:rPr>
                <w:sz w:val="22"/>
                <w:lang w:val="uk-UA"/>
              </w:rPr>
            </w:pPr>
            <w:r w:rsidRPr="00B74A55">
              <w:rPr>
                <w:sz w:val="22"/>
                <w:lang w:val="uk-UA"/>
              </w:rPr>
              <w:lastRenderedPageBreak/>
              <w:t>Вся матеріально-технічна база харчоблоку та їдальні закладу була втрачена та знищена, а саме:</w:t>
            </w:r>
          </w:p>
          <w:p w:rsidR="00325923" w:rsidRPr="00B74A55" w:rsidRDefault="00325923" w:rsidP="000303D7">
            <w:pPr>
              <w:pStyle w:val="a7"/>
              <w:numPr>
                <w:ilvl w:val="0"/>
                <w:numId w:val="9"/>
              </w:numPr>
              <w:rPr>
                <w:sz w:val="22"/>
                <w:lang w:val="uk-UA"/>
              </w:rPr>
            </w:pPr>
            <w:r w:rsidRPr="00B74A55">
              <w:rPr>
                <w:sz w:val="22"/>
                <w:lang w:val="uk-UA"/>
              </w:rPr>
              <w:t>будівля приміщення  їдальні та харчоблоку;</w:t>
            </w:r>
          </w:p>
          <w:p w:rsidR="00325923" w:rsidRPr="00B74A55" w:rsidRDefault="00325923" w:rsidP="000303D7">
            <w:pPr>
              <w:numPr>
                <w:ilvl w:val="0"/>
                <w:numId w:val="9"/>
              </w:numPr>
              <w:rPr>
                <w:color w:val="FF0000"/>
                <w:sz w:val="22"/>
                <w:lang w:val="uk-UA"/>
              </w:rPr>
            </w:pPr>
            <w:r w:rsidRPr="00B74A55">
              <w:rPr>
                <w:sz w:val="22"/>
                <w:lang w:val="uk-UA"/>
              </w:rPr>
              <w:t xml:space="preserve">кухонне обладнання (устаткування)- 5000 одиниць; порушена система опалення, зруйновані вікна та підлога, система водопостачання, водовідведення, газопостачання, вентиляційна система, меблі – 2000 одиниць). </w:t>
            </w:r>
          </w:p>
          <w:p w:rsidR="00325923" w:rsidRPr="00B74A55" w:rsidRDefault="00325923" w:rsidP="00BE7B50">
            <w:pPr>
              <w:pStyle w:val="13"/>
              <w:jc w:val="both"/>
              <w:rPr>
                <w:sz w:val="22"/>
                <w:lang w:val="uk-UA"/>
              </w:rPr>
            </w:pPr>
            <w:r w:rsidRPr="00B74A55">
              <w:rPr>
                <w:rFonts w:eastAsia="Arial"/>
                <w:sz w:val="22"/>
                <w:lang w:val="uk-UA"/>
              </w:rPr>
              <w:t xml:space="preserve">            Для відбудови та сталого розвитку громади потрібне капітальне відновлення роботи комунального закладу Гімназії № 8, а саме капітальний ремонт їдальні та харчоблоку. Мешканці громади потребують в отриманні якісних освітніх послуг, здорового та повноцінного  харчування, які відповідають нормам сучасності. </w:t>
            </w:r>
          </w:p>
        </w:tc>
      </w:tr>
      <w:tr w:rsidR="00325923" w:rsidRPr="00B74A55" w:rsidTr="00F34B87">
        <w:tc>
          <w:tcPr>
            <w:tcW w:w="2978" w:type="dxa"/>
            <w:shd w:val="clear" w:color="auto" w:fill="C6D9F1" w:themeFill="text2" w:themeFillTint="33"/>
          </w:tcPr>
          <w:p w:rsidR="00325923" w:rsidRPr="00B74A55" w:rsidRDefault="00325923" w:rsidP="00BE7B50">
            <w:pPr>
              <w:pStyle w:val="a7"/>
              <w:ind w:left="0"/>
              <w:rPr>
                <w:b/>
                <w:sz w:val="22"/>
                <w:lang w:val="uk-UA"/>
              </w:rPr>
            </w:pPr>
            <w:r w:rsidRPr="00B74A55">
              <w:rPr>
                <w:b/>
                <w:sz w:val="22"/>
                <w:lang w:val="uk-UA"/>
              </w:rPr>
              <w:lastRenderedPageBreak/>
              <w:t>Очікувані якісні результати від реалізації проекту</w:t>
            </w:r>
          </w:p>
        </w:tc>
        <w:tc>
          <w:tcPr>
            <w:tcW w:w="6945" w:type="dxa"/>
            <w:gridSpan w:val="7"/>
          </w:tcPr>
          <w:p w:rsidR="00325923" w:rsidRPr="00B74A55" w:rsidRDefault="00325923" w:rsidP="00BE7B50">
            <w:pPr>
              <w:pStyle w:val="a7"/>
              <w:ind w:left="0"/>
              <w:rPr>
                <w:sz w:val="22"/>
                <w:lang w:val="uk-UA"/>
              </w:rPr>
            </w:pPr>
            <w:r w:rsidRPr="00B74A55">
              <w:rPr>
                <w:sz w:val="22"/>
                <w:lang w:val="uk-UA"/>
              </w:rPr>
              <w:t>- забезпечення населення можливостями для реалізації його конституційних прав, пов’язаних із правом громадян на освіту та якісне харчування як  спосіб здорового способу життя;</w:t>
            </w:r>
          </w:p>
          <w:p w:rsidR="00325923" w:rsidRPr="00B74A55" w:rsidRDefault="00325923" w:rsidP="00BE7B50">
            <w:pPr>
              <w:pStyle w:val="a7"/>
              <w:ind w:left="0"/>
              <w:rPr>
                <w:sz w:val="22"/>
                <w:lang w:val="uk-UA"/>
              </w:rPr>
            </w:pPr>
            <w:r w:rsidRPr="00B74A55">
              <w:rPr>
                <w:sz w:val="22"/>
                <w:lang w:val="uk-UA"/>
              </w:rPr>
              <w:t>- надання широкого спектру послуг, пов’язаних із освітньою діяльністю;</w:t>
            </w:r>
          </w:p>
          <w:p w:rsidR="00325923" w:rsidRPr="00B74A55" w:rsidRDefault="00325923" w:rsidP="00BE7B50">
            <w:pPr>
              <w:pStyle w:val="a7"/>
              <w:ind w:left="0"/>
              <w:rPr>
                <w:sz w:val="22"/>
                <w:lang w:val="uk-UA"/>
              </w:rPr>
            </w:pPr>
            <w:r w:rsidRPr="00B74A55">
              <w:rPr>
                <w:sz w:val="22"/>
                <w:lang w:val="uk-UA"/>
              </w:rPr>
              <w:t>- вирішення ряду питань в межах статутної діяльності, пов’язаних із відбудовою та сталим розвитком громади;</w:t>
            </w:r>
          </w:p>
          <w:p w:rsidR="00325923" w:rsidRPr="00B74A55" w:rsidRDefault="00325923" w:rsidP="00BE7B50">
            <w:pPr>
              <w:pStyle w:val="a7"/>
              <w:ind w:left="0"/>
              <w:rPr>
                <w:sz w:val="22"/>
                <w:lang w:val="uk-UA"/>
              </w:rPr>
            </w:pPr>
            <w:r w:rsidRPr="00B74A55">
              <w:rPr>
                <w:sz w:val="22"/>
                <w:lang w:val="uk-UA"/>
              </w:rPr>
              <w:t>- створення нових робочих місць;</w:t>
            </w:r>
          </w:p>
          <w:p w:rsidR="00325923" w:rsidRPr="00B74A55" w:rsidRDefault="00325923" w:rsidP="00BE7B50">
            <w:pPr>
              <w:pStyle w:val="a7"/>
              <w:ind w:left="0"/>
              <w:rPr>
                <w:sz w:val="22"/>
                <w:lang w:val="uk-UA"/>
              </w:rPr>
            </w:pPr>
            <w:r w:rsidRPr="00B74A55">
              <w:rPr>
                <w:sz w:val="22"/>
                <w:lang w:val="uk-UA"/>
              </w:rPr>
              <w:t>- стимул до повернення ВПО до громади;</w:t>
            </w:r>
          </w:p>
          <w:p w:rsidR="00325923" w:rsidRPr="00B74A55" w:rsidRDefault="00325923" w:rsidP="00BE7B50">
            <w:pPr>
              <w:pStyle w:val="a7"/>
              <w:ind w:left="0"/>
              <w:rPr>
                <w:sz w:val="22"/>
                <w:lang w:val="uk-UA"/>
              </w:rPr>
            </w:pPr>
            <w:r w:rsidRPr="00B74A55">
              <w:rPr>
                <w:sz w:val="22"/>
                <w:lang w:val="uk-UA"/>
              </w:rPr>
              <w:t>- створення комфортних умов для організації гарячого харчування в Гімназії № 8;</w:t>
            </w:r>
          </w:p>
          <w:p w:rsidR="00325923" w:rsidRPr="00B74A55" w:rsidRDefault="00325923" w:rsidP="00BE7B50">
            <w:pPr>
              <w:pStyle w:val="a7"/>
              <w:ind w:left="0"/>
              <w:rPr>
                <w:sz w:val="22"/>
                <w:lang w:val="uk-UA"/>
              </w:rPr>
            </w:pPr>
            <w:r w:rsidRPr="00B74A55">
              <w:rPr>
                <w:sz w:val="22"/>
                <w:lang w:val="uk-UA"/>
              </w:rPr>
              <w:t>- охоплення найбільшої кількості учасників освітнього процесу гарячим харчуванням;</w:t>
            </w:r>
          </w:p>
          <w:p w:rsidR="00325923" w:rsidRPr="00B74A55" w:rsidRDefault="00325923" w:rsidP="00BE7B50">
            <w:pPr>
              <w:pStyle w:val="a7"/>
              <w:ind w:left="0"/>
              <w:rPr>
                <w:sz w:val="22"/>
                <w:lang w:val="uk-UA"/>
              </w:rPr>
            </w:pPr>
            <w:r w:rsidRPr="00B74A55">
              <w:rPr>
                <w:sz w:val="22"/>
                <w:lang w:val="uk-UA"/>
              </w:rPr>
              <w:t>- зменшення захворюваності серед учнів, що страждають на хвороби органів травлення.</w:t>
            </w:r>
          </w:p>
        </w:tc>
      </w:tr>
      <w:tr w:rsidR="00325923" w:rsidRPr="00B74A55" w:rsidTr="00F34B87">
        <w:trPr>
          <w:trHeight w:val="390"/>
        </w:trPr>
        <w:tc>
          <w:tcPr>
            <w:tcW w:w="2978" w:type="dxa"/>
            <w:vMerge w:val="restart"/>
            <w:shd w:val="clear" w:color="auto" w:fill="C6D9F1" w:themeFill="text2" w:themeFillTint="33"/>
          </w:tcPr>
          <w:p w:rsidR="00325923" w:rsidRPr="00B74A55" w:rsidRDefault="00325923" w:rsidP="00BE7B50">
            <w:pPr>
              <w:pStyle w:val="a7"/>
              <w:ind w:left="0"/>
              <w:rPr>
                <w:b/>
                <w:sz w:val="22"/>
                <w:lang w:val="uk-UA"/>
              </w:rPr>
            </w:pPr>
            <w:r w:rsidRPr="00B74A55">
              <w:rPr>
                <w:b/>
                <w:sz w:val="22"/>
                <w:lang w:val="uk-UA"/>
              </w:rPr>
              <w:t xml:space="preserve">Очікувані кількісні результати реалізації </w:t>
            </w:r>
            <w:proofErr w:type="spellStart"/>
            <w:r w:rsidRPr="00B74A55">
              <w:rPr>
                <w:b/>
                <w:sz w:val="22"/>
                <w:lang w:val="uk-UA"/>
              </w:rPr>
              <w:t>проєкту</w:t>
            </w:r>
            <w:proofErr w:type="spellEnd"/>
            <w:r w:rsidRPr="00B74A55">
              <w:rPr>
                <w:b/>
                <w:sz w:val="22"/>
                <w:lang w:val="uk-UA"/>
              </w:rPr>
              <w:t xml:space="preserve"> (індикатори)</w:t>
            </w:r>
          </w:p>
          <w:p w:rsidR="00325923" w:rsidRPr="00B74A55" w:rsidRDefault="00325923" w:rsidP="00BE7B50">
            <w:pPr>
              <w:pStyle w:val="a7"/>
              <w:ind w:left="0"/>
              <w:rPr>
                <w:b/>
                <w:sz w:val="22"/>
                <w:lang w:val="uk-UA"/>
              </w:rPr>
            </w:pPr>
          </w:p>
        </w:tc>
        <w:tc>
          <w:tcPr>
            <w:tcW w:w="4110" w:type="dxa"/>
            <w:gridSpan w:val="4"/>
            <w:tcBorders>
              <w:bottom w:val="single" w:sz="4" w:space="0" w:color="auto"/>
              <w:right w:val="single" w:sz="4" w:space="0" w:color="auto"/>
            </w:tcBorders>
          </w:tcPr>
          <w:p w:rsidR="00325923" w:rsidRPr="00B74A55" w:rsidRDefault="00325923" w:rsidP="00BE7B50">
            <w:pPr>
              <w:pStyle w:val="a7"/>
              <w:ind w:left="-108"/>
              <w:jc w:val="center"/>
              <w:rPr>
                <w:b/>
                <w:sz w:val="22"/>
                <w:lang w:val="uk-UA"/>
              </w:rPr>
            </w:pPr>
            <w:r w:rsidRPr="00B74A55">
              <w:rPr>
                <w:b/>
                <w:sz w:val="22"/>
                <w:lang w:val="uk-UA"/>
              </w:rPr>
              <w:t>Найменування показника</w:t>
            </w:r>
          </w:p>
        </w:tc>
        <w:tc>
          <w:tcPr>
            <w:tcW w:w="1701" w:type="dxa"/>
            <w:tcBorders>
              <w:left w:val="single" w:sz="4" w:space="0" w:color="auto"/>
              <w:bottom w:val="single" w:sz="4" w:space="0" w:color="auto"/>
              <w:right w:val="single" w:sz="4" w:space="0" w:color="auto"/>
            </w:tcBorders>
          </w:tcPr>
          <w:p w:rsidR="00325923" w:rsidRPr="00B74A55" w:rsidRDefault="00325923" w:rsidP="00BE7B50">
            <w:pPr>
              <w:pStyle w:val="a7"/>
              <w:ind w:left="0"/>
              <w:jc w:val="center"/>
              <w:rPr>
                <w:b/>
                <w:sz w:val="22"/>
                <w:lang w:val="uk-UA"/>
              </w:rPr>
            </w:pPr>
            <w:r w:rsidRPr="00B74A55">
              <w:rPr>
                <w:b/>
                <w:sz w:val="22"/>
                <w:lang w:val="uk-UA"/>
              </w:rPr>
              <w:t>Одиниця вимірювання</w:t>
            </w:r>
          </w:p>
          <w:p w:rsidR="00325923" w:rsidRPr="00B74A55" w:rsidRDefault="00325923" w:rsidP="00BE7B50">
            <w:pPr>
              <w:pStyle w:val="a7"/>
              <w:ind w:left="0"/>
              <w:rPr>
                <w:b/>
                <w:sz w:val="22"/>
                <w:lang w:val="uk-UA"/>
              </w:rPr>
            </w:pPr>
          </w:p>
        </w:tc>
        <w:tc>
          <w:tcPr>
            <w:tcW w:w="1134" w:type="dxa"/>
            <w:gridSpan w:val="2"/>
            <w:tcBorders>
              <w:left w:val="single" w:sz="4" w:space="0" w:color="auto"/>
              <w:bottom w:val="single" w:sz="4" w:space="0" w:color="auto"/>
            </w:tcBorders>
          </w:tcPr>
          <w:p w:rsidR="00325923" w:rsidRPr="00B74A55" w:rsidRDefault="00325923" w:rsidP="00325923">
            <w:pPr>
              <w:pStyle w:val="a7"/>
              <w:ind w:left="0"/>
              <w:jc w:val="center"/>
              <w:rPr>
                <w:b/>
                <w:sz w:val="22"/>
                <w:lang w:val="uk-UA"/>
              </w:rPr>
            </w:pPr>
            <w:r w:rsidRPr="00B74A55">
              <w:rPr>
                <w:b/>
                <w:sz w:val="22"/>
                <w:lang w:val="uk-UA"/>
              </w:rPr>
              <w:t>Прогнозне (цільове) значення</w:t>
            </w:r>
          </w:p>
        </w:tc>
      </w:tr>
      <w:tr w:rsidR="00325923" w:rsidRPr="00B74A55" w:rsidTr="00F34B87">
        <w:trPr>
          <w:trHeight w:val="585"/>
        </w:trPr>
        <w:tc>
          <w:tcPr>
            <w:tcW w:w="2978" w:type="dxa"/>
            <w:vMerge/>
            <w:shd w:val="clear" w:color="auto" w:fill="C6D9F1" w:themeFill="text2" w:themeFillTint="33"/>
          </w:tcPr>
          <w:p w:rsidR="00325923" w:rsidRPr="00B74A55" w:rsidRDefault="00325923" w:rsidP="00BE7B50">
            <w:pPr>
              <w:pStyle w:val="a7"/>
              <w:ind w:left="0"/>
              <w:rPr>
                <w:b/>
                <w:sz w:val="22"/>
                <w:lang w:val="uk-UA"/>
              </w:rPr>
            </w:pPr>
          </w:p>
        </w:tc>
        <w:tc>
          <w:tcPr>
            <w:tcW w:w="4110" w:type="dxa"/>
            <w:gridSpan w:val="4"/>
            <w:tcBorders>
              <w:top w:val="single" w:sz="4" w:space="0" w:color="auto"/>
              <w:bottom w:val="single" w:sz="4" w:space="0" w:color="auto"/>
              <w:right w:val="single" w:sz="4" w:space="0" w:color="auto"/>
            </w:tcBorders>
          </w:tcPr>
          <w:p w:rsidR="00325923" w:rsidRPr="00B74A55" w:rsidRDefault="00325923" w:rsidP="00AD2453">
            <w:pPr>
              <w:pStyle w:val="a7"/>
              <w:ind w:left="0"/>
              <w:jc w:val="center"/>
              <w:rPr>
                <w:sz w:val="22"/>
                <w:lang w:val="uk-UA"/>
              </w:rPr>
            </w:pPr>
            <w:r w:rsidRPr="00B74A55">
              <w:rPr>
                <w:sz w:val="22"/>
                <w:lang w:val="uk-UA"/>
              </w:rPr>
              <w:t>Кількість фізичних осіб, які звернулись за послугами протягом  року</w:t>
            </w:r>
          </w:p>
        </w:tc>
        <w:tc>
          <w:tcPr>
            <w:tcW w:w="1701" w:type="dxa"/>
            <w:tcBorders>
              <w:top w:val="single" w:sz="4" w:space="0" w:color="auto"/>
              <w:left w:val="single" w:sz="4" w:space="0" w:color="auto"/>
              <w:bottom w:val="single" w:sz="4" w:space="0" w:color="auto"/>
              <w:right w:val="single" w:sz="4" w:space="0" w:color="auto"/>
            </w:tcBorders>
            <w:vAlign w:val="center"/>
          </w:tcPr>
          <w:p w:rsidR="00325923" w:rsidRPr="00B74A55" w:rsidRDefault="00325923" w:rsidP="00BE7B50">
            <w:pPr>
              <w:pStyle w:val="a7"/>
              <w:ind w:left="0"/>
              <w:jc w:val="center"/>
              <w:rPr>
                <w:sz w:val="22"/>
                <w:lang w:val="uk-UA"/>
              </w:rPr>
            </w:pPr>
            <w:r w:rsidRPr="00B74A55">
              <w:rPr>
                <w:sz w:val="22"/>
                <w:lang w:val="uk-UA"/>
              </w:rPr>
              <w:t>осіб</w:t>
            </w:r>
          </w:p>
        </w:tc>
        <w:tc>
          <w:tcPr>
            <w:tcW w:w="1134" w:type="dxa"/>
            <w:gridSpan w:val="2"/>
            <w:tcBorders>
              <w:top w:val="single" w:sz="4" w:space="0" w:color="auto"/>
              <w:left w:val="single" w:sz="4" w:space="0" w:color="auto"/>
              <w:bottom w:val="single" w:sz="4" w:space="0" w:color="auto"/>
            </w:tcBorders>
          </w:tcPr>
          <w:p w:rsidR="00325923" w:rsidRPr="00B74A55" w:rsidRDefault="00325923" w:rsidP="00BE7B50">
            <w:pPr>
              <w:pStyle w:val="a7"/>
              <w:ind w:left="0"/>
              <w:jc w:val="center"/>
              <w:rPr>
                <w:sz w:val="22"/>
                <w:lang w:val="uk-UA"/>
              </w:rPr>
            </w:pPr>
            <w:r w:rsidRPr="00B74A55">
              <w:rPr>
                <w:sz w:val="22"/>
                <w:lang w:val="uk-UA"/>
              </w:rPr>
              <w:t>680</w:t>
            </w:r>
          </w:p>
        </w:tc>
      </w:tr>
      <w:tr w:rsidR="00325923" w:rsidRPr="00B74A55" w:rsidTr="00F34B87">
        <w:trPr>
          <w:trHeight w:val="184"/>
        </w:trPr>
        <w:tc>
          <w:tcPr>
            <w:tcW w:w="2978" w:type="dxa"/>
            <w:vMerge/>
            <w:shd w:val="clear" w:color="auto" w:fill="C6D9F1" w:themeFill="text2" w:themeFillTint="33"/>
          </w:tcPr>
          <w:p w:rsidR="00325923" w:rsidRPr="00B74A55" w:rsidRDefault="00325923" w:rsidP="00BE7B50">
            <w:pPr>
              <w:pStyle w:val="a7"/>
              <w:ind w:left="0"/>
              <w:rPr>
                <w:b/>
                <w:sz w:val="22"/>
                <w:lang w:val="uk-UA"/>
              </w:rPr>
            </w:pPr>
          </w:p>
        </w:tc>
        <w:tc>
          <w:tcPr>
            <w:tcW w:w="4110" w:type="dxa"/>
            <w:gridSpan w:val="4"/>
            <w:tcBorders>
              <w:top w:val="single" w:sz="4" w:space="0" w:color="auto"/>
              <w:bottom w:val="single" w:sz="4" w:space="0" w:color="auto"/>
              <w:right w:val="single" w:sz="4" w:space="0" w:color="auto"/>
            </w:tcBorders>
          </w:tcPr>
          <w:p w:rsidR="00325923" w:rsidRPr="00B74A55" w:rsidRDefault="00325923" w:rsidP="00BE7B50">
            <w:pPr>
              <w:pStyle w:val="a7"/>
              <w:ind w:left="0"/>
              <w:jc w:val="center"/>
              <w:rPr>
                <w:sz w:val="22"/>
                <w:lang w:val="uk-UA"/>
              </w:rPr>
            </w:pPr>
            <w:r w:rsidRPr="00B74A55">
              <w:rPr>
                <w:sz w:val="22"/>
                <w:lang w:val="uk-UA"/>
              </w:rPr>
              <w:t>Кількість уроків</w:t>
            </w:r>
          </w:p>
        </w:tc>
        <w:tc>
          <w:tcPr>
            <w:tcW w:w="1701" w:type="dxa"/>
            <w:tcBorders>
              <w:top w:val="single" w:sz="4" w:space="0" w:color="auto"/>
              <w:left w:val="single" w:sz="4" w:space="0" w:color="auto"/>
              <w:bottom w:val="single" w:sz="4" w:space="0" w:color="auto"/>
              <w:right w:val="single" w:sz="4" w:space="0" w:color="auto"/>
            </w:tcBorders>
            <w:vAlign w:val="center"/>
          </w:tcPr>
          <w:p w:rsidR="00325923" w:rsidRPr="00B74A55" w:rsidRDefault="00325923" w:rsidP="00BE7B50">
            <w:pPr>
              <w:pStyle w:val="a7"/>
              <w:ind w:left="0"/>
              <w:jc w:val="center"/>
              <w:rPr>
                <w:sz w:val="22"/>
                <w:lang w:val="uk-UA"/>
              </w:rPr>
            </w:pPr>
            <w:r w:rsidRPr="00B74A55">
              <w:rPr>
                <w:sz w:val="22"/>
                <w:lang w:val="uk-UA"/>
              </w:rPr>
              <w:t>одиниць</w:t>
            </w:r>
          </w:p>
        </w:tc>
        <w:tc>
          <w:tcPr>
            <w:tcW w:w="1134" w:type="dxa"/>
            <w:gridSpan w:val="2"/>
            <w:tcBorders>
              <w:top w:val="single" w:sz="4" w:space="0" w:color="auto"/>
              <w:left w:val="single" w:sz="4" w:space="0" w:color="auto"/>
              <w:bottom w:val="single" w:sz="4" w:space="0" w:color="auto"/>
            </w:tcBorders>
          </w:tcPr>
          <w:p w:rsidR="00325923" w:rsidRPr="00B74A55" w:rsidRDefault="00325923" w:rsidP="00BE7B50">
            <w:pPr>
              <w:pStyle w:val="a7"/>
              <w:ind w:left="0"/>
              <w:jc w:val="center"/>
              <w:rPr>
                <w:sz w:val="22"/>
                <w:lang w:val="uk-UA"/>
              </w:rPr>
            </w:pPr>
            <w:r w:rsidRPr="00B74A55">
              <w:rPr>
                <w:sz w:val="22"/>
                <w:lang w:val="uk-UA"/>
              </w:rPr>
              <w:t>63</w:t>
            </w:r>
          </w:p>
        </w:tc>
      </w:tr>
      <w:tr w:rsidR="00325923" w:rsidRPr="00B74A55" w:rsidTr="00F34B87">
        <w:trPr>
          <w:trHeight w:val="838"/>
        </w:trPr>
        <w:tc>
          <w:tcPr>
            <w:tcW w:w="2978" w:type="dxa"/>
            <w:vMerge/>
            <w:shd w:val="clear" w:color="auto" w:fill="C6D9F1" w:themeFill="text2" w:themeFillTint="33"/>
          </w:tcPr>
          <w:p w:rsidR="00325923" w:rsidRPr="00B74A55" w:rsidRDefault="00325923" w:rsidP="00BE7B50">
            <w:pPr>
              <w:pStyle w:val="a7"/>
              <w:ind w:left="0"/>
              <w:rPr>
                <w:b/>
                <w:sz w:val="22"/>
                <w:lang w:val="uk-UA"/>
              </w:rPr>
            </w:pPr>
          </w:p>
        </w:tc>
        <w:tc>
          <w:tcPr>
            <w:tcW w:w="4110" w:type="dxa"/>
            <w:gridSpan w:val="4"/>
            <w:tcBorders>
              <w:top w:val="single" w:sz="4" w:space="0" w:color="auto"/>
              <w:right w:val="single" w:sz="4" w:space="0" w:color="auto"/>
            </w:tcBorders>
          </w:tcPr>
          <w:p w:rsidR="00325923" w:rsidRPr="00B74A55" w:rsidRDefault="00325923" w:rsidP="00BE7B50">
            <w:pPr>
              <w:pStyle w:val="a7"/>
              <w:ind w:left="0"/>
              <w:jc w:val="center"/>
              <w:rPr>
                <w:sz w:val="22"/>
                <w:lang w:val="uk-UA"/>
              </w:rPr>
            </w:pPr>
            <w:r w:rsidRPr="00B74A55">
              <w:rPr>
                <w:sz w:val="22"/>
                <w:lang w:val="uk-UA"/>
              </w:rPr>
              <w:t>Термін надання послуги</w:t>
            </w:r>
          </w:p>
        </w:tc>
        <w:tc>
          <w:tcPr>
            <w:tcW w:w="1701" w:type="dxa"/>
            <w:tcBorders>
              <w:top w:val="single" w:sz="4" w:space="0" w:color="auto"/>
              <w:left w:val="single" w:sz="4" w:space="0" w:color="auto"/>
              <w:right w:val="single" w:sz="4" w:space="0" w:color="auto"/>
            </w:tcBorders>
            <w:vAlign w:val="center"/>
          </w:tcPr>
          <w:p w:rsidR="00325923" w:rsidRPr="00B74A55" w:rsidRDefault="00325923" w:rsidP="00BE7B50">
            <w:pPr>
              <w:pStyle w:val="a7"/>
              <w:ind w:left="0"/>
              <w:jc w:val="center"/>
              <w:rPr>
                <w:sz w:val="22"/>
                <w:lang w:val="uk-UA"/>
              </w:rPr>
            </w:pPr>
            <w:r w:rsidRPr="00B74A55">
              <w:rPr>
                <w:sz w:val="22"/>
                <w:lang w:val="uk-UA"/>
              </w:rPr>
              <w:t>день</w:t>
            </w:r>
          </w:p>
        </w:tc>
        <w:tc>
          <w:tcPr>
            <w:tcW w:w="1134" w:type="dxa"/>
            <w:gridSpan w:val="2"/>
            <w:tcBorders>
              <w:top w:val="single" w:sz="4" w:space="0" w:color="auto"/>
              <w:left w:val="single" w:sz="4" w:space="0" w:color="auto"/>
            </w:tcBorders>
          </w:tcPr>
          <w:p w:rsidR="00325923" w:rsidRPr="00B74A55" w:rsidRDefault="00325923" w:rsidP="00BE7B50">
            <w:pPr>
              <w:pStyle w:val="a7"/>
              <w:ind w:left="0"/>
              <w:jc w:val="center"/>
              <w:rPr>
                <w:sz w:val="22"/>
                <w:lang w:val="uk-UA"/>
              </w:rPr>
            </w:pPr>
            <w:r w:rsidRPr="00B74A55">
              <w:rPr>
                <w:sz w:val="22"/>
                <w:lang w:val="uk-UA"/>
              </w:rPr>
              <w:t>Протягом 9 років,</w:t>
            </w:r>
          </w:p>
          <w:p w:rsidR="00325923" w:rsidRPr="00B74A55" w:rsidRDefault="00325923" w:rsidP="00BE7B50">
            <w:pPr>
              <w:pStyle w:val="a7"/>
              <w:ind w:left="0"/>
              <w:jc w:val="center"/>
              <w:rPr>
                <w:sz w:val="22"/>
                <w:lang w:val="uk-UA"/>
              </w:rPr>
            </w:pPr>
            <w:r w:rsidRPr="00B74A55">
              <w:rPr>
                <w:sz w:val="22"/>
                <w:lang w:val="uk-UA"/>
              </w:rPr>
              <w:t>365 днів</w:t>
            </w:r>
          </w:p>
        </w:tc>
      </w:tr>
      <w:tr w:rsidR="00325923" w:rsidRPr="00B74A55" w:rsidTr="00F34B87">
        <w:trPr>
          <w:trHeight w:val="150"/>
        </w:trPr>
        <w:tc>
          <w:tcPr>
            <w:tcW w:w="2978" w:type="dxa"/>
            <w:shd w:val="clear" w:color="auto" w:fill="C6D9F1" w:themeFill="text2" w:themeFillTint="33"/>
          </w:tcPr>
          <w:p w:rsidR="00325923" w:rsidRPr="00B74A55" w:rsidRDefault="00325923" w:rsidP="00BE7B50">
            <w:pPr>
              <w:pStyle w:val="a7"/>
              <w:ind w:left="0"/>
              <w:rPr>
                <w:b/>
                <w:sz w:val="22"/>
                <w:lang w:val="uk-UA"/>
              </w:rPr>
            </w:pPr>
          </w:p>
        </w:tc>
        <w:tc>
          <w:tcPr>
            <w:tcW w:w="4110" w:type="dxa"/>
            <w:gridSpan w:val="4"/>
            <w:tcBorders>
              <w:top w:val="single" w:sz="4" w:space="0" w:color="auto"/>
              <w:right w:val="single" w:sz="4" w:space="0" w:color="auto"/>
            </w:tcBorders>
          </w:tcPr>
          <w:p w:rsidR="00325923" w:rsidRPr="00B74A55" w:rsidRDefault="00325923" w:rsidP="00AD2453">
            <w:pPr>
              <w:pStyle w:val="a7"/>
              <w:ind w:left="0"/>
              <w:jc w:val="center"/>
              <w:rPr>
                <w:sz w:val="22"/>
                <w:lang w:val="uk-UA"/>
              </w:rPr>
            </w:pPr>
            <w:r w:rsidRPr="00B74A55">
              <w:rPr>
                <w:sz w:val="22"/>
                <w:lang w:val="uk-UA"/>
              </w:rPr>
              <w:t>Кількість населених пунктів, як</w:t>
            </w:r>
            <w:r w:rsidR="00AD2453" w:rsidRPr="00B74A55">
              <w:rPr>
                <w:sz w:val="22"/>
                <w:lang w:val="uk-UA"/>
              </w:rPr>
              <w:t>і</w:t>
            </w:r>
            <w:r w:rsidRPr="00B74A55">
              <w:rPr>
                <w:sz w:val="22"/>
                <w:lang w:val="uk-UA"/>
              </w:rPr>
              <w:t xml:space="preserve"> обслуговує </w:t>
            </w:r>
            <w:r w:rsidR="00AD2453" w:rsidRPr="00B74A55">
              <w:rPr>
                <w:sz w:val="22"/>
                <w:lang w:val="uk-UA"/>
              </w:rPr>
              <w:t>заклад</w:t>
            </w:r>
          </w:p>
        </w:tc>
        <w:tc>
          <w:tcPr>
            <w:tcW w:w="1701" w:type="dxa"/>
            <w:tcBorders>
              <w:top w:val="single" w:sz="4" w:space="0" w:color="auto"/>
              <w:left w:val="single" w:sz="4" w:space="0" w:color="auto"/>
              <w:right w:val="single" w:sz="4" w:space="0" w:color="auto"/>
            </w:tcBorders>
            <w:vAlign w:val="center"/>
          </w:tcPr>
          <w:p w:rsidR="00325923" w:rsidRPr="00B74A55" w:rsidRDefault="00325923" w:rsidP="00BE7B50">
            <w:pPr>
              <w:pStyle w:val="a7"/>
              <w:ind w:left="0"/>
              <w:jc w:val="center"/>
              <w:rPr>
                <w:sz w:val="22"/>
                <w:lang w:val="uk-UA"/>
              </w:rPr>
            </w:pPr>
            <w:r w:rsidRPr="00B74A55">
              <w:rPr>
                <w:sz w:val="22"/>
                <w:lang w:val="uk-UA"/>
              </w:rPr>
              <w:t>одиниць</w:t>
            </w:r>
          </w:p>
        </w:tc>
        <w:tc>
          <w:tcPr>
            <w:tcW w:w="1134" w:type="dxa"/>
            <w:gridSpan w:val="2"/>
            <w:tcBorders>
              <w:top w:val="single" w:sz="4" w:space="0" w:color="auto"/>
              <w:left w:val="single" w:sz="4" w:space="0" w:color="auto"/>
            </w:tcBorders>
          </w:tcPr>
          <w:p w:rsidR="00325923" w:rsidRPr="00B74A55" w:rsidRDefault="00325923" w:rsidP="00BE7B50">
            <w:pPr>
              <w:pStyle w:val="a7"/>
              <w:ind w:left="0"/>
              <w:jc w:val="center"/>
              <w:rPr>
                <w:sz w:val="22"/>
                <w:lang w:val="uk-UA"/>
              </w:rPr>
            </w:pPr>
            <w:r w:rsidRPr="00B74A55">
              <w:rPr>
                <w:sz w:val="22"/>
                <w:lang w:val="uk-UA"/>
              </w:rPr>
              <w:t>20</w:t>
            </w:r>
          </w:p>
        </w:tc>
      </w:tr>
      <w:tr w:rsidR="00325923" w:rsidRPr="00B74A55" w:rsidTr="00F34B87">
        <w:tc>
          <w:tcPr>
            <w:tcW w:w="2978" w:type="dxa"/>
            <w:shd w:val="clear" w:color="auto" w:fill="C6D9F1" w:themeFill="text2" w:themeFillTint="33"/>
          </w:tcPr>
          <w:p w:rsidR="00325923" w:rsidRPr="00B74A55" w:rsidRDefault="00325923" w:rsidP="00BE7B50">
            <w:pPr>
              <w:rPr>
                <w:b/>
                <w:sz w:val="22"/>
                <w:lang w:val="uk-UA"/>
              </w:rPr>
            </w:pPr>
            <w:r w:rsidRPr="00B74A55">
              <w:rPr>
                <w:b/>
                <w:sz w:val="22"/>
                <w:lang w:val="uk-UA"/>
              </w:rPr>
              <w:t xml:space="preserve">Ключові заходи проекту: </w:t>
            </w:r>
          </w:p>
          <w:p w:rsidR="00325923" w:rsidRPr="00B74A55" w:rsidRDefault="00325923" w:rsidP="00BE7B50">
            <w:pPr>
              <w:pStyle w:val="a7"/>
              <w:ind w:left="0"/>
              <w:rPr>
                <w:b/>
                <w:sz w:val="22"/>
                <w:lang w:val="uk-UA"/>
              </w:rPr>
            </w:pPr>
          </w:p>
        </w:tc>
        <w:tc>
          <w:tcPr>
            <w:tcW w:w="6945" w:type="dxa"/>
            <w:gridSpan w:val="7"/>
          </w:tcPr>
          <w:p w:rsidR="00325923" w:rsidRPr="00B74A55" w:rsidRDefault="00325923" w:rsidP="00BE7B50">
            <w:pPr>
              <w:pStyle w:val="a7"/>
              <w:ind w:left="0"/>
              <w:rPr>
                <w:sz w:val="22"/>
                <w:lang w:val="uk-UA"/>
              </w:rPr>
            </w:pPr>
            <w:r w:rsidRPr="00B74A55">
              <w:rPr>
                <w:sz w:val="22"/>
                <w:lang w:val="uk-UA"/>
              </w:rPr>
              <w:t>- обстеження стану будівлі;</w:t>
            </w:r>
          </w:p>
          <w:p w:rsidR="00325923" w:rsidRPr="00B74A55" w:rsidRDefault="00325923" w:rsidP="00BE7B50">
            <w:pPr>
              <w:pStyle w:val="a7"/>
              <w:ind w:left="0"/>
              <w:rPr>
                <w:sz w:val="22"/>
                <w:lang w:val="uk-UA"/>
              </w:rPr>
            </w:pPr>
            <w:r w:rsidRPr="00B74A55">
              <w:rPr>
                <w:sz w:val="22"/>
                <w:lang w:val="uk-UA"/>
              </w:rPr>
              <w:t>- проведення інвентаризації основних засобів;</w:t>
            </w:r>
          </w:p>
          <w:p w:rsidR="00325923" w:rsidRPr="00B74A55" w:rsidRDefault="00325923" w:rsidP="00BE7B50">
            <w:pPr>
              <w:pStyle w:val="a7"/>
              <w:ind w:left="0"/>
              <w:rPr>
                <w:sz w:val="22"/>
                <w:lang w:val="uk-UA"/>
              </w:rPr>
            </w:pPr>
            <w:r w:rsidRPr="00B74A55">
              <w:rPr>
                <w:sz w:val="22"/>
                <w:lang w:val="uk-UA"/>
              </w:rPr>
              <w:t xml:space="preserve"> - придбання технічного забезпечення закладу;</w:t>
            </w:r>
          </w:p>
          <w:p w:rsidR="00325923" w:rsidRPr="00B74A55" w:rsidRDefault="00325923" w:rsidP="00BE7B50">
            <w:pPr>
              <w:pStyle w:val="a7"/>
              <w:ind w:left="0"/>
              <w:rPr>
                <w:sz w:val="22"/>
                <w:lang w:val="uk-UA"/>
              </w:rPr>
            </w:pPr>
            <w:r w:rsidRPr="00B74A55">
              <w:rPr>
                <w:sz w:val="22"/>
                <w:lang w:val="uk-UA"/>
              </w:rPr>
              <w:t>- придбання технологічного забезпечення;</w:t>
            </w:r>
          </w:p>
          <w:p w:rsidR="00325923" w:rsidRPr="00B74A55" w:rsidRDefault="00325923" w:rsidP="00BE7B50">
            <w:pPr>
              <w:pStyle w:val="a7"/>
              <w:ind w:left="0"/>
              <w:rPr>
                <w:sz w:val="22"/>
                <w:lang w:val="uk-UA"/>
              </w:rPr>
            </w:pPr>
            <w:r w:rsidRPr="00B74A55">
              <w:rPr>
                <w:sz w:val="22"/>
                <w:lang w:val="uk-UA"/>
              </w:rPr>
              <w:t>- визначення кількості осіб, які потребують отримання соціальних, освітніх послуг закладу;</w:t>
            </w:r>
          </w:p>
          <w:p w:rsidR="00325923" w:rsidRPr="00B74A55" w:rsidRDefault="00325923" w:rsidP="00BE7B50">
            <w:pPr>
              <w:pStyle w:val="a7"/>
              <w:ind w:left="0"/>
              <w:rPr>
                <w:sz w:val="22"/>
                <w:lang w:val="uk-UA"/>
              </w:rPr>
            </w:pPr>
            <w:r w:rsidRPr="00B74A55">
              <w:rPr>
                <w:sz w:val="22"/>
                <w:lang w:val="uk-UA"/>
              </w:rPr>
              <w:t xml:space="preserve">-  здорове, якісне  харчування учнів закладу; </w:t>
            </w:r>
          </w:p>
          <w:p w:rsidR="00325923" w:rsidRPr="00B74A55" w:rsidRDefault="00325923" w:rsidP="00BE7B50">
            <w:pPr>
              <w:pStyle w:val="a7"/>
              <w:ind w:left="0"/>
              <w:rPr>
                <w:sz w:val="22"/>
                <w:lang w:val="uk-UA"/>
              </w:rPr>
            </w:pPr>
            <w:r w:rsidRPr="00B74A55">
              <w:rPr>
                <w:sz w:val="22"/>
                <w:lang w:val="uk-UA"/>
              </w:rPr>
              <w:t>- організація та початок освітнього процесу;</w:t>
            </w:r>
          </w:p>
          <w:p w:rsidR="00325923" w:rsidRPr="00B74A55" w:rsidRDefault="00325923" w:rsidP="00BE7B50">
            <w:pPr>
              <w:pStyle w:val="a7"/>
              <w:ind w:left="0"/>
              <w:rPr>
                <w:sz w:val="22"/>
                <w:lang w:val="uk-UA"/>
              </w:rPr>
            </w:pPr>
            <w:r w:rsidRPr="00B74A55">
              <w:rPr>
                <w:sz w:val="22"/>
                <w:lang w:val="uk-UA"/>
              </w:rPr>
              <w:t>- створення нових робочих місць;</w:t>
            </w:r>
          </w:p>
          <w:p w:rsidR="00325923" w:rsidRPr="00B74A55" w:rsidRDefault="00325923" w:rsidP="00BE7B50">
            <w:pPr>
              <w:pStyle w:val="a7"/>
              <w:ind w:left="0"/>
              <w:rPr>
                <w:sz w:val="22"/>
                <w:lang w:val="uk-UA"/>
              </w:rPr>
            </w:pPr>
            <w:r w:rsidRPr="00B74A55">
              <w:rPr>
                <w:sz w:val="22"/>
                <w:lang w:val="uk-UA"/>
              </w:rPr>
              <w:t>-  капітальний ремонт (повний ремонт стелі, стін та підлоги приміщень харчоблоку й обідньої зали, реконструкція каналізації, системи холодного та гарячого водопостачання,</w:t>
            </w:r>
          </w:p>
          <w:p w:rsidR="00325923" w:rsidRPr="00B74A55" w:rsidRDefault="00325923" w:rsidP="00BE7B50">
            <w:pPr>
              <w:pStyle w:val="a7"/>
              <w:ind w:left="0"/>
              <w:rPr>
                <w:sz w:val="22"/>
                <w:lang w:val="uk-UA"/>
              </w:rPr>
            </w:pPr>
            <w:r w:rsidRPr="00B74A55">
              <w:rPr>
                <w:sz w:val="22"/>
                <w:lang w:val="uk-UA"/>
              </w:rPr>
              <w:t xml:space="preserve"> заміна освітлення, встановлення нової витяжки, заміна вікон, дверей, закупівля та встановлення нового оснащення, меблів.                                                                                                                                                                                                                                                                          </w:t>
            </w:r>
          </w:p>
        </w:tc>
      </w:tr>
      <w:tr w:rsidR="00325923" w:rsidRPr="00B74A55" w:rsidTr="00F34B87">
        <w:trPr>
          <w:trHeight w:val="360"/>
        </w:trPr>
        <w:tc>
          <w:tcPr>
            <w:tcW w:w="2978" w:type="dxa"/>
            <w:vMerge w:val="restart"/>
            <w:shd w:val="clear" w:color="auto" w:fill="C6D9F1" w:themeFill="text2" w:themeFillTint="33"/>
          </w:tcPr>
          <w:p w:rsidR="00325923" w:rsidRPr="00B74A55" w:rsidRDefault="00325923" w:rsidP="00BE7B50">
            <w:pPr>
              <w:pStyle w:val="a7"/>
              <w:ind w:left="0"/>
              <w:rPr>
                <w:b/>
                <w:sz w:val="22"/>
                <w:lang w:val="uk-UA"/>
              </w:rPr>
            </w:pPr>
            <w:r w:rsidRPr="00B74A55">
              <w:rPr>
                <w:b/>
                <w:sz w:val="22"/>
                <w:lang w:val="uk-UA"/>
              </w:rPr>
              <w:lastRenderedPageBreak/>
              <w:t xml:space="preserve">Орієнтовний обсяг та джерела фінансування, тис. грн. </w:t>
            </w:r>
          </w:p>
          <w:p w:rsidR="00325923" w:rsidRPr="00B74A55" w:rsidRDefault="00325923" w:rsidP="00BE7B50">
            <w:pPr>
              <w:pStyle w:val="a7"/>
              <w:ind w:left="0"/>
              <w:rPr>
                <w:b/>
                <w:sz w:val="22"/>
                <w:lang w:val="uk-UA"/>
              </w:rPr>
            </w:pPr>
          </w:p>
        </w:tc>
        <w:tc>
          <w:tcPr>
            <w:tcW w:w="1417" w:type="dxa"/>
            <w:tcBorders>
              <w:bottom w:val="single" w:sz="4" w:space="0" w:color="auto"/>
              <w:right w:val="single" w:sz="4" w:space="0" w:color="auto"/>
            </w:tcBorders>
          </w:tcPr>
          <w:p w:rsidR="00325923" w:rsidRPr="00B74A55" w:rsidRDefault="00325923" w:rsidP="00BE7B50">
            <w:pPr>
              <w:pStyle w:val="a7"/>
              <w:ind w:left="0"/>
              <w:jc w:val="center"/>
              <w:rPr>
                <w:b/>
                <w:sz w:val="22"/>
                <w:lang w:val="uk-UA"/>
              </w:rPr>
            </w:pPr>
            <w:r w:rsidRPr="00B74A55">
              <w:rPr>
                <w:b/>
                <w:sz w:val="22"/>
                <w:lang w:val="uk-UA"/>
              </w:rPr>
              <w:t>Державний бюджет</w:t>
            </w:r>
          </w:p>
        </w:tc>
        <w:tc>
          <w:tcPr>
            <w:tcW w:w="1276" w:type="dxa"/>
            <w:tcBorders>
              <w:bottom w:val="single" w:sz="4" w:space="0" w:color="auto"/>
              <w:right w:val="single" w:sz="4" w:space="0" w:color="auto"/>
            </w:tcBorders>
          </w:tcPr>
          <w:p w:rsidR="00325923" w:rsidRPr="00B74A55" w:rsidRDefault="00325923" w:rsidP="00BE7B50">
            <w:pPr>
              <w:pStyle w:val="a7"/>
              <w:ind w:left="0"/>
              <w:jc w:val="center"/>
              <w:rPr>
                <w:b/>
                <w:sz w:val="22"/>
                <w:lang w:val="uk-UA"/>
              </w:rPr>
            </w:pPr>
            <w:r w:rsidRPr="00B74A55">
              <w:rPr>
                <w:b/>
                <w:sz w:val="22"/>
                <w:lang w:val="uk-UA"/>
              </w:rPr>
              <w:t>Місцевий бюджет</w:t>
            </w:r>
          </w:p>
        </w:tc>
        <w:tc>
          <w:tcPr>
            <w:tcW w:w="3263" w:type="dxa"/>
            <w:gridSpan w:val="4"/>
            <w:tcBorders>
              <w:left w:val="single" w:sz="4" w:space="0" w:color="auto"/>
              <w:bottom w:val="single" w:sz="4" w:space="0" w:color="auto"/>
              <w:right w:val="single" w:sz="4" w:space="0" w:color="auto"/>
            </w:tcBorders>
          </w:tcPr>
          <w:p w:rsidR="00325923" w:rsidRPr="00B74A55" w:rsidRDefault="00325923" w:rsidP="00BE7B50">
            <w:pPr>
              <w:pStyle w:val="a7"/>
              <w:ind w:left="0"/>
              <w:jc w:val="center"/>
              <w:rPr>
                <w:b/>
                <w:sz w:val="22"/>
                <w:lang w:val="uk-UA"/>
              </w:rPr>
            </w:pPr>
            <w:r w:rsidRPr="00B74A55">
              <w:rPr>
                <w:b/>
                <w:sz w:val="22"/>
                <w:lang w:val="uk-UA"/>
              </w:rPr>
              <w:t>Інші джерела</w:t>
            </w:r>
          </w:p>
        </w:tc>
        <w:tc>
          <w:tcPr>
            <w:tcW w:w="989" w:type="dxa"/>
            <w:tcBorders>
              <w:left w:val="single" w:sz="4" w:space="0" w:color="auto"/>
              <w:bottom w:val="single" w:sz="4" w:space="0" w:color="auto"/>
            </w:tcBorders>
          </w:tcPr>
          <w:p w:rsidR="00325923" w:rsidRPr="00B74A55" w:rsidRDefault="00325923" w:rsidP="00BE7B50">
            <w:pPr>
              <w:pStyle w:val="a7"/>
              <w:ind w:left="0"/>
              <w:jc w:val="center"/>
              <w:rPr>
                <w:b/>
                <w:sz w:val="22"/>
                <w:lang w:val="uk-UA"/>
              </w:rPr>
            </w:pPr>
            <w:r w:rsidRPr="00B74A55">
              <w:rPr>
                <w:b/>
                <w:sz w:val="22"/>
                <w:lang w:val="uk-UA"/>
              </w:rPr>
              <w:t>Всього</w:t>
            </w:r>
          </w:p>
        </w:tc>
      </w:tr>
      <w:tr w:rsidR="00325923" w:rsidRPr="00B74A55" w:rsidTr="00F34B87">
        <w:trPr>
          <w:trHeight w:val="225"/>
        </w:trPr>
        <w:tc>
          <w:tcPr>
            <w:tcW w:w="2978" w:type="dxa"/>
            <w:vMerge/>
            <w:shd w:val="clear" w:color="auto" w:fill="C6D9F1" w:themeFill="text2" w:themeFillTint="33"/>
          </w:tcPr>
          <w:p w:rsidR="00325923" w:rsidRPr="00B74A55" w:rsidRDefault="00325923" w:rsidP="00BE7B50">
            <w:pPr>
              <w:pStyle w:val="a7"/>
              <w:ind w:left="0"/>
              <w:rPr>
                <w:b/>
                <w:sz w:val="22"/>
                <w:lang w:val="uk-UA"/>
              </w:rPr>
            </w:pPr>
          </w:p>
        </w:tc>
        <w:tc>
          <w:tcPr>
            <w:tcW w:w="1417" w:type="dxa"/>
            <w:vMerge w:val="restart"/>
            <w:tcBorders>
              <w:top w:val="single" w:sz="4" w:space="0" w:color="auto"/>
              <w:right w:val="single" w:sz="4" w:space="0" w:color="auto"/>
            </w:tcBorders>
          </w:tcPr>
          <w:p w:rsidR="00325923" w:rsidRPr="00B74A55" w:rsidRDefault="00325923" w:rsidP="00BE7B50">
            <w:pPr>
              <w:pStyle w:val="a7"/>
              <w:ind w:left="0"/>
              <w:jc w:val="center"/>
              <w:rPr>
                <w:sz w:val="22"/>
                <w:lang w:val="uk-UA"/>
              </w:rPr>
            </w:pPr>
            <w:r w:rsidRPr="00B74A55">
              <w:rPr>
                <w:sz w:val="22"/>
                <w:lang w:val="uk-UA"/>
              </w:rPr>
              <w:t>3000,1</w:t>
            </w:r>
          </w:p>
        </w:tc>
        <w:tc>
          <w:tcPr>
            <w:tcW w:w="1276" w:type="dxa"/>
            <w:vMerge w:val="restart"/>
            <w:tcBorders>
              <w:top w:val="single" w:sz="4" w:space="0" w:color="auto"/>
              <w:right w:val="single" w:sz="4" w:space="0" w:color="auto"/>
            </w:tcBorders>
          </w:tcPr>
          <w:p w:rsidR="00325923" w:rsidRPr="00B74A55" w:rsidRDefault="00325923" w:rsidP="00BE7B50">
            <w:pPr>
              <w:pStyle w:val="a7"/>
              <w:ind w:left="0"/>
              <w:jc w:val="center"/>
              <w:rPr>
                <w:b/>
                <w:sz w:val="22"/>
                <w:lang w:val="uk-UA"/>
              </w:rPr>
            </w:pPr>
            <w:r w:rsidRPr="00B74A55">
              <w:rPr>
                <w:b/>
                <w:sz w:val="22"/>
                <w:lang w:val="uk-UA"/>
              </w:rPr>
              <w:t>-</w:t>
            </w:r>
          </w:p>
        </w:tc>
        <w:tc>
          <w:tcPr>
            <w:tcW w:w="1134" w:type="dxa"/>
            <w:tcBorders>
              <w:top w:val="single" w:sz="4" w:space="0" w:color="auto"/>
              <w:left w:val="single" w:sz="4" w:space="0" w:color="auto"/>
              <w:bottom w:val="single" w:sz="4" w:space="0" w:color="auto"/>
              <w:right w:val="single" w:sz="4" w:space="0" w:color="auto"/>
            </w:tcBorders>
          </w:tcPr>
          <w:p w:rsidR="00325923" w:rsidRPr="00B74A55" w:rsidRDefault="00325923" w:rsidP="00BE7B50">
            <w:pPr>
              <w:pStyle w:val="a7"/>
              <w:ind w:left="0"/>
              <w:jc w:val="center"/>
              <w:rPr>
                <w:b/>
                <w:sz w:val="22"/>
                <w:lang w:val="uk-UA"/>
              </w:rPr>
            </w:pPr>
            <w:r w:rsidRPr="00B74A55">
              <w:rPr>
                <w:b/>
                <w:sz w:val="22"/>
                <w:lang w:val="uk-UA"/>
              </w:rPr>
              <w:t>Обсяг</w:t>
            </w:r>
          </w:p>
        </w:tc>
        <w:tc>
          <w:tcPr>
            <w:tcW w:w="2129" w:type="dxa"/>
            <w:gridSpan w:val="3"/>
            <w:tcBorders>
              <w:top w:val="single" w:sz="4" w:space="0" w:color="auto"/>
              <w:left w:val="single" w:sz="4" w:space="0" w:color="auto"/>
              <w:bottom w:val="single" w:sz="4" w:space="0" w:color="auto"/>
              <w:right w:val="single" w:sz="4" w:space="0" w:color="auto"/>
            </w:tcBorders>
          </w:tcPr>
          <w:p w:rsidR="00325923" w:rsidRPr="00B74A55" w:rsidRDefault="00325923" w:rsidP="00BE7B50">
            <w:pPr>
              <w:pStyle w:val="a7"/>
              <w:ind w:left="0"/>
              <w:jc w:val="center"/>
              <w:rPr>
                <w:b/>
                <w:sz w:val="22"/>
                <w:lang w:val="uk-UA"/>
              </w:rPr>
            </w:pPr>
            <w:r w:rsidRPr="00B74A55">
              <w:rPr>
                <w:b/>
                <w:sz w:val="22"/>
                <w:lang w:val="uk-UA"/>
              </w:rPr>
              <w:t>Назва джерела</w:t>
            </w:r>
          </w:p>
        </w:tc>
        <w:tc>
          <w:tcPr>
            <w:tcW w:w="989" w:type="dxa"/>
            <w:vMerge w:val="restart"/>
            <w:tcBorders>
              <w:top w:val="single" w:sz="4" w:space="0" w:color="auto"/>
              <w:left w:val="single" w:sz="4" w:space="0" w:color="auto"/>
            </w:tcBorders>
          </w:tcPr>
          <w:p w:rsidR="00325923" w:rsidRPr="00B74A55" w:rsidRDefault="00325923" w:rsidP="00BE7B50">
            <w:pPr>
              <w:pStyle w:val="a7"/>
              <w:ind w:left="0"/>
              <w:jc w:val="center"/>
              <w:rPr>
                <w:sz w:val="22"/>
                <w:lang w:val="uk-UA"/>
              </w:rPr>
            </w:pPr>
            <w:r w:rsidRPr="00B74A55">
              <w:rPr>
                <w:sz w:val="22"/>
                <w:lang w:val="uk-UA"/>
              </w:rPr>
              <w:t>3000,1</w:t>
            </w:r>
          </w:p>
        </w:tc>
      </w:tr>
      <w:tr w:rsidR="00325923" w:rsidRPr="00B74A55" w:rsidTr="00F34B87">
        <w:trPr>
          <w:trHeight w:val="300"/>
        </w:trPr>
        <w:tc>
          <w:tcPr>
            <w:tcW w:w="2978" w:type="dxa"/>
            <w:vMerge/>
            <w:shd w:val="clear" w:color="auto" w:fill="C6D9F1" w:themeFill="text2" w:themeFillTint="33"/>
          </w:tcPr>
          <w:p w:rsidR="00325923" w:rsidRPr="00B74A55" w:rsidRDefault="00325923" w:rsidP="00BE7B50">
            <w:pPr>
              <w:pStyle w:val="a7"/>
              <w:ind w:left="0"/>
              <w:rPr>
                <w:b/>
                <w:sz w:val="22"/>
                <w:lang w:val="uk-UA"/>
              </w:rPr>
            </w:pPr>
          </w:p>
        </w:tc>
        <w:tc>
          <w:tcPr>
            <w:tcW w:w="1417" w:type="dxa"/>
            <w:vMerge/>
            <w:tcBorders>
              <w:right w:val="single" w:sz="4" w:space="0" w:color="auto"/>
            </w:tcBorders>
          </w:tcPr>
          <w:p w:rsidR="00325923" w:rsidRPr="00B74A55" w:rsidRDefault="00325923" w:rsidP="00BE7B50">
            <w:pPr>
              <w:pStyle w:val="a7"/>
              <w:ind w:left="0"/>
              <w:jc w:val="center"/>
              <w:rPr>
                <w:sz w:val="22"/>
                <w:lang w:val="uk-UA"/>
              </w:rPr>
            </w:pPr>
          </w:p>
        </w:tc>
        <w:tc>
          <w:tcPr>
            <w:tcW w:w="1276" w:type="dxa"/>
            <w:vMerge/>
            <w:tcBorders>
              <w:right w:val="single" w:sz="4" w:space="0" w:color="auto"/>
            </w:tcBorders>
          </w:tcPr>
          <w:p w:rsidR="00325923" w:rsidRPr="00B74A55" w:rsidRDefault="00325923" w:rsidP="00BE7B50">
            <w:pPr>
              <w:pStyle w:val="a7"/>
              <w:ind w:left="0"/>
              <w:jc w:val="center"/>
              <w:rPr>
                <w:b/>
                <w:sz w:val="22"/>
                <w:lang w:val="uk-UA"/>
              </w:rPr>
            </w:pPr>
          </w:p>
        </w:tc>
        <w:tc>
          <w:tcPr>
            <w:tcW w:w="1134" w:type="dxa"/>
            <w:tcBorders>
              <w:top w:val="single" w:sz="4" w:space="0" w:color="auto"/>
              <w:left w:val="single" w:sz="4" w:space="0" w:color="auto"/>
              <w:right w:val="single" w:sz="4" w:space="0" w:color="auto"/>
            </w:tcBorders>
          </w:tcPr>
          <w:p w:rsidR="00325923" w:rsidRPr="00B74A55" w:rsidRDefault="00325923" w:rsidP="00BE7B50">
            <w:pPr>
              <w:pStyle w:val="a7"/>
              <w:ind w:left="0"/>
              <w:jc w:val="center"/>
              <w:rPr>
                <w:b/>
                <w:sz w:val="22"/>
                <w:lang w:val="uk-UA"/>
              </w:rPr>
            </w:pPr>
          </w:p>
        </w:tc>
        <w:tc>
          <w:tcPr>
            <w:tcW w:w="2129" w:type="dxa"/>
            <w:gridSpan w:val="3"/>
            <w:tcBorders>
              <w:top w:val="single" w:sz="4" w:space="0" w:color="auto"/>
              <w:left w:val="single" w:sz="4" w:space="0" w:color="auto"/>
              <w:right w:val="single" w:sz="4" w:space="0" w:color="auto"/>
            </w:tcBorders>
          </w:tcPr>
          <w:p w:rsidR="00325923" w:rsidRPr="00B74A55" w:rsidRDefault="00325923" w:rsidP="00BE7B50">
            <w:pPr>
              <w:pStyle w:val="a7"/>
              <w:ind w:left="0"/>
              <w:jc w:val="center"/>
              <w:rPr>
                <w:sz w:val="22"/>
                <w:lang w:val="uk-UA"/>
              </w:rPr>
            </w:pPr>
            <w:r w:rsidRPr="00B74A55">
              <w:rPr>
                <w:sz w:val="22"/>
                <w:lang w:val="uk-UA"/>
              </w:rPr>
              <w:t>Міжнародні інвестиції, кошти приватних осіб</w:t>
            </w:r>
          </w:p>
        </w:tc>
        <w:tc>
          <w:tcPr>
            <w:tcW w:w="989" w:type="dxa"/>
            <w:vMerge/>
            <w:tcBorders>
              <w:left w:val="single" w:sz="4" w:space="0" w:color="auto"/>
            </w:tcBorders>
          </w:tcPr>
          <w:p w:rsidR="00325923" w:rsidRPr="00B74A55" w:rsidRDefault="00325923" w:rsidP="00BE7B50">
            <w:pPr>
              <w:pStyle w:val="a7"/>
              <w:ind w:left="0"/>
              <w:jc w:val="center"/>
              <w:rPr>
                <w:sz w:val="22"/>
                <w:lang w:val="uk-UA"/>
              </w:rPr>
            </w:pPr>
          </w:p>
        </w:tc>
      </w:tr>
    </w:tbl>
    <w:p w:rsidR="00832B51" w:rsidRPr="00B74A55" w:rsidRDefault="00832B51" w:rsidP="00E95FB1">
      <w:pPr>
        <w:rPr>
          <w:sz w:val="22"/>
        </w:rPr>
      </w:pPr>
    </w:p>
    <w:p w:rsidR="00BE7B50" w:rsidRPr="00B74A55" w:rsidRDefault="00BE7B50" w:rsidP="00E95FB1">
      <w:pPr>
        <w:rPr>
          <w:sz w:val="22"/>
        </w:rPr>
      </w:pPr>
    </w:p>
    <w:tbl>
      <w:tblPr>
        <w:tblStyle w:val="af"/>
        <w:tblW w:w="0" w:type="auto"/>
        <w:tblInd w:w="-176" w:type="dxa"/>
        <w:tblLayout w:type="fixed"/>
        <w:tblLook w:val="04A0" w:firstRow="1" w:lastRow="0" w:firstColumn="1" w:lastColumn="0" w:noHBand="0" w:noVBand="1"/>
      </w:tblPr>
      <w:tblGrid>
        <w:gridCol w:w="2978"/>
        <w:gridCol w:w="1126"/>
        <w:gridCol w:w="1267"/>
        <w:gridCol w:w="1176"/>
        <w:gridCol w:w="237"/>
        <w:gridCol w:w="1712"/>
        <w:gridCol w:w="1392"/>
      </w:tblGrid>
      <w:tr w:rsidR="00BE7B50" w:rsidRPr="00B74A55" w:rsidTr="00F34B87">
        <w:tc>
          <w:tcPr>
            <w:tcW w:w="2978" w:type="dxa"/>
            <w:shd w:val="clear" w:color="auto" w:fill="C6D9F1" w:themeFill="text2" w:themeFillTint="33"/>
          </w:tcPr>
          <w:p w:rsidR="00BE7B50" w:rsidRPr="00B74A55" w:rsidRDefault="00BE7B50" w:rsidP="00BE7B50">
            <w:pPr>
              <w:pStyle w:val="a7"/>
              <w:ind w:left="0"/>
              <w:rPr>
                <w:b/>
                <w:sz w:val="22"/>
              </w:rPr>
            </w:pPr>
            <w:r w:rsidRPr="00B74A55">
              <w:rPr>
                <w:b/>
                <w:sz w:val="22"/>
              </w:rPr>
              <w:t xml:space="preserve">Оперативна </w:t>
            </w:r>
            <w:proofErr w:type="spellStart"/>
            <w:r w:rsidRPr="00B74A55">
              <w:rPr>
                <w:b/>
                <w:sz w:val="22"/>
              </w:rPr>
              <w:t>ціль</w:t>
            </w:r>
            <w:proofErr w:type="spellEnd"/>
            <w:r w:rsidRPr="00B74A55">
              <w:rPr>
                <w:b/>
                <w:sz w:val="22"/>
              </w:rPr>
              <w:t>/</w:t>
            </w:r>
            <w:proofErr w:type="spellStart"/>
            <w:r w:rsidRPr="00B74A55">
              <w:rPr>
                <w:b/>
                <w:sz w:val="22"/>
              </w:rPr>
              <w:t>завдання</w:t>
            </w:r>
            <w:proofErr w:type="spellEnd"/>
          </w:p>
        </w:tc>
        <w:tc>
          <w:tcPr>
            <w:tcW w:w="6910" w:type="dxa"/>
            <w:gridSpan w:val="6"/>
            <w:shd w:val="clear" w:color="auto" w:fill="auto"/>
          </w:tcPr>
          <w:p w:rsidR="00BE7B50" w:rsidRPr="00B74A55" w:rsidRDefault="00BE7B50" w:rsidP="00BE7B50">
            <w:pPr>
              <w:pStyle w:val="a7"/>
              <w:ind w:left="0"/>
              <w:rPr>
                <w:sz w:val="22"/>
              </w:rPr>
            </w:pPr>
            <w:proofErr w:type="spellStart"/>
            <w:r w:rsidRPr="00B74A55">
              <w:rPr>
                <w:rFonts w:eastAsia="Arial"/>
                <w:sz w:val="22"/>
              </w:rPr>
              <w:t>Людський</w:t>
            </w:r>
            <w:proofErr w:type="spellEnd"/>
            <w:r w:rsidRPr="00B74A55">
              <w:rPr>
                <w:rFonts w:eastAsia="Arial"/>
                <w:sz w:val="22"/>
              </w:rPr>
              <w:t xml:space="preserve"> </w:t>
            </w:r>
            <w:proofErr w:type="spellStart"/>
            <w:r w:rsidRPr="00B74A55">
              <w:rPr>
                <w:rFonts w:eastAsia="Arial"/>
                <w:sz w:val="22"/>
              </w:rPr>
              <w:t>розвиток</w:t>
            </w:r>
            <w:proofErr w:type="spellEnd"/>
            <w:r w:rsidRPr="00B74A55">
              <w:rPr>
                <w:rFonts w:eastAsia="Arial"/>
                <w:sz w:val="22"/>
              </w:rPr>
              <w:t xml:space="preserve"> через </w:t>
            </w:r>
            <w:proofErr w:type="spellStart"/>
            <w:r w:rsidRPr="00B74A55">
              <w:rPr>
                <w:rFonts w:eastAsia="Arial"/>
                <w:sz w:val="22"/>
              </w:rPr>
              <w:t>інновації</w:t>
            </w:r>
            <w:proofErr w:type="spellEnd"/>
            <w:r w:rsidRPr="00B74A55">
              <w:rPr>
                <w:rFonts w:eastAsia="Arial"/>
                <w:sz w:val="22"/>
              </w:rPr>
              <w:t xml:space="preserve"> </w:t>
            </w:r>
            <w:proofErr w:type="spellStart"/>
            <w:r w:rsidRPr="00B74A55">
              <w:rPr>
                <w:rFonts w:eastAsia="Arial"/>
                <w:sz w:val="22"/>
              </w:rPr>
              <w:t>управління</w:t>
            </w:r>
            <w:proofErr w:type="spellEnd"/>
            <w:r w:rsidRPr="00B74A55">
              <w:rPr>
                <w:rFonts w:eastAsia="Arial"/>
                <w:sz w:val="22"/>
              </w:rPr>
              <w:t xml:space="preserve"> та </w:t>
            </w:r>
            <w:proofErr w:type="spellStart"/>
            <w:r w:rsidRPr="00B74A55">
              <w:rPr>
                <w:rFonts w:eastAsia="Arial"/>
                <w:sz w:val="22"/>
              </w:rPr>
              <w:t>довіру</w:t>
            </w:r>
            <w:proofErr w:type="spellEnd"/>
            <w:r w:rsidRPr="00B74A55">
              <w:rPr>
                <w:rFonts w:eastAsia="Arial"/>
                <w:sz w:val="22"/>
              </w:rPr>
              <w:t xml:space="preserve"> до </w:t>
            </w:r>
            <w:proofErr w:type="spellStart"/>
            <w:r w:rsidRPr="00B74A55">
              <w:rPr>
                <w:rFonts w:eastAsia="Arial"/>
                <w:sz w:val="22"/>
              </w:rPr>
              <w:t>влади</w:t>
            </w:r>
            <w:proofErr w:type="spellEnd"/>
            <w:r w:rsidRPr="00B74A55">
              <w:rPr>
                <w:rFonts w:eastAsia="Arial"/>
                <w:sz w:val="22"/>
              </w:rPr>
              <w:t xml:space="preserve">. </w:t>
            </w:r>
            <w:proofErr w:type="spellStart"/>
            <w:r w:rsidRPr="00B74A55">
              <w:rPr>
                <w:rFonts w:eastAsia="Arial"/>
                <w:sz w:val="22"/>
              </w:rPr>
              <w:t>Формування</w:t>
            </w:r>
            <w:proofErr w:type="spellEnd"/>
            <w:r w:rsidRPr="00B74A55">
              <w:rPr>
                <w:rFonts w:eastAsia="Arial"/>
                <w:sz w:val="22"/>
              </w:rPr>
              <w:t xml:space="preserve"> </w:t>
            </w:r>
            <w:proofErr w:type="spellStart"/>
            <w:r w:rsidRPr="00B74A55">
              <w:rPr>
                <w:rFonts w:eastAsia="Arial"/>
                <w:sz w:val="22"/>
              </w:rPr>
              <w:t>сучасного</w:t>
            </w:r>
            <w:proofErr w:type="spellEnd"/>
            <w:r w:rsidRPr="00B74A55">
              <w:rPr>
                <w:rFonts w:eastAsia="Arial"/>
                <w:sz w:val="22"/>
              </w:rPr>
              <w:t xml:space="preserve"> </w:t>
            </w:r>
            <w:proofErr w:type="spellStart"/>
            <w:proofErr w:type="gramStart"/>
            <w:r w:rsidRPr="00B74A55">
              <w:rPr>
                <w:rFonts w:eastAsia="Arial"/>
                <w:sz w:val="22"/>
              </w:rPr>
              <w:t>інклюзивного</w:t>
            </w:r>
            <w:proofErr w:type="spellEnd"/>
            <w:r w:rsidRPr="00B74A55">
              <w:rPr>
                <w:rFonts w:eastAsia="Arial"/>
                <w:sz w:val="22"/>
              </w:rPr>
              <w:t xml:space="preserve">  </w:t>
            </w:r>
            <w:proofErr w:type="spellStart"/>
            <w:r w:rsidRPr="00B74A55">
              <w:rPr>
                <w:rFonts w:eastAsia="Arial"/>
                <w:sz w:val="22"/>
              </w:rPr>
              <w:t>освітньо</w:t>
            </w:r>
            <w:proofErr w:type="spellEnd"/>
            <w:proofErr w:type="gramEnd"/>
            <w:r w:rsidRPr="00B74A55">
              <w:rPr>
                <w:rFonts w:eastAsia="Arial"/>
                <w:sz w:val="22"/>
              </w:rPr>
              <w:t xml:space="preserve">-культурного та спортивного простору для </w:t>
            </w:r>
            <w:proofErr w:type="spellStart"/>
            <w:r w:rsidRPr="00B74A55">
              <w:rPr>
                <w:rFonts w:eastAsia="Arial"/>
                <w:sz w:val="22"/>
              </w:rPr>
              <w:t>розвитку</w:t>
            </w:r>
            <w:proofErr w:type="spellEnd"/>
          </w:p>
        </w:tc>
      </w:tr>
      <w:tr w:rsidR="00BE7B50" w:rsidRPr="00B74A55" w:rsidTr="00F34B87">
        <w:tc>
          <w:tcPr>
            <w:tcW w:w="2978" w:type="dxa"/>
            <w:shd w:val="clear" w:color="auto" w:fill="C6D9F1" w:themeFill="text2" w:themeFillTint="33"/>
          </w:tcPr>
          <w:p w:rsidR="00BE7B50" w:rsidRPr="00B74A55" w:rsidRDefault="00BE7B50" w:rsidP="00BE7B50">
            <w:pPr>
              <w:pStyle w:val="a7"/>
              <w:ind w:left="0"/>
              <w:rPr>
                <w:b/>
                <w:sz w:val="22"/>
              </w:rPr>
            </w:pPr>
            <w:proofErr w:type="spellStart"/>
            <w:r w:rsidRPr="00B74A55">
              <w:rPr>
                <w:b/>
                <w:sz w:val="22"/>
              </w:rPr>
              <w:t>Назва</w:t>
            </w:r>
            <w:proofErr w:type="spellEnd"/>
            <w:r w:rsidRPr="00B74A55">
              <w:rPr>
                <w:b/>
                <w:sz w:val="22"/>
              </w:rPr>
              <w:t xml:space="preserve"> проекту:</w:t>
            </w:r>
          </w:p>
        </w:tc>
        <w:tc>
          <w:tcPr>
            <w:tcW w:w="6910" w:type="dxa"/>
            <w:gridSpan w:val="6"/>
          </w:tcPr>
          <w:p w:rsidR="00BE7B50" w:rsidRPr="00B74A55" w:rsidRDefault="00BE7B50" w:rsidP="00BE7B50">
            <w:pPr>
              <w:pStyle w:val="a7"/>
              <w:ind w:left="0"/>
              <w:rPr>
                <w:sz w:val="22"/>
              </w:rPr>
            </w:pPr>
            <w:proofErr w:type="spellStart"/>
            <w:r w:rsidRPr="00B74A55">
              <w:rPr>
                <w:sz w:val="22"/>
              </w:rPr>
              <w:t>Відновлення</w:t>
            </w:r>
            <w:proofErr w:type="spellEnd"/>
            <w:r w:rsidRPr="00B74A55">
              <w:rPr>
                <w:sz w:val="22"/>
              </w:rPr>
              <w:t xml:space="preserve"> </w:t>
            </w:r>
            <w:proofErr w:type="spellStart"/>
            <w:r w:rsidRPr="00B74A55">
              <w:rPr>
                <w:sz w:val="22"/>
              </w:rPr>
              <w:t>діяльності</w:t>
            </w:r>
            <w:proofErr w:type="spellEnd"/>
            <w:r w:rsidRPr="00B74A55">
              <w:rPr>
                <w:sz w:val="22"/>
              </w:rPr>
              <w:t xml:space="preserve"> </w:t>
            </w:r>
            <w:proofErr w:type="spellStart"/>
            <w:r w:rsidRPr="00B74A55">
              <w:rPr>
                <w:sz w:val="22"/>
              </w:rPr>
              <w:t>Гімназії</w:t>
            </w:r>
            <w:proofErr w:type="spellEnd"/>
            <w:r w:rsidRPr="00B74A55">
              <w:rPr>
                <w:sz w:val="22"/>
              </w:rPr>
              <w:t xml:space="preserve"> № 10 </w:t>
            </w:r>
            <w:proofErr w:type="spellStart"/>
            <w:r w:rsidRPr="00B74A55">
              <w:rPr>
                <w:sz w:val="22"/>
              </w:rPr>
              <w:t>міста</w:t>
            </w:r>
            <w:proofErr w:type="spellEnd"/>
            <w:r w:rsidRPr="00B74A55">
              <w:rPr>
                <w:sz w:val="22"/>
              </w:rPr>
              <w:t xml:space="preserve"> </w:t>
            </w:r>
            <w:proofErr w:type="spellStart"/>
            <w:r w:rsidRPr="00B74A55">
              <w:rPr>
                <w:sz w:val="22"/>
              </w:rPr>
              <w:t>Сєвєродонецька</w:t>
            </w:r>
            <w:proofErr w:type="spellEnd"/>
            <w:r w:rsidRPr="00B74A55">
              <w:rPr>
                <w:sz w:val="22"/>
              </w:rPr>
              <w:t xml:space="preserve"> </w:t>
            </w:r>
            <w:proofErr w:type="spellStart"/>
            <w:r w:rsidRPr="00B74A55">
              <w:rPr>
                <w:sz w:val="22"/>
              </w:rPr>
              <w:t>Луганської</w:t>
            </w:r>
            <w:proofErr w:type="spellEnd"/>
            <w:r w:rsidRPr="00B74A55">
              <w:rPr>
                <w:sz w:val="22"/>
              </w:rPr>
              <w:t xml:space="preserve"> </w:t>
            </w:r>
            <w:proofErr w:type="spellStart"/>
            <w:r w:rsidRPr="00B74A55">
              <w:rPr>
                <w:sz w:val="22"/>
              </w:rPr>
              <w:t>області</w:t>
            </w:r>
            <w:proofErr w:type="spellEnd"/>
            <w:r w:rsidRPr="00B74A55">
              <w:rPr>
                <w:sz w:val="22"/>
              </w:rPr>
              <w:t xml:space="preserve">, бульвар </w:t>
            </w:r>
            <w:proofErr w:type="spellStart"/>
            <w:r w:rsidRPr="00B74A55">
              <w:rPr>
                <w:sz w:val="22"/>
              </w:rPr>
              <w:t>Дружби</w:t>
            </w:r>
            <w:proofErr w:type="spellEnd"/>
            <w:r w:rsidRPr="00B74A55">
              <w:rPr>
                <w:sz w:val="22"/>
              </w:rPr>
              <w:t xml:space="preserve"> </w:t>
            </w:r>
            <w:proofErr w:type="spellStart"/>
            <w:r w:rsidRPr="00B74A55">
              <w:rPr>
                <w:sz w:val="22"/>
              </w:rPr>
              <w:t>Народів</w:t>
            </w:r>
            <w:proofErr w:type="spellEnd"/>
            <w:r w:rsidRPr="00B74A55">
              <w:rPr>
                <w:sz w:val="22"/>
              </w:rPr>
              <w:t>, буд. 47</w:t>
            </w:r>
          </w:p>
        </w:tc>
      </w:tr>
      <w:tr w:rsidR="00BE7B50" w:rsidRPr="00B74A55" w:rsidTr="00F34B87">
        <w:tc>
          <w:tcPr>
            <w:tcW w:w="2978" w:type="dxa"/>
            <w:shd w:val="clear" w:color="auto" w:fill="C6D9F1" w:themeFill="text2" w:themeFillTint="33"/>
          </w:tcPr>
          <w:p w:rsidR="00BE7B50" w:rsidRPr="00B74A55" w:rsidRDefault="00BE7B50" w:rsidP="00BE7B50">
            <w:pPr>
              <w:rPr>
                <w:b/>
                <w:sz w:val="22"/>
              </w:rPr>
            </w:pPr>
            <w:proofErr w:type="spellStart"/>
            <w:r w:rsidRPr="00B74A55">
              <w:rPr>
                <w:b/>
                <w:sz w:val="22"/>
              </w:rPr>
              <w:t>Ціль</w:t>
            </w:r>
            <w:proofErr w:type="spellEnd"/>
            <w:r w:rsidRPr="00B74A55">
              <w:rPr>
                <w:b/>
                <w:sz w:val="22"/>
              </w:rPr>
              <w:t xml:space="preserve"> проекту</w:t>
            </w:r>
          </w:p>
        </w:tc>
        <w:tc>
          <w:tcPr>
            <w:tcW w:w="6910" w:type="dxa"/>
            <w:gridSpan w:val="6"/>
          </w:tcPr>
          <w:p w:rsidR="00BE7B50" w:rsidRPr="00B74A55" w:rsidRDefault="00BE7B50" w:rsidP="00BE7B50">
            <w:pPr>
              <w:pStyle w:val="a7"/>
              <w:ind w:left="0"/>
              <w:rPr>
                <w:sz w:val="22"/>
              </w:rPr>
            </w:pPr>
            <w:proofErr w:type="spellStart"/>
            <w:r w:rsidRPr="00B74A55">
              <w:rPr>
                <w:sz w:val="22"/>
              </w:rPr>
              <w:t>Створення</w:t>
            </w:r>
            <w:proofErr w:type="spellEnd"/>
            <w:r w:rsidRPr="00B74A55">
              <w:rPr>
                <w:sz w:val="22"/>
              </w:rPr>
              <w:t xml:space="preserve"> </w:t>
            </w:r>
            <w:proofErr w:type="spellStart"/>
            <w:r w:rsidRPr="00B74A55">
              <w:rPr>
                <w:sz w:val="22"/>
              </w:rPr>
              <w:t>сучасних</w:t>
            </w:r>
            <w:proofErr w:type="spellEnd"/>
            <w:r w:rsidRPr="00B74A55">
              <w:rPr>
                <w:sz w:val="22"/>
              </w:rPr>
              <w:t xml:space="preserve"> </w:t>
            </w:r>
            <w:proofErr w:type="spellStart"/>
            <w:r w:rsidRPr="00B74A55">
              <w:rPr>
                <w:sz w:val="22"/>
              </w:rPr>
              <w:t>безпечних</w:t>
            </w:r>
            <w:proofErr w:type="spellEnd"/>
            <w:r w:rsidRPr="00B74A55">
              <w:rPr>
                <w:sz w:val="22"/>
              </w:rPr>
              <w:t xml:space="preserve"> умов та </w:t>
            </w:r>
            <w:proofErr w:type="spellStart"/>
            <w:r w:rsidRPr="00B74A55">
              <w:rPr>
                <w:sz w:val="22"/>
              </w:rPr>
              <w:t>освітнього</w:t>
            </w:r>
            <w:proofErr w:type="spellEnd"/>
            <w:r w:rsidRPr="00B74A55">
              <w:rPr>
                <w:sz w:val="22"/>
              </w:rPr>
              <w:t xml:space="preserve"> </w:t>
            </w:r>
            <w:proofErr w:type="spellStart"/>
            <w:r w:rsidRPr="00B74A55">
              <w:rPr>
                <w:sz w:val="22"/>
              </w:rPr>
              <w:t>середовища</w:t>
            </w:r>
            <w:proofErr w:type="spellEnd"/>
            <w:r w:rsidRPr="00B74A55">
              <w:rPr>
                <w:sz w:val="22"/>
              </w:rPr>
              <w:t xml:space="preserve"> для </w:t>
            </w:r>
            <w:proofErr w:type="spellStart"/>
            <w:r w:rsidRPr="00B74A55">
              <w:rPr>
                <w:sz w:val="22"/>
              </w:rPr>
              <w:t>отримання</w:t>
            </w:r>
            <w:proofErr w:type="spellEnd"/>
            <w:r w:rsidRPr="00B74A55">
              <w:rPr>
                <w:sz w:val="22"/>
              </w:rPr>
              <w:t xml:space="preserve"> </w:t>
            </w:r>
            <w:proofErr w:type="spellStart"/>
            <w:r w:rsidRPr="00B74A55">
              <w:rPr>
                <w:sz w:val="22"/>
              </w:rPr>
              <w:t>початкової</w:t>
            </w:r>
            <w:proofErr w:type="spellEnd"/>
            <w:r w:rsidRPr="00B74A55">
              <w:rPr>
                <w:sz w:val="22"/>
              </w:rPr>
              <w:t xml:space="preserve"> та </w:t>
            </w:r>
            <w:proofErr w:type="spellStart"/>
            <w:r w:rsidRPr="00B74A55">
              <w:rPr>
                <w:sz w:val="22"/>
              </w:rPr>
              <w:t>базової</w:t>
            </w:r>
            <w:proofErr w:type="spellEnd"/>
            <w:r w:rsidRPr="00B74A55">
              <w:rPr>
                <w:sz w:val="22"/>
              </w:rPr>
              <w:t xml:space="preserve"> </w:t>
            </w:r>
            <w:proofErr w:type="spellStart"/>
            <w:r w:rsidRPr="00B74A55">
              <w:rPr>
                <w:sz w:val="22"/>
              </w:rPr>
              <w:t>середньої</w:t>
            </w:r>
            <w:proofErr w:type="spellEnd"/>
            <w:r w:rsidRPr="00B74A55">
              <w:rPr>
                <w:sz w:val="22"/>
              </w:rPr>
              <w:t xml:space="preserve"> </w:t>
            </w:r>
            <w:proofErr w:type="spellStart"/>
            <w:r w:rsidRPr="00B74A55">
              <w:rPr>
                <w:sz w:val="22"/>
              </w:rPr>
              <w:t>освіти</w:t>
            </w:r>
            <w:proofErr w:type="spellEnd"/>
            <w:r w:rsidRPr="00B74A55">
              <w:rPr>
                <w:sz w:val="22"/>
              </w:rPr>
              <w:t xml:space="preserve">. </w:t>
            </w:r>
            <w:proofErr w:type="spellStart"/>
            <w:r w:rsidRPr="00B74A55">
              <w:rPr>
                <w:sz w:val="22"/>
              </w:rPr>
              <w:t>Надання</w:t>
            </w:r>
            <w:proofErr w:type="spellEnd"/>
            <w:r w:rsidRPr="00B74A55">
              <w:rPr>
                <w:sz w:val="22"/>
              </w:rPr>
              <w:t xml:space="preserve"> широкого спектру </w:t>
            </w:r>
            <w:proofErr w:type="spellStart"/>
            <w:r w:rsidRPr="00B74A55">
              <w:rPr>
                <w:sz w:val="22"/>
              </w:rPr>
              <w:t>послуг</w:t>
            </w:r>
            <w:proofErr w:type="spellEnd"/>
            <w:r w:rsidRPr="00B74A55">
              <w:rPr>
                <w:sz w:val="22"/>
              </w:rPr>
              <w:t xml:space="preserve">, </w:t>
            </w:r>
            <w:proofErr w:type="spellStart"/>
            <w:r w:rsidRPr="00B74A55">
              <w:rPr>
                <w:sz w:val="22"/>
              </w:rPr>
              <w:t>пов’язаних</w:t>
            </w:r>
            <w:proofErr w:type="spellEnd"/>
            <w:r w:rsidRPr="00B74A55">
              <w:rPr>
                <w:sz w:val="22"/>
              </w:rPr>
              <w:t xml:space="preserve"> </w:t>
            </w:r>
            <w:proofErr w:type="spellStart"/>
            <w:r w:rsidRPr="00B74A55">
              <w:rPr>
                <w:sz w:val="22"/>
              </w:rPr>
              <w:t>із</w:t>
            </w:r>
            <w:proofErr w:type="spellEnd"/>
            <w:r w:rsidRPr="00B74A55">
              <w:rPr>
                <w:sz w:val="22"/>
              </w:rPr>
              <w:t xml:space="preserve"> </w:t>
            </w:r>
            <w:proofErr w:type="spellStart"/>
            <w:r w:rsidRPr="00B74A55">
              <w:rPr>
                <w:sz w:val="22"/>
              </w:rPr>
              <w:t>освітньою</w:t>
            </w:r>
            <w:proofErr w:type="spellEnd"/>
            <w:r w:rsidRPr="00B74A55">
              <w:rPr>
                <w:sz w:val="22"/>
              </w:rPr>
              <w:t xml:space="preserve"> </w:t>
            </w:r>
            <w:proofErr w:type="spellStart"/>
            <w:r w:rsidRPr="00B74A55">
              <w:rPr>
                <w:sz w:val="22"/>
              </w:rPr>
              <w:t>діяльністю</w:t>
            </w:r>
            <w:proofErr w:type="spellEnd"/>
            <w:r w:rsidRPr="00B74A55">
              <w:rPr>
                <w:sz w:val="22"/>
              </w:rPr>
              <w:t xml:space="preserve"> та </w:t>
            </w:r>
            <w:proofErr w:type="spellStart"/>
            <w:r w:rsidRPr="00B74A55">
              <w:rPr>
                <w:sz w:val="22"/>
              </w:rPr>
              <w:t>задоволення</w:t>
            </w:r>
            <w:proofErr w:type="spellEnd"/>
            <w:r w:rsidRPr="00B74A55">
              <w:rPr>
                <w:sz w:val="22"/>
              </w:rPr>
              <w:t xml:space="preserve"> потреб </w:t>
            </w:r>
            <w:proofErr w:type="spellStart"/>
            <w:r w:rsidRPr="00B74A55">
              <w:rPr>
                <w:sz w:val="22"/>
              </w:rPr>
              <w:t>мешканців</w:t>
            </w:r>
            <w:proofErr w:type="spellEnd"/>
            <w:r w:rsidRPr="00B74A55">
              <w:rPr>
                <w:sz w:val="22"/>
              </w:rPr>
              <w:t xml:space="preserve"> </w:t>
            </w:r>
            <w:proofErr w:type="spellStart"/>
            <w:r w:rsidRPr="00B74A55">
              <w:rPr>
                <w:sz w:val="22"/>
              </w:rPr>
              <w:t>Сєвєродонецької</w:t>
            </w:r>
            <w:proofErr w:type="spellEnd"/>
            <w:r w:rsidRPr="00B74A55">
              <w:rPr>
                <w:sz w:val="22"/>
              </w:rPr>
              <w:t xml:space="preserve"> </w:t>
            </w:r>
            <w:proofErr w:type="spellStart"/>
            <w:r w:rsidRPr="00B74A55">
              <w:rPr>
                <w:sz w:val="22"/>
              </w:rPr>
              <w:t>міської</w:t>
            </w:r>
            <w:proofErr w:type="spellEnd"/>
            <w:r w:rsidRPr="00B74A55">
              <w:rPr>
                <w:sz w:val="22"/>
              </w:rPr>
              <w:t xml:space="preserve"> </w:t>
            </w:r>
            <w:proofErr w:type="spellStart"/>
            <w:r w:rsidRPr="00B74A55">
              <w:rPr>
                <w:sz w:val="22"/>
              </w:rPr>
              <w:t>територіальної</w:t>
            </w:r>
            <w:proofErr w:type="spellEnd"/>
            <w:r w:rsidRPr="00B74A55">
              <w:rPr>
                <w:sz w:val="22"/>
              </w:rPr>
              <w:t xml:space="preserve"> </w:t>
            </w:r>
            <w:proofErr w:type="spellStart"/>
            <w:r w:rsidRPr="00B74A55">
              <w:rPr>
                <w:sz w:val="22"/>
              </w:rPr>
              <w:t>громади</w:t>
            </w:r>
            <w:proofErr w:type="spellEnd"/>
            <w:r w:rsidRPr="00B74A55">
              <w:rPr>
                <w:sz w:val="22"/>
              </w:rPr>
              <w:t xml:space="preserve"> у </w:t>
            </w:r>
            <w:proofErr w:type="spellStart"/>
            <w:r w:rsidRPr="00B74A55">
              <w:rPr>
                <w:sz w:val="22"/>
              </w:rPr>
              <w:t>необхідних</w:t>
            </w:r>
            <w:proofErr w:type="spellEnd"/>
            <w:r w:rsidRPr="00B74A55">
              <w:rPr>
                <w:sz w:val="22"/>
              </w:rPr>
              <w:t xml:space="preserve"> </w:t>
            </w:r>
            <w:proofErr w:type="spellStart"/>
            <w:r w:rsidRPr="00B74A55">
              <w:rPr>
                <w:sz w:val="22"/>
              </w:rPr>
              <w:t>послугах</w:t>
            </w:r>
            <w:proofErr w:type="spellEnd"/>
            <w:r w:rsidRPr="00B74A55">
              <w:rPr>
                <w:sz w:val="22"/>
              </w:rPr>
              <w:t>.</w:t>
            </w:r>
          </w:p>
        </w:tc>
      </w:tr>
      <w:tr w:rsidR="00BE7B50" w:rsidRPr="00B74A55" w:rsidTr="00F34B87">
        <w:tc>
          <w:tcPr>
            <w:tcW w:w="2978" w:type="dxa"/>
            <w:shd w:val="clear" w:color="auto" w:fill="C6D9F1" w:themeFill="text2" w:themeFillTint="33"/>
          </w:tcPr>
          <w:p w:rsidR="00BE7B50" w:rsidRPr="00B74A55" w:rsidRDefault="00BE7B50" w:rsidP="00BE7B50">
            <w:pPr>
              <w:pStyle w:val="a7"/>
              <w:ind w:left="0"/>
              <w:rPr>
                <w:b/>
                <w:sz w:val="22"/>
              </w:rPr>
            </w:pPr>
            <w:proofErr w:type="spellStart"/>
            <w:r w:rsidRPr="00B74A55">
              <w:rPr>
                <w:b/>
                <w:sz w:val="22"/>
              </w:rPr>
              <w:t>Територія</w:t>
            </w:r>
            <w:proofErr w:type="spellEnd"/>
            <w:r w:rsidRPr="00B74A55">
              <w:rPr>
                <w:b/>
                <w:sz w:val="22"/>
              </w:rPr>
              <w:t xml:space="preserve">, </w:t>
            </w:r>
            <w:proofErr w:type="gramStart"/>
            <w:r w:rsidRPr="00B74A55">
              <w:rPr>
                <w:b/>
                <w:sz w:val="22"/>
              </w:rPr>
              <w:t>на яку</w:t>
            </w:r>
            <w:proofErr w:type="gramEnd"/>
            <w:r w:rsidRPr="00B74A55">
              <w:rPr>
                <w:b/>
                <w:sz w:val="22"/>
              </w:rPr>
              <w:t xml:space="preserve"> </w:t>
            </w:r>
            <w:proofErr w:type="spellStart"/>
            <w:r w:rsidRPr="00B74A55">
              <w:rPr>
                <w:b/>
                <w:sz w:val="22"/>
              </w:rPr>
              <w:t>матиме</w:t>
            </w:r>
            <w:proofErr w:type="spellEnd"/>
            <w:r w:rsidRPr="00B74A55">
              <w:rPr>
                <w:b/>
                <w:sz w:val="22"/>
              </w:rPr>
              <w:t xml:space="preserve"> </w:t>
            </w:r>
            <w:proofErr w:type="spellStart"/>
            <w:r w:rsidRPr="00B74A55">
              <w:rPr>
                <w:b/>
                <w:sz w:val="22"/>
              </w:rPr>
              <w:t>вплив</w:t>
            </w:r>
            <w:proofErr w:type="spellEnd"/>
            <w:r w:rsidRPr="00B74A55">
              <w:rPr>
                <w:b/>
                <w:sz w:val="22"/>
              </w:rPr>
              <w:t xml:space="preserve"> </w:t>
            </w:r>
            <w:proofErr w:type="spellStart"/>
            <w:r w:rsidRPr="00B74A55">
              <w:rPr>
                <w:b/>
                <w:sz w:val="22"/>
              </w:rPr>
              <w:t>реалізація</w:t>
            </w:r>
            <w:proofErr w:type="spellEnd"/>
            <w:r w:rsidRPr="00B74A55">
              <w:rPr>
                <w:b/>
                <w:sz w:val="22"/>
              </w:rPr>
              <w:t xml:space="preserve"> проекту</w:t>
            </w:r>
          </w:p>
        </w:tc>
        <w:tc>
          <w:tcPr>
            <w:tcW w:w="6910" w:type="dxa"/>
            <w:gridSpan w:val="6"/>
          </w:tcPr>
          <w:p w:rsidR="00BE7B50" w:rsidRPr="00B74A55" w:rsidRDefault="00BE7B50" w:rsidP="00BE7B50">
            <w:pPr>
              <w:pStyle w:val="a7"/>
              <w:ind w:left="0"/>
              <w:rPr>
                <w:sz w:val="22"/>
              </w:rPr>
            </w:pPr>
            <w:proofErr w:type="spellStart"/>
            <w:r w:rsidRPr="00B74A55">
              <w:rPr>
                <w:sz w:val="22"/>
              </w:rPr>
              <w:t>Сєвєродонецька</w:t>
            </w:r>
            <w:proofErr w:type="spellEnd"/>
            <w:r w:rsidRPr="00B74A55">
              <w:rPr>
                <w:sz w:val="22"/>
              </w:rPr>
              <w:t xml:space="preserve"> </w:t>
            </w:r>
            <w:proofErr w:type="spellStart"/>
            <w:r w:rsidRPr="00B74A55">
              <w:rPr>
                <w:sz w:val="22"/>
              </w:rPr>
              <w:t>міська</w:t>
            </w:r>
            <w:proofErr w:type="spellEnd"/>
            <w:r w:rsidRPr="00B74A55">
              <w:rPr>
                <w:sz w:val="22"/>
              </w:rPr>
              <w:t xml:space="preserve"> </w:t>
            </w:r>
            <w:proofErr w:type="spellStart"/>
            <w:r w:rsidRPr="00B74A55">
              <w:rPr>
                <w:sz w:val="22"/>
              </w:rPr>
              <w:t>територіальна</w:t>
            </w:r>
            <w:proofErr w:type="spellEnd"/>
            <w:r w:rsidRPr="00B74A55">
              <w:rPr>
                <w:sz w:val="22"/>
              </w:rPr>
              <w:t xml:space="preserve"> громада</w:t>
            </w:r>
          </w:p>
        </w:tc>
      </w:tr>
      <w:tr w:rsidR="00BE7B50" w:rsidRPr="00B74A55" w:rsidTr="00F34B87">
        <w:tc>
          <w:tcPr>
            <w:tcW w:w="2978" w:type="dxa"/>
            <w:shd w:val="clear" w:color="auto" w:fill="C6D9F1" w:themeFill="text2" w:themeFillTint="33"/>
          </w:tcPr>
          <w:p w:rsidR="00BE7B50" w:rsidRPr="00B74A55" w:rsidRDefault="00BE7B50" w:rsidP="00BE7B50">
            <w:pPr>
              <w:pStyle w:val="a7"/>
              <w:ind w:left="0"/>
              <w:rPr>
                <w:b/>
                <w:sz w:val="22"/>
              </w:rPr>
            </w:pPr>
            <w:proofErr w:type="spellStart"/>
            <w:r w:rsidRPr="00B74A55">
              <w:rPr>
                <w:b/>
                <w:sz w:val="22"/>
              </w:rPr>
              <w:t>Чисельність</w:t>
            </w:r>
            <w:proofErr w:type="spellEnd"/>
            <w:r w:rsidRPr="00B74A55">
              <w:rPr>
                <w:b/>
                <w:sz w:val="22"/>
              </w:rPr>
              <w:t xml:space="preserve"> </w:t>
            </w:r>
            <w:proofErr w:type="spellStart"/>
            <w:r w:rsidRPr="00B74A55">
              <w:rPr>
                <w:b/>
                <w:sz w:val="22"/>
              </w:rPr>
              <w:t>населення</w:t>
            </w:r>
            <w:proofErr w:type="spellEnd"/>
            <w:r w:rsidRPr="00B74A55">
              <w:rPr>
                <w:b/>
                <w:sz w:val="22"/>
              </w:rPr>
              <w:t xml:space="preserve">, на яке </w:t>
            </w:r>
            <w:proofErr w:type="spellStart"/>
            <w:r w:rsidRPr="00B74A55">
              <w:rPr>
                <w:b/>
                <w:sz w:val="22"/>
              </w:rPr>
              <w:t>матиме</w:t>
            </w:r>
            <w:proofErr w:type="spellEnd"/>
            <w:r w:rsidRPr="00B74A55">
              <w:rPr>
                <w:b/>
                <w:sz w:val="22"/>
              </w:rPr>
              <w:t xml:space="preserve"> </w:t>
            </w:r>
            <w:proofErr w:type="spellStart"/>
            <w:r w:rsidRPr="00B74A55">
              <w:rPr>
                <w:b/>
                <w:sz w:val="22"/>
              </w:rPr>
              <w:t>вплив</w:t>
            </w:r>
            <w:proofErr w:type="spellEnd"/>
            <w:r w:rsidRPr="00B74A55">
              <w:rPr>
                <w:b/>
                <w:sz w:val="22"/>
              </w:rPr>
              <w:t xml:space="preserve"> </w:t>
            </w:r>
            <w:proofErr w:type="spellStart"/>
            <w:r w:rsidRPr="00B74A55">
              <w:rPr>
                <w:b/>
                <w:sz w:val="22"/>
              </w:rPr>
              <w:t>реалізація</w:t>
            </w:r>
            <w:proofErr w:type="spellEnd"/>
            <w:r w:rsidRPr="00B74A55">
              <w:rPr>
                <w:b/>
                <w:sz w:val="22"/>
              </w:rPr>
              <w:t xml:space="preserve"> проекту</w:t>
            </w:r>
          </w:p>
        </w:tc>
        <w:tc>
          <w:tcPr>
            <w:tcW w:w="6910" w:type="dxa"/>
            <w:gridSpan w:val="6"/>
          </w:tcPr>
          <w:p w:rsidR="00BE7B50" w:rsidRPr="00B74A55" w:rsidRDefault="00BE7B50" w:rsidP="00BE7B50">
            <w:pPr>
              <w:pStyle w:val="a7"/>
              <w:ind w:left="0"/>
              <w:rPr>
                <w:sz w:val="22"/>
              </w:rPr>
            </w:pPr>
            <w:r w:rsidRPr="00B74A55">
              <w:rPr>
                <w:sz w:val="22"/>
              </w:rPr>
              <w:t xml:space="preserve"> 70 </w:t>
            </w:r>
            <w:proofErr w:type="gramStart"/>
            <w:r w:rsidRPr="00B74A55">
              <w:rPr>
                <w:sz w:val="22"/>
              </w:rPr>
              <w:t xml:space="preserve">000  </w:t>
            </w:r>
            <w:proofErr w:type="spellStart"/>
            <w:r w:rsidRPr="00B74A55">
              <w:rPr>
                <w:sz w:val="22"/>
              </w:rPr>
              <w:t>осіб</w:t>
            </w:r>
            <w:proofErr w:type="spellEnd"/>
            <w:proofErr w:type="gramEnd"/>
          </w:p>
        </w:tc>
      </w:tr>
      <w:tr w:rsidR="00BE7B50" w:rsidRPr="00B74A55" w:rsidTr="00F34B87">
        <w:tc>
          <w:tcPr>
            <w:tcW w:w="2978" w:type="dxa"/>
            <w:shd w:val="clear" w:color="auto" w:fill="C6D9F1" w:themeFill="text2" w:themeFillTint="33"/>
          </w:tcPr>
          <w:p w:rsidR="00BE7B50" w:rsidRPr="00B74A55" w:rsidRDefault="00BE7B50" w:rsidP="00BE7B50">
            <w:pPr>
              <w:rPr>
                <w:b/>
                <w:sz w:val="22"/>
              </w:rPr>
            </w:pPr>
            <w:proofErr w:type="spellStart"/>
            <w:r w:rsidRPr="00B74A55">
              <w:rPr>
                <w:b/>
                <w:sz w:val="22"/>
              </w:rPr>
              <w:t>Опис</w:t>
            </w:r>
            <w:proofErr w:type="spellEnd"/>
            <w:r w:rsidRPr="00B74A55">
              <w:rPr>
                <w:b/>
                <w:sz w:val="22"/>
              </w:rPr>
              <w:t xml:space="preserve"> </w:t>
            </w:r>
            <w:proofErr w:type="spellStart"/>
            <w:r w:rsidRPr="00B74A55">
              <w:rPr>
                <w:b/>
                <w:sz w:val="22"/>
              </w:rPr>
              <w:t>проблеми</w:t>
            </w:r>
            <w:proofErr w:type="spellEnd"/>
            <w:r w:rsidRPr="00B74A55">
              <w:rPr>
                <w:b/>
                <w:sz w:val="22"/>
              </w:rPr>
              <w:t xml:space="preserve">, на </w:t>
            </w:r>
            <w:proofErr w:type="spellStart"/>
            <w:r w:rsidRPr="00B74A55">
              <w:rPr>
                <w:b/>
                <w:sz w:val="22"/>
              </w:rPr>
              <w:t>вирішення</w:t>
            </w:r>
            <w:proofErr w:type="spellEnd"/>
            <w:r w:rsidRPr="00B74A55">
              <w:rPr>
                <w:b/>
                <w:sz w:val="22"/>
              </w:rPr>
              <w:t xml:space="preserve"> </w:t>
            </w:r>
            <w:proofErr w:type="spellStart"/>
            <w:proofErr w:type="gramStart"/>
            <w:r w:rsidRPr="00B74A55">
              <w:rPr>
                <w:b/>
                <w:sz w:val="22"/>
              </w:rPr>
              <w:t>якої</w:t>
            </w:r>
            <w:proofErr w:type="spellEnd"/>
            <w:r w:rsidRPr="00B74A55">
              <w:rPr>
                <w:b/>
                <w:sz w:val="22"/>
              </w:rPr>
              <w:t xml:space="preserve">  </w:t>
            </w:r>
            <w:proofErr w:type="spellStart"/>
            <w:r w:rsidRPr="00B74A55">
              <w:rPr>
                <w:b/>
                <w:sz w:val="22"/>
              </w:rPr>
              <w:t>спрямований</w:t>
            </w:r>
            <w:proofErr w:type="spellEnd"/>
            <w:proofErr w:type="gramEnd"/>
            <w:r w:rsidRPr="00B74A55">
              <w:rPr>
                <w:b/>
                <w:sz w:val="22"/>
              </w:rPr>
              <w:t xml:space="preserve"> проект</w:t>
            </w:r>
          </w:p>
        </w:tc>
        <w:tc>
          <w:tcPr>
            <w:tcW w:w="6910" w:type="dxa"/>
            <w:gridSpan w:val="6"/>
          </w:tcPr>
          <w:p w:rsidR="00BE7B50" w:rsidRPr="00B74A55" w:rsidRDefault="00BE7B50" w:rsidP="00BE7B50">
            <w:pPr>
              <w:pStyle w:val="13"/>
              <w:jc w:val="both"/>
              <w:rPr>
                <w:sz w:val="22"/>
                <w:lang w:val="uk-UA"/>
              </w:rPr>
            </w:pPr>
            <w:r w:rsidRPr="00B74A55">
              <w:rPr>
                <w:sz w:val="22"/>
              </w:rPr>
              <w:t xml:space="preserve">Через </w:t>
            </w:r>
            <w:proofErr w:type="spellStart"/>
            <w:r w:rsidRPr="00B74A55">
              <w:rPr>
                <w:sz w:val="22"/>
              </w:rPr>
              <w:t>військову</w:t>
            </w:r>
            <w:proofErr w:type="spellEnd"/>
            <w:r w:rsidRPr="00B74A55">
              <w:rPr>
                <w:sz w:val="22"/>
              </w:rPr>
              <w:t xml:space="preserve"> </w:t>
            </w:r>
            <w:proofErr w:type="spellStart"/>
            <w:r w:rsidRPr="00B74A55">
              <w:rPr>
                <w:sz w:val="22"/>
              </w:rPr>
              <w:t>агресію</w:t>
            </w:r>
            <w:proofErr w:type="spellEnd"/>
            <w:r w:rsidRPr="00B74A55">
              <w:rPr>
                <w:sz w:val="22"/>
              </w:rPr>
              <w:t xml:space="preserve"> РФ </w:t>
            </w:r>
            <w:proofErr w:type="spellStart"/>
            <w:r w:rsidRPr="00B74A55">
              <w:rPr>
                <w:sz w:val="22"/>
              </w:rPr>
              <w:t>територія</w:t>
            </w:r>
            <w:proofErr w:type="spellEnd"/>
            <w:r w:rsidRPr="00B74A55">
              <w:rPr>
                <w:sz w:val="22"/>
              </w:rPr>
              <w:t xml:space="preserve"> </w:t>
            </w:r>
            <w:proofErr w:type="spellStart"/>
            <w:r w:rsidRPr="00B74A55">
              <w:rPr>
                <w:sz w:val="22"/>
              </w:rPr>
              <w:t>Сєвєродонецької</w:t>
            </w:r>
            <w:proofErr w:type="spellEnd"/>
            <w:r w:rsidRPr="00B74A55">
              <w:rPr>
                <w:sz w:val="22"/>
              </w:rPr>
              <w:t xml:space="preserve"> </w:t>
            </w:r>
            <w:proofErr w:type="spellStart"/>
            <w:r w:rsidRPr="00B74A55">
              <w:rPr>
                <w:sz w:val="22"/>
              </w:rPr>
              <w:t>міської</w:t>
            </w:r>
            <w:proofErr w:type="spellEnd"/>
            <w:r w:rsidRPr="00B74A55">
              <w:rPr>
                <w:sz w:val="22"/>
              </w:rPr>
              <w:t xml:space="preserve"> </w:t>
            </w:r>
            <w:proofErr w:type="spellStart"/>
            <w:r w:rsidRPr="00B74A55">
              <w:rPr>
                <w:sz w:val="22"/>
              </w:rPr>
              <w:t>територіальної</w:t>
            </w:r>
            <w:proofErr w:type="spellEnd"/>
            <w:r w:rsidRPr="00B74A55">
              <w:rPr>
                <w:sz w:val="22"/>
              </w:rPr>
              <w:t xml:space="preserve"> </w:t>
            </w:r>
            <w:proofErr w:type="spellStart"/>
            <w:r w:rsidRPr="00B74A55">
              <w:rPr>
                <w:sz w:val="22"/>
              </w:rPr>
              <w:t>громади</w:t>
            </w:r>
            <w:proofErr w:type="spellEnd"/>
            <w:r w:rsidRPr="00B74A55">
              <w:rPr>
                <w:sz w:val="22"/>
              </w:rPr>
              <w:t xml:space="preserve"> </w:t>
            </w:r>
            <w:proofErr w:type="spellStart"/>
            <w:r w:rsidRPr="00B74A55">
              <w:rPr>
                <w:sz w:val="22"/>
              </w:rPr>
              <w:t>зазнала</w:t>
            </w:r>
            <w:proofErr w:type="spellEnd"/>
            <w:r w:rsidRPr="00B74A55">
              <w:rPr>
                <w:sz w:val="22"/>
              </w:rPr>
              <w:t xml:space="preserve"> </w:t>
            </w:r>
            <w:proofErr w:type="spellStart"/>
            <w:r w:rsidRPr="00B74A55">
              <w:rPr>
                <w:sz w:val="22"/>
              </w:rPr>
              <w:t>значних</w:t>
            </w:r>
            <w:proofErr w:type="spellEnd"/>
            <w:r w:rsidRPr="00B74A55">
              <w:rPr>
                <w:sz w:val="22"/>
              </w:rPr>
              <w:t xml:space="preserve"> </w:t>
            </w:r>
            <w:proofErr w:type="spellStart"/>
            <w:r w:rsidRPr="00B74A55">
              <w:rPr>
                <w:sz w:val="22"/>
              </w:rPr>
              <w:t>пошкоджень</w:t>
            </w:r>
            <w:proofErr w:type="spellEnd"/>
            <w:r w:rsidRPr="00B74A55">
              <w:rPr>
                <w:sz w:val="22"/>
              </w:rPr>
              <w:t xml:space="preserve">. Не </w:t>
            </w:r>
            <w:proofErr w:type="spellStart"/>
            <w:r w:rsidRPr="00B74A55">
              <w:rPr>
                <w:sz w:val="22"/>
              </w:rPr>
              <w:t>оминуло</w:t>
            </w:r>
            <w:proofErr w:type="spellEnd"/>
            <w:r w:rsidRPr="00B74A55">
              <w:rPr>
                <w:sz w:val="22"/>
              </w:rPr>
              <w:t xml:space="preserve"> це і </w:t>
            </w:r>
            <w:r w:rsidRPr="00B74A55">
              <w:rPr>
                <w:sz w:val="22"/>
                <w:lang w:val="uk-UA"/>
              </w:rPr>
              <w:t>Гімназію № 10. Необхідно провести заходи з відновлення будівлі.</w:t>
            </w:r>
          </w:p>
          <w:p w:rsidR="00BE7B50" w:rsidRPr="00B74A55" w:rsidRDefault="00BE7B50" w:rsidP="00BE7B50">
            <w:pPr>
              <w:pStyle w:val="13"/>
              <w:jc w:val="both"/>
              <w:rPr>
                <w:sz w:val="22"/>
                <w:lang w:val="uk-UA"/>
              </w:rPr>
            </w:pPr>
            <w:r w:rsidRPr="00B74A55">
              <w:rPr>
                <w:sz w:val="22"/>
                <w:lang w:val="uk-UA"/>
              </w:rPr>
              <w:t xml:space="preserve">Ліквідування наслідків влучень артилерійських снарядів у несучі конструкції будівлі, ремонт даху та перекриття, ремонт внутрішніх перегородок, навчальних, адміністративних та службових приміщень, заміна віконних склопакетів, інженерних мереж та утеплення фасадних стін. Відновлення матеріально-технічної бази закладу за допомогою використання сучасного обладнання, матеріалів та технологій </w:t>
            </w:r>
          </w:p>
          <w:p w:rsidR="00BE7B50" w:rsidRPr="00B74A55" w:rsidRDefault="00BE7B50" w:rsidP="00BE7B50">
            <w:pPr>
              <w:ind w:firstLine="708"/>
              <w:rPr>
                <w:sz w:val="22"/>
              </w:rPr>
            </w:pPr>
            <w:proofErr w:type="spellStart"/>
            <w:r w:rsidRPr="00B74A55">
              <w:rPr>
                <w:sz w:val="22"/>
              </w:rPr>
              <w:t>Постраждала</w:t>
            </w:r>
            <w:proofErr w:type="spellEnd"/>
            <w:r w:rsidRPr="00B74A55">
              <w:rPr>
                <w:sz w:val="22"/>
              </w:rPr>
              <w:t xml:space="preserve"> </w:t>
            </w:r>
            <w:proofErr w:type="spellStart"/>
            <w:r w:rsidRPr="00B74A55">
              <w:rPr>
                <w:sz w:val="22"/>
              </w:rPr>
              <w:t>матеріально-технічна</w:t>
            </w:r>
            <w:proofErr w:type="spellEnd"/>
            <w:r w:rsidRPr="00B74A55">
              <w:rPr>
                <w:sz w:val="22"/>
              </w:rPr>
              <w:t xml:space="preserve"> база </w:t>
            </w:r>
            <w:proofErr w:type="spellStart"/>
            <w:r w:rsidRPr="00B74A55">
              <w:rPr>
                <w:sz w:val="22"/>
              </w:rPr>
              <w:t>Гімназії</w:t>
            </w:r>
            <w:proofErr w:type="spellEnd"/>
            <w:r w:rsidRPr="00B74A55">
              <w:rPr>
                <w:sz w:val="22"/>
              </w:rPr>
              <w:t xml:space="preserve"> № 10, </w:t>
            </w:r>
            <w:proofErr w:type="spellStart"/>
            <w:r w:rsidRPr="00B74A55">
              <w:rPr>
                <w:sz w:val="22"/>
              </w:rPr>
              <w:t>зокрема</w:t>
            </w:r>
            <w:proofErr w:type="spellEnd"/>
            <w:r w:rsidRPr="00B74A55">
              <w:rPr>
                <w:sz w:val="22"/>
              </w:rPr>
              <w:t>:</w:t>
            </w:r>
          </w:p>
          <w:p w:rsidR="00BE7B50" w:rsidRPr="00B74A55" w:rsidRDefault="00BE7B50" w:rsidP="000303D7">
            <w:pPr>
              <w:numPr>
                <w:ilvl w:val="0"/>
                <w:numId w:val="9"/>
              </w:numPr>
              <w:rPr>
                <w:sz w:val="22"/>
              </w:rPr>
            </w:pPr>
            <w:proofErr w:type="spellStart"/>
            <w:r w:rsidRPr="00B74A55">
              <w:rPr>
                <w:sz w:val="22"/>
              </w:rPr>
              <w:t>обладнання</w:t>
            </w:r>
            <w:proofErr w:type="spellEnd"/>
            <w:r w:rsidRPr="00B74A55">
              <w:rPr>
                <w:sz w:val="22"/>
              </w:rPr>
              <w:t xml:space="preserve"> (</w:t>
            </w:r>
            <w:proofErr w:type="spellStart"/>
            <w:r w:rsidRPr="00B74A55">
              <w:rPr>
                <w:sz w:val="22"/>
              </w:rPr>
              <w:t>устаткування</w:t>
            </w:r>
            <w:proofErr w:type="spellEnd"/>
            <w:r w:rsidRPr="00B74A55">
              <w:rPr>
                <w:sz w:val="22"/>
              </w:rPr>
              <w:t xml:space="preserve">): </w:t>
            </w:r>
            <w:proofErr w:type="spellStart"/>
            <w:r w:rsidRPr="00B74A55">
              <w:rPr>
                <w:sz w:val="22"/>
              </w:rPr>
              <w:t>одномісні</w:t>
            </w:r>
            <w:proofErr w:type="spellEnd"/>
            <w:r w:rsidRPr="00B74A55">
              <w:rPr>
                <w:sz w:val="22"/>
              </w:rPr>
              <w:t xml:space="preserve"> парти, </w:t>
            </w:r>
            <w:proofErr w:type="spellStart"/>
            <w:r w:rsidRPr="00B74A55">
              <w:rPr>
                <w:sz w:val="22"/>
              </w:rPr>
              <w:t>стільці</w:t>
            </w:r>
            <w:proofErr w:type="spellEnd"/>
            <w:r w:rsidRPr="00B74A55">
              <w:rPr>
                <w:sz w:val="22"/>
              </w:rPr>
              <w:t xml:space="preserve">, </w:t>
            </w:r>
            <w:proofErr w:type="spellStart"/>
            <w:r w:rsidRPr="00B74A55">
              <w:rPr>
                <w:sz w:val="22"/>
              </w:rPr>
              <w:t>інтерактивні</w:t>
            </w:r>
            <w:proofErr w:type="spellEnd"/>
            <w:r w:rsidRPr="00B74A55">
              <w:rPr>
                <w:sz w:val="22"/>
              </w:rPr>
              <w:t xml:space="preserve"> </w:t>
            </w:r>
            <w:proofErr w:type="spellStart"/>
            <w:r w:rsidRPr="00B74A55">
              <w:rPr>
                <w:sz w:val="22"/>
              </w:rPr>
              <w:t>дошки</w:t>
            </w:r>
            <w:proofErr w:type="spellEnd"/>
            <w:r w:rsidRPr="00B74A55">
              <w:rPr>
                <w:sz w:val="22"/>
              </w:rPr>
              <w:t xml:space="preserve">, </w:t>
            </w:r>
            <w:proofErr w:type="spellStart"/>
            <w:r w:rsidRPr="00B74A55">
              <w:rPr>
                <w:sz w:val="22"/>
              </w:rPr>
              <w:t>проєктори</w:t>
            </w:r>
            <w:proofErr w:type="spellEnd"/>
            <w:r w:rsidRPr="00B74A55">
              <w:rPr>
                <w:sz w:val="22"/>
              </w:rPr>
              <w:t xml:space="preserve">, ноутбуки, система </w:t>
            </w:r>
            <w:proofErr w:type="spellStart"/>
            <w:r w:rsidRPr="00B74A55">
              <w:rPr>
                <w:sz w:val="22"/>
              </w:rPr>
              <w:t>відеоспостереження</w:t>
            </w:r>
            <w:proofErr w:type="spellEnd"/>
            <w:r w:rsidRPr="00B74A55">
              <w:rPr>
                <w:sz w:val="22"/>
              </w:rPr>
              <w:t xml:space="preserve"> та </w:t>
            </w:r>
            <w:proofErr w:type="spellStart"/>
            <w:r w:rsidRPr="00B74A55">
              <w:rPr>
                <w:sz w:val="22"/>
              </w:rPr>
              <w:t>інтернетна</w:t>
            </w:r>
            <w:proofErr w:type="spellEnd"/>
            <w:r w:rsidRPr="00B74A55">
              <w:rPr>
                <w:sz w:val="22"/>
              </w:rPr>
              <w:t xml:space="preserve"> мережа, </w:t>
            </w:r>
            <w:proofErr w:type="spellStart"/>
            <w:r w:rsidRPr="00B74A55">
              <w:rPr>
                <w:sz w:val="22"/>
              </w:rPr>
              <w:t>вчительські</w:t>
            </w:r>
            <w:proofErr w:type="spellEnd"/>
            <w:r w:rsidRPr="00B74A55">
              <w:rPr>
                <w:sz w:val="22"/>
              </w:rPr>
              <w:t xml:space="preserve"> </w:t>
            </w:r>
            <w:proofErr w:type="spellStart"/>
            <w:r w:rsidRPr="00B74A55">
              <w:rPr>
                <w:sz w:val="22"/>
              </w:rPr>
              <w:t>столи</w:t>
            </w:r>
            <w:proofErr w:type="spellEnd"/>
            <w:r w:rsidRPr="00B74A55">
              <w:rPr>
                <w:sz w:val="22"/>
              </w:rPr>
              <w:t xml:space="preserve"> та </w:t>
            </w:r>
            <w:proofErr w:type="spellStart"/>
            <w:r w:rsidRPr="00B74A55">
              <w:rPr>
                <w:sz w:val="22"/>
              </w:rPr>
              <w:t>стільці</w:t>
            </w:r>
            <w:proofErr w:type="spellEnd"/>
            <w:r w:rsidRPr="00B74A55">
              <w:rPr>
                <w:sz w:val="22"/>
              </w:rPr>
              <w:t xml:space="preserve">, </w:t>
            </w:r>
            <w:proofErr w:type="spellStart"/>
            <w:r w:rsidRPr="00B74A55">
              <w:rPr>
                <w:sz w:val="22"/>
              </w:rPr>
              <w:t>кабінетні</w:t>
            </w:r>
            <w:proofErr w:type="spellEnd"/>
            <w:r w:rsidRPr="00B74A55">
              <w:rPr>
                <w:sz w:val="22"/>
              </w:rPr>
              <w:t xml:space="preserve"> </w:t>
            </w:r>
            <w:proofErr w:type="spellStart"/>
            <w:r w:rsidRPr="00B74A55">
              <w:rPr>
                <w:sz w:val="22"/>
              </w:rPr>
              <w:t>шафи</w:t>
            </w:r>
            <w:proofErr w:type="spellEnd"/>
            <w:r w:rsidRPr="00B74A55">
              <w:rPr>
                <w:sz w:val="22"/>
              </w:rPr>
              <w:t xml:space="preserve">, </w:t>
            </w:r>
            <w:proofErr w:type="spellStart"/>
            <w:r w:rsidRPr="00B74A55">
              <w:rPr>
                <w:sz w:val="22"/>
              </w:rPr>
              <w:t>устаткування</w:t>
            </w:r>
            <w:proofErr w:type="spellEnd"/>
            <w:r w:rsidRPr="00B74A55">
              <w:rPr>
                <w:sz w:val="22"/>
              </w:rPr>
              <w:t xml:space="preserve"> </w:t>
            </w:r>
            <w:proofErr w:type="spellStart"/>
            <w:r w:rsidRPr="00B74A55">
              <w:rPr>
                <w:sz w:val="22"/>
              </w:rPr>
              <w:t>спеціалізованих</w:t>
            </w:r>
            <w:proofErr w:type="spellEnd"/>
            <w:r w:rsidRPr="00B74A55">
              <w:rPr>
                <w:sz w:val="22"/>
              </w:rPr>
              <w:t xml:space="preserve"> </w:t>
            </w:r>
            <w:proofErr w:type="spellStart"/>
            <w:r w:rsidRPr="00B74A55">
              <w:rPr>
                <w:sz w:val="22"/>
              </w:rPr>
              <w:t>кабінетів</w:t>
            </w:r>
            <w:proofErr w:type="spellEnd"/>
            <w:r w:rsidRPr="00B74A55">
              <w:rPr>
                <w:sz w:val="22"/>
              </w:rPr>
              <w:t xml:space="preserve"> </w:t>
            </w:r>
            <w:proofErr w:type="spellStart"/>
            <w:r w:rsidRPr="00B74A55">
              <w:rPr>
                <w:sz w:val="22"/>
              </w:rPr>
              <w:t>хімії</w:t>
            </w:r>
            <w:proofErr w:type="spellEnd"/>
            <w:r w:rsidRPr="00B74A55">
              <w:rPr>
                <w:sz w:val="22"/>
              </w:rPr>
              <w:t xml:space="preserve">, </w:t>
            </w:r>
            <w:proofErr w:type="spellStart"/>
            <w:r w:rsidRPr="00B74A55">
              <w:rPr>
                <w:sz w:val="22"/>
              </w:rPr>
              <w:t>фізики</w:t>
            </w:r>
            <w:proofErr w:type="spellEnd"/>
            <w:r w:rsidRPr="00B74A55">
              <w:rPr>
                <w:sz w:val="22"/>
              </w:rPr>
              <w:t xml:space="preserve">, трудового </w:t>
            </w:r>
            <w:proofErr w:type="spellStart"/>
            <w:r w:rsidRPr="00B74A55">
              <w:rPr>
                <w:sz w:val="22"/>
              </w:rPr>
              <w:t>навчання</w:t>
            </w:r>
            <w:proofErr w:type="spellEnd"/>
            <w:r w:rsidRPr="00B74A55">
              <w:rPr>
                <w:sz w:val="22"/>
              </w:rPr>
              <w:t xml:space="preserve">, </w:t>
            </w:r>
            <w:proofErr w:type="spellStart"/>
            <w:r w:rsidRPr="00B74A55">
              <w:rPr>
                <w:sz w:val="22"/>
              </w:rPr>
              <w:t>шкільної</w:t>
            </w:r>
            <w:proofErr w:type="spellEnd"/>
            <w:r w:rsidRPr="00B74A55">
              <w:rPr>
                <w:sz w:val="22"/>
              </w:rPr>
              <w:t xml:space="preserve"> </w:t>
            </w:r>
            <w:proofErr w:type="spellStart"/>
            <w:r w:rsidRPr="00B74A55">
              <w:rPr>
                <w:sz w:val="22"/>
              </w:rPr>
              <w:t>їдальні</w:t>
            </w:r>
            <w:proofErr w:type="spellEnd"/>
            <w:r w:rsidRPr="00B74A55">
              <w:rPr>
                <w:sz w:val="22"/>
              </w:rPr>
              <w:t xml:space="preserve">, </w:t>
            </w:r>
            <w:proofErr w:type="spellStart"/>
            <w:r w:rsidRPr="00B74A55">
              <w:rPr>
                <w:sz w:val="22"/>
              </w:rPr>
              <w:t>спортивної</w:t>
            </w:r>
            <w:proofErr w:type="spellEnd"/>
            <w:r w:rsidRPr="00B74A55">
              <w:rPr>
                <w:sz w:val="22"/>
              </w:rPr>
              <w:t xml:space="preserve"> </w:t>
            </w:r>
            <w:proofErr w:type="spellStart"/>
            <w:r w:rsidRPr="00B74A55">
              <w:rPr>
                <w:sz w:val="22"/>
              </w:rPr>
              <w:t>зали</w:t>
            </w:r>
            <w:proofErr w:type="spellEnd"/>
            <w:r w:rsidRPr="00B74A55">
              <w:rPr>
                <w:sz w:val="22"/>
              </w:rPr>
              <w:t xml:space="preserve">, двух </w:t>
            </w:r>
            <w:proofErr w:type="spellStart"/>
            <w:r w:rsidRPr="00B74A55">
              <w:rPr>
                <w:sz w:val="22"/>
              </w:rPr>
              <w:t>комп’ютерних</w:t>
            </w:r>
            <w:proofErr w:type="spellEnd"/>
            <w:r w:rsidRPr="00B74A55">
              <w:rPr>
                <w:sz w:val="22"/>
              </w:rPr>
              <w:t xml:space="preserve"> </w:t>
            </w:r>
            <w:proofErr w:type="spellStart"/>
            <w:r w:rsidRPr="00B74A55">
              <w:rPr>
                <w:sz w:val="22"/>
              </w:rPr>
              <w:t>кабінетів</w:t>
            </w:r>
            <w:proofErr w:type="spellEnd"/>
            <w:r w:rsidRPr="00B74A55">
              <w:rPr>
                <w:sz w:val="22"/>
              </w:rPr>
              <w:t xml:space="preserve">, </w:t>
            </w:r>
            <w:proofErr w:type="spellStart"/>
            <w:r w:rsidRPr="00B74A55">
              <w:rPr>
                <w:sz w:val="22"/>
              </w:rPr>
              <w:t>медичного</w:t>
            </w:r>
            <w:proofErr w:type="spellEnd"/>
            <w:r w:rsidRPr="00B74A55">
              <w:rPr>
                <w:sz w:val="22"/>
              </w:rPr>
              <w:t xml:space="preserve"> </w:t>
            </w:r>
            <w:proofErr w:type="spellStart"/>
            <w:r w:rsidRPr="00B74A55">
              <w:rPr>
                <w:sz w:val="22"/>
              </w:rPr>
              <w:t>кабінету</w:t>
            </w:r>
            <w:proofErr w:type="spellEnd"/>
            <w:r w:rsidRPr="00B74A55">
              <w:rPr>
                <w:sz w:val="22"/>
              </w:rPr>
              <w:t xml:space="preserve">, </w:t>
            </w:r>
            <w:proofErr w:type="spellStart"/>
            <w:r w:rsidRPr="00B74A55">
              <w:rPr>
                <w:sz w:val="22"/>
              </w:rPr>
              <w:t>ресурсної</w:t>
            </w:r>
            <w:proofErr w:type="spellEnd"/>
            <w:r w:rsidRPr="00B74A55">
              <w:rPr>
                <w:sz w:val="22"/>
              </w:rPr>
              <w:t xml:space="preserve"> </w:t>
            </w:r>
            <w:proofErr w:type="spellStart"/>
            <w:r w:rsidRPr="00B74A55">
              <w:rPr>
                <w:sz w:val="22"/>
              </w:rPr>
              <w:t>кімнати</w:t>
            </w:r>
            <w:proofErr w:type="spellEnd"/>
            <w:r w:rsidRPr="00B74A55">
              <w:rPr>
                <w:sz w:val="22"/>
              </w:rPr>
              <w:t xml:space="preserve"> для </w:t>
            </w:r>
            <w:proofErr w:type="spellStart"/>
            <w:r w:rsidRPr="00B74A55">
              <w:rPr>
                <w:sz w:val="22"/>
              </w:rPr>
              <w:t>інклюзивної</w:t>
            </w:r>
            <w:proofErr w:type="spellEnd"/>
            <w:r w:rsidRPr="00B74A55">
              <w:rPr>
                <w:sz w:val="22"/>
              </w:rPr>
              <w:t xml:space="preserve"> </w:t>
            </w:r>
            <w:proofErr w:type="spellStart"/>
            <w:r w:rsidRPr="00B74A55">
              <w:rPr>
                <w:sz w:val="22"/>
              </w:rPr>
              <w:t>освіти</w:t>
            </w:r>
            <w:proofErr w:type="spellEnd"/>
            <w:r w:rsidRPr="00B74A55">
              <w:rPr>
                <w:sz w:val="22"/>
              </w:rPr>
              <w:t xml:space="preserve">, </w:t>
            </w:r>
            <w:proofErr w:type="spellStart"/>
            <w:r w:rsidRPr="00B74A55">
              <w:rPr>
                <w:sz w:val="22"/>
              </w:rPr>
              <w:t>шкільної</w:t>
            </w:r>
            <w:proofErr w:type="spellEnd"/>
            <w:r w:rsidRPr="00B74A55">
              <w:rPr>
                <w:sz w:val="22"/>
              </w:rPr>
              <w:t xml:space="preserve"> </w:t>
            </w:r>
            <w:proofErr w:type="spellStart"/>
            <w:r w:rsidRPr="00B74A55">
              <w:rPr>
                <w:sz w:val="22"/>
              </w:rPr>
              <w:t>бібліотеки</w:t>
            </w:r>
            <w:proofErr w:type="spellEnd"/>
            <w:r w:rsidRPr="00B74A55">
              <w:rPr>
                <w:sz w:val="22"/>
              </w:rPr>
              <w:t xml:space="preserve">, </w:t>
            </w:r>
            <w:proofErr w:type="spellStart"/>
            <w:r w:rsidRPr="00B74A55">
              <w:rPr>
                <w:sz w:val="22"/>
              </w:rPr>
              <w:t>актової</w:t>
            </w:r>
            <w:proofErr w:type="spellEnd"/>
            <w:r w:rsidRPr="00B74A55">
              <w:rPr>
                <w:sz w:val="22"/>
              </w:rPr>
              <w:t xml:space="preserve"> </w:t>
            </w:r>
            <w:proofErr w:type="spellStart"/>
            <w:r w:rsidRPr="00B74A55">
              <w:rPr>
                <w:sz w:val="22"/>
              </w:rPr>
              <w:t>зали</w:t>
            </w:r>
            <w:proofErr w:type="spellEnd"/>
            <w:r w:rsidRPr="00B74A55">
              <w:rPr>
                <w:sz w:val="22"/>
              </w:rPr>
              <w:t xml:space="preserve">, </w:t>
            </w:r>
            <w:proofErr w:type="spellStart"/>
            <w:r w:rsidRPr="00B74A55">
              <w:rPr>
                <w:sz w:val="22"/>
              </w:rPr>
              <w:t>бомбосховища</w:t>
            </w:r>
            <w:proofErr w:type="spellEnd"/>
            <w:r w:rsidRPr="00B74A55">
              <w:rPr>
                <w:sz w:val="22"/>
              </w:rPr>
              <w:t xml:space="preserve">, </w:t>
            </w:r>
            <w:proofErr w:type="spellStart"/>
            <w:r w:rsidRPr="00B74A55">
              <w:rPr>
                <w:sz w:val="22"/>
              </w:rPr>
              <w:t>їдальні</w:t>
            </w:r>
            <w:proofErr w:type="spellEnd"/>
            <w:r w:rsidRPr="00B74A55">
              <w:rPr>
                <w:sz w:val="22"/>
              </w:rPr>
              <w:t>;</w:t>
            </w:r>
          </w:p>
          <w:p w:rsidR="00BE7B50" w:rsidRPr="00B74A55" w:rsidRDefault="00BE7B50" w:rsidP="000303D7">
            <w:pPr>
              <w:numPr>
                <w:ilvl w:val="0"/>
                <w:numId w:val="9"/>
              </w:numPr>
              <w:rPr>
                <w:sz w:val="22"/>
              </w:rPr>
            </w:pPr>
            <w:proofErr w:type="spellStart"/>
            <w:r w:rsidRPr="00B74A55">
              <w:rPr>
                <w:sz w:val="22"/>
              </w:rPr>
              <w:t>обчислювальна</w:t>
            </w:r>
            <w:proofErr w:type="spellEnd"/>
            <w:r w:rsidRPr="00B74A55">
              <w:rPr>
                <w:sz w:val="22"/>
              </w:rPr>
              <w:t xml:space="preserve"> </w:t>
            </w:r>
            <w:proofErr w:type="spellStart"/>
            <w:r w:rsidRPr="00B74A55">
              <w:rPr>
                <w:sz w:val="22"/>
              </w:rPr>
              <w:t>техніка</w:t>
            </w:r>
            <w:proofErr w:type="spellEnd"/>
            <w:r w:rsidRPr="00B74A55">
              <w:rPr>
                <w:sz w:val="22"/>
              </w:rPr>
              <w:t xml:space="preserve"> </w:t>
            </w:r>
            <w:proofErr w:type="spellStart"/>
            <w:r w:rsidRPr="00B74A55">
              <w:rPr>
                <w:sz w:val="22"/>
              </w:rPr>
              <w:t>із</w:t>
            </w:r>
            <w:proofErr w:type="spellEnd"/>
            <w:r w:rsidRPr="00B74A55">
              <w:rPr>
                <w:sz w:val="22"/>
              </w:rPr>
              <w:t xml:space="preserve"> </w:t>
            </w:r>
            <w:proofErr w:type="spellStart"/>
            <w:r w:rsidRPr="00B74A55">
              <w:rPr>
                <w:sz w:val="22"/>
              </w:rPr>
              <w:t>відповідним</w:t>
            </w:r>
            <w:proofErr w:type="spellEnd"/>
            <w:r w:rsidRPr="00B74A55">
              <w:rPr>
                <w:sz w:val="22"/>
              </w:rPr>
              <w:t xml:space="preserve"> </w:t>
            </w:r>
            <w:proofErr w:type="spellStart"/>
            <w:r w:rsidRPr="00B74A55">
              <w:rPr>
                <w:sz w:val="22"/>
              </w:rPr>
              <w:t>програмним</w:t>
            </w:r>
            <w:proofErr w:type="spellEnd"/>
            <w:r w:rsidRPr="00B74A55">
              <w:rPr>
                <w:sz w:val="22"/>
              </w:rPr>
              <w:t xml:space="preserve"> </w:t>
            </w:r>
            <w:proofErr w:type="spellStart"/>
            <w:r w:rsidRPr="00B74A55">
              <w:rPr>
                <w:sz w:val="22"/>
              </w:rPr>
              <w:t>забезпеченням</w:t>
            </w:r>
            <w:proofErr w:type="spellEnd"/>
            <w:r w:rsidRPr="00B74A55">
              <w:rPr>
                <w:sz w:val="22"/>
              </w:rPr>
              <w:t>;</w:t>
            </w:r>
          </w:p>
          <w:p w:rsidR="00BE7B50" w:rsidRPr="00B74A55" w:rsidRDefault="00BE7B50" w:rsidP="000303D7">
            <w:pPr>
              <w:numPr>
                <w:ilvl w:val="0"/>
                <w:numId w:val="9"/>
              </w:numPr>
              <w:rPr>
                <w:sz w:val="22"/>
              </w:rPr>
            </w:pPr>
            <w:proofErr w:type="spellStart"/>
            <w:r w:rsidRPr="00B74A55">
              <w:rPr>
                <w:sz w:val="22"/>
              </w:rPr>
              <w:t>обладнання</w:t>
            </w:r>
            <w:proofErr w:type="spellEnd"/>
            <w:r w:rsidRPr="00B74A55">
              <w:rPr>
                <w:sz w:val="22"/>
              </w:rPr>
              <w:t xml:space="preserve">, </w:t>
            </w:r>
            <w:proofErr w:type="spellStart"/>
            <w:r w:rsidRPr="00B74A55">
              <w:rPr>
                <w:sz w:val="22"/>
              </w:rPr>
              <w:t>устаткування</w:t>
            </w:r>
            <w:proofErr w:type="spellEnd"/>
            <w:r w:rsidRPr="00B74A55">
              <w:rPr>
                <w:sz w:val="22"/>
              </w:rPr>
              <w:t xml:space="preserve"> та </w:t>
            </w:r>
            <w:proofErr w:type="spellStart"/>
            <w:r w:rsidRPr="00B74A55">
              <w:rPr>
                <w:sz w:val="22"/>
              </w:rPr>
              <w:t>інструмент</w:t>
            </w:r>
            <w:proofErr w:type="spellEnd"/>
            <w:r w:rsidRPr="00B74A55">
              <w:rPr>
                <w:sz w:val="22"/>
              </w:rPr>
              <w:t xml:space="preserve"> </w:t>
            </w:r>
            <w:proofErr w:type="spellStart"/>
            <w:r w:rsidRPr="00B74A55">
              <w:rPr>
                <w:sz w:val="22"/>
              </w:rPr>
              <w:t>майстерні</w:t>
            </w:r>
            <w:proofErr w:type="spellEnd"/>
            <w:r w:rsidRPr="00B74A55">
              <w:rPr>
                <w:sz w:val="22"/>
              </w:rPr>
              <w:t xml:space="preserve"> з </w:t>
            </w:r>
            <w:proofErr w:type="spellStart"/>
            <w:r w:rsidRPr="00B74A55">
              <w:rPr>
                <w:sz w:val="22"/>
              </w:rPr>
              <w:t>технічної</w:t>
            </w:r>
            <w:proofErr w:type="spellEnd"/>
            <w:r w:rsidRPr="00B74A55">
              <w:rPr>
                <w:sz w:val="22"/>
              </w:rPr>
              <w:t xml:space="preserve"> </w:t>
            </w:r>
            <w:proofErr w:type="spellStart"/>
            <w:r w:rsidRPr="00B74A55">
              <w:rPr>
                <w:sz w:val="22"/>
              </w:rPr>
              <w:t>праці</w:t>
            </w:r>
            <w:proofErr w:type="spellEnd"/>
            <w:r w:rsidRPr="00B74A55">
              <w:rPr>
                <w:sz w:val="22"/>
              </w:rPr>
              <w:t>;</w:t>
            </w:r>
          </w:p>
          <w:p w:rsidR="00BE7B50" w:rsidRPr="00B74A55" w:rsidRDefault="00BE7B50" w:rsidP="000303D7">
            <w:pPr>
              <w:numPr>
                <w:ilvl w:val="0"/>
                <w:numId w:val="9"/>
              </w:numPr>
              <w:rPr>
                <w:sz w:val="22"/>
              </w:rPr>
            </w:pPr>
            <w:proofErr w:type="spellStart"/>
            <w:r w:rsidRPr="00B74A55">
              <w:rPr>
                <w:sz w:val="22"/>
              </w:rPr>
              <w:t>обладнання</w:t>
            </w:r>
            <w:proofErr w:type="spellEnd"/>
            <w:r w:rsidRPr="00B74A55">
              <w:rPr>
                <w:sz w:val="22"/>
              </w:rPr>
              <w:t xml:space="preserve">, </w:t>
            </w:r>
            <w:proofErr w:type="spellStart"/>
            <w:r w:rsidRPr="00B74A55">
              <w:rPr>
                <w:sz w:val="22"/>
              </w:rPr>
              <w:t>устаткування</w:t>
            </w:r>
            <w:proofErr w:type="spellEnd"/>
            <w:r w:rsidRPr="00B74A55">
              <w:rPr>
                <w:sz w:val="22"/>
              </w:rPr>
              <w:t xml:space="preserve"> та </w:t>
            </w:r>
            <w:proofErr w:type="spellStart"/>
            <w:proofErr w:type="gramStart"/>
            <w:r w:rsidRPr="00B74A55">
              <w:rPr>
                <w:sz w:val="22"/>
              </w:rPr>
              <w:t>інструмент</w:t>
            </w:r>
            <w:proofErr w:type="spellEnd"/>
            <w:r w:rsidRPr="00B74A55">
              <w:rPr>
                <w:sz w:val="22"/>
              </w:rPr>
              <w:t xml:space="preserve">  </w:t>
            </w:r>
            <w:proofErr w:type="spellStart"/>
            <w:r w:rsidRPr="00B74A55">
              <w:rPr>
                <w:sz w:val="22"/>
              </w:rPr>
              <w:t>майстерні</w:t>
            </w:r>
            <w:proofErr w:type="spellEnd"/>
            <w:proofErr w:type="gramEnd"/>
            <w:r w:rsidRPr="00B74A55">
              <w:rPr>
                <w:sz w:val="22"/>
              </w:rPr>
              <w:t xml:space="preserve"> з </w:t>
            </w:r>
            <w:proofErr w:type="spellStart"/>
            <w:r w:rsidRPr="00B74A55">
              <w:rPr>
                <w:sz w:val="22"/>
              </w:rPr>
              <w:t>обслуговуючої</w:t>
            </w:r>
            <w:proofErr w:type="spellEnd"/>
            <w:r w:rsidRPr="00B74A55">
              <w:rPr>
                <w:sz w:val="22"/>
              </w:rPr>
              <w:t xml:space="preserve"> </w:t>
            </w:r>
            <w:proofErr w:type="spellStart"/>
            <w:r w:rsidRPr="00B74A55">
              <w:rPr>
                <w:sz w:val="22"/>
              </w:rPr>
              <w:t>праці</w:t>
            </w:r>
            <w:proofErr w:type="spellEnd"/>
            <w:r w:rsidRPr="00B74A55">
              <w:rPr>
                <w:sz w:val="22"/>
              </w:rPr>
              <w:t>;</w:t>
            </w:r>
          </w:p>
          <w:p w:rsidR="00BE7B50" w:rsidRPr="00B74A55" w:rsidRDefault="00BE7B50" w:rsidP="000303D7">
            <w:pPr>
              <w:numPr>
                <w:ilvl w:val="0"/>
                <w:numId w:val="9"/>
              </w:numPr>
              <w:rPr>
                <w:sz w:val="22"/>
              </w:rPr>
            </w:pPr>
            <w:proofErr w:type="spellStart"/>
            <w:r w:rsidRPr="00B74A55">
              <w:rPr>
                <w:sz w:val="22"/>
              </w:rPr>
              <w:t>інша</w:t>
            </w:r>
            <w:proofErr w:type="spellEnd"/>
            <w:r w:rsidRPr="00B74A55">
              <w:rPr>
                <w:sz w:val="22"/>
              </w:rPr>
              <w:t xml:space="preserve"> </w:t>
            </w:r>
            <w:proofErr w:type="spellStart"/>
            <w:r w:rsidRPr="00B74A55">
              <w:rPr>
                <w:sz w:val="22"/>
              </w:rPr>
              <w:t>оргтехніка</w:t>
            </w:r>
            <w:proofErr w:type="spellEnd"/>
            <w:r w:rsidRPr="00B74A55">
              <w:rPr>
                <w:sz w:val="22"/>
              </w:rPr>
              <w:t xml:space="preserve"> (</w:t>
            </w:r>
            <w:proofErr w:type="spellStart"/>
            <w:r w:rsidRPr="00B74A55">
              <w:rPr>
                <w:sz w:val="22"/>
              </w:rPr>
              <w:t>монітори</w:t>
            </w:r>
            <w:proofErr w:type="spellEnd"/>
            <w:r w:rsidRPr="00B74A55">
              <w:rPr>
                <w:sz w:val="22"/>
              </w:rPr>
              <w:t xml:space="preserve">, </w:t>
            </w:r>
            <w:proofErr w:type="spellStart"/>
            <w:r w:rsidRPr="00B74A55">
              <w:rPr>
                <w:sz w:val="22"/>
              </w:rPr>
              <w:t>принтери</w:t>
            </w:r>
            <w:proofErr w:type="spellEnd"/>
            <w:r w:rsidRPr="00B74A55">
              <w:rPr>
                <w:sz w:val="22"/>
              </w:rPr>
              <w:t xml:space="preserve">, </w:t>
            </w:r>
            <w:proofErr w:type="spellStart"/>
            <w:r w:rsidRPr="00B74A55">
              <w:rPr>
                <w:sz w:val="22"/>
              </w:rPr>
              <w:t>сканери</w:t>
            </w:r>
            <w:proofErr w:type="spellEnd"/>
            <w:r w:rsidRPr="00B74A55">
              <w:rPr>
                <w:sz w:val="22"/>
              </w:rPr>
              <w:t xml:space="preserve"> </w:t>
            </w:r>
            <w:proofErr w:type="spellStart"/>
            <w:r w:rsidRPr="00B74A55">
              <w:rPr>
                <w:sz w:val="22"/>
              </w:rPr>
              <w:t>тощо</w:t>
            </w:r>
            <w:proofErr w:type="spellEnd"/>
            <w:r w:rsidRPr="00B74A55">
              <w:rPr>
                <w:sz w:val="22"/>
              </w:rPr>
              <w:t>);</w:t>
            </w:r>
          </w:p>
          <w:p w:rsidR="00BE7B50" w:rsidRPr="00B74A55" w:rsidRDefault="00BE7B50" w:rsidP="000303D7">
            <w:pPr>
              <w:pStyle w:val="13"/>
              <w:numPr>
                <w:ilvl w:val="0"/>
                <w:numId w:val="9"/>
              </w:numPr>
              <w:jc w:val="both"/>
              <w:rPr>
                <w:sz w:val="22"/>
                <w:lang w:val="uk-UA"/>
              </w:rPr>
            </w:pPr>
            <w:r w:rsidRPr="00B74A55">
              <w:rPr>
                <w:sz w:val="22"/>
                <w:lang w:val="uk-UA"/>
              </w:rPr>
              <w:t>основні засоби (офісні меблі, сейф) були знищені або викрадені.</w:t>
            </w:r>
          </w:p>
          <w:p w:rsidR="00BE7B50" w:rsidRPr="00B74A55" w:rsidRDefault="00BE7B50" w:rsidP="00BE7B50">
            <w:pPr>
              <w:pStyle w:val="13"/>
              <w:jc w:val="both"/>
              <w:rPr>
                <w:sz w:val="22"/>
              </w:rPr>
            </w:pPr>
            <w:r w:rsidRPr="00B74A55">
              <w:rPr>
                <w:rFonts w:eastAsia="Arial"/>
                <w:sz w:val="22"/>
                <w:lang w:val="uk-UA"/>
              </w:rPr>
              <w:t xml:space="preserve">            Для відбудови та сталого розвитку громади потрібне відновлення роботи комунального закладу Гімназія № 10. Мешканці громади потребують в отриманні якісних освітніх послуг, які відповідають нормам сучасності.</w:t>
            </w:r>
          </w:p>
        </w:tc>
      </w:tr>
      <w:tr w:rsidR="00BE7B50" w:rsidRPr="00B74A55" w:rsidTr="00F34B87">
        <w:tc>
          <w:tcPr>
            <w:tcW w:w="2978" w:type="dxa"/>
            <w:shd w:val="clear" w:color="auto" w:fill="C6D9F1" w:themeFill="text2" w:themeFillTint="33"/>
          </w:tcPr>
          <w:p w:rsidR="00BE7B50" w:rsidRPr="00B74A55" w:rsidRDefault="00BE7B50" w:rsidP="00BE7B50">
            <w:pPr>
              <w:pStyle w:val="a7"/>
              <w:ind w:left="0"/>
              <w:rPr>
                <w:b/>
                <w:sz w:val="22"/>
              </w:rPr>
            </w:pPr>
            <w:proofErr w:type="spellStart"/>
            <w:r w:rsidRPr="00B74A55">
              <w:rPr>
                <w:b/>
                <w:sz w:val="22"/>
              </w:rPr>
              <w:lastRenderedPageBreak/>
              <w:t>Очікувані</w:t>
            </w:r>
            <w:proofErr w:type="spellEnd"/>
            <w:r w:rsidRPr="00B74A55">
              <w:rPr>
                <w:b/>
                <w:sz w:val="22"/>
              </w:rPr>
              <w:t xml:space="preserve"> </w:t>
            </w:r>
            <w:proofErr w:type="spellStart"/>
            <w:r w:rsidRPr="00B74A55">
              <w:rPr>
                <w:b/>
                <w:sz w:val="22"/>
              </w:rPr>
              <w:t>якісні</w:t>
            </w:r>
            <w:proofErr w:type="spellEnd"/>
            <w:r w:rsidRPr="00B74A55">
              <w:rPr>
                <w:b/>
                <w:sz w:val="22"/>
              </w:rPr>
              <w:t xml:space="preserve"> </w:t>
            </w:r>
            <w:proofErr w:type="spellStart"/>
            <w:r w:rsidRPr="00B74A55">
              <w:rPr>
                <w:b/>
                <w:sz w:val="22"/>
              </w:rPr>
              <w:t>результати</w:t>
            </w:r>
            <w:proofErr w:type="spellEnd"/>
            <w:r w:rsidRPr="00B74A55">
              <w:rPr>
                <w:b/>
                <w:sz w:val="22"/>
              </w:rPr>
              <w:t xml:space="preserve"> </w:t>
            </w:r>
            <w:proofErr w:type="spellStart"/>
            <w:r w:rsidRPr="00B74A55">
              <w:rPr>
                <w:b/>
                <w:sz w:val="22"/>
              </w:rPr>
              <w:t>від</w:t>
            </w:r>
            <w:proofErr w:type="spellEnd"/>
            <w:r w:rsidRPr="00B74A55">
              <w:rPr>
                <w:b/>
                <w:sz w:val="22"/>
              </w:rPr>
              <w:t xml:space="preserve"> </w:t>
            </w:r>
            <w:proofErr w:type="spellStart"/>
            <w:r w:rsidRPr="00B74A55">
              <w:rPr>
                <w:b/>
                <w:sz w:val="22"/>
              </w:rPr>
              <w:t>реалізації</w:t>
            </w:r>
            <w:proofErr w:type="spellEnd"/>
            <w:r w:rsidRPr="00B74A55">
              <w:rPr>
                <w:b/>
                <w:sz w:val="22"/>
              </w:rPr>
              <w:t xml:space="preserve"> проекту</w:t>
            </w:r>
          </w:p>
        </w:tc>
        <w:tc>
          <w:tcPr>
            <w:tcW w:w="6910" w:type="dxa"/>
            <w:gridSpan w:val="6"/>
          </w:tcPr>
          <w:p w:rsidR="00BE7B50" w:rsidRPr="00B74A55" w:rsidRDefault="00BE7B50" w:rsidP="00BE7B50">
            <w:pPr>
              <w:pStyle w:val="a7"/>
              <w:ind w:left="0"/>
              <w:rPr>
                <w:sz w:val="22"/>
              </w:rPr>
            </w:pPr>
            <w:r w:rsidRPr="00B74A55">
              <w:rPr>
                <w:sz w:val="22"/>
              </w:rPr>
              <w:t xml:space="preserve">1. </w:t>
            </w:r>
            <w:proofErr w:type="spellStart"/>
            <w:r w:rsidRPr="00B74A55">
              <w:rPr>
                <w:sz w:val="22"/>
              </w:rPr>
              <w:t>Створення</w:t>
            </w:r>
            <w:proofErr w:type="spellEnd"/>
            <w:r w:rsidRPr="00B74A55">
              <w:rPr>
                <w:sz w:val="22"/>
              </w:rPr>
              <w:t xml:space="preserve"> </w:t>
            </w:r>
            <w:proofErr w:type="spellStart"/>
            <w:r w:rsidRPr="00B74A55">
              <w:rPr>
                <w:sz w:val="22"/>
              </w:rPr>
              <w:t>безпечного</w:t>
            </w:r>
            <w:proofErr w:type="spellEnd"/>
            <w:r w:rsidRPr="00B74A55">
              <w:rPr>
                <w:sz w:val="22"/>
              </w:rPr>
              <w:t xml:space="preserve"> та </w:t>
            </w:r>
            <w:proofErr w:type="spellStart"/>
            <w:r w:rsidRPr="00B74A55">
              <w:rPr>
                <w:sz w:val="22"/>
              </w:rPr>
              <w:t>сучасного</w:t>
            </w:r>
            <w:proofErr w:type="spellEnd"/>
            <w:r w:rsidRPr="00B74A55">
              <w:rPr>
                <w:sz w:val="22"/>
              </w:rPr>
              <w:t xml:space="preserve"> </w:t>
            </w:r>
            <w:proofErr w:type="spellStart"/>
            <w:r w:rsidRPr="00B74A55">
              <w:rPr>
                <w:sz w:val="22"/>
              </w:rPr>
              <w:t>освітнього</w:t>
            </w:r>
            <w:proofErr w:type="spellEnd"/>
            <w:r w:rsidRPr="00B74A55">
              <w:rPr>
                <w:sz w:val="22"/>
              </w:rPr>
              <w:t xml:space="preserve"> </w:t>
            </w:r>
            <w:proofErr w:type="spellStart"/>
            <w:r w:rsidRPr="00B74A55">
              <w:rPr>
                <w:sz w:val="22"/>
              </w:rPr>
              <w:t>середовища</w:t>
            </w:r>
            <w:proofErr w:type="spellEnd"/>
            <w:r w:rsidRPr="00B74A55">
              <w:rPr>
                <w:sz w:val="22"/>
              </w:rPr>
              <w:t>.</w:t>
            </w:r>
          </w:p>
          <w:p w:rsidR="00BE7B50" w:rsidRPr="00B74A55" w:rsidRDefault="00BE7B50" w:rsidP="00BE7B50">
            <w:pPr>
              <w:pStyle w:val="a7"/>
              <w:ind w:left="0"/>
              <w:rPr>
                <w:sz w:val="22"/>
              </w:rPr>
            </w:pPr>
            <w:r w:rsidRPr="00B74A55">
              <w:rPr>
                <w:sz w:val="22"/>
              </w:rPr>
              <w:t xml:space="preserve">2. </w:t>
            </w:r>
            <w:proofErr w:type="spellStart"/>
            <w:r w:rsidRPr="00B74A55">
              <w:rPr>
                <w:sz w:val="22"/>
              </w:rPr>
              <w:t>Надання</w:t>
            </w:r>
            <w:proofErr w:type="spellEnd"/>
            <w:r w:rsidRPr="00B74A55">
              <w:rPr>
                <w:sz w:val="22"/>
              </w:rPr>
              <w:t xml:space="preserve"> </w:t>
            </w:r>
            <w:proofErr w:type="spellStart"/>
            <w:r w:rsidRPr="00B74A55">
              <w:rPr>
                <w:sz w:val="22"/>
              </w:rPr>
              <w:t>сучасного</w:t>
            </w:r>
            <w:proofErr w:type="spellEnd"/>
            <w:r w:rsidRPr="00B74A55">
              <w:rPr>
                <w:sz w:val="22"/>
              </w:rPr>
              <w:t xml:space="preserve"> </w:t>
            </w:r>
            <w:proofErr w:type="spellStart"/>
            <w:r w:rsidRPr="00B74A55">
              <w:rPr>
                <w:sz w:val="22"/>
              </w:rPr>
              <w:t>естетичного</w:t>
            </w:r>
            <w:proofErr w:type="spellEnd"/>
            <w:r w:rsidRPr="00B74A55">
              <w:rPr>
                <w:sz w:val="22"/>
              </w:rPr>
              <w:t xml:space="preserve"> </w:t>
            </w:r>
            <w:proofErr w:type="spellStart"/>
            <w:r w:rsidRPr="00B74A55">
              <w:rPr>
                <w:sz w:val="22"/>
              </w:rPr>
              <w:t>вигляду</w:t>
            </w:r>
            <w:proofErr w:type="spellEnd"/>
            <w:r w:rsidRPr="00B74A55">
              <w:rPr>
                <w:sz w:val="22"/>
              </w:rPr>
              <w:t xml:space="preserve"> </w:t>
            </w:r>
            <w:proofErr w:type="spellStart"/>
            <w:r w:rsidRPr="00B74A55">
              <w:rPr>
                <w:sz w:val="22"/>
              </w:rPr>
              <w:t>будівлі</w:t>
            </w:r>
            <w:proofErr w:type="spellEnd"/>
            <w:r w:rsidRPr="00B74A55">
              <w:rPr>
                <w:sz w:val="22"/>
              </w:rPr>
              <w:t xml:space="preserve"> </w:t>
            </w:r>
            <w:proofErr w:type="spellStart"/>
            <w:r w:rsidRPr="00B74A55">
              <w:rPr>
                <w:sz w:val="22"/>
              </w:rPr>
              <w:t>Гімназії</w:t>
            </w:r>
            <w:proofErr w:type="spellEnd"/>
            <w:r w:rsidRPr="00B74A55">
              <w:rPr>
                <w:sz w:val="22"/>
              </w:rPr>
              <w:t xml:space="preserve"> № 10.</w:t>
            </w:r>
          </w:p>
          <w:p w:rsidR="00BE7B50" w:rsidRPr="00B74A55" w:rsidRDefault="00BE7B50" w:rsidP="00BE7B50">
            <w:pPr>
              <w:pStyle w:val="a7"/>
              <w:ind w:left="0"/>
              <w:rPr>
                <w:sz w:val="22"/>
              </w:rPr>
            </w:pPr>
            <w:r w:rsidRPr="00B74A55">
              <w:rPr>
                <w:sz w:val="22"/>
              </w:rPr>
              <w:t xml:space="preserve">3. </w:t>
            </w:r>
            <w:proofErr w:type="spellStart"/>
            <w:r w:rsidRPr="00B74A55">
              <w:rPr>
                <w:sz w:val="22"/>
              </w:rPr>
              <w:t>Реалізація</w:t>
            </w:r>
            <w:proofErr w:type="spellEnd"/>
            <w:r w:rsidRPr="00B74A55">
              <w:rPr>
                <w:sz w:val="22"/>
              </w:rPr>
              <w:t xml:space="preserve"> </w:t>
            </w:r>
            <w:proofErr w:type="spellStart"/>
            <w:r w:rsidRPr="00B74A55">
              <w:rPr>
                <w:sz w:val="22"/>
              </w:rPr>
              <w:t>державної</w:t>
            </w:r>
            <w:proofErr w:type="spellEnd"/>
            <w:r w:rsidRPr="00B74A55">
              <w:rPr>
                <w:sz w:val="22"/>
              </w:rPr>
              <w:t xml:space="preserve"> </w:t>
            </w:r>
            <w:proofErr w:type="spellStart"/>
            <w:r w:rsidRPr="00B74A55">
              <w:rPr>
                <w:sz w:val="22"/>
              </w:rPr>
              <w:t>програми</w:t>
            </w:r>
            <w:proofErr w:type="spellEnd"/>
            <w:r w:rsidRPr="00B74A55">
              <w:rPr>
                <w:sz w:val="22"/>
              </w:rPr>
              <w:t xml:space="preserve"> </w:t>
            </w:r>
            <w:proofErr w:type="spellStart"/>
            <w:r w:rsidRPr="00B74A55">
              <w:rPr>
                <w:sz w:val="22"/>
              </w:rPr>
              <w:t>Стратегії</w:t>
            </w:r>
            <w:proofErr w:type="spellEnd"/>
            <w:r w:rsidRPr="00B74A55">
              <w:rPr>
                <w:sz w:val="22"/>
              </w:rPr>
              <w:t xml:space="preserve"> </w:t>
            </w:r>
            <w:proofErr w:type="spellStart"/>
            <w:r w:rsidRPr="00B74A55">
              <w:rPr>
                <w:sz w:val="22"/>
              </w:rPr>
              <w:t>енергозбереження</w:t>
            </w:r>
            <w:proofErr w:type="spellEnd"/>
            <w:r w:rsidRPr="00B74A55">
              <w:rPr>
                <w:sz w:val="22"/>
              </w:rPr>
              <w:t>.</w:t>
            </w:r>
          </w:p>
          <w:p w:rsidR="00BE7B50" w:rsidRPr="00B74A55" w:rsidRDefault="00BE7B50" w:rsidP="00BE7B50">
            <w:pPr>
              <w:pStyle w:val="a7"/>
              <w:ind w:left="0"/>
              <w:rPr>
                <w:sz w:val="22"/>
              </w:rPr>
            </w:pPr>
            <w:r w:rsidRPr="00B74A55">
              <w:rPr>
                <w:sz w:val="22"/>
              </w:rPr>
              <w:t xml:space="preserve">4. </w:t>
            </w:r>
            <w:proofErr w:type="spellStart"/>
            <w:r w:rsidRPr="00B74A55">
              <w:rPr>
                <w:sz w:val="22"/>
              </w:rPr>
              <w:t>Реалізація</w:t>
            </w:r>
            <w:proofErr w:type="spellEnd"/>
            <w:r w:rsidRPr="00B74A55">
              <w:rPr>
                <w:sz w:val="22"/>
              </w:rPr>
              <w:t xml:space="preserve"> </w:t>
            </w:r>
            <w:proofErr w:type="spellStart"/>
            <w:r w:rsidRPr="00B74A55">
              <w:rPr>
                <w:sz w:val="22"/>
              </w:rPr>
              <w:t>положень</w:t>
            </w:r>
            <w:proofErr w:type="spellEnd"/>
            <w:r w:rsidRPr="00B74A55">
              <w:rPr>
                <w:sz w:val="22"/>
              </w:rPr>
              <w:t xml:space="preserve"> ЗУ «Про </w:t>
            </w:r>
            <w:proofErr w:type="spellStart"/>
            <w:r w:rsidRPr="00B74A55">
              <w:rPr>
                <w:sz w:val="22"/>
              </w:rPr>
              <w:t>повну</w:t>
            </w:r>
            <w:proofErr w:type="spellEnd"/>
            <w:r w:rsidRPr="00B74A55">
              <w:rPr>
                <w:sz w:val="22"/>
              </w:rPr>
              <w:t xml:space="preserve"> </w:t>
            </w:r>
            <w:proofErr w:type="spellStart"/>
            <w:r w:rsidRPr="00B74A55">
              <w:rPr>
                <w:sz w:val="22"/>
              </w:rPr>
              <w:t>загальну</w:t>
            </w:r>
            <w:proofErr w:type="spellEnd"/>
            <w:r w:rsidRPr="00B74A55">
              <w:rPr>
                <w:sz w:val="22"/>
              </w:rPr>
              <w:t xml:space="preserve"> </w:t>
            </w:r>
            <w:proofErr w:type="spellStart"/>
            <w:r w:rsidRPr="00B74A55">
              <w:rPr>
                <w:sz w:val="22"/>
              </w:rPr>
              <w:t>середню</w:t>
            </w:r>
            <w:proofErr w:type="spellEnd"/>
            <w:r w:rsidRPr="00B74A55">
              <w:rPr>
                <w:sz w:val="22"/>
              </w:rPr>
              <w:t xml:space="preserve"> </w:t>
            </w:r>
            <w:proofErr w:type="spellStart"/>
            <w:r w:rsidRPr="00B74A55">
              <w:rPr>
                <w:sz w:val="22"/>
              </w:rPr>
              <w:t>освіту</w:t>
            </w:r>
            <w:proofErr w:type="spellEnd"/>
            <w:r w:rsidRPr="00B74A55">
              <w:rPr>
                <w:sz w:val="22"/>
              </w:rPr>
              <w:t>»</w:t>
            </w:r>
          </w:p>
          <w:p w:rsidR="00BE7B50" w:rsidRPr="00B74A55" w:rsidRDefault="00BE7B50" w:rsidP="00BE7B50">
            <w:pPr>
              <w:pStyle w:val="a7"/>
              <w:ind w:left="0"/>
              <w:rPr>
                <w:sz w:val="22"/>
              </w:rPr>
            </w:pPr>
            <w:r w:rsidRPr="00B74A55">
              <w:rPr>
                <w:sz w:val="22"/>
              </w:rPr>
              <w:t xml:space="preserve">5. </w:t>
            </w:r>
            <w:proofErr w:type="spellStart"/>
            <w:r w:rsidRPr="00B74A55">
              <w:rPr>
                <w:sz w:val="22"/>
              </w:rPr>
              <w:t>Створення</w:t>
            </w:r>
            <w:proofErr w:type="spellEnd"/>
            <w:r w:rsidRPr="00B74A55">
              <w:rPr>
                <w:sz w:val="22"/>
              </w:rPr>
              <w:t xml:space="preserve"> умов для </w:t>
            </w:r>
            <w:proofErr w:type="spellStart"/>
            <w:r w:rsidRPr="00B74A55">
              <w:rPr>
                <w:sz w:val="22"/>
              </w:rPr>
              <w:t>отримання</w:t>
            </w:r>
            <w:proofErr w:type="spellEnd"/>
            <w:r w:rsidRPr="00B74A55">
              <w:rPr>
                <w:sz w:val="22"/>
              </w:rPr>
              <w:t xml:space="preserve"> </w:t>
            </w:r>
            <w:proofErr w:type="spellStart"/>
            <w:r w:rsidRPr="00B74A55">
              <w:rPr>
                <w:sz w:val="22"/>
              </w:rPr>
              <w:t>початкової</w:t>
            </w:r>
            <w:proofErr w:type="spellEnd"/>
            <w:r w:rsidRPr="00B74A55">
              <w:rPr>
                <w:sz w:val="22"/>
              </w:rPr>
              <w:t xml:space="preserve"> та </w:t>
            </w:r>
            <w:proofErr w:type="spellStart"/>
            <w:r w:rsidRPr="00B74A55">
              <w:rPr>
                <w:sz w:val="22"/>
              </w:rPr>
              <w:t>базової</w:t>
            </w:r>
            <w:proofErr w:type="spellEnd"/>
            <w:r w:rsidRPr="00B74A55">
              <w:rPr>
                <w:sz w:val="22"/>
              </w:rPr>
              <w:t xml:space="preserve"> </w:t>
            </w:r>
            <w:proofErr w:type="spellStart"/>
            <w:r w:rsidRPr="00B74A55">
              <w:rPr>
                <w:sz w:val="22"/>
              </w:rPr>
              <w:t>середньої</w:t>
            </w:r>
            <w:proofErr w:type="spellEnd"/>
            <w:r w:rsidRPr="00B74A55">
              <w:rPr>
                <w:sz w:val="22"/>
              </w:rPr>
              <w:t xml:space="preserve"> </w:t>
            </w:r>
            <w:proofErr w:type="spellStart"/>
            <w:r w:rsidRPr="00B74A55">
              <w:rPr>
                <w:sz w:val="22"/>
              </w:rPr>
              <w:t>освіти</w:t>
            </w:r>
            <w:proofErr w:type="spellEnd"/>
            <w:r w:rsidRPr="00B74A55">
              <w:rPr>
                <w:sz w:val="22"/>
              </w:rPr>
              <w:t xml:space="preserve"> </w:t>
            </w:r>
            <w:proofErr w:type="spellStart"/>
            <w:r w:rsidRPr="00B74A55">
              <w:rPr>
                <w:sz w:val="22"/>
              </w:rPr>
              <w:t>Сєвєродонецької</w:t>
            </w:r>
            <w:proofErr w:type="spellEnd"/>
            <w:r w:rsidRPr="00B74A55">
              <w:rPr>
                <w:sz w:val="22"/>
              </w:rPr>
              <w:t xml:space="preserve"> ОТГ. </w:t>
            </w:r>
          </w:p>
          <w:p w:rsidR="00BE7B50" w:rsidRPr="00B74A55" w:rsidRDefault="00BE7B50" w:rsidP="00BE7B50">
            <w:pPr>
              <w:pStyle w:val="a7"/>
              <w:ind w:left="0"/>
              <w:rPr>
                <w:sz w:val="22"/>
              </w:rPr>
            </w:pPr>
            <w:r w:rsidRPr="00B74A55">
              <w:rPr>
                <w:sz w:val="22"/>
              </w:rPr>
              <w:t xml:space="preserve">6. </w:t>
            </w:r>
            <w:proofErr w:type="spellStart"/>
            <w:r w:rsidRPr="00B74A55">
              <w:rPr>
                <w:sz w:val="22"/>
              </w:rPr>
              <w:t>Створення</w:t>
            </w:r>
            <w:proofErr w:type="spellEnd"/>
            <w:r w:rsidRPr="00B74A55">
              <w:rPr>
                <w:sz w:val="22"/>
              </w:rPr>
              <w:t xml:space="preserve"> умов для </w:t>
            </w:r>
            <w:proofErr w:type="spellStart"/>
            <w:r w:rsidRPr="00B74A55">
              <w:rPr>
                <w:sz w:val="22"/>
              </w:rPr>
              <w:t>педагогічної</w:t>
            </w:r>
            <w:proofErr w:type="spellEnd"/>
            <w:r w:rsidRPr="00B74A55">
              <w:rPr>
                <w:sz w:val="22"/>
              </w:rPr>
              <w:t xml:space="preserve"> </w:t>
            </w:r>
            <w:proofErr w:type="spellStart"/>
            <w:r w:rsidRPr="00B74A55">
              <w:rPr>
                <w:sz w:val="22"/>
              </w:rPr>
              <w:t>діяльності</w:t>
            </w:r>
            <w:proofErr w:type="spellEnd"/>
            <w:r w:rsidRPr="00B74A55">
              <w:rPr>
                <w:sz w:val="22"/>
              </w:rPr>
              <w:t xml:space="preserve"> </w:t>
            </w:r>
            <w:proofErr w:type="spellStart"/>
            <w:r w:rsidRPr="00B74A55">
              <w:rPr>
                <w:sz w:val="22"/>
              </w:rPr>
              <w:t>педпрацівників</w:t>
            </w:r>
            <w:proofErr w:type="spellEnd"/>
            <w:r w:rsidRPr="00B74A55">
              <w:rPr>
                <w:sz w:val="22"/>
              </w:rPr>
              <w:t>.</w:t>
            </w:r>
          </w:p>
          <w:p w:rsidR="00BE7B50" w:rsidRPr="00B74A55" w:rsidRDefault="00BE7B50" w:rsidP="00BE7B50">
            <w:pPr>
              <w:pStyle w:val="a7"/>
              <w:ind w:left="0"/>
              <w:rPr>
                <w:sz w:val="22"/>
              </w:rPr>
            </w:pPr>
            <w:r w:rsidRPr="00B74A55">
              <w:rPr>
                <w:sz w:val="22"/>
              </w:rPr>
              <w:t xml:space="preserve">7. </w:t>
            </w:r>
            <w:proofErr w:type="spellStart"/>
            <w:r w:rsidRPr="00B74A55">
              <w:rPr>
                <w:sz w:val="22"/>
              </w:rPr>
              <w:t>Створення</w:t>
            </w:r>
            <w:proofErr w:type="spellEnd"/>
            <w:r w:rsidRPr="00B74A55">
              <w:rPr>
                <w:sz w:val="22"/>
              </w:rPr>
              <w:t xml:space="preserve"> </w:t>
            </w:r>
            <w:proofErr w:type="spellStart"/>
            <w:r w:rsidRPr="00B74A55">
              <w:rPr>
                <w:sz w:val="22"/>
              </w:rPr>
              <w:t>сучасної</w:t>
            </w:r>
            <w:proofErr w:type="spellEnd"/>
            <w:r w:rsidRPr="00B74A55">
              <w:rPr>
                <w:sz w:val="22"/>
              </w:rPr>
              <w:t xml:space="preserve"> </w:t>
            </w:r>
            <w:proofErr w:type="spellStart"/>
            <w:r w:rsidRPr="00B74A55">
              <w:rPr>
                <w:sz w:val="22"/>
              </w:rPr>
              <w:t>матеріально-технічної</w:t>
            </w:r>
            <w:proofErr w:type="spellEnd"/>
            <w:r w:rsidRPr="00B74A55">
              <w:rPr>
                <w:sz w:val="22"/>
              </w:rPr>
              <w:t xml:space="preserve"> </w:t>
            </w:r>
            <w:proofErr w:type="spellStart"/>
            <w:r w:rsidRPr="00B74A55">
              <w:rPr>
                <w:sz w:val="22"/>
              </w:rPr>
              <w:t>бази</w:t>
            </w:r>
            <w:proofErr w:type="spellEnd"/>
            <w:r w:rsidRPr="00B74A55">
              <w:rPr>
                <w:sz w:val="22"/>
              </w:rPr>
              <w:t xml:space="preserve"> </w:t>
            </w:r>
            <w:proofErr w:type="spellStart"/>
            <w:r w:rsidRPr="00B74A55">
              <w:rPr>
                <w:sz w:val="22"/>
              </w:rPr>
              <w:t>Гімназії</w:t>
            </w:r>
            <w:proofErr w:type="spellEnd"/>
            <w:r w:rsidRPr="00B74A55">
              <w:rPr>
                <w:sz w:val="22"/>
              </w:rPr>
              <w:t xml:space="preserve"> № 10. </w:t>
            </w:r>
          </w:p>
          <w:p w:rsidR="00BE7B50" w:rsidRPr="00B74A55" w:rsidRDefault="00BE7B50" w:rsidP="00BE7B50">
            <w:pPr>
              <w:pStyle w:val="a7"/>
              <w:ind w:left="0"/>
              <w:rPr>
                <w:color w:val="FF0000"/>
                <w:sz w:val="22"/>
              </w:rPr>
            </w:pPr>
            <w:r w:rsidRPr="00B74A55">
              <w:rPr>
                <w:sz w:val="22"/>
              </w:rPr>
              <w:t xml:space="preserve">8. Стимул до </w:t>
            </w:r>
            <w:proofErr w:type="spellStart"/>
            <w:r w:rsidRPr="00B74A55">
              <w:rPr>
                <w:sz w:val="22"/>
              </w:rPr>
              <w:t>повернення</w:t>
            </w:r>
            <w:proofErr w:type="spellEnd"/>
            <w:r w:rsidRPr="00B74A55">
              <w:rPr>
                <w:sz w:val="22"/>
              </w:rPr>
              <w:t xml:space="preserve"> ВПО до </w:t>
            </w:r>
            <w:proofErr w:type="spellStart"/>
            <w:r w:rsidRPr="00B74A55">
              <w:rPr>
                <w:sz w:val="22"/>
              </w:rPr>
              <w:t>Сєвєродонецької</w:t>
            </w:r>
            <w:proofErr w:type="spellEnd"/>
            <w:r w:rsidRPr="00B74A55">
              <w:rPr>
                <w:sz w:val="22"/>
              </w:rPr>
              <w:t xml:space="preserve"> </w:t>
            </w:r>
            <w:proofErr w:type="spellStart"/>
            <w:r w:rsidRPr="00B74A55">
              <w:rPr>
                <w:sz w:val="22"/>
              </w:rPr>
              <w:t>громади</w:t>
            </w:r>
            <w:proofErr w:type="spellEnd"/>
            <w:r w:rsidRPr="00B74A55">
              <w:rPr>
                <w:sz w:val="22"/>
              </w:rPr>
              <w:t>.</w:t>
            </w:r>
          </w:p>
        </w:tc>
      </w:tr>
      <w:tr w:rsidR="00BE7B50" w:rsidRPr="00B74A55" w:rsidTr="00F34B87">
        <w:trPr>
          <w:trHeight w:val="390"/>
        </w:trPr>
        <w:tc>
          <w:tcPr>
            <w:tcW w:w="2978" w:type="dxa"/>
            <w:vMerge w:val="restart"/>
            <w:shd w:val="clear" w:color="auto" w:fill="C6D9F1" w:themeFill="text2" w:themeFillTint="33"/>
          </w:tcPr>
          <w:p w:rsidR="00BE7B50" w:rsidRPr="00B74A55" w:rsidRDefault="00BE7B50" w:rsidP="00BE7B50">
            <w:pPr>
              <w:pStyle w:val="a7"/>
              <w:ind w:left="0"/>
              <w:rPr>
                <w:b/>
                <w:sz w:val="22"/>
                <w:lang w:val="uk-UA"/>
              </w:rPr>
            </w:pPr>
            <w:r w:rsidRPr="00B74A55">
              <w:rPr>
                <w:b/>
                <w:sz w:val="22"/>
                <w:lang w:val="uk-UA"/>
              </w:rPr>
              <w:t xml:space="preserve">Очікувані кількісні результати реалізації </w:t>
            </w:r>
            <w:proofErr w:type="spellStart"/>
            <w:r w:rsidRPr="00B74A55">
              <w:rPr>
                <w:b/>
                <w:sz w:val="22"/>
                <w:lang w:val="uk-UA"/>
              </w:rPr>
              <w:t>проєкту</w:t>
            </w:r>
            <w:proofErr w:type="spellEnd"/>
            <w:r w:rsidRPr="00B74A55">
              <w:rPr>
                <w:b/>
                <w:sz w:val="22"/>
                <w:lang w:val="uk-UA"/>
              </w:rPr>
              <w:t xml:space="preserve"> (індикатори)</w:t>
            </w:r>
          </w:p>
        </w:tc>
        <w:tc>
          <w:tcPr>
            <w:tcW w:w="3806" w:type="dxa"/>
            <w:gridSpan w:val="4"/>
            <w:tcBorders>
              <w:bottom w:val="single" w:sz="4" w:space="0" w:color="auto"/>
              <w:right w:val="single" w:sz="4" w:space="0" w:color="auto"/>
            </w:tcBorders>
          </w:tcPr>
          <w:p w:rsidR="00BE7B50" w:rsidRPr="00B74A55" w:rsidRDefault="00BE7B50" w:rsidP="00BE7B50">
            <w:pPr>
              <w:pStyle w:val="a7"/>
              <w:ind w:left="-108"/>
              <w:jc w:val="center"/>
              <w:rPr>
                <w:b/>
                <w:sz w:val="22"/>
              </w:rPr>
            </w:pPr>
            <w:proofErr w:type="spellStart"/>
            <w:r w:rsidRPr="00B74A55">
              <w:rPr>
                <w:b/>
                <w:sz w:val="22"/>
              </w:rPr>
              <w:t>Найменування</w:t>
            </w:r>
            <w:proofErr w:type="spellEnd"/>
            <w:r w:rsidRPr="00B74A55">
              <w:rPr>
                <w:b/>
                <w:sz w:val="22"/>
              </w:rPr>
              <w:t xml:space="preserve"> </w:t>
            </w:r>
            <w:proofErr w:type="spellStart"/>
            <w:r w:rsidRPr="00B74A55">
              <w:rPr>
                <w:b/>
                <w:sz w:val="22"/>
              </w:rPr>
              <w:t>показника</w:t>
            </w:r>
            <w:proofErr w:type="spellEnd"/>
          </w:p>
        </w:tc>
        <w:tc>
          <w:tcPr>
            <w:tcW w:w="1712" w:type="dxa"/>
            <w:tcBorders>
              <w:left w:val="single" w:sz="4" w:space="0" w:color="auto"/>
              <w:bottom w:val="single" w:sz="4" w:space="0" w:color="auto"/>
              <w:right w:val="single" w:sz="4" w:space="0" w:color="auto"/>
            </w:tcBorders>
          </w:tcPr>
          <w:p w:rsidR="00BE7B50" w:rsidRPr="00B74A55" w:rsidRDefault="00BE7B50" w:rsidP="00BE7B50">
            <w:pPr>
              <w:pStyle w:val="a7"/>
              <w:ind w:left="0"/>
              <w:jc w:val="center"/>
              <w:rPr>
                <w:b/>
                <w:sz w:val="22"/>
              </w:rPr>
            </w:pPr>
            <w:proofErr w:type="spellStart"/>
            <w:r w:rsidRPr="00B74A55">
              <w:rPr>
                <w:b/>
                <w:sz w:val="22"/>
              </w:rPr>
              <w:t>Одиниця</w:t>
            </w:r>
            <w:proofErr w:type="spellEnd"/>
            <w:r w:rsidRPr="00B74A55">
              <w:rPr>
                <w:b/>
                <w:sz w:val="22"/>
              </w:rPr>
              <w:t xml:space="preserve"> </w:t>
            </w:r>
            <w:proofErr w:type="spellStart"/>
            <w:r w:rsidRPr="00B74A55">
              <w:rPr>
                <w:b/>
                <w:sz w:val="22"/>
              </w:rPr>
              <w:t>вимірювання</w:t>
            </w:r>
            <w:proofErr w:type="spellEnd"/>
          </w:p>
        </w:tc>
        <w:tc>
          <w:tcPr>
            <w:tcW w:w="1392" w:type="dxa"/>
            <w:tcBorders>
              <w:left w:val="single" w:sz="4" w:space="0" w:color="auto"/>
              <w:bottom w:val="single" w:sz="4" w:space="0" w:color="auto"/>
            </w:tcBorders>
          </w:tcPr>
          <w:p w:rsidR="00BE7B50" w:rsidRPr="00B74A55" w:rsidRDefault="00BE7B50" w:rsidP="00BE7B50">
            <w:pPr>
              <w:pStyle w:val="a7"/>
              <w:ind w:left="0"/>
              <w:jc w:val="center"/>
              <w:rPr>
                <w:b/>
                <w:sz w:val="22"/>
              </w:rPr>
            </w:pPr>
            <w:proofErr w:type="spellStart"/>
            <w:r w:rsidRPr="00B74A55">
              <w:rPr>
                <w:b/>
                <w:sz w:val="22"/>
              </w:rPr>
              <w:t>Прогнозне</w:t>
            </w:r>
            <w:proofErr w:type="spellEnd"/>
            <w:r w:rsidRPr="00B74A55">
              <w:rPr>
                <w:b/>
                <w:sz w:val="22"/>
              </w:rPr>
              <w:t xml:space="preserve"> (</w:t>
            </w:r>
            <w:proofErr w:type="spellStart"/>
            <w:r w:rsidRPr="00B74A55">
              <w:rPr>
                <w:b/>
                <w:sz w:val="22"/>
              </w:rPr>
              <w:t>цільове</w:t>
            </w:r>
            <w:proofErr w:type="spellEnd"/>
            <w:r w:rsidRPr="00B74A55">
              <w:rPr>
                <w:b/>
                <w:sz w:val="22"/>
              </w:rPr>
              <w:t xml:space="preserve">). </w:t>
            </w:r>
            <w:proofErr w:type="spellStart"/>
            <w:r w:rsidRPr="00B74A55">
              <w:rPr>
                <w:b/>
                <w:sz w:val="22"/>
              </w:rPr>
              <w:t>значення</w:t>
            </w:r>
            <w:proofErr w:type="spellEnd"/>
          </w:p>
        </w:tc>
      </w:tr>
      <w:tr w:rsidR="00BE7B50" w:rsidRPr="00B74A55" w:rsidTr="00F34B87">
        <w:trPr>
          <w:trHeight w:val="881"/>
        </w:trPr>
        <w:tc>
          <w:tcPr>
            <w:tcW w:w="2978" w:type="dxa"/>
            <w:vMerge/>
            <w:shd w:val="clear" w:color="auto" w:fill="C6D9F1" w:themeFill="text2" w:themeFillTint="33"/>
          </w:tcPr>
          <w:p w:rsidR="00BE7B50" w:rsidRPr="00B74A55" w:rsidRDefault="00BE7B50" w:rsidP="00BE7B50">
            <w:pPr>
              <w:pStyle w:val="a7"/>
              <w:ind w:left="0"/>
              <w:rPr>
                <w:b/>
                <w:sz w:val="22"/>
              </w:rPr>
            </w:pPr>
          </w:p>
        </w:tc>
        <w:tc>
          <w:tcPr>
            <w:tcW w:w="3806" w:type="dxa"/>
            <w:gridSpan w:val="4"/>
            <w:tcBorders>
              <w:top w:val="single" w:sz="4" w:space="0" w:color="auto"/>
              <w:bottom w:val="single" w:sz="4" w:space="0" w:color="auto"/>
              <w:right w:val="single" w:sz="4" w:space="0" w:color="auto"/>
            </w:tcBorders>
          </w:tcPr>
          <w:p w:rsidR="00BE7B50" w:rsidRPr="00B74A55" w:rsidRDefault="00BE7B50" w:rsidP="00817BFD">
            <w:pPr>
              <w:pStyle w:val="a7"/>
              <w:ind w:left="0"/>
              <w:rPr>
                <w:sz w:val="22"/>
              </w:rPr>
            </w:pPr>
            <w:proofErr w:type="spellStart"/>
            <w:r w:rsidRPr="00B74A55">
              <w:rPr>
                <w:sz w:val="22"/>
              </w:rPr>
              <w:t>Кількість</w:t>
            </w:r>
            <w:proofErr w:type="spellEnd"/>
            <w:r w:rsidRPr="00B74A55">
              <w:rPr>
                <w:sz w:val="22"/>
              </w:rPr>
              <w:t xml:space="preserve"> </w:t>
            </w:r>
            <w:proofErr w:type="spellStart"/>
            <w:r w:rsidRPr="00B74A55">
              <w:rPr>
                <w:sz w:val="22"/>
              </w:rPr>
              <w:t>фізичних</w:t>
            </w:r>
            <w:proofErr w:type="spellEnd"/>
            <w:r w:rsidRPr="00B74A55">
              <w:rPr>
                <w:sz w:val="22"/>
              </w:rPr>
              <w:t xml:space="preserve"> </w:t>
            </w:r>
            <w:proofErr w:type="spellStart"/>
            <w:r w:rsidRPr="00B74A55">
              <w:rPr>
                <w:sz w:val="22"/>
              </w:rPr>
              <w:t>осіб</w:t>
            </w:r>
            <w:proofErr w:type="spellEnd"/>
            <w:r w:rsidRPr="00B74A55">
              <w:rPr>
                <w:sz w:val="22"/>
              </w:rPr>
              <w:t xml:space="preserve">, </w:t>
            </w:r>
            <w:proofErr w:type="spellStart"/>
            <w:r w:rsidRPr="00B74A55">
              <w:rPr>
                <w:sz w:val="22"/>
              </w:rPr>
              <w:t>які</w:t>
            </w:r>
            <w:proofErr w:type="spellEnd"/>
            <w:r w:rsidRPr="00B74A55">
              <w:rPr>
                <w:sz w:val="22"/>
              </w:rPr>
              <w:t xml:space="preserve"> </w:t>
            </w:r>
            <w:proofErr w:type="spellStart"/>
            <w:r w:rsidRPr="00B74A55">
              <w:rPr>
                <w:sz w:val="22"/>
              </w:rPr>
              <w:t>звернулись</w:t>
            </w:r>
            <w:proofErr w:type="spellEnd"/>
            <w:r w:rsidRPr="00B74A55">
              <w:rPr>
                <w:sz w:val="22"/>
              </w:rPr>
              <w:t xml:space="preserve"> за </w:t>
            </w:r>
            <w:proofErr w:type="spellStart"/>
            <w:r w:rsidRPr="00B74A55">
              <w:rPr>
                <w:sz w:val="22"/>
              </w:rPr>
              <w:t>послугами</w:t>
            </w:r>
            <w:proofErr w:type="spellEnd"/>
            <w:r w:rsidRPr="00B74A55">
              <w:rPr>
                <w:sz w:val="22"/>
              </w:rPr>
              <w:t xml:space="preserve"> </w:t>
            </w:r>
            <w:proofErr w:type="spellStart"/>
            <w:proofErr w:type="gramStart"/>
            <w:r w:rsidRPr="00B74A55">
              <w:rPr>
                <w:sz w:val="22"/>
              </w:rPr>
              <w:t>протягом</w:t>
            </w:r>
            <w:proofErr w:type="spellEnd"/>
            <w:r w:rsidRPr="00B74A55">
              <w:rPr>
                <w:sz w:val="22"/>
              </w:rPr>
              <w:t xml:space="preserve">  року</w:t>
            </w:r>
            <w:proofErr w:type="gramEnd"/>
          </w:p>
        </w:tc>
        <w:tc>
          <w:tcPr>
            <w:tcW w:w="1712" w:type="dxa"/>
            <w:tcBorders>
              <w:top w:val="single" w:sz="4" w:space="0" w:color="auto"/>
              <w:left w:val="single" w:sz="4" w:space="0" w:color="auto"/>
              <w:bottom w:val="single" w:sz="4" w:space="0" w:color="auto"/>
              <w:right w:val="single" w:sz="4" w:space="0" w:color="auto"/>
            </w:tcBorders>
            <w:vAlign w:val="center"/>
          </w:tcPr>
          <w:p w:rsidR="00BE7B50" w:rsidRPr="00B74A55" w:rsidRDefault="00BE7B50" w:rsidP="00BE7B50">
            <w:pPr>
              <w:pStyle w:val="a7"/>
              <w:ind w:left="0"/>
              <w:jc w:val="center"/>
              <w:rPr>
                <w:sz w:val="22"/>
              </w:rPr>
            </w:pPr>
            <w:proofErr w:type="spellStart"/>
            <w:r w:rsidRPr="00B74A55">
              <w:rPr>
                <w:sz w:val="22"/>
              </w:rPr>
              <w:t>осіб</w:t>
            </w:r>
            <w:proofErr w:type="spellEnd"/>
          </w:p>
        </w:tc>
        <w:tc>
          <w:tcPr>
            <w:tcW w:w="1392" w:type="dxa"/>
            <w:tcBorders>
              <w:top w:val="single" w:sz="4" w:space="0" w:color="auto"/>
              <w:left w:val="single" w:sz="4" w:space="0" w:color="auto"/>
              <w:bottom w:val="single" w:sz="4" w:space="0" w:color="auto"/>
            </w:tcBorders>
          </w:tcPr>
          <w:p w:rsidR="00BE7B50" w:rsidRPr="00B74A55" w:rsidRDefault="00BE7B50" w:rsidP="00BE7B50">
            <w:pPr>
              <w:pStyle w:val="a7"/>
              <w:ind w:left="0"/>
              <w:jc w:val="center"/>
              <w:rPr>
                <w:sz w:val="22"/>
              </w:rPr>
            </w:pPr>
          </w:p>
          <w:p w:rsidR="00BE7B50" w:rsidRPr="00B74A55" w:rsidRDefault="00BE7B50" w:rsidP="00BE7B50">
            <w:pPr>
              <w:pStyle w:val="a7"/>
              <w:ind w:left="0"/>
              <w:jc w:val="center"/>
              <w:rPr>
                <w:sz w:val="22"/>
              </w:rPr>
            </w:pPr>
          </w:p>
          <w:p w:rsidR="00BE7B50" w:rsidRPr="00B74A55" w:rsidRDefault="00BE7B50" w:rsidP="00BE7B50">
            <w:pPr>
              <w:pStyle w:val="a7"/>
              <w:ind w:left="0"/>
              <w:jc w:val="center"/>
              <w:rPr>
                <w:b/>
                <w:sz w:val="22"/>
              </w:rPr>
            </w:pPr>
            <w:r w:rsidRPr="00B74A55">
              <w:rPr>
                <w:sz w:val="22"/>
              </w:rPr>
              <w:t>1 000</w:t>
            </w:r>
          </w:p>
        </w:tc>
      </w:tr>
      <w:tr w:rsidR="00BE7B50" w:rsidRPr="00B74A55" w:rsidTr="00F34B87">
        <w:tc>
          <w:tcPr>
            <w:tcW w:w="2978" w:type="dxa"/>
            <w:shd w:val="clear" w:color="auto" w:fill="C6D9F1" w:themeFill="text2" w:themeFillTint="33"/>
          </w:tcPr>
          <w:p w:rsidR="00BE7B50" w:rsidRPr="00B74A55" w:rsidRDefault="00BE7B50" w:rsidP="00BE7B50">
            <w:pPr>
              <w:rPr>
                <w:b/>
                <w:sz w:val="22"/>
              </w:rPr>
            </w:pPr>
            <w:proofErr w:type="spellStart"/>
            <w:r w:rsidRPr="00B74A55">
              <w:rPr>
                <w:b/>
                <w:sz w:val="22"/>
              </w:rPr>
              <w:t>Ключові</w:t>
            </w:r>
            <w:proofErr w:type="spellEnd"/>
            <w:r w:rsidRPr="00B74A55">
              <w:rPr>
                <w:b/>
                <w:sz w:val="22"/>
              </w:rPr>
              <w:t xml:space="preserve"> заходи проекту: </w:t>
            </w:r>
          </w:p>
          <w:p w:rsidR="00BE7B50" w:rsidRPr="00B74A55" w:rsidRDefault="00BE7B50" w:rsidP="00BE7B50">
            <w:pPr>
              <w:pStyle w:val="a7"/>
              <w:ind w:left="0"/>
              <w:rPr>
                <w:b/>
                <w:sz w:val="22"/>
              </w:rPr>
            </w:pPr>
          </w:p>
        </w:tc>
        <w:tc>
          <w:tcPr>
            <w:tcW w:w="6910" w:type="dxa"/>
            <w:gridSpan w:val="6"/>
          </w:tcPr>
          <w:p w:rsidR="00BE7B50" w:rsidRPr="00B74A55" w:rsidRDefault="00BE7B50" w:rsidP="00BE7B50">
            <w:pPr>
              <w:pStyle w:val="a7"/>
              <w:ind w:left="0"/>
              <w:rPr>
                <w:sz w:val="22"/>
              </w:rPr>
            </w:pPr>
            <w:r w:rsidRPr="00B74A55">
              <w:rPr>
                <w:sz w:val="22"/>
              </w:rPr>
              <w:t xml:space="preserve">1. </w:t>
            </w:r>
            <w:proofErr w:type="spellStart"/>
            <w:r w:rsidRPr="00B74A55">
              <w:rPr>
                <w:sz w:val="22"/>
              </w:rPr>
              <w:t>Обстеження</w:t>
            </w:r>
            <w:proofErr w:type="spellEnd"/>
            <w:r w:rsidRPr="00B74A55">
              <w:rPr>
                <w:sz w:val="22"/>
              </w:rPr>
              <w:t xml:space="preserve"> стану </w:t>
            </w:r>
            <w:proofErr w:type="spellStart"/>
            <w:r w:rsidRPr="00B74A55">
              <w:rPr>
                <w:sz w:val="22"/>
              </w:rPr>
              <w:t>будівлі</w:t>
            </w:r>
            <w:proofErr w:type="spellEnd"/>
            <w:r w:rsidRPr="00B74A55">
              <w:rPr>
                <w:sz w:val="22"/>
              </w:rPr>
              <w:t>;</w:t>
            </w:r>
          </w:p>
          <w:p w:rsidR="00BE7B50" w:rsidRPr="00B74A55" w:rsidRDefault="00BE7B50" w:rsidP="00BE7B50">
            <w:pPr>
              <w:pStyle w:val="a7"/>
              <w:ind w:left="0"/>
              <w:rPr>
                <w:sz w:val="22"/>
              </w:rPr>
            </w:pPr>
            <w:r w:rsidRPr="00B74A55">
              <w:rPr>
                <w:sz w:val="22"/>
              </w:rPr>
              <w:t xml:space="preserve">2. </w:t>
            </w:r>
            <w:proofErr w:type="spellStart"/>
            <w:r w:rsidRPr="00B74A55">
              <w:rPr>
                <w:sz w:val="22"/>
              </w:rPr>
              <w:t>Прийняття</w:t>
            </w:r>
            <w:proofErr w:type="spellEnd"/>
            <w:r w:rsidRPr="00B74A55">
              <w:rPr>
                <w:sz w:val="22"/>
              </w:rPr>
              <w:t xml:space="preserve"> </w:t>
            </w:r>
            <w:proofErr w:type="spellStart"/>
            <w:r w:rsidRPr="00B74A55">
              <w:rPr>
                <w:sz w:val="22"/>
              </w:rPr>
              <w:t>рішення</w:t>
            </w:r>
            <w:proofErr w:type="spellEnd"/>
            <w:r w:rsidRPr="00B74A55">
              <w:rPr>
                <w:sz w:val="22"/>
              </w:rPr>
              <w:t xml:space="preserve"> </w:t>
            </w:r>
            <w:proofErr w:type="spellStart"/>
            <w:r w:rsidRPr="00B74A55">
              <w:rPr>
                <w:sz w:val="22"/>
              </w:rPr>
              <w:t>щодо</w:t>
            </w:r>
            <w:proofErr w:type="spellEnd"/>
            <w:r w:rsidRPr="00B74A55">
              <w:rPr>
                <w:sz w:val="22"/>
              </w:rPr>
              <w:t xml:space="preserve"> </w:t>
            </w:r>
            <w:proofErr w:type="spellStart"/>
            <w:r w:rsidRPr="00B74A55">
              <w:rPr>
                <w:sz w:val="22"/>
              </w:rPr>
              <w:t>реалізації</w:t>
            </w:r>
            <w:proofErr w:type="spellEnd"/>
            <w:r w:rsidRPr="00B74A55">
              <w:rPr>
                <w:sz w:val="22"/>
              </w:rPr>
              <w:t xml:space="preserve"> </w:t>
            </w:r>
            <w:proofErr w:type="spellStart"/>
            <w:r w:rsidRPr="00B74A55">
              <w:rPr>
                <w:sz w:val="22"/>
              </w:rPr>
              <w:t>проєкту</w:t>
            </w:r>
            <w:proofErr w:type="spellEnd"/>
            <w:r w:rsidRPr="00B74A55">
              <w:rPr>
                <w:sz w:val="22"/>
              </w:rPr>
              <w:t>.</w:t>
            </w:r>
          </w:p>
          <w:p w:rsidR="00BE7B50" w:rsidRPr="00B74A55" w:rsidRDefault="00BE7B50" w:rsidP="00BE7B50">
            <w:pPr>
              <w:pStyle w:val="a7"/>
              <w:ind w:left="0"/>
              <w:rPr>
                <w:sz w:val="22"/>
              </w:rPr>
            </w:pPr>
            <w:r w:rsidRPr="00B74A55">
              <w:rPr>
                <w:sz w:val="22"/>
              </w:rPr>
              <w:t xml:space="preserve">3. </w:t>
            </w:r>
            <w:proofErr w:type="spellStart"/>
            <w:r w:rsidRPr="00B74A55">
              <w:rPr>
                <w:sz w:val="22"/>
              </w:rPr>
              <w:t>Виділення</w:t>
            </w:r>
            <w:proofErr w:type="spellEnd"/>
            <w:r w:rsidRPr="00B74A55">
              <w:rPr>
                <w:sz w:val="22"/>
              </w:rPr>
              <w:t xml:space="preserve"> </w:t>
            </w:r>
            <w:proofErr w:type="spellStart"/>
            <w:r w:rsidRPr="00B74A55">
              <w:rPr>
                <w:sz w:val="22"/>
              </w:rPr>
              <w:t>фінансових</w:t>
            </w:r>
            <w:proofErr w:type="spellEnd"/>
            <w:r w:rsidRPr="00B74A55">
              <w:rPr>
                <w:sz w:val="22"/>
              </w:rPr>
              <w:t xml:space="preserve"> </w:t>
            </w:r>
            <w:proofErr w:type="spellStart"/>
            <w:r w:rsidRPr="00B74A55">
              <w:rPr>
                <w:sz w:val="22"/>
              </w:rPr>
              <w:t>коштів</w:t>
            </w:r>
            <w:proofErr w:type="spellEnd"/>
            <w:r w:rsidRPr="00B74A55">
              <w:rPr>
                <w:sz w:val="22"/>
              </w:rPr>
              <w:t xml:space="preserve"> на </w:t>
            </w:r>
            <w:proofErr w:type="spellStart"/>
            <w:r w:rsidRPr="00B74A55">
              <w:rPr>
                <w:sz w:val="22"/>
              </w:rPr>
              <w:t>реалізацію</w:t>
            </w:r>
            <w:proofErr w:type="spellEnd"/>
            <w:r w:rsidRPr="00B74A55">
              <w:rPr>
                <w:sz w:val="22"/>
              </w:rPr>
              <w:t xml:space="preserve"> </w:t>
            </w:r>
            <w:proofErr w:type="spellStart"/>
            <w:r w:rsidRPr="00B74A55">
              <w:rPr>
                <w:sz w:val="22"/>
              </w:rPr>
              <w:t>проєкту</w:t>
            </w:r>
            <w:proofErr w:type="spellEnd"/>
            <w:r w:rsidRPr="00B74A55">
              <w:rPr>
                <w:sz w:val="22"/>
              </w:rPr>
              <w:t>.</w:t>
            </w:r>
          </w:p>
          <w:p w:rsidR="00BE7B50" w:rsidRPr="00B74A55" w:rsidRDefault="00BE7B50" w:rsidP="00BE7B50">
            <w:pPr>
              <w:pStyle w:val="a7"/>
              <w:ind w:left="0"/>
              <w:rPr>
                <w:sz w:val="22"/>
              </w:rPr>
            </w:pPr>
            <w:r w:rsidRPr="00B74A55">
              <w:rPr>
                <w:sz w:val="22"/>
              </w:rPr>
              <w:t xml:space="preserve">4. </w:t>
            </w:r>
            <w:proofErr w:type="spellStart"/>
            <w:r w:rsidRPr="00B74A55">
              <w:rPr>
                <w:sz w:val="22"/>
              </w:rPr>
              <w:t>Підписання</w:t>
            </w:r>
            <w:proofErr w:type="spellEnd"/>
            <w:r w:rsidRPr="00B74A55">
              <w:rPr>
                <w:sz w:val="22"/>
              </w:rPr>
              <w:t xml:space="preserve"> </w:t>
            </w:r>
            <w:proofErr w:type="spellStart"/>
            <w:r w:rsidRPr="00B74A55">
              <w:rPr>
                <w:sz w:val="22"/>
              </w:rPr>
              <w:t>договорів</w:t>
            </w:r>
            <w:proofErr w:type="spellEnd"/>
            <w:r w:rsidRPr="00B74A55">
              <w:rPr>
                <w:sz w:val="22"/>
              </w:rPr>
              <w:t xml:space="preserve"> з </w:t>
            </w:r>
            <w:proofErr w:type="spellStart"/>
            <w:r w:rsidRPr="00B74A55">
              <w:rPr>
                <w:sz w:val="22"/>
              </w:rPr>
              <w:t>проєктною</w:t>
            </w:r>
            <w:proofErr w:type="spellEnd"/>
            <w:r w:rsidRPr="00B74A55">
              <w:rPr>
                <w:sz w:val="22"/>
              </w:rPr>
              <w:t xml:space="preserve"> та </w:t>
            </w:r>
            <w:proofErr w:type="spellStart"/>
            <w:r w:rsidRPr="00B74A55">
              <w:rPr>
                <w:sz w:val="22"/>
              </w:rPr>
              <w:t>підрядною</w:t>
            </w:r>
            <w:proofErr w:type="spellEnd"/>
            <w:r w:rsidRPr="00B74A55">
              <w:rPr>
                <w:sz w:val="22"/>
              </w:rPr>
              <w:t xml:space="preserve"> </w:t>
            </w:r>
            <w:proofErr w:type="spellStart"/>
            <w:r w:rsidRPr="00B74A55">
              <w:rPr>
                <w:sz w:val="22"/>
              </w:rPr>
              <w:t>організаціями</w:t>
            </w:r>
            <w:proofErr w:type="spellEnd"/>
            <w:r w:rsidRPr="00B74A55">
              <w:rPr>
                <w:sz w:val="22"/>
              </w:rPr>
              <w:t>.</w:t>
            </w:r>
          </w:p>
          <w:p w:rsidR="00BE7B50" w:rsidRPr="00B74A55" w:rsidRDefault="00BE7B50" w:rsidP="00BE7B50">
            <w:pPr>
              <w:pStyle w:val="a7"/>
              <w:ind w:left="0"/>
              <w:rPr>
                <w:sz w:val="22"/>
              </w:rPr>
            </w:pPr>
            <w:r w:rsidRPr="00B74A55">
              <w:rPr>
                <w:sz w:val="22"/>
              </w:rPr>
              <w:t xml:space="preserve">5. </w:t>
            </w:r>
            <w:proofErr w:type="spellStart"/>
            <w:r w:rsidRPr="00B74A55">
              <w:rPr>
                <w:sz w:val="22"/>
              </w:rPr>
              <w:t>Складання</w:t>
            </w:r>
            <w:proofErr w:type="spellEnd"/>
            <w:r w:rsidRPr="00B74A55">
              <w:rPr>
                <w:sz w:val="22"/>
              </w:rPr>
              <w:t xml:space="preserve"> </w:t>
            </w:r>
            <w:proofErr w:type="spellStart"/>
            <w:r w:rsidRPr="00B74A55">
              <w:rPr>
                <w:sz w:val="22"/>
              </w:rPr>
              <w:t>графіків</w:t>
            </w:r>
            <w:proofErr w:type="spellEnd"/>
            <w:r w:rsidRPr="00B74A55">
              <w:rPr>
                <w:sz w:val="22"/>
              </w:rPr>
              <w:t xml:space="preserve"> </w:t>
            </w:r>
            <w:proofErr w:type="spellStart"/>
            <w:r w:rsidRPr="00B74A55">
              <w:rPr>
                <w:sz w:val="22"/>
              </w:rPr>
              <w:t>проєктних</w:t>
            </w:r>
            <w:proofErr w:type="spellEnd"/>
            <w:r w:rsidRPr="00B74A55">
              <w:rPr>
                <w:sz w:val="22"/>
              </w:rPr>
              <w:t xml:space="preserve">, </w:t>
            </w:r>
            <w:proofErr w:type="spellStart"/>
            <w:r w:rsidRPr="00B74A55">
              <w:rPr>
                <w:sz w:val="22"/>
              </w:rPr>
              <w:t>ремонтних</w:t>
            </w:r>
            <w:proofErr w:type="spellEnd"/>
            <w:r w:rsidRPr="00B74A55">
              <w:rPr>
                <w:sz w:val="22"/>
              </w:rPr>
              <w:t xml:space="preserve"> та </w:t>
            </w:r>
            <w:proofErr w:type="spellStart"/>
            <w:r w:rsidRPr="00B74A55">
              <w:rPr>
                <w:sz w:val="22"/>
              </w:rPr>
              <w:t>будівельно-монтажних</w:t>
            </w:r>
            <w:proofErr w:type="spellEnd"/>
            <w:r w:rsidRPr="00B74A55">
              <w:rPr>
                <w:sz w:val="22"/>
              </w:rPr>
              <w:t xml:space="preserve"> </w:t>
            </w:r>
            <w:proofErr w:type="spellStart"/>
            <w:r w:rsidRPr="00B74A55">
              <w:rPr>
                <w:sz w:val="22"/>
              </w:rPr>
              <w:t>робіт</w:t>
            </w:r>
            <w:proofErr w:type="spellEnd"/>
            <w:r w:rsidRPr="00B74A55">
              <w:rPr>
                <w:sz w:val="22"/>
              </w:rPr>
              <w:t>.</w:t>
            </w:r>
          </w:p>
          <w:p w:rsidR="00BE7B50" w:rsidRPr="00B74A55" w:rsidRDefault="00BE7B50" w:rsidP="00BE7B50">
            <w:pPr>
              <w:pStyle w:val="a7"/>
              <w:ind w:left="0"/>
              <w:rPr>
                <w:sz w:val="22"/>
              </w:rPr>
            </w:pPr>
            <w:r w:rsidRPr="00B74A55">
              <w:rPr>
                <w:sz w:val="22"/>
              </w:rPr>
              <w:t xml:space="preserve">6. </w:t>
            </w:r>
            <w:proofErr w:type="spellStart"/>
            <w:r w:rsidRPr="00B74A55">
              <w:rPr>
                <w:sz w:val="22"/>
              </w:rPr>
              <w:t>Розробка</w:t>
            </w:r>
            <w:proofErr w:type="spellEnd"/>
            <w:r w:rsidRPr="00B74A55">
              <w:rPr>
                <w:sz w:val="22"/>
              </w:rPr>
              <w:t xml:space="preserve"> </w:t>
            </w:r>
            <w:proofErr w:type="spellStart"/>
            <w:r w:rsidRPr="00B74A55">
              <w:rPr>
                <w:sz w:val="22"/>
              </w:rPr>
              <w:t>проєктно-кошторисної</w:t>
            </w:r>
            <w:proofErr w:type="spellEnd"/>
            <w:r w:rsidRPr="00B74A55">
              <w:rPr>
                <w:sz w:val="22"/>
              </w:rPr>
              <w:t xml:space="preserve"> </w:t>
            </w:r>
            <w:proofErr w:type="spellStart"/>
            <w:r w:rsidRPr="00B74A55">
              <w:rPr>
                <w:sz w:val="22"/>
              </w:rPr>
              <w:t>документації</w:t>
            </w:r>
            <w:proofErr w:type="spellEnd"/>
            <w:r w:rsidRPr="00B74A55">
              <w:rPr>
                <w:sz w:val="22"/>
              </w:rPr>
              <w:t>.</w:t>
            </w:r>
          </w:p>
          <w:p w:rsidR="00BE7B50" w:rsidRPr="00B74A55" w:rsidRDefault="00BE7B50" w:rsidP="00BE7B50">
            <w:pPr>
              <w:pStyle w:val="a7"/>
              <w:ind w:left="0"/>
              <w:rPr>
                <w:sz w:val="22"/>
              </w:rPr>
            </w:pPr>
            <w:r w:rsidRPr="00B74A55">
              <w:rPr>
                <w:sz w:val="22"/>
              </w:rPr>
              <w:t xml:space="preserve">7. </w:t>
            </w:r>
            <w:proofErr w:type="spellStart"/>
            <w:r w:rsidRPr="00B74A55">
              <w:rPr>
                <w:sz w:val="22"/>
              </w:rPr>
              <w:t>Організація</w:t>
            </w:r>
            <w:proofErr w:type="spellEnd"/>
            <w:r w:rsidRPr="00B74A55">
              <w:rPr>
                <w:sz w:val="22"/>
              </w:rPr>
              <w:t xml:space="preserve"> </w:t>
            </w:r>
            <w:proofErr w:type="spellStart"/>
            <w:r w:rsidRPr="00B74A55">
              <w:rPr>
                <w:sz w:val="22"/>
              </w:rPr>
              <w:t>технічного</w:t>
            </w:r>
            <w:proofErr w:type="spellEnd"/>
            <w:r w:rsidRPr="00B74A55">
              <w:rPr>
                <w:sz w:val="22"/>
              </w:rPr>
              <w:t xml:space="preserve"> </w:t>
            </w:r>
            <w:proofErr w:type="spellStart"/>
            <w:r w:rsidRPr="00B74A55">
              <w:rPr>
                <w:sz w:val="22"/>
              </w:rPr>
              <w:t>нагляду</w:t>
            </w:r>
            <w:proofErr w:type="spellEnd"/>
            <w:r w:rsidRPr="00B74A55">
              <w:rPr>
                <w:sz w:val="22"/>
              </w:rPr>
              <w:t xml:space="preserve"> за </w:t>
            </w:r>
            <w:proofErr w:type="spellStart"/>
            <w:r w:rsidRPr="00B74A55">
              <w:rPr>
                <w:sz w:val="22"/>
              </w:rPr>
              <w:t>будівельно-монтажними</w:t>
            </w:r>
            <w:proofErr w:type="spellEnd"/>
            <w:r w:rsidRPr="00B74A55">
              <w:rPr>
                <w:sz w:val="22"/>
              </w:rPr>
              <w:t xml:space="preserve"> та </w:t>
            </w:r>
            <w:proofErr w:type="spellStart"/>
            <w:r w:rsidRPr="00B74A55">
              <w:rPr>
                <w:sz w:val="22"/>
              </w:rPr>
              <w:t>ремонтними</w:t>
            </w:r>
            <w:proofErr w:type="spellEnd"/>
            <w:r w:rsidRPr="00B74A55">
              <w:rPr>
                <w:sz w:val="22"/>
              </w:rPr>
              <w:t xml:space="preserve"> роботами.</w:t>
            </w:r>
          </w:p>
          <w:p w:rsidR="00BE7B50" w:rsidRPr="00B74A55" w:rsidRDefault="00BE7B50" w:rsidP="00BE7B50">
            <w:pPr>
              <w:pStyle w:val="a7"/>
              <w:ind w:left="0"/>
              <w:rPr>
                <w:sz w:val="22"/>
              </w:rPr>
            </w:pPr>
            <w:r w:rsidRPr="00B74A55">
              <w:rPr>
                <w:sz w:val="22"/>
              </w:rPr>
              <w:t xml:space="preserve">8. </w:t>
            </w:r>
            <w:proofErr w:type="spellStart"/>
            <w:r w:rsidRPr="00B74A55">
              <w:rPr>
                <w:sz w:val="22"/>
              </w:rPr>
              <w:t>Виконання</w:t>
            </w:r>
            <w:proofErr w:type="spellEnd"/>
            <w:r w:rsidRPr="00B74A55">
              <w:rPr>
                <w:sz w:val="22"/>
              </w:rPr>
              <w:t xml:space="preserve"> </w:t>
            </w:r>
            <w:proofErr w:type="spellStart"/>
            <w:r w:rsidRPr="00B74A55">
              <w:rPr>
                <w:sz w:val="22"/>
              </w:rPr>
              <w:t>демонтажних</w:t>
            </w:r>
            <w:proofErr w:type="spellEnd"/>
            <w:r w:rsidRPr="00B74A55">
              <w:rPr>
                <w:sz w:val="22"/>
              </w:rPr>
              <w:t xml:space="preserve"> </w:t>
            </w:r>
            <w:proofErr w:type="spellStart"/>
            <w:r w:rsidRPr="00B74A55">
              <w:rPr>
                <w:sz w:val="22"/>
              </w:rPr>
              <w:t>робіт</w:t>
            </w:r>
            <w:proofErr w:type="spellEnd"/>
            <w:r w:rsidRPr="00B74A55">
              <w:rPr>
                <w:sz w:val="22"/>
              </w:rPr>
              <w:t xml:space="preserve"> та </w:t>
            </w:r>
            <w:proofErr w:type="spellStart"/>
            <w:r w:rsidRPr="00B74A55">
              <w:rPr>
                <w:sz w:val="22"/>
              </w:rPr>
              <w:t>планування</w:t>
            </w:r>
            <w:proofErr w:type="spellEnd"/>
            <w:r w:rsidRPr="00B74A55">
              <w:rPr>
                <w:sz w:val="22"/>
              </w:rPr>
              <w:t xml:space="preserve"> </w:t>
            </w:r>
            <w:proofErr w:type="spellStart"/>
            <w:r w:rsidRPr="00B74A55">
              <w:rPr>
                <w:sz w:val="22"/>
              </w:rPr>
              <w:t>території</w:t>
            </w:r>
            <w:proofErr w:type="spellEnd"/>
            <w:r w:rsidRPr="00B74A55">
              <w:rPr>
                <w:sz w:val="22"/>
              </w:rPr>
              <w:t xml:space="preserve">. </w:t>
            </w:r>
          </w:p>
          <w:p w:rsidR="00BE7B50" w:rsidRPr="00B74A55" w:rsidRDefault="00BE7B50" w:rsidP="00BE7B50">
            <w:pPr>
              <w:pStyle w:val="a7"/>
              <w:ind w:left="0"/>
              <w:rPr>
                <w:sz w:val="22"/>
              </w:rPr>
            </w:pPr>
            <w:r w:rsidRPr="00B74A55">
              <w:rPr>
                <w:sz w:val="22"/>
              </w:rPr>
              <w:t xml:space="preserve">9. </w:t>
            </w:r>
            <w:proofErr w:type="spellStart"/>
            <w:r w:rsidRPr="00B74A55">
              <w:rPr>
                <w:sz w:val="22"/>
              </w:rPr>
              <w:t>Виконання</w:t>
            </w:r>
            <w:proofErr w:type="spellEnd"/>
            <w:r w:rsidRPr="00B74A55">
              <w:rPr>
                <w:sz w:val="22"/>
              </w:rPr>
              <w:t xml:space="preserve"> </w:t>
            </w:r>
            <w:proofErr w:type="spellStart"/>
            <w:r w:rsidRPr="00B74A55">
              <w:rPr>
                <w:sz w:val="22"/>
              </w:rPr>
              <w:t>будівельно-монтажних</w:t>
            </w:r>
            <w:proofErr w:type="spellEnd"/>
            <w:r w:rsidRPr="00B74A55">
              <w:rPr>
                <w:sz w:val="22"/>
              </w:rPr>
              <w:t xml:space="preserve"> та </w:t>
            </w:r>
            <w:proofErr w:type="spellStart"/>
            <w:r w:rsidRPr="00B74A55">
              <w:rPr>
                <w:sz w:val="22"/>
              </w:rPr>
              <w:t>ремонтних</w:t>
            </w:r>
            <w:proofErr w:type="spellEnd"/>
            <w:r w:rsidRPr="00B74A55">
              <w:rPr>
                <w:sz w:val="22"/>
              </w:rPr>
              <w:t xml:space="preserve"> </w:t>
            </w:r>
            <w:proofErr w:type="spellStart"/>
            <w:r w:rsidRPr="00B74A55">
              <w:rPr>
                <w:sz w:val="22"/>
              </w:rPr>
              <w:t>робіт</w:t>
            </w:r>
            <w:proofErr w:type="spellEnd"/>
            <w:r w:rsidRPr="00B74A55">
              <w:rPr>
                <w:sz w:val="22"/>
              </w:rPr>
              <w:t>.</w:t>
            </w:r>
          </w:p>
          <w:p w:rsidR="00BE7B50" w:rsidRPr="00B74A55" w:rsidRDefault="00BE7B50" w:rsidP="00BE7B50">
            <w:pPr>
              <w:pStyle w:val="a7"/>
              <w:ind w:left="0"/>
              <w:rPr>
                <w:sz w:val="22"/>
              </w:rPr>
            </w:pPr>
            <w:r w:rsidRPr="00B74A55">
              <w:rPr>
                <w:sz w:val="22"/>
              </w:rPr>
              <w:t xml:space="preserve">10. </w:t>
            </w:r>
            <w:proofErr w:type="spellStart"/>
            <w:r w:rsidRPr="00B74A55">
              <w:rPr>
                <w:sz w:val="22"/>
              </w:rPr>
              <w:t>Придбання</w:t>
            </w:r>
            <w:proofErr w:type="spellEnd"/>
            <w:r w:rsidRPr="00B74A55">
              <w:rPr>
                <w:sz w:val="22"/>
              </w:rPr>
              <w:t xml:space="preserve"> </w:t>
            </w:r>
            <w:proofErr w:type="spellStart"/>
            <w:r w:rsidRPr="00B74A55">
              <w:rPr>
                <w:sz w:val="22"/>
              </w:rPr>
              <w:t>матеріального</w:t>
            </w:r>
            <w:proofErr w:type="spellEnd"/>
            <w:r w:rsidRPr="00B74A55">
              <w:rPr>
                <w:sz w:val="22"/>
              </w:rPr>
              <w:t xml:space="preserve">, </w:t>
            </w:r>
            <w:proofErr w:type="spellStart"/>
            <w:r w:rsidRPr="00B74A55">
              <w:rPr>
                <w:sz w:val="22"/>
              </w:rPr>
              <w:t>технічного</w:t>
            </w:r>
            <w:proofErr w:type="spellEnd"/>
            <w:r w:rsidRPr="00B74A55">
              <w:rPr>
                <w:sz w:val="22"/>
              </w:rPr>
              <w:t xml:space="preserve"> та </w:t>
            </w:r>
            <w:proofErr w:type="spellStart"/>
            <w:r w:rsidRPr="00B74A55">
              <w:rPr>
                <w:sz w:val="22"/>
              </w:rPr>
              <w:t>технологічного</w:t>
            </w:r>
            <w:proofErr w:type="spellEnd"/>
            <w:r w:rsidRPr="00B74A55">
              <w:rPr>
                <w:sz w:val="22"/>
              </w:rPr>
              <w:t xml:space="preserve"> </w:t>
            </w:r>
            <w:proofErr w:type="spellStart"/>
            <w:r w:rsidRPr="00B74A55">
              <w:rPr>
                <w:sz w:val="22"/>
              </w:rPr>
              <w:t>обладнання</w:t>
            </w:r>
            <w:proofErr w:type="spellEnd"/>
            <w:r w:rsidRPr="00B74A55">
              <w:rPr>
                <w:sz w:val="22"/>
              </w:rPr>
              <w:t>.</w:t>
            </w:r>
          </w:p>
          <w:p w:rsidR="00BE7B50" w:rsidRPr="00B74A55" w:rsidRDefault="00BE7B50" w:rsidP="00BE7B50">
            <w:pPr>
              <w:pStyle w:val="a7"/>
              <w:ind w:left="0"/>
              <w:rPr>
                <w:sz w:val="22"/>
              </w:rPr>
            </w:pPr>
            <w:r w:rsidRPr="00B74A55">
              <w:rPr>
                <w:sz w:val="22"/>
              </w:rPr>
              <w:t xml:space="preserve">11. </w:t>
            </w:r>
            <w:proofErr w:type="spellStart"/>
            <w:r w:rsidRPr="00B74A55">
              <w:rPr>
                <w:sz w:val="22"/>
              </w:rPr>
              <w:t>Підписання</w:t>
            </w:r>
            <w:proofErr w:type="spellEnd"/>
            <w:r w:rsidRPr="00B74A55">
              <w:rPr>
                <w:sz w:val="22"/>
              </w:rPr>
              <w:t xml:space="preserve"> акту </w:t>
            </w:r>
            <w:proofErr w:type="spellStart"/>
            <w:r w:rsidRPr="00B74A55">
              <w:rPr>
                <w:sz w:val="22"/>
              </w:rPr>
              <w:t>прийому-передачі</w:t>
            </w:r>
            <w:proofErr w:type="spellEnd"/>
            <w:r w:rsidRPr="00B74A55">
              <w:rPr>
                <w:sz w:val="22"/>
              </w:rPr>
              <w:t>.</w:t>
            </w:r>
          </w:p>
          <w:p w:rsidR="00BE7B50" w:rsidRPr="00B74A55" w:rsidRDefault="00BE7B50" w:rsidP="00BE7B50">
            <w:pPr>
              <w:pStyle w:val="a7"/>
              <w:ind w:left="0"/>
              <w:rPr>
                <w:sz w:val="22"/>
              </w:rPr>
            </w:pPr>
            <w:r w:rsidRPr="00B74A55">
              <w:rPr>
                <w:sz w:val="22"/>
              </w:rPr>
              <w:t xml:space="preserve">12. </w:t>
            </w:r>
            <w:proofErr w:type="spellStart"/>
            <w:r w:rsidRPr="00B74A55">
              <w:rPr>
                <w:sz w:val="22"/>
              </w:rPr>
              <w:t>Проведення</w:t>
            </w:r>
            <w:proofErr w:type="spellEnd"/>
            <w:r w:rsidRPr="00B74A55">
              <w:rPr>
                <w:sz w:val="22"/>
              </w:rPr>
              <w:t xml:space="preserve"> </w:t>
            </w:r>
            <w:proofErr w:type="spellStart"/>
            <w:r w:rsidRPr="00B74A55">
              <w:rPr>
                <w:sz w:val="22"/>
              </w:rPr>
              <w:t>інвентаризації</w:t>
            </w:r>
            <w:proofErr w:type="spellEnd"/>
            <w:r w:rsidRPr="00B74A55">
              <w:rPr>
                <w:sz w:val="22"/>
              </w:rPr>
              <w:t xml:space="preserve"> </w:t>
            </w:r>
            <w:proofErr w:type="spellStart"/>
            <w:r w:rsidRPr="00B74A55">
              <w:rPr>
                <w:sz w:val="22"/>
              </w:rPr>
              <w:t>основних</w:t>
            </w:r>
            <w:proofErr w:type="spellEnd"/>
            <w:r w:rsidRPr="00B74A55">
              <w:rPr>
                <w:sz w:val="22"/>
              </w:rPr>
              <w:t xml:space="preserve"> </w:t>
            </w:r>
            <w:proofErr w:type="spellStart"/>
            <w:r w:rsidRPr="00B74A55">
              <w:rPr>
                <w:sz w:val="22"/>
              </w:rPr>
              <w:t>засобів</w:t>
            </w:r>
            <w:proofErr w:type="spellEnd"/>
            <w:r w:rsidRPr="00B74A55">
              <w:rPr>
                <w:sz w:val="22"/>
              </w:rPr>
              <w:t>;</w:t>
            </w:r>
          </w:p>
          <w:p w:rsidR="00BE7B50" w:rsidRPr="00B74A55" w:rsidRDefault="00BE7B50" w:rsidP="00BE7B50">
            <w:pPr>
              <w:pStyle w:val="a7"/>
              <w:ind w:left="0"/>
              <w:rPr>
                <w:sz w:val="22"/>
              </w:rPr>
            </w:pPr>
            <w:r w:rsidRPr="00B74A55">
              <w:rPr>
                <w:sz w:val="22"/>
              </w:rPr>
              <w:t xml:space="preserve">13. </w:t>
            </w:r>
            <w:proofErr w:type="spellStart"/>
            <w:r w:rsidRPr="00B74A55">
              <w:rPr>
                <w:sz w:val="22"/>
              </w:rPr>
              <w:t>Придбання</w:t>
            </w:r>
            <w:proofErr w:type="spellEnd"/>
            <w:r w:rsidRPr="00B74A55">
              <w:rPr>
                <w:sz w:val="22"/>
              </w:rPr>
              <w:t xml:space="preserve"> </w:t>
            </w:r>
            <w:proofErr w:type="spellStart"/>
            <w:r w:rsidRPr="00B74A55">
              <w:rPr>
                <w:sz w:val="22"/>
              </w:rPr>
              <w:t>технічного</w:t>
            </w:r>
            <w:proofErr w:type="spellEnd"/>
            <w:r w:rsidRPr="00B74A55">
              <w:rPr>
                <w:sz w:val="22"/>
              </w:rPr>
              <w:t xml:space="preserve"> </w:t>
            </w:r>
            <w:proofErr w:type="spellStart"/>
            <w:r w:rsidRPr="00B74A55">
              <w:rPr>
                <w:sz w:val="22"/>
              </w:rPr>
              <w:t>обладнання</w:t>
            </w:r>
            <w:proofErr w:type="spellEnd"/>
            <w:r w:rsidRPr="00B74A55">
              <w:rPr>
                <w:sz w:val="22"/>
              </w:rPr>
              <w:t xml:space="preserve"> та </w:t>
            </w:r>
            <w:proofErr w:type="spellStart"/>
            <w:r w:rsidRPr="00B74A55">
              <w:rPr>
                <w:sz w:val="22"/>
              </w:rPr>
              <w:t>устаткування</w:t>
            </w:r>
            <w:proofErr w:type="spellEnd"/>
            <w:r w:rsidRPr="00B74A55">
              <w:rPr>
                <w:sz w:val="22"/>
              </w:rPr>
              <w:t xml:space="preserve">, </w:t>
            </w:r>
            <w:proofErr w:type="spellStart"/>
            <w:r w:rsidRPr="00B74A55">
              <w:rPr>
                <w:sz w:val="22"/>
              </w:rPr>
              <w:t>необхідних</w:t>
            </w:r>
            <w:proofErr w:type="spellEnd"/>
            <w:r w:rsidRPr="00B74A55">
              <w:rPr>
                <w:sz w:val="22"/>
              </w:rPr>
              <w:t xml:space="preserve"> для </w:t>
            </w:r>
            <w:proofErr w:type="spellStart"/>
            <w:r w:rsidRPr="00B74A55">
              <w:rPr>
                <w:sz w:val="22"/>
              </w:rPr>
              <w:t>відновлення</w:t>
            </w:r>
            <w:proofErr w:type="spellEnd"/>
            <w:r w:rsidRPr="00B74A55">
              <w:rPr>
                <w:sz w:val="22"/>
              </w:rPr>
              <w:t xml:space="preserve"> </w:t>
            </w:r>
            <w:proofErr w:type="spellStart"/>
            <w:r w:rsidRPr="00B74A55">
              <w:rPr>
                <w:sz w:val="22"/>
              </w:rPr>
              <w:t>освітнього</w:t>
            </w:r>
            <w:proofErr w:type="spellEnd"/>
            <w:r w:rsidRPr="00B74A55">
              <w:rPr>
                <w:sz w:val="22"/>
              </w:rPr>
              <w:t xml:space="preserve"> </w:t>
            </w:r>
            <w:proofErr w:type="spellStart"/>
            <w:r w:rsidRPr="00B74A55">
              <w:rPr>
                <w:sz w:val="22"/>
              </w:rPr>
              <w:t>процесу</w:t>
            </w:r>
            <w:proofErr w:type="spellEnd"/>
            <w:r w:rsidRPr="00B74A55">
              <w:rPr>
                <w:sz w:val="22"/>
              </w:rPr>
              <w:t xml:space="preserve"> в </w:t>
            </w:r>
            <w:proofErr w:type="spellStart"/>
            <w:r w:rsidRPr="00B74A55">
              <w:rPr>
                <w:sz w:val="22"/>
              </w:rPr>
              <w:t>Гімназії</w:t>
            </w:r>
            <w:proofErr w:type="spellEnd"/>
            <w:r w:rsidRPr="00B74A55">
              <w:rPr>
                <w:sz w:val="22"/>
              </w:rPr>
              <w:t xml:space="preserve"> № 10.</w:t>
            </w:r>
          </w:p>
          <w:p w:rsidR="00BE7B50" w:rsidRPr="00B74A55" w:rsidRDefault="00BE7B50" w:rsidP="00BE7B50">
            <w:pPr>
              <w:pStyle w:val="a7"/>
              <w:ind w:left="0"/>
              <w:rPr>
                <w:sz w:val="22"/>
              </w:rPr>
            </w:pPr>
            <w:r w:rsidRPr="00B74A55">
              <w:rPr>
                <w:sz w:val="22"/>
              </w:rPr>
              <w:t xml:space="preserve">14. </w:t>
            </w:r>
            <w:proofErr w:type="spellStart"/>
            <w:r w:rsidRPr="00B74A55">
              <w:rPr>
                <w:sz w:val="22"/>
              </w:rPr>
              <w:t>Повернення</w:t>
            </w:r>
            <w:proofErr w:type="spellEnd"/>
            <w:r w:rsidRPr="00B74A55">
              <w:rPr>
                <w:sz w:val="22"/>
              </w:rPr>
              <w:t xml:space="preserve"> </w:t>
            </w:r>
            <w:proofErr w:type="spellStart"/>
            <w:r w:rsidRPr="00B74A55">
              <w:rPr>
                <w:sz w:val="22"/>
              </w:rPr>
              <w:t>педагогічних</w:t>
            </w:r>
            <w:proofErr w:type="spellEnd"/>
            <w:r w:rsidRPr="00B74A55">
              <w:rPr>
                <w:sz w:val="22"/>
              </w:rPr>
              <w:t xml:space="preserve"> </w:t>
            </w:r>
            <w:proofErr w:type="spellStart"/>
            <w:r w:rsidRPr="00B74A55">
              <w:rPr>
                <w:sz w:val="22"/>
              </w:rPr>
              <w:t>працівників</w:t>
            </w:r>
            <w:proofErr w:type="spellEnd"/>
            <w:r w:rsidRPr="00B74A55">
              <w:rPr>
                <w:sz w:val="22"/>
              </w:rPr>
              <w:t xml:space="preserve"> до </w:t>
            </w:r>
            <w:proofErr w:type="spellStart"/>
            <w:r w:rsidRPr="00B74A55">
              <w:rPr>
                <w:sz w:val="22"/>
              </w:rPr>
              <w:t>Сєвєродонецької</w:t>
            </w:r>
            <w:proofErr w:type="spellEnd"/>
            <w:r w:rsidRPr="00B74A55">
              <w:rPr>
                <w:sz w:val="22"/>
              </w:rPr>
              <w:t xml:space="preserve"> </w:t>
            </w:r>
            <w:proofErr w:type="spellStart"/>
            <w:r w:rsidRPr="00B74A55">
              <w:rPr>
                <w:sz w:val="22"/>
              </w:rPr>
              <w:t>територіальної</w:t>
            </w:r>
            <w:proofErr w:type="spellEnd"/>
            <w:r w:rsidRPr="00B74A55">
              <w:rPr>
                <w:sz w:val="22"/>
              </w:rPr>
              <w:t xml:space="preserve"> </w:t>
            </w:r>
            <w:proofErr w:type="spellStart"/>
            <w:r w:rsidRPr="00B74A55">
              <w:rPr>
                <w:sz w:val="22"/>
              </w:rPr>
              <w:t>громади</w:t>
            </w:r>
            <w:proofErr w:type="spellEnd"/>
          </w:p>
          <w:p w:rsidR="00BE7B50" w:rsidRPr="00B74A55" w:rsidRDefault="00BE7B50" w:rsidP="00BE7B50">
            <w:pPr>
              <w:pStyle w:val="a7"/>
              <w:ind w:left="0"/>
              <w:rPr>
                <w:sz w:val="22"/>
              </w:rPr>
            </w:pPr>
            <w:r w:rsidRPr="00B74A55">
              <w:rPr>
                <w:sz w:val="22"/>
              </w:rPr>
              <w:t xml:space="preserve">15. </w:t>
            </w:r>
            <w:proofErr w:type="spellStart"/>
            <w:r w:rsidRPr="00B74A55">
              <w:rPr>
                <w:sz w:val="22"/>
              </w:rPr>
              <w:t>Відновлення</w:t>
            </w:r>
            <w:proofErr w:type="spellEnd"/>
            <w:r w:rsidRPr="00B74A55">
              <w:rPr>
                <w:sz w:val="22"/>
              </w:rPr>
              <w:t xml:space="preserve"> </w:t>
            </w:r>
            <w:proofErr w:type="spellStart"/>
            <w:r w:rsidRPr="00B74A55">
              <w:rPr>
                <w:sz w:val="22"/>
              </w:rPr>
              <w:t>освітнього</w:t>
            </w:r>
            <w:proofErr w:type="spellEnd"/>
            <w:r w:rsidRPr="00B74A55">
              <w:rPr>
                <w:sz w:val="22"/>
              </w:rPr>
              <w:t xml:space="preserve"> </w:t>
            </w:r>
            <w:proofErr w:type="spellStart"/>
            <w:r w:rsidRPr="00B74A55">
              <w:rPr>
                <w:sz w:val="22"/>
              </w:rPr>
              <w:t>процесу</w:t>
            </w:r>
            <w:proofErr w:type="spellEnd"/>
            <w:r w:rsidRPr="00B74A55">
              <w:rPr>
                <w:sz w:val="22"/>
              </w:rPr>
              <w:t xml:space="preserve"> в </w:t>
            </w:r>
            <w:proofErr w:type="spellStart"/>
            <w:r w:rsidRPr="00B74A55">
              <w:rPr>
                <w:sz w:val="22"/>
              </w:rPr>
              <w:t>закладі</w:t>
            </w:r>
            <w:proofErr w:type="spellEnd"/>
          </w:p>
        </w:tc>
      </w:tr>
      <w:tr w:rsidR="00BE7B50" w:rsidRPr="00B74A55" w:rsidTr="00F34B87">
        <w:trPr>
          <w:trHeight w:val="360"/>
        </w:trPr>
        <w:tc>
          <w:tcPr>
            <w:tcW w:w="2978" w:type="dxa"/>
            <w:vMerge w:val="restart"/>
            <w:shd w:val="clear" w:color="auto" w:fill="C6D9F1" w:themeFill="text2" w:themeFillTint="33"/>
          </w:tcPr>
          <w:p w:rsidR="00BE7B50" w:rsidRPr="00B74A55" w:rsidRDefault="00BE7B50" w:rsidP="00BE7B50">
            <w:pPr>
              <w:pStyle w:val="a7"/>
              <w:ind w:left="0"/>
              <w:rPr>
                <w:b/>
                <w:sz w:val="22"/>
              </w:rPr>
            </w:pPr>
            <w:proofErr w:type="spellStart"/>
            <w:r w:rsidRPr="00B74A55">
              <w:rPr>
                <w:b/>
                <w:sz w:val="22"/>
              </w:rPr>
              <w:t>Орієнтовний</w:t>
            </w:r>
            <w:proofErr w:type="spellEnd"/>
            <w:r w:rsidRPr="00B74A55">
              <w:rPr>
                <w:b/>
                <w:sz w:val="22"/>
              </w:rPr>
              <w:t xml:space="preserve"> </w:t>
            </w:r>
            <w:proofErr w:type="spellStart"/>
            <w:r w:rsidRPr="00B74A55">
              <w:rPr>
                <w:b/>
                <w:sz w:val="22"/>
              </w:rPr>
              <w:t>обсяг</w:t>
            </w:r>
            <w:proofErr w:type="spellEnd"/>
            <w:r w:rsidRPr="00B74A55">
              <w:rPr>
                <w:b/>
                <w:sz w:val="22"/>
              </w:rPr>
              <w:t xml:space="preserve"> та </w:t>
            </w:r>
            <w:proofErr w:type="spellStart"/>
            <w:r w:rsidRPr="00B74A55">
              <w:rPr>
                <w:b/>
                <w:sz w:val="22"/>
              </w:rPr>
              <w:t>джерела</w:t>
            </w:r>
            <w:proofErr w:type="spellEnd"/>
            <w:r w:rsidRPr="00B74A55">
              <w:rPr>
                <w:b/>
                <w:sz w:val="22"/>
              </w:rPr>
              <w:t xml:space="preserve"> </w:t>
            </w:r>
            <w:proofErr w:type="spellStart"/>
            <w:r w:rsidRPr="00B74A55">
              <w:rPr>
                <w:b/>
                <w:sz w:val="22"/>
              </w:rPr>
              <w:t>фінансування</w:t>
            </w:r>
            <w:proofErr w:type="spellEnd"/>
            <w:r w:rsidRPr="00B74A55">
              <w:rPr>
                <w:b/>
                <w:sz w:val="22"/>
              </w:rPr>
              <w:t xml:space="preserve">, тис. грн. </w:t>
            </w:r>
          </w:p>
          <w:p w:rsidR="00BE7B50" w:rsidRPr="00B74A55" w:rsidRDefault="00BE7B50" w:rsidP="00BE7B50">
            <w:pPr>
              <w:pStyle w:val="a7"/>
              <w:ind w:left="0"/>
              <w:rPr>
                <w:b/>
                <w:sz w:val="22"/>
              </w:rPr>
            </w:pPr>
          </w:p>
        </w:tc>
        <w:tc>
          <w:tcPr>
            <w:tcW w:w="1126" w:type="dxa"/>
            <w:tcBorders>
              <w:bottom w:val="single" w:sz="4" w:space="0" w:color="auto"/>
              <w:right w:val="single" w:sz="4" w:space="0" w:color="auto"/>
            </w:tcBorders>
          </w:tcPr>
          <w:p w:rsidR="00BE7B50" w:rsidRPr="00B74A55" w:rsidRDefault="00BE7B50" w:rsidP="00BE7B50">
            <w:pPr>
              <w:pStyle w:val="a7"/>
              <w:ind w:left="0"/>
              <w:jc w:val="center"/>
              <w:rPr>
                <w:b/>
                <w:sz w:val="22"/>
              </w:rPr>
            </w:pPr>
            <w:proofErr w:type="spellStart"/>
            <w:r w:rsidRPr="00B74A55">
              <w:rPr>
                <w:b/>
                <w:sz w:val="22"/>
              </w:rPr>
              <w:t>Державний</w:t>
            </w:r>
            <w:proofErr w:type="spellEnd"/>
            <w:r w:rsidRPr="00B74A55">
              <w:rPr>
                <w:b/>
                <w:sz w:val="22"/>
              </w:rPr>
              <w:t xml:space="preserve"> бюджет</w:t>
            </w:r>
          </w:p>
        </w:tc>
        <w:tc>
          <w:tcPr>
            <w:tcW w:w="1267" w:type="dxa"/>
            <w:tcBorders>
              <w:bottom w:val="single" w:sz="4" w:space="0" w:color="auto"/>
              <w:right w:val="single" w:sz="4" w:space="0" w:color="auto"/>
            </w:tcBorders>
          </w:tcPr>
          <w:p w:rsidR="00BE7B50" w:rsidRPr="00B74A55" w:rsidRDefault="00BE7B50" w:rsidP="00BE7B50">
            <w:pPr>
              <w:pStyle w:val="a7"/>
              <w:ind w:left="0"/>
              <w:jc w:val="center"/>
              <w:rPr>
                <w:b/>
                <w:sz w:val="22"/>
              </w:rPr>
            </w:pPr>
            <w:proofErr w:type="spellStart"/>
            <w:r w:rsidRPr="00B74A55">
              <w:rPr>
                <w:b/>
                <w:sz w:val="22"/>
              </w:rPr>
              <w:t>Місцевий</w:t>
            </w:r>
            <w:proofErr w:type="spellEnd"/>
            <w:r w:rsidRPr="00B74A55">
              <w:rPr>
                <w:b/>
                <w:sz w:val="22"/>
              </w:rPr>
              <w:t xml:space="preserve"> бюджет</w:t>
            </w:r>
          </w:p>
        </w:tc>
        <w:tc>
          <w:tcPr>
            <w:tcW w:w="3125" w:type="dxa"/>
            <w:gridSpan w:val="3"/>
            <w:tcBorders>
              <w:left w:val="single" w:sz="4" w:space="0" w:color="auto"/>
              <w:bottom w:val="single" w:sz="4" w:space="0" w:color="auto"/>
              <w:right w:val="single" w:sz="4" w:space="0" w:color="auto"/>
            </w:tcBorders>
          </w:tcPr>
          <w:p w:rsidR="00BE7B50" w:rsidRPr="00B74A55" w:rsidRDefault="00BE7B50" w:rsidP="00BE7B50">
            <w:pPr>
              <w:pStyle w:val="a7"/>
              <w:ind w:left="0"/>
              <w:jc w:val="center"/>
              <w:rPr>
                <w:b/>
                <w:sz w:val="22"/>
              </w:rPr>
            </w:pPr>
            <w:proofErr w:type="spellStart"/>
            <w:r w:rsidRPr="00B74A55">
              <w:rPr>
                <w:b/>
                <w:sz w:val="22"/>
              </w:rPr>
              <w:t>Інші</w:t>
            </w:r>
            <w:proofErr w:type="spellEnd"/>
            <w:r w:rsidRPr="00B74A55">
              <w:rPr>
                <w:b/>
                <w:sz w:val="22"/>
              </w:rPr>
              <w:t xml:space="preserve"> </w:t>
            </w:r>
            <w:proofErr w:type="spellStart"/>
            <w:r w:rsidRPr="00B74A55">
              <w:rPr>
                <w:b/>
                <w:sz w:val="22"/>
              </w:rPr>
              <w:t>джерела</w:t>
            </w:r>
            <w:proofErr w:type="spellEnd"/>
          </w:p>
        </w:tc>
        <w:tc>
          <w:tcPr>
            <w:tcW w:w="1392" w:type="dxa"/>
            <w:tcBorders>
              <w:left w:val="single" w:sz="4" w:space="0" w:color="auto"/>
              <w:bottom w:val="single" w:sz="4" w:space="0" w:color="auto"/>
            </w:tcBorders>
          </w:tcPr>
          <w:p w:rsidR="00BE7B50" w:rsidRPr="00B74A55" w:rsidRDefault="00BE7B50" w:rsidP="00BE7B50">
            <w:pPr>
              <w:pStyle w:val="a7"/>
              <w:ind w:left="0"/>
              <w:jc w:val="center"/>
              <w:rPr>
                <w:b/>
                <w:sz w:val="22"/>
              </w:rPr>
            </w:pPr>
            <w:proofErr w:type="spellStart"/>
            <w:r w:rsidRPr="00B74A55">
              <w:rPr>
                <w:b/>
                <w:sz w:val="22"/>
              </w:rPr>
              <w:t>Всього</w:t>
            </w:r>
            <w:proofErr w:type="spellEnd"/>
          </w:p>
        </w:tc>
      </w:tr>
      <w:tr w:rsidR="00BE7B50" w:rsidRPr="00B74A55" w:rsidTr="00F34B87">
        <w:trPr>
          <w:trHeight w:val="225"/>
        </w:trPr>
        <w:tc>
          <w:tcPr>
            <w:tcW w:w="2978" w:type="dxa"/>
            <w:vMerge/>
            <w:shd w:val="clear" w:color="auto" w:fill="C6D9F1" w:themeFill="text2" w:themeFillTint="33"/>
          </w:tcPr>
          <w:p w:rsidR="00BE7B50" w:rsidRPr="00B74A55" w:rsidRDefault="00BE7B50" w:rsidP="00BE7B50">
            <w:pPr>
              <w:pStyle w:val="a7"/>
              <w:ind w:left="0"/>
              <w:rPr>
                <w:b/>
                <w:sz w:val="22"/>
              </w:rPr>
            </w:pPr>
          </w:p>
        </w:tc>
        <w:tc>
          <w:tcPr>
            <w:tcW w:w="1126" w:type="dxa"/>
            <w:vMerge w:val="restart"/>
            <w:tcBorders>
              <w:top w:val="single" w:sz="4" w:space="0" w:color="auto"/>
              <w:right w:val="single" w:sz="4" w:space="0" w:color="auto"/>
            </w:tcBorders>
            <w:vAlign w:val="center"/>
          </w:tcPr>
          <w:p w:rsidR="00BE7B50" w:rsidRPr="00B74A55" w:rsidRDefault="00BE7B50" w:rsidP="00BE7B50">
            <w:pPr>
              <w:pStyle w:val="a7"/>
              <w:ind w:left="0"/>
              <w:jc w:val="center"/>
              <w:rPr>
                <w:sz w:val="22"/>
              </w:rPr>
            </w:pPr>
            <w:r w:rsidRPr="00B74A55">
              <w:rPr>
                <w:sz w:val="22"/>
              </w:rPr>
              <w:t>20 000</w:t>
            </w:r>
          </w:p>
        </w:tc>
        <w:tc>
          <w:tcPr>
            <w:tcW w:w="1267" w:type="dxa"/>
            <w:vMerge w:val="restart"/>
            <w:tcBorders>
              <w:top w:val="single" w:sz="4" w:space="0" w:color="auto"/>
              <w:right w:val="single" w:sz="4" w:space="0" w:color="auto"/>
            </w:tcBorders>
            <w:vAlign w:val="center"/>
          </w:tcPr>
          <w:p w:rsidR="00BE7B50" w:rsidRPr="00B74A55" w:rsidRDefault="00BE7B50" w:rsidP="00BE7B50">
            <w:pPr>
              <w:pStyle w:val="a7"/>
              <w:ind w:left="0"/>
              <w:jc w:val="center"/>
              <w:rPr>
                <w:b/>
                <w:sz w:val="22"/>
              </w:rPr>
            </w:pPr>
            <w:r w:rsidRPr="00B74A55">
              <w:rPr>
                <w:b/>
                <w:sz w:val="22"/>
              </w:rPr>
              <w:t>-</w:t>
            </w:r>
          </w:p>
        </w:tc>
        <w:tc>
          <w:tcPr>
            <w:tcW w:w="1176" w:type="dxa"/>
            <w:tcBorders>
              <w:top w:val="single" w:sz="4" w:space="0" w:color="auto"/>
              <w:left w:val="single" w:sz="4" w:space="0" w:color="auto"/>
              <w:bottom w:val="single" w:sz="4" w:space="0" w:color="auto"/>
              <w:right w:val="single" w:sz="4" w:space="0" w:color="auto"/>
            </w:tcBorders>
          </w:tcPr>
          <w:p w:rsidR="00BE7B50" w:rsidRPr="00B74A55" w:rsidRDefault="00BE7B50" w:rsidP="00BE7B50">
            <w:pPr>
              <w:pStyle w:val="a7"/>
              <w:ind w:left="0"/>
              <w:jc w:val="center"/>
              <w:rPr>
                <w:b/>
                <w:sz w:val="22"/>
              </w:rPr>
            </w:pPr>
            <w:proofErr w:type="spellStart"/>
            <w:r w:rsidRPr="00B74A55">
              <w:rPr>
                <w:b/>
                <w:sz w:val="22"/>
              </w:rPr>
              <w:t>Обсяг</w:t>
            </w:r>
            <w:proofErr w:type="spellEnd"/>
          </w:p>
        </w:tc>
        <w:tc>
          <w:tcPr>
            <w:tcW w:w="1949" w:type="dxa"/>
            <w:gridSpan w:val="2"/>
            <w:tcBorders>
              <w:top w:val="single" w:sz="4" w:space="0" w:color="auto"/>
              <w:left w:val="single" w:sz="4" w:space="0" w:color="auto"/>
              <w:bottom w:val="single" w:sz="4" w:space="0" w:color="auto"/>
              <w:right w:val="single" w:sz="4" w:space="0" w:color="auto"/>
            </w:tcBorders>
          </w:tcPr>
          <w:p w:rsidR="00BE7B50" w:rsidRPr="00B74A55" w:rsidRDefault="00BE7B50" w:rsidP="00BE7B50">
            <w:pPr>
              <w:pStyle w:val="a7"/>
              <w:ind w:left="0"/>
              <w:jc w:val="center"/>
              <w:rPr>
                <w:b/>
                <w:sz w:val="22"/>
              </w:rPr>
            </w:pPr>
            <w:proofErr w:type="spellStart"/>
            <w:r w:rsidRPr="00B74A55">
              <w:rPr>
                <w:b/>
                <w:sz w:val="22"/>
              </w:rPr>
              <w:t>Назва</w:t>
            </w:r>
            <w:proofErr w:type="spellEnd"/>
            <w:r w:rsidRPr="00B74A55">
              <w:rPr>
                <w:b/>
                <w:sz w:val="22"/>
              </w:rPr>
              <w:t xml:space="preserve"> </w:t>
            </w:r>
            <w:proofErr w:type="spellStart"/>
            <w:r w:rsidRPr="00B74A55">
              <w:rPr>
                <w:b/>
                <w:sz w:val="22"/>
              </w:rPr>
              <w:t>джерела</w:t>
            </w:r>
            <w:proofErr w:type="spellEnd"/>
          </w:p>
        </w:tc>
        <w:tc>
          <w:tcPr>
            <w:tcW w:w="1392" w:type="dxa"/>
            <w:vMerge w:val="restart"/>
            <w:tcBorders>
              <w:top w:val="single" w:sz="4" w:space="0" w:color="auto"/>
              <w:left w:val="single" w:sz="4" w:space="0" w:color="auto"/>
            </w:tcBorders>
            <w:vAlign w:val="center"/>
          </w:tcPr>
          <w:p w:rsidR="00BE7B50" w:rsidRPr="00B74A55" w:rsidRDefault="00BE7B50" w:rsidP="00BE7B50">
            <w:pPr>
              <w:pStyle w:val="a7"/>
              <w:ind w:left="0"/>
              <w:jc w:val="center"/>
              <w:rPr>
                <w:sz w:val="22"/>
              </w:rPr>
            </w:pPr>
            <w:r w:rsidRPr="00B74A55">
              <w:rPr>
                <w:sz w:val="22"/>
              </w:rPr>
              <w:t>80 000</w:t>
            </w:r>
          </w:p>
        </w:tc>
      </w:tr>
      <w:tr w:rsidR="00BE7B50" w:rsidRPr="00B74A55" w:rsidTr="00F34B87">
        <w:trPr>
          <w:trHeight w:val="300"/>
        </w:trPr>
        <w:tc>
          <w:tcPr>
            <w:tcW w:w="2978" w:type="dxa"/>
            <w:vMerge/>
            <w:shd w:val="clear" w:color="auto" w:fill="C6D9F1" w:themeFill="text2" w:themeFillTint="33"/>
          </w:tcPr>
          <w:p w:rsidR="00BE7B50" w:rsidRPr="00B74A55" w:rsidRDefault="00BE7B50" w:rsidP="00BE7B50">
            <w:pPr>
              <w:pStyle w:val="a7"/>
              <w:ind w:left="0"/>
              <w:rPr>
                <w:b/>
                <w:sz w:val="22"/>
              </w:rPr>
            </w:pPr>
          </w:p>
        </w:tc>
        <w:tc>
          <w:tcPr>
            <w:tcW w:w="1126" w:type="dxa"/>
            <w:vMerge/>
            <w:tcBorders>
              <w:right w:val="single" w:sz="4" w:space="0" w:color="auto"/>
            </w:tcBorders>
          </w:tcPr>
          <w:p w:rsidR="00BE7B50" w:rsidRPr="00B74A55" w:rsidRDefault="00BE7B50" w:rsidP="00BE7B50">
            <w:pPr>
              <w:pStyle w:val="a7"/>
              <w:ind w:left="0"/>
              <w:jc w:val="center"/>
              <w:rPr>
                <w:sz w:val="22"/>
              </w:rPr>
            </w:pPr>
          </w:p>
        </w:tc>
        <w:tc>
          <w:tcPr>
            <w:tcW w:w="1267" w:type="dxa"/>
            <w:vMerge/>
            <w:tcBorders>
              <w:right w:val="single" w:sz="4" w:space="0" w:color="auto"/>
            </w:tcBorders>
          </w:tcPr>
          <w:p w:rsidR="00BE7B50" w:rsidRPr="00B74A55" w:rsidRDefault="00BE7B50" w:rsidP="00BE7B50">
            <w:pPr>
              <w:pStyle w:val="a7"/>
              <w:ind w:left="0"/>
              <w:jc w:val="center"/>
              <w:rPr>
                <w:b/>
                <w:sz w:val="22"/>
              </w:rPr>
            </w:pPr>
          </w:p>
        </w:tc>
        <w:tc>
          <w:tcPr>
            <w:tcW w:w="1176" w:type="dxa"/>
            <w:tcBorders>
              <w:top w:val="single" w:sz="4" w:space="0" w:color="auto"/>
              <w:left w:val="single" w:sz="4" w:space="0" w:color="auto"/>
              <w:right w:val="single" w:sz="4" w:space="0" w:color="auto"/>
            </w:tcBorders>
            <w:vAlign w:val="center"/>
          </w:tcPr>
          <w:p w:rsidR="00BE7B50" w:rsidRPr="00B74A55" w:rsidRDefault="00BE7B50" w:rsidP="00BE7B50">
            <w:pPr>
              <w:pStyle w:val="a7"/>
              <w:ind w:left="0"/>
              <w:jc w:val="center"/>
              <w:rPr>
                <w:b/>
                <w:sz w:val="22"/>
              </w:rPr>
            </w:pPr>
            <w:r w:rsidRPr="00B74A55">
              <w:rPr>
                <w:sz w:val="22"/>
              </w:rPr>
              <w:t>60 000</w:t>
            </w:r>
          </w:p>
        </w:tc>
        <w:tc>
          <w:tcPr>
            <w:tcW w:w="1949" w:type="dxa"/>
            <w:gridSpan w:val="2"/>
            <w:tcBorders>
              <w:top w:val="single" w:sz="4" w:space="0" w:color="auto"/>
              <w:left w:val="single" w:sz="4" w:space="0" w:color="auto"/>
              <w:right w:val="single" w:sz="4" w:space="0" w:color="auto"/>
            </w:tcBorders>
            <w:vAlign w:val="center"/>
          </w:tcPr>
          <w:p w:rsidR="00BE7B50" w:rsidRPr="00B74A55" w:rsidRDefault="00BE7B50" w:rsidP="00BE7B50">
            <w:pPr>
              <w:pStyle w:val="a7"/>
              <w:ind w:left="0"/>
              <w:jc w:val="center"/>
              <w:rPr>
                <w:sz w:val="22"/>
              </w:rPr>
            </w:pPr>
            <w:proofErr w:type="spellStart"/>
            <w:r w:rsidRPr="00B74A55">
              <w:rPr>
                <w:sz w:val="22"/>
              </w:rPr>
              <w:t>Міжнародні</w:t>
            </w:r>
            <w:proofErr w:type="spellEnd"/>
            <w:r w:rsidRPr="00B74A55">
              <w:rPr>
                <w:sz w:val="22"/>
              </w:rPr>
              <w:t xml:space="preserve"> </w:t>
            </w:r>
            <w:proofErr w:type="spellStart"/>
            <w:r w:rsidRPr="00B74A55">
              <w:rPr>
                <w:sz w:val="22"/>
              </w:rPr>
              <w:t>інвестиції</w:t>
            </w:r>
            <w:proofErr w:type="spellEnd"/>
            <w:r w:rsidRPr="00B74A55">
              <w:rPr>
                <w:sz w:val="22"/>
              </w:rPr>
              <w:t xml:space="preserve">, </w:t>
            </w:r>
            <w:proofErr w:type="spellStart"/>
            <w:r w:rsidRPr="00B74A55">
              <w:rPr>
                <w:sz w:val="22"/>
              </w:rPr>
              <w:t>кошти</w:t>
            </w:r>
            <w:proofErr w:type="spellEnd"/>
            <w:r w:rsidRPr="00B74A55">
              <w:rPr>
                <w:sz w:val="22"/>
              </w:rPr>
              <w:t xml:space="preserve"> </w:t>
            </w:r>
            <w:proofErr w:type="spellStart"/>
            <w:r w:rsidRPr="00B74A55">
              <w:rPr>
                <w:sz w:val="22"/>
              </w:rPr>
              <w:t>приватних</w:t>
            </w:r>
            <w:proofErr w:type="spellEnd"/>
            <w:r w:rsidRPr="00B74A55">
              <w:rPr>
                <w:sz w:val="22"/>
              </w:rPr>
              <w:t xml:space="preserve"> </w:t>
            </w:r>
            <w:proofErr w:type="spellStart"/>
            <w:r w:rsidRPr="00B74A55">
              <w:rPr>
                <w:sz w:val="22"/>
              </w:rPr>
              <w:t>осіб</w:t>
            </w:r>
            <w:proofErr w:type="spellEnd"/>
          </w:p>
        </w:tc>
        <w:tc>
          <w:tcPr>
            <w:tcW w:w="1392" w:type="dxa"/>
            <w:vMerge/>
            <w:tcBorders>
              <w:left w:val="single" w:sz="4" w:space="0" w:color="auto"/>
            </w:tcBorders>
          </w:tcPr>
          <w:p w:rsidR="00BE7B50" w:rsidRPr="00B74A55" w:rsidRDefault="00BE7B50" w:rsidP="00BE7B50">
            <w:pPr>
              <w:pStyle w:val="a7"/>
              <w:ind w:left="0"/>
              <w:jc w:val="center"/>
              <w:rPr>
                <w:sz w:val="22"/>
              </w:rPr>
            </w:pPr>
          </w:p>
        </w:tc>
      </w:tr>
    </w:tbl>
    <w:p w:rsidR="00BE7B50" w:rsidRPr="00B74A55" w:rsidRDefault="00BE7B50" w:rsidP="00E95FB1">
      <w:pPr>
        <w:rPr>
          <w:sz w:val="22"/>
        </w:rPr>
      </w:pPr>
    </w:p>
    <w:p w:rsidR="00BE7B50" w:rsidRPr="00B74A55" w:rsidRDefault="00BE7B50" w:rsidP="00E95FB1">
      <w:pPr>
        <w:rPr>
          <w:sz w:val="22"/>
        </w:rPr>
      </w:pPr>
    </w:p>
    <w:tbl>
      <w:tblPr>
        <w:tblStyle w:val="af"/>
        <w:tblW w:w="0" w:type="auto"/>
        <w:tblInd w:w="-176" w:type="dxa"/>
        <w:tblLayout w:type="fixed"/>
        <w:tblLook w:val="04A0" w:firstRow="1" w:lastRow="0" w:firstColumn="1" w:lastColumn="0" w:noHBand="0" w:noVBand="1"/>
      </w:tblPr>
      <w:tblGrid>
        <w:gridCol w:w="2978"/>
        <w:gridCol w:w="1245"/>
        <w:gridCol w:w="1414"/>
        <w:gridCol w:w="1116"/>
        <w:gridCol w:w="1701"/>
        <w:gridCol w:w="113"/>
        <w:gridCol w:w="1321"/>
      </w:tblGrid>
      <w:tr w:rsidR="00BE7B50" w:rsidRPr="00B74A55" w:rsidTr="00F34B87">
        <w:trPr>
          <w:trHeight w:val="868"/>
        </w:trPr>
        <w:tc>
          <w:tcPr>
            <w:tcW w:w="2978" w:type="dxa"/>
            <w:shd w:val="clear" w:color="auto" w:fill="C6D9F1" w:themeFill="text2" w:themeFillTint="33"/>
          </w:tcPr>
          <w:p w:rsidR="00BE7B50" w:rsidRPr="00B74A55" w:rsidRDefault="00BE7B50" w:rsidP="00BE7B50">
            <w:pPr>
              <w:pStyle w:val="a7"/>
              <w:ind w:left="0"/>
              <w:rPr>
                <w:b/>
                <w:color w:val="FF0000"/>
                <w:sz w:val="22"/>
              </w:rPr>
            </w:pPr>
            <w:r w:rsidRPr="00B74A55">
              <w:rPr>
                <w:b/>
                <w:sz w:val="22"/>
              </w:rPr>
              <w:t xml:space="preserve">Оперативна </w:t>
            </w:r>
            <w:proofErr w:type="spellStart"/>
            <w:r w:rsidRPr="00B74A55">
              <w:rPr>
                <w:b/>
                <w:sz w:val="22"/>
              </w:rPr>
              <w:t>ціль</w:t>
            </w:r>
            <w:proofErr w:type="spellEnd"/>
            <w:r w:rsidRPr="00B74A55">
              <w:rPr>
                <w:b/>
                <w:sz w:val="22"/>
              </w:rPr>
              <w:t>/</w:t>
            </w:r>
            <w:proofErr w:type="spellStart"/>
            <w:r w:rsidRPr="00B74A55">
              <w:rPr>
                <w:b/>
                <w:sz w:val="22"/>
              </w:rPr>
              <w:t>завдання</w:t>
            </w:r>
            <w:proofErr w:type="spellEnd"/>
          </w:p>
        </w:tc>
        <w:tc>
          <w:tcPr>
            <w:tcW w:w="6910" w:type="dxa"/>
            <w:gridSpan w:val="6"/>
            <w:shd w:val="clear" w:color="auto" w:fill="auto"/>
          </w:tcPr>
          <w:p w:rsidR="00BE7B50" w:rsidRPr="00B74A55" w:rsidRDefault="00BE7B50" w:rsidP="00BE7B50">
            <w:pPr>
              <w:rPr>
                <w:color w:val="FF0000"/>
                <w:sz w:val="22"/>
              </w:rPr>
            </w:pPr>
            <w:proofErr w:type="spellStart"/>
            <w:r w:rsidRPr="00B74A55">
              <w:rPr>
                <w:sz w:val="22"/>
              </w:rPr>
              <w:t>Людський</w:t>
            </w:r>
            <w:proofErr w:type="spellEnd"/>
            <w:r w:rsidRPr="00B74A55">
              <w:rPr>
                <w:sz w:val="22"/>
              </w:rPr>
              <w:t xml:space="preserve"> </w:t>
            </w:r>
            <w:proofErr w:type="spellStart"/>
            <w:r w:rsidRPr="00B74A55">
              <w:rPr>
                <w:sz w:val="22"/>
              </w:rPr>
              <w:t>розвиток</w:t>
            </w:r>
            <w:proofErr w:type="spellEnd"/>
            <w:r w:rsidRPr="00B74A55">
              <w:rPr>
                <w:sz w:val="22"/>
              </w:rPr>
              <w:t xml:space="preserve"> через </w:t>
            </w:r>
            <w:proofErr w:type="spellStart"/>
            <w:r w:rsidRPr="00B74A55">
              <w:rPr>
                <w:sz w:val="22"/>
              </w:rPr>
              <w:t>інновації</w:t>
            </w:r>
            <w:proofErr w:type="spellEnd"/>
            <w:r w:rsidRPr="00B74A55">
              <w:rPr>
                <w:sz w:val="22"/>
              </w:rPr>
              <w:t xml:space="preserve"> </w:t>
            </w:r>
            <w:proofErr w:type="spellStart"/>
            <w:r w:rsidRPr="00B74A55">
              <w:rPr>
                <w:sz w:val="22"/>
              </w:rPr>
              <w:t>управління</w:t>
            </w:r>
            <w:proofErr w:type="spellEnd"/>
            <w:r w:rsidRPr="00B74A55">
              <w:rPr>
                <w:sz w:val="22"/>
              </w:rPr>
              <w:t xml:space="preserve"> та </w:t>
            </w:r>
            <w:proofErr w:type="spellStart"/>
            <w:r w:rsidRPr="00B74A55">
              <w:rPr>
                <w:sz w:val="22"/>
              </w:rPr>
              <w:t>довіру</w:t>
            </w:r>
            <w:proofErr w:type="spellEnd"/>
            <w:r w:rsidRPr="00B74A55">
              <w:rPr>
                <w:sz w:val="22"/>
              </w:rPr>
              <w:t xml:space="preserve"> до </w:t>
            </w:r>
            <w:proofErr w:type="spellStart"/>
            <w:r w:rsidRPr="00B74A55">
              <w:rPr>
                <w:sz w:val="22"/>
              </w:rPr>
              <w:t>влади</w:t>
            </w:r>
            <w:proofErr w:type="spellEnd"/>
            <w:r w:rsidRPr="00B74A55">
              <w:rPr>
                <w:sz w:val="22"/>
              </w:rPr>
              <w:t xml:space="preserve">. </w:t>
            </w:r>
            <w:proofErr w:type="spellStart"/>
            <w:r w:rsidRPr="00B74A55">
              <w:rPr>
                <w:sz w:val="22"/>
              </w:rPr>
              <w:t>Формування</w:t>
            </w:r>
            <w:proofErr w:type="spellEnd"/>
            <w:r w:rsidRPr="00B74A55">
              <w:rPr>
                <w:sz w:val="22"/>
              </w:rPr>
              <w:t xml:space="preserve"> </w:t>
            </w:r>
            <w:proofErr w:type="spellStart"/>
            <w:r w:rsidRPr="00B74A55">
              <w:rPr>
                <w:sz w:val="22"/>
              </w:rPr>
              <w:t>сучасного</w:t>
            </w:r>
            <w:proofErr w:type="spellEnd"/>
            <w:r w:rsidRPr="00B74A55">
              <w:rPr>
                <w:sz w:val="22"/>
              </w:rPr>
              <w:t xml:space="preserve"> </w:t>
            </w:r>
            <w:proofErr w:type="spellStart"/>
            <w:r w:rsidRPr="00B74A55">
              <w:rPr>
                <w:sz w:val="22"/>
              </w:rPr>
              <w:t>інклюзивного</w:t>
            </w:r>
            <w:proofErr w:type="spellEnd"/>
            <w:r w:rsidRPr="00B74A55">
              <w:rPr>
                <w:sz w:val="22"/>
              </w:rPr>
              <w:t xml:space="preserve"> </w:t>
            </w:r>
            <w:proofErr w:type="spellStart"/>
            <w:r w:rsidRPr="00B74A55">
              <w:rPr>
                <w:sz w:val="22"/>
              </w:rPr>
              <w:t>освітньо</w:t>
            </w:r>
            <w:proofErr w:type="spellEnd"/>
            <w:r w:rsidRPr="00B74A55">
              <w:rPr>
                <w:sz w:val="22"/>
              </w:rPr>
              <w:t xml:space="preserve">-культурного та спортивного простору для </w:t>
            </w:r>
            <w:proofErr w:type="spellStart"/>
            <w:r w:rsidRPr="00B74A55">
              <w:rPr>
                <w:sz w:val="22"/>
              </w:rPr>
              <w:t>розвитку</w:t>
            </w:r>
            <w:proofErr w:type="spellEnd"/>
            <w:r w:rsidRPr="00B74A55">
              <w:rPr>
                <w:sz w:val="22"/>
              </w:rPr>
              <w:t>.</w:t>
            </w:r>
          </w:p>
        </w:tc>
      </w:tr>
      <w:tr w:rsidR="00BE7B50" w:rsidRPr="00B74A55" w:rsidTr="00F34B87">
        <w:tc>
          <w:tcPr>
            <w:tcW w:w="2978" w:type="dxa"/>
            <w:shd w:val="clear" w:color="auto" w:fill="C6D9F1" w:themeFill="text2" w:themeFillTint="33"/>
          </w:tcPr>
          <w:p w:rsidR="00BE7B50" w:rsidRPr="00B74A55" w:rsidRDefault="00BE7B50" w:rsidP="00BE7B50">
            <w:pPr>
              <w:pStyle w:val="a7"/>
              <w:ind w:left="0"/>
              <w:rPr>
                <w:b/>
                <w:sz w:val="22"/>
              </w:rPr>
            </w:pPr>
            <w:proofErr w:type="spellStart"/>
            <w:r w:rsidRPr="00B74A55">
              <w:rPr>
                <w:b/>
                <w:sz w:val="22"/>
              </w:rPr>
              <w:t>Назва</w:t>
            </w:r>
            <w:proofErr w:type="spellEnd"/>
            <w:r w:rsidRPr="00B74A55">
              <w:rPr>
                <w:b/>
                <w:sz w:val="22"/>
              </w:rPr>
              <w:t xml:space="preserve"> </w:t>
            </w:r>
            <w:proofErr w:type="spellStart"/>
            <w:r w:rsidRPr="00B74A55">
              <w:rPr>
                <w:b/>
                <w:sz w:val="22"/>
              </w:rPr>
              <w:t>проєкту</w:t>
            </w:r>
            <w:proofErr w:type="spellEnd"/>
            <w:r w:rsidRPr="00B74A55">
              <w:rPr>
                <w:b/>
                <w:sz w:val="22"/>
              </w:rPr>
              <w:t>:</w:t>
            </w:r>
          </w:p>
        </w:tc>
        <w:tc>
          <w:tcPr>
            <w:tcW w:w="6910" w:type="dxa"/>
            <w:gridSpan w:val="6"/>
          </w:tcPr>
          <w:p w:rsidR="00BE7B50" w:rsidRPr="00B74A55" w:rsidRDefault="00BE7B50" w:rsidP="00BE7B50">
            <w:pPr>
              <w:pStyle w:val="a7"/>
              <w:ind w:left="0"/>
              <w:rPr>
                <w:sz w:val="22"/>
              </w:rPr>
            </w:pPr>
            <w:proofErr w:type="spellStart"/>
            <w:proofErr w:type="gramStart"/>
            <w:r w:rsidRPr="00B74A55">
              <w:rPr>
                <w:sz w:val="22"/>
              </w:rPr>
              <w:t>Відновлення</w:t>
            </w:r>
            <w:proofErr w:type="spellEnd"/>
            <w:r w:rsidRPr="00B74A55">
              <w:rPr>
                <w:sz w:val="22"/>
              </w:rPr>
              <w:t xml:space="preserve">  </w:t>
            </w:r>
            <w:proofErr w:type="spellStart"/>
            <w:r w:rsidRPr="00B74A55">
              <w:rPr>
                <w:sz w:val="22"/>
              </w:rPr>
              <w:t>будівлі</w:t>
            </w:r>
            <w:proofErr w:type="spellEnd"/>
            <w:proofErr w:type="gramEnd"/>
            <w:r w:rsidRPr="00B74A55">
              <w:rPr>
                <w:sz w:val="22"/>
              </w:rPr>
              <w:t xml:space="preserve"> </w:t>
            </w:r>
            <w:proofErr w:type="spellStart"/>
            <w:r w:rsidRPr="00B74A55">
              <w:rPr>
                <w:sz w:val="22"/>
              </w:rPr>
              <w:t>Гімназії</w:t>
            </w:r>
            <w:proofErr w:type="spellEnd"/>
            <w:r w:rsidRPr="00B74A55">
              <w:rPr>
                <w:sz w:val="22"/>
              </w:rPr>
              <w:t xml:space="preserve"> №11 </w:t>
            </w:r>
            <w:proofErr w:type="spellStart"/>
            <w:r w:rsidRPr="00B74A55">
              <w:rPr>
                <w:sz w:val="22"/>
              </w:rPr>
              <w:t>міста</w:t>
            </w:r>
            <w:proofErr w:type="spellEnd"/>
            <w:r w:rsidRPr="00B74A55">
              <w:rPr>
                <w:sz w:val="22"/>
              </w:rPr>
              <w:t xml:space="preserve"> </w:t>
            </w:r>
            <w:proofErr w:type="spellStart"/>
            <w:r w:rsidRPr="00B74A55">
              <w:rPr>
                <w:sz w:val="22"/>
              </w:rPr>
              <w:t>Сєвєродонецька</w:t>
            </w:r>
            <w:proofErr w:type="spellEnd"/>
            <w:r w:rsidRPr="00B74A55">
              <w:rPr>
                <w:sz w:val="22"/>
              </w:rPr>
              <w:t xml:space="preserve"> </w:t>
            </w:r>
            <w:proofErr w:type="spellStart"/>
            <w:r w:rsidRPr="00B74A55">
              <w:rPr>
                <w:sz w:val="22"/>
              </w:rPr>
              <w:t>Луганської</w:t>
            </w:r>
            <w:proofErr w:type="spellEnd"/>
            <w:r w:rsidRPr="00B74A55">
              <w:rPr>
                <w:sz w:val="22"/>
              </w:rPr>
              <w:t xml:space="preserve"> </w:t>
            </w:r>
            <w:proofErr w:type="spellStart"/>
            <w:r w:rsidRPr="00B74A55">
              <w:rPr>
                <w:sz w:val="22"/>
              </w:rPr>
              <w:t>області</w:t>
            </w:r>
            <w:proofErr w:type="spellEnd"/>
            <w:r w:rsidRPr="00B74A55">
              <w:rPr>
                <w:sz w:val="22"/>
              </w:rPr>
              <w:t xml:space="preserve">, проспект </w:t>
            </w:r>
            <w:proofErr w:type="spellStart"/>
            <w:r w:rsidRPr="00B74A55">
              <w:rPr>
                <w:sz w:val="22"/>
              </w:rPr>
              <w:t>Гвардійський</w:t>
            </w:r>
            <w:proofErr w:type="spellEnd"/>
            <w:r w:rsidRPr="00B74A55">
              <w:rPr>
                <w:sz w:val="22"/>
              </w:rPr>
              <w:t xml:space="preserve">, </w:t>
            </w:r>
            <w:proofErr w:type="spellStart"/>
            <w:r w:rsidRPr="00B74A55">
              <w:rPr>
                <w:sz w:val="22"/>
              </w:rPr>
              <w:t>будинок</w:t>
            </w:r>
            <w:proofErr w:type="spellEnd"/>
            <w:r w:rsidRPr="00B74A55">
              <w:rPr>
                <w:sz w:val="22"/>
              </w:rPr>
              <w:t xml:space="preserve"> 25 </w:t>
            </w:r>
          </w:p>
        </w:tc>
      </w:tr>
      <w:tr w:rsidR="00BE7B50" w:rsidRPr="00B74A55" w:rsidTr="00F34B87">
        <w:tc>
          <w:tcPr>
            <w:tcW w:w="2978" w:type="dxa"/>
            <w:shd w:val="clear" w:color="auto" w:fill="C6D9F1" w:themeFill="text2" w:themeFillTint="33"/>
          </w:tcPr>
          <w:p w:rsidR="00BE7B50" w:rsidRPr="00B74A55" w:rsidRDefault="00BE7B50" w:rsidP="00BE7B50">
            <w:pPr>
              <w:rPr>
                <w:b/>
                <w:sz w:val="22"/>
              </w:rPr>
            </w:pPr>
            <w:proofErr w:type="spellStart"/>
            <w:r w:rsidRPr="00B74A55">
              <w:rPr>
                <w:b/>
                <w:sz w:val="22"/>
              </w:rPr>
              <w:t>Ціль</w:t>
            </w:r>
            <w:proofErr w:type="spellEnd"/>
            <w:r w:rsidRPr="00B74A55">
              <w:rPr>
                <w:b/>
                <w:sz w:val="22"/>
              </w:rPr>
              <w:t xml:space="preserve"> </w:t>
            </w:r>
            <w:proofErr w:type="spellStart"/>
            <w:r w:rsidRPr="00B74A55">
              <w:rPr>
                <w:b/>
                <w:sz w:val="22"/>
              </w:rPr>
              <w:t>проєкту</w:t>
            </w:r>
            <w:proofErr w:type="spellEnd"/>
          </w:p>
        </w:tc>
        <w:tc>
          <w:tcPr>
            <w:tcW w:w="6910" w:type="dxa"/>
            <w:gridSpan w:val="6"/>
          </w:tcPr>
          <w:p w:rsidR="00BE7B50" w:rsidRPr="00B74A55" w:rsidRDefault="00BE7B50" w:rsidP="00BE7B50">
            <w:pPr>
              <w:pStyle w:val="a7"/>
              <w:ind w:left="0"/>
              <w:rPr>
                <w:sz w:val="22"/>
              </w:rPr>
            </w:pPr>
            <w:proofErr w:type="spellStart"/>
            <w:r w:rsidRPr="00B74A55">
              <w:rPr>
                <w:sz w:val="22"/>
              </w:rPr>
              <w:t>Відновити</w:t>
            </w:r>
            <w:proofErr w:type="spellEnd"/>
            <w:r w:rsidRPr="00B74A55">
              <w:rPr>
                <w:sz w:val="22"/>
              </w:rPr>
              <w:t xml:space="preserve"> та </w:t>
            </w:r>
            <w:proofErr w:type="spellStart"/>
            <w:r w:rsidRPr="00B74A55">
              <w:rPr>
                <w:sz w:val="22"/>
              </w:rPr>
              <w:t>покращити</w:t>
            </w:r>
            <w:proofErr w:type="spellEnd"/>
            <w:r w:rsidRPr="00B74A55">
              <w:rPr>
                <w:sz w:val="22"/>
              </w:rPr>
              <w:t xml:space="preserve"> </w:t>
            </w:r>
            <w:proofErr w:type="gramStart"/>
            <w:r w:rsidRPr="00B74A55">
              <w:rPr>
                <w:sz w:val="22"/>
              </w:rPr>
              <w:t xml:space="preserve">роботу  </w:t>
            </w:r>
            <w:proofErr w:type="spellStart"/>
            <w:r w:rsidRPr="00B74A55">
              <w:rPr>
                <w:sz w:val="22"/>
              </w:rPr>
              <w:t>Гімназії</w:t>
            </w:r>
            <w:proofErr w:type="spellEnd"/>
            <w:proofErr w:type="gramEnd"/>
            <w:r w:rsidRPr="00B74A55">
              <w:rPr>
                <w:sz w:val="22"/>
              </w:rPr>
              <w:t xml:space="preserve"> №11 для </w:t>
            </w:r>
            <w:proofErr w:type="spellStart"/>
            <w:r w:rsidRPr="00B74A55">
              <w:rPr>
                <w:sz w:val="22"/>
              </w:rPr>
              <w:t>надання</w:t>
            </w:r>
            <w:proofErr w:type="spellEnd"/>
            <w:r w:rsidRPr="00B74A55">
              <w:rPr>
                <w:sz w:val="22"/>
              </w:rPr>
              <w:t xml:space="preserve"> широкого спектру </w:t>
            </w:r>
            <w:proofErr w:type="spellStart"/>
            <w:r w:rsidRPr="00B74A55">
              <w:rPr>
                <w:sz w:val="22"/>
              </w:rPr>
              <w:t>освітніх</w:t>
            </w:r>
            <w:proofErr w:type="spellEnd"/>
            <w:r w:rsidRPr="00B74A55">
              <w:rPr>
                <w:sz w:val="22"/>
              </w:rPr>
              <w:t xml:space="preserve"> </w:t>
            </w:r>
            <w:proofErr w:type="spellStart"/>
            <w:r w:rsidRPr="00B74A55">
              <w:rPr>
                <w:sz w:val="22"/>
              </w:rPr>
              <w:t>послуг</w:t>
            </w:r>
            <w:proofErr w:type="spellEnd"/>
            <w:r w:rsidRPr="00B74A55">
              <w:rPr>
                <w:sz w:val="22"/>
              </w:rPr>
              <w:t>.</w:t>
            </w:r>
          </w:p>
          <w:p w:rsidR="00BE7B50" w:rsidRPr="00B74A55" w:rsidRDefault="00BE7B50" w:rsidP="006E6AB6">
            <w:pPr>
              <w:jc w:val="left"/>
              <w:rPr>
                <w:color w:val="000000"/>
                <w:sz w:val="22"/>
              </w:rPr>
            </w:pPr>
            <w:r w:rsidRPr="00B74A55">
              <w:rPr>
                <w:sz w:val="22"/>
              </w:rPr>
              <w:t xml:space="preserve">Метою </w:t>
            </w:r>
            <w:proofErr w:type="spellStart"/>
            <w:r w:rsidRPr="00B74A55">
              <w:rPr>
                <w:sz w:val="22"/>
              </w:rPr>
              <w:t>проєкту</w:t>
            </w:r>
            <w:proofErr w:type="spellEnd"/>
            <w:r w:rsidRPr="00B74A55">
              <w:rPr>
                <w:sz w:val="22"/>
              </w:rPr>
              <w:t xml:space="preserve"> є </w:t>
            </w:r>
            <w:proofErr w:type="spellStart"/>
            <w:r w:rsidRPr="00B74A55">
              <w:rPr>
                <w:sz w:val="22"/>
              </w:rPr>
              <w:t>покращення</w:t>
            </w:r>
            <w:proofErr w:type="spellEnd"/>
            <w:r w:rsidRPr="00B74A55">
              <w:rPr>
                <w:sz w:val="22"/>
              </w:rPr>
              <w:t xml:space="preserve"> умов </w:t>
            </w:r>
            <w:proofErr w:type="spellStart"/>
            <w:r w:rsidRPr="00B74A55">
              <w:rPr>
                <w:sz w:val="22"/>
              </w:rPr>
              <w:t>навчання</w:t>
            </w:r>
            <w:proofErr w:type="spellEnd"/>
            <w:r w:rsidRPr="00B74A55">
              <w:rPr>
                <w:sz w:val="22"/>
              </w:rPr>
              <w:t xml:space="preserve"> </w:t>
            </w:r>
            <w:proofErr w:type="spellStart"/>
            <w:r w:rsidRPr="00B74A55">
              <w:rPr>
                <w:sz w:val="22"/>
              </w:rPr>
              <w:t>дітей</w:t>
            </w:r>
            <w:proofErr w:type="spellEnd"/>
            <w:r w:rsidRPr="00B74A55">
              <w:rPr>
                <w:sz w:val="22"/>
              </w:rPr>
              <w:t xml:space="preserve"> </w:t>
            </w:r>
            <w:proofErr w:type="spellStart"/>
            <w:r w:rsidRPr="00B74A55">
              <w:rPr>
                <w:sz w:val="22"/>
              </w:rPr>
              <w:t>шкільного</w:t>
            </w:r>
            <w:proofErr w:type="spellEnd"/>
            <w:r w:rsidRPr="00B74A55">
              <w:rPr>
                <w:sz w:val="22"/>
              </w:rPr>
              <w:t xml:space="preserve"> </w:t>
            </w:r>
            <w:proofErr w:type="spellStart"/>
            <w:r w:rsidRPr="00B74A55">
              <w:rPr>
                <w:sz w:val="22"/>
              </w:rPr>
              <w:t>віку</w:t>
            </w:r>
            <w:proofErr w:type="spellEnd"/>
            <w:r w:rsidRPr="00B74A55">
              <w:rPr>
                <w:sz w:val="22"/>
              </w:rPr>
              <w:t xml:space="preserve">, </w:t>
            </w:r>
            <w:proofErr w:type="spellStart"/>
            <w:r w:rsidRPr="00B74A55">
              <w:rPr>
                <w:sz w:val="22"/>
              </w:rPr>
              <w:t>створення</w:t>
            </w:r>
            <w:proofErr w:type="spellEnd"/>
            <w:r w:rsidRPr="00B74A55">
              <w:rPr>
                <w:sz w:val="22"/>
              </w:rPr>
              <w:t xml:space="preserve"> </w:t>
            </w:r>
            <w:proofErr w:type="spellStart"/>
            <w:r w:rsidRPr="00B74A55">
              <w:rPr>
                <w:sz w:val="22"/>
              </w:rPr>
              <w:t>належних</w:t>
            </w:r>
            <w:proofErr w:type="spellEnd"/>
            <w:r w:rsidRPr="00B74A55">
              <w:rPr>
                <w:sz w:val="22"/>
              </w:rPr>
              <w:t xml:space="preserve"> </w:t>
            </w:r>
            <w:proofErr w:type="spellStart"/>
            <w:r w:rsidRPr="00B74A55">
              <w:rPr>
                <w:sz w:val="22"/>
              </w:rPr>
              <w:t>санітарних</w:t>
            </w:r>
            <w:proofErr w:type="spellEnd"/>
            <w:r w:rsidRPr="00B74A55">
              <w:rPr>
                <w:sz w:val="22"/>
              </w:rPr>
              <w:t xml:space="preserve"> умов для </w:t>
            </w:r>
            <w:proofErr w:type="spellStart"/>
            <w:r w:rsidRPr="00B74A55">
              <w:rPr>
                <w:sz w:val="22"/>
              </w:rPr>
              <w:t>дітей</w:t>
            </w:r>
            <w:proofErr w:type="spellEnd"/>
            <w:r w:rsidRPr="00B74A55">
              <w:rPr>
                <w:sz w:val="22"/>
              </w:rPr>
              <w:t xml:space="preserve"> </w:t>
            </w:r>
            <w:proofErr w:type="spellStart"/>
            <w:r w:rsidRPr="00B74A55">
              <w:rPr>
                <w:sz w:val="22"/>
              </w:rPr>
              <w:t>громади</w:t>
            </w:r>
            <w:proofErr w:type="spellEnd"/>
            <w:r w:rsidRPr="00B74A55">
              <w:rPr>
                <w:sz w:val="22"/>
              </w:rPr>
              <w:t xml:space="preserve">, </w:t>
            </w:r>
            <w:proofErr w:type="spellStart"/>
            <w:r w:rsidRPr="00B74A55">
              <w:rPr>
                <w:sz w:val="22"/>
              </w:rPr>
              <w:t>збереження</w:t>
            </w:r>
            <w:proofErr w:type="spellEnd"/>
            <w:r w:rsidRPr="00B74A55">
              <w:rPr>
                <w:sz w:val="22"/>
              </w:rPr>
              <w:t xml:space="preserve"> та </w:t>
            </w:r>
            <w:proofErr w:type="spellStart"/>
            <w:r w:rsidRPr="00B74A55">
              <w:rPr>
                <w:sz w:val="22"/>
              </w:rPr>
              <w:t>зміцнення</w:t>
            </w:r>
            <w:proofErr w:type="spellEnd"/>
            <w:r w:rsidRPr="00B74A55">
              <w:rPr>
                <w:sz w:val="22"/>
              </w:rPr>
              <w:t xml:space="preserve"> </w:t>
            </w:r>
            <w:proofErr w:type="spellStart"/>
            <w:r w:rsidRPr="00B74A55">
              <w:rPr>
                <w:sz w:val="22"/>
              </w:rPr>
              <w:t>фізичного</w:t>
            </w:r>
            <w:proofErr w:type="spellEnd"/>
            <w:r w:rsidRPr="00B74A55">
              <w:rPr>
                <w:sz w:val="22"/>
              </w:rPr>
              <w:t xml:space="preserve">, </w:t>
            </w:r>
            <w:proofErr w:type="spellStart"/>
            <w:r w:rsidRPr="00B74A55">
              <w:rPr>
                <w:sz w:val="22"/>
              </w:rPr>
              <w:t>психічного</w:t>
            </w:r>
            <w:proofErr w:type="spellEnd"/>
            <w:r w:rsidRPr="00B74A55">
              <w:rPr>
                <w:sz w:val="22"/>
              </w:rPr>
              <w:t xml:space="preserve"> і духовного </w:t>
            </w:r>
            <w:proofErr w:type="spellStart"/>
            <w:r w:rsidRPr="00B74A55">
              <w:rPr>
                <w:sz w:val="22"/>
              </w:rPr>
              <w:t>здоров'я</w:t>
            </w:r>
            <w:proofErr w:type="spellEnd"/>
            <w:r w:rsidRPr="00B74A55">
              <w:rPr>
                <w:sz w:val="22"/>
              </w:rPr>
              <w:t xml:space="preserve"> </w:t>
            </w:r>
            <w:proofErr w:type="spellStart"/>
            <w:r w:rsidRPr="00B74A55">
              <w:rPr>
                <w:sz w:val="22"/>
              </w:rPr>
              <w:t>дітей</w:t>
            </w:r>
            <w:proofErr w:type="spellEnd"/>
            <w:r w:rsidRPr="00B74A55">
              <w:rPr>
                <w:sz w:val="22"/>
              </w:rPr>
              <w:t xml:space="preserve">, </w:t>
            </w:r>
            <w:proofErr w:type="spellStart"/>
            <w:r w:rsidRPr="00B74A55">
              <w:rPr>
                <w:sz w:val="22"/>
              </w:rPr>
              <w:lastRenderedPageBreak/>
              <w:t>розвиток</w:t>
            </w:r>
            <w:proofErr w:type="spellEnd"/>
            <w:r w:rsidRPr="00B74A55">
              <w:rPr>
                <w:sz w:val="22"/>
              </w:rPr>
              <w:t xml:space="preserve"> </w:t>
            </w:r>
            <w:proofErr w:type="spellStart"/>
            <w:r w:rsidRPr="00B74A55">
              <w:rPr>
                <w:sz w:val="22"/>
              </w:rPr>
              <w:t>творчих</w:t>
            </w:r>
            <w:proofErr w:type="spellEnd"/>
            <w:r w:rsidRPr="00B74A55">
              <w:rPr>
                <w:sz w:val="22"/>
              </w:rPr>
              <w:t xml:space="preserve"> </w:t>
            </w:r>
            <w:proofErr w:type="spellStart"/>
            <w:r w:rsidRPr="00B74A55">
              <w:rPr>
                <w:sz w:val="22"/>
              </w:rPr>
              <w:t>здібностей</w:t>
            </w:r>
            <w:proofErr w:type="spellEnd"/>
            <w:r w:rsidRPr="00B74A55">
              <w:rPr>
                <w:sz w:val="22"/>
              </w:rPr>
              <w:t xml:space="preserve"> та </w:t>
            </w:r>
            <w:proofErr w:type="spellStart"/>
            <w:r w:rsidRPr="00B74A55">
              <w:rPr>
                <w:sz w:val="22"/>
              </w:rPr>
              <w:t>інтересів</w:t>
            </w:r>
            <w:proofErr w:type="spellEnd"/>
            <w:r w:rsidRPr="00B74A55">
              <w:rPr>
                <w:sz w:val="22"/>
              </w:rPr>
              <w:t xml:space="preserve"> </w:t>
            </w:r>
            <w:proofErr w:type="spellStart"/>
            <w:r w:rsidRPr="00B74A55">
              <w:rPr>
                <w:sz w:val="22"/>
              </w:rPr>
              <w:t>дітей</w:t>
            </w:r>
            <w:proofErr w:type="spellEnd"/>
            <w:r w:rsidRPr="00B74A55">
              <w:rPr>
                <w:sz w:val="22"/>
              </w:rPr>
              <w:t xml:space="preserve">, </w:t>
            </w:r>
            <w:proofErr w:type="spellStart"/>
            <w:r w:rsidRPr="00B74A55">
              <w:rPr>
                <w:sz w:val="22"/>
              </w:rPr>
              <w:t>забезпечення</w:t>
            </w:r>
            <w:proofErr w:type="spellEnd"/>
            <w:r w:rsidRPr="00B74A55">
              <w:rPr>
                <w:sz w:val="22"/>
              </w:rPr>
              <w:t xml:space="preserve"> </w:t>
            </w:r>
            <w:proofErr w:type="spellStart"/>
            <w:r w:rsidRPr="00B74A55">
              <w:rPr>
                <w:sz w:val="22"/>
              </w:rPr>
              <w:t>соціальної</w:t>
            </w:r>
            <w:proofErr w:type="spellEnd"/>
            <w:r w:rsidRPr="00B74A55">
              <w:rPr>
                <w:sz w:val="22"/>
              </w:rPr>
              <w:t xml:space="preserve"> </w:t>
            </w:r>
            <w:proofErr w:type="spellStart"/>
            <w:r w:rsidRPr="00B74A55">
              <w:rPr>
                <w:sz w:val="22"/>
              </w:rPr>
              <w:t>адаптації</w:t>
            </w:r>
            <w:proofErr w:type="spellEnd"/>
            <w:r w:rsidRPr="00B74A55">
              <w:rPr>
                <w:sz w:val="22"/>
              </w:rPr>
              <w:t xml:space="preserve"> та </w:t>
            </w:r>
            <w:proofErr w:type="spellStart"/>
            <w:r w:rsidRPr="00B74A55">
              <w:rPr>
                <w:sz w:val="22"/>
              </w:rPr>
              <w:t>готовності</w:t>
            </w:r>
            <w:proofErr w:type="spellEnd"/>
            <w:r w:rsidRPr="00B74A55">
              <w:rPr>
                <w:sz w:val="22"/>
              </w:rPr>
              <w:t xml:space="preserve"> </w:t>
            </w:r>
            <w:proofErr w:type="spellStart"/>
            <w:r w:rsidRPr="00B74A55">
              <w:rPr>
                <w:sz w:val="22"/>
              </w:rPr>
              <w:t>дитини</w:t>
            </w:r>
            <w:proofErr w:type="spellEnd"/>
            <w:r w:rsidRPr="00B74A55">
              <w:rPr>
                <w:sz w:val="22"/>
              </w:rPr>
              <w:t xml:space="preserve"> </w:t>
            </w:r>
            <w:proofErr w:type="spellStart"/>
            <w:r w:rsidRPr="00B74A55">
              <w:rPr>
                <w:sz w:val="22"/>
              </w:rPr>
              <w:t>продовжувати</w:t>
            </w:r>
            <w:proofErr w:type="spellEnd"/>
            <w:r w:rsidRPr="00B74A55">
              <w:rPr>
                <w:sz w:val="22"/>
              </w:rPr>
              <w:t xml:space="preserve"> </w:t>
            </w:r>
            <w:proofErr w:type="spellStart"/>
            <w:r w:rsidRPr="00B74A55">
              <w:rPr>
                <w:sz w:val="22"/>
              </w:rPr>
              <w:t>освіту</w:t>
            </w:r>
            <w:proofErr w:type="spellEnd"/>
            <w:r w:rsidRPr="00B74A55">
              <w:rPr>
                <w:sz w:val="22"/>
              </w:rPr>
              <w:t>.</w:t>
            </w:r>
            <w:r w:rsidRPr="00B74A55">
              <w:rPr>
                <w:color w:val="000000"/>
                <w:sz w:val="22"/>
              </w:rPr>
              <w:t xml:space="preserve"> </w:t>
            </w:r>
            <w:r w:rsidRPr="00B74A55">
              <w:rPr>
                <w:color w:val="000000"/>
                <w:sz w:val="22"/>
              </w:rPr>
              <w:br/>
            </w:r>
          </w:p>
        </w:tc>
      </w:tr>
      <w:tr w:rsidR="00BE7B50" w:rsidRPr="00B74A55" w:rsidTr="00F34B87">
        <w:tc>
          <w:tcPr>
            <w:tcW w:w="2978" w:type="dxa"/>
            <w:shd w:val="clear" w:color="auto" w:fill="C6D9F1" w:themeFill="text2" w:themeFillTint="33"/>
          </w:tcPr>
          <w:p w:rsidR="00BE7B50" w:rsidRPr="00B74A55" w:rsidRDefault="00BE7B50" w:rsidP="00BE7B50">
            <w:pPr>
              <w:pStyle w:val="a7"/>
              <w:ind w:left="0"/>
              <w:rPr>
                <w:b/>
                <w:sz w:val="22"/>
              </w:rPr>
            </w:pPr>
            <w:proofErr w:type="spellStart"/>
            <w:r w:rsidRPr="00B74A55">
              <w:rPr>
                <w:b/>
                <w:sz w:val="22"/>
              </w:rPr>
              <w:lastRenderedPageBreak/>
              <w:t>Територія</w:t>
            </w:r>
            <w:proofErr w:type="spellEnd"/>
            <w:r w:rsidRPr="00B74A55">
              <w:rPr>
                <w:b/>
                <w:sz w:val="22"/>
              </w:rPr>
              <w:t xml:space="preserve">, </w:t>
            </w:r>
            <w:proofErr w:type="gramStart"/>
            <w:r w:rsidRPr="00B74A55">
              <w:rPr>
                <w:b/>
                <w:sz w:val="22"/>
              </w:rPr>
              <w:t>на яку</w:t>
            </w:r>
            <w:proofErr w:type="gramEnd"/>
            <w:r w:rsidRPr="00B74A55">
              <w:rPr>
                <w:b/>
                <w:sz w:val="22"/>
              </w:rPr>
              <w:t xml:space="preserve"> </w:t>
            </w:r>
            <w:proofErr w:type="spellStart"/>
            <w:r w:rsidRPr="00B74A55">
              <w:rPr>
                <w:b/>
                <w:sz w:val="22"/>
              </w:rPr>
              <w:t>матиме</w:t>
            </w:r>
            <w:proofErr w:type="spellEnd"/>
            <w:r w:rsidRPr="00B74A55">
              <w:rPr>
                <w:b/>
                <w:sz w:val="22"/>
              </w:rPr>
              <w:t xml:space="preserve"> </w:t>
            </w:r>
            <w:proofErr w:type="spellStart"/>
            <w:r w:rsidRPr="00B74A55">
              <w:rPr>
                <w:b/>
                <w:sz w:val="22"/>
              </w:rPr>
              <w:t>вплив</w:t>
            </w:r>
            <w:proofErr w:type="spellEnd"/>
            <w:r w:rsidRPr="00B74A55">
              <w:rPr>
                <w:b/>
                <w:sz w:val="22"/>
              </w:rPr>
              <w:t xml:space="preserve"> </w:t>
            </w:r>
            <w:proofErr w:type="spellStart"/>
            <w:r w:rsidRPr="00B74A55">
              <w:rPr>
                <w:b/>
                <w:sz w:val="22"/>
              </w:rPr>
              <w:t>реалізація</w:t>
            </w:r>
            <w:proofErr w:type="spellEnd"/>
            <w:r w:rsidRPr="00B74A55">
              <w:rPr>
                <w:b/>
                <w:sz w:val="22"/>
              </w:rPr>
              <w:t xml:space="preserve"> </w:t>
            </w:r>
            <w:proofErr w:type="spellStart"/>
            <w:r w:rsidRPr="00B74A55">
              <w:rPr>
                <w:b/>
                <w:sz w:val="22"/>
              </w:rPr>
              <w:t>проєкту</w:t>
            </w:r>
            <w:proofErr w:type="spellEnd"/>
          </w:p>
        </w:tc>
        <w:tc>
          <w:tcPr>
            <w:tcW w:w="6910" w:type="dxa"/>
            <w:gridSpan w:val="6"/>
          </w:tcPr>
          <w:p w:rsidR="00BE7B50" w:rsidRPr="00B74A55" w:rsidRDefault="00BE7B50" w:rsidP="00BE7B50">
            <w:pPr>
              <w:pStyle w:val="a7"/>
              <w:ind w:left="0"/>
              <w:rPr>
                <w:sz w:val="22"/>
              </w:rPr>
            </w:pPr>
            <w:proofErr w:type="spellStart"/>
            <w:r w:rsidRPr="00B74A55">
              <w:rPr>
                <w:sz w:val="22"/>
              </w:rPr>
              <w:t>Сєвєродонецька</w:t>
            </w:r>
            <w:proofErr w:type="spellEnd"/>
            <w:r w:rsidRPr="00B74A55">
              <w:rPr>
                <w:sz w:val="22"/>
              </w:rPr>
              <w:t xml:space="preserve"> </w:t>
            </w:r>
            <w:proofErr w:type="spellStart"/>
            <w:r w:rsidRPr="00B74A55">
              <w:rPr>
                <w:sz w:val="22"/>
              </w:rPr>
              <w:t>міська</w:t>
            </w:r>
            <w:proofErr w:type="spellEnd"/>
            <w:r w:rsidRPr="00B74A55">
              <w:rPr>
                <w:sz w:val="22"/>
              </w:rPr>
              <w:t xml:space="preserve"> </w:t>
            </w:r>
            <w:proofErr w:type="spellStart"/>
            <w:r w:rsidRPr="00B74A55">
              <w:rPr>
                <w:sz w:val="22"/>
              </w:rPr>
              <w:t>територіальна</w:t>
            </w:r>
            <w:proofErr w:type="spellEnd"/>
            <w:r w:rsidRPr="00B74A55">
              <w:rPr>
                <w:sz w:val="22"/>
              </w:rPr>
              <w:t xml:space="preserve"> громада</w:t>
            </w:r>
          </w:p>
        </w:tc>
      </w:tr>
      <w:tr w:rsidR="00BE7B50" w:rsidRPr="00B74A55" w:rsidTr="00F34B87">
        <w:tc>
          <w:tcPr>
            <w:tcW w:w="2978" w:type="dxa"/>
            <w:shd w:val="clear" w:color="auto" w:fill="C6D9F1" w:themeFill="text2" w:themeFillTint="33"/>
          </w:tcPr>
          <w:p w:rsidR="00BE7B50" w:rsidRPr="00B74A55" w:rsidRDefault="00BE7B50" w:rsidP="00BE7B50">
            <w:pPr>
              <w:pStyle w:val="a7"/>
              <w:ind w:left="0"/>
              <w:rPr>
                <w:b/>
                <w:sz w:val="22"/>
              </w:rPr>
            </w:pPr>
            <w:proofErr w:type="spellStart"/>
            <w:r w:rsidRPr="00B74A55">
              <w:rPr>
                <w:b/>
                <w:sz w:val="22"/>
              </w:rPr>
              <w:t>Чисельність</w:t>
            </w:r>
            <w:proofErr w:type="spellEnd"/>
            <w:r w:rsidRPr="00B74A55">
              <w:rPr>
                <w:b/>
                <w:sz w:val="22"/>
              </w:rPr>
              <w:t xml:space="preserve"> </w:t>
            </w:r>
            <w:proofErr w:type="spellStart"/>
            <w:r w:rsidRPr="00B74A55">
              <w:rPr>
                <w:b/>
                <w:sz w:val="22"/>
              </w:rPr>
              <w:t>населення</w:t>
            </w:r>
            <w:proofErr w:type="spellEnd"/>
            <w:r w:rsidRPr="00B74A55">
              <w:rPr>
                <w:b/>
                <w:sz w:val="22"/>
              </w:rPr>
              <w:t xml:space="preserve">, на яке </w:t>
            </w:r>
            <w:proofErr w:type="spellStart"/>
            <w:r w:rsidRPr="00B74A55">
              <w:rPr>
                <w:b/>
                <w:sz w:val="22"/>
              </w:rPr>
              <w:t>матиме</w:t>
            </w:r>
            <w:proofErr w:type="spellEnd"/>
            <w:r w:rsidRPr="00B74A55">
              <w:rPr>
                <w:b/>
                <w:sz w:val="22"/>
              </w:rPr>
              <w:t xml:space="preserve"> </w:t>
            </w:r>
            <w:proofErr w:type="spellStart"/>
            <w:r w:rsidRPr="00B74A55">
              <w:rPr>
                <w:b/>
                <w:sz w:val="22"/>
              </w:rPr>
              <w:t>вплив</w:t>
            </w:r>
            <w:proofErr w:type="spellEnd"/>
            <w:r w:rsidRPr="00B74A55">
              <w:rPr>
                <w:b/>
                <w:sz w:val="22"/>
              </w:rPr>
              <w:t xml:space="preserve"> </w:t>
            </w:r>
            <w:proofErr w:type="spellStart"/>
            <w:r w:rsidRPr="00B74A55">
              <w:rPr>
                <w:b/>
                <w:sz w:val="22"/>
              </w:rPr>
              <w:t>реалізація</w:t>
            </w:r>
            <w:proofErr w:type="spellEnd"/>
            <w:r w:rsidRPr="00B74A55">
              <w:rPr>
                <w:b/>
                <w:sz w:val="22"/>
              </w:rPr>
              <w:t xml:space="preserve"> </w:t>
            </w:r>
            <w:proofErr w:type="spellStart"/>
            <w:r w:rsidRPr="00B74A55">
              <w:rPr>
                <w:b/>
                <w:sz w:val="22"/>
              </w:rPr>
              <w:t>проєкту</w:t>
            </w:r>
            <w:proofErr w:type="spellEnd"/>
          </w:p>
        </w:tc>
        <w:tc>
          <w:tcPr>
            <w:tcW w:w="6910" w:type="dxa"/>
            <w:gridSpan w:val="6"/>
          </w:tcPr>
          <w:p w:rsidR="00BE7B50" w:rsidRPr="00B74A55" w:rsidRDefault="00BE7B50" w:rsidP="00BE7B50">
            <w:pPr>
              <w:pStyle w:val="a7"/>
              <w:ind w:left="0"/>
              <w:rPr>
                <w:sz w:val="22"/>
              </w:rPr>
            </w:pPr>
            <w:r w:rsidRPr="00B74A55">
              <w:rPr>
                <w:sz w:val="22"/>
              </w:rPr>
              <w:t xml:space="preserve"> 70 </w:t>
            </w:r>
            <w:proofErr w:type="gramStart"/>
            <w:r w:rsidRPr="00B74A55">
              <w:rPr>
                <w:sz w:val="22"/>
              </w:rPr>
              <w:t xml:space="preserve">000  </w:t>
            </w:r>
            <w:proofErr w:type="spellStart"/>
            <w:r w:rsidRPr="00B74A55">
              <w:rPr>
                <w:sz w:val="22"/>
              </w:rPr>
              <w:t>осіб</w:t>
            </w:r>
            <w:proofErr w:type="spellEnd"/>
            <w:proofErr w:type="gramEnd"/>
          </w:p>
        </w:tc>
      </w:tr>
      <w:tr w:rsidR="00BE7B50" w:rsidRPr="00B74A55" w:rsidTr="00F34B87">
        <w:tc>
          <w:tcPr>
            <w:tcW w:w="2978" w:type="dxa"/>
            <w:shd w:val="clear" w:color="auto" w:fill="C6D9F1" w:themeFill="text2" w:themeFillTint="33"/>
          </w:tcPr>
          <w:p w:rsidR="00BE7B50" w:rsidRPr="00B74A55" w:rsidRDefault="00BE7B50" w:rsidP="00BE7B50">
            <w:pPr>
              <w:rPr>
                <w:b/>
                <w:sz w:val="22"/>
              </w:rPr>
            </w:pPr>
            <w:proofErr w:type="spellStart"/>
            <w:r w:rsidRPr="00B74A55">
              <w:rPr>
                <w:b/>
                <w:sz w:val="22"/>
              </w:rPr>
              <w:t>Опис</w:t>
            </w:r>
            <w:proofErr w:type="spellEnd"/>
            <w:r w:rsidRPr="00B74A55">
              <w:rPr>
                <w:b/>
                <w:sz w:val="22"/>
              </w:rPr>
              <w:t xml:space="preserve"> </w:t>
            </w:r>
            <w:proofErr w:type="spellStart"/>
            <w:r w:rsidRPr="00B74A55">
              <w:rPr>
                <w:b/>
                <w:sz w:val="22"/>
              </w:rPr>
              <w:t>проблеми</w:t>
            </w:r>
            <w:proofErr w:type="spellEnd"/>
            <w:r w:rsidRPr="00B74A55">
              <w:rPr>
                <w:b/>
                <w:sz w:val="22"/>
              </w:rPr>
              <w:t xml:space="preserve">, на </w:t>
            </w:r>
            <w:proofErr w:type="spellStart"/>
            <w:r w:rsidRPr="00B74A55">
              <w:rPr>
                <w:b/>
                <w:sz w:val="22"/>
              </w:rPr>
              <w:t>вирішення</w:t>
            </w:r>
            <w:proofErr w:type="spellEnd"/>
            <w:r w:rsidRPr="00B74A55">
              <w:rPr>
                <w:b/>
                <w:sz w:val="22"/>
              </w:rPr>
              <w:t xml:space="preserve"> </w:t>
            </w:r>
            <w:proofErr w:type="spellStart"/>
            <w:proofErr w:type="gramStart"/>
            <w:r w:rsidRPr="00B74A55">
              <w:rPr>
                <w:b/>
                <w:sz w:val="22"/>
              </w:rPr>
              <w:t>якої</w:t>
            </w:r>
            <w:proofErr w:type="spellEnd"/>
            <w:r w:rsidRPr="00B74A55">
              <w:rPr>
                <w:b/>
                <w:sz w:val="22"/>
              </w:rPr>
              <w:t xml:space="preserve">  </w:t>
            </w:r>
            <w:proofErr w:type="spellStart"/>
            <w:r w:rsidRPr="00B74A55">
              <w:rPr>
                <w:b/>
                <w:sz w:val="22"/>
              </w:rPr>
              <w:t>спрямований</w:t>
            </w:r>
            <w:proofErr w:type="spellEnd"/>
            <w:proofErr w:type="gramEnd"/>
            <w:r w:rsidRPr="00B74A55">
              <w:rPr>
                <w:b/>
                <w:sz w:val="22"/>
              </w:rPr>
              <w:t xml:space="preserve"> </w:t>
            </w:r>
            <w:proofErr w:type="spellStart"/>
            <w:r w:rsidRPr="00B74A55">
              <w:rPr>
                <w:b/>
                <w:sz w:val="22"/>
              </w:rPr>
              <w:t>проєкт</w:t>
            </w:r>
            <w:proofErr w:type="spellEnd"/>
          </w:p>
        </w:tc>
        <w:tc>
          <w:tcPr>
            <w:tcW w:w="6910" w:type="dxa"/>
            <w:gridSpan w:val="6"/>
          </w:tcPr>
          <w:p w:rsidR="00BE7B50" w:rsidRPr="00B74A55" w:rsidRDefault="00BE7B50" w:rsidP="00BE7B50">
            <w:pPr>
              <w:ind w:firstLine="708"/>
              <w:rPr>
                <w:sz w:val="22"/>
              </w:rPr>
            </w:pPr>
            <w:r w:rsidRPr="00B74A55">
              <w:rPr>
                <w:sz w:val="22"/>
              </w:rPr>
              <w:t xml:space="preserve">Через </w:t>
            </w:r>
            <w:proofErr w:type="spellStart"/>
            <w:r w:rsidRPr="00B74A55">
              <w:rPr>
                <w:sz w:val="22"/>
              </w:rPr>
              <w:t>військову</w:t>
            </w:r>
            <w:proofErr w:type="spellEnd"/>
            <w:r w:rsidRPr="00B74A55">
              <w:rPr>
                <w:sz w:val="22"/>
              </w:rPr>
              <w:t xml:space="preserve"> </w:t>
            </w:r>
            <w:proofErr w:type="spellStart"/>
            <w:r w:rsidRPr="00B74A55">
              <w:rPr>
                <w:sz w:val="22"/>
              </w:rPr>
              <w:t>агресію</w:t>
            </w:r>
            <w:proofErr w:type="spellEnd"/>
            <w:r w:rsidRPr="00B74A55">
              <w:rPr>
                <w:sz w:val="22"/>
              </w:rPr>
              <w:t xml:space="preserve"> РФ </w:t>
            </w:r>
            <w:proofErr w:type="spellStart"/>
            <w:r w:rsidRPr="00B74A55">
              <w:rPr>
                <w:sz w:val="22"/>
              </w:rPr>
              <w:t>територія</w:t>
            </w:r>
            <w:proofErr w:type="spellEnd"/>
            <w:r w:rsidRPr="00B74A55">
              <w:rPr>
                <w:sz w:val="22"/>
              </w:rPr>
              <w:t xml:space="preserve"> </w:t>
            </w:r>
            <w:proofErr w:type="spellStart"/>
            <w:r w:rsidRPr="00B74A55">
              <w:rPr>
                <w:sz w:val="22"/>
              </w:rPr>
              <w:t>Сєвєродонецької</w:t>
            </w:r>
            <w:proofErr w:type="spellEnd"/>
            <w:r w:rsidRPr="00B74A55">
              <w:rPr>
                <w:sz w:val="22"/>
              </w:rPr>
              <w:t xml:space="preserve"> </w:t>
            </w:r>
            <w:proofErr w:type="spellStart"/>
            <w:r w:rsidRPr="00B74A55">
              <w:rPr>
                <w:sz w:val="22"/>
              </w:rPr>
              <w:t>міської</w:t>
            </w:r>
            <w:proofErr w:type="spellEnd"/>
            <w:r w:rsidRPr="00B74A55">
              <w:rPr>
                <w:sz w:val="22"/>
              </w:rPr>
              <w:t xml:space="preserve"> </w:t>
            </w:r>
            <w:proofErr w:type="spellStart"/>
            <w:r w:rsidRPr="00B74A55">
              <w:rPr>
                <w:sz w:val="22"/>
              </w:rPr>
              <w:t>територіальної</w:t>
            </w:r>
            <w:proofErr w:type="spellEnd"/>
            <w:r w:rsidRPr="00B74A55">
              <w:rPr>
                <w:sz w:val="22"/>
              </w:rPr>
              <w:t xml:space="preserve"> </w:t>
            </w:r>
            <w:proofErr w:type="spellStart"/>
            <w:r w:rsidRPr="00B74A55">
              <w:rPr>
                <w:sz w:val="22"/>
              </w:rPr>
              <w:t>громади</w:t>
            </w:r>
            <w:proofErr w:type="spellEnd"/>
            <w:r w:rsidRPr="00B74A55">
              <w:rPr>
                <w:sz w:val="22"/>
              </w:rPr>
              <w:t xml:space="preserve"> </w:t>
            </w:r>
            <w:proofErr w:type="spellStart"/>
            <w:r w:rsidRPr="00B74A55">
              <w:rPr>
                <w:sz w:val="22"/>
              </w:rPr>
              <w:t>зазнала</w:t>
            </w:r>
            <w:proofErr w:type="spellEnd"/>
            <w:r w:rsidRPr="00B74A55">
              <w:rPr>
                <w:sz w:val="22"/>
              </w:rPr>
              <w:t xml:space="preserve"> </w:t>
            </w:r>
            <w:proofErr w:type="spellStart"/>
            <w:r w:rsidRPr="00B74A55">
              <w:rPr>
                <w:sz w:val="22"/>
              </w:rPr>
              <w:t>значних</w:t>
            </w:r>
            <w:proofErr w:type="spellEnd"/>
            <w:r w:rsidRPr="00B74A55">
              <w:rPr>
                <w:sz w:val="22"/>
              </w:rPr>
              <w:t xml:space="preserve"> </w:t>
            </w:r>
            <w:proofErr w:type="spellStart"/>
            <w:r w:rsidRPr="00B74A55">
              <w:rPr>
                <w:sz w:val="22"/>
              </w:rPr>
              <w:t>пошкоджень</w:t>
            </w:r>
            <w:proofErr w:type="spellEnd"/>
            <w:r w:rsidRPr="00B74A55">
              <w:rPr>
                <w:sz w:val="22"/>
              </w:rPr>
              <w:t xml:space="preserve">. Не </w:t>
            </w:r>
            <w:proofErr w:type="spellStart"/>
            <w:proofErr w:type="gramStart"/>
            <w:r w:rsidRPr="00B74A55">
              <w:rPr>
                <w:sz w:val="22"/>
              </w:rPr>
              <w:t>оминуло</w:t>
            </w:r>
            <w:proofErr w:type="spellEnd"/>
            <w:r w:rsidRPr="00B74A55">
              <w:rPr>
                <w:sz w:val="22"/>
              </w:rPr>
              <w:t xml:space="preserve">  </w:t>
            </w:r>
            <w:proofErr w:type="spellStart"/>
            <w:r w:rsidRPr="00B74A55">
              <w:rPr>
                <w:sz w:val="22"/>
              </w:rPr>
              <w:t>це</w:t>
            </w:r>
            <w:proofErr w:type="spellEnd"/>
            <w:proofErr w:type="gramEnd"/>
            <w:r w:rsidRPr="00B74A55">
              <w:rPr>
                <w:sz w:val="22"/>
              </w:rPr>
              <w:t xml:space="preserve"> і </w:t>
            </w:r>
            <w:proofErr w:type="spellStart"/>
            <w:r w:rsidRPr="00B74A55">
              <w:rPr>
                <w:sz w:val="22"/>
              </w:rPr>
              <w:t>Гімназію</w:t>
            </w:r>
            <w:proofErr w:type="spellEnd"/>
            <w:r w:rsidRPr="00B74A55">
              <w:rPr>
                <w:sz w:val="22"/>
              </w:rPr>
              <w:t xml:space="preserve"> №11 .</w:t>
            </w:r>
          </w:p>
          <w:p w:rsidR="00BE7B50" w:rsidRPr="00B74A55" w:rsidRDefault="00BE7B50" w:rsidP="00BE7B50">
            <w:pPr>
              <w:rPr>
                <w:sz w:val="22"/>
              </w:rPr>
            </w:pPr>
            <w:proofErr w:type="spellStart"/>
            <w:r w:rsidRPr="00B74A55">
              <w:rPr>
                <w:sz w:val="22"/>
              </w:rPr>
              <w:t>Уся</w:t>
            </w:r>
            <w:proofErr w:type="spellEnd"/>
            <w:r w:rsidRPr="00B74A55">
              <w:rPr>
                <w:sz w:val="22"/>
              </w:rPr>
              <w:t xml:space="preserve"> </w:t>
            </w:r>
            <w:proofErr w:type="spellStart"/>
            <w:r w:rsidRPr="00B74A55">
              <w:rPr>
                <w:sz w:val="22"/>
              </w:rPr>
              <w:t>матеріально-технічна</w:t>
            </w:r>
            <w:proofErr w:type="spellEnd"/>
            <w:r w:rsidRPr="00B74A55">
              <w:rPr>
                <w:sz w:val="22"/>
              </w:rPr>
              <w:t xml:space="preserve"> база </w:t>
            </w:r>
            <w:proofErr w:type="spellStart"/>
            <w:r w:rsidRPr="00B74A55">
              <w:rPr>
                <w:sz w:val="22"/>
              </w:rPr>
              <w:t>освітнього</w:t>
            </w:r>
            <w:proofErr w:type="spellEnd"/>
            <w:r w:rsidRPr="00B74A55">
              <w:rPr>
                <w:sz w:val="22"/>
              </w:rPr>
              <w:t xml:space="preserve"> закладу, </w:t>
            </w:r>
            <w:proofErr w:type="spellStart"/>
            <w:r w:rsidRPr="00B74A55">
              <w:rPr>
                <w:sz w:val="22"/>
              </w:rPr>
              <w:t>зокрема</w:t>
            </w:r>
            <w:proofErr w:type="spellEnd"/>
            <w:r w:rsidRPr="00B74A55">
              <w:rPr>
                <w:sz w:val="22"/>
              </w:rPr>
              <w:t>:</w:t>
            </w:r>
          </w:p>
          <w:p w:rsidR="00BE7B50" w:rsidRPr="00B74A55" w:rsidRDefault="00BE7B50" w:rsidP="00BE7B50">
            <w:pPr>
              <w:rPr>
                <w:sz w:val="22"/>
              </w:rPr>
            </w:pPr>
            <w:r w:rsidRPr="00B74A55">
              <w:rPr>
                <w:sz w:val="22"/>
              </w:rPr>
              <w:t>-</w:t>
            </w:r>
            <w:proofErr w:type="spellStart"/>
            <w:r w:rsidRPr="00B74A55">
              <w:rPr>
                <w:sz w:val="22"/>
              </w:rPr>
              <w:t>обладнання</w:t>
            </w:r>
            <w:proofErr w:type="spellEnd"/>
            <w:r w:rsidRPr="00B74A55">
              <w:rPr>
                <w:sz w:val="22"/>
              </w:rPr>
              <w:t xml:space="preserve"> (</w:t>
            </w:r>
            <w:proofErr w:type="spellStart"/>
            <w:r w:rsidRPr="00B74A55">
              <w:rPr>
                <w:sz w:val="22"/>
              </w:rPr>
              <w:t>устаткування</w:t>
            </w:r>
            <w:proofErr w:type="spellEnd"/>
            <w:r w:rsidRPr="00B74A55">
              <w:rPr>
                <w:sz w:val="22"/>
              </w:rPr>
              <w:t>) закладу;</w:t>
            </w:r>
          </w:p>
          <w:p w:rsidR="00BE7B50" w:rsidRPr="00B74A55" w:rsidRDefault="00BE7B50" w:rsidP="00BE7B50">
            <w:pPr>
              <w:rPr>
                <w:sz w:val="22"/>
              </w:rPr>
            </w:pPr>
            <w:r w:rsidRPr="00B74A55">
              <w:rPr>
                <w:sz w:val="22"/>
              </w:rPr>
              <w:t xml:space="preserve">- </w:t>
            </w:r>
            <w:proofErr w:type="spellStart"/>
            <w:r w:rsidRPr="00B74A55">
              <w:rPr>
                <w:sz w:val="22"/>
              </w:rPr>
              <w:t>будівля</w:t>
            </w:r>
            <w:proofErr w:type="spellEnd"/>
            <w:r w:rsidRPr="00B74A55">
              <w:rPr>
                <w:sz w:val="22"/>
              </w:rPr>
              <w:t xml:space="preserve">: фасад, </w:t>
            </w:r>
            <w:proofErr w:type="spellStart"/>
            <w:r w:rsidRPr="00B74A55">
              <w:rPr>
                <w:sz w:val="22"/>
              </w:rPr>
              <w:t>покрівля</w:t>
            </w:r>
            <w:proofErr w:type="spellEnd"/>
            <w:r w:rsidRPr="00B74A55">
              <w:rPr>
                <w:sz w:val="22"/>
              </w:rPr>
              <w:t xml:space="preserve">, </w:t>
            </w:r>
            <w:proofErr w:type="spellStart"/>
            <w:r w:rsidRPr="00B74A55">
              <w:rPr>
                <w:sz w:val="22"/>
              </w:rPr>
              <w:t>східці</w:t>
            </w:r>
            <w:proofErr w:type="spellEnd"/>
            <w:r w:rsidRPr="00B74A55">
              <w:rPr>
                <w:sz w:val="22"/>
              </w:rPr>
              <w:t xml:space="preserve"> </w:t>
            </w:r>
            <w:proofErr w:type="spellStart"/>
            <w:proofErr w:type="gramStart"/>
            <w:r w:rsidRPr="00B74A55">
              <w:rPr>
                <w:sz w:val="22"/>
                <w:bdr w:val="none" w:sz="0" w:space="0" w:color="auto" w:frame="1"/>
                <w:shd w:val="clear" w:color="auto" w:fill="FFFFFF"/>
              </w:rPr>
              <w:t>ґ</w:t>
            </w:r>
            <w:r w:rsidRPr="00B74A55">
              <w:rPr>
                <w:sz w:val="22"/>
              </w:rPr>
              <w:t>анку</w:t>
            </w:r>
            <w:proofErr w:type="spellEnd"/>
            <w:r w:rsidRPr="00B74A55">
              <w:rPr>
                <w:sz w:val="22"/>
              </w:rPr>
              <w:t>,  стеля</w:t>
            </w:r>
            <w:proofErr w:type="gramEnd"/>
            <w:r w:rsidRPr="00B74A55">
              <w:rPr>
                <w:sz w:val="22"/>
              </w:rPr>
              <w:t xml:space="preserve">,  </w:t>
            </w:r>
            <w:proofErr w:type="spellStart"/>
            <w:r w:rsidRPr="00B74A55">
              <w:rPr>
                <w:sz w:val="22"/>
              </w:rPr>
              <w:t>підлога</w:t>
            </w:r>
            <w:proofErr w:type="spellEnd"/>
            <w:r w:rsidRPr="00B74A55">
              <w:rPr>
                <w:sz w:val="22"/>
              </w:rPr>
              <w:t xml:space="preserve">, </w:t>
            </w:r>
            <w:proofErr w:type="spellStart"/>
            <w:r w:rsidRPr="00B74A55">
              <w:rPr>
                <w:sz w:val="22"/>
              </w:rPr>
              <w:t>опалювальна</w:t>
            </w:r>
            <w:proofErr w:type="spellEnd"/>
            <w:r w:rsidRPr="00B74A55">
              <w:rPr>
                <w:sz w:val="22"/>
              </w:rPr>
              <w:t xml:space="preserve"> система, </w:t>
            </w:r>
            <w:proofErr w:type="spellStart"/>
            <w:r w:rsidRPr="00B74A55">
              <w:rPr>
                <w:sz w:val="22"/>
              </w:rPr>
              <w:t>вікна</w:t>
            </w:r>
            <w:proofErr w:type="spellEnd"/>
            <w:r w:rsidRPr="00B74A55">
              <w:rPr>
                <w:sz w:val="22"/>
              </w:rPr>
              <w:t xml:space="preserve">, </w:t>
            </w:r>
            <w:proofErr w:type="spellStart"/>
            <w:r w:rsidRPr="00B74A55">
              <w:rPr>
                <w:sz w:val="22"/>
              </w:rPr>
              <w:t>двері</w:t>
            </w:r>
            <w:proofErr w:type="spellEnd"/>
            <w:r w:rsidRPr="00B74A55">
              <w:rPr>
                <w:sz w:val="22"/>
              </w:rPr>
              <w:t xml:space="preserve">, </w:t>
            </w:r>
            <w:proofErr w:type="spellStart"/>
            <w:r w:rsidRPr="00B74A55">
              <w:rPr>
                <w:sz w:val="22"/>
              </w:rPr>
              <w:t>комунікації</w:t>
            </w:r>
            <w:proofErr w:type="spellEnd"/>
            <w:r w:rsidRPr="00B74A55">
              <w:rPr>
                <w:sz w:val="22"/>
              </w:rPr>
              <w:t>,</w:t>
            </w:r>
            <w:r w:rsidR="00CD6763" w:rsidRPr="00B74A55">
              <w:rPr>
                <w:sz w:val="22"/>
              </w:rPr>
              <w:t xml:space="preserve"> </w:t>
            </w:r>
            <w:proofErr w:type="spellStart"/>
            <w:r w:rsidRPr="00B74A55">
              <w:rPr>
                <w:sz w:val="22"/>
              </w:rPr>
              <w:t>освітлення</w:t>
            </w:r>
            <w:proofErr w:type="spellEnd"/>
            <w:r w:rsidRPr="00B74A55">
              <w:rPr>
                <w:sz w:val="22"/>
              </w:rPr>
              <w:t xml:space="preserve"> </w:t>
            </w:r>
            <w:proofErr w:type="spellStart"/>
            <w:r w:rsidRPr="00B74A55">
              <w:rPr>
                <w:sz w:val="22"/>
              </w:rPr>
              <w:t>були</w:t>
            </w:r>
            <w:proofErr w:type="spellEnd"/>
            <w:r w:rsidRPr="00B74A55">
              <w:rPr>
                <w:sz w:val="22"/>
              </w:rPr>
              <w:t xml:space="preserve"> </w:t>
            </w:r>
            <w:proofErr w:type="spellStart"/>
            <w:r w:rsidRPr="00B74A55">
              <w:rPr>
                <w:sz w:val="22"/>
              </w:rPr>
              <w:t>знищені</w:t>
            </w:r>
            <w:proofErr w:type="spellEnd"/>
            <w:r w:rsidRPr="00B74A55">
              <w:rPr>
                <w:sz w:val="22"/>
              </w:rPr>
              <w:t xml:space="preserve"> </w:t>
            </w:r>
            <w:proofErr w:type="spellStart"/>
            <w:r w:rsidRPr="00B74A55">
              <w:rPr>
                <w:sz w:val="22"/>
              </w:rPr>
              <w:t>або</w:t>
            </w:r>
            <w:proofErr w:type="spellEnd"/>
            <w:r w:rsidRPr="00B74A55">
              <w:rPr>
                <w:sz w:val="22"/>
              </w:rPr>
              <w:t xml:space="preserve"> </w:t>
            </w:r>
            <w:proofErr w:type="spellStart"/>
            <w:r w:rsidRPr="00B74A55">
              <w:rPr>
                <w:sz w:val="22"/>
              </w:rPr>
              <w:t>викрадені</w:t>
            </w:r>
            <w:proofErr w:type="spellEnd"/>
            <w:r w:rsidRPr="00B74A55">
              <w:rPr>
                <w:sz w:val="22"/>
              </w:rPr>
              <w:t>.</w:t>
            </w:r>
          </w:p>
          <w:p w:rsidR="00BE7B50" w:rsidRPr="00B74A55" w:rsidRDefault="00BE7B50" w:rsidP="00BE7B50">
            <w:pPr>
              <w:pStyle w:val="13"/>
              <w:jc w:val="both"/>
              <w:rPr>
                <w:sz w:val="22"/>
              </w:rPr>
            </w:pPr>
            <w:r w:rsidRPr="00B74A55">
              <w:rPr>
                <w:rFonts w:eastAsia="Arial"/>
                <w:sz w:val="22"/>
                <w:lang w:val="uk-UA"/>
              </w:rPr>
              <w:t xml:space="preserve">Для відбудови та сталого розвитку громади потрібне відновлення роботи мережі закладів освіти. Мешканці громади потребують в отриманні якісних освітніх послуг, які відповідають нормам сучасності. </w:t>
            </w:r>
          </w:p>
        </w:tc>
      </w:tr>
      <w:tr w:rsidR="00BE7B50" w:rsidRPr="00B74A55" w:rsidTr="00F34B87">
        <w:tc>
          <w:tcPr>
            <w:tcW w:w="2978" w:type="dxa"/>
            <w:shd w:val="clear" w:color="auto" w:fill="C6D9F1" w:themeFill="text2" w:themeFillTint="33"/>
          </w:tcPr>
          <w:p w:rsidR="00BE7B50" w:rsidRPr="00B74A55" w:rsidRDefault="00BE7B50" w:rsidP="00BE7B50">
            <w:pPr>
              <w:pStyle w:val="a7"/>
              <w:ind w:left="0"/>
              <w:rPr>
                <w:b/>
                <w:sz w:val="22"/>
                <w:lang w:val="uk-UA"/>
              </w:rPr>
            </w:pPr>
            <w:r w:rsidRPr="00B74A55">
              <w:rPr>
                <w:b/>
                <w:sz w:val="22"/>
                <w:lang w:val="uk-UA"/>
              </w:rPr>
              <w:t xml:space="preserve">Очікувані якісні результати від реалізації </w:t>
            </w:r>
            <w:proofErr w:type="spellStart"/>
            <w:r w:rsidRPr="00B74A55">
              <w:rPr>
                <w:b/>
                <w:sz w:val="22"/>
                <w:lang w:val="uk-UA"/>
              </w:rPr>
              <w:t>проєкту</w:t>
            </w:r>
            <w:proofErr w:type="spellEnd"/>
          </w:p>
        </w:tc>
        <w:tc>
          <w:tcPr>
            <w:tcW w:w="6910" w:type="dxa"/>
            <w:gridSpan w:val="6"/>
          </w:tcPr>
          <w:p w:rsidR="00BE7B50" w:rsidRPr="00B74A55" w:rsidRDefault="00BE7B50" w:rsidP="00BE7B50">
            <w:pPr>
              <w:pStyle w:val="a7"/>
              <w:ind w:left="0"/>
              <w:rPr>
                <w:sz w:val="22"/>
              </w:rPr>
            </w:pPr>
            <w:r w:rsidRPr="00B74A55">
              <w:rPr>
                <w:sz w:val="22"/>
              </w:rPr>
              <w:t xml:space="preserve">- </w:t>
            </w:r>
            <w:proofErr w:type="spellStart"/>
            <w:r w:rsidRPr="00B74A55">
              <w:rPr>
                <w:sz w:val="22"/>
              </w:rPr>
              <w:t>забезпечення</w:t>
            </w:r>
            <w:proofErr w:type="spellEnd"/>
            <w:r w:rsidRPr="00B74A55">
              <w:rPr>
                <w:sz w:val="22"/>
              </w:rPr>
              <w:t xml:space="preserve"> </w:t>
            </w:r>
            <w:proofErr w:type="spellStart"/>
            <w:r w:rsidRPr="00B74A55">
              <w:rPr>
                <w:sz w:val="22"/>
              </w:rPr>
              <w:t>населення</w:t>
            </w:r>
            <w:proofErr w:type="spellEnd"/>
            <w:r w:rsidRPr="00B74A55">
              <w:rPr>
                <w:sz w:val="22"/>
              </w:rPr>
              <w:t xml:space="preserve"> </w:t>
            </w:r>
            <w:proofErr w:type="spellStart"/>
            <w:r w:rsidRPr="00B74A55">
              <w:rPr>
                <w:sz w:val="22"/>
              </w:rPr>
              <w:t>можливостями</w:t>
            </w:r>
            <w:proofErr w:type="spellEnd"/>
            <w:r w:rsidRPr="00B74A55">
              <w:rPr>
                <w:sz w:val="22"/>
              </w:rPr>
              <w:t xml:space="preserve"> для </w:t>
            </w:r>
            <w:proofErr w:type="spellStart"/>
            <w:r w:rsidRPr="00B74A55">
              <w:rPr>
                <w:sz w:val="22"/>
              </w:rPr>
              <w:t>реалізації</w:t>
            </w:r>
            <w:proofErr w:type="spellEnd"/>
            <w:r w:rsidRPr="00B74A55">
              <w:rPr>
                <w:sz w:val="22"/>
              </w:rPr>
              <w:t xml:space="preserve"> </w:t>
            </w:r>
            <w:proofErr w:type="spellStart"/>
            <w:r w:rsidRPr="00B74A55">
              <w:rPr>
                <w:sz w:val="22"/>
              </w:rPr>
              <w:t>його</w:t>
            </w:r>
            <w:proofErr w:type="spellEnd"/>
            <w:r w:rsidRPr="00B74A55">
              <w:rPr>
                <w:sz w:val="22"/>
              </w:rPr>
              <w:t xml:space="preserve"> </w:t>
            </w:r>
            <w:proofErr w:type="spellStart"/>
            <w:r w:rsidRPr="00B74A55">
              <w:rPr>
                <w:sz w:val="22"/>
              </w:rPr>
              <w:t>конституційних</w:t>
            </w:r>
            <w:proofErr w:type="spellEnd"/>
            <w:r w:rsidRPr="00B74A55">
              <w:rPr>
                <w:sz w:val="22"/>
              </w:rPr>
              <w:t xml:space="preserve"> прав, </w:t>
            </w:r>
            <w:proofErr w:type="spellStart"/>
            <w:r w:rsidRPr="00B74A55">
              <w:rPr>
                <w:sz w:val="22"/>
              </w:rPr>
              <w:t>пов’язаних</w:t>
            </w:r>
            <w:proofErr w:type="spellEnd"/>
            <w:r w:rsidRPr="00B74A55">
              <w:rPr>
                <w:sz w:val="22"/>
              </w:rPr>
              <w:t xml:space="preserve"> </w:t>
            </w:r>
            <w:proofErr w:type="spellStart"/>
            <w:r w:rsidRPr="00B74A55">
              <w:rPr>
                <w:sz w:val="22"/>
              </w:rPr>
              <w:t>із</w:t>
            </w:r>
            <w:proofErr w:type="spellEnd"/>
            <w:r w:rsidRPr="00B74A55">
              <w:rPr>
                <w:sz w:val="22"/>
              </w:rPr>
              <w:t xml:space="preserve"> </w:t>
            </w:r>
            <w:proofErr w:type="spellStart"/>
            <w:r w:rsidRPr="00B74A55">
              <w:rPr>
                <w:sz w:val="22"/>
              </w:rPr>
              <w:t>освітою</w:t>
            </w:r>
            <w:proofErr w:type="spellEnd"/>
            <w:r w:rsidRPr="00B74A55">
              <w:rPr>
                <w:sz w:val="22"/>
              </w:rPr>
              <w:t>;</w:t>
            </w:r>
          </w:p>
          <w:p w:rsidR="00BE7B50" w:rsidRPr="00B74A55" w:rsidRDefault="00BE7B50" w:rsidP="00BE7B50">
            <w:pPr>
              <w:pStyle w:val="a7"/>
              <w:ind w:left="0"/>
              <w:rPr>
                <w:sz w:val="22"/>
              </w:rPr>
            </w:pPr>
            <w:r w:rsidRPr="00B74A55">
              <w:rPr>
                <w:sz w:val="22"/>
              </w:rPr>
              <w:t xml:space="preserve">- </w:t>
            </w:r>
            <w:proofErr w:type="spellStart"/>
            <w:r w:rsidRPr="00B74A55">
              <w:rPr>
                <w:sz w:val="22"/>
              </w:rPr>
              <w:t>надання</w:t>
            </w:r>
            <w:proofErr w:type="spellEnd"/>
            <w:r w:rsidRPr="00B74A55">
              <w:rPr>
                <w:sz w:val="22"/>
              </w:rPr>
              <w:t xml:space="preserve"> широкого спектру </w:t>
            </w:r>
            <w:proofErr w:type="spellStart"/>
            <w:r w:rsidRPr="00B74A55">
              <w:rPr>
                <w:sz w:val="22"/>
              </w:rPr>
              <w:t>послуг</w:t>
            </w:r>
            <w:proofErr w:type="spellEnd"/>
            <w:r w:rsidRPr="00B74A55">
              <w:rPr>
                <w:sz w:val="22"/>
              </w:rPr>
              <w:t xml:space="preserve">, </w:t>
            </w:r>
            <w:proofErr w:type="spellStart"/>
            <w:r w:rsidRPr="00B74A55">
              <w:rPr>
                <w:sz w:val="22"/>
              </w:rPr>
              <w:t>пов’язаних</w:t>
            </w:r>
            <w:proofErr w:type="spellEnd"/>
            <w:r w:rsidRPr="00B74A55">
              <w:rPr>
                <w:sz w:val="22"/>
              </w:rPr>
              <w:t xml:space="preserve"> </w:t>
            </w:r>
            <w:proofErr w:type="spellStart"/>
            <w:proofErr w:type="gramStart"/>
            <w:r w:rsidRPr="00B74A55">
              <w:rPr>
                <w:sz w:val="22"/>
              </w:rPr>
              <w:t>із</w:t>
            </w:r>
            <w:proofErr w:type="spellEnd"/>
            <w:r w:rsidRPr="00B74A55">
              <w:rPr>
                <w:sz w:val="22"/>
              </w:rPr>
              <w:t xml:space="preserve">  </w:t>
            </w:r>
            <w:proofErr w:type="spellStart"/>
            <w:r w:rsidRPr="00B74A55">
              <w:rPr>
                <w:sz w:val="22"/>
              </w:rPr>
              <w:t>освітніми</w:t>
            </w:r>
            <w:proofErr w:type="spellEnd"/>
            <w:proofErr w:type="gramEnd"/>
            <w:r w:rsidRPr="00B74A55">
              <w:rPr>
                <w:sz w:val="22"/>
              </w:rPr>
              <w:t xml:space="preserve"> потребами; </w:t>
            </w:r>
          </w:p>
          <w:p w:rsidR="00BE7B50" w:rsidRPr="00B74A55" w:rsidRDefault="00BE7B50" w:rsidP="00BE7B50">
            <w:pPr>
              <w:pStyle w:val="a7"/>
              <w:ind w:left="0"/>
              <w:rPr>
                <w:sz w:val="22"/>
              </w:rPr>
            </w:pPr>
            <w:r w:rsidRPr="00B74A55">
              <w:rPr>
                <w:sz w:val="22"/>
              </w:rPr>
              <w:t xml:space="preserve">- </w:t>
            </w:r>
            <w:proofErr w:type="spellStart"/>
            <w:r w:rsidRPr="00B74A55">
              <w:rPr>
                <w:sz w:val="22"/>
              </w:rPr>
              <w:t>вирішення</w:t>
            </w:r>
            <w:proofErr w:type="spellEnd"/>
            <w:r w:rsidRPr="00B74A55">
              <w:rPr>
                <w:sz w:val="22"/>
              </w:rPr>
              <w:t xml:space="preserve"> ряду </w:t>
            </w:r>
            <w:proofErr w:type="spellStart"/>
            <w:r w:rsidRPr="00B74A55">
              <w:rPr>
                <w:sz w:val="22"/>
              </w:rPr>
              <w:t>питань</w:t>
            </w:r>
            <w:proofErr w:type="spellEnd"/>
            <w:r w:rsidRPr="00B74A55">
              <w:rPr>
                <w:sz w:val="22"/>
              </w:rPr>
              <w:t xml:space="preserve"> </w:t>
            </w:r>
            <w:proofErr w:type="gramStart"/>
            <w:r w:rsidRPr="00B74A55">
              <w:rPr>
                <w:sz w:val="22"/>
              </w:rPr>
              <w:t>у межах</w:t>
            </w:r>
            <w:proofErr w:type="gramEnd"/>
            <w:r w:rsidRPr="00B74A55">
              <w:rPr>
                <w:sz w:val="22"/>
              </w:rPr>
              <w:t xml:space="preserve"> </w:t>
            </w:r>
            <w:proofErr w:type="spellStart"/>
            <w:r w:rsidRPr="00B74A55">
              <w:rPr>
                <w:sz w:val="22"/>
              </w:rPr>
              <w:t>статутної</w:t>
            </w:r>
            <w:proofErr w:type="spellEnd"/>
            <w:r w:rsidRPr="00B74A55">
              <w:rPr>
                <w:sz w:val="22"/>
              </w:rPr>
              <w:t xml:space="preserve"> </w:t>
            </w:r>
            <w:proofErr w:type="spellStart"/>
            <w:r w:rsidRPr="00B74A55">
              <w:rPr>
                <w:sz w:val="22"/>
              </w:rPr>
              <w:t>діяльності</w:t>
            </w:r>
            <w:proofErr w:type="spellEnd"/>
            <w:r w:rsidRPr="00B74A55">
              <w:rPr>
                <w:sz w:val="22"/>
              </w:rPr>
              <w:t xml:space="preserve">, </w:t>
            </w:r>
            <w:proofErr w:type="spellStart"/>
            <w:r w:rsidRPr="00B74A55">
              <w:rPr>
                <w:sz w:val="22"/>
              </w:rPr>
              <w:t>пов’язаних</w:t>
            </w:r>
            <w:proofErr w:type="spellEnd"/>
            <w:r w:rsidRPr="00B74A55">
              <w:rPr>
                <w:sz w:val="22"/>
              </w:rPr>
              <w:t xml:space="preserve"> </w:t>
            </w:r>
            <w:proofErr w:type="spellStart"/>
            <w:r w:rsidRPr="00B74A55">
              <w:rPr>
                <w:sz w:val="22"/>
              </w:rPr>
              <w:t>із</w:t>
            </w:r>
            <w:proofErr w:type="spellEnd"/>
            <w:r w:rsidRPr="00B74A55">
              <w:rPr>
                <w:sz w:val="22"/>
              </w:rPr>
              <w:t xml:space="preserve"> </w:t>
            </w:r>
            <w:proofErr w:type="spellStart"/>
            <w:r w:rsidRPr="00B74A55">
              <w:rPr>
                <w:sz w:val="22"/>
              </w:rPr>
              <w:t>відбудовою</w:t>
            </w:r>
            <w:proofErr w:type="spellEnd"/>
            <w:r w:rsidRPr="00B74A55">
              <w:rPr>
                <w:sz w:val="22"/>
              </w:rPr>
              <w:t xml:space="preserve"> та </w:t>
            </w:r>
            <w:proofErr w:type="spellStart"/>
            <w:r w:rsidRPr="00B74A55">
              <w:rPr>
                <w:sz w:val="22"/>
              </w:rPr>
              <w:t>сталим</w:t>
            </w:r>
            <w:proofErr w:type="spellEnd"/>
            <w:r w:rsidRPr="00B74A55">
              <w:rPr>
                <w:sz w:val="22"/>
              </w:rPr>
              <w:t xml:space="preserve"> </w:t>
            </w:r>
            <w:proofErr w:type="spellStart"/>
            <w:r w:rsidRPr="00B74A55">
              <w:rPr>
                <w:sz w:val="22"/>
              </w:rPr>
              <w:t>розвитком</w:t>
            </w:r>
            <w:proofErr w:type="spellEnd"/>
            <w:r w:rsidRPr="00B74A55">
              <w:rPr>
                <w:sz w:val="22"/>
              </w:rPr>
              <w:t xml:space="preserve"> </w:t>
            </w:r>
            <w:proofErr w:type="spellStart"/>
            <w:r w:rsidRPr="00B74A55">
              <w:rPr>
                <w:sz w:val="22"/>
              </w:rPr>
              <w:t>громади</w:t>
            </w:r>
            <w:proofErr w:type="spellEnd"/>
            <w:r w:rsidRPr="00B74A55">
              <w:rPr>
                <w:sz w:val="22"/>
              </w:rPr>
              <w:t>;</w:t>
            </w:r>
          </w:p>
          <w:p w:rsidR="00BE7B50" w:rsidRPr="00B74A55" w:rsidRDefault="00BE7B50" w:rsidP="00BE7B50">
            <w:pPr>
              <w:pStyle w:val="a7"/>
              <w:ind w:left="0"/>
              <w:rPr>
                <w:sz w:val="22"/>
              </w:rPr>
            </w:pPr>
            <w:r w:rsidRPr="00B74A55">
              <w:rPr>
                <w:sz w:val="22"/>
              </w:rPr>
              <w:t xml:space="preserve">- </w:t>
            </w:r>
            <w:proofErr w:type="spellStart"/>
            <w:r w:rsidRPr="00B74A55">
              <w:rPr>
                <w:sz w:val="22"/>
              </w:rPr>
              <w:t>створення</w:t>
            </w:r>
            <w:proofErr w:type="spellEnd"/>
            <w:r w:rsidRPr="00B74A55">
              <w:rPr>
                <w:sz w:val="22"/>
              </w:rPr>
              <w:t xml:space="preserve"> </w:t>
            </w:r>
            <w:proofErr w:type="spellStart"/>
            <w:r w:rsidRPr="00B74A55">
              <w:rPr>
                <w:sz w:val="22"/>
              </w:rPr>
              <w:t>нових</w:t>
            </w:r>
            <w:proofErr w:type="spellEnd"/>
            <w:r w:rsidRPr="00B74A55">
              <w:rPr>
                <w:sz w:val="22"/>
              </w:rPr>
              <w:t xml:space="preserve"> </w:t>
            </w:r>
            <w:proofErr w:type="spellStart"/>
            <w:r w:rsidRPr="00B74A55">
              <w:rPr>
                <w:sz w:val="22"/>
              </w:rPr>
              <w:t>робочих</w:t>
            </w:r>
            <w:proofErr w:type="spellEnd"/>
            <w:r w:rsidRPr="00B74A55">
              <w:rPr>
                <w:sz w:val="22"/>
              </w:rPr>
              <w:t xml:space="preserve"> </w:t>
            </w:r>
            <w:proofErr w:type="spellStart"/>
            <w:r w:rsidRPr="00B74A55">
              <w:rPr>
                <w:sz w:val="22"/>
              </w:rPr>
              <w:t>місць</w:t>
            </w:r>
            <w:proofErr w:type="spellEnd"/>
            <w:r w:rsidRPr="00B74A55">
              <w:rPr>
                <w:sz w:val="22"/>
              </w:rPr>
              <w:t>;</w:t>
            </w:r>
          </w:p>
          <w:p w:rsidR="00BE7B50" w:rsidRPr="00B74A55" w:rsidRDefault="00BE7B50" w:rsidP="00BE7B50">
            <w:pPr>
              <w:pStyle w:val="a7"/>
              <w:ind w:left="0"/>
              <w:rPr>
                <w:sz w:val="22"/>
              </w:rPr>
            </w:pPr>
            <w:r w:rsidRPr="00B74A55">
              <w:rPr>
                <w:sz w:val="22"/>
              </w:rPr>
              <w:t xml:space="preserve">- стимул до </w:t>
            </w:r>
            <w:proofErr w:type="spellStart"/>
            <w:r w:rsidRPr="00B74A55">
              <w:rPr>
                <w:sz w:val="22"/>
              </w:rPr>
              <w:t>повернення</w:t>
            </w:r>
            <w:proofErr w:type="spellEnd"/>
            <w:r w:rsidRPr="00B74A55">
              <w:rPr>
                <w:sz w:val="22"/>
              </w:rPr>
              <w:t xml:space="preserve"> ВПО до </w:t>
            </w:r>
            <w:proofErr w:type="spellStart"/>
            <w:r w:rsidRPr="00B74A55">
              <w:rPr>
                <w:sz w:val="22"/>
              </w:rPr>
              <w:t>громади</w:t>
            </w:r>
            <w:proofErr w:type="spellEnd"/>
            <w:r w:rsidRPr="00B74A55">
              <w:rPr>
                <w:sz w:val="22"/>
              </w:rPr>
              <w:t>;</w:t>
            </w:r>
          </w:p>
          <w:p w:rsidR="00BE7B50" w:rsidRPr="00B74A55" w:rsidRDefault="00BE7B50" w:rsidP="00BE7B50">
            <w:pPr>
              <w:rPr>
                <w:sz w:val="22"/>
              </w:rPr>
            </w:pPr>
            <w:proofErr w:type="spellStart"/>
            <w:r w:rsidRPr="00B74A55">
              <w:rPr>
                <w:sz w:val="22"/>
              </w:rPr>
              <w:t>Реалізація</w:t>
            </w:r>
            <w:proofErr w:type="spellEnd"/>
            <w:r w:rsidRPr="00B74A55">
              <w:rPr>
                <w:sz w:val="22"/>
              </w:rPr>
              <w:t xml:space="preserve"> </w:t>
            </w:r>
            <w:proofErr w:type="spellStart"/>
            <w:r w:rsidRPr="00B74A55">
              <w:rPr>
                <w:sz w:val="22"/>
              </w:rPr>
              <w:t>проєкту</w:t>
            </w:r>
            <w:proofErr w:type="spellEnd"/>
            <w:r w:rsidRPr="00B74A55">
              <w:rPr>
                <w:sz w:val="22"/>
              </w:rPr>
              <w:t xml:space="preserve"> дозволить </w:t>
            </w:r>
            <w:proofErr w:type="spellStart"/>
            <w:r w:rsidRPr="00B74A55">
              <w:rPr>
                <w:sz w:val="22"/>
              </w:rPr>
              <w:t>організувати</w:t>
            </w:r>
            <w:proofErr w:type="spellEnd"/>
            <w:r w:rsidRPr="00B74A55">
              <w:rPr>
                <w:sz w:val="22"/>
              </w:rPr>
              <w:t xml:space="preserve"> </w:t>
            </w:r>
            <w:proofErr w:type="spellStart"/>
            <w:r w:rsidRPr="00B74A55">
              <w:rPr>
                <w:sz w:val="22"/>
              </w:rPr>
              <w:t>освітній</w:t>
            </w:r>
            <w:proofErr w:type="spellEnd"/>
            <w:r w:rsidRPr="00B74A55">
              <w:rPr>
                <w:sz w:val="22"/>
              </w:rPr>
              <w:t xml:space="preserve"> </w:t>
            </w:r>
            <w:proofErr w:type="spellStart"/>
            <w:r w:rsidRPr="00B74A55">
              <w:rPr>
                <w:sz w:val="22"/>
              </w:rPr>
              <w:t>простір</w:t>
            </w:r>
            <w:proofErr w:type="spellEnd"/>
            <w:r w:rsidRPr="00B74A55">
              <w:rPr>
                <w:sz w:val="22"/>
              </w:rPr>
              <w:t xml:space="preserve">, </w:t>
            </w:r>
            <w:proofErr w:type="spellStart"/>
            <w:r w:rsidRPr="00B74A55">
              <w:rPr>
                <w:sz w:val="22"/>
              </w:rPr>
              <w:t>поліпшити</w:t>
            </w:r>
            <w:proofErr w:type="spellEnd"/>
            <w:r w:rsidRPr="00B74A55">
              <w:rPr>
                <w:sz w:val="22"/>
              </w:rPr>
              <w:t xml:space="preserve"> стан </w:t>
            </w:r>
            <w:proofErr w:type="spellStart"/>
            <w:r w:rsidRPr="00B74A55">
              <w:rPr>
                <w:sz w:val="22"/>
              </w:rPr>
              <w:t>здоров'я</w:t>
            </w:r>
            <w:proofErr w:type="spellEnd"/>
            <w:r w:rsidRPr="00B74A55">
              <w:rPr>
                <w:sz w:val="22"/>
              </w:rPr>
              <w:t xml:space="preserve"> </w:t>
            </w:r>
            <w:proofErr w:type="spellStart"/>
            <w:r w:rsidRPr="00B74A55">
              <w:rPr>
                <w:sz w:val="22"/>
              </w:rPr>
              <w:t>дітей</w:t>
            </w:r>
            <w:proofErr w:type="spellEnd"/>
            <w:r w:rsidRPr="00B74A55">
              <w:rPr>
                <w:sz w:val="22"/>
              </w:rPr>
              <w:t xml:space="preserve">, </w:t>
            </w:r>
            <w:proofErr w:type="spellStart"/>
            <w:r w:rsidRPr="00B74A55">
              <w:rPr>
                <w:sz w:val="22"/>
              </w:rPr>
              <w:t>знизити</w:t>
            </w:r>
            <w:proofErr w:type="spellEnd"/>
            <w:r w:rsidRPr="00B74A55">
              <w:rPr>
                <w:sz w:val="22"/>
              </w:rPr>
              <w:t xml:space="preserve"> </w:t>
            </w:r>
            <w:proofErr w:type="spellStart"/>
            <w:r w:rsidRPr="00B74A55">
              <w:rPr>
                <w:sz w:val="22"/>
              </w:rPr>
              <w:t>рівень</w:t>
            </w:r>
            <w:proofErr w:type="spellEnd"/>
            <w:r w:rsidRPr="00B74A55">
              <w:rPr>
                <w:sz w:val="22"/>
              </w:rPr>
              <w:t xml:space="preserve"> </w:t>
            </w:r>
            <w:proofErr w:type="spellStart"/>
            <w:r w:rsidRPr="00B74A55">
              <w:rPr>
                <w:sz w:val="22"/>
              </w:rPr>
              <w:t>дитячого</w:t>
            </w:r>
            <w:proofErr w:type="spellEnd"/>
            <w:r w:rsidRPr="00B74A55">
              <w:rPr>
                <w:sz w:val="22"/>
              </w:rPr>
              <w:t xml:space="preserve"> травматизму, </w:t>
            </w:r>
            <w:proofErr w:type="spellStart"/>
            <w:r w:rsidRPr="00B74A55">
              <w:rPr>
                <w:sz w:val="22"/>
              </w:rPr>
              <w:t>організувати</w:t>
            </w:r>
            <w:proofErr w:type="spellEnd"/>
            <w:r w:rsidRPr="00B74A55">
              <w:rPr>
                <w:sz w:val="22"/>
              </w:rPr>
              <w:t xml:space="preserve"> </w:t>
            </w:r>
            <w:proofErr w:type="spellStart"/>
            <w:r w:rsidRPr="00B74A55">
              <w:rPr>
                <w:sz w:val="22"/>
              </w:rPr>
              <w:t>здоров’язберігаюче</w:t>
            </w:r>
            <w:proofErr w:type="spellEnd"/>
            <w:r w:rsidRPr="00B74A55">
              <w:rPr>
                <w:sz w:val="22"/>
              </w:rPr>
              <w:t xml:space="preserve"> </w:t>
            </w:r>
            <w:proofErr w:type="spellStart"/>
            <w:r w:rsidRPr="00B74A55">
              <w:rPr>
                <w:sz w:val="22"/>
              </w:rPr>
              <w:t>середовище</w:t>
            </w:r>
            <w:proofErr w:type="spellEnd"/>
            <w:r w:rsidRPr="00B74A55">
              <w:rPr>
                <w:sz w:val="22"/>
              </w:rPr>
              <w:t xml:space="preserve">, </w:t>
            </w:r>
            <w:proofErr w:type="spellStart"/>
            <w:r w:rsidRPr="00B74A55">
              <w:rPr>
                <w:sz w:val="22"/>
              </w:rPr>
              <w:t>розширити</w:t>
            </w:r>
            <w:proofErr w:type="spellEnd"/>
            <w:r w:rsidRPr="00B74A55">
              <w:rPr>
                <w:sz w:val="22"/>
              </w:rPr>
              <w:t xml:space="preserve"> </w:t>
            </w:r>
            <w:proofErr w:type="spellStart"/>
            <w:r w:rsidRPr="00B74A55">
              <w:rPr>
                <w:sz w:val="22"/>
              </w:rPr>
              <w:t>можливості</w:t>
            </w:r>
            <w:proofErr w:type="spellEnd"/>
            <w:r w:rsidRPr="00B74A55">
              <w:rPr>
                <w:sz w:val="22"/>
              </w:rPr>
              <w:t xml:space="preserve"> закладу </w:t>
            </w:r>
            <w:proofErr w:type="spellStart"/>
            <w:r w:rsidRPr="00B74A55">
              <w:rPr>
                <w:sz w:val="22"/>
              </w:rPr>
              <w:t>освіти</w:t>
            </w:r>
            <w:proofErr w:type="spellEnd"/>
            <w:r w:rsidRPr="00B74A55">
              <w:rPr>
                <w:sz w:val="22"/>
              </w:rPr>
              <w:t xml:space="preserve"> з </w:t>
            </w:r>
            <w:proofErr w:type="spellStart"/>
            <w:r w:rsidRPr="00B74A55">
              <w:rPr>
                <w:sz w:val="22"/>
              </w:rPr>
              <w:t>пропаганди</w:t>
            </w:r>
            <w:proofErr w:type="spellEnd"/>
            <w:r w:rsidRPr="00B74A55">
              <w:rPr>
                <w:sz w:val="22"/>
              </w:rPr>
              <w:t xml:space="preserve"> здорового способу </w:t>
            </w:r>
            <w:proofErr w:type="spellStart"/>
            <w:r w:rsidRPr="00B74A55">
              <w:rPr>
                <w:sz w:val="22"/>
              </w:rPr>
              <w:t>життя</w:t>
            </w:r>
            <w:proofErr w:type="spellEnd"/>
            <w:r w:rsidRPr="00B74A55">
              <w:rPr>
                <w:sz w:val="22"/>
              </w:rPr>
              <w:t xml:space="preserve"> та </w:t>
            </w:r>
            <w:proofErr w:type="spellStart"/>
            <w:r w:rsidRPr="00B74A55">
              <w:rPr>
                <w:sz w:val="22"/>
              </w:rPr>
              <w:t>забезпечення</w:t>
            </w:r>
            <w:proofErr w:type="spellEnd"/>
            <w:r w:rsidRPr="00B74A55">
              <w:rPr>
                <w:sz w:val="22"/>
              </w:rPr>
              <w:t xml:space="preserve"> </w:t>
            </w:r>
            <w:proofErr w:type="spellStart"/>
            <w:r w:rsidRPr="00B74A55">
              <w:rPr>
                <w:sz w:val="22"/>
              </w:rPr>
              <w:t>комфортних</w:t>
            </w:r>
            <w:proofErr w:type="spellEnd"/>
            <w:r w:rsidRPr="00B74A55">
              <w:rPr>
                <w:sz w:val="22"/>
              </w:rPr>
              <w:t xml:space="preserve"> умов для </w:t>
            </w:r>
            <w:proofErr w:type="spellStart"/>
            <w:r w:rsidRPr="00B74A55">
              <w:rPr>
                <w:sz w:val="22"/>
              </w:rPr>
              <w:t>навчання</w:t>
            </w:r>
            <w:proofErr w:type="spellEnd"/>
            <w:r w:rsidRPr="00B74A55">
              <w:rPr>
                <w:sz w:val="22"/>
              </w:rPr>
              <w:t xml:space="preserve"> та </w:t>
            </w:r>
            <w:proofErr w:type="spellStart"/>
            <w:r w:rsidRPr="00B74A55">
              <w:rPr>
                <w:sz w:val="22"/>
              </w:rPr>
              <w:t>викладання</w:t>
            </w:r>
            <w:proofErr w:type="spellEnd"/>
            <w:r w:rsidRPr="00B74A55">
              <w:rPr>
                <w:sz w:val="22"/>
              </w:rPr>
              <w:t xml:space="preserve">, </w:t>
            </w:r>
            <w:proofErr w:type="spellStart"/>
            <w:r w:rsidRPr="00B74A55">
              <w:rPr>
                <w:sz w:val="22"/>
              </w:rPr>
              <w:t>покращити</w:t>
            </w:r>
            <w:proofErr w:type="spellEnd"/>
            <w:r w:rsidRPr="00B74A55">
              <w:rPr>
                <w:sz w:val="22"/>
              </w:rPr>
              <w:t xml:space="preserve"> </w:t>
            </w:r>
            <w:proofErr w:type="spellStart"/>
            <w:r w:rsidRPr="00B74A55">
              <w:rPr>
                <w:sz w:val="22"/>
              </w:rPr>
              <w:t>імідж</w:t>
            </w:r>
            <w:proofErr w:type="spellEnd"/>
            <w:r w:rsidRPr="00B74A55">
              <w:rPr>
                <w:sz w:val="22"/>
              </w:rPr>
              <w:t xml:space="preserve"> закладу </w:t>
            </w:r>
            <w:proofErr w:type="spellStart"/>
            <w:r w:rsidRPr="00B74A55">
              <w:rPr>
                <w:sz w:val="22"/>
              </w:rPr>
              <w:t>освіти</w:t>
            </w:r>
            <w:proofErr w:type="spellEnd"/>
            <w:r w:rsidRPr="00B74A55">
              <w:rPr>
                <w:sz w:val="22"/>
              </w:rPr>
              <w:t xml:space="preserve">. </w:t>
            </w:r>
            <w:proofErr w:type="spellStart"/>
            <w:r w:rsidRPr="00B74A55">
              <w:rPr>
                <w:sz w:val="22"/>
              </w:rPr>
              <w:t>Також</w:t>
            </w:r>
            <w:proofErr w:type="spellEnd"/>
            <w:r w:rsidRPr="00B74A55">
              <w:rPr>
                <w:sz w:val="22"/>
              </w:rPr>
              <w:t xml:space="preserve"> </w:t>
            </w:r>
            <w:proofErr w:type="spellStart"/>
            <w:r w:rsidRPr="00B74A55">
              <w:rPr>
                <w:sz w:val="22"/>
              </w:rPr>
              <w:t>матиме</w:t>
            </w:r>
            <w:proofErr w:type="spellEnd"/>
            <w:r w:rsidRPr="00B74A55">
              <w:rPr>
                <w:sz w:val="22"/>
              </w:rPr>
              <w:t xml:space="preserve"> </w:t>
            </w:r>
            <w:proofErr w:type="spellStart"/>
            <w:r w:rsidRPr="00B74A55">
              <w:rPr>
                <w:sz w:val="22"/>
              </w:rPr>
              <w:t>позитивний</w:t>
            </w:r>
            <w:proofErr w:type="spellEnd"/>
            <w:r w:rsidRPr="00B74A55">
              <w:rPr>
                <w:sz w:val="22"/>
              </w:rPr>
              <w:t xml:space="preserve"> </w:t>
            </w:r>
            <w:proofErr w:type="spellStart"/>
            <w:r w:rsidRPr="00B74A55">
              <w:rPr>
                <w:sz w:val="22"/>
              </w:rPr>
              <w:t>вплив</w:t>
            </w:r>
            <w:proofErr w:type="spellEnd"/>
            <w:r w:rsidRPr="00B74A55">
              <w:rPr>
                <w:sz w:val="22"/>
              </w:rPr>
              <w:t xml:space="preserve"> на </w:t>
            </w:r>
            <w:proofErr w:type="spellStart"/>
            <w:r w:rsidRPr="00B74A55">
              <w:rPr>
                <w:sz w:val="22"/>
              </w:rPr>
              <w:t>розвиток</w:t>
            </w:r>
            <w:proofErr w:type="spellEnd"/>
            <w:r w:rsidRPr="00B74A55">
              <w:rPr>
                <w:sz w:val="22"/>
              </w:rPr>
              <w:t xml:space="preserve"> </w:t>
            </w:r>
            <w:proofErr w:type="spellStart"/>
            <w:r w:rsidRPr="00B74A55">
              <w:rPr>
                <w:sz w:val="22"/>
              </w:rPr>
              <w:t>дітей</w:t>
            </w:r>
            <w:proofErr w:type="spellEnd"/>
            <w:r w:rsidRPr="00B74A55">
              <w:rPr>
                <w:sz w:val="22"/>
              </w:rPr>
              <w:t xml:space="preserve">, </w:t>
            </w:r>
            <w:proofErr w:type="spellStart"/>
            <w:r w:rsidRPr="00B74A55">
              <w:rPr>
                <w:sz w:val="22"/>
              </w:rPr>
              <w:t>їхнє</w:t>
            </w:r>
            <w:proofErr w:type="spellEnd"/>
            <w:r w:rsidRPr="00B74A55">
              <w:rPr>
                <w:sz w:val="22"/>
              </w:rPr>
              <w:t xml:space="preserve"> </w:t>
            </w:r>
            <w:proofErr w:type="spellStart"/>
            <w:r w:rsidRPr="00B74A55">
              <w:rPr>
                <w:sz w:val="22"/>
              </w:rPr>
              <w:t>здоров’я</w:t>
            </w:r>
            <w:proofErr w:type="spellEnd"/>
            <w:r w:rsidRPr="00B74A55">
              <w:rPr>
                <w:sz w:val="22"/>
              </w:rPr>
              <w:t xml:space="preserve"> та </w:t>
            </w:r>
            <w:proofErr w:type="spellStart"/>
            <w:r w:rsidRPr="00B74A55">
              <w:rPr>
                <w:sz w:val="22"/>
              </w:rPr>
              <w:t>настрій</w:t>
            </w:r>
            <w:proofErr w:type="spellEnd"/>
            <w:r w:rsidRPr="00B74A55">
              <w:rPr>
                <w:sz w:val="22"/>
              </w:rPr>
              <w:t xml:space="preserve">. </w:t>
            </w:r>
            <w:proofErr w:type="spellStart"/>
            <w:r w:rsidRPr="00B74A55">
              <w:rPr>
                <w:sz w:val="22"/>
              </w:rPr>
              <w:t>Створюємо</w:t>
            </w:r>
            <w:proofErr w:type="spellEnd"/>
            <w:r w:rsidRPr="00B74A55">
              <w:rPr>
                <w:sz w:val="22"/>
              </w:rPr>
              <w:t xml:space="preserve"> </w:t>
            </w:r>
            <w:proofErr w:type="spellStart"/>
            <w:r w:rsidRPr="00B74A55">
              <w:rPr>
                <w:sz w:val="22"/>
              </w:rPr>
              <w:t>елементи</w:t>
            </w:r>
            <w:proofErr w:type="spellEnd"/>
            <w:r w:rsidRPr="00B74A55">
              <w:rPr>
                <w:sz w:val="22"/>
              </w:rPr>
              <w:t xml:space="preserve"> </w:t>
            </w:r>
            <w:proofErr w:type="spellStart"/>
            <w:r w:rsidRPr="00B74A55">
              <w:rPr>
                <w:sz w:val="22"/>
              </w:rPr>
              <w:t>безбар’єрності</w:t>
            </w:r>
            <w:proofErr w:type="spellEnd"/>
            <w:r w:rsidRPr="00B74A55">
              <w:rPr>
                <w:sz w:val="22"/>
              </w:rPr>
              <w:t xml:space="preserve"> в </w:t>
            </w:r>
            <w:proofErr w:type="spellStart"/>
            <w:r w:rsidRPr="00B74A55">
              <w:rPr>
                <w:sz w:val="22"/>
              </w:rPr>
              <w:t>закладі</w:t>
            </w:r>
            <w:proofErr w:type="spellEnd"/>
            <w:r w:rsidRPr="00B74A55">
              <w:rPr>
                <w:sz w:val="22"/>
              </w:rPr>
              <w:t xml:space="preserve"> </w:t>
            </w:r>
            <w:proofErr w:type="spellStart"/>
            <w:r w:rsidRPr="00B74A55">
              <w:rPr>
                <w:sz w:val="22"/>
              </w:rPr>
              <w:t>освіти</w:t>
            </w:r>
            <w:proofErr w:type="spellEnd"/>
            <w:r w:rsidRPr="00B74A55">
              <w:rPr>
                <w:sz w:val="22"/>
              </w:rPr>
              <w:t xml:space="preserve">, а </w:t>
            </w:r>
            <w:proofErr w:type="spellStart"/>
            <w:r w:rsidRPr="00B74A55">
              <w:rPr>
                <w:sz w:val="22"/>
              </w:rPr>
              <w:t>саме</w:t>
            </w:r>
            <w:proofErr w:type="spellEnd"/>
            <w:r w:rsidRPr="00B74A55">
              <w:rPr>
                <w:sz w:val="22"/>
              </w:rPr>
              <w:t>:</w:t>
            </w:r>
          </w:p>
          <w:p w:rsidR="00BE7B50" w:rsidRPr="00B74A55" w:rsidRDefault="00BE7B50" w:rsidP="00BE7B50">
            <w:pPr>
              <w:rPr>
                <w:sz w:val="22"/>
              </w:rPr>
            </w:pPr>
            <w:r w:rsidRPr="00B74A55">
              <w:rPr>
                <w:sz w:val="22"/>
              </w:rPr>
              <w:t>•</w:t>
            </w:r>
            <w:r w:rsidRPr="00B74A55">
              <w:rPr>
                <w:sz w:val="22"/>
              </w:rPr>
              <w:tab/>
            </w:r>
            <w:proofErr w:type="spellStart"/>
            <w:r w:rsidRPr="00B74A55">
              <w:rPr>
                <w:sz w:val="22"/>
              </w:rPr>
              <w:t>усуваємо</w:t>
            </w:r>
            <w:proofErr w:type="spellEnd"/>
            <w:r w:rsidRPr="00B74A55">
              <w:rPr>
                <w:sz w:val="22"/>
              </w:rPr>
              <w:t xml:space="preserve"> </w:t>
            </w:r>
            <w:proofErr w:type="spellStart"/>
            <w:r w:rsidRPr="00B74A55">
              <w:rPr>
                <w:sz w:val="22"/>
              </w:rPr>
              <w:t>бар’єри</w:t>
            </w:r>
            <w:proofErr w:type="spellEnd"/>
            <w:r w:rsidRPr="00B74A55">
              <w:rPr>
                <w:sz w:val="22"/>
              </w:rPr>
              <w:t xml:space="preserve"> в </w:t>
            </w:r>
            <w:proofErr w:type="spellStart"/>
            <w:r w:rsidRPr="00B74A55">
              <w:rPr>
                <w:sz w:val="22"/>
              </w:rPr>
              <w:t>системі</w:t>
            </w:r>
            <w:proofErr w:type="spellEnd"/>
            <w:r w:rsidRPr="00B74A55">
              <w:rPr>
                <w:sz w:val="22"/>
              </w:rPr>
              <w:t xml:space="preserve"> </w:t>
            </w:r>
            <w:proofErr w:type="spellStart"/>
            <w:r w:rsidRPr="00B74A55">
              <w:rPr>
                <w:sz w:val="22"/>
              </w:rPr>
              <w:t>освіти</w:t>
            </w:r>
            <w:proofErr w:type="spellEnd"/>
            <w:r w:rsidRPr="00B74A55">
              <w:rPr>
                <w:sz w:val="22"/>
              </w:rPr>
              <w:t xml:space="preserve"> та </w:t>
            </w:r>
            <w:proofErr w:type="spellStart"/>
            <w:r w:rsidRPr="00B74A55">
              <w:rPr>
                <w:sz w:val="22"/>
              </w:rPr>
              <w:t>системі</w:t>
            </w:r>
            <w:proofErr w:type="spellEnd"/>
            <w:r w:rsidRPr="00B74A55">
              <w:rPr>
                <w:sz w:val="22"/>
              </w:rPr>
              <w:t xml:space="preserve"> </w:t>
            </w:r>
            <w:proofErr w:type="spellStart"/>
            <w:r w:rsidRPr="00B74A55">
              <w:rPr>
                <w:sz w:val="22"/>
              </w:rPr>
              <w:t>підтримки</w:t>
            </w:r>
            <w:proofErr w:type="spellEnd"/>
            <w:r w:rsidRPr="00B74A55">
              <w:rPr>
                <w:sz w:val="22"/>
              </w:rPr>
              <w:t>;</w:t>
            </w:r>
          </w:p>
          <w:p w:rsidR="00BE7B50" w:rsidRPr="00B74A55" w:rsidRDefault="00BE7B50" w:rsidP="00BE7B50">
            <w:pPr>
              <w:rPr>
                <w:sz w:val="22"/>
              </w:rPr>
            </w:pPr>
            <w:r w:rsidRPr="00B74A55">
              <w:rPr>
                <w:sz w:val="22"/>
              </w:rPr>
              <w:t>•</w:t>
            </w:r>
            <w:r w:rsidRPr="00B74A55">
              <w:rPr>
                <w:sz w:val="22"/>
              </w:rPr>
              <w:tab/>
            </w:r>
            <w:proofErr w:type="spellStart"/>
            <w:r w:rsidRPr="00B74A55">
              <w:rPr>
                <w:sz w:val="22"/>
              </w:rPr>
              <w:t>цінуємо</w:t>
            </w:r>
            <w:proofErr w:type="spellEnd"/>
            <w:r w:rsidRPr="00B74A55">
              <w:rPr>
                <w:sz w:val="22"/>
              </w:rPr>
              <w:t xml:space="preserve"> </w:t>
            </w:r>
            <w:proofErr w:type="spellStart"/>
            <w:r w:rsidRPr="00B74A55">
              <w:rPr>
                <w:sz w:val="22"/>
              </w:rPr>
              <w:t>людське</w:t>
            </w:r>
            <w:proofErr w:type="spellEnd"/>
            <w:r w:rsidRPr="00B74A55">
              <w:rPr>
                <w:sz w:val="22"/>
              </w:rPr>
              <w:t xml:space="preserve"> </w:t>
            </w:r>
            <w:proofErr w:type="spellStart"/>
            <w:r w:rsidRPr="00B74A55">
              <w:rPr>
                <w:sz w:val="22"/>
              </w:rPr>
              <w:t>різноманіття</w:t>
            </w:r>
            <w:proofErr w:type="spellEnd"/>
            <w:r w:rsidRPr="00B74A55">
              <w:rPr>
                <w:sz w:val="22"/>
              </w:rPr>
              <w:t xml:space="preserve"> та </w:t>
            </w:r>
            <w:proofErr w:type="spellStart"/>
            <w:r w:rsidRPr="00B74A55">
              <w:rPr>
                <w:sz w:val="22"/>
              </w:rPr>
              <w:t>розуміємо</w:t>
            </w:r>
            <w:proofErr w:type="spellEnd"/>
            <w:r w:rsidRPr="00B74A55">
              <w:rPr>
                <w:sz w:val="22"/>
              </w:rPr>
              <w:t xml:space="preserve">, </w:t>
            </w:r>
            <w:proofErr w:type="spellStart"/>
            <w:r w:rsidRPr="00B74A55">
              <w:rPr>
                <w:sz w:val="22"/>
              </w:rPr>
              <w:t>що</w:t>
            </w:r>
            <w:proofErr w:type="spellEnd"/>
            <w:r w:rsidRPr="00B74A55">
              <w:rPr>
                <w:sz w:val="22"/>
              </w:rPr>
              <w:t xml:space="preserve"> </w:t>
            </w:r>
            <w:proofErr w:type="spellStart"/>
            <w:r w:rsidRPr="00B74A55">
              <w:rPr>
                <w:sz w:val="22"/>
              </w:rPr>
              <w:t>людські</w:t>
            </w:r>
            <w:proofErr w:type="spellEnd"/>
            <w:r w:rsidRPr="00B74A55">
              <w:rPr>
                <w:sz w:val="22"/>
              </w:rPr>
              <w:t xml:space="preserve"> </w:t>
            </w:r>
            <w:proofErr w:type="spellStart"/>
            <w:r w:rsidRPr="00B74A55">
              <w:rPr>
                <w:sz w:val="22"/>
              </w:rPr>
              <w:t>відмінності</w:t>
            </w:r>
            <w:proofErr w:type="spellEnd"/>
            <w:r w:rsidRPr="00B74A55">
              <w:rPr>
                <w:sz w:val="22"/>
              </w:rPr>
              <w:t xml:space="preserve"> та </w:t>
            </w:r>
            <w:proofErr w:type="spellStart"/>
            <w:r w:rsidRPr="00B74A55">
              <w:rPr>
                <w:sz w:val="22"/>
              </w:rPr>
              <w:t>цінності</w:t>
            </w:r>
            <w:proofErr w:type="spellEnd"/>
            <w:r w:rsidRPr="00B74A55">
              <w:rPr>
                <w:sz w:val="22"/>
              </w:rPr>
              <w:t xml:space="preserve"> </w:t>
            </w:r>
            <w:proofErr w:type="spellStart"/>
            <w:r w:rsidRPr="00B74A55">
              <w:rPr>
                <w:sz w:val="22"/>
              </w:rPr>
              <w:t>збагачують</w:t>
            </w:r>
            <w:proofErr w:type="spellEnd"/>
            <w:r w:rsidRPr="00B74A55">
              <w:rPr>
                <w:sz w:val="22"/>
              </w:rPr>
              <w:t xml:space="preserve"> </w:t>
            </w:r>
            <w:proofErr w:type="spellStart"/>
            <w:r w:rsidRPr="00B74A55">
              <w:rPr>
                <w:sz w:val="22"/>
              </w:rPr>
              <w:t>суспільство</w:t>
            </w:r>
            <w:proofErr w:type="spellEnd"/>
            <w:r w:rsidRPr="00B74A55">
              <w:rPr>
                <w:sz w:val="22"/>
              </w:rPr>
              <w:t>;</w:t>
            </w:r>
          </w:p>
          <w:p w:rsidR="00BE7B50" w:rsidRPr="00B74A55" w:rsidRDefault="00BE7B50" w:rsidP="00BE7B50">
            <w:pPr>
              <w:pStyle w:val="a7"/>
              <w:ind w:left="0"/>
              <w:rPr>
                <w:sz w:val="22"/>
              </w:rPr>
            </w:pPr>
            <w:r w:rsidRPr="00B74A55">
              <w:rPr>
                <w:sz w:val="22"/>
              </w:rPr>
              <w:t>•</w:t>
            </w:r>
            <w:r w:rsidRPr="00B74A55">
              <w:rPr>
                <w:sz w:val="22"/>
              </w:rPr>
              <w:tab/>
            </w:r>
            <w:proofErr w:type="spellStart"/>
            <w:r w:rsidRPr="00B74A55">
              <w:rPr>
                <w:sz w:val="22"/>
              </w:rPr>
              <w:t>визнаємо</w:t>
            </w:r>
            <w:proofErr w:type="spellEnd"/>
            <w:r w:rsidRPr="00B74A55">
              <w:rPr>
                <w:sz w:val="22"/>
              </w:rPr>
              <w:t xml:space="preserve">, </w:t>
            </w:r>
            <w:proofErr w:type="spellStart"/>
            <w:r w:rsidRPr="00B74A55">
              <w:rPr>
                <w:sz w:val="22"/>
              </w:rPr>
              <w:t>що</w:t>
            </w:r>
            <w:proofErr w:type="spellEnd"/>
            <w:r w:rsidRPr="00B74A55">
              <w:rPr>
                <w:sz w:val="22"/>
              </w:rPr>
              <w:t xml:space="preserve"> </w:t>
            </w:r>
            <w:proofErr w:type="spellStart"/>
            <w:r w:rsidRPr="00B74A55">
              <w:rPr>
                <w:sz w:val="22"/>
              </w:rPr>
              <w:t>діяльність</w:t>
            </w:r>
            <w:proofErr w:type="spellEnd"/>
            <w:r w:rsidRPr="00B74A55">
              <w:rPr>
                <w:sz w:val="22"/>
              </w:rPr>
              <w:t xml:space="preserve"> </w:t>
            </w:r>
            <w:proofErr w:type="spellStart"/>
            <w:r w:rsidRPr="00B74A55">
              <w:rPr>
                <w:sz w:val="22"/>
              </w:rPr>
              <w:t>ґрунтується</w:t>
            </w:r>
            <w:proofErr w:type="spellEnd"/>
            <w:r w:rsidRPr="00B74A55">
              <w:rPr>
                <w:sz w:val="22"/>
              </w:rPr>
              <w:t xml:space="preserve"> на правах </w:t>
            </w:r>
            <w:proofErr w:type="spellStart"/>
            <w:r w:rsidRPr="00B74A55">
              <w:rPr>
                <w:sz w:val="22"/>
              </w:rPr>
              <w:t>людини</w:t>
            </w:r>
            <w:proofErr w:type="spellEnd"/>
            <w:r w:rsidRPr="00B74A55">
              <w:rPr>
                <w:sz w:val="22"/>
              </w:rPr>
              <w:t xml:space="preserve"> та принципах </w:t>
            </w:r>
            <w:proofErr w:type="spellStart"/>
            <w:r w:rsidRPr="00B74A55">
              <w:rPr>
                <w:sz w:val="22"/>
              </w:rPr>
              <w:t>рівності</w:t>
            </w:r>
            <w:proofErr w:type="spellEnd"/>
            <w:r w:rsidRPr="00B74A55">
              <w:rPr>
                <w:sz w:val="22"/>
              </w:rPr>
              <w:t>.</w:t>
            </w:r>
          </w:p>
        </w:tc>
      </w:tr>
      <w:tr w:rsidR="00BE7B50" w:rsidRPr="00B74A55" w:rsidTr="00F34B87">
        <w:trPr>
          <w:trHeight w:val="390"/>
        </w:trPr>
        <w:tc>
          <w:tcPr>
            <w:tcW w:w="2978" w:type="dxa"/>
            <w:vMerge w:val="restart"/>
            <w:shd w:val="clear" w:color="auto" w:fill="C6D9F1" w:themeFill="text2" w:themeFillTint="33"/>
          </w:tcPr>
          <w:p w:rsidR="00BE7B50" w:rsidRPr="00B74A55" w:rsidRDefault="00BE7B50" w:rsidP="00BE7B50">
            <w:pPr>
              <w:pStyle w:val="a7"/>
              <w:ind w:left="0"/>
              <w:rPr>
                <w:b/>
                <w:sz w:val="22"/>
                <w:lang w:val="uk-UA"/>
              </w:rPr>
            </w:pPr>
            <w:r w:rsidRPr="00B74A55">
              <w:rPr>
                <w:b/>
                <w:sz w:val="22"/>
                <w:lang w:val="uk-UA"/>
              </w:rPr>
              <w:t xml:space="preserve">Очікувані кількісні результати реалізації </w:t>
            </w:r>
            <w:proofErr w:type="spellStart"/>
            <w:r w:rsidRPr="00B74A55">
              <w:rPr>
                <w:b/>
                <w:sz w:val="22"/>
                <w:lang w:val="uk-UA"/>
              </w:rPr>
              <w:t>проєкту</w:t>
            </w:r>
            <w:proofErr w:type="spellEnd"/>
            <w:r w:rsidRPr="00B74A55">
              <w:rPr>
                <w:b/>
                <w:sz w:val="22"/>
                <w:lang w:val="uk-UA"/>
              </w:rPr>
              <w:t xml:space="preserve"> (індикатори)</w:t>
            </w:r>
          </w:p>
          <w:p w:rsidR="00BE7B50" w:rsidRPr="00B74A55" w:rsidRDefault="00BE7B50" w:rsidP="00BE7B50">
            <w:pPr>
              <w:pStyle w:val="a7"/>
              <w:ind w:left="0"/>
              <w:rPr>
                <w:b/>
                <w:sz w:val="22"/>
                <w:lang w:val="uk-UA"/>
              </w:rPr>
            </w:pPr>
          </w:p>
        </w:tc>
        <w:tc>
          <w:tcPr>
            <w:tcW w:w="3775" w:type="dxa"/>
            <w:gridSpan w:val="3"/>
            <w:tcBorders>
              <w:bottom w:val="single" w:sz="4" w:space="0" w:color="auto"/>
              <w:right w:val="single" w:sz="4" w:space="0" w:color="auto"/>
            </w:tcBorders>
          </w:tcPr>
          <w:p w:rsidR="00BE7B50" w:rsidRPr="00B74A55" w:rsidRDefault="00BE7B50" w:rsidP="00BE7B50">
            <w:pPr>
              <w:pStyle w:val="a7"/>
              <w:ind w:left="-108"/>
              <w:rPr>
                <w:b/>
                <w:sz w:val="22"/>
              </w:rPr>
            </w:pPr>
            <w:proofErr w:type="spellStart"/>
            <w:r w:rsidRPr="00B74A55">
              <w:rPr>
                <w:b/>
                <w:sz w:val="22"/>
              </w:rPr>
              <w:t>Найменування</w:t>
            </w:r>
            <w:proofErr w:type="spellEnd"/>
            <w:r w:rsidRPr="00B74A55">
              <w:rPr>
                <w:b/>
                <w:sz w:val="22"/>
              </w:rPr>
              <w:t xml:space="preserve"> </w:t>
            </w:r>
            <w:proofErr w:type="spellStart"/>
            <w:r w:rsidRPr="00B74A55">
              <w:rPr>
                <w:b/>
                <w:sz w:val="22"/>
              </w:rPr>
              <w:t>показника</w:t>
            </w:r>
            <w:proofErr w:type="spellEnd"/>
          </w:p>
        </w:tc>
        <w:tc>
          <w:tcPr>
            <w:tcW w:w="1701" w:type="dxa"/>
            <w:tcBorders>
              <w:left w:val="single" w:sz="4" w:space="0" w:color="auto"/>
              <w:bottom w:val="single" w:sz="4" w:space="0" w:color="auto"/>
              <w:right w:val="single" w:sz="4" w:space="0" w:color="auto"/>
            </w:tcBorders>
          </w:tcPr>
          <w:p w:rsidR="00BE7B50" w:rsidRPr="00B74A55" w:rsidRDefault="00BE7B50" w:rsidP="00BE7B50">
            <w:pPr>
              <w:pStyle w:val="a7"/>
              <w:ind w:left="0"/>
              <w:rPr>
                <w:b/>
                <w:sz w:val="22"/>
              </w:rPr>
            </w:pPr>
            <w:proofErr w:type="spellStart"/>
            <w:r w:rsidRPr="00B74A55">
              <w:rPr>
                <w:b/>
                <w:sz w:val="22"/>
              </w:rPr>
              <w:t>Одиниця</w:t>
            </w:r>
            <w:proofErr w:type="spellEnd"/>
            <w:r w:rsidRPr="00B74A55">
              <w:rPr>
                <w:b/>
                <w:sz w:val="22"/>
              </w:rPr>
              <w:t xml:space="preserve"> </w:t>
            </w:r>
            <w:proofErr w:type="spellStart"/>
            <w:r w:rsidRPr="00B74A55">
              <w:rPr>
                <w:b/>
                <w:sz w:val="22"/>
              </w:rPr>
              <w:t>вимірювання</w:t>
            </w:r>
            <w:proofErr w:type="spellEnd"/>
          </w:p>
          <w:p w:rsidR="00BE7B50" w:rsidRPr="00B74A55" w:rsidRDefault="00BE7B50" w:rsidP="00BE7B50">
            <w:pPr>
              <w:pStyle w:val="a7"/>
              <w:ind w:left="0"/>
              <w:rPr>
                <w:b/>
                <w:sz w:val="22"/>
              </w:rPr>
            </w:pPr>
          </w:p>
        </w:tc>
        <w:tc>
          <w:tcPr>
            <w:tcW w:w="1434" w:type="dxa"/>
            <w:gridSpan w:val="2"/>
            <w:tcBorders>
              <w:left w:val="single" w:sz="4" w:space="0" w:color="auto"/>
              <w:bottom w:val="single" w:sz="4" w:space="0" w:color="auto"/>
            </w:tcBorders>
          </w:tcPr>
          <w:p w:rsidR="00BE7B50" w:rsidRPr="00B74A55" w:rsidRDefault="00BE7B50" w:rsidP="00BE7B50">
            <w:pPr>
              <w:pStyle w:val="a7"/>
              <w:ind w:left="0"/>
              <w:jc w:val="center"/>
              <w:rPr>
                <w:b/>
                <w:sz w:val="22"/>
              </w:rPr>
            </w:pPr>
            <w:proofErr w:type="spellStart"/>
            <w:r w:rsidRPr="00B74A55">
              <w:rPr>
                <w:b/>
                <w:sz w:val="22"/>
              </w:rPr>
              <w:t>Прогнозне</w:t>
            </w:r>
            <w:proofErr w:type="spellEnd"/>
            <w:r w:rsidRPr="00B74A55">
              <w:rPr>
                <w:b/>
                <w:sz w:val="22"/>
              </w:rPr>
              <w:t xml:space="preserve"> (</w:t>
            </w:r>
            <w:proofErr w:type="spellStart"/>
            <w:r w:rsidRPr="00B74A55">
              <w:rPr>
                <w:b/>
                <w:sz w:val="22"/>
              </w:rPr>
              <w:t>цільове</w:t>
            </w:r>
            <w:proofErr w:type="spellEnd"/>
            <w:r w:rsidRPr="00B74A55">
              <w:rPr>
                <w:b/>
                <w:sz w:val="22"/>
              </w:rPr>
              <w:t xml:space="preserve">) </w:t>
            </w:r>
            <w:proofErr w:type="spellStart"/>
            <w:r w:rsidRPr="00B74A55">
              <w:rPr>
                <w:b/>
                <w:sz w:val="22"/>
              </w:rPr>
              <w:t>значення</w:t>
            </w:r>
            <w:proofErr w:type="spellEnd"/>
          </w:p>
        </w:tc>
      </w:tr>
      <w:tr w:rsidR="00BE7B50" w:rsidRPr="00B74A55" w:rsidTr="00F34B87">
        <w:trPr>
          <w:trHeight w:val="585"/>
        </w:trPr>
        <w:tc>
          <w:tcPr>
            <w:tcW w:w="2978" w:type="dxa"/>
            <w:vMerge/>
            <w:shd w:val="clear" w:color="auto" w:fill="C6D9F1" w:themeFill="text2" w:themeFillTint="33"/>
          </w:tcPr>
          <w:p w:rsidR="00BE7B50" w:rsidRPr="00B74A55" w:rsidRDefault="00BE7B50" w:rsidP="00BE7B50">
            <w:pPr>
              <w:pStyle w:val="a7"/>
              <w:ind w:left="0"/>
              <w:rPr>
                <w:b/>
                <w:sz w:val="22"/>
              </w:rPr>
            </w:pPr>
          </w:p>
        </w:tc>
        <w:tc>
          <w:tcPr>
            <w:tcW w:w="3775" w:type="dxa"/>
            <w:gridSpan w:val="3"/>
            <w:tcBorders>
              <w:top w:val="single" w:sz="4" w:space="0" w:color="auto"/>
              <w:bottom w:val="single" w:sz="4" w:space="0" w:color="auto"/>
              <w:right w:val="single" w:sz="4" w:space="0" w:color="auto"/>
            </w:tcBorders>
          </w:tcPr>
          <w:p w:rsidR="00BE7B50" w:rsidRPr="00B74A55" w:rsidRDefault="00BE7B50" w:rsidP="00401618">
            <w:pPr>
              <w:rPr>
                <w:color w:val="FF0000"/>
                <w:sz w:val="22"/>
              </w:rPr>
            </w:pPr>
            <w:proofErr w:type="spellStart"/>
            <w:r w:rsidRPr="00B74A55">
              <w:rPr>
                <w:sz w:val="22"/>
              </w:rPr>
              <w:t>Кількість</w:t>
            </w:r>
            <w:proofErr w:type="spellEnd"/>
            <w:r w:rsidRPr="00B74A55">
              <w:rPr>
                <w:sz w:val="22"/>
              </w:rPr>
              <w:t xml:space="preserve"> </w:t>
            </w:r>
            <w:proofErr w:type="spellStart"/>
            <w:r w:rsidRPr="00B74A55">
              <w:rPr>
                <w:sz w:val="22"/>
              </w:rPr>
              <w:t>фізичних</w:t>
            </w:r>
            <w:proofErr w:type="spellEnd"/>
            <w:r w:rsidRPr="00B74A55">
              <w:rPr>
                <w:sz w:val="22"/>
              </w:rPr>
              <w:t xml:space="preserve"> </w:t>
            </w:r>
            <w:proofErr w:type="spellStart"/>
            <w:r w:rsidRPr="00B74A55">
              <w:rPr>
                <w:sz w:val="22"/>
              </w:rPr>
              <w:t>осіб</w:t>
            </w:r>
            <w:proofErr w:type="spellEnd"/>
            <w:r w:rsidRPr="00B74A55">
              <w:rPr>
                <w:sz w:val="22"/>
              </w:rPr>
              <w:t xml:space="preserve">, </w:t>
            </w:r>
            <w:proofErr w:type="spellStart"/>
            <w:r w:rsidRPr="00B74A55">
              <w:rPr>
                <w:sz w:val="22"/>
              </w:rPr>
              <w:t>які</w:t>
            </w:r>
            <w:proofErr w:type="spellEnd"/>
            <w:r w:rsidRPr="00B74A55">
              <w:rPr>
                <w:sz w:val="22"/>
              </w:rPr>
              <w:t xml:space="preserve"> </w:t>
            </w:r>
            <w:proofErr w:type="spellStart"/>
            <w:r w:rsidRPr="00B74A55">
              <w:rPr>
                <w:sz w:val="22"/>
              </w:rPr>
              <w:t>звернулись</w:t>
            </w:r>
            <w:proofErr w:type="spellEnd"/>
            <w:r w:rsidRPr="00B74A55">
              <w:rPr>
                <w:sz w:val="22"/>
              </w:rPr>
              <w:t xml:space="preserve"> за </w:t>
            </w:r>
            <w:proofErr w:type="spellStart"/>
            <w:r w:rsidRPr="00B74A55">
              <w:rPr>
                <w:sz w:val="22"/>
              </w:rPr>
              <w:t>послугами</w:t>
            </w:r>
            <w:proofErr w:type="spellEnd"/>
            <w:r w:rsidRPr="00B74A55">
              <w:rPr>
                <w:sz w:val="22"/>
              </w:rPr>
              <w:t xml:space="preserve"> </w:t>
            </w:r>
            <w:proofErr w:type="spellStart"/>
            <w:proofErr w:type="gramStart"/>
            <w:r w:rsidRPr="00B74A55">
              <w:rPr>
                <w:sz w:val="22"/>
              </w:rPr>
              <w:t>протягом</w:t>
            </w:r>
            <w:proofErr w:type="spellEnd"/>
            <w:r w:rsidRPr="00B74A55">
              <w:rPr>
                <w:sz w:val="22"/>
              </w:rPr>
              <w:t xml:space="preserve">  року</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rsidR="00BE7B50" w:rsidRPr="00B74A55" w:rsidRDefault="00BE7B50" w:rsidP="00BE7B50">
            <w:pPr>
              <w:rPr>
                <w:color w:val="FF0000"/>
                <w:sz w:val="22"/>
              </w:rPr>
            </w:pPr>
            <w:proofErr w:type="spellStart"/>
            <w:r w:rsidRPr="00B74A55">
              <w:rPr>
                <w:sz w:val="22"/>
              </w:rPr>
              <w:t>осіб</w:t>
            </w:r>
            <w:proofErr w:type="spellEnd"/>
          </w:p>
        </w:tc>
        <w:tc>
          <w:tcPr>
            <w:tcW w:w="1434" w:type="dxa"/>
            <w:gridSpan w:val="2"/>
            <w:tcBorders>
              <w:top w:val="single" w:sz="4" w:space="0" w:color="auto"/>
              <w:left w:val="single" w:sz="4" w:space="0" w:color="auto"/>
              <w:bottom w:val="single" w:sz="4" w:space="0" w:color="auto"/>
            </w:tcBorders>
          </w:tcPr>
          <w:p w:rsidR="00BE7B50" w:rsidRPr="00B74A55" w:rsidRDefault="00BE7B50" w:rsidP="00BE7B50">
            <w:pPr>
              <w:pStyle w:val="a7"/>
              <w:ind w:left="0"/>
              <w:jc w:val="center"/>
              <w:rPr>
                <w:color w:val="FF0000"/>
                <w:sz w:val="22"/>
              </w:rPr>
            </w:pPr>
            <w:r w:rsidRPr="00B74A55">
              <w:rPr>
                <w:sz w:val="22"/>
              </w:rPr>
              <w:t>1000</w:t>
            </w:r>
          </w:p>
        </w:tc>
      </w:tr>
      <w:tr w:rsidR="00BE7B50" w:rsidRPr="00B74A55" w:rsidTr="00F34B87">
        <w:tc>
          <w:tcPr>
            <w:tcW w:w="2978" w:type="dxa"/>
            <w:shd w:val="clear" w:color="auto" w:fill="C6D9F1" w:themeFill="text2" w:themeFillTint="33"/>
          </w:tcPr>
          <w:p w:rsidR="00BE7B50" w:rsidRPr="00B74A55" w:rsidRDefault="00BE7B50" w:rsidP="00BE7B50">
            <w:pPr>
              <w:rPr>
                <w:b/>
                <w:sz w:val="22"/>
              </w:rPr>
            </w:pPr>
            <w:proofErr w:type="spellStart"/>
            <w:r w:rsidRPr="00B74A55">
              <w:rPr>
                <w:b/>
                <w:sz w:val="22"/>
              </w:rPr>
              <w:t>Ключові</w:t>
            </w:r>
            <w:proofErr w:type="spellEnd"/>
            <w:r w:rsidRPr="00B74A55">
              <w:rPr>
                <w:b/>
                <w:sz w:val="22"/>
              </w:rPr>
              <w:t xml:space="preserve"> заходи </w:t>
            </w:r>
            <w:proofErr w:type="spellStart"/>
            <w:r w:rsidRPr="00B74A55">
              <w:rPr>
                <w:b/>
                <w:sz w:val="22"/>
              </w:rPr>
              <w:t>проєкту</w:t>
            </w:r>
            <w:proofErr w:type="spellEnd"/>
            <w:r w:rsidRPr="00B74A55">
              <w:rPr>
                <w:b/>
                <w:sz w:val="22"/>
              </w:rPr>
              <w:t xml:space="preserve">: </w:t>
            </w:r>
          </w:p>
          <w:p w:rsidR="00BE7B50" w:rsidRPr="00B74A55" w:rsidRDefault="00BE7B50" w:rsidP="00BE7B50">
            <w:pPr>
              <w:pStyle w:val="a7"/>
              <w:ind w:left="0"/>
              <w:rPr>
                <w:b/>
                <w:sz w:val="22"/>
              </w:rPr>
            </w:pPr>
          </w:p>
        </w:tc>
        <w:tc>
          <w:tcPr>
            <w:tcW w:w="6910" w:type="dxa"/>
            <w:gridSpan w:val="6"/>
          </w:tcPr>
          <w:p w:rsidR="00BE7B50" w:rsidRPr="00B74A55" w:rsidRDefault="00BE7B50" w:rsidP="00BE7B50">
            <w:pPr>
              <w:pStyle w:val="a7"/>
              <w:ind w:left="0"/>
              <w:rPr>
                <w:sz w:val="22"/>
              </w:rPr>
            </w:pPr>
            <w:r w:rsidRPr="00B74A55">
              <w:rPr>
                <w:sz w:val="22"/>
              </w:rPr>
              <w:t>-</w:t>
            </w:r>
            <w:proofErr w:type="spellStart"/>
            <w:r w:rsidRPr="00B74A55">
              <w:rPr>
                <w:sz w:val="22"/>
              </w:rPr>
              <w:t>проєктно-вишукувальні</w:t>
            </w:r>
            <w:proofErr w:type="spellEnd"/>
            <w:r w:rsidRPr="00B74A55">
              <w:rPr>
                <w:sz w:val="22"/>
              </w:rPr>
              <w:t xml:space="preserve"> </w:t>
            </w:r>
            <w:proofErr w:type="spellStart"/>
            <w:r w:rsidRPr="00B74A55">
              <w:rPr>
                <w:sz w:val="22"/>
              </w:rPr>
              <w:t>роботи</w:t>
            </w:r>
            <w:proofErr w:type="spellEnd"/>
            <w:r w:rsidRPr="00B74A55">
              <w:rPr>
                <w:sz w:val="22"/>
              </w:rPr>
              <w:t xml:space="preserve">, </w:t>
            </w:r>
            <w:proofErr w:type="spellStart"/>
            <w:r w:rsidRPr="00B74A55">
              <w:rPr>
                <w:sz w:val="22"/>
              </w:rPr>
              <w:t>експертиза</w:t>
            </w:r>
            <w:proofErr w:type="spellEnd"/>
            <w:r w:rsidRPr="00B74A55">
              <w:rPr>
                <w:sz w:val="22"/>
              </w:rPr>
              <w:t xml:space="preserve"> та </w:t>
            </w:r>
            <w:proofErr w:type="spellStart"/>
            <w:r w:rsidRPr="00B74A55">
              <w:rPr>
                <w:sz w:val="22"/>
              </w:rPr>
              <w:t>авторський</w:t>
            </w:r>
            <w:proofErr w:type="spellEnd"/>
            <w:r w:rsidRPr="00B74A55">
              <w:rPr>
                <w:sz w:val="22"/>
              </w:rPr>
              <w:t xml:space="preserve"> </w:t>
            </w:r>
            <w:proofErr w:type="spellStart"/>
            <w:r w:rsidRPr="00B74A55">
              <w:rPr>
                <w:sz w:val="22"/>
              </w:rPr>
              <w:t>нагляд</w:t>
            </w:r>
            <w:proofErr w:type="spellEnd"/>
            <w:r w:rsidRPr="00B74A55">
              <w:rPr>
                <w:sz w:val="22"/>
              </w:rPr>
              <w:t>;</w:t>
            </w:r>
          </w:p>
          <w:p w:rsidR="00BE7B50" w:rsidRPr="00B74A55" w:rsidRDefault="00BE7B50" w:rsidP="00BE7B50">
            <w:pPr>
              <w:pStyle w:val="a7"/>
              <w:ind w:left="0"/>
              <w:rPr>
                <w:sz w:val="22"/>
              </w:rPr>
            </w:pPr>
            <w:r w:rsidRPr="00B74A55">
              <w:rPr>
                <w:sz w:val="22"/>
              </w:rPr>
              <w:t>-</w:t>
            </w:r>
            <w:proofErr w:type="spellStart"/>
            <w:r w:rsidRPr="00B74A55">
              <w:rPr>
                <w:sz w:val="22"/>
              </w:rPr>
              <w:t>обстеження</w:t>
            </w:r>
            <w:proofErr w:type="spellEnd"/>
            <w:r w:rsidRPr="00B74A55">
              <w:rPr>
                <w:sz w:val="22"/>
              </w:rPr>
              <w:t xml:space="preserve"> стану </w:t>
            </w:r>
            <w:proofErr w:type="spellStart"/>
            <w:r w:rsidRPr="00B74A55">
              <w:rPr>
                <w:sz w:val="22"/>
              </w:rPr>
              <w:t>будівлі</w:t>
            </w:r>
            <w:proofErr w:type="spellEnd"/>
            <w:r w:rsidRPr="00B74A55">
              <w:rPr>
                <w:sz w:val="22"/>
              </w:rPr>
              <w:t>;</w:t>
            </w:r>
          </w:p>
          <w:p w:rsidR="00BE7B50" w:rsidRPr="00B74A55" w:rsidRDefault="00BE7B50" w:rsidP="00BE7B50">
            <w:pPr>
              <w:pStyle w:val="a7"/>
              <w:ind w:left="0"/>
              <w:rPr>
                <w:sz w:val="22"/>
              </w:rPr>
            </w:pPr>
            <w:r w:rsidRPr="00B74A55">
              <w:rPr>
                <w:sz w:val="22"/>
              </w:rPr>
              <w:t>-</w:t>
            </w:r>
            <w:proofErr w:type="spellStart"/>
            <w:r w:rsidRPr="00B74A55">
              <w:rPr>
                <w:sz w:val="22"/>
              </w:rPr>
              <w:t>проведення</w:t>
            </w:r>
            <w:proofErr w:type="spellEnd"/>
            <w:r w:rsidRPr="00B74A55">
              <w:rPr>
                <w:sz w:val="22"/>
              </w:rPr>
              <w:t xml:space="preserve"> </w:t>
            </w:r>
            <w:proofErr w:type="spellStart"/>
            <w:r w:rsidRPr="00B74A55">
              <w:rPr>
                <w:sz w:val="22"/>
              </w:rPr>
              <w:t>інвентаризації</w:t>
            </w:r>
            <w:proofErr w:type="spellEnd"/>
            <w:r w:rsidRPr="00B74A55">
              <w:rPr>
                <w:sz w:val="22"/>
              </w:rPr>
              <w:t xml:space="preserve"> </w:t>
            </w:r>
            <w:proofErr w:type="spellStart"/>
            <w:r w:rsidRPr="00B74A55">
              <w:rPr>
                <w:sz w:val="22"/>
              </w:rPr>
              <w:t>основних</w:t>
            </w:r>
            <w:proofErr w:type="spellEnd"/>
            <w:r w:rsidRPr="00B74A55">
              <w:rPr>
                <w:sz w:val="22"/>
              </w:rPr>
              <w:t xml:space="preserve"> </w:t>
            </w:r>
            <w:proofErr w:type="spellStart"/>
            <w:r w:rsidRPr="00B74A55">
              <w:rPr>
                <w:sz w:val="22"/>
              </w:rPr>
              <w:t>засобів</w:t>
            </w:r>
            <w:proofErr w:type="spellEnd"/>
            <w:r w:rsidRPr="00B74A55">
              <w:rPr>
                <w:sz w:val="22"/>
              </w:rPr>
              <w:t>;</w:t>
            </w:r>
          </w:p>
          <w:p w:rsidR="00BE7B50" w:rsidRPr="00B74A55" w:rsidRDefault="00BE7B50" w:rsidP="00BE7B50">
            <w:pPr>
              <w:rPr>
                <w:sz w:val="22"/>
              </w:rPr>
            </w:pPr>
            <w:r w:rsidRPr="00B74A55">
              <w:rPr>
                <w:sz w:val="22"/>
              </w:rPr>
              <w:t>-</w:t>
            </w:r>
            <w:proofErr w:type="spellStart"/>
            <w:r w:rsidRPr="00B74A55">
              <w:rPr>
                <w:sz w:val="22"/>
              </w:rPr>
              <w:t>складання</w:t>
            </w:r>
            <w:proofErr w:type="spellEnd"/>
            <w:r w:rsidRPr="00B74A55">
              <w:rPr>
                <w:sz w:val="22"/>
              </w:rPr>
              <w:t xml:space="preserve">, </w:t>
            </w:r>
            <w:proofErr w:type="spellStart"/>
            <w:r w:rsidRPr="00B74A55">
              <w:rPr>
                <w:sz w:val="22"/>
              </w:rPr>
              <w:t>розгляд</w:t>
            </w:r>
            <w:proofErr w:type="spellEnd"/>
            <w:r w:rsidRPr="00B74A55">
              <w:rPr>
                <w:sz w:val="22"/>
              </w:rPr>
              <w:t xml:space="preserve">, </w:t>
            </w:r>
            <w:proofErr w:type="spellStart"/>
            <w:r w:rsidRPr="00B74A55">
              <w:rPr>
                <w:sz w:val="22"/>
              </w:rPr>
              <w:t>затвердження</w:t>
            </w:r>
            <w:proofErr w:type="spellEnd"/>
            <w:r w:rsidRPr="00B74A55">
              <w:rPr>
                <w:sz w:val="22"/>
              </w:rPr>
              <w:t xml:space="preserve"> та </w:t>
            </w:r>
            <w:proofErr w:type="spellStart"/>
            <w:r w:rsidRPr="00B74A55">
              <w:rPr>
                <w:sz w:val="22"/>
              </w:rPr>
              <w:t>виконання</w:t>
            </w:r>
            <w:proofErr w:type="spellEnd"/>
            <w:r w:rsidRPr="00B74A55">
              <w:rPr>
                <w:sz w:val="22"/>
              </w:rPr>
              <w:t xml:space="preserve"> </w:t>
            </w:r>
            <w:proofErr w:type="spellStart"/>
            <w:r w:rsidRPr="00B74A55">
              <w:rPr>
                <w:sz w:val="22"/>
              </w:rPr>
              <w:t>кошторису</w:t>
            </w:r>
            <w:proofErr w:type="spellEnd"/>
            <w:r w:rsidRPr="00B74A55">
              <w:rPr>
                <w:sz w:val="22"/>
              </w:rPr>
              <w:t>;</w:t>
            </w:r>
          </w:p>
          <w:p w:rsidR="00BE7B50" w:rsidRPr="00B74A55" w:rsidRDefault="00BE7B50" w:rsidP="00BE7B50">
            <w:pPr>
              <w:rPr>
                <w:sz w:val="22"/>
              </w:rPr>
            </w:pPr>
            <w:r w:rsidRPr="00B74A55">
              <w:rPr>
                <w:sz w:val="22"/>
              </w:rPr>
              <w:t xml:space="preserve">-демонтаж </w:t>
            </w:r>
            <w:proofErr w:type="spellStart"/>
            <w:r w:rsidRPr="00B74A55">
              <w:rPr>
                <w:sz w:val="22"/>
              </w:rPr>
              <w:t>старих</w:t>
            </w:r>
            <w:proofErr w:type="spellEnd"/>
            <w:r w:rsidRPr="00B74A55">
              <w:rPr>
                <w:sz w:val="22"/>
              </w:rPr>
              <w:t xml:space="preserve"> </w:t>
            </w:r>
            <w:proofErr w:type="spellStart"/>
            <w:r w:rsidRPr="00B74A55">
              <w:rPr>
                <w:sz w:val="22"/>
              </w:rPr>
              <w:t>конструкцій</w:t>
            </w:r>
            <w:proofErr w:type="spellEnd"/>
            <w:r w:rsidRPr="00B74A55">
              <w:rPr>
                <w:sz w:val="22"/>
              </w:rPr>
              <w:t xml:space="preserve">, </w:t>
            </w:r>
            <w:proofErr w:type="spellStart"/>
            <w:r w:rsidRPr="00B74A55">
              <w:rPr>
                <w:sz w:val="22"/>
              </w:rPr>
              <w:t>обладнання</w:t>
            </w:r>
            <w:proofErr w:type="spellEnd"/>
            <w:r w:rsidRPr="00B74A55">
              <w:rPr>
                <w:sz w:val="22"/>
              </w:rPr>
              <w:t xml:space="preserve">, плитки </w:t>
            </w:r>
            <w:proofErr w:type="spellStart"/>
            <w:r w:rsidRPr="00B74A55">
              <w:rPr>
                <w:sz w:val="22"/>
              </w:rPr>
              <w:t>тощо</w:t>
            </w:r>
            <w:proofErr w:type="spellEnd"/>
            <w:r w:rsidRPr="00B74A55">
              <w:rPr>
                <w:sz w:val="22"/>
              </w:rPr>
              <w:t>;</w:t>
            </w:r>
          </w:p>
          <w:p w:rsidR="00BE7B50" w:rsidRPr="00B74A55" w:rsidRDefault="00BE7B50" w:rsidP="00BE7B50">
            <w:pPr>
              <w:rPr>
                <w:sz w:val="22"/>
              </w:rPr>
            </w:pPr>
            <w:r w:rsidRPr="00B74A55">
              <w:rPr>
                <w:sz w:val="22"/>
              </w:rPr>
              <w:t>-</w:t>
            </w:r>
            <w:proofErr w:type="spellStart"/>
            <w:r w:rsidRPr="00B74A55">
              <w:rPr>
                <w:sz w:val="22"/>
              </w:rPr>
              <w:t>придбання</w:t>
            </w:r>
            <w:proofErr w:type="spellEnd"/>
            <w:r w:rsidRPr="00B74A55">
              <w:rPr>
                <w:sz w:val="22"/>
              </w:rPr>
              <w:t xml:space="preserve"> </w:t>
            </w:r>
            <w:proofErr w:type="spellStart"/>
            <w:r w:rsidRPr="00B74A55">
              <w:rPr>
                <w:sz w:val="22"/>
              </w:rPr>
              <w:t>обладнання</w:t>
            </w:r>
            <w:proofErr w:type="spellEnd"/>
            <w:r w:rsidRPr="00B74A55">
              <w:rPr>
                <w:sz w:val="22"/>
              </w:rPr>
              <w:t xml:space="preserve">: </w:t>
            </w:r>
            <w:proofErr w:type="spellStart"/>
            <w:r w:rsidRPr="00B74A55">
              <w:rPr>
                <w:sz w:val="22"/>
              </w:rPr>
              <w:t>вентиляції</w:t>
            </w:r>
            <w:proofErr w:type="spellEnd"/>
            <w:r w:rsidRPr="00B74A55">
              <w:rPr>
                <w:sz w:val="22"/>
              </w:rPr>
              <w:t xml:space="preserve">, </w:t>
            </w:r>
            <w:proofErr w:type="spellStart"/>
            <w:r w:rsidRPr="00B74A55">
              <w:rPr>
                <w:sz w:val="22"/>
              </w:rPr>
              <w:t>водозабезпечення</w:t>
            </w:r>
            <w:proofErr w:type="spellEnd"/>
            <w:r w:rsidRPr="00B74A55">
              <w:rPr>
                <w:sz w:val="22"/>
              </w:rPr>
              <w:t xml:space="preserve">, </w:t>
            </w:r>
            <w:proofErr w:type="spellStart"/>
            <w:r w:rsidRPr="00B74A55">
              <w:rPr>
                <w:sz w:val="22"/>
              </w:rPr>
              <w:t>електросилового</w:t>
            </w:r>
            <w:proofErr w:type="spellEnd"/>
            <w:r w:rsidRPr="00B74A55">
              <w:rPr>
                <w:sz w:val="22"/>
              </w:rPr>
              <w:t xml:space="preserve"> </w:t>
            </w:r>
            <w:proofErr w:type="spellStart"/>
            <w:r w:rsidRPr="00B74A55">
              <w:rPr>
                <w:sz w:val="22"/>
              </w:rPr>
              <w:t>обладнання</w:t>
            </w:r>
            <w:proofErr w:type="spellEnd"/>
            <w:r w:rsidRPr="00B74A55">
              <w:rPr>
                <w:sz w:val="22"/>
              </w:rPr>
              <w:t xml:space="preserve">, </w:t>
            </w:r>
            <w:proofErr w:type="spellStart"/>
            <w:r w:rsidRPr="00B74A55">
              <w:rPr>
                <w:sz w:val="22"/>
              </w:rPr>
              <w:t>пожежної</w:t>
            </w:r>
            <w:proofErr w:type="spellEnd"/>
            <w:r w:rsidRPr="00B74A55">
              <w:rPr>
                <w:sz w:val="22"/>
              </w:rPr>
              <w:t xml:space="preserve"> </w:t>
            </w:r>
            <w:proofErr w:type="spellStart"/>
            <w:r w:rsidRPr="00B74A55">
              <w:rPr>
                <w:sz w:val="22"/>
              </w:rPr>
              <w:t>сигналізації</w:t>
            </w:r>
            <w:proofErr w:type="spellEnd"/>
            <w:r w:rsidRPr="00B74A55">
              <w:rPr>
                <w:sz w:val="22"/>
              </w:rPr>
              <w:t>;</w:t>
            </w:r>
          </w:p>
          <w:p w:rsidR="00BE7B50" w:rsidRPr="00B74A55" w:rsidRDefault="00BE7B50" w:rsidP="00BE7B50">
            <w:pPr>
              <w:rPr>
                <w:sz w:val="22"/>
              </w:rPr>
            </w:pPr>
            <w:r w:rsidRPr="00B74A55">
              <w:rPr>
                <w:sz w:val="22"/>
              </w:rPr>
              <w:t xml:space="preserve">-монтаж </w:t>
            </w:r>
            <w:proofErr w:type="spellStart"/>
            <w:r w:rsidRPr="00B74A55">
              <w:rPr>
                <w:sz w:val="22"/>
              </w:rPr>
              <w:t>обладнання</w:t>
            </w:r>
            <w:proofErr w:type="spellEnd"/>
            <w:r w:rsidRPr="00B74A55">
              <w:rPr>
                <w:sz w:val="22"/>
              </w:rPr>
              <w:t xml:space="preserve"> та </w:t>
            </w:r>
            <w:proofErr w:type="spellStart"/>
            <w:r w:rsidRPr="00B74A55">
              <w:rPr>
                <w:sz w:val="22"/>
              </w:rPr>
              <w:t>конструкцій</w:t>
            </w:r>
            <w:proofErr w:type="spellEnd"/>
            <w:r w:rsidRPr="00B74A55">
              <w:rPr>
                <w:sz w:val="22"/>
              </w:rPr>
              <w:t xml:space="preserve">; </w:t>
            </w:r>
          </w:p>
          <w:p w:rsidR="00BE7B50" w:rsidRPr="00B74A55" w:rsidRDefault="00BE7B50" w:rsidP="00BE7B50">
            <w:pPr>
              <w:rPr>
                <w:sz w:val="22"/>
              </w:rPr>
            </w:pPr>
            <w:r w:rsidRPr="00B74A55">
              <w:rPr>
                <w:sz w:val="22"/>
              </w:rPr>
              <w:t>-</w:t>
            </w:r>
            <w:proofErr w:type="spellStart"/>
            <w:r w:rsidRPr="00B74A55">
              <w:rPr>
                <w:sz w:val="22"/>
              </w:rPr>
              <w:t>проведення</w:t>
            </w:r>
            <w:proofErr w:type="spellEnd"/>
            <w:r w:rsidRPr="00B74A55">
              <w:rPr>
                <w:sz w:val="22"/>
              </w:rPr>
              <w:t xml:space="preserve"> </w:t>
            </w:r>
            <w:proofErr w:type="spellStart"/>
            <w:r w:rsidRPr="00B74A55">
              <w:rPr>
                <w:sz w:val="22"/>
              </w:rPr>
              <w:t>ремонтних</w:t>
            </w:r>
            <w:proofErr w:type="spellEnd"/>
            <w:r w:rsidRPr="00B74A55">
              <w:rPr>
                <w:sz w:val="22"/>
              </w:rPr>
              <w:t xml:space="preserve"> </w:t>
            </w:r>
            <w:proofErr w:type="spellStart"/>
            <w:r w:rsidRPr="00B74A55">
              <w:rPr>
                <w:sz w:val="22"/>
              </w:rPr>
              <w:t>робіт</w:t>
            </w:r>
            <w:proofErr w:type="spellEnd"/>
            <w:r w:rsidRPr="00B74A55">
              <w:rPr>
                <w:sz w:val="22"/>
              </w:rPr>
              <w:t xml:space="preserve"> (ремонт </w:t>
            </w:r>
            <w:proofErr w:type="spellStart"/>
            <w:r w:rsidRPr="00B74A55">
              <w:rPr>
                <w:sz w:val="22"/>
              </w:rPr>
              <w:t>будівлі</w:t>
            </w:r>
            <w:proofErr w:type="spellEnd"/>
            <w:r w:rsidRPr="00B74A55">
              <w:rPr>
                <w:sz w:val="22"/>
              </w:rPr>
              <w:t xml:space="preserve">: </w:t>
            </w:r>
            <w:proofErr w:type="spellStart"/>
            <w:r w:rsidRPr="00B74A55">
              <w:rPr>
                <w:sz w:val="22"/>
              </w:rPr>
              <w:t>фарбування</w:t>
            </w:r>
            <w:proofErr w:type="spellEnd"/>
            <w:r w:rsidRPr="00B74A55">
              <w:rPr>
                <w:sz w:val="22"/>
              </w:rPr>
              <w:t xml:space="preserve"> і </w:t>
            </w:r>
            <w:proofErr w:type="spellStart"/>
            <w:r w:rsidRPr="00B74A55">
              <w:rPr>
                <w:sz w:val="22"/>
              </w:rPr>
              <w:t>утеплення</w:t>
            </w:r>
            <w:proofErr w:type="spellEnd"/>
            <w:r w:rsidRPr="00B74A55">
              <w:rPr>
                <w:sz w:val="22"/>
              </w:rPr>
              <w:t xml:space="preserve"> фасаду, </w:t>
            </w:r>
            <w:proofErr w:type="spellStart"/>
            <w:r w:rsidRPr="00B74A55">
              <w:rPr>
                <w:sz w:val="22"/>
              </w:rPr>
              <w:t>заміна</w:t>
            </w:r>
            <w:proofErr w:type="spellEnd"/>
            <w:r w:rsidRPr="00B74A55">
              <w:rPr>
                <w:sz w:val="22"/>
              </w:rPr>
              <w:t xml:space="preserve"> </w:t>
            </w:r>
            <w:proofErr w:type="spellStart"/>
            <w:r w:rsidRPr="00B74A55">
              <w:rPr>
                <w:sz w:val="22"/>
              </w:rPr>
              <w:t>покрівлі</w:t>
            </w:r>
            <w:proofErr w:type="spellEnd"/>
            <w:r w:rsidRPr="00B74A55">
              <w:rPr>
                <w:sz w:val="22"/>
              </w:rPr>
              <w:t xml:space="preserve">, ремонт </w:t>
            </w:r>
            <w:proofErr w:type="spellStart"/>
            <w:r w:rsidRPr="00B74A55">
              <w:rPr>
                <w:sz w:val="22"/>
              </w:rPr>
              <w:t>східців</w:t>
            </w:r>
            <w:proofErr w:type="spellEnd"/>
            <w:r w:rsidRPr="00B74A55">
              <w:rPr>
                <w:sz w:val="22"/>
              </w:rPr>
              <w:t xml:space="preserve"> </w:t>
            </w:r>
            <w:proofErr w:type="spellStart"/>
            <w:r w:rsidRPr="00B74A55">
              <w:rPr>
                <w:color w:val="333333"/>
                <w:sz w:val="22"/>
                <w:bdr w:val="none" w:sz="0" w:space="0" w:color="auto" w:frame="1"/>
                <w:shd w:val="clear" w:color="auto" w:fill="FFFFFF"/>
              </w:rPr>
              <w:t>ґ</w:t>
            </w:r>
            <w:r w:rsidRPr="00B74A55">
              <w:rPr>
                <w:sz w:val="22"/>
              </w:rPr>
              <w:t>анку</w:t>
            </w:r>
            <w:proofErr w:type="spellEnd"/>
            <w:r w:rsidRPr="00B74A55">
              <w:rPr>
                <w:sz w:val="22"/>
              </w:rPr>
              <w:t xml:space="preserve">, ремонт </w:t>
            </w:r>
            <w:proofErr w:type="spellStart"/>
            <w:r w:rsidRPr="00B74A55">
              <w:rPr>
                <w:sz w:val="22"/>
              </w:rPr>
              <w:t>стелі</w:t>
            </w:r>
            <w:proofErr w:type="spellEnd"/>
            <w:r w:rsidRPr="00B74A55">
              <w:rPr>
                <w:sz w:val="22"/>
              </w:rPr>
              <w:t xml:space="preserve"> </w:t>
            </w:r>
            <w:proofErr w:type="gramStart"/>
            <w:r w:rsidRPr="00B74A55">
              <w:rPr>
                <w:sz w:val="22"/>
              </w:rPr>
              <w:t xml:space="preserve">і  </w:t>
            </w:r>
            <w:proofErr w:type="spellStart"/>
            <w:r w:rsidRPr="00B74A55">
              <w:rPr>
                <w:sz w:val="22"/>
              </w:rPr>
              <w:t>підлоги</w:t>
            </w:r>
            <w:proofErr w:type="spellEnd"/>
            <w:proofErr w:type="gramEnd"/>
            <w:r w:rsidRPr="00B74A55">
              <w:rPr>
                <w:sz w:val="22"/>
              </w:rPr>
              <w:t xml:space="preserve">, </w:t>
            </w:r>
            <w:proofErr w:type="spellStart"/>
            <w:r w:rsidRPr="00B74A55">
              <w:rPr>
                <w:sz w:val="22"/>
              </w:rPr>
              <w:lastRenderedPageBreak/>
              <w:t>заміна</w:t>
            </w:r>
            <w:proofErr w:type="spellEnd"/>
            <w:r w:rsidRPr="00B74A55">
              <w:rPr>
                <w:sz w:val="22"/>
              </w:rPr>
              <w:t xml:space="preserve"> </w:t>
            </w:r>
            <w:proofErr w:type="spellStart"/>
            <w:r w:rsidRPr="00B74A55">
              <w:rPr>
                <w:sz w:val="22"/>
              </w:rPr>
              <w:t>опалювальної</w:t>
            </w:r>
            <w:proofErr w:type="spellEnd"/>
            <w:r w:rsidRPr="00B74A55">
              <w:rPr>
                <w:sz w:val="22"/>
              </w:rPr>
              <w:t xml:space="preserve"> </w:t>
            </w:r>
            <w:proofErr w:type="spellStart"/>
            <w:r w:rsidRPr="00B74A55">
              <w:rPr>
                <w:sz w:val="22"/>
              </w:rPr>
              <w:t>системи</w:t>
            </w:r>
            <w:proofErr w:type="spellEnd"/>
            <w:r w:rsidRPr="00B74A55">
              <w:rPr>
                <w:sz w:val="22"/>
              </w:rPr>
              <w:t xml:space="preserve">, </w:t>
            </w:r>
            <w:proofErr w:type="spellStart"/>
            <w:r w:rsidRPr="00B74A55">
              <w:rPr>
                <w:sz w:val="22"/>
              </w:rPr>
              <w:t>вікон</w:t>
            </w:r>
            <w:proofErr w:type="spellEnd"/>
            <w:r w:rsidRPr="00B74A55">
              <w:rPr>
                <w:sz w:val="22"/>
              </w:rPr>
              <w:t xml:space="preserve">, дверей, </w:t>
            </w:r>
            <w:proofErr w:type="spellStart"/>
            <w:r w:rsidRPr="00B74A55">
              <w:rPr>
                <w:sz w:val="22"/>
              </w:rPr>
              <w:t>комунікацій</w:t>
            </w:r>
            <w:proofErr w:type="spellEnd"/>
            <w:r w:rsidRPr="00B74A55">
              <w:rPr>
                <w:sz w:val="22"/>
              </w:rPr>
              <w:t>,</w:t>
            </w:r>
            <w:r w:rsidR="00E4575A" w:rsidRPr="00B74A55">
              <w:rPr>
                <w:sz w:val="22"/>
              </w:rPr>
              <w:t xml:space="preserve"> </w:t>
            </w:r>
            <w:proofErr w:type="spellStart"/>
            <w:r w:rsidRPr="00B74A55">
              <w:rPr>
                <w:sz w:val="22"/>
              </w:rPr>
              <w:t>освітлення</w:t>
            </w:r>
            <w:proofErr w:type="spellEnd"/>
            <w:r w:rsidRPr="00B74A55">
              <w:rPr>
                <w:sz w:val="22"/>
              </w:rPr>
              <w:t xml:space="preserve">, </w:t>
            </w:r>
            <w:proofErr w:type="spellStart"/>
            <w:r w:rsidRPr="00B74A55">
              <w:rPr>
                <w:sz w:val="22"/>
              </w:rPr>
              <w:t>відновлення</w:t>
            </w:r>
            <w:proofErr w:type="spellEnd"/>
            <w:r w:rsidRPr="00B74A55">
              <w:rPr>
                <w:sz w:val="22"/>
              </w:rPr>
              <w:t xml:space="preserve"> </w:t>
            </w:r>
            <w:proofErr w:type="spellStart"/>
            <w:r w:rsidRPr="00B74A55">
              <w:rPr>
                <w:sz w:val="22"/>
              </w:rPr>
              <w:t>харчоблоку</w:t>
            </w:r>
            <w:proofErr w:type="spellEnd"/>
            <w:r w:rsidRPr="00B74A55">
              <w:rPr>
                <w:sz w:val="22"/>
              </w:rPr>
              <w:t xml:space="preserve"> та </w:t>
            </w:r>
            <w:proofErr w:type="spellStart"/>
            <w:r w:rsidRPr="00B74A55">
              <w:rPr>
                <w:sz w:val="22"/>
              </w:rPr>
              <w:t>їдальні</w:t>
            </w:r>
            <w:proofErr w:type="spellEnd"/>
            <w:r w:rsidRPr="00B74A55">
              <w:rPr>
                <w:sz w:val="22"/>
              </w:rPr>
              <w:t>);</w:t>
            </w:r>
          </w:p>
          <w:p w:rsidR="00BE7B50" w:rsidRPr="00B74A55" w:rsidRDefault="00BE7B50" w:rsidP="00BE7B50">
            <w:pPr>
              <w:rPr>
                <w:sz w:val="22"/>
              </w:rPr>
            </w:pPr>
            <w:r w:rsidRPr="00B74A55">
              <w:rPr>
                <w:sz w:val="22"/>
              </w:rPr>
              <w:t>-</w:t>
            </w:r>
            <w:proofErr w:type="spellStart"/>
            <w:r w:rsidRPr="00B74A55">
              <w:rPr>
                <w:sz w:val="22"/>
              </w:rPr>
              <w:t>вивезення</w:t>
            </w:r>
            <w:proofErr w:type="spellEnd"/>
            <w:r w:rsidRPr="00B74A55">
              <w:rPr>
                <w:sz w:val="22"/>
              </w:rPr>
              <w:t xml:space="preserve"> </w:t>
            </w:r>
            <w:proofErr w:type="spellStart"/>
            <w:r w:rsidRPr="00B74A55">
              <w:rPr>
                <w:sz w:val="22"/>
              </w:rPr>
              <w:t>сміття</w:t>
            </w:r>
            <w:proofErr w:type="spellEnd"/>
            <w:r w:rsidRPr="00B74A55">
              <w:rPr>
                <w:sz w:val="22"/>
              </w:rPr>
              <w:t>;</w:t>
            </w:r>
          </w:p>
          <w:p w:rsidR="00BE7B50" w:rsidRPr="00B74A55" w:rsidRDefault="00BE7B50" w:rsidP="00BE7B50">
            <w:pPr>
              <w:rPr>
                <w:sz w:val="22"/>
              </w:rPr>
            </w:pPr>
            <w:r w:rsidRPr="00B74A55">
              <w:rPr>
                <w:sz w:val="22"/>
              </w:rPr>
              <w:t xml:space="preserve">-огорожа, </w:t>
            </w:r>
            <w:proofErr w:type="spellStart"/>
            <w:r w:rsidRPr="00B74A55">
              <w:rPr>
                <w:sz w:val="22"/>
              </w:rPr>
              <w:t>освітлення</w:t>
            </w:r>
            <w:proofErr w:type="spellEnd"/>
            <w:r w:rsidRPr="00B74A55">
              <w:rPr>
                <w:sz w:val="22"/>
              </w:rPr>
              <w:t xml:space="preserve"> та </w:t>
            </w:r>
            <w:proofErr w:type="spellStart"/>
            <w:r w:rsidRPr="00B74A55">
              <w:rPr>
                <w:sz w:val="22"/>
              </w:rPr>
              <w:t>благоустрій</w:t>
            </w:r>
            <w:proofErr w:type="spellEnd"/>
            <w:r w:rsidRPr="00B74A55">
              <w:rPr>
                <w:sz w:val="22"/>
              </w:rPr>
              <w:t xml:space="preserve"> </w:t>
            </w:r>
            <w:proofErr w:type="spellStart"/>
            <w:r w:rsidRPr="00B74A55">
              <w:rPr>
                <w:sz w:val="22"/>
              </w:rPr>
              <w:t>території</w:t>
            </w:r>
            <w:proofErr w:type="spellEnd"/>
            <w:r w:rsidRPr="00B74A55">
              <w:rPr>
                <w:sz w:val="22"/>
              </w:rPr>
              <w:t>;</w:t>
            </w:r>
          </w:p>
          <w:p w:rsidR="00BE7B50" w:rsidRPr="00B74A55" w:rsidRDefault="00BE7B50" w:rsidP="00BE7B50">
            <w:pPr>
              <w:pStyle w:val="a7"/>
              <w:ind w:left="0"/>
              <w:rPr>
                <w:sz w:val="22"/>
              </w:rPr>
            </w:pPr>
            <w:r w:rsidRPr="00B74A55">
              <w:rPr>
                <w:sz w:val="22"/>
              </w:rPr>
              <w:t>-</w:t>
            </w:r>
            <w:proofErr w:type="spellStart"/>
            <w:r w:rsidRPr="00B74A55">
              <w:rPr>
                <w:sz w:val="22"/>
              </w:rPr>
              <w:t>організація</w:t>
            </w:r>
            <w:proofErr w:type="spellEnd"/>
            <w:r w:rsidRPr="00B74A55">
              <w:rPr>
                <w:sz w:val="22"/>
              </w:rPr>
              <w:t xml:space="preserve"> та початок </w:t>
            </w:r>
            <w:proofErr w:type="spellStart"/>
            <w:r w:rsidRPr="00B74A55">
              <w:rPr>
                <w:sz w:val="22"/>
              </w:rPr>
              <w:t>робочого</w:t>
            </w:r>
            <w:proofErr w:type="spellEnd"/>
            <w:r w:rsidRPr="00B74A55">
              <w:rPr>
                <w:sz w:val="22"/>
              </w:rPr>
              <w:t xml:space="preserve"> </w:t>
            </w:r>
            <w:proofErr w:type="spellStart"/>
            <w:r w:rsidRPr="00B74A55">
              <w:rPr>
                <w:sz w:val="22"/>
              </w:rPr>
              <w:t>процесу</w:t>
            </w:r>
            <w:proofErr w:type="spellEnd"/>
            <w:r w:rsidRPr="00B74A55">
              <w:rPr>
                <w:sz w:val="22"/>
              </w:rPr>
              <w:t>.</w:t>
            </w:r>
          </w:p>
        </w:tc>
      </w:tr>
      <w:tr w:rsidR="00BE7B50" w:rsidRPr="00B74A55" w:rsidTr="00F34B87">
        <w:trPr>
          <w:trHeight w:val="360"/>
        </w:trPr>
        <w:tc>
          <w:tcPr>
            <w:tcW w:w="2978" w:type="dxa"/>
            <w:vMerge w:val="restart"/>
            <w:shd w:val="clear" w:color="auto" w:fill="C6D9F1" w:themeFill="text2" w:themeFillTint="33"/>
          </w:tcPr>
          <w:p w:rsidR="00BE7B50" w:rsidRPr="00B74A55" w:rsidRDefault="00BE7B50" w:rsidP="00BE7B50">
            <w:pPr>
              <w:pStyle w:val="a7"/>
              <w:ind w:left="0"/>
              <w:rPr>
                <w:b/>
                <w:sz w:val="22"/>
              </w:rPr>
            </w:pPr>
            <w:proofErr w:type="spellStart"/>
            <w:r w:rsidRPr="00B74A55">
              <w:rPr>
                <w:b/>
                <w:sz w:val="22"/>
              </w:rPr>
              <w:lastRenderedPageBreak/>
              <w:t>Орієнтовний</w:t>
            </w:r>
            <w:proofErr w:type="spellEnd"/>
            <w:r w:rsidRPr="00B74A55">
              <w:rPr>
                <w:b/>
                <w:sz w:val="22"/>
              </w:rPr>
              <w:t xml:space="preserve"> </w:t>
            </w:r>
            <w:proofErr w:type="spellStart"/>
            <w:r w:rsidRPr="00B74A55">
              <w:rPr>
                <w:b/>
                <w:sz w:val="22"/>
              </w:rPr>
              <w:t>обсяг</w:t>
            </w:r>
            <w:proofErr w:type="spellEnd"/>
            <w:r w:rsidRPr="00B74A55">
              <w:rPr>
                <w:b/>
                <w:sz w:val="22"/>
              </w:rPr>
              <w:t xml:space="preserve"> та </w:t>
            </w:r>
            <w:proofErr w:type="spellStart"/>
            <w:r w:rsidRPr="00B74A55">
              <w:rPr>
                <w:b/>
                <w:sz w:val="22"/>
              </w:rPr>
              <w:t>джерела</w:t>
            </w:r>
            <w:proofErr w:type="spellEnd"/>
            <w:r w:rsidRPr="00B74A55">
              <w:rPr>
                <w:b/>
                <w:sz w:val="22"/>
              </w:rPr>
              <w:t xml:space="preserve"> </w:t>
            </w:r>
            <w:proofErr w:type="spellStart"/>
            <w:r w:rsidRPr="00B74A55">
              <w:rPr>
                <w:b/>
                <w:sz w:val="22"/>
              </w:rPr>
              <w:t>фінансування</w:t>
            </w:r>
            <w:proofErr w:type="spellEnd"/>
            <w:r w:rsidRPr="00B74A55">
              <w:rPr>
                <w:b/>
                <w:sz w:val="22"/>
              </w:rPr>
              <w:t xml:space="preserve">, тис. грн. </w:t>
            </w:r>
          </w:p>
          <w:p w:rsidR="00BE7B50" w:rsidRPr="00B74A55" w:rsidRDefault="00BE7B50" w:rsidP="00BE7B50">
            <w:pPr>
              <w:pStyle w:val="a7"/>
              <w:ind w:left="0"/>
              <w:rPr>
                <w:b/>
                <w:sz w:val="22"/>
              </w:rPr>
            </w:pPr>
          </w:p>
        </w:tc>
        <w:tc>
          <w:tcPr>
            <w:tcW w:w="1245" w:type="dxa"/>
            <w:tcBorders>
              <w:bottom w:val="single" w:sz="4" w:space="0" w:color="auto"/>
              <w:right w:val="single" w:sz="4" w:space="0" w:color="auto"/>
            </w:tcBorders>
          </w:tcPr>
          <w:p w:rsidR="00BE7B50" w:rsidRPr="00B74A55" w:rsidRDefault="00BE7B50" w:rsidP="00BE7B50">
            <w:pPr>
              <w:pStyle w:val="a7"/>
              <w:ind w:left="0"/>
              <w:jc w:val="center"/>
              <w:rPr>
                <w:b/>
                <w:sz w:val="22"/>
              </w:rPr>
            </w:pPr>
            <w:proofErr w:type="spellStart"/>
            <w:r w:rsidRPr="00B74A55">
              <w:rPr>
                <w:b/>
                <w:sz w:val="22"/>
              </w:rPr>
              <w:t>Державний</w:t>
            </w:r>
            <w:proofErr w:type="spellEnd"/>
            <w:r w:rsidRPr="00B74A55">
              <w:rPr>
                <w:b/>
                <w:sz w:val="22"/>
              </w:rPr>
              <w:t xml:space="preserve"> бюджет</w:t>
            </w:r>
          </w:p>
        </w:tc>
        <w:tc>
          <w:tcPr>
            <w:tcW w:w="1414" w:type="dxa"/>
            <w:tcBorders>
              <w:bottom w:val="single" w:sz="4" w:space="0" w:color="auto"/>
              <w:right w:val="single" w:sz="4" w:space="0" w:color="auto"/>
            </w:tcBorders>
          </w:tcPr>
          <w:p w:rsidR="00BE7B50" w:rsidRPr="00B74A55" w:rsidRDefault="00BE7B50" w:rsidP="00BE7B50">
            <w:pPr>
              <w:pStyle w:val="a7"/>
              <w:ind w:left="0"/>
              <w:jc w:val="center"/>
              <w:rPr>
                <w:b/>
                <w:sz w:val="22"/>
              </w:rPr>
            </w:pPr>
            <w:proofErr w:type="spellStart"/>
            <w:r w:rsidRPr="00B74A55">
              <w:rPr>
                <w:b/>
                <w:sz w:val="22"/>
              </w:rPr>
              <w:t>Місцевий</w:t>
            </w:r>
            <w:proofErr w:type="spellEnd"/>
            <w:r w:rsidRPr="00B74A55">
              <w:rPr>
                <w:b/>
                <w:sz w:val="22"/>
              </w:rPr>
              <w:t xml:space="preserve"> бюджет</w:t>
            </w:r>
          </w:p>
        </w:tc>
        <w:tc>
          <w:tcPr>
            <w:tcW w:w="2930" w:type="dxa"/>
            <w:gridSpan w:val="3"/>
            <w:tcBorders>
              <w:left w:val="single" w:sz="4" w:space="0" w:color="auto"/>
              <w:bottom w:val="single" w:sz="4" w:space="0" w:color="auto"/>
              <w:right w:val="single" w:sz="4" w:space="0" w:color="auto"/>
            </w:tcBorders>
          </w:tcPr>
          <w:p w:rsidR="00BE7B50" w:rsidRPr="00B74A55" w:rsidRDefault="00BE7B50" w:rsidP="00BE7B50">
            <w:pPr>
              <w:pStyle w:val="a7"/>
              <w:ind w:left="0"/>
              <w:jc w:val="center"/>
              <w:rPr>
                <w:b/>
                <w:sz w:val="22"/>
              </w:rPr>
            </w:pPr>
            <w:proofErr w:type="spellStart"/>
            <w:r w:rsidRPr="00B74A55">
              <w:rPr>
                <w:b/>
                <w:sz w:val="22"/>
              </w:rPr>
              <w:t>Інші</w:t>
            </w:r>
            <w:proofErr w:type="spellEnd"/>
            <w:r w:rsidRPr="00B74A55">
              <w:rPr>
                <w:b/>
                <w:sz w:val="22"/>
              </w:rPr>
              <w:t xml:space="preserve"> </w:t>
            </w:r>
            <w:proofErr w:type="spellStart"/>
            <w:r w:rsidRPr="00B74A55">
              <w:rPr>
                <w:b/>
                <w:sz w:val="22"/>
              </w:rPr>
              <w:t>джерела</w:t>
            </w:r>
            <w:proofErr w:type="spellEnd"/>
          </w:p>
        </w:tc>
        <w:tc>
          <w:tcPr>
            <w:tcW w:w="1321" w:type="dxa"/>
            <w:tcBorders>
              <w:left w:val="single" w:sz="4" w:space="0" w:color="auto"/>
              <w:bottom w:val="single" w:sz="4" w:space="0" w:color="auto"/>
            </w:tcBorders>
          </w:tcPr>
          <w:p w:rsidR="00BE7B50" w:rsidRPr="00B74A55" w:rsidRDefault="00BE7B50" w:rsidP="00BE7B50">
            <w:pPr>
              <w:pStyle w:val="a7"/>
              <w:ind w:left="0"/>
              <w:jc w:val="center"/>
              <w:rPr>
                <w:b/>
                <w:sz w:val="22"/>
              </w:rPr>
            </w:pPr>
            <w:proofErr w:type="spellStart"/>
            <w:r w:rsidRPr="00B74A55">
              <w:rPr>
                <w:b/>
                <w:sz w:val="22"/>
              </w:rPr>
              <w:t>Всього</w:t>
            </w:r>
            <w:proofErr w:type="spellEnd"/>
          </w:p>
        </w:tc>
      </w:tr>
      <w:tr w:rsidR="00BE7B50" w:rsidRPr="00B74A55" w:rsidTr="00F34B87">
        <w:trPr>
          <w:trHeight w:val="225"/>
        </w:trPr>
        <w:tc>
          <w:tcPr>
            <w:tcW w:w="2978" w:type="dxa"/>
            <w:vMerge/>
            <w:shd w:val="clear" w:color="auto" w:fill="C6D9F1" w:themeFill="text2" w:themeFillTint="33"/>
          </w:tcPr>
          <w:p w:rsidR="00BE7B50" w:rsidRPr="00B74A55" w:rsidRDefault="00BE7B50" w:rsidP="00BE7B50">
            <w:pPr>
              <w:pStyle w:val="a7"/>
              <w:ind w:left="0"/>
              <w:rPr>
                <w:b/>
                <w:sz w:val="22"/>
              </w:rPr>
            </w:pPr>
          </w:p>
        </w:tc>
        <w:tc>
          <w:tcPr>
            <w:tcW w:w="1245" w:type="dxa"/>
            <w:vMerge w:val="restart"/>
            <w:tcBorders>
              <w:top w:val="single" w:sz="4" w:space="0" w:color="auto"/>
              <w:right w:val="single" w:sz="4" w:space="0" w:color="auto"/>
            </w:tcBorders>
          </w:tcPr>
          <w:p w:rsidR="00BE7B50" w:rsidRPr="00B74A55" w:rsidRDefault="00BE7B50" w:rsidP="00BE7B50">
            <w:pPr>
              <w:pStyle w:val="a7"/>
              <w:ind w:left="0"/>
              <w:jc w:val="center"/>
              <w:rPr>
                <w:sz w:val="22"/>
              </w:rPr>
            </w:pPr>
            <w:r w:rsidRPr="00B74A55">
              <w:rPr>
                <w:sz w:val="22"/>
              </w:rPr>
              <w:t>27984,040</w:t>
            </w:r>
          </w:p>
        </w:tc>
        <w:tc>
          <w:tcPr>
            <w:tcW w:w="1414" w:type="dxa"/>
            <w:vMerge w:val="restart"/>
            <w:tcBorders>
              <w:top w:val="single" w:sz="4" w:space="0" w:color="auto"/>
              <w:right w:val="single" w:sz="4" w:space="0" w:color="auto"/>
            </w:tcBorders>
          </w:tcPr>
          <w:p w:rsidR="00BE7B50" w:rsidRPr="00B74A55" w:rsidRDefault="00BE7B50" w:rsidP="00BE7B50">
            <w:pPr>
              <w:pStyle w:val="a7"/>
              <w:ind w:left="0"/>
              <w:jc w:val="center"/>
              <w:rPr>
                <w:b/>
                <w:sz w:val="22"/>
              </w:rPr>
            </w:pPr>
            <w:r w:rsidRPr="00B74A55">
              <w:rPr>
                <w:b/>
                <w:sz w:val="22"/>
              </w:rPr>
              <w:t>-</w:t>
            </w:r>
          </w:p>
        </w:tc>
        <w:tc>
          <w:tcPr>
            <w:tcW w:w="1116" w:type="dxa"/>
            <w:tcBorders>
              <w:top w:val="single" w:sz="4" w:space="0" w:color="auto"/>
              <w:left w:val="single" w:sz="4" w:space="0" w:color="auto"/>
              <w:bottom w:val="single" w:sz="4" w:space="0" w:color="auto"/>
              <w:right w:val="single" w:sz="4" w:space="0" w:color="auto"/>
            </w:tcBorders>
          </w:tcPr>
          <w:p w:rsidR="00BE7B50" w:rsidRPr="00B74A55" w:rsidRDefault="00BE7B50" w:rsidP="00BE7B50">
            <w:pPr>
              <w:pStyle w:val="a7"/>
              <w:ind w:left="0"/>
              <w:jc w:val="center"/>
              <w:rPr>
                <w:b/>
                <w:sz w:val="22"/>
              </w:rPr>
            </w:pPr>
            <w:proofErr w:type="spellStart"/>
            <w:r w:rsidRPr="00B74A55">
              <w:rPr>
                <w:b/>
                <w:sz w:val="22"/>
              </w:rPr>
              <w:t>Обсяг</w:t>
            </w:r>
            <w:proofErr w:type="spellEnd"/>
          </w:p>
        </w:tc>
        <w:tc>
          <w:tcPr>
            <w:tcW w:w="1814" w:type="dxa"/>
            <w:gridSpan w:val="2"/>
            <w:tcBorders>
              <w:top w:val="single" w:sz="4" w:space="0" w:color="auto"/>
              <w:left w:val="single" w:sz="4" w:space="0" w:color="auto"/>
              <w:bottom w:val="single" w:sz="4" w:space="0" w:color="auto"/>
              <w:right w:val="single" w:sz="4" w:space="0" w:color="auto"/>
            </w:tcBorders>
          </w:tcPr>
          <w:p w:rsidR="00BE7B50" w:rsidRPr="00B74A55" w:rsidRDefault="00BE7B50" w:rsidP="00BE7B50">
            <w:pPr>
              <w:pStyle w:val="a7"/>
              <w:ind w:left="0"/>
              <w:jc w:val="center"/>
              <w:rPr>
                <w:b/>
                <w:sz w:val="22"/>
              </w:rPr>
            </w:pPr>
            <w:proofErr w:type="spellStart"/>
            <w:r w:rsidRPr="00B74A55">
              <w:rPr>
                <w:b/>
                <w:sz w:val="22"/>
              </w:rPr>
              <w:t>Назва</w:t>
            </w:r>
            <w:proofErr w:type="spellEnd"/>
            <w:r w:rsidRPr="00B74A55">
              <w:rPr>
                <w:b/>
                <w:sz w:val="22"/>
              </w:rPr>
              <w:t xml:space="preserve"> </w:t>
            </w:r>
            <w:proofErr w:type="spellStart"/>
            <w:r w:rsidRPr="00B74A55">
              <w:rPr>
                <w:b/>
                <w:sz w:val="22"/>
              </w:rPr>
              <w:t>джерела</w:t>
            </w:r>
            <w:proofErr w:type="spellEnd"/>
          </w:p>
        </w:tc>
        <w:tc>
          <w:tcPr>
            <w:tcW w:w="1321" w:type="dxa"/>
            <w:vMerge w:val="restart"/>
            <w:tcBorders>
              <w:top w:val="single" w:sz="4" w:space="0" w:color="auto"/>
              <w:left w:val="single" w:sz="4" w:space="0" w:color="auto"/>
            </w:tcBorders>
          </w:tcPr>
          <w:p w:rsidR="00BE7B50" w:rsidRPr="00B74A55" w:rsidRDefault="00BE7B50" w:rsidP="00BE7B50">
            <w:pPr>
              <w:pStyle w:val="a7"/>
              <w:ind w:left="0"/>
              <w:rPr>
                <w:sz w:val="22"/>
              </w:rPr>
            </w:pPr>
            <w:r w:rsidRPr="00B74A55">
              <w:rPr>
                <w:sz w:val="22"/>
              </w:rPr>
              <w:t>34980,050</w:t>
            </w:r>
          </w:p>
        </w:tc>
      </w:tr>
      <w:tr w:rsidR="00BE7B50" w:rsidRPr="00B74A55" w:rsidTr="00F34B87">
        <w:trPr>
          <w:trHeight w:val="300"/>
        </w:trPr>
        <w:tc>
          <w:tcPr>
            <w:tcW w:w="2978" w:type="dxa"/>
            <w:vMerge/>
            <w:shd w:val="clear" w:color="auto" w:fill="C6D9F1" w:themeFill="text2" w:themeFillTint="33"/>
          </w:tcPr>
          <w:p w:rsidR="00BE7B50" w:rsidRPr="00B74A55" w:rsidRDefault="00BE7B50" w:rsidP="00BE7B50">
            <w:pPr>
              <w:pStyle w:val="a7"/>
              <w:ind w:left="0"/>
              <w:rPr>
                <w:b/>
                <w:sz w:val="22"/>
              </w:rPr>
            </w:pPr>
          </w:p>
        </w:tc>
        <w:tc>
          <w:tcPr>
            <w:tcW w:w="1245" w:type="dxa"/>
            <w:vMerge/>
            <w:tcBorders>
              <w:right w:val="single" w:sz="4" w:space="0" w:color="auto"/>
            </w:tcBorders>
          </w:tcPr>
          <w:p w:rsidR="00BE7B50" w:rsidRPr="00B74A55" w:rsidRDefault="00BE7B50" w:rsidP="00BE7B50">
            <w:pPr>
              <w:pStyle w:val="a7"/>
              <w:ind w:left="0"/>
              <w:jc w:val="center"/>
              <w:rPr>
                <w:sz w:val="22"/>
              </w:rPr>
            </w:pPr>
          </w:p>
        </w:tc>
        <w:tc>
          <w:tcPr>
            <w:tcW w:w="1414" w:type="dxa"/>
            <w:vMerge/>
            <w:tcBorders>
              <w:right w:val="single" w:sz="4" w:space="0" w:color="auto"/>
            </w:tcBorders>
          </w:tcPr>
          <w:p w:rsidR="00BE7B50" w:rsidRPr="00B74A55" w:rsidRDefault="00BE7B50" w:rsidP="00BE7B50">
            <w:pPr>
              <w:pStyle w:val="a7"/>
              <w:ind w:left="0"/>
              <w:jc w:val="center"/>
              <w:rPr>
                <w:b/>
                <w:sz w:val="22"/>
              </w:rPr>
            </w:pPr>
          </w:p>
        </w:tc>
        <w:tc>
          <w:tcPr>
            <w:tcW w:w="1116" w:type="dxa"/>
            <w:tcBorders>
              <w:top w:val="single" w:sz="4" w:space="0" w:color="auto"/>
              <w:left w:val="single" w:sz="4" w:space="0" w:color="auto"/>
              <w:right w:val="single" w:sz="4" w:space="0" w:color="auto"/>
            </w:tcBorders>
          </w:tcPr>
          <w:p w:rsidR="00BE7B50" w:rsidRPr="00B74A55" w:rsidRDefault="00BE7B50" w:rsidP="00BE7B50">
            <w:pPr>
              <w:pStyle w:val="a7"/>
              <w:ind w:left="0"/>
              <w:jc w:val="center"/>
              <w:rPr>
                <w:sz w:val="22"/>
              </w:rPr>
            </w:pPr>
            <w:r w:rsidRPr="00B74A55">
              <w:rPr>
                <w:sz w:val="22"/>
              </w:rPr>
              <w:t>6996,010</w:t>
            </w:r>
          </w:p>
        </w:tc>
        <w:tc>
          <w:tcPr>
            <w:tcW w:w="1814" w:type="dxa"/>
            <w:gridSpan w:val="2"/>
            <w:tcBorders>
              <w:top w:val="single" w:sz="4" w:space="0" w:color="auto"/>
              <w:left w:val="single" w:sz="4" w:space="0" w:color="auto"/>
              <w:right w:val="single" w:sz="4" w:space="0" w:color="auto"/>
            </w:tcBorders>
          </w:tcPr>
          <w:p w:rsidR="00BE7B50" w:rsidRPr="00B74A55" w:rsidRDefault="00BE7B50" w:rsidP="00BE7B50">
            <w:pPr>
              <w:pStyle w:val="a7"/>
              <w:ind w:left="0"/>
              <w:jc w:val="center"/>
              <w:rPr>
                <w:sz w:val="22"/>
              </w:rPr>
            </w:pPr>
            <w:proofErr w:type="spellStart"/>
            <w:r w:rsidRPr="00B74A55">
              <w:rPr>
                <w:sz w:val="22"/>
              </w:rPr>
              <w:t>Міжнародні</w:t>
            </w:r>
            <w:proofErr w:type="spellEnd"/>
            <w:r w:rsidRPr="00B74A55">
              <w:rPr>
                <w:sz w:val="22"/>
              </w:rPr>
              <w:t xml:space="preserve"> </w:t>
            </w:r>
            <w:proofErr w:type="spellStart"/>
            <w:r w:rsidRPr="00B74A55">
              <w:rPr>
                <w:sz w:val="22"/>
              </w:rPr>
              <w:t>інвестиції</w:t>
            </w:r>
            <w:proofErr w:type="spellEnd"/>
            <w:r w:rsidRPr="00B74A55">
              <w:rPr>
                <w:sz w:val="22"/>
              </w:rPr>
              <w:t xml:space="preserve">, </w:t>
            </w:r>
            <w:proofErr w:type="spellStart"/>
            <w:r w:rsidRPr="00B74A55">
              <w:rPr>
                <w:sz w:val="22"/>
              </w:rPr>
              <w:t>кошти</w:t>
            </w:r>
            <w:proofErr w:type="spellEnd"/>
            <w:r w:rsidRPr="00B74A55">
              <w:rPr>
                <w:sz w:val="22"/>
              </w:rPr>
              <w:t xml:space="preserve"> </w:t>
            </w:r>
            <w:proofErr w:type="spellStart"/>
            <w:r w:rsidRPr="00B74A55">
              <w:rPr>
                <w:sz w:val="22"/>
              </w:rPr>
              <w:t>приватних</w:t>
            </w:r>
            <w:proofErr w:type="spellEnd"/>
            <w:r w:rsidRPr="00B74A55">
              <w:rPr>
                <w:sz w:val="22"/>
              </w:rPr>
              <w:t xml:space="preserve"> </w:t>
            </w:r>
            <w:proofErr w:type="spellStart"/>
            <w:r w:rsidRPr="00B74A55">
              <w:rPr>
                <w:sz w:val="22"/>
              </w:rPr>
              <w:t>осіб</w:t>
            </w:r>
            <w:proofErr w:type="spellEnd"/>
          </w:p>
        </w:tc>
        <w:tc>
          <w:tcPr>
            <w:tcW w:w="1321" w:type="dxa"/>
            <w:vMerge/>
            <w:tcBorders>
              <w:left w:val="single" w:sz="4" w:space="0" w:color="auto"/>
            </w:tcBorders>
          </w:tcPr>
          <w:p w:rsidR="00BE7B50" w:rsidRPr="00B74A55" w:rsidRDefault="00BE7B50" w:rsidP="00BE7B50">
            <w:pPr>
              <w:pStyle w:val="a7"/>
              <w:ind w:left="0"/>
              <w:jc w:val="center"/>
              <w:rPr>
                <w:sz w:val="22"/>
              </w:rPr>
            </w:pPr>
          </w:p>
        </w:tc>
      </w:tr>
    </w:tbl>
    <w:p w:rsidR="00BE7B50" w:rsidRPr="00B74A55" w:rsidRDefault="00BE7B50" w:rsidP="00E95FB1">
      <w:pPr>
        <w:rPr>
          <w:sz w:val="22"/>
        </w:rPr>
      </w:pPr>
    </w:p>
    <w:p w:rsidR="00325923" w:rsidRPr="00B74A55" w:rsidRDefault="00325923" w:rsidP="00E95FB1">
      <w:pPr>
        <w:rPr>
          <w:sz w:val="22"/>
        </w:rPr>
      </w:pPr>
    </w:p>
    <w:tbl>
      <w:tblPr>
        <w:tblStyle w:val="af"/>
        <w:tblW w:w="9923" w:type="dxa"/>
        <w:tblInd w:w="-176" w:type="dxa"/>
        <w:tblLayout w:type="fixed"/>
        <w:tblLook w:val="04A0" w:firstRow="1" w:lastRow="0" w:firstColumn="1" w:lastColumn="0" w:noHBand="0" w:noVBand="1"/>
      </w:tblPr>
      <w:tblGrid>
        <w:gridCol w:w="2978"/>
        <w:gridCol w:w="1417"/>
        <w:gridCol w:w="1276"/>
        <w:gridCol w:w="695"/>
        <w:gridCol w:w="409"/>
        <w:gridCol w:w="1292"/>
        <w:gridCol w:w="439"/>
        <w:gridCol w:w="1417"/>
      </w:tblGrid>
      <w:tr w:rsidR="00BE7B50" w:rsidRPr="00B74A55" w:rsidTr="00F34B87">
        <w:trPr>
          <w:trHeight w:val="868"/>
        </w:trPr>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BE7B50" w:rsidRPr="00B74A55" w:rsidRDefault="00BE7B50" w:rsidP="00BE7B50">
            <w:pPr>
              <w:pStyle w:val="a7"/>
              <w:ind w:left="0"/>
              <w:rPr>
                <w:b/>
                <w:color w:val="FF0000"/>
                <w:sz w:val="22"/>
                <w:lang w:val="uk-UA"/>
              </w:rPr>
            </w:pPr>
            <w:r w:rsidRPr="00B74A55">
              <w:rPr>
                <w:b/>
                <w:sz w:val="22"/>
                <w:lang w:val="uk-UA"/>
              </w:rPr>
              <w:t>Оперативна ціль/завдання</w:t>
            </w:r>
          </w:p>
        </w:tc>
        <w:tc>
          <w:tcPr>
            <w:tcW w:w="694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E7B50" w:rsidRPr="00B74A55" w:rsidRDefault="00BE7B50" w:rsidP="00BE7B50">
            <w:pPr>
              <w:rPr>
                <w:color w:val="FF0000"/>
                <w:sz w:val="22"/>
                <w:lang w:val="uk-UA"/>
              </w:rPr>
            </w:pPr>
            <w:r w:rsidRPr="00B74A55">
              <w:rPr>
                <w:sz w:val="22"/>
                <w:lang w:val="uk-UA"/>
              </w:rPr>
              <w:t xml:space="preserve">Людський розвиток через інновації управління та довіру до влади. Формування сучасного інклюзивного </w:t>
            </w:r>
            <w:proofErr w:type="spellStart"/>
            <w:r w:rsidRPr="00B74A55">
              <w:rPr>
                <w:sz w:val="22"/>
                <w:lang w:val="uk-UA"/>
              </w:rPr>
              <w:t>освітньо</w:t>
            </w:r>
            <w:proofErr w:type="spellEnd"/>
            <w:r w:rsidRPr="00B74A55">
              <w:rPr>
                <w:sz w:val="22"/>
                <w:lang w:val="uk-UA"/>
              </w:rPr>
              <w:t>-культурного та спортивного простору для розвитку.</w:t>
            </w:r>
          </w:p>
        </w:tc>
      </w:tr>
      <w:tr w:rsidR="00BE7B50" w:rsidRPr="00B74A55" w:rsidTr="00F34B87">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BE7B50" w:rsidRPr="00B74A55" w:rsidRDefault="00BE7B50" w:rsidP="00BE7B50">
            <w:pPr>
              <w:pStyle w:val="a7"/>
              <w:ind w:left="0"/>
              <w:rPr>
                <w:b/>
                <w:sz w:val="22"/>
                <w:lang w:val="uk-UA"/>
              </w:rPr>
            </w:pPr>
            <w:r w:rsidRPr="00B74A55">
              <w:rPr>
                <w:b/>
                <w:sz w:val="22"/>
                <w:lang w:val="uk-UA"/>
              </w:rPr>
              <w:t xml:space="preserve">Назва </w:t>
            </w:r>
            <w:proofErr w:type="spellStart"/>
            <w:r w:rsidRPr="00B74A55">
              <w:rPr>
                <w:b/>
                <w:sz w:val="22"/>
                <w:lang w:val="uk-UA"/>
              </w:rPr>
              <w:t>проєкту</w:t>
            </w:r>
            <w:proofErr w:type="spellEnd"/>
            <w:r w:rsidRPr="00B74A55">
              <w:rPr>
                <w:b/>
                <w:sz w:val="22"/>
                <w:lang w:val="uk-UA"/>
              </w:rPr>
              <w:t>:</w:t>
            </w:r>
          </w:p>
        </w:tc>
        <w:tc>
          <w:tcPr>
            <w:tcW w:w="694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7B50" w:rsidRPr="00B74A55" w:rsidRDefault="00BE7B50" w:rsidP="00BE7B50">
            <w:pPr>
              <w:pStyle w:val="a7"/>
              <w:ind w:left="0"/>
              <w:rPr>
                <w:sz w:val="22"/>
                <w:lang w:val="uk-UA"/>
              </w:rPr>
            </w:pPr>
            <w:r w:rsidRPr="00B74A55">
              <w:rPr>
                <w:sz w:val="22"/>
                <w:lang w:val="uk-UA"/>
              </w:rPr>
              <w:t xml:space="preserve">Відновлення діяльності Гімназії №11 міста </w:t>
            </w:r>
            <w:proofErr w:type="spellStart"/>
            <w:r w:rsidRPr="00B74A55">
              <w:rPr>
                <w:sz w:val="22"/>
                <w:lang w:val="uk-UA"/>
              </w:rPr>
              <w:t>Сєродонецька</w:t>
            </w:r>
            <w:proofErr w:type="spellEnd"/>
            <w:r w:rsidRPr="00B74A55">
              <w:rPr>
                <w:sz w:val="22"/>
                <w:lang w:val="uk-UA"/>
              </w:rPr>
              <w:t xml:space="preserve"> Луганської області, проспект Гвардійський, будинок 25 </w:t>
            </w:r>
          </w:p>
        </w:tc>
      </w:tr>
      <w:tr w:rsidR="00BE7B50" w:rsidRPr="00B74A55" w:rsidTr="00F34B87">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BE7B50" w:rsidRPr="00B74A55" w:rsidRDefault="00BE7B50" w:rsidP="00BE7B50">
            <w:pPr>
              <w:rPr>
                <w:b/>
                <w:sz w:val="22"/>
                <w:lang w:val="uk-UA"/>
              </w:rPr>
            </w:pPr>
            <w:r w:rsidRPr="00B74A55">
              <w:rPr>
                <w:b/>
                <w:sz w:val="22"/>
                <w:lang w:val="uk-UA"/>
              </w:rPr>
              <w:t xml:space="preserve">Ціль </w:t>
            </w:r>
            <w:proofErr w:type="spellStart"/>
            <w:r w:rsidRPr="00B74A55">
              <w:rPr>
                <w:b/>
                <w:sz w:val="22"/>
                <w:lang w:val="uk-UA"/>
              </w:rPr>
              <w:t>проєкту</w:t>
            </w:r>
            <w:proofErr w:type="spellEnd"/>
          </w:p>
        </w:tc>
        <w:tc>
          <w:tcPr>
            <w:tcW w:w="694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7B50" w:rsidRPr="00B74A55" w:rsidRDefault="00BE7B50" w:rsidP="00FE2A99">
            <w:pPr>
              <w:rPr>
                <w:sz w:val="22"/>
                <w:lang w:val="uk-UA"/>
              </w:rPr>
            </w:pPr>
            <w:r w:rsidRPr="00B74A55">
              <w:rPr>
                <w:color w:val="000000"/>
                <w:sz w:val="22"/>
                <w:lang w:val="uk-UA"/>
              </w:rPr>
              <w:t xml:space="preserve">Створити належні якісні санітарно-гігієнічні умови для максимально комфортного перебування учнів  у закладі освіти. </w:t>
            </w:r>
            <w:r w:rsidRPr="00B74A55">
              <w:rPr>
                <w:color w:val="000000"/>
                <w:sz w:val="22"/>
                <w:lang w:val="uk-UA"/>
              </w:rPr>
              <w:br/>
              <w:t>Привести матеріально-технічну базу приміщень, кабінетів, спортивної зали у відповідності до сучасних вимог з урахуванням принципів універсального дизайну та розумного пристосування.</w:t>
            </w:r>
            <w:r w:rsidRPr="00B74A55">
              <w:rPr>
                <w:color w:val="000000"/>
                <w:sz w:val="22"/>
                <w:lang w:val="uk-UA"/>
              </w:rPr>
              <w:br/>
              <w:t xml:space="preserve">Забезпечити рівність та доступність  освіти для всіх дітей, які проживають на відповідній території. </w:t>
            </w:r>
          </w:p>
        </w:tc>
      </w:tr>
      <w:tr w:rsidR="00BE7B50" w:rsidRPr="00B74A55" w:rsidTr="00F34B87">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BE7B50" w:rsidRPr="00B74A55" w:rsidRDefault="00BE7B50" w:rsidP="00BE7B50">
            <w:pPr>
              <w:pStyle w:val="a7"/>
              <w:ind w:left="0"/>
              <w:rPr>
                <w:b/>
                <w:sz w:val="22"/>
                <w:lang w:val="uk-UA"/>
              </w:rPr>
            </w:pPr>
            <w:r w:rsidRPr="00B74A55">
              <w:rPr>
                <w:b/>
                <w:sz w:val="22"/>
                <w:lang w:val="uk-UA"/>
              </w:rPr>
              <w:t xml:space="preserve">Територія, на яку матиме вплив реалізація </w:t>
            </w:r>
            <w:proofErr w:type="spellStart"/>
            <w:r w:rsidRPr="00B74A55">
              <w:rPr>
                <w:b/>
                <w:sz w:val="22"/>
                <w:lang w:val="uk-UA"/>
              </w:rPr>
              <w:t>проєкту</w:t>
            </w:r>
            <w:proofErr w:type="spellEnd"/>
          </w:p>
        </w:tc>
        <w:tc>
          <w:tcPr>
            <w:tcW w:w="694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7B50" w:rsidRPr="00B74A55" w:rsidRDefault="00BE7B50" w:rsidP="00BE7B50">
            <w:pPr>
              <w:pStyle w:val="a7"/>
              <w:ind w:left="0"/>
              <w:rPr>
                <w:sz w:val="22"/>
                <w:lang w:val="uk-UA"/>
              </w:rPr>
            </w:pPr>
            <w:r w:rsidRPr="00B74A55">
              <w:rPr>
                <w:sz w:val="22"/>
                <w:lang w:val="uk-UA"/>
              </w:rPr>
              <w:t>Сєвєродонецька міська територіальна громада</w:t>
            </w:r>
          </w:p>
        </w:tc>
      </w:tr>
      <w:tr w:rsidR="00BE7B50" w:rsidRPr="00B74A55" w:rsidTr="00F34B87">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BE7B50" w:rsidRPr="00B74A55" w:rsidRDefault="00BE7B50" w:rsidP="00BE7B50">
            <w:pPr>
              <w:pStyle w:val="a7"/>
              <w:ind w:left="0"/>
              <w:rPr>
                <w:b/>
                <w:sz w:val="22"/>
                <w:lang w:val="uk-UA"/>
              </w:rPr>
            </w:pPr>
            <w:r w:rsidRPr="00B74A55">
              <w:rPr>
                <w:b/>
                <w:sz w:val="22"/>
                <w:lang w:val="uk-UA"/>
              </w:rPr>
              <w:t xml:space="preserve">Чисельність населення, на яке матиме вплив реалізація </w:t>
            </w:r>
            <w:proofErr w:type="spellStart"/>
            <w:r w:rsidRPr="00B74A55">
              <w:rPr>
                <w:b/>
                <w:sz w:val="22"/>
                <w:lang w:val="uk-UA"/>
              </w:rPr>
              <w:t>проєкту</w:t>
            </w:r>
            <w:proofErr w:type="spellEnd"/>
          </w:p>
        </w:tc>
        <w:tc>
          <w:tcPr>
            <w:tcW w:w="694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7B50" w:rsidRPr="00B74A55" w:rsidRDefault="00BE7B50" w:rsidP="00BE7B50">
            <w:pPr>
              <w:pStyle w:val="a7"/>
              <w:ind w:left="0"/>
              <w:rPr>
                <w:sz w:val="22"/>
                <w:lang w:val="uk-UA"/>
              </w:rPr>
            </w:pPr>
            <w:r w:rsidRPr="00B74A55">
              <w:rPr>
                <w:sz w:val="22"/>
                <w:lang w:val="uk-UA"/>
              </w:rPr>
              <w:t xml:space="preserve"> 70 000  осіб</w:t>
            </w:r>
          </w:p>
        </w:tc>
      </w:tr>
      <w:tr w:rsidR="00BE7B50" w:rsidRPr="00B74A55" w:rsidTr="00F34B87">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BE7B50" w:rsidRPr="00B74A55" w:rsidRDefault="00BE7B50" w:rsidP="00BE7B50">
            <w:pPr>
              <w:rPr>
                <w:b/>
                <w:sz w:val="22"/>
                <w:lang w:val="uk-UA"/>
              </w:rPr>
            </w:pPr>
            <w:r w:rsidRPr="00B74A55">
              <w:rPr>
                <w:b/>
                <w:sz w:val="22"/>
                <w:lang w:val="uk-UA"/>
              </w:rPr>
              <w:t xml:space="preserve">Опис проблеми, на вирішення якої  спрямований </w:t>
            </w:r>
            <w:proofErr w:type="spellStart"/>
            <w:r w:rsidRPr="00B74A55">
              <w:rPr>
                <w:b/>
                <w:sz w:val="22"/>
                <w:lang w:val="uk-UA"/>
              </w:rPr>
              <w:t>проєкт</w:t>
            </w:r>
            <w:proofErr w:type="spellEnd"/>
          </w:p>
        </w:tc>
        <w:tc>
          <w:tcPr>
            <w:tcW w:w="694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7B50" w:rsidRPr="00B74A55" w:rsidRDefault="00BE7B50" w:rsidP="00BE7B50">
            <w:pPr>
              <w:ind w:firstLine="708"/>
              <w:rPr>
                <w:sz w:val="22"/>
                <w:lang w:val="uk-UA"/>
              </w:rPr>
            </w:pPr>
            <w:r w:rsidRPr="00B74A55">
              <w:rPr>
                <w:sz w:val="22"/>
                <w:lang w:val="uk-UA"/>
              </w:rPr>
              <w:t>Через військову агресію РФ територія Сєвєродонецької міської територіальної громади зазнала значних пошкоджень. Не оминуло це і Гімназію №11.</w:t>
            </w:r>
          </w:p>
          <w:p w:rsidR="00BE7B50" w:rsidRPr="00B74A55" w:rsidRDefault="00BE7B50" w:rsidP="00BE7B50">
            <w:pPr>
              <w:rPr>
                <w:sz w:val="22"/>
                <w:lang w:val="uk-UA"/>
              </w:rPr>
            </w:pPr>
            <w:r w:rsidRPr="00B74A55">
              <w:rPr>
                <w:sz w:val="22"/>
                <w:lang w:val="uk-UA"/>
              </w:rPr>
              <w:t>Уся матеріально-технічна база освітнього закладу, зокрема:</w:t>
            </w:r>
          </w:p>
          <w:p w:rsidR="00BE7B50" w:rsidRPr="00B74A55" w:rsidRDefault="00BE7B50" w:rsidP="000303D7">
            <w:pPr>
              <w:numPr>
                <w:ilvl w:val="0"/>
                <w:numId w:val="9"/>
              </w:numPr>
              <w:rPr>
                <w:sz w:val="22"/>
                <w:lang w:val="uk-UA"/>
              </w:rPr>
            </w:pPr>
            <w:r w:rsidRPr="00B74A55">
              <w:rPr>
                <w:sz w:val="22"/>
                <w:lang w:val="uk-UA"/>
              </w:rPr>
              <w:t>оргтехніка (монітори, принтери, сканери тощо);</w:t>
            </w:r>
          </w:p>
          <w:p w:rsidR="00BE7B50" w:rsidRPr="00B74A55" w:rsidRDefault="00BE7B50" w:rsidP="000303D7">
            <w:pPr>
              <w:pStyle w:val="13"/>
              <w:numPr>
                <w:ilvl w:val="0"/>
                <w:numId w:val="9"/>
              </w:numPr>
              <w:jc w:val="both"/>
              <w:rPr>
                <w:sz w:val="22"/>
                <w:lang w:val="uk-UA"/>
              </w:rPr>
            </w:pPr>
            <w:r w:rsidRPr="00B74A55">
              <w:rPr>
                <w:sz w:val="22"/>
                <w:lang w:val="uk-UA"/>
              </w:rPr>
              <w:t>основні засоби (учнівські парти, шкільні  меблі,   спортивний інвентар, обладнання харчоблоку тощо) були знищені або викрадені.</w:t>
            </w:r>
          </w:p>
          <w:p w:rsidR="00BE7B50" w:rsidRPr="00B74A55" w:rsidRDefault="00BE7B50" w:rsidP="00BE7B50">
            <w:pPr>
              <w:pStyle w:val="13"/>
              <w:jc w:val="both"/>
              <w:rPr>
                <w:sz w:val="22"/>
                <w:lang w:val="uk-UA"/>
              </w:rPr>
            </w:pPr>
            <w:r w:rsidRPr="00B74A55">
              <w:rPr>
                <w:rFonts w:eastAsia="Arial"/>
                <w:sz w:val="22"/>
                <w:lang w:val="uk-UA"/>
              </w:rPr>
              <w:t xml:space="preserve">Для відбудови та сталого розвитку громади потрібне відновлення роботи мережі закладів освіти. Мешканці громади потребують в отриманні якісних освітніх послуг, які відповідають нормам сучасності. </w:t>
            </w:r>
          </w:p>
        </w:tc>
      </w:tr>
      <w:tr w:rsidR="00BE7B50" w:rsidRPr="00B74A55" w:rsidTr="00F34B87">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BE7B50" w:rsidRPr="00B74A55" w:rsidRDefault="00BE7B50" w:rsidP="00BE7B50">
            <w:pPr>
              <w:pStyle w:val="a7"/>
              <w:ind w:left="0"/>
              <w:rPr>
                <w:b/>
                <w:sz w:val="22"/>
                <w:lang w:val="uk-UA"/>
              </w:rPr>
            </w:pPr>
            <w:r w:rsidRPr="00B74A55">
              <w:rPr>
                <w:b/>
                <w:sz w:val="22"/>
                <w:lang w:val="uk-UA"/>
              </w:rPr>
              <w:t xml:space="preserve">Очікувані якісні результати від реалізації </w:t>
            </w:r>
            <w:proofErr w:type="spellStart"/>
            <w:r w:rsidRPr="00B74A55">
              <w:rPr>
                <w:b/>
                <w:sz w:val="22"/>
                <w:lang w:val="uk-UA"/>
              </w:rPr>
              <w:t>проєкту</w:t>
            </w:r>
            <w:proofErr w:type="spellEnd"/>
          </w:p>
        </w:tc>
        <w:tc>
          <w:tcPr>
            <w:tcW w:w="694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7B50" w:rsidRPr="00B74A55" w:rsidRDefault="00BE7B50" w:rsidP="00BE7B50">
            <w:pPr>
              <w:pStyle w:val="a7"/>
              <w:ind w:left="0"/>
              <w:rPr>
                <w:sz w:val="22"/>
                <w:lang w:val="uk-UA"/>
              </w:rPr>
            </w:pPr>
            <w:r w:rsidRPr="00B74A55">
              <w:rPr>
                <w:sz w:val="22"/>
                <w:lang w:val="uk-UA"/>
              </w:rPr>
              <w:t>- забезпечення дітей можливостями для реалізації їх конституційних прав, пов’язаних із освітою;</w:t>
            </w:r>
          </w:p>
          <w:p w:rsidR="00BE7B50" w:rsidRPr="00B74A55" w:rsidRDefault="00BE7B50" w:rsidP="00BE7B50">
            <w:pPr>
              <w:pStyle w:val="a7"/>
              <w:ind w:left="0"/>
              <w:rPr>
                <w:sz w:val="22"/>
                <w:lang w:val="uk-UA"/>
              </w:rPr>
            </w:pPr>
            <w:r w:rsidRPr="00B74A55">
              <w:rPr>
                <w:sz w:val="22"/>
                <w:lang w:val="uk-UA"/>
              </w:rPr>
              <w:t>- надання широкого спектру послуг, пов’язаних із  освітніми потребами;</w:t>
            </w:r>
          </w:p>
          <w:p w:rsidR="00BE7B50" w:rsidRPr="00B74A55" w:rsidRDefault="00BE7B50" w:rsidP="00BE7B50">
            <w:pPr>
              <w:pStyle w:val="a7"/>
              <w:ind w:left="0"/>
              <w:rPr>
                <w:sz w:val="22"/>
                <w:lang w:val="uk-UA"/>
              </w:rPr>
            </w:pPr>
            <w:r w:rsidRPr="00B74A55">
              <w:rPr>
                <w:sz w:val="22"/>
                <w:lang w:val="uk-UA"/>
              </w:rPr>
              <w:t>- вирішення ряду питань у межах статутної діяльності, пов’язаних із відбудовою та сталим розвитком громади;</w:t>
            </w:r>
          </w:p>
          <w:p w:rsidR="00BE7B50" w:rsidRPr="00B74A55" w:rsidRDefault="00BE7B50" w:rsidP="00BE7B50">
            <w:pPr>
              <w:pStyle w:val="a7"/>
              <w:ind w:left="0"/>
              <w:rPr>
                <w:sz w:val="22"/>
                <w:lang w:val="uk-UA"/>
              </w:rPr>
            </w:pPr>
            <w:r w:rsidRPr="00B74A55">
              <w:rPr>
                <w:sz w:val="22"/>
                <w:lang w:val="uk-UA"/>
              </w:rPr>
              <w:t>- створення нових робочих місць;</w:t>
            </w:r>
          </w:p>
          <w:p w:rsidR="00BE7B50" w:rsidRPr="00B74A55" w:rsidRDefault="00BE7B50" w:rsidP="00BE7B50">
            <w:pPr>
              <w:pStyle w:val="a7"/>
              <w:ind w:left="0"/>
              <w:rPr>
                <w:sz w:val="22"/>
                <w:lang w:val="uk-UA"/>
              </w:rPr>
            </w:pPr>
            <w:r w:rsidRPr="00B74A55">
              <w:rPr>
                <w:sz w:val="22"/>
                <w:lang w:val="uk-UA"/>
              </w:rPr>
              <w:t>- стимул до повернення ВПО до громади.</w:t>
            </w:r>
          </w:p>
          <w:p w:rsidR="00BE7B50" w:rsidRPr="00B74A55" w:rsidRDefault="00BE7B50" w:rsidP="008C22B0">
            <w:pPr>
              <w:rPr>
                <w:sz w:val="22"/>
                <w:lang w:val="uk-UA"/>
              </w:rPr>
            </w:pPr>
            <w:r w:rsidRPr="00B74A55">
              <w:rPr>
                <w:sz w:val="22"/>
                <w:lang w:val="uk-UA"/>
              </w:rPr>
              <w:t xml:space="preserve">Реалізація </w:t>
            </w:r>
            <w:proofErr w:type="spellStart"/>
            <w:r w:rsidRPr="00B74A55">
              <w:rPr>
                <w:sz w:val="22"/>
                <w:lang w:val="uk-UA"/>
              </w:rPr>
              <w:t>проєкту</w:t>
            </w:r>
            <w:proofErr w:type="spellEnd"/>
            <w:r w:rsidRPr="00B74A55">
              <w:rPr>
                <w:sz w:val="22"/>
                <w:lang w:val="uk-UA"/>
              </w:rPr>
              <w:t xml:space="preserve"> дозволить організувати освітній процес, поліпшити стан здоров'я дітей, знизити рівень дитячого травматизму, організувати здоров’язберігаюче середовище, розширить можливості закладу освіти з пропаганди здорового способу життя та забезпечення комфортних умов для навчання та викладання, покращить імідж закладу освіти, </w:t>
            </w:r>
            <w:r w:rsidRPr="00B74A55">
              <w:rPr>
                <w:sz w:val="22"/>
                <w:lang w:val="uk-UA"/>
              </w:rPr>
              <w:lastRenderedPageBreak/>
              <w:t>матиме позитивний вплив на розвиток дітей, їхнє здоров’я та настрій.</w:t>
            </w:r>
            <w:r w:rsidRPr="00B74A55">
              <w:rPr>
                <w:sz w:val="22"/>
                <w:lang w:val="uk-UA"/>
              </w:rPr>
              <w:tab/>
            </w:r>
          </w:p>
        </w:tc>
      </w:tr>
      <w:tr w:rsidR="00BE7B50" w:rsidRPr="00B74A55" w:rsidTr="00F34B87">
        <w:trPr>
          <w:trHeight w:val="390"/>
        </w:trPr>
        <w:tc>
          <w:tcPr>
            <w:tcW w:w="2978" w:type="dxa"/>
            <w:vMerge w:val="restart"/>
            <w:tcBorders>
              <w:top w:val="single" w:sz="4" w:space="0" w:color="000000" w:themeColor="text1"/>
              <w:left w:val="single" w:sz="4" w:space="0" w:color="000000" w:themeColor="text1"/>
              <w:right w:val="single" w:sz="4" w:space="0" w:color="000000" w:themeColor="text1"/>
            </w:tcBorders>
            <w:shd w:val="clear" w:color="auto" w:fill="C6D9F1" w:themeFill="text2" w:themeFillTint="33"/>
          </w:tcPr>
          <w:p w:rsidR="00BE7B50" w:rsidRPr="00B74A55" w:rsidRDefault="00BE7B50" w:rsidP="00BE7B50">
            <w:pPr>
              <w:pStyle w:val="a7"/>
              <w:ind w:left="0"/>
              <w:rPr>
                <w:b/>
                <w:sz w:val="22"/>
                <w:lang w:val="uk-UA"/>
              </w:rPr>
            </w:pPr>
            <w:r w:rsidRPr="00B74A55">
              <w:rPr>
                <w:b/>
                <w:sz w:val="22"/>
                <w:lang w:val="uk-UA"/>
              </w:rPr>
              <w:lastRenderedPageBreak/>
              <w:t xml:space="preserve">Очікувані кількісні результати реалізації </w:t>
            </w:r>
            <w:proofErr w:type="spellStart"/>
            <w:r w:rsidRPr="00B74A55">
              <w:rPr>
                <w:b/>
                <w:sz w:val="22"/>
                <w:lang w:val="uk-UA"/>
              </w:rPr>
              <w:t>проєкту</w:t>
            </w:r>
            <w:proofErr w:type="spellEnd"/>
            <w:r w:rsidRPr="00B74A55">
              <w:rPr>
                <w:b/>
                <w:sz w:val="22"/>
                <w:lang w:val="uk-UA"/>
              </w:rPr>
              <w:t xml:space="preserve"> (індикатори)</w:t>
            </w:r>
          </w:p>
          <w:p w:rsidR="00BE7B50" w:rsidRPr="00B74A55" w:rsidRDefault="00BE7B50" w:rsidP="00BE7B50">
            <w:pPr>
              <w:pStyle w:val="a7"/>
              <w:ind w:left="0"/>
              <w:rPr>
                <w:b/>
                <w:sz w:val="22"/>
                <w:lang w:val="uk-UA"/>
              </w:rPr>
            </w:pPr>
          </w:p>
        </w:tc>
        <w:tc>
          <w:tcPr>
            <w:tcW w:w="3388" w:type="dxa"/>
            <w:gridSpan w:val="3"/>
            <w:tcBorders>
              <w:top w:val="single" w:sz="4" w:space="0" w:color="000000" w:themeColor="text1"/>
              <w:left w:val="single" w:sz="4" w:space="0" w:color="000000" w:themeColor="text1"/>
              <w:bottom w:val="single" w:sz="4" w:space="0" w:color="auto"/>
              <w:right w:val="single" w:sz="4" w:space="0" w:color="auto"/>
            </w:tcBorders>
            <w:hideMark/>
          </w:tcPr>
          <w:p w:rsidR="00BE7B50" w:rsidRPr="00B74A55" w:rsidRDefault="00BE7B50" w:rsidP="00BE7B50">
            <w:pPr>
              <w:pStyle w:val="a7"/>
              <w:ind w:left="-108"/>
              <w:rPr>
                <w:b/>
                <w:sz w:val="22"/>
                <w:lang w:val="uk-UA"/>
              </w:rPr>
            </w:pPr>
            <w:r w:rsidRPr="00B74A55">
              <w:rPr>
                <w:b/>
                <w:sz w:val="22"/>
                <w:lang w:val="uk-UA"/>
              </w:rPr>
              <w:t>Найменування показника</w:t>
            </w:r>
          </w:p>
        </w:tc>
        <w:tc>
          <w:tcPr>
            <w:tcW w:w="1701" w:type="dxa"/>
            <w:gridSpan w:val="2"/>
            <w:tcBorders>
              <w:top w:val="single" w:sz="4" w:space="0" w:color="000000" w:themeColor="text1"/>
              <w:left w:val="single" w:sz="4" w:space="0" w:color="auto"/>
              <w:bottom w:val="single" w:sz="4" w:space="0" w:color="auto"/>
              <w:right w:val="single" w:sz="4" w:space="0" w:color="auto"/>
            </w:tcBorders>
          </w:tcPr>
          <w:p w:rsidR="00BE7B50" w:rsidRPr="00B74A55" w:rsidRDefault="00BE7B50" w:rsidP="00BE7B50">
            <w:pPr>
              <w:pStyle w:val="a7"/>
              <w:ind w:left="0"/>
              <w:rPr>
                <w:b/>
                <w:sz w:val="22"/>
                <w:lang w:val="uk-UA"/>
              </w:rPr>
            </w:pPr>
            <w:r w:rsidRPr="00B74A55">
              <w:rPr>
                <w:b/>
                <w:sz w:val="22"/>
                <w:lang w:val="uk-UA"/>
              </w:rPr>
              <w:t>Одиниця вимірювання</w:t>
            </w:r>
          </w:p>
          <w:p w:rsidR="00BE7B50" w:rsidRPr="00B74A55" w:rsidRDefault="00BE7B50" w:rsidP="00BE7B50">
            <w:pPr>
              <w:pStyle w:val="a7"/>
              <w:ind w:left="0"/>
              <w:rPr>
                <w:b/>
                <w:sz w:val="22"/>
                <w:lang w:val="uk-UA"/>
              </w:rPr>
            </w:pPr>
          </w:p>
        </w:tc>
        <w:tc>
          <w:tcPr>
            <w:tcW w:w="1856" w:type="dxa"/>
            <w:gridSpan w:val="2"/>
            <w:tcBorders>
              <w:top w:val="single" w:sz="4" w:space="0" w:color="000000" w:themeColor="text1"/>
              <w:left w:val="single" w:sz="4" w:space="0" w:color="auto"/>
              <w:bottom w:val="single" w:sz="4" w:space="0" w:color="auto"/>
              <w:right w:val="single" w:sz="4" w:space="0" w:color="000000" w:themeColor="text1"/>
            </w:tcBorders>
            <w:hideMark/>
          </w:tcPr>
          <w:p w:rsidR="00BE7B50" w:rsidRPr="00B74A55" w:rsidRDefault="00BE7B50" w:rsidP="00BE7B50">
            <w:pPr>
              <w:pStyle w:val="a7"/>
              <w:ind w:left="0"/>
              <w:jc w:val="center"/>
              <w:rPr>
                <w:b/>
                <w:sz w:val="22"/>
                <w:lang w:val="uk-UA"/>
              </w:rPr>
            </w:pPr>
            <w:r w:rsidRPr="00B74A55">
              <w:rPr>
                <w:b/>
                <w:sz w:val="22"/>
                <w:lang w:val="uk-UA"/>
              </w:rPr>
              <w:t>Прогнозне (цільове) значення</w:t>
            </w:r>
          </w:p>
        </w:tc>
      </w:tr>
      <w:tr w:rsidR="00BE7B50" w:rsidRPr="00B74A55" w:rsidTr="00F34B87">
        <w:trPr>
          <w:trHeight w:val="184"/>
        </w:trPr>
        <w:tc>
          <w:tcPr>
            <w:tcW w:w="2978" w:type="dxa"/>
            <w:vMerge/>
            <w:tcBorders>
              <w:left w:val="single" w:sz="4" w:space="0" w:color="000000" w:themeColor="text1"/>
              <w:right w:val="single" w:sz="4" w:space="0" w:color="000000" w:themeColor="text1"/>
            </w:tcBorders>
            <w:vAlign w:val="center"/>
            <w:hideMark/>
          </w:tcPr>
          <w:p w:rsidR="00BE7B50" w:rsidRPr="00B74A55" w:rsidRDefault="00BE7B50" w:rsidP="00BE7B50">
            <w:pPr>
              <w:rPr>
                <w:b/>
                <w:sz w:val="22"/>
                <w:lang w:val="uk-UA"/>
              </w:rPr>
            </w:pPr>
          </w:p>
        </w:tc>
        <w:tc>
          <w:tcPr>
            <w:tcW w:w="3388" w:type="dxa"/>
            <w:gridSpan w:val="3"/>
            <w:tcBorders>
              <w:top w:val="single" w:sz="4" w:space="0" w:color="auto"/>
              <w:left w:val="single" w:sz="4" w:space="0" w:color="000000" w:themeColor="text1"/>
              <w:bottom w:val="single" w:sz="4" w:space="0" w:color="auto"/>
              <w:right w:val="single" w:sz="4" w:space="0" w:color="auto"/>
            </w:tcBorders>
            <w:hideMark/>
          </w:tcPr>
          <w:p w:rsidR="00BE7B50" w:rsidRPr="00B74A55" w:rsidRDefault="00BE7B50" w:rsidP="00BE7B50">
            <w:pPr>
              <w:pStyle w:val="a7"/>
              <w:ind w:left="0"/>
              <w:rPr>
                <w:sz w:val="22"/>
                <w:lang w:val="uk-UA"/>
              </w:rPr>
            </w:pPr>
            <w:r w:rsidRPr="00B74A55">
              <w:rPr>
                <w:sz w:val="22"/>
                <w:lang w:val="uk-UA"/>
              </w:rPr>
              <w:t>Кабінет інформаційних технологій</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BE7B50" w:rsidRPr="00B74A55" w:rsidRDefault="00BE7B50" w:rsidP="00BE7B50">
            <w:pPr>
              <w:pStyle w:val="a7"/>
              <w:ind w:left="0"/>
              <w:jc w:val="center"/>
              <w:rPr>
                <w:sz w:val="22"/>
                <w:lang w:val="uk-UA"/>
              </w:rPr>
            </w:pPr>
            <w:r w:rsidRPr="00B74A55">
              <w:rPr>
                <w:sz w:val="22"/>
                <w:lang w:val="uk-UA"/>
              </w:rPr>
              <w:t>одиниць</w:t>
            </w:r>
          </w:p>
        </w:tc>
        <w:tc>
          <w:tcPr>
            <w:tcW w:w="1856" w:type="dxa"/>
            <w:gridSpan w:val="2"/>
            <w:tcBorders>
              <w:top w:val="single" w:sz="4" w:space="0" w:color="auto"/>
              <w:left w:val="single" w:sz="4" w:space="0" w:color="auto"/>
              <w:bottom w:val="single" w:sz="4" w:space="0" w:color="auto"/>
              <w:right w:val="single" w:sz="4" w:space="0" w:color="000000" w:themeColor="text1"/>
            </w:tcBorders>
          </w:tcPr>
          <w:p w:rsidR="00BE7B50" w:rsidRPr="00B74A55" w:rsidRDefault="00BE7B50" w:rsidP="00BE7B50">
            <w:pPr>
              <w:pStyle w:val="a7"/>
              <w:ind w:left="0"/>
              <w:jc w:val="center"/>
              <w:rPr>
                <w:sz w:val="22"/>
                <w:lang w:val="uk-UA"/>
              </w:rPr>
            </w:pPr>
            <w:r w:rsidRPr="00B74A55">
              <w:rPr>
                <w:sz w:val="22"/>
                <w:lang w:val="uk-UA"/>
              </w:rPr>
              <w:t>1</w:t>
            </w:r>
          </w:p>
        </w:tc>
      </w:tr>
      <w:tr w:rsidR="00BE7B50" w:rsidRPr="00B74A55" w:rsidTr="00F34B87">
        <w:trPr>
          <w:trHeight w:val="165"/>
        </w:trPr>
        <w:tc>
          <w:tcPr>
            <w:tcW w:w="2978" w:type="dxa"/>
            <w:vMerge/>
            <w:tcBorders>
              <w:left w:val="single" w:sz="4" w:space="0" w:color="000000" w:themeColor="text1"/>
              <w:right w:val="single" w:sz="4" w:space="0" w:color="000000" w:themeColor="text1"/>
            </w:tcBorders>
            <w:vAlign w:val="center"/>
            <w:hideMark/>
          </w:tcPr>
          <w:p w:rsidR="00BE7B50" w:rsidRPr="00B74A55" w:rsidRDefault="00BE7B50" w:rsidP="00BE7B50">
            <w:pPr>
              <w:rPr>
                <w:b/>
                <w:sz w:val="22"/>
                <w:lang w:val="uk-UA"/>
              </w:rPr>
            </w:pPr>
          </w:p>
        </w:tc>
        <w:tc>
          <w:tcPr>
            <w:tcW w:w="3388" w:type="dxa"/>
            <w:gridSpan w:val="3"/>
            <w:tcBorders>
              <w:top w:val="single" w:sz="4" w:space="0" w:color="auto"/>
              <w:left w:val="single" w:sz="4" w:space="0" w:color="000000" w:themeColor="text1"/>
              <w:bottom w:val="single" w:sz="4" w:space="0" w:color="auto"/>
              <w:right w:val="single" w:sz="4" w:space="0" w:color="auto"/>
            </w:tcBorders>
          </w:tcPr>
          <w:p w:rsidR="00BE7B50" w:rsidRPr="00B74A55" w:rsidRDefault="00BE7B50" w:rsidP="00BE7B50">
            <w:pPr>
              <w:pStyle w:val="a7"/>
              <w:ind w:left="0"/>
              <w:rPr>
                <w:sz w:val="22"/>
                <w:lang w:val="uk-UA"/>
              </w:rPr>
            </w:pPr>
            <w:r w:rsidRPr="00B74A55">
              <w:rPr>
                <w:sz w:val="22"/>
                <w:lang w:val="uk-UA"/>
              </w:rPr>
              <w:t>Сучасні кабінети НУШ</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BE7B50" w:rsidRPr="00B74A55" w:rsidRDefault="00BE7B50" w:rsidP="00BE7B50">
            <w:pPr>
              <w:pStyle w:val="a7"/>
              <w:ind w:left="0"/>
              <w:jc w:val="center"/>
              <w:rPr>
                <w:sz w:val="22"/>
                <w:lang w:val="uk-UA"/>
              </w:rPr>
            </w:pPr>
            <w:r w:rsidRPr="00B74A55">
              <w:rPr>
                <w:sz w:val="22"/>
                <w:lang w:val="uk-UA"/>
              </w:rPr>
              <w:t>одиниць</w:t>
            </w:r>
          </w:p>
        </w:tc>
        <w:tc>
          <w:tcPr>
            <w:tcW w:w="1856" w:type="dxa"/>
            <w:gridSpan w:val="2"/>
            <w:tcBorders>
              <w:top w:val="single" w:sz="4" w:space="0" w:color="auto"/>
              <w:left w:val="single" w:sz="4" w:space="0" w:color="auto"/>
              <w:bottom w:val="single" w:sz="4" w:space="0" w:color="auto"/>
              <w:right w:val="single" w:sz="4" w:space="0" w:color="000000" w:themeColor="text1"/>
            </w:tcBorders>
          </w:tcPr>
          <w:p w:rsidR="00BE7B50" w:rsidRPr="00B74A55" w:rsidRDefault="00BE7B50" w:rsidP="00BE7B50">
            <w:pPr>
              <w:pStyle w:val="a7"/>
              <w:ind w:left="0"/>
              <w:jc w:val="center"/>
              <w:rPr>
                <w:sz w:val="22"/>
                <w:lang w:val="uk-UA"/>
              </w:rPr>
            </w:pPr>
            <w:r w:rsidRPr="00B74A55">
              <w:rPr>
                <w:sz w:val="22"/>
                <w:lang w:val="uk-UA"/>
              </w:rPr>
              <w:t>35</w:t>
            </w:r>
          </w:p>
        </w:tc>
      </w:tr>
      <w:tr w:rsidR="00BE7B50" w:rsidRPr="00B74A55" w:rsidTr="00F34B87">
        <w:trPr>
          <w:trHeight w:val="150"/>
        </w:trPr>
        <w:tc>
          <w:tcPr>
            <w:tcW w:w="2978" w:type="dxa"/>
            <w:vMerge/>
            <w:tcBorders>
              <w:left w:val="single" w:sz="4" w:space="0" w:color="000000" w:themeColor="text1"/>
              <w:right w:val="single" w:sz="4" w:space="0" w:color="000000" w:themeColor="text1"/>
            </w:tcBorders>
            <w:vAlign w:val="center"/>
            <w:hideMark/>
          </w:tcPr>
          <w:p w:rsidR="00BE7B50" w:rsidRPr="00B74A55" w:rsidRDefault="00BE7B50" w:rsidP="00BE7B50">
            <w:pPr>
              <w:rPr>
                <w:b/>
                <w:sz w:val="22"/>
                <w:lang w:val="uk-UA"/>
              </w:rPr>
            </w:pPr>
          </w:p>
        </w:tc>
        <w:tc>
          <w:tcPr>
            <w:tcW w:w="3388" w:type="dxa"/>
            <w:gridSpan w:val="3"/>
            <w:tcBorders>
              <w:top w:val="single" w:sz="4" w:space="0" w:color="auto"/>
              <w:left w:val="single" w:sz="4" w:space="0" w:color="000000" w:themeColor="text1"/>
              <w:bottom w:val="single" w:sz="4" w:space="0" w:color="000000" w:themeColor="text1"/>
              <w:right w:val="single" w:sz="4" w:space="0" w:color="auto"/>
            </w:tcBorders>
          </w:tcPr>
          <w:p w:rsidR="00BE7B50" w:rsidRPr="00B74A55" w:rsidRDefault="00BE7B50" w:rsidP="00BE7B50">
            <w:pPr>
              <w:pStyle w:val="a7"/>
              <w:ind w:left="0"/>
              <w:rPr>
                <w:sz w:val="22"/>
                <w:lang w:val="uk-UA"/>
              </w:rPr>
            </w:pPr>
            <w:r w:rsidRPr="00B74A55">
              <w:rPr>
                <w:sz w:val="22"/>
                <w:lang w:val="uk-UA"/>
              </w:rPr>
              <w:t xml:space="preserve">Спортивна зала </w:t>
            </w:r>
          </w:p>
        </w:tc>
        <w:tc>
          <w:tcPr>
            <w:tcW w:w="1701" w:type="dxa"/>
            <w:gridSpan w:val="2"/>
            <w:tcBorders>
              <w:top w:val="single" w:sz="4" w:space="0" w:color="auto"/>
              <w:left w:val="single" w:sz="4" w:space="0" w:color="auto"/>
              <w:bottom w:val="single" w:sz="4" w:space="0" w:color="000000" w:themeColor="text1"/>
              <w:right w:val="single" w:sz="4" w:space="0" w:color="auto"/>
            </w:tcBorders>
            <w:vAlign w:val="center"/>
          </w:tcPr>
          <w:p w:rsidR="00BE7B50" w:rsidRPr="00B74A55" w:rsidRDefault="00BE7B50" w:rsidP="00BE7B50">
            <w:pPr>
              <w:pStyle w:val="a7"/>
              <w:ind w:left="0"/>
              <w:jc w:val="center"/>
              <w:rPr>
                <w:sz w:val="22"/>
                <w:lang w:val="uk-UA"/>
              </w:rPr>
            </w:pPr>
            <w:r w:rsidRPr="00B74A55">
              <w:rPr>
                <w:sz w:val="22"/>
                <w:lang w:val="uk-UA"/>
              </w:rPr>
              <w:t>одиниць</w:t>
            </w:r>
          </w:p>
        </w:tc>
        <w:tc>
          <w:tcPr>
            <w:tcW w:w="1856" w:type="dxa"/>
            <w:gridSpan w:val="2"/>
            <w:tcBorders>
              <w:top w:val="single" w:sz="4" w:space="0" w:color="auto"/>
              <w:left w:val="single" w:sz="4" w:space="0" w:color="auto"/>
              <w:bottom w:val="single" w:sz="4" w:space="0" w:color="000000" w:themeColor="text1"/>
              <w:right w:val="single" w:sz="4" w:space="0" w:color="000000" w:themeColor="text1"/>
            </w:tcBorders>
          </w:tcPr>
          <w:p w:rsidR="00BE7B50" w:rsidRPr="00B74A55" w:rsidRDefault="00BE7B50" w:rsidP="00BE7B50">
            <w:pPr>
              <w:pStyle w:val="a7"/>
              <w:ind w:left="0"/>
              <w:jc w:val="center"/>
              <w:rPr>
                <w:sz w:val="22"/>
                <w:lang w:val="uk-UA"/>
              </w:rPr>
            </w:pPr>
            <w:r w:rsidRPr="00B74A55">
              <w:rPr>
                <w:sz w:val="22"/>
                <w:lang w:val="uk-UA"/>
              </w:rPr>
              <w:t>2</w:t>
            </w:r>
          </w:p>
        </w:tc>
      </w:tr>
      <w:tr w:rsidR="00BE7B50" w:rsidRPr="00B74A55" w:rsidTr="00F34B87">
        <w:trPr>
          <w:trHeight w:val="150"/>
        </w:trPr>
        <w:tc>
          <w:tcPr>
            <w:tcW w:w="2978" w:type="dxa"/>
            <w:vMerge/>
            <w:tcBorders>
              <w:left w:val="single" w:sz="4" w:space="0" w:color="000000" w:themeColor="text1"/>
              <w:right w:val="single" w:sz="4" w:space="0" w:color="000000" w:themeColor="text1"/>
            </w:tcBorders>
            <w:vAlign w:val="center"/>
          </w:tcPr>
          <w:p w:rsidR="00BE7B50" w:rsidRPr="00B74A55" w:rsidRDefault="00BE7B50" w:rsidP="00BE7B50">
            <w:pPr>
              <w:rPr>
                <w:b/>
                <w:sz w:val="22"/>
                <w:lang w:val="uk-UA"/>
              </w:rPr>
            </w:pPr>
          </w:p>
        </w:tc>
        <w:tc>
          <w:tcPr>
            <w:tcW w:w="3388" w:type="dxa"/>
            <w:gridSpan w:val="3"/>
            <w:tcBorders>
              <w:top w:val="single" w:sz="4" w:space="0" w:color="auto"/>
              <w:left w:val="single" w:sz="4" w:space="0" w:color="000000" w:themeColor="text1"/>
              <w:bottom w:val="single" w:sz="4" w:space="0" w:color="000000" w:themeColor="text1"/>
              <w:right w:val="single" w:sz="4" w:space="0" w:color="auto"/>
            </w:tcBorders>
          </w:tcPr>
          <w:p w:rsidR="00BE7B50" w:rsidRPr="00B74A55" w:rsidRDefault="00BE7B50" w:rsidP="00BE7B50">
            <w:pPr>
              <w:pStyle w:val="a7"/>
              <w:ind w:left="0"/>
              <w:rPr>
                <w:sz w:val="22"/>
                <w:lang w:val="uk-UA"/>
              </w:rPr>
            </w:pPr>
            <w:r w:rsidRPr="00B74A55">
              <w:rPr>
                <w:sz w:val="22"/>
                <w:lang w:val="uk-UA"/>
              </w:rPr>
              <w:t>Сенсорна кімната для дітей з особливими освітніми потребами</w:t>
            </w:r>
          </w:p>
        </w:tc>
        <w:tc>
          <w:tcPr>
            <w:tcW w:w="1701" w:type="dxa"/>
            <w:gridSpan w:val="2"/>
            <w:tcBorders>
              <w:top w:val="single" w:sz="4" w:space="0" w:color="auto"/>
              <w:left w:val="single" w:sz="4" w:space="0" w:color="auto"/>
              <w:bottom w:val="single" w:sz="4" w:space="0" w:color="000000" w:themeColor="text1"/>
              <w:right w:val="single" w:sz="4" w:space="0" w:color="auto"/>
            </w:tcBorders>
            <w:vAlign w:val="center"/>
          </w:tcPr>
          <w:p w:rsidR="00BE7B50" w:rsidRPr="00B74A55" w:rsidRDefault="00BE7B50" w:rsidP="00BE7B50">
            <w:pPr>
              <w:pStyle w:val="a7"/>
              <w:ind w:left="0"/>
              <w:jc w:val="center"/>
              <w:rPr>
                <w:sz w:val="22"/>
                <w:lang w:val="uk-UA"/>
              </w:rPr>
            </w:pPr>
            <w:r w:rsidRPr="00B74A55">
              <w:rPr>
                <w:sz w:val="22"/>
                <w:lang w:val="uk-UA"/>
              </w:rPr>
              <w:t>одиниць</w:t>
            </w:r>
          </w:p>
        </w:tc>
        <w:tc>
          <w:tcPr>
            <w:tcW w:w="1856" w:type="dxa"/>
            <w:gridSpan w:val="2"/>
            <w:tcBorders>
              <w:top w:val="single" w:sz="4" w:space="0" w:color="auto"/>
              <w:left w:val="single" w:sz="4" w:space="0" w:color="auto"/>
              <w:bottom w:val="single" w:sz="4" w:space="0" w:color="000000" w:themeColor="text1"/>
              <w:right w:val="single" w:sz="4" w:space="0" w:color="000000" w:themeColor="text1"/>
            </w:tcBorders>
          </w:tcPr>
          <w:p w:rsidR="00BE7B50" w:rsidRPr="00B74A55" w:rsidRDefault="00BE7B50" w:rsidP="00BE7B50">
            <w:pPr>
              <w:pStyle w:val="a7"/>
              <w:ind w:left="0"/>
              <w:jc w:val="center"/>
              <w:rPr>
                <w:sz w:val="22"/>
                <w:lang w:val="uk-UA"/>
              </w:rPr>
            </w:pPr>
            <w:r w:rsidRPr="00B74A55">
              <w:rPr>
                <w:sz w:val="22"/>
                <w:lang w:val="uk-UA"/>
              </w:rPr>
              <w:t>1</w:t>
            </w:r>
          </w:p>
        </w:tc>
      </w:tr>
      <w:tr w:rsidR="00BE7B50" w:rsidRPr="00B74A55" w:rsidTr="00F34B87">
        <w:trPr>
          <w:trHeight w:val="150"/>
        </w:trPr>
        <w:tc>
          <w:tcPr>
            <w:tcW w:w="2978" w:type="dxa"/>
            <w:vMerge/>
            <w:tcBorders>
              <w:left w:val="single" w:sz="4" w:space="0" w:color="000000" w:themeColor="text1"/>
              <w:right w:val="single" w:sz="4" w:space="0" w:color="000000" w:themeColor="text1"/>
            </w:tcBorders>
            <w:vAlign w:val="center"/>
            <w:hideMark/>
          </w:tcPr>
          <w:p w:rsidR="00BE7B50" w:rsidRPr="00B74A55" w:rsidRDefault="00BE7B50" w:rsidP="00BE7B50">
            <w:pPr>
              <w:rPr>
                <w:b/>
                <w:sz w:val="22"/>
                <w:lang w:val="uk-UA"/>
              </w:rPr>
            </w:pPr>
          </w:p>
        </w:tc>
        <w:tc>
          <w:tcPr>
            <w:tcW w:w="3388" w:type="dxa"/>
            <w:gridSpan w:val="3"/>
            <w:tcBorders>
              <w:top w:val="single" w:sz="4" w:space="0" w:color="auto"/>
              <w:left w:val="single" w:sz="4" w:space="0" w:color="000000" w:themeColor="text1"/>
              <w:bottom w:val="single" w:sz="4" w:space="0" w:color="000000" w:themeColor="text1"/>
              <w:right w:val="single" w:sz="4" w:space="0" w:color="auto"/>
            </w:tcBorders>
          </w:tcPr>
          <w:p w:rsidR="00BE7B50" w:rsidRPr="00B74A55" w:rsidRDefault="00BE7B50" w:rsidP="00BE7B50">
            <w:pPr>
              <w:pStyle w:val="a7"/>
              <w:ind w:left="0"/>
              <w:rPr>
                <w:sz w:val="22"/>
                <w:lang w:val="uk-UA"/>
              </w:rPr>
            </w:pPr>
            <w:r w:rsidRPr="00B74A55">
              <w:rPr>
                <w:sz w:val="22"/>
                <w:lang w:val="uk-UA"/>
              </w:rPr>
              <w:t xml:space="preserve">Актова зала </w:t>
            </w:r>
          </w:p>
        </w:tc>
        <w:tc>
          <w:tcPr>
            <w:tcW w:w="1701" w:type="dxa"/>
            <w:gridSpan w:val="2"/>
            <w:tcBorders>
              <w:top w:val="single" w:sz="4" w:space="0" w:color="auto"/>
              <w:left w:val="single" w:sz="4" w:space="0" w:color="auto"/>
              <w:bottom w:val="single" w:sz="4" w:space="0" w:color="000000" w:themeColor="text1"/>
              <w:right w:val="single" w:sz="4" w:space="0" w:color="auto"/>
            </w:tcBorders>
            <w:vAlign w:val="center"/>
          </w:tcPr>
          <w:p w:rsidR="00BE7B50" w:rsidRPr="00B74A55" w:rsidRDefault="00BE7B50" w:rsidP="00BE7B50">
            <w:pPr>
              <w:pStyle w:val="a7"/>
              <w:ind w:left="0"/>
              <w:jc w:val="center"/>
              <w:rPr>
                <w:sz w:val="22"/>
                <w:lang w:val="uk-UA"/>
              </w:rPr>
            </w:pPr>
            <w:r w:rsidRPr="00B74A55">
              <w:rPr>
                <w:sz w:val="22"/>
                <w:lang w:val="uk-UA"/>
              </w:rPr>
              <w:t>одиниць</w:t>
            </w:r>
          </w:p>
        </w:tc>
        <w:tc>
          <w:tcPr>
            <w:tcW w:w="1856" w:type="dxa"/>
            <w:gridSpan w:val="2"/>
            <w:tcBorders>
              <w:top w:val="single" w:sz="4" w:space="0" w:color="auto"/>
              <w:left w:val="single" w:sz="4" w:space="0" w:color="auto"/>
              <w:bottom w:val="single" w:sz="4" w:space="0" w:color="000000" w:themeColor="text1"/>
              <w:right w:val="single" w:sz="4" w:space="0" w:color="000000" w:themeColor="text1"/>
            </w:tcBorders>
          </w:tcPr>
          <w:p w:rsidR="00BE7B50" w:rsidRPr="00B74A55" w:rsidRDefault="00BE7B50" w:rsidP="00BE7B50">
            <w:pPr>
              <w:pStyle w:val="a7"/>
              <w:ind w:left="0"/>
              <w:jc w:val="center"/>
              <w:rPr>
                <w:sz w:val="22"/>
                <w:lang w:val="uk-UA"/>
              </w:rPr>
            </w:pPr>
            <w:r w:rsidRPr="00B74A55">
              <w:rPr>
                <w:sz w:val="22"/>
                <w:lang w:val="uk-UA"/>
              </w:rPr>
              <w:t>1</w:t>
            </w:r>
          </w:p>
        </w:tc>
      </w:tr>
      <w:tr w:rsidR="00BE7B50" w:rsidRPr="00B74A55" w:rsidTr="00F34B87">
        <w:trPr>
          <w:trHeight w:val="150"/>
        </w:trPr>
        <w:tc>
          <w:tcPr>
            <w:tcW w:w="2978" w:type="dxa"/>
            <w:vMerge/>
            <w:tcBorders>
              <w:left w:val="single" w:sz="4" w:space="0" w:color="000000" w:themeColor="text1"/>
              <w:right w:val="single" w:sz="4" w:space="0" w:color="000000" w:themeColor="text1"/>
            </w:tcBorders>
            <w:vAlign w:val="center"/>
            <w:hideMark/>
          </w:tcPr>
          <w:p w:rsidR="00BE7B50" w:rsidRPr="00B74A55" w:rsidRDefault="00BE7B50" w:rsidP="00BE7B50">
            <w:pPr>
              <w:rPr>
                <w:b/>
                <w:sz w:val="22"/>
                <w:lang w:val="uk-UA"/>
              </w:rPr>
            </w:pPr>
          </w:p>
        </w:tc>
        <w:tc>
          <w:tcPr>
            <w:tcW w:w="3388" w:type="dxa"/>
            <w:gridSpan w:val="3"/>
            <w:tcBorders>
              <w:top w:val="single" w:sz="4" w:space="0" w:color="auto"/>
              <w:left w:val="single" w:sz="4" w:space="0" w:color="000000" w:themeColor="text1"/>
              <w:bottom w:val="single" w:sz="4" w:space="0" w:color="000000" w:themeColor="text1"/>
              <w:right w:val="single" w:sz="4" w:space="0" w:color="auto"/>
            </w:tcBorders>
          </w:tcPr>
          <w:p w:rsidR="00BE7B50" w:rsidRPr="00B74A55" w:rsidRDefault="00BE7B50" w:rsidP="00BE7B50">
            <w:pPr>
              <w:rPr>
                <w:color w:val="000000"/>
                <w:sz w:val="22"/>
                <w:lang w:val="uk-UA"/>
              </w:rPr>
            </w:pPr>
            <w:r w:rsidRPr="00B74A55">
              <w:rPr>
                <w:color w:val="000000"/>
                <w:sz w:val="22"/>
                <w:lang w:val="uk-UA"/>
              </w:rPr>
              <w:t>Зони відпочинку</w:t>
            </w:r>
          </w:p>
        </w:tc>
        <w:tc>
          <w:tcPr>
            <w:tcW w:w="1701" w:type="dxa"/>
            <w:gridSpan w:val="2"/>
            <w:tcBorders>
              <w:top w:val="single" w:sz="4" w:space="0" w:color="auto"/>
              <w:left w:val="single" w:sz="4" w:space="0" w:color="auto"/>
              <w:bottom w:val="single" w:sz="4" w:space="0" w:color="000000" w:themeColor="text1"/>
              <w:right w:val="single" w:sz="4" w:space="0" w:color="auto"/>
            </w:tcBorders>
            <w:vAlign w:val="center"/>
          </w:tcPr>
          <w:p w:rsidR="00BE7B50" w:rsidRPr="00B74A55" w:rsidRDefault="00BE7B50" w:rsidP="00BE7B50">
            <w:pPr>
              <w:pStyle w:val="a7"/>
              <w:ind w:left="0"/>
              <w:jc w:val="center"/>
              <w:rPr>
                <w:sz w:val="22"/>
                <w:lang w:val="uk-UA"/>
              </w:rPr>
            </w:pPr>
            <w:r w:rsidRPr="00B74A55">
              <w:rPr>
                <w:sz w:val="22"/>
                <w:lang w:val="uk-UA"/>
              </w:rPr>
              <w:t>одиниць</w:t>
            </w:r>
          </w:p>
        </w:tc>
        <w:tc>
          <w:tcPr>
            <w:tcW w:w="1856" w:type="dxa"/>
            <w:gridSpan w:val="2"/>
            <w:tcBorders>
              <w:top w:val="single" w:sz="4" w:space="0" w:color="auto"/>
              <w:left w:val="single" w:sz="4" w:space="0" w:color="auto"/>
              <w:bottom w:val="single" w:sz="4" w:space="0" w:color="000000" w:themeColor="text1"/>
              <w:right w:val="single" w:sz="4" w:space="0" w:color="000000" w:themeColor="text1"/>
            </w:tcBorders>
          </w:tcPr>
          <w:p w:rsidR="00BE7B50" w:rsidRPr="00B74A55" w:rsidRDefault="00BE7B50" w:rsidP="00BE7B50">
            <w:pPr>
              <w:pStyle w:val="a7"/>
              <w:ind w:left="0"/>
              <w:jc w:val="center"/>
              <w:rPr>
                <w:sz w:val="22"/>
                <w:lang w:val="uk-UA"/>
              </w:rPr>
            </w:pPr>
            <w:r w:rsidRPr="00B74A55">
              <w:rPr>
                <w:sz w:val="22"/>
                <w:lang w:val="uk-UA"/>
              </w:rPr>
              <w:t>3</w:t>
            </w:r>
          </w:p>
        </w:tc>
      </w:tr>
      <w:tr w:rsidR="00BE7B50" w:rsidRPr="00B74A55" w:rsidTr="00F34B87">
        <w:trPr>
          <w:trHeight w:val="150"/>
        </w:trPr>
        <w:tc>
          <w:tcPr>
            <w:tcW w:w="2978" w:type="dxa"/>
            <w:vMerge/>
            <w:tcBorders>
              <w:left w:val="single" w:sz="4" w:space="0" w:color="000000" w:themeColor="text1"/>
              <w:bottom w:val="single" w:sz="4" w:space="0" w:color="000000" w:themeColor="text1"/>
              <w:right w:val="single" w:sz="4" w:space="0" w:color="000000" w:themeColor="text1"/>
            </w:tcBorders>
            <w:vAlign w:val="center"/>
          </w:tcPr>
          <w:p w:rsidR="00BE7B50" w:rsidRPr="00B74A55" w:rsidRDefault="00BE7B50" w:rsidP="00BE7B50">
            <w:pPr>
              <w:rPr>
                <w:b/>
                <w:sz w:val="22"/>
                <w:lang w:val="uk-UA"/>
              </w:rPr>
            </w:pPr>
          </w:p>
        </w:tc>
        <w:tc>
          <w:tcPr>
            <w:tcW w:w="3388" w:type="dxa"/>
            <w:gridSpan w:val="3"/>
            <w:tcBorders>
              <w:top w:val="single" w:sz="4" w:space="0" w:color="auto"/>
              <w:left w:val="single" w:sz="4" w:space="0" w:color="000000" w:themeColor="text1"/>
              <w:bottom w:val="single" w:sz="4" w:space="0" w:color="000000" w:themeColor="text1"/>
              <w:right w:val="single" w:sz="4" w:space="0" w:color="auto"/>
            </w:tcBorders>
          </w:tcPr>
          <w:p w:rsidR="00BE7B50" w:rsidRPr="00B74A55" w:rsidRDefault="00BE7B50" w:rsidP="00BE7B50">
            <w:pPr>
              <w:rPr>
                <w:color w:val="000000"/>
                <w:sz w:val="22"/>
                <w:lang w:val="uk-UA"/>
              </w:rPr>
            </w:pPr>
            <w:r w:rsidRPr="00B74A55">
              <w:rPr>
                <w:color w:val="000000"/>
                <w:sz w:val="22"/>
                <w:lang w:val="uk-UA"/>
              </w:rPr>
              <w:t>Медичний кабінет</w:t>
            </w:r>
          </w:p>
        </w:tc>
        <w:tc>
          <w:tcPr>
            <w:tcW w:w="1701" w:type="dxa"/>
            <w:gridSpan w:val="2"/>
            <w:tcBorders>
              <w:top w:val="single" w:sz="4" w:space="0" w:color="auto"/>
              <w:left w:val="single" w:sz="4" w:space="0" w:color="auto"/>
              <w:bottom w:val="single" w:sz="4" w:space="0" w:color="000000" w:themeColor="text1"/>
              <w:right w:val="single" w:sz="4" w:space="0" w:color="auto"/>
            </w:tcBorders>
            <w:vAlign w:val="center"/>
          </w:tcPr>
          <w:p w:rsidR="00BE7B50" w:rsidRPr="00B74A55" w:rsidRDefault="00BE7B50" w:rsidP="00BE7B50">
            <w:pPr>
              <w:pStyle w:val="a7"/>
              <w:ind w:left="0"/>
              <w:jc w:val="center"/>
              <w:rPr>
                <w:sz w:val="22"/>
                <w:lang w:val="uk-UA"/>
              </w:rPr>
            </w:pPr>
            <w:r w:rsidRPr="00B74A55">
              <w:rPr>
                <w:sz w:val="22"/>
                <w:lang w:val="uk-UA"/>
              </w:rPr>
              <w:t xml:space="preserve">одиниць </w:t>
            </w:r>
          </w:p>
        </w:tc>
        <w:tc>
          <w:tcPr>
            <w:tcW w:w="1856" w:type="dxa"/>
            <w:gridSpan w:val="2"/>
            <w:tcBorders>
              <w:top w:val="single" w:sz="4" w:space="0" w:color="auto"/>
              <w:left w:val="single" w:sz="4" w:space="0" w:color="auto"/>
              <w:bottom w:val="single" w:sz="4" w:space="0" w:color="000000" w:themeColor="text1"/>
              <w:right w:val="single" w:sz="4" w:space="0" w:color="000000" w:themeColor="text1"/>
            </w:tcBorders>
          </w:tcPr>
          <w:p w:rsidR="00BE7B50" w:rsidRPr="00B74A55" w:rsidRDefault="00BE7B50" w:rsidP="00BE7B50">
            <w:pPr>
              <w:pStyle w:val="a7"/>
              <w:ind w:left="0"/>
              <w:jc w:val="center"/>
              <w:rPr>
                <w:sz w:val="22"/>
                <w:lang w:val="uk-UA"/>
              </w:rPr>
            </w:pPr>
            <w:r w:rsidRPr="00B74A55">
              <w:rPr>
                <w:sz w:val="22"/>
                <w:lang w:val="uk-UA"/>
              </w:rPr>
              <w:t>1</w:t>
            </w:r>
          </w:p>
        </w:tc>
      </w:tr>
      <w:tr w:rsidR="00BE7B50" w:rsidRPr="00B74A55" w:rsidTr="00F34B87">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BE7B50" w:rsidRPr="00B74A55" w:rsidRDefault="00BE7B50" w:rsidP="00BE7B50">
            <w:pPr>
              <w:rPr>
                <w:b/>
                <w:sz w:val="22"/>
                <w:lang w:val="uk-UA"/>
              </w:rPr>
            </w:pPr>
            <w:r w:rsidRPr="00B74A55">
              <w:rPr>
                <w:b/>
                <w:sz w:val="22"/>
                <w:lang w:val="uk-UA"/>
              </w:rPr>
              <w:t xml:space="preserve">Ключові заходи проекту: </w:t>
            </w:r>
          </w:p>
          <w:p w:rsidR="00BE7B50" w:rsidRPr="00B74A55" w:rsidRDefault="00BE7B50" w:rsidP="00BE7B50">
            <w:pPr>
              <w:pStyle w:val="a7"/>
              <w:ind w:left="0"/>
              <w:rPr>
                <w:b/>
                <w:sz w:val="22"/>
                <w:lang w:val="uk-UA"/>
              </w:rPr>
            </w:pPr>
          </w:p>
        </w:tc>
        <w:tc>
          <w:tcPr>
            <w:tcW w:w="694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7B50" w:rsidRPr="00B74A55" w:rsidRDefault="00BE7B50" w:rsidP="00BE7B50">
            <w:pPr>
              <w:pStyle w:val="a7"/>
              <w:ind w:left="0"/>
              <w:rPr>
                <w:sz w:val="22"/>
                <w:lang w:val="uk-UA"/>
              </w:rPr>
            </w:pPr>
            <w:r w:rsidRPr="00B74A55">
              <w:rPr>
                <w:sz w:val="22"/>
                <w:lang w:val="uk-UA"/>
              </w:rPr>
              <w:t xml:space="preserve">-поширення інформації про реалізацію </w:t>
            </w:r>
            <w:proofErr w:type="spellStart"/>
            <w:r w:rsidRPr="00B74A55">
              <w:rPr>
                <w:sz w:val="22"/>
                <w:lang w:val="uk-UA"/>
              </w:rPr>
              <w:t>проєкту</w:t>
            </w:r>
            <w:proofErr w:type="spellEnd"/>
            <w:r w:rsidRPr="00B74A55">
              <w:rPr>
                <w:sz w:val="22"/>
                <w:lang w:val="uk-UA"/>
              </w:rPr>
              <w:t xml:space="preserve">; </w:t>
            </w:r>
          </w:p>
          <w:p w:rsidR="00BE7B50" w:rsidRPr="00B74A55" w:rsidRDefault="00BE7B50" w:rsidP="00BE7B50">
            <w:pPr>
              <w:pStyle w:val="a7"/>
              <w:ind w:left="0"/>
              <w:rPr>
                <w:sz w:val="22"/>
                <w:lang w:val="uk-UA"/>
              </w:rPr>
            </w:pPr>
            <w:r w:rsidRPr="00B74A55">
              <w:rPr>
                <w:sz w:val="22"/>
                <w:lang w:val="uk-UA"/>
              </w:rPr>
              <w:t>-</w:t>
            </w:r>
            <w:proofErr w:type="spellStart"/>
            <w:r w:rsidRPr="00B74A55">
              <w:rPr>
                <w:sz w:val="22"/>
                <w:lang w:val="uk-UA"/>
              </w:rPr>
              <w:t>проєктно</w:t>
            </w:r>
            <w:proofErr w:type="spellEnd"/>
            <w:r w:rsidRPr="00B74A55">
              <w:rPr>
                <w:sz w:val="22"/>
                <w:lang w:val="uk-UA"/>
              </w:rPr>
              <w:t>-вишукувальні роботи, експертиза та авторський нагляд;</w:t>
            </w:r>
          </w:p>
          <w:p w:rsidR="00BE7B50" w:rsidRPr="00B74A55" w:rsidRDefault="00BE7B50" w:rsidP="00BE7B50">
            <w:pPr>
              <w:pStyle w:val="a7"/>
              <w:ind w:left="0"/>
              <w:rPr>
                <w:sz w:val="22"/>
                <w:lang w:val="uk-UA"/>
              </w:rPr>
            </w:pPr>
            <w:r w:rsidRPr="00B74A55">
              <w:rPr>
                <w:sz w:val="22"/>
                <w:lang w:val="uk-UA"/>
              </w:rPr>
              <w:t>-проведення інвентаризації основних засобів;</w:t>
            </w:r>
          </w:p>
          <w:p w:rsidR="00BE7B50" w:rsidRPr="00B74A55" w:rsidRDefault="00BE7B50" w:rsidP="00BE7B50">
            <w:pPr>
              <w:pStyle w:val="a7"/>
              <w:ind w:left="0"/>
              <w:rPr>
                <w:sz w:val="22"/>
                <w:lang w:val="uk-UA"/>
              </w:rPr>
            </w:pPr>
            <w:r w:rsidRPr="00B74A55">
              <w:rPr>
                <w:sz w:val="22"/>
                <w:lang w:val="uk-UA"/>
              </w:rPr>
              <w:t>-складання, розгляд, затвердження та виконання кошторису;</w:t>
            </w:r>
          </w:p>
          <w:p w:rsidR="00BE7B50" w:rsidRPr="00B74A55" w:rsidRDefault="00BE7B50" w:rsidP="00BE7B50">
            <w:pPr>
              <w:pStyle w:val="a7"/>
              <w:ind w:left="0"/>
              <w:rPr>
                <w:sz w:val="22"/>
                <w:lang w:val="uk-UA"/>
              </w:rPr>
            </w:pPr>
            <w:r w:rsidRPr="00B74A55">
              <w:rPr>
                <w:sz w:val="22"/>
                <w:lang w:val="uk-UA"/>
              </w:rPr>
              <w:t xml:space="preserve">-проведення торгів із тендерних </w:t>
            </w:r>
            <w:proofErr w:type="spellStart"/>
            <w:r w:rsidRPr="00B74A55">
              <w:rPr>
                <w:sz w:val="22"/>
                <w:lang w:val="uk-UA"/>
              </w:rPr>
              <w:t>закупівель</w:t>
            </w:r>
            <w:proofErr w:type="spellEnd"/>
            <w:r w:rsidRPr="00B74A55">
              <w:rPr>
                <w:sz w:val="22"/>
                <w:lang w:val="uk-UA"/>
              </w:rPr>
              <w:t>;</w:t>
            </w:r>
          </w:p>
          <w:p w:rsidR="00BE7B50" w:rsidRPr="00B74A55" w:rsidRDefault="00BE7B50" w:rsidP="00046E27">
            <w:pPr>
              <w:rPr>
                <w:sz w:val="22"/>
                <w:lang w:val="uk-UA"/>
              </w:rPr>
            </w:pPr>
            <w:r w:rsidRPr="00B74A55">
              <w:rPr>
                <w:sz w:val="22"/>
                <w:lang w:val="uk-UA"/>
              </w:rPr>
              <w:t xml:space="preserve">-придбання обладнання, меблів, інвентаря, техніки (інтерактивні мультимедійні комплекси ,інтерактивні дошки ,мультимедійні </w:t>
            </w:r>
            <w:proofErr w:type="spellStart"/>
            <w:r w:rsidRPr="00B74A55">
              <w:rPr>
                <w:sz w:val="22"/>
                <w:lang w:val="uk-UA"/>
              </w:rPr>
              <w:t>проєктори</w:t>
            </w:r>
            <w:proofErr w:type="spellEnd"/>
            <w:r w:rsidRPr="00B74A55">
              <w:rPr>
                <w:sz w:val="22"/>
                <w:lang w:val="uk-UA"/>
              </w:rPr>
              <w:t>, портативний комп'ютер учителя (ноутбук),</w:t>
            </w:r>
            <w:r w:rsidR="00B14798" w:rsidRPr="00B74A55">
              <w:rPr>
                <w:sz w:val="22"/>
                <w:lang w:val="uk-UA"/>
              </w:rPr>
              <w:t xml:space="preserve"> </w:t>
            </w:r>
            <w:r w:rsidRPr="00B74A55">
              <w:rPr>
                <w:sz w:val="22"/>
                <w:lang w:val="uk-UA"/>
              </w:rPr>
              <w:t>програмне забезпечення для інтерактивної дошки),  обладнання спортивної зали,</w:t>
            </w:r>
            <w:r w:rsidR="00B14798" w:rsidRPr="00B74A55">
              <w:rPr>
                <w:sz w:val="22"/>
                <w:lang w:val="uk-UA"/>
              </w:rPr>
              <w:t xml:space="preserve"> </w:t>
            </w:r>
            <w:r w:rsidRPr="00B74A55">
              <w:rPr>
                <w:sz w:val="22"/>
                <w:lang w:val="uk-UA"/>
              </w:rPr>
              <w:t xml:space="preserve">музичні </w:t>
            </w:r>
            <w:proofErr w:type="spellStart"/>
            <w:r w:rsidRPr="00B74A55">
              <w:rPr>
                <w:sz w:val="22"/>
                <w:lang w:val="uk-UA"/>
              </w:rPr>
              <w:t>інстументи</w:t>
            </w:r>
            <w:proofErr w:type="spellEnd"/>
            <w:r w:rsidRPr="00B74A55">
              <w:rPr>
                <w:sz w:val="22"/>
                <w:lang w:val="uk-UA"/>
              </w:rPr>
              <w:t xml:space="preserve">, </w:t>
            </w:r>
            <w:proofErr w:type="spellStart"/>
            <w:r w:rsidRPr="00B74A55">
              <w:rPr>
                <w:sz w:val="22"/>
                <w:lang w:val="uk-UA"/>
              </w:rPr>
              <w:t>обладання</w:t>
            </w:r>
            <w:proofErr w:type="spellEnd"/>
            <w:r w:rsidRPr="00B74A55">
              <w:rPr>
                <w:sz w:val="22"/>
                <w:lang w:val="uk-UA"/>
              </w:rPr>
              <w:t xml:space="preserve"> для медичного кабінету); </w:t>
            </w:r>
          </w:p>
          <w:p w:rsidR="00BE7B50" w:rsidRPr="00B74A55" w:rsidRDefault="00BE7B50" w:rsidP="00BE7B50">
            <w:pPr>
              <w:pStyle w:val="a7"/>
              <w:ind w:left="0"/>
              <w:rPr>
                <w:sz w:val="22"/>
                <w:lang w:val="uk-UA"/>
              </w:rPr>
            </w:pPr>
            <w:r w:rsidRPr="00B74A55">
              <w:rPr>
                <w:sz w:val="22"/>
                <w:lang w:val="uk-UA"/>
              </w:rPr>
              <w:t>-організація та початок робочого процесу;</w:t>
            </w:r>
          </w:p>
          <w:p w:rsidR="00BE7B50" w:rsidRPr="00B74A55" w:rsidRDefault="00BE7B50" w:rsidP="00BE7B50">
            <w:pPr>
              <w:pStyle w:val="a7"/>
              <w:ind w:left="0"/>
              <w:rPr>
                <w:sz w:val="22"/>
                <w:lang w:val="uk-UA"/>
              </w:rPr>
            </w:pPr>
            <w:r w:rsidRPr="00B74A55">
              <w:rPr>
                <w:sz w:val="22"/>
                <w:lang w:val="uk-UA"/>
              </w:rPr>
              <w:t xml:space="preserve">-поширення інформації про загальні результати реалізації </w:t>
            </w:r>
            <w:proofErr w:type="spellStart"/>
            <w:r w:rsidRPr="00B74A55">
              <w:rPr>
                <w:sz w:val="22"/>
                <w:lang w:val="uk-UA"/>
              </w:rPr>
              <w:t>проєкту</w:t>
            </w:r>
            <w:proofErr w:type="spellEnd"/>
            <w:r w:rsidRPr="00B74A55">
              <w:rPr>
                <w:sz w:val="22"/>
                <w:lang w:val="uk-UA"/>
              </w:rPr>
              <w:t>.</w:t>
            </w:r>
          </w:p>
        </w:tc>
      </w:tr>
      <w:tr w:rsidR="00BE7B50" w:rsidRPr="00B74A55" w:rsidTr="00CA54D2">
        <w:trPr>
          <w:trHeight w:val="360"/>
        </w:trPr>
        <w:tc>
          <w:tcPr>
            <w:tcW w:w="29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BE7B50" w:rsidRPr="00B74A55" w:rsidRDefault="00BE7B50" w:rsidP="00BE7B50">
            <w:pPr>
              <w:pStyle w:val="a7"/>
              <w:ind w:left="0"/>
              <w:rPr>
                <w:b/>
                <w:sz w:val="22"/>
                <w:lang w:val="uk-UA"/>
              </w:rPr>
            </w:pPr>
            <w:r w:rsidRPr="00B74A55">
              <w:rPr>
                <w:b/>
                <w:sz w:val="22"/>
                <w:lang w:val="uk-UA"/>
              </w:rPr>
              <w:t xml:space="preserve">Орієнтовний обсяг та джерела фінансування, тис. грн. </w:t>
            </w:r>
          </w:p>
          <w:p w:rsidR="00BE7B50" w:rsidRPr="00B74A55" w:rsidRDefault="00BE7B50" w:rsidP="00BE7B50">
            <w:pPr>
              <w:pStyle w:val="a7"/>
              <w:ind w:left="0"/>
              <w:rPr>
                <w:b/>
                <w:sz w:val="22"/>
                <w:lang w:val="uk-UA"/>
              </w:rPr>
            </w:pPr>
          </w:p>
        </w:tc>
        <w:tc>
          <w:tcPr>
            <w:tcW w:w="1417" w:type="dxa"/>
            <w:tcBorders>
              <w:top w:val="single" w:sz="4" w:space="0" w:color="000000" w:themeColor="text1"/>
              <w:left w:val="single" w:sz="4" w:space="0" w:color="000000" w:themeColor="text1"/>
              <w:bottom w:val="single" w:sz="4" w:space="0" w:color="auto"/>
              <w:right w:val="single" w:sz="4" w:space="0" w:color="auto"/>
            </w:tcBorders>
            <w:hideMark/>
          </w:tcPr>
          <w:p w:rsidR="00BE7B50" w:rsidRPr="00B74A55" w:rsidRDefault="00BE7B50" w:rsidP="00BE7B50">
            <w:pPr>
              <w:pStyle w:val="a7"/>
              <w:ind w:left="0"/>
              <w:jc w:val="center"/>
              <w:rPr>
                <w:b/>
                <w:sz w:val="22"/>
                <w:lang w:val="uk-UA"/>
              </w:rPr>
            </w:pPr>
            <w:r w:rsidRPr="00B74A55">
              <w:rPr>
                <w:b/>
                <w:sz w:val="22"/>
                <w:lang w:val="uk-UA"/>
              </w:rPr>
              <w:t>Державний бюджет</w:t>
            </w:r>
          </w:p>
        </w:tc>
        <w:tc>
          <w:tcPr>
            <w:tcW w:w="1276" w:type="dxa"/>
            <w:tcBorders>
              <w:top w:val="single" w:sz="4" w:space="0" w:color="000000" w:themeColor="text1"/>
              <w:left w:val="single" w:sz="4" w:space="0" w:color="000000" w:themeColor="text1"/>
              <w:bottom w:val="single" w:sz="4" w:space="0" w:color="auto"/>
              <w:right w:val="single" w:sz="4" w:space="0" w:color="auto"/>
            </w:tcBorders>
            <w:hideMark/>
          </w:tcPr>
          <w:p w:rsidR="00BE7B50" w:rsidRPr="00B74A55" w:rsidRDefault="00BE7B50" w:rsidP="00BE7B50">
            <w:pPr>
              <w:pStyle w:val="a7"/>
              <w:ind w:left="0"/>
              <w:jc w:val="center"/>
              <w:rPr>
                <w:b/>
                <w:sz w:val="22"/>
                <w:lang w:val="uk-UA"/>
              </w:rPr>
            </w:pPr>
            <w:r w:rsidRPr="00B74A55">
              <w:rPr>
                <w:b/>
                <w:sz w:val="22"/>
                <w:lang w:val="uk-UA"/>
              </w:rPr>
              <w:t>Місцевий бюджет</w:t>
            </w:r>
          </w:p>
        </w:tc>
        <w:tc>
          <w:tcPr>
            <w:tcW w:w="2835" w:type="dxa"/>
            <w:gridSpan w:val="4"/>
            <w:tcBorders>
              <w:top w:val="single" w:sz="4" w:space="0" w:color="000000" w:themeColor="text1"/>
              <w:left w:val="single" w:sz="4" w:space="0" w:color="auto"/>
              <w:bottom w:val="single" w:sz="4" w:space="0" w:color="auto"/>
              <w:right w:val="single" w:sz="4" w:space="0" w:color="auto"/>
            </w:tcBorders>
            <w:hideMark/>
          </w:tcPr>
          <w:p w:rsidR="00BE7B50" w:rsidRPr="00B74A55" w:rsidRDefault="00BE7B50" w:rsidP="00BE7B50">
            <w:pPr>
              <w:pStyle w:val="a7"/>
              <w:ind w:left="0"/>
              <w:jc w:val="center"/>
              <w:rPr>
                <w:b/>
                <w:sz w:val="22"/>
                <w:lang w:val="uk-UA"/>
              </w:rPr>
            </w:pPr>
            <w:r w:rsidRPr="00B74A55">
              <w:rPr>
                <w:b/>
                <w:sz w:val="22"/>
                <w:lang w:val="uk-UA"/>
              </w:rPr>
              <w:t>Інші джерела</w:t>
            </w:r>
          </w:p>
        </w:tc>
        <w:tc>
          <w:tcPr>
            <w:tcW w:w="1417" w:type="dxa"/>
            <w:tcBorders>
              <w:top w:val="single" w:sz="4" w:space="0" w:color="000000" w:themeColor="text1"/>
              <w:left w:val="single" w:sz="4" w:space="0" w:color="auto"/>
              <w:bottom w:val="single" w:sz="4" w:space="0" w:color="auto"/>
              <w:right w:val="single" w:sz="4" w:space="0" w:color="000000" w:themeColor="text1"/>
            </w:tcBorders>
            <w:hideMark/>
          </w:tcPr>
          <w:p w:rsidR="00BE7B50" w:rsidRPr="00B74A55" w:rsidRDefault="00BE7B50" w:rsidP="00BE7B50">
            <w:pPr>
              <w:pStyle w:val="a7"/>
              <w:ind w:left="0"/>
              <w:jc w:val="center"/>
              <w:rPr>
                <w:b/>
                <w:sz w:val="22"/>
                <w:lang w:val="uk-UA"/>
              </w:rPr>
            </w:pPr>
            <w:r w:rsidRPr="00B74A55">
              <w:rPr>
                <w:b/>
                <w:sz w:val="22"/>
                <w:lang w:val="uk-UA"/>
              </w:rPr>
              <w:t>Всього</w:t>
            </w:r>
          </w:p>
        </w:tc>
      </w:tr>
      <w:tr w:rsidR="00BE7B50" w:rsidRPr="00B74A55" w:rsidTr="00CA54D2">
        <w:trPr>
          <w:trHeight w:val="225"/>
        </w:trPr>
        <w:tc>
          <w:tcPr>
            <w:tcW w:w="2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7B50" w:rsidRPr="00B74A55" w:rsidRDefault="00BE7B50" w:rsidP="00BE7B50">
            <w:pPr>
              <w:rPr>
                <w:b/>
                <w:sz w:val="22"/>
                <w:lang w:val="uk-UA"/>
              </w:rPr>
            </w:pPr>
          </w:p>
        </w:tc>
        <w:tc>
          <w:tcPr>
            <w:tcW w:w="1417" w:type="dxa"/>
            <w:vMerge w:val="restart"/>
            <w:tcBorders>
              <w:top w:val="single" w:sz="4" w:space="0" w:color="auto"/>
              <w:left w:val="single" w:sz="4" w:space="0" w:color="000000" w:themeColor="text1"/>
              <w:bottom w:val="single" w:sz="4" w:space="0" w:color="000000" w:themeColor="text1"/>
              <w:right w:val="single" w:sz="4" w:space="0" w:color="auto"/>
            </w:tcBorders>
          </w:tcPr>
          <w:p w:rsidR="00BE7B50" w:rsidRPr="00B74A55" w:rsidRDefault="00BE7B50" w:rsidP="00CA54D2">
            <w:pPr>
              <w:pStyle w:val="a7"/>
              <w:ind w:left="0"/>
              <w:jc w:val="center"/>
              <w:rPr>
                <w:sz w:val="22"/>
                <w:lang w:val="uk-UA"/>
              </w:rPr>
            </w:pPr>
            <w:r w:rsidRPr="00B74A55">
              <w:rPr>
                <w:sz w:val="22"/>
                <w:lang w:val="uk-UA"/>
              </w:rPr>
              <w:t>13952</w:t>
            </w:r>
            <w:r w:rsidR="00CA54D2" w:rsidRPr="00B74A55">
              <w:rPr>
                <w:sz w:val="22"/>
              </w:rPr>
              <w:t>,</w:t>
            </w:r>
            <w:r w:rsidRPr="00B74A55">
              <w:rPr>
                <w:sz w:val="22"/>
                <w:lang w:val="uk-UA"/>
              </w:rPr>
              <w:t>539</w:t>
            </w:r>
          </w:p>
        </w:tc>
        <w:tc>
          <w:tcPr>
            <w:tcW w:w="1276" w:type="dxa"/>
            <w:vMerge w:val="restart"/>
            <w:tcBorders>
              <w:top w:val="single" w:sz="4" w:space="0" w:color="auto"/>
              <w:left w:val="single" w:sz="4" w:space="0" w:color="000000" w:themeColor="text1"/>
              <w:bottom w:val="single" w:sz="4" w:space="0" w:color="000000" w:themeColor="text1"/>
              <w:right w:val="single" w:sz="4" w:space="0" w:color="auto"/>
            </w:tcBorders>
            <w:hideMark/>
          </w:tcPr>
          <w:p w:rsidR="00BE7B50" w:rsidRPr="00B74A55" w:rsidRDefault="00BE7B50" w:rsidP="00BE7B50">
            <w:pPr>
              <w:pStyle w:val="a7"/>
              <w:ind w:left="0"/>
              <w:jc w:val="center"/>
              <w:rPr>
                <w:b/>
                <w:sz w:val="22"/>
                <w:lang w:val="uk-UA"/>
              </w:rPr>
            </w:pPr>
            <w:r w:rsidRPr="00B74A55">
              <w:rPr>
                <w:b/>
                <w:sz w:val="22"/>
                <w:lang w:val="uk-UA"/>
              </w:rPr>
              <w:t>-</w:t>
            </w:r>
          </w:p>
        </w:tc>
        <w:tc>
          <w:tcPr>
            <w:tcW w:w="1104" w:type="dxa"/>
            <w:gridSpan w:val="2"/>
            <w:tcBorders>
              <w:top w:val="single" w:sz="4" w:space="0" w:color="auto"/>
              <w:left w:val="single" w:sz="4" w:space="0" w:color="auto"/>
              <w:bottom w:val="single" w:sz="4" w:space="0" w:color="auto"/>
              <w:right w:val="single" w:sz="4" w:space="0" w:color="auto"/>
            </w:tcBorders>
            <w:hideMark/>
          </w:tcPr>
          <w:p w:rsidR="00BE7B50" w:rsidRPr="00B74A55" w:rsidRDefault="00BE7B50" w:rsidP="00BE7B50">
            <w:pPr>
              <w:pStyle w:val="a7"/>
              <w:ind w:left="0"/>
              <w:jc w:val="center"/>
              <w:rPr>
                <w:b/>
                <w:sz w:val="22"/>
                <w:lang w:val="uk-UA"/>
              </w:rPr>
            </w:pPr>
            <w:r w:rsidRPr="00B74A55">
              <w:rPr>
                <w:b/>
                <w:sz w:val="22"/>
                <w:lang w:val="uk-UA"/>
              </w:rPr>
              <w:t>Обсяг</w:t>
            </w:r>
          </w:p>
        </w:tc>
        <w:tc>
          <w:tcPr>
            <w:tcW w:w="1731" w:type="dxa"/>
            <w:gridSpan w:val="2"/>
            <w:tcBorders>
              <w:top w:val="single" w:sz="4" w:space="0" w:color="auto"/>
              <w:left w:val="single" w:sz="4" w:space="0" w:color="auto"/>
              <w:bottom w:val="single" w:sz="4" w:space="0" w:color="auto"/>
              <w:right w:val="single" w:sz="4" w:space="0" w:color="auto"/>
            </w:tcBorders>
            <w:hideMark/>
          </w:tcPr>
          <w:p w:rsidR="00BE7B50" w:rsidRPr="00B74A55" w:rsidRDefault="00BE7B50" w:rsidP="00BE7B50">
            <w:pPr>
              <w:pStyle w:val="a7"/>
              <w:ind w:left="0"/>
              <w:jc w:val="center"/>
              <w:rPr>
                <w:b/>
                <w:sz w:val="22"/>
                <w:lang w:val="uk-UA"/>
              </w:rPr>
            </w:pPr>
            <w:r w:rsidRPr="00B74A55">
              <w:rPr>
                <w:b/>
                <w:sz w:val="22"/>
                <w:lang w:val="uk-UA"/>
              </w:rPr>
              <w:t>Назва джерела</w:t>
            </w:r>
          </w:p>
        </w:tc>
        <w:tc>
          <w:tcPr>
            <w:tcW w:w="1417" w:type="dxa"/>
            <w:vMerge w:val="restart"/>
            <w:tcBorders>
              <w:top w:val="single" w:sz="4" w:space="0" w:color="auto"/>
              <w:left w:val="single" w:sz="4" w:space="0" w:color="auto"/>
              <w:bottom w:val="single" w:sz="4" w:space="0" w:color="000000" w:themeColor="text1"/>
              <w:right w:val="single" w:sz="4" w:space="0" w:color="000000" w:themeColor="text1"/>
            </w:tcBorders>
            <w:hideMark/>
          </w:tcPr>
          <w:p w:rsidR="00BE7B50" w:rsidRPr="00B74A55" w:rsidRDefault="00CA54D2" w:rsidP="00BE7B50">
            <w:pPr>
              <w:pStyle w:val="a7"/>
              <w:ind w:left="0"/>
              <w:rPr>
                <w:sz w:val="22"/>
                <w:lang w:val="uk-UA"/>
              </w:rPr>
            </w:pPr>
            <w:r w:rsidRPr="00B74A55">
              <w:rPr>
                <w:color w:val="000000"/>
                <w:sz w:val="22"/>
              </w:rPr>
              <w:t>17440,674</w:t>
            </w:r>
          </w:p>
        </w:tc>
      </w:tr>
      <w:tr w:rsidR="00BE7B50" w:rsidRPr="00B74A55" w:rsidTr="00CA54D2">
        <w:trPr>
          <w:trHeight w:val="300"/>
        </w:trPr>
        <w:tc>
          <w:tcPr>
            <w:tcW w:w="2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7B50" w:rsidRPr="00B74A55" w:rsidRDefault="00BE7B50" w:rsidP="00BE7B50">
            <w:pPr>
              <w:rPr>
                <w:b/>
                <w:sz w:val="22"/>
                <w:lang w:val="uk-UA"/>
              </w:rPr>
            </w:pPr>
          </w:p>
        </w:tc>
        <w:tc>
          <w:tcPr>
            <w:tcW w:w="1417"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BE7B50" w:rsidRPr="00B74A55" w:rsidRDefault="00BE7B50" w:rsidP="00BE7B50">
            <w:pPr>
              <w:rPr>
                <w:b/>
                <w:sz w:val="22"/>
                <w:lang w:val="uk-UA"/>
              </w:rPr>
            </w:pPr>
          </w:p>
        </w:tc>
        <w:tc>
          <w:tcPr>
            <w:tcW w:w="1276"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BE7B50" w:rsidRPr="00B74A55" w:rsidRDefault="00BE7B50" w:rsidP="00BE7B50">
            <w:pPr>
              <w:rPr>
                <w:b/>
                <w:sz w:val="22"/>
                <w:lang w:val="uk-UA"/>
              </w:rPr>
            </w:pPr>
          </w:p>
        </w:tc>
        <w:tc>
          <w:tcPr>
            <w:tcW w:w="1104" w:type="dxa"/>
            <w:gridSpan w:val="2"/>
            <w:tcBorders>
              <w:top w:val="single" w:sz="4" w:space="0" w:color="auto"/>
              <w:left w:val="single" w:sz="4" w:space="0" w:color="auto"/>
              <w:bottom w:val="single" w:sz="4" w:space="0" w:color="000000" w:themeColor="text1"/>
              <w:right w:val="single" w:sz="4" w:space="0" w:color="auto"/>
            </w:tcBorders>
          </w:tcPr>
          <w:p w:rsidR="00BE7B50" w:rsidRPr="00B74A55" w:rsidRDefault="00BE7B50" w:rsidP="00CA54D2">
            <w:pPr>
              <w:pStyle w:val="a7"/>
              <w:ind w:left="0"/>
              <w:jc w:val="center"/>
              <w:rPr>
                <w:sz w:val="22"/>
              </w:rPr>
            </w:pPr>
            <w:r w:rsidRPr="00B74A55">
              <w:rPr>
                <w:sz w:val="22"/>
                <w:lang w:val="uk-UA"/>
              </w:rPr>
              <w:t>3488</w:t>
            </w:r>
            <w:r w:rsidR="00CA54D2" w:rsidRPr="00B74A55">
              <w:rPr>
                <w:sz w:val="22"/>
              </w:rPr>
              <w:t>,</w:t>
            </w:r>
            <w:r w:rsidRPr="00B74A55">
              <w:rPr>
                <w:sz w:val="22"/>
                <w:lang w:val="uk-UA"/>
              </w:rPr>
              <w:t>13</w:t>
            </w:r>
            <w:r w:rsidR="00CA54D2" w:rsidRPr="00B74A55">
              <w:rPr>
                <w:sz w:val="22"/>
              </w:rPr>
              <w:t>5</w:t>
            </w:r>
          </w:p>
        </w:tc>
        <w:tc>
          <w:tcPr>
            <w:tcW w:w="1731" w:type="dxa"/>
            <w:gridSpan w:val="2"/>
            <w:tcBorders>
              <w:top w:val="single" w:sz="4" w:space="0" w:color="auto"/>
              <w:left w:val="single" w:sz="4" w:space="0" w:color="auto"/>
              <w:bottom w:val="single" w:sz="4" w:space="0" w:color="000000" w:themeColor="text1"/>
              <w:right w:val="single" w:sz="4" w:space="0" w:color="auto"/>
            </w:tcBorders>
          </w:tcPr>
          <w:p w:rsidR="00BE7B50" w:rsidRPr="00B74A55" w:rsidRDefault="00BE7B50" w:rsidP="00BE7B50">
            <w:pPr>
              <w:pStyle w:val="a7"/>
              <w:ind w:left="0"/>
              <w:jc w:val="center"/>
              <w:rPr>
                <w:sz w:val="22"/>
                <w:lang w:val="uk-UA"/>
              </w:rPr>
            </w:pPr>
            <w:r w:rsidRPr="00B74A55">
              <w:rPr>
                <w:sz w:val="22"/>
                <w:lang w:val="uk-UA"/>
              </w:rPr>
              <w:t>Міжнародні інвестиції, кошти приватних осіб</w:t>
            </w:r>
          </w:p>
        </w:tc>
        <w:tc>
          <w:tcPr>
            <w:tcW w:w="1417" w:type="dxa"/>
            <w:vMerge/>
            <w:tcBorders>
              <w:top w:val="single" w:sz="4" w:space="0" w:color="auto"/>
              <w:left w:val="single" w:sz="4" w:space="0" w:color="auto"/>
              <w:bottom w:val="single" w:sz="4" w:space="0" w:color="000000" w:themeColor="text1"/>
              <w:right w:val="single" w:sz="4" w:space="0" w:color="000000" w:themeColor="text1"/>
            </w:tcBorders>
            <w:vAlign w:val="center"/>
            <w:hideMark/>
          </w:tcPr>
          <w:p w:rsidR="00BE7B50" w:rsidRPr="00B74A55" w:rsidRDefault="00BE7B50" w:rsidP="00BE7B50">
            <w:pPr>
              <w:rPr>
                <w:sz w:val="22"/>
                <w:lang w:val="uk-UA"/>
              </w:rPr>
            </w:pPr>
          </w:p>
        </w:tc>
      </w:tr>
    </w:tbl>
    <w:p w:rsidR="00325923" w:rsidRPr="00B74A55" w:rsidRDefault="00325923" w:rsidP="00E95FB1">
      <w:pPr>
        <w:rPr>
          <w:sz w:val="22"/>
          <w:lang w:val="ru-RU"/>
        </w:rPr>
      </w:pPr>
    </w:p>
    <w:p w:rsidR="00BE122F" w:rsidRPr="00B74A55" w:rsidRDefault="00BE122F" w:rsidP="00E95FB1">
      <w:pPr>
        <w:rPr>
          <w:sz w:val="22"/>
          <w:lang w:val="ru-RU"/>
        </w:rPr>
      </w:pPr>
    </w:p>
    <w:p w:rsidR="00BE122F" w:rsidRPr="00B74A55" w:rsidRDefault="00BE122F" w:rsidP="00E95FB1">
      <w:pPr>
        <w:rPr>
          <w:sz w:val="22"/>
          <w:lang w:val="ru-RU"/>
        </w:rPr>
      </w:pPr>
    </w:p>
    <w:tbl>
      <w:tblPr>
        <w:tblStyle w:val="af"/>
        <w:tblW w:w="9923" w:type="dxa"/>
        <w:tblInd w:w="-176" w:type="dxa"/>
        <w:tblLayout w:type="fixed"/>
        <w:tblLook w:val="04A0" w:firstRow="1" w:lastRow="0" w:firstColumn="1" w:lastColumn="0" w:noHBand="0" w:noVBand="1"/>
      </w:tblPr>
      <w:tblGrid>
        <w:gridCol w:w="2978"/>
        <w:gridCol w:w="1275"/>
        <w:gridCol w:w="1276"/>
        <w:gridCol w:w="1276"/>
        <w:gridCol w:w="425"/>
        <w:gridCol w:w="1701"/>
        <w:gridCol w:w="992"/>
      </w:tblGrid>
      <w:tr w:rsidR="00BE7B50" w:rsidRPr="00B74A55" w:rsidTr="00F34B87">
        <w:tc>
          <w:tcPr>
            <w:tcW w:w="2978" w:type="dxa"/>
            <w:shd w:val="clear" w:color="auto" w:fill="C6D9F1" w:themeFill="text2" w:themeFillTint="33"/>
          </w:tcPr>
          <w:p w:rsidR="00BE7B50" w:rsidRPr="00B74A55" w:rsidRDefault="00BE7B50" w:rsidP="00BE7B50">
            <w:pPr>
              <w:pStyle w:val="a7"/>
              <w:ind w:left="0"/>
              <w:rPr>
                <w:b/>
                <w:sz w:val="22"/>
              </w:rPr>
            </w:pPr>
            <w:r w:rsidRPr="00B74A55">
              <w:rPr>
                <w:b/>
                <w:sz w:val="22"/>
              </w:rPr>
              <w:t xml:space="preserve">Оперативна </w:t>
            </w:r>
            <w:proofErr w:type="spellStart"/>
            <w:r w:rsidRPr="00B74A55">
              <w:rPr>
                <w:b/>
                <w:sz w:val="22"/>
              </w:rPr>
              <w:t>ціль</w:t>
            </w:r>
            <w:proofErr w:type="spellEnd"/>
            <w:r w:rsidRPr="00B74A55">
              <w:rPr>
                <w:b/>
                <w:sz w:val="22"/>
              </w:rPr>
              <w:t>/</w:t>
            </w:r>
            <w:proofErr w:type="spellStart"/>
            <w:r w:rsidRPr="00B74A55">
              <w:rPr>
                <w:b/>
                <w:sz w:val="22"/>
              </w:rPr>
              <w:t>завдання</w:t>
            </w:r>
            <w:proofErr w:type="spellEnd"/>
          </w:p>
        </w:tc>
        <w:tc>
          <w:tcPr>
            <w:tcW w:w="6945" w:type="dxa"/>
            <w:gridSpan w:val="6"/>
            <w:shd w:val="clear" w:color="auto" w:fill="auto"/>
          </w:tcPr>
          <w:p w:rsidR="00BE7B50" w:rsidRPr="00B74A55" w:rsidRDefault="00BE7B50" w:rsidP="00BE7B50">
            <w:pPr>
              <w:pStyle w:val="a7"/>
              <w:ind w:left="0"/>
              <w:rPr>
                <w:sz w:val="22"/>
              </w:rPr>
            </w:pPr>
            <w:proofErr w:type="spellStart"/>
            <w:r w:rsidRPr="00B74A55">
              <w:rPr>
                <w:sz w:val="22"/>
              </w:rPr>
              <w:t>Людський</w:t>
            </w:r>
            <w:proofErr w:type="spellEnd"/>
            <w:r w:rsidRPr="00B74A55">
              <w:rPr>
                <w:sz w:val="22"/>
              </w:rPr>
              <w:t xml:space="preserve"> </w:t>
            </w:r>
            <w:proofErr w:type="spellStart"/>
            <w:r w:rsidRPr="00B74A55">
              <w:rPr>
                <w:sz w:val="22"/>
              </w:rPr>
              <w:t>розвиток</w:t>
            </w:r>
            <w:proofErr w:type="spellEnd"/>
            <w:r w:rsidRPr="00B74A55">
              <w:rPr>
                <w:sz w:val="22"/>
              </w:rPr>
              <w:t xml:space="preserve"> через </w:t>
            </w:r>
            <w:proofErr w:type="spellStart"/>
            <w:r w:rsidRPr="00B74A55">
              <w:rPr>
                <w:sz w:val="22"/>
              </w:rPr>
              <w:t>інновації</w:t>
            </w:r>
            <w:proofErr w:type="spellEnd"/>
            <w:r w:rsidRPr="00B74A55">
              <w:rPr>
                <w:sz w:val="22"/>
              </w:rPr>
              <w:t xml:space="preserve"> </w:t>
            </w:r>
            <w:proofErr w:type="spellStart"/>
            <w:r w:rsidRPr="00B74A55">
              <w:rPr>
                <w:sz w:val="22"/>
              </w:rPr>
              <w:t>управління</w:t>
            </w:r>
            <w:proofErr w:type="spellEnd"/>
            <w:r w:rsidRPr="00B74A55">
              <w:rPr>
                <w:sz w:val="22"/>
              </w:rPr>
              <w:t xml:space="preserve"> та </w:t>
            </w:r>
            <w:proofErr w:type="spellStart"/>
            <w:r w:rsidRPr="00B74A55">
              <w:rPr>
                <w:sz w:val="22"/>
              </w:rPr>
              <w:t>довіру</w:t>
            </w:r>
            <w:proofErr w:type="spellEnd"/>
            <w:r w:rsidRPr="00B74A55">
              <w:rPr>
                <w:sz w:val="22"/>
              </w:rPr>
              <w:t xml:space="preserve"> до </w:t>
            </w:r>
            <w:proofErr w:type="spellStart"/>
            <w:r w:rsidRPr="00B74A55">
              <w:rPr>
                <w:sz w:val="22"/>
              </w:rPr>
              <w:t>влади</w:t>
            </w:r>
            <w:proofErr w:type="spellEnd"/>
            <w:r w:rsidRPr="00B74A55">
              <w:rPr>
                <w:sz w:val="22"/>
              </w:rPr>
              <w:t xml:space="preserve">. </w:t>
            </w:r>
            <w:proofErr w:type="spellStart"/>
            <w:r w:rsidRPr="00B74A55">
              <w:rPr>
                <w:sz w:val="22"/>
              </w:rPr>
              <w:t>Формування</w:t>
            </w:r>
            <w:proofErr w:type="spellEnd"/>
            <w:r w:rsidRPr="00B74A55">
              <w:rPr>
                <w:sz w:val="22"/>
              </w:rPr>
              <w:t xml:space="preserve"> </w:t>
            </w:r>
            <w:proofErr w:type="spellStart"/>
            <w:r w:rsidRPr="00B74A55">
              <w:rPr>
                <w:sz w:val="22"/>
              </w:rPr>
              <w:t>сучасного</w:t>
            </w:r>
            <w:proofErr w:type="spellEnd"/>
            <w:r w:rsidRPr="00B74A55">
              <w:rPr>
                <w:sz w:val="22"/>
              </w:rPr>
              <w:t xml:space="preserve"> </w:t>
            </w:r>
            <w:proofErr w:type="spellStart"/>
            <w:r w:rsidRPr="00B74A55">
              <w:rPr>
                <w:sz w:val="22"/>
              </w:rPr>
              <w:t>інклюзивного</w:t>
            </w:r>
            <w:proofErr w:type="spellEnd"/>
            <w:r w:rsidRPr="00B74A55">
              <w:rPr>
                <w:sz w:val="22"/>
              </w:rPr>
              <w:t xml:space="preserve"> </w:t>
            </w:r>
            <w:proofErr w:type="spellStart"/>
            <w:r w:rsidRPr="00B74A55">
              <w:rPr>
                <w:sz w:val="22"/>
              </w:rPr>
              <w:t>освітньо</w:t>
            </w:r>
            <w:proofErr w:type="spellEnd"/>
            <w:r w:rsidRPr="00B74A55">
              <w:rPr>
                <w:sz w:val="22"/>
              </w:rPr>
              <w:t xml:space="preserve">-культурного та спортивного простору для </w:t>
            </w:r>
            <w:proofErr w:type="spellStart"/>
            <w:r w:rsidRPr="00B74A55">
              <w:rPr>
                <w:sz w:val="22"/>
              </w:rPr>
              <w:t>розвитку</w:t>
            </w:r>
            <w:proofErr w:type="spellEnd"/>
          </w:p>
        </w:tc>
      </w:tr>
      <w:tr w:rsidR="00BE7B50" w:rsidRPr="00B74A55" w:rsidTr="00F34B87">
        <w:tc>
          <w:tcPr>
            <w:tcW w:w="2978" w:type="dxa"/>
            <w:shd w:val="clear" w:color="auto" w:fill="C6D9F1" w:themeFill="text2" w:themeFillTint="33"/>
          </w:tcPr>
          <w:p w:rsidR="00BE7B50" w:rsidRPr="00B74A55" w:rsidRDefault="00BE7B50" w:rsidP="00BE7B50">
            <w:pPr>
              <w:pStyle w:val="a7"/>
              <w:ind w:left="0"/>
              <w:rPr>
                <w:b/>
                <w:sz w:val="22"/>
              </w:rPr>
            </w:pPr>
            <w:proofErr w:type="spellStart"/>
            <w:r w:rsidRPr="00B74A55">
              <w:rPr>
                <w:b/>
                <w:sz w:val="22"/>
              </w:rPr>
              <w:t>Назва</w:t>
            </w:r>
            <w:proofErr w:type="spellEnd"/>
            <w:r w:rsidRPr="00B74A55">
              <w:rPr>
                <w:b/>
                <w:sz w:val="22"/>
              </w:rPr>
              <w:t xml:space="preserve"> проекту:</w:t>
            </w:r>
          </w:p>
        </w:tc>
        <w:tc>
          <w:tcPr>
            <w:tcW w:w="6945" w:type="dxa"/>
            <w:gridSpan w:val="6"/>
          </w:tcPr>
          <w:p w:rsidR="00BE7B50" w:rsidRPr="00B74A55" w:rsidRDefault="00BE7B50" w:rsidP="00BE7B50">
            <w:pPr>
              <w:pStyle w:val="a7"/>
              <w:ind w:left="0"/>
              <w:rPr>
                <w:sz w:val="22"/>
              </w:rPr>
            </w:pPr>
            <w:proofErr w:type="spellStart"/>
            <w:r w:rsidRPr="00B74A55">
              <w:rPr>
                <w:sz w:val="22"/>
              </w:rPr>
              <w:t>Відновлення</w:t>
            </w:r>
            <w:proofErr w:type="spellEnd"/>
            <w:r w:rsidRPr="00B74A55">
              <w:rPr>
                <w:sz w:val="22"/>
              </w:rPr>
              <w:t xml:space="preserve"> </w:t>
            </w:r>
            <w:proofErr w:type="spellStart"/>
            <w:r w:rsidRPr="00B74A55">
              <w:rPr>
                <w:sz w:val="22"/>
              </w:rPr>
              <w:t>матеріально-технічної</w:t>
            </w:r>
            <w:proofErr w:type="spellEnd"/>
            <w:r w:rsidRPr="00B74A55">
              <w:rPr>
                <w:sz w:val="22"/>
              </w:rPr>
              <w:t xml:space="preserve"> </w:t>
            </w:r>
            <w:proofErr w:type="spellStart"/>
            <w:r w:rsidRPr="00B74A55">
              <w:rPr>
                <w:sz w:val="22"/>
              </w:rPr>
              <w:t>бази</w:t>
            </w:r>
            <w:proofErr w:type="spellEnd"/>
            <w:r w:rsidRPr="00B74A55">
              <w:rPr>
                <w:sz w:val="22"/>
              </w:rPr>
              <w:t xml:space="preserve"> </w:t>
            </w:r>
            <w:proofErr w:type="spellStart"/>
            <w:r w:rsidRPr="00B74A55">
              <w:rPr>
                <w:sz w:val="22"/>
              </w:rPr>
              <w:t>Гімназії</w:t>
            </w:r>
            <w:proofErr w:type="spellEnd"/>
            <w:r w:rsidRPr="00B74A55">
              <w:rPr>
                <w:sz w:val="22"/>
              </w:rPr>
              <w:t xml:space="preserve"> № 12 </w:t>
            </w:r>
            <w:proofErr w:type="spellStart"/>
            <w:r w:rsidRPr="00B74A55">
              <w:rPr>
                <w:sz w:val="22"/>
              </w:rPr>
              <w:t>міста</w:t>
            </w:r>
            <w:proofErr w:type="spellEnd"/>
            <w:r w:rsidRPr="00B74A55">
              <w:rPr>
                <w:sz w:val="22"/>
              </w:rPr>
              <w:t xml:space="preserve"> </w:t>
            </w:r>
            <w:proofErr w:type="spellStart"/>
            <w:r w:rsidRPr="00B74A55">
              <w:rPr>
                <w:sz w:val="22"/>
              </w:rPr>
              <w:t>Сєвєродонецька</w:t>
            </w:r>
            <w:proofErr w:type="spellEnd"/>
            <w:r w:rsidRPr="00B74A55">
              <w:rPr>
                <w:sz w:val="22"/>
              </w:rPr>
              <w:t xml:space="preserve"> </w:t>
            </w:r>
            <w:proofErr w:type="spellStart"/>
            <w:r w:rsidRPr="00B74A55">
              <w:rPr>
                <w:sz w:val="22"/>
              </w:rPr>
              <w:t>Луганської</w:t>
            </w:r>
            <w:proofErr w:type="spellEnd"/>
            <w:r w:rsidRPr="00B74A55">
              <w:rPr>
                <w:sz w:val="22"/>
              </w:rPr>
              <w:t xml:space="preserve"> </w:t>
            </w:r>
            <w:proofErr w:type="spellStart"/>
            <w:r w:rsidRPr="00B74A55">
              <w:rPr>
                <w:sz w:val="22"/>
              </w:rPr>
              <w:t>області</w:t>
            </w:r>
            <w:proofErr w:type="spellEnd"/>
            <w:r w:rsidRPr="00B74A55">
              <w:rPr>
                <w:sz w:val="22"/>
              </w:rPr>
              <w:t xml:space="preserve">, </w:t>
            </w:r>
            <w:proofErr w:type="spellStart"/>
            <w:r w:rsidRPr="00B74A55">
              <w:rPr>
                <w:sz w:val="22"/>
              </w:rPr>
              <w:t>розташованої</w:t>
            </w:r>
            <w:proofErr w:type="spellEnd"/>
            <w:r w:rsidRPr="00B74A55">
              <w:rPr>
                <w:sz w:val="22"/>
              </w:rPr>
              <w:t xml:space="preserve"> за </w:t>
            </w:r>
            <w:proofErr w:type="spellStart"/>
            <w:r w:rsidRPr="00B74A55">
              <w:rPr>
                <w:sz w:val="22"/>
              </w:rPr>
              <w:t>адресою</w:t>
            </w:r>
            <w:proofErr w:type="spellEnd"/>
            <w:r w:rsidRPr="00B74A55">
              <w:rPr>
                <w:sz w:val="22"/>
              </w:rPr>
              <w:t xml:space="preserve"> </w:t>
            </w:r>
            <w:proofErr w:type="spellStart"/>
            <w:r w:rsidRPr="00B74A55">
              <w:rPr>
                <w:sz w:val="22"/>
              </w:rPr>
              <w:t>Україна</w:t>
            </w:r>
            <w:proofErr w:type="spellEnd"/>
            <w:r w:rsidRPr="00B74A55">
              <w:rPr>
                <w:sz w:val="22"/>
              </w:rPr>
              <w:t xml:space="preserve">, </w:t>
            </w:r>
            <w:proofErr w:type="spellStart"/>
            <w:r w:rsidRPr="00B74A55">
              <w:rPr>
                <w:sz w:val="22"/>
              </w:rPr>
              <w:t>Луганська</w:t>
            </w:r>
            <w:proofErr w:type="spellEnd"/>
            <w:r w:rsidRPr="00B74A55">
              <w:rPr>
                <w:sz w:val="22"/>
              </w:rPr>
              <w:t xml:space="preserve"> область, </w:t>
            </w:r>
            <w:proofErr w:type="spellStart"/>
            <w:r w:rsidRPr="00B74A55">
              <w:rPr>
                <w:sz w:val="22"/>
              </w:rPr>
              <w:t>Сєвєродонецький</w:t>
            </w:r>
            <w:proofErr w:type="spellEnd"/>
            <w:r w:rsidRPr="00B74A55">
              <w:rPr>
                <w:sz w:val="22"/>
              </w:rPr>
              <w:t xml:space="preserve"> район, </w:t>
            </w:r>
            <w:proofErr w:type="spellStart"/>
            <w:r w:rsidRPr="00B74A55">
              <w:rPr>
                <w:sz w:val="22"/>
              </w:rPr>
              <w:t>місто</w:t>
            </w:r>
            <w:proofErr w:type="spellEnd"/>
            <w:r w:rsidRPr="00B74A55">
              <w:rPr>
                <w:sz w:val="22"/>
              </w:rPr>
              <w:t xml:space="preserve"> </w:t>
            </w:r>
            <w:proofErr w:type="spellStart"/>
            <w:r w:rsidRPr="00B74A55">
              <w:rPr>
                <w:sz w:val="22"/>
              </w:rPr>
              <w:t>Сєвєродонецьк</w:t>
            </w:r>
            <w:proofErr w:type="spellEnd"/>
            <w:r w:rsidRPr="00B74A55">
              <w:rPr>
                <w:sz w:val="22"/>
              </w:rPr>
              <w:t xml:space="preserve">, проспект </w:t>
            </w:r>
            <w:proofErr w:type="spellStart"/>
            <w:r w:rsidRPr="00B74A55">
              <w:rPr>
                <w:sz w:val="22"/>
              </w:rPr>
              <w:t>Гвардійський</w:t>
            </w:r>
            <w:proofErr w:type="spellEnd"/>
            <w:r w:rsidRPr="00B74A55">
              <w:rPr>
                <w:sz w:val="22"/>
              </w:rPr>
              <w:t xml:space="preserve">, </w:t>
            </w:r>
            <w:proofErr w:type="spellStart"/>
            <w:r w:rsidRPr="00B74A55">
              <w:rPr>
                <w:sz w:val="22"/>
              </w:rPr>
              <w:t>будинок</w:t>
            </w:r>
            <w:proofErr w:type="spellEnd"/>
            <w:r w:rsidRPr="00B74A55">
              <w:rPr>
                <w:sz w:val="22"/>
              </w:rPr>
              <w:t xml:space="preserve"> 9</w:t>
            </w:r>
          </w:p>
        </w:tc>
      </w:tr>
      <w:tr w:rsidR="00BE7B50" w:rsidRPr="00B74A55" w:rsidTr="00F34B87">
        <w:tc>
          <w:tcPr>
            <w:tcW w:w="2978" w:type="dxa"/>
            <w:shd w:val="clear" w:color="auto" w:fill="C6D9F1" w:themeFill="text2" w:themeFillTint="33"/>
          </w:tcPr>
          <w:p w:rsidR="00BE7B50" w:rsidRPr="00B74A55" w:rsidRDefault="00BE7B50" w:rsidP="00BE7B50">
            <w:pPr>
              <w:rPr>
                <w:b/>
                <w:sz w:val="22"/>
              </w:rPr>
            </w:pPr>
            <w:proofErr w:type="spellStart"/>
            <w:r w:rsidRPr="00B74A55">
              <w:rPr>
                <w:b/>
                <w:sz w:val="22"/>
              </w:rPr>
              <w:t>Ціль</w:t>
            </w:r>
            <w:proofErr w:type="spellEnd"/>
            <w:r w:rsidRPr="00B74A55">
              <w:rPr>
                <w:b/>
                <w:sz w:val="22"/>
              </w:rPr>
              <w:t xml:space="preserve"> проекту</w:t>
            </w:r>
          </w:p>
        </w:tc>
        <w:tc>
          <w:tcPr>
            <w:tcW w:w="6945" w:type="dxa"/>
            <w:gridSpan w:val="6"/>
          </w:tcPr>
          <w:p w:rsidR="00BE7B50" w:rsidRPr="00B74A55" w:rsidRDefault="00BE7B50" w:rsidP="00BE7B50">
            <w:pPr>
              <w:pStyle w:val="a7"/>
              <w:ind w:left="0"/>
              <w:rPr>
                <w:sz w:val="22"/>
              </w:rPr>
            </w:pPr>
            <w:proofErr w:type="spellStart"/>
            <w:r w:rsidRPr="00B74A55">
              <w:rPr>
                <w:sz w:val="22"/>
              </w:rPr>
              <w:t>Відновити</w:t>
            </w:r>
            <w:proofErr w:type="spellEnd"/>
            <w:r w:rsidRPr="00B74A55">
              <w:rPr>
                <w:sz w:val="22"/>
              </w:rPr>
              <w:t xml:space="preserve"> та </w:t>
            </w:r>
            <w:proofErr w:type="spellStart"/>
            <w:r w:rsidRPr="00B74A55">
              <w:rPr>
                <w:sz w:val="22"/>
              </w:rPr>
              <w:t>покращити</w:t>
            </w:r>
            <w:proofErr w:type="spellEnd"/>
            <w:r w:rsidRPr="00B74A55">
              <w:rPr>
                <w:sz w:val="22"/>
              </w:rPr>
              <w:t xml:space="preserve"> роботу закладу </w:t>
            </w:r>
            <w:proofErr w:type="spellStart"/>
            <w:r w:rsidRPr="00B74A55">
              <w:rPr>
                <w:sz w:val="22"/>
              </w:rPr>
              <w:t>освіти</w:t>
            </w:r>
            <w:proofErr w:type="spellEnd"/>
            <w:r w:rsidRPr="00B74A55">
              <w:rPr>
                <w:sz w:val="22"/>
              </w:rPr>
              <w:t xml:space="preserve"> для </w:t>
            </w:r>
            <w:proofErr w:type="spellStart"/>
            <w:r w:rsidRPr="00B74A55">
              <w:rPr>
                <w:sz w:val="22"/>
              </w:rPr>
              <w:t>надання</w:t>
            </w:r>
            <w:proofErr w:type="spellEnd"/>
            <w:r w:rsidRPr="00B74A55">
              <w:rPr>
                <w:sz w:val="22"/>
              </w:rPr>
              <w:t xml:space="preserve"> </w:t>
            </w:r>
            <w:proofErr w:type="spellStart"/>
            <w:r w:rsidRPr="00B74A55">
              <w:rPr>
                <w:sz w:val="22"/>
              </w:rPr>
              <w:t>освітніх</w:t>
            </w:r>
            <w:proofErr w:type="spellEnd"/>
            <w:r w:rsidRPr="00B74A55">
              <w:rPr>
                <w:sz w:val="22"/>
              </w:rPr>
              <w:t xml:space="preserve"> </w:t>
            </w:r>
            <w:proofErr w:type="spellStart"/>
            <w:r w:rsidRPr="00B74A55">
              <w:rPr>
                <w:sz w:val="22"/>
              </w:rPr>
              <w:t>послуг</w:t>
            </w:r>
            <w:proofErr w:type="spellEnd"/>
            <w:r w:rsidRPr="00B74A55">
              <w:rPr>
                <w:sz w:val="22"/>
              </w:rPr>
              <w:t xml:space="preserve">, </w:t>
            </w:r>
            <w:proofErr w:type="spellStart"/>
            <w:r w:rsidRPr="00B74A55">
              <w:rPr>
                <w:sz w:val="22"/>
              </w:rPr>
              <w:t>забезпечення</w:t>
            </w:r>
            <w:proofErr w:type="spellEnd"/>
            <w:r w:rsidRPr="00B74A55">
              <w:rPr>
                <w:sz w:val="22"/>
              </w:rPr>
              <w:t xml:space="preserve"> </w:t>
            </w:r>
            <w:proofErr w:type="spellStart"/>
            <w:r w:rsidRPr="00B74A55">
              <w:rPr>
                <w:sz w:val="22"/>
              </w:rPr>
              <w:t>реалізації</w:t>
            </w:r>
            <w:proofErr w:type="spellEnd"/>
            <w:r w:rsidRPr="00B74A55">
              <w:rPr>
                <w:sz w:val="22"/>
              </w:rPr>
              <w:t xml:space="preserve"> права </w:t>
            </w:r>
            <w:proofErr w:type="spellStart"/>
            <w:r w:rsidRPr="00B74A55">
              <w:rPr>
                <w:sz w:val="22"/>
              </w:rPr>
              <w:t>громадян</w:t>
            </w:r>
            <w:proofErr w:type="spellEnd"/>
            <w:r w:rsidRPr="00B74A55">
              <w:rPr>
                <w:sz w:val="22"/>
              </w:rPr>
              <w:t xml:space="preserve"> на </w:t>
            </w:r>
            <w:proofErr w:type="spellStart"/>
            <w:r w:rsidRPr="00B74A55">
              <w:rPr>
                <w:sz w:val="22"/>
              </w:rPr>
              <w:t>здобуття</w:t>
            </w:r>
            <w:proofErr w:type="spellEnd"/>
            <w:r w:rsidRPr="00B74A55">
              <w:rPr>
                <w:sz w:val="22"/>
              </w:rPr>
              <w:t xml:space="preserve"> </w:t>
            </w:r>
            <w:proofErr w:type="spellStart"/>
            <w:r w:rsidRPr="00B74A55">
              <w:rPr>
                <w:sz w:val="22"/>
              </w:rPr>
              <w:t>освіти</w:t>
            </w:r>
            <w:proofErr w:type="spellEnd"/>
            <w:r w:rsidRPr="00B74A55">
              <w:rPr>
                <w:sz w:val="22"/>
              </w:rPr>
              <w:t xml:space="preserve"> та </w:t>
            </w:r>
            <w:proofErr w:type="spellStart"/>
            <w:r w:rsidRPr="00B74A55">
              <w:rPr>
                <w:sz w:val="22"/>
              </w:rPr>
              <w:t>задоволення</w:t>
            </w:r>
            <w:proofErr w:type="spellEnd"/>
            <w:r w:rsidRPr="00B74A55">
              <w:rPr>
                <w:sz w:val="22"/>
              </w:rPr>
              <w:t xml:space="preserve"> потреб </w:t>
            </w:r>
            <w:proofErr w:type="spellStart"/>
            <w:r w:rsidRPr="00B74A55">
              <w:rPr>
                <w:sz w:val="22"/>
              </w:rPr>
              <w:t>мешканців</w:t>
            </w:r>
            <w:proofErr w:type="spellEnd"/>
            <w:r w:rsidRPr="00B74A55">
              <w:rPr>
                <w:sz w:val="22"/>
              </w:rPr>
              <w:t xml:space="preserve"> </w:t>
            </w:r>
            <w:proofErr w:type="spellStart"/>
            <w:r w:rsidRPr="00B74A55">
              <w:rPr>
                <w:sz w:val="22"/>
              </w:rPr>
              <w:t>Сєвєродонецької</w:t>
            </w:r>
            <w:proofErr w:type="spellEnd"/>
            <w:r w:rsidRPr="00B74A55">
              <w:rPr>
                <w:sz w:val="22"/>
              </w:rPr>
              <w:t xml:space="preserve"> </w:t>
            </w:r>
            <w:proofErr w:type="spellStart"/>
            <w:r w:rsidRPr="00B74A55">
              <w:rPr>
                <w:sz w:val="22"/>
              </w:rPr>
              <w:t>міської</w:t>
            </w:r>
            <w:proofErr w:type="spellEnd"/>
            <w:r w:rsidRPr="00B74A55">
              <w:rPr>
                <w:sz w:val="22"/>
              </w:rPr>
              <w:t xml:space="preserve"> </w:t>
            </w:r>
            <w:proofErr w:type="spellStart"/>
            <w:r w:rsidRPr="00B74A55">
              <w:rPr>
                <w:sz w:val="22"/>
              </w:rPr>
              <w:t>територіальної</w:t>
            </w:r>
            <w:proofErr w:type="spellEnd"/>
            <w:r w:rsidRPr="00B74A55">
              <w:rPr>
                <w:sz w:val="22"/>
              </w:rPr>
              <w:t xml:space="preserve"> </w:t>
            </w:r>
            <w:proofErr w:type="spellStart"/>
            <w:r w:rsidRPr="00B74A55">
              <w:rPr>
                <w:sz w:val="22"/>
              </w:rPr>
              <w:t>громади</w:t>
            </w:r>
            <w:proofErr w:type="spellEnd"/>
            <w:r w:rsidRPr="00B74A55">
              <w:rPr>
                <w:sz w:val="22"/>
              </w:rPr>
              <w:t xml:space="preserve"> у </w:t>
            </w:r>
            <w:proofErr w:type="spellStart"/>
            <w:r w:rsidRPr="00B74A55">
              <w:rPr>
                <w:sz w:val="22"/>
              </w:rPr>
              <w:t>освітніх</w:t>
            </w:r>
            <w:proofErr w:type="spellEnd"/>
            <w:r w:rsidRPr="00B74A55">
              <w:rPr>
                <w:sz w:val="22"/>
              </w:rPr>
              <w:t xml:space="preserve"> </w:t>
            </w:r>
            <w:proofErr w:type="spellStart"/>
            <w:r w:rsidRPr="00B74A55">
              <w:rPr>
                <w:sz w:val="22"/>
              </w:rPr>
              <w:t>послугах</w:t>
            </w:r>
            <w:proofErr w:type="spellEnd"/>
          </w:p>
        </w:tc>
      </w:tr>
      <w:tr w:rsidR="00BE7B50" w:rsidRPr="00B74A55" w:rsidTr="00F34B87">
        <w:tc>
          <w:tcPr>
            <w:tcW w:w="2978" w:type="dxa"/>
            <w:shd w:val="clear" w:color="auto" w:fill="C6D9F1" w:themeFill="text2" w:themeFillTint="33"/>
          </w:tcPr>
          <w:p w:rsidR="00BE7B50" w:rsidRPr="00B74A55" w:rsidRDefault="00BE7B50" w:rsidP="00BE7B50">
            <w:pPr>
              <w:pStyle w:val="a7"/>
              <w:ind w:left="0"/>
              <w:rPr>
                <w:b/>
                <w:sz w:val="22"/>
              </w:rPr>
            </w:pPr>
            <w:proofErr w:type="spellStart"/>
            <w:r w:rsidRPr="00B74A55">
              <w:rPr>
                <w:b/>
                <w:sz w:val="22"/>
              </w:rPr>
              <w:t>Територія</w:t>
            </w:r>
            <w:proofErr w:type="spellEnd"/>
            <w:r w:rsidRPr="00B74A55">
              <w:rPr>
                <w:b/>
                <w:sz w:val="22"/>
              </w:rPr>
              <w:t xml:space="preserve">, </w:t>
            </w:r>
            <w:proofErr w:type="gramStart"/>
            <w:r w:rsidRPr="00B74A55">
              <w:rPr>
                <w:b/>
                <w:sz w:val="22"/>
              </w:rPr>
              <w:t>на яку</w:t>
            </w:r>
            <w:proofErr w:type="gramEnd"/>
            <w:r w:rsidRPr="00B74A55">
              <w:rPr>
                <w:b/>
                <w:sz w:val="22"/>
              </w:rPr>
              <w:t xml:space="preserve"> </w:t>
            </w:r>
            <w:proofErr w:type="spellStart"/>
            <w:r w:rsidRPr="00B74A55">
              <w:rPr>
                <w:b/>
                <w:sz w:val="22"/>
              </w:rPr>
              <w:t>матиме</w:t>
            </w:r>
            <w:proofErr w:type="spellEnd"/>
            <w:r w:rsidRPr="00B74A55">
              <w:rPr>
                <w:b/>
                <w:sz w:val="22"/>
              </w:rPr>
              <w:t xml:space="preserve"> </w:t>
            </w:r>
            <w:proofErr w:type="spellStart"/>
            <w:r w:rsidRPr="00B74A55">
              <w:rPr>
                <w:b/>
                <w:sz w:val="22"/>
              </w:rPr>
              <w:t>вплив</w:t>
            </w:r>
            <w:proofErr w:type="spellEnd"/>
            <w:r w:rsidRPr="00B74A55">
              <w:rPr>
                <w:b/>
                <w:sz w:val="22"/>
              </w:rPr>
              <w:t xml:space="preserve"> </w:t>
            </w:r>
            <w:proofErr w:type="spellStart"/>
            <w:r w:rsidRPr="00B74A55">
              <w:rPr>
                <w:b/>
                <w:sz w:val="22"/>
              </w:rPr>
              <w:t>реалізація</w:t>
            </w:r>
            <w:proofErr w:type="spellEnd"/>
            <w:r w:rsidRPr="00B74A55">
              <w:rPr>
                <w:b/>
                <w:sz w:val="22"/>
              </w:rPr>
              <w:t xml:space="preserve"> проекту</w:t>
            </w:r>
          </w:p>
        </w:tc>
        <w:tc>
          <w:tcPr>
            <w:tcW w:w="6945" w:type="dxa"/>
            <w:gridSpan w:val="6"/>
          </w:tcPr>
          <w:p w:rsidR="00BE7B50" w:rsidRPr="00B74A55" w:rsidRDefault="00BE7B50" w:rsidP="00BE7B50">
            <w:pPr>
              <w:pStyle w:val="a7"/>
              <w:ind w:left="0"/>
              <w:rPr>
                <w:sz w:val="22"/>
              </w:rPr>
            </w:pPr>
            <w:proofErr w:type="spellStart"/>
            <w:r w:rsidRPr="00B74A55">
              <w:rPr>
                <w:sz w:val="22"/>
              </w:rPr>
              <w:t>Сєвєродонецька</w:t>
            </w:r>
            <w:proofErr w:type="spellEnd"/>
            <w:r w:rsidRPr="00B74A55">
              <w:rPr>
                <w:sz w:val="22"/>
              </w:rPr>
              <w:t xml:space="preserve"> </w:t>
            </w:r>
            <w:proofErr w:type="spellStart"/>
            <w:r w:rsidRPr="00B74A55">
              <w:rPr>
                <w:sz w:val="22"/>
              </w:rPr>
              <w:t>міська</w:t>
            </w:r>
            <w:proofErr w:type="spellEnd"/>
            <w:r w:rsidRPr="00B74A55">
              <w:rPr>
                <w:sz w:val="22"/>
              </w:rPr>
              <w:t xml:space="preserve"> </w:t>
            </w:r>
            <w:proofErr w:type="spellStart"/>
            <w:r w:rsidRPr="00B74A55">
              <w:rPr>
                <w:sz w:val="22"/>
              </w:rPr>
              <w:t>територіальна</w:t>
            </w:r>
            <w:proofErr w:type="spellEnd"/>
            <w:r w:rsidRPr="00B74A55">
              <w:rPr>
                <w:sz w:val="22"/>
              </w:rPr>
              <w:t xml:space="preserve"> громада</w:t>
            </w:r>
          </w:p>
        </w:tc>
      </w:tr>
      <w:tr w:rsidR="00BE7B50" w:rsidRPr="00B74A55" w:rsidTr="00F34B87">
        <w:tc>
          <w:tcPr>
            <w:tcW w:w="2978" w:type="dxa"/>
            <w:shd w:val="clear" w:color="auto" w:fill="C6D9F1" w:themeFill="text2" w:themeFillTint="33"/>
          </w:tcPr>
          <w:p w:rsidR="00BE7B50" w:rsidRPr="00B74A55" w:rsidRDefault="00BE7B50" w:rsidP="00BE7B50">
            <w:pPr>
              <w:pStyle w:val="a7"/>
              <w:ind w:left="0"/>
              <w:rPr>
                <w:b/>
                <w:sz w:val="22"/>
              </w:rPr>
            </w:pPr>
            <w:proofErr w:type="spellStart"/>
            <w:r w:rsidRPr="00B74A55">
              <w:rPr>
                <w:b/>
                <w:sz w:val="22"/>
              </w:rPr>
              <w:t>Чисельність</w:t>
            </w:r>
            <w:proofErr w:type="spellEnd"/>
            <w:r w:rsidRPr="00B74A55">
              <w:rPr>
                <w:b/>
                <w:sz w:val="22"/>
              </w:rPr>
              <w:t xml:space="preserve"> </w:t>
            </w:r>
            <w:proofErr w:type="spellStart"/>
            <w:r w:rsidRPr="00B74A55">
              <w:rPr>
                <w:b/>
                <w:sz w:val="22"/>
              </w:rPr>
              <w:t>населення</w:t>
            </w:r>
            <w:proofErr w:type="spellEnd"/>
            <w:r w:rsidRPr="00B74A55">
              <w:rPr>
                <w:b/>
                <w:sz w:val="22"/>
              </w:rPr>
              <w:t xml:space="preserve">, на яке </w:t>
            </w:r>
            <w:proofErr w:type="spellStart"/>
            <w:r w:rsidRPr="00B74A55">
              <w:rPr>
                <w:b/>
                <w:sz w:val="22"/>
              </w:rPr>
              <w:t>матиме</w:t>
            </w:r>
            <w:proofErr w:type="spellEnd"/>
            <w:r w:rsidRPr="00B74A55">
              <w:rPr>
                <w:b/>
                <w:sz w:val="22"/>
              </w:rPr>
              <w:t xml:space="preserve"> </w:t>
            </w:r>
            <w:proofErr w:type="spellStart"/>
            <w:r w:rsidRPr="00B74A55">
              <w:rPr>
                <w:b/>
                <w:sz w:val="22"/>
              </w:rPr>
              <w:t>вплив</w:t>
            </w:r>
            <w:proofErr w:type="spellEnd"/>
            <w:r w:rsidRPr="00B74A55">
              <w:rPr>
                <w:b/>
                <w:sz w:val="22"/>
              </w:rPr>
              <w:t xml:space="preserve"> </w:t>
            </w:r>
            <w:proofErr w:type="spellStart"/>
            <w:r w:rsidRPr="00B74A55">
              <w:rPr>
                <w:b/>
                <w:sz w:val="22"/>
              </w:rPr>
              <w:t>реалізація</w:t>
            </w:r>
            <w:proofErr w:type="spellEnd"/>
            <w:r w:rsidRPr="00B74A55">
              <w:rPr>
                <w:b/>
                <w:sz w:val="22"/>
              </w:rPr>
              <w:t xml:space="preserve"> проекту</w:t>
            </w:r>
          </w:p>
        </w:tc>
        <w:tc>
          <w:tcPr>
            <w:tcW w:w="6945" w:type="dxa"/>
            <w:gridSpan w:val="6"/>
          </w:tcPr>
          <w:p w:rsidR="00BE7B50" w:rsidRPr="00B74A55" w:rsidRDefault="00BE7B50" w:rsidP="00BE7B50">
            <w:pPr>
              <w:pStyle w:val="a7"/>
              <w:ind w:left="0"/>
              <w:rPr>
                <w:sz w:val="22"/>
              </w:rPr>
            </w:pPr>
            <w:r w:rsidRPr="00B74A55">
              <w:rPr>
                <w:sz w:val="22"/>
              </w:rPr>
              <w:t xml:space="preserve"> 70 </w:t>
            </w:r>
            <w:proofErr w:type="gramStart"/>
            <w:r w:rsidRPr="00B74A55">
              <w:rPr>
                <w:sz w:val="22"/>
              </w:rPr>
              <w:t xml:space="preserve">000  </w:t>
            </w:r>
            <w:proofErr w:type="spellStart"/>
            <w:r w:rsidRPr="00B74A55">
              <w:rPr>
                <w:sz w:val="22"/>
              </w:rPr>
              <w:t>осіб</w:t>
            </w:r>
            <w:proofErr w:type="spellEnd"/>
            <w:proofErr w:type="gramEnd"/>
          </w:p>
        </w:tc>
      </w:tr>
      <w:tr w:rsidR="00BE7B50" w:rsidRPr="00B74A55" w:rsidTr="00F34B87">
        <w:tc>
          <w:tcPr>
            <w:tcW w:w="2978" w:type="dxa"/>
            <w:shd w:val="clear" w:color="auto" w:fill="C6D9F1" w:themeFill="text2" w:themeFillTint="33"/>
          </w:tcPr>
          <w:p w:rsidR="00BE7B50" w:rsidRPr="00B74A55" w:rsidRDefault="00BE7B50" w:rsidP="00BE7B50">
            <w:pPr>
              <w:rPr>
                <w:b/>
                <w:sz w:val="22"/>
              </w:rPr>
            </w:pPr>
            <w:proofErr w:type="spellStart"/>
            <w:r w:rsidRPr="00B74A55">
              <w:rPr>
                <w:b/>
                <w:sz w:val="22"/>
              </w:rPr>
              <w:t>Опис</w:t>
            </w:r>
            <w:proofErr w:type="spellEnd"/>
            <w:r w:rsidRPr="00B74A55">
              <w:rPr>
                <w:b/>
                <w:sz w:val="22"/>
              </w:rPr>
              <w:t xml:space="preserve"> </w:t>
            </w:r>
            <w:proofErr w:type="spellStart"/>
            <w:r w:rsidRPr="00B74A55">
              <w:rPr>
                <w:b/>
                <w:sz w:val="22"/>
              </w:rPr>
              <w:t>проблеми</w:t>
            </w:r>
            <w:proofErr w:type="spellEnd"/>
            <w:r w:rsidRPr="00B74A55">
              <w:rPr>
                <w:b/>
                <w:sz w:val="22"/>
              </w:rPr>
              <w:t xml:space="preserve">, на </w:t>
            </w:r>
            <w:proofErr w:type="spellStart"/>
            <w:r w:rsidRPr="00B74A55">
              <w:rPr>
                <w:b/>
                <w:sz w:val="22"/>
              </w:rPr>
              <w:t>вирішення</w:t>
            </w:r>
            <w:proofErr w:type="spellEnd"/>
            <w:r w:rsidRPr="00B74A55">
              <w:rPr>
                <w:b/>
                <w:sz w:val="22"/>
              </w:rPr>
              <w:t xml:space="preserve"> </w:t>
            </w:r>
            <w:proofErr w:type="spellStart"/>
            <w:proofErr w:type="gramStart"/>
            <w:r w:rsidRPr="00B74A55">
              <w:rPr>
                <w:b/>
                <w:sz w:val="22"/>
              </w:rPr>
              <w:t>якої</w:t>
            </w:r>
            <w:proofErr w:type="spellEnd"/>
            <w:r w:rsidRPr="00B74A55">
              <w:rPr>
                <w:b/>
                <w:sz w:val="22"/>
              </w:rPr>
              <w:t xml:space="preserve">  </w:t>
            </w:r>
            <w:proofErr w:type="spellStart"/>
            <w:r w:rsidRPr="00B74A55">
              <w:rPr>
                <w:b/>
                <w:sz w:val="22"/>
              </w:rPr>
              <w:t>спрямований</w:t>
            </w:r>
            <w:proofErr w:type="spellEnd"/>
            <w:proofErr w:type="gramEnd"/>
            <w:r w:rsidRPr="00B74A55">
              <w:rPr>
                <w:b/>
                <w:sz w:val="22"/>
              </w:rPr>
              <w:t xml:space="preserve"> проект</w:t>
            </w:r>
          </w:p>
        </w:tc>
        <w:tc>
          <w:tcPr>
            <w:tcW w:w="6945" w:type="dxa"/>
            <w:gridSpan w:val="6"/>
          </w:tcPr>
          <w:p w:rsidR="00BE7B50" w:rsidRPr="00B74A55" w:rsidRDefault="00BE7B50" w:rsidP="00BE7B50">
            <w:pPr>
              <w:ind w:firstLine="708"/>
              <w:rPr>
                <w:sz w:val="22"/>
              </w:rPr>
            </w:pPr>
            <w:r w:rsidRPr="00B74A55">
              <w:rPr>
                <w:sz w:val="22"/>
              </w:rPr>
              <w:t xml:space="preserve">Через </w:t>
            </w:r>
            <w:proofErr w:type="spellStart"/>
            <w:r w:rsidRPr="00B74A55">
              <w:rPr>
                <w:sz w:val="22"/>
              </w:rPr>
              <w:t>військову</w:t>
            </w:r>
            <w:proofErr w:type="spellEnd"/>
            <w:r w:rsidRPr="00B74A55">
              <w:rPr>
                <w:sz w:val="22"/>
              </w:rPr>
              <w:t xml:space="preserve"> </w:t>
            </w:r>
            <w:proofErr w:type="spellStart"/>
            <w:r w:rsidRPr="00B74A55">
              <w:rPr>
                <w:sz w:val="22"/>
              </w:rPr>
              <w:t>агресію</w:t>
            </w:r>
            <w:proofErr w:type="spellEnd"/>
            <w:r w:rsidRPr="00B74A55">
              <w:rPr>
                <w:sz w:val="22"/>
              </w:rPr>
              <w:t xml:space="preserve"> РФ </w:t>
            </w:r>
            <w:proofErr w:type="spellStart"/>
            <w:r w:rsidRPr="00B74A55">
              <w:rPr>
                <w:sz w:val="22"/>
              </w:rPr>
              <w:t>територія</w:t>
            </w:r>
            <w:proofErr w:type="spellEnd"/>
            <w:r w:rsidRPr="00B74A55">
              <w:rPr>
                <w:sz w:val="22"/>
              </w:rPr>
              <w:t xml:space="preserve"> </w:t>
            </w:r>
            <w:proofErr w:type="spellStart"/>
            <w:r w:rsidRPr="00B74A55">
              <w:rPr>
                <w:sz w:val="22"/>
              </w:rPr>
              <w:t>Сєвєродонецької</w:t>
            </w:r>
            <w:proofErr w:type="spellEnd"/>
            <w:r w:rsidRPr="00B74A55">
              <w:rPr>
                <w:sz w:val="22"/>
              </w:rPr>
              <w:t xml:space="preserve"> </w:t>
            </w:r>
            <w:proofErr w:type="spellStart"/>
            <w:r w:rsidRPr="00B74A55">
              <w:rPr>
                <w:sz w:val="22"/>
              </w:rPr>
              <w:t>міської</w:t>
            </w:r>
            <w:proofErr w:type="spellEnd"/>
            <w:r w:rsidRPr="00B74A55">
              <w:rPr>
                <w:sz w:val="22"/>
              </w:rPr>
              <w:t xml:space="preserve"> </w:t>
            </w:r>
            <w:proofErr w:type="spellStart"/>
            <w:r w:rsidRPr="00B74A55">
              <w:rPr>
                <w:sz w:val="22"/>
              </w:rPr>
              <w:t>територіальної</w:t>
            </w:r>
            <w:proofErr w:type="spellEnd"/>
            <w:r w:rsidRPr="00B74A55">
              <w:rPr>
                <w:sz w:val="22"/>
              </w:rPr>
              <w:t xml:space="preserve"> </w:t>
            </w:r>
            <w:proofErr w:type="spellStart"/>
            <w:r w:rsidRPr="00B74A55">
              <w:rPr>
                <w:sz w:val="22"/>
              </w:rPr>
              <w:t>громади</w:t>
            </w:r>
            <w:proofErr w:type="spellEnd"/>
            <w:r w:rsidRPr="00B74A55">
              <w:rPr>
                <w:sz w:val="22"/>
              </w:rPr>
              <w:t xml:space="preserve"> </w:t>
            </w:r>
            <w:proofErr w:type="spellStart"/>
            <w:r w:rsidRPr="00B74A55">
              <w:rPr>
                <w:sz w:val="22"/>
              </w:rPr>
              <w:t>зазнала</w:t>
            </w:r>
            <w:proofErr w:type="spellEnd"/>
            <w:r w:rsidRPr="00B74A55">
              <w:rPr>
                <w:sz w:val="22"/>
              </w:rPr>
              <w:t xml:space="preserve"> </w:t>
            </w:r>
            <w:proofErr w:type="spellStart"/>
            <w:r w:rsidRPr="00B74A55">
              <w:rPr>
                <w:sz w:val="22"/>
              </w:rPr>
              <w:t>значних</w:t>
            </w:r>
            <w:proofErr w:type="spellEnd"/>
            <w:r w:rsidRPr="00B74A55">
              <w:rPr>
                <w:sz w:val="22"/>
              </w:rPr>
              <w:t xml:space="preserve"> </w:t>
            </w:r>
            <w:proofErr w:type="spellStart"/>
            <w:r w:rsidRPr="00B74A55">
              <w:rPr>
                <w:sz w:val="22"/>
              </w:rPr>
              <w:t>пошкоджень</w:t>
            </w:r>
            <w:proofErr w:type="spellEnd"/>
            <w:r w:rsidRPr="00B74A55">
              <w:rPr>
                <w:sz w:val="22"/>
              </w:rPr>
              <w:t xml:space="preserve">. Не </w:t>
            </w:r>
            <w:proofErr w:type="spellStart"/>
            <w:r w:rsidRPr="00B74A55">
              <w:rPr>
                <w:sz w:val="22"/>
              </w:rPr>
              <w:t>оминуло</w:t>
            </w:r>
            <w:proofErr w:type="spellEnd"/>
            <w:r w:rsidRPr="00B74A55">
              <w:rPr>
                <w:sz w:val="22"/>
              </w:rPr>
              <w:t xml:space="preserve"> це і </w:t>
            </w:r>
            <w:proofErr w:type="spellStart"/>
            <w:r w:rsidRPr="00B74A55">
              <w:rPr>
                <w:sz w:val="22"/>
              </w:rPr>
              <w:t>Гімназію</w:t>
            </w:r>
            <w:proofErr w:type="spellEnd"/>
            <w:r w:rsidRPr="00B74A55">
              <w:rPr>
                <w:sz w:val="22"/>
              </w:rPr>
              <w:t xml:space="preserve"> № 12</w:t>
            </w:r>
          </w:p>
          <w:p w:rsidR="00BE7B50" w:rsidRPr="00B74A55" w:rsidRDefault="00BE7B50" w:rsidP="00BE7B50">
            <w:pPr>
              <w:ind w:firstLine="708"/>
              <w:rPr>
                <w:sz w:val="22"/>
              </w:rPr>
            </w:pPr>
            <w:r w:rsidRPr="00B74A55">
              <w:rPr>
                <w:sz w:val="22"/>
              </w:rPr>
              <w:lastRenderedPageBreak/>
              <w:t xml:space="preserve">Вся </w:t>
            </w:r>
            <w:proofErr w:type="spellStart"/>
            <w:r w:rsidRPr="00B74A55">
              <w:rPr>
                <w:sz w:val="22"/>
              </w:rPr>
              <w:t>матеріально-технічна</w:t>
            </w:r>
            <w:proofErr w:type="spellEnd"/>
            <w:r w:rsidRPr="00B74A55">
              <w:rPr>
                <w:sz w:val="22"/>
              </w:rPr>
              <w:t xml:space="preserve"> база </w:t>
            </w:r>
            <w:proofErr w:type="spellStart"/>
            <w:r w:rsidRPr="00B74A55">
              <w:rPr>
                <w:sz w:val="22"/>
              </w:rPr>
              <w:t>підприємства</w:t>
            </w:r>
            <w:proofErr w:type="spellEnd"/>
            <w:r w:rsidRPr="00B74A55">
              <w:rPr>
                <w:sz w:val="22"/>
              </w:rPr>
              <w:t xml:space="preserve">, </w:t>
            </w:r>
            <w:proofErr w:type="spellStart"/>
            <w:r w:rsidRPr="00B74A55">
              <w:rPr>
                <w:sz w:val="22"/>
              </w:rPr>
              <w:t>зокрема</w:t>
            </w:r>
            <w:proofErr w:type="spellEnd"/>
            <w:r w:rsidRPr="00B74A55">
              <w:rPr>
                <w:sz w:val="22"/>
              </w:rPr>
              <w:t>:</w:t>
            </w:r>
          </w:p>
          <w:p w:rsidR="00BE7B50" w:rsidRPr="00B74A55" w:rsidRDefault="00BE7B50" w:rsidP="000303D7">
            <w:pPr>
              <w:numPr>
                <w:ilvl w:val="0"/>
                <w:numId w:val="9"/>
              </w:numPr>
              <w:tabs>
                <w:tab w:val="clear" w:pos="1068"/>
                <w:tab w:val="num" w:pos="708"/>
              </w:tabs>
              <w:ind w:left="86" w:firstLine="0"/>
              <w:rPr>
                <w:sz w:val="22"/>
              </w:rPr>
            </w:pPr>
            <w:proofErr w:type="spellStart"/>
            <w:r w:rsidRPr="00B74A55">
              <w:rPr>
                <w:sz w:val="22"/>
              </w:rPr>
              <w:t>обладнання</w:t>
            </w:r>
            <w:proofErr w:type="spellEnd"/>
            <w:r w:rsidRPr="00B74A55">
              <w:rPr>
                <w:sz w:val="22"/>
              </w:rPr>
              <w:t xml:space="preserve"> (</w:t>
            </w:r>
            <w:proofErr w:type="spellStart"/>
            <w:r w:rsidRPr="00B74A55">
              <w:rPr>
                <w:sz w:val="22"/>
              </w:rPr>
              <w:t>устаткування</w:t>
            </w:r>
            <w:proofErr w:type="spellEnd"/>
            <w:r w:rsidRPr="00B74A55">
              <w:rPr>
                <w:sz w:val="22"/>
              </w:rPr>
              <w:t xml:space="preserve">): </w:t>
            </w:r>
            <w:proofErr w:type="spellStart"/>
            <w:r w:rsidRPr="00B74A55">
              <w:rPr>
                <w:sz w:val="22"/>
              </w:rPr>
              <w:t>спортивний</w:t>
            </w:r>
            <w:proofErr w:type="spellEnd"/>
            <w:r w:rsidRPr="00B74A55">
              <w:rPr>
                <w:sz w:val="22"/>
              </w:rPr>
              <w:t xml:space="preserve"> </w:t>
            </w:r>
            <w:proofErr w:type="spellStart"/>
            <w:r w:rsidRPr="00B74A55">
              <w:rPr>
                <w:sz w:val="22"/>
              </w:rPr>
              <w:t>інвентар</w:t>
            </w:r>
            <w:proofErr w:type="spellEnd"/>
            <w:r w:rsidRPr="00B74A55">
              <w:rPr>
                <w:sz w:val="22"/>
              </w:rPr>
              <w:t xml:space="preserve">, </w:t>
            </w:r>
            <w:proofErr w:type="spellStart"/>
            <w:r w:rsidRPr="00B74A55">
              <w:rPr>
                <w:sz w:val="22"/>
              </w:rPr>
              <w:t>бібліотечний</w:t>
            </w:r>
            <w:proofErr w:type="spellEnd"/>
            <w:r w:rsidRPr="00B74A55">
              <w:rPr>
                <w:sz w:val="22"/>
              </w:rPr>
              <w:t xml:space="preserve"> фонд, </w:t>
            </w:r>
            <w:proofErr w:type="spellStart"/>
            <w:r w:rsidRPr="00B74A55">
              <w:rPr>
                <w:sz w:val="22"/>
              </w:rPr>
              <w:t>мікроскопи</w:t>
            </w:r>
            <w:proofErr w:type="spellEnd"/>
            <w:r w:rsidRPr="00B74A55">
              <w:rPr>
                <w:sz w:val="22"/>
              </w:rPr>
              <w:t xml:space="preserve">, </w:t>
            </w:r>
            <w:proofErr w:type="spellStart"/>
            <w:r w:rsidRPr="00B74A55">
              <w:rPr>
                <w:sz w:val="22"/>
              </w:rPr>
              <w:t>таблиці</w:t>
            </w:r>
            <w:proofErr w:type="spellEnd"/>
            <w:r w:rsidRPr="00B74A55">
              <w:rPr>
                <w:sz w:val="22"/>
              </w:rPr>
              <w:t xml:space="preserve">, </w:t>
            </w:r>
            <w:proofErr w:type="spellStart"/>
            <w:r w:rsidRPr="00B74A55">
              <w:rPr>
                <w:sz w:val="22"/>
              </w:rPr>
              <w:t>колекції</w:t>
            </w:r>
            <w:proofErr w:type="spellEnd"/>
            <w:r w:rsidRPr="00B74A55">
              <w:rPr>
                <w:sz w:val="22"/>
              </w:rPr>
              <w:t xml:space="preserve">, </w:t>
            </w:r>
            <w:proofErr w:type="spellStart"/>
            <w:r w:rsidRPr="00B74A55">
              <w:rPr>
                <w:sz w:val="22"/>
              </w:rPr>
              <w:t>муляжі</w:t>
            </w:r>
            <w:proofErr w:type="spellEnd"/>
            <w:r w:rsidRPr="00B74A55">
              <w:rPr>
                <w:sz w:val="22"/>
              </w:rPr>
              <w:t xml:space="preserve">, </w:t>
            </w:r>
            <w:proofErr w:type="spellStart"/>
            <w:r w:rsidRPr="00B74A55">
              <w:rPr>
                <w:sz w:val="22"/>
              </w:rPr>
              <w:t>обладнання</w:t>
            </w:r>
            <w:proofErr w:type="spellEnd"/>
            <w:r w:rsidRPr="00B74A55">
              <w:rPr>
                <w:sz w:val="22"/>
              </w:rPr>
              <w:t xml:space="preserve"> </w:t>
            </w:r>
            <w:proofErr w:type="spellStart"/>
            <w:r w:rsidRPr="00B74A55">
              <w:rPr>
                <w:sz w:val="22"/>
              </w:rPr>
              <w:t>харчоблоку</w:t>
            </w:r>
            <w:proofErr w:type="spellEnd"/>
            <w:r w:rsidRPr="00B74A55">
              <w:rPr>
                <w:sz w:val="22"/>
              </w:rPr>
              <w:t xml:space="preserve"> та </w:t>
            </w:r>
            <w:proofErr w:type="spellStart"/>
            <w:r w:rsidRPr="00B74A55">
              <w:rPr>
                <w:sz w:val="22"/>
              </w:rPr>
              <w:t>їдальні</w:t>
            </w:r>
            <w:proofErr w:type="spellEnd"/>
            <w:r w:rsidRPr="00B74A55">
              <w:rPr>
                <w:sz w:val="22"/>
              </w:rPr>
              <w:t xml:space="preserve"> </w:t>
            </w:r>
            <w:proofErr w:type="spellStart"/>
            <w:r w:rsidRPr="00B74A55">
              <w:rPr>
                <w:sz w:val="22"/>
              </w:rPr>
              <w:t>тощо</w:t>
            </w:r>
            <w:proofErr w:type="spellEnd"/>
            <w:r w:rsidRPr="00B74A55">
              <w:rPr>
                <w:sz w:val="22"/>
              </w:rPr>
              <w:t>;</w:t>
            </w:r>
          </w:p>
          <w:p w:rsidR="00BE7B50" w:rsidRPr="00B74A55" w:rsidRDefault="00BE7B50" w:rsidP="000303D7">
            <w:pPr>
              <w:numPr>
                <w:ilvl w:val="0"/>
                <w:numId w:val="9"/>
              </w:numPr>
              <w:tabs>
                <w:tab w:val="clear" w:pos="1068"/>
                <w:tab w:val="num" w:pos="708"/>
              </w:tabs>
              <w:ind w:left="86" w:firstLine="0"/>
              <w:rPr>
                <w:sz w:val="22"/>
              </w:rPr>
            </w:pPr>
            <w:proofErr w:type="spellStart"/>
            <w:r w:rsidRPr="00B74A55">
              <w:rPr>
                <w:sz w:val="22"/>
              </w:rPr>
              <w:t>обчислювальна</w:t>
            </w:r>
            <w:proofErr w:type="spellEnd"/>
            <w:r w:rsidRPr="00B74A55">
              <w:rPr>
                <w:sz w:val="22"/>
              </w:rPr>
              <w:t xml:space="preserve"> </w:t>
            </w:r>
            <w:proofErr w:type="spellStart"/>
            <w:r w:rsidRPr="00B74A55">
              <w:rPr>
                <w:sz w:val="22"/>
              </w:rPr>
              <w:t>техніка</w:t>
            </w:r>
            <w:proofErr w:type="spellEnd"/>
            <w:r w:rsidRPr="00B74A55">
              <w:rPr>
                <w:sz w:val="22"/>
              </w:rPr>
              <w:t xml:space="preserve"> </w:t>
            </w:r>
            <w:proofErr w:type="spellStart"/>
            <w:r w:rsidRPr="00B74A55">
              <w:rPr>
                <w:sz w:val="22"/>
              </w:rPr>
              <w:t>із</w:t>
            </w:r>
            <w:proofErr w:type="spellEnd"/>
            <w:r w:rsidRPr="00B74A55">
              <w:rPr>
                <w:sz w:val="22"/>
              </w:rPr>
              <w:t xml:space="preserve"> </w:t>
            </w:r>
            <w:proofErr w:type="spellStart"/>
            <w:r w:rsidRPr="00B74A55">
              <w:rPr>
                <w:sz w:val="22"/>
              </w:rPr>
              <w:t>відповідним</w:t>
            </w:r>
            <w:proofErr w:type="spellEnd"/>
            <w:r w:rsidRPr="00B74A55">
              <w:rPr>
                <w:sz w:val="22"/>
              </w:rPr>
              <w:t xml:space="preserve"> </w:t>
            </w:r>
            <w:proofErr w:type="spellStart"/>
            <w:r w:rsidRPr="00B74A55">
              <w:rPr>
                <w:sz w:val="22"/>
              </w:rPr>
              <w:t>програмним</w:t>
            </w:r>
            <w:proofErr w:type="spellEnd"/>
            <w:r w:rsidRPr="00B74A55">
              <w:rPr>
                <w:sz w:val="22"/>
              </w:rPr>
              <w:t xml:space="preserve"> </w:t>
            </w:r>
            <w:proofErr w:type="spellStart"/>
            <w:r w:rsidRPr="00B74A55">
              <w:rPr>
                <w:sz w:val="22"/>
              </w:rPr>
              <w:t>забезпеченням</w:t>
            </w:r>
            <w:proofErr w:type="spellEnd"/>
            <w:r w:rsidRPr="00B74A55">
              <w:rPr>
                <w:sz w:val="22"/>
              </w:rPr>
              <w:t>;</w:t>
            </w:r>
          </w:p>
          <w:p w:rsidR="00BE7B50" w:rsidRPr="00B74A55" w:rsidRDefault="00BE7B50" w:rsidP="000303D7">
            <w:pPr>
              <w:numPr>
                <w:ilvl w:val="0"/>
                <w:numId w:val="9"/>
              </w:numPr>
              <w:tabs>
                <w:tab w:val="clear" w:pos="1068"/>
                <w:tab w:val="num" w:pos="708"/>
              </w:tabs>
              <w:ind w:left="86" w:firstLine="0"/>
              <w:rPr>
                <w:sz w:val="22"/>
              </w:rPr>
            </w:pPr>
            <w:proofErr w:type="spellStart"/>
            <w:r w:rsidRPr="00B74A55">
              <w:rPr>
                <w:sz w:val="22"/>
              </w:rPr>
              <w:t>інша</w:t>
            </w:r>
            <w:proofErr w:type="spellEnd"/>
            <w:r w:rsidRPr="00B74A55">
              <w:rPr>
                <w:sz w:val="22"/>
              </w:rPr>
              <w:t xml:space="preserve"> </w:t>
            </w:r>
            <w:proofErr w:type="spellStart"/>
            <w:r w:rsidRPr="00B74A55">
              <w:rPr>
                <w:sz w:val="22"/>
              </w:rPr>
              <w:t>оргтехніка</w:t>
            </w:r>
            <w:proofErr w:type="spellEnd"/>
            <w:r w:rsidRPr="00B74A55">
              <w:rPr>
                <w:sz w:val="22"/>
              </w:rPr>
              <w:t xml:space="preserve"> (</w:t>
            </w:r>
            <w:proofErr w:type="spellStart"/>
            <w:r w:rsidRPr="00B74A55">
              <w:rPr>
                <w:sz w:val="22"/>
              </w:rPr>
              <w:t>монітори</w:t>
            </w:r>
            <w:proofErr w:type="spellEnd"/>
            <w:r w:rsidRPr="00B74A55">
              <w:rPr>
                <w:sz w:val="22"/>
              </w:rPr>
              <w:t xml:space="preserve">, </w:t>
            </w:r>
            <w:proofErr w:type="spellStart"/>
            <w:r w:rsidRPr="00B74A55">
              <w:rPr>
                <w:sz w:val="22"/>
              </w:rPr>
              <w:t>принтери</w:t>
            </w:r>
            <w:proofErr w:type="spellEnd"/>
            <w:r w:rsidRPr="00B74A55">
              <w:rPr>
                <w:sz w:val="22"/>
              </w:rPr>
              <w:t xml:space="preserve">, </w:t>
            </w:r>
            <w:proofErr w:type="spellStart"/>
            <w:r w:rsidRPr="00B74A55">
              <w:rPr>
                <w:sz w:val="22"/>
              </w:rPr>
              <w:t>сканери</w:t>
            </w:r>
            <w:proofErr w:type="spellEnd"/>
            <w:r w:rsidRPr="00B74A55">
              <w:rPr>
                <w:sz w:val="22"/>
              </w:rPr>
              <w:t xml:space="preserve">, </w:t>
            </w:r>
            <w:proofErr w:type="spellStart"/>
            <w:r w:rsidRPr="00B74A55">
              <w:rPr>
                <w:sz w:val="22"/>
              </w:rPr>
              <w:t>проектори</w:t>
            </w:r>
            <w:proofErr w:type="spellEnd"/>
            <w:r w:rsidRPr="00B74A55">
              <w:rPr>
                <w:sz w:val="22"/>
              </w:rPr>
              <w:t xml:space="preserve">, </w:t>
            </w:r>
            <w:proofErr w:type="spellStart"/>
            <w:r w:rsidRPr="00B74A55">
              <w:rPr>
                <w:sz w:val="22"/>
              </w:rPr>
              <w:t>мультимедійні</w:t>
            </w:r>
            <w:proofErr w:type="spellEnd"/>
            <w:r w:rsidRPr="00B74A55">
              <w:rPr>
                <w:sz w:val="22"/>
              </w:rPr>
              <w:t xml:space="preserve"> </w:t>
            </w:r>
            <w:proofErr w:type="spellStart"/>
            <w:r w:rsidRPr="00B74A55">
              <w:rPr>
                <w:sz w:val="22"/>
              </w:rPr>
              <w:t>дошки</w:t>
            </w:r>
            <w:proofErr w:type="spellEnd"/>
            <w:r w:rsidRPr="00B74A55">
              <w:rPr>
                <w:sz w:val="22"/>
              </w:rPr>
              <w:t xml:space="preserve"> </w:t>
            </w:r>
            <w:proofErr w:type="spellStart"/>
            <w:r w:rsidRPr="00B74A55">
              <w:rPr>
                <w:sz w:val="22"/>
              </w:rPr>
              <w:t>тощо</w:t>
            </w:r>
            <w:proofErr w:type="spellEnd"/>
            <w:r w:rsidRPr="00B74A55">
              <w:rPr>
                <w:sz w:val="22"/>
              </w:rPr>
              <w:t>);</w:t>
            </w:r>
          </w:p>
          <w:p w:rsidR="00BE7B50" w:rsidRPr="00B74A55" w:rsidRDefault="00BE7B50" w:rsidP="000303D7">
            <w:pPr>
              <w:pStyle w:val="13"/>
              <w:numPr>
                <w:ilvl w:val="0"/>
                <w:numId w:val="9"/>
              </w:numPr>
              <w:tabs>
                <w:tab w:val="clear" w:pos="1068"/>
                <w:tab w:val="num" w:pos="708"/>
              </w:tabs>
              <w:ind w:left="86" w:firstLine="0"/>
              <w:jc w:val="both"/>
              <w:rPr>
                <w:sz w:val="22"/>
                <w:lang w:val="uk-UA"/>
              </w:rPr>
            </w:pPr>
            <w:r w:rsidRPr="00B74A55">
              <w:rPr>
                <w:sz w:val="22"/>
                <w:lang w:val="uk-UA"/>
              </w:rPr>
              <w:t>основні засоби (офісні меблі, учнівські парти та стільці; дошки, сейфи тощо) були знищені або викрадені.</w:t>
            </w:r>
          </w:p>
          <w:p w:rsidR="00BE7B50" w:rsidRPr="00B74A55" w:rsidRDefault="00BE7B50" w:rsidP="00BE7B50">
            <w:pPr>
              <w:pStyle w:val="13"/>
              <w:jc w:val="both"/>
              <w:rPr>
                <w:sz w:val="22"/>
                <w:lang w:val="uk-UA"/>
              </w:rPr>
            </w:pPr>
            <w:r w:rsidRPr="00B74A55">
              <w:rPr>
                <w:rFonts w:eastAsia="Arial"/>
                <w:sz w:val="22"/>
                <w:lang w:val="uk-UA"/>
              </w:rPr>
              <w:t xml:space="preserve">Для відбудови та сталого розвитку громади потрібне відновлення роботи закладу освіти Мешканці громади потребують в отриманні якісних освітніх послуг, які відповідають нормам сучасності. </w:t>
            </w:r>
          </w:p>
        </w:tc>
      </w:tr>
      <w:tr w:rsidR="00BE7B50" w:rsidRPr="00B74A55" w:rsidTr="00F34B87">
        <w:tc>
          <w:tcPr>
            <w:tcW w:w="2978" w:type="dxa"/>
            <w:shd w:val="clear" w:color="auto" w:fill="C6D9F1" w:themeFill="text2" w:themeFillTint="33"/>
          </w:tcPr>
          <w:p w:rsidR="00BE7B50" w:rsidRPr="00B74A55" w:rsidRDefault="00BE7B50" w:rsidP="00BE7B50">
            <w:pPr>
              <w:pStyle w:val="a7"/>
              <w:ind w:left="0"/>
              <w:rPr>
                <w:b/>
                <w:sz w:val="22"/>
              </w:rPr>
            </w:pPr>
            <w:proofErr w:type="spellStart"/>
            <w:r w:rsidRPr="00B74A55">
              <w:rPr>
                <w:b/>
                <w:sz w:val="22"/>
              </w:rPr>
              <w:lastRenderedPageBreak/>
              <w:t>Очікувані</w:t>
            </w:r>
            <w:proofErr w:type="spellEnd"/>
            <w:r w:rsidRPr="00B74A55">
              <w:rPr>
                <w:b/>
                <w:sz w:val="22"/>
              </w:rPr>
              <w:t xml:space="preserve"> </w:t>
            </w:r>
            <w:proofErr w:type="spellStart"/>
            <w:r w:rsidRPr="00B74A55">
              <w:rPr>
                <w:b/>
                <w:sz w:val="22"/>
              </w:rPr>
              <w:t>якісні</w:t>
            </w:r>
            <w:proofErr w:type="spellEnd"/>
            <w:r w:rsidRPr="00B74A55">
              <w:rPr>
                <w:b/>
                <w:sz w:val="22"/>
              </w:rPr>
              <w:t xml:space="preserve"> </w:t>
            </w:r>
            <w:proofErr w:type="spellStart"/>
            <w:r w:rsidRPr="00B74A55">
              <w:rPr>
                <w:b/>
                <w:sz w:val="22"/>
              </w:rPr>
              <w:t>результати</w:t>
            </w:r>
            <w:proofErr w:type="spellEnd"/>
            <w:r w:rsidRPr="00B74A55">
              <w:rPr>
                <w:b/>
                <w:sz w:val="22"/>
              </w:rPr>
              <w:t xml:space="preserve"> </w:t>
            </w:r>
            <w:proofErr w:type="spellStart"/>
            <w:r w:rsidRPr="00B74A55">
              <w:rPr>
                <w:b/>
                <w:sz w:val="22"/>
              </w:rPr>
              <w:t>від</w:t>
            </w:r>
            <w:proofErr w:type="spellEnd"/>
            <w:r w:rsidRPr="00B74A55">
              <w:rPr>
                <w:b/>
                <w:sz w:val="22"/>
              </w:rPr>
              <w:t xml:space="preserve"> </w:t>
            </w:r>
            <w:proofErr w:type="spellStart"/>
            <w:r w:rsidRPr="00B74A55">
              <w:rPr>
                <w:b/>
                <w:sz w:val="22"/>
              </w:rPr>
              <w:t>реалізації</w:t>
            </w:r>
            <w:proofErr w:type="spellEnd"/>
            <w:r w:rsidRPr="00B74A55">
              <w:rPr>
                <w:b/>
                <w:sz w:val="22"/>
              </w:rPr>
              <w:t xml:space="preserve"> проекту</w:t>
            </w:r>
          </w:p>
        </w:tc>
        <w:tc>
          <w:tcPr>
            <w:tcW w:w="6945" w:type="dxa"/>
            <w:gridSpan w:val="6"/>
          </w:tcPr>
          <w:p w:rsidR="00BE7B50" w:rsidRPr="00B74A55" w:rsidRDefault="00BE7B50" w:rsidP="00BE7B50">
            <w:pPr>
              <w:pStyle w:val="a7"/>
              <w:ind w:left="0"/>
              <w:rPr>
                <w:sz w:val="22"/>
              </w:rPr>
            </w:pPr>
            <w:r w:rsidRPr="00B74A55">
              <w:rPr>
                <w:sz w:val="22"/>
              </w:rPr>
              <w:t xml:space="preserve">- </w:t>
            </w:r>
            <w:proofErr w:type="spellStart"/>
            <w:r w:rsidRPr="00B74A55">
              <w:rPr>
                <w:sz w:val="22"/>
              </w:rPr>
              <w:t>забезпечення</w:t>
            </w:r>
            <w:proofErr w:type="spellEnd"/>
            <w:r w:rsidRPr="00B74A55">
              <w:rPr>
                <w:sz w:val="22"/>
              </w:rPr>
              <w:t xml:space="preserve"> </w:t>
            </w:r>
            <w:proofErr w:type="spellStart"/>
            <w:r w:rsidRPr="00B74A55">
              <w:rPr>
                <w:sz w:val="22"/>
              </w:rPr>
              <w:t>населення</w:t>
            </w:r>
            <w:proofErr w:type="spellEnd"/>
            <w:r w:rsidRPr="00B74A55">
              <w:rPr>
                <w:sz w:val="22"/>
              </w:rPr>
              <w:t xml:space="preserve"> </w:t>
            </w:r>
            <w:proofErr w:type="spellStart"/>
            <w:r w:rsidRPr="00B74A55">
              <w:rPr>
                <w:sz w:val="22"/>
              </w:rPr>
              <w:t>можливостями</w:t>
            </w:r>
            <w:proofErr w:type="spellEnd"/>
            <w:r w:rsidRPr="00B74A55">
              <w:rPr>
                <w:sz w:val="22"/>
              </w:rPr>
              <w:t xml:space="preserve"> для </w:t>
            </w:r>
            <w:proofErr w:type="spellStart"/>
            <w:r w:rsidRPr="00B74A55">
              <w:rPr>
                <w:sz w:val="22"/>
              </w:rPr>
              <w:t>реалізації</w:t>
            </w:r>
            <w:proofErr w:type="spellEnd"/>
            <w:r w:rsidRPr="00B74A55">
              <w:rPr>
                <w:sz w:val="22"/>
              </w:rPr>
              <w:t xml:space="preserve"> </w:t>
            </w:r>
            <w:proofErr w:type="spellStart"/>
            <w:r w:rsidRPr="00B74A55">
              <w:rPr>
                <w:sz w:val="22"/>
              </w:rPr>
              <w:t>його</w:t>
            </w:r>
            <w:proofErr w:type="spellEnd"/>
            <w:r w:rsidRPr="00B74A55">
              <w:rPr>
                <w:sz w:val="22"/>
              </w:rPr>
              <w:t xml:space="preserve"> </w:t>
            </w:r>
            <w:proofErr w:type="spellStart"/>
            <w:r w:rsidRPr="00B74A55">
              <w:rPr>
                <w:sz w:val="22"/>
              </w:rPr>
              <w:t>конституційних</w:t>
            </w:r>
            <w:proofErr w:type="spellEnd"/>
            <w:r w:rsidRPr="00B74A55">
              <w:rPr>
                <w:sz w:val="22"/>
              </w:rPr>
              <w:t xml:space="preserve"> прав, </w:t>
            </w:r>
            <w:proofErr w:type="spellStart"/>
            <w:r w:rsidRPr="00B74A55">
              <w:rPr>
                <w:sz w:val="22"/>
              </w:rPr>
              <w:t>пов’язаних</w:t>
            </w:r>
            <w:proofErr w:type="spellEnd"/>
            <w:r w:rsidRPr="00B74A55">
              <w:rPr>
                <w:sz w:val="22"/>
              </w:rPr>
              <w:t xml:space="preserve"> </w:t>
            </w:r>
            <w:proofErr w:type="spellStart"/>
            <w:r w:rsidRPr="00B74A55">
              <w:rPr>
                <w:sz w:val="22"/>
              </w:rPr>
              <w:t>із</w:t>
            </w:r>
            <w:proofErr w:type="spellEnd"/>
            <w:r w:rsidRPr="00B74A55">
              <w:rPr>
                <w:sz w:val="22"/>
              </w:rPr>
              <w:t xml:space="preserve"> </w:t>
            </w:r>
            <w:proofErr w:type="spellStart"/>
            <w:r w:rsidRPr="00B74A55">
              <w:rPr>
                <w:sz w:val="22"/>
              </w:rPr>
              <w:t>освітніми</w:t>
            </w:r>
            <w:proofErr w:type="spellEnd"/>
            <w:r w:rsidRPr="00B74A55">
              <w:rPr>
                <w:sz w:val="22"/>
              </w:rPr>
              <w:t xml:space="preserve"> </w:t>
            </w:r>
            <w:proofErr w:type="spellStart"/>
            <w:r w:rsidRPr="00B74A55">
              <w:rPr>
                <w:sz w:val="22"/>
              </w:rPr>
              <w:t>послугами</w:t>
            </w:r>
            <w:proofErr w:type="spellEnd"/>
            <w:r w:rsidRPr="00B74A55">
              <w:rPr>
                <w:sz w:val="22"/>
              </w:rPr>
              <w:t>;</w:t>
            </w:r>
          </w:p>
          <w:p w:rsidR="00BE7B50" w:rsidRPr="00B74A55" w:rsidRDefault="00BE7B50" w:rsidP="00BE7B50">
            <w:pPr>
              <w:pStyle w:val="a7"/>
              <w:ind w:left="0"/>
              <w:rPr>
                <w:sz w:val="22"/>
              </w:rPr>
            </w:pPr>
            <w:r w:rsidRPr="00B74A55">
              <w:rPr>
                <w:sz w:val="22"/>
              </w:rPr>
              <w:t xml:space="preserve">- </w:t>
            </w:r>
            <w:proofErr w:type="spellStart"/>
            <w:r w:rsidRPr="00B74A55">
              <w:rPr>
                <w:sz w:val="22"/>
              </w:rPr>
              <w:t>надання</w:t>
            </w:r>
            <w:proofErr w:type="spellEnd"/>
            <w:r w:rsidRPr="00B74A55">
              <w:rPr>
                <w:sz w:val="22"/>
              </w:rPr>
              <w:t xml:space="preserve"> широкого спектру </w:t>
            </w:r>
            <w:proofErr w:type="spellStart"/>
            <w:r w:rsidRPr="00B74A55">
              <w:rPr>
                <w:sz w:val="22"/>
              </w:rPr>
              <w:t>послуг</w:t>
            </w:r>
            <w:proofErr w:type="spellEnd"/>
            <w:r w:rsidRPr="00B74A55">
              <w:rPr>
                <w:sz w:val="22"/>
              </w:rPr>
              <w:t xml:space="preserve">, </w:t>
            </w:r>
            <w:proofErr w:type="spellStart"/>
            <w:r w:rsidRPr="00B74A55">
              <w:rPr>
                <w:sz w:val="22"/>
              </w:rPr>
              <w:t>пов’язаних</w:t>
            </w:r>
            <w:proofErr w:type="spellEnd"/>
            <w:r w:rsidRPr="00B74A55">
              <w:rPr>
                <w:sz w:val="22"/>
              </w:rPr>
              <w:t xml:space="preserve"> </w:t>
            </w:r>
            <w:proofErr w:type="spellStart"/>
            <w:r w:rsidRPr="00B74A55">
              <w:rPr>
                <w:sz w:val="22"/>
              </w:rPr>
              <w:t>із</w:t>
            </w:r>
            <w:proofErr w:type="spellEnd"/>
            <w:r w:rsidRPr="00B74A55">
              <w:rPr>
                <w:sz w:val="22"/>
              </w:rPr>
              <w:t xml:space="preserve"> </w:t>
            </w:r>
            <w:proofErr w:type="spellStart"/>
            <w:r w:rsidRPr="00B74A55">
              <w:rPr>
                <w:sz w:val="22"/>
              </w:rPr>
              <w:t>якісним</w:t>
            </w:r>
            <w:proofErr w:type="spellEnd"/>
            <w:r w:rsidRPr="00B74A55">
              <w:rPr>
                <w:sz w:val="22"/>
              </w:rPr>
              <w:t xml:space="preserve"> </w:t>
            </w:r>
            <w:proofErr w:type="spellStart"/>
            <w:r w:rsidRPr="00B74A55">
              <w:rPr>
                <w:sz w:val="22"/>
              </w:rPr>
              <w:t>харчуванням</w:t>
            </w:r>
            <w:proofErr w:type="spellEnd"/>
            <w:r w:rsidRPr="00B74A55">
              <w:rPr>
                <w:sz w:val="22"/>
              </w:rPr>
              <w:t xml:space="preserve">; </w:t>
            </w:r>
          </w:p>
          <w:p w:rsidR="00BE7B50" w:rsidRPr="00B74A55" w:rsidRDefault="00BE7B50" w:rsidP="00BE7B50">
            <w:pPr>
              <w:pStyle w:val="a7"/>
              <w:ind w:left="0"/>
              <w:rPr>
                <w:sz w:val="22"/>
              </w:rPr>
            </w:pPr>
            <w:r w:rsidRPr="00B74A55">
              <w:rPr>
                <w:sz w:val="22"/>
              </w:rPr>
              <w:t xml:space="preserve">- </w:t>
            </w:r>
            <w:proofErr w:type="spellStart"/>
            <w:r w:rsidRPr="00B74A55">
              <w:rPr>
                <w:sz w:val="22"/>
              </w:rPr>
              <w:t>впровадження</w:t>
            </w:r>
            <w:proofErr w:type="spellEnd"/>
            <w:r w:rsidRPr="00B74A55">
              <w:rPr>
                <w:sz w:val="22"/>
              </w:rPr>
              <w:t xml:space="preserve"> </w:t>
            </w:r>
            <w:proofErr w:type="spellStart"/>
            <w:r w:rsidRPr="00B74A55">
              <w:rPr>
                <w:sz w:val="22"/>
              </w:rPr>
              <w:t>нових</w:t>
            </w:r>
            <w:proofErr w:type="spellEnd"/>
            <w:r w:rsidRPr="00B74A55">
              <w:rPr>
                <w:sz w:val="22"/>
              </w:rPr>
              <w:t xml:space="preserve"> </w:t>
            </w:r>
            <w:proofErr w:type="spellStart"/>
            <w:r w:rsidRPr="00B74A55">
              <w:rPr>
                <w:sz w:val="22"/>
              </w:rPr>
              <w:t>технологій</w:t>
            </w:r>
            <w:proofErr w:type="spellEnd"/>
            <w:r w:rsidRPr="00B74A55">
              <w:rPr>
                <w:sz w:val="22"/>
              </w:rPr>
              <w:t xml:space="preserve"> </w:t>
            </w:r>
            <w:proofErr w:type="spellStart"/>
            <w:r w:rsidRPr="00B74A55">
              <w:rPr>
                <w:sz w:val="22"/>
              </w:rPr>
              <w:t>приготування</w:t>
            </w:r>
            <w:proofErr w:type="spellEnd"/>
            <w:r w:rsidRPr="00B74A55">
              <w:rPr>
                <w:sz w:val="22"/>
              </w:rPr>
              <w:t xml:space="preserve"> </w:t>
            </w:r>
            <w:proofErr w:type="spellStart"/>
            <w:r w:rsidRPr="00B74A55">
              <w:rPr>
                <w:sz w:val="22"/>
              </w:rPr>
              <w:t>їжі</w:t>
            </w:r>
            <w:proofErr w:type="spellEnd"/>
            <w:r w:rsidRPr="00B74A55">
              <w:rPr>
                <w:sz w:val="22"/>
              </w:rPr>
              <w:t>;</w:t>
            </w:r>
          </w:p>
          <w:p w:rsidR="00BE7B50" w:rsidRPr="00B74A55" w:rsidRDefault="00BE7B50" w:rsidP="00BE7B50">
            <w:pPr>
              <w:pStyle w:val="a7"/>
              <w:ind w:left="0"/>
              <w:rPr>
                <w:sz w:val="22"/>
              </w:rPr>
            </w:pPr>
            <w:r w:rsidRPr="00B74A55">
              <w:rPr>
                <w:sz w:val="22"/>
              </w:rPr>
              <w:t xml:space="preserve">- </w:t>
            </w:r>
            <w:proofErr w:type="spellStart"/>
            <w:r w:rsidRPr="00B74A55">
              <w:rPr>
                <w:sz w:val="22"/>
              </w:rPr>
              <w:t>вирішення</w:t>
            </w:r>
            <w:proofErr w:type="spellEnd"/>
            <w:r w:rsidRPr="00B74A55">
              <w:rPr>
                <w:sz w:val="22"/>
              </w:rPr>
              <w:t xml:space="preserve"> ряду </w:t>
            </w:r>
            <w:proofErr w:type="spellStart"/>
            <w:r w:rsidRPr="00B74A55">
              <w:rPr>
                <w:sz w:val="22"/>
              </w:rPr>
              <w:t>питань</w:t>
            </w:r>
            <w:proofErr w:type="spellEnd"/>
            <w:r w:rsidRPr="00B74A55">
              <w:rPr>
                <w:sz w:val="22"/>
              </w:rPr>
              <w:t xml:space="preserve"> в межах </w:t>
            </w:r>
            <w:proofErr w:type="spellStart"/>
            <w:r w:rsidRPr="00B74A55">
              <w:rPr>
                <w:sz w:val="22"/>
              </w:rPr>
              <w:t>статутної</w:t>
            </w:r>
            <w:proofErr w:type="spellEnd"/>
            <w:r w:rsidRPr="00B74A55">
              <w:rPr>
                <w:sz w:val="22"/>
              </w:rPr>
              <w:t xml:space="preserve"> </w:t>
            </w:r>
            <w:proofErr w:type="spellStart"/>
            <w:r w:rsidRPr="00B74A55">
              <w:rPr>
                <w:sz w:val="22"/>
              </w:rPr>
              <w:t>діяльності</w:t>
            </w:r>
            <w:proofErr w:type="spellEnd"/>
            <w:r w:rsidRPr="00B74A55">
              <w:rPr>
                <w:sz w:val="22"/>
              </w:rPr>
              <w:t xml:space="preserve">, </w:t>
            </w:r>
            <w:proofErr w:type="spellStart"/>
            <w:r w:rsidRPr="00B74A55">
              <w:rPr>
                <w:sz w:val="22"/>
              </w:rPr>
              <w:t>пов’язаних</w:t>
            </w:r>
            <w:proofErr w:type="spellEnd"/>
            <w:r w:rsidRPr="00B74A55">
              <w:rPr>
                <w:sz w:val="22"/>
              </w:rPr>
              <w:t xml:space="preserve"> </w:t>
            </w:r>
            <w:proofErr w:type="spellStart"/>
            <w:r w:rsidRPr="00B74A55">
              <w:rPr>
                <w:sz w:val="22"/>
              </w:rPr>
              <w:t>із</w:t>
            </w:r>
            <w:proofErr w:type="spellEnd"/>
            <w:r w:rsidRPr="00B74A55">
              <w:rPr>
                <w:sz w:val="22"/>
              </w:rPr>
              <w:t xml:space="preserve"> </w:t>
            </w:r>
            <w:proofErr w:type="spellStart"/>
            <w:r w:rsidRPr="00B74A55">
              <w:rPr>
                <w:sz w:val="22"/>
              </w:rPr>
              <w:t>відбудовою</w:t>
            </w:r>
            <w:proofErr w:type="spellEnd"/>
            <w:r w:rsidRPr="00B74A55">
              <w:rPr>
                <w:sz w:val="22"/>
              </w:rPr>
              <w:t xml:space="preserve"> та </w:t>
            </w:r>
            <w:proofErr w:type="spellStart"/>
            <w:r w:rsidRPr="00B74A55">
              <w:rPr>
                <w:sz w:val="22"/>
              </w:rPr>
              <w:t>сталим</w:t>
            </w:r>
            <w:proofErr w:type="spellEnd"/>
            <w:r w:rsidRPr="00B74A55">
              <w:rPr>
                <w:sz w:val="22"/>
              </w:rPr>
              <w:t xml:space="preserve"> </w:t>
            </w:r>
            <w:proofErr w:type="spellStart"/>
            <w:r w:rsidRPr="00B74A55">
              <w:rPr>
                <w:sz w:val="22"/>
              </w:rPr>
              <w:t>розвитком</w:t>
            </w:r>
            <w:proofErr w:type="spellEnd"/>
            <w:r w:rsidRPr="00B74A55">
              <w:rPr>
                <w:sz w:val="22"/>
              </w:rPr>
              <w:t xml:space="preserve"> </w:t>
            </w:r>
            <w:proofErr w:type="spellStart"/>
            <w:r w:rsidRPr="00B74A55">
              <w:rPr>
                <w:sz w:val="22"/>
              </w:rPr>
              <w:t>громади</w:t>
            </w:r>
            <w:proofErr w:type="spellEnd"/>
            <w:r w:rsidRPr="00B74A55">
              <w:rPr>
                <w:sz w:val="22"/>
              </w:rPr>
              <w:t>;</w:t>
            </w:r>
          </w:p>
          <w:p w:rsidR="00BE7B50" w:rsidRPr="00B74A55" w:rsidRDefault="00BE7B50" w:rsidP="00BE7B50">
            <w:pPr>
              <w:pStyle w:val="a7"/>
              <w:ind w:left="0"/>
              <w:rPr>
                <w:sz w:val="22"/>
              </w:rPr>
            </w:pPr>
            <w:r w:rsidRPr="00B74A55">
              <w:rPr>
                <w:sz w:val="22"/>
              </w:rPr>
              <w:t xml:space="preserve">- методична </w:t>
            </w:r>
            <w:proofErr w:type="spellStart"/>
            <w:r w:rsidRPr="00B74A55">
              <w:rPr>
                <w:sz w:val="22"/>
              </w:rPr>
              <w:t>підтримка</w:t>
            </w:r>
            <w:proofErr w:type="spellEnd"/>
            <w:r w:rsidRPr="00B74A55">
              <w:rPr>
                <w:sz w:val="22"/>
              </w:rPr>
              <w:t xml:space="preserve"> </w:t>
            </w:r>
            <w:proofErr w:type="spellStart"/>
            <w:r w:rsidRPr="00B74A55">
              <w:rPr>
                <w:sz w:val="22"/>
              </w:rPr>
              <w:t>вчителів</w:t>
            </w:r>
            <w:proofErr w:type="spellEnd"/>
            <w:r w:rsidRPr="00B74A55">
              <w:rPr>
                <w:sz w:val="22"/>
              </w:rPr>
              <w:t xml:space="preserve">, </w:t>
            </w:r>
            <w:proofErr w:type="spellStart"/>
            <w:r w:rsidRPr="00B74A55">
              <w:rPr>
                <w:sz w:val="22"/>
              </w:rPr>
              <w:t>створення</w:t>
            </w:r>
            <w:proofErr w:type="spellEnd"/>
            <w:r w:rsidRPr="00B74A55">
              <w:rPr>
                <w:sz w:val="22"/>
              </w:rPr>
              <w:t xml:space="preserve"> умов для </w:t>
            </w:r>
            <w:proofErr w:type="spellStart"/>
            <w:r w:rsidRPr="00B74A55">
              <w:rPr>
                <w:sz w:val="22"/>
              </w:rPr>
              <w:t>їх</w:t>
            </w:r>
            <w:proofErr w:type="spellEnd"/>
            <w:r w:rsidRPr="00B74A55">
              <w:rPr>
                <w:sz w:val="22"/>
              </w:rPr>
              <w:t xml:space="preserve"> </w:t>
            </w:r>
            <w:proofErr w:type="spellStart"/>
            <w:r w:rsidRPr="00B74A55">
              <w:rPr>
                <w:sz w:val="22"/>
              </w:rPr>
              <w:t>розвитку</w:t>
            </w:r>
            <w:proofErr w:type="spellEnd"/>
            <w:r w:rsidRPr="00B74A55">
              <w:rPr>
                <w:sz w:val="22"/>
              </w:rPr>
              <w:t xml:space="preserve"> та </w:t>
            </w:r>
            <w:proofErr w:type="spellStart"/>
            <w:r w:rsidRPr="00B74A55">
              <w:rPr>
                <w:sz w:val="22"/>
              </w:rPr>
              <w:t>підвищення</w:t>
            </w:r>
            <w:proofErr w:type="spellEnd"/>
            <w:r w:rsidRPr="00B74A55">
              <w:rPr>
                <w:sz w:val="22"/>
              </w:rPr>
              <w:t xml:space="preserve"> </w:t>
            </w:r>
            <w:proofErr w:type="spellStart"/>
            <w:r w:rsidRPr="00B74A55">
              <w:rPr>
                <w:sz w:val="22"/>
              </w:rPr>
              <w:t>рівня</w:t>
            </w:r>
            <w:proofErr w:type="spellEnd"/>
            <w:r w:rsidRPr="00B74A55">
              <w:rPr>
                <w:sz w:val="22"/>
              </w:rPr>
              <w:t xml:space="preserve"> </w:t>
            </w:r>
            <w:proofErr w:type="spellStart"/>
            <w:r w:rsidRPr="00B74A55">
              <w:rPr>
                <w:sz w:val="22"/>
              </w:rPr>
              <w:t>професійної</w:t>
            </w:r>
            <w:proofErr w:type="spellEnd"/>
            <w:r w:rsidRPr="00B74A55">
              <w:rPr>
                <w:sz w:val="22"/>
              </w:rPr>
              <w:t xml:space="preserve"> </w:t>
            </w:r>
            <w:proofErr w:type="spellStart"/>
            <w:r w:rsidRPr="00B74A55">
              <w:rPr>
                <w:sz w:val="22"/>
              </w:rPr>
              <w:t>компетентності</w:t>
            </w:r>
            <w:proofErr w:type="spellEnd"/>
            <w:r w:rsidRPr="00B74A55">
              <w:rPr>
                <w:sz w:val="22"/>
              </w:rPr>
              <w:t xml:space="preserve"> в </w:t>
            </w:r>
            <w:proofErr w:type="spellStart"/>
            <w:r w:rsidRPr="00B74A55">
              <w:rPr>
                <w:sz w:val="22"/>
              </w:rPr>
              <w:t>умовах</w:t>
            </w:r>
            <w:proofErr w:type="spellEnd"/>
            <w:r w:rsidRPr="00B74A55">
              <w:rPr>
                <w:sz w:val="22"/>
              </w:rPr>
              <w:t xml:space="preserve"> очного, </w:t>
            </w:r>
            <w:proofErr w:type="spellStart"/>
            <w:r w:rsidRPr="00B74A55">
              <w:rPr>
                <w:sz w:val="22"/>
              </w:rPr>
              <w:t>змішаного</w:t>
            </w:r>
            <w:proofErr w:type="spellEnd"/>
            <w:r w:rsidRPr="00B74A55">
              <w:rPr>
                <w:sz w:val="22"/>
              </w:rPr>
              <w:t xml:space="preserve"> та </w:t>
            </w:r>
            <w:proofErr w:type="spellStart"/>
            <w:r w:rsidRPr="00B74A55">
              <w:rPr>
                <w:sz w:val="22"/>
              </w:rPr>
              <w:t>дистанційного</w:t>
            </w:r>
            <w:proofErr w:type="spellEnd"/>
            <w:r w:rsidRPr="00B74A55">
              <w:rPr>
                <w:sz w:val="22"/>
              </w:rPr>
              <w:t xml:space="preserve"> </w:t>
            </w:r>
            <w:proofErr w:type="spellStart"/>
            <w:r w:rsidRPr="00B74A55">
              <w:rPr>
                <w:sz w:val="22"/>
              </w:rPr>
              <w:t>навчання</w:t>
            </w:r>
            <w:proofErr w:type="spellEnd"/>
            <w:r w:rsidRPr="00B74A55">
              <w:rPr>
                <w:sz w:val="22"/>
              </w:rPr>
              <w:t>;</w:t>
            </w:r>
          </w:p>
          <w:p w:rsidR="00BE7B50" w:rsidRPr="00B74A55" w:rsidRDefault="00BE7B50" w:rsidP="00BE7B50">
            <w:pPr>
              <w:pStyle w:val="a7"/>
              <w:ind w:left="0"/>
              <w:rPr>
                <w:sz w:val="22"/>
              </w:rPr>
            </w:pPr>
            <w:r w:rsidRPr="00B74A55">
              <w:rPr>
                <w:sz w:val="22"/>
              </w:rPr>
              <w:t xml:space="preserve">- </w:t>
            </w:r>
            <w:proofErr w:type="spellStart"/>
            <w:r w:rsidRPr="00B74A55">
              <w:rPr>
                <w:sz w:val="22"/>
              </w:rPr>
              <w:t>забезпечення</w:t>
            </w:r>
            <w:proofErr w:type="spellEnd"/>
            <w:r w:rsidRPr="00B74A55">
              <w:rPr>
                <w:sz w:val="22"/>
              </w:rPr>
              <w:t xml:space="preserve"> ЗЗСО </w:t>
            </w:r>
            <w:proofErr w:type="spellStart"/>
            <w:r w:rsidRPr="00B74A55">
              <w:rPr>
                <w:sz w:val="22"/>
              </w:rPr>
              <w:t>якісним</w:t>
            </w:r>
            <w:proofErr w:type="spellEnd"/>
            <w:r w:rsidRPr="00B74A55">
              <w:rPr>
                <w:sz w:val="22"/>
              </w:rPr>
              <w:t xml:space="preserve"> </w:t>
            </w:r>
            <w:proofErr w:type="spellStart"/>
            <w:r w:rsidRPr="00B74A55">
              <w:rPr>
                <w:sz w:val="22"/>
              </w:rPr>
              <w:t>інтернетом</w:t>
            </w:r>
            <w:proofErr w:type="spellEnd"/>
            <w:r w:rsidRPr="00B74A55">
              <w:rPr>
                <w:sz w:val="22"/>
              </w:rPr>
              <w:t xml:space="preserve"> та </w:t>
            </w:r>
            <w:proofErr w:type="spellStart"/>
            <w:r w:rsidRPr="00B74A55">
              <w:rPr>
                <w:sz w:val="22"/>
              </w:rPr>
              <w:t>апаратними</w:t>
            </w:r>
            <w:proofErr w:type="spellEnd"/>
            <w:r w:rsidRPr="00B74A55">
              <w:rPr>
                <w:sz w:val="22"/>
              </w:rPr>
              <w:t xml:space="preserve"> </w:t>
            </w:r>
            <w:proofErr w:type="spellStart"/>
            <w:r w:rsidRPr="00B74A55">
              <w:rPr>
                <w:sz w:val="22"/>
              </w:rPr>
              <w:t>засобами</w:t>
            </w:r>
            <w:proofErr w:type="spellEnd"/>
            <w:r w:rsidRPr="00B74A55">
              <w:rPr>
                <w:sz w:val="22"/>
              </w:rPr>
              <w:t>;</w:t>
            </w:r>
          </w:p>
          <w:p w:rsidR="00BE7B50" w:rsidRPr="00B74A55" w:rsidRDefault="00BE7B50" w:rsidP="00BE7B50">
            <w:pPr>
              <w:pStyle w:val="a7"/>
              <w:ind w:left="0"/>
              <w:rPr>
                <w:sz w:val="22"/>
              </w:rPr>
            </w:pPr>
            <w:r w:rsidRPr="00B74A55">
              <w:rPr>
                <w:sz w:val="22"/>
              </w:rPr>
              <w:t xml:space="preserve">- </w:t>
            </w:r>
            <w:proofErr w:type="spellStart"/>
            <w:r w:rsidRPr="00B74A55">
              <w:rPr>
                <w:sz w:val="22"/>
              </w:rPr>
              <w:t>підвищення</w:t>
            </w:r>
            <w:proofErr w:type="spellEnd"/>
            <w:r w:rsidRPr="00B74A55">
              <w:rPr>
                <w:sz w:val="22"/>
              </w:rPr>
              <w:t xml:space="preserve"> </w:t>
            </w:r>
            <w:proofErr w:type="spellStart"/>
            <w:r w:rsidRPr="00B74A55">
              <w:rPr>
                <w:sz w:val="22"/>
              </w:rPr>
              <w:t>вмотивованості</w:t>
            </w:r>
            <w:proofErr w:type="spellEnd"/>
            <w:r w:rsidRPr="00B74A55">
              <w:rPr>
                <w:sz w:val="22"/>
              </w:rPr>
              <w:t xml:space="preserve"> </w:t>
            </w:r>
            <w:proofErr w:type="spellStart"/>
            <w:proofErr w:type="gramStart"/>
            <w:r w:rsidRPr="00B74A55">
              <w:rPr>
                <w:sz w:val="22"/>
              </w:rPr>
              <w:t>учнів</w:t>
            </w:r>
            <w:proofErr w:type="spellEnd"/>
            <w:r w:rsidRPr="00B74A55">
              <w:rPr>
                <w:sz w:val="22"/>
              </w:rPr>
              <w:t xml:space="preserve">  до</w:t>
            </w:r>
            <w:proofErr w:type="gramEnd"/>
            <w:r w:rsidRPr="00B74A55">
              <w:rPr>
                <w:sz w:val="22"/>
              </w:rPr>
              <w:t xml:space="preserve"> </w:t>
            </w:r>
            <w:proofErr w:type="spellStart"/>
            <w:r w:rsidRPr="00B74A55">
              <w:rPr>
                <w:sz w:val="22"/>
              </w:rPr>
              <w:t>здобуття</w:t>
            </w:r>
            <w:proofErr w:type="spellEnd"/>
            <w:r w:rsidRPr="00B74A55">
              <w:rPr>
                <w:sz w:val="22"/>
              </w:rPr>
              <w:t xml:space="preserve"> </w:t>
            </w:r>
            <w:proofErr w:type="spellStart"/>
            <w:r w:rsidRPr="00B74A55">
              <w:rPr>
                <w:sz w:val="22"/>
              </w:rPr>
              <w:t>освіти</w:t>
            </w:r>
            <w:proofErr w:type="spellEnd"/>
            <w:r w:rsidRPr="00B74A55">
              <w:rPr>
                <w:sz w:val="22"/>
              </w:rPr>
              <w:t xml:space="preserve">, </w:t>
            </w:r>
            <w:proofErr w:type="spellStart"/>
            <w:r w:rsidRPr="00B74A55">
              <w:rPr>
                <w:sz w:val="22"/>
              </w:rPr>
              <w:t>знайомство</w:t>
            </w:r>
            <w:proofErr w:type="spellEnd"/>
            <w:r w:rsidRPr="00B74A55">
              <w:rPr>
                <w:sz w:val="22"/>
              </w:rPr>
              <w:t xml:space="preserve"> з </w:t>
            </w:r>
            <w:proofErr w:type="spellStart"/>
            <w:r w:rsidRPr="00B74A55">
              <w:rPr>
                <w:sz w:val="22"/>
              </w:rPr>
              <w:t>новітніми</w:t>
            </w:r>
            <w:proofErr w:type="spellEnd"/>
            <w:r w:rsidRPr="00B74A55">
              <w:rPr>
                <w:sz w:val="22"/>
              </w:rPr>
              <w:t xml:space="preserve"> </w:t>
            </w:r>
            <w:proofErr w:type="spellStart"/>
            <w:r w:rsidRPr="00B74A55">
              <w:rPr>
                <w:sz w:val="22"/>
              </w:rPr>
              <w:t>технологіями</w:t>
            </w:r>
            <w:proofErr w:type="spellEnd"/>
            <w:r w:rsidRPr="00B74A55">
              <w:rPr>
                <w:sz w:val="22"/>
              </w:rPr>
              <w:t xml:space="preserve">, </w:t>
            </w:r>
            <w:proofErr w:type="spellStart"/>
            <w:r w:rsidRPr="00B74A55">
              <w:rPr>
                <w:sz w:val="22"/>
              </w:rPr>
              <w:t>стимулювання</w:t>
            </w:r>
            <w:proofErr w:type="spellEnd"/>
            <w:r w:rsidRPr="00B74A55">
              <w:rPr>
                <w:sz w:val="22"/>
              </w:rPr>
              <w:t xml:space="preserve"> </w:t>
            </w:r>
            <w:proofErr w:type="spellStart"/>
            <w:r w:rsidRPr="00B74A55">
              <w:rPr>
                <w:sz w:val="22"/>
              </w:rPr>
              <w:t>науково-експериментальні</w:t>
            </w:r>
            <w:proofErr w:type="spellEnd"/>
            <w:r w:rsidRPr="00B74A55">
              <w:rPr>
                <w:sz w:val="22"/>
              </w:rPr>
              <w:t xml:space="preserve"> </w:t>
            </w:r>
            <w:proofErr w:type="spellStart"/>
            <w:r w:rsidRPr="00B74A55">
              <w:rPr>
                <w:sz w:val="22"/>
              </w:rPr>
              <w:t>дослідження</w:t>
            </w:r>
            <w:proofErr w:type="spellEnd"/>
            <w:r w:rsidRPr="00B74A55">
              <w:rPr>
                <w:sz w:val="22"/>
              </w:rPr>
              <w:t xml:space="preserve"> </w:t>
            </w:r>
            <w:proofErr w:type="spellStart"/>
            <w:r w:rsidRPr="00B74A55">
              <w:rPr>
                <w:sz w:val="22"/>
              </w:rPr>
              <w:t>учнів</w:t>
            </w:r>
            <w:proofErr w:type="spellEnd"/>
            <w:r w:rsidRPr="00B74A55">
              <w:rPr>
                <w:sz w:val="22"/>
              </w:rPr>
              <w:t xml:space="preserve">,  </w:t>
            </w:r>
            <w:proofErr w:type="spellStart"/>
            <w:r w:rsidRPr="00B74A55">
              <w:rPr>
                <w:sz w:val="22"/>
              </w:rPr>
              <w:t>залучення</w:t>
            </w:r>
            <w:proofErr w:type="spellEnd"/>
            <w:r w:rsidRPr="00B74A55">
              <w:rPr>
                <w:sz w:val="22"/>
              </w:rPr>
              <w:t xml:space="preserve"> до </w:t>
            </w:r>
            <w:proofErr w:type="spellStart"/>
            <w:r w:rsidRPr="00B74A55">
              <w:rPr>
                <w:sz w:val="22"/>
              </w:rPr>
              <w:t>проєктної</w:t>
            </w:r>
            <w:proofErr w:type="spellEnd"/>
            <w:r w:rsidRPr="00B74A55">
              <w:rPr>
                <w:sz w:val="22"/>
              </w:rPr>
              <w:t xml:space="preserve"> </w:t>
            </w:r>
            <w:proofErr w:type="spellStart"/>
            <w:r w:rsidRPr="00B74A55">
              <w:rPr>
                <w:sz w:val="22"/>
              </w:rPr>
              <w:t>діяльності</w:t>
            </w:r>
            <w:proofErr w:type="spellEnd"/>
            <w:r w:rsidRPr="00B74A55">
              <w:rPr>
                <w:sz w:val="22"/>
              </w:rPr>
              <w:t>;</w:t>
            </w:r>
          </w:p>
          <w:p w:rsidR="00BE7B50" w:rsidRPr="00B74A55" w:rsidRDefault="00BE7B50" w:rsidP="00BE7B50">
            <w:pPr>
              <w:pStyle w:val="a7"/>
              <w:ind w:left="0"/>
              <w:rPr>
                <w:sz w:val="22"/>
              </w:rPr>
            </w:pPr>
            <w:r w:rsidRPr="00B74A55">
              <w:rPr>
                <w:sz w:val="22"/>
              </w:rPr>
              <w:t xml:space="preserve">- </w:t>
            </w:r>
            <w:proofErr w:type="spellStart"/>
            <w:r w:rsidRPr="00B74A55">
              <w:rPr>
                <w:sz w:val="22"/>
              </w:rPr>
              <w:t>створення</w:t>
            </w:r>
            <w:proofErr w:type="spellEnd"/>
            <w:r w:rsidRPr="00B74A55">
              <w:rPr>
                <w:sz w:val="22"/>
              </w:rPr>
              <w:t xml:space="preserve"> </w:t>
            </w:r>
            <w:proofErr w:type="spellStart"/>
            <w:r w:rsidRPr="00B74A55">
              <w:rPr>
                <w:sz w:val="22"/>
              </w:rPr>
              <w:t>нових</w:t>
            </w:r>
            <w:proofErr w:type="spellEnd"/>
            <w:r w:rsidRPr="00B74A55">
              <w:rPr>
                <w:sz w:val="22"/>
              </w:rPr>
              <w:t xml:space="preserve"> </w:t>
            </w:r>
            <w:proofErr w:type="spellStart"/>
            <w:r w:rsidRPr="00B74A55">
              <w:rPr>
                <w:sz w:val="22"/>
              </w:rPr>
              <w:t>робочих</w:t>
            </w:r>
            <w:proofErr w:type="spellEnd"/>
            <w:r w:rsidRPr="00B74A55">
              <w:rPr>
                <w:sz w:val="22"/>
              </w:rPr>
              <w:t xml:space="preserve"> </w:t>
            </w:r>
            <w:proofErr w:type="spellStart"/>
            <w:r w:rsidRPr="00B74A55">
              <w:rPr>
                <w:sz w:val="22"/>
              </w:rPr>
              <w:t>місць</w:t>
            </w:r>
            <w:proofErr w:type="spellEnd"/>
            <w:r w:rsidRPr="00B74A55">
              <w:rPr>
                <w:sz w:val="22"/>
              </w:rPr>
              <w:t>;</w:t>
            </w:r>
          </w:p>
          <w:p w:rsidR="00BE7B50" w:rsidRPr="00B74A55" w:rsidRDefault="00BE7B50" w:rsidP="00BE7B50">
            <w:pPr>
              <w:pStyle w:val="a7"/>
              <w:ind w:left="0"/>
              <w:rPr>
                <w:sz w:val="22"/>
              </w:rPr>
            </w:pPr>
            <w:r w:rsidRPr="00B74A55">
              <w:rPr>
                <w:sz w:val="22"/>
              </w:rPr>
              <w:t xml:space="preserve">- стимул до </w:t>
            </w:r>
            <w:proofErr w:type="spellStart"/>
            <w:r w:rsidRPr="00B74A55">
              <w:rPr>
                <w:sz w:val="22"/>
              </w:rPr>
              <w:t>повернення</w:t>
            </w:r>
            <w:proofErr w:type="spellEnd"/>
            <w:r w:rsidRPr="00B74A55">
              <w:rPr>
                <w:sz w:val="22"/>
              </w:rPr>
              <w:t xml:space="preserve"> ВПО до </w:t>
            </w:r>
            <w:proofErr w:type="spellStart"/>
            <w:r w:rsidRPr="00B74A55">
              <w:rPr>
                <w:sz w:val="22"/>
              </w:rPr>
              <w:t>громади</w:t>
            </w:r>
            <w:proofErr w:type="spellEnd"/>
            <w:r w:rsidRPr="00B74A55">
              <w:rPr>
                <w:sz w:val="22"/>
              </w:rPr>
              <w:t>;</w:t>
            </w:r>
          </w:p>
          <w:p w:rsidR="00BE7B50" w:rsidRPr="00B74A55" w:rsidRDefault="00BE7B50" w:rsidP="00BE7B50">
            <w:pPr>
              <w:pStyle w:val="a7"/>
              <w:ind w:left="0"/>
              <w:rPr>
                <w:sz w:val="22"/>
              </w:rPr>
            </w:pPr>
          </w:p>
        </w:tc>
      </w:tr>
      <w:tr w:rsidR="00BE7B50" w:rsidRPr="00B74A55" w:rsidTr="00F34B87">
        <w:trPr>
          <w:trHeight w:val="390"/>
        </w:trPr>
        <w:tc>
          <w:tcPr>
            <w:tcW w:w="2978" w:type="dxa"/>
            <w:vMerge w:val="restart"/>
            <w:shd w:val="clear" w:color="auto" w:fill="C6D9F1" w:themeFill="text2" w:themeFillTint="33"/>
          </w:tcPr>
          <w:p w:rsidR="00BE7B50" w:rsidRPr="00B74A55" w:rsidRDefault="00BE7B50" w:rsidP="00BE7B50">
            <w:pPr>
              <w:pStyle w:val="a7"/>
              <w:ind w:left="0"/>
              <w:rPr>
                <w:b/>
                <w:sz w:val="22"/>
                <w:lang w:val="uk-UA"/>
              </w:rPr>
            </w:pPr>
            <w:r w:rsidRPr="00B74A55">
              <w:rPr>
                <w:b/>
                <w:sz w:val="22"/>
                <w:lang w:val="uk-UA"/>
              </w:rPr>
              <w:t xml:space="preserve">Очікувані кількісні результати реалізації </w:t>
            </w:r>
            <w:proofErr w:type="spellStart"/>
            <w:r w:rsidRPr="00B74A55">
              <w:rPr>
                <w:b/>
                <w:sz w:val="22"/>
                <w:lang w:val="uk-UA"/>
              </w:rPr>
              <w:t>проєкту</w:t>
            </w:r>
            <w:proofErr w:type="spellEnd"/>
            <w:r w:rsidRPr="00B74A55">
              <w:rPr>
                <w:b/>
                <w:sz w:val="22"/>
                <w:lang w:val="uk-UA"/>
              </w:rPr>
              <w:t xml:space="preserve"> (індикатори)</w:t>
            </w:r>
          </w:p>
          <w:p w:rsidR="00BE7B50" w:rsidRPr="00B74A55" w:rsidRDefault="00BE7B50" w:rsidP="00BE7B50">
            <w:pPr>
              <w:pStyle w:val="a7"/>
              <w:ind w:left="0"/>
              <w:rPr>
                <w:b/>
                <w:sz w:val="22"/>
                <w:lang w:val="uk-UA"/>
              </w:rPr>
            </w:pPr>
          </w:p>
        </w:tc>
        <w:tc>
          <w:tcPr>
            <w:tcW w:w="4252" w:type="dxa"/>
            <w:gridSpan w:val="4"/>
            <w:tcBorders>
              <w:bottom w:val="single" w:sz="4" w:space="0" w:color="auto"/>
              <w:right w:val="single" w:sz="4" w:space="0" w:color="auto"/>
            </w:tcBorders>
          </w:tcPr>
          <w:p w:rsidR="00BE7B50" w:rsidRPr="00B74A55" w:rsidRDefault="00BE7B50" w:rsidP="00BE7B50">
            <w:pPr>
              <w:pStyle w:val="a7"/>
              <w:ind w:left="-108"/>
              <w:jc w:val="center"/>
              <w:rPr>
                <w:b/>
                <w:sz w:val="22"/>
              </w:rPr>
            </w:pPr>
            <w:proofErr w:type="spellStart"/>
            <w:r w:rsidRPr="00B74A55">
              <w:rPr>
                <w:b/>
                <w:sz w:val="22"/>
              </w:rPr>
              <w:t>Найменування</w:t>
            </w:r>
            <w:proofErr w:type="spellEnd"/>
            <w:r w:rsidRPr="00B74A55">
              <w:rPr>
                <w:b/>
                <w:sz w:val="22"/>
              </w:rPr>
              <w:t xml:space="preserve"> </w:t>
            </w:r>
            <w:proofErr w:type="spellStart"/>
            <w:r w:rsidRPr="00B74A55">
              <w:rPr>
                <w:b/>
                <w:sz w:val="22"/>
              </w:rPr>
              <w:t>показника</w:t>
            </w:r>
            <w:proofErr w:type="spellEnd"/>
          </w:p>
        </w:tc>
        <w:tc>
          <w:tcPr>
            <w:tcW w:w="1701" w:type="dxa"/>
            <w:tcBorders>
              <w:left w:val="single" w:sz="4" w:space="0" w:color="auto"/>
              <w:bottom w:val="single" w:sz="4" w:space="0" w:color="auto"/>
              <w:right w:val="single" w:sz="4" w:space="0" w:color="auto"/>
            </w:tcBorders>
          </w:tcPr>
          <w:p w:rsidR="00BE7B50" w:rsidRPr="00B74A55" w:rsidRDefault="00BE7B50" w:rsidP="00BE7B50">
            <w:pPr>
              <w:pStyle w:val="a7"/>
              <w:ind w:left="0"/>
              <w:jc w:val="center"/>
              <w:rPr>
                <w:b/>
                <w:sz w:val="22"/>
              </w:rPr>
            </w:pPr>
            <w:proofErr w:type="spellStart"/>
            <w:r w:rsidRPr="00B74A55">
              <w:rPr>
                <w:b/>
                <w:sz w:val="22"/>
              </w:rPr>
              <w:t>Одиниця</w:t>
            </w:r>
            <w:proofErr w:type="spellEnd"/>
            <w:r w:rsidRPr="00B74A55">
              <w:rPr>
                <w:b/>
                <w:sz w:val="22"/>
              </w:rPr>
              <w:t xml:space="preserve"> </w:t>
            </w:r>
            <w:proofErr w:type="spellStart"/>
            <w:r w:rsidRPr="00B74A55">
              <w:rPr>
                <w:b/>
                <w:sz w:val="22"/>
              </w:rPr>
              <w:t>вимірювання</w:t>
            </w:r>
            <w:proofErr w:type="spellEnd"/>
          </w:p>
          <w:p w:rsidR="00BE7B50" w:rsidRPr="00B74A55" w:rsidRDefault="00BE7B50" w:rsidP="00BE7B50">
            <w:pPr>
              <w:pStyle w:val="a7"/>
              <w:ind w:left="0"/>
              <w:rPr>
                <w:b/>
                <w:sz w:val="22"/>
              </w:rPr>
            </w:pPr>
          </w:p>
        </w:tc>
        <w:tc>
          <w:tcPr>
            <w:tcW w:w="992" w:type="dxa"/>
            <w:tcBorders>
              <w:left w:val="single" w:sz="4" w:space="0" w:color="auto"/>
              <w:bottom w:val="single" w:sz="4" w:space="0" w:color="auto"/>
            </w:tcBorders>
          </w:tcPr>
          <w:p w:rsidR="00BE7B50" w:rsidRPr="00B74A55" w:rsidRDefault="00BE7B50" w:rsidP="00BE7B50">
            <w:pPr>
              <w:pStyle w:val="a7"/>
              <w:ind w:left="0"/>
              <w:jc w:val="center"/>
              <w:rPr>
                <w:b/>
                <w:sz w:val="22"/>
              </w:rPr>
            </w:pPr>
            <w:proofErr w:type="spellStart"/>
            <w:r w:rsidRPr="00B74A55">
              <w:rPr>
                <w:b/>
                <w:sz w:val="22"/>
              </w:rPr>
              <w:t>Прогнозне</w:t>
            </w:r>
            <w:proofErr w:type="spellEnd"/>
            <w:r w:rsidRPr="00B74A55">
              <w:rPr>
                <w:b/>
                <w:sz w:val="22"/>
              </w:rPr>
              <w:t xml:space="preserve"> (</w:t>
            </w:r>
            <w:proofErr w:type="spellStart"/>
            <w:r w:rsidRPr="00B74A55">
              <w:rPr>
                <w:b/>
                <w:sz w:val="22"/>
              </w:rPr>
              <w:t>цільове</w:t>
            </w:r>
            <w:proofErr w:type="spellEnd"/>
            <w:r w:rsidRPr="00B74A55">
              <w:rPr>
                <w:b/>
                <w:sz w:val="22"/>
              </w:rPr>
              <w:t xml:space="preserve">) </w:t>
            </w:r>
            <w:proofErr w:type="spellStart"/>
            <w:r w:rsidRPr="00B74A55">
              <w:rPr>
                <w:b/>
                <w:sz w:val="22"/>
              </w:rPr>
              <w:t>значення</w:t>
            </w:r>
            <w:proofErr w:type="spellEnd"/>
          </w:p>
        </w:tc>
      </w:tr>
      <w:tr w:rsidR="00BE7B50" w:rsidRPr="00B74A55" w:rsidTr="00F34B87">
        <w:trPr>
          <w:trHeight w:val="585"/>
        </w:trPr>
        <w:tc>
          <w:tcPr>
            <w:tcW w:w="2978" w:type="dxa"/>
            <w:vMerge/>
            <w:shd w:val="clear" w:color="auto" w:fill="C6D9F1" w:themeFill="text2" w:themeFillTint="33"/>
          </w:tcPr>
          <w:p w:rsidR="00BE7B50" w:rsidRPr="00B74A55" w:rsidRDefault="00BE7B50" w:rsidP="00BE7B50">
            <w:pPr>
              <w:pStyle w:val="a7"/>
              <w:ind w:left="0"/>
              <w:rPr>
                <w:b/>
                <w:sz w:val="22"/>
              </w:rPr>
            </w:pPr>
          </w:p>
        </w:tc>
        <w:tc>
          <w:tcPr>
            <w:tcW w:w="4252" w:type="dxa"/>
            <w:gridSpan w:val="4"/>
            <w:tcBorders>
              <w:top w:val="single" w:sz="4" w:space="0" w:color="auto"/>
              <w:bottom w:val="single" w:sz="4" w:space="0" w:color="auto"/>
              <w:right w:val="single" w:sz="4" w:space="0" w:color="auto"/>
            </w:tcBorders>
          </w:tcPr>
          <w:p w:rsidR="00BE7B50" w:rsidRPr="00B74A55" w:rsidRDefault="00BE7B50" w:rsidP="00BE7B50">
            <w:pPr>
              <w:pStyle w:val="a7"/>
              <w:ind w:left="0"/>
              <w:jc w:val="center"/>
              <w:rPr>
                <w:sz w:val="22"/>
              </w:rPr>
            </w:pPr>
            <w:proofErr w:type="spellStart"/>
            <w:r w:rsidRPr="00B74A55">
              <w:rPr>
                <w:sz w:val="22"/>
              </w:rPr>
              <w:t>Кількість</w:t>
            </w:r>
            <w:proofErr w:type="spellEnd"/>
            <w:r w:rsidRPr="00B74A55">
              <w:rPr>
                <w:sz w:val="22"/>
              </w:rPr>
              <w:t xml:space="preserve"> </w:t>
            </w:r>
            <w:proofErr w:type="spellStart"/>
            <w:r w:rsidRPr="00B74A55">
              <w:rPr>
                <w:sz w:val="22"/>
              </w:rPr>
              <w:t>фізичних</w:t>
            </w:r>
            <w:proofErr w:type="spellEnd"/>
            <w:r w:rsidRPr="00B74A55">
              <w:rPr>
                <w:sz w:val="22"/>
              </w:rPr>
              <w:t xml:space="preserve"> </w:t>
            </w:r>
            <w:proofErr w:type="spellStart"/>
            <w:r w:rsidRPr="00B74A55">
              <w:rPr>
                <w:sz w:val="22"/>
              </w:rPr>
              <w:t>осіб</w:t>
            </w:r>
            <w:proofErr w:type="spellEnd"/>
            <w:r w:rsidRPr="00B74A55">
              <w:rPr>
                <w:sz w:val="22"/>
              </w:rPr>
              <w:t xml:space="preserve">, </w:t>
            </w:r>
            <w:proofErr w:type="spellStart"/>
            <w:r w:rsidRPr="00B74A55">
              <w:rPr>
                <w:sz w:val="22"/>
              </w:rPr>
              <w:t>які</w:t>
            </w:r>
            <w:proofErr w:type="spellEnd"/>
            <w:r w:rsidRPr="00B74A55">
              <w:rPr>
                <w:sz w:val="22"/>
              </w:rPr>
              <w:t xml:space="preserve"> </w:t>
            </w:r>
            <w:proofErr w:type="spellStart"/>
            <w:r w:rsidRPr="00B74A55">
              <w:rPr>
                <w:sz w:val="22"/>
              </w:rPr>
              <w:t>звернулись</w:t>
            </w:r>
            <w:proofErr w:type="spellEnd"/>
            <w:r w:rsidRPr="00B74A55">
              <w:rPr>
                <w:sz w:val="22"/>
              </w:rPr>
              <w:t xml:space="preserve"> за </w:t>
            </w:r>
            <w:proofErr w:type="spellStart"/>
            <w:r w:rsidRPr="00B74A55">
              <w:rPr>
                <w:sz w:val="22"/>
              </w:rPr>
              <w:t>послугами</w:t>
            </w:r>
            <w:proofErr w:type="spellEnd"/>
            <w:r w:rsidRPr="00B74A55">
              <w:rPr>
                <w:sz w:val="22"/>
              </w:rPr>
              <w:t xml:space="preserve"> </w:t>
            </w:r>
            <w:proofErr w:type="spellStart"/>
            <w:proofErr w:type="gramStart"/>
            <w:r w:rsidRPr="00B74A55">
              <w:rPr>
                <w:sz w:val="22"/>
              </w:rPr>
              <w:t>протягом</w:t>
            </w:r>
            <w:proofErr w:type="spellEnd"/>
            <w:r w:rsidRPr="00B74A55">
              <w:rPr>
                <w:sz w:val="22"/>
              </w:rPr>
              <w:t xml:space="preserve">  року</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rsidR="00BE7B50" w:rsidRPr="00B74A55" w:rsidRDefault="00BE7B50" w:rsidP="00BE7B50">
            <w:pPr>
              <w:pStyle w:val="a7"/>
              <w:ind w:left="0"/>
              <w:jc w:val="center"/>
              <w:rPr>
                <w:sz w:val="22"/>
              </w:rPr>
            </w:pPr>
            <w:proofErr w:type="spellStart"/>
            <w:r w:rsidRPr="00B74A55">
              <w:rPr>
                <w:sz w:val="22"/>
              </w:rPr>
              <w:t>осіб</w:t>
            </w:r>
            <w:proofErr w:type="spellEnd"/>
          </w:p>
        </w:tc>
        <w:tc>
          <w:tcPr>
            <w:tcW w:w="992" w:type="dxa"/>
            <w:tcBorders>
              <w:top w:val="single" w:sz="4" w:space="0" w:color="auto"/>
              <w:left w:val="single" w:sz="4" w:space="0" w:color="auto"/>
              <w:bottom w:val="single" w:sz="4" w:space="0" w:color="auto"/>
            </w:tcBorders>
          </w:tcPr>
          <w:p w:rsidR="00BE7B50" w:rsidRPr="00B74A55" w:rsidRDefault="00BE7B50" w:rsidP="00BE7B50">
            <w:pPr>
              <w:pStyle w:val="a7"/>
              <w:ind w:left="0"/>
              <w:jc w:val="center"/>
              <w:rPr>
                <w:b/>
                <w:sz w:val="22"/>
              </w:rPr>
            </w:pPr>
            <w:r w:rsidRPr="00B74A55">
              <w:rPr>
                <w:sz w:val="22"/>
              </w:rPr>
              <w:t>600</w:t>
            </w:r>
          </w:p>
        </w:tc>
      </w:tr>
      <w:tr w:rsidR="00BE7B50" w:rsidRPr="00B74A55" w:rsidTr="00F34B87">
        <w:trPr>
          <w:trHeight w:val="184"/>
        </w:trPr>
        <w:tc>
          <w:tcPr>
            <w:tcW w:w="2978" w:type="dxa"/>
            <w:vMerge/>
            <w:shd w:val="clear" w:color="auto" w:fill="C6D9F1" w:themeFill="text2" w:themeFillTint="33"/>
          </w:tcPr>
          <w:p w:rsidR="00BE7B50" w:rsidRPr="00B74A55" w:rsidRDefault="00BE7B50" w:rsidP="00BE7B50">
            <w:pPr>
              <w:pStyle w:val="a7"/>
              <w:ind w:left="0"/>
              <w:rPr>
                <w:b/>
                <w:sz w:val="22"/>
              </w:rPr>
            </w:pPr>
          </w:p>
        </w:tc>
        <w:tc>
          <w:tcPr>
            <w:tcW w:w="4252" w:type="dxa"/>
            <w:gridSpan w:val="4"/>
            <w:tcBorders>
              <w:top w:val="single" w:sz="4" w:space="0" w:color="auto"/>
              <w:bottom w:val="single" w:sz="4" w:space="0" w:color="auto"/>
              <w:right w:val="single" w:sz="4" w:space="0" w:color="auto"/>
            </w:tcBorders>
          </w:tcPr>
          <w:p w:rsidR="00BE7B50" w:rsidRPr="00B74A55" w:rsidRDefault="00BE7B50" w:rsidP="00BE7B50">
            <w:pPr>
              <w:pStyle w:val="a7"/>
              <w:ind w:left="0"/>
              <w:jc w:val="center"/>
              <w:rPr>
                <w:sz w:val="22"/>
              </w:rPr>
            </w:pPr>
            <w:proofErr w:type="spellStart"/>
            <w:r w:rsidRPr="00B74A55">
              <w:rPr>
                <w:sz w:val="22"/>
              </w:rPr>
              <w:t>Кількість</w:t>
            </w:r>
            <w:proofErr w:type="spellEnd"/>
            <w:r w:rsidRPr="00B74A55">
              <w:rPr>
                <w:sz w:val="22"/>
              </w:rPr>
              <w:t xml:space="preserve"> </w:t>
            </w:r>
            <w:proofErr w:type="spellStart"/>
            <w:r w:rsidRPr="00B74A55">
              <w:rPr>
                <w:sz w:val="22"/>
              </w:rPr>
              <w:t>видів</w:t>
            </w:r>
            <w:proofErr w:type="spellEnd"/>
            <w:r w:rsidRPr="00B74A55">
              <w:rPr>
                <w:sz w:val="22"/>
              </w:rPr>
              <w:t xml:space="preserve"> та </w:t>
            </w:r>
            <w:proofErr w:type="spellStart"/>
            <w:r w:rsidRPr="00B74A55">
              <w:rPr>
                <w:sz w:val="22"/>
              </w:rPr>
              <w:t>типів</w:t>
            </w:r>
            <w:proofErr w:type="spellEnd"/>
            <w:r w:rsidRPr="00B74A55">
              <w:rPr>
                <w:sz w:val="22"/>
              </w:rPr>
              <w:t xml:space="preserve"> </w:t>
            </w:r>
            <w:proofErr w:type="spellStart"/>
            <w:r w:rsidRPr="00B74A55">
              <w:rPr>
                <w:sz w:val="22"/>
              </w:rPr>
              <w:t>послуг</w:t>
            </w:r>
            <w:proofErr w:type="spellEnd"/>
            <w:r w:rsidR="00AB73E9" w:rsidRPr="00B74A55">
              <w:rPr>
                <w:sz w:val="22"/>
              </w:rPr>
              <w:t>,</w:t>
            </w:r>
            <w:r w:rsidRPr="00B74A55">
              <w:rPr>
                <w:sz w:val="22"/>
              </w:rPr>
              <w:t xml:space="preserve"> </w:t>
            </w:r>
            <w:proofErr w:type="spellStart"/>
            <w:r w:rsidRPr="00B74A55">
              <w:rPr>
                <w:sz w:val="22"/>
              </w:rPr>
              <w:t>наданих</w:t>
            </w:r>
            <w:proofErr w:type="spellEnd"/>
            <w:r w:rsidRPr="00B74A55">
              <w:rPr>
                <w:sz w:val="22"/>
              </w:rPr>
              <w:t xml:space="preserve"> </w:t>
            </w:r>
            <w:proofErr w:type="spellStart"/>
            <w:r w:rsidRPr="00B74A55">
              <w:rPr>
                <w:sz w:val="22"/>
              </w:rPr>
              <w:t>протягом</w:t>
            </w:r>
            <w:proofErr w:type="spellEnd"/>
            <w:r w:rsidRPr="00B74A55">
              <w:rPr>
                <w:sz w:val="22"/>
              </w:rPr>
              <w:t xml:space="preserve"> одно </w:t>
            </w:r>
            <w:proofErr w:type="spellStart"/>
            <w:r w:rsidRPr="00B74A55">
              <w:rPr>
                <w:sz w:val="22"/>
              </w:rPr>
              <w:t>робочого</w:t>
            </w:r>
            <w:proofErr w:type="spellEnd"/>
            <w:r w:rsidRPr="00B74A55">
              <w:rPr>
                <w:sz w:val="22"/>
              </w:rPr>
              <w:t xml:space="preserve"> дня</w:t>
            </w:r>
          </w:p>
        </w:tc>
        <w:tc>
          <w:tcPr>
            <w:tcW w:w="1701" w:type="dxa"/>
            <w:tcBorders>
              <w:top w:val="single" w:sz="4" w:space="0" w:color="auto"/>
              <w:left w:val="single" w:sz="4" w:space="0" w:color="auto"/>
              <w:bottom w:val="single" w:sz="4" w:space="0" w:color="auto"/>
              <w:right w:val="single" w:sz="4" w:space="0" w:color="auto"/>
            </w:tcBorders>
            <w:vAlign w:val="center"/>
          </w:tcPr>
          <w:p w:rsidR="00BE7B50" w:rsidRPr="00B74A55" w:rsidRDefault="00BE7B50" w:rsidP="00BE7B50">
            <w:pPr>
              <w:pStyle w:val="a7"/>
              <w:ind w:left="0"/>
              <w:jc w:val="center"/>
              <w:rPr>
                <w:sz w:val="22"/>
              </w:rPr>
            </w:pPr>
            <w:proofErr w:type="spellStart"/>
            <w:r w:rsidRPr="00B74A55">
              <w:rPr>
                <w:sz w:val="22"/>
              </w:rPr>
              <w:t>одиниць</w:t>
            </w:r>
            <w:proofErr w:type="spellEnd"/>
          </w:p>
        </w:tc>
        <w:tc>
          <w:tcPr>
            <w:tcW w:w="992" w:type="dxa"/>
            <w:tcBorders>
              <w:top w:val="single" w:sz="4" w:space="0" w:color="auto"/>
              <w:left w:val="single" w:sz="4" w:space="0" w:color="auto"/>
              <w:bottom w:val="single" w:sz="4" w:space="0" w:color="auto"/>
            </w:tcBorders>
          </w:tcPr>
          <w:p w:rsidR="00BE7B50" w:rsidRPr="00B74A55" w:rsidRDefault="00BE7B50" w:rsidP="00BE7B50">
            <w:pPr>
              <w:pStyle w:val="a7"/>
              <w:ind w:left="0"/>
              <w:jc w:val="center"/>
              <w:rPr>
                <w:sz w:val="22"/>
              </w:rPr>
            </w:pPr>
            <w:r w:rsidRPr="00B74A55">
              <w:rPr>
                <w:sz w:val="22"/>
              </w:rPr>
              <w:t>120</w:t>
            </w:r>
          </w:p>
        </w:tc>
      </w:tr>
      <w:tr w:rsidR="00BE7B50" w:rsidRPr="00B74A55" w:rsidTr="00F34B87">
        <w:trPr>
          <w:trHeight w:val="150"/>
        </w:trPr>
        <w:tc>
          <w:tcPr>
            <w:tcW w:w="2978" w:type="dxa"/>
            <w:vMerge/>
            <w:shd w:val="clear" w:color="auto" w:fill="C6D9F1" w:themeFill="text2" w:themeFillTint="33"/>
          </w:tcPr>
          <w:p w:rsidR="00BE7B50" w:rsidRPr="00B74A55" w:rsidRDefault="00BE7B50" w:rsidP="00BE7B50">
            <w:pPr>
              <w:pStyle w:val="a7"/>
              <w:ind w:left="0"/>
              <w:rPr>
                <w:b/>
                <w:sz w:val="22"/>
              </w:rPr>
            </w:pPr>
          </w:p>
        </w:tc>
        <w:tc>
          <w:tcPr>
            <w:tcW w:w="4252" w:type="dxa"/>
            <w:gridSpan w:val="4"/>
            <w:tcBorders>
              <w:top w:val="single" w:sz="4" w:space="0" w:color="auto"/>
              <w:right w:val="single" w:sz="4" w:space="0" w:color="auto"/>
            </w:tcBorders>
          </w:tcPr>
          <w:p w:rsidR="00BE7B50" w:rsidRPr="00B74A55" w:rsidRDefault="00BE7B50" w:rsidP="00BE7B50">
            <w:pPr>
              <w:pStyle w:val="a7"/>
              <w:ind w:left="0"/>
              <w:jc w:val="center"/>
              <w:rPr>
                <w:sz w:val="22"/>
              </w:rPr>
            </w:pPr>
            <w:proofErr w:type="spellStart"/>
            <w:r w:rsidRPr="00B74A55">
              <w:rPr>
                <w:sz w:val="22"/>
              </w:rPr>
              <w:t>Термін</w:t>
            </w:r>
            <w:proofErr w:type="spellEnd"/>
            <w:r w:rsidRPr="00B74A55">
              <w:rPr>
                <w:sz w:val="22"/>
              </w:rPr>
              <w:t xml:space="preserve"> </w:t>
            </w:r>
            <w:proofErr w:type="spellStart"/>
            <w:r w:rsidRPr="00B74A55">
              <w:rPr>
                <w:sz w:val="22"/>
              </w:rPr>
              <w:t>надання</w:t>
            </w:r>
            <w:proofErr w:type="spellEnd"/>
            <w:r w:rsidRPr="00B74A55">
              <w:rPr>
                <w:sz w:val="22"/>
              </w:rPr>
              <w:t xml:space="preserve"> </w:t>
            </w:r>
            <w:proofErr w:type="spellStart"/>
            <w:r w:rsidRPr="00B74A55">
              <w:rPr>
                <w:sz w:val="22"/>
              </w:rPr>
              <w:t>послуги</w:t>
            </w:r>
            <w:proofErr w:type="spellEnd"/>
          </w:p>
        </w:tc>
        <w:tc>
          <w:tcPr>
            <w:tcW w:w="1701" w:type="dxa"/>
            <w:tcBorders>
              <w:top w:val="single" w:sz="4" w:space="0" w:color="auto"/>
              <w:left w:val="single" w:sz="4" w:space="0" w:color="auto"/>
              <w:right w:val="single" w:sz="4" w:space="0" w:color="auto"/>
            </w:tcBorders>
            <w:vAlign w:val="center"/>
          </w:tcPr>
          <w:p w:rsidR="00BE7B50" w:rsidRPr="00B74A55" w:rsidRDefault="00BE7B50" w:rsidP="00BE7B50">
            <w:pPr>
              <w:pStyle w:val="a7"/>
              <w:ind w:left="0"/>
              <w:jc w:val="center"/>
              <w:rPr>
                <w:sz w:val="22"/>
              </w:rPr>
            </w:pPr>
            <w:r w:rsidRPr="00B74A55">
              <w:rPr>
                <w:sz w:val="22"/>
              </w:rPr>
              <w:t>день</w:t>
            </w:r>
          </w:p>
        </w:tc>
        <w:tc>
          <w:tcPr>
            <w:tcW w:w="992" w:type="dxa"/>
            <w:tcBorders>
              <w:top w:val="single" w:sz="4" w:space="0" w:color="auto"/>
              <w:left w:val="single" w:sz="4" w:space="0" w:color="auto"/>
            </w:tcBorders>
          </w:tcPr>
          <w:p w:rsidR="00BE7B50" w:rsidRPr="00B74A55" w:rsidRDefault="00BE7B50" w:rsidP="00BE7B50">
            <w:pPr>
              <w:pStyle w:val="a7"/>
              <w:ind w:left="0"/>
              <w:jc w:val="center"/>
              <w:rPr>
                <w:sz w:val="22"/>
              </w:rPr>
            </w:pPr>
            <w:r w:rsidRPr="00B74A55">
              <w:rPr>
                <w:sz w:val="22"/>
              </w:rPr>
              <w:t>365</w:t>
            </w:r>
          </w:p>
        </w:tc>
      </w:tr>
      <w:tr w:rsidR="00BE7B50" w:rsidRPr="00B74A55" w:rsidTr="00F34B87">
        <w:trPr>
          <w:trHeight w:val="150"/>
        </w:trPr>
        <w:tc>
          <w:tcPr>
            <w:tcW w:w="2978" w:type="dxa"/>
            <w:shd w:val="clear" w:color="auto" w:fill="C6D9F1" w:themeFill="text2" w:themeFillTint="33"/>
          </w:tcPr>
          <w:p w:rsidR="00BE7B50" w:rsidRPr="00B74A55" w:rsidRDefault="00BE7B50" w:rsidP="00BE7B50">
            <w:pPr>
              <w:pStyle w:val="a7"/>
              <w:ind w:left="0"/>
              <w:rPr>
                <w:b/>
                <w:sz w:val="22"/>
              </w:rPr>
            </w:pPr>
          </w:p>
        </w:tc>
        <w:tc>
          <w:tcPr>
            <w:tcW w:w="4252" w:type="dxa"/>
            <w:gridSpan w:val="4"/>
            <w:tcBorders>
              <w:top w:val="single" w:sz="4" w:space="0" w:color="auto"/>
              <w:right w:val="single" w:sz="4" w:space="0" w:color="auto"/>
            </w:tcBorders>
          </w:tcPr>
          <w:p w:rsidR="00BE7B50" w:rsidRPr="00B74A55" w:rsidRDefault="00BE7B50" w:rsidP="00AB73E9">
            <w:pPr>
              <w:pStyle w:val="a7"/>
              <w:ind w:left="0"/>
              <w:jc w:val="center"/>
              <w:rPr>
                <w:sz w:val="22"/>
              </w:rPr>
            </w:pPr>
            <w:proofErr w:type="spellStart"/>
            <w:r w:rsidRPr="00B74A55">
              <w:rPr>
                <w:sz w:val="22"/>
              </w:rPr>
              <w:t>Кількість</w:t>
            </w:r>
            <w:proofErr w:type="spellEnd"/>
            <w:r w:rsidRPr="00B74A55">
              <w:rPr>
                <w:sz w:val="22"/>
              </w:rPr>
              <w:t xml:space="preserve"> </w:t>
            </w:r>
            <w:proofErr w:type="spellStart"/>
            <w:r w:rsidRPr="00B74A55">
              <w:rPr>
                <w:sz w:val="22"/>
              </w:rPr>
              <w:t>населених</w:t>
            </w:r>
            <w:proofErr w:type="spellEnd"/>
            <w:r w:rsidRPr="00B74A55">
              <w:rPr>
                <w:sz w:val="22"/>
              </w:rPr>
              <w:t xml:space="preserve"> </w:t>
            </w:r>
            <w:proofErr w:type="spellStart"/>
            <w:r w:rsidRPr="00B74A55">
              <w:rPr>
                <w:sz w:val="22"/>
              </w:rPr>
              <w:t>пунктів</w:t>
            </w:r>
            <w:proofErr w:type="spellEnd"/>
            <w:r w:rsidRPr="00B74A55">
              <w:rPr>
                <w:sz w:val="22"/>
              </w:rPr>
              <w:t xml:space="preserve">, </w:t>
            </w:r>
            <w:proofErr w:type="spellStart"/>
            <w:r w:rsidRPr="00B74A55">
              <w:rPr>
                <w:sz w:val="22"/>
              </w:rPr>
              <w:t>як</w:t>
            </w:r>
            <w:r w:rsidR="00AB73E9" w:rsidRPr="00B74A55">
              <w:rPr>
                <w:sz w:val="22"/>
              </w:rPr>
              <w:t>і</w:t>
            </w:r>
            <w:proofErr w:type="spellEnd"/>
            <w:r w:rsidRPr="00B74A55">
              <w:rPr>
                <w:sz w:val="22"/>
              </w:rPr>
              <w:t xml:space="preserve"> </w:t>
            </w:r>
            <w:proofErr w:type="spellStart"/>
            <w:r w:rsidRPr="00B74A55">
              <w:rPr>
                <w:sz w:val="22"/>
              </w:rPr>
              <w:t>обслуговує</w:t>
            </w:r>
            <w:proofErr w:type="spellEnd"/>
            <w:r w:rsidRPr="00B74A55">
              <w:rPr>
                <w:sz w:val="22"/>
              </w:rPr>
              <w:t xml:space="preserve"> </w:t>
            </w:r>
            <w:r w:rsidR="00AB73E9" w:rsidRPr="00B74A55">
              <w:rPr>
                <w:sz w:val="22"/>
              </w:rPr>
              <w:t>заклад</w:t>
            </w:r>
          </w:p>
        </w:tc>
        <w:tc>
          <w:tcPr>
            <w:tcW w:w="1701" w:type="dxa"/>
            <w:tcBorders>
              <w:top w:val="single" w:sz="4" w:space="0" w:color="auto"/>
              <w:left w:val="single" w:sz="4" w:space="0" w:color="auto"/>
              <w:right w:val="single" w:sz="4" w:space="0" w:color="auto"/>
            </w:tcBorders>
            <w:vAlign w:val="center"/>
          </w:tcPr>
          <w:p w:rsidR="00BE7B50" w:rsidRPr="00B74A55" w:rsidRDefault="00BE7B50" w:rsidP="00BE7B50">
            <w:pPr>
              <w:pStyle w:val="a7"/>
              <w:ind w:left="0"/>
              <w:jc w:val="center"/>
              <w:rPr>
                <w:sz w:val="22"/>
              </w:rPr>
            </w:pPr>
            <w:proofErr w:type="spellStart"/>
            <w:r w:rsidRPr="00B74A55">
              <w:rPr>
                <w:sz w:val="22"/>
              </w:rPr>
              <w:t>одиниць</w:t>
            </w:r>
            <w:proofErr w:type="spellEnd"/>
          </w:p>
        </w:tc>
        <w:tc>
          <w:tcPr>
            <w:tcW w:w="992" w:type="dxa"/>
            <w:tcBorders>
              <w:top w:val="single" w:sz="4" w:space="0" w:color="auto"/>
              <w:left w:val="single" w:sz="4" w:space="0" w:color="auto"/>
            </w:tcBorders>
          </w:tcPr>
          <w:p w:rsidR="00BE7B50" w:rsidRPr="00B74A55" w:rsidRDefault="00BE7B50" w:rsidP="00BE7B50">
            <w:pPr>
              <w:pStyle w:val="a7"/>
              <w:ind w:left="0"/>
              <w:jc w:val="center"/>
              <w:rPr>
                <w:sz w:val="22"/>
              </w:rPr>
            </w:pPr>
            <w:r w:rsidRPr="00B74A55">
              <w:rPr>
                <w:sz w:val="22"/>
              </w:rPr>
              <w:t>20</w:t>
            </w:r>
          </w:p>
        </w:tc>
      </w:tr>
      <w:tr w:rsidR="00BE7B50" w:rsidRPr="00B74A55" w:rsidTr="00F34B87">
        <w:tc>
          <w:tcPr>
            <w:tcW w:w="2978" w:type="dxa"/>
            <w:shd w:val="clear" w:color="auto" w:fill="C6D9F1" w:themeFill="text2" w:themeFillTint="33"/>
          </w:tcPr>
          <w:p w:rsidR="00BE7B50" w:rsidRPr="00B74A55" w:rsidRDefault="00BE7B50" w:rsidP="00BE7B50">
            <w:pPr>
              <w:rPr>
                <w:b/>
                <w:sz w:val="22"/>
              </w:rPr>
            </w:pPr>
            <w:proofErr w:type="spellStart"/>
            <w:r w:rsidRPr="00B74A55">
              <w:rPr>
                <w:b/>
                <w:sz w:val="22"/>
              </w:rPr>
              <w:t>Ключові</w:t>
            </w:r>
            <w:proofErr w:type="spellEnd"/>
            <w:r w:rsidRPr="00B74A55">
              <w:rPr>
                <w:b/>
                <w:sz w:val="22"/>
              </w:rPr>
              <w:t xml:space="preserve"> заходи проекту: </w:t>
            </w:r>
          </w:p>
          <w:p w:rsidR="00BE7B50" w:rsidRPr="00B74A55" w:rsidRDefault="00BE7B50" w:rsidP="00BE7B50">
            <w:pPr>
              <w:pStyle w:val="a7"/>
              <w:ind w:left="0"/>
              <w:rPr>
                <w:b/>
                <w:sz w:val="22"/>
              </w:rPr>
            </w:pPr>
          </w:p>
        </w:tc>
        <w:tc>
          <w:tcPr>
            <w:tcW w:w="6945" w:type="dxa"/>
            <w:gridSpan w:val="6"/>
          </w:tcPr>
          <w:p w:rsidR="00BE7B50" w:rsidRPr="00B74A55" w:rsidRDefault="00BE7B50" w:rsidP="00BE7B50">
            <w:pPr>
              <w:pStyle w:val="a7"/>
              <w:ind w:left="0"/>
              <w:rPr>
                <w:sz w:val="22"/>
              </w:rPr>
            </w:pPr>
            <w:r w:rsidRPr="00B74A55">
              <w:rPr>
                <w:sz w:val="22"/>
              </w:rPr>
              <w:t xml:space="preserve">- </w:t>
            </w:r>
            <w:proofErr w:type="spellStart"/>
            <w:r w:rsidRPr="00B74A55">
              <w:rPr>
                <w:sz w:val="22"/>
              </w:rPr>
              <w:t>обстеження</w:t>
            </w:r>
            <w:proofErr w:type="spellEnd"/>
            <w:r w:rsidRPr="00B74A55">
              <w:rPr>
                <w:sz w:val="22"/>
              </w:rPr>
              <w:t xml:space="preserve"> стану </w:t>
            </w:r>
            <w:proofErr w:type="spellStart"/>
            <w:r w:rsidRPr="00B74A55">
              <w:rPr>
                <w:sz w:val="22"/>
              </w:rPr>
              <w:t>матеріально-технічного</w:t>
            </w:r>
            <w:proofErr w:type="spellEnd"/>
            <w:r w:rsidRPr="00B74A55">
              <w:rPr>
                <w:sz w:val="22"/>
              </w:rPr>
              <w:t xml:space="preserve"> </w:t>
            </w:r>
            <w:proofErr w:type="spellStart"/>
            <w:r w:rsidRPr="00B74A55">
              <w:rPr>
                <w:sz w:val="22"/>
              </w:rPr>
              <w:t>забезпечення</w:t>
            </w:r>
            <w:proofErr w:type="spellEnd"/>
            <w:r w:rsidRPr="00B74A55">
              <w:rPr>
                <w:sz w:val="22"/>
              </w:rPr>
              <w:t>;</w:t>
            </w:r>
          </w:p>
          <w:p w:rsidR="00BE7B50" w:rsidRPr="00B74A55" w:rsidRDefault="00BE7B50" w:rsidP="00BE7B50">
            <w:pPr>
              <w:pStyle w:val="a7"/>
              <w:ind w:left="0"/>
              <w:rPr>
                <w:sz w:val="22"/>
              </w:rPr>
            </w:pPr>
            <w:r w:rsidRPr="00B74A55">
              <w:rPr>
                <w:sz w:val="22"/>
              </w:rPr>
              <w:t xml:space="preserve">- </w:t>
            </w:r>
            <w:proofErr w:type="spellStart"/>
            <w:r w:rsidRPr="00B74A55">
              <w:rPr>
                <w:sz w:val="22"/>
              </w:rPr>
              <w:t>проведення</w:t>
            </w:r>
            <w:proofErr w:type="spellEnd"/>
            <w:r w:rsidRPr="00B74A55">
              <w:rPr>
                <w:sz w:val="22"/>
              </w:rPr>
              <w:t xml:space="preserve"> </w:t>
            </w:r>
            <w:proofErr w:type="spellStart"/>
            <w:r w:rsidRPr="00B74A55">
              <w:rPr>
                <w:sz w:val="22"/>
              </w:rPr>
              <w:t>інвентаризації</w:t>
            </w:r>
            <w:proofErr w:type="spellEnd"/>
            <w:r w:rsidRPr="00B74A55">
              <w:rPr>
                <w:sz w:val="22"/>
              </w:rPr>
              <w:t xml:space="preserve"> </w:t>
            </w:r>
            <w:proofErr w:type="spellStart"/>
            <w:r w:rsidRPr="00B74A55">
              <w:rPr>
                <w:sz w:val="22"/>
              </w:rPr>
              <w:t>основних</w:t>
            </w:r>
            <w:proofErr w:type="spellEnd"/>
            <w:r w:rsidRPr="00B74A55">
              <w:rPr>
                <w:sz w:val="22"/>
              </w:rPr>
              <w:t xml:space="preserve"> </w:t>
            </w:r>
            <w:proofErr w:type="spellStart"/>
            <w:r w:rsidRPr="00B74A55">
              <w:rPr>
                <w:sz w:val="22"/>
              </w:rPr>
              <w:t>засобів</w:t>
            </w:r>
            <w:proofErr w:type="spellEnd"/>
            <w:r w:rsidRPr="00B74A55">
              <w:rPr>
                <w:sz w:val="22"/>
              </w:rPr>
              <w:t>;</w:t>
            </w:r>
          </w:p>
          <w:p w:rsidR="00BE7B50" w:rsidRPr="00B74A55" w:rsidRDefault="00BE7B50" w:rsidP="00BE7B50">
            <w:pPr>
              <w:pStyle w:val="a7"/>
              <w:ind w:left="0"/>
              <w:rPr>
                <w:sz w:val="22"/>
              </w:rPr>
            </w:pPr>
            <w:r w:rsidRPr="00B74A55">
              <w:rPr>
                <w:sz w:val="22"/>
              </w:rPr>
              <w:t xml:space="preserve">- </w:t>
            </w:r>
            <w:proofErr w:type="spellStart"/>
            <w:r w:rsidRPr="00B74A55">
              <w:rPr>
                <w:sz w:val="22"/>
              </w:rPr>
              <w:t>підготовка</w:t>
            </w:r>
            <w:proofErr w:type="spellEnd"/>
            <w:r w:rsidRPr="00B74A55">
              <w:rPr>
                <w:sz w:val="22"/>
              </w:rPr>
              <w:t xml:space="preserve"> </w:t>
            </w:r>
            <w:proofErr w:type="spellStart"/>
            <w:r w:rsidRPr="00B74A55">
              <w:rPr>
                <w:sz w:val="22"/>
              </w:rPr>
              <w:t>кошторисної</w:t>
            </w:r>
            <w:proofErr w:type="spellEnd"/>
            <w:r w:rsidRPr="00B74A55">
              <w:rPr>
                <w:sz w:val="22"/>
              </w:rPr>
              <w:t xml:space="preserve"> </w:t>
            </w:r>
            <w:proofErr w:type="spellStart"/>
            <w:r w:rsidRPr="00B74A55">
              <w:rPr>
                <w:sz w:val="22"/>
              </w:rPr>
              <w:t>документації</w:t>
            </w:r>
            <w:proofErr w:type="spellEnd"/>
            <w:r w:rsidRPr="00B74A55">
              <w:rPr>
                <w:sz w:val="22"/>
              </w:rPr>
              <w:t>;</w:t>
            </w:r>
          </w:p>
          <w:p w:rsidR="00BE7B50" w:rsidRPr="00B74A55" w:rsidRDefault="00BE7B50" w:rsidP="00BE7B50">
            <w:pPr>
              <w:pStyle w:val="a7"/>
              <w:ind w:left="0"/>
              <w:rPr>
                <w:sz w:val="22"/>
              </w:rPr>
            </w:pPr>
            <w:r w:rsidRPr="00B74A55">
              <w:rPr>
                <w:sz w:val="22"/>
              </w:rPr>
              <w:t xml:space="preserve"> - </w:t>
            </w:r>
            <w:proofErr w:type="spellStart"/>
            <w:r w:rsidRPr="00B74A55">
              <w:rPr>
                <w:sz w:val="22"/>
              </w:rPr>
              <w:t>придбання</w:t>
            </w:r>
            <w:proofErr w:type="spellEnd"/>
            <w:r w:rsidRPr="00B74A55">
              <w:rPr>
                <w:sz w:val="22"/>
              </w:rPr>
              <w:t xml:space="preserve"> </w:t>
            </w:r>
            <w:proofErr w:type="spellStart"/>
            <w:r w:rsidRPr="00B74A55">
              <w:rPr>
                <w:sz w:val="22"/>
              </w:rPr>
              <w:t>технічного</w:t>
            </w:r>
            <w:proofErr w:type="spellEnd"/>
            <w:r w:rsidRPr="00B74A55">
              <w:rPr>
                <w:sz w:val="22"/>
              </w:rPr>
              <w:t xml:space="preserve"> </w:t>
            </w:r>
            <w:proofErr w:type="spellStart"/>
            <w:r w:rsidRPr="00B74A55">
              <w:rPr>
                <w:sz w:val="22"/>
              </w:rPr>
              <w:t>забезпечення</w:t>
            </w:r>
            <w:proofErr w:type="spellEnd"/>
            <w:r w:rsidRPr="00B74A55">
              <w:rPr>
                <w:sz w:val="22"/>
              </w:rPr>
              <w:t>;</w:t>
            </w:r>
          </w:p>
          <w:p w:rsidR="00BE7B50" w:rsidRPr="00B74A55" w:rsidRDefault="00BE7B50" w:rsidP="00BE7B50">
            <w:pPr>
              <w:pStyle w:val="a7"/>
              <w:ind w:left="0"/>
              <w:rPr>
                <w:sz w:val="22"/>
              </w:rPr>
            </w:pPr>
            <w:r w:rsidRPr="00B74A55">
              <w:rPr>
                <w:sz w:val="22"/>
              </w:rPr>
              <w:t xml:space="preserve">- </w:t>
            </w:r>
            <w:proofErr w:type="spellStart"/>
            <w:r w:rsidRPr="00B74A55">
              <w:rPr>
                <w:sz w:val="22"/>
              </w:rPr>
              <w:t>придбання</w:t>
            </w:r>
            <w:proofErr w:type="spellEnd"/>
            <w:r w:rsidRPr="00B74A55">
              <w:rPr>
                <w:sz w:val="22"/>
              </w:rPr>
              <w:t xml:space="preserve"> </w:t>
            </w:r>
            <w:proofErr w:type="spellStart"/>
            <w:r w:rsidRPr="00B74A55">
              <w:rPr>
                <w:sz w:val="22"/>
              </w:rPr>
              <w:t>технологічного</w:t>
            </w:r>
            <w:proofErr w:type="spellEnd"/>
            <w:r w:rsidRPr="00B74A55">
              <w:rPr>
                <w:sz w:val="22"/>
              </w:rPr>
              <w:t xml:space="preserve"> </w:t>
            </w:r>
            <w:proofErr w:type="spellStart"/>
            <w:r w:rsidRPr="00B74A55">
              <w:rPr>
                <w:sz w:val="22"/>
              </w:rPr>
              <w:t>забезпечення</w:t>
            </w:r>
            <w:proofErr w:type="spellEnd"/>
            <w:r w:rsidRPr="00B74A55">
              <w:rPr>
                <w:sz w:val="22"/>
              </w:rPr>
              <w:t>;</w:t>
            </w:r>
          </w:p>
          <w:p w:rsidR="00BE7B50" w:rsidRPr="00B74A55" w:rsidRDefault="00BE7B50" w:rsidP="00BE7B50">
            <w:pPr>
              <w:pStyle w:val="a7"/>
              <w:ind w:left="0"/>
              <w:rPr>
                <w:sz w:val="22"/>
              </w:rPr>
            </w:pPr>
            <w:r w:rsidRPr="00B74A55">
              <w:rPr>
                <w:sz w:val="22"/>
              </w:rPr>
              <w:t xml:space="preserve">- </w:t>
            </w:r>
            <w:proofErr w:type="spellStart"/>
            <w:r w:rsidRPr="00B74A55">
              <w:rPr>
                <w:sz w:val="22"/>
              </w:rPr>
              <w:t>визначення</w:t>
            </w:r>
            <w:proofErr w:type="spellEnd"/>
            <w:r w:rsidRPr="00B74A55">
              <w:rPr>
                <w:sz w:val="22"/>
              </w:rPr>
              <w:t xml:space="preserve"> </w:t>
            </w:r>
            <w:proofErr w:type="spellStart"/>
            <w:r w:rsidRPr="00B74A55">
              <w:rPr>
                <w:sz w:val="22"/>
              </w:rPr>
              <w:t>кількості</w:t>
            </w:r>
            <w:proofErr w:type="spellEnd"/>
            <w:r w:rsidRPr="00B74A55">
              <w:rPr>
                <w:sz w:val="22"/>
              </w:rPr>
              <w:t xml:space="preserve"> </w:t>
            </w:r>
            <w:proofErr w:type="spellStart"/>
            <w:r w:rsidRPr="00B74A55">
              <w:rPr>
                <w:sz w:val="22"/>
              </w:rPr>
              <w:t>осіб</w:t>
            </w:r>
            <w:proofErr w:type="spellEnd"/>
            <w:r w:rsidRPr="00B74A55">
              <w:rPr>
                <w:sz w:val="22"/>
              </w:rPr>
              <w:t xml:space="preserve">, </w:t>
            </w:r>
            <w:proofErr w:type="spellStart"/>
            <w:r w:rsidRPr="00B74A55">
              <w:rPr>
                <w:sz w:val="22"/>
              </w:rPr>
              <w:t>які</w:t>
            </w:r>
            <w:proofErr w:type="spellEnd"/>
            <w:r w:rsidRPr="00B74A55">
              <w:rPr>
                <w:sz w:val="22"/>
              </w:rPr>
              <w:t xml:space="preserve"> </w:t>
            </w:r>
            <w:proofErr w:type="spellStart"/>
            <w:r w:rsidRPr="00B74A55">
              <w:rPr>
                <w:sz w:val="22"/>
              </w:rPr>
              <w:t>потребують</w:t>
            </w:r>
            <w:proofErr w:type="spellEnd"/>
            <w:r w:rsidRPr="00B74A55">
              <w:rPr>
                <w:sz w:val="22"/>
              </w:rPr>
              <w:t xml:space="preserve"> </w:t>
            </w:r>
            <w:proofErr w:type="spellStart"/>
            <w:r w:rsidRPr="00B74A55">
              <w:rPr>
                <w:sz w:val="22"/>
              </w:rPr>
              <w:t>отримання</w:t>
            </w:r>
            <w:proofErr w:type="spellEnd"/>
            <w:r w:rsidRPr="00B74A55">
              <w:rPr>
                <w:sz w:val="22"/>
              </w:rPr>
              <w:t xml:space="preserve"> </w:t>
            </w:r>
            <w:proofErr w:type="spellStart"/>
            <w:r w:rsidRPr="00B74A55">
              <w:rPr>
                <w:sz w:val="22"/>
              </w:rPr>
              <w:t>освітніх</w:t>
            </w:r>
            <w:proofErr w:type="spellEnd"/>
            <w:r w:rsidRPr="00B74A55">
              <w:rPr>
                <w:sz w:val="22"/>
              </w:rPr>
              <w:t xml:space="preserve"> </w:t>
            </w:r>
            <w:proofErr w:type="spellStart"/>
            <w:r w:rsidRPr="00B74A55">
              <w:rPr>
                <w:sz w:val="22"/>
              </w:rPr>
              <w:t>послуг</w:t>
            </w:r>
            <w:proofErr w:type="spellEnd"/>
            <w:r w:rsidRPr="00B74A55">
              <w:rPr>
                <w:sz w:val="22"/>
              </w:rPr>
              <w:t xml:space="preserve"> та </w:t>
            </w:r>
            <w:proofErr w:type="spellStart"/>
            <w:r w:rsidRPr="00B74A55">
              <w:rPr>
                <w:sz w:val="22"/>
              </w:rPr>
              <w:t>послуг</w:t>
            </w:r>
            <w:proofErr w:type="spellEnd"/>
            <w:r w:rsidRPr="00B74A55">
              <w:rPr>
                <w:sz w:val="22"/>
              </w:rPr>
              <w:t xml:space="preserve"> з </w:t>
            </w:r>
            <w:proofErr w:type="spellStart"/>
            <w:r w:rsidRPr="00B74A55">
              <w:rPr>
                <w:sz w:val="22"/>
              </w:rPr>
              <w:t>харчування</w:t>
            </w:r>
            <w:proofErr w:type="spellEnd"/>
            <w:r w:rsidRPr="00B74A55">
              <w:rPr>
                <w:sz w:val="22"/>
              </w:rPr>
              <w:t xml:space="preserve">; </w:t>
            </w:r>
          </w:p>
          <w:p w:rsidR="00BE7B50" w:rsidRPr="00B74A55" w:rsidRDefault="00BE7B50" w:rsidP="00BE7B50">
            <w:pPr>
              <w:pStyle w:val="a7"/>
              <w:ind w:left="0"/>
              <w:rPr>
                <w:sz w:val="22"/>
              </w:rPr>
            </w:pPr>
            <w:r w:rsidRPr="00B74A55">
              <w:rPr>
                <w:sz w:val="22"/>
              </w:rPr>
              <w:t xml:space="preserve">- </w:t>
            </w:r>
            <w:proofErr w:type="spellStart"/>
            <w:r w:rsidRPr="00B74A55">
              <w:rPr>
                <w:sz w:val="22"/>
              </w:rPr>
              <w:t>проведення</w:t>
            </w:r>
            <w:proofErr w:type="spellEnd"/>
            <w:r w:rsidRPr="00B74A55">
              <w:rPr>
                <w:sz w:val="22"/>
              </w:rPr>
              <w:t xml:space="preserve"> </w:t>
            </w:r>
            <w:proofErr w:type="spellStart"/>
            <w:r w:rsidRPr="00B74A55">
              <w:rPr>
                <w:sz w:val="22"/>
              </w:rPr>
              <w:t>швидкого</w:t>
            </w:r>
            <w:proofErr w:type="spellEnd"/>
            <w:r w:rsidRPr="00B74A55">
              <w:rPr>
                <w:sz w:val="22"/>
              </w:rPr>
              <w:t xml:space="preserve"> </w:t>
            </w:r>
            <w:proofErr w:type="spellStart"/>
            <w:r w:rsidRPr="00B74A55">
              <w:rPr>
                <w:sz w:val="22"/>
              </w:rPr>
              <w:t>Інтернет-зв’язку</w:t>
            </w:r>
            <w:proofErr w:type="spellEnd"/>
            <w:r w:rsidRPr="00B74A55">
              <w:rPr>
                <w:sz w:val="22"/>
              </w:rPr>
              <w:t>;</w:t>
            </w:r>
          </w:p>
          <w:p w:rsidR="00BE7B50" w:rsidRPr="00B74A55" w:rsidRDefault="00BE7B50" w:rsidP="00BE7B50">
            <w:pPr>
              <w:pStyle w:val="a7"/>
              <w:ind w:left="0"/>
              <w:rPr>
                <w:sz w:val="22"/>
              </w:rPr>
            </w:pPr>
            <w:r w:rsidRPr="00B74A55">
              <w:rPr>
                <w:sz w:val="22"/>
              </w:rPr>
              <w:t xml:space="preserve">- </w:t>
            </w:r>
            <w:proofErr w:type="spellStart"/>
            <w:r w:rsidRPr="00B74A55">
              <w:rPr>
                <w:sz w:val="22"/>
              </w:rPr>
              <w:t>організація</w:t>
            </w:r>
            <w:proofErr w:type="spellEnd"/>
            <w:r w:rsidRPr="00B74A55">
              <w:rPr>
                <w:sz w:val="22"/>
              </w:rPr>
              <w:t xml:space="preserve"> та початок </w:t>
            </w:r>
            <w:proofErr w:type="spellStart"/>
            <w:r w:rsidRPr="00B74A55">
              <w:rPr>
                <w:sz w:val="22"/>
              </w:rPr>
              <w:t>робочого</w:t>
            </w:r>
            <w:proofErr w:type="spellEnd"/>
            <w:r w:rsidRPr="00B74A55">
              <w:rPr>
                <w:sz w:val="22"/>
              </w:rPr>
              <w:t xml:space="preserve"> </w:t>
            </w:r>
            <w:proofErr w:type="spellStart"/>
            <w:r w:rsidRPr="00B74A55">
              <w:rPr>
                <w:sz w:val="22"/>
              </w:rPr>
              <w:t>процесу</w:t>
            </w:r>
            <w:proofErr w:type="spellEnd"/>
            <w:r w:rsidRPr="00B74A55">
              <w:rPr>
                <w:sz w:val="22"/>
              </w:rPr>
              <w:t>.</w:t>
            </w:r>
          </w:p>
        </w:tc>
      </w:tr>
      <w:tr w:rsidR="00BE7B50" w:rsidRPr="00B74A55" w:rsidTr="00F34B87">
        <w:trPr>
          <w:trHeight w:val="360"/>
        </w:trPr>
        <w:tc>
          <w:tcPr>
            <w:tcW w:w="2978" w:type="dxa"/>
            <w:vMerge w:val="restart"/>
            <w:shd w:val="clear" w:color="auto" w:fill="C6D9F1" w:themeFill="text2" w:themeFillTint="33"/>
          </w:tcPr>
          <w:p w:rsidR="00BE7B50" w:rsidRPr="00B74A55" w:rsidRDefault="00BE7B50" w:rsidP="00BE7B50">
            <w:pPr>
              <w:pStyle w:val="a7"/>
              <w:ind w:left="0"/>
              <w:rPr>
                <w:b/>
                <w:sz w:val="22"/>
              </w:rPr>
            </w:pPr>
            <w:proofErr w:type="spellStart"/>
            <w:r w:rsidRPr="00B74A55">
              <w:rPr>
                <w:b/>
                <w:sz w:val="22"/>
              </w:rPr>
              <w:t>Орієнтовний</w:t>
            </w:r>
            <w:proofErr w:type="spellEnd"/>
            <w:r w:rsidRPr="00B74A55">
              <w:rPr>
                <w:b/>
                <w:sz w:val="22"/>
              </w:rPr>
              <w:t xml:space="preserve"> </w:t>
            </w:r>
            <w:proofErr w:type="spellStart"/>
            <w:r w:rsidRPr="00B74A55">
              <w:rPr>
                <w:b/>
                <w:sz w:val="22"/>
              </w:rPr>
              <w:t>обсяг</w:t>
            </w:r>
            <w:proofErr w:type="spellEnd"/>
            <w:r w:rsidRPr="00B74A55">
              <w:rPr>
                <w:b/>
                <w:sz w:val="22"/>
              </w:rPr>
              <w:t xml:space="preserve"> та </w:t>
            </w:r>
            <w:proofErr w:type="spellStart"/>
            <w:r w:rsidRPr="00B74A55">
              <w:rPr>
                <w:b/>
                <w:sz w:val="22"/>
              </w:rPr>
              <w:t>джерела</w:t>
            </w:r>
            <w:proofErr w:type="spellEnd"/>
            <w:r w:rsidRPr="00B74A55">
              <w:rPr>
                <w:b/>
                <w:sz w:val="22"/>
              </w:rPr>
              <w:t xml:space="preserve"> </w:t>
            </w:r>
            <w:proofErr w:type="spellStart"/>
            <w:r w:rsidRPr="00B74A55">
              <w:rPr>
                <w:b/>
                <w:sz w:val="22"/>
              </w:rPr>
              <w:t>фінансування</w:t>
            </w:r>
            <w:proofErr w:type="spellEnd"/>
            <w:r w:rsidRPr="00B74A55">
              <w:rPr>
                <w:b/>
                <w:sz w:val="22"/>
              </w:rPr>
              <w:t xml:space="preserve">, тис. грн. </w:t>
            </w:r>
          </w:p>
          <w:p w:rsidR="00BE7B50" w:rsidRPr="00B74A55" w:rsidRDefault="00BE7B50" w:rsidP="00BE7B50">
            <w:pPr>
              <w:pStyle w:val="a7"/>
              <w:ind w:left="0"/>
              <w:rPr>
                <w:b/>
                <w:sz w:val="22"/>
              </w:rPr>
            </w:pPr>
          </w:p>
        </w:tc>
        <w:tc>
          <w:tcPr>
            <w:tcW w:w="1275" w:type="dxa"/>
            <w:tcBorders>
              <w:bottom w:val="single" w:sz="4" w:space="0" w:color="auto"/>
              <w:right w:val="single" w:sz="4" w:space="0" w:color="auto"/>
            </w:tcBorders>
          </w:tcPr>
          <w:p w:rsidR="00BE7B50" w:rsidRPr="00B74A55" w:rsidRDefault="00BE7B50" w:rsidP="00BE7B50">
            <w:pPr>
              <w:pStyle w:val="a7"/>
              <w:ind w:left="0"/>
              <w:jc w:val="center"/>
              <w:rPr>
                <w:b/>
                <w:sz w:val="22"/>
              </w:rPr>
            </w:pPr>
            <w:proofErr w:type="spellStart"/>
            <w:r w:rsidRPr="00B74A55">
              <w:rPr>
                <w:b/>
                <w:sz w:val="22"/>
              </w:rPr>
              <w:lastRenderedPageBreak/>
              <w:t>Державний</w:t>
            </w:r>
            <w:proofErr w:type="spellEnd"/>
            <w:r w:rsidRPr="00B74A55">
              <w:rPr>
                <w:b/>
                <w:sz w:val="22"/>
              </w:rPr>
              <w:t xml:space="preserve"> бюджет</w:t>
            </w:r>
          </w:p>
        </w:tc>
        <w:tc>
          <w:tcPr>
            <w:tcW w:w="1276" w:type="dxa"/>
            <w:tcBorders>
              <w:bottom w:val="single" w:sz="4" w:space="0" w:color="auto"/>
              <w:right w:val="single" w:sz="4" w:space="0" w:color="auto"/>
            </w:tcBorders>
          </w:tcPr>
          <w:p w:rsidR="00BE7B50" w:rsidRPr="00B74A55" w:rsidRDefault="00BE7B50" w:rsidP="00BE7B50">
            <w:pPr>
              <w:pStyle w:val="a7"/>
              <w:ind w:left="0"/>
              <w:jc w:val="center"/>
              <w:rPr>
                <w:b/>
                <w:sz w:val="22"/>
              </w:rPr>
            </w:pPr>
            <w:proofErr w:type="spellStart"/>
            <w:r w:rsidRPr="00B74A55">
              <w:rPr>
                <w:b/>
                <w:sz w:val="22"/>
              </w:rPr>
              <w:t>Місцевий</w:t>
            </w:r>
            <w:proofErr w:type="spellEnd"/>
            <w:r w:rsidRPr="00B74A55">
              <w:rPr>
                <w:b/>
                <w:sz w:val="22"/>
              </w:rPr>
              <w:t xml:space="preserve"> бюджет</w:t>
            </w:r>
          </w:p>
        </w:tc>
        <w:tc>
          <w:tcPr>
            <w:tcW w:w="3402" w:type="dxa"/>
            <w:gridSpan w:val="3"/>
            <w:tcBorders>
              <w:left w:val="single" w:sz="4" w:space="0" w:color="auto"/>
              <w:bottom w:val="single" w:sz="4" w:space="0" w:color="auto"/>
              <w:right w:val="single" w:sz="4" w:space="0" w:color="auto"/>
            </w:tcBorders>
          </w:tcPr>
          <w:p w:rsidR="00BE7B50" w:rsidRPr="00B74A55" w:rsidRDefault="00BE7B50" w:rsidP="00BE7B50">
            <w:pPr>
              <w:pStyle w:val="a7"/>
              <w:ind w:left="0"/>
              <w:jc w:val="center"/>
              <w:rPr>
                <w:b/>
                <w:sz w:val="22"/>
              </w:rPr>
            </w:pPr>
            <w:proofErr w:type="spellStart"/>
            <w:r w:rsidRPr="00B74A55">
              <w:rPr>
                <w:b/>
                <w:sz w:val="22"/>
              </w:rPr>
              <w:t>Інші</w:t>
            </w:r>
            <w:proofErr w:type="spellEnd"/>
            <w:r w:rsidRPr="00B74A55">
              <w:rPr>
                <w:b/>
                <w:sz w:val="22"/>
              </w:rPr>
              <w:t xml:space="preserve"> </w:t>
            </w:r>
            <w:proofErr w:type="spellStart"/>
            <w:r w:rsidRPr="00B74A55">
              <w:rPr>
                <w:b/>
                <w:sz w:val="22"/>
              </w:rPr>
              <w:t>джерела</w:t>
            </w:r>
            <w:proofErr w:type="spellEnd"/>
          </w:p>
        </w:tc>
        <w:tc>
          <w:tcPr>
            <w:tcW w:w="992" w:type="dxa"/>
            <w:tcBorders>
              <w:left w:val="single" w:sz="4" w:space="0" w:color="auto"/>
              <w:bottom w:val="single" w:sz="4" w:space="0" w:color="auto"/>
            </w:tcBorders>
          </w:tcPr>
          <w:p w:rsidR="00BE7B50" w:rsidRPr="00B74A55" w:rsidRDefault="00BE7B50" w:rsidP="00BE7B50">
            <w:pPr>
              <w:pStyle w:val="a7"/>
              <w:ind w:left="0"/>
              <w:jc w:val="center"/>
              <w:rPr>
                <w:b/>
                <w:sz w:val="22"/>
              </w:rPr>
            </w:pPr>
            <w:proofErr w:type="spellStart"/>
            <w:r w:rsidRPr="00B74A55">
              <w:rPr>
                <w:b/>
                <w:sz w:val="22"/>
              </w:rPr>
              <w:t>Всього</w:t>
            </w:r>
            <w:proofErr w:type="spellEnd"/>
          </w:p>
        </w:tc>
      </w:tr>
      <w:tr w:rsidR="00BE7B50" w:rsidRPr="00B74A55" w:rsidTr="00F34B87">
        <w:trPr>
          <w:trHeight w:val="225"/>
        </w:trPr>
        <w:tc>
          <w:tcPr>
            <w:tcW w:w="2978" w:type="dxa"/>
            <w:vMerge/>
            <w:shd w:val="clear" w:color="auto" w:fill="C6D9F1" w:themeFill="text2" w:themeFillTint="33"/>
          </w:tcPr>
          <w:p w:rsidR="00BE7B50" w:rsidRPr="00B74A55" w:rsidRDefault="00BE7B50" w:rsidP="00BE7B50">
            <w:pPr>
              <w:pStyle w:val="a7"/>
              <w:ind w:left="0"/>
              <w:rPr>
                <w:b/>
                <w:sz w:val="22"/>
              </w:rPr>
            </w:pPr>
          </w:p>
        </w:tc>
        <w:tc>
          <w:tcPr>
            <w:tcW w:w="1275" w:type="dxa"/>
            <w:vMerge w:val="restart"/>
            <w:tcBorders>
              <w:top w:val="single" w:sz="4" w:space="0" w:color="auto"/>
              <w:right w:val="single" w:sz="4" w:space="0" w:color="auto"/>
            </w:tcBorders>
          </w:tcPr>
          <w:p w:rsidR="00BE7B50" w:rsidRPr="00B74A55" w:rsidRDefault="00BE7B50" w:rsidP="00BE7B50">
            <w:pPr>
              <w:pStyle w:val="a7"/>
              <w:ind w:left="0"/>
              <w:jc w:val="center"/>
              <w:rPr>
                <w:sz w:val="22"/>
              </w:rPr>
            </w:pPr>
            <w:r w:rsidRPr="00B74A55">
              <w:rPr>
                <w:sz w:val="22"/>
              </w:rPr>
              <w:t>4200,0</w:t>
            </w:r>
          </w:p>
        </w:tc>
        <w:tc>
          <w:tcPr>
            <w:tcW w:w="1276" w:type="dxa"/>
            <w:vMerge w:val="restart"/>
            <w:tcBorders>
              <w:top w:val="single" w:sz="4" w:space="0" w:color="auto"/>
              <w:right w:val="single" w:sz="4" w:space="0" w:color="auto"/>
            </w:tcBorders>
          </w:tcPr>
          <w:p w:rsidR="00BE7B50" w:rsidRPr="00B74A55" w:rsidRDefault="00BE7B50" w:rsidP="00BE7B50">
            <w:pPr>
              <w:pStyle w:val="a7"/>
              <w:ind w:left="0"/>
              <w:jc w:val="center"/>
              <w:rPr>
                <w:b/>
                <w:sz w:val="22"/>
              </w:rPr>
            </w:pPr>
            <w:r w:rsidRPr="00B74A55">
              <w:rPr>
                <w:b/>
                <w:sz w:val="22"/>
              </w:rPr>
              <w:t>-</w:t>
            </w:r>
          </w:p>
        </w:tc>
        <w:tc>
          <w:tcPr>
            <w:tcW w:w="1276" w:type="dxa"/>
            <w:tcBorders>
              <w:top w:val="single" w:sz="4" w:space="0" w:color="auto"/>
              <w:left w:val="single" w:sz="4" w:space="0" w:color="auto"/>
              <w:bottom w:val="single" w:sz="4" w:space="0" w:color="auto"/>
              <w:right w:val="single" w:sz="4" w:space="0" w:color="auto"/>
            </w:tcBorders>
          </w:tcPr>
          <w:p w:rsidR="00BE7B50" w:rsidRPr="00B74A55" w:rsidRDefault="00BE7B50" w:rsidP="00BE7B50">
            <w:pPr>
              <w:pStyle w:val="a7"/>
              <w:ind w:left="0"/>
              <w:jc w:val="center"/>
              <w:rPr>
                <w:b/>
                <w:sz w:val="22"/>
              </w:rPr>
            </w:pPr>
            <w:proofErr w:type="spellStart"/>
            <w:r w:rsidRPr="00B74A55">
              <w:rPr>
                <w:b/>
                <w:sz w:val="22"/>
              </w:rPr>
              <w:t>Обсяг</w:t>
            </w:r>
            <w:proofErr w:type="spellEnd"/>
          </w:p>
        </w:tc>
        <w:tc>
          <w:tcPr>
            <w:tcW w:w="2126" w:type="dxa"/>
            <w:gridSpan w:val="2"/>
            <w:tcBorders>
              <w:top w:val="single" w:sz="4" w:space="0" w:color="auto"/>
              <w:left w:val="single" w:sz="4" w:space="0" w:color="auto"/>
              <w:bottom w:val="single" w:sz="4" w:space="0" w:color="auto"/>
              <w:right w:val="single" w:sz="4" w:space="0" w:color="auto"/>
            </w:tcBorders>
          </w:tcPr>
          <w:p w:rsidR="00BE7B50" w:rsidRPr="00B74A55" w:rsidRDefault="00BE7B50" w:rsidP="00BE7B50">
            <w:pPr>
              <w:pStyle w:val="a7"/>
              <w:ind w:left="0"/>
              <w:jc w:val="center"/>
              <w:rPr>
                <w:b/>
                <w:sz w:val="22"/>
              </w:rPr>
            </w:pPr>
            <w:proofErr w:type="spellStart"/>
            <w:r w:rsidRPr="00B74A55">
              <w:rPr>
                <w:b/>
                <w:sz w:val="22"/>
              </w:rPr>
              <w:t>Назва</w:t>
            </w:r>
            <w:proofErr w:type="spellEnd"/>
            <w:r w:rsidRPr="00B74A55">
              <w:rPr>
                <w:b/>
                <w:sz w:val="22"/>
              </w:rPr>
              <w:t xml:space="preserve"> </w:t>
            </w:r>
            <w:proofErr w:type="spellStart"/>
            <w:r w:rsidRPr="00B74A55">
              <w:rPr>
                <w:b/>
                <w:sz w:val="22"/>
              </w:rPr>
              <w:t>джерела</w:t>
            </w:r>
            <w:proofErr w:type="spellEnd"/>
          </w:p>
        </w:tc>
        <w:tc>
          <w:tcPr>
            <w:tcW w:w="992" w:type="dxa"/>
            <w:vMerge w:val="restart"/>
            <w:tcBorders>
              <w:top w:val="single" w:sz="4" w:space="0" w:color="auto"/>
              <w:left w:val="single" w:sz="4" w:space="0" w:color="auto"/>
            </w:tcBorders>
          </w:tcPr>
          <w:p w:rsidR="00BE7B50" w:rsidRPr="00B74A55" w:rsidRDefault="00BE7B50" w:rsidP="00BE7B50">
            <w:pPr>
              <w:pStyle w:val="a7"/>
              <w:ind w:left="0"/>
              <w:jc w:val="center"/>
              <w:rPr>
                <w:sz w:val="22"/>
              </w:rPr>
            </w:pPr>
            <w:r w:rsidRPr="00B74A55">
              <w:rPr>
                <w:sz w:val="22"/>
              </w:rPr>
              <w:t>6000</w:t>
            </w:r>
            <w:r w:rsidRPr="00B74A55">
              <w:rPr>
                <w:b/>
                <w:sz w:val="22"/>
              </w:rPr>
              <w:t>,</w:t>
            </w:r>
            <w:r w:rsidRPr="00B74A55">
              <w:rPr>
                <w:sz w:val="22"/>
              </w:rPr>
              <w:t>0</w:t>
            </w:r>
          </w:p>
        </w:tc>
      </w:tr>
      <w:tr w:rsidR="00BE7B50" w:rsidRPr="00B74A55" w:rsidTr="00F34B87">
        <w:trPr>
          <w:trHeight w:val="300"/>
        </w:trPr>
        <w:tc>
          <w:tcPr>
            <w:tcW w:w="2978" w:type="dxa"/>
            <w:vMerge/>
            <w:shd w:val="clear" w:color="auto" w:fill="C6D9F1" w:themeFill="text2" w:themeFillTint="33"/>
          </w:tcPr>
          <w:p w:rsidR="00BE7B50" w:rsidRPr="00B74A55" w:rsidRDefault="00BE7B50" w:rsidP="00BE7B50">
            <w:pPr>
              <w:pStyle w:val="a7"/>
              <w:ind w:left="0"/>
              <w:rPr>
                <w:b/>
                <w:sz w:val="22"/>
              </w:rPr>
            </w:pPr>
          </w:p>
        </w:tc>
        <w:tc>
          <w:tcPr>
            <w:tcW w:w="1275" w:type="dxa"/>
            <w:vMerge/>
            <w:tcBorders>
              <w:right w:val="single" w:sz="4" w:space="0" w:color="auto"/>
            </w:tcBorders>
          </w:tcPr>
          <w:p w:rsidR="00BE7B50" w:rsidRPr="00B74A55" w:rsidRDefault="00BE7B50" w:rsidP="00BE7B50">
            <w:pPr>
              <w:pStyle w:val="a7"/>
              <w:ind w:left="0"/>
              <w:jc w:val="center"/>
              <w:rPr>
                <w:sz w:val="22"/>
              </w:rPr>
            </w:pPr>
          </w:p>
        </w:tc>
        <w:tc>
          <w:tcPr>
            <w:tcW w:w="1276" w:type="dxa"/>
            <w:vMerge/>
            <w:tcBorders>
              <w:right w:val="single" w:sz="4" w:space="0" w:color="auto"/>
            </w:tcBorders>
          </w:tcPr>
          <w:p w:rsidR="00BE7B50" w:rsidRPr="00B74A55" w:rsidRDefault="00BE7B50" w:rsidP="00BE7B50">
            <w:pPr>
              <w:pStyle w:val="a7"/>
              <w:ind w:left="0"/>
              <w:jc w:val="center"/>
              <w:rPr>
                <w:b/>
                <w:sz w:val="22"/>
              </w:rPr>
            </w:pPr>
          </w:p>
        </w:tc>
        <w:tc>
          <w:tcPr>
            <w:tcW w:w="1276" w:type="dxa"/>
            <w:tcBorders>
              <w:top w:val="single" w:sz="4" w:space="0" w:color="auto"/>
              <w:left w:val="single" w:sz="4" w:space="0" w:color="auto"/>
              <w:right w:val="single" w:sz="4" w:space="0" w:color="auto"/>
            </w:tcBorders>
          </w:tcPr>
          <w:p w:rsidR="00BE7B50" w:rsidRPr="00B74A55" w:rsidRDefault="00BE7B50" w:rsidP="00BE7B50">
            <w:pPr>
              <w:pStyle w:val="a7"/>
              <w:ind w:left="0"/>
              <w:jc w:val="center"/>
              <w:rPr>
                <w:sz w:val="22"/>
              </w:rPr>
            </w:pPr>
            <w:r w:rsidRPr="00B74A55">
              <w:rPr>
                <w:sz w:val="22"/>
              </w:rPr>
              <w:t>1800,0</w:t>
            </w:r>
          </w:p>
        </w:tc>
        <w:tc>
          <w:tcPr>
            <w:tcW w:w="2126" w:type="dxa"/>
            <w:gridSpan w:val="2"/>
            <w:tcBorders>
              <w:top w:val="single" w:sz="4" w:space="0" w:color="auto"/>
              <w:left w:val="single" w:sz="4" w:space="0" w:color="auto"/>
              <w:right w:val="single" w:sz="4" w:space="0" w:color="auto"/>
            </w:tcBorders>
          </w:tcPr>
          <w:p w:rsidR="00BE7B50" w:rsidRPr="00B74A55" w:rsidRDefault="00BE7B50" w:rsidP="00BE7B50">
            <w:pPr>
              <w:pStyle w:val="a7"/>
              <w:ind w:left="0"/>
              <w:jc w:val="center"/>
              <w:rPr>
                <w:sz w:val="22"/>
              </w:rPr>
            </w:pPr>
            <w:proofErr w:type="spellStart"/>
            <w:r w:rsidRPr="00B74A55">
              <w:rPr>
                <w:sz w:val="22"/>
              </w:rPr>
              <w:t>Міжнародні</w:t>
            </w:r>
            <w:proofErr w:type="spellEnd"/>
            <w:r w:rsidRPr="00B74A55">
              <w:rPr>
                <w:sz w:val="22"/>
              </w:rPr>
              <w:t xml:space="preserve"> </w:t>
            </w:r>
            <w:proofErr w:type="spellStart"/>
            <w:r w:rsidRPr="00B74A55">
              <w:rPr>
                <w:sz w:val="22"/>
              </w:rPr>
              <w:t>інвестиції</w:t>
            </w:r>
            <w:proofErr w:type="spellEnd"/>
            <w:r w:rsidRPr="00B74A55">
              <w:rPr>
                <w:sz w:val="22"/>
              </w:rPr>
              <w:t xml:space="preserve">, </w:t>
            </w:r>
            <w:proofErr w:type="spellStart"/>
            <w:r w:rsidRPr="00B74A55">
              <w:rPr>
                <w:sz w:val="22"/>
              </w:rPr>
              <w:t>кошти</w:t>
            </w:r>
            <w:proofErr w:type="spellEnd"/>
            <w:r w:rsidRPr="00B74A55">
              <w:rPr>
                <w:sz w:val="22"/>
              </w:rPr>
              <w:t xml:space="preserve"> </w:t>
            </w:r>
            <w:proofErr w:type="spellStart"/>
            <w:r w:rsidRPr="00B74A55">
              <w:rPr>
                <w:sz w:val="22"/>
              </w:rPr>
              <w:t>приватних</w:t>
            </w:r>
            <w:proofErr w:type="spellEnd"/>
            <w:r w:rsidRPr="00B74A55">
              <w:rPr>
                <w:sz w:val="22"/>
              </w:rPr>
              <w:t xml:space="preserve"> </w:t>
            </w:r>
            <w:proofErr w:type="spellStart"/>
            <w:r w:rsidRPr="00B74A55">
              <w:rPr>
                <w:sz w:val="22"/>
              </w:rPr>
              <w:t>осіб</w:t>
            </w:r>
            <w:proofErr w:type="spellEnd"/>
          </w:p>
        </w:tc>
        <w:tc>
          <w:tcPr>
            <w:tcW w:w="992" w:type="dxa"/>
            <w:vMerge/>
            <w:tcBorders>
              <w:left w:val="single" w:sz="4" w:space="0" w:color="auto"/>
            </w:tcBorders>
          </w:tcPr>
          <w:p w:rsidR="00BE7B50" w:rsidRPr="00B74A55" w:rsidRDefault="00BE7B50" w:rsidP="00BE7B50">
            <w:pPr>
              <w:pStyle w:val="a7"/>
              <w:ind w:left="0"/>
              <w:jc w:val="center"/>
              <w:rPr>
                <w:sz w:val="22"/>
              </w:rPr>
            </w:pPr>
          </w:p>
        </w:tc>
      </w:tr>
    </w:tbl>
    <w:p w:rsidR="00BE7B50" w:rsidRPr="00B74A55" w:rsidRDefault="00BE7B50" w:rsidP="00E95FB1">
      <w:pPr>
        <w:rPr>
          <w:sz w:val="22"/>
        </w:rPr>
      </w:pPr>
    </w:p>
    <w:p w:rsidR="00BE7B50" w:rsidRPr="00B74A55" w:rsidRDefault="00BE7B50" w:rsidP="00E95FB1">
      <w:pPr>
        <w:rPr>
          <w:sz w:val="22"/>
        </w:rPr>
      </w:pPr>
    </w:p>
    <w:p w:rsidR="00BE7B50" w:rsidRPr="00B74A55" w:rsidRDefault="00BE7B50" w:rsidP="00E95FB1">
      <w:pPr>
        <w:rPr>
          <w:sz w:val="22"/>
        </w:rPr>
      </w:pPr>
    </w:p>
    <w:tbl>
      <w:tblPr>
        <w:tblStyle w:val="af"/>
        <w:tblW w:w="0" w:type="auto"/>
        <w:tblInd w:w="-176" w:type="dxa"/>
        <w:tblLayout w:type="fixed"/>
        <w:tblLook w:val="04A0" w:firstRow="1" w:lastRow="0" w:firstColumn="1" w:lastColumn="0" w:noHBand="0" w:noVBand="1"/>
      </w:tblPr>
      <w:tblGrid>
        <w:gridCol w:w="2978"/>
        <w:gridCol w:w="1275"/>
        <w:gridCol w:w="1418"/>
        <w:gridCol w:w="567"/>
        <w:gridCol w:w="567"/>
        <w:gridCol w:w="1134"/>
        <w:gridCol w:w="478"/>
        <w:gridCol w:w="1471"/>
      </w:tblGrid>
      <w:tr w:rsidR="00BE7B50" w:rsidRPr="00B74A55" w:rsidTr="00F34B87">
        <w:tc>
          <w:tcPr>
            <w:tcW w:w="2978" w:type="dxa"/>
            <w:shd w:val="clear" w:color="auto" w:fill="C6D9F1" w:themeFill="text2" w:themeFillTint="33"/>
          </w:tcPr>
          <w:p w:rsidR="00BE7B50" w:rsidRPr="00B74A55" w:rsidRDefault="00BE7B50" w:rsidP="00BE7B50">
            <w:pPr>
              <w:pStyle w:val="a7"/>
              <w:ind w:left="0"/>
              <w:rPr>
                <w:b/>
                <w:sz w:val="22"/>
              </w:rPr>
            </w:pPr>
            <w:r w:rsidRPr="00B74A55">
              <w:rPr>
                <w:b/>
                <w:sz w:val="22"/>
              </w:rPr>
              <w:t xml:space="preserve">Оперативна </w:t>
            </w:r>
            <w:proofErr w:type="spellStart"/>
            <w:r w:rsidRPr="00B74A55">
              <w:rPr>
                <w:b/>
                <w:sz w:val="22"/>
              </w:rPr>
              <w:t>ціль</w:t>
            </w:r>
            <w:proofErr w:type="spellEnd"/>
            <w:r w:rsidRPr="00B74A55">
              <w:rPr>
                <w:b/>
                <w:sz w:val="22"/>
              </w:rPr>
              <w:t>/</w:t>
            </w:r>
            <w:proofErr w:type="spellStart"/>
            <w:r w:rsidRPr="00B74A55">
              <w:rPr>
                <w:b/>
                <w:sz w:val="22"/>
              </w:rPr>
              <w:t>завдання</w:t>
            </w:r>
            <w:proofErr w:type="spellEnd"/>
          </w:p>
        </w:tc>
        <w:tc>
          <w:tcPr>
            <w:tcW w:w="6910" w:type="dxa"/>
            <w:gridSpan w:val="7"/>
            <w:shd w:val="clear" w:color="auto" w:fill="auto"/>
          </w:tcPr>
          <w:p w:rsidR="00BE7B50" w:rsidRPr="00B74A55" w:rsidRDefault="00BE7B50" w:rsidP="00BE7B50">
            <w:pPr>
              <w:pStyle w:val="a7"/>
              <w:ind w:left="0"/>
              <w:rPr>
                <w:sz w:val="22"/>
              </w:rPr>
            </w:pPr>
            <w:proofErr w:type="spellStart"/>
            <w:r w:rsidRPr="00B74A55">
              <w:rPr>
                <w:sz w:val="22"/>
              </w:rPr>
              <w:t>Людський</w:t>
            </w:r>
            <w:proofErr w:type="spellEnd"/>
            <w:r w:rsidRPr="00B74A55">
              <w:rPr>
                <w:sz w:val="22"/>
              </w:rPr>
              <w:t xml:space="preserve"> </w:t>
            </w:r>
            <w:proofErr w:type="spellStart"/>
            <w:r w:rsidRPr="00B74A55">
              <w:rPr>
                <w:sz w:val="22"/>
              </w:rPr>
              <w:t>розвиток</w:t>
            </w:r>
            <w:proofErr w:type="spellEnd"/>
            <w:r w:rsidRPr="00B74A55">
              <w:rPr>
                <w:sz w:val="22"/>
              </w:rPr>
              <w:t xml:space="preserve"> через </w:t>
            </w:r>
            <w:proofErr w:type="spellStart"/>
            <w:r w:rsidRPr="00B74A55">
              <w:rPr>
                <w:sz w:val="22"/>
              </w:rPr>
              <w:t>інновації</w:t>
            </w:r>
            <w:proofErr w:type="spellEnd"/>
            <w:r w:rsidRPr="00B74A55">
              <w:rPr>
                <w:sz w:val="22"/>
              </w:rPr>
              <w:t xml:space="preserve"> </w:t>
            </w:r>
            <w:proofErr w:type="spellStart"/>
            <w:r w:rsidRPr="00B74A55">
              <w:rPr>
                <w:sz w:val="22"/>
              </w:rPr>
              <w:t>управління</w:t>
            </w:r>
            <w:proofErr w:type="spellEnd"/>
            <w:r w:rsidRPr="00B74A55">
              <w:rPr>
                <w:sz w:val="22"/>
              </w:rPr>
              <w:t xml:space="preserve"> та </w:t>
            </w:r>
            <w:proofErr w:type="spellStart"/>
            <w:r w:rsidRPr="00B74A55">
              <w:rPr>
                <w:sz w:val="22"/>
              </w:rPr>
              <w:t>довіру</w:t>
            </w:r>
            <w:proofErr w:type="spellEnd"/>
            <w:r w:rsidRPr="00B74A55">
              <w:rPr>
                <w:sz w:val="22"/>
              </w:rPr>
              <w:t xml:space="preserve"> до </w:t>
            </w:r>
            <w:proofErr w:type="spellStart"/>
            <w:r w:rsidRPr="00B74A55">
              <w:rPr>
                <w:sz w:val="22"/>
              </w:rPr>
              <w:t>влади</w:t>
            </w:r>
            <w:proofErr w:type="spellEnd"/>
            <w:r w:rsidRPr="00B74A55">
              <w:rPr>
                <w:sz w:val="22"/>
              </w:rPr>
              <w:t xml:space="preserve">. </w:t>
            </w:r>
            <w:proofErr w:type="spellStart"/>
            <w:r w:rsidRPr="00B74A55">
              <w:rPr>
                <w:sz w:val="22"/>
              </w:rPr>
              <w:t>Формування</w:t>
            </w:r>
            <w:proofErr w:type="spellEnd"/>
            <w:r w:rsidRPr="00B74A55">
              <w:rPr>
                <w:sz w:val="22"/>
              </w:rPr>
              <w:t xml:space="preserve"> </w:t>
            </w:r>
            <w:proofErr w:type="spellStart"/>
            <w:r w:rsidRPr="00B74A55">
              <w:rPr>
                <w:sz w:val="22"/>
              </w:rPr>
              <w:t>сучасного</w:t>
            </w:r>
            <w:proofErr w:type="spellEnd"/>
            <w:r w:rsidRPr="00B74A55">
              <w:rPr>
                <w:sz w:val="22"/>
              </w:rPr>
              <w:t xml:space="preserve"> </w:t>
            </w:r>
            <w:proofErr w:type="spellStart"/>
            <w:r w:rsidRPr="00B74A55">
              <w:rPr>
                <w:sz w:val="22"/>
              </w:rPr>
              <w:t>інклюзивного</w:t>
            </w:r>
            <w:proofErr w:type="spellEnd"/>
            <w:r w:rsidRPr="00B74A55">
              <w:rPr>
                <w:sz w:val="22"/>
              </w:rPr>
              <w:t xml:space="preserve"> </w:t>
            </w:r>
            <w:proofErr w:type="spellStart"/>
            <w:r w:rsidRPr="00B74A55">
              <w:rPr>
                <w:sz w:val="22"/>
              </w:rPr>
              <w:t>освітньо</w:t>
            </w:r>
            <w:proofErr w:type="spellEnd"/>
            <w:r w:rsidRPr="00B74A55">
              <w:rPr>
                <w:sz w:val="22"/>
              </w:rPr>
              <w:t xml:space="preserve">-культурного та спортивного простору для </w:t>
            </w:r>
            <w:proofErr w:type="spellStart"/>
            <w:r w:rsidRPr="00B74A55">
              <w:rPr>
                <w:sz w:val="22"/>
              </w:rPr>
              <w:t>розвитку</w:t>
            </w:r>
            <w:proofErr w:type="spellEnd"/>
          </w:p>
        </w:tc>
      </w:tr>
      <w:tr w:rsidR="00BE7B50" w:rsidRPr="00B74A55" w:rsidTr="00F34B87">
        <w:tc>
          <w:tcPr>
            <w:tcW w:w="2978" w:type="dxa"/>
            <w:shd w:val="clear" w:color="auto" w:fill="C6D9F1" w:themeFill="text2" w:themeFillTint="33"/>
          </w:tcPr>
          <w:p w:rsidR="00BE7B50" w:rsidRPr="00B74A55" w:rsidRDefault="00BE7B50" w:rsidP="00BE7B50">
            <w:pPr>
              <w:pStyle w:val="a7"/>
              <w:ind w:left="0"/>
              <w:rPr>
                <w:b/>
                <w:sz w:val="22"/>
              </w:rPr>
            </w:pPr>
            <w:proofErr w:type="spellStart"/>
            <w:r w:rsidRPr="00B74A55">
              <w:rPr>
                <w:b/>
                <w:sz w:val="22"/>
              </w:rPr>
              <w:t>Назва</w:t>
            </w:r>
            <w:proofErr w:type="spellEnd"/>
            <w:r w:rsidRPr="00B74A55">
              <w:rPr>
                <w:b/>
                <w:sz w:val="22"/>
              </w:rPr>
              <w:t xml:space="preserve"> проекту:</w:t>
            </w:r>
          </w:p>
        </w:tc>
        <w:tc>
          <w:tcPr>
            <w:tcW w:w="6910" w:type="dxa"/>
            <w:gridSpan w:val="7"/>
          </w:tcPr>
          <w:p w:rsidR="00BE7B50" w:rsidRPr="00B74A55" w:rsidRDefault="00BE7B50" w:rsidP="00BE7B50">
            <w:pPr>
              <w:pStyle w:val="a7"/>
              <w:ind w:left="0"/>
              <w:rPr>
                <w:sz w:val="22"/>
              </w:rPr>
            </w:pPr>
            <w:proofErr w:type="spellStart"/>
            <w:r w:rsidRPr="00B74A55">
              <w:rPr>
                <w:sz w:val="22"/>
              </w:rPr>
              <w:t>Капітальний</w:t>
            </w:r>
            <w:proofErr w:type="spellEnd"/>
            <w:r w:rsidRPr="00B74A55">
              <w:rPr>
                <w:sz w:val="22"/>
              </w:rPr>
              <w:t xml:space="preserve"> ремонт </w:t>
            </w:r>
            <w:proofErr w:type="spellStart"/>
            <w:r w:rsidRPr="00B74A55">
              <w:rPr>
                <w:sz w:val="22"/>
              </w:rPr>
              <w:t>будівлі</w:t>
            </w:r>
            <w:proofErr w:type="spellEnd"/>
            <w:r w:rsidRPr="00B74A55">
              <w:rPr>
                <w:sz w:val="22"/>
              </w:rPr>
              <w:t xml:space="preserve">, систем </w:t>
            </w:r>
            <w:proofErr w:type="spellStart"/>
            <w:r w:rsidRPr="00B74A55">
              <w:rPr>
                <w:sz w:val="22"/>
              </w:rPr>
              <w:t>опалення</w:t>
            </w:r>
            <w:proofErr w:type="spellEnd"/>
            <w:r w:rsidRPr="00B74A55">
              <w:rPr>
                <w:sz w:val="22"/>
              </w:rPr>
              <w:t xml:space="preserve">, </w:t>
            </w:r>
            <w:proofErr w:type="spellStart"/>
            <w:r w:rsidRPr="00B74A55">
              <w:rPr>
                <w:sz w:val="22"/>
              </w:rPr>
              <w:t>водопостачання</w:t>
            </w:r>
            <w:proofErr w:type="spellEnd"/>
            <w:r w:rsidRPr="00B74A55">
              <w:rPr>
                <w:sz w:val="22"/>
              </w:rPr>
              <w:t>/</w:t>
            </w:r>
            <w:proofErr w:type="spellStart"/>
            <w:r w:rsidRPr="00B74A55">
              <w:rPr>
                <w:sz w:val="22"/>
              </w:rPr>
              <w:t>водовідведення</w:t>
            </w:r>
            <w:proofErr w:type="spellEnd"/>
            <w:r w:rsidRPr="00B74A55">
              <w:rPr>
                <w:sz w:val="22"/>
              </w:rPr>
              <w:t xml:space="preserve">, </w:t>
            </w:r>
            <w:proofErr w:type="spellStart"/>
            <w:r w:rsidRPr="00B74A55">
              <w:rPr>
                <w:sz w:val="22"/>
              </w:rPr>
              <w:t>вентиляції</w:t>
            </w:r>
            <w:proofErr w:type="spellEnd"/>
            <w:r w:rsidRPr="00B74A55">
              <w:rPr>
                <w:sz w:val="22"/>
              </w:rPr>
              <w:t xml:space="preserve"> та </w:t>
            </w:r>
            <w:proofErr w:type="spellStart"/>
            <w:r w:rsidRPr="00B74A55">
              <w:rPr>
                <w:sz w:val="22"/>
              </w:rPr>
              <w:t>енергопостачання</w:t>
            </w:r>
            <w:proofErr w:type="spellEnd"/>
            <w:r w:rsidRPr="00B74A55">
              <w:rPr>
                <w:b/>
                <w:sz w:val="22"/>
              </w:rPr>
              <w:t xml:space="preserve"> </w:t>
            </w:r>
            <w:proofErr w:type="spellStart"/>
            <w:r w:rsidRPr="00B74A55">
              <w:rPr>
                <w:sz w:val="22"/>
              </w:rPr>
              <w:t>Гімназії</w:t>
            </w:r>
            <w:proofErr w:type="spellEnd"/>
            <w:r w:rsidRPr="00B74A55">
              <w:rPr>
                <w:sz w:val="22"/>
              </w:rPr>
              <w:t xml:space="preserve"> № 12 </w:t>
            </w:r>
            <w:proofErr w:type="spellStart"/>
            <w:r w:rsidRPr="00B74A55">
              <w:rPr>
                <w:sz w:val="22"/>
              </w:rPr>
              <w:t>міста</w:t>
            </w:r>
            <w:proofErr w:type="spellEnd"/>
            <w:r w:rsidRPr="00B74A55">
              <w:rPr>
                <w:sz w:val="22"/>
              </w:rPr>
              <w:t xml:space="preserve"> </w:t>
            </w:r>
            <w:proofErr w:type="spellStart"/>
            <w:r w:rsidRPr="00B74A55">
              <w:rPr>
                <w:sz w:val="22"/>
              </w:rPr>
              <w:t>Сєвєродонецька</w:t>
            </w:r>
            <w:proofErr w:type="spellEnd"/>
            <w:r w:rsidRPr="00B74A55">
              <w:rPr>
                <w:sz w:val="22"/>
              </w:rPr>
              <w:t xml:space="preserve"> </w:t>
            </w:r>
            <w:proofErr w:type="spellStart"/>
            <w:r w:rsidRPr="00B74A55">
              <w:rPr>
                <w:sz w:val="22"/>
              </w:rPr>
              <w:t>Луганської</w:t>
            </w:r>
            <w:proofErr w:type="spellEnd"/>
            <w:r w:rsidRPr="00B74A55">
              <w:rPr>
                <w:sz w:val="22"/>
              </w:rPr>
              <w:t xml:space="preserve"> </w:t>
            </w:r>
            <w:proofErr w:type="spellStart"/>
            <w:r w:rsidRPr="00B74A55">
              <w:rPr>
                <w:sz w:val="22"/>
              </w:rPr>
              <w:t>області</w:t>
            </w:r>
            <w:proofErr w:type="spellEnd"/>
            <w:r w:rsidRPr="00B74A55">
              <w:rPr>
                <w:sz w:val="22"/>
              </w:rPr>
              <w:t>,</w:t>
            </w:r>
            <w:r w:rsidRPr="00B74A55">
              <w:rPr>
                <w:b/>
                <w:sz w:val="22"/>
              </w:rPr>
              <w:t xml:space="preserve"> </w:t>
            </w:r>
            <w:proofErr w:type="spellStart"/>
            <w:r w:rsidRPr="00B74A55">
              <w:rPr>
                <w:sz w:val="22"/>
              </w:rPr>
              <w:t>розташованої</w:t>
            </w:r>
            <w:proofErr w:type="spellEnd"/>
            <w:r w:rsidRPr="00B74A55">
              <w:rPr>
                <w:sz w:val="22"/>
              </w:rPr>
              <w:t xml:space="preserve"> за</w:t>
            </w:r>
            <w:r w:rsidRPr="00B74A55">
              <w:rPr>
                <w:b/>
                <w:sz w:val="22"/>
              </w:rPr>
              <w:t xml:space="preserve"> </w:t>
            </w:r>
            <w:proofErr w:type="spellStart"/>
            <w:r w:rsidRPr="00B74A55">
              <w:rPr>
                <w:sz w:val="22"/>
              </w:rPr>
              <w:t>адресою</w:t>
            </w:r>
            <w:proofErr w:type="spellEnd"/>
            <w:r w:rsidRPr="00B74A55">
              <w:rPr>
                <w:sz w:val="22"/>
              </w:rPr>
              <w:t xml:space="preserve"> </w:t>
            </w:r>
            <w:proofErr w:type="spellStart"/>
            <w:r w:rsidRPr="00B74A55">
              <w:rPr>
                <w:sz w:val="22"/>
              </w:rPr>
              <w:t>Україна</w:t>
            </w:r>
            <w:proofErr w:type="spellEnd"/>
            <w:r w:rsidRPr="00B74A55">
              <w:rPr>
                <w:sz w:val="22"/>
              </w:rPr>
              <w:t xml:space="preserve">, </w:t>
            </w:r>
            <w:proofErr w:type="spellStart"/>
            <w:r w:rsidRPr="00B74A55">
              <w:rPr>
                <w:sz w:val="22"/>
              </w:rPr>
              <w:t>Луганська</w:t>
            </w:r>
            <w:proofErr w:type="spellEnd"/>
            <w:r w:rsidRPr="00B74A55">
              <w:rPr>
                <w:sz w:val="22"/>
              </w:rPr>
              <w:t xml:space="preserve"> область, </w:t>
            </w:r>
            <w:proofErr w:type="spellStart"/>
            <w:r w:rsidRPr="00B74A55">
              <w:rPr>
                <w:sz w:val="22"/>
              </w:rPr>
              <w:t>Сєвєродонецький</w:t>
            </w:r>
            <w:proofErr w:type="spellEnd"/>
            <w:r w:rsidRPr="00B74A55">
              <w:rPr>
                <w:sz w:val="22"/>
              </w:rPr>
              <w:t xml:space="preserve"> район, </w:t>
            </w:r>
            <w:proofErr w:type="spellStart"/>
            <w:r w:rsidRPr="00B74A55">
              <w:rPr>
                <w:sz w:val="22"/>
              </w:rPr>
              <w:t>місто</w:t>
            </w:r>
            <w:proofErr w:type="spellEnd"/>
            <w:r w:rsidRPr="00B74A55">
              <w:rPr>
                <w:sz w:val="22"/>
              </w:rPr>
              <w:t xml:space="preserve"> </w:t>
            </w:r>
            <w:proofErr w:type="spellStart"/>
            <w:r w:rsidRPr="00B74A55">
              <w:rPr>
                <w:sz w:val="22"/>
              </w:rPr>
              <w:t>Сєвєродонецьк</w:t>
            </w:r>
            <w:proofErr w:type="spellEnd"/>
            <w:r w:rsidRPr="00B74A55">
              <w:rPr>
                <w:sz w:val="22"/>
              </w:rPr>
              <w:t xml:space="preserve">, проспект </w:t>
            </w:r>
            <w:proofErr w:type="spellStart"/>
            <w:r w:rsidRPr="00B74A55">
              <w:rPr>
                <w:sz w:val="22"/>
              </w:rPr>
              <w:t>Гвардійський</w:t>
            </w:r>
            <w:proofErr w:type="spellEnd"/>
            <w:r w:rsidRPr="00B74A55">
              <w:rPr>
                <w:sz w:val="22"/>
              </w:rPr>
              <w:t xml:space="preserve">, </w:t>
            </w:r>
            <w:proofErr w:type="spellStart"/>
            <w:r w:rsidRPr="00B74A55">
              <w:rPr>
                <w:sz w:val="22"/>
              </w:rPr>
              <w:t>будинок</w:t>
            </w:r>
            <w:proofErr w:type="spellEnd"/>
            <w:r w:rsidRPr="00B74A55">
              <w:rPr>
                <w:sz w:val="22"/>
              </w:rPr>
              <w:t xml:space="preserve"> 9</w:t>
            </w:r>
          </w:p>
        </w:tc>
      </w:tr>
      <w:tr w:rsidR="00BE7B50" w:rsidRPr="00B74A55" w:rsidTr="00F34B87">
        <w:tc>
          <w:tcPr>
            <w:tcW w:w="2978" w:type="dxa"/>
            <w:shd w:val="clear" w:color="auto" w:fill="C6D9F1" w:themeFill="text2" w:themeFillTint="33"/>
          </w:tcPr>
          <w:p w:rsidR="00BE7B50" w:rsidRPr="00B74A55" w:rsidRDefault="00BE7B50" w:rsidP="00BE7B50">
            <w:pPr>
              <w:rPr>
                <w:b/>
                <w:sz w:val="22"/>
              </w:rPr>
            </w:pPr>
            <w:proofErr w:type="spellStart"/>
            <w:r w:rsidRPr="00B74A55">
              <w:rPr>
                <w:b/>
                <w:sz w:val="22"/>
              </w:rPr>
              <w:t>Ціль</w:t>
            </w:r>
            <w:proofErr w:type="spellEnd"/>
            <w:r w:rsidRPr="00B74A55">
              <w:rPr>
                <w:b/>
                <w:sz w:val="22"/>
              </w:rPr>
              <w:t xml:space="preserve"> проекту</w:t>
            </w:r>
          </w:p>
        </w:tc>
        <w:tc>
          <w:tcPr>
            <w:tcW w:w="6910" w:type="dxa"/>
            <w:gridSpan w:val="7"/>
          </w:tcPr>
          <w:p w:rsidR="00BE7B50" w:rsidRPr="00B74A55" w:rsidRDefault="00BE7B50" w:rsidP="00BE7B50">
            <w:pPr>
              <w:pStyle w:val="a7"/>
              <w:ind w:left="0"/>
              <w:rPr>
                <w:sz w:val="22"/>
              </w:rPr>
            </w:pPr>
            <w:proofErr w:type="spellStart"/>
            <w:r w:rsidRPr="00B74A55">
              <w:rPr>
                <w:sz w:val="22"/>
              </w:rPr>
              <w:t>Відновити</w:t>
            </w:r>
            <w:proofErr w:type="spellEnd"/>
            <w:r w:rsidRPr="00B74A55">
              <w:rPr>
                <w:sz w:val="22"/>
              </w:rPr>
              <w:t xml:space="preserve"> та </w:t>
            </w:r>
            <w:proofErr w:type="spellStart"/>
            <w:r w:rsidRPr="00B74A55">
              <w:rPr>
                <w:sz w:val="22"/>
              </w:rPr>
              <w:t>покращити</w:t>
            </w:r>
            <w:proofErr w:type="spellEnd"/>
            <w:r w:rsidRPr="00B74A55">
              <w:rPr>
                <w:sz w:val="22"/>
              </w:rPr>
              <w:t xml:space="preserve"> роботу закладу </w:t>
            </w:r>
            <w:proofErr w:type="spellStart"/>
            <w:r w:rsidRPr="00B74A55">
              <w:rPr>
                <w:sz w:val="22"/>
              </w:rPr>
              <w:t>освіти</w:t>
            </w:r>
            <w:proofErr w:type="spellEnd"/>
            <w:r w:rsidRPr="00B74A55">
              <w:rPr>
                <w:sz w:val="22"/>
              </w:rPr>
              <w:t xml:space="preserve"> для </w:t>
            </w:r>
            <w:proofErr w:type="spellStart"/>
            <w:r w:rsidRPr="00B74A55">
              <w:rPr>
                <w:sz w:val="22"/>
              </w:rPr>
              <w:t>надання</w:t>
            </w:r>
            <w:proofErr w:type="spellEnd"/>
            <w:r w:rsidRPr="00B74A55">
              <w:rPr>
                <w:sz w:val="22"/>
              </w:rPr>
              <w:t xml:space="preserve"> </w:t>
            </w:r>
            <w:proofErr w:type="spellStart"/>
            <w:r w:rsidRPr="00B74A55">
              <w:rPr>
                <w:sz w:val="22"/>
              </w:rPr>
              <w:t>освітніх</w:t>
            </w:r>
            <w:proofErr w:type="spellEnd"/>
            <w:r w:rsidRPr="00B74A55">
              <w:rPr>
                <w:sz w:val="22"/>
              </w:rPr>
              <w:t xml:space="preserve"> </w:t>
            </w:r>
            <w:proofErr w:type="spellStart"/>
            <w:r w:rsidRPr="00B74A55">
              <w:rPr>
                <w:sz w:val="22"/>
              </w:rPr>
              <w:t>послуг</w:t>
            </w:r>
            <w:proofErr w:type="spellEnd"/>
            <w:r w:rsidRPr="00B74A55">
              <w:rPr>
                <w:sz w:val="22"/>
              </w:rPr>
              <w:t xml:space="preserve">, </w:t>
            </w:r>
            <w:proofErr w:type="spellStart"/>
            <w:r w:rsidRPr="00B74A55">
              <w:rPr>
                <w:sz w:val="22"/>
              </w:rPr>
              <w:t>забезпечення</w:t>
            </w:r>
            <w:proofErr w:type="spellEnd"/>
            <w:r w:rsidRPr="00B74A55">
              <w:rPr>
                <w:sz w:val="22"/>
              </w:rPr>
              <w:t xml:space="preserve"> </w:t>
            </w:r>
            <w:proofErr w:type="spellStart"/>
            <w:r w:rsidRPr="00B74A55">
              <w:rPr>
                <w:sz w:val="22"/>
              </w:rPr>
              <w:t>реалізації</w:t>
            </w:r>
            <w:proofErr w:type="spellEnd"/>
            <w:r w:rsidRPr="00B74A55">
              <w:rPr>
                <w:sz w:val="22"/>
              </w:rPr>
              <w:t xml:space="preserve"> права </w:t>
            </w:r>
            <w:proofErr w:type="spellStart"/>
            <w:r w:rsidRPr="00B74A55">
              <w:rPr>
                <w:sz w:val="22"/>
              </w:rPr>
              <w:t>громадян</w:t>
            </w:r>
            <w:proofErr w:type="spellEnd"/>
            <w:r w:rsidRPr="00B74A55">
              <w:rPr>
                <w:sz w:val="22"/>
              </w:rPr>
              <w:t xml:space="preserve"> на </w:t>
            </w:r>
            <w:proofErr w:type="spellStart"/>
            <w:r w:rsidRPr="00B74A55">
              <w:rPr>
                <w:sz w:val="22"/>
              </w:rPr>
              <w:t>здобуття</w:t>
            </w:r>
            <w:proofErr w:type="spellEnd"/>
            <w:r w:rsidRPr="00B74A55">
              <w:rPr>
                <w:sz w:val="22"/>
              </w:rPr>
              <w:t xml:space="preserve"> </w:t>
            </w:r>
            <w:proofErr w:type="spellStart"/>
            <w:r w:rsidRPr="00B74A55">
              <w:rPr>
                <w:sz w:val="22"/>
              </w:rPr>
              <w:t>освіти</w:t>
            </w:r>
            <w:proofErr w:type="spellEnd"/>
            <w:r w:rsidRPr="00B74A55">
              <w:rPr>
                <w:sz w:val="22"/>
              </w:rPr>
              <w:t xml:space="preserve"> та </w:t>
            </w:r>
            <w:proofErr w:type="spellStart"/>
            <w:r w:rsidRPr="00B74A55">
              <w:rPr>
                <w:sz w:val="22"/>
              </w:rPr>
              <w:t>задоволення</w:t>
            </w:r>
            <w:proofErr w:type="spellEnd"/>
            <w:r w:rsidRPr="00B74A55">
              <w:rPr>
                <w:sz w:val="22"/>
              </w:rPr>
              <w:t xml:space="preserve"> потреб </w:t>
            </w:r>
            <w:proofErr w:type="spellStart"/>
            <w:r w:rsidRPr="00B74A55">
              <w:rPr>
                <w:sz w:val="22"/>
              </w:rPr>
              <w:t>мешканців</w:t>
            </w:r>
            <w:proofErr w:type="spellEnd"/>
            <w:r w:rsidRPr="00B74A55">
              <w:rPr>
                <w:sz w:val="22"/>
              </w:rPr>
              <w:t xml:space="preserve"> </w:t>
            </w:r>
            <w:proofErr w:type="spellStart"/>
            <w:r w:rsidRPr="00B74A55">
              <w:rPr>
                <w:sz w:val="22"/>
              </w:rPr>
              <w:t>Сєвєродонецької</w:t>
            </w:r>
            <w:proofErr w:type="spellEnd"/>
            <w:r w:rsidRPr="00B74A55">
              <w:rPr>
                <w:sz w:val="22"/>
              </w:rPr>
              <w:t xml:space="preserve"> </w:t>
            </w:r>
            <w:proofErr w:type="spellStart"/>
            <w:r w:rsidRPr="00B74A55">
              <w:rPr>
                <w:sz w:val="22"/>
              </w:rPr>
              <w:t>міської</w:t>
            </w:r>
            <w:proofErr w:type="spellEnd"/>
            <w:r w:rsidRPr="00B74A55">
              <w:rPr>
                <w:sz w:val="22"/>
              </w:rPr>
              <w:t xml:space="preserve"> </w:t>
            </w:r>
            <w:proofErr w:type="spellStart"/>
            <w:r w:rsidRPr="00B74A55">
              <w:rPr>
                <w:sz w:val="22"/>
              </w:rPr>
              <w:t>територіальної</w:t>
            </w:r>
            <w:proofErr w:type="spellEnd"/>
            <w:r w:rsidRPr="00B74A55">
              <w:rPr>
                <w:sz w:val="22"/>
              </w:rPr>
              <w:t xml:space="preserve"> </w:t>
            </w:r>
            <w:proofErr w:type="spellStart"/>
            <w:r w:rsidRPr="00B74A55">
              <w:rPr>
                <w:sz w:val="22"/>
              </w:rPr>
              <w:t>громади</w:t>
            </w:r>
            <w:proofErr w:type="spellEnd"/>
            <w:r w:rsidRPr="00B74A55">
              <w:rPr>
                <w:sz w:val="22"/>
              </w:rPr>
              <w:t xml:space="preserve"> у </w:t>
            </w:r>
            <w:proofErr w:type="spellStart"/>
            <w:r w:rsidRPr="00B74A55">
              <w:rPr>
                <w:sz w:val="22"/>
              </w:rPr>
              <w:t>освітніх</w:t>
            </w:r>
            <w:proofErr w:type="spellEnd"/>
            <w:r w:rsidRPr="00B74A55">
              <w:rPr>
                <w:sz w:val="22"/>
              </w:rPr>
              <w:t xml:space="preserve"> </w:t>
            </w:r>
            <w:proofErr w:type="spellStart"/>
            <w:r w:rsidRPr="00B74A55">
              <w:rPr>
                <w:sz w:val="22"/>
              </w:rPr>
              <w:t>послугах</w:t>
            </w:r>
            <w:proofErr w:type="spellEnd"/>
          </w:p>
        </w:tc>
      </w:tr>
      <w:tr w:rsidR="00BE7B50" w:rsidRPr="00B74A55" w:rsidTr="00F34B87">
        <w:tc>
          <w:tcPr>
            <w:tcW w:w="2978" w:type="dxa"/>
            <w:shd w:val="clear" w:color="auto" w:fill="C6D9F1" w:themeFill="text2" w:themeFillTint="33"/>
          </w:tcPr>
          <w:p w:rsidR="00BE7B50" w:rsidRPr="00B74A55" w:rsidRDefault="00BE7B50" w:rsidP="00BE7B50">
            <w:pPr>
              <w:pStyle w:val="a7"/>
              <w:ind w:left="0"/>
              <w:rPr>
                <w:b/>
                <w:sz w:val="22"/>
              </w:rPr>
            </w:pPr>
            <w:proofErr w:type="spellStart"/>
            <w:r w:rsidRPr="00B74A55">
              <w:rPr>
                <w:b/>
                <w:sz w:val="22"/>
              </w:rPr>
              <w:t>Територія</w:t>
            </w:r>
            <w:proofErr w:type="spellEnd"/>
            <w:r w:rsidRPr="00B74A55">
              <w:rPr>
                <w:b/>
                <w:sz w:val="22"/>
              </w:rPr>
              <w:t xml:space="preserve">, </w:t>
            </w:r>
            <w:proofErr w:type="gramStart"/>
            <w:r w:rsidRPr="00B74A55">
              <w:rPr>
                <w:b/>
                <w:sz w:val="22"/>
              </w:rPr>
              <w:t>на яку</w:t>
            </w:r>
            <w:proofErr w:type="gramEnd"/>
            <w:r w:rsidRPr="00B74A55">
              <w:rPr>
                <w:b/>
                <w:sz w:val="22"/>
              </w:rPr>
              <w:t xml:space="preserve"> </w:t>
            </w:r>
            <w:proofErr w:type="spellStart"/>
            <w:r w:rsidRPr="00B74A55">
              <w:rPr>
                <w:b/>
                <w:sz w:val="22"/>
              </w:rPr>
              <w:t>матиме</w:t>
            </w:r>
            <w:proofErr w:type="spellEnd"/>
            <w:r w:rsidRPr="00B74A55">
              <w:rPr>
                <w:b/>
                <w:sz w:val="22"/>
              </w:rPr>
              <w:t xml:space="preserve"> </w:t>
            </w:r>
            <w:proofErr w:type="spellStart"/>
            <w:r w:rsidRPr="00B74A55">
              <w:rPr>
                <w:b/>
                <w:sz w:val="22"/>
              </w:rPr>
              <w:t>вплив</w:t>
            </w:r>
            <w:proofErr w:type="spellEnd"/>
            <w:r w:rsidRPr="00B74A55">
              <w:rPr>
                <w:b/>
                <w:sz w:val="22"/>
              </w:rPr>
              <w:t xml:space="preserve"> </w:t>
            </w:r>
            <w:proofErr w:type="spellStart"/>
            <w:r w:rsidRPr="00B74A55">
              <w:rPr>
                <w:b/>
                <w:sz w:val="22"/>
              </w:rPr>
              <w:t>реалізація</w:t>
            </w:r>
            <w:proofErr w:type="spellEnd"/>
            <w:r w:rsidRPr="00B74A55">
              <w:rPr>
                <w:b/>
                <w:sz w:val="22"/>
              </w:rPr>
              <w:t xml:space="preserve"> проекту</w:t>
            </w:r>
          </w:p>
        </w:tc>
        <w:tc>
          <w:tcPr>
            <w:tcW w:w="6910" w:type="dxa"/>
            <w:gridSpan w:val="7"/>
          </w:tcPr>
          <w:p w:rsidR="00BE7B50" w:rsidRPr="00B74A55" w:rsidRDefault="00BE7B50" w:rsidP="00BE7B50">
            <w:pPr>
              <w:pStyle w:val="a7"/>
              <w:ind w:left="0"/>
              <w:rPr>
                <w:sz w:val="22"/>
              </w:rPr>
            </w:pPr>
            <w:proofErr w:type="spellStart"/>
            <w:r w:rsidRPr="00B74A55">
              <w:rPr>
                <w:sz w:val="22"/>
              </w:rPr>
              <w:t>Сєвєродонецька</w:t>
            </w:r>
            <w:proofErr w:type="spellEnd"/>
            <w:r w:rsidRPr="00B74A55">
              <w:rPr>
                <w:sz w:val="22"/>
              </w:rPr>
              <w:t xml:space="preserve"> </w:t>
            </w:r>
            <w:proofErr w:type="spellStart"/>
            <w:r w:rsidRPr="00B74A55">
              <w:rPr>
                <w:sz w:val="22"/>
              </w:rPr>
              <w:t>міська</w:t>
            </w:r>
            <w:proofErr w:type="spellEnd"/>
            <w:r w:rsidRPr="00B74A55">
              <w:rPr>
                <w:sz w:val="22"/>
              </w:rPr>
              <w:t xml:space="preserve"> </w:t>
            </w:r>
            <w:proofErr w:type="spellStart"/>
            <w:r w:rsidRPr="00B74A55">
              <w:rPr>
                <w:sz w:val="22"/>
              </w:rPr>
              <w:t>територіальна</w:t>
            </w:r>
            <w:proofErr w:type="spellEnd"/>
            <w:r w:rsidRPr="00B74A55">
              <w:rPr>
                <w:sz w:val="22"/>
              </w:rPr>
              <w:t xml:space="preserve"> громада</w:t>
            </w:r>
          </w:p>
        </w:tc>
      </w:tr>
      <w:tr w:rsidR="00BE7B50" w:rsidRPr="00B74A55" w:rsidTr="00F34B87">
        <w:tc>
          <w:tcPr>
            <w:tcW w:w="2978" w:type="dxa"/>
            <w:shd w:val="clear" w:color="auto" w:fill="C6D9F1" w:themeFill="text2" w:themeFillTint="33"/>
          </w:tcPr>
          <w:p w:rsidR="00BE7B50" w:rsidRPr="00B74A55" w:rsidRDefault="00BE7B50" w:rsidP="00BE7B50">
            <w:pPr>
              <w:pStyle w:val="a7"/>
              <w:ind w:left="0"/>
              <w:rPr>
                <w:b/>
                <w:sz w:val="22"/>
              </w:rPr>
            </w:pPr>
            <w:proofErr w:type="spellStart"/>
            <w:r w:rsidRPr="00B74A55">
              <w:rPr>
                <w:b/>
                <w:sz w:val="22"/>
              </w:rPr>
              <w:t>Чисельність</w:t>
            </w:r>
            <w:proofErr w:type="spellEnd"/>
            <w:r w:rsidRPr="00B74A55">
              <w:rPr>
                <w:b/>
                <w:sz w:val="22"/>
              </w:rPr>
              <w:t xml:space="preserve"> </w:t>
            </w:r>
            <w:proofErr w:type="spellStart"/>
            <w:r w:rsidRPr="00B74A55">
              <w:rPr>
                <w:b/>
                <w:sz w:val="22"/>
              </w:rPr>
              <w:t>населення</w:t>
            </w:r>
            <w:proofErr w:type="spellEnd"/>
            <w:r w:rsidRPr="00B74A55">
              <w:rPr>
                <w:b/>
                <w:sz w:val="22"/>
              </w:rPr>
              <w:t xml:space="preserve">, на яке </w:t>
            </w:r>
            <w:proofErr w:type="spellStart"/>
            <w:r w:rsidRPr="00B74A55">
              <w:rPr>
                <w:b/>
                <w:sz w:val="22"/>
              </w:rPr>
              <w:t>матиме</w:t>
            </w:r>
            <w:proofErr w:type="spellEnd"/>
            <w:r w:rsidRPr="00B74A55">
              <w:rPr>
                <w:b/>
                <w:sz w:val="22"/>
              </w:rPr>
              <w:t xml:space="preserve"> </w:t>
            </w:r>
            <w:proofErr w:type="spellStart"/>
            <w:r w:rsidRPr="00B74A55">
              <w:rPr>
                <w:b/>
                <w:sz w:val="22"/>
              </w:rPr>
              <w:t>вплив</w:t>
            </w:r>
            <w:proofErr w:type="spellEnd"/>
            <w:r w:rsidRPr="00B74A55">
              <w:rPr>
                <w:b/>
                <w:sz w:val="22"/>
              </w:rPr>
              <w:t xml:space="preserve"> </w:t>
            </w:r>
            <w:proofErr w:type="spellStart"/>
            <w:r w:rsidRPr="00B74A55">
              <w:rPr>
                <w:b/>
                <w:sz w:val="22"/>
              </w:rPr>
              <w:t>реалізація</w:t>
            </w:r>
            <w:proofErr w:type="spellEnd"/>
            <w:r w:rsidRPr="00B74A55">
              <w:rPr>
                <w:b/>
                <w:sz w:val="22"/>
              </w:rPr>
              <w:t xml:space="preserve"> проекту</w:t>
            </w:r>
          </w:p>
        </w:tc>
        <w:tc>
          <w:tcPr>
            <w:tcW w:w="6910" w:type="dxa"/>
            <w:gridSpan w:val="7"/>
          </w:tcPr>
          <w:p w:rsidR="00BE7B50" w:rsidRPr="00B74A55" w:rsidRDefault="00BE7B50" w:rsidP="00BE7B50">
            <w:pPr>
              <w:pStyle w:val="a7"/>
              <w:ind w:left="0"/>
              <w:rPr>
                <w:sz w:val="22"/>
              </w:rPr>
            </w:pPr>
            <w:r w:rsidRPr="00B74A55">
              <w:rPr>
                <w:sz w:val="22"/>
              </w:rPr>
              <w:t xml:space="preserve">70 </w:t>
            </w:r>
            <w:proofErr w:type="gramStart"/>
            <w:r w:rsidRPr="00B74A55">
              <w:rPr>
                <w:sz w:val="22"/>
              </w:rPr>
              <w:t xml:space="preserve">000  </w:t>
            </w:r>
            <w:proofErr w:type="spellStart"/>
            <w:r w:rsidRPr="00B74A55">
              <w:rPr>
                <w:sz w:val="22"/>
              </w:rPr>
              <w:t>осіб</w:t>
            </w:r>
            <w:proofErr w:type="spellEnd"/>
            <w:proofErr w:type="gramEnd"/>
          </w:p>
        </w:tc>
      </w:tr>
      <w:tr w:rsidR="00BE7B50" w:rsidRPr="00B74A55" w:rsidTr="00F34B87">
        <w:tc>
          <w:tcPr>
            <w:tcW w:w="2978" w:type="dxa"/>
            <w:shd w:val="clear" w:color="auto" w:fill="C6D9F1" w:themeFill="text2" w:themeFillTint="33"/>
          </w:tcPr>
          <w:p w:rsidR="00BE7B50" w:rsidRPr="00B74A55" w:rsidRDefault="00BE7B50" w:rsidP="00BE7B50">
            <w:pPr>
              <w:rPr>
                <w:b/>
                <w:sz w:val="22"/>
              </w:rPr>
            </w:pPr>
            <w:proofErr w:type="spellStart"/>
            <w:r w:rsidRPr="00B74A55">
              <w:rPr>
                <w:b/>
                <w:sz w:val="22"/>
              </w:rPr>
              <w:t>Опис</w:t>
            </w:r>
            <w:proofErr w:type="spellEnd"/>
            <w:r w:rsidRPr="00B74A55">
              <w:rPr>
                <w:b/>
                <w:sz w:val="22"/>
              </w:rPr>
              <w:t xml:space="preserve"> </w:t>
            </w:r>
            <w:proofErr w:type="spellStart"/>
            <w:r w:rsidRPr="00B74A55">
              <w:rPr>
                <w:b/>
                <w:sz w:val="22"/>
              </w:rPr>
              <w:t>проблеми</w:t>
            </w:r>
            <w:proofErr w:type="spellEnd"/>
            <w:r w:rsidRPr="00B74A55">
              <w:rPr>
                <w:b/>
                <w:sz w:val="22"/>
              </w:rPr>
              <w:t xml:space="preserve">, на </w:t>
            </w:r>
            <w:proofErr w:type="spellStart"/>
            <w:r w:rsidRPr="00B74A55">
              <w:rPr>
                <w:b/>
                <w:sz w:val="22"/>
              </w:rPr>
              <w:t>вирішення</w:t>
            </w:r>
            <w:proofErr w:type="spellEnd"/>
            <w:r w:rsidRPr="00B74A55">
              <w:rPr>
                <w:b/>
                <w:sz w:val="22"/>
              </w:rPr>
              <w:t xml:space="preserve"> </w:t>
            </w:r>
            <w:proofErr w:type="spellStart"/>
            <w:proofErr w:type="gramStart"/>
            <w:r w:rsidRPr="00B74A55">
              <w:rPr>
                <w:b/>
                <w:sz w:val="22"/>
              </w:rPr>
              <w:t>якої</w:t>
            </w:r>
            <w:proofErr w:type="spellEnd"/>
            <w:r w:rsidRPr="00B74A55">
              <w:rPr>
                <w:b/>
                <w:sz w:val="22"/>
              </w:rPr>
              <w:t xml:space="preserve">  </w:t>
            </w:r>
            <w:proofErr w:type="spellStart"/>
            <w:r w:rsidRPr="00B74A55">
              <w:rPr>
                <w:b/>
                <w:sz w:val="22"/>
              </w:rPr>
              <w:t>спрямований</w:t>
            </w:r>
            <w:proofErr w:type="spellEnd"/>
            <w:proofErr w:type="gramEnd"/>
            <w:r w:rsidRPr="00B74A55">
              <w:rPr>
                <w:b/>
                <w:sz w:val="22"/>
              </w:rPr>
              <w:t xml:space="preserve"> проект</w:t>
            </w:r>
          </w:p>
        </w:tc>
        <w:tc>
          <w:tcPr>
            <w:tcW w:w="6910" w:type="dxa"/>
            <w:gridSpan w:val="7"/>
          </w:tcPr>
          <w:p w:rsidR="00BE7B50" w:rsidRPr="00B74A55" w:rsidRDefault="00BE7B50" w:rsidP="00BE7B50">
            <w:pPr>
              <w:ind w:firstLine="86"/>
              <w:rPr>
                <w:sz w:val="22"/>
              </w:rPr>
            </w:pPr>
            <w:proofErr w:type="spellStart"/>
            <w:r w:rsidRPr="00B74A55">
              <w:rPr>
                <w:sz w:val="22"/>
              </w:rPr>
              <w:t>Гімназія</w:t>
            </w:r>
            <w:proofErr w:type="spellEnd"/>
            <w:r w:rsidRPr="00B74A55">
              <w:rPr>
                <w:sz w:val="22"/>
              </w:rPr>
              <w:t xml:space="preserve"> № 12 - </w:t>
            </w:r>
            <w:proofErr w:type="spellStart"/>
            <w:r w:rsidRPr="00B74A55">
              <w:rPr>
                <w:sz w:val="22"/>
              </w:rPr>
              <w:t>це</w:t>
            </w:r>
            <w:proofErr w:type="spellEnd"/>
            <w:r w:rsidRPr="00B74A55">
              <w:rPr>
                <w:sz w:val="22"/>
              </w:rPr>
              <w:t xml:space="preserve"> </w:t>
            </w:r>
            <w:proofErr w:type="spellStart"/>
            <w:r w:rsidRPr="00B74A55">
              <w:rPr>
                <w:sz w:val="22"/>
              </w:rPr>
              <w:t>трьохповерхова</w:t>
            </w:r>
            <w:proofErr w:type="spellEnd"/>
            <w:r w:rsidRPr="00B74A55">
              <w:rPr>
                <w:sz w:val="22"/>
              </w:rPr>
              <w:t xml:space="preserve"> </w:t>
            </w:r>
            <w:proofErr w:type="spellStart"/>
            <w:r w:rsidRPr="00B74A55">
              <w:rPr>
                <w:sz w:val="22"/>
              </w:rPr>
              <w:t>будівля</w:t>
            </w:r>
            <w:proofErr w:type="spellEnd"/>
            <w:r w:rsidRPr="00B74A55">
              <w:rPr>
                <w:sz w:val="22"/>
              </w:rPr>
              <w:t xml:space="preserve">, яку </w:t>
            </w:r>
            <w:proofErr w:type="spellStart"/>
            <w:r w:rsidRPr="00B74A55">
              <w:rPr>
                <w:sz w:val="22"/>
              </w:rPr>
              <w:t>було</w:t>
            </w:r>
            <w:proofErr w:type="spellEnd"/>
            <w:r w:rsidRPr="00B74A55">
              <w:rPr>
                <w:sz w:val="22"/>
              </w:rPr>
              <w:t xml:space="preserve"> введено в </w:t>
            </w:r>
            <w:proofErr w:type="spellStart"/>
            <w:r w:rsidRPr="00B74A55">
              <w:rPr>
                <w:sz w:val="22"/>
              </w:rPr>
              <w:t>експлуатацію</w:t>
            </w:r>
            <w:proofErr w:type="spellEnd"/>
            <w:r w:rsidRPr="00B74A55">
              <w:rPr>
                <w:sz w:val="22"/>
              </w:rPr>
              <w:t xml:space="preserve"> у 1965 </w:t>
            </w:r>
            <w:proofErr w:type="spellStart"/>
            <w:r w:rsidRPr="00B74A55">
              <w:rPr>
                <w:sz w:val="22"/>
              </w:rPr>
              <w:t>році</w:t>
            </w:r>
            <w:proofErr w:type="spellEnd"/>
            <w:r w:rsidRPr="00B74A55">
              <w:rPr>
                <w:sz w:val="22"/>
              </w:rPr>
              <w:t xml:space="preserve">. </w:t>
            </w:r>
          </w:p>
          <w:p w:rsidR="00BE7B50" w:rsidRPr="00B74A55" w:rsidRDefault="00BE7B50" w:rsidP="00BE7B50">
            <w:pPr>
              <w:ind w:firstLine="86"/>
              <w:rPr>
                <w:sz w:val="22"/>
              </w:rPr>
            </w:pPr>
            <w:r w:rsidRPr="00B74A55">
              <w:rPr>
                <w:sz w:val="22"/>
              </w:rPr>
              <w:t xml:space="preserve">Через </w:t>
            </w:r>
            <w:proofErr w:type="spellStart"/>
            <w:r w:rsidRPr="00B74A55">
              <w:rPr>
                <w:sz w:val="22"/>
              </w:rPr>
              <w:t>військову</w:t>
            </w:r>
            <w:proofErr w:type="spellEnd"/>
            <w:r w:rsidRPr="00B74A55">
              <w:rPr>
                <w:sz w:val="22"/>
              </w:rPr>
              <w:t xml:space="preserve"> </w:t>
            </w:r>
            <w:proofErr w:type="spellStart"/>
            <w:r w:rsidRPr="00B74A55">
              <w:rPr>
                <w:sz w:val="22"/>
              </w:rPr>
              <w:t>агресію</w:t>
            </w:r>
            <w:proofErr w:type="spellEnd"/>
            <w:r w:rsidRPr="00B74A55">
              <w:rPr>
                <w:sz w:val="22"/>
              </w:rPr>
              <w:t xml:space="preserve"> РФ </w:t>
            </w:r>
            <w:proofErr w:type="spellStart"/>
            <w:r w:rsidRPr="00B74A55">
              <w:rPr>
                <w:sz w:val="22"/>
              </w:rPr>
              <w:t>територія</w:t>
            </w:r>
            <w:proofErr w:type="spellEnd"/>
            <w:r w:rsidRPr="00B74A55">
              <w:rPr>
                <w:sz w:val="22"/>
              </w:rPr>
              <w:t xml:space="preserve"> </w:t>
            </w:r>
            <w:proofErr w:type="spellStart"/>
            <w:r w:rsidRPr="00B74A55">
              <w:rPr>
                <w:sz w:val="22"/>
              </w:rPr>
              <w:t>Сєвєродонецької</w:t>
            </w:r>
            <w:proofErr w:type="spellEnd"/>
            <w:r w:rsidRPr="00B74A55">
              <w:rPr>
                <w:sz w:val="22"/>
              </w:rPr>
              <w:t xml:space="preserve"> </w:t>
            </w:r>
            <w:proofErr w:type="spellStart"/>
            <w:r w:rsidRPr="00B74A55">
              <w:rPr>
                <w:sz w:val="22"/>
              </w:rPr>
              <w:t>міської</w:t>
            </w:r>
            <w:proofErr w:type="spellEnd"/>
            <w:r w:rsidRPr="00B74A55">
              <w:rPr>
                <w:sz w:val="22"/>
              </w:rPr>
              <w:t xml:space="preserve"> </w:t>
            </w:r>
            <w:proofErr w:type="spellStart"/>
            <w:r w:rsidRPr="00B74A55">
              <w:rPr>
                <w:sz w:val="22"/>
              </w:rPr>
              <w:t>територіальної</w:t>
            </w:r>
            <w:proofErr w:type="spellEnd"/>
            <w:r w:rsidRPr="00B74A55">
              <w:rPr>
                <w:sz w:val="22"/>
              </w:rPr>
              <w:t xml:space="preserve"> </w:t>
            </w:r>
            <w:proofErr w:type="spellStart"/>
            <w:r w:rsidRPr="00B74A55">
              <w:rPr>
                <w:sz w:val="22"/>
              </w:rPr>
              <w:t>громади</w:t>
            </w:r>
            <w:proofErr w:type="spellEnd"/>
            <w:r w:rsidRPr="00B74A55">
              <w:rPr>
                <w:sz w:val="22"/>
              </w:rPr>
              <w:t xml:space="preserve"> </w:t>
            </w:r>
            <w:proofErr w:type="spellStart"/>
            <w:r w:rsidRPr="00B74A55">
              <w:rPr>
                <w:sz w:val="22"/>
              </w:rPr>
              <w:t>зазнала</w:t>
            </w:r>
            <w:proofErr w:type="spellEnd"/>
            <w:r w:rsidRPr="00B74A55">
              <w:rPr>
                <w:sz w:val="22"/>
              </w:rPr>
              <w:t xml:space="preserve"> </w:t>
            </w:r>
            <w:proofErr w:type="spellStart"/>
            <w:r w:rsidRPr="00B74A55">
              <w:rPr>
                <w:sz w:val="22"/>
              </w:rPr>
              <w:t>значних</w:t>
            </w:r>
            <w:proofErr w:type="spellEnd"/>
            <w:r w:rsidRPr="00B74A55">
              <w:rPr>
                <w:sz w:val="22"/>
              </w:rPr>
              <w:t xml:space="preserve"> </w:t>
            </w:r>
            <w:proofErr w:type="spellStart"/>
            <w:r w:rsidRPr="00B74A55">
              <w:rPr>
                <w:sz w:val="22"/>
              </w:rPr>
              <w:t>пошкоджень</w:t>
            </w:r>
            <w:proofErr w:type="spellEnd"/>
            <w:r w:rsidRPr="00B74A55">
              <w:rPr>
                <w:sz w:val="22"/>
              </w:rPr>
              <w:t xml:space="preserve">. Не </w:t>
            </w:r>
            <w:proofErr w:type="spellStart"/>
            <w:r w:rsidRPr="00B74A55">
              <w:rPr>
                <w:sz w:val="22"/>
              </w:rPr>
              <w:t>оминуло</w:t>
            </w:r>
            <w:proofErr w:type="spellEnd"/>
            <w:r w:rsidRPr="00B74A55">
              <w:rPr>
                <w:sz w:val="22"/>
              </w:rPr>
              <w:t xml:space="preserve"> це і </w:t>
            </w:r>
            <w:proofErr w:type="spellStart"/>
            <w:r w:rsidRPr="00B74A55">
              <w:rPr>
                <w:sz w:val="22"/>
              </w:rPr>
              <w:t>Гімназія</w:t>
            </w:r>
            <w:proofErr w:type="spellEnd"/>
            <w:r w:rsidRPr="00B74A55">
              <w:rPr>
                <w:sz w:val="22"/>
              </w:rPr>
              <w:t xml:space="preserve"> № 12. У </w:t>
            </w:r>
            <w:proofErr w:type="spellStart"/>
            <w:r w:rsidRPr="00B74A55">
              <w:rPr>
                <w:sz w:val="22"/>
              </w:rPr>
              <w:t>приміщення</w:t>
            </w:r>
            <w:proofErr w:type="spellEnd"/>
            <w:r w:rsidRPr="00B74A55">
              <w:rPr>
                <w:sz w:val="22"/>
              </w:rPr>
              <w:t xml:space="preserve"> </w:t>
            </w:r>
            <w:proofErr w:type="spellStart"/>
            <w:r w:rsidRPr="00B74A55">
              <w:rPr>
                <w:sz w:val="22"/>
              </w:rPr>
              <w:t>будівлі</w:t>
            </w:r>
            <w:proofErr w:type="spellEnd"/>
            <w:r w:rsidRPr="00B74A55">
              <w:rPr>
                <w:sz w:val="22"/>
              </w:rPr>
              <w:t xml:space="preserve"> закладу </w:t>
            </w:r>
            <w:proofErr w:type="spellStart"/>
            <w:r w:rsidRPr="00B74A55">
              <w:rPr>
                <w:sz w:val="22"/>
              </w:rPr>
              <w:t>влучено</w:t>
            </w:r>
            <w:proofErr w:type="spellEnd"/>
            <w:r w:rsidRPr="00B74A55">
              <w:rPr>
                <w:sz w:val="22"/>
              </w:rPr>
              <w:t xml:space="preserve"> снаряди, </w:t>
            </w:r>
            <w:proofErr w:type="spellStart"/>
            <w:r w:rsidRPr="00B74A55">
              <w:rPr>
                <w:sz w:val="22"/>
              </w:rPr>
              <w:t>які</w:t>
            </w:r>
            <w:proofErr w:type="spellEnd"/>
            <w:r w:rsidRPr="00B74A55">
              <w:rPr>
                <w:sz w:val="22"/>
              </w:rPr>
              <w:t xml:space="preserve"> </w:t>
            </w:r>
            <w:proofErr w:type="spellStart"/>
            <w:r w:rsidRPr="00B74A55">
              <w:rPr>
                <w:sz w:val="22"/>
              </w:rPr>
              <w:t>пошкодили</w:t>
            </w:r>
            <w:proofErr w:type="spellEnd"/>
            <w:r w:rsidRPr="00B74A55">
              <w:rPr>
                <w:sz w:val="22"/>
              </w:rPr>
              <w:t xml:space="preserve"> </w:t>
            </w:r>
            <w:proofErr w:type="spellStart"/>
            <w:r w:rsidRPr="00B74A55">
              <w:rPr>
                <w:sz w:val="22"/>
              </w:rPr>
              <w:t>вікна</w:t>
            </w:r>
            <w:proofErr w:type="spellEnd"/>
            <w:r w:rsidRPr="00B74A55">
              <w:rPr>
                <w:sz w:val="22"/>
              </w:rPr>
              <w:t xml:space="preserve">, </w:t>
            </w:r>
            <w:proofErr w:type="spellStart"/>
            <w:r w:rsidRPr="00B74A55">
              <w:rPr>
                <w:sz w:val="22"/>
              </w:rPr>
              <w:t>двері</w:t>
            </w:r>
            <w:proofErr w:type="spellEnd"/>
            <w:r w:rsidRPr="00B74A55">
              <w:rPr>
                <w:sz w:val="22"/>
              </w:rPr>
              <w:t xml:space="preserve">, </w:t>
            </w:r>
            <w:proofErr w:type="spellStart"/>
            <w:r w:rsidRPr="00B74A55">
              <w:rPr>
                <w:sz w:val="22"/>
              </w:rPr>
              <w:t>дах</w:t>
            </w:r>
            <w:proofErr w:type="spellEnd"/>
            <w:r w:rsidRPr="00B74A55">
              <w:rPr>
                <w:sz w:val="22"/>
              </w:rPr>
              <w:t xml:space="preserve"> над </w:t>
            </w:r>
            <w:proofErr w:type="spellStart"/>
            <w:r w:rsidRPr="00B74A55">
              <w:rPr>
                <w:sz w:val="22"/>
              </w:rPr>
              <w:t>кабінетом</w:t>
            </w:r>
            <w:proofErr w:type="spellEnd"/>
            <w:r w:rsidRPr="00B74A55">
              <w:rPr>
                <w:sz w:val="22"/>
              </w:rPr>
              <w:t xml:space="preserve"> 22, </w:t>
            </w:r>
            <w:proofErr w:type="spellStart"/>
            <w:r w:rsidRPr="00B74A55">
              <w:rPr>
                <w:sz w:val="22"/>
              </w:rPr>
              <w:t>стіну</w:t>
            </w:r>
            <w:proofErr w:type="spellEnd"/>
            <w:r w:rsidRPr="00B74A55">
              <w:rPr>
                <w:sz w:val="22"/>
              </w:rPr>
              <w:t xml:space="preserve"> </w:t>
            </w:r>
            <w:proofErr w:type="spellStart"/>
            <w:r w:rsidRPr="00B74A55">
              <w:rPr>
                <w:sz w:val="22"/>
              </w:rPr>
              <w:t>спортивної</w:t>
            </w:r>
            <w:proofErr w:type="spellEnd"/>
            <w:r w:rsidRPr="00B74A55">
              <w:rPr>
                <w:sz w:val="22"/>
              </w:rPr>
              <w:t xml:space="preserve"> </w:t>
            </w:r>
            <w:proofErr w:type="spellStart"/>
            <w:r w:rsidRPr="00B74A55">
              <w:rPr>
                <w:sz w:val="22"/>
              </w:rPr>
              <w:t>зали</w:t>
            </w:r>
            <w:proofErr w:type="spellEnd"/>
            <w:r w:rsidRPr="00B74A55">
              <w:rPr>
                <w:sz w:val="22"/>
              </w:rPr>
              <w:t xml:space="preserve"> та </w:t>
            </w:r>
            <w:proofErr w:type="spellStart"/>
            <w:r w:rsidRPr="00B74A55">
              <w:rPr>
                <w:sz w:val="22"/>
              </w:rPr>
              <w:t>стіну</w:t>
            </w:r>
            <w:proofErr w:type="spellEnd"/>
            <w:r w:rsidRPr="00B74A55">
              <w:rPr>
                <w:sz w:val="22"/>
              </w:rPr>
              <w:t xml:space="preserve"> </w:t>
            </w:r>
            <w:proofErr w:type="spellStart"/>
            <w:r w:rsidRPr="00B74A55">
              <w:rPr>
                <w:sz w:val="22"/>
              </w:rPr>
              <w:t>кабінету</w:t>
            </w:r>
            <w:proofErr w:type="spellEnd"/>
            <w:r w:rsidRPr="00B74A55">
              <w:rPr>
                <w:sz w:val="22"/>
              </w:rPr>
              <w:t xml:space="preserve"> 21. </w:t>
            </w:r>
          </w:p>
          <w:p w:rsidR="00BE7B50" w:rsidRPr="00B74A55" w:rsidRDefault="00BE7B50" w:rsidP="00BE7B50">
            <w:pPr>
              <w:ind w:firstLine="86"/>
              <w:rPr>
                <w:sz w:val="22"/>
              </w:rPr>
            </w:pPr>
            <w:proofErr w:type="spellStart"/>
            <w:r w:rsidRPr="00B74A55">
              <w:rPr>
                <w:sz w:val="22"/>
              </w:rPr>
              <w:t>Зазнала</w:t>
            </w:r>
            <w:proofErr w:type="spellEnd"/>
            <w:r w:rsidRPr="00B74A55">
              <w:rPr>
                <w:sz w:val="22"/>
              </w:rPr>
              <w:t xml:space="preserve"> </w:t>
            </w:r>
            <w:proofErr w:type="spellStart"/>
            <w:r w:rsidRPr="00B74A55">
              <w:rPr>
                <w:sz w:val="22"/>
              </w:rPr>
              <w:t>пошкоджень</w:t>
            </w:r>
            <w:proofErr w:type="spellEnd"/>
            <w:r w:rsidRPr="00B74A55">
              <w:rPr>
                <w:sz w:val="22"/>
              </w:rPr>
              <w:t xml:space="preserve"> (</w:t>
            </w:r>
            <w:proofErr w:type="spellStart"/>
            <w:r w:rsidRPr="00B74A55">
              <w:rPr>
                <w:sz w:val="22"/>
              </w:rPr>
              <w:t>знищено</w:t>
            </w:r>
            <w:proofErr w:type="spellEnd"/>
            <w:r w:rsidRPr="00B74A55">
              <w:rPr>
                <w:sz w:val="22"/>
              </w:rPr>
              <w:t xml:space="preserve"> </w:t>
            </w:r>
            <w:proofErr w:type="spellStart"/>
            <w:r w:rsidRPr="00B74A55">
              <w:rPr>
                <w:sz w:val="22"/>
              </w:rPr>
              <w:t>або</w:t>
            </w:r>
            <w:proofErr w:type="spellEnd"/>
            <w:r w:rsidRPr="00B74A55">
              <w:rPr>
                <w:sz w:val="22"/>
              </w:rPr>
              <w:t xml:space="preserve"> </w:t>
            </w:r>
            <w:proofErr w:type="spellStart"/>
            <w:r w:rsidRPr="00B74A55">
              <w:rPr>
                <w:sz w:val="22"/>
              </w:rPr>
              <w:t>викрадено</w:t>
            </w:r>
            <w:proofErr w:type="spellEnd"/>
            <w:r w:rsidRPr="00B74A55">
              <w:rPr>
                <w:sz w:val="22"/>
              </w:rPr>
              <w:t xml:space="preserve">) вся </w:t>
            </w:r>
            <w:proofErr w:type="spellStart"/>
            <w:r w:rsidRPr="00B74A55">
              <w:rPr>
                <w:sz w:val="22"/>
              </w:rPr>
              <w:t>матеріально-технічна</w:t>
            </w:r>
            <w:proofErr w:type="spellEnd"/>
            <w:r w:rsidRPr="00B74A55">
              <w:rPr>
                <w:sz w:val="22"/>
              </w:rPr>
              <w:t xml:space="preserve"> база закладу, </w:t>
            </w:r>
            <w:proofErr w:type="spellStart"/>
            <w:r w:rsidRPr="00B74A55">
              <w:rPr>
                <w:sz w:val="22"/>
              </w:rPr>
              <w:t>зокрема</w:t>
            </w:r>
            <w:proofErr w:type="spellEnd"/>
            <w:r w:rsidRPr="00B74A55">
              <w:rPr>
                <w:sz w:val="22"/>
              </w:rPr>
              <w:t>:</w:t>
            </w:r>
          </w:p>
          <w:p w:rsidR="00BE7B50" w:rsidRPr="00B74A55" w:rsidRDefault="00BE7B50" w:rsidP="000303D7">
            <w:pPr>
              <w:numPr>
                <w:ilvl w:val="0"/>
                <w:numId w:val="9"/>
              </w:numPr>
              <w:tabs>
                <w:tab w:val="clear" w:pos="1068"/>
                <w:tab w:val="num" w:pos="708"/>
              </w:tabs>
              <w:ind w:left="653"/>
              <w:rPr>
                <w:sz w:val="22"/>
              </w:rPr>
            </w:pPr>
            <w:proofErr w:type="spellStart"/>
            <w:r w:rsidRPr="00B74A55">
              <w:rPr>
                <w:sz w:val="22"/>
              </w:rPr>
              <w:t>обладнання</w:t>
            </w:r>
            <w:proofErr w:type="spellEnd"/>
            <w:r w:rsidRPr="00B74A55">
              <w:rPr>
                <w:sz w:val="22"/>
              </w:rPr>
              <w:t xml:space="preserve"> (</w:t>
            </w:r>
            <w:proofErr w:type="spellStart"/>
            <w:r w:rsidRPr="00B74A55">
              <w:rPr>
                <w:sz w:val="22"/>
              </w:rPr>
              <w:t>устаткування</w:t>
            </w:r>
            <w:proofErr w:type="spellEnd"/>
            <w:r w:rsidRPr="00B74A55">
              <w:rPr>
                <w:sz w:val="22"/>
              </w:rPr>
              <w:t>);</w:t>
            </w:r>
          </w:p>
          <w:p w:rsidR="00BE7B50" w:rsidRPr="00B74A55" w:rsidRDefault="00BE7B50" w:rsidP="000303D7">
            <w:pPr>
              <w:numPr>
                <w:ilvl w:val="0"/>
                <w:numId w:val="9"/>
              </w:numPr>
              <w:tabs>
                <w:tab w:val="clear" w:pos="1068"/>
                <w:tab w:val="num" w:pos="708"/>
              </w:tabs>
              <w:ind w:left="653"/>
              <w:rPr>
                <w:sz w:val="22"/>
              </w:rPr>
            </w:pPr>
            <w:proofErr w:type="spellStart"/>
            <w:r w:rsidRPr="00B74A55">
              <w:rPr>
                <w:sz w:val="22"/>
              </w:rPr>
              <w:t>обчислювальна</w:t>
            </w:r>
            <w:proofErr w:type="spellEnd"/>
            <w:r w:rsidRPr="00B74A55">
              <w:rPr>
                <w:sz w:val="22"/>
              </w:rPr>
              <w:t xml:space="preserve"> </w:t>
            </w:r>
            <w:proofErr w:type="spellStart"/>
            <w:r w:rsidRPr="00B74A55">
              <w:rPr>
                <w:sz w:val="22"/>
              </w:rPr>
              <w:t>техніка</w:t>
            </w:r>
            <w:proofErr w:type="spellEnd"/>
            <w:r w:rsidRPr="00B74A55">
              <w:rPr>
                <w:sz w:val="22"/>
              </w:rPr>
              <w:t xml:space="preserve"> </w:t>
            </w:r>
            <w:proofErr w:type="spellStart"/>
            <w:r w:rsidRPr="00B74A55">
              <w:rPr>
                <w:sz w:val="22"/>
              </w:rPr>
              <w:t>із</w:t>
            </w:r>
            <w:proofErr w:type="spellEnd"/>
            <w:r w:rsidRPr="00B74A55">
              <w:rPr>
                <w:sz w:val="22"/>
              </w:rPr>
              <w:t xml:space="preserve"> </w:t>
            </w:r>
            <w:proofErr w:type="spellStart"/>
            <w:r w:rsidRPr="00B74A55">
              <w:rPr>
                <w:sz w:val="22"/>
              </w:rPr>
              <w:t>відповідним</w:t>
            </w:r>
            <w:proofErr w:type="spellEnd"/>
            <w:r w:rsidRPr="00B74A55">
              <w:rPr>
                <w:sz w:val="22"/>
              </w:rPr>
              <w:t xml:space="preserve"> </w:t>
            </w:r>
            <w:proofErr w:type="spellStart"/>
            <w:r w:rsidRPr="00B74A55">
              <w:rPr>
                <w:sz w:val="22"/>
              </w:rPr>
              <w:t>програмним</w:t>
            </w:r>
            <w:proofErr w:type="spellEnd"/>
            <w:r w:rsidRPr="00B74A55">
              <w:rPr>
                <w:sz w:val="22"/>
              </w:rPr>
              <w:t xml:space="preserve"> </w:t>
            </w:r>
            <w:proofErr w:type="spellStart"/>
            <w:r w:rsidRPr="00B74A55">
              <w:rPr>
                <w:sz w:val="22"/>
              </w:rPr>
              <w:t>забезпеченням</w:t>
            </w:r>
            <w:proofErr w:type="spellEnd"/>
            <w:r w:rsidRPr="00B74A55">
              <w:rPr>
                <w:sz w:val="22"/>
              </w:rPr>
              <w:t>;</w:t>
            </w:r>
          </w:p>
          <w:p w:rsidR="00BE7B50" w:rsidRPr="00B74A55" w:rsidRDefault="00BE7B50" w:rsidP="000303D7">
            <w:pPr>
              <w:numPr>
                <w:ilvl w:val="0"/>
                <w:numId w:val="9"/>
              </w:numPr>
              <w:tabs>
                <w:tab w:val="clear" w:pos="1068"/>
                <w:tab w:val="num" w:pos="708"/>
              </w:tabs>
              <w:ind w:left="653"/>
              <w:rPr>
                <w:sz w:val="22"/>
              </w:rPr>
            </w:pPr>
            <w:proofErr w:type="spellStart"/>
            <w:r w:rsidRPr="00B74A55">
              <w:rPr>
                <w:sz w:val="22"/>
              </w:rPr>
              <w:t>інша</w:t>
            </w:r>
            <w:proofErr w:type="spellEnd"/>
            <w:r w:rsidRPr="00B74A55">
              <w:rPr>
                <w:sz w:val="22"/>
              </w:rPr>
              <w:t xml:space="preserve"> </w:t>
            </w:r>
            <w:proofErr w:type="spellStart"/>
            <w:r w:rsidRPr="00B74A55">
              <w:rPr>
                <w:sz w:val="22"/>
              </w:rPr>
              <w:t>оргтехніка</w:t>
            </w:r>
            <w:proofErr w:type="spellEnd"/>
            <w:r w:rsidRPr="00B74A55">
              <w:rPr>
                <w:sz w:val="22"/>
              </w:rPr>
              <w:t xml:space="preserve"> (</w:t>
            </w:r>
            <w:proofErr w:type="spellStart"/>
            <w:r w:rsidRPr="00B74A55">
              <w:rPr>
                <w:sz w:val="22"/>
              </w:rPr>
              <w:t>монітори</w:t>
            </w:r>
            <w:proofErr w:type="spellEnd"/>
            <w:r w:rsidRPr="00B74A55">
              <w:rPr>
                <w:sz w:val="22"/>
              </w:rPr>
              <w:t xml:space="preserve">, </w:t>
            </w:r>
            <w:proofErr w:type="spellStart"/>
            <w:r w:rsidRPr="00B74A55">
              <w:rPr>
                <w:sz w:val="22"/>
              </w:rPr>
              <w:t>принтери</w:t>
            </w:r>
            <w:proofErr w:type="spellEnd"/>
            <w:r w:rsidRPr="00B74A55">
              <w:rPr>
                <w:sz w:val="22"/>
              </w:rPr>
              <w:t xml:space="preserve">, </w:t>
            </w:r>
            <w:proofErr w:type="spellStart"/>
            <w:r w:rsidRPr="00B74A55">
              <w:rPr>
                <w:sz w:val="22"/>
              </w:rPr>
              <w:t>сканери</w:t>
            </w:r>
            <w:proofErr w:type="spellEnd"/>
            <w:r w:rsidRPr="00B74A55">
              <w:rPr>
                <w:sz w:val="22"/>
              </w:rPr>
              <w:t xml:space="preserve"> </w:t>
            </w:r>
            <w:proofErr w:type="spellStart"/>
            <w:r w:rsidRPr="00B74A55">
              <w:rPr>
                <w:sz w:val="22"/>
              </w:rPr>
              <w:t>тощо</w:t>
            </w:r>
            <w:proofErr w:type="spellEnd"/>
            <w:r w:rsidRPr="00B74A55">
              <w:rPr>
                <w:sz w:val="22"/>
              </w:rPr>
              <w:t>);</w:t>
            </w:r>
          </w:p>
          <w:p w:rsidR="00BE7B50" w:rsidRPr="00B74A55" w:rsidRDefault="00BE7B50" w:rsidP="000303D7">
            <w:pPr>
              <w:pStyle w:val="13"/>
              <w:numPr>
                <w:ilvl w:val="0"/>
                <w:numId w:val="9"/>
              </w:numPr>
              <w:tabs>
                <w:tab w:val="clear" w:pos="1068"/>
                <w:tab w:val="num" w:pos="708"/>
              </w:tabs>
              <w:ind w:left="653" w:hanging="425"/>
              <w:jc w:val="both"/>
              <w:rPr>
                <w:sz w:val="22"/>
                <w:lang w:val="uk-UA"/>
              </w:rPr>
            </w:pPr>
            <w:r w:rsidRPr="00B74A55">
              <w:rPr>
                <w:sz w:val="22"/>
                <w:lang w:val="uk-UA"/>
              </w:rPr>
              <w:t xml:space="preserve">основні засоби (офісні меблі, сейфи тощо) </w:t>
            </w:r>
          </w:p>
          <w:p w:rsidR="00BE7B50" w:rsidRPr="00B74A55" w:rsidRDefault="00BE7B50" w:rsidP="007B46E2">
            <w:pPr>
              <w:pStyle w:val="13"/>
              <w:rPr>
                <w:sz w:val="22"/>
                <w:lang w:val="uk-UA"/>
              </w:rPr>
            </w:pPr>
            <w:r w:rsidRPr="00B74A55">
              <w:rPr>
                <w:sz w:val="22"/>
                <w:lang w:val="uk-UA"/>
              </w:rPr>
              <w:t>За 58 років існування закладу освіти капітального ремонту будівлі закладу, систем опалення, водопостачання/водовідведення, вентиляції та енергопостачання не відбувалось.</w:t>
            </w:r>
          </w:p>
          <w:p w:rsidR="00BE7B50" w:rsidRPr="00B74A55" w:rsidRDefault="00BE7B50" w:rsidP="00BE7B50">
            <w:pPr>
              <w:ind w:firstLine="86"/>
              <w:rPr>
                <w:sz w:val="22"/>
              </w:rPr>
            </w:pPr>
            <w:r w:rsidRPr="00B74A55">
              <w:rPr>
                <w:rFonts w:eastAsia="Arial"/>
                <w:sz w:val="22"/>
              </w:rPr>
              <w:t xml:space="preserve">Для </w:t>
            </w:r>
            <w:proofErr w:type="spellStart"/>
            <w:r w:rsidRPr="00B74A55">
              <w:rPr>
                <w:rFonts w:eastAsia="Arial"/>
                <w:sz w:val="22"/>
              </w:rPr>
              <w:t>відбудови</w:t>
            </w:r>
            <w:proofErr w:type="spellEnd"/>
            <w:r w:rsidRPr="00B74A55">
              <w:rPr>
                <w:rFonts w:eastAsia="Arial"/>
                <w:sz w:val="22"/>
              </w:rPr>
              <w:t xml:space="preserve"> та </w:t>
            </w:r>
            <w:proofErr w:type="spellStart"/>
            <w:r w:rsidRPr="00B74A55">
              <w:rPr>
                <w:rFonts w:eastAsia="Arial"/>
                <w:sz w:val="22"/>
              </w:rPr>
              <w:t>сталого</w:t>
            </w:r>
            <w:proofErr w:type="spellEnd"/>
            <w:r w:rsidRPr="00B74A55">
              <w:rPr>
                <w:rFonts w:eastAsia="Arial"/>
                <w:sz w:val="22"/>
              </w:rPr>
              <w:t xml:space="preserve"> </w:t>
            </w:r>
            <w:proofErr w:type="spellStart"/>
            <w:r w:rsidRPr="00B74A55">
              <w:rPr>
                <w:rFonts w:eastAsia="Arial"/>
                <w:sz w:val="22"/>
              </w:rPr>
              <w:t>розвитку</w:t>
            </w:r>
            <w:proofErr w:type="spellEnd"/>
            <w:r w:rsidRPr="00B74A55">
              <w:rPr>
                <w:rFonts w:eastAsia="Arial"/>
                <w:sz w:val="22"/>
              </w:rPr>
              <w:t xml:space="preserve"> </w:t>
            </w:r>
            <w:proofErr w:type="spellStart"/>
            <w:r w:rsidRPr="00B74A55">
              <w:rPr>
                <w:rFonts w:eastAsia="Arial"/>
                <w:sz w:val="22"/>
              </w:rPr>
              <w:t>громади</w:t>
            </w:r>
            <w:proofErr w:type="spellEnd"/>
            <w:r w:rsidRPr="00B74A55">
              <w:rPr>
                <w:rFonts w:eastAsia="Arial"/>
                <w:sz w:val="22"/>
              </w:rPr>
              <w:t xml:space="preserve"> </w:t>
            </w:r>
            <w:proofErr w:type="spellStart"/>
            <w:r w:rsidRPr="00B74A55">
              <w:rPr>
                <w:rFonts w:eastAsia="Arial"/>
                <w:sz w:val="22"/>
              </w:rPr>
              <w:t>потрібне</w:t>
            </w:r>
            <w:proofErr w:type="spellEnd"/>
            <w:r w:rsidRPr="00B74A55">
              <w:rPr>
                <w:rFonts w:eastAsia="Arial"/>
                <w:sz w:val="22"/>
              </w:rPr>
              <w:t xml:space="preserve"> </w:t>
            </w:r>
            <w:proofErr w:type="spellStart"/>
            <w:r w:rsidRPr="00B74A55">
              <w:rPr>
                <w:rFonts w:eastAsia="Arial"/>
                <w:sz w:val="22"/>
              </w:rPr>
              <w:t>відновлення</w:t>
            </w:r>
            <w:proofErr w:type="spellEnd"/>
            <w:r w:rsidRPr="00B74A55">
              <w:rPr>
                <w:rFonts w:eastAsia="Arial"/>
                <w:sz w:val="22"/>
              </w:rPr>
              <w:t xml:space="preserve"> </w:t>
            </w:r>
            <w:proofErr w:type="gramStart"/>
            <w:r w:rsidRPr="00B74A55">
              <w:rPr>
                <w:rFonts w:eastAsia="Arial"/>
                <w:sz w:val="22"/>
              </w:rPr>
              <w:t xml:space="preserve">та  </w:t>
            </w:r>
            <w:proofErr w:type="spellStart"/>
            <w:r w:rsidRPr="00B74A55">
              <w:rPr>
                <w:rFonts w:eastAsia="Arial"/>
                <w:sz w:val="22"/>
              </w:rPr>
              <w:t>модернізація</w:t>
            </w:r>
            <w:proofErr w:type="spellEnd"/>
            <w:proofErr w:type="gramEnd"/>
            <w:r w:rsidRPr="00B74A55">
              <w:rPr>
                <w:rFonts w:eastAsia="Arial"/>
                <w:sz w:val="22"/>
              </w:rPr>
              <w:t xml:space="preserve"> </w:t>
            </w:r>
            <w:proofErr w:type="spellStart"/>
            <w:r w:rsidRPr="00B74A55">
              <w:rPr>
                <w:rFonts w:eastAsia="Arial"/>
                <w:sz w:val="22"/>
              </w:rPr>
              <w:t>роботи</w:t>
            </w:r>
            <w:proofErr w:type="spellEnd"/>
            <w:r w:rsidRPr="00B74A55">
              <w:rPr>
                <w:rFonts w:eastAsia="Arial"/>
                <w:sz w:val="22"/>
              </w:rPr>
              <w:t xml:space="preserve"> закладу </w:t>
            </w:r>
            <w:proofErr w:type="spellStart"/>
            <w:r w:rsidRPr="00B74A55">
              <w:rPr>
                <w:rFonts w:eastAsia="Arial"/>
                <w:sz w:val="22"/>
              </w:rPr>
              <w:t>освіти</w:t>
            </w:r>
            <w:proofErr w:type="spellEnd"/>
            <w:r w:rsidRPr="00B74A55">
              <w:rPr>
                <w:rFonts w:eastAsia="Arial"/>
                <w:sz w:val="22"/>
              </w:rPr>
              <w:t xml:space="preserve">. </w:t>
            </w:r>
            <w:proofErr w:type="spellStart"/>
            <w:r w:rsidRPr="00B74A55">
              <w:rPr>
                <w:rFonts w:eastAsia="Arial"/>
                <w:sz w:val="22"/>
              </w:rPr>
              <w:t>Мешканці</w:t>
            </w:r>
            <w:proofErr w:type="spellEnd"/>
            <w:r w:rsidRPr="00B74A55">
              <w:rPr>
                <w:rFonts w:eastAsia="Arial"/>
                <w:sz w:val="22"/>
              </w:rPr>
              <w:t xml:space="preserve"> </w:t>
            </w:r>
            <w:proofErr w:type="spellStart"/>
            <w:r w:rsidRPr="00B74A55">
              <w:rPr>
                <w:rFonts w:eastAsia="Arial"/>
                <w:sz w:val="22"/>
              </w:rPr>
              <w:t>громади</w:t>
            </w:r>
            <w:proofErr w:type="spellEnd"/>
            <w:r w:rsidRPr="00B74A55">
              <w:rPr>
                <w:rFonts w:eastAsia="Arial"/>
                <w:sz w:val="22"/>
              </w:rPr>
              <w:t xml:space="preserve"> </w:t>
            </w:r>
            <w:proofErr w:type="spellStart"/>
            <w:r w:rsidRPr="00B74A55">
              <w:rPr>
                <w:rFonts w:eastAsia="Arial"/>
                <w:sz w:val="22"/>
              </w:rPr>
              <w:t>потребують</w:t>
            </w:r>
            <w:proofErr w:type="spellEnd"/>
            <w:r w:rsidRPr="00B74A55">
              <w:rPr>
                <w:rFonts w:eastAsia="Arial"/>
                <w:sz w:val="22"/>
              </w:rPr>
              <w:t xml:space="preserve"> в </w:t>
            </w:r>
            <w:proofErr w:type="spellStart"/>
            <w:r w:rsidRPr="00B74A55">
              <w:rPr>
                <w:rFonts w:eastAsia="Arial"/>
                <w:sz w:val="22"/>
              </w:rPr>
              <w:t>отриманні</w:t>
            </w:r>
            <w:proofErr w:type="spellEnd"/>
            <w:r w:rsidRPr="00B74A55">
              <w:rPr>
                <w:rFonts w:eastAsia="Arial"/>
                <w:sz w:val="22"/>
              </w:rPr>
              <w:t xml:space="preserve"> </w:t>
            </w:r>
            <w:proofErr w:type="spellStart"/>
            <w:r w:rsidRPr="00B74A55">
              <w:rPr>
                <w:rFonts w:eastAsia="Arial"/>
                <w:sz w:val="22"/>
              </w:rPr>
              <w:t>якісних</w:t>
            </w:r>
            <w:proofErr w:type="spellEnd"/>
            <w:r w:rsidRPr="00B74A55">
              <w:rPr>
                <w:rFonts w:eastAsia="Arial"/>
                <w:sz w:val="22"/>
              </w:rPr>
              <w:t xml:space="preserve"> </w:t>
            </w:r>
            <w:proofErr w:type="spellStart"/>
            <w:r w:rsidRPr="00B74A55">
              <w:rPr>
                <w:rFonts w:eastAsia="Arial"/>
                <w:sz w:val="22"/>
              </w:rPr>
              <w:t>освітніх</w:t>
            </w:r>
            <w:proofErr w:type="spellEnd"/>
            <w:r w:rsidRPr="00B74A55">
              <w:rPr>
                <w:rFonts w:eastAsia="Arial"/>
                <w:sz w:val="22"/>
              </w:rPr>
              <w:t xml:space="preserve"> </w:t>
            </w:r>
            <w:proofErr w:type="spellStart"/>
            <w:r w:rsidRPr="00B74A55">
              <w:rPr>
                <w:rFonts w:eastAsia="Arial"/>
                <w:sz w:val="22"/>
              </w:rPr>
              <w:t>послуг</w:t>
            </w:r>
            <w:proofErr w:type="spellEnd"/>
            <w:r w:rsidRPr="00B74A55">
              <w:rPr>
                <w:rFonts w:eastAsia="Arial"/>
                <w:sz w:val="22"/>
              </w:rPr>
              <w:t xml:space="preserve">, </w:t>
            </w:r>
            <w:proofErr w:type="spellStart"/>
            <w:r w:rsidRPr="00B74A55">
              <w:rPr>
                <w:rFonts w:eastAsia="Arial"/>
                <w:sz w:val="22"/>
              </w:rPr>
              <w:t>які</w:t>
            </w:r>
            <w:proofErr w:type="spellEnd"/>
            <w:r w:rsidRPr="00B74A55">
              <w:rPr>
                <w:rFonts w:eastAsia="Arial"/>
                <w:sz w:val="22"/>
              </w:rPr>
              <w:t xml:space="preserve"> </w:t>
            </w:r>
            <w:proofErr w:type="spellStart"/>
            <w:r w:rsidRPr="00B74A55">
              <w:rPr>
                <w:rFonts w:eastAsia="Arial"/>
                <w:sz w:val="22"/>
              </w:rPr>
              <w:t>відповідають</w:t>
            </w:r>
            <w:proofErr w:type="spellEnd"/>
            <w:r w:rsidRPr="00B74A55">
              <w:rPr>
                <w:rFonts w:eastAsia="Arial"/>
                <w:sz w:val="22"/>
              </w:rPr>
              <w:t xml:space="preserve"> нормам </w:t>
            </w:r>
            <w:proofErr w:type="spellStart"/>
            <w:r w:rsidRPr="00B74A55">
              <w:rPr>
                <w:rFonts w:eastAsia="Arial"/>
                <w:sz w:val="22"/>
              </w:rPr>
              <w:t>сучасності</w:t>
            </w:r>
            <w:proofErr w:type="spellEnd"/>
            <w:r w:rsidRPr="00B74A55">
              <w:rPr>
                <w:rFonts w:eastAsia="Arial"/>
                <w:sz w:val="22"/>
              </w:rPr>
              <w:t xml:space="preserve">. </w:t>
            </w:r>
          </w:p>
        </w:tc>
      </w:tr>
      <w:tr w:rsidR="00BE7B50" w:rsidRPr="00B74A55" w:rsidTr="00F34B87">
        <w:tc>
          <w:tcPr>
            <w:tcW w:w="2978" w:type="dxa"/>
            <w:shd w:val="clear" w:color="auto" w:fill="C6D9F1" w:themeFill="text2" w:themeFillTint="33"/>
          </w:tcPr>
          <w:p w:rsidR="00BE7B50" w:rsidRPr="00B74A55" w:rsidRDefault="00BE7B50" w:rsidP="00BE7B50">
            <w:pPr>
              <w:pStyle w:val="a7"/>
              <w:ind w:left="0"/>
              <w:rPr>
                <w:b/>
                <w:sz w:val="22"/>
              </w:rPr>
            </w:pPr>
            <w:proofErr w:type="spellStart"/>
            <w:r w:rsidRPr="00B74A55">
              <w:rPr>
                <w:b/>
                <w:sz w:val="22"/>
              </w:rPr>
              <w:t>Очікувані</w:t>
            </w:r>
            <w:proofErr w:type="spellEnd"/>
            <w:r w:rsidRPr="00B74A55">
              <w:rPr>
                <w:b/>
                <w:sz w:val="22"/>
              </w:rPr>
              <w:t xml:space="preserve"> </w:t>
            </w:r>
            <w:proofErr w:type="spellStart"/>
            <w:r w:rsidRPr="00B74A55">
              <w:rPr>
                <w:b/>
                <w:sz w:val="22"/>
              </w:rPr>
              <w:t>якісні</w:t>
            </w:r>
            <w:proofErr w:type="spellEnd"/>
            <w:r w:rsidRPr="00B74A55">
              <w:rPr>
                <w:b/>
                <w:sz w:val="22"/>
              </w:rPr>
              <w:t xml:space="preserve"> </w:t>
            </w:r>
            <w:proofErr w:type="spellStart"/>
            <w:r w:rsidRPr="00B74A55">
              <w:rPr>
                <w:b/>
                <w:sz w:val="22"/>
              </w:rPr>
              <w:t>результати</w:t>
            </w:r>
            <w:proofErr w:type="spellEnd"/>
            <w:r w:rsidRPr="00B74A55">
              <w:rPr>
                <w:b/>
                <w:sz w:val="22"/>
              </w:rPr>
              <w:t xml:space="preserve"> </w:t>
            </w:r>
            <w:proofErr w:type="spellStart"/>
            <w:r w:rsidRPr="00B74A55">
              <w:rPr>
                <w:b/>
                <w:sz w:val="22"/>
              </w:rPr>
              <w:t>від</w:t>
            </w:r>
            <w:proofErr w:type="spellEnd"/>
            <w:r w:rsidRPr="00B74A55">
              <w:rPr>
                <w:b/>
                <w:sz w:val="22"/>
              </w:rPr>
              <w:t xml:space="preserve"> </w:t>
            </w:r>
            <w:proofErr w:type="spellStart"/>
            <w:r w:rsidRPr="00B74A55">
              <w:rPr>
                <w:b/>
                <w:sz w:val="22"/>
              </w:rPr>
              <w:t>реалізації</w:t>
            </w:r>
            <w:proofErr w:type="spellEnd"/>
            <w:r w:rsidRPr="00B74A55">
              <w:rPr>
                <w:b/>
                <w:sz w:val="22"/>
              </w:rPr>
              <w:t xml:space="preserve"> проекту</w:t>
            </w:r>
          </w:p>
        </w:tc>
        <w:tc>
          <w:tcPr>
            <w:tcW w:w="6910" w:type="dxa"/>
            <w:gridSpan w:val="7"/>
          </w:tcPr>
          <w:p w:rsidR="00BE7B50" w:rsidRPr="00B74A55" w:rsidRDefault="00BE7B50" w:rsidP="00BE7B50">
            <w:pPr>
              <w:pStyle w:val="a7"/>
              <w:ind w:left="0"/>
              <w:rPr>
                <w:sz w:val="22"/>
              </w:rPr>
            </w:pPr>
            <w:r w:rsidRPr="00B74A55">
              <w:rPr>
                <w:sz w:val="22"/>
              </w:rPr>
              <w:t xml:space="preserve">- </w:t>
            </w:r>
            <w:proofErr w:type="spellStart"/>
            <w:r w:rsidRPr="00B74A55">
              <w:rPr>
                <w:sz w:val="22"/>
              </w:rPr>
              <w:t>забезпечення</w:t>
            </w:r>
            <w:proofErr w:type="spellEnd"/>
            <w:r w:rsidRPr="00B74A55">
              <w:rPr>
                <w:sz w:val="22"/>
              </w:rPr>
              <w:t xml:space="preserve"> </w:t>
            </w:r>
            <w:proofErr w:type="spellStart"/>
            <w:r w:rsidRPr="00B74A55">
              <w:rPr>
                <w:sz w:val="22"/>
              </w:rPr>
              <w:t>населення</w:t>
            </w:r>
            <w:proofErr w:type="spellEnd"/>
            <w:r w:rsidRPr="00B74A55">
              <w:rPr>
                <w:sz w:val="22"/>
              </w:rPr>
              <w:t xml:space="preserve"> </w:t>
            </w:r>
            <w:proofErr w:type="spellStart"/>
            <w:r w:rsidRPr="00B74A55">
              <w:rPr>
                <w:sz w:val="22"/>
              </w:rPr>
              <w:t>можливостями</w:t>
            </w:r>
            <w:proofErr w:type="spellEnd"/>
            <w:r w:rsidRPr="00B74A55">
              <w:rPr>
                <w:sz w:val="22"/>
              </w:rPr>
              <w:t xml:space="preserve"> для </w:t>
            </w:r>
            <w:proofErr w:type="spellStart"/>
            <w:r w:rsidRPr="00B74A55">
              <w:rPr>
                <w:sz w:val="22"/>
              </w:rPr>
              <w:t>реалізації</w:t>
            </w:r>
            <w:proofErr w:type="spellEnd"/>
            <w:r w:rsidRPr="00B74A55">
              <w:rPr>
                <w:sz w:val="22"/>
              </w:rPr>
              <w:t xml:space="preserve"> </w:t>
            </w:r>
            <w:proofErr w:type="spellStart"/>
            <w:r w:rsidRPr="00B74A55">
              <w:rPr>
                <w:sz w:val="22"/>
              </w:rPr>
              <w:t>конституційних</w:t>
            </w:r>
            <w:proofErr w:type="spellEnd"/>
            <w:r w:rsidRPr="00B74A55">
              <w:rPr>
                <w:sz w:val="22"/>
              </w:rPr>
              <w:t xml:space="preserve"> прав </w:t>
            </w:r>
            <w:proofErr w:type="spellStart"/>
            <w:r w:rsidRPr="00B74A55">
              <w:rPr>
                <w:sz w:val="22"/>
              </w:rPr>
              <w:t>громадян</w:t>
            </w:r>
            <w:proofErr w:type="spellEnd"/>
            <w:r w:rsidRPr="00B74A55">
              <w:rPr>
                <w:sz w:val="22"/>
              </w:rPr>
              <w:t xml:space="preserve"> на </w:t>
            </w:r>
            <w:proofErr w:type="spellStart"/>
            <w:r w:rsidRPr="00B74A55">
              <w:rPr>
                <w:sz w:val="22"/>
              </w:rPr>
              <w:t>здобуття</w:t>
            </w:r>
            <w:proofErr w:type="spellEnd"/>
            <w:r w:rsidRPr="00B74A55">
              <w:rPr>
                <w:sz w:val="22"/>
              </w:rPr>
              <w:t xml:space="preserve"> </w:t>
            </w:r>
            <w:proofErr w:type="spellStart"/>
            <w:r w:rsidRPr="00B74A55">
              <w:rPr>
                <w:sz w:val="22"/>
              </w:rPr>
              <w:t>освіти</w:t>
            </w:r>
            <w:proofErr w:type="spellEnd"/>
            <w:r w:rsidRPr="00B74A55">
              <w:rPr>
                <w:sz w:val="22"/>
              </w:rPr>
              <w:t>;</w:t>
            </w:r>
          </w:p>
          <w:p w:rsidR="00BE7B50" w:rsidRPr="00B74A55" w:rsidRDefault="00BE7B50" w:rsidP="00BE7B50">
            <w:pPr>
              <w:pStyle w:val="a7"/>
              <w:ind w:left="0"/>
              <w:rPr>
                <w:sz w:val="22"/>
              </w:rPr>
            </w:pPr>
            <w:r w:rsidRPr="00B74A55">
              <w:rPr>
                <w:sz w:val="22"/>
              </w:rPr>
              <w:t xml:space="preserve">- </w:t>
            </w:r>
            <w:proofErr w:type="spellStart"/>
            <w:r w:rsidRPr="00B74A55">
              <w:rPr>
                <w:sz w:val="22"/>
              </w:rPr>
              <w:t>надання</w:t>
            </w:r>
            <w:proofErr w:type="spellEnd"/>
            <w:r w:rsidRPr="00B74A55">
              <w:rPr>
                <w:sz w:val="22"/>
              </w:rPr>
              <w:t xml:space="preserve"> широкого спектру </w:t>
            </w:r>
            <w:proofErr w:type="spellStart"/>
            <w:r w:rsidRPr="00B74A55">
              <w:rPr>
                <w:sz w:val="22"/>
              </w:rPr>
              <w:t>освітніх</w:t>
            </w:r>
            <w:proofErr w:type="spellEnd"/>
            <w:r w:rsidRPr="00B74A55">
              <w:rPr>
                <w:sz w:val="22"/>
              </w:rPr>
              <w:t xml:space="preserve"> </w:t>
            </w:r>
            <w:proofErr w:type="spellStart"/>
            <w:r w:rsidRPr="00B74A55">
              <w:rPr>
                <w:sz w:val="22"/>
              </w:rPr>
              <w:t>послуг</w:t>
            </w:r>
            <w:proofErr w:type="spellEnd"/>
            <w:r w:rsidRPr="00B74A55">
              <w:rPr>
                <w:sz w:val="22"/>
              </w:rPr>
              <w:t>;</w:t>
            </w:r>
          </w:p>
          <w:p w:rsidR="00BE7B50" w:rsidRPr="00B74A55" w:rsidRDefault="00BE7B50" w:rsidP="00BE7B50">
            <w:pPr>
              <w:pStyle w:val="a7"/>
              <w:ind w:left="0"/>
              <w:rPr>
                <w:sz w:val="22"/>
              </w:rPr>
            </w:pPr>
            <w:r w:rsidRPr="00B74A55">
              <w:rPr>
                <w:sz w:val="22"/>
              </w:rPr>
              <w:t xml:space="preserve">- </w:t>
            </w:r>
            <w:proofErr w:type="spellStart"/>
            <w:r w:rsidRPr="00B74A55">
              <w:rPr>
                <w:sz w:val="22"/>
              </w:rPr>
              <w:t>вирішення</w:t>
            </w:r>
            <w:proofErr w:type="spellEnd"/>
            <w:r w:rsidRPr="00B74A55">
              <w:rPr>
                <w:sz w:val="22"/>
              </w:rPr>
              <w:t xml:space="preserve"> ряду </w:t>
            </w:r>
            <w:proofErr w:type="spellStart"/>
            <w:r w:rsidRPr="00B74A55">
              <w:rPr>
                <w:sz w:val="22"/>
              </w:rPr>
              <w:t>питань</w:t>
            </w:r>
            <w:proofErr w:type="spellEnd"/>
            <w:r w:rsidRPr="00B74A55">
              <w:rPr>
                <w:sz w:val="22"/>
              </w:rPr>
              <w:t xml:space="preserve"> в межах </w:t>
            </w:r>
            <w:proofErr w:type="spellStart"/>
            <w:r w:rsidRPr="00B74A55">
              <w:rPr>
                <w:sz w:val="22"/>
              </w:rPr>
              <w:t>статутної</w:t>
            </w:r>
            <w:proofErr w:type="spellEnd"/>
            <w:r w:rsidRPr="00B74A55">
              <w:rPr>
                <w:sz w:val="22"/>
              </w:rPr>
              <w:t xml:space="preserve"> </w:t>
            </w:r>
            <w:proofErr w:type="spellStart"/>
            <w:r w:rsidRPr="00B74A55">
              <w:rPr>
                <w:sz w:val="22"/>
              </w:rPr>
              <w:t>діяльності</w:t>
            </w:r>
            <w:proofErr w:type="spellEnd"/>
            <w:r w:rsidRPr="00B74A55">
              <w:rPr>
                <w:sz w:val="22"/>
              </w:rPr>
              <w:t xml:space="preserve">, </w:t>
            </w:r>
            <w:proofErr w:type="spellStart"/>
            <w:r w:rsidRPr="00B74A55">
              <w:rPr>
                <w:sz w:val="22"/>
              </w:rPr>
              <w:t>пов’язаних</w:t>
            </w:r>
            <w:proofErr w:type="spellEnd"/>
            <w:r w:rsidRPr="00B74A55">
              <w:rPr>
                <w:sz w:val="22"/>
              </w:rPr>
              <w:t xml:space="preserve"> </w:t>
            </w:r>
            <w:proofErr w:type="spellStart"/>
            <w:r w:rsidRPr="00B74A55">
              <w:rPr>
                <w:sz w:val="22"/>
              </w:rPr>
              <w:t>із</w:t>
            </w:r>
            <w:proofErr w:type="spellEnd"/>
            <w:r w:rsidRPr="00B74A55">
              <w:rPr>
                <w:sz w:val="22"/>
              </w:rPr>
              <w:t xml:space="preserve"> </w:t>
            </w:r>
            <w:proofErr w:type="spellStart"/>
            <w:r w:rsidRPr="00B74A55">
              <w:rPr>
                <w:sz w:val="22"/>
              </w:rPr>
              <w:t>відбудовою</w:t>
            </w:r>
            <w:proofErr w:type="spellEnd"/>
            <w:r w:rsidRPr="00B74A55">
              <w:rPr>
                <w:sz w:val="22"/>
              </w:rPr>
              <w:t xml:space="preserve"> та </w:t>
            </w:r>
            <w:proofErr w:type="spellStart"/>
            <w:r w:rsidRPr="00B74A55">
              <w:rPr>
                <w:sz w:val="22"/>
              </w:rPr>
              <w:t>сталим</w:t>
            </w:r>
            <w:proofErr w:type="spellEnd"/>
            <w:r w:rsidRPr="00B74A55">
              <w:rPr>
                <w:sz w:val="22"/>
              </w:rPr>
              <w:t xml:space="preserve"> </w:t>
            </w:r>
            <w:proofErr w:type="spellStart"/>
            <w:r w:rsidRPr="00B74A55">
              <w:rPr>
                <w:sz w:val="22"/>
              </w:rPr>
              <w:t>розвитком</w:t>
            </w:r>
            <w:proofErr w:type="spellEnd"/>
            <w:r w:rsidRPr="00B74A55">
              <w:rPr>
                <w:sz w:val="22"/>
              </w:rPr>
              <w:t xml:space="preserve"> </w:t>
            </w:r>
            <w:proofErr w:type="spellStart"/>
            <w:r w:rsidRPr="00B74A55">
              <w:rPr>
                <w:sz w:val="22"/>
              </w:rPr>
              <w:t>громади</w:t>
            </w:r>
            <w:proofErr w:type="spellEnd"/>
            <w:r w:rsidRPr="00B74A55">
              <w:rPr>
                <w:sz w:val="22"/>
              </w:rPr>
              <w:t>;</w:t>
            </w:r>
          </w:p>
          <w:p w:rsidR="00BE7B50" w:rsidRPr="00B74A55" w:rsidRDefault="00BE7B50" w:rsidP="00BE7B50">
            <w:pPr>
              <w:pStyle w:val="a7"/>
              <w:ind w:left="0"/>
              <w:rPr>
                <w:sz w:val="22"/>
              </w:rPr>
            </w:pPr>
            <w:r w:rsidRPr="00B74A55">
              <w:rPr>
                <w:sz w:val="22"/>
              </w:rPr>
              <w:t xml:space="preserve">- </w:t>
            </w:r>
            <w:proofErr w:type="spellStart"/>
            <w:r w:rsidRPr="00B74A55">
              <w:rPr>
                <w:sz w:val="22"/>
              </w:rPr>
              <w:t>виконання</w:t>
            </w:r>
            <w:proofErr w:type="spellEnd"/>
            <w:r w:rsidRPr="00B74A55">
              <w:rPr>
                <w:sz w:val="22"/>
              </w:rPr>
              <w:t xml:space="preserve"> </w:t>
            </w:r>
            <w:proofErr w:type="spellStart"/>
            <w:r w:rsidRPr="00B74A55">
              <w:rPr>
                <w:sz w:val="22"/>
              </w:rPr>
              <w:t>Санітарного</w:t>
            </w:r>
            <w:proofErr w:type="spellEnd"/>
            <w:r w:rsidRPr="00B74A55">
              <w:rPr>
                <w:sz w:val="22"/>
              </w:rPr>
              <w:t xml:space="preserve"> </w:t>
            </w:r>
            <w:proofErr w:type="spellStart"/>
            <w:r w:rsidRPr="00B74A55">
              <w:rPr>
                <w:sz w:val="22"/>
              </w:rPr>
              <w:t>регламенті</w:t>
            </w:r>
            <w:proofErr w:type="spellEnd"/>
            <w:r w:rsidRPr="00B74A55">
              <w:rPr>
                <w:sz w:val="22"/>
              </w:rPr>
              <w:t xml:space="preserve"> для </w:t>
            </w:r>
            <w:proofErr w:type="spellStart"/>
            <w:r w:rsidRPr="00B74A55">
              <w:rPr>
                <w:sz w:val="22"/>
              </w:rPr>
              <w:t>закладів</w:t>
            </w:r>
            <w:proofErr w:type="spellEnd"/>
            <w:r w:rsidRPr="00B74A55">
              <w:rPr>
                <w:sz w:val="22"/>
              </w:rPr>
              <w:t xml:space="preserve"> </w:t>
            </w:r>
            <w:proofErr w:type="spellStart"/>
            <w:r w:rsidRPr="00B74A55">
              <w:rPr>
                <w:sz w:val="22"/>
              </w:rPr>
              <w:t>загальної</w:t>
            </w:r>
            <w:proofErr w:type="spellEnd"/>
            <w:r w:rsidRPr="00B74A55">
              <w:rPr>
                <w:sz w:val="22"/>
              </w:rPr>
              <w:t xml:space="preserve"> </w:t>
            </w:r>
            <w:proofErr w:type="spellStart"/>
            <w:r w:rsidRPr="00B74A55">
              <w:rPr>
                <w:sz w:val="22"/>
              </w:rPr>
              <w:t>середньої</w:t>
            </w:r>
            <w:proofErr w:type="spellEnd"/>
            <w:r w:rsidRPr="00B74A55">
              <w:rPr>
                <w:sz w:val="22"/>
              </w:rPr>
              <w:t xml:space="preserve"> </w:t>
            </w:r>
            <w:proofErr w:type="spellStart"/>
            <w:r w:rsidRPr="00B74A55">
              <w:rPr>
                <w:sz w:val="22"/>
              </w:rPr>
              <w:t>освіти</w:t>
            </w:r>
            <w:proofErr w:type="spellEnd"/>
            <w:r w:rsidRPr="00B74A55">
              <w:rPr>
                <w:sz w:val="22"/>
              </w:rPr>
              <w:t xml:space="preserve"> та </w:t>
            </w:r>
            <w:proofErr w:type="spellStart"/>
            <w:r w:rsidRPr="00B74A55">
              <w:rPr>
                <w:sz w:val="22"/>
              </w:rPr>
              <w:t>вимог</w:t>
            </w:r>
            <w:proofErr w:type="spellEnd"/>
            <w:r w:rsidRPr="00B74A55">
              <w:rPr>
                <w:sz w:val="22"/>
              </w:rPr>
              <w:t xml:space="preserve"> ХАССП </w:t>
            </w:r>
            <w:proofErr w:type="spellStart"/>
            <w:r w:rsidRPr="00B74A55">
              <w:rPr>
                <w:sz w:val="22"/>
              </w:rPr>
              <w:t>щодо</w:t>
            </w:r>
            <w:proofErr w:type="spellEnd"/>
            <w:r w:rsidRPr="00B74A55">
              <w:rPr>
                <w:sz w:val="22"/>
              </w:rPr>
              <w:t xml:space="preserve"> </w:t>
            </w:r>
            <w:proofErr w:type="spellStart"/>
            <w:r w:rsidRPr="00B74A55">
              <w:rPr>
                <w:sz w:val="22"/>
              </w:rPr>
              <w:t>безпечного</w:t>
            </w:r>
            <w:proofErr w:type="spellEnd"/>
            <w:r w:rsidRPr="00B74A55">
              <w:rPr>
                <w:sz w:val="22"/>
              </w:rPr>
              <w:t xml:space="preserve"> </w:t>
            </w:r>
            <w:proofErr w:type="spellStart"/>
            <w:r w:rsidRPr="00B74A55">
              <w:rPr>
                <w:sz w:val="22"/>
              </w:rPr>
              <w:t>функціонування</w:t>
            </w:r>
            <w:proofErr w:type="spellEnd"/>
            <w:r w:rsidRPr="00B74A55">
              <w:rPr>
                <w:sz w:val="22"/>
              </w:rPr>
              <w:t xml:space="preserve"> закладу;</w:t>
            </w:r>
          </w:p>
          <w:p w:rsidR="00BE7B50" w:rsidRPr="00B74A55" w:rsidRDefault="00BE7B50" w:rsidP="00BE7B50">
            <w:pPr>
              <w:pStyle w:val="a7"/>
              <w:ind w:left="0"/>
              <w:rPr>
                <w:sz w:val="22"/>
              </w:rPr>
            </w:pPr>
            <w:r w:rsidRPr="00B74A55">
              <w:rPr>
                <w:sz w:val="22"/>
              </w:rPr>
              <w:t xml:space="preserve">- </w:t>
            </w:r>
            <w:proofErr w:type="spellStart"/>
            <w:r w:rsidRPr="00B74A55">
              <w:rPr>
                <w:sz w:val="22"/>
              </w:rPr>
              <w:t>створення</w:t>
            </w:r>
            <w:proofErr w:type="spellEnd"/>
            <w:r w:rsidRPr="00B74A55">
              <w:rPr>
                <w:sz w:val="22"/>
              </w:rPr>
              <w:t xml:space="preserve"> </w:t>
            </w:r>
            <w:proofErr w:type="spellStart"/>
            <w:r w:rsidRPr="00B74A55">
              <w:rPr>
                <w:sz w:val="22"/>
              </w:rPr>
              <w:t>нових</w:t>
            </w:r>
            <w:proofErr w:type="spellEnd"/>
            <w:r w:rsidRPr="00B74A55">
              <w:rPr>
                <w:sz w:val="22"/>
              </w:rPr>
              <w:t xml:space="preserve"> </w:t>
            </w:r>
            <w:proofErr w:type="spellStart"/>
            <w:r w:rsidRPr="00B74A55">
              <w:rPr>
                <w:sz w:val="22"/>
              </w:rPr>
              <w:t>робочих</w:t>
            </w:r>
            <w:proofErr w:type="spellEnd"/>
            <w:r w:rsidRPr="00B74A55">
              <w:rPr>
                <w:sz w:val="22"/>
              </w:rPr>
              <w:t xml:space="preserve"> </w:t>
            </w:r>
            <w:proofErr w:type="spellStart"/>
            <w:r w:rsidRPr="00B74A55">
              <w:rPr>
                <w:sz w:val="22"/>
              </w:rPr>
              <w:t>місць</w:t>
            </w:r>
            <w:proofErr w:type="spellEnd"/>
            <w:r w:rsidRPr="00B74A55">
              <w:rPr>
                <w:sz w:val="22"/>
              </w:rPr>
              <w:t>;</w:t>
            </w:r>
          </w:p>
          <w:p w:rsidR="00BE7B50" w:rsidRPr="00B74A55" w:rsidRDefault="00BE7B50" w:rsidP="00BE7B50">
            <w:pPr>
              <w:pStyle w:val="a7"/>
              <w:ind w:left="0"/>
              <w:rPr>
                <w:sz w:val="22"/>
              </w:rPr>
            </w:pPr>
            <w:r w:rsidRPr="00B74A55">
              <w:rPr>
                <w:sz w:val="22"/>
              </w:rPr>
              <w:t xml:space="preserve">- стимул до </w:t>
            </w:r>
            <w:proofErr w:type="spellStart"/>
            <w:r w:rsidRPr="00B74A55">
              <w:rPr>
                <w:sz w:val="22"/>
              </w:rPr>
              <w:t>повернення</w:t>
            </w:r>
            <w:proofErr w:type="spellEnd"/>
            <w:r w:rsidRPr="00B74A55">
              <w:rPr>
                <w:sz w:val="22"/>
              </w:rPr>
              <w:t xml:space="preserve"> ВПО до </w:t>
            </w:r>
            <w:proofErr w:type="spellStart"/>
            <w:r w:rsidRPr="00B74A55">
              <w:rPr>
                <w:sz w:val="22"/>
              </w:rPr>
              <w:t>громади</w:t>
            </w:r>
            <w:proofErr w:type="spellEnd"/>
          </w:p>
        </w:tc>
      </w:tr>
      <w:tr w:rsidR="00BE7B50" w:rsidRPr="00B74A55" w:rsidTr="00F34B87">
        <w:trPr>
          <w:trHeight w:val="390"/>
        </w:trPr>
        <w:tc>
          <w:tcPr>
            <w:tcW w:w="2978" w:type="dxa"/>
            <w:vMerge w:val="restart"/>
            <w:shd w:val="clear" w:color="auto" w:fill="C6D9F1" w:themeFill="text2" w:themeFillTint="33"/>
          </w:tcPr>
          <w:p w:rsidR="00BE7B50" w:rsidRPr="00B74A55" w:rsidRDefault="00BE7B50" w:rsidP="00BE7B50">
            <w:pPr>
              <w:pStyle w:val="a7"/>
              <w:ind w:left="0"/>
              <w:rPr>
                <w:b/>
                <w:sz w:val="22"/>
                <w:lang w:val="uk-UA"/>
              </w:rPr>
            </w:pPr>
            <w:r w:rsidRPr="00B74A55">
              <w:rPr>
                <w:b/>
                <w:sz w:val="22"/>
                <w:lang w:val="uk-UA"/>
              </w:rPr>
              <w:t xml:space="preserve">Очікувані кількісні результати реалізації </w:t>
            </w:r>
            <w:proofErr w:type="spellStart"/>
            <w:r w:rsidRPr="00B74A55">
              <w:rPr>
                <w:b/>
                <w:sz w:val="22"/>
                <w:lang w:val="uk-UA"/>
              </w:rPr>
              <w:t>проєкту</w:t>
            </w:r>
            <w:proofErr w:type="spellEnd"/>
            <w:r w:rsidRPr="00B74A55">
              <w:rPr>
                <w:b/>
                <w:sz w:val="22"/>
                <w:lang w:val="uk-UA"/>
              </w:rPr>
              <w:t xml:space="preserve"> (індикатори)</w:t>
            </w:r>
          </w:p>
          <w:p w:rsidR="00BE7B50" w:rsidRPr="00B74A55" w:rsidRDefault="00BE7B50" w:rsidP="00BE7B50">
            <w:pPr>
              <w:pStyle w:val="a7"/>
              <w:ind w:left="0"/>
              <w:rPr>
                <w:b/>
                <w:sz w:val="22"/>
                <w:lang w:val="uk-UA"/>
              </w:rPr>
            </w:pPr>
          </w:p>
        </w:tc>
        <w:tc>
          <w:tcPr>
            <w:tcW w:w="3260" w:type="dxa"/>
            <w:gridSpan w:val="3"/>
            <w:tcBorders>
              <w:bottom w:val="single" w:sz="4" w:space="0" w:color="auto"/>
              <w:right w:val="single" w:sz="4" w:space="0" w:color="auto"/>
            </w:tcBorders>
          </w:tcPr>
          <w:p w:rsidR="00BE7B50" w:rsidRPr="00B74A55" w:rsidRDefault="00BE7B50" w:rsidP="00BE7B50">
            <w:pPr>
              <w:pStyle w:val="a7"/>
              <w:ind w:left="-108"/>
              <w:jc w:val="center"/>
              <w:rPr>
                <w:b/>
                <w:sz w:val="22"/>
              </w:rPr>
            </w:pPr>
            <w:proofErr w:type="spellStart"/>
            <w:r w:rsidRPr="00B74A55">
              <w:rPr>
                <w:b/>
                <w:sz w:val="22"/>
              </w:rPr>
              <w:lastRenderedPageBreak/>
              <w:t>Найменування</w:t>
            </w:r>
            <w:proofErr w:type="spellEnd"/>
            <w:r w:rsidRPr="00B74A55">
              <w:rPr>
                <w:b/>
                <w:sz w:val="22"/>
              </w:rPr>
              <w:t xml:space="preserve"> </w:t>
            </w:r>
            <w:proofErr w:type="spellStart"/>
            <w:r w:rsidRPr="00B74A55">
              <w:rPr>
                <w:b/>
                <w:sz w:val="22"/>
              </w:rPr>
              <w:t>показника</w:t>
            </w:r>
            <w:proofErr w:type="spellEnd"/>
          </w:p>
        </w:tc>
        <w:tc>
          <w:tcPr>
            <w:tcW w:w="1701" w:type="dxa"/>
            <w:gridSpan w:val="2"/>
            <w:tcBorders>
              <w:left w:val="single" w:sz="4" w:space="0" w:color="auto"/>
              <w:bottom w:val="single" w:sz="4" w:space="0" w:color="auto"/>
              <w:right w:val="single" w:sz="4" w:space="0" w:color="auto"/>
            </w:tcBorders>
          </w:tcPr>
          <w:p w:rsidR="00BE7B50" w:rsidRPr="00B74A55" w:rsidRDefault="00BE7B50" w:rsidP="00BE7B50">
            <w:pPr>
              <w:pStyle w:val="a7"/>
              <w:ind w:left="0"/>
              <w:jc w:val="center"/>
              <w:rPr>
                <w:b/>
                <w:sz w:val="22"/>
              </w:rPr>
            </w:pPr>
            <w:proofErr w:type="spellStart"/>
            <w:r w:rsidRPr="00B74A55">
              <w:rPr>
                <w:b/>
                <w:sz w:val="22"/>
              </w:rPr>
              <w:t>Одиниця</w:t>
            </w:r>
            <w:proofErr w:type="spellEnd"/>
            <w:r w:rsidRPr="00B74A55">
              <w:rPr>
                <w:b/>
                <w:sz w:val="22"/>
              </w:rPr>
              <w:t xml:space="preserve"> </w:t>
            </w:r>
            <w:proofErr w:type="spellStart"/>
            <w:r w:rsidRPr="00B74A55">
              <w:rPr>
                <w:b/>
                <w:sz w:val="22"/>
              </w:rPr>
              <w:t>вимірювання</w:t>
            </w:r>
            <w:proofErr w:type="spellEnd"/>
          </w:p>
          <w:p w:rsidR="00BE7B50" w:rsidRPr="00B74A55" w:rsidRDefault="00BE7B50" w:rsidP="00BE7B50">
            <w:pPr>
              <w:pStyle w:val="a7"/>
              <w:ind w:left="0"/>
              <w:rPr>
                <w:b/>
                <w:sz w:val="22"/>
              </w:rPr>
            </w:pPr>
          </w:p>
        </w:tc>
        <w:tc>
          <w:tcPr>
            <w:tcW w:w="1949" w:type="dxa"/>
            <w:gridSpan w:val="2"/>
            <w:tcBorders>
              <w:left w:val="single" w:sz="4" w:space="0" w:color="auto"/>
              <w:bottom w:val="single" w:sz="4" w:space="0" w:color="auto"/>
            </w:tcBorders>
          </w:tcPr>
          <w:p w:rsidR="00BE7B50" w:rsidRPr="00B74A55" w:rsidRDefault="00BE7B50" w:rsidP="00BE7B50">
            <w:pPr>
              <w:pStyle w:val="a7"/>
              <w:ind w:left="0"/>
              <w:jc w:val="center"/>
              <w:rPr>
                <w:b/>
                <w:sz w:val="22"/>
              </w:rPr>
            </w:pPr>
            <w:proofErr w:type="spellStart"/>
            <w:r w:rsidRPr="00B74A55">
              <w:rPr>
                <w:b/>
                <w:sz w:val="22"/>
              </w:rPr>
              <w:t>Прогнозне</w:t>
            </w:r>
            <w:proofErr w:type="spellEnd"/>
            <w:r w:rsidRPr="00B74A55">
              <w:rPr>
                <w:b/>
                <w:sz w:val="22"/>
              </w:rPr>
              <w:t xml:space="preserve"> (</w:t>
            </w:r>
            <w:proofErr w:type="spellStart"/>
            <w:r w:rsidRPr="00B74A55">
              <w:rPr>
                <w:b/>
                <w:sz w:val="22"/>
              </w:rPr>
              <w:t>цільове</w:t>
            </w:r>
            <w:proofErr w:type="spellEnd"/>
            <w:r w:rsidRPr="00B74A55">
              <w:rPr>
                <w:b/>
                <w:sz w:val="22"/>
              </w:rPr>
              <w:t xml:space="preserve">) </w:t>
            </w:r>
            <w:proofErr w:type="spellStart"/>
            <w:r w:rsidRPr="00B74A55">
              <w:rPr>
                <w:b/>
                <w:sz w:val="22"/>
              </w:rPr>
              <w:t>значення</w:t>
            </w:r>
            <w:proofErr w:type="spellEnd"/>
          </w:p>
        </w:tc>
      </w:tr>
      <w:tr w:rsidR="00BE7B50" w:rsidRPr="00B74A55" w:rsidTr="00F34B87">
        <w:trPr>
          <w:trHeight w:val="585"/>
        </w:trPr>
        <w:tc>
          <w:tcPr>
            <w:tcW w:w="2978" w:type="dxa"/>
            <w:vMerge/>
            <w:shd w:val="clear" w:color="auto" w:fill="C6D9F1" w:themeFill="text2" w:themeFillTint="33"/>
          </w:tcPr>
          <w:p w:rsidR="00BE7B50" w:rsidRPr="00B74A55" w:rsidRDefault="00BE7B50" w:rsidP="00BE7B50">
            <w:pPr>
              <w:pStyle w:val="a7"/>
              <w:ind w:left="0"/>
              <w:rPr>
                <w:b/>
                <w:sz w:val="22"/>
              </w:rPr>
            </w:pPr>
          </w:p>
        </w:tc>
        <w:tc>
          <w:tcPr>
            <w:tcW w:w="3260" w:type="dxa"/>
            <w:gridSpan w:val="3"/>
            <w:tcBorders>
              <w:top w:val="single" w:sz="4" w:space="0" w:color="auto"/>
              <w:bottom w:val="single" w:sz="4" w:space="0" w:color="auto"/>
              <w:right w:val="single" w:sz="4" w:space="0" w:color="auto"/>
            </w:tcBorders>
          </w:tcPr>
          <w:p w:rsidR="00BE7B50" w:rsidRPr="00B74A55" w:rsidRDefault="00BE7B50" w:rsidP="005F577F">
            <w:pPr>
              <w:pStyle w:val="a7"/>
              <w:ind w:left="0"/>
              <w:jc w:val="center"/>
              <w:rPr>
                <w:sz w:val="22"/>
              </w:rPr>
            </w:pPr>
            <w:proofErr w:type="spellStart"/>
            <w:r w:rsidRPr="00B74A55">
              <w:rPr>
                <w:sz w:val="22"/>
              </w:rPr>
              <w:t>Кількість</w:t>
            </w:r>
            <w:proofErr w:type="spellEnd"/>
            <w:r w:rsidRPr="00B74A55">
              <w:rPr>
                <w:sz w:val="22"/>
              </w:rPr>
              <w:t xml:space="preserve"> </w:t>
            </w:r>
            <w:proofErr w:type="spellStart"/>
            <w:r w:rsidRPr="00B74A55">
              <w:rPr>
                <w:sz w:val="22"/>
              </w:rPr>
              <w:t>фізичних</w:t>
            </w:r>
            <w:proofErr w:type="spellEnd"/>
            <w:r w:rsidRPr="00B74A55">
              <w:rPr>
                <w:sz w:val="22"/>
              </w:rPr>
              <w:t xml:space="preserve"> </w:t>
            </w:r>
            <w:proofErr w:type="spellStart"/>
            <w:r w:rsidRPr="00B74A55">
              <w:rPr>
                <w:sz w:val="22"/>
              </w:rPr>
              <w:t>осіб</w:t>
            </w:r>
            <w:proofErr w:type="spellEnd"/>
            <w:r w:rsidRPr="00B74A55">
              <w:rPr>
                <w:sz w:val="22"/>
              </w:rPr>
              <w:t xml:space="preserve">, </w:t>
            </w:r>
            <w:proofErr w:type="spellStart"/>
            <w:r w:rsidRPr="00B74A55">
              <w:rPr>
                <w:sz w:val="22"/>
              </w:rPr>
              <w:t>які</w:t>
            </w:r>
            <w:proofErr w:type="spellEnd"/>
            <w:r w:rsidRPr="00B74A55">
              <w:rPr>
                <w:sz w:val="22"/>
              </w:rPr>
              <w:t xml:space="preserve"> </w:t>
            </w:r>
            <w:proofErr w:type="spellStart"/>
            <w:r w:rsidRPr="00B74A55">
              <w:rPr>
                <w:sz w:val="22"/>
              </w:rPr>
              <w:t>звернулись</w:t>
            </w:r>
            <w:proofErr w:type="spellEnd"/>
            <w:r w:rsidRPr="00B74A55">
              <w:rPr>
                <w:sz w:val="22"/>
              </w:rPr>
              <w:t xml:space="preserve"> за </w:t>
            </w:r>
            <w:proofErr w:type="spellStart"/>
            <w:r w:rsidRPr="00B74A55">
              <w:rPr>
                <w:sz w:val="22"/>
              </w:rPr>
              <w:t>послугами</w:t>
            </w:r>
            <w:proofErr w:type="spellEnd"/>
            <w:r w:rsidRPr="00B74A55">
              <w:rPr>
                <w:sz w:val="22"/>
              </w:rPr>
              <w:t xml:space="preserve"> </w:t>
            </w:r>
            <w:proofErr w:type="spellStart"/>
            <w:proofErr w:type="gramStart"/>
            <w:r w:rsidRPr="00B74A55">
              <w:rPr>
                <w:sz w:val="22"/>
              </w:rPr>
              <w:t>протягом</w:t>
            </w:r>
            <w:proofErr w:type="spellEnd"/>
            <w:r w:rsidRPr="00B74A55">
              <w:rPr>
                <w:sz w:val="22"/>
              </w:rPr>
              <w:t xml:space="preserve">  року</w:t>
            </w:r>
            <w:proofErr w:type="gramEnd"/>
          </w:p>
        </w:tc>
        <w:tc>
          <w:tcPr>
            <w:tcW w:w="1701" w:type="dxa"/>
            <w:gridSpan w:val="2"/>
            <w:tcBorders>
              <w:top w:val="single" w:sz="4" w:space="0" w:color="auto"/>
              <w:left w:val="single" w:sz="4" w:space="0" w:color="auto"/>
              <w:bottom w:val="single" w:sz="4" w:space="0" w:color="auto"/>
              <w:right w:val="single" w:sz="4" w:space="0" w:color="auto"/>
            </w:tcBorders>
            <w:vAlign w:val="center"/>
          </w:tcPr>
          <w:p w:rsidR="00BE7B50" w:rsidRPr="00B74A55" w:rsidRDefault="00BE7B50" w:rsidP="00BE7B50">
            <w:pPr>
              <w:pStyle w:val="a7"/>
              <w:ind w:left="0"/>
              <w:jc w:val="center"/>
              <w:rPr>
                <w:sz w:val="22"/>
              </w:rPr>
            </w:pPr>
            <w:proofErr w:type="spellStart"/>
            <w:r w:rsidRPr="00B74A55">
              <w:rPr>
                <w:sz w:val="22"/>
              </w:rPr>
              <w:t>осіб</w:t>
            </w:r>
            <w:proofErr w:type="spellEnd"/>
          </w:p>
        </w:tc>
        <w:tc>
          <w:tcPr>
            <w:tcW w:w="1949" w:type="dxa"/>
            <w:gridSpan w:val="2"/>
            <w:tcBorders>
              <w:top w:val="single" w:sz="4" w:space="0" w:color="auto"/>
              <w:left w:val="single" w:sz="4" w:space="0" w:color="auto"/>
              <w:bottom w:val="single" w:sz="4" w:space="0" w:color="auto"/>
            </w:tcBorders>
          </w:tcPr>
          <w:p w:rsidR="00BE7B50" w:rsidRPr="00B74A55" w:rsidRDefault="00BE7B50" w:rsidP="00BE7B50">
            <w:pPr>
              <w:pStyle w:val="a7"/>
              <w:ind w:left="0"/>
              <w:jc w:val="center"/>
              <w:rPr>
                <w:b/>
                <w:sz w:val="22"/>
              </w:rPr>
            </w:pPr>
            <w:r w:rsidRPr="00B74A55">
              <w:rPr>
                <w:sz w:val="22"/>
              </w:rPr>
              <w:t>600</w:t>
            </w:r>
          </w:p>
        </w:tc>
      </w:tr>
      <w:tr w:rsidR="00BE7B50" w:rsidRPr="00B74A55" w:rsidTr="00F34B87">
        <w:trPr>
          <w:trHeight w:val="184"/>
        </w:trPr>
        <w:tc>
          <w:tcPr>
            <w:tcW w:w="2978" w:type="dxa"/>
            <w:vMerge/>
            <w:shd w:val="clear" w:color="auto" w:fill="C6D9F1" w:themeFill="text2" w:themeFillTint="33"/>
          </w:tcPr>
          <w:p w:rsidR="00BE7B50" w:rsidRPr="00B74A55" w:rsidRDefault="00BE7B50" w:rsidP="00BE7B50">
            <w:pPr>
              <w:pStyle w:val="a7"/>
              <w:ind w:left="0"/>
              <w:rPr>
                <w:b/>
                <w:sz w:val="22"/>
              </w:rPr>
            </w:pPr>
          </w:p>
        </w:tc>
        <w:tc>
          <w:tcPr>
            <w:tcW w:w="3260" w:type="dxa"/>
            <w:gridSpan w:val="3"/>
            <w:tcBorders>
              <w:top w:val="single" w:sz="4" w:space="0" w:color="auto"/>
              <w:bottom w:val="single" w:sz="4" w:space="0" w:color="auto"/>
              <w:right w:val="single" w:sz="4" w:space="0" w:color="auto"/>
            </w:tcBorders>
          </w:tcPr>
          <w:p w:rsidR="00BE7B50" w:rsidRPr="00B74A55" w:rsidRDefault="00BE7B50" w:rsidP="00BE7B50">
            <w:pPr>
              <w:pStyle w:val="a7"/>
              <w:ind w:left="0"/>
              <w:jc w:val="center"/>
              <w:rPr>
                <w:sz w:val="22"/>
              </w:rPr>
            </w:pPr>
            <w:proofErr w:type="spellStart"/>
            <w:r w:rsidRPr="00B74A55">
              <w:rPr>
                <w:sz w:val="22"/>
              </w:rPr>
              <w:t>Кількість</w:t>
            </w:r>
            <w:proofErr w:type="spellEnd"/>
            <w:r w:rsidRPr="00B74A55">
              <w:rPr>
                <w:sz w:val="22"/>
              </w:rPr>
              <w:t xml:space="preserve"> </w:t>
            </w:r>
            <w:proofErr w:type="spellStart"/>
            <w:r w:rsidRPr="00B74A55">
              <w:rPr>
                <w:sz w:val="22"/>
              </w:rPr>
              <w:t>видів</w:t>
            </w:r>
            <w:proofErr w:type="spellEnd"/>
            <w:r w:rsidRPr="00B74A55">
              <w:rPr>
                <w:sz w:val="22"/>
              </w:rPr>
              <w:t xml:space="preserve"> та </w:t>
            </w:r>
            <w:proofErr w:type="spellStart"/>
            <w:r w:rsidRPr="00B74A55">
              <w:rPr>
                <w:sz w:val="22"/>
              </w:rPr>
              <w:t>типів</w:t>
            </w:r>
            <w:proofErr w:type="spellEnd"/>
            <w:r w:rsidRPr="00B74A55">
              <w:rPr>
                <w:sz w:val="22"/>
              </w:rPr>
              <w:t xml:space="preserve"> </w:t>
            </w:r>
            <w:proofErr w:type="spellStart"/>
            <w:r w:rsidRPr="00B74A55">
              <w:rPr>
                <w:sz w:val="22"/>
              </w:rPr>
              <w:t>послуг</w:t>
            </w:r>
            <w:proofErr w:type="spellEnd"/>
            <w:r w:rsidR="005F577F" w:rsidRPr="00B74A55">
              <w:rPr>
                <w:sz w:val="22"/>
              </w:rPr>
              <w:t>,</w:t>
            </w:r>
            <w:r w:rsidRPr="00B74A55">
              <w:rPr>
                <w:sz w:val="22"/>
              </w:rPr>
              <w:t xml:space="preserve"> </w:t>
            </w:r>
            <w:proofErr w:type="spellStart"/>
            <w:r w:rsidRPr="00B74A55">
              <w:rPr>
                <w:sz w:val="22"/>
              </w:rPr>
              <w:t>наданих</w:t>
            </w:r>
            <w:proofErr w:type="spellEnd"/>
            <w:r w:rsidRPr="00B74A55">
              <w:rPr>
                <w:sz w:val="22"/>
              </w:rPr>
              <w:t xml:space="preserve"> </w:t>
            </w:r>
            <w:proofErr w:type="spellStart"/>
            <w:r w:rsidRPr="00B74A55">
              <w:rPr>
                <w:sz w:val="22"/>
              </w:rPr>
              <w:t>протягом</w:t>
            </w:r>
            <w:proofErr w:type="spellEnd"/>
            <w:r w:rsidRPr="00B74A55">
              <w:rPr>
                <w:sz w:val="22"/>
              </w:rPr>
              <w:t xml:space="preserve"> одно </w:t>
            </w:r>
            <w:proofErr w:type="spellStart"/>
            <w:r w:rsidRPr="00B74A55">
              <w:rPr>
                <w:sz w:val="22"/>
              </w:rPr>
              <w:t>робочого</w:t>
            </w:r>
            <w:proofErr w:type="spellEnd"/>
            <w:r w:rsidRPr="00B74A55">
              <w:rPr>
                <w:sz w:val="22"/>
              </w:rPr>
              <w:t xml:space="preserve"> дня</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BE7B50" w:rsidRPr="00B74A55" w:rsidRDefault="00BE7B50" w:rsidP="00BE7B50">
            <w:pPr>
              <w:pStyle w:val="a7"/>
              <w:ind w:left="0"/>
              <w:jc w:val="center"/>
              <w:rPr>
                <w:sz w:val="22"/>
              </w:rPr>
            </w:pPr>
            <w:proofErr w:type="spellStart"/>
            <w:r w:rsidRPr="00B74A55">
              <w:rPr>
                <w:sz w:val="22"/>
              </w:rPr>
              <w:t>одиниць</w:t>
            </w:r>
            <w:proofErr w:type="spellEnd"/>
          </w:p>
        </w:tc>
        <w:tc>
          <w:tcPr>
            <w:tcW w:w="1949" w:type="dxa"/>
            <w:gridSpan w:val="2"/>
            <w:tcBorders>
              <w:top w:val="single" w:sz="4" w:space="0" w:color="auto"/>
              <w:left w:val="single" w:sz="4" w:space="0" w:color="auto"/>
              <w:bottom w:val="single" w:sz="4" w:space="0" w:color="auto"/>
            </w:tcBorders>
          </w:tcPr>
          <w:p w:rsidR="00BE7B50" w:rsidRPr="00B74A55" w:rsidRDefault="00BE7B50" w:rsidP="00BE7B50">
            <w:pPr>
              <w:pStyle w:val="a7"/>
              <w:ind w:left="0"/>
              <w:jc w:val="center"/>
              <w:rPr>
                <w:sz w:val="22"/>
              </w:rPr>
            </w:pPr>
            <w:r w:rsidRPr="00B74A55">
              <w:rPr>
                <w:sz w:val="22"/>
              </w:rPr>
              <w:t>115</w:t>
            </w:r>
          </w:p>
        </w:tc>
      </w:tr>
      <w:tr w:rsidR="00BE7B50" w:rsidRPr="00B74A55" w:rsidTr="00F34B87">
        <w:trPr>
          <w:trHeight w:val="165"/>
        </w:trPr>
        <w:tc>
          <w:tcPr>
            <w:tcW w:w="2978" w:type="dxa"/>
            <w:vMerge/>
            <w:shd w:val="clear" w:color="auto" w:fill="C6D9F1" w:themeFill="text2" w:themeFillTint="33"/>
          </w:tcPr>
          <w:p w:rsidR="00BE7B50" w:rsidRPr="00B74A55" w:rsidRDefault="00BE7B50" w:rsidP="00BE7B50">
            <w:pPr>
              <w:pStyle w:val="a7"/>
              <w:ind w:left="0"/>
              <w:rPr>
                <w:b/>
                <w:sz w:val="22"/>
              </w:rPr>
            </w:pPr>
          </w:p>
        </w:tc>
        <w:tc>
          <w:tcPr>
            <w:tcW w:w="3260" w:type="dxa"/>
            <w:gridSpan w:val="3"/>
            <w:tcBorders>
              <w:top w:val="single" w:sz="4" w:space="0" w:color="auto"/>
              <w:bottom w:val="single" w:sz="4" w:space="0" w:color="auto"/>
              <w:right w:val="single" w:sz="4" w:space="0" w:color="auto"/>
            </w:tcBorders>
          </w:tcPr>
          <w:p w:rsidR="00BE7B50" w:rsidRPr="00B74A55" w:rsidRDefault="00BE7B50" w:rsidP="00BE7B50">
            <w:pPr>
              <w:pStyle w:val="a7"/>
              <w:ind w:left="0"/>
              <w:jc w:val="center"/>
              <w:rPr>
                <w:color w:val="000000" w:themeColor="text1"/>
                <w:sz w:val="22"/>
              </w:rPr>
            </w:pPr>
            <w:proofErr w:type="spellStart"/>
            <w:r w:rsidRPr="00B74A55">
              <w:rPr>
                <w:color w:val="000000" w:themeColor="text1"/>
                <w:sz w:val="22"/>
              </w:rPr>
              <w:t>Середня</w:t>
            </w:r>
            <w:proofErr w:type="spellEnd"/>
            <w:r w:rsidRPr="00B74A55">
              <w:rPr>
                <w:color w:val="000000" w:themeColor="text1"/>
                <w:sz w:val="22"/>
              </w:rPr>
              <w:t xml:space="preserve"> </w:t>
            </w:r>
            <w:proofErr w:type="spellStart"/>
            <w:r w:rsidRPr="00B74A55">
              <w:rPr>
                <w:color w:val="000000" w:themeColor="text1"/>
                <w:sz w:val="22"/>
              </w:rPr>
              <w:t>вартість</w:t>
            </w:r>
            <w:proofErr w:type="spellEnd"/>
            <w:r w:rsidRPr="00B74A55">
              <w:rPr>
                <w:color w:val="000000" w:themeColor="text1"/>
                <w:sz w:val="22"/>
              </w:rPr>
              <w:t xml:space="preserve"> </w:t>
            </w:r>
            <w:proofErr w:type="spellStart"/>
            <w:r w:rsidRPr="00B74A55">
              <w:rPr>
                <w:color w:val="000000" w:themeColor="text1"/>
                <w:sz w:val="22"/>
              </w:rPr>
              <w:t>послуг</w:t>
            </w:r>
            <w:proofErr w:type="spellEnd"/>
          </w:p>
        </w:tc>
        <w:tc>
          <w:tcPr>
            <w:tcW w:w="1701" w:type="dxa"/>
            <w:gridSpan w:val="2"/>
            <w:tcBorders>
              <w:top w:val="single" w:sz="4" w:space="0" w:color="auto"/>
              <w:left w:val="single" w:sz="4" w:space="0" w:color="auto"/>
              <w:bottom w:val="single" w:sz="4" w:space="0" w:color="auto"/>
              <w:right w:val="single" w:sz="4" w:space="0" w:color="auto"/>
            </w:tcBorders>
            <w:vAlign w:val="center"/>
          </w:tcPr>
          <w:p w:rsidR="00BE7B50" w:rsidRPr="00B74A55" w:rsidRDefault="00BE7B50" w:rsidP="00BE7B50">
            <w:pPr>
              <w:pStyle w:val="a7"/>
              <w:ind w:left="0"/>
              <w:jc w:val="center"/>
              <w:rPr>
                <w:color w:val="000000" w:themeColor="text1"/>
                <w:sz w:val="22"/>
              </w:rPr>
            </w:pPr>
            <w:r w:rsidRPr="00B74A55">
              <w:rPr>
                <w:color w:val="000000" w:themeColor="text1"/>
                <w:sz w:val="22"/>
              </w:rPr>
              <w:t>-</w:t>
            </w:r>
          </w:p>
        </w:tc>
        <w:tc>
          <w:tcPr>
            <w:tcW w:w="1949" w:type="dxa"/>
            <w:gridSpan w:val="2"/>
            <w:tcBorders>
              <w:top w:val="single" w:sz="4" w:space="0" w:color="auto"/>
              <w:left w:val="single" w:sz="4" w:space="0" w:color="auto"/>
              <w:bottom w:val="single" w:sz="4" w:space="0" w:color="auto"/>
            </w:tcBorders>
          </w:tcPr>
          <w:p w:rsidR="00BE7B50" w:rsidRPr="00B74A55" w:rsidRDefault="00BE7B50" w:rsidP="00BE7B50">
            <w:pPr>
              <w:pStyle w:val="a7"/>
              <w:ind w:left="0"/>
              <w:jc w:val="center"/>
              <w:rPr>
                <w:color w:val="000000" w:themeColor="text1"/>
                <w:sz w:val="22"/>
              </w:rPr>
            </w:pPr>
            <w:r w:rsidRPr="00B74A55">
              <w:rPr>
                <w:color w:val="000000" w:themeColor="text1"/>
                <w:sz w:val="22"/>
              </w:rPr>
              <w:t>-</w:t>
            </w:r>
          </w:p>
        </w:tc>
      </w:tr>
      <w:tr w:rsidR="00BE7B50" w:rsidRPr="00B74A55" w:rsidTr="00F34B87">
        <w:trPr>
          <w:trHeight w:val="150"/>
        </w:trPr>
        <w:tc>
          <w:tcPr>
            <w:tcW w:w="2978" w:type="dxa"/>
            <w:vMerge/>
            <w:shd w:val="clear" w:color="auto" w:fill="C6D9F1" w:themeFill="text2" w:themeFillTint="33"/>
          </w:tcPr>
          <w:p w:rsidR="00BE7B50" w:rsidRPr="00B74A55" w:rsidRDefault="00BE7B50" w:rsidP="00BE7B50">
            <w:pPr>
              <w:pStyle w:val="a7"/>
              <w:ind w:left="0"/>
              <w:rPr>
                <w:b/>
                <w:sz w:val="22"/>
              </w:rPr>
            </w:pPr>
          </w:p>
        </w:tc>
        <w:tc>
          <w:tcPr>
            <w:tcW w:w="3260" w:type="dxa"/>
            <w:gridSpan w:val="3"/>
            <w:tcBorders>
              <w:top w:val="single" w:sz="4" w:space="0" w:color="auto"/>
              <w:right w:val="single" w:sz="4" w:space="0" w:color="auto"/>
            </w:tcBorders>
          </w:tcPr>
          <w:p w:rsidR="00BE7B50" w:rsidRPr="00B74A55" w:rsidRDefault="00BE7B50" w:rsidP="00BE7B50">
            <w:pPr>
              <w:pStyle w:val="a7"/>
              <w:ind w:left="0"/>
              <w:jc w:val="center"/>
              <w:rPr>
                <w:sz w:val="22"/>
              </w:rPr>
            </w:pPr>
            <w:proofErr w:type="spellStart"/>
            <w:r w:rsidRPr="00B74A55">
              <w:rPr>
                <w:sz w:val="22"/>
              </w:rPr>
              <w:t>Термін</w:t>
            </w:r>
            <w:proofErr w:type="spellEnd"/>
            <w:r w:rsidRPr="00B74A55">
              <w:rPr>
                <w:sz w:val="22"/>
              </w:rPr>
              <w:t xml:space="preserve"> </w:t>
            </w:r>
            <w:proofErr w:type="spellStart"/>
            <w:r w:rsidRPr="00B74A55">
              <w:rPr>
                <w:sz w:val="22"/>
              </w:rPr>
              <w:t>надання</w:t>
            </w:r>
            <w:proofErr w:type="spellEnd"/>
            <w:r w:rsidRPr="00B74A55">
              <w:rPr>
                <w:sz w:val="22"/>
              </w:rPr>
              <w:t xml:space="preserve"> </w:t>
            </w:r>
            <w:proofErr w:type="spellStart"/>
            <w:r w:rsidRPr="00B74A55">
              <w:rPr>
                <w:sz w:val="22"/>
              </w:rPr>
              <w:t>послуги</w:t>
            </w:r>
            <w:proofErr w:type="spellEnd"/>
          </w:p>
        </w:tc>
        <w:tc>
          <w:tcPr>
            <w:tcW w:w="1701" w:type="dxa"/>
            <w:gridSpan w:val="2"/>
            <w:tcBorders>
              <w:top w:val="single" w:sz="4" w:space="0" w:color="auto"/>
              <w:left w:val="single" w:sz="4" w:space="0" w:color="auto"/>
              <w:right w:val="single" w:sz="4" w:space="0" w:color="auto"/>
            </w:tcBorders>
            <w:vAlign w:val="center"/>
          </w:tcPr>
          <w:p w:rsidR="00BE7B50" w:rsidRPr="00B74A55" w:rsidRDefault="00BE7B50" w:rsidP="00BE7B50">
            <w:pPr>
              <w:pStyle w:val="a7"/>
              <w:ind w:left="0"/>
              <w:jc w:val="center"/>
              <w:rPr>
                <w:sz w:val="22"/>
              </w:rPr>
            </w:pPr>
            <w:r w:rsidRPr="00B74A55">
              <w:rPr>
                <w:sz w:val="22"/>
              </w:rPr>
              <w:t>день</w:t>
            </w:r>
          </w:p>
        </w:tc>
        <w:tc>
          <w:tcPr>
            <w:tcW w:w="1949" w:type="dxa"/>
            <w:gridSpan w:val="2"/>
            <w:tcBorders>
              <w:top w:val="single" w:sz="4" w:space="0" w:color="auto"/>
              <w:left w:val="single" w:sz="4" w:space="0" w:color="auto"/>
            </w:tcBorders>
          </w:tcPr>
          <w:p w:rsidR="00BE7B50" w:rsidRPr="00B74A55" w:rsidRDefault="00BE7B50" w:rsidP="00BE7B50">
            <w:pPr>
              <w:pStyle w:val="a7"/>
              <w:ind w:left="0"/>
              <w:jc w:val="center"/>
              <w:rPr>
                <w:sz w:val="22"/>
              </w:rPr>
            </w:pPr>
            <w:r w:rsidRPr="00B74A55">
              <w:rPr>
                <w:sz w:val="22"/>
              </w:rPr>
              <w:t>365</w:t>
            </w:r>
          </w:p>
        </w:tc>
      </w:tr>
      <w:tr w:rsidR="00BE7B50" w:rsidRPr="00B74A55" w:rsidTr="00F34B87">
        <w:trPr>
          <w:trHeight w:val="150"/>
        </w:trPr>
        <w:tc>
          <w:tcPr>
            <w:tcW w:w="2978" w:type="dxa"/>
            <w:shd w:val="clear" w:color="auto" w:fill="C6D9F1" w:themeFill="text2" w:themeFillTint="33"/>
          </w:tcPr>
          <w:p w:rsidR="00BE7B50" w:rsidRPr="00B74A55" w:rsidRDefault="00BE7B50" w:rsidP="00BE7B50">
            <w:pPr>
              <w:pStyle w:val="a7"/>
              <w:ind w:left="0"/>
              <w:rPr>
                <w:b/>
                <w:sz w:val="22"/>
              </w:rPr>
            </w:pPr>
          </w:p>
        </w:tc>
        <w:tc>
          <w:tcPr>
            <w:tcW w:w="3260" w:type="dxa"/>
            <w:gridSpan w:val="3"/>
            <w:tcBorders>
              <w:top w:val="single" w:sz="4" w:space="0" w:color="auto"/>
              <w:right w:val="single" w:sz="4" w:space="0" w:color="auto"/>
            </w:tcBorders>
          </w:tcPr>
          <w:p w:rsidR="00BE7B50" w:rsidRPr="00B74A55" w:rsidRDefault="00BE7B50" w:rsidP="005F577F">
            <w:pPr>
              <w:pStyle w:val="a7"/>
              <w:ind w:left="0"/>
              <w:jc w:val="center"/>
              <w:rPr>
                <w:sz w:val="22"/>
              </w:rPr>
            </w:pPr>
            <w:proofErr w:type="spellStart"/>
            <w:r w:rsidRPr="00B74A55">
              <w:rPr>
                <w:sz w:val="22"/>
              </w:rPr>
              <w:t>Кількість</w:t>
            </w:r>
            <w:proofErr w:type="spellEnd"/>
            <w:r w:rsidRPr="00B74A55">
              <w:rPr>
                <w:sz w:val="22"/>
              </w:rPr>
              <w:t xml:space="preserve"> </w:t>
            </w:r>
            <w:proofErr w:type="spellStart"/>
            <w:r w:rsidRPr="00B74A55">
              <w:rPr>
                <w:sz w:val="22"/>
              </w:rPr>
              <w:t>населених</w:t>
            </w:r>
            <w:proofErr w:type="spellEnd"/>
            <w:r w:rsidRPr="00B74A55">
              <w:rPr>
                <w:sz w:val="22"/>
              </w:rPr>
              <w:t xml:space="preserve"> </w:t>
            </w:r>
            <w:proofErr w:type="spellStart"/>
            <w:r w:rsidRPr="00B74A55">
              <w:rPr>
                <w:sz w:val="22"/>
              </w:rPr>
              <w:t>пунктів</w:t>
            </w:r>
            <w:proofErr w:type="spellEnd"/>
            <w:r w:rsidRPr="00B74A55">
              <w:rPr>
                <w:sz w:val="22"/>
              </w:rPr>
              <w:t xml:space="preserve">, </w:t>
            </w:r>
            <w:proofErr w:type="spellStart"/>
            <w:r w:rsidRPr="00B74A55">
              <w:rPr>
                <w:sz w:val="22"/>
              </w:rPr>
              <w:t>як</w:t>
            </w:r>
            <w:r w:rsidR="005F577F" w:rsidRPr="00B74A55">
              <w:rPr>
                <w:sz w:val="22"/>
              </w:rPr>
              <w:t>і</w:t>
            </w:r>
            <w:proofErr w:type="spellEnd"/>
            <w:r w:rsidRPr="00B74A55">
              <w:rPr>
                <w:sz w:val="22"/>
              </w:rPr>
              <w:t xml:space="preserve"> </w:t>
            </w:r>
            <w:proofErr w:type="spellStart"/>
            <w:r w:rsidRPr="00B74A55">
              <w:rPr>
                <w:sz w:val="22"/>
              </w:rPr>
              <w:t>обслуговує</w:t>
            </w:r>
            <w:proofErr w:type="spellEnd"/>
            <w:r w:rsidRPr="00B74A55">
              <w:rPr>
                <w:sz w:val="22"/>
              </w:rPr>
              <w:t xml:space="preserve"> </w:t>
            </w:r>
            <w:r w:rsidR="005F577F" w:rsidRPr="00B74A55">
              <w:rPr>
                <w:sz w:val="22"/>
              </w:rPr>
              <w:t>заклад</w:t>
            </w:r>
          </w:p>
        </w:tc>
        <w:tc>
          <w:tcPr>
            <w:tcW w:w="1701" w:type="dxa"/>
            <w:gridSpan w:val="2"/>
            <w:tcBorders>
              <w:top w:val="single" w:sz="4" w:space="0" w:color="auto"/>
              <w:left w:val="single" w:sz="4" w:space="0" w:color="auto"/>
              <w:right w:val="single" w:sz="4" w:space="0" w:color="auto"/>
            </w:tcBorders>
            <w:vAlign w:val="center"/>
          </w:tcPr>
          <w:p w:rsidR="00BE7B50" w:rsidRPr="00B74A55" w:rsidRDefault="00BE7B50" w:rsidP="00BE7B50">
            <w:pPr>
              <w:pStyle w:val="a7"/>
              <w:ind w:left="0"/>
              <w:jc w:val="center"/>
              <w:rPr>
                <w:sz w:val="22"/>
              </w:rPr>
            </w:pPr>
            <w:proofErr w:type="spellStart"/>
            <w:r w:rsidRPr="00B74A55">
              <w:rPr>
                <w:sz w:val="22"/>
              </w:rPr>
              <w:t>одиниць</w:t>
            </w:r>
            <w:proofErr w:type="spellEnd"/>
          </w:p>
        </w:tc>
        <w:tc>
          <w:tcPr>
            <w:tcW w:w="1949" w:type="dxa"/>
            <w:gridSpan w:val="2"/>
            <w:tcBorders>
              <w:top w:val="single" w:sz="4" w:space="0" w:color="auto"/>
              <w:left w:val="single" w:sz="4" w:space="0" w:color="auto"/>
            </w:tcBorders>
          </w:tcPr>
          <w:p w:rsidR="00BE7B50" w:rsidRPr="00B74A55" w:rsidRDefault="005F577F" w:rsidP="00BE7B50">
            <w:pPr>
              <w:pStyle w:val="a7"/>
              <w:ind w:left="0"/>
              <w:jc w:val="center"/>
              <w:rPr>
                <w:sz w:val="22"/>
              </w:rPr>
            </w:pPr>
            <w:r w:rsidRPr="00B74A55">
              <w:rPr>
                <w:sz w:val="22"/>
              </w:rPr>
              <w:t>20</w:t>
            </w:r>
          </w:p>
        </w:tc>
      </w:tr>
      <w:tr w:rsidR="00BE7B50" w:rsidRPr="00B74A55" w:rsidTr="00F34B87">
        <w:tc>
          <w:tcPr>
            <w:tcW w:w="2978" w:type="dxa"/>
            <w:shd w:val="clear" w:color="auto" w:fill="C6D9F1" w:themeFill="text2" w:themeFillTint="33"/>
          </w:tcPr>
          <w:p w:rsidR="00BE7B50" w:rsidRPr="00B74A55" w:rsidRDefault="00BE7B50" w:rsidP="00BE7B50">
            <w:pPr>
              <w:rPr>
                <w:b/>
                <w:sz w:val="22"/>
              </w:rPr>
            </w:pPr>
            <w:proofErr w:type="spellStart"/>
            <w:r w:rsidRPr="00B74A55">
              <w:rPr>
                <w:b/>
                <w:sz w:val="22"/>
              </w:rPr>
              <w:t>Ключові</w:t>
            </w:r>
            <w:proofErr w:type="spellEnd"/>
            <w:r w:rsidRPr="00B74A55">
              <w:rPr>
                <w:b/>
                <w:sz w:val="22"/>
              </w:rPr>
              <w:t xml:space="preserve"> заходи проекту: </w:t>
            </w:r>
          </w:p>
          <w:p w:rsidR="00BE7B50" w:rsidRPr="00B74A55" w:rsidRDefault="00BE7B50" w:rsidP="00BE7B50">
            <w:pPr>
              <w:pStyle w:val="a7"/>
              <w:ind w:left="0"/>
              <w:rPr>
                <w:b/>
                <w:sz w:val="22"/>
              </w:rPr>
            </w:pPr>
          </w:p>
        </w:tc>
        <w:tc>
          <w:tcPr>
            <w:tcW w:w="6910" w:type="dxa"/>
            <w:gridSpan w:val="7"/>
          </w:tcPr>
          <w:p w:rsidR="00BE7B50" w:rsidRPr="00B74A55" w:rsidRDefault="00BE7B50" w:rsidP="00BE7B50">
            <w:pPr>
              <w:pStyle w:val="a7"/>
              <w:ind w:left="0"/>
              <w:rPr>
                <w:sz w:val="22"/>
              </w:rPr>
            </w:pPr>
            <w:r w:rsidRPr="00B74A55">
              <w:rPr>
                <w:sz w:val="22"/>
              </w:rPr>
              <w:t xml:space="preserve">- </w:t>
            </w:r>
            <w:proofErr w:type="spellStart"/>
            <w:r w:rsidRPr="00B74A55">
              <w:rPr>
                <w:sz w:val="22"/>
              </w:rPr>
              <w:t>обстеження</w:t>
            </w:r>
            <w:proofErr w:type="spellEnd"/>
            <w:r w:rsidRPr="00B74A55">
              <w:rPr>
                <w:sz w:val="22"/>
              </w:rPr>
              <w:t xml:space="preserve"> стану </w:t>
            </w:r>
            <w:proofErr w:type="spellStart"/>
            <w:r w:rsidRPr="00B74A55">
              <w:rPr>
                <w:sz w:val="22"/>
              </w:rPr>
              <w:t>будівлі</w:t>
            </w:r>
            <w:proofErr w:type="spellEnd"/>
            <w:r w:rsidRPr="00B74A55">
              <w:rPr>
                <w:sz w:val="22"/>
              </w:rPr>
              <w:t xml:space="preserve"> закладу;</w:t>
            </w:r>
          </w:p>
          <w:p w:rsidR="00BE7B50" w:rsidRPr="00B74A55" w:rsidRDefault="00BE7B50" w:rsidP="00BE7B50">
            <w:pPr>
              <w:pStyle w:val="a7"/>
              <w:ind w:left="0"/>
              <w:rPr>
                <w:sz w:val="22"/>
              </w:rPr>
            </w:pPr>
            <w:r w:rsidRPr="00B74A55">
              <w:rPr>
                <w:sz w:val="22"/>
              </w:rPr>
              <w:t xml:space="preserve">- </w:t>
            </w:r>
            <w:proofErr w:type="spellStart"/>
            <w:r w:rsidRPr="00B74A55">
              <w:rPr>
                <w:sz w:val="22"/>
              </w:rPr>
              <w:t>проведення</w:t>
            </w:r>
            <w:proofErr w:type="spellEnd"/>
            <w:r w:rsidRPr="00B74A55">
              <w:rPr>
                <w:sz w:val="22"/>
              </w:rPr>
              <w:t xml:space="preserve"> </w:t>
            </w:r>
            <w:proofErr w:type="spellStart"/>
            <w:r w:rsidRPr="00B74A55">
              <w:rPr>
                <w:sz w:val="22"/>
              </w:rPr>
              <w:t>інвентаризації</w:t>
            </w:r>
            <w:proofErr w:type="spellEnd"/>
            <w:r w:rsidRPr="00B74A55">
              <w:rPr>
                <w:sz w:val="22"/>
              </w:rPr>
              <w:t xml:space="preserve"> </w:t>
            </w:r>
            <w:proofErr w:type="spellStart"/>
            <w:r w:rsidRPr="00B74A55">
              <w:rPr>
                <w:sz w:val="22"/>
              </w:rPr>
              <w:t>основних</w:t>
            </w:r>
            <w:proofErr w:type="spellEnd"/>
            <w:r w:rsidRPr="00B74A55">
              <w:rPr>
                <w:sz w:val="22"/>
              </w:rPr>
              <w:t xml:space="preserve"> </w:t>
            </w:r>
            <w:proofErr w:type="spellStart"/>
            <w:r w:rsidRPr="00B74A55">
              <w:rPr>
                <w:sz w:val="22"/>
              </w:rPr>
              <w:t>засобів</w:t>
            </w:r>
            <w:proofErr w:type="spellEnd"/>
            <w:r w:rsidRPr="00B74A55">
              <w:rPr>
                <w:sz w:val="22"/>
              </w:rPr>
              <w:t xml:space="preserve">; </w:t>
            </w:r>
          </w:p>
          <w:p w:rsidR="00BE7B50" w:rsidRPr="00B74A55" w:rsidRDefault="00BE7B50" w:rsidP="00BE7B50">
            <w:pPr>
              <w:pStyle w:val="a7"/>
              <w:ind w:left="0"/>
              <w:rPr>
                <w:sz w:val="22"/>
              </w:rPr>
            </w:pPr>
            <w:r w:rsidRPr="00B74A55">
              <w:rPr>
                <w:sz w:val="22"/>
              </w:rPr>
              <w:t xml:space="preserve">- </w:t>
            </w:r>
            <w:proofErr w:type="spellStart"/>
            <w:r w:rsidRPr="00B74A55">
              <w:rPr>
                <w:sz w:val="22"/>
              </w:rPr>
              <w:t>визначення</w:t>
            </w:r>
            <w:proofErr w:type="spellEnd"/>
            <w:r w:rsidRPr="00B74A55">
              <w:rPr>
                <w:sz w:val="22"/>
              </w:rPr>
              <w:t xml:space="preserve"> </w:t>
            </w:r>
            <w:proofErr w:type="spellStart"/>
            <w:r w:rsidRPr="00B74A55">
              <w:rPr>
                <w:sz w:val="22"/>
              </w:rPr>
              <w:t>кількості</w:t>
            </w:r>
            <w:proofErr w:type="spellEnd"/>
            <w:r w:rsidRPr="00B74A55">
              <w:rPr>
                <w:sz w:val="22"/>
              </w:rPr>
              <w:t xml:space="preserve"> </w:t>
            </w:r>
            <w:proofErr w:type="spellStart"/>
            <w:r w:rsidRPr="00B74A55">
              <w:rPr>
                <w:sz w:val="22"/>
              </w:rPr>
              <w:t>осіб</w:t>
            </w:r>
            <w:proofErr w:type="spellEnd"/>
            <w:r w:rsidRPr="00B74A55">
              <w:rPr>
                <w:sz w:val="22"/>
              </w:rPr>
              <w:t xml:space="preserve">, </w:t>
            </w:r>
            <w:proofErr w:type="spellStart"/>
            <w:r w:rsidRPr="00B74A55">
              <w:rPr>
                <w:sz w:val="22"/>
              </w:rPr>
              <w:t>які</w:t>
            </w:r>
            <w:proofErr w:type="spellEnd"/>
            <w:r w:rsidRPr="00B74A55">
              <w:rPr>
                <w:sz w:val="22"/>
              </w:rPr>
              <w:t xml:space="preserve"> </w:t>
            </w:r>
            <w:proofErr w:type="spellStart"/>
            <w:r w:rsidRPr="00B74A55">
              <w:rPr>
                <w:sz w:val="22"/>
              </w:rPr>
              <w:t>потребують</w:t>
            </w:r>
            <w:proofErr w:type="spellEnd"/>
            <w:r w:rsidRPr="00B74A55">
              <w:rPr>
                <w:sz w:val="22"/>
              </w:rPr>
              <w:t xml:space="preserve"> </w:t>
            </w:r>
            <w:proofErr w:type="spellStart"/>
            <w:r w:rsidRPr="00B74A55">
              <w:rPr>
                <w:sz w:val="22"/>
              </w:rPr>
              <w:t>отримання</w:t>
            </w:r>
            <w:proofErr w:type="spellEnd"/>
            <w:r w:rsidRPr="00B74A55">
              <w:rPr>
                <w:sz w:val="22"/>
              </w:rPr>
              <w:t xml:space="preserve"> </w:t>
            </w:r>
            <w:proofErr w:type="spellStart"/>
            <w:proofErr w:type="gramStart"/>
            <w:r w:rsidRPr="00B74A55">
              <w:rPr>
                <w:sz w:val="22"/>
              </w:rPr>
              <w:t>освітніх</w:t>
            </w:r>
            <w:proofErr w:type="spellEnd"/>
            <w:r w:rsidRPr="00B74A55">
              <w:rPr>
                <w:sz w:val="22"/>
              </w:rPr>
              <w:t xml:space="preserve">  </w:t>
            </w:r>
            <w:proofErr w:type="spellStart"/>
            <w:r w:rsidRPr="00B74A55">
              <w:rPr>
                <w:sz w:val="22"/>
              </w:rPr>
              <w:t>послуг</w:t>
            </w:r>
            <w:proofErr w:type="spellEnd"/>
            <w:proofErr w:type="gramEnd"/>
            <w:r w:rsidRPr="00B74A55">
              <w:rPr>
                <w:sz w:val="22"/>
              </w:rPr>
              <w:t xml:space="preserve">; </w:t>
            </w:r>
          </w:p>
          <w:p w:rsidR="00BE7B50" w:rsidRPr="00B74A55" w:rsidRDefault="00BE7B50" w:rsidP="00BE7B50">
            <w:pPr>
              <w:pStyle w:val="a7"/>
              <w:ind w:left="0"/>
              <w:rPr>
                <w:sz w:val="22"/>
              </w:rPr>
            </w:pPr>
            <w:r w:rsidRPr="00B74A55">
              <w:rPr>
                <w:sz w:val="22"/>
              </w:rPr>
              <w:t xml:space="preserve">- </w:t>
            </w:r>
            <w:proofErr w:type="spellStart"/>
            <w:r w:rsidRPr="00B74A55">
              <w:rPr>
                <w:sz w:val="22"/>
              </w:rPr>
              <w:t>підготовка</w:t>
            </w:r>
            <w:proofErr w:type="spellEnd"/>
            <w:r w:rsidRPr="00B74A55">
              <w:rPr>
                <w:sz w:val="22"/>
              </w:rPr>
              <w:t xml:space="preserve"> </w:t>
            </w:r>
            <w:proofErr w:type="spellStart"/>
            <w:r w:rsidRPr="00B74A55">
              <w:rPr>
                <w:sz w:val="22"/>
              </w:rPr>
              <w:t>проєктно-кошторисної</w:t>
            </w:r>
            <w:proofErr w:type="spellEnd"/>
            <w:r w:rsidRPr="00B74A55">
              <w:rPr>
                <w:sz w:val="22"/>
              </w:rPr>
              <w:t xml:space="preserve"> </w:t>
            </w:r>
            <w:proofErr w:type="spellStart"/>
            <w:r w:rsidRPr="00B74A55">
              <w:rPr>
                <w:sz w:val="22"/>
              </w:rPr>
              <w:t>документації</w:t>
            </w:r>
            <w:proofErr w:type="spellEnd"/>
            <w:r w:rsidRPr="00B74A55">
              <w:rPr>
                <w:sz w:val="22"/>
              </w:rPr>
              <w:t>;</w:t>
            </w:r>
          </w:p>
          <w:p w:rsidR="00BE7B50" w:rsidRPr="00B74A55" w:rsidRDefault="00BE7B50" w:rsidP="00BE7B50">
            <w:pPr>
              <w:pStyle w:val="a7"/>
              <w:ind w:left="0"/>
              <w:rPr>
                <w:sz w:val="22"/>
              </w:rPr>
            </w:pPr>
            <w:r w:rsidRPr="00B74A55">
              <w:rPr>
                <w:sz w:val="22"/>
              </w:rPr>
              <w:t xml:space="preserve"> - </w:t>
            </w:r>
            <w:proofErr w:type="spellStart"/>
            <w:r w:rsidRPr="00B74A55">
              <w:rPr>
                <w:sz w:val="22"/>
              </w:rPr>
              <w:t>придбання</w:t>
            </w:r>
            <w:proofErr w:type="spellEnd"/>
            <w:r w:rsidRPr="00B74A55">
              <w:rPr>
                <w:sz w:val="22"/>
              </w:rPr>
              <w:t xml:space="preserve"> </w:t>
            </w:r>
            <w:proofErr w:type="spellStart"/>
            <w:r w:rsidRPr="00B74A55">
              <w:rPr>
                <w:sz w:val="22"/>
              </w:rPr>
              <w:t>технічного</w:t>
            </w:r>
            <w:proofErr w:type="spellEnd"/>
            <w:r w:rsidRPr="00B74A55">
              <w:rPr>
                <w:sz w:val="22"/>
              </w:rPr>
              <w:t xml:space="preserve"> </w:t>
            </w:r>
            <w:proofErr w:type="spellStart"/>
            <w:r w:rsidRPr="00B74A55">
              <w:rPr>
                <w:sz w:val="22"/>
              </w:rPr>
              <w:t>забезпечення</w:t>
            </w:r>
            <w:proofErr w:type="spellEnd"/>
            <w:r w:rsidRPr="00B74A55">
              <w:rPr>
                <w:sz w:val="22"/>
              </w:rPr>
              <w:t xml:space="preserve"> закладу;</w:t>
            </w:r>
          </w:p>
          <w:p w:rsidR="00BE7B50" w:rsidRPr="00B74A55" w:rsidRDefault="00BE7B50" w:rsidP="00BE7B50">
            <w:pPr>
              <w:pStyle w:val="a7"/>
              <w:ind w:left="0"/>
              <w:rPr>
                <w:sz w:val="22"/>
              </w:rPr>
            </w:pPr>
            <w:r w:rsidRPr="00B74A55">
              <w:rPr>
                <w:sz w:val="22"/>
              </w:rPr>
              <w:t xml:space="preserve">- </w:t>
            </w:r>
            <w:proofErr w:type="spellStart"/>
            <w:r w:rsidRPr="00B74A55">
              <w:rPr>
                <w:sz w:val="22"/>
              </w:rPr>
              <w:t>придбання</w:t>
            </w:r>
            <w:proofErr w:type="spellEnd"/>
            <w:r w:rsidRPr="00B74A55">
              <w:rPr>
                <w:sz w:val="22"/>
              </w:rPr>
              <w:t xml:space="preserve"> </w:t>
            </w:r>
            <w:proofErr w:type="spellStart"/>
            <w:r w:rsidRPr="00B74A55">
              <w:rPr>
                <w:sz w:val="22"/>
              </w:rPr>
              <w:t>технологічного</w:t>
            </w:r>
            <w:proofErr w:type="spellEnd"/>
            <w:r w:rsidRPr="00B74A55">
              <w:rPr>
                <w:sz w:val="22"/>
              </w:rPr>
              <w:t xml:space="preserve"> </w:t>
            </w:r>
            <w:proofErr w:type="spellStart"/>
            <w:r w:rsidRPr="00B74A55">
              <w:rPr>
                <w:sz w:val="22"/>
              </w:rPr>
              <w:t>забезпечення</w:t>
            </w:r>
            <w:proofErr w:type="spellEnd"/>
            <w:r w:rsidRPr="00B74A55">
              <w:rPr>
                <w:sz w:val="22"/>
              </w:rPr>
              <w:t>;</w:t>
            </w:r>
          </w:p>
          <w:p w:rsidR="00BE7B50" w:rsidRPr="00B74A55" w:rsidRDefault="00BE7B50" w:rsidP="00BE7B50">
            <w:pPr>
              <w:pStyle w:val="a7"/>
              <w:ind w:left="0"/>
              <w:rPr>
                <w:sz w:val="22"/>
              </w:rPr>
            </w:pPr>
            <w:r w:rsidRPr="00B74A55">
              <w:rPr>
                <w:sz w:val="22"/>
              </w:rPr>
              <w:t xml:space="preserve">- </w:t>
            </w:r>
            <w:proofErr w:type="spellStart"/>
            <w:r w:rsidRPr="00B74A55">
              <w:rPr>
                <w:sz w:val="22"/>
              </w:rPr>
              <w:t>ремонтні</w:t>
            </w:r>
            <w:proofErr w:type="spellEnd"/>
            <w:r w:rsidRPr="00B74A55">
              <w:rPr>
                <w:sz w:val="22"/>
              </w:rPr>
              <w:t xml:space="preserve"> </w:t>
            </w:r>
            <w:proofErr w:type="spellStart"/>
            <w:r w:rsidRPr="00B74A55">
              <w:rPr>
                <w:sz w:val="22"/>
              </w:rPr>
              <w:t>роботи</w:t>
            </w:r>
            <w:proofErr w:type="spellEnd"/>
            <w:r w:rsidRPr="00B74A55">
              <w:rPr>
                <w:sz w:val="22"/>
              </w:rPr>
              <w:t>;</w:t>
            </w:r>
          </w:p>
          <w:p w:rsidR="00BE7B50" w:rsidRPr="00B74A55" w:rsidRDefault="00BE7B50" w:rsidP="00BE7B50">
            <w:pPr>
              <w:pStyle w:val="a7"/>
              <w:ind w:left="0"/>
              <w:rPr>
                <w:sz w:val="22"/>
              </w:rPr>
            </w:pPr>
            <w:r w:rsidRPr="00B74A55">
              <w:rPr>
                <w:sz w:val="22"/>
              </w:rPr>
              <w:t xml:space="preserve">  - </w:t>
            </w:r>
            <w:proofErr w:type="spellStart"/>
            <w:r w:rsidRPr="00B74A55">
              <w:rPr>
                <w:sz w:val="22"/>
              </w:rPr>
              <w:t>організація</w:t>
            </w:r>
            <w:proofErr w:type="spellEnd"/>
            <w:r w:rsidRPr="00B74A55">
              <w:rPr>
                <w:sz w:val="22"/>
              </w:rPr>
              <w:t xml:space="preserve"> та початок </w:t>
            </w:r>
            <w:proofErr w:type="spellStart"/>
            <w:r w:rsidRPr="00B74A55">
              <w:rPr>
                <w:sz w:val="22"/>
              </w:rPr>
              <w:t>робочого</w:t>
            </w:r>
            <w:proofErr w:type="spellEnd"/>
            <w:r w:rsidRPr="00B74A55">
              <w:rPr>
                <w:sz w:val="22"/>
              </w:rPr>
              <w:t xml:space="preserve"> </w:t>
            </w:r>
            <w:proofErr w:type="spellStart"/>
            <w:r w:rsidRPr="00B74A55">
              <w:rPr>
                <w:sz w:val="22"/>
              </w:rPr>
              <w:t>процесу</w:t>
            </w:r>
            <w:proofErr w:type="spellEnd"/>
            <w:r w:rsidRPr="00B74A55">
              <w:rPr>
                <w:sz w:val="22"/>
              </w:rPr>
              <w:t>.</w:t>
            </w:r>
          </w:p>
        </w:tc>
      </w:tr>
      <w:tr w:rsidR="00BE7B50" w:rsidRPr="00B74A55" w:rsidTr="00F34B87">
        <w:trPr>
          <w:trHeight w:val="360"/>
        </w:trPr>
        <w:tc>
          <w:tcPr>
            <w:tcW w:w="2978" w:type="dxa"/>
            <w:vMerge w:val="restart"/>
            <w:shd w:val="clear" w:color="auto" w:fill="C6D9F1" w:themeFill="text2" w:themeFillTint="33"/>
          </w:tcPr>
          <w:p w:rsidR="00BE7B50" w:rsidRPr="00B74A55" w:rsidRDefault="00BE7B50" w:rsidP="00BE7B50">
            <w:pPr>
              <w:pStyle w:val="a7"/>
              <w:ind w:left="0"/>
              <w:rPr>
                <w:b/>
                <w:sz w:val="22"/>
              </w:rPr>
            </w:pPr>
            <w:proofErr w:type="spellStart"/>
            <w:r w:rsidRPr="00B74A55">
              <w:rPr>
                <w:b/>
                <w:sz w:val="22"/>
              </w:rPr>
              <w:t>Орієнтовний</w:t>
            </w:r>
            <w:proofErr w:type="spellEnd"/>
            <w:r w:rsidRPr="00B74A55">
              <w:rPr>
                <w:b/>
                <w:sz w:val="22"/>
              </w:rPr>
              <w:t xml:space="preserve"> </w:t>
            </w:r>
            <w:proofErr w:type="spellStart"/>
            <w:r w:rsidRPr="00B74A55">
              <w:rPr>
                <w:b/>
                <w:sz w:val="22"/>
              </w:rPr>
              <w:t>обсяг</w:t>
            </w:r>
            <w:proofErr w:type="spellEnd"/>
            <w:r w:rsidRPr="00B74A55">
              <w:rPr>
                <w:b/>
                <w:sz w:val="22"/>
              </w:rPr>
              <w:t xml:space="preserve"> та </w:t>
            </w:r>
            <w:proofErr w:type="spellStart"/>
            <w:r w:rsidRPr="00B74A55">
              <w:rPr>
                <w:b/>
                <w:sz w:val="22"/>
              </w:rPr>
              <w:t>джерела</w:t>
            </w:r>
            <w:proofErr w:type="spellEnd"/>
            <w:r w:rsidRPr="00B74A55">
              <w:rPr>
                <w:b/>
                <w:sz w:val="22"/>
              </w:rPr>
              <w:t xml:space="preserve"> </w:t>
            </w:r>
            <w:proofErr w:type="spellStart"/>
            <w:r w:rsidRPr="00B74A55">
              <w:rPr>
                <w:b/>
                <w:sz w:val="22"/>
              </w:rPr>
              <w:t>фінансування</w:t>
            </w:r>
            <w:proofErr w:type="spellEnd"/>
            <w:r w:rsidRPr="00B74A55">
              <w:rPr>
                <w:b/>
                <w:sz w:val="22"/>
              </w:rPr>
              <w:t xml:space="preserve">, тис. грн. </w:t>
            </w:r>
          </w:p>
          <w:p w:rsidR="00BE7B50" w:rsidRPr="00B74A55" w:rsidRDefault="00BE7B50" w:rsidP="00BE7B50">
            <w:pPr>
              <w:pStyle w:val="a7"/>
              <w:ind w:left="0"/>
              <w:rPr>
                <w:b/>
                <w:sz w:val="22"/>
              </w:rPr>
            </w:pPr>
          </w:p>
        </w:tc>
        <w:tc>
          <w:tcPr>
            <w:tcW w:w="1275" w:type="dxa"/>
            <w:tcBorders>
              <w:bottom w:val="single" w:sz="4" w:space="0" w:color="auto"/>
              <w:right w:val="single" w:sz="4" w:space="0" w:color="auto"/>
            </w:tcBorders>
          </w:tcPr>
          <w:p w:rsidR="00BE7B50" w:rsidRPr="00B74A55" w:rsidRDefault="00BE7B50" w:rsidP="00BE7B50">
            <w:pPr>
              <w:pStyle w:val="a7"/>
              <w:ind w:left="0"/>
              <w:jc w:val="center"/>
              <w:rPr>
                <w:b/>
                <w:sz w:val="22"/>
              </w:rPr>
            </w:pPr>
            <w:proofErr w:type="spellStart"/>
            <w:r w:rsidRPr="00B74A55">
              <w:rPr>
                <w:b/>
                <w:sz w:val="22"/>
              </w:rPr>
              <w:t>Державний</w:t>
            </w:r>
            <w:proofErr w:type="spellEnd"/>
            <w:r w:rsidRPr="00B74A55">
              <w:rPr>
                <w:b/>
                <w:sz w:val="22"/>
              </w:rPr>
              <w:t xml:space="preserve"> бюджет</w:t>
            </w:r>
          </w:p>
        </w:tc>
        <w:tc>
          <w:tcPr>
            <w:tcW w:w="1418" w:type="dxa"/>
            <w:tcBorders>
              <w:bottom w:val="single" w:sz="4" w:space="0" w:color="auto"/>
              <w:right w:val="single" w:sz="4" w:space="0" w:color="auto"/>
            </w:tcBorders>
          </w:tcPr>
          <w:p w:rsidR="00BE7B50" w:rsidRPr="00B74A55" w:rsidRDefault="00BE7B50" w:rsidP="00BE7B50">
            <w:pPr>
              <w:pStyle w:val="a7"/>
              <w:ind w:left="0"/>
              <w:jc w:val="center"/>
              <w:rPr>
                <w:b/>
                <w:sz w:val="22"/>
              </w:rPr>
            </w:pPr>
            <w:proofErr w:type="spellStart"/>
            <w:r w:rsidRPr="00B74A55">
              <w:rPr>
                <w:b/>
                <w:sz w:val="22"/>
              </w:rPr>
              <w:t>Місцевий</w:t>
            </w:r>
            <w:proofErr w:type="spellEnd"/>
            <w:r w:rsidRPr="00B74A55">
              <w:rPr>
                <w:b/>
                <w:sz w:val="22"/>
              </w:rPr>
              <w:t xml:space="preserve"> бюджет</w:t>
            </w:r>
          </w:p>
        </w:tc>
        <w:tc>
          <w:tcPr>
            <w:tcW w:w="2746" w:type="dxa"/>
            <w:gridSpan w:val="4"/>
            <w:tcBorders>
              <w:left w:val="single" w:sz="4" w:space="0" w:color="auto"/>
              <w:bottom w:val="single" w:sz="4" w:space="0" w:color="auto"/>
              <w:right w:val="single" w:sz="4" w:space="0" w:color="auto"/>
            </w:tcBorders>
          </w:tcPr>
          <w:p w:rsidR="00BE7B50" w:rsidRPr="00B74A55" w:rsidRDefault="00BE7B50" w:rsidP="00BE7B50">
            <w:pPr>
              <w:pStyle w:val="a7"/>
              <w:ind w:left="0"/>
              <w:jc w:val="center"/>
              <w:rPr>
                <w:b/>
                <w:sz w:val="22"/>
              </w:rPr>
            </w:pPr>
            <w:proofErr w:type="spellStart"/>
            <w:r w:rsidRPr="00B74A55">
              <w:rPr>
                <w:b/>
                <w:sz w:val="22"/>
              </w:rPr>
              <w:t>Інші</w:t>
            </w:r>
            <w:proofErr w:type="spellEnd"/>
            <w:r w:rsidRPr="00B74A55">
              <w:rPr>
                <w:b/>
                <w:sz w:val="22"/>
              </w:rPr>
              <w:t xml:space="preserve"> </w:t>
            </w:r>
            <w:proofErr w:type="spellStart"/>
            <w:r w:rsidRPr="00B74A55">
              <w:rPr>
                <w:b/>
                <w:sz w:val="22"/>
              </w:rPr>
              <w:t>джерела</w:t>
            </w:r>
            <w:proofErr w:type="spellEnd"/>
          </w:p>
        </w:tc>
        <w:tc>
          <w:tcPr>
            <w:tcW w:w="1471" w:type="dxa"/>
            <w:tcBorders>
              <w:left w:val="single" w:sz="4" w:space="0" w:color="auto"/>
              <w:bottom w:val="single" w:sz="4" w:space="0" w:color="auto"/>
            </w:tcBorders>
          </w:tcPr>
          <w:p w:rsidR="00BE7B50" w:rsidRPr="00B74A55" w:rsidRDefault="00BE7B50" w:rsidP="00BE7B50">
            <w:pPr>
              <w:pStyle w:val="a7"/>
              <w:ind w:left="0"/>
              <w:jc w:val="center"/>
              <w:rPr>
                <w:b/>
                <w:sz w:val="22"/>
              </w:rPr>
            </w:pPr>
            <w:proofErr w:type="spellStart"/>
            <w:r w:rsidRPr="00B74A55">
              <w:rPr>
                <w:b/>
                <w:sz w:val="22"/>
              </w:rPr>
              <w:t>Всього</w:t>
            </w:r>
            <w:proofErr w:type="spellEnd"/>
          </w:p>
        </w:tc>
      </w:tr>
      <w:tr w:rsidR="00BE7B50" w:rsidRPr="00B74A55" w:rsidTr="00F34B87">
        <w:trPr>
          <w:trHeight w:val="225"/>
        </w:trPr>
        <w:tc>
          <w:tcPr>
            <w:tcW w:w="2978" w:type="dxa"/>
            <w:vMerge/>
            <w:shd w:val="clear" w:color="auto" w:fill="C6D9F1" w:themeFill="text2" w:themeFillTint="33"/>
          </w:tcPr>
          <w:p w:rsidR="00BE7B50" w:rsidRPr="00B74A55" w:rsidRDefault="00BE7B50" w:rsidP="00BE7B50">
            <w:pPr>
              <w:pStyle w:val="a7"/>
              <w:ind w:left="0"/>
              <w:rPr>
                <w:b/>
                <w:sz w:val="22"/>
              </w:rPr>
            </w:pPr>
          </w:p>
        </w:tc>
        <w:tc>
          <w:tcPr>
            <w:tcW w:w="1275" w:type="dxa"/>
            <w:vMerge w:val="restart"/>
            <w:tcBorders>
              <w:top w:val="single" w:sz="4" w:space="0" w:color="auto"/>
              <w:right w:val="single" w:sz="4" w:space="0" w:color="auto"/>
            </w:tcBorders>
          </w:tcPr>
          <w:p w:rsidR="00BE7B50" w:rsidRPr="00B74A55" w:rsidRDefault="00BE7B50" w:rsidP="00BE7B50">
            <w:pPr>
              <w:pStyle w:val="a7"/>
              <w:ind w:left="0"/>
              <w:jc w:val="center"/>
              <w:rPr>
                <w:color w:val="FF0000"/>
                <w:sz w:val="22"/>
              </w:rPr>
            </w:pPr>
            <w:r w:rsidRPr="00B74A55">
              <w:rPr>
                <w:sz w:val="22"/>
              </w:rPr>
              <w:t xml:space="preserve">103000,00 </w:t>
            </w:r>
          </w:p>
        </w:tc>
        <w:tc>
          <w:tcPr>
            <w:tcW w:w="1418" w:type="dxa"/>
            <w:vMerge w:val="restart"/>
            <w:tcBorders>
              <w:top w:val="single" w:sz="4" w:space="0" w:color="auto"/>
              <w:right w:val="single" w:sz="4" w:space="0" w:color="auto"/>
            </w:tcBorders>
          </w:tcPr>
          <w:p w:rsidR="00BE7B50" w:rsidRPr="00B74A55" w:rsidRDefault="00BE7B50" w:rsidP="00BE7B50">
            <w:pPr>
              <w:pStyle w:val="a7"/>
              <w:ind w:left="0"/>
              <w:jc w:val="center"/>
              <w:rPr>
                <w:sz w:val="22"/>
              </w:rPr>
            </w:pPr>
            <w:r w:rsidRPr="00B74A55">
              <w:rPr>
                <w:sz w:val="22"/>
              </w:rPr>
              <w:t>-</w:t>
            </w:r>
          </w:p>
        </w:tc>
        <w:tc>
          <w:tcPr>
            <w:tcW w:w="1134" w:type="dxa"/>
            <w:gridSpan w:val="2"/>
            <w:tcBorders>
              <w:top w:val="single" w:sz="4" w:space="0" w:color="auto"/>
              <w:left w:val="single" w:sz="4" w:space="0" w:color="auto"/>
              <w:bottom w:val="single" w:sz="4" w:space="0" w:color="auto"/>
              <w:right w:val="single" w:sz="4" w:space="0" w:color="auto"/>
            </w:tcBorders>
          </w:tcPr>
          <w:p w:rsidR="00BE7B50" w:rsidRPr="00B74A55" w:rsidRDefault="00BE7B50" w:rsidP="00BE7B50">
            <w:pPr>
              <w:pStyle w:val="a7"/>
              <w:ind w:left="0"/>
              <w:jc w:val="center"/>
              <w:rPr>
                <w:sz w:val="22"/>
              </w:rPr>
            </w:pPr>
            <w:proofErr w:type="spellStart"/>
            <w:r w:rsidRPr="00B74A55">
              <w:rPr>
                <w:sz w:val="22"/>
              </w:rPr>
              <w:t>Обсяг</w:t>
            </w:r>
            <w:proofErr w:type="spellEnd"/>
          </w:p>
        </w:tc>
        <w:tc>
          <w:tcPr>
            <w:tcW w:w="1612" w:type="dxa"/>
            <w:gridSpan w:val="2"/>
            <w:tcBorders>
              <w:top w:val="single" w:sz="4" w:space="0" w:color="auto"/>
              <w:left w:val="single" w:sz="4" w:space="0" w:color="auto"/>
              <w:bottom w:val="single" w:sz="4" w:space="0" w:color="auto"/>
              <w:right w:val="single" w:sz="4" w:space="0" w:color="auto"/>
            </w:tcBorders>
          </w:tcPr>
          <w:p w:rsidR="00BE7B50" w:rsidRPr="00B74A55" w:rsidRDefault="00BE7B50" w:rsidP="00BE7B50">
            <w:pPr>
              <w:pStyle w:val="a7"/>
              <w:ind w:left="0"/>
              <w:jc w:val="center"/>
              <w:rPr>
                <w:sz w:val="22"/>
              </w:rPr>
            </w:pPr>
            <w:proofErr w:type="spellStart"/>
            <w:r w:rsidRPr="00B74A55">
              <w:rPr>
                <w:sz w:val="22"/>
              </w:rPr>
              <w:t>Назва</w:t>
            </w:r>
            <w:proofErr w:type="spellEnd"/>
            <w:r w:rsidRPr="00B74A55">
              <w:rPr>
                <w:sz w:val="22"/>
              </w:rPr>
              <w:t xml:space="preserve"> </w:t>
            </w:r>
            <w:proofErr w:type="spellStart"/>
            <w:r w:rsidRPr="00B74A55">
              <w:rPr>
                <w:sz w:val="22"/>
              </w:rPr>
              <w:t>джерела</w:t>
            </w:r>
            <w:proofErr w:type="spellEnd"/>
          </w:p>
        </w:tc>
        <w:tc>
          <w:tcPr>
            <w:tcW w:w="1471" w:type="dxa"/>
            <w:vMerge w:val="restart"/>
            <w:tcBorders>
              <w:top w:val="single" w:sz="4" w:space="0" w:color="auto"/>
              <w:left w:val="single" w:sz="4" w:space="0" w:color="auto"/>
            </w:tcBorders>
          </w:tcPr>
          <w:p w:rsidR="00BE7B50" w:rsidRPr="00B74A55" w:rsidRDefault="00BE7B50" w:rsidP="00BE7B50">
            <w:pPr>
              <w:pStyle w:val="a7"/>
              <w:ind w:left="0"/>
              <w:jc w:val="center"/>
              <w:rPr>
                <w:sz w:val="22"/>
              </w:rPr>
            </w:pPr>
            <w:r w:rsidRPr="00B74A55">
              <w:rPr>
                <w:sz w:val="22"/>
              </w:rPr>
              <w:t>103000,00</w:t>
            </w:r>
          </w:p>
        </w:tc>
      </w:tr>
      <w:tr w:rsidR="00BE7B50" w:rsidRPr="00B74A55" w:rsidTr="00F34B87">
        <w:trPr>
          <w:trHeight w:val="300"/>
        </w:trPr>
        <w:tc>
          <w:tcPr>
            <w:tcW w:w="2978" w:type="dxa"/>
            <w:vMerge/>
            <w:shd w:val="clear" w:color="auto" w:fill="C6D9F1" w:themeFill="text2" w:themeFillTint="33"/>
          </w:tcPr>
          <w:p w:rsidR="00BE7B50" w:rsidRPr="00B74A55" w:rsidRDefault="00BE7B50" w:rsidP="00BE7B50">
            <w:pPr>
              <w:pStyle w:val="a7"/>
              <w:ind w:left="0"/>
              <w:rPr>
                <w:b/>
                <w:sz w:val="22"/>
              </w:rPr>
            </w:pPr>
          </w:p>
        </w:tc>
        <w:tc>
          <w:tcPr>
            <w:tcW w:w="1275" w:type="dxa"/>
            <w:vMerge/>
            <w:tcBorders>
              <w:right w:val="single" w:sz="4" w:space="0" w:color="auto"/>
            </w:tcBorders>
          </w:tcPr>
          <w:p w:rsidR="00BE7B50" w:rsidRPr="00B74A55" w:rsidRDefault="00BE7B50" w:rsidP="00BE7B50">
            <w:pPr>
              <w:pStyle w:val="a7"/>
              <w:ind w:left="0"/>
              <w:jc w:val="center"/>
              <w:rPr>
                <w:sz w:val="22"/>
              </w:rPr>
            </w:pPr>
          </w:p>
        </w:tc>
        <w:tc>
          <w:tcPr>
            <w:tcW w:w="1418" w:type="dxa"/>
            <w:vMerge/>
            <w:tcBorders>
              <w:right w:val="single" w:sz="4" w:space="0" w:color="auto"/>
            </w:tcBorders>
          </w:tcPr>
          <w:p w:rsidR="00BE7B50" w:rsidRPr="00B74A55" w:rsidRDefault="00BE7B50" w:rsidP="00BE7B50">
            <w:pPr>
              <w:pStyle w:val="a7"/>
              <w:ind w:left="0"/>
              <w:jc w:val="center"/>
              <w:rPr>
                <w:b/>
                <w:sz w:val="22"/>
              </w:rPr>
            </w:pPr>
          </w:p>
        </w:tc>
        <w:tc>
          <w:tcPr>
            <w:tcW w:w="1134" w:type="dxa"/>
            <w:gridSpan w:val="2"/>
            <w:tcBorders>
              <w:top w:val="single" w:sz="4" w:space="0" w:color="auto"/>
              <w:left w:val="single" w:sz="4" w:space="0" w:color="auto"/>
              <w:right w:val="single" w:sz="4" w:space="0" w:color="auto"/>
            </w:tcBorders>
          </w:tcPr>
          <w:p w:rsidR="00BE7B50" w:rsidRPr="00B74A55" w:rsidRDefault="00BE7B50" w:rsidP="00BE7B50">
            <w:pPr>
              <w:pStyle w:val="a7"/>
              <w:ind w:left="0"/>
              <w:jc w:val="center"/>
              <w:rPr>
                <w:b/>
                <w:sz w:val="22"/>
              </w:rPr>
            </w:pPr>
          </w:p>
        </w:tc>
        <w:tc>
          <w:tcPr>
            <w:tcW w:w="1612" w:type="dxa"/>
            <w:gridSpan w:val="2"/>
            <w:tcBorders>
              <w:top w:val="single" w:sz="4" w:space="0" w:color="auto"/>
              <w:left w:val="single" w:sz="4" w:space="0" w:color="auto"/>
              <w:right w:val="single" w:sz="4" w:space="0" w:color="auto"/>
            </w:tcBorders>
          </w:tcPr>
          <w:p w:rsidR="00BE7B50" w:rsidRPr="00B74A55" w:rsidRDefault="00BE7B50" w:rsidP="00BE7B50">
            <w:pPr>
              <w:pStyle w:val="a7"/>
              <w:ind w:left="0"/>
              <w:jc w:val="center"/>
              <w:rPr>
                <w:sz w:val="22"/>
              </w:rPr>
            </w:pPr>
            <w:proofErr w:type="spellStart"/>
            <w:r w:rsidRPr="00B74A55">
              <w:rPr>
                <w:sz w:val="22"/>
              </w:rPr>
              <w:t>Міжнародні</w:t>
            </w:r>
            <w:proofErr w:type="spellEnd"/>
            <w:r w:rsidRPr="00B74A55">
              <w:rPr>
                <w:sz w:val="22"/>
              </w:rPr>
              <w:t xml:space="preserve"> </w:t>
            </w:r>
            <w:proofErr w:type="spellStart"/>
            <w:r w:rsidRPr="00B74A55">
              <w:rPr>
                <w:sz w:val="22"/>
              </w:rPr>
              <w:t>інвестиції</w:t>
            </w:r>
            <w:proofErr w:type="spellEnd"/>
            <w:r w:rsidRPr="00B74A55">
              <w:rPr>
                <w:sz w:val="22"/>
              </w:rPr>
              <w:t xml:space="preserve">, </w:t>
            </w:r>
            <w:proofErr w:type="spellStart"/>
            <w:r w:rsidRPr="00B74A55">
              <w:rPr>
                <w:sz w:val="22"/>
              </w:rPr>
              <w:t>кошти</w:t>
            </w:r>
            <w:proofErr w:type="spellEnd"/>
            <w:r w:rsidRPr="00B74A55">
              <w:rPr>
                <w:sz w:val="22"/>
              </w:rPr>
              <w:t xml:space="preserve"> </w:t>
            </w:r>
            <w:proofErr w:type="spellStart"/>
            <w:r w:rsidRPr="00B74A55">
              <w:rPr>
                <w:sz w:val="22"/>
              </w:rPr>
              <w:t>приватних</w:t>
            </w:r>
            <w:proofErr w:type="spellEnd"/>
            <w:r w:rsidRPr="00B74A55">
              <w:rPr>
                <w:sz w:val="22"/>
              </w:rPr>
              <w:t xml:space="preserve"> </w:t>
            </w:r>
            <w:proofErr w:type="spellStart"/>
            <w:r w:rsidRPr="00B74A55">
              <w:rPr>
                <w:sz w:val="22"/>
              </w:rPr>
              <w:t>осіб</w:t>
            </w:r>
            <w:proofErr w:type="spellEnd"/>
          </w:p>
        </w:tc>
        <w:tc>
          <w:tcPr>
            <w:tcW w:w="1471" w:type="dxa"/>
            <w:vMerge/>
            <w:tcBorders>
              <w:left w:val="single" w:sz="4" w:space="0" w:color="auto"/>
            </w:tcBorders>
          </w:tcPr>
          <w:p w:rsidR="00BE7B50" w:rsidRPr="00B74A55" w:rsidRDefault="00BE7B50" w:rsidP="00BE7B50">
            <w:pPr>
              <w:pStyle w:val="a7"/>
              <w:ind w:left="0"/>
              <w:jc w:val="center"/>
              <w:rPr>
                <w:sz w:val="22"/>
              </w:rPr>
            </w:pPr>
          </w:p>
        </w:tc>
      </w:tr>
    </w:tbl>
    <w:p w:rsidR="00BE7B50" w:rsidRPr="00B74A55" w:rsidRDefault="00BE7B50" w:rsidP="00E95FB1">
      <w:pPr>
        <w:rPr>
          <w:sz w:val="22"/>
        </w:rPr>
      </w:pPr>
    </w:p>
    <w:p w:rsidR="00C51E0F" w:rsidRPr="00B74A55" w:rsidRDefault="00C51E0F" w:rsidP="00E95FB1">
      <w:pPr>
        <w:rPr>
          <w:sz w:val="22"/>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8"/>
        <w:gridCol w:w="1275"/>
        <w:gridCol w:w="1418"/>
        <w:gridCol w:w="850"/>
        <w:gridCol w:w="567"/>
        <w:gridCol w:w="1276"/>
        <w:gridCol w:w="567"/>
        <w:gridCol w:w="992"/>
      </w:tblGrid>
      <w:tr w:rsidR="00C51E0F" w:rsidRPr="00B74A55" w:rsidTr="00F34B87">
        <w:trPr>
          <w:trHeight w:val="743"/>
        </w:trPr>
        <w:tc>
          <w:tcPr>
            <w:tcW w:w="2978" w:type="dxa"/>
            <w:shd w:val="clear" w:color="auto" w:fill="C6D9F1"/>
          </w:tcPr>
          <w:p w:rsidR="00C51E0F" w:rsidRPr="00B74A55" w:rsidRDefault="00C51E0F" w:rsidP="00B12C1F">
            <w:pPr>
              <w:pBdr>
                <w:top w:val="nil"/>
                <w:left w:val="nil"/>
                <w:bottom w:val="nil"/>
                <w:right w:val="nil"/>
                <w:between w:val="nil"/>
              </w:pBdr>
              <w:rPr>
                <w:b/>
                <w:color w:val="000000"/>
                <w:sz w:val="22"/>
              </w:rPr>
            </w:pPr>
            <w:r w:rsidRPr="00B74A55">
              <w:rPr>
                <w:b/>
                <w:color w:val="000000"/>
                <w:sz w:val="22"/>
              </w:rPr>
              <w:t>Оперативна ціль/завдання</w:t>
            </w:r>
          </w:p>
        </w:tc>
        <w:tc>
          <w:tcPr>
            <w:tcW w:w="6945" w:type="dxa"/>
            <w:gridSpan w:val="7"/>
            <w:shd w:val="clear" w:color="auto" w:fill="auto"/>
          </w:tcPr>
          <w:p w:rsidR="00C51E0F" w:rsidRPr="00B74A55" w:rsidRDefault="00C51E0F" w:rsidP="00B12C1F">
            <w:pPr>
              <w:pBdr>
                <w:top w:val="nil"/>
                <w:left w:val="nil"/>
                <w:bottom w:val="nil"/>
                <w:right w:val="nil"/>
                <w:between w:val="nil"/>
              </w:pBdr>
              <w:rPr>
                <w:color w:val="000000"/>
                <w:sz w:val="22"/>
              </w:rPr>
            </w:pPr>
            <w:r w:rsidRPr="00B74A55">
              <w:rPr>
                <w:color w:val="000000"/>
                <w:sz w:val="22"/>
              </w:rPr>
              <w:t>Людський розвиток через інновації  управління</w:t>
            </w:r>
            <w:r w:rsidRPr="00B74A55">
              <w:rPr>
                <w:sz w:val="22"/>
              </w:rPr>
              <w:t xml:space="preserve"> </w:t>
            </w:r>
            <w:r w:rsidRPr="00B74A55">
              <w:rPr>
                <w:color w:val="000000"/>
                <w:sz w:val="22"/>
              </w:rPr>
              <w:t xml:space="preserve">та довіру до влади. Формування сучасного інклюзивного </w:t>
            </w:r>
            <w:proofErr w:type="spellStart"/>
            <w:r w:rsidRPr="00B74A55">
              <w:rPr>
                <w:color w:val="000000"/>
                <w:sz w:val="22"/>
              </w:rPr>
              <w:t>освітньо</w:t>
            </w:r>
            <w:proofErr w:type="spellEnd"/>
            <w:r w:rsidRPr="00B74A55">
              <w:rPr>
                <w:color w:val="000000"/>
                <w:sz w:val="22"/>
              </w:rPr>
              <w:t>-культурного та спортивного простору для розвитку.</w:t>
            </w:r>
          </w:p>
        </w:tc>
      </w:tr>
      <w:tr w:rsidR="00C51E0F" w:rsidRPr="00B74A55" w:rsidTr="00F34B87">
        <w:tc>
          <w:tcPr>
            <w:tcW w:w="2978" w:type="dxa"/>
            <w:shd w:val="clear" w:color="auto" w:fill="C6D9F1"/>
          </w:tcPr>
          <w:p w:rsidR="00C51E0F" w:rsidRPr="00B74A55" w:rsidRDefault="00C51E0F" w:rsidP="00B12C1F">
            <w:pPr>
              <w:pBdr>
                <w:top w:val="nil"/>
                <w:left w:val="nil"/>
                <w:bottom w:val="nil"/>
                <w:right w:val="nil"/>
                <w:between w:val="nil"/>
              </w:pBdr>
              <w:rPr>
                <w:b/>
                <w:color w:val="000000"/>
                <w:sz w:val="22"/>
              </w:rPr>
            </w:pPr>
            <w:r w:rsidRPr="00B74A55">
              <w:rPr>
                <w:b/>
                <w:color w:val="000000"/>
                <w:sz w:val="22"/>
              </w:rPr>
              <w:t>Назва проекту:</w:t>
            </w:r>
          </w:p>
        </w:tc>
        <w:tc>
          <w:tcPr>
            <w:tcW w:w="6945" w:type="dxa"/>
            <w:gridSpan w:val="7"/>
          </w:tcPr>
          <w:p w:rsidR="00C51E0F" w:rsidRPr="00B74A55" w:rsidRDefault="00C51E0F" w:rsidP="00B12C1F">
            <w:pPr>
              <w:pBdr>
                <w:top w:val="nil"/>
                <w:left w:val="nil"/>
                <w:bottom w:val="nil"/>
                <w:right w:val="nil"/>
                <w:between w:val="nil"/>
              </w:pBdr>
              <w:rPr>
                <w:color w:val="000000"/>
                <w:sz w:val="22"/>
              </w:rPr>
            </w:pPr>
            <w:r w:rsidRPr="00B74A55">
              <w:rPr>
                <w:color w:val="000000"/>
                <w:sz w:val="22"/>
              </w:rPr>
              <w:t xml:space="preserve">Відновлення діяльності комунального закладу Гімназії № </w:t>
            </w:r>
            <w:r w:rsidRPr="00B74A55">
              <w:rPr>
                <w:sz w:val="22"/>
              </w:rPr>
              <w:t>7</w:t>
            </w:r>
            <w:r w:rsidRPr="00B74A55">
              <w:rPr>
                <w:color w:val="000000"/>
                <w:sz w:val="22"/>
              </w:rPr>
              <w:t xml:space="preserve"> міста Сєвєродонецька</w:t>
            </w:r>
            <w:r w:rsidRPr="00B74A55">
              <w:rPr>
                <w:color w:val="FF0000"/>
                <w:sz w:val="22"/>
              </w:rPr>
              <w:t xml:space="preserve"> </w:t>
            </w:r>
            <w:r w:rsidRPr="00B74A55">
              <w:rPr>
                <w:color w:val="000000"/>
                <w:sz w:val="22"/>
              </w:rPr>
              <w:t>Луганської області,</w:t>
            </w:r>
            <w:r w:rsidRPr="00B74A55">
              <w:rPr>
                <w:sz w:val="22"/>
              </w:rPr>
              <w:t xml:space="preserve"> розташованої </w:t>
            </w:r>
            <w:r w:rsidRPr="00B74A55">
              <w:rPr>
                <w:color w:val="000000"/>
                <w:sz w:val="22"/>
              </w:rPr>
              <w:t xml:space="preserve">за </w:t>
            </w:r>
            <w:proofErr w:type="spellStart"/>
            <w:r w:rsidRPr="00B74A55">
              <w:rPr>
                <w:color w:val="000000"/>
                <w:sz w:val="22"/>
              </w:rPr>
              <w:t>адресою</w:t>
            </w:r>
            <w:proofErr w:type="spellEnd"/>
            <w:r w:rsidRPr="00B74A55">
              <w:rPr>
                <w:color w:val="000000"/>
                <w:sz w:val="22"/>
              </w:rPr>
              <w:t xml:space="preserve">: </w:t>
            </w:r>
            <w:r w:rsidRPr="00B74A55">
              <w:rPr>
                <w:sz w:val="22"/>
              </w:rPr>
              <w:t>Луганська область, Сєвєродонецький район, смт Сиротине</w:t>
            </w:r>
            <w:r w:rsidRPr="00B74A55">
              <w:rPr>
                <w:color w:val="000000"/>
                <w:sz w:val="22"/>
              </w:rPr>
              <w:t xml:space="preserve">, вулиця </w:t>
            </w:r>
            <w:r w:rsidRPr="00B74A55">
              <w:rPr>
                <w:sz w:val="22"/>
              </w:rPr>
              <w:t>Шкільна, буд.32</w:t>
            </w:r>
            <w:r w:rsidRPr="00B74A55">
              <w:rPr>
                <w:color w:val="000000"/>
                <w:sz w:val="22"/>
              </w:rPr>
              <w:t>.</w:t>
            </w:r>
          </w:p>
        </w:tc>
      </w:tr>
      <w:tr w:rsidR="00C51E0F" w:rsidRPr="00B74A55" w:rsidTr="00F34B87">
        <w:tc>
          <w:tcPr>
            <w:tcW w:w="2978" w:type="dxa"/>
            <w:shd w:val="clear" w:color="auto" w:fill="C6D9F1"/>
          </w:tcPr>
          <w:p w:rsidR="00C51E0F" w:rsidRPr="00B74A55" w:rsidRDefault="00C51E0F" w:rsidP="00B12C1F">
            <w:pPr>
              <w:rPr>
                <w:b/>
                <w:sz w:val="22"/>
              </w:rPr>
            </w:pPr>
            <w:r w:rsidRPr="00B74A55">
              <w:rPr>
                <w:b/>
                <w:sz w:val="22"/>
              </w:rPr>
              <w:t>Ціль проекту</w:t>
            </w:r>
          </w:p>
        </w:tc>
        <w:tc>
          <w:tcPr>
            <w:tcW w:w="6945" w:type="dxa"/>
            <w:gridSpan w:val="7"/>
          </w:tcPr>
          <w:p w:rsidR="00C51E0F" w:rsidRPr="00B74A55" w:rsidRDefault="00C51E0F" w:rsidP="00B12C1F">
            <w:pPr>
              <w:pBdr>
                <w:top w:val="nil"/>
                <w:left w:val="nil"/>
                <w:bottom w:val="nil"/>
                <w:right w:val="nil"/>
                <w:between w:val="nil"/>
              </w:pBdr>
              <w:rPr>
                <w:color w:val="000000"/>
                <w:sz w:val="22"/>
              </w:rPr>
            </w:pPr>
            <w:r w:rsidRPr="00B74A55">
              <w:rPr>
                <w:color w:val="000000"/>
                <w:sz w:val="22"/>
              </w:rPr>
              <w:t xml:space="preserve">Відновити та покращити роботу комунального закладу Гімназії № </w:t>
            </w:r>
            <w:r w:rsidRPr="00B74A55">
              <w:rPr>
                <w:sz w:val="22"/>
              </w:rPr>
              <w:t>7</w:t>
            </w:r>
            <w:r w:rsidRPr="00B74A55">
              <w:rPr>
                <w:color w:val="000000"/>
                <w:sz w:val="22"/>
              </w:rPr>
              <w:t xml:space="preserve"> для надання широкого спектру послуг, пов’язаних із освітньою діяльністю та задоволення потреб мешканців Сєвєродонецької міської територіальної громади у необхідних послугах.</w:t>
            </w:r>
          </w:p>
        </w:tc>
      </w:tr>
      <w:tr w:rsidR="00C51E0F" w:rsidRPr="00B74A55" w:rsidTr="00F34B87">
        <w:tc>
          <w:tcPr>
            <w:tcW w:w="2978" w:type="dxa"/>
            <w:shd w:val="clear" w:color="auto" w:fill="C6D9F1"/>
          </w:tcPr>
          <w:p w:rsidR="00C51E0F" w:rsidRPr="00B74A55" w:rsidRDefault="00C51E0F" w:rsidP="00B12C1F">
            <w:pPr>
              <w:pBdr>
                <w:top w:val="nil"/>
                <w:left w:val="nil"/>
                <w:bottom w:val="nil"/>
                <w:right w:val="nil"/>
                <w:between w:val="nil"/>
              </w:pBdr>
              <w:rPr>
                <w:b/>
                <w:color w:val="000000"/>
                <w:sz w:val="22"/>
              </w:rPr>
            </w:pPr>
            <w:r w:rsidRPr="00B74A55">
              <w:rPr>
                <w:b/>
                <w:color w:val="000000"/>
                <w:sz w:val="22"/>
              </w:rPr>
              <w:t>Територія, на яку матиме вплив реалізація проекту</w:t>
            </w:r>
          </w:p>
        </w:tc>
        <w:tc>
          <w:tcPr>
            <w:tcW w:w="6945" w:type="dxa"/>
            <w:gridSpan w:val="7"/>
          </w:tcPr>
          <w:p w:rsidR="00C51E0F" w:rsidRPr="00B74A55" w:rsidRDefault="00C51E0F" w:rsidP="00B12C1F">
            <w:pPr>
              <w:pBdr>
                <w:top w:val="nil"/>
                <w:left w:val="nil"/>
                <w:bottom w:val="nil"/>
                <w:right w:val="nil"/>
                <w:between w:val="nil"/>
              </w:pBdr>
              <w:rPr>
                <w:color w:val="000000"/>
                <w:sz w:val="22"/>
              </w:rPr>
            </w:pPr>
            <w:r w:rsidRPr="00B74A55">
              <w:rPr>
                <w:color w:val="000000"/>
                <w:sz w:val="22"/>
              </w:rPr>
              <w:t>Сєвєродонецька міська територіальна громада</w:t>
            </w:r>
          </w:p>
        </w:tc>
      </w:tr>
      <w:tr w:rsidR="00C51E0F" w:rsidRPr="00B74A55" w:rsidTr="00F34B87">
        <w:tc>
          <w:tcPr>
            <w:tcW w:w="2978" w:type="dxa"/>
            <w:shd w:val="clear" w:color="auto" w:fill="C6D9F1"/>
          </w:tcPr>
          <w:p w:rsidR="00C51E0F" w:rsidRPr="00B74A55" w:rsidRDefault="00C51E0F" w:rsidP="00B12C1F">
            <w:pPr>
              <w:pBdr>
                <w:top w:val="nil"/>
                <w:left w:val="nil"/>
                <w:bottom w:val="nil"/>
                <w:right w:val="nil"/>
                <w:between w:val="nil"/>
              </w:pBdr>
              <w:rPr>
                <w:b/>
                <w:color w:val="000000"/>
                <w:sz w:val="22"/>
              </w:rPr>
            </w:pPr>
            <w:r w:rsidRPr="00B74A55">
              <w:rPr>
                <w:b/>
                <w:color w:val="000000"/>
                <w:sz w:val="22"/>
              </w:rPr>
              <w:t>Чисельність населення, на яке матиме вплив реалізація проекту</w:t>
            </w:r>
          </w:p>
        </w:tc>
        <w:tc>
          <w:tcPr>
            <w:tcW w:w="6945" w:type="dxa"/>
            <w:gridSpan w:val="7"/>
          </w:tcPr>
          <w:p w:rsidR="00C51E0F" w:rsidRPr="00B74A55" w:rsidRDefault="00C51E0F" w:rsidP="00B12C1F">
            <w:pPr>
              <w:pBdr>
                <w:top w:val="nil"/>
                <w:left w:val="nil"/>
                <w:bottom w:val="nil"/>
                <w:right w:val="nil"/>
                <w:between w:val="nil"/>
              </w:pBdr>
              <w:rPr>
                <w:color w:val="000000"/>
                <w:sz w:val="22"/>
              </w:rPr>
            </w:pPr>
            <w:r w:rsidRPr="00B74A55">
              <w:rPr>
                <w:color w:val="000000"/>
                <w:sz w:val="22"/>
              </w:rPr>
              <w:t>70 000 осіб</w:t>
            </w:r>
          </w:p>
        </w:tc>
      </w:tr>
      <w:tr w:rsidR="00C51E0F" w:rsidRPr="00B74A55" w:rsidTr="00F34B87">
        <w:tc>
          <w:tcPr>
            <w:tcW w:w="2978" w:type="dxa"/>
            <w:shd w:val="clear" w:color="auto" w:fill="C6D9F1"/>
          </w:tcPr>
          <w:p w:rsidR="00C51E0F" w:rsidRPr="00B74A55" w:rsidRDefault="00C51E0F" w:rsidP="00B12C1F">
            <w:pPr>
              <w:rPr>
                <w:b/>
                <w:sz w:val="22"/>
              </w:rPr>
            </w:pPr>
            <w:r w:rsidRPr="00B74A55">
              <w:rPr>
                <w:b/>
                <w:sz w:val="22"/>
              </w:rPr>
              <w:t>Опис проблеми, на вирішення якої  спрямований проект</w:t>
            </w:r>
          </w:p>
        </w:tc>
        <w:tc>
          <w:tcPr>
            <w:tcW w:w="6945" w:type="dxa"/>
            <w:gridSpan w:val="7"/>
          </w:tcPr>
          <w:p w:rsidR="00C51E0F" w:rsidRPr="00B74A55" w:rsidRDefault="00C51E0F" w:rsidP="00B12C1F">
            <w:pPr>
              <w:rPr>
                <w:sz w:val="22"/>
              </w:rPr>
            </w:pPr>
            <w:r w:rsidRPr="00B74A55">
              <w:rPr>
                <w:sz w:val="22"/>
              </w:rPr>
              <w:t>Через військову агресію РФ територія Сєвєродонецької міської територіальної громади зазнала значних пошкоджень. Будівля Гімназії № 7 зазнала значних руйнувань, мародерства, що призвело до виведення з ладу або викрадення матеріально-технічної бази закладу, зокрема:.</w:t>
            </w:r>
          </w:p>
          <w:p w:rsidR="00C51E0F" w:rsidRPr="00B74A55" w:rsidRDefault="00C51E0F" w:rsidP="000303D7">
            <w:pPr>
              <w:numPr>
                <w:ilvl w:val="0"/>
                <w:numId w:val="97"/>
              </w:numPr>
              <w:ind w:left="369"/>
              <w:rPr>
                <w:sz w:val="22"/>
              </w:rPr>
            </w:pPr>
            <w:r w:rsidRPr="00B74A55">
              <w:rPr>
                <w:sz w:val="22"/>
              </w:rPr>
              <w:t xml:space="preserve">обладнання (устаткування): парти, стільці, дошки, вчительські столи і стільці, кабінетні шафи, устаткування спеціалізованих кабінетів хімії, фізики, трудового навчання, комп’ютерного класу, ресурсної кімнати та </w:t>
            </w:r>
            <w:proofErr w:type="spellStart"/>
            <w:r w:rsidRPr="00B74A55">
              <w:rPr>
                <w:sz w:val="22"/>
              </w:rPr>
              <w:t>медіатеки</w:t>
            </w:r>
            <w:proofErr w:type="spellEnd"/>
            <w:r w:rsidRPr="00B74A55">
              <w:rPr>
                <w:sz w:val="22"/>
              </w:rPr>
              <w:t xml:space="preserve"> для інклюзивної освіти, шкільної бібліотеки, актової та спортивної зали,  медичного кабінету, </w:t>
            </w:r>
            <w:r w:rsidRPr="00B74A55">
              <w:rPr>
                <w:sz w:val="22"/>
              </w:rPr>
              <w:lastRenderedPageBreak/>
              <w:t>шкільної їдальні, харчоблоку, адміністративних кабінетів; автобус  тощо;</w:t>
            </w:r>
          </w:p>
          <w:p w:rsidR="00C51E0F" w:rsidRPr="00B74A55" w:rsidRDefault="00C51E0F" w:rsidP="000303D7">
            <w:pPr>
              <w:numPr>
                <w:ilvl w:val="0"/>
                <w:numId w:val="97"/>
              </w:numPr>
              <w:ind w:left="369"/>
              <w:rPr>
                <w:sz w:val="22"/>
              </w:rPr>
            </w:pPr>
            <w:r w:rsidRPr="00B74A55">
              <w:rPr>
                <w:sz w:val="22"/>
              </w:rPr>
              <w:t>комп’ютерна техніка із відповідним програмним забезпеченням та інші технічні засоби навчання (принтери, сканери, проектори, інтерактивні дошки та комплекси тощо);</w:t>
            </w:r>
          </w:p>
          <w:p w:rsidR="00C51E0F" w:rsidRPr="00B74A55" w:rsidRDefault="00C51E0F" w:rsidP="000303D7">
            <w:pPr>
              <w:numPr>
                <w:ilvl w:val="0"/>
                <w:numId w:val="97"/>
              </w:numPr>
              <w:ind w:left="369"/>
              <w:rPr>
                <w:sz w:val="22"/>
              </w:rPr>
            </w:pPr>
            <w:r w:rsidRPr="00B74A55">
              <w:rPr>
                <w:sz w:val="22"/>
              </w:rPr>
              <w:t>засоби навчання: підручники, методичні матеріали, наочність, роздаткові матеріали.</w:t>
            </w:r>
          </w:p>
          <w:p w:rsidR="00C51E0F" w:rsidRPr="00B74A55" w:rsidRDefault="00C51E0F" w:rsidP="00B12C1F">
            <w:pPr>
              <w:pBdr>
                <w:top w:val="nil"/>
                <w:left w:val="nil"/>
                <w:bottom w:val="nil"/>
                <w:right w:val="nil"/>
                <w:between w:val="nil"/>
              </w:pBdr>
              <w:rPr>
                <w:color w:val="000000"/>
                <w:sz w:val="22"/>
              </w:rPr>
            </w:pPr>
            <w:r w:rsidRPr="00B74A55">
              <w:rPr>
                <w:color w:val="000000"/>
                <w:sz w:val="22"/>
              </w:rPr>
              <w:t xml:space="preserve">Для відбудови та сталого розвитку громади потрібне відновлення роботи комунального закладу Гімназії № </w:t>
            </w:r>
            <w:r w:rsidRPr="00B74A55">
              <w:rPr>
                <w:sz w:val="22"/>
              </w:rPr>
              <w:t>7</w:t>
            </w:r>
            <w:r w:rsidRPr="00B74A55">
              <w:rPr>
                <w:color w:val="000000"/>
                <w:sz w:val="22"/>
              </w:rPr>
              <w:t>. Мешканці громади потребують отримання</w:t>
            </w:r>
            <w:r w:rsidRPr="00B74A55">
              <w:rPr>
                <w:color w:val="FF0000"/>
                <w:sz w:val="22"/>
              </w:rPr>
              <w:t xml:space="preserve"> </w:t>
            </w:r>
            <w:r w:rsidRPr="00B74A55">
              <w:rPr>
                <w:color w:val="000000"/>
                <w:sz w:val="22"/>
              </w:rPr>
              <w:t>якісних освітніх послуг, які відповідають сучасн</w:t>
            </w:r>
            <w:r w:rsidRPr="00B74A55">
              <w:rPr>
                <w:sz w:val="22"/>
              </w:rPr>
              <w:t>им вимогам</w:t>
            </w:r>
            <w:r w:rsidRPr="00B74A55">
              <w:rPr>
                <w:color w:val="000000"/>
                <w:sz w:val="22"/>
              </w:rPr>
              <w:t xml:space="preserve"> </w:t>
            </w:r>
          </w:p>
        </w:tc>
      </w:tr>
      <w:tr w:rsidR="00C51E0F" w:rsidRPr="00B74A55" w:rsidTr="00F34B87">
        <w:tc>
          <w:tcPr>
            <w:tcW w:w="2978" w:type="dxa"/>
            <w:shd w:val="clear" w:color="auto" w:fill="C6D9F1"/>
          </w:tcPr>
          <w:p w:rsidR="00C51E0F" w:rsidRPr="00B74A55" w:rsidRDefault="00C51E0F" w:rsidP="00B12C1F">
            <w:pPr>
              <w:pBdr>
                <w:top w:val="nil"/>
                <w:left w:val="nil"/>
                <w:bottom w:val="nil"/>
                <w:right w:val="nil"/>
                <w:between w:val="nil"/>
              </w:pBdr>
              <w:rPr>
                <w:b/>
                <w:color w:val="000000"/>
                <w:sz w:val="22"/>
              </w:rPr>
            </w:pPr>
            <w:r w:rsidRPr="00B74A55">
              <w:rPr>
                <w:b/>
                <w:color w:val="000000"/>
                <w:sz w:val="22"/>
              </w:rPr>
              <w:lastRenderedPageBreak/>
              <w:t>Очікувані якісні результати від реалізації проекту</w:t>
            </w:r>
          </w:p>
        </w:tc>
        <w:tc>
          <w:tcPr>
            <w:tcW w:w="6945" w:type="dxa"/>
            <w:gridSpan w:val="7"/>
          </w:tcPr>
          <w:p w:rsidR="00C51E0F" w:rsidRPr="00B74A55" w:rsidRDefault="00C51E0F" w:rsidP="00B12C1F">
            <w:pPr>
              <w:pBdr>
                <w:top w:val="nil"/>
                <w:left w:val="nil"/>
                <w:bottom w:val="nil"/>
                <w:right w:val="nil"/>
                <w:between w:val="nil"/>
              </w:pBdr>
              <w:rPr>
                <w:color w:val="212529"/>
                <w:sz w:val="22"/>
                <w:highlight w:val="white"/>
              </w:rPr>
            </w:pPr>
            <w:r w:rsidRPr="00B74A55">
              <w:rPr>
                <w:sz w:val="22"/>
              </w:rPr>
              <w:t xml:space="preserve">- </w:t>
            </w:r>
            <w:r w:rsidRPr="00B74A55">
              <w:rPr>
                <w:color w:val="212529"/>
                <w:sz w:val="22"/>
                <w:highlight w:val="white"/>
              </w:rPr>
              <w:t>гімназія № 7 повинна стати комфортним та безпечним середовищем для всіх учасників освітнього процесу;</w:t>
            </w:r>
          </w:p>
          <w:p w:rsidR="00C51E0F" w:rsidRPr="00B74A55" w:rsidRDefault="00C51E0F" w:rsidP="00B12C1F">
            <w:pPr>
              <w:pBdr>
                <w:top w:val="nil"/>
                <w:left w:val="nil"/>
                <w:bottom w:val="nil"/>
                <w:right w:val="nil"/>
                <w:between w:val="nil"/>
              </w:pBdr>
              <w:rPr>
                <w:color w:val="000000"/>
                <w:sz w:val="22"/>
              </w:rPr>
            </w:pPr>
            <w:r w:rsidRPr="00B74A55">
              <w:rPr>
                <w:color w:val="000000"/>
                <w:sz w:val="22"/>
              </w:rPr>
              <w:t>- забезпечення населення можливостями для реалізації його конституційних прав, пов’язаних із правом громадян на освіту;</w:t>
            </w:r>
          </w:p>
          <w:p w:rsidR="00C51E0F" w:rsidRPr="00B74A55" w:rsidRDefault="00C51E0F" w:rsidP="00B12C1F">
            <w:pPr>
              <w:pBdr>
                <w:top w:val="nil"/>
                <w:left w:val="nil"/>
                <w:bottom w:val="nil"/>
                <w:right w:val="nil"/>
                <w:between w:val="nil"/>
              </w:pBdr>
              <w:rPr>
                <w:color w:val="000000"/>
                <w:sz w:val="22"/>
              </w:rPr>
            </w:pPr>
            <w:r w:rsidRPr="00B74A55">
              <w:rPr>
                <w:color w:val="000000"/>
                <w:sz w:val="22"/>
              </w:rPr>
              <w:t>- надання широкого спектру послуг, пов’язаних із освітньою діяльністю;</w:t>
            </w:r>
          </w:p>
          <w:p w:rsidR="00C51E0F" w:rsidRPr="00B74A55" w:rsidRDefault="00C51E0F" w:rsidP="00B12C1F">
            <w:pPr>
              <w:pBdr>
                <w:top w:val="nil"/>
                <w:left w:val="nil"/>
                <w:bottom w:val="nil"/>
                <w:right w:val="nil"/>
                <w:between w:val="nil"/>
              </w:pBdr>
              <w:rPr>
                <w:color w:val="000000"/>
                <w:sz w:val="22"/>
              </w:rPr>
            </w:pPr>
            <w:r w:rsidRPr="00B74A55">
              <w:rPr>
                <w:color w:val="000000"/>
                <w:sz w:val="22"/>
              </w:rPr>
              <w:t>- вирішення ряду питань в межах статутної діяльності, пов’язаних із відбудовою та сталим розвитком громади;</w:t>
            </w:r>
          </w:p>
          <w:p w:rsidR="00C51E0F" w:rsidRPr="00B74A55" w:rsidRDefault="00C51E0F" w:rsidP="00B12C1F">
            <w:pPr>
              <w:pBdr>
                <w:top w:val="nil"/>
                <w:left w:val="nil"/>
                <w:bottom w:val="nil"/>
                <w:right w:val="nil"/>
                <w:between w:val="nil"/>
              </w:pBdr>
              <w:rPr>
                <w:color w:val="000000"/>
                <w:sz w:val="22"/>
              </w:rPr>
            </w:pPr>
            <w:r w:rsidRPr="00B74A55">
              <w:rPr>
                <w:color w:val="000000"/>
                <w:sz w:val="22"/>
              </w:rPr>
              <w:t>- створення нових робочих місць;</w:t>
            </w:r>
          </w:p>
          <w:p w:rsidR="00C51E0F" w:rsidRPr="00B74A55" w:rsidRDefault="00C51E0F" w:rsidP="00B12C1F">
            <w:pPr>
              <w:pBdr>
                <w:top w:val="nil"/>
                <w:left w:val="nil"/>
                <w:bottom w:val="nil"/>
                <w:right w:val="nil"/>
                <w:between w:val="nil"/>
              </w:pBdr>
              <w:rPr>
                <w:color w:val="000000"/>
                <w:sz w:val="22"/>
              </w:rPr>
            </w:pPr>
            <w:r w:rsidRPr="00B74A55">
              <w:rPr>
                <w:color w:val="000000"/>
                <w:sz w:val="22"/>
              </w:rPr>
              <w:t>- стимул до повернення ВПО до громади;</w:t>
            </w:r>
          </w:p>
        </w:tc>
      </w:tr>
      <w:tr w:rsidR="00C51E0F" w:rsidRPr="00B74A55" w:rsidTr="00F34B87">
        <w:trPr>
          <w:trHeight w:val="390"/>
        </w:trPr>
        <w:tc>
          <w:tcPr>
            <w:tcW w:w="2978" w:type="dxa"/>
            <w:vMerge w:val="restart"/>
            <w:shd w:val="clear" w:color="auto" w:fill="C6D9F1"/>
          </w:tcPr>
          <w:p w:rsidR="00C51E0F" w:rsidRPr="00B74A55" w:rsidRDefault="00C51E0F" w:rsidP="00B12C1F">
            <w:pPr>
              <w:pBdr>
                <w:top w:val="nil"/>
                <w:left w:val="nil"/>
                <w:bottom w:val="nil"/>
                <w:right w:val="nil"/>
                <w:between w:val="nil"/>
              </w:pBdr>
              <w:rPr>
                <w:b/>
                <w:color w:val="000000"/>
                <w:sz w:val="22"/>
              </w:rPr>
            </w:pPr>
            <w:r w:rsidRPr="00B74A55">
              <w:rPr>
                <w:b/>
                <w:color w:val="000000"/>
                <w:sz w:val="22"/>
              </w:rPr>
              <w:t xml:space="preserve">Очікувані кількісні результати реалізації </w:t>
            </w:r>
            <w:proofErr w:type="spellStart"/>
            <w:r w:rsidRPr="00B74A55">
              <w:rPr>
                <w:b/>
                <w:color w:val="000000"/>
                <w:sz w:val="22"/>
              </w:rPr>
              <w:t>проєкту</w:t>
            </w:r>
            <w:proofErr w:type="spellEnd"/>
            <w:r w:rsidRPr="00B74A55">
              <w:rPr>
                <w:b/>
                <w:color w:val="000000"/>
                <w:sz w:val="22"/>
              </w:rPr>
              <w:t xml:space="preserve"> (індикатори)</w:t>
            </w:r>
          </w:p>
          <w:p w:rsidR="00C51E0F" w:rsidRPr="00B74A55" w:rsidRDefault="00C51E0F" w:rsidP="00B12C1F">
            <w:pPr>
              <w:pBdr>
                <w:top w:val="nil"/>
                <w:left w:val="nil"/>
                <w:bottom w:val="nil"/>
                <w:right w:val="nil"/>
                <w:between w:val="nil"/>
              </w:pBdr>
              <w:rPr>
                <w:b/>
                <w:color w:val="000000"/>
                <w:sz w:val="22"/>
              </w:rPr>
            </w:pPr>
          </w:p>
        </w:tc>
        <w:tc>
          <w:tcPr>
            <w:tcW w:w="3543" w:type="dxa"/>
            <w:gridSpan w:val="3"/>
            <w:tcBorders>
              <w:bottom w:val="single" w:sz="4" w:space="0" w:color="000000"/>
              <w:right w:val="single" w:sz="4" w:space="0" w:color="000000"/>
            </w:tcBorders>
          </w:tcPr>
          <w:p w:rsidR="00C51E0F" w:rsidRPr="00B74A55" w:rsidRDefault="00C51E0F" w:rsidP="00B12C1F">
            <w:pPr>
              <w:pBdr>
                <w:top w:val="nil"/>
                <w:left w:val="nil"/>
                <w:bottom w:val="nil"/>
                <w:right w:val="nil"/>
                <w:between w:val="nil"/>
              </w:pBdr>
              <w:ind w:left="-108"/>
              <w:jc w:val="center"/>
              <w:rPr>
                <w:b/>
                <w:color w:val="000000"/>
                <w:sz w:val="22"/>
              </w:rPr>
            </w:pPr>
            <w:r w:rsidRPr="00B74A55">
              <w:rPr>
                <w:b/>
                <w:color w:val="000000"/>
                <w:sz w:val="22"/>
              </w:rPr>
              <w:t>Найменування показника</w:t>
            </w:r>
          </w:p>
        </w:tc>
        <w:tc>
          <w:tcPr>
            <w:tcW w:w="1843" w:type="dxa"/>
            <w:gridSpan w:val="2"/>
            <w:tcBorders>
              <w:left w:val="single" w:sz="4" w:space="0" w:color="000000"/>
              <w:bottom w:val="single" w:sz="4" w:space="0" w:color="000000"/>
              <w:right w:val="single" w:sz="4" w:space="0" w:color="000000"/>
            </w:tcBorders>
          </w:tcPr>
          <w:p w:rsidR="00C51E0F" w:rsidRPr="00B74A55" w:rsidRDefault="00C51E0F" w:rsidP="00B12C1F">
            <w:pPr>
              <w:pBdr>
                <w:top w:val="nil"/>
                <w:left w:val="nil"/>
                <w:bottom w:val="nil"/>
                <w:right w:val="nil"/>
                <w:between w:val="nil"/>
              </w:pBdr>
              <w:jc w:val="center"/>
              <w:rPr>
                <w:b/>
                <w:color w:val="000000"/>
                <w:sz w:val="22"/>
              </w:rPr>
            </w:pPr>
            <w:r w:rsidRPr="00B74A55">
              <w:rPr>
                <w:b/>
                <w:color w:val="000000"/>
                <w:sz w:val="22"/>
              </w:rPr>
              <w:t>Одиниця вимірювання</w:t>
            </w:r>
          </w:p>
        </w:tc>
        <w:tc>
          <w:tcPr>
            <w:tcW w:w="1559" w:type="dxa"/>
            <w:gridSpan w:val="2"/>
            <w:tcBorders>
              <w:left w:val="single" w:sz="4" w:space="0" w:color="000000"/>
              <w:bottom w:val="single" w:sz="4" w:space="0" w:color="000000"/>
            </w:tcBorders>
          </w:tcPr>
          <w:p w:rsidR="00C51E0F" w:rsidRPr="00B74A55" w:rsidRDefault="00C51E0F" w:rsidP="00B12C1F">
            <w:pPr>
              <w:pBdr>
                <w:top w:val="nil"/>
                <w:left w:val="nil"/>
                <w:bottom w:val="nil"/>
                <w:right w:val="nil"/>
                <w:between w:val="nil"/>
              </w:pBdr>
              <w:jc w:val="center"/>
              <w:rPr>
                <w:b/>
                <w:color w:val="000000"/>
                <w:sz w:val="22"/>
              </w:rPr>
            </w:pPr>
            <w:r w:rsidRPr="00B74A55">
              <w:rPr>
                <w:b/>
                <w:color w:val="000000"/>
                <w:sz w:val="22"/>
              </w:rPr>
              <w:t>Прогнозне (цільове) значення</w:t>
            </w:r>
          </w:p>
        </w:tc>
      </w:tr>
      <w:tr w:rsidR="00C51E0F" w:rsidRPr="00B74A55" w:rsidTr="00F34B87">
        <w:trPr>
          <w:trHeight w:val="585"/>
        </w:trPr>
        <w:tc>
          <w:tcPr>
            <w:tcW w:w="2978" w:type="dxa"/>
            <w:vMerge/>
            <w:shd w:val="clear" w:color="auto" w:fill="C6D9F1"/>
          </w:tcPr>
          <w:p w:rsidR="00C51E0F" w:rsidRPr="00B74A55" w:rsidRDefault="00C51E0F" w:rsidP="00B12C1F">
            <w:pPr>
              <w:widowControl w:val="0"/>
              <w:pBdr>
                <w:top w:val="nil"/>
                <w:left w:val="nil"/>
                <w:bottom w:val="nil"/>
                <w:right w:val="nil"/>
                <w:between w:val="nil"/>
              </w:pBdr>
              <w:spacing w:line="276" w:lineRule="auto"/>
              <w:rPr>
                <w:b/>
                <w:color w:val="000000"/>
                <w:sz w:val="22"/>
              </w:rPr>
            </w:pPr>
          </w:p>
        </w:tc>
        <w:tc>
          <w:tcPr>
            <w:tcW w:w="3543" w:type="dxa"/>
            <w:gridSpan w:val="3"/>
            <w:tcBorders>
              <w:top w:val="single" w:sz="4" w:space="0" w:color="000000"/>
              <w:bottom w:val="single" w:sz="4" w:space="0" w:color="000000"/>
              <w:right w:val="single" w:sz="4" w:space="0" w:color="000000"/>
            </w:tcBorders>
          </w:tcPr>
          <w:p w:rsidR="00C51E0F" w:rsidRPr="00B74A55" w:rsidRDefault="00C51E0F" w:rsidP="00AA4FED">
            <w:pPr>
              <w:pBdr>
                <w:top w:val="nil"/>
                <w:left w:val="nil"/>
                <w:bottom w:val="nil"/>
                <w:right w:val="nil"/>
                <w:between w:val="nil"/>
              </w:pBdr>
              <w:jc w:val="center"/>
              <w:rPr>
                <w:color w:val="000000"/>
                <w:sz w:val="22"/>
              </w:rPr>
            </w:pPr>
            <w:r w:rsidRPr="00B74A55">
              <w:rPr>
                <w:color w:val="000000"/>
                <w:sz w:val="22"/>
              </w:rPr>
              <w:t>Кількість фізичних осіб, які звернулись за послугами протягом року</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C51E0F" w:rsidRPr="00B74A55" w:rsidRDefault="00C51E0F" w:rsidP="00B12C1F">
            <w:pPr>
              <w:pBdr>
                <w:top w:val="nil"/>
                <w:left w:val="nil"/>
                <w:bottom w:val="nil"/>
                <w:right w:val="nil"/>
                <w:between w:val="nil"/>
              </w:pBdr>
              <w:jc w:val="center"/>
              <w:rPr>
                <w:color w:val="000000"/>
                <w:sz w:val="22"/>
              </w:rPr>
            </w:pPr>
            <w:r w:rsidRPr="00B74A55">
              <w:rPr>
                <w:color w:val="000000"/>
                <w:sz w:val="22"/>
              </w:rPr>
              <w:t>осіб</w:t>
            </w:r>
          </w:p>
        </w:tc>
        <w:tc>
          <w:tcPr>
            <w:tcW w:w="1559" w:type="dxa"/>
            <w:gridSpan w:val="2"/>
            <w:tcBorders>
              <w:top w:val="single" w:sz="4" w:space="0" w:color="000000"/>
              <w:left w:val="single" w:sz="4" w:space="0" w:color="000000"/>
              <w:bottom w:val="single" w:sz="4" w:space="0" w:color="000000"/>
            </w:tcBorders>
          </w:tcPr>
          <w:p w:rsidR="00C51E0F" w:rsidRPr="00B74A55" w:rsidRDefault="00C51E0F" w:rsidP="00B12C1F">
            <w:pPr>
              <w:pBdr>
                <w:top w:val="nil"/>
                <w:left w:val="nil"/>
                <w:bottom w:val="nil"/>
                <w:right w:val="nil"/>
                <w:between w:val="nil"/>
              </w:pBdr>
              <w:jc w:val="center"/>
              <w:rPr>
                <w:color w:val="000000"/>
                <w:sz w:val="22"/>
              </w:rPr>
            </w:pPr>
            <w:r w:rsidRPr="00B74A55">
              <w:rPr>
                <w:sz w:val="22"/>
              </w:rPr>
              <w:t>418</w:t>
            </w:r>
          </w:p>
        </w:tc>
      </w:tr>
      <w:tr w:rsidR="00C51E0F" w:rsidRPr="00B74A55" w:rsidTr="00F34B87">
        <w:trPr>
          <w:trHeight w:val="184"/>
        </w:trPr>
        <w:tc>
          <w:tcPr>
            <w:tcW w:w="2978" w:type="dxa"/>
            <w:vMerge/>
            <w:shd w:val="clear" w:color="auto" w:fill="C6D9F1"/>
          </w:tcPr>
          <w:p w:rsidR="00C51E0F" w:rsidRPr="00B74A55" w:rsidRDefault="00C51E0F" w:rsidP="00B12C1F">
            <w:pPr>
              <w:widowControl w:val="0"/>
              <w:pBdr>
                <w:top w:val="nil"/>
                <w:left w:val="nil"/>
                <w:bottom w:val="nil"/>
                <w:right w:val="nil"/>
                <w:between w:val="nil"/>
              </w:pBdr>
              <w:spacing w:line="276" w:lineRule="auto"/>
              <w:rPr>
                <w:b/>
                <w:color w:val="000000"/>
                <w:sz w:val="22"/>
              </w:rPr>
            </w:pPr>
          </w:p>
        </w:tc>
        <w:tc>
          <w:tcPr>
            <w:tcW w:w="3543" w:type="dxa"/>
            <w:gridSpan w:val="3"/>
            <w:tcBorders>
              <w:top w:val="single" w:sz="4" w:space="0" w:color="000000"/>
              <w:bottom w:val="single" w:sz="4" w:space="0" w:color="000000"/>
              <w:right w:val="single" w:sz="4" w:space="0" w:color="000000"/>
            </w:tcBorders>
          </w:tcPr>
          <w:p w:rsidR="00C51E0F" w:rsidRPr="00B74A55" w:rsidRDefault="00C51E0F" w:rsidP="00B12C1F">
            <w:pPr>
              <w:pBdr>
                <w:top w:val="nil"/>
                <w:left w:val="nil"/>
                <w:bottom w:val="nil"/>
                <w:right w:val="nil"/>
                <w:between w:val="nil"/>
              </w:pBdr>
              <w:jc w:val="center"/>
              <w:rPr>
                <w:color w:val="000000"/>
                <w:sz w:val="22"/>
              </w:rPr>
            </w:pPr>
            <w:r w:rsidRPr="00B74A55">
              <w:rPr>
                <w:color w:val="000000"/>
                <w:sz w:val="22"/>
              </w:rPr>
              <w:t>Кількість видів та типів послуг</w:t>
            </w:r>
            <w:r w:rsidR="00AA4FED" w:rsidRPr="00B74A55">
              <w:rPr>
                <w:color w:val="000000"/>
                <w:sz w:val="22"/>
              </w:rPr>
              <w:t>,</w:t>
            </w:r>
            <w:r w:rsidRPr="00B74A55">
              <w:rPr>
                <w:color w:val="000000"/>
                <w:sz w:val="22"/>
              </w:rPr>
              <w:t xml:space="preserve"> наданих протягом одного робочого дня</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C51E0F" w:rsidRPr="00B74A55" w:rsidRDefault="00C51E0F" w:rsidP="00B12C1F">
            <w:pPr>
              <w:pBdr>
                <w:top w:val="nil"/>
                <w:left w:val="nil"/>
                <w:bottom w:val="nil"/>
                <w:right w:val="nil"/>
                <w:between w:val="nil"/>
              </w:pBdr>
              <w:jc w:val="center"/>
              <w:rPr>
                <w:color w:val="000000"/>
                <w:sz w:val="22"/>
              </w:rPr>
            </w:pPr>
            <w:r w:rsidRPr="00B74A55">
              <w:rPr>
                <w:color w:val="000000"/>
                <w:sz w:val="22"/>
              </w:rPr>
              <w:t>одиниць</w:t>
            </w:r>
          </w:p>
        </w:tc>
        <w:tc>
          <w:tcPr>
            <w:tcW w:w="1559" w:type="dxa"/>
            <w:gridSpan w:val="2"/>
            <w:tcBorders>
              <w:top w:val="single" w:sz="4" w:space="0" w:color="000000"/>
              <w:left w:val="single" w:sz="4" w:space="0" w:color="000000"/>
              <w:bottom w:val="single" w:sz="4" w:space="0" w:color="000000"/>
            </w:tcBorders>
          </w:tcPr>
          <w:p w:rsidR="00C51E0F" w:rsidRPr="00B74A55" w:rsidRDefault="00C51E0F" w:rsidP="00B12C1F">
            <w:pPr>
              <w:pBdr>
                <w:top w:val="nil"/>
                <w:left w:val="nil"/>
                <w:bottom w:val="nil"/>
                <w:right w:val="nil"/>
                <w:between w:val="nil"/>
              </w:pBdr>
              <w:jc w:val="center"/>
              <w:rPr>
                <w:color w:val="000000"/>
                <w:sz w:val="22"/>
              </w:rPr>
            </w:pPr>
            <w:r w:rsidRPr="00B74A55">
              <w:rPr>
                <w:color w:val="000000"/>
                <w:sz w:val="22"/>
              </w:rPr>
              <w:t>63</w:t>
            </w:r>
          </w:p>
        </w:tc>
      </w:tr>
      <w:tr w:rsidR="00C51E0F" w:rsidRPr="00B74A55" w:rsidTr="00F34B87">
        <w:trPr>
          <w:trHeight w:val="150"/>
        </w:trPr>
        <w:tc>
          <w:tcPr>
            <w:tcW w:w="2978" w:type="dxa"/>
            <w:vMerge/>
            <w:shd w:val="clear" w:color="auto" w:fill="C6D9F1"/>
          </w:tcPr>
          <w:p w:rsidR="00C51E0F" w:rsidRPr="00B74A55" w:rsidRDefault="00C51E0F" w:rsidP="00B12C1F">
            <w:pPr>
              <w:widowControl w:val="0"/>
              <w:pBdr>
                <w:top w:val="nil"/>
                <w:left w:val="nil"/>
                <w:bottom w:val="nil"/>
                <w:right w:val="nil"/>
                <w:between w:val="nil"/>
              </w:pBdr>
              <w:spacing w:line="276" w:lineRule="auto"/>
              <w:rPr>
                <w:color w:val="000000"/>
                <w:sz w:val="22"/>
              </w:rPr>
            </w:pPr>
          </w:p>
        </w:tc>
        <w:tc>
          <w:tcPr>
            <w:tcW w:w="3543" w:type="dxa"/>
            <w:gridSpan w:val="3"/>
            <w:tcBorders>
              <w:top w:val="single" w:sz="4" w:space="0" w:color="000000"/>
              <w:right w:val="single" w:sz="4" w:space="0" w:color="000000"/>
            </w:tcBorders>
          </w:tcPr>
          <w:p w:rsidR="00C51E0F" w:rsidRPr="00B74A55" w:rsidRDefault="00C51E0F" w:rsidP="00B12C1F">
            <w:pPr>
              <w:pBdr>
                <w:top w:val="nil"/>
                <w:left w:val="nil"/>
                <w:bottom w:val="nil"/>
                <w:right w:val="nil"/>
                <w:between w:val="nil"/>
              </w:pBdr>
              <w:jc w:val="center"/>
              <w:rPr>
                <w:color w:val="000000"/>
                <w:sz w:val="22"/>
              </w:rPr>
            </w:pPr>
            <w:r w:rsidRPr="00B74A55">
              <w:rPr>
                <w:color w:val="000000"/>
                <w:sz w:val="22"/>
              </w:rPr>
              <w:t>Термін надання послуги</w:t>
            </w:r>
          </w:p>
        </w:tc>
        <w:tc>
          <w:tcPr>
            <w:tcW w:w="1843" w:type="dxa"/>
            <w:gridSpan w:val="2"/>
            <w:tcBorders>
              <w:top w:val="single" w:sz="4" w:space="0" w:color="000000"/>
              <w:left w:val="single" w:sz="4" w:space="0" w:color="000000"/>
              <w:right w:val="single" w:sz="4" w:space="0" w:color="000000"/>
            </w:tcBorders>
            <w:vAlign w:val="center"/>
          </w:tcPr>
          <w:p w:rsidR="00C51E0F" w:rsidRPr="00B74A55" w:rsidRDefault="00C51E0F" w:rsidP="00B12C1F">
            <w:pPr>
              <w:pBdr>
                <w:top w:val="nil"/>
                <w:left w:val="nil"/>
                <w:bottom w:val="nil"/>
                <w:right w:val="nil"/>
                <w:between w:val="nil"/>
              </w:pBdr>
              <w:jc w:val="center"/>
              <w:rPr>
                <w:color w:val="000000"/>
                <w:sz w:val="22"/>
              </w:rPr>
            </w:pPr>
            <w:r w:rsidRPr="00B74A55">
              <w:rPr>
                <w:color w:val="000000"/>
                <w:sz w:val="22"/>
              </w:rPr>
              <w:t>день</w:t>
            </w:r>
          </w:p>
        </w:tc>
        <w:tc>
          <w:tcPr>
            <w:tcW w:w="1559" w:type="dxa"/>
            <w:gridSpan w:val="2"/>
            <w:tcBorders>
              <w:top w:val="single" w:sz="4" w:space="0" w:color="000000"/>
              <w:left w:val="single" w:sz="4" w:space="0" w:color="000000"/>
            </w:tcBorders>
          </w:tcPr>
          <w:p w:rsidR="00C51E0F" w:rsidRPr="00B74A55" w:rsidRDefault="00C51E0F" w:rsidP="00B12C1F">
            <w:pPr>
              <w:pBdr>
                <w:top w:val="nil"/>
                <w:left w:val="nil"/>
                <w:bottom w:val="nil"/>
                <w:right w:val="nil"/>
                <w:between w:val="nil"/>
              </w:pBdr>
              <w:jc w:val="center"/>
              <w:rPr>
                <w:color w:val="000000"/>
                <w:sz w:val="22"/>
              </w:rPr>
            </w:pPr>
            <w:r w:rsidRPr="00B74A55">
              <w:rPr>
                <w:color w:val="000000"/>
                <w:sz w:val="22"/>
              </w:rPr>
              <w:t>365</w:t>
            </w:r>
          </w:p>
        </w:tc>
      </w:tr>
      <w:tr w:rsidR="00C51E0F" w:rsidRPr="00B74A55" w:rsidTr="00F34B87">
        <w:trPr>
          <w:trHeight w:val="150"/>
        </w:trPr>
        <w:tc>
          <w:tcPr>
            <w:tcW w:w="2978" w:type="dxa"/>
            <w:shd w:val="clear" w:color="auto" w:fill="C6D9F1"/>
          </w:tcPr>
          <w:p w:rsidR="00C51E0F" w:rsidRPr="00B74A55" w:rsidRDefault="00C51E0F" w:rsidP="00B12C1F">
            <w:pPr>
              <w:pBdr>
                <w:top w:val="nil"/>
                <w:left w:val="nil"/>
                <w:bottom w:val="nil"/>
                <w:right w:val="nil"/>
                <w:between w:val="nil"/>
              </w:pBdr>
              <w:rPr>
                <w:b/>
                <w:color w:val="000000"/>
                <w:sz w:val="22"/>
              </w:rPr>
            </w:pPr>
          </w:p>
        </w:tc>
        <w:tc>
          <w:tcPr>
            <w:tcW w:w="3543" w:type="dxa"/>
            <w:gridSpan w:val="3"/>
            <w:tcBorders>
              <w:top w:val="single" w:sz="4" w:space="0" w:color="000000"/>
              <w:right w:val="single" w:sz="4" w:space="0" w:color="000000"/>
            </w:tcBorders>
          </w:tcPr>
          <w:p w:rsidR="00C51E0F" w:rsidRPr="00B74A55" w:rsidRDefault="00C51E0F" w:rsidP="00AA4FED">
            <w:pPr>
              <w:pBdr>
                <w:top w:val="nil"/>
                <w:left w:val="nil"/>
                <w:bottom w:val="nil"/>
                <w:right w:val="nil"/>
                <w:between w:val="nil"/>
              </w:pBdr>
              <w:jc w:val="center"/>
              <w:rPr>
                <w:color w:val="000000"/>
                <w:sz w:val="22"/>
              </w:rPr>
            </w:pPr>
            <w:r w:rsidRPr="00B74A55">
              <w:rPr>
                <w:color w:val="000000"/>
                <w:sz w:val="22"/>
              </w:rPr>
              <w:t>Кількість населених пунктів, як</w:t>
            </w:r>
            <w:r w:rsidR="00AA4FED" w:rsidRPr="00B74A55">
              <w:rPr>
                <w:color w:val="000000"/>
                <w:sz w:val="22"/>
              </w:rPr>
              <w:t>і</w:t>
            </w:r>
            <w:r w:rsidRPr="00B74A55">
              <w:rPr>
                <w:color w:val="000000"/>
                <w:sz w:val="22"/>
              </w:rPr>
              <w:t xml:space="preserve"> обслуговує заклад.</w:t>
            </w:r>
          </w:p>
        </w:tc>
        <w:tc>
          <w:tcPr>
            <w:tcW w:w="1843" w:type="dxa"/>
            <w:gridSpan w:val="2"/>
            <w:tcBorders>
              <w:top w:val="single" w:sz="4" w:space="0" w:color="000000"/>
              <w:left w:val="single" w:sz="4" w:space="0" w:color="000000"/>
              <w:right w:val="single" w:sz="4" w:space="0" w:color="000000"/>
            </w:tcBorders>
            <w:vAlign w:val="center"/>
          </w:tcPr>
          <w:p w:rsidR="00C51E0F" w:rsidRPr="00B74A55" w:rsidRDefault="00C51E0F" w:rsidP="00B12C1F">
            <w:pPr>
              <w:pBdr>
                <w:top w:val="nil"/>
                <w:left w:val="nil"/>
                <w:bottom w:val="nil"/>
                <w:right w:val="nil"/>
                <w:between w:val="nil"/>
              </w:pBdr>
              <w:jc w:val="center"/>
              <w:rPr>
                <w:color w:val="000000"/>
                <w:sz w:val="22"/>
              </w:rPr>
            </w:pPr>
            <w:r w:rsidRPr="00B74A55">
              <w:rPr>
                <w:color w:val="000000"/>
                <w:sz w:val="22"/>
              </w:rPr>
              <w:t>одиниць</w:t>
            </w:r>
          </w:p>
        </w:tc>
        <w:tc>
          <w:tcPr>
            <w:tcW w:w="1559" w:type="dxa"/>
            <w:gridSpan w:val="2"/>
            <w:tcBorders>
              <w:top w:val="single" w:sz="4" w:space="0" w:color="000000"/>
              <w:left w:val="single" w:sz="4" w:space="0" w:color="000000"/>
            </w:tcBorders>
          </w:tcPr>
          <w:p w:rsidR="00C51E0F" w:rsidRPr="00B74A55" w:rsidRDefault="00C51E0F" w:rsidP="00B12C1F">
            <w:pPr>
              <w:jc w:val="center"/>
              <w:rPr>
                <w:color w:val="000000"/>
                <w:sz w:val="22"/>
                <w:lang w:val="ru-RU"/>
              </w:rPr>
            </w:pPr>
            <w:r w:rsidRPr="00B74A55">
              <w:rPr>
                <w:sz w:val="22"/>
                <w:lang w:val="ru-RU"/>
              </w:rPr>
              <w:t>20</w:t>
            </w:r>
          </w:p>
          <w:p w:rsidR="00C51E0F" w:rsidRPr="00B74A55" w:rsidRDefault="00C51E0F" w:rsidP="00B12C1F">
            <w:pPr>
              <w:pBdr>
                <w:top w:val="nil"/>
                <w:left w:val="nil"/>
                <w:bottom w:val="nil"/>
                <w:right w:val="nil"/>
                <w:between w:val="nil"/>
              </w:pBdr>
              <w:jc w:val="center"/>
              <w:rPr>
                <w:color w:val="000000"/>
                <w:sz w:val="22"/>
              </w:rPr>
            </w:pPr>
          </w:p>
        </w:tc>
      </w:tr>
      <w:tr w:rsidR="00C51E0F" w:rsidRPr="00B74A55" w:rsidTr="00F34B87">
        <w:tc>
          <w:tcPr>
            <w:tcW w:w="2978" w:type="dxa"/>
            <w:shd w:val="clear" w:color="auto" w:fill="C6D9F1"/>
          </w:tcPr>
          <w:p w:rsidR="00C51E0F" w:rsidRPr="00B74A55" w:rsidRDefault="00C51E0F" w:rsidP="00B12C1F">
            <w:pPr>
              <w:rPr>
                <w:b/>
                <w:sz w:val="22"/>
              </w:rPr>
            </w:pPr>
            <w:r w:rsidRPr="00B74A55">
              <w:rPr>
                <w:b/>
                <w:sz w:val="22"/>
              </w:rPr>
              <w:t xml:space="preserve">Ключові заходи проекту: </w:t>
            </w:r>
          </w:p>
          <w:p w:rsidR="00C51E0F" w:rsidRPr="00B74A55" w:rsidRDefault="00C51E0F" w:rsidP="00B12C1F">
            <w:pPr>
              <w:pBdr>
                <w:top w:val="nil"/>
                <w:left w:val="nil"/>
                <w:bottom w:val="nil"/>
                <w:right w:val="nil"/>
                <w:between w:val="nil"/>
              </w:pBdr>
              <w:rPr>
                <w:b/>
                <w:color w:val="000000"/>
                <w:sz w:val="22"/>
              </w:rPr>
            </w:pPr>
          </w:p>
        </w:tc>
        <w:tc>
          <w:tcPr>
            <w:tcW w:w="6945" w:type="dxa"/>
            <w:gridSpan w:val="7"/>
          </w:tcPr>
          <w:p w:rsidR="00C51E0F" w:rsidRPr="00B74A55" w:rsidRDefault="00C51E0F" w:rsidP="00B12C1F">
            <w:pPr>
              <w:pBdr>
                <w:top w:val="nil"/>
                <w:left w:val="nil"/>
                <w:bottom w:val="nil"/>
                <w:right w:val="nil"/>
                <w:between w:val="nil"/>
              </w:pBdr>
              <w:rPr>
                <w:color w:val="000000"/>
                <w:sz w:val="22"/>
              </w:rPr>
            </w:pPr>
            <w:r w:rsidRPr="00B74A55">
              <w:rPr>
                <w:color w:val="000000"/>
                <w:sz w:val="22"/>
              </w:rPr>
              <w:t>-обстеження стану будівлі;</w:t>
            </w:r>
          </w:p>
          <w:p w:rsidR="00C51E0F" w:rsidRPr="00B74A55" w:rsidRDefault="00C51E0F" w:rsidP="00B12C1F">
            <w:pPr>
              <w:pBdr>
                <w:top w:val="nil"/>
                <w:left w:val="nil"/>
                <w:bottom w:val="nil"/>
                <w:right w:val="nil"/>
                <w:between w:val="nil"/>
              </w:pBdr>
              <w:rPr>
                <w:color w:val="000000"/>
                <w:sz w:val="22"/>
              </w:rPr>
            </w:pPr>
            <w:r w:rsidRPr="00B74A55">
              <w:rPr>
                <w:color w:val="000000"/>
                <w:sz w:val="22"/>
              </w:rPr>
              <w:t>-проведення інвентаризації основних засобів;</w:t>
            </w:r>
          </w:p>
          <w:p w:rsidR="00C51E0F" w:rsidRPr="00B74A55" w:rsidRDefault="00C51E0F" w:rsidP="00B12C1F">
            <w:pPr>
              <w:pBdr>
                <w:top w:val="nil"/>
                <w:left w:val="nil"/>
                <w:bottom w:val="nil"/>
                <w:right w:val="nil"/>
                <w:between w:val="nil"/>
              </w:pBdr>
              <w:rPr>
                <w:sz w:val="22"/>
              </w:rPr>
            </w:pPr>
            <w:r w:rsidRPr="00B74A55">
              <w:rPr>
                <w:color w:val="000000"/>
                <w:sz w:val="22"/>
              </w:rPr>
              <w:t>-</w:t>
            </w:r>
            <w:r w:rsidRPr="00B74A55">
              <w:rPr>
                <w:sz w:val="22"/>
              </w:rPr>
              <w:t>визначення кількості осіб, які потребують отримання соціальних, освітніх послуг закладу;</w:t>
            </w:r>
          </w:p>
          <w:p w:rsidR="00C51E0F" w:rsidRPr="00B74A55" w:rsidRDefault="00C51E0F" w:rsidP="00B12C1F">
            <w:pPr>
              <w:rPr>
                <w:sz w:val="22"/>
              </w:rPr>
            </w:pPr>
            <w:r w:rsidRPr="00B74A55">
              <w:rPr>
                <w:sz w:val="22"/>
              </w:rPr>
              <w:t xml:space="preserve">-виготовлення </w:t>
            </w:r>
            <w:proofErr w:type="spellStart"/>
            <w:r w:rsidRPr="00B74A55">
              <w:rPr>
                <w:sz w:val="22"/>
              </w:rPr>
              <w:t>проєктно</w:t>
            </w:r>
            <w:proofErr w:type="spellEnd"/>
            <w:r w:rsidRPr="00B74A55">
              <w:rPr>
                <w:sz w:val="22"/>
              </w:rPr>
              <w:t>-кошторисної документації;</w:t>
            </w:r>
          </w:p>
          <w:p w:rsidR="00C51E0F" w:rsidRPr="00B74A55" w:rsidRDefault="00C51E0F" w:rsidP="00B12C1F">
            <w:pPr>
              <w:rPr>
                <w:sz w:val="22"/>
              </w:rPr>
            </w:pPr>
            <w:r w:rsidRPr="00B74A55">
              <w:rPr>
                <w:sz w:val="22"/>
              </w:rPr>
              <w:t>-закупівля робіт, товарів, послуг;</w:t>
            </w:r>
          </w:p>
          <w:p w:rsidR="00C51E0F" w:rsidRPr="00B74A55" w:rsidRDefault="00C51E0F" w:rsidP="00B12C1F">
            <w:pPr>
              <w:pBdr>
                <w:top w:val="nil"/>
                <w:left w:val="nil"/>
                <w:bottom w:val="nil"/>
                <w:right w:val="nil"/>
                <w:between w:val="nil"/>
              </w:pBdr>
              <w:rPr>
                <w:sz w:val="22"/>
              </w:rPr>
            </w:pPr>
            <w:r w:rsidRPr="00B74A55">
              <w:rPr>
                <w:sz w:val="22"/>
              </w:rPr>
              <w:t>-придбання технологічного обладнання;</w:t>
            </w:r>
          </w:p>
          <w:p w:rsidR="00C51E0F" w:rsidRPr="00B74A55" w:rsidRDefault="00C51E0F" w:rsidP="00B12C1F">
            <w:pPr>
              <w:pBdr>
                <w:top w:val="nil"/>
                <w:left w:val="nil"/>
                <w:bottom w:val="nil"/>
                <w:right w:val="nil"/>
                <w:between w:val="nil"/>
              </w:pBdr>
              <w:rPr>
                <w:color w:val="000000"/>
                <w:sz w:val="22"/>
              </w:rPr>
            </w:pPr>
            <w:r w:rsidRPr="00B74A55">
              <w:rPr>
                <w:sz w:val="22"/>
              </w:rPr>
              <w:t>-</w:t>
            </w:r>
            <w:r w:rsidRPr="00B74A55">
              <w:rPr>
                <w:color w:val="000000"/>
                <w:sz w:val="22"/>
              </w:rPr>
              <w:t>придбання технічного забезпечення закладу;</w:t>
            </w:r>
          </w:p>
          <w:p w:rsidR="00C51E0F" w:rsidRPr="00B74A55" w:rsidRDefault="00C51E0F" w:rsidP="00B12C1F">
            <w:pPr>
              <w:pBdr>
                <w:top w:val="nil"/>
                <w:left w:val="nil"/>
                <w:bottom w:val="nil"/>
                <w:right w:val="nil"/>
                <w:between w:val="nil"/>
              </w:pBdr>
              <w:rPr>
                <w:color w:val="212529"/>
                <w:sz w:val="22"/>
                <w:highlight w:val="white"/>
              </w:rPr>
            </w:pPr>
            <w:r w:rsidRPr="00B74A55">
              <w:rPr>
                <w:color w:val="000000"/>
                <w:sz w:val="22"/>
              </w:rPr>
              <w:t xml:space="preserve">- </w:t>
            </w:r>
            <w:r w:rsidRPr="00B74A55">
              <w:rPr>
                <w:color w:val="1D1D1B"/>
                <w:sz w:val="22"/>
                <w:highlight w:val="white"/>
              </w:rPr>
              <w:t>формування нового освітнього простору;</w:t>
            </w:r>
          </w:p>
          <w:p w:rsidR="00C51E0F" w:rsidRPr="00B74A55" w:rsidRDefault="00C51E0F" w:rsidP="00B12C1F">
            <w:pPr>
              <w:shd w:val="clear" w:color="auto" w:fill="FFFFFF"/>
              <w:rPr>
                <w:color w:val="212529"/>
                <w:sz w:val="22"/>
                <w:highlight w:val="white"/>
              </w:rPr>
            </w:pPr>
            <w:r w:rsidRPr="00B74A55">
              <w:rPr>
                <w:color w:val="212529"/>
                <w:sz w:val="22"/>
                <w:highlight w:val="white"/>
              </w:rPr>
              <w:t>-закупівля сучасних меблів;</w:t>
            </w:r>
          </w:p>
          <w:p w:rsidR="00C51E0F" w:rsidRPr="00B74A55" w:rsidRDefault="00C51E0F" w:rsidP="00B12C1F">
            <w:pPr>
              <w:shd w:val="clear" w:color="auto" w:fill="FFFFFF"/>
              <w:rPr>
                <w:color w:val="212529"/>
                <w:sz w:val="22"/>
                <w:highlight w:val="white"/>
              </w:rPr>
            </w:pPr>
            <w:r w:rsidRPr="00B74A55">
              <w:rPr>
                <w:color w:val="212529"/>
                <w:sz w:val="22"/>
                <w:highlight w:val="white"/>
              </w:rPr>
              <w:t>-закупівля засобів навчання та обладнання для навчальних та інших кабінетів;</w:t>
            </w:r>
          </w:p>
          <w:p w:rsidR="00C51E0F" w:rsidRPr="00B74A55" w:rsidRDefault="00C51E0F" w:rsidP="00B12C1F">
            <w:pPr>
              <w:pBdr>
                <w:top w:val="nil"/>
                <w:left w:val="nil"/>
                <w:bottom w:val="nil"/>
                <w:right w:val="nil"/>
                <w:between w:val="nil"/>
              </w:pBdr>
              <w:rPr>
                <w:color w:val="000000"/>
                <w:sz w:val="22"/>
              </w:rPr>
            </w:pPr>
            <w:r w:rsidRPr="00B74A55">
              <w:rPr>
                <w:color w:val="000000"/>
                <w:sz w:val="22"/>
              </w:rPr>
              <w:t>- організація та початок робочого процесу.</w:t>
            </w:r>
          </w:p>
        </w:tc>
      </w:tr>
      <w:tr w:rsidR="00C51E0F" w:rsidRPr="00B74A55" w:rsidTr="00F34B87">
        <w:trPr>
          <w:trHeight w:val="360"/>
        </w:trPr>
        <w:tc>
          <w:tcPr>
            <w:tcW w:w="2978" w:type="dxa"/>
            <w:vMerge w:val="restart"/>
            <w:shd w:val="clear" w:color="auto" w:fill="C6D9F1"/>
          </w:tcPr>
          <w:p w:rsidR="00C51E0F" w:rsidRPr="00B74A55" w:rsidRDefault="00C51E0F" w:rsidP="00B12C1F">
            <w:pPr>
              <w:pBdr>
                <w:top w:val="nil"/>
                <w:left w:val="nil"/>
                <w:bottom w:val="nil"/>
                <w:right w:val="nil"/>
                <w:between w:val="nil"/>
              </w:pBdr>
              <w:rPr>
                <w:b/>
                <w:color w:val="000000"/>
                <w:sz w:val="22"/>
              </w:rPr>
            </w:pPr>
            <w:r w:rsidRPr="00B74A55">
              <w:rPr>
                <w:b/>
                <w:color w:val="000000"/>
                <w:sz w:val="22"/>
              </w:rPr>
              <w:t xml:space="preserve">Орієнтовний обсяг та джерела фінансування, тис. грн. </w:t>
            </w:r>
          </w:p>
          <w:p w:rsidR="00C51E0F" w:rsidRPr="00B74A55" w:rsidRDefault="00C51E0F" w:rsidP="00B12C1F">
            <w:pPr>
              <w:pBdr>
                <w:top w:val="nil"/>
                <w:left w:val="nil"/>
                <w:bottom w:val="nil"/>
                <w:right w:val="nil"/>
                <w:between w:val="nil"/>
              </w:pBdr>
              <w:rPr>
                <w:b/>
                <w:color w:val="000000"/>
                <w:sz w:val="22"/>
              </w:rPr>
            </w:pPr>
          </w:p>
        </w:tc>
        <w:tc>
          <w:tcPr>
            <w:tcW w:w="1275" w:type="dxa"/>
            <w:tcBorders>
              <w:bottom w:val="single" w:sz="4" w:space="0" w:color="000000"/>
              <w:right w:val="single" w:sz="4" w:space="0" w:color="000000"/>
            </w:tcBorders>
          </w:tcPr>
          <w:p w:rsidR="00C51E0F" w:rsidRPr="00B74A55" w:rsidRDefault="00C51E0F" w:rsidP="00B12C1F">
            <w:pPr>
              <w:pBdr>
                <w:top w:val="nil"/>
                <w:left w:val="nil"/>
                <w:bottom w:val="nil"/>
                <w:right w:val="nil"/>
                <w:between w:val="nil"/>
              </w:pBdr>
              <w:jc w:val="center"/>
              <w:rPr>
                <w:b/>
                <w:color w:val="000000"/>
                <w:sz w:val="22"/>
              </w:rPr>
            </w:pPr>
            <w:r w:rsidRPr="00B74A55">
              <w:rPr>
                <w:b/>
                <w:color w:val="000000"/>
                <w:sz w:val="22"/>
              </w:rPr>
              <w:t>Державний бюджет</w:t>
            </w:r>
          </w:p>
        </w:tc>
        <w:tc>
          <w:tcPr>
            <w:tcW w:w="1418" w:type="dxa"/>
            <w:tcBorders>
              <w:bottom w:val="single" w:sz="4" w:space="0" w:color="000000"/>
              <w:right w:val="single" w:sz="4" w:space="0" w:color="000000"/>
            </w:tcBorders>
          </w:tcPr>
          <w:p w:rsidR="00C51E0F" w:rsidRPr="00B74A55" w:rsidRDefault="00C51E0F" w:rsidP="00B12C1F">
            <w:pPr>
              <w:pBdr>
                <w:top w:val="nil"/>
                <w:left w:val="nil"/>
                <w:bottom w:val="nil"/>
                <w:right w:val="nil"/>
                <w:between w:val="nil"/>
              </w:pBdr>
              <w:jc w:val="center"/>
              <w:rPr>
                <w:b/>
                <w:color w:val="000000"/>
                <w:sz w:val="22"/>
              </w:rPr>
            </w:pPr>
            <w:r w:rsidRPr="00B74A55">
              <w:rPr>
                <w:b/>
                <w:color w:val="000000"/>
                <w:sz w:val="22"/>
              </w:rPr>
              <w:t>Місцевий бюджет</w:t>
            </w:r>
          </w:p>
        </w:tc>
        <w:tc>
          <w:tcPr>
            <w:tcW w:w="3260" w:type="dxa"/>
            <w:gridSpan w:val="4"/>
            <w:tcBorders>
              <w:left w:val="single" w:sz="4" w:space="0" w:color="000000"/>
              <w:bottom w:val="single" w:sz="4" w:space="0" w:color="000000"/>
              <w:right w:val="single" w:sz="4" w:space="0" w:color="000000"/>
            </w:tcBorders>
          </w:tcPr>
          <w:p w:rsidR="00C51E0F" w:rsidRPr="00B74A55" w:rsidRDefault="00C51E0F" w:rsidP="00B12C1F">
            <w:pPr>
              <w:pBdr>
                <w:top w:val="nil"/>
                <w:left w:val="nil"/>
                <w:bottom w:val="nil"/>
                <w:right w:val="nil"/>
                <w:between w:val="nil"/>
              </w:pBdr>
              <w:jc w:val="center"/>
              <w:rPr>
                <w:b/>
                <w:color w:val="000000"/>
                <w:sz w:val="22"/>
              </w:rPr>
            </w:pPr>
            <w:r w:rsidRPr="00B74A55">
              <w:rPr>
                <w:b/>
                <w:color w:val="000000"/>
                <w:sz w:val="22"/>
              </w:rPr>
              <w:t>Інші джерела</w:t>
            </w:r>
          </w:p>
        </w:tc>
        <w:tc>
          <w:tcPr>
            <w:tcW w:w="992" w:type="dxa"/>
            <w:tcBorders>
              <w:left w:val="single" w:sz="4" w:space="0" w:color="000000"/>
              <w:bottom w:val="single" w:sz="4" w:space="0" w:color="000000"/>
            </w:tcBorders>
          </w:tcPr>
          <w:p w:rsidR="00C51E0F" w:rsidRPr="00B74A55" w:rsidRDefault="00C51E0F" w:rsidP="00B12C1F">
            <w:pPr>
              <w:pBdr>
                <w:top w:val="nil"/>
                <w:left w:val="nil"/>
                <w:bottom w:val="nil"/>
                <w:right w:val="nil"/>
                <w:between w:val="nil"/>
              </w:pBdr>
              <w:jc w:val="center"/>
              <w:rPr>
                <w:b/>
                <w:color w:val="000000"/>
                <w:sz w:val="22"/>
              </w:rPr>
            </w:pPr>
            <w:r w:rsidRPr="00B74A55">
              <w:rPr>
                <w:b/>
                <w:color w:val="000000"/>
                <w:sz w:val="22"/>
              </w:rPr>
              <w:t>Всього</w:t>
            </w:r>
          </w:p>
        </w:tc>
      </w:tr>
      <w:tr w:rsidR="00C51E0F" w:rsidRPr="00B74A55" w:rsidTr="00F34B87">
        <w:trPr>
          <w:trHeight w:val="225"/>
        </w:trPr>
        <w:tc>
          <w:tcPr>
            <w:tcW w:w="2978" w:type="dxa"/>
            <w:vMerge/>
            <w:shd w:val="clear" w:color="auto" w:fill="C6D9F1"/>
          </w:tcPr>
          <w:p w:rsidR="00C51E0F" w:rsidRPr="00B74A55" w:rsidRDefault="00C51E0F" w:rsidP="00B12C1F">
            <w:pPr>
              <w:widowControl w:val="0"/>
              <w:pBdr>
                <w:top w:val="nil"/>
                <w:left w:val="nil"/>
                <w:bottom w:val="nil"/>
                <w:right w:val="nil"/>
                <w:between w:val="nil"/>
              </w:pBdr>
              <w:spacing w:line="276" w:lineRule="auto"/>
              <w:rPr>
                <w:b/>
                <w:color w:val="000000"/>
                <w:sz w:val="22"/>
              </w:rPr>
            </w:pPr>
          </w:p>
        </w:tc>
        <w:tc>
          <w:tcPr>
            <w:tcW w:w="1275" w:type="dxa"/>
            <w:vMerge w:val="restart"/>
            <w:tcBorders>
              <w:top w:val="single" w:sz="4" w:space="0" w:color="000000"/>
              <w:right w:val="single" w:sz="4" w:space="0" w:color="000000"/>
            </w:tcBorders>
          </w:tcPr>
          <w:p w:rsidR="00C51E0F" w:rsidRPr="00B74A55" w:rsidRDefault="00C51E0F" w:rsidP="00B12C1F">
            <w:pPr>
              <w:pBdr>
                <w:top w:val="nil"/>
                <w:left w:val="nil"/>
                <w:bottom w:val="nil"/>
                <w:right w:val="nil"/>
                <w:between w:val="nil"/>
              </w:pBdr>
              <w:jc w:val="center"/>
              <w:rPr>
                <w:color w:val="000000"/>
                <w:sz w:val="22"/>
              </w:rPr>
            </w:pPr>
            <w:r w:rsidRPr="00B74A55">
              <w:rPr>
                <w:sz w:val="22"/>
              </w:rPr>
              <w:t>4</w:t>
            </w:r>
            <w:r w:rsidRPr="00B74A55">
              <w:rPr>
                <w:color w:val="000000"/>
                <w:sz w:val="22"/>
              </w:rPr>
              <w:t>0000 ,0</w:t>
            </w:r>
          </w:p>
        </w:tc>
        <w:tc>
          <w:tcPr>
            <w:tcW w:w="1418" w:type="dxa"/>
            <w:vMerge w:val="restart"/>
            <w:tcBorders>
              <w:top w:val="single" w:sz="4" w:space="0" w:color="000000"/>
              <w:right w:val="single" w:sz="4" w:space="0" w:color="000000"/>
            </w:tcBorders>
          </w:tcPr>
          <w:p w:rsidR="00C51E0F" w:rsidRPr="00B74A55" w:rsidRDefault="00C51E0F" w:rsidP="00B12C1F">
            <w:pPr>
              <w:pBdr>
                <w:top w:val="nil"/>
                <w:left w:val="nil"/>
                <w:bottom w:val="nil"/>
                <w:right w:val="nil"/>
                <w:between w:val="nil"/>
              </w:pBdr>
              <w:jc w:val="center"/>
              <w:rPr>
                <w:b/>
                <w:color w:val="000000"/>
                <w:sz w:val="22"/>
              </w:rPr>
            </w:pPr>
            <w:r w:rsidRPr="00B74A55">
              <w:rPr>
                <w:b/>
                <w:color w:val="000000"/>
                <w:sz w:val="22"/>
              </w:rPr>
              <w:t>-</w:t>
            </w:r>
          </w:p>
        </w:tc>
        <w:tc>
          <w:tcPr>
            <w:tcW w:w="1417" w:type="dxa"/>
            <w:gridSpan w:val="2"/>
            <w:tcBorders>
              <w:top w:val="single" w:sz="4" w:space="0" w:color="000000"/>
              <w:left w:val="single" w:sz="4" w:space="0" w:color="000000"/>
              <w:bottom w:val="single" w:sz="4" w:space="0" w:color="000000"/>
              <w:right w:val="single" w:sz="4" w:space="0" w:color="000000"/>
            </w:tcBorders>
          </w:tcPr>
          <w:p w:rsidR="00C51E0F" w:rsidRPr="00B74A55" w:rsidRDefault="00C51E0F" w:rsidP="00B12C1F">
            <w:pPr>
              <w:pBdr>
                <w:top w:val="nil"/>
                <w:left w:val="nil"/>
                <w:bottom w:val="nil"/>
                <w:right w:val="nil"/>
                <w:between w:val="nil"/>
              </w:pBdr>
              <w:jc w:val="center"/>
              <w:rPr>
                <w:b/>
                <w:color w:val="000000"/>
                <w:sz w:val="22"/>
              </w:rPr>
            </w:pPr>
            <w:r w:rsidRPr="00B74A55">
              <w:rPr>
                <w:b/>
                <w:color w:val="000000"/>
                <w:sz w:val="22"/>
              </w:rPr>
              <w:t>Обсяг</w:t>
            </w:r>
          </w:p>
        </w:tc>
        <w:tc>
          <w:tcPr>
            <w:tcW w:w="1843" w:type="dxa"/>
            <w:gridSpan w:val="2"/>
            <w:tcBorders>
              <w:top w:val="single" w:sz="4" w:space="0" w:color="000000"/>
              <w:left w:val="single" w:sz="4" w:space="0" w:color="000000"/>
              <w:bottom w:val="single" w:sz="4" w:space="0" w:color="000000"/>
              <w:right w:val="single" w:sz="4" w:space="0" w:color="000000"/>
            </w:tcBorders>
          </w:tcPr>
          <w:p w:rsidR="00C51E0F" w:rsidRPr="00B74A55" w:rsidRDefault="00C51E0F" w:rsidP="00B12C1F">
            <w:pPr>
              <w:pBdr>
                <w:top w:val="nil"/>
                <w:left w:val="nil"/>
                <w:bottom w:val="nil"/>
                <w:right w:val="nil"/>
                <w:between w:val="nil"/>
              </w:pBdr>
              <w:jc w:val="center"/>
              <w:rPr>
                <w:b/>
                <w:color w:val="000000"/>
                <w:sz w:val="22"/>
              </w:rPr>
            </w:pPr>
            <w:r w:rsidRPr="00B74A55">
              <w:rPr>
                <w:b/>
                <w:color w:val="000000"/>
                <w:sz w:val="22"/>
              </w:rPr>
              <w:t>Назва джерела</w:t>
            </w:r>
          </w:p>
        </w:tc>
        <w:tc>
          <w:tcPr>
            <w:tcW w:w="992" w:type="dxa"/>
            <w:vMerge w:val="restart"/>
            <w:tcBorders>
              <w:top w:val="single" w:sz="4" w:space="0" w:color="000000"/>
              <w:left w:val="single" w:sz="4" w:space="0" w:color="000000"/>
            </w:tcBorders>
          </w:tcPr>
          <w:p w:rsidR="00C51E0F" w:rsidRPr="00B74A55" w:rsidRDefault="00C51E0F" w:rsidP="00B12C1F">
            <w:pPr>
              <w:pBdr>
                <w:top w:val="nil"/>
                <w:left w:val="nil"/>
                <w:bottom w:val="nil"/>
                <w:right w:val="nil"/>
                <w:between w:val="nil"/>
              </w:pBdr>
              <w:jc w:val="center"/>
              <w:rPr>
                <w:color w:val="000000"/>
                <w:sz w:val="22"/>
              </w:rPr>
            </w:pPr>
            <w:r w:rsidRPr="00B74A55">
              <w:rPr>
                <w:color w:val="000000"/>
                <w:sz w:val="22"/>
              </w:rPr>
              <w:t xml:space="preserve">50000,0 </w:t>
            </w:r>
          </w:p>
        </w:tc>
      </w:tr>
      <w:tr w:rsidR="00C51E0F" w:rsidRPr="00B74A55" w:rsidTr="00F34B87">
        <w:trPr>
          <w:trHeight w:val="300"/>
        </w:trPr>
        <w:tc>
          <w:tcPr>
            <w:tcW w:w="2978" w:type="dxa"/>
            <w:vMerge/>
            <w:shd w:val="clear" w:color="auto" w:fill="C6D9F1"/>
          </w:tcPr>
          <w:p w:rsidR="00C51E0F" w:rsidRPr="00B74A55" w:rsidRDefault="00C51E0F" w:rsidP="00B12C1F">
            <w:pPr>
              <w:widowControl w:val="0"/>
              <w:pBdr>
                <w:top w:val="nil"/>
                <w:left w:val="nil"/>
                <w:bottom w:val="nil"/>
                <w:right w:val="nil"/>
                <w:between w:val="nil"/>
              </w:pBdr>
              <w:spacing w:line="276" w:lineRule="auto"/>
              <w:rPr>
                <w:color w:val="000000"/>
                <w:sz w:val="22"/>
              </w:rPr>
            </w:pPr>
          </w:p>
        </w:tc>
        <w:tc>
          <w:tcPr>
            <w:tcW w:w="1275" w:type="dxa"/>
            <w:vMerge/>
            <w:tcBorders>
              <w:top w:val="single" w:sz="4" w:space="0" w:color="000000"/>
              <w:right w:val="single" w:sz="4" w:space="0" w:color="000000"/>
            </w:tcBorders>
          </w:tcPr>
          <w:p w:rsidR="00C51E0F" w:rsidRPr="00B74A55" w:rsidRDefault="00C51E0F" w:rsidP="00B12C1F">
            <w:pPr>
              <w:widowControl w:val="0"/>
              <w:pBdr>
                <w:top w:val="nil"/>
                <w:left w:val="nil"/>
                <w:bottom w:val="nil"/>
                <w:right w:val="nil"/>
                <w:between w:val="nil"/>
              </w:pBdr>
              <w:spacing w:line="276" w:lineRule="auto"/>
              <w:rPr>
                <w:color w:val="000000"/>
                <w:sz w:val="22"/>
              </w:rPr>
            </w:pPr>
          </w:p>
        </w:tc>
        <w:tc>
          <w:tcPr>
            <w:tcW w:w="1418" w:type="dxa"/>
            <w:vMerge/>
            <w:tcBorders>
              <w:top w:val="single" w:sz="4" w:space="0" w:color="000000"/>
              <w:right w:val="single" w:sz="4" w:space="0" w:color="000000"/>
            </w:tcBorders>
          </w:tcPr>
          <w:p w:rsidR="00C51E0F" w:rsidRPr="00B74A55" w:rsidRDefault="00C51E0F" w:rsidP="00B12C1F">
            <w:pPr>
              <w:widowControl w:val="0"/>
              <w:pBdr>
                <w:top w:val="nil"/>
                <w:left w:val="nil"/>
                <w:bottom w:val="nil"/>
                <w:right w:val="nil"/>
                <w:between w:val="nil"/>
              </w:pBdr>
              <w:spacing w:line="276" w:lineRule="auto"/>
              <w:rPr>
                <w:color w:val="000000"/>
                <w:sz w:val="22"/>
              </w:rPr>
            </w:pPr>
          </w:p>
        </w:tc>
        <w:tc>
          <w:tcPr>
            <w:tcW w:w="1417" w:type="dxa"/>
            <w:gridSpan w:val="2"/>
            <w:tcBorders>
              <w:top w:val="single" w:sz="4" w:space="0" w:color="000000"/>
              <w:left w:val="single" w:sz="4" w:space="0" w:color="000000"/>
              <w:right w:val="single" w:sz="4" w:space="0" w:color="000000"/>
            </w:tcBorders>
          </w:tcPr>
          <w:p w:rsidR="00C51E0F" w:rsidRPr="00B74A55" w:rsidRDefault="00C51E0F" w:rsidP="00B12C1F">
            <w:pPr>
              <w:pBdr>
                <w:top w:val="nil"/>
                <w:left w:val="nil"/>
                <w:bottom w:val="nil"/>
                <w:right w:val="nil"/>
                <w:between w:val="nil"/>
              </w:pBdr>
              <w:jc w:val="center"/>
              <w:rPr>
                <w:color w:val="000000"/>
                <w:sz w:val="22"/>
              </w:rPr>
            </w:pPr>
            <w:r w:rsidRPr="00B74A55">
              <w:rPr>
                <w:sz w:val="22"/>
              </w:rPr>
              <w:t>10000,0</w:t>
            </w:r>
          </w:p>
        </w:tc>
        <w:tc>
          <w:tcPr>
            <w:tcW w:w="1843" w:type="dxa"/>
            <w:gridSpan w:val="2"/>
            <w:tcBorders>
              <w:top w:val="single" w:sz="4" w:space="0" w:color="000000"/>
              <w:left w:val="single" w:sz="4" w:space="0" w:color="000000"/>
              <w:right w:val="single" w:sz="4" w:space="0" w:color="000000"/>
            </w:tcBorders>
          </w:tcPr>
          <w:p w:rsidR="00C51E0F" w:rsidRPr="00B74A55" w:rsidRDefault="00C51E0F" w:rsidP="00B12C1F">
            <w:pPr>
              <w:jc w:val="center"/>
              <w:rPr>
                <w:color w:val="000000"/>
                <w:sz w:val="22"/>
              </w:rPr>
            </w:pPr>
            <w:r w:rsidRPr="00B74A55">
              <w:rPr>
                <w:sz w:val="22"/>
              </w:rPr>
              <w:t>Міжнародні інвестиції</w:t>
            </w:r>
          </w:p>
        </w:tc>
        <w:tc>
          <w:tcPr>
            <w:tcW w:w="992" w:type="dxa"/>
            <w:vMerge/>
            <w:tcBorders>
              <w:top w:val="single" w:sz="4" w:space="0" w:color="000000"/>
              <w:left w:val="single" w:sz="4" w:space="0" w:color="000000"/>
            </w:tcBorders>
          </w:tcPr>
          <w:p w:rsidR="00C51E0F" w:rsidRPr="00B74A55" w:rsidRDefault="00C51E0F" w:rsidP="00B12C1F">
            <w:pPr>
              <w:widowControl w:val="0"/>
              <w:pBdr>
                <w:top w:val="nil"/>
                <w:left w:val="nil"/>
                <w:bottom w:val="nil"/>
                <w:right w:val="nil"/>
                <w:between w:val="nil"/>
              </w:pBdr>
              <w:spacing w:line="276" w:lineRule="auto"/>
              <w:rPr>
                <w:color w:val="000000"/>
                <w:sz w:val="22"/>
              </w:rPr>
            </w:pPr>
          </w:p>
        </w:tc>
      </w:tr>
    </w:tbl>
    <w:p w:rsidR="00BE7B50" w:rsidRPr="00B74A55" w:rsidRDefault="00BE7B50" w:rsidP="00E95FB1">
      <w:pPr>
        <w:rPr>
          <w:sz w:val="22"/>
        </w:rPr>
      </w:pPr>
    </w:p>
    <w:p w:rsidR="00C51E0F" w:rsidRPr="00B74A55" w:rsidRDefault="00C51E0F" w:rsidP="00E95FB1">
      <w:pPr>
        <w:rPr>
          <w:sz w:val="22"/>
        </w:rPr>
      </w:pPr>
    </w:p>
    <w:p w:rsidR="00EA656C" w:rsidRPr="00B74A55" w:rsidRDefault="00EA656C" w:rsidP="00E95FB1">
      <w:pPr>
        <w:rPr>
          <w:sz w:val="22"/>
        </w:rPr>
      </w:pPr>
    </w:p>
    <w:p w:rsidR="00C51E0F" w:rsidRPr="00B74A55" w:rsidRDefault="00C51E0F" w:rsidP="00E95FB1">
      <w:pPr>
        <w:rPr>
          <w:sz w:val="22"/>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8"/>
        <w:gridCol w:w="1275"/>
        <w:gridCol w:w="1418"/>
        <w:gridCol w:w="992"/>
        <w:gridCol w:w="284"/>
        <w:gridCol w:w="1559"/>
        <w:gridCol w:w="425"/>
        <w:gridCol w:w="992"/>
      </w:tblGrid>
      <w:tr w:rsidR="00C51E0F" w:rsidRPr="00B74A55" w:rsidTr="00F34B87">
        <w:tc>
          <w:tcPr>
            <w:tcW w:w="2978" w:type="dxa"/>
            <w:shd w:val="clear" w:color="auto" w:fill="C6D9F1"/>
          </w:tcPr>
          <w:p w:rsidR="00C51E0F" w:rsidRPr="00B74A55" w:rsidRDefault="00C51E0F" w:rsidP="00B12C1F">
            <w:pPr>
              <w:pBdr>
                <w:top w:val="nil"/>
                <w:left w:val="nil"/>
                <w:bottom w:val="nil"/>
                <w:right w:val="nil"/>
                <w:between w:val="nil"/>
              </w:pBdr>
              <w:rPr>
                <w:b/>
                <w:color w:val="000000"/>
                <w:sz w:val="22"/>
              </w:rPr>
            </w:pPr>
            <w:r w:rsidRPr="00B74A55">
              <w:rPr>
                <w:b/>
                <w:color w:val="000000"/>
                <w:sz w:val="22"/>
              </w:rPr>
              <w:lastRenderedPageBreak/>
              <w:t>Оперативна ціль/завдання</w:t>
            </w:r>
          </w:p>
        </w:tc>
        <w:tc>
          <w:tcPr>
            <w:tcW w:w="6945" w:type="dxa"/>
            <w:gridSpan w:val="7"/>
            <w:shd w:val="clear" w:color="auto" w:fill="auto"/>
          </w:tcPr>
          <w:p w:rsidR="00C51E0F" w:rsidRPr="00B74A55" w:rsidRDefault="00C51E0F" w:rsidP="00B12C1F">
            <w:pPr>
              <w:pBdr>
                <w:top w:val="nil"/>
                <w:left w:val="nil"/>
                <w:bottom w:val="nil"/>
                <w:right w:val="nil"/>
                <w:between w:val="nil"/>
              </w:pBdr>
              <w:rPr>
                <w:color w:val="000000"/>
                <w:sz w:val="22"/>
              </w:rPr>
            </w:pPr>
            <w:r w:rsidRPr="00B74A55">
              <w:rPr>
                <w:color w:val="000000"/>
                <w:sz w:val="22"/>
              </w:rPr>
              <w:t xml:space="preserve">Людський розвиток через інновації управління та довіру до </w:t>
            </w:r>
            <w:proofErr w:type="spellStart"/>
            <w:r w:rsidRPr="00B74A55">
              <w:rPr>
                <w:color w:val="000000"/>
                <w:sz w:val="22"/>
              </w:rPr>
              <w:t>влади.Формування</w:t>
            </w:r>
            <w:proofErr w:type="spellEnd"/>
            <w:r w:rsidRPr="00B74A55">
              <w:rPr>
                <w:color w:val="000000"/>
                <w:sz w:val="22"/>
              </w:rPr>
              <w:t xml:space="preserve"> сучасного інклюзивного </w:t>
            </w:r>
            <w:proofErr w:type="spellStart"/>
            <w:r w:rsidRPr="00B74A55">
              <w:rPr>
                <w:color w:val="000000"/>
                <w:sz w:val="22"/>
              </w:rPr>
              <w:t>освітньо</w:t>
            </w:r>
            <w:proofErr w:type="spellEnd"/>
            <w:r w:rsidRPr="00B74A55">
              <w:rPr>
                <w:color w:val="000000"/>
                <w:sz w:val="22"/>
              </w:rPr>
              <w:t>-культурного та спортивного простору для розвитку.</w:t>
            </w:r>
          </w:p>
        </w:tc>
      </w:tr>
      <w:tr w:rsidR="00C51E0F" w:rsidRPr="00B74A55" w:rsidTr="00F34B87">
        <w:tc>
          <w:tcPr>
            <w:tcW w:w="2978" w:type="dxa"/>
            <w:shd w:val="clear" w:color="auto" w:fill="C6D9F1"/>
          </w:tcPr>
          <w:p w:rsidR="00C51E0F" w:rsidRPr="00B74A55" w:rsidRDefault="00C51E0F" w:rsidP="00B12C1F">
            <w:pPr>
              <w:pBdr>
                <w:top w:val="nil"/>
                <w:left w:val="nil"/>
                <w:bottom w:val="nil"/>
                <w:right w:val="nil"/>
                <w:between w:val="nil"/>
              </w:pBdr>
              <w:rPr>
                <w:b/>
                <w:color w:val="000000"/>
                <w:sz w:val="22"/>
              </w:rPr>
            </w:pPr>
            <w:r w:rsidRPr="00B74A55">
              <w:rPr>
                <w:b/>
                <w:color w:val="000000"/>
                <w:sz w:val="22"/>
              </w:rPr>
              <w:t>Назва проекту:</w:t>
            </w:r>
          </w:p>
        </w:tc>
        <w:tc>
          <w:tcPr>
            <w:tcW w:w="6945" w:type="dxa"/>
            <w:gridSpan w:val="7"/>
          </w:tcPr>
          <w:p w:rsidR="00C51E0F" w:rsidRPr="00B74A55" w:rsidRDefault="00C51E0F" w:rsidP="00B12C1F">
            <w:pPr>
              <w:pBdr>
                <w:top w:val="nil"/>
                <w:left w:val="nil"/>
                <w:bottom w:val="nil"/>
                <w:right w:val="nil"/>
                <w:between w:val="nil"/>
              </w:pBdr>
              <w:rPr>
                <w:sz w:val="22"/>
              </w:rPr>
            </w:pPr>
            <w:r w:rsidRPr="00B74A55">
              <w:rPr>
                <w:sz w:val="22"/>
              </w:rPr>
              <w:t>Реконструкція</w:t>
            </w:r>
            <w:r w:rsidRPr="00B74A55">
              <w:rPr>
                <w:color w:val="000000"/>
                <w:sz w:val="22"/>
              </w:rPr>
              <w:t xml:space="preserve"> </w:t>
            </w:r>
            <w:r w:rsidRPr="00B74A55">
              <w:rPr>
                <w:sz w:val="22"/>
              </w:rPr>
              <w:t xml:space="preserve"> </w:t>
            </w:r>
            <w:r w:rsidRPr="00B74A55">
              <w:rPr>
                <w:color w:val="000000"/>
                <w:sz w:val="22"/>
              </w:rPr>
              <w:t xml:space="preserve">стадіону комунального закладу </w:t>
            </w:r>
            <w:r w:rsidRPr="00B74A55">
              <w:rPr>
                <w:sz w:val="22"/>
              </w:rPr>
              <w:t xml:space="preserve"> Гімназії № 7 міста Сєвєродонецька</w:t>
            </w:r>
            <w:r w:rsidRPr="00B74A55">
              <w:rPr>
                <w:color w:val="FF0000"/>
                <w:sz w:val="22"/>
              </w:rPr>
              <w:t xml:space="preserve"> </w:t>
            </w:r>
            <w:r w:rsidRPr="00B74A55">
              <w:rPr>
                <w:sz w:val="22"/>
              </w:rPr>
              <w:t xml:space="preserve">Луганської області, розташованої за </w:t>
            </w:r>
            <w:proofErr w:type="spellStart"/>
            <w:r w:rsidRPr="00B74A55">
              <w:rPr>
                <w:sz w:val="22"/>
              </w:rPr>
              <w:t>адресою</w:t>
            </w:r>
            <w:proofErr w:type="spellEnd"/>
            <w:r w:rsidRPr="00B74A55">
              <w:rPr>
                <w:sz w:val="22"/>
              </w:rPr>
              <w:t>: Луганська область, Сєвєродонецький район, смт Сиротине, вулиця Шкільна, буд.32.</w:t>
            </w:r>
          </w:p>
        </w:tc>
      </w:tr>
      <w:tr w:rsidR="00C51E0F" w:rsidRPr="00B74A55" w:rsidTr="00F34B87">
        <w:tc>
          <w:tcPr>
            <w:tcW w:w="2978" w:type="dxa"/>
            <w:shd w:val="clear" w:color="auto" w:fill="C6D9F1"/>
          </w:tcPr>
          <w:p w:rsidR="00C51E0F" w:rsidRPr="00B74A55" w:rsidRDefault="00C51E0F" w:rsidP="00B12C1F">
            <w:pPr>
              <w:rPr>
                <w:b/>
                <w:sz w:val="22"/>
              </w:rPr>
            </w:pPr>
            <w:r w:rsidRPr="00B74A55">
              <w:rPr>
                <w:b/>
                <w:sz w:val="22"/>
              </w:rPr>
              <w:t>Ціль проекту</w:t>
            </w:r>
          </w:p>
        </w:tc>
        <w:tc>
          <w:tcPr>
            <w:tcW w:w="6945" w:type="dxa"/>
            <w:gridSpan w:val="7"/>
          </w:tcPr>
          <w:p w:rsidR="00C51E0F" w:rsidRPr="00B74A55" w:rsidRDefault="00C51E0F" w:rsidP="00E46F61">
            <w:pPr>
              <w:pBdr>
                <w:top w:val="nil"/>
                <w:left w:val="nil"/>
                <w:bottom w:val="nil"/>
                <w:right w:val="nil"/>
                <w:between w:val="nil"/>
              </w:pBdr>
              <w:rPr>
                <w:color w:val="000000"/>
                <w:sz w:val="22"/>
              </w:rPr>
            </w:pPr>
            <w:r w:rsidRPr="00B74A55">
              <w:rPr>
                <w:color w:val="000000"/>
                <w:sz w:val="22"/>
              </w:rPr>
              <w:t xml:space="preserve">Відновити та покращити роботу Гімназія № </w:t>
            </w:r>
            <w:r w:rsidRPr="00B74A55">
              <w:rPr>
                <w:sz w:val="22"/>
              </w:rPr>
              <w:t>7</w:t>
            </w:r>
            <w:r w:rsidRPr="00B74A55">
              <w:rPr>
                <w:color w:val="000000"/>
                <w:sz w:val="22"/>
              </w:rPr>
              <w:t xml:space="preserve"> для надання широкого спектру послуг, пов’язаних із освітньою діяльністю та задоволення потреб мешканців Сєвєродонецької міської територіальної громади у необхідних послугах. </w:t>
            </w:r>
            <w:r w:rsidRPr="00B74A55">
              <w:rPr>
                <w:sz w:val="22"/>
              </w:rPr>
              <w:t xml:space="preserve">Реалізація </w:t>
            </w:r>
            <w:proofErr w:type="spellStart"/>
            <w:r w:rsidRPr="00B74A55">
              <w:rPr>
                <w:sz w:val="22"/>
              </w:rPr>
              <w:t>п</w:t>
            </w:r>
            <w:r w:rsidRPr="00B74A55">
              <w:rPr>
                <w:color w:val="000000"/>
                <w:sz w:val="22"/>
              </w:rPr>
              <w:t>ро</w:t>
            </w:r>
            <w:r w:rsidR="00E46F61" w:rsidRPr="00B74A55">
              <w:rPr>
                <w:color w:val="000000"/>
                <w:sz w:val="22"/>
              </w:rPr>
              <w:t>є</w:t>
            </w:r>
            <w:r w:rsidRPr="00B74A55">
              <w:rPr>
                <w:color w:val="000000"/>
                <w:sz w:val="22"/>
              </w:rPr>
              <w:t>кту</w:t>
            </w:r>
            <w:proofErr w:type="spellEnd"/>
            <w:r w:rsidRPr="00B74A55">
              <w:rPr>
                <w:color w:val="000000"/>
                <w:sz w:val="22"/>
              </w:rPr>
              <w:t xml:space="preserve"> </w:t>
            </w:r>
            <w:r w:rsidRPr="00B74A55">
              <w:rPr>
                <w:sz w:val="22"/>
              </w:rPr>
              <w:t>д</w:t>
            </w:r>
            <w:r w:rsidRPr="00B74A55">
              <w:rPr>
                <w:color w:val="000000"/>
                <w:sz w:val="22"/>
              </w:rPr>
              <w:t>асть можливість  підвищ</w:t>
            </w:r>
            <w:r w:rsidRPr="00B74A55">
              <w:rPr>
                <w:sz w:val="22"/>
              </w:rPr>
              <w:t>ити</w:t>
            </w:r>
            <w:r w:rsidRPr="00B74A55">
              <w:rPr>
                <w:color w:val="000000"/>
                <w:sz w:val="22"/>
              </w:rPr>
              <w:t xml:space="preserve"> </w:t>
            </w:r>
            <w:r w:rsidRPr="00B74A55">
              <w:rPr>
                <w:sz w:val="22"/>
              </w:rPr>
              <w:t>рівень</w:t>
            </w:r>
            <w:r w:rsidRPr="00B74A55">
              <w:rPr>
                <w:color w:val="000000"/>
                <w:sz w:val="22"/>
              </w:rPr>
              <w:t xml:space="preserve"> охоплення </w:t>
            </w:r>
            <w:r w:rsidRPr="00B74A55">
              <w:rPr>
                <w:sz w:val="22"/>
              </w:rPr>
              <w:t>мешканців</w:t>
            </w:r>
            <w:r w:rsidRPr="00B74A55">
              <w:rPr>
                <w:color w:val="000000"/>
                <w:sz w:val="22"/>
              </w:rPr>
              <w:t xml:space="preserve"> громади заняттям фізичною культурою та спортом, популяризації здорового способу життя та фізичної та психологічної реабілітації (особливо ветеранам, людям з інвалідністю), максимальної реалізації здібностей обдарованої молоді.</w:t>
            </w:r>
          </w:p>
        </w:tc>
      </w:tr>
      <w:tr w:rsidR="00C51E0F" w:rsidRPr="00B74A55" w:rsidTr="00F34B87">
        <w:tc>
          <w:tcPr>
            <w:tcW w:w="2978" w:type="dxa"/>
            <w:shd w:val="clear" w:color="auto" w:fill="C6D9F1"/>
          </w:tcPr>
          <w:p w:rsidR="00C51E0F" w:rsidRPr="00B74A55" w:rsidRDefault="00C51E0F" w:rsidP="00B12C1F">
            <w:pPr>
              <w:pBdr>
                <w:top w:val="nil"/>
                <w:left w:val="nil"/>
                <w:bottom w:val="nil"/>
                <w:right w:val="nil"/>
                <w:between w:val="nil"/>
              </w:pBdr>
              <w:rPr>
                <w:b/>
                <w:color w:val="000000"/>
                <w:sz w:val="22"/>
              </w:rPr>
            </w:pPr>
            <w:r w:rsidRPr="00B74A55">
              <w:rPr>
                <w:b/>
                <w:color w:val="000000"/>
                <w:sz w:val="22"/>
              </w:rPr>
              <w:t>Територія, на яку матиме вплив реалізація проекту</w:t>
            </w:r>
          </w:p>
        </w:tc>
        <w:tc>
          <w:tcPr>
            <w:tcW w:w="6945" w:type="dxa"/>
            <w:gridSpan w:val="7"/>
          </w:tcPr>
          <w:p w:rsidR="00C51E0F" w:rsidRPr="00B74A55" w:rsidRDefault="00C51E0F" w:rsidP="00B12C1F">
            <w:pPr>
              <w:pBdr>
                <w:top w:val="nil"/>
                <w:left w:val="nil"/>
                <w:bottom w:val="nil"/>
                <w:right w:val="nil"/>
                <w:between w:val="nil"/>
              </w:pBdr>
              <w:rPr>
                <w:color w:val="000000"/>
                <w:sz w:val="22"/>
              </w:rPr>
            </w:pPr>
            <w:r w:rsidRPr="00B74A55">
              <w:rPr>
                <w:color w:val="000000"/>
                <w:sz w:val="22"/>
              </w:rPr>
              <w:t>Сєвєродонецька міська територіальна громада</w:t>
            </w:r>
          </w:p>
        </w:tc>
      </w:tr>
      <w:tr w:rsidR="00C51E0F" w:rsidRPr="00B74A55" w:rsidTr="00F34B87">
        <w:tc>
          <w:tcPr>
            <w:tcW w:w="2978" w:type="dxa"/>
            <w:shd w:val="clear" w:color="auto" w:fill="C6D9F1"/>
          </w:tcPr>
          <w:p w:rsidR="00C51E0F" w:rsidRPr="00B74A55" w:rsidRDefault="00C51E0F" w:rsidP="00B12C1F">
            <w:pPr>
              <w:pBdr>
                <w:top w:val="nil"/>
                <w:left w:val="nil"/>
                <w:bottom w:val="nil"/>
                <w:right w:val="nil"/>
                <w:between w:val="nil"/>
              </w:pBdr>
              <w:rPr>
                <w:b/>
                <w:color w:val="000000"/>
                <w:sz w:val="22"/>
              </w:rPr>
            </w:pPr>
            <w:r w:rsidRPr="00B74A55">
              <w:rPr>
                <w:b/>
                <w:color w:val="000000"/>
                <w:sz w:val="22"/>
              </w:rPr>
              <w:t>Чисельність населення, на яке матиме вплив реалізація проекту</w:t>
            </w:r>
          </w:p>
        </w:tc>
        <w:tc>
          <w:tcPr>
            <w:tcW w:w="6945" w:type="dxa"/>
            <w:gridSpan w:val="7"/>
          </w:tcPr>
          <w:p w:rsidR="00C51E0F" w:rsidRPr="00B74A55" w:rsidRDefault="00C51E0F" w:rsidP="00B12C1F">
            <w:pPr>
              <w:pBdr>
                <w:top w:val="nil"/>
                <w:left w:val="nil"/>
                <w:bottom w:val="nil"/>
                <w:right w:val="nil"/>
                <w:between w:val="nil"/>
              </w:pBdr>
              <w:rPr>
                <w:color w:val="000000"/>
                <w:sz w:val="22"/>
              </w:rPr>
            </w:pPr>
            <w:r w:rsidRPr="00B74A55">
              <w:rPr>
                <w:color w:val="000000"/>
                <w:sz w:val="22"/>
              </w:rPr>
              <w:t>70 000 осіб</w:t>
            </w:r>
          </w:p>
        </w:tc>
      </w:tr>
      <w:tr w:rsidR="00C51E0F" w:rsidRPr="00B74A55" w:rsidTr="00F34B87">
        <w:tc>
          <w:tcPr>
            <w:tcW w:w="2978" w:type="dxa"/>
            <w:shd w:val="clear" w:color="auto" w:fill="C6D9F1"/>
          </w:tcPr>
          <w:p w:rsidR="00C51E0F" w:rsidRPr="00B74A55" w:rsidRDefault="00C51E0F" w:rsidP="00B12C1F">
            <w:pPr>
              <w:rPr>
                <w:b/>
                <w:sz w:val="22"/>
              </w:rPr>
            </w:pPr>
            <w:r w:rsidRPr="00B74A55">
              <w:rPr>
                <w:b/>
                <w:sz w:val="22"/>
              </w:rPr>
              <w:t>Опис проблеми, на вирішення якої  спрямований проект</w:t>
            </w:r>
          </w:p>
        </w:tc>
        <w:tc>
          <w:tcPr>
            <w:tcW w:w="6945" w:type="dxa"/>
            <w:gridSpan w:val="7"/>
          </w:tcPr>
          <w:p w:rsidR="00C51E0F" w:rsidRPr="00B74A55" w:rsidRDefault="00C51E0F" w:rsidP="00B12C1F">
            <w:pPr>
              <w:rPr>
                <w:sz w:val="22"/>
              </w:rPr>
            </w:pPr>
            <w:r w:rsidRPr="00B74A55">
              <w:rPr>
                <w:sz w:val="22"/>
              </w:rPr>
              <w:t>Через військову агресію РФ територія Сєвєродонецької міської територіальної громади зазнала значних пошкоджень. Не оминуло це і Гімназію № 7.</w:t>
            </w:r>
          </w:p>
          <w:p w:rsidR="00C51E0F" w:rsidRPr="00B74A55" w:rsidRDefault="00C51E0F" w:rsidP="00B12C1F">
            <w:pPr>
              <w:rPr>
                <w:sz w:val="22"/>
              </w:rPr>
            </w:pPr>
            <w:r w:rsidRPr="00B74A55">
              <w:rPr>
                <w:sz w:val="22"/>
              </w:rPr>
              <w:t>Вся матеріально-технічна база  стадіону закладу, зокрема  обладнання (устаткування): покриття футбольного поля, волейбольної і баскетбольної площадки, футбольні ворота, спортивні тренажери, бігові доріжки, стрибкова яма - були знищені.</w:t>
            </w:r>
          </w:p>
          <w:p w:rsidR="00C51E0F" w:rsidRPr="00B74A55" w:rsidRDefault="00C51E0F" w:rsidP="00B12C1F">
            <w:pPr>
              <w:pBdr>
                <w:top w:val="nil"/>
                <w:left w:val="nil"/>
                <w:bottom w:val="nil"/>
                <w:right w:val="nil"/>
                <w:between w:val="nil"/>
              </w:pBdr>
              <w:rPr>
                <w:sz w:val="22"/>
              </w:rPr>
            </w:pPr>
            <w:r w:rsidRPr="00B74A55">
              <w:rPr>
                <w:color w:val="000000"/>
                <w:sz w:val="22"/>
              </w:rPr>
              <w:t>Для відбудови та сталого розвитку громади потрібне відновлення роботи с</w:t>
            </w:r>
            <w:r w:rsidRPr="00B74A55">
              <w:rPr>
                <w:sz w:val="22"/>
              </w:rPr>
              <w:t xml:space="preserve">тадіону </w:t>
            </w:r>
            <w:r w:rsidRPr="00B74A55">
              <w:rPr>
                <w:color w:val="000000"/>
                <w:sz w:val="22"/>
              </w:rPr>
              <w:t xml:space="preserve">комунального закладу Гімназії № </w:t>
            </w:r>
            <w:r w:rsidRPr="00B74A55">
              <w:rPr>
                <w:color w:val="212529"/>
                <w:sz w:val="22"/>
                <w:highlight w:val="white"/>
              </w:rPr>
              <w:t>Заклад освіти повинен стати комфортним та безпечним середовищем для всіх учасників освітнього процесу та мешканців громади.</w:t>
            </w:r>
          </w:p>
        </w:tc>
      </w:tr>
      <w:tr w:rsidR="00C51E0F" w:rsidRPr="00B74A55" w:rsidTr="00F34B87">
        <w:tc>
          <w:tcPr>
            <w:tcW w:w="2978" w:type="dxa"/>
            <w:shd w:val="clear" w:color="auto" w:fill="C6D9F1"/>
          </w:tcPr>
          <w:p w:rsidR="00C51E0F" w:rsidRPr="00B74A55" w:rsidRDefault="00C51E0F" w:rsidP="00B12C1F">
            <w:pPr>
              <w:pBdr>
                <w:top w:val="nil"/>
                <w:left w:val="nil"/>
                <w:bottom w:val="nil"/>
                <w:right w:val="nil"/>
                <w:between w:val="nil"/>
              </w:pBdr>
              <w:rPr>
                <w:b/>
                <w:color w:val="000000"/>
                <w:sz w:val="22"/>
              </w:rPr>
            </w:pPr>
            <w:r w:rsidRPr="00B74A55">
              <w:rPr>
                <w:b/>
                <w:color w:val="000000"/>
                <w:sz w:val="22"/>
              </w:rPr>
              <w:t>Очікувані якісні результати від реалізації проекту</w:t>
            </w:r>
          </w:p>
        </w:tc>
        <w:tc>
          <w:tcPr>
            <w:tcW w:w="6945" w:type="dxa"/>
            <w:gridSpan w:val="7"/>
          </w:tcPr>
          <w:p w:rsidR="00C51E0F" w:rsidRPr="00B74A55" w:rsidRDefault="00C51E0F" w:rsidP="00B12C1F">
            <w:pPr>
              <w:pBdr>
                <w:top w:val="nil"/>
                <w:left w:val="nil"/>
                <w:bottom w:val="nil"/>
                <w:right w:val="nil"/>
                <w:between w:val="nil"/>
              </w:pBdr>
              <w:rPr>
                <w:color w:val="000000"/>
                <w:sz w:val="22"/>
              </w:rPr>
            </w:pPr>
            <w:r w:rsidRPr="00B74A55">
              <w:rPr>
                <w:color w:val="000000"/>
                <w:sz w:val="22"/>
              </w:rPr>
              <w:t>- забезпечення населення можливостями для реалізації його конституційних прав, пов’язаних із правом громадян на освіту;</w:t>
            </w:r>
          </w:p>
          <w:p w:rsidR="00C51E0F" w:rsidRPr="00B74A55" w:rsidRDefault="00C51E0F" w:rsidP="00B12C1F">
            <w:pPr>
              <w:pBdr>
                <w:top w:val="nil"/>
                <w:left w:val="nil"/>
                <w:bottom w:val="nil"/>
                <w:right w:val="nil"/>
                <w:between w:val="nil"/>
              </w:pBdr>
              <w:rPr>
                <w:color w:val="000000"/>
                <w:sz w:val="22"/>
              </w:rPr>
            </w:pPr>
            <w:r w:rsidRPr="00B74A55">
              <w:rPr>
                <w:color w:val="000000"/>
                <w:sz w:val="22"/>
              </w:rPr>
              <w:t>- надання широкого спектру послуг</w:t>
            </w:r>
            <w:r w:rsidR="000A5714" w:rsidRPr="00B74A55">
              <w:rPr>
                <w:color w:val="000000"/>
                <w:sz w:val="22"/>
              </w:rPr>
              <w:t>,</w:t>
            </w:r>
            <w:r w:rsidRPr="00B74A55">
              <w:rPr>
                <w:color w:val="000000"/>
                <w:sz w:val="22"/>
              </w:rPr>
              <w:t xml:space="preserve"> пов’язаних із освітньою діяльністю;</w:t>
            </w:r>
          </w:p>
          <w:p w:rsidR="00C51E0F" w:rsidRPr="00B74A55" w:rsidRDefault="00C51E0F" w:rsidP="00B12C1F">
            <w:pPr>
              <w:pBdr>
                <w:top w:val="nil"/>
                <w:left w:val="nil"/>
                <w:bottom w:val="nil"/>
                <w:right w:val="nil"/>
                <w:between w:val="nil"/>
              </w:pBdr>
              <w:rPr>
                <w:color w:val="000000"/>
                <w:sz w:val="22"/>
              </w:rPr>
            </w:pPr>
            <w:r w:rsidRPr="00B74A55">
              <w:rPr>
                <w:color w:val="000000"/>
                <w:sz w:val="22"/>
              </w:rPr>
              <w:t>- вирішення ряду питань у межах статутної діяльності, пов’язаних із відбудовою та сталим розвитком громади;</w:t>
            </w:r>
          </w:p>
          <w:p w:rsidR="00C51E0F" w:rsidRPr="00B74A55" w:rsidRDefault="00C51E0F" w:rsidP="00B12C1F">
            <w:pPr>
              <w:pBdr>
                <w:top w:val="nil"/>
                <w:left w:val="nil"/>
                <w:bottom w:val="nil"/>
                <w:right w:val="nil"/>
                <w:between w:val="nil"/>
              </w:pBdr>
              <w:rPr>
                <w:color w:val="000000"/>
                <w:sz w:val="22"/>
              </w:rPr>
            </w:pPr>
            <w:r w:rsidRPr="00B74A55">
              <w:rPr>
                <w:color w:val="000000"/>
                <w:sz w:val="22"/>
              </w:rPr>
              <w:t>- створення нових робочих місць;</w:t>
            </w:r>
          </w:p>
          <w:p w:rsidR="00C51E0F" w:rsidRPr="00B74A55" w:rsidRDefault="00C51E0F" w:rsidP="00B12C1F">
            <w:pPr>
              <w:pBdr>
                <w:top w:val="nil"/>
                <w:left w:val="nil"/>
                <w:bottom w:val="nil"/>
                <w:right w:val="nil"/>
                <w:between w:val="nil"/>
              </w:pBdr>
              <w:rPr>
                <w:color w:val="000000"/>
                <w:sz w:val="22"/>
              </w:rPr>
            </w:pPr>
            <w:r w:rsidRPr="00B74A55">
              <w:rPr>
                <w:color w:val="000000"/>
                <w:sz w:val="22"/>
              </w:rPr>
              <w:t>- стимул до повернення ВПО до громади.</w:t>
            </w:r>
          </w:p>
        </w:tc>
      </w:tr>
      <w:tr w:rsidR="00C51E0F" w:rsidRPr="00B74A55" w:rsidTr="00F34B87">
        <w:trPr>
          <w:trHeight w:val="390"/>
        </w:trPr>
        <w:tc>
          <w:tcPr>
            <w:tcW w:w="2978" w:type="dxa"/>
            <w:vMerge w:val="restart"/>
            <w:shd w:val="clear" w:color="auto" w:fill="C6D9F1"/>
          </w:tcPr>
          <w:p w:rsidR="00C51E0F" w:rsidRPr="00B74A55" w:rsidRDefault="00C51E0F" w:rsidP="00B12C1F">
            <w:pPr>
              <w:pBdr>
                <w:top w:val="nil"/>
                <w:left w:val="nil"/>
                <w:bottom w:val="nil"/>
                <w:right w:val="nil"/>
                <w:between w:val="nil"/>
              </w:pBdr>
              <w:rPr>
                <w:b/>
                <w:color w:val="000000"/>
                <w:sz w:val="22"/>
              </w:rPr>
            </w:pPr>
            <w:r w:rsidRPr="00B74A55">
              <w:rPr>
                <w:b/>
                <w:color w:val="000000"/>
                <w:sz w:val="22"/>
              </w:rPr>
              <w:t xml:space="preserve">Очікувані кількісні результати реалізації </w:t>
            </w:r>
            <w:proofErr w:type="spellStart"/>
            <w:r w:rsidRPr="00B74A55">
              <w:rPr>
                <w:b/>
                <w:color w:val="000000"/>
                <w:sz w:val="22"/>
              </w:rPr>
              <w:t>проєкту</w:t>
            </w:r>
            <w:proofErr w:type="spellEnd"/>
            <w:r w:rsidRPr="00B74A55">
              <w:rPr>
                <w:b/>
                <w:color w:val="000000"/>
                <w:sz w:val="22"/>
              </w:rPr>
              <w:t xml:space="preserve"> (індикатори)</w:t>
            </w:r>
          </w:p>
          <w:p w:rsidR="00C51E0F" w:rsidRPr="00B74A55" w:rsidRDefault="00C51E0F" w:rsidP="00B12C1F">
            <w:pPr>
              <w:pBdr>
                <w:top w:val="nil"/>
                <w:left w:val="nil"/>
                <w:bottom w:val="nil"/>
                <w:right w:val="nil"/>
                <w:between w:val="nil"/>
              </w:pBdr>
              <w:rPr>
                <w:b/>
                <w:color w:val="000000"/>
                <w:sz w:val="22"/>
              </w:rPr>
            </w:pPr>
          </w:p>
        </w:tc>
        <w:tc>
          <w:tcPr>
            <w:tcW w:w="3685" w:type="dxa"/>
            <w:gridSpan w:val="3"/>
            <w:tcBorders>
              <w:bottom w:val="single" w:sz="4" w:space="0" w:color="000000"/>
              <w:right w:val="single" w:sz="4" w:space="0" w:color="000000"/>
            </w:tcBorders>
          </w:tcPr>
          <w:p w:rsidR="00C51E0F" w:rsidRPr="00B74A55" w:rsidRDefault="00C51E0F" w:rsidP="00B12C1F">
            <w:pPr>
              <w:pBdr>
                <w:top w:val="nil"/>
                <w:left w:val="nil"/>
                <w:bottom w:val="nil"/>
                <w:right w:val="nil"/>
                <w:between w:val="nil"/>
              </w:pBdr>
              <w:ind w:left="-108"/>
              <w:jc w:val="center"/>
              <w:rPr>
                <w:b/>
                <w:color w:val="000000"/>
                <w:sz w:val="22"/>
              </w:rPr>
            </w:pPr>
            <w:r w:rsidRPr="00B74A55">
              <w:rPr>
                <w:b/>
                <w:color w:val="000000"/>
                <w:sz w:val="22"/>
              </w:rPr>
              <w:t>Найменування показника</w:t>
            </w:r>
          </w:p>
        </w:tc>
        <w:tc>
          <w:tcPr>
            <w:tcW w:w="1843" w:type="dxa"/>
            <w:gridSpan w:val="2"/>
            <w:tcBorders>
              <w:left w:val="single" w:sz="4" w:space="0" w:color="000000"/>
              <w:bottom w:val="single" w:sz="4" w:space="0" w:color="000000"/>
              <w:right w:val="single" w:sz="4" w:space="0" w:color="000000"/>
            </w:tcBorders>
          </w:tcPr>
          <w:p w:rsidR="00C51E0F" w:rsidRPr="00B74A55" w:rsidRDefault="00C51E0F" w:rsidP="00B12C1F">
            <w:pPr>
              <w:pBdr>
                <w:top w:val="nil"/>
                <w:left w:val="nil"/>
                <w:bottom w:val="nil"/>
                <w:right w:val="nil"/>
                <w:between w:val="nil"/>
              </w:pBdr>
              <w:jc w:val="center"/>
              <w:rPr>
                <w:b/>
                <w:color w:val="000000"/>
                <w:sz w:val="22"/>
              </w:rPr>
            </w:pPr>
            <w:r w:rsidRPr="00B74A55">
              <w:rPr>
                <w:b/>
                <w:color w:val="000000"/>
                <w:sz w:val="22"/>
              </w:rPr>
              <w:t>Одиниця вимірювання</w:t>
            </w:r>
          </w:p>
        </w:tc>
        <w:tc>
          <w:tcPr>
            <w:tcW w:w="1417" w:type="dxa"/>
            <w:gridSpan w:val="2"/>
            <w:tcBorders>
              <w:left w:val="single" w:sz="4" w:space="0" w:color="000000"/>
              <w:bottom w:val="single" w:sz="4" w:space="0" w:color="000000"/>
            </w:tcBorders>
          </w:tcPr>
          <w:p w:rsidR="00C51E0F" w:rsidRPr="00B74A55" w:rsidRDefault="00C51E0F" w:rsidP="00B12C1F">
            <w:pPr>
              <w:pBdr>
                <w:top w:val="nil"/>
                <w:left w:val="nil"/>
                <w:bottom w:val="nil"/>
                <w:right w:val="nil"/>
                <w:between w:val="nil"/>
              </w:pBdr>
              <w:jc w:val="center"/>
              <w:rPr>
                <w:b/>
                <w:color w:val="000000"/>
                <w:sz w:val="22"/>
              </w:rPr>
            </w:pPr>
            <w:r w:rsidRPr="00B74A55">
              <w:rPr>
                <w:b/>
                <w:color w:val="000000"/>
                <w:sz w:val="22"/>
              </w:rPr>
              <w:t>Прогнозне (цільове) значення</w:t>
            </w:r>
          </w:p>
        </w:tc>
      </w:tr>
      <w:tr w:rsidR="00C51E0F" w:rsidRPr="00B74A55" w:rsidTr="00F34B87">
        <w:trPr>
          <w:trHeight w:val="585"/>
        </w:trPr>
        <w:tc>
          <w:tcPr>
            <w:tcW w:w="2978" w:type="dxa"/>
            <w:vMerge/>
            <w:shd w:val="clear" w:color="auto" w:fill="C6D9F1"/>
          </w:tcPr>
          <w:p w:rsidR="00C51E0F" w:rsidRPr="00B74A55" w:rsidRDefault="00C51E0F" w:rsidP="00B12C1F">
            <w:pPr>
              <w:widowControl w:val="0"/>
              <w:pBdr>
                <w:top w:val="nil"/>
                <w:left w:val="nil"/>
                <w:bottom w:val="nil"/>
                <w:right w:val="nil"/>
                <w:between w:val="nil"/>
              </w:pBdr>
              <w:spacing w:line="276" w:lineRule="auto"/>
              <w:rPr>
                <w:b/>
                <w:color w:val="000000"/>
                <w:sz w:val="22"/>
              </w:rPr>
            </w:pPr>
          </w:p>
        </w:tc>
        <w:tc>
          <w:tcPr>
            <w:tcW w:w="3685" w:type="dxa"/>
            <w:gridSpan w:val="3"/>
            <w:tcBorders>
              <w:top w:val="single" w:sz="4" w:space="0" w:color="000000"/>
              <w:bottom w:val="single" w:sz="4" w:space="0" w:color="000000"/>
              <w:right w:val="single" w:sz="4" w:space="0" w:color="000000"/>
            </w:tcBorders>
          </w:tcPr>
          <w:p w:rsidR="00C51E0F" w:rsidRPr="00B74A55" w:rsidRDefault="00C51E0F" w:rsidP="000A5714">
            <w:pPr>
              <w:pBdr>
                <w:top w:val="nil"/>
                <w:left w:val="nil"/>
                <w:bottom w:val="nil"/>
                <w:right w:val="nil"/>
                <w:between w:val="nil"/>
              </w:pBdr>
              <w:rPr>
                <w:color w:val="000000"/>
                <w:sz w:val="22"/>
              </w:rPr>
            </w:pPr>
            <w:r w:rsidRPr="00B74A55">
              <w:rPr>
                <w:color w:val="000000"/>
                <w:sz w:val="22"/>
              </w:rPr>
              <w:t>Кількість фізичних осіб, які звернулись за послугами протягом року</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C51E0F" w:rsidRPr="00B74A55" w:rsidRDefault="00C51E0F" w:rsidP="00B12C1F">
            <w:pPr>
              <w:pBdr>
                <w:top w:val="nil"/>
                <w:left w:val="nil"/>
                <w:bottom w:val="nil"/>
                <w:right w:val="nil"/>
                <w:between w:val="nil"/>
              </w:pBdr>
              <w:jc w:val="center"/>
              <w:rPr>
                <w:color w:val="000000"/>
                <w:sz w:val="22"/>
              </w:rPr>
            </w:pPr>
            <w:r w:rsidRPr="00B74A55">
              <w:rPr>
                <w:color w:val="000000"/>
                <w:sz w:val="22"/>
              </w:rPr>
              <w:t>осіб</w:t>
            </w:r>
          </w:p>
        </w:tc>
        <w:tc>
          <w:tcPr>
            <w:tcW w:w="1417" w:type="dxa"/>
            <w:gridSpan w:val="2"/>
            <w:tcBorders>
              <w:top w:val="single" w:sz="4" w:space="0" w:color="000000"/>
              <w:left w:val="single" w:sz="4" w:space="0" w:color="000000"/>
              <w:bottom w:val="single" w:sz="4" w:space="0" w:color="000000"/>
            </w:tcBorders>
          </w:tcPr>
          <w:p w:rsidR="00C51E0F" w:rsidRPr="00B74A55" w:rsidRDefault="00C51E0F" w:rsidP="00B12C1F">
            <w:pPr>
              <w:pBdr>
                <w:top w:val="nil"/>
                <w:left w:val="nil"/>
                <w:bottom w:val="nil"/>
                <w:right w:val="nil"/>
                <w:between w:val="nil"/>
              </w:pBdr>
              <w:jc w:val="center"/>
              <w:rPr>
                <w:color w:val="000000"/>
                <w:sz w:val="22"/>
              </w:rPr>
            </w:pPr>
            <w:r w:rsidRPr="00B74A55">
              <w:rPr>
                <w:sz w:val="22"/>
              </w:rPr>
              <w:t>418</w:t>
            </w:r>
          </w:p>
        </w:tc>
      </w:tr>
      <w:tr w:rsidR="00C51E0F" w:rsidRPr="00B74A55" w:rsidTr="00F34B87">
        <w:trPr>
          <w:trHeight w:val="184"/>
        </w:trPr>
        <w:tc>
          <w:tcPr>
            <w:tcW w:w="2978" w:type="dxa"/>
            <w:vMerge/>
            <w:shd w:val="clear" w:color="auto" w:fill="C6D9F1"/>
          </w:tcPr>
          <w:p w:rsidR="00C51E0F" w:rsidRPr="00B74A55" w:rsidRDefault="00C51E0F" w:rsidP="00B12C1F">
            <w:pPr>
              <w:widowControl w:val="0"/>
              <w:pBdr>
                <w:top w:val="nil"/>
                <w:left w:val="nil"/>
                <w:bottom w:val="nil"/>
                <w:right w:val="nil"/>
                <w:between w:val="nil"/>
              </w:pBdr>
              <w:spacing w:line="276" w:lineRule="auto"/>
              <w:rPr>
                <w:color w:val="000000"/>
                <w:sz w:val="22"/>
              </w:rPr>
            </w:pPr>
          </w:p>
        </w:tc>
        <w:tc>
          <w:tcPr>
            <w:tcW w:w="3685" w:type="dxa"/>
            <w:gridSpan w:val="3"/>
            <w:tcBorders>
              <w:top w:val="single" w:sz="4" w:space="0" w:color="000000"/>
              <w:bottom w:val="single" w:sz="4" w:space="0" w:color="000000"/>
              <w:right w:val="single" w:sz="4" w:space="0" w:color="000000"/>
            </w:tcBorders>
          </w:tcPr>
          <w:p w:rsidR="00C51E0F" w:rsidRPr="00B74A55" w:rsidRDefault="00C51E0F" w:rsidP="00B12C1F">
            <w:pPr>
              <w:pBdr>
                <w:top w:val="nil"/>
                <w:left w:val="nil"/>
                <w:bottom w:val="nil"/>
                <w:right w:val="nil"/>
                <w:between w:val="nil"/>
              </w:pBdr>
              <w:rPr>
                <w:color w:val="000000"/>
                <w:sz w:val="22"/>
              </w:rPr>
            </w:pPr>
            <w:r w:rsidRPr="00B74A55">
              <w:rPr>
                <w:color w:val="000000"/>
                <w:sz w:val="22"/>
              </w:rPr>
              <w:t>Кількість уроків</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C51E0F" w:rsidRPr="00B74A55" w:rsidRDefault="00C51E0F" w:rsidP="00B12C1F">
            <w:pPr>
              <w:pBdr>
                <w:top w:val="nil"/>
                <w:left w:val="nil"/>
                <w:bottom w:val="nil"/>
                <w:right w:val="nil"/>
                <w:between w:val="nil"/>
              </w:pBdr>
              <w:jc w:val="center"/>
              <w:rPr>
                <w:color w:val="000000"/>
                <w:sz w:val="22"/>
              </w:rPr>
            </w:pPr>
            <w:r w:rsidRPr="00B74A55">
              <w:rPr>
                <w:color w:val="000000"/>
                <w:sz w:val="22"/>
              </w:rPr>
              <w:t>одиниць</w:t>
            </w:r>
          </w:p>
        </w:tc>
        <w:tc>
          <w:tcPr>
            <w:tcW w:w="1417" w:type="dxa"/>
            <w:gridSpan w:val="2"/>
            <w:tcBorders>
              <w:top w:val="single" w:sz="4" w:space="0" w:color="000000"/>
              <w:left w:val="single" w:sz="4" w:space="0" w:color="000000"/>
              <w:bottom w:val="single" w:sz="4" w:space="0" w:color="000000"/>
            </w:tcBorders>
          </w:tcPr>
          <w:p w:rsidR="00C51E0F" w:rsidRPr="00B74A55" w:rsidRDefault="00C51E0F" w:rsidP="00B12C1F">
            <w:pPr>
              <w:pBdr>
                <w:top w:val="nil"/>
                <w:left w:val="nil"/>
                <w:bottom w:val="nil"/>
                <w:right w:val="nil"/>
                <w:between w:val="nil"/>
              </w:pBdr>
              <w:jc w:val="center"/>
              <w:rPr>
                <w:color w:val="000000"/>
                <w:sz w:val="22"/>
              </w:rPr>
            </w:pPr>
            <w:r w:rsidRPr="00B74A55">
              <w:rPr>
                <w:color w:val="000000"/>
                <w:sz w:val="22"/>
              </w:rPr>
              <w:t>63</w:t>
            </w:r>
          </w:p>
        </w:tc>
      </w:tr>
      <w:tr w:rsidR="00C51E0F" w:rsidRPr="00B74A55" w:rsidTr="00F34B87">
        <w:trPr>
          <w:trHeight w:val="150"/>
        </w:trPr>
        <w:tc>
          <w:tcPr>
            <w:tcW w:w="2978" w:type="dxa"/>
            <w:vMerge/>
            <w:shd w:val="clear" w:color="auto" w:fill="C6D9F1"/>
          </w:tcPr>
          <w:p w:rsidR="00C51E0F" w:rsidRPr="00B74A55" w:rsidRDefault="00C51E0F" w:rsidP="00B12C1F">
            <w:pPr>
              <w:widowControl w:val="0"/>
              <w:pBdr>
                <w:top w:val="nil"/>
                <w:left w:val="nil"/>
                <w:bottom w:val="nil"/>
                <w:right w:val="nil"/>
                <w:between w:val="nil"/>
              </w:pBdr>
              <w:spacing w:line="276" w:lineRule="auto"/>
              <w:rPr>
                <w:color w:val="000000"/>
                <w:sz w:val="22"/>
              </w:rPr>
            </w:pPr>
          </w:p>
        </w:tc>
        <w:tc>
          <w:tcPr>
            <w:tcW w:w="3685" w:type="dxa"/>
            <w:gridSpan w:val="3"/>
            <w:tcBorders>
              <w:top w:val="single" w:sz="4" w:space="0" w:color="000000"/>
              <w:right w:val="single" w:sz="4" w:space="0" w:color="000000"/>
            </w:tcBorders>
          </w:tcPr>
          <w:p w:rsidR="00C51E0F" w:rsidRPr="00B74A55" w:rsidRDefault="00C51E0F" w:rsidP="00B12C1F">
            <w:pPr>
              <w:pBdr>
                <w:top w:val="nil"/>
                <w:left w:val="nil"/>
                <w:bottom w:val="nil"/>
                <w:right w:val="nil"/>
                <w:between w:val="nil"/>
              </w:pBdr>
              <w:rPr>
                <w:color w:val="000000"/>
                <w:sz w:val="22"/>
              </w:rPr>
            </w:pPr>
            <w:r w:rsidRPr="00B74A55">
              <w:rPr>
                <w:color w:val="000000"/>
                <w:sz w:val="22"/>
              </w:rPr>
              <w:t>Термін надання послуги</w:t>
            </w:r>
          </w:p>
        </w:tc>
        <w:tc>
          <w:tcPr>
            <w:tcW w:w="1843" w:type="dxa"/>
            <w:gridSpan w:val="2"/>
            <w:tcBorders>
              <w:top w:val="single" w:sz="4" w:space="0" w:color="000000"/>
              <w:left w:val="single" w:sz="4" w:space="0" w:color="000000"/>
              <w:right w:val="single" w:sz="4" w:space="0" w:color="000000"/>
            </w:tcBorders>
            <w:vAlign w:val="center"/>
          </w:tcPr>
          <w:p w:rsidR="00C51E0F" w:rsidRPr="00B74A55" w:rsidRDefault="00C51E0F" w:rsidP="00B12C1F">
            <w:pPr>
              <w:pBdr>
                <w:top w:val="nil"/>
                <w:left w:val="nil"/>
                <w:bottom w:val="nil"/>
                <w:right w:val="nil"/>
                <w:between w:val="nil"/>
              </w:pBdr>
              <w:jc w:val="center"/>
              <w:rPr>
                <w:color w:val="000000"/>
                <w:sz w:val="22"/>
              </w:rPr>
            </w:pPr>
            <w:r w:rsidRPr="00B74A55">
              <w:rPr>
                <w:color w:val="000000"/>
                <w:sz w:val="22"/>
              </w:rPr>
              <w:t>день</w:t>
            </w:r>
          </w:p>
        </w:tc>
        <w:tc>
          <w:tcPr>
            <w:tcW w:w="1417" w:type="dxa"/>
            <w:gridSpan w:val="2"/>
            <w:tcBorders>
              <w:top w:val="single" w:sz="4" w:space="0" w:color="000000"/>
              <w:left w:val="single" w:sz="4" w:space="0" w:color="000000"/>
            </w:tcBorders>
          </w:tcPr>
          <w:p w:rsidR="00C51E0F" w:rsidRPr="00B74A55" w:rsidRDefault="00C51E0F" w:rsidP="00B12C1F">
            <w:pPr>
              <w:pBdr>
                <w:top w:val="nil"/>
                <w:left w:val="nil"/>
                <w:bottom w:val="nil"/>
                <w:right w:val="nil"/>
                <w:between w:val="nil"/>
              </w:pBdr>
              <w:jc w:val="center"/>
              <w:rPr>
                <w:color w:val="000000"/>
                <w:sz w:val="22"/>
              </w:rPr>
            </w:pPr>
            <w:r w:rsidRPr="00B74A55">
              <w:rPr>
                <w:color w:val="000000"/>
                <w:sz w:val="22"/>
              </w:rPr>
              <w:t>365</w:t>
            </w:r>
          </w:p>
        </w:tc>
      </w:tr>
      <w:tr w:rsidR="00C51E0F" w:rsidRPr="00B74A55" w:rsidTr="00F34B87">
        <w:trPr>
          <w:trHeight w:val="150"/>
        </w:trPr>
        <w:tc>
          <w:tcPr>
            <w:tcW w:w="2978" w:type="dxa"/>
            <w:shd w:val="clear" w:color="auto" w:fill="C6D9F1"/>
          </w:tcPr>
          <w:p w:rsidR="00C51E0F" w:rsidRPr="00B74A55" w:rsidRDefault="00C51E0F" w:rsidP="00B12C1F">
            <w:pPr>
              <w:pBdr>
                <w:top w:val="nil"/>
                <w:left w:val="nil"/>
                <w:bottom w:val="nil"/>
                <w:right w:val="nil"/>
                <w:between w:val="nil"/>
              </w:pBdr>
              <w:rPr>
                <w:b/>
                <w:color w:val="000000"/>
                <w:sz w:val="22"/>
              </w:rPr>
            </w:pPr>
          </w:p>
        </w:tc>
        <w:tc>
          <w:tcPr>
            <w:tcW w:w="3685" w:type="dxa"/>
            <w:gridSpan w:val="3"/>
            <w:tcBorders>
              <w:top w:val="single" w:sz="4" w:space="0" w:color="000000"/>
              <w:right w:val="single" w:sz="4" w:space="0" w:color="000000"/>
            </w:tcBorders>
          </w:tcPr>
          <w:p w:rsidR="00C51E0F" w:rsidRPr="00B74A55" w:rsidRDefault="00C51E0F" w:rsidP="000A5714">
            <w:pPr>
              <w:pBdr>
                <w:top w:val="nil"/>
                <w:left w:val="nil"/>
                <w:bottom w:val="nil"/>
                <w:right w:val="nil"/>
                <w:between w:val="nil"/>
              </w:pBdr>
              <w:rPr>
                <w:color w:val="000000"/>
                <w:sz w:val="22"/>
              </w:rPr>
            </w:pPr>
            <w:r w:rsidRPr="00B74A55">
              <w:rPr>
                <w:color w:val="000000"/>
                <w:sz w:val="22"/>
              </w:rPr>
              <w:t>Кількість населених пунктів, як</w:t>
            </w:r>
            <w:r w:rsidR="000A5714" w:rsidRPr="00B74A55">
              <w:rPr>
                <w:color w:val="000000"/>
                <w:sz w:val="22"/>
              </w:rPr>
              <w:t>і</w:t>
            </w:r>
            <w:r w:rsidRPr="00B74A55">
              <w:rPr>
                <w:color w:val="000000"/>
                <w:sz w:val="22"/>
              </w:rPr>
              <w:t xml:space="preserve"> обслуговує </w:t>
            </w:r>
            <w:r w:rsidR="000A5714" w:rsidRPr="00B74A55">
              <w:rPr>
                <w:color w:val="000000"/>
                <w:sz w:val="22"/>
              </w:rPr>
              <w:t>заклад</w:t>
            </w:r>
          </w:p>
        </w:tc>
        <w:tc>
          <w:tcPr>
            <w:tcW w:w="1843" w:type="dxa"/>
            <w:gridSpan w:val="2"/>
            <w:tcBorders>
              <w:top w:val="single" w:sz="4" w:space="0" w:color="000000"/>
              <w:left w:val="single" w:sz="4" w:space="0" w:color="000000"/>
              <w:right w:val="single" w:sz="4" w:space="0" w:color="000000"/>
            </w:tcBorders>
            <w:vAlign w:val="center"/>
          </w:tcPr>
          <w:p w:rsidR="00C51E0F" w:rsidRPr="00B74A55" w:rsidRDefault="00C51E0F" w:rsidP="00B12C1F">
            <w:pPr>
              <w:pBdr>
                <w:top w:val="nil"/>
                <w:left w:val="nil"/>
                <w:bottom w:val="nil"/>
                <w:right w:val="nil"/>
                <w:between w:val="nil"/>
              </w:pBdr>
              <w:jc w:val="center"/>
              <w:rPr>
                <w:color w:val="000000"/>
                <w:sz w:val="22"/>
              </w:rPr>
            </w:pPr>
            <w:r w:rsidRPr="00B74A55">
              <w:rPr>
                <w:color w:val="000000"/>
                <w:sz w:val="22"/>
              </w:rPr>
              <w:t>одиниць</w:t>
            </w:r>
          </w:p>
        </w:tc>
        <w:tc>
          <w:tcPr>
            <w:tcW w:w="1417" w:type="dxa"/>
            <w:gridSpan w:val="2"/>
            <w:tcBorders>
              <w:top w:val="single" w:sz="4" w:space="0" w:color="000000"/>
              <w:left w:val="single" w:sz="4" w:space="0" w:color="000000"/>
            </w:tcBorders>
          </w:tcPr>
          <w:p w:rsidR="00C51E0F" w:rsidRPr="00B74A55" w:rsidRDefault="00C51E0F" w:rsidP="00B12C1F">
            <w:pPr>
              <w:jc w:val="center"/>
              <w:rPr>
                <w:sz w:val="22"/>
                <w:lang w:val="ru-RU"/>
              </w:rPr>
            </w:pPr>
            <w:r w:rsidRPr="00B74A55">
              <w:rPr>
                <w:sz w:val="22"/>
                <w:lang w:val="ru-RU"/>
              </w:rPr>
              <w:t>20</w:t>
            </w:r>
          </w:p>
        </w:tc>
      </w:tr>
      <w:tr w:rsidR="00C51E0F" w:rsidRPr="00B74A55" w:rsidTr="00F34B87">
        <w:tc>
          <w:tcPr>
            <w:tcW w:w="2978" w:type="dxa"/>
            <w:shd w:val="clear" w:color="auto" w:fill="C6D9F1"/>
          </w:tcPr>
          <w:p w:rsidR="00C51E0F" w:rsidRPr="00B74A55" w:rsidRDefault="00C51E0F" w:rsidP="00B12C1F">
            <w:pPr>
              <w:rPr>
                <w:b/>
                <w:sz w:val="22"/>
              </w:rPr>
            </w:pPr>
            <w:r w:rsidRPr="00B74A55">
              <w:rPr>
                <w:b/>
                <w:sz w:val="22"/>
              </w:rPr>
              <w:t xml:space="preserve">Ключові заходи проекту: </w:t>
            </w:r>
          </w:p>
          <w:p w:rsidR="00C51E0F" w:rsidRPr="00B74A55" w:rsidRDefault="00C51E0F" w:rsidP="00B12C1F">
            <w:pPr>
              <w:pBdr>
                <w:top w:val="nil"/>
                <w:left w:val="nil"/>
                <w:bottom w:val="nil"/>
                <w:right w:val="nil"/>
                <w:between w:val="nil"/>
              </w:pBdr>
              <w:rPr>
                <w:b/>
                <w:color w:val="000000"/>
                <w:sz w:val="22"/>
              </w:rPr>
            </w:pPr>
          </w:p>
        </w:tc>
        <w:tc>
          <w:tcPr>
            <w:tcW w:w="6945" w:type="dxa"/>
            <w:gridSpan w:val="7"/>
          </w:tcPr>
          <w:p w:rsidR="00C51E0F" w:rsidRPr="00B74A55" w:rsidRDefault="00C51E0F" w:rsidP="00B12C1F">
            <w:pPr>
              <w:pBdr>
                <w:top w:val="nil"/>
                <w:left w:val="nil"/>
                <w:bottom w:val="nil"/>
                <w:right w:val="nil"/>
                <w:between w:val="nil"/>
              </w:pBdr>
              <w:rPr>
                <w:color w:val="000000"/>
                <w:sz w:val="22"/>
              </w:rPr>
            </w:pPr>
            <w:r w:rsidRPr="00B74A55">
              <w:rPr>
                <w:color w:val="000000"/>
                <w:sz w:val="22"/>
              </w:rPr>
              <w:t xml:space="preserve">- обстеження стану </w:t>
            </w:r>
            <w:r w:rsidRPr="00B74A55">
              <w:rPr>
                <w:sz w:val="22"/>
              </w:rPr>
              <w:t>стадіону</w:t>
            </w:r>
            <w:r w:rsidRPr="00B74A55">
              <w:rPr>
                <w:color w:val="000000"/>
                <w:sz w:val="22"/>
              </w:rPr>
              <w:t>;</w:t>
            </w:r>
          </w:p>
          <w:p w:rsidR="00C51E0F" w:rsidRPr="00B74A55" w:rsidRDefault="00C51E0F" w:rsidP="00B12C1F">
            <w:pPr>
              <w:pBdr>
                <w:top w:val="nil"/>
                <w:left w:val="nil"/>
                <w:bottom w:val="nil"/>
                <w:right w:val="nil"/>
                <w:between w:val="nil"/>
              </w:pBdr>
              <w:rPr>
                <w:color w:val="000000"/>
                <w:sz w:val="22"/>
              </w:rPr>
            </w:pPr>
            <w:r w:rsidRPr="00B74A55">
              <w:rPr>
                <w:color w:val="000000"/>
                <w:sz w:val="22"/>
              </w:rPr>
              <w:t>- проведення інвентаризації основних засобів;</w:t>
            </w:r>
          </w:p>
          <w:p w:rsidR="00C51E0F" w:rsidRPr="00B74A55" w:rsidRDefault="00C51E0F" w:rsidP="00B12C1F">
            <w:pPr>
              <w:rPr>
                <w:sz w:val="22"/>
              </w:rPr>
            </w:pPr>
            <w:r w:rsidRPr="00B74A55">
              <w:rPr>
                <w:sz w:val="22"/>
              </w:rPr>
              <w:t>- визначення кількості осіб, які потребують отримання соціальних, освітніх послуг закладу;</w:t>
            </w:r>
          </w:p>
          <w:p w:rsidR="00C51E0F" w:rsidRPr="00B74A55" w:rsidRDefault="00C51E0F" w:rsidP="00B12C1F">
            <w:pPr>
              <w:rPr>
                <w:sz w:val="22"/>
              </w:rPr>
            </w:pPr>
            <w:r w:rsidRPr="00B74A55">
              <w:rPr>
                <w:sz w:val="22"/>
              </w:rPr>
              <w:t xml:space="preserve">- </w:t>
            </w:r>
            <w:r w:rsidRPr="00B74A55">
              <w:rPr>
                <w:sz w:val="22"/>
                <w:highlight w:val="white"/>
              </w:rPr>
              <w:t xml:space="preserve"> створення плану реконструкції стадіону;</w:t>
            </w:r>
          </w:p>
          <w:p w:rsidR="00C51E0F" w:rsidRPr="00B74A55" w:rsidRDefault="00C51E0F" w:rsidP="00B12C1F">
            <w:pPr>
              <w:pBdr>
                <w:top w:val="nil"/>
                <w:left w:val="nil"/>
                <w:bottom w:val="nil"/>
                <w:right w:val="nil"/>
                <w:between w:val="nil"/>
              </w:pBdr>
              <w:rPr>
                <w:color w:val="FF0000"/>
                <w:sz w:val="22"/>
              </w:rPr>
            </w:pPr>
            <w:r w:rsidRPr="00B74A55">
              <w:rPr>
                <w:color w:val="000000"/>
                <w:sz w:val="22"/>
              </w:rPr>
              <w:t xml:space="preserve">- виготовлення </w:t>
            </w:r>
            <w:proofErr w:type="spellStart"/>
            <w:r w:rsidRPr="00B74A55">
              <w:rPr>
                <w:color w:val="000000"/>
                <w:sz w:val="22"/>
              </w:rPr>
              <w:t>про</w:t>
            </w:r>
            <w:r w:rsidR="000A5714" w:rsidRPr="00B74A55">
              <w:rPr>
                <w:color w:val="000000"/>
                <w:sz w:val="22"/>
              </w:rPr>
              <w:t>є</w:t>
            </w:r>
            <w:r w:rsidRPr="00B74A55">
              <w:rPr>
                <w:color w:val="000000"/>
                <w:sz w:val="22"/>
              </w:rPr>
              <w:t>ктно</w:t>
            </w:r>
            <w:proofErr w:type="spellEnd"/>
            <w:r w:rsidRPr="00B74A55">
              <w:rPr>
                <w:color w:val="000000"/>
                <w:sz w:val="22"/>
              </w:rPr>
              <w:t>-кошторисн</w:t>
            </w:r>
            <w:r w:rsidRPr="00B74A55">
              <w:rPr>
                <w:sz w:val="22"/>
              </w:rPr>
              <w:t>ої</w:t>
            </w:r>
            <w:r w:rsidRPr="00B74A55">
              <w:rPr>
                <w:color w:val="000000"/>
                <w:sz w:val="22"/>
              </w:rPr>
              <w:t xml:space="preserve"> документаці</w:t>
            </w:r>
            <w:r w:rsidRPr="00B74A55">
              <w:rPr>
                <w:sz w:val="22"/>
              </w:rPr>
              <w:t>ї</w:t>
            </w:r>
            <w:r w:rsidRPr="00B74A55">
              <w:rPr>
                <w:color w:val="000000"/>
                <w:sz w:val="22"/>
              </w:rPr>
              <w:t>;</w:t>
            </w:r>
          </w:p>
          <w:p w:rsidR="00C51E0F" w:rsidRPr="00B74A55" w:rsidRDefault="00C51E0F" w:rsidP="00B12C1F">
            <w:pPr>
              <w:pBdr>
                <w:top w:val="nil"/>
                <w:left w:val="nil"/>
                <w:bottom w:val="nil"/>
                <w:right w:val="nil"/>
                <w:between w:val="nil"/>
              </w:pBdr>
              <w:rPr>
                <w:color w:val="FF0000"/>
                <w:sz w:val="22"/>
              </w:rPr>
            </w:pPr>
            <w:r w:rsidRPr="00B74A55">
              <w:rPr>
                <w:color w:val="000000"/>
                <w:sz w:val="22"/>
              </w:rPr>
              <w:lastRenderedPageBreak/>
              <w:t>- демонтажні та монтажні роботи;</w:t>
            </w:r>
          </w:p>
          <w:p w:rsidR="00C51E0F" w:rsidRPr="00B74A55" w:rsidRDefault="00C51E0F" w:rsidP="00B12C1F">
            <w:pPr>
              <w:pBdr>
                <w:top w:val="nil"/>
                <w:left w:val="nil"/>
                <w:bottom w:val="nil"/>
                <w:right w:val="nil"/>
                <w:between w:val="nil"/>
              </w:pBdr>
              <w:rPr>
                <w:color w:val="000000"/>
                <w:sz w:val="22"/>
              </w:rPr>
            </w:pPr>
            <w:r w:rsidRPr="00B74A55">
              <w:rPr>
                <w:sz w:val="22"/>
              </w:rPr>
              <w:t>-</w:t>
            </w:r>
            <w:r w:rsidRPr="00B74A55">
              <w:rPr>
                <w:color w:val="1D1D1B"/>
                <w:sz w:val="22"/>
                <w:highlight w:val="white"/>
              </w:rPr>
              <w:t xml:space="preserve">комплексна реконструкція спортивного майданчика: облаштування футбольного поля, бігових доріжок, </w:t>
            </w:r>
            <w:proofErr w:type="spellStart"/>
            <w:r w:rsidRPr="00B74A55">
              <w:rPr>
                <w:color w:val="1D1D1B"/>
                <w:sz w:val="22"/>
                <w:highlight w:val="white"/>
              </w:rPr>
              <w:t>баскетбольно</w:t>
            </w:r>
            <w:proofErr w:type="spellEnd"/>
            <w:r w:rsidRPr="00B74A55">
              <w:rPr>
                <w:color w:val="1D1D1B"/>
                <w:sz w:val="22"/>
                <w:highlight w:val="white"/>
              </w:rPr>
              <w:t xml:space="preserve">-волейбольного майданчика, майданчика для </w:t>
            </w:r>
            <w:proofErr w:type="spellStart"/>
            <w:r w:rsidRPr="00B74A55">
              <w:rPr>
                <w:color w:val="1D1D1B"/>
                <w:sz w:val="22"/>
                <w:highlight w:val="white"/>
              </w:rPr>
              <w:t>воркауту</w:t>
            </w:r>
            <w:proofErr w:type="spellEnd"/>
            <w:r w:rsidRPr="00B74A55">
              <w:rPr>
                <w:color w:val="1D1D1B"/>
                <w:sz w:val="22"/>
                <w:highlight w:val="white"/>
              </w:rPr>
              <w:t>, тренажерів тощо;</w:t>
            </w:r>
          </w:p>
          <w:p w:rsidR="00C51E0F" w:rsidRPr="00B74A55" w:rsidRDefault="00C51E0F" w:rsidP="00B12C1F">
            <w:pPr>
              <w:pBdr>
                <w:top w:val="nil"/>
                <w:left w:val="nil"/>
                <w:bottom w:val="nil"/>
                <w:right w:val="nil"/>
                <w:between w:val="nil"/>
              </w:pBdr>
              <w:rPr>
                <w:color w:val="000000"/>
                <w:sz w:val="22"/>
              </w:rPr>
            </w:pPr>
            <w:r w:rsidRPr="00B74A55">
              <w:rPr>
                <w:color w:val="000000"/>
                <w:sz w:val="22"/>
              </w:rPr>
              <w:t>- організація та початок робочого процесу.</w:t>
            </w:r>
          </w:p>
        </w:tc>
      </w:tr>
      <w:tr w:rsidR="00C51E0F" w:rsidRPr="00B74A55" w:rsidTr="00F34B87">
        <w:trPr>
          <w:trHeight w:val="360"/>
        </w:trPr>
        <w:tc>
          <w:tcPr>
            <w:tcW w:w="2978" w:type="dxa"/>
            <w:vMerge w:val="restart"/>
            <w:shd w:val="clear" w:color="auto" w:fill="C6D9F1"/>
          </w:tcPr>
          <w:p w:rsidR="00C51E0F" w:rsidRPr="00B74A55" w:rsidRDefault="00C51E0F" w:rsidP="00B12C1F">
            <w:pPr>
              <w:pBdr>
                <w:top w:val="nil"/>
                <w:left w:val="nil"/>
                <w:bottom w:val="nil"/>
                <w:right w:val="nil"/>
                <w:between w:val="nil"/>
              </w:pBdr>
              <w:rPr>
                <w:b/>
                <w:color w:val="000000"/>
                <w:sz w:val="22"/>
              </w:rPr>
            </w:pPr>
            <w:r w:rsidRPr="00B74A55">
              <w:rPr>
                <w:b/>
                <w:color w:val="000000"/>
                <w:sz w:val="22"/>
              </w:rPr>
              <w:lastRenderedPageBreak/>
              <w:t xml:space="preserve">Орієнтовний обсяг та джерела фінансування, тис. грн. </w:t>
            </w:r>
          </w:p>
          <w:p w:rsidR="00C51E0F" w:rsidRPr="00B74A55" w:rsidRDefault="00C51E0F" w:rsidP="00B12C1F">
            <w:pPr>
              <w:pBdr>
                <w:top w:val="nil"/>
                <w:left w:val="nil"/>
                <w:bottom w:val="nil"/>
                <w:right w:val="nil"/>
                <w:between w:val="nil"/>
              </w:pBdr>
              <w:rPr>
                <w:b/>
                <w:color w:val="000000"/>
                <w:sz w:val="22"/>
              </w:rPr>
            </w:pPr>
          </w:p>
        </w:tc>
        <w:tc>
          <w:tcPr>
            <w:tcW w:w="1275" w:type="dxa"/>
            <w:tcBorders>
              <w:bottom w:val="single" w:sz="4" w:space="0" w:color="000000"/>
              <w:right w:val="single" w:sz="4" w:space="0" w:color="000000"/>
            </w:tcBorders>
          </w:tcPr>
          <w:p w:rsidR="00C51E0F" w:rsidRPr="00B74A55" w:rsidRDefault="00C51E0F" w:rsidP="00B12C1F">
            <w:pPr>
              <w:pBdr>
                <w:top w:val="nil"/>
                <w:left w:val="nil"/>
                <w:bottom w:val="nil"/>
                <w:right w:val="nil"/>
                <w:between w:val="nil"/>
              </w:pBdr>
              <w:jc w:val="center"/>
              <w:rPr>
                <w:b/>
                <w:color w:val="000000"/>
                <w:sz w:val="22"/>
              </w:rPr>
            </w:pPr>
            <w:r w:rsidRPr="00B74A55">
              <w:rPr>
                <w:b/>
                <w:color w:val="000000"/>
                <w:sz w:val="22"/>
              </w:rPr>
              <w:t>Державний бюджет</w:t>
            </w:r>
          </w:p>
        </w:tc>
        <w:tc>
          <w:tcPr>
            <w:tcW w:w="1418" w:type="dxa"/>
            <w:tcBorders>
              <w:bottom w:val="single" w:sz="4" w:space="0" w:color="000000"/>
              <w:right w:val="single" w:sz="4" w:space="0" w:color="000000"/>
            </w:tcBorders>
          </w:tcPr>
          <w:p w:rsidR="00C51E0F" w:rsidRPr="00B74A55" w:rsidRDefault="00C51E0F" w:rsidP="00B12C1F">
            <w:pPr>
              <w:pBdr>
                <w:top w:val="nil"/>
                <w:left w:val="nil"/>
                <w:bottom w:val="nil"/>
                <w:right w:val="nil"/>
                <w:between w:val="nil"/>
              </w:pBdr>
              <w:jc w:val="center"/>
              <w:rPr>
                <w:b/>
                <w:color w:val="000000"/>
                <w:sz w:val="22"/>
              </w:rPr>
            </w:pPr>
            <w:r w:rsidRPr="00B74A55">
              <w:rPr>
                <w:b/>
                <w:color w:val="000000"/>
                <w:sz w:val="22"/>
              </w:rPr>
              <w:t>Місцевий бюджет</w:t>
            </w:r>
          </w:p>
        </w:tc>
        <w:tc>
          <w:tcPr>
            <w:tcW w:w="3260" w:type="dxa"/>
            <w:gridSpan w:val="4"/>
            <w:tcBorders>
              <w:left w:val="single" w:sz="4" w:space="0" w:color="000000"/>
              <w:bottom w:val="single" w:sz="4" w:space="0" w:color="000000"/>
              <w:right w:val="single" w:sz="4" w:space="0" w:color="000000"/>
            </w:tcBorders>
          </w:tcPr>
          <w:p w:rsidR="00C51E0F" w:rsidRPr="00B74A55" w:rsidRDefault="00C51E0F" w:rsidP="00B12C1F">
            <w:pPr>
              <w:pBdr>
                <w:top w:val="nil"/>
                <w:left w:val="nil"/>
                <w:bottom w:val="nil"/>
                <w:right w:val="nil"/>
                <w:between w:val="nil"/>
              </w:pBdr>
              <w:jc w:val="center"/>
              <w:rPr>
                <w:b/>
                <w:color w:val="000000"/>
                <w:sz w:val="22"/>
              </w:rPr>
            </w:pPr>
            <w:r w:rsidRPr="00B74A55">
              <w:rPr>
                <w:b/>
                <w:color w:val="000000"/>
                <w:sz w:val="22"/>
              </w:rPr>
              <w:t>Інші джерела</w:t>
            </w:r>
          </w:p>
        </w:tc>
        <w:tc>
          <w:tcPr>
            <w:tcW w:w="992" w:type="dxa"/>
            <w:tcBorders>
              <w:left w:val="single" w:sz="4" w:space="0" w:color="000000"/>
              <w:bottom w:val="single" w:sz="4" w:space="0" w:color="000000"/>
            </w:tcBorders>
          </w:tcPr>
          <w:p w:rsidR="00C51E0F" w:rsidRPr="00B74A55" w:rsidRDefault="00C51E0F" w:rsidP="00B12C1F">
            <w:pPr>
              <w:pBdr>
                <w:top w:val="nil"/>
                <w:left w:val="nil"/>
                <w:bottom w:val="nil"/>
                <w:right w:val="nil"/>
                <w:between w:val="nil"/>
              </w:pBdr>
              <w:jc w:val="center"/>
              <w:rPr>
                <w:b/>
                <w:color w:val="000000"/>
                <w:sz w:val="22"/>
              </w:rPr>
            </w:pPr>
            <w:r w:rsidRPr="00B74A55">
              <w:rPr>
                <w:b/>
                <w:color w:val="000000"/>
                <w:sz w:val="22"/>
              </w:rPr>
              <w:t>Всього</w:t>
            </w:r>
          </w:p>
        </w:tc>
      </w:tr>
      <w:tr w:rsidR="00C51E0F" w:rsidRPr="00B74A55" w:rsidTr="00F34B87">
        <w:trPr>
          <w:trHeight w:val="225"/>
        </w:trPr>
        <w:tc>
          <w:tcPr>
            <w:tcW w:w="2978" w:type="dxa"/>
            <w:vMerge/>
            <w:shd w:val="clear" w:color="auto" w:fill="C6D9F1"/>
          </w:tcPr>
          <w:p w:rsidR="00C51E0F" w:rsidRPr="00B74A55" w:rsidRDefault="00C51E0F" w:rsidP="00B12C1F">
            <w:pPr>
              <w:widowControl w:val="0"/>
              <w:pBdr>
                <w:top w:val="nil"/>
                <w:left w:val="nil"/>
                <w:bottom w:val="nil"/>
                <w:right w:val="nil"/>
                <w:between w:val="nil"/>
              </w:pBdr>
              <w:spacing w:line="276" w:lineRule="auto"/>
              <w:rPr>
                <w:b/>
                <w:color w:val="000000"/>
                <w:sz w:val="22"/>
              </w:rPr>
            </w:pPr>
          </w:p>
        </w:tc>
        <w:tc>
          <w:tcPr>
            <w:tcW w:w="1275" w:type="dxa"/>
            <w:vMerge w:val="restart"/>
            <w:tcBorders>
              <w:top w:val="single" w:sz="4" w:space="0" w:color="000000"/>
              <w:right w:val="single" w:sz="4" w:space="0" w:color="000000"/>
            </w:tcBorders>
          </w:tcPr>
          <w:p w:rsidR="00C51E0F" w:rsidRPr="00B74A55" w:rsidRDefault="00C51E0F" w:rsidP="00B12C1F">
            <w:pPr>
              <w:pBdr>
                <w:top w:val="nil"/>
                <w:left w:val="nil"/>
                <w:bottom w:val="nil"/>
                <w:right w:val="nil"/>
                <w:between w:val="nil"/>
              </w:pBdr>
              <w:jc w:val="center"/>
              <w:rPr>
                <w:color w:val="000000"/>
                <w:sz w:val="22"/>
              </w:rPr>
            </w:pPr>
            <w:r w:rsidRPr="00B74A55">
              <w:rPr>
                <w:sz w:val="22"/>
              </w:rPr>
              <w:t>3</w:t>
            </w:r>
            <w:r w:rsidRPr="00B74A55">
              <w:rPr>
                <w:color w:val="000000"/>
                <w:sz w:val="22"/>
              </w:rPr>
              <w:t>000,0</w:t>
            </w:r>
          </w:p>
        </w:tc>
        <w:tc>
          <w:tcPr>
            <w:tcW w:w="1418" w:type="dxa"/>
            <w:vMerge w:val="restart"/>
            <w:tcBorders>
              <w:top w:val="single" w:sz="4" w:space="0" w:color="000000"/>
              <w:right w:val="single" w:sz="4" w:space="0" w:color="000000"/>
            </w:tcBorders>
          </w:tcPr>
          <w:p w:rsidR="00C51E0F" w:rsidRPr="00B74A55" w:rsidRDefault="00C51E0F" w:rsidP="00B12C1F">
            <w:pPr>
              <w:pBdr>
                <w:top w:val="nil"/>
                <w:left w:val="nil"/>
                <w:bottom w:val="nil"/>
                <w:right w:val="nil"/>
                <w:between w:val="nil"/>
              </w:pBdr>
              <w:jc w:val="center"/>
              <w:rPr>
                <w:b/>
                <w:color w:val="000000"/>
                <w:sz w:val="22"/>
              </w:rPr>
            </w:pPr>
            <w:r w:rsidRPr="00B74A55">
              <w:rPr>
                <w:b/>
                <w:color w:val="000000"/>
                <w:sz w:val="22"/>
              </w:rPr>
              <w:t>-</w:t>
            </w:r>
          </w:p>
        </w:tc>
        <w:tc>
          <w:tcPr>
            <w:tcW w:w="1276" w:type="dxa"/>
            <w:gridSpan w:val="2"/>
            <w:tcBorders>
              <w:top w:val="single" w:sz="4" w:space="0" w:color="000000"/>
              <w:left w:val="single" w:sz="4" w:space="0" w:color="000000"/>
              <w:bottom w:val="single" w:sz="4" w:space="0" w:color="000000"/>
              <w:right w:val="single" w:sz="4" w:space="0" w:color="000000"/>
            </w:tcBorders>
          </w:tcPr>
          <w:p w:rsidR="00C51E0F" w:rsidRPr="00B74A55" w:rsidRDefault="00C51E0F" w:rsidP="00B12C1F">
            <w:pPr>
              <w:pBdr>
                <w:top w:val="nil"/>
                <w:left w:val="nil"/>
                <w:bottom w:val="nil"/>
                <w:right w:val="nil"/>
                <w:between w:val="nil"/>
              </w:pBdr>
              <w:jc w:val="center"/>
              <w:rPr>
                <w:b/>
                <w:color w:val="000000"/>
                <w:sz w:val="22"/>
              </w:rPr>
            </w:pPr>
            <w:r w:rsidRPr="00B74A55">
              <w:rPr>
                <w:b/>
                <w:color w:val="000000"/>
                <w:sz w:val="22"/>
              </w:rPr>
              <w:t>Обсяг</w:t>
            </w:r>
          </w:p>
        </w:tc>
        <w:tc>
          <w:tcPr>
            <w:tcW w:w="1984" w:type="dxa"/>
            <w:gridSpan w:val="2"/>
            <w:tcBorders>
              <w:top w:val="single" w:sz="4" w:space="0" w:color="000000"/>
              <w:left w:val="single" w:sz="4" w:space="0" w:color="000000"/>
              <w:bottom w:val="single" w:sz="4" w:space="0" w:color="000000"/>
              <w:right w:val="single" w:sz="4" w:space="0" w:color="000000"/>
            </w:tcBorders>
          </w:tcPr>
          <w:p w:rsidR="00C51E0F" w:rsidRPr="00B74A55" w:rsidRDefault="00C51E0F" w:rsidP="00B12C1F">
            <w:pPr>
              <w:pBdr>
                <w:top w:val="nil"/>
                <w:left w:val="nil"/>
                <w:bottom w:val="nil"/>
                <w:right w:val="nil"/>
                <w:between w:val="nil"/>
              </w:pBdr>
              <w:jc w:val="center"/>
              <w:rPr>
                <w:b/>
                <w:color w:val="000000"/>
                <w:sz w:val="22"/>
              </w:rPr>
            </w:pPr>
            <w:r w:rsidRPr="00B74A55">
              <w:rPr>
                <w:b/>
                <w:color w:val="000000"/>
                <w:sz w:val="22"/>
              </w:rPr>
              <w:t>Назва джерела</w:t>
            </w:r>
          </w:p>
        </w:tc>
        <w:tc>
          <w:tcPr>
            <w:tcW w:w="992" w:type="dxa"/>
            <w:vMerge w:val="restart"/>
            <w:tcBorders>
              <w:top w:val="single" w:sz="4" w:space="0" w:color="000000"/>
              <w:left w:val="single" w:sz="4" w:space="0" w:color="000000"/>
            </w:tcBorders>
          </w:tcPr>
          <w:p w:rsidR="00C51E0F" w:rsidRPr="00B74A55" w:rsidRDefault="00C51E0F" w:rsidP="00B12C1F">
            <w:pPr>
              <w:pBdr>
                <w:top w:val="nil"/>
                <w:left w:val="nil"/>
                <w:bottom w:val="nil"/>
                <w:right w:val="nil"/>
                <w:between w:val="nil"/>
              </w:pBdr>
              <w:jc w:val="center"/>
              <w:rPr>
                <w:color w:val="000000"/>
                <w:sz w:val="22"/>
              </w:rPr>
            </w:pPr>
            <w:r w:rsidRPr="00B74A55">
              <w:rPr>
                <w:color w:val="000000"/>
                <w:sz w:val="22"/>
              </w:rPr>
              <w:t xml:space="preserve">6000,0 </w:t>
            </w:r>
          </w:p>
        </w:tc>
      </w:tr>
      <w:tr w:rsidR="00C51E0F" w:rsidRPr="00B74A55" w:rsidTr="00F34B87">
        <w:trPr>
          <w:trHeight w:val="300"/>
        </w:trPr>
        <w:tc>
          <w:tcPr>
            <w:tcW w:w="2978" w:type="dxa"/>
            <w:vMerge/>
            <w:shd w:val="clear" w:color="auto" w:fill="C6D9F1"/>
          </w:tcPr>
          <w:p w:rsidR="00C51E0F" w:rsidRPr="00B74A55" w:rsidRDefault="00C51E0F" w:rsidP="00B12C1F">
            <w:pPr>
              <w:widowControl w:val="0"/>
              <w:pBdr>
                <w:top w:val="nil"/>
                <w:left w:val="nil"/>
                <w:bottom w:val="nil"/>
                <w:right w:val="nil"/>
                <w:between w:val="nil"/>
              </w:pBdr>
              <w:spacing w:line="276" w:lineRule="auto"/>
              <w:rPr>
                <w:color w:val="000000"/>
                <w:sz w:val="22"/>
              </w:rPr>
            </w:pPr>
          </w:p>
        </w:tc>
        <w:tc>
          <w:tcPr>
            <w:tcW w:w="1275" w:type="dxa"/>
            <w:vMerge/>
            <w:tcBorders>
              <w:top w:val="single" w:sz="4" w:space="0" w:color="000000"/>
              <w:right w:val="single" w:sz="4" w:space="0" w:color="000000"/>
            </w:tcBorders>
          </w:tcPr>
          <w:p w:rsidR="00C51E0F" w:rsidRPr="00B74A55" w:rsidRDefault="00C51E0F" w:rsidP="00B12C1F">
            <w:pPr>
              <w:widowControl w:val="0"/>
              <w:pBdr>
                <w:top w:val="nil"/>
                <w:left w:val="nil"/>
                <w:bottom w:val="nil"/>
                <w:right w:val="nil"/>
                <w:between w:val="nil"/>
              </w:pBdr>
              <w:spacing w:line="276" w:lineRule="auto"/>
              <w:rPr>
                <w:color w:val="000000"/>
                <w:sz w:val="22"/>
              </w:rPr>
            </w:pPr>
          </w:p>
        </w:tc>
        <w:tc>
          <w:tcPr>
            <w:tcW w:w="1418" w:type="dxa"/>
            <w:vMerge/>
            <w:tcBorders>
              <w:top w:val="single" w:sz="4" w:space="0" w:color="000000"/>
              <w:right w:val="single" w:sz="4" w:space="0" w:color="000000"/>
            </w:tcBorders>
          </w:tcPr>
          <w:p w:rsidR="00C51E0F" w:rsidRPr="00B74A55" w:rsidRDefault="00C51E0F" w:rsidP="00B12C1F">
            <w:pPr>
              <w:widowControl w:val="0"/>
              <w:pBdr>
                <w:top w:val="nil"/>
                <w:left w:val="nil"/>
                <w:bottom w:val="nil"/>
                <w:right w:val="nil"/>
                <w:between w:val="nil"/>
              </w:pBdr>
              <w:spacing w:line="276" w:lineRule="auto"/>
              <w:rPr>
                <w:color w:val="000000"/>
                <w:sz w:val="22"/>
              </w:rPr>
            </w:pPr>
          </w:p>
        </w:tc>
        <w:tc>
          <w:tcPr>
            <w:tcW w:w="1276" w:type="dxa"/>
            <w:gridSpan w:val="2"/>
            <w:tcBorders>
              <w:top w:val="single" w:sz="4" w:space="0" w:color="000000"/>
              <w:left w:val="single" w:sz="4" w:space="0" w:color="000000"/>
              <w:right w:val="single" w:sz="4" w:space="0" w:color="000000"/>
            </w:tcBorders>
          </w:tcPr>
          <w:p w:rsidR="00C51E0F" w:rsidRPr="00B74A55" w:rsidRDefault="00C51E0F" w:rsidP="00B12C1F">
            <w:pPr>
              <w:pBdr>
                <w:top w:val="nil"/>
                <w:left w:val="nil"/>
                <w:bottom w:val="nil"/>
                <w:right w:val="nil"/>
                <w:between w:val="nil"/>
              </w:pBdr>
              <w:jc w:val="center"/>
              <w:rPr>
                <w:color w:val="000000"/>
                <w:sz w:val="22"/>
              </w:rPr>
            </w:pPr>
            <w:r w:rsidRPr="00B74A55">
              <w:rPr>
                <w:sz w:val="22"/>
              </w:rPr>
              <w:t>3000,0</w:t>
            </w:r>
          </w:p>
        </w:tc>
        <w:tc>
          <w:tcPr>
            <w:tcW w:w="1984" w:type="dxa"/>
            <w:gridSpan w:val="2"/>
            <w:tcBorders>
              <w:top w:val="single" w:sz="4" w:space="0" w:color="000000"/>
              <w:left w:val="single" w:sz="4" w:space="0" w:color="000000"/>
              <w:right w:val="single" w:sz="4" w:space="0" w:color="000000"/>
            </w:tcBorders>
          </w:tcPr>
          <w:p w:rsidR="00C51E0F" w:rsidRPr="00B74A55" w:rsidRDefault="00C51E0F" w:rsidP="00B12C1F">
            <w:pPr>
              <w:jc w:val="center"/>
              <w:rPr>
                <w:color w:val="000000"/>
                <w:sz w:val="22"/>
              </w:rPr>
            </w:pPr>
            <w:r w:rsidRPr="00B74A55">
              <w:rPr>
                <w:sz w:val="22"/>
              </w:rPr>
              <w:t>Міжнародні інвестиції</w:t>
            </w:r>
          </w:p>
        </w:tc>
        <w:tc>
          <w:tcPr>
            <w:tcW w:w="992" w:type="dxa"/>
            <w:vMerge/>
            <w:tcBorders>
              <w:top w:val="single" w:sz="4" w:space="0" w:color="000000"/>
              <w:left w:val="single" w:sz="4" w:space="0" w:color="000000"/>
            </w:tcBorders>
          </w:tcPr>
          <w:p w:rsidR="00C51E0F" w:rsidRPr="00B74A55" w:rsidRDefault="00C51E0F" w:rsidP="00B12C1F">
            <w:pPr>
              <w:widowControl w:val="0"/>
              <w:pBdr>
                <w:top w:val="nil"/>
                <w:left w:val="nil"/>
                <w:bottom w:val="nil"/>
                <w:right w:val="nil"/>
                <w:between w:val="nil"/>
              </w:pBdr>
              <w:spacing w:line="276" w:lineRule="auto"/>
              <w:rPr>
                <w:color w:val="000000"/>
                <w:sz w:val="22"/>
              </w:rPr>
            </w:pPr>
          </w:p>
        </w:tc>
      </w:tr>
    </w:tbl>
    <w:p w:rsidR="00C51E0F" w:rsidRPr="00B74A55" w:rsidRDefault="00C51E0F" w:rsidP="00E95FB1">
      <w:pPr>
        <w:rPr>
          <w:sz w:val="22"/>
        </w:rPr>
      </w:pPr>
    </w:p>
    <w:p w:rsidR="000729E2" w:rsidRPr="007E0AF4" w:rsidRDefault="000729E2" w:rsidP="00E95FB1">
      <w:pPr>
        <w:rPr>
          <w:sz w:val="22"/>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8"/>
        <w:gridCol w:w="1275"/>
        <w:gridCol w:w="1276"/>
        <w:gridCol w:w="1134"/>
        <w:gridCol w:w="425"/>
        <w:gridCol w:w="1418"/>
        <w:gridCol w:w="425"/>
        <w:gridCol w:w="992"/>
      </w:tblGrid>
      <w:tr w:rsidR="000729E2" w:rsidRPr="007E0AF4" w:rsidTr="00F34B87">
        <w:tc>
          <w:tcPr>
            <w:tcW w:w="2978" w:type="dxa"/>
            <w:shd w:val="clear" w:color="auto" w:fill="C6D9F1"/>
          </w:tcPr>
          <w:p w:rsidR="000729E2" w:rsidRPr="007E0AF4" w:rsidRDefault="000729E2" w:rsidP="00B12C1F">
            <w:pPr>
              <w:pBdr>
                <w:top w:val="nil"/>
                <w:left w:val="nil"/>
                <w:bottom w:val="nil"/>
                <w:right w:val="nil"/>
                <w:between w:val="nil"/>
              </w:pBdr>
              <w:rPr>
                <w:b/>
                <w:color w:val="000000"/>
                <w:sz w:val="22"/>
              </w:rPr>
            </w:pPr>
            <w:r w:rsidRPr="007E0AF4">
              <w:rPr>
                <w:b/>
                <w:color w:val="000000"/>
                <w:sz w:val="22"/>
              </w:rPr>
              <w:t>Оперативна ціль/завдання</w:t>
            </w:r>
          </w:p>
        </w:tc>
        <w:tc>
          <w:tcPr>
            <w:tcW w:w="6945" w:type="dxa"/>
            <w:gridSpan w:val="7"/>
            <w:shd w:val="clear" w:color="auto" w:fill="auto"/>
          </w:tcPr>
          <w:p w:rsidR="000729E2" w:rsidRPr="007E0AF4" w:rsidRDefault="000729E2" w:rsidP="00B12C1F">
            <w:pPr>
              <w:pBdr>
                <w:top w:val="nil"/>
                <w:left w:val="nil"/>
                <w:bottom w:val="nil"/>
                <w:right w:val="nil"/>
                <w:between w:val="nil"/>
              </w:pBdr>
              <w:rPr>
                <w:color w:val="000000"/>
                <w:sz w:val="22"/>
              </w:rPr>
            </w:pPr>
            <w:r w:rsidRPr="007E0AF4">
              <w:rPr>
                <w:color w:val="000000"/>
                <w:sz w:val="22"/>
              </w:rPr>
              <w:t xml:space="preserve">Людський розвиток через інновації управління та довіру до влади. Формування сучасного інклюзивного </w:t>
            </w:r>
            <w:proofErr w:type="spellStart"/>
            <w:r w:rsidRPr="007E0AF4">
              <w:rPr>
                <w:color w:val="000000"/>
                <w:sz w:val="22"/>
              </w:rPr>
              <w:t>освітньо</w:t>
            </w:r>
            <w:proofErr w:type="spellEnd"/>
            <w:r w:rsidRPr="007E0AF4">
              <w:rPr>
                <w:color w:val="000000"/>
                <w:sz w:val="22"/>
              </w:rPr>
              <w:t>-культурного та спортивного простору для розвитку.</w:t>
            </w:r>
          </w:p>
        </w:tc>
      </w:tr>
      <w:tr w:rsidR="000729E2" w:rsidRPr="007E0AF4" w:rsidTr="00F34B87">
        <w:tc>
          <w:tcPr>
            <w:tcW w:w="2978" w:type="dxa"/>
            <w:shd w:val="clear" w:color="auto" w:fill="C6D9F1"/>
          </w:tcPr>
          <w:p w:rsidR="000729E2" w:rsidRPr="007E0AF4" w:rsidRDefault="000729E2" w:rsidP="00B12C1F">
            <w:pPr>
              <w:pBdr>
                <w:top w:val="nil"/>
                <w:left w:val="nil"/>
                <w:bottom w:val="nil"/>
                <w:right w:val="nil"/>
                <w:between w:val="nil"/>
              </w:pBdr>
              <w:rPr>
                <w:b/>
                <w:color w:val="000000"/>
                <w:sz w:val="22"/>
              </w:rPr>
            </w:pPr>
            <w:r w:rsidRPr="007E0AF4">
              <w:rPr>
                <w:b/>
                <w:color w:val="000000"/>
                <w:sz w:val="22"/>
              </w:rPr>
              <w:t>Назва проекту:</w:t>
            </w:r>
          </w:p>
        </w:tc>
        <w:tc>
          <w:tcPr>
            <w:tcW w:w="6945" w:type="dxa"/>
            <w:gridSpan w:val="7"/>
          </w:tcPr>
          <w:p w:rsidR="000729E2" w:rsidRPr="007E0AF4" w:rsidRDefault="000729E2" w:rsidP="00B12C1F">
            <w:pPr>
              <w:pBdr>
                <w:top w:val="nil"/>
                <w:left w:val="nil"/>
                <w:bottom w:val="nil"/>
                <w:right w:val="nil"/>
                <w:between w:val="nil"/>
              </w:pBdr>
              <w:rPr>
                <w:sz w:val="22"/>
              </w:rPr>
            </w:pPr>
            <w:r w:rsidRPr="007E0AF4">
              <w:rPr>
                <w:sz w:val="22"/>
              </w:rPr>
              <w:t>Реконструкція</w:t>
            </w:r>
            <w:r w:rsidRPr="007E0AF4">
              <w:rPr>
                <w:color w:val="000000"/>
                <w:sz w:val="22"/>
              </w:rPr>
              <w:t xml:space="preserve"> будівлі комунального закладу Гімназії № </w:t>
            </w:r>
            <w:r w:rsidRPr="007E0AF4">
              <w:rPr>
                <w:sz w:val="22"/>
              </w:rPr>
              <w:t>7</w:t>
            </w:r>
            <w:r w:rsidRPr="007E0AF4">
              <w:rPr>
                <w:color w:val="000000"/>
                <w:sz w:val="22"/>
              </w:rPr>
              <w:t xml:space="preserve"> міста Сєвєродонецька</w:t>
            </w:r>
            <w:r w:rsidRPr="007E0AF4">
              <w:rPr>
                <w:color w:val="FF0000"/>
                <w:sz w:val="22"/>
              </w:rPr>
              <w:t xml:space="preserve"> </w:t>
            </w:r>
            <w:r w:rsidRPr="007E0AF4">
              <w:rPr>
                <w:color w:val="000000"/>
                <w:sz w:val="22"/>
              </w:rPr>
              <w:t xml:space="preserve">Луганської області, </w:t>
            </w:r>
            <w:r w:rsidRPr="007E0AF4">
              <w:rPr>
                <w:sz w:val="22"/>
              </w:rPr>
              <w:t xml:space="preserve">розташованої за </w:t>
            </w:r>
            <w:proofErr w:type="spellStart"/>
            <w:r w:rsidRPr="007E0AF4">
              <w:rPr>
                <w:sz w:val="22"/>
              </w:rPr>
              <w:t>адресою</w:t>
            </w:r>
            <w:proofErr w:type="spellEnd"/>
            <w:r w:rsidRPr="007E0AF4">
              <w:rPr>
                <w:sz w:val="22"/>
              </w:rPr>
              <w:t>: Луганська область, Сєвєродонецький район, смт Сиротине, вулиця Шкільна, буд.32.</w:t>
            </w:r>
          </w:p>
        </w:tc>
      </w:tr>
      <w:tr w:rsidR="000729E2" w:rsidRPr="007E0AF4" w:rsidTr="00F34B87">
        <w:tc>
          <w:tcPr>
            <w:tcW w:w="2978" w:type="dxa"/>
            <w:shd w:val="clear" w:color="auto" w:fill="C6D9F1"/>
          </w:tcPr>
          <w:p w:rsidR="000729E2" w:rsidRPr="007E0AF4" w:rsidRDefault="000729E2" w:rsidP="00B12C1F">
            <w:pPr>
              <w:rPr>
                <w:b/>
                <w:sz w:val="22"/>
              </w:rPr>
            </w:pPr>
            <w:r w:rsidRPr="007E0AF4">
              <w:rPr>
                <w:b/>
                <w:sz w:val="22"/>
              </w:rPr>
              <w:t>Ціль проекту</w:t>
            </w:r>
          </w:p>
        </w:tc>
        <w:tc>
          <w:tcPr>
            <w:tcW w:w="6945" w:type="dxa"/>
            <w:gridSpan w:val="7"/>
          </w:tcPr>
          <w:p w:rsidR="000729E2" w:rsidRPr="007E0AF4" w:rsidRDefault="000729E2" w:rsidP="00B12C1F">
            <w:pPr>
              <w:pBdr>
                <w:top w:val="nil"/>
                <w:left w:val="nil"/>
                <w:bottom w:val="nil"/>
                <w:right w:val="nil"/>
                <w:between w:val="nil"/>
              </w:pBdr>
              <w:rPr>
                <w:color w:val="000000"/>
                <w:sz w:val="22"/>
              </w:rPr>
            </w:pPr>
            <w:r w:rsidRPr="007E0AF4">
              <w:rPr>
                <w:color w:val="000000"/>
                <w:sz w:val="22"/>
              </w:rPr>
              <w:t xml:space="preserve">Відновити та покращити роботу комунального закладу Гімназії № </w:t>
            </w:r>
            <w:r w:rsidRPr="007E0AF4">
              <w:rPr>
                <w:sz w:val="22"/>
              </w:rPr>
              <w:t>7</w:t>
            </w:r>
            <w:r w:rsidRPr="007E0AF4">
              <w:rPr>
                <w:color w:val="000000"/>
                <w:sz w:val="22"/>
              </w:rPr>
              <w:t xml:space="preserve"> для надання широкого спектру послуг</w:t>
            </w:r>
            <w:r w:rsidR="00CA4632" w:rsidRPr="007E0AF4">
              <w:rPr>
                <w:color w:val="000000"/>
                <w:sz w:val="22"/>
              </w:rPr>
              <w:t>,</w:t>
            </w:r>
            <w:r w:rsidRPr="007E0AF4">
              <w:rPr>
                <w:color w:val="000000"/>
                <w:sz w:val="22"/>
              </w:rPr>
              <w:t xml:space="preserve"> пов’язаних із освітньою діяльністю та задоволення потреб мешканців Сєвєродонецької міської територіальної громади у необхідних послугах.</w:t>
            </w:r>
          </w:p>
        </w:tc>
      </w:tr>
      <w:tr w:rsidR="000729E2" w:rsidRPr="007E0AF4" w:rsidTr="00F34B87">
        <w:tc>
          <w:tcPr>
            <w:tcW w:w="2978" w:type="dxa"/>
            <w:shd w:val="clear" w:color="auto" w:fill="C6D9F1"/>
          </w:tcPr>
          <w:p w:rsidR="000729E2" w:rsidRPr="007E0AF4" w:rsidRDefault="000729E2" w:rsidP="00B12C1F">
            <w:pPr>
              <w:pBdr>
                <w:top w:val="nil"/>
                <w:left w:val="nil"/>
                <w:bottom w:val="nil"/>
                <w:right w:val="nil"/>
                <w:between w:val="nil"/>
              </w:pBdr>
              <w:rPr>
                <w:b/>
                <w:color w:val="000000"/>
                <w:sz w:val="22"/>
              </w:rPr>
            </w:pPr>
            <w:r w:rsidRPr="007E0AF4">
              <w:rPr>
                <w:b/>
                <w:color w:val="000000"/>
                <w:sz w:val="22"/>
              </w:rPr>
              <w:t>Територія, на яку матиме вплив реалізація проекту</w:t>
            </w:r>
          </w:p>
        </w:tc>
        <w:tc>
          <w:tcPr>
            <w:tcW w:w="6945" w:type="dxa"/>
            <w:gridSpan w:val="7"/>
          </w:tcPr>
          <w:p w:rsidR="000729E2" w:rsidRPr="007E0AF4" w:rsidRDefault="000729E2" w:rsidP="00B12C1F">
            <w:pPr>
              <w:pBdr>
                <w:top w:val="nil"/>
                <w:left w:val="nil"/>
                <w:bottom w:val="nil"/>
                <w:right w:val="nil"/>
                <w:between w:val="nil"/>
              </w:pBdr>
              <w:rPr>
                <w:color w:val="000000"/>
                <w:sz w:val="22"/>
              </w:rPr>
            </w:pPr>
            <w:r w:rsidRPr="007E0AF4">
              <w:rPr>
                <w:color w:val="000000"/>
                <w:sz w:val="22"/>
              </w:rPr>
              <w:t>Сєвєродонецька міська територіальна громада</w:t>
            </w:r>
          </w:p>
        </w:tc>
      </w:tr>
      <w:tr w:rsidR="000729E2" w:rsidRPr="007E0AF4" w:rsidTr="00F34B87">
        <w:tc>
          <w:tcPr>
            <w:tcW w:w="2978" w:type="dxa"/>
            <w:shd w:val="clear" w:color="auto" w:fill="C6D9F1"/>
          </w:tcPr>
          <w:p w:rsidR="000729E2" w:rsidRPr="007E0AF4" w:rsidRDefault="000729E2" w:rsidP="00B12C1F">
            <w:pPr>
              <w:pBdr>
                <w:top w:val="nil"/>
                <w:left w:val="nil"/>
                <w:bottom w:val="nil"/>
                <w:right w:val="nil"/>
                <w:between w:val="nil"/>
              </w:pBdr>
              <w:rPr>
                <w:b/>
                <w:color w:val="000000"/>
                <w:sz w:val="22"/>
              </w:rPr>
            </w:pPr>
            <w:r w:rsidRPr="007E0AF4">
              <w:rPr>
                <w:b/>
                <w:color w:val="000000"/>
                <w:sz w:val="22"/>
              </w:rPr>
              <w:t>Чисельність населення, на яке матиме вплив реалізація проекту</w:t>
            </w:r>
          </w:p>
        </w:tc>
        <w:tc>
          <w:tcPr>
            <w:tcW w:w="6945" w:type="dxa"/>
            <w:gridSpan w:val="7"/>
          </w:tcPr>
          <w:p w:rsidR="000729E2" w:rsidRPr="007E0AF4" w:rsidRDefault="000729E2" w:rsidP="00B12C1F">
            <w:pPr>
              <w:pBdr>
                <w:top w:val="nil"/>
                <w:left w:val="nil"/>
                <w:bottom w:val="nil"/>
                <w:right w:val="nil"/>
                <w:between w:val="nil"/>
              </w:pBdr>
              <w:rPr>
                <w:color w:val="000000"/>
                <w:sz w:val="22"/>
              </w:rPr>
            </w:pPr>
            <w:r w:rsidRPr="007E0AF4">
              <w:rPr>
                <w:color w:val="000000"/>
                <w:sz w:val="22"/>
              </w:rPr>
              <w:t>70 000 осіб</w:t>
            </w:r>
          </w:p>
        </w:tc>
      </w:tr>
      <w:tr w:rsidR="000729E2" w:rsidRPr="007E0AF4" w:rsidTr="00F34B87">
        <w:tc>
          <w:tcPr>
            <w:tcW w:w="2978" w:type="dxa"/>
            <w:shd w:val="clear" w:color="auto" w:fill="C6D9F1"/>
          </w:tcPr>
          <w:p w:rsidR="000729E2" w:rsidRPr="007E0AF4" w:rsidRDefault="000729E2" w:rsidP="00B12C1F">
            <w:pPr>
              <w:rPr>
                <w:b/>
                <w:sz w:val="22"/>
              </w:rPr>
            </w:pPr>
            <w:r w:rsidRPr="007E0AF4">
              <w:rPr>
                <w:b/>
                <w:sz w:val="22"/>
              </w:rPr>
              <w:t>Опис проблеми, на вирішення якої  спрямований проект</w:t>
            </w:r>
          </w:p>
        </w:tc>
        <w:tc>
          <w:tcPr>
            <w:tcW w:w="6945" w:type="dxa"/>
            <w:gridSpan w:val="7"/>
          </w:tcPr>
          <w:p w:rsidR="000729E2" w:rsidRPr="007E0AF4" w:rsidRDefault="000729E2" w:rsidP="00B12C1F">
            <w:pPr>
              <w:rPr>
                <w:sz w:val="22"/>
                <w:highlight w:val="white"/>
              </w:rPr>
            </w:pPr>
            <w:r w:rsidRPr="007E0AF4">
              <w:rPr>
                <w:sz w:val="22"/>
              </w:rPr>
              <w:t>Через військову агресію РФ територія Сєвєродонецької міської територіальної громади зазнала значних пошкоджень. Гімназія № 7</w:t>
            </w:r>
            <w:r w:rsidRPr="007E0AF4">
              <w:rPr>
                <w:sz w:val="22"/>
                <w:highlight w:val="white"/>
              </w:rPr>
              <w:t xml:space="preserve"> зазнала значних руйнувань та пошкоджень: прямим влучанням артснарядів або вибуховою хвилею були пошкоджені стіни, дах, перекриття,  вікна, підлога, технічні мережі будівлі, що призвело до неможливості забезпечення сталого функціонування закладу освіти за санітарними, протипожежними вимогами відповідно до ЗУ "Про освіту" та Концепцію безпеки закладів освіти. Через погодні умови та пошкодження імовірно розпочався процес руйнування, який необхідно зупинити комплексними заходами.</w:t>
            </w:r>
          </w:p>
          <w:p w:rsidR="000729E2" w:rsidRPr="007E0AF4" w:rsidRDefault="000729E2" w:rsidP="00E45553">
            <w:pPr>
              <w:rPr>
                <w:color w:val="000000"/>
                <w:sz w:val="22"/>
              </w:rPr>
            </w:pPr>
            <w:r w:rsidRPr="007E0AF4">
              <w:rPr>
                <w:sz w:val="22"/>
                <w:highlight w:val="white"/>
              </w:rPr>
              <w:t xml:space="preserve">У ході </w:t>
            </w:r>
            <w:proofErr w:type="spellStart"/>
            <w:r w:rsidRPr="007E0AF4">
              <w:rPr>
                <w:sz w:val="22"/>
                <w:highlight w:val="white"/>
              </w:rPr>
              <w:t>про</w:t>
            </w:r>
            <w:r w:rsidR="00E45553" w:rsidRPr="007E0AF4">
              <w:rPr>
                <w:sz w:val="22"/>
                <w:highlight w:val="white"/>
              </w:rPr>
              <w:t>є</w:t>
            </w:r>
            <w:r w:rsidRPr="007E0AF4">
              <w:rPr>
                <w:sz w:val="22"/>
                <w:highlight w:val="white"/>
              </w:rPr>
              <w:t>кту</w:t>
            </w:r>
            <w:proofErr w:type="spellEnd"/>
            <w:r w:rsidRPr="007E0AF4">
              <w:rPr>
                <w:sz w:val="22"/>
                <w:highlight w:val="white"/>
              </w:rPr>
              <w:t xml:space="preserve"> необхідно відновити частково зруйновані перекриття покрівлі, стін, забезпечити міцність, безпечність, гідро- та теплоізоляцію будівлі закладу, відновити інженерні комунікації: </w:t>
            </w:r>
            <w:r w:rsidRPr="007E0AF4">
              <w:rPr>
                <w:sz w:val="22"/>
              </w:rPr>
              <w:t>систему опалення, електромережу, системи зв’язку та інтернету,</w:t>
            </w:r>
            <w:r w:rsidRPr="007E0AF4">
              <w:rPr>
                <w:sz w:val="22"/>
                <w:highlight w:val="white"/>
              </w:rPr>
              <w:t xml:space="preserve"> протипожежну систему, створити сучасний естетичний вигляд будівлі, відновити освітній простір, забезпечити доступність та </w:t>
            </w:r>
            <w:proofErr w:type="spellStart"/>
            <w:r w:rsidRPr="007E0AF4">
              <w:rPr>
                <w:sz w:val="22"/>
                <w:highlight w:val="white"/>
              </w:rPr>
              <w:t>інклюзивність</w:t>
            </w:r>
            <w:proofErr w:type="spellEnd"/>
            <w:r w:rsidRPr="007E0AF4">
              <w:rPr>
                <w:sz w:val="22"/>
                <w:highlight w:val="white"/>
              </w:rPr>
              <w:t xml:space="preserve"> будівлі тощо.</w:t>
            </w:r>
          </w:p>
        </w:tc>
      </w:tr>
      <w:tr w:rsidR="000729E2" w:rsidRPr="007E0AF4" w:rsidTr="00F34B87">
        <w:tc>
          <w:tcPr>
            <w:tcW w:w="2978" w:type="dxa"/>
            <w:shd w:val="clear" w:color="auto" w:fill="C6D9F1"/>
          </w:tcPr>
          <w:p w:rsidR="000729E2" w:rsidRPr="007E0AF4" w:rsidRDefault="000729E2" w:rsidP="00B12C1F">
            <w:pPr>
              <w:pBdr>
                <w:top w:val="nil"/>
                <w:left w:val="nil"/>
                <w:bottom w:val="nil"/>
                <w:right w:val="nil"/>
                <w:between w:val="nil"/>
              </w:pBdr>
              <w:rPr>
                <w:b/>
                <w:color w:val="000000"/>
                <w:sz w:val="22"/>
              </w:rPr>
            </w:pPr>
            <w:r w:rsidRPr="007E0AF4">
              <w:rPr>
                <w:b/>
                <w:color w:val="000000"/>
                <w:sz w:val="22"/>
              </w:rPr>
              <w:t>Очікувані якісні результати від реалізації проекту</w:t>
            </w:r>
          </w:p>
        </w:tc>
        <w:tc>
          <w:tcPr>
            <w:tcW w:w="6945" w:type="dxa"/>
            <w:gridSpan w:val="7"/>
          </w:tcPr>
          <w:p w:rsidR="000729E2" w:rsidRPr="007E0AF4" w:rsidRDefault="000729E2" w:rsidP="00B12C1F">
            <w:pPr>
              <w:pBdr>
                <w:top w:val="nil"/>
                <w:left w:val="nil"/>
                <w:bottom w:val="nil"/>
                <w:right w:val="nil"/>
                <w:between w:val="nil"/>
              </w:pBdr>
              <w:rPr>
                <w:color w:val="000000"/>
                <w:sz w:val="22"/>
              </w:rPr>
            </w:pPr>
            <w:r w:rsidRPr="007E0AF4">
              <w:rPr>
                <w:color w:val="000000"/>
                <w:sz w:val="22"/>
              </w:rPr>
              <w:t xml:space="preserve">- </w:t>
            </w:r>
            <w:r w:rsidRPr="007E0AF4">
              <w:rPr>
                <w:color w:val="212529"/>
                <w:sz w:val="22"/>
                <w:highlight w:val="white"/>
              </w:rPr>
              <w:t>гімназія № 7 повинна стати комфортним та безпечним середовищем для всіх учасників освітнього процесу;</w:t>
            </w:r>
          </w:p>
          <w:p w:rsidR="000729E2" w:rsidRPr="007E0AF4" w:rsidRDefault="000729E2" w:rsidP="00B12C1F">
            <w:pPr>
              <w:pBdr>
                <w:top w:val="nil"/>
                <w:left w:val="nil"/>
                <w:bottom w:val="nil"/>
                <w:right w:val="nil"/>
                <w:between w:val="nil"/>
              </w:pBdr>
              <w:rPr>
                <w:color w:val="000000"/>
                <w:sz w:val="22"/>
              </w:rPr>
            </w:pPr>
            <w:r w:rsidRPr="007E0AF4">
              <w:rPr>
                <w:sz w:val="22"/>
              </w:rPr>
              <w:t xml:space="preserve">- </w:t>
            </w:r>
            <w:r w:rsidRPr="007E0AF4">
              <w:rPr>
                <w:color w:val="000000"/>
                <w:sz w:val="22"/>
              </w:rPr>
              <w:t>забезпечення населення можливостями для реалізації його конституційних прав, пов’язаних із конституційним правом громадян на освіту;</w:t>
            </w:r>
          </w:p>
          <w:p w:rsidR="000729E2" w:rsidRPr="007E0AF4" w:rsidRDefault="000729E2" w:rsidP="00B12C1F">
            <w:pPr>
              <w:pBdr>
                <w:top w:val="nil"/>
                <w:left w:val="nil"/>
                <w:bottom w:val="nil"/>
                <w:right w:val="nil"/>
                <w:between w:val="nil"/>
              </w:pBdr>
              <w:rPr>
                <w:color w:val="000000"/>
                <w:sz w:val="22"/>
              </w:rPr>
            </w:pPr>
            <w:r w:rsidRPr="007E0AF4">
              <w:rPr>
                <w:color w:val="000000"/>
                <w:sz w:val="22"/>
              </w:rPr>
              <w:t>- надання широкого спектру послуг, пов’язаних із освітньою діяльністю;</w:t>
            </w:r>
          </w:p>
          <w:p w:rsidR="000729E2" w:rsidRPr="007E0AF4" w:rsidRDefault="000729E2" w:rsidP="00B12C1F">
            <w:pPr>
              <w:pBdr>
                <w:top w:val="nil"/>
                <w:left w:val="nil"/>
                <w:bottom w:val="nil"/>
                <w:right w:val="nil"/>
                <w:between w:val="nil"/>
              </w:pBdr>
              <w:rPr>
                <w:color w:val="000000"/>
                <w:sz w:val="22"/>
              </w:rPr>
            </w:pPr>
            <w:r w:rsidRPr="007E0AF4">
              <w:rPr>
                <w:color w:val="000000"/>
                <w:sz w:val="22"/>
              </w:rPr>
              <w:t>- вирішення ряду питань в межах статутної діяльності, пов’язаних із відбудовою та сталим розвитком громади;</w:t>
            </w:r>
          </w:p>
          <w:p w:rsidR="000729E2" w:rsidRPr="007E0AF4" w:rsidRDefault="000729E2" w:rsidP="00B12C1F">
            <w:pPr>
              <w:pBdr>
                <w:top w:val="nil"/>
                <w:left w:val="nil"/>
                <w:bottom w:val="nil"/>
                <w:right w:val="nil"/>
                <w:between w:val="nil"/>
              </w:pBdr>
              <w:rPr>
                <w:color w:val="000000"/>
                <w:sz w:val="22"/>
              </w:rPr>
            </w:pPr>
            <w:r w:rsidRPr="007E0AF4">
              <w:rPr>
                <w:color w:val="000000"/>
                <w:sz w:val="22"/>
              </w:rPr>
              <w:t>- створення нових робочих місць;</w:t>
            </w:r>
          </w:p>
          <w:p w:rsidR="000729E2" w:rsidRPr="007E0AF4" w:rsidRDefault="000729E2" w:rsidP="00B12C1F">
            <w:pPr>
              <w:pBdr>
                <w:top w:val="nil"/>
                <w:left w:val="nil"/>
                <w:bottom w:val="nil"/>
                <w:right w:val="nil"/>
                <w:between w:val="nil"/>
              </w:pBdr>
              <w:rPr>
                <w:color w:val="000000"/>
                <w:sz w:val="22"/>
              </w:rPr>
            </w:pPr>
            <w:r w:rsidRPr="007E0AF4">
              <w:rPr>
                <w:color w:val="000000"/>
                <w:sz w:val="22"/>
              </w:rPr>
              <w:lastRenderedPageBreak/>
              <w:t>- стимул до повернення ВПО до громади.</w:t>
            </w:r>
          </w:p>
        </w:tc>
      </w:tr>
      <w:tr w:rsidR="000729E2" w:rsidRPr="007E0AF4" w:rsidTr="00F34B87">
        <w:trPr>
          <w:trHeight w:val="390"/>
        </w:trPr>
        <w:tc>
          <w:tcPr>
            <w:tcW w:w="2978" w:type="dxa"/>
            <w:vMerge w:val="restart"/>
            <w:shd w:val="clear" w:color="auto" w:fill="C6D9F1"/>
          </w:tcPr>
          <w:p w:rsidR="000729E2" w:rsidRPr="007E0AF4" w:rsidRDefault="000729E2" w:rsidP="00B12C1F">
            <w:pPr>
              <w:pBdr>
                <w:top w:val="nil"/>
                <w:left w:val="nil"/>
                <w:bottom w:val="nil"/>
                <w:right w:val="nil"/>
                <w:between w:val="nil"/>
              </w:pBdr>
              <w:rPr>
                <w:b/>
                <w:color w:val="000000"/>
                <w:sz w:val="22"/>
              </w:rPr>
            </w:pPr>
            <w:r w:rsidRPr="007E0AF4">
              <w:rPr>
                <w:b/>
                <w:color w:val="000000"/>
                <w:sz w:val="22"/>
              </w:rPr>
              <w:lastRenderedPageBreak/>
              <w:t xml:space="preserve">Очікувані кількісні результати реалізації </w:t>
            </w:r>
            <w:proofErr w:type="spellStart"/>
            <w:r w:rsidRPr="007E0AF4">
              <w:rPr>
                <w:b/>
                <w:color w:val="000000"/>
                <w:sz w:val="22"/>
              </w:rPr>
              <w:t>проєкту</w:t>
            </w:r>
            <w:proofErr w:type="spellEnd"/>
            <w:r w:rsidRPr="007E0AF4">
              <w:rPr>
                <w:b/>
                <w:color w:val="000000"/>
                <w:sz w:val="22"/>
              </w:rPr>
              <w:t xml:space="preserve"> (індикатори)</w:t>
            </w:r>
          </w:p>
          <w:p w:rsidR="000729E2" w:rsidRPr="007E0AF4" w:rsidRDefault="000729E2" w:rsidP="00B12C1F">
            <w:pPr>
              <w:pBdr>
                <w:top w:val="nil"/>
                <w:left w:val="nil"/>
                <w:bottom w:val="nil"/>
                <w:right w:val="nil"/>
                <w:between w:val="nil"/>
              </w:pBdr>
              <w:rPr>
                <w:b/>
                <w:color w:val="000000"/>
                <w:sz w:val="22"/>
              </w:rPr>
            </w:pPr>
          </w:p>
        </w:tc>
        <w:tc>
          <w:tcPr>
            <w:tcW w:w="4110" w:type="dxa"/>
            <w:gridSpan w:val="4"/>
            <w:tcBorders>
              <w:bottom w:val="single" w:sz="4" w:space="0" w:color="000000"/>
              <w:right w:val="single" w:sz="4" w:space="0" w:color="000000"/>
            </w:tcBorders>
          </w:tcPr>
          <w:p w:rsidR="000729E2" w:rsidRPr="007E0AF4" w:rsidRDefault="000729E2" w:rsidP="00B12C1F">
            <w:pPr>
              <w:pBdr>
                <w:top w:val="nil"/>
                <w:left w:val="nil"/>
                <w:bottom w:val="nil"/>
                <w:right w:val="nil"/>
                <w:between w:val="nil"/>
              </w:pBdr>
              <w:ind w:left="-108"/>
              <w:jc w:val="center"/>
              <w:rPr>
                <w:b/>
                <w:color w:val="000000"/>
                <w:sz w:val="22"/>
              </w:rPr>
            </w:pPr>
            <w:r w:rsidRPr="007E0AF4">
              <w:rPr>
                <w:b/>
                <w:color w:val="000000"/>
                <w:sz w:val="22"/>
              </w:rPr>
              <w:t>Найменування показника</w:t>
            </w:r>
          </w:p>
        </w:tc>
        <w:tc>
          <w:tcPr>
            <w:tcW w:w="1843" w:type="dxa"/>
            <w:gridSpan w:val="2"/>
            <w:tcBorders>
              <w:left w:val="single" w:sz="4" w:space="0" w:color="000000"/>
              <w:bottom w:val="single" w:sz="4" w:space="0" w:color="000000"/>
              <w:right w:val="single" w:sz="4" w:space="0" w:color="000000"/>
            </w:tcBorders>
          </w:tcPr>
          <w:p w:rsidR="000729E2" w:rsidRPr="007E0AF4" w:rsidRDefault="000729E2" w:rsidP="00B12C1F">
            <w:pPr>
              <w:pBdr>
                <w:top w:val="nil"/>
                <w:left w:val="nil"/>
                <w:bottom w:val="nil"/>
                <w:right w:val="nil"/>
                <w:between w:val="nil"/>
              </w:pBdr>
              <w:jc w:val="center"/>
              <w:rPr>
                <w:b/>
                <w:color w:val="000000"/>
                <w:sz w:val="22"/>
              </w:rPr>
            </w:pPr>
            <w:r w:rsidRPr="007E0AF4">
              <w:rPr>
                <w:b/>
                <w:color w:val="000000"/>
                <w:sz w:val="22"/>
              </w:rPr>
              <w:t>Одиниця вимірювання</w:t>
            </w:r>
          </w:p>
        </w:tc>
        <w:tc>
          <w:tcPr>
            <w:tcW w:w="992" w:type="dxa"/>
            <w:tcBorders>
              <w:left w:val="single" w:sz="4" w:space="0" w:color="000000"/>
              <w:bottom w:val="single" w:sz="4" w:space="0" w:color="000000"/>
            </w:tcBorders>
          </w:tcPr>
          <w:p w:rsidR="000729E2" w:rsidRPr="007E0AF4" w:rsidRDefault="000729E2" w:rsidP="00B12C1F">
            <w:pPr>
              <w:pBdr>
                <w:top w:val="nil"/>
                <w:left w:val="nil"/>
                <w:bottom w:val="nil"/>
                <w:right w:val="nil"/>
                <w:between w:val="nil"/>
              </w:pBdr>
              <w:jc w:val="center"/>
              <w:rPr>
                <w:b/>
                <w:color w:val="000000"/>
                <w:sz w:val="22"/>
              </w:rPr>
            </w:pPr>
            <w:r w:rsidRPr="007E0AF4">
              <w:rPr>
                <w:b/>
                <w:color w:val="000000"/>
                <w:sz w:val="22"/>
              </w:rPr>
              <w:t>Прогнозне (цільове) значення</w:t>
            </w:r>
          </w:p>
        </w:tc>
      </w:tr>
      <w:tr w:rsidR="000729E2" w:rsidRPr="007E0AF4" w:rsidTr="00F34B87">
        <w:trPr>
          <w:trHeight w:val="585"/>
        </w:trPr>
        <w:tc>
          <w:tcPr>
            <w:tcW w:w="2978" w:type="dxa"/>
            <w:vMerge/>
            <w:shd w:val="clear" w:color="auto" w:fill="C6D9F1"/>
          </w:tcPr>
          <w:p w:rsidR="000729E2" w:rsidRPr="007E0AF4" w:rsidRDefault="000729E2" w:rsidP="00B12C1F">
            <w:pPr>
              <w:widowControl w:val="0"/>
              <w:pBdr>
                <w:top w:val="nil"/>
                <w:left w:val="nil"/>
                <w:bottom w:val="nil"/>
                <w:right w:val="nil"/>
                <w:between w:val="nil"/>
              </w:pBdr>
              <w:spacing w:line="276" w:lineRule="auto"/>
              <w:rPr>
                <w:b/>
                <w:color w:val="000000"/>
                <w:sz w:val="22"/>
              </w:rPr>
            </w:pPr>
          </w:p>
        </w:tc>
        <w:tc>
          <w:tcPr>
            <w:tcW w:w="4110" w:type="dxa"/>
            <w:gridSpan w:val="4"/>
            <w:tcBorders>
              <w:top w:val="single" w:sz="4" w:space="0" w:color="000000"/>
              <w:bottom w:val="single" w:sz="4" w:space="0" w:color="000000"/>
              <w:right w:val="single" w:sz="4" w:space="0" w:color="000000"/>
            </w:tcBorders>
          </w:tcPr>
          <w:p w:rsidR="000729E2" w:rsidRPr="007E0AF4" w:rsidRDefault="000729E2" w:rsidP="00B12C1F">
            <w:pPr>
              <w:pBdr>
                <w:top w:val="nil"/>
                <w:left w:val="nil"/>
                <w:bottom w:val="nil"/>
                <w:right w:val="nil"/>
                <w:between w:val="nil"/>
              </w:pBdr>
              <w:jc w:val="center"/>
              <w:rPr>
                <w:color w:val="000000"/>
                <w:sz w:val="22"/>
              </w:rPr>
            </w:pPr>
            <w:r w:rsidRPr="007E0AF4">
              <w:rPr>
                <w:color w:val="000000"/>
                <w:sz w:val="22"/>
              </w:rPr>
              <w:t>Кількість учнів</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0729E2" w:rsidRPr="007E0AF4" w:rsidRDefault="000729E2" w:rsidP="00B12C1F">
            <w:pPr>
              <w:pBdr>
                <w:top w:val="nil"/>
                <w:left w:val="nil"/>
                <w:bottom w:val="nil"/>
                <w:right w:val="nil"/>
                <w:between w:val="nil"/>
              </w:pBdr>
              <w:jc w:val="center"/>
              <w:rPr>
                <w:color w:val="000000"/>
                <w:sz w:val="22"/>
              </w:rPr>
            </w:pPr>
            <w:r w:rsidRPr="007E0AF4">
              <w:rPr>
                <w:color w:val="000000"/>
                <w:sz w:val="22"/>
              </w:rPr>
              <w:t>осіб</w:t>
            </w:r>
          </w:p>
        </w:tc>
        <w:tc>
          <w:tcPr>
            <w:tcW w:w="992" w:type="dxa"/>
            <w:tcBorders>
              <w:top w:val="single" w:sz="4" w:space="0" w:color="000000"/>
              <w:left w:val="single" w:sz="4" w:space="0" w:color="000000"/>
              <w:bottom w:val="single" w:sz="4" w:space="0" w:color="000000"/>
            </w:tcBorders>
          </w:tcPr>
          <w:p w:rsidR="000729E2" w:rsidRPr="007E0AF4" w:rsidRDefault="000729E2" w:rsidP="00B12C1F">
            <w:pPr>
              <w:pBdr>
                <w:top w:val="nil"/>
                <w:left w:val="nil"/>
                <w:bottom w:val="nil"/>
                <w:right w:val="nil"/>
                <w:between w:val="nil"/>
              </w:pBdr>
              <w:jc w:val="center"/>
              <w:rPr>
                <w:color w:val="000000"/>
                <w:sz w:val="22"/>
              </w:rPr>
            </w:pPr>
            <w:r w:rsidRPr="007E0AF4">
              <w:rPr>
                <w:sz w:val="22"/>
              </w:rPr>
              <w:t>418</w:t>
            </w:r>
            <w:r w:rsidRPr="007E0AF4">
              <w:rPr>
                <w:color w:val="000000"/>
                <w:sz w:val="22"/>
              </w:rPr>
              <w:t xml:space="preserve"> </w:t>
            </w:r>
          </w:p>
        </w:tc>
      </w:tr>
      <w:tr w:rsidR="000729E2" w:rsidRPr="007E0AF4" w:rsidTr="00F34B87">
        <w:trPr>
          <w:trHeight w:val="184"/>
        </w:trPr>
        <w:tc>
          <w:tcPr>
            <w:tcW w:w="2978" w:type="dxa"/>
            <w:vMerge/>
            <w:shd w:val="clear" w:color="auto" w:fill="C6D9F1"/>
          </w:tcPr>
          <w:p w:rsidR="000729E2" w:rsidRPr="007E0AF4" w:rsidRDefault="000729E2" w:rsidP="00B12C1F">
            <w:pPr>
              <w:widowControl w:val="0"/>
              <w:pBdr>
                <w:top w:val="nil"/>
                <w:left w:val="nil"/>
                <w:bottom w:val="nil"/>
                <w:right w:val="nil"/>
                <w:between w:val="nil"/>
              </w:pBdr>
              <w:spacing w:line="276" w:lineRule="auto"/>
              <w:rPr>
                <w:color w:val="000000"/>
                <w:sz w:val="22"/>
              </w:rPr>
            </w:pPr>
          </w:p>
        </w:tc>
        <w:tc>
          <w:tcPr>
            <w:tcW w:w="4110" w:type="dxa"/>
            <w:gridSpan w:val="4"/>
            <w:tcBorders>
              <w:top w:val="single" w:sz="4" w:space="0" w:color="000000"/>
              <w:bottom w:val="single" w:sz="4" w:space="0" w:color="000000"/>
              <w:right w:val="single" w:sz="4" w:space="0" w:color="000000"/>
            </w:tcBorders>
          </w:tcPr>
          <w:p w:rsidR="000729E2" w:rsidRPr="007E0AF4" w:rsidRDefault="000729E2" w:rsidP="00B12C1F">
            <w:pPr>
              <w:pBdr>
                <w:top w:val="nil"/>
                <w:left w:val="nil"/>
                <w:bottom w:val="nil"/>
                <w:right w:val="nil"/>
                <w:between w:val="nil"/>
              </w:pBdr>
              <w:jc w:val="center"/>
              <w:rPr>
                <w:color w:val="000000"/>
                <w:sz w:val="22"/>
              </w:rPr>
            </w:pPr>
            <w:r w:rsidRPr="007E0AF4">
              <w:rPr>
                <w:color w:val="000000"/>
                <w:sz w:val="22"/>
              </w:rPr>
              <w:t>Кількість уроків</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0729E2" w:rsidRPr="007E0AF4" w:rsidRDefault="000729E2" w:rsidP="00B12C1F">
            <w:pPr>
              <w:pBdr>
                <w:top w:val="nil"/>
                <w:left w:val="nil"/>
                <w:bottom w:val="nil"/>
                <w:right w:val="nil"/>
                <w:between w:val="nil"/>
              </w:pBdr>
              <w:jc w:val="center"/>
              <w:rPr>
                <w:color w:val="000000"/>
                <w:sz w:val="22"/>
              </w:rPr>
            </w:pPr>
            <w:r w:rsidRPr="007E0AF4">
              <w:rPr>
                <w:color w:val="000000"/>
                <w:sz w:val="22"/>
              </w:rPr>
              <w:t>одиниць</w:t>
            </w:r>
          </w:p>
        </w:tc>
        <w:tc>
          <w:tcPr>
            <w:tcW w:w="992" w:type="dxa"/>
            <w:tcBorders>
              <w:top w:val="single" w:sz="4" w:space="0" w:color="000000"/>
              <w:left w:val="single" w:sz="4" w:space="0" w:color="000000"/>
              <w:bottom w:val="single" w:sz="4" w:space="0" w:color="000000"/>
            </w:tcBorders>
          </w:tcPr>
          <w:p w:rsidR="000729E2" w:rsidRPr="007E0AF4" w:rsidRDefault="000729E2" w:rsidP="00B12C1F">
            <w:pPr>
              <w:pBdr>
                <w:top w:val="nil"/>
                <w:left w:val="nil"/>
                <w:bottom w:val="nil"/>
                <w:right w:val="nil"/>
                <w:between w:val="nil"/>
              </w:pBdr>
              <w:jc w:val="center"/>
              <w:rPr>
                <w:color w:val="000000"/>
                <w:sz w:val="22"/>
              </w:rPr>
            </w:pPr>
            <w:r w:rsidRPr="007E0AF4">
              <w:rPr>
                <w:color w:val="000000"/>
                <w:sz w:val="22"/>
              </w:rPr>
              <w:t>63</w:t>
            </w:r>
          </w:p>
        </w:tc>
      </w:tr>
      <w:tr w:rsidR="000729E2" w:rsidRPr="007E0AF4" w:rsidTr="00F34B87">
        <w:trPr>
          <w:trHeight w:val="150"/>
        </w:trPr>
        <w:tc>
          <w:tcPr>
            <w:tcW w:w="2978" w:type="dxa"/>
            <w:vMerge/>
            <w:shd w:val="clear" w:color="auto" w:fill="C6D9F1"/>
          </w:tcPr>
          <w:p w:rsidR="000729E2" w:rsidRPr="007E0AF4" w:rsidRDefault="000729E2" w:rsidP="00B12C1F">
            <w:pPr>
              <w:widowControl w:val="0"/>
              <w:pBdr>
                <w:top w:val="nil"/>
                <w:left w:val="nil"/>
                <w:bottom w:val="nil"/>
                <w:right w:val="nil"/>
                <w:between w:val="nil"/>
              </w:pBdr>
              <w:spacing w:line="276" w:lineRule="auto"/>
              <w:rPr>
                <w:color w:val="000000"/>
                <w:sz w:val="22"/>
              </w:rPr>
            </w:pPr>
          </w:p>
        </w:tc>
        <w:tc>
          <w:tcPr>
            <w:tcW w:w="4110" w:type="dxa"/>
            <w:gridSpan w:val="4"/>
            <w:tcBorders>
              <w:top w:val="single" w:sz="4" w:space="0" w:color="000000"/>
              <w:right w:val="single" w:sz="4" w:space="0" w:color="000000"/>
            </w:tcBorders>
          </w:tcPr>
          <w:p w:rsidR="000729E2" w:rsidRPr="007E0AF4" w:rsidRDefault="000729E2" w:rsidP="00B12C1F">
            <w:pPr>
              <w:pBdr>
                <w:top w:val="nil"/>
                <w:left w:val="nil"/>
                <w:bottom w:val="nil"/>
                <w:right w:val="nil"/>
                <w:between w:val="nil"/>
              </w:pBdr>
              <w:jc w:val="center"/>
              <w:rPr>
                <w:color w:val="000000"/>
                <w:sz w:val="22"/>
              </w:rPr>
            </w:pPr>
            <w:r w:rsidRPr="007E0AF4">
              <w:rPr>
                <w:color w:val="000000"/>
                <w:sz w:val="22"/>
              </w:rPr>
              <w:t>Термін надання послуги</w:t>
            </w:r>
          </w:p>
        </w:tc>
        <w:tc>
          <w:tcPr>
            <w:tcW w:w="1843" w:type="dxa"/>
            <w:gridSpan w:val="2"/>
            <w:tcBorders>
              <w:top w:val="single" w:sz="4" w:space="0" w:color="000000"/>
              <w:left w:val="single" w:sz="4" w:space="0" w:color="000000"/>
              <w:right w:val="single" w:sz="4" w:space="0" w:color="000000"/>
            </w:tcBorders>
            <w:vAlign w:val="center"/>
          </w:tcPr>
          <w:p w:rsidR="000729E2" w:rsidRPr="007E0AF4" w:rsidRDefault="000729E2" w:rsidP="00B12C1F">
            <w:pPr>
              <w:pBdr>
                <w:top w:val="nil"/>
                <w:left w:val="nil"/>
                <w:bottom w:val="nil"/>
                <w:right w:val="nil"/>
                <w:between w:val="nil"/>
              </w:pBdr>
              <w:jc w:val="center"/>
              <w:rPr>
                <w:color w:val="000000"/>
                <w:sz w:val="22"/>
              </w:rPr>
            </w:pPr>
            <w:r w:rsidRPr="007E0AF4">
              <w:rPr>
                <w:color w:val="000000"/>
                <w:sz w:val="22"/>
              </w:rPr>
              <w:t>день</w:t>
            </w:r>
          </w:p>
        </w:tc>
        <w:tc>
          <w:tcPr>
            <w:tcW w:w="992" w:type="dxa"/>
            <w:tcBorders>
              <w:top w:val="single" w:sz="4" w:space="0" w:color="000000"/>
              <w:left w:val="single" w:sz="4" w:space="0" w:color="000000"/>
            </w:tcBorders>
          </w:tcPr>
          <w:p w:rsidR="000729E2" w:rsidRPr="007E0AF4" w:rsidRDefault="000729E2" w:rsidP="00B12C1F">
            <w:pPr>
              <w:pBdr>
                <w:top w:val="nil"/>
                <w:left w:val="nil"/>
                <w:bottom w:val="nil"/>
                <w:right w:val="nil"/>
                <w:between w:val="nil"/>
              </w:pBdr>
              <w:jc w:val="center"/>
              <w:rPr>
                <w:color w:val="000000"/>
                <w:sz w:val="22"/>
              </w:rPr>
            </w:pPr>
            <w:r w:rsidRPr="007E0AF4">
              <w:rPr>
                <w:color w:val="000000"/>
                <w:sz w:val="22"/>
              </w:rPr>
              <w:t>365</w:t>
            </w:r>
          </w:p>
        </w:tc>
      </w:tr>
      <w:tr w:rsidR="000729E2" w:rsidRPr="007E0AF4" w:rsidTr="00F34B87">
        <w:trPr>
          <w:trHeight w:val="150"/>
        </w:trPr>
        <w:tc>
          <w:tcPr>
            <w:tcW w:w="2978" w:type="dxa"/>
            <w:shd w:val="clear" w:color="auto" w:fill="C6D9F1"/>
          </w:tcPr>
          <w:p w:rsidR="000729E2" w:rsidRPr="007E0AF4" w:rsidRDefault="000729E2" w:rsidP="00B12C1F">
            <w:pPr>
              <w:pBdr>
                <w:top w:val="nil"/>
                <w:left w:val="nil"/>
                <w:bottom w:val="nil"/>
                <w:right w:val="nil"/>
                <w:between w:val="nil"/>
              </w:pBdr>
              <w:rPr>
                <w:b/>
                <w:color w:val="000000"/>
                <w:sz w:val="22"/>
              </w:rPr>
            </w:pPr>
          </w:p>
        </w:tc>
        <w:tc>
          <w:tcPr>
            <w:tcW w:w="4110" w:type="dxa"/>
            <w:gridSpan w:val="4"/>
            <w:tcBorders>
              <w:top w:val="single" w:sz="4" w:space="0" w:color="000000"/>
              <w:right w:val="single" w:sz="4" w:space="0" w:color="000000"/>
            </w:tcBorders>
          </w:tcPr>
          <w:p w:rsidR="000729E2" w:rsidRPr="007E0AF4" w:rsidRDefault="000729E2" w:rsidP="00A266C1">
            <w:pPr>
              <w:pBdr>
                <w:top w:val="nil"/>
                <w:left w:val="nil"/>
                <w:bottom w:val="nil"/>
                <w:right w:val="nil"/>
                <w:between w:val="nil"/>
              </w:pBdr>
              <w:jc w:val="center"/>
              <w:rPr>
                <w:color w:val="000000"/>
                <w:sz w:val="22"/>
              </w:rPr>
            </w:pPr>
            <w:r w:rsidRPr="007E0AF4">
              <w:rPr>
                <w:color w:val="000000"/>
                <w:sz w:val="22"/>
              </w:rPr>
              <w:t>Кількість населених пунктів, як</w:t>
            </w:r>
            <w:r w:rsidR="00A266C1" w:rsidRPr="007E0AF4">
              <w:rPr>
                <w:color w:val="000000"/>
                <w:sz w:val="22"/>
              </w:rPr>
              <w:t>і</w:t>
            </w:r>
            <w:r w:rsidRPr="007E0AF4">
              <w:rPr>
                <w:color w:val="000000"/>
                <w:sz w:val="22"/>
              </w:rPr>
              <w:t xml:space="preserve"> обслуговує </w:t>
            </w:r>
            <w:r w:rsidR="00A266C1" w:rsidRPr="007E0AF4">
              <w:rPr>
                <w:color w:val="000000"/>
                <w:sz w:val="22"/>
              </w:rPr>
              <w:t>заклад</w:t>
            </w:r>
          </w:p>
        </w:tc>
        <w:tc>
          <w:tcPr>
            <w:tcW w:w="1843" w:type="dxa"/>
            <w:gridSpan w:val="2"/>
            <w:tcBorders>
              <w:top w:val="single" w:sz="4" w:space="0" w:color="000000"/>
              <w:left w:val="single" w:sz="4" w:space="0" w:color="000000"/>
              <w:right w:val="single" w:sz="4" w:space="0" w:color="000000"/>
            </w:tcBorders>
            <w:vAlign w:val="center"/>
          </w:tcPr>
          <w:p w:rsidR="000729E2" w:rsidRPr="007E0AF4" w:rsidRDefault="000729E2" w:rsidP="00B12C1F">
            <w:pPr>
              <w:pBdr>
                <w:top w:val="nil"/>
                <w:left w:val="nil"/>
                <w:bottom w:val="nil"/>
                <w:right w:val="nil"/>
                <w:between w:val="nil"/>
              </w:pBdr>
              <w:jc w:val="center"/>
              <w:rPr>
                <w:color w:val="000000"/>
                <w:sz w:val="22"/>
              </w:rPr>
            </w:pPr>
            <w:r w:rsidRPr="007E0AF4">
              <w:rPr>
                <w:color w:val="000000"/>
                <w:sz w:val="22"/>
              </w:rPr>
              <w:t>одиниць</w:t>
            </w:r>
          </w:p>
        </w:tc>
        <w:tc>
          <w:tcPr>
            <w:tcW w:w="992" w:type="dxa"/>
            <w:tcBorders>
              <w:top w:val="single" w:sz="4" w:space="0" w:color="000000"/>
              <w:left w:val="single" w:sz="4" w:space="0" w:color="000000"/>
            </w:tcBorders>
          </w:tcPr>
          <w:p w:rsidR="000729E2" w:rsidRPr="007E0AF4" w:rsidRDefault="000729E2" w:rsidP="00B12C1F">
            <w:pPr>
              <w:jc w:val="center"/>
              <w:rPr>
                <w:color w:val="000000"/>
                <w:sz w:val="22"/>
                <w:lang w:val="ru-RU"/>
              </w:rPr>
            </w:pPr>
            <w:r w:rsidRPr="007E0AF4">
              <w:rPr>
                <w:color w:val="000000"/>
                <w:sz w:val="22"/>
                <w:lang w:val="ru-RU"/>
              </w:rPr>
              <w:t>20</w:t>
            </w:r>
          </w:p>
        </w:tc>
      </w:tr>
      <w:tr w:rsidR="000729E2" w:rsidRPr="007E0AF4" w:rsidTr="00F34B87">
        <w:tc>
          <w:tcPr>
            <w:tcW w:w="2978" w:type="dxa"/>
            <w:shd w:val="clear" w:color="auto" w:fill="C6D9F1"/>
          </w:tcPr>
          <w:p w:rsidR="000729E2" w:rsidRPr="007E0AF4" w:rsidRDefault="000729E2" w:rsidP="00B12C1F">
            <w:pPr>
              <w:rPr>
                <w:b/>
                <w:sz w:val="22"/>
              </w:rPr>
            </w:pPr>
            <w:r w:rsidRPr="007E0AF4">
              <w:rPr>
                <w:b/>
                <w:sz w:val="22"/>
              </w:rPr>
              <w:t xml:space="preserve">Ключові заходи проекту: </w:t>
            </w:r>
          </w:p>
          <w:p w:rsidR="000729E2" w:rsidRPr="007E0AF4" w:rsidRDefault="000729E2" w:rsidP="00B12C1F">
            <w:pPr>
              <w:pBdr>
                <w:top w:val="nil"/>
                <w:left w:val="nil"/>
                <w:bottom w:val="nil"/>
                <w:right w:val="nil"/>
                <w:between w:val="nil"/>
              </w:pBdr>
              <w:rPr>
                <w:b/>
                <w:color w:val="000000"/>
                <w:sz w:val="22"/>
              </w:rPr>
            </w:pPr>
          </w:p>
        </w:tc>
        <w:tc>
          <w:tcPr>
            <w:tcW w:w="6945" w:type="dxa"/>
            <w:gridSpan w:val="7"/>
          </w:tcPr>
          <w:p w:rsidR="000729E2" w:rsidRPr="007E0AF4" w:rsidRDefault="000729E2" w:rsidP="00B12C1F">
            <w:pPr>
              <w:pBdr>
                <w:top w:val="nil"/>
                <w:left w:val="nil"/>
                <w:bottom w:val="nil"/>
                <w:right w:val="nil"/>
                <w:between w:val="nil"/>
              </w:pBdr>
              <w:rPr>
                <w:sz w:val="22"/>
              </w:rPr>
            </w:pPr>
            <w:r w:rsidRPr="007E0AF4">
              <w:rPr>
                <w:color w:val="000000"/>
                <w:sz w:val="22"/>
              </w:rPr>
              <w:t>-</w:t>
            </w:r>
            <w:r w:rsidRPr="007E0AF4">
              <w:rPr>
                <w:sz w:val="22"/>
              </w:rPr>
              <w:t xml:space="preserve"> обстеження стану будівлі;</w:t>
            </w:r>
          </w:p>
          <w:p w:rsidR="000729E2" w:rsidRPr="007E0AF4" w:rsidRDefault="000729E2" w:rsidP="00B12C1F">
            <w:pPr>
              <w:pBdr>
                <w:top w:val="nil"/>
                <w:left w:val="nil"/>
                <w:bottom w:val="nil"/>
                <w:right w:val="nil"/>
                <w:between w:val="nil"/>
              </w:pBdr>
              <w:rPr>
                <w:sz w:val="22"/>
                <w:highlight w:val="white"/>
              </w:rPr>
            </w:pPr>
            <w:r w:rsidRPr="007E0AF4">
              <w:rPr>
                <w:sz w:val="22"/>
              </w:rPr>
              <w:t xml:space="preserve">- </w:t>
            </w:r>
            <w:r w:rsidRPr="007E0AF4">
              <w:rPr>
                <w:sz w:val="22"/>
                <w:highlight w:val="white"/>
              </w:rPr>
              <w:t xml:space="preserve"> створення плану реконструкції,</w:t>
            </w:r>
          </w:p>
          <w:p w:rsidR="000729E2" w:rsidRPr="007E0AF4" w:rsidRDefault="000729E2" w:rsidP="00B12C1F">
            <w:pPr>
              <w:pBdr>
                <w:top w:val="nil"/>
                <w:left w:val="nil"/>
                <w:bottom w:val="nil"/>
                <w:right w:val="nil"/>
                <w:between w:val="nil"/>
              </w:pBdr>
              <w:rPr>
                <w:sz w:val="22"/>
              </w:rPr>
            </w:pPr>
            <w:r w:rsidRPr="007E0AF4">
              <w:rPr>
                <w:sz w:val="22"/>
              </w:rPr>
              <w:t xml:space="preserve">- виготовлення </w:t>
            </w:r>
            <w:proofErr w:type="spellStart"/>
            <w:r w:rsidRPr="007E0AF4">
              <w:rPr>
                <w:sz w:val="22"/>
              </w:rPr>
              <w:t>проєктно</w:t>
            </w:r>
            <w:proofErr w:type="spellEnd"/>
            <w:r w:rsidRPr="007E0AF4">
              <w:rPr>
                <w:sz w:val="22"/>
              </w:rPr>
              <w:t>-кошторисної документації;</w:t>
            </w:r>
          </w:p>
          <w:p w:rsidR="000729E2" w:rsidRPr="007E0AF4" w:rsidRDefault="000729E2" w:rsidP="00B12C1F">
            <w:pPr>
              <w:rPr>
                <w:sz w:val="22"/>
              </w:rPr>
            </w:pPr>
            <w:r w:rsidRPr="007E0AF4">
              <w:rPr>
                <w:sz w:val="22"/>
              </w:rPr>
              <w:t>- закупівля робіт, товарів, послуг;</w:t>
            </w:r>
          </w:p>
          <w:p w:rsidR="000729E2" w:rsidRPr="007E0AF4" w:rsidRDefault="000729E2" w:rsidP="00B12C1F">
            <w:pPr>
              <w:pBdr>
                <w:top w:val="nil"/>
                <w:left w:val="nil"/>
                <w:bottom w:val="nil"/>
                <w:right w:val="nil"/>
                <w:between w:val="nil"/>
              </w:pBdr>
              <w:rPr>
                <w:sz w:val="22"/>
              </w:rPr>
            </w:pPr>
            <w:r w:rsidRPr="007E0AF4">
              <w:rPr>
                <w:sz w:val="22"/>
              </w:rPr>
              <w:t>-виконання комплексу робіт з реконструкції будівлі:</w:t>
            </w:r>
            <w:r w:rsidRPr="007E0AF4">
              <w:rPr>
                <w:sz w:val="22"/>
                <w:highlight w:val="white"/>
              </w:rPr>
              <w:t xml:space="preserve"> відновлення стін, покрівлі, </w:t>
            </w:r>
            <w:r w:rsidRPr="007E0AF4">
              <w:rPr>
                <w:sz w:val="22"/>
              </w:rPr>
              <w:t xml:space="preserve">зміцнення або відновлення фундаменту, ґрунтових мас, </w:t>
            </w:r>
            <w:r w:rsidRPr="007E0AF4">
              <w:rPr>
                <w:sz w:val="22"/>
                <w:highlight w:val="white"/>
              </w:rPr>
              <w:t xml:space="preserve">несучих конструкцій, відновлення та модернізація інженерних мереж (теплопостачання (індивідуальна котельня, тепломережі зовнішні і внутрішні) водогін та водовідведення, індивідуальна каналізація, електромережі, інтернет та телефонний зв’язок, пожежна сигналізація та гідрант, відеоспостереження), автоматизація системи комунікацій, </w:t>
            </w:r>
            <w:r w:rsidRPr="007E0AF4">
              <w:rPr>
                <w:sz w:val="22"/>
              </w:rPr>
              <w:t xml:space="preserve">створення сучасного укриття, </w:t>
            </w:r>
            <w:r w:rsidRPr="007E0AF4">
              <w:rPr>
                <w:sz w:val="22"/>
                <w:highlight w:val="white"/>
              </w:rPr>
              <w:t>реконструкція фасадного шару (</w:t>
            </w:r>
            <w:proofErr w:type="spellStart"/>
            <w:r w:rsidRPr="007E0AF4">
              <w:rPr>
                <w:sz w:val="22"/>
              </w:rPr>
              <w:t>термо</w:t>
            </w:r>
            <w:proofErr w:type="spellEnd"/>
            <w:r w:rsidRPr="007E0AF4">
              <w:rPr>
                <w:sz w:val="22"/>
              </w:rPr>
              <w:t>- і гідроізоляція, оздоблення)</w:t>
            </w:r>
            <w:r w:rsidRPr="007E0AF4">
              <w:rPr>
                <w:sz w:val="22"/>
                <w:highlight w:val="white"/>
              </w:rPr>
              <w:t xml:space="preserve">, </w:t>
            </w:r>
            <w:r w:rsidRPr="007E0AF4">
              <w:rPr>
                <w:sz w:val="22"/>
              </w:rPr>
              <w:t>встановлення енергоефективних віконних профілів і дверей; заміна старого підлогового покриття; роботи з вирівнювання, обробки та оздоблення стін,  формування нового освітнього середовища тощо.</w:t>
            </w:r>
          </w:p>
        </w:tc>
      </w:tr>
      <w:tr w:rsidR="000729E2" w:rsidRPr="007E0AF4" w:rsidTr="00F34B87">
        <w:trPr>
          <w:trHeight w:val="360"/>
        </w:trPr>
        <w:tc>
          <w:tcPr>
            <w:tcW w:w="2978" w:type="dxa"/>
            <w:vMerge w:val="restart"/>
            <w:shd w:val="clear" w:color="auto" w:fill="C6D9F1"/>
          </w:tcPr>
          <w:p w:rsidR="000729E2" w:rsidRPr="007E0AF4" w:rsidRDefault="000729E2" w:rsidP="00B12C1F">
            <w:pPr>
              <w:pBdr>
                <w:top w:val="nil"/>
                <w:left w:val="nil"/>
                <w:bottom w:val="nil"/>
                <w:right w:val="nil"/>
                <w:between w:val="nil"/>
              </w:pBdr>
              <w:rPr>
                <w:b/>
                <w:color w:val="000000"/>
                <w:sz w:val="22"/>
              </w:rPr>
            </w:pPr>
            <w:r w:rsidRPr="007E0AF4">
              <w:rPr>
                <w:b/>
                <w:color w:val="000000"/>
                <w:sz w:val="22"/>
              </w:rPr>
              <w:t xml:space="preserve">Орієнтовний обсяг та джерела фінансування, тис. грн. </w:t>
            </w:r>
          </w:p>
          <w:p w:rsidR="000729E2" w:rsidRPr="007E0AF4" w:rsidRDefault="000729E2" w:rsidP="00B12C1F">
            <w:pPr>
              <w:pBdr>
                <w:top w:val="nil"/>
                <w:left w:val="nil"/>
                <w:bottom w:val="nil"/>
                <w:right w:val="nil"/>
                <w:between w:val="nil"/>
              </w:pBdr>
              <w:rPr>
                <w:b/>
                <w:color w:val="000000"/>
                <w:sz w:val="22"/>
              </w:rPr>
            </w:pPr>
          </w:p>
        </w:tc>
        <w:tc>
          <w:tcPr>
            <w:tcW w:w="1275" w:type="dxa"/>
            <w:tcBorders>
              <w:bottom w:val="single" w:sz="4" w:space="0" w:color="000000"/>
              <w:right w:val="single" w:sz="4" w:space="0" w:color="000000"/>
            </w:tcBorders>
          </w:tcPr>
          <w:p w:rsidR="000729E2" w:rsidRPr="007E0AF4" w:rsidRDefault="000729E2" w:rsidP="00B12C1F">
            <w:pPr>
              <w:pBdr>
                <w:top w:val="nil"/>
                <w:left w:val="nil"/>
                <w:bottom w:val="nil"/>
                <w:right w:val="nil"/>
                <w:between w:val="nil"/>
              </w:pBdr>
              <w:jc w:val="center"/>
              <w:rPr>
                <w:b/>
                <w:color w:val="000000"/>
                <w:sz w:val="22"/>
              </w:rPr>
            </w:pPr>
            <w:r w:rsidRPr="007E0AF4">
              <w:rPr>
                <w:b/>
                <w:color w:val="000000"/>
                <w:sz w:val="22"/>
              </w:rPr>
              <w:t>Державний бюджет</w:t>
            </w:r>
          </w:p>
        </w:tc>
        <w:tc>
          <w:tcPr>
            <w:tcW w:w="1276" w:type="dxa"/>
            <w:tcBorders>
              <w:bottom w:val="single" w:sz="4" w:space="0" w:color="000000"/>
              <w:right w:val="single" w:sz="4" w:space="0" w:color="000000"/>
            </w:tcBorders>
          </w:tcPr>
          <w:p w:rsidR="000729E2" w:rsidRPr="007E0AF4" w:rsidRDefault="000729E2" w:rsidP="00B12C1F">
            <w:pPr>
              <w:pBdr>
                <w:top w:val="nil"/>
                <w:left w:val="nil"/>
                <w:bottom w:val="nil"/>
                <w:right w:val="nil"/>
                <w:between w:val="nil"/>
              </w:pBdr>
              <w:jc w:val="center"/>
              <w:rPr>
                <w:b/>
                <w:color w:val="000000"/>
                <w:sz w:val="22"/>
              </w:rPr>
            </w:pPr>
            <w:r w:rsidRPr="007E0AF4">
              <w:rPr>
                <w:b/>
                <w:color w:val="000000"/>
                <w:sz w:val="22"/>
              </w:rPr>
              <w:t>Місцевий бюджет</w:t>
            </w:r>
          </w:p>
        </w:tc>
        <w:tc>
          <w:tcPr>
            <w:tcW w:w="2977" w:type="dxa"/>
            <w:gridSpan w:val="3"/>
            <w:tcBorders>
              <w:left w:val="single" w:sz="4" w:space="0" w:color="000000"/>
              <w:bottom w:val="single" w:sz="4" w:space="0" w:color="000000"/>
              <w:right w:val="single" w:sz="4" w:space="0" w:color="000000"/>
            </w:tcBorders>
          </w:tcPr>
          <w:p w:rsidR="000729E2" w:rsidRPr="007E0AF4" w:rsidRDefault="000729E2" w:rsidP="00B12C1F">
            <w:pPr>
              <w:pBdr>
                <w:top w:val="nil"/>
                <w:left w:val="nil"/>
                <w:bottom w:val="nil"/>
                <w:right w:val="nil"/>
                <w:between w:val="nil"/>
              </w:pBdr>
              <w:jc w:val="center"/>
              <w:rPr>
                <w:b/>
                <w:color w:val="000000"/>
                <w:sz w:val="22"/>
              </w:rPr>
            </w:pPr>
            <w:r w:rsidRPr="007E0AF4">
              <w:rPr>
                <w:b/>
                <w:color w:val="000000"/>
                <w:sz w:val="22"/>
              </w:rPr>
              <w:t>Інші джерела</w:t>
            </w:r>
          </w:p>
        </w:tc>
        <w:tc>
          <w:tcPr>
            <w:tcW w:w="1417" w:type="dxa"/>
            <w:gridSpan w:val="2"/>
            <w:tcBorders>
              <w:left w:val="single" w:sz="4" w:space="0" w:color="000000"/>
              <w:bottom w:val="single" w:sz="4" w:space="0" w:color="000000"/>
            </w:tcBorders>
          </w:tcPr>
          <w:p w:rsidR="000729E2" w:rsidRPr="007E0AF4" w:rsidRDefault="000729E2" w:rsidP="00B12C1F">
            <w:pPr>
              <w:pBdr>
                <w:top w:val="nil"/>
                <w:left w:val="nil"/>
                <w:bottom w:val="nil"/>
                <w:right w:val="nil"/>
                <w:between w:val="nil"/>
              </w:pBdr>
              <w:jc w:val="center"/>
              <w:rPr>
                <w:b/>
                <w:color w:val="000000"/>
                <w:sz w:val="22"/>
              </w:rPr>
            </w:pPr>
            <w:r w:rsidRPr="007E0AF4">
              <w:rPr>
                <w:b/>
                <w:color w:val="000000"/>
                <w:sz w:val="22"/>
              </w:rPr>
              <w:t>Всього</w:t>
            </w:r>
          </w:p>
        </w:tc>
      </w:tr>
      <w:tr w:rsidR="000729E2" w:rsidRPr="007E0AF4" w:rsidTr="00F34B87">
        <w:trPr>
          <w:trHeight w:val="225"/>
        </w:trPr>
        <w:tc>
          <w:tcPr>
            <w:tcW w:w="2978" w:type="dxa"/>
            <w:vMerge/>
            <w:shd w:val="clear" w:color="auto" w:fill="C6D9F1"/>
          </w:tcPr>
          <w:p w:rsidR="000729E2" w:rsidRPr="007E0AF4" w:rsidRDefault="000729E2" w:rsidP="00B12C1F">
            <w:pPr>
              <w:widowControl w:val="0"/>
              <w:pBdr>
                <w:top w:val="nil"/>
                <w:left w:val="nil"/>
                <w:bottom w:val="nil"/>
                <w:right w:val="nil"/>
                <w:between w:val="nil"/>
              </w:pBdr>
              <w:spacing w:line="276" w:lineRule="auto"/>
              <w:rPr>
                <w:b/>
                <w:color w:val="000000"/>
                <w:sz w:val="22"/>
              </w:rPr>
            </w:pPr>
          </w:p>
        </w:tc>
        <w:tc>
          <w:tcPr>
            <w:tcW w:w="1275" w:type="dxa"/>
            <w:vMerge w:val="restart"/>
            <w:tcBorders>
              <w:top w:val="single" w:sz="4" w:space="0" w:color="000000"/>
              <w:right w:val="single" w:sz="4" w:space="0" w:color="000000"/>
            </w:tcBorders>
          </w:tcPr>
          <w:p w:rsidR="000729E2" w:rsidRPr="007E0AF4" w:rsidRDefault="000729E2" w:rsidP="00B12C1F">
            <w:pPr>
              <w:pBdr>
                <w:top w:val="nil"/>
                <w:left w:val="nil"/>
                <w:bottom w:val="nil"/>
                <w:right w:val="nil"/>
                <w:between w:val="nil"/>
              </w:pBdr>
              <w:jc w:val="center"/>
              <w:rPr>
                <w:color w:val="000000"/>
                <w:sz w:val="22"/>
              </w:rPr>
            </w:pPr>
            <w:r w:rsidRPr="007E0AF4">
              <w:rPr>
                <w:sz w:val="22"/>
              </w:rPr>
              <w:t>5</w:t>
            </w:r>
            <w:r w:rsidRPr="007E0AF4">
              <w:rPr>
                <w:color w:val="000000"/>
                <w:sz w:val="22"/>
              </w:rPr>
              <w:t xml:space="preserve">0000 </w:t>
            </w:r>
          </w:p>
        </w:tc>
        <w:tc>
          <w:tcPr>
            <w:tcW w:w="1276" w:type="dxa"/>
            <w:vMerge w:val="restart"/>
            <w:tcBorders>
              <w:top w:val="single" w:sz="4" w:space="0" w:color="000000"/>
              <w:right w:val="single" w:sz="4" w:space="0" w:color="000000"/>
            </w:tcBorders>
          </w:tcPr>
          <w:p w:rsidR="000729E2" w:rsidRPr="007E0AF4" w:rsidRDefault="000729E2" w:rsidP="00B12C1F">
            <w:pPr>
              <w:pBdr>
                <w:top w:val="nil"/>
                <w:left w:val="nil"/>
                <w:bottom w:val="nil"/>
                <w:right w:val="nil"/>
                <w:between w:val="nil"/>
              </w:pBdr>
              <w:jc w:val="center"/>
              <w:rPr>
                <w:b/>
                <w:color w:val="000000"/>
                <w:sz w:val="22"/>
              </w:rPr>
            </w:pPr>
            <w:r w:rsidRPr="007E0AF4">
              <w:rPr>
                <w:b/>
                <w:color w:val="000000"/>
                <w:sz w:val="22"/>
              </w:rPr>
              <w:t>-</w:t>
            </w:r>
          </w:p>
        </w:tc>
        <w:tc>
          <w:tcPr>
            <w:tcW w:w="1134" w:type="dxa"/>
            <w:tcBorders>
              <w:top w:val="single" w:sz="4" w:space="0" w:color="000000"/>
              <w:left w:val="single" w:sz="4" w:space="0" w:color="000000"/>
              <w:bottom w:val="single" w:sz="4" w:space="0" w:color="000000"/>
              <w:right w:val="single" w:sz="4" w:space="0" w:color="000000"/>
            </w:tcBorders>
          </w:tcPr>
          <w:p w:rsidR="000729E2" w:rsidRPr="007E0AF4" w:rsidRDefault="000729E2" w:rsidP="00B12C1F">
            <w:pPr>
              <w:pBdr>
                <w:top w:val="nil"/>
                <w:left w:val="nil"/>
                <w:bottom w:val="nil"/>
                <w:right w:val="nil"/>
                <w:between w:val="nil"/>
              </w:pBdr>
              <w:jc w:val="center"/>
              <w:rPr>
                <w:b/>
                <w:color w:val="000000"/>
                <w:sz w:val="22"/>
              </w:rPr>
            </w:pPr>
            <w:r w:rsidRPr="007E0AF4">
              <w:rPr>
                <w:b/>
                <w:color w:val="000000"/>
                <w:sz w:val="22"/>
              </w:rPr>
              <w:t>Обсяг</w:t>
            </w:r>
          </w:p>
          <w:p w:rsidR="000729E2" w:rsidRPr="007E0AF4" w:rsidRDefault="000729E2" w:rsidP="00B12C1F">
            <w:pPr>
              <w:pBdr>
                <w:top w:val="nil"/>
                <w:left w:val="nil"/>
                <w:bottom w:val="nil"/>
                <w:right w:val="nil"/>
                <w:between w:val="nil"/>
              </w:pBdr>
              <w:jc w:val="center"/>
              <w:rPr>
                <w:b/>
                <w:color w:val="000000"/>
                <w:sz w:val="22"/>
              </w:rPr>
            </w:pPr>
          </w:p>
        </w:tc>
        <w:tc>
          <w:tcPr>
            <w:tcW w:w="1843" w:type="dxa"/>
            <w:gridSpan w:val="2"/>
            <w:tcBorders>
              <w:top w:val="single" w:sz="4" w:space="0" w:color="000000"/>
              <w:left w:val="single" w:sz="4" w:space="0" w:color="000000"/>
              <w:bottom w:val="single" w:sz="4" w:space="0" w:color="000000"/>
              <w:right w:val="single" w:sz="4" w:space="0" w:color="000000"/>
            </w:tcBorders>
          </w:tcPr>
          <w:p w:rsidR="000729E2" w:rsidRPr="007E0AF4" w:rsidRDefault="000729E2" w:rsidP="00B12C1F">
            <w:pPr>
              <w:pBdr>
                <w:top w:val="nil"/>
                <w:left w:val="nil"/>
                <w:bottom w:val="nil"/>
                <w:right w:val="nil"/>
                <w:between w:val="nil"/>
              </w:pBdr>
              <w:jc w:val="center"/>
              <w:rPr>
                <w:b/>
                <w:color w:val="000000"/>
                <w:sz w:val="22"/>
              </w:rPr>
            </w:pPr>
            <w:r w:rsidRPr="007E0AF4">
              <w:rPr>
                <w:b/>
                <w:color w:val="000000"/>
                <w:sz w:val="22"/>
              </w:rPr>
              <w:t>Назва джерела</w:t>
            </w:r>
          </w:p>
        </w:tc>
        <w:tc>
          <w:tcPr>
            <w:tcW w:w="1417" w:type="dxa"/>
            <w:gridSpan w:val="2"/>
            <w:vMerge w:val="restart"/>
            <w:tcBorders>
              <w:top w:val="single" w:sz="4" w:space="0" w:color="000000"/>
              <w:left w:val="single" w:sz="4" w:space="0" w:color="000000"/>
            </w:tcBorders>
          </w:tcPr>
          <w:p w:rsidR="000729E2" w:rsidRPr="007E0AF4" w:rsidRDefault="000729E2" w:rsidP="00B12C1F">
            <w:pPr>
              <w:pBdr>
                <w:top w:val="nil"/>
                <w:left w:val="nil"/>
                <w:bottom w:val="nil"/>
                <w:right w:val="nil"/>
                <w:between w:val="nil"/>
              </w:pBdr>
              <w:jc w:val="center"/>
              <w:rPr>
                <w:color w:val="000000"/>
                <w:sz w:val="22"/>
              </w:rPr>
            </w:pPr>
            <w:r w:rsidRPr="007E0AF4">
              <w:rPr>
                <w:sz w:val="22"/>
              </w:rPr>
              <w:t>8</w:t>
            </w:r>
            <w:r w:rsidRPr="007E0AF4">
              <w:rPr>
                <w:color w:val="000000"/>
                <w:sz w:val="22"/>
              </w:rPr>
              <w:t xml:space="preserve">0000 </w:t>
            </w:r>
          </w:p>
        </w:tc>
      </w:tr>
      <w:tr w:rsidR="000729E2" w:rsidRPr="007E0AF4" w:rsidTr="00F34B87">
        <w:trPr>
          <w:trHeight w:val="300"/>
        </w:trPr>
        <w:tc>
          <w:tcPr>
            <w:tcW w:w="2978" w:type="dxa"/>
            <w:vMerge/>
            <w:shd w:val="clear" w:color="auto" w:fill="C6D9F1"/>
          </w:tcPr>
          <w:p w:rsidR="000729E2" w:rsidRPr="007E0AF4" w:rsidRDefault="000729E2" w:rsidP="00B12C1F">
            <w:pPr>
              <w:widowControl w:val="0"/>
              <w:pBdr>
                <w:top w:val="nil"/>
                <w:left w:val="nil"/>
                <w:bottom w:val="nil"/>
                <w:right w:val="nil"/>
                <w:between w:val="nil"/>
              </w:pBdr>
              <w:spacing w:line="276" w:lineRule="auto"/>
              <w:rPr>
                <w:color w:val="000000"/>
                <w:sz w:val="22"/>
              </w:rPr>
            </w:pPr>
          </w:p>
        </w:tc>
        <w:tc>
          <w:tcPr>
            <w:tcW w:w="1275" w:type="dxa"/>
            <w:vMerge/>
            <w:tcBorders>
              <w:top w:val="single" w:sz="4" w:space="0" w:color="000000"/>
              <w:right w:val="single" w:sz="4" w:space="0" w:color="000000"/>
            </w:tcBorders>
          </w:tcPr>
          <w:p w:rsidR="000729E2" w:rsidRPr="007E0AF4" w:rsidRDefault="000729E2" w:rsidP="00B12C1F">
            <w:pPr>
              <w:widowControl w:val="0"/>
              <w:pBdr>
                <w:top w:val="nil"/>
                <w:left w:val="nil"/>
                <w:bottom w:val="nil"/>
                <w:right w:val="nil"/>
                <w:between w:val="nil"/>
              </w:pBdr>
              <w:spacing w:line="276" w:lineRule="auto"/>
              <w:rPr>
                <w:color w:val="000000"/>
                <w:sz w:val="22"/>
              </w:rPr>
            </w:pPr>
          </w:p>
        </w:tc>
        <w:tc>
          <w:tcPr>
            <w:tcW w:w="1276" w:type="dxa"/>
            <w:vMerge/>
            <w:tcBorders>
              <w:top w:val="single" w:sz="4" w:space="0" w:color="000000"/>
              <w:right w:val="single" w:sz="4" w:space="0" w:color="000000"/>
            </w:tcBorders>
          </w:tcPr>
          <w:p w:rsidR="000729E2" w:rsidRPr="007E0AF4" w:rsidRDefault="000729E2" w:rsidP="00B12C1F">
            <w:pPr>
              <w:widowControl w:val="0"/>
              <w:pBdr>
                <w:top w:val="nil"/>
                <w:left w:val="nil"/>
                <w:bottom w:val="nil"/>
                <w:right w:val="nil"/>
                <w:between w:val="nil"/>
              </w:pBdr>
              <w:spacing w:line="276" w:lineRule="auto"/>
              <w:rPr>
                <w:color w:val="000000"/>
                <w:sz w:val="22"/>
              </w:rPr>
            </w:pPr>
          </w:p>
        </w:tc>
        <w:tc>
          <w:tcPr>
            <w:tcW w:w="1134" w:type="dxa"/>
            <w:tcBorders>
              <w:top w:val="single" w:sz="4" w:space="0" w:color="000000"/>
              <w:left w:val="single" w:sz="4" w:space="0" w:color="000000"/>
              <w:right w:val="single" w:sz="4" w:space="0" w:color="000000"/>
            </w:tcBorders>
          </w:tcPr>
          <w:p w:rsidR="000729E2" w:rsidRPr="007E0AF4" w:rsidRDefault="000729E2" w:rsidP="00B12C1F">
            <w:pPr>
              <w:pBdr>
                <w:top w:val="nil"/>
                <w:left w:val="nil"/>
                <w:bottom w:val="nil"/>
                <w:right w:val="nil"/>
                <w:between w:val="nil"/>
              </w:pBdr>
              <w:jc w:val="center"/>
              <w:rPr>
                <w:color w:val="000000"/>
                <w:sz w:val="22"/>
              </w:rPr>
            </w:pPr>
            <w:r w:rsidRPr="007E0AF4">
              <w:rPr>
                <w:sz w:val="22"/>
              </w:rPr>
              <w:t>30000</w:t>
            </w:r>
          </w:p>
        </w:tc>
        <w:tc>
          <w:tcPr>
            <w:tcW w:w="1843" w:type="dxa"/>
            <w:gridSpan w:val="2"/>
            <w:tcBorders>
              <w:top w:val="single" w:sz="4" w:space="0" w:color="000000"/>
              <w:left w:val="single" w:sz="4" w:space="0" w:color="000000"/>
              <w:right w:val="single" w:sz="4" w:space="0" w:color="000000"/>
            </w:tcBorders>
          </w:tcPr>
          <w:p w:rsidR="000729E2" w:rsidRPr="007E0AF4" w:rsidRDefault="000729E2" w:rsidP="00B12C1F">
            <w:pPr>
              <w:jc w:val="center"/>
              <w:rPr>
                <w:color w:val="000000"/>
                <w:sz w:val="22"/>
              </w:rPr>
            </w:pPr>
            <w:r w:rsidRPr="007E0AF4">
              <w:rPr>
                <w:sz w:val="22"/>
              </w:rPr>
              <w:t>Міжнародні інвестиції</w:t>
            </w:r>
          </w:p>
        </w:tc>
        <w:tc>
          <w:tcPr>
            <w:tcW w:w="1417" w:type="dxa"/>
            <w:gridSpan w:val="2"/>
            <w:vMerge/>
            <w:tcBorders>
              <w:top w:val="single" w:sz="4" w:space="0" w:color="000000"/>
              <w:left w:val="single" w:sz="4" w:space="0" w:color="000000"/>
            </w:tcBorders>
          </w:tcPr>
          <w:p w:rsidR="000729E2" w:rsidRPr="007E0AF4" w:rsidRDefault="000729E2" w:rsidP="00B12C1F">
            <w:pPr>
              <w:widowControl w:val="0"/>
              <w:pBdr>
                <w:top w:val="nil"/>
                <w:left w:val="nil"/>
                <w:bottom w:val="nil"/>
                <w:right w:val="nil"/>
                <w:between w:val="nil"/>
              </w:pBdr>
              <w:spacing w:line="276" w:lineRule="auto"/>
              <w:rPr>
                <w:color w:val="000000"/>
                <w:sz w:val="22"/>
              </w:rPr>
            </w:pPr>
          </w:p>
        </w:tc>
      </w:tr>
    </w:tbl>
    <w:p w:rsidR="00CF4B4F" w:rsidRPr="007E0AF4" w:rsidRDefault="00CF4B4F" w:rsidP="00E95FB1">
      <w:pPr>
        <w:rPr>
          <w:sz w:val="22"/>
          <w:lang w:val="en-US"/>
        </w:rPr>
      </w:pPr>
    </w:p>
    <w:p w:rsidR="00B61DDC" w:rsidRPr="007E0AF4" w:rsidRDefault="00B61DDC" w:rsidP="00E95FB1">
      <w:pPr>
        <w:rPr>
          <w:sz w:val="22"/>
          <w:lang w:val="en-US"/>
        </w:rPr>
      </w:pPr>
    </w:p>
    <w:tbl>
      <w:tblPr>
        <w:tblStyle w:val="af"/>
        <w:tblW w:w="9923" w:type="dxa"/>
        <w:tblInd w:w="-176" w:type="dxa"/>
        <w:tblLayout w:type="fixed"/>
        <w:tblLook w:val="04A0" w:firstRow="1" w:lastRow="0" w:firstColumn="1" w:lastColumn="0" w:noHBand="0" w:noVBand="1"/>
      </w:tblPr>
      <w:tblGrid>
        <w:gridCol w:w="2978"/>
        <w:gridCol w:w="1134"/>
        <w:gridCol w:w="1417"/>
        <w:gridCol w:w="992"/>
        <w:gridCol w:w="142"/>
        <w:gridCol w:w="1701"/>
        <w:gridCol w:w="425"/>
        <w:gridCol w:w="1134"/>
      </w:tblGrid>
      <w:tr w:rsidR="00B61DDC" w:rsidRPr="007E0AF4" w:rsidTr="00F34B87">
        <w:tc>
          <w:tcPr>
            <w:tcW w:w="2978" w:type="dxa"/>
            <w:shd w:val="clear" w:color="auto" w:fill="C6D9F1" w:themeFill="text2" w:themeFillTint="33"/>
          </w:tcPr>
          <w:p w:rsidR="00B61DDC" w:rsidRPr="007E0AF4" w:rsidRDefault="00B61DDC" w:rsidP="00F34B87">
            <w:pPr>
              <w:pStyle w:val="a7"/>
              <w:ind w:left="0"/>
              <w:rPr>
                <w:b/>
                <w:sz w:val="22"/>
              </w:rPr>
            </w:pPr>
            <w:r w:rsidRPr="007E0AF4">
              <w:rPr>
                <w:b/>
                <w:sz w:val="22"/>
              </w:rPr>
              <w:t xml:space="preserve">Оперативна </w:t>
            </w:r>
            <w:proofErr w:type="spellStart"/>
            <w:r w:rsidRPr="007E0AF4">
              <w:rPr>
                <w:b/>
                <w:sz w:val="22"/>
              </w:rPr>
              <w:t>ціль</w:t>
            </w:r>
            <w:proofErr w:type="spellEnd"/>
            <w:r w:rsidRPr="007E0AF4">
              <w:rPr>
                <w:b/>
                <w:sz w:val="22"/>
              </w:rPr>
              <w:t>/</w:t>
            </w:r>
            <w:proofErr w:type="spellStart"/>
            <w:r w:rsidRPr="007E0AF4">
              <w:rPr>
                <w:b/>
                <w:sz w:val="22"/>
              </w:rPr>
              <w:t>завдання</w:t>
            </w:r>
            <w:proofErr w:type="spellEnd"/>
          </w:p>
        </w:tc>
        <w:tc>
          <w:tcPr>
            <w:tcW w:w="6945" w:type="dxa"/>
            <w:gridSpan w:val="7"/>
            <w:shd w:val="clear" w:color="auto" w:fill="auto"/>
          </w:tcPr>
          <w:p w:rsidR="00B61DDC" w:rsidRPr="007E0AF4" w:rsidRDefault="00B61DDC" w:rsidP="00F34B87">
            <w:pPr>
              <w:pStyle w:val="a7"/>
              <w:ind w:left="0"/>
              <w:rPr>
                <w:sz w:val="22"/>
              </w:rPr>
            </w:pPr>
            <w:proofErr w:type="spellStart"/>
            <w:r w:rsidRPr="007E0AF4">
              <w:rPr>
                <w:sz w:val="22"/>
              </w:rPr>
              <w:t>Людський</w:t>
            </w:r>
            <w:proofErr w:type="spellEnd"/>
            <w:r w:rsidRPr="007E0AF4">
              <w:rPr>
                <w:sz w:val="22"/>
              </w:rPr>
              <w:t xml:space="preserve"> </w:t>
            </w:r>
            <w:proofErr w:type="spellStart"/>
            <w:r w:rsidRPr="007E0AF4">
              <w:rPr>
                <w:sz w:val="22"/>
              </w:rPr>
              <w:t>розвиток</w:t>
            </w:r>
            <w:proofErr w:type="spellEnd"/>
            <w:r w:rsidRPr="007E0AF4">
              <w:rPr>
                <w:sz w:val="22"/>
              </w:rPr>
              <w:t xml:space="preserve"> через </w:t>
            </w:r>
            <w:proofErr w:type="spellStart"/>
            <w:r w:rsidRPr="007E0AF4">
              <w:rPr>
                <w:sz w:val="22"/>
              </w:rPr>
              <w:t>інновації</w:t>
            </w:r>
            <w:proofErr w:type="spellEnd"/>
            <w:r w:rsidRPr="007E0AF4">
              <w:rPr>
                <w:sz w:val="22"/>
              </w:rPr>
              <w:t xml:space="preserve"> </w:t>
            </w:r>
            <w:proofErr w:type="spellStart"/>
            <w:r w:rsidRPr="007E0AF4">
              <w:rPr>
                <w:sz w:val="22"/>
              </w:rPr>
              <w:t>управління</w:t>
            </w:r>
            <w:proofErr w:type="spellEnd"/>
            <w:r w:rsidRPr="007E0AF4">
              <w:rPr>
                <w:sz w:val="22"/>
              </w:rPr>
              <w:t xml:space="preserve"> та </w:t>
            </w:r>
            <w:proofErr w:type="spellStart"/>
            <w:r w:rsidRPr="007E0AF4">
              <w:rPr>
                <w:sz w:val="22"/>
              </w:rPr>
              <w:t>довіру</w:t>
            </w:r>
            <w:proofErr w:type="spellEnd"/>
            <w:r w:rsidRPr="007E0AF4">
              <w:rPr>
                <w:sz w:val="22"/>
              </w:rPr>
              <w:t xml:space="preserve"> до </w:t>
            </w:r>
            <w:proofErr w:type="spellStart"/>
            <w:r w:rsidRPr="007E0AF4">
              <w:rPr>
                <w:sz w:val="22"/>
              </w:rPr>
              <w:t>влади</w:t>
            </w:r>
            <w:proofErr w:type="spellEnd"/>
            <w:r w:rsidRPr="007E0AF4">
              <w:rPr>
                <w:sz w:val="22"/>
              </w:rPr>
              <w:t xml:space="preserve">. </w:t>
            </w:r>
            <w:proofErr w:type="spellStart"/>
            <w:r w:rsidRPr="007E0AF4">
              <w:rPr>
                <w:sz w:val="22"/>
              </w:rPr>
              <w:t>Формування</w:t>
            </w:r>
            <w:proofErr w:type="spellEnd"/>
            <w:r w:rsidRPr="007E0AF4">
              <w:rPr>
                <w:sz w:val="22"/>
              </w:rPr>
              <w:t xml:space="preserve"> </w:t>
            </w:r>
            <w:proofErr w:type="spellStart"/>
            <w:r w:rsidRPr="007E0AF4">
              <w:rPr>
                <w:sz w:val="22"/>
              </w:rPr>
              <w:t>сучасного</w:t>
            </w:r>
            <w:proofErr w:type="spellEnd"/>
            <w:r w:rsidRPr="007E0AF4">
              <w:rPr>
                <w:sz w:val="22"/>
              </w:rPr>
              <w:t xml:space="preserve"> </w:t>
            </w:r>
            <w:proofErr w:type="spellStart"/>
            <w:r w:rsidRPr="007E0AF4">
              <w:rPr>
                <w:sz w:val="22"/>
              </w:rPr>
              <w:t>інклюзивного</w:t>
            </w:r>
            <w:proofErr w:type="spellEnd"/>
            <w:r w:rsidRPr="007E0AF4">
              <w:rPr>
                <w:sz w:val="22"/>
              </w:rPr>
              <w:t xml:space="preserve"> </w:t>
            </w:r>
            <w:proofErr w:type="spellStart"/>
            <w:r w:rsidRPr="007E0AF4">
              <w:rPr>
                <w:sz w:val="22"/>
              </w:rPr>
              <w:t>освітньо</w:t>
            </w:r>
            <w:proofErr w:type="spellEnd"/>
            <w:r w:rsidRPr="007E0AF4">
              <w:rPr>
                <w:sz w:val="22"/>
              </w:rPr>
              <w:t xml:space="preserve">-культурного та спортивного простору для </w:t>
            </w:r>
            <w:proofErr w:type="spellStart"/>
            <w:r w:rsidRPr="007E0AF4">
              <w:rPr>
                <w:sz w:val="22"/>
              </w:rPr>
              <w:t>розвитку</w:t>
            </w:r>
            <w:proofErr w:type="spellEnd"/>
          </w:p>
        </w:tc>
      </w:tr>
      <w:tr w:rsidR="00B61DDC" w:rsidRPr="007E0AF4" w:rsidTr="00F34B87">
        <w:tc>
          <w:tcPr>
            <w:tcW w:w="2978" w:type="dxa"/>
            <w:shd w:val="clear" w:color="auto" w:fill="C6D9F1" w:themeFill="text2" w:themeFillTint="33"/>
          </w:tcPr>
          <w:p w:rsidR="00B61DDC" w:rsidRPr="007E0AF4" w:rsidRDefault="00B61DDC" w:rsidP="00F34B87">
            <w:pPr>
              <w:pStyle w:val="a7"/>
              <w:ind w:left="0"/>
              <w:rPr>
                <w:b/>
                <w:sz w:val="22"/>
              </w:rPr>
            </w:pPr>
            <w:proofErr w:type="spellStart"/>
            <w:r w:rsidRPr="007E0AF4">
              <w:rPr>
                <w:b/>
                <w:sz w:val="22"/>
              </w:rPr>
              <w:t>Назва</w:t>
            </w:r>
            <w:proofErr w:type="spellEnd"/>
            <w:r w:rsidRPr="007E0AF4">
              <w:rPr>
                <w:b/>
                <w:sz w:val="22"/>
              </w:rPr>
              <w:t xml:space="preserve"> проекту:</w:t>
            </w:r>
          </w:p>
        </w:tc>
        <w:tc>
          <w:tcPr>
            <w:tcW w:w="6945" w:type="dxa"/>
            <w:gridSpan w:val="7"/>
          </w:tcPr>
          <w:p w:rsidR="00B61DDC" w:rsidRPr="007E0AF4" w:rsidRDefault="00B61DDC" w:rsidP="00F34B87">
            <w:pPr>
              <w:pStyle w:val="a7"/>
              <w:ind w:left="0"/>
              <w:rPr>
                <w:sz w:val="22"/>
              </w:rPr>
            </w:pPr>
            <w:proofErr w:type="spellStart"/>
            <w:r w:rsidRPr="007E0AF4">
              <w:rPr>
                <w:sz w:val="22"/>
              </w:rPr>
              <w:t>Капітальний</w:t>
            </w:r>
            <w:proofErr w:type="spellEnd"/>
            <w:r w:rsidRPr="007E0AF4">
              <w:rPr>
                <w:sz w:val="22"/>
              </w:rPr>
              <w:t xml:space="preserve"> ремонт </w:t>
            </w:r>
            <w:proofErr w:type="spellStart"/>
            <w:r w:rsidRPr="007E0AF4">
              <w:rPr>
                <w:sz w:val="22"/>
              </w:rPr>
              <w:t>будівлі</w:t>
            </w:r>
            <w:proofErr w:type="spellEnd"/>
            <w:r w:rsidRPr="007E0AF4">
              <w:rPr>
                <w:sz w:val="22"/>
              </w:rPr>
              <w:t xml:space="preserve">, систем </w:t>
            </w:r>
            <w:proofErr w:type="spellStart"/>
            <w:r w:rsidRPr="007E0AF4">
              <w:rPr>
                <w:sz w:val="22"/>
              </w:rPr>
              <w:t>опалення</w:t>
            </w:r>
            <w:proofErr w:type="spellEnd"/>
            <w:r w:rsidRPr="007E0AF4">
              <w:rPr>
                <w:sz w:val="22"/>
              </w:rPr>
              <w:t xml:space="preserve">, </w:t>
            </w:r>
            <w:proofErr w:type="spellStart"/>
            <w:r w:rsidRPr="007E0AF4">
              <w:rPr>
                <w:sz w:val="22"/>
              </w:rPr>
              <w:t>водопостачання</w:t>
            </w:r>
            <w:proofErr w:type="spellEnd"/>
            <w:r w:rsidRPr="007E0AF4">
              <w:rPr>
                <w:sz w:val="22"/>
              </w:rPr>
              <w:t>/</w:t>
            </w:r>
            <w:proofErr w:type="spellStart"/>
            <w:r w:rsidRPr="007E0AF4">
              <w:rPr>
                <w:sz w:val="22"/>
              </w:rPr>
              <w:t>водовідведення</w:t>
            </w:r>
            <w:proofErr w:type="spellEnd"/>
            <w:r w:rsidRPr="007E0AF4">
              <w:rPr>
                <w:sz w:val="22"/>
              </w:rPr>
              <w:t xml:space="preserve">, </w:t>
            </w:r>
            <w:proofErr w:type="spellStart"/>
            <w:r w:rsidRPr="007E0AF4">
              <w:rPr>
                <w:sz w:val="22"/>
              </w:rPr>
              <w:t>вентиляції</w:t>
            </w:r>
            <w:proofErr w:type="spellEnd"/>
            <w:r w:rsidRPr="007E0AF4">
              <w:rPr>
                <w:sz w:val="22"/>
              </w:rPr>
              <w:t xml:space="preserve"> та </w:t>
            </w:r>
            <w:proofErr w:type="spellStart"/>
            <w:r w:rsidRPr="007E0AF4">
              <w:rPr>
                <w:sz w:val="22"/>
              </w:rPr>
              <w:t>енергопостачання</w:t>
            </w:r>
            <w:proofErr w:type="spellEnd"/>
            <w:r w:rsidRPr="007E0AF4">
              <w:rPr>
                <w:sz w:val="22"/>
              </w:rPr>
              <w:t xml:space="preserve"> </w:t>
            </w:r>
            <w:proofErr w:type="spellStart"/>
            <w:r w:rsidRPr="007E0AF4">
              <w:rPr>
                <w:sz w:val="22"/>
              </w:rPr>
              <w:t>майстерні</w:t>
            </w:r>
            <w:proofErr w:type="spellEnd"/>
            <w:r w:rsidRPr="007E0AF4">
              <w:rPr>
                <w:sz w:val="22"/>
              </w:rPr>
              <w:t xml:space="preserve"> </w:t>
            </w:r>
            <w:proofErr w:type="spellStart"/>
            <w:r w:rsidRPr="007E0AF4">
              <w:rPr>
                <w:sz w:val="22"/>
              </w:rPr>
              <w:t>Гімназії</w:t>
            </w:r>
            <w:proofErr w:type="spellEnd"/>
            <w:r w:rsidRPr="007E0AF4">
              <w:rPr>
                <w:sz w:val="22"/>
              </w:rPr>
              <w:t xml:space="preserve"> № 12 </w:t>
            </w:r>
            <w:proofErr w:type="spellStart"/>
            <w:r w:rsidRPr="007E0AF4">
              <w:rPr>
                <w:sz w:val="22"/>
              </w:rPr>
              <w:t>міста</w:t>
            </w:r>
            <w:proofErr w:type="spellEnd"/>
            <w:r w:rsidRPr="007E0AF4">
              <w:rPr>
                <w:sz w:val="22"/>
              </w:rPr>
              <w:t xml:space="preserve"> </w:t>
            </w:r>
            <w:proofErr w:type="spellStart"/>
            <w:r w:rsidRPr="007E0AF4">
              <w:rPr>
                <w:sz w:val="22"/>
              </w:rPr>
              <w:t>Сєвєродонецька</w:t>
            </w:r>
            <w:proofErr w:type="spellEnd"/>
            <w:r w:rsidRPr="007E0AF4">
              <w:rPr>
                <w:sz w:val="22"/>
              </w:rPr>
              <w:t xml:space="preserve"> </w:t>
            </w:r>
            <w:proofErr w:type="spellStart"/>
            <w:r w:rsidRPr="007E0AF4">
              <w:rPr>
                <w:sz w:val="22"/>
              </w:rPr>
              <w:t>Луганської</w:t>
            </w:r>
            <w:proofErr w:type="spellEnd"/>
            <w:r w:rsidRPr="007E0AF4">
              <w:rPr>
                <w:sz w:val="22"/>
              </w:rPr>
              <w:t xml:space="preserve"> </w:t>
            </w:r>
            <w:proofErr w:type="spellStart"/>
            <w:r w:rsidRPr="007E0AF4">
              <w:rPr>
                <w:sz w:val="22"/>
              </w:rPr>
              <w:t>області</w:t>
            </w:r>
            <w:proofErr w:type="spellEnd"/>
            <w:r w:rsidRPr="007E0AF4">
              <w:rPr>
                <w:sz w:val="22"/>
              </w:rPr>
              <w:t xml:space="preserve">, </w:t>
            </w:r>
            <w:proofErr w:type="spellStart"/>
            <w:r w:rsidRPr="007E0AF4">
              <w:rPr>
                <w:sz w:val="22"/>
              </w:rPr>
              <w:t>розташованої</w:t>
            </w:r>
            <w:proofErr w:type="spellEnd"/>
            <w:r w:rsidRPr="007E0AF4">
              <w:rPr>
                <w:sz w:val="22"/>
              </w:rPr>
              <w:t xml:space="preserve"> за </w:t>
            </w:r>
            <w:proofErr w:type="spellStart"/>
            <w:r w:rsidRPr="007E0AF4">
              <w:rPr>
                <w:sz w:val="22"/>
              </w:rPr>
              <w:t>адресою</w:t>
            </w:r>
            <w:proofErr w:type="spellEnd"/>
            <w:r w:rsidRPr="007E0AF4">
              <w:rPr>
                <w:sz w:val="22"/>
              </w:rPr>
              <w:t xml:space="preserve"> </w:t>
            </w:r>
            <w:proofErr w:type="spellStart"/>
            <w:r w:rsidRPr="007E0AF4">
              <w:rPr>
                <w:sz w:val="22"/>
              </w:rPr>
              <w:t>Україна</w:t>
            </w:r>
            <w:proofErr w:type="spellEnd"/>
            <w:r w:rsidRPr="007E0AF4">
              <w:rPr>
                <w:sz w:val="22"/>
              </w:rPr>
              <w:t xml:space="preserve">, </w:t>
            </w:r>
            <w:proofErr w:type="spellStart"/>
            <w:r w:rsidRPr="007E0AF4">
              <w:rPr>
                <w:sz w:val="22"/>
              </w:rPr>
              <w:t>Луганська</w:t>
            </w:r>
            <w:proofErr w:type="spellEnd"/>
            <w:r w:rsidRPr="007E0AF4">
              <w:rPr>
                <w:sz w:val="22"/>
              </w:rPr>
              <w:t xml:space="preserve"> область, </w:t>
            </w:r>
            <w:proofErr w:type="spellStart"/>
            <w:r w:rsidRPr="007E0AF4">
              <w:rPr>
                <w:sz w:val="22"/>
              </w:rPr>
              <w:t>Сєвєродонецький</w:t>
            </w:r>
            <w:proofErr w:type="spellEnd"/>
            <w:r w:rsidRPr="007E0AF4">
              <w:rPr>
                <w:sz w:val="22"/>
              </w:rPr>
              <w:t xml:space="preserve"> район, </w:t>
            </w:r>
            <w:proofErr w:type="spellStart"/>
            <w:r w:rsidRPr="007E0AF4">
              <w:rPr>
                <w:sz w:val="22"/>
              </w:rPr>
              <w:t>місто</w:t>
            </w:r>
            <w:proofErr w:type="spellEnd"/>
            <w:r w:rsidRPr="007E0AF4">
              <w:rPr>
                <w:sz w:val="22"/>
              </w:rPr>
              <w:t xml:space="preserve"> </w:t>
            </w:r>
            <w:proofErr w:type="spellStart"/>
            <w:r w:rsidRPr="007E0AF4">
              <w:rPr>
                <w:sz w:val="22"/>
              </w:rPr>
              <w:t>Сєвєродонецьк</w:t>
            </w:r>
            <w:proofErr w:type="spellEnd"/>
            <w:r w:rsidRPr="007E0AF4">
              <w:rPr>
                <w:sz w:val="22"/>
              </w:rPr>
              <w:t xml:space="preserve">, проспект </w:t>
            </w:r>
            <w:proofErr w:type="spellStart"/>
            <w:r w:rsidRPr="007E0AF4">
              <w:rPr>
                <w:sz w:val="22"/>
              </w:rPr>
              <w:t>Гвардійський</w:t>
            </w:r>
            <w:proofErr w:type="spellEnd"/>
            <w:r w:rsidRPr="007E0AF4">
              <w:rPr>
                <w:sz w:val="22"/>
              </w:rPr>
              <w:t xml:space="preserve">, </w:t>
            </w:r>
            <w:proofErr w:type="spellStart"/>
            <w:r w:rsidRPr="007E0AF4">
              <w:rPr>
                <w:sz w:val="22"/>
              </w:rPr>
              <w:t>будинок</w:t>
            </w:r>
            <w:proofErr w:type="spellEnd"/>
            <w:r w:rsidRPr="007E0AF4">
              <w:rPr>
                <w:sz w:val="22"/>
              </w:rPr>
              <w:t xml:space="preserve"> 9</w:t>
            </w:r>
          </w:p>
        </w:tc>
      </w:tr>
      <w:tr w:rsidR="00B61DDC" w:rsidRPr="007E0AF4" w:rsidTr="00F34B87">
        <w:tc>
          <w:tcPr>
            <w:tcW w:w="2978" w:type="dxa"/>
            <w:shd w:val="clear" w:color="auto" w:fill="C6D9F1" w:themeFill="text2" w:themeFillTint="33"/>
          </w:tcPr>
          <w:p w:rsidR="00B61DDC" w:rsidRPr="007E0AF4" w:rsidRDefault="00B61DDC" w:rsidP="00F34B87">
            <w:pPr>
              <w:rPr>
                <w:b/>
                <w:sz w:val="22"/>
              </w:rPr>
            </w:pPr>
            <w:proofErr w:type="spellStart"/>
            <w:r w:rsidRPr="007E0AF4">
              <w:rPr>
                <w:b/>
                <w:sz w:val="22"/>
              </w:rPr>
              <w:t>Ціль</w:t>
            </w:r>
            <w:proofErr w:type="spellEnd"/>
            <w:r w:rsidRPr="007E0AF4">
              <w:rPr>
                <w:b/>
                <w:sz w:val="22"/>
              </w:rPr>
              <w:t xml:space="preserve"> проекту</w:t>
            </w:r>
          </w:p>
        </w:tc>
        <w:tc>
          <w:tcPr>
            <w:tcW w:w="6945" w:type="dxa"/>
            <w:gridSpan w:val="7"/>
          </w:tcPr>
          <w:p w:rsidR="00B61DDC" w:rsidRPr="007E0AF4" w:rsidRDefault="00B61DDC" w:rsidP="00F34B87">
            <w:pPr>
              <w:pStyle w:val="a7"/>
              <w:ind w:left="0"/>
              <w:rPr>
                <w:sz w:val="22"/>
              </w:rPr>
            </w:pPr>
            <w:proofErr w:type="spellStart"/>
            <w:r w:rsidRPr="007E0AF4">
              <w:rPr>
                <w:sz w:val="22"/>
              </w:rPr>
              <w:t>Відновити</w:t>
            </w:r>
            <w:proofErr w:type="spellEnd"/>
            <w:r w:rsidRPr="007E0AF4">
              <w:rPr>
                <w:sz w:val="22"/>
              </w:rPr>
              <w:t xml:space="preserve"> та </w:t>
            </w:r>
            <w:proofErr w:type="spellStart"/>
            <w:r w:rsidRPr="007E0AF4">
              <w:rPr>
                <w:sz w:val="22"/>
              </w:rPr>
              <w:t>покращити</w:t>
            </w:r>
            <w:proofErr w:type="spellEnd"/>
            <w:r w:rsidRPr="007E0AF4">
              <w:rPr>
                <w:sz w:val="22"/>
              </w:rPr>
              <w:t xml:space="preserve"> роботу закладу </w:t>
            </w:r>
            <w:proofErr w:type="spellStart"/>
            <w:r w:rsidRPr="007E0AF4">
              <w:rPr>
                <w:sz w:val="22"/>
              </w:rPr>
              <w:t>освіти</w:t>
            </w:r>
            <w:proofErr w:type="spellEnd"/>
            <w:r w:rsidRPr="007E0AF4">
              <w:rPr>
                <w:sz w:val="22"/>
              </w:rPr>
              <w:t xml:space="preserve"> для </w:t>
            </w:r>
            <w:proofErr w:type="spellStart"/>
            <w:r w:rsidRPr="007E0AF4">
              <w:rPr>
                <w:sz w:val="22"/>
              </w:rPr>
              <w:t>надання</w:t>
            </w:r>
            <w:proofErr w:type="spellEnd"/>
            <w:r w:rsidRPr="007E0AF4">
              <w:rPr>
                <w:sz w:val="22"/>
              </w:rPr>
              <w:t xml:space="preserve"> </w:t>
            </w:r>
            <w:proofErr w:type="spellStart"/>
            <w:r w:rsidRPr="007E0AF4">
              <w:rPr>
                <w:sz w:val="22"/>
              </w:rPr>
              <w:t>освітніх</w:t>
            </w:r>
            <w:proofErr w:type="spellEnd"/>
            <w:r w:rsidRPr="007E0AF4">
              <w:rPr>
                <w:sz w:val="22"/>
              </w:rPr>
              <w:t xml:space="preserve"> </w:t>
            </w:r>
            <w:proofErr w:type="spellStart"/>
            <w:r w:rsidRPr="007E0AF4">
              <w:rPr>
                <w:sz w:val="22"/>
              </w:rPr>
              <w:t>послуг</w:t>
            </w:r>
            <w:proofErr w:type="spellEnd"/>
            <w:r w:rsidRPr="007E0AF4">
              <w:rPr>
                <w:sz w:val="22"/>
              </w:rPr>
              <w:t xml:space="preserve">, </w:t>
            </w:r>
            <w:proofErr w:type="spellStart"/>
            <w:r w:rsidRPr="007E0AF4">
              <w:rPr>
                <w:sz w:val="22"/>
              </w:rPr>
              <w:t>забезпечення</w:t>
            </w:r>
            <w:proofErr w:type="spellEnd"/>
            <w:r w:rsidRPr="007E0AF4">
              <w:rPr>
                <w:sz w:val="22"/>
              </w:rPr>
              <w:t xml:space="preserve"> </w:t>
            </w:r>
            <w:proofErr w:type="spellStart"/>
            <w:r w:rsidRPr="007E0AF4">
              <w:rPr>
                <w:sz w:val="22"/>
              </w:rPr>
              <w:t>реалізації</w:t>
            </w:r>
            <w:proofErr w:type="spellEnd"/>
            <w:r w:rsidRPr="007E0AF4">
              <w:rPr>
                <w:sz w:val="22"/>
              </w:rPr>
              <w:t xml:space="preserve"> права </w:t>
            </w:r>
            <w:proofErr w:type="spellStart"/>
            <w:r w:rsidRPr="007E0AF4">
              <w:rPr>
                <w:sz w:val="22"/>
              </w:rPr>
              <w:t>громадян</w:t>
            </w:r>
            <w:proofErr w:type="spellEnd"/>
            <w:r w:rsidRPr="007E0AF4">
              <w:rPr>
                <w:sz w:val="22"/>
              </w:rPr>
              <w:t xml:space="preserve"> на </w:t>
            </w:r>
            <w:proofErr w:type="spellStart"/>
            <w:r w:rsidRPr="007E0AF4">
              <w:rPr>
                <w:sz w:val="22"/>
              </w:rPr>
              <w:t>здобуття</w:t>
            </w:r>
            <w:proofErr w:type="spellEnd"/>
            <w:r w:rsidRPr="007E0AF4">
              <w:rPr>
                <w:sz w:val="22"/>
              </w:rPr>
              <w:t xml:space="preserve"> </w:t>
            </w:r>
            <w:proofErr w:type="spellStart"/>
            <w:r w:rsidRPr="007E0AF4">
              <w:rPr>
                <w:sz w:val="22"/>
              </w:rPr>
              <w:t>освіти</w:t>
            </w:r>
            <w:proofErr w:type="spellEnd"/>
            <w:r w:rsidRPr="007E0AF4">
              <w:rPr>
                <w:sz w:val="22"/>
              </w:rPr>
              <w:t xml:space="preserve"> та </w:t>
            </w:r>
            <w:proofErr w:type="spellStart"/>
            <w:r w:rsidRPr="007E0AF4">
              <w:rPr>
                <w:sz w:val="22"/>
              </w:rPr>
              <w:t>задоволення</w:t>
            </w:r>
            <w:proofErr w:type="spellEnd"/>
            <w:r w:rsidRPr="007E0AF4">
              <w:rPr>
                <w:sz w:val="22"/>
              </w:rPr>
              <w:t xml:space="preserve"> потреб </w:t>
            </w:r>
            <w:proofErr w:type="spellStart"/>
            <w:r w:rsidRPr="007E0AF4">
              <w:rPr>
                <w:sz w:val="22"/>
              </w:rPr>
              <w:t>мешканців</w:t>
            </w:r>
            <w:proofErr w:type="spellEnd"/>
            <w:r w:rsidRPr="007E0AF4">
              <w:rPr>
                <w:sz w:val="22"/>
              </w:rPr>
              <w:t xml:space="preserve"> </w:t>
            </w:r>
            <w:proofErr w:type="spellStart"/>
            <w:r w:rsidRPr="007E0AF4">
              <w:rPr>
                <w:sz w:val="22"/>
              </w:rPr>
              <w:t>Сєвєродонецької</w:t>
            </w:r>
            <w:proofErr w:type="spellEnd"/>
            <w:r w:rsidRPr="007E0AF4">
              <w:rPr>
                <w:sz w:val="22"/>
              </w:rPr>
              <w:t xml:space="preserve"> </w:t>
            </w:r>
            <w:proofErr w:type="spellStart"/>
            <w:r w:rsidRPr="007E0AF4">
              <w:rPr>
                <w:sz w:val="22"/>
              </w:rPr>
              <w:t>міської</w:t>
            </w:r>
            <w:proofErr w:type="spellEnd"/>
            <w:r w:rsidRPr="007E0AF4">
              <w:rPr>
                <w:sz w:val="22"/>
              </w:rPr>
              <w:t xml:space="preserve"> </w:t>
            </w:r>
            <w:proofErr w:type="spellStart"/>
            <w:r w:rsidRPr="007E0AF4">
              <w:rPr>
                <w:sz w:val="22"/>
              </w:rPr>
              <w:t>територіальної</w:t>
            </w:r>
            <w:proofErr w:type="spellEnd"/>
            <w:r w:rsidRPr="007E0AF4">
              <w:rPr>
                <w:sz w:val="22"/>
              </w:rPr>
              <w:t xml:space="preserve"> </w:t>
            </w:r>
            <w:proofErr w:type="spellStart"/>
            <w:r w:rsidRPr="007E0AF4">
              <w:rPr>
                <w:sz w:val="22"/>
              </w:rPr>
              <w:t>громади</w:t>
            </w:r>
            <w:proofErr w:type="spellEnd"/>
            <w:r w:rsidRPr="007E0AF4">
              <w:rPr>
                <w:sz w:val="22"/>
              </w:rPr>
              <w:t xml:space="preserve"> у </w:t>
            </w:r>
            <w:proofErr w:type="spellStart"/>
            <w:r w:rsidRPr="007E0AF4">
              <w:rPr>
                <w:sz w:val="22"/>
              </w:rPr>
              <w:t>освітніх</w:t>
            </w:r>
            <w:proofErr w:type="spellEnd"/>
            <w:r w:rsidRPr="007E0AF4">
              <w:rPr>
                <w:sz w:val="22"/>
              </w:rPr>
              <w:t xml:space="preserve"> </w:t>
            </w:r>
            <w:proofErr w:type="spellStart"/>
            <w:r w:rsidRPr="007E0AF4">
              <w:rPr>
                <w:sz w:val="22"/>
              </w:rPr>
              <w:t>послугах</w:t>
            </w:r>
            <w:proofErr w:type="spellEnd"/>
          </w:p>
        </w:tc>
      </w:tr>
      <w:tr w:rsidR="00B61DDC" w:rsidRPr="007E0AF4" w:rsidTr="00F34B87">
        <w:tc>
          <w:tcPr>
            <w:tcW w:w="2978" w:type="dxa"/>
            <w:shd w:val="clear" w:color="auto" w:fill="C6D9F1" w:themeFill="text2" w:themeFillTint="33"/>
          </w:tcPr>
          <w:p w:rsidR="00B61DDC" w:rsidRPr="007E0AF4" w:rsidRDefault="00B61DDC" w:rsidP="00F34B87">
            <w:pPr>
              <w:pStyle w:val="a7"/>
              <w:ind w:left="0"/>
              <w:rPr>
                <w:b/>
                <w:sz w:val="22"/>
              </w:rPr>
            </w:pPr>
            <w:proofErr w:type="spellStart"/>
            <w:r w:rsidRPr="007E0AF4">
              <w:rPr>
                <w:b/>
                <w:sz w:val="22"/>
              </w:rPr>
              <w:t>Територія</w:t>
            </w:r>
            <w:proofErr w:type="spellEnd"/>
            <w:r w:rsidRPr="007E0AF4">
              <w:rPr>
                <w:b/>
                <w:sz w:val="22"/>
              </w:rPr>
              <w:t xml:space="preserve">, </w:t>
            </w:r>
            <w:proofErr w:type="gramStart"/>
            <w:r w:rsidRPr="007E0AF4">
              <w:rPr>
                <w:b/>
                <w:sz w:val="22"/>
              </w:rPr>
              <w:t>на яку</w:t>
            </w:r>
            <w:proofErr w:type="gramEnd"/>
            <w:r w:rsidRPr="007E0AF4">
              <w:rPr>
                <w:b/>
                <w:sz w:val="22"/>
              </w:rPr>
              <w:t xml:space="preserve"> </w:t>
            </w:r>
            <w:proofErr w:type="spellStart"/>
            <w:r w:rsidRPr="007E0AF4">
              <w:rPr>
                <w:b/>
                <w:sz w:val="22"/>
              </w:rPr>
              <w:t>матиме</w:t>
            </w:r>
            <w:proofErr w:type="spellEnd"/>
            <w:r w:rsidRPr="007E0AF4">
              <w:rPr>
                <w:b/>
                <w:sz w:val="22"/>
              </w:rPr>
              <w:t xml:space="preserve"> </w:t>
            </w:r>
            <w:proofErr w:type="spellStart"/>
            <w:r w:rsidRPr="007E0AF4">
              <w:rPr>
                <w:b/>
                <w:sz w:val="22"/>
              </w:rPr>
              <w:t>вплив</w:t>
            </w:r>
            <w:proofErr w:type="spellEnd"/>
            <w:r w:rsidRPr="007E0AF4">
              <w:rPr>
                <w:b/>
                <w:sz w:val="22"/>
              </w:rPr>
              <w:t xml:space="preserve"> </w:t>
            </w:r>
            <w:proofErr w:type="spellStart"/>
            <w:r w:rsidRPr="007E0AF4">
              <w:rPr>
                <w:b/>
                <w:sz w:val="22"/>
              </w:rPr>
              <w:t>реалізація</w:t>
            </w:r>
            <w:proofErr w:type="spellEnd"/>
            <w:r w:rsidRPr="007E0AF4">
              <w:rPr>
                <w:b/>
                <w:sz w:val="22"/>
              </w:rPr>
              <w:t xml:space="preserve"> проекту</w:t>
            </w:r>
          </w:p>
        </w:tc>
        <w:tc>
          <w:tcPr>
            <w:tcW w:w="6945" w:type="dxa"/>
            <w:gridSpan w:val="7"/>
          </w:tcPr>
          <w:p w:rsidR="00B61DDC" w:rsidRPr="007E0AF4" w:rsidRDefault="00B61DDC" w:rsidP="00F34B87">
            <w:pPr>
              <w:pStyle w:val="a7"/>
              <w:ind w:left="0"/>
              <w:rPr>
                <w:sz w:val="22"/>
              </w:rPr>
            </w:pPr>
            <w:proofErr w:type="spellStart"/>
            <w:r w:rsidRPr="007E0AF4">
              <w:rPr>
                <w:sz w:val="22"/>
              </w:rPr>
              <w:t>Сєвєродонецька</w:t>
            </w:r>
            <w:proofErr w:type="spellEnd"/>
            <w:r w:rsidRPr="007E0AF4">
              <w:rPr>
                <w:sz w:val="22"/>
              </w:rPr>
              <w:t xml:space="preserve"> </w:t>
            </w:r>
            <w:proofErr w:type="spellStart"/>
            <w:r w:rsidRPr="007E0AF4">
              <w:rPr>
                <w:sz w:val="22"/>
              </w:rPr>
              <w:t>міська</w:t>
            </w:r>
            <w:proofErr w:type="spellEnd"/>
            <w:r w:rsidRPr="007E0AF4">
              <w:rPr>
                <w:sz w:val="22"/>
              </w:rPr>
              <w:t xml:space="preserve"> </w:t>
            </w:r>
            <w:proofErr w:type="spellStart"/>
            <w:r w:rsidRPr="007E0AF4">
              <w:rPr>
                <w:sz w:val="22"/>
              </w:rPr>
              <w:t>територіальна</w:t>
            </w:r>
            <w:proofErr w:type="spellEnd"/>
            <w:r w:rsidRPr="007E0AF4">
              <w:rPr>
                <w:sz w:val="22"/>
              </w:rPr>
              <w:t xml:space="preserve"> громада</w:t>
            </w:r>
          </w:p>
        </w:tc>
      </w:tr>
      <w:tr w:rsidR="00B61DDC" w:rsidRPr="007E0AF4" w:rsidTr="00F34B87">
        <w:tc>
          <w:tcPr>
            <w:tcW w:w="2978" w:type="dxa"/>
            <w:shd w:val="clear" w:color="auto" w:fill="C6D9F1" w:themeFill="text2" w:themeFillTint="33"/>
          </w:tcPr>
          <w:p w:rsidR="00B61DDC" w:rsidRPr="007E0AF4" w:rsidRDefault="00B61DDC" w:rsidP="00F34B87">
            <w:pPr>
              <w:pStyle w:val="a7"/>
              <w:ind w:left="0"/>
              <w:rPr>
                <w:b/>
                <w:sz w:val="22"/>
              </w:rPr>
            </w:pPr>
            <w:proofErr w:type="spellStart"/>
            <w:r w:rsidRPr="007E0AF4">
              <w:rPr>
                <w:b/>
                <w:sz w:val="22"/>
              </w:rPr>
              <w:t>Чисельність</w:t>
            </w:r>
            <w:proofErr w:type="spellEnd"/>
            <w:r w:rsidRPr="007E0AF4">
              <w:rPr>
                <w:b/>
                <w:sz w:val="22"/>
              </w:rPr>
              <w:t xml:space="preserve"> </w:t>
            </w:r>
            <w:proofErr w:type="spellStart"/>
            <w:r w:rsidRPr="007E0AF4">
              <w:rPr>
                <w:b/>
                <w:sz w:val="22"/>
              </w:rPr>
              <w:t>населення</w:t>
            </w:r>
            <w:proofErr w:type="spellEnd"/>
            <w:r w:rsidRPr="007E0AF4">
              <w:rPr>
                <w:b/>
                <w:sz w:val="22"/>
              </w:rPr>
              <w:t xml:space="preserve">, на яке </w:t>
            </w:r>
            <w:proofErr w:type="spellStart"/>
            <w:r w:rsidRPr="007E0AF4">
              <w:rPr>
                <w:b/>
                <w:sz w:val="22"/>
              </w:rPr>
              <w:t>матиме</w:t>
            </w:r>
            <w:proofErr w:type="spellEnd"/>
            <w:r w:rsidRPr="007E0AF4">
              <w:rPr>
                <w:b/>
                <w:sz w:val="22"/>
              </w:rPr>
              <w:t xml:space="preserve"> </w:t>
            </w:r>
            <w:proofErr w:type="spellStart"/>
            <w:r w:rsidRPr="007E0AF4">
              <w:rPr>
                <w:b/>
                <w:sz w:val="22"/>
              </w:rPr>
              <w:t>вплив</w:t>
            </w:r>
            <w:proofErr w:type="spellEnd"/>
            <w:r w:rsidRPr="007E0AF4">
              <w:rPr>
                <w:b/>
                <w:sz w:val="22"/>
              </w:rPr>
              <w:t xml:space="preserve"> </w:t>
            </w:r>
            <w:proofErr w:type="spellStart"/>
            <w:r w:rsidRPr="007E0AF4">
              <w:rPr>
                <w:b/>
                <w:sz w:val="22"/>
              </w:rPr>
              <w:t>реалізація</w:t>
            </w:r>
            <w:proofErr w:type="spellEnd"/>
            <w:r w:rsidRPr="007E0AF4">
              <w:rPr>
                <w:b/>
                <w:sz w:val="22"/>
              </w:rPr>
              <w:t xml:space="preserve"> проекту</w:t>
            </w:r>
          </w:p>
        </w:tc>
        <w:tc>
          <w:tcPr>
            <w:tcW w:w="6945" w:type="dxa"/>
            <w:gridSpan w:val="7"/>
          </w:tcPr>
          <w:p w:rsidR="00B61DDC" w:rsidRPr="007E0AF4" w:rsidRDefault="00B61DDC" w:rsidP="00F34B87">
            <w:pPr>
              <w:pStyle w:val="a7"/>
              <w:ind w:left="0"/>
              <w:rPr>
                <w:sz w:val="22"/>
              </w:rPr>
            </w:pPr>
            <w:r w:rsidRPr="007E0AF4">
              <w:rPr>
                <w:sz w:val="22"/>
              </w:rPr>
              <w:t xml:space="preserve">70 </w:t>
            </w:r>
            <w:proofErr w:type="gramStart"/>
            <w:r w:rsidRPr="007E0AF4">
              <w:rPr>
                <w:sz w:val="22"/>
              </w:rPr>
              <w:t xml:space="preserve">000  </w:t>
            </w:r>
            <w:proofErr w:type="spellStart"/>
            <w:r w:rsidRPr="007E0AF4">
              <w:rPr>
                <w:sz w:val="22"/>
              </w:rPr>
              <w:t>осіб</w:t>
            </w:r>
            <w:proofErr w:type="spellEnd"/>
            <w:proofErr w:type="gramEnd"/>
          </w:p>
        </w:tc>
      </w:tr>
      <w:tr w:rsidR="00B61DDC" w:rsidRPr="007E0AF4" w:rsidTr="00F34B87">
        <w:tc>
          <w:tcPr>
            <w:tcW w:w="2978" w:type="dxa"/>
            <w:shd w:val="clear" w:color="auto" w:fill="C6D9F1" w:themeFill="text2" w:themeFillTint="33"/>
          </w:tcPr>
          <w:p w:rsidR="00B61DDC" w:rsidRPr="007E0AF4" w:rsidRDefault="00B61DDC" w:rsidP="00F34B87">
            <w:pPr>
              <w:rPr>
                <w:b/>
                <w:sz w:val="22"/>
              </w:rPr>
            </w:pPr>
            <w:proofErr w:type="spellStart"/>
            <w:r w:rsidRPr="007E0AF4">
              <w:rPr>
                <w:b/>
                <w:sz w:val="22"/>
              </w:rPr>
              <w:lastRenderedPageBreak/>
              <w:t>Опис</w:t>
            </w:r>
            <w:proofErr w:type="spellEnd"/>
            <w:r w:rsidRPr="007E0AF4">
              <w:rPr>
                <w:b/>
                <w:sz w:val="22"/>
              </w:rPr>
              <w:t xml:space="preserve"> </w:t>
            </w:r>
            <w:proofErr w:type="spellStart"/>
            <w:r w:rsidRPr="007E0AF4">
              <w:rPr>
                <w:b/>
                <w:sz w:val="22"/>
              </w:rPr>
              <w:t>проблеми</w:t>
            </w:r>
            <w:proofErr w:type="spellEnd"/>
            <w:r w:rsidRPr="007E0AF4">
              <w:rPr>
                <w:b/>
                <w:sz w:val="22"/>
              </w:rPr>
              <w:t xml:space="preserve">, на </w:t>
            </w:r>
            <w:proofErr w:type="spellStart"/>
            <w:r w:rsidRPr="007E0AF4">
              <w:rPr>
                <w:b/>
                <w:sz w:val="22"/>
              </w:rPr>
              <w:t>вирішення</w:t>
            </w:r>
            <w:proofErr w:type="spellEnd"/>
            <w:r w:rsidRPr="007E0AF4">
              <w:rPr>
                <w:b/>
                <w:sz w:val="22"/>
              </w:rPr>
              <w:t xml:space="preserve"> </w:t>
            </w:r>
            <w:proofErr w:type="spellStart"/>
            <w:proofErr w:type="gramStart"/>
            <w:r w:rsidRPr="007E0AF4">
              <w:rPr>
                <w:b/>
                <w:sz w:val="22"/>
              </w:rPr>
              <w:t>якої</w:t>
            </w:r>
            <w:proofErr w:type="spellEnd"/>
            <w:r w:rsidRPr="007E0AF4">
              <w:rPr>
                <w:b/>
                <w:sz w:val="22"/>
              </w:rPr>
              <w:t xml:space="preserve">  </w:t>
            </w:r>
            <w:proofErr w:type="spellStart"/>
            <w:r w:rsidRPr="007E0AF4">
              <w:rPr>
                <w:b/>
                <w:sz w:val="22"/>
              </w:rPr>
              <w:t>спрямований</w:t>
            </w:r>
            <w:proofErr w:type="spellEnd"/>
            <w:proofErr w:type="gramEnd"/>
            <w:r w:rsidRPr="007E0AF4">
              <w:rPr>
                <w:b/>
                <w:sz w:val="22"/>
              </w:rPr>
              <w:t xml:space="preserve"> проект</w:t>
            </w:r>
          </w:p>
        </w:tc>
        <w:tc>
          <w:tcPr>
            <w:tcW w:w="6945" w:type="dxa"/>
            <w:gridSpan w:val="7"/>
          </w:tcPr>
          <w:p w:rsidR="00B61DDC" w:rsidRPr="007E0AF4" w:rsidRDefault="00B61DDC" w:rsidP="00F34B87">
            <w:pPr>
              <w:ind w:firstLine="86"/>
              <w:rPr>
                <w:sz w:val="22"/>
              </w:rPr>
            </w:pPr>
            <w:proofErr w:type="spellStart"/>
            <w:r w:rsidRPr="007E0AF4">
              <w:rPr>
                <w:sz w:val="22"/>
              </w:rPr>
              <w:t>Майстерня</w:t>
            </w:r>
            <w:proofErr w:type="spellEnd"/>
            <w:r w:rsidRPr="007E0AF4">
              <w:rPr>
                <w:sz w:val="22"/>
              </w:rPr>
              <w:t xml:space="preserve"> </w:t>
            </w:r>
            <w:proofErr w:type="spellStart"/>
            <w:r w:rsidRPr="007E0AF4">
              <w:rPr>
                <w:sz w:val="22"/>
              </w:rPr>
              <w:t>Гімназії</w:t>
            </w:r>
            <w:proofErr w:type="spellEnd"/>
            <w:r w:rsidRPr="007E0AF4">
              <w:rPr>
                <w:sz w:val="22"/>
              </w:rPr>
              <w:t xml:space="preserve"> № 12 – </w:t>
            </w:r>
            <w:proofErr w:type="spellStart"/>
            <w:r w:rsidRPr="007E0AF4">
              <w:rPr>
                <w:sz w:val="22"/>
              </w:rPr>
              <w:t>це</w:t>
            </w:r>
            <w:proofErr w:type="spellEnd"/>
            <w:r w:rsidRPr="007E0AF4">
              <w:rPr>
                <w:sz w:val="22"/>
              </w:rPr>
              <w:t xml:space="preserve"> </w:t>
            </w:r>
            <w:proofErr w:type="spellStart"/>
            <w:r w:rsidRPr="007E0AF4">
              <w:rPr>
                <w:sz w:val="22"/>
              </w:rPr>
              <w:t>одноповерхова</w:t>
            </w:r>
            <w:proofErr w:type="spellEnd"/>
            <w:r w:rsidRPr="007E0AF4">
              <w:rPr>
                <w:sz w:val="22"/>
              </w:rPr>
              <w:t xml:space="preserve"> </w:t>
            </w:r>
            <w:proofErr w:type="spellStart"/>
            <w:r w:rsidRPr="007E0AF4">
              <w:rPr>
                <w:sz w:val="22"/>
              </w:rPr>
              <w:t>будівля</w:t>
            </w:r>
            <w:proofErr w:type="spellEnd"/>
            <w:r w:rsidRPr="007E0AF4">
              <w:rPr>
                <w:sz w:val="22"/>
              </w:rPr>
              <w:t xml:space="preserve">, яка </w:t>
            </w:r>
            <w:proofErr w:type="spellStart"/>
            <w:r w:rsidRPr="007E0AF4">
              <w:rPr>
                <w:sz w:val="22"/>
              </w:rPr>
              <w:t>розташована</w:t>
            </w:r>
            <w:proofErr w:type="spellEnd"/>
            <w:r w:rsidRPr="007E0AF4">
              <w:rPr>
                <w:sz w:val="22"/>
              </w:rPr>
              <w:t xml:space="preserve"> на </w:t>
            </w:r>
            <w:proofErr w:type="spellStart"/>
            <w:r w:rsidRPr="007E0AF4">
              <w:rPr>
                <w:sz w:val="22"/>
              </w:rPr>
              <w:t>території</w:t>
            </w:r>
            <w:proofErr w:type="spellEnd"/>
            <w:r w:rsidRPr="007E0AF4">
              <w:rPr>
                <w:sz w:val="22"/>
              </w:rPr>
              <w:t xml:space="preserve"> </w:t>
            </w:r>
            <w:proofErr w:type="spellStart"/>
            <w:r w:rsidRPr="007E0AF4">
              <w:rPr>
                <w:sz w:val="22"/>
              </w:rPr>
              <w:t>окремо</w:t>
            </w:r>
            <w:proofErr w:type="spellEnd"/>
            <w:r w:rsidRPr="007E0AF4">
              <w:rPr>
                <w:sz w:val="22"/>
              </w:rPr>
              <w:t xml:space="preserve"> </w:t>
            </w:r>
            <w:proofErr w:type="spellStart"/>
            <w:r w:rsidRPr="007E0AF4">
              <w:rPr>
                <w:sz w:val="22"/>
              </w:rPr>
              <w:t>від</w:t>
            </w:r>
            <w:proofErr w:type="spellEnd"/>
            <w:r w:rsidRPr="007E0AF4">
              <w:rPr>
                <w:sz w:val="22"/>
              </w:rPr>
              <w:t xml:space="preserve"> </w:t>
            </w:r>
            <w:proofErr w:type="spellStart"/>
            <w:r w:rsidRPr="007E0AF4">
              <w:rPr>
                <w:sz w:val="22"/>
              </w:rPr>
              <w:t>будівлі</w:t>
            </w:r>
            <w:proofErr w:type="spellEnd"/>
            <w:r w:rsidRPr="007E0AF4">
              <w:rPr>
                <w:sz w:val="22"/>
              </w:rPr>
              <w:t xml:space="preserve"> закладу. </w:t>
            </w:r>
            <w:proofErr w:type="spellStart"/>
            <w:r w:rsidRPr="007E0AF4">
              <w:rPr>
                <w:sz w:val="22"/>
              </w:rPr>
              <w:t>Будівлю</w:t>
            </w:r>
            <w:proofErr w:type="spellEnd"/>
            <w:r w:rsidRPr="007E0AF4">
              <w:rPr>
                <w:sz w:val="22"/>
              </w:rPr>
              <w:t xml:space="preserve"> </w:t>
            </w:r>
            <w:proofErr w:type="spellStart"/>
            <w:r w:rsidRPr="007E0AF4">
              <w:rPr>
                <w:sz w:val="22"/>
              </w:rPr>
              <w:t>майстерні</w:t>
            </w:r>
            <w:proofErr w:type="spellEnd"/>
            <w:r w:rsidRPr="007E0AF4">
              <w:rPr>
                <w:sz w:val="22"/>
              </w:rPr>
              <w:t xml:space="preserve"> </w:t>
            </w:r>
            <w:proofErr w:type="spellStart"/>
            <w:r w:rsidRPr="007E0AF4">
              <w:rPr>
                <w:sz w:val="22"/>
              </w:rPr>
              <w:t>було</w:t>
            </w:r>
            <w:proofErr w:type="spellEnd"/>
            <w:r w:rsidRPr="007E0AF4">
              <w:rPr>
                <w:sz w:val="22"/>
              </w:rPr>
              <w:t xml:space="preserve"> введено в </w:t>
            </w:r>
            <w:proofErr w:type="spellStart"/>
            <w:r w:rsidRPr="007E0AF4">
              <w:rPr>
                <w:sz w:val="22"/>
              </w:rPr>
              <w:t>експлуатацію</w:t>
            </w:r>
            <w:proofErr w:type="spellEnd"/>
            <w:r w:rsidRPr="007E0AF4">
              <w:rPr>
                <w:sz w:val="22"/>
              </w:rPr>
              <w:t xml:space="preserve"> у 1965 </w:t>
            </w:r>
            <w:proofErr w:type="spellStart"/>
            <w:r w:rsidRPr="007E0AF4">
              <w:rPr>
                <w:sz w:val="22"/>
              </w:rPr>
              <w:t>році</w:t>
            </w:r>
            <w:proofErr w:type="spellEnd"/>
            <w:r w:rsidRPr="007E0AF4">
              <w:rPr>
                <w:sz w:val="22"/>
              </w:rPr>
              <w:t xml:space="preserve">. </w:t>
            </w:r>
          </w:p>
          <w:p w:rsidR="00B61DDC" w:rsidRPr="007E0AF4" w:rsidRDefault="00B61DDC" w:rsidP="00F34B87">
            <w:pPr>
              <w:ind w:firstLine="86"/>
              <w:rPr>
                <w:sz w:val="22"/>
              </w:rPr>
            </w:pPr>
            <w:r w:rsidRPr="007E0AF4">
              <w:rPr>
                <w:sz w:val="22"/>
              </w:rPr>
              <w:t xml:space="preserve">Через </w:t>
            </w:r>
            <w:proofErr w:type="spellStart"/>
            <w:r w:rsidRPr="007E0AF4">
              <w:rPr>
                <w:sz w:val="22"/>
              </w:rPr>
              <w:t>військову</w:t>
            </w:r>
            <w:proofErr w:type="spellEnd"/>
            <w:r w:rsidRPr="007E0AF4">
              <w:rPr>
                <w:sz w:val="22"/>
              </w:rPr>
              <w:t xml:space="preserve"> </w:t>
            </w:r>
            <w:proofErr w:type="spellStart"/>
            <w:r w:rsidRPr="007E0AF4">
              <w:rPr>
                <w:sz w:val="22"/>
              </w:rPr>
              <w:t>агресію</w:t>
            </w:r>
            <w:proofErr w:type="spellEnd"/>
            <w:r w:rsidRPr="007E0AF4">
              <w:rPr>
                <w:sz w:val="22"/>
              </w:rPr>
              <w:t xml:space="preserve"> РФ </w:t>
            </w:r>
            <w:proofErr w:type="spellStart"/>
            <w:r w:rsidRPr="007E0AF4">
              <w:rPr>
                <w:sz w:val="22"/>
              </w:rPr>
              <w:t>територія</w:t>
            </w:r>
            <w:proofErr w:type="spellEnd"/>
            <w:r w:rsidRPr="007E0AF4">
              <w:rPr>
                <w:sz w:val="22"/>
              </w:rPr>
              <w:t xml:space="preserve"> </w:t>
            </w:r>
            <w:proofErr w:type="spellStart"/>
            <w:r w:rsidRPr="007E0AF4">
              <w:rPr>
                <w:sz w:val="22"/>
              </w:rPr>
              <w:t>Сєвєродонецької</w:t>
            </w:r>
            <w:proofErr w:type="spellEnd"/>
            <w:r w:rsidRPr="007E0AF4">
              <w:rPr>
                <w:sz w:val="22"/>
              </w:rPr>
              <w:t xml:space="preserve"> </w:t>
            </w:r>
            <w:proofErr w:type="spellStart"/>
            <w:r w:rsidRPr="007E0AF4">
              <w:rPr>
                <w:sz w:val="22"/>
              </w:rPr>
              <w:t>міської</w:t>
            </w:r>
            <w:proofErr w:type="spellEnd"/>
            <w:r w:rsidRPr="007E0AF4">
              <w:rPr>
                <w:sz w:val="22"/>
              </w:rPr>
              <w:t xml:space="preserve"> </w:t>
            </w:r>
            <w:proofErr w:type="spellStart"/>
            <w:r w:rsidRPr="007E0AF4">
              <w:rPr>
                <w:sz w:val="22"/>
              </w:rPr>
              <w:t>територіальної</w:t>
            </w:r>
            <w:proofErr w:type="spellEnd"/>
            <w:r w:rsidRPr="007E0AF4">
              <w:rPr>
                <w:sz w:val="22"/>
              </w:rPr>
              <w:t xml:space="preserve"> </w:t>
            </w:r>
            <w:proofErr w:type="spellStart"/>
            <w:r w:rsidRPr="007E0AF4">
              <w:rPr>
                <w:sz w:val="22"/>
              </w:rPr>
              <w:t>громади</w:t>
            </w:r>
            <w:proofErr w:type="spellEnd"/>
            <w:r w:rsidRPr="007E0AF4">
              <w:rPr>
                <w:sz w:val="22"/>
              </w:rPr>
              <w:t xml:space="preserve"> </w:t>
            </w:r>
            <w:proofErr w:type="spellStart"/>
            <w:r w:rsidRPr="007E0AF4">
              <w:rPr>
                <w:sz w:val="22"/>
              </w:rPr>
              <w:t>зазнала</w:t>
            </w:r>
            <w:proofErr w:type="spellEnd"/>
            <w:r w:rsidRPr="007E0AF4">
              <w:rPr>
                <w:sz w:val="22"/>
              </w:rPr>
              <w:t xml:space="preserve"> </w:t>
            </w:r>
            <w:proofErr w:type="spellStart"/>
            <w:r w:rsidRPr="007E0AF4">
              <w:rPr>
                <w:sz w:val="22"/>
              </w:rPr>
              <w:t>значних</w:t>
            </w:r>
            <w:proofErr w:type="spellEnd"/>
            <w:r w:rsidRPr="007E0AF4">
              <w:rPr>
                <w:sz w:val="22"/>
              </w:rPr>
              <w:t xml:space="preserve"> </w:t>
            </w:r>
            <w:proofErr w:type="spellStart"/>
            <w:r w:rsidRPr="007E0AF4">
              <w:rPr>
                <w:sz w:val="22"/>
              </w:rPr>
              <w:t>пошкоджень</w:t>
            </w:r>
            <w:proofErr w:type="spellEnd"/>
            <w:r w:rsidRPr="007E0AF4">
              <w:rPr>
                <w:sz w:val="22"/>
              </w:rPr>
              <w:t xml:space="preserve">. Не </w:t>
            </w:r>
            <w:proofErr w:type="spellStart"/>
            <w:r w:rsidRPr="007E0AF4">
              <w:rPr>
                <w:sz w:val="22"/>
              </w:rPr>
              <w:t>оминуло</w:t>
            </w:r>
            <w:proofErr w:type="spellEnd"/>
            <w:r w:rsidRPr="007E0AF4">
              <w:rPr>
                <w:sz w:val="22"/>
              </w:rPr>
              <w:t xml:space="preserve"> </w:t>
            </w:r>
            <w:proofErr w:type="spellStart"/>
            <w:r w:rsidRPr="007E0AF4">
              <w:rPr>
                <w:sz w:val="22"/>
              </w:rPr>
              <w:t>це</w:t>
            </w:r>
            <w:proofErr w:type="spellEnd"/>
            <w:r w:rsidRPr="007E0AF4">
              <w:rPr>
                <w:sz w:val="22"/>
              </w:rPr>
              <w:t xml:space="preserve"> і </w:t>
            </w:r>
            <w:proofErr w:type="spellStart"/>
            <w:r w:rsidRPr="007E0AF4">
              <w:rPr>
                <w:sz w:val="22"/>
              </w:rPr>
              <w:t>майстерню</w:t>
            </w:r>
            <w:proofErr w:type="spellEnd"/>
            <w:r w:rsidRPr="007E0AF4">
              <w:rPr>
                <w:sz w:val="22"/>
              </w:rPr>
              <w:t xml:space="preserve"> </w:t>
            </w:r>
            <w:proofErr w:type="spellStart"/>
            <w:r w:rsidRPr="007E0AF4">
              <w:rPr>
                <w:sz w:val="22"/>
              </w:rPr>
              <w:t>Гімназія</w:t>
            </w:r>
            <w:proofErr w:type="spellEnd"/>
            <w:r w:rsidRPr="007E0AF4">
              <w:rPr>
                <w:sz w:val="22"/>
              </w:rPr>
              <w:t xml:space="preserve"> № 12. У </w:t>
            </w:r>
            <w:proofErr w:type="spellStart"/>
            <w:r w:rsidRPr="007E0AF4">
              <w:rPr>
                <w:sz w:val="22"/>
              </w:rPr>
              <w:t>приміщення</w:t>
            </w:r>
            <w:proofErr w:type="spellEnd"/>
            <w:r w:rsidRPr="007E0AF4">
              <w:rPr>
                <w:sz w:val="22"/>
              </w:rPr>
              <w:t xml:space="preserve"> </w:t>
            </w:r>
            <w:proofErr w:type="spellStart"/>
            <w:r w:rsidRPr="007E0AF4">
              <w:rPr>
                <w:sz w:val="22"/>
              </w:rPr>
              <w:t>будівлі</w:t>
            </w:r>
            <w:proofErr w:type="spellEnd"/>
            <w:r w:rsidRPr="007E0AF4">
              <w:rPr>
                <w:sz w:val="22"/>
              </w:rPr>
              <w:t xml:space="preserve"> </w:t>
            </w:r>
            <w:proofErr w:type="spellStart"/>
            <w:r w:rsidRPr="007E0AF4">
              <w:rPr>
                <w:sz w:val="22"/>
              </w:rPr>
              <w:t>влучено</w:t>
            </w:r>
            <w:proofErr w:type="spellEnd"/>
            <w:r w:rsidRPr="007E0AF4">
              <w:rPr>
                <w:sz w:val="22"/>
              </w:rPr>
              <w:t xml:space="preserve"> снаряди, </w:t>
            </w:r>
            <w:proofErr w:type="spellStart"/>
            <w:r w:rsidRPr="007E0AF4">
              <w:rPr>
                <w:sz w:val="22"/>
              </w:rPr>
              <w:t>які</w:t>
            </w:r>
            <w:proofErr w:type="spellEnd"/>
            <w:r w:rsidRPr="007E0AF4">
              <w:rPr>
                <w:sz w:val="22"/>
              </w:rPr>
              <w:t xml:space="preserve"> </w:t>
            </w:r>
            <w:proofErr w:type="spellStart"/>
            <w:r w:rsidRPr="007E0AF4">
              <w:rPr>
                <w:sz w:val="22"/>
              </w:rPr>
              <w:t>пошкодили</w:t>
            </w:r>
            <w:proofErr w:type="spellEnd"/>
            <w:r w:rsidRPr="007E0AF4">
              <w:rPr>
                <w:sz w:val="22"/>
              </w:rPr>
              <w:t xml:space="preserve"> </w:t>
            </w:r>
            <w:proofErr w:type="spellStart"/>
            <w:r w:rsidRPr="007E0AF4">
              <w:rPr>
                <w:sz w:val="22"/>
              </w:rPr>
              <w:t>вікна</w:t>
            </w:r>
            <w:proofErr w:type="spellEnd"/>
            <w:r w:rsidRPr="007E0AF4">
              <w:rPr>
                <w:sz w:val="22"/>
              </w:rPr>
              <w:t xml:space="preserve"> та </w:t>
            </w:r>
            <w:proofErr w:type="spellStart"/>
            <w:r w:rsidRPr="007E0AF4">
              <w:rPr>
                <w:sz w:val="22"/>
              </w:rPr>
              <w:t>двері</w:t>
            </w:r>
            <w:proofErr w:type="spellEnd"/>
            <w:r w:rsidRPr="007E0AF4">
              <w:rPr>
                <w:sz w:val="22"/>
              </w:rPr>
              <w:t>.</w:t>
            </w:r>
          </w:p>
          <w:p w:rsidR="00B61DDC" w:rsidRPr="007E0AF4" w:rsidRDefault="00B61DDC" w:rsidP="00F34B87">
            <w:pPr>
              <w:ind w:firstLine="86"/>
              <w:rPr>
                <w:sz w:val="22"/>
              </w:rPr>
            </w:pPr>
            <w:proofErr w:type="spellStart"/>
            <w:r w:rsidRPr="007E0AF4">
              <w:rPr>
                <w:sz w:val="22"/>
              </w:rPr>
              <w:t>Зазнала</w:t>
            </w:r>
            <w:proofErr w:type="spellEnd"/>
            <w:r w:rsidRPr="007E0AF4">
              <w:rPr>
                <w:sz w:val="22"/>
              </w:rPr>
              <w:t xml:space="preserve"> </w:t>
            </w:r>
            <w:proofErr w:type="spellStart"/>
            <w:r w:rsidRPr="007E0AF4">
              <w:rPr>
                <w:sz w:val="22"/>
              </w:rPr>
              <w:t>пошкоджень</w:t>
            </w:r>
            <w:proofErr w:type="spellEnd"/>
            <w:r w:rsidRPr="007E0AF4">
              <w:rPr>
                <w:sz w:val="22"/>
              </w:rPr>
              <w:t xml:space="preserve"> (</w:t>
            </w:r>
            <w:proofErr w:type="spellStart"/>
            <w:r w:rsidRPr="007E0AF4">
              <w:rPr>
                <w:sz w:val="22"/>
              </w:rPr>
              <w:t>знищено</w:t>
            </w:r>
            <w:proofErr w:type="spellEnd"/>
            <w:r w:rsidRPr="007E0AF4">
              <w:rPr>
                <w:sz w:val="22"/>
              </w:rPr>
              <w:t xml:space="preserve"> </w:t>
            </w:r>
            <w:proofErr w:type="spellStart"/>
            <w:r w:rsidRPr="007E0AF4">
              <w:rPr>
                <w:sz w:val="22"/>
              </w:rPr>
              <w:t>або</w:t>
            </w:r>
            <w:proofErr w:type="spellEnd"/>
            <w:r w:rsidRPr="007E0AF4">
              <w:rPr>
                <w:sz w:val="22"/>
              </w:rPr>
              <w:t xml:space="preserve"> </w:t>
            </w:r>
            <w:proofErr w:type="spellStart"/>
            <w:r w:rsidRPr="007E0AF4">
              <w:rPr>
                <w:sz w:val="22"/>
              </w:rPr>
              <w:t>викрадено</w:t>
            </w:r>
            <w:proofErr w:type="spellEnd"/>
            <w:r w:rsidRPr="007E0AF4">
              <w:rPr>
                <w:sz w:val="22"/>
              </w:rPr>
              <w:t xml:space="preserve">) вся </w:t>
            </w:r>
            <w:proofErr w:type="spellStart"/>
            <w:r w:rsidRPr="007E0AF4">
              <w:rPr>
                <w:sz w:val="22"/>
              </w:rPr>
              <w:t>матеріально-технічна</w:t>
            </w:r>
            <w:proofErr w:type="spellEnd"/>
            <w:r w:rsidRPr="007E0AF4">
              <w:rPr>
                <w:sz w:val="22"/>
              </w:rPr>
              <w:t xml:space="preserve"> база </w:t>
            </w:r>
            <w:proofErr w:type="spellStart"/>
            <w:r w:rsidRPr="007E0AF4">
              <w:rPr>
                <w:sz w:val="22"/>
              </w:rPr>
              <w:t>майстерні</w:t>
            </w:r>
            <w:proofErr w:type="spellEnd"/>
            <w:r w:rsidRPr="007E0AF4">
              <w:rPr>
                <w:sz w:val="22"/>
              </w:rPr>
              <w:t xml:space="preserve">, </w:t>
            </w:r>
            <w:proofErr w:type="spellStart"/>
            <w:r w:rsidRPr="007E0AF4">
              <w:rPr>
                <w:sz w:val="22"/>
              </w:rPr>
              <w:t>зокрема</w:t>
            </w:r>
            <w:proofErr w:type="spellEnd"/>
            <w:r w:rsidRPr="007E0AF4">
              <w:rPr>
                <w:sz w:val="22"/>
              </w:rPr>
              <w:t>:</w:t>
            </w:r>
          </w:p>
          <w:p w:rsidR="00B61DDC" w:rsidRPr="007E0AF4" w:rsidRDefault="00B61DDC" w:rsidP="000303D7">
            <w:pPr>
              <w:numPr>
                <w:ilvl w:val="0"/>
                <w:numId w:val="9"/>
              </w:numPr>
              <w:tabs>
                <w:tab w:val="clear" w:pos="1068"/>
                <w:tab w:val="num" w:pos="708"/>
              </w:tabs>
              <w:ind w:left="653"/>
              <w:rPr>
                <w:sz w:val="22"/>
              </w:rPr>
            </w:pPr>
            <w:proofErr w:type="spellStart"/>
            <w:r w:rsidRPr="007E0AF4">
              <w:rPr>
                <w:sz w:val="22"/>
              </w:rPr>
              <w:t>обладнання</w:t>
            </w:r>
            <w:proofErr w:type="spellEnd"/>
            <w:r w:rsidRPr="007E0AF4">
              <w:rPr>
                <w:sz w:val="22"/>
              </w:rPr>
              <w:t xml:space="preserve"> (</w:t>
            </w:r>
            <w:proofErr w:type="spellStart"/>
            <w:r w:rsidRPr="007E0AF4">
              <w:rPr>
                <w:sz w:val="22"/>
              </w:rPr>
              <w:t>устаткування</w:t>
            </w:r>
            <w:proofErr w:type="spellEnd"/>
            <w:r w:rsidRPr="007E0AF4">
              <w:rPr>
                <w:sz w:val="22"/>
              </w:rPr>
              <w:t>);</w:t>
            </w:r>
          </w:p>
          <w:p w:rsidR="00B61DDC" w:rsidRPr="007E0AF4" w:rsidRDefault="00B61DDC" w:rsidP="000303D7">
            <w:pPr>
              <w:pStyle w:val="13"/>
              <w:numPr>
                <w:ilvl w:val="0"/>
                <w:numId w:val="9"/>
              </w:numPr>
              <w:tabs>
                <w:tab w:val="clear" w:pos="1068"/>
                <w:tab w:val="num" w:pos="708"/>
              </w:tabs>
              <w:ind w:left="653" w:hanging="425"/>
              <w:jc w:val="both"/>
              <w:rPr>
                <w:sz w:val="22"/>
                <w:lang w:val="uk-UA"/>
              </w:rPr>
            </w:pPr>
            <w:r w:rsidRPr="007E0AF4">
              <w:rPr>
                <w:sz w:val="22"/>
                <w:lang w:val="uk-UA"/>
              </w:rPr>
              <w:t xml:space="preserve">основні засоби (офісні меблі, сейфи тощо) </w:t>
            </w:r>
          </w:p>
          <w:p w:rsidR="00B61DDC" w:rsidRPr="007E0AF4" w:rsidRDefault="00B61DDC" w:rsidP="00F34B87">
            <w:pPr>
              <w:pStyle w:val="13"/>
              <w:rPr>
                <w:sz w:val="22"/>
                <w:lang w:val="uk-UA"/>
              </w:rPr>
            </w:pPr>
            <w:r w:rsidRPr="007E0AF4">
              <w:rPr>
                <w:sz w:val="22"/>
                <w:lang w:val="uk-UA"/>
              </w:rPr>
              <w:t>За 58 років існування закладу освіти капітального ремонту будівлі майстерні, її систем опалення, водопостачання/водовідведення, вентиляції та енергопостачання не відбувалось.</w:t>
            </w:r>
          </w:p>
          <w:p w:rsidR="00B61DDC" w:rsidRPr="007E0AF4" w:rsidRDefault="00B61DDC" w:rsidP="00F34B87">
            <w:pPr>
              <w:ind w:firstLine="86"/>
              <w:rPr>
                <w:sz w:val="22"/>
              </w:rPr>
            </w:pPr>
            <w:r w:rsidRPr="007E0AF4">
              <w:rPr>
                <w:rFonts w:eastAsia="Arial"/>
                <w:sz w:val="22"/>
              </w:rPr>
              <w:t xml:space="preserve">Для </w:t>
            </w:r>
            <w:proofErr w:type="spellStart"/>
            <w:r w:rsidRPr="007E0AF4">
              <w:rPr>
                <w:rFonts w:eastAsia="Arial"/>
                <w:sz w:val="22"/>
              </w:rPr>
              <w:t>відбудови</w:t>
            </w:r>
            <w:proofErr w:type="spellEnd"/>
            <w:r w:rsidRPr="007E0AF4">
              <w:rPr>
                <w:rFonts w:eastAsia="Arial"/>
                <w:sz w:val="22"/>
              </w:rPr>
              <w:t xml:space="preserve"> та </w:t>
            </w:r>
            <w:proofErr w:type="spellStart"/>
            <w:r w:rsidRPr="007E0AF4">
              <w:rPr>
                <w:rFonts w:eastAsia="Arial"/>
                <w:sz w:val="22"/>
              </w:rPr>
              <w:t>сталого</w:t>
            </w:r>
            <w:proofErr w:type="spellEnd"/>
            <w:r w:rsidRPr="007E0AF4">
              <w:rPr>
                <w:rFonts w:eastAsia="Arial"/>
                <w:sz w:val="22"/>
              </w:rPr>
              <w:t xml:space="preserve"> </w:t>
            </w:r>
            <w:proofErr w:type="spellStart"/>
            <w:r w:rsidRPr="007E0AF4">
              <w:rPr>
                <w:rFonts w:eastAsia="Arial"/>
                <w:sz w:val="22"/>
              </w:rPr>
              <w:t>розвитку</w:t>
            </w:r>
            <w:proofErr w:type="spellEnd"/>
            <w:r w:rsidRPr="007E0AF4">
              <w:rPr>
                <w:rFonts w:eastAsia="Arial"/>
                <w:sz w:val="22"/>
              </w:rPr>
              <w:t xml:space="preserve"> </w:t>
            </w:r>
            <w:proofErr w:type="spellStart"/>
            <w:r w:rsidRPr="007E0AF4">
              <w:rPr>
                <w:rFonts w:eastAsia="Arial"/>
                <w:sz w:val="22"/>
              </w:rPr>
              <w:t>громади</w:t>
            </w:r>
            <w:proofErr w:type="spellEnd"/>
            <w:r w:rsidRPr="007E0AF4">
              <w:rPr>
                <w:rFonts w:eastAsia="Arial"/>
                <w:sz w:val="22"/>
              </w:rPr>
              <w:t xml:space="preserve"> </w:t>
            </w:r>
            <w:proofErr w:type="spellStart"/>
            <w:r w:rsidRPr="007E0AF4">
              <w:rPr>
                <w:rFonts w:eastAsia="Arial"/>
                <w:sz w:val="22"/>
              </w:rPr>
              <w:t>потрібне</w:t>
            </w:r>
            <w:proofErr w:type="spellEnd"/>
            <w:r w:rsidRPr="007E0AF4">
              <w:rPr>
                <w:rFonts w:eastAsia="Arial"/>
                <w:sz w:val="22"/>
              </w:rPr>
              <w:t xml:space="preserve"> </w:t>
            </w:r>
            <w:proofErr w:type="spellStart"/>
            <w:r w:rsidRPr="007E0AF4">
              <w:rPr>
                <w:rFonts w:eastAsia="Arial"/>
                <w:sz w:val="22"/>
              </w:rPr>
              <w:t>відновлення</w:t>
            </w:r>
            <w:proofErr w:type="spellEnd"/>
            <w:r w:rsidRPr="007E0AF4">
              <w:rPr>
                <w:rFonts w:eastAsia="Arial"/>
                <w:sz w:val="22"/>
              </w:rPr>
              <w:t xml:space="preserve"> </w:t>
            </w:r>
            <w:proofErr w:type="gramStart"/>
            <w:r w:rsidRPr="007E0AF4">
              <w:rPr>
                <w:rFonts w:eastAsia="Arial"/>
                <w:sz w:val="22"/>
              </w:rPr>
              <w:t xml:space="preserve">та  </w:t>
            </w:r>
            <w:proofErr w:type="spellStart"/>
            <w:r w:rsidRPr="007E0AF4">
              <w:rPr>
                <w:rFonts w:eastAsia="Arial"/>
                <w:sz w:val="22"/>
              </w:rPr>
              <w:t>модернізація</w:t>
            </w:r>
            <w:proofErr w:type="spellEnd"/>
            <w:proofErr w:type="gramEnd"/>
            <w:r w:rsidRPr="007E0AF4">
              <w:rPr>
                <w:rFonts w:eastAsia="Arial"/>
                <w:sz w:val="22"/>
              </w:rPr>
              <w:t xml:space="preserve"> </w:t>
            </w:r>
            <w:proofErr w:type="spellStart"/>
            <w:r w:rsidRPr="007E0AF4">
              <w:rPr>
                <w:rFonts w:eastAsia="Arial"/>
                <w:sz w:val="22"/>
              </w:rPr>
              <w:t>роботи</w:t>
            </w:r>
            <w:proofErr w:type="spellEnd"/>
            <w:r w:rsidRPr="007E0AF4">
              <w:rPr>
                <w:rFonts w:eastAsia="Arial"/>
                <w:sz w:val="22"/>
              </w:rPr>
              <w:t xml:space="preserve"> закладу </w:t>
            </w:r>
            <w:proofErr w:type="spellStart"/>
            <w:r w:rsidRPr="007E0AF4">
              <w:rPr>
                <w:rFonts w:eastAsia="Arial"/>
                <w:sz w:val="22"/>
              </w:rPr>
              <w:t>освіти</w:t>
            </w:r>
            <w:proofErr w:type="spellEnd"/>
            <w:r w:rsidRPr="007E0AF4">
              <w:rPr>
                <w:rFonts w:eastAsia="Arial"/>
                <w:sz w:val="22"/>
              </w:rPr>
              <w:t xml:space="preserve">. </w:t>
            </w:r>
            <w:proofErr w:type="spellStart"/>
            <w:r w:rsidRPr="007E0AF4">
              <w:rPr>
                <w:rFonts w:eastAsia="Arial"/>
                <w:sz w:val="22"/>
              </w:rPr>
              <w:t>Мешканці</w:t>
            </w:r>
            <w:proofErr w:type="spellEnd"/>
            <w:r w:rsidRPr="007E0AF4">
              <w:rPr>
                <w:rFonts w:eastAsia="Arial"/>
                <w:sz w:val="22"/>
              </w:rPr>
              <w:t xml:space="preserve"> </w:t>
            </w:r>
            <w:proofErr w:type="spellStart"/>
            <w:r w:rsidRPr="007E0AF4">
              <w:rPr>
                <w:rFonts w:eastAsia="Arial"/>
                <w:sz w:val="22"/>
              </w:rPr>
              <w:t>громади</w:t>
            </w:r>
            <w:proofErr w:type="spellEnd"/>
            <w:r w:rsidRPr="007E0AF4">
              <w:rPr>
                <w:rFonts w:eastAsia="Arial"/>
                <w:sz w:val="22"/>
              </w:rPr>
              <w:t xml:space="preserve"> </w:t>
            </w:r>
            <w:proofErr w:type="spellStart"/>
            <w:r w:rsidRPr="007E0AF4">
              <w:rPr>
                <w:rFonts w:eastAsia="Arial"/>
                <w:sz w:val="22"/>
              </w:rPr>
              <w:t>потребують</w:t>
            </w:r>
            <w:proofErr w:type="spellEnd"/>
            <w:r w:rsidRPr="007E0AF4">
              <w:rPr>
                <w:rFonts w:eastAsia="Arial"/>
                <w:sz w:val="22"/>
              </w:rPr>
              <w:t xml:space="preserve"> в </w:t>
            </w:r>
            <w:proofErr w:type="spellStart"/>
            <w:r w:rsidRPr="007E0AF4">
              <w:rPr>
                <w:rFonts w:eastAsia="Arial"/>
                <w:sz w:val="22"/>
              </w:rPr>
              <w:t>отриманні</w:t>
            </w:r>
            <w:proofErr w:type="spellEnd"/>
            <w:r w:rsidRPr="007E0AF4">
              <w:rPr>
                <w:rFonts w:eastAsia="Arial"/>
                <w:sz w:val="22"/>
              </w:rPr>
              <w:t xml:space="preserve"> </w:t>
            </w:r>
            <w:proofErr w:type="spellStart"/>
            <w:r w:rsidRPr="007E0AF4">
              <w:rPr>
                <w:rFonts w:eastAsia="Arial"/>
                <w:sz w:val="22"/>
              </w:rPr>
              <w:t>якісних</w:t>
            </w:r>
            <w:proofErr w:type="spellEnd"/>
            <w:r w:rsidRPr="007E0AF4">
              <w:rPr>
                <w:rFonts w:eastAsia="Arial"/>
                <w:sz w:val="22"/>
              </w:rPr>
              <w:t xml:space="preserve"> </w:t>
            </w:r>
            <w:proofErr w:type="spellStart"/>
            <w:r w:rsidRPr="007E0AF4">
              <w:rPr>
                <w:rFonts w:eastAsia="Arial"/>
                <w:sz w:val="22"/>
              </w:rPr>
              <w:t>освітніх</w:t>
            </w:r>
            <w:proofErr w:type="spellEnd"/>
            <w:r w:rsidRPr="007E0AF4">
              <w:rPr>
                <w:rFonts w:eastAsia="Arial"/>
                <w:sz w:val="22"/>
              </w:rPr>
              <w:t xml:space="preserve"> </w:t>
            </w:r>
            <w:proofErr w:type="spellStart"/>
            <w:r w:rsidRPr="007E0AF4">
              <w:rPr>
                <w:rFonts w:eastAsia="Arial"/>
                <w:sz w:val="22"/>
              </w:rPr>
              <w:t>послуг</w:t>
            </w:r>
            <w:proofErr w:type="spellEnd"/>
            <w:r w:rsidRPr="007E0AF4">
              <w:rPr>
                <w:rFonts w:eastAsia="Arial"/>
                <w:sz w:val="22"/>
              </w:rPr>
              <w:t xml:space="preserve">, </w:t>
            </w:r>
            <w:proofErr w:type="spellStart"/>
            <w:r w:rsidRPr="007E0AF4">
              <w:rPr>
                <w:rFonts w:eastAsia="Arial"/>
                <w:sz w:val="22"/>
              </w:rPr>
              <w:t>які</w:t>
            </w:r>
            <w:proofErr w:type="spellEnd"/>
            <w:r w:rsidRPr="007E0AF4">
              <w:rPr>
                <w:rFonts w:eastAsia="Arial"/>
                <w:sz w:val="22"/>
              </w:rPr>
              <w:t xml:space="preserve"> </w:t>
            </w:r>
            <w:proofErr w:type="spellStart"/>
            <w:r w:rsidRPr="007E0AF4">
              <w:rPr>
                <w:rFonts w:eastAsia="Arial"/>
                <w:sz w:val="22"/>
              </w:rPr>
              <w:t>відповідають</w:t>
            </w:r>
            <w:proofErr w:type="spellEnd"/>
            <w:r w:rsidRPr="007E0AF4">
              <w:rPr>
                <w:rFonts w:eastAsia="Arial"/>
                <w:sz w:val="22"/>
              </w:rPr>
              <w:t xml:space="preserve"> нормам </w:t>
            </w:r>
            <w:proofErr w:type="spellStart"/>
            <w:r w:rsidRPr="007E0AF4">
              <w:rPr>
                <w:rFonts w:eastAsia="Arial"/>
                <w:sz w:val="22"/>
              </w:rPr>
              <w:t>сучасності</w:t>
            </w:r>
            <w:proofErr w:type="spellEnd"/>
            <w:r w:rsidRPr="007E0AF4">
              <w:rPr>
                <w:rFonts w:eastAsia="Arial"/>
                <w:sz w:val="22"/>
              </w:rPr>
              <w:t xml:space="preserve">. </w:t>
            </w:r>
          </w:p>
        </w:tc>
      </w:tr>
      <w:tr w:rsidR="00B61DDC" w:rsidRPr="007E0AF4" w:rsidTr="00F34B87">
        <w:tc>
          <w:tcPr>
            <w:tcW w:w="2978" w:type="dxa"/>
            <w:shd w:val="clear" w:color="auto" w:fill="C6D9F1" w:themeFill="text2" w:themeFillTint="33"/>
          </w:tcPr>
          <w:p w:rsidR="00B61DDC" w:rsidRPr="007E0AF4" w:rsidRDefault="00B61DDC" w:rsidP="00F34B87">
            <w:pPr>
              <w:pStyle w:val="a7"/>
              <w:ind w:left="0"/>
              <w:rPr>
                <w:b/>
                <w:sz w:val="22"/>
              </w:rPr>
            </w:pPr>
            <w:proofErr w:type="spellStart"/>
            <w:r w:rsidRPr="007E0AF4">
              <w:rPr>
                <w:b/>
                <w:sz w:val="22"/>
              </w:rPr>
              <w:t>Очікувані</w:t>
            </w:r>
            <w:proofErr w:type="spellEnd"/>
            <w:r w:rsidRPr="007E0AF4">
              <w:rPr>
                <w:b/>
                <w:sz w:val="22"/>
              </w:rPr>
              <w:t xml:space="preserve"> </w:t>
            </w:r>
            <w:proofErr w:type="spellStart"/>
            <w:r w:rsidRPr="007E0AF4">
              <w:rPr>
                <w:b/>
                <w:sz w:val="22"/>
              </w:rPr>
              <w:t>якісні</w:t>
            </w:r>
            <w:proofErr w:type="spellEnd"/>
            <w:r w:rsidRPr="007E0AF4">
              <w:rPr>
                <w:b/>
                <w:sz w:val="22"/>
              </w:rPr>
              <w:t xml:space="preserve"> </w:t>
            </w:r>
            <w:proofErr w:type="spellStart"/>
            <w:r w:rsidRPr="007E0AF4">
              <w:rPr>
                <w:b/>
                <w:sz w:val="22"/>
              </w:rPr>
              <w:t>результати</w:t>
            </w:r>
            <w:proofErr w:type="spellEnd"/>
            <w:r w:rsidRPr="007E0AF4">
              <w:rPr>
                <w:b/>
                <w:sz w:val="22"/>
              </w:rPr>
              <w:t xml:space="preserve"> </w:t>
            </w:r>
            <w:proofErr w:type="spellStart"/>
            <w:r w:rsidRPr="007E0AF4">
              <w:rPr>
                <w:b/>
                <w:sz w:val="22"/>
              </w:rPr>
              <w:t>від</w:t>
            </w:r>
            <w:proofErr w:type="spellEnd"/>
            <w:r w:rsidRPr="007E0AF4">
              <w:rPr>
                <w:b/>
                <w:sz w:val="22"/>
              </w:rPr>
              <w:t xml:space="preserve"> </w:t>
            </w:r>
            <w:proofErr w:type="spellStart"/>
            <w:r w:rsidRPr="007E0AF4">
              <w:rPr>
                <w:b/>
                <w:sz w:val="22"/>
              </w:rPr>
              <w:t>реалізації</w:t>
            </w:r>
            <w:proofErr w:type="spellEnd"/>
            <w:r w:rsidRPr="007E0AF4">
              <w:rPr>
                <w:b/>
                <w:sz w:val="22"/>
              </w:rPr>
              <w:t xml:space="preserve"> проекту</w:t>
            </w:r>
          </w:p>
        </w:tc>
        <w:tc>
          <w:tcPr>
            <w:tcW w:w="6945" w:type="dxa"/>
            <w:gridSpan w:val="7"/>
          </w:tcPr>
          <w:p w:rsidR="00B61DDC" w:rsidRPr="007E0AF4" w:rsidRDefault="00B61DDC" w:rsidP="00F34B87">
            <w:pPr>
              <w:pStyle w:val="a7"/>
              <w:ind w:left="0"/>
              <w:rPr>
                <w:sz w:val="22"/>
              </w:rPr>
            </w:pPr>
            <w:r w:rsidRPr="007E0AF4">
              <w:rPr>
                <w:sz w:val="22"/>
              </w:rPr>
              <w:t xml:space="preserve">- </w:t>
            </w:r>
            <w:proofErr w:type="spellStart"/>
            <w:r w:rsidRPr="007E0AF4">
              <w:rPr>
                <w:sz w:val="22"/>
              </w:rPr>
              <w:t>забезпечення</w:t>
            </w:r>
            <w:proofErr w:type="spellEnd"/>
            <w:r w:rsidRPr="007E0AF4">
              <w:rPr>
                <w:sz w:val="22"/>
              </w:rPr>
              <w:t xml:space="preserve"> </w:t>
            </w:r>
            <w:proofErr w:type="spellStart"/>
            <w:r w:rsidRPr="007E0AF4">
              <w:rPr>
                <w:sz w:val="22"/>
              </w:rPr>
              <w:t>населення</w:t>
            </w:r>
            <w:proofErr w:type="spellEnd"/>
            <w:r w:rsidRPr="007E0AF4">
              <w:rPr>
                <w:sz w:val="22"/>
              </w:rPr>
              <w:t xml:space="preserve"> </w:t>
            </w:r>
            <w:proofErr w:type="spellStart"/>
            <w:r w:rsidRPr="007E0AF4">
              <w:rPr>
                <w:sz w:val="22"/>
              </w:rPr>
              <w:t>можливостями</w:t>
            </w:r>
            <w:proofErr w:type="spellEnd"/>
            <w:r w:rsidRPr="007E0AF4">
              <w:rPr>
                <w:sz w:val="22"/>
              </w:rPr>
              <w:t xml:space="preserve"> для </w:t>
            </w:r>
            <w:proofErr w:type="spellStart"/>
            <w:r w:rsidRPr="007E0AF4">
              <w:rPr>
                <w:sz w:val="22"/>
              </w:rPr>
              <w:t>реалізації</w:t>
            </w:r>
            <w:proofErr w:type="spellEnd"/>
            <w:r w:rsidRPr="007E0AF4">
              <w:rPr>
                <w:sz w:val="22"/>
              </w:rPr>
              <w:t xml:space="preserve"> </w:t>
            </w:r>
            <w:proofErr w:type="spellStart"/>
            <w:r w:rsidRPr="007E0AF4">
              <w:rPr>
                <w:sz w:val="22"/>
              </w:rPr>
              <w:t>конституційних</w:t>
            </w:r>
            <w:proofErr w:type="spellEnd"/>
            <w:r w:rsidRPr="007E0AF4">
              <w:rPr>
                <w:sz w:val="22"/>
              </w:rPr>
              <w:t xml:space="preserve"> прав </w:t>
            </w:r>
            <w:proofErr w:type="spellStart"/>
            <w:r w:rsidRPr="007E0AF4">
              <w:rPr>
                <w:sz w:val="22"/>
              </w:rPr>
              <w:t>громадян</w:t>
            </w:r>
            <w:proofErr w:type="spellEnd"/>
            <w:r w:rsidRPr="007E0AF4">
              <w:rPr>
                <w:sz w:val="22"/>
              </w:rPr>
              <w:t xml:space="preserve"> на </w:t>
            </w:r>
            <w:proofErr w:type="spellStart"/>
            <w:r w:rsidRPr="007E0AF4">
              <w:rPr>
                <w:sz w:val="22"/>
              </w:rPr>
              <w:t>здобуття</w:t>
            </w:r>
            <w:proofErr w:type="spellEnd"/>
            <w:r w:rsidRPr="007E0AF4">
              <w:rPr>
                <w:sz w:val="22"/>
              </w:rPr>
              <w:t xml:space="preserve"> </w:t>
            </w:r>
            <w:proofErr w:type="spellStart"/>
            <w:r w:rsidRPr="007E0AF4">
              <w:rPr>
                <w:sz w:val="22"/>
              </w:rPr>
              <w:t>освіти</w:t>
            </w:r>
            <w:proofErr w:type="spellEnd"/>
            <w:r w:rsidRPr="007E0AF4">
              <w:rPr>
                <w:sz w:val="22"/>
              </w:rPr>
              <w:t>;</w:t>
            </w:r>
          </w:p>
          <w:p w:rsidR="00B61DDC" w:rsidRPr="007E0AF4" w:rsidRDefault="00B61DDC" w:rsidP="00F34B87">
            <w:pPr>
              <w:pStyle w:val="a7"/>
              <w:ind w:left="0"/>
              <w:rPr>
                <w:sz w:val="22"/>
              </w:rPr>
            </w:pPr>
            <w:r w:rsidRPr="007E0AF4">
              <w:rPr>
                <w:sz w:val="22"/>
              </w:rPr>
              <w:t xml:space="preserve">- </w:t>
            </w:r>
            <w:proofErr w:type="spellStart"/>
            <w:r w:rsidRPr="007E0AF4">
              <w:rPr>
                <w:sz w:val="22"/>
              </w:rPr>
              <w:t>надання</w:t>
            </w:r>
            <w:proofErr w:type="spellEnd"/>
            <w:r w:rsidRPr="007E0AF4">
              <w:rPr>
                <w:sz w:val="22"/>
              </w:rPr>
              <w:t xml:space="preserve"> широкого спектру </w:t>
            </w:r>
            <w:proofErr w:type="spellStart"/>
            <w:r w:rsidRPr="007E0AF4">
              <w:rPr>
                <w:sz w:val="22"/>
              </w:rPr>
              <w:t>освітніх</w:t>
            </w:r>
            <w:proofErr w:type="spellEnd"/>
            <w:r w:rsidRPr="007E0AF4">
              <w:rPr>
                <w:sz w:val="22"/>
              </w:rPr>
              <w:t xml:space="preserve"> </w:t>
            </w:r>
            <w:proofErr w:type="spellStart"/>
            <w:r w:rsidRPr="007E0AF4">
              <w:rPr>
                <w:sz w:val="22"/>
              </w:rPr>
              <w:t>послуг</w:t>
            </w:r>
            <w:proofErr w:type="spellEnd"/>
            <w:r w:rsidRPr="007E0AF4">
              <w:rPr>
                <w:sz w:val="22"/>
              </w:rPr>
              <w:t>;</w:t>
            </w:r>
          </w:p>
          <w:p w:rsidR="00B61DDC" w:rsidRPr="007E0AF4" w:rsidRDefault="00B61DDC" w:rsidP="00F34B87">
            <w:pPr>
              <w:pStyle w:val="a7"/>
              <w:ind w:left="0"/>
              <w:rPr>
                <w:sz w:val="22"/>
              </w:rPr>
            </w:pPr>
            <w:r w:rsidRPr="007E0AF4">
              <w:rPr>
                <w:sz w:val="22"/>
              </w:rPr>
              <w:t xml:space="preserve">- </w:t>
            </w:r>
            <w:proofErr w:type="spellStart"/>
            <w:r w:rsidRPr="007E0AF4">
              <w:rPr>
                <w:sz w:val="22"/>
              </w:rPr>
              <w:t>вирішення</w:t>
            </w:r>
            <w:proofErr w:type="spellEnd"/>
            <w:r w:rsidRPr="007E0AF4">
              <w:rPr>
                <w:sz w:val="22"/>
              </w:rPr>
              <w:t xml:space="preserve"> ряду </w:t>
            </w:r>
            <w:proofErr w:type="spellStart"/>
            <w:r w:rsidRPr="007E0AF4">
              <w:rPr>
                <w:sz w:val="22"/>
              </w:rPr>
              <w:t>питань</w:t>
            </w:r>
            <w:proofErr w:type="spellEnd"/>
            <w:r w:rsidRPr="007E0AF4">
              <w:rPr>
                <w:sz w:val="22"/>
              </w:rPr>
              <w:t xml:space="preserve"> в межах </w:t>
            </w:r>
            <w:proofErr w:type="spellStart"/>
            <w:r w:rsidRPr="007E0AF4">
              <w:rPr>
                <w:sz w:val="22"/>
              </w:rPr>
              <w:t>статутної</w:t>
            </w:r>
            <w:proofErr w:type="spellEnd"/>
            <w:r w:rsidRPr="007E0AF4">
              <w:rPr>
                <w:sz w:val="22"/>
              </w:rPr>
              <w:t xml:space="preserve"> </w:t>
            </w:r>
            <w:proofErr w:type="spellStart"/>
            <w:r w:rsidRPr="007E0AF4">
              <w:rPr>
                <w:sz w:val="22"/>
              </w:rPr>
              <w:t>діяльності</w:t>
            </w:r>
            <w:proofErr w:type="spellEnd"/>
            <w:r w:rsidRPr="007E0AF4">
              <w:rPr>
                <w:sz w:val="22"/>
              </w:rPr>
              <w:t xml:space="preserve">, </w:t>
            </w:r>
            <w:proofErr w:type="spellStart"/>
            <w:r w:rsidRPr="007E0AF4">
              <w:rPr>
                <w:sz w:val="22"/>
              </w:rPr>
              <w:t>пов’язаних</w:t>
            </w:r>
            <w:proofErr w:type="spellEnd"/>
            <w:r w:rsidRPr="007E0AF4">
              <w:rPr>
                <w:sz w:val="22"/>
              </w:rPr>
              <w:t xml:space="preserve"> </w:t>
            </w:r>
            <w:proofErr w:type="spellStart"/>
            <w:r w:rsidRPr="007E0AF4">
              <w:rPr>
                <w:sz w:val="22"/>
              </w:rPr>
              <w:t>із</w:t>
            </w:r>
            <w:proofErr w:type="spellEnd"/>
            <w:r w:rsidRPr="007E0AF4">
              <w:rPr>
                <w:sz w:val="22"/>
              </w:rPr>
              <w:t xml:space="preserve"> </w:t>
            </w:r>
            <w:proofErr w:type="spellStart"/>
            <w:r w:rsidRPr="007E0AF4">
              <w:rPr>
                <w:sz w:val="22"/>
              </w:rPr>
              <w:t>відбудовою</w:t>
            </w:r>
            <w:proofErr w:type="spellEnd"/>
            <w:r w:rsidRPr="007E0AF4">
              <w:rPr>
                <w:sz w:val="22"/>
              </w:rPr>
              <w:t xml:space="preserve"> та </w:t>
            </w:r>
            <w:proofErr w:type="spellStart"/>
            <w:r w:rsidRPr="007E0AF4">
              <w:rPr>
                <w:sz w:val="22"/>
              </w:rPr>
              <w:t>сталим</w:t>
            </w:r>
            <w:proofErr w:type="spellEnd"/>
            <w:r w:rsidRPr="007E0AF4">
              <w:rPr>
                <w:sz w:val="22"/>
              </w:rPr>
              <w:t xml:space="preserve"> </w:t>
            </w:r>
            <w:proofErr w:type="spellStart"/>
            <w:r w:rsidRPr="007E0AF4">
              <w:rPr>
                <w:sz w:val="22"/>
              </w:rPr>
              <w:t>розвитком</w:t>
            </w:r>
            <w:proofErr w:type="spellEnd"/>
            <w:r w:rsidRPr="007E0AF4">
              <w:rPr>
                <w:sz w:val="22"/>
              </w:rPr>
              <w:t xml:space="preserve"> </w:t>
            </w:r>
            <w:proofErr w:type="spellStart"/>
            <w:r w:rsidRPr="007E0AF4">
              <w:rPr>
                <w:sz w:val="22"/>
              </w:rPr>
              <w:t>громади</w:t>
            </w:r>
            <w:proofErr w:type="spellEnd"/>
            <w:r w:rsidRPr="007E0AF4">
              <w:rPr>
                <w:sz w:val="22"/>
              </w:rPr>
              <w:t>;</w:t>
            </w:r>
          </w:p>
          <w:p w:rsidR="00B61DDC" w:rsidRPr="007E0AF4" w:rsidRDefault="00B61DDC" w:rsidP="00F34B87">
            <w:pPr>
              <w:pStyle w:val="a7"/>
              <w:ind w:left="0"/>
              <w:rPr>
                <w:sz w:val="22"/>
              </w:rPr>
            </w:pPr>
            <w:r w:rsidRPr="007E0AF4">
              <w:rPr>
                <w:sz w:val="22"/>
              </w:rPr>
              <w:t xml:space="preserve">- </w:t>
            </w:r>
            <w:proofErr w:type="spellStart"/>
            <w:r w:rsidRPr="007E0AF4">
              <w:rPr>
                <w:sz w:val="22"/>
              </w:rPr>
              <w:t>виконання</w:t>
            </w:r>
            <w:proofErr w:type="spellEnd"/>
            <w:r w:rsidRPr="007E0AF4">
              <w:rPr>
                <w:sz w:val="22"/>
              </w:rPr>
              <w:t xml:space="preserve"> </w:t>
            </w:r>
            <w:proofErr w:type="spellStart"/>
            <w:r w:rsidRPr="007E0AF4">
              <w:rPr>
                <w:sz w:val="22"/>
              </w:rPr>
              <w:t>Санітарного</w:t>
            </w:r>
            <w:proofErr w:type="spellEnd"/>
            <w:r w:rsidRPr="007E0AF4">
              <w:rPr>
                <w:sz w:val="22"/>
              </w:rPr>
              <w:t xml:space="preserve"> </w:t>
            </w:r>
            <w:proofErr w:type="spellStart"/>
            <w:r w:rsidRPr="007E0AF4">
              <w:rPr>
                <w:sz w:val="22"/>
              </w:rPr>
              <w:t>регламенті</w:t>
            </w:r>
            <w:proofErr w:type="spellEnd"/>
            <w:r w:rsidRPr="007E0AF4">
              <w:rPr>
                <w:sz w:val="22"/>
              </w:rPr>
              <w:t xml:space="preserve"> для </w:t>
            </w:r>
            <w:proofErr w:type="spellStart"/>
            <w:r w:rsidRPr="007E0AF4">
              <w:rPr>
                <w:sz w:val="22"/>
              </w:rPr>
              <w:t>закладів</w:t>
            </w:r>
            <w:proofErr w:type="spellEnd"/>
            <w:r w:rsidRPr="007E0AF4">
              <w:rPr>
                <w:sz w:val="22"/>
              </w:rPr>
              <w:t xml:space="preserve"> </w:t>
            </w:r>
            <w:proofErr w:type="spellStart"/>
            <w:r w:rsidRPr="007E0AF4">
              <w:rPr>
                <w:sz w:val="22"/>
              </w:rPr>
              <w:t>загальної</w:t>
            </w:r>
            <w:proofErr w:type="spellEnd"/>
            <w:r w:rsidRPr="007E0AF4">
              <w:rPr>
                <w:sz w:val="22"/>
              </w:rPr>
              <w:t xml:space="preserve"> </w:t>
            </w:r>
            <w:proofErr w:type="spellStart"/>
            <w:r w:rsidRPr="007E0AF4">
              <w:rPr>
                <w:sz w:val="22"/>
              </w:rPr>
              <w:t>середньої</w:t>
            </w:r>
            <w:proofErr w:type="spellEnd"/>
            <w:r w:rsidRPr="007E0AF4">
              <w:rPr>
                <w:sz w:val="22"/>
              </w:rPr>
              <w:t xml:space="preserve"> </w:t>
            </w:r>
            <w:proofErr w:type="spellStart"/>
            <w:r w:rsidRPr="007E0AF4">
              <w:rPr>
                <w:sz w:val="22"/>
              </w:rPr>
              <w:t>освіти</w:t>
            </w:r>
            <w:proofErr w:type="spellEnd"/>
            <w:r w:rsidRPr="007E0AF4">
              <w:rPr>
                <w:sz w:val="22"/>
              </w:rPr>
              <w:t xml:space="preserve"> </w:t>
            </w:r>
            <w:proofErr w:type="spellStart"/>
            <w:r w:rsidRPr="007E0AF4">
              <w:rPr>
                <w:sz w:val="22"/>
              </w:rPr>
              <w:t>щодо</w:t>
            </w:r>
            <w:proofErr w:type="spellEnd"/>
            <w:r w:rsidRPr="007E0AF4">
              <w:rPr>
                <w:sz w:val="22"/>
              </w:rPr>
              <w:t xml:space="preserve"> </w:t>
            </w:r>
            <w:proofErr w:type="spellStart"/>
            <w:r w:rsidRPr="007E0AF4">
              <w:rPr>
                <w:sz w:val="22"/>
              </w:rPr>
              <w:t>безпечного</w:t>
            </w:r>
            <w:proofErr w:type="spellEnd"/>
            <w:r w:rsidRPr="007E0AF4">
              <w:rPr>
                <w:sz w:val="22"/>
              </w:rPr>
              <w:t xml:space="preserve"> </w:t>
            </w:r>
            <w:proofErr w:type="spellStart"/>
            <w:r w:rsidRPr="007E0AF4">
              <w:rPr>
                <w:sz w:val="22"/>
              </w:rPr>
              <w:t>функціонування</w:t>
            </w:r>
            <w:proofErr w:type="spellEnd"/>
            <w:r w:rsidRPr="007E0AF4">
              <w:rPr>
                <w:sz w:val="22"/>
              </w:rPr>
              <w:t xml:space="preserve"> закладу;</w:t>
            </w:r>
          </w:p>
          <w:p w:rsidR="00B61DDC" w:rsidRPr="007E0AF4" w:rsidRDefault="00B61DDC" w:rsidP="00F34B87">
            <w:pPr>
              <w:pStyle w:val="a7"/>
              <w:ind w:left="0"/>
              <w:rPr>
                <w:sz w:val="22"/>
              </w:rPr>
            </w:pPr>
            <w:r w:rsidRPr="007E0AF4">
              <w:rPr>
                <w:sz w:val="22"/>
              </w:rPr>
              <w:t xml:space="preserve">- </w:t>
            </w:r>
            <w:proofErr w:type="spellStart"/>
            <w:r w:rsidRPr="007E0AF4">
              <w:rPr>
                <w:sz w:val="22"/>
              </w:rPr>
              <w:t>створення</w:t>
            </w:r>
            <w:proofErr w:type="spellEnd"/>
            <w:r w:rsidRPr="007E0AF4">
              <w:rPr>
                <w:sz w:val="22"/>
              </w:rPr>
              <w:t xml:space="preserve"> </w:t>
            </w:r>
            <w:proofErr w:type="spellStart"/>
            <w:r w:rsidRPr="007E0AF4">
              <w:rPr>
                <w:sz w:val="22"/>
              </w:rPr>
              <w:t>нових</w:t>
            </w:r>
            <w:proofErr w:type="spellEnd"/>
            <w:r w:rsidRPr="007E0AF4">
              <w:rPr>
                <w:sz w:val="22"/>
              </w:rPr>
              <w:t xml:space="preserve"> </w:t>
            </w:r>
            <w:proofErr w:type="spellStart"/>
            <w:r w:rsidRPr="007E0AF4">
              <w:rPr>
                <w:sz w:val="22"/>
              </w:rPr>
              <w:t>робочих</w:t>
            </w:r>
            <w:proofErr w:type="spellEnd"/>
            <w:r w:rsidRPr="007E0AF4">
              <w:rPr>
                <w:sz w:val="22"/>
              </w:rPr>
              <w:t xml:space="preserve"> </w:t>
            </w:r>
            <w:proofErr w:type="spellStart"/>
            <w:r w:rsidRPr="007E0AF4">
              <w:rPr>
                <w:sz w:val="22"/>
              </w:rPr>
              <w:t>місць</w:t>
            </w:r>
            <w:proofErr w:type="spellEnd"/>
            <w:r w:rsidRPr="007E0AF4">
              <w:rPr>
                <w:sz w:val="22"/>
              </w:rPr>
              <w:t>;</w:t>
            </w:r>
          </w:p>
          <w:p w:rsidR="00B61DDC" w:rsidRPr="007E0AF4" w:rsidRDefault="00B61DDC" w:rsidP="00F34B87">
            <w:pPr>
              <w:pStyle w:val="a7"/>
              <w:ind w:left="0"/>
              <w:rPr>
                <w:sz w:val="22"/>
              </w:rPr>
            </w:pPr>
            <w:r w:rsidRPr="007E0AF4">
              <w:rPr>
                <w:sz w:val="22"/>
              </w:rPr>
              <w:t xml:space="preserve">- стимул до </w:t>
            </w:r>
            <w:proofErr w:type="spellStart"/>
            <w:r w:rsidRPr="007E0AF4">
              <w:rPr>
                <w:sz w:val="22"/>
              </w:rPr>
              <w:t>повернення</w:t>
            </w:r>
            <w:proofErr w:type="spellEnd"/>
            <w:r w:rsidRPr="007E0AF4">
              <w:rPr>
                <w:sz w:val="22"/>
              </w:rPr>
              <w:t xml:space="preserve"> ВПО до </w:t>
            </w:r>
            <w:proofErr w:type="spellStart"/>
            <w:r w:rsidRPr="007E0AF4">
              <w:rPr>
                <w:sz w:val="22"/>
              </w:rPr>
              <w:t>громади</w:t>
            </w:r>
            <w:proofErr w:type="spellEnd"/>
          </w:p>
        </w:tc>
      </w:tr>
      <w:tr w:rsidR="00B61DDC" w:rsidRPr="007E0AF4" w:rsidTr="00F34B87">
        <w:trPr>
          <w:trHeight w:val="390"/>
        </w:trPr>
        <w:tc>
          <w:tcPr>
            <w:tcW w:w="2978" w:type="dxa"/>
            <w:vMerge w:val="restart"/>
            <w:shd w:val="clear" w:color="auto" w:fill="C6D9F1" w:themeFill="text2" w:themeFillTint="33"/>
          </w:tcPr>
          <w:p w:rsidR="00B61DDC" w:rsidRPr="007E0AF4" w:rsidRDefault="00B61DDC" w:rsidP="00F34B87">
            <w:pPr>
              <w:pStyle w:val="a7"/>
              <w:ind w:left="0"/>
              <w:rPr>
                <w:b/>
                <w:sz w:val="22"/>
                <w:lang w:val="uk-UA"/>
              </w:rPr>
            </w:pPr>
            <w:r w:rsidRPr="007E0AF4">
              <w:rPr>
                <w:b/>
                <w:sz w:val="22"/>
                <w:lang w:val="uk-UA"/>
              </w:rPr>
              <w:t xml:space="preserve">Очікувані кількісні результати реалізації </w:t>
            </w:r>
            <w:proofErr w:type="spellStart"/>
            <w:r w:rsidRPr="007E0AF4">
              <w:rPr>
                <w:b/>
                <w:sz w:val="22"/>
                <w:lang w:val="uk-UA"/>
              </w:rPr>
              <w:t>проєкту</w:t>
            </w:r>
            <w:proofErr w:type="spellEnd"/>
            <w:r w:rsidRPr="007E0AF4">
              <w:rPr>
                <w:b/>
                <w:sz w:val="22"/>
                <w:lang w:val="uk-UA"/>
              </w:rPr>
              <w:t xml:space="preserve"> (індикатори)</w:t>
            </w:r>
          </w:p>
          <w:p w:rsidR="00B61DDC" w:rsidRPr="007E0AF4" w:rsidRDefault="00B61DDC" w:rsidP="00F34B87">
            <w:pPr>
              <w:pStyle w:val="a7"/>
              <w:ind w:left="0"/>
              <w:rPr>
                <w:b/>
                <w:sz w:val="22"/>
                <w:lang w:val="uk-UA"/>
              </w:rPr>
            </w:pPr>
          </w:p>
        </w:tc>
        <w:tc>
          <w:tcPr>
            <w:tcW w:w="3543" w:type="dxa"/>
            <w:gridSpan w:val="3"/>
            <w:tcBorders>
              <w:bottom w:val="single" w:sz="4" w:space="0" w:color="auto"/>
              <w:right w:val="single" w:sz="4" w:space="0" w:color="auto"/>
            </w:tcBorders>
          </w:tcPr>
          <w:p w:rsidR="00B61DDC" w:rsidRPr="007E0AF4" w:rsidRDefault="00B61DDC" w:rsidP="00F34B87">
            <w:pPr>
              <w:pStyle w:val="a7"/>
              <w:ind w:left="-108"/>
              <w:jc w:val="center"/>
              <w:rPr>
                <w:b/>
                <w:sz w:val="22"/>
              </w:rPr>
            </w:pPr>
            <w:proofErr w:type="spellStart"/>
            <w:r w:rsidRPr="007E0AF4">
              <w:rPr>
                <w:b/>
                <w:sz w:val="22"/>
              </w:rPr>
              <w:t>Найменування</w:t>
            </w:r>
            <w:proofErr w:type="spellEnd"/>
            <w:r w:rsidRPr="007E0AF4">
              <w:rPr>
                <w:b/>
                <w:sz w:val="22"/>
              </w:rPr>
              <w:t xml:space="preserve"> </w:t>
            </w:r>
            <w:proofErr w:type="spellStart"/>
            <w:r w:rsidRPr="007E0AF4">
              <w:rPr>
                <w:b/>
                <w:sz w:val="22"/>
              </w:rPr>
              <w:t>показника</w:t>
            </w:r>
            <w:proofErr w:type="spellEnd"/>
          </w:p>
        </w:tc>
        <w:tc>
          <w:tcPr>
            <w:tcW w:w="1843" w:type="dxa"/>
            <w:gridSpan w:val="2"/>
            <w:tcBorders>
              <w:left w:val="single" w:sz="4" w:space="0" w:color="auto"/>
              <w:bottom w:val="single" w:sz="4" w:space="0" w:color="auto"/>
              <w:right w:val="single" w:sz="4" w:space="0" w:color="auto"/>
            </w:tcBorders>
          </w:tcPr>
          <w:p w:rsidR="00B61DDC" w:rsidRPr="007E0AF4" w:rsidRDefault="00B61DDC" w:rsidP="00F34B87">
            <w:pPr>
              <w:pStyle w:val="a7"/>
              <w:ind w:left="0"/>
              <w:jc w:val="center"/>
              <w:rPr>
                <w:b/>
                <w:sz w:val="22"/>
              </w:rPr>
            </w:pPr>
            <w:proofErr w:type="spellStart"/>
            <w:r w:rsidRPr="007E0AF4">
              <w:rPr>
                <w:b/>
                <w:sz w:val="22"/>
              </w:rPr>
              <w:t>Одиниця</w:t>
            </w:r>
            <w:proofErr w:type="spellEnd"/>
            <w:r w:rsidRPr="007E0AF4">
              <w:rPr>
                <w:b/>
                <w:sz w:val="22"/>
              </w:rPr>
              <w:t xml:space="preserve"> </w:t>
            </w:r>
            <w:proofErr w:type="spellStart"/>
            <w:r w:rsidRPr="007E0AF4">
              <w:rPr>
                <w:b/>
                <w:sz w:val="22"/>
              </w:rPr>
              <w:t>вимірювання</w:t>
            </w:r>
            <w:proofErr w:type="spellEnd"/>
          </w:p>
          <w:p w:rsidR="00B61DDC" w:rsidRPr="007E0AF4" w:rsidRDefault="00B61DDC" w:rsidP="00F34B87">
            <w:pPr>
              <w:pStyle w:val="a7"/>
              <w:ind w:left="0"/>
              <w:rPr>
                <w:b/>
                <w:sz w:val="22"/>
              </w:rPr>
            </w:pPr>
          </w:p>
        </w:tc>
        <w:tc>
          <w:tcPr>
            <w:tcW w:w="1559" w:type="dxa"/>
            <w:gridSpan w:val="2"/>
            <w:tcBorders>
              <w:left w:val="single" w:sz="4" w:space="0" w:color="auto"/>
              <w:bottom w:val="single" w:sz="4" w:space="0" w:color="auto"/>
            </w:tcBorders>
          </w:tcPr>
          <w:p w:rsidR="00B61DDC" w:rsidRPr="007E0AF4" w:rsidRDefault="00B61DDC" w:rsidP="00F34B87">
            <w:pPr>
              <w:pStyle w:val="a7"/>
              <w:ind w:left="0"/>
              <w:jc w:val="center"/>
              <w:rPr>
                <w:b/>
                <w:sz w:val="22"/>
              </w:rPr>
            </w:pPr>
            <w:proofErr w:type="spellStart"/>
            <w:r w:rsidRPr="007E0AF4">
              <w:rPr>
                <w:b/>
                <w:sz w:val="22"/>
              </w:rPr>
              <w:t>Прогнозне</w:t>
            </w:r>
            <w:proofErr w:type="spellEnd"/>
            <w:r w:rsidRPr="007E0AF4">
              <w:rPr>
                <w:b/>
                <w:sz w:val="22"/>
              </w:rPr>
              <w:t xml:space="preserve"> (</w:t>
            </w:r>
            <w:proofErr w:type="spellStart"/>
            <w:r w:rsidRPr="007E0AF4">
              <w:rPr>
                <w:b/>
                <w:sz w:val="22"/>
              </w:rPr>
              <w:t>цільове</w:t>
            </w:r>
            <w:proofErr w:type="spellEnd"/>
            <w:r w:rsidRPr="007E0AF4">
              <w:rPr>
                <w:b/>
                <w:sz w:val="22"/>
              </w:rPr>
              <w:t xml:space="preserve">) </w:t>
            </w:r>
            <w:proofErr w:type="spellStart"/>
            <w:r w:rsidRPr="007E0AF4">
              <w:rPr>
                <w:b/>
                <w:sz w:val="22"/>
              </w:rPr>
              <w:t>значення</w:t>
            </w:r>
            <w:proofErr w:type="spellEnd"/>
          </w:p>
        </w:tc>
      </w:tr>
      <w:tr w:rsidR="00B61DDC" w:rsidRPr="007E0AF4" w:rsidTr="00F34B87">
        <w:trPr>
          <w:trHeight w:val="585"/>
        </w:trPr>
        <w:tc>
          <w:tcPr>
            <w:tcW w:w="2978" w:type="dxa"/>
            <w:vMerge/>
            <w:shd w:val="clear" w:color="auto" w:fill="C6D9F1" w:themeFill="text2" w:themeFillTint="33"/>
          </w:tcPr>
          <w:p w:rsidR="00B61DDC" w:rsidRPr="007E0AF4" w:rsidRDefault="00B61DDC" w:rsidP="00F34B87">
            <w:pPr>
              <w:pStyle w:val="a7"/>
              <w:ind w:left="0"/>
              <w:rPr>
                <w:b/>
                <w:sz w:val="22"/>
              </w:rPr>
            </w:pPr>
          </w:p>
        </w:tc>
        <w:tc>
          <w:tcPr>
            <w:tcW w:w="3543" w:type="dxa"/>
            <w:gridSpan w:val="3"/>
            <w:tcBorders>
              <w:top w:val="single" w:sz="4" w:space="0" w:color="auto"/>
              <w:bottom w:val="single" w:sz="4" w:space="0" w:color="auto"/>
              <w:right w:val="single" w:sz="4" w:space="0" w:color="auto"/>
            </w:tcBorders>
          </w:tcPr>
          <w:p w:rsidR="00B61DDC" w:rsidRPr="007E0AF4" w:rsidRDefault="00B61DDC" w:rsidP="00F34B87">
            <w:pPr>
              <w:pStyle w:val="a7"/>
              <w:ind w:left="0"/>
              <w:jc w:val="center"/>
              <w:rPr>
                <w:sz w:val="22"/>
              </w:rPr>
            </w:pPr>
            <w:proofErr w:type="spellStart"/>
            <w:r w:rsidRPr="007E0AF4">
              <w:rPr>
                <w:sz w:val="22"/>
              </w:rPr>
              <w:t>Кількість</w:t>
            </w:r>
            <w:proofErr w:type="spellEnd"/>
            <w:r w:rsidRPr="007E0AF4">
              <w:rPr>
                <w:sz w:val="22"/>
              </w:rPr>
              <w:t xml:space="preserve"> </w:t>
            </w:r>
            <w:proofErr w:type="spellStart"/>
            <w:r w:rsidRPr="007E0AF4">
              <w:rPr>
                <w:sz w:val="22"/>
              </w:rPr>
              <w:t>фізичних</w:t>
            </w:r>
            <w:proofErr w:type="spellEnd"/>
            <w:r w:rsidRPr="007E0AF4">
              <w:rPr>
                <w:sz w:val="22"/>
              </w:rPr>
              <w:t xml:space="preserve">, </w:t>
            </w:r>
            <w:proofErr w:type="spellStart"/>
            <w:r w:rsidRPr="007E0AF4">
              <w:rPr>
                <w:sz w:val="22"/>
              </w:rPr>
              <w:t>які</w:t>
            </w:r>
            <w:proofErr w:type="spellEnd"/>
            <w:r w:rsidRPr="007E0AF4">
              <w:rPr>
                <w:sz w:val="22"/>
              </w:rPr>
              <w:t xml:space="preserve"> </w:t>
            </w:r>
            <w:proofErr w:type="spellStart"/>
            <w:r w:rsidRPr="007E0AF4">
              <w:rPr>
                <w:sz w:val="22"/>
              </w:rPr>
              <w:t>звернулись</w:t>
            </w:r>
            <w:proofErr w:type="spellEnd"/>
            <w:r w:rsidRPr="007E0AF4">
              <w:rPr>
                <w:sz w:val="22"/>
              </w:rPr>
              <w:t xml:space="preserve"> за </w:t>
            </w:r>
            <w:proofErr w:type="spellStart"/>
            <w:r w:rsidRPr="007E0AF4">
              <w:rPr>
                <w:sz w:val="22"/>
              </w:rPr>
              <w:t>послугами</w:t>
            </w:r>
            <w:proofErr w:type="spellEnd"/>
            <w:r w:rsidRPr="007E0AF4">
              <w:rPr>
                <w:sz w:val="22"/>
              </w:rPr>
              <w:t xml:space="preserve"> </w:t>
            </w:r>
            <w:proofErr w:type="spellStart"/>
            <w:proofErr w:type="gramStart"/>
            <w:r w:rsidRPr="007E0AF4">
              <w:rPr>
                <w:sz w:val="22"/>
              </w:rPr>
              <w:t>протягом</w:t>
            </w:r>
            <w:proofErr w:type="spellEnd"/>
            <w:r w:rsidRPr="007E0AF4">
              <w:rPr>
                <w:sz w:val="22"/>
              </w:rPr>
              <w:t xml:space="preserve">  року</w:t>
            </w:r>
            <w:proofErr w:type="gramEnd"/>
          </w:p>
        </w:tc>
        <w:tc>
          <w:tcPr>
            <w:tcW w:w="1843" w:type="dxa"/>
            <w:gridSpan w:val="2"/>
            <w:tcBorders>
              <w:top w:val="single" w:sz="4" w:space="0" w:color="auto"/>
              <w:left w:val="single" w:sz="4" w:space="0" w:color="auto"/>
              <w:bottom w:val="single" w:sz="4" w:space="0" w:color="auto"/>
              <w:right w:val="single" w:sz="4" w:space="0" w:color="auto"/>
            </w:tcBorders>
            <w:vAlign w:val="center"/>
          </w:tcPr>
          <w:p w:rsidR="00B61DDC" w:rsidRPr="007E0AF4" w:rsidRDefault="00B61DDC" w:rsidP="00F34B87">
            <w:pPr>
              <w:pStyle w:val="a7"/>
              <w:ind w:left="0"/>
              <w:jc w:val="center"/>
              <w:rPr>
                <w:sz w:val="22"/>
              </w:rPr>
            </w:pPr>
            <w:proofErr w:type="spellStart"/>
            <w:r w:rsidRPr="007E0AF4">
              <w:rPr>
                <w:sz w:val="22"/>
              </w:rPr>
              <w:t>осіб</w:t>
            </w:r>
            <w:proofErr w:type="spellEnd"/>
          </w:p>
        </w:tc>
        <w:tc>
          <w:tcPr>
            <w:tcW w:w="1559" w:type="dxa"/>
            <w:gridSpan w:val="2"/>
            <w:tcBorders>
              <w:top w:val="single" w:sz="4" w:space="0" w:color="auto"/>
              <w:left w:val="single" w:sz="4" w:space="0" w:color="auto"/>
              <w:bottom w:val="single" w:sz="4" w:space="0" w:color="auto"/>
            </w:tcBorders>
          </w:tcPr>
          <w:p w:rsidR="00B61DDC" w:rsidRPr="007E0AF4" w:rsidRDefault="00B61DDC" w:rsidP="00F34B87">
            <w:pPr>
              <w:pStyle w:val="a7"/>
              <w:ind w:left="0"/>
              <w:jc w:val="center"/>
              <w:rPr>
                <w:b/>
                <w:sz w:val="22"/>
              </w:rPr>
            </w:pPr>
            <w:r w:rsidRPr="007E0AF4">
              <w:rPr>
                <w:sz w:val="22"/>
              </w:rPr>
              <w:t>600</w:t>
            </w:r>
          </w:p>
        </w:tc>
      </w:tr>
      <w:tr w:rsidR="00B61DDC" w:rsidRPr="007E0AF4" w:rsidTr="00F34B87">
        <w:trPr>
          <w:trHeight w:val="184"/>
        </w:trPr>
        <w:tc>
          <w:tcPr>
            <w:tcW w:w="2978" w:type="dxa"/>
            <w:vMerge/>
            <w:shd w:val="clear" w:color="auto" w:fill="C6D9F1" w:themeFill="text2" w:themeFillTint="33"/>
          </w:tcPr>
          <w:p w:rsidR="00B61DDC" w:rsidRPr="007E0AF4" w:rsidRDefault="00B61DDC" w:rsidP="00F34B87">
            <w:pPr>
              <w:pStyle w:val="a7"/>
              <w:ind w:left="0"/>
              <w:rPr>
                <w:b/>
                <w:sz w:val="22"/>
              </w:rPr>
            </w:pPr>
          </w:p>
        </w:tc>
        <w:tc>
          <w:tcPr>
            <w:tcW w:w="3543" w:type="dxa"/>
            <w:gridSpan w:val="3"/>
            <w:tcBorders>
              <w:top w:val="single" w:sz="4" w:space="0" w:color="auto"/>
              <w:bottom w:val="single" w:sz="4" w:space="0" w:color="auto"/>
              <w:right w:val="single" w:sz="4" w:space="0" w:color="auto"/>
            </w:tcBorders>
          </w:tcPr>
          <w:p w:rsidR="00B61DDC" w:rsidRPr="007E0AF4" w:rsidRDefault="00B61DDC" w:rsidP="00F34B87">
            <w:pPr>
              <w:pStyle w:val="a7"/>
              <w:ind w:left="0"/>
              <w:jc w:val="center"/>
              <w:rPr>
                <w:sz w:val="22"/>
              </w:rPr>
            </w:pPr>
            <w:proofErr w:type="spellStart"/>
            <w:r w:rsidRPr="007E0AF4">
              <w:rPr>
                <w:sz w:val="22"/>
              </w:rPr>
              <w:t>Кількість</w:t>
            </w:r>
            <w:proofErr w:type="spellEnd"/>
            <w:r w:rsidRPr="007E0AF4">
              <w:rPr>
                <w:sz w:val="22"/>
              </w:rPr>
              <w:t xml:space="preserve"> </w:t>
            </w:r>
            <w:proofErr w:type="spellStart"/>
            <w:r w:rsidRPr="007E0AF4">
              <w:rPr>
                <w:sz w:val="22"/>
              </w:rPr>
              <w:t>видів</w:t>
            </w:r>
            <w:proofErr w:type="spellEnd"/>
            <w:r w:rsidRPr="007E0AF4">
              <w:rPr>
                <w:sz w:val="22"/>
              </w:rPr>
              <w:t xml:space="preserve"> та </w:t>
            </w:r>
            <w:proofErr w:type="spellStart"/>
            <w:r w:rsidRPr="007E0AF4">
              <w:rPr>
                <w:sz w:val="22"/>
              </w:rPr>
              <w:t>типів</w:t>
            </w:r>
            <w:proofErr w:type="spellEnd"/>
            <w:r w:rsidRPr="007E0AF4">
              <w:rPr>
                <w:sz w:val="22"/>
              </w:rPr>
              <w:t xml:space="preserve"> </w:t>
            </w:r>
            <w:proofErr w:type="spellStart"/>
            <w:r w:rsidRPr="007E0AF4">
              <w:rPr>
                <w:sz w:val="22"/>
              </w:rPr>
              <w:t>послуг</w:t>
            </w:r>
            <w:proofErr w:type="spellEnd"/>
            <w:r w:rsidR="005050E6" w:rsidRPr="007E0AF4">
              <w:rPr>
                <w:sz w:val="22"/>
              </w:rPr>
              <w:t>,</w:t>
            </w:r>
            <w:r w:rsidRPr="007E0AF4">
              <w:rPr>
                <w:sz w:val="22"/>
              </w:rPr>
              <w:t xml:space="preserve"> </w:t>
            </w:r>
            <w:proofErr w:type="spellStart"/>
            <w:r w:rsidRPr="007E0AF4">
              <w:rPr>
                <w:sz w:val="22"/>
              </w:rPr>
              <w:t>наданих</w:t>
            </w:r>
            <w:proofErr w:type="spellEnd"/>
            <w:r w:rsidRPr="007E0AF4">
              <w:rPr>
                <w:sz w:val="22"/>
              </w:rPr>
              <w:t xml:space="preserve"> </w:t>
            </w:r>
            <w:proofErr w:type="spellStart"/>
            <w:r w:rsidRPr="007E0AF4">
              <w:rPr>
                <w:sz w:val="22"/>
              </w:rPr>
              <w:t>протягом</w:t>
            </w:r>
            <w:proofErr w:type="spellEnd"/>
            <w:r w:rsidRPr="007E0AF4">
              <w:rPr>
                <w:sz w:val="22"/>
              </w:rPr>
              <w:t xml:space="preserve"> одно </w:t>
            </w:r>
            <w:proofErr w:type="spellStart"/>
            <w:r w:rsidRPr="007E0AF4">
              <w:rPr>
                <w:sz w:val="22"/>
              </w:rPr>
              <w:t>робочого</w:t>
            </w:r>
            <w:proofErr w:type="spellEnd"/>
            <w:r w:rsidRPr="007E0AF4">
              <w:rPr>
                <w:sz w:val="22"/>
              </w:rPr>
              <w:t xml:space="preserve"> дня</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B61DDC" w:rsidRPr="007E0AF4" w:rsidRDefault="00B61DDC" w:rsidP="00F34B87">
            <w:pPr>
              <w:pStyle w:val="a7"/>
              <w:ind w:left="0"/>
              <w:jc w:val="center"/>
              <w:rPr>
                <w:sz w:val="22"/>
              </w:rPr>
            </w:pPr>
            <w:proofErr w:type="spellStart"/>
            <w:r w:rsidRPr="007E0AF4">
              <w:rPr>
                <w:sz w:val="22"/>
              </w:rPr>
              <w:t>одиниць</w:t>
            </w:r>
            <w:proofErr w:type="spellEnd"/>
          </w:p>
        </w:tc>
        <w:tc>
          <w:tcPr>
            <w:tcW w:w="1559" w:type="dxa"/>
            <w:gridSpan w:val="2"/>
            <w:tcBorders>
              <w:top w:val="single" w:sz="4" w:space="0" w:color="auto"/>
              <w:left w:val="single" w:sz="4" w:space="0" w:color="auto"/>
              <w:bottom w:val="single" w:sz="4" w:space="0" w:color="auto"/>
            </w:tcBorders>
          </w:tcPr>
          <w:p w:rsidR="00B61DDC" w:rsidRPr="007E0AF4" w:rsidRDefault="00B61DDC" w:rsidP="00F34B87">
            <w:pPr>
              <w:pStyle w:val="a7"/>
              <w:ind w:left="0"/>
              <w:jc w:val="center"/>
              <w:rPr>
                <w:sz w:val="22"/>
              </w:rPr>
            </w:pPr>
            <w:r w:rsidRPr="007E0AF4">
              <w:rPr>
                <w:sz w:val="22"/>
              </w:rPr>
              <w:t>10</w:t>
            </w:r>
          </w:p>
        </w:tc>
      </w:tr>
      <w:tr w:rsidR="00B61DDC" w:rsidRPr="007E0AF4" w:rsidTr="00F34B87">
        <w:trPr>
          <w:trHeight w:val="150"/>
        </w:trPr>
        <w:tc>
          <w:tcPr>
            <w:tcW w:w="2978" w:type="dxa"/>
            <w:vMerge/>
            <w:shd w:val="clear" w:color="auto" w:fill="C6D9F1" w:themeFill="text2" w:themeFillTint="33"/>
          </w:tcPr>
          <w:p w:rsidR="00B61DDC" w:rsidRPr="007E0AF4" w:rsidRDefault="00B61DDC" w:rsidP="00F34B87">
            <w:pPr>
              <w:pStyle w:val="a7"/>
              <w:ind w:left="0"/>
              <w:rPr>
                <w:b/>
                <w:sz w:val="22"/>
              </w:rPr>
            </w:pPr>
          </w:p>
        </w:tc>
        <w:tc>
          <w:tcPr>
            <w:tcW w:w="3543" w:type="dxa"/>
            <w:gridSpan w:val="3"/>
            <w:tcBorders>
              <w:top w:val="single" w:sz="4" w:space="0" w:color="auto"/>
              <w:right w:val="single" w:sz="4" w:space="0" w:color="auto"/>
            </w:tcBorders>
          </w:tcPr>
          <w:p w:rsidR="00B61DDC" w:rsidRPr="007E0AF4" w:rsidRDefault="00B61DDC" w:rsidP="00F34B87">
            <w:pPr>
              <w:pStyle w:val="a7"/>
              <w:ind w:left="0"/>
              <w:jc w:val="center"/>
              <w:rPr>
                <w:sz w:val="22"/>
              </w:rPr>
            </w:pPr>
            <w:proofErr w:type="spellStart"/>
            <w:r w:rsidRPr="007E0AF4">
              <w:rPr>
                <w:sz w:val="22"/>
              </w:rPr>
              <w:t>Термін</w:t>
            </w:r>
            <w:proofErr w:type="spellEnd"/>
            <w:r w:rsidRPr="007E0AF4">
              <w:rPr>
                <w:sz w:val="22"/>
              </w:rPr>
              <w:t xml:space="preserve"> </w:t>
            </w:r>
            <w:proofErr w:type="spellStart"/>
            <w:r w:rsidRPr="007E0AF4">
              <w:rPr>
                <w:sz w:val="22"/>
              </w:rPr>
              <w:t>надання</w:t>
            </w:r>
            <w:proofErr w:type="spellEnd"/>
            <w:r w:rsidRPr="007E0AF4">
              <w:rPr>
                <w:sz w:val="22"/>
              </w:rPr>
              <w:t xml:space="preserve"> </w:t>
            </w:r>
            <w:proofErr w:type="spellStart"/>
            <w:r w:rsidRPr="007E0AF4">
              <w:rPr>
                <w:sz w:val="22"/>
              </w:rPr>
              <w:t>послуги</w:t>
            </w:r>
            <w:proofErr w:type="spellEnd"/>
          </w:p>
        </w:tc>
        <w:tc>
          <w:tcPr>
            <w:tcW w:w="1843" w:type="dxa"/>
            <w:gridSpan w:val="2"/>
            <w:tcBorders>
              <w:top w:val="single" w:sz="4" w:space="0" w:color="auto"/>
              <w:left w:val="single" w:sz="4" w:space="0" w:color="auto"/>
              <w:right w:val="single" w:sz="4" w:space="0" w:color="auto"/>
            </w:tcBorders>
            <w:vAlign w:val="center"/>
          </w:tcPr>
          <w:p w:rsidR="00B61DDC" w:rsidRPr="007E0AF4" w:rsidRDefault="00B61DDC" w:rsidP="00F34B87">
            <w:pPr>
              <w:pStyle w:val="a7"/>
              <w:ind w:left="0"/>
              <w:jc w:val="center"/>
              <w:rPr>
                <w:sz w:val="22"/>
              </w:rPr>
            </w:pPr>
            <w:r w:rsidRPr="007E0AF4">
              <w:rPr>
                <w:sz w:val="22"/>
              </w:rPr>
              <w:t>день</w:t>
            </w:r>
          </w:p>
        </w:tc>
        <w:tc>
          <w:tcPr>
            <w:tcW w:w="1559" w:type="dxa"/>
            <w:gridSpan w:val="2"/>
            <w:tcBorders>
              <w:top w:val="single" w:sz="4" w:space="0" w:color="auto"/>
              <w:left w:val="single" w:sz="4" w:space="0" w:color="auto"/>
            </w:tcBorders>
          </w:tcPr>
          <w:p w:rsidR="00B61DDC" w:rsidRPr="007E0AF4" w:rsidRDefault="00B61DDC" w:rsidP="00F34B87">
            <w:pPr>
              <w:pStyle w:val="a7"/>
              <w:ind w:left="0"/>
              <w:jc w:val="center"/>
              <w:rPr>
                <w:sz w:val="22"/>
              </w:rPr>
            </w:pPr>
            <w:r w:rsidRPr="007E0AF4">
              <w:rPr>
                <w:sz w:val="22"/>
              </w:rPr>
              <w:t>365</w:t>
            </w:r>
          </w:p>
        </w:tc>
      </w:tr>
      <w:tr w:rsidR="00B61DDC" w:rsidRPr="007E0AF4" w:rsidTr="00F34B87">
        <w:trPr>
          <w:trHeight w:val="150"/>
        </w:trPr>
        <w:tc>
          <w:tcPr>
            <w:tcW w:w="2978" w:type="dxa"/>
            <w:shd w:val="clear" w:color="auto" w:fill="C6D9F1" w:themeFill="text2" w:themeFillTint="33"/>
          </w:tcPr>
          <w:p w:rsidR="00B61DDC" w:rsidRPr="007E0AF4" w:rsidRDefault="00B61DDC" w:rsidP="00F34B87">
            <w:pPr>
              <w:pStyle w:val="a7"/>
              <w:ind w:left="0"/>
              <w:rPr>
                <w:b/>
                <w:sz w:val="22"/>
              </w:rPr>
            </w:pPr>
          </w:p>
        </w:tc>
        <w:tc>
          <w:tcPr>
            <w:tcW w:w="3543" w:type="dxa"/>
            <w:gridSpan w:val="3"/>
            <w:tcBorders>
              <w:top w:val="single" w:sz="4" w:space="0" w:color="auto"/>
              <w:right w:val="single" w:sz="4" w:space="0" w:color="auto"/>
            </w:tcBorders>
          </w:tcPr>
          <w:p w:rsidR="00B61DDC" w:rsidRPr="007E0AF4" w:rsidRDefault="00B61DDC" w:rsidP="005050E6">
            <w:pPr>
              <w:pStyle w:val="a7"/>
              <w:ind w:left="0"/>
              <w:jc w:val="center"/>
              <w:rPr>
                <w:sz w:val="22"/>
              </w:rPr>
            </w:pPr>
            <w:proofErr w:type="spellStart"/>
            <w:r w:rsidRPr="007E0AF4">
              <w:rPr>
                <w:sz w:val="22"/>
              </w:rPr>
              <w:t>Кількість</w:t>
            </w:r>
            <w:proofErr w:type="spellEnd"/>
            <w:r w:rsidRPr="007E0AF4">
              <w:rPr>
                <w:sz w:val="22"/>
              </w:rPr>
              <w:t xml:space="preserve"> </w:t>
            </w:r>
            <w:proofErr w:type="spellStart"/>
            <w:r w:rsidRPr="007E0AF4">
              <w:rPr>
                <w:sz w:val="22"/>
              </w:rPr>
              <w:t>населених</w:t>
            </w:r>
            <w:proofErr w:type="spellEnd"/>
            <w:r w:rsidRPr="007E0AF4">
              <w:rPr>
                <w:sz w:val="22"/>
              </w:rPr>
              <w:t xml:space="preserve"> </w:t>
            </w:r>
            <w:proofErr w:type="spellStart"/>
            <w:r w:rsidRPr="007E0AF4">
              <w:rPr>
                <w:sz w:val="22"/>
              </w:rPr>
              <w:t>пунктів</w:t>
            </w:r>
            <w:proofErr w:type="spellEnd"/>
            <w:r w:rsidRPr="007E0AF4">
              <w:rPr>
                <w:sz w:val="22"/>
              </w:rPr>
              <w:t xml:space="preserve">, </w:t>
            </w:r>
            <w:proofErr w:type="spellStart"/>
            <w:r w:rsidRPr="007E0AF4">
              <w:rPr>
                <w:sz w:val="22"/>
              </w:rPr>
              <w:t>як</w:t>
            </w:r>
            <w:r w:rsidR="005050E6" w:rsidRPr="007E0AF4">
              <w:rPr>
                <w:sz w:val="22"/>
              </w:rPr>
              <w:t>і</w:t>
            </w:r>
            <w:proofErr w:type="spellEnd"/>
            <w:r w:rsidRPr="007E0AF4">
              <w:rPr>
                <w:sz w:val="22"/>
              </w:rPr>
              <w:t xml:space="preserve"> </w:t>
            </w:r>
            <w:proofErr w:type="spellStart"/>
            <w:r w:rsidRPr="007E0AF4">
              <w:rPr>
                <w:sz w:val="22"/>
              </w:rPr>
              <w:t>обслуговує</w:t>
            </w:r>
            <w:proofErr w:type="spellEnd"/>
            <w:r w:rsidRPr="007E0AF4">
              <w:rPr>
                <w:sz w:val="22"/>
              </w:rPr>
              <w:t xml:space="preserve"> </w:t>
            </w:r>
            <w:r w:rsidR="005050E6" w:rsidRPr="007E0AF4">
              <w:rPr>
                <w:sz w:val="22"/>
              </w:rPr>
              <w:t>заклад</w:t>
            </w:r>
          </w:p>
        </w:tc>
        <w:tc>
          <w:tcPr>
            <w:tcW w:w="1843" w:type="dxa"/>
            <w:gridSpan w:val="2"/>
            <w:tcBorders>
              <w:top w:val="single" w:sz="4" w:space="0" w:color="auto"/>
              <w:left w:val="single" w:sz="4" w:space="0" w:color="auto"/>
              <w:right w:val="single" w:sz="4" w:space="0" w:color="auto"/>
            </w:tcBorders>
            <w:vAlign w:val="center"/>
          </w:tcPr>
          <w:p w:rsidR="00B61DDC" w:rsidRPr="007E0AF4" w:rsidRDefault="00B61DDC" w:rsidP="00F34B87">
            <w:pPr>
              <w:pStyle w:val="a7"/>
              <w:ind w:left="0"/>
              <w:jc w:val="center"/>
              <w:rPr>
                <w:sz w:val="22"/>
              </w:rPr>
            </w:pPr>
            <w:proofErr w:type="spellStart"/>
            <w:r w:rsidRPr="007E0AF4">
              <w:rPr>
                <w:sz w:val="22"/>
              </w:rPr>
              <w:t>одиниць</w:t>
            </w:r>
            <w:proofErr w:type="spellEnd"/>
          </w:p>
        </w:tc>
        <w:tc>
          <w:tcPr>
            <w:tcW w:w="1559" w:type="dxa"/>
            <w:gridSpan w:val="2"/>
            <w:tcBorders>
              <w:top w:val="single" w:sz="4" w:space="0" w:color="auto"/>
              <w:left w:val="single" w:sz="4" w:space="0" w:color="auto"/>
            </w:tcBorders>
          </w:tcPr>
          <w:p w:rsidR="00B61DDC" w:rsidRPr="007E0AF4" w:rsidRDefault="00B61DDC" w:rsidP="00F34B87">
            <w:pPr>
              <w:pStyle w:val="a7"/>
              <w:ind w:left="0"/>
              <w:jc w:val="center"/>
              <w:rPr>
                <w:sz w:val="22"/>
              </w:rPr>
            </w:pPr>
            <w:r w:rsidRPr="007E0AF4">
              <w:rPr>
                <w:sz w:val="22"/>
              </w:rPr>
              <w:t>20</w:t>
            </w:r>
          </w:p>
        </w:tc>
      </w:tr>
      <w:tr w:rsidR="00B61DDC" w:rsidRPr="007E0AF4" w:rsidTr="00F34B87">
        <w:tc>
          <w:tcPr>
            <w:tcW w:w="2978" w:type="dxa"/>
            <w:shd w:val="clear" w:color="auto" w:fill="C6D9F1" w:themeFill="text2" w:themeFillTint="33"/>
          </w:tcPr>
          <w:p w:rsidR="00B61DDC" w:rsidRPr="007E0AF4" w:rsidRDefault="00B61DDC" w:rsidP="00F34B87">
            <w:pPr>
              <w:rPr>
                <w:b/>
                <w:sz w:val="22"/>
              </w:rPr>
            </w:pPr>
            <w:proofErr w:type="spellStart"/>
            <w:r w:rsidRPr="007E0AF4">
              <w:rPr>
                <w:b/>
                <w:sz w:val="22"/>
              </w:rPr>
              <w:t>Ключові</w:t>
            </w:r>
            <w:proofErr w:type="spellEnd"/>
            <w:r w:rsidRPr="007E0AF4">
              <w:rPr>
                <w:b/>
                <w:sz w:val="22"/>
              </w:rPr>
              <w:t xml:space="preserve"> заходи проекту: </w:t>
            </w:r>
          </w:p>
          <w:p w:rsidR="00B61DDC" w:rsidRPr="007E0AF4" w:rsidRDefault="00B61DDC" w:rsidP="00F34B87">
            <w:pPr>
              <w:pStyle w:val="a7"/>
              <w:ind w:left="0"/>
              <w:rPr>
                <w:b/>
                <w:sz w:val="22"/>
              </w:rPr>
            </w:pPr>
          </w:p>
        </w:tc>
        <w:tc>
          <w:tcPr>
            <w:tcW w:w="6945" w:type="dxa"/>
            <w:gridSpan w:val="7"/>
          </w:tcPr>
          <w:p w:rsidR="00B61DDC" w:rsidRPr="007E0AF4" w:rsidRDefault="00B61DDC" w:rsidP="00F34B87">
            <w:pPr>
              <w:pStyle w:val="a7"/>
              <w:ind w:left="0"/>
              <w:rPr>
                <w:sz w:val="22"/>
              </w:rPr>
            </w:pPr>
            <w:r w:rsidRPr="007E0AF4">
              <w:rPr>
                <w:sz w:val="22"/>
              </w:rPr>
              <w:t xml:space="preserve">- </w:t>
            </w:r>
            <w:proofErr w:type="spellStart"/>
            <w:r w:rsidRPr="007E0AF4">
              <w:rPr>
                <w:sz w:val="22"/>
              </w:rPr>
              <w:t>обстеження</w:t>
            </w:r>
            <w:proofErr w:type="spellEnd"/>
            <w:r w:rsidRPr="007E0AF4">
              <w:rPr>
                <w:sz w:val="22"/>
              </w:rPr>
              <w:t xml:space="preserve"> стану </w:t>
            </w:r>
            <w:proofErr w:type="spellStart"/>
            <w:r w:rsidRPr="007E0AF4">
              <w:rPr>
                <w:sz w:val="22"/>
              </w:rPr>
              <w:t>будівлі</w:t>
            </w:r>
            <w:proofErr w:type="spellEnd"/>
            <w:r w:rsidRPr="007E0AF4">
              <w:rPr>
                <w:sz w:val="22"/>
              </w:rPr>
              <w:t xml:space="preserve"> </w:t>
            </w:r>
            <w:proofErr w:type="spellStart"/>
            <w:r w:rsidRPr="007E0AF4">
              <w:rPr>
                <w:sz w:val="22"/>
              </w:rPr>
              <w:t>майстерні</w:t>
            </w:r>
            <w:proofErr w:type="spellEnd"/>
            <w:r w:rsidRPr="007E0AF4">
              <w:rPr>
                <w:sz w:val="22"/>
              </w:rPr>
              <w:t>;</w:t>
            </w:r>
          </w:p>
          <w:p w:rsidR="00B61DDC" w:rsidRPr="007E0AF4" w:rsidRDefault="00B61DDC" w:rsidP="00F34B87">
            <w:pPr>
              <w:pStyle w:val="a7"/>
              <w:ind w:left="0"/>
              <w:rPr>
                <w:sz w:val="22"/>
              </w:rPr>
            </w:pPr>
            <w:r w:rsidRPr="007E0AF4">
              <w:rPr>
                <w:sz w:val="22"/>
              </w:rPr>
              <w:t xml:space="preserve">- </w:t>
            </w:r>
            <w:proofErr w:type="spellStart"/>
            <w:r w:rsidRPr="007E0AF4">
              <w:rPr>
                <w:sz w:val="22"/>
              </w:rPr>
              <w:t>проведення</w:t>
            </w:r>
            <w:proofErr w:type="spellEnd"/>
            <w:r w:rsidRPr="007E0AF4">
              <w:rPr>
                <w:sz w:val="22"/>
              </w:rPr>
              <w:t xml:space="preserve"> </w:t>
            </w:r>
            <w:proofErr w:type="spellStart"/>
            <w:r w:rsidRPr="007E0AF4">
              <w:rPr>
                <w:sz w:val="22"/>
              </w:rPr>
              <w:t>інвентаризації</w:t>
            </w:r>
            <w:proofErr w:type="spellEnd"/>
            <w:r w:rsidRPr="007E0AF4">
              <w:rPr>
                <w:sz w:val="22"/>
              </w:rPr>
              <w:t xml:space="preserve"> </w:t>
            </w:r>
            <w:proofErr w:type="spellStart"/>
            <w:r w:rsidRPr="007E0AF4">
              <w:rPr>
                <w:sz w:val="22"/>
              </w:rPr>
              <w:t>основних</w:t>
            </w:r>
            <w:proofErr w:type="spellEnd"/>
            <w:r w:rsidRPr="007E0AF4">
              <w:rPr>
                <w:sz w:val="22"/>
              </w:rPr>
              <w:t xml:space="preserve"> </w:t>
            </w:r>
            <w:proofErr w:type="spellStart"/>
            <w:r w:rsidRPr="007E0AF4">
              <w:rPr>
                <w:sz w:val="22"/>
              </w:rPr>
              <w:t>засобів</w:t>
            </w:r>
            <w:proofErr w:type="spellEnd"/>
            <w:r w:rsidRPr="007E0AF4">
              <w:rPr>
                <w:sz w:val="22"/>
              </w:rPr>
              <w:t xml:space="preserve">; </w:t>
            </w:r>
          </w:p>
          <w:p w:rsidR="00B61DDC" w:rsidRPr="007E0AF4" w:rsidRDefault="00B61DDC" w:rsidP="00F34B87">
            <w:pPr>
              <w:pStyle w:val="a7"/>
              <w:ind w:left="0"/>
              <w:rPr>
                <w:sz w:val="22"/>
              </w:rPr>
            </w:pPr>
            <w:r w:rsidRPr="007E0AF4">
              <w:rPr>
                <w:sz w:val="22"/>
              </w:rPr>
              <w:t xml:space="preserve">- </w:t>
            </w:r>
            <w:proofErr w:type="spellStart"/>
            <w:r w:rsidRPr="007E0AF4">
              <w:rPr>
                <w:sz w:val="22"/>
              </w:rPr>
              <w:t>визначення</w:t>
            </w:r>
            <w:proofErr w:type="spellEnd"/>
            <w:r w:rsidRPr="007E0AF4">
              <w:rPr>
                <w:sz w:val="22"/>
              </w:rPr>
              <w:t xml:space="preserve"> </w:t>
            </w:r>
            <w:proofErr w:type="spellStart"/>
            <w:r w:rsidRPr="007E0AF4">
              <w:rPr>
                <w:sz w:val="22"/>
              </w:rPr>
              <w:t>кількості</w:t>
            </w:r>
            <w:proofErr w:type="spellEnd"/>
            <w:r w:rsidRPr="007E0AF4">
              <w:rPr>
                <w:sz w:val="22"/>
              </w:rPr>
              <w:t xml:space="preserve"> </w:t>
            </w:r>
            <w:proofErr w:type="spellStart"/>
            <w:r w:rsidRPr="007E0AF4">
              <w:rPr>
                <w:sz w:val="22"/>
              </w:rPr>
              <w:t>осіб</w:t>
            </w:r>
            <w:proofErr w:type="spellEnd"/>
            <w:r w:rsidRPr="007E0AF4">
              <w:rPr>
                <w:sz w:val="22"/>
              </w:rPr>
              <w:t xml:space="preserve">, </w:t>
            </w:r>
            <w:proofErr w:type="spellStart"/>
            <w:r w:rsidRPr="007E0AF4">
              <w:rPr>
                <w:sz w:val="22"/>
              </w:rPr>
              <w:t>які</w:t>
            </w:r>
            <w:proofErr w:type="spellEnd"/>
            <w:r w:rsidRPr="007E0AF4">
              <w:rPr>
                <w:sz w:val="22"/>
              </w:rPr>
              <w:t xml:space="preserve"> </w:t>
            </w:r>
            <w:proofErr w:type="spellStart"/>
            <w:r w:rsidRPr="007E0AF4">
              <w:rPr>
                <w:sz w:val="22"/>
              </w:rPr>
              <w:t>потребують</w:t>
            </w:r>
            <w:proofErr w:type="spellEnd"/>
            <w:r w:rsidRPr="007E0AF4">
              <w:rPr>
                <w:sz w:val="22"/>
              </w:rPr>
              <w:t xml:space="preserve"> </w:t>
            </w:r>
            <w:proofErr w:type="spellStart"/>
            <w:r w:rsidRPr="007E0AF4">
              <w:rPr>
                <w:sz w:val="22"/>
              </w:rPr>
              <w:t>отримання</w:t>
            </w:r>
            <w:proofErr w:type="spellEnd"/>
            <w:r w:rsidRPr="007E0AF4">
              <w:rPr>
                <w:sz w:val="22"/>
              </w:rPr>
              <w:t xml:space="preserve"> </w:t>
            </w:r>
            <w:proofErr w:type="spellStart"/>
            <w:proofErr w:type="gramStart"/>
            <w:r w:rsidRPr="007E0AF4">
              <w:rPr>
                <w:sz w:val="22"/>
              </w:rPr>
              <w:t>освітніх</w:t>
            </w:r>
            <w:proofErr w:type="spellEnd"/>
            <w:r w:rsidRPr="007E0AF4">
              <w:rPr>
                <w:sz w:val="22"/>
              </w:rPr>
              <w:t xml:space="preserve">  </w:t>
            </w:r>
            <w:proofErr w:type="spellStart"/>
            <w:r w:rsidRPr="007E0AF4">
              <w:rPr>
                <w:sz w:val="22"/>
              </w:rPr>
              <w:t>послуг</w:t>
            </w:r>
            <w:proofErr w:type="spellEnd"/>
            <w:proofErr w:type="gramEnd"/>
            <w:r w:rsidRPr="007E0AF4">
              <w:rPr>
                <w:sz w:val="22"/>
              </w:rPr>
              <w:t xml:space="preserve">; </w:t>
            </w:r>
          </w:p>
          <w:p w:rsidR="00B61DDC" w:rsidRPr="007E0AF4" w:rsidRDefault="00B61DDC" w:rsidP="00F34B87">
            <w:pPr>
              <w:pStyle w:val="a7"/>
              <w:ind w:left="0"/>
              <w:rPr>
                <w:sz w:val="22"/>
              </w:rPr>
            </w:pPr>
            <w:r w:rsidRPr="007E0AF4">
              <w:rPr>
                <w:sz w:val="22"/>
              </w:rPr>
              <w:t xml:space="preserve">- </w:t>
            </w:r>
            <w:proofErr w:type="spellStart"/>
            <w:r w:rsidRPr="007E0AF4">
              <w:rPr>
                <w:sz w:val="22"/>
              </w:rPr>
              <w:t>підготовка</w:t>
            </w:r>
            <w:proofErr w:type="spellEnd"/>
            <w:r w:rsidRPr="007E0AF4">
              <w:rPr>
                <w:sz w:val="22"/>
              </w:rPr>
              <w:t xml:space="preserve"> </w:t>
            </w:r>
            <w:proofErr w:type="spellStart"/>
            <w:r w:rsidRPr="007E0AF4">
              <w:rPr>
                <w:sz w:val="22"/>
              </w:rPr>
              <w:t>проєктно-кошторисної</w:t>
            </w:r>
            <w:proofErr w:type="spellEnd"/>
            <w:r w:rsidRPr="007E0AF4">
              <w:rPr>
                <w:sz w:val="22"/>
              </w:rPr>
              <w:t xml:space="preserve"> </w:t>
            </w:r>
            <w:proofErr w:type="spellStart"/>
            <w:r w:rsidRPr="007E0AF4">
              <w:rPr>
                <w:sz w:val="22"/>
              </w:rPr>
              <w:t>документації</w:t>
            </w:r>
            <w:proofErr w:type="spellEnd"/>
            <w:r w:rsidRPr="007E0AF4">
              <w:rPr>
                <w:sz w:val="22"/>
              </w:rPr>
              <w:t>;</w:t>
            </w:r>
          </w:p>
          <w:p w:rsidR="00B61DDC" w:rsidRPr="007E0AF4" w:rsidRDefault="00B61DDC" w:rsidP="00F34B87">
            <w:pPr>
              <w:pStyle w:val="a7"/>
              <w:ind w:left="0"/>
              <w:rPr>
                <w:sz w:val="22"/>
              </w:rPr>
            </w:pPr>
            <w:r w:rsidRPr="007E0AF4">
              <w:rPr>
                <w:sz w:val="22"/>
              </w:rPr>
              <w:t xml:space="preserve"> - </w:t>
            </w:r>
            <w:proofErr w:type="spellStart"/>
            <w:r w:rsidRPr="007E0AF4">
              <w:rPr>
                <w:sz w:val="22"/>
              </w:rPr>
              <w:t>придбання</w:t>
            </w:r>
            <w:proofErr w:type="spellEnd"/>
            <w:r w:rsidRPr="007E0AF4">
              <w:rPr>
                <w:sz w:val="22"/>
              </w:rPr>
              <w:t xml:space="preserve"> </w:t>
            </w:r>
            <w:proofErr w:type="spellStart"/>
            <w:r w:rsidRPr="007E0AF4">
              <w:rPr>
                <w:sz w:val="22"/>
              </w:rPr>
              <w:t>технічного</w:t>
            </w:r>
            <w:proofErr w:type="spellEnd"/>
            <w:r w:rsidRPr="007E0AF4">
              <w:rPr>
                <w:sz w:val="22"/>
              </w:rPr>
              <w:t xml:space="preserve"> </w:t>
            </w:r>
            <w:proofErr w:type="spellStart"/>
            <w:r w:rsidRPr="007E0AF4">
              <w:rPr>
                <w:sz w:val="22"/>
              </w:rPr>
              <w:t>забезпечення</w:t>
            </w:r>
            <w:proofErr w:type="spellEnd"/>
            <w:r w:rsidRPr="007E0AF4">
              <w:rPr>
                <w:sz w:val="22"/>
              </w:rPr>
              <w:t xml:space="preserve"> закладу;</w:t>
            </w:r>
          </w:p>
          <w:p w:rsidR="00B61DDC" w:rsidRPr="007E0AF4" w:rsidRDefault="00B61DDC" w:rsidP="00F34B87">
            <w:pPr>
              <w:pStyle w:val="a7"/>
              <w:ind w:left="0"/>
              <w:rPr>
                <w:sz w:val="22"/>
              </w:rPr>
            </w:pPr>
            <w:r w:rsidRPr="007E0AF4">
              <w:rPr>
                <w:sz w:val="22"/>
              </w:rPr>
              <w:t xml:space="preserve">- </w:t>
            </w:r>
            <w:proofErr w:type="spellStart"/>
            <w:r w:rsidRPr="007E0AF4">
              <w:rPr>
                <w:sz w:val="22"/>
              </w:rPr>
              <w:t>придбання</w:t>
            </w:r>
            <w:proofErr w:type="spellEnd"/>
            <w:r w:rsidRPr="007E0AF4">
              <w:rPr>
                <w:sz w:val="22"/>
              </w:rPr>
              <w:t xml:space="preserve"> </w:t>
            </w:r>
            <w:proofErr w:type="spellStart"/>
            <w:r w:rsidRPr="007E0AF4">
              <w:rPr>
                <w:sz w:val="22"/>
              </w:rPr>
              <w:t>технологічного</w:t>
            </w:r>
            <w:proofErr w:type="spellEnd"/>
            <w:r w:rsidRPr="007E0AF4">
              <w:rPr>
                <w:sz w:val="22"/>
              </w:rPr>
              <w:t xml:space="preserve"> </w:t>
            </w:r>
            <w:proofErr w:type="spellStart"/>
            <w:r w:rsidRPr="007E0AF4">
              <w:rPr>
                <w:sz w:val="22"/>
              </w:rPr>
              <w:t>забезпечення</w:t>
            </w:r>
            <w:proofErr w:type="spellEnd"/>
            <w:r w:rsidRPr="007E0AF4">
              <w:rPr>
                <w:sz w:val="22"/>
              </w:rPr>
              <w:t>;</w:t>
            </w:r>
          </w:p>
          <w:p w:rsidR="00B61DDC" w:rsidRPr="007E0AF4" w:rsidRDefault="00B61DDC" w:rsidP="00F34B87">
            <w:pPr>
              <w:pStyle w:val="a7"/>
              <w:ind w:left="0"/>
              <w:rPr>
                <w:color w:val="FF0000"/>
                <w:sz w:val="22"/>
              </w:rPr>
            </w:pPr>
            <w:r w:rsidRPr="007E0AF4">
              <w:rPr>
                <w:sz w:val="22"/>
              </w:rPr>
              <w:t xml:space="preserve">- </w:t>
            </w:r>
            <w:proofErr w:type="spellStart"/>
            <w:r w:rsidRPr="007E0AF4">
              <w:rPr>
                <w:sz w:val="22"/>
              </w:rPr>
              <w:t>ремонтні</w:t>
            </w:r>
            <w:proofErr w:type="spellEnd"/>
            <w:r w:rsidRPr="007E0AF4">
              <w:rPr>
                <w:sz w:val="22"/>
              </w:rPr>
              <w:t xml:space="preserve"> </w:t>
            </w:r>
            <w:proofErr w:type="spellStart"/>
            <w:r w:rsidRPr="007E0AF4">
              <w:rPr>
                <w:sz w:val="22"/>
              </w:rPr>
              <w:t>роботи</w:t>
            </w:r>
            <w:proofErr w:type="spellEnd"/>
            <w:r w:rsidRPr="007E0AF4">
              <w:rPr>
                <w:sz w:val="22"/>
              </w:rPr>
              <w:t>;</w:t>
            </w:r>
          </w:p>
          <w:p w:rsidR="00B61DDC" w:rsidRPr="007E0AF4" w:rsidRDefault="00B61DDC" w:rsidP="00F34B87">
            <w:pPr>
              <w:pStyle w:val="a7"/>
              <w:ind w:left="0"/>
              <w:rPr>
                <w:sz w:val="22"/>
              </w:rPr>
            </w:pPr>
            <w:r w:rsidRPr="007E0AF4">
              <w:rPr>
                <w:sz w:val="22"/>
              </w:rPr>
              <w:t xml:space="preserve">  - </w:t>
            </w:r>
            <w:proofErr w:type="spellStart"/>
            <w:r w:rsidRPr="007E0AF4">
              <w:rPr>
                <w:sz w:val="22"/>
              </w:rPr>
              <w:t>організація</w:t>
            </w:r>
            <w:proofErr w:type="spellEnd"/>
            <w:r w:rsidRPr="007E0AF4">
              <w:rPr>
                <w:sz w:val="22"/>
              </w:rPr>
              <w:t xml:space="preserve"> та початок </w:t>
            </w:r>
            <w:proofErr w:type="spellStart"/>
            <w:r w:rsidRPr="007E0AF4">
              <w:rPr>
                <w:sz w:val="22"/>
              </w:rPr>
              <w:t>робочого</w:t>
            </w:r>
            <w:proofErr w:type="spellEnd"/>
            <w:r w:rsidRPr="007E0AF4">
              <w:rPr>
                <w:sz w:val="22"/>
              </w:rPr>
              <w:t xml:space="preserve"> </w:t>
            </w:r>
            <w:proofErr w:type="spellStart"/>
            <w:r w:rsidRPr="007E0AF4">
              <w:rPr>
                <w:sz w:val="22"/>
              </w:rPr>
              <w:t>процесу</w:t>
            </w:r>
            <w:proofErr w:type="spellEnd"/>
            <w:r w:rsidRPr="007E0AF4">
              <w:rPr>
                <w:sz w:val="22"/>
              </w:rPr>
              <w:t>.</w:t>
            </w:r>
          </w:p>
        </w:tc>
      </w:tr>
      <w:tr w:rsidR="00B61DDC" w:rsidRPr="007E0AF4" w:rsidTr="00F34B87">
        <w:trPr>
          <w:trHeight w:val="360"/>
        </w:trPr>
        <w:tc>
          <w:tcPr>
            <w:tcW w:w="2978" w:type="dxa"/>
            <w:vMerge w:val="restart"/>
            <w:shd w:val="clear" w:color="auto" w:fill="C6D9F1" w:themeFill="text2" w:themeFillTint="33"/>
          </w:tcPr>
          <w:p w:rsidR="00B61DDC" w:rsidRPr="007E0AF4" w:rsidRDefault="00B61DDC" w:rsidP="00F34B87">
            <w:pPr>
              <w:pStyle w:val="a7"/>
              <w:ind w:left="0"/>
              <w:rPr>
                <w:b/>
                <w:sz w:val="22"/>
              </w:rPr>
            </w:pPr>
            <w:proofErr w:type="spellStart"/>
            <w:r w:rsidRPr="007E0AF4">
              <w:rPr>
                <w:b/>
                <w:sz w:val="22"/>
              </w:rPr>
              <w:t>Орієнтовний</w:t>
            </w:r>
            <w:proofErr w:type="spellEnd"/>
            <w:r w:rsidRPr="007E0AF4">
              <w:rPr>
                <w:b/>
                <w:sz w:val="22"/>
              </w:rPr>
              <w:t xml:space="preserve"> </w:t>
            </w:r>
            <w:proofErr w:type="spellStart"/>
            <w:r w:rsidRPr="007E0AF4">
              <w:rPr>
                <w:b/>
                <w:sz w:val="22"/>
              </w:rPr>
              <w:t>обсяг</w:t>
            </w:r>
            <w:proofErr w:type="spellEnd"/>
            <w:r w:rsidRPr="007E0AF4">
              <w:rPr>
                <w:b/>
                <w:sz w:val="22"/>
              </w:rPr>
              <w:t xml:space="preserve"> та </w:t>
            </w:r>
            <w:proofErr w:type="spellStart"/>
            <w:r w:rsidRPr="007E0AF4">
              <w:rPr>
                <w:b/>
                <w:sz w:val="22"/>
              </w:rPr>
              <w:t>джерела</w:t>
            </w:r>
            <w:proofErr w:type="spellEnd"/>
            <w:r w:rsidRPr="007E0AF4">
              <w:rPr>
                <w:b/>
                <w:sz w:val="22"/>
              </w:rPr>
              <w:t xml:space="preserve"> </w:t>
            </w:r>
            <w:proofErr w:type="spellStart"/>
            <w:r w:rsidRPr="007E0AF4">
              <w:rPr>
                <w:b/>
                <w:sz w:val="22"/>
              </w:rPr>
              <w:t>фінансування</w:t>
            </w:r>
            <w:proofErr w:type="spellEnd"/>
            <w:r w:rsidRPr="007E0AF4">
              <w:rPr>
                <w:b/>
                <w:sz w:val="22"/>
              </w:rPr>
              <w:t xml:space="preserve">, тис. грн. </w:t>
            </w:r>
          </w:p>
          <w:p w:rsidR="00B61DDC" w:rsidRPr="007E0AF4" w:rsidRDefault="00B61DDC" w:rsidP="00F34B87">
            <w:pPr>
              <w:pStyle w:val="a7"/>
              <w:ind w:left="0"/>
              <w:rPr>
                <w:b/>
                <w:sz w:val="22"/>
              </w:rPr>
            </w:pPr>
          </w:p>
        </w:tc>
        <w:tc>
          <w:tcPr>
            <w:tcW w:w="1134" w:type="dxa"/>
            <w:tcBorders>
              <w:bottom w:val="single" w:sz="4" w:space="0" w:color="auto"/>
              <w:right w:val="single" w:sz="4" w:space="0" w:color="auto"/>
            </w:tcBorders>
          </w:tcPr>
          <w:p w:rsidR="00B61DDC" w:rsidRPr="007E0AF4" w:rsidRDefault="00B61DDC" w:rsidP="00F34B87">
            <w:pPr>
              <w:pStyle w:val="a7"/>
              <w:ind w:left="0"/>
              <w:jc w:val="center"/>
              <w:rPr>
                <w:b/>
                <w:sz w:val="22"/>
              </w:rPr>
            </w:pPr>
            <w:proofErr w:type="spellStart"/>
            <w:r w:rsidRPr="007E0AF4">
              <w:rPr>
                <w:b/>
                <w:sz w:val="22"/>
              </w:rPr>
              <w:t>Державний</w:t>
            </w:r>
            <w:proofErr w:type="spellEnd"/>
            <w:r w:rsidRPr="007E0AF4">
              <w:rPr>
                <w:b/>
                <w:sz w:val="22"/>
              </w:rPr>
              <w:t xml:space="preserve"> бюджет</w:t>
            </w:r>
          </w:p>
        </w:tc>
        <w:tc>
          <w:tcPr>
            <w:tcW w:w="1417" w:type="dxa"/>
            <w:tcBorders>
              <w:bottom w:val="single" w:sz="4" w:space="0" w:color="auto"/>
              <w:right w:val="single" w:sz="4" w:space="0" w:color="auto"/>
            </w:tcBorders>
          </w:tcPr>
          <w:p w:rsidR="00B61DDC" w:rsidRPr="007E0AF4" w:rsidRDefault="00B61DDC" w:rsidP="00F34B87">
            <w:pPr>
              <w:pStyle w:val="a7"/>
              <w:ind w:left="0"/>
              <w:jc w:val="center"/>
              <w:rPr>
                <w:b/>
                <w:sz w:val="22"/>
              </w:rPr>
            </w:pPr>
            <w:proofErr w:type="spellStart"/>
            <w:r w:rsidRPr="007E0AF4">
              <w:rPr>
                <w:b/>
                <w:sz w:val="22"/>
              </w:rPr>
              <w:t>Місцевий</w:t>
            </w:r>
            <w:proofErr w:type="spellEnd"/>
            <w:r w:rsidRPr="007E0AF4">
              <w:rPr>
                <w:b/>
                <w:sz w:val="22"/>
              </w:rPr>
              <w:t xml:space="preserve"> бюджет</w:t>
            </w:r>
          </w:p>
        </w:tc>
        <w:tc>
          <w:tcPr>
            <w:tcW w:w="3260" w:type="dxa"/>
            <w:gridSpan w:val="4"/>
            <w:tcBorders>
              <w:left w:val="single" w:sz="4" w:space="0" w:color="auto"/>
              <w:bottom w:val="single" w:sz="4" w:space="0" w:color="auto"/>
              <w:right w:val="single" w:sz="4" w:space="0" w:color="auto"/>
            </w:tcBorders>
          </w:tcPr>
          <w:p w:rsidR="00B61DDC" w:rsidRPr="007E0AF4" w:rsidRDefault="00B61DDC" w:rsidP="00F34B87">
            <w:pPr>
              <w:pStyle w:val="a7"/>
              <w:ind w:left="0"/>
              <w:jc w:val="center"/>
              <w:rPr>
                <w:b/>
                <w:sz w:val="22"/>
              </w:rPr>
            </w:pPr>
            <w:proofErr w:type="spellStart"/>
            <w:r w:rsidRPr="007E0AF4">
              <w:rPr>
                <w:b/>
                <w:sz w:val="22"/>
              </w:rPr>
              <w:t>Інші</w:t>
            </w:r>
            <w:proofErr w:type="spellEnd"/>
            <w:r w:rsidRPr="007E0AF4">
              <w:rPr>
                <w:b/>
                <w:sz w:val="22"/>
              </w:rPr>
              <w:t xml:space="preserve"> </w:t>
            </w:r>
            <w:proofErr w:type="spellStart"/>
            <w:r w:rsidRPr="007E0AF4">
              <w:rPr>
                <w:b/>
                <w:sz w:val="22"/>
              </w:rPr>
              <w:t>джерела</w:t>
            </w:r>
            <w:proofErr w:type="spellEnd"/>
          </w:p>
        </w:tc>
        <w:tc>
          <w:tcPr>
            <w:tcW w:w="1134" w:type="dxa"/>
            <w:tcBorders>
              <w:left w:val="single" w:sz="4" w:space="0" w:color="auto"/>
              <w:bottom w:val="single" w:sz="4" w:space="0" w:color="auto"/>
            </w:tcBorders>
          </w:tcPr>
          <w:p w:rsidR="00B61DDC" w:rsidRPr="007E0AF4" w:rsidRDefault="00B61DDC" w:rsidP="00F34B87">
            <w:pPr>
              <w:pStyle w:val="a7"/>
              <w:ind w:left="0"/>
              <w:jc w:val="center"/>
              <w:rPr>
                <w:b/>
                <w:sz w:val="22"/>
              </w:rPr>
            </w:pPr>
            <w:proofErr w:type="spellStart"/>
            <w:r w:rsidRPr="007E0AF4">
              <w:rPr>
                <w:b/>
                <w:sz w:val="22"/>
              </w:rPr>
              <w:t>Всього</w:t>
            </w:r>
            <w:proofErr w:type="spellEnd"/>
          </w:p>
        </w:tc>
      </w:tr>
      <w:tr w:rsidR="00B61DDC" w:rsidRPr="007E0AF4" w:rsidTr="00F34B87">
        <w:trPr>
          <w:trHeight w:val="225"/>
        </w:trPr>
        <w:tc>
          <w:tcPr>
            <w:tcW w:w="2978" w:type="dxa"/>
            <w:vMerge/>
            <w:shd w:val="clear" w:color="auto" w:fill="C6D9F1" w:themeFill="text2" w:themeFillTint="33"/>
          </w:tcPr>
          <w:p w:rsidR="00B61DDC" w:rsidRPr="007E0AF4" w:rsidRDefault="00B61DDC" w:rsidP="00F34B87">
            <w:pPr>
              <w:pStyle w:val="a7"/>
              <w:ind w:left="0"/>
              <w:rPr>
                <w:b/>
                <w:sz w:val="22"/>
              </w:rPr>
            </w:pPr>
          </w:p>
        </w:tc>
        <w:tc>
          <w:tcPr>
            <w:tcW w:w="1134" w:type="dxa"/>
            <w:vMerge w:val="restart"/>
            <w:tcBorders>
              <w:top w:val="single" w:sz="4" w:space="0" w:color="auto"/>
              <w:right w:val="single" w:sz="4" w:space="0" w:color="auto"/>
            </w:tcBorders>
          </w:tcPr>
          <w:p w:rsidR="00B61DDC" w:rsidRPr="007E0AF4" w:rsidRDefault="00B61DDC" w:rsidP="00F34B87">
            <w:pPr>
              <w:pStyle w:val="a7"/>
              <w:ind w:left="0"/>
              <w:jc w:val="center"/>
              <w:rPr>
                <w:sz w:val="22"/>
              </w:rPr>
            </w:pPr>
            <w:r w:rsidRPr="007E0AF4">
              <w:rPr>
                <w:sz w:val="22"/>
              </w:rPr>
              <w:t>21000,0</w:t>
            </w:r>
          </w:p>
        </w:tc>
        <w:tc>
          <w:tcPr>
            <w:tcW w:w="1417" w:type="dxa"/>
            <w:vMerge w:val="restart"/>
            <w:tcBorders>
              <w:top w:val="single" w:sz="4" w:space="0" w:color="auto"/>
              <w:right w:val="single" w:sz="4" w:space="0" w:color="auto"/>
            </w:tcBorders>
          </w:tcPr>
          <w:p w:rsidR="00B61DDC" w:rsidRPr="007E0AF4" w:rsidRDefault="00B61DDC" w:rsidP="00F34B87">
            <w:pPr>
              <w:pStyle w:val="a7"/>
              <w:ind w:left="0"/>
              <w:jc w:val="center"/>
              <w:rPr>
                <w:b/>
                <w:sz w:val="22"/>
              </w:rPr>
            </w:pPr>
            <w:r w:rsidRPr="007E0AF4">
              <w:rPr>
                <w:b/>
                <w:sz w:val="22"/>
              </w:rPr>
              <w:t>-</w:t>
            </w:r>
          </w:p>
        </w:tc>
        <w:tc>
          <w:tcPr>
            <w:tcW w:w="1134" w:type="dxa"/>
            <w:gridSpan w:val="2"/>
            <w:tcBorders>
              <w:top w:val="single" w:sz="4" w:space="0" w:color="auto"/>
              <w:left w:val="single" w:sz="4" w:space="0" w:color="auto"/>
              <w:bottom w:val="single" w:sz="4" w:space="0" w:color="auto"/>
              <w:right w:val="single" w:sz="4" w:space="0" w:color="auto"/>
            </w:tcBorders>
          </w:tcPr>
          <w:p w:rsidR="00B61DDC" w:rsidRPr="007E0AF4" w:rsidRDefault="00B61DDC" w:rsidP="00F34B87">
            <w:pPr>
              <w:pStyle w:val="a7"/>
              <w:ind w:left="0"/>
              <w:jc w:val="center"/>
              <w:rPr>
                <w:b/>
                <w:sz w:val="22"/>
              </w:rPr>
            </w:pPr>
            <w:proofErr w:type="spellStart"/>
            <w:r w:rsidRPr="007E0AF4">
              <w:rPr>
                <w:b/>
                <w:sz w:val="22"/>
              </w:rPr>
              <w:t>Обсяг</w:t>
            </w:r>
            <w:proofErr w:type="spellEnd"/>
          </w:p>
        </w:tc>
        <w:tc>
          <w:tcPr>
            <w:tcW w:w="2126" w:type="dxa"/>
            <w:gridSpan w:val="2"/>
            <w:tcBorders>
              <w:top w:val="single" w:sz="4" w:space="0" w:color="auto"/>
              <w:left w:val="single" w:sz="4" w:space="0" w:color="auto"/>
              <w:bottom w:val="single" w:sz="4" w:space="0" w:color="auto"/>
              <w:right w:val="single" w:sz="4" w:space="0" w:color="auto"/>
            </w:tcBorders>
          </w:tcPr>
          <w:p w:rsidR="00B61DDC" w:rsidRPr="007E0AF4" w:rsidRDefault="00B61DDC" w:rsidP="00F34B87">
            <w:pPr>
              <w:pStyle w:val="a7"/>
              <w:ind w:left="0"/>
              <w:jc w:val="center"/>
              <w:rPr>
                <w:b/>
                <w:sz w:val="22"/>
              </w:rPr>
            </w:pPr>
            <w:proofErr w:type="spellStart"/>
            <w:r w:rsidRPr="007E0AF4">
              <w:rPr>
                <w:b/>
                <w:sz w:val="22"/>
              </w:rPr>
              <w:t>Назва</w:t>
            </w:r>
            <w:proofErr w:type="spellEnd"/>
            <w:r w:rsidRPr="007E0AF4">
              <w:rPr>
                <w:b/>
                <w:sz w:val="22"/>
              </w:rPr>
              <w:t xml:space="preserve"> </w:t>
            </w:r>
            <w:proofErr w:type="spellStart"/>
            <w:r w:rsidRPr="007E0AF4">
              <w:rPr>
                <w:b/>
                <w:sz w:val="22"/>
              </w:rPr>
              <w:t>джерела</w:t>
            </w:r>
            <w:proofErr w:type="spellEnd"/>
          </w:p>
        </w:tc>
        <w:tc>
          <w:tcPr>
            <w:tcW w:w="1134" w:type="dxa"/>
            <w:vMerge w:val="restart"/>
            <w:tcBorders>
              <w:top w:val="single" w:sz="4" w:space="0" w:color="auto"/>
              <w:left w:val="single" w:sz="4" w:space="0" w:color="auto"/>
            </w:tcBorders>
          </w:tcPr>
          <w:p w:rsidR="00B61DDC" w:rsidRPr="007E0AF4" w:rsidRDefault="00B61DDC" w:rsidP="00F34B87">
            <w:pPr>
              <w:pStyle w:val="a7"/>
              <w:ind w:left="0"/>
              <w:jc w:val="center"/>
              <w:rPr>
                <w:sz w:val="22"/>
              </w:rPr>
            </w:pPr>
            <w:r w:rsidRPr="007E0AF4">
              <w:rPr>
                <w:sz w:val="22"/>
              </w:rPr>
              <w:t>30000,0</w:t>
            </w:r>
          </w:p>
        </w:tc>
      </w:tr>
      <w:tr w:rsidR="00B61DDC" w:rsidRPr="007E0AF4" w:rsidTr="00F34B87">
        <w:trPr>
          <w:trHeight w:val="300"/>
        </w:trPr>
        <w:tc>
          <w:tcPr>
            <w:tcW w:w="2978" w:type="dxa"/>
            <w:vMerge/>
            <w:shd w:val="clear" w:color="auto" w:fill="C6D9F1" w:themeFill="text2" w:themeFillTint="33"/>
          </w:tcPr>
          <w:p w:rsidR="00B61DDC" w:rsidRPr="007E0AF4" w:rsidRDefault="00B61DDC" w:rsidP="00F34B87">
            <w:pPr>
              <w:pStyle w:val="a7"/>
              <w:ind w:left="0"/>
              <w:rPr>
                <w:b/>
                <w:sz w:val="22"/>
              </w:rPr>
            </w:pPr>
          </w:p>
        </w:tc>
        <w:tc>
          <w:tcPr>
            <w:tcW w:w="1134" w:type="dxa"/>
            <w:vMerge/>
            <w:tcBorders>
              <w:right w:val="single" w:sz="4" w:space="0" w:color="auto"/>
            </w:tcBorders>
          </w:tcPr>
          <w:p w:rsidR="00B61DDC" w:rsidRPr="007E0AF4" w:rsidRDefault="00B61DDC" w:rsidP="00F34B87">
            <w:pPr>
              <w:pStyle w:val="a7"/>
              <w:ind w:left="0"/>
              <w:jc w:val="center"/>
              <w:rPr>
                <w:sz w:val="22"/>
              </w:rPr>
            </w:pPr>
          </w:p>
        </w:tc>
        <w:tc>
          <w:tcPr>
            <w:tcW w:w="1417" w:type="dxa"/>
            <w:vMerge/>
            <w:tcBorders>
              <w:right w:val="single" w:sz="4" w:space="0" w:color="auto"/>
            </w:tcBorders>
          </w:tcPr>
          <w:p w:rsidR="00B61DDC" w:rsidRPr="007E0AF4" w:rsidRDefault="00B61DDC" w:rsidP="00F34B87">
            <w:pPr>
              <w:pStyle w:val="a7"/>
              <w:ind w:left="0"/>
              <w:jc w:val="center"/>
              <w:rPr>
                <w:b/>
                <w:sz w:val="22"/>
              </w:rPr>
            </w:pPr>
          </w:p>
        </w:tc>
        <w:tc>
          <w:tcPr>
            <w:tcW w:w="1134" w:type="dxa"/>
            <w:gridSpan w:val="2"/>
            <w:tcBorders>
              <w:top w:val="single" w:sz="4" w:space="0" w:color="auto"/>
              <w:left w:val="single" w:sz="4" w:space="0" w:color="auto"/>
              <w:right w:val="single" w:sz="4" w:space="0" w:color="auto"/>
            </w:tcBorders>
          </w:tcPr>
          <w:p w:rsidR="00B61DDC" w:rsidRPr="007E0AF4" w:rsidRDefault="00B61DDC" w:rsidP="00F34B87">
            <w:pPr>
              <w:pStyle w:val="a7"/>
              <w:ind w:left="0"/>
              <w:jc w:val="center"/>
              <w:rPr>
                <w:sz w:val="22"/>
              </w:rPr>
            </w:pPr>
            <w:r w:rsidRPr="007E0AF4">
              <w:rPr>
                <w:sz w:val="22"/>
              </w:rPr>
              <w:t>9000,0</w:t>
            </w:r>
          </w:p>
        </w:tc>
        <w:tc>
          <w:tcPr>
            <w:tcW w:w="2126" w:type="dxa"/>
            <w:gridSpan w:val="2"/>
            <w:tcBorders>
              <w:top w:val="single" w:sz="4" w:space="0" w:color="auto"/>
              <w:left w:val="single" w:sz="4" w:space="0" w:color="auto"/>
              <w:right w:val="single" w:sz="4" w:space="0" w:color="auto"/>
            </w:tcBorders>
          </w:tcPr>
          <w:p w:rsidR="00B61DDC" w:rsidRPr="007E0AF4" w:rsidRDefault="00B61DDC" w:rsidP="00F34B87">
            <w:pPr>
              <w:pStyle w:val="a7"/>
              <w:ind w:left="0"/>
              <w:jc w:val="center"/>
              <w:rPr>
                <w:sz w:val="22"/>
              </w:rPr>
            </w:pPr>
            <w:proofErr w:type="spellStart"/>
            <w:r w:rsidRPr="007E0AF4">
              <w:rPr>
                <w:sz w:val="22"/>
              </w:rPr>
              <w:t>Міжнародні</w:t>
            </w:r>
            <w:proofErr w:type="spellEnd"/>
            <w:r w:rsidRPr="007E0AF4">
              <w:rPr>
                <w:sz w:val="22"/>
              </w:rPr>
              <w:t xml:space="preserve"> </w:t>
            </w:r>
            <w:proofErr w:type="spellStart"/>
            <w:r w:rsidRPr="007E0AF4">
              <w:rPr>
                <w:sz w:val="22"/>
              </w:rPr>
              <w:t>інвестиції</w:t>
            </w:r>
            <w:proofErr w:type="spellEnd"/>
            <w:r w:rsidRPr="007E0AF4">
              <w:rPr>
                <w:sz w:val="22"/>
              </w:rPr>
              <w:t xml:space="preserve">, </w:t>
            </w:r>
            <w:proofErr w:type="spellStart"/>
            <w:r w:rsidRPr="007E0AF4">
              <w:rPr>
                <w:sz w:val="22"/>
              </w:rPr>
              <w:t>кошти</w:t>
            </w:r>
            <w:proofErr w:type="spellEnd"/>
            <w:r w:rsidRPr="007E0AF4">
              <w:rPr>
                <w:sz w:val="22"/>
              </w:rPr>
              <w:t xml:space="preserve"> </w:t>
            </w:r>
            <w:proofErr w:type="spellStart"/>
            <w:r w:rsidRPr="007E0AF4">
              <w:rPr>
                <w:sz w:val="22"/>
              </w:rPr>
              <w:t>приватних</w:t>
            </w:r>
            <w:proofErr w:type="spellEnd"/>
            <w:r w:rsidRPr="007E0AF4">
              <w:rPr>
                <w:sz w:val="22"/>
              </w:rPr>
              <w:t xml:space="preserve"> </w:t>
            </w:r>
            <w:proofErr w:type="spellStart"/>
            <w:r w:rsidRPr="007E0AF4">
              <w:rPr>
                <w:sz w:val="22"/>
              </w:rPr>
              <w:t>осіб</w:t>
            </w:r>
            <w:proofErr w:type="spellEnd"/>
          </w:p>
        </w:tc>
        <w:tc>
          <w:tcPr>
            <w:tcW w:w="1134" w:type="dxa"/>
            <w:vMerge/>
            <w:tcBorders>
              <w:left w:val="single" w:sz="4" w:space="0" w:color="auto"/>
            </w:tcBorders>
          </w:tcPr>
          <w:p w:rsidR="00B61DDC" w:rsidRPr="007E0AF4" w:rsidRDefault="00B61DDC" w:rsidP="00F34B87">
            <w:pPr>
              <w:pStyle w:val="a7"/>
              <w:ind w:left="0"/>
              <w:jc w:val="center"/>
              <w:rPr>
                <w:sz w:val="22"/>
              </w:rPr>
            </w:pPr>
          </w:p>
        </w:tc>
      </w:tr>
    </w:tbl>
    <w:p w:rsidR="00B61DDC" w:rsidRPr="007E0AF4" w:rsidRDefault="00B61DDC" w:rsidP="00E95FB1">
      <w:pPr>
        <w:rPr>
          <w:sz w:val="22"/>
          <w:lang w:val="ru-RU"/>
        </w:rPr>
      </w:pPr>
    </w:p>
    <w:p w:rsidR="000B2B02" w:rsidRPr="007E0AF4" w:rsidRDefault="000B2B02" w:rsidP="00E95FB1">
      <w:pPr>
        <w:rPr>
          <w:sz w:val="22"/>
          <w:lang w:val="ru-RU"/>
        </w:rPr>
      </w:pPr>
    </w:p>
    <w:tbl>
      <w:tblPr>
        <w:tblStyle w:val="af"/>
        <w:tblW w:w="9923" w:type="dxa"/>
        <w:tblInd w:w="-176" w:type="dxa"/>
        <w:tblLayout w:type="fixed"/>
        <w:tblLook w:val="04A0" w:firstRow="1" w:lastRow="0" w:firstColumn="1" w:lastColumn="0" w:noHBand="0" w:noVBand="1"/>
      </w:tblPr>
      <w:tblGrid>
        <w:gridCol w:w="2978"/>
        <w:gridCol w:w="1275"/>
        <w:gridCol w:w="1418"/>
        <w:gridCol w:w="992"/>
        <w:gridCol w:w="1701"/>
        <w:gridCol w:w="425"/>
        <w:gridCol w:w="1134"/>
      </w:tblGrid>
      <w:tr w:rsidR="000B2B02" w:rsidRPr="007E0AF4" w:rsidTr="00F34B87">
        <w:tc>
          <w:tcPr>
            <w:tcW w:w="2978" w:type="dxa"/>
            <w:shd w:val="clear" w:color="auto" w:fill="C6D9F1" w:themeFill="text2" w:themeFillTint="33"/>
          </w:tcPr>
          <w:p w:rsidR="000B2B02" w:rsidRPr="007E0AF4" w:rsidRDefault="000B2B02" w:rsidP="00F34B87">
            <w:pPr>
              <w:pStyle w:val="a7"/>
              <w:ind w:left="0"/>
              <w:rPr>
                <w:b/>
                <w:sz w:val="22"/>
              </w:rPr>
            </w:pPr>
            <w:r w:rsidRPr="007E0AF4">
              <w:rPr>
                <w:b/>
                <w:sz w:val="22"/>
              </w:rPr>
              <w:lastRenderedPageBreak/>
              <w:t xml:space="preserve">Оперативна </w:t>
            </w:r>
            <w:proofErr w:type="spellStart"/>
            <w:r w:rsidRPr="007E0AF4">
              <w:rPr>
                <w:b/>
                <w:sz w:val="22"/>
              </w:rPr>
              <w:t>ціль</w:t>
            </w:r>
            <w:proofErr w:type="spellEnd"/>
            <w:r w:rsidRPr="007E0AF4">
              <w:rPr>
                <w:b/>
                <w:sz w:val="22"/>
              </w:rPr>
              <w:t>/</w:t>
            </w:r>
            <w:proofErr w:type="spellStart"/>
            <w:r w:rsidRPr="007E0AF4">
              <w:rPr>
                <w:b/>
                <w:sz w:val="22"/>
              </w:rPr>
              <w:t>завдання</w:t>
            </w:r>
            <w:proofErr w:type="spellEnd"/>
          </w:p>
        </w:tc>
        <w:tc>
          <w:tcPr>
            <w:tcW w:w="6945" w:type="dxa"/>
            <w:gridSpan w:val="6"/>
            <w:shd w:val="clear" w:color="auto" w:fill="auto"/>
          </w:tcPr>
          <w:p w:rsidR="000B2B02" w:rsidRPr="007E0AF4" w:rsidRDefault="000B2B02" w:rsidP="00F34B87">
            <w:pPr>
              <w:pStyle w:val="a7"/>
              <w:ind w:left="0"/>
              <w:rPr>
                <w:sz w:val="22"/>
              </w:rPr>
            </w:pPr>
            <w:proofErr w:type="spellStart"/>
            <w:r w:rsidRPr="007E0AF4">
              <w:rPr>
                <w:sz w:val="22"/>
              </w:rPr>
              <w:t>Людський</w:t>
            </w:r>
            <w:proofErr w:type="spellEnd"/>
            <w:r w:rsidRPr="007E0AF4">
              <w:rPr>
                <w:sz w:val="22"/>
              </w:rPr>
              <w:t xml:space="preserve"> </w:t>
            </w:r>
            <w:proofErr w:type="spellStart"/>
            <w:r w:rsidRPr="007E0AF4">
              <w:rPr>
                <w:sz w:val="22"/>
              </w:rPr>
              <w:t>розвиток</w:t>
            </w:r>
            <w:proofErr w:type="spellEnd"/>
            <w:r w:rsidRPr="007E0AF4">
              <w:rPr>
                <w:sz w:val="22"/>
              </w:rPr>
              <w:t xml:space="preserve"> через </w:t>
            </w:r>
            <w:proofErr w:type="spellStart"/>
            <w:r w:rsidRPr="007E0AF4">
              <w:rPr>
                <w:sz w:val="22"/>
              </w:rPr>
              <w:t>інновації</w:t>
            </w:r>
            <w:proofErr w:type="spellEnd"/>
            <w:r w:rsidRPr="007E0AF4">
              <w:rPr>
                <w:sz w:val="22"/>
              </w:rPr>
              <w:t xml:space="preserve"> </w:t>
            </w:r>
            <w:proofErr w:type="spellStart"/>
            <w:r w:rsidRPr="007E0AF4">
              <w:rPr>
                <w:sz w:val="22"/>
              </w:rPr>
              <w:t>управління</w:t>
            </w:r>
            <w:proofErr w:type="spellEnd"/>
            <w:r w:rsidRPr="007E0AF4">
              <w:rPr>
                <w:sz w:val="22"/>
              </w:rPr>
              <w:t xml:space="preserve"> та </w:t>
            </w:r>
            <w:proofErr w:type="spellStart"/>
            <w:r w:rsidRPr="007E0AF4">
              <w:rPr>
                <w:sz w:val="22"/>
              </w:rPr>
              <w:t>довіру</w:t>
            </w:r>
            <w:proofErr w:type="spellEnd"/>
            <w:r w:rsidRPr="007E0AF4">
              <w:rPr>
                <w:sz w:val="22"/>
              </w:rPr>
              <w:t xml:space="preserve"> до </w:t>
            </w:r>
            <w:proofErr w:type="spellStart"/>
            <w:r w:rsidRPr="007E0AF4">
              <w:rPr>
                <w:sz w:val="22"/>
              </w:rPr>
              <w:t>влади</w:t>
            </w:r>
            <w:proofErr w:type="spellEnd"/>
            <w:r w:rsidRPr="007E0AF4">
              <w:rPr>
                <w:sz w:val="22"/>
              </w:rPr>
              <w:t xml:space="preserve">. </w:t>
            </w:r>
            <w:proofErr w:type="spellStart"/>
            <w:r w:rsidRPr="007E0AF4">
              <w:rPr>
                <w:sz w:val="22"/>
              </w:rPr>
              <w:t>Формування</w:t>
            </w:r>
            <w:proofErr w:type="spellEnd"/>
            <w:r w:rsidRPr="007E0AF4">
              <w:rPr>
                <w:sz w:val="22"/>
              </w:rPr>
              <w:t xml:space="preserve"> </w:t>
            </w:r>
            <w:proofErr w:type="spellStart"/>
            <w:r w:rsidRPr="007E0AF4">
              <w:rPr>
                <w:sz w:val="22"/>
              </w:rPr>
              <w:t>сучасного</w:t>
            </w:r>
            <w:proofErr w:type="spellEnd"/>
            <w:r w:rsidRPr="007E0AF4">
              <w:rPr>
                <w:sz w:val="22"/>
              </w:rPr>
              <w:t xml:space="preserve"> </w:t>
            </w:r>
            <w:proofErr w:type="spellStart"/>
            <w:r w:rsidRPr="007E0AF4">
              <w:rPr>
                <w:sz w:val="22"/>
              </w:rPr>
              <w:t>інклюзивного</w:t>
            </w:r>
            <w:proofErr w:type="spellEnd"/>
            <w:r w:rsidRPr="007E0AF4">
              <w:rPr>
                <w:sz w:val="22"/>
              </w:rPr>
              <w:t xml:space="preserve"> </w:t>
            </w:r>
            <w:proofErr w:type="spellStart"/>
            <w:r w:rsidRPr="007E0AF4">
              <w:rPr>
                <w:sz w:val="22"/>
              </w:rPr>
              <w:t>освітньо</w:t>
            </w:r>
            <w:proofErr w:type="spellEnd"/>
            <w:r w:rsidRPr="007E0AF4">
              <w:rPr>
                <w:sz w:val="22"/>
              </w:rPr>
              <w:t xml:space="preserve">-культурного та спортивного простору для </w:t>
            </w:r>
            <w:proofErr w:type="spellStart"/>
            <w:r w:rsidRPr="007E0AF4">
              <w:rPr>
                <w:sz w:val="22"/>
              </w:rPr>
              <w:t>розвитку</w:t>
            </w:r>
            <w:proofErr w:type="spellEnd"/>
          </w:p>
        </w:tc>
      </w:tr>
      <w:tr w:rsidR="000B2B02" w:rsidRPr="007E0AF4" w:rsidTr="00F34B87">
        <w:tc>
          <w:tcPr>
            <w:tcW w:w="2978" w:type="dxa"/>
            <w:shd w:val="clear" w:color="auto" w:fill="C6D9F1" w:themeFill="text2" w:themeFillTint="33"/>
          </w:tcPr>
          <w:p w:rsidR="000B2B02" w:rsidRPr="007E0AF4" w:rsidRDefault="000B2B02" w:rsidP="00F34B87">
            <w:pPr>
              <w:pStyle w:val="a7"/>
              <w:ind w:left="0"/>
              <w:rPr>
                <w:b/>
                <w:sz w:val="22"/>
              </w:rPr>
            </w:pPr>
            <w:proofErr w:type="spellStart"/>
            <w:r w:rsidRPr="007E0AF4">
              <w:rPr>
                <w:b/>
                <w:sz w:val="22"/>
              </w:rPr>
              <w:t>Назва</w:t>
            </w:r>
            <w:proofErr w:type="spellEnd"/>
            <w:r w:rsidRPr="007E0AF4">
              <w:rPr>
                <w:b/>
                <w:sz w:val="22"/>
              </w:rPr>
              <w:t xml:space="preserve"> проекту:</w:t>
            </w:r>
          </w:p>
        </w:tc>
        <w:tc>
          <w:tcPr>
            <w:tcW w:w="6945" w:type="dxa"/>
            <w:gridSpan w:val="6"/>
          </w:tcPr>
          <w:p w:rsidR="000B2B02" w:rsidRPr="007E0AF4" w:rsidRDefault="000B2B02" w:rsidP="00F34B87">
            <w:pPr>
              <w:pStyle w:val="a7"/>
              <w:ind w:left="0"/>
              <w:rPr>
                <w:sz w:val="22"/>
              </w:rPr>
            </w:pPr>
            <w:proofErr w:type="spellStart"/>
            <w:r w:rsidRPr="007E0AF4">
              <w:rPr>
                <w:sz w:val="22"/>
              </w:rPr>
              <w:t>Будівництво</w:t>
            </w:r>
            <w:proofErr w:type="spellEnd"/>
            <w:r w:rsidRPr="007E0AF4">
              <w:rPr>
                <w:sz w:val="22"/>
              </w:rPr>
              <w:t xml:space="preserve"> </w:t>
            </w:r>
            <w:proofErr w:type="spellStart"/>
            <w:r w:rsidRPr="007E0AF4">
              <w:rPr>
                <w:sz w:val="22"/>
              </w:rPr>
              <w:t>обладнаного</w:t>
            </w:r>
            <w:proofErr w:type="spellEnd"/>
            <w:r w:rsidRPr="007E0AF4">
              <w:rPr>
                <w:sz w:val="22"/>
              </w:rPr>
              <w:t xml:space="preserve"> </w:t>
            </w:r>
            <w:proofErr w:type="spellStart"/>
            <w:r w:rsidRPr="007E0AF4">
              <w:rPr>
                <w:sz w:val="22"/>
              </w:rPr>
              <w:t>бомбосховища</w:t>
            </w:r>
            <w:proofErr w:type="spellEnd"/>
            <w:r w:rsidRPr="007E0AF4">
              <w:rPr>
                <w:sz w:val="22"/>
              </w:rPr>
              <w:t xml:space="preserve"> на </w:t>
            </w:r>
            <w:proofErr w:type="spellStart"/>
            <w:r w:rsidRPr="007E0AF4">
              <w:rPr>
                <w:sz w:val="22"/>
              </w:rPr>
              <w:t>території</w:t>
            </w:r>
            <w:proofErr w:type="spellEnd"/>
          </w:p>
          <w:p w:rsidR="000B2B02" w:rsidRPr="007E0AF4" w:rsidRDefault="000B2B02" w:rsidP="00F34B87">
            <w:pPr>
              <w:pStyle w:val="a7"/>
              <w:ind w:left="0"/>
              <w:rPr>
                <w:sz w:val="22"/>
              </w:rPr>
            </w:pPr>
            <w:proofErr w:type="spellStart"/>
            <w:r w:rsidRPr="007E0AF4">
              <w:rPr>
                <w:sz w:val="22"/>
              </w:rPr>
              <w:t>Гімназії</w:t>
            </w:r>
            <w:proofErr w:type="spellEnd"/>
            <w:r w:rsidRPr="007E0AF4">
              <w:rPr>
                <w:sz w:val="22"/>
              </w:rPr>
              <w:t xml:space="preserve"> № 12 </w:t>
            </w:r>
            <w:proofErr w:type="spellStart"/>
            <w:r w:rsidRPr="007E0AF4">
              <w:rPr>
                <w:sz w:val="22"/>
              </w:rPr>
              <w:t>міста</w:t>
            </w:r>
            <w:proofErr w:type="spellEnd"/>
            <w:r w:rsidRPr="007E0AF4">
              <w:rPr>
                <w:sz w:val="22"/>
              </w:rPr>
              <w:t xml:space="preserve"> </w:t>
            </w:r>
            <w:proofErr w:type="spellStart"/>
            <w:r w:rsidRPr="007E0AF4">
              <w:rPr>
                <w:sz w:val="22"/>
              </w:rPr>
              <w:t>Сєвєродонецька</w:t>
            </w:r>
            <w:proofErr w:type="spellEnd"/>
            <w:r w:rsidRPr="007E0AF4">
              <w:rPr>
                <w:sz w:val="22"/>
              </w:rPr>
              <w:t xml:space="preserve"> </w:t>
            </w:r>
            <w:proofErr w:type="spellStart"/>
            <w:r w:rsidRPr="007E0AF4">
              <w:rPr>
                <w:sz w:val="22"/>
              </w:rPr>
              <w:t>Луганської</w:t>
            </w:r>
            <w:proofErr w:type="spellEnd"/>
            <w:r w:rsidRPr="007E0AF4">
              <w:rPr>
                <w:sz w:val="22"/>
              </w:rPr>
              <w:t xml:space="preserve"> </w:t>
            </w:r>
            <w:proofErr w:type="spellStart"/>
            <w:r w:rsidRPr="007E0AF4">
              <w:rPr>
                <w:sz w:val="22"/>
              </w:rPr>
              <w:t>області</w:t>
            </w:r>
            <w:proofErr w:type="spellEnd"/>
            <w:r w:rsidRPr="007E0AF4">
              <w:rPr>
                <w:sz w:val="22"/>
              </w:rPr>
              <w:t xml:space="preserve">, </w:t>
            </w:r>
            <w:proofErr w:type="spellStart"/>
            <w:r w:rsidRPr="007E0AF4">
              <w:rPr>
                <w:sz w:val="22"/>
              </w:rPr>
              <w:t>розташованої</w:t>
            </w:r>
            <w:proofErr w:type="spellEnd"/>
            <w:r w:rsidRPr="007E0AF4">
              <w:rPr>
                <w:sz w:val="22"/>
              </w:rPr>
              <w:t xml:space="preserve"> за </w:t>
            </w:r>
            <w:proofErr w:type="spellStart"/>
            <w:r w:rsidRPr="007E0AF4">
              <w:rPr>
                <w:sz w:val="22"/>
              </w:rPr>
              <w:t>адресою</w:t>
            </w:r>
            <w:proofErr w:type="spellEnd"/>
            <w:r w:rsidRPr="007E0AF4">
              <w:rPr>
                <w:sz w:val="22"/>
              </w:rPr>
              <w:t xml:space="preserve"> </w:t>
            </w:r>
            <w:proofErr w:type="spellStart"/>
            <w:r w:rsidRPr="007E0AF4">
              <w:rPr>
                <w:sz w:val="22"/>
              </w:rPr>
              <w:t>Україна</w:t>
            </w:r>
            <w:proofErr w:type="spellEnd"/>
            <w:r w:rsidRPr="007E0AF4">
              <w:rPr>
                <w:sz w:val="22"/>
              </w:rPr>
              <w:t xml:space="preserve">, </w:t>
            </w:r>
            <w:proofErr w:type="spellStart"/>
            <w:r w:rsidRPr="007E0AF4">
              <w:rPr>
                <w:sz w:val="22"/>
              </w:rPr>
              <w:t>Луганська</w:t>
            </w:r>
            <w:proofErr w:type="spellEnd"/>
            <w:r w:rsidRPr="007E0AF4">
              <w:rPr>
                <w:sz w:val="22"/>
              </w:rPr>
              <w:t xml:space="preserve"> область, </w:t>
            </w:r>
            <w:proofErr w:type="spellStart"/>
            <w:r w:rsidRPr="007E0AF4">
              <w:rPr>
                <w:sz w:val="22"/>
              </w:rPr>
              <w:t>Сєвєродонецький</w:t>
            </w:r>
            <w:proofErr w:type="spellEnd"/>
            <w:r w:rsidRPr="007E0AF4">
              <w:rPr>
                <w:sz w:val="22"/>
              </w:rPr>
              <w:t xml:space="preserve"> район, </w:t>
            </w:r>
            <w:proofErr w:type="spellStart"/>
            <w:r w:rsidRPr="007E0AF4">
              <w:rPr>
                <w:sz w:val="22"/>
              </w:rPr>
              <w:t>місто</w:t>
            </w:r>
            <w:proofErr w:type="spellEnd"/>
            <w:r w:rsidRPr="007E0AF4">
              <w:rPr>
                <w:sz w:val="22"/>
              </w:rPr>
              <w:t xml:space="preserve"> </w:t>
            </w:r>
            <w:proofErr w:type="spellStart"/>
            <w:r w:rsidRPr="007E0AF4">
              <w:rPr>
                <w:sz w:val="22"/>
              </w:rPr>
              <w:t>Сєвєродонецьк</w:t>
            </w:r>
            <w:proofErr w:type="spellEnd"/>
            <w:r w:rsidRPr="007E0AF4">
              <w:rPr>
                <w:sz w:val="22"/>
              </w:rPr>
              <w:t xml:space="preserve">, проспект </w:t>
            </w:r>
            <w:proofErr w:type="spellStart"/>
            <w:r w:rsidRPr="007E0AF4">
              <w:rPr>
                <w:sz w:val="22"/>
              </w:rPr>
              <w:t>Гвардійський</w:t>
            </w:r>
            <w:proofErr w:type="spellEnd"/>
            <w:r w:rsidRPr="007E0AF4">
              <w:rPr>
                <w:sz w:val="22"/>
              </w:rPr>
              <w:t xml:space="preserve">, </w:t>
            </w:r>
            <w:proofErr w:type="spellStart"/>
            <w:r w:rsidRPr="007E0AF4">
              <w:rPr>
                <w:sz w:val="22"/>
              </w:rPr>
              <w:t>будинок</w:t>
            </w:r>
            <w:proofErr w:type="spellEnd"/>
            <w:r w:rsidRPr="007E0AF4">
              <w:rPr>
                <w:sz w:val="22"/>
              </w:rPr>
              <w:t xml:space="preserve"> 9</w:t>
            </w:r>
          </w:p>
        </w:tc>
      </w:tr>
      <w:tr w:rsidR="000B2B02" w:rsidRPr="007E0AF4" w:rsidTr="00F34B87">
        <w:tc>
          <w:tcPr>
            <w:tcW w:w="2978" w:type="dxa"/>
            <w:shd w:val="clear" w:color="auto" w:fill="C6D9F1" w:themeFill="text2" w:themeFillTint="33"/>
          </w:tcPr>
          <w:p w:rsidR="000B2B02" w:rsidRPr="007E0AF4" w:rsidRDefault="000B2B02" w:rsidP="00F34B87">
            <w:pPr>
              <w:rPr>
                <w:b/>
                <w:sz w:val="22"/>
              </w:rPr>
            </w:pPr>
            <w:proofErr w:type="spellStart"/>
            <w:r w:rsidRPr="007E0AF4">
              <w:rPr>
                <w:b/>
                <w:sz w:val="22"/>
              </w:rPr>
              <w:t>Ціль</w:t>
            </w:r>
            <w:proofErr w:type="spellEnd"/>
            <w:r w:rsidRPr="007E0AF4">
              <w:rPr>
                <w:b/>
                <w:sz w:val="22"/>
              </w:rPr>
              <w:t xml:space="preserve"> проекту</w:t>
            </w:r>
          </w:p>
        </w:tc>
        <w:tc>
          <w:tcPr>
            <w:tcW w:w="6945" w:type="dxa"/>
            <w:gridSpan w:val="6"/>
          </w:tcPr>
          <w:p w:rsidR="000B2B02" w:rsidRPr="007E0AF4" w:rsidRDefault="000B2B02" w:rsidP="00F34B87">
            <w:pPr>
              <w:pStyle w:val="a7"/>
              <w:ind w:left="0"/>
              <w:rPr>
                <w:sz w:val="22"/>
              </w:rPr>
            </w:pPr>
            <w:proofErr w:type="spellStart"/>
            <w:r w:rsidRPr="007E0AF4">
              <w:rPr>
                <w:sz w:val="22"/>
              </w:rPr>
              <w:t>Створення</w:t>
            </w:r>
            <w:proofErr w:type="spellEnd"/>
            <w:r w:rsidRPr="007E0AF4">
              <w:rPr>
                <w:sz w:val="22"/>
              </w:rPr>
              <w:t xml:space="preserve"> </w:t>
            </w:r>
            <w:proofErr w:type="spellStart"/>
            <w:r w:rsidRPr="007E0AF4">
              <w:rPr>
                <w:sz w:val="22"/>
              </w:rPr>
              <w:t>відповідних</w:t>
            </w:r>
            <w:proofErr w:type="spellEnd"/>
            <w:r w:rsidRPr="007E0AF4">
              <w:rPr>
                <w:sz w:val="22"/>
              </w:rPr>
              <w:t xml:space="preserve"> умов для </w:t>
            </w:r>
            <w:proofErr w:type="spellStart"/>
            <w:r w:rsidRPr="007E0AF4">
              <w:rPr>
                <w:sz w:val="22"/>
              </w:rPr>
              <w:t>безпечного</w:t>
            </w:r>
            <w:proofErr w:type="spellEnd"/>
            <w:r w:rsidRPr="007E0AF4">
              <w:rPr>
                <w:sz w:val="22"/>
              </w:rPr>
              <w:t xml:space="preserve"> </w:t>
            </w:r>
            <w:proofErr w:type="spellStart"/>
            <w:r w:rsidRPr="007E0AF4">
              <w:rPr>
                <w:sz w:val="22"/>
              </w:rPr>
              <w:t>функціонування</w:t>
            </w:r>
            <w:proofErr w:type="spellEnd"/>
            <w:r w:rsidRPr="007E0AF4">
              <w:rPr>
                <w:sz w:val="22"/>
              </w:rPr>
              <w:t xml:space="preserve"> </w:t>
            </w:r>
            <w:proofErr w:type="spellStart"/>
            <w:r w:rsidRPr="007E0AF4">
              <w:rPr>
                <w:sz w:val="22"/>
              </w:rPr>
              <w:t>освітнього</w:t>
            </w:r>
            <w:proofErr w:type="spellEnd"/>
            <w:r w:rsidRPr="007E0AF4">
              <w:rPr>
                <w:sz w:val="22"/>
              </w:rPr>
              <w:t xml:space="preserve"> закладу, </w:t>
            </w:r>
            <w:proofErr w:type="spellStart"/>
            <w:r w:rsidRPr="007E0AF4">
              <w:rPr>
                <w:sz w:val="22"/>
              </w:rPr>
              <w:t>задоволення</w:t>
            </w:r>
            <w:proofErr w:type="spellEnd"/>
            <w:r w:rsidRPr="007E0AF4">
              <w:rPr>
                <w:sz w:val="22"/>
              </w:rPr>
              <w:t xml:space="preserve"> потреб </w:t>
            </w:r>
            <w:proofErr w:type="spellStart"/>
            <w:r w:rsidRPr="007E0AF4">
              <w:rPr>
                <w:sz w:val="22"/>
              </w:rPr>
              <w:t>мешканців</w:t>
            </w:r>
            <w:proofErr w:type="spellEnd"/>
            <w:r w:rsidRPr="007E0AF4">
              <w:rPr>
                <w:sz w:val="22"/>
              </w:rPr>
              <w:t xml:space="preserve"> </w:t>
            </w:r>
            <w:proofErr w:type="spellStart"/>
            <w:r w:rsidRPr="007E0AF4">
              <w:rPr>
                <w:sz w:val="22"/>
              </w:rPr>
              <w:t>Сєвєродонецької</w:t>
            </w:r>
            <w:proofErr w:type="spellEnd"/>
            <w:r w:rsidRPr="007E0AF4">
              <w:rPr>
                <w:sz w:val="22"/>
              </w:rPr>
              <w:t xml:space="preserve"> </w:t>
            </w:r>
            <w:proofErr w:type="spellStart"/>
            <w:r w:rsidRPr="007E0AF4">
              <w:rPr>
                <w:sz w:val="22"/>
              </w:rPr>
              <w:t>міської</w:t>
            </w:r>
            <w:proofErr w:type="spellEnd"/>
            <w:r w:rsidRPr="007E0AF4">
              <w:rPr>
                <w:sz w:val="22"/>
              </w:rPr>
              <w:t xml:space="preserve"> </w:t>
            </w:r>
            <w:proofErr w:type="spellStart"/>
            <w:r w:rsidRPr="007E0AF4">
              <w:rPr>
                <w:sz w:val="22"/>
              </w:rPr>
              <w:t>територіальної</w:t>
            </w:r>
            <w:proofErr w:type="spellEnd"/>
            <w:r w:rsidRPr="007E0AF4">
              <w:rPr>
                <w:sz w:val="22"/>
              </w:rPr>
              <w:t xml:space="preserve"> </w:t>
            </w:r>
            <w:proofErr w:type="spellStart"/>
            <w:r w:rsidRPr="007E0AF4">
              <w:rPr>
                <w:sz w:val="22"/>
              </w:rPr>
              <w:t>громади</w:t>
            </w:r>
            <w:proofErr w:type="spellEnd"/>
            <w:r w:rsidRPr="007E0AF4">
              <w:rPr>
                <w:sz w:val="22"/>
              </w:rPr>
              <w:t xml:space="preserve"> у </w:t>
            </w:r>
            <w:proofErr w:type="spellStart"/>
            <w:r w:rsidRPr="007E0AF4">
              <w:rPr>
                <w:sz w:val="22"/>
              </w:rPr>
              <w:t>освітніх</w:t>
            </w:r>
            <w:proofErr w:type="spellEnd"/>
            <w:r w:rsidRPr="007E0AF4">
              <w:rPr>
                <w:sz w:val="22"/>
              </w:rPr>
              <w:t xml:space="preserve"> </w:t>
            </w:r>
            <w:proofErr w:type="spellStart"/>
            <w:r w:rsidRPr="007E0AF4">
              <w:rPr>
                <w:sz w:val="22"/>
              </w:rPr>
              <w:t>послугах</w:t>
            </w:r>
            <w:proofErr w:type="spellEnd"/>
            <w:r w:rsidRPr="007E0AF4">
              <w:rPr>
                <w:sz w:val="22"/>
              </w:rPr>
              <w:t xml:space="preserve"> та </w:t>
            </w:r>
            <w:proofErr w:type="spellStart"/>
            <w:r w:rsidRPr="007E0AF4">
              <w:rPr>
                <w:sz w:val="22"/>
              </w:rPr>
              <w:t>захисту</w:t>
            </w:r>
            <w:proofErr w:type="spellEnd"/>
            <w:r w:rsidRPr="007E0AF4">
              <w:rPr>
                <w:sz w:val="22"/>
              </w:rPr>
              <w:t xml:space="preserve"> </w:t>
            </w:r>
            <w:proofErr w:type="spellStart"/>
            <w:r w:rsidRPr="007E0AF4">
              <w:rPr>
                <w:sz w:val="22"/>
              </w:rPr>
              <w:t>свого</w:t>
            </w:r>
            <w:proofErr w:type="spellEnd"/>
            <w:r w:rsidRPr="007E0AF4">
              <w:rPr>
                <w:sz w:val="22"/>
              </w:rPr>
              <w:t xml:space="preserve"> </w:t>
            </w:r>
            <w:proofErr w:type="spellStart"/>
            <w:r w:rsidRPr="007E0AF4">
              <w:rPr>
                <w:sz w:val="22"/>
              </w:rPr>
              <w:t>життя</w:t>
            </w:r>
            <w:proofErr w:type="spellEnd"/>
            <w:r w:rsidRPr="007E0AF4">
              <w:rPr>
                <w:sz w:val="22"/>
              </w:rPr>
              <w:t xml:space="preserve">, </w:t>
            </w:r>
            <w:proofErr w:type="spellStart"/>
            <w:r w:rsidRPr="007E0AF4">
              <w:rPr>
                <w:sz w:val="22"/>
              </w:rPr>
              <w:t>вмінню</w:t>
            </w:r>
            <w:proofErr w:type="spellEnd"/>
            <w:r w:rsidRPr="007E0AF4">
              <w:rPr>
                <w:sz w:val="22"/>
              </w:rPr>
              <w:t xml:space="preserve"> </w:t>
            </w:r>
            <w:proofErr w:type="spellStart"/>
            <w:r w:rsidRPr="007E0AF4">
              <w:rPr>
                <w:sz w:val="22"/>
              </w:rPr>
              <w:t>діяти</w:t>
            </w:r>
            <w:proofErr w:type="spellEnd"/>
            <w:r w:rsidRPr="007E0AF4">
              <w:rPr>
                <w:sz w:val="22"/>
              </w:rPr>
              <w:t xml:space="preserve"> в </w:t>
            </w:r>
            <w:proofErr w:type="spellStart"/>
            <w:r w:rsidRPr="007E0AF4">
              <w:rPr>
                <w:sz w:val="22"/>
              </w:rPr>
              <w:t>надзвичайних</w:t>
            </w:r>
            <w:proofErr w:type="spellEnd"/>
            <w:r w:rsidRPr="007E0AF4">
              <w:rPr>
                <w:sz w:val="22"/>
              </w:rPr>
              <w:t xml:space="preserve"> </w:t>
            </w:r>
            <w:proofErr w:type="spellStart"/>
            <w:r w:rsidRPr="007E0AF4">
              <w:rPr>
                <w:sz w:val="22"/>
              </w:rPr>
              <w:t>ситуаціях</w:t>
            </w:r>
            <w:proofErr w:type="spellEnd"/>
            <w:r w:rsidRPr="007E0AF4">
              <w:rPr>
                <w:sz w:val="22"/>
              </w:rPr>
              <w:t>.</w:t>
            </w:r>
          </w:p>
        </w:tc>
      </w:tr>
      <w:tr w:rsidR="000B2B02" w:rsidRPr="007E0AF4" w:rsidTr="00F34B87">
        <w:tc>
          <w:tcPr>
            <w:tcW w:w="2978" w:type="dxa"/>
            <w:shd w:val="clear" w:color="auto" w:fill="C6D9F1" w:themeFill="text2" w:themeFillTint="33"/>
          </w:tcPr>
          <w:p w:rsidR="000B2B02" w:rsidRPr="007E0AF4" w:rsidRDefault="000B2B02" w:rsidP="00F34B87">
            <w:pPr>
              <w:pStyle w:val="a7"/>
              <w:ind w:left="0"/>
              <w:rPr>
                <w:b/>
                <w:sz w:val="22"/>
              </w:rPr>
            </w:pPr>
            <w:proofErr w:type="spellStart"/>
            <w:r w:rsidRPr="007E0AF4">
              <w:rPr>
                <w:b/>
                <w:sz w:val="22"/>
              </w:rPr>
              <w:t>Територія</w:t>
            </w:r>
            <w:proofErr w:type="spellEnd"/>
            <w:r w:rsidRPr="007E0AF4">
              <w:rPr>
                <w:b/>
                <w:sz w:val="22"/>
              </w:rPr>
              <w:t xml:space="preserve">, </w:t>
            </w:r>
            <w:proofErr w:type="gramStart"/>
            <w:r w:rsidRPr="007E0AF4">
              <w:rPr>
                <w:b/>
                <w:sz w:val="22"/>
              </w:rPr>
              <w:t>на яку</w:t>
            </w:r>
            <w:proofErr w:type="gramEnd"/>
            <w:r w:rsidRPr="007E0AF4">
              <w:rPr>
                <w:b/>
                <w:sz w:val="22"/>
              </w:rPr>
              <w:t xml:space="preserve"> </w:t>
            </w:r>
            <w:proofErr w:type="spellStart"/>
            <w:r w:rsidRPr="007E0AF4">
              <w:rPr>
                <w:b/>
                <w:sz w:val="22"/>
              </w:rPr>
              <w:t>матиме</w:t>
            </w:r>
            <w:proofErr w:type="spellEnd"/>
            <w:r w:rsidRPr="007E0AF4">
              <w:rPr>
                <w:b/>
                <w:sz w:val="22"/>
              </w:rPr>
              <w:t xml:space="preserve"> </w:t>
            </w:r>
            <w:proofErr w:type="spellStart"/>
            <w:r w:rsidRPr="007E0AF4">
              <w:rPr>
                <w:b/>
                <w:sz w:val="22"/>
              </w:rPr>
              <w:t>вплив</w:t>
            </w:r>
            <w:proofErr w:type="spellEnd"/>
            <w:r w:rsidRPr="007E0AF4">
              <w:rPr>
                <w:b/>
                <w:sz w:val="22"/>
              </w:rPr>
              <w:t xml:space="preserve"> </w:t>
            </w:r>
            <w:proofErr w:type="spellStart"/>
            <w:r w:rsidRPr="007E0AF4">
              <w:rPr>
                <w:b/>
                <w:sz w:val="22"/>
              </w:rPr>
              <w:t>реалізація</w:t>
            </w:r>
            <w:proofErr w:type="spellEnd"/>
            <w:r w:rsidRPr="007E0AF4">
              <w:rPr>
                <w:b/>
                <w:sz w:val="22"/>
              </w:rPr>
              <w:t xml:space="preserve"> проекту</w:t>
            </w:r>
          </w:p>
        </w:tc>
        <w:tc>
          <w:tcPr>
            <w:tcW w:w="6945" w:type="dxa"/>
            <w:gridSpan w:val="6"/>
          </w:tcPr>
          <w:p w:rsidR="000B2B02" w:rsidRPr="007E0AF4" w:rsidRDefault="000B2B02" w:rsidP="00F34B87">
            <w:pPr>
              <w:pStyle w:val="a7"/>
              <w:ind w:left="0"/>
              <w:rPr>
                <w:sz w:val="22"/>
              </w:rPr>
            </w:pPr>
            <w:proofErr w:type="spellStart"/>
            <w:r w:rsidRPr="007E0AF4">
              <w:rPr>
                <w:sz w:val="22"/>
              </w:rPr>
              <w:t>Сєвєродонецька</w:t>
            </w:r>
            <w:proofErr w:type="spellEnd"/>
            <w:r w:rsidRPr="007E0AF4">
              <w:rPr>
                <w:sz w:val="22"/>
              </w:rPr>
              <w:t xml:space="preserve"> </w:t>
            </w:r>
            <w:proofErr w:type="spellStart"/>
            <w:r w:rsidRPr="007E0AF4">
              <w:rPr>
                <w:sz w:val="22"/>
              </w:rPr>
              <w:t>міська</w:t>
            </w:r>
            <w:proofErr w:type="spellEnd"/>
            <w:r w:rsidRPr="007E0AF4">
              <w:rPr>
                <w:sz w:val="22"/>
              </w:rPr>
              <w:t xml:space="preserve"> </w:t>
            </w:r>
            <w:proofErr w:type="spellStart"/>
            <w:r w:rsidRPr="007E0AF4">
              <w:rPr>
                <w:sz w:val="22"/>
              </w:rPr>
              <w:t>територіальна</w:t>
            </w:r>
            <w:proofErr w:type="spellEnd"/>
            <w:r w:rsidRPr="007E0AF4">
              <w:rPr>
                <w:sz w:val="22"/>
              </w:rPr>
              <w:t xml:space="preserve"> громада</w:t>
            </w:r>
          </w:p>
        </w:tc>
      </w:tr>
      <w:tr w:rsidR="000B2B02" w:rsidRPr="007E0AF4" w:rsidTr="00F34B87">
        <w:tc>
          <w:tcPr>
            <w:tcW w:w="2978" w:type="dxa"/>
            <w:shd w:val="clear" w:color="auto" w:fill="C6D9F1" w:themeFill="text2" w:themeFillTint="33"/>
          </w:tcPr>
          <w:p w:rsidR="000B2B02" w:rsidRPr="007E0AF4" w:rsidRDefault="000B2B02" w:rsidP="00F34B87">
            <w:pPr>
              <w:pStyle w:val="a7"/>
              <w:ind w:left="0"/>
              <w:rPr>
                <w:b/>
                <w:sz w:val="22"/>
              </w:rPr>
            </w:pPr>
            <w:proofErr w:type="spellStart"/>
            <w:r w:rsidRPr="007E0AF4">
              <w:rPr>
                <w:b/>
                <w:sz w:val="22"/>
              </w:rPr>
              <w:t>Чисельність</w:t>
            </w:r>
            <w:proofErr w:type="spellEnd"/>
            <w:r w:rsidRPr="007E0AF4">
              <w:rPr>
                <w:b/>
                <w:sz w:val="22"/>
              </w:rPr>
              <w:t xml:space="preserve"> </w:t>
            </w:r>
            <w:proofErr w:type="spellStart"/>
            <w:r w:rsidRPr="007E0AF4">
              <w:rPr>
                <w:b/>
                <w:sz w:val="22"/>
              </w:rPr>
              <w:t>населення</w:t>
            </w:r>
            <w:proofErr w:type="spellEnd"/>
            <w:r w:rsidRPr="007E0AF4">
              <w:rPr>
                <w:b/>
                <w:sz w:val="22"/>
              </w:rPr>
              <w:t xml:space="preserve">, на яке </w:t>
            </w:r>
            <w:proofErr w:type="spellStart"/>
            <w:r w:rsidRPr="007E0AF4">
              <w:rPr>
                <w:b/>
                <w:sz w:val="22"/>
              </w:rPr>
              <w:t>матиме</w:t>
            </w:r>
            <w:proofErr w:type="spellEnd"/>
            <w:r w:rsidRPr="007E0AF4">
              <w:rPr>
                <w:b/>
                <w:sz w:val="22"/>
              </w:rPr>
              <w:t xml:space="preserve"> </w:t>
            </w:r>
            <w:proofErr w:type="spellStart"/>
            <w:r w:rsidRPr="007E0AF4">
              <w:rPr>
                <w:b/>
                <w:sz w:val="22"/>
              </w:rPr>
              <w:t>вплив</w:t>
            </w:r>
            <w:proofErr w:type="spellEnd"/>
            <w:r w:rsidRPr="007E0AF4">
              <w:rPr>
                <w:b/>
                <w:sz w:val="22"/>
              </w:rPr>
              <w:t xml:space="preserve"> </w:t>
            </w:r>
            <w:proofErr w:type="spellStart"/>
            <w:r w:rsidRPr="007E0AF4">
              <w:rPr>
                <w:b/>
                <w:sz w:val="22"/>
              </w:rPr>
              <w:t>реалізація</w:t>
            </w:r>
            <w:proofErr w:type="spellEnd"/>
            <w:r w:rsidRPr="007E0AF4">
              <w:rPr>
                <w:b/>
                <w:sz w:val="22"/>
              </w:rPr>
              <w:t xml:space="preserve"> проекту</w:t>
            </w:r>
          </w:p>
        </w:tc>
        <w:tc>
          <w:tcPr>
            <w:tcW w:w="6945" w:type="dxa"/>
            <w:gridSpan w:val="6"/>
          </w:tcPr>
          <w:p w:rsidR="000B2B02" w:rsidRPr="007E0AF4" w:rsidRDefault="000B2B02" w:rsidP="00F34B87">
            <w:pPr>
              <w:pStyle w:val="a7"/>
              <w:ind w:left="0"/>
              <w:rPr>
                <w:sz w:val="22"/>
              </w:rPr>
            </w:pPr>
            <w:r w:rsidRPr="007E0AF4">
              <w:rPr>
                <w:sz w:val="22"/>
              </w:rPr>
              <w:t xml:space="preserve">70 </w:t>
            </w:r>
            <w:proofErr w:type="gramStart"/>
            <w:r w:rsidRPr="007E0AF4">
              <w:rPr>
                <w:sz w:val="22"/>
              </w:rPr>
              <w:t xml:space="preserve">000  </w:t>
            </w:r>
            <w:proofErr w:type="spellStart"/>
            <w:r w:rsidRPr="007E0AF4">
              <w:rPr>
                <w:sz w:val="22"/>
              </w:rPr>
              <w:t>осіб</w:t>
            </w:r>
            <w:proofErr w:type="spellEnd"/>
            <w:proofErr w:type="gramEnd"/>
          </w:p>
        </w:tc>
      </w:tr>
      <w:tr w:rsidR="000B2B02" w:rsidRPr="007E0AF4" w:rsidTr="00F34B87">
        <w:tc>
          <w:tcPr>
            <w:tcW w:w="2978" w:type="dxa"/>
            <w:shd w:val="clear" w:color="auto" w:fill="C6D9F1" w:themeFill="text2" w:themeFillTint="33"/>
          </w:tcPr>
          <w:p w:rsidR="000B2B02" w:rsidRPr="007E0AF4" w:rsidRDefault="000B2B02" w:rsidP="00F34B87">
            <w:pPr>
              <w:rPr>
                <w:b/>
                <w:sz w:val="22"/>
              </w:rPr>
            </w:pPr>
            <w:proofErr w:type="spellStart"/>
            <w:r w:rsidRPr="007E0AF4">
              <w:rPr>
                <w:b/>
                <w:sz w:val="22"/>
              </w:rPr>
              <w:t>Опис</w:t>
            </w:r>
            <w:proofErr w:type="spellEnd"/>
            <w:r w:rsidRPr="007E0AF4">
              <w:rPr>
                <w:b/>
                <w:sz w:val="22"/>
              </w:rPr>
              <w:t xml:space="preserve"> </w:t>
            </w:r>
            <w:proofErr w:type="spellStart"/>
            <w:r w:rsidRPr="007E0AF4">
              <w:rPr>
                <w:b/>
                <w:sz w:val="22"/>
              </w:rPr>
              <w:t>проблеми</w:t>
            </w:r>
            <w:proofErr w:type="spellEnd"/>
            <w:r w:rsidRPr="007E0AF4">
              <w:rPr>
                <w:b/>
                <w:sz w:val="22"/>
              </w:rPr>
              <w:t xml:space="preserve">, на </w:t>
            </w:r>
            <w:proofErr w:type="spellStart"/>
            <w:r w:rsidRPr="007E0AF4">
              <w:rPr>
                <w:b/>
                <w:sz w:val="22"/>
              </w:rPr>
              <w:t>вирішення</w:t>
            </w:r>
            <w:proofErr w:type="spellEnd"/>
            <w:r w:rsidRPr="007E0AF4">
              <w:rPr>
                <w:b/>
                <w:sz w:val="22"/>
              </w:rPr>
              <w:t xml:space="preserve"> </w:t>
            </w:r>
            <w:proofErr w:type="spellStart"/>
            <w:proofErr w:type="gramStart"/>
            <w:r w:rsidRPr="007E0AF4">
              <w:rPr>
                <w:b/>
                <w:sz w:val="22"/>
              </w:rPr>
              <w:t>якої</w:t>
            </w:r>
            <w:proofErr w:type="spellEnd"/>
            <w:r w:rsidRPr="007E0AF4">
              <w:rPr>
                <w:b/>
                <w:sz w:val="22"/>
              </w:rPr>
              <w:t xml:space="preserve">  </w:t>
            </w:r>
            <w:proofErr w:type="spellStart"/>
            <w:r w:rsidRPr="007E0AF4">
              <w:rPr>
                <w:b/>
                <w:sz w:val="22"/>
              </w:rPr>
              <w:t>спрямований</w:t>
            </w:r>
            <w:proofErr w:type="spellEnd"/>
            <w:proofErr w:type="gramEnd"/>
            <w:r w:rsidRPr="007E0AF4">
              <w:rPr>
                <w:b/>
                <w:sz w:val="22"/>
              </w:rPr>
              <w:t xml:space="preserve"> проект</w:t>
            </w:r>
          </w:p>
        </w:tc>
        <w:tc>
          <w:tcPr>
            <w:tcW w:w="6945" w:type="dxa"/>
            <w:gridSpan w:val="6"/>
          </w:tcPr>
          <w:p w:rsidR="000B2B02" w:rsidRPr="007E0AF4" w:rsidRDefault="000B2B02" w:rsidP="00F34B87">
            <w:pPr>
              <w:ind w:firstLine="86"/>
              <w:rPr>
                <w:sz w:val="22"/>
              </w:rPr>
            </w:pPr>
            <w:proofErr w:type="spellStart"/>
            <w:r w:rsidRPr="007E0AF4">
              <w:rPr>
                <w:sz w:val="22"/>
              </w:rPr>
              <w:t>Гімназія</w:t>
            </w:r>
            <w:proofErr w:type="spellEnd"/>
            <w:r w:rsidRPr="007E0AF4">
              <w:rPr>
                <w:sz w:val="22"/>
              </w:rPr>
              <w:t xml:space="preserve"> № 12 </w:t>
            </w:r>
            <w:proofErr w:type="spellStart"/>
            <w:r w:rsidRPr="007E0AF4">
              <w:rPr>
                <w:sz w:val="22"/>
              </w:rPr>
              <w:t>була</w:t>
            </w:r>
            <w:proofErr w:type="spellEnd"/>
            <w:r w:rsidRPr="007E0AF4">
              <w:rPr>
                <w:sz w:val="22"/>
              </w:rPr>
              <w:t xml:space="preserve"> </w:t>
            </w:r>
            <w:proofErr w:type="spellStart"/>
            <w:r w:rsidRPr="007E0AF4">
              <w:rPr>
                <w:sz w:val="22"/>
              </w:rPr>
              <w:t>збудована</w:t>
            </w:r>
            <w:proofErr w:type="spellEnd"/>
            <w:r w:rsidRPr="007E0AF4">
              <w:rPr>
                <w:sz w:val="22"/>
              </w:rPr>
              <w:t xml:space="preserve"> та введена в </w:t>
            </w:r>
            <w:proofErr w:type="spellStart"/>
            <w:r w:rsidRPr="007E0AF4">
              <w:rPr>
                <w:sz w:val="22"/>
              </w:rPr>
              <w:t>експлуатацію</w:t>
            </w:r>
            <w:proofErr w:type="spellEnd"/>
            <w:r w:rsidRPr="007E0AF4">
              <w:rPr>
                <w:sz w:val="22"/>
              </w:rPr>
              <w:t xml:space="preserve"> у 1965 </w:t>
            </w:r>
            <w:proofErr w:type="spellStart"/>
            <w:r w:rsidRPr="007E0AF4">
              <w:rPr>
                <w:sz w:val="22"/>
              </w:rPr>
              <w:t>році</w:t>
            </w:r>
            <w:proofErr w:type="spellEnd"/>
            <w:r w:rsidRPr="007E0AF4">
              <w:rPr>
                <w:sz w:val="22"/>
              </w:rPr>
              <w:t xml:space="preserve">. </w:t>
            </w:r>
          </w:p>
          <w:p w:rsidR="000B2B02" w:rsidRPr="007E0AF4" w:rsidRDefault="000B2B02" w:rsidP="00F34B87">
            <w:pPr>
              <w:ind w:firstLine="86"/>
              <w:rPr>
                <w:sz w:val="22"/>
              </w:rPr>
            </w:pPr>
            <w:proofErr w:type="spellStart"/>
            <w:r w:rsidRPr="007E0AF4">
              <w:rPr>
                <w:sz w:val="22"/>
              </w:rPr>
              <w:t>Проєктом</w:t>
            </w:r>
            <w:proofErr w:type="spellEnd"/>
            <w:r w:rsidRPr="007E0AF4">
              <w:rPr>
                <w:sz w:val="22"/>
              </w:rPr>
              <w:t xml:space="preserve"> </w:t>
            </w:r>
            <w:proofErr w:type="spellStart"/>
            <w:r w:rsidRPr="007E0AF4">
              <w:rPr>
                <w:sz w:val="22"/>
              </w:rPr>
              <w:t>бомбосховище</w:t>
            </w:r>
            <w:proofErr w:type="spellEnd"/>
            <w:r w:rsidRPr="007E0AF4">
              <w:rPr>
                <w:sz w:val="22"/>
              </w:rPr>
              <w:t xml:space="preserve"> не </w:t>
            </w:r>
            <w:proofErr w:type="spellStart"/>
            <w:r w:rsidRPr="007E0AF4">
              <w:rPr>
                <w:sz w:val="22"/>
              </w:rPr>
              <w:t>передбачено</w:t>
            </w:r>
            <w:proofErr w:type="spellEnd"/>
            <w:r w:rsidRPr="007E0AF4">
              <w:rPr>
                <w:sz w:val="22"/>
              </w:rPr>
              <w:t xml:space="preserve">. </w:t>
            </w:r>
            <w:proofErr w:type="spellStart"/>
            <w:r w:rsidRPr="007E0AF4">
              <w:rPr>
                <w:sz w:val="22"/>
              </w:rPr>
              <w:t>Війна</w:t>
            </w:r>
            <w:proofErr w:type="spellEnd"/>
            <w:r w:rsidRPr="007E0AF4">
              <w:rPr>
                <w:sz w:val="22"/>
              </w:rPr>
              <w:t xml:space="preserve"> негативно </w:t>
            </w:r>
            <w:proofErr w:type="spellStart"/>
            <w:r w:rsidRPr="007E0AF4">
              <w:rPr>
                <w:sz w:val="22"/>
              </w:rPr>
              <w:t>впливає</w:t>
            </w:r>
            <w:proofErr w:type="spellEnd"/>
            <w:r w:rsidRPr="007E0AF4">
              <w:rPr>
                <w:sz w:val="22"/>
              </w:rPr>
              <w:t xml:space="preserve"> на </w:t>
            </w:r>
            <w:proofErr w:type="spellStart"/>
            <w:r w:rsidRPr="007E0AF4">
              <w:rPr>
                <w:sz w:val="22"/>
              </w:rPr>
              <w:t>організацію</w:t>
            </w:r>
            <w:proofErr w:type="spellEnd"/>
            <w:r w:rsidRPr="007E0AF4">
              <w:rPr>
                <w:sz w:val="22"/>
              </w:rPr>
              <w:t xml:space="preserve"> </w:t>
            </w:r>
            <w:proofErr w:type="spellStart"/>
            <w:r w:rsidRPr="007E0AF4">
              <w:rPr>
                <w:sz w:val="22"/>
              </w:rPr>
              <w:t>освітнього</w:t>
            </w:r>
            <w:proofErr w:type="spellEnd"/>
            <w:r w:rsidRPr="007E0AF4">
              <w:rPr>
                <w:sz w:val="22"/>
              </w:rPr>
              <w:t xml:space="preserve"> </w:t>
            </w:r>
            <w:proofErr w:type="spellStart"/>
            <w:r w:rsidRPr="007E0AF4">
              <w:rPr>
                <w:sz w:val="22"/>
              </w:rPr>
              <w:t>процесу</w:t>
            </w:r>
            <w:proofErr w:type="spellEnd"/>
            <w:r w:rsidRPr="007E0AF4">
              <w:rPr>
                <w:sz w:val="22"/>
              </w:rPr>
              <w:t xml:space="preserve">, </w:t>
            </w:r>
            <w:proofErr w:type="spellStart"/>
            <w:r w:rsidRPr="007E0AF4">
              <w:rPr>
                <w:sz w:val="22"/>
              </w:rPr>
              <w:t>це</w:t>
            </w:r>
            <w:proofErr w:type="spellEnd"/>
            <w:r w:rsidRPr="007E0AF4">
              <w:rPr>
                <w:sz w:val="22"/>
              </w:rPr>
              <w:t xml:space="preserve"> </w:t>
            </w:r>
            <w:proofErr w:type="spellStart"/>
            <w:r w:rsidRPr="007E0AF4">
              <w:rPr>
                <w:sz w:val="22"/>
              </w:rPr>
              <w:t>зумовлює</w:t>
            </w:r>
            <w:proofErr w:type="spellEnd"/>
            <w:r w:rsidRPr="007E0AF4">
              <w:rPr>
                <w:sz w:val="22"/>
              </w:rPr>
              <w:t xml:space="preserve"> потребу в </w:t>
            </w:r>
            <w:proofErr w:type="spellStart"/>
            <w:r w:rsidRPr="007E0AF4">
              <w:rPr>
                <w:sz w:val="22"/>
              </w:rPr>
              <w:t>гнучкій</w:t>
            </w:r>
            <w:proofErr w:type="spellEnd"/>
            <w:r w:rsidRPr="007E0AF4">
              <w:rPr>
                <w:sz w:val="22"/>
              </w:rPr>
              <w:t xml:space="preserve"> </w:t>
            </w:r>
            <w:proofErr w:type="spellStart"/>
            <w:r w:rsidRPr="007E0AF4">
              <w:rPr>
                <w:sz w:val="22"/>
              </w:rPr>
              <w:t>трансформації</w:t>
            </w:r>
            <w:proofErr w:type="spellEnd"/>
            <w:r w:rsidRPr="007E0AF4">
              <w:rPr>
                <w:sz w:val="22"/>
              </w:rPr>
              <w:t xml:space="preserve"> </w:t>
            </w:r>
            <w:proofErr w:type="spellStart"/>
            <w:r w:rsidRPr="007E0AF4">
              <w:rPr>
                <w:sz w:val="22"/>
              </w:rPr>
              <w:t>діяльності</w:t>
            </w:r>
            <w:proofErr w:type="spellEnd"/>
            <w:r w:rsidRPr="007E0AF4">
              <w:rPr>
                <w:sz w:val="22"/>
              </w:rPr>
              <w:t xml:space="preserve"> </w:t>
            </w:r>
            <w:proofErr w:type="spellStart"/>
            <w:r w:rsidRPr="007E0AF4">
              <w:rPr>
                <w:sz w:val="22"/>
              </w:rPr>
              <w:t>освітньої</w:t>
            </w:r>
            <w:proofErr w:type="spellEnd"/>
            <w:r w:rsidRPr="007E0AF4">
              <w:rPr>
                <w:sz w:val="22"/>
              </w:rPr>
              <w:t xml:space="preserve"> </w:t>
            </w:r>
            <w:proofErr w:type="spellStart"/>
            <w:r w:rsidRPr="007E0AF4">
              <w:rPr>
                <w:sz w:val="22"/>
              </w:rPr>
              <w:t>сфери</w:t>
            </w:r>
            <w:proofErr w:type="spellEnd"/>
            <w:r w:rsidRPr="007E0AF4">
              <w:rPr>
                <w:sz w:val="22"/>
              </w:rPr>
              <w:t xml:space="preserve"> на </w:t>
            </w:r>
            <w:proofErr w:type="spellStart"/>
            <w:r w:rsidRPr="007E0AF4">
              <w:rPr>
                <w:sz w:val="22"/>
              </w:rPr>
              <w:t>період</w:t>
            </w:r>
            <w:proofErr w:type="spellEnd"/>
            <w:r w:rsidRPr="007E0AF4">
              <w:rPr>
                <w:sz w:val="22"/>
              </w:rPr>
              <w:t xml:space="preserve"> </w:t>
            </w:r>
            <w:proofErr w:type="spellStart"/>
            <w:r w:rsidRPr="007E0AF4">
              <w:rPr>
                <w:sz w:val="22"/>
              </w:rPr>
              <w:t>дії</w:t>
            </w:r>
            <w:proofErr w:type="spellEnd"/>
            <w:r w:rsidRPr="007E0AF4">
              <w:rPr>
                <w:sz w:val="22"/>
              </w:rPr>
              <w:t xml:space="preserve"> </w:t>
            </w:r>
            <w:proofErr w:type="spellStart"/>
            <w:r w:rsidRPr="007E0AF4">
              <w:rPr>
                <w:sz w:val="22"/>
              </w:rPr>
              <w:t>воєнного</w:t>
            </w:r>
            <w:proofErr w:type="spellEnd"/>
            <w:r w:rsidRPr="007E0AF4">
              <w:rPr>
                <w:sz w:val="22"/>
              </w:rPr>
              <w:t xml:space="preserve"> стану. </w:t>
            </w:r>
            <w:proofErr w:type="spellStart"/>
            <w:r w:rsidRPr="007E0AF4">
              <w:rPr>
                <w:sz w:val="22"/>
              </w:rPr>
              <w:t>Передусім</w:t>
            </w:r>
            <w:proofErr w:type="spellEnd"/>
            <w:r w:rsidRPr="007E0AF4">
              <w:rPr>
                <w:sz w:val="22"/>
              </w:rPr>
              <w:t xml:space="preserve"> </w:t>
            </w:r>
            <w:proofErr w:type="spellStart"/>
            <w:r w:rsidRPr="007E0AF4">
              <w:rPr>
                <w:sz w:val="22"/>
              </w:rPr>
              <w:t>постала</w:t>
            </w:r>
            <w:proofErr w:type="spellEnd"/>
            <w:r w:rsidRPr="007E0AF4">
              <w:rPr>
                <w:sz w:val="22"/>
              </w:rPr>
              <w:t xml:space="preserve"> </w:t>
            </w:r>
            <w:proofErr w:type="spellStart"/>
            <w:r w:rsidRPr="007E0AF4">
              <w:rPr>
                <w:sz w:val="22"/>
              </w:rPr>
              <w:t>необхідність</w:t>
            </w:r>
            <w:proofErr w:type="spellEnd"/>
            <w:r w:rsidRPr="007E0AF4">
              <w:rPr>
                <w:sz w:val="22"/>
              </w:rPr>
              <w:t xml:space="preserve"> </w:t>
            </w:r>
            <w:proofErr w:type="spellStart"/>
            <w:r w:rsidRPr="007E0AF4">
              <w:rPr>
                <w:sz w:val="22"/>
              </w:rPr>
              <w:t>убезпечення</w:t>
            </w:r>
            <w:proofErr w:type="spellEnd"/>
            <w:r w:rsidRPr="007E0AF4">
              <w:rPr>
                <w:sz w:val="22"/>
              </w:rPr>
              <w:t xml:space="preserve"> </w:t>
            </w:r>
            <w:proofErr w:type="spellStart"/>
            <w:r w:rsidRPr="007E0AF4">
              <w:rPr>
                <w:sz w:val="22"/>
              </w:rPr>
              <w:t>учасників</w:t>
            </w:r>
            <w:proofErr w:type="spellEnd"/>
            <w:r w:rsidRPr="007E0AF4">
              <w:rPr>
                <w:sz w:val="22"/>
              </w:rPr>
              <w:t xml:space="preserve"> </w:t>
            </w:r>
            <w:proofErr w:type="spellStart"/>
            <w:r w:rsidRPr="007E0AF4">
              <w:rPr>
                <w:sz w:val="22"/>
              </w:rPr>
              <w:t>освітнього</w:t>
            </w:r>
            <w:proofErr w:type="spellEnd"/>
            <w:r w:rsidRPr="007E0AF4">
              <w:rPr>
                <w:sz w:val="22"/>
              </w:rPr>
              <w:t xml:space="preserve"> </w:t>
            </w:r>
            <w:proofErr w:type="spellStart"/>
            <w:r w:rsidRPr="007E0AF4">
              <w:rPr>
                <w:sz w:val="22"/>
              </w:rPr>
              <w:t>процесу</w:t>
            </w:r>
            <w:proofErr w:type="spellEnd"/>
            <w:r w:rsidRPr="007E0AF4">
              <w:rPr>
                <w:sz w:val="22"/>
              </w:rPr>
              <w:t xml:space="preserve">. Заборонено </w:t>
            </w:r>
            <w:proofErr w:type="spellStart"/>
            <w:r w:rsidRPr="007E0AF4">
              <w:rPr>
                <w:sz w:val="22"/>
              </w:rPr>
              <w:t>проведення</w:t>
            </w:r>
            <w:proofErr w:type="spellEnd"/>
            <w:r w:rsidRPr="007E0AF4">
              <w:rPr>
                <w:sz w:val="22"/>
              </w:rPr>
              <w:t xml:space="preserve"> </w:t>
            </w:r>
            <w:proofErr w:type="spellStart"/>
            <w:r w:rsidRPr="007E0AF4">
              <w:rPr>
                <w:sz w:val="22"/>
              </w:rPr>
              <w:t>освітнього</w:t>
            </w:r>
            <w:proofErr w:type="spellEnd"/>
            <w:r w:rsidRPr="007E0AF4">
              <w:rPr>
                <w:sz w:val="22"/>
              </w:rPr>
              <w:t xml:space="preserve"> </w:t>
            </w:r>
            <w:proofErr w:type="spellStart"/>
            <w:r w:rsidRPr="007E0AF4">
              <w:rPr>
                <w:sz w:val="22"/>
              </w:rPr>
              <w:t>процесу</w:t>
            </w:r>
            <w:proofErr w:type="spellEnd"/>
            <w:r w:rsidRPr="007E0AF4">
              <w:rPr>
                <w:sz w:val="22"/>
              </w:rPr>
              <w:t xml:space="preserve"> в очному </w:t>
            </w:r>
            <w:proofErr w:type="spellStart"/>
            <w:r w:rsidRPr="007E0AF4">
              <w:rPr>
                <w:sz w:val="22"/>
              </w:rPr>
              <w:t>форматі</w:t>
            </w:r>
            <w:proofErr w:type="spellEnd"/>
            <w:r w:rsidRPr="007E0AF4">
              <w:rPr>
                <w:sz w:val="22"/>
              </w:rPr>
              <w:t xml:space="preserve"> за </w:t>
            </w:r>
            <w:proofErr w:type="spellStart"/>
            <w:r w:rsidRPr="007E0AF4">
              <w:rPr>
                <w:sz w:val="22"/>
              </w:rPr>
              <w:t>наявності</w:t>
            </w:r>
            <w:proofErr w:type="spellEnd"/>
            <w:r w:rsidRPr="007E0AF4">
              <w:rPr>
                <w:sz w:val="22"/>
              </w:rPr>
              <w:t xml:space="preserve"> </w:t>
            </w:r>
            <w:proofErr w:type="spellStart"/>
            <w:r w:rsidRPr="007E0AF4">
              <w:rPr>
                <w:sz w:val="22"/>
              </w:rPr>
              <w:t>шкідливих</w:t>
            </w:r>
            <w:proofErr w:type="spellEnd"/>
            <w:r w:rsidRPr="007E0AF4">
              <w:rPr>
                <w:sz w:val="22"/>
              </w:rPr>
              <w:t xml:space="preserve"> та </w:t>
            </w:r>
            <w:proofErr w:type="spellStart"/>
            <w:r w:rsidRPr="007E0AF4">
              <w:rPr>
                <w:sz w:val="22"/>
              </w:rPr>
              <w:t>небезпечних</w:t>
            </w:r>
            <w:proofErr w:type="spellEnd"/>
            <w:r w:rsidRPr="007E0AF4">
              <w:rPr>
                <w:sz w:val="22"/>
              </w:rPr>
              <w:t xml:space="preserve"> умов.</w:t>
            </w:r>
          </w:p>
          <w:p w:rsidR="000B2B02" w:rsidRPr="007E0AF4" w:rsidRDefault="000B2B02" w:rsidP="00F34B87">
            <w:pPr>
              <w:ind w:firstLine="86"/>
              <w:rPr>
                <w:sz w:val="22"/>
              </w:rPr>
            </w:pPr>
            <w:proofErr w:type="spellStart"/>
            <w:r w:rsidRPr="007E0AF4">
              <w:rPr>
                <w:sz w:val="22"/>
              </w:rPr>
              <w:t>Бомбосховище</w:t>
            </w:r>
            <w:proofErr w:type="spellEnd"/>
            <w:r w:rsidRPr="007E0AF4">
              <w:rPr>
                <w:sz w:val="22"/>
              </w:rPr>
              <w:t xml:space="preserve"> повинно </w:t>
            </w:r>
            <w:proofErr w:type="spellStart"/>
            <w:r w:rsidRPr="007E0AF4">
              <w:rPr>
                <w:sz w:val="22"/>
              </w:rPr>
              <w:t>відповідати</w:t>
            </w:r>
            <w:proofErr w:type="spellEnd"/>
            <w:r w:rsidRPr="007E0AF4">
              <w:rPr>
                <w:sz w:val="22"/>
              </w:rPr>
              <w:t xml:space="preserve"> </w:t>
            </w:r>
            <w:proofErr w:type="spellStart"/>
            <w:r w:rsidRPr="007E0AF4">
              <w:rPr>
                <w:sz w:val="22"/>
              </w:rPr>
              <w:t>вимогам</w:t>
            </w:r>
            <w:proofErr w:type="spellEnd"/>
            <w:r w:rsidR="00874FE3" w:rsidRPr="007E0AF4">
              <w:rPr>
                <w:sz w:val="22"/>
              </w:rPr>
              <w:t>,</w:t>
            </w:r>
            <w:r w:rsidRPr="007E0AF4">
              <w:rPr>
                <w:sz w:val="22"/>
              </w:rPr>
              <w:t xml:space="preserve"> </w:t>
            </w:r>
            <w:proofErr w:type="spellStart"/>
            <w:r w:rsidRPr="007E0AF4">
              <w:rPr>
                <w:sz w:val="22"/>
              </w:rPr>
              <w:t>висунутим</w:t>
            </w:r>
            <w:proofErr w:type="spellEnd"/>
            <w:r w:rsidRPr="007E0AF4">
              <w:rPr>
                <w:sz w:val="22"/>
              </w:rPr>
              <w:t xml:space="preserve"> Державною службою </w:t>
            </w:r>
            <w:proofErr w:type="spellStart"/>
            <w:r w:rsidRPr="007E0AF4">
              <w:rPr>
                <w:sz w:val="22"/>
              </w:rPr>
              <w:t>надзвичайних</w:t>
            </w:r>
            <w:proofErr w:type="spellEnd"/>
            <w:r w:rsidRPr="007E0AF4">
              <w:rPr>
                <w:sz w:val="22"/>
              </w:rPr>
              <w:t xml:space="preserve"> </w:t>
            </w:r>
            <w:proofErr w:type="spellStart"/>
            <w:r w:rsidRPr="007E0AF4">
              <w:rPr>
                <w:sz w:val="22"/>
              </w:rPr>
              <w:t>ситуацій</w:t>
            </w:r>
            <w:proofErr w:type="spellEnd"/>
            <w:r w:rsidRPr="007E0AF4">
              <w:rPr>
                <w:sz w:val="22"/>
              </w:rPr>
              <w:t xml:space="preserve">. </w:t>
            </w:r>
            <w:proofErr w:type="spellStart"/>
            <w:r w:rsidRPr="007E0AF4">
              <w:rPr>
                <w:sz w:val="22"/>
              </w:rPr>
              <w:t>Мова</w:t>
            </w:r>
            <w:proofErr w:type="spellEnd"/>
            <w:r w:rsidRPr="007E0AF4">
              <w:rPr>
                <w:sz w:val="22"/>
              </w:rPr>
              <w:t xml:space="preserve"> </w:t>
            </w:r>
            <w:proofErr w:type="spellStart"/>
            <w:r w:rsidRPr="007E0AF4">
              <w:rPr>
                <w:sz w:val="22"/>
              </w:rPr>
              <w:t>йде</w:t>
            </w:r>
            <w:proofErr w:type="spellEnd"/>
            <w:r w:rsidRPr="007E0AF4">
              <w:rPr>
                <w:sz w:val="22"/>
              </w:rPr>
              <w:t xml:space="preserve"> про </w:t>
            </w:r>
            <w:proofErr w:type="spellStart"/>
            <w:r w:rsidRPr="007E0AF4">
              <w:rPr>
                <w:sz w:val="22"/>
              </w:rPr>
              <w:t>наявність</w:t>
            </w:r>
            <w:proofErr w:type="spellEnd"/>
            <w:r w:rsidRPr="007E0AF4">
              <w:rPr>
                <w:sz w:val="22"/>
              </w:rPr>
              <w:t xml:space="preserve"> </w:t>
            </w:r>
            <w:proofErr w:type="spellStart"/>
            <w:r w:rsidRPr="007E0AF4">
              <w:rPr>
                <w:sz w:val="22"/>
              </w:rPr>
              <w:t>вбиральні</w:t>
            </w:r>
            <w:proofErr w:type="spellEnd"/>
            <w:r w:rsidRPr="007E0AF4">
              <w:rPr>
                <w:sz w:val="22"/>
              </w:rPr>
              <w:t xml:space="preserve">, </w:t>
            </w:r>
            <w:proofErr w:type="spellStart"/>
            <w:r w:rsidRPr="007E0AF4">
              <w:rPr>
                <w:sz w:val="22"/>
              </w:rPr>
              <w:t>питної</w:t>
            </w:r>
            <w:proofErr w:type="spellEnd"/>
            <w:r w:rsidRPr="007E0AF4">
              <w:rPr>
                <w:sz w:val="22"/>
              </w:rPr>
              <w:t xml:space="preserve"> та </w:t>
            </w:r>
            <w:proofErr w:type="spellStart"/>
            <w:r w:rsidRPr="007E0AF4">
              <w:rPr>
                <w:sz w:val="22"/>
              </w:rPr>
              <w:t>технічної</w:t>
            </w:r>
            <w:proofErr w:type="spellEnd"/>
            <w:r w:rsidRPr="007E0AF4">
              <w:rPr>
                <w:sz w:val="22"/>
              </w:rPr>
              <w:t xml:space="preserve"> води, </w:t>
            </w:r>
            <w:proofErr w:type="spellStart"/>
            <w:r w:rsidRPr="007E0AF4">
              <w:rPr>
                <w:sz w:val="22"/>
              </w:rPr>
              <w:t>освітлення</w:t>
            </w:r>
            <w:proofErr w:type="spellEnd"/>
            <w:r w:rsidRPr="007E0AF4">
              <w:rPr>
                <w:sz w:val="22"/>
              </w:rPr>
              <w:t xml:space="preserve">, </w:t>
            </w:r>
            <w:proofErr w:type="spellStart"/>
            <w:r w:rsidRPr="007E0AF4">
              <w:rPr>
                <w:sz w:val="22"/>
              </w:rPr>
              <w:t>опалення</w:t>
            </w:r>
            <w:proofErr w:type="spellEnd"/>
            <w:r w:rsidRPr="007E0AF4">
              <w:rPr>
                <w:sz w:val="22"/>
              </w:rPr>
              <w:t xml:space="preserve">, </w:t>
            </w:r>
            <w:proofErr w:type="spellStart"/>
            <w:r w:rsidRPr="007E0AF4">
              <w:rPr>
                <w:sz w:val="22"/>
              </w:rPr>
              <w:t>місця</w:t>
            </w:r>
            <w:proofErr w:type="spellEnd"/>
            <w:r w:rsidRPr="007E0AF4">
              <w:rPr>
                <w:sz w:val="22"/>
              </w:rPr>
              <w:t xml:space="preserve"> для </w:t>
            </w:r>
            <w:proofErr w:type="spellStart"/>
            <w:r w:rsidRPr="007E0AF4">
              <w:rPr>
                <w:sz w:val="22"/>
              </w:rPr>
              <w:t>сидіння</w:t>
            </w:r>
            <w:proofErr w:type="spellEnd"/>
            <w:r w:rsidRPr="007E0AF4">
              <w:rPr>
                <w:sz w:val="22"/>
              </w:rPr>
              <w:t xml:space="preserve">, </w:t>
            </w:r>
            <w:proofErr w:type="spellStart"/>
            <w:r w:rsidRPr="007E0AF4">
              <w:rPr>
                <w:sz w:val="22"/>
              </w:rPr>
              <w:t>системи</w:t>
            </w:r>
            <w:proofErr w:type="spellEnd"/>
            <w:r w:rsidRPr="007E0AF4">
              <w:rPr>
                <w:sz w:val="22"/>
              </w:rPr>
              <w:t xml:space="preserve"> </w:t>
            </w:r>
            <w:proofErr w:type="spellStart"/>
            <w:r w:rsidRPr="007E0AF4">
              <w:rPr>
                <w:sz w:val="22"/>
              </w:rPr>
              <w:t>вентиляції</w:t>
            </w:r>
            <w:proofErr w:type="spellEnd"/>
            <w:r w:rsidRPr="007E0AF4">
              <w:rPr>
                <w:sz w:val="22"/>
              </w:rPr>
              <w:t xml:space="preserve">, </w:t>
            </w:r>
            <w:proofErr w:type="spellStart"/>
            <w:r w:rsidRPr="007E0AF4">
              <w:rPr>
                <w:sz w:val="22"/>
              </w:rPr>
              <w:t>засобів</w:t>
            </w:r>
            <w:proofErr w:type="spellEnd"/>
            <w:r w:rsidRPr="007E0AF4">
              <w:rPr>
                <w:sz w:val="22"/>
              </w:rPr>
              <w:t xml:space="preserve"> </w:t>
            </w:r>
            <w:proofErr w:type="spellStart"/>
            <w:r w:rsidRPr="007E0AF4">
              <w:rPr>
                <w:sz w:val="22"/>
              </w:rPr>
              <w:t>медичної</w:t>
            </w:r>
            <w:proofErr w:type="spellEnd"/>
            <w:r w:rsidRPr="007E0AF4">
              <w:rPr>
                <w:sz w:val="22"/>
              </w:rPr>
              <w:t xml:space="preserve"> </w:t>
            </w:r>
            <w:proofErr w:type="spellStart"/>
            <w:r w:rsidRPr="007E0AF4">
              <w:rPr>
                <w:sz w:val="22"/>
              </w:rPr>
              <w:t>допомоги</w:t>
            </w:r>
            <w:proofErr w:type="spellEnd"/>
            <w:r w:rsidRPr="007E0AF4">
              <w:rPr>
                <w:sz w:val="22"/>
              </w:rPr>
              <w:t xml:space="preserve">, </w:t>
            </w:r>
            <w:proofErr w:type="spellStart"/>
            <w:r w:rsidRPr="007E0AF4">
              <w:rPr>
                <w:sz w:val="22"/>
              </w:rPr>
              <w:t>пожежогасіння</w:t>
            </w:r>
            <w:proofErr w:type="spellEnd"/>
            <w:r w:rsidRPr="007E0AF4">
              <w:rPr>
                <w:sz w:val="22"/>
              </w:rPr>
              <w:t xml:space="preserve">, </w:t>
            </w:r>
            <w:r w:rsidRPr="007E0AF4">
              <w:rPr>
                <w:color w:val="141414"/>
                <w:sz w:val="22"/>
              </w:rPr>
              <w:t xml:space="preserve">телефонного та </w:t>
            </w:r>
            <w:proofErr w:type="spellStart"/>
            <w:r w:rsidRPr="007E0AF4">
              <w:rPr>
                <w:color w:val="141414"/>
                <w:sz w:val="22"/>
              </w:rPr>
              <w:t>радіозв’язку</w:t>
            </w:r>
            <w:proofErr w:type="spellEnd"/>
            <w:r w:rsidRPr="007E0AF4">
              <w:rPr>
                <w:color w:val="141414"/>
                <w:sz w:val="22"/>
              </w:rPr>
              <w:t xml:space="preserve"> з </w:t>
            </w:r>
            <w:proofErr w:type="spellStart"/>
            <w:r w:rsidRPr="007E0AF4">
              <w:rPr>
                <w:color w:val="141414"/>
                <w:sz w:val="22"/>
              </w:rPr>
              <w:t>окремою</w:t>
            </w:r>
            <w:proofErr w:type="spellEnd"/>
            <w:r w:rsidRPr="007E0AF4">
              <w:rPr>
                <w:color w:val="141414"/>
                <w:sz w:val="22"/>
              </w:rPr>
              <w:t xml:space="preserve"> </w:t>
            </w:r>
            <w:proofErr w:type="spellStart"/>
            <w:r w:rsidRPr="007E0AF4">
              <w:rPr>
                <w:color w:val="141414"/>
                <w:sz w:val="22"/>
              </w:rPr>
              <w:t>лінією</w:t>
            </w:r>
            <w:proofErr w:type="spellEnd"/>
            <w:r w:rsidRPr="007E0AF4">
              <w:rPr>
                <w:color w:val="141414"/>
                <w:sz w:val="22"/>
              </w:rPr>
              <w:t xml:space="preserve"> </w:t>
            </w:r>
            <w:proofErr w:type="spellStart"/>
            <w:r w:rsidRPr="007E0AF4">
              <w:rPr>
                <w:sz w:val="22"/>
              </w:rPr>
              <w:t>тощо</w:t>
            </w:r>
            <w:proofErr w:type="spellEnd"/>
            <w:r w:rsidRPr="007E0AF4">
              <w:rPr>
                <w:sz w:val="22"/>
              </w:rPr>
              <w:t xml:space="preserve">. </w:t>
            </w:r>
          </w:p>
          <w:p w:rsidR="000B2B02" w:rsidRPr="007E0AF4" w:rsidRDefault="000B2B02" w:rsidP="00874FE3">
            <w:pPr>
              <w:ind w:firstLine="86"/>
              <w:rPr>
                <w:sz w:val="22"/>
              </w:rPr>
            </w:pPr>
            <w:r w:rsidRPr="007E0AF4">
              <w:rPr>
                <w:rFonts w:eastAsia="Arial"/>
                <w:sz w:val="22"/>
              </w:rPr>
              <w:t xml:space="preserve">Для </w:t>
            </w:r>
            <w:proofErr w:type="spellStart"/>
            <w:r w:rsidRPr="007E0AF4">
              <w:rPr>
                <w:rFonts w:eastAsia="Arial"/>
                <w:sz w:val="22"/>
              </w:rPr>
              <w:t>відбудови</w:t>
            </w:r>
            <w:proofErr w:type="spellEnd"/>
            <w:r w:rsidRPr="007E0AF4">
              <w:rPr>
                <w:rFonts w:eastAsia="Arial"/>
                <w:sz w:val="22"/>
              </w:rPr>
              <w:t xml:space="preserve"> та </w:t>
            </w:r>
            <w:proofErr w:type="spellStart"/>
            <w:r w:rsidRPr="007E0AF4">
              <w:rPr>
                <w:rFonts w:eastAsia="Arial"/>
                <w:sz w:val="22"/>
              </w:rPr>
              <w:t>сталого</w:t>
            </w:r>
            <w:proofErr w:type="spellEnd"/>
            <w:r w:rsidRPr="007E0AF4">
              <w:rPr>
                <w:rFonts w:eastAsia="Arial"/>
                <w:sz w:val="22"/>
              </w:rPr>
              <w:t xml:space="preserve"> </w:t>
            </w:r>
            <w:proofErr w:type="spellStart"/>
            <w:r w:rsidRPr="007E0AF4">
              <w:rPr>
                <w:rFonts w:eastAsia="Arial"/>
                <w:sz w:val="22"/>
              </w:rPr>
              <w:t>розвитку</w:t>
            </w:r>
            <w:proofErr w:type="spellEnd"/>
            <w:r w:rsidRPr="007E0AF4">
              <w:rPr>
                <w:rFonts w:eastAsia="Arial"/>
                <w:sz w:val="22"/>
              </w:rPr>
              <w:t xml:space="preserve"> </w:t>
            </w:r>
            <w:proofErr w:type="spellStart"/>
            <w:r w:rsidRPr="007E0AF4">
              <w:rPr>
                <w:rFonts w:eastAsia="Arial"/>
                <w:sz w:val="22"/>
              </w:rPr>
              <w:t>громади</w:t>
            </w:r>
            <w:proofErr w:type="spellEnd"/>
            <w:r w:rsidRPr="007E0AF4">
              <w:rPr>
                <w:rFonts w:eastAsia="Arial"/>
                <w:sz w:val="22"/>
              </w:rPr>
              <w:t xml:space="preserve"> </w:t>
            </w:r>
            <w:proofErr w:type="spellStart"/>
            <w:r w:rsidRPr="007E0AF4">
              <w:rPr>
                <w:rFonts w:eastAsia="Arial"/>
                <w:sz w:val="22"/>
              </w:rPr>
              <w:t>потрібне</w:t>
            </w:r>
            <w:proofErr w:type="spellEnd"/>
            <w:r w:rsidRPr="007E0AF4">
              <w:rPr>
                <w:rFonts w:eastAsia="Arial"/>
                <w:sz w:val="22"/>
              </w:rPr>
              <w:t xml:space="preserve"> </w:t>
            </w:r>
            <w:proofErr w:type="spellStart"/>
            <w:r w:rsidRPr="007E0AF4">
              <w:rPr>
                <w:sz w:val="22"/>
              </w:rPr>
              <w:t>будівництво</w:t>
            </w:r>
            <w:proofErr w:type="spellEnd"/>
            <w:r w:rsidRPr="007E0AF4">
              <w:rPr>
                <w:sz w:val="22"/>
              </w:rPr>
              <w:t xml:space="preserve"> </w:t>
            </w:r>
            <w:proofErr w:type="spellStart"/>
            <w:r w:rsidRPr="007E0AF4">
              <w:rPr>
                <w:sz w:val="22"/>
              </w:rPr>
              <w:t>безпечного</w:t>
            </w:r>
            <w:proofErr w:type="spellEnd"/>
            <w:r w:rsidRPr="007E0AF4">
              <w:rPr>
                <w:sz w:val="22"/>
              </w:rPr>
              <w:t xml:space="preserve"> та комфортного </w:t>
            </w:r>
            <w:proofErr w:type="spellStart"/>
            <w:r w:rsidRPr="007E0AF4">
              <w:rPr>
                <w:sz w:val="22"/>
              </w:rPr>
              <w:t>укриття</w:t>
            </w:r>
            <w:proofErr w:type="spellEnd"/>
            <w:r w:rsidRPr="007E0AF4">
              <w:rPr>
                <w:sz w:val="22"/>
              </w:rPr>
              <w:t xml:space="preserve">, яке </w:t>
            </w:r>
            <w:proofErr w:type="spellStart"/>
            <w:r w:rsidRPr="007E0AF4">
              <w:rPr>
                <w:sz w:val="22"/>
              </w:rPr>
              <w:t>можна</w:t>
            </w:r>
            <w:proofErr w:type="spellEnd"/>
            <w:r w:rsidRPr="007E0AF4">
              <w:rPr>
                <w:sz w:val="22"/>
              </w:rPr>
              <w:t xml:space="preserve"> </w:t>
            </w:r>
            <w:proofErr w:type="spellStart"/>
            <w:r w:rsidRPr="007E0AF4">
              <w:rPr>
                <w:sz w:val="22"/>
              </w:rPr>
              <w:t>розмістити</w:t>
            </w:r>
            <w:proofErr w:type="spellEnd"/>
            <w:r w:rsidRPr="007E0AF4">
              <w:rPr>
                <w:sz w:val="22"/>
              </w:rPr>
              <w:t xml:space="preserve"> на </w:t>
            </w:r>
            <w:proofErr w:type="spellStart"/>
            <w:r w:rsidRPr="007E0AF4">
              <w:rPr>
                <w:sz w:val="22"/>
              </w:rPr>
              <w:t>території</w:t>
            </w:r>
            <w:proofErr w:type="spellEnd"/>
            <w:r w:rsidRPr="007E0AF4">
              <w:rPr>
                <w:sz w:val="22"/>
              </w:rPr>
              <w:t xml:space="preserve"> закладу </w:t>
            </w:r>
            <w:proofErr w:type="spellStart"/>
            <w:r w:rsidRPr="007E0AF4">
              <w:rPr>
                <w:sz w:val="22"/>
              </w:rPr>
              <w:t>під</w:t>
            </w:r>
            <w:proofErr w:type="spellEnd"/>
            <w:r w:rsidRPr="007E0AF4">
              <w:rPr>
                <w:sz w:val="22"/>
              </w:rPr>
              <w:t xml:space="preserve"> </w:t>
            </w:r>
            <w:proofErr w:type="spellStart"/>
            <w:r w:rsidRPr="007E0AF4">
              <w:rPr>
                <w:sz w:val="22"/>
              </w:rPr>
              <w:t>спортивн</w:t>
            </w:r>
            <w:r w:rsidR="00874FE3" w:rsidRPr="007E0AF4">
              <w:rPr>
                <w:sz w:val="22"/>
              </w:rPr>
              <w:t>им</w:t>
            </w:r>
            <w:proofErr w:type="spellEnd"/>
            <w:r w:rsidRPr="007E0AF4">
              <w:rPr>
                <w:sz w:val="22"/>
              </w:rPr>
              <w:t xml:space="preserve"> </w:t>
            </w:r>
            <w:proofErr w:type="spellStart"/>
            <w:r w:rsidR="00874FE3" w:rsidRPr="007E0AF4">
              <w:rPr>
                <w:sz w:val="22"/>
              </w:rPr>
              <w:t>майданчиком</w:t>
            </w:r>
            <w:proofErr w:type="spellEnd"/>
            <w:r w:rsidRPr="007E0AF4">
              <w:rPr>
                <w:sz w:val="22"/>
              </w:rPr>
              <w:t xml:space="preserve">. </w:t>
            </w:r>
            <w:proofErr w:type="spellStart"/>
            <w:r w:rsidRPr="007E0AF4">
              <w:rPr>
                <w:rFonts w:eastAsia="Arial"/>
                <w:sz w:val="22"/>
              </w:rPr>
              <w:t>Мешканці</w:t>
            </w:r>
            <w:proofErr w:type="spellEnd"/>
            <w:r w:rsidRPr="007E0AF4">
              <w:rPr>
                <w:rFonts w:eastAsia="Arial"/>
                <w:sz w:val="22"/>
              </w:rPr>
              <w:t xml:space="preserve"> </w:t>
            </w:r>
            <w:proofErr w:type="spellStart"/>
            <w:r w:rsidRPr="007E0AF4">
              <w:rPr>
                <w:rFonts w:eastAsia="Arial"/>
                <w:sz w:val="22"/>
              </w:rPr>
              <w:t>громади</w:t>
            </w:r>
            <w:proofErr w:type="spellEnd"/>
            <w:r w:rsidRPr="007E0AF4">
              <w:rPr>
                <w:rFonts w:eastAsia="Arial"/>
                <w:sz w:val="22"/>
              </w:rPr>
              <w:t xml:space="preserve"> </w:t>
            </w:r>
            <w:proofErr w:type="spellStart"/>
            <w:r w:rsidRPr="007E0AF4">
              <w:rPr>
                <w:rFonts w:eastAsia="Arial"/>
                <w:sz w:val="22"/>
              </w:rPr>
              <w:t>потребують</w:t>
            </w:r>
            <w:proofErr w:type="spellEnd"/>
            <w:r w:rsidRPr="007E0AF4">
              <w:rPr>
                <w:rFonts w:eastAsia="Arial"/>
                <w:sz w:val="22"/>
              </w:rPr>
              <w:t xml:space="preserve"> в </w:t>
            </w:r>
            <w:proofErr w:type="spellStart"/>
            <w:r w:rsidRPr="007E0AF4">
              <w:rPr>
                <w:rFonts w:eastAsia="Arial"/>
                <w:sz w:val="22"/>
              </w:rPr>
              <w:t>отриманні</w:t>
            </w:r>
            <w:proofErr w:type="spellEnd"/>
            <w:r w:rsidRPr="007E0AF4">
              <w:rPr>
                <w:rFonts w:eastAsia="Arial"/>
                <w:sz w:val="22"/>
              </w:rPr>
              <w:t xml:space="preserve"> </w:t>
            </w:r>
            <w:proofErr w:type="spellStart"/>
            <w:r w:rsidRPr="007E0AF4">
              <w:rPr>
                <w:rFonts w:eastAsia="Arial"/>
                <w:sz w:val="22"/>
              </w:rPr>
              <w:t>якісних</w:t>
            </w:r>
            <w:proofErr w:type="spellEnd"/>
            <w:r w:rsidRPr="007E0AF4">
              <w:rPr>
                <w:rFonts w:eastAsia="Arial"/>
                <w:sz w:val="22"/>
              </w:rPr>
              <w:t xml:space="preserve"> </w:t>
            </w:r>
            <w:proofErr w:type="spellStart"/>
            <w:r w:rsidRPr="007E0AF4">
              <w:rPr>
                <w:rFonts w:eastAsia="Arial"/>
                <w:sz w:val="22"/>
              </w:rPr>
              <w:t>освітніх</w:t>
            </w:r>
            <w:proofErr w:type="spellEnd"/>
            <w:r w:rsidRPr="007E0AF4">
              <w:rPr>
                <w:rFonts w:eastAsia="Arial"/>
                <w:sz w:val="22"/>
              </w:rPr>
              <w:t xml:space="preserve"> </w:t>
            </w:r>
            <w:proofErr w:type="spellStart"/>
            <w:r w:rsidRPr="007E0AF4">
              <w:rPr>
                <w:rFonts w:eastAsia="Arial"/>
                <w:sz w:val="22"/>
              </w:rPr>
              <w:t>послуг</w:t>
            </w:r>
            <w:proofErr w:type="spellEnd"/>
            <w:r w:rsidRPr="007E0AF4">
              <w:rPr>
                <w:rFonts w:eastAsia="Arial"/>
                <w:sz w:val="22"/>
              </w:rPr>
              <w:t xml:space="preserve">, </w:t>
            </w:r>
            <w:proofErr w:type="spellStart"/>
            <w:r w:rsidRPr="007E0AF4">
              <w:rPr>
                <w:rFonts w:eastAsia="Arial"/>
                <w:sz w:val="22"/>
              </w:rPr>
              <w:t>які</w:t>
            </w:r>
            <w:proofErr w:type="spellEnd"/>
            <w:r w:rsidRPr="007E0AF4">
              <w:rPr>
                <w:rFonts w:eastAsia="Arial"/>
                <w:sz w:val="22"/>
              </w:rPr>
              <w:t xml:space="preserve"> </w:t>
            </w:r>
            <w:proofErr w:type="spellStart"/>
            <w:r w:rsidRPr="007E0AF4">
              <w:rPr>
                <w:rFonts w:eastAsia="Arial"/>
                <w:sz w:val="22"/>
              </w:rPr>
              <w:t>відповідають</w:t>
            </w:r>
            <w:proofErr w:type="spellEnd"/>
            <w:r w:rsidRPr="007E0AF4">
              <w:rPr>
                <w:rFonts w:eastAsia="Arial"/>
                <w:sz w:val="22"/>
              </w:rPr>
              <w:t xml:space="preserve"> нормам </w:t>
            </w:r>
            <w:proofErr w:type="spellStart"/>
            <w:r w:rsidRPr="007E0AF4">
              <w:rPr>
                <w:rFonts w:eastAsia="Arial"/>
                <w:sz w:val="22"/>
              </w:rPr>
              <w:t>сучасності</w:t>
            </w:r>
            <w:proofErr w:type="spellEnd"/>
            <w:r w:rsidRPr="007E0AF4">
              <w:rPr>
                <w:rFonts w:eastAsia="Arial"/>
                <w:sz w:val="22"/>
              </w:rPr>
              <w:t>.</w:t>
            </w:r>
          </w:p>
        </w:tc>
      </w:tr>
      <w:tr w:rsidR="000B2B02" w:rsidRPr="007E0AF4" w:rsidTr="00F34B87">
        <w:tc>
          <w:tcPr>
            <w:tcW w:w="2978" w:type="dxa"/>
            <w:shd w:val="clear" w:color="auto" w:fill="C6D9F1" w:themeFill="text2" w:themeFillTint="33"/>
          </w:tcPr>
          <w:p w:rsidR="000B2B02" w:rsidRPr="007E0AF4" w:rsidRDefault="000B2B02" w:rsidP="00F34B87">
            <w:pPr>
              <w:pStyle w:val="a7"/>
              <w:ind w:left="0"/>
              <w:rPr>
                <w:b/>
                <w:sz w:val="22"/>
              </w:rPr>
            </w:pPr>
            <w:proofErr w:type="spellStart"/>
            <w:r w:rsidRPr="007E0AF4">
              <w:rPr>
                <w:b/>
                <w:sz w:val="22"/>
              </w:rPr>
              <w:t>Очікувані</w:t>
            </w:r>
            <w:proofErr w:type="spellEnd"/>
            <w:r w:rsidRPr="007E0AF4">
              <w:rPr>
                <w:b/>
                <w:sz w:val="22"/>
              </w:rPr>
              <w:t xml:space="preserve"> </w:t>
            </w:r>
            <w:proofErr w:type="spellStart"/>
            <w:r w:rsidRPr="007E0AF4">
              <w:rPr>
                <w:b/>
                <w:sz w:val="22"/>
              </w:rPr>
              <w:t>якісні</w:t>
            </w:r>
            <w:proofErr w:type="spellEnd"/>
            <w:r w:rsidRPr="007E0AF4">
              <w:rPr>
                <w:b/>
                <w:sz w:val="22"/>
              </w:rPr>
              <w:t xml:space="preserve"> </w:t>
            </w:r>
            <w:proofErr w:type="spellStart"/>
            <w:r w:rsidRPr="007E0AF4">
              <w:rPr>
                <w:b/>
                <w:sz w:val="22"/>
              </w:rPr>
              <w:t>результати</w:t>
            </w:r>
            <w:proofErr w:type="spellEnd"/>
            <w:r w:rsidRPr="007E0AF4">
              <w:rPr>
                <w:b/>
                <w:sz w:val="22"/>
              </w:rPr>
              <w:t xml:space="preserve"> </w:t>
            </w:r>
            <w:proofErr w:type="spellStart"/>
            <w:r w:rsidRPr="007E0AF4">
              <w:rPr>
                <w:b/>
                <w:sz w:val="22"/>
              </w:rPr>
              <w:t>від</w:t>
            </w:r>
            <w:proofErr w:type="spellEnd"/>
            <w:r w:rsidRPr="007E0AF4">
              <w:rPr>
                <w:b/>
                <w:sz w:val="22"/>
              </w:rPr>
              <w:t xml:space="preserve"> </w:t>
            </w:r>
            <w:proofErr w:type="spellStart"/>
            <w:r w:rsidRPr="007E0AF4">
              <w:rPr>
                <w:b/>
                <w:sz w:val="22"/>
              </w:rPr>
              <w:t>реалізації</w:t>
            </w:r>
            <w:proofErr w:type="spellEnd"/>
            <w:r w:rsidRPr="007E0AF4">
              <w:rPr>
                <w:b/>
                <w:sz w:val="22"/>
              </w:rPr>
              <w:t xml:space="preserve"> проекту</w:t>
            </w:r>
          </w:p>
        </w:tc>
        <w:tc>
          <w:tcPr>
            <w:tcW w:w="6945" w:type="dxa"/>
            <w:gridSpan w:val="6"/>
          </w:tcPr>
          <w:p w:rsidR="000B2B02" w:rsidRPr="007E0AF4" w:rsidRDefault="000B2B02" w:rsidP="00F34B87">
            <w:pPr>
              <w:pStyle w:val="a7"/>
              <w:ind w:left="0"/>
              <w:rPr>
                <w:sz w:val="22"/>
              </w:rPr>
            </w:pPr>
            <w:r w:rsidRPr="007E0AF4">
              <w:rPr>
                <w:sz w:val="22"/>
              </w:rPr>
              <w:t xml:space="preserve">- </w:t>
            </w:r>
            <w:proofErr w:type="spellStart"/>
            <w:r w:rsidRPr="007E0AF4">
              <w:rPr>
                <w:sz w:val="22"/>
              </w:rPr>
              <w:t>забезпечення</w:t>
            </w:r>
            <w:proofErr w:type="spellEnd"/>
            <w:r w:rsidRPr="007E0AF4">
              <w:rPr>
                <w:sz w:val="22"/>
              </w:rPr>
              <w:t xml:space="preserve"> </w:t>
            </w:r>
            <w:proofErr w:type="spellStart"/>
            <w:r w:rsidRPr="007E0AF4">
              <w:rPr>
                <w:sz w:val="22"/>
              </w:rPr>
              <w:t>населення</w:t>
            </w:r>
            <w:proofErr w:type="spellEnd"/>
            <w:r w:rsidRPr="007E0AF4">
              <w:rPr>
                <w:sz w:val="22"/>
              </w:rPr>
              <w:t xml:space="preserve"> </w:t>
            </w:r>
            <w:proofErr w:type="spellStart"/>
            <w:r w:rsidRPr="007E0AF4">
              <w:rPr>
                <w:sz w:val="22"/>
              </w:rPr>
              <w:t>можливостями</w:t>
            </w:r>
            <w:proofErr w:type="spellEnd"/>
            <w:r w:rsidRPr="007E0AF4">
              <w:rPr>
                <w:sz w:val="22"/>
              </w:rPr>
              <w:t xml:space="preserve"> для </w:t>
            </w:r>
            <w:proofErr w:type="spellStart"/>
            <w:r w:rsidRPr="007E0AF4">
              <w:rPr>
                <w:sz w:val="22"/>
              </w:rPr>
              <w:t>реалізації</w:t>
            </w:r>
            <w:proofErr w:type="spellEnd"/>
            <w:r w:rsidRPr="007E0AF4">
              <w:rPr>
                <w:sz w:val="22"/>
              </w:rPr>
              <w:t xml:space="preserve"> </w:t>
            </w:r>
            <w:proofErr w:type="spellStart"/>
            <w:r w:rsidRPr="007E0AF4">
              <w:rPr>
                <w:sz w:val="22"/>
              </w:rPr>
              <w:t>конституційних</w:t>
            </w:r>
            <w:proofErr w:type="spellEnd"/>
            <w:r w:rsidRPr="007E0AF4">
              <w:rPr>
                <w:sz w:val="22"/>
              </w:rPr>
              <w:t xml:space="preserve"> прав </w:t>
            </w:r>
            <w:proofErr w:type="spellStart"/>
            <w:r w:rsidRPr="007E0AF4">
              <w:rPr>
                <w:sz w:val="22"/>
              </w:rPr>
              <w:t>громадян</w:t>
            </w:r>
            <w:proofErr w:type="spellEnd"/>
            <w:r w:rsidRPr="007E0AF4">
              <w:rPr>
                <w:sz w:val="22"/>
              </w:rPr>
              <w:t xml:space="preserve"> на </w:t>
            </w:r>
            <w:proofErr w:type="spellStart"/>
            <w:r w:rsidRPr="007E0AF4">
              <w:rPr>
                <w:sz w:val="22"/>
              </w:rPr>
              <w:t>здобуття</w:t>
            </w:r>
            <w:proofErr w:type="spellEnd"/>
            <w:r w:rsidRPr="007E0AF4">
              <w:rPr>
                <w:sz w:val="22"/>
              </w:rPr>
              <w:t xml:space="preserve"> </w:t>
            </w:r>
            <w:proofErr w:type="spellStart"/>
            <w:r w:rsidRPr="007E0AF4">
              <w:rPr>
                <w:sz w:val="22"/>
              </w:rPr>
              <w:t>освіти</w:t>
            </w:r>
            <w:proofErr w:type="spellEnd"/>
            <w:r w:rsidRPr="007E0AF4">
              <w:rPr>
                <w:sz w:val="22"/>
              </w:rPr>
              <w:t>;</w:t>
            </w:r>
          </w:p>
          <w:p w:rsidR="000B2B02" w:rsidRPr="007E0AF4" w:rsidRDefault="000B2B02" w:rsidP="00F34B87">
            <w:pPr>
              <w:pStyle w:val="a7"/>
              <w:ind w:left="0"/>
              <w:rPr>
                <w:sz w:val="22"/>
              </w:rPr>
            </w:pPr>
            <w:r w:rsidRPr="007E0AF4">
              <w:rPr>
                <w:sz w:val="22"/>
              </w:rPr>
              <w:t xml:space="preserve">- </w:t>
            </w:r>
            <w:proofErr w:type="spellStart"/>
            <w:r w:rsidRPr="007E0AF4">
              <w:rPr>
                <w:sz w:val="22"/>
              </w:rPr>
              <w:t>вирішення</w:t>
            </w:r>
            <w:proofErr w:type="spellEnd"/>
            <w:r w:rsidRPr="007E0AF4">
              <w:rPr>
                <w:sz w:val="22"/>
              </w:rPr>
              <w:t xml:space="preserve"> ряду </w:t>
            </w:r>
            <w:proofErr w:type="spellStart"/>
            <w:r w:rsidRPr="007E0AF4">
              <w:rPr>
                <w:sz w:val="22"/>
              </w:rPr>
              <w:t>питань</w:t>
            </w:r>
            <w:proofErr w:type="spellEnd"/>
            <w:r w:rsidRPr="007E0AF4">
              <w:rPr>
                <w:sz w:val="22"/>
              </w:rPr>
              <w:t xml:space="preserve"> в межах </w:t>
            </w:r>
            <w:proofErr w:type="spellStart"/>
            <w:r w:rsidRPr="007E0AF4">
              <w:rPr>
                <w:sz w:val="22"/>
              </w:rPr>
              <w:t>статутної</w:t>
            </w:r>
            <w:proofErr w:type="spellEnd"/>
            <w:r w:rsidRPr="007E0AF4">
              <w:rPr>
                <w:sz w:val="22"/>
              </w:rPr>
              <w:t xml:space="preserve"> </w:t>
            </w:r>
            <w:proofErr w:type="spellStart"/>
            <w:r w:rsidRPr="007E0AF4">
              <w:rPr>
                <w:sz w:val="22"/>
              </w:rPr>
              <w:t>діяльності</w:t>
            </w:r>
            <w:proofErr w:type="spellEnd"/>
            <w:r w:rsidRPr="007E0AF4">
              <w:rPr>
                <w:sz w:val="22"/>
              </w:rPr>
              <w:t xml:space="preserve">, </w:t>
            </w:r>
            <w:proofErr w:type="spellStart"/>
            <w:r w:rsidRPr="007E0AF4">
              <w:rPr>
                <w:sz w:val="22"/>
              </w:rPr>
              <w:t>пов’язаних</w:t>
            </w:r>
            <w:proofErr w:type="spellEnd"/>
            <w:r w:rsidRPr="007E0AF4">
              <w:rPr>
                <w:sz w:val="22"/>
              </w:rPr>
              <w:t xml:space="preserve"> </w:t>
            </w:r>
            <w:proofErr w:type="spellStart"/>
            <w:r w:rsidRPr="007E0AF4">
              <w:rPr>
                <w:sz w:val="22"/>
              </w:rPr>
              <w:t>із</w:t>
            </w:r>
            <w:proofErr w:type="spellEnd"/>
            <w:r w:rsidRPr="007E0AF4">
              <w:rPr>
                <w:sz w:val="22"/>
              </w:rPr>
              <w:t xml:space="preserve"> </w:t>
            </w:r>
            <w:proofErr w:type="spellStart"/>
            <w:r w:rsidRPr="007E0AF4">
              <w:rPr>
                <w:sz w:val="22"/>
              </w:rPr>
              <w:t>відбудовою</w:t>
            </w:r>
            <w:proofErr w:type="spellEnd"/>
            <w:r w:rsidRPr="007E0AF4">
              <w:rPr>
                <w:sz w:val="22"/>
              </w:rPr>
              <w:t xml:space="preserve"> та </w:t>
            </w:r>
            <w:proofErr w:type="spellStart"/>
            <w:r w:rsidRPr="007E0AF4">
              <w:rPr>
                <w:sz w:val="22"/>
              </w:rPr>
              <w:t>сталим</w:t>
            </w:r>
            <w:proofErr w:type="spellEnd"/>
            <w:r w:rsidRPr="007E0AF4">
              <w:rPr>
                <w:sz w:val="22"/>
              </w:rPr>
              <w:t xml:space="preserve"> </w:t>
            </w:r>
            <w:proofErr w:type="spellStart"/>
            <w:r w:rsidRPr="007E0AF4">
              <w:rPr>
                <w:sz w:val="22"/>
              </w:rPr>
              <w:t>розвитком</w:t>
            </w:r>
            <w:proofErr w:type="spellEnd"/>
            <w:r w:rsidRPr="007E0AF4">
              <w:rPr>
                <w:sz w:val="22"/>
              </w:rPr>
              <w:t xml:space="preserve"> </w:t>
            </w:r>
            <w:proofErr w:type="spellStart"/>
            <w:r w:rsidRPr="007E0AF4">
              <w:rPr>
                <w:sz w:val="22"/>
              </w:rPr>
              <w:t>громади</w:t>
            </w:r>
            <w:proofErr w:type="spellEnd"/>
            <w:r w:rsidRPr="007E0AF4">
              <w:rPr>
                <w:sz w:val="22"/>
              </w:rPr>
              <w:t>;</w:t>
            </w:r>
          </w:p>
          <w:p w:rsidR="000B2B02" w:rsidRPr="007E0AF4" w:rsidRDefault="000B2B02" w:rsidP="00F34B87">
            <w:pPr>
              <w:pStyle w:val="a7"/>
              <w:ind w:left="0"/>
              <w:rPr>
                <w:sz w:val="22"/>
              </w:rPr>
            </w:pPr>
            <w:r w:rsidRPr="007E0AF4">
              <w:rPr>
                <w:sz w:val="22"/>
              </w:rPr>
              <w:t xml:space="preserve">- </w:t>
            </w:r>
            <w:proofErr w:type="spellStart"/>
            <w:r w:rsidRPr="007E0AF4">
              <w:rPr>
                <w:sz w:val="22"/>
              </w:rPr>
              <w:t>виконання</w:t>
            </w:r>
            <w:proofErr w:type="spellEnd"/>
            <w:r w:rsidRPr="007E0AF4">
              <w:rPr>
                <w:sz w:val="22"/>
              </w:rPr>
              <w:t xml:space="preserve"> </w:t>
            </w:r>
            <w:proofErr w:type="spellStart"/>
            <w:r w:rsidRPr="007E0AF4">
              <w:rPr>
                <w:sz w:val="22"/>
              </w:rPr>
              <w:t>Санітарного</w:t>
            </w:r>
            <w:proofErr w:type="spellEnd"/>
            <w:r w:rsidRPr="007E0AF4">
              <w:rPr>
                <w:sz w:val="22"/>
              </w:rPr>
              <w:t xml:space="preserve"> регламента для </w:t>
            </w:r>
            <w:proofErr w:type="spellStart"/>
            <w:r w:rsidRPr="007E0AF4">
              <w:rPr>
                <w:sz w:val="22"/>
              </w:rPr>
              <w:t>закладів</w:t>
            </w:r>
            <w:proofErr w:type="spellEnd"/>
            <w:r w:rsidRPr="007E0AF4">
              <w:rPr>
                <w:sz w:val="22"/>
              </w:rPr>
              <w:t xml:space="preserve"> </w:t>
            </w:r>
            <w:proofErr w:type="spellStart"/>
            <w:r w:rsidRPr="007E0AF4">
              <w:rPr>
                <w:sz w:val="22"/>
              </w:rPr>
              <w:t>загальної</w:t>
            </w:r>
            <w:proofErr w:type="spellEnd"/>
            <w:r w:rsidRPr="007E0AF4">
              <w:rPr>
                <w:sz w:val="22"/>
              </w:rPr>
              <w:t xml:space="preserve"> </w:t>
            </w:r>
            <w:proofErr w:type="spellStart"/>
            <w:r w:rsidRPr="007E0AF4">
              <w:rPr>
                <w:sz w:val="22"/>
              </w:rPr>
              <w:t>середньої</w:t>
            </w:r>
            <w:proofErr w:type="spellEnd"/>
            <w:r w:rsidRPr="007E0AF4">
              <w:rPr>
                <w:sz w:val="22"/>
              </w:rPr>
              <w:t xml:space="preserve"> </w:t>
            </w:r>
            <w:proofErr w:type="spellStart"/>
            <w:r w:rsidRPr="007E0AF4">
              <w:rPr>
                <w:sz w:val="22"/>
              </w:rPr>
              <w:t>освіти</w:t>
            </w:r>
            <w:proofErr w:type="spellEnd"/>
            <w:r w:rsidRPr="007E0AF4">
              <w:rPr>
                <w:sz w:val="22"/>
              </w:rPr>
              <w:t xml:space="preserve"> </w:t>
            </w:r>
            <w:proofErr w:type="spellStart"/>
            <w:r w:rsidRPr="007E0AF4">
              <w:rPr>
                <w:sz w:val="22"/>
              </w:rPr>
              <w:t>щодо</w:t>
            </w:r>
            <w:proofErr w:type="spellEnd"/>
            <w:r w:rsidRPr="007E0AF4">
              <w:rPr>
                <w:sz w:val="22"/>
              </w:rPr>
              <w:t xml:space="preserve"> </w:t>
            </w:r>
            <w:proofErr w:type="spellStart"/>
            <w:r w:rsidRPr="007E0AF4">
              <w:rPr>
                <w:sz w:val="22"/>
              </w:rPr>
              <w:t>безпечного</w:t>
            </w:r>
            <w:proofErr w:type="spellEnd"/>
            <w:r w:rsidRPr="007E0AF4">
              <w:rPr>
                <w:sz w:val="22"/>
              </w:rPr>
              <w:t xml:space="preserve"> </w:t>
            </w:r>
            <w:proofErr w:type="spellStart"/>
            <w:r w:rsidRPr="007E0AF4">
              <w:rPr>
                <w:sz w:val="22"/>
              </w:rPr>
              <w:t>функціонування</w:t>
            </w:r>
            <w:proofErr w:type="spellEnd"/>
            <w:r w:rsidRPr="007E0AF4">
              <w:rPr>
                <w:sz w:val="22"/>
              </w:rPr>
              <w:t xml:space="preserve"> закладу;</w:t>
            </w:r>
          </w:p>
          <w:p w:rsidR="000B2B02" w:rsidRPr="007E0AF4" w:rsidRDefault="000B2B02" w:rsidP="00F34B87">
            <w:pPr>
              <w:pStyle w:val="a7"/>
              <w:ind w:left="0"/>
              <w:rPr>
                <w:sz w:val="22"/>
              </w:rPr>
            </w:pPr>
            <w:r w:rsidRPr="007E0AF4">
              <w:rPr>
                <w:sz w:val="22"/>
              </w:rPr>
              <w:t xml:space="preserve">- </w:t>
            </w:r>
            <w:proofErr w:type="spellStart"/>
            <w:r w:rsidRPr="007E0AF4">
              <w:rPr>
                <w:sz w:val="22"/>
              </w:rPr>
              <w:t>створення</w:t>
            </w:r>
            <w:proofErr w:type="spellEnd"/>
            <w:r w:rsidRPr="007E0AF4">
              <w:rPr>
                <w:sz w:val="22"/>
              </w:rPr>
              <w:t xml:space="preserve"> </w:t>
            </w:r>
            <w:proofErr w:type="spellStart"/>
            <w:r w:rsidRPr="007E0AF4">
              <w:rPr>
                <w:sz w:val="22"/>
              </w:rPr>
              <w:t>нових</w:t>
            </w:r>
            <w:proofErr w:type="spellEnd"/>
            <w:r w:rsidRPr="007E0AF4">
              <w:rPr>
                <w:sz w:val="22"/>
              </w:rPr>
              <w:t xml:space="preserve"> </w:t>
            </w:r>
            <w:proofErr w:type="spellStart"/>
            <w:r w:rsidRPr="007E0AF4">
              <w:rPr>
                <w:sz w:val="22"/>
              </w:rPr>
              <w:t>робочих</w:t>
            </w:r>
            <w:proofErr w:type="spellEnd"/>
            <w:r w:rsidRPr="007E0AF4">
              <w:rPr>
                <w:sz w:val="22"/>
              </w:rPr>
              <w:t xml:space="preserve"> </w:t>
            </w:r>
            <w:proofErr w:type="spellStart"/>
            <w:r w:rsidRPr="007E0AF4">
              <w:rPr>
                <w:sz w:val="22"/>
              </w:rPr>
              <w:t>місць</w:t>
            </w:r>
            <w:proofErr w:type="spellEnd"/>
            <w:r w:rsidRPr="007E0AF4">
              <w:rPr>
                <w:sz w:val="22"/>
              </w:rPr>
              <w:t>;</w:t>
            </w:r>
          </w:p>
          <w:p w:rsidR="000B2B02" w:rsidRPr="007E0AF4" w:rsidRDefault="000B2B02" w:rsidP="00F34B87">
            <w:pPr>
              <w:pStyle w:val="a7"/>
              <w:ind w:left="0"/>
              <w:rPr>
                <w:sz w:val="22"/>
              </w:rPr>
            </w:pPr>
            <w:r w:rsidRPr="007E0AF4">
              <w:rPr>
                <w:sz w:val="22"/>
              </w:rPr>
              <w:t xml:space="preserve">- стимул до </w:t>
            </w:r>
            <w:proofErr w:type="spellStart"/>
            <w:r w:rsidRPr="007E0AF4">
              <w:rPr>
                <w:sz w:val="22"/>
              </w:rPr>
              <w:t>повернення</w:t>
            </w:r>
            <w:proofErr w:type="spellEnd"/>
            <w:r w:rsidRPr="007E0AF4">
              <w:rPr>
                <w:sz w:val="22"/>
              </w:rPr>
              <w:t xml:space="preserve"> ВПО до </w:t>
            </w:r>
            <w:proofErr w:type="spellStart"/>
            <w:r w:rsidRPr="007E0AF4">
              <w:rPr>
                <w:sz w:val="22"/>
              </w:rPr>
              <w:t>громади</w:t>
            </w:r>
            <w:proofErr w:type="spellEnd"/>
          </w:p>
        </w:tc>
      </w:tr>
      <w:tr w:rsidR="000B2B02" w:rsidRPr="007E0AF4" w:rsidTr="00F34B87">
        <w:trPr>
          <w:trHeight w:val="390"/>
        </w:trPr>
        <w:tc>
          <w:tcPr>
            <w:tcW w:w="2978" w:type="dxa"/>
            <w:vMerge w:val="restart"/>
            <w:shd w:val="clear" w:color="auto" w:fill="C6D9F1" w:themeFill="text2" w:themeFillTint="33"/>
          </w:tcPr>
          <w:p w:rsidR="000B2B02" w:rsidRPr="007E0AF4" w:rsidRDefault="000B2B02" w:rsidP="00F34B87">
            <w:pPr>
              <w:pStyle w:val="a7"/>
              <w:ind w:left="0"/>
              <w:rPr>
                <w:b/>
                <w:sz w:val="22"/>
                <w:lang w:val="uk-UA"/>
              </w:rPr>
            </w:pPr>
            <w:r w:rsidRPr="007E0AF4">
              <w:rPr>
                <w:b/>
                <w:sz w:val="22"/>
                <w:lang w:val="uk-UA"/>
              </w:rPr>
              <w:t xml:space="preserve">Очікувані кількісні результати реалізації </w:t>
            </w:r>
            <w:proofErr w:type="spellStart"/>
            <w:r w:rsidRPr="007E0AF4">
              <w:rPr>
                <w:b/>
                <w:sz w:val="22"/>
                <w:lang w:val="uk-UA"/>
              </w:rPr>
              <w:t>проєкту</w:t>
            </w:r>
            <w:proofErr w:type="spellEnd"/>
            <w:r w:rsidRPr="007E0AF4">
              <w:rPr>
                <w:b/>
                <w:sz w:val="22"/>
                <w:lang w:val="uk-UA"/>
              </w:rPr>
              <w:t xml:space="preserve"> (індикатори)</w:t>
            </w:r>
          </w:p>
          <w:p w:rsidR="000B2B02" w:rsidRPr="007E0AF4" w:rsidRDefault="000B2B02" w:rsidP="00F34B87">
            <w:pPr>
              <w:pStyle w:val="a7"/>
              <w:ind w:left="0"/>
              <w:rPr>
                <w:b/>
                <w:sz w:val="22"/>
                <w:lang w:val="uk-UA"/>
              </w:rPr>
            </w:pPr>
          </w:p>
        </w:tc>
        <w:tc>
          <w:tcPr>
            <w:tcW w:w="3685" w:type="dxa"/>
            <w:gridSpan w:val="3"/>
            <w:tcBorders>
              <w:bottom w:val="single" w:sz="4" w:space="0" w:color="auto"/>
              <w:right w:val="single" w:sz="4" w:space="0" w:color="auto"/>
            </w:tcBorders>
          </w:tcPr>
          <w:p w:rsidR="000B2B02" w:rsidRPr="007E0AF4" w:rsidRDefault="000B2B02" w:rsidP="00F34B87">
            <w:pPr>
              <w:pStyle w:val="a7"/>
              <w:ind w:left="-108"/>
              <w:jc w:val="center"/>
              <w:rPr>
                <w:b/>
                <w:sz w:val="22"/>
              </w:rPr>
            </w:pPr>
            <w:proofErr w:type="spellStart"/>
            <w:r w:rsidRPr="007E0AF4">
              <w:rPr>
                <w:b/>
                <w:sz w:val="22"/>
              </w:rPr>
              <w:t>Найменування</w:t>
            </w:r>
            <w:proofErr w:type="spellEnd"/>
            <w:r w:rsidRPr="007E0AF4">
              <w:rPr>
                <w:b/>
                <w:sz w:val="22"/>
              </w:rPr>
              <w:t xml:space="preserve"> </w:t>
            </w:r>
            <w:proofErr w:type="spellStart"/>
            <w:r w:rsidRPr="007E0AF4">
              <w:rPr>
                <w:b/>
                <w:sz w:val="22"/>
              </w:rPr>
              <w:t>показника</w:t>
            </w:r>
            <w:proofErr w:type="spellEnd"/>
          </w:p>
        </w:tc>
        <w:tc>
          <w:tcPr>
            <w:tcW w:w="1701" w:type="dxa"/>
            <w:tcBorders>
              <w:left w:val="single" w:sz="4" w:space="0" w:color="auto"/>
              <w:bottom w:val="single" w:sz="4" w:space="0" w:color="auto"/>
              <w:right w:val="single" w:sz="4" w:space="0" w:color="auto"/>
            </w:tcBorders>
          </w:tcPr>
          <w:p w:rsidR="000B2B02" w:rsidRPr="007E0AF4" w:rsidRDefault="000B2B02" w:rsidP="00F34B87">
            <w:pPr>
              <w:pStyle w:val="a7"/>
              <w:ind w:left="0"/>
              <w:jc w:val="center"/>
              <w:rPr>
                <w:b/>
                <w:sz w:val="22"/>
              </w:rPr>
            </w:pPr>
            <w:proofErr w:type="spellStart"/>
            <w:r w:rsidRPr="007E0AF4">
              <w:rPr>
                <w:b/>
                <w:sz w:val="22"/>
              </w:rPr>
              <w:t>Одиниця</w:t>
            </w:r>
            <w:proofErr w:type="spellEnd"/>
            <w:r w:rsidRPr="007E0AF4">
              <w:rPr>
                <w:b/>
                <w:sz w:val="22"/>
              </w:rPr>
              <w:t xml:space="preserve"> </w:t>
            </w:r>
            <w:proofErr w:type="spellStart"/>
            <w:r w:rsidRPr="007E0AF4">
              <w:rPr>
                <w:b/>
                <w:sz w:val="22"/>
              </w:rPr>
              <w:t>вимірювання</w:t>
            </w:r>
            <w:proofErr w:type="spellEnd"/>
          </w:p>
          <w:p w:rsidR="000B2B02" w:rsidRPr="007E0AF4" w:rsidRDefault="000B2B02" w:rsidP="00F34B87">
            <w:pPr>
              <w:pStyle w:val="a7"/>
              <w:ind w:left="0"/>
              <w:rPr>
                <w:b/>
                <w:sz w:val="22"/>
              </w:rPr>
            </w:pPr>
          </w:p>
        </w:tc>
        <w:tc>
          <w:tcPr>
            <w:tcW w:w="1559" w:type="dxa"/>
            <w:gridSpan w:val="2"/>
            <w:tcBorders>
              <w:left w:val="single" w:sz="4" w:space="0" w:color="auto"/>
              <w:bottom w:val="single" w:sz="4" w:space="0" w:color="auto"/>
            </w:tcBorders>
          </w:tcPr>
          <w:p w:rsidR="000B2B02" w:rsidRPr="007E0AF4" w:rsidRDefault="000B2B02" w:rsidP="00F34B87">
            <w:pPr>
              <w:pStyle w:val="a7"/>
              <w:ind w:left="0"/>
              <w:jc w:val="center"/>
              <w:rPr>
                <w:b/>
                <w:sz w:val="22"/>
              </w:rPr>
            </w:pPr>
            <w:proofErr w:type="spellStart"/>
            <w:r w:rsidRPr="007E0AF4">
              <w:rPr>
                <w:b/>
                <w:sz w:val="22"/>
              </w:rPr>
              <w:t>Прогнозне</w:t>
            </w:r>
            <w:proofErr w:type="spellEnd"/>
            <w:r w:rsidRPr="007E0AF4">
              <w:rPr>
                <w:b/>
                <w:sz w:val="22"/>
              </w:rPr>
              <w:t xml:space="preserve"> (</w:t>
            </w:r>
            <w:proofErr w:type="spellStart"/>
            <w:r w:rsidRPr="007E0AF4">
              <w:rPr>
                <w:b/>
                <w:sz w:val="22"/>
              </w:rPr>
              <w:t>цільове</w:t>
            </w:r>
            <w:proofErr w:type="spellEnd"/>
            <w:r w:rsidRPr="007E0AF4">
              <w:rPr>
                <w:b/>
                <w:sz w:val="22"/>
              </w:rPr>
              <w:t xml:space="preserve">) </w:t>
            </w:r>
            <w:proofErr w:type="spellStart"/>
            <w:r w:rsidRPr="007E0AF4">
              <w:rPr>
                <w:b/>
                <w:sz w:val="22"/>
              </w:rPr>
              <w:t>значення</w:t>
            </w:r>
            <w:proofErr w:type="spellEnd"/>
          </w:p>
        </w:tc>
      </w:tr>
      <w:tr w:rsidR="000B2B02" w:rsidRPr="007E0AF4" w:rsidTr="00F34B87">
        <w:trPr>
          <w:trHeight w:val="585"/>
        </w:trPr>
        <w:tc>
          <w:tcPr>
            <w:tcW w:w="2978" w:type="dxa"/>
            <w:vMerge/>
            <w:shd w:val="clear" w:color="auto" w:fill="C6D9F1" w:themeFill="text2" w:themeFillTint="33"/>
          </w:tcPr>
          <w:p w:rsidR="000B2B02" w:rsidRPr="007E0AF4" w:rsidRDefault="000B2B02" w:rsidP="00F34B87">
            <w:pPr>
              <w:pStyle w:val="a7"/>
              <w:ind w:left="0"/>
              <w:rPr>
                <w:b/>
                <w:sz w:val="22"/>
              </w:rPr>
            </w:pPr>
          </w:p>
        </w:tc>
        <w:tc>
          <w:tcPr>
            <w:tcW w:w="3685" w:type="dxa"/>
            <w:gridSpan w:val="3"/>
            <w:tcBorders>
              <w:top w:val="single" w:sz="4" w:space="0" w:color="auto"/>
              <w:bottom w:val="single" w:sz="4" w:space="0" w:color="auto"/>
              <w:right w:val="single" w:sz="4" w:space="0" w:color="auto"/>
            </w:tcBorders>
          </w:tcPr>
          <w:p w:rsidR="000B2B02" w:rsidRPr="007E0AF4" w:rsidRDefault="000B2B02" w:rsidP="00F34B87">
            <w:pPr>
              <w:pStyle w:val="a7"/>
              <w:ind w:left="0"/>
              <w:jc w:val="center"/>
              <w:rPr>
                <w:sz w:val="22"/>
              </w:rPr>
            </w:pPr>
            <w:proofErr w:type="spellStart"/>
            <w:r w:rsidRPr="007E0AF4">
              <w:rPr>
                <w:sz w:val="22"/>
              </w:rPr>
              <w:t>Кількість</w:t>
            </w:r>
            <w:proofErr w:type="spellEnd"/>
            <w:r w:rsidRPr="007E0AF4">
              <w:rPr>
                <w:sz w:val="22"/>
              </w:rPr>
              <w:t xml:space="preserve"> </w:t>
            </w:r>
            <w:proofErr w:type="spellStart"/>
            <w:r w:rsidRPr="007E0AF4">
              <w:rPr>
                <w:sz w:val="22"/>
              </w:rPr>
              <w:t>фізичних</w:t>
            </w:r>
            <w:proofErr w:type="spellEnd"/>
            <w:r w:rsidRPr="007E0AF4">
              <w:rPr>
                <w:sz w:val="22"/>
              </w:rPr>
              <w:t xml:space="preserve"> </w:t>
            </w:r>
            <w:proofErr w:type="spellStart"/>
            <w:r w:rsidRPr="007E0AF4">
              <w:rPr>
                <w:sz w:val="22"/>
              </w:rPr>
              <w:t>осіб</w:t>
            </w:r>
            <w:proofErr w:type="spellEnd"/>
            <w:r w:rsidRPr="007E0AF4">
              <w:rPr>
                <w:sz w:val="22"/>
              </w:rPr>
              <w:t xml:space="preserve">, </w:t>
            </w:r>
            <w:proofErr w:type="spellStart"/>
            <w:r w:rsidRPr="007E0AF4">
              <w:rPr>
                <w:sz w:val="22"/>
              </w:rPr>
              <w:t>які</w:t>
            </w:r>
            <w:proofErr w:type="spellEnd"/>
            <w:r w:rsidRPr="007E0AF4">
              <w:rPr>
                <w:sz w:val="22"/>
              </w:rPr>
              <w:t xml:space="preserve"> </w:t>
            </w:r>
            <w:proofErr w:type="spellStart"/>
            <w:r w:rsidRPr="007E0AF4">
              <w:rPr>
                <w:sz w:val="22"/>
              </w:rPr>
              <w:t>звернулись</w:t>
            </w:r>
            <w:proofErr w:type="spellEnd"/>
            <w:r w:rsidRPr="007E0AF4">
              <w:rPr>
                <w:sz w:val="22"/>
              </w:rPr>
              <w:t xml:space="preserve"> за </w:t>
            </w:r>
            <w:proofErr w:type="spellStart"/>
            <w:r w:rsidRPr="007E0AF4">
              <w:rPr>
                <w:sz w:val="22"/>
              </w:rPr>
              <w:t>послугами</w:t>
            </w:r>
            <w:proofErr w:type="spellEnd"/>
            <w:r w:rsidRPr="007E0AF4">
              <w:rPr>
                <w:sz w:val="22"/>
              </w:rPr>
              <w:t xml:space="preserve"> </w:t>
            </w:r>
            <w:proofErr w:type="spellStart"/>
            <w:proofErr w:type="gramStart"/>
            <w:r w:rsidRPr="007E0AF4">
              <w:rPr>
                <w:sz w:val="22"/>
              </w:rPr>
              <w:t>протягом</w:t>
            </w:r>
            <w:proofErr w:type="spellEnd"/>
            <w:r w:rsidRPr="007E0AF4">
              <w:rPr>
                <w:sz w:val="22"/>
              </w:rPr>
              <w:t xml:space="preserve">  року</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rsidR="000B2B02" w:rsidRPr="007E0AF4" w:rsidRDefault="000B2B02" w:rsidP="00F34B87">
            <w:pPr>
              <w:pStyle w:val="a7"/>
              <w:ind w:left="0"/>
              <w:jc w:val="center"/>
              <w:rPr>
                <w:sz w:val="22"/>
              </w:rPr>
            </w:pPr>
            <w:proofErr w:type="spellStart"/>
            <w:r w:rsidRPr="007E0AF4">
              <w:rPr>
                <w:sz w:val="22"/>
              </w:rPr>
              <w:t>осіб</w:t>
            </w:r>
            <w:proofErr w:type="spellEnd"/>
          </w:p>
        </w:tc>
        <w:tc>
          <w:tcPr>
            <w:tcW w:w="1559" w:type="dxa"/>
            <w:gridSpan w:val="2"/>
            <w:tcBorders>
              <w:top w:val="single" w:sz="4" w:space="0" w:color="auto"/>
              <w:left w:val="single" w:sz="4" w:space="0" w:color="auto"/>
              <w:bottom w:val="single" w:sz="4" w:space="0" w:color="auto"/>
            </w:tcBorders>
          </w:tcPr>
          <w:p w:rsidR="000B2B02" w:rsidRPr="007E0AF4" w:rsidRDefault="000B2B02" w:rsidP="00F34B87">
            <w:pPr>
              <w:pStyle w:val="a7"/>
              <w:ind w:left="0"/>
              <w:jc w:val="center"/>
              <w:rPr>
                <w:b/>
                <w:sz w:val="22"/>
              </w:rPr>
            </w:pPr>
            <w:r w:rsidRPr="007E0AF4">
              <w:rPr>
                <w:sz w:val="22"/>
              </w:rPr>
              <w:t>600</w:t>
            </w:r>
          </w:p>
        </w:tc>
      </w:tr>
      <w:tr w:rsidR="000B2B02" w:rsidRPr="007E0AF4" w:rsidTr="00F34B87">
        <w:trPr>
          <w:trHeight w:val="184"/>
        </w:trPr>
        <w:tc>
          <w:tcPr>
            <w:tcW w:w="2978" w:type="dxa"/>
            <w:vMerge/>
            <w:shd w:val="clear" w:color="auto" w:fill="C6D9F1" w:themeFill="text2" w:themeFillTint="33"/>
          </w:tcPr>
          <w:p w:rsidR="000B2B02" w:rsidRPr="007E0AF4" w:rsidRDefault="000B2B02" w:rsidP="00F34B87">
            <w:pPr>
              <w:pStyle w:val="a7"/>
              <w:ind w:left="0"/>
              <w:rPr>
                <w:b/>
                <w:sz w:val="22"/>
              </w:rPr>
            </w:pPr>
          </w:p>
        </w:tc>
        <w:tc>
          <w:tcPr>
            <w:tcW w:w="3685" w:type="dxa"/>
            <w:gridSpan w:val="3"/>
            <w:tcBorders>
              <w:top w:val="single" w:sz="4" w:space="0" w:color="auto"/>
              <w:bottom w:val="single" w:sz="4" w:space="0" w:color="auto"/>
              <w:right w:val="single" w:sz="4" w:space="0" w:color="auto"/>
            </w:tcBorders>
          </w:tcPr>
          <w:p w:rsidR="000B2B02" w:rsidRPr="007E0AF4" w:rsidRDefault="000B2B02" w:rsidP="00F34B87">
            <w:pPr>
              <w:pStyle w:val="a7"/>
              <w:ind w:left="0"/>
              <w:jc w:val="center"/>
              <w:rPr>
                <w:sz w:val="22"/>
              </w:rPr>
            </w:pPr>
            <w:proofErr w:type="spellStart"/>
            <w:r w:rsidRPr="007E0AF4">
              <w:rPr>
                <w:sz w:val="22"/>
              </w:rPr>
              <w:t>Кількість</w:t>
            </w:r>
            <w:proofErr w:type="spellEnd"/>
            <w:r w:rsidRPr="007E0AF4">
              <w:rPr>
                <w:sz w:val="22"/>
              </w:rPr>
              <w:t xml:space="preserve"> </w:t>
            </w:r>
            <w:proofErr w:type="spellStart"/>
            <w:r w:rsidRPr="007E0AF4">
              <w:rPr>
                <w:sz w:val="22"/>
              </w:rPr>
              <w:t>видів</w:t>
            </w:r>
            <w:proofErr w:type="spellEnd"/>
            <w:r w:rsidRPr="007E0AF4">
              <w:rPr>
                <w:sz w:val="22"/>
              </w:rPr>
              <w:t xml:space="preserve"> та </w:t>
            </w:r>
            <w:proofErr w:type="spellStart"/>
            <w:r w:rsidRPr="007E0AF4">
              <w:rPr>
                <w:sz w:val="22"/>
              </w:rPr>
              <w:t>типів</w:t>
            </w:r>
            <w:proofErr w:type="spellEnd"/>
            <w:r w:rsidRPr="007E0AF4">
              <w:rPr>
                <w:sz w:val="22"/>
              </w:rPr>
              <w:t xml:space="preserve"> </w:t>
            </w:r>
            <w:proofErr w:type="spellStart"/>
            <w:r w:rsidRPr="007E0AF4">
              <w:rPr>
                <w:sz w:val="22"/>
              </w:rPr>
              <w:t>послуг</w:t>
            </w:r>
            <w:proofErr w:type="spellEnd"/>
            <w:r w:rsidR="0019546B" w:rsidRPr="007E0AF4">
              <w:rPr>
                <w:sz w:val="22"/>
              </w:rPr>
              <w:t>,</w:t>
            </w:r>
            <w:r w:rsidRPr="007E0AF4">
              <w:rPr>
                <w:sz w:val="22"/>
              </w:rPr>
              <w:t xml:space="preserve"> </w:t>
            </w:r>
            <w:proofErr w:type="spellStart"/>
            <w:r w:rsidRPr="007E0AF4">
              <w:rPr>
                <w:sz w:val="22"/>
              </w:rPr>
              <w:t>наданих</w:t>
            </w:r>
            <w:proofErr w:type="spellEnd"/>
            <w:r w:rsidRPr="007E0AF4">
              <w:rPr>
                <w:sz w:val="22"/>
              </w:rPr>
              <w:t xml:space="preserve"> </w:t>
            </w:r>
            <w:proofErr w:type="spellStart"/>
            <w:r w:rsidRPr="007E0AF4">
              <w:rPr>
                <w:sz w:val="22"/>
              </w:rPr>
              <w:t>протягом</w:t>
            </w:r>
            <w:proofErr w:type="spellEnd"/>
            <w:r w:rsidRPr="007E0AF4">
              <w:rPr>
                <w:sz w:val="22"/>
              </w:rPr>
              <w:t xml:space="preserve"> одно </w:t>
            </w:r>
            <w:proofErr w:type="spellStart"/>
            <w:r w:rsidRPr="007E0AF4">
              <w:rPr>
                <w:sz w:val="22"/>
              </w:rPr>
              <w:t>робочого</w:t>
            </w:r>
            <w:proofErr w:type="spellEnd"/>
            <w:r w:rsidRPr="007E0AF4">
              <w:rPr>
                <w:sz w:val="22"/>
              </w:rPr>
              <w:t xml:space="preserve"> дня</w:t>
            </w:r>
          </w:p>
        </w:tc>
        <w:tc>
          <w:tcPr>
            <w:tcW w:w="1701" w:type="dxa"/>
            <w:tcBorders>
              <w:top w:val="single" w:sz="4" w:space="0" w:color="auto"/>
              <w:left w:val="single" w:sz="4" w:space="0" w:color="auto"/>
              <w:bottom w:val="single" w:sz="4" w:space="0" w:color="auto"/>
              <w:right w:val="single" w:sz="4" w:space="0" w:color="auto"/>
            </w:tcBorders>
            <w:vAlign w:val="center"/>
          </w:tcPr>
          <w:p w:rsidR="000B2B02" w:rsidRPr="007E0AF4" w:rsidRDefault="000B2B02" w:rsidP="00F34B87">
            <w:pPr>
              <w:pStyle w:val="a7"/>
              <w:ind w:left="0"/>
              <w:jc w:val="center"/>
              <w:rPr>
                <w:sz w:val="22"/>
              </w:rPr>
            </w:pPr>
            <w:proofErr w:type="spellStart"/>
            <w:r w:rsidRPr="007E0AF4">
              <w:rPr>
                <w:sz w:val="22"/>
              </w:rPr>
              <w:t>одиниць</w:t>
            </w:r>
            <w:proofErr w:type="spellEnd"/>
          </w:p>
        </w:tc>
        <w:tc>
          <w:tcPr>
            <w:tcW w:w="1559" w:type="dxa"/>
            <w:gridSpan w:val="2"/>
            <w:tcBorders>
              <w:top w:val="single" w:sz="4" w:space="0" w:color="auto"/>
              <w:left w:val="single" w:sz="4" w:space="0" w:color="auto"/>
              <w:bottom w:val="single" w:sz="4" w:space="0" w:color="auto"/>
            </w:tcBorders>
          </w:tcPr>
          <w:p w:rsidR="000B2B02" w:rsidRPr="007E0AF4" w:rsidRDefault="000B2B02" w:rsidP="00F34B87">
            <w:pPr>
              <w:pStyle w:val="a7"/>
              <w:ind w:left="0"/>
              <w:jc w:val="center"/>
              <w:rPr>
                <w:sz w:val="22"/>
              </w:rPr>
            </w:pPr>
            <w:r w:rsidRPr="007E0AF4">
              <w:rPr>
                <w:sz w:val="22"/>
              </w:rPr>
              <w:t>125</w:t>
            </w:r>
          </w:p>
        </w:tc>
      </w:tr>
      <w:tr w:rsidR="000B2B02" w:rsidRPr="007E0AF4" w:rsidTr="00F34B87">
        <w:trPr>
          <w:trHeight w:val="150"/>
        </w:trPr>
        <w:tc>
          <w:tcPr>
            <w:tcW w:w="2978" w:type="dxa"/>
            <w:vMerge/>
            <w:shd w:val="clear" w:color="auto" w:fill="C6D9F1" w:themeFill="text2" w:themeFillTint="33"/>
          </w:tcPr>
          <w:p w:rsidR="000B2B02" w:rsidRPr="007E0AF4" w:rsidRDefault="000B2B02" w:rsidP="00F34B87">
            <w:pPr>
              <w:pStyle w:val="a7"/>
              <w:ind w:left="0"/>
              <w:rPr>
                <w:b/>
                <w:sz w:val="22"/>
              </w:rPr>
            </w:pPr>
          </w:p>
        </w:tc>
        <w:tc>
          <w:tcPr>
            <w:tcW w:w="3685" w:type="dxa"/>
            <w:gridSpan w:val="3"/>
            <w:tcBorders>
              <w:top w:val="single" w:sz="4" w:space="0" w:color="auto"/>
              <w:right w:val="single" w:sz="4" w:space="0" w:color="auto"/>
            </w:tcBorders>
          </w:tcPr>
          <w:p w:rsidR="000B2B02" w:rsidRPr="007E0AF4" w:rsidRDefault="000B2B02" w:rsidP="00F34B87">
            <w:pPr>
              <w:pStyle w:val="a7"/>
              <w:ind w:left="0"/>
              <w:jc w:val="center"/>
              <w:rPr>
                <w:sz w:val="22"/>
              </w:rPr>
            </w:pPr>
            <w:proofErr w:type="spellStart"/>
            <w:r w:rsidRPr="007E0AF4">
              <w:rPr>
                <w:sz w:val="22"/>
              </w:rPr>
              <w:t>Термін</w:t>
            </w:r>
            <w:proofErr w:type="spellEnd"/>
            <w:r w:rsidRPr="007E0AF4">
              <w:rPr>
                <w:sz w:val="22"/>
              </w:rPr>
              <w:t xml:space="preserve"> </w:t>
            </w:r>
            <w:proofErr w:type="spellStart"/>
            <w:r w:rsidRPr="007E0AF4">
              <w:rPr>
                <w:sz w:val="22"/>
              </w:rPr>
              <w:t>надання</w:t>
            </w:r>
            <w:proofErr w:type="spellEnd"/>
            <w:r w:rsidRPr="007E0AF4">
              <w:rPr>
                <w:sz w:val="22"/>
              </w:rPr>
              <w:t xml:space="preserve"> </w:t>
            </w:r>
            <w:proofErr w:type="spellStart"/>
            <w:r w:rsidRPr="007E0AF4">
              <w:rPr>
                <w:sz w:val="22"/>
              </w:rPr>
              <w:t>послуги</w:t>
            </w:r>
            <w:proofErr w:type="spellEnd"/>
          </w:p>
        </w:tc>
        <w:tc>
          <w:tcPr>
            <w:tcW w:w="1701" w:type="dxa"/>
            <w:tcBorders>
              <w:top w:val="single" w:sz="4" w:space="0" w:color="auto"/>
              <w:left w:val="single" w:sz="4" w:space="0" w:color="auto"/>
              <w:right w:val="single" w:sz="4" w:space="0" w:color="auto"/>
            </w:tcBorders>
            <w:vAlign w:val="center"/>
          </w:tcPr>
          <w:p w:rsidR="000B2B02" w:rsidRPr="007E0AF4" w:rsidRDefault="000B2B02" w:rsidP="00F34B87">
            <w:pPr>
              <w:pStyle w:val="a7"/>
              <w:ind w:left="0"/>
              <w:jc w:val="center"/>
              <w:rPr>
                <w:sz w:val="22"/>
              </w:rPr>
            </w:pPr>
            <w:r w:rsidRPr="007E0AF4">
              <w:rPr>
                <w:sz w:val="22"/>
              </w:rPr>
              <w:t>день</w:t>
            </w:r>
          </w:p>
        </w:tc>
        <w:tc>
          <w:tcPr>
            <w:tcW w:w="1559" w:type="dxa"/>
            <w:gridSpan w:val="2"/>
            <w:tcBorders>
              <w:top w:val="single" w:sz="4" w:space="0" w:color="auto"/>
              <w:left w:val="single" w:sz="4" w:space="0" w:color="auto"/>
            </w:tcBorders>
          </w:tcPr>
          <w:p w:rsidR="000B2B02" w:rsidRPr="007E0AF4" w:rsidRDefault="000B2B02" w:rsidP="00F34B87">
            <w:pPr>
              <w:pStyle w:val="a7"/>
              <w:ind w:left="0"/>
              <w:jc w:val="center"/>
              <w:rPr>
                <w:sz w:val="22"/>
              </w:rPr>
            </w:pPr>
            <w:r w:rsidRPr="007E0AF4">
              <w:rPr>
                <w:sz w:val="22"/>
              </w:rPr>
              <w:t>365</w:t>
            </w:r>
          </w:p>
        </w:tc>
      </w:tr>
      <w:tr w:rsidR="000B2B02" w:rsidRPr="007E0AF4" w:rsidTr="00F34B87">
        <w:trPr>
          <w:trHeight w:val="150"/>
        </w:trPr>
        <w:tc>
          <w:tcPr>
            <w:tcW w:w="2978" w:type="dxa"/>
            <w:shd w:val="clear" w:color="auto" w:fill="C6D9F1" w:themeFill="text2" w:themeFillTint="33"/>
          </w:tcPr>
          <w:p w:rsidR="000B2B02" w:rsidRPr="007E0AF4" w:rsidRDefault="000B2B02" w:rsidP="00F34B87">
            <w:pPr>
              <w:pStyle w:val="a7"/>
              <w:ind w:left="0"/>
              <w:rPr>
                <w:b/>
                <w:sz w:val="22"/>
              </w:rPr>
            </w:pPr>
          </w:p>
        </w:tc>
        <w:tc>
          <w:tcPr>
            <w:tcW w:w="3685" w:type="dxa"/>
            <w:gridSpan w:val="3"/>
            <w:tcBorders>
              <w:top w:val="single" w:sz="4" w:space="0" w:color="auto"/>
              <w:right w:val="single" w:sz="4" w:space="0" w:color="auto"/>
            </w:tcBorders>
          </w:tcPr>
          <w:p w:rsidR="000B2B02" w:rsidRPr="007E0AF4" w:rsidRDefault="000B2B02" w:rsidP="0019546B">
            <w:pPr>
              <w:pStyle w:val="a7"/>
              <w:ind w:left="0"/>
              <w:jc w:val="center"/>
              <w:rPr>
                <w:sz w:val="22"/>
              </w:rPr>
            </w:pPr>
            <w:proofErr w:type="spellStart"/>
            <w:r w:rsidRPr="007E0AF4">
              <w:rPr>
                <w:sz w:val="22"/>
              </w:rPr>
              <w:t>Кількість</w:t>
            </w:r>
            <w:proofErr w:type="spellEnd"/>
            <w:r w:rsidRPr="007E0AF4">
              <w:rPr>
                <w:sz w:val="22"/>
              </w:rPr>
              <w:t xml:space="preserve"> </w:t>
            </w:r>
            <w:proofErr w:type="spellStart"/>
            <w:r w:rsidRPr="007E0AF4">
              <w:rPr>
                <w:sz w:val="22"/>
              </w:rPr>
              <w:t>населених</w:t>
            </w:r>
            <w:proofErr w:type="spellEnd"/>
            <w:r w:rsidRPr="007E0AF4">
              <w:rPr>
                <w:sz w:val="22"/>
              </w:rPr>
              <w:t xml:space="preserve"> </w:t>
            </w:r>
            <w:proofErr w:type="spellStart"/>
            <w:r w:rsidRPr="007E0AF4">
              <w:rPr>
                <w:sz w:val="22"/>
              </w:rPr>
              <w:t>пунктів</w:t>
            </w:r>
            <w:proofErr w:type="spellEnd"/>
            <w:r w:rsidRPr="007E0AF4">
              <w:rPr>
                <w:sz w:val="22"/>
              </w:rPr>
              <w:t xml:space="preserve">, </w:t>
            </w:r>
            <w:proofErr w:type="spellStart"/>
            <w:r w:rsidRPr="007E0AF4">
              <w:rPr>
                <w:sz w:val="22"/>
              </w:rPr>
              <w:t>як</w:t>
            </w:r>
            <w:r w:rsidR="0019546B" w:rsidRPr="007E0AF4">
              <w:rPr>
                <w:sz w:val="22"/>
              </w:rPr>
              <w:t>і</w:t>
            </w:r>
            <w:proofErr w:type="spellEnd"/>
            <w:r w:rsidRPr="007E0AF4">
              <w:rPr>
                <w:sz w:val="22"/>
              </w:rPr>
              <w:t xml:space="preserve"> </w:t>
            </w:r>
            <w:proofErr w:type="spellStart"/>
            <w:r w:rsidRPr="007E0AF4">
              <w:rPr>
                <w:sz w:val="22"/>
              </w:rPr>
              <w:t>обслуговує</w:t>
            </w:r>
            <w:proofErr w:type="spellEnd"/>
            <w:r w:rsidRPr="007E0AF4">
              <w:rPr>
                <w:sz w:val="22"/>
              </w:rPr>
              <w:t xml:space="preserve"> </w:t>
            </w:r>
            <w:r w:rsidR="0019546B" w:rsidRPr="007E0AF4">
              <w:rPr>
                <w:sz w:val="22"/>
              </w:rPr>
              <w:t>заклад</w:t>
            </w:r>
          </w:p>
        </w:tc>
        <w:tc>
          <w:tcPr>
            <w:tcW w:w="1701" w:type="dxa"/>
            <w:tcBorders>
              <w:top w:val="single" w:sz="4" w:space="0" w:color="auto"/>
              <w:left w:val="single" w:sz="4" w:space="0" w:color="auto"/>
              <w:right w:val="single" w:sz="4" w:space="0" w:color="auto"/>
            </w:tcBorders>
            <w:vAlign w:val="center"/>
          </w:tcPr>
          <w:p w:rsidR="000B2B02" w:rsidRPr="007E0AF4" w:rsidRDefault="000B2B02" w:rsidP="00F34B87">
            <w:pPr>
              <w:pStyle w:val="a7"/>
              <w:ind w:left="0"/>
              <w:jc w:val="center"/>
              <w:rPr>
                <w:sz w:val="22"/>
              </w:rPr>
            </w:pPr>
            <w:proofErr w:type="spellStart"/>
            <w:r w:rsidRPr="007E0AF4">
              <w:rPr>
                <w:sz w:val="22"/>
              </w:rPr>
              <w:t>одиниць</w:t>
            </w:r>
            <w:proofErr w:type="spellEnd"/>
          </w:p>
        </w:tc>
        <w:tc>
          <w:tcPr>
            <w:tcW w:w="1559" w:type="dxa"/>
            <w:gridSpan w:val="2"/>
            <w:tcBorders>
              <w:top w:val="single" w:sz="4" w:space="0" w:color="auto"/>
              <w:left w:val="single" w:sz="4" w:space="0" w:color="auto"/>
            </w:tcBorders>
          </w:tcPr>
          <w:p w:rsidR="000B2B02" w:rsidRPr="007E0AF4" w:rsidRDefault="000B2B02" w:rsidP="00F34B87">
            <w:pPr>
              <w:pStyle w:val="a7"/>
              <w:ind w:left="0"/>
              <w:jc w:val="center"/>
              <w:rPr>
                <w:sz w:val="22"/>
              </w:rPr>
            </w:pPr>
            <w:r w:rsidRPr="007E0AF4">
              <w:rPr>
                <w:sz w:val="22"/>
              </w:rPr>
              <w:t>20</w:t>
            </w:r>
          </w:p>
        </w:tc>
      </w:tr>
      <w:tr w:rsidR="000B2B02" w:rsidRPr="007E0AF4" w:rsidTr="00F34B87">
        <w:tc>
          <w:tcPr>
            <w:tcW w:w="2978" w:type="dxa"/>
            <w:shd w:val="clear" w:color="auto" w:fill="C6D9F1" w:themeFill="text2" w:themeFillTint="33"/>
          </w:tcPr>
          <w:p w:rsidR="000B2B02" w:rsidRPr="007E0AF4" w:rsidRDefault="000B2B02" w:rsidP="00F34B87">
            <w:pPr>
              <w:rPr>
                <w:b/>
                <w:sz w:val="22"/>
              </w:rPr>
            </w:pPr>
            <w:proofErr w:type="spellStart"/>
            <w:r w:rsidRPr="007E0AF4">
              <w:rPr>
                <w:b/>
                <w:sz w:val="22"/>
              </w:rPr>
              <w:t>Ключові</w:t>
            </w:r>
            <w:proofErr w:type="spellEnd"/>
            <w:r w:rsidRPr="007E0AF4">
              <w:rPr>
                <w:b/>
                <w:sz w:val="22"/>
              </w:rPr>
              <w:t xml:space="preserve"> заходи проекту: </w:t>
            </w:r>
          </w:p>
          <w:p w:rsidR="000B2B02" w:rsidRPr="007E0AF4" w:rsidRDefault="000B2B02" w:rsidP="00F34B87">
            <w:pPr>
              <w:pStyle w:val="a7"/>
              <w:ind w:left="0"/>
              <w:rPr>
                <w:b/>
                <w:sz w:val="22"/>
              </w:rPr>
            </w:pPr>
          </w:p>
        </w:tc>
        <w:tc>
          <w:tcPr>
            <w:tcW w:w="6945" w:type="dxa"/>
            <w:gridSpan w:val="6"/>
          </w:tcPr>
          <w:p w:rsidR="000B2B02" w:rsidRPr="007E0AF4" w:rsidRDefault="000B2B02" w:rsidP="00F34B87">
            <w:pPr>
              <w:pStyle w:val="a7"/>
              <w:ind w:left="0"/>
              <w:rPr>
                <w:sz w:val="22"/>
              </w:rPr>
            </w:pPr>
            <w:r w:rsidRPr="007E0AF4">
              <w:rPr>
                <w:sz w:val="22"/>
              </w:rPr>
              <w:t xml:space="preserve">- </w:t>
            </w:r>
            <w:proofErr w:type="spellStart"/>
            <w:r w:rsidRPr="007E0AF4">
              <w:rPr>
                <w:sz w:val="22"/>
              </w:rPr>
              <w:t>підбір</w:t>
            </w:r>
            <w:proofErr w:type="spellEnd"/>
            <w:r w:rsidRPr="007E0AF4">
              <w:rPr>
                <w:sz w:val="22"/>
              </w:rPr>
              <w:t xml:space="preserve"> </w:t>
            </w:r>
            <w:proofErr w:type="spellStart"/>
            <w:r w:rsidRPr="007E0AF4">
              <w:rPr>
                <w:sz w:val="22"/>
              </w:rPr>
              <w:t>ділянки</w:t>
            </w:r>
            <w:proofErr w:type="spellEnd"/>
            <w:r w:rsidRPr="007E0AF4">
              <w:rPr>
                <w:sz w:val="22"/>
              </w:rPr>
              <w:t xml:space="preserve"> для </w:t>
            </w:r>
            <w:proofErr w:type="spellStart"/>
            <w:r w:rsidRPr="007E0AF4">
              <w:rPr>
                <w:sz w:val="22"/>
              </w:rPr>
              <w:t>встановлення</w:t>
            </w:r>
            <w:proofErr w:type="spellEnd"/>
            <w:r w:rsidRPr="007E0AF4">
              <w:rPr>
                <w:sz w:val="22"/>
              </w:rPr>
              <w:t xml:space="preserve"> </w:t>
            </w:r>
            <w:proofErr w:type="spellStart"/>
            <w:r w:rsidRPr="007E0AF4">
              <w:rPr>
                <w:sz w:val="22"/>
              </w:rPr>
              <w:t>бомбосховища</w:t>
            </w:r>
            <w:proofErr w:type="spellEnd"/>
            <w:r w:rsidR="0019546B" w:rsidRPr="007E0AF4">
              <w:rPr>
                <w:sz w:val="22"/>
              </w:rPr>
              <w:t>;</w:t>
            </w:r>
          </w:p>
          <w:p w:rsidR="000B2B02" w:rsidRPr="007E0AF4" w:rsidRDefault="000B2B02" w:rsidP="00F34B87">
            <w:pPr>
              <w:pStyle w:val="a7"/>
              <w:ind w:left="0"/>
              <w:rPr>
                <w:sz w:val="22"/>
              </w:rPr>
            </w:pPr>
            <w:r w:rsidRPr="007E0AF4">
              <w:rPr>
                <w:sz w:val="22"/>
              </w:rPr>
              <w:lastRenderedPageBreak/>
              <w:t xml:space="preserve">- </w:t>
            </w:r>
            <w:proofErr w:type="spellStart"/>
            <w:r w:rsidRPr="007E0AF4">
              <w:rPr>
                <w:sz w:val="22"/>
              </w:rPr>
              <w:t>індивідуальне</w:t>
            </w:r>
            <w:proofErr w:type="spellEnd"/>
            <w:r w:rsidRPr="007E0AF4">
              <w:rPr>
                <w:sz w:val="22"/>
              </w:rPr>
              <w:t xml:space="preserve"> </w:t>
            </w:r>
            <w:proofErr w:type="spellStart"/>
            <w:r w:rsidRPr="007E0AF4">
              <w:rPr>
                <w:sz w:val="22"/>
              </w:rPr>
              <w:t>про</w:t>
            </w:r>
            <w:r w:rsidR="0019546B" w:rsidRPr="007E0AF4">
              <w:rPr>
                <w:sz w:val="22"/>
              </w:rPr>
              <w:t>є</w:t>
            </w:r>
            <w:r w:rsidRPr="007E0AF4">
              <w:rPr>
                <w:sz w:val="22"/>
              </w:rPr>
              <w:t>ктування</w:t>
            </w:r>
            <w:proofErr w:type="spellEnd"/>
            <w:r w:rsidRPr="007E0AF4">
              <w:rPr>
                <w:sz w:val="22"/>
              </w:rPr>
              <w:t xml:space="preserve">, яке </w:t>
            </w:r>
            <w:proofErr w:type="spellStart"/>
            <w:r w:rsidRPr="007E0AF4">
              <w:rPr>
                <w:sz w:val="22"/>
              </w:rPr>
              <w:t>враховує</w:t>
            </w:r>
            <w:proofErr w:type="spellEnd"/>
            <w:r w:rsidRPr="007E0AF4">
              <w:rPr>
                <w:sz w:val="22"/>
              </w:rPr>
              <w:t xml:space="preserve"> </w:t>
            </w:r>
            <w:proofErr w:type="spellStart"/>
            <w:r w:rsidRPr="007E0AF4">
              <w:rPr>
                <w:sz w:val="22"/>
              </w:rPr>
              <w:t>експертизу</w:t>
            </w:r>
            <w:proofErr w:type="spellEnd"/>
            <w:r w:rsidRPr="007E0AF4">
              <w:rPr>
                <w:sz w:val="22"/>
              </w:rPr>
              <w:t xml:space="preserve"> </w:t>
            </w:r>
            <w:proofErr w:type="spellStart"/>
            <w:r w:rsidRPr="007E0AF4">
              <w:rPr>
                <w:sz w:val="22"/>
              </w:rPr>
              <w:t>земельної</w:t>
            </w:r>
            <w:proofErr w:type="spellEnd"/>
            <w:r w:rsidRPr="007E0AF4">
              <w:rPr>
                <w:sz w:val="22"/>
              </w:rPr>
              <w:t xml:space="preserve"> </w:t>
            </w:r>
            <w:proofErr w:type="spellStart"/>
            <w:r w:rsidRPr="007E0AF4">
              <w:rPr>
                <w:sz w:val="22"/>
              </w:rPr>
              <w:t>ділянки</w:t>
            </w:r>
            <w:proofErr w:type="spellEnd"/>
            <w:r w:rsidRPr="007E0AF4">
              <w:rPr>
                <w:sz w:val="22"/>
              </w:rPr>
              <w:t xml:space="preserve"> та </w:t>
            </w:r>
            <w:proofErr w:type="spellStart"/>
            <w:r w:rsidRPr="007E0AF4">
              <w:rPr>
                <w:sz w:val="22"/>
              </w:rPr>
              <w:t>дослідження</w:t>
            </w:r>
            <w:proofErr w:type="spellEnd"/>
            <w:r w:rsidRPr="007E0AF4">
              <w:rPr>
                <w:sz w:val="22"/>
              </w:rPr>
              <w:t xml:space="preserve"> води, </w:t>
            </w:r>
            <w:proofErr w:type="spellStart"/>
            <w:r w:rsidRPr="007E0AF4">
              <w:rPr>
                <w:sz w:val="22"/>
              </w:rPr>
              <w:t>комфортабельність</w:t>
            </w:r>
            <w:proofErr w:type="spellEnd"/>
            <w:r w:rsidRPr="007E0AF4">
              <w:rPr>
                <w:sz w:val="22"/>
              </w:rPr>
              <w:t xml:space="preserve">, </w:t>
            </w:r>
            <w:proofErr w:type="spellStart"/>
            <w:r w:rsidRPr="007E0AF4">
              <w:rPr>
                <w:sz w:val="22"/>
              </w:rPr>
              <w:t>рельєф</w:t>
            </w:r>
            <w:proofErr w:type="spellEnd"/>
            <w:r w:rsidRPr="007E0AF4">
              <w:rPr>
                <w:sz w:val="22"/>
              </w:rPr>
              <w:t xml:space="preserve">, </w:t>
            </w:r>
            <w:proofErr w:type="spellStart"/>
            <w:r w:rsidRPr="007E0AF4">
              <w:rPr>
                <w:sz w:val="22"/>
              </w:rPr>
              <w:t>кількість</w:t>
            </w:r>
            <w:proofErr w:type="spellEnd"/>
            <w:r w:rsidRPr="007E0AF4">
              <w:rPr>
                <w:sz w:val="22"/>
              </w:rPr>
              <w:t xml:space="preserve"> </w:t>
            </w:r>
            <w:proofErr w:type="spellStart"/>
            <w:r w:rsidRPr="007E0AF4">
              <w:rPr>
                <w:sz w:val="22"/>
              </w:rPr>
              <w:t>осіб</w:t>
            </w:r>
            <w:proofErr w:type="spellEnd"/>
            <w:r w:rsidRPr="007E0AF4">
              <w:rPr>
                <w:sz w:val="22"/>
              </w:rPr>
              <w:t xml:space="preserve">, час </w:t>
            </w:r>
            <w:proofErr w:type="spellStart"/>
            <w:r w:rsidRPr="007E0AF4">
              <w:rPr>
                <w:sz w:val="22"/>
              </w:rPr>
              <w:t>перебування</w:t>
            </w:r>
            <w:proofErr w:type="spellEnd"/>
            <w:r w:rsidRPr="007E0AF4">
              <w:rPr>
                <w:sz w:val="22"/>
              </w:rPr>
              <w:t xml:space="preserve"> (</w:t>
            </w:r>
            <w:proofErr w:type="spellStart"/>
            <w:r w:rsidRPr="007E0AF4">
              <w:rPr>
                <w:sz w:val="22"/>
              </w:rPr>
              <w:t>короткострокового</w:t>
            </w:r>
            <w:proofErr w:type="spellEnd"/>
            <w:r w:rsidRPr="007E0AF4">
              <w:rPr>
                <w:sz w:val="22"/>
              </w:rPr>
              <w:t xml:space="preserve"> та </w:t>
            </w:r>
            <w:proofErr w:type="spellStart"/>
            <w:r w:rsidRPr="007E0AF4">
              <w:rPr>
                <w:sz w:val="22"/>
              </w:rPr>
              <w:t>довгострокового</w:t>
            </w:r>
            <w:proofErr w:type="spellEnd"/>
            <w:r w:rsidRPr="007E0AF4">
              <w:rPr>
                <w:sz w:val="22"/>
              </w:rPr>
              <w:t xml:space="preserve">), </w:t>
            </w:r>
            <w:proofErr w:type="spellStart"/>
            <w:r w:rsidRPr="007E0AF4">
              <w:rPr>
                <w:sz w:val="22"/>
              </w:rPr>
              <w:t>внутрішні</w:t>
            </w:r>
            <w:proofErr w:type="spellEnd"/>
            <w:r w:rsidRPr="007E0AF4">
              <w:rPr>
                <w:sz w:val="22"/>
              </w:rPr>
              <w:t xml:space="preserve"> та </w:t>
            </w:r>
            <w:proofErr w:type="spellStart"/>
            <w:r w:rsidRPr="007E0AF4">
              <w:rPr>
                <w:sz w:val="22"/>
              </w:rPr>
              <w:t>зовнішні</w:t>
            </w:r>
            <w:proofErr w:type="spellEnd"/>
            <w:r w:rsidRPr="007E0AF4">
              <w:rPr>
                <w:sz w:val="22"/>
              </w:rPr>
              <w:t xml:space="preserve"> </w:t>
            </w:r>
            <w:proofErr w:type="spellStart"/>
            <w:r w:rsidRPr="007E0AF4">
              <w:rPr>
                <w:sz w:val="22"/>
              </w:rPr>
              <w:t>розміри</w:t>
            </w:r>
            <w:proofErr w:type="spellEnd"/>
            <w:r w:rsidRPr="007E0AF4">
              <w:rPr>
                <w:sz w:val="22"/>
              </w:rPr>
              <w:t xml:space="preserve">, </w:t>
            </w:r>
            <w:proofErr w:type="spellStart"/>
            <w:r w:rsidRPr="007E0AF4">
              <w:rPr>
                <w:sz w:val="22"/>
              </w:rPr>
              <w:t>системи</w:t>
            </w:r>
            <w:proofErr w:type="spellEnd"/>
            <w:r w:rsidRPr="007E0AF4">
              <w:rPr>
                <w:sz w:val="22"/>
              </w:rPr>
              <w:t xml:space="preserve"> </w:t>
            </w:r>
            <w:proofErr w:type="spellStart"/>
            <w:r w:rsidRPr="007E0AF4">
              <w:rPr>
                <w:sz w:val="22"/>
              </w:rPr>
              <w:t>життєзабезпечення</w:t>
            </w:r>
            <w:proofErr w:type="spellEnd"/>
            <w:r w:rsidRPr="007E0AF4">
              <w:rPr>
                <w:sz w:val="22"/>
              </w:rPr>
              <w:t xml:space="preserve"> бункера, </w:t>
            </w:r>
            <w:proofErr w:type="spellStart"/>
            <w:r w:rsidRPr="007E0AF4">
              <w:rPr>
                <w:sz w:val="22"/>
              </w:rPr>
              <w:t>технічні</w:t>
            </w:r>
            <w:proofErr w:type="spellEnd"/>
            <w:r w:rsidRPr="007E0AF4">
              <w:rPr>
                <w:sz w:val="22"/>
              </w:rPr>
              <w:t xml:space="preserve"> </w:t>
            </w:r>
            <w:proofErr w:type="spellStart"/>
            <w:r w:rsidRPr="007E0AF4">
              <w:rPr>
                <w:sz w:val="22"/>
              </w:rPr>
              <w:t>подробиці</w:t>
            </w:r>
            <w:proofErr w:type="spellEnd"/>
            <w:r w:rsidRPr="007E0AF4">
              <w:rPr>
                <w:sz w:val="22"/>
              </w:rPr>
              <w:t xml:space="preserve"> </w:t>
            </w:r>
            <w:proofErr w:type="spellStart"/>
            <w:r w:rsidRPr="007E0AF4">
              <w:rPr>
                <w:sz w:val="22"/>
              </w:rPr>
              <w:t>тощо</w:t>
            </w:r>
            <w:proofErr w:type="spellEnd"/>
            <w:r w:rsidR="0019546B" w:rsidRPr="007E0AF4">
              <w:rPr>
                <w:sz w:val="22"/>
              </w:rPr>
              <w:t>;</w:t>
            </w:r>
            <w:r w:rsidRPr="007E0AF4">
              <w:rPr>
                <w:sz w:val="22"/>
              </w:rPr>
              <w:t xml:space="preserve"> </w:t>
            </w:r>
          </w:p>
          <w:p w:rsidR="000B2B02" w:rsidRPr="007E0AF4" w:rsidRDefault="000B2B02" w:rsidP="00F34B87">
            <w:pPr>
              <w:pStyle w:val="a7"/>
              <w:ind w:left="0"/>
              <w:rPr>
                <w:sz w:val="22"/>
              </w:rPr>
            </w:pPr>
            <w:r w:rsidRPr="007E0AF4">
              <w:rPr>
                <w:sz w:val="22"/>
              </w:rPr>
              <w:t xml:space="preserve">- </w:t>
            </w:r>
            <w:proofErr w:type="spellStart"/>
            <w:r w:rsidRPr="007E0AF4">
              <w:rPr>
                <w:sz w:val="22"/>
              </w:rPr>
              <w:t>підготовка</w:t>
            </w:r>
            <w:proofErr w:type="spellEnd"/>
            <w:r w:rsidRPr="007E0AF4">
              <w:rPr>
                <w:sz w:val="22"/>
              </w:rPr>
              <w:t xml:space="preserve"> </w:t>
            </w:r>
            <w:proofErr w:type="spellStart"/>
            <w:r w:rsidRPr="007E0AF4">
              <w:rPr>
                <w:sz w:val="22"/>
              </w:rPr>
              <w:t>проєктно-кошторисної</w:t>
            </w:r>
            <w:proofErr w:type="spellEnd"/>
            <w:r w:rsidRPr="007E0AF4">
              <w:rPr>
                <w:sz w:val="22"/>
              </w:rPr>
              <w:t xml:space="preserve"> </w:t>
            </w:r>
            <w:proofErr w:type="spellStart"/>
            <w:r w:rsidRPr="007E0AF4">
              <w:rPr>
                <w:sz w:val="22"/>
              </w:rPr>
              <w:t>документації</w:t>
            </w:r>
            <w:proofErr w:type="spellEnd"/>
            <w:r w:rsidRPr="007E0AF4">
              <w:rPr>
                <w:sz w:val="22"/>
              </w:rPr>
              <w:t>;</w:t>
            </w:r>
          </w:p>
          <w:p w:rsidR="000B2B02" w:rsidRPr="007E0AF4" w:rsidRDefault="000B2B02" w:rsidP="00F34B87">
            <w:pPr>
              <w:pStyle w:val="a7"/>
              <w:ind w:left="0"/>
              <w:rPr>
                <w:sz w:val="22"/>
              </w:rPr>
            </w:pPr>
            <w:r w:rsidRPr="007E0AF4">
              <w:rPr>
                <w:sz w:val="22"/>
              </w:rPr>
              <w:t xml:space="preserve"> - </w:t>
            </w:r>
            <w:proofErr w:type="spellStart"/>
            <w:r w:rsidRPr="007E0AF4">
              <w:rPr>
                <w:sz w:val="22"/>
              </w:rPr>
              <w:t>придбання</w:t>
            </w:r>
            <w:proofErr w:type="spellEnd"/>
            <w:r w:rsidRPr="007E0AF4">
              <w:rPr>
                <w:sz w:val="22"/>
              </w:rPr>
              <w:t xml:space="preserve"> </w:t>
            </w:r>
            <w:proofErr w:type="spellStart"/>
            <w:r w:rsidRPr="007E0AF4">
              <w:rPr>
                <w:sz w:val="22"/>
              </w:rPr>
              <w:t>технічного</w:t>
            </w:r>
            <w:proofErr w:type="spellEnd"/>
            <w:r w:rsidRPr="007E0AF4">
              <w:rPr>
                <w:sz w:val="22"/>
              </w:rPr>
              <w:t xml:space="preserve"> </w:t>
            </w:r>
            <w:proofErr w:type="spellStart"/>
            <w:r w:rsidRPr="007E0AF4">
              <w:rPr>
                <w:sz w:val="22"/>
              </w:rPr>
              <w:t>забезпечення</w:t>
            </w:r>
            <w:proofErr w:type="spellEnd"/>
            <w:r w:rsidRPr="007E0AF4">
              <w:rPr>
                <w:sz w:val="22"/>
              </w:rPr>
              <w:t>;</w:t>
            </w:r>
          </w:p>
          <w:p w:rsidR="000B2B02" w:rsidRPr="007E0AF4" w:rsidRDefault="000B2B02" w:rsidP="00F34B87">
            <w:pPr>
              <w:pStyle w:val="a7"/>
              <w:ind w:left="0"/>
              <w:rPr>
                <w:sz w:val="22"/>
              </w:rPr>
            </w:pPr>
            <w:r w:rsidRPr="007E0AF4">
              <w:rPr>
                <w:sz w:val="22"/>
              </w:rPr>
              <w:t xml:space="preserve">- </w:t>
            </w:r>
            <w:proofErr w:type="spellStart"/>
            <w:r w:rsidRPr="007E0AF4">
              <w:rPr>
                <w:sz w:val="22"/>
              </w:rPr>
              <w:t>придбання</w:t>
            </w:r>
            <w:proofErr w:type="spellEnd"/>
            <w:r w:rsidRPr="007E0AF4">
              <w:rPr>
                <w:sz w:val="22"/>
              </w:rPr>
              <w:t xml:space="preserve"> </w:t>
            </w:r>
            <w:proofErr w:type="spellStart"/>
            <w:r w:rsidRPr="007E0AF4">
              <w:rPr>
                <w:sz w:val="22"/>
              </w:rPr>
              <w:t>технологічного</w:t>
            </w:r>
            <w:proofErr w:type="spellEnd"/>
            <w:r w:rsidRPr="007E0AF4">
              <w:rPr>
                <w:sz w:val="22"/>
              </w:rPr>
              <w:t xml:space="preserve"> </w:t>
            </w:r>
            <w:proofErr w:type="spellStart"/>
            <w:r w:rsidRPr="007E0AF4">
              <w:rPr>
                <w:sz w:val="22"/>
              </w:rPr>
              <w:t>забезпечення</w:t>
            </w:r>
            <w:proofErr w:type="spellEnd"/>
            <w:r w:rsidRPr="007E0AF4">
              <w:rPr>
                <w:sz w:val="22"/>
              </w:rPr>
              <w:t>;</w:t>
            </w:r>
          </w:p>
          <w:p w:rsidR="000B2B02" w:rsidRPr="007E0AF4" w:rsidRDefault="000B2B02" w:rsidP="00F34B87">
            <w:pPr>
              <w:pStyle w:val="a7"/>
              <w:ind w:left="0"/>
              <w:rPr>
                <w:sz w:val="22"/>
              </w:rPr>
            </w:pPr>
            <w:r w:rsidRPr="007E0AF4">
              <w:rPr>
                <w:sz w:val="22"/>
              </w:rPr>
              <w:t xml:space="preserve">- </w:t>
            </w:r>
            <w:proofErr w:type="spellStart"/>
            <w:r w:rsidRPr="007E0AF4">
              <w:rPr>
                <w:sz w:val="22"/>
              </w:rPr>
              <w:t>будівництво</w:t>
            </w:r>
            <w:proofErr w:type="spellEnd"/>
            <w:r w:rsidRPr="007E0AF4">
              <w:rPr>
                <w:sz w:val="22"/>
              </w:rPr>
              <w:t xml:space="preserve"> </w:t>
            </w:r>
            <w:proofErr w:type="spellStart"/>
            <w:r w:rsidRPr="007E0AF4">
              <w:rPr>
                <w:sz w:val="22"/>
              </w:rPr>
              <w:t>бомбосховища</w:t>
            </w:r>
            <w:proofErr w:type="spellEnd"/>
            <w:r w:rsidRPr="007E0AF4">
              <w:rPr>
                <w:sz w:val="22"/>
              </w:rPr>
              <w:t>;</w:t>
            </w:r>
          </w:p>
          <w:p w:rsidR="000B2B02" w:rsidRPr="007E0AF4" w:rsidRDefault="000B2B02" w:rsidP="00F34B87">
            <w:pPr>
              <w:pStyle w:val="a7"/>
              <w:ind w:left="0"/>
              <w:rPr>
                <w:sz w:val="22"/>
              </w:rPr>
            </w:pPr>
            <w:r w:rsidRPr="007E0AF4">
              <w:rPr>
                <w:sz w:val="22"/>
              </w:rPr>
              <w:t xml:space="preserve">  - </w:t>
            </w:r>
            <w:proofErr w:type="spellStart"/>
            <w:r w:rsidRPr="007E0AF4">
              <w:rPr>
                <w:sz w:val="22"/>
              </w:rPr>
              <w:t>організація</w:t>
            </w:r>
            <w:proofErr w:type="spellEnd"/>
            <w:r w:rsidRPr="007E0AF4">
              <w:rPr>
                <w:sz w:val="22"/>
              </w:rPr>
              <w:t xml:space="preserve"> та початок </w:t>
            </w:r>
            <w:proofErr w:type="spellStart"/>
            <w:r w:rsidRPr="007E0AF4">
              <w:rPr>
                <w:sz w:val="22"/>
              </w:rPr>
              <w:t>робочого</w:t>
            </w:r>
            <w:proofErr w:type="spellEnd"/>
            <w:r w:rsidRPr="007E0AF4">
              <w:rPr>
                <w:sz w:val="22"/>
              </w:rPr>
              <w:t xml:space="preserve"> </w:t>
            </w:r>
            <w:proofErr w:type="spellStart"/>
            <w:r w:rsidRPr="007E0AF4">
              <w:rPr>
                <w:sz w:val="22"/>
              </w:rPr>
              <w:t>процесу</w:t>
            </w:r>
            <w:proofErr w:type="spellEnd"/>
            <w:r w:rsidRPr="007E0AF4">
              <w:rPr>
                <w:sz w:val="22"/>
              </w:rPr>
              <w:t>.</w:t>
            </w:r>
          </w:p>
        </w:tc>
      </w:tr>
      <w:tr w:rsidR="000B2B02" w:rsidRPr="007E0AF4" w:rsidTr="00F34B87">
        <w:trPr>
          <w:trHeight w:val="360"/>
        </w:trPr>
        <w:tc>
          <w:tcPr>
            <w:tcW w:w="2978" w:type="dxa"/>
            <w:vMerge w:val="restart"/>
            <w:shd w:val="clear" w:color="auto" w:fill="C6D9F1" w:themeFill="text2" w:themeFillTint="33"/>
          </w:tcPr>
          <w:p w:rsidR="000B2B02" w:rsidRPr="007E0AF4" w:rsidRDefault="000B2B02" w:rsidP="00F34B87">
            <w:pPr>
              <w:pStyle w:val="a7"/>
              <w:ind w:left="0"/>
              <w:rPr>
                <w:b/>
                <w:sz w:val="22"/>
              </w:rPr>
            </w:pPr>
            <w:proofErr w:type="spellStart"/>
            <w:r w:rsidRPr="007E0AF4">
              <w:rPr>
                <w:b/>
                <w:sz w:val="22"/>
              </w:rPr>
              <w:lastRenderedPageBreak/>
              <w:t>Орієнтовний</w:t>
            </w:r>
            <w:proofErr w:type="spellEnd"/>
            <w:r w:rsidRPr="007E0AF4">
              <w:rPr>
                <w:b/>
                <w:sz w:val="22"/>
              </w:rPr>
              <w:t xml:space="preserve"> </w:t>
            </w:r>
            <w:proofErr w:type="spellStart"/>
            <w:r w:rsidRPr="007E0AF4">
              <w:rPr>
                <w:b/>
                <w:sz w:val="22"/>
              </w:rPr>
              <w:t>обсяг</w:t>
            </w:r>
            <w:proofErr w:type="spellEnd"/>
            <w:r w:rsidRPr="007E0AF4">
              <w:rPr>
                <w:b/>
                <w:sz w:val="22"/>
              </w:rPr>
              <w:t xml:space="preserve"> та </w:t>
            </w:r>
            <w:proofErr w:type="spellStart"/>
            <w:r w:rsidRPr="007E0AF4">
              <w:rPr>
                <w:b/>
                <w:sz w:val="22"/>
              </w:rPr>
              <w:t>джерела</w:t>
            </w:r>
            <w:proofErr w:type="spellEnd"/>
            <w:r w:rsidRPr="007E0AF4">
              <w:rPr>
                <w:b/>
                <w:sz w:val="22"/>
              </w:rPr>
              <w:t xml:space="preserve"> </w:t>
            </w:r>
            <w:proofErr w:type="spellStart"/>
            <w:r w:rsidRPr="007E0AF4">
              <w:rPr>
                <w:b/>
                <w:sz w:val="22"/>
              </w:rPr>
              <w:t>фінансування</w:t>
            </w:r>
            <w:proofErr w:type="spellEnd"/>
            <w:r w:rsidRPr="007E0AF4">
              <w:rPr>
                <w:b/>
                <w:sz w:val="22"/>
              </w:rPr>
              <w:t xml:space="preserve">, тис. грн. </w:t>
            </w:r>
          </w:p>
          <w:p w:rsidR="000B2B02" w:rsidRPr="007E0AF4" w:rsidRDefault="000B2B02" w:rsidP="00F34B87">
            <w:pPr>
              <w:pStyle w:val="a7"/>
              <w:ind w:left="0"/>
              <w:rPr>
                <w:b/>
                <w:sz w:val="22"/>
              </w:rPr>
            </w:pPr>
          </w:p>
        </w:tc>
        <w:tc>
          <w:tcPr>
            <w:tcW w:w="1275" w:type="dxa"/>
            <w:tcBorders>
              <w:bottom w:val="single" w:sz="4" w:space="0" w:color="auto"/>
              <w:right w:val="single" w:sz="4" w:space="0" w:color="auto"/>
            </w:tcBorders>
          </w:tcPr>
          <w:p w:rsidR="000B2B02" w:rsidRPr="007E0AF4" w:rsidRDefault="000B2B02" w:rsidP="00F34B87">
            <w:pPr>
              <w:pStyle w:val="a7"/>
              <w:ind w:left="0"/>
              <w:jc w:val="center"/>
              <w:rPr>
                <w:b/>
                <w:sz w:val="22"/>
              </w:rPr>
            </w:pPr>
            <w:proofErr w:type="spellStart"/>
            <w:r w:rsidRPr="007E0AF4">
              <w:rPr>
                <w:b/>
                <w:sz w:val="22"/>
              </w:rPr>
              <w:t>Державний</w:t>
            </w:r>
            <w:proofErr w:type="spellEnd"/>
            <w:r w:rsidRPr="007E0AF4">
              <w:rPr>
                <w:b/>
                <w:sz w:val="22"/>
              </w:rPr>
              <w:t xml:space="preserve"> бюджет</w:t>
            </w:r>
          </w:p>
        </w:tc>
        <w:tc>
          <w:tcPr>
            <w:tcW w:w="1418" w:type="dxa"/>
            <w:tcBorders>
              <w:bottom w:val="single" w:sz="4" w:space="0" w:color="auto"/>
              <w:right w:val="single" w:sz="4" w:space="0" w:color="auto"/>
            </w:tcBorders>
          </w:tcPr>
          <w:p w:rsidR="000B2B02" w:rsidRPr="007E0AF4" w:rsidRDefault="000B2B02" w:rsidP="00F34B87">
            <w:pPr>
              <w:pStyle w:val="a7"/>
              <w:ind w:left="0"/>
              <w:jc w:val="center"/>
              <w:rPr>
                <w:b/>
                <w:sz w:val="22"/>
              </w:rPr>
            </w:pPr>
            <w:proofErr w:type="spellStart"/>
            <w:r w:rsidRPr="007E0AF4">
              <w:rPr>
                <w:b/>
                <w:sz w:val="22"/>
              </w:rPr>
              <w:t>Місцевий</w:t>
            </w:r>
            <w:proofErr w:type="spellEnd"/>
            <w:r w:rsidRPr="007E0AF4">
              <w:rPr>
                <w:b/>
                <w:sz w:val="22"/>
              </w:rPr>
              <w:t xml:space="preserve"> бюджет</w:t>
            </w:r>
          </w:p>
        </w:tc>
        <w:tc>
          <w:tcPr>
            <w:tcW w:w="3118" w:type="dxa"/>
            <w:gridSpan w:val="3"/>
            <w:tcBorders>
              <w:left w:val="single" w:sz="4" w:space="0" w:color="auto"/>
              <w:bottom w:val="single" w:sz="4" w:space="0" w:color="auto"/>
              <w:right w:val="single" w:sz="4" w:space="0" w:color="auto"/>
            </w:tcBorders>
          </w:tcPr>
          <w:p w:rsidR="000B2B02" w:rsidRPr="007E0AF4" w:rsidRDefault="000B2B02" w:rsidP="00F34B87">
            <w:pPr>
              <w:pStyle w:val="a7"/>
              <w:ind w:left="0"/>
              <w:jc w:val="center"/>
              <w:rPr>
                <w:b/>
                <w:sz w:val="22"/>
              </w:rPr>
            </w:pPr>
            <w:proofErr w:type="spellStart"/>
            <w:r w:rsidRPr="007E0AF4">
              <w:rPr>
                <w:b/>
                <w:sz w:val="22"/>
              </w:rPr>
              <w:t>Інші</w:t>
            </w:r>
            <w:proofErr w:type="spellEnd"/>
            <w:r w:rsidRPr="007E0AF4">
              <w:rPr>
                <w:b/>
                <w:sz w:val="22"/>
              </w:rPr>
              <w:t xml:space="preserve"> </w:t>
            </w:r>
            <w:proofErr w:type="spellStart"/>
            <w:r w:rsidRPr="007E0AF4">
              <w:rPr>
                <w:b/>
                <w:sz w:val="22"/>
              </w:rPr>
              <w:t>джерела</w:t>
            </w:r>
            <w:proofErr w:type="spellEnd"/>
          </w:p>
        </w:tc>
        <w:tc>
          <w:tcPr>
            <w:tcW w:w="1134" w:type="dxa"/>
            <w:tcBorders>
              <w:left w:val="single" w:sz="4" w:space="0" w:color="auto"/>
              <w:bottom w:val="single" w:sz="4" w:space="0" w:color="auto"/>
            </w:tcBorders>
          </w:tcPr>
          <w:p w:rsidR="000B2B02" w:rsidRPr="007E0AF4" w:rsidRDefault="000B2B02" w:rsidP="00F34B87">
            <w:pPr>
              <w:pStyle w:val="a7"/>
              <w:ind w:left="0"/>
              <w:jc w:val="center"/>
              <w:rPr>
                <w:b/>
                <w:sz w:val="22"/>
              </w:rPr>
            </w:pPr>
            <w:proofErr w:type="spellStart"/>
            <w:r w:rsidRPr="007E0AF4">
              <w:rPr>
                <w:b/>
                <w:sz w:val="22"/>
              </w:rPr>
              <w:t>Всього</w:t>
            </w:r>
            <w:proofErr w:type="spellEnd"/>
          </w:p>
        </w:tc>
      </w:tr>
      <w:tr w:rsidR="000B2B02" w:rsidRPr="007E0AF4" w:rsidTr="00F34B87">
        <w:trPr>
          <w:trHeight w:val="225"/>
        </w:trPr>
        <w:tc>
          <w:tcPr>
            <w:tcW w:w="2978" w:type="dxa"/>
            <w:vMerge/>
            <w:shd w:val="clear" w:color="auto" w:fill="C6D9F1" w:themeFill="text2" w:themeFillTint="33"/>
          </w:tcPr>
          <w:p w:rsidR="000B2B02" w:rsidRPr="007E0AF4" w:rsidRDefault="000B2B02" w:rsidP="00F34B87">
            <w:pPr>
              <w:pStyle w:val="a7"/>
              <w:ind w:left="0"/>
              <w:rPr>
                <w:b/>
                <w:sz w:val="22"/>
              </w:rPr>
            </w:pPr>
          </w:p>
        </w:tc>
        <w:tc>
          <w:tcPr>
            <w:tcW w:w="1275" w:type="dxa"/>
            <w:vMerge w:val="restart"/>
            <w:tcBorders>
              <w:top w:val="single" w:sz="4" w:space="0" w:color="auto"/>
              <w:right w:val="single" w:sz="4" w:space="0" w:color="auto"/>
            </w:tcBorders>
          </w:tcPr>
          <w:p w:rsidR="000B2B02" w:rsidRPr="007E0AF4" w:rsidRDefault="000B2B02" w:rsidP="00F34B87">
            <w:pPr>
              <w:pStyle w:val="a7"/>
              <w:ind w:left="0"/>
              <w:jc w:val="center"/>
              <w:rPr>
                <w:sz w:val="22"/>
              </w:rPr>
            </w:pPr>
            <w:r w:rsidRPr="007E0AF4">
              <w:rPr>
                <w:sz w:val="22"/>
              </w:rPr>
              <w:t xml:space="preserve">16000,0 </w:t>
            </w:r>
          </w:p>
        </w:tc>
        <w:tc>
          <w:tcPr>
            <w:tcW w:w="1418" w:type="dxa"/>
            <w:vMerge w:val="restart"/>
            <w:tcBorders>
              <w:top w:val="single" w:sz="4" w:space="0" w:color="auto"/>
              <w:right w:val="single" w:sz="4" w:space="0" w:color="auto"/>
            </w:tcBorders>
          </w:tcPr>
          <w:p w:rsidR="000B2B02" w:rsidRPr="007E0AF4" w:rsidRDefault="000B2B02" w:rsidP="00F34B87">
            <w:pPr>
              <w:pStyle w:val="a7"/>
              <w:ind w:left="0"/>
              <w:jc w:val="center"/>
              <w:rPr>
                <w:b/>
                <w:sz w:val="22"/>
              </w:rPr>
            </w:pPr>
            <w:r w:rsidRPr="007E0AF4">
              <w:rPr>
                <w:b/>
                <w:sz w:val="22"/>
              </w:rPr>
              <w:t>-</w:t>
            </w:r>
          </w:p>
        </w:tc>
        <w:tc>
          <w:tcPr>
            <w:tcW w:w="992" w:type="dxa"/>
            <w:tcBorders>
              <w:top w:val="single" w:sz="4" w:space="0" w:color="auto"/>
              <w:left w:val="single" w:sz="4" w:space="0" w:color="auto"/>
              <w:bottom w:val="single" w:sz="4" w:space="0" w:color="auto"/>
              <w:right w:val="single" w:sz="4" w:space="0" w:color="auto"/>
            </w:tcBorders>
          </w:tcPr>
          <w:p w:rsidR="000B2B02" w:rsidRPr="007E0AF4" w:rsidRDefault="000B2B02" w:rsidP="00F34B87">
            <w:pPr>
              <w:pStyle w:val="a7"/>
              <w:ind w:left="0"/>
              <w:jc w:val="center"/>
              <w:rPr>
                <w:b/>
                <w:sz w:val="22"/>
              </w:rPr>
            </w:pPr>
            <w:proofErr w:type="spellStart"/>
            <w:r w:rsidRPr="007E0AF4">
              <w:rPr>
                <w:b/>
                <w:sz w:val="22"/>
              </w:rPr>
              <w:t>Обсяг</w:t>
            </w:r>
            <w:proofErr w:type="spellEnd"/>
          </w:p>
        </w:tc>
        <w:tc>
          <w:tcPr>
            <w:tcW w:w="2126" w:type="dxa"/>
            <w:gridSpan w:val="2"/>
            <w:tcBorders>
              <w:top w:val="single" w:sz="4" w:space="0" w:color="auto"/>
              <w:left w:val="single" w:sz="4" w:space="0" w:color="auto"/>
              <w:bottom w:val="single" w:sz="4" w:space="0" w:color="auto"/>
              <w:right w:val="single" w:sz="4" w:space="0" w:color="auto"/>
            </w:tcBorders>
          </w:tcPr>
          <w:p w:rsidR="000B2B02" w:rsidRPr="007E0AF4" w:rsidRDefault="000B2B02" w:rsidP="00F34B87">
            <w:pPr>
              <w:pStyle w:val="a7"/>
              <w:ind w:left="0"/>
              <w:jc w:val="center"/>
              <w:rPr>
                <w:b/>
                <w:sz w:val="22"/>
              </w:rPr>
            </w:pPr>
            <w:proofErr w:type="spellStart"/>
            <w:r w:rsidRPr="007E0AF4">
              <w:rPr>
                <w:b/>
                <w:sz w:val="22"/>
              </w:rPr>
              <w:t>Назва</w:t>
            </w:r>
            <w:proofErr w:type="spellEnd"/>
            <w:r w:rsidRPr="007E0AF4">
              <w:rPr>
                <w:b/>
                <w:sz w:val="22"/>
              </w:rPr>
              <w:t xml:space="preserve"> </w:t>
            </w:r>
            <w:proofErr w:type="spellStart"/>
            <w:r w:rsidRPr="007E0AF4">
              <w:rPr>
                <w:b/>
                <w:sz w:val="22"/>
              </w:rPr>
              <w:t>джерела</w:t>
            </w:r>
            <w:proofErr w:type="spellEnd"/>
          </w:p>
        </w:tc>
        <w:tc>
          <w:tcPr>
            <w:tcW w:w="1134" w:type="dxa"/>
            <w:vMerge w:val="restart"/>
            <w:tcBorders>
              <w:top w:val="single" w:sz="4" w:space="0" w:color="auto"/>
              <w:left w:val="single" w:sz="4" w:space="0" w:color="auto"/>
            </w:tcBorders>
          </w:tcPr>
          <w:p w:rsidR="000B2B02" w:rsidRPr="007E0AF4" w:rsidRDefault="000B2B02" w:rsidP="00F34B87">
            <w:pPr>
              <w:pStyle w:val="a7"/>
              <w:ind w:left="0"/>
              <w:jc w:val="center"/>
              <w:rPr>
                <w:sz w:val="22"/>
              </w:rPr>
            </w:pPr>
            <w:r w:rsidRPr="007E0AF4">
              <w:rPr>
                <w:sz w:val="22"/>
              </w:rPr>
              <w:t>16000 ,0</w:t>
            </w:r>
          </w:p>
        </w:tc>
      </w:tr>
      <w:tr w:rsidR="000B2B02" w:rsidRPr="007E0AF4" w:rsidTr="00F34B87">
        <w:trPr>
          <w:trHeight w:val="300"/>
        </w:trPr>
        <w:tc>
          <w:tcPr>
            <w:tcW w:w="2978" w:type="dxa"/>
            <w:vMerge/>
            <w:shd w:val="clear" w:color="auto" w:fill="C6D9F1" w:themeFill="text2" w:themeFillTint="33"/>
          </w:tcPr>
          <w:p w:rsidR="000B2B02" w:rsidRPr="007E0AF4" w:rsidRDefault="000B2B02" w:rsidP="00F34B87">
            <w:pPr>
              <w:pStyle w:val="a7"/>
              <w:ind w:left="0"/>
              <w:rPr>
                <w:b/>
                <w:sz w:val="22"/>
              </w:rPr>
            </w:pPr>
          </w:p>
        </w:tc>
        <w:tc>
          <w:tcPr>
            <w:tcW w:w="1275" w:type="dxa"/>
            <w:vMerge/>
            <w:tcBorders>
              <w:right w:val="single" w:sz="4" w:space="0" w:color="auto"/>
            </w:tcBorders>
          </w:tcPr>
          <w:p w:rsidR="000B2B02" w:rsidRPr="007E0AF4" w:rsidRDefault="000B2B02" w:rsidP="00F34B87">
            <w:pPr>
              <w:pStyle w:val="a7"/>
              <w:ind w:left="0"/>
              <w:jc w:val="center"/>
              <w:rPr>
                <w:sz w:val="22"/>
              </w:rPr>
            </w:pPr>
          </w:p>
        </w:tc>
        <w:tc>
          <w:tcPr>
            <w:tcW w:w="1418" w:type="dxa"/>
            <w:vMerge/>
            <w:tcBorders>
              <w:right w:val="single" w:sz="4" w:space="0" w:color="auto"/>
            </w:tcBorders>
          </w:tcPr>
          <w:p w:rsidR="000B2B02" w:rsidRPr="007E0AF4" w:rsidRDefault="000B2B02" w:rsidP="00F34B87">
            <w:pPr>
              <w:pStyle w:val="a7"/>
              <w:ind w:left="0"/>
              <w:jc w:val="center"/>
              <w:rPr>
                <w:b/>
                <w:sz w:val="22"/>
              </w:rPr>
            </w:pPr>
          </w:p>
        </w:tc>
        <w:tc>
          <w:tcPr>
            <w:tcW w:w="992" w:type="dxa"/>
            <w:tcBorders>
              <w:top w:val="single" w:sz="4" w:space="0" w:color="auto"/>
              <w:left w:val="single" w:sz="4" w:space="0" w:color="auto"/>
              <w:right w:val="single" w:sz="4" w:space="0" w:color="auto"/>
            </w:tcBorders>
          </w:tcPr>
          <w:p w:rsidR="000B2B02" w:rsidRPr="007E0AF4" w:rsidRDefault="000B2B02" w:rsidP="00F34B87">
            <w:pPr>
              <w:pStyle w:val="a7"/>
              <w:ind w:left="0"/>
              <w:jc w:val="center"/>
              <w:rPr>
                <w:b/>
                <w:sz w:val="22"/>
              </w:rPr>
            </w:pPr>
          </w:p>
        </w:tc>
        <w:tc>
          <w:tcPr>
            <w:tcW w:w="2126" w:type="dxa"/>
            <w:gridSpan w:val="2"/>
            <w:tcBorders>
              <w:top w:val="single" w:sz="4" w:space="0" w:color="auto"/>
              <w:left w:val="single" w:sz="4" w:space="0" w:color="auto"/>
              <w:right w:val="single" w:sz="4" w:space="0" w:color="auto"/>
            </w:tcBorders>
          </w:tcPr>
          <w:p w:rsidR="000B2B02" w:rsidRPr="007E0AF4" w:rsidRDefault="000B2B02" w:rsidP="00F34B87">
            <w:pPr>
              <w:pStyle w:val="a7"/>
              <w:ind w:left="0"/>
              <w:jc w:val="center"/>
              <w:rPr>
                <w:sz w:val="22"/>
              </w:rPr>
            </w:pPr>
            <w:proofErr w:type="spellStart"/>
            <w:r w:rsidRPr="007E0AF4">
              <w:rPr>
                <w:sz w:val="22"/>
              </w:rPr>
              <w:t>Міжнародні</w:t>
            </w:r>
            <w:proofErr w:type="spellEnd"/>
            <w:r w:rsidRPr="007E0AF4">
              <w:rPr>
                <w:sz w:val="22"/>
              </w:rPr>
              <w:t xml:space="preserve"> </w:t>
            </w:r>
            <w:proofErr w:type="spellStart"/>
            <w:r w:rsidRPr="007E0AF4">
              <w:rPr>
                <w:sz w:val="22"/>
              </w:rPr>
              <w:t>інвестиції</w:t>
            </w:r>
            <w:proofErr w:type="spellEnd"/>
            <w:r w:rsidRPr="007E0AF4">
              <w:rPr>
                <w:sz w:val="22"/>
              </w:rPr>
              <w:t xml:space="preserve">, </w:t>
            </w:r>
            <w:proofErr w:type="spellStart"/>
            <w:r w:rsidRPr="007E0AF4">
              <w:rPr>
                <w:sz w:val="22"/>
              </w:rPr>
              <w:t>кошти</w:t>
            </w:r>
            <w:proofErr w:type="spellEnd"/>
            <w:r w:rsidRPr="007E0AF4">
              <w:rPr>
                <w:sz w:val="22"/>
              </w:rPr>
              <w:t xml:space="preserve"> </w:t>
            </w:r>
            <w:proofErr w:type="spellStart"/>
            <w:r w:rsidRPr="007E0AF4">
              <w:rPr>
                <w:sz w:val="22"/>
              </w:rPr>
              <w:t>приватних</w:t>
            </w:r>
            <w:proofErr w:type="spellEnd"/>
            <w:r w:rsidRPr="007E0AF4">
              <w:rPr>
                <w:sz w:val="22"/>
              </w:rPr>
              <w:t xml:space="preserve"> </w:t>
            </w:r>
            <w:proofErr w:type="spellStart"/>
            <w:r w:rsidRPr="007E0AF4">
              <w:rPr>
                <w:sz w:val="22"/>
              </w:rPr>
              <w:t>осіб</w:t>
            </w:r>
            <w:proofErr w:type="spellEnd"/>
          </w:p>
        </w:tc>
        <w:tc>
          <w:tcPr>
            <w:tcW w:w="1134" w:type="dxa"/>
            <w:vMerge/>
            <w:tcBorders>
              <w:left w:val="single" w:sz="4" w:space="0" w:color="auto"/>
            </w:tcBorders>
          </w:tcPr>
          <w:p w:rsidR="000B2B02" w:rsidRPr="007E0AF4" w:rsidRDefault="000B2B02" w:rsidP="00F34B87">
            <w:pPr>
              <w:pStyle w:val="a7"/>
              <w:ind w:left="0"/>
              <w:jc w:val="center"/>
              <w:rPr>
                <w:sz w:val="22"/>
              </w:rPr>
            </w:pPr>
          </w:p>
        </w:tc>
      </w:tr>
    </w:tbl>
    <w:p w:rsidR="000B2B02" w:rsidRPr="007E0AF4" w:rsidRDefault="000B2B02" w:rsidP="00E95FB1">
      <w:pPr>
        <w:rPr>
          <w:sz w:val="22"/>
        </w:rPr>
      </w:pPr>
    </w:p>
    <w:p w:rsidR="00B61DDC" w:rsidRPr="007E0AF4" w:rsidRDefault="00B61DDC" w:rsidP="00E95FB1">
      <w:pPr>
        <w:rPr>
          <w:sz w:val="22"/>
          <w:lang w:val="ru-RU"/>
        </w:rPr>
      </w:pPr>
    </w:p>
    <w:tbl>
      <w:tblPr>
        <w:tblStyle w:val="af"/>
        <w:tblW w:w="9923" w:type="dxa"/>
        <w:tblInd w:w="-176" w:type="dxa"/>
        <w:tblLayout w:type="fixed"/>
        <w:tblLook w:val="04A0" w:firstRow="1" w:lastRow="0" w:firstColumn="1" w:lastColumn="0" w:noHBand="0" w:noVBand="1"/>
      </w:tblPr>
      <w:tblGrid>
        <w:gridCol w:w="2978"/>
        <w:gridCol w:w="1275"/>
        <w:gridCol w:w="1276"/>
        <w:gridCol w:w="1134"/>
        <w:gridCol w:w="1843"/>
        <w:gridCol w:w="425"/>
        <w:gridCol w:w="992"/>
      </w:tblGrid>
      <w:tr w:rsidR="00654133" w:rsidRPr="007E0AF4" w:rsidTr="00F34B87">
        <w:tc>
          <w:tcPr>
            <w:tcW w:w="2978" w:type="dxa"/>
            <w:shd w:val="clear" w:color="auto" w:fill="C6D9F1" w:themeFill="text2" w:themeFillTint="33"/>
          </w:tcPr>
          <w:p w:rsidR="00654133" w:rsidRPr="007E0AF4" w:rsidRDefault="00654133" w:rsidP="00F34B87">
            <w:pPr>
              <w:pStyle w:val="a7"/>
              <w:ind w:left="0"/>
              <w:rPr>
                <w:b/>
                <w:sz w:val="22"/>
              </w:rPr>
            </w:pPr>
            <w:r w:rsidRPr="007E0AF4">
              <w:rPr>
                <w:b/>
                <w:sz w:val="22"/>
              </w:rPr>
              <w:t xml:space="preserve">Оперативна </w:t>
            </w:r>
            <w:proofErr w:type="spellStart"/>
            <w:r w:rsidRPr="007E0AF4">
              <w:rPr>
                <w:b/>
                <w:sz w:val="22"/>
              </w:rPr>
              <w:t>ціль</w:t>
            </w:r>
            <w:proofErr w:type="spellEnd"/>
            <w:r w:rsidRPr="007E0AF4">
              <w:rPr>
                <w:b/>
                <w:sz w:val="22"/>
              </w:rPr>
              <w:t>/</w:t>
            </w:r>
            <w:proofErr w:type="spellStart"/>
            <w:r w:rsidRPr="007E0AF4">
              <w:rPr>
                <w:b/>
                <w:sz w:val="22"/>
              </w:rPr>
              <w:t>завдання</w:t>
            </w:r>
            <w:proofErr w:type="spellEnd"/>
          </w:p>
        </w:tc>
        <w:tc>
          <w:tcPr>
            <w:tcW w:w="6945" w:type="dxa"/>
            <w:gridSpan w:val="6"/>
            <w:shd w:val="clear" w:color="auto" w:fill="auto"/>
          </w:tcPr>
          <w:p w:rsidR="00654133" w:rsidRPr="007E0AF4" w:rsidRDefault="00654133" w:rsidP="00F34B87">
            <w:pPr>
              <w:pStyle w:val="a7"/>
              <w:ind w:left="0"/>
              <w:rPr>
                <w:sz w:val="22"/>
              </w:rPr>
            </w:pPr>
            <w:proofErr w:type="spellStart"/>
            <w:r w:rsidRPr="007E0AF4">
              <w:rPr>
                <w:sz w:val="22"/>
              </w:rPr>
              <w:t>Людський</w:t>
            </w:r>
            <w:proofErr w:type="spellEnd"/>
            <w:r w:rsidRPr="007E0AF4">
              <w:rPr>
                <w:sz w:val="22"/>
              </w:rPr>
              <w:t xml:space="preserve"> </w:t>
            </w:r>
            <w:proofErr w:type="spellStart"/>
            <w:r w:rsidRPr="007E0AF4">
              <w:rPr>
                <w:sz w:val="22"/>
              </w:rPr>
              <w:t>розвиток</w:t>
            </w:r>
            <w:proofErr w:type="spellEnd"/>
            <w:r w:rsidRPr="007E0AF4">
              <w:rPr>
                <w:sz w:val="22"/>
              </w:rPr>
              <w:t xml:space="preserve"> через </w:t>
            </w:r>
            <w:proofErr w:type="spellStart"/>
            <w:r w:rsidRPr="007E0AF4">
              <w:rPr>
                <w:sz w:val="22"/>
              </w:rPr>
              <w:t>інновації</w:t>
            </w:r>
            <w:proofErr w:type="spellEnd"/>
            <w:r w:rsidRPr="007E0AF4">
              <w:rPr>
                <w:sz w:val="22"/>
              </w:rPr>
              <w:t xml:space="preserve"> </w:t>
            </w:r>
            <w:proofErr w:type="spellStart"/>
            <w:r w:rsidRPr="007E0AF4">
              <w:rPr>
                <w:sz w:val="22"/>
              </w:rPr>
              <w:t>управління</w:t>
            </w:r>
            <w:proofErr w:type="spellEnd"/>
            <w:r w:rsidRPr="007E0AF4">
              <w:rPr>
                <w:sz w:val="22"/>
              </w:rPr>
              <w:t xml:space="preserve"> та </w:t>
            </w:r>
            <w:proofErr w:type="spellStart"/>
            <w:r w:rsidRPr="007E0AF4">
              <w:rPr>
                <w:sz w:val="22"/>
              </w:rPr>
              <w:t>довіру</w:t>
            </w:r>
            <w:proofErr w:type="spellEnd"/>
            <w:r w:rsidRPr="007E0AF4">
              <w:rPr>
                <w:sz w:val="22"/>
              </w:rPr>
              <w:t xml:space="preserve"> до </w:t>
            </w:r>
            <w:proofErr w:type="spellStart"/>
            <w:r w:rsidRPr="007E0AF4">
              <w:rPr>
                <w:sz w:val="22"/>
              </w:rPr>
              <w:t>влади</w:t>
            </w:r>
            <w:proofErr w:type="spellEnd"/>
            <w:r w:rsidRPr="007E0AF4">
              <w:rPr>
                <w:sz w:val="22"/>
              </w:rPr>
              <w:t xml:space="preserve">. </w:t>
            </w:r>
            <w:proofErr w:type="spellStart"/>
            <w:r w:rsidRPr="007E0AF4">
              <w:rPr>
                <w:sz w:val="22"/>
              </w:rPr>
              <w:t>Формування</w:t>
            </w:r>
            <w:proofErr w:type="spellEnd"/>
            <w:r w:rsidRPr="007E0AF4">
              <w:rPr>
                <w:sz w:val="22"/>
              </w:rPr>
              <w:t xml:space="preserve"> </w:t>
            </w:r>
            <w:proofErr w:type="spellStart"/>
            <w:r w:rsidRPr="007E0AF4">
              <w:rPr>
                <w:sz w:val="22"/>
              </w:rPr>
              <w:t>сучасного</w:t>
            </w:r>
            <w:proofErr w:type="spellEnd"/>
            <w:r w:rsidRPr="007E0AF4">
              <w:rPr>
                <w:sz w:val="22"/>
              </w:rPr>
              <w:t xml:space="preserve"> </w:t>
            </w:r>
            <w:proofErr w:type="spellStart"/>
            <w:r w:rsidRPr="007E0AF4">
              <w:rPr>
                <w:sz w:val="22"/>
              </w:rPr>
              <w:t>інклюзивного</w:t>
            </w:r>
            <w:proofErr w:type="spellEnd"/>
            <w:r w:rsidRPr="007E0AF4">
              <w:rPr>
                <w:sz w:val="22"/>
              </w:rPr>
              <w:t xml:space="preserve"> </w:t>
            </w:r>
            <w:proofErr w:type="spellStart"/>
            <w:r w:rsidRPr="007E0AF4">
              <w:rPr>
                <w:sz w:val="22"/>
              </w:rPr>
              <w:t>освітньо</w:t>
            </w:r>
            <w:proofErr w:type="spellEnd"/>
            <w:r w:rsidRPr="007E0AF4">
              <w:rPr>
                <w:sz w:val="22"/>
              </w:rPr>
              <w:t xml:space="preserve">-культурного та спортивного простору для </w:t>
            </w:r>
            <w:proofErr w:type="spellStart"/>
            <w:r w:rsidRPr="007E0AF4">
              <w:rPr>
                <w:sz w:val="22"/>
              </w:rPr>
              <w:t>розвитку</w:t>
            </w:r>
            <w:proofErr w:type="spellEnd"/>
          </w:p>
        </w:tc>
      </w:tr>
      <w:tr w:rsidR="00654133" w:rsidRPr="007E0AF4" w:rsidTr="00F34B87">
        <w:tc>
          <w:tcPr>
            <w:tcW w:w="2978" w:type="dxa"/>
            <w:shd w:val="clear" w:color="auto" w:fill="C6D9F1" w:themeFill="text2" w:themeFillTint="33"/>
          </w:tcPr>
          <w:p w:rsidR="00654133" w:rsidRPr="007E0AF4" w:rsidRDefault="00654133" w:rsidP="00F34B87">
            <w:pPr>
              <w:pStyle w:val="a7"/>
              <w:ind w:left="0"/>
              <w:rPr>
                <w:b/>
                <w:sz w:val="22"/>
              </w:rPr>
            </w:pPr>
            <w:proofErr w:type="spellStart"/>
            <w:r w:rsidRPr="007E0AF4">
              <w:rPr>
                <w:b/>
                <w:sz w:val="22"/>
              </w:rPr>
              <w:t>Назва</w:t>
            </w:r>
            <w:proofErr w:type="spellEnd"/>
            <w:r w:rsidRPr="007E0AF4">
              <w:rPr>
                <w:b/>
                <w:sz w:val="22"/>
              </w:rPr>
              <w:t xml:space="preserve"> проекту:</w:t>
            </w:r>
          </w:p>
        </w:tc>
        <w:tc>
          <w:tcPr>
            <w:tcW w:w="6945" w:type="dxa"/>
            <w:gridSpan w:val="6"/>
          </w:tcPr>
          <w:p w:rsidR="00654133" w:rsidRPr="007E0AF4" w:rsidRDefault="00654133" w:rsidP="00F34B87">
            <w:pPr>
              <w:pStyle w:val="a7"/>
              <w:ind w:left="0"/>
              <w:rPr>
                <w:sz w:val="22"/>
              </w:rPr>
            </w:pPr>
            <w:r w:rsidRPr="007E0AF4">
              <w:rPr>
                <w:sz w:val="22"/>
              </w:rPr>
              <w:t>«</w:t>
            </w:r>
            <w:proofErr w:type="spellStart"/>
            <w:r w:rsidRPr="007E0AF4">
              <w:rPr>
                <w:sz w:val="22"/>
              </w:rPr>
              <w:t>Сучасній</w:t>
            </w:r>
            <w:proofErr w:type="spellEnd"/>
            <w:r w:rsidRPr="007E0AF4">
              <w:rPr>
                <w:sz w:val="22"/>
              </w:rPr>
              <w:t xml:space="preserve"> </w:t>
            </w:r>
            <w:proofErr w:type="spellStart"/>
            <w:r w:rsidRPr="007E0AF4">
              <w:rPr>
                <w:sz w:val="22"/>
              </w:rPr>
              <w:t>школі</w:t>
            </w:r>
            <w:proofErr w:type="spellEnd"/>
            <w:r w:rsidRPr="007E0AF4">
              <w:rPr>
                <w:sz w:val="22"/>
              </w:rPr>
              <w:t xml:space="preserve"> – </w:t>
            </w:r>
            <w:proofErr w:type="spellStart"/>
            <w:r w:rsidRPr="007E0AF4">
              <w:rPr>
                <w:sz w:val="22"/>
              </w:rPr>
              <w:t>безпечний</w:t>
            </w:r>
            <w:proofErr w:type="spellEnd"/>
            <w:r w:rsidRPr="007E0AF4">
              <w:rPr>
                <w:sz w:val="22"/>
              </w:rPr>
              <w:t xml:space="preserve"> </w:t>
            </w:r>
            <w:proofErr w:type="spellStart"/>
            <w:r w:rsidRPr="007E0AF4">
              <w:rPr>
                <w:sz w:val="22"/>
              </w:rPr>
              <w:t>паркан</w:t>
            </w:r>
            <w:proofErr w:type="spellEnd"/>
            <w:r w:rsidRPr="007E0AF4">
              <w:rPr>
                <w:sz w:val="22"/>
              </w:rPr>
              <w:t xml:space="preserve"> та </w:t>
            </w:r>
            <w:proofErr w:type="spellStart"/>
            <w:r w:rsidRPr="007E0AF4">
              <w:rPr>
                <w:sz w:val="22"/>
              </w:rPr>
              <w:t>ефективну</w:t>
            </w:r>
            <w:proofErr w:type="spellEnd"/>
            <w:r w:rsidRPr="007E0AF4">
              <w:rPr>
                <w:sz w:val="22"/>
              </w:rPr>
              <w:t xml:space="preserve"> систему </w:t>
            </w:r>
            <w:proofErr w:type="spellStart"/>
            <w:r w:rsidRPr="007E0AF4">
              <w:rPr>
                <w:sz w:val="22"/>
              </w:rPr>
              <w:t>відеоспостереження</w:t>
            </w:r>
            <w:proofErr w:type="spellEnd"/>
            <w:r w:rsidRPr="007E0AF4">
              <w:rPr>
                <w:sz w:val="22"/>
              </w:rPr>
              <w:t xml:space="preserve">» - </w:t>
            </w:r>
            <w:proofErr w:type="spellStart"/>
            <w:r w:rsidRPr="007E0AF4">
              <w:rPr>
                <w:sz w:val="22"/>
              </w:rPr>
              <w:t>капітальний</w:t>
            </w:r>
            <w:proofErr w:type="spellEnd"/>
            <w:r w:rsidRPr="007E0AF4">
              <w:rPr>
                <w:sz w:val="22"/>
              </w:rPr>
              <w:t xml:space="preserve"> ремонт </w:t>
            </w:r>
            <w:proofErr w:type="spellStart"/>
            <w:r w:rsidRPr="007E0AF4">
              <w:rPr>
                <w:sz w:val="22"/>
              </w:rPr>
              <w:t>огорожі</w:t>
            </w:r>
            <w:proofErr w:type="spellEnd"/>
            <w:r w:rsidRPr="007E0AF4">
              <w:rPr>
                <w:sz w:val="22"/>
              </w:rPr>
              <w:t xml:space="preserve"> та </w:t>
            </w:r>
            <w:proofErr w:type="spellStart"/>
            <w:r w:rsidRPr="007E0AF4">
              <w:rPr>
                <w:sz w:val="22"/>
              </w:rPr>
              <w:t>встановлення</w:t>
            </w:r>
            <w:proofErr w:type="spellEnd"/>
            <w:r w:rsidRPr="007E0AF4">
              <w:rPr>
                <w:sz w:val="22"/>
              </w:rPr>
              <w:t xml:space="preserve"> </w:t>
            </w:r>
            <w:proofErr w:type="spellStart"/>
            <w:r w:rsidRPr="007E0AF4">
              <w:rPr>
                <w:sz w:val="22"/>
              </w:rPr>
              <w:t>системи</w:t>
            </w:r>
            <w:proofErr w:type="spellEnd"/>
            <w:r w:rsidRPr="007E0AF4">
              <w:rPr>
                <w:sz w:val="22"/>
              </w:rPr>
              <w:t xml:space="preserve"> </w:t>
            </w:r>
            <w:proofErr w:type="spellStart"/>
            <w:r w:rsidRPr="007E0AF4">
              <w:rPr>
                <w:sz w:val="22"/>
              </w:rPr>
              <w:t>відеоспостереження</w:t>
            </w:r>
            <w:proofErr w:type="spellEnd"/>
            <w:r w:rsidRPr="007E0AF4">
              <w:rPr>
                <w:sz w:val="22"/>
              </w:rPr>
              <w:t xml:space="preserve"> </w:t>
            </w:r>
            <w:proofErr w:type="spellStart"/>
            <w:r w:rsidRPr="007E0AF4">
              <w:rPr>
                <w:sz w:val="22"/>
              </w:rPr>
              <w:t>навколо</w:t>
            </w:r>
            <w:proofErr w:type="spellEnd"/>
            <w:r w:rsidRPr="007E0AF4">
              <w:rPr>
                <w:sz w:val="22"/>
              </w:rPr>
              <w:t xml:space="preserve"> </w:t>
            </w:r>
            <w:proofErr w:type="spellStart"/>
            <w:r w:rsidRPr="007E0AF4">
              <w:rPr>
                <w:sz w:val="22"/>
              </w:rPr>
              <w:t>території</w:t>
            </w:r>
            <w:proofErr w:type="spellEnd"/>
            <w:r w:rsidRPr="007E0AF4">
              <w:rPr>
                <w:sz w:val="22"/>
              </w:rPr>
              <w:t xml:space="preserve"> </w:t>
            </w:r>
            <w:proofErr w:type="spellStart"/>
            <w:r w:rsidRPr="007E0AF4">
              <w:rPr>
                <w:sz w:val="22"/>
              </w:rPr>
              <w:t>Гімназії</w:t>
            </w:r>
            <w:proofErr w:type="spellEnd"/>
            <w:r w:rsidRPr="007E0AF4">
              <w:rPr>
                <w:sz w:val="22"/>
              </w:rPr>
              <w:t xml:space="preserve"> № 12 </w:t>
            </w:r>
            <w:proofErr w:type="spellStart"/>
            <w:r w:rsidRPr="007E0AF4">
              <w:rPr>
                <w:sz w:val="22"/>
              </w:rPr>
              <w:t>міста</w:t>
            </w:r>
            <w:proofErr w:type="spellEnd"/>
            <w:r w:rsidRPr="007E0AF4">
              <w:rPr>
                <w:sz w:val="22"/>
              </w:rPr>
              <w:t xml:space="preserve"> </w:t>
            </w:r>
            <w:proofErr w:type="spellStart"/>
            <w:r w:rsidRPr="007E0AF4">
              <w:rPr>
                <w:sz w:val="22"/>
              </w:rPr>
              <w:t>Сєвєродонецька</w:t>
            </w:r>
            <w:proofErr w:type="spellEnd"/>
            <w:r w:rsidRPr="007E0AF4">
              <w:rPr>
                <w:sz w:val="22"/>
              </w:rPr>
              <w:t xml:space="preserve"> </w:t>
            </w:r>
            <w:proofErr w:type="spellStart"/>
            <w:r w:rsidRPr="007E0AF4">
              <w:rPr>
                <w:sz w:val="22"/>
              </w:rPr>
              <w:t>Луганської</w:t>
            </w:r>
            <w:proofErr w:type="spellEnd"/>
            <w:r w:rsidRPr="007E0AF4">
              <w:rPr>
                <w:sz w:val="22"/>
              </w:rPr>
              <w:t xml:space="preserve"> </w:t>
            </w:r>
            <w:proofErr w:type="spellStart"/>
            <w:r w:rsidRPr="007E0AF4">
              <w:rPr>
                <w:sz w:val="22"/>
              </w:rPr>
              <w:t>області</w:t>
            </w:r>
            <w:proofErr w:type="spellEnd"/>
            <w:r w:rsidRPr="007E0AF4">
              <w:rPr>
                <w:sz w:val="22"/>
              </w:rPr>
              <w:t xml:space="preserve">, </w:t>
            </w:r>
            <w:proofErr w:type="spellStart"/>
            <w:r w:rsidRPr="007E0AF4">
              <w:rPr>
                <w:sz w:val="22"/>
              </w:rPr>
              <w:t>розташованої</w:t>
            </w:r>
            <w:proofErr w:type="spellEnd"/>
            <w:r w:rsidRPr="007E0AF4">
              <w:rPr>
                <w:sz w:val="22"/>
              </w:rPr>
              <w:t xml:space="preserve"> за </w:t>
            </w:r>
            <w:proofErr w:type="spellStart"/>
            <w:r w:rsidRPr="007E0AF4">
              <w:rPr>
                <w:sz w:val="22"/>
              </w:rPr>
              <w:t>адресою</w:t>
            </w:r>
            <w:proofErr w:type="spellEnd"/>
            <w:r w:rsidRPr="007E0AF4">
              <w:rPr>
                <w:sz w:val="22"/>
              </w:rPr>
              <w:t xml:space="preserve"> </w:t>
            </w:r>
            <w:proofErr w:type="spellStart"/>
            <w:r w:rsidRPr="007E0AF4">
              <w:rPr>
                <w:sz w:val="22"/>
              </w:rPr>
              <w:t>Україна</w:t>
            </w:r>
            <w:proofErr w:type="spellEnd"/>
            <w:r w:rsidRPr="007E0AF4">
              <w:rPr>
                <w:sz w:val="22"/>
              </w:rPr>
              <w:t xml:space="preserve">, </w:t>
            </w:r>
            <w:proofErr w:type="spellStart"/>
            <w:r w:rsidRPr="007E0AF4">
              <w:rPr>
                <w:sz w:val="22"/>
              </w:rPr>
              <w:t>Луганська</w:t>
            </w:r>
            <w:proofErr w:type="spellEnd"/>
            <w:r w:rsidRPr="007E0AF4">
              <w:rPr>
                <w:sz w:val="22"/>
              </w:rPr>
              <w:t xml:space="preserve"> область, </w:t>
            </w:r>
            <w:proofErr w:type="spellStart"/>
            <w:r w:rsidRPr="007E0AF4">
              <w:rPr>
                <w:sz w:val="22"/>
              </w:rPr>
              <w:t>Сєвєродонецький</w:t>
            </w:r>
            <w:proofErr w:type="spellEnd"/>
            <w:r w:rsidRPr="007E0AF4">
              <w:rPr>
                <w:sz w:val="22"/>
              </w:rPr>
              <w:t xml:space="preserve"> район, </w:t>
            </w:r>
            <w:proofErr w:type="spellStart"/>
            <w:r w:rsidRPr="007E0AF4">
              <w:rPr>
                <w:sz w:val="22"/>
              </w:rPr>
              <w:t>місто</w:t>
            </w:r>
            <w:proofErr w:type="spellEnd"/>
            <w:r w:rsidRPr="007E0AF4">
              <w:rPr>
                <w:sz w:val="22"/>
              </w:rPr>
              <w:t xml:space="preserve"> </w:t>
            </w:r>
            <w:proofErr w:type="spellStart"/>
            <w:r w:rsidRPr="007E0AF4">
              <w:rPr>
                <w:sz w:val="22"/>
              </w:rPr>
              <w:t>Сєвєродонецьк</w:t>
            </w:r>
            <w:proofErr w:type="spellEnd"/>
            <w:r w:rsidRPr="007E0AF4">
              <w:rPr>
                <w:sz w:val="22"/>
              </w:rPr>
              <w:t xml:space="preserve">, проспект </w:t>
            </w:r>
            <w:proofErr w:type="spellStart"/>
            <w:r w:rsidRPr="007E0AF4">
              <w:rPr>
                <w:sz w:val="22"/>
              </w:rPr>
              <w:t>Гвардійський</w:t>
            </w:r>
            <w:proofErr w:type="spellEnd"/>
            <w:r w:rsidRPr="007E0AF4">
              <w:rPr>
                <w:sz w:val="22"/>
              </w:rPr>
              <w:t xml:space="preserve">, </w:t>
            </w:r>
            <w:proofErr w:type="spellStart"/>
            <w:r w:rsidRPr="007E0AF4">
              <w:rPr>
                <w:sz w:val="22"/>
              </w:rPr>
              <w:t>будинок</w:t>
            </w:r>
            <w:proofErr w:type="spellEnd"/>
            <w:r w:rsidRPr="007E0AF4">
              <w:rPr>
                <w:sz w:val="22"/>
              </w:rPr>
              <w:t xml:space="preserve"> 9</w:t>
            </w:r>
          </w:p>
        </w:tc>
      </w:tr>
      <w:tr w:rsidR="00654133" w:rsidRPr="007E0AF4" w:rsidTr="00F34B87">
        <w:tc>
          <w:tcPr>
            <w:tcW w:w="2978" w:type="dxa"/>
            <w:shd w:val="clear" w:color="auto" w:fill="C6D9F1" w:themeFill="text2" w:themeFillTint="33"/>
          </w:tcPr>
          <w:p w:rsidR="00654133" w:rsidRPr="007E0AF4" w:rsidRDefault="00654133" w:rsidP="00F34B87">
            <w:pPr>
              <w:rPr>
                <w:b/>
                <w:sz w:val="22"/>
              </w:rPr>
            </w:pPr>
            <w:proofErr w:type="spellStart"/>
            <w:r w:rsidRPr="007E0AF4">
              <w:rPr>
                <w:b/>
                <w:sz w:val="22"/>
              </w:rPr>
              <w:t>Ціль</w:t>
            </w:r>
            <w:proofErr w:type="spellEnd"/>
            <w:r w:rsidRPr="007E0AF4">
              <w:rPr>
                <w:b/>
                <w:sz w:val="22"/>
              </w:rPr>
              <w:t xml:space="preserve"> проекту</w:t>
            </w:r>
          </w:p>
        </w:tc>
        <w:tc>
          <w:tcPr>
            <w:tcW w:w="6945" w:type="dxa"/>
            <w:gridSpan w:val="6"/>
          </w:tcPr>
          <w:p w:rsidR="00654133" w:rsidRPr="007E0AF4" w:rsidRDefault="00654133" w:rsidP="00F34B87">
            <w:pPr>
              <w:pStyle w:val="a7"/>
              <w:ind w:left="0"/>
              <w:rPr>
                <w:sz w:val="22"/>
              </w:rPr>
            </w:pPr>
            <w:proofErr w:type="spellStart"/>
            <w:r w:rsidRPr="007E0AF4">
              <w:rPr>
                <w:sz w:val="22"/>
              </w:rPr>
              <w:t>Створення</w:t>
            </w:r>
            <w:proofErr w:type="spellEnd"/>
            <w:r w:rsidRPr="007E0AF4">
              <w:rPr>
                <w:sz w:val="22"/>
              </w:rPr>
              <w:t xml:space="preserve"> </w:t>
            </w:r>
            <w:proofErr w:type="spellStart"/>
            <w:r w:rsidRPr="007E0AF4">
              <w:rPr>
                <w:sz w:val="22"/>
              </w:rPr>
              <w:t>відповідних</w:t>
            </w:r>
            <w:proofErr w:type="spellEnd"/>
            <w:r w:rsidRPr="007E0AF4">
              <w:rPr>
                <w:sz w:val="22"/>
              </w:rPr>
              <w:t xml:space="preserve"> умов для </w:t>
            </w:r>
            <w:proofErr w:type="spellStart"/>
            <w:r w:rsidRPr="007E0AF4">
              <w:rPr>
                <w:sz w:val="22"/>
              </w:rPr>
              <w:t>безпечного</w:t>
            </w:r>
            <w:proofErr w:type="spellEnd"/>
            <w:r w:rsidRPr="007E0AF4">
              <w:rPr>
                <w:sz w:val="22"/>
              </w:rPr>
              <w:t xml:space="preserve"> </w:t>
            </w:r>
            <w:proofErr w:type="spellStart"/>
            <w:r w:rsidRPr="007E0AF4">
              <w:rPr>
                <w:sz w:val="22"/>
              </w:rPr>
              <w:t>функціонування</w:t>
            </w:r>
            <w:proofErr w:type="spellEnd"/>
            <w:r w:rsidRPr="007E0AF4">
              <w:rPr>
                <w:sz w:val="22"/>
              </w:rPr>
              <w:t xml:space="preserve"> </w:t>
            </w:r>
            <w:proofErr w:type="spellStart"/>
            <w:r w:rsidRPr="007E0AF4">
              <w:rPr>
                <w:sz w:val="22"/>
              </w:rPr>
              <w:t>освітнього</w:t>
            </w:r>
            <w:proofErr w:type="spellEnd"/>
            <w:r w:rsidRPr="007E0AF4">
              <w:rPr>
                <w:sz w:val="22"/>
              </w:rPr>
              <w:t xml:space="preserve"> закладу, </w:t>
            </w:r>
            <w:proofErr w:type="spellStart"/>
            <w:r w:rsidRPr="007E0AF4">
              <w:rPr>
                <w:sz w:val="22"/>
              </w:rPr>
              <w:t>поліпшення</w:t>
            </w:r>
            <w:proofErr w:type="spellEnd"/>
            <w:r w:rsidRPr="007E0AF4">
              <w:rPr>
                <w:sz w:val="22"/>
              </w:rPr>
              <w:t xml:space="preserve"> </w:t>
            </w:r>
            <w:proofErr w:type="spellStart"/>
            <w:r w:rsidRPr="007E0AF4">
              <w:rPr>
                <w:sz w:val="22"/>
              </w:rPr>
              <w:t>його</w:t>
            </w:r>
            <w:proofErr w:type="spellEnd"/>
            <w:r w:rsidRPr="007E0AF4">
              <w:rPr>
                <w:sz w:val="22"/>
              </w:rPr>
              <w:t xml:space="preserve"> </w:t>
            </w:r>
            <w:proofErr w:type="spellStart"/>
            <w:r w:rsidRPr="007E0AF4">
              <w:rPr>
                <w:sz w:val="22"/>
              </w:rPr>
              <w:t>естетичного</w:t>
            </w:r>
            <w:proofErr w:type="spellEnd"/>
            <w:r w:rsidRPr="007E0AF4">
              <w:rPr>
                <w:sz w:val="22"/>
              </w:rPr>
              <w:t xml:space="preserve"> </w:t>
            </w:r>
            <w:proofErr w:type="spellStart"/>
            <w:r w:rsidRPr="007E0AF4">
              <w:rPr>
                <w:sz w:val="22"/>
              </w:rPr>
              <w:t>вигляду</w:t>
            </w:r>
            <w:proofErr w:type="spellEnd"/>
            <w:r w:rsidRPr="007E0AF4">
              <w:rPr>
                <w:sz w:val="22"/>
              </w:rPr>
              <w:t xml:space="preserve">, </w:t>
            </w:r>
            <w:proofErr w:type="spellStart"/>
            <w:r w:rsidRPr="007E0AF4">
              <w:rPr>
                <w:sz w:val="22"/>
              </w:rPr>
              <w:t>задоволення</w:t>
            </w:r>
            <w:proofErr w:type="spellEnd"/>
            <w:r w:rsidRPr="007E0AF4">
              <w:rPr>
                <w:sz w:val="22"/>
              </w:rPr>
              <w:t xml:space="preserve"> потреб </w:t>
            </w:r>
            <w:proofErr w:type="spellStart"/>
            <w:r w:rsidRPr="007E0AF4">
              <w:rPr>
                <w:sz w:val="22"/>
              </w:rPr>
              <w:t>мешканців</w:t>
            </w:r>
            <w:proofErr w:type="spellEnd"/>
            <w:r w:rsidRPr="007E0AF4">
              <w:rPr>
                <w:sz w:val="22"/>
              </w:rPr>
              <w:t xml:space="preserve"> </w:t>
            </w:r>
            <w:proofErr w:type="spellStart"/>
            <w:r w:rsidRPr="007E0AF4">
              <w:rPr>
                <w:sz w:val="22"/>
              </w:rPr>
              <w:t>Сєвєродонецької</w:t>
            </w:r>
            <w:proofErr w:type="spellEnd"/>
            <w:r w:rsidRPr="007E0AF4">
              <w:rPr>
                <w:sz w:val="22"/>
              </w:rPr>
              <w:t xml:space="preserve"> </w:t>
            </w:r>
            <w:proofErr w:type="spellStart"/>
            <w:r w:rsidRPr="007E0AF4">
              <w:rPr>
                <w:sz w:val="22"/>
              </w:rPr>
              <w:t>міської</w:t>
            </w:r>
            <w:proofErr w:type="spellEnd"/>
            <w:r w:rsidRPr="007E0AF4">
              <w:rPr>
                <w:sz w:val="22"/>
              </w:rPr>
              <w:t xml:space="preserve"> </w:t>
            </w:r>
            <w:proofErr w:type="spellStart"/>
            <w:r w:rsidRPr="007E0AF4">
              <w:rPr>
                <w:sz w:val="22"/>
              </w:rPr>
              <w:t>територіальної</w:t>
            </w:r>
            <w:proofErr w:type="spellEnd"/>
            <w:r w:rsidRPr="007E0AF4">
              <w:rPr>
                <w:sz w:val="22"/>
              </w:rPr>
              <w:t xml:space="preserve"> </w:t>
            </w:r>
            <w:proofErr w:type="spellStart"/>
            <w:r w:rsidRPr="007E0AF4">
              <w:rPr>
                <w:sz w:val="22"/>
              </w:rPr>
              <w:t>громади</w:t>
            </w:r>
            <w:proofErr w:type="spellEnd"/>
            <w:r w:rsidRPr="007E0AF4">
              <w:rPr>
                <w:sz w:val="22"/>
              </w:rPr>
              <w:t xml:space="preserve"> у </w:t>
            </w:r>
            <w:proofErr w:type="spellStart"/>
            <w:r w:rsidRPr="007E0AF4">
              <w:rPr>
                <w:sz w:val="22"/>
              </w:rPr>
              <w:t>освітніх</w:t>
            </w:r>
            <w:proofErr w:type="spellEnd"/>
            <w:r w:rsidRPr="007E0AF4">
              <w:rPr>
                <w:sz w:val="22"/>
              </w:rPr>
              <w:t xml:space="preserve"> </w:t>
            </w:r>
            <w:proofErr w:type="spellStart"/>
            <w:r w:rsidRPr="007E0AF4">
              <w:rPr>
                <w:sz w:val="22"/>
              </w:rPr>
              <w:t>послугах</w:t>
            </w:r>
            <w:proofErr w:type="spellEnd"/>
            <w:r w:rsidRPr="007E0AF4">
              <w:rPr>
                <w:sz w:val="22"/>
              </w:rPr>
              <w:t xml:space="preserve">, </w:t>
            </w:r>
            <w:proofErr w:type="spellStart"/>
            <w:r w:rsidRPr="007E0AF4">
              <w:rPr>
                <w:sz w:val="22"/>
              </w:rPr>
              <w:t>захисту</w:t>
            </w:r>
            <w:proofErr w:type="spellEnd"/>
            <w:r w:rsidRPr="007E0AF4">
              <w:rPr>
                <w:sz w:val="22"/>
              </w:rPr>
              <w:t xml:space="preserve"> </w:t>
            </w:r>
            <w:proofErr w:type="spellStart"/>
            <w:r w:rsidRPr="007E0AF4">
              <w:rPr>
                <w:sz w:val="22"/>
              </w:rPr>
              <w:t>свого</w:t>
            </w:r>
            <w:proofErr w:type="spellEnd"/>
            <w:r w:rsidRPr="007E0AF4">
              <w:rPr>
                <w:sz w:val="22"/>
              </w:rPr>
              <w:t xml:space="preserve"> </w:t>
            </w:r>
            <w:proofErr w:type="spellStart"/>
            <w:r w:rsidRPr="007E0AF4">
              <w:rPr>
                <w:sz w:val="22"/>
              </w:rPr>
              <w:t>життя</w:t>
            </w:r>
            <w:proofErr w:type="spellEnd"/>
            <w:r w:rsidRPr="007E0AF4">
              <w:rPr>
                <w:sz w:val="22"/>
              </w:rPr>
              <w:t xml:space="preserve">, </w:t>
            </w:r>
            <w:proofErr w:type="spellStart"/>
            <w:r w:rsidRPr="007E0AF4">
              <w:rPr>
                <w:sz w:val="22"/>
              </w:rPr>
              <w:t>покращення</w:t>
            </w:r>
            <w:proofErr w:type="spellEnd"/>
            <w:r w:rsidRPr="007E0AF4">
              <w:rPr>
                <w:sz w:val="22"/>
              </w:rPr>
              <w:t xml:space="preserve"> </w:t>
            </w:r>
            <w:proofErr w:type="spellStart"/>
            <w:r w:rsidRPr="007E0AF4">
              <w:rPr>
                <w:sz w:val="22"/>
              </w:rPr>
              <w:t>криміногенної</w:t>
            </w:r>
            <w:proofErr w:type="spellEnd"/>
            <w:r w:rsidRPr="007E0AF4">
              <w:rPr>
                <w:sz w:val="22"/>
              </w:rPr>
              <w:t xml:space="preserve"> </w:t>
            </w:r>
            <w:proofErr w:type="spellStart"/>
            <w:r w:rsidRPr="007E0AF4">
              <w:rPr>
                <w:sz w:val="22"/>
              </w:rPr>
              <w:t>ситуації</w:t>
            </w:r>
            <w:proofErr w:type="spellEnd"/>
            <w:r w:rsidRPr="007E0AF4">
              <w:rPr>
                <w:sz w:val="22"/>
              </w:rPr>
              <w:t>.</w:t>
            </w:r>
          </w:p>
        </w:tc>
      </w:tr>
      <w:tr w:rsidR="00654133" w:rsidRPr="007E0AF4" w:rsidTr="00F34B87">
        <w:tc>
          <w:tcPr>
            <w:tcW w:w="2978" w:type="dxa"/>
            <w:shd w:val="clear" w:color="auto" w:fill="C6D9F1" w:themeFill="text2" w:themeFillTint="33"/>
          </w:tcPr>
          <w:p w:rsidR="00654133" w:rsidRPr="007E0AF4" w:rsidRDefault="00654133" w:rsidP="00F34B87">
            <w:pPr>
              <w:pStyle w:val="a7"/>
              <w:ind w:left="0"/>
              <w:rPr>
                <w:b/>
                <w:sz w:val="22"/>
              </w:rPr>
            </w:pPr>
            <w:proofErr w:type="spellStart"/>
            <w:r w:rsidRPr="007E0AF4">
              <w:rPr>
                <w:b/>
                <w:sz w:val="22"/>
              </w:rPr>
              <w:t>Територія</w:t>
            </w:r>
            <w:proofErr w:type="spellEnd"/>
            <w:r w:rsidRPr="007E0AF4">
              <w:rPr>
                <w:b/>
                <w:sz w:val="22"/>
              </w:rPr>
              <w:t xml:space="preserve">, </w:t>
            </w:r>
            <w:proofErr w:type="gramStart"/>
            <w:r w:rsidRPr="007E0AF4">
              <w:rPr>
                <w:b/>
                <w:sz w:val="22"/>
              </w:rPr>
              <w:t>на яку</w:t>
            </w:r>
            <w:proofErr w:type="gramEnd"/>
            <w:r w:rsidRPr="007E0AF4">
              <w:rPr>
                <w:b/>
                <w:sz w:val="22"/>
              </w:rPr>
              <w:t xml:space="preserve"> </w:t>
            </w:r>
            <w:proofErr w:type="spellStart"/>
            <w:r w:rsidRPr="007E0AF4">
              <w:rPr>
                <w:b/>
                <w:sz w:val="22"/>
              </w:rPr>
              <w:t>матиме</w:t>
            </w:r>
            <w:proofErr w:type="spellEnd"/>
            <w:r w:rsidRPr="007E0AF4">
              <w:rPr>
                <w:b/>
                <w:sz w:val="22"/>
              </w:rPr>
              <w:t xml:space="preserve"> </w:t>
            </w:r>
            <w:proofErr w:type="spellStart"/>
            <w:r w:rsidRPr="007E0AF4">
              <w:rPr>
                <w:b/>
                <w:sz w:val="22"/>
              </w:rPr>
              <w:t>вплив</w:t>
            </w:r>
            <w:proofErr w:type="spellEnd"/>
            <w:r w:rsidRPr="007E0AF4">
              <w:rPr>
                <w:b/>
                <w:sz w:val="22"/>
              </w:rPr>
              <w:t xml:space="preserve"> </w:t>
            </w:r>
            <w:proofErr w:type="spellStart"/>
            <w:r w:rsidRPr="007E0AF4">
              <w:rPr>
                <w:b/>
                <w:sz w:val="22"/>
              </w:rPr>
              <w:t>реалізація</w:t>
            </w:r>
            <w:proofErr w:type="spellEnd"/>
            <w:r w:rsidRPr="007E0AF4">
              <w:rPr>
                <w:b/>
                <w:sz w:val="22"/>
              </w:rPr>
              <w:t xml:space="preserve"> проекту</w:t>
            </w:r>
          </w:p>
        </w:tc>
        <w:tc>
          <w:tcPr>
            <w:tcW w:w="6945" w:type="dxa"/>
            <w:gridSpan w:val="6"/>
          </w:tcPr>
          <w:p w:rsidR="00654133" w:rsidRPr="007E0AF4" w:rsidRDefault="00654133" w:rsidP="00F34B87">
            <w:pPr>
              <w:pStyle w:val="a7"/>
              <w:ind w:left="0"/>
              <w:rPr>
                <w:sz w:val="22"/>
              </w:rPr>
            </w:pPr>
            <w:proofErr w:type="spellStart"/>
            <w:r w:rsidRPr="007E0AF4">
              <w:rPr>
                <w:sz w:val="22"/>
              </w:rPr>
              <w:t>Сєвєродонецька</w:t>
            </w:r>
            <w:proofErr w:type="spellEnd"/>
            <w:r w:rsidRPr="007E0AF4">
              <w:rPr>
                <w:sz w:val="22"/>
              </w:rPr>
              <w:t xml:space="preserve"> </w:t>
            </w:r>
            <w:proofErr w:type="spellStart"/>
            <w:r w:rsidRPr="007E0AF4">
              <w:rPr>
                <w:sz w:val="22"/>
              </w:rPr>
              <w:t>міська</w:t>
            </w:r>
            <w:proofErr w:type="spellEnd"/>
            <w:r w:rsidRPr="007E0AF4">
              <w:rPr>
                <w:sz w:val="22"/>
              </w:rPr>
              <w:t xml:space="preserve"> </w:t>
            </w:r>
            <w:proofErr w:type="spellStart"/>
            <w:r w:rsidRPr="007E0AF4">
              <w:rPr>
                <w:sz w:val="22"/>
              </w:rPr>
              <w:t>територіальна</w:t>
            </w:r>
            <w:proofErr w:type="spellEnd"/>
            <w:r w:rsidRPr="007E0AF4">
              <w:rPr>
                <w:sz w:val="22"/>
              </w:rPr>
              <w:t xml:space="preserve"> громада</w:t>
            </w:r>
          </w:p>
        </w:tc>
      </w:tr>
      <w:tr w:rsidR="00654133" w:rsidRPr="007E0AF4" w:rsidTr="00F34B87">
        <w:tc>
          <w:tcPr>
            <w:tcW w:w="2978" w:type="dxa"/>
            <w:shd w:val="clear" w:color="auto" w:fill="C6D9F1" w:themeFill="text2" w:themeFillTint="33"/>
          </w:tcPr>
          <w:p w:rsidR="00654133" w:rsidRPr="007E0AF4" w:rsidRDefault="00654133" w:rsidP="00F34B87">
            <w:pPr>
              <w:pStyle w:val="a7"/>
              <w:ind w:left="0"/>
              <w:rPr>
                <w:b/>
                <w:sz w:val="22"/>
              </w:rPr>
            </w:pPr>
            <w:proofErr w:type="spellStart"/>
            <w:r w:rsidRPr="007E0AF4">
              <w:rPr>
                <w:b/>
                <w:sz w:val="22"/>
              </w:rPr>
              <w:t>Чисельність</w:t>
            </w:r>
            <w:proofErr w:type="spellEnd"/>
            <w:r w:rsidRPr="007E0AF4">
              <w:rPr>
                <w:b/>
                <w:sz w:val="22"/>
              </w:rPr>
              <w:t xml:space="preserve"> </w:t>
            </w:r>
            <w:proofErr w:type="spellStart"/>
            <w:r w:rsidRPr="007E0AF4">
              <w:rPr>
                <w:b/>
                <w:sz w:val="22"/>
              </w:rPr>
              <w:t>населення</w:t>
            </w:r>
            <w:proofErr w:type="spellEnd"/>
            <w:r w:rsidRPr="007E0AF4">
              <w:rPr>
                <w:b/>
                <w:sz w:val="22"/>
              </w:rPr>
              <w:t xml:space="preserve">, на яке </w:t>
            </w:r>
            <w:proofErr w:type="spellStart"/>
            <w:r w:rsidRPr="007E0AF4">
              <w:rPr>
                <w:b/>
                <w:sz w:val="22"/>
              </w:rPr>
              <w:t>матиме</w:t>
            </w:r>
            <w:proofErr w:type="spellEnd"/>
            <w:r w:rsidRPr="007E0AF4">
              <w:rPr>
                <w:b/>
                <w:sz w:val="22"/>
              </w:rPr>
              <w:t xml:space="preserve"> </w:t>
            </w:r>
            <w:proofErr w:type="spellStart"/>
            <w:r w:rsidRPr="007E0AF4">
              <w:rPr>
                <w:b/>
                <w:sz w:val="22"/>
              </w:rPr>
              <w:t>вплив</w:t>
            </w:r>
            <w:proofErr w:type="spellEnd"/>
            <w:r w:rsidRPr="007E0AF4">
              <w:rPr>
                <w:b/>
                <w:sz w:val="22"/>
              </w:rPr>
              <w:t xml:space="preserve"> </w:t>
            </w:r>
            <w:proofErr w:type="spellStart"/>
            <w:r w:rsidRPr="007E0AF4">
              <w:rPr>
                <w:b/>
                <w:sz w:val="22"/>
              </w:rPr>
              <w:t>реалізація</w:t>
            </w:r>
            <w:proofErr w:type="spellEnd"/>
            <w:r w:rsidRPr="007E0AF4">
              <w:rPr>
                <w:b/>
                <w:sz w:val="22"/>
              </w:rPr>
              <w:t xml:space="preserve"> проекту</w:t>
            </w:r>
          </w:p>
        </w:tc>
        <w:tc>
          <w:tcPr>
            <w:tcW w:w="6945" w:type="dxa"/>
            <w:gridSpan w:val="6"/>
          </w:tcPr>
          <w:p w:rsidR="00654133" w:rsidRPr="007E0AF4" w:rsidRDefault="00654133" w:rsidP="00F34B87">
            <w:pPr>
              <w:pStyle w:val="a7"/>
              <w:ind w:left="0"/>
              <w:rPr>
                <w:sz w:val="22"/>
              </w:rPr>
            </w:pPr>
            <w:r w:rsidRPr="007E0AF4">
              <w:rPr>
                <w:sz w:val="22"/>
              </w:rPr>
              <w:t xml:space="preserve">70 </w:t>
            </w:r>
            <w:proofErr w:type="gramStart"/>
            <w:r w:rsidRPr="007E0AF4">
              <w:rPr>
                <w:sz w:val="22"/>
              </w:rPr>
              <w:t xml:space="preserve">000  </w:t>
            </w:r>
            <w:proofErr w:type="spellStart"/>
            <w:r w:rsidRPr="007E0AF4">
              <w:rPr>
                <w:sz w:val="22"/>
              </w:rPr>
              <w:t>осіб</w:t>
            </w:r>
            <w:proofErr w:type="spellEnd"/>
            <w:proofErr w:type="gramEnd"/>
          </w:p>
        </w:tc>
      </w:tr>
      <w:tr w:rsidR="00654133" w:rsidRPr="007E0AF4" w:rsidTr="00F34B87">
        <w:tc>
          <w:tcPr>
            <w:tcW w:w="2978" w:type="dxa"/>
            <w:shd w:val="clear" w:color="auto" w:fill="C6D9F1" w:themeFill="text2" w:themeFillTint="33"/>
          </w:tcPr>
          <w:p w:rsidR="00654133" w:rsidRPr="007E0AF4" w:rsidRDefault="00654133" w:rsidP="00F34B87">
            <w:pPr>
              <w:rPr>
                <w:b/>
                <w:sz w:val="22"/>
              </w:rPr>
            </w:pPr>
            <w:proofErr w:type="spellStart"/>
            <w:r w:rsidRPr="007E0AF4">
              <w:rPr>
                <w:b/>
                <w:sz w:val="22"/>
              </w:rPr>
              <w:t>Опис</w:t>
            </w:r>
            <w:proofErr w:type="spellEnd"/>
            <w:r w:rsidRPr="007E0AF4">
              <w:rPr>
                <w:b/>
                <w:sz w:val="22"/>
              </w:rPr>
              <w:t xml:space="preserve"> </w:t>
            </w:r>
            <w:proofErr w:type="spellStart"/>
            <w:r w:rsidRPr="007E0AF4">
              <w:rPr>
                <w:b/>
                <w:sz w:val="22"/>
              </w:rPr>
              <w:t>проблеми</w:t>
            </w:r>
            <w:proofErr w:type="spellEnd"/>
            <w:r w:rsidRPr="007E0AF4">
              <w:rPr>
                <w:b/>
                <w:sz w:val="22"/>
              </w:rPr>
              <w:t xml:space="preserve">, на </w:t>
            </w:r>
            <w:proofErr w:type="spellStart"/>
            <w:r w:rsidRPr="007E0AF4">
              <w:rPr>
                <w:b/>
                <w:sz w:val="22"/>
              </w:rPr>
              <w:t>вирішення</w:t>
            </w:r>
            <w:proofErr w:type="spellEnd"/>
            <w:r w:rsidRPr="007E0AF4">
              <w:rPr>
                <w:b/>
                <w:sz w:val="22"/>
              </w:rPr>
              <w:t xml:space="preserve"> </w:t>
            </w:r>
            <w:proofErr w:type="spellStart"/>
            <w:proofErr w:type="gramStart"/>
            <w:r w:rsidRPr="007E0AF4">
              <w:rPr>
                <w:b/>
                <w:sz w:val="22"/>
              </w:rPr>
              <w:t>якої</w:t>
            </w:r>
            <w:proofErr w:type="spellEnd"/>
            <w:r w:rsidRPr="007E0AF4">
              <w:rPr>
                <w:b/>
                <w:sz w:val="22"/>
              </w:rPr>
              <w:t xml:space="preserve">  </w:t>
            </w:r>
            <w:proofErr w:type="spellStart"/>
            <w:r w:rsidRPr="007E0AF4">
              <w:rPr>
                <w:b/>
                <w:sz w:val="22"/>
              </w:rPr>
              <w:t>спрямований</w:t>
            </w:r>
            <w:proofErr w:type="spellEnd"/>
            <w:proofErr w:type="gramEnd"/>
            <w:r w:rsidRPr="007E0AF4">
              <w:rPr>
                <w:b/>
                <w:sz w:val="22"/>
              </w:rPr>
              <w:t xml:space="preserve"> проект</w:t>
            </w:r>
          </w:p>
        </w:tc>
        <w:tc>
          <w:tcPr>
            <w:tcW w:w="6945" w:type="dxa"/>
            <w:gridSpan w:val="6"/>
          </w:tcPr>
          <w:p w:rsidR="00654133" w:rsidRPr="007E0AF4" w:rsidRDefault="00654133" w:rsidP="00F34B87">
            <w:pPr>
              <w:ind w:firstLine="86"/>
              <w:rPr>
                <w:rFonts w:eastAsia="Arial"/>
                <w:sz w:val="22"/>
              </w:rPr>
            </w:pPr>
            <w:r w:rsidRPr="007E0AF4">
              <w:rPr>
                <w:sz w:val="22"/>
              </w:rPr>
              <w:t xml:space="preserve">Через </w:t>
            </w:r>
            <w:proofErr w:type="spellStart"/>
            <w:r w:rsidRPr="007E0AF4">
              <w:rPr>
                <w:sz w:val="22"/>
              </w:rPr>
              <w:t>військову</w:t>
            </w:r>
            <w:proofErr w:type="spellEnd"/>
            <w:r w:rsidRPr="007E0AF4">
              <w:rPr>
                <w:sz w:val="22"/>
              </w:rPr>
              <w:t xml:space="preserve"> </w:t>
            </w:r>
            <w:proofErr w:type="spellStart"/>
            <w:r w:rsidRPr="007E0AF4">
              <w:rPr>
                <w:sz w:val="22"/>
              </w:rPr>
              <w:t>агресію</w:t>
            </w:r>
            <w:proofErr w:type="spellEnd"/>
            <w:r w:rsidRPr="007E0AF4">
              <w:rPr>
                <w:sz w:val="22"/>
              </w:rPr>
              <w:t xml:space="preserve"> РФ </w:t>
            </w:r>
            <w:proofErr w:type="spellStart"/>
            <w:r w:rsidRPr="007E0AF4">
              <w:rPr>
                <w:sz w:val="22"/>
              </w:rPr>
              <w:t>територія</w:t>
            </w:r>
            <w:proofErr w:type="spellEnd"/>
            <w:r w:rsidRPr="007E0AF4">
              <w:rPr>
                <w:sz w:val="22"/>
              </w:rPr>
              <w:t xml:space="preserve"> </w:t>
            </w:r>
            <w:proofErr w:type="spellStart"/>
            <w:r w:rsidRPr="007E0AF4">
              <w:rPr>
                <w:sz w:val="22"/>
              </w:rPr>
              <w:t>Сєвєродонецької</w:t>
            </w:r>
            <w:proofErr w:type="spellEnd"/>
            <w:r w:rsidRPr="007E0AF4">
              <w:rPr>
                <w:sz w:val="22"/>
              </w:rPr>
              <w:t xml:space="preserve"> </w:t>
            </w:r>
            <w:proofErr w:type="spellStart"/>
            <w:r w:rsidRPr="007E0AF4">
              <w:rPr>
                <w:sz w:val="22"/>
              </w:rPr>
              <w:t>міської</w:t>
            </w:r>
            <w:proofErr w:type="spellEnd"/>
            <w:r w:rsidRPr="007E0AF4">
              <w:rPr>
                <w:sz w:val="22"/>
              </w:rPr>
              <w:t xml:space="preserve"> </w:t>
            </w:r>
            <w:proofErr w:type="spellStart"/>
            <w:r w:rsidRPr="007E0AF4">
              <w:rPr>
                <w:sz w:val="22"/>
              </w:rPr>
              <w:t>територіальної</w:t>
            </w:r>
            <w:proofErr w:type="spellEnd"/>
            <w:r w:rsidRPr="007E0AF4">
              <w:rPr>
                <w:sz w:val="22"/>
              </w:rPr>
              <w:t xml:space="preserve"> </w:t>
            </w:r>
            <w:proofErr w:type="spellStart"/>
            <w:r w:rsidRPr="007E0AF4">
              <w:rPr>
                <w:sz w:val="22"/>
              </w:rPr>
              <w:t>громади</w:t>
            </w:r>
            <w:proofErr w:type="spellEnd"/>
            <w:r w:rsidRPr="007E0AF4">
              <w:rPr>
                <w:sz w:val="22"/>
              </w:rPr>
              <w:t xml:space="preserve"> </w:t>
            </w:r>
            <w:proofErr w:type="spellStart"/>
            <w:r w:rsidRPr="007E0AF4">
              <w:rPr>
                <w:sz w:val="22"/>
              </w:rPr>
              <w:t>зазнала</w:t>
            </w:r>
            <w:proofErr w:type="spellEnd"/>
            <w:r w:rsidRPr="007E0AF4">
              <w:rPr>
                <w:sz w:val="22"/>
              </w:rPr>
              <w:t xml:space="preserve"> </w:t>
            </w:r>
            <w:proofErr w:type="spellStart"/>
            <w:r w:rsidRPr="007E0AF4">
              <w:rPr>
                <w:sz w:val="22"/>
              </w:rPr>
              <w:t>значних</w:t>
            </w:r>
            <w:proofErr w:type="spellEnd"/>
            <w:r w:rsidRPr="007E0AF4">
              <w:rPr>
                <w:sz w:val="22"/>
              </w:rPr>
              <w:t xml:space="preserve"> </w:t>
            </w:r>
            <w:proofErr w:type="spellStart"/>
            <w:r w:rsidRPr="007E0AF4">
              <w:rPr>
                <w:sz w:val="22"/>
              </w:rPr>
              <w:t>пошкоджень</w:t>
            </w:r>
            <w:proofErr w:type="spellEnd"/>
            <w:r w:rsidRPr="007E0AF4">
              <w:rPr>
                <w:sz w:val="22"/>
              </w:rPr>
              <w:t xml:space="preserve">. </w:t>
            </w:r>
            <w:proofErr w:type="spellStart"/>
            <w:r w:rsidRPr="007E0AF4">
              <w:rPr>
                <w:rFonts w:eastAsia="Arial"/>
                <w:sz w:val="22"/>
              </w:rPr>
              <w:t>Зазнав</w:t>
            </w:r>
            <w:proofErr w:type="spellEnd"/>
            <w:r w:rsidRPr="007E0AF4">
              <w:rPr>
                <w:rFonts w:eastAsia="Arial"/>
                <w:sz w:val="22"/>
              </w:rPr>
              <w:t xml:space="preserve"> </w:t>
            </w:r>
            <w:proofErr w:type="spellStart"/>
            <w:r w:rsidRPr="007E0AF4">
              <w:rPr>
                <w:rFonts w:eastAsia="Arial"/>
                <w:sz w:val="22"/>
              </w:rPr>
              <w:t>пошкоджень</w:t>
            </w:r>
            <w:proofErr w:type="spellEnd"/>
            <w:r w:rsidRPr="007E0AF4">
              <w:rPr>
                <w:rFonts w:eastAsia="Arial"/>
                <w:sz w:val="22"/>
              </w:rPr>
              <w:t xml:space="preserve"> й </w:t>
            </w:r>
            <w:proofErr w:type="spellStart"/>
            <w:r w:rsidRPr="007E0AF4">
              <w:rPr>
                <w:rFonts w:eastAsia="Arial"/>
                <w:sz w:val="22"/>
              </w:rPr>
              <w:t>паркан</w:t>
            </w:r>
            <w:proofErr w:type="spellEnd"/>
            <w:r w:rsidRPr="007E0AF4">
              <w:rPr>
                <w:rFonts w:eastAsia="Arial"/>
                <w:sz w:val="22"/>
              </w:rPr>
              <w:t xml:space="preserve"> </w:t>
            </w:r>
            <w:proofErr w:type="spellStart"/>
            <w:r w:rsidRPr="007E0AF4">
              <w:rPr>
                <w:rFonts w:eastAsia="Arial"/>
                <w:sz w:val="22"/>
              </w:rPr>
              <w:t>навколо</w:t>
            </w:r>
            <w:proofErr w:type="spellEnd"/>
            <w:r w:rsidRPr="007E0AF4">
              <w:rPr>
                <w:rFonts w:eastAsia="Arial"/>
                <w:sz w:val="22"/>
              </w:rPr>
              <w:t xml:space="preserve"> закладу, тому на </w:t>
            </w:r>
            <w:proofErr w:type="spellStart"/>
            <w:r w:rsidRPr="007E0AF4">
              <w:rPr>
                <w:rFonts w:eastAsia="Arial"/>
                <w:sz w:val="22"/>
              </w:rPr>
              <w:t>території</w:t>
            </w:r>
            <w:proofErr w:type="spellEnd"/>
            <w:r w:rsidRPr="007E0AF4">
              <w:rPr>
                <w:rFonts w:eastAsia="Arial"/>
                <w:sz w:val="22"/>
              </w:rPr>
              <w:t xml:space="preserve"> </w:t>
            </w:r>
            <w:proofErr w:type="spellStart"/>
            <w:r w:rsidRPr="007E0AF4">
              <w:rPr>
                <w:rFonts w:eastAsia="Arial"/>
                <w:sz w:val="22"/>
              </w:rPr>
              <w:t>Гімназії</w:t>
            </w:r>
            <w:proofErr w:type="spellEnd"/>
            <w:r w:rsidRPr="007E0AF4">
              <w:rPr>
                <w:rFonts w:eastAsia="Arial"/>
                <w:sz w:val="22"/>
              </w:rPr>
              <w:t xml:space="preserve"> № 12 </w:t>
            </w:r>
            <w:proofErr w:type="spellStart"/>
            <w:r w:rsidRPr="007E0AF4">
              <w:rPr>
                <w:rFonts w:eastAsia="Arial"/>
                <w:sz w:val="22"/>
              </w:rPr>
              <w:t>майже</w:t>
            </w:r>
            <w:proofErr w:type="spellEnd"/>
            <w:r w:rsidRPr="007E0AF4">
              <w:rPr>
                <w:rFonts w:eastAsia="Arial"/>
                <w:sz w:val="22"/>
              </w:rPr>
              <w:t xml:space="preserve"> </w:t>
            </w:r>
            <w:proofErr w:type="spellStart"/>
            <w:r w:rsidRPr="007E0AF4">
              <w:rPr>
                <w:rFonts w:eastAsia="Arial"/>
                <w:sz w:val="22"/>
              </w:rPr>
              <w:t>відсутня</w:t>
            </w:r>
            <w:proofErr w:type="spellEnd"/>
            <w:r w:rsidRPr="007E0AF4">
              <w:rPr>
                <w:rFonts w:eastAsia="Arial"/>
                <w:sz w:val="22"/>
              </w:rPr>
              <w:t xml:space="preserve"> огорожа. </w:t>
            </w:r>
            <w:r w:rsidR="00BF3E93" w:rsidRPr="007E0AF4">
              <w:rPr>
                <w:rFonts w:eastAsia="Arial"/>
                <w:sz w:val="22"/>
              </w:rPr>
              <w:t xml:space="preserve">Через </w:t>
            </w:r>
            <w:proofErr w:type="spellStart"/>
            <w:r w:rsidR="00BF3E93" w:rsidRPr="007E0AF4">
              <w:rPr>
                <w:rFonts w:eastAsia="Arial"/>
                <w:sz w:val="22"/>
              </w:rPr>
              <w:t>це</w:t>
            </w:r>
            <w:proofErr w:type="spellEnd"/>
            <w:r w:rsidRPr="007E0AF4">
              <w:rPr>
                <w:rFonts w:eastAsia="Arial"/>
                <w:sz w:val="22"/>
              </w:rPr>
              <w:t xml:space="preserve"> на </w:t>
            </w:r>
            <w:proofErr w:type="spellStart"/>
            <w:r w:rsidRPr="007E0AF4">
              <w:rPr>
                <w:rFonts w:eastAsia="Arial"/>
                <w:sz w:val="22"/>
              </w:rPr>
              <w:t>території</w:t>
            </w:r>
            <w:proofErr w:type="spellEnd"/>
            <w:r w:rsidRPr="007E0AF4">
              <w:rPr>
                <w:rFonts w:eastAsia="Arial"/>
                <w:sz w:val="22"/>
              </w:rPr>
              <w:t xml:space="preserve"> </w:t>
            </w:r>
            <w:proofErr w:type="spellStart"/>
            <w:r w:rsidRPr="007E0AF4">
              <w:rPr>
                <w:rFonts w:eastAsia="Arial"/>
                <w:sz w:val="22"/>
              </w:rPr>
              <w:t>школи</w:t>
            </w:r>
            <w:proofErr w:type="spellEnd"/>
            <w:r w:rsidRPr="007E0AF4">
              <w:rPr>
                <w:rFonts w:eastAsia="Arial"/>
                <w:sz w:val="22"/>
              </w:rPr>
              <w:t xml:space="preserve"> </w:t>
            </w:r>
            <w:proofErr w:type="spellStart"/>
            <w:r w:rsidRPr="007E0AF4">
              <w:rPr>
                <w:rFonts w:eastAsia="Arial"/>
                <w:sz w:val="22"/>
              </w:rPr>
              <w:t>вигулюють</w:t>
            </w:r>
            <w:proofErr w:type="spellEnd"/>
            <w:r w:rsidRPr="007E0AF4">
              <w:rPr>
                <w:rFonts w:eastAsia="Arial"/>
                <w:sz w:val="22"/>
              </w:rPr>
              <w:t xml:space="preserve"> собак, </w:t>
            </w:r>
            <w:proofErr w:type="spellStart"/>
            <w:r w:rsidRPr="007E0AF4">
              <w:rPr>
                <w:rFonts w:eastAsia="Arial"/>
                <w:sz w:val="22"/>
              </w:rPr>
              <w:t>можуть</w:t>
            </w:r>
            <w:proofErr w:type="spellEnd"/>
            <w:r w:rsidRPr="007E0AF4">
              <w:rPr>
                <w:rFonts w:eastAsia="Arial"/>
                <w:sz w:val="22"/>
              </w:rPr>
              <w:t xml:space="preserve"> </w:t>
            </w:r>
            <w:proofErr w:type="spellStart"/>
            <w:r w:rsidRPr="007E0AF4">
              <w:rPr>
                <w:rFonts w:eastAsia="Arial"/>
                <w:sz w:val="22"/>
              </w:rPr>
              <w:t>знаходитися</w:t>
            </w:r>
            <w:proofErr w:type="spellEnd"/>
            <w:r w:rsidRPr="007E0AF4">
              <w:rPr>
                <w:rFonts w:eastAsia="Arial"/>
                <w:sz w:val="22"/>
              </w:rPr>
              <w:t xml:space="preserve"> </w:t>
            </w:r>
            <w:proofErr w:type="spellStart"/>
            <w:r w:rsidRPr="007E0AF4">
              <w:rPr>
                <w:rFonts w:eastAsia="Arial"/>
                <w:sz w:val="22"/>
              </w:rPr>
              <w:t>різноманітні</w:t>
            </w:r>
            <w:proofErr w:type="spellEnd"/>
            <w:r w:rsidRPr="007E0AF4">
              <w:rPr>
                <w:rFonts w:eastAsia="Arial"/>
                <w:sz w:val="22"/>
              </w:rPr>
              <w:t xml:space="preserve"> люди, </w:t>
            </w:r>
            <w:proofErr w:type="spellStart"/>
            <w:r w:rsidRPr="007E0AF4">
              <w:rPr>
                <w:rFonts w:eastAsia="Arial"/>
                <w:sz w:val="22"/>
              </w:rPr>
              <w:t>які</w:t>
            </w:r>
            <w:proofErr w:type="spellEnd"/>
            <w:r w:rsidRPr="007E0AF4">
              <w:rPr>
                <w:rFonts w:eastAsia="Arial"/>
                <w:sz w:val="22"/>
              </w:rPr>
              <w:t xml:space="preserve"> </w:t>
            </w:r>
            <w:proofErr w:type="spellStart"/>
            <w:r w:rsidRPr="007E0AF4">
              <w:rPr>
                <w:rFonts w:eastAsia="Arial"/>
                <w:sz w:val="22"/>
              </w:rPr>
              <w:t>досить</w:t>
            </w:r>
            <w:proofErr w:type="spellEnd"/>
            <w:r w:rsidRPr="007E0AF4">
              <w:rPr>
                <w:rFonts w:eastAsia="Arial"/>
                <w:sz w:val="22"/>
              </w:rPr>
              <w:t xml:space="preserve"> часто </w:t>
            </w:r>
            <w:proofErr w:type="spellStart"/>
            <w:r w:rsidRPr="007E0AF4">
              <w:rPr>
                <w:rFonts w:eastAsia="Arial"/>
                <w:sz w:val="22"/>
              </w:rPr>
              <w:t>кидають</w:t>
            </w:r>
            <w:proofErr w:type="spellEnd"/>
            <w:r w:rsidRPr="007E0AF4">
              <w:rPr>
                <w:rFonts w:eastAsia="Arial"/>
                <w:sz w:val="22"/>
              </w:rPr>
              <w:t xml:space="preserve"> </w:t>
            </w:r>
            <w:proofErr w:type="spellStart"/>
            <w:r w:rsidRPr="007E0AF4">
              <w:rPr>
                <w:rFonts w:eastAsia="Arial"/>
                <w:sz w:val="22"/>
              </w:rPr>
              <w:t>сміття</w:t>
            </w:r>
            <w:proofErr w:type="spellEnd"/>
            <w:r w:rsidRPr="007E0AF4">
              <w:rPr>
                <w:rFonts w:eastAsia="Arial"/>
                <w:sz w:val="22"/>
              </w:rPr>
              <w:t xml:space="preserve">, </w:t>
            </w:r>
            <w:proofErr w:type="spellStart"/>
            <w:r w:rsidRPr="007E0AF4">
              <w:rPr>
                <w:rFonts w:eastAsia="Arial"/>
                <w:sz w:val="22"/>
              </w:rPr>
              <w:t>псують</w:t>
            </w:r>
            <w:proofErr w:type="spellEnd"/>
            <w:r w:rsidRPr="007E0AF4">
              <w:rPr>
                <w:rFonts w:eastAsia="Arial"/>
                <w:sz w:val="22"/>
              </w:rPr>
              <w:t xml:space="preserve"> </w:t>
            </w:r>
            <w:proofErr w:type="spellStart"/>
            <w:r w:rsidRPr="007E0AF4">
              <w:rPr>
                <w:rFonts w:eastAsia="Arial"/>
                <w:sz w:val="22"/>
              </w:rPr>
              <w:t>шкільне</w:t>
            </w:r>
            <w:proofErr w:type="spellEnd"/>
            <w:r w:rsidRPr="007E0AF4">
              <w:rPr>
                <w:rFonts w:eastAsia="Arial"/>
                <w:sz w:val="22"/>
              </w:rPr>
              <w:t xml:space="preserve"> </w:t>
            </w:r>
            <w:proofErr w:type="spellStart"/>
            <w:r w:rsidRPr="007E0AF4">
              <w:rPr>
                <w:rFonts w:eastAsia="Arial"/>
                <w:sz w:val="22"/>
              </w:rPr>
              <w:t>майно</w:t>
            </w:r>
            <w:proofErr w:type="spellEnd"/>
            <w:r w:rsidRPr="007E0AF4">
              <w:rPr>
                <w:rFonts w:eastAsia="Arial"/>
                <w:sz w:val="22"/>
              </w:rPr>
              <w:t xml:space="preserve">, </w:t>
            </w:r>
            <w:proofErr w:type="spellStart"/>
            <w:r w:rsidRPr="007E0AF4">
              <w:rPr>
                <w:rFonts w:eastAsia="Arial"/>
                <w:sz w:val="22"/>
              </w:rPr>
              <w:t>здійснюють</w:t>
            </w:r>
            <w:proofErr w:type="spellEnd"/>
            <w:r w:rsidRPr="007E0AF4">
              <w:rPr>
                <w:rFonts w:eastAsia="Arial"/>
                <w:sz w:val="22"/>
              </w:rPr>
              <w:t xml:space="preserve"> </w:t>
            </w:r>
            <w:proofErr w:type="spellStart"/>
            <w:r w:rsidRPr="007E0AF4">
              <w:rPr>
                <w:rFonts w:eastAsia="Arial"/>
                <w:sz w:val="22"/>
              </w:rPr>
              <w:t>крадіжки</w:t>
            </w:r>
            <w:proofErr w:type="spellEnd"/>
            <w:r w:rsidRPr="007E0AF4">
              <w:rPr>
                <w:rFonts w:eastAsia="Arial"/>
                <w:sz w:val="22"/>
              </w:rPr>
              <w:t xml:space="preserve">, </w:t>
            </w:r>
            <w:proofErr w:type="spellStart"/>
            <w:r w:rsidRPr="007E0AF4">
              <w:rPr>
                <w:rFonts w:eastAsia="Arial"/>
                <w:sz w:val="22"/>
              </w:rPr>
              <w:t>розпивають</w:t>
            </w:r>
            <w:proofErr w:type="spellEnd"/>
            <w:r w:rsidRPr="007E0AF4">
              <w:rPr>
                <w:rFonts w:eastAsia="Arial"/>
                <w:sz w:val="22"/>
              </w:rPr>
              <w:t xml:space="preserve"> </w:t>
            </w:r>
            <w:proofErr w:type="spellStart"/>
            <w:r w:rsidRPr="007E0AF4">
              <w:rPr>
                <w:rFonts w:eastAsia="Arial"/>
                <w:sz w:val="22"/>
              </w:rPr>
              <w:t>спиртні</w:t>
            </w:r>
            <w:proofErr w:type="spellEnd"/>
            <w:r w:rsidRPr="007E0AF4">
              <w:rPr>
                <w:rFonts w:eastAsia="Arial"/>
                <w:sz w:val="22"/>
              </w:rPr>
              <w:t xml:space="preserve"> </w:t>
            </w:r>
            <w:proofErr w:type="spellStart"/>
            <w:r w:rsidRPr="007E0AF4">
              <w:rPr>
                <w:rFonts w:eastAsia="Arial"/>
                <w:sz w:val="22"/>
              </w:rPr>
              <w:t>напої</w:t>
            </w:r>
            <w:proofErr w:type="spellEnd"/>
            <w:r w:rsidRPr="007E0AF4">
              <w:rPr>
                <w:rFonts w:eastAsia="Arial"/>
                <w:sz w:val="22"/>
              </w:rPr>
              <w:t xml:space="preserve">. </w:t>
            </w:r>
          </w:p>
          <w:p w:rsidR="00654133" w:rsidRPr="007E0AF4" w:rsidRDefault="00654133" w:rsidP="00F34B87">
            <w:pPr>
              <w:ind w:firstLine="86"/>
              <w:rPr>
                <w:rFonts w:eastAsia="Arial"/>
                <w:sz w:val="22"/>
              </w:rPr>
            </w:pPr>
            <w:proofErr w:type="spellStart"/>
            <w:r w:rsidRPr="007E0AF4">
              <w:rPr>
                <w:rFonts w:eastAsia="Arial"/>
                <w:sz w:val="22"/>
              </w:rPr>
              <w:t>Організація</w:t>
            </w:r>
            <w:proofErr w:type="spellEnd"/>
            <w:r w:rsidRPr="007E0AF4">
              <w:rPr>
                <w:rFonts w:eastAsia="Arial"/>
                <w:sz w:val="22"/>
              </w:rPr>
              <w:t xml:space="preserve"> </w:t>
            </w:r>
            <w:proofErr w:type="spellStart"/>
            <w:r w:rsidRPr="007E0AF4">
              <w:rPr>
                <w:rFonts w:eastAsia="Arial"/>
                <w:sz w:val="22"/>
              </w:rPr>
              <w:t>заходів</w:t>
            </w:r>
            <w:proofErr w:type="spellEnd"/>
            <w:r w:rsidRPr="007E0AF4">
              <w:rPr>
                <w:rFonts w:eastAsia="Arial"/>
                <w:sz w:val="22"/>
              </w:rPr>
              <w:t xml:space="preserve"> </w:t>
            </w:r>
            <w:proofErr w:type="spellStart"/>
            <w:r w:rsidRPr="007E0AF4">
              <w:rPr>
                <w:rFonts w:eastAsia="Arial"/>
                <w:sz w:val="22"/>
              </w:rPr>
              <w:t>безпеки</w:t>
            </w:r>
            <w:proofErr w:type="spellEnd"/>
            <w:r w:rsidRPr="007E0AF4">
              <w:rPr>
                <w:rFonts w:eastAsia="Arial"/>
                <w:sz w:val="22"/>
              </w:rPr>
              <w:t xml:space="preserve"> </w:t>
            </w:r>
            <w:proofErr w:type="spellStart"/>
            <w:r w:rsidRPr="007E0AF4">
              <w:rPr>
                <w:rFonts w:eastAsia="Arial"/>
                <w:sz w:val="22"/>
              </w:rPr>
              <w:t>навчального</w:t>
            </w:r>
            <w:proofErr w:type="spellEnd"/>
            <w:r w:rsidRPr="007E0AF4">
              <w:rPr>
                <w:rFonts w:eastAsia="Arial"/>
                <w:sz w:val="22"/>
              </w:rPr>
              <w:t xml:space="preserve"> закладу </w:t>
            </w:r>
            <w:proofErr w:type="spellStart"/>
            <w:r w:rsidRPr="007E0AF4">
              <w:rPr>
                <w:rFonts w:eastAsia="Arial"/>
                <w:sz w:val="22"/>
              </w:rPr>
              <w:t>передбачає</w:t>
            </w:r>
            <w:proofErr w:type="spellEnd"/>
            <w:r w:rsidRPr="007E0AF4">
              <w:rPr>
                <w:rFonts w:eastAsia="Arial"/>
                <w:sz w:val="22"/>
              </w:rPr>
              <w:t xml:space="preserve">, </w:t>
            </w:r>
            <w:proofErr w:type="spellStart"/>
            <w:r w:rsidRPr="007E0AF4">
              <w:rPr>
                <w:rFonts w:eastAsia="Arial"/>
                <w:sz w:val="22"/>
              </w:rPr>
              <w:t>крім</w:t>
            </w:r>
            <w:proofErr w:type="spellEnd"/>
            <w:r w:rsidRPr="007E0AF4">
              <w:rPr>
                <w:rFonts w:eastAsia="Arial"/>
                <w:sz w:val="22"/>
              </w:rPr>
              <w:t xml:space="preserve"> </w:t>
            </w:r>
            <w:proofErr w:type="spellStart"/>
            <w:r w:rsidRPr="007E0AF4">
              <w:rPr>
                <w:rFonts w:eastAsia="Arial"/>
                <w:sz w:val="22"/>
              </w:rPr>
              <w:t>наявності</w:t>
            </w:r>
            <w:proofErr w:type="spellEnd"/>
            <w:r w:rsidRPr="007E0AF4">
              <w:rPr>
                <w:rFonts w:eastAsia="Arial"/>
                <w:sz w:val="22"/>
              </w:rPr>
              <w:t xml:space="preserve"> </w:t>
            </w:r>
            <w:proofErr w:type="spellStart"/>
            <w:r w:rsidRPr="007E0AF4">
              <w:rPr>
                <w:rFonts w:eastAsia="Arial"/>
                <w:sz w:val="22"/>
              </w:rPr>
              <w:t>сучасної</w:t>
            </w:r>
            <w:proofErr w:type="spellEnd"/>
            <w:r w:rsidRPr="007E0AF4">
              <w:rPr>
                <w:rFonts w:eastAsia="Arial"/>
                <w:sz w:val="22"/>
              </w:rPr>
              <w:t xml:space="preserve"> </w:t>
            </w:r>
            <w:proofErr w:type="spellStart"/>
            <w:r w:rsidRPr="007E0AF4">
              <w:rPr>
                <w:rFonts w:eastAsia="Arial"/>
                <w:sz w:val="22"/>
              </w:rPr>
              <w:t>огорожі</w:t>
            </w:r>
            <w:proofErr w:type="spellEnd"/>
            <w:r w:rsidRPr="007E0AF4">
              <w:rPr>
                <w:rFonts w:eastAsia="Arial"/>
                <w:sz w:val="22"/>
              </w:rPr>
              <w:t xml:space="preserve">, </w:t>
            </w:r>
            <w:proofErr w:type="spellStart"/>
            <w:r w:rsidRPr="007E0AF4">
              <w:rPr>
                <w:rFonts w:eastAsia="Arial"/>
                <w:sz w:val="22"/>
              </w:rPr>
              <w:t>ще</w:t>
            </w:r>
            <w:proofErr w:type="spellEnd"/>
            <w:r w:rsidRPr="007E0AF4">
              <w:rPr>
                <w:rFonts w:eastAsia="Arial"/>
                <w:sz w:val="22"/>
              </w:rPr>
              <w:t xml:space="preserve"> й систему </w:t>
            </w:r>
            <w:proofErr w:type="spellStart"/>
            <w:r w:rsidRPr="007E0AF4">
              <w:rPr>
                <w:rFonts w:eastAsia="Arial"/>
                <w:sz w:val="22"/>
              </w:rPr>
              <w:t>відеонагляду</w:t>
            </w:r>
            <w:proofErr w:type="spellEnd"/>
            <w:r w:rsidRPr="007E0AF4">
              <w:rPr>
                <w:rFonts w:eastAsia="Arial"/>
                <w:sz w:val="22"/>
              </w:rPr>
              <w:t xml:space="preserve">, </w:t>
            </w:r>
            <w:proofErr w:type="spellStart"/>
            <w:r w:rsidRPr="007E0AF4">
              <w:rPr>
                <w:rFonts w:eastAsia="Arial"/>
                <w:sz w:val="22"/>
              </w:rPr>
              <w:t>що</w:t>
            </w:r>
            <w:proofErr w:type="spellEnd"/>
            <w:r w:rsidRPr="007E0AF4">
              <w:rPr>
                <w:rFonts w:eastAsia="Arial"/>
                <w:sz w:val="22"/>
              </w:rPr>
              <w:t xml:space="preserve"> </w:t>
            </w:r>
            <w:proofErr w:type="spellStart"/>
            <w:r w:rsidRPr="007E0AF4">
              <w:rPr>
                <w:rFonts w:eastAsia="Arial"/>
                <w:sz w:val="22"/>
              </w:rPr>
              <w:t>покращить</w:t>
            </w:r>
            <w:proofErr w:type="spellEnd"/>
            <w:r w:rsidRPr="007E0AF4">
              <w:rPr>
                <w:rFonts w:eastAsia="Arial"/>
                <w:sz w:val="22"/>
              </w:rPr>
              <w:t xml:space="preserve"> </w:t>
            </w:r>
            <w:proofErr w:type="spellStart"/>
            <w:r w:rsidRPr="007E0AF4">
              <w:rPr>
                <w:rFonts w:eastAsia="Arial"/>
                <w:sz w:val="22"/>
              </w:rPr>
              <w:t>забезпечення</w:t>
            </w:r>
            <w:proofErr w:type="spellEnd"/>
            <w:r w:rsidRPr="007E0AF4">
              <w:rPr>
                <w:rFonts w:eastAsia="Arial"/>
                <w:sz w:val="22"/>
              </w:rPr>
              <w:t xml:space="preserve"> </w:t>
            </w:r>
            <w:proofErr w:type="spellStart"/>
            <w:r w:rsidRPr="007E0AF4">
              <w:rPr>
                <w:rFonts w:eastAsia="Arial"/>
                <w:sz w:val="22"/>
              </w:rPr>
              <w:t>громадського</w:t>
            </w:r>
            <w:proofErr w:type="spellEnd"/>
            <w:r w:rsidRPr="007E0AF4">
              <w:rPr>
                <w:rFonts w:eastAsia="Arial"/>
                <w:sz w:val="22"/>
              </w:rPr>
              <w:t xml:space="preserve"> правопорядку, </w:t>
            </w:r>
            <w:proofErr w:type="spellStart"/>
            <w:r w:rsidRPr="007E0AF4">
              <w:rPr>
                <w:rFonts w:eastAsia="Arial"/>
                <w:sz w:val="22"/>
              </w:rPr>
              <w:t>підвищення</w:t>
            </w:r>
            <w:proofErr w:type="spellEnd"/>
            <w:r w:rsidRPr="007E0AF4">
              <w:rPr>
                <w:rFonts w:eastAsia="Arial"/>
                <w:sz w:val="22"/>
              </w:rPr>
              <w:t xml:space="preserve"> </w:t>
            </w:r>
            <w:proofErr w:type="spellStart"/>
            <w:r w:rsidRPr="007E0AF4">
              <w:rPr>
                <w:rFonts w:eastAsia="Arial"/>
                <w:sz w:val="22"/>
              </w:rPr>
              <w:t>ефективності</w:t>
            </w:r>
            <w:proofErr w:type="spellEnd"/>
            <w:r w:rsidRPr="007E0AF4">
              <w:rPr>
                <w:rFonts w:eastAsia="Arial"/>
                <w:sz w:val="22"/>
              </w:rPr>
              <w:t xml:space="preserve"> </w:t>
            </w:r>
            <w:proofErr w:type="spellStart"/>
            <w:r w:rsidRPr="007E0AF4">
              <w:rPr>
                <w:rFonts w:eastAsia="Arial"/>
                <w:sz w:val="22"/>
              </w:rPr>
              <w:t>діяльності</w:t>
            </w:r>
            <w:proofErr w:type="spellEnd"/>
            <w:r w:rsidRPr="007E0AF4">
              <w:rPr>
                <w:rFonts w:eastAsia="Arial"/>
                <w:sz w:val="22"/>
              </w:rPr>
              <w:t xml:space="preserve"> </w:t>
            </w:r>
            <w:proofErr w:type="spellStart"/>
            <w:r w:rsidRPr="007E0AF4">
              <w:rPr>
                <w:rFonts w:eastAsia="Arial"/>
                <w:sz w:val="22"/>
              </w:rPr>
              <w:t>правоохоронних</w:t>
            </w:r>
            <w:proofErr w:type="spellEnd"/>
            <w:r w:rsidRPr="007E0AF4">
              <w:rPr>
                <w:rFonts w:eastAsia="Arial"/>
                <w:sz w:val="22"/>
              </w:rPr>
              <w:t xml:space="preserve"> </w:t>
            </w:r>
            <w:proofErr w:type="spellStart"/>
            <w:r w:rsidRPr="007E0AF4">
              <w:rPr>
                <w:rFonts w:eastAsia="Arial"/>
                <w:sz w:val="22"/>
              </w:rPr>
              <w:t>органів</w:t>
            </w:r>
            <w:proofErr w:type="spellEnd"/>
            <w:r w:rsidRPr="007E0AF4">
              <w:rPr>
                <w:rFonts w:eastAsia="Arial"/>
                <w:sz w:val="22"/>
              </w:rPr>
              <w:t xml:space="preserve"> з </w:t>
            </w:r>
            <w:proofErr w:type="spellStart"/>
            <w:r w:rsidRPr="007E0AF4">
              <w:rPr>
                <w:rFonts w:eastAsia="Arial"/>
                <w:sz w:val="22"/>
              </w:rPr>
              <w:t>розкриття</w:t>
            </w:r>
            <w:proofErr w:type="spellEnd"/>
            <w:r w:rsidRPr="007E0AF4">
              <w:rPr>
                <w:rFonts w:eastAsia="Arial"/>
                <w:sz w:val="22"/>
              </w:rPr>
              <w:t xml:space="preserve"> і </w:t>
            </w:r>
            <w:proofErr w:type="spellStart"/>
            <w:r w:rsidRPr="007E0AF4">
              <w:rPr>
                <w:rFonts w:eastAsia="Arial"/>
                <w:sz w:val="22"/>
              </w:rPr>
              <w:t>розслідування</w:t>
            </w:r>
            <w:proofErr w:type="spellEnd"/>
            <w:r w:rsidRPr="007E0AF4">
              <w:rPr>
                <w:rFonts w:eastAsia="Arial"/>
                <w:sz w:val="22"/>
              </w:rPr>
              <w:t xml:space="preserve"> </w:t>
            </w:r>
            <w:proofErr w:type="spellStart"/>
            <w:r w:rsidRPr="007E0AF4">
              <w:rPr>
                <w:rFonts w:eastAsia="Arial"/>
                <w:sz w:val="22"/>
              </w:rPr>
              <w:t>злочинів</w:t>
            </w:r>
            <w:proofErr w:type="spellEnd"/>
            <w:r w:rsidRPr="007E0AF4">
              <w:rPr>
                <w:rFonts w:eastAsia="Arial"/>
                <w:sz w:val="22"/>
              </w:rPr>
              <w:t xml:space="preserve"> та </w:t>
            </w:r>
            <w:proofErr w:type="spellStart"/>
            <w:r w:rsidRPr="007E0AF4">
              <w:rPr>
                <w:rFonts w:eastAsia="Arial"/>
                <w:sz w:val="22"/>
              </w:rPr>
              <w:t>правопорушень</w:t>
            </w:r>
            <w:proofErr w:type="spellEnd"/>
            <w:r w:rsidRPr="007E0AF4">
              <w:rPr>
                <w:rFonts w:eastAsia="Arial"/>
                <w:sz w:val="22"/>
              </w:rPr>
              <w:t xml:space="preserve"> за </w:t>
            </w:r>
            <w:proofErr w:type="spellStart"/>
            <w:r w:rsidRPr="007E0AF4">
              <w:rPr>
                <w:rFonts w:eastAsia="Arial"/>
                <w:sz w:val="22"/>
              </w:rPr>
              <w:t>допомогою</w:t>
            </w:r>
            <w:proofErr w:type="spellEnd"/>
            <w:r w:rsidRPr="007E0AF4">
              <w:rPr>
                <w:rFonts w:eastAsia="Arial"/>
                <w:sz w:val="22"/>
              </w:rPr>
              <w:t xml:space="preserve"> </w:t>
            </w:r>
            <w:proofErr w:type="spellStart"/>
            <w:r w:rsidRPr="007E0AF4">
              <w:rPr>
                <w:rFonts w:eastAsia="Arial"/>
                <w:sz w:val="22"/>
              </w:rPr>
              <w:t>використання</w:t>
            </w:r>
            <w:proofErr w:type="spellEnd"/>
            <w:r w:rsidRPr="007E0AF4">
              <w:rPr>
                <w:rFonts w:eastAsia="Arial"/>
                <w:sz w:val="22"/>
              </w:rPr>
              <w:t xml:space="preserve"> </w:t>
            </w:r>
            <w:proofErr w:type="spellStart"/>
            <w:r w:rsidRPr="007E0AF4">
              <w:rPr>
                <w:rFonts w:eastAsia="Arial"/>
                <w:sz w:val="22"/>
              </w:rPr>
              <w:t>бази</w:t>
            </w:r>
            <w:proofErr w:type="spellEnd"/>
            <w:r w:rsidRPr="007E0AF4">
              <w:rPr>
                <w:rFonts w:eastAsia="Arial"/>
                <w:sz w:val="22"/>
              </w:rPr>
              <w:t xml:space="preserve"> </w:t>
            </w:r>
            <w:proofErr w:type="spellStart"/>
            <w:r w:rsidRPr="007E0AF4">
              <w:rPr>
                <w:rFonts w:eastAsia="Arial"/>
                <w:sz w:val="22"/>
              </w:rPr>
              <w:t>відеоінформації</w:t>
            </w:r>
            <w:proofErr w:type="spellEnd"/>
            <w:r w:rsidRPr="007E0AF4">
              <w:rPr>
                <w:rFonts w:eastAsia="Arial"/>
                <w:sz w:val="22"/>
              </w:rPr>
              <w:t xml:space="preserve"> </w:t>
            </w:r>
            <w:proofErr w:type="spellStart"/>
            <w:r w:rsidRPr="007E0AF4">
              <w:rPr>
                <w:rFonts w:eastAsia="Arial"/>
                <w:sz w:val="22"/>
              </w:rPr>
              <w:t>системи</w:t>
            </w:r>
            <w:proofErr w:type="spellEnd"/>
            <w:r w:rsidRPr="007E0AF4">
              <w:rPr>
                <w:rFonts w:eastAsia="Arial"/>
                <w:sz w:val="22"/>
              </w:rPr>
              <w:t xml:space="preserve"> </w:t>
            </w:r>
            <w:proofErr w:type="spellStart"/>
            <w:r w:rsidRPr="007E0AF4">
              <w:rPr>
                <w:rFonts w:eastAsia="Arial"/>
                <w:sz w:val="22"/>
              </w:rPr>
              <w:t>відеоспостереження</w:t>
            </w:r>
            <w:proofErr w:type="spellEnd"/>
            <w:r w:rsidRPr="007E0AF4">
              <w:rPr>
                <w:rFonts w:eastAsia="Arial"/>
                <w:sz w:val="22"/>
              </w:rPr>
              <w:t>.</w:t>
            </w:r>
          </w:p>
          <w:p w:rsidR="00654133" w:rsidRPr="007E0AF4" w:rsidRDefault="00654133" w:rsidP="00F34B87">
            <w:pPr>
              <w:ind w:firstLine="86"/>
              <w:rPr>
                <w:sz w:val="22"/>
              </w:rPr>
            </w:pPr>
            <w:r w:rsidRPr="007E0AF4">
              <w:rPr>
                <w:rFonts w:eastAsia="Arial"/>
                <w:sz w:val="22"/>
              </w:rPr>
              <w:t xml:space="preserve">Для </w:t>
            </w:r>
            <w:proofErr w:type="spellStart"/>
            <w:r w:rsidRPr="007E0AF4">
              <w:rPr>
                <w:rFonts w:eastAsia="Arial"/>
                <w:sz w:val="22"/>
              </w:rPr>
              <w:t>відбудови</w:t>
            </w:r>
            <w:proofErr w:type="spellEnd"/>
            <w:r w:rsidRPr="007E0AF4">
              <w:rPr>
                <w:rFonts w:eastAsia="Arial"/>
                <w:sz w:val="22"/>
              </w:rPr>
              <w:t xml:space="preserve"> та </w:t>
            </w:r>
            <w:proofErr w:type="spellStart"/>
            <w:r w:rsidRPr="007E0AF4">
              <w:rPr>
                <w:rFonts w:eastAsia="Arial"/>
                <w:sz w:val="22"/>
              </w:rPr>
              <w:t>сталого</w:t>
            </w:r>
            <w:proofErr w:type="spellEnd"/>
            <w:r w:rsidRPr="007E0AF4">
              <w:rPr>
                <w:rFonts w:eastAsia="Arial"/>
                <w:sz w:val="22"/>
              </w:rPr>
              <w:t xml:space="preserve"> </w:t>
            </w:r>
            <w:proofErr w:type="spellStart"/>
            <w:r w:rsidRPr="007E0AF4">
              <w:rPr>
                <w:rFonts w:eastAsia="Arial"/>
                <w:sz w:val="22"/>
              </w:rPr>
              <w:t>розвитку</w:t>
            </w:r>
            <w:proofErr w:type="spellEnd"/>
            <w:r w:rsidRPr="007E0AF4">
              <w:rPr>
                <w:rFonts w:eastAsia="Arial"/>
                <w:sz w:val="22"/>
              </w:rPr>
              <w:t xml:space="preserve"> </w:t>
            </w:r>
            <w:proofErr w:type="spellStart"/>
            <w:r w:rsidRPr="007E0AF4">
              <w:rPr>
                <w:rFonts w:eastAsia="Arial"/>
                <w:sz w:val="22"/>
              </w:rPr>
              <w:t>громади</w:t>
            </w:r>
            <w:proofErr w:type="spellEnd"/>
            <w:r w:rsidRPr="007E0AF4">
              <w:rPr>
                <w:rFonts w:eastAsia="Arial"/>
                <w:sz w:val="22"/>
              </w:rPr>
              <w:t xml:space="preserve"> </w:t>
            </w:r>
            <w:proofErr w:type="spellStart"/>
            <w:r w:rsidRPr="007E0AF4">
              <w:rPr>
                <w:rFonts w:eastAsia="Arial"/>
                <w:sz w:val="22"/>
              </w:rPr>
              <w:t>потрібне</w:t>
            </w:r>
            <w:proofErr w:type="spellEnd"/>
            <w:r w:rsidRPr="007E0AF4">
              <w:rPr>
                <w:rFonts w:eastAsia="Arial"/>
                <w:sz w:val="22"/>
              </w:rPr>
              <w:t xml:space="preserve"> </w:t>
            </w:r>
            <w:proofErr w:type="spellStart"/>
            <w:r w:rsidRPr="007E0AF4">
              <w:rPr>
                <w:sz w:val="22"/>
              </w:rPr>
              <w:t>будівництво</w:t>
            </w:r>
            <w:proofErr w:type="spellEnd"/>
            <w:r w:rsidRPr="007E0AF4">
              <w:rPr>
                <w:sz w:val="22"/>
              </w:rPr>
              <w:t xml:space="preserve"> </w:t>
            </w:r>
            <w:proofErr w:type="spellStart"/>
            <w:r w:rsidRPr="007E0AF4">
              <w:rPr>
                <w:sz w:val="22"/>
              </w:rPr>
              <w:t>сучасного</w:t>
            </w:r>
            <w:proofErr w:type="spellEnd"/>
            <w:r w:rsidRPr="007E0AF4">
              <w:rPr>
                <w:sz w:val="22"/>
              </w:rPr>
              <w:t xml:space="preserve"> </w:t>
            </w:r>
            <w:proofErr w:type="spellStart"/>
            <w:r w:rsidRPr="007E0AF4">
              <w:rPr>
                <w:sz w:val="22"/>
              </w:rPr>
              <w:t>паркану</w:t>
            </w:r>
            <w:proofErr w:type="spellEnd"/>
            <w:r w:rsidRPr="007E0AF4">
              <w:rPr>
                <w:sz w:val="22"/>
              </w:rPr>
              <w:t xml:space="preserve"> та </w:t>
            </w:r>
            <w:proofErr w:type="spellStart"/>
            <w:r w:rsidRPr="007E0AF4">
              <w:rPr>
                <w:sz w:val="22"/>
              </w:rPr>
              <w:t>встановлення</w:t>
            </w:r>
            <w:proofErr w:type="spellEnd"/>
            <w:r w:rsidRPr="007E0AF4">
              <w:rPr>
                <w:sz w:val="22"/>
              </w:rPr>
              <w:t xml:space="preserve"> </w:t>
            </w:r>
            <w:proofErr w:type="spellStart"/>
            <w:r w:rsidRPr="007E0AF4">
              <w:rPr>
                <w:sz w:val="22"/>
              </w:rPr>
              <w:t>системи</w:t>
            </w:r>
            <w:proofErr w:type="spellEnd"/>
            <w:r w:rsidRPr="007E0AF4">
              <w:rPr>
                <w:sz w:val="22"/>
              </w:rPr>
              <w:t xml:space="preserve"> </w:t>
            </w:r>
            <w:proofErr w:type="spellStart"/>
            <w:r w:rsidRPr="007E0AF4">
              <w:rPr>
                <w:sz w:val="22"/>
              </w:rPr>
              <w:t>відеоспостереження</w:t>
            </w:r>
            <w:proofErr w:type="spellEnd"/>
            <w:r w:rsidRPr="007E0AF4">
              <w:rPr>
                <w:sz w:val="22"/>
              </w:rPr>
              <w:t xml:space="preserve">. </w:t>
            </w:r>
            <w:proofErr w:type="spellStart"/>
            <w:r w:rsidRPr="007E0AF4">
              <w:rPr>
                <w:rFonts w:eastAsia="Arial"/>
                <w:sz w:val="22"/>
              </w:rPr>
              <w:t>Мешканці</w:t>
            </w:r>
            <w:proofErr w:type="spellEnd"/>
            <w:r w:rsidRPr="007E0AF4">
              <w:rPr>
                <w:rFonts w:eastAsia="Arial"/>
                <w:sz w:val="22"/>
              </w:rPr>
              <w:t xml:space="preserve"> </w:t>
            </w:r>
            <w:proofErr w:type="spellStart"/>
            <w:r w:rsidRPr="007E0AF4">
              <w:rPr>
                <w:rFonts w:eastAsia="Arial"/>
                <w:sz w:val="22"/>
              </w:rPr>
              <w:t>громади</w:t>
            </w:r>
            <w:proofErr w:type="spellEnd"/>
            <w:r w:rsidRPr="007E0AF4">
              <w:rPr>
                <w:rFonts w:eastAsia="Arial"/>
                <w:sz w:val="22"/>
              </w:rPr>
              <w:t xml:space="preserve"> </w:t>
            </w:r>
            <w:proofErr w:type="spellStart"/>
            <w:r w:rsidRPr="007E0AF4">
              <w:rPr>
                <w:rFonts w:eastAsia="Arial"/>
                <w:sz w:val="22"/>
              </w:rPr>
              <w:t>потребують</w:t>
            </w:r>
            <w:proofErr w:type="spellEnd"/>
            <w:r w:rsidRPr="007E0AF4">
              <w:rPr>
                <w:rFonts w:eastAsia="Arial"/>
                <w:sz w:val="22"/>
              </w:rPr>
              <w:t xml:space="preserve"> в </w:t>
            </w:r>
            <w:proofErr w:type="spellStart"/>
            <w:r w:rsidRPr="007E0AF4">
              <w:rPr>
                <w:rFonts w:eastAsia="Arial"/>
                <w:sz w:val="22"/>
              </w:rPr>
              <w:t>отриманні</w:t>
            </w:r>
            <w:proofErr w:type="spellEnd"/>
            <w:r w:rsidRPr="007E0AF4">
              <w:rPr>
                <w:rFonts w:eastAsia="Arial"/>
                <w:sz w:val="22"/>
              </w:rPr>
              <w:t xml:space="preserve"> </w:t>
            </w:r>
            <w:proofErr w:type="spellStart"/>
            <w:r w:rsidRPr="007E0AF4">
              <w:rPr>
                <w:rFonts w:eastAsia="Arial"/>
                <w:sz w:val="22"/>
              </w:rPr>
              <w:t>якісних</w:t>
            </w:r>
            <w:proofErr w:type="spellEnd"/>
            <w:r w:rsidRPr="007E0AF4">
              <w:rPr>
                <w:rFonts w:eastAsia="Arial"/>
                <w:sz w:val="22"/>
              </w:rPr>
              <w:t xml:space="preserve"> </w:t>
            </w:r>
            <w:proofErr w:type="spellStart"/>
            <w:r w:rsidRPr="007E0AF4">
              <w:rPr>
                <w:rFonts w:eastAsia="Arial"/>
                <w:sz w:val="22"/>
              </w:rPr>
              <w:t>освітніх</w:t>
            </w:r>
            <w:proofErr w:type="spellEnd"/>
            <w:r w:rsidRPr="007E0AF4">
              <w:rPr>
                <w:rFonts w:eastAsia="Arial"/>
                <w:sz w:val="22"/>
              </w:rPr>
              <w:t xml:space="preserve"> </w:t>
            </w:r>
            <w:proofErr w:type="spellStart"/>
            <w:r w:rsidRPr="007E0AF4">
              <w:rPr>
                <w:rFonts w:eastAsia="Arial"/>
                <w:sz w:val="22"/>
              </w:rPr>
              <w:t>послуг</w:t>
            </w:r>
            <w:proofErr w:type="spellEnd"/>
            <w:r w:rsidRPr="007E0AF4">
              <w:rPr>
                <w:rFonts w:eastAsia="Arial"/>
                <w:sz w:val="22"/>
              </w:rPr>
              <w:t xml:space="preserve">, </w:t>
            </w:r>
            <w:proofErr w:type="spellStart"/>
            <w:r w:rsidRPr="007E0AF4">
              <w:rPr>
                <w:rFonts w:eastAsia="Arial"/>
                <w:sz w:val="22"/>
              </w:rPr>
              <w:t>які</w:t>
            </w:r>
            <w:proofErr w:type="spellEnd"/>
            <w:r w:rsidRPr="007E0AF4">
              <w:rPr>
                <w:rFonts w:eastAsia="Arial"/>
                <w:sz w:val="22"/>
              </w:rPr>
              <w:t xml:space="preserve"> </w:t>
            </w:r>
            <w:proofErr w:type="spellStart"/>
            <w:r w:rsidRPr="007E0AF4">
              <w:rPr>
                <w:rFonts w:eastAsia="Arial"/>
                <w:sz w:val="22"/>
              </w:rPr>
              <w:t>відповідають</w:t>
            </w:r>
            <w:proofErr w:type="spellEnd"/>
            <w:r w:rsidRPr="007E0AF4">
              <w:rPr>
                <w:rFonts w:eastAsia="Arial"/>
                <w:sz w:val="22"/>
              </w:rPr>
              <w:t xml:space="preserve"> нормам </w:t>
            </w:r>
            <w:proofErr w:type="spellStart"/>
            <w:r w:rsidRPr="007E0AF4">
              <w:rPr>
                <w:rFonts w:eastAsia="Arial"/>
                <w:sz w:val="22"/>
              </w:rPr>
              <w:t>сучасності</w:t>
            </w:r>
            <w:proofErr w:type="spellEnd"/>
            <w:r w:rsidRPr="007E0AF4">
              <w:rPr>
                <w:rFonts w:eastAsia="Arial"/>
                <w:sz w:val="22"/>
              </w:rPr>
              <w:t>.</w:t>
            </w:r>
          </w:p>
        </w:tc>
      </w:tr>
      <w:tr w:rsidR="00654133" w:rsidRPr="007E0AF4" w:rsidTr="00F34B87">
        <w:tc>
          <w:tcPr>
            <w:tcW w:w="2978" w:type="dxa"/>
            <w:shd w:val="clear" w:color="auto" w:fill="C6D9F1" w:themeFill="text2" w:themeFillTint="33"/>
          </w:tcPr>
          <w:p w:rsidR="00654133" w:rsidRPr="007E0AF4" w:rsidRDefault="00654133" w:rsidP="00F34B87">
            <w:pPr>
              <w:pStyle w:val="a7"/>
              <w:ind w:left="0"/>
              <w:rPr>
                <w:b/>
                <w:sz w:val="22"/>
              </w:rPr>
            </w:pPr>
            <w:proofErr w:type="spellStart"/>
            <w:r w:rsidRPr="007E0AF4">
              <w:rPr>
                <w:b/>
                <w:sz w:val="22"/>
              </w:rPr>
              <w:lastRenderedPageBreak/>
              <w:t>Очікувані</w:t>
            </w:r>
            <w:proofErr w:type="spellEnd"/>
            <w:r w:rsidRPr="007E0AF4">
              <w:rPr>
                <w:b/>
                <w:sz w:val="22"/>
              </w:rPr>
              <w:t xml:space="preserve"> </w:t>
            </w:r>
            <w:proofErr w:type="spellStart"/>
            <w:r w:rsidRPr="007E0AF4">
              <w:rPr>
                <w:b/>
                <w:sz w:val="22"/>
              </w:rPr>
              <w:t>якісні</w:t>
            </w:r>
            <w:proofErr w:type="spellEnd"/>
            <w:r w:rsidRPr="007E0AF4">
              <w:rPr>
                <w:b/>
                <w:sz w:val="22"/>
              </w:rPr>
              <w:t xml:space="preserve"> </w:t>
            </w:r>
            <w:proofErr w:type="spellStart"/>
            <w:r w:rsidRPr="007E0AF4">
              <w:rPr>
                <w:b/>
                <w:sz w:val="22"/>
              </w:rPr>
              <w:t>результати</w:t>
            </w:r>
            <w:proofErr w:type="spellEnd"/>
            <w:r w:rsidRPr="007E0AF4">
              <w:rPr>
                <w:b/>
                <w:sz w:val="22"/>
              </w:rPr>
              <w:t xml:space="preserve"> </w:t>
            </w:r>
            <w:proofErr w:type="spellStart"/>
            <w:r w:rsidRPr="007E0AF4">
              <w:rPr>
                <w:b/>
                <w:sz w:val="22"/>
              </w:rPr>
              <w:t>від</w:t>
            </w:r>
            <w:proofErr w:type="spellEnd"/>
            <w:r w:rsidRPr="007E0AF4">
              <w:rPr>
                <w:b/>
                <w:sz w:val="22"/>
              </w:rPr>
              <w:t xml:space="preserve"> </w:t>
            </w:r>
            <w:proofErr w:type="spellStart"/>
            <w:r w:rsidRPr="007E0AF4">
              <w:rPr>
                <w:b/>
                <w:sz w:val="22"/>
              </w:rPr>
              <w:t>реалізації</w:t>
            </w:r>
            <w:proofErr w:type="spellEnd"/>
            <w:r w:rsidRPr="007E0AF4">
              <w:rPr>
                <w:b/>
                <w:sz w:val="22"/>
              </w:rPr>
              <w:t xml:space="preserve"> проекту</w:t>
            </w:r>
          </w:p>
        </w:tc>
        <w:tc>
          <w:tcPr>
            <w:tcW w:w="6945" w:type="dxa"/>
            <w:gridSpan w:val="6"/>
          </w:tcPr>
          <w:p w:rsidR="00654133" w:rsidRPr="007E0AF4" w:rsidRDefault="00654133" w:rsidP="00F34B87">
            <w:pPr>
              <w:pStyle w:val="a7"/>
              <w:ind w:left="0"/>
              <w:rPr>
                <w:sz w:val="22"/>
              </w:rPr>
            </w:pPr>
            <w:r w:rsidRPr="007E0AF4">
              <w:rPr>
                <w:sz w:val="22"/>
              </w:rPr>
              <w:t xml:space="preserve">- </w:t>
            </w:r>
            <w:proofErr w:type="spellStart"/>
            <w:r w:rsidRPr="007E0AF4">
              <w:rPr>
                <w:sz w:val="22"/>
              </w:rPr>
              <w:t>забезпечення</w:t>
            </w:r>
            <w:proofErr w:type="spellEnd"/>
            <w:r w:rsidRPr="007E0AF4">
              <w:rPr>
                <w:sz w:val="22"/>
              </w:rPr>
              <w:t xml:space="preserve"> </w:t>
            </w:r>
            <w:proofErr w:type="spellStart"/>
            <w:r w:rsidRPr="007E0AF4">
              <w:rPr>
                <w:sz w:val="22"/>
              </w:rPr>
              <w:t>населення</w:t>
            </w:r>
            <w:proofErr w:type="spellEnd"/>
            <w:r w:rsidRPr="007E0AF4">
              <w:rPr>
                <w:sz w:val="22"/>
              </w:rPr>
              <w:t xml:space="preserve"> </w:t>
            </w:r>
            <w:proofErr w:type="spellStart"/>
            <w:r w:rsidRPr="007E0AF4">
              <w:rPr>
                <w:sz w:val="22"/>
              </w:rPr>
              <w:t>можливостями</w:t>
            </w:r>
            <w:proofErr w:type="spellEnd"/>
            <w:r w:rsidRPr="007E0AF4">
              <w:rPr>
                <w:sz w:val="22"/>
              </w:rPr>
              <w:t xml:space="preserve"> для </w:t>
            </w:r>
            <w:proofErr w:type="spellStart"/>
            <w:r w:rsidRPr="007E0AF4">
              <w:rPr>
                <w:sz w:val="22"/>
              </w:rPr>
              <w:t>реалізації</w:t>
            </w:r>
            <w:proofErr w:type="spellEnd"/>
            <w:r w:rsidRPr="007E0AF4">
              <w:rPr>
                <w:sz w:val="22"/>
              </w:rPr>
              <w:t xml:space="preserve"> </w:t>
            </w:r>
            <w:proofErr w:type="spellStart"/>
            <w:r w:rsidRPr="007E0AF4">
              <w:rPr>
                <w:sz w:val="22"/>
              </w:rPr>
              <w:t>конституційних</w:t>
            </w:r>
            <w:proofErr w:type="spellEnd"/>
            <w:r w:rsidRPr="007E0AF4">
              <w:rPr>
                <w:sz w:val="22"/>
              </w:rPr>
              <w:t xml:space="preserve"> прав </w:t>
            </w:r>
            <w:proofErr w:type="spellStart"/>
            <w:r w:rsidRPr="007E0AF4">
              <w:rPr>
                <w:sz w:val="22"/>
              </w:rPr>
              <w:t>громадян</w:t>
            </w:r>
            <w:proofErr w:type="spellEnd"/>
            <w:r w:rsidRPr="007E0AF4">
              <w:rPr>
                <w:sz w:val="22"/>
              </w:rPr>
              <w:t xml:space="preserve"> на </w:t>
            </w:r>
            <w:proofErr w:type="spellStart"/>
            <w:r w:rsidRPr="007E0AF4">
              <w:rPr>
                <w:sz w:val="22"/>
              </w:rPr>
              <w:t>здобуття</w:t>
            </w:r>
            <w:proofErr w:type="spellEnd"/>
            <w:r w:rsidRPr="007E0AF4">
              <w:rPr>
                <w:sz w:val="22"/>
              </w:rPr>
              <w:t xml:space="preserve"> </w:t>
            </w:r>
            <w:proofErr w:type="spellStart"/>
            <w:r w:rsidRPr="007E0AF4">
              <w:rPr>
                <w:sz w:val="22"/>
              </w:rPr>
              <w:t>освіти</w:t>
            </w:r>
            <w:proofErr w:type="spellEnd"/>
            <w:r w:rsidRPr="007E0AF4">
              <w:rPr>
                <w:sz w:val="22"/>
              </w:rPr>
              <w:t>;</w:t>
            </w:r>
          </w:p>
          <w:p w:rsidR="00654133" w:rsidRPr="007E0AF4" w:rsidRDefault="00654133" w:rsidP="00F34B87">
            <w:pPr>
              <w:pStyle w:val="a7"/>
              <w:ind w:left="0"/>
              <w:rPr>
                <w:sz w:val="22"/>
              </w:rPr>
            </w:pPr>
            <w:r w:rsidRPr="007E0AF4">
              <w:rPr>
                <w:sz w:val="22"/>
              </w:rPr>
              <w:t xml:space="preserve">- </w:t>
            </w:r>
            <w:proofErr w:type="spellStart"/>
            <w:r w:rsidRPr="007E0AF4">
              <w:rPr>
                <w:sz w:val="22"/>
              </w:rPr>
              <w:t>створення</w:t>
            </w:r>
            <w:proofErr w:type="spellEnd"/>
            <w:r w:rsidRPr="007E0AF4">
              <w:rPr>
                <w:sz w:val="22"/>
              </w:rPr>
              <w:t xml:space="preserve"> </w:t>
            </w:r>
            <w:proofErr w:type="spellStart"/>
            <w:r w:rsidRPr="007E0AF4">
              <w:rPr>
                <w:sz w:val="22"/>
              </w:rPr>
              <w:t>безпечного</w:t>
            </w:r>
            <w:proofErr w:type="spellEnd"/>
            <w:r w:rsidRPr="007E0AF4">
              <w:rPr>
                <w:sz w:val="22"/>
              </w:rPr>
              <w:t xml:space="preserve"> </w:t>
            </w:r>
            <w:proofErr w:type="spellStart"/>
            <w:r w:rsidRPr="007E0AF4">
              <w:rPr>
                <w:sz w:val="22"/>
              </w:rPr>
              <w:t>освітнього</w:t>
            </w:r>
            <w:proofErr w:type="spellEnd"/>
            <w:r w:rsidRPr="007E0AF4">
              <w:rPr>
                <w:sz w:val="22"/>
              </w:rPr>
              <w:t xml:space="preserve"> простору закладу та </w:t>
            </w:r>
            <w:proofErr w:type="spellStart"/>
            <w:r w:rsidRPr="007E0AF4">
              <w:rPr>
                <w:sz w:val="22"/>
              </w:rPr>
              <w:t>виконання</w:t>
            </w:r>
            <w:proofErr w:type="spellEnd"/>
            <w:r w:rsidRPr="007E0AF4">
              <w:rPr>
                <w:sz w:val="22"/>
              </w:rPr>
              <w:t xml:space="preserve"> </w:t>
            </w:r>
            <w:proofErr w:type="spellStart"/>
            <w:r w:rsidRPr="007E0AF4">
              <w:rPr>
                <w:sz w:val="22"/>
              </w:rPr>
              <w:t>Санітарного</w:t>
            </w:r>
            <w:proofErr w:type="spellEnd"/>
            <w:r w:rsidRPr="007E0AF4">
              <w:rPr>
                <w:sz w:val="22"/>
              </w:rPr>
              <w:t xml:space="preserve"> регламент</w:t>
            </w:r>
            <w:r w:rsidR="005F18A8" w:rsidRPr="007E0AF4">
              <w:rPr>
                <w:sz w:val="22"/>
              </w:rPr>
              <w:t>у</w:t>
            </w:r>
            <w:r w:rsidRPr="007E0AF4">
              <w:rPr>
                <w:sz w:val="22"/>
              </w:rPr>
              <w:t xml:space="preserve"> для </w:t>
            </w:r>
            <w:proofErr w:type="spellStart"/>
            <w:r w:rsidRPr="007E0AF4">
              <w:rPr>
                <w:sz w:val="22"/>
              </w:rPr>
              <w:t>закладів</w:t>
            </w:r>
            <w:proofErr w:type="spellEnd"/>
            <w:r w:rsidRPr="007E0AF4">
              <w:rPr>
                <w:sz w:val="22"/>
              </w:rPr>
              <w:t xml:space="preserve"> </w:t>
            </w:r>
            <w:proofErr w:type="spellStart"/>
            <w:r w:rsidRPr="007E0AF4">
              <w:rPr>
                <w:sz w:val="22"/>
              </w:rPr>
              <w:t>загальної</w:t>
            </w:r>
            <w:proofErr w:type="spellEnd"/>
            <w:r w:rsidRPr="007E0AF4">
              <w:rPr>
                <w:sz w:val="22"/>
              </w:rPr>
              <w:t xml:space="preserve"> </w:t>
            </w:r>
            <w:proofErr w:type="spellStart"/>
            <w:r w:rsidRPr="007E0AF4">
              <w:rPr>
                <w:sz w:val="22"/>
              </w:rPr>
              <w:t>середньої</w:t>
            </w:r>
            <w:proofErr w:type="spellEnd"/>
            <w:r w:rsidRPr="007E0AF4">
              <w:rPr>
                <w:sz w:val="22"/>
              </w:rPr>
              <w:t xml:space="preserve"> </w:t>
            </w:r>
            <w:proofErr w:type="spellStart"/>
            <w:r w:rsidRPr="007E0AF4">
              <w:rPr>
                <w:sz w:val="22"/>
              </w:rPr>
              <w:t>освіти</w:t>
            </w:r>
            <w:proofErr w:type="spellEnd"/>
            <w:r w:rsidRPr="007E0AF4">
              <w:rPr>
                <w:sz w:val="22"/>
              </w:rPr>
              <w:t xml:space="preserve"> </w:t>
            </w:r>
            <w:proofErr w:type="spellStart"/>
            <w:r w:rsidRPr="007E0AF4">
              <w:rPr>
                <w:sz w:val="22"/>
              </w:rPr>
              <w:t>щодо</w:t>
            </w:r>
            <w:proofErr w:type="spellEnd"/>
            <w:r w:rsidRPr="007E0AF4">
              <w:rPr>
                <w:sz w:val="22"/>
              </w:rPr>
              <w:t xml:space="preserve"> </w:t>
            </w:r>
            <w:proofErr w:type="spellStart"/>
            <w:r w:rsidRPr="007E0AF4">
              <w:rPr>
                <w:sz w:val="22"/>
              </w:rPr>
              <w:t>безпечного</w:t>
            </w:r>
            <w:proofErr w:type="spellEnd"/>
            <w:r w:rsidRPr="007E0AF4">
              <w:rPr>
                <w:sz w:val="22"/>
              </w:rPr>
              <w:t xml:space="preserve"> </w:t>
            </w:r>
            <w:proofErr w:type="spellStart"/>
            <w:r w:rsidRPr="007E0AF4">
              <w:rPr>
                <w:sz w:val="22"/>
              </w:rPr>
              <w:t>функціонування</w:t>
            </w:r>
            <w:proofErr w:type="spellEnd"/>
            <w:r w:rsidRPr="007E0AF4">
              <w:rPr>
                <w:sz w:val="22"/>
              </w:rPr>
              <w:t xml:space="preserve"> закладу;</w:t>
            </w:r>
          </w:p>
          <w:p w:rsidR="00654133" w:rsidRPr="007E0AF4" w:rsidRDefault="00654133" w:rsidP="00F34B87">
            <w:pPr>
              <w:pStyle w:val="a7"/>
              <w:ind w:left="0"/>
              <w:rPr>
                <w:sz w:val="22"/>
              </w:rPr>
            </w:pPr>
            <w:r w:rsidRPr="007E0AF4">
              <w:rPr>
                <w:sz w:val="22"/>
              </w:rPr>
              <w:t xml:space="preserve">- </w:t>
            </w:r>
            <w:proofErr w:type="spellStart"/>
            <w:r w:rsidRPr="007E0AF4">
              <w:rPr>
                <w:sz w:val="22"/>
              </w:rPr>
              <w:t>покращення</w:t>
            </w:r>
            <w:proofErr w:type="spellEnd"/>
            <w:r w:rsidRPr="007E0AF4">
              <w:rPr>
                <w:sz w:val="22"/>
              </w:rPr>
              <w:t xml:space="preserve"> </w:t>
            </w:r>
            <w:proofErr w:type="spellStart"/>
            <w:r w:rsidRPr="007E0AF4">
              <w:rPr>
                <w:sz w:val="22"/>
              </w:rPr>
              <w:t>криміногенної</w:t>
            </w:r>
            <w:proofErr w:type="spellEnd"/>
            <w:r w:rsidRPr="007E0AF4">
              <w:rPr>
                <w:sz w:val="22"/>
              </w:rPr>
              <w:t xml:space="preserve"> </w:t>
            </w:r>
            <w:proofErr w:type="spellStart"/>
            <w:r w:rsidRPr="007E0AF4">
              <w:rPr>
                <w:sz w:val="22"/>
              </w:rPr>
              <w:t>ситуації</w:t>
            </w:r>
            <w:proofErr w:type="spellEnd"/>
            <w:r w:rsidRPr="007E0AF4">
              <w:rPr>
                <w:sz w:val="22"/>
              </w:rPr>
              <w:t xml:space="preserve"> в </w:t>
            </w:r>
            <w:proofErr w:type="spellStart"/>
            <w:r w:rsidRPr="007E0AF4">
              <w:rPr>
                <w:sz w:val="22"/>
              </w:rPr>
              <w:t>громаді</w:t>
            </w:r>
            <w:proofErr w:type="spellEnd"/>
            <w:r w:rsidRPr="007E0AF4">
              <w:rPr>
                <w:sz w:val="22"/>
              </w:rPr>
              <w:t>;</w:t>
            </w:r>
          </w:p>
          <w:p w:rsidR="00654133" w:rsidRPr="007E0AF4" w:rsidRDefault="00654133" w:rsidP="00F34B87">
            <w:pPr>
              <w:pStyle w:val="a7"/>
              <w:ind w:left="0"/>
              <w:rPr>
                <w:sz w:val="22"/>
              </w:rPr>
            </w:pPr>
            <w:r w:rsidRPr="007E0AF4">
              <w:rPr>
                <w:sz w:val="22"/>
              </w:rPr>
              <w:t xml:space="preserve">- </w:t>
            </w:r>
            <w:proofErr w:type="spellStart"/>
            <w:r w:rsidRPr="007E0AF4">
              <w:rPr>
                <w:sz w:val="22"/>
              </w:rPr>
              <w:t>можливість</w:t>
            </w:r>
            <w:proofErr w:type="spellEnd"/>
            <w:r w:rsidRPr="007E0AF4">
              <w:rPr>
                <w:sz w:val="22"/>
              </w:rPr>
              <w:t xml:space="preserve"> </w:t>
            </w:r>
            <w:proofErr w:type="spellStart"/>
            <w:r w:rsidRPr="007E0AF4">
              <w:rPr>
                <w:sz w:val="22"/>
              </w:rPr>
              <w:t>подальшого</w:t>
            </w:r>
            <w:proofErr w:type="spellEnd"/>
            <w:r w:rsidRPr="007E0AF4">
              <w:rPr>
                <w:sz w:val="22"/>
              </w:rPr>
              <w:t xml:space="preserve"> </w:t>
            </w:r>
            <w:proofErr w:type="spellStart"/>
            <w:r w:rsidRPr="007E0AF4">
              <w:rPr>
                <w:sz w:val="22"/>
              </w:rPr>
              <w:t>покращення</w:t>
            </w:r>
            <w:proofErr w:type="spellEnd"/>
            <w:r w:rsidRPr="007E0AF4">
              <w:rPr>
                <w:sz w:val="22"/>
              </w:rPr>
              <w:t xml:space="preserve"> </w:t>
            </w:r>
            <w:proofErr w:type="spellStart"/>
            <w:r w:rsidRPr="007E0AF4">
              <w:rPr>
                <w:sz w:val="22"/>
              </w:rPr>
              <w:t>території</w:t>
            </w:r>
            <w:proofErr w:type="spellEnd"/>
            <w:r w:rsidRPr="007E0AF4">
              <w:rPr>
                <w:sz w:val="22"/>
              </w:rPr>
              <w:t xml:space="preserve"> </w:t>
            </w:r>
            <w:proofErr w:type="spellStart"/>
            <w:r w:rsidRPr="007E0AF4">
              <w:rPr>
                <w:sz w:val="22"/>
              </w:rPr>
              <w:t>пришкільного</w:t>
            </w:r>
            <w:proofErr w:type="spellEnd"/>
            <w:r w:rsidRPr="007E0AF4">
              <w:rPr>
                <w:sz w:val="22"/>
              </w:rPr>
              <w:t xml:space="preserve"> </w:t>
            </w:r>
            <w:proofErr w:type="spellStart"/>
            <w:r w:rsidRPr="007E0AF4">
              <w:rPr>
                <w:sz w:val="22"/>
              </w:rPr>
              <w:t>подвір'я</w:t>
            </w:r>
            <w:proofErr w:type="spellEnd"/>
            <w:r w:rsidRPr="007E0AF4">
              <w:rPr>
                <w:sz w:val="22"/>
              </w:rPr>
              <w:t>;</w:t>
            </w:r>
          </w:p>
          <w:p w:rsidR="00654133" w:rsidRPr="007E0AF4" w:rsidRDefault="00654133" w:rsidP="00F34B87">
            <w:pPr>
              <w:pStyle w:val="a7"/>
              <w:ind w:left="0"/>
              <w:rPr>
                <w:sz w:val="22"/>
              </w:rPr>
            </w:pPr>
            <w:r w:rsidRPr="007E0AF4">
              <w:rPr>
                <w:sz w:val="22"/>
              </w:rPr>
              <w:t xml:space="preserve">- </w:t>
            </w:r>
            <w:proofErr w:type="spellStart"/>
            <w:r w:rsidRPr="007E0AF4">
              <w:rPr>
                <w:sz w:val="22"/>
              </w:rPr>
              <w:t>вирішення</w:t>
            </w:r>
            <w:proofErr w:type="spellEnd"/>
            <w:r w:rsidRPr="007E0AF4">
              <w:rPr>
                <w:sz w:val="22"/>
              </w:rPr>
              <w:t xml:space="preserve"> ряду </w:t>
            </w:r>
            <w:proofErr w:type="spellStart"/>
            <w:r w:rsidRPr="007E0AF4">
              <w:rPr>
                <w:sz w:val="22"/>
              </w:rPr>
              <w:t>питань</w:t>
            </w:r>
            <w:proofErr w:type="spellEnd"/>
            <w:r w:rsidRPr="007E0AF4">
              <w:rPr>
                <w:sz w:val="22"/>
              </w:rPr>
              <w:t xml:space="preserve"> в межах </w:t>
            </w:r>
            <w:proofErr w:type="spellStart"/>
            <w:r w:rsidRPr="007E0AF4">
              <w:rPr>
                <w:sz w:val="22"/>
              </w:rPr>
              <w:t>статутної</w:t>
            </w:r>
            <w:proofErr w:type="spellEnd"/>
            <w:r w:rsidRPr="007E0AF4">
              <w:rPr>
                <w:sz w:val="22"/>
              </w:rPr>
              <w:t xml:space="preserve"> </w:t>
            </w:r>
            <w:proofErr w:type="spellStart"/>
            <w:r w:rsidRPr="007E0AF4">
              <w:rPr>
                <w:sz w:val="22"/>
              </w:rPr>
              <w:t>діяльності</w:t>
            </w:r>
            <w:proofErr w:type="spellEnd"/>
            <w:r w:rsidRPr="007E0AF4">
              <w:rPr>
                <w:sz w:val="22"/>
              </w:rPr>
              <w:t xml:space="preserve">, </w:t>
            </w:r>
            <w:proofErr w:type="spellStart"/>
            <w:r w:rsidRPr="007E0AF4">
              <w:rPr>
                <w:sz w:val="22"/>
              </w:rPr>
              <w:t>пов’язаних</w:t>
            </w:r>
            <w:proofErr w:type="spellEnd"/>
            <w:r w:rsidRPr="007E0AF4">
              <w:rPr>
                <w:sz w:val="22"/>
              </w:rPr>
              <w:t xml:space="preserve"> </w:t>
            </w:r>
            <w:proofErr w:type="spellStart"/>
            <w:r w:rsidRPr="007E0AF4">
              <w:rPr>
                <w:sz w:val="22"/>
              </w:rPr>
              <w:t>із</w:t>
            </w:r>
            <w:proofErr w:type="spellEnd"/>
            <w:r w:rsidRPr="007E0AF4">
              <w:rPr>
                <w:sz w:val="22"/>
              </w:rPr>
              <w:t xml:space="preserve"> </w:t>
            </w:r>
            <w:proofErr w:type="spellStart"/>
            <w:r w:rsidRPr="007E0AF4">
              <w:rPr>
                <w:sz w:val="22"/>
              </w:rPr>
              <w:t>відбудовою</w:t>
            </w:r>
            <w:proofErr w:type="spellEnd"/>
            <w:r w:rsidRPr="007E0AF4">
              <w:rPr>
                <w:sz w:val="22"/>
              </w:rPr>
              <w:t xml:space="preserve"> та </w:t>
            </w:r>
            <w:proofErr w:type="spellStart"/>
            <w:r w:rsidRPr="007E0AF4">
              <w:rPr>
                <w:sz w:val="22"/>
              </w:rPr>
              <w:t>сталим</w:t>
            </w:r>
            <w:proofErr w:type="spellEnd"/>
            <w:r w:rsidRPr="007E0AF4">
              <w:rPr>
                <w:sz w:val="22"/>
              </w:rPr>
              <w:t xml:space="preserve"> </w:t>
            </w:r>
            <w:proofErr w:type="spellStart"/>
            <w:r w:rsidRPr="007E0AF4">
              <w:rPr>
                <w:sz w:val="22"/>
              </w:rPr>
              <w:t>розвитком</w:t>
            </w:r>
            <w:proofErr w:type="spellEnd"/>
            <w:r w:rsidRPr="007E0AF4">
              <w:rPr>
                <w:sz w:val="22"/>
              </w:rPr>
              <w:t xml:space="preserve"> </w:t>
            </w:r>
            <w:proofErr w:type="spellStart"/>
            <w:r w:rsidRPr="007E0AF4">
              <w:rPr>
                <w:sz w:val="22"/>
              </w:rPr>
              <w:t>громади</w:t>
            </w:r>
            <w:proofErr w:type="spellEnd"/>
            <w:r w:rsidRPr="007E0AF4">
              <w:rPr>
                <w:sz w:val="22"/>
              </w:rPr>
              <w:t>;</w:t>
            </w:r>
          </w:p>
          <w:p w:rsidR="00654133" w:rsidRPr="007E0AF4" w:rsidRDefault="00654133" w:rsidP="00F34B87">
            <w:pPr>
              <w:pStyle w:val="a7"/>
              <w:ind w:left="0"/>
              <w:rPr>
                <w:sz w:val="22"/>
              </w:rPr>
            </w:pPr>
            <w:r w:rsidRPr="007E0AF4">
              <w:rPr>
                <w:sz w:val="22"/>
              </w:rPr>
              <w:t xml:space="preserve">- </w:t>
            </w:r>
            <w:proofErr w:type="spellStart"/>
            <w:r w:rsidRPr="007E0AF4">
              <w:rPr>
                <w:sz w:val="22"/>
              </w:rPr>
              <w:t>створення</w:t>
            </w:r>
            <w:proofErr w:type="spellEnd"/>
            <w:r w:rsidRPr="007E0AF4">
              <w:rPr>
                <w:sz w:val="22"/>
              </w:rPr>
              <w:t xml:space="preserve"> </w:t>
            </w:r>
            <w:proofErr w:type="spellStart"/>
            <w:r w:rsidRPr="007E0AF4">
              <w:rPr>
                <w:sz w:val="22"/>
              </w:rPr>
              <w:t>нових</w:t>
            </w:r>
            <w:proofErr w:type="spellEnd"/>
            <w:r w:rsidRPr="007E0AF4">
              <w:rPr>
                <w:sz w:val="22"/>
              </w:rPr>
              <w:t xml:space="preserve"> </w:t>
            </w:r>
            <w:proofErr w:type="spellStart"/>
            <w:r w:rsidRPr="007E0AF4">
              <w:rPr>
                <w:sz w:val="22"/>
              </w:rPr>
              <w:t>робочих</w:t>
            </w:r>
            <w:proofErr w:type="spellEnd"/>
            <w:r w:rsidRPr="007E0AF4">
              <w:rPr>
                <w:sz w:val="22"/>
              </w:rPr>
              <w:t xml:space="preserve"> </w:t>
            </w:r>
            <w:proofErr w:type="spellStart"/>
            <w:r w:rsidRPr="007E0AF4">
              <w:rPr>
                <w:sz w:val="22"/>
              </w:rPr>
              <w:t>місць</w:t>
            </w:r>
            <w:proofErr w:type="spellEnd"/>
            <w:r w:rsidRPr="007E0AF4">
              <w:rPr>
                <w:sz w:val="22"/>
              </w:rPr>
              <w:t>;</w:t>
            </w:r>
          </w:p>
          <w:p w:rsidR="00654133" w:rsidRPr="007E0AF4" w:rsidRDefault="00654133" w:rsidP="00F34B87">
            <w:pPr>
              <w:pStyle w:val="a7"/>
              <w:ind w:left="0"/>
              <w:rPr>
                <w:sz w:val="22"/>
              </w:rPr>
            </w:pPr>
            <w:r w:rsidRPr="007E0AF4">
              <w:rPr>
                <w:sz w:val="22"/>
              </w:rPr>
              <w:t xml:space="preserve">- стимул до </w:t>
            </w:r>
            <w:proofErr w:type="spellStart"/>
            <w:r w:rsidRPr="007E0AF4">
              <w:rPr>
                <w:sz w:val="22"/>
              </w:rPr>
              <w:t>повернення</w:t>
            </w:r>
            <w:proofErr w:type="spellEnd"/>
            <w:r w:rsidRPr="007E0AF4">
              <w:rPr>
                <w:sz w:val="22"/>
              </w:rPr>
              <w:t xml:space="preserve"> ВПО до </w:t>
            </w:r>
            <w:proofErr w:type="spellStart"/>
            <w:r w:rsidRPr="007E0AF4">
              <w:rPr>
                <w:sz w:val="22"/>
              </w:rPr>
              <w:t>громади</w:t>
            </w:r>
            <w:proofErr w:type="spellEnd"/>
          </w:p>
        </w:tc>
      </w:tr>
      <w:tr w:rsidR="00654133" w:rsidRPr="007E0AF4" w:rsidTr="00F34B87">
        <w:trPr>
          <w:trHeight w:val="390"/>
        </w:trPr>
        <w:tc>
          <w:tcPr>
            <w:tcW w:w="2978" w:type="dxa"/>
            <w:vMerge w:val="restart"/>
            <w:shd w:val="clear" w:color="auto" w:fill="C6D9F1" w:themeFill="text2" w:themeFillTint="33"/>
          </w:tcPr>
          <w:p w:rsidR="00654133" w:rsidRPr="007E0AF4" w:rsidRDefault="00654133" w:rsidP="00F34B87">
            <w:pPr>
              <w:pStyle w:val="a7"/>
              <w:ind w:left="0"/>
              <w:rPr>
                <w:b/>
                <w:sz w:val="22"/>
                <w:lang w:val="uk-UA"/>
              </w:rPr>
            </w:pPr>
            <w:r w:rsidRPr="007E0AF4">
              <w:rPr>
                <w:b/>
                <w:sz w:val="22"/>
                <w:lang w:val="uk-UA"/>
              </w:rPr>
              <w:t xml:space="preserve">Очікувані кількісні результати реалізації </w:t>
            </w:r>
            <w:proofErr w:type="spellStart"/>
            <w:r w:rsidRPr="007E0AF4">
              <w:rPr>
                <w:b/>
                <w:sz w:val="22"/>
                <w:lang w:val="uk-UA"/>
              </w:rPr>
              <w:t>проєкту</w:t>
            </w:r>
            <w:proofErr w:type="spellEnd"/>
            <w:r w:rsidRPr="007E0AF4">
              <w:rPr>
                <w:b/>
                <w:sz w:val="22"/>
                <w:lang w:val="uk-UA"/>
              </w:rPr>
              <w:t xml:space="preserve"> (індикатори)</w:t>
            </w:r>
          </w:p>
          <w:p w:rsidR="00654133" w:rsidRPr="007E0AF4" w:rsidRDefault="00654133" w:rsidP="00F34B87">
            <w:pPr>
              <w:pStyle w:val="a7"/>
              <w:ind w:left="0"/>
              <w:rPr>
                <w:b/>
                <w:sz w:val="22"/>
                <w:lang w:val="uk-UA"/>
              </w:rPr>
            </w:pPr>
          </w:p>
        </w:tc>
        <w:tc>
          <w:tcPr>
            <w:tcW w:w="3685" w:type="dxa"/>
            <w:gridSpan w:val="3"/>
            <w:tcBorders>
              <w:bottom w:val="single" w:sz="4" w:space="0" w:color="auto"/>
              <w:right w:val="single" w:sz="4" w:space="0" w:color="auto"/>
            </w:tcBorders>
          </w:tcPr>
          <w:p w:rsidR="00654133" w:rsidRPr="007E0AF4" w:rsidRDefault="00654133" w:rsidP="00F34B87">
            <w:pPr>
              <w:pStyle w:val="a7"/>
              <w:ind w:left="-108"/>
              <w:jc w:val="center"/>
              <w:rPr>
                <w:b/>
                <w:sz w:val="22"/>
              </w:rPr>
            </w:pPr>
            <w:proofErr w:type="spellStart"/>
            <w:r w:rsidRPr="007E0AF4">
              <w:rPr>
                <w:b/>
                <w:sz w:val="22"/>
              </w:rPr>
              <w:t>Найменування</w:t>
            </w:r>
            <w:proofErr w:type="spellEnd"/>
            <w:r w:rsidRPr="007E0AF4">
              <w:rPr>
                <w:b/>
                <w:sz w:val="22"/>
              </w:rPr>
              <w:t xml:space="preserve"> </w:t>
            </w:r>
            <w:proofErr w:type="spellStart"/>
            <w:r w:rsidRPr="007E0AF4">
              <w:rPr>
                <w:b/>
                <w:sz w:val="22"/>
              </w:rPr>
              <w:t>показника</w:t>
            </w:r>
            <w:proofErr w:type="spellEnd"/>
          </w:p>
        </w:tc>
        <w:tc>
          <w:tcPr>
            <w:tcW w:w="1843" w:type="dxa"/>
            <w:tcBorders>
              <w:left w:val="single" w:sz="4" w:space="0" w:color="auto"/>
              <w:bottom w:val="single" w:sz="4" w:space="0" w:color="auto"/>
              <w:right w:val="single" w:sz="4" w:space="0" w:color="auto"/>
            </w:tcBorders>
          </w:tcPr>
          <w:p w:rsidR="00654133" w:rsidRPr="007E0AF4" w:rsidRDefault="00654133" w:rsidP="00F34B87">
            <w:pPr>
              <w:pStyle w:val="a7"/>
              <w:ind w:left="0"/>
              <w:jc w:val="center"/>
              <w:rPr>
                <w:b/>
                <w:sz w:val="22"/>
              </w:rPr>
            </w:pPr>
            <w:proofErr w:type="spellStart"/>
            <w:r w:rsidRPr="007E0AF4">
              <w:rPr>
                <w:b/>
                <w:sz w:val="22"/>
              </w:rPr>
              <w:t>Одиниця</w:t>
            </w:r>
            <w:proofErr w:type="spellEnd"/>
            <w:r w:rsidRPr="007E0AF4">
              <w:rPr>
                <w:b/>
                <w:sz w:val="22"/>
              </w:rPr>
              <w:t xml:space="preserve"> </w:t>
            </w:r>
            <w:proofErr w:type="spellStart"/>
            <w:r w:rsidRPr="007E0AF4">
              <w:rPr>
                <w:b/>
                <w:sz w:val="22"/>
              </w:rPr>
              <w:t>вимірювання</w:t>
            </w:r>
            <w:proofErr w:type="spellEnd"/>
          </w:p>
          <w:p w:rsidR="00654133" w:rsidRPr="007E0AF4" w:rsidRDefault="00654133" w:rsidP="00F34B87">
            <w:pPr>
              <w:pStyle w:val="a7"/>
              <w:ind w:left="0"/>
              <w:rPr>
                <w:b/>
                <w:sz w:val="22"/>
              </w:rPr>
            </w:pPr>
          </w:p>
        </w:tc>
        <w:tc>
          <w:tcPr>
            <w:tcW w:w="1417" w:type="dxa"/>
            <w:gridSpan w:val="2"/>
            <w:tcBorders>
              <w:left w:val="single" w:sz="4" w:space="0" w:color="auto"/>
              <w:bottom w:val="single" w:sz="4" w:space="0" w:color="auto"/>
            </w:tcBorders>
          </w:tcPr>
          <w:p w:rsidR="00654133" w:rsidRPr="007E0AF4" w:rsidRDefault="00654133" w:rsidP="00F34B87">
            <w:pPr>
              <w:pStyle w:val="a7"/>
              <w:ind w:left="0"/>
              <w:jc w:val="center"/>
              <w:rPr>
                <w:b/>
                <w:sz w:val="22"/>
              </w:rPr>
            </w:pPr>
            <w:proofErr w:type="spellStart"/>
            <w:r w:rsidRPr="007E0AF4">
              <w:rPr>
                <w:b/>
                <w:sz w:val="22"/>
              </w:rPr>
              <w:t>Прогнозне</w:t>
            </w:r>
            <w:proofErr w:type="spellEnd"/>
            <w:r w:rsidRPr="007E0AF4">
              <w:rPr>
                <w:b/>
                <w:sz w:val="22"/>
              </w:rPr>
              <w:t xml:space="preserve"> (</w:t>
            </w:r>
            <w:proofErr w:type="spellStart"/>
            <w:r w:rsidRPr="007E0AF4">
              <w:rPr>
                <w:b/>
                <w:sz w:val="22"/>
              </w:rPr>
              <w:t>цільове</w:t>
            </w:r>
            <w:proofErr w:type="spellEnd"/>
            <w:r w:rsidRPr="007E0AF4">
              <w:rPr>
                <w:b/>
                <w:sz w:val="22"/>
              </w:rPr>
              <w:t xml:space="preserve">) </w:t>
            </w:r>
            <w:proofErr w:type="spellStart"/>
            <w:r w:rsidRPr="007E0AF4">
              <w:rPr>
                <w:b/>
                <w:sz w:val="22"/>
              </w:rPr>
              <w:t>значення</w:t>
            </w:r>
            <w:proofErr w:type="spellEnd"/>
          </w:p>
        </w:tc>
      </w:tr>
      <w:tr w:rsidR="00654133" w:rsidRPr="007E0AF4" w:rsidTr="00F34B87">
        <w:trPr>
          <w:trHeight w:val="585"/>
        </w:trPr>
        <w:tc>
          <w:tcPr>
            <w:tcW w:w="2978" w:type="dxa"/>
            <w:vMerge/>
            <w:shd w:val="clear" w:color="auto" w:fill="C6D9F1" w:themeFill="text2" w:themeFillTint="33"/>
          </w:tcPr>
          <w:p w:rsidR="00654133" w:rsidRPr="007E0AF4" w:rsidRDefault="00654133" w:rsidP="00F34B87">
            <w:pPr>
              <w:pStyle w:val="a7"/>
              <w:ind w:left="0"/>
              <w:rPr>
                <w:b/>
                <w:sz w:val="22"/>
              </w:rPr>
            </w:pPr>
          </w:p>
        </w:tc>
        <w:tc>
          <w:tcPr>
            <w:tcW w:w="3685" w:type="dxa"/>
            <w:gridSpan w:val="3"/>
            <w:tcBorders>
              <w:top w:val="single" w:sz="4" w:space="0" w:color="auto"/>
              <w:bottom w:val="single" w:sz="4" w:space="0" w:color="auto"/>
              <w:right w:val="single" w:sz="4" w:space="0" w:color="auto"/>
            </w:tcBorders>
          </w:tcPr>
          <w:p w:rsidR="00654133" w:rsidRPr="007E0AF4" w:rsidRDefault="00654133" w:rsidP="00F34B87">
            <w:pPr>
              <w:pStyle w:val="a7"/>
              <w:ind w:left="0"/>
              <w:jc w:val="center"/>
              <w:rPr>
                <w:sz w:val="22"/>
              </w:rPr>
            </w:pPr>
            <w:proofErr w:type="spellStart"/>
            <w:r w:rsidRPr="007E0AF4">
              <w:rPr>
                <w:sz w:val="22"/>
              </w:rPr>
              <w:t>Кількість</w:t>
            </w:r>
            <w:proofErr w:type="spellEnd"/>
            <w:r w:rsidRPr="007E0AF4">
              <w:rPr>
                <w:sz w:val="22"/>
              </w:rPr>
              <w:t xml:space="preserve"> </w:t>
            </w:r>
            <w:proofErr w:type="spellStart"/>
            <w:r w:rsidRPr="007E0AF4">
              <w:rPr>
                <w:sz w:val="22"/>
              </w:rPr>
              <w:t>фізичних</w:t>
            </w:r>
            <w:proofErr w:type="spellEnd"/>
            <w:r w:rsidRPr="007E0AF4">
              <w:rPr>
                <w:sz w:val="22"/>
              </w:rPr>
              <w:t xml:space="preserve"> </w:t>
            </w:r>
            <w:proofErr w:type="spellStart"/>
            <w:r w:rsidRPr="007E0AF4">
              <w:rPr>
                <w:sz w:val="22"/>
              </w:rPr>
              <w:t>осіб</w:t>
            </w:r>
            <w:proofErr w:type="spellEnd"/>
            <w:r w:rsidRPr="007E0AF4">
              <w:rPr>
                <w:sz w:val="22"/>
              </w:rPr>
              <w:t xml:space="preserve">, </w:t>
            </w:r>
            <w:proofErr w:type="spellStart"/>
            <w:r w:rsidRPr="007E0AF4">
              <w:rPr>
                <w:sz w:val="22"/>
              </w:rPr>
              <w:t>які</w:t>
            </w:r>
            <w:proofErr w:type="spellEnd"/>
            <w:r w:rsidRPr="007E0AF4">
              <w:rPr>
                <w:sz w:val="22"/>
              </w:rPr>
              <w:t xml:space="preserve"> </w:t>
            </w:r>
            <w:proofErr w:type="spellStart"/>
            <w:r w:rsidRPr="007E0AF4">
              <w:rPr>
                <w:sz w:val="22"/>
              </w:rPr>
              <w:t>звернулись</w:t>
            </w:r>
            <w:proofErr w:type="spellEnd"/>
            <w:r w:rsidRPr="007E0AF4">
              <w:rPr>
                <w:sz w:val="22"/>
              </w:rPr>
              <w:t xml:space="preserve"> за </w:t>
            </w:r>
            <w:proofErr w:type="spellStart"/>
            <w:r w:rsidRPr="007E0AF4">
              <w:rPr>
                <w:sz w:val="22"/>
              </w:rPr>
              <w:t>послугами</w:t>
            </w:r>
            <w:proofErr w:type="spellEnd"/>
            <w:r w:rsidRPr="007E0AF4">
              <w:rPr>
                <w:sz w:val="22"/>
              </w:rPr>
              <w:t xml:space="preserve"> </w:t>
            </w:r>
            <w:proofErr w:type="spellStart"/>
            <w:proofErr w:type="gramStart"/>
            <w:r w:rsidRPr="007E0AF4">
              <w:rPr>
                <w:sz w:val="22"/>
              </w:rPr>
              <w:t>протягом</w:t>
            </w:r>
            <w:proofErr w:type="spellEnd"/>
            <w:r w:rsidRPr="007E0AF4">
              <w:rPr>
                <w:sz w:val="22"/>
              </w:rPr>
              <w:t xml:space="preserve">  року</w:t>
            </w:r>
            <w:proofErr w:type="gramEnd"/>
          </w:p>
        </w:tc>
        <w:tc>
          <w:tcPr>
            <w:tcW w:w="1843" w:type="dxa"/>
            <w:tcBorders>
              <w:top w:val="single" w:sz="4" w:space="0" w:color="auto"/>
              <w:left w:val="single" w:sz="4" w:space="0" w:color="auto"/>
              <w:bottom w:val="single" w:sz="4" w:space="0" w:color="auto"/>
              <w:right w:val="single" w:sz="4" w:space="0" w:color="auto"/>
            </w:tcBorders>
            <w:vAlign w:val="center"/>
          </w:tcPr>
          <w:p w:rsidR="00654133" w:rsidRPr="007E0AF4" w:rsidRDefault="00654133" w:rsidP="00F34B87">
            <w:pPr>
              <w:pStyle w:val="a7"/>
              <w:ind w:left="0"/>
              <w:jc w:val="center"/>
              <w:rPr>
                <w:sz w:val="22"/>
              </w:rPr>
            </w:pPr>
            <w:proofErr w:type="spellStart"/>
            <w:r w:rsidRPr="007E0AF4">
              <w:rPr>
                <w:sz w:val="22"/>
              </w:rPr>
              <w:t>осіб</w:t>
            </w:r>
            <w:proofErr w:type="spellEnd"/>
          </w:p>
        </w:tc>
        <w:tc>
          <w:tcPr>
            <w:tcW w:w="1417" w:type="dxa"/>
            <w:gridSpan w:val="2"/>
            <w:tcBorders>
              <w:top w:val="single" w:sz="4" w:space="0" w:color="auto"/>
              <w:left w:val="single" w:sz="4" w:space="0" w:color="auto"/>
              <w:bottom w:val="single" w:sz="4" w:space="0" w:color="auto"/>
            </w:tcBorders>
          </w:tcPr>
          <w:p w:rsidR="00654133" w:rsidRPr="007E0AF4" w:rsidRDefault="00654133" w:rsidP="00F34B87">
            <w:pPr>
              <w:pStyle w:val="a7"/>
              <w:ind w:left="0"/>
              <w:jc w:val="center"/>
              <w:rPr>
                <w:b/>
                <w:sz w:val="22"/>
              </w:rPr>
            </w:pPr>
            <w:r w:rsidRPr="007E0AF4">
              <w:rPr>
                <w:sz w:val="22"/>
              </w:rPr>
              <w:t>600</w:t>
            </w:r>
          </w:p>
        </w:tc>
      </w:tr>
      <w:tr w:rsidR="00654133" w:rsidRPr="007E0AF4" w:rsidTr="00F34B87">
        <w:trPr>
          <w:trHeight w:val="184"/>
        </w:trPr>
        <w:tc>
          <w:tcPr>
            <w:tcW w:w="2978" w:type="dxa"/>
            <w:vMerge/>
            <w:shd w:val="clear" w:color="auto" w:fill="C6D9F1" w:themeFill="text2" w:themeFillTint="33"/>
          </w:tcPr>
          <w:p w:rsidR="00654133" w:rsidRPr="007E0AF4" w:rsidRDefault="00654133" w:rsidP="00F34B87">
            <w:pPr>
              <w:pStyle w:val="a7"/>
              <w:ind w:left="0"/>
              <w:rPr>
                <w:b/>
                <w:sz w:val="22"/>
              </w:rPr>
            </w:pPr>
          </w:p>
        </w:tc>
        <w:tc>
          <w:tcPr>
            <w:tcW w:w="3685" w:type="dxa"/>
            <w:gridSpan w:val="3"/>
            <w:tcBorders>
              <w:top w:val="single" w:sz="4" w:space="0" w:color="auto"/>
              <w:bottom w:val="single" w:sz="4" w:space="0" w:color="auto"/>
              <w:right w:val="single" w:sz="4" w:space="0" w:color="auto"/>
            </w:tcBorders>
          </w:tcPr>
          <w:p w:rsidR="00654133" w:rsidRPr="007E0AF4" w:rsidRDefault="00654133" w:rsidP="00F34B87">
            <w:pPr>
              <w:pStyle w:val="a7"/>
              <w:ind w:left="0"/>
              <w:jc w:val="center"/>
              <w:rPr>
                <w:sz w:val="22"/>
              </w:rPr>
            </w:pPr>
            <w:proofErr w:type="spellStart"/>
            <w:r w:rsidRPr="007E0AF4">
              <w:rPr>
                <w:sz w:val="22"/>
              </w:rPr>
              <w:t>Кількість</w:t>
            </w:r>
            <w:proofErr w:type="spellEnd"/>
            <w:r w:rsidRPr="007E0AF4">
              <w:rPr>
                <w:sz w:val="22"/>
              </w:rPr>
              <w:t xml:space="preserve"> </w:t>
            </w:r>
            <w:proofErr w:type="spellStart"/>
            <w:r w:rsidRPr="007E0AF4">
              <w:rPr>
                <w:sz w:val="22"/>
              </w:rPr>
              <w:t>видів</w:t>
            </w:r>
            <w:proofErr w:type="spellEnd"/>
            <w:r w:rsidRPr="007E0AF4">
              <w:rPr>
                <w:sz w:val="22"/>
              </w:rPr>
              <w:t xml:space="preserve"> та </w:t>
            </w:r>
            <w:proofErr w:type="spellStart"/>
            <w:r w:rsidRPr="007E0AF4">
              <w:rPr>
                <w:sz w:val="22"/>
              </w:rPr>
              <w:t>типів</w:t>
            </w:r>
            <w:proofErr w:type="spellEnd"/>
            <w:r w:rsidRPr="007E0AF4">
              <w:rPr>
                <w:sz w:val="22"/>
              </w:rPr>
              <w:t xml:space="preserve"> </w:t>
            </w:r>
            <w:proofErr w:type="spellStart"/>
            <w:r w:rsidRPr="007E0AF4">
              <w:rPr>
                <w:sz w:val="22"/>
              </w:rPr>
              <w:t>послуг</w:t>
            </w:r>
            <w:proofErr w:type="spellEnd"/>
            <w:r w:rsidR="00F5686B" w:rsidRPr="007E0AF4">
              <w:rPr>
                <w:sz w:val="22"/>
              </w:rPr>
              <w:t>,</w:t>
            </w:r>
            <w:r w:rsidRPr="007E0AF4">
              <w:rPr>
                <w:sz w:val="22"/>
              </w:rPr>
              <w:t xml:space="preserve"> </w:t>
            </w:r>
            <w:proofErr w:type="spellStart"/>
            <w:r w:rsidRPr="007E0AF4">
              <w:rPr>
                <w:sz w:val="22"/>
              </w:rPr>
              <w:t>наданих</w:t>
            </w:r>
            <w:proofErr w:type="spellEnd"/>
            <w:r w:rsidRPr="007E0AF4">
              <w:rPr>
                <w:sz w:val="22"/>
              </w:rPr>
              <w:t xml:space="preserve"> </w:t>
            </w:r>
            <w:proofErr w:type="spellStart"/>
            <w:r w:rsidRPr="007E0AF4">
              <w:rPr>
                <w:sz w:val="22"/>
              </w:rPr>
              <w:t>протягом</w:t>
            </w:r>
            <w:proofErr w:type="spellEnd"/>
            <w:r w:rsidRPr="007E0AF4">
              <w:rPr>
                <w:sz w:val="22"/>
              </w:rPr>
              <w:t xml:space="preserve"> одно </w:t>
            </w:r>
            <w:proofErr w:type="spellStart"/>
            <w:r w:rsidRPr="007E0AF4">
              <w:rPr>
                <w:sz w:val="22"/>
              </w:rPr>
              <w:t>робочого</w:t>
            </w:r>
            <w:proofErr w:type="spellEnd"/>
            <w:r w:rsidRPr="007E0AF4">
              <w:rPr>
                <w:sz w:val="22"/>
              </w:rPr>
              <w:t xml:space="preserve"> дня</w:t>
            </w:r>
          </w:p>
        </w:tc>
        <w:tc>
          <w:tcPr>
            <w:tcW w:w="1843" w:type="dxa"/>
            <w:tcBorders>
              <w:top w:val="single" w:sz="4" w:space="0" w:color="auto"/>
              <w:left w:val="single" w:sz="4" w:space="0" w:color="auto"/>
              <w:bottom w:val="single" w:sz="4" w:space="0" w:color="auto"/>
              <w:right w:val="single" w:sz="4" w:space="0" w:color="auto"/>
            </w:tcBorders>
            <w:vAlign w:val="center"/>
          </w:tcPr>
          <w:p w:rsidR="00654133" w:rsidRPr="007E0AF4" w:rsidRDefault="00654133" w:rsidP="00F34B87">
            <w:pPr>
              <w:pStyle w:val="a7"/>
              <w:ind w:left="0"/>
              <w:jc w:val="center"/>
              <w:rPr>
                <w:sz w:val="22"/>
              </w:rPr>
            </w:pPr>
            <w:proofErr w:type="spellStart"/>
            <w:r w:rsidRPr="007E0AF4">
              <w:rPr>
                <w:sz w:val="22"/>
              </w:rPr>
              <w:t>одиниць</w:t>
            </w:r>
            <w:proofErr w:type="spellEnd"/>
          </w:p>
        </w:tc>
        <w:tc>
          <w:tcPr>
            <w:tcW w:w="1417" w:type="dxa"/>
            <w:gridSpan w:val="2"/>
            <w:tcBorders>
              <w:top w:val="single" w:sz="4" w:space="0" w:color="auto"/>
              <w:left w:val="single" w:sz="4" w:space="0" w:color="auto"/>
              <w:bottom w:val="single" w:sz="4" w:space="0" w:color="auto"/>
            </w:tcBorders>
          </w:tcPr>
          <w:p w:rsidR="00654133" w:rsidRPr="007E0AF4" w:rsidRDefault="00654133" w:rsidP="00F34B87">
            <w:pPr>
              <w:pStyle w:val="a7"/>
              <w:ind w:left="0"/>
              <w:jc w:val="center"/>
              <w:rPr>
                <w:sz w:val="22"/>
              </w:rPr>
            </w:pPr>
            <w:r w:rsidRPr="007E0AF4">
              <w:rPr>
                <w:sz w:val="22"/>
              </w:rPr>
              <w:t>125</w:t>
            </w:r>
          </w:p>
        </w:tc>
      </w:tr>
      <w:tr w:rsidR="00654133" w:rsidRPr="007E0AF4" w:rsidTr="00F34B87">
        <w:trPr>
          <w:trHeight w:val="150"/>
        </w:trPr>
        <w:tc>
          <w:tcPr>
            <w:tcW w:w="2978" w:type="dxa"/>
            <w:vMerge/>
            <w:shd w:val="clear" w:color="auto" w:fill="C6D9F1" w:themeFill="text2" w:themeFillTint="33"/>
          </w:tcPr>
          <w:p w:rsidR="00654133" w:rsidRPr="007E0AF4" w:rsidRDefault="00654133" w:rsidP="00F34B87">
            <w:pPr>
              <w:pStyle w:val="a7"/>
              <w:ind w:left="0"/>
              <w:rPr>
                <w:b/>
                <w:sz w:val="22"/>
              </w:rPr>
            </w:pPr>
          </w:p>
        </w:tc>
        <w:tc>
          <w:tcPr>
            <w:tcW w:w="3685" w:type="dxa"/>
            <w:gridSpan w:val="3"/>
            <w:tcBorders>
              <w:top w:val="single" w:sz="4" w:space="0" w:color="auto"/>
              <w:right w:val="single" w:sz="4" w:space="0" w:color="auto"/>
            </w:tcBorders>
          </w:tcPr>
          <w:p w:rsidR="00654133" w:rsidRPr="007E0AF4" w:rsidRDefault="00654133" w:rsidP="00F34B87">
            <w:pPr>
              <w:pStyle w:val="a7"/>
              <w:ind w:left="0"/>
              <w:jc w:val="center"/>
              <w:rPr>
                <w:sz w:val="22"/>
              </w:rPr>
            </w:pPr>
            <w:proofErr w:type="spellStart"/>
            <w:r w:rsidRPr="007E0AF4">
              <w:rPr>
                <w:sz w:val="22"/>
              </w:rPr>
              <w:t>Термін</w:t>
            </w:r>
            <w:proofErr w:type="spellEnd"/>
            <w:r w:rsidRPr="007E0AF4">
              <w:rPr>
                <w:sz w:val="22"/>
              </w:rPr>
              <w:t xml:space="preserve"> </w:t>
            </w:r>
            <w:proofErr w:type="spellStart"/>
            <w:r w:rsidRPr="007E0AF4">
              <w:rPr>
                <w:sz w:val="22"/>
              </w:rPr>
              <w:t>надання</w:t>
            </w:r>
            <w:proofErr w:type="spellEnd"/>
            <w:r w:rsidRPr="007E0AF4">
              <w:rPr>
                <w:sz w:val="22"/>
              </w:rPr>
              <w:t xml:space="preserve"> </w:t>
            </w:r>
            <w:proofErr w:type="spellStart"/>
            <w:r w:rsidRPr="007E0AF4">
              <w:rPr>
                <w:sz w:val="22"/>
              </w:rPr>
              <w:t>послуги</w:t>
            </w:r>
            <w:proofErr w:type="spellEnd"/>
          </w:p>
        </w:tc>
        <w:tc>
          <w:tcPr>
            <w:tcW w:w="1843" w:type="dxa"/>
            <w:tcBorders>
              <w:top w:val="single" w:sz="4" w:space="0" w:color="auto"/>
              <w:left w:val="single" w:sz="4" w:space="0" w:color="auto"/>
              <w:right w:val="single" w:sz="4" w:space="0" w:color="auto"/>
            </w:tcBorders>
            <w:vAlign w:val="center"/>
          </w:tcPr>
          <w:p w:rsidR="00654133" w:rsidRPr="007E0AF4" w:rsidRDefault="00654133" w:rsidP="00F34B87">
            <w:pPr>
              <w:pStyle w:val="a7"/>
              <w:ind w:left="0"/>
              <w:jc w:val="center"/>
              <w:rPr>
                <w:sz w:val="22"/>
              </w:rPr>
            </w:pPr>
            <w:r w:rsidRPr="007E0AF4">
              <w:rPr>
                <w:sz w:val="22"/>
              </w:rPr>
              <w:t>день</w:t>
            </w:r>
          </w:p>
        </w:tc>
        <w:tc>
          <w:tcPr>
            <w:tcW w:w="1417" w:type="dxa"/>
            <w:gridSpan w:val="2"/>
            <w:tcBorders>
              <w:top w:val="single" w:sz="4" w:space="0" w:color="auto"/>
              <w:left w:val="single" w:sz="4" w:space="0" w:color="auto"/>
            </w:tcBorders>
          </w:tcPr>
          <w:p w:rsidR="00654133" w:rsidRPr="007E0AF4" w:rsidRDefault="00654133" w:rsidP="00F34B87">
            <w:pPr>
              <w:pStyle w:val="a7"/>
              <w:ind w:left="0"/>
              <w:jc w:val="center"/>
              <w:rPr>
                <w:sz w:val="22"/>
              </w:rPr>
            </w:pPr>
            <w:r w:rsidRPr="007E0AF4">
              <w:rPr>
                <w:sz w:val="22"/>
              </w:rPr>
              <w:t>365</w:t>
            </w:r>
          </w:p>
        </w:tc>
      </w:tr>
      <w:tr w:rsidR="00654133" w:rsidRPr="007E0AF4" w:rsidTr="00F34B87">
        <w:trPr>
          <w:trHeight w:val="150"/>
        </w:trPr>
        <w:tc>
          <w:tcPr>
            <w:tcW w:w="2978" w:type="dxa"/>
            <w:shd w:val="clear" w:color="auto" w:fill="C6D9F1" w:themeFill="text2" w:themeFillTint="33"/>
          </w:tcPr>
          <w:p w:rsidR="00654133" w:rsidRPr="007E0AF4" w:rsidRDefault="00654133" w:rsidP="00F34B87">
            <w:pPr>
              <w:pStyle w:val="a7"/>
              <w:ind w:left="0"/>
              <w:rPr>
                <w:b/>
                <w:sz w:val="22"/>
              </w:rPr>
            </w:pPr>
          </w:p>
        </w:tc>
        <w:tc>
          <w:tcPr>
            <w:tcW w:w="3685" w:type="dxa"/>
            <w:gridSpan w:val="3"/>
            <w:tcBorders>
              <w:top w:val="single" w:sz="4" w:space="0" w:color="auto"/>
              <w:right w:val="single" w:sz="4" w:space="0" w:color="auto"/>
            </w:tcBorders>
          </w:tcPr>
          <w:p w:rsidR="00654133" w:rsidRPr="007E0AF4" w:rsidRDefault="00654133" w:rsidP="00F5686B">
            <w:pPr>
              <w:pStyle w:val="a7"/>
              <w:ind w:left="0"/>
              <w:jc w:val="center"/>
              <w:rPr>
                <w:sz w:val="22"/>
              </w:rPr>
            </w:pPr>
            <w:proofErr w:type="spellStart"/>
            <w:r w:rsidRPr="007E0AF4">
              <w:rPr>
                <w:sz w:val="22"/>
              </w:rPr>
              <w:t>Кількість</w:t>
            </w:r>
            <w:proofErr w:type="spellEnd"/>
            <w:r w:rsidRPr="007E0AF4">
              <w:rPr>
                <w:sz w:val="22"/>
              </w:rPr>
              <w:t xml:space="preserve"> </w:t>
            </w:r>
            <w:proofErr w:type="spellStart"/>
            <w:r w:rsidRPr="007E0AF4">
              <w:rPr>
                <w:sz w:val="22"/>
              </w:rPr>
              <w:t>населених</w:t>
            </w:r>
            <w:proofErr w:type="spellEnd"/>
            <w:r w:rsidRPr="007E0AF4">
              <w:rPr>
                <w:sz w:val="22"/>
              </w:rPr>
              <w:t xml:space="preserve"> </w:t>
            </w:r>
            <w:proofErr w:type="spellStart"/>
            <w:r w:rsidRPr="007E0AF4">
              <w:rPr>
                <w:sz w:val="22"/>
              </w:rPr>
              <w:t>пунктів</w:t>
            </w:r>
            <w:proofErr w:type="spellEnd"/>
            <w:r w:rsidRPr="007E0AF4">
              <w:rPr>
                <w:sz w:val="22"/>
              </w:rPr>
              <w:t xml:space="preserve">, </w:t>
            </w:r>
            <w:proofErr w:type="spellStart"/>
            <w:r w:rsidRPr="007E0AF4">
              <w:rPr>
                <w:sz w:val="22"/>
              </w:rPr>
              <w:t>як</w:t>
            </w:r>
            <w:r w:rsidR="00F5686B" w:rsidRPr="007E0AF4">
              <w:rPr>
                <w:sz w:val="22"/>
              </w:rPr>
              <w:t>і</w:t>
            </w:r>
            <w:proofErr w:type="spellEnd"/>
            <w:r w:rsidRPr="007E0AF4">
              <w:rPr>
                <w:sz w:val="22"/>
              </w:rPr>
              <w:t xml:space="preserve"> </w:t>
            </w:r>
            <w:proofErr w:type="spellStart"/>
            <w:r w:rsidRPr="007E0AF4">
              <w:rPr>
                <w:sz w:val="22"/>
              </w:rPr>
              <w:t>обслуговує</w:t>
            </w:r>
            <w:proofErr w:type="spellEnd"/>
            <w:r w:rsidRPr="007E0AF4">
              <w:rPr>
                <w:sz w:val="22"/>
              </w:rPr>
              <w:t xml:space="preserve"> </w:t>
            </w:r>
            <w:r w:rsidR="00F5686B" w:rsidRPr="007E0AF4">
              <w:rPr>
                <w:sz w:val="22"/>
              </w:rPr>
              <w:t>заклад</w:t>
            </w:r>
          </w:p>
        </w:tc>
        <w:tc>
          <w:tcPr>
            <w:tcW w:w="1843" w:type="dxa"/>
            <w:tcBorders>
              <w:top w:val="single" w:sz="4" w:space="0" w:color="auto"/>
              <w:left w:val="single" w:sz="4" w:space="0" w:color="auto"/>
              <w:right w:val="single" w:sz="4" w:space="0" w:color="auto"/>
            </w:tcBorders>
            <w:vAlign w:val="center"/>
          </w:tcPr>
          <w:p w:rsidR="00654133" w:rsidRPr="007E0AF4" w:rsidRDefault="00654133" w:rsidP="00F34B87">
            <w:pPr>
              <w:pStyle w:val="a7"/>
              <w:ind w:left="0"/>
              <w:jc w:val="center"/>
              <w:rPr>
                <w:sz w:val="22"/>
              </w:rPr>
            </w:pPr>
            <w:proofErr w:type="spellStart"/>
            <w:r w:rsidRPr="007E0AF4">
              <w:rPr>
                <w:sz w:val="22"/>
              </w:rPr>
              <w:t>одиниць</w:t>
            </w:r>
            <w:proofErr w:type="spellEnd"/>
          </w:p>
        </w:tc>
        <w:tc>
          <w:tcPr>
            <w:tcW w:w="1417" w:type="dxa"/>
            <w:gridSpan w:val="2"/>
            <w:tcBorders>
              <w:top w:val="single" w:sz="4" w:space="0" w:color="auto"/>
              <w:left w:val="single" w:sz="4" w:space="0" w:color="auto"/>
            </w:tcBorders>
          </w:tcPr>
          <w:p w:rsidR="00654133" w:rsidRPr="007E0AF4" w:rsidRDefault="00654133" w:rsidP="00F34B87">
            <w:pPr>
              <w:pStyle w:val="a7"/>
              <w:ind w:left="0"/>
              <w:jc w:val="center"/>
              <w:rPr>
                <w:sz w:val="22"/>
              </w:rPr>
            </w:pPr>
            <w:r w:rsidRPr="007E0AF4">
              <w:rPr>
                <w:sz w:val="22"/>
              </w:rPr>
              <w:t>20</w:t>
            </w:r>
          </w:p>
        </w:tc>
      </w:tr>
      <w:tr w:rsidR="00654133" w:rsidRPr="007E0AF4" w:rsidTr="00F34B87">
        <w:tc>
          <w:tcPr>
            <w:tcW w:w="2978" w:type="dxa"/>
            <w:shd w:val="clear" w:color="auto" w:fill="C6D9F1" w:themeFill="text2" w:themeFillTint="33"/>
          </w:tcPr>
          <w:p w:rsidR="00654133" w:rsidRPr="007E0AF4" w:rsidRDefault="00654133" w:rsidP="00F34B87">
            <w:pPr>
              <w:rPr>
                <w:b/>
                <w:sz w:val="22"/>
              </w:rPr>
            </w:pPr>
            <w:proofErr w:type="spellStart"/>
            <w:r w:rsidRPr="007E0AF4">
              <w:rPr>
                <w:b/>
                <w:sz w:val="22"/>
              </w:rPr>
              <w:t>Ключові</w:t>
            </w:r>
            <w:proofErr w:type="spellEnd"/>
            <w:r w:rsidRPr="007E0AF4">
              <w:rPr>
                <w:b/>
                <w:sz w:val="22"/>
              </w:rPr>
              <w:t xml:space="preserve"> заходи проекту: </w:t>
            </w:r>
          </w:p>
          <w:p w:rsidR="00654133" w:rsidRPr="007E0AF4" w:rsidRDefault="00654133" w:rsidP="00F34B87">
            <w:pPr>
              <w:pStyle w:val="a7"/>
              <w:ind w:left="0"/>
              <w:rPr>
                <w:b/>
                <w:sz w:val="22"/>
              </w:rPr>
            </w:pPr>
          </w:p>
        </w:tc>
        <w:tc>
          <w:tcPr>
            <w:tcW w:w="6945" w:type="dxa"/>
            <w:gridSpan w:val="6"/>
          </w:tcPr>
          <w:p w:rsidR="00654133" w:rsidRPr="007E0AF4" w:rsidRDefault="00654133" w:rsidP="00F34B87">
            <w:pPr>
              <w:pStyle w:val="a7"/>
              <w:ind w:left="0"/>
              <w:rPr>
                <w:sz w:val="22"/>
              </w:rPr>
            </w:pPr>
            <w:r w:rsidRPr="007E0AF4">
              <w:rPr>
                <w:sz w:val="22"/>
              </w:rPr>
              <w:t xml:space="preserve">- </w:t>
            </w:r>
            <w:proofErr w:type="spellStart"/>
            <w:r w:rsidRPr="007E0AF4">
              <w:rPr>
                <w:sz w:val="22"/>
              </w:rPr>
              <w:t>обстеження</w:t>
            </w:r>
            <w:proofErr w:type="spellEnd"/>
            <w:r w:rsidRPr="007E0AF4">
              <w:rPr>
                <w:sz w:val="22"/>
              </w:rPr>
              <w:t xml:space="preserve"> стану </w:t>
            </w:r>
            <w:proofErr w:type="spellStart"/>
            <w:r w:rsidRPr="007E0AF4">
              <w:rPr>
                <w:sz w:val="22"/>
              </w:rPr>
              <w:t>паркану</w:t>
            </w:r>
            <w:proofErr w:type="spellEnd"/>
            <w:r w:rsidRPr="007E0AF4">
              <w:rPr>
                <w:sz w:val="22"/>
              </w:rPr>
              <w:t>;</w:t>
            </w:r>
          </w:p>
          <w:p w:rsidR="00654133" w:rsidRPr="007E0AF4" w:rsidRDefault="00654133" w:rsidP="00F34B87">
            <w:pPr>
              <w:pStyle w:val="a7"/>
              <w:ind w:left="0"/>
              <w:rPr>
                <w:sz w:val="22"/>
              </w:rPr>
            </w:pPr>
            <w:r w:rsidRPr="007E0AF4">
              <w:rPr>
                <w:sz w:val="22"/>
              </w:rPr>
              <w:t xml:space="preserve">- демонтаж старого </w:t>
            </w:r>
            <w:proofErr w:type="spellStart"/>
            <w:r w:rsidRPr="007E0AF4">
              <w:rPr>
                <w:sz w:val="22"/>
              </w:rPr>
              <w:t>паркану</w:t>
            </w:r>
            <w:proofErr w:type="spellEnd"/>
            <w:r w:rsidRPr="007E0AF4">
              <w:rPr>
                <w:sz w:val="22"/>
              </w:rPr>
              <w:t>;</w:t>
            </w:r>
          </w:p>
          <w:p w:rsidR="00654133" w:rsidRPr="007E0AF4" w:rsidRDefault="00654133" w:rsidP="00F34B87">
            <w:pPr>
              <w:pStyle w:val="a7"/>
              <w:ind w:left="0"/>
              <w:rPr>
                <w:sz w:val="22"/>
              </w:rPr>
            </w:pPr>
            <w:r w:rsidRPr="007E0AF4">
              <w:rPr>
                <w:sz w:val="22"/>
              </w:rPr>
              <w:t xml:space="preserve">- </w:t>
            </w:r>
            <w:proofErr w:type="spellStart"/>
            <w:r w:rsidRPr="007E0AF4">
              <w:rPr>
                <w:sz w:val="22"/>
              </w:rPr>
              <w:t>підготовка</w:t>
            </w:r>
            <w:proofErr w:type="spellEnd"/>
            <w:r w:rsidRPr="007E0AF4">
              <w:rPr>
                <w:sz w:val="22"/>
              </w:rPr>
              <w:t xml:space="preserve"> </w:t>
            </w:r>
            <w:proofErr w:type="spellStart"/>
            <w:r w:rsidRPr="007E0AF4">
              <w:rPr>
                <w:sz w:val="22"/>
              </w:rPr>
              <w:t>проєктно-кошторисної</w:t>
            </w:r>
            <w:proofErr w:type="spellEnd"/>
            <w:r w:rsidRPr="007E0AF4">
              <w:rPr>
                <w:sz w:val="22"/>
              </w:rPr>
              <w:t xml:space="preserve"> </w:t>
            </w:r>
            <w:proofErr w:type="spellStart"/>
            <w:r w:rsidRPr="007E0AF4">
              <w:rPr>
                <w:sz w:val="22"/>
              </w:rPr>
              <w:t>документації</w:t>
            </w:r>
            <w:proofErr w:type="spellEnd"/>
            <w:r w:rsidRPr="007E0AF4">
              <w:rPr>
                <w:sz w:val="22"/>
              </w:rPr>
              <w:t>;</w:t>
            </w:r>
          </w:p>
          <w:p w:rsidR="00654133" w:rsidRPr="007E0AF4" w:rsidRDefault="00654133" w:rsidP="00F34B87">
            <w:pPr>
              <w:pStyle w:val="a7"/>
              <w:ind w:left="0"/>
              <w:rPr>
                <w:sz w:val="22"/>
              </w:rPr>
            </w:pPr>
            <w:r w:rsidRPr="007E0AF4">
              <w:rPr>
                <w:sz w:val="22"/>
              </w:rPr>
              <w:t xml:space="preserve">- </w:t>
            </w:r>
            <w:proofErr w:type="spellStart"/>
            <w:r w:rsidRPr="007E0AF4">
              <w:rPr>
                <w:sz w:val="22"/>
              </w:rPr>
              <w:t>придбання</w:t>
            </w:r>
            <w:proofErr w:type="spellEnd"/>
            <w:r w:rsidRPr="007E0AF4">
              <w:rPr>
                <w:sz w:val="22"/>
              </w:rPr>
              <w:t xml:space="preserve"> </w:t>
            </w:r>
            <w:proofErr w:type="spellStart"/>
            <w:r w:rsidRPr="007E0AF4">
              <w:rPr>
                <w:sz w:val="22"/>
              </w:rPr>
              <w:t>технічного</w:t>
            </w:r>
            <w:proofErr w:type="spellEnd"/>
            <w:r w:rsidRPr="007E0AF4">
              <w:rPr>
                <w:sz w:val="22"/>
              </w:rPr>
              <w:t xml:space="preserve"> </w:t>
            </w:r>
            <w:proofErr w:type="spellStart"/>
            <w:r w:rsidRPr="007E0AF4">
              <w:rPr>
                <w:sz w:val="22"/>
              </w:rPr>
              <w:t>забезпечення</w:t>
            </w:r>
            <w:proofErr w:type="spellEnd"/>
            <w:r w:rsidRPr="007E0AF4">
              <w:rPr>
                <w:sz w:val="22"/>
              </w:rPr>
              <w:t>;</w:t>
            </w:r>
          </w:p>
          <w:p w:rsidR="00654133" w:rsidRPr="007E0AF4" w:rsidRDefault="00654133" w:rsidP="00F34B87">
            <w:pPr>
              <w:pStyle w:val="a7"/>
              <w:ind w:left="0"/>
              <w:rPr>
                <w:sz w:val="22"/>
              </w:rPr>
            </w:pPr>
            <w:r w:rsidRPr="007E0AF4">
              <w:rPr>
                <w:sz w:val="22"/>
              </w:rPr>
              <w:t xml:space="preserve">- </w:t>
            </w:r>
            <w:proofErr w:type="spellStart"/>
            <w:r w:rsidRPr="007E0AF4">
              <w:rPr>
                <w:sz w:val="22"/>
              </w:rPr>
              <w:t>придбання</w:t>
            </w:r>
            <w:proofErr w:type="spellEnd"/>
            <w:r w:rsidRPr="007E0AF4">
              <w:rPr>
                <w:sz w:val="22"/>
              </w:rPr>
              <w:t xml:space="preserve"> </w:t>
            </w:r>
            <w:proofErr w:type="spellStart"/>
            <w:r w:rsidRPr="007E0AF4">
              <w:rPr>
                <w:sz w:val="22"/>
              </w:rPr>
              <w:t>технологічного</w:t>
            </w:r>
            <w:proofErr w:type="spellEnd"/>
            <w:r w:rsidRPr="007E0AF4">
              <w:rPr>
                <w:sz w:val="22"/>
              </w:rPr>
              <w:t xml:space="preserve"> </w:t>
            </w:r>
            <w:proofErr w:type="spellStart"/>
            <w:r w:rsidRPr="007E0AF4">
              <w:rPr>
                <w:sz w:val="22"/>
              </w:rPr>
              <w:t>забезпечення</w:t>
            </w:r>
            <w:proofErr w:type="spellEnd"/>
            <w:r w:rsidRPr="007E0AF4">
              <w:rPr>
                <w:sz w:val="22"/>
              </w:rPr>
              <w:t>;</w:t>
            </w:r>
          </w:p>
          <w:p w:rsidR="00654133" w:rsidRPr="007E0AF4" w:rsidRDefault="00654133" w:rsidP="00F34B87">
            <w:pPr>
              <w:pStyle w:val="a7"/>
              <w:ind w:left="0"/>
              <w:rPr>
                <w:sz w:val="22"/>
              </w:rPr>
            </w:pPr>
            <w:r w:rsidRPr="007E0AF4">
              <w:rPr>
                <w:sz w:val="22"/>
              </w:rPr>
              <w:t xml:space="preserve">- </w:t>
            </w:r>
            <w:proofErr w:type="spellStart"/>
            <w:r w:rsidRPr="007E0AF4">
              <w:rPr>
                <w:sz w:val="22"/>
              </w:rPr>
              <w:t>встановлення</w:t>
            </w:r>
            <w:proofErr w:type="spellEnd"/>
            <w:r w:rsidRPr="007E0AF4">
              <w:rPr>
                <w:sz w:val="22"/>
              </w:rPr>
              <w:t xml:space="preserve"> </w:t>
            </w:r>
            <w:proofErr w:type="spellStart"/>
            <w:r w:rsidRPr="007E0AF4">
              <w:rPr>
                <w:sz w:val="22"/>
              </w:rPr>
              <w:t>сучасного</w:t>
            </w:r>
            <w:proofErr w:type="spellEnd"/>
            <w:r w:rsidRPr="007E0AF4">
              <w:rPr>
                <w:sz w:val="22"/>
              </w:rPr>
              <w:t xml:space="preserve">, </w:t>
            </w:r>
            <w:proofErr w:type="spellStart"/>
            <w:r w:rsidRPr="007E0AF4">
              <w:rPr>
                <w:sz w:val="22"/>
              </w:rPr>
              <w:t>металевого</w:t>
            </w:r>
            <w:proofErr w:type="spellEnd"/>
            <w:r w:rsidRPr="007E0AF4">
              <w:rPr>
                <w:sz w:val="22"/>
              </w:rPr>
              <w:t xml:space="preserve">, </w:t>
            </w:r>
            <w:proofErr w:type="spellStart"/>
            <w:r w:rsidRPr="007E0AF4">
              <w:rPr>
                <w:sz w:val="22"/>
              </w:rPr>
              <w:t>естетично</w:t>
            </w:r>
            <w:proofErr w:type="spellEnd"/>
            <w:r w:rsidRPr="007E0AF4">
              <w:rPr>
                <w:sz w:val="22"/>
              </w:rPr>
              <w:t xml:space="preserve"> </w:t>
            </w:r>
            <w:proofErr w:type="spellStart"/>
            <w:r w:rsidRPr="007E0AF4">
              <w:rPr>
                <w:sz w:val="22"/>
              </w:rPr>
              <w:t>привабливого</w:t>
            </w:r>
            <w:proofErr w:type="spellEnd"/>
            <w:r w:rsidRPr="007E0AF4">
              <w:rPr>
                <w:sz w:val="22"/>
              </w:rPr>
              <w:t xml:space="preserve"> </w:t>
            </w:r>
            <w:proofErr w:type="spellStart"/>
            <w:r w:rsidRPr="007E0AF4">
              <w:rPr>
                <w:sz w:val="22"/>
              </w:rPr>
              <w:t>паркану</w:t>
            </w:r>
            <w:proofErr w:type="spellEnd"/>
            <w:r w:rsidRPr="007E0AF4">
              <w:rPr>
                <w:sz w:val="22"/>
              </w:rPr>
              <w:t xml:space="preserve"> (S 400 м х 600 м) та </w:t>
            </w:r>
            <w:proofErr w:type="spellStart"/>
            <w:r w:rsidRPr="007E0AF4">
              <w:rPr>
                <w:sz w:val="22"/>
              </w:rPr>
              <w:t>воріт</w:t>
            </w:r>
            <w:proofErr w:type="spellEnd"/>
          </w:p>
          <w:p w:rsidR="00654133" w:rsidRPr="007E0AF4" w:rsidRDefault="00654133" w:rsidP="00F34B87">
            <w:pPr>
              <w:pStyle w:val="a7"/>
              <w:ind w:left="0"/>
              <w:rPr>
                <w:sz w:val="22"/>
              </w:rPr>
            </w:pPr>
            <w:r w:rsidRPr="007E0AF4">
              <w:rPr>
                <w:sz w:val="22"/>
              </w:rPr>
              <w:t>-</w:t>
            </w:r>
            <w:proofErr w:type="spellStart"/>
            <w:r w:rsidRPr="007E0AF4">
              <w:rPr>
                <w:sz w:val="22"/>
              </w:rPr>
              <w:t>встановлення</w:t>
            </w:r>
            <w:proofErr w:type="spellEnd"/>
            <w:r w:rsidRPr="007E0AF4">
              <w:rPr>
                <w:sz w:val="22"/>
              </w:rPr>
              <w:t xml:space="preserve"> комплекта </w:t>
            </w:r>
            <w:proofErr w:type="spellStart"/>
            <w:r w:rsidRPr="007E0AF4">
              <w:rPr>
                <w:sz w:val="22"/>
              </w:rPr>
              <w:t>відеоспостереження</w:t>
            </w:r>
            <w:proofErr w:type="spellEnd"/>
            <w:r w:rsidRPr="007E0AF4">
              <w:rPr>
                <w:sz w:val="22"/>
              </w:rPr>
              <w:t xml:space="preserve"> на 6 </w:t>
            </w:r>
            <w:proofErr w:type="spellStart"/>
            <w:r w:rsidRPr="007E0AF4">
              <w:rPr>
                <w:sz w:val="22"/>
              </w:rPr>
              <w:t>відеокамер</w:t>
            </w:r>
            <w:proofErr w:type="spellEnd"/>
            <w:r w:rsidRPr="007E0AF4">
              <w:rPr>
                <w:sz w:val="22"/>
              </w:rPr>
              <w:t>;</w:t>
            </w:r>
          </w:p>
          <w:p w:rsidR="00654133" w:rsidRPr="007E0AF4" w:rsidRDefault="00654133" w:rsidP="00F34B87">
            <w:pPr>
              <w:pStyle w:val="a7"/>
              <w:ind w:left="0"/>
              <w:rPr>
                <w:sz w:val="22"/>
              </w:rPr>
            </w:pPr>
            <w:r w:rsidRPr="007E0AF4">
              <w:rPr>
                <w:sz w:val="22"/>
              </w:rPr>
              <w:t xml:space="preserve">  - </w:t>
            </w:r>
            <w:proofErr w:type="spellStart"/>
            <w:r w:rsidRPr="007E0AF4">
              <w:rPr>
                <w:sz w:val="22"/>
              </w:rPr>
              <w:t>організація</w:t>
            </w:r>
            <w:proofErr w:type="spellEnd"/>
            <w:r w:rsidRPr="007E0AF4">
              <w:rPr>
                <w:sz w:val="22"/>
              </w:rPr>
              <w:t xml:space="preserve"> та початок </w:t>
            </w:r>
            <w:proofErr w:type="spellStart"/>
            <w:r w:rsidRPr="007E0AF4">
              <w:rPr>
                <w:sz w:val="22"/>
              </w:rPr>
              <w:t>робочого</w:t>
            </w:r>
            <w:proofErr w:type="spellEnd"/>
            <w:r w:rsidRPr="007E0AF4">
              <w:rPr>
                <w:sz w:val="22"/>
              </w:rPr>
              <w:t xml:space="preserve"> </w:t>
            </w:r>
            <w:proofErr w:type="spellStart"/>
            <w:r w:rsidRPr="007E0AF4">
              <w:rPr>
                <w:sz w:val="22"/>
              </w:rPr>
              <w:t>процесу</w:t>
            </w:r>
            <w:proofErr w:type="spellEnd"/>
            <w:r w:rsidRPr="007E0AF4">
              <w:rPr>
                <w:sz w:val="22"/>
              </w:rPr>
              <w:t>.</w:t>
            </w:r>
          </w:p>
        </w:tc>
      </w:tr>
      <w:tr w:rsidR="00654133" w:rsidRPr="007E0AF4" w:rsidTr="00F34B87">
        <w:trPr>
          <w:trHeight w:val="360"/>
        </w:trPr>
        <w:tc>
          <w:tcPr>
            <w:tcW w:w="2978" w:type="dxa"/>
            <w:vMerge w:val="restart"/>
            <w:shd w:val="clear" w:color="auto" w:fill="C6D9F1" w:themeFill="text2" w:themeFillTint="33"/>
          </w:tcPr>
          <w:p w:rsidR="00654133" w:rsidRPr="007E0AF4" w:rsidRDefault="00654133" w:rsidP="00F34B87">
            <w:pPr>
              <w:pStyle w:val="a7"/>
              <w:ind w:left="0"/>
              <w:rPr>
                <w:b/>
                <w:sz w:val="22"/>
              </w:rPr>
            </w:pPr>
            <w:proofErr w:type="spellStart"/>
            <w:r w:rsidRPr="007E0AF4">
              <w:rPr>
                <w:b/>
                <w:sz w:val="22"/>
              </w:rPr>
              <w:t>Орієнтовний</w:t>
            </w:r>
            <w:proofErr w:type="spellEnd"/>
            <w:r w:rsidRPr="007E0AF4">
              <w:rPr>
                <w:b/>
                <w:sz w:val="22"/>
              </w:rPr>
              <w:t xml:space="preserve"> </w:t>
            </w:r>
            <w:proofErr w:type="spellStart"/>
            <w:r w:rsidRPr="007E0AF4">
              <w:rPr>
                <w:b/>
                <w:sz w:val="22"/>
              </w:rPr>
              <w:t>обсяг</w:t>
            </w:r>
            <w:proofErr w:type="spellEnd"/>
            <w:r w:rsidRPr="007E0AF4">
              <w:rPr>
                <w:b/>
                <w:sz w:val="22"/>
              </w:rPr>
              <w:t xml:space="preserve"> та </w:t>
            </w:r>
            <w:proofErr w:type="spellStart"/>
            <w:r w:rsidRPr="007E0AF4">
              <w:rPr>
                <w:b/>
                <w:sz w:val="22"/>
              </w:rPr>
              <w:t>джерела</w:t>
            </w:r>
            <w:proofErr w:type="spellEnd"/>
            <w:r w:rsidRPr="007E0AF4">
              <w:rPr>
                <w:b/>
                <w:sz w:val="22"/>
              </w:rPr>
              <w:t xml:space="preserve"> </w:t>
            </w:r>
            <w:proofErr w:type="spellStart"/>
            <w:r w:rsidRPr="007E0AF4">
              <w:rPr>
                <w:b/>
                <w:sz w:val="22"/>
              </w:rPr>
              <w:t>фінансування</w:t>
            </w:r>
            <w:proofErr w:type="spellEnd"/>
            <w:r w:rsidRPr="007E0AF4">
              <w:rPr>
                <w:b/>
                <w:sz w:val="22"/>
              </w:rPr>
              <w:t xml:space="preserve">, тис. грн. </w:t>
            </w:r>
          </w:p>
          <w:p w:rsidR="00654133" w:rsidRPr="007E0AF4" w:rsidRDefault="00654133" w:rsidP="00F34B87">
            <w:pPr>
              <w:pStyle w:val="a7"/>
              <w:ind w:left="0"/>
              <w:rPr>
                <w:b/>
                <w:sz w:val="22"/>
              </w:rPr>
            </w:pPr>
          </w:p>
        </w:tc>
        <w:tc>
          <w:tcPr>
            <w:tcW w:w="1275" w:type="dxa"/>
            <w:tcBorders>
              <w:bottom w:val="single" w:sz="4" w:space="0" w:color="auto"/>
              <w:right w:val="single" w:sz="4" w:space="0" w:color="auto"/>
            </w:tcBorders>
          </w:tcPr>
          <w:p w:rsidR="00654133" w:rsidRPr="007E0AF4" w:rsidRDefault="00654133" w:rsidP="00F34B87">
            <w:pPr>
              <w:pStyle w:val="a7"/>
              <w:ind w:left="0"/>
              <w:jc w:val="center"/>
              <w:rPr>
                <w:b/>
                <w:sz w:val="22"/>
              </w:rPr>
            </w:pPr>
            <w:proofErr w:type="spellStart"/>
            <w:r w:rsidRPr="007E0AF4">
              <w:rPr>
                <w:b/>
                <w:sz w:val="22"/>
              </w:rPr>
              <w:t>Державний</w:t>
            </w:r>
            <w:proofErr w:type="spellEnd"/>
            <w:r w:rsidRPr="007E0AF4">
              <w:rPr>
                <w:b/>
                <w:sz w:val="22"/>
              </w:rPr>
              <w:t xml:space="preserve"> бюджет</w:t>
            </w:r>
          </w:p>
        </w:tc>
        <w:tc>
          <w:tcPr>
            <w:tcW w:w="1276" w:type="dxa"/>
            <w:tcBorders>
              <w:bottom w:val="single" w:sz="4" w:space="0" w:color="auto"/>
              <w:right w:val="single" w:sz="4" w:space="0" w:color="auto"/>
            </w:tcBorders>
          </w:tcPr>
          <w:p w:rsidR="00654133" w:rsidRPr="007E0AF4" w:rsidRDefault="00654133" w:rsidP="00F34B87">
            <w:pPr>
              <w:pStyle w:val="a7"/>
              <w:ind w:left="0"/>
              <w:jc w:val="center"/>
              <w:rPr>
                <w:b/>
                <w:sz w:val="22"/>
              </w:rPr>
            </w:pPr>
            <w:proofErr w:type="spellStart"/>
            <w:r w:rsidRPr="007E0AF4">
              <w:rPr>
                <w:b/>
                <w:sz w:val="22"/>
              </w:rPr>
              <w:t>Місцевий</w:t>
            </w:r>
            <w:proofErr w:type="spellEnd"/>
            <w:r w:rsidRPr="007E0AF4">
              <w:rPr>
                <w:b/>
                <w:sz w:val="22"/>
              </w:rPr>
              <w:t xml:space="preserve"> бюджет</w:t>
            </w:r>
          </w:p>
        </w:tc>
        <w:tc>
          <w:tcPr>
            <w:tcW w:w="3402" w:type="dxa"/>
            <w:gridSpan w:val="3"/>
            <w:tcBorders>
              <w:left w:val="single" w:sz="4" w:space="0" w:color="auto"/>
              <w:bottom w:val="single" w:sz="4" w:space="0" w:color="auto"/>
              <w:right w:val="single" w:sz="4" w:space="0" w:color="auto"/>
            </w:tcBorders>
          </w:tcPr>
          <w:p w:rsidR="00654133" w:rsidRPr="007E0AF4" w:rsidRDefault="00654133" w:rsidP="00F34B87">
            <w:pPr>
              <w:pStyle w:val="a7"/>
              <w:ind w:left="0"/>
              <w:jc w:val="center"/>
              <w:rPr>
                <w:b/>
                <w:sz w:val="22"/>
              </w:rPr>
            </w:pPr>
            <w:proofErr w:type="spellStart"/>
            <w:r w:rsidRPr="007E0AF4">
              <w:rPr>
                <w:b/>
                <w:sz w:val="22"/>
              </w:rPr>
              <w:t>Інші</w:t>
            </w:r>
            <w:proofErr w:type="spellEnd"/>
            <w:r w:rsidRPr="007E0AF4">
              <w:rPr>
                <w:b/>
                <w:sz w:val="22"/>
              </w:rPr>
              <w:t xml:space="preserve"> </w:t>
            </w:r>
            <w:proofErr w:type="spellStart"/>
            <w:r w:rsidRPr="007E0AF4">
              <w:rPr>
                <w:b/>
                <w:sz w:val="22"/>
              </w:rPr>
              <w:t>джерела</w:t>
            </w:r>
            <w:proofErr w:type="spellEnd"/>
          </w:p>
        </w:tc>
        <w:tc>
          <w:tcPr>
            <w:tcW w:w="992" w:type="dxa"/>
            <w:tcBorders>
              <w:left w:val="single" w:sz="4" w:space="0" w:color="auto"/>
              <w:bottom w:val="single" w:sz="4" w:space="0" w:color="auto"/>
            </w:tcBorders>
          </w:tcPr>
          <w:p w:rsidR="00654133" w:rsidRPr="007E0AF4" w:rsidRDefault="00654133" w:rsidP="00F34B87">
            <w:pPr>
              <w:pStyle w:val="a7"/>
              <w:ind w:left="0"/>
              <w:jc w:val="center"/>
              <w:rPr>
                <w:b/>
                <w:sz w:val="22"/>
              </w:rPr>
            </w:pPr>
            <w:proofErr w:type="spellStart"/>
            <w:r w:rsidRPr="007E0AF4">
              <w:rPr>
                <w:b/>
                <w:sz w:val="22"/>
              </w:rPr>
              <w:t>Всього</w:t>
            </w:r>
            <w:proofErr w:type="spellEnd"/>
          </w:p>
        </w:tc>
      </w:tr>
      <w:tr w:rsidR="00654133" w:rsidRPr="007E0AF4" w:rsidTr="00F34B87">
        <w:trPr>
          <w:trHeight w:val="225"/>
        </w:trPr>
        <w:tc>
          <w:tcPr>
            <w:tcW w:w="2978" w:type="dxa"/>
            <w:vMerge/>
            <w:shd w:val="clear" w:color="auto" w:fill="C6D9F1" w:themeFill="text2" w:themeFillTint="33"/>
          </w:tcPr>
          <w:p w:rsidR="00654133" w:rsidRPr="007E0AF4" w:rsidRDefault="00654133" w:rsidP="00F34B87">
            <w:pPr>
              <w:pStyle w:val="a7"/>
              <w:ind w:left="0"/>
              <w:rPr>
                <w:b/>
                <w:sz w:val="22"/>
              </w:rPr>
            </w:pPr>
          </w:p>
        </w:tc>
        <w:tc>
          <w:tcPr>
            <w:tcW w:w="1275" w:type="dxa"/>
            <w:vMerge w:val="restart"/>
            <w:tcBorders>
              <w:top w:val="single" w:sz="4" w:space="0" w:color="auto"/>
              <w:right w:val="single" w:sz="4" w:space="0" w:color="auto"/>
            </w:tcBorders>
          </w:tcPr>
          <w:p w:rsidR="00654133" w:rsidRPr="007E0AF4" w:rsidRDefault="00654133" w:rsidP="00F34B87">
            <w:pPr>
              <w:pStyle w:val="a7"/>
              <w:ind w:left="0"/>
              <w:jc w:val="center"/>
              <w:rPr>
                <w:sz w:val="22"/>
              </w:rPr>
            </w:pPr>
            <w:r w:rsidRPr="007E0AF4">
              <w:rPr>
                <w:sz w:val="22"/>
              </w:rPr>
              <w:t xml:space="preserve">6000,0 </w:t>
            </w:r>
          </w:p>
        </w:tc>
        <w:tc>
          <w:tcPr>
            <w:tcW w:w="1276" w:type="dxa"/>
            <w:vMerge w:val="restart"/>
            <w:tcBorders>
              <w:top w:val="single" w:sz="4" w:space="0" w:color="auto"/>
              <w:right w:val="single" w:sz="4" w:space="0" w:color="auto"/>
            </w:tcBorders>
          </w:tcPr>
          <w:p w:rsidR="00654133" w:rsidRPr="007E0AF4" w:rsidRDefault="00654133" w:rsidP="00F34B87">
            <w:pPr>
              <w:pStyle w:val="a7"/>
              <w:ind w:left="0"/>
              <w:jc w:val="center"/>
              <w:rPr>
                <w:b/>
                <w:sz w:val="22"/>
              </w:rPr>
            </w:pPr>
            <w:r w:rsidRPr="007E0AF4">
              <w:rPr>
                <w:b/>
                <w:sz w:val="22"/>
              </w:rPr>
              <w:t>-</w:t>
            </w:r>
          </w:p>
        </w:tc>
        <w:tc>
          <w:tcPr>
            <w:tcW w:w="1134" w:type="dxa"/>
            <w:tcBorders>
              <w:top w:val="single" w:sz="4" w:space="0" w:color="auto"/>
              <w:left w:val="single" w:sz="4" w:space="0" w:color="auto"/>
              <w:bottom w:val="single" w:sz="4" w:space="0" w:color="auto"/>
              <w:right w:val="single" w:sz="4" w:space="0" w:color="auto"/>
            </w:tcBorders>
          </w:tcPr>
          <w:p w:rsidR="00654133" w:rsidRPr="007E0AF4" w:rsidRDefault="00654133" w:rsidP="00F34B87">
            <w:pPr>
              <w:pStyle w:val="a7"/>
              <w:ind w:left="0"/>
              <w:jc w:val="center"/>
              <w:rPr>
                <w:b/>
                <w:sz w:val="22"/>
              </w:rPr>
            </w:pPr>
            <w:proofErr w:type="spellStart"/>
            <w:r w:rsidRPr="007E0AF4">
              <w:rPr>
                <w:b/>
                <w:sz w:val="22"/>
              </w:rPr>
              <w:t>Обсяг</w:t>
            </w:r>
            <w:proofErr w:type="spellEnd"/>
          </w:p>
        </w:tc>
        <w:tc>
          <w:tcPr>
            <w:tcW w:w="2268" w:type="dxa"/>
            <w:gridSpan w:val="2"/>
            <w:tcBorders>
              <w:top w:val="single" w:sz="4" w:space="0" w:color="auto"/>
              <w:left w:val="single" w:sz="4" w:space="0" w:color="auto"/>
              <w:bottom w:val="single" w:sz="4" w:space="0" w:color="auto"/>
              <w:right w:val="single" w:sz="4" w:space="0" w:color="auto"/>
            </w:tcBorders>
          </w:tcPr>
          <w:p w:rsidR="00654133" w:rsidRPr="007E0AF4" w:rsidRDefault="00654133" w:rsidP="00F34B87">
            <w:pPr>
              <w:pStyle w:val="a7"/>
              <w:ind w:left="0"/>
              <w:jc w:val="center"/>
              <w:rPr>
                <w:b/>
                <w:sz w:val="22"/>
              </w:rPr>
            </w:pPr>
            <w:proofErr w:type="spellStart"/>
            <w:r w:rsidRPr="007E0AF4">
              <w:rPr>
                <w:b/>
                <w:sz w:val="22"/>
              </w:rPr>
              <w:t>Назва</w:t>
            </w:r>
            <w:proofErr w:type="spellEnd"/>
            <w:r w:rsidRPr="007E0AF4">
              <w:rPr>
                <w:b/>
                <w:sz w:val="22"/>
              </w:rPr>
              <w:t xml:space="preserve"> </w:t>
            </w:r>
            <w:proofErr w:type="spellStart"/>
            <w:r w:rsidRPr="007E0AF4">
              <w:rPr>
                <w:b/>
                <w:sz w:val="22"/>
              </w:rPr>
              <w:t>джерела</w:t>
            </w:r>
            <w:proofErr w:type="spellEnd"/>
          </w:p>
        </w:tc>
        <w:tc>
          <w:tcPr>
            <w:tcW w:w="992" w:type="dxa"/>
            <w:vMerge w:val="restart"/>
            <w:tcBorders>
              <w:top w:val="single" w:sz="4" w:space="0" w:color="auto"/>
              <w:left w:val="single" w:sz="4" w:space="0" w:color="auto"/>
            </w:tcBorders>
          </w:tcPr>
          <w:p w:rsidR="00654133" w:rsidRPr="007E0AF4" w:rsidRDefault="00654133" w:rsidP="00F34B87">
            <w:pPr>
              <w:pStyle w:val="a7"/>
              <w:ind w:left="0"/>
              <w:jc w:val="center"/>
              <w:rPr>
                <w:sz w:val="22"/>
              </w:rPr>
            </w:pPr>
            <w:r w:rsidRPr="007E0AF4">
              <w:rPr>
                <w:sz w:val="22"/>
              </w:rPr>
              <w:t xml:space="preserve">6000,0 </w:t>
            </w:r>
          </w:p>
        </w:tc>
      </w:tr>
      <w:tr w:rsidR="00654133" w:rsidRPr="007E0AF4" w:rsidTr="00F34B87">
        <w:trPr>
          <w:trHeight w:val="300"/>
        </w:trPr>
        <w:tc>
          <w:tcPr>
            <w:tcW w:w="2978" w:type="dxa"/>
            <w:vMerge/>
            <w:shd w:val="clear" w:color="auto" w:fill="C6D9F1" w:themeFill="text2" w:themeFillTint="33"/>
          </w:tcPr>
          <w:p w:rsidR="00654133" w:rsidRPr="007E0AF4" w:rsidRDefault="00654133" w:rsidP="00F34B87">
            <w:pPr>
              <w:pStyle w:val="a7"/>
              <w:ind w:left="0"/>
              <w:rPr>
                <w:b/>
                <w:sz w:val="22"/>
              </w:rPr>
            </w:pPr>
          </w:p>
        </w:tc>
        <w:tc>
          <w:tcPr>
            <w:tcW w:w="1275" w:type="dxa"/>
            <w:vMerge/>
            <w:tcBorders>
              <w:right w:val="single" w:sz="4" w:space="0" w:color="auto"/>
            </w:tcBorders>
          </w:tcPr>
          <w:p w:rsidR="00654133" w:rsidRPr="007E0AF4" w:rsidRDefault="00654133" w:rsidP="00F34B87">
            <w:pPr>
              <w:pStyle w:val="a7"/>
              <w:ind w:left="0"/>
              <w:jc w:val="center"/>
              <w:rPr>
                <w:sz w:val="22"/>
              </w:rPr>
            </w:pPr>
          </w:p>
        </w:tc>
        <w:tc>
          <w:tcPr>
            <w:tcW w:w="1276" w:type="dxa"/>
            <w:vMerge/>
            <w:tcBorders>
              <w:right w:val="single" w:sz="4" w:space="0" w:color="auto"/>
            </w:tcBorders>
          </w:tcPr>
          <w:p w:rsidR="00654133" w:rsidRPr="007E0AF4" w:rsidRDefault="00654133" w:rsidP="00F34B87">
            <w:pPr>
              <w:pStyle w:val="a7"/>
              <w:ind w:left="0"/>
              <w:jc w:val="center"/>
              <w:rPr>
                <w:b/>
                <w:sz w:val="22"/>
              </w:rPr>
            </w:pPr>
          </w:p>
        </w:tc>
        <w:tc>
          <w:tcPr>
            <w:tcW w:w="1134" w:type="dxa"/>
            <w:tcBorders>
              <w:top w:val="single" w:sz="4" w:space="0" w:color="auto"/>
              <w:left w:val="single" w:sz="4" w:space="0" w:color="auto"/>
              <w:right w:val="single" w:sz="4" w:space="0" w:color="auto"/>
            </w:tcBorders>
          </w:tcPr>
          <w:p w:rsidR="00654133" w:rsidRPr="007E0AF4" w:rsidRDefault="00654133" w:rsidP="00F34B87">
            <w:pPr>
              <w:pStyle w:val="a7"/>
              <w:ind w:left="0"/>
              <w:jc w:val="center"/>
              <w:rPr>
                <w:b/>
                <w:sz w:val="22"/>
              </w:rPr>
            </w:pPr>
          </w:p>
        </w:tc>
        <w:tc>
          <w:tcPr>
            <w:tcW w:w="2268" w:type="dxa"/>
            <w:gridSpan w:val="2"/>
            <w:tcBorders>
              <w:top w:val="single" w:sz="4" w:space="0" w:color="auto"/>
              <w:left w:val="single" w:sz="4" w:space="0" w:color="auto"/>
              <w:right w:val="single" w:sz="4" w:space="0" w:color="auto"/>
            </w:tcBorders>
          </w:tcPr>
          <w:p w:rsidR="00654133" w:rsidRPr="007E0AF4" w:rsidRDefault="00654133" w:rsidP="00F34B87">
            <w:pPr>
              <w:pStyle w:val="a7"/>
              <w:ind w:left="0"/>
              <w:jc w:val="center"/>
              <w:rPr>
                <w:sz w:val="22"/>
              </w:rPr>
            </w:pPr>
            <w:proofErr w:type="spellStart"/>
            <w:r w:rsidRPr="007E0AF4">
              <w:rPr>
                <w:sz w:val="22"/>
              </w:rPr>
              <w:t>Міжнародні</w:t>
            </w:r>
            <w:proofErr w:type="spellEnd"/>
            <w:r w:rsidRPr="007E0AF4">
              <w:rPr>
                <w:sz w:val="22"/>
              </w:rPr>
              <w:t xml:space="preserve"> </w:t>
            </w:r>
            <w:proofErr w:type="spellStart"/>
            <w:r w:rsidRPr="007E0AF4">
              <w:rPr>
                <w:sz w:val="22"/>
              </w:rPr>
              <w:t>інвестиції</w:t>
            </w:r>
            <w:proofErr w:type="spellEnd"/>
            <w:r w:rsidRPr="007E0AF4">
              <w:rPr>
                <w:sz w:val="22"/>
              </w:rPr>
              <w:t xml:space="preserve">, </w:t>
            </w:r>
            <w:proofErr w:type="spellStart"/>
            <w:r w:rsidRPr="007E0AF4">
              <w:rPr>
                <w:sz w:val="22"/>
              </w:rPr>
              <w:t>кошти</w:t>
            </w:r>
            <w:proofErr w:type="spellEnd"/>
            <w:r w:rsidRPr="007E0AF4">
              <w:rPr>
                <w:sz w:val="22"/>
              </w:rPr>
              <w:t xml:space="preserve"> </w:t>
            </w:r>
            <w:proofErr w:type="spellStart"/>
            <w:r w:rsidRPr="007E0AF4">
              <w:rPr>
                <w:sz w:val="22"/>
              </w:rPr>
              <w:t>приватних</w:t>
            </w:r>
            <w:proofErr w:type="spellEnd"/>
            <w:r w:rsidRPr="007E0AF4">
              <w:rPr>
                <w:sz w:val="22"/>
              </w:rPr>
              <w:t xml:space="preserve"> </w:t>
            </w:r>
            <w:proofErr w:type="spellStart"/>
            <w:r w:rsidRPr="007E0AF4">
              <w:rPr>
                <w:sz w:val="22"/>
              </w:rPr>
              <w:t>осіб</w:t>
            </w:r>
            <w:proofErr w:type="spellEnd"/>
          </w:p>
        </w:tc>
        <w:tc>
          <w:tcPr>
            <w:tcW w:w="992" w:type="dxa"/>
            <w:vMerge/>
            <w:tcBorders>
              <w:left w:val="single" w:sz="4" w:space="0" w:color="auto"/>
            </w:tcBorders>
          </w:tcPr>
          <w:p w:rsidR="00654133" w:rsidRPr="007E0AF4" w:rsidRDefault="00654133" w:rsidP="00F34B87">
            <w:pPr>
              <w:pStyle w:val="a7"/>
              <w:ind w:left="0"/>
              <w:jc w:val="center"/>
              <w:rPr>
                <w:sz w:val="22"/>
              </w:rPr>
            </w:pPr>
          </w:p>
        </w:tc>
      </w:tr>
    </w:tbl>
    <w:p w:rsidR="00B61DDC" w:rsidRPr="007E0AF4" w:rsidRDefault="00B61DDC" w:rsidP="00E95FB1">
      <w:pPr>
        <w:rPr>
          <w:sz w:val="22"/>
          <w:lang w:val="ru-RU"/>
        </w:rPr>
      </w:pPr>
    </w:p>
    <w:p w:rsidR="00654133" w:rsidRPr="007E0AF4" w:rsidRDefault="00654133" w:rsidP="00E95FB1">
      <w:pPr>
        <w:rPr>
          <w:sz w:val="22"/>
          <w:lang w:val="ru-RU"/>
        </w:rPr>
      </w:pPr>
    </w:p>
    <w:tbl>
      <w:tblPr>
        <w:tblStyle w:val="af"/>
        <w:tblW w:w="9923" w:type="dxa"/>
        <w:tblInd w:w="-176" w:type="dxa"/>
        <w:tblLayout w:type="fixed"/>
        <w:tblLook w:val="04A0" w:firstRow="1" w:lastRow="0" w:firstColumn="1" w:lastColumn="0" w:noHBand="0" w:noVBand="1"/>
      </w:tblPr>
      <w:tblGrid>
        <w:gridCol w:w="2978"/>
        <w:gridCol w:w="1275"/>
        <w:gridCol w:w="1276"/>
        <w:gridCol w:w="709"/>
        <w:gridCol w:w="425"/>
        <w:gridCol w:w="1559"/>
        <w:gridCol w:w="708"/>
        <w:gridCol w:w="993"/>
      </w:tblGrid>
      <w:tr w:rsidR="00654133" w:rsidRPr="007E0AF4" w:rsidTr="00F34B87">
        <w:tc>
          <w:tcPr>
            <w:tcW w:w="2978" w:type="dxa"/>
            <w:shd w:val="clear" w:color="auto" w:fill="C6D9F1" w:themeFill="text2" w:themeFillTint="33"/>
          </w:tcPr>
          <w:p w:rsidR="00654133" w:rsidRPr="007E0AF4" w:rsidRDefault="00654133" w:rsidP="00F34B87">
            <w:pPr>
              <w:pStyle w:val="a7"/>
              <w:ind w:left="0"/>
              <w:rPr>
                <w:b/>
                <w:sz w:val="22"/>
              </w:rPr>
            </w:pPr>
            <w:r w:rsidRPr="007E0AF4">
              <w:rPr>
                <w:b/>
                <w:sz w:val="22"/>
              </w:rPr>
              <w:t xml:space="preserve">Оперативна </w:t>
            </w:r>
            <w:proofErr w:type="spellStart"/>
            <w:r w:rsidRPr="007E0AF4">
              <w:rPr>
                <w:b/>
                <w:sz w:val="22"/>
              </w:rPr>
              <w:t>ціль</w:t>
            </w:r>
            <w:proofErr w:type="spellEnd"/>
            <w:r w:rsidRPr="007E0AF4">
              <w:rPr>
                <w:b/>
                <w:sz w:val="22"/>
              </w:rPr>
              <w:t>/</w:t>
            </w:r>
            <w:proofErr w:type="spellStart"/>
            <w:r w:rsidRPr="007E0AF4">
              <w:rPr>
                <w:b/>
                <w:sz w:val="22"/>
              </w:rPr>
              <w:t>завдання</w:t>
            </w:r>
            <w:proofErr w:type="spellEnd"/>
          </w:p>
        </w:tc>
        <w:tc>
          <w:tcPr>
            <w:tcW w:w="6945" w:type="dxa"/>
            <w:gridSpan w:val="7"/>
            <w:shd w:val="clear" w:color="auto" w:fill="auto"/>
          </w:tcPr>
          <w:p w:rsidR="00654133" w:rsidRPr="007E0AF4" w:rsidRDefault="00654133" w:rsidP="00F34B87">
            <w:pPr>
              <w:pStyle w:val="a7"/>
              <w:ind w:left="0"/>
              <w:rPr>
                <w:sz w:val="22"/>
              </w:rPr>
            </w:pPr>
            <w:proofErr w:type="spellStart"/>
            <w:r w:rsidRPr="007E0AF4">
              <w:rPr>
                <w:sz w:val="22"/>
              </w:rPr>
              <w:t>Людський</w:t>
            </w:r>
            <w:proofErr w:type="spellEnd"/>
            <w:r w:rsidRPr="007E0AF4">
              <w:rPr>
                <w:sz w:val="22"/>
              </w:rPr>
              <w:t xml:space="preserve"> </w:t>
            </w:r>
            <w:proofErr w:type="spellStart"/>
            <w:r w:rsidRPr="007E0AF4">
              <w:rPr>
                <w:sz w:val="22"/>
              </w:rPr>
              <w:t>розвиток</w:t>
            </w:r>
            <w:proofErr w:type="spellEnd"/>
            <w:r w:rsidRPr="007E0AF4">
              <w:rPr>
                <w:sz w:val="22"/>
              </w:rPr>
              <w:t xml:space="preserve"> через </w:t>
            </w:r>
            <w:proofErr w:type="spellStart"/>
            <w:r w:rsidRPr="007E0AF4">
              <w:rPr>
                <w:sz w:val="22"/>
              </w:rPr>
              <w:t>інновації</w:t>
            </w:r>
            <w:proofErr w:type="spellEnd"/>
            <w:r w:rsidRPr="007E0AF4">
              <w:rPr>
                <w:sz w:val="22"/>
              </w:rPr>
              <w:t xml:space="preserve"> </w:t>
            </w:r>
            <w:proofErr w:type="spellStart"/>
            <w:r w:rsidRPr="007E0AF4">
              <w:rPr>
                <w:sz w:val="22"/>
              </w:rPr>
              <w:t>управління</w:t>
            </w:r>
            <w:proofErr w:type="spellEnd"/>
            <w:r w:rsidRPr="007E0AF4">
              <w:rPr>
                <w:sz w:val="22"/>
              </w:rPr>
              <w:t xml:space="preserve"> та </w:t>
            </w:r>
            <w:proofErr w:type="spellStart"/>
            <w:r w:rsidRPr="007E0AF4">
              <w:rPr>
                <w:sz w:val="22"/>
              </w:rPr>
              <w:t>довіру</w:t>
            </w:r>
            <w:proofErr w:type="spellEnd"/>
            <w:r w:rsidRPr="007E0AF4">
              <w:rPr>
                <w:sz w:val="22"/>
              </w:rPr>
              <w:t xml:space="preserve"> до </w:t>
            </w:r>
            <w:proofErr w:type="spellStart"/>
            <w:r w:rsidRPr="007E0AF4">
              <w:rPr>
                <w:sz w:val="22"/>
              </w:rPr>
              <w:t>влади</w:t>
            </w:r>
            <w:proofErr w:type="spellEnd"/>
            <w:r w:rsidRPr="007E0AF4">
              <w:rPr>
                <w:sz w:val="22"/>
              </w:rPr>
              <w:t xml:space="preserve">. </w:t>
            </w:r>
            <w:proofErr w:type="spellStart"/>
            <w:r w:rsidRPr="007E0AF4">
              <w:rPr>
                <w:sz w:val="22"/>
              </w:rPr>
              <w:t>Формування</w:t>
            </w:r>
            <w:proofErr w:type="spellEnd"/>
            <w:r w:rsidRPr="007E0AF4">
              <w:rPr>
                <w:sz w:val="22"/>
              </w:rPr>
              <w:t xml:space="preserve"> </w:t>
            </w:r>
            <w:proofErr w:type="spellStart"/>
            <w:r w:rsidRPr="007E0AF4">
              <w:rPr>
                <w:sz w:val="22"/>
              </w:rPr>
              <w:t>сучасного</w:t>
            </w:r>
            <w:proofErr w:type="spellEnd"/>
            <w:r w:rsidRPr="007E0AF4">
              <w:rPr>
                <w:sz w:val="22"/>
              </w:rPr>
              <w:t xml:space="preserve"> </w:t>
            </w:r>
            <w:proofErr w:type="spellStart"/>
            <w:r w:rsidRPr="007E0AF4">
              <w:rPr>
                <w:sz w:val="22"/>
              </w:rPr>
              <w:t>інклюзивного</w:t>
            </w:r>
            <w:proofErr w:type="spellEnd"/>
            <w:r w:rsidRPr="007E0AF4">
              <w:rPr>
                <w:sz w:val="22"/>
              </w:rPr>
              <w:t xml:space="preserve"> </w:t>
            </w:r>
            <w:proofErr w:type="spellStart"/>
            <w:r w:rsidRPr="007E0AF4">
              <w:rPr>
                <w:sz w:val="22"/>
              </w:rPr>
              <w:t>освітньо</w:t>
            </w:r>
            <w:proofErr w:type="spellEnd"/>
            <w:r w:rsidRPr="007E0AF4">
              <w:rPr>
                <w:sz w:val="22"/>
              </w:rPr>
              <w:t xml:space="preserve">-культурного та спортивного простору для </w:t>
            </w:r>
            <w:proofErr w:type="spellStart"/>
            <w:r w:rsidRPr="007E0AF4">
              <w:rPr>
                <w:sz w:val="22"/>
              </w:rPr>
              <w:t>розвитку</w:t>
            </w:r>
            <w:proofErr w:type="spellEnd"/>
          </w:p>
        </w:tc>
      </w:tr>
      <w:tr w:rsidR="00654133" w:rsidRPr="007E0AF4" w:rsidTr="00F34B87">
        <w:tc>
          <w:tcPr>
            <w:tcW w:w="2978" w:type="dxa"/>
            <w:shd w:val="clear" w:color="auto" w:fill="C6D9F1" w:themeFill="text2" w:themeFillTint="33"/>
          </w:tcPr>
          <w:p w:rsidR="00654133" w:rsidRPr="007E0AF4" w:rsidRDefault="00654133" w:rsidP="00F34B87">
            <w:pPr>
              <w:pStyle w:val="a7"/>
              <w:ind w:left="0"/>
              <w:rPr>
                <w:b/>
                <w:sz w:val="22"/>
              </w:rPr>
            </w:pPr>
            <w:proofErr w:type="spellStart"/>
            <w:r w:rsidRPr="007E0AF4">
              <w:rPr>
                <w:b/>
                <w:sz w:val="22"/>
              </w:rPr>
              <w:t>Назва</w:t>
            </w:r>
            <w:proofErr w:type="spellEnd"/>
            <w:r w:rsidRPr="007E0AF4">
              <w:rPr>
                <w:b/>
                <w:sz w:val="22"/>
              </w:rPr>
              <w:t xml:space="preserve"> проекту:</w:t>
            </w:r>
          </w:p>
        </w:tc>
        <w:tc>
          <w:tcPr>
            <w:tcW w:w="6945" w:type="dxa"/>
            <w:gridSpan w:val="7"/>
          </w:tcPr>
          <w:p w:rsidR="00654133" w:rsidRPr="007E0AF4" w:rsidRDefault="00654133" w:rsidP="00F34B87">
            <w:pPr>
              <w:pStyle w:val="a7"/>
              <w:ind w:left="0"/>
              <w:rPr>
                <w:sz w:val="22"/>
              </w:rPr>
            </w:pPr>
            <w:proofErr w:type="spellStart"/>
            <w:r w:rsidRPr="007E0AF4">
              <w:rPr>
                <w:sz w:val="22"/>
              </w:rPr>
              <w:t>Відновлення</w:t>
            </w:r>
            <w:proofErr w:type="spellEnd"/>
            <w:r w:rsidRPr="007E0AF4">
              <w:rPr>
                <w:sz w:val="22"/>
              </w:rPr>
              <w:t xml:space="preserve"> спортивного </w:t>
            </w:r>
            <w:proofErr w:type="spellStart"/>
            <w:r w:rsidRPr="007E0AF4">
              <w:rPr>
                <w:sz w:val="22"/>
              </w:rPr>
              <w:t>майданчику</w:t>
            </w:r>
            <w:proofErr w:type="spellEnd"/>
            <w:r w:rsidRPr="007E0AF4">
              <w:rPr>
                <w:sz w:val="22"/>
              </w:rPr>
              <w:t xml:space="preserve"> та </w:t>
            </w:r>
            <w:proofErr w:type="spellStart"/>
            <w:r w:rsidRPr="007E0AF4">
              <w:rPr>
                <w:sz w:val="22"/>
              </w:rPr>
              <w:t>реконструкція</w:t>
            </w:r>
            <w:proofErr w:type="spellEnd"/>
            <w:r w:rsidRPr="007E0AF4">
              <w:rPr>
                <w:sz w:val="22"/>
              </w:rPr>
              <w:t xml:space="preserve"> футбольного поля </w:t>
            </w:r>
            <w:proofErr w:type="spellStart"/>
            <w:r w:rsidRPr="007E0AF4">
              <w:rPr>
                <w:sz w:val="22"/>
              </w:rPr>
              <w:t>зі</w:t>
            </w:r>
            <w:proofErr w:type="spellEnd"/>
            <w:r w:rsidRPr="007E0AF4">
              <w:rPr>
                <w:sz w:val="22"/>
              </w:rPr>
              <w:t xml:space="preserve"> </w:t>
            </w:r>
            <w:proofErr w:type="spellStart"/>
            <w:r w:rsidRPr="007E0AF4">
              <w:rPr>
                <w:sz w:val="22"/>
              </w:rPr>
              <w:t>штучним</w:t>
            </w:r>
            <w:proofErr w:type="spellEnd"/>
            <w:r w:rsidRPr="007E0AF4">
              <w:rPr>
                <w:sz w:val="22"/>
              </w:rPr>
              <w:t xml:space="preserve"> </w:t>
            </w:r>
            <w:proofErr w:type="spellStart"/>
            <w:r w:rsidRPr="007E0AF4">
              <w:rPr>
                <w:sz w:val="22"/>
              </w:rPr>
              <w:t>покриттям</w:t>
            </w:r>
            <w:proofErr w:type="spellEnd"/>
            <w:r w:rsidRPr="007E0AF4">
              <w:rPr>
                <w:sz w:val="22"/>
              </w:rPr>
              <w:t xml:space="preserve"> </w:t>
            </w:r>
            <w:proofErr w:type="spellStart"/>
            <w:r w:rsidRPr="007E0AF4">
              <w:rPr>
                <w:sz w:val="22"/>
              </w:rPr>
              <w:t>Гімназії</w:t>
            </w:r>
            <w:proofErr w:type="spellEnd"/>
            <w:r w:rsidRPr="007E0AF4">
              <w:rPr>
                <w:sz w:val="22"/>
              </w:rPr>
              <w:t xml:space="preserve"> № 12 </w:t>
            </w:r>
            <w:proofErr w:type="spellStart"/>
            <w:r w:rsidRPr="007E0AF4">
              <w:rPr>
                <w:sz w:val="22"/>
              </w:rPr>
              <w:t>міста</w:t>
            </w:r>
            <w:proofErr w:type="spellEnd"/>
            <w:r w:rsidRPr="007E0AF4">
              <w:rPr>
                <w:sz w:val="22"/>
              </w:rPr>
              <w:t xml:space="preserve"> </w:t>
            </w:r>
            <w:proofErr w:type="spellStart"/>
            <w:r w:rsidRPr="007E0AF4">
              <w:rPr>
                <w:sz w:val="22"/>
              </w:rPr>
              <w:t>Сєвєродонецька</w:t>
            </w:r>
            <w:proofErr w:type="spellEnd"/>
            <w:r w:rsidRPr="007E0AF4">
              <w:rPr>
                <w:sz w:val="22"/>
              </w:rPr>
              <w:t xml:space="preserve"> </w:t>
            </w:r>
            <w:proofErr w:type="spellStart"/>
            <w:r w:rsidRPr="007E0AF4">
              <w:rPr>
                <w:sz w:val="22"/>
              </w:rPr>
              <w:t>Луганської</w:t>
            </w:r>
            <w:proofErr w:type="spellEnd"/>
            <w:r w:rsidRPr="007E0AF4">
              <w:rPr>
                <w:sz w:val="22"/>
              </w:rPr>
              <w:t xml:space="preserve"> </w:t>
            </w:r>
            <w:proofErr w:type="spellStart"/>
            <w:r w:rsidRPr="007E0AF4">
              <w:rPr>
                <w:sz w:val="22"/>
              </w:rPr>
              <w:t>області</w:t>
            </w:r>
            <w:proofErr w:type="spellEnd"/>
            <w:r w:rsidRPr="007E0AF4">
              <w:rPr>
                <w:sz w:val="22"/>
              </w:rPr>
              <w:t xml:space="preserve">, </w:t>
            </w:r>
            <w:proofErr w:type="spellStart"/>
            <w:r w:rsidRPr="007E0AF4">
              <w:rPr>
                <w:sz w:val="22"/>
              </w:rPr>
              <w:t>розташованої</w:t>
            </w:r>
            <w:proofErr w:type="spellEnd"/>
            <w:r w:rsidRPr="007E0AF4">
              <w:rPr>
                <w:sz w:val="22"/>
              </w:rPr>
              <w:t xml:space="preserve"> за </w:t>
            </w:r>
            <w:proofErr w:type="spellStart"/>
            <w:r w:rsidRPr="007E0AF4">
              <w:rPr>
                <w:sz w:val="22"/>
              </w:rPr>
              <w:t>адресою</w:t>
            </w:r>
            <w:proofErr w:type="spellEnd"/>
            <w:r w:rsidRPr="007E0AF4">
              <w:rPr>
                <w:sz w:val="22"/>
              </w:rPr>
              <w:t xml:space="preserve"> </w:t>
            </w:r>
            <w:proofErr w:type="spellStart"/>
            <w:r w:rsidRPr="007E0AF4">
              <w:rPr>
                <w:sz w:val="22"/>
              </w:rPr>
              <w:t>Україна</w:t>
            </w:r>
            <w:proofErr w:type="spellEnd"/>
            <w:r w:rsidRPr="007E0AF4">
              <w:rPr>
                <w:sz w:val="22"/>
              </w:rPr>
              <w:t xml:space="preserve">, </w:t>
            </w:r>
            <w:proofErr w:type="spellStart"/>
            <w:r w:rsidRPr="007E0AF4">
              <w:rPr>
                <w:sz w:val="22"/>
              </w:rPr>
              <w:t>Луганська</w:t>
            </w:r>
            <w:proofErr w:type="spellEnd"/>
            <w:r w:rsidRPr="007E0AF4">
              <w:rPr>
                <w:sz w:val="22"/>
              </w:rPr>
              <w:t xml:space="preserve"> область, </w:t>
            </w:r>
            <w:proofErr w:type="spellStart"/>
            <w:r w:rsidRPr="007E0AF4">
              <w:rPr>
                <w:sz w:val="22"/>
              </w:rPr>
              <w:t>Сєвєродонецький</w:t>
            </w:r>
            <w:proofErr w:type="spellEnd"/>
            <w:r w:rsidRPr="007E0AF4">
              <w:rPr>
                <w:sz w:val="22"/>
              </w:rPr>
              <w:t xml:space="preserve"> район, </w:t>
            </w:r>
            <w:proofErr w:type="spellStart"/>
            <w:r w:rsidRPr="007E0AF4">
              <w:rPr>
                <w:sz w:val="22"/>
              </w:rPr>
              <w:t>місто</w:t>
            </w:r>
            <w:proofErr w:type="spellEnd"/>
            <w:r w:rsidRPr="007E0AF4">
              <w:rPr>
                <w:sz w:val="22"/>
              </w:rPr>
              <w:t xml:space="preserve"> </w:t>
            </w:r>
            <w:proofErr w:type="spellStart"/>
            <w:r w:rsidRPr="007E0AF4">
              <w:rPr>
                <w:sz w:val="22"/>
              </w:rPr>
              <w:t>Сєвєродонецьк</w:t>
            </w:r>
            <w:proofErr w:type="spellEnd"/>
            <w:r w:rsidRPr="007E0AF4">
              <w:rPr>
                <w:sz w:val="22"/>
              </w:rPr>
              <w:t xml:space="preserve">, проспект </w:t>
            </w:r>
            <w:proofErr w:type="spellStart"/>
            <w:r w:rsidRPr="007E0AF4">
              <w:rPr>
                <w:sz w:val="22"/>
              </w:rPr>
              <w:t>Гвардійський</w:t>
            </w:r>
            <w:proofErr w:type="spellEnd"/>
            <w:r w:rsidRPr="007E0AF4">
              <w:rPr>
                <w:sz w:val="22"/>
              </w:rPr>
              <w:t xml:space="preserve">, </w:t>
            </w:r>
            <w:proofErr w:type="spellStart"/>
            <w:r w:rsidRPr="007E0AF4">
              <w:rPr>
                <w:sz w:val="22"/>
              </w:rPr>
              <w:t>будинок</w:t>
            </w:r>
            <w:proofErr w:type="spellEnd"/>
            <w:r w:rsidRPr="007E0AF4">
              <w:rPr>
                <w:sz w:val="22"/>
              </w:rPr>
              <w:t xml:space="preserve"> 9</w:t>
            </w:r>
          </w:p>
        </w:tc>
      </w:tr>
      <w:tr w:rsidR="00654133" w:rsidRPr="007E0AF4" w:rsidTr="00F34B87">
        <w:tc>
          <w:tcPr>
            <w:tcW w:w="2978" w:type="dxa"/>
            <w:shd w:val="clear" w:color="auto" w:fill="C6D9F1" w:themeFill="text2" w:themeFillTint="33"/>
          </w:tcPr>
          <w:p w:rsidR="00654133" w:rsidRPr="007E0AF4" w:rsidRDefault="00654133" w:rsidP="00F34B87">
            <w:pPr>
              <w:rPr>
                <w:b/>
                <w:sz w:val="22"/>
              </w:rPr>
            </w:pPr>
            <w:proofErr w:type="spellStart"/>
            <w:r w:rsidRPr="007E0AF4">
              <w:rPr>
                <w:b/>
                <w:sz w:val="22"/>
              </w:rPr>
              <w:t>Ціль</w:t>
            </w:r>
            <w:proofErr w:type="spellEnd"/>
            <w:r w:rsidRPr="007E0AF4">
              <w:rPr>
                <w:b/>
                <w:sz w:val="22"/>
              </w:rPr>
              <w:t xml:space="preserve"> проекту</w:t>
            </w:r>
          </w:p>
        </w:tc>
        <w:tc>
          <w:tcPr>
            <w:tcW w:w="6945" w:type="dxa"/>
            <w:gridSpan w:val="7"/>
          </w:tcPr>
          <w:p w:rsidR="00654133" w:rsidRPr="007E0AF4" w:rsidRDefault="00654133" w:rsidP="00F34B87">
            <w:pPr>
              <w:pStyle w:val="a7"/>
              <w:ind w:left="0"/>
              <w:rPr>
                <w:sz w:val="22"/>
              </w:rPr>
            </w:pPr>
            <w:proofErr w:type="spellStart"/>
            <w:r w:rsidRPr="007E0AF4">
              <w:rPr>
                <w:sz w:val="22"/>
              </w:rPr>
              <w:t>Відновити</w:t>
            </w:r>
            <w:proofErr w:type="spellEnd"/>
            <w:r w:rsidRPr="007E0AF4">
              <w:rPr>
                <w:sz w:val="22"/>
              </w:rPr>
              <w:t xml:space="preserve"> та </w:t>
            </w:r>
            <w:proofErr w:type="spellStart"/>
            <w:r w:rsidRPr="007E0AF4">
              <w:rPr>
                <w:sz w:val="22"/>
              </w:rPr>
              <w:t>покращити</w:t>
            </w:r>
            <w:proofErr w:type="spellEnd"/>
            <w:r w:rsidRPr="007E0AF4">
              <w:rPr>
                <w:sz w:val="22"/>
              </w:rPr>
              <w:t xml:space="preserve"> роботу закладу </w:t>
            </w:r>
            <w:proofErr w:type="spellStart"/>
            <w:r w:rsidRPr="007E0AF4">
              <w:rPr>
                <w:sz w:val="22"/>
              </w:rPr>
              <w:t>освіти</w:t>
            </w:r>
            <w:proofErr w:type="spellEnd"/>
            <w:r w:rsidRPr="007E0AF4">
              <w:rPr>
                <w:sz w:val="22"/>
              </w:rPr>
              <w:t xml:space="preserve"> для </w:t>
            </w:r>
            <w:proofErr w:type="spellStart"/>
            <w:r w:rsidRPr="007E0AF4">
              <w:rPr>
                <w:sz w:val="22"/>
              </w:rPr>
              <w:t>надання</w:t>
            </w:r>
            <w:proofErr w:type="spellEnd"/>
            <w:r w:rsidRPr="007E0AF4">
              <w:rPr>
                <w:sz w:val="22"/>
              </w:rPr>
              <w:t xml:space="preserve"> </w:t>
            </w:r>
            <w:proofErr w:type="spellStart"/>
            <w:r w:rsidRPr="007E0AF4">
              <w:rPr>
                <w:sz w:val="22"/>
              </w:rPr>
              <w:t>освітніх</w:t>
            </w:r>
            <w:proofErr w:type="spellEnd"/>
            <w:r w:rsidRPr="007E0AF4">
              <w:rPr>
                <w:sz w:val="22"/>
              </w:rPr>
              <w:t xml:space="preserve"> </w:t>
            </w:r>
            <w:proofErr w:type="spellStart"/>
            <w:r w:rsidRPr="007E0AF4">
              <w:rPr>
                <w:sz w:val="22"/>
              </w:rPr>
              <w:t>послуг</w:t>
            </w:r>
            <w:proofErr w:type="spellEnd"/>
            <w:r w:rsidRPr="007E0AF4">
              <w:rPr>
                <w:sz w:val="22"/>
              </w:rPr>
              <w:t xml:space="preserve">, </w:t>
            </w:r>
            <w:proofErr w:type="spellStart"/>
            <w:r w:rsidRPr="007E0AF4">
              <w:rPr>
                <w:sz w:val="22"/>
              </w:rPr>
              <w:t>забезпечення</w:t>
            </w:r>
            <w:proofErr w:type="spellEnd"/>
            <w:r w:rsidRPr="007E0AF4">
              <w:rPr>
                <w:sz w:val="22"/>
              </w:rPr>
              <w:t xml:space="preserve"> </w:t>
            </w:r>
            <w:proofErr w:type="spellStart"/>
            <w:r w:rsidRPr="007E0AF4">
              <w:rPr>
                <w:sz w:val="22"/>
              </w:rPr>
              <w:t>реалізації</w:t>
            </w:r>
            <w:proofErr w:type="spellEnd"/>
            <w:r w:rsidRPr="007E0AF4">
              <w:rPr>
                <w:sz w:val="22"/>
              </w:rPr>
              <w:t xml:space="preserve"> права </w:t>
            </w:r>
            <w:proofErr w:type="spellStart"/>
            <w:r w:rsidRPr="007E0AF4">
              <w:rPr>
                <w:sz w:val="22"/>
              </w:rPr>
              <w:t>громадян</w:t>
            </w:r>
            <w:proofErr w:type="spellEnd"/>
            <w:r w:rsidRPr="007E0AF4">
              <w:rPr>
                <w:sz w:val="22"/>
              </w:rPr>
              <w:t xml:space="preserve"> на </w:t>
            </w:r>
            <w:proofErr w:type="spellStart"/>
            <w:r w:rsidRPr="007E0AF4">
              <w:rPr>
                <w:sz w:val="22"/>
              </w:rPr>
              <w:t>здобуття</w:t>
            </w:r>
            <w:proofErr w:type="spellEnd"/>
            <w:r w:rsidRPr="007E0AF4">
              <w:rPr>
                <w:sz w:val="22"/>
              </w:rPr>
              <w:t xml:space="preserve"> </w:t>
            </w:r>
            <w:proofErr w:type="spellStart"/>
            <w:r w:rsidRPr="007E0AF4">
              <w:rPr>
                <w:sz w:val="22"/>
              </w:rPr>
              <w:t>освіти</w:t>
            </w:r>
            <w:proofErr w:type="spellEnd"/>
            <w:r w:rsidRPr="007E0AF4">
              <w:rPr>
                <w:sz w:val="22"/>
              </w:rPr>
              <w:t xml:space="preserve"> та </w:t>
            </w:r>
            <w:proofErr w:type="spellStart"/>
            <w:r w:rsidRPr="007E0AF4">
              <w:rPr>
                <w:sz w:val="22"/>
              </w:rPr>
              <w:t>задоволення</w:t>
            </w:r>
            <w:proofErr w:type="spellEnd"/>
            <w:r w:rsidRPr="007E0AF4">
              <w:rPr>
                <w:sz w:val="22"/>
              </w:rPr>
              <w:t xml:space="preserve"> потреб </w:t>
            </w:r>
            <w:proofErr w:type="spellStart"/>
            <w:r w:rsidRPr="007E0AF4">
              <w:rPr>
                <w:sz w:val="22"/>
              </w:rPr>
              <w:t>мешканців</w:t>
            </w:r>
            <w:proofErr w:type="spellEnd"/>
            <w:r w:rsidRPr="007E0AF4">
              <w:rPr>
                <w:sz w:val="22"/>
              </w:rPr>
              <w:t xml:space="preserve"> </w:t>
            </w:r>
            <w:proofErr w:type="spellStart"/>
            <w:r w:rsidRPr="007E0AF4">
              <w:rPr>
                <w:sz w:val="22"/>
              </w:rPr>
              <w:t>Сєвєродонецької</w:t>
            </w:r>
            <w:proofErr w:type="spellEnd"/>
            <w:r w:rsidRPr="007E0AF4">
              <w:rPr>
                <w:sz w:val="22"/>
              </w:rPr>
              <w:t xml:space="preserve"> </w:t>
            </w:r>
            <w:proofErr w:type="spellStart"/>
            <w:r w:rsidRPr="007E0AF4">
              <w:rPr>
                <w:sz w:val="22"/>
              </w:rPr>
              <w:t>міської</w:t>
            </w:r>
            <w:proofErr w:type="spellEnd"/>
            <w:r w:rsidRPr="007E0AF4">
              <w:rPr>
                <w:sz w:val="22"/>
              </w:rPr>
              <w:t xml:space="preserve"> </w:t>
            </w:r>
            <w:proofErr w:type="spellStart"/>
            <w:r w:rsidRPr="007E0AF4">
              <w:rPr>
                <w:sz w:val="22"/>
              </w:rPr>
              <w:t>територіальної</w:t>
            </w:r>
            <w:proofErr w:type="spellEnd"/>
            <w:r w:rsidRPr="007E0AF4">
              <w:rPr>
                <w:sz w:val="22"/>
              </w:rPr>
              <w:t xml:space="preserve"> </w:t>
            </w:r>
            <w:proofErr w:type="spellStart"/>
            <w:r w:rsidRPr="007E0AF4">
              <w:rPr>
                <w:sz w:val="22"/>
              </w:rPr>
              <w:t>громади</w:t>
            </w:r>
            <w:proofErr w:type="spellEnd"/>
            <w:r w:rsidRPr="007E0AF4">
              <w:rPr>
                <w:sz w:val="22"/>
              </w:rPr>
              <w:t xml:space="preserve"> у </w:t>
            </w:r>
            <w:proofErr w:type="spellStart"/>
            <w:r w:rsidRPr="007E0AF4">
              <w:rPr>
                <w:sz w:val="22"/>
              </w:rPr>
              <w:t>освітніх</w:t>
            </w:r>
            <w:proofErr w:type="spellEnd"/>
            <w:r w:rsidRPr="007E0AF4">
              <w:rPr>
                <w:sz w:val="22"/>
              </w:rPr>
              <w:t xml:space="preserve"> </w:t>
            </w:r>
            <w:proofErr w:type="spellStart"/>
            <w:r w:rsidRPr="007E0AF4">
              <w:rPr>
                <w:sz w:val="22"/>
              </w:rPr>
              <w:t>послугах</w:t>
            </w:r>
            <w:proofErr w:type="spellEnd"/>
            <w:r w:rsidRPr="007E0AF4">
              <w:rPr>
                <w:sz w:val="22"/>
              </w:rPr>
              <w:t xml:space="preserve">, </w:t>
            </w:r>
            <w:proofErr w:type="spellStart"/>
            <w:r w:rsidRPr="007E0AF4">
              <w:rPr>
                <w:sz w:val="22"/>
              </w:rPr>
              <w:t>відпочинку</w:t>
            </w:r>
            <w:proofErr w:type="spellEnd"/>
            <w:r w:rsidRPr="007E0AF4">
              <w:rPr>
                <w:sz w:val="22"/>
              </w:rPr>
              <w:t xml:space="preserve">; </w:t>
            </w:r>
            <w:proofErr w:type="spellStart"/>
            <w:r w:rsidRPr="007E0AF4">
              <w:rPr>
                <w:sz w:val="22"/>
              </w:rPr>
              <w:t>популяризація</w:t>
            </w:r>
            <w:proofErr w:type="spellEnd"/>
            <w:r w:rsidRPr="007E0AF4">
              <w:rPr>
                <w:sz w:val="22"/>
              </w:rPr>
              <w:t xml:space="preserve"> спорту, пропаганда та </w:t>
            </w:r>
            <w:proofErr w:type="spellStart"/>
            <w:r w:rsidRPr="007E0AF4">
              <w:rPr>
                <w:sz w:val="22"/>
              </w:rPr>
              <w:t>залучення</w:t>
            </w:r>
            <w:proofErr w:type="spellEnd"/>
            <w:r w:rsidRPr="007E0AF4">
              <w:rPr>
                <w:sz w:val="22"/>
              </w:rPr>
              <w:t xml:space="preserve"> </w:t>
            </w:r>
            <w:proofErr w:type="spellStart"/>
            <w:r w:rsidRPr="007E0AF4">
              <w:rPr>
                <w:sz w:val="22"/>
              </w:rPr>
              <w:t>підлітків</w:t>
            </w:r>
            <w:proofErr w:type="spellEnd"/>
            <w:r w:rsidRPr="007E0AF4">
              <w:rPr>
                <w:sz w:val="22"/>
              </w:rPr>
              <w:t xml:space="preserve"> до здорового способу </w:t>
            </w:r>
            <w:proofErr w:type="spellStart"/>
            <w:r w:rsidRPr="007E0AF4">
              <w:rPr>
                <w:sz w:val="22"/>
              </w:rPr>
              <w:t>життя</w:t>
            </w:r>
            <w:proofErr w:type="spellEnd"/>
            <w:r w:rsidRPr="007E0AF4">
              <w:rPr>
                <w:sz w:val="22"/>
              </w:rPr>
              <w:t>.</w:t>
            </w:r>
          </w:p>
        </w:tc>
      </w:tr>
      <w:tr w:rsidR="00654133" w:rsidRPr="007E0AF4" w:rsidTr="00F34B87">
        <w:tc>
          <w:tcPr>
            <w:tcW w:w="2978" w:type="dxa"/>
            <w:shd w:val="clear" w:color="auto" w:fill="C6D9F1" w:themeFill="text2" w:themeFillTint="33"/>
          </w:tcPr>
          <w:p w:rsidR="00654133" w:rsidRPr="007E0AF4" w:rsidRDefault="00654133" w:rsidP="00F34B87">
            <w:pPr>
              <w:pStyle w:val="a7"/>
              <w:ind w:left="0"/>
              <w:rPr>
                <w:b/>
                <w:sz w:val="22"/>
              </w:rPr>
            </w:pPr>
            <w:proofErr w:type="spellStart"/>
            <w:r w:rsidRPr="007E0AF4">
              <w:rPr>
                <w:b/>
                <w:sz w:val="22"/>
              </w:rPr>
              <w:t>Територія</w:t>
            </w:r>
            <w:proofErr w:type="spellEnd"/>
            <w:r w:rsidRPr="007E0AF4">
              <w:rPr>
                <w:b/>
                <w:sz w:val="22"/>
              </w:rPr>
              <w:t xml:space="preserve">, </w:t>
            </w:r>
            <w:proofErr w:type="gramStart"/>
            <w:r w:rsidRPr="007E0AF4">
              <w:rPr>
                <w:b/>
                <w:sz w:val="22"/>
              </w:rPr>
              <w:t>на яку</w:t>
            </w:r>
            <w:proofErr w:type="gramEnd"/>
            <w:r w:rsidRPr="007E0AF4">
              <w:rPr>
                <w:b/>
                <w:sz w:val="22"/>
              </w:rPr>
              <w:t xml:space="preserve"> </w:t>
            </w:r>
            <w:proofErr w:type="spellStart"/>
            <w:r w:rsidRPr="007E0AF4">
              <w:rPr>
                <w:b/>
                <w:sz w:val="22"/>
              </w:rPr>
              <w:t>матиме</w:t>
            </w:r>
            <w:proofErr w:type="spellEnd"/>
            <w:r w:rsidRPr="007E0AF4">
              <w:rPr>
                <w:b/>
                <w:sz w:val="22"/>
              </w:rPr>
              <w:t xml:space="preserve"> </w:t>
            </w:r>
            <w:proofErr w:type="spellStart"/>
            <w:r w:rsidRPr="007E0AF4">
              <w:rPr>
                <w:b/>
                <w:sz w:val="22"/>
              </w:rPr>
              <w:t>вплив</w:t>
            </w:r>
            <w:proofErr w:type="spellEnd"/>
            <w:r w:rsidRPr="007E0AF4">
              <w:rPr>
                <w:b/>
                <w:sz w:val="22"/>
              </w:rPr>
              <w:t xml:space="preserve"> </w:t>
            </w:r>
            <w:proofErr w:type="spellStart"/>
            <w:r w:rsidRPr="007E0AF4">
              <w:rPr>
                <w:b/>
                <w:sz w:val="22"/>
              </w:rPr>
              <w:t>реалізація</w:t>
            </w:r>
            <w:proofErr w:type="spellEnd"/>
            <w:r w:rsidRPr="007E0AF4">
              <w:rPr>
                <w:b/>
                <w:sz w:val="22"/>
              </w:rPr>
              <w:t xml:space="preserve"> проекту</w:t>
            </w:r>
          </w:p>
        </w:tc>
        <w:tc>
          <w:tcPr>
            <w:tcW w:w="6945" w:type="dxa"/>
            <w:gridSpan w:val="7"/>
          </w:tcPr>
          <w:p w:rsidR="00654133" w:rsidRPr="007E0AF4" w:rsidRDefault="00654133" w:rsidP="00F34B87">
            <w:pPr>
              <w:pStyle w:val="a7"/>
              <w:ind w:left="0"/>
              <w:rPr>
                <w:sz w:val="22"/>
              </w:rPr>
            </w:pPr>
            <w:proofErr w:type="spellStart"/>
            <w:r w:rsidRPr="007E0AF4">
              <w:rPr>
                <w:sz w:val="22"/>
              </w:rPr>
              <w:t>Сєвєродонецька</w:t>
            </w:r>
            <w:proofErr w:type="spellEnd"/>
            <w:r w:rsidRPr="007E0AF4">
              <w:rPr>
                <w:sz w:val="22"/>
              </w:rPr>
              <w:t xml:space="preserve"> </w:t>
            </w:r>
            <w:proofErr w:type="spellStart"/>
            <w:r w:rsidRPr="007E0AF4">
              <w:rPr>
                <w:sz w:val="22"/>
              </w:rPr>
              <w:t>міська</w:t>
            </w:r>
            <w:proofErr w:type="spellEnd"/>
            <w:r w:rsidRPr="007E0AF4">
              <w:rPr>
                <w:sz w:val="22"/>
              </w:rPr>
              <w:t xml:space="preserve"> </w:t>
            </w:r>
            <w:proofErr w:type="spellStart"/>
            <w:r w:rsidRPr="007E0AF4">
              <w:rPr>
                <w:sz w:val="22"/>
              </w:rPr>
              <w:t>територіальна</w:t>
            </w:r>
            <w:proofErr w:type="spellEnd"/>
            <w:r w:rsidRPr="007E0AF4">
              <w:rPr>
                <w:sz w:val="22"/>
              </w:rPr>
              <w:t xml:space="preserve"> громада</w:t>
            </w:r>
          </w:p>
        </w:tc>
      </w:tr>
      <w:tr w:rsidR="00654133" w:rsidRPr="007E0AF4" w:rsidTr="00F34B87">
        <w:tc>
          <w:tcPr>
            <w:tcW w:w="2978" w:type="dxa"/>
            <w:shd w:val="clear" w:color="auto" w:fill="C6D9F1" w:themeFill="text2" w:themeFillTint="33"/>
          </w:tcPr>
          <w:p w:rsidR="00654133" w:rsidRPr="007E0AF4" w:rsidRDefault="00654133" w:rsidP="00F34B87">
            <w:pPr>
              <w:pStyle w:val="a7"/>
              <w:ind w:left="0"/>
              <w:rPr>
                <w:b/>
                <w:sz w:val="22"/>
              </w:rPr>
            </w:pPr>
            <w:proofErr w:type="spellStart"/>
            <w:r w:rsidRPr="007E0AF4">
              <w:rPr>
                <w:b/>
                <w:sz w:val="22"/>
              </w:rPr>
              <w:lastRenderedPageBreak/>
              <w:t>Чисельність</w:t>
            </w:r>
            <w:proofErr w:type="spellEnd"/>
            <w:r w:rsidRPr="007E0AF4">
              <w:rPr>
                <w:b/>
                <w:sz w:val="22"/>
              </w:rPr>
              <w:t xml:space="preserve"> </w:t>
            </w:r>
            <w:proofErr w:type="spellStart"/>
            <w:r w:rsidRPr="007E0AF4">
              <w:rPr>
                <w:b/>
                <w:sz w:val="22"/>
              </w:rPr>
              <w:t>населення</w:t>
            </w:r>
            <w:proofErr w:type="spellEnd"/>
            <w:r w:rsidRPr="007E0AF4">
              <w:rPr>
                <w:b/>
                <w:sz w:val="22"/>
              </w:rPr>
              <w:t xml:space="preserve">, на яке </w:t>
            </w:r>
            <w:proofErr w:type="spellStart"/>
            <w:r w:rsidRPr="007E0AF4">
              <w:rPr>
                <w:b/>
                <w:sz w:val="22"/>
              </w:rPr>
              <w:t>матиме</w:t>
            </w:r>
            <w:proofErr w:type="spellEnd"/>
            <w:r w:rsidRPr="007E0AF4">
              <w:rPr>
                <w:b/>
                <w:sz w:val="22"/>
              </w:rPr>
              <w:t xml:space="preserve"> </w:t>
            </w:r>
            <w:proofErr w:type="spellStart"/>
            <w:r w:rsidRPr="007E0AF4">
              <w:rPr>
                <w:b/>
                <w:sz w:val="22"/>
              </w:rPr>
              <w:t>вплив</w:t>
            </w:r>
            <w:proofErr w:type="spellEnd"/>
            <w:r w:rsidRPr="007E0AF4">
              <w:rPr>
                <w:b/>
                <w:sz w:val="22"/>
              </w:rPr>
              <w:t xml:space="preserve"> </w:t>
            </w:r>
            <w:proofErr w:type="spellStart"/>
            <w:r w:rsidRPr="007E0AF4">
              <w:rPr>
                <w:b/>
                <w:sz w:val="22"/>
              </w:rPr>
              <w:t>реалізація</w:t>
            </w:r>
            <w:proofErr w:type="spellEnd"/>
            <w:r w:rsidRPr="007E0AF4">
              <w:rPr>
                <w:b/>
                <w:sz w:val="22"/>
              </w:rPr>
              <w:t xml:space="preserve"> проекту</w:t>
            </w:r>
          </w:p>
        </w:tc>
        <w:tc>
          <w:tcPr>
            <w:tcW w:w="6945" w:type="dxa"/>
            <w:gridSpan w:val="7"/>
          </w:tcPr>
          <w:p w:rsidR="00654133" w:rsidRPr="007E0AF4" w:rsidRDefault="00654133" w:rsidP="00F34B87">
            <w:pPr>
              <w:pStyle w:val="a7"/>
              <w:ind w:left="0"/>
              <w:rPr>
                <w:sz w:val="22"/>
              </w:rPr>
            </w:pPr>
            <w:r w:rsidRPr="007E0AF4">
              <w:rPr>
                <w:sz w:val="22"/>
              </w:rPr>
              <w:t xml:space="preserve">70 </w:t>
            </w:r>
            <w:proofErr w:type="gramStart"/>
            <w:r w:rsidRPr="007E0AF4">
              <w:rPr>
                <w:sz w:val="22"/>
              </w:rPr>
              <w:t xml:space="preserve">000  </w:t>
            </w:r>
            <w:proofErr w:type="spellStart"/>
            <w:r w:rsidRPr="007E0AF4">
              <w:rPr>
                <w:sz w:val="22"/>
              </w:rPr>
              <w:t>осіб</w:t>
            </w:r>
            <w:proofErr w:type="spellEnd"/>
            <w:proofErr w:type="gramEnd"/>
          </w:p>
        </w:tc>
      </w:tr>
      <w:tr w:rsidR="00654133" w:rsidRPr="007E0AF4" w:rsidTr="00F34B87">
        <w:tc>
          <w:tcPr>
            <w:tcW w:w="2978" w:type="dxa"/>
            <w:shd w:val="clear" w:color="auto" w:fill="C6D9F1" w:themeFill="text2" w:themeFillTint="33"/>
          </w:tcPr>
          <w:p w:rsidR="00654133" w:rsidRPr="007E0AF4" w:rsidRDefault="00654133" w:rsidP="00F34B87">
            <w:pPr>
              <w:rPr>
                <w:b/>
                <w:sz w:val="22"/>
              </w:rPr>
            </w:pPr>
            <w:proofErr w:type="spellStart"/>
            <w:r w:rsidRPr="007E0AF4">
              <w:rPr>
                <w:b/>
                <w:sz w:val="22"/>
              </w:rPr>
              <w:t>Опис</w:t>
            </w:r>
            <w:proofErr w:type="spellEnd"/>
            <w:r w:rsidRPr="007E0AF4">
              <w:rPr>
                <w:b/>
                <w:sz w:val="22"/>
              </w:rPr>
              <w:t xml:space="preserve"> </w:t>
            </w:r>
            <w:proofErr w:type="spellStart"/>
            <w:r w:rsidRPr="007E0AF4">
              <w:rPr>
                <w:b/>
                <w:sz w:val="22"/>
              </w:rPr>
              <w:t>проблеми</w:t>
            </w:r>
            <w:proofErr w:type="spellEnd"/>
            <w:r w:rsidRPr="007E0AF4">
              <w:rPr>
                <w:b/>
                <w:sz w:val="22"/>
              </w:rPr>
              <w:t xml:space="preserve">, на </w:t>
            </w:r>
            <w:proofErr w:type="spellStart"/>
            <w:r w:rsidRPr="007E0AF4">
              <w:rPr>
                <w:b/>
                <w:sz w:val="22"/>
              </w:rPr>
              <w:t>вирішення</w:t>
            </w:r>
            <w:proofErr w:type="spellEnd"/>
            <w:r w:rsidRPr="007E0AF4">
              <w:rPr>
                <w:b/>
                <w:sz w:val="22"/>
              </w:rPr>
              <w:t xml:space="preserve"> </w:t>
            </w:r>
            <w:proofErr w:type="spellStart"/>
            <w:proofErr w:type="gramStart"/>
            <w:r w:rsidRPr="007E0AF4">
              <w:rPr>
                <w:b/>
                <w:sz w:val="22"/>
              </w:rPr>
              <w:t>якої</w:t>
            </w:r>
            <w:proofErr w:type="spellEnd"/>
            <w:r w:rsidRPr="007E0AF4">
              <w:rPr>
                <w:b/>
                <w:sz w:val="22"/>
              </w:rPr>
              <w:t xml:space="preserve">  </w:t>
            </w:r>
            <w:proofErr w:type="spellStart"/>
            <w:r w:rsidRPr="007E0AF4">
              <w:rPr>
                <w:b/>
                <w:sz w:val="22"/>
              </w:rPr>
              <w:t>спрямований</w:t>
            </w:r>
            <w:proofErr w:type="spellEnd"/>
            <w:proofErr w:type="gramEnd"/>
            <w:r w:rsidRPr="007E0AF4">
              <w:rPr>
                <w:b/>
                <w:sz w:val="22"/>
              </w:rPr>
              <w:t xml:space="preserve"> проект</w:t>
            </w:r>
          </w:p>
        </w:tc>
        <w:tc>
          <w:tcPr>
            <w:tcW w:w="6945" w:type="dxa"/>
            <w:gridSpan w:val="7"/>
          </w:tcPr>
          <w:p w:rsidR="00654133" w:rsidRPr="007E0AF4" w:rsidRDefault="00654133" w:rsidP="00F34B87">
            <w:pPr>
              <w:ind w:firstLine="86"/>
              <w:rPr>
                <w:sz w:val="22"/>
              </w:rPr>
            </w:pPr>
            <w:r w:rsidRPr="007E0AF4">
              <w:rPr>
                <w:sz w:val="22"/>
              </w:rPr>
              <w:t xml:space="preserve">На спортивному </w:t>
            </w:r>
            <w:proofErr w:type="spellStart"/>
            <w:r w:rsidRPr="007E0AF4">
              <w:rPr>
                <w:sz w:val="22"/>
              </w:rPr>
              <w:t>майданчику</w:t>
            </w:r>
            <w:proofErr w:type="spellEnd"/>
            <w:r w:rsidRPr="007E0AF4">
              <w:rPr>
                <w:sz w:val="22"/>
              </w:rPr>
              <w:t xml:space="preserve"> </w:t>
            </w:r>
            <w:proofErr w:type="spellStart"/>
            <w:r w:rsidRPr="007E0AF4">
              <w:rPr>
                <w:sz w:val="22"/>
              </w:rPr>
              <w:t>займаються</w:t>
            </w:r>
            <w:proofErr w:type="spellEnd"/>
            <w:r w:rsidRPr="007E0AF4">
              <w:rPr>
                <w:sz w:val="22"/>
              </w:rPr>
              <w:t xml:space="preserve"> </w:t>
            </w:r>
            <w:proofErr w:type="spellStart"/>
            <w:r w:rsidRPr="007E0AF4">
              <w:rPr>
                <w:sz w:val="22"/>
              </w:rPr>
              <w:t>учні</w:t>
            </w:r>
            <w:proofErr w:type="spellEnd"/>
            <w:r w:rsidRPr="007E0AF4">
              <w:rPr>
                <w:sz w:val="22"/>
              </w:rPr>
              <w:t xml:space="preserve"> СЗШ №12 й </w:t>
            </w:r>
            <w:proofErr w:type="spellStart"/>
            <w:r w:rsidRPr="007E0AF4">
              <w:rPr>
                <w:sz w:val="22"/>
              </w:rPr>
              <w:t>жителі</w:t>
            </w:r>
            <w:proofErr w:type="spellEnd"/>
            <w:r w:rsidRPr="007E0AF4">
              <w:rPr>
                <w:sz w:val="22"/>
              </w:rPr>
              <w:t xml:space="preserve"> </w:t>
            </w:r>
            <w:proofErr w:type="spellStart"/>
            <w:r w:rsidRPr="007E0AF4">
              <w:rPr>
                <w:sz w:val="22"/>
              </w:rPr>
              <w:t>нашого</w:t>
            </w:r>
            <w:proofErr w:type="spellEnd"/>
            <w:r w:rsidRPr="007E0AF4">
              <w:rPr>
                <w:sz w:val="22"/>
              </w:rPr>
              <w:t xml:space="preserve"> </w:t>
            </w:r>
            <w:proofErr w:type="spellStart"/>
            <w:r w:rsidRPr="007E0AF4">
              <w:rPr>
                <w:sz w:val="22"/>
              </w:rPr>
              <w:t>мікрорайону</w:t>
            </w:r>
            <w:proofErr w:type="spellEnd"/>
            <w:r w:rsidRPr="007E0AF4">
              <w:rPr>
                <w:sz w:val="22"/>
              </w:rPr>
              <w:t xml:space="preserve">. Особливо </w:t>
            </w:r>
            <w:proofErr w:type="spellStart"/>
            <w:r w:rsidRPr="007E0AF4">
              <w:rPr>
                <w:sz w:val="22"/>
              </w:rPr>
              <w:t>популярним</w:t>
            </w:r>
            <w:proofErr w:type="spellEnd"/>
            <w:r w:rsidRPr="007E0AF4">
              <w:rPr>
                <w:sz w:val="22"/>
              </w:rPr>
              <w:t xml:space="preserve"> є </w:t>
            </w:r>
            <w:proofErr w:type="spellStart"/>
            <w:r w:rsidRPr="007E0AF4">
              <w:rPr>
                <w:sz w:val="22"/>
              </w:rPr>
              <w:t>побудований</w:t>
            </w:r>
            <w:proofErr w:type="spellEnd"/>
            <w:r w:rsidRPr="007E0AF4">
              <w:rPr>
                <w:sz w:val="22"/>
              </w:rPr>
              <w:t xml:space="preserve"> </w:t>
            </w:r>
            <w:proofErr w:type="spellStart"/>
            <w:r w:rsidRPr="007E0AF4">
              <w:rPr>
                <w:sz w:val="22"/>
              </w:rPr>
              <w:t>близько</w:t>
            </w:r>
            <w:proofErr w:type="spellEnd"/>
            <w:r w:rsidRPr="007E0AF4">
              <w:rPr>
                <w:sz w:val="22"/>
              </w:rPr>
              <w:t xml:space="preserve"> 10 </w:t>
            </w:r>
            <w:proofErr w:type="spellStart"/>
            <w:r w:rsidRPr="007E0AF4">
              <w:rPr>
                <w:sz w:val="22"/>
              </w:rPr>
              <w:t>років</w:t>
            </w:r>
            <w:proofErr w:type="spellEnd"/>
            <w:r w:rsidRPr="007E0AF4">
              <w:rPr>
                <w:sz w:val="22"/>
              </w:rPr>
              <w:t xml:space="preserve"> назад </w:t>
            </w:r>
            <w:proofErr w:type="spellStart"/>
            <w:r w:rsidRPr="007E0AF4">
              <w:rPr>
                <w:sz w:val="22"/>
              </w:rPr>
              <w:t>шкільний</w:t>
            </w:r>
            <w:proofErr w:type="spellEnd"/>
            <w:r w:rsidRPr="007E0AF4">
              <w:rPr>
                <w:sz w:val="22"/>
              </w:rPr>
              <w:t xml:space="preserve"> </w:t>
            </w:r>
            <w:proofErr w:type="spellStart"/>
            <w:r w:rsidRPr="007E0AF4">
              <w:rPr>
                <w:sz w:val="22"/>
              </w:rPr>
              <w:t>стадіон</w:t>
            </w:r>
            <w:proofErr w:type="spellEnd"/>
            <w:r w:rsidRPr="007E0AF4">
              <w:rPr>
                <w:sz w:val="22"/>
              </w:rPr>
              <w:t xml:space="preserve"> </w:t>
            </w:r>
            <w:proofErr w:type="spellStart"/>
            <w:r w:rsidRPr="007E0AF4">
              <w:rPr>
                <w:sz w:val="22"/>
              </w:rPr>
              <w:t>зі</w:t>
            </w:r>
            <w:proofErr w:type="spellEnd"/>
            <w:r w:rsidRPr="007E0AF4">
              <w:rPr>
                <w:sz w:val="22"/>
              </w:rPr>
              <w:t xml:space="preserve"> </w:t>
            </w:r>
            <w:proofErr w:type="spellStart"/>
            <w:r w:rsidRPr="007E0AF4">
              <w:rPr>
                <w:sz w:val="22"/>
              </w:rPr>
              <w:t>штучним</w:t>
            </w:r>
            <w:proofErr w:type="spellEnd"/>
            <w:r w:rsidRPr="007E0AF4">
              <w:rPr>
                <w:sz w:val="22"/>
              </w:rPr>
              <w:t xml:space="preserve"> </w:t>
            </w:r>
            <w:proofErr w:type="spellStart"/>
            <w:r w:rsidRPr="007E0AF4">
              <w:rPr>
                <w:sz w:val="22"/>
              </w:rPr>
              <w:t>покриттям</w:t>
            </w:r>
            <w:proofErr w:type="spellEnd"/>
            <w:r w:rsidRPr="007E0AF4">
              <w:rPr>
                <w:sz w:val="22"/>
              </w:rPr>
              <w:t>.</w:t>
            </w:r>
          </w:p>
          <w:p w:rsidR="00654133" w:rsidRPr="007E0AF4" w:rsidRDefault="00654133" w:rsidP="00F34B87">
            <w:pPr>
              <w:ind w:firstLine="86"/>
              <w:rPr>
                <w:sz w:val="22"/>
              </w:rPr>
            </w:pPr>
            <w:r w:rsidRPr="007E0AF4">
              <w:rPr>
                <w:sz w:val="22"/>
              </w:rPr>
              <w:t xml:space="preserve">Через </w:t>
            </w:r>
            <w:proofErr w:type="spellStart"/>
            <w:r w:rsidRPr="007E0AF4">
              <w:rPr>
                <w:sz w:val="22"/>
              </w:rPr>
              <w:t>військову</w:t>
            </w:r>
            <w:proofErr w:type="spellEnd"/>
            <w:r w:rsidRPr="007E0AF4">
              <w:rPr>
                <w:sz w:val="22"/>
              </w:rPr>
              <w:t xml:space="preserve"> </w:t>
            </w:r>
            <w:proofErr w:type="spellStart"/>
            <w:r w:rsidRPr="007E0AF4">
              <w:rPr>
                <w:sz w:val="22"/>
              </w:rPr>
              <w:t>агресію</w:t>
            </w:r>
            <w:proofErr w:type="spellEnd"/>
            <w:r w:rsidRPr="007E0AF4">
              <w:rPr>
                <w:sz w:val="22"/>
              </w:rPr>
              <w:t xml:space="preserve"> РФ </w:t>
            </w:r>
            <w:proofErr w:type="spellStart"/>
            <w:r w:rsidRPr="007E0AF4">
              <w:rPr>
                <w:sz w:val="22"/>
              </w:rPr>
              <w:t>територія</w:t>
            </w:r>
            <w:proofErr w:type="spellEnd"/>
            <w:r w:rsidRPr="007E0AF4">
              <w:rPr>
                <w:sz w:val="22"/>
              </w:rPr>
              <w:t xml:space="preserve"> </w:t>
            </w:r>
            <w:proofErr w:type="spellStart"/>
            <w:r w:rsidRPr="007E0AF4">
              <w:rPr>
                <w:sz w:val="22"/>
              </w:rPr>
              <w:t>Сєвєродонецької</w:t>
            </w:r>
            <w:proofErr w:type="spellEnd"/>
            <w:r w:rsidRPr="007E0AF4">
              <w:rPr>
                <w:sz w:val="22"/>
              </w:rPr>
              <w:t xml:space="preserve"> </w:t>
            </w:r>
            <w:proofErr w:type="spellStart"/>
            <w:r w:rsidRPr="007E0AF4">
              <w:rPr>
                <w:sz w:val="22"/>
              </w:rPr>
              <w:t>міської</w:t>
            </w:r>
            <w:proofErr w:type="spellEnd"/>
            <w:r w:rsidRPr="007E0AF4">
              <w:rPr>
                <w:sz w:val="22"/>
              </w:rPr>
              <w:t xml:space="preserve"> </w:t>
            </w:r>
            <w:proofErr w:type="spellStart"/>
            <w:r w:rsidRPr="007E0AF4">
              <w:rPr>
                <w:sz w:val="22"/>
              </w:rPr>
              <w:t>територіальної</w:t>
            </w:r>
            <w:proofErr w:type="spellEnd"/>
            <w:r w:rsidRPr="007E0AF4">
              <w:rPr>
                <w:sz w:val="22"/>
              </w:rPr>
              <w:t xml:space="preserve"> </w:t>
            </w:r>
            <w:proofErr w:type="spellStart"/>
            <w:r w:rsidRPr="007E0AF4">
              <w:rPr>
                <w:sz w:val="22"/>
              </w:rPr>
              <w:t>громади</w:t>
            </w:r>
            <w:proofErr w:type="spellEnd"/>
            <w:r w:rsidRPr="007E0AF4">
              <w:rPr>
                <w:sz w:val="22"/>
              </w:rPr>
              <w:t xml:space="preserve"> </w:t>
            </w:r>
            <w:proofErr w:type="spellStart"/>
            <w:r w:rsidRPr="007E0AF4">
              <w:rPr>
                <w:sz w:val="22"/>
              </w:rPr>
              <w:t>зазнала</w:t>
            </w:r>
            <w:proofErr w:type="spellEnd"/>
            <w:r w:rsidRPr="007E0AF4">
              <w:rPr>
                <w:sz w:val="22"/>
              </w:rPr>
              <w:t xml:space="preserve"> </w:t>
            </w:r>
            <w:proofErr w:type="spellStart"/>
            <w:r w:rsidRPr="007E0AF4">
              <w:rPr>
                <w:sz w:val="22"/>
              </w:rPr>
              <w:t>значних</w:t>
            </w:r>
            <w:proofErr w:type="spellEnd"/>
            <w:r w:rsidRPr="007E0AF4">
              <w:rPr>
                <w:sz w:val="22"/>
              </w:rPr>
              <w:t xml:space="preserve"> </w:t>
            </w:r>
            <w:proofErr w:type="spellStart"/>
            <w:r w:rsidRPr="007E0AF4">
              <w:rPr>
                <w:sz w:val="22"/>
              </w:rPr>
              <w:t>пошкоджень</w:t>
            </w:r>
            <w:proofErr w:type="spellEnd"/>
            <w:r w:rsidRPr="007E0AF4">
              <w:rPr>
                <w:sz w:val="22"/>
              </w:rPr>
              <w:t xml:space="preserve">. Не </w:t>
            </w:r>
            <w:proofErr w:type="spellStart"/>
            <w:r w:rsidRPr="007E0AF4">
              <w:rPr>
                <w:sz w:val="22"/>
              </w:rPr>
              <w:t>оминуло</w:t>
            </w:r>
            <w:proofErr w:type="spellEnd"/>
            <w:r w:rsidRPr="007E0AF4">
              <w:rPr>
                <w:sz w:val="22"/>
              </w:rPr>
              <w:t xml:space="preserve"> це спортивного </w:t>
            </w:r>
            <w:proofErr w:type="spellStart"/>
            <w:r w:rsidRPr="007E0AF4">
              <w:rPr>
                <w:sz w:val="22"/>
              </w:rPr>
              <w:t>майданчика</w:t>
            </w:r>
            <w:proofErr w:type="spellEnd"/>
            <w:r w:rsidRPr="007E0AF4">
              <w:rPr>
                <w:sz w:val="22"/>
              </w:rPr>
              <w:t xml:space="preserve"> і </w:t>
            </w:r>
            <w:proofErr w:type="spellStart"/>
            <w:r w:rsidRPr="007E0AF4">
              <w:rPr>
                <w:sz w:val="22"/>
              </w:rPr>
              <w:t>стадіону</w:t>
            </w:r>
            <w:proofErr w:type="spellEnd"/>
            <w:r w:rsidRPr="007E0AF4">
              <w:rPr>
                <w:sz w:val="22"/>
              </w:rPr>
              <w:t xml:space="preserve"> </w:t>
            </w:r>
            <w:proofErr w:type="spellStart"/>
            <w:r w:rsidRPr="007E0AF4">
              <w:rPr>
                <w:sz w:val="22"/>
              </w:rPr>
              <w:t>Гімназії</w:t>
            </w:r>
            <w:proofErr w:type="spellEnd"/>
            <w:r w:rsidRPr="007E0AF4">
              <w:rPr>
                <w:sz w:val="22"/>
              </w:rPr>
              <w:t xml:space="preserve"> № 12. </w:t>
            </w:r>
          </w:p>
          <w:p w:rsidR="00654133" w:rsidRPr="007E0AF4" w:rsidRDefault="00654133" w:rsidP="00F34B87">
            <w:pPr>
              <w:ind w:firstLine="86"/>
              <w:rPr>
                <w:sz w:val="22"/>
              </w:rPr>
            </w:pPr>
            <w:proofErr w:type="spellStart"/>
            <w:r w:rsidRPr="007E0AF4">
              <w:rPr>
                <w:sz w:val="22"/>
              </w:rPr>
              <w:t>Бігові</w:t>
            </w:r>
            <w:proofErr w:type="spellEnd"/>
            <w:r w:rsidRPr="007E0AF4">
              <w:rPr>
                <w:sz w:val="22"/>
              </w:rPr>
              <w:t xml:space="preserve"> </w:t>
            </w:r>
            <w:proofErr w:type="spellStart"/>
            <w:r w:rsidRPr="007E0AF4">
              <w:rPr>
                <w:sz w:val="22"/>
              </w:rPr>
              <w:t>доріжки</w:t>
            </w:r>
            <w:proofErr w:type="spellEnd"/>
            <w:r w:rsidRPr="007E0AF4">
              <w:rPr>
                <w:sz w:val="22"/>
              </w:rPr>
              <w:t xml:space="preserve"> </w:t>
            </w:r>
            <w:proofErr w:type="spellStart"/>
            <w:r w:rsidRPr="007E0AF4">
              <w:rPr>
                <w:sz w:val="22"/>
              </w:rPr>
              <w:t>зруйнувалися</w:t>
            </w:r>
            <w:proofErr w:type="spellEnd"/>
            <w:r w:rsidRPr="007E0AF4">
              <w:rPr>
                <w:sz w:val="22"/>
              </w:rPr>
              <w:t xml:space="preserve">, </w:t>
            </w:r>
            <w:proofErr w:type="spellStart"/>
            <w:r w:rsidRPr="007E0AF4">
              <w:rPr>
                <w:sz w:val="22"/>
              </w:rPr>
              <w:t>асфальтове</w:t>
            </w:r>
            <w:proofErr w:type="spellEnd"/>
            <w:r w:rsidRPr="007E0AF4">
              <w:rPr>
                <w:sz w:val="22"/>
              </w:rPr>
              <w:t xml:space="preserve"> </w:t>
            </w:r>
            <w:proofErr w:type="spellStart"/>
            <w:r w:rsidRPr="007E0AF4">
              <w:rPr>
                <w:sz w:val="22"/>
              </w:rPr>
              <w:t>покриття</w:t>
            </w:r>
            <w:proofErr w:type="spellEnd"/>
            <w:r w:rsidRPr="007E0AF4">
              <w:rPr>
                <w:sz w:val="22"/>
              </w:rPr>
              <w:t xml:space="preserve"> волейбольного та баскетбольного </w:t>
            </w:r>
            <w:proofErr w:type="spellStart"/>
            <w:r w:rsidRPr="007E0AF4">
              <w:rPr>
                <w:sz w:val="22"/>
              </w:rPr>
              <w:t>майданчиків</w:t>
            </w:r>
            <w:proofErr w:type="spellEnd"/>
            <w:r w:rsidRPr="007E0AF4">
              <w:rPr>
                <w:sz w:val="22"/>
              </w:rPr>
              <w:t xml:space="preserve"> </w:t>
            </w:r>
            <w:proofErr w:type="spellStart"/>
            <w:r w:rsidRPr="007E0AF4">
              <w:rPr>
                <w:sz w:val="22"/>
              </w:rPr>
              <w:t>потріскалось</w:t>
            </w:r>
            <w:proofErr w:type="spellEnd"/>
            <w:r w:rsidRPr="007E0AF4">
              <w:rPr>
                <w:sz w:val="22"/>
              </w:rPr>
              <w:t xml:space="preserve">, </w:t>
            </w:r>
            <w:proofErr w:type="spellStart"/>
            <w:r w:rsidRPr="007E0AF4">
              <w:rPr>
                <w:sz w:val="22"/>
              </w:rPr>
              <w:t>подекуди</w:t>
            </w:r>
            <w:proofErr w:type="spellEnd"/>
            <w:r w:rsidRPr="007E0AF4">
              <w:rPr>
                <w:sz w:val="22"/>
              </w:rPr>
              <w:t xml:space="preserve"> </w:t>
            </w:r>
            <w:proofErr w:type="spellStart"/>
            <w:r w:rsidRPr="007E0AF4">
              <w:rPr>
                <w:sz w:val="22"/>
              </w:rPr>
              <w:t>мають</w:t>
            </w:r>
            <w:proofErr w:type="spellEnd"/>
            <w:r w:rsidRPr="007E0AF4">
              <w:rPr>
                <w:sz w:val="22"/>
              </w:rPr>
              <w:t xml:space="preserve"> </w:t>
            </w:r>
            <w:proofErr w:type="spellStart"/>
            <w:r w:rsidRPr="007E0AF4">
              <w:rPr>
                <w:sz w:val="22"/>
              </w:rPr>
              <w:t>травматичні</w:t>
            </w:r>
            <w:proofErr w:type="spellEnd"/>
            <w:r w:rsidRPr="007E0AF4">
              <w:rPr>
                <w:sz w:val="22"/>
              </w:rPr>
              <w:t xml:space="preserve"> </w:t>
            </w:r>
            <w:proofErr w:type="spellStart"/>
            <w:r w:rsidRPr="007E0AF4">
              <w:rPr>
                <w:sz w:val="22"/>
              </w:rPr>
              <w:t>елементи</w:t>
            </w:r>
            <w:proofErr w:type="spellEnd"/>
            <w:r w:rsidRPr="007E0AF4">
              <w:rPr>
                <w:sz w:val="22"/>
              </w:rPr>
              <w:t xml:space="preserve">, </w:t>
            </w:r>
            <w:proofErr w:type="spellStart"/>
            <w:r w:rsidRPr="007E0AF4">
              <w:rPr>
                <w:sz w:val="22"/>
              </w:rPr>
              <w:t>штучне</w:t>
            </w:r>
            <w:proofErr w:type="spellEnd"/>
            <w:r w:rsidRPr="007E0AF4">
              <w:rPr>
                <w:sz w:val="22"/>
              </w:rPr>
              <w:t xml:space="preserve"> </w:t>
            </w:r>
            <w:proofErr w:type="spellStart"/>
            <w:r w:rsidRPr="007E0AF4">
              <w:rPr>
                <w:sz w:val="22"/>
              </w:rPr>
              <w:t>покриття</w:t>
            </w:r>
            <w:proofErr w:type="spellEnd"/>
            <w:r w:rsidRPr="007E0AF4">
              <w:rPr>
                <w:sz w:val="22"/>
              </w:rPr>
              <w:t xml:space="preserve"> футбольного поля </w:t>
            </w:r>
            <w:proofErr w:type="spellStart"/>
            <w:r w:rsidRPr="007E0AF4">
              <w:rPr>
                <w:sz w:val="22"/>
              </w:rPr>
              <w:t>зіпсоване</w:t>
            </w:r>
            <w:proofErr w:type="spellEnd"/>
            <w:r w:rsidRPr="007E0AF4">
              <w:rPr>
                <w:sz w:val="22"/>
              </w:rPr>
              <w:t xml:space="preserve">, </w:t>
            </w:r>
            <w:proofErr w:type="spellStart"/>
            <w:r w:rsidRPr="007E0AF4">
              <w:rPr>
                <w:sz w:val="22"/>
              </w:rPr>
              <w:t>знищено</w:t>
            </w:r>
            <w:proofErr w:type="spellEnd"/>
            <w:r w:rsidRPr="007E0AF4">
              <w:rPr>
                <w:sz w:val="22"/>
              </w:rPr>
              <w:t xml:space="preserve"> </w:t>
            </w:r>
            <w:proofErr w:type="spellStart"/>
            <w:r w:rsidRPr="007E0AF4">
              <w:rPr>
                <w:sz w:val="22"/>
              </w:rPr>
              <w:t>місця</w:t>
            </w:r>
            <w:proofErr w:type="spellEnd"/>
            <w:r w:rsidRPr="007E0AF4">
              <w:rPr>
                <w:sz w:val="22"/>
              </w:rPr>
              <w:t xml:space="preserve"> для </w:t>
            </w:r>
            <w:proofErr w:type="spellStart"/>
            <w:r w:rsidRPr="007E0AF4">
              <w:rPr>
                <w:sz w:val="22"/>
              </w:rPr>
              <w:t>вболювальників</w:t>
            </w:r>
            <w:proofErr w:type="spellEnd"/>
            <w:r w:rsidRPr="007E0AF4">
              <w:rPr>
                <w:sz w:val="22"/>
              </w:rPr>
              <w:t xml:space="preserve">, </w:t>
            </w:r>
            <w:proofErr w:type="spellStart"/>
            <w:r w:rsidRPr="007E0AF4">
              <w:rPr>
                <w:sz w:val="22"/>
              </w:rPr>
              <w:t>пошкоджена</w:t>
            </w:r>
            <w:proofErr w:type="spellEnd"/>
            <w:r w:rsidRPr="007E0AF4">
              <w:rPr>
                <w:sz w:val="22"/>
              </w:rPr>
              <w:t xml:space="preserve"> огорожа </w:t>
            </w:r>
            <w:proofErr w:type="spellStart"/>
            <w:r w:rsidRPr="007E0AF4">
              <w:rPr>
                <w:sz w:val="22"/>
              </w:rPr>
              <w:t>навколо</w:t>
            </w:r>
            <w:proofErr w:type="spellEnd"/>
            <w:r w:rsidRPr="007E0AF4">
              <w:rPr>
                <w:sz w:val="22"/>
              </w:rPr>
              <w:t xml:space="preserve"> </w:t>
            </w:r>
            <w:proofErr w:type="spellStart"/>
            <w:r w:rsidRPr="007E0AF4">
              <w:rPr>
                <w:sz w:val="22"/>
              </w:rPr>
              <w:t>стадіону</w:t>
            </w:r>
            <w:proofErr w:type="spellEnd"/>
            <w:r w:rsidRPr="007E0AF4">
              <w:rPr>
                <w:sz w:val="22"/>
              </w:rPr>
              <w:t>.</w:t>
            </w:r>
          </w:p>
          <w:p w:rsidR="00654133" w:rsidRPr="007E0AF4" w:rsidRDefault="00654133" w:rsidP="00F34B87">
            <w:pPr>
              <w:ind w:firstLine="86"/>
              <w:rPr>
                <w:sz w:val="22"/>
              </w:rPr>
            </w:pPr>
            <w:r w:rsidRPr="007E0AF4">
              <w:rPr>
                <w:rFonts w:eastAsia="Arial"/>
                <w:sz w:val="22"/>
              </w:rPr>
              <w:t xml:space="preserve">Для </w:t>
            </w:r>
            <w:proofErr w:type="spellStart"/>
            <w:r w:rsidRPr="007E0AF4">
              <w:rPr>
                <w:rFonts w:eastAsia="Arial"/>
                <w:sz w:val="22"/>
              </w:rPr>
              <w:t>відбудови</w:t>
            </w:r>
            <w:proofErr w:type="spellEnd"/>
            <w:r w:rsidRPr="007E0AF4">
              <w:rPr>
                <w:rFonts w:eastAsia="Arial"/>
                <w:sz w:val="22"/>
              </w:rPr>
              <w:t xml:space="preserve"> та </w:t>
            </w:r>
            <w:proofErr w:type="spellStart"/>
            <w:r w:rsidRPr="007E0AF4">
              <w:rPr>
                <w:rFonts w:eastAsia="Arial"/>
                <w:sz w:val="22"/>
              </w:rPr>
              <w:t>сталого</w:t>
            </w:r>
            <w:proofErr w:type="spellEnd"/>
            <w:r w:rsidRPr="007E0AF4">
              <w:rPr>
                <w:rFonts w:eastAsia="Arial"/>
                <w:sz w:val="22"/>
              </w:rPr>
              <w:t xml:space="preserve"> </w:t>
            </w:r>
            <w:proofErr w:type="spellStart"/>
            <w:r w:rsidRPr="007E0AF4">
              <w:rPr>
                <w:rFonts w:eastAsia="Arial"/>
                <w:sz w:val="22"/>
              </w:rPr>
              <w:t>розвитку</w:t>
            </w:r>
            <w:proofErr w:type="spellEnd"/>
            <w:r w:rsidRPr="007E0AF4">
              <w:rPr>
                <w:rFonts w:eastAsia="Arial"/>
                <w:sz w:val="22"/>
              </w:rPr>
              <w:t xml:space="preserve"> </w:t>
            </w:r>
            <w:proofErr w:type="spellStart"/>
            <w:r w:rsidRPr="007E0AF4">
              <w:rPr>
                <w:rFonts w:eastAsia="Arial"/>
                <w:sz w:val="22"/>
              </w:rPr>
              <w:t>громади</w:t>
            </w:r>
            <w:proofErr w:type="spellEnd"/>
            <w:r w:rsidRPr="007E0AF4">
              <w:rPr>
                <w:rFonts w:eastAsia="Arial"/>
                <w:sz w:val="22"/>
              </w:rPr>
              <w:t xml:space="preserve"> </w:t>
            </w:r>
            <w:proofErr w:type="spellStart"/>
            <w:r w:rsidRPr="007E0AF4">
              <w:rPr>
                <w:rFonts w:eastAsia="Arial"/>
                <w:sz w:val="22"/>
              </w:rPr>
              <w:t>потрібне</w:t>
            </w:r>
            <w:proofErr w:type="spellEnd"/>
            <w:r w:rsidRPr="007E0AF4">
              <w:rPr>
                <w:rFonts w:eastAsia="Arial"/>
                <w:sz w:val="22"/>
              </w:rPr>
              <w:t xml:space="preserve"> </w:t>
            </w:r>
            <w:proofErr w:type="spellStart"/>
            <w:r w:rsidRPr="007E0AF4">
              <w:rPr>
                <w:rFonts w:eastAsia="Arial"/>
                <w:sz w:val="22"/>
              </w:rPr>
              <w:t>відновлення</w:t>
            </w:r>
            <w:proofErr w:type="spellEnd"/>
            <w:r w:rsidRPr="007E0AF4">
              <w:rPr>
                <w:rFonts w:eastAsia="Arial"/>
                <w:sz w:val="22"/>
              </w:rPr>
              <w:t xml:space="preserve"> </w:t>
            </w:r>
            <w:proofErr w:type="gramStart"/>
            <w:r w:rsidRPr="007E0AF4">
              <w:rPr>
                <w:rFonts w:eastAsia="Arial"/>
                <w:sz w:val="22"/>
              </w:rPr>
              <w:t xml:space="preserve">та  </w:t>
            </w:r>
            <w:proofErr w:type="spellStart"/>
            <w:r w:rsidRPr="007E0AF4">
              <w:rPr>
                <w:rFonts w:eastAsia="Arial"/>
                <w:sz w:val="22"/>
              </w:rPr>
              <w:t>модернізація</w:t>
            </w:r>
            <w:proofErr w:type="spellEnd"/>
            <w:proofErr w:type="gramEnd"/>
            <w:r w:rsidRPr="007E0AF4">
              <w:rPr>
                <w:rFonts w:eastAsia="Arial"/>
                <w:sz w:val="22"/>
              </w:rPr>
              <w:t xml:space="preserve"> </w:t>
            </w:r>
            <w:proofErr w:type="spellStart"/>
            <w:r w:rsidRPr="007E0AF4">
              <w:rPr>
                <w:rFonts w:eastAsia="Arial"/>
                <w:sz w:val="22"/>
              </w:rPr>
              <w:t>роботи</w:t>
            </w:r>
            <w:proofErr w:type="spellEnd"/>
            <w:r w:rsidRPr="007E0AF4">
              <w:rPr>
                <w:rFonts w:eastAsia="Arial"/>
                <w:sz w:val="22"/>
              </w:rPr>
              <w:t xml:space="preserve"> закладу </w:t>
            </w:r>
            <w:proofErr w:type="spellStart"/>
            <w:r w:rsidRPr="007E0AF4">
              <w:rPr>
                <w:rFonts w:eastAsia="Arial"/>
                <w:sz w:val="22"/>
              </w:rPr>
              <w:t>освіти</w:t>
            </w:r>
            <w:proofErr w:type="spellEnd"/>
            <w:r w:rsidRPr="007E0AF4">
              <w:rPr>
                <w:rFonts w:eastAsia="Arial"/>
                <w:sz w:val="22"/>
              </w:rPr>
              <w:t xml:space="preserve">. </w:t>
            </w:r>
            <w:proofErr w:type="spellStart"/>
            <w:r w:rsidRPr="007E0AF4">
              <w:rPr>
                <w:rFonts w:eastAsia="Arial"/>
                <w:sz w:val="22"/>
              </w:rPr>
              <w:t>Мешканці</w:t>
            </w:r>
            <w:proofErr w:type="spellEnd"/>
            <w:r w:rsidRPr="007E0AF4">
              <w:rPr>
                <w:rFonts w:eastAsia="Arial"/>
                <w:sz w:val="22"/>
              </w:rPr>
              <w:t xml:space="preserve"> </w:t>
            </w:r>
            <w:proofErr w:type="spellStart"/>
            <w:r w:rsidRPr="007E0AF4">
              <w:rPr>
                <w:rFonts w:eastAsia="Arial"/>
                <w:sz w:val="22"/>
              </w:rPr>
              <w:t>громади</w:t>
            </w:r>
            <w:proofErr w:type="spellEnd"/>
            <w:r w:rsidRPr="007E0AF4">
              <w:rPr>
                <w:rFonts w:eastAsia="Arial"/>
                <w:sz w:val="22"/>
              </w:rPr>
              <w:t xml:space="preserve"> </w:t>
            </w:r>
            <w:proofErr w:type="spellStart"/>
            <w:r w:rsidRPr="007E0AF4">
              <w:rPr>
                <w:rFonts w:eastAsia="Arial"/>
                <w:sz w:val="22"/>
              </w:rPr>
              <w:t>потребують</w:t>
            </w:r>
            <w:proofErr w:type="spellEnd"/>
            <w:r w:rsidRPr="007E0AF4">
              <w:rPr>
                <w:rFonts w:eastAsia="Arial"/>
                <w:sz w:val="22"/>
              </w:rPr>
              <w:t xml:space="preserve"> в </w:t>
            </w:r>
            <w:proofErr w:type="spellStart"/>
            <w:r w:rsidRPr="007E0AF4">
              <w:rPr>
                <w:rFonts w:eastAsia="Arial"/>
                <w:sz w:val="22"/>
              </w:rPr>
              <w:t>отриманні</w:t>
            </w:r>
            <w:proofErr w:type="spellEnd"/>
            <w:r w:rsidRPr="007E0AF4">
              <w:rPr>
                <w:rFonts w:eastAsia="Arial"/>
                <w:sz w:val="22"/>
              </w:rPr>
              <w:t xml:space="preserve"> </w:t>
            </w:r>
            <w:proofErr w:type="spellStart"/>
            <w:r w:rsidRPr="007E0AF4">
              <w:rPr>
                <w:rFonts w:eastAsia="Arial"/>
                <w:sz w:val="22"/>
              </w:rPr>
              <w:t>якісних</w:t>
            </w:r>
            <w:proofErr w:type="spellEnd"/>
            <w:r w:rsidRPr="007E0AF4">
              <w:rPr>
                <w:rFonts w:eastAsia="Arial"/>
                <w:sz w:val="22"/>
              </w:rPr>
              <w:t xml:space="preserve"> </w:t>
            </w:r>
            <w:proofErr w:type="spellStart"/>
            <w:r w:rsidRPr="007E0AF4">
              <w:rPr>
                <w:rFonts w:eastAsia="Arial"/>
                <w:sz w:val="22"/>
              </w:rPr>
              <w:t>освітніх</w:t>
            </w:r>
            <w:proofErr w:type="spellEnd"/>
            <w:r w:rsidRPr="007E0AF4">
              <w:rPr>
                <w:rFonts w:eastAsia="Arial"/>
                <w:sz w:val="22"/>
              </w:rPr>
              <w:t xml:space="preserve"> </w:t>
            </w:r>
            <w:proofErr w:type="spellStart"/>
            <w:r w:rsidRPr="007E0AF4">
              <w:rPr>
                <w:rFonts w:eastAsia="Arial"/>
                <w:sz w:val="22"/>
              </w:rPr>
              <w:t>послуг</w:t>
            </w:r>
            <w:proofErr w:type="spellEnd"/>
            <w:r w:rsidRPr="007E0AF4">
              <w:rPr>
                <w:rFonts w:eastAsia="Arial"/>
                <w:sz w:val="22"/>
              </w:rPr>
              <w:t xml:space="preserve">, </w:t>
            </w:r>
            <w:proofErr w:type="spellStart"/>
            <w:r w:rsidRPr="007E0AF4">
              <w:rPr>
                <w:rFonts w:eastAsia="Arial"/>
                <w:sz w:val="22"/>
              </w:rPr>
              <w:t>які</w:t>
            </w:r>
            <w:proofErr w:type="spellEnd"/>
            <w:r w:rsidRPr="007E0AF4">
              <w:rPr>
                <w:rFonts w:eastAsia="Arial"/>
                <w:sz w:val="22"/>
              </w:rPr>
              <w:t xml:space="preserve"> </w:t>
            </w:r>
            <w:proofErr w:type="spellStart"/>
            <w:r w:rsidRPr="007E0AF4">
              <w:rPr>
                <w:rFonts w:eastAsia="Arial"/>
                <w:sz w:val="22"/>
              </w:rPr>
              <w:t>відповідають</w:t>
            </w:r>
            <w:proofErr w:type="spellEnd"/>
            <w:r w:rsidRPr="007E0AF4">
              <w:rPr>
                <w:rFonts w:eastAsia="Arial"/>
                <w:sz w:val="22"/>
              </w:rPr>
              <w:t xml:space="preserve"> нормам </w:t>
            </w:r>
            <w:proofErr w:type="spellStart"/>
            <w:r w:rsidRPr="007E0AF4">
              <w:rPr>
                <w:rFonts w:eastAsia="Arial"/>
                <w:sz w:val="22"/>
              </w:rPr>
              <w:t>сучасності</w:t>
            </w:r>
            <w:proofErr w:type="spellEnd"/>
            <w:r w:rsidRPr="007E0AF4">
              <w:rPr>
                <w:rFonts w:eastAsia="Arial"/>
                <w:sz w:val="22"/>
              </w:rPr>
              <w:t xml:space="preserve">. </w:t>
            </w:r>
          </w:p>
        </w:tc>
      </w:tr>
      <w:tr w:rsidR="00654133" w:rsidRPr="007E0AF4" w:rsidTr="00F34B87">
        <w:tc>
          <w:tcPr>
            <w:tcW w:w="2978" w:type="dxa"/>
            <w:shd w:val="clear" w:color="auto" w:fill="C6D9F1" w:themeFill="text2" w:themeFillTint="33"/>
          </w:tcPr>
          <w:p w:rsidR="00654133" w:rsidRPr="007E0AF4" w:rsidRDefault="00654133" w:rsidP="00F34B87">
            <w:pPr>
              <w:pStyle w:val="a7"/>
              <w:ind w:left="0"/>
              <w:rPr>
                <w:b/>
                <w:sz w:val="22"/>
              </w:rPr>
            </w:pPr>
            <w:proofErr w:type="spellStart"/>
            <w:r w:rsidRPr="007E0AF4">
              <w:rPr>
                <w:b/>
                <w:sz w:val="22"/>
              </w:rPr>
              <w:t>Очікувані</w:t>
            </w:r>
            <w:proofErr w:type="spellEnd"/>
            <w:r w:rsidRPr="007E0AF4">
              <w:rPr>
                <w:b/>
                <w:sz w:val="22"/>
              </w:rPr>
              <w:t xml:space="preserve"> </w:t>
            </w:r>
            <w:proofErr w:type="spellStart"/>
            <w:r w:rsidRPr="007E0AF4">
              <w:rPr>
                <w:b/>
                <w:sz w:val="22"/>
              </w:rPr>
              <w:t>якісні</w:t>
            </w:r>
            <w:proofErr w:type="spellEnd"/>
            <w:r w:rsidRPr="007E0AF4">
              <w:rPr>
                <w:b/>
                <w:sz w:val="22"/>
              </w:rPr>
              <w:t xml:space="preserve"> </w:t>
            </w:r>
            <w:proofErr w:type="spellStart"/>
            <w:r w:rsidRPr="007E0AF4">
              <w:rPr>
                <w:b/>
                <w:sz w:val="22"/>
              </w:rPr>
              <w:t>результати</w:t>
            </w:r>
            <w:proofErr w:type="spellEnd"/>
            <w:r w:rsidRPr="007E0AF4">
              <w:rPr>
                <w:b/>
                <w:sz w:val="22"/>
              </w:rPr>
              <w:t xml:space="preserve"> </w:t>
            </w:r>
            <w:proofErr w:type="spellStart"/>
            <w:r w:rsidRPr="007E0AF4">
              <w:rPr>
                <w:b/>
                <w:sz w:val="22"/>
              </w:rPr>
              <w:t>від</w:t>
            </w:r>
            <w:proofErr w:type="spellEnd"/>
            <w:r w:rsidRPr="007E0AF4">
              <w:rPr>
                <w:b/>
                <w:sz w:val="22"/>
              </w:rPr>
              <w:t xml:space="preserve"> </w:t>
            </w:r>
            <w:proofErr w:type="spellStart"/>
            <w:r w:rsidRPr="007E0AF4">
              <w:rPr>
                <w:b/>
                <w:sz w:val="22"/>
              </w:rPr>
              <w:t>реалізації</w:t>
            </w:r>
            <w:proofErr w:type="spellEnd"/>
            <w:r w:rsidRPr="007E0AF4">
              <w:rPr>
                <w:b/>
                <w:sz w:val="22"/>
              </w:rPr>
              <w:t xml:space="preserve"> проекту</w:t>
            </w:r>
          </w:p>
        </w:tc>
        <w:tc>
          <w:tcPr>
            <w:tcW w:w="6945" w:type="dxa"/>
            <w:gridSpan w:val="7"/>
          </w:tcPr>
          <w:p w:rsidR="00654133" w:rsidRPr="007E0AF4" w:rsidRDefault="00654133" w:rsidP="00F34B87">
            <w:pPr>
              <w:pStyle w:val="a7"/>
              <w:ind w:left="0"/>
              <w:rPr>
                <w:sz w:val="22"/>
              </w:rPr>
            </w:pPr>
            <w:r w:rsidRPr="007E0AF4">
              <w:rPr>
                <w:sz w:val="22"/>
              </w:rPr>
              <w:t xml:space="preserve">- </w:t>
            </w:r>
            <w:proofErr w:type="spellStart"/>
            <w:r w:rsidRPr="007E0AF4">
              <w:rPr>
                <w:sz w:val="22"/>
              </w:rPr>
              <w:t>забезпечення</w:t>
            </w:r>
            <w:proofErr w:type="spellEnd"/>
            <w:r w:rsidRPr="007E0AF4">
              <w:rPr>
                <w:sz w:val="22"/>
              </w:rPr>
              <w:t xml:space="preserve"> </w:t>
            </w:r>
            <w:proofErr w:type="spellStart"/>
            <w:r w:rsidRPr="007E0AF4">
              <w:rPr>
                <w:sz w:val="22"/>
              </w:rPr>
              <w:t>населення</w:t>
            </w:r>
            <w:proofErr w:type="spellEnd"/>
            <w:r w:rsidRPr="007E0AF4">
              <w:rPr>
                <w:sz w:val="22"/>
              </w:rPr>
              <w:t xml:space="preserve"> </w:t>
            </w:r>
            <w:proofErr w:type="spellStart"/>
            <w:r w:rsidRPr="007E0AF4">
              <w:rPr>
                <w:sz w:val="22"/>
              </w:rPr>
              <w:t>можливостями</w:t>
            </w:r>
            <w:proofErr w:type="spellEnd"/>
            <w:r w:rsidRPr="007E0AF4">
              <w:rPr>
                <w:sz w:val="22"/>
              </w:rPr>
              <w:t xml:space="preserve"> для </w:t>
            </w:r>
            <w:proofErr w:type="spellStart"/>
            <w:r w:rsidRPr="007E0AF4">
              <w:rPr>
                <w:sz w:val="22"/>
              </w:rPr>
              <w:t>реалізації</w:t>
            </w:r>
            <w:proofErr w:type="spellEnd"/>
            <w:r w:rsidRPr="007E0AF4">
              <w:rPr>
                <w:sz w:val="22"/>
              </w:rPr>
              <w:t xml:space="preserve"> </w:t>
            </w:r>
            <w:proofErr w:type="spellStart"/>
            <w:r w:rsidRPr="007E0AF4">
              <w:rPr>
                <w:sz w:val="22"/>
              </w:rPr>
              <w:t>конституційних</w:t>
            </w:r>
            <w:proofErr w:type="spellEnd"/>
            <w:r w:rsidRPr="007E0AF4">
              <w:rPr>
                <w:sz w:val="22"/>
              </w:rPr>
              <w:t xml:space="preserve"> прав </w:t>
            </w:r>
            <w:proofErr w:type="spellStart"/>
            <w:r w:rsidRPr="007E0AF4">
              <w:rPr>
                <w:sz w:val="22"/>
              </w:rPr>
              <w:t>громадян</w:t>
            </w:r>
            <w:proofErr w:type="spellEnd"/>
            <w:r w:rsidRPr="007E0AF4">
              <w:rPr>
                <w:sz w:val="22"/>
              </w:rPr>
              <w:t xml:space="preserve"> на </w:t>
            </w:r>
            <w:proofErr w:type="spellStart"/>
            <w:r w:rsidRPr="007E0AF4">
              <w:rPr>
                <w:sz w:val="22"/>
              </w:rPr>
              <w:t>здобуття</w:t>
            </w:r>
            <w:proofErr w:type="spellEnd"/>
            <w:r w:rsidRPr="007E0AF4">
              <w:rPr>
                <w:sz w:val="22"/>
              </w:rPr>
              <w:t xml:space="preserve"> </w:t>
            </w:r>
            <w:proofErr w:type="spellStart"/>
            <w:r w:rsidRPr="007E0AF4">
              <w:rPr>
                <w:sz w:val="22"/>
              </w:rPr>
              <w:t>освіти</w:t>
            </w:r>
            <w:proofErr w:type="spellEnd"/>
            <w:r w:rsidRPr="007E0AF4">
              <w:rPr>
                <w:sz w:val="22"/>
              </w:rPr>
              <w:t>;</w:t>
            </w:r>
          </w:p>
          <w:p w:rsidR="00654133" w:rsidRPr="007E0AF4" w:rsidRDefault="00654133" w:rsidP="00F34B87">
            <w:pPr>
              <w:pStyle w:val="a7"/>
              <w:ind w:left="0"/>
              <w:rPr>
                <w:sz w:val="22"/>
              </w:rPr>
            </w:pPr>
            <w:r w:rsidRPr="007E0AF4">
              <w:rPr>
                <w:sz w:val="22"/>
              </w:rPr>
              <w:t xml:space="preserve">- </w:t>
            </w:r>
            <w:proofErr w:type="spellStart"/>
            <w:r w:rsidRPr="007E0AF4">
              <w:rPr>
                <w:sz w:val="22"/>
              </w:rPr>
              <w:t>надання</w:t>
            </w:r>
            <w:proofErr w:type="spellEnd"/>
            <w:r w:rsidRPr="007E0AF4">
              <w:rPr>
                <w:sz w:val="22"/>
              </w:rPr>
              <w:t xml:space="preserve"> широкого спектру </w:t>
            </w:r>
            <w:proofErr w:type="spellStart"/>
            <w:r w:rsidRPr="007E0AF4">
              <w:rPr>
                <w:sz w:val="22"/>
              </w:rPr>
              <w:t>освітніх</w:t>
            </w:r>
            <w:proofErr w:type="spellEnd"/>
            <w:r w:rsidRPr="007E0AF4">
              <w:rPr>
                <w:sz w:val="22"/>
              </w:rPr>
              <w:t xml:space="preserve"> </w:t>
            </w:r>
            <w:proofErr w:type="spellStart"/>
            <w:r w:rsidRPr="007E0AF4">
              <w:rPr>
                <w:sz w:val="22"/>
              </w:rPr>
              <w:t>послуг</w:t>
            </w:r>
            <w:proofErr w:type="spellEnd"/>
            <w:r w:rsidRPr="007E0AF4">
              <w:rPr>
                <w:sz w:val="22"/>
              </w:rPr>
              <w:t>;</w:t>
            </w:r>
          </w:p>
          <w:p w:rsidR="00654133" w:rsidRPr="007E0AF4" w:rsidRDefault="00654133" w:rsidP="00F34B87">
            <w:pPr>
              <w:pStyle w:val="a7"/>
              <w:ind w:left="0"/>
              <w:rPr>
                <w:sz w:val="22"/>
              </w:rPr>
            </w:pPr>
            <w:r w:rsidRPr="007E0AF4">
              <w:rPr>
                <w:sz w:val="22"/>
              </w:rPr>
              <w:t xml:space="preserve">- </w:t>
            </w:r>
            <w:proofErr w:type="spellStart"/>
            <w:r w:rsidRPr="007E0AF4">
              <w:rPr>
                <w:sz w:val="22"/>
              </w:rPr>
              <w:t>вирішення</w:t>
            </w:r>
            <w:proofErr w:type="spellEnd"/>
            <w:r w:rsidRPr="007E0AF4">
              <w:rPr>
                <w:sz w:val="22"/>
              </w:rPr>
              <w:t xml:space="preserve"> ряду </w:t>
            </w:r>
            <w:proofErr w:type="spellStart"/>
            <w:r w:rsidRPr="007E0AF4">
              <w:rPr>
                <w:sz w:val="22"/>
              </w:rPr>
              <w:t>питань</w:t>
            </w:r>
            <w:proofErr w:type="spellEnd"/>
            <w:r w:rsidRPr="007E0AF4">
              <w:rPr>
                <w:sz w:val="22"/>
              </w:rPr>
              <w:t xml:space="preserve"> в межах </w:t>
            </w:r>
            <w:proofErr w:type="spellStart"/>
            <w:r w:rsidRPr="007E0AF4">
              <w:rPr>
                <w:sz w:val="22"/>
              </w:rPr>
              <w:t>статутної</w:t>
            </w:r>
            <w:proofErr w:type="spellEnd"/>
            <w:r w:rsidRPr="007E0AF4">
              <w:rPr>
                <w:sz w:val="22"/>
              </w:rPr>
              <w:t xml:space="preserve"> </w:t>
            </w:r>
            <w:proofErr w:type="spellStart"/>
            <w:r w:rsidRPr="007E0AF4">
              <w:rPr>
                <w:sz w:val="22"/>
              </w:rPr>
              <w:t>діяльності</w:t>
            </w:r>
            <w:proofErr w:type="spellEnd"/>
            <w:r w:rsidRPr="007E0AF4">
              <w:rPr>
                <w:sz w:val="22"/>
              </w:rPr>
              <w:t xml:space="preserve">, </w:t>
            </w:r>
            <w:proofErr w:type="spellStart"/>
            <w:r w:rsidRPr="007E0AF4">
              <w:rPr>
                <w:sz w:val="22"/>
              </w:rPr>
              <w:t>пов’язаних</w:t>
            </w:r>
            <w:proofErr w:type="spellEnd"/>
            <w:r w:rsidRPr="007E0AF4">
              <w:rPr>
                <w:sz w:val="22"/>
              </w:rPr>
              <w:t xml:space="preserve"> </w:t>
            </w:r>
            <w:proofErr w:type="spellStart"/>
            <w:r w:rsidRPr="007E0AF4">
              <w:rPr>
                <w:sz w:val="22"/>
              </w:rPr>
              <w:t>із</w:t>
            </w:r>
            <w:proofErr w:type="spellEnd"/>
            <w:r w:rsidRPr="007E0AF4">
              <w:rPr>
                <w:sz w:val="22"/>
              </w:rPr>
              <w:t xml:space="preserve"> </w:t>
            </w:r>
            <w:proofErr w:type="spellStart"/>
            <w:r w:rsidRPr="007E0AF4">
              <w:rPr>
                <w:sz w:val="22"/>
              </w:rPr>
              <w:t>відбудовою</w:t>
            </w:r>
            <w:proofErr w:type="spellEnd"/>
            <w:r w:rsidRPr="007E0AF4">
              <w:rPr>
                <w:sz w:val="22"/>
              </w:rPr>
              <w:t xml:space="preserve"> та </w:t>
            </w:r>
            <w:proofErr w:type="spellStart"/>
            <w:r w:rsidRPr="007E0AF4">
              <w:rPr>
                <w:sz w:val="22"/>
              </w:rPr>
              <w:t>сталим</w:t>
            </w:r>
            <w:proofErr w:type="spellEnd"/>
            <w:r w:rsidRPr="007E0AF4">
              <w:rPr>
                <w:sz w:val="22"/>
              </w:rPr>
              <w:t xml:space="preserve"> </w:t>
            </w:r>
            <w:proofErr w:type="spellStart"/>
            <w:r w:rsidRPr="007E0AF4">
              <w:rPr>
                <w:sz w:val="22"/>
              </w:rPr>
              <w:t>розвитком</w:t>
            </w:r>
            <w:proofErr w:type="spellEnd"/>
            <w:r w:rsidRPr="007E0AF4">
              <w:rPr>
                <w:sz w:val="22"/>
              </w:rPr>
              <w:t xml:space="preserve"> </w:t>
            </w:r>
            <w:proofErr w:type="spellStart"/>
            <w:r w:rsidRPr="007E0AF4">
              <w:rPr>
                <w:sz w:val="22"/>
              </w:rPr>
              <w:t>громади</w:t>
            </w:r>
            <w:proofErr w:type="spellEnd"/>
            <w:r w:rsidRPr="007E0AF4">
              <w:rPr>
                <w:sz w:val="22"/>
              </w:rPr>
              <w:t>;</w:t>
            </w:r>
          </w:p>
          <w:p w:rsidR="00654133" w:rsidRPr="007E0AF4" w:rsidRDefault="00654133" w:rsidP="00F34B87">
            <w:pPr>
              <w:pStyle w:val="a7"/>
              <w:ind w:left="0"/>
              <w:rPr>
                <w:sz w:val="22"/>
              </w:rPr>
            </w:pPr>
            <w:r w:rsidRPr="007E0AF4">
              <w:rPr>
                <w:sz w:val="22"/>
              </w:rPr>
              <w:t xml:space="preserve">- </w:t>
            </w:r>
            <w:proofErr w:type="spellStart"/>
            <w:r w:rsidRPr="007E0AF4">
              <w:rPr>
                <w:sz w:val="22"/>
              </w:rPr>
              <w:t>виконання</w:t>
            </w:r>
            <w:proofErr w:type="spellEnd"/>
            <w:r w:rsidRPr="007E0AF4">
              <w:rPr>
                <w:sz w:val="22"/>
              </w:rPr>
              <w:t xml:space="preserve"> </w:t>
            </w:r>
            <w:proofErr w:type="spellStart"/>
            <w:r w:rsidRPr="007E0AF4">
              <w:rPr>
                <w:sz w:val="22"/>
              </w:rPr>
              <w:t>Санітарного</w:t>
            </w:r>
            <w:proofErr w:type="spellEnd"/>
            <w:r w:rsidRPr="007E0AF4">
              <w:rPr>
                <w:sz w:val="22"/>
              </w:rPr>
              <w:t xml:space="preserve"> регламент</w:t>
            </w:r>
            <w:r w:rsidR="00B16E0F" w:rsidRPr="007E0AF4">
              <w:rPr>
                <w:sz w:val="22"/>
              </w:rPr>
              <w:t>у</w:t>
            </w:r>
            <w:r w:rsidRPr="007E0AF4">
              <w:rPr>
                <w:sz w:val="22"/>
              </w:rPr>
              <w:t xml:space="preserve"> для </w:t>
            </w:r>
            <w:proofErr w:type="spellStart"/>
            <w:r w:rsidRPr="007E0AF4">
              <w:rPr>
                <w:sz w:val="22"/>
              </w:rPr>
              <w:t>закладів</w:t>
            </w:r>
            <w:proofErr w:type="spellEnd"/>
            <w:r w:rsidRPr="007E0AF4">
              <w:rPr>
                <w:sz w:val="22"/>
              </w:rPr>
              <w:t xml:space="preserve"> </w:t>
            </w:r>
            <w:proofErr w:type="spellStart"/>
            <w:r w:rsidRPr="007E0AF4">
              <w:rPr>
                <w:sz w:val="22"/>
              </w:rPr>
              <w:t>загальної</w:t>
            </w:r>
            <w:proofErr w:type="spellEnd"/>
            <w:r w:rsidRPr="007E0AF4">
              <w:rPr>
                <w:sz w:val="22"/>
              </w:rPr>
              <w:t xml:space="preserve"> </w:t>
            </w:r>
            <w:proofErr w:type="spellStart"/>
            <w:r w:rsidRPr="007E0AF4">
              <w:rPr>
                <w:sz w:val="22"/>
              </w:rPr>
              <w:t>середньої</w:t>
            </w:r>
            <w:proofErr w:type="spellEnd"/>
            <w:r w:rsidRPr="007E0AF4">
              <w:rPr>
                <w:sz w:val="22"/>
              </w:rPr>
              <w:t xml:space="preserve"> </w:t>
            </w:r>
            <w:proofErr w:type="spellStart"/>
            <w:r w:rsidRPr="007E0AF4">
              <w:rPr>
                <w:sz w:val="22"/>
              </w:rPr>
              <w:t>освіти</w:t>
            </w:r>
            <w:proofErr w:type="spellEnd"/>
            <w:r w:rsidRPr="007E0AF4">
              <w:rPr>
                <w:sz w:val="22"/>
              </w:rPr>
              <w:t xml:space="preserve"> </w:t>
            </w:r>
            <w:proofErr w:type="spellStart"/>
            <w:r w:rsidRPr="007E0AF4">
              <w:rPr>
                <w:sz w:val="22"/>
              </w:rPr>
              <w:t>щодо</w:t>
            </w:r>
            <w:proofErr w:type="spellEnd"/>
            <w:r w:rsidRPr="007E0AF4">
              <w:rPr>
                <w:sz w:val="22"/>
              </w:rPr>
              <w:t xml:space="preserve"> </w:t>
            </w:r>
            <w:proofErr w:type="spellStart"/>
            <w:r w:rsidRPr="007E0AF4">
              <w:rPr>
                <w:sz w:val="22"/>
              </w:rPr>
              <w:t>безпечного</w:t>
            </w:r>
            <w:proofErr w:type="spellEnd"/>
            <w:r w:rsidRPr="007E0AF4">
              <w:rPr>
                <w:sz w:val="22"/>
              </w:rPr>
              <w:t xml:space="preserve"> </w:t>
            </w:r>
            <w:proofErr w:type="spellStart"/>
            <w:r w:rsidRPr="007E0AF4">
              <w:rPr>
                <w:sz w:val="22"/>
              </w:rPr>
              <w:t>функціонування</w:t>
            </w:r>
            <w:proofErr w:type="spellEnd"/>
            <w:r w:rsidRPr="007E0AF4">
              <w:rPr>
                <w:sz w:val="22"/>
              </w:rPr>
              <w:t xml:space="preserve"> закладу;</w:t>
            </w:r>
          </w:p>
          <w:p w:rsidR="00654133" w:rsidRPr="007E0AF4" w:rsidRDefault="00654133" w:rsidP="00F34B87">
            <w:pPr>
              <w:pStyle w:val="a7"/>
              <w:ind w:left="0"/>
              <w:rPr>
                <w:sz w:val="22"/>
              </w:rPr>
            </w:pPr>
            <w:r w:rsidRPr="007E0AF4">
              <w:rPr>
                <w:sz w:val="22"/>
              </w:rPr>
              <w:t xml:space="preserve">- </w:t>
            </w:r>
            <w:proofErr w:type="spellStart"/>
            <w:r w:rsidRPr="007E0AF4">
              <w:rPr>
                <w:sz w:val="22"/>
              </w:rPr>
              <w:t>популяризація</w:t>
            </w:r>
            <w:proofErr w:type="spellEnd"/>
            <w:r w:rsidRPr="007E0AF4">
              <w:rPr>
                <w:sz w:val="22"/>
              </w:rPr>
              <w:t xml:space="preserve"> здорового способу </w:t>
            </w:r>
            <w:proofErr w:type="spellStart"/>
            <w:r w:rsidRPr="007E0AF4">
              <w:rPr>
                <w:sz w:val="22"/>
              </w:rPr>
              <w:t>життя</w:t>
            </w:r>
            <w:proofErr w:type="spellEnd"/>
            <w:r w:rsidRPr="007E0AF4">
              <w:rPr>
                <w:sz w:val="22"/>
              </w:rPr>
              <w:t xml:space="preserve"> і спорту;</w:t>
            </w:r>
          </w:p>
          <w:p w:rsidR="00654133" w:rsidRPr="007E0AF4" w:rsidRDefault="00654133" w:rsidP="00F34B87">
            <w:pPr>
              <w:pStyle w:val="a7"/>
              <w:ind w:left="0"/>
              <w:rPr>
                <w:sz w:val="22"/>
              </w:rPr>
            </w:pPr>
            <w:r w:rsidRPr="007E0AF4">
              <w:rPr>
                <w:sz w:val="22"/>
              </w:rPr>
              <w:t xml:space="preserve">- </w:t>
            </w:r>
            <w:proofErr w:type="spellStart"/>
            <w:r w:rsidRPr="007E0AF4">
              <w:rPr>
                <w:sz w:val="22"/>
              </w:rPr>
              <w:t>створення</w:t>
            </w:r>
            <w:proofErr w:type="spellEnd"/>
            <w:r w:rsidRPr="007E0AF4">
              <w:rPr>
                <w:sz w:val="22"/>
              </w:rPr>
              <w:t xml:space="preserve"> </w:t>
            </w:r>
            <w:proofErr w:type="spellStart"/>
            <w:r w:rsidRPr="007E0AF4">
              <w:rPr>
                <w:sz w:val="22"/>
              </w:rPr>
              <w:t>нових</w:t>
            </w:r>
            <w:proofErr w:type="spellEnd"/>
            <w:r w:rsidRPr="007E0AF4">
              <w:rPr>
                <w:sz w:val="22"/>
              </w:rPr>
              <w:t xml:space="preserve"> </w:t>
            </w:r>
            <w:proofErr w:type="spellStart"/>
            <w:r w:rsidRPr="007E0AF4">
              <w:rPr>
                <w:sz w:val="22"/>
              </w:rPr>
              <w:t>робочих</w:t>
            </w:r>
            <w:proofErr w:type="spellEnd"/>
            <w:r w:rsidRPr="007E0AF4">
              <w:rPr>
                <w:sz w:val="22"/>
              </w:rPr>
              <w:t xml:space="preserve"> </w:t>
            </w:r>
            <w:proofErr w:type="spellStart"/>
            <w:r w:rsidRPr="007E0AF4">
              <w:rPr>
                <w:sz w:val="22"/>
              </w:rPr>
              <w:t>місць</w:t>
            </w:r>
            <w:proofErr w:type="spellEnd"/>
            <w:r w:rsidRPr="007E0AF4">
              <w:rPr>
                <w:sz w:val="22"/>
              </w:rPr>
              <w:t>;</w:t>
            </w:r>
          </w:p>
          <w:p w:rsidR="00654133" w:rsidRPr="007E0AF4" w:rsidRDefault="00654133" w:rsidP="00F34B87">
            <w:pPr>
              <w:pStyle w:val="a7"/>
              <w:ind w:left="0"/>
              <w:rPr>
                <w:sz w:val="22"/>
              </w:rPr>
            </w:pPr>
            <w:r w:rsidRPr="007E0AF4">
              <w:rPr>
                <w:sz w:val="22"/>
              </w:rPr>
              <w:t xml:space="preserve">- стимул до </w:t>
            </w:r>
            <w:proofErr w:type="spellStart"/>
            <w:r w:rsidRPr="007E0AF4">
              <w:rPr>
                <w:sz w:val="22"/>
              </w:rPr>
              <w:t>повернення</w:t>
            </w:r>
            <w:proofErr w:type="spellEnd"/>
            <w:r w:rsidRPr="007E0AF4">
              <w:rPr>
                <w:sz w:val="22"/>
              </w:rPr>
              <w:t xml:space="preserve"> ВПО до </w:t>
            </w:r>
            <w:proofErr w:type="spellStart"/>
            <w:r w:rsidRPr="007E0AF4">
              <w:rPr>
                <w:sz w:val="22"/>
              </w:rPr>
              <w:t>громади</w:t>
            </w:r>
            <w:proofErr w:type="spellEnd"/>
          </w:p>
        </w:tc>
      </w:tr>
      <w:tr w:rsidR="00654133" w:rsidRPr="007E0AF4" w:rsidTr="00F34B87">
        <w:trPr>
          <w:trHeight w:val="390"/>
        </w:trPr>
        <w:tc>
          <w:tcPr>
            <w:tcW w:w="2978" w:type="dxa"/>
            <w:vMerge w:val="restart"/>
            <w:shd w:val="clear" w:color="auto" w:fill="C6D9F1" w:themeFill="text2" w:themeFillTint="33"/>
          </w:tcPr>
          <w:p w:rsidR="00654133" w:rsidRPr="007E0AF4" w:rsidRDefault="00654133" w:rsidP="00F34B87">
            <w:pPr>
              <w:pStyle w:val="a7"/>
              <w:ind w:left="0"/>
              <w:rPr>
                <w:b/>
                <w:sz w:val="22"/>
                <w:lang w:val="uk-UA"/>
              </w:rPr>
            </w:pPr>
            <w:r w:rsidRPr="007E0AF4">
              <w:rPr>
                <w:b/>
                <w:sz w:val="22"/>
                <w:lang w:val="uk-UA"/>
              </w:rPr>
              <w:t xml:space="preserve">Очікувані кількісні результати реалізації </w:t>
            </w:r>
            <w:proofErr w:type="spellStart"/>
            <w:r w:rsidRPr="007E0AF4">
              <w:rPr>
                <w:b/>
                <w:sz w:val="22"/>
                <w:lang w:val="uk-UA"/>
              </w:rPr>
              <w:t>проєкту</w:t>
            </w:r>
            <w:proofErr w:type="spellEnd"/>
            <w:r w:rsidRPr="007E0AF4">
              <w:rPr>
                <w:b/>
                <w:sz w:val="22"/>
                <w:lang w:val="uk-UA"/>
              </w:rPr>
              <w:t xml:space="preserve"> (індикатори)</w:t>
            </w:r>
          </w:p>
          <w:p w:rsidR="00654133" w:rsidRPr="007E0AF4" w:rsidRDefault="00654133" w:rsidP="00F34B87">
            <w:pPr>
              <w:pStyle w:val="a7"/>
              <w:ind w:left="0"/>
              <w:rPr>
                <w:b/>
                <w:sz w:val="22"/>
                <w:lang w:val="uk-UA"/>
              </w:rPr>
            </w:pPr>
          </w:p>
        </w:tc>
        <w:tc>
          <w:tcPr>
            <w:tcW w:w="3260" w:type="dxa"/>
            <w:gridSpan w:val="3"/>
            <w:tcBorders>
              <w:bottom w:val="single" w:sz="4" w:space="0" w:color="auto"/>
              <w:right w:val="single" w:sz="4" w:space="0" w:color="auto"/>
            </w:tcBorders>
          </w:tcPr>
          <w:p w:rsidR="00654133" w:rsidRPr="007E0AF4" w:rsidRDefault="00654133" w:rsidP="00F34B87">
            <w:pPr>
              <w:pStyle w:val="a7"/>
              <w:ind w:left="-108"/>
              <w:jc w:val="center"/>
              <w:rPr>
                <w:b/>
                <w:sz w:val="22"/>
              </w:rPr>
            </w:pPr>
            <w:proofErr w:type="spellStart"/>
            <w:r w:rsidRPr="007E0AF4">
              <w:rPr>
                <w:b/>
                <w:sz w:val="22"/>
              </w:rPr>
              <w:t>Найменування</w:t>
            </w:r>
            <w:proofErr w:type="spellEnd"/>
            <w:r w:rsidRPr="007E0AF4">
              <w:rPr>
                <w:b/>
                <w:sz w:val="22"/>
              </w:rPr>
              <w:t xml:space="preserve"> </w:t>
            </w:r>
            <w:proofErr w:type="spellStart"/>
            <w:r w:rsidRPr="007E0AF4">
              <w:rPr>
                <w:b/>
                <w:sz w:val="22"/>
              </w:rPr>
              <w:t>показника</w:t>
            </w:r>
            <w:proofErr w:type="spellEnd"/>
          </w:p>
        </w:tc>
        <w:tc>
          <w:tcPr>
            <w:tcW w:w="1984" w:type="dxa"/>
            <w:gridSpan w:val="2"/>
            <w:tcBorders>
              <w:left w:val="single" w:sz="4" w:space="0" w:color="auto"/>
              <w:bottom w:val="single" w:sz="4" w:space="0" w:color="auto"/>
              <w:right w:val="single" w:sz="4" w:space="0" w:color="auto"/>
            </w:tcBorders>
          </w:tcPr>
          <w:p w:rsidR="00654133" w:rsidRPr="007E0AF4" w:rsidRDefault="00654133" w:rsidP="00F34B87">
            <w:pPr>
              <w:pStyle w:val="a7"/>
              <w:ind w:left="0"/>
              <w:jc w:val="center"/>
              <w:rPr>
                <w:b/>
                <w:sz w:val="22"/>
              </w:rPr>
            </w:pPr>
            <w:proofErr w:type="spellStart"/>
            <w:r w:rsidRPr="007E0AF4">
              <w:rPr>
                <w:b/>
                <w:sz w:val="22"/>
              </w:rPr>
              <w:t>Одиниця</w:t>
            </w:r>
            <w:proofErr w:type="spellEnd"/>
            <w:r w:rsidRPr="007E0AF4">
              <w:rPr>
                <w:b/>
                <w:sz w:val="22"/>
              </w:rPr>
              <w:t xml:space="preserve"> </w:t>
            </w:r>
            <w:proofErr w:type="spellStart"/>
            <w:r w:rsidRPr="007E0AF4">
              <w:rPr>
                <w:b/>
                <w:sz w:val="22"/>
              </w:rPr>
              <w:t>вимірювання</w:t>
            </w:r>
            <w:proofErr w:type="spellEnd"/>
          </w:p>
          <w:p w:rsidR="00654133" w:rsidRPr="007E0AF4" w:rsidRDefault="00654133" w:rsidP="00F34B87">
            <w:pPr>
              <w:pStyle w:val="a7"/>
              <w:ind w:left="0"/>
              <w:rPr>
                <w:b/>
                <w:sz w:val="22"/>
              </w:rPr>
            </w:pPr>
          </w:p>
        </w:tc>
        <w:tc>
          <w:tcPr>
            <w:tcW w:w="1701" w:type="dxa"/>
            <w:gridSpan w:val="2"/>
            <w:tcBorders>
              <w:left w:val="single" w:sz="4" w:space="0" w:color="auto"/>
              <w:bottom w:val="single" w:sz="4" w:space="0" w:color="auto"/>
            </w:tcBorders>
          </w:tcPr>
          <w:p w:rsidR="00654133" w:rsidRPr="007E0AF4" w:rsidRDefault="00654133" w:rsidP="00F34B87">
            <w:pPr>
              <w:pStyle w:val="a7"/>
              <w:ind w:left="0"/>
              <w:jc w:val="center"/>
              <w:rPr>
                <w:b/>
                <w:sz w:val="22"/>
              </w:rPr>
            </w:pPr>
            <w:proofErr w:type="spellStart"/>
            <w:r w:rsidRPr="007E0AF4">
              <w:rPr>
                <w:b/>
                <w:sz w:val="22"/>
              </w:rPr>
              <w:t>Прогнозне</w:t>
            </w:r>
            <w:proofErr w:type="spellEnd"/>
            <w:r w:rsidRPr="007E0AF4">
              <w:rPr>
                <w:b/>
                <w:sz w:val="22"/>
              </w:rPr>
              <w:t xml:space="preserve"> (</w:t>
            </w:r>
            <w:proofErr w:type="spellStart"/>
            <w:r w:rsidRPr="007E0AF4">
              <w:rPr>
                <w:b/>
                <w:sz w:val="22"/>
              </w:rPr>
              <w:t>цільове</w:t>
            </w:r>
            <w:proofErr w:type="spellEnd"/>
            <w:r w:rsidRPr="007E0AF4">
              <w:rPr>
                <w:b/>
                <w:sz w:val="22"/>
              </w:rPr>
              <w:t xml:space="preserve">) </w:t>
            </w:r>
            <w:proofErr w:type="spellStart"/>
            <w:r w:rsidRPr="007E0AF4">
              <w:rPr>
                <w:b/>
                <w:sz w:val="22"/>
              </w:rPr>
              <w:t>значення</w:t>
            </w:r>
            <w:proofErr w:type="spellEnd"/>
          </w:p>
        </w:tc>
      </w:tr>
      <w:tr w:rsidR="00654133" w:rsidRPr="007E0AF4" w:rsidTr="00F34B87">
        <w:trPr>
          <w:trHeight w:val="585"/>
        </w:trPr>
        <w:tc>
          <w:tcPr>
            <w:tcW w:w="2978" w:type="dxa"/>
            <w:vMerge/>
            <w:shd w:val="clear" w:color="auto" w:fill="C6D9F1" w:themeFill="text2" w:themeFillTint="33"/>
          </w:tcPr>
          <w:p w:rsidR="00654133" w:rsidRPr="007E0AF4" w:rsidRDefault="00654133" w:rsidP="00F34B87">
            <w:pPr>
              <w:pStyle w:val="a7"/>
              <w:ind w:left="0"/>
              <w:rPr>
                <w:b/>
                <w:sz w:val="22"/>
              </w:rPr>
            </w:pPr>
          </w:p>
        </w:tc>
        <w:tc>
          <w:tcPr>
            <w:tcW w:w="3260" w:type="dxa"/>
            <w:gridSpan w:val="3"/>
            <w:tcBorders>
              <w:top w:val="single" w:sz="4" w:space="0" w:color="auto"/>
              <w:bottom w:val="single" w:sz="4" w:space="0" w:color="auto"/>
              <w:right w:val="single" w:sz="4" w:space="0" w:color="auto"/>
            </w:tcBorders>
          </w:tcPr>
          <w:p w:rsidR="00654133" w:rsidRPr="007E0AF4" w:rsidRDefault="00654133" w:rsidP="00F34B87">
            <w:pPr>
              <w:pStyle w:val="a7"/>
              <w:ind w:left="0"/>
              <w:jc w:val="center"/>
              <w:rPr>
                <w:sz w:val="22"/>
              </w:rPr>
            </w:pPr>
            <w:proofErr w:type="spellStart"/>
            <w:r w:rsidRPr="007E0AF4">
              <w:rPr>
                <w:sz w:val="22"/>
              </w:rPr>
              <w:t>Кількість</w:t>
            </w:r>
            <w:proofErr w:type="spellEnd"/>
            <w:r w:rsidRPr="007E0AF4">
              <w:rPr>
                <w:sz w:val="22"/>
              </w:rPr>
              <w:t xml:space="preserve"> </w:t>
            </w:r>
            <w:proofErr w:type="spellStart"/>
            <w:r w:rsidRPr="007E0AF4">
              <w:rPr>
                <w:sz w:val="22"/>
              </w:rPr>
              <w:t>фізичних</w:t>
            </w:r>
            <w:proofErr w:type="spellEnd"/>
            <w:r w:rsidRPr="007E0AF4">
              <w:rPr>
                <w:sz w:val="22"/>
              </w:rPr>
              <w:t xml:space="preserve"> </w:t>
            </w:r>
            <w:proofErr w:type="spellStart"/>
            <w:r w:rsidRPr="007E0AF4">
              <w:rPr>
                <w:sz w:val="22"/>
              </w:rPr>
              <w:t>осіб</w:t>
            </w:r>
            <w:proofErr w:type="spellEnd"/>
            <w:r w:rsidRPr="007E0AF4">
              <w:rPr>
                <w:sz w:val="22"/>
              </w:rPr>
              <w:t xml:space="preserve">, </w:t>
            </w:r>
            <w:proofErr w:type="spellStart"/>
            <w:r w:rsidRPr="007E0AF4">
              <w:rPr>
                <w:sz w:val="22"/>
              </w:rPr>
              <w:t>які</w:t>
            </w:r>
            <w:proofErr w:type="spellEnd"/>
            <w:r w:rsidRPr="007E0AF4">
              <w:rPr>
                <w:sz w:val="22"/>
              </w:rPr>
              <w:t xml:space="preserve"> </w:t>
            </w:r>
            <w:proofErr w:type="spellStart"/>
            <w:r w:rsidRPr="007E0AF4">
              <w:rPr>
                <w:sz w:val="22"/>
              </w:rPr>
              <w:t>звернулись</w:t>
            </w:r>
            <w:proofErr w:type="spellEnd"/>
            <w:r w:rsidRPr="007E0AF4">
              <w:rPr>
                <w:sz w:val="22"/>
              </w:rPr>
              <w:t xml:space="preserve"> за </w:t>
            </w:r>
            <w:proofErr w:type="spellStart"/>
            <w:r w:rsidRPr="007E0AF4">
              <w:rPr>
                <w:sz w:val="22"/>
              </w:rPr>
              <w:t>послугами</w:t>
            </w:r>
            <w:proofErr w:type="spellEnd"/>
            <w:r w:rsidRPr="007E0AF4">
              <w:rPr>
                <w:sz w:val="22"/>
              </w:rPr>
              <w:t xml:space="preserve"> </w:t>
            </w:r>
            <w:proofErr w:type="spellStart"/>
            <w:proofErr w:type="gramStart"/>
            <w:r w:rsidRPr="007E0AF4">
              <w:rPr>
                <w:sz w:val="22"/>
              </w:rPr>
              <w:t>протягом</w:t>
            </w:r>
            <w:proofErr w:type="spellEnd"/>
            <w:r w:rsidRPr="007E0AF4">
              <w:rPr>
                <w:sz w:val="22"/>
              </w:rPr>
              <w:t xml:space="preserve">  року</w:t>
            </w:r>
            <w:proofErr w:type="gramEnd"/>
          </w:p>
        </w:tc>
        <w:tc>
          <w:tcPr>
            <w:tcW w:w="1984" w:type="dxa"/>
            <w:gridSpan w:val="2"/>
            <w:tcBorders>
              <w:top w:val="single" w:sz="4" w:space="0" w:color="auto"/>
              <w:left w:val="single" w:sz="4" w:space="0" w:color="auto"/>
              <w:bottom w:val="single" w:sz="4" w:space="0" w:color="auto"/>
              <w:right w:val="single" w:sz="4" w:space="0" w:color="auto"/>
            </w:tcBorders>
            <w:vAlign w:val="center"/>
          </w:tcPr>
          <w:p w:rsidR="00654133" w:rsidRPr="007E0AF4" w:rsidRDefault="00654133" w:rsidP="00F34B87">
            <w:pPr>
              <w:pStyle w:val="a7"/>
              <w:ind w:left="0"/>
              <w:jc w:val="center"/>
              <w:rPr>
                <w:sz w:val="22"/>
              </w:rPr>
            </w:pPr>
            <w:proofErr w:type="spellStart"/>
            <w:r w:rsidRPr="007E0AF4">
              <w:rPr>
                <w:sz w:val="22"/>
              </w:rPr>
              <w:t>осіб</w:t>
            </w:r>
            <w:proofErr w:type="spellEnd"/>
          </w:p>
        </w:tc>
        <w:tc>
          <w:tcPr>
            <w:tcW w:w="1701" w:type="dxa"/>
            <w:gridSpan w:val="2"/>
            <w:tcBorders>
              <w:top w:val="single" w:sz="4" w:space="0" w:color="auto"/>
              <w:left w:val="single" w:sz="4" w:space="0" w:color="auto"/>
              <w:bottom w:val="single" w:sz="4" w:space="0" w:color="auto"/>
            </w:tcBorders>
          </w:tcPr>
          <w:p w:rsidR="00654133" w:rsidRPr="007E0AF4" w:rsidRDefault="00654133" w:rsidP="00F34B87">
            <w:pPr>
              <w:pStyle w:val="a7"/>
              <w:ind w:left="0"/>
              <w:jc w:val="center"/>
              <w:rPr>
                <w:b/>
                <w:sz w:val="22"/>
              </w:rPr>
            </w:pPr>
            <w:r w:rsidRPr="007E0AF4">
              <w:rPr>
                <w:sz w:val="22"/>
              </w:rPr>
              <w:t>600</w:t>
            </w:r>
          </w:p>
        </w:tc>
      </w:tr>
      <w:tr w:rsidR="00654133" w:rsidRPr="007E0AF4" w:rsidTr="00F34B87">
        <w:trPr>
          <w:trHeight w:val="184"/>
        </w:trPr>
        <w:tc>
          <w:tcPr>
            <w:tcW w:w="2978" w:type="dxa"/>
            <w:vMerge/>
            <w:shd w:val="clear" w:color="auto" w:fill="C6D9F1" w:themeFill="text2" w:themeFillTint="33"/>
          </w:tcPr>
          <w:p w:rsidR="00654133" w:rsidRPr="007E0AF4" w:rsidRDefault="00654133" w:rsidP="00F34B87">
            <w:pPr>
              <w:pStyle w:val="a7"/>
              <w:ind w:left="0"/>
              <w:rPr>
                <w:b/>
                <w:sz w:val="22"/>
              </w:rPr>
            </w:pPr>
          </w:p>
        </w:tc>
        <w:tc>
          <w:tcPr>
            <w:tcW w:w="3260" w:type="dxa"/>
            <w:gridSpan w:val="3"/>
            <w:tcBorders>
              <w:top w:val="single" w:sz="4" w:space="0" w:color="auto"/>
              <w:bottom w:val="single" w:sz="4" w:space="0" w:color="auto"/>
              <w:right w:val="single" w:sz="4" w:space="0" w:color="auto"/>
            </w:tcBorders>
          </w:tcPr>
          <w:p w:rsidR="00654133" w:rsidRPr="007E0AF4" w:rsidRDefault="00654133" w:rsidP="00F34B87">
            <w:pPr>
              <w:pStyle w:val="a7"/>
              <w:ind w:left="0"/>
              <w:jc w:val="center"/>
              <w:rPr>
                <w:sz w:val="22"/>
              </w:rPr>
            </w:pPr>
            <w:proofErr w:type="spellStart"/>
            <w:r w:rsidRPr="007E0AF4">
              <w:rPr>
                <w:sz w:val="22"/>
              </w:rPr>
              <w:t>Кількість</w:t>
            </w:r>
            <w:proofErr w:type="spellEnd"/>
            <w:r w:rsidRPr="007E0AF4">
              <w:rPr>
                <w:sz w:val="22"/>
              </w:rPr>
              <w:t xml:space="preserve"> </w:t>
            </w:r>
            <w:proofErr w:type="spellStart"/>
            <w:r w:rsidRPr="007E0AF4">
              <w:rPr>
                <w:sz w:val="22"/>
              </w:rPr>
              <w:t>видів</w:t>
            </w:r>
            <w:proofErr w:type="spellEnd"/>
            <w:r w:rsidRPr="007E0AF4">
              <w:rPr>
                <w:sz w:val="22"/>
              </w:rPr>
              <w:t xml:space="preserve"> та </w:t>
            </w:r>
            <w:proofErr w:type="spellStart"/>
            <w:r w:rsidRPr="007E0AF4">
              <w:rPr>
                <w:sz w:val="22"/>
              </w:rPr>
              <w:t>типів</w:t>
            </w:r>
            <w:proofErr w:type="spellEnd"/>
            <w:r w:rsidRPr="007E0AF4">
              <w:rPr>
                <w:sz w:val="22"/>
              </w:rPr>
              <w:t xml:space="preserve"> </w:t>
            </w:r>
            <w:proofErr w:type="spellStart"/>
            <w:r w:rsidRPr="007E0AF4">
              <w:rPr>
                <w:sz w:val="22"/>
              </w:rPr>
              <w:t>послуг</w:t>
            </w:r>
            <w:proofErr w:type="spellEnd"/>
            <w:r w:rsidR="00B16E0F" w:rsidRPr="007E0AF4">
              <w:rPr>
                <w:sz w:val="22"/>
              </w:rPr>
              <w:t>,</w:t>
            </w:r>
            <w:r w:rsidRPr="007E0AF4">
              <w:rPr>
                <w:sz w:val="22"/>
              </w:rPr>
              <w:t xml:space="preserve"> </w:t>
            </w:r>
            <w:proofErr w:type="spellStart"/>
            <w:r w:rsidRPr="007E0AF4">
              <w:rPr>
                <w:sz w:val="22"/>
              </w:rPr>
              <w:t>наданих</w:t>
            </w:r>
            <w:proofErr w:type="spellEnd"/>
            <w:r w:rsidRPr="007E0AF4">
              <w:rPr>
                <w:sz w:val="22"/>
              </w:rPr>
              <w:t xml:space="preserve"> </w:t>
            </w:r>
            <w:proofErr w:type="spellStart"/>
            <w:r w:rsidRPr="007E0AF4">
              <w:rPr>
                <w:sz w:val="22"/>
              </w:rPr>
              <w:t>протягом</w:t>
            </w:r>
            <w:proofErr w:type="spellEnd"/>
            <w:r w:rsidRPr="007E0AF4">
              <w:rPr>
                <w:sz w:val="22"/>
              </w:rPr>
              <w:t xml:space="preserve"> одно </w:t>
            </w:r>
            <w:proofErr w:type="spellStart"/>
            <w:r w:rsidRPr="007E0AF4">
              <w:rPr>
                <w:sz w:val="22"/>
              </w:rPr>
              <w:t>робочого</w:t>
            </w:r>
            <w:proofErr w:type="spellEnd"/>
            <w:r w:rsidRPr="007E0AF4">
              <w:rPr>
                <w:sz w:val="22"/>
              </w:rPr>
              <w:t xml:space="preserve"> дня</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654133" w:rsidRPr="007E0AF4" w:rsidRDefault="00654133" w:rsidP="00F34B87">
            <w:pPr>
              <w:pStyle w:val="a7"/>
              <w:ind w:left="0"/>
              <w:jc w:val="center"/>
              <w:rPr>
                <w:sz w:val="22"/>
              </w:rPr>
            </w:pPr>
            <w:proofErr w:type="spellStart"/>
            <w:r w:rsidRPr="007E0AF4">
              <w:rPr>
                <w:sz w:val="22"/>
              </w:rPr>
              <w:t>одиниць</w:t>
            </w:r>
            <w:proofErr w:type="spellEnd"/>
          </w:p>
        </w:tc>
        <w:tc>
          <w:tcPr>
            <w:tcW w:w="1701" w:type="dxa"/>
            <w:gridSpan w:val="2"/>
            <w:tcBorders>
              <w:top w:val="single" w:sz="4" w:space="0" w:color="auto"/>
              <w:left w:val="single" w:sz="4" w:space="0" w:color="auto"/>
              <w:bottom w:val="single" w:sz="4" w:space="0" w:color="auto"/>
            </w:tcBorders>
          </w:tcPr>
          <w:p w:rsidR="00654133" w:rsidRPr="007E0AF4" w:rsidRDefault="00654133" w:rsidP="00F34B87">
            <w:pPr>
              <w:pStyle w:val="a7"/>
              <w:ind w:left="0"/>
              <w:jc w:val="center"/>
              <w:rPr>
                <w:sz w:val="22"/>
              </w:rPr>
            </w:pPr>
            <w:r w:rsidRPr="007E0AF4">
              <w:rPr>
                <w:sz w:val="22"/>
              </w:rPr>
              <w:t>18</w:t>
            </w:r>
          </w:p>
        </w:tc>
      </w:tr>
      <w:tr w:rsidR="00654133" w:rsidRPr="007E0AF4" w:rsidTr="00F34B87">
        <w:trPr>
          <w:trHeight w:val="150"/>
        </w:trPr>
        <w:tc>
          <w:tcPr>
            <w:tcW w:w="2978" w:type="dxa"/>
            <w:vMerge/>
            <w:shd w:val="clear" w:color="auto" w:fill="C6D9F1" w:themeFill="text2" w:themeFillTint="33"/>
          </w:tcPr>
          <w:p w:rsidR="00654133" w:rsidRPr="007E0AF4" w:rsidRDefault="00654133" w:rsidP="00F34B87">
            <w:pPr>
              <w:pStyle w:val="a7"/>
              <w:ind w:left="0"/>
              <w:rPr>
                <w:b/>
                <w:sz w:val="22"/>
              </w:rPr>
            </w:pPr>
          </w:p>
        </w:tc>
        <w:tc>
          <w:tcPr>
            <w:tcW w:w="3260" w:type="dxa"/>
            <w:gridSpan w:val="3"/>
            <w:tcBorders>
              <w:top w:val="single" w:sz="4" w:space="0" w:color="auto"/>
              <w:right w:val="single" w:sz="4" w:space="0" w:color="auto"/>
            </w:tcBorders>
          </w:tcPr>
          <w:p w:rsidR="00654133" w:rsidRPr="007E0AF4" w:rsidRDefault="00654133" w:rsidP="00F34B87">
            <w:pPr>
              <w:pStyle w:val="a7"/>
              <w:ind w:left="0"/>
              <w:jc w:val="center"/>
              <w:rPr>
                <w:sz w:val="22"/>
              </w:rPr>
            </w:pPr>
            <w:proofErr w:type="spellStart"/>
            <w:r w:rsidRPr="007E0AF4">
              <w:rPr>
                <w:sz w:val="22"/>
              </w:rPr>
              <w:t>Термін</w:t>
            </w:r>
            <w:proofErr w:type="spellEnd"/>
            <w:r w:rsidRPr="007E0AF4">
              <w:rPr>
                <w:sz w:val="22"/>
              </w:rPr>
              <w:t xml:space="preserve"> </w:t>
            </w:r>
            <w:proofErr w:type="spellStart"/>
            <w:r w:rsidRPr="007E0AF4">
              <w:rPr>
                <w:sz w:val="22"/>
              </w:rPr>
              <w:t>надання</w:t>
            </w:r>
            <w:proofErr w:type="spellEnd"/>
            <w:r w:rsidRPr="007E0AF4">
              <w:rPr>
                <w:sz w:val="22"/>
              </w:rPr>
              <w:t xml:space="preserve"> </w:t>
            </w:r>
            <w:proofErr w:type="spellStart"/>
            <w:r w:rsidRPr="007E0AF4">
              <w:rPr>
                <w:sz w:val="22"/>
              </w:rPr>
              <w:t>послуги</w:t>
            </w:r>
            <w:proofErr w:type="spellEnd"/>
          </w:p>
        </w:tc>
        <w:tc>
          <w:tcPr>
            <w:tcW w:w="1984" w:type="dxa"/>
            <w:gridSpan w:val="2"/>
            <w:tcBorders>
              <w:top w:val="single" w:sz="4" w:space="0" w:color="auto"/>
              <w:left w:val="single" w:sz="4" w:space="0" w:color="auto"/>
              <w:right w:val="single" w:sz="4" w:space="0" w:color="auto"/>
            </w:tcBorders>
            <w:vAlign w:val="center"/>
          </w:tcPr>
          <w:p w:rsidR="00654133" w:rsidRPr="007E0AF4" w:rsidRDefault="00654133" w:rsidP="00F34B87">
            <w:pPr>
              <w:pStyle w:val="a7"/>
              <w:ind w:left="0"/>
              <w:jc w:val="center"/>
              <w:rPr>
                <w:sz w:val="22"/>
              </w:rPr>
            </w:pPr>
            <w:r w:rsidRPr="007E0AF4">
              <w:rPr>
                <w:sz w:val="22"/>
              </w:rPr>
              <w:t>день</w:t>
            </w:r>
          </w:p>
        </w:tc>
        <w:tc>
          <w:tcPr>
            <w:tcW w:w="1701" w:type="dxa"/>
            <w:gridSpan w:val="2"/>
            <w:tcBorders>
              <w:top w:val="single" w:sz="4" w:space="0" w:color="auto"/>
              <w:left w:val="single" w:sz="4" w:space="0" w:color="auto"/>
            </w:tcBorders>
          </w:tcPr>
          <w:p w:rsidR="00654133" w:rsidRPr="007E0AF4" w:rsidRDefault="00654133" w:rsidP="00F34B87">
            <w:pPr>
              <w:pStyle w:val="a7"/>
              <w:ind w:left="0"/>
              <w:jc w:val="center"/>
              <w:rPr>
                <w:sz w:val="22"/>
              </w:rPr>
            </w:pPr>
            <w:r w:rsidRPr="007E0AF4">
              <w:rPr>
                <w:sz w:val="22"/>
              </w:rPr>
              <w:t>365</w:t>
            </w:r>
          </w:p>
        </w:tc>
      </w:tr>
      <w:tr w:rsidR="00654133" w:rsidRPr="007E0AF4" w:rsidTr="00F34B87">
        <w:trPr>
          <w:trHeight w:val="150"/>
        </w:trPr>
        <w:tc>
          <w:tcPr>
            <w:tcW w:w="2978" w:type="dxa"/>
            <w:shd w:val="clear" w:color="auto" w:fill="C6D9F1" w:themeFill="text2" w:themeFillTint="33"/>
          </w:tcPr>
          <w:p w:rsidR="00654133" w:rsidRPr="007E0AF4" w:rsidRDefault="00654133" w:rsidP="00F34B87">
            <w:pPr>
              <w:pStyle w:val="a7"/>
              <w:ind w:left="0"/>
              <w:rPr>
                <w:b/>
                <w:sz w:val="22"/>
              </w:rPr>
            </w:pPr>
          </w:p>
        </w:tc>
        <w:tc>
          <w:tcPr>
            <w:tcW w:w="3260" w:type="dxa"/>
            <w:gridSpan w:val="3"/>
            <w:tcBorders>
              <w:top w:val="single" w:sz="4" w:space="0" w:color="auto"/>
              <w:right w:val="single" w:sz="4" w:space="0" w:color="auto"/>
            </w:tcBorders>
          </w:tcPr>
          <w:p w:rsidR="00654133" w:rsidRPr="007E0AF4" w:rsidRDefault="00654133" w:rsidP="00B16E0F">
            <w:pPr>
              <w:pStyle w:val="a7"/>
              <w:ind w:left="0"/>
              <w:jc w:val="center"/>
              <w:rPr>
                <w:sz w:val="22"/>
              </w:rPr>
            </w:pPr>
            <w:proofErr w:type="spellStart"/>
            <w:r w:rsidRPr="007E0AF4">
              <w:rPr>
                <w:sz w:val="22"/>
              </w:rPr>
              <w:t>Кількість</w:t>
            </w:r>
            <w:proofErr w:type="spellEnd"/>
            <w:r w:rsidRPr="007E0AF4">
              <w:rPr>
                <w:sz w:val="22"/>
              </w:rPr>
              <w:t xml:space="preserve"> </w:t>
            </w:r>
            <w:proofErr w:type="spellStart"/>
            <w:r w:rsidRPr="007E0AF4">
              <w:rPr>
                <w:sz w:val="22"/>
              </w:rPr>
              <w:t>населених</w:t>
            </w:r>
            <w:proofErr w:type="spellEnd"/>
            <w:r w:rsidRPr="007E0AF4">
              <w:rPr>
                <w:sz w:val="22"/>
              </w:rPr>
              <w:t xml:space="preserve"> </w:t>
            </w:r>
            <w:proofErr w:type="spellStart"/>
            <w:r w:rsidRPr="007E0AF4">
              <w:rPr>
                <w:sz w:val="22"/>
              </w:rPr>
              <w:t>пунктів</w:t>
            </w:r>
            <w:proofErr w:type="spellEnd"/>
            <w:r w:rsidRPr="007E0AF4">
              <w:rPr>
                <w:sz w:val="22"/>
              </w:rPr>
              <w:t xml:space="preserve">, </w:t>
            </w:r>
            <w:proofErr w:type="spellStart"/>
            <w:r w:rsidRPr="007E0AF4">
              <w:rPr>
                <w:sz w:val="22"/>
              </w:rPr>
              <w:t>як</w:t>
            </w:r>
            <w:r w:rsidR="00B16E0F" w:rsidRPr="007E0AF4">
              <w:rPr>
                <w:sz w:val="22"/>
              </w:rPr>
              <w:t>і</w:t>
            </w:r>
            <w:proofErr w:type="spellEnd"/>
            <w:r w:rsidRPr="007E0AF4">
              <w:rPr>
                <w:sz w:val="22"/>
              </w:rPr>
              <w:t xml:space="preserve"> </w:t>
            </w:r>
            <w:proofErr w:type="spellStart"/>
            <w:r w:rsidRPr="007E0AF4">
              <w:rPr>
                <w:sz w:val="22"/>
              </w:rPr>
              <w:t>обслуговує</w:t>
            </w:r>
            <w:proofErr w:type="spellEnd"/>
            <w:r w:rsidRPr="007E0AF4">
              <w:rPr>
                <w:sz w:val="22"/>
              </w:rPr>
              <w:t xml:space="preserve"> </w:t>
            </w:r>
            <w:r w:rsidR="00B16E0F" w:rsidRPr="007E0AF4">
              <w:rPr>
                <w:sz w:val="22"/>
              </w:rPr>
              <w:t>заклад</w:t>
            </w:r>
          </w:p>
        </w:tc>
        <w:tc>
          <w:tcPr>
            <w:tcW w:w="1984" w:type="dxa"/>
            <w:gridSpan w:val="2"/>
            <w:tcBorders>
              <w:top w:val="single" w:sz="4" w:space="0" w:color="auto"/>
              <w:left w:val="single" w:sz="4" w:space="0" w:color="auto"/>
              <w:right w:val="single" w:sz="4" w:space="0" w:color="auto"/>
            </w:tcBorders>
            <w:vAlign w:val="center"/>
          </w:tcPr>
          <w:p w:rsidR="00654133" w:rsidRPr="007E0AF4" w:rsidRDefault="00654133" w:rsidP="00F34B87">
            <w:pPr>
              <w:pStyle w:val="a7"/>
              <w:ind w:left="0"/>
              <w:jc w:val="center"/>
              <w:rPr>
                <w:sz w:val="22"/>
              </w:rPr>
            </w:pPr>
            <w:proofErr w:type="spellStart"/>
            <w:r w:rsidRPr="007E0AF4">
              <w:rPr>
                <w:sz w:val="22"/>
              </w:rPr>
              <w:t>одиниць</w:t>
            </w:r>
            <w:proofErr w:type="spellEnd"/>
          </w:p>
        </w:tc>
        <w:tc>
          <w:tcPr>
            <w:tcW w:w="1701" w:type="dxa"/>
            <w:gridSpan w:val="2"/>
            <w:tcBorders>
              <w:top w:val="single" w:sz="4" w:space="0" w:color="auto"/>
              <w:left w:val="single" w:sz="4" w:space="0" w:color="auto"/>
            </w:tcBorders>
          </w:tcPr>
          <w:p w:rsidR="00654133" w:rsidRPr="007E0AF4" w:rsidRDefault="00654133" w:rsidP="00F34B87">
            <w:pPr>
              <w:pStyle w:val="a7"/>
              <w:ind w:left="0"/>
              <w:jc w:val="center"/>
              <w:rPr>
                <w:sz w:val="22"/>
              </w:rPr>
            </w:pPr>
            <w:r w:rsidRPr="007E0AF4">
              <w:rPr>
                <w:sz w:val="22"/>
              </w:rPr>
              <w:t>20</w:t>
            </w:r>
            <w:r w:rsidRPr="007E0AF4">
              <w:rPr>
                <w:color w:val="FF0000"/>
                <w:sz w:val="22"/>
              </w:rPr>
              <w:t xml:space="preserve"> </w:t>
            </w:r>
          </w:p>
        </w:tc>
      </w:tr>
      <w:tr w:rsidR="00654133" w:rsidRPr="007E0AF4" w:rsidTr="00F34B87">
        <w:tc>
          <w:tcPr>
            <w:tcW w:w="2978" w:type="dxa"/>
            <w:shd w:val="clear" w:color="auto" w:fill="C6D9F1" w:themeFill="text2" w:themeFillTint="33"/>
          </w:tcPr>
          <w:p w:rsidR="00654133" w:rsidRPr="007E0AF4" w:rsidRDefault="00654133" w:rsidP="00F34B87">
            <w:pPr>
              <w:rPr>
                <w:b/>
                <w:sz w:val="22"/>
              </w:rPr>
            </w:pPr>
            <w:proofErr w:type="spellStart"/>
            <w:r w:rsidRPr="007E0AF4">
              <w:rPr>
                <w:b/>
                <w:sz w:val="22"/>
              </w:rPr>
              <w:t>Ключові</w:t>
            </w:r>
            <w:proofErr w:type="spellEnd"/>
            <w:r w:rsidRPr="007E0AF4">
              <w:rPr>
                <w:b/>
                <w:sz w:val="22"/>
              </w:rPr>
              <w:t xml:space="preserve"> заходи проекту: </w:t>
            </w:r>
          </w:p>
          <w:p w:rsidR="00654133" w:rsidRPr="007E0AF4" w:rsidRDefault="00654133" w:rsidP="00F34B87">
            <w:pPr>
              <w:pStyle w:val="a7"/>
              <w:ind w:left="0"/>
              <w:rPr>
                <w:b/>
                <w:sz w:val="22"/>
              </w:rPr>
            </w:pPr>
          </w:p>
        </w:tc>
        <w:tc>
          <w:tcPr>
            <w:tcW w:w="6945" w:type="dxa"/>
            <w:gridSpan w:val="7"/>
          </w:tcPr>
          <w:p w:rsidR="00654133" w:rsidRPr="007E0AF4" w:rsidRDefault="00654133" w:rsidP="00F34B87">
            <w:pPr>
              <w:pStyle w:val="a7"/>
              <w:ind w:left="0"/>
              <w:rPr>
                <w:sz w:val="22"/>
              </w:rPr>
            </w:pPr>
            <w:r w:rsidRPr="007E0AF4">
              <w:rPr>
                <w:sz w:val="22"/>
              </w:rPr>
              <w:t xml:space="preserve">- </w:t>
            </w:r>
            <w:proofErr w:type="spellStart"/>
            <w:r w:rsidRPr="007E0AF4">
              <w:rPr>
                <w:sz w:val="22"/>
              </w:rPr>
              <w:t>обстеження</w:t>
            </w:r>
            <w:proofErr w:type="spellEnd"/>
            <w:r w:rsidRPr="007E0AF4">
              <w:rPr>
                <w:sz w:val="22"/>
              </w:rPr>
              <w:t xml:space="preserve"> стану спортивного </w:t>
            </w:r>
            <w:proofErr w:type="spellStart"/>
            <w:r w:rsidRPr="007E0AF4">
              <w:rPr>
                <w:sz w:val="22"/>
              </w:rPr>
              <w:t>майданчика</w:t>
            </w:r>
            <w:proofErr w:type="spellEnd"/>
            <w:r w:rsidRPr="007E0AF4">
              <w:rPr>
                <w:sz w:val="22"/>
              </w:rPr>
              <w:t xml:space="preserve"> та </w:t>
            </w:r>
            <w:proofErr w:type="spellStart"/>
            <w:r w:rsidRPr="007E0AF4">
              <w:rPr>
                <w:sz w:val="22"/>
              </w:rPr>
              <w:t>стадіону</w:t>
            </w:r>
            <w:proofErr w:type="spellEnd"/>
            <w:r w:rsidRPr="007E0AF4">
              <w:rPr>
                <w:sz w:val="22"/>
              </w:rPr>
              <w:t xml:space="preserve"> закладу;</w:t>
            </w:r>
          </w:p>
          <w:p w:rsidR="00654133" w:rsidRPr="007E0AF4" w:rsidRDefault="00654133" w:rsidP="00F34B87">
            <w:pPr>
              <w:pStyle w:val="a7"/>
              <w:ind w:left="0"/>
              <w:rPr>
                <w:sz w:val="22"/>
              </w:rPr>
            </w:pPr>
            <w:r w:rsidRPr="007E0AF4">
              <w:rPr>
                <w:sz w:val="22"/>
              </w:rPr>
              <w:t xml:space="preserve">- </w:t>
            </w:r>
            <w:proofErr w:type="spellStart"/>
            <w:r w:rsidRPr="007E0AF4">
              <w:rPr>
                <w:sz w:val="22"/>
              </w:rPr>
              <w:t>проведення</w:t>
            </w:r>
            <w:proofErr w:type="spellEnd"/>
            <w:r w:rsidRPr="007E0AF4">
              <w:rPr>
                <w:sz w:val="22"/>
              </w:rPr>
              <w:t xml:space="preserve"> </w:t>
            </w:r>
            <w:proofErr w:type="spellStart"/>
            <w:r w:rsidRPr="007E0AF4">
              <w:rPr>
                <w:sz w:val="22"/>
              </w:rPr>
              <w:t>інвентаризації</w:t>
            </w:r>
            <w:proofErr w:type="spellEnd"/>
            <w:r w:rsidRPr="007E0AF4">
              <w:rPr>
                <w:sz w:val="22"/>
              </w:rPr>
              <w:t xml:space="preserve"> </w:t>
            </w:r>
            <w:proofErr w:type="spellStart"/>
            <w:r w:rsidRPr="007E0AF4">
              <w:rPr>
                <w:sz w:val="22"/>
              </w:rPr>
              <w:t>основних</w:t>
            </w:r>
            <w:proofErr w:type="spellEnd"/>
            <w:r w:rsidRPr="007E0AF4">
              <w:rPr>
                <w:sz w:val="22"/>
              </w:rPr>
              <w:t xml:space="preserve"> </w:t>
            </w:r>
            <w:proofErr w:type="spellStart"/>
            <w:r w:rsidRPr="007E0AF4">
              <w:rPr>
                <w:sz w:val="22"/>
              </w:rPr>
              <w:t>засобів</w:t>
            </w:r>
            <w:proofErr w:type="spellEnd"/>
            <w:r w:rsidRPr="007E0AF4">
              <w:rPr>
                <w:sz w:val="22"/>
              </w:rPr>
              <w:t xml:space="preserve">; </w:t>
            </w:r>
          </w:p>
          <w:p w:rsidR="00654133" w:rsidRPr="007E0AF4" w:rsidRDefault="00654133" w:rsidP="00F34B87">
            <w:pPr>
              <w:pStyle w:val="a7"/>
              <w:ind w:left="0"/>
              <w:rPr>
                <w:sz w:val="22"/>
              </w:rPr>
            </w:pPr>
            <w:r w:rsidRPr="007E0AF4">
              <w:rPr>
                <w:sz w:val="22"/>
              </w:rPr>
              <w:t xml:space="preserve">- </w:t>
            </w:r>
            <w:proofErr w:type="spellStart"/>
            <w:r w:rsidRPr="007E0AF4">
              <w:rPr>
                <w:sz w:val="22"/>
              </w:rPr>
              <w:t>визначення</w:t>
            </w:r>
            <w:proofErr w:type="spellEnd"/>
            <w:r w:rsidRPr="007E0AF4">
              <w:rPr>
                <w:sz w:val="22"/>
              </w:rPr>
              <w:t xml:space="preserve"> </w:t>
            </w:r>
            <w:proofErr w:type="spellStart"/>
            <w:r w:rsidRPr="007E0AF4">
              <w:rPr>
                <w:sz w:val="22"/>
              </w:rPr>
              <w:t>кількості</w:t>
            </w:r>
            <w:proofErr w:type="spellEnd"/>
            <w:r w:rsidRPr="007E0AF4">
              <w:rPr>
                <w:sz w:val="22"/>
              </w:rPr>
              <w:t xml:space="preserve"> </w:t>
            </w:r>
            <w:proofErr w:type="spellStart"/>
            <w:r w:rsidRPr="007E0AF4">
              <w:rPr>
                <w:sz w:val="22"/>
              </w:rPr>
              <w:t>осіб</w:t>
            </w:r>
            <w:proofErr w:type="spellEnd"/>
            <w:r w:rsidRPr="007E0AF4">
              <w:rPr>
                <w:sz w:val="22"/>
              </w:rPr>
              <w:t xml:space="preserve">, </w:t>
            </w:r>
            <w:proofErr w:type="spellStart"/>
            <w:r w:rsidRPr="007E0AF4">
              <w:rPr>
                <w:sz w:val="22"/>
              </w:rPr>
              <w:t>які</w:t>
            </w:r>
            <w:proofErr w:type="spellEnd"/>
            <w:r w:rsidRPr="007E0AF4">
              <w:rPr>
                <w:sz w:val="22"/>
              </w:rPr>
              <w:t xml:space="preserve"> </w:t>
            </w:r>
            <w:proofErr w:type="spellStart"/>
            <w:r w:rsidRPr="007E0AF4">
              <w:rPr>
                <w:sz w:val="22"/>
              </w:rPr>
              <w:t>потребують</w:t>
            </w:r>
            <w:proofErr w:type="spellEnd"/>
            <w:r w:rsidRPr="007E0AF4">
              <w:rPr>
                <w:sz w:val="22"/>
              </w:rPr>
              <w:t xml:space="preserve"> </w:t>
            </w:r>
            <w:proofErr w:type="spellStart"/>
            <w:r w:rsidRPr="007E0AF4">
              <w:rPr>
                <w:sz w:val="22"/>
              </w:rPr>
              <w:t>отримання</w:t>
            </w:r>
            <w:proofErr w:type="spellEnd"/>
            <w:r w:rsidRPr="007E0AF4">
              <w:rPr>
                <w:sz w:val="22"/>
              </w:rPr>
              <w:t xml:space="preserve"> </w:t>
            </w:r>
            <w:proofErr w:type="spellStart"/>
            <w:proofErr w:type="gramStart"/>
            <w:r w:rsidRPr="007E0AF4">
              <w:rPr>
                <w:sz w:val="22"/>
              </w:rPr>
              <w:t>освітніх</w:t>
            </w:r>
            <w:proofErr w:type="spellEnd"/>
            <w:r w:rsidRPr="007E0AF4">
              <w:rPr>
                <w:sz w:val="22"/>
              </w:rPr>
              <w:t xml:space="preserve">  </w:t>
            </w:r>
            <w:proofErr w:type="spellStart"/>
            <w:r w:rsidRPr="007E0AF4">
              <w:rPr>
                <w:sz w:val="22"/>
              </w:rPr>
              <w:t>послуг</w:t>
            </w:r>
            <w:proofErr w:type="spellEnd"/>
            <w:proofErr w:type="gramEnd"/>
            <w:r w:rsidRPr="007E0AF4">
              <w:rPr>
                <w:sz w:val="22"/>
              </w:rPr>
              <w:t xml:space="preserve">; </w:t>
            </w:r>
          </w:p>
          <w:p w:rsidR="00654133" w:rsidRPr="007E0AF4" w:rsidRDefault="00654133" w:rsidP="00F34B87">
            <w:pPr>
              <w:pStyle w:val="a7"/>
              <w:ind w:left="0"/>
              <w:rPr>
                <w:sz w:val="22"/>
              </w:rPr>
            </w:pPr>
            <w:r w:rsidRPr="007E0AF4">
              <w:rPr>
                <w:sz w:val="22"/>
              </w:rPr>
              <w:t xml:space="preserve">- </w:t>
            </w:r>
            <w:proofErr w:type="spellStart"/>
            <w:r w:rsidRPr="007E0AF4">
              <w:rPr>
                <w:sz w:val="22"/>
              </w:rPr>
              <w:t>підготовка</w:t>
            </w:r>
            <w:proofErr w:type="spellEnd"/>
            <w:r w:rsidRPr="007E0AF4">
              <w:rPr>
                <w:sz w:val="22"/>
              </w:rPr>
              <w:t xml:space="preserve"> </w:t>
            </w:r>
            <w:proofErr w:type="spellStart"/>
            <w:r w:rsidRPr="007E0AF4">
              <w:rPr>
                <w:sz w:val="22"/>
              </w:rPr>
              <w:t>проєктно-кошторисної</w:t>
            </w:r>
            <w:proofErr w:type="spellEnd"/>
            <w:r w:rsidRPr="007E0AF4">
              <w:rPr>
                <w:sz w:val="22"/>
              </w:rPr>
              <w:t xml:space="preserve"> </w:t>
            </w:r>
            <w:proofErr w:type="spellStart"/>
            <w:r w:rsidRPr="007E0AF4">
              <w:rPr>
                <w:sz w:val="22"/>
              </w:rPr>
              <w:t>документації</w:t>
            </w:r>
            <w:proofErr w:type="spellEnd"/>
            <w:r w:rsidRPr="007E0AF4">
              <w:rPr>
                <w:sz w:val="22"/>
              </w:rPr>
              <w:t>;</w:t>
            </w:r>
          </w:p>
          <w:p w:rsidR="00654133" w:rsidRPr="007E0AF4" w:rsidRDefault="00654133" w:rsidP="00F34B87">
            <w:pPr>
              <w:pStyle w:val="a7"/>
              <w:ind w:left="0"/>
              <w:rPr>
                <w:sz w:val="22"/>
              </w:rPr>
            </w:pPr>
            <w:r w:rsidRPr="007E0AF4">
              <w:rPr>
                <w:sz w:val="22"/>
              </w:rPr>
              <w:t xml:space="preserve"> - </w:t>
            </w:r>
            <w:proofErr w:type="spellStart"/>
            <w:r w:rsidRPr="007E0AF4">
              <w:rPr>
                <w:sz w:val="22"/>
              </w:rPr>
              <w:t>придбання</w:t>
            </w:r>
            <w:proofErr w:type="spellEnd"/>
            <w:r w:rsidRPr="007E0AF4">
              <w:rPr>
                <w:sz w:val="22"/>
              </w:rPr>
              <w:t xml:space="preserve"> </w:t>
            </w:r>
            <w:proofErr w:type="spellStart"/>
            <w:r w:rsidRPr="007E0AF4">
              <w:rPr>
                <w:sz w:val="22"/>
              </w:rPr>
              <w:t>технічного</w:t>
            </w:r>
            <w:proofErr w:type="spellEnd"/>
            <w:r w:rsidRPr="007E0AF4">
              <w:rPr>
                <w:sz w:val="22"/>
              </w:rPr>
              <w:t xml:space="preserve"> </w:t>
            </w:r>
            <w:proofErr w:type="spellStart"/>
            <w:r w:rsidRPr="007E0AF4">
              <w:rPr>
                <w:sz w:val="22"/>
              </w:rPr>
              <w:t>забезпечення</w:t>
            </w:r>
            <w:proofErr w:type="spellEnd"/>
            <w:r w:rsidRPr="007E0AF4">
              <w:rPr>
                <w:sz w:val="22"/>
              </w:rPr>
              <w:t xml:space="preserve"> закладу;</w:t>
            </w:r>
          </w:p>
          <w:p w:rsidR="00654133" w:rsidRPr="007E0AF4" w:rsidRDefault="00654133" w:rsidP="00F34B87">
            <w:pPr>
              <w:pStyle w:val="a7"/>
              <w:ind w:left="0"/>
              <w:rPr>
                <w:sz w:val="22"/>
              </w:rPr>
            </w:pPr>
            <w:r w:rsidRPr="007E0AF4">
              <w:rPr>
                <w:sz w:val="22"/>
              </w:rPr>
              <w:t xml:space="preserve">- </w:t>
            </w:r>
            <w:proofErr w:type="spellStart"/>
            <w:r w:rsidRPr="007E0AF4">
              <w:rPr>
                <w:sz w:val="22"/>
              </w:rPr>
              <w:t>придбання</w:t>
            </w:r>
            <w:proofErr w:type="spellEnd"/>
            <w:r w:rsidRPr="007E0AF4">
              <w:rPr>
                <w:sz w:val="22"/>
              </w:rPr>
              <w:t xml:space="preserve"> </w:t>
            </w:r>
            <w:proofErr w:type="spellStart"/>
            <w:r w:rsidRPr="007E0AF4">
              <w:rPr>
                <w:sz w:val="22"/>
              </w:rPr>
              <w:t>технологічного</w:t>
            </w:r>
            <w:proofErr w:type="spellEnd"/>
            <w:r w:rsidRPr="007E0AF4">
              <w:rPr>
                <w:sz w:val="22"/>
              </w:rPr>
              <w:t xml:space="preserve"> </w:t>
            </w:r>
            <w:proofErr w:type="spellStart"/>
            <w:r w:rsidRPr="007E0AF4">
              <w:rPr>
                <w:sz w:val="22"/>
              </w:rPr>
              <w:t>забезпечення</w:t>
            </w:r>
            <w:proofErr w:type="spellEnd"/>
            <w:r w:rsidRPr="007E0AF4">
              <w:rPr>
                <w:sz w:val="22"/>
              </w:rPr>
              <w:t xml:space="preserve">; </w:t>
            </w:r>
          </w:p>
          <w:p w:rsidR="00654133" w:rsidRPr="007E0AF4" w:rsidRDefault="00654133" w:rsidP="00F34B87">
            <w:pPr>
              <w:pStyle w:val="a7"/>
              <w:ind w:left="0"/>
              <w:rPr>
                <w:sz w:val="22"/>
              </w:rPr>
            </w:pPr>
            <w:r w:rsidRPr="007E0AF4">
              <w:rPr>
                <w:sz w:val="22"/>
              </w:rPr>
              <w:t xml:space="preserve">- демонтаж старого </w:t>
            </w:r>
            <w:proofErr w:type="spellStart"/>
            <w:r w:rsidRPr="007E0AF4">
              <w:rPr>
                <w:sz w:val="22"/>
              </w:rPr>
              <w:t>обладнання</w:t>
            </w:r>
            <w:proofErr w:type="spellEnd"/>
            <w:r w:rsidRPr="007E0AF4">
              <w:rPr>
                <w:sz w:val="22"/>
              </w:rPr>
              <w:t xml:space="preserve"> та </w:t>
            </w:r>
            <w:proofErr w:type="spellStart"/>
            <w:r w:rsidRPr="007E0AF4">
              <w:rPr>
                <w:sz w:val="22"/>
              </w:rPr>
              <w:t>покриття</w:t>
            </w:r>
            <w:proofErr w:type="spellEnd"/>
            <w:r w:rsidRPr="007E0AF4">
              <w:rPr>
                <w:sz w:val="22"/>
              </w:rPr>
              <w:t xml:space="preserve"> спортивного </w:t>
            </w:r>
            <w:proofErr w:type="spellStart"/>
            <w:r w:rsidRPr="007E0AF4">
              <w:rPr>
                <w:sz w:val="22"/>
              </w:rPr>
              <w:t>майданчика</w:t>
            </w:r>
            <w:proofErr w:type="spellEnd"/>
            <w:r w:rsidRPr="007E0AF4">
              <w:rPr>
                <w:sz w:val="22"/>
              </w:rPr>
              <w:t>;</w:t>
            </w:r>
          </w:p>
          <w:p w:rsidR="00654133" w:rsidRPr="007E0AF4" w:rsidRDefault="00654133" w:rsidP="00F34B87">
            <w:pPr>
              <w:pStyle w:val="a7"/>
              <w:ind w:left="0"/>
              <w:rPr>
                <w:sz w:val="22"/>
              </w:rPr>
            </w:pPr>
            <w:r w:rsidRPr="007E0AF4">
              <w:rPr>
                <w:sz w:val="22"/>
              </w:rPr>
              <w:t xml:space="preserve">- демонтаж старого </w:t>
            </w:r>
            <w:proofErr w:type="spellStart"/>
            <w:r w:rsidRPr="007E0AF4">
              <w:rPr>
                <w:sz w:val="22"/>
              </w:rPr>
              <w:t>обладнання</w:t>
            </w:r>
            <w:proofErr w:type="spellEnd"/>
            <w:r w:rsidRPr="007E0AF4">
              <w:rPr>
                <w:sz w:val="22"/>
              </w:rPr>
              <w:t xml:space="preserve"> спортивного поля;</w:t>
            </w:r>
          </w:p>
          <w:p w:rsidR="00654133" w:rsidRPr="007E0AF4" w:rsidRDefault="00654133" w:rsidP="00F34B87">
            <w:pPr>
              <w:pStyle w:val="a7"/>
              <w:ind w:left="0"/>
              <w:rPr>
                <w:sz w:val="22"/>
              </w:rPr>
            </w:pPr>
            <w:r w:rsidRPr="007E0AF4">
              <w:rPr>
                <w:sz w:val="22"/>
              </w:rPr>
              <w:t xml:space="preserve">- </w:t>
            </w:r>
            <w:proofErr w:type="spellStart"/>
            <w:r w:rsidRPr="007E0AF4">
              <w:rPr>
                <w:sz w:val="22"/>
              </w:rPr>
              <w:t>облаштування</w:t>
            </w:r>
            <w:proofErr w:type="spellEnd"/>
            <w:r w:rsidRPr="007E0AF4">
              <w:rPr>
                <w:sz w:val="22"/>
              </w:rPr>
              <w:t xml:space="preserve"> </w:t>
            </w:r>
            <w:proofErr w:type="spellStart"/>
            <w:r w:rsidRPr="007E0AF4">
              <w:rPr>
                <w:sz w:val="22"/>
              </w:rPr>
              <w:t>ями</w:t>
            </w:r>
            <w:proofErr w:type="spellEnd"/>
            <w:r w:rsidRPr="007E0AF4">
              <w:rPr>
                <w:sz w:val="22"/>
              </w:rPr>
              <w:t xml:space="preserve"> для </w:t>
            </w:r>
            <w:proofErr w:type="spellStart"/>
            <w:r w:rsidRPr="007E0AF4">
              <w:rPr>
                <w:sz w:val="22"/>
              </w:rPr>
              <w:t>стрибків</w:t>
            </w:r>
            <w:proofErr w:type="spellEnd"/>
            <w:r w:rsidRPr="007E0AF4">
              <w:rPr>
                <w:sz w:val="22"/>
              </w:rPr>
              <w:t>;</w:t>
            </w:r>
          </w:p>
          <w:p w:rsidR="00654133" w:rsidRPr="007E0AF4" w:rsidRDefault="00654133" w:rsidP="00F34B87">
            <w:pPr>
              <w:pStyle w:val="a7"/>
              <w:ind w:left="0"/>
              <w:rPr>
                <w:sz w:val="22"/>
              </w:rPr>
            </w:pPr>
            <w:r w:rsidRPr="007E0AF4">
              <w:rPr>
                <w:sz w:val="22"/>
              </w:rPr>
              <w:t xml:space="preserve">- </w:t>
            </w:r>
            <w:proofErr w:type="spellStart"/>
            <w:r w:rsidRPr="007E0AF4">
              <w:rPr>
                <w:sz w:val="22"/>
              </w:rPr>
              <w:t>влаштування</w:t>
            </w:r>
            <w:proofErr w:type="spellEnd"/>
            <w:r w:rsidRPr="007E0AF4">
              <w:rPr>
                <w:sz w:val="22"/>
              </w:rPr>
              <w:t xml:space="preserve"> асфальтобетонного </w:t>
            </w:r>
            <w:proofErr w:type="spellStart"/>
            <w:r w:rsidRPr="007E0AF4">
              <w:rPr>
                <w:sz w:val="22"/>
              </w:rPr>
              <w:t>покриття</w:t>
            </w:r>
            <w:proofErr w:type="spellEnd"/>
            <w:r w:rsidRPr="007E0AF4">
              <w:rPr>
                <w:sz w:val="22"/>
              </w:rPr>
              <w:t xml:space="preserve"> </w:t>
            </w:r>
            <w:proofErr w:type="spellStart"/>
            <w:r w:rsidRPr="007E0AF4">
              <w:rPr>
                <w:sz w:val="22"/>
              </w:rPr>
              <w:t>бігових</w:t>
            </w:r>
            <w:proofErr w:type="spellEnd"/>
            <w:r w:rsidRPr="007E0AF4">
              <w:rPr>
                <w:sz w:val="22"/>
              </w:rPr>
              <w:t xml:space="preserve"> </w:t>
            </w:r>
            <w:proofErr w:type="spellStart"/>
            <w:r w:rsidRPr="007E0AF4">
              <w:rPr>
                <w:sz w:val="22"/>
              </w:rPr>
              <w:t>доріжок</w:t>
            </w:r>
            <w:proofErr w:type="spellEnd"/>
            <w:r w:rsidRPr="007E0AF4">
              <w:rPr>
                <w:sz w:val="22"/>
              </w:rPr>
              <w:t>;</w:t>
            </w:r>
          </w:p>
          <w:p w:rsidR="00654133" w:rsidRPr="007E0AF4" w:rsidRDefault="00654133" w:rsidP="00F34B87">
            <w:pPr>
              <w:pStyle w:val="a7"/>
              <w:ind w:left="0"/>
              <w:rPr>
                <w:sz w:val="22"/>
              </w:rPr>
            </w:pPr>
            <w:r w:rsidRPr="007E0AF4">
              <w:rPr>
                <w:sz w:val="22"/>
              </w:rPr>
              <w:t xml:space="preserve">- </w:t>
            </w:r>
            <w:proofErr w:type="spellStart"/>
            <w:r w:rsidRPr="007E0AF4">
              <w:rPr>
                <w:sz w:val="22"/>
              </w:rPr>
              <w:t>встановлення</w:t>
            </w:r>
            <w:proofErr w:type="spellEnd"/>
            <w:r w:rsidRPr="007E0AF4">
              <w:rPr>
                <w:sz w:val="22"/>
              </w:rPr>
              <w:t xml:space="preserve"> </w:t>
            </w:r>
            <w:proofErr w:type="spellStart"/>
            <w:r w:rsidRPr="007E0AF4">
              <w:rPr>
                <w:sz w:val="22"/>
              </w:rPr>
              <w:t>паркану</w:t>
            </w:r>
            <w:proofErr w:type="spellEnd"/>
            <w:r w:rsidRPr="007E0AF4">
              <w:rPr>
                <w:sz w:val="22"/>
              </w:rPr>
              <w:t xml:space="preserve"> </w:t>
            </w:r>
            <w:proofErr w:type="spellStart"/>
            <w:r w:rsidRPr="007E0AF4">
              <w:rPr>
                <w:sz w:val="22"/>
              </w:rPr>
              <w:t>навколо</w:t>
            </w:r>
            <w:proofErr w:type="spellEnd"/>
            <w:r w:rsidRPr="007E0AF4">
              <w:rPr>
                <w:sz w:val="22"/>
              </w:rPr>
              <w:t xml:space="preserve"> футбольного </w:t>
            </w:r>
            <w:proofErr w:type="spellStart"/>
            <w:r w:rsidRPr="007E0AF4">
              <w:rPr>
                <w:sz w:val="22"/>
              </w:rPr>
              <w:t>стадіону</w:t>
            </w:r>
            <w:proofErr w:type="spellEnd"/>
            <w:r w:rsidRPr="007E0AF4">
              <w:rPr>
                <w:sz w:val="22"/>
              </w:rPr>
              <w:t>;</w:t>
            </w:r>
          </w:p>
          <w:p w:rsidR="00654133" w:rsidRPr="007E0AF4" w:rsidRDefault="00654133" w:rsidP="00F34B87">
            <w:pPr>
              <w:pStyle w:val="a7"/>
              <w:ind w:left="0"/>
              <w:rPr>
                <w:sz w:val="22"/>
              </w:rPr>
            </w:pPr>
            <w:r w:rsidRPr="007E0AF4">
              <w:rPr>
                <w:sz w:val="22"/>
              </w:rPr>
              <w:t xml:space="preserve">- </w:t>
            </w:r>
            <w:proofErr w:type="spellStart"/>
            <w:r w:rsidRPr="007E0AF4">
              <w:rPr>
                <w:sz w:val="22"/>
              </w:rPr>
              <w:t>нанесення</w:t>
            </w:r>
            <w:proofErr w:type="spellEnd"/>
            <w:r w:rsidRPr="007E0AF4">
              <w:rPr>
                <w:sz w:val="22"/>
              </w:rPr>
              <w:t xml:space="preserve"> </w:t>
            </w:r>
            <w:proofErr w:type="spellStart"/>
            <w:r w:rsidRPr="007E0AF4">
              <w:rPr>
                <w:sz w:val="22"/>
              </w:rPr>
              <w:t>спортивної</w:t>
            </w:r>
            <w:proofErr w:type="spellEnd"/>
            <w:r w:rsidRPr="007E0AF4">
              <w:rPr>
                <w:sz w:val="22"/>
              </w:rPr>
              <w:t xml:space="preserve"> </w:t>
            </w:r>
            <w:proofErr w:type="spellStart"/>
            <w:r w:rsidRPr="007E0AF4">
              <w:rPr>
                <w:sz w:val="22"/>
              </w:rPr>
              <w:t>розмітки</w:t>
            </w:r>
            <w:proofErr w:type="spellEnd"/>
            <w:r w:rsidRPr="007E0AF4">
              <w:rPr>
                <w:sz w:val="22"/>
              </w:rPr>
              <w:t>;</w:t>
            </w:r>
          </w:p>
          <w:p w:rsidR="00654133" w:rsidRPr="007E0AF4" w:rsidRDefault="00654133" w:rsidP="00F34B87">
            <w:pPr>
              <w:pStyle w:val="a7"/>
              <w:ind w:left="0"/>
              <w:rPr>
                <w:sz w:val="22"/>
              </w:rPr>
            </w:pPr>
            <w:r w:rsidRPr="007E0AF4">
              <w:rPr>
                <w:sz w:val="22"/>
              </w:rPr>
              <w:t xml:space="preserve">- монтаж нового спортивного </w:t>
            </w:r>
            <w:proofErr w:type="spellStart"/>
            <w:r w:rsidRPr="007E0AF4">
              <w:rPr>
                <w:sz w:val="22"/>
              </w:rPr>
              <w:t>обладнання</w:t>
            </w:r>
            <w:proofErr w:type="spellEnd"/>
            <w:r w:rsidRPr="007E0AF4">
              <w:rPr>
                <w:sz w:val="22"/>
              </w:rPr>
              <w:t>;</w:t>
            </w:r>
          </w:p>
          <w:p w:rsidR="00654133" w:rsidRPr="007E0AF4" w:rsidRDefault="00654133" w:rsidP="00F34B87">
            <w:pPr>
              <w:pStyle w:val="a7"/>
              <w:ind w:left="0"/>
              <w:rPr>
                <w:sz w:val="22"/>
              </w:rPr>
            </w:pPr>
            <w:r w:rsidRPr="007E0AF4">
              <w:rPr>
                <w:sz w:val="22"/>
              </w:rPr>
              <w:t xml:space="preserve">  - </w:t>
            </w:r>
            <w:proofErr w:type="spellStart"/>
            <w:r w:rsidRPr="007E0AF4">
              <w:rPr>
                <w:sz w:val="22"/>
              </w:rPr>
              <w:t>організація</w:t>
            </w:r>
            <w:proofErr w:type="spellEnd"/>
            <w:r w:rsidRPr="007E0AF4">
              <w:rPr>
                <w:sz w:val="22"/>
              </w:rPr>
              <w:t xml:space="preserve"> та початок </w:t>
            </w:r>
            <w:proofErr w:type="spellStart"/>
            <w:r w:rsidRPr="007E0AF4">
              <w:rPr>
                <w:sz w:val="22"/>
              </w:rPr>
              <w:t>робочого</w:t>
            </w:r>
            <w:proofErr w:type="spellEnd"/>
            <w:r w:rsidRPr="007E0AF4">
              <w:rPr>
                <w:sz w:val="22"/>
              </w:rPr>
              <w:t xml:space="preserve"> </w:t>
            </w:r>
            <w:proofErr w:type="spellStart"/>
            <w:r w:rsidRPr="007E0AF4">
              <w:rPr>
                <w:sz w:val="22"/>
              </w:rPr>
              <w:t>процесу</w:t>
            </w:r>
            <w:proofErr w:type="spellEnd"/>
            <w:r w:rsidRPr="007E0AF4">
              <w:rPr>
                <w:sz w:val="22"/>
              </w:rPr>
              <w:t>.</w:t>
            </w:r>
          </w:p>
        </w:tc>
      </w:tr>
      <w:tr w:rsidR="00654133" w:rsidRPr="007E0AF4" w:rsidTr="00F34B87">
        <w:trPr>
          <w:trHeight w:val="360"/>
        </w:trPr>
        <w:tc>
          <w:tcPr>
            <w:tcW w:w="2978" w:type="dxa"/>
            <w:vMerge w:val="restart"/>
            <w:shd w:val="clear" w:color="auto" w:fill="C6D9F1" w:themeFill="text2" w:themeFillTint="33"/>
          </w:tcPr>
          <w:p w:rsidR="00654133" w:rsidRPr="007E0AF4" w:rsidRDefault="00654133" w:rsidP="00F34B87">
            <w:pPr>
              <w:pStyle w:val="a7"/>
              <w:ind w:left="0"/>
              <w:rPr>
                <w:b/>
                <w:sz w:val="22"/>
              </w:rPr>
            </w:pPr>
            <w:proofErr w:type="spellStart"/>
            <w:r w:rsidRPr="007E0AF4">
              <w:rPr>
                <w:b/>
                <w:sz w:val="22"/>
              </w:rPr>
              <w:t>Орієнтовний</w:t>
            </w:r>
            <w:proofErr w:type="spellEnd"/>
            <w:r w:rsidRPr="007E0AF4">
              <w:rPr>
                <w:b/>
                <w:sz w:val="22"/>
              </w:rPr>
              <w:t xml:space="preserve"> </w:t>
            </w:r>
            <w:proofErr w:type="spellStart"/>
            <w:r w:rsidRPr="007E0AF4">
              <w:rPr>
                <w:b/>
                <w:sz w:val="22"/>
              </w:rPr>
              <w:t>обсяг</w:t>
            </w:r>
            <w:proofErr w:type="spellEnd"/>
            <w:r w:rsidRPr="007E0AF4">
              <w:rPr>
                <w:b/>
                <w:sz w:val="22"/>
              </w:rPr>
              <w:t xml:space="preserve"> та </w:t>
            </w:r>
            <w:proofErr w:type="spellStart"/>
            <w:r w:rsidRPr="007E0AF4">
              <w:rPr>
                <w:b/>
                <w:sz w:val="22"/>
              </w:rPr>
              <w:t>джерела</w:t>
            </w:r>
            <w:proofErr w:type="spellEnd"/>
            <w:r w:rsidRPr="007E0AF4">
              <w:rPr>
                <w:b/>
                <w:sz w:val="22"/>
              </w:rPr>
              <w:t xml:space="preserve"> </w:t>
            </w:r>
            <w:proofErr w:type="spellStart"/>
            <w:r w:rsidRPr="007E0AF4">
              <w:rPr>
                <w:b/>
                <w:sz w:val="22"/>
              </w:rPr>
              <w:t>фінансування</w:t>
            </w:r>
            <w:proofErr w:type="spellEnd"/>
            <w:r w:rsidRPr="007E0AF4">
              <w:rPr>
                <w:b/>
                <w:sz w:val="22"/>
              </w:rPr>
              <w:t xml:space="preserve">, тис. грн. </w:t>
            </w:r>
          </w:p>
          <w:p w:rsidR="00654133" w:rsidRPr="007E0AF4" w:rsidRDefault="00654133" w:rsidP="00F34B87">
            <w:pPr>
              <w:pStyle w:val="a7"/>
              <w:ind w:left="0"/>
              <w:rPr>
                <w:b/>
                <w:sz w:val="22"/>
              </w:rPr>
            </w:pPr>
          </w:p>
        </w:tc>
        <w:tc>
          <w:tcPr>
            <w:tcW w:w="1275" w:type="dxa"/>
            <w:tcBorders>
              <w:bottom w:val="single" w:sz="4" w:space="0" w:color="auto"/>
              <w:right w:val="single" w:sz="4" w:space="0" w:color="auto"/>
            </w:tcBorders>
          </w:tcPr>
          <w:p w:rsidR="00654133" w:rsidRPr="007E0AF4" w:rsidRDefault="00654133" w:rsidP="00F34B87">
            <w:pPr>
              <w:pStyle w:val="a7"/>
              <w:ind w:left="0"/>
              <w:jc w:val="center"/>
              <w:rPr>
                <w:b/>
                <w:sz w:val="22"/>
              </w:rPr>
            </w:pPr>
            <w:proofErr w:type="spellStart"/>
            <w:r w:rsidRPr="007E0AF4">
              <w:rPr>
                <w:b/>
                <w:sz w:val="22"/>
              </w:rPr>
              <w:t>Державний</w:t>
            </w:r>
            <w:proofErr w:type="spellEnd"/>
            <w:r w:rsidRPr="007E0AF4">
              <w:rPr>
                <w:b/>
                <w:sz w:val="22"/>
              </w:rPr>
              <w:t xml:space="preserve"> бюджет</w:t>
            </w:r>
          </w:p>
        </w:tc>
        <w:tc>
          <w:tcPr>
            <w:tcW w:w="1276" w:type="dxa"/>
            <w:tcBorders>
              <w:bottom w:val="single" w:sz="4" w:space="0" w:color="auto"/>
              <w:right w:val="single" w:sz="4" w:space="0" w:color="auto"/>
            </w:tcBorders>
          </w:tcPr>
          <w:p w:rsidR="00654133" w:rsidRPr="007E0AF4" w:rsidRDefault="00654133" w:rsidP="00F34B87">
            <w:pPr>
              <w:pStyle w:val="a7"/>
              <w:ind w:left="0"/>
              <w:jc w:val="center"/>
              <w:rPr>
                <w:b/>
                <w:sz w:val="22"/>
              </w:rPr>
            </w:pPr>
            <w:proofErr w:type="spellStart"/>
            <w:r w:rsidRPr="007E0AF4">
              <w:rPr>
                <w:b/>
                <w:sz w:val="22"/>
              </w:rPr>
              <w:t>Місцевий</w:t>
            </w:r>
            <w:proofErr w:type="spellEnd"/>
            <w:r w:rsidRPr="007E0AF4">
              <w:rPr>
                <w:b/>
                <w:sz w:val="22"/>
              </w:rPr>
              <w:t xml:space="preserve"> бюджет</w:t>
            </w:r>
          </w:p>
        </w:tc>
        <w:tc>
          <w:tcPr>
            <w:tcW w:w="3401" w:type="dxa"/>
            <w:gridSpan w:val="4"/>
            <w:tcBorders>
              <w:left w:val="single" w:sz="4" w:space="0" w:color="auto"/>
              <w:bottom w:val="single" w:sz="4" w:space="0" w:color="auto"/>
              <w:right w:val="single" w:sz="4" w:space="0" w:color="auto"/>
            </w:tcBorders>
          </w:tcPr>
          <w:p w:rsidR="00654133" w:rsidRPr="007E0AF4" w:rsidRDefault="00654133" w:rsidP="00F34B87">
            <w:pPr>
              <w:pStyle w:val="a7"/>
              <w:ind w:left="0"/>
              <w:jc w:val="center"/>
              <w:rPr>
                <w:b/>
                <w:sz w:val="22"/>
              </w:rPr>
            </w:pPr>
            <w:proofErr w:type="spellStart"/>
            <w:r w:rsidRPr="007E0AF4">
              <w:rPr>
                <w:b/>
                <w:sz w:val="22"/>
              </w:rPr>
              <w:t>Інші</w:t>
            </w:r>
            <w:proofErr w:type="spellEnd"/>
            <w:r w:rsidRPr="007E0AF4">
              <w:rPr>
                <w:b/>
                <w:sz w:val="22"/>
              </w:rPr>
              <w:t xml:space="preserve"> </w:t>
            </w:r>
            <w:proofErr w:type="spellStart"/>
            <w:r w:rsidRPr="007E0AF4">
              <w:rPr>
                <w:b/>
                <w:sz w:val="22"/>
              </w:rPr>
              <w:t>джерела</w:t>
            </w:r>
            <w:proofErr w:type="spellEnd"/>
          </w:p>
        </w:tc>
        <w:tc>
          <w:tcPr>
            <w:tcW w:w="993" w:type="dxa"/>
            <w:tcBorders>
              <w:left w:val="single" w:sz="4" w:space="0" w:color="auto"/>
              <w:bottom w:val="single" w:sz="4" w:space="0" w:color="auto"/>
            </w:tcBorders>
          </w:tcPr>
          <w:p w:rsidR="00654133" w:rsidRPr="007E0AF4" w:rsidRDefault="00654133" w:rsidP="00F34B87">
            <w:pPr>
              <w:pStyle w:val="a7"/>
              <w:ind w:left="0"/>
              <w:jc w:val="center"/>
              <w:rPr>
                <w:b/>
                <w:sz w:val="22"/>
              </w:rPr>
            </w:pPr>
            <w:proofErr w:type="spellStart"/>
            <w:r w:rsidRPr="007E0AF4">
              <w:rPr>
                <w:b/>
                <w:sz w:val="22"/>
              </w:rPr>
              <w:t>Всього</w:t>
            </w:r>
            <w:proofErr w:type="spellEnd"/>
          </w:p>
        </w:tc>
      </w:tr>
      <w:tr w:rsidR="00654133" w:rsidRPr="007E0AF4" w:rsidTr="00F34B87">
        <w:trPr>
          <w:trHeight w:val="225"/>
        </w:trPr>
        <w:tc>
          <w:tcPr>
            <w:tcW w:w="2978" w:type="dxa"/>
            <w:vMerge/>
            <w:shd w:val="clear" w:color="auto" w:fill="C6D9F1" w:themeFill="text2" w:themeFillTint="33"/>
          </w:tcPr>
          <w:p w:rsidR="00654133" w:rsidRPr="007E0AF4" w:rsidRDefault="00654133" w:rsidP="00F34B87">
            <w:pPr>
              <w:pStyle w:val="a7"/>
              <w:ind w:left="0"/>
              <w:rPr>
                <w:b/>
                <w:sz w:val="22"/>
              </w:rPr>
            </w:pPr>
          </w:p>
        </w:tc>
        <w:tc>
          <w:tcPr>
            <w:tcW w:w="1275" w:type="dxa"/>
            <w:vMerge w:val="restart"/>
            <w:tcBorders>
              <w:top w:val="single" w:sz="4" w:space="0" w:color="auto"/>
              <w:right w:val="single" w:sz="4" w:space="0" w:color="auto"/>
            </w:tcBorders>
          </w:tcPr>
          <w:p w:rsidR="00654133" w:rsidRPr="007E0AF4" w:rsidRDefault="00654133" w:rsidP="00F34B87">
            <w:pPr>
              <w:pStyle w:val="a7"/>
              <w:ind w:left="0"/>
              <w:jc w:val="center"/>
              <w:rPr>
                <w:sz w:val="22"/>
              </w:rPr>
            </w:pPr>
            <w:r w:rsidRPr="007E0AF4">
              <w:rPr>
                <w:sz w:val="22"/>
              </w:rPr>
              <w:t xml:space="preserve">2800,0 </w:t>
            </w:r>
          </w:p>
        </w:tc>
        <w:tc>
          <w:tcPr>
            <w:tcW w:w="1276" w:type="dxa"/>
            <w:vMerge w:val="restart"/>
            <w:tcBorders>
              <w:top w:val="single" w:sz="4" w:space="0" w:color="auto"/>
              <w:right w:val="single" w:sz="4" w:space="0" w:color="auto"/>
            </w:tcBorders>
          </w:tcPr>
          <w:p w:rsidR="00654133" w:rsidRPr="007E0AF4" w:rsidRDefault="00654133" w:rsidP="00F34B87">
            <w:pPr>
              <w:pStyle w:val="a7"/>
              <w:ind w:left="0"/>
              <w:jc w:val="center"/>
              <w:rPr>
                <w:b/>
                <w:sz w:val="22"/>
              </w:rPr>
            </w:pPr>
            <w:r w:rsidRPr="007E0AF4">
              <w:rPr>
                <w:b/>
                <w:sz w:val="22"/>
              </w:rPr>
              <w:t>-</w:t>
            </w:r>
          </w:p>
        </w:tc>
        <w:tc>
          <w:tcPr>
            <w:tcW w:w="1134" w:type="dxa"/>
            <w:gridSpan w:val="2"/>
            <w:tcBorders>
              <w:top w:val="single" w:sz="4" w:space="0" w:color="auto"/>
              <w:left w:val="single" w:sz="4" w:space="0" w:color="auto"/>
              <w:bottom w:val="single" w:sz="4" w:space="0" w:color="auto"/>
              <w:right w:val="single" w:sz="4" w:space="0" w:color="auto"/>
            </w:tcBorders>
          </w:tcPr>
          <w:p w:rsidR="00654133" w:rsidRPr="007E0AF4" w:rsidRDefault="00654133" w:rsidP="00F34B87">
            <w:pPr>
              <w:pStyle w:val="a7"/>
              <w:ind w:left="0"/>
              <w:jc w:val="center"/>
              <w:rPr>
                <w:b/>
                <w:sz w:val="22"/>
              </w:rPr>
            </w:pPr>
            <w:proofErr w:type="spellStart"/>
            <w:r w:rsidRPr="007E0AF4">
              <w:rPr>
                <w:b/>
                <w:sz w:val="22"/>
              </w:rPr>
              <w:t>Обсяг</w:t>
            </w:r>
            <w:proofErr w:type="spellEnd"/>
          </w:p>
        </w:tc>
        <w:tc>
          <w:tcPr>
            <w:tcW w:w="2267" w:type="dxa"/>
            <w:gridSpan w:val="2"/>
            <w:tcBorders>
              <w:top w:val="single" w:sz="4" w:space="0" w:color="auto"/>
              <w:left w:val="single" w:sz="4" w:space="0" w:color="auto"/>
              <w:bottom w:val="single" w:sz="4" w:space="0" w:color="auto"/>
              <w:right w:val="single" w:sz="4" w:space="0" w:color="auto"/>
            </w:tcBorders>
          </w:tcPr>
          <w:p w:rsidR="00654133" w:rsidRPr="007E0AF4" w:rsidRDefault="00654133" w:rsidP="00F34B87">
            <w:pPr>
              <w:pStyle w:val="a7"/>
              <w:ind w:left="0"/>
              <w:jc w:val="center"/>
              <w:rPr>
                <w:b/>
                <w:sz w:val="22"/>
              </w:rPr>
            </w:pPr>
            <w:proofErr w:type="spellStart"/>
            <w:r w:rsidRPr="007E0AF4">
              <w:rPr>
                <w:b/>
                <w:sz w:val="22"/>
              </w:rPr>
              <w:t>Назва</w:t>
            </w:r>
            <w:proofErr w:type="spellEnd"/>
            <w:r w:rsidRPr="007E0AF4">
              <w:rPr>
                <w:b/>
                <w:sz w:val="22"/>
              </w:rPr>
              <w:t xml:space="preserve"> </w:t>
            </w:r>
            <w:proofErr w:type="spellStart"/>
            <w:r w:rsidRPr="007E0AF4">
              <w:rPr>
                <w:b/>
                <w:sz w:val="22"/>
              </w:rPr>
              <w:t>джерела</w:t>
            </w:r>
            <w:proofErr w:type="spellEnd"/>
          </w:p>
        </w:tc>
        <w:tc>
          <w:tcPr>
            <w:tcW w:w="993" w:type="dxa"/>
            <w:vMerge w:val="restart"/>
            <w:tcBorders>
              <w:top w:val="single" w:sz="4" w:space="0" w:color="auto"/>
              <w:left w:val="single" w:sz="4" w:space="0" w:color="auto"/>
            </w:tcBorders>
          </w:tcPr>
          <w:p w:rsidR="00654133" w:rsidRPr="007E0AF4" w:rsidRDefault="00654133" w:rsidP="00F34B87">
            <w:pPr>
              <w:pStyle w:val="a7"/>
              <w:ind w:left="0"/>
              <w:jc w:val="center"/>
              <w:rPr>
                <w:sz w:val="22"/>
              </w:rPr>
            </w:pPr>
            <w:r w:rsidRPr="007E0AF4">
              <w:rPr>
                <w:sz w:val="22"/>
              </w:rPr>
              <w:t xml:space="preserve">4000,0 </w:t>
            </w:r>
          </w:p>
        </w:tc>
      </w:tr>
      <w:tr w:rsidR="00654133" w:rsidRPr="007E0AF4" w:rsidTr="00F34B87">
        <w:trPr>
          <w:trHeight w:val="300"/>
        </w:trPr>
        <w:tc>
          <w:tcPr>
            <w:tcW w:w="2978" w:type="dxa"/>
            <w:vMerge/>
            <w:shd w:val="clear" w:color="auto" w:fill="C6D9F1" w:themeFill="text2" w:themeFillTint="33"/>
          </w:tcPr>
          <w:p w:rsidR="00654133" w:rsidRPr="007E0AF4" w:rsidRDefault="00654133" w:rsidP="00F34B87">
            <w:pPr>
              <w:pStyle w:val="a7"/>
              <w:ind w:left="0"/>
              <w:rPr>
                <w:b/>
                <w:sz w:val="22"/>
              </w:rPr>
            </w:pPr>
          </w:p>
        </w:tc>
        <w:tc>
          <w:tcPr>
            <w:tcW w:w="1275" w:type="dxa"/>
            <w:vMerge/>
            <w:tcBorders>
              <w:right w:val="single" w:sz="4" w:space="0" w:color="auto"/>
            </w:tcBorders>
          </w:tcPr>
          <w:p w:rsidR="00654133" w:rsidRPr="007E0AF4" w:rsidRDefault="00654133" w:rsidP="00F34B87">
            <w:pPr>
              <w:pStyle w:val="a7"/>
              <w:ind w:left="0"/>
              <w:jc w:val="center"/>
              <w:rPr>
                <w:sz w:val="22"/>
              </w:rPr>
            </w:pPr>
          </w:p>
        </w:tc>
        <w:tc>
          <w:tcPr>
            <w:tcW w:w="1276" w:type="dxa"/>
            <w:vMerge/>
            <w:tcBorders>
              <w:right w:val="single" w:sz="4" w:space="0" w:color="auto"/>
            </w:tcBorders>
          </w:tcPr>
          <w:p w:rsidR="00654133" w:rsidRPr="007E0AF4" w:rsidRDefault="00654133" w:rsidP="00F34B87">
            <w:pPr>
              <w:pStyle w:val="a7"/>
              <w:ind w:left="0"/>
              <w:jc w:val="center"/>
              <w:rPr>
                <w:b/>
                <w:sz w:val="22"/>
              </w:rPr>
            </w:pPr>
          </w:p>
        </w:tc>
        <w:tc>
          <w:tcPr>
            <w:tcW w:w="1134" w:type="dxa"/>
            <w:gridSpan w:val="2"/>
            <w:tcBorders>
              <w:top w:val="single" w:sz="4" w:space="0" w:color="auto"/>
              <w:left w:val="single" w:sz="4" w:space="0" w:color="auto"/>
              <w:right w:val="single" w:sz="4" w:space="0" w:color="auto"/>
            </w:tcBorders>
          </w:tcPr>
          <w:p w:rsidR="00654133" w:rsidRPr="007E0AF4" w:rsidRDefault="00654133" w:rsidP="00F34B87">
            <w:pPr>
              <w:pStyle w:val="a7"/>
              <w:ind w:left="0"/>
              <w:rPr>
                <w:sz w:val="22"/>
              </w:rPr>
            </w:pPr>
            <w:r w:rsidRPr="007E0AF4">
              <w:rPr>
                <w:sz w:val="22"/>
              </w:rPr>
              <w:t>1200,0</w:t>
            </w:r>
          </w:p>
        </w:tc>
        <w:tc>
          <w:tcPr>
            <w:tcW w:w="2267" w:type="dxa"/>
            <w:gridSpan w:val="2"/>
            <w:tcBorders>
              <w:top w:val="single" w:sz="4" w:space="0" w:color="auto"/>
              <w:left w:val="single" w:sz="4" w:space="0" w:color="auto"/>
              <w:right w:val="single" w:sz="4" w:space="0" w:color="auto"/>
            </w:tcBorders>
          </w:tcPr>
          <w:p w:rsidR="00654133" w:rsidRPr="007E0AF4" w:rsidRDefault="00654133" w:rsidP="00F34B87">
            <w:pPr>
              <w:pStyle w:val="a7"/>
              <w:ind w:left="0"/>
              <w:jc w:val="center"/>
              <w:rPr>
                <w:sz w:val="22"/>
              </w:rPr>
            </w:pPr>
            <w:proofErr w:type="spellStart"/>
            <w:r w:rsidRPr="007E0AF4">
              <w:rPr>
                <w:sz w:val="22"/>
              </w:rPr>
              <w:t>Міжнародні</w:t>
            </w:r>
            <w:proofErr w:type="spellEnd"/>
            <w:r w:rsidRPr="007E0AF4">
              <w:rPr>
                <w:sz w:val="22"/>
              </w:rPr>
              <w:t xml:space="preserve"> </w:t>
            </w:r>
            <w:proofErr w:type="spellStart"/>
            <w:r w:rsidRPr="007E0AF4">
              <w:rPr>
                <w:sz w:val="22"/>
              </w:rPr>
              <w:t>інвестиції</w:t>
            </w:r>
            <w:proofErr w:type="spellEnd"/>
            <w:r w:rsidRPr="007E0AF4">
              <w:rPr>
                <w:sz w:val="22"/>
              </w:rPr>
              <w:t xml:space="preserve">, </w:t>
            </w:r>
            <w:proofErr w:type="spellStart"/>
            <w:r w:rsidRPr="007E0AF4">
              <w:rPr>
                <w:sz w:val="22"/>
              </w:rPr>
              <w:t>кошти</w:t>
            </w:r>
            <w:proofErr w:type="spellEnd"/>
            <w:r w:rsidRPr="007E0AF4">
              <w:rPr>
                <w:sz w:val="22"/>
              </w:rPr>
              <w:t xml:space="preserve"> </w:t>
            </w:r>
            <w:proofErr w:type="spellStart"/>
            <w:r w:rsidRPr="007E0AF4">
              <w:rPr>
                <w:sz w:val="22"/>
              </w:rPr>
              <w:t>приватних</w:t>
            </w:r>
            <w:proofErr w:type="spellEnd"/>
            <w:r w:rsidRPr="007E0AF4">
              <w:rPr>
                <w:sz w:val="22"/>
              </w:rPr>
              <w:t xml:space="preserve"> </w:t>
            </w:r>
            <w:proofErr w:type="spellStart"/>
            <w:r w:rsidRPr="007E0AF4">
              <w:rPr>
                <w:sz w:val="22"/>
              </w:rPr>
              <w:t>осіб</w:t>
            </w:r>
            <w:proofErr w:type="spellEnd"/>
          </w:p>
        </w:tc>
        <w:tc>
          <w:tcPr>
            <w:tcW w:w="993" w:type="dxa"/>
            <w:vMerge/>
            <w:tcBorders>
              <w:left w:val="single" w:sz="4" w:space="0" w:color="auto"/>
            </w:tcBorders>
          </w:tcPr>
          <w:p w:rsidR="00654133" w:rsidRPr="007E0AF4" w:rsidRDefault="00654133" w:rsidP="00F34B87">
            <w:pPr>
              <w:pStyle w:val="a7"/>
              <w:ind w:left="0"/>
              <w:jc w:val="center"/>
              <w:rPr>
                <w:sz w:val="22"/>
              </w:rPr>
            </w:pPr>
          </w:p>
        </w:tc>
      </w:tr>
    </w:tbl>
    <w:p w:rsidR="00654133" w:rsidRPr="007E0AF4" w:rsidRDefault="00654133" w:rsidP="00E95FB1">
      <w:pPr>
        <w:rPr>
          <w:sz w:val="22"/>
        </w:rPr>
      </w:pPr>
    </w:p>
    <w:tbl>
      <w:tblPr>
        <w:tblpPr w:leftFromText="180" w:rightFromText="180" w:vertAnchor="text" w:horzAnchor="page" w:tblpX="1375" w:tblpY="143"/>
        <w:tblW w:w="9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007"/>
        <w:gridCol w:w="1418"/>
        <w:gridCol w:w="1559"/>
        <w:gridCol w:w="850"/>
        <w:gridCol w:w="284"/>
        <w:gridCol w:w="1387"/>
        <w:gridCol w:w="283"/>
        <w:gridCol w:w="1165"/>
      </w:tblGrid>
      <w:tr w:rsidR="00654133" w:rsidRPr="007E0AF4" w:rsidTr="00F34B87">
        <w:trPr>
          <w:trHeight w:val="555"/>
        </w:trPr>
        <w:tc>
          <w:tcPr>
            <w:tcW w:w="3007" w:type="dxa"/>
            <w:shd w:val="clear" w:color="00FFFF" w:fill="C6D9F1" w:themeFill="text2" w:themeFillTint="33"/>
          </w:tcPr>
          <w:p w:rsidR="00654133" w:rsidRPr="007E0AF4" w:rsidRDefault="00654133" w:rsidP="00654133">
            <w:pPr>
              <w:autoSpaceDE w:val="0"/>
              <w:autoSpaceDN w:val="0"/>
              <w:adjustRightInd w:val="0"/>
              <w:rPr>
                <w:rFonts w:eastAsia="Calibri"/>
                <w:b/>
                <w:color w:val="000000"/>
                <w:sz w:val="22"/>
              </w:rPr>
            </w:pPr>
            <w:r w:rsidRPr="007E0AF4">
              <w:rPr>
                <w:b/>
                <w:sz w:val="22"/>
              </w:rPr>
              <w:t>Оперативна ціль/завдання</w:t>
            </w:r>
          </w:p>
        </w:tc>
        <w:tc>
          <w:tcPr>
            <w:tcW w:w="6946" w:type="dxa"/>
            <w:gridSpan w:val="7"/>
            <w:tcBorders>
              <w:top w:val="single" w:sz="4" w:space="0" w:color="000000"/>
              <w:left w:val="nil"/>
              <w:bottom w:val="single" w:sz="4" w:space="0" w:color="000000"/>
              <w:right w:val="single" w:sz="4" w:space="0" w:color="000000"/>
            </w:tcBorders>
            <w:shd w:val="clear" w:color="auto" w:fill="auto"/>
          </w:tcPr>
          <w:p w:rsidR="00654133" w:rsidRPr="007E0AF4" w:rsidRDefault="00654133" w:rsidP="00654133">
            <w:pPr>
              <w:autoSpaceDE w:val="0"/>
              <w:autoSpaceDN w:val="0"/>
              <w:adjustRightInd w:val="0"/>
              <w:ind w:firstLine="396"/>
              <w:rPr>
                <w:rFonts w:eastAsia="Calibri"/>
                <w:color w:val="FF0000"/>
                <w:sz w:val="22"/>
              </w:rPr>
            </w:pPr>
            <w:r w:rsidRPr="007E0AF4">
              <w:rPr>
                <w:color w:val="000000"/>
                <w:sz w:val="22"/>
              </w:rPr>
              <w:t xml:space="preserve">Людський розвиток через інновації управління та довіру до влади. Формування сучасного інклюзивного  </w:t>
            </w:r>
            <w:proofErr w:type="spellStart"/>
            <w:r w:rsidRPr="007E0AF4">
              <w:rPr>
                <w:color w:val="000000"/>
                <w:sz w:val="22"/>
              </w:rPr>
              <w:t>освітньо</w:t>
            </w:r>
            <w:proofErr w:type="spellEnd"/>
            <w:r w:rsidRPr="007E0AF4">
              <w:rPr>
                <w:color w:val="000000"/>
                <w:sz w:val="22"/>
              </w:rPr>
              <w:t>-культурного та спортивного простору для розвитку</w:t>
            </w:r>
          </w:p>
        </w:tc>
      </w:tr>
      <w:tr w:rsidR="00654133" w:rsidRPr="007E0AF4" w:rsidTr="00F34B87">
        <w:trPr>
          <w:trHeight w:val="691"/>
        </w:trPr>
        <w:tc>
          <w:tcPr>
            <w:tcW w:w="3007" w:type="dxa"/>
            <w:shd w:val="clear" w:color="00FFFF" w:fill="C6D9F1" w:themeFill="text2" w:themeFillTint="33"/>
          </w:tcPr>
          <w:p w:rsidR="00654133" w:rsidRPr="007E0AF4" w:rsidRDefault="00654133" w:rsidP="00654133">
            <w:pPr>
              <w:autoSpaceDE w:val="0"/>
              <w:autoSpaceDN w:val="0"/>
              <w:adjustRightInd w:val="0"/>
              <w:rPr>
                <w:rFonts w:eastAsia="Calibri"/>
                <w:b/>
                <w:color w:val="000000"/>
                <w:sz w:val="22"/>
              </w:rPr>
            </w:pPr>
            <w:r w:rsidRPr="007E0AF4">
              <w:rPr>
                <w:b/>
                <w:sz w:val="22"/>
              </w:rPr>
              <w:t xml:space="preserve">Назва </w:t>
            </w:r>
            <w:proofErr w:type="spellStart"/>
            <w:r w:rsidRPr="007E0AF4">
              <w:rPr>
                <w:b/>
                <w:sz w:val="22"/>
              </w:rPr>
              <w:t>проєкту</w:t>
            </w:r>
            <w:proofErr w:type="spellEnd"/>
            <w:r w:rsidRPr="007E0AF4">
              <w:rPr>
                <w:b/>
                <w:sz w:val="22"/>
              </w:rPr>
              <w:t>:</w:t>
            </w:r>
          </w:p>
        </w:tc>
        <w:tc>
          <w:tcPr>
            <w:tcW w:w="6946" w:type="dxa"/>
            <w:gridSpan w:val="7"/>
            <w:tcBorders>
              <w:top w:val="single" w:sz="4" w:space="0" w:color="000000"/>
              <w:left w:val="nil"/>
              <w:bottom w:val="single" w:sz="4" w:space="0" w:color="000000"/>
              <w:right w:val="single" w:sz="4" w:space="0" w:color="000000"/>
            </w:tcBorders>
            <w:shd w:val="clear" w:color="auto" w:fill="auto"/>
          </w:tcPr>
          <w:p w:rsidR="00654133" w:rsidRPr="007E0AF4" w:rsidRDefault="00654133" w:rsidP="00654133">
            <w:pPr>
              <w:autoSpaceDE w:val="0"/>
              <w:autoSpaceDN w:val="0"/>
              <w:adjustRightInd w:val="0"/>
              <w:ind w:firstLine="396"/>
              <w:rPr>
                <w:rFonts w:eastAsia="Calibri"/>
                <w:color w:val="000000"/>
                <w:sz w:val="22"/>
              </w:rPr>
            </w:pPr>
            <w:r w:rsidRPr="007E0AF4">
              <w:rPr>
                <w:sz w:val="22"/>
              </w:rPr>
              <w:t xml:space="preserve">Капітальний ремонт будівель Гімназії № 13 міста Сєвєродонецька Луганської області, </w:t>
            </w:r>
            <w:proofErr w:type="spellStart"/>
            <w:r w:rsidRPr="007E0AF4">
              <w:rPr>
                <w:sz w:val="22"/>
              </w:rPr>
              <w:t>вул.Маяковського</w:t>
            </w:r>
            <w:proofErr w:type="spellEnd"/>
            <w:r w:rsidRPr="007E0AF4">
              <w:rPr>
                <w:sz w:val="22"/>
              </w:rPr>
              <w:t xml:space="preserve">, буд.19, </w:t>
            </w:r>
            <w:proofErr w:type="spellStart"/>
            <w:r w:rsidRPr="007E0AF4">
              <w:rPr>
                <w:sz w:val="22"/>
              </w:rPr>
              <w:t>м.Сєвєродонецьк</w:t>
            </w:r>
            <w:proofErr w:type="spellEnd"/>
            <w:r w:rsidRPr="007E0AF4">
              <w:rPr>
                <w:sz w:val="22"/>
              </w:rPr>
              <w:t>, Луганська обл., 93406</w:t>
            </w:r>
          </w:p>
        </w:tc>
      </w:tr>
      <w:tr w:rsidR="00654133" w:rsidRPr="007E0AF4" w:rsidTr="00F34B87">
        <w:trPr>
          <w:trHeight w:val="1109"/>
        </w:trPr>
        <w:tc>
          <w:tcPr>
            <w:tcW w:w="3007" w:type="dxa"/>
            <w:shd w:val="clear" w:color="00FFFF" w:fill="C6D9F1" w:themeFill="text2" w:themeFillTint="33"/>
          </w:tcPr>
          <w:p w:rsidR="00654133" w:rsidRPr="007E0AF4" w:rsidRDefault="00654133" w:rsidP="00654133">
            <w:pPr>
              <w:autoSpaceDE w:val="0"/>
              <w:autoSpaceDN w:val="0"/>
              <w:adjustRightInd w:val="0"/>
              <w:rPr>
                <w:rFonts w:eastAsia="Calibri"/>
                <w:b/>
                <w:color w:val="000000"/>
                <w:sz w:val="22"/>
              </w:rPr>
            </w:pPr>
            <w:r w:rsidRPr="007E0AF4">
              <w:rPr>
                <w:rFonts w:eastAsia="Calibri"/>
                <w:b/>
                <w:color w:val="000000"/>
                <w:sz w:val="22"/>
              </w:rPr>
              <w:t xml:space="preserve">Ціль </w:t>
            </w:r>
            <w:proofErr w:type="spellStart"/>
            <w:r w:rsidRPr="007E0AF4">
              <w:rPr>
                <w:rFonts w:eastAsia="Calibri"/>
                <w:b/>
                <w:color w:val="000000"/>
                <w:sz w:val="22"/>
              </w:rPr>
              <w:t>проєкту</w:t>
            </w:r>
            <w:proofErr w:type="spellEnd"/>
          </w:p>
        </w:tc>
        <w:tc>
          <w:tcPr>
            <w:tcW w:w="6946" w:type="dxa"/>
            <w:gridSpan w:val="7"/>
            <w:tcBorders>
              <w:top w:val="single" w:sz="4" w:space="0" w:color="000000"/>
              <w:left w:val="single" w:sz="4" w:space="0" w:color="000000"/>
              <w:bottom w:val="single" w:sz="4" w:space="0" w:color="000000"/>
              <w:right w:val="single" w:sz="4" w:space="0" w:color="000000"/>
            </w:tcBorders>
            <w:shd w:val="clear" w:color="auto" w:fill="auto"/>
          </w:tcPr>
          <w:p w:rsidR="00654133" w:rsidRPr="007E0AF4" w:rsidRDefault="00654133" w:rsidP="00654133">
            <w:pPr>
              <w:autoSpaceDE w:val="0"/>
              <w:autoSpaceDN w:val="0"/>
              <w:adjustRightInd w:val="0"/>
              <w:ind w:firstLine="396"/>
              <w:rPr>
                <w:color w:val="000000"/>
                <w:sz w:val="22"/>
              </w:rPr>
            </w:pPr>
            <w:r w:rsidRPr="007E0AF4">
              <w:rPr>
                <w:color w:val="000000"/>
                <w:sz w:val="22"/>
              </w:rPr>
              <w:t>Відновлення та покращення роботи освітнього закладу для задоволення освітніх потреб мешканців Сєвєродонецької міської територіальної громади.</w:t>
            </w:r>
          </w:p>
          <w:p w:rsidR="00654133" w:rsidRPr="007E0AF4" w:rsidRDefault="00654133" w:rsidP="00654133">
            <w:pPr>
              <w:autoSpaceDE w:val="0"/>
              <w:autoSpaceDN w:val="0"/>
              <w:adjustRightInd w:val="0"/>
              <w:ind w:firstLine="396"/>
              <w:rPr>
                <w:color w:val="000000"/>
                <w:sz w:val="22"/>
              </w:rPr>
            </w:pPr>
            <w:r w:rsidRPr="007E0AF4">
              <w:rPr>
                <w:color w:val="000000"/>
                <w:sz w:val="22"/>
              </w:rPr>
              <w:t>Формування інноваційного освітнього простору, створення безпечних та комфортних умов для всіх учасників освітнього процесу; підвищення енергоефективності будівлі.</w:t>
            </w:r>
          </w:p>
          <w:p w:rsidR="00654133" w:rsidRPr="007E0AF4" w:rsidRDefault="00654133" w:rsidP="00654133">
            <w:pPr>
              <w:autoSpaceDE w:val="0"/>
              <w:autoSpaceDN w:val="0"/>
              <w:adjustRightInd w:val="0"/>
              <w:ind w:firstLine="396"/>
              <w:rPr>
                <w:color w:val="000000"/>
                <w:sz w:val="22"/>
              </w:rPr>
            </w:pPr>
            <w:r w:rsidRPr="007E0AF4">
              <w:rPr>
                <w:color w:val="000000"/>
                <w:sz w:val="22"/>
              </w:rPr>
              <w:t xml:space="preserve">Здійснення капітального ремонту будівлі освітнього закладу: відновлення пошкоджених внаслідок збройної агресії </w:t>
            </w:r>
            <w:r w:rsidR="008C213D" w:rsidRPr="007E0AF4">
              <w:rPr>
                <w:color w:val="000000"/>
                <w:sz w:val="22"/>
              </w:rPr>
              <w:t>РФ</w:t>
            </w:r>
            <w:r w:rsidRPr="007E0AF4">
              <w:rPr>
                <w:color w:val="000000"/>
                <w:sz w:val="22"/>
              </w:rPr>
              <w:t xml:space="preserve"> зовнішніх та внутрішніх стін, </w:t>
            </w:r>
            <w:proofErr w:type="spellStart"/>
            <w:r w:rsidRPr="007E0AF4">
              <w:rPr>
                <w:color w:val="000000"/>
                <w:sz w:val="22"/>
              </w:rPr>
              <w:t>перекриттів</w:t>
            </w:r>
            <w:proofErr w:type="spellEnd"/>
            <w:r w:rsidRPr="007E0AF4">
              <w:rPr>
                <w:color w:val="000000"/>
                <w:sz w:val="22"/>
              </w:rPr>
              <w:t xml:space="preserve">, покрівлі, сходів, цоколю, пандусу для маломобільних груп населення; системи опалення та вентиляційної системи; системи водопостачання та водовідведення з встановленням нових систем фільтрації та очищення води; відновлення системи електропостачання з використанням системи сонячних </w:t>
            </w:r>
            <w:proofErr w:type="spellStart"/>
            <w:r w:rsidRPr="007E0AF4">
              <w:rPr>
                <w:color w:val="000000"/>
                <w:sz w:val="22"/>
              </w:rPr>
              <w:t>батарей</w:t>
            </w:r>
            <w:proofErr w:type="spellEnd"/>
            <w:r w:rsidRPr="007E0AF4">
              <w:rPr>
                <w:color w:val="000000"/>
                <w:sz w:val="22"/>
              </w:rPr>
              <w:t>; енергозберігаючих вікон.</w:t>
            </w:r>
          </w:p>
          <w:p w:rsidR="00654133" w:rsidRPr="007E0AF4" w:rsidRDefault="00654133" w:rsidP="00654133">
            <w:pPr>
              <w:autoSpaceDE w:val="0"/>
              <w:autoSpaceDN w:val="0"/>
              <w:adjustRightInd w:val="0"/>
              <w:ind w:firstLine="396"/>
              <w:rPr>
                <w:color w:val="000000"/>
                <w:sz w:val="22"/>
              </w:rPr>
            </w:pPr>
            <w:r w:rsidRPr="007E0AF4">
              <w:rPr>
                <w:color w:val="000000"/>
                <w:sz w:val="22"/>
              </w:rPr>
              <w:t>Проведення ремонту внутрішніх приміщень. Встановлення протипожежної системи та системи відеоспостереження.</w:t>
            </w:r>
          </w:p>
        </w:tc>
      </w:tr>
      <w:tr w:rsidR="00654133" w:rsidRPr="007E0AF4" w:rsidTr="00F34B87">
        <w:trPr>
          <w:trHeight w:val="290"/>
        </w:trPr>
        <w:tc>
          <w:tcPr>
            <w:tcW w:w="3007" w:type="dxa"/>
            <w:shd w:val="clear" w:color="00FFFF" w:fill="C6D9F1" w:themeFill="text2" w:themeFillTint="33"/>
          </w:tcPr>
          <w:p w:rsidR="00654133" w:rsidRPr="007E0AF4" w:rsidRDefault="00654133" w:rsidP="00654133">
            <w:pPr>
              <w:autoSpaceDE w:val="0"/>
              <w:autoSpaceDN w:val="0"/>
              <w:adjustRightInd w:val="0"/>
              <w:rPr>
                <w:rFonts w:eastAsia="Calibri"/>
                <w:b/>
                <w:color w:val="000000"/>
                <w:sz w:val="22"/>
              </w:rPr>
            </w:pPr>
            <w:r w:rsidRPr="007E0AF4">
              <w:rPr>
                <w:rFonts w:eastAsia="Calibri"/>
                <w:b/>
                <w:color w:val="000000"/>
                <w:sz w:val="22"/>
              </w:rPr>
              <w:t xml:space="preserve">Територія, на яку матиме вплив реалізація </w:t>
            </w:r>
            <w:proofErr w:type="spellStart"/>
            <w:r w:rsidRPr="007E0AF4">
              <w:rPr>
                <w:rFonts w:eastAsia="Calibri"/>
                <w:b/>
                <w:color w:val="000000"/>
                <w:sz w:val="22"/>
              </w:rPr>
              <w:t>проєкту</w:t>
            </w:r>
            <w:proofErr w:type="spellEnd"/>
          </w:p>
        </w:tc>
        <w:tc>
          <w:tcPr>
            <w:tcW w:w="6946" w:type="dxa"/>
            <w:gridSpan w:val="7"/>
            <w:tcBorders>
              <w:top w:val="single" w:sz="4" w:space="0" w:color="000000"/>
              <w:left w:val="nil"/>
              <w:bottom w:val="single" w:sz="4" w:space="0" w:color="000000"/>
              <w:right w:val="single" w:sz="4" w:space="0" w:color="000000"/>
            </w:tcBorders>
            <w:shd w:val="clear" w:color="auto" w:fill="auto"/>
          </w:tcPr>
          <w:p w:rsidR="00654133" w:rsidRPr="007E0AF4" w:rsidRDefault="00654133" w:rsidP="00654133">
            <w:pPr>
              <w:autoSpaceDE w:val="0"/>
              <w:autoSpaceDN w:val="0"/>
              <w:adjustRightInd w:val="0"/>
              <w:rPr>
                <w:rFonts w:eastAsia="Calibri"/>
                <w:color w:val="000000"/>
                <w:sz w:val="22"/>
              </w:rPr>
            </w:pPr>
            <w:r w:rsidRPr="007E0AF4">
              <w:rPr>
                <w:color w:val="000000"/>
                <w:sz w:val="22"/>
              </w:rPr>
              <w:t>Сєвєродонецька міська територіальна громада</w:t>
            </w:r>
          </w:p>
        </w:tc>
      </w:tr>
      <w:tr w:rsidR="00654133" w:rsidRPr="007E0AF4" w:rsidTr="00F34B87">
        <w:trPr>
          <w:trHeight w:val="606"/>
        </w:trPr>
        <w:tc>
          <w:tcPr>
            <w:tcW w:w="3007" w:type="dxa"/>
            <w:shd w:val="clear" w:color="00FFFF" w:fill="C6D9F1" w:themeFill="text2" w:themeFillTint="33"/>
          </w:tcPr>
          <w:p w:rsidR="00654133" w:rsidRPr="007E0AF4" w:rsidRDefault="00654133" w:rsidP="00654133">
            <w:pPr>
              <w:autoSpaceDE w:val="0"/>
              <w:autoSpaceDN w:val="0"/>
              <w:adjustRightInd w:val="0"/>
              <w:rPr>
                <w:rFonts w:eastAsia="Calibri"/>
                <w:b/>
                <w:color w:val="000000"/>
                <w:sz w:val="22"/>
              </w:rPr>
            </w:pPr>
            <w:r w:rsidRPr="007E0AF4">
              <w:rPr>
                <w:rFonts w:eastAsia="Calibri"/>
                <w:b/>
                <w:color w:val="000000"/>
                <w:sz w:val="22"/>
              </w:rPr>
              <w:t xml:space="preserve">Чисельність населення, на яке матиме вплив реалізація </w:t>
            </w:r>
            <w:proofErr w:type="spellStart"/>
            <w:r w:rsidRPr="007E0AF4">
              <w:rPr>
                <w:rFonts w:eastAsia="Calibri"/>
                <w:b/>
                <w:color w:val="000000"/>
                <w:sz w:val="22"/>
              </w:rPr>
              <w:t>проєкту</w:t>
            </w:r>
            <w:proofErr w:type="spellEnd"/>
          </w:p>
        </w:tc>
        <w:tc>
          <w:tcPr>
            <w:tcW w:w="6946" w:type="dxa"/>
            <w:gridSpan w:val="7"/>
            <w:tcBorders>
              <w:top w:val="single" w:sz="4" w:space="0" w:color="000000"/>
              <w:left w:val="nil"/>
              <w:bottom w:val="single" w:sz="4" w:space="0" w:color="000000"/>
              <w:right w:val="single" w:sz="4" w:space="0" w:color="000000"/>
            </w:tcBorders>
            <w:shd w:val="clear" w:color="auto" w:fill="auto"/>
          </w:tcPr>
          <w:p w:rsidR="00654133" w:rsidRPr="007E0AF4" w:rsidRDefault="00654133" w:rsidP="00654133">
            <w:pPr>
              <w:autoSpaceDE w:val="0"/>
              <w:autoSpaceDN w:val="0"/>
              <w:adjustRightInd w:val="0"/>
              <w:rPr>
                <w:rFonts w:eastAsia="Calibri"/>
                <w:color w:val="000000"/>
                <w:sz w:val="22"/>
              </w:rPr>
            </w:pPr>
            <w:r w:rsidRPr="007E0AF4">
              <w:rPr>
                <w:color w:val="000000"/>
                <w:sz w:val="22"/>
              </w:rPr>
              <w:t>70 000 осіб</w:t>
            </w:r>
          </w:p>
        </w:tc>
      </w:tr>
      <w:tr w:rsidR="00654133" w:rsidRPr="007E0AF4" w:rsidTr="00F34B87">
        <w:trPr>
          <w:trHeight w:val="2259"/>
        </w:trPr>
        <w:tc>
          <w:tcPr>
            <w:tcW w:w="3007" w:type="dxa"/>
            <w:shd w:val="clear" w:color="00FFFF" w:fill="C6D9F1" w:themeFill="text2" w:themeFillTint="33"/>
          </w:tcPr>
          <w:p w:rsidR="00654133" w:rsidRPr="007E0AF4" w:rsidRDefault="00654133" w:rsidP="00654133">
            <w:pPr>
              <w:autoSpaceDE w:val="0"/>
              <w:autoSpaceDN w:val="0"/>
              <w:adjustRightInd w:val="0"/>
              <w:rPr>
                <w:rFonts w:eastAsia="Calibri"/>
                <w:b/>
                <w:color w:val="000000"/>
                <w:sz w:val="22"/>
              </w:rPr>
            </w:pPr>
            <w:r w:rsidRPr="007E0AF4">
              <w:rPr>
                <w:rFonts w:eastAsia="Calibri"/>
                <w:b/>
                <w:color w:val="000000"/>
                <w:sz w:val="22"/>
              </w:rPr>
              <w:t xml:space="preserve">Опис проблеми, на вирішення якої спрямований </w:t>
            </w:r>
            <w:proofErr w:type="spellStart"/>
            <w:r w:rsidRPr="007E0AF4">
              <w:rPr>
                <w:rFonts w:eastAsia="Calibri"/>
                <w:b/>
                <w:color w:val="000000"/>
                <w:sz w:val="22"/>
              </w:rPr>
              <w:t>проєкт</w:t>
            </w:r>
            <w:proofErr w:type="spellEnd"/>
          </w:p>
        </w:tc>
        <w:tc>
          <w:tcPr>
            <w:tcW w:w="6946" w:type="dxa"/>
            <w:gridSpan w:val="7"/>
            <w:tcBorders>
              <w:top w:val="single" w:sz="4" w:space="0" w:color="000000"/>
              <w:left w:val="nil"/>
              <w:bottom w:val="single" w:sz="4" w:space="0" w:color="000000"/>
              <w:right w:val="single" w:sz="4" w:space="0" w:color="000000"/>
            </w:tcBorders>
            <w:shd w:val="clear" w:color="auto" w:fill="auto"/>
          </w:tcPr>
          <w:p w:rsidR="00654133" w:rsidRPr="007E0AF4" w:rsidRDefault="00654133" w:rsidP="00654133">
            <w:pPr>
              <w:ind w:firstLine="396"/>
              <w:rPr>
                <w:sz w:val="22"/>
              </w:rPr>
            </w:pPr>
            <w:r w:rsidRPr="007E0AF4">
              <w:rPr>
                <w:sz w:val="22"/>
              </w:rPr>
              <w:t xml:space="preserve">Через військову агресію </w:t>
            </w:r>
            <w:r w:rsidR="00B63F40" w:rsidRPr="007E0AF4">
              <w:rPr>
                <w:sz w:val="22"/>
              </w:rPr>
              <w:t xml:space="preserve">РФ </w:t>
            </w:r>
            <w:r w:rsidRPr="007E0AF4">
              <w:rPr>
                <w:sz w:val="22"/>
              </w:rPr>
              <w:t>територія Сєвєродонецької міської територіальної громади зазнала значних пошкоджень. Гімназія      № 13 міста Сєвєродонецька Луганської області також була пошкоджена, внаслідок чого відбулася руйнація інфраструктури та матеріально-технічної бази закладу, а саме: частково пошкоджено зовнішні та внутрішні стіни, перекриття будівлі, покрівля, вентиляційна система, системи опалення, електропостачання, водопостачання та водовідведення, розбиті вікна та двері, пошкоджено внутрішні приміщення.</w:t>
            </w:r>
          </w:p>
          <w:p w:rsidR="00654133" w:rsidRPr="007E0AF4" w:rsidRDefault="00654133" w:rsidP="00654133">
            <w:pPr>
              <w:ind w:firstLine="396"/>
              <w:rPr>
                <w:sz w:val="22"/>
              </w:rPr>
            </w:pPr>
            <w:r w:rsidRPr="007E0AF4">
              <w:rPr>
                <w:sz w:val="22"/>
              </w:rPr>
              <w:t xml:space="preserve">Для відбудови та сталого розвитку громади потрібне відновлення роботи освітнього закладу. При капітальному ремонті можна значно підвищити енергоефективність будівлі. Знизити споживання енергії та зменшити негативний вплив на навколишнє середовище допоможуть такі заходи: теплоізоляція стін, відновлення енергоефективних вікон та дверей, удосконалення системи опалення та вентиляційної системи з урахуванням енергоефективності та комфорту приміщень, впровадження автономної системи електропостачання з використанням системи сонячних </w:t>
            </w:r>
            <w:proofErr w:type="spellStart"/>
            <w:r w:rsidRPr="007E0AF4">
              <w:rPr>
                <w:sz w:val="22"/>
              </w:rPr>
              <w:t>батарей</w:t>
            </w:r>
            <w:proofErr w:type="spellEnd"/>
            <w:r w:rsidRPr="007E0AF4">
              <w:rPr>
                <w:sz w:val="22"/>
              </w:rPr>
              <w:t>, встановлення сучасного енергозберігаючого, розумного освітлення.</w:t>
            </w:r>
          </w:p>
          <w:p w:rsidR="00654133" w:rsidRPr="007E0AF4" w:rsidRDefault="00654133" w:rsidP="00654133">
            <w:pPr>
              <w:ind w:firstLine="396"/>
              <w:rPr>
                <w:sz w:val="22"/>
              </w:rPr>
            </w:pPr>
            <w:r w:rsidRPr="007E0AF4">
              <w:rPr>
                <w:sz w:val="22"/>
              </w:rPr>
              <w:t xml:space="preserve">При відновленні системи водопостачання та водовідведення необхідно встановити системи очищення води системою зворотного </w:t>
            </w:r>
            <w:r w:rsidRPr="007E0AF4">
              <w:rPr>
                <w:sz w:val="22"/>
              </w:rPr>
              <w:lastRenderedPageBreak/>
              <w:t>осмосу, сенсорів та системи моніторингу, що дозволяють відстежувати якість води, рівень споживання та виявляти проблеми.</w:t>
            </w:r>
          </w:p>
          <w:p w:rsidR="00654133" w:rsidRPr="007E0AF4" w:rsidRDefault="00654133" w:rsidP="00654133">
            <w:pPr>
              <w:ind w:firstLine="396"/>
              <w:rPr>
                <w:sz w:val="22"/>
              </w:rPr>
            </w:pPr>
            <w:r w:rsidRPr="007E0AF4">
              <w:rPr>
                <w:sz w:val="22"/>
              </w:rPr>
              <w:t>Потребують ремонту та відновлення оздоблення підлоги, стін, стелі внутрішніх приміщень, облаштування сантехнікою туалети та інші приміщення.</w:t>
            </w:r>
          </w:p>
          <w:p w:rsidR="00654133" w:rsidRPr="007E0AF4" w:rsidRDefault="00654133" w:rsidP="00654133">
            <w:pPr>
              <w:ind w:firstLine="396"/>
              <w:rPr>
                <w:sz w:val="22"/>
              </w:rPr>
            </w:pPr>
            <w:r w:rsidRPr="007E0AF4">
              <w:rPr>
                <w:sz w:val="22"/>
              </w:rPr>
              <w:t xml:space="preserve">Для створення сучасного інклюзивного освітнього простору необхідно відновити пандус, туалет для інвалідів та дітей з особливими освітніми потребами, адаптувати класні кімнати, бібліотеку та інші приміщення для забезпечення </w:t>
            </w:r>
            <w:proofErr w:type="spellStart"/>
            <w:r w:rsidRPr="007E0AF4">
              <w:rPr>
                <w:sz w:val="22"/>
              </w:rPr>
              <w:t>безбар'єрного</w:t>
            </w:r>
            <w:proofErr w:type="spellEnd"/>
            <w:r w:rsidRPr="007E0AF4">
              <w:rPr>
                <w:sz w:val="22"/>
              </w:rPr>
              <w:t xml:space="preserve"> доступу.</w:t>
            </w:r>
          </w:p>
          <w:p w:rsidR="00654133" w:rsidRPr="007E0AF4" w:rsidRDefault="00654133" w:rsidP="00654133">
            <w:pPr>
              <w:ind w:firstLine="396"/>
              <w:rPr>
                <w:sz w:val="22"/>
              </w:rPr>
            </w:pPr>
            <w:r w:rsidRPr="007E0AF4">
              <w:rPr>
                <w:sz w:val="22"/>
              </w:rPr>
              <w:t>Відповідно до сучасних норм пожежної безпеки приміщення закладу необхідно обладнати протипожежною системою. Для підвищення безпеки всіх учасників освітнього процесу в сучасних умовах необхідно встановити систему відеоспостереження.</w:t>
            </w:r>
          </w:p>
          <w:p w:rsidR="00654133" w:rsidRPr="007E0AF4" w:rsidRDefault="00654133" w:rsidP="00654133">
            <w:pPr>
              <w:ind w:firstLine="396"/>
              <w:rPr>
                <w:sz w:val="22"/>
              </w:rPr>
            </w:pPr>
            <w:r w:rsidRPr="007E0AF4">
              <w:rPr>
                <w:sz w:val="22"/>
              </w:rPr>
              <w:t>Мешканці громади потребують отримання якісних освітніх послуг, які відповідають нормам сучасності.</w:t>
            </w:r>
          </w:p>
        </w:tc>
      </w:tr>
      <w:tr w:rsidR="00654133" w:rsidRPr="007E0AF4" w:rsidTr="00F34B87">
        <w:trPr>
          <w:trHeight w:val="1265"/>
        </w:trPr>
        <w:tc>
          <w:tcPr>
            <w:tcW w:w="3007" w:type="dxa"/>
            <w:shd w:val="clear" w:color="00FFFF" w:fill="C6D9F1" w:themeFill="text2" w:themeFillTint="33"/>
          </w:tcPr>
          <w:p w:rsidR="00654133" w:rsidRPr="007E0AF4" w:rsidRDefault="00654133" w:rsidP="00654133">
            <w:pPr>
              <w:autoSpaceDE w:val="0"/>
              <w:autoSpaceDN w:val="0"/>
              <w:adjustRightInd w:val="0"/>
              <w:rPr>
                <w:rFonts w:eastAsia="Calibri"/>
                <w:b/>
                <w:color w:val="000000"/>
                <w:sz w:val="22"/>
              </w:rPr>
            </w:pPr>
            <w:r w:rsidRPr="007E0AF4">
              <w:rPr>
                <w:rFonts w:eastAsia="Calibri"/>
                <w:b/>
                <w:color w:val="000000"/>
                <w:sz w:val="22"/>
              </w:rPr>
              <w:lastRenderedPageBreak/>
              <w:t xml:space="preserve">Очікувані якісні результати від реалізації </w:t>
            </w:r>
            <w:proofErr w:type="spellStart"/>
            <w:r w:rsidRPr="007E0AF4">
              <w:rPr>
                <w:rFonts w:eastAsia="Calibri"/>
                <w:b/>
                <w:color w:val="000000"/>
                <w:sz w:val="22"/>
              </w:rPr>
              <w:t>проєкту</w:t>
            </w:r>
            <w:proofErr w:type="spellEnd"/>
          </w:p>
        </w:tc>
        <w:tc>
          <w:tcPr>
            <w:tcW w:w="6946" w:type="dxa"/>
            <w:gridSpan w:val="7"/>
            <w:tcBorders>
              <w:top w:val="single" w:sz="4" w:space="0" w:color="000000"/>
              <w:left w:val="nil"/>
              <w:bottom w:val="single" w:sz="4" w:space="0" w:color="000000"/>
              <w:right w:val="single" w:sz="4" w:space="0" w:color="000000"/>
            </w:tcBorders>
            <w:shd w:val="clear" w:color="auto" w:fill="auto"/>
          </w:tcPr>
          <w:p w:rsidR="00654133" w:rsidRPr="007E0AF4" w:rsidRDefault="00654133" w:rsidP="000303D7">
            <w:pPr>
              <w:numPr>
                <w:ilvl w:val="0"/>
                <w:numId w:val="100"/>
              </w:numPr>
              <w:autoSpaceDE w:val="0"/>
              <w:autoSpaceDN w:val="0"/>
              <w:adjustRightInd w:val="0"/>
              <w:ind w:left="252" w:hanging="252"/>
              <w:rPr>
                <w:color w:val="000000"/>
                <w:sz w:val="22"/>
              </w:rPr>
            </w:pPr>
            <w:r w:rsidRPr="007E0AF4">
              <w:rPr>
                <w:color w:val="000000"/>
                <w:sz w:val="22"/>
              </w:rPr>
              <w:t>Задоволення освітніх потреб населення для сталого розвитку громади.</w:t>
            </w:r>
          </w:p>
          <w:p w:rsidR="00654133" w:rsidRPr="007E0AF4" w:rsidRDefault="00654133" w:rsidP="000303D7">
            <w:pPr>
              <w:numPr>
                <w:ilvl w:val="0"/>
                <w:numId w:val="100"/>
              </w:numPr>
              <w:autoSpaceDE w:val="0"/>
              <w:autoSpaceDN w:val="0"/>
              <w:adjustRightInd w:val="0"/>
              <w:ind w:left="252" w:hanging="252"/>
              <w:rPr>
                <w:color w:val="000000"/>
                <w:sz w:val="22"/>
              </w:rPr>
            </w:pPr>
            <w:r w:rsidRPr="007E0AF4">
              <w:rPr>
                <w:color w:val="000000"/>
                <w:sz w:val="22"/>
              </w:rPr>
              <w:t>Створення сучасного освітнього простору, безпечних та комфортних умов для всіх учасників освітнього процесу, здійснення капітального ремонту будівлі та внутрішніх приміщень закладу.</w:t>
            </w:r>
          </w:p>
          <w:p w:rsidR="00654133" w:rsidRPr="007E0AF4" w:rsidRDefault="00654133" w:rsidP="000303D7">
            <w:pPr>
              <w:numPr>
                <w:ilvl w:val="0"/>
                <w:numId w:val="100"/>
              </w:numPr>
              <w:autoSpaceDE w:val="0"/>
              <w:autoSpaceDN w:val="0"/>
              <w:adjustRightInd w:val="0"/>
              <w:ind w:left="252" w:hanging="252"/>
              <w:rPr>
                <w:color w:val="000000"/>
                <w:sz w:val="22"/>
              </w:rPr>
            </w:pPr>
            <w:r w:rsidRPr="007E0AF4">
              <w:rPr>
                <w:color w:val="000000"/>
                <w:sz w:val="22"/>
              </w:rPr>
              <w:t>Збереження робочих місць для всіх працівників закладу.</w:t>
            </w:r>
          </w:p>
          <w:p w:rsidR="00654133" w:rsidRPr="007E0AF4" w:rsidRDefault="00654133" w:rsidP="000303D7">
            <w:pPr>
              <w:numPr>
                <w:ilvl w:val="0"/>
                <w:numId w:val="100"/>
              </w:numPr>
              <w:autoSpaceDE w:val="0"/>
              <w:autoSpaceDN w:val="0"/>
              <w:adjustRightInd w:val="0"/>
              <w:ind w:left="252" w:hanging="252"/>
              <w:rPr>
                <w:color w:val="000000"/>
                <w:sz w:val="22"/>
              </w:rPr>
            </w:pPr>
            <w:r w:rsidRPr="007E0AF4">
              <w:rPr>
                <w:color w:val="000000"/>
                <w:sz w:val="22"/>
              </w:rPr>
              <w:t>Стимул до повернення ВПО до громади.</w:t>
            </w:r>
          </w:p>
          <w:p w:rsidR="00654133" w:rsidRPr="007E0AF4" w:rsidRDefault="00654133" w:rsidP="000303D7">
            <w:pPr>
              <w:numPr>
                <w:ilvl w:val="0"/>
                <w:numId w:val="100"/>
              </w:numPr>
              <w:autoSpaceDE w:val="0"/>
              <w:autoSpaceDN w:val="0"/>
              <w:adjustRightInd w:val="0"/>
              <w:ind w:left="252" w:hanging="252"/>
              <w:rPr>
                <w:color w:val="000000"/>
                <w:sz w:val="22"/>
              </w:rPr>
            </w:pPr>
            <w:r w:rsidRPr="007E0AF4">
              <w:rPr>
                <w:color w:val="000000"/>
                <w:sz w:val="22"/>
              </w:rPr>
              <w:t>Створення умов для соціального інтегрування осіб з особливими освітніми потребами.</w:t>
            </w:r>
          </w:p>
          <w:p w:rsidR="00654133" w:rsidRPr="007E0AF4" w:rsidRDefault="00654133" w:rsidP="000303D7">
            <w:pPr>
              <w:numPr>
                <w:ilvl w:val="0"/>
                <w:numId w:val="100"/>
              </w:numPr>
              <w:autoSpaceDE w:val="0"/>
              <w:autoSpaceDN w:val="0"/>
              <w:adjustRightInd w:val="0"/>
              <w:ind w:left="252" w:hanging="252"/>
              <w:rPr>
                <w:rFonts w:eastAsia="Calibri"/>
                <w:color w:val="000000"/>
                <w:sz w:val="22"/>
              </w:rPr>
            </w:pPr>
            <w:r w:rsidRPr="007E0AF4">
              <w:rPr>
                <w:color w:val="000000"/>
                <w:sz w:val="22"/>
              </w:rPr>
              <w:t>Енергозбереження та екологічна сталість.</w:t>
            </w:r>
          </w:p>
        </w:tc>
      </w:tr>
      <w:tr w:rsidR="00654133" w:rsidRPr="007E0AF4" w:rsidTr="00F34B87">
        <w:trPr>
          <w:trHeight w:val="840"/>
        </w:trPr>
        <w:tc>
          <w:tcPr>
            <w:tcW w:w="3007" w:type="dxa"/>
            <w:vMerge w:val="restart"/>
            <w:shd w:val="clear" w:color="00FFFF" w:fill="C6D9F1" w:themeFill="text2" w:themeFillTint="33"/>
          </w:tcPr>
          <w:p w:rsidR="00654133" w:rsidRPr="007E0AF4" w:rsidRDefault="00654133" w:rsidP="00654133">
            <w:pPr>
              <w:autoSpaceDE w:val="0"/>
              <w:autoSpaceDN w:val="0"/>
              <w:adjustRightInd w:val="0"/>
              <w:rPr>
                <w:rFonts w:eastAsia="Calibri"/>
                <w:b/>
                <w:color w:val="000000"/>
                <w:sz w:val="22"/>
              </w:rPr>
            </w:pPr>
            <w:r w:rsidRPr="007E0AF4">
              <w:rPr>
                <w:rFonts w:eastAsia="Calibri"/>
                <w:b/>
                <w:color w:val="000000"/>
                <w:sz w:val="22"/>
              </w:rPr>
              <w:t xml:space="preserve">Очікувані кількісні результати від реалізації </w:t>
            </w:r>
            <w:proofErr w:type="spellStart"/>
            <w:r w:rsidRPr="007E0AF4">
              <w:rPr>
                <w:rFonts w:eastAsia="Calibri"/>
                <w:b/>
                <w:color w:val="000000"/>
                <w:sz w:val="22"/>
              </w:rPr>
              <w:t>проєкту</w:t>
            </w:r>
            <w:proofErr w:type="spellEnd"/>
            <w:r w:rsidRPr="007E0AF4">
              <w:rPr>
                <w:rFonts w:eastAsia="Calibri"/>
                <w:b/>
                <w:color w:val="000000"/>
                <w:sz w:val="22"/>
              </w:rPr>
              <w:t xml:space="preserve"> (індикатори)</w:t>
            </w:r>
          </w:p>
        </w:tc>
        <w:tc>
          <w:tcPr>
            <w:tcW w:w="3827" w:type="dxa"/>
            <w:gridSpan w:val="3"/>
            <w:tcBorders>
              <w:top w:val="nil"/>
              <w:left w:val="nil"/>
              <w:bottom w:val="single" w:sz="4" w:space="0" w:color="000000"/>
              <w:right w:val="single" w:sz="4" w:space="0" w:color="000000"/>
            </w:tcBorders>
            <w:shd w:val="clear" w:color="auto" w:fill="auto"/>
            <w:vAlign w:val="center"/>
          </w:tcPr>
          <w:p w:rsidR="00654133" w:rsidRPr="007E0AF4" w:rsidRDefault="00654133" w:rsidP="00654133">
            <w:pPr>
              <w:autoSpaceDE w:val="0"/>
              <w:autoSpaceDN w:val="0"/>
              <w:adjustRightInd w:val="0"/>
              <w:jc w:val="center"/>
              <w:rPr>
                <w:rFonts w:eastAsia="Calibri"/>
                <w:b/>
                <w:color w:val="000000"/>
                <w:sz w:val="22"/>
              </w:rPr>
            </w:pPr>
            <w:r w:rsidRPr="007E0AF4">
              <w:rPr>
                <w:b/>
                <w:color w:val="000000"/>
                <w:sz w:val="22"/>
              </w:rPr>
              <w:t>Найменування показника</w:t>
            </w:r>
          </w:p>
        </w:tc>
        <w:tc>
          <w:tcPr>
            <w:tcW w:w="1671" w:type="dxa"/>
            <w:gridSpan w:val="2"/>
            <w:tcBorders>
              <w:top w:val="nil"/>
              <w:left w:val="nil"/>
              <w:bottom w:val="single" w:sz="4" w:space="0" w:color="000000"/>
              <w:right w:val="single" w:sz="4" w:space="0" w:color="000000"/>
            </w:tcBorders>
            <w:shd w:val="clear" w:color="auto" w:fill="auto"/>
            <w:vAlign w:val="center"/>
          </w:tcPr>
          <w:p w:rsidR="00654133" w:rsidRPr="007E0AF4" w:rsidRDefault="00654133" w:rsidP="00654133">
            <w:pPr>
              <w:autoSpaceDE w:val="0"/>
              <w:autoSpaceDN w:val="0"/>
              <w:adjustRightInd w:val="0"/>
              <w:jc w:val="center"/>
              <w:rPr>
                <w:rFonts w:eastAsia="Calibri"/>
                <w:b/>
                <w:color w:val="000000"/>
                <w:sz w:val="22"/>
              </w:rPr>
            </w:pPr>
            <w:r w:rsidRPr="007E0AF4">
              <w:rPr>
                <w:b/>
                <w:color w:val="000000"/>
                <w:sz w:val="22"/>
              </w:rPr>
              <w:t>Одиниця вимірювання</w:t>
            </w:r>
          </w:p>
        </w:tc>
        <w:tc>
          <w:tcPr>
            <w:tcW w:w="1448" w:type="dxa"/>
            <w:gridSpan w:val="2"/>
            <w:tcBorders>
              <w:top w:val="single" w:sz="4" w:space="0" w:color="000000"/>
              <w:left w:val="nil"/>
              <w:bottom w:val="single" w:sz="4" w:space="0" w:color="000000"/>
              <w:right w:val="single" w:sz="4" w:space="0" w:color="000000"/>
            </w:tcBorders>
            <w:shd w:val="clear" w:color="auto" w:fill="auto"/>
            <w:vAlign w:val="center"/>
          </w:tcPr>
          <w:p w:rsidR="00654133" w:rsidRPr="007E0AF4" w:rsidRDefault="00654133" w:rsidP="00654133">
            <w:pPr>
              <w:autoSpaceDE w:val="0"/>
              <w:autoSpaceDN w:val="0"/>
              <w:adjustRightInd w:val="0"/>
              <w:jc w:val="center"/>
              <w:rPr>
                <w:rFonts w:eastAsia="Calibri"/>
                <w:b/>
                <w:color w:val="000000"/>
                <w:sz w:val="22"/>
              </w:rPr>
            </w:pPr>
            <w:r w:rsidRPr="007E0AF4">
              <w:rPr>
                <w:b/>
                <w:color w:val="000000"/>
                <w:sz w:val="22"/>
              </w:rPr>
              <w:t>Прогнозне (цільове) значення</w:t>
            </w:r>
          </w:p>
        </w:tc>
      </w:tr>
      <w:tr w:rsidR="00654133" w:rsidRPr="007E0AF4" w:rsidTr="00F34B87">
        <w:trPr>
          <w:trHeight w:val="1107"/>
        </w:trPr>
        <w:tc>
          <w:tcPr>
            <w:tcW w:w="3007" w:type="dxa"/>
            <w:vMerge/>
            <w:shd w:val="clear" w:color="00FFFF" w:fill="C6D9F1" w:themeFill="text2" w:themeFillTint="33"/>
          </w:tcPr>
          <w:p w:rsidR="00654133" w:rsidRPr="007E0AF4" w:rsidRDefault="00654133" w:rsidP="00654133">
            <w:pPr>
              <w:autoSpaceDE w:val="0"/>
              <w:autoSpaceDN w:val="0"/>
              <w:adjustRightInd w:val="0"/>
              <w:rPr>
                <w:rFonts w:eastAsia="Calibri"/>
                <w:b/>
                <w:color w:val="000000"/>
                <w:sz w:val="22"/>
              </w:rPr>
            </w:pPr>
          </w:p>
        </w:tc>
        <w:tc>
          <w:tcPr>
            <w:tcW w:w="3827" w:type="dxa"/>
            <w:gridSpan w:val="3"/>
            <w:tcBorders>
              <w:top w:val="nil"/>
              <w:left w:val="single" w:sz="4" w:space="0" w:color="auto"/>
              <w:bottom w:val="single" w:sz="4" w:space="0" w:color="auto"/>
              <w:right w:val="single" w:sz="4" w:space="0" w:color="auto"/>
            </w:tcBorders>
            <w:shd w:val="clear" w:color="auto" w:fill="auto"/>
          </w:tcPr>
          <w:p w:rsidR="00654133" w:rsidRPr="007E0AF4" w:rsidRDefault="00654133" w:rsidP="00654133">
            <w:pPr>
              <w:autoSpaceDE w:val="0"/>
              <w:autoSpaceDN w:val="0"/>
              <w:adjustRightInd w:val="0"/>
              <w:rPr>
                <w:rFonts w:eastAsia="Calibri"/>
                <w:color w:val="000000"/>
                <w:sz w:val="22"/>
              </w:rPr>
            </w:pPr>
            <w:r w:rsidRPr="007E0AF4">
              <w:rPr>
                <w:color w:val="000000"/>
                <w:sz w:val="22"/>
              </w:rPr>
              <w:t>Здобувачі освіти, вчителі та працівники закладу, батьки, мешканці мікрорайону</w:t>
            </w:r>
          </w:p>
        </w:tc>
        <w:tc>
          <w:tcPr>
            <w:tcW w:w="1671" w:type="dxa"/>
            <w:gridSpan w:val="2"/>
            <w:tcBorders>
              <w:top w:val="nil"/>
              <w:left w:val="nil"/>
              <w:bottom w:val="single" w:sz="4" w:space="0" w:color="auto"/>
              <w:right w:val="single" w:sz="4" w:space="0" w:color="auto"/>
            </w:tcBorders>
            <w:shd w:val="clear" w:color="auto" w:fill="auto"/>
          </w:tcPr>
          <w:p w:rsidR="00654133" w:rsidRPr="007E0AF4" w:rsidRDefault="00654133" w:rsidP="00654133">
            <w:pPr>
              <w:autoSpaceDE w:val="0"/>
              <w:autoSpaceDN w:val="0"/>
              <w:adjustRightInd w:val="0"/>
              <w:rPr>
                <w:rFonts w:eastAsia="Calibri"/>
                <w:color w:val="000000"/>
                <w:sz w:val="22"/>
              </w:rPr>
            </w:pPr>
            <w:r w:rsidRPr="007E0AF4">
              <w:rPr>
                <w:color w:val="000000"/>
                <w:sz w:val="22"/>
              </w:rPr>
              <w:t>осіб</w:t>
            </w:r>
          </w:p>
        </w:tc>
        <w:tc>
          <w:tcPr>
            <w:tcW w:w="1448" w:type="dxa"/>
            <w:gridSpan w:val="2"/>
            <w:tcBorders>
              <w:top w:val="single" w:sz="4" w:space="0" w:color="auto"/>
              <w:left w:val="nil"/>
              <w:bottom w:val="single" w:sz="4" w:space="0" w:color="auto"/>
              <w:right w:val="single" w:sz="4" w:space="0" w:color="000000"/>
            </w:tcBorders>
            <w:shd w:val="clear" w:color="auto" w:fill="auto"/>
          </w:tcPr>
          <w:p w:rsidR="00654133" w:rsidRPr="007E0AF4" w:rsidRDefault="00654133" w:rsidP="00654133">
            <w:pPr>
              <w:autoSpaceDE w:val="0"/>
              <w:autoSpaceDN w:val="0"/>
              <w:adjustRightInd w:val="0"/>
              <w:rPr>
                <w:rFonts w:eastAsia="Calibri"/>
                <w:color w:val="000000"/>
                <w:sz w:val="22"/>
              </w:rPr>
            </w:pPr>
            <w:r w:rsidRPr="007E0AF4">
              <w:rPr>
                <w:color w:val="000000"/>
                <w:sz w:val="22"/>
              </w:rPr>
              <w:t>1000</w:t>
            </w:r>
          </w:p>
        </w:tc>
      </w:tr>
      <w:tr w:rsidR="00654133" w:rsidRPr="007E0AF4" w:rsidTr="00F34B87">
        <w:trPr>
          <w:trHeight w:val="699"/>
        </w:trPr>
        <w:tc>
          <w:tcPr>
            <w:tcW w:w="3007" w:type="dxa"/>
            <w:shd w:val="clear" w:color="00FFFF" w:fill="C6D9F1" w:themeFill="text2" w:themeFillTint="33"/>
          </w:tcPr>
          <w:p w:rsidR="00654133" w:rsidRPr="007E0AF4" w:rsidRDefault="00654133" w:rsidP="00654133">
            <w:pPr>
              <w:autoSpaceDE w:val="0"/>
              <w:autoSpaceDN w:val="0"/>
              <w:adjustRightInd w:val="0"/>
              <w:rPr>
                <w:rFonts w:eastAsia="Calibri"/>
                <w:b/>
                <w:color w:val="000000"/>
                <w:sz w:val="22"/>
              </w:rPr>
            </w:pPr>
            <w:r w:rsidRPr="007E0AF4">
              <w:rPr>
                <w:rFonts w:eastAsia="Calibri"/>
                <w:b/>
                <w:color w:val="000000"/>
                <w:sz w:val="22"/>
              </w:rPr>
              <w:t xml:space="preserve">Ключові заходи </w:t>
            </w:r>
            <w:proofErr w:type="spellStart"/>
            <w:r w:rsidRPr="007E0AF4">
              <w:rPr>
                <w:rFonts w:eastAsia="Calibri"/>
                <w:b/>
                <w:color w:val="000000"/>
                <w:sz w:val="22"/>
              </w:rPr>
              <w:t>проєкту</w:t>
            </w:r>
            <w:proofErr w:type="spellEnd"/>
            <w:r w:rsidRPr="007E0AF4">
              <w:rPr>
                <w:rFonts w:eastAsia="Calibri"/>
                <w:b/>
                <w:color w:val="000000"/>
                <w:sz w:val="22"/>
              </w:rPr>
              <w:t>:</w:t>
            </w:r>
          </w:p>
        </w:tc>
        <w:tc>
          <w:tcPr>
            <w:tcW w:w="6946" w:type="dxa"/>
            <w:gridSpan w:val="7"/>
            <w:tcBorders>
              <w:top w:val="single" w:sz="4" w:space="0" w:color="000000"/>
              <w:left w:val="nil"/>
              <w:bottom w:val="single" w:sz="4" w:space="0" w:color="000000"/>
              <w:right w:val="single" w:sz="4" w:space="0" w:color="000000"/>
            </w:tcBorders>
            <w:shd w:val="clear" w:color="auto" w:fill="auto"/>
          </w:tcPr>
          <w:p w:rsidR="00654133" w:rsidRPr="007E0AF4" w:rsidRDefault="00654133" w:rsidP="000303D7">
            <w:pPr>
              <w:numPr>
                <w:ilvl w:val="0"/>
                <w:numId w:val="99"/>
              </w:numPr>
              <w:autoSpaceDE w:val="0"/>
              <w:autoSpaceDN w:val="0"/>
              <w:adjustRightInd w:val="0"/>
              <w:ind w:left="252" w:hanging="252"/>
              <w:rPr>
                <w:color w:val="000000"/>
                <w:sz w:val="22"/>
              </w:rPr>
            </w:pPr>
            <w:r w:rsidRPr="007E0AF4">
              <w:rPr>
                <w:color w:val="000000"/>
                <w:sz w:val="22"/>
              </w:rPr>
              <w:t>Проведення моніторингу поточного стану будівлі закладу освіти.</w:t>
            </w:r>
          </w:p>
          <w:p w:rsidR="00654133" w:rsidRPr="007E0AF4" w:rsidRDefault="00654133" w:rsidP="000303D7">
            <w:pPr>
              <w:numPr>
                <w:ilvl w:val="0"/>
                <w:numId w:val="99"/>
              </w:numPr>
              <w:autoSpaceDE w:val="0"/>
              <w:autoSpaceDN w:val="0"/>
              <w:adjustRightInd w:val="0"/>
              <w:ind w:left="252" w:hanging="252"/>
              <w:rPr>
                <w:color w:val="000000"/>
                <w:sz w:val="22"/>
              </w:rPr>
            </w:pPr>
            <w:r w:rsidRPr="007E0AF4">
              <w:rPr>
                <w:color w:val="000000"/>
                <w:sz w:val="22"/>
              </w:rPr>
              <w:t xml:space="preserve">Розробка </w:t>
            </w:r>
            <w:proofErr w:type="spellStart"/>
            <w:r w:rsidRPr="007E0AF4">
              <w:rPr>
                <w:color w:val="000000"/>
                <w:sz w:val="22"/>
              </w:rPr>
              <w:t>про</w:t>
            </w:r>
            <w:r w:rsidR="006211A2" w:rsidRPr="007E0AF4">
              <w:rPr>
                <w:color w:val="000000"/>
                <w:sz w:val="22"/>
              </w:rPr>
              <w:t>є</w:t>
            </w:r>
            <w:r w:rsidRPr="007E0AF4">
              <w:rPr>
                <w:color w:val="000000"/>
                <w:sz w:val="22"/>
              </w:rPr>
              <w:t>ктно</w:t>
            </w:r>
            <w:proofErr w:type="spellEnd"/>
            <w:r w:rsidRPr="007E0AF4">
              <w:rPr>
                <w:color w:val="000000"/>
                <w:sz w:val="22"/>
              </w:rPr>
              <w:t>-кошторисної документації.</w:t>
            </w:r>
          </w:p>
          <w:p w:rsidR="00654133" w:rsidRPr="007E0AF4" w:rsidRDefault="00654133" w:rsidP="000303D7">
            <w:pPr>
              <w:numPr>
                <w:ilvl w:val="0"/>
                <w:numId w:val="99"/>
              </w:numPr>
              <w:autoSpaceDE w:val="0"/>
              <w:autoSpaceDN w:val="0"/>
              <w:adjustRightInd w:val="0"/>
              <w:ind w:left="252" w:hanging="252"/>
              <w:rPr>
                <w:color w:val="000000"/>
                <w:sz w:val="22"/>
              </w:rPr>
            </w:pPr>
            <w:r w:rsidRPr="007E0AF4">
              <w:rPr>
                <w:color w:val="000000"/>
                <w:sz w:val="22"/>
              </w:rPr>
              <w:t>Вивчення ринкових пропозицій щодо вартості робіт і необхідних матеріалів.</w:t>
            </w:r>
          </w:p>
          <w:p w:rsidR="00654133" w:rsidRPr="007E0AF4" w:rsidRDefault="00654133" w:rsidP="000303D7">
            <w:pPr>
              <w:numPr>
                <w:ilvl w:val="0"/>
                <w:numId w:val="99"/>
              </w:numPr>
              <w:autoSpaceDE w:val="0"/>
              <w:autoSpaceDN w:val="0"/>
              <w:adjustRightInd w:val="0"/>
              <w:ind w:left="252" w:hanging="252"/>
              <w:rPr>
                <w:color w:val="000000"/>
                <w:sz w:val="22"/>
              </w:rPr>
            </w:pPr>
            <w:r w:rsidRPr="007E0AF4">
              <w:rPr>
                <w:color w:val="000000"/>
                <w:sz w:val="22"/>
              </w:rPr>
              <w:t>Закупка необхідних обладнання та матеріалів.</w:t>
            </w:r>
          </w:p>
          <w:p w:rsidR="00654133" w:rsidRPr="007E0AF4" w:rsidRDefault="00654133" w:rsidP="000303D7">
            <w:pPr>
              <w:numPr>
                <w:ilvl w:val="0"/>
                <w:numId w:val="99"/>
              </w:numPr>
              <w:autoSpaceDE w:val="0"/>
              <w:autoSpaceDN w:val="0"/>
              <w:adjustRightInd w:val="0"/>
              <w:ind w:left="252" w:hanging="252"/>
              <w:rPr>
                <w:color w:val="000000"/>
                <w:sz w:val="22"/>
              </w:rPr>
            </w:pPr>
            <w:r w:rsidRPr="007E0AF4">
              <w:rPr>
                <w:color w:val="000000"/>
                <w:sz w:val="22"/>
              </w:rPr>
              <w:t>Виконання капітального ремонту будівлі освітнього закладу:</w:t>
            </w:r>
          </w:p>
          <w:p w:rsidR="00654133" w:rsidRPr="007E0AF4" w:rsidRDefault="00654133" w:rsidP="000303D7">
            <w:pPr>
              <w:numPr>
                <w:ilvl w:val="0"/>
                <w:numId w:val="98"/>
              </w:numPr>
              <w:autoSpaceDE w:val="0"/>
              <w:autoSpaceDN w:val="0"/>
              <w:adjustRightInd w:val="0"/>
              <w:ind w:left="252" w:hanging="142"/>
              <w:rPr>
                <w:color w:val="000000"/>
                <w:sz w:val="22"/>
              </w:rPr>
            </w:pPr>
            <w:r w:rsidRPr="007E0AF4">
              <w:rPr>
                <w:color w:val="000000"/>
                <w:sz w:val="22"/>
              </w:rPr>
              <w:t>відновлення та утеплення стін, капітальний ремонт покрівлі даху, тамбурів входів, сходів, пандусу, цоколю будівлі;</w:t>
            </w:r>
          </w:p>
          <w:p w:rsidR="00654133" w:rsidRPr="007E0AF4" w:rsidRDefault="00654133" w:rsidP="000303D7">
            <w:pPr>
              <w:numPr>
                <w:ilvl w:val="0"/>
                <w:numId w:val="98"/>
              </w:numPr>
              <w:autoSpaceDE w:val="0"/>
              <w:autoSpaceDN w:val="0"/>
              <w:adjustRightInd w:val="0"/>
              <w:ind w:left="252" w:hanging="142"/>
              <w:rPr>
                <w:color w:val="000000"/>
                <w:sz w:val="22"/>
              </w:rPr>
            </w:pPr>
            <w:r w:rsidRPr="007E0AF4">
              <w:rPr>
                <w:color w:val="000000"/>
                <w:sz w:val="22"/>
              </w:rPr>
              <w:t>демонтаж пошкоджених та встановлення енергозберігаючих вікон та дверей;</w:t>
            </w:r>
          </w:p>
          <w:p w:rsidR="00654133" w:rsidRPr="007E0AF4" w:rsidRDefault="00654133" w:rsidP="000303D7">
            <w:pPr>
              <w:numPr>
                <w:ilvl w:val="0"/>
                <w:numId w:val="98"/>
              </w:numPr>
              <w:autoSpaceDE w:val="0"/>
              <w:autoSpaceDN w:val="0"/>
              <w:adjustRightInd w:val="0"/>
              <w:ind w:left="252" w:hanging="142"/>
              <w:rPr>
                <w:color w:val="000000"/>
                <w:sz w:val="22"/>
              </w:rPr>
            </w:pPr>
            <w:r w:rsidRPr="007E0AF4">
              <w:rPr>
                <w:color w:val="000000"/>
                <w:sz w:val="22"/>
              </w:rPr>
              <w:t>відновлення та удосконалення системи опалення та вентиляційної системи з урахуванням вимог безпеки, енергоефективності та комфорту приміщень;</w:t>
            </w:r>
          </w:p>
          <w:p w:rsidR="00654133" w:rsidRPr="007E0AF4" w:rsidRDefault="00654133" w:rsidP="000303D7">
            <w:pPr>
              <w:numPr>
                <w:ilvl w:val="0"/>
                <w:numId w:val="98"/>
              </w:numPr>
              <w:autoSpaceDE w:val="0"/>
              <w:autoSpaceDN w:val="0"/>
              <w:adjustRightInd w:val="0"/>
              <w:ind w:left="252" w:hanging="142"/>
              <w:rPr>
                <w:color w:val="000000"/>
                <w:sz w:val="22"/>
              </w:rPr>
            </w:pPr>
            <w:r w:rsidRPr="007E0AF4">
              <w:rPr>
                <w:color w:val="000000"/>
                <w:sz w:val="22"/>
              </w:rPr>
              <w:t xml:space="preserve">відновлення системи електропостачання та освітлення, встановлення системи сонячних </w:t>
            </w:r>
            <w:proofErr w:type="spellStart"/>
            <w:r w:rsidRPr="007E0AF4">
              <w:rPr>
                <w:color w:val="000000"/>
                <w:sz w:val="22"/>
              </w:rPr>
              <w:t>батарей</w:t>
            </w:r>
            <w:proofErr w:type="spellEnd"/>
            <w:r w:rsidRPr="007E0AF4">
              <w:rPr>
                <w:color w:val="000000"/>
                <w:sz w:val="22"/>
              </w:rPr>
              <w:t>, встановлення сучасного енергозберігаючого, розумного освітлення в навчальних кабінетах, бібліотеці, їдальні, спортивній залі та інших приміщеннях, на подвір'ї та спортивних майданчиках закладу;</w:t>
            </w:r>
          </w:p>
          <w:p w:rsidR="00654133" w:rsidRPr="007E0AF4" w:rsidRDefault="00654133" w:rsidP="000303D7">
            <w:pPr>
              <w:numPr>
                <w:ilvl w:val="0"/>
                <w:numId w:val="98"/>
              </w:numPr>
              <w:autoSpaceDE w:val="0"/>
              <w:autoSpaceDN w:val="0"/>
              <w:adjustRightInd w:val="0"/>
              <w:ind w:left="252" w:hanging="142"/>
              <w:rPr>
                <w:color w:val="000000"/>
                <w:sz w:val="22"/>
              </w:rPr>
            </w:pPr>
            <w:r w:rsidRPr="007E0AF4">
              <w:rPr>
                <w:color w:val="000000"/>
                <w:sz w:val="22"/>
              </w:rPr>
              <w:t>відновлення системи водопостачання та водовідведення, встановлення системи очищення води системою зворотного осмосу та системи моніторингу для відстеження якості та рівня споживання води;</w:t>
            </w:r>
          </w:p>
          <w:p w:rsidR="00654133" w:rsidRPr="007E0AF4" w:rsidRDefault="00654133" w:rsidP="000303D7">
            <w:pPr>
              <w:numPr>
                <w:ilvl w:val="0"/>
                <w:numId w:val="98"/>
              </w:numPr>
              <w:autoSpaceDE w:val="0"/>
              <w:autoSpaceDN w:val="0"/>
              <w:adjustRightInd w:val="0"/>
              <w:ind w:left="252" w:hanging="142"/>
              <w:rPr>
                <w:color w:val="000000"/>
                <w:sz w:val="22"/>
              </w:rPr>
            </w:pPr>
            <w:r w:rsidRPr="007E0AF4">
              <w:rPr>
                <w:color w:val="000000"/>
                <w:sz w:val="22"/>
              </w:rPr>
              <w:lastRenderedPageBreak/>
              <w:t>облаштування туалетів та інші приміщень необхідною сантехнікою, туалету для осіб з інвалідністю та дітей з особливими освітніми потребами.</w:t>
            </w:r>
          </w:p>
          <w:p w:rsidR="00654133" w:rsidRPr="007E0AF4" w:rsidRDefault="00654133" w:rsidP="000303D7">
            <w:pPr>
              <w:numPr>
                <w:ilvl w:val="0"/>
                <w:numId w:val="99"/>
              </w:numPr>
              <w:autoSpaceDE w:val="0"/>
              <w:autoSpaceDN w:val="0"/>
              <w:adjustRightInd w:val="0"/>
              <w:ind w:left="252" w:hanging="252"/>
              <w:rPr>
                <w:sz w:val="22"/>
              </w:rPr>
            </w:pPr>
            <w:r w:rsidRPr="007E0AF4">
              <w:rPr>
                <w:color w:val="000000"/>
                <w:sz w:val="22"/>
              </w:rPr>
              <w:t>Виконання ремонту внутрішніх приміщень: ремонт та відновлення оздоблення підлоги, стін, стелі навчальних кабінетах, спортивному залі, їдальні, медпункті, бібліотеці тощо</w:t>
            </w:r>
            <w:r w:rsidRPr="007E0AF4">
              <w:rPr>
                <w:sz w:val="22"/>
              </w:rPr>
              <w:t>.</w:t>
            </w:r>
          </w:p>
          <w:p w:rsidR="00654133" w:rsidRPr="007E0AF4" w:rsidRDefault="00654133" w:rsidP="000303D7">
            <w:pPr>
              <w:numPr>
                <w:ilvl w:val="0"/>
                <w:numId w:val="99"/>
              </w:numPr>
              <w:autoSpaceDE w:val="0"/>
              <w:autoSpaceDN w:val="0"/>
              <w:adjustRightInd w:val="0"/>
              <w:ind w:left="252" w:hanging="252"/>
              <w:rPr>
                <w:color w:val="000000"/>
                <w:sz w:val="22"/>
              </w:rPr>
            </w:pPr>
            <w:r w:rsidRPr="007E0AF4">
              <w:rPr>
                <w:color w:val="000000"/>
                <w:sz w:val="22"/>
              </w:rPr>
              <w:t>Встановлення протипожежної системи та системи відеоспостереження.</w:t>
            </w:r>
          </w:p>
          <w:p w:rsidR="00654133" w:rsidRPr="007E0AF4" w:rsidRDefault="00654133" w:rsidP="000303D7">
            <w:pPr>
              <w:numPr>
                <w:ilvl w:val="0"/>
                <w:numId w:val="99"/>
              </w:numPr>
              <w:autoSpaceDE w:val="0"/>
              <w:autoSpaceDN w:val="0"/>
              <w:adjustRightInd w:val="0"/>
              <w:ind w:left="252" w:hanging="252"/>
              <w:rPr>
                <w:color w:val="000000"/>
                <w:sz w:val="22"/>
              </w:rPr>
            </w:pPr>
            <w:r w:rsidRPr="007E0AF4">
              <w:rPr>
                <w:color w:val="000000"/>
                <w:sz w:val="22"/>
              </w:rPr>
              <w:t xml:space="preserve">Моніторинг та оцінка реалізації </w:t>
            </w:r>
            <w:proofErr w:type="spellStart"/>
            <w:r w:rsidRPr="007E0AF4">
              <w:rPr>
                <w:color w:val="000000"/>
                <w:sz w:val="22"/>
              </w:rPr>
              <w:t>про</w:t>
            </w:r>
            <w:r w:rsidR="006211A2" w:rsidRPr="007E0AF4">
              <w:rPr>
                <w:color w:val="000000"/>
                <w:sz w:val="22"/>
              </w:rPr>
              <w:t>є</w:t>
            </w:r>
            <w:r w:rsidRPr="007E0AF4">
              <w:rPr>
                <w:color w:val="000000"/>
                <w:sz w:val="22"/>
              </w:rPr>
              <w:t>кту</w:t>
            </w:r>
            <w:proofErr w:type="spellEnd"/>
            <w:r w:rsidRPr="007E0AF4">
              <w:rPr>
                <w:color w:val="000000"/>
                <w:sz w:val="22"/>
              </w:rPr>
              <w:t>.</w:t>
            </w:r>
          </w:p>
          <w:p w:rsidR="00654133" w:rsidRPr="007E0AF4" w:rsidRDefault="00654133" w:rsidP="000303D7">
            <w:pPr>
              <w:numPr>
                <w:ilvl w:val="0"/>
                <w:numId w:val="99"/>
              </w:numPr>
              <w:autoSpaceDE w:val="0"/>
              <w:autoSpaceDN w:val="0"/>
              <w:adjustRightInd w:val="0"/>
              <w:ind w:left="252" w:hanging="252"/>
              <w:rPr>
                <w:color w:val="000000"/>
                <w:sz w:val="22"/>
              </w:rPr>
            </w:pPr>
            <w:r w:rsidRPr="007E0AF4">
              <w:rPr>
                <w:color w:val="000000"/>
                <w:sz w:val="22"/>
              </w:rPr>
              <w:t xml:space="preserve">Організація та початок роботи освітнього закладу. </w:t>
            </w:r>
          </w:p>
        </w:tc>
      </w:tr>
      <w:tr w:rsidR="00654133" w:rsidRPr="007E0AF4" w:rsidTr="00F34B87">
        <w:trPr>
          <w:trHeight w:val="528"/>
        </w:trPr>
        <w:tc>
          <w:tcPr>
            <w:tcW w:w="3007" w:type="dxa"/>
            <w:vMerge w:val="restart"/>
            <w:shd w:val="clear" w:color="00FFFF" w:fill="C6D9F1" w:themeFill="text2" w:themeFillTint="33"/>
          </w:tcPr>
          <w:p w:rsidR="00654133" w:rsidRPr="007E0AF4" w:rsidRDefault="00654133" w:rsidP="00654133">
            <w:pPr>
              <w:autoSpaceDE w:val="0"/>
              <w:autoSpaceDN w:val="0"/>
              <w:adjustRightInd w:val="0"/>
              <w:rPr>
                <w:rFonts w:eastAsia="Calibri"/>
                <w:b/>
                <w:color w:val="000000"/>
                <w:sz w:val="22"/>
              </w:rPr>
            </w:pPr>
            <w:r w:rsidRPr="007E0AF4">
              <w:rPr>
                <w:rFonts w:eastAsia="Calibri"/>
                <w:b/>
                <w:color w:val="000000"/>
                <w:sz w:val="22"/>
              </w:rPr>
              <w:lastRenderedPageBreak/>
              <w:t>Орієнтовний обсяг та джерела фінансування,  тис. гривень</w:t>
            </w:r>
          </w:p>
        </w:tc>
        <w:tc>
          <w:tcPr>
            <w:tcW w:w="1418" w:type="dxa"/>
            <w:vAlign w:val="center"/>
          </w:tcPr>
          <w:p w:rsidR="00654133" w:rsidRPr="007E0AF4" w:rsidRDefault="00654133" w:rsidP="00654133">
            <w:pPr>
              <w:autoSpaceDE w:val="0"/>
              <w:autoSpaceDN w:val="0"/>
              <w:adjustRightInd w:val="0"/>
              <w:jc w:val="center"/>
              <w:rPr>
                <w:rFonts w:eastAsia="Calibri"/>
                <w:b/>
                <w:color w:val="000000"/>
                <w:sz w:val="22"/>
              </w:rPr>
            </w:pPr>
            <w:r w:rsidRPr="007E0AF4">
              <w:rPr>
                <w:rFonts w:eastAsia="Calibri"/>
                <w:b/>
                <w:color w:val="000000"/>
                <w:sz w:val="22"/>
              </w:rPr>
              <w:t>Державний бюджет</w:t>
            </w:r>
          </w:p>
        </w:tc>
        <w:tc>
          <w:tcPr>
            <w:tcW w:w="1559" w:type="dxa"/>
            <w:vAlign w:val="center"/>
          </w:tcPr>
          <w:p w:rsidR="00654133" w:rsidRPr="007E0AF4" w:rsidRDefault="00654133" w:rsidP="00654133">
            <w:pPr>
              <w:autoSpaceDE w:val="0"/>
              <w:autoSpaceDN w:val="0"/>
              <w:adjustRightInd w:val="0"/>
              <w:jc w:val="center"/>
              <w:rPr>
                <w:rFonts w:eastAsia="Calibri"/>
                <w:b/>
                <w:color w:val="000000"/>
                <w:sz w:val="22"/>
              </w:rPr>
            </w:pPr>
            <w:r w:rsidRPr="007E0AF4">
              <w:rPr>
                <w:rFonts w:eastAsia="Calibri"/>
                <w:b/>
                <w:color w:val="000000"/>
                <w:sz w:val="22"/>
              </w:rPr>
              <w:t>Місцевий бюджет</w:t>
            </w:r>
          </w:p>
        </w:tc>
        <w:tc>
          <w:tcPr>
            <w:tcW w:w="2804" w:type="dxa"/>
            <w:gridSpan w:val="4"/>
            <w:vAlign w:val="center"/>
          </w:tcPr>
          <w:p w:rsidR="00654133" w:rsidRPr="007E0AF4" w:rsidRDefault="00654133" w:rsidP="00654133">
            <w:pPr>
              <w:autoSpaceDE w:val="0"/>
              <w:autoSpaceDN w:val="0"/>
              <w:adjustRightInd w:val="0"/>
              <w:jc w:val="center"/>
              <w:rPr>
                <w:rFonts w:eastAsia="Calibri"/>
                <w:b/>
                <w:color w:val="000000"/>
                <w:sz w:val="22"/>
              </w:rPr>
            </w:pPr>
            <w:r w:rsidRPr="007E0AF4">
              <w:rPr>
                <w:rFonts w:eastAsia="Calibri"/>
                <w:b/>
                <w:color w:val="000000"/>
                <w:sz w:val="22"/>
              </w:rPr>
              <w:t>Інші джерела</w:t>
            </w:r>
          </w:p>
        </w:tc>
        <w:tc>
          <w:tcPr>
            <w:tcW w:w="1165" w:type="dxa"/>
            <w:vAlign w:val="center"/>
          </w:tcPr>
          <w:p w:rsidR="00654133" w:rsidRPr="007E0AF4" w:rsidRDefault="00654133" w:rsidP="00654133">
            <w:pPr>
              <w:autoSpaceDE w:val="0"/>
              <w:autoSpaceDN w:val="0"/>
              <w:adjustRightInd w:val="0"/>
              <w:jc w:val="center"/>
              <w:rPr>
                <w:rFonts w:eastAsia="Calibri"/>
                <w:b/>
                <w:color w:val="000000"/>
                <w:sz w:val="22"/>
              </w:rPr>
            </w:pPr>
            <w:r w:rsidRPr="007E0AF4">
              <w:rPr>
                <w:rFonts w:eastAsia="Calibri"/>
                <w:b/>
                <w:color w:val="000000"/>
                <w:sz w:val="22"/>
              </w:rPr>
              <w:t>Всього</w:t>
            </w:r>
          </w:p>
        </w:tc>
      </w:tr>
      <w:tr w:rsidR="00654133" w:rsidRPr="007E0AF4" w:rsidTr="00F34B87">
        <w:trPr>
          <w:trHeight w:val="420"/>
        </w:trPr>
        <w:tc>
          <w:tcPr>
            <w:tcW w:w="3007" w:type="dxa"/>
            <w:vMerge/>
            <w:shd w:val="clear" w:color="00FFFF" w:fill="C6D9F1" w:themeFill="text2" w:themeFillTint="33"/>
          </w:tcPr>
          <w:p w:rsidR="00654133" w:rsidRPr="007E0AF4" w:rsidRDefault="00654133" w:rsidP="00654133">
            <w:pPr>
              <w:autoSpaceDE w:val="0"/>
              <w:autoSpaceDN w:val="0"/>
              <w:adjustRightInd w:val="0"/>
              <w:rPr>
                <w:rFonts w:eastAsia="Calibri"/>
                <w:b/>
                <w:color w:val="000000"/>
                <w:sz w:val="22"/>
              </w:rPr>
            </w:pPr>
          </w:p>
        </w:tc>
        <w:tc>
          <w:tcPr>
            <w:tcW w:w="1418" w:type="dxa"/>
            <w:vMerge w:val="restart"/>
          </w:tcPr>
          <w:p w:rsidR="00654133" w:rsidRPr="007E0AF4" w:rsidRDefault="00654133" w:rsidP="00654133">
            <w:pPr>
              <w:autoSpaceDE w:val="0"/>
              <w:autoSpaceDN w:val="0"/>
              <w:adjustRightInd w:val="0"/>
              <w:jc w:val="center"/>
              <w:rPr>
                <w:rFonts w:eastAsia="Calibri"/>
                <w:sz w:val="22"/>
                <w:lang w:val="en-US"/>
              </w:rPr>
            </w:pPr>
            <w:r w:rsidRPr="007E0AF4">
              <w:rPr>
                <w:rFonts w:eastAsia="Calibri"/>
                <w:sz w:val="22"/>
              </w:rPr>
              <w:t>20000</w:t>
            </w:r>
            <w:r w:rsidRPr="007E0AF4">
              <w:rPr>
                <w:rFonts w:eastAsia="Calibri"/>
                <w:sz w:val="22"/>
                <w:lang w:val="en-US"/>
              </w:rPr>
              <w:t>.00</w:t>
            </w:r>
          </w:p>
        </w:tc>
        <w:tc>
          <w:tcPr>
            <w:tcW w:w="1559" w:type="dxa"/>
            <w:vMerge w:val="restart"/>
          </w:tcPr>
          <w:p w:rsidR="00654133" w:rsidRPr="007E0AF4" w:rsidRDefault="00654133" w:rsidP="00654133">
            <w:pPr>
              <w:autoSpaceDE w:val="0"/>
              <w:autoSpaceDN w:val="0"/>
              <w:adjustRightInd w:val="0"/>
              <w:jc w:val="center"/>
              <w:rPr>
                <w:rFonts w:eastAsia="Calibri"/>
                <w:b/>
                <w:color w:val="000000"/>
                <w:sz w:val="22"/>
              </w:rPr>
            </w:pPr>
          </w:p>
        </w:tc>
        <w:tc>
          <w:tcPr>
            <w:tcW w:w="1134" w:type="dxa"/>
            <w:gridSpan w:val="2"/>
            <w:vAlign w:val="center"/>
          </w:tcPr>
          <w:p w:rsidR="00654133" w:rsidRPr="007E0AF4" w:rsidRDefault="00654133" w:rsidP="00654133">
            <w:pPr>
              <w:autoSpaceDE w:val="0"/>
              <w:autoSpaceDN w:val="0"/>
              <w:adjustRightInd w:val="0"/>
              <w:jc w:val="center"/>
              <w:rPr>
                <w:rFonts w:eastAsia="Calibri"/>
                <w:b/>
                <w:color w:val="000000"/>
                <w:sz w:val="22"/>
              </w:rPr>
            </w:pPr>
            <w:r w:rsidRPr="007E0AF4">
              <w:rPr>
                <w:rFonts w:eastAsia="Calibri"/>
                <w:b/>
                <w:color w:val="000000"/>
                <w:sz w:val="22"/>
              </w:rPr>
              <w:t>обсяг</w:t>
            </w:r>
          </w:p>
        </w:tc>
        <w:tc>
          <w:tcPr>
            <w:tcW w:w="1670" w:type="dxa"/>
            <w:gridSpan w:val="2"/>
            <w:vAlign w:val="center"/>
          </w:tcPr>
          <w:p w:rsidR="00654133" w:rsidRPr="007E0AF4" w:rsidRDefault="00654133" w:rsidP="00654133">
            <w:pPr>
              <w:autoSpaceDE w:val="0"/>
              <w:autoSpaceDN w:val="0"/>
              <w:adjustRightInd w:val="0"/>
              <w:jc w:val="center"/>
              <w:rPr>
                <w:rFonts w:eastAsia="Calibri"/>
                <w:b/>
                <w:color w:val="000000"/>
                <w:sz w:val="22"/>
              </w:rPr>
            </w:pPr>
            <w:r w:rsidRPr="007E0AF4">
              <w:rPr>
                <w:rFonts w:eastAsia="Calibri"/>
                <w:b/>
                <w:color w:val="000000"/>
                <w:sz w:val="22"/>
              </w:rPr>
              <w:t>назва джерела</w:t>
            </w:r>
          </w:p>
        </w:tc>
        <w:tc>
          <w:tcPr>
            <w:tcW w:w="1165" w:type="dxa"/>
            <w:vMerge w:val="restart"/>
          </w:tcPr>
          <w:p w:rsidR="00654133" w:rsidRPr="007E0AF4" w:rsidRDefault="00654133" w:rsidP="00654133">
            <w:pPr>
              <w:autoSpaceDE w:val="0"/>
              <w:autoSpaceDN w:val="0"/>
              <w:adjustRightInd w:val="0"/>
              <w:jc w:val="center"/>
              <w:rPr>
                <w:rFonts w:eastAsia="Calibri"/>
                <w:b/>
                <w:color w:val="000000"/>
                <w:sz w:val="22"/>
                <w:lang w:val="en-US"/>
              </w:rPr>
            </w:pPr>
            <w:r w:rsidRPr="007E0AF4">
              <w:rPr>
                <w:rFonts w:eastAsia="Calibri"/>
                <w:color w:val="000000"/>
                <w:sz w:val="22"/>
              </w:rPr>
              <w:t>87400</w:t>
            </w:r>
            <w:r w:rsidRPr="007E0AF4">
              <w:rPr>
                <w:rFonts w:eastAsia="Calibri"/>
                <w:color w:val="000000"/>
                <w:sz w:val="22"/>
                <w:lang w:val="en-US"/>
              </w:rPr>
              <w:t>.00</w:t>
            </w:r>
          </w:p>
        </w:tc>
      </w:tr>
      <w:tr w:rsidR="00654133" w:rsidRPr="007E0AF4" w:rsidTr="00F34B87">
        <w:trPr>
          <w:trHeight w:val="420"/>
        </w:trPr>
        <w:tc>
          <w:tcPr>
            <w:tcW w:w="3007" w:type="dxa"/>
            <w:vMerge/>
            <w:shd w:val="clear" w:color="00FFFF" w:fill="C6D9F1" w:themeFill="text2" w:themeFillTint="33"/>
          </w:tcPr>
          <w:p w:rsidR="00654133" w:rsidRPr="007E0AF4" w:rsidRDefault="00654133" w:rsidP="00654133">
            <w:pPr>
              <w:autoSpaceDE w:val="0"/>
              <w:autoSpaceDN w:val="0"/>
              <w:adjustRightInd w:val="0"/>
              <w:rPr>
                <w:rFonts w:eastAsia="Calibri"/>
                <w:b/>
                <w:color w:val="000000"/>
                <w:sz w:val="22"/>
              </w:rPr>
            </w:pPr>
          </w:p>
        </w:tc>
        <w:tc>
          <w:tcPr>
            <w:tcW w:w="1418" w:type="dxa"/>
            <w:vMerge/>
          </w:tcPr>
          <w:p w:rsidR="00654133" w:rsidRPr="007E0AF4" w:rsidRDefault="00654133" w:rsidP="00654133">
            <w:pPr>
              <w:autoSpaceDE w:val="0"/>
              <w:autoSpaceDN w:val="0"/>
              <w:adjustRightInd w:val="0"/>
              <w:rPr>
                <w:rFonts w:eastAsia="Calibri"/>
                <w:color w:val="000000"/>
                <w:sz w:val="22"/>
              </w:rPr>
            </w:pPr>
          </w:p>
        </w:tc>
        <w:tc>
          <w:tcPr>
            <w:tcW w:w="1559" w:type="dxa"/>
            <w:vMerge/>
          </w:tcPr>
          <w:p w:rsidR="00654133" w:rsidRPr="007E0AF4" w:rsidRDefault="00654133" w:rsidP="00654133">
            <w:pPr>
              <w:autoSpaceDE w:val="0"/>
              <w:autoSpaceDN w:val="0"/>
              <w:adjustRightInd w:val="0"/>
              <w:rPr>
                <w:rFonts w:eastAsia="Calibri"/>
                <w:color w:val="000000"/>
                <w:sz w:val="22"/>
              </w:rPr>
            </w:pPr>
          </w:p>
        </w:tc>
        <w:tc>
          <w:tcPr>
            <w:tcW w:w="1134" w:type="dxa"/>
            <w:gridSpan w:val="2"/>
          </w:tcPr>
          <w:p w:rsidR="00654133" w:rsidRPr="007E0AF4" w:rsidRDefault="00654133" w:rsidP="00654133">
            <w:pPr>
              <w:autoSpaceDE w:val="0"/>
              <w:autoSpaceDN w:val="0"/>
              <w:adjustRightInd w:val="0"/>
              <w:rPr>
                <w:rFonts w:eastAsia="Calibri"/>
                <w:color w:val="000000"/>
                <w:sz w:val="22"/>
                <w:lang w:val="en-US"/>
              </w:rPr>
            </w:pPr>
            <w:r w:rsidRPr="007E0AF4">
              <w:rPr>
                <w:rFonts w:eastAsia="Calibri"/>
                <w:color w:val="000000"/>
                <w:sz w:val="22"/>
              </w:rPr>
              <w:t>67400</w:t>
            </w:r>
            <w:r w:rsidRPr="007E0AF4">
              <w:rPr>
                <w:rFonts w:eastAsia="Calibri"/>
                <w:color w:val="000000"/>
                <w:sz w:val="22"/>
                <w:lang w:val="en-US"/>
              </w:rPr>
              <w:t>.00</w:t>
            </w:r>
          </w:p>
        </w:tc>
        <w:tc>
          <w:tcPr>
            <w:tcW w:w="1670" w:type="dxa"/>
            <w:gridSpan w:val="2"/>
          </w:tcPr>
          <w:p w:rsidR="00654133" w:rsidRPr="007E0AF4" w:rsidRDefault="00654133" w:rsidP="00654133">
            <w:pPr>
              <w:autoSpaceDE w:val="0"/>
              <w:autoSpaceDN w:val="0"/>
              <w:adjustRightInd w:val="0"/>
              <w:rPr>
                <w:rFonts w:eastAsia="Calibri"/>
                <w:color w:val="000000"/>
                <w:sz w:val="22"/>
              </w:rPr>
            </w:pPr>
            <w:r w:rsidRPr="007E0AF4">
              <w:rPr>
                <w:rFonts w:eastAsia="Calibri"/>
                <w:color w:val="000000"/>
                <w:sz w:val="22"/>
              </w:rPr>
              <w:t>Міжнародні інвестиції</w:t>
            </w:r>
          </w:p>
        </w:tc>
        <w:tc>
          <w:tcPr>
            <w:tcW w:w="1165" w:type="dxa"/>
            <w:vMerge/>
          </w:tcPr>
          <w:p w:rsidR="00654133" w:rsidRPr="007E0AF4" w:rsidRDefault="00654133" w:rsidP="00654133">
            <w:pPr>
              <w:autoSpaceDE w:val="0"/>
              <w:autoSpaceDN w:val="0"/>
              <w:adjustRightInd w:val="0"/>
              <w:rPr>
                <w:rFonts w:eastAsia="Calibri"/>
                <w:color w:val="000000"/>
                <w:sz w:val="22"/>
              </w:rPr>
            </w:pPr>
          </w:p>
        </w:tc>
      </w:tr>
    </w:tbl>
    <w:p w:rsidR="000729E2" w:rsidRPr="007E0AF4" w:rsidRDefault="000729E2" w:rsidP="00E95FB1">
      <w:pPr>
        <w:rPr>
          <w:sz w:val="22"/>
          <w:lang w:val="en-US"/>
        </w:rPr>
      </w:pPr>
    </w:p>
    <w:tbl>
      <w:tblPr>
        <w:tblpPr w:leftFromText="180" w:rightFromText="180" w:vertAnchor="text" w:horzAnchor="page" w:tblpX="1375" w:tblpY="143"/>
        <w:tblW w:w="9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007"/>
        <w:gridCol w:w="992"/>
        <w:gridCol w:w="1276"/>
        <w:gridCol w:w="1134"/>
        <w:gridCol w:w="253"/>
        <w:gridCol w:w="1701"/>
        <w:gridCol w:w="425"/>
        <w:gridCol w:w="1165"/>
      </w:tblGrid>
      <w:tr w:rsidR="00F34B87" w:rsidRPr="007E0AF4" w:rsidTr="00F34B87">
        <w:trPr>
          <w:trHeight w:val="555"/>
        </w:trPr>
        <w:tc>
          <w:tcPr>
            <w:tcW w:w="3007" w:type="dxa"/>
            <w:shd w:val="clear" w:color="00FFFF" w:fill="C6D9F1" w:themeFill="text2" w:themeFillTint="33"/>
          </w:tcPr>
          <w:p w:rsidR="00F34B87" w:rsidRPr="007E0AF4" w:rsidRDefault="00F34B87" w:rsidP="00F34B87">
            <w:pPr>
              <w:autoSpaceDE w:val="0"/>
              <w:autoSpaceDN w:val="0"/>
              <w:adjustRightInd w:val="0"/>
              <w:rPr>
                <w:rFonts w:eastAsia="Calibri"/>
                <w:b/>
                <w:bCs/>
                <w:color w:val="000000"/>
                <w:sz w:val="22"/>
                <w:szCs w:val="22"/>
              </w:rPr>
            </w:pPr>
            <w:r w:rsidRPr="007E0AF4">
              <w:rPr>
                <w:b/>
                <w:bCs/>
                <w:sz w:val="22"/>
                <w:szCs w:val="22"/>
              </w:rPr>
              <w:t>Оперативна ціль/завдання</w:t>
            </w:r>
          </w:p>
        </w:tc>
        <w:tc>
          <w:tcPr>
            <w:tcW w:w="6946" w:type="dxa"/>
            <w:gridSpan w:val="7"/>
            <w:tcBorders>
              <w:top w:val="single" w:sz="4" w:space="0" w:color="auto"/>
              <w:left w:val="single" w:sz="4" w:space="0" w:color="auto"/>
              <w:bottom w:val="single" w:sz="4" w:space="0" w:color="auto"/>
              <w:right w:val="single" w:sz="4" w:space="0" w:color="000000"/>
            </w:tcBorders>
            <w:shd w:val="clear" w:color="auto" w:fill="auto"/>
          </w:tcPr>
          <w:p w:rsidR="00F34B87" w:rsidRPr="007E0AF4" w:rsidRDefault="00F34B87" w:rsidP="00F34B87">
            <w:pPr>
              <w:autoSpaceDE w:val="0"/>
              <w:autoSpaceDN w:val="0"/>
              <w:adjustRightInd w:val="0"/>
              <w:ind w:firstLine="396"/>
              <w:rPr>
                <w:rFonts w:eastAsia="Calibri"/>
                <w:color w:val="FF0000"/>
                <w:sz w:val="22"/>
                <w:szCs w:val="22"/>
              </w:rPr>
            </w:pPr>
            <w:r w:rsidRPr="007E0AF4">
              <w:rPr>
                <w:color w:val="000000"/>
                <w:sz w:val="22"/>
                <w:szCs w:val="22"/>
              </w:rPr>
              <w:t xml:space="preserve">Людський розвиток через інновації управління та довіру до влади. Формування сучасного інклюзивного  </w:t>
            </w:r>
            <w:proofErr w:type="spellStart"/>
            <w:r w:rsidRPr="007E0AF4">
              <w:rPr>
                <w:color w:val="000000"/>
                <w:sz w:val="22"/>
                <w:szCs w:val="22"/>
              </w:rPr>
              <w:t>освітньо</w:t>
            </w:r>
            <w:proofErr w:type="spellEnd"/>
            <w:r w:rsidRPr="007E0AF4">
              <w:rPr>
                <w:color w:val="000000"/>
                <w:sz w:val="22"/>
                <w:szCs w:val="22"/>
              </w:rPr>
              <w:t>-культурного та спортивного простору для розвитку</w:t>
            </w:r>
          </w:p>
        </w:tc>
      </w:tr>
      <w:tr w:rsidR="00F34B87" w:rsidRPr="007E0AF4" w:rsidTr="00F34B87">
        <w:trPr>
          <w:trHeight w:val="691"/>
        </w:trPr>
        <w:tc>
          <w:tcPr>
            <w:tcW w:w="3007" w:type="dxa"/>
            <w:shd w:val="clear" w:color="00FFFF" w:fill="C6D9F1" w:themeFill="text2" w:themeFillTint="33"/>
          </w:tcPr>
          <w:p w:rsidR="00F34B87" w:rsidRPr="007E0AF4" w:rsidRDefault="00F34B87" w:rsidP="00F34B87">
            <w:pPr>
              <w:autoSpaceDE w:val="0"/>
              <w:autoSpaceDN w:val="0"/>
              <w:adjustRightInd w:val="0"/>
              <w:rPr>
                <w:rFonts w:eastAsia="Calibri"/>
                <w:b/>
                <w:bCs/>
                <w:color w:val="000000"/>
                <w:sz w:val="22"/>
                <w:szCs w:val="22"/>
              </w:rPr>
            </w:pPr>
            <w:r w:rsidRPr="007E0AF4">
              <w:rPr>
                <w:b/>
                <w:bCs/>
                <w:sz w:val="22"/>
                <w:szCs w:val="22"/>
              </w:rPr>
              <w:t xml:space="preserve">Назва </w:t>
            </w:r>
            <w:proofErr w:type="spellStart"/>
            <w:r w:rsidRPr="007E0AF4">
              <w:rPr>
                <w:b/>
                <w:bCs/>
                <w:sz w:val="22"/>
                <w:szCs w:val="22"/>
              </w:rPr>
              <w:t>проєкту</w:t>
            </w:r>
            <w:proofErr w:type="spellEnd"/>
            <w:r w:rsidRPr="007E0AF4">
              <w:rPr>
                <w:b/>
                <w:bCs/>
                <w:sz w:val="22"/>
                <w:szCs w:val="22"/>
              </w:rPr>
              <w:t>:</w:t>
            </w:r>
          </w:p>
        </w:tc>
        <w:tc>
          <w:tcPr>
            <w:tcW w:w="6946" w:type="dxa"/>
            <w:gridSpan w:val="7"/>
            <w:tcBorders>
              <w:top w:val="single" w:sz="4" w:space="0" w:color="auto"/>
              <w:left w:val="single" w:sz="4" w:space="0" w:color="auto"/>
              <w:bottom w:val="single" w:sz="4" w:space="0" w:color="auto"/>
              <w:right w:val="single" w:sz="4" w:space="0" w:color="000000"/>
            </w:tcBorders>
            <w:shd w:val="clear" w:color="auto" w:fill="auto"/>
          </w:tcPr>
          <w:p w:rsidR="00F34B87" w:rsidRPr="007E0AF4" w:rsidRDefault="00F34B87" w:rsidP="00F34B87">
            <w:pPr>
              <w:autoSpaceDE w:val="0"/>
              <w:autoSpaceDN w:val="0"/>
              <w:adjustRightInd w:val="0"/>
              <w:ind w:firstLine="396"/>
              <w:rPr>
                <w:rFonts w:eastAsia="Calibri"/>
                <w:color w:val="000000"/>
                <w:sz w:val="22"/>
                <w:szCs w:val="22"/>
              </w:rPr>
            </w:pPr>
            <w:r w:rsidRPr="007E0AF4">
              <w:rPr>
                <w:color w:val="000000"/>
                <w:sz w:val="22"/>
                <w:szCs w:val="22"/>
              </w:rPr>
              <w:t xml:space="preserve">Відновлення діяльності </w:t>
            </w:r>
            <w:r w:rsidRPr="007E0AF4">
              <w:rPr>
                <w:sz w:val="22"/>
                <w:szCs w:val="22"/>
              </w:rPr>
              <w:t xml:space="preserve">Гімназії № 13 міста Сєвєродонецька Луганської області, </w:t>
            </w:r>
            <w:proofErr w:type="spellStart"/>
            <w:r w:rsidRPr="007E0AF4">
              <w:rPr>
                <w:sz w:val="22"/>
                <w:szCs w:val="22"/>
              </w:rPr>
              <w:t>вул.Маяковського</w:t>
            </w:r>
            <w:proofErr w:type="spellEnd"/>
            <w:r w:rsidRPr="007E0AF4">
              <w:rPr>
                <w:sz w:val="22"/>
                <w:szCs w:val="22"/>
              </w:rPr>
              <w:t xml:space="preserve">, буд.19, </w:t>
            </w:r>
            <w:proofErr w:type="spellStart"/>
            <w:r w:rsidRPr="007E0AF4">
              <w:rPr>
                <w:sz w:val="22"/>
                <w:szCs w:val="22"/>
              </w:rPr>
              <w:t>м.Сєвєродонецьк</w:t>
            </w:r>
            <w:proofErr w:type="spellEnd"/>
            <w:r w:rsidRPr="007E0AF4">
              <w:rPr>
                <w:sz w:val="22"/>
                <w:szCs w:val="22"/>
              </w:rPr>
              <w:t>, Луганська обл., 93406</w:t>
            </w:r>
          </w:p>
        </w:tc>
      </w:tr>
      <w:tr w:rsidR="00F34B87" w:rsidRPr="007E0AF4" w:rsidTr="00F34B87">
        <w:trPr>
          <w:trHeight w:val="1109"/>
        </w:trPr>
        <w:tc>
          <w:tcPr>
            <w:tcW w:w="3007" w:type="dxa"/>
            <w:shd w:val="clear" w:color="00FFFF" w:fill="C6D9F1" w:themeFill="text2" w:themeFillTint="33"/>
          </w:tcPr>
          <w:p w:rsidR="00F34B87" w:rsidRPr="007E0AF4" w:rsidRDefault="00F34B87" w:rsidP="00F34B87">
            <w:pPr>
              <w:autoSpaceDE w:val="0"/>
              <w:autoSpaceDN w:val="0"/>
              <w:adjustRightInd w:val="0"/>
              <w:rPr>
                <w:rFonts w:eastAsia="Calibri"/>
                <w:b/>
                <w:bCs/>
                <w:color w:val="000000"/>
                <w:sz w:val="22"/>
                <w:szCs w:val="22"/>
              </w:rPr>
            </w:pPr>
            <w:r w:rsidRPr="007E0AF4">
              <w:rPr>
                <w:rFonts w:eastAsia="Calibri"/>
                <w:b/>
                <w:bCs/>
                <w:color w:val="000000"/>
                <w:sz w:val="22"/>
                <w:szCs w:val="22"/>
              </w:rPr>
              <w:t xml:space="preserve">Ціль </w:t>
            </w:r>
            <w:proofErr w:type="spellStart"/>
            <w:r w:rsidRPr="007E0AF4">
              <w:rPr>
                <w:rFonts w:eastAsia="Calibri"/>
                <w:b/>
                <w:bCs/>
                <w:color w:val="000000"/>
                <w:sz w:val="22"/>
                <w:szCs w:val="22"/>
              </w:rPr>
              <w:t>проєкту</w:t>
            </w:r>
            <w:proofErr w:type="spellEnd"/>
          </w:p>
        </w:tc>
        <w:tc>
          <w:tcPr>
            <w:tcW w:w="6946" w:type="dxa"/>
            <w:gridSpan w:val="7"/>
            <w:tcBorders>
              <w:top w:val="single" w:sz="4" w:space="0" w:color="auto"/>
              <w:left w:val="single" w:sz="4" w:space="0" w:color="auto"/>
              <w:bottom w:val="single" w:sz="4" w:space="0" w:color="auto"/>
              <w:right w:val="single" w:sz="4" w:space="0" w:color="000000"/>
            </w:tcBorders>
            <w:shd w:val="clear" w:color="auto" w:fill="auto"/>
          </w:tcPr>
          <w:p w:rsidR="00F34B87" w:rsidRPr="007E0AF4" w:rsidRDefault="00F34B87" w:rsidP="00F34B87">
            <w:pPr>
              <w:autoSpaceDE w:val="0"/>
              <w:autoSpaceDN w:val="0"/>
              <w:adjustRightInd w:val="0"/>
              <w:ind w:firstLine="396"/>
              <w:rPr>
                <w:color w:val="000000"/>
                <w:sz w:val="22"/>
                <w:szCs w:val="22"/>
              </w:rPr>
            </w:pPr>
            <w:r w:rsidRPr="007E0AF4">
              <w:rPr>
                <w:color w:val="000000"/>
                <w:sz w:val="22"/>
                <w:szCs w:val="22"/>
              </w:rPr>
              <w:t>Відновлення та покращення роботи освітнього закладу для задоволення освітніх потреб мешканців Сєвєродонецької міської територіальної громади. Оновлення матеріально-технічної бази закладу освіти.</w:t>
            </w:r>
          </w:p>
          <w:p w:rsidR="00F34B87" w:rsidRPr="007E0AF4" w:rsidRDefault="00F34B87" w:rsidP="00F34B87">
            <w:pPr>
              <w:autoSpaceDE w:val="0"/>
              <w:autoSpaceDN w:val="0"/>
              <w:adjustRightInd w:val="0"/>
              <w:ind w:firstLine="396"/>
              <w:rPr>
                <w:color w:val="000000"/>
                <w:sz w:val="22"/>
                <w:szCs w:val="22"/>
              </w:rPr>
            </w:pPr>
            <w:r w:rsidRPr="007E0AF4">
              <w:rPr>
                <w:color w:val="000000"/>
                <w:sz w:val="22"/>
                <w:szCs w:val="22"/>
              </w:rPr>
              <w:t>Забезпечення освітнього процесу відповідними матеріально-технічними та методичними засобами для повноцінної реалізації освітніх програм з урахуванням принципів інклюзивного навчання, Концепції Нової української школи та STEM-освіти.</w:t>
            </w:r>
          </w:p>
          <w:p w:rsidR="00F34B87" w:rsidRPr="007E0AF4" w:rsidRDefault="00F34B87" w:rsidP="00F34B87">
            <w:pPr>
              <w:autoSpaceDE w:val="0"/>
              <w:autoSpaceDN w:val="0"/>
              <w:adjustRightInd w:val="0"/>
              <w:ind w:firstLine="396"/>
              <w:rPr>
                <w:rFonts w:eastAsia="Calibri"/>
                <w:color w:val="000000"/>
                <w:sz w:val="22"/>
                <w:szCs w:val="22"/>
              </w:rPr>
            </w:pPr>
            <w:r w:rsidRPr="007E0AF4">
              <w:rPr>
                <w:color w:val="000000"/>
                <w:sz w:val="22"/>
                <w:szCs w:val="22"/>
              </w:rPr>
              <w:t>Сприяння збереженню здоров’я здобувачів освіти громади, забезпечення учасників освітнього процесу раціональним, якісним та безпечним харчуванням, впровадження нових технологій приготування їжі й різноманітних форм обслуговування здобувачів освіти.</w:t>
            </w:r>
          </w:p>
        </w:tc>
      </w:tr>
      <w:tr w:rsidR="00F34B87" w:rsidRPr="007E0AF4" w:rsidTr="00F34B87">
        <w:trPr>
          <w:trHeight w:val="290"/>
        </w:trPr>
        <w:tc>
          <w:tcPr>
            <w:tcW w:w="3007" w:type="dxa"/>
            <w:shd w:val="clear" w:color="00FFFF" w:fill="C6D9F1" w:themeFill="text2" w:themeFillTint="33"/>
          </w:tcPr>
          <w:p w:rsidR="00F34B87" w:rsidRPr="007E0AF4" w:rsidRDefault="00F34B87" w:rsidP="00F34B87">
            <w:pPr>
              <w:autoSpaceDE w:val="0"/>
              <w:autoSpaceDN w:val="0"/>
              <w:adjustRightInd w:val="0"/>
              <w:rPr>
                <w:rFonts w:eastAsia="Calibri"/>
                <w:b/>
                <w:bCs/>
                <w:color w:val="000000"/>
                <w:sz w:val="22"/>
                <w:szCs w:val="22"/>
              </w:rPr>
            </w:pPr>
            <w:r w:rsidRPr="007E0AF4">
              <w:rPr>
                <w:rFonts w:eastAsia="Calibri"/>
                <w:b/>
                <w:bCs/>
                <w:color w:val="000000"/>
                <w:sz w:val="22"/>
                <w:szCs w:val="22"/>
              </w:rPr>
              <w:t xml:space="preserve">Територія, на яку матиме вплив реалізація </w:t>
            </w:r>
            <w:proofErr w:type="spellStart"/>
            <w:r w:rsidRPr="007E0AF4">
              <w:rPr>
                <w:rFonts w:eastAsia="Calibri"/>
                <w:b/>
                <w:bCs/>
                <w:color w:val="000000"/>
                <w:sz w:val="22"/>
                <w:szCs w:val="22"/>
              </w:rPr>
              <w:t>проєкту</w:t>
            </w:r>
            <w:proofErr w:type="spellEnd"/>
          </w:p>
        </w:tc>
        <w:tc>
          <w:tcPr>
            <w:tcW w:w="6946" w:type="dxa"/>
            <w:gridSpan w:val="7"/>
            <w:tcBorders>
              <w:top w:val="single" w:sz="4" w:space="0" w:color="auto"/>
              <w:left w:val="single" w:sz="4" w:space="0" w:color="auto"/>
              <w:bottom w:val="single" w:sz="4" w:space="0" w:color="auto"/>
              <w:right w:val="single" w:sz="4" w:space="0" w:color="auto"/>
            </w:tcBorders>
            <w:shd w:val="clear" w:color="auto" w:fill="auto"/>
          </w:tcPr>
          <w:p w:rsidR="00F34B87" w:rsidRPr="007E0AF4" w:rsidRDefault="00F34B87" w:rsidP="00F34B87">
            <w:pPr>
              <w:autoSpaceDE w:val="0"/>
              <w:autoSpaceDN w:val="0"/>
              <w:adjustRightInd w:val="0"/>
              <w:rPr>
                <w:rFonts w:eastAsia="Calibri"/>
                <w:color w:val="000000"/>
                <w:sz w:val="22"/>
                <w:szCs w:val="22"/>
              </w:rPr>
            </w:pPr>
            <w:r w:rsidRPr="007E0AF4">
              <w:rPr>
                <w:color w:val="000000"/>
                <w:sz w:val="22"/>
                <w:szCs w:val="22"/>
              </w:rPr>
              <w:t>Сєвєродонецька міська територіальна громада</w:t>
            </w:r>
          </w:p>
        </w:tc>
      </w:tr>
      <w:tr w:rsidR="00F34B87" w:rsidRPr="007E0AF4" w:rsidTr="00F34B87">
        <w:trPr>
          <w:trHeight w:val="261"/>
        </w:trPr>
        <w:tc>
          <w:tcPr>
            <w:tcW w:w="3007" w:type="dxa"/>
            <w:shd w:val="clear" w:color="00FFFF" w:fill="C6D9F1" w:themeFill="text2" w:themeFillTint="33"/>
          </w:tcPr>
          <w:p w:rsidR="00F34B87" w:rsidRPr="007E0AF4" w:rsidRDefault="00F34B87" w:rsidP="00F34B87">
            <w:pPr>
              <w:autoSpaceDE w:val="0"/>
              <w:autoSpaceDN w:val="0"/>
              <w:adjustRightInd w:val="0"/>
              <w:rPr>
                <w:rFonts w:eastAsia="Calibri"/>
                <w:b/>
                <w:bCs/>
                <w:color w:val="000000"/>
                <w:sz w:val="22"/>
                <w:szCs w:val="22"/>
              </w:rPr>
            </w:pPr>
            <w:r w:rsidRPr="007E0AF4">
              <w:rPr>
                <w:rFonts w:eastAsia="Calibri"/>
                <w:b/>
                <w:bCs/>
                <w:color w:val="000000"/>
                <w:sz w:val="22"/>
                <w:szCs w:val="22"/>
              </w:rPr>
              <w:t xml:space="preserve">Чисельність населення, на яке матиме вплив реалізація </w:t>
            </w:r>
            <w:proofErr w:type="spellStart"/>
            <w:r w:rsidRPr="007E0AF4">
              <w:rPr>
                <w:rFonts w:eastAsia="Calibri"/>
                <w:b/>
                <w:bCs/>
                <w:color w:val="000000"/>
                <w:sz w:val="22"/>
                <w:szCs w:val="22"/>
              </w:rPr>
              <w:t>проєкту</w:t>
            </w:r>
            <w:proofErr w:type="spellEnd"/>
          </w:p>
        </w:tc>
        <w:tc>
          <w:tcPr>
            <w:tcW w:w="6946" w:type="dxa"/>
            <w:gridSpan w:val="7"/>
            <w:tcBorders>
              <w:top w:val="single" w:sz="4" w:space="0" w:color="auto"/>
              <w:left w:val="single" w:sz="4" w:space="0" w:color="auto"/>
              <w:bottom w:val="single" w:sz="4" w:space="0" w:color="auto"/>
              <w:right w:val="single" w:sz="4" w:space="0" w:color="000000"/>
            </w:tcBorders>
            <w:shd w:val="clear" w:color="auto" w:fill="auto"/>
          </w:tcPr>
          <w:p w:rsidR="00F34B87" w:rsidRPr="007E0AF4" w:rsidRDefault="00F34B87" w:rsidP="00F34B87">
            <w:pPr>
              <w:autoSpaceDE w:val="0"/>
              <w:autoSpaceDN w:val="0"/>
              <w:adjustRightInd w:val="0"/>
              <w:rPr>
                <w:rFonts w:eastAsia="Calibri"/>
                <w:color w:val="000000"/>
                <w:sz w:val="22"/>
                <w:szCs w:val="22"/>
              </w:rPr>
            </w:pPr>
            <w:r w:rsidRPr="007E0AF4">
              <w:rPr>
                <w:color w:val="000000"/>
                <w:sz w:val="22"/>
                <w:szCs w:val="22"/>
              </w:rPr>
              <w:t>70 000 осіб</w:t>
            </w:r>
          </w:p>
        </w:tc>
      </w:tr>
      <w:tr w:rsidR="00F34B87" w:rsidRPr="007E0AF4" w:rsidTr="00F34B87">
        <w:trPr>
          <w:trHeight w:val="132"/>
        </w:trPr>
        <w:tc>
          <w:tcPr>
            <w:tcW w:w="3007" w:type="dxa"/>
            <w:shd w:val="clear" w:color="00FFFF" w:fill="C6D9F1" w:themeFill="text2" w:themeFillTint="33"/>
          </w:tcPr>
          <w:p w:rsidR="00F34B87" w:rsidRPr="007E0AF4" w:rsidRDefault="00F34B87" w:rsidP="00F34B87">
            <w:pPr>
              <w:autoSpaceDE w:val="0"/>
              <w:autoSpaceDN w:val="0"/>
              <w:adjustRightInd w:val="0"/>
              <w:rPr>
                <w:rFonts w:eastAsia="Calibri"/>
                <w:b/>
                <w:bCs/>
                <w:color w:val="000000"/>
                <w:sz w:val="22"/>
                <w:szCs w:val="22"/>
              </w:rPr>
            </w:pPr>
            <w:r w:rsidRPr="007E0AF4">
              <w:rPr>
                <w:rFonts w:eastAsia="Calibri"/>
                <w:b/>
                <w:bCs/>
                <w:color w:val="000000"/>
                <w:sz w:val="22"/>
                <w:szCs w:val="22"/>
              </w:rPr>
              <w:t xml:space="preserve">Опис проблеми, на вирішення якої спрямований </w:t>
            </w:r>
            <w:proofErr w:type="spellStart"/>
            <w:r w:rsidRPr="007E0AF4">
              <w:rPr>
                <w:rFonts w:eastAsia="Calibri"/>
                <w:b/>
                <w:bCs/>
                <w:color w:val="000000"/>
                <w:sz w:val="22"/>
                <w:szCs w:val="22"/>
              </w:rPr>
              <w:t>проєкт</w:t>
            </w:r>
            <w:proofErr w:type="spellEnd"/>
          </w:p>
        </w:tc>
        <w:tc>
          <w:tcPr>
            <w:tcW w:w="6946" w:type="dxa"/>
            <w:gridSpan w:val="7"/>
            <w:tcBorders>
              <w:top w:val="single" w:sz="4" w:space="0" w:color="auto"/>
              <w:left w:val="single" w:sz="4" w:space="0" w:color="auto"/>
              <w:bottom w:val="single" w:sz="4" w:space="0" w:color="auto"/>
              <w:right w:val="single" w:sz="4" w:space="0" w:color="000000"/>
            </w:tcBorders>
            <w:shd w:val="clear" w:color="auto" w:fill="auto"/>
          </w:tcPr>
          <w:p w:rsidR="00F34B87" w:rsidRPr="007E0AF4" w:rsidRDefault="00F34B87" w:rsidP="00F34B87">
            <w:pPr>
              <w:autoSpaceDE w:val="0"/>
              <w:autoSpaceDN w:val="0"/>
              <w:adjustRightInd w:val="0"/>
              <w:ind w:firstLine="398"/>
              <w:rPr>
                <w:sz w:val="22"/>
                <w:szCs w:val="22"/>
              </w:rPr>
            </w:pPr>
            <w:r w:rsidRPr="007E0AF4">
              <w:rPr>
                <w:sz w:val="22"/>
                <w:szCs w:val="22"/>
              </w:rPr>
              <w:t xml:space="preserve">Гімназія № 13 міста Сєвєродонецька Луганської області була пошкоджена внаслідок збройної агресії </w:t>
            </w:r>
            <w:r w:rsidR="000D077D" w:rsidRPr="007E0AF4">
              <w:rPr>
                <w:sz w:val="22"/>
                <w:szCs w:val="22"/>
              </w:rPr>
              <w:t>РФ</w:t>
            </w:r>
            <w:r w:rsidRPr="007E0AF4">
              <w:rPr>
                <w:sz w:val="22"/>
                <w:szCs w:val="22"/>
              </w:rPr>
              <w:t>, внаслідок чого відбулася руйнація матеріально-технічної бази закладу. Обладнання та меблі через пошкодження будівлі знищено або зіпсовано, технічні та методичні засоби пошкоджено та розкрадено.</w:t>
            </w:r>
          </w:p>
          <w:p w:rsidR="00F34B87" w:rsidRPr="007E0AF4" w:rsidRDefault="00F34B87" w:rsidP="00F34B87">
            <w:pPr>
              <w:autoSpaceDE w:val="0"/>
              <w:autoSpaceDN w:val="0"/>
              <w:adjustRightInd w:val="0"/>
              <w:ind w:firstLine="398"/>
              <w:rPr>
                <w:sz w:val="22"/>
                <w:szCs w:val="22"/>
              </w:rPr>
            </w:pPr>
            <w:r w:rsidRPr="007E0AF4">
              <w:rPr>
                <w:sz w:val="22"/>
                <w:szCs w:val="22"/>
              </w:rPr>
              <w:t>Для відбудови та сталого розвитку громади потрібне відновлення роботи освітнього закладу. Мешканці громади потребують отримання якісних освітніх послуг, які відповідають нормам сучасності, тому для відновлення освітнього процесу необхідно:</w:t>
            </w:r>
          </w:p>
          <w:p w:rsidR="00F34B87" w:rsidRPr="007E0AF4" w:rsidRDefault="00F34B87" w:rsidP="000303D7">
            <w:pPr>
              <w:numPr>
                <w:ilvl w:val="0"/>
                <w:numId w:val="101"/>
              </w:numPr>
              <w:autoSpaceDE w:val="0"/>
              <w:autoSpaceDN w:val="0"/>
              <w:adjustRightInd w:val="0"/>
              <w:ind w:left="252" w:hanging="142"/>
              <w:rPr>
                <w:sz w:val="22"/>
                <w:szCs w:val="22"/>
              </w:rPr>
            </w:pPr>
            <w:r w:rsidRPr="007E0AF4">
              <w:rPr>
                <w:sz w:val="22"/>
                <w:szCs w:val="22"/>
              </w:rPr>
              <w:t>облаштувати навчальні кабінети ергономічними меблями, які дадуть змогу зберегти здоров'я дітей, знизити ризики виникнення травм та покращать продуктивність навчання;</w:t>
            </w:r>
          </w:p>
          <w:p w:rsidR="00F34B87" w:rsidRPr="007E0AF4" w:rsidRDefault="00F34B87" w:rsidP="000303D7">
            <w:pPr>
              <w:numPr>
                <w:ilvl w:val="0"/>
                <w:numId w:val="101"/>
              </w:numPr>
              <w:autoSpaceDE w:val="0"/>
              <w:autoSpaceDN w:val="0"/>
              <w:adjustRightInd w:val="0"/>
              <w:ind w:left="252" w:hanging="142"/>
              <w:rPr>
                <w:sz w:val="22"/>
                <w:szCs w:val="22"/>
              </w:rPr>
            </w:pPr>
            <w:r w:rsidRPr="007E0AF4">
              <w:rPr>
                <w:sz w:val="22"/>
                <w:szCs w:val="22"/>
              </w:rPr>
              <w:lastRenderedPageBreak/>
              <w:t>укомплектувати навчальні кабінети сучасними засобами та обладнанням відповідно до вимог НУШ, що значно збільшить активність учнів та створить стимулююче навколишнє середовище;</w:t>
            </w:r>
          </w:p>
          <w:p w:rsidR="00F34B87" w:rsidRPr="007E0AF4" w:rsidRDefault="00F34B87" w:rsidP="000303D7">
            <w:pPr>
              <w:numPr>
                <w:ilvl w:val="0"/>
                <w:numId w:val="101"/>
              </w:numPr>
              <w:autoSpaceDE w:val="0"/>
              <w:autoSpaceDN w:val="0"/>
              <w:adjustRightInd w:val="0"/>
              <w:ind w:left="252" w:hanging="142"/>
              <w:rPr>
                <w:sz w:val="22"/>
                <w:szCs w:val="22"/>
              </w:rPr>
            </w:pPr>
            <w:r w:rsidRPr="007E0AF4">
              <w:rPr>
                <w:sz w:val="22"/>
                <w:szCs w:val="22"/>
              </w:rPr>
              <w:t>обладнати кабінети фізики, хімії, біології, географії, інформатики, математики, технологій засобами STEM-освіти;</w:t>
            </w:r>
          </w:p>
          <w:p w:rsidR="00F34B87" w:rsidRPr="007E0AF4" w:rsidRDefault="00F34B87" w:rsidP="000303D7">
            <w:pPr>
              <w:numPr>
                <w:ilvl w:val="0"/>
                <w:numId w:val="101"/>
              </w:numPr>
              <w:autoSpaceDE w:val="0"/>
              <w:autoSpaceDN w:val="0"/>
              <w:adjustRightInd w:val="0"/>
              <w:ind w:left="252" w:hanging="142"/>
              <w:rPr>
                <w:sz w:val="22"/>
                <w:szCs w:val="22"/>
              </w:rPr>
            </w:pPr>
            <w:r w:rsidRPr="007E0AF4">
              <w:rPr>
                <w:sz w:val="22"/>
                <w:szCs w:val="22"/>
              </w:rPr>
              <w:t>укомплектувати спортивний зал різноманітним спортивним знаряддям, що дозволить учням систематично займатися різними видами фізичної активності;</w:t>
            </w:r>
          </w:p>
          <w:p w:rsidR="00F34B87" w:rsidRPr="007E0AF4" w:rsidRDefault="00F34B87" w:rsidP="000303D7">
            <w:pPr>
              <w:numPr>
                <w:ilvl w:val="0"/>
                <w:numId w:val="101"/>
              </w:numPr>
              <w:autoSpaceDE w:val="0"/>
              <w:autoSpaceDN w:val="0"/>
              <w:adjustRightInd w:val="0"/>
              <w:ind w:left="252" w:hanging="142"/>
              <w:rPr>
                <w:sz w:val="22"/>
                <w:szCs w:val="22"/>
              </w:rPr>
            </w:pPr>
            <w:r w:rsidRPr="007E0AF4">
              <w:rPr>
                <w:sz w:val="22"/>
                <w:szCs w:val="22"/>
              </w:rPr>
              <w:t>забезпечити бібліотеку, ресурсну кімнату, кімнату самоврядування, кабінет соціально-психологічної служби, методичний кабінет технічними засобами, обладнанням, сучасними комфортними меблями;</w:t>
            </w:r>
          </w:p>
          <w:p w:rsidR="00F34B87" w:rsidRPr="007E0AF4" w:rsidRDefault="00F34B87" w:rsidP="000303D7">
            <w:pPr>
              <w:numPr>
                <w:ilvl w:val="0"/>
                <w:numId w:val="101"/>
              </w:numPr>
              <w:autoSpaceDE w:val="0"/>
              <w:autoSpaceDN w:val="0"/>
              <w:adjustRightInd w:val="0"/>
              <w:ind w:left="252" w:hanging="142"/>
              <w:rPr>
                <w:sz w:val="22"/>
                <w:szCs w:val="22"/>
              </w:rPr>
            </w:pPr>
            <w:r w:rsidRPr="007E0AF4">
              <w:rPr>
                <w:sz w:val="22"/>
                <w:szCs w:val="22"/>
              </w:rPr>
              <w:t>укомплектувати медичний кабінет спеціалізованими меблями та медичним обладнанням;</w:t>
            </w:r>
          </w:p>
          <w:p w:rsidR="00F34B87" w:rsidRPr="007E0AF4" w:rsidRDefault="00F34B87" w:rsidP="000303D7">
            <w:pPr>
              <w:numPr>
                <w:ilvl w:val="0"/>
                <w:numId w:val="101"/>
              </w:numPr>
              <w:autoSpaceDE w:val="0"/>
              <w:autoSpaceDN w:val="0"/>
              <w:adjustRightInd w:val="0"/>
              <w:ind w:left="252" w:hanging="142"/>
              <w:rPr>
                <w:sz w:val="22"/>
                <w:szCs w:val="22"/>
              </w:rPr>
            </w:pPr>
            <w:r w:rsidRPr="007E0AF4">
              <w:rPr>
                <w:sz w:val="22"/>
                <w:szCs w:val="22"/>
              </w:rPr>
              <w:t>забезпечити харчоблок професійною технікою та сучасним енергозберігаючим устаткуванням; облаштувати обідню залу сучасними комфортними меблями.</w:t>
            </w:r>
          </w:p>
        </w:tc>
      </w:tr>
      <w:tr w:rsidR="00F34B87" w:rsidRPr="007E0AF4" w:rsidTr="00F34B87">
        <w:trPr>
          <w:trHeight w:val="1265"/>
        </w:trPr>
        <w:tc>
          <w:tcPr>
            <w:tcW w:w="3007" w:type="dxa"/>
            <w:shd w:val="clear" w:color="00FFFF" w:fill="C6D9F1" w:themeFill="text2" w:themeFillTint="33"/>
          </w:tcPr>
          <w:p w:rsidR="00F34B87" w:rsidRPr="007E0AF4" w:rsidRDefault="00F34B87" w:rsidP="00F34B87">
            <w:pPr>
              <w:autoSpaceDE w:val="0"/>
              <w:autoSpaceDN w:val="0"/>
              <w:adjustRightInd w:val="0"/>
              <w:rPr>
                <w:rFonts w:eastAsia="Calibri"/>
                <w:b/>
                <w:bCs/>
                <w:color w:val="000000"/>
                <w:sz w:val="22"/>
                <w:szCs w:val="22"/>
              </w:rPr>
            </w:pPr>
            <w:r w:rsidRPr="007E0AF4">
              <w:rPr>
                <w:rFonts w:eastAsia="Calibri"/>
                <w:b/>
                <w:bCs/>
                <w:color w:val="000000"/>
                <w:sz w:val="22"/>
                <w:szCs w:val="22"/>
              </w:rPr>
              <w:lastRenderedPageBreak/>
              <w:t xml:space="preserve">Очікувані якісні результати від реалізації </w:t>
            </w:r>
            <w:proofErr w:type="spellStart"/>
            <w:r w:rsidRPr="007E0AF4">
              <w:rPr>
                <w:rFonts w:eastAsia="Calibri"/>
                <w:b/>
                <w:bCs/>
                <w:color w:val="000000"/>
                <w:sz w:val="22"/>
                <w:szCs w:val="22"/>
              </w:rPr>
              <w:t>проєкту</w:t>
            </w:r>
            <w:proofErr w:type="spellEnd"/>
          </w:p>
        </w:tc>
        <w:tc>
          <w:tcPr>
            <w:tcW w:w="6946" w:type="dxa"/>
            <w:gridSpan w:val="7"/>
            <w:tcBorders>
              <w:top w:val="single" w:sz="4" w:space="0" w:color="auto"/>
              <w:left w:val="single" w:sz="4" w:space="0" w:color="auto"/>
              <w:bottom w:val="single" w:sz="4" w:space="0" w:color="auto"/>
              <w:right w:val="single" w:sz="4" w:space="0" w:color="000000"/>
            </w:tcBorders>
            <w:shd w:val="clear" w:color="auto" w:fill="auto"/>
            <w:vAlign w:val="bottom"/>
          </w:tcPr>
          <w:p w:rsidR="00F34B87" w:rsidRPr="007E0AF4" w:rsidRDefault="00F34B87" w:rsidP="000303D7">
            <w:pPr>
              <w:numPr>
                <w:ilvl w:val="0"/>
                <w:numId w:val="102"/>
              </w:numPr>
              <w:autoSpaceDE w:val="0"/>
              <w:autoSpaceDN w:val="0"/>
              <w:adjustRightInd w:val="0"/>
              <w:ind w:left="252" w:hanging="252"/>
              <w:rPr>
                <w:color w:val="000000"/>
                <w:sz w:val="22"/>
                <w:szCs w:val="22"/>
              </w:rPr>
            </w:pPr>
            <w:r w:rsidRPr="007E0AF4">
              <w:rPr>
                <w:color w:val="000000"/>
                <w:sz w:val="22"/>
                <w:szCs w:val="22"/>
              </w:rPr>
              <w:t>Задоволення освітніх потреб населення для сталого розвитку громади.</w:t>
            </w:r>
          </w:p>
          <w:p w:rsidR="00F34B87" w:rsidRPr="007E0AF4" w:rsidRDefault="00F34B87" w:rsidP="000303D7">
            <w:pPr>
              <w:numPr>
                <w:ilvl w:val="0"/>
                <w:numId w:val="102"/>
              </w:numPr>
              <w:autoSpaceDE w:val="0"/>
              <w:autoSpaceDN w:val="0"/>
              <w:adjustRightInd w:val="0"/>
              <w:ind w:left="252" w:hanging="252"/>
              <w:rPr>
                <w:color w:val="000000"/>
                <w:sz w:val="22"/>
                <w:szCs w:val="22"/>
              </w:rPr>
            </w:pPr>
            <w:r w:rsidRPr="007E0AF4">
              <w:rPr>
                <w:color w:val="000000"/>
                <w:sz w:val="22"/>
                <w:szCs w:val="22"/>
              </w:rPr>
              <w:t xml:space="preserve">Створення сучасного інклюзивного </w:t>
            </w:r>
            <w:proofErr w:type="spellStart"/>
            <w:r w:rsidRPr="007E0AF4">
              <w:rPr>
                <w:color w:val="000000"/>
                <w:sz w:val="22"/>
                <w:szCs w:val="22"/>
              </w:rPr>
              <w:t>освітньо</w:t>
            </w:r>
            <w:proofErr w:type="spellEnd"/>
            <w:r w:rsidRPr="007E0AF4">
              <w:rPr>
                <w:color w:val="000000"/>
                <w:sz w:val="22"/>
                <w:szCs w:val="22"/>
              </w:rPr>
              <w:t>-культурного та спортивного простору для розвитку здобувачів освіти, забезпечення закладу відповідними матеріально-технічними та методичними засобами.</w:t>
            </w:r>
          </w:p>
          <w:p w:rsidR="00F34B87" w:rsidRPr="007E0AF4" w:rsidRDefault="00F34B87" w:rsidP="000303D7">
            <w:pPr>
              <w:numPr>
                <w:ilvl w:val="0"/>
                <w:numId w:val="102"/>
              </w:numPr>
              <w:autoSpaceDE w:val="0"/>
              <w:autoSpaceDN w:val="0"/>
              <w:adjustRightInd w:val="0"/>
              <w:ind w:left="252" w:hanging="252"/>
              <w:rPr>
                <w:color w:val="000000"/>
                <w:sz w:val="22"/>
                <w:szCs w:val="22"/>
              </w:rPr>
            </w:pPr>
            <w:r w:rsidRPr="007E0AF4">
              <w:rPr>
                <w:color w:val="000000"/>
                <w:sz w:val="22"/>
                <w:szCs w:val="22"/>
              </w:rPr>
              <w:t>Збереження робочих місць для всіх працівників закладу.</w:t>
            </w:r>
          </w:p>
          <w:p w:rsidR="00F34B87" w:rsidRPr="007E0AF4" w:rsidRDefault="00F34B87" w:rsidP="000303D7">
            <w:pPr>
              <w:numPr>
                <w:ilvl w:val="0"/>
                <w:numId w:val="102"/>
              </w:numPr>
              <w:autoSpaceDE w:val="0"/>
              <w:autoSpaceDN w:val="0"/>
              <w:adjustRightInd w:val="0"/>
              <w:ind w:left="252" w:hanging="252"/>
              <w:rPr>
                <w:color w:val="000000"/>
                <w:sz w:val="22"/>
                <w:szCs w:val="22"/>
              </w:rPr>
            </w:pPr>
            <w:r w:rsidRPr="007E0AF4">
              <w:rPr>
                <w:color w:val="000000"/>
                <w:sz w:val="22"/>
                <w:szCs w:val="22"/>
              </w:rPr>
              <w:t>Стимул до повернення ВПО до громади.</w:t>
            </w:r>
          </w:p>
          <w:p w:rsidR="00F34B87" w:rsidRPr="007E0AF4" w:rsidRDefault="00F34B87" w:rsidP="000303D7">
            <w:pPr>
              <w:numPr>
                <w:ilvl w:val="0"/>
                <w:numId w:val="102"/>
              </w:numPr>
              <w:autoSpaceDE w:val="0"/>
              <w:autoSpaceDN w:val="0"/>
              <w:adjustRightInd w:val="0"/>
              <w:ind w:left="252" w:hanging="252"/>
              <w:rPr>
                <w:color w:val="000000"/>
                <w:sz w:val="22"/>
                <w:szCs w:val="22"/>
              </w:rPr>
            </w:pPr>
            <w:r w:rsidRPr="007E0AF4">
              <w:rPr>
                <w:color w:val="000000"/>
                <w:sz w:val="22"/>
                <w:szCs w:val="22"/>
              </w:rPr>
              <w:t>Підтримка творчої ініціативи надавачів освітніх послуг у пошуках нових форм і методів педагогічної діяльності.</w:t>
            </w:r>
          </w:p>
          <w:p w:rsidR="00F34B87" w:rsidRPr="007E0AF4" w:rsidRDefault="00F34B87" w:rsidP="000303D7">
            <w:pPr>
              <w:numPr>
                <w:ilvl w:val="0"/>
                <w:numId w:val="102"/>
              </w:numPr>
              <w:autoSpaceDE w:val="0"/>
              <w:autoSpaceDN w:val="0"/>
              <w:adjustRightInd w:val="0"/>
              <w:ind w:left="252" w:hanging="252"/>
              <w:rPr>
                <w:color w:val="000000"/>
                <w:sz w:val="22"/>
                <w:szCs w:val="22"/>
              </w:rPr>
            </w:pPr>
            <w:r w:rsidRPr="007E0AF4">
              <w:rPr>
                <w:color w:val="000000"/>
                <w:sz w:val="22"/>
                <w:szCs w:val="22"/>
              </w:rPr>
              <w:t>Створення умов для надання якісних освітніх послуг дітям з особливими освітніми потребами.</w:t>
            </w:r>
          </w:p>
          <w:p w:rsidR="00F34B87" w:rsidRPr="007E0AF4" w:rsidRDefault="00F34B87" w:rsidP="000303D7">
            <w:pPr>
              <w:numPr>
                <w:ilvl w:val="0"/>
                <w:numId w:val="102"/>
              </w:numPr>
              <w:autoSpaceDE w:val="0"/>
              <w:autoSpaceDN w:val="0"/>
              <w:adjustRightInd w:val="0"/>
              <w:ind w:left="252" w:hanging="252"/>
              <w:rPr>
                <w:rFonts w:eastAsia="Calibri"/>
                <w:color w:val="000000"/>
                <w:sz w:val="22"/>
                <w:szCs w:val="22"/>
              </w:rPr>
            </w:pPr>
            <w:r w:rsidRPr="007E0AF4">
              <w:rPr>
                <w:color w:val="000000"/>
                <w:sz w:val="22"/>
                <w:szCs w:val="22"/>
              </w:rPr>
              <w:t>Створення в закладі освіти комфортних умов для організації та здійснення якісного, збалансованого і доступного харчування. Охоплення найбільшої кількості учасників освітнього процесу гарячим харчуванням; збереження та зміцнення здоров'я дітей.</w:t>
            </w:r>
          </w:p>
        </w:tc>
      </w:tr>
      <w:tr w:rsidR="00F34B87" w:rsidRPr="007E0AF4" w:rsidTr="00F34B87">
        <w:trPr>
          <w:trHeight w:val="581"/>
        </w:trPr>
        <w:tc>
          <w:tcPr>
            <w:tcW w:w="3007" w:type="dxa"/>
            <w:shd w:val="clear" w:color="00FFFF" w:fill="C6D9F1" w:themeFill="text2" w:themeFillTint="33"/>
          </w:tcPr>
          <w:p w:rsidR="00F34B87" w:rsidRPr="007E0AF4" w:rsidRDefault="00F34B87" w:rsidP="00F34B87">
            <w:pPr>
              <w:autoSpaceDE w:val="0"/>
              <w:autoSpaceDN w:val="0"/>
              <w:adjustRightInd w:val="0"/>
              <w:rPr>
                <w:rFonts w:eastAsia="Calibri"/>
                <w:b/>
                <w:bCs/>
                <w:color w:val="000000"/>
                <w:sz w:val="22"/>
                <w:szCs w:val="22"/>
              </w:rPr>
            </w:pPr>
            <w:r w:rsidRPr="007E0AF4">
              <w:rPr>
                <w:rFonts w:eastAsia="Calibri"/>
                <w:b/>
                <w:bCs/>
                <w:color w:val="000000"/>
                <w:sz w:val="22"/>
                <w:szCs w:val="22"/>
              </w:rPr>
              <w:t xml:space="preserve">Очікувані кількісні результати від реалізації </w:t>
            </w:r>
            <w:proofErr w:type="spellStart"/>
            <w:r w:rsidRPr="007E0AF4">
              <w:rPr>
                <w:rFonts w:eastAsia="Calibri"/>
                <w:b/>
                <w:bCs/>
                <w:color w:val="000000"/>
                <w:sz w:val="22"/>
                <w:szCs w:val="22"/>
              </w:rPr>
              <w:t>проєкту</w:t>
            </w:r>
            <w:proofErr w:type="spellEnd"/>
            <w:r w:rsidRPr="007E0AF4">
              <w:rPr>
                <w:rFonts w:eastAsia="Calibri"/>
                <w:b/>
                <w:bCs/>
                <w:color w:val="000000"/>
                <w:sz w:val="22"/>
                <w:szCs w:val="22"/>
              </w:rPr>
              <w:t xml:space="preserve">  (індикатори)</w:t>
            </w:r>
          </w:p>
        </w:tc>
        <w:tc>
          <w:tcPr>
            <w:tcW w:w="3655" w:type="dxa"/>
            <w:gridSpan w:val="4"/>
            <w:tcBorders>
              <w:top w:val="nil"/>
              <w:left w:val="single" w:sz="4" w:space="0" w:color="auto"/>
              <w:bottom w:val="single" w:sz="4" w:space="0" w:color="auto"/>
              <w:right w:val="single" w:sz="4" w:space="0" w:color="auto"/>
            </w:tcBorders>
            <w:shd w:val="clear" w:color="auto" w:fill="auto"/>
            <w:vAlign w:val="center"/>
          </w:tcPr>
          <w:p w:rsidR="00F34B87" w:rsidRPr="007E0AF4" w:rsidRDefault="00F34B87" w:rsidP="00F34B87">
            <w:pPr>
              <w:autoSpaceDE w:val="0"/>
              <w:autoSpaceDN w:val="0"/>
              <w:adjustRightInd w:val="0"/>
              <w:jc w:val="center"/>
              <w:rPr>
                <w:rFonts w:eastAsia="Calibri"/>
                <w:b/>
                <w:bCs/>
                <w:color w:val="000000"/>
                <w:sz w:val="22"/>
                <w:szCs w:val="22"/>
              </w:rPr>
            </w:pPr>
            <w:r w:rsidRPr="007E0AF4">
              <w:rPr>
                <w:b/>
                <w:bCs/>
                <w:color w:val="000000"/>
                <w:sz w:val="22"/>
                <w:szCs w:val="22"/>
              </w:rPr>
              <w:t>Найменування показника</w:t>
            </w:r>
          </w:p>
        </w:tc>
        <w:tc>
          <w:tcPr>
            <w:tcW w:w="1701" w:type="dxa"/>
            <w:tcBorders>
              <w:top w:val="nil"/>
              <w:left w:val="nil"/>
              <w:bottom w:val="single" w:sz="4" w:space="0" w:color="auto"/>
              <w:right w:val="single" w:sz="4" w:space="0" w:color="auto"/>
            </w:tcBorders>
            <w:shd w:val="clear" w:color="auto" w:fill="auto"/>
            <w:vAlign w:val="center"/>
          </w:tcPr>
          <w:p w:rsidR="00F34B87" w:rsidRPr="007E0AF4" w:rsidRDefault="00F34B87" w:rsidP="00F34B87">
            <w:pPr>
              <w:autoSpaceDE w:val="0"/>
              <w:autoSpaceDN w:val="0"/>
              <w:adjustRightInd w:val="0"/>
              <w:jc w:val="center"/>
              <w:rPr>
                <w:rFonts w:eastAsia="Calibri"/>
                <w:b/>
                <w:bCs/>
                <w:color w:val="000000"/>
                <w:sz w:val="22"/>
                <w:szCs w:val="22"/>
              </w:rPr>
            </w:pPr>
            <w:r w:rsidRPr="007E0AF4">
              <w:rPr>
                <w:b/>
                <w:bCs/>
                <w:color w:val="000000"/>
                <w:sz w:val="22"/>
                <w:szCs w:val="22"/>
              </w:rPr>
              <w:t>Одиниця вимірювання</w:t>
            </w:r>
          </w:p>
        </w:tc>
        <w:tc>
          <w:tcPr>
            <w:tcW w:w="1590" w:type="dxa"/>
            <w:gridSpan w:val="2"/>
            <w:tcBorders>
              <w:top w:val="single" w:sz="4" w:space="0" w:color="auto"/>
              <w:left w:val="nil"/>
              <w:bottom w:val="single" w:sz="4" w:space="0" w:color="auto"/>
              <w:right w:val="single" w:sz="4" w:space="0" w:color="auto"/>
            </w:tcBorders>
            <w:shd w:val="clear" w:color="auto" w:fill="auto"/>
            <w:vAlign w:val="center"/>
          </w:tcPr>
          <w:p w:rsidR="00F34B87" w:rsidRPr="007E0AF4" w:rsidRDefault="00F34B87" w:rsidP="00F34B87">
            <w:pPr>
              <w:autoSpaceDE w:val="0"/>
              <w:autoSpaceDN w:val="0"/>
              <w:adjustRightInd w:val="0"/>
              <w:jc w:val="center"/>
              <w:rPr>
                <w:rFonts w:eastAsia="Calibri"/>
                <w:b/>
                <w:bCs/>
                <w:color w:val="000000"/>
                <w:sz w:val="22"/>
                <w:szCs w:val="22"/>
              </w:rPr>
            </w:pPr>
            <w:r w:rsidRPr="007E0AF4">
              <w:rPr>
                <w:b/>
                <w:bCs/>
                <w:color w:val="000000"/>
                <w:sz w:val="22"/>
                <w:szCs w:val="22"/>
              </w:rPr>
              <w:t>Прогнозне (цільове) значення</w:t>
            </w:r>
          </w:p>
        </w:tc>
      </w:tr>
      <w:tr w:rsidR="00F34B87" w:rsidRPr="007E0AF4" w:rsidTr="00F34B87">
        <w:trPr>
          <w:trHeight w:val="1050"/>
        </w:trPr>
        <w:tc>
          <w:tcPr>
            <w:tcW w:w="3007" w:type="dxa"/>
            <w:shd w:val="clear" w:color="00FFFF" w:fill="C6D9F1" w:themeFill="text2" w:themeFillTint="33"/>
          </w:tcPr>
          <w:p w:rsidR="00F34B87" w:rsidRPr="007E0AF4" w:rsidRDefault="00F34B87" w:rsidP="00F34B87">
            <w:pPr>
              <w:autoSpaceDE w:val="0"/>
              <w:autoSpaceDN w:val="0"/>
              <w:adjustRightInd w:val="0"/>
              <w:rPr>
                <w:rFonts w:eastAsia="Calibri"/>
                <w:b/>
                <w:bCs/>
                <w:color w:val="000000"/>
                <w:sz w:val="22"/>
                <w:szCs w:val="22"/>
              </w:rPr>
            </w:pPr>
          </w:p>
        </w:tc>
        <w:tc>
          <w:tcPr>
            <w:tcW w:w="3655" w:type="dxa"/>
            <w:gridSpan w:val="4"/>
            <w:tcBorders>
              <w:top w:val="nil"/>
              <w:left w:val="single" w:sz="4" w:space="0" w:color="auto"/>
              <w:bottom w:val="single" w:sz="4" w:space="0" w:color="auto"/>
              <w:right w:val="single" w:sz="4" w:space="0" w:color="auto"/>
            </w:tcBorders>
            <w:shd w:val="clear" w:color="auto" w:fill="auto"/>
          </w:tcPr>
          <w:p w:rsidR="00F34B87" w:rsidRPr="007E0AF4" w:rsidRDefault="00F34B87" w:rsidP="00F34B87">
            <w:pPr>
              <w:autoSpaceDE w:val="0"/>
              <w:autoSpaceDN w:val="0"/>
              <w:adjustRightInd w:val="0"/>
              <w:rPr>
                <w:rFonts w:eastAsia="Calibri"/>
                <w:color w:val="000000"/>
                <w:sz w:val="22"/>
                <w:szCs w:val="22"/>
              </w:rPr>
            </w:pPr>
            <w:r w:rsidRPr="007E0AF4">
              <w:rPr>
                <w:color w:val="000000"/>
                <w:sz w:val="22"/>
                <w:szCs w:val="22"/>
              </w:rPr>
              <w:t>Здобувачі освіти, вчителі та працівники школи, батьки школярів</w:t>
            </w:r>
          </w:p>
        </w:tc>
        <w:tc>
          <w:tcPr>
            <w:tcW w:w="1701" w:type="dxa"/>
            <w:tcBorders>
              <w:top w:val="nil"/>
              <w:left w:val="nil"/>
              <w:bottom w:val="single" w:sz="4" w:space="0" w:color="auto"/>
              <w:right w:val="single" w:sz="4" w:space="0" w:color="auto"/>
            </w:tcBorders>
            <w:shd w:val="clear" w:color="auto" w:fill="auto"/>
          </w:tcPr>
          <w:p w:rsidR="00F34B87" w:rsidRPr="007E0AF4" w:rsidRDefault="00F34B87" w:rsidP="00F34B87">
            <w:pPr>
              <w:autoSpaceDE w:val="0"/>
              <w:autoSpaceDN w:val="0"/>
              <w:adjustRightInd w:val="0"/>
              <w:rPr>
                <w:rFonts w:eastAsia="Calibri"/>
                <w:color w:val="000000"/>
                <w:sz w:val="22"/>
                <w:szCs w:val="22"/>
              </w:rPr>
            </w:pPr>
            <w:r w:rsidRPr="007E0AF4">
              <w:rPr>
                <w:color w:val="000000"/>
                <w:sz w:val="22"/>
                <w:szCs w:val="22"/>
              </w:rPr>
              <w:t>осіб</w:t>
            </w:r>
          </w:p>
        </w:tc>
        <w:tc>
          <w:tcPr>
            <w:tcW w:w="1590" w:type="dxa"/>
            <w:gridSpan w:val="2"/>
            <w:tcBorders>
              <w:top w:val="single" w:sz="4" w:space="0" w:color="auto"/>
              <w:left w:val="nil"/>
              <w:bottom w:val="single" w:sz="4" w:space="0" w:color="auto"/>
              <w:right w:val="single" w:sz="4" w:space="0" w:color="000000"/>
            </w:tcBorders>
            <w:shd w:val="clear" w:color="auto" w:fill="auto"/>
          </w:tcPr>
          <w:p w:rsidR="00F34B87" w:rsidRPr="007E0AF4" w:rsidRDefault="00F34B87" w:rsidP="00F34B87">
            <w:pPr>
              <w:autoSpaceDE w:val="0"/>
              <w:autoSpaceDN w:val="0"/>
              <w:adjustRightInd w:val="0"/>
              <w:rPr>
                <w:rFonts w:eastAsia="Calibri"/>
                <w:color w:val="000000"/>
                <w:sz w:val="22"/>
                <w:szCs w:val="22"/>
              </w:rPr>
            </w:pPr>
            <w:r w:rsidRPr="007E0AF4">
              <w:rPr>
                <w:color w:val="000000"/>
                <w:sz w:val="22"/>
                <w:szCs w:val="22"/>
              </w:rPr>
              <w:t>1000</w:t>
            </w:r>
          </w:p>
        </w:tc>
      </w:tr>
      <w:tr w:rsidR="00F34B87" w:rsidRPr="007E0AF4" w:rsidTr="00F26A16">
        <w:trPr>
          <w:trHeight w:val="699"/>
        </w:trPr>
        <w:tc>
          <w:tcPr>
            <w:tcW w:w="3007" w:type="dxa"/>
            <w:shd w:val="clear" w:color="00FFFF" w:fill="C6D9F1" w:themeFill="text2" w:themeFillTint="33"/>
          </w:tcPr>
          <w:p w:rsidR="00F34B87" w:rsidRPr="007E0AF4" w:rsidRDefault="00F34B87" w:rsidP="00F34B87">
            <w:pPr>
              <w:autoSpaceDE w:val="0"/>
              <w:autoSpaceDN w:val="0"/>
              <w:adjustRightInd w:val="0"/>
              <w:rPr>
                <w:rFonts w:eastAsia="Calibri"/>
                <w:b/>
                <w:bCs/>
                <w:color w:val="000000"/>
                <w:sz w:val="22"/>
                <w:szCs w:val="22"/>
              </w:rPr>
            </w:pPr>
            <w:r w:rsidRPr="007E0AF4">
              <w:rPr>
                <w:rFonts w:eastAsia="Calibri"/>
                <w:b/>
                <w:bCs/>
                <w:color w:val="000000"/>
                <w:sz w:val="22"/>
                <w:szCs w:val="22"/>
              </w:rPr>
              <w:t xml:space="preserve">Ключові заходи </w:t>
            </w:r>
            <w:proofErr w:type="spellStart"/>
            <w:r w:rsidRPr="007E0AF4">
              <w:rPr>
                <w:rFonts w:eastAsia="Calibri"/>
                <w:b/>
                <w:bCs/>
                <w:color w:val="000000"/>
                <w:sz w:val="22"/>
                <w:szCs w:val="22"/>
              </w:rPr>
              <w:t>проєкту</w:t>
            </w:r>
            <w:proofErr w:type="spellEnd"/>
            <w:r w:rsidRPr="007E0AF4">
              <w:rPr>
                <w:rFonts w:eastAsia="Calibri"/>
                <w:b/>
                <w:bCs/>
                <w:color w:val="000000"/>
                <w:sz w:val="22"/>
                <w:szCs w:val="22"/>
              </w:rPr>
              <w:t>:</w:t>
            </w:r>
          </w:p>
        </w:tc>
        <w:tc>
          <w:tcPr>
            <w:tcW w:w="6946" w:type="dxa"/>
            <w:gridSpan w:val="7"/>
            <w:tcBorders>
              <w:top w:val="single" w:sz="4" w:space="0" w:color="auto"/>
              <w:left w:val="single" w:sz="4" w:space="0" w:color="auto"/>
              <w:bottom w:val="single" w:sz="4" w:space="0" w:color="auto"/>
              <w:right w:val="single" w:sz="4" w:space="0" w:color="000000"/>
            </w:tcBorders>
            <w:shd w:val="clear" w:color="auto" w:fill="auto"/>
          </w:tcPr>
          <w:p w:rsidR="00F34B87" w:rsidRPr="007E0AF4" w:rsidRDefault="00F34B87" w:rsidP="000303D7">
            <w:pPr>
              <w:numPr>
                <w:ilvl w:val="0"/>
                <w:numId w:val="103"/>
              </w:numPr>
              <w:autoSpaceDE w:val="0"/>
              <w:autoSpaceDN w:val="0"/>
              <w:adjustRightInd w:val="0"/>
              <w:ind w:left="252" w:hanging="252"/>
              <w:rPr>
                <w:color w:val="000000"/>
                <w:sz w:val="22"/>
                <w:szCs w:val="22"/>
              </w:rPr>
            </w:pPr>
            <w:r w:rsidRPr="007E0AF4">
              <w:rPr>
                <w:color w:val="000000"/>
                <w:sz w:val="22"/>
                <w:szCs w:val="22"/>
              </w:rPr>
              <w:t>Проведення моніторингу поточного матеріально-технічного стану приміщень закладу освіти.</w:t>
            </w:r>
          </w:p>
          <w:p w:rsidR="00F34B87" w:rsidRPr="007E0AF4" w:rsidRDefault="00F34B87" w:rsidP="000303D7">
            <w:pPr>
              <w:numPr>
                <w:ilvl w:val="0"/>
                <w:numId w:val="103"/>
              </w:numPr>
              <w:autoSpaceDE w:val="0"/>
              <w:autoSpaceDN w:val="0"/>
              <w:adjustRightInd w:val="0"/>
              <w:ind w:left="252" w:hanging="252"/>
              <w:rPr>
                <w:color w:val="000000"/>
                <w:sz w:val="22"/>
                <w:szCs w:val="22"/>
              </w:rPr>
            </w:pPr>
            <w:r w:rsidRPr="007E0AF4">
              <w:rPr>
                <w:color w:val="000000"/>
                <w:sz w:val="22"/>
                <w:szCs w:val="22"/>
              </w:rPr>
              <w:t>Проведення інвентаризації.</w:t>
            </w:r>
          </w:p>
          <w:p w:rsidR="00F34B87" w:rsidRPr="007E0AF4" w:rsidRDefault="00F34B87" w:rsidP="000303D7">
            <w:pPr>
              <w:numPr>
                <w:ilvl w:val="0"/>
                <w:numId w:val="103"/>
              </w:numPr>
              <w:autoSpaceDE w:val="0"/>
              <w:autoSpaceDN w:val="0"/>
              <w:adjustRightInd w:val="0"/>
              <w:ind w:left="252" w:hanging="252"/>
              <w:rPr>
                <w:color w:val="000000"/>
                <w:sz w:val="22"/>
                <w:szCs w:val="22"/>
              </w:rPr>
            </w:pPr>
            <w:r w:rsidRPr="007E0AF4">
              <w:rPr>
                <w:color w:val="000000"/>
                <w:sz w:val="22"/>
                <w:szCs w:val="22"/>
              </w:rPr>
              <w:t>Визначення кількості осіб, які потребують отримання освітніх послуг.</w:t>
            </w:r>
          </w:p>
          <w:p w:rsidR="00F34B87" w:rsidRPr="007E0AF4" w:rsidRDefault="00F34B87" w:rsidP="000303D7">
            <w:pPr>
              <w:numPr>
                <w:ilvl w:val="0"/>
                <w:numId w:val="103"/>
              </w:numPr>
              <w:autoSpaceDE w:val="0"/>
              <w:autoSpaceDN w:val="0"/>
              <w:adjustRightInd w:val="0"/>
              <w:ind w:left="252" w:hanging="252"/>
              <w:rPr>
                <w:color w:val="000000"/>
                <w:sz w:val="22"/>
                <w:szCs w:val="22"/>
              </w:rPr>
            </w:pPr>
            <w:r w:rsidRPr="007E0AF4">
              <w:rPr>
                <w:color w:val="000000"/>
                <w:sz w:val="22"/>
                <w:szCs w:val="22"/>
              </w:rPr>
              <w:t>Розробка детального плану відновлення матеріально-технічної бази закладу освіти з забезпечення меблями, оснащення технічними засобами та дидактичними матеріалами відповідно до норм безпеки, доступності, енергоефективності, автономності та якості освітнього процесу.</w:t>
            </w:r>
          </w:p>
          <w:p w:rsidR="00F34B87" w:rsidRPr="007E0AF4" w:rsidRDefault="00F34B87" w:rsidP="000303D7">
            <w:pPr>
              <w:numPr>
                <w:ilvl w:val="0"/>
                <w:numId w:val="103"/>
              </w:numPr>
              <w:autoSpaceDE w:val="0"/>
              <w:autoSpaceDN w:val="0"/>
              <w:adjustRightInd w:val="0"/>
              <w:ind w:left="252" w:hanging="252"/>
              <w:rPr>
                <w:color w:val="000000"/>
                <w:sz w:val="22"/>
                <w:szCs w:val="22"/>
              </w:rPr>
            </w:pPr>
            <w:r w:rsidRPr="007E0AF4">
              <w:rPr>
                <w:color w:val="000000"/>
                <w:sz w:val="22"/>
                <w:szCs w:val="22"/>
              </w:rPr>
              <w:t>Закупка меблів, технічних засобів та обладнання для кабінетів, спортивної зали, кабінетів технології, комп'ютерних кабінетів, бібліотеки, ресурсної кімнати, медичного кабінету.</w:t>
            </w:r>
          </w:p>
          <w:p w:rsidR="00F34B87" w:rsidRPr="007E0AF4" w:rsidRDefault="00F34B87" w:rsidP="000303D7">
            <w:pPr>
              <w:numPr>
                <w:ilvl w:val="0"/>
                <w:numId w:val="103"/>
              </w:numPr>
              <w:autoSpaceDE w:val="0"/>
              <w:autoSpaceDN w:val="0"/>
              <w:adjustRightInd w:val="0"/>
              <w:ind w:left="252" w:hanging="252"/>
              <w:rPr>
                <w:color w:val="000000"/>
                <w:sz w:val="22"/>
                <w:szCs w:val="22"/>
              </w:rPr>
            </w:pPr>
            <w:r w:rsidRPr="007E0AF4">
              <w:rPr>
                <w:color w:val="000000"/>
                <w:sz w:val="22"/>
                <w:szCs w:val="22"/>
              </w:rPr>
              <w:t>Закупка енергозберігаючого сучасного обладнання для приготування, зберігання та подачі харчових продуктів, а також систем контролю температури, гігієни та безпеки для харчоблоку.</w:t>
            </w:r>
          </w:p>
          <w:p w:rsidR="00F34B87" w:rsidRPr="007E0AF4" w:rsidRDefault="00F34B87" w:rsidP="000303D7">
            <w:pPr>
              <w:numPr>
                <w:ilvl w:val="0"/>
                <w:numId w:val="103"/>
              </w:numPr>
              <w:autoSpaceDE w:val="0"/>
              <w:autoSpaceDN w:val="0"/>
              <w:adjustRightInd w:val="0"/>
              <w:ind w:left="252" w:hanging="252"/>
              <w:rPr>
                <w:color w:val="000000"/>
                <w:sz w:val="22"/>
                <w:szCs w:val="22"/>
              </w:rPr>
            </w:pPr>
            <w:r w:rsidRPr="007E0AF4">
              <w:rPr>
                <w:color w:val="000000"/>
                <w:sz w:val="22"/>
                <w:szCs w:val="22"/>
              </w:rPr>
              <w:t>Закупка сучасних меблів для оснащення обідньої зали.</w:t>
            </w:r>
          </w:p>
          <w:p w:rsidR="00F34B87" w:rsidRPr="007E0AF4" w:rsidRDefault="00F34B87" w:rsidP="000303D7">
            <w:pPr>
              <w:numPr>
                <w:ilvl w:val="0"/>
                <w:numId w:val="103"/>
              </w:numPr>
              <w:autoSpaceDE w:val="0"/>
              <w:autoSpaceDN w:val="0"/>
              <w:adjustRightInd w:val="0"/>
              <w:ind w:left="252" w:hanging="252"/>
              <w:rPr>
                <w:rFonts w:eastAsia="Calibri"/>
                <w:color w:val="000000"/>
                <w:sz w:val="22"/>
                <w:szCs w:val="22"/>
              </w:rPr>
            </w:pPr>
            <w:r w:rsidRPr="007E0AF4">
              <w:rPr>
                <w:sz w:val="22"/>
                <w:szCs w:val="22"/>
              </w:rPr>
              <w:lastRenderedPageBreak/>
              <w:t>Організація та початок роботи освітнього закладу.</w:t>
            </w:r>
          </w:p>
        </w:tc>
      </w:tr>
      <w:tr w:rsidR="00F34B87" w:rsidRPr="007E0AF4" w:rsidTr="00F34B87">
        <w:trPr>
          <w:trHeight w:val="361"/>
        </w:trPr>
        <w:tc>
          <w:tcPr>
            <w:tcW w:w="3007" w:type="dxa"/>
            <w:vMerge w:val="restart"/>
            <w:shd w:val="clear" w:color="00FFFF" w:fill="C6D9F1" w:themeFill="text2" w:themeFillTint="33"/>
          </w:tcPr>
          <w:p w:rsidR="00F34B87" w:rsidRPr="007E0AF4" w:rsidRDefault="00F34B87" w:rsidP="00F34B87">
            <w:pPr>
              <w:autoSpaceDE w:val="0"/>
              <w:autoSpaceDN w:val="0"/>
              <w:adjustRightInd w:val="0"/>
              <w:rPr>
                <w:rFonts w:eastAsia="Calibri"/>
                <w:b/>
                <w:bCs/>
                <w:color w:val="000000"/>
                <w:sz w:val="22"/>
                <w:szCs w:val="22"/>
              </w:rPr>
            </w:pPr>
            <w:r w:rsidRPr="007E0AF4">
              <w:rPr>
                <w:rFonts w:eastAsia="Calibri"/>
                <w:b/>
                <w:bCs/>
                <w:color w:val="000000"/>
                <w:sz w:val="22"/>
                <w:szCs w:val="22"/>
              </w:rPr>
              <w:lastRenderedPageBreak/>
              <w:t>Орієнтовний обсяг та джерела фінансування,  тис. гривень</w:t>
            </w:r>
          </w:p>
        </w:tc>
        <w:tc>
          <w:tcPr>
            <w:tcW w:w="992" w:type="dxa"/>
            <w:vAlign w:val="center"/>
          </w:tcPr>
          <w:p w:rsidR="00F34B87" w:rsidRPr="007E0AF4" w:rsidRDefault="00F34B87" w:rsidP="00F34B87">
            <w:pPr>
              <w:autoSpaceDE w:val="0"/>
              <w:autoSpaceDN w:val="0"/>
              <w:adjustRightInd w:val="0"/>
              <w:jc w:val="center"/>
              <w:rPr>
                <w:rFonts w:eastAsia="Calibri"/>
                <w:b/>
                <w:bCs/>
                <w:color w:val="000000"/>
                <w:sz w:val="22"/>
                <w:szCs w:val="22"/>
              </w:rPr>
            </w:pPr>
            <w:r w:rsidRPr="007E0AF4">
              <w:rPr>
                <w:rFonts w:eastAsia="Calibri"/>
                <w:b/>
                <w:bCs/>
                <w:color w:val="000000"/>
                <w:sz w:val="22"/>
                <w:szCs w:val="22"/>
              </w:rPr>
              <w:t>Державний бюджет</w:t>
            </w:r>
          </w:p>
        </w:tc>
        <w:tc>
          <w:tcPr>
            <w:tcW w:w="1276" w:type="dxa"/>
            <w:vAlign w:val="center"/>
          </w:tcPr>
          <w:p w:rsidR="00F34B87" w:rsidRPr="007E0AF4" w:rsidRDefault="00F34B87" w:rsidP="00F34B87">
            <w:pPr>
              <w:autoSpaceDE w:val="0"/>
              <w:autoSpaceDN w:val="0"/>
              <w:adjustRightInd w:val="0"/>
              <w:jc w:val="center"/>
              <w:rPr>
                <w:rFonts w:eastAsia="Calibri"/>
                <w:b/>
                <w:bCs/>
                <w:color w:val="000000"/>
                <w:sz w:val="22"/>
                <w:szCs w:val="22"/>
              </w:rPr>
            </w:pPr>
            <w:r w:rsidRPr="007E0AF4">
              <w:rPr>
                <w:rFonts w:eastAsia="Calibri"/>
                <w:b/>
                <w:bCs/>
                <w:color w:val="000000"/>
                <w:sz w:val="22"/>
                <w:szCs w:val="22"/>
              </w:rPr>
              <w:t>Місцевий бюджет</w:t>
            </w:r>
          </w:p>
        </w:tc>
        <w:tc>
          <w:tcPr>
            <w:tcW w:w="3513" w:type="dxa"/>
            <w:gridSpan w:val="4"/>
            <w:vAlign w:val="center"/>
          </w:tcPr>
          <w:p w:rsidR="00F34B87" w:rsidRPr="007E0AF4" w:rsidRDefault="00F34B87" w:rsidP="00F34B87">
            <w:pPr>
              <w:autoSpaceDE w:val="0"/>
              <w:autoSpaceDN w:val="0"/>
              <w:adjustRightInd w:val="0"/>
              <w:jc w:val="center"/>
              <w:rPr>
                <w:rFonts w:eastAsia="Calibri"/>
                <w:b/>
                <w:bCs/>
                <w:color w:val="000000"/>
                <w:sz w:val="22"/>
                <w:szCs w:val="22"/>
              </w:rPr>
            </w:pPr>
            <w:r w:rsidRPr="007E0AF4">
              <w:rPr>
                <w:rFonts w:eastAsia="Calibri"/>
                <w:b/>
                <w:bCs/>
                <w:color w:val="000000"/>
                <w:sz w:val="22"/>
                <w:szCs w:val="22"/>
              </w:rPr>
              <w:t>Інші джерела</w:t>
            </w:r>
          </w:p>
        </w:tc>
        <w:tc>
          <w:tcPr>
            <w:tcW w:w="1165" w:type="dxa"/>
            <w:vAlign w:val="center"/>
          </w:tcPr>
          <w:p w:rsidR="00F34B87" w:rsidRPr="007E0AF4" w:rsidRDefault="00F34B87" w:rsidP="00F34B87">
            <w:pPr>
              <w:autoSpaceDE w:val="0"/>
              <w:autoSpaceDN w:val="0"/>
              <w:adjustRightInd w:val="0"/>
              <w:jc w:val="center"/>
              <w:rPr>
                <w:rFonts w:eastAsia="Calibri"/>
                <w:b/>
                <w:bCs/>
                <w:color w:val="000000"/>
                <w:sz w:val="22"/>
                <w:szCs w:val="22"/>
              </w:rPr>
            </w:pPr>
            <w:r w:rsidRPr="007E0AF4">
              <w:rPr>
                <w:rFonts w:eastAsia="Calibri"/>
                <w:b/>
                <w:bCs/>
                <w:color w:val="000000"/>
                <w:sz w:val="22"/>
                <w:szCs w:val="22"/>
              </w:rPr>
              <w:t>Всього</w:t>
            </w:r>
          </w:p>
        </w:tc>
      </w:tr>
      <w:tr w:rsidR="00F34B87" w:rsidRPr="007E0AF4" w:rsidTr="00F34B87">
        <w:trPr>
          <w:trHeight w:val="420"/>
        </w:trPr>
        <w:tc>
          <w:tcPr>
            <w:tcW w:w="3007" w:type="dxa"/>
            <w:vMerge/>
            <w:shd w:val="clear" w:color="00FFFF" w:fill="C6D9F1" w:themeFill="text2" w:themeFillTint="33"/>
          </w:tcPr>
          <w:p w:rsidR="00F34B87" w:rsidRPr="007E0AF4" w:rsidRDefault="00F34B87" w:rsidP="00F34B87">
            <w:pPr>
              <w:autoSpaceDE w:val="0"/>
              <w:autoSpaceDN w:val="0"/>
              <w:adjustRightInd w:val="0"/>
              <w:rPr>
                <w:rFonts w:eastAsia="Calibri"/>
                <w:b/>
                <w:bCs/>
                <w:color w:val="000000"/>
                <w:sz w:val="22"/>
                <w:szCs w:val="22"/>
              </w:rPr>
            </w:pPr>
          </w:p>
        </w:tc>
        <w:tc>
          <w:tcPr>
            <w:tcW w:w="992" w:type="dxa"/>
            <w:vMerge w:val="restart"/>
          </w:tcPr>
          <w:p w:rsidR="00F34B87" w:rsidRPr="007E0AF4" w:rsidRDefault="00F34B87" w:rsidP="00F34B87">
            <w:pPr>
              <w:autoSpaceDE w:val="0"/>
              <w:autoSpaceDN w:val="0"/>
              <w:adjustRightInd w:val="0"/>
              <w:jc w:val="center"/>
              <w:rPr>
                <w:rFonts w:eastAsia="Calibri"/>
                <w:bCs/>
                <w:color w:val="000000"/>
                <w:sz w:val="22"/>
                <w:szCs w:val="22"/>
              </w:rPr>
            </w:pPr>
            <w:r w:rsidRPr="007E0AF4">
              <w:rPr>
                <w:rFonts w:eastAsia="Calibri"/>
                <w:bCs/>
                <w:color w:val="000000"/>
                <w:sz w:val="22"/>
                <w:szCs w:val="22"/>
              </w:rPr>
              <w:t>12215,7</w:t>
            </w:r>
          </w:p>
        </w:tc>
        <w:tc>
          <w:tcPr>
            <w:tcW w:w="1276" w:type="dxa"/>
            <w:vMerge w:val="restart"/>
          </w:tcPr>
          <w:p w:rsidR="00F34B87" w:rsidRPr="007E0AF4" w:rsidRDefault="00F34B87" w:rsidP="00F34B87">
            <w:pPr>
              <w:autoSpaceDE w:val="0"/>
              <w:autoSpaceDN w:val="0"/>
              <w:adjustRightInd w:val="0"/>
              <w:jc w:val="center"/>
              <w:rPr>
                <w:rFonts w:eastAsia="Calibri"/>
                <w:b/>
                <w:bCs/>
                <w:color w:val="000000"/>
                <w:sz w:val="22"/>
                <w:szCs w:val="22"/>
              </w:rPr>
            </w:pPr>
          </w:p>
        </w:tc>
        <w:tc>
          <w:tcPr>
            <w:tcW w:w="1134" w:type="dxa"/>
            <w:vAlign w:val="center"/>
          </w:tcPr>
          <w:p w:rsidR="00F34B87" w:rsidRPr="007E0AF4" w:rsidRDefault="00F34B87" w:rsidP="00F34B87">
            <w:pPr>
              <w:autoSpaceDE w:val="0"/>
              <w:autoSpaceDN w:val="0"/>
              <w:adjustRightInd w:val="0"/>
              <w:jc w:val="center"/>
              <w:rPr>
                <w:rFonts w:eastAsia="Calibri"/>
                <w:b/>
                <w:bCs/>
                <w:color w:val="000000"/>
                <w:sz w:val="22"/>
                <w:szCs w:val="22"/>
              </w:rPr>
            </w:pPr>
            <w:r w:rsidRPr="007E0AF4">
              <w:rPr>
                <w:rFonts w:eastAsia="Calibri"/>
                <w:b/>
                <w:bCs/>
                <w:color w:val="000000"/>
                <w:sz w:val="22"/>
                <w:szCs w:val="22"/>
              </w:rPr>
              <w:t>обсяг</w:t>
            </w:r>
          </w:p>
        </w:tc>
        <w:tc>
          <w:tcPr>
            <w:tcW w:w="2379" w:type="dxa"/>
            <w:gridSpan w:val="3"/>
            <w:vAlign w:val="center"/>
          </w:tcPr>
          <w:p w:rsidR="00F34B87" w:rsidRPr="007E0AF4" w:rsidRDefault="00F34B87" w:rsidP="00F34B87">
            <w:pPr>
              <w:autoSpaceDE w:val="0"/>
              <w:autoSpaceDN w:val="0"/>
              <w:adjustRightInd w:val="0"/>
              <w:jc w:val="center"/>
              <w:rPr>
                <w:rFonts w:eastAsia="Calibri"/>
                <w:b/>
                <w:bCs/>
                <w:color w:val="000000"/>
                <w:sz w:val="22"/>
                <w:szCs w:val="22"/>
              </w:rPr>
            </w:pPr>
            <w:r w:rsidRPr="007E0AF4">
              <w:rPr>
                <w:rFonts w:eastAsia="Calibri"/>
                <w:b/>
                <w:bCs/>
                <w:color w:val="000000"/>
                <w:sz w:val="22"/>
                <w:szCs w:val="22"/>
              </w:rPr>
              <w:t>назва джерела</w:t>
            </w:r>
          </w:p>
        </w:tc>
        <w:tc>
          <w:tcPr>
            <w:tcW w:w="1165" w:type="dxa"/>
            <w:vMerge w:val="restart"/>
          </w:tcPr>
          <w:p w:rsidR="00F34B87" w:rsidRPr="007E0AF4" w:rsidRDefault="00F34B87" w:rsidP="00F34B87">
            <w:pPr>
              <w:autoSpaceDE w:val="0"/>
              <w:autoSpaceDN w:val="0"/>
              <w:adjustRightInd w:val="0"/>
              <w:jc w:val="center"/>
              <w:rPr>
                <w:rFonts w:eastAsia="Calibri"/>
                <w:b/>
                <w:bCs/>
                <w:color w:val="000000"/>
                <w:sz w:val="22"/>
                <w:szCs w:val="22"/>
              </w:rPr>
            </w:pPr>
            <w:r w:rsidRPr="007E0AF4">
              <w:rPr>
                <w:rFonts w:eastAsia="Calibri"/>
                <w:color w:val="000000"/>
                <w:sz w:val="22"/>
                <w:szCs w:val="22"/>
              </w:rPr>
              <w:t>17451,0</w:t>
            </w:r>
          </w:p>
        </w:tc>
      </w:tr>
      <w:tr w:rsidR="00F34B87" w:rsidRPr="007E0AF4" w:rsidTr="00F34B87">
        <w:trPr>
          <w:trHeight w:val="420"/>
        </w:trPr>
        <w:tc>
          <w:tcPr>
            <w:tcW w:w="3007" w:type="dxa"/>
            <w:vMerge/>
            <w:shd w:val="clear" w:color="00FFFF" w:fill="C6D9F1" w:themeFill="text2" w:themeFillTint="33"/>
          </w:tcPr>
          <w:p w:rsidR="00F34B87" w:rsidRPr="007E0AF4" w:rsidRDefault="00F34B87" w:rsidP="00F34B87">
            <w:pPr>
              <w:autoSpaceDE w:val="0"/>
              <w:autoSpaceDN w:val="0"/>
              <w:adjustRightInd w:val="0"/>
              <w:rPr>
                <w:rFonts w:eastAsia="Calibri"/>
                <w:b/>
                <w:bCs/>
                <w:color w:val="000000"/>
                <w:sz w:val="22"/>
                <w:szCs w:val="22"/>
              </w:rPr>
            </w:pPr>
          </w:p>
        </w:tc>
        <w:tc>
          <w:tcPr>
            <w:tcW w:w="992" w:type="dxa"/>
            <w:vMerge/>
          </w:tcPr>
          <w:p w:rsidR="00F34B87" w:rsidRPr="007E0AF4" w:rsidRDefault="00F34B87" w:rsidP="00F34B87">
            <w:pPr>
              <w:autoSpaceDE w:val="0"/>
              <w:autoSpaceDN w:val="0"/>
              <w:adjustRightInd w:val="0"/>
              <w:rPr>
                <w:rFonts w:eastAsia="Calibri"/>
                <w:color w:val="000000"/>
                <w:sz w:val="22"/>
                <w:szCs w:val="22"/>
              </w:rPr>
            </w:pPr>
          </w:p>
        </w:tc>
        <w:tc>
          <w:tcPr>
            <w:tcW w:w="1276" w:type="dxa"/>
            <w:vMerge/>
          </w:tcPr>
          <w:p w:rsidR="00F34B87" w:rsidRPr="007E0AF4" w:rsidRDefault="00F34B87" w:rsidP="00F34B87">
            <w:pPr>
              <w:autoSpaceDE w:val="0"/>
              <w:autoSpaceDN w:val="0"/>
              <w:adjustRightInd w:val="0"/>
              <w:rPr>
                <w:rFonts w:eastAsia="Calibri"/>
                <w:color w:val="000000"/>
                <w:sz w:val="22"/>
                <w:szCs w:val="22"/>
              </w:rPr>
            </w:pPr>
          </w:p>
        </w:tc>
        <w:tc>
          <w:tcPr>
            <w:tcW w:w="1134" w:type="dxa"/>
          </w:tcPr>
          <w:p w:rsidR="00F34B87" w:rsidRPr="007E0AF4" w:rsidRDefault="00F34B87" w:rsidP="00F34B87">
            <w:pPr>
              <w:autoSpaceDE w:val="0"/>
              <w:autoSpaceDN w:val="0"/>
              <w:adjustRightInd w:val="0"/>
              <w:rPr>
                <w:rFonts w:eastAsia="Calibri"/>
                <w:color w:val="000000"/>
                <w:sz w:val="22"/>
                <w:szCs w:val="22"/>
              </w:rPr>
            </w:pPr>
            <w:r w:rsidRPr="007E0AF4">
              <w:rPr>
                <w:rFonts w:eastAsia="Calibri"/>
                <w:color w:val="000000"/>
                <w:sz w:val="22"/>
                <w:szCs w:val="22"/>
              </w:rPr>
              <w:t>5235,3</w:t>
            </w:r>
          </w:p>
        </w:tc>
        <w:tc>
          <w:tcPr>
            <w:tcW w:w="2379" w:type="dxa"/>
            <w:gridSpan w:val="3"/>
          </w:tcPr>
          <w:p w:rsidR="00F34B87" w:rsidRPr="007E0AF4" w:rsidRDefault="00F34B87" w:rsidP="00F34B87">
            <w:pPr>
              <w:autoSpaceDE w:val="0"/>
              <w:autoSpaceDN w:val="0"/>
              <w:adjustRightInd w:val="0"/>
              <w:rPr>
                <w:rFonts w:eastAsia="Calibri"/>
                <w:color w:val="000000"/>
                <w:sz w:val="22"/>
                <w:szCs w:val="22"/>
              </w:rPr>
            </w:pPr>
            <w:r w:rsidRPr="007E0AF4">
              <w:rPr>
                <w:rFonts w:eastAsia="Calibri"/>
                <w:color w:val="000000"/>
                <w:sz w:val="22"/>
                <w:szCs w:val="22"/>
              </w:rPr>
              <w:t>Міжнародні інвестиції, кошти приватних осіб</w:t>
            </w:r>
          </w:p>
        </w:tc>
        <w:tc>
          <w:tcPr>
            <w:tcW w:w="1165" w:type="dxa"/>
            <w:vMerge/>
          </w:tcPr>
          <w:p w:rsidR="00F34B87" w:rsidRPr="007E0AF4" w:rsidRDefault="00F34B87" w:rsidP="00F34B87">
            <w:pPr>
              <w:autoSpaceDE w:val="0"/>
              <w:autoSpaceDN w:val="0"/>
              <w:adjustRightInd w:val="0"/>
              <w:rPr>
                <w:rFonts w:eastAsia="Calibri"/>
                <w:color w:val="000000"/>
                <w:sz w:val="22"/>
                <w:szCs w:val="22"/>
              </w:rPr>
            </w:pPr>
          </w:p>
        </w:tc>
      </w:tr>
    </w:tbl>
    <w:p w:rsidR="00654133" w:rsidRPr="007E0AF4" w:rsidRDefault="00654133" w:rsidP="00E95FB1">
      <w:pPr>
        <w:rPr>
          <w:sz w:val="22"/>
        </w:rPr>
      </w:pPr>
    </w:p>
    <w:p w:rsidR="00654133" w:rsidRPr="007E0AF4" w:rsidRDefault="00654133" w:rsidP="00E95FB1">
      <w:pPr>
        <w:rPr>
          <w:sz w:val="22"/>
          <w:lang w:val="ru-RU"/>
        </w:rPr>
      </w:pPr>
    </w:p>
    <w:p w:rsidR="00B10C42" w:rsidRPr="007E0AF4" w:rsidRDefault="00B10C42" w:rsidP="00E95FB1">
      <w:pPr>
        <w:rPr>
          <w:sz w:val="22"/>
          <w:lang w:val="ru-RU"/>
        </w:rPr>
      </w:pPr>
    </w:p>
    <w:p w:rsidR="00B10C42" w:rsidRPr="007E0AF4" w:rsidRDefault="00B10C42" w:rsidP="00E95FB1">
      <w:pPr>
        <w:rPr>
          <w:sz w:val="22"/>
          <w:lang w:val="ru-RU"/>
        </w:rPr>
      </w:pPr>
    </w:p>
    <w:p w:rsidR="00B10C42" w:rsidRPr="007E0AF4" w:rsidRDefault="00B10C42" w:rsidP="00E95FB1">
      <w:pPr>
        <w:rPr>
          <w:sz w:val="22"/>
          <w:lang w:val="ru-RU"/>
        </w:rPr>
      </w:pPr>
    </w:p>
    <w:tbl>
      <w:tblPr>
        <w:tblpPr w:leftFromText="180" w:rightFromText="180" w:vertAnchor="text" w:horzAnchor="page" w:tblpX="1375" w:tblpY="143"/>
        <w:tblW w:w="9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007"/>
        <w:gridCol w:w="1671"/>
        <w:gridCol w:w="1275"/>
        <w:gridCol w:w="709"/>
        <w:gridCol w:w="992"/>
        <w:gridCol w:w="567"/>
        <w:gridCol w:w="774"/>
        <w:gridCol w:w="958"/>
      </w:tblGrid>
      <w:tr w:rsidR="00B10C42" w:rsidRPr="007E0AF4" w:rsidTr="00B10C42">
        <w:trPr>
          <w:trHeight w:val="841"/>
        </w:trPr>
        <w:tc>
          <w:tcPr>
            <w:tcW w:w="3007" w:type="dxa"/>
            <w:shd w:val="clear" w:color="00FFFF" w:fill="C6D9F1" w:themeFill="text2" w:themeFillTint="33"/>
          </w:tcPr>
          <w:p w:rsidR="00B10C42" w:rsidRPr="007E0AF4" w:rsidRDefault="00B10C42" w:rsidP="00B10C42">
            <w:pPr>
              <w:autoSpaceDE w:val="0"/>
              <w:autoSpaceDN w:val="0"/>
              <w:adjustRightInd w:val="0"/>
              <w:rPr>
                <w:rFonts w:eastAsia="Calibri"/>
                <w:b/>
                <w:color w:val="000000"/>
                <w:sz w:val="22"/>
              </w:rPr>
            </w:pPr>
            <w:r w:rsidRPr="007E0AF4">
              <w:rPr>
                <w:b/>
                <w:sz w:val="22"/>
              </w:rPr>
              <w:t>Оперативна ціль/завдання</w:t>
            </w:r>
          </w:p>
        </w:tc>
        <w:tc>
          <w:tcPr>
            <w:tcW w:w="6946" w:type="dxa"/>
            <w:gridSpan w:val="7"/>
            <w:tcBorders>
              <w:top w:val="single" w:sz="4" w:space="0" w:color="000000"/>
              <w:left w:val="nil"/>
              <w:bottom w:val="single" w:sz="4" w:space="0" w:color="000000"/>
              <w:right w:val="single" w:sz="4" w:space="0" w:color="000000"/>
            </w:tcBorders>
            <w:shd w:val="clear" w:color="auto" w:fill="auto"/>
          </w:tcPr>
          <w:p w:rsidR="00B10C42" w:rsidRPr="007E0AF4" w:rsidRDefault="00B10C42" w:rsidP="00B10C42">
            <w:pPr>
              <w:autoSpaceDE w:val="0"/>
              <w:autoSpaceDN w:val="0"/>
              <w:adjustRightInd w:val="0"/>
              <w:rPr>
                <w:rFonts w:eastAsia="Calibri"/>
                <w:color w:val="000000"/>
                <w:sz w:val="22"/>
              </w:rPr>
            </w:pPr>
            <w:r w:rsidRPr="007E0AF4">
              <w:rPr>
                <w:color w:val="000000"/>
                <w:sz w:val="22"/>
              </w:rPr>
              <w:t xml:space="preserve">Людський розвиток через інновації управління та довіру до влади. Формування сучасного інклюзивного  </w:t>
            </w:r>
            <w:proofErr w:type="spellStart"/>
            <w:r w:rsidRPr="007E0AF4">
              <w:rPr>
                <w:color w:val="000000"/>
                <w:sz w:val="22"/>
              </w:rPr>
              <w:t>освітньо</w:t>
            </w:r>
            <w:proofErr w:type="spellEnd"/>
            <w:r w:rsidRPr="007E0AF4">
              <w:rPr>
                <w:color w:val="000000"/>
                <w:sz w:val="22"/>
              </w:rPr>
              <w:t>-культурного та спортивного простору для розвитку.</w:t>
            </w:r>
            <w:r w:rsidRPr="007E0AF4">
              <w:rPr>
                <w:rFonts w:eastAsia="Calibri"/>
                <w:color w:val="000000"/>
                <w:sz w:val="22"/>
              </w:rPr>
              <w:t xml:space="preserve"> </w:t>
            </w:r>
          </w:p>
        </w:tc>
      </w:tr>
      <w:tr w:rsidR="00B10C42" w:rsidRPr="007E0AF4" w:rsidTr="00B10C42">
        <w:trPr>
          <w:trHeight w:val="691"/>
        </w:trPr>
        <w:tc>
          <w:tcPr>
            <w:tcW w:w="3007" w:type="dxa"/>
            <w:shd w:val="clear" w:color="00FFFF" w:fill="C6D9F1" w:themeFill="text2" w:themeFillTint="33"/>
          </w:tcPr>
          <w:p w:rsidR="00B10C42" w:rsidRPr="007E0AF4" w:rsidRDefault="00B10C42" w:rsidP="00B10C42">
            <w:pPr>
              <w:autoSpaceDE w:val="0"/>
              <w:autoSpaceDN w:val="0"/>
              <w:adjustRightInd w:val="0"/>
              <w:rPr>
                <w:rFonts w:eastAsia="Calibri"/>
                <w:b/>
                <w:color w:val="000000"/>
                <w:sz w:val="22"/>
              </w:rPr>
            </w:pPr>
            <w:r w:rsidRPr="007E0AF4">
              <w:rPr>
                <w:b/>
                <w:sz w:val="22"/>
              </w:rPr>
              <w:t xml:space="preserve">Назва </w:t>
            </w:r>
            <w:proofErr w:type="spellStart"/>
            <w:r w:rsidRPr="007E0AF4">
              <w:rPr>
                <w:b/>
                <w:sz w:val="22"/>
              </w:rPr>
              <w:t>проєкту</w:t>
            </w:r>
            <w:proofErr w:type="spellEnd"/>
            <w:r w:rsidRPr="007E0AF4">
              <w:rPr>
                <w:b/>
                <w:sz w:val="22"/>
              </w:rPr>
              <w:t>:</w:t>
            </w:r>
          </w:p>
        </w:tc>
        <w:tc>
          <w:tcPr>
            <w:tcW w:w="6946" w:type="dxa"/>
            <w:gridSpan w:val="7"/>
            <w:tcBorders>
              <w:top w:val="single" w:sz="4" w:space="0" w:color="000000"/>
              <w:left w:val="nil"/>
              <w:bottom w:val="single" w:sz="4" w:space="0" w:color="000000"/>
              <w:right w:val="single" w:sz="4" w:space="0" w:color="000000"/>
            </w:tcBorders>
            <w:shd w:val="clear" w:color="auto" w:fill="auto"/>
          </w:tcPr>
          <w:p w:rsidR="00B10C42" w:rsidRPr="007E0AF4" w:rsidRDefault="00B10C42" w:rsidP="00B10C42">
            <w:pPr>
              <w:autoSpaceDE w:val="0"/>
              <w:autoSpaceDN w:val="0"/>
              <w:adjustRightInd w:val="0"/>
              <w:rPr>
                <w:sz w:val="22"/>
              </w:rPr>
            </w:pPr>
            <w:r w:rsidRPr="007E0AF4">
              <w:rPr>
                <w:sz w:val="22"/>
              </w:rPr>
              <w:t>Будівництво та оснащення  сучасного бомбосховища у Сєвєродонецькій загальноосвітній  школі І-ІІІ ступенів № 14 Сєвєродонецької міської ради Луганської області, вул. Гагаріна, буд.111</w:t>
            </w:r>
          </w:p>
        </w:tc>
      </w:tr>
      <w:tr w:rsidR="00B10C42" w:rsidRPr="007E0AF4" w:rsidTr="00B10C42">
        <w:trPr>
          <w:trHeight w:val="1109"/>
        </w:trPr>
        <w:tc>
          <w:tcPr>
            <w:tcW w:w="3007" w:type="dxa"/>
            <w:shd w:val="clear" w:color="00FFFF" w:fill="C6D9F1" w:themeFill="text2" w:themeFillTint="33"/>
          </w:tcPr>
          <w:p w:rsidR="00B10C42" w:rsidRPr="007E0AF4" w:rsidRDefault="00B10C42" w:rsidP="00B10C42">
            <w:pPr>
              <w:autoSpaceDE w:val="0"/>
              <w:autoSpaceDN w:val="0"/>
              <w:adjustRightInd w:val="0"/>
              <w:rPr>
                <w:rFonts w:eastAsia="Calibri"/>
                <w:b/>
                <w:color w:val="000000"/>
                <w:sz w:val="22"/>
              </w:rPr>
            </w:pPr>
            <w:r w:rsidRPr="007E0AF4">
              <w:rPr>
                <w:rFonts w:eastAsia="Calibri"/>
                <w:b/>
                <w:color w:val="000000"/>
                <w:sz w:val="22"/>
              </w:rPr>
              <w:t xml:space="preserve">Ціль </w:t>
            </w:r>
            <w:proofErr w:type="spellStart"/>
            <w:r w:rsidRPr="007E0AF4">
              <w:rPr>
                <w:rFonts w:eastAsia="Calibri"/>
                <w:b/>
                <w:color w:val="000000"/>
                <w:sz w:val="22"/>
              </w:rPr>
              <w:t>проєкту</w:t>
            </w:r>
            <w:proofErr w:type="spellEnd"/>
          </w:p>
        </w:tc>
        <w:tc>
          <w:tcPr>
            <w:tcW w:w="6946" w:type="dxa"/>
            <w:gridSpan w:val="7"/>
            <w:tcBorders>
              <w:top w:val="single" w:sz="4" w:space="0" w:color="000000"/>
              <w:left w:val="single" w:sz="4" w:space="0" w:color="000000"/>
              <w:bottom w:val="single" w:sz="4" w:space="0" w:color="000000"/>
              <w:right w:val="single" w:sz="4" w:space="0" w:color="000000"/>
            </w:tcBorders>
            <w:shd w:val="clear" w:color="auto" w:fill="auto"/>
          </w:tcPr>
          <w:p w:rsidR="00B10C42" w:rsidRPr="007E0AF4" w:rsidRDefault="00B10C42" w:rsidP="00B10C42">
            <w:pPr>
              <w:autoSpaceDE w:val="0"/>
              <w:autoSpaceDN w:val="0"/>
              <w:adjustRightInd w:val="0"/>
              <w:rPr>
                <w:color w:val="000000"/>
                <w:sz w:val="22"/>
              </w:rPr>
            </w:pPr>
            <w:r w:rsidRPr="007E0AF4">
              <w:rPr>
                <w:color w:val="000000"/>
                <w:sz w:val="22"/>
              </w:rPr>
              <w:t xml:space="preserve">    Відновлення та покращення роботи освітнього закладу для задоволення освітніх потреб мешканців Сєвєродонецької міської територіальної громади. </w:t>
            </w:r>
          </w:p>
          <w:p w:rsidR="00B10C42" w:rsidRPr="007E0AF4" w:rsidRDefault="00B10C42" w:rsidP="00B10C42">
            <w:pPr>
              <w:autoSpaceDE w:val="0"/>
              <w:autoSpaceDN w:val="0"/>
              <w:adjustRightInd w:val="0"/>
              <w:rPr>
                <w:color w:val="000000"/>
                <w:sz w:val="22"/>
              </w:rPr>
            </w:pPr>
            <w:r w:rsidRPr="007E0AF4">
              <w:rPr>
                <w:color w:val="000000"/>
                <w:sz w:val="22"/>
              </w:rPr>
              <w:t xml:space="preserve">    Забезпечення фізичної безпеки дітей, вчителів та членів громади у закладі освіти шляхом будівництва та оснащення укриття відповідно до вимог ДСНС.  </w:t>
            </w:r>
          </w:p>
          <w:p w:rsidR="00B10C42" w:rsidRPr="007E0AF4" w:rsidRDefault="00B10C42" w:rsidP="00B10C42">
            <w:pPr>
              <w:autoSpaceDE w:val="0"/>
              <w:autoSpaceDN w:val="0"/>
              <w:adjustRightInd w:val="0"/>
              <w:rPr>
                <w:color w:val="000000"/>
                <w:sz w:val="22"/>
              </w:rPr>
            </w:pPr>
            <w:r w:rsidRPr="007E0AF4">
              <w:rPr>
                <w:color w:val="000000"/>
                <w:sz w:val="22"/>
              </w:rPr>
              <w:t xml:space="preserve">     Створення умов для збереження здоров’я учнів, батьків та працівників закладу освіти, організація якісного безперервного навчання.</w:t>
            </w:r>
          </w:p>
        </w:tc>
      </w:tr>
      <w:tr w:rsidR="00B10C42" w:rsidRPr="007E0AF4" w:rsidTr="00B10C42">
        <w:trPr>
          <w:trHeight w:val="290"/>
        </w:trPr>
        <w:tc>
          <w:tcPr>
            <w:tcW w:w="3007" w:type="dxa"/>
            <w:shd w:val="clear" w:color="00FFFF" w:fill="C6D9F1" w:themeFill="text2" w:themeFillTint="33"/>
          </w:tcPr>
          <w:p w:rsidR="00B10C42" w:rsidRPr="007E0AF4" w:rsidRDefault="00B10C42" w:rsidP="00B10C42">
            <w:pPr>
              <w:autoSpaceDE w:val="0"/>
              <w:autoSpaceDN w:val="0"/>
              <w:adjustRightInd w:val="0"/>
              <w:rPr>
                <w:rFonts w:eastAsia="Calibri"/>
                <w:b/>
                <w:color w:val="000000"/>
                <w:sz w:val="22"/>
              </w:rPr>
            </w:pPr>
            <w:r w:rsidRPr="007E0AF4">
              <w:rPr>
                <w:rFonts w:eastAsia="Calibri"/>
                <w:b/>
                <w:color w:val="000000"/>
                <w:sz w:val="22"/>
              </w:rPr>
              <w:t xml:space="preserve">Територія, на яку матиме вплив реалізація </w:t>
            </w:r>
            <w:proofErr w:type="spellStart"/>
            <w:r w:rsidRPr="007E0AF4">
              <w:rPr>
                <w:rFonts w:eastAsia="Calibri"/>
                <w:b/>
                <w:color w:val="000000"/>
                <w:sz w:val="22"/>
              </w:rPr>
              <w:t>проєкту</w:t>
            </w:r>
            <w:proofErr w:type="spellEnd"/>
          </w:p>
        </w:tc>
        <w:tc>
          <w:tcPr>
            <w:tcW w:w="6946" w:type="dxa"/>
            <w:gridSpan w:val="7"/>
            <w:tcBorders>
              <w:top w:val="single" w:sz="4" w:space="0" w:color="000000"/>
              <w:left w:val="nil"/>
              <w:bottom w:val="single" w:sz="4" w:space="0" w:color="000000"/>
              <w:right w:val="single" w:sz="4" w:space="0" w:color="000000"/>
            </w:tcBorders>
            <w:shd w:val="clear" w:color="auto" w:fill="auto"/>
            <w:vAlign w:val="bottom"/>
          </w:tcPr>
          <w:p w:rsidR="00B10C42" w:rsidRPr="007E0AF4" w:rsidRDefault="00B10C42" w:rsidP="00B10C42">
            <w:pPr>
              <w:autoSpaceDE w:val="0"/>
              <w:autoSpaceDN w:val="0"/>
              <w:adjustRightInd w:val="0"/>
              <w:rPr>
                <w:rFonts w:eastAsia="Calibri"/>
                <w:color w:val="000000"/>
                <w:sz w:val="22"/>
              </w:rPr>
            </w:pPr>
            <w:r w:rsidRPr="007E0AF4">
              <w:rPr>
                <w:color w:val="000000"/>
                <w:sz w:val="22"/>
              </w:rPr>
              <w:t>Сєвєродонецька міська територіальна громада</w:t>
            </w:r>
          </w:p>
        </w:tc>
      </w:tr>
      <w:tr w:rsidR="00B10C42" w:rsidRPr="007E0AF4" w:rsidTr="00B10C42">
        <w:trPr>
          <w:trHeight w:val="475"/>
        </w:trPr>
        <w:tc>
          <w:tcPr>
            <w:tcW w:w="3007" w:type="dxa"/>
            <w:shd w:val="clear" w:color="00FFFF" w:fill="C6D9F1" w:themeFill="text2" w:themeFillTint="33"/>
          </w:tcPr>
          <w:p w:rsidR="00B10C42" w:rsidRPr="007E0AF4" w:rsidRDefault="00B10C42" w:rsidP="00B10C42">
            <w:pPr>
              <w:autoSpaceDE w:val="0"/>
              <w:autoSpaceDN w:val="0"/>
              <w:adjustRightInd w:val="0"/>
              <w:rPr>
                <w:rFonts w:eastAsia="Calibri"/>
                <w:b/>
                <w:color w:val="000000"/>
                <w:sz w:val="22"/>
              </w:rPr>
            </w:pPr>
            <w:r w:rsidRPr="007E0AF4">
              <w:rPr>
                <w:rFonts w:eastAsia="Calibri"/>
                <w:b/>
                <w:color w:val="000000"/>
                <w:sz w:val="22"/>
              </w:rPr>
              <w:t xml:space="preserve">Чисельність населення, на яке матиме вплив реалізація </w:t>
            </w:r>
            <w:proofErr w:type="spellStart"/>
            <w:r w:rsidRPr="007E0AF4">
              <w:rPr>
                <w:rFonts w:eastAsia="Calibri"/>
                <w:b/>
                <w:color w:val="000000"/>
                <w:sz w:val="22"/>
              </w:rPr>
              <w:t>проєкту</w:t>
            </w:r>
            <w:proofErr w:type="spellEnd"/>
          </w:p>
        </w:tc>
        <w:tc>
          <w:tcPr>
            <w:tcW w:w="6946" w:type="dxa"/>
            <w:gridSpan w:val="7"/>
            <w:tcBorders>
              <w:top w:val="single" w:sz="4" w:space="0" w:color="000000"/>
              <w:left w:val="nil"/>
              <w:bottom w:val="single" w:sz="4" w:space="0" w:color="000000"/>
              <w:right w:val="single" w:sz="4" w:space="0" w:color="000000"/>
            </w:tcBorders>
            <w:shd w:val="clear" w:color="auto" w:fill="auto"/>
            <w:vAlign w:val="bottom"/>
          </w:tcPr>
          <w:p w:rsidR="00B10C42" w:rsidRPr="007E0AF4" w:rsidRDefault="00B10C42" w:rsidP="00B10C42">
            <w:pPr>
              <w:autoSpaceDE w:val="0"/>
              <w:autoSpaceDN w:val="0"/>
              <w:adjustRightInd w:val="0"/>
              <w:rPr>
                <w:rFonts w:eastAsia="Calibri"/>
                <w:color w:val="000000"/>
                <w:sz w:val="22"/>
              </w:rPr>
            </w:pPr>
            <w:r w:rsidRPr="007E0AF4">
              <w:rPr>
                <w:color w:val="000000"/>
                <w:sz w:val="22"/>
              </w:rPr>
              <w:t>70 000 осіб</w:t>
            </w:r>
          </w:p>
        </w:tc>
      </w:tr>
      <w:tr w:rsidR="00B10C42" w:rsidRPr="007E0AF4" w:rsidTr="00B10C42">
        <w:trPr>
          <w:trHeight w:val="1261"/>
        </w:trPr>
        <w:tc>
          <w:tcPr>
            <w:tcW w:w="3007" w:type="dxa"/>
            <w:shd w:val="clear" w:color="00FFFF" w:fill="C6D9F1" w:themeFill="text2" w:themeFillTint="33"/>
          </w:tcPr>
          <w:p w:rsidR="00B10C42" w:rsidRPr="007E0AF4" w:rsidRDefault="00B10C42" w:rsidP="00B10C42">
            <w:pPr>
              <w:autoSpaceDE w:val="0"/>
              <w:autoSpaceDN w:val="0"/>
              <w:adjustRightInd w:val="0"/>
              <w:rPr>
                <w:rFonts w:eastAsia="Calibri"/>
                <w:b/>
                <w:color w:val="000000"/>
                <w:sz w:val="22"/>
              </w:rPr>
            </w:pPr>
            <w:r w:rsidRPr="007E0AF4">
              <w:rPr>
                <w:rFonts w:eastAsia="Calibri"/>
                <w:b/>
                <w:color w:val="000000"/>
                <w:sz w:val="22"/>
              </w:rPr>
              <w:t xml:space="preserve">Опис проблеми, на вирішення якої спрямований </w:t>
            </w:r>
            <w:proofErr w:type="spellStart"/>
            <w:r w:rsidRPr="007E0AF4">
              <w:rPr>
                <w:rFonts w:eastAsia="Calibri"/>
                <w:b/>
                <w:color w:val="000000"/>
                <w:sz w:val="22"/>
              </w:rPr>
              <w:t>проєкт</w:t>
            </w:r>
            <w:proofErr w:type="spellEnd"/>
          </w:p>
        </w:tc>
        <w:tc>
          <w:tcPr>
            <w:tcW w:w="6946" w:type="dxa"/>
            <w:gridSpan w:val="7"/>
            <w:tcBorders>
              <w:top w:val="single" w:sz="4" w:space="0" w:color="000000"/>
              <w:left w:val="nil"/>
              <w:bottom w:val="single" w:sz="4" w:space="0" w:color="000000"/>
              <w:right w:val="single" w:sz="4" w:space="0" w:color="000000"/>
            </w:tcBorders>
            <w:shd w:val="clear" w:color="auto" w:fill="auto"/>
          </w:tcPr>
          <w:p w:rsidR="00B10C42" w:rsidRPr="007E0AF4" w:rsidRDefault="00B10C42" w:rsidP="00B10C42">
            <w:pPr>
              <w:autoSpaceDE w:val="0"/>
              <w:autoSpaceDN w:val="0"/>
              <w:adjustRightInd w:val="0"/>
              <w:rPr>
                <w:color w:val="000000"/>
                <w:sz w:val="22"/>
              </w:rPr>
            </w:pPr>
            <w:r w:rsidRPr="007E0AF4">
              <w:rPr>
                <w:color w:val="000000"/>
                <w:sz w:val="22"/>
              </w:rPr>
              <w:t xml:space="preserve">     Для відбудови та сталого розвитку громади потрібне відновлення роботи освітнього закладу.  Мешканці громади потребують отримання якісних  освітніх послуг, які відповідають нормам сучасності.</w:t>
            </w:r>
          </w:p>
          <w:p w:rsidR="00B10C42" w:rsidRPr="007E0AF4" w:rsidRDefault="00B10C42" w:rsidP="00372DE9">
            <w:pPr>
              <w:autoSpaceDE w:val="0"/>
              <w:autoSpaceDN w:val="0"/>
              <w:adjustRightInd w:val="0"/>
              <w:jc w:val="left"/>
              <w:rPr>
                <w:color w:val="000000"/>
                <w:sz w:val="22"/>
              </w:rPr>
            </w:pPr>
            <w:r w:rsidRPr="007E0AF4">
              <w:rPr>
                <w:color w:val="000000"/>
                <w:sz w:val="22"/>
              </w:rPr>
              <w:t xml:space="preserve">     Для відновлення освітнього процесу  в очному форматі  в закладі освіти повинно бути наявним у задовільному стані укриття. У Сєвєродонецькій загальноосвітній школі І-ІІІ ступенів № 14 Сєвєродонецької міської ради Луганської області   укриття, яке відповідає вимогам  Державної служби України з надзвичайних ситуацій,  відсутнє. Будівництво та облаштування сучасного бомбосховища з  освітленням, опаленням, вентиляційною системою, доступом до води та санвузлом забезпечить комфортні та належні умови для організації очної форми навчання, передумовою якого є безпека та збереження життя учасників освітнього процесу. </w:t>
            </w:r>
          </w:p>
          <w:p w:rsidR="00B10C42" w:rsidRPr="007E0AF4" w:rsidRDefault="00B10C42" w:rsidP="00B10C42">
            <w:pPr>
              <w:autoSpaceDE w:val="0"/>
              <w:autoSpaceDN w:val="0"/>
              <w:adjustRightInd w:val="0"/>
              <w:rPr>
                <w:color w:val="000000"/>
                <w:sz w:val="22"/>
              </w:rPr>
            </w:pPr>
            <w:r w:rsidRPr="007E0AF4">
              <w:rPr>
                <w:color w:val="000000"/>
                <w:sz w:val="22"/>
              </w:rPr>
              <w:t xml:space="preserve">     Сучасне укриття також створить безпечні умови для перебування дітей, працівників школи та інших членів громади у закладі освіти під час надзвичайних ситуацій.   </w:t>
            </w:r>
          </w:p>
        </w:tc>
      </w:tr>
      <w:tr w:rsidR="00B10C42" w:rsidRPr="007E0AF4" w:rsidTr="00B10C42">
        <w:trPr>
          <w:trHeight w:val="1265"/>
        </w:trPr>
        <w:tc>
          <w:tcPr>
            <w:tcW w:w="3007" w:type="dxa"/>
            <w:shd w:val="clear" w:color="00FFFF" w:fill="C6D9F1" w:themeFill="text2" w:themeFillTint="33"/>
          </w:tcPr>
          <w:p w:rsidR="00B10C42" w:rsidRPr="007E0AF4" w:rsidRDefault="00B10C42" w:rsidP="00B10C42">
            <w:pPr>
              <w:autoSpaceDE w:val="0"/>
              <w:autoSpaceDN w:val="0"/>
              <w:adjustRightInd w:val="0"/>
              <w:rPr>
                <w:rFonts w:eastAsia="Calibri"/>
                <w:b/>
                <w:color w:val="000000"/>
                <w:sz w:val="22"/>
              </w:rPr>
            </w:pPr>
            <w:r w:rsidRPr="007E0AF4">
              <w:rPr>
                <w:rFonts w:eastAsia="Calibri"/>
                <w:b/>
                <w:color w:val="000000"/>
                <w:sz w:val="22"/>
              </w:rPr>
              <w:t xml:space="preserve">Очікувані якісні результати від реалізації </w:t>
            </w:r>
            <w:proofErr w:type="spellStart"/>
            <w:r w:rsidRPr="007E0AF4">
              <w:rPr>
                <w:rFonts w:eastAsia="Calibri"/>
                <w:b/>
                <w:color w:val="000000"/>
                <w:sz w:val="22"/>
              </w:rPr>
              <w:t>проєкту</w:t>
            </w:r>
            <w:proofErr w:type="spellEnd"/>
          </w:p>
        </w:tc>
        <w:tc>
          <w:tcPr>
            <w:tcW w:w="6946" w:type="dxa"/>
            <w:gridSpan w:val="7"/>
            <w:tcBorders>
              <w:top w:val="single" w:sz="4" w:space="0" w:color="000000"/>
              <w:left w:val="nil"/>
              <w:bottom w:val="single" w:sz="4" w:space="0" w:color="000000"/>
              <w:right w:val="single" w:sz="4" w:space="0" w:color="000000"/>
            </w:tcBorders>
            <w:shd w:val="clear" w:color="auto" w:fill="auto"/>
          </w:tcPr>
          <w:p w:rsidR="00B10C42" w:rsidRPr="007E0AF4" w:rsidRDefault="00B10C42" w:rsidP="00B10C42">
            <w:pPr>
              <w:autoSpaceDE w:val="0"/>
              <w:autoSpaceDN w:val="0"/>
              <w:adjustRightInd w:val="0"/>
              <w:rPr>
                <w:color w:val="000000"/>
                <w:sz w:val="22"/>
              </w:rPr>
            </w:pPr>
            <w:r w:rsidRPr="007E0AF4">
              <w:rPr>
                <w:color w:val="000000"/>
                <w:sz w:val="22"/>
              </w:rPr>
              <w:t>1. Задоволення освітніх потреб населення для сталого розвитку громади.</w:t>
            </w:r>
          </w:p>
          <w:p w:rsidR="00B10C42" w:rsidRPr="007E0AF4" w:rsidRDefault="00B10C42" w:rsidP="00B10C42">
            <w:pPr>
              <w:autoSpaceDE w:val="0"/>
              <w:autoSpaceDN w:val="0"/>
              <w:adjustRightInd w:val="0"/>
              <w:rPr>
                <w:color w:val="000000"/>
                <w:sz w:val="22"/>
              </w:rPr>
            </w:pPr>
            <w:r w:rsidRPr="007E0AF4">
              <w:rPr>
                <w:color w:val="000000"/>
                <w:sz w:val="22"/>
              </w:rPr>
              <w:t xml:space="preserve">2. Створення безпечних та комфортних умов для всіх учасників освітнього процесу шляхом будівництва безпечного сучасного бомбосховища в належному технічному, санітарному та протипожежному стані відповідно до вимог ДСНС.  </w:t>
            </w:r>
          </w:p>
          <w:p w:rsidR="00B10C42" w:rsidRPr="007E0AF4" w:rsidRDefault="00B10C42" w:rsidP="00B10C42">
            <w:pPr>
              <w:autoSpaceDE w:val="0"/>
              <w:autoSpaceDN w:val="0"/>
              <w:adjustRightInd w:val="0"/>
              <w:rPr>
                <w:color w:val="000000"/>
                <w:sz w:val="22"/>
              </w:rPr>
            </w:pPr>
            <w:r w:rsidRPr="007E0AF4">
              <w:rPr>
                <w:color w:val="000000"/>
                <w:sz w:val="22"/>
              </w:rPr>
              <w:lastRenderedPageBreak/>
              <w:t>3. Доступ  школярів до якісної очної форми освіти, комфортні та безпечні умови навчання.</w:t>
            </w:r>
          </w:p>
          <w:p w:rsidR="00B10C42" w:rsidRPr="007E0AF4" w:rsidRDefault="00B10C42" w:rsidP="00B10C42">
            <w:pPr>
              <w:autoSpaceDE w:val="0"/>
              <w:autoSpaceDN w:val="0"/>
              <w:adjustRightInd w:val="0"/>
              <w:rPr>
                <w:color w:val="000000"/>
                <w:sz w:val="22"/>
              </w:rPr>
            </w:pPr>
            <w:r w:rsidRPr="007E0AF4">
              <w:rPr>
                <w:color w:val="000000"/>
                <w:sz w:val="22"/>
              </w:rPr>
              <w:t>4. Збереження робочих місць для вчителів та працівників школи.</w:t>
            </w:r>
          </w:p>
          <w:p w:rsidR="00B10C42" w:rsidRPr="007E0AF4" w:rsidRDefault="00B10C42" w:rsidP="00B10C42">
            <w:pPr>
              <w:autoSpaceDE w:val="0"/>
              <w:autoSpaceDN w:val="0"/>
              <w:adjustRightInd w:val="0"/>
              <w:rPr>
                <w:color w:val="000000"/>
                <w:sz w:val="22"/>
              </w:rPr>
            </w:pPr>
            <w:r w:rsidRPr="007E0AF4">
              <w:rPr>
                <w:color w:val="000000"/>
                <w:sz w:val="22"/>
              </w:rPr>
              <w:t>5. Безпечне укриття для мешканців громади на випадок надзвичайних ситуацій</w:t>
            </w:r>
          </w:p>
          <w:p w:rsidR="00B10C42" w:rsidRPr="007E0AF4" w:rsidRDefault="00B10C42" w:rsidP="00B10C42">
            <w:pPr>
              <w:autoSpaceDE w:val="0"/>
              <w:autoSpaceDN w:val="0"/>
              <w:adjustRightInd w:val="0"/>
              <w:rPr>
                <w:color w:val="000000"/>
                <w:sz w:val="22"/>
              </w:rPr>
            </w:pPr>
            <w:r w:rsidRPr="007E0AF4">
              <w:rPr>
                <w:color w:val="000000"/>
                <w:sz w:val="22"/>
              </w:rPr>
              <w:t>6.  Стимул до повернення ВПО до громади.</w:t>
            </w:r>
          </w:p>
        </w:tc>
      </w:tr>
      <w:tr w:rsidR="00B10C42" w:rsidRPr="007E0AF4" w:rsidTr="00B10C42">
        <w:trPr>
          <w:trHeight w:val="624"/>
        </w:trPr>
        <w:tc>
          <w:tcPr>
            <w:tcW w:w="3007" w:type="dxa"/>
            <w:shd w:val="clear" w:color="00FFFF" w:fill="C6D9F1" w:themeFill="text2" w:themeFillTint="33"/>
          </w:tcPr>
          <w:p w:rsidR="00B10C42" w:rsidRPr="007E0AF4" w:rsidRDefault="00B10C42" w:rsidP="00B10C42">
            <w:pPr>
              <w:autoSpaceDE w:val="0"/>
              <w:autoSpaceDN w:val="0"/>
              <w:adjustRightInd w:val="0"/>
              <w:rPr>
                <w:rFonts w:eastAsia="Calibri"/>
                <w:b/>
                <w:color w:val="000000"/>
                <w:sz w:val="22"/>
              </w:rPr>
            </w:pPr>
            <w:r w:rsidRPr="007E0AF4">
              <w:rPr>
                <w:rFonts w:eastAsia="Calibri"/>
                <w:b/>
                <w:color w:val="000000"/>
                <w:sz w:val="22"/>
              </w:rPr>
              <w:lastRenderedPageBreak/>
              <w:t xml:space="preserve">Очікувані кількісні результати від реалізації </w:t>
            </w:r>
            <w:proofErr w:type="spellStart"/>
            <w:r w:rsidRPr="007E0AF4">
              <w:rPr>
                <w:rFonts w:eastAsia="Calibri"/>
                <w:b/>
                <w:color w:val="000000"/>
                <w:sz w:val="22"/>
              </w:rPr>
              <w:t>проєкту</w:t>
            </w:r>
            <w:proofErr w:type="spellEnd"/>
            <w:r w:rsidRPr="007E0AF4">
              <w:rPr>
                <w:rFonts w:eastAsia="Calibri"/>
                <w:b/>
                <w:color w:val="000000"/>
                <w:sz w:val="22"/>
              </w:rPr>
              <w:t xml:space="preserve">  (індикатори)</w:t>
            </w:r>
          </w:p>
        </w:tc>
        <w:tc>
          <w:tcPr>
            <w:tcW w:w="3655" w:type="dxa"/>
            <w:gridSpan w:val="3"/>
            <w:tcBorders>
              <w:top w:val="nil"/>
              <w:left w:val="nil"/>
              <w:bottom w:val="single" w:sz="4" w:space="0" w:color="000000"/>
              <w:right w:val="single" w:sz="4" w:space="0" w:color="000000"/>
            </w:tcBorders>
            <w:shd w:val="clear" w:color="auto" w:fill="auto"/>
            <w:vAlign w:val="bottom"/>
          </w:tcPr>
          <w:p w:rsidR="00B10C42" w:rsidRPr="007E0AF4" w:rsidRDefault="00B10C42" w:rsidP="00B10C42">
            <w:pPr>
              <w:autoSpaceDE w:val="0"/>
              <w:autoSpaceDN w:val="0"/>
              <w:adjustRightInd w:val="0"/>
              <w:jc w:val="center"/>
              <w:rPr>
                <w:rFonts w:eastAsia="Calibri"/>
                <w:b/>
                <w:color w:val="000000"/>
                <w:sz w:val="22"/>
              </w:rPr>
            </w:pPr>
            <w:r w:rsidRPr="007E0AF4">
              <w:rPr>
                <w:b/>
                <w:color w:val="000000"/>
                <w:sz w:val="22"/>
              </w:rPr>
              <w:t>Найменування показника</w:t>
            </w:r>
          </w:p>
        </w:tc>
        <w:tc>
          <w:tcPr>
            <w:tcW w:w="1559" w:type="dxa"/>
            <w:gridSpan w:val="2"/>
            <w:tcBorders>
              <w:top w:val="nil"/>
              <w:left w:val="nil"/>
              <w:bottom w:val="single" w:sz="4" w:space="0" w:color="000000"/>
              <w:right w:val="single" w:sz="4" w:space="0" w:color="000000"/>
            </w:tcBorders>
            <w:shd w:val="clear" w:color="auto" w:fill="auto"/>
            <w:vAlign w:val="bottom"/>
          </w:tcPr>
          <w:p w:rsidR="00B10C42" w:rsidRPr="007E0AF4" w:rsidRDefault="00B10C42" w:rsidP="00B10C42">
            <w:pPr>
              <w:autoSpaceDE w:val="0"/>
              <w:autoSpaceDN w:val="0"/>
              <w:adjustRightInd w:val="0"/>
              <w:jc w:val="center"/>
              <w:rPr>
                <w:rFonts w:eastAsia="Calibri"/>
                <w:b/>
                <w:color w:val="000000"/>
                <w:sz w:val="22"/>
              </w:rPr>
            </w:pPr>
            <w:r w:rsidRPr="007E0AF4">
              <w:rPr>
                <w:b/>
                <w:color w:val="000000"/>
                <w:sz w:val="22"/>
              </w:rPr>
              <w:t>Одиниця вимірювання</w:t>
            </w:r>
          </w:p>
        </w:tc>
        <w:tc>
          <w:tcPr>
            <w:tcW w:w="1732" w:type="dxa"/>
            <w:gridSpan w:val="2"/>
            <w:tcBorders>
              <w:top w:val="single" w:sz="4" w:space="0" w:color="000000"/>
              <w:left w:val="nil"/>
              <w:bottom w:val="single" w:sz="4" w:space="0" w:color="000000"/>
              <w:right w:val="single" w:sz="4" w:space="0" w:color="000000"/>
            </w:tcBorders>
            <w:shd w:val="clear" w:color="auto" w:fill="auto"/>
            <w:vAlign w:val="bottom"/>
          </w:tcPr>
          <w:p w:rsidR="00B10C42" w:rsidRPr="007E0AF4" w:rsidRDefault="00B10C42" w:rsidP="00B10C42">
            <w:pPr>
              <w:autoSpaceDE w:val="0"/>
              <w:autoSpaceDN w:val="0"/>
              <w:adjustRightInd w:val="0"/>
              <w:jc w:val="center"/>
              <w:rPr>
                <w:rFonts w:eastAsia="Calibri"/>
                <w:b/>
                <w:color w:val="000000"/>
                <w:sz w:val="22"/>
              </w:rPr>
            </w:pPr>
            <w:r w:rsidRPr="007E0AF4">
              <w:rPr>
                <w:b/>
                <w:color w:val="000000"/>
                <w:sz w:val="22"/>
              </w:rPr>
              <w:t>Прогнозне (цільове) значення</w:t>
            </w:r>
          </w:p>
        </w:tc>
      </w:tr>
      <w:tr w:rsidR="00B10C42" w:rsidRPr="007E0AF4" w:rsidTr="00B10C42">
        <w:trPr>
          <w:trHeight w:val="841"/>
        </w:trPr>
        <w:tc>
          <w:tcPr>
            <w:tcW w:w="3007" w:type="dxa"/>
            <w:shd w:val="clear" w:color="00FFFF" w:fill="C6D9F1" w:themeFill="text2" w:themeFillTint="33"/>
          </w:tcPr>
          <w:p w:rsidR="00B10C42" w:rsidRPr="007E0AF4" w:rsidRDefault="00B10C42" w:rsidP="00B10C42">
            <w:pPr>
              <w:autoSpaceDE w:val="0"/>
              <w:autoSpaceDN w:val="0"/>
              <w:adjustRightInd w:val="0"/>
              <w:rPr>
                <w:rFonts w:eastAsia="Calibri"/>
                <w:b/>
                <w:color w:val="000000"/>
                <w:sz w:val="22"/>
              </w:rPr>
            </w:pPr>
          </w:p>
        </w:tc>
        <w:tc>
          <w:tcPr>
            <w:tcW w:w="3655" w:type="dxa"/>
            <w:gridSpan w:val="3"/>
            <w:tcBorders>
              <w:top w:val="nil"/>
              <w:left w:val="single" w:sz="4" w:space="0" w:color="auto"/>
              <w:bottom w:val="single" w:sz="4" w:space="0" w:color="auto"/>
              <w:right w:val="single" w:sz="4" w:space="0" w:color="auto"/>
            </w:tcBorders>
            <w:shd w:val="clear" w:color="auto" w:fill="auto"/>
          </w:tcPr>
          <w:p w:rsidR="00B10C42" w:rsidRPr="007E0AF4" w:rsidRDefault="00B10C42" w:rsidP="00B10C42">
            <w:pPr>
              <w:autoSpaceDE w:val="0"/>
              <w:autoSpaceDN w:val="0"/>
              <w:adjustRightInd w:val="0"/>
              <w:rPr>
                <w:rFonts w:eastAsia="Calibri"/>
                <w:color w:val="000000"/>
                <w:sz w:val="22"/>
              </w:rPr>
            </w:pPr>
            <w:r w:rsidRPr="007E0AF4">
              <w:rPr>
                <w:color w:val="000000"/>
                <w:sz w:val="22"/>
              </w:rPr>
              <w:t>Здобувачі освіти, вчителі та працівники школи, мешканці громади прилеглих мікрорайонів</w:t>
            </w:r>
          </w:p>
        </w:tc>
        <w:tc>
          <w:tcPr>
            <w:tcW w:w="1559" w:type="dxa"/>
            <w:gridSpan w:val="2"/>
            <w:tcBorders>
              <w:top w:val="nil"/>
              <w:left w:val="nil"/>
              <w:bottom w:val="single" w:sz="4" w:space="0" w:color="auto"/>
              <w:right w:val="single" w:sz="4" w:space="0" w:color="auto"/>
            </w:tcBorders>
            <w:shd w:val="clear" w:color="auto" w:fill="auto"/>
          </w:tcPr>
          <w:p w:rsidR="00B10C42" w:rsidRPr="007E0AF4" w:rsidRDefault="00B10C42" w:rsidP="00B10C42">
            <w:pPr>
              <w:autoSpaceDE w:val="0"/>
              <w:autoSpaceDN w:val="0"/>
              <w:adjustRightInd w:val="0"/>
              <w:rPr>
                <w:rFonts w:eastAsia="Calibri"/>
                <w:color w:val="000000"/>
                <w:sz w:val="22"/>
              </w:rPr>
            </w:pPr>
            <w:r w:rsidRPr="007E0AF4">
              <w:rPr>
                <w:color w:val="000000"/>
                <w:sz w:val="22"/>
              </w:rPr>
              <w:t>осіб</w:t>
            </w:r>
          </w:p>
        </w:tc>
        <w:tc>
          <w:tcPr>
            <w:tcW w:w="1732" w:type="dxa"/>
            <w:gridSpan w:val="2"/>
            <w:tcBorders>
              <w:top w:val="single" w:sz="4" w:space="0" w:color="auto"/>
              <w:left w:val="nil"/>
              <w:bottom w:val="single" w:sz="4" w:space="0" w:color="auto"/>
              <w:right w:val="single" w:sz="4" w:space="0" w:color="000000"/>
            </w:tcBorders>
            <w:shd w:val="clear" w:color="auto" w:fill="auto"/>
          </w:tcPr>
          <w:p w:rsidR="00B10C42" w:rsidRPr="007E0AF4" w:rsidRDefault="00B10C42" w:rsidP="00B10C42">
            <w:pPr>
              <w:autoSpaceDE w:val="0"/>
              <w:autoSpaceDN w:val="0"/>
              <w:adjustRightInd w:val="0"/>
              <w:rPr>
                <w:rFonts w:eastAsia="Calibri"/>
                <w:color w:val="000000"/>
                <w:sz w:val="22"/>
              </w:rPr>
            </w:pPr>
            <w:r w:rsidRPr="007E0AF4">
              <w:rPr>
                <w:color w:val="000000"/>
                <w:sz w:val="22"/>
              </w:rPr>
              <w:t>2500</w:t>
            </w:r>
          </w:p>
        </w:tc>
      </w:tr>
      <w:tr w:rsidR="00B10C42" w:rsidRPr="007E0AF4" w:rsidTr="00B10C42">
        <w:trPr>
          <w:trHeight w:val="2865"/>
        </w:trPr>
        <w:tc>
          <w:tcPr>
            <w:tcW w:w="3007" w:type="dxa"/>
            <w:shd w:val="clear" w:color="00FFFF" w:fill="C6D9F1" w:themeFill="text2" w:themeFillTint="33"/>
          </w:tcPr>
          <w:p w:rsidR="00B10C42" w:rsidRPr="007E0AF4" w:rsidRDefault="00B10C42" w:rsidP="00B10C42">
            <w:pPr>
              <w:autoSpaceDE w:val="0"/>
              <w:autoSpaceDN w:val="0"/>
              <w:adjustRightInd w:val="0"/>
              <w:rPr>
                <w:rFonts w:eastAsia="Calibri"/>
                <w:b/>
                <w:color w:val="000000"/>
                <w:sz w:val="22"/>
              </w:rPr>
            </w:pPr>
            <w:r w:rsidRPr="007E0AF4">
              <w:rPr>
                <w:rFonts w:eastAsia="Calibri"/>
                <w:b/>
                <w:color w:val="000000"/>
                <w:sz w:val="22"/>
              </w:rPr>
              <w:t xml:space="preserve">Ключові заходи </w:t>
            </w:r>
            <w:proofErr w:type="spellStart"/>
            <w:r w:rsidRPr="007E0AF4">
              <w:rPr>
                <w:rFonts w:eastAsia="Calibri"/>
                <w:b/>
                <w:color w:val="000000"/>
                <w:sz w:val="22"/>
              </w:rPr>
              <w:t>проєкту</w:t>
            </w:r>
            <w:proofErr w:type="spellEnd"/>
            <w:r w:rsidRPr="007E0AF4">
              <w:rPr>
                <w:rFonts w:eastAsia="Calibri"/>
                <w:b/>
                <w:color w:val="000000"/>
                <w:sz w:val="22"/>
              </w:rPr>
              <w:t>:</w:t>
            </w:r>
          </w:p>
        </w:tc>
        <w:tc>
          <w:tcPr>
            <w:tcW w:w="6946" w:type="dxa"/>
            <w:gridSpan w:val="7"/>
            <w:tcBorders>
              <w:top w:val="single" w:sz="4" w:space="0" w:color="000000"/>
              <w:left w:val="nil"/>
              <w:bottom w:val="single" w:sz="4" w:space="0" w:color="000000"/>
              <w:right w:val="single" w:sz="4" w:space="0" w:color="000000"/>
            </w:tcBorders>
            <w:shd w:val="clear" w:color="auto" w:fill="auto"/>
          </w:tcPr>
          <w:p w:rsidR="00B10C42" w:rsidRPr="007E0AF4" w:rsidRDefault="00B10C42" w:rsidP="00B10C42">
            <w:pPr>
              <w:autoSpaceDE w:val="0"/>
              <w:autoSpaceDN w:val="0"/>
              <w:adjustRightInd w:val="0"/>
              <w:rPr>
                <w:color w:val="000000"/>
                <w:sz w:val="22"/>
              </w:rPr>
            </w:pPr>
            <w:r w:rsidRPr="007E0AF4">
              <w:rPr>
                <w:color w:val="000000"/>
                <w:sz w:val="22"/>
              </w:rPr>
              <w:t>1. Проведення моніторингу поточного стану будівлі та території закладу освіти.</w:t>
            </w:r>
          </w:p>
          <w:p w:rsidR="00B10C42" w:rsidRPr="007E0AF4" w:rsidRDefault="00B10C42" w:rsidP="00B10C42">
            <w:pPr>
              <w:autoSpaceDE w:val="0"/>
              <w:autoSpaceDN w:val="0"/>
              <w:adjustRightInd w:val="0"/>
              <w:rPr>
                <w:color w:val="000000"/>
                <w:sz w:val="22"/>
              </w:rPr>
            </w:pPr>
            <w:r w:rsidRPr="007E0AF4">
              <w:rPr>
                <w:color w:val="000000"/>
                <w:sz w:val="22"/>
              </w:rPr>
              <w:t xml:space="preserve"> 2. Розробка </w:t>
            </w:r>
            <w:proofErr w:type="spellStart"/>
            <w:r w:rsidRPr="007E0AF4">
              <w:rPr>
                <w:color w:val="000000"/>
                <w:sz w:val="22"/>
              </w:rPr>
              <w:t>проєктно</w:t>
            </w:r>
            <w:proofErr w:type="spellEnd"/>
            <w:r w:rsidRPr="007E0AF4">
              <w:rPr>
                <w:color w:val="000000"/>
                <w:sz w:val="22"/>
              </w:rPr>
              <w:t xml:space="preserve">-кошторисної документації.   </w:t>
            </w:r>
          </w:p>
          <w:p w:rsidR="00B10C42" w:rsidRPr="007E0AF4" w:rsidRDefault="00B10C42" w:rsidP="00B10C42">
            <w:pPr>
              <w:autoSpaceDE w:val="0"/>
              <w:autoSpaceDN w:val="0"/>
              <w:adjustRightInd w:val="0"/>
              <w:rPr>
                <w:color w:val="000000"/>
                <w:sz w:val="22"/>
              </w:rPr>
            </w:pPr>
            <w:r w:rsidRPr="007E0AF4">
              <w:rPr>
                <w:color w:val="000000"/>
                <w:sz w:val="22"/>
              </w:rPr>
              <w:t xml:space="preserve"> 3. Вивчення ринкових пропозицій щодо вартості робіт і необхідних  матеріалів. </w:t>
            </w:r>
          </w:p>
          <w:p w:rsidR="00B10C42" w:rsidRPr="007E0AF4" w:rsidRDefault="00B10C42" w:rsidP="00B10C42">
            <w:pPr>
              <w:autoSpaceDE w:val="0"/>
              <w:autoSpaceDN w:val="0"/>
              <w:adjustRightInd w:val="0"/>
              <w:rPr>
                <w:color w:val="000000"/>
                <w:sz w:val="22"/>
              </w:rPr>
            </w:pPr>
            <w:r w:rsidRPr="007E0AF4">
              <w:rPr>
                <w:color w:val="000000"/>
                <w:sz w:val="22"/>
              </w:rPr>
              <w:t xml:space="preserve"> 4. Закупка необхідних обладнання та матеріалів.</w:t>
            </w:r>
          </w:p>
          <w:p w:rsidR="00B10C42" w:rsidRPr="007E0AF4" w:rsidRDefault="00B10C42" w:rsidP="00B10C42">
            <w:pPr>
              <w:autoSpaceDE w:val="0"/>
              <w:autoSpaceDN w:val="0"/>
              <w:adjustRightInd w:val="0"/>
              <w:rPr>
                <w:color w:val="000000"/>
                <w:sz w:val="22"/>
              </w:rPr>
            </w:pPr>
            <w:r w:rsidRPr="007E0AF4">
              <w:rPr>
                <w:color w:val="000000"/>
                <w:sz w:val="22"/>
              </w:rPr>
              <w:t xml:space="preserve"> 5. Виконання робіт з будівництва бомбосховища в закладі освіти.    </w:t>
            </w:r>
          </w:p>
          <w:p w:rsidR="00B10C42" w:rsidRPr="007E0AF4" w:rsidRDefault="00B10C42" w:rsidP="00B10C42">
            <w:pPr>
              <w:autoSpaceDE w:val="0"/>
              <w:autoSpaceDN w:val="0"/>
              <w:adjustRightInd w:val="0"/>
              <w:rPr>
                <w:color w:val="000000"/>
                <w:sz w:val="22"/>
              </w:rPr>
            </w:pPr>
            <w:r w:rsidRPr="007E0AF4">
              <w:rPr>
                <w:color w:val="000000"/>
                <w:sz w:val="22"/>
              </w:rPr>
              <w:t xml:space="preserve"> 6. Забезпечення укриття освітленням, опаленням,  вентиляційною системою, доступом до води та санвузлом. </w:t>
            </w:r>
          </w:p>
          <w:p w:rsidR="00B10C42" w:rsidRPr="007E0AF4" w:rsidRDefault="00B10C42" w:rsidP="00B10C42">
            <w:pPr>
              <w:autoSpaceDE w:val="0"/>
              <w:autoSpaceDN w:val="0"/>
              <w:adjustRightInd w:val="0"/>
              <w:rPr>
                <w:color w:val="000000"/>
                <w:sz w:val="22"/>
              </w:rPr>
            </w:pPr>
            <w:r w:rsidRPr="007E0AF4">
              <w:rPr>
                <w:color w:val="000000"/>
                <w:sz w:val="22"/>
              </w:rPr>
              <w:t xml:space="preserve"> 7. Облаштування укриття меблями.</w:t>
            </w:r>
          </w:p>
          <w:p w:rsidR="00B10C42" w:rsidRPr="007E0AF4" w:rsidRDefault="00B10C42" w:rsidP="00B10C42">
            <w:pPr>
              <w:autoSpaceDE w:val="0"/>
              <w:autoSpaceDN w:val="0"/>
              <w:adjustRightInd w:val="0"/>
              <w:rPr>
                <w:rFonts w:eastAsia="Calibri"/>
                <w:color w:val="000000"/>
                <w:sz w:val="22"/>
              </w:rPr>
            </w:pPr>
            <w:r w:rsidRPr="007E0AF4">
              <w:rPr>
                <w:color w:val="000000"/>
                <w:sz w:val="22"/>
              </w:rPr>
              <w:t xml:space="preserve"> 7. Моніторинг та оцінка реалізації </w:t>
            </w:r>
            <w:proofErr w:type="spellStart"/>
            <w:r w:rsidRPr="007E0AF4">
              <w:rPr>
                <w:color w:val="000000"/>
                <w:sz w:val="22"/>
              </w:rPr>
              <w:t>проєкту</w:t>
            </w:r>
            <w:proofErr w:type="spellEnd"/>
            <w:r w:rsidRPr="007E0AF4">
              <w:rPr>
                <w:color w:val="000000"/>
                <w:sz w:val="22"/>
              </w:rPr>
              <w:t>.</w:t>
            </w:r>
          </w:p>
        </w:tc>
      </w:tr>
      <w:tr w:rsidR="00B10C42" w:rsidRPr="007E0AF4" w:rsidTr="00B10C42">
        <w:trPr>
          <w:trHeight w:val="840"/>
        </w:trPr>
        <w:tc>
          <w:tcPr>
            <w:tcW w:w="3007" w:type="dxa"/>
            <w:vMerge w:val="restart"/>
            <w:shd w:val="clear" w:color="00FFFF" w:fill="C6D9F1" w:themeFill="text2" w:themeFillTint="33"/>
          </w:tcPr>
          <w:p w:rsidR="00B10C42" w:rsidRPr="007E0AF4" w:rsidRDefault="00B10C42" w:rsidP="00B10C42">
            <w:pPr>
              <w:autoSpaceDE w:val="0"/>
              <w:autoSpaceDN w:val="0"/>
              <w:adjustRightInd w:val="0"/>
              <w:rPr>
                <w:rFonts w:eastAsia="Calibri"/>
                <w:b/>
                <w:color w:val="000000"/>
                <w:sz w:val="22"/>
              </w:rPr>
            </w:pPr>
            <w:r w:rsidRPr="007E0AF4">
              <w:rPr>
                <w:rFonts w:eastAsia="Calibri"/>
                <w:b/>
                <w:color w:val="000000"/>
                <w:sz w:val="22"/>
              </w:rPr>
              <w:t>Орієнтовний обсяг та джерела фінансування,  тис. гривень</w:t>
            </w:r>
          </w:p>
        </w:tc>
        <w:tc>
          <w:tcPr>
            <w:tcW w:w="1671" w:type="dxa"/>
          </w:tcPr>
          <w:p w:rsidR="00B10C42" w:rsidRPr="007E0AF4" w:rsidRDefault="00B10C42" w:rsidP="00B10C42">
            <w:pPr>
              <w:autoSpaceDE w:val="0"/>
              <w:autoSpaceDN w:val="0"/>
              <w:adjustRightInd w:val="0"/>
              <w:jc w:val="center"/>
              <w:rPr>
                <w:rFonts w:eastAsia="Calibri"/>
                <w:b/>
                <w:color w:val="000000"/>
                <w:sz w:val="22"/>
              </w:rPr>
            </w:pPr>
            <w:r w:rsidRPr="007E0AF4">
              <w:rPr>
                <w:rFonts w:eastAsia="Calibri"/>
                <w:b/>
                <w:color w:val="000000"/>
                <w:sz w:val="22"/>
              </w:rPr>
              <w:t>Державний бюджет</w:t>
            </w:r>
          </w:p>
        </w:tc>
        <w:tc>
          <w:tcPr>
            <w:tcW w:w="1275" w:type="dxa"/>
          </w:tcPr>
          <w:p w:rsidR="00B10C42" w:rsidRPr="007E0AF4" w:rsidRDefault="00B10C42" w:rsidP="00B10C42">
            <w:pPr>
              <w:autoSpaceDE w:val="0"/>
              <w:autoSpaceDN w:val="0"/>
              <w:adjustRightInd w:val="0"/>
              <w:jc w:val="center"/>
              <w:rPr>
                <w:rFonts w:eastAsia="Calibri"/>
                <w:b/>
                <w:color w:val="000000"/>
                <w:sz w:val="22"/>
              </w:rPr>
            </w:pPr>
            <w:r w:rsidRPr="007E0AF4">
              <w:rPr>
                <w:rFonts w:eastAsia="Calibri"/>
                <w:b/>
                <w:color w:val="000000"/>
                <w:sz w:val="22"/>
              </w:rPr>
              <w:t>Місцевий бюджет</w:t>
            </w:r>
          </w:p>
        </w:tc>
        <w:tc>
          <w:tcPr>
            <w:tcW w:w="3042" w:type="dxa"/>
            <w:gridSpan w:val="4"/>
          </w:tcPr>
          <w:p w:rsidR="00B10C42" w:rsidRPr="007E0AF4" w:rsidRDefault="00B10C42" w:rsidP="00B10C42">
            <w:pPr>
              <w:autoSpaceDE w:val="0"/>
              <w:autoSpaceDN w:val="0"/>
              <w:adjustRightInd w:val="0"/>
              <w:jc w:val="center"/>
              <w:rPr>
                <w:rFonts w:eastAsia="Calibri"/>
                <w:b/>
                <w:color w:val="000000"/>
                <w:sz w:val="22"/>
              </w:rPr>
            </w:pPr>
            <w:r w:rsidRPr="007E0AF4">
              <w:rPr>
                <w:rFonts w:eastAsia="Calibri"/>
                <w:b/>
                <w:color w:val="000000"/>
                <w:sz w:val="22"/>
              </w:rPr>
              <w:t>Інші джерела</w:t>
            </w:r>
          </w:p>
        </w:tc>
        <w:tc>
          <w:tcPr>
            <w:tcW w:w="958" w:type="dxa"/>
          </w:tcPr>
          <w:p w:rsidR="00B10C42" w:rsidRPr="007E0AF4" w:rsidRDefault="00B10C42" w:rsidP="00B10C42">
            <w:pPr>
              <w:autoSpaceDE w:val="0"/>
              <w:autoSpaceDN w:val="0"/>
              <w:adjustRightInd w:val="0"/>
              <w:jc w:val="center"/>
              <w:rPr>
                <w:rFonts w:eastAsia="Calibri"/>
                <w:b/>
                <w:color w:val="000000"/>
                <w:sz w:val="22"/>
              </w:rPr>
            </w:pPr>
            <w:r w:rsidRPr="007E0AF4">
              <w:rPr>
                <w:rFonts w:eastAsia="Calibri"/>
                <w:b/>
                <w:color w:val="000000"/>
                <w:sz w:val="22"/>
              </w:rPr>
              <w:t>Всього</w:t>
            </w:r>
          </w:p>
        </w:tc>
      </w:tr>
      <w:tr w:rsidR="00B10C42" w:rsidRPr="007E0AF4" w:rsidTr="00B10C42">
        <w:trPr>
          <w:trHeight w:val="420"/>
        </w:trPr>
        <w:tc>
          <w:tcPr>
            <w:tcW w:w="3007" w:type="dxa"/>
            <w:vMerge/>
            <w:shd w:val="clear" w:color="00FFFF" w:fill="C6D9F1" w:themeFill="text2" w:themeFillTint="33"/>
          </w:tcPr>
          <w:p w:rsidR="00B10C42" w:rsidRPr="007E0AF4" w:rsidRDefault="00B10C42" w:rsidP="00B10C42">
            <w:pPr>
              <w:autoSpaceDE w:val="0"/>
              <w:autoSpaceDN w:val="0"/>
              <w:adjustRightInd w:val="0"/>
              <w:rPr>
                <w:rFonts w:eastAsia="Calibri"/>
                <w:b/>
                <w:color w:val="000000"/>
                <w:sz w:val="22"/>
              </w:rPr>
            </w:pPr>
          </w:p>
        </w:tc>
        <w:tc>
          <w:tcPr>
            <w:tcW w:w="1671" w:type="dxa"/>
            <w:vMerge w:val="restart"/>
          </w:tcPr>
          <w:p w:rsidR="00B10C42" w:rsidRPr="007E0AF4" w:rsidRDefault="00B10C42" w:rsidP="00B10C42">
            <w:pPr>
              <w:autoSpaceDE w:val="0"/>
              <w:autoSpaceDN w:val="0"/>
              <w:adjustRightInd w:val="0"/>
              <w:jc w:val="center"/>
              <w:rPr>
                <w:rFonts w:eastAsia="Calibri"/>
                <w:color w:val="000000"/>
                <w:sz w:val="22"/>
              </w:rPr>
            </w:pPr>
            <w:r w:rsidRPr="007E0AF4">
              <w:rPr>
                <w:rFonts w:eastAsia="Calibri"/>
                <w:color w:val="000000"/>
                <w:sz w:val="22"/>
              </w:rPr>
              <w:t>3250,0</w:t>
            </w:r>
          </w:p>
        </w:tc>
        <w:tc>
          <w:tcPr>
            <w:tcW w:w="1275" w:type="dxa"/>
            <w:vMerge w:val="restart"/>
          </w:tcPr>
          <w:p w:rsidR="00B10C42" w:rsidRPr="007E0AF4" w:rsidRDefault="00B10C42" w:rsidP="00B10C42">
            <w:pPr>
              <w:autoSpaceDE w:val="0"/>
              <w:autoSpaceDN w:val="0"/>
              <w:adjustRightInd w:val="0"/>
              <w:jc w:val="center"/>
              <w:rPr>
                <w:rFonts w:eastAsia="Calibri"/>
                <w:b/>
                <w:color w:val="000000"/>
                <w:sz w:val="22"/>
              </w:rPr>
            </w:pPr>
          </w:p>
        </w:tc>
        <w:tc>
          <w:tcPr>
            <w:tcW w:w="1701" w:type="dxa"/>
            <w:gridSpan w:val="2"/>
          </w:tcPr>
          <w:p w:rsidR="00B10C42" w:rsidRPr="007E0AF4" w:rsidRDefault="00B10C42" w:rsidP="00B10C42">
            <w:pPr>
              <w:autoSpaceDE w:val="0"/>
              <w:autoSpaceDN w:val="0"/>
              <w:adjustRightInd w:val="0"/>
              <w:jc w:val="center"/>
              <w:rPr>
                <w:rFonts w:eastAsia="Calibri"/>
                <w:b/>
                <w:color w:val="000000"/>
                <w:sz w:val="22"/>
              </w:rPr>
            </w:pPr>
            <w:r w:rsidRPr="007E0AF4">
              <w:rPr>
                <w:rFonts w:eastAsia="Calibri"/>
                <w:b/>
                <w:color w:val="000000"/>
                <w:sz w:val="22"/>
              </w:rPr>
              <w:t>Обсяг</w:t>
            </w:r>
          </w:p>
        </w:tc>
        <w:tc>
          <w:tcPr>
            <w:tcW w:w="1341" w:type="dxa"/>
            <w:gridSpan w:val="2"/>
          </w:tcPr>
          <w:p w:rsidR="00B10C42" w:rsidRPr="007E0AF4" w:rsidRDefault="00B10C42" w:rsidP="00B10C42">
            <w:pPr>
              <w:autoSpaceDE w:val="0"/>
              <w:autoSpaceDN w:val="0"/>
              <w:adjustRightInd w:val="0"/>
              <w:jc w:val="center"/>
              <w:rPr>
                <w:rFonts w:eastAsia="Calibri"/>
                <w:b/>
                <w:color w:val="000000"/>
                <w:sz w:val="22"/>
              </w:rPr>
            </w:pPr>
            <w:r w:rsidRPr="007E0AF4">
              <w:rPr>
                <w:rFonts w:eastAsia="Calibri"/>
                <w:b/>
                <w:color w:val="000000"/>
                <w:sz w:val="22"/>
              </w:rPr>
              <w:t>Назва джерела</w:t>
            </w:r>
          </w:p>
        </w:tc>
        <w:tc>
          <w:tcPr>
            <w:tcW w:w="958" w:type="dxa"/>
            <w:vMerge w:val="restart"/>
          </w:tcPr>
          <w:p w:rsidR="00B10C42" w:rsidRPr="007E0AF4" w:rsidRDefault="00B10C42" w:rsidP="00B10C42">
            <w:pPr>
              <w:autoSpaceDE w:val="0"/>
              <w:autoSpaceDN w:val="0"/>
              <w:adjustRightInd w:val="0"/>
              <w:jc w:val="center"/>
              <w:rPr>
                <w:rFonts w:eastAsia="Calibri"/>
                <w:b/>
                <w:color w:val="000000"/>
                <w:sz w:val="22"/>
              </w:rPr>
            </w:pPr>
            <w:r w:rsidRPr="007E0AF4">
              <w:rPr>
                <w:rFonts w:eastAsia="Calibri"/>
                <w:color w:val="000000"/>
                <w:sz w:val="22"/>
              </w:rPr>
              <w:t>13000,0</w:t>
            </w:r>
          </w:p>
        </w:tc>
      </w:tr>
      <w:tr w:rsidR="00B10C42" w:rsidRPr="007E0AF4" w:rsidTr="00B10C42">
        <w:trPr>
          <w:trHeight w:val="420"/>
        </w:trPr>
        <w:tc>
          <w:tcPr>
            <w:tcW w:w="3007" w:type="dxa"/>
            <w:vMerge/>
            <w:shd w:val="clear" w:color="00FFFF" w:fill="C6D9F1" w:themeFill="text2" w:themeFillTint="33"/>
          </w:tcPr>
          <w:p w:rsidR="00B10C42" w:rsidRPr="007E0AF4" w:rsidRDefault="00B10C42" w:rsidP="00B10C42">
            <w:pPr>
              <w:autoSpaceDE w:val="0"/>
              <w:autoSpaceDN w:val="0"/>
              <w:adjustRightInd w:val="0"/>
              <w:rPr>
                <w:rFonts w:eastAsia="Calibri"/>
                <w:b/>
                <w:color w:val="000000"/>
                <w:sz w:val="22"/>
              </w:rPr>
            </w:pPr>
          </w:p>
        </w:tc>
        <w:tc>
          <w:tcPr>
            <w:tcW w:w="1671" w:type="dxa"/>
            <w:vMerge/>
          </w:tcPr>
          <w:p w:rsidR="00B10C42" w:rsidRPr="007E0AF4" w:rsidRDefault="00B10C42" w:rsidP="00B10C42">
            <w:pPr>
              <w:autoSpaceDE w:val="0"/>
              <w:autoSpaceDN w:val="0"/>
              <w:adjustRightInd w:val="0"/>
              <w:rPr>
                <w:rFonts w:eastAsia="Calibri"/>
                <w:color w:val="000000"/>
                <w:sz w:val="22"/>
              </w:rPr>
            </w:pPr>
          </w:p>
        </w:tc>
        <w:tc>
          <w:tcPr>
            <w:tcW w:w="1275" w:type="dxa"/>
            <w:vMerge/>
          </w:tcPr>
          <w:p w:rsidR="00B10C42" w:rsidRPr="007E0AF4" w:rsidRDefault="00B10C42" w:rsidP="00B10C42">
            <w:pPr>
              <w:autoSpaceDE w:val="0"/>
              <w:autoSpaceDN w:val="0"/>
              <w:adjustRightInd w:val="0"/>
              <w:rPr>
                <w:rFonts w:eastAsia="Calibri"/>
                <w:color w:val="000000"/>
                <w:sz w:val="22"/>
              </w:rPr>
            </w:pPr>
          </w:p>
        </w:tc>
        <w:tc>
          <w:tcPr>
            <w:tcW w:w="1701" w:type="dxa"/>
            <w:gridSpan w:val="2"/>
          </w:tcPr>
          <w:p w:rsidR="00B10C42" w:rsidRPr="007E0AF4" w:rsidRDefault="00B10C42" w:rsidP="00B10C42">
            <w:pPr>
              <w:autoSpaceDE w:val="0"/>
              <w:autoSpaceDN w:val="0"/>
              <w:adjustRightInd w:val="0"/>
              <w:rPr>
                <w:rFonts w:eastAsia="Calibri"/>
                <w:color w:val="000000"/>
                <w:sz w:val="22"/>
              </w:rPr>
            </w:pPr>
            <w:r w:rsidRPr="007E0AF4">
              <w:rPr>
                <w:rFonts w:eastAsia="Calibri"/>
                <w:color w:val="000000"/>
                <w:sz w:val="22"/>
              </w:rPr>
              <w:t>9750,0</w:t>
            </w:r>
          </w:p>
        </w:tc>
        <w:tc>
          <w:tcPr>
            <w:tcW w:w="1341" w:type="dxa"/>
            <w:gridSpan w:val="2"/>
          </w:tcPr>
          <w:p w:rsidR="00B10C42" w:rsidRPr="007E0AF4" w:rsidRDefault="00B10C42" w:rsidP="00B10C42">
            <w:pPr>
              <w:autoSpaceDE w:val="0"/>
              <w:autoSpaceDN w:val="0"/>
              <w:adjustRightInd w:val="0"/>
              <w:rPr>
                <w:rFonts w:eastAsia="Calibri"/>
                <w:color w:val="000000"/>
                <w:sz w:val="22"/>
              </w:rPr>
            </w:pPr>
            <w:r w:rsidRPr="007E0AF4">
              <w:rPr>
                <w:rFonts w:eastAsia="Calibri"/>
                <w:color w:val="000000"/>
                <w:sz w:val="22"/>
              </w:rPr>
              <w:t>Міжнародні інвестиції</w:t>
            </w:r>
          </w:p>
        </w:tc>
        <w:tc>
          <w:tcPr>
            <w:tcW w:w="958" w:type="dxa"/>
            <w:vMerge/>
          </w:tcPr>
          <w:p w:rsidR="00B10C42" w:rsidRPr="007E0AF4" w:rsidRDefault="00B10C42" w:rsidP="00B10C42">
            <w:pPr>
              <w:autoSpaceDE w:val="0"/>
              <w:autoSpaceDN w:val="0"/>
              <w:adjustRightInd w:val="0"/>
              <w:rPr>
                <w:rFonts w:eastAsia="Calibri"/>
                <w:color w:val="000000"/>
                <w:sz w:val="22"/>
              </w:rPr>
            </w:pPr>
          </w:p>
        </w:tc>
      </w:tr>
    </w:tbl>
    <w:p w:rsidR="00B10C42" w:rsidRPr="007E0AF4" w:rsidRDefault="00B10C42" w:rsidP="00E95FB1">
      <w:pPr>
        <w:rPr>
          <w:sz w:val="22"/>
          <w:lang w:val="ru-RU"/>
        </w:rPr>
      </w:pPr>
    </w:p>
    <w:p w:rsidR="00B10C42" w:rsidRPr="007E0AF4" w:rsidRDefault="00B10C42" w:rsidP="00E95FB1">
      <w:pPr>
        <w:rPr>
          <w:sz w:val="22"/>
          <w:lang w:val="ru-RU"/>
        </w:rPr>
      </w:pPr>
    </w:p>
    <w:tbl>
      <w:tblPr>
        <w:tblpPr w:leftFromText="180" w:rightFromText="180" w:vertAnchor="text" w:horzAnchor="page" w:tblpX="1375" w:tblpY="143"/>
        <w:tblW w:w="9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007"/>
        <w:gridCol w:w="1954"/>
        <w:gridCol w:w="1559"/>
        <w:gridCol w:w="567"/>
        <w:gridCol w:w="426"/>
        <w:gridCol w:w="992"/>
        <w:gridCol w:w="425"/>
        <w:gridCol w:w="1023"/>
      </w:tblGrid>
      <w:tr w:rsidR="007B055E" w:rsidRPr="007E0AF4" w:rsidTr="007B055E">
        <w:trPr>
          <w:trHeight w:val="555"/>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b/>
                <w:sz w:val="22"/>
              </w:rPr>
              <w:t>Оперативна ціль/завдання</w:t>
            </w:r>
          </w:p>
        </w:tc>
        <w:tc>
          <w:tcPr>
            <w:tcW w:w="6946" w:type="dxa"/>
            <w:gridSpan w:val="7"/>
            <w:tcBorders>
              <w:top w:val="single" w:sz="4" w:space="0" w:color="000000"/>
              <w:left w:val="nil"/>
              <w:bottom w:val="single" w:sz="4" w:space="0" w:color="000000"/>
              <w:right w:val="single" w:sz="4" w:space="0" w:color="000000"/>
            </w:tcBorders>
            <w:shd w:val="clear" w:color="auto" w:fill="auto"/>
          </w:tcPr>
          <w:p w:rsidR="007B055E" w:rsidRPr="007E0AF4" w:rsidRDefault="007B055E" w:rsidP="007B055E">
            <w:pPr>
              <w:autoSpaceDE w:val="0"/>
              <w:autoSpaceDN w:val="0"/>
              <w:adjustRightInd w:val="0"/>
              <w:rPr>
                <w:rFonts w:eastAsia="Calibri"/>
                <w:color w:val="000000"/>
                <w:sz w:val="22"/>
              </w:rPr>
            </w:pPr>
            <w:r w:rsidRPr="007E0AF4">
              <w:rPr>
                <w:color w:val="000000"/>
                <w:sz w:val="22"/>
              </w:rPr>
              <w:t xml:space="preserve">Людський розвиток через інновації управління та довіру до влади. Формування сучасного інклюзивного  </w:t>
            </w:r>
            <w:proofErr w:type="spellStart"/>
            <w:r w:rsidRPr="007E0AF4">
              <w:rPr>
                <w:color w:val="000000"/>
                <w:sz w:val="22"/>
              </w:rPr>
              <w:t>освітньо</w:t>
            </w:r>
            <w:proofErr w:type="spellEnd"/>
            <w:r w:rsidRPr="007E0AF4">
              <w:rPr>
                <w:color w:val="000000"/>
                <w:sz w:val="22"/>
              </w:rPr>
              <w:t>-культурного та спортивного простору для розвитку.</w:t>
            </w:r>
          </w:p>
        </w:tc>
      </w:tr>
      <w:tr w:rsidR="007B055E" w:rsidRPr="007E0AF4" w:rsidTr="007B055E">
        <w:trPr>
          <w:trHeight w:val="691"/>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b/>
                <w:sz w:val="22"/>
              </w:rPr>
              <w:t xml:space="preserve">Назва </w:t>
            </w:r>
            <w:proofErr w:type="spellStart"/>
            <w:r w:rsidRPr="007E0AF4">
              <w:rPr>
                <w:b/>
                <w:sz w:val="22"/>
              </w:rPr>
              <w:t>проєкту</w:t>
            </w:r>
            <w:proofErr w:type="spellEnd"/>
            <w:r w:rsidRPr="007E0AF4">
              <w:rPr>
                <w:b/>
                <w:sz w:val="22"/>
              </w:rPr>
              <w:t>:</w:t>
            </w:r>
          </w:p>
        </w:tc>
        <w:tc>
          <w:tcPr>
            <w:tcW w:w="6946" w:type="dxa"/>
            <w:gridSpan w:val="7"/>
            <w:tcBorders>
              <w:top w:val="single" w:sz="4" w:space="0" w:color="000000"/>
              <w:left w:val="nil"/>
              <w:bottom w:val="single" w:sz="4" w:space="0" w:color="000000"/>
              <w:right w:val="single" w:sz="4" w:space="0" w:color="000000"/>
            </w:tcBorders>
            <w:shd w:val="clear" w:color="auto" w:fill="auto"/>
          </w:tcPr>
          <w:p w:rsidR="007B055E" w:rsidRPr="007E0AF4" w:rsidRDefault="007B055E" w:rsidP="007B055E">
            <w:pPr>
              <w:autoSpaceDE w:val="0"/>
              <w:autoSpaceDN w:val="0"/>
              <w:adjustRightInd w:val="0"/>
              <w:rPr>
                <w:rFonts w:eastAsia="Calibri"/>
                <w:color w:val="000000"/>
                <w:sz w:val="22"/>
              </w:rPr>
            </w:pPr>
            <w:r w:rsidRPr="007E0AF4">
              <w:rPr>
                <w:sz w:val="22"/>
              </w:rPr>
              <w:t>Будівництво сучасного стадіону та відновлення благоустрою території Сєвєродонецької загальноосвітньої школи І-ІІІ ступенів №14 Сєвєродонецької міської ради Луганської області, вул. Гагаріна, буд. 111</w:t>
            </w:r>
          </w:p>
        </w:tc>
      </w:tr>
      <w:tr w:rsidR="007B055E" w:rsidRPr="007E0AF4" w:rsidTr="007B055E">
        <w:trPr>
          <w:trHeight w:val="1109"/>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rFonts w:eastAsia="Calibri"/>
                <w:b/>
                <w:color w:val="000000"/>
                <w:sz w:val="22"/>
              </w:rPr>
              <w:t xml:space="preserve">Ціль </w:t>
            </w:r>
            <w:proofErr w:type="spellStart"/>
            <w:r w:rsidRPr="007E0AF4">
              <w:rPr>
                <w:rFonts w:eastAsia="Calibri"/>
                <w:b/>
                <w:color w:val="000000"/>
                <w:sz w:val="22"/>
              </w:rPr>
              <w:t>проєкту</w:t>
            </w:r>
            <w:proofErr w:type="spellEnd"/>
          </w:p>
        </w:tc>
        <w:tc>
          <w:tcPr>
            <w:tcW w:w="6946" w:type="dxa"/>
            <w:gridSpan w:val="7"/>
            <w:tcBorders>
              <w:top w:val="single" w:sz="4" w:space="0" w:color="000000"/>
              <w:left w:val="single" w:sz="4" w:space="0" w:color="000000"/>
              <w:bottom w:val="single" w:sz="4" w:space="0" w:color="000000"/>
              <w:right w:val="single" w:sz="4" w:space="0" w:color="000000"/>
            </w:tcBorders>
            <w:shd w:val="clear" w:color="auto" w:fill="auto"/>
          </w:tcPr>
          <w:p w:rsidR="007B055E" w:rsidRPr="007E0AF4" w:rsidRDefault="007B055E" w:rsidP="007B055E">
            <w:pPr>
              <w:autoSpaceDE w:val="0"/>
              <w:autoSpaceDN w:val="0"/>
              <w:adjustRightInd w:val="0"/>
              <w:rPr>
                <w:color w:val="000000"/>
                <w:sz w:val="22"/>
              </w:rPr>
            </w:pPr>
            <w:r w:rsidRPr="007E0AF4">
              <w:rPr>
                <w:color w:val="000000"/>
                <w:sz w:val="22"/>
              </w:rPr>
              <w:t xml:space="preserve">     Відновлення та покращення роботи освітнього закладу для задоволення освітніх потреб мешканців Сєвєродонецької міської територіальної громади. </w:t>
            </w:r>
          </w:p>
          <w:p w:rsidR="007B055E" w:rsidRPr="007E0AF4" w:rsidRDefault="007B055E" w:rsidP="007B055E">
            <w:pPr>
              <w:autoSpaceDE w:val="0"/>
              <w:autoSpaceDN w:val="0"/>
              <w:adjustRightInd w:val="0"/>
              <w:rPr>
                <w:color w:val="000000"/>
                <w:sz w:val="22"/>
              </w:rPr>
            </w:pPr>
            <w:r w:rsidRPr="007E0AF4">
              <w:rPr>
                <w:color w:val="000000"/>
                <w:sz w:val="22"/>
              </w:rPr>
              <w:t xml:space="preserve">     Модернізація спортивної інфраструктури освітнього закладу для подальшого  розвитку дитячого спорту,  надання якісних освітніх  послуг. Популяризація здорового способу життя, фізичного виховання молоді. </w:t>
            </w:r>
          </w:p>
          <w:p w:rsidR="007B055E" w:rsidRPr="007E0AF4" w:rsidRDefault="007B055E" w:rsidP="007B055E">
            <w:pPr>
              <w:autoSpaceDE w:val="0"/>
              <w:autoSpaceDN w:val="0"/>
              <w:adjustRightInd w:val="0"/>
              <w:rPr>
                <w:color w:val="000000"/>
                <w:sz w:val="22"/>
              </w:rPr>
            </w:pPr>
            <w:r w:rsidRPr="007E0AF4">
              <w:rPr>
                <w:color w:val="000000"/>
                <w:sz w:val="22"/>
              </w:rPr>
              <w:t xml:space="preserve">     Створення та розвиток спортивної інфраструктури міста Сєвєродонецька. </w:t>
            </w:r>
          </w:p>
          <w:p w:rsidR="007B055E" w:rsidRPr="007E0AF4" w:rsidRDefault="007B055E" w:rsidP="007B055E">
            <w:pPr>
              <w:autoSpaceDE w:val="0"/>
              <w:autoSpaceDN w:val="0"/>
              <w:adjustRightInd w:val="0"/>
              <w:rPr>
                <w:rFonts w:eastAsia="Calibri"/>
                <w:color w:val="000000"/>
                <w:sz w:val="22"/>
              </w:rPr>
            </w:pPr>
            <w:r w:rsidRPr="007E0AF4">
              <w:rPr>
                <w:color w:val="000000"/>
                <w:sz w:val="22"/>
              </w:rPr>
              <w:t xml:space="preserve">     Підвищення рівня комфорту території освітнього закладу, створення сучасних умов для активного відпочинку, занять спортом.</w:t>
            </w:r>
            <w:r w:rsidRPr="007E0AF4">
              <w:rPr>
                <w:color w:val="000000"/>
                <w:sz w:val="22"/>
              </w:rPr>
              <w:br/>
              <w:t>Створення сучасного інклюзивного освітнього простору.</w:t>
            </w:r>
          </w:p>
        </w:tc>
      </w:tr>
      <w:tr w:rsidR="007B055E" w:rsidRPr="007E0AF4" w:rsidTr="007B055E">
        <w:trPr>
          <w:trHeight w:val="290"/>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rFonts w:eastAsia="Calibri"/>
                <w:b/>
                <w:color w:val="000000"/>
                <w:sz w:val="22"/>
              </w:rPr>
              <w:t xml:space="preserve">Територія, на яку матиме вплив реалізація </w:t>
            </w:r>
            <w:proofErr w:type="spellStart"/>
            <w:r w:rsidRPr="007E0AF4">
              <w:rPr>
                <w:rFonts w:eastAsia="Calibri"/>
                <w:b/>
                <w:color w:val="000000"/>
                <w:sz w:val="22"/>
              </w:rPr>
              <w:t>проєкту</w:t>
            </w:r>
            <w:proofErr w:type="spellEnd"/>
          </w:p>
        </w:tc>
        <w:tc>
          <w:tcPr>
            <w:tcW w:w="6946" w:type="dxa"/>
            <w:gridSpan w:val="7"/>
            <w:tcBorders>
              <w:top w:val="single" w:sz="4" w:space="0" w:color="000000"/>
              <w:left w:val="nil"/>
              <w:bottom w:val="single" w:sz="4" w:space="0" w:color="000000"/>
              <w:right w:val="single" w:sz="4" w:space="0" w:color="000000"/>
            </w:tcBorders>
            <w:shd w:val="clear" w:color="auto" w:fill="auto"/>
            <w:vAlign w:val="bottom"/>
          </w:tcPr>
          <w:p w:rsidR="007B055E" w:rsidRPr="007E0AF4" w:rsidRDefault="007B055E" w:rsidP="007B055E">
            <w:pPr>
              <w:autoSpaceDE w:val="0"/>
              <w:autoSpaceDN w:val="0"/>
              <w:adjustRightInd w:val="0"/>
              <w:rPr>
                <w:rFonts w:eastAsia="Calibri"/>
                <w:color w:val="000000"/>
                <w:sz w:val="22"/>
              </w:rPr>
            </w:pPr>
            <w:r w:rsidRPr="007E0AF4">
              <w:rPr>
                <w:color w:val="000000"/>
                <w:sz w:val="22"/>
              </w:rPr>
              <w:t>Сєвєродонецька міська територіальна громада</w:t>
            </w:r>
          </w:p>
        </w:tc>
      </w:tr>
      <w:tr w:rsidR="007B055E" w:rsidRPr="007E0AF4" w:rsidTr="007B055E">
        <w:trPr>
          <w:trHeight w:val="623"/>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rFonts w:eastAsia="Calibri"/>
                <w:b/>
                <w:color w:val="000000"/>
                <w:sz w:val="22"/>
              </w:rPr>
              <w:lastRenderedPageBreak/>
              <w:t xml:space="preserve">Чисельність населення, на яке матиме вплив реалізація </w:t>
            </w:r>
            <w:proofErr w:type="spellStart"/>
            <w:r w:rsidRPr="007E0AF4">
              <w:rPr>
                <w:rFonts w:eastAsia="Calibri"/>
                <w:b/>
                <w:color w:val="000000"/>
                <w:sz w:val="22"/>
              </w:rPr>
              <w:t>проєкту</w:t>
            </w:r>
            <w:proofErr w:type="spellEnd"/>
          </w:p>
        </w:tc>
        <w:tc>
          <w:tcPr>
            <w:tcW w:w="6946" w:type="dxa"/>
            <w:gridSpan w:val="7"/>
            <w:tcBorders>
              <w:top w:val="single" w:sz="4" w:space="0" w:color="000000"/>
              <w:left w:val="nil"/>
              <w:bottom w:val="single" w:sz="4" w:space="0" w:color="000000"/>
              <w:right w:val="single" w:sz="4" w:space="0" w:color="000000"/>
            </w:tcBorders>
            <w:shd w:val="clear" w:color="auto" w:fill="auto"/>
            <w:vAlign w:val="bottom"/>
          </w:tcPr>
          <w:p w:rsidR="007B055E" w:rsidRPr="007E0AF4" w:rsidRDefault="007B055E" w:rsidP="007B055E">
            <w:pPr>
              <w:autoSpaceDE w:val="0"/>
              <w:autoSpaceDN w:val="0"/>
              <w:adjustRightInd w:val="0"/>
              <w:rPr>
                <w:rFonts w:eastAsia="Calibri"/>
                <w:color w:val="000000"/>
                <w:sz w:val="22"/>
              </w:rPr>
            </w:pPr>
            <w:r w:rsidRPr="007E0AF4">
              <w:rPr>
                <w:color w:val="000000"/>
                <w:sz w:val="22"/>
              </w:rPr>
              <w:t>70 000 осіб</w:t>
            </w:r>
          </w:p>
        </w:tc>
      </w:tr>
      <w:tr w:rsidR="007B055E" w:rsidRPr="007E0AF4" w:rsidTr="007B055E">
        <w:trPr>
          <w:trHeight w:val="1261"/>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rFonts w:eastAsia="Calibri"/>
                <w:b/>
                <w:color w:val="000000"/>
                <w:sz w:val="22"/>
              </w:rPr>
              <w:t xml:space="preserve">Опис проблеми, на вирішення якої спрямований </w:t>
            </w:r>
            <w:proofErr w:type="spellStart"/>
            <w:r w:rsidRPr="007E0AF4">
              <w:rPr>
                <w:rFonts w:eastAsia="Calibri"/>
                <w:b/>
                <w:color w:val="000000"/>
                <w:sz w:val="22"/>
              </w:rPr>
              <w:t>проєкт</w:t>
            </w:r>
            <w:proofErr w:type="spellEnd"/>
          </w:p>
        </w:tc>
        <w:tc>
          <w:tcPr>
            <w:tcW w:w="6946" w:type="dxa"/>
            <w:gridSpan w:val="7"/>
            <w:tcBorders>
              <w:top w:val="single" w:sz="4" w:space="0" w:color="000000"/>
              <w:left w:val="nil"/>
              <w:bottom w:val="single" w:sz="4" w:space="0" w:color="000000"/>
              <w:right w:val="single" w:sz="4" w:space="0" w:color="000000"/>
            </w:tcBorders>
            <w:shd w:val="clear" w:color="auto" w:fill="auto"/>
          </w:tcPr>
          <w:p w:rsidR="007B055E" w:rsidRPr="007E0AF4" w:rsidRDefault="007B055E" w:rsidP="007B055E">
            <w:pPr>
              <w:autoSpaceDE w:val="0"/>
              <w:autoSpaceDN w:val="0"/>
              <w:adjustRightInd w:val="0"/>
              <w:rPr>
                <w:sz w:val="22"/>
              </w:rPr>
            </w:pPr>
            <w:r w:rsidRPr="007E0AF4">
              <w:rPr>
                <w:color w:val="000000"/>
                <w:sz w:val="22"/>
              </w:rPr>
              <w:t xml:space="preserve">     Сєвєродонецька загальноосвітня школа І-ІІІ ступенів № 14 Сєвєродонецької міської ради Луганської області була пошкоджена внаслідок збройної агресії РФ, внаслідок чого відбулася руйнація інфраструктури та матеріально-технічної бази закладу. На шкільному подвір'ї п</w:t>
            </w:r>
            <w:r w:rsidRPr="007E0AF4">
              <w:rPr>
                <w:sz w:val="22"/>
              </w:rPr>
              <w:t>ошкоджено асфальтове</w:t>
            </w:r>
            <w:r w:rsidRPr="007E0AF4">
              <w:rPr>
                <w:color w:val="000000"/>
                <w:sz w:val="22"/>
              </w:rPr>
              <w:t xml:space="preserve"> покриття, тротуарні плити на шкільних майданчиках, обладнання на спортивних майданчиках, огорожа.  </w:t>
            </w:r>
            <w:r w:rsidRPr="007E0AF4">
              <w:rPr>
                <w:sz w:val="22"/>
              </w:rPr>
              <w:t xml:space="preserve"> </w:t>
            </w:r>
          </w:p>
          <w:p w:rsidR="007B055E" w:rsidRPr="007E0AF4" w:rsidRDefault="007B055E" w:rsidP="007B055E">
            <w:pPr>
              <w:autoSpaceDE w:val="0"/>
              <w:autoSpaceDN w:val="0"/>
              <w:adjustRightInd w:val="0"/>
              <w:rPr>
                <w:color w:val="000000"/>
                <w:sz w:val="22"/>
              </w:rPr>
            </w:pPr>
            <w:r w:rsidRPr="007E0AF4">
              <w:rPr>
                <w:sz w:val="22"/>
              </w:rPr>
              <w:t xml:space="preserve">    </w:t>
            </w:r>
            <w:r w:rsidRPr="007E0AF4">
              <w:rPr>
                <w:color w:val="000000"/>
                <w:sz w:val="22"/>
              </w:rPr>
              <w:t xml:space="preserve">Шкільний стадіон  не відповідає сучасним вимогам і потребує реконструкції та оновлення, а  саме: облаштування футбольного поля зі штучною травою та </w:t>
            </w:r>
            <w:proofErr w:type="spellStart"/>
            <w:r w:rsidRPr="007E0AF4">
              <w:rPr>
                <w:color w:val="000000"/>
                <w:sz w:val="22"/>
              </w:rPr>
              <w:t>мультиспортивного</w:t>
            </w:r>
            <w:proofErr w:type="spellEnd"/>
            <w:r w:rsidRPr="007E0AF4">
              <w:rPr>
                <w:color w:val="000000"/>
                <w:sz w:val="22"/>
              </w:rPr>
              <w:t xml:space="preserve"> поля для гри у баскетбол, волейбол, доріжок для занять з легкої атлетики, улаштування ями для стрибків та встановлення вуличного спортивного  комплексу. Такий спортивний майданчик створить  належні умови для занять спортом мешканцям громади,  підвищить якість навчання  учнів,  відповідатиме санітарно - гігієнічним нормам та буде безпечним для життя і здоров’я тих, хто на ньому займається. </w:t>
            </w:r>
          </w:p>
          <w:p w:rsidR="007B055E" w:rsidRPr="007E0AF4" w:rsidRDefault="007B055E" w:rsidP="007B055E">
            <w:pPr>
              <w:autoSpaceDE w:val="0"/>
              <w:autoSpaceDN w:val="0"/>
              <w:adjustRightInd w:val="0"/>
              <w:rPr>
                <w:sz w:val="22"/>
              </w:rPr>
            </w:pPr>
            <w:r w:rsidRPr="007E0AF4">
              <w:rPr>
                <w:color w:val="000000"/>
                <w:sz w:val="22"/>
              </w:rPr>
              <w:t xml:space="preserve">     Для відбудови та сталого розвитку громади потрібне відновлення роботи освітнього закладу.  Мешканці громади потребують отримання якісних  освітніх послуг, які відповідають нормам сучасності. </w:t>
            </w:r>
          </w:p>
        </w:tc>
      </w:tr>
      <w:tr w:rsidR="007B055E" w:rsidRPr="007E0AF4" w:rsidTr="007B055E">
        <w:trPr>
          <w:trHeight w:val="558"/>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rFonts w:eastAsia="Calibri"/>
                <w:b/>
                <w:color w:val="000000"/>
                <w:sz w:val="22"/>
              </w:rPr>
              <w:t xml:space="preserve">Очікувані якісні результати від реалізації </w:t>
            </w:r>
            <w:proofErr w:type="spellStart"/>
            <w:r w:rsidRPr="007E0AF4">
              <w:rPr>
                <w:rFonts w:eastAsia="Calibri"/>
                <w:b/>
                <w:color w:val="000000"/>
                <w:sz w:val="22"/>
              </w:rPr>
              <w:t>проєкту</w:t>
            </w:r>
            <w:proofErr w:type="spellEnd"/>
          </w:p>
        </w:tc>
        <w:tc>
          <w:tcPr>
            <w:tcW w:w="6946" w:type="dxa"/>
            <w:gridSpan w:val="7"/>
            <w:tcBorders>
              <w:top w:val="single" w:sz="4" w:space="0" w:color="000000"/>
              <w:left w:val="nil"/>
              <w:bottom w:val="single" w:sz="4" w:space="0" w:color="000000"/>
              <w:right w:val="single" w:sz="4" w:space="0" w:color="000000"/>
            </w:tcBorders>
            <w:shd w:val="clear" w:color="auto" w:fill="auto"/>
          </w:tcPr>
          <w:p w:rsidR="007B055E" w:rsidRPr="007E0AF4" w:rsidRDefault="007B055E" w:rsidP="00202BDB">
            <w:pPr>
              <w:autoSpaceDE w:val="0"/>
              <w:autoSpaceDN w:val="0"/>
              <w:adjustRightInd w:val="0"/>
              <w:jc w:val="left"/>
              <w:rPr>
                <w:rFonts w:eastAsia="Calibri"/>
                <w:color w:val="000000"/>
                <w:sz w:val="22"/>
              </w:rPr>
            </w:pPr>
            <w:r w:rsidRPr="007E0AF4">
              <w:rPr>
                <w:color w:val="000000"/>
                <w:sz w:val="22"/>
              </w:rPr>
              <w:t>1.  Задоволення освітніх потреб населення для сталого розвитку громади.</w:t>
            </w:r>
            <w:r w:rsidRPr="007E0AF4">
              <w:rPr>
                <w:color w:val="000000"/>
                <w:sz w:val="22"/>
              </w:rPr>
              <w:br/>
              <w:t>2. Облаштування території, спортивних майданчиків, стадіону школи відповідно до сучасних вимог та санітарних норм.</w:t>
            </w:r>
            <w:r w:rsidRPr="007E0AF4">
              <w:rPr>
                <w:color w:val="000000"/>
                <w:sz w:val="22"/>
              </w:rPr>
              <w:br/>
              <w:t xml:space="preserve">3. Створення умов для покращення здоров’я дітей та молоді, залучення більшої кількості жителів міста до занять спортом, забезпечення зайнятості дітей у позаурочний час, популяризація здорового способу життя шляхом проведення спортивних заходів, створення інноваційного комплексу для занять фізкультурою та спортом.  </w:t>
            </w:r>
            <w:r w:rsidRPr="007E0AF4">
              <w:rPr>
                <w:color w:val="000000"/>
                <w:sz w:val="22"/>
              </w:rPr>
              <w:br/>
              <w:t>4. Створення безпечного та комфортного сучасного інклюзивного освітнього</w:t>
            </w:r>
            <w:r w:rsidR="00202BDB" w:rsidRPr="007E0AF4">
              <w:rPr>
                <w:color w:val="000000"/>
                <w:sz w:val="22"/>
              </w:rPr>
              <w:t xml:space="preserve"> </w:t>
            </w:r>
            <w:r w:rsidRPr="007E0AF4">
              <w:rPr>
                <w:color w:val="000000"/>
                <w:sz w:val="22"/>
              </w:rPr>
              <w:t>простору.</w:t>
            </w:r>
            <w:r w:rsidRPr="007E0AF4">
              <w:rPr>
                <w:color w:val="000000"/>
                <w:sz w:val="22"/>
              </w:rPr>
              <w:br/>
              <w:t xml:space="preserve">5. Стимул до повернення ВПО до громади. </w:t>
            </w:r>
          </w:p>
        </w:tc>
      </w:tr>
      <w:tr w:rsidR="007B055E" w:rsidRPr="007E0AF4" w:rsidTr="007B055E">
        <w:trPr>
          <w:trHeight w:val="624"/>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rFonts w:eastAsia="Calibri"/>
                <w:b/>
                <w:color w:val="000000"/>
                <w:sz w:val="22"/>
              </w:rPr>
              <w:t xml:space="preserve">Очікувані кількісні результати від реалізації </w:t>
            </w:r>
            <w:proofErr w:type="spellStart"/>
            <w:r w:rsidRPr="007E0AF4">
              <w:rPr>
                <w:rFonts w:eastAsia="Calibri"/>
                <w:b/>
                <w:color w:val="000000"/>
                <w:sz w:val="22"/>
              </w:rPr>
              <w:t>проєкту</w:t>
            </w:r>
            <w:proofErr w:type="spellEnd"/>
            <w:r w:rsidRPr="007E0AF4">
              <w:rPr>
                <w:rFonts w:eastAsia="Calibri"/>
                <w:b/>
                <w:color w:val="000000"/>
                <w:sz w:val="22"/>
              </w:rPr>
              <w:t xml:space="preserve">  (індикатори)</w:t>
            </w:r>
          </w:p>
        </w:tc>
        <w:tc>
          <w:tcPr>
            <w:tcW w:w="4080" w:type="dxa"/>
            <w:gridSpan w:val="3"/>
            <w:tcBorders>
              <w:top w:val="nil"/>
              <w:left w:val="nil"/>
              <w:bottom w:val="single" w:sz="4" w:space="0" w:color="000000"/>
              <w:right w:val="single" w:sz="4" w:space="0" w:color="000000"/>
            </w:tcBorders>
            <w:shd w:val="clear" w:color="auto" w:fill="auto"/>
            <w:vAlign w:val="bottom"/>
          </w:tcPr>
          <w:p w:rsidR="007B055E" w:rsidRPr="007E0AF4" w:rsidRDefault="007B055E" w:rsidP="007B055E">
            <w:pPr>
              <w:autoSpaceDE w:val="0"/>
              <w:autoSpaceDN w:val="0"/>
              <w:adjustRightInd w:val="0"/>
              <w:jc w:val="center"/>
              <w:rPr>
                <w:rFonts w:eastAsia="Calibri"/>
                <w:b/>
                <w:color w:val="000000"/>
                <w:sz w:val="22"/>
              </w:rPr>
            </w:pPr>
            <w:r w:rsidRPr="007E0AF4">
              <w:rPr>
                <w:b/>
                <w:color w:val="000000"/>
                <w:sz w:val="22"/>
              </w:rPr>
              <w:t>Найменування показника</w:t>
            </w:r>
          </w:p>
        </w:tc>
        <w:tc>
          <w:tcPr>
            <w:tcW w:w="1418" w:type="dxa"/>
            <w:gridSpan w:val="2"/>
            <w:tcBorders>
              <w:top w:val="nil"/>
              <w:left w:val="nil"/>
              <w:bottom w:val="single" w:sz="4" w:space="0" w:color="000000"/>
              <w:right w:val="single" w:sz="4" w:space="0" w:color="000000"/>
            </w:tcBorders>
            <w:shd w:val="clear" w:color="auto" w:fill="auto"/>
            <w:vAlign w:val="bottom"/>
          </w:tcPr>
          <w:p w:rsidR="007B055E" w:rsidRPr="007E0AF4" w:rsidRDefault="007B055E" w:rsidP="007B055E">
            <w:pPr>
              <w:autoSpaceDE w:val="0"/>
              <w:autoSpaceDN w:val="0"/>
              <w:adjustRightInd w:val="0"/>
              <w:jc w:val="center"/>
              <w:rPr>
                <w:rFonts w:eastAsia="Calibri"/>
                <w:b/>
                <w:color w:val="000000"/>
                <w:sz w:val="22"/>
              </w:rPr>
            </w:pPr>
            <w:r w:rsidRPr="007E0AF4">
              <w:rPr>
                <w:b/>
                <w:color w:val="000000"/>
                <w:sz w:val="22"/>
              </w:rPr>
              <w:t>Одиниця вимірювання</w:t>
            </w:r>
          </w:p>
        </w:tc>
        <w:tc>
          <w:tcPr>
            <w:tcW w:w="1448" w:type="dxa"/>
            <w:gridSpan w:val="2"/>
            <w:tcBorders>
              <w:top w:val="single" w:sz="4" w:space="0" w:color="000000"/>
              <w:left w:val="nil"/>
              <w:bottom w:val="single" w:sz="4" w:space="0" w:color="000000"/>
              <w:right w:val="single" w:sz="4" w:space="0" w:color="000000"/>
            </w:tcBorders>
            <w:shd w:val="clear" w:color="auto" w:fill="auto"/>
            <w:vAlign w:val="bottom"/>
          </w:tcPr>
          <w:p w:rsidR="007B055E" w:rsidRPr="007E0AF4" w:rsidRDefault="007B055E" w:rsidP="007B055E">
            <w:pPr>
              <w:autoSpaceDE w:val="0"/>
              <w:autoSpaceDN w:val="0"/>
              <w:adjustRightInd w:val="0"/>
              <w:jc w:val="center"/>
              <w:rPr>
                <w:rFonts w:eastAsia="Calibri"/>
                <w:b/>
                <w:color w:val="000000"/>
                <w:sz w:val="22"/>
              </w:rPr>
            </w:pPr>
            <w:r w:rsidRPr="007E0AF4">
              <w:rPr>
                <w:b/>
                <w:color w:val="000000"/>
                <w:sz w:val="22"/>
              </w:rPr>
              <w:t>Прогнозне (цільове) значення</w:t>
            </w:r>
          </w:p>
        </w:tc>
      </w:tr>
      <w:tr w:rsidR="007B055E" w:rsidRPr="007E0AF4" w:rsidTr="007B055E">
        <w:trPr>
          <w:trHeight w:val="1235"/>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p>
        </w:tc>
        <w:tc>
          <w:tcPr>
            <w:tcW w:w="4080" w:type="dxa"/>
            <w:gridSpan w:val="3"/>
            <w:tcBorders>
              <w:top w:val="nil"/>
              <w:left w:val="single" w:sz="4" w:space="0" w:color="auto"/>
              <w:bottom w:val="single" w:sz="4" w:space="0" w:color="auto"/>
              <w:right w:val="single" w:sz="4" w:space="0" w:color="auto"/>
            </w:tcBorders>
            <w:shd w:val="clear" w:color="auto" w:fill="auto"/>
          </w:tcPr>
          <w:p w:rsidR="007B055E" w:rsidRPr="007E0AF4" w:rsidRDefault="007B055E" w:rsidP="007B055E">
            <w:pPr>
              <w:autoSpaceDE w:val="0"/>
              <w:autoSpaceDN w:val="0"/>
              <w:adjustRightInd w:val="0"/>
              <w:rPr>
                <w:rFonts w:eastAsia="Calibri"/>
                <w:color w:val="000000"/>
                <w:sz w:val="22"/>
              </w:rPr>
            </w:pPr>
            <w:r w:rsidRPr="007E0AF4">
              <w:rPr>
                <w:color w:val="000000"/>
                <w:sz w:val="22"/>
              </w:rPr>
              <w:t>Здобувачі освіти, вчителі та працівники школи, мешканці громади прилеглих мікрорайонів</w:t>
            </w:r>
          </w:p>
        </w:tc>
        <w:tc>
          <w:tcPr>
            <w:tcW w:w="1418" w:type="dxa"/>
            <w:gridSpan w:val="2"/>
            <w:tcBorders>
              <w:top w:val="nil"/>
              <w:left w:val="nil"/>
              <w:bottom w:val="single" w:sz="4" w:space="0" w:color="auto"/>
              <w:right w:val="single" w:sz="4" w:space="0" w:color="auto"/>
            </w:tcBorders>
            <w:shd w:val="clear" w:color="auto" w:fill="auto"/>
          </w:tcPr>
          <w:p w:rsidR="007B055E" w:rsidRPr="007E0AF4" w:rsidRDefault="007B055E" w:rsidP="007B055E">
            <w:pPr>
              <w:autoSpaceDE w:val="0"/>
              <w:autoSpaceDN w:val="0"/>
              <w:adjustRightInd w:val="0"/>
              <w:rPr>
                <w:rFonts w:eastAsia="Calibri"/>
                <w:color w:val="000000"/>
                <w:sz w:val="22"/>
              </w:rPr>
            </w:pPr>
            <w:r w:rsidRPr="007E0AF4">
              <w:rPr>
                <w:color w:val="000000"/>
                <w:sz w:val="22"/>
              </w:rPr>
              <w:t>осіб</w:t>
            </w:r>
          </w:p>
        </w:tc>
        <w:tc>
          <w:tcPr>
            <w:tcW w:w="1448" w:type="dxa"/>
            <w:gridSpan w:val="2"/>
            <w:tcBorders>
              <w:top w:val="single" w:sz="4" w:space="0" w:color="auto"/>
              <w:left w:val="nil"/>
              <w:bottom w:val="single" w:sz="4" w:space="0" w:color="auto"/>
              <w:right w:val="single" w:sz="4" w:space="0" w:color="000000"/>
            </w:tcBorders>
            <w:shd w:val="clear" w:color="auto" w:fill="auto"/>
          </w:tcPr>
          <w:p w:rsidR="007B055E" w:rsidRPr="007E0AF4" w:rsidRDefault="007B055E" w:rsidP="007B055E">
            <w:pPr>
              <w:autoSpaceDE w:val="0"/>
              <w:autoSpaceDN w:val="0"/>
              <w:adjustRightInd w:val="0"/>
              <w:rPr>
                <w:rFonts w:eastAsia="Calibri"/>
                <w:color w:val="000000"/>
                <w:sz w:val="22"/>
              </w:rPr>
            </w:pPr>
            <w:r w:rsidRPr="007E0AF4">
              <w:rPr>
                <w:color w:val="000000"/>
                <w:sz w:val="22"/>
              </w:rPr>
              <w:t>2500</w:t>
            </w:r>
          </w:p>
        </w:tc>
      </w:tr>
      <w:tr w:rsidR="007B055E" w:rsidRPr="007E0AF4" w:rsidTr="007B055E">
        <w:trPr>
          <w:trHeight w:val="3773"/>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rFonts w:eastAsia="Calibri"/>
                <w:b/>
                <w:color w:val="000000"/>
                <w:sz w:val="22"/>
              </w:rPr>
              <w:lastRenderedPageBreak/>
              <w:t xml:space="preserve">Ключові заходи </w:t>
            </w:r>
            <w:proofErr w:type="spellStart"/>
            <w:r w:rsidRPr="007E0AF4">
              <w:rPr>
                <w:rFonts w:eastAsia="Calibri"/>
                <w:b/>
                <w:color w:val="000000"/>
                <w:sz w:val="22"/>
              </w:rPr>
              <w:t>проєкту</w:t>
            </w:r>
            <w:proofErr w:type="spellEnd"/>
            <w:r w:rsidRPr="007E0AF4">
              <w:rPr>
                <w:rFonts w:eastAsia="Calibri"/>
                <w:b/>
                <w:color w:val="000000"/>
                <w:sz w:val="22"/>
              </w:rPr>
              <w:t>:</w:t>
            </w:r>
          </w:p>
        </w:tc>
        <w:tc>
          <w:tcPr>
            <w:tcW w:w="6946" w:type="dxa"/>
            <w:gridSpan w:val="7"/>
            <w:tcBorders>
              <w:top w:val="single" w:sz="4" w:space="0" w:color="000000"/>
              <w:left w:val="nil"/>
              <w:bottom w:val="single" w:sz="4" w:space="0" w:color="000000"/>
              <w:right w:val="single" w:sz="4" w:space="0" w:color="000000"/>
            </w:tcBorders>
            <w:shd w:val="clear" w:color="auto" w:fill="auto"/>
          </w:tcPr>
          <w:p w:rsidR="007B055E" w:rsidRPr="007E0AF4" w:rsidRDefault="007B055E" w:rsidP="00843393">
            <w:pPr>
              <w:autoSpaceDE w:val="0"/>
              <w:autoSpaceDN w:val="0"/>
              <w:adjustRightInd w:val="0"/>
              <w:jc w:val="left"/>
              <w:rPr>
                <w:rFonts w:eastAsia="Calibri"/>
                <w:color w:val="000000"/>
                <w:sz w:val="22"/>
              </w:rPr>
            </w:pPr>
            <w:r w:rsidRPr="007E0AF4">
              <w:rPr>
                <w:color w:val="000000"/>
                <w:sz w:val="22"/>
              </w:rPr>
              <w:t xml:space="preserve"> 1. Проведення моніторингу поточного матеріально-технічного стану території закладу освіти.</w:t>
            </w:r>
            <w:r w:rsidRPr="007E0AF4">
              <w:rPr>
                <w:color w:val="000000"/>
                <w:sz w:val="22"/>
              </w:rPr>
              <w:br/>
              <w:t xml:space="preserve"> 2. Розробка </w:t>
            </w:r>
            <w:proofErr w:type="spellStart"/>
            <w:r w:rsidRPr="007E0AF4">
              <w:rPr>
                <w:color w:val="000000"/>
                <w:sz w:val="22"/>
              </w:rPr>
              <w:t>проєктно</w:t>
            </w:r>
            <w:proofErr w:type="spellEnd"/>
            <w:r w:rsidRPr="007E0AF4">
              <w:rPr>
                <w:color w:val="000000"/>
                <w:sz w:val="22"/>
              </w:rPr>
              <w:t xml:space="preserve">-кошторисної документації. </w:t>
            </w:r>
            <w:r w:rsidRPr="007E0AF4">
              <w:rPr>
                <w:color w:val="000000"/>
                <w:sz w:val="22"/>
              </w:rPr>
              <w:br/>
              <w:t xml:space="preserve"> 3. Монтаж футбольного поля.</w:t>
            </w:r>
            <w:r w:rsidRPr="007E0AF4">
              <w:rPr>
                <w:color w:val="000000"/>
                <w:sz w:val="22"/>
              </w:rPr>
              <w:br/>
              <w:t xml:space="preserve"> 4. Облаштування ями для стрибків.</w:t>
            </w:r>
            <w:r w:rsidRPr="007E0AF4">
              <w:rPr>
                <w:color w:val="000000"/>
                <w:sz w:val="22"/>
              </w:rPr>
              <w:br/>
              <w:t xml:space="preserve"> 5. Монтаж вуличного спортивного комплексу.</w:t>
            </w:r>
            <w:r w:rsidRPr="007E0AF4">
              <w:rPr>
                <w:color w:val="000000"/>
                <w:sz w:val="22"/>
              </w:rPr>
              <w:br/>
              <w:t xml:space="preserve"> 6. Монтаж </w:t>
            </w:r>
            <w:proofErr w:type="spellStart"/>
            <w:r w:rsidRPr="007E0AF4">
              <w:rPr>
                <w:color w:val="000000"/>
                <w:sz w:val="22"/>
              </w:rPr>
              <w:t>мультиспортивного</w:t>
            </w:r>
            <w:proofErr w:type="spellEnd"/>
            <w:r w:rsidRPr="007E0AF4">
              <w:rPr>
                <w:color w:val="000000"/>
                <w:sz w:val="22"/>
              </w:rPr>
              <w:t xml:space="preserve"> поля.</w:t>
            </w:r>
            <w:r w:rsidRPr="007E0AF4">
              <w:rPr>
                <w:color w:val="000000"/>
                <w:sz w:val="22"/>
              </w:rPr>
              <w:br/>
              <w:t xml:space="preserve"> 7. Монтаж освітлювальних систем на щоглах та освітлювальних опорах, прокладання електромереж.</w:t>
            </w:r>
            <w:r w:rsidRPr="007E0AF4">
              <w:rPr>
                <w:color w:val="000000"/>
                <w:sz w:val="22"/>
              </w:rPr>
              <w:br/>
              <w:t xml:space="preserve"> 8. Влаштування асфальтобетонного покриття бігових доріжок</w:t>
            </w:r>
            <w:r w:rsidR="00843393" w:rsidRPr="007E0AF4">
              <w:rPr>
                <w:color w:val="000000"/>
                <w:sz w:val="22"/>
              </w:rPr>
              <w:t>.</w:t>
            </w:r>
            <w:r w:rsidRPr="007E0AF4">
              <w:rPr>
                <w:color w:val="000000"/>
                <w:sz w:val="22"/>
              </w:rPr>
              <w:br/>
              <w:t xml:space="preserve"> 9. Влаштування огорожі. Нанесення спортивної розмітки. </w:t>
            </w:r>
            <w:r w:rsidR="00843393" w:rsidRPr="007E0AF4">
              <w:rPr>
                <w:color w:val="000000"/>
                <w:sz w:val="22"/>
              </w:rPr>
              <w:t>10.</w:t>
            </w:r>
            <w:r w:rsidRPr="007E0AF4">
              <w:rPr>
                <w:color w:val="000000"/>
                <w:sz w:val="22"/>
              </w:rPr>
              <w:t>Пусконалагоджувальні роботи.</w:t>
            </w:r>
            <w:r w:rsidRPr="007E0AF4">
              <w:rPr>
                <w:color w:val="000000"/>
                <w:sz w:val="22"/>
              </w:rPr>
              <w:br/>
              <w:t xml:space="preserve"> </w:t>
            </w:r>
            <w:r w:rsidR="00843393" w:rsidRPr="007E0AF4">
              <w:rPr>
                <w:color w:val="000000"/>
                <w:sz w:val="22"/>
              </w:rPr>
              <w:t>11</w:t>
            </w:r>
            <w:r w:rsidRPr="007E0AF4">
              <w:rPr>
                <w:color w:val="000000"/>
                <w:sz w:val="22"/>
              </w:rPr>
              <w:t xml:space="preserve">. Благоустрій території: заміна тротуарного й асфальтового покриття, тротуарних плит на шкільних майданчиках, відновлення паркану. </w:t>
            </w:r>
          </w:p>
        </w:tc>
      </w:tr>
      <w:tr w:rsidR="007B055E" w:rsidRPr="007E0AF4" w:rsidTr="007B055E">
        <w:trPr>
          <w:trHeight w:val="840"/>
        </w:trPr>
        <w:tc>
          <w:tcPr>
            <w:tcW w:w="3007" w:type="dxa"/>
            <w:vMerge w:val="restart"/>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rFonts w:eastAsia="Calibri"/>
                <w:b/>
                <w:color w:val="000000"/>
                <w:sz w:val="22"/>
              </w:rPr>
              <w:t>Орієнтовний обсяг та джерела фінансування,  тис. гривень</w:t>
            </w:r>
          </w:p>
        </w:tc>
        <w:tc>
          <w:tcPr>
            <w:tcW w:w="1954" w:type="dxa"/>
          </w:tcPr>
          <w:p w:rsidR="007B055E" w:rsidRPr="007E0AF4" w:rsidRDefault="007B055E" w:rsidP="007B055E">
            <w:pPr>
              <w:autoSpaceDE w:val="0"/>
              <w:autoSpaceDN w:val="0"/>
              <w:adjustRightInd w:val="0"/>
              <w:jc w:val="center"/>
              <w:rPr>
                <w:rFonts w:eastAsia="Calibri"/>
                <w:b/>
                <w:color w:val="000000"/>
                <w:sz w:val="22"/>
              </w:rPr>
            </w:pPr>
            <w:r w:rsidRPr="007E0AF4">
              <w:rPr>
                <w:rFonts w:eastAsia="Calibri"/>
                <w:b/>
                <w:color w:val="000000"/>
                <w:sz w:val="22"/>
              </w:rPr>
              <w:t>Державний бюджет</w:t>
            </w:r>
          </w:p>
        </w:tc>
        <w:tc>
          <w:tcPr>
            <w:tcW w:w="1559" w:type="dxa"/>
          </w:tcPr>
          <w:p w:rsidR="007B055E" w:rsidRPr="007E0AF4" w:rsidRDefault="007B055E" w:rsidP="007B055E">
            <w:pPr>
              <w:autoSpaceDE w:val="0"/>
              <w:autoSpaceDN w:val="0"/>
              <w:adjustRightInd w:val="0"/>
              <w:jc w:val="center"/>
              <w:rPr>
                <w:rFonts w:eastAsia="Calibri"/>
                <w:b/>
                <w:color w:val="000000"/>
                <w:sz w:val="22"/>
              </w:rPr>
            </w:pPr>
            <w:r w:rsidRPr="007E0AF4">
              <w:rPr>
                <w:rFonts w:eastAsia="Calibri"/>
                <w:b/>
                <w:color w:val="000000"/>
                <w:sz w:val="22"/>
              </w:rPr>
              <w:t>Місцевий бюджет</w:t>
            </w:r>
          </w:p>
        </w:tc>
        <w:tc>
          <w:tcPr>
            <w:tcW w:w="2410" w:type="dxa"/>
            <w:gridSpan w:val="4"/>
          </w:tcPr>
          <w:p w:rsidR="007B055E" w:rsidRPr="007E0AF4" w:rsidRDefault="007B055E" w:rsidP="007B055E">
            <w:pPr>
              <w:autoSpaceDE w:val="0"/>
              <w:autoSpaceDN w:val="0"/>
              <w:adjustRightInd w:val="0"/>
              <w:jc w:val="center"/>
              <w:rPr>
                <w:rFonts w:eastAsia="Calibri"/>
                <w:b/>
                <w:color w:val="000000"/>
                <w:sz w:val="22"/>
              </w:rPr>
            </w:pPr>
            <w:r w:rsidRPr="007E0AF4">
              <w:rPr>
                <w:rFonts w:eastAsia="Calibri"/>
                <w:b/>
                <w:color w:val="000000"/>
                <w:sz w:val="22"/>
              </w:rPr>
              <w:t>Інші джерела</w:t>
            </w:r>
          </w:p>
        </w:tc>
        <w:tc>
          <w:tcPr>
            <w:tcW w:w="1023" w:type="dxa"/>
          </w:tcPr>
          <w:p w:rsidR="007B055E" w:rsidRPr="007E0AF4" w:rsidRDefault="007B055E" w:rsidP="007B055E">
            <w:pPr>
              <w:autoSpaceDE w:val="0"/>
              <w:autoSpaceDN w:val="0"/>
              <w:adjustRightInd w:val="0"/>
              <w:jc w:val="center"/>
              <w:rPr>
                <w:rFonts w:eastAsia="Calibri"/>
                <w:b/>
                <w:color w:val="000000"/>
                <w:sz w:val="22"/>
              </w:rPr>
            </w:pPr>
            <w:r w:rsidRPr="007E0AF4">
              <w:rPr>
                <w:rFonts w:eastAsia="Calibri"/>
                <w:b/>
                <w:color w:val="000000"/>
                <w:sz w:val="22"/>
              </w:rPr>
              <w:t>Всього</w:t>
            </w:r>
          </w:p>
        </w:tc>
      </w:tr>
      <w:tr w:rsidR="007B055E" w:rsidRPr="007E0AF4" w:rsidTr="007B055E">
        <w:trPr>
          <w:trHeight w:val="420"/>
        </w:trPr>
        <w:tc>
          <w:tcPr>
            <w:tcW w:w="3007" w:type="dxa"/>
            <w:vMerge/>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p>
        </w:tc>
        <w:tc>
          <w:tcPr>
            <w:tcW w:w="1954" w:type="dxa"/>
            <w:vMerge w:val="restart"/>
          </w:tcPr>
          <w:p w:rsidR="007B055E" w:rsidRPr="007E0AF4" w:rsidRDefault="007B055E" w:rsidP="007B055E">
            <w:pPr>
              <w:autoSpaceDE w:val="0"/>
              <w:autoSpaceDN w:val="0"/>
              <w:adjustRightInd w:val="0"/>
              <w:jc w:val="center"/>
              <w:rPr>
                <w:rFonts w:eastAsia="Calibri"/>
                <w:color w:val="000000"/>
                <w:sz w:val="22"/>
              </w:rPr>
            </w:pPr>
            <w:r w:rsidRPr="007E0AF4">
              <w:rPr>
                <w:rFonts w:eastAsia="Calibri"/>
                <w:color w:val="000000"/>
                <w:sz w:val="22"/>
              </w:rPr>
              <w:t>2145,0</w:t>
            </w:r>
          </w:p>
        </w:tc>
        <w:tc>
          <w:tcPr>
            <w:tcW w:w="1559" w:type="dxa"/>
            <w:vMerge w:val="restart"/>
          </w:tcPr>
          <w:p w:rsidR="007B055E" w:rsidRPr="007E0AF4" w:rsidRDefault="007B055E" w:rsidP="007B055E">
            <w:pPr>
              <w:autoSpaceDE w:val="0"/>
              <w:autoSpaceDN w:val="0"/>
              <w:adjustRightInd w:val="0"/>
              <w:jc w:val="center"/>
              <w:rPr>
                <w:rFonts w:eastAsia="Calibri"/>
                <w:b/>
                <w:color w:val="000000"/>
                <w:sz w:val="22"/>
              </w:rPr>
            </w:pPr>
          </w:p>
        </w:tc>
        <w:tc>
          <w:tcPr>
            <w:tcW w:w="993" w:type="dxa"/>
            <w:gridSpan w:val="2"/>
          </w:tcPr>
          <w:p w:rsidR="007B055E" w:rsidRPr="007E0AF4" w:rsidRDefault="007B055E" w:rsidP="007B055E">
            <w:pPr>
              <w:autoSpaceDE w:val="0"/>
              <w:autoSpaceDN w:val="0"/>
              <w:adjustRightInd w:val="0"/>
              <w:jc w:val="center"/>
              <w:rPr>
                <w:rFonts w:eastAsia="Calibri"/>
                <w:b/>
                <w:color w:val="000000"/>
                <w:sz w:val="22"/>
              </w:rPr>
            </w:pPr>
            <w:r w:rsidRPr="007E0AF4">
              <w:rPr>
                <w:rFonts w:eastAsia="Calibri"/>
                <w:b/>
                <w:color w:val="000000"/>
                <w:sz w:val="22"/>
              </w:rPr>
              <w:t>Обсяг</w:t>
            </w:r>
          </w:p>
        </w:tc>
        <w:tc>
          <w:tcPr>
            <w:tcW w:w="1417" w:type="dxa"/>
            <w:gridSpan w:val="2"/>
          </w:tcPr>
          <w:p w:rsidR="007B055E" w:rsidRPr="007E0AF4" w:rsidRDefault="007B055E" w:rsidP="007B055E">
            <w:pPr>
              <w:autoSpaceDE w:val="0"/>
              <w:autoSpaceDN w:val="0"/>
              <w:adjustRightInd w:val="0"/>
              <w:jc w:val="center"/>
              <w:rPr>
                <w:rFonts w:eastAsia="Calibri"/>
                <w:b/>
                <w:color w:val="000000"/>
                <w:sz w:val="22"/>
              </w:rPr>
            </w:pPr>
            <w:r w:rsidRPr="007E0AF4">
              <w:rPr>
                <w:rFonts w:eastAsia="Calibri"/>
                <w:b/>
                <w:color w:val="000000"/>
                <w:sz w:val="22"/>
              </w:rPr>
              <w:t>Назва джерела</w:t>
            </w:r>
          </w:p>
        </w:tc>
        <w:tc>
          <w:tcPr>
            <w:tcW w:w="1023" w:type="dxa"/>
            <w:vMerge w:val="restart"/>
          </w:tcPr>
          <w:p w:rsidR="007B055E" w:rsidRPr="007E0AF4" w:rsidRDefault="007B055E" w:rsidP="007B055E">
            <w:pPr>
              <w:autoSpaceDE w:val="0"/>
              <w:autoSpaceDN w:val="0"/>
              <w:adjustRightInd w:val="0"/>
              <w:jc w:val="center"/>
              <w:rPr>
                <w:rFonts w:eastAsia="Calibri"/>
                <w:b/>
                <w:color w:val="000000"/>
                <w:sz w:val="22"/>
              </w:rPr>
            </w:pPr>
            <w:r w:rsidRPr="007E0AF4">
              <w:rPr>
                <w:rFonts w:eastAsia="Calibri"/>
                <w:color w:val="000000"/>
                <w:sz w:val="22"/>
              </w:rPr>
              <w:t>14300,0</w:t>
            </w:r>
          </w:p>
        </w:tc>
      </w:tr>
      <w:tr w:rsidR="007B055E" w:rsidRPr="007E0AF4" w:rsidTr="007B055E">
        <w:trPr>
          <w:trHeight w:val="420"/>
        </w:trPr>
        <w:tc>
          <w:tcPr>
            <w:tcW w:w="3007" w:type="dxa"/>
            <w:vMerge/>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p>
        </w:tc>
        <w:tc>
          <w:tcPr>
            <w:tcW w:w="1954" w:type="dxa"/>
            <w:vMerge/>
          </w:tcPr>
          <w:p w:rsidR="007B055E" w:rsidRPr="007E0AF4" w:rsidRDefault="007B055E" w:rsidP="007B055E">
            <w:pPr>
              <w:autoSpaceDE w:val="0"/>
              <w:autoSpaceDN w:val="0"/>
              <w:adjustRightInd w:val="0"/>
              <w:rPr>
                <w:rFonts w:eastAsia="Calibri"/>
                <w:color w:val="000000"/>
                <w:sz w:val="22"/>
              </w:rPr>
            </w:pPr>
          </w:p>
        </w:tc>
        <w:tc>
          <w:tcPr>
            <w:tcW w:w="1559" w:type="dxa"/>
            <w:vMerge/>
          </w:tcPr>
          <w:p w:rsidR="007B055E" w:rsidRPr="007E0AF4" w:rsidRDefault="007B055E" w:rsidP="007B055E">
            <w:pPr>
              <w:autoSpaceDE w:val="0"/>
              <w:autoSpaceDN w:val="0"/>
              <w:adjustRightInd w:val="0"/>
              <w:rPr>
                <w:rFonts w:eastAsia="Calibri"/>
                <w:color w:val="000000"/>
                <w:sz w:val="22"/>
              </w:rPr>
            </w:pPr>
          </w:p>
        </w:tc>
        <w:tc>
          <w:tcPr>
            <w:tcW w:w="993" w:type="dxa"/>
            <w:gridSpan w:val="2"/>
          </w:tcPr>
          <w:p w:rsidR="007B055E" w:rsidRPr="007E0AF4" w:rsidRDefault="007B055E" w:rsidP="007B055E">
            <w:pPr>
              <w:autoSpaceDE w:val="0"/>
              <w:autoSpaceDN w:val="0"/>
              <w:adjustRightInd w:val="0"/>
              <w:rPr>
                <w:rFonts w:eastAsia="Calibri"/>
                <w:color w:val="000000"/>
                <w:sz w:val="22"/>
              </w:rPr>
            </w:pPr>
            <w:r w:rsidRPr="007E0AF4">
              <w:rPr>
                <w:rFonts w:eastAsia="Calibri"/>
                <w:color w:val="000000"/>
                <w:sz w:val="22"/>
              </w:rPr>
              <w:t>12155,0</w:t>
            </w:r>
          </w:p>
        </w:tc>
        <w:tc>
          <w:tcPr>
            <w:tcW w:w="1417" w:type="dxa"/>
            <w:gridSpan w:val="2"/>
          </w:tcPr>
          <w:p w:rsidR="007B055E" w:rsidRPr="007E0AF4" w:rsidRDefault="007B055E" w:rsidP="007B055E">
            <w:pPr>
              <w:autoSpaceDE w:val="0"/>
              <w:autoSpaceDN w:val="0"/>
              <w:adjustRightInd w:val="0"/>
              <w:rPr>
                <w:rFonts w:eastAsia="Calibri"/>
                <w:color w:val="000000"/>
                <w:sz w:val="22"/>
              </w:rPr>
            </w:pPr>
            <w:r w:rsidRPr="007E0AF4">
              <w:rPr>
                <w:rFonts w:eastAsia="Calibri"/>
                <w:color w:val="000000"/>
                <w:sz w:val="22"/>
              </w:rPr>
              <w:t>Міжнародні інвестиції</w:t>
            </w:r>
          </w:p>
        </w:tc>
        <w:tc>
          <w:tcPr>
            <w:tcW w:w="1023" w:type="dxa"/>
            <w:vMerge/>
          </w:tcPr>
          <w:p w:rsidR="007B055E" w:rsidRPr="007E0AF4" w:rsidRDefault="007B055E" w:rsidP="007B055E">
            <w:pPr>
              <w:autoSpaceDE w:val="0"/>
              <w:autoSpaceDN w:val="0"/>
              <w:adjustRightInd w:val="0"/>
              <w:rPr>
                <w:rFonts w:eastAsia="Calibri"/>
                <w:color w:val="000000"/>
                <w:sz w:val="22"/>
              </w:rPr>
            </w:pPr>
          </w:p>
        </w:tc>
      </w:tr>
    </w:tbl>
    <w:p w:rsidR="00B10C42" w:rsidRPr="007E0AF4" w:rsidRDefault="00B10C42" w:rsidP="00E95FB1">
      <w:pPr>
        <w:rPr>
          <w:sz w:val="22"/>
          <w:lang w:val="ru-RU"/>
        </w:rPr>
      </w:pPr>
    </w:p>
    <w:p w:rsidR="007B055E" w:rsidRPr="007E0AF4" w:rsidRDefault="007B055E" w:rsidP="00E95FB1">
      <w:pPr>
        <w:rPr>
          <w:sz w:val="22"/>
          <w:lang w:val="ru-RU"/>
        </w:rPr>
      </w:pPr>
    </w:p>
    <w:tbl>
      <w:tblPr>
        <w:tblpPr w:leftFromText="180" w:rightFromText="180" w:vertAnchor="text" w:horzAnchor="page" w:tblpX="1375" w:tblpY="143"/>
        <w:tblW w:w="9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007"/>
        <w:gridCol w:w="1418"/>
        <w:gridCol w:w="1417"/>
        <w:gridCol w:w="992"/>
        <w:gridCol w:w="112"/>
        <w:gridCol w:w="1589"/>
        <w:gridCol w:w="253"/>
        <w:gridCol w:w="1165"/>
      </w:tblGrid>
      <w:tr w:rsidR="007B055E" w:rsidRPr="007E0AF4" w:rsidTr="007B055E">
        <w:trPr>
          <w:trHeight w:val="555"/>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b/>
                <w:sz w:val="22"/>
              </w:rPr>
              <w:t>Оперативна ціль/завдання</w:t>
            </w:r>
          </w:p>
        </w:tc>
        <w:tc>
          <w:tcPr>
            <w:tcW w:w="6946" w:type="dxa"/>
            <w:gridSpan w:val="7"/>
            <w:tcBorders>
              <w:top w:val="single" w:sz="4" w:space="0" w:color="auto"/>
              <w:left w:val="single" w:sz="4" w:space="0" w:color="auto"/>
              <w:bottom w:val="single" w:sz="4" w:space="0" w:color="auto"/>
              <w:right w:val="single" w:sz="4" w:space="0" w:color="000000"/>
            </w:tcBorders>
            <w:shd w:val="clear" w:color="auto" w:fill="auto"/>
          </w:tcPr>
          <w:p w:rsidR="007B055E" w:rsidRPr="007E0AF4" w:rsidRDefault="007B055E" w:rsidP="007B055E">
            <w:pPr>
              <w:autoSpaceDE w:val="0"/>
              <w:autoSpaceDN w:val="0"/>
              <w:adjustRightInd w:val="0"/>
              <w:rPr>
                <w:rFonts w:eastAsia="Calibri"/>
                <w:color w:val="000000"/>
                <w:sz w:val="22"/>
              </w:rPr>
            </w:pPr>
            <w:r w:rsidRPr="007E0AF4">
              <w:rPr>
                <w:sz w:val="22"/>
              </w:rPr>
              <w:t xml:space="preserve">Людський розвиток через інновації управління та довіру до влади. Формування сучасного інклюзивного  </w:t>
            </w:r>
            <w:proofErr w:type="spellStart"/>
            <w:r w:rsidRPr="007E0AF4">
              <w:rPr>
                <w:sz w:val="22"/>
              </w:rPr>
              <w:t>освітньо</w:t>
            </w:r>
            <w:proofErr w:type="spellEnd"/>
            <w:r w:rsidRPr="007E0AF4">
              <w:rPr>
                <w:sz w:val="22"/>
              </w:rPr>
              <w:t>-культурного та спортивного простору для розвитку.</w:t>
            </w:r>
          </w:p>
        </w:tc>
      </w:tr>
      <w:tr w:rsidR="007B055E" w:rsidRPr="007E0AF4" w:rsidTr="007B055E">
        <w:trPr>
          <w:trHeight w:val="691"/>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b/>
                <w:sz w:val="22"/>
              </w:rPr>
              <w:t xml:space="preserve">Назва </w:t>
            </w:r>
            <w:proofErr w:type="spellStart"/>
            <w:r w:rsidRPr="007E0AF4">
              <w:rPr>
                <w:b/>
                <w:sz w:val="22"/>
              </w:rPr>
              <w:t>проєкту</w:t>
            </w:r>
            <w:proofErr w:type="spellEnd"/>
            <w:r w:rsidRPr="007E0AF4">
              <w:rPr>
                <w:b/>
                <w:sz w:val="22"/>
              </w:rPr>
              <w:t>:</w:t>
            </w:r>
          </w:p>
        </w:tc>
        <w:tc>
          <w:tcPr>
            <w:tcW w:w="6946" w:type="dxa"/>
            <w:gridSpan w:val="7"/>
            <w:tcBorders>
              <w:top w:val="single" w:sz="4" w:space="0" w:color="auto"/>
              <w:left w:val="single" w:sz="4" w:space="0" w:color="auto"/>
              <w:bottom w:val="single" w:sz="4" w:space="0" w:color="auto"/>
              <w:right w:val="single" w:sz="4" w:space="0" w:color="000000"/>
            </w:tcBorders>
            <w:shd w:val="clear" w:color="auto" w:fill="auto"/>
          </w:tcPr>
          <w:p w:rsidR="007B055E" w:rsidRPr="007E0AF4" w:rsidRDefault="007B055E" w:rsidP="007B055E">
            <w:pPr>
              <w:autoSpaceDE w:val="0"/>
              <w:autoSpaceDN w:val="0"/>
              <w:adjustRightInd w:val="0"/>
              <w:rPr>
                <w:color w:val="000000"/>
                <w:sz w:val="22"/>
              </w:rPr>
            </w:pPr>
            <w:r w:rsidRPr="007E0AF4">
              <w:rPr>
                <w:color w:val="000000"/>
                <w:sz w:val="22"/>
              </w:rPr>
              <w:t xml:space="preserve">Відновлення діяльності Сєвєродонецької загальноосвітньої школи </w:t>
            </w:r>
          </w:p>
          <w:p w:rsidR="007B055E" w:rsidRPr="007E0AF4" w:rsidRDefault="007B055E" w:rsidP="007B055E">
            <w:pPr>
              <w:autoSpaceDE w:val="0"/>
              <w:autoSpaceDN w:val="0"/>
              <w:adjustRightInd w:val="0"/>
              <w:rPr>
                <w:rFonts w:eastAsia="Calibri"/>
                <w:color w:val="000000"/>
                <w:sz w:val="22"/>
              </w:rPr>
            </w:pPr>
            <w:r w:rsidRPr="007E0AF4">
              <w:rPr>
                <w:color w:val="000000"/>
                <w:sz w:val="22"/>
              </w:rPr>
              <w:t>І-ІІІ ступенів №14 Сєвєродонецької міської ради Луганської області, вул. Гагаріна, буд. 111</w:t>
            </w:r>
          </w:p>
        </w:tc>
      </w:tr>
      <w:tr w:rsidR="007B055E" w:rsidRPr="007E0AF4" w:rsidTr="00452C4E">
        <w:trPr>
          <w:trHeight w:val="695"/>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rFonts w:eastAsia="Calibri"/>
                <w:b/>
                <w:color w:val="000000"/>
                <w:sz w:val="22"/>
              </w:rPr>
              <w:t xml:space="preserve">Ціль </w:t>
            </w:r>
            <w:proofErr w:type="spellStart"/>
            <w:r w:rsidRPr="007E0AF4">
              <w:rPr>
                <w:rFonts w:eastAsia="Calibri"/>
                <w:b/>
                <w:color w:val="000000"/>
                <w:sz w:val="22"/>
              </w:rPr>
              <w:t>проєкту</w:t>
            </w:r>
            <w:proofErr w:type="spellEnd"/>
          </w:p>
        </w:tc>
        <w:tc>
          <w:tcPr>
            <w:tcW w:w="6946" w:type="dxa"/>
            <w:gridSpan w:val="7"/>
            <w:tcBorders>
              <w:top w:val="single" w:sz="4" w:space="0" w:color="auto"/>
              <w:left w:val="single" w:sz="4" w:space="0" w:color="auto"/>
              <w:bottom w:val="single" w:sz="4" w:space="0" w:color="auto"/>
              <w:right w:val="single" w:sz="4" w:space="0" w:color="000000"/>
            </w:tcBorders>
            <w:shd w:val="clear" w:color="auto" w:fill="auto"/>
          </w:tcPr>
          <w:p w:rsidR="007B055E" w:rsidRPr="007E0AF4" w:rsidRDefault="007B055E" w:rsidP="007B055E">
            <w:pPr>
              <w:autoSpaceDE w:val="0"/>
              <w:autoSpaceDN w:val="0"/>
              <w:adjustRightInd w:val="0"/>
              <w:rPr>
                <w:color w:val="000000"/>
                <w:sz w:val="22"/>
              </w:rPr>
            </w:pPr>
            <w:r w:rsidRPr="007E0AF4">
              <w:rPr>
                <w:color w:val="000000"/>
                <w:sz w:val="22"/>
              </w:rPr>
              <w:t xml:space="preserve">     Відновлення та покращення роботи освітнього закладу для задоволення освітніх потреб мешканців Сєвєродонецької міської територіальної громади. Оновлення матеріально-технічної бази закладу освіти. </w:t>
            </w:r>
          </w:p>
          <w:p w:rsidR="007B055E" w:rsidRPr="007E0AF4" w:rsidRDefault="007B055E" w:rsidP="007B055E">
            <w:pPr>
              <w:autoSpaceDE w:val="0"/>
              <w:autoSpaceDN w:val="0"/>
              <w:adjustRightInd w:val="0"/>
              <w:rPr>
                <w:color w:val="000000"/>
                <w:sz w:val="22"/>
              </w:rPr>
            </w:pPr>
            <w:r w:rsidRPr="007E0AF4">
              <w:rPr>
                <w:color w:val="000000"/>
                <w:sz w:val="22"/>
              </w:rPr>
              <w:t xml:space="preserve">     Забезпечення освітнього процесу відповідними матеріально-технічними  та методичними  засобами для повноцінної реалізації освітніх  програм з урахуванням принципів інклюзивного навчання, Концепції Нової української школи та STEM-освіти.</w:t>
            </w:r>
          </w:p>
          <w:p w:rsidR="007B055E" w:rsidRPr="007E0AF4" w:rsidRDefault="007B055E" w:rsidP="007B055E">
            <w:pPr>
              <w:autoSpaceDE w:val="0"/>
              <w:autoSpaceDN w:val="0"/>
              <w:adjustRightInd w:val="0"/>
              <w:rPr>
                <w:rFonts w:eastAsia="Calibri"/>
                <w:color w:val="000000"/>
                <w:sz w:val="22"/>
              </w:rPr>
            </w:pPr>
            <w:r w:rsidRPr="007E0AF4">
              <w:rPr>
                <w:color w:val="000000"/>
                <w:sz w:val="22"/>
              </w:rPr>
              <w:t xml:space="preserve">     Сприяння збереженню здоров’я здобувачів освіти громади, забезпечення всіх школярів раціональним, якісним та безпечним харчуванням, впровадження нових технологій приготування їжі й різноманітних форм обслуговування учнів. </w:t>
            </w:r>
          </w:p>
        </w:tc>
      </w:tr>
      <w:tr w:rsidR="007B055E" w:rsidRPr="007E0AF4" w:rsidTr="007B055E">
        <w:trPr>
          <w:trHeight w:val="290"/>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rFonts w:eastAsia="Calibri"/>
                <w:b/>
                <w:color w:val="000000"/>
                <w:sz w:val="22"/>
              </w:rPr>
              <w:t xml:space="preserve">Територія, на яку матиме вплив реалізація </w:t>
            </w:r>
            <w:proofErr w:type="spellStart"/>
            <w:r w:rsidRPr="007E0AF4">
              <w:rPr>
                <w:rFonts w:eastAsia="Calibri"/>
                <w:b/>
                <w:color w:val="000000"/>
                <w:sz w:val="22"/>
              </w:rPr>
              <w:t>проєкту</w:t>
            </w:r>
            <w:proofErr w:type="spellEnd"/>
          </w:p>
        </w:tc>
        <w:tc>
          <w:tcPr>
            <w:tcW w:w="6946"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7B055E" w:rsidRPr="007E0AF4" w:rsidRDefault="007B055E" w:rsidP="007B055E">
            <w:pPr>
              <w:autoSpaceDE w:val="0"/>
              <w:autoSpaceDN w:val="0"/>
              <w:adjustRightInd w:val="0"/>
              <w:rPr>
                <w:rFonts w:eastAsia="Calibri"/>
                <w:color w:val="000000"/>
                <w:sz w:val="22"/>
              </w:rPr>
            </w:pPr>
            <w:r w:rsidRPr="007E0AF4">
              <w:rPr>
                <w:color w:val="000000"/>
                <w:sz w:val="22"/>
              </w:rPr>
              <w:t>Сєвєродонецька міська територіальна громада</w:t>
            </w:r>
          </w:p>
        </w:tc>
      </w:tr>
      <w:tr w:rsidR="007B055E" w:rsidRPr="007E0AF4" w:rsidTr="007B055E">
        <w:trPr>
          <w:trHeight w:val="700"/>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rFonts w:eastAsia="Calibri"/>
                <w:b/>
                <w:color w:val="000000"/>
                <w:sz w:val="22"/>
              </w:rPr>
              <w:t xml:space="preserve">Чисельність населення, на яке матиме вплив реалізація </w:t>
            </w:r>
            <w:proofErr w:type="spellStart"/>
            <w:r w:rsidRPr="007E0AF4">
              <w:rPr>
                <w:rFonts w:eastAsia="Calibri"/>
                <w:b/>
                <w:color w:val="000000"/>
                <w:sz w:val="22"/>
              </w:rPr>
              <w:t>проєкту</w:t>
            </w:r>
            <w:proofErr w:type="spellEnd"/>
          </w:p>
        </w:tc>
        <w:tc>
          <w:tcPr>
            <w:tcW w:w="6946" w:type="dxa"/>
            <w:gridSpan w:val="7"/>
            <w:tcBorders>
              <w:top w:val="single" w:sz="4" w:space="0" w:color="auto"/>
              <w:left w:val="single" w:sz="4" w:space="0" w:color="auto"/>
              <w:bottom w:val="single" w:sz="4" w:space="0" w:color="auto"/>
              <w:right w:val="single" w:sz="4" w:space="0" w:color="000000"/>
            </w:tcBorders>
            <w:shd w:val="clear" w:color="auto" w:fill="auto"/>
            <w:vAlign w:val="bottom"/>
          </w:tcPr>
          <w:p w:rsidR="007B055E" w:rsidRPr="007E0AF4" w:rsidRDefault="007B055E" w:rsidP="007B055E">
            <w:pPr>
              <w:autoSpaceDE w:val="0"/>
              <w:autoSpaceDN w:val="0"/>
              <w:adjustRightInd w:val="0"/>
              <w:rPr>
                <w:rFonts w:eastAsia="Calibri"/>
                <w:color w:val="000000"/>
                <w:sz w:val="22"/>
              </w:rPr>
            </w:pPr>
            <w:r w:rsidRPr="007E0AF4">
              <w:rPr>
                <w:color w:val="000000"/>
                <w:sz w:val="22"/>
              </w:rPr>
              <w:t>70 000 осіб</w:t>
            </w:r>
          </w:p>
        </w:tc>
      </w:tr>
      <w:tr w:rsidR="007B055E" w:rsidRPr="007E0AF4" w:rsidTr="007B055E">
        <w:trPr>
          <w:trHeight w:val="1261"/>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rFonts w:eastAsia="Calibri"/>
                <w:b/>
                <w:color w:val="000000"/>
                <w:sz w:val="22"/>
              </w:rPr>
              <w:t xml:space="preserve">Опис проблеми, на вирішення якої спрямований </w:t>
            </w:r>
            <w:proofErr w:type="spellStart"/>
            <w:r w:rsidRPr="007E0AF4">
              <w:rPr>
                <w:rFonts w:eastAsia="Calibri"/>
                <w:b/>
                <w:color w:val="000000"/>
                <w:sz w:val="22"/>
              </w:rPr>
              <w:t>проєкт</w:t>
            </w:r>
            <w:proofErr w:type="spellEnd"/>
          </w:p>
        </w:tc>
        <w:tc>
          <w:tcPr>
            <w:tcW w:w="6946" w:type="dxa"/>
            <w:gridSpan w:val="7"/>
            <w:tcBorders>
              <w:top w:val="single" w:sz="4" w:space="0" w:color="auto"/>
              <w:left w:val="single" w:sz="4" w:space="0" w:color="auto"/>
              <w:bottom w:val="single" w:sz="4" w:space="0" w:color="auto"/>
              <w:right w:val="single" w:sz="4" w:space="0" w:color="000000"/>
            </w:tcBorders>
            <w:shd w:val="clear" w:color="auto" w:fill="auto"/>
          </w:tcPr>
          <w:p w:rsidR="007B055E" w:rsidRPr="007E0AF4" w:rsidRDefault="007B055E" w:rsidP="007B055E">
            <w:pPr>
              <w:autoSpaceDE w:val="0"/>
              <w:autoSpaceDN w:val="0"/>
              <w:adjustRightInd w:val="0"/>
              <w:rPr>
                <w:sz w:val="22"/>
              </w:rPr>
            </w:pPr>
            <w:r w:rsidRPr="007E0AF4">
              <w:rPr>
                <w:sz w:val="22"/>
              </w:rPr>
              <w:t xml:space="preserve">     Сєвєродонецька загальноосвітня школа І-ІІІ ступенів № 14 Сєвєродонецької міської ради Луганської області  була пошкоджена внаслідок збройної агресії РФ, внаслідок чого відбулася руйнація матеріально-технічної бази закладу.  Обладнання та меблі через пошкодження будівлі знищено або зіпсовано, технічні та методичні засоби </w:t>
            </w:r>
            <w:r w:rsidR="00633959" w:rsidRPr="007E0AF4">
              <w:rPr>
                <w:sz w:val="22"/>
              </w:rPr>
              <w:t>п</w:t>
            </w:r>
            <w:r w:rsidRPr="007E0AF4">
              <w:rPr>
                <w:sz w:val="22"/>
              </w:rPr>
              <w:t xml:space="preserve">ошкоджено та розкрадено.   </w:t>
            </w:r>
          </w:p>
          <w:p w:rsidR="007B055E" w:rsidRPr="007E0AF4" w:rsidRDefault="007B055E" w:rsidP="00633959">
            <w:pPr>
              <w:autoSpaceDE w:val="0"/>
              <w:autoSpaceDN w:val="0"/>
              <w:adjustRightInd w:val="0"/>
              <w:jc w:val="left"/>
              <w:rPr>
                <w:sz w:val="22"/>
              </w:rPr>
            </w:pPr>
            <w:r w:rsidRPr="007E0AF4">
              <w:rPr>
                <w:sz w:val="22"/>
              </w:rPr>
              <w:lastRenderedPageBreak/>
              <w:t xml:space="preserve">     Для відбудови та сталого розвитку громади потрібне відновлення роботи освітнього закладу. Мешканці громади потребують отримання якісних  освітніх послуг, які відповідають нормам сучасності, тому для відновлення освітнього процесу необхідно: </w:t>
            </w:r>
            <w:r w:rsidRPr="007E0AF4">
              <w:rPr>
                <w:sz w:val="22"/>
              </w:rPr>
              <w:br/>
              <w:t xml:space="preserve">- облаштувати навчальні кабінети ергономічними меблями, які дадуть змогу  зберегти здоров'я дітей, знизити ризики виникнення травм та покращать продуктивність навчання; </w:t>
            </w:r>
            <w:r w:rsidRPr="007E0AF4">
              <w:rPr>
                <w:sz w:val="22"/>
              </w:rPr>
              <w:br/>
              <w:t>- укомплектувати  навчальні  кабінети  сучасними засобами та  обладнанням відповідно до вимог НУШ, що значно збільшить активність учнів та створить стимулююче навколишнє середовище;</w:t>
            </w:r>
            <w:r w:rsidRPr="007E0AF4">
              <w:rPr>
                <w:sz w:val="22"/>
              </w:rPr>
              <w:br/>
              <w:t xml:space="preserve">- обладнати  кабінети фізики, хімії, біології, географії, інформатики, математики, технологій засобами STEM-освіти; </w:t>
            </w:r>
            <w:r w:rsidRPr="007E0AF4">
              <w:rPr>
                <w:sz w:val="22"/>
              </w:rPr>
              <w:br/>
              <w:t>- укомплектувати спортивні зали різноманітним  спортивним  знаряддям, що дозволить учням систематично займатися різними видами фізичної активності;</w:t>
            </w:r>
            <w:r w:rsidRPr="007E0AF4">
              <w:rPr>
                <w:sz w:val="22"/>
              </w:rPr>
              <w:br/>
              <w:t xml:space="preserve">- забезпечити бібліотеку, ресурсну кімнату, актову залу, кімнати самоврядування, кабінети психолога та соціального педагога, методичний кабінет  технічними засобами, обладнанням, сучасними комфортними меблями; </w:t>
            </w:r>
            <w:r w:rsidRPr="007E0AF4">
              <w:rPr>
                <w:sz w:val="22"/>
              </w:rPr>
              <w:br/>
              <w:t>- укомплектувати медичний кабінет спеціалізованими меблями та медичним обладнанням;</w:t>
            </w:r>
            <w:r w:rsidRPr="007E0AF4">
              <w:rPr>
                <w:sz w:val="22"/>
              </w:rPr>
              <w:br/>
              <w:t>-  забезпечити харчоблок  професійною технікою та сучасним енергозберігаючим устаткуванням; облаштувати обідню залу сучасними комфортними меблями.</w:t>
            </w:r>
            <w:r w:rsidRPr="007E0AF4">
              <w:rPr>
                <w:sz w:val="22"/>
              </w:rPr>
              <w:br/>
            </w:r>
          </w:p>
        </w:tc>
      </w:tr>
      <w:tr w:rsidR="007B055E" w:rsidRPr="007E0AF4" w:rsidTr="007B055E">
        <w:trPr>
          <w:trHeight w:val="415"/>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rFonts w:eastAsia="Calibri"/>
                <w:b/>
                <w:color w:val="000000"/>
                <w:sz w:val="22"/>
              </w:rPr>
              <w:lastRenderedPageBreak/>
              <w:t xml:space="preserve">Очікувані якісні результати від реалізації </w:t>
            </w:r>
            <w:proofErr w:type="spellStart"/>
            <w:r w:rsidRPr="007E0AF4">
              <w:rPr>
                <w:rFonts w:eastAsia="Calibri"/>
                <w:b/>
                <w:color w:val="000000"/>
                <w:sz w:val="22"/>
              </w:rPr>
              <w:t>проєкту</w:t>
            </w:r>
            <w:proofErr w:type="spellEnd"/>
          </w:p>
        </w:tc>
        <w:tc>
          <w:tcPr>
            <w:tcW w:w="6946" w:type="dxa"/>
            <w:gridSpan w:val="7"/>
            <w:tcBorders>
              <w:top w:val="single" w:sz="4" w:space="0" w:color="auto"/>
              <w:left w:val="single" w:sz="4" w:space="0" w:color="auto"/>
              <w:bottom w:val="single" w:sz="4" w:space="0" w:color="auto"/>
              <w:right w:val="single" w:sz="4" w:space="0" w:color="000000"/>
            </w:tcBorders>
            <w:shd w:val="clear" w:color="auto" w:fill="auto"/>
            <w:vAlign w:val="bottom"/>
          </w:tcPr>
          <w:p w:rsidR="007B055E" w:rsidRPr="007E0AF4" w:rsidRDefault="007B055E" w:rsidP="00E30BAE">
            <w:pPr>
              <w:autoSpaceDE w:val="0"/>
              <w:autoSpaceDN w:val="0"/>
              <w:adjustRightInd w:val="0"/>
              <w:jc w:val="left"/>
              <w:rPr>
                <w:rFonts w:eastAsia="Calibri"/>
                <w:color w:val="000000"/>
                <w:sz w:val="22"/>
              </w:rPr>
            </w:pPr>
            <w:r w:rsidRPr="007E0AF4">
              <w:rPr>
                <w:color w:val="000000"/>
                <w:sz w:val="22"/>
              </w:rPr>
              <w:t>1.  Задоволення освітніх потреб населення для сталого розвитку громади.</w:t>
            </w:r>
            <w:r w:rsidRPr="007E0AF4">
              <w:rPr>
                <w:color w:val="000000"/>
                <w:sz w:val="22"/>
              </w:rPr>
              <w:br/>
              <w:t xml:space="preserve">2.  Створення сучасного інклюзивного </w:t>
            </w:r>
            <w:proofErr w:type="spellStart"/>
            <w:r w:rsidRPr="007E0AF4">
              <w:rPr>
                <w:color w:val="000000"/>
                <w:sz w:val="22"/>
              </w:rPr>
              <w:t>освітньо</w:t>
            </w:r>
            <w:proofErr w:type="spellEnd"/>
            <w:r w:rsidRPr="007E0AF4">
              <w:rPr>
                <w:color w:val="000000"/>
                <w:sz w:val="22"/>
              </w:rPr>
              <w:t>-культурного та спортивного простору для розвитку школярів, забезпечення закладу освіти відповідними матеріально-технічними  та методичними  засобами.</w:t>
            </w:r>
            <w:r w:rsidRPr="007E0AF4">
              <w:rPr>
                <w:color w:val="000000"/>
                <w:sz w:val="22"/>
              </w:rPr>
              <w:br/>
              <w:t>3.  Збереження робочих місць для вчителів і працівників школи.</w:t>
            </w:r>
            <w:r w:rsidRPr="007E0AF4">
              <w:rPr>
                <w:color w:val="000000"/>
                <w:sz w:val="22"/>
              </w:rPr>
              <w:br/>
              <w:t>4.  Стимул до повернення ВПО до громади.</w:t>
            </w:r>
            <w:r w:rsidRPr="007E0AF4">
              <w:rPr>
                <w:color w:val="000000"/>
                <w:sz w:val="22"/>
              </w:rPr>
              <w:br/>
              <w:t xml:space="preserve">5.  Підтримка творчої ініціативи вчителів у  пошуках нових форм і методів педагогічної діяльності для надання якісних освітніх послуг. </w:t>
            </w:r>
            <w:r w:rsidRPr="007E0AF4">
              <w:rPr>
                <w:color w:val="000000"/>
                <w:sz w:val="22"/>
              </w:rPr>
              <w:br/>
              <w:t xml:space="preserve">6. Створення умов для надання якісних освітніх послуг дітям з особливими освітніми потребами. </w:t>
            </w:r>
            <w:r w:rsidRPr="007E0AF4">
              <w:rPr>
                <w:color w:val="000000"/>
                <w:sz w:val="22"/>
              </w:rPr>
              <w:br/>
              <w:t>7. Створення в закладі освіти комфортних умов для організації та здійснення якісного, збалансованого і доступного харчування учнів.   Охоплення найбільшої кількості учасників освітнього процесу гарячим харчуванням;  збереження та зміцнення здоров'я дітей.</w:t>
            </w:r>
          </w:p>
        </w:tc>
      </w:tr>
      <w:tr w:rsidR="007B055E" w:rsidRPr="007E0AF4" w:rsidTr="00576A17">
        <w:trPr>
          <w:trHeight w:val="581"/>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rFonts w:eastAsia="Calibri"/>
                <w:b/>
                <w:color w:val="000000"/>
                <w:sz w:val="22"/>
              </w:rPr>
              <w:t xml:space="preserve">Очікувані кількісні результати від реалізації </w:t>
            </w:r>
            <w:proofErr w:type="spellStart"/>
            <w:r w:rsidRPr="007E0AF4">
              <w:rPr>
                <w:rFonts w:eastAsia="Calibri"/>
                <w:b/>
                <w:color w:val="000000"/>
                <w:sz w:val="22"/>
              </w:rPr>
              <w:t>проєкту</w:t>
            </w:r>
            <w:proofErr w:type="spellEnd"/>
            <w:r w:rsidRPr="007E0AF4">
              <w:rPr>
                <w:rFonts w:eastAsia="Calibri"/>
                <w:b/>
                <w:color w:val="000000"/>
                <w:sz w:val="22"/>
              </w:rPr>
              <w:t xml:space="preserve">  (індикатори)</w:t>
            </w:r>
          </w:p>
        </w:tc>
        <w:tc>
          <w:tcPr>
            <w:tcW w:w="3939" w:type="dxa"/>
            <w:gridSpan w:val="4"/>
            <w:tcBorders>
              <w:top w:val="nil"/>
              <w:left w:val="single" w:sz="4" w:space="0" w:color="auto"/>
              <w:bottom w:val="single" w:sz="4" w:space="0" w:color="auto"/>
              <w:right w:val="single" w:sz="4" w:space="0" w:color="auto"/>
            </w:tcBorders>
            <w:shd w:val="clear" w:color="auto" w:fill="auto"/>
            <w:vAlign w:val="center"/>
          </w:tcPr>
          <w:p w:rsidR="007B055E" w:rsidRPr="007E0AF4" w:rsidRDefault="007B055E" w:rsidP="007B055E">
            <w:pPr>
              <w:autoSpaceDE w:val="0"/>
              <w:autoSpaceDN w:val="0"/>
              <w:adjustRightInd w:val="0"/>
              <w:jc w:val="center"/>
              <w:rPr>
                <w:rFonts w:eastAsia="Calibri"/>
                <w:b/>
                <w:color w:val="000000"/>
                <w:sz w:val="22"/>
              </w:rPr>
            </w:pPr>
            <w:r w:rsidRPr="007E0AF4">
              <w:rPr>
                <w:b/>
                <w:color w:val="000000"/>
                <w:sz w:val="22"/>
              </w:rPr>
              <w:t>Найменування показника</w:t>
            </w:r>
          </w:p>
        </w:tc>
        <w:tc>
          <w:tcPr>
            <w:tcW w:w="1589" w:type="dxa"/>
            <w:tcBorders>
              <w:top w:val="nil"/>
              <w:left w:val="nil"/>
              <w:bottom w:val="single" w:sz="4" w:space="0" w:color="auto"/>
              <w:right w:val="single" w:sz="4" w:space="0" w:color="auto"/>
            </w:tcBorders>
            <w:shd w:val="clear" w:color="auto" w:fill="auto"/>
            <w:vAlign w:val="center"/>
          </w:tcPr>
          <w:p w:rsidR="007B055E" w:rsidRPr="007E0AF4" w:rsidRDefault="007B055E" w:rsidP="007B055E">
            <w:pPr>
              <w:autoSpaceDE w:val="0"/>
              <w:autoSpaceDN w:val="0"/>
              <w:adjustRightInd w:val="0"/>
              <w:jc w:val="center"/>
              <w:rPr>
                <w:rFonts w:eastAsia="Calibri"/>
                <w:b/>
                <w:color w:val="000000"/>
                <w:sz w:val="22"/>
              </w:rPr>
            </w:pPr>
            <w:r w:rsidRPr="007E0AF4">
              <w:rPr>
                <w:b/>
                <w:color w:val="000000"/>
                <w:sz w:val="22"/>
              </w:rPr>
              <w:t>Одиниця вимірювання</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rsidR="007B055E" w:rsidRPr="007E0AF4" w:rsidRDefault="007B055E" w:rsidP="007B055E">
            <w:pPr>
              <w:autoSpaceDE w:val="0"/>
              <w:autoSpaceDN w:val="0"/>
              <w:adjustRightInd w:val="0"/>
              <w:jc w:val="center"/>
              <w:rPr>
                <w:rFonts w:eastAsia="Calibri"/>
                <w:b/>
                <w:color w:val="000000"/>
                <w:sz w:val="22"/>
              </w:rPr>
            </w:pPr>
            <w:r w:rsidRPr="007E0AF4">
              <w:rPr>
                <w:b/>
                <w:color w:val="000000"/>
                <w:sz w:val="22"/>
              </w:rPr>
              <w:t>Прогнозне (цільове) значення</w:t>
            </w:r>
          </w:p>
        </w:tc>
      </w:tr>
      <w:tr w:rsidR="007B055E" w:rsidRPr="007E0AF4" w:rsidTr="00576A17">
        <w:trPr>
          <w:trHeight w:val="576"/>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p>
        </w:tc>
        <w:tc>
          <w:tcPr>
            <w:tcW w:w="3939" w:type="dxa"/>
            <w:gridSpan w:val="4"/>
            <w:tcBorders>
              <w:top w:val="nil"/>
              <w:left w:val="single" w:sz="4" w:space="0" w:color="auto"/>
              <w:bottom w:val="single" w:sz="4" w:space="0" w:color="auto"/>
              <w:right w:val="single" w:sz="4" w:space="0" w:color="auto"/>
            </w:tcBorders>
            <w:shd w:val="clear" w:color="auto" w:fill="auto"/>
          </w:tcPr>
          <w:p w:rsidR="007B055E" w:rsidRPr="007E0AF4" w:rsidRDefault="007B055E" w:rsidP="007B055E">
            <w:pPr>
              <w:autoSpaceDE w:val="0"/>
              <w:autoSpaceDN w:val="0"/>
              <w:adjustRightInd w:val="0"/>
              <w:rPr>
                <w:rFonts w:eastAsia="Calibri"/>
                <w:color w:val="000000"/>
                <w:sz w:val="22"/>
              </w:rPr>
            </w:pPr>
            <w:r w:rsidRPr="007E0AF4">
              <w:rPr>
                <w:color w:val="000000"/>
                <w:sz w:val="22"/>
              </w:rPr>
              <w:t>Здобувачі освіти, вчителі та працівники школи, батьки школярів</w:t>
            </w:r>
          </w:p>
        </w:tc>
        <w:tc>
          <w:tcPr>
            <w:tcW w:w="1589" w:type="dxa"/>
            <w:tcBorders>
              <w:top w:val="nil"/>
              <w:left w:val="nil"/>
              <w:bottom w:val="single" w:sz="4" w:space="0" w:color="auto"/>
              <w:right w:val="single" w:sz="4" w:space="0" w:color="auto"/>
            </w:tcBorders>
            <w:shd w:val="clear" w:color="auto" w:fill="auto"/>
          </w:tcPr>
          <w:p w:rsidR="007B055E" w:rsidRPr="007E0AF4" w:rsidRDefault="007B055E" w:rsidP="007B055E">
            <w:pPr>
              <w:autoSpaceDE w:val="0"/>
              <w:autoSpaceDN w:val="0"/>
              <w:adjustRightInd w:val="0"/>
              <w:rPr>
                <w:rFonts w:eastAsia="Calibri"/>
                <w:color w:val="000000"/>
                <w:sz w:val="22"/>
              </w:rPr>
            </w:pPr>
            <w:r w:rsidRPr="007E0AF4">
              <w:rPr>
                <w:color w:val="000000"/>
                <w:sz w:val="22"/>
              </w:rPr>
              <w:t>осіб</w:t>
            </w:r>
          </w:p>
        </w:tc>
        <w:tc>
          <w:tcPr>
            <w:tcW w:w="1418" w:type="dxa"/>
            <w:gridSpan w:val="2"/>
            <w:tcBorders>
              <w:top w:val="single" w:sz="4" w:space="0" w:color="auto"/>
              <w:left w:val="nil"/>
              <w:bottom w:val="single" w:sz="4" w:space="0" w:color="auto"/>
              <w:right w:val="single" w:sz="4" w:space="0" w:color="000000"/>
            </w:tcBorders>
            <w:shd w:val="clear" w:color="auto" w:fill="auto"/>
          </w:tcPr>
          <w:p w:rsidR="007B055E" w:rsidRPr="007E0AF4" w:rsidRDefault="007B055E" w:rsidP="007B055E">
            <w:pPr>
              <w:autoSpaceDE w:val="0"/>
              <w:autoSpaceDN w:val="0"/>
              <w:adjustRightInd w:val="0"/>
              <w:rPr>
                <w:rFonts w:eastAsia="Calibri"/>
                <w:color w:val="000000"/>
                <w:sz w:val="22"/>
              </w:rPr>
            </w:pPr>
            <w:r w:rsidRPr="007E0AF4">
              <w:rPr>
                <w:color w:val="000000"/>
                <w:sz w:val="22"/>
              </w:rPr>
              <w:t>2500</w:t>
            </w:r>
          </w:p>
        </w:tc>
      </w:tr>
      <w:tr w:rsidR="007B055E" w:rsidRPr="007E0AF4" w:rsidTr="007B055E">
        <w:trPr>
          <w:trHeight w:val="1684"/>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rFonts w:eastAsia="Calibri"/>
                <w:b/>
                <w:color w:val="000000"/>
                <w:sz w:val="22"/>
              </w:rPr>
              <w:t xml:space="preserve">Ключові заходи </w:t>
            </w:r>
            <w:proofErr w:type="spellStart"/>
            <w:r w:rsidRPr="007E0AF4">
              <w:rPr>
                <w:rFonts w:eastAsia="Calibri"/>
                <w:b/>
                <w:color w:val="000000"/>
                <w:sz w:val="22"/>
              </w:rPr>
              <w:t>проєкту</w:t>
            </w:r>
            <w:proofErr w:type="spellEnd"/>
            <w:r w:rsidRPr="007E0AF4">
              <w:rPr>
                <w:rFonts w:eastAsia="Calibri"/>
                <w:b/>
                <w:color w:val="000000"/>
                <w:sz w:val="22"/>
              </w:rPr>
              <w:t>:</w:t>
            </w:r>
          </w:p>
        </w:tc>
        <w:tc>
          <w:tcPr>
            <w:tcW w:w="6946" w:type="dxa"/>
            <w:gridSpan w:val="7"/>
            <w:tcBorders>
              <w:top w:val="single" w:sz="4" w:space="0" w:color="auto"/>
              <w:left w:val="single" w:sz="4" w:space="0" w:color="auto"/>
              <w:bottom w:val="single" w:sz="4" w:space="0" w:color="auto"/>
              <w:right w:val="single" w:sz="4" w:space="0" w:color="000000"/>
            </w:tcBorders>
            <w:shd w:val="clear" w:color="auto" w:fill="auto"/>
          </w:tcPr>
          <w:p w:rsidR="007B055E" w:rsidRPr="007E0AF4" w:rsidRDefault="007B055E" w:rsidP="003942F6">
            <w:pPr>
              <w:autoSpaceDE w:val="0"/>
              <w:autoSpaceDN w:val="0"/>
              <w:adjustRightInd w:val="0"/>
              <w:jc w:val="left"/>
              <w:rPr>
                <w:rFonts w:eastAsia="Calibri"/>
                <w:color w:val="000000"/>
                <w:sz w:val="22"/>
              </w:rPr>
            </w:pPr>
            <w:r w:rsidRPr="007E0AF4">
              <w:rPr>
                <w:color w:val="000000"/>
                <w:sz w:val="22"/>
              </w:rPr>
              <w:t xml:space="preserve">1.  Проведення моніторингу поточного матеріально-технічного стану приміщень закладу освіти. </w:t>
            </w:r>
            <w:r w:rsidRPr="007E0AF4">
              <w:rPr>
                <w:color w:val="000000"/>
                <w:sz w:val="22"/>
              </w:rPr>
              <w:br/>
              <w:t>2.  Проведення інвентаризації.</w:t>
            </w:r>
            <w:r w:rsidRPr="007E0AF4">
              <w:rPr>
                <w:color w:val="000000"/>
                <w:sz w:val="22"/>
              </w:rPr>
              <w:br/>
              <w:t>3.  Визначення кількості осіб, які потребують отримання освітніх  послуг.</w:t>
            </w:r>
            <w:r w:rsidRPr="007E0AF4">
              <w:rPr>
                <w:color w:val="000000"/>
                <w:sz w:val="22"/>
              </w:rPr>
              <w:br/>
              <w:t xml:space="preserve">4. Розробка детального плану відновлення матеріально-технічної бази закладу освіти з забезпечення меблями, оснащення  технічними засобами та дидактичними матеріалами відповідно до норм безпеки, доступності, енергоефективності, автономності та якості освітнього </w:t>
            </w:r>
            <w:r w:rsidRPr="007E0AF4">
              <w:rPr>
                <w:color w:val="000000"/>
                <w:sz w:val="22"/>
              </w:rPr>
              <w:lastRenderedPageBreak/>
              <w:t xml:space="preserve">процесу. </w:t>
            </w:r>
            <w:r w:rsidRPr="007E0AF4">
              <w:rPr>
                <w:color w:val="000000"/>
                <w:sz w:val="22"/>
              </w:rPr>
              <w:br/>
              <w:t>5. Закуп</w:t>
            </w:r>
            <w:r w:rsidR="003942F6" w:rsidRPr="007E0AF4">
              <w:rPr>
                <w:color w:val="000000"/>
                <w:sz w:val="22"/>
              </w:rPr>
              <w:t>івля</w:t>
            </w:r>
            <w:r w:rsidRPr="007E0AF4">
              <w:rPr>
                <w:color w:val="000000"/>
                <w:sz w:val="22"/>
              </w:rPr>
              <w:t xml:space="preserve"> меблів, технічних засобів та обладнання для  кабінетів,  спортивних залів, актової зали, кабінетів технології, комп'ютерних кабінетів, бібліотеки, ресурсної кімнати, медичного кабінету.</w:t>
            </w:r>
            <w:r w:rsidRPr="007E0AF4">
              <w:rPr>
                <w:color w:val="000000"/>
                <w:sz w:val="22"/>
              </w:rPr>
              <w:br/>
              <w:t xml:space="preserve">6. </w:t>
            </w:r>
            <w:r w:rsidR="003942F6" w:rsidRPr="007E0AF4">
              <w:rPr>
                <w:color w:val="000000"/>
                <w:sz w:val="22"/>
              </w:rPr>
              <w:t xml:space="preserve"> Закупівля </w:t>
            </w:r>
            <w:r w:rsidRPr="007E0AF4">
              <w:rPr>
                <w:color w:val="000000"/>
                <w:sz w:val="22"/>
              </w:rPr>
              <w:t xml:space="preserve"> енергозберігаючого сучасного обладнання  для приготування, зберігання та подачі харчових продуктів, а також систем контролю температури, гігієни та безпеки для харчоблоку.</w:t>
            </w:r>
            <w:r w:rsidRPr="007E0AF4">
              <w:rPr>
                <w:color w:val="000000"/>
                <w:sz w:val="22"/>
              </w:rPr>
              <w:br/>
              <w:t xml:space="preserve">7. </w:t>
            </w:r>
            <w:r w:rsidR="003942F6" w:rsidRPr="007E0AF4">
              <w:rPr>
                <w:color w:val="000000"/>
                <w:sz w:val="22"/>
              </w:rPr>
              <w:t xml:space="preserve"> Закупівля </w:t>
            </w:r>
            <w:r w:rsidRPr="007E0AF4">
              <w:rPr>
                <w:color w:val="000000"/>
                <w:sz w:val="22"/>
              </w:rPr>
              <w:t xml:space="preserve"> сучасних меблів для оснащення обідньої зали.</w:t>
            </w:r>
            <w:r w:rsidRPr="007E0AF4">
              <w:rPr>
                <w:color w:val="000000"/>
                <w:sz w:val="22"/>
              </w:rPr>
              <w:br/>
              <w:t>8.</w:t>
            </w:r>
            <w:r w:rsidRPr="007E0AF4">
              <w:rPr>
                <w:color w:val="C00000"/>
                <w:sz w:val="22"/>
              </w:rPr>
              <w:t xml:space="preserve"> </w:t>
            </w:r>
            <w:r w:rsidRPr="007E0AF4">
              <w:rPr>
                <w:sz w:val="22"/>
              </w:rPr>
              <w:t>Організація та початок роботи освітнього закладу.</w:t>
            </w:r>
          </w:p>
        </w:tc>
      </w:tr>
      <w:tr w:rsidR="007B055E" w:rsidRPr="007E0AF4" w:rsidTr="007B055E">
        <w:trPr>
          <w:trHeight w:val="840"/>
        </w:trPr>
        <w:tc>
          <w:tcPr>
            <w:tcW w:w="3007" w:type="dxa"/>
            <w:vMerge w:val="restart"/>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rFonts w:eastAsia="Calibri"/>
                <w:b/>
                <w:color w:val="000000"/>
                <w:sz w:val="22"/>
              </w:rPr>
              <w:lastRenderedPageBreak/>
              <w:t>Орієнтовний обсяг та джерела фінансування,  тис. гривень</w:t>
            </w:r>
          </w:p>
        </w:tc>
        <w:tc>
          <w:tcPr>
            <w:tcW w:w="1418" w:type="dxa"/>
          </w:tcPr>
          <w:p w:rsidR="007B055E" w:rsidRPr="007E0AF4" w:rsidRDefault="007B055E" w:rsidP="007B055E">
            <w:pPr>
              <w:autoSpaceDE w:val="0"/>
              <w:autoSpaceDN w:val="0"/>
              <w:adjustRightInd w:val="0"/>
              <w:jc w:val="center"/>
              <w:rPr>
                <w:rFonts w:eastAsia="Calibri"/>
                <w:b/>
                <w:color w:val="000000"/>
                <w:sz w:val="22"/>
              </w:rPr>
            </w:pPr>
            <w:r w:rsidRPr="007E0AF4">
              <w:rPr>
                <w:rFonts w:eastAsia="Calibri"/>
                <w:b/>
                <w:color w:val="000000"/>
                <w:sz w:val="22"/>
              </w:rPr>
              <w:t>Державний бюджет</w:t>
            </w:r>
          </w:p>
        </w:tc>
        <w:tc>
          <w:tcPr>
            <w:tcW w:w="1417" w:type="dxa"/>
          </w:tcPr>
          <w:p w:rsidR="007B055E" w:rsidRPr="007E0AF4" w:rsidRDefault="007B055E" w:rsidP="007B055E">
            <w:pPr>
              <w:autoSpaceDE w:val="0"/>
              <w:autoSpaceDN w:val="0"/>
              <w:adjustRightInd w:val="0"/>
              <w:jc w:val="center"/>
              <w:rPr>
                <w:rFonts w:eastAsia="Calibri"/>
                <w:b/>
                <w:color w:val="000000"/>
                <w:sz w:val="22"/>
              </w:rPr>
            </w:pPr>
            <w:r w:rsidRPr="007E0AF4">
              <w:rPr>
                <w:rFonts w:eastAsia="Calibri"/>
                <w:b/>
                <w:color w:val="000000"/>
                <w:sz w:val="22"/>
              </w:rPr>
              <w:t>Місцевий бюджет</w:t>
            </w:r>
          </w:p>
        </w:tc>
        <w:tc>
          <w:tcPr>
            <w:tcW w:w="2946" w:type="dxa"/>
            <w:gridSpan w:val="4"/>
          </w:tcPr>
          <w:p w:rsidR="007B055E" w:rsidRPr="007E0AF4" w:rsidRDefault="007B055E" w:rsidP="007B055E">
            <w:pPr>
              <w:autoSpaceDE w:val="0"/>
              <w:autoSpaceDN w:val="0"/>
              <w:adjustRightInd w:val="0"/>
              <w:jc w:val="center"/>
              <w:rPr>
                <w:rFonts w:eastAsia="Calibri"/>
                <w:b/>
                <w:color w:val="000000"/>
                <w:sz w:val="22"/>
              </w:rPr>
            </w:pPr>
            <w:r w:rsidRPr="007E0AF4">
              <w:rPr>
                <w:rFonts w:eastAsia="Calibri"/>
                <w:b/>
                <w:color w:val="000000"/>
                <w:sz w:val="22"/>
              </w:rPr>
              <w:t>Інші джерела</w:t>
            </w:r>
          </w:p>
        </w:tc>
        <w:tc>
          <w:tcPr>
            <w:tcW w:w="1165" w:type="dxa"/>
          </w:tcPr>
          <w:p w:rsidR="007B055E" w:rsidRPr="007E0AF4" w:rsidRDefault="007B055E" w:rsidP="007B055E">
            <w:pPr>
              <w:autoSpaceDE w:val="0"/>
              <w:autoSpaceDN w:val="0"/>
              <w:adjustRightInd w:val="0"/>
              <w:jc w:val="center"/>
              <w:rPr>
                <w:rFonts w:eastAsia="Calibri"/>
                <w:b/>
                <w:color w:val="000000"/>
                <w:sz w:val="22"/>
              </w:rPr>
            </w:pPr>
            <w:r w:rsidRPr="007E0AF4">
              <w:rPr>
                <w:rFonts w:eastAsia="Calibri"/>
                <w:b/>
                <w:color w:val="000000"/>
                <w:sz w:val="22"/>
              </w:rPr>
              <w:t>Всього</w:t>
            </w:r>
          </w:p>
        </w:tc>
      </w:tr>
      <w:tr w:rsidR="007B055E" w:rsidRPr="007E0AF4" w:rsidTr="007B055E">
        <w:trPr>
          <w:trHeight w:val="420"/>
        </w:trPr>
        <w:tc>
          <w:tcPr>
            <w:tcW w:w="3007" w:type="dxa"/>
            <w:vMerge/>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p>
        </w:tc>
        <w:tc>
          <w:tcPr>
            <w:tcW w:w="1418" w:type="dxa"/>
            <w:vMerge w:val="restart"/>
          </w:tcPr>
          <w:p w:rsidR="007B055E" w:rsidRPr="007E0AF4" w:rsidRDefault="007B055E" w:rsidP="007B055E">
            <w:pPr>
              <w:autoSpaceDE w:val="0"/>
              <w:autoSpaceDN w:val="0"/>
              <w:adjustRightInd w:val="0"/>
              <w:jc w:val="center"/>
              <w:rPr>
                <w:rFonts w:eastAsia="Calibri"/>
                <w:color w:val="000000"/>
                <w:sz w:val="22"/>
              </w:rPr>
            </w:pPr>
            <w:r w:rsidRPr="007E0AF4">
              <w:rPr>
                <w:rFonts w:eastAsia="Calibri"/>
                <w:color w:val="000000"/>
                <w:sz w:val="22"/>
              </w:rPr>
              <w:t>20615,7</w:t>
            </w:r>
          </w:p>
        </w:tc>
        <w:tc>
          <w:tcPr>
            <w:tcW w:w="1417" w:type="dxa"/>
            <w:vMerge w:val="restart"/>
          </w:tcPr>
          <w:p w:rsidR="007B055E" w:rsidRPr="007E0AF4" w:rsidRDefault="007B055E" w:rsidP="007B055E">
            <w:pPr>
              <w:autoSpaceDE w:val="0"/>
              <w:autoSpaceDN w:val="0"/>
              <w:adjustRightInd w:val="0"/>
              <w:jc w:val="center"/>
              <w:rPr>
                <w:rFonts w:eastAsia="Calibri"/>
                <w:b/>
                <w:color w:val="000000"/>
                <w:sz w:val="22"/>
              </w:rPr>
            </w:pPr>
          </w:p>
        </w:tc>
        <w:tc>
          <w:tcPr>
            <w:tcW w:w="992" w:type="dxa"/>
          </w:tcPr>
          <w:p w:rsidR="007B055E" w:rsidRPr="007E0AF4" w:rsidRDefault="007B055E" w:rsidP="007B055E">
            <w:pPr>
              <w:autoSpaceDE w:val="0"/>
              <w:autoSpaceDN w:val="0"/>
              <w:adjustRightInd w:val="0"/>
              <w:jc w:val="center"/>
              <w:rPr>
                <w:rFonts w:eastAsia="Calibri"/>
                <w:b/>
                <w:color w:val="000000"/>
                <w:sz w:val="22"/>
              </w:rPr>
            </w:pPr>
            <w:r w:rsidRPr="007E0AF4">
              <w:rPr>
                <w:rFonts w:eastAsia="Calibri"/>
                <w:b/>
                <w:color w:val="000000"/>
                <w:sz w:val="22"/>
              </w:rPr>
              <w:t>Обсяг</w:t>
            </w:r>
          </w:p>
        </w:tc>
        <w:tc>
          <w:tcPr>
            <w:tcW w:w="1954" w:type="dxa"/>
            <w:gridSpan w:val="3"/>
          </w:tcPr>
          <w:p w:rsidR="007B055E" w:rsidRPr="007E0AF4" w:rsidRDefault="007B055E" w:rsidP="007B055E">
            <w:pPr>
              <w:autoSpaceDE w:val="0"/>
              <w:autoSpaceDN w:val="0"/>
              <w:adjustRightInd w:val="0"/>
              <w:jc w:val="center"/>
              <w:rPr>
                <w:rFonts w:eastAsia="Calibri"/>
                <w:b/>
                <w:color w:val="000000"/>
                <w:sz w:val="22"/>
              </w:rPr>
            </w:pPr>
            <w:r w:rsidRPr="007E0AF4">
              <w:rPr>
                <w:rFonts w:eastAsia="Calibri"/>
                <w:b/>
                <w:color w:val="000000"/>
                <w:sz w:val="22"/>
              </w:rPr>
              <w:t>Назва джерела</w:t>
            </w:r>
          </w:p>
        </w:tc>
        <w:tc>
          <w:tcPr>
            <w:tcW w:w="1165" w:type="dxa"/>
            <w:vMerge w:val="restart"/>
          </w:tcPr>
          <w:p w:rsidR="007B055E" w:rsidRPr="007E0AF4" w:rsidRDefault="007B055E" w:rsidP="007B055E">
            <w:pPr>
              <w:autoSpaceDE w:val="0"/>
              <w:autoSpaceDN w:val="0"/>
              <w:adjustRightInd w:val="0"/>
              <w:jc w:val="center"/>
              <w:rPr>
                <w:rFonts w:eastAsia="Calibri"/>
                <w:b/>
                <w:color w:val="000000"/>
                <w:sz w:val="22"/>
              </w:rPr>
            </w:pPr>
            <w:r w:rsidRPr="007E0AF4">
              <w:rPr>
                <w:rFonts w:eastAsia="Calibri"/>
                <w:color w:val="000000"/>
                <w:sz w:val="22"/>
              </w:rPr>
              <w:t>29451,0</w:t>
            </w:r>
          </w:p>
        </w:tc>
      </w:tr>
      <w:tr w:rsidR="007B055E" w:rsidRPr="007E0AF4" w:rsidTr="007B055E">
        <w:trPr>
          <w:trHeight w:val="420"/>
        </w:trPr>
        <w:tc>
          <w:tcPr>
            <w:tcW w:w="3007" w:type="dxa"/>
            <w:vMerge/>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p>
        </w:tc>
        <w:tc>
          <w:tcPr>
            <w:tcW w:w="1418" w:type="dxa"/>
            <w:vMerge/>
          </w:tcPr>
          <w:p w:rsidR="007B055E" w:rsidRPr="007E0AF4" w:rsidRDefault="007B055E" w:rsidP="007B055E">
            <w:pPr>
              <w:autoSpaceDE w:val="0"/>
              <w:autoSpaceDN w:val="0"/>
              <w:adjustRightInd w:val="0"/>
              <w:rPr>
                <w:rFonts w:eastAsia="Calibri"/>
                <w:color w:val="000000"/>
                <w:sz w:val="22"/>
              </w:rPr>
            </w:pPr>
          </w:p>
        </w:tc>
        <w:tc>
          <w:tcPr>
            <w:tcW w:w="1417" w:type="dxa"/>
            <w:vMerge/>
          </w:tcPr>
          <w:p w:rsidR="007B055E" w:rsidRPr="007E0AF4" w:rsidRDefault="007B055E" w:rsidP="007B055E">
            <w:pPr>
              <w:autoSpaceDE w:val="0"/>
              <w:autoSpaceDN w:val="0"/>
              <w:adjustRightInd w:val="0"/>
              <w:rPr>
                <w:rFonts w:eastAsia="Calibri"/>
                <w:color w:val="000000"/>
                <w:sz w:val="22"/>
              </w:rPr>
            </w:pPr>
          </w:p>
        </w:tc>
        <w:tc>
          <w:tcPr>
            <w:tcW w:w="992" w:type="dxa"/>
          </w:tcPr>
          <w:p w:rsidR="007B055E" w:rsidRPr="007E0AF4" w:rsidRDefault="007B055E" w:rsidP="007B055E">
            <w:pPr>
              <w:autoSpaceDE w:val="0"/>
              <w:autoSpaceDN w:val="0"/>
              <w:adjustRightInd w:val="0"/>
              <w:rPr>
                <w:rFonts w:eastAsia="Calibri"/>
                <w:color w:val="000000"/>
                <w:sz w:val="22"/>
              </w:rPr>
            </w:pPr>
            <w:r w:rsidRPr="007E0AF4">
              <w:rPr>
                <w:rFonts w:eastAsia="Calibri"/>
                <w:color w:val="000000"/>
                <w:sz w:val="22"/>
              </w:rPr>
              <w:t>8835,3</w:t>
            </w:r>
          </w:p>
        </w:tc>
        <w:tc>
          <w:tcPr>
            <w:tcW w:w="1954" w:type="dxa"/>
            <w:gridSpan w:val="3"/>
          </w:tcPr>
          <w:p w:rsidR="007B055E" w:rsidRPr="007E0AF4" w:rsidRDefault="007B055E" w:rsidP="007B055E">
            <w:pPr>
              <w:autoSpaceDE w:val="0"/>
              <w:autoSpaceDN w:val="0"/>
              <w:adjustRightInd w:val="0"/>
              <w:rPr>
                <w:rFonts w:eastAsia="Calibri"/>
                <w:color w:val="000000"/>
                <w:sz w:val="22"/>
              </w:rPr>
            </w:pPr>
            <w:r w:rsidRPr="007E0AF4">
              <w:rPr>
                <w:rFonts w:eastAsia="Calibri"/>
                <w:color w:val="000000"/>
                <w:sz w:val="22"/>
              </w:rPr>
              <w:t>Міжнародні інвестиції, кошти приватних осіб</w:t>
            </w:r>
          </w:p>
        </w:tc>
        <w:tc>
          <w:tcPr>
            <w:tcW w:w="1165" w:type="dxa"/>
            <w:vMerge/>
          </w:tcPr>
          <w:p w:rsidR="007B055E" w:rsidRPr="007E0AF4" w:rsidRDefault="007B055E" w:rsidP="007B055E">
            <w:pPr>
              <w:autoSpaceDE w:val="0"/>
              <w:autoSpaceDN w:val="0"/>
              <w:adjustRightInd w:val="0"/>
              <w:rPr>
                <w:rFonts w:eastAsia="Calibri"/>
                <w:color w:val="000000"/>
                <w:sz w:val="22"/>
              </w:rPr>
            </w:pPr>
          </w:p>
        </w:tc>
      </w:tr>
    </w:tbl>
    <w:p w:rsidR="007B055E" w:rsidRPr="007E0AF4" w:rsidRDefault="007B055E" w:rsidP="00E95FB1">
      <w:pPr>
        <w:rPr>
          <w:sz w:val="22"/>
        </w:rPr>
      </w:pPr>
    </w:p>
    <w:p w:rsidR="007B055E" w:rsidRPr="007E0AF4" w:rsidRDefault="007B055E" w:rsidP="00E95FB1">
      <w:pPr>
        <w:rPr>
          <w:sz w:val="22"/>
          <w:lang w:val="ru-RU"/>
        </w:rPr>
      </w:pPr>
    </w:p>
    <w:tbl>
      <w:tblPr>
        <w:tblpPr w:leftFromText="180" w:rightFromText="180" w:vertAnchor="text" w:horzAnchor="page" w:tblpX="1375" w:tblpY="143"/>
        <w:tblW w:w="9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007"/>
        <w:gridCol w:w="1701"/>
        <w:gridCol w:w="1418"/>
        <w:gridCol w:w="678"/>
        <w:gridCol w:w="597"/>
        <w:gridCol w:w="962"/>
        <w:gridCol w:w="425"/>
        <w:gridCol w:w="1165"/>
      </w:tblGrid>
      <w:tr w:rsidR="007B055E" w:rsidRPr="007E0AF4" w:rsidTr="007B055E">
        <w:trPr>
          <w:trHeight w:val="555"/>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b/>
                <w:sz w:val="22"/>
              </w:rPr>
              <w:t>Оперативна ціль/завдання</w:t>
            </w:r>
          </w:p>
        </w:tc>
        <w:tc>
          <w:tcPr>
            <w:tcW w:w="6946" w:type="dxa"/>
            <w:gridSpan w:val="7"/>
            <w:tcBorders>
              <w:top w:val="single" w:sz="4" w:space="0" w:color="000000"/>
              <w:left w:val="nil"/>
              <w:bottom w:val="single" w:sz="4" w:space="0" w:color="000000"/>
              <w:right w:val="single" w:sz="4" w:space="0" w:color="000000"/>
            </w:tcBorders>
            <w:shd w:val="clear" w:color="auto" w:fill="auto"/>
          </w:tcPr>
          <w:p w:rsidR="007B055E" w:rsidRPr="007E0AF4" w:rsidRDefault="007B055E" w:rsidP="007B055E">
            <w:pPr>
              <w:autoSpaceDE w:val="0"/>
              <w:autoSpaceDN w:val="0"/>
              <w:adjustRightInd w:val="0"/>
              <w:rPr>
                <w:rFonts w:eastAsia="Calibri"/>
                <w:color w:val="000000"/>
                <w:sz w:val="22"/>
              </w:rPr>
            </w:pPr>
            <w:r w:rsidRPr="007E0AF4">
              <w:rPr>
                <w:color w:val="000000"/>
                <w:sz w:val="22"/>
              </w:rPr>
              <w:t xml:space="preserve">Людський розвиток через інновації управління та довіру до влади. Формування сучасного інклюзивного  </w:t>
            </w:r>
            <w:proofErr w:type="spellStart"/>
            <w:r w:rsidRPr="007E0AF4">
              <w:rPr>
                <w:color w:val="000000"/>
                <w:sz w:val="22"/>
              </w:rPr>
              <w:t>освітньо</w:t>
            </w:r>
            <w:proofErr w:type="spellEnd"/>
            <w:r w:rsidRPr="007E0AF4">
              <w:rPr>
                <w:color w:val="000000"/>
                <w:sz w:val="22"/>
              </w:rPr>
              <w:t>-культурного та спортивного простору для розвитку.</w:t>
            </w:r>
          </w:p>
        </w:tc>
      </w:tr>
      <w:tr w:rsidR="007B055E" w:rsidRPr="007E0AF4" w:rsidTr="007B055E">
        <w:trPr>
          <w:trHeight w:val="691"/>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b/>
                <w:sz w:val="22"/>
              </w:rPr>
              <w:t xml:space="preserve">Назва </w:t>
            </w:r>
            <w:proofErr w:type="spellStart"/>
            <w:r w:rsidRPr="007E0AF4">
              <w:rPr>
                <w:b/>
                <w:sz w:val="22"/>
              </w:rPr>
              <w:t>проєкту</w:t>
            </w:r>
            <w:proofErr w:type="spellEnd"/>
            <w:r w:rsidRPr="007E0AF4">
              <w:rPr>
                <w:b/>
                <w:sz w:val="22"/>
              </w:rPr>
              <w:t>:</w:t>
            </w:r>
          </w:p>
        </w:tc>
        <w:tc>
          <w:tcPr>
            <w:tcW w:w="6946" w:type="dxa"/>
            <w:gridSpan w:val="7"/>
            <w:tcBorders>
              <w:top w:val="single" w:sz="4" w:space="0" w:color="000000"/>
              <w:left w:val="nil"/>
              <w:bottom w:val="single" w:sz="4" w:space="0" w:color="000000"/>
              <w:right w:val="single" w:sz="4" w:space="0" w:color="000000"/>
            </w:tcBorders>
            <w:shd w:val="clear" w:color="auto" w:fill="auto"/>
          </w:tcPr>
          <w:p w:rsidR="007B055E" w:rsidRPr="007E0AF4" w:rsidRDefault="007B055E" w:rsidP="007B055E">
            <w:pPr>
              <w:autoSpaceDE w:val="0"/>
              <w:autoSpaceDN w:val="0"/>
              <w:adjustRightInd w:val="0"/>
              <w:rPr>
                <w:rFonts w:eastAsia="Calibri"/>
                <w:color w:val="000000"/>
                <w:sz w:val="22"/>
              </w:rPr>
            </w:pPr>
            <w:r w:rsidRPr="007E0AF4">
              <w:rPr>
                <w:sz w:val="22"/>
              </w:rPr>
              <w:t>Капітальний ремонт будівлі  Сєвєродонецької загальноосвітньої  школи І-ІІІ ступенів № 14 Сєвєродонецької міської ради Луганської області, вул. Гагаріна, буд.111</w:t>
            </w:r>
          </w:p>
        </w:tc>
      </w:tr>
      <w:tr w:rsidR="007B055E" w:rsidRPr="007E0AF4" w:rsidTr="007B055E">
        <w:trPr>
          <w:trHeight w:val="1109"/>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rFonts w:eastAsia="Calibri"/>
                <w:b/>
                <w:color w:val="000000"/>
                <w:sz w:val="22"/>
              </w:rPr>
              <w:t xml:space="preserve">Ціль </w:t>
            </w:r>
            <w:proofErr w:type="spellStart"/>
            <w:r w:rsidRPr="007E0AF4">
              <w:rPr>
                <w:rFonts w:eastAsia="Calibri"/>
                <w:b/>
                <w:color w:val="000000"/>
                <w:sz w:val="22"/>
              </w:rPr>
              <w:t>проєкту</w:t>
            </w:r>
            <w:proofErr w:type="spellEnd"/>
          </w:p>
        </w:tc>
        <w:tc>
          <w:tcPr>
            <w:tcW w:w="6946" w:type="dxa"/>
            <w:gridSpan w:val="7"/>
            <w:tcBorders>
              <w:top w:val="single" w:sz="4" w:space="0" w:color="000000"/>
              <w:left w:val="single" w:sz="4" w:space="0" w:color="000000"/>
              <w:bottom w:val="single" w:sz="4" w:space="0" w:color="000000"/>
              <w:right w:val="single" w:sz="4" w:space="0" w:color="000000"/>
            </w:tcBorders>
            <w:shd w:val="clear" w:color="auto" w:fill="auto"/>
          </w:tcPr>
          <w:p w:rsidR="007B055E" w:rsidRPr="007E0AF4" w:rsidRDefault="007B055E" w:rsidP="007B055E">
            <w:pPr>
              <w:autoSpaceDE w:val="0"/>
              <w:autoSpaceDN w:val="0"/>
              <w:adjustRightInd w:val="0"/>
              <w:rPr>
                <w:color w:val="000000"/>
                <w:sz w:val="22"/>
              </w:rPr>
            </w:pPr>
            <w:r w:rsidRPr="007E0AF4">
              <w:rPr>
                <w:color w:val="000000"/>
                <w:sz w:val="22"/>
              </w:rPr>
              <w:t xml:space="preserve">    Відновлення та покращення роботи освітнього закладу для задоволення освітніх потреб мешканців Сєвєродонецької міської територіальної громади.</w:t>
            </w:r>
          </w:p>
          <w:p w:rsidR="007B055E" w:rsidRPr="007E0AF4" w:rsidRDefault="007B055E" w:rsidP="007B055E">
            <w:pPr>
              <w:autoSpaceDE w:val="0"/>
              <w:autoSpaceDN w:val="0"/>
              <w:adjustRightInd w:val="0"/>
              <w:rPr>
                <w:color w:val="000000"/>
                <w:sz w:val="22"/>
              </w:rPr>
            </w:pPr>
            <w:r w:rsidRPr="007E0AF4">
              <w:rPr>
                <w:color w:val="000000"/>
                <w:sz w:val="22"/>
              </w:rPr>
              <w:t xml:space="preserve">    Формування інноваційного освітнього простору, створення безпечних та комфортних умов для всіх учасників освітнього процесу; підвищення енергоефективності будівлі.      </w:t>
            </w:r>
          </w:p>
          <w:p w:rsidR="007B055E" w:rsidRPr="007E0AF4" w:rsidRDefault="007B055E" w:rsidP="007B055E">
            <w:pPr>
              <w:autoSpaceDE w:val="0"/>
              <w:autoSpaceDN w:val="0"/>
              <w:adjustRightInd w:val="0"/>
              <w:rPr>
                <w:color w:val="000000"/>
                <w:sz w:val="22"/>
              </w:rPr>
            </w:pPr>
            <w:r w:rsidRPr="007E0AF4">
              <w:rPr>
                <w:color w:val="000000"/>
                <w:sz w:val="22"/>
              </w:rPr>
              <w:t xml:space="preserve">    Здійснення капітального  ремонту будівлі школи: відновлення пошкоджених внаслідок збройної агресії РФ  зовнішніх та внутрішніх стін, плит перекриття будівлі,  покрівлі даху школи, сходів, цоколю школи, пандусу для осіб з інвалідністю;   системи опалення та вентиляційної системи; системи водопостачання  та водовідведення з  встановленням нових систем фільтрації та очищення води; відновлення системи електропостачання з використанням системи сонячних </w:t>
            </w:r>
            <w:proofErr w:type="spellStart"/>
            <w:r w:rsidRPr="007E0AF4">
              <w:rPr>
                <w:color w:val="000000"/>
                <w:sz w:val="22"/>
              </w:rPr>
              <w:t>батарей</w:t>
            </w:r>
            <w:proofErr w:type="spellEnd"/>
            <w:r w:rsidRPr="007E0AF4">
              <w:rPr>
                <w:color w:val="000000"/>
                <w:sz w:val="22"/>
              </w:rPr>
              <w:t xml:space="preserve">; заміна вікон на енергозберігаючі.   </w:t>
            </w:r>
          </w:p>
          <w:p w:rsidR="007B055E" w:rsidRPr="007E0AF4" w:rsidRDefault="007B055E" w:rsidP="007B055E">
            <w:pPr>
              <w:autoSpaceDE w:val="0"/>
              <w:autoSpaceDN w:val="0"/>
              <w:adjustRightInd w:val="0"/>
              <w:rPr>
                <w:color w:val="000000"/>
                <w:sz w:val="22"/>
              </w:rPr>
            </w:pPr>
            <w:r w:rsidRPr="007E0AF4">
              <w:rPr>
                <w:color w:val="000000"/>
                <w:sz w:val="22"/>
              </w:rPr>
              <w:t xml:space="preserve">     Проведення  ремонту внутрішніх приміщень. Встановлення протипожежної системи та системи відеоспостереження.   </w:t>
            </w:r>
          </w:p>
        </w:tc>
      </w:tr>
      <w:tr w:rsidR="007B055E" w:rsidRPr="007E0AF4" w:rsidTr="007B055E">
        <w:trPr>
          <w:trHeight w:val="290"/>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rFonts w:eastAsia="Calibri"/>
                <w:b/>
                <w:color w:val="000000"/>
                <w:sz w:val="22"/>
              </w:rPr>
              <w:t xml:space="preserve">Територія, на яку матиме вплив реалізація </w:t>
            </w:r>
            <w:proofErr w:type="spellStart"/>
            <w:r w:rsidRPr="007E0AF4">
              <w:rPr>
                <w:rFonts w:eastAsia="Calibri"/>
                <w:b/>
                <w:color w:val="000000"/>
                <w:sz w:val="22"/>
              </w:rPr>
              <w:t>проєкту</w:t>
            </w:r>
            <w:proofErr w:type="spellEnd"/>
          </w:p>
        </w:tc>
        <w:tc>
          <w:tcPr>
            <w:tcW w:w="6946" w:type="dxa"/>
            <w:gridSpan w:val="7"/>
            <w:tcBorders>
              <w:top w:val="single" w:sz="4" w:space="0" w:color="000000"/>
              <w:left w:val="nil"/>
              <w:bottom w:val="single" w:sz="4" w:space="0" w:color="000000"/>
              <w:right w:val="single" w:sz="4" w:space="0" w:color="000000"/>
            </w:tcBorders>
            <w:shd w:val="clear" w:color="auto" w:fill="auto"/>
            <w:vAlign w:val="bottom"/>
          </w:tcPr>
          <w:p w:rsidR="007B055E" w:rsidRPr="007E0AF4" w:rsidRDefault="007B055E" w:rsidP="007B055E">
            <w:pPr>
              <w:autoSpaceDE w:val="0"/>
              <w:autoSpaceDN w:val="0"/>
              <w:adjustRightInd w:val="0"/>
              <w:rPr>
                <w:rFonts w:eastAsia="Calibri"/>
                <w:color w:val="000000"/>
                <w:sz w:val="22"/>
              </w:rPr>
            </w:pPr>
            <w:r w:rsidRPr="007E0AF4">
              <w:rPr>
                <w:color w:val="000000"/>
                <w:sz w:val="22"/>
              </w:rPr>
              <w:t>Сєвєродонецька міська територіальна громада</w:t>
            </w:r>
          </w:p>
        </w:tc>
      </w:tr>
      <w:tr w:rsidR="007B055E" w:rsidRPr="007E0AF4" w:rsidTr="007B055E">
        <w:trPr>
          <w:trHeight w:val="606"/>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rFonts w:eastAsia="Calibri"/>
                <w:b/>
                <w:color w:val="000000"/>
                <w:sz w:val="22"/>
              </w:rPr>
              <w:t xml:space="preserve">Чисельність населення, на яке матиме вплив реалізація </w:t>
            </w:r>
            <w:proofErr w:type="spellStart"/>
            <w:r w:rsidRPr="007E0AF4">
              <w:rPr>
                <w:rFonts w:eastAsia="Calibri"/>
                <w:b/>
                <w:color w:val="000000"/>
                <w:sz w:val="22"/>
              </w:rPr>
              <w:t>проєкту</w:t>
            </w:r>
            <w:proofErr w:type="spellEnd"/>
          </w:p>
        </w:tc>
        <w:tc>
          <w:tcPr>
            <w:tcW w:w="6946" w:type="dxa"/>
            <w:gridSpan w:val="7"/>
            <w:tcBorders>
              <w:top w:val="single" w:sz="4" w:space="0" w:color="000000"/>
              <w:left w:val="nil"/>
              <w:bottom w:val="single" w:sz="4" w:space="0" w:color="000000"/>
              <w:right w:val="single" w:sz="4" w:space="0" w:color="000000"/>
            </w:tcBorders>
            <w:shd w:val="clear" w:color="auto" w:fill="auto"/>
            <w:vAlign w:val="bottom"/>
          </w:tcPr>
          <w:p w:rsidR="007B055E" w:rsidRPr="007E0AF4" w:rsidRDefault="007B055E" w:rsidP="007B055E">
            <w:pPr>
              <w:autoSpaceDE w:val="0"/>
              <w:autoSpaceDN w:val="0"/>
              <w:adjustRightInd w:val="0"/>
              <w:rPr>
                <w:rFonts w:eastAsia="Calibri"/>
                <w:color w:val="000000"/>
                <w:sz w:val="22"/>
              </w:rPr>
            </w:pPr>
            <w:r w:rsidRPr="007E0AF4">
              <w:rPr>
                <w:color w:val="000000"/>
                <w:sz w:val="22"/>
              </w:rPr>
              <w:t>70 000 осіб</w:t>
            </w:r>
          </w:p>
        </w:tc>
      </w:tr>
      <w:tr w:rsidR="007B055E" w:rsidRPr="007E0AF4" w:rsidTr="007B055E">
        <w:trPr>
          <w:trHeight w:val="415"/>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rFonts w:eastAsia="Calibri"/>
                <w:b/>
                <w:color w:val="000000"/>
                <w:sz w:val="22"/>
              </w:rPr>
              <w:t xml:space="preserve">Опис проблеми, на вирішення якої спрямований </w:t>
            </w:r>
            <w:proofErr w:type="spellStart"/>
            <w:r w:rsidRPr="007E0AF4">
              <w:rPr>
                <w:rFonts w:eastAsia="Calibri"/>
                <w:b/>
                <w:color w:val="000000"/>
                <w:sz w:val="22"/>
              </w:rPr>
              <w:t>проєкт</w:t>
            </w:r>
            <w:proofErr w:type="spellEnd"/>
          </w:p>
        </w:tc>
        <w:tc>
          <w:tcPr>
            <w:tcW w:w="6946" w:type="dxa"/>
            <w:gridSpan w:val="7"/>
            <w:tcBorders>
              <w:top w:val="single" w:sz="4" w:space="0" w:color="000000"/>
              <w:left w:val="nil"/>
              <w:bottom w:val="single" w:sz="4" w:space="0" w:color="000000"/>
              <w:right w:val="single" w:sz="4" w:space="0" w:color="000000"/>
            </w:tcBorders>
            <w:shd w:val="clear" w:color="auto" w:fill="auto"/>
          </w:tcPr>
          <w:p w:rsidR="007B055E" w:rsidRPr="007E0AF4" w:rsidRDefault="007B055E" w:rsidP="007B055E">
            <w:pPr>
              <w:rPr>
                <w:sz w:val="22"/>
              </w:rPr>
            </w:pPr>
            <w:r w:rsidRPr="007E0AF4">
              <w:rPr>
                <w:sz w:val="22"/>
              </w:rPr>
              <w:t xml:space="preserve">    Через військову агресію РФ територія Сєвєродонецької міської територіальної громади зазнала значних пошкоджень.  Сєвєродонецька загальноосвітня школа І-ІІІ ступенів № 14 Сєвєродонецької міської ради Луганської області  також була пошкоджена, внаслідок чого відбулася руйнація інфраструктури та матеріально-технічної бази закладу, а саме: частково пошкоджено зовнішні та внутрішні стіни, плити перекриття будівлі,  покрівля даху школи, вентиляційна система, системи опалення, </w:t>
            </w:r>
            <w:r w:rsidRPr="007E0AF4">
              <w:rPr>
                <w:sz w:val="22"/>
              </w:rPr>
              <w:lastRenderedPageBreak/>
              <w:t xml:space="preserve">водопостачання, водовідведення та електропостачання, розбиті вікна та двері, пошкоджено внутрішні приміщення.   </w:t>
            </w:r>
          </w:p>
          <w:p w:rsidR="007B055E" w:rsidRPr="007E0AF4" w:rsidRDefault="007B055E" w:rsidP="007B055E">
            <w:pPr>
              <w:rPr>
                <w:sz w:val="22"/>
              </w:rPr>
            </w:pPr>
            <w:r w:rsidRPr="007E0AF4">
              <w:rPr>
                <w:sz w:val="22"/>
              </w:rPr>
              <w:t xml:space="preserve">    Для відбудови та сталого розвитку громади потрібне відновлення роботи освітнього закладу. При капітальному ремонті можна значно  підвищити  енергоефективність будівлі школи.  Знизити споживання енергії та зменшити негативний вплив  на навколишнє середовище допоможуть заходи: теплоізоляція стін, встановлення енергоефективних вікон та дверей, удосконалення  системи опалення та вентиляційної системи з урахуванням енергоефективності та комфорту приміщень, впровадження автономної системи електропостачання з використанням системи сонячних </w:t>
            </w:r>
            <w:proofErr w:type="spellStart"/>
            <w:r w:rsidRPr="007E0AF4">
              <w:rPr>
                <w:sz w:val="22"/>
              </w:rPr>
              <w:t>батарей</w:t>
            </w:r>
            <w:proofErr w:type="spellEnd"/>
            <w:r w:rsidRPr="007E0AF4">
              <w:rPr>
                <w:sz w:val="22"/>
              </w:rPr>
              <w:t xml:space="preserve">, встановлення сучасного енергозберігаючого, розумного освітлення.  </w:t>
            </w:r>
          </w:p>
          <w:p w:rsidR="007B055E" w:rsidRPr="007E0AF4" w:rsidRDefault="007B055E" w:rsidP="00BB7849">
            <w:pPr>
              <w:jc w:val="left"/>
              <w:rPr>
                <w:sz w:val="22"/>
              </w:rPr>
            </w:pPr>
            <w:r w:rsidRPr="007E0AF4">
              <w:rPr>
                <w:sz w:val="22"/>
              </w:rPr>
              <w:t xml:space="preserve">     При відновленні системи водопостачання та водовідведення необхідно встановити системи очищення води системою зворотного осмосу,  сенсорів та системи моніторингу, що дозволяють відстежувати якість води, рівень споживання  та виявляти проблеми. </w:t>
            </w:r>
            <w:r w:rsidRPr="007E0AF4">
              <w:rPr>
                <w:sz w:val="22"/>
              </w:rPr>
              <w:br/>
              <w:t xml:space="preserve">     Потребують  ремонту та відновлення  оздоблення  підлоги, стін, стелі внутрішніх приміщень школи, облаштування сантехнікою туалети та інші приміщення.  </w:t>
            </w:r>
            <w:r w:rsidRPr="007E0AF4">
              <w:rPr>
                <w:sz w:val="22"/>
              </w:rPr>
              <w:br/>
              <w:t xml:space="preserve">     Для створення сучасного інклюзивного освітнього простору необхідно відновити пандус, туалет для інвалідів та дітей з ООП,  адаптувати класні кімнати,  бібліотеку та інші приміщення школи для забезпечення </w:t>
            </w:r>
            <w:proofErr w:type="spellStart"/>
            <w:r w:rsidRPr="007E0AF4">
              <w:rPr>
                <w:sz w:val="22"/>
              </w:rPr>
              <w:t>безбар'єрного</w:t>
            </w:r>
            <w:proofErr w:type="spellEnd"/>
            <w:r w:rsidRPr="007E0AF4">
              <w:rPr>
                <w:sz w:val="22"/>
              </w:rPr>
              <w:t xml:space="preserve"> доступу.</w:t>
            </w:r>
            <w:r w:rsidRPr="007E0AF4">
              <w:rPr>
                <w:sz w:val="22"/>
              </w:rPr>
              <w:br/>
              <w:t xml:space="preserve">     Відповідно до сучасних норм пожежної безпеки приміщення школи необхідно  обладнати протипожежною системою. Для підвищення безпеки всіх учасників освітнього процесу в сучасних умовах у школі необхідно встановити систему </w:t>
            </w:r>
            <w:r w:rsidR="00BB7849" w:rsidRPr="007E0AF4">
              <w:rPr>
                <w:sz w:val="22"/>
              </w:rPr>
              <w:t>в</w:t>
            </w:r>
            <w:r w:rsidRPr="007E0AF4">
              <w:rPr>
                <w:sz w:val="22"/>
              </w:rPr>
              <w:t>ідеоспостереження.  Мешканці громади потребують отримання якісних  освітніх послуг, які відповідають нормам сучасності.</w:t>
            </w:r>
          </w:p>
        </w:tc>
      </w:tr>
      <w:tr w:rsidR="007B055E" w:rsidRPr="007E0AF4" w:rsidTr="007B055E">
        <w:trPr>
          <w:trHeight w:val="1265"/>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rFonts w:eastAsia="Calibri"/>
                <w:b/>
                <w:color w:val="000000"/>
                <w:sz w:val="22"/>
              </w:rPr>
              <w:lastRenderedPageBreak/>
              <w:t xml:space="preserve">Очікувані якісні результати від реалізації </w:t>
            </w:r>
            <w:proofErr w:type="spellStart"/>
            <w:r w:rsidRPr="007E0AF4">
              <w:rPr>
                <w:rFonts w:eastAsia="Calibri"/>
                <w:b/>
                <w:color w:val="000000"/>
                <w:sz w:val="22"/>
              </w:rPr>
              <w:t>проєкту</w:t>
            </w:r>
            <w:proofErr w:type="spellEnd"/>
          </w:p>
        </w:tc>
        <w:tc>
          <w:tcPr>
            <w:tcW w:w="6946" w:type="dxa"/>
            <w:gridSpan w:val="7"/>
            <w:tcBorders>
              <w:top w:val="single" w:sz="4" w:space="0" w:color="000000"/>
              <w:left w:val="nil"/>
              <w:bottom w:val="single" w:sz="4" w:space="0" w:color="000000"/>
              <w:right w:val="single" w:sz="4" w:space="0" w:color="000000"/>
            </w:tcBorders>
            <w:shd w:val="clear" w:color="auto" w:fill="auto"/>
          </w:tcPr>
          <w:p w:rsidR="007B055E" w:rsidRPr="007E0AF4" w:rsidRDefault="007B055E" w:rsidP="00841905">
            <w:pPr>
              <w:autoSpaceDE w:val="0"/>
              <w:autoSpaceDN w:val="0"/>
              <w:adjustRightInd w:val="0"/>
              <w:jc w:val="left"/>
              <w:rPr>
                <w:color w:val="000000"/>
                <w:sz w:val="22"/>
              </w:rPr>
            </w:pPr>
            <w:r w:rsidRPr="007E0AF4">
              <w:rPr>
                <w:color w:val="000000"/>
                <w:sz w:val="22"/>
              </w:rPr>
              <w:t>1.  Задоволення освітніх потреб населення для сталого розвитку громади.</w:t>
            </w:r>
          </w:p>
          <w:p w:rsidR="007B055E" w:rsidRPr="007E0AF4" w:rsidRDefault="007B055E" w:rsidP="00841905">
            <w:pPr>
              <w:autoSpaceDE w:val="0"/>
              <w:autoSpaceDN w:val="0"/>
              <w:adjustRightInd w:val="0"/>
              <w:jc w:val="left"/>
              <w:rPr>
                <w:color w:val="000000"/>
                <w:sz w:val="22"/>
              </w:rPr>
            </w:pPr>
            <w:r w:rsidRPr="007E0AF4">
              <w:rPr>
                <w:color w:val="000000"/>
                <w:sz w:val="22"/>
              </w:rPr>
              <w:t>2.  Створення сучасного освітнього простору, безпечних та комфортних умов для всіх учасників освітнього процесу, здійснення капітального ремонту будівлі та внутрішніх приміщень школи.</w:t>
            </w:r>
          </w:p>
          <w:p w:rsidR="007B055E" w:rsidRPr="007E0AF4" w:rsidRDefault="007B055E" w:rsidP="00841905">
            <w:pPr>
              <w:autoSpaceDE w:val="0"/>
              <w:autoSpaceDN w:val="0"/>
              <w:adjustRightInd w:val="0"/>
              <w:jc w:val="left"/>
              <w:rPr>
                <w:color w:val="000000"/>
                <w:sz w:val="22"/>
              </w:rPr>
            </w:pPr>
            <w:r w:rsidRPr="007E0AF4">
              <w:rPr>
                <w:color w:val="000000"/>
                <w:sz w:val="22"/>
              </w:rPr>
              <w:t>3.  Збереження робочих місць для вчителів і працівників школи.</w:t>
            </w:r>
          </w:p>
          <w:p w:rsidR="007B055E" w:rsidRPr="007E0AF4" w:rsidRDefault="007B055E" w:rsidP="007B055E">
            <w:pPr>
              <w:autoSpaceDE w:val="0"/>
              <w:autoSpaceDN w:val="0"/>
              <w:adjustRightInd w:val="0"/>
              <w:rPr>
                <w:color w:val="000000"/>
                <w:sz w:val="22"/>
              </w:rPr>
            </w:pPr>
            <w:r w:rsidRPr="007E0AF4">
              <w:rPr>
                <w:color w:val="000000"/>
                <w:sz w:val="22"/>
              </w:rPr>
              <w:t>4.  Стимул до повернення ВПО до громади.</w:t>
            </w:r>
          </w:p>
          <w:p w:rsidR="007B055E" w:rsidRPr="007E0AF4" w:rsidRDefault="007B055E" w:rsidP="00841905">
            <w:pPr>
              <w:autoSpaceDE w:val="0"/>
              <w:autoSpaceDN w:val="0"/>
              <w:adjustRightInd w:val="0"/>
              <w:jc w:val="left"/>
              <w:rPr>
                <w:color w:val="000000"/>
                <w:sz w:val="22"/>
              </w:rPr>
            </w:pPr>
            <w:r w:rsidRPr="007E0AF4">
              <w:rPr>
                <w:color w:val="000000"/>
                <w:sz w:val="22"/>
              </w:rPr>
              <w:t>5.  Забезпечення сучасною системою охорони та безпеки, встановлення протипожежної системи та системи відеоспостереження.</w:t>
            </w:r>
          </w:p>
          <w:p w:rsidR="007B055E" w:rsidRPr="007E0AF4" w:rsidRDefault="007B055E" w:rsidP="00841905">
            <w:pPr>
              <w:autoSpaceDE w:val="0"/>
              <w:autoSpaceDN w:val="0"/>
              <w:adjustRightInd w:val="0"/>
              <w:jc w:val="left"/>
              <w:rPr>
                <w:color w:val="000000"/>
                <w:sz w:val="22"/>
              </w:rPr>
            </w:pPr>
            <w:r w:rsidRPr="007E0AF4">
              <w:rPr>
                <w:color w:val="000000"/>
                <w:sz w:val="22"/>
              </w:rPr>
              <w:t>6. Створення умов у закладі освіти для соціального інтегрування осіб з особливими освітніми потребами.</w:t>
            </w:r>
          </w:p>
          <w:p w:rsidR="007B055E" w:rsidRPr="007E0AF4" w:rsidRDefault="007B055E" w:rsidP="00841905">
            <w:pPr>
              <w:autoSpaceDE w:val="0"/>
              <w:autoSpaceDN w:val="0"/>
              <w:adjustRightInd w:val="0"/>
              <w:jc w:val="left"/>
              <w:rPr>
                <w:rFonts w:eastAsia="Calibri"/>
                <w:color w:val="000000"/>
                <w:sz w:val="22"/>
              </w:rPr>
            </w:pPr>
            <w:r w:rsidRPr="007E0AF4">
              <w:rPr>
                <w:color w:val="000000"/>
                <w:sz w:val="22"/>
              </w:rPr>
              <w:t>7. Енергозбереження та екологічна сталість.</w:t>
            </w:r>
          </w:p>
        </w:tc>
      </w:tr>
      <w:tr w:rsidR="007B055E" w:rsidRPr="007E0AF4" w:rsidTr="007B055E">
        <w:trPr>
          <w:trHeight w:val="624"/>
        </w:trPr>
        <w:tc>
          <w:tcPr>
            <w:tcW w:w="3007" w:type="dxa"/>
            <w:vMerge w:val="restart"/>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rFonts w:eastAsia="Calibri"/>
                <w:b/>
                <w:color w:val="000000"/>
                <w:sz w:val="22"/>
              </w:rPr>
              <w:t xml:space="preserve">Очікувані кількісні результати від реалізації </w:t>
            </w:r>
            <w:proofErr w:type="spellStart"/>
            <w:r w:rsidRPr="007E0AF4">
              <w:rPr>
                <w:rFonts w:eastAsia="Calibri"/>
                <w:b/>
                <w:color w:val="000000"/>
                <w:sz w:val="22"/>
              </w:rPr>
              <w:t>проєкту</w:t>
            </w:r>
            <w:proofErr w:type="spellEnd"/>
            <w:r w:rsidRPr="007E0AF4">
              <w:rPr>
                <w:rFonts w:eastAsia="Calibri"/>
                <w:b/>
                <w:color w:val="000000"/>
                <w:sz w:val="22"/>
              </w:rPr>
              <w:t xml:space="preserve">  (індикатори)</w:t>
            </w:r>
          </w:p>
        </w:tc>
        <w:tc>
          <w:tcPr>
            <w:tcW w:w="3797" w:type="dxa"/>
            <w:gridSpan w:val="3"/>
            <w:tcBorders>
              <w:top w:val="nil"/>
              <w:left w:val="nil"/>
              <w:bottom w:val="single" w:sz="4" w:space="0" w:color="000000"/>
              <w:right w:val="single" w:sz="4" w:space="0" w:color="000000"/>
            </w:tcBorders>
            <w:shd w:val="clear" w:color="auto" w:fill="auto"/>
            <w:vAlign w:val="bottom"/>
          </w:tcPr>
          <w:p w:rsidR="007B055E" w:rsidRPr="007E0AF4" w:rsidRDefault="007B055E" w:rsidP="007B055E">
            <w:pPr>
              <w:autoSpaceDE w:val="0"/>
              <w:autoSpaceDN w:val="0"/>
              <w:adjustRightInd w:val="0"/>
              <w:jc w:val="center"/>
              <w:rPr>
                <w:rFonts w:eastAsia="Calibri"/>
                <w:b/>
                <w:color w:val="000000"/>
                <w:sz w:val="22"/>
              </w:rPr>
            </w:pPr>
            <w:r w:rsidRPr="007E0AF4">
              <w:rPr>
                <w:b/>
                <w:color w:val="000000"/>
                <w:sz w:val="22"/>
              </w:rPr>
              <w:t>Найменування показника</w:t>
            </w:r>
          </w:p>
        </w:tc>
        <w:tc>
          <w:tcPr>
            <w:tcW w:w="1559" w:type="dxa"/>
            <w:gridSpan w:val="2"/>
            <w:tcBorders>
              <w:top w:val="nil"/>
              <w:left w:val="nil"/>
              <w:bottom w:val="single" w:sz="4" w:space="0" w:color="000000"/>
              <w:right w:val="single" w:sz="4" w:space="0" w:color="000000"/>
            </w:tcBorders>
            <w:shd w:val="clear" w:color="auto" w:fill="auto"/>
            <w:vAlign w:val="bottom"/>
          </w:tcPr>
          <w:p w:rsidR="007B055E" w:rsidRPr="007E0AF4" w:rsidRDefault="007B055E" w:rsidP="007B055E">
            <w:pPr>
              <w:autoSpaceDE w:val="0"/>
              <w:autoSpaceDN w:val="0"/>
              <w:adjustRightInd w:val="0"/>
              <w:jc w:val="center"/>
              <w:rPr>
                <w:rFonts w:eastAsia="Calibri"/>
                <w:b/>
                <w:color w:val="000000"/>
                <w:sz w:val="22"/>
              </w:rPr>
            </w:pPr>
            <w:r w:rsidRPr="007E0AF4">
              <w:rPr>
                <w:b/>
                <w:color w:val="000000"/>
                <w:sz w:val="22"/>
              </w:rPr>
              <w:t>Одиниця вимірювання</w:t>
            </w:r>
          </w:p>
        </w:tc>
        <w:tc>
          <w:tcPr>
            <w:tcW w:w="1590" w:type="dxa"/>
            <w:gridSpan w:val="2"/>
            <w:tcBorders>
              <w:top w:val="single" w:sz="4" w:space="0" w:color="000000"/>
              <w:left w:val="nil"/>
              <w:bottom w:val="single" w:sz="4" w:space="0" w:color="000000"/>
              <w:right w:val="single" w:sz="4" w:space="0" w:color="000000"/>
            </w:tcBorders>
            <w:shd w:val="clear" w:color="auto" w:fill="auto"/>
            <w:vAlign w:val="bottom"/>
          </w:tcPr>
          <w:p w:rsidR="007B055E" w:rsidRPr="007E0AF4" w:rsidRDefault="007B055E" w:rsidP="007B055E">
            <w:pPr>
              <w:autoSpaceDE w:val="0"/>
              <w:autoSpaceDN w:val="0"/>
              <w:adjustRightInd w:val="0"/>
              <w:jc w:val="center"/>
              <w:rPr>
                <w:rFonts w:eastAsia="Calibri"/>
                <w:b/>
                <w:color w:val="000000"/>
                <w:sz w:val="22"/>
              </w:rPr>
            </w:pPr>
            <w:r w:rsidRPr="007E0AF4">
              <w:rPr>
                <w:b/>
                <w:color w:val="000000"/>
                <w:sz w:val="22"/>
              </w:rPr>
              <w:t>Прогнозне (цільове) значення</w:t>
            </w:r>
          </w:p>
        </w:tc>
      </w:tr>
      <w:tr w:rsidR="007B055E" w:rsidRPr="007E0AF4" w:rsidTr="007B055E">
        <w:trPr>
          <w:trHeight w:val="633"/>
        </w:trPr>
        <w:tc>
          <w:tcPr>
            <w:tcW w:w="3007" w:type="dxa"/>
            <w:vMerge/>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p>
        </w:tc>
        <w:tc>
          <w:tcPr>
            <w:tcW w:w="3797" w:type="dxa"/>
            <w:gridSpan w:val="3"/>
            <w:tcBorders>
              <w:top w:val="nil"/>
              <w:left w:val="single" w:sz="4" w:space="0" w:color="auto"/>
              <w:bottom w:val="single" w:sz="4" w:space="0" w:color="auto"/>
              <w:right w:val="single" w:sz="4" w:space="0" w:color="auto"/>
            </w:tcBorders>
            <w:shd w:val="clear" w:color="auto" w:fill="auto"/>
          </w:tcPr>
          <w:p w:rsidR="007B055E" w:rsidRPr="007E0AF4" w:rsidRDefault="007B055E" w:rsidP="007B055E">
            <w:pPr>
              <w:autoSpaceDE w:val="0"/>
              <w:autoSpaceDN w:val="0"/>
              <w:adjustRightInd w:val="0"/>
              <w:rPr>
                <w:rFonts w:eastAsia="Calibri"/>
                <w:color w:val="000000"/>
                <w:sz w:val="22"/>
              </w:rPr>
            </w:pPr>
            <w:r w:rsidRPr="007E0AF4">
              <w:rPr>
                <w:color w:val="000000"/>
                <w:sz w:val="22"/>
              </w:rPr>
              <w:t>Здобувачі освіти, вчителі та працівники школи, батьки школярів</w:t>
            </w:r>
          </w:p>
        </w:tc>
        <w:tc>
          <w:tcPr>
            <w:tcW w:w="1559" w:type="dxa"/>
            <w:gridSpan w:val="2"/>
            <w:tcBorders>
              <w:top w:val="nil"/>
              <w:left w:val="nil"/>
              <w:bottom w:val="single" w:sz="4" w:space="0" w:color="auto"/>
              <w:right w:val="single" w:sz="4" w:space="0" w:color="auto"/>
            </w:tcBorders>
            <w:shd w:val="clear" w:color="auto" w:fill="auto"/>
          </w:tcPr>
          <w:p w:rsidR="007B055E" w:rsidRPr="007E0AF4" w:rsidRDefault="007B055E" w:rsidP="007B055E">
            <w:pPr>
              <w:autoSpaceDE w:val="0"/>
              <w:autoSpaceDN w:val="0"/>
              <w:adjustRightInd w:val="0"/>
              <w:rPr>
                <w:rFonts w:eastAsia="Calibri"/>
                <w:color w:val="000000"/>
                <w:sz w:val="22"/>
              </w:rPr>
            </w:pPr>
            <w:r w:rsidRPr="007E0AF4">
              <w:rPr>
                <w:color w:val="000000"/>
                <w:sz w:val="22"/>
              </w:rPr>
              <w:t>осіб</w:t>
            </w:r>
          </w:p>
        </w:tc>
        <w:tc>
          <w:tcPr>
            <w:tcW w:w="1590" w:type="dxa"/>
            <w:gridSpan w:val="2"/>
            <w:tcBorders>
              <w:top w:val="single" w:sz="4" w:space="0" w:color="auto"/>
              <w:left w:val="nil"/>
              <w:bottom w:val="single" w:sz="4" w:space="0" w:color="auto"/>
              <w:right w:val="single" w:sz="4" w:space="0" w:color="000000"/>
            </w:tcBorders>
            <w:shd w:val="clear" w:color="auto" w:fill="auto"/>
          </w:tcPr>
          <w:p w:rsidR="007B055E" w:rsidRPr="007E0AF4" w:rsidRDefault="007B055E" w:rsidP="007B055E">
            <w:pPr>
              <w:autoSpaceDE w:val="0"/>
              <w:autoSpaceDN w:val="0"/>
              <w:adjustRightInd w:val="0"/>
              <w:rPr>
                <w:rFonts w:eastAsia="Calibri"/>
                <w:color w:val="000000"/>
                <w:sz w:val="22"/>
              </w:rPr>
            </w:pPr>
            <w:r w:rsidRPr="007E0AF4">
              <w:rPr>
                <w:color w:val="000000"/>
                <w:sz w:val="22"/>
              </w:rPr>
              <w:t>2500</w:t>
            </w:r>
          </w:p>
        </w:tc>
      </w:tr>
      <w:tr w:rsidR="007B055E" w:rsidRPr="007E0AF4" w:rsidTr="007B055E">
        <w:trPr>
          <w:trHeight w:val="1690"/>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rFonts w:eastAsia="Calibri"/>
                <w:b/>
                <w:color w:val="000000"/>
                <w:sz w:val="22"/>
              </w:rPr>
              <w:t xml:space="preserve">Ключові заходи </w:t>
            </w:r>
            <w:proofErr w:type="spellStart"/>
            <w:r w:rsidRPr="007E0AF4">
              <w:rPr>
                <w:rFonts w:eastAsia="Calibri"/>
                <w:b/>
                <w:color w:val="000000"/>
                <w:sz w:val="22"/>
              </w:rPr>
              <w:t>проєкту</w:t>
            </w:r>
            <w:proofErr w:type="spellEnd"/>
            <w:r w:rsidRPr="007E0AF4">
              <w:rPr>
                <w:rFonts w:eastAsia="Calibri"/>
                <w:b/>
                <w:color w:val="000000"/>
                <w:sz w:val="22"/>
              </w:rPr>
              <w:t>:</w:t>
            </w:r>
          </w:p>
        </w:tc>
        <w:tc>
          <w:tcPr>
            <w:tcW w:w="6946" w:type="dxa"/>
            <w:gridSpan w:val="7"/>
            <w:tcBorders>
              <w:top w:val="single" w:sz="4" w:space="0" w:color="000000"/>
              <w:left w:val="nil"/>
              <w:bottom w:val="single" w:sz="4" w:space="0" w:color="000000"/>
              <w:right w:val="single" w:sz="4" w:space="0" w:color="000000"/>
            </w:tcBorders>
            <w:shd w:val="clear" w:color="auto" w:fill="auto"/>
          </w:tcPr>
          <w:p w:rsidR="007B055E" w:rsidRPr="007E0AF4" w:rsidRDefault="007B055E" w:rsidP="007B055E">
            <w:pPr>
              <w:autoSpaceDE w:val="0"/>
              <w:autoSpaceDN w:val="0"/>
              <w:adjustRightInd w:val="0"/>
              <w:rPr>
                <w:color w:val="000000"/>
                <w:sz w:val="22"/>
              </w:rPr>
            </w:pPr>
            <w:r w:rsidRPr="007E0AF4">
              <w:rPr>
                <w:color w:val="000000"/>
                <w:sz w:val="22"/>
              </w:rPr>
              <w:t xml:space="preserve"> 1. Проведення моніторингу поточного стану будівлі  закладу освіти.</w:t>
            </w:r>
          </w:p>
          <w:p w:rsidR="007B055E" w:rsidRPr="007E0AF4" w:rsidRDefault="007B055E" w:rsidP="007B055E">
            <w:pPr>
              <w:autoSpaceDE w:val="0"/>
              <w:autoSpaceDN w:val="0"/>
              <w:adjustRightInd w:val="0"/>
              <w:rPr>
                <w:color w:val="000000"/>
                <w:sz w:val="22"/>
              </w:rPr>
            </w:pPr>
            <w:r w:rsidRPr="007E0AF4">
              <w:rPr>
                <w:color w:val="000000"/>
                <w:sz w:val="22"/>
              </w:rPr>
              <w:t xml:space="preserve"> 2.  Розробка </w:t>
            </w:r>
            <w:proofErr w:type="spellStart"/>
            <w:r w:rsidRPr="007E0AF4">
              <w:rPr>
                <w:color w:val="000000"/>
                <w:sz w:val="22"/>
              </w:rPr>
              <w:t>проєктно</w:t>
            </w:r>
            <w:proofErr w:type="spellEnd"/>
            <w:r w:rsidRPr="007E0AF4">
              <w:rPr>
                <w:color w:val="000000"/>
                <w:sz w:val="22"/>
              </w:rPr>
              <w:t xml:space="preserve">-кошторисної документації.  </w:t>
            </w:r>
          </w:p>
          <w:p w:rsidR="007B055E" w:rsidRPr="007E0AF4" w:rsidRDefault="007B055E" w:rsidP="007B055E">
            <w:pPr>
              <w:autoSpaceDE w:val="0"/>
              <w:autoSpaceDN w:val="0"/>
              <w:adjustRightInd w:val="0"/>
              <w:rPr>
                <w:color w:val="000000"/>
                <w:sz w:val="22"/>
              </w:rPr>
            </w:pPr>
            <w:r w:rsidRPr="007E0AF4">
              <w:rPr>
                <w:color w:val="000000"/>
                <w:sz w:val="22"/>
              </w:rPr>
              <w:t xml:space="preserve"> 3. Вивчення ринкових пропозицій щодо вартості робіт і необхідних  матеріалів. </w:t>
            </w:r>
          </w:p>
          <w:p w:rsidR="007B055E" w:rsidRPr="007E0AF4" w:rsidRDefault="007B055E" w:rsidP="007B055E">
            <w:pPr>
              <w:autoSpaceDE w:val="0"/>
              <w:autoSpaceDN w:val="0"/>
              <w:adjustRightInd w:val="0"/>
              <w:rPr>
                <w:color w:val="000000"/>
                <w:sz w:val="22"/>
              </w:rPr>
            </w:pPr>
            <w:r w:rsidRPr="007E0AF4">
              <w:rPr>
                <w:color w:val="000000"/>
                <w:sz w:val="22"/>
              </w:rPr>
              <w:t xml:space="preserve"> 4. </w:t>
            </w:r>
            <w:r w:rsidR="00F54A98" w:rsidRPr="007E0AF4">
              <w:rPr>
                <w:color w:val="000000"/>
                <w:sz w:val="22"/>
              </w:rPr>
              <w:t xml:space="preserve"> Закупівля </w:t>
            </w:r>
            <w:r w:rsidRPr="007E0AF4">
              <w:rPr>
                <w:color w:val="000000"/>
                <w:sz w:val="22"/>
              </w:rPr>
              <w:t xml:space="preserve"> необхідних обладнання та матеріалів.</w:t>
            </w:r>
          </w:p>
          <w:p w:rsidR="007B055E" w:rsidRPr="007E0AF4" w:rsidRDefault="007B055E" w:rsidP="007B055E">
            <w:pPr>
              <w:autoSpaceDE w:val="0"/>
              <w:autoSpaceDN w:val="0"/>
              <w:adjustRightInd w:val="0"/>
              <w:rPr>
                <w:color w:val="000000"/>
                <w:sz w:val="22"/>
              </w:rPr>
            </w:pPr>
            <w:r w:rsidRPr="007E0AF4">
              <w:rPr>
                <w:color w:val="000000"/>
                <w:sz w:val="22"/>
              </w:rPr>
              <w:t xml:space="preserve"> 5. Виконання капітального ремонту будівлі школи: </w:t>
            </w:r>
          </w:p>
          <w:p w:rsidR="007B055E" w:rsidRPr="007E0AF4" w:rsidRDefault="007B055E" w:rsidP="007B055E">
            <w:pPr>
              <w:autoSpaceDE w:val="0"/>
              <w:autoSpaceDN w:val="0"/>
              <w:adjustRightInd w:val="0"/>
              <w:rPr>
                <w:color w:val="000000"/>
                <w:sz w:val="22"/>
              </w:rPr>
            </w:pPr>
            <w:r w:rsidRPr="007E0AF4">
              <w:rPr>
                <w:color w:val="000000"/>
                <w:sz w:val="22"/>
              </w:rPr>
              <w:t>- відновлення та утеплення стін, відновлення перекриття,  капітальний ремонт  покрівлі даху, тамбурів входів, сходів, пандусу, цоколю будівлі;</w:t>
            </w:r>
          </w:p>
          <w:p w:rsidR="007B055E" w:rsidRPr="007E0AF4" w:rsidRDefault="007B055E" w:rsidP="007B055E">
            <w:pPr>
              <w:autoSpaceDE w:val="0"/>
              <w:autoSpaceDN w:val="0"/>
              <w:adjustRightInd w:val="0"/>
              <w:rPr>
                <w:color w:val="000000"/>
                <w:sz w:val="22"/>
              </w:rPr>
            </w:pPr>
            <w:r w:rsidRPr="007E0AF4">
              <w:rPr>
                <w:color w:val="000000"/>
                <w:sz w:val="22"/>
              </w:rPr>
              <w:lastRenderedPageBreak/>
              <w:t>- демонтаж пошкоджених та встановлення  енергозберігаючих   вікон та дверей;</w:t>
            </w:r>
          </w:p>
          <w:p w:rsidR="007B055E" w:rsidRPr="007E0AF4" w:rsidRDefault="007B055E" w:rsidP="007B055E">
            <w:pPr>
              <w:autoSpaceDE w:val="0"/>
              <w:autoSpaceDN w:val="0"/>
              <w:adjustRightInd w:val="0"/>
              <w:rPr>
                <w:color w:val="000000"/>
                <w:sz w:val="22"/>
              </w:rPr>
            </w:pPr>
            <w:r w:rsidRPr="007E0AF4">
              <w:rPr>
                <w:color w:val="000000"/>
                <w:sz w:val="22"/>
              </w:rPr>
              <w:t>- відновлення та удосконалення  системи опалення та вентиляційної системи з урахуванням вимог безпеки, енергоефективності та комфорту приміщень;</w:t>
            </w:r>
          </w:p>
          <w:p w:rsidR="007B055E" w:rsidRPr="007E0AF4" w:rsidRDefault="007B055E" w:rsidP="007B055E">
            <w:pPr>
              <w:autoSpaceDE w:val="0"/>
              <w:autoSpaceDN w:val="0"/>
              <w:adjustRightInd w:val="0"/>
              <w:rPr>
                <w:color w:val="000000"/>
                <w:sz w:val="22"/>
              </w:rPr>
            </w:pPr>
            <w:r w:rsidRPr="007E0AF4">
              <w:rPr>
                <w:color w:val="000000"/>
                <w:sz w:val="22"/>
              </w:rPr>
              <w:t xml:space="preserve">- відновлення системи  електропостачання та освітлення, встановлення системи сонячних </w:t>
            </w:r>
            <w:proofErr w:type="spellStart"/>
            <w:r w:rsidRPr="007E0AF4">
              <w:rPr>
                <w:color w:val="000000"/>
                <w:sz w:val="22"/>
              </w:rPr>
              <w:t>батарей</w:t>
            </w:r>
            <w:proofErr w:type="spellEnd"/>
            <w:r w:rsidRPr="007E0AF4">
              <w:rPr>
                <w:color w:val="000000"/>
                <w:sz w:val="22"/>
              </w:rPr>
              <w:t>, встановлення сучасного енергозберігаючого, розумного освітлення в навчальних кабінетах, бібліотеці, актовій залі, спортивних залах та  інших приміщеннях,  на шкільному подвір'ї та спортивних майданчиках;</w:t>
            </w:r>
          </w:p>
          <w:p w:rsidR="007B055E" w:rsidRPr="007E0AF4" w:rsidRDefault="007B055E" w:rsidP="007B055E">
            <w:pPr>
              <w:autoSpaceDE w:val="0"/>
              <w:autoSpaceDN w:val="0"/>
              <w:adjustRightInd w:val="0"/>
              <w:rPr>
                <w:color w:val="000000"/>
                <w:sz w:val="22"/>
              </w:rPr>
            </w:pPr>
            <w:r w:rsidRPr="007E0AF4">
              <w:rPr>
                <w:color w:val="000000"/>
                <w:sz w:val="22"/>
              </w:rPr>
              <w:t>- відновлення  системи водопостачання та водовідведення, встановлення системи очищення води системою зворотного осмосу та системи моніторингу для відстеження якості та рівня споживання води;</w:t>
            </w:r>
          </w:p>
          <w:p w:rsidR="007B055E" w:rsidRPr="007E0AF4" w:rsidRDefault="007B055E" w:rsidP="007B055E">
            <w:pPr>
              <w:autoSpaceDE w:val="0"/>
              <w:autoSpaceDN w:val="0"/>
              <w:adjustRightInd w:val="0"/>
              <w:rPr>
                <w:color w:val="000000"/>
                <w:sz w:val="22"/>
              </w:rPr>
            </w:pPr>
            <w:r w:rsidRPr="007E0AF4">
              <w:rPr>
                <w:color w:val="000000"/>
                <w:sz w:val="22"/>
              </w:rPr>
              <w:t xml:space="preserve">- облаштування туалетів та інших приміщень необхідною сантехнікою, відновлення туалету для осіб з інвалідністю та дітей з ООП.  </w:t>
            </w:r>
          </w:p>
          <w:p w:rsidR="007B055E" w:rsidRPr="007E0AF4" w:rsidRDefault="007B055E" w:rsidP="009C7943">
            <w:pPr>
              <w:autoSpaceDE w:val="0"/>
              <w:autoSpaceDN w:val="0"/>
              <w:adjustRightInd w:val="0"/>
              <w:jc w:val="left"/>
              <w:rPr>
                <w:color w:val="000000"/>
                <w:sz w:val="22"/>
              </w:rPr>
            </w:pPr>
            <w:r w:rsidRPr="007E0AF4">
              <w:rPr>
                <w:color w:val="000000"/>
                <w:sz w:val="22"/>
              </w:rPr>
              <w:t xml:space="preserve"> 6.  Виконання  ремонту внутрішніх приміщень:  ремонт та відновлення оздоблення  підлоги, стін, стелі навчальних кабінетах, спортивних та актовій залах, їдальні, медпункті, бібліотеці та інших приміщеннях;  відновлення пошкодженої стелі </w:t>
            </w:r>
            <w:proofErr w:type="spellStart"/>
            <w:r w:rsidRPr="007E0AF4">
              <w:rPr>
                <w:color w:val="000000"/>
                <w:sz w:val="22"/>
              </w:rPr>
              <w:t>армстронг</w:t>
            </w:r>
            <w:proofErr w:type="spellEnd"/>
            <w:r w:rsidRPr="007E0AF4">
              <w:rPr>
                <w:color w:val="000000"/>
                <w:sz w:val="22"/>
              </w:rPr>
              <w:t xml:space="preserve">  в актовій залі, бібліотеці, навчальних кабінетах.</w:t>
            </w:r>
          </w:p>
          <w:p w:rsidR="007B055E" w:rsidRPr="007E0AF4" w:rsidRDefault="007B055E" w:rsidP="009C7943">
            <w:pPr>
              <w:autoSpaceDE w:val="0"/>
              <w:autoSpaceDN w:val="0"/>
              <w:adjustRightInd w:val="0"/>
              <w:jc w:val="left"/>
              <w:rPr>
                <w:color w:val="000000"/>
                <w:sz w:val="22"/>
              </w:rPr>
            </w:pPr>
            <w:r w:rsidRPr="007E0AF4">
              <w:rPr>
                <w:color w:val="000000"/>
                <w:sz w:val="22"/>
              </w:rPr>
              <w:t xml:space="preserve"> 7. Встановлення протипожежної системи та системи відеоспостереження.  </w:t>
            </w:r>
          </w:p>
          <w:p w:rsidR="007B055E" w:rsidRPr="007E0AF4" w:rsidRDefault="007B055E" w:rsidP="009C7943">
            <w:pPr>
              <w:autoSpaceDE w:val="0"/>
              <w:autoSpaceDN w:val="0"/>
              <w:adjustRightInd w:val="0"/>
              <w:jc w:val="left"/>
              <w:rPr>
                <w:color w:val="000000"/>
                <w:sz w:val="22"/>
              </w:rPr>
            </w:pPr>
            <w:r w:rsidRPr="007E0AF4">
              <w:rPr>
                <w:color w:val="000000"/>
                <w:sz w:val="22"/>
              </w:rPr>
              <w:t xml:space="preserve"> 8. Моніторинг та оцінка реалізації </w:t>
            </w:r>
            <w:proofErr w:type="spellStart"/>
            <w:r w:rsidRPr="007E0AF4">
              <w:rPr>
                <w:color w:val="000000"/>
                <w:sz w:val="22"/>
              </w:rPr>
              <w:t>проєкту</w:t>
            </w:r>
            <w:proofErr w:type="spellEnd"/>
            <w:r w:rsidRPr="007E0AF4">
              <w:rPr>
                <w:color w:val="000000"/>
                <w:sz w:val="22"/>
              </w:rPr>
              <w:t>.</w:t>
            </w:r>
          </w:p>
          <w:p w:rsidR="007B055E" w:rsidRPr="007E0AF4" w:rsidRDefault="007B055E" w:rsidP="009C7943">
            <w:pPr>
              <w:autoSpaceDE w:val="0"/>
              <w:autoSpaceDN w:val="0"/>
              <w:adjustRightInd w:val="0"/>
              <w:jc w:val="left"/>
              <w:rPr>
                <w:color w:val="000000"/>
                <w:sz w:val="22"/>
              </w:rPr>
            </w:pPr>
            <w:r w:rsidRPr="007E0AF4">
              <w:rPr>
                <w:color w:val="000000"/>
                <w:sz w:val="22"/>
              </w:rPr>
              <w:t xml:space="preserve"> 9. Організація та початок роботи освітнього закладу. </w:t>
            </w:r>
          </w:p>
        </w:tc>
      </w:tr>
      <w:tr w:rsidR="007B055E" w:rsidRPr="007E0AF4" w:rsidTr="007B055E">
        <w:trPr>
          <w:trHeight w:val="840"/>
        </w:trPr>
        <w:tc>
          <w:tcPr>
            <w:tcW w:w="3007" w:type="dxa"/>
            <w:vMerge w:val="restart"/>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rFonts w:eastAsia="Calibri"/>
                <w:b/>
                <w:color w:val="000000"/>
                <w:sz w:val="22"/>
              </w:rPr>
              <w:lastRenderedPageBreak/>
              <w:t>Орієнтовний обсяг та джерела фінансування,  тис. гривень</w:t>
            </w:r>
          </w:p>
        </w:tc>
        <w:tc>
          <w:tcPr>
            <w:tcW w:w="1701" w:type="dxa"/>
          </w:tcPr>
          <w:p w:rsidR="007B055E" w:rsidRPr="007E0AF4" w:rsidRDefault="007B055E" w:rsidP="007B055E">
            <w:pPr>
              <w:autoSpaceDE w:val="0"/>
              <w:autoSpaceDN w:val="0"/>
              <w:adjustRightInd w:val="0"/>
              <w:jc w:val="center"/>
              <w:rPr>
                <w:rFonts w:eastAsia="Calibri"/>
                <w:b/>
                <w:color w:val="000000"/>
                <w:sz w:val="22"/>
              </w:rPr>
            </w:pPr>
            <w:r w:rsidRPr="007E0AF4">
              <w:rPr>
                <w:rFonts w:eastAsia="Calibri"/>
                <w:b/>
                <w:color w:val="000000"/>
                <w:sz w:val="22"/>
              </w:rPr>
              <w:t>Державний бюджет</w:t>
            </w:r>
          </w:p>
        </w:tc>
        <w:tc>
          <w:tcPr>
            <w:tcW w:w="1418" w:type="dxa"/>
          </w:tcPr>
          <w:p w:rsidR="007B055E" w:rsidRPr="007E0AF4" w:rsidRDefault="007B055E" w:rsidP="007B055E">
            <w:pPr>
              <w:autoSpaceDE w:val="0"/>
              <w:autoSpaceDN w:val="0"/>
              <w:adjustRightInd w:val="0"/>
              <w:jc w:val="center"/>
              <w:rPr>
                <w:rFonts w:eastAsia="Calibri"/>
                <w:b/>
                <w:color w:val="000000"/>
                <w:sz w:val="22"/>
              </w:rPr>
            </w:pPr>
            <w:r w:rsidRPr="007E0AF4">
              <w:rPr>
                <w:rFonts w:eastAsia="Calibri"/>
                <w:b/>
                <w:color w:val="000000"/>
                <w:sz w:val="22"/>
              </w:rPr>
              <w:t>Місцевий бюджет</w:t>
            </w:r>
          </w:p>
        </w:tc>
        <w:tc>
          <w:tcPr>
            <w:tcW w:w="2662" w:type="dxa"/>
            <w:gridSpan w:val="4"/>
          </w:tcPr>
          <w:p w:rsidR="007B055E" w:rsidRPr="007E0AF4" w:rsidRDefault="007B055E" w:rsidP="007B055E">
            <w:pPr>
              <w:autoSpaceDE w:val="0"/>
              <w:autoSpaceDN w:val="0"/>
              <w:adjustRightInd w:val="0"/>
              <w:jc w:val="center"/>
              <w:rPr>
                <w:rFonts w:eastAsia="Calibri"/>
                <w:b/>
                <w:color w:val="000000"/>
                <w:sz w:val="22"/>
              </w:rPr>
            </w:pPr>
            <w:r w:rsidRPr="007E0AF4">
              <w:rPr>
                <w:rFonts w:eastAsia="Calibri"/>
                <w:b/>
                <w:color w:val="000000"/>
                <w:sz w:val="22"/>
              </w:rPr>
              <w:t>Інші джерела</w:t>
            </w:r>
          </w:p>
        </w:tc>
        <w:tc>
          <w:tcPr>
            <w:tcW w:w="1165" w:type="dxa"/>
          </w:tcPr>
          <w:p w:rsidR="007B055E" w:rsidRPr="007E0AF4" w:rsidRDefault="007B055E" w:rsidP="007B055E">
            <w:pPr>
              <w:autoSpaceDE w:val="0"/>
              <w:autoSpaceDN w:val="0"/>
              <w:adjustRightInd w:val="0"/>
              <w:jc w:val="center"/>
              <w:rPr>
                <w:rFonts w:eastAsia="Calibri"/>
                <w:b/>
                <w:color w:val="000000"/>
                <w:sz w:val="22"/>
              </w:rPr>
            </w:pPr>
            <w:r w:rsidRPr="007E0AF4">
              <w:rPr>
                <w:rFonts w:eastAsia="Calibri"/>
                <w:b/>
                <w:color w:val="000000"/>
                <w:sz w:val="22"/>
              </w:rPr>
              <w:t>Всього</w:t>
            </w:r>
          </w:p>
        </w:tc>
      </w:tr>
      <w:tr w:rsidR="007B055E" w:rsidRPr="007E0AF4" w:rsidTr="007B055E">
        <w:trPr>
          <w:trHeight w:val="420"/>
        </w:trPr>
        <w:tc>
          <w:tcPr>
            <w:tcW w:w="3007" w:type="dxa"/>
            <w:vMerge/>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p>
        </w:tc>
        <w:tc>
          <w:tcPr>
            <w:tcW w:w="1701" w:type="dxa"/>
            <w:vMerge w:val="restart"/>
          </w:tcPr>
          <w:p w:rsidR="007B055E" w:rsidRPr="007E0AF4" w:rsidRDefault="007B055E" w:rsidP="007B055E">
            <w:pPr>
              <w:autoSpaceDE w:val="0"/>
              <w:autoSpaceDN w:val="0"/>
              <w:adjustRightInd w:val="0"/>
              <w:jc w:val="center"/>
              <w:rPr>
                <w:rFonts w:eastAsia="Calibri"/>
                <w:color w:val="000000"/>
                <w:sz w:val="22"/>
              </w:rPr>
            </w:pPr>
            <w:r w:rsidRPr="007E0AF4">
              <w:rPr>
                <w:rFonts w:eastAsia="Calibri"/>
                <w:color w:val="000000"/>
                <w:sz w:val="22"/>
              </w:rPr>
              <w:t>38220,0</w:t>
            </w:r>
          </w:p>
        </w:tc>
        <w:tc>
          <w:tcPr>
            <w:tcW w:w="1418" w:type="dxa"/>
            <w:vMerge w:val="restart"/>
          </w:tcPr>
          <w:p w:rsidR="007B055E" w:rsidRPr="007E0AF4" w:rsidRDefault="007B055E" w:rsidP="007B055E">
            <w:pPr>
              <w:autoSpaceDE w:val="0"/>
              <w:autoSpaceDN w:val="0"/>
              <w:adjustRightInd w:val="0"/>
              <w:jc w:val="center"/>
              <w:rPr>
                <w:rFonts w:eastAsia="Calibri"/>
                <w:b/>
                <w:color w:val="000000"/>
                <w:sz w:val="22"/>
              </w:rPr>
            </w:pPr>
          </w:p>
        </w:tc>
        <w:tc>
          <w:tcPr>
            <w:tcW w:w="1275" w:type="dxa"/>
            <w:gridSpan w:val="2"/>
          </w:tcPr>
          <w:p w:rsidR="007B055E" w:rsidRPr="007E0AF4" w:rsidRDefault="007B055E" w:rsidP="007B055E">
            <w:pPr>
              <w:autoSpaceDE w:val="0"/>
              <w:autoSpaceDN w:val="0"/>
              <w:adjustRightInd w:val="0"/>
              <w:jc w:val="center"/>
              <w:rPr>
                <w:rFonts w:eastAsia="Calibri"/>
                <w:b/>
                <w:color w:val="000000"/>
                <w:sz w:val="22"/>
              </w:rPr>
            </w:pPr>
            <w:r w:rsidRPr="007E0AF4">
              <w:rPr>
                <w:rFonts w:eastAsia="Calibri"/>
                <w:b/>
                <w:color w:val="000000"/>
                <w:sz w:val="22"/>
              </w:rPr>
              <w:t>Обсяг</w:t>
            </w:r>
          </w:p>
        </w:tc>
        <w:tc>
          <w:tcPr>
            <w:tcW w:w="1387" w:type="dxa"/>
            <w:gridSpan w:val="2"/>
          </w:tcPr>
          <w:p w:rsidR="007B055E" w:rsidRPr="007E0AF4" w:rsidRDefault="007B055E" w:rsidP="007B055E">
            <w:pPr>
              <w:autoSpaceDE w:val="0"/>
              <w:autoSpaceDN w:val="0"/>
              <w:adjustRightInd w:val="0"/>
              <w:jc w:val="center"/>
              <w:rPr>
                <w:rFonts w:eastAsia="Calibri"/>
                <w:b/>
                <w:color w:val="000000"/>
                <w:sz w:val="22"/>
              </w:rPr>
            </w:pPr>
            <w:r w:rsidRPr="007E0AF4">
              <w:rPr>
                <w:rFonts w:eastAsia="Calibri"/>
                <w:b/>
                <w:color w:val="000000"/>
                <w:sz w:val="22"/>
              </w:rPr>
              <w:t>Назва джерела</w:t>
            </w:r>
          </w:p>
        </w:tc>
        <w:tc>
          <w:tcPr>
            <w:tcW w:w="1165" w:type="dxa"/>
            <w:vMerge w:val="restart"/>
          </w:tcPr>
          <w:p w:rsidR="007B055E" w:rsidRPr="007E0AF4" w:rsidRDefault="007B055E" w:rsidP="007B055E">
            <w:pPr>
              <w:autoSpaceDE w:val="0"/>
              <w:autoSpaceDN w:val="0"/>
              <w:adjustRightInd w:val="0"/>
              <w:jc w:val="center"/>
              <w:rPr>
                <w:rFonts w:eastAsia="Calibri"/>
                <w:b/>
                <w:color w:val="000000"/>
                <w:sz w:val="22"/>
              </w:rPr>
            </w:pPr>
            <w:r w:rsidRPr="007E0AF4">
              <w:rPr>
                <w:rFonts w:eastAsia="Calibri"/>
                <w:color w:val="000000"/>
                <w:sz w:val="22"/>
              </w:rPr>
              <w:t>127400,0</w:t>
            </w:r>
          </w:p>
        </w:tc>
      </w:tr>
      <w:tr w:rsidR="007B055E" w:rsidRPr="007E0AF4" w:rsidTr="007B055E">
        <w:trPr>
          <w:trHeight w:val="420"/>
        </w:trPr>
        <w:tc>
          <w:tcPr>
            <w:tcW w:w="3007" w:type="dxa"/>
            <w:vMerge/>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p>
        </w:tc>
        <w:tc>
          <w:tcPr>
            <w:tcW w:w="1701" w:type="dxa"/>
            <w:vMerge/>
          </w:tcPr>
          <w:p w:rsidR="007B055E" w:rsidRPr="007E0AF4" w:rsidRDefault="007B055E" w:rsidP="007B055E">
            <w:pPr>
              <w:autoSpaceDE w:val="0"/>
              <w:autoSpaceDN w:val="0"/>
              <w:adjustRightInd w:val="0"/>
              <w:rPr>
                <w:rFonts w:eastAsia="Calibri"/>
                <w:color w:val="000000"/>
                <w:sz w:val="22"/>
              </w:rPr>
            </w:pPr>
          </w:p>
        </w:tc>
        <w:tc>
          <w:tcPr>
            <w:tcW w:w="1418" w:type="dxa"/>
            <w:vMerge/>
          </w:tcPr>
          <w:p w:rsidR="007B055E" w:rsidRPr="007E0AF4" w:rsidRDefault="007B055E" w:rsidP="007B055E">
            <w:pPr>
              <w:autoSpaceDE w:val="0"/>
              <w:autoSpaceDN w:val="0"/>
              <w:adjustRightInd w:val="0"/>
              <w:rPr>
                <w:rFonts w:eastAsia="Calibri"/>
                <w:color w:val="000000"/>
                <w:sz w:val="22"/>
              </w:rPr>
            </w:pPr>
          </w:p>
        </w:tc>
        <w:tc>
          <w:tcPr>
            <w:tcW w:w="1275" w:type="dxa"/>
            <w:gridSpan w:val="2"/>
          </w:tcPr>
          <w:p w:rsidR="007B055E" w:rsidRPr="007E0AF4" w:rsidRDefault="007B055E" w:rsidP="007B055E">
            <w:pPr>
              <w:autoSpaceDE w:val="0"/>
              <w:autoSpaceDN w:val="0"/>
              <w:adjustRightInd w:val="0"/>
              <w:rPr>
                <w:rFonts w:eastAsia="Calibri"/>
                <w:color w:val="000000"/>
                <w:sz w:val="22"/>
              </w:rPr>
            </w:pPr>
            <w:r w:rsidRPr="007E0AF4">
              <w:rPr>
                <w:rFonts w:eastAsia="Calibri"/>
                <w:color w:val="000000"/>
                <w:sz w:val="22"/>
              </w:rPr>
              <w:t>89180,0</w:t>
            </w:r>
          </w:p>
        </w:tc>
        <w:tc>
          <w:tcPr>
            <w:tcW w:w="1387" w:type="dxa"/>
            <w:gridSpan w:val="2"/>
          </w:tcPr>
          <w:p w:rsidR="007B055E" w:rsidRPr="007E0AF4" w:rsidRDefault="007B055E" w:rsidP="007B055E">
            <w:pPr>
              <w:autoSpaceDE w:val="0"/>
              <w:autoSpaceDN w:val="0"/>
              <w:adjustRightInd w:val="0"/>
              <w:rPr>
                <w:rFonts w:eastAsia="Calibri"/>
                <w:color w:val="000000"/>
                <w:sz w:val="22"/>
              </w:rPr>
            </w:pPr>
            <w:r w:rsidRPr="007E0AF4">
              <w:rPr>
                <w:rFonts w:eastAsia="Calibri"/>
                <w:color w:val="000000"/>
                <w:sz w:val="22"/>
              </w:rPr>
              <w:t>Міжнародні інвестиції</w:t>
            </w:r>
          </w:p>
        </w:tc>
        <w:tc>
          <w:tcPr>
            <w:tcW w:w="1165" w:type="dxa"/>
            <w:vMerge/>
          </w:tcPr>
          <w:p w:rsidR="007B055E" w:rsidRPr="007E0AF4" w:rsidRDefault="007B055E" w:rsidP="007B055E">
            <w:pPr>
              <w:autoSpaceDE w:val="0"/>
              <w:autoSpaceDN w:val="0"/>
              <w:adjustRightInd w:val="0"/>
              <w:rPr>
                <w:rFonts w:eastAsia="Calibri"/>
                <w:color w:val="000000"/>
                <w:sz w:val="22"/>
              </w:rPr>
            </w:pPr>
          </w:p>
        </w:tc>
      </w:tr>
    </w:tbl>
    <w:p w:rsidR="007B055E" w:rsidRPr="007E0AF4" w:rsidRDefault="007B055E" w:rsidP="00E95FB1">
      <w:pPr>
        <w:rPr>
          <w:sz w:val="22"/>
          <w:lang w:val="ru-RU"/>
        </w:rPr>
      </w:pPr>
    </w:p>
    <w:p w:rsidR="0051104F" w:rsidRPr="007E0AF4" w:rsidRDefault="0051104F" w:rsidP="00E95FB1">
      <w:pPr>
        <w:rPr>
          <w:sz w:val="22"/>
          <w:lang w:val="ru-RU"/>
        </w:rPr>
      </w:pPr>
    </w:p>
    <w:tbl>
      <w:tblPr>
        <w:tblpPr w:leftFromText="180" w:rightFromText="180" w:vertAnchor="text" w:horzAnchor="margin" w:tblpX="-336" w:tblpY="198"/>
        <w:tblW w:w="10035" w:type="dxa"/>
        <w:tblLayout w:type="fixed"/>
        <w:tblCellMar>
          <w:left w:w="30" w:type="dxa"/>
          <w:right w:w="30" w:type="dxa"/>
        </w:tblCellMar>
        <w:tblLook w:val="0000" w:firstRow="0" w:lastRow="0" w:firstColumn="0" w:lastColumn="0" w:noHBand="0" w:noVBand="0"/>
      </w:tblPr>
      <w:tblGrid>
        <w:gridCol w:w="3007"/>
        <w:gridCol w:w="1561"/>
        <w:gridCol w:w="1504"/>
        <w:gridCol w:w="960"/>
        <w:gridCol w:w="1366"/>
        <w:gridCol w:w="137"/>
        <w:gridCol w:w="1500"/>
      </w:tblGrid>
      <w:tr w:rsidR="0051104F" w:rsidRPr="007E0AF4" w:rsidTr="0051104F">
        <w:trPr>
          <w:trHeight w:val="515"/>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r w:rsidRPr="007E0AF4">
              <w:rPr>
                <w:rFonts w:eastAsia="Calibri"/>
                <w:b/>
                <w:color w:val="000000"/>
                <w:sz w:val="22"/>
              </w:rPr>
              <w:t>Оперативна ціль/завдання</w:t>
            </w:r>
          </w:p>
        </w:tc>
        <w:tc>
          <w:tcPr>
            <w:tcW w:w="7028" w:type="dxa"/>
            <w:gridSpan w:val="6"/>
            <w:tcBorders>
              <w:top w:val="single" w:sz="6" w:space="0" w:color="auto"/>
              <w:left w:val="single" w:sz="6" w:space="0" w:color="auto"/>
              <w:bottom w:val="single" w:sz="6" w:space="0" w:color="auto"/>
              <w:right w:val="single" w:sz="6" w:space="0" w:color="auto"/>
            </w:tcBorders>
          </w:tcPr>
          <w:p w:rsidR="0051104F" w:rsidRPr="007E0AF4" w:rsidRDefault="0051104F" w:rsidP="00B57A79">
            <w:pPr>
              <w:autoSpaceDE w:val="0"/>
              <w:autoSpaceDN w:val="0"/>
              <w:adjustRightInd w:val="0"/>
              <w:rPr>
                <w:rFonts w:eastAsia="Calibri"/>
                <w:color w:val="000000"/>
                <w:sz w:val="22"/>
              </w:rPr>
            </w:pPr>
            <w:r w:rsidRPr="007E0AF4">
              <w:rPr>
                <w:rFonts w:eastAsia="Calibri"/>
                <w:color w:val="000000"/>
                <w:sz w:val="22"/>
              </w:rPr>
              <w:t xml:space="preserve">ЛЮДСЬКИЙ РОЗВИТОК через інновації управління та  довіру до влади. Формування сучасного інклюзивного </w:t>
            </w:r>
            <w:proofErr w:type="spellStart"/>
            <w:r w:rsidRPr="007E0AF4">
              <w:rPr>
                <w:rFonts w:eastAsia="Calibri"/>
                <w:color w:val="000000"/>
                <w:sz w:val="22"/>
              </w:rPr>
              <w:t>освітньо</w:t>
            </w:r>
            <w:proofErr w:type="spellEnd"/>
            <w:r w:rsidRPr="007E0AF4">
              <w:rPr>
                <w:rFonts w:eastAsia="Calibri"/>
                <w:color w:val="000000"/>
                <w:sz w:val="22"/>
              </w:rPr>
              <w:t xml:space="preserve"> – культурного та спортивного простору для розвитку.</w:t>
            </w:r>
          </w:p>
        </w:tc>
      </w:tr>
      <w:tr w:rsidR="0051104F" w:rsidRPr="007E0AF4" w:rsidTr="0051104F">
        <w:trPr>
          <w:trHeight w:val="641"/>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r w:rsidRPr="007E0AF4">
              <w:rPr>
                <w:rFonts w:eastAsia="Calibri"/>
                <w:b/>
                <w:color w:val="000000"/>
                <w:sz w:val="22"/>
              </w:rPr>
              <w:t>Назва проекту:</w:t>
            </w:r>
          </w:p>
        </w:tc>
        <w:tc>
          <w:tcPr>
            <w:tcW w:w="7028" w:type="dxa"/>
            <w:gridSpan w:val="6"/>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 xml:space="preserve">Створення "кабінетів під ключ"  для  учасників освітнього процесу Гімназії № 15 міста Сєвєродонецька Луганської області, розташованої за </w:t>
            </w:r>
            <w:proofErr w:type="spellStart"/>
            <w:r w:rsidRPr="007E0AF4">
              <w:rPr>
                <w:rFonts w:eastAsia="Calibri"/>
                <w:color w:val="000000"/>
                <w:sz w:val="22"/>
              </w:rPr>
              <w:t>адресою</w:t>
            </w:r>
            <w:proofErr w:type="spellEnd"/>
            <w:r w:rsidRPr="007E0AF4">
              <w:rPr>
                <w:rFonts w:eastAsia="Calibri"/>
                <w:color w:val="000000"/>
                <w:sz w:val="22"/>
              </w:rPr>
              <w:t>:  Луганська область, Сєвєродонецький район, місто Сєвєродонецьк, вулиця Федоренка, будинок 39.</w:t>
            </w:r>
          </w:p>
        </w:tc>
      </w:tr>
      <w:tr w:rsidR="0051104F" w:rsidRPr="007E0AF4" w:rsidTr="0051104F">
        <w:trPr>
          <w:trHeight w:val="836"/>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r w:rsidRPr="007E0AF4">
              <w:rPr>
                <w:rFonts w:eastAsia="Calibri"/>
                <w:b/>
                <w:color w:val="000000"/>
                <w:sz w:val="22"/>
              </w:rPr>
              <w:t>Ціль проекту</w:t>
            </w:r>
          </w:p>
        </w:tc>
        <w:tc>
          <w:tcPr>
            <w:tcW w:w="7028" w:type="dxa"/>
            <w:gridSpan w:val="6"/>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Створення модернових доступних сучасних просторів для розвитку молодого покоління  громади. Створення в освітньому закладі сучасних STEM-лабораторій природничих наук.</w:t>
            </w:r>
          </w:p>
        </w:tc>
      </w:tr>
      <w:tr w:rsidR="0051104F" w:rsidRPr="007E0AF4" w:rsidTr="0051104F">
        <w:trPr>
          <w:trHeight w:val="269"/>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r w:rsidRPr="007E0AF4">
              <w:rPr>
                <w:rFonts w:eastAsia="Calibri"/>
                <w:b/>
                <w:color w:val="000000"/>
                <w:sz w:val="22"/>
              </w:rPr>
              <w:t>Територія, на яку матиме вплив реалізація проекту</w:t>
            </w:r>
          </w:p>
        </w:tc>
        <w:tc>
          <w:tcPr>
            <w:tcW w:w="7028" w:type="dxa"/>
            <w:gridSpan w:val="6"/>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Сєвєродонецька міська територіальна громада</w:t>
            </w:r>
          </w:p>
        </w:tc>
      </w:tr>
      <w:tr w:rsidR="0051104F" w:rsidRPr="007E0AF4" w:rsidTr="0051104F">
        <w:trPr>
          <w:trHeight w:val="784"/>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r w:rsidRPr="007E0AF4">
              <w:rPr>
                <w:rFonts w:eastAsia="Calibri"/>
                <w:b/>
                <w:color w:val="000000"/>
                <w:sz w:val="22"/>
              </w:rPr>
              <w:t>Чисельність населення, на яке матиме вплив реалізація проекту</w:t>
            </w:r>
          </w:p>
        </w:tc>
        <w:tc>
          <w:tcPr>
            <w:tcW w:w="7028" w:type="dxa"/>
            <w:gridSpan w:val="6"/>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70 000</w:t>
            </w:r>
          </w:p>
        </w:tc>
      </w:tr>
      <w:tr w:rsidR="0051104F" w:rsidRPr="007E0AF4" w:rsidTr="0051104F">
        <w:trPr>
          <w:trHeight w:val="1169"/>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r w:rsidRPr="007E0AF4">
              <w:rPr>
                <w:rFonts w:eastAsia="Calibri"/>
                <w:b/>
                <w:color w:val="000000"/>
                <w:sz w:val="22"/>
              </w:rPr>
              <w:t>Опис проблеми, на вирішення якої спрямований проект</w:t>
            </w:r>
          </w:p>
        </w:tc>
        <w:tc>
          <w:tcPr>
            <w:tcW w:w="7028" w:type="dxa"/>
            <w:gridSpan w:val="6"/>
            <w:tcBorders>
              <w:top w:val="single" w:sz="6" w:space="0" w:color="auto"/>
              <w:left w:val="single" w:sz="6" w:space="0" w:color="auto"/>
              <w:bottom w:val="single" w:sz="6" w:space="0" w:color="auto"/>
              <w:right w:val="single" w:sz="6" w:space="0" w:color="auto"/>
            </w:tcBorders>
          </w:tcPr>
          <w:p w:rsidR="0051104F" w:rsidRPr="007E0AF4" w:rsidRDefault="0051104F" w:rsidP="00102419">
            <w:pPr>
              <w:autoSpaceDE w:val="0"/>
              <w:autoSpaceDN w:val="0"/>
              <w:adjustRightInd w:val="0"/>
              <w:rPr>
                <w:rFonts w:eastAsia="Calibri"/>
                <w:color w:val="000000"/>
                <w:sz w:val="22"/>
              </w:rPr>
            </w:pPr>
            <w:r w:rsidRPr="007E0AF4">
              <w:rPr>
                <w:rFonts w:eastAsia="Calibri"/>
                <w:color w:val="000000"/>
                <w:sz w:val="22"/>
              </w:rPr>
              <w:t xml:space="preserve">Сьогодення потребує молодих людей, які зможуть думати, створювати нове, впроваджувати нові технології </w:t>
            </w:r>
            <w:r w:rsidR="00D23349" w:rsidRPr="007E0AF4">
              <w:rPr>
                <w:rFonts w:eastAsia="Calibri"/>
                <w:color w:val="000000"/>
                <w:sz w:val="22"/>
              </w:rPr>
              <w:t>для</w:t>
            </w:r>
            <w:r w:rsidRPr="007E0AF4">
              <w:rPr>
                <w:rFonts w:eastAsia="Calibri"/>
                <w:color w:val="000000"/>
                <w:sz w:val="22"/>
              </w:rPr>
              <w:t xml:space="preserve"> захист</w:t>
            </w:r>
            <w:r w:rsidR="00D23349" w:rsidRPr="007E0AF4">
              <w:rPr>
                <w:rFonts w:eastAsia="Calibri"/>
                <w:color w:val="000000"/>
                <w:sz w:val="22"/>
              </w:rPr>
              <w:t>у</w:t>
            </w:r>
            <w:r w:rsidRPr="007E0AF4">
              <w:rPr>
                <w:rFonts w:eastAsia="Calibri"/>
                <w:color w:val="000000"/>
                <w:sz w:val="22"/>
              </w:rPr>
              <w:t xml:space="preserve"> нашої країни. Необхідно підвищувати вмотивованість учнів  до здобуття освіти, знайомити з новітніми технологіями, стимулювати науково-експериментальні дослідження учнів,  залучати до </w:t>
            </w:r>
            <w:proofErr w:type="spellStart"/>
            <w:r w:rsidRPr="007E0AF4">
              <w:rPr>
                <w:rFonts w:eastAsia="Calibri"/>
                <w:color w:val="000000"/>
                <w:sz w:val="22"/>
              </w:rPr>
              <w:t>про</w:t>
            </w:r>
            <w:r w:rsidR="00102419" w:rsidRPr="007E0AF4">
              <w:rPr>
                <w:rFonts w:eastAsia="Calibri"/>
                <w:color w:val="000000"/>
                <w:sz w:val="22"/>
              </w:rPr>
              <w:t>є</w:t>
            </w:r>
            <w:r w:rsidRPr="007E0AF4">
              <w:rPr>
                <w:rFonts w:eastAsia="Calibri"/>
                <w:color w:val="000000"/>
                <w:sz w:val="22"/>
              </w:rPr>
              <w:t>ктної</w:t>
            </w:r>
            <w:proofErr w:type="spellEnd"/>
            <w:r w:rsidRPr="007E0AF4">
              <w:rPr>
                <w:rFonts w:eastAsia="Calibri"/>
                <w:color w:val="000000"/>
                <w:sz w:val="22"/>
              </w:rPr>
              <w:t xml:space="preserve"> діяльності.</w:t>
            </w:r>
          </w:p>
        </w:tc>
      </w:tr>
      <w:tr w:rsidR="0051104F" w:rsidRPr="007E0AF4" w:rsidTr="0051104F">
        <w:trPr>
          <w:trHeight w:val="832"/>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r w:rsidRPr="007E0AF4">
              <w:rPr>
                <w:rFonts w:eastAsia="Calibri"/>
                <w:b/>
                <w:color w:val="000000"/>
                <w:sz w:val="22"/>
              </w:rPr>
              <w:lastRenderedPageBreak/>
              <w:t>Очікувані якісні результати від реалізації проекту</w:t>
            </w:r>
          </w:p>
        </w:tc>
        <w:tc>
          <w:tcPr>
            <w:tcW w:w="7028" w:type="dxa"/>
            <w:gridSpan w:val="6"/>
            <w:tcBorders>
              <w:top w:val="single" w:sz="6" w:space="0" w:color="auto"/>
              <w:left w:val="single" w:sz="6" w:space="0" w:color="auto"/>
              <w:bottom w:val="single" w:sz="6" w:space="0" w:color="auto"/>
              <w:right w:val="single" w:sz="6" w:space="0" w:color="auto"/>
            </w:tcBorders>
          </w:tcPr>
          <w:p w:rsidR="0051104F" w:rsidRPr="007E0AF4" w:rsidRDefault="0051104F" w:rsidP="000303D7">
            <w:pPr>
              <w:numPr>
                <w:ilvl w:val="0"/>
                <w:numId w:val="104"/>
              </w:numPr>
              <w:jc w:val="left"/>
              <w:rPr>
                <w:color w:val="000000"/>
                <w:sz w:val="22"/>
              </w:rPr>
            </w:pPr>
            <w:r w:rsidRPr="007E0AF4">
              <w:rPr>
                <w:color w:val="000000"/>
                <w:sz w:val="22"/>
              </w:rPr>
              <w:t>Навчання і  підготовка майбутніх творчих, мотивованих громадян України;</w:t>
            </w:r>
          </w:p>
          <w:p w:rsidR="0051104F" w:rsidRPr="007E0AF4" w:rsidRDefault="0051104F" w:rsidP="000303D7">
            <w:pPr>
              <w:numPr>
                <w:ilvl w:val="0"/>
                <w:numId w:val="104"/>
              </w:numPr>
              <w:jc w:val="left"/>
              <w:rPr>
                <w:color w:val="000000"/>
                <w:sz w:val="22"/>
              </w:rPr>
            </w:pPr>
            <w:r w:rsidRPr="007E0AF4">
              <w:rPr>
                <w:rFonts w:eastAsia="Calibri"/>
                <w:color w:val="000000"/>
                <w:sz w:val="22"/>
              </w:rPr>
              <w:t>Стимул до повернення ВПО до громади.</w:t>
            </w:r>
          </w:p>
        </w:tc>
      </w:tr>
      <w:tr w:rsidR="0051104F" w:rsidRPr="007E0AF4" w:rsidTr="0051104F">
        <w:trPr>
          <w:trHeight w:val="539"/>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r w:rsidRPr="007E0AF4">
              <w:rPr>
                <w:rFonts w:eastAsia="Calibri"/>
                <w:b/>
                <w:color w:val="000000"/>
                <w:sz w:val="22"/>
              </w:rPr>
              <w:t>Очікувані кількісні результати від реалізації проекту  (індикатори)</w:t>
            </w:r>
          </w:p>
        </w:tc>
        <w:tc>
          <w:tcPr>
            <w:tcW w:w="4025" w:type="dxa"/>
            <w:gridSpan w:val="3"/>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b/>
                <w:color w:val="000000"/>
                <w:sz w:val="22"/>
              </w:rPr>
            </w:pPr>
            <w:r w:rsidRPr="007E0AF4">
              <w:rPr>
                <w:rFonts w:eastAsia="Calibri"/>
                <w:b/>
                <w:color w:val="000000"/>
                <w:sz w:val="22"/>
              </w:rPr>
              <w:t>Найменування показника</w:t>
            </w:r>
          </w:p>
        </w:tc>
        <w:tc>
          <w:tcPr>
            <w:tcW w:w="1503" w:type="dxa"/>
            <w:gridSpan w:val="2"/>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b/>
                <w:color w:val="000000"/>
                <w:sz w:val="22"/>
              </w:rPr>
            </w:pPr>
            <w:r w:rsidRPr="007E0AF4">
              <w:rPr>
                <w:rFonts w:eastAsia="Calibri"/>
                <w:b/>
                <w:color w:val="000000"/>
                <w:sz w:val="22"/>
              </w:rPr>
              <w:t>Одиниця вимірювання</w:t>
            </w:r>
          </w:p>
        </w:tc>
        <w:tc>
          <w:tcPr>
            <w:tcW w:w="1500" w:type="dxa"/>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b/>
                <w:color w:val="000000"/>
                <w:sz w:val="22"/>
              </w:rPr>
            </w:pPr>
            <w:r w:rsidRPr="007E0AF4">
              <w:rPr>
                <w:rFonts w:eastAsia="Calibri"/>
                <w:b/>
                <w:color w:val="000000"/>
                <w:sz w:val="22"/>
              </w:rPr>
              <w:t>Прогнозне (цільове) значення</w:t>
            </w:r>
          </w:p>
        </w:tc>
      </w:tr>
      <w:tr w:rsidR="0051104F" w:rsidRPr="007E0AF4" w:rsidTr="0051104F">
        <w:trPr>
          <w:trHeight w:val="830"/>
        </w:trPr>
        <w:tc>
          <w:tcPr>
            <w:tcW w:w="3007" w:type="dxa"/>
            <w:vMerge w:val="restart"/>
            <w:tcBorders>
              <w:top w:val="single" w:sz="6" w:space="0" w:color="auto"/>
              <w:left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p>
        </w:tc>
        <w:tc>
          <w:tcPr>
            <w:tcW w:w="4025" w:type="dxa"/>
            <w:gridSpan w:val="3"/>
            <w:tcBorders>
              <w:top w:val="single" w:sz="6" w:space="0" w:color="auto"/>
              <w:left w:val="single" w:sz="6" w:space="0" w:color="auto"/>
              <w:bottom w:val="single" w:sz="6" w:space="0" w:color="auto"/>
              <w:right w:val="single" w:sz="6" w:space="0" w:color="auto"/>
            </w:tcBorders>
          </w:tcPr>
          <w:p w:rsidR="0051104F" w:rsidRPr="007E0AF4" w:rsidRDefault="0051104F" w:rsidP="007A7CBF">
            <w:pPr>
              <w:autoSpaceDE w:val="0"/>
              <w:autoSpaceDN w:val="0"/>
              <w:adjustRightInd w:val="0"/>
              <w:rPr>
                <w:rFonts w:eastAsia="Calibri"/>
                <w:color w:val="000000"/>
                <w:sz w:val="22"/>
              </w:rPr>
            </w:pPr>
            <w:r w:rsidRPr="007E0AF4">
              <w:rPr>
                <w:rFonts w:eastAsia="Calibri"/>
                <w:color w:val="000000"/>
                <w:sz w:val="22"/>
              </w:rPr>
              <w:t xml:space="preserve">Чисельність учасників </w:t>
            </w:r>
            <w:proofErr w:type="spellStart"/>
            <w:r w:rsidRPr="007E0AF4">
              <w:rPr>
                <w:rFonts w:eastAsia="Calibri"/>
                <w:color w:val="000000"/>
                <w:sz w:val="22"/>
              </w:rPr>
              <w:t>про</w:t>
            </w:r>
            <w:r w:rsidR="007A7CBF" w:rsidRPr="007E0AF4">
              <w:rPr>
                <w:rFonts w:eastAsia="Calibri"/>
                <w:color w:val="000000"/>
                <w:sz w:val="22"/>
              </w:rPr>
              <w:t>є</w:t>
            </w:r>
            <w:r w:rsidRPr="007E0AF4">
              <w:rPr>
                <w:rFonts w:eastAsia="Calibri"/>
                <w:color w:val="000000"/>
                <w:sz w:val="22"/>
              </w:rPr>
              <w:t>кту</w:t>
            </w:r>
            <w:proofErr w:type="spellEnd"/>
            <w:r w:rsidRPr="007E0AF4">
              <w:rPr>
                <w:rFonts w:eastAsia="Calibri"/>
                <w:color w:val="000000"/>
                <w:sz w:val="22"/>
              </w:rPr>
              <w:t xml:space="preserve"> (здобувачі освіти)</w:t>
            </w:r>
          </w:p>
        </w:tc>
        <w:tc>
          <w:tcPr>
            <w:tcW w:w="1503" w:type="dxa"/>
            <w:gridSpan w:val="2"/>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особи</w:t>
            </w:r>
          </w:p>
        </w:tc>
        <w:tc>
          <w:tcPr>
            <w:tcW w:w="1500" w:type="dxa"/>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 xml:space="preserve">1 000 </w:t>
            </w:r>
          </w:p>
        </w:tc>
      </w:tr>
      <w:tr w:rsidR="0051104F" w:rsidRPr="007E0AF4" w:rsidTr="0051104F">
        <w:trPr>
          <w:trHeight w:val="309"/>
        </w:trPr>
        <w:tc>
          <w:tcPr>
            <w:tcW w:w="3007" w:type="dxa"/>
            <w:vMerge/>
            <w:tcBorders>
              <w:left w:val="single" w:sz="6" w:space="0" w:color="auto"/>
              <w:bottom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p>
        </w:tc>
        <w:tc>
          <w:tcPr>
            <w:tcW w:w="4025" w:type="dxa"/>
            <w:gridSpan w:val="3"/>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Термін послуги</w:t>
            </w:r>
          </w:p>
        </w:tc>
        <w:tc>
          <w:tcPr>
            <w:tcW w:w="1503" w:type="dxa"/>
            <w:gridSpan w:val="2"/>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день</w:t>
            </w:r>
          </w:p>
        </w:tc>
        <w:tc>
          <w:tcPr>
            <w:tcW w:w="1500" w:type="dxa"/>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 xml:space="preserve">175 </w:t>
            </w:r>
          </w:p>
        </w:tc>
      </w:tr>
      <w:tr w:rsidR="0051104F" w:rsidRPr="007E0AF4" w:rsidTr="0051104F">
        <w:trPr>
          <w:trHeight w:val="1561"/>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r w:rsidRPr="007E0AF4">
              <w:rPr>
                <w:rFonts w:eastAsia="Calibri"/>
                <w:b/>
                <w:color w:val="000000"/>
                <w:sz w:val="22"/>
              </w:rPr>
              <w:t>Ключові заходи проекту:</w:t>
            </w:r>
          </w:p>
        </w:tc>
        <w:tc>
          <w:tcPr>
            <w:tcW w:w="7028" w:type="dxa"/>
            <w:gridSpan w:val="6"/>
            <w:tcBorders>
              <w:top w:val="single" w:sz="6" w:space="0" w:color="auto"/>
              <w:left w:val="single" w:sz="6" w:space="0" w:color="auto"/>
              <w:bottom w:val="single" w:sz="4" w:space="0" w:color="auto"/>
              <w:right w:val="single" w:sz="6"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1.</w:t>
            </w:r>
            <w:r w:rsidRPr="007E0AF4">
              <w:rPr>
                <w:sz w:val="22"/>
              </w:rPr>
              <w:t xml:space="preserve"> Підготовка </w:t>
            </w:r>
            <w:proofErr w:type="spellStart"/>
            <w:r w:rsidRPr="007E0AF4">
              <w:rPr>
                <w:sz w:val="22"/>
              </w:rPr>
              <w:t>про</w:t>
            </w:r>
            <w:r w:rsidR="007A7CBF" w:rsidRPr="007E0AF4">
              <w:rPr>
                <w:sz w:val="22"/>
              </w:rPr>
              <w:t>є</w:t>
            </w:r>
            <w:r w:rsidRPr="007E0AF4">
              <w:rPr>
                <w:sz w:val="22"/>
              </w:rPr>
              <w:t>ктно</w:t>
            </w:r>
            <w:proofErr w:type="spellEnd"/>
            <w:r w:rsidRPr="007E0AF4">
              <w:rPr>
                <w:sz w:val="22"/>
              </w:rPr>
              <w:t>-кошторисної документації.</w:t>
            </w:r>
          </w:p>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2. Оголошення про закупівлі оснащення кабінетів.</w:t>
            </w:r>
          </w:p>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 xml:space="preserve">3.Проведення ремонтних робіт, комунікацій тощо в  кабінетах природничого циклу (фізика, хімія, біологія, географія) Гімназії № 15.  </w:t>
            </w:r>
          </w:p>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 xml:space="preserve">4. Створення STEM-лабораторій. </w:t>
            </w:r>
          </w:p>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 xml:space="preserve">5.Оновлення оснащення "під ключ" фізичного, хімічного, біологічного, географічного кабінетів закладу (закупівля та установка оснащення) </w:t>
            </w:r>
          </w:p>
        </w:tc>
      </w:tr>
      <w:tr w:rsidR="0051104F" w:rsidRPr="007E0AF4" w:rsidTr="00F03D9D">
        <w:trPr>
          <w:trHeight w:val="366"/>
        </w:trPr>
        <w:tc>
          <w:tcPr>
            <w:tcW w:w="3007" w:type="dxa"/>
            <w:vMerge w:val="restart"/>
            <w:tcBorders>
              <w:top w:val="single" w:sz="6" w:space="0" w:color="auto"/>
              <w:left w:val="single" w:sz="6" w:space="0" w:color="auto"/>
              <w:right w:val="single" w:sz="4"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r w:rsidRPr="007E0AF4">
              <w:rPr>
                <w:rFonts w:eastAsia="Calibri"/>
                <w:b/>
                <w:color w:val="000000"/>
                <w:sz w:val="22"/>
              </w:rPr>
              <w:t>Орієнтовний обсяг та джерела фінансування тис. гривень</w:t>
            </w:r>
          </w:p>
        </w:tc>
        <w:tc>
          <w:tcPr>
            <w:tcW w:w="1561" w:type="dxa"/>
            <w:vMerge w:val="restart"/>
            <w:tcBorders>
              <w:top w:val="single" w:sz="4" w:space="0" w:color="auto"/>
              <w:left w:val="single" w:sz="4" w:space="0" w:color="auto"/>
              <w:bottom w:val="single" w:sz="4" w:space="0" w:color="auto"/>
              <w:right w:val="single" w:sz="4"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Державний бюджет</w:t>
            </w:r>
          </w:p>
        </w:tc>
        <w:tc>
          <w:tcPr>
            <w:tcW w:w="1504" w:type="dxa"/>
            <w:vMerge w:val="restart"/>
            <w:tcBorders>
              <w:top w:val="single" w:sz="4" w:space="0" w:color="auto"/>
              <w:left w:val="single" w:sz="4" w:space="0" w:color="auto"/>
              <w:right w:val="single" w:sz="4"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Місцевий бюджет</w:t>
            </w:r>
          </w:p>
        </w:tc>
        <w:tc>
          <w:tcPr>
            <w:tcW w:w="2326" w:type="dxa"/>
            <w:gridSpan w:val="2"/>
            <w:tcBorders>
              <w:top w:val="single" w:sz="4" w:space="0" w:color="auto"/>
              <w:left w:val="single" w:sz="4" w:space="0" w:color="auto"/>
              <w:bottom w:val="single" w:sz="4" w:space="0" w:color="auto"/>
              <w:right w:val="single" w:sz="4"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Інші джерела</w:t>
            </w:r>
          </w:p>
        </w:tc>
        <w:tc>
          <w:tcPr>
            <w:tcW w:w="1637" w:type="dxa"/>
            <w:gridSpan w:val="2"/>
            <w:vMerge w:val="restart"/>
            <w:tcBorders>
              <w:top w:val="single" w:sz="4" w:space="0" w:color="auto"/>
              <w:left w:val="single" w:sz="4" w:space="0" w:color="auto"/>
              <w:right w:val="single" w:sz="4"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Всього</w:t>
            </w:r>
          </w:p>
        </w:tc>
      </w:tr>
      <w:tr w:rsidR="0051104F" w:rsidRPr="007E0AF4" w:rsidTr="00F03D9D">
        <w:trPr>
          <w:trHeight w:val="51"/>
        </w:trPr>
        <w:tc>
          <w:tcPr>
            <w:tcW w:w="3007" w:type="dxa"/>
            <w:vMerge/>
            <w:tcBorders>
              <w:left w:val="single" w:sz="6" w:space="0" w:color="auto"/>
              <w:right w:val="single" w:sz="4"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p>
        </w:tc>
        <w:tc>
          <w:tcPr>
            <w:tcW w:w="1561" w:type="dxa"/>
            <w:vMerge/>
            <w:tcBorders>
              <w:top w:val="single" w:sz="4" w:space="0" w:color="auto"/>
              <w:left w:val="single" w:sz="4" w:space="0" w:color="auto"/>
              <w:bottom w:val="single" w:sz="4" w:space="0" w:color="auto"/>
              <w:right w:val="single" w:sz="4" w:space="0" w:color="auto"/>
            </w:tcBorders>
          </w:tcPr>
          <w:p w:rsidR="0051104F" w:rsidRPr="007E0AF4" w:rsidRDefault="0051104F" w:rsidP="0051104F">
            <w:pPr>
              <w:autoSpaceDE w:val="0"/>
              <w:autoSpaceDN w:val="0"/>
              <w:adjustRightInd w:val="0"/>
              <w:rPr>
                <w:rFonts w:eastAsia="Calibri"/>
                <w:color w:val="000000"/>
                <w:sz w:val="22"/>
              </w:rPr>
            </w:pPr>
          </w:p>
        </w:tc>
        <w:tc>
          <w:tcPr>
            <w:tcW w:w="1504" w:type="dxa"/>
            <w:vMerge/>
            <w:tcBorders>
              <w:left w:val="single" w:sz="4" w:space="0" w:color="auto"/>
              <w:bottom w:val="single" w:sz="4" w:space="0" w:color="auto"/>
              <w:right w:val="single" w:sz="4" w:space="0" w:color="auto"/>
            </w:tcBorders>
          </w:tcPr>
          <w:p w:rsidR="0051104F" w:rsidRPr="007E0AF4" w:rsidRDefault="0051104F" w:rsidP="0051104F">
            <w:pPr>
              <w:autoSpaceDE w:val="0"/>
              <w:autoSpaceDN w:val="0"/>
              <w:adjustRightInd w:val="0"/>
              <w:rPr>
                <w:rFonts w:eastAsia="Calibri"/>
                <w:color w:val="000000"/>
                <w:sz w:val="22"/>
              </w:rPr>
            </w:pPr>
          </w:p>
        </w:tc>
        <w:tc>
          <w:tcPr>
            <w:tcW w:w="960" w:type="dxa"/>
            <w:tcBorders>
              <w:top w:val="single" w:sz="4" w:space="0" w:color="auto"/>
              <w:left w:val="single" w:sz="4" w:space="0" w:color="auto"/>
              <w:bottom w:val="single" w:sz="4" w:space="0" w:color="auto"/>
              <w:right w:val="single" w:sz="4"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Обсяг</w:t>
            </w:r>
          </w:p>
        </w:tc>
        <w:tc>
          <w:tcPr>
            <w:tcW w:w="1366" w:type="dxa"/>
            <w:tcBorders>
              <w:top w:val="single" w:sz="4" w:space="0" w:color="auto"/>
              <w:left w:val="single" w:sz="4" w:space="0" w:color="auto"/>
              <w:bottom w:val="single" w:sz="4" w:space="0" w:color="auto"/>
              <w:right w:val="single" w:sz="4"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Назва джерела</w:t>
            </w:r>
          </w:p>
        </w:tc>
        <w:tc>
          <w:tcPr>
            <w:tcW w:w="1637" w:type="dxa"/>
            <w:gridSpan w:val="2"/>
            <w:vMerge/>
            <w:tcBorders>
              <w:left w:val="single" w:sz="4" w:space="0" w:color="auto"/>
              <w:bottom w:val="single" w:sz="4" w:space="0" w:color="auto"/>
              <w:right w:val="single" w:sz="4" w:space="0" w:color="auto"/>
            </w:tcBorders>
          </w:tcPr>
          <w:p w:rsidR="0051104F" w:rsidRPr="007E0AF4" w:rsidRDefault="0051104F" w:rsidP="0051104F">
            <w:pPr>
              <w:autoSpaceDE w:val="0"/>
              <w:autoSpaceDN w:val="0"/>
              <w:adjustRightInd w:val="0"/>
              <w:rPr>
                <w:rFonts w:eastAsia="Calibri"/>
                <w:color w:val="000000"/>
                <w:sz w:val="22"/>
              </w:rPr>
            </w:pPr>
          </w:p>
        </w:tc>
      </w:tr>
      <w:tr w:rsidR="0051104F" w:rsidRPr="007E0AF4" w:rsidTr="0051104F">
        <w:trPr>
          <w:trHeight w:val="823"/>
        </w:trPr>
        <w:tc>
          <w:tcPr>
            <w:tcW w:w="3007" w:type="dxa"/>
            <w:vMerge/>
            <w:tcBorders>
              <w:left w:val="single" w:sz="6" w:space="0" w:color="auto"/>
              <w:bottom w:val="single" w:sz="6" w:space="0" w:color="auto"/>
              <w:right w:val="single" w:sz="4"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p>
        </w:tc>
        <w:tc>
          <w:tcPr>
            <w:tcW w:w="1561" w:type="dxa"/>
            <w:tcBorders>
              <w:top w:val="single" w:sz="4" w:space="0" w:color="auto"/>
              <w:left w:val="single" w:sz="4" w:space="0" w:color="auto"/>
              <w:bottom w:val="single" w:sz="4" w:space="0" w:color="auto"/>
              <w:right w:val="single" w:sz="4"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3500,0</w:t>
            </w:r>
          </w:p>
        </w:tc>
        <w:tc>
          <w:tcPr>
            <w:tcW w:w="1504" w:type="dxa"/>
            <w:tcBorders>
              <w:top w:val="single" w:sz="4" w:space="0" w:color="auto"/>
              <w:left w:val="single" w:sz="4" w:space="0" w:color="auto"/>
              <w:bottom w:val="single" w:sz="4" w:space="0" w:color="auto"/>
              <w:right w:val="single" w:sz="4"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w:t>
            </w:r>
          </w:p>
        </w:tc>
        <w:tc>
          <w:tcPr>
            <w:tcW w:w="960" w:type="dxa"/>
            <w:tcBorders>
              <w:top w:val="single" w:sz="4" w:space="0" w:color="auto"/>
              <w:left w:val="single" w:sz="4" w:space="0" w:color="auto"/>
              <w:bottom w:val="single" w:sz="4" w:space="0" w:color="auto"/>
              <w:right w:val="single" w:sz="4"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1500,0</w:t>
            </w:r>
          </w:p>
        </w:tc>
        <w:tc>
          <w:tcPr>
            <w:tcW w:w="1366" w:type="dxa"/>
            <w:tcBorders>
              <w:top w:val="single" w:sz="4" w:space="0" w:color="auto"/>
              <w:left w:val="single" w:sz="4" w:space="0" w:color="auto"/>
              <w:bottom w:val="single" w:sz="4" w:space="0" w:color="auto"/>
              <w:right w:val="single" w:sz="4"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Міжнародні інвестиції</w:t>
            </w:r>
          </w:p>
        </w:tc>
        <w:tc>
          <w:tcPr>
            <w:tcW w:w="1637" w:type="dxa"/>
            <w:gridSpan w:val="2"/>
            <w:tcBorders>
              <w:top w:val="single" w:sz="4" w:space="0" w:color="auto"/>
              <w:left w:val="single" w:sz="4" w:space="0" w:color="auto"/>
              <w:bottom w:val="single" w:sz="4" w:space="0" w:color="auto"/>
              <w:right w:val="single" w:sz="4"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5000,0</w:t>
            </w:r>
          </w:p>
        </w:tc>
      </w:tr>
    </w:tbl>
    <w:p w:rsidR="0051104F" w:rsidRPr="007E0AF4" w:rsidRDefault="0051104F" w:rsidP="00E95FB1">
      <w:pPr>
        <w:rPr>
          <w:sz w:val="22"/>
          <w:lang w:val="ru-RU"/>
        </w:rPr>
      </w:pPr>
    </w:p>
    <w:p w:rsidR="0051104F" w:rsidRPr="007E0AF4" w:rsidRDefault="0051104F" w:rsidP="00E95FB1">
      <w:pPr>
        <w:rPr>
          <w:sz w:val="22"/>
          <w:lang w:val="ru-RU"/>
        </w:rPr>
      </w:pPr>
    </w:p>
    <w:tbl>
      <w:tblPr>
        <w:tblpPr w:leftFromText="180" w:rightFromText="180" w:vertAnchor="text" w:horzAnchor="margin" w:tblpX="-366" w:tblpY="228"/>
        <w:tblW w:w="10065" w:type="dxa"/>
        <w:tblLayout w:type="fixed"/>
        <w:tblCellMar>
          <w:left w:w="30" w:type="dxa"/>
          <w:right w:w="30" w:type="dxa"/>
        </w:tblCellMar>
        <w:tblLook w:val="0000" w:firstRow="0" w:lastRow="0" w:firstColumn="0" w:lastColumn="0" w:noHBand="0" w:noVBand="0"/>
      </w:tblPr>
      <w:tblGrid>
        <w:gridCol w:w="3007"/>
        <w:gridCol w:w="1276"/>
        <w:gridCol w:w="1134"/>
        <w:gridCol w:w="1134"/>
        <w:gridCol w:w="756"/>
        <w:gridCol w:w="945"/>
        <w:gridCol w:w="364"/>
        <w:gridCol w:w="1449"/>
      </w:tblGrid>
      <w:tr w:rsidR="0051104F" w:rsidRPr="007E0AF4" w:rsidTr="0051104F">
        <w:trPr>
          <w:trHeight w:val="394"/>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r w:rsidRPr="007E0AF4">
              <w:rPr>
                <w:rFonts w:eastAsia="Calibri"/>
                <w:b/>
                <w:color w:val="000000"/>
                <w:sz w:val="22"/>
              </w:rPr>
              <w:t>Оперативна ціль/завдання</w:t>
            </w:r>
          </w:p>
        </w:tc>
        <w:tc>
          <w:tcPr>
            <w:tcW w:w="7058" w:type="dxa"/>
            <w:gridSpan w:val="7"/>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rFonts w:eastAsia="Calibri"/>
                <w:sz w:val="22"/>
              </w:rPr>
              <w:t xml:space="preserve">Людський розвиток через інновації управління та довіру до влади. Формування сучасного інклюзивного  </w:t>
            </w:r>
            <w:proofErr w:type="spellStart"/>
            <w:r w:rsidRPr="007E0AF4">
              <w:rPr>
                <w:rFonts w:eastAsia="Calibri"/>
                <w:sz w:val="22"/>
              </w:rPr>
              <w:t>освітньо</w:t>
            </w:r>
            <w:proofErr w:type="spellEnd"/>
            <w:r w:rsidRPr="007E0AF4">
              <w:rPr>
                <w:rFonts w:eastAsia="Calibri"/>
                <w:sz w:val="22"/>
              </w:rPr>
              <w:t>-культурного та спортивного простору для розвитку</w:t>
            </w:r>
          </w:p>
        </w:tc>
      </w:tr>
      <w:tr w:rsidR="0051104F" w:rsidRPr="007E0AF4" w:rsidTr="0051104F">
        <w:trPr>
          <w:trHeight w:val="671"/>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r w:rsidRPr="007E0AF4">
              <w:rPr>
                <w:rFonts w:eastAsia="Calibri"/>
                <w:b/>
                <w:color w:val="000000"/>
                <w:sz w:val="22"/>
              </w:rPr>
              <w:t>Назва проекту:</w:t>
            </w:r>
          </w:p>
        </w:tc>
        <w:tc>
          <w:tcPr>
            <w:tcW w:w="7058" w:type="dxa"/>
            <w:gridSpan w:val="7"/>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ind w:firstLine="254"/>
              <w:rPr>
                <w:rFonts w:eastAsia="Calibri"/>
                <w:sz w:val="22"/>
              </w:rPr>
            </w:pPr>
            <w:r w:rsidRPr="007E0AF4">
              <w:rPr>
                <w:rFonts w:eastAsia="Calibri"/>
                <w:sz w:val="22"/>
              </w:rPr>
              <w:t xml:space="preserve">Перезавантаження. Капітальний ремонт і відновлення технічної та науково-методичної бази гімназії № 16 м. Сєвєродонецька Луганської області та шкільної теплиці, за </w:t>
            </w:r>
            <w:proofErr w:type="spellStart"/>
            <w:r w:rsidRPr="007E0AF4">
              <w:rPr>
                <w:rFonts w:eastAsia="Calibri"/>
                <w:sz w:val="22"/>
              </w:rPr>
              <w:t>адресою</w:t>
            </w:r>
            <w:proofErr w:type="spellEnd"/>
            <w:r w:rsidRPr="007E0AF4">
              <w:rPr>
                <w:rFonts w:eastAsia="Calibri"/>
                <w:sz w:val="22"/>
              </w:rPr>
              <w:t xml:space="preserve"> вул. Гагаріна, буд. 97</w:t>
            </w:r>
          </w:p>
        </w:tc>
      </w:tr>
      <w:tr w:rsidR="0051104F" w:rsidRPr="007E0AF4" w:rsidTr="0051104F">
        <w:trPr>
          <w:trHeight w:val="1078"/>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r w:rsidRPr="007E0AF4">
              <w:rPr>
                <w:rFonts w:eastAsia="Calibri"/>
                <w:b/>
                <w:color w:val="000000"/>
                <w:sz w:val="22"/>
              </w:rPr>
              <w:t>Ціль проекту</w:t>
            </w:r>
          </w:p>
        </w:tc>
        <w:tc>
          <w:tcPr>
            <w:tcW w:w="7058" w:type="dxa"/>
            <w:gridSpan w:val="7"/>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rFonts w:eastAsia="Calibri"/>
                <w:sz w:val="22"/>
              </w:rPr>
              <w:t xml:space="preserve">1. Капітальний ремонт гімназії та теплиці гімназії, відновлення функціонування закладу освіти. </w:t>
            </w:r>
          </w:p>
          <w:p w:rsidR="0051104F" w:rsidRPr="007E0AF4" w:rsidRDefault="0051104F" w:rsidP="0051104F">
            <w:pPr>
              <w:autoSpaceDE w:val="0"/>
              <w:autoSpaceDN w:val="0"/>
              <w:adjustRightInd w:val="0"/>
              <w:rPr>
                <w:rFonts w:eastAsia="Calibri"/>
                <w:sz w:val="22"/>
              </w:rPr>
            </w:pPr>
            <w:r w:rsidRPr="007E0AF4">
              <w:rPr>
                <w:rFonts w:eastAsia="Calibri"/>
                <w:sz w:val="22"/>
              </w:rPr>
              <w:t>2. Формування інноваційного освітнього простору, матеріально-технічне переоснащення закладу освіти.</w:t>
            </w:r>
          </w:p>
          <w:p w:rsidR="0051104F" w:rsidRPr="007E0AF4" w:rsidRDefault="0051104F" w:rsidP="0051104F">
            <w:pPr>
              <w:autoSpaceDE w:val="0"/>
              <w:autoSpaceDN w:val="0"/>
              <w:adjustRightInd w:val="0"/>
              <w:rPr>
                <w:rFonts w:eastAsia="Calibri"/>
                <w:sz w:val="22"/>
              </w:rPr>
            </w:pPr>
            <w:r w:rsidRPr="007E0AF4">
              <w:rPr>
                <w:rFonts w:eastAsia="Calibri"/>
                <w:sz w:val="22"/>
              </w:rPr>
              <w:t>3. Створення умов для повноцінного і всебічного розвитку дітей, забезпечення реалізації права дитини на здобуття освіти, її фізичний, розумовий і духовний розвиток, створення комфортних та безпечних умов здобуття освіти, розвитку, виховання та навчання дітей, відповідно до санітарно-гігієнічних вимог.</w:t>
            </w:r>
          </w:p>
          <w:p w:rsidR="0051104F" w:rsidRPr="007E0AF4" w:rsidRDefault="0051104F" w:rsidP="00C83CE0">
            <w:pPr>
              <w:autoSpaceDE w:val="0"/>
              <w:autoSpaceDN w:val="0"/>
              <w:adjustRightInd w:val="0"/>
              <w:rPr>
                <w:rFonts w:eastAsia="Calibri"/>
                <w:sz w:val="22"/>
              </w:rPr>
            </w:pPr>
            <w:r w:rsidRPr="007E0AF4">
              <w:rPr>
                <w:rFonts w:eastAsia="Calibri"/>
                <w:sz w:val="22"/>
              </w:rPr>
              <w:t xml:space="preserve">3. Забезпечення впровадження інноваційних навчальних програм і форм роботи з метою виховання всебічно розвинутої, відповідальної та </w:t>
            </w:r>
            <w:proofErr w:type="spellStart"/>
            <w:r w:rsidRPr="007E0AF4">
              <w:rPr>
                <w:rFonts w:eastAsia="Calibri"/>
                <w:sz w:val="22"/>
              </w:rPr>
              <w:t>екосвідомої</w:t>
            </w:r>
            <w:proofErr w:type="spellEnd"/>
            <w:r w:rsidRPr="007E0AF4">
              <w:rPr>
                <w:rFonts w:eastAsia="Calibri"/>
                <w:sz w:val="22"/>
              </w:rPr>
              <w:t xml:space="preserve"> особистості з чіткою громадянською позицією.</w:t>
            </w:r>
          </w:p>
        </w:tc>
      </w:tr>
      <w:tr w:rsidR="0051104F" w:rsidRPr="007E0AF4" w:rsidTr="0051104F">
        <w:trPr>
          <w:trHeight w:val="282"/>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r w:rsidRPr="007E0AF4">
              <w:rPr>
                <w:rFonts w:eastAsia="Calibri"/>
                <w:b/>
                <w:color w:val="000000"/>
                <w:sz w:val="22"/>
              </w:rPr>
              <w:t>Територія, на яку матиме вплив реалізація проекту</w:t>
            </w:r>
          </w:p>
        </w:tc>
        <w:tc>
          <w:tcPr>
            <w:tcW w:w="7058" w:type="dxa"/>
            <w:gridSpan w:val="7"/>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rFonts w:eastAsia="Calibri"/>
                <w:sz w:val="22"/>
              </w:rPr>
              <w:t>Сєвєродонецька міська територіальна громада</w:t>
            </w:r>
          </w:p>
        </w:tc>
      </w:tr>
      <w:tr w:rsidR="0051104F" w:rsidRPr="007E0AF4" w:rsidTr="0051104F">
        <w:trPr>
          <w:trHeight w:val="459"/>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r w:rsidRPr="007E0AF4">
              <w:rPr>
                <w:rFonts w:eastAsia="Calibri"/>
                <w:b/>
                <w:color w:val="000000"/>
                <w:sz w:val="22"/>
              </w:rPr>
              <w:t>Чисельність населення, на яке матиме вплив реалізація проекту</w:t>
            </w:r>
          </w:p>
        </w:tc>
        <w:tc>
          <w:tcPr>
            <w:tcW w:w="7058" w:type="dxa"/>
            <w:gridSpan w:val="7"/>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rFonts w:eastAsia="Calibri"/>
                <w:sz w:val="22"/>
              </w:rPr>
              <w:t>70 000 осіб</w:t>
            </w:r>
          </w:p>
        </w:tc>
      </w:tr>
      <w:tr w:rsidR="0051104F" w:rsidRPr="007E0AF4" w:rsidTr="0051104F">
        <w:trPr>
          <w:trHeight w:val="1225"/>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sz w:val="22"/>
              </w:rPr>
            </w:pPr>
            <w:r w:rsidRPr="007E0AF4">
              <w:rPr>
                <w:rFonts w:eastAsia="Calibri"/>
                <w:b/>
                <w:sz w:val="22"/>
              </w:rPr>
              <w:lastRenderedPageBreak/>
              <w:t>Опис проблеми, на вирішення якої спрямований проект</w:t>
            </w:r>
          </w:p>
          <w:p w:rsidR="0051104F" w:rsidRPr="007E0AF4" w:rsidRDefault="0051104F" w:rsidP="0051104F">
            <w:pPr>
              <w:autoSpaceDE w:val="0"/>
              <w:autoSpaceDN w:val="0"/>
              <w:adjustRightInd w:val="0"/>
              <w:rPr>
                <w:rFonts w:eastAsia="Calibri"/>
                <w:b/>
                <w:sz w:val="22"/>
              </w:rPr>
            </w:pPr>
          </w:p>
          <w:p w:rsidR="0051104F" w:rsidRPr="007E0AF4" w:rsidRDefault="0051104F" w:rsidP="0051104F">
            <w:pPr>
              <w:autoSpaceDE w:val="0"/>
              <w:autoSpaceDN w:val="0"/>
              <w:adjustRightInd w:val="0"/>
              <w:rPr>
                <w:rFonts w:eastAsia="Calibri"/>
                <w:b/>
                <w:color w:val="FF0000"/>
                <w:sz w:val="22"/>
              </w:rPr>
            </w:pPr>
          </w:p>
        </w:tc>
        <w:tc>
          <w:tcPr>
            <w:tcW w:w="7058" w:type="dxa"/>
            <w:gridSpan w:val="7"/>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ind w:firstLine="254"/>
              <w:rPr>
                <w:rFonts w:eastAsia="Calibri"/>
                <w:sz w:val="22"/>
              </w:rPr>
            </w:pPr>
            <w:r w:rsidRPr="007E0AF4">
              <w:rPr>
                <w:rFonts w:eastAsia="Calibri"/>
                <w:sz w:val="22"/>
              </w:rPr>
              <w:t xml:space="preserve">З початку воєнних (бойових) дій на території Луганської області Гімназія №16 м. Сєвєродонецька та її територія зазнали значних руйнувань і пограбувань, що унеможливлює після </w:t>
            </w:r>
            <w:proofErr w:type="spellStart"/>
            <w:r w:rsidRPr="007E0AF4">
              <w:rPr>
                <w:rFonts w:eastAsia="Calibri"/>
                <w:sz w:val="22"/>
              </w:rPr>
              <w:t>деокупації</w:t>
            </w:r>
            <w:proofErr w:type="spellEnd"/>
            <w:r w:rsidRPr="007E0AF4">
              <w:rPr>
                <w:rFonts w:eastAsia="Calibri"/>
                <w:sz w:val="22"/>
              </w:rPr>
              <w:t xml:space="preserve"> продовжити освітній процес. Будівля гімназії зазнала значних пошкоджень, вся матеріально-технічна база навчального закладу була знищена або викрадена. Пошкодження спортивної зали та стадіону гімназії  унеможливлює проведення уроків фізичної культури. Для відновлення роботи гімназії та забезпечення її учнів якісним навчанням потрібен капітальний ремонт будівлі, теплиці гімназії, спортивної зали, реконструкція стадіону, території гімназії та повне відновлення матеріально-технічної бази освітнього закладу.</w:t>
            </w:r>
          </w:p>
        </w:tc>
      </w:tr>
      <w:tr w:rsidR="0051104F" w:rsidRPr="007E0AF4" w:rsidTr="0051104F">
        <w:trPr>
          <w:trHeight w:val="1229"/>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r w:rsidRPr="007E0AF4">
              <w:rPr>
                <w:rFonts w:eastAsia="Calibri"/>
                <w:b/>
                <w:color w:val="000000"/>
                <w:sz w:val="22"/>
              </w:rPr>
              <w:t>Очікувані якісні результати від реалізації проекту</w:t>
            </w:r>
          </w:p>
        </w:tc>
        <w:tc>
          <w:tcPr>
            <w:tcW w:w="7058" w:type="dxa"/>
            <w:gridSpan w:val="7"/>
            <w:tcBorders>
              <w:top w:val="single" w:sz="6" w:space="0" w:color="auto"/>
              <w:left w:val="single" w:sz="6" w:space="0" w:color="auto"/>
              <w:bottom w:val="single" w:sz="6" w:space="0" w:color="auto"/>
              <w:right w:val="single" w:sz="6" w:space="0" w:color="auto"/>
            </w:tcBorders>
          </w:tcPr>
          <w:p w:rsidR="0051104F" w:rsidRPr="007E0AF4" w:rsidRDefault="0051104F" w:rsidP="000303D7">
            <w:pPr>
              <w:numPr>
                <w:ilvl w:val="0"/>
                <w:numId w:val="105"/>
              </w:numPr>
              <w:autoSpaceDE w:val="0"/>
              <w:autoSpaceDN w:val="0"/>
              <w:adjustRightInd w:val="0"/>
              <w:jc w:val="left"/>
              <w:rPr>
                <w:rFonts w:eastAsia="Calibri"/>
                <w:sz w:val="22"/>
              </w:rPr>
            </w:pPr>
            <w:r w:rsidRPr="007E0AF4">
              <w:rPr>
                <w:rFonts w:eastAsia="Calibri"/>
                <w:sz w:val="22"/>
              </w:rPr>
              <w:t xml:space="preserve">Створення умов для відновлення повноцінної та ефективної роботи освітнього закладу. </w:t>
            </w:r>
          </w:p>
          <w:p w:rsidR="0051104F" w:rsidRPr="007E0AF4" w:rsidRDefault="0051104F" w:rsidP="000303D7">
            <w:pPr>
              <w:numPr>
                <w:ilvl w:val="0"/>
                <w:numId w:val="105"/>
              </w:numPr>
              <w:autoSpaceDE w:val="0"/>
              <w:autoSpaceDN w:val="0"/>
              <w:adjustRightInd w:val="0"/>
              <w:jc w:val="left"/>
              <w:rPr>
                <w:rFonts w:eastAsia="Calibri"/>
                <w:sz w:val="22"/>
              </w:rPr>
            </w:pPr>
            <w:r w:rsidRPr="007E0AF4">
              <w:rPr>
                <w:rFonts w:eastAsia="Calibri"/>
                <w:sz w:val="22"/>
              </w:rPr>
              <w:t>Поліпшення стану здоров'я дітей, створення здоров’язберігаючого середовища, розширення можливостей закладу освіти з пропаганди здорового способу життя.</w:t>
            </w:r>
          </w:p>
          <w:p w:rsidR="0051104F" w:rsidRPr="007E0AF4" w:rsidRDefault="0051104F" w:rsidP="000303D7">
            <w:pPr>
              <w:numPr>
                <w:ilvl w:val="0"/>
                <w:numId w:val="105"/>
              </w:numPr>
              <w:autoSpaceDE w:val="0"/>
              <w:autoSpaceDN w:val="0"/>
              <w:adjustRightInd w:val="0"/>
              <w:jc w:val="left"/>
              <w:rPr>
                <w:rFonts w:eastAsia="Calibri"/>
                <w:sz w:val="22"/>
              </w:rPr>
            </w:pPr>
            <w:r w:rsidRPr="007E0AF4">
              <w:rPr>
                <w:rFonts w:eastAsia="Calibri"/>
                <w:sz w:val="22"/>
              </w:rPr>
              <w:t>Забезпечення якісної сучасної освіти з використанням інноваційних і мультимедійних технологій та інтерактивних методів.</w:t>
            </w:r>
          </w:p>
          <w:p w:rsidR="0051104F" w:rsidRPr="007E0AF4" w:rsidRDefault="0051104F" w:rsidP="000303D7">
            <w:pPr>
              <w:numPr>
                <w:ilvl w:val="0"/>
                <w:numId w:val="105"/>
              </w:numPr>
              <w:autoSpaceDE w:val="0"/>
              <w:autoSpaceDN w:val="0"/>
              <w:adjustRightInd w:val="0"/>
              <w:jc w:val="left"/>
              <w:rPr>
                <w:rFonts w:eastAsia="Calibri"/>
                <w:sz w:val="22"/>
              </w:rPr>
            </w:pPr>
            <w:r w:rsidRPr="007E0AF4">
              <w:rPr>
                <w:rFonts w:eastAsia="Calibri"/>
                <w:sz w:val="22"/>
              </w:rPr>
              <w:t xml:space="preserve"> Створення нових робочих місць.</w:t>
            </w:r>
          </w:p>
          <w:p w:rsidR="0051104F" w:rsidRPr="007E0AF4" w:rsidRDefault="0051104F" w:rsidP="000303D7">
            <w:pPr>
              <w:numPr>
                <w:ilvl w:val="0"/>
                <w:numId w:val="105"/>
              </w:numPr>
              <w:autoSpaceDE w:val="0"/>
              <w:autoSpaceDN w:val="0"/>
              <w:adjustRightInd w:val="0"/>
              <w:jc w:val="left"/>
              <w:rPr>
                <w:rFonts w:eastAsia="Calibri"/>
                <w:sz w:val="22"/>
              </w:rPr>
            </w:pPr>
            <w:r w:rsidRPr="007E0AF4">
              <w:rPr>
                <w:rFonts w:eastAsia="Calibri"/>
                <w:sz w:val="22"/>
              </w:rPr>
              <w:t>Стимул до повернення ВПО до громади.</w:t>
            </w:r>
          </w:p>
        </w:tc>
      </w:tr>
      <w:tr w:rsidR="0051104F" w:rsidRPr="007E0AF4" w:rsidTr="0051104F">
        <w:trPr>
          <w:trHeight w:val="565"/>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r w:rsidRPr="007E0AF4">
              <w:rPr>
                <w:rFonts w:eastAsia="Calibri"/>
                <w:b/>
                <w:color w:val="000000"/>
                <w:sz w:val="22"/>
              </w:rPr>
              <w:t>Очікувані кількісні результати від реалізації проекту (індикатори)</w:t>
            </w:r>
          </w:p>
        </w:tc>
        <w:tc>
          <w:tcPr>
            <w:tcW w:w="4300" w:type="dxa"/>
            <w:gridSpan w:val="4"/>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b/>
                <w:sz w:val="22"/>
              </w:rPr>
            </w:pPr>
            <w:r w:rsidRPr="007E0AF4">
              <w:rPr>
                <w:rFonts w:eastAsia="Calibri"/>
                <w:b/>
                <w:sz w:val="22"/>
              </w:rPr>
              <w:t>Найменування показника</w:t>
            </w:r>
          </w:p>
        </w:tc>
        <w:tc>
          <w:tcPr>
            <w:tcW w:w="1309" w:type="dxa"/>
            <w:gridSpan w:val="2"/>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b/>
                <w:sz w:val="22"/>
              </w:rPr>
            </w:pPr>
            <w:r w:rsidRPr="007E0AF4">
              <w:rPr>
                <w:rFonts w:eastAsia="Calibri"/>
                <w:b/>
                <w:sz w:val="22"/>
              </w:rPr>
              <w:t>Одиниця вимірювання</w:t>
            </w:r>
          </w:p>
        </w:tc>
        <w:tc>
          <w:tcPr>
            <w:tcW w:w="1449" w:type="dxa"/>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b/>
                <w:color w:val="000000"/>
                <w:sz w:val="22"/>
              </w:rPr>
            </w:pPr>
            <w:r w:rsidRPr="007E0AF4">
              <w:rPr>
                <w:rFonts w:eastAsia="Calibri"/>
                <w:b/>
                <w:color w:val="000000"/>
                <w:sz w:val="22"/>
              </w:rPr>
              <w:t>Прогнозне (цільове) значення</w:t>
            </w:r>
          </w:p>
        </w:tc>
      </w:tr>
      <w:tr w:rsidR="0051104F" w:rsidRPr="007E0AF4" w:rsidTr="00BD7207">
        <w:trPr>
          <w:trHeight w:val="658"/>
        </w:trPr>
        <w:tc>
          <w:tcPr>
            <w:tcW w:w="3007" w:type="dxa"/>
            <w:vMerge w:val="restart"/>
            <w:tcBorders>
              <w:top w:val="single" w:sz="6" w:space="0" w:color="auto"/>
              <w:left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FF0000"/>
                <w:sz w:val="22"/>
              </w:rPr>
            </w:pPr>
          </w:p>
        </w:tc>
        <w:tc>
          <w:tcPr>
            <w:tcW w:w="4300" w:type="dxa"/>
            <w:gridSpan w:val="4"/>
            <w:tcBorders>
              <w:top w:val="single" w:sz="6" w:space="0" w:color="auto"/>
              <w:left w:val="single" w:sz="6" w:space="0" w:color="auto"/>
              <w:bottom w:val="single" w:sz="6" w:space="0" w:color="auto"/>
              <w:right w:val="single" w:sz="6" w:space="0" w:color="auto"/>
            </w:tcBorders>
          </w:tcPr>
          <w:p w:rsidR="0051104F" w:rsidRPr="007E0AF4" w:rsidRDefault="0051104F" w:rsidP="0051104F">
            <w:pPr>
              <w:tabs>
                <w:tab w:val="left" w:pos="114"/>
              </w:tabs>
              <w:autoSpaceDE w:val="0"/>
              <w:autoSpaceDN w:val="0"/>
              <w:adjustRightInd w:val="0"/>
              <w:ind w:left="114"/>
              <w:rPr>
                <w:rFonts w:eastAsia="Calibri"/>
                <w:sz w:val="22"/>
              </w:rPr>
            </w:pPr>
            <w:r w:rsidRPr="007E0AF4">
              <w:rPr>
                <w:rFonts w:eastAsia="Calibri"/>
                <w:sz w:val="22"/>
              </w:rPr>
              <w:t>Капітальний ремонт будівлі гімназії, теплиці та території гімназії.</w:t>
            </w:r>
          </w:p>
        </w:tc>
        <w:tc>
          <w:tcPr>
            <w:tcW w:w="1309" w:type="dxa"/>
            <w:gridSpan w:val="2"/>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rFonts w:eastAsia="Calibri"/>
                <w:sz w:val="22"/>
              </w:rPr>
              <w:t>м2</w:t>
            </w:r>
          </w:p>
        </w:tc>
        <w:tc>
          <w:tcPr>
            <w:tcW w:w="1449" w:type="dxa"/>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ind w:hanging="170"/>
              <w:rPr>
                <w:rFonts w:eastAsia="Calibri"/>
                <w:color w:val="000000"/>
                <w:sz w:val="22"/>
              </w:rPr>
            </w:pPr>
            <w:r w:rsidRPr="007E0AF4">
              <w:rPr>
                <w:rFonts w:eastAsia="Calibri"/>
                <w:color w:val="000000"/>
                <w:sz w:val="22"/>
              </w:rPr>
              <w:t>1. 4334</w:t>
            </w:r>
          </w:p>
        </w:tc>
      </w:tr>
      <w:tr w:rsidR="0051104F" w:rsidRPr="007E0AF4" w:rsidTr="0051104F">
        <w:trPr>
          <w:trHeight w:val="257"/>
        </w:trPr>
        <w:tc>
          <w:tcPr>
            <w:tcW w:w="3007" w:type="dxa"/>
            <w:vMerge/>
            <w:tcBorders>
              <w:left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p>
        </w:tc>
        <w:tc>
          <w:tcPr>
            <w:tcW w:w="4300" w:type="dxa"/>
            <w:gridSpan w:val="4"/>
            <w:tcBorders>
              <w:top w:val="single" w:sz="6" w:space="0" w:color="auto"/>
              <w:left w:val="single" w:sz="6" w:space="0" w:color="auto"/>
              <w:bottom w:val="single" w:sz="6" w:space="0" w:color="auto"/>
              <w:right w:val="single" w:sz="6" w:space="0" w:color="auto"/>
            </w:tcBorders>
          </w:tcPr>
          <w:p w:rsidR="0051104F" w:rsidRPr="007E0AF4" w:rsidRDefault="0051104F" w:rsidP="00BD7207">
            <w:pPr>
              <w:autoSpaceDE w:val="0"/>
              <w:autoSpaceDN w:val="0"/>
              <w:adjustRightInd w:val="0"/>
              <w:jc w:val="left"/>
              <w:rPr>
                <w:rFonts w:eastAsia="Calibri"/>
                <w:sz w:val="22"/>
              </w:rPr>
            </w:pPr>
            <w:r w:rsidRPr="007E0AF4">
              <w:rPr>
                <w:sz w:val="22"/>
              </w:rPr>
              <w:t xml:space="preserve">вікна, двері </w:t>
            </w:r>
          </w:p>
        </w:tc>
        <w:tc>
          <w:tcPr>
            <w:tcW w:w="1309" w:type="dxa"/>
            <w:gridSpan w:val="2"/>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sz w:val="22"/>
              </w:rPr>
              <w:t>одиниць</w:t>
            </w:r>
          </w:p>
        </w:tc>
        <w:tc>
          <w:tcPr>
            <w:tcW w:w="1449" w:type="dxa"/>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color w:val="000000"/>
                <w:sz w:val="22"/>
              </w:rPr>
            </w:pPr>
            <w:r w:rsidRPr="007E0AF4">
              <w:rPr>
                <w:color w:val="000000"/>
                <w:sz w:val="22"/>
              </w:rPr>
              <w:t>245</w:t>
            </w:r>
          </w:p>
        </w:tc>
      </w:tr>
      <w:tr w:rsidR="0051104F" w:rsidRPr="007E0AF4" w:rsidTr="0051104F">
        <w:trPr>
          <w:trHeight w:val="547"/>
        </w:trPr>
        <w:tc>
          <w:tcPr>
            <w:tcW w:w="3007" w:type="dxa"/>
            <w:vMerge/>
            <w:tcBorders>
              <w:left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p>
        </w:tc>
        <w:tc>
          <w:tcPr>
            <w:tcW w:w="4300" w:type="dxa"/>
            <w:gridSpan w:val="4"/>
            <w:tcBorders>
              <w:top w:val="single" w:sz="6" w:space="0" w:color="auto"/>
              <w:left w:val="single" w:sz="6" w:space="0" w:color="auto"/>
              <w:bottom w:val="single" w:sz="6" w:space="0" w:color="auto"/>
              <w:right w:val="single" w:sz="6" w:space="0" w:color="auto"/>
            </w:tcBorders>
          </w:tcPr>
          <w:p w:rsidR="0051104F" w:rsidRPr="007E0AF4" w:rsidRDefault="0051104F" w:rsidP="00BD7207">
            <w:pPr>
              <w:autoSpaceDE w:val="0"/>
              <w:autoSpaceDN w:val="0"/>
              <w:adjustRightInd w:val="0"/>
              <w:jc w:val="left"/>
              <w:rPr>
                <w:rFonts w:eastAsia="Calibri"/>
                <w:sz w:val="22"/>
              </w:rPr>
            </w:pPr>
            <w:r w:rsidRPr="007E0AF4">
              <w:rPr>
                <w:sz w:val="22"/>
              </w:rPr>
              <w:t>санвузли (унітази</w:t>
            </w:r>
            <w:r w:rsidR="00BD7207" w:rsidRPr="007E0AF4">
              <w:rPr>
                <w:sz w:val="22"/>
              </w:rPr>
              <w:t xml:space="preserve"> </w:t>
            </w:r>
            <w:r w:rsidRPr="007E0AF4">
              <w:rPr>
                <w:sz w:val="22"/>
              </w:rPr>
              <w:t>+раковини)</w:t>
            </w:r>
          </w:p>
        </w:tc>
        <w:tc>
          <w:tcPr>
            <w:tcW w:w="1309" w:type="dxa"/>
            <w:gridSpan w:val="2"/>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sz w:val="22"/>
              </w:rPr>
              <w:t>одиниць</w:t>
            </w:r>
          </w:p>
        </w:tc>
        <w:tc>
          <w:tcPr>
            <w:tcW w:w="1449" w:type="dxa"/>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color w:val="000000"/>
                <w:sz w:val="22"/>
              </w:rPr>
            </w:pPr>
            <w:r w:rsidRPr="007E0AF4">
              <w:rPr>
                <w:color w:val="000000"/>
                <w:sz w:val="22"/>
              </w:rPr>
              <w:t>37</w:t>
            </w:r>
          </w:p>
        </w:tc>
      </w:tr>
      <w:tr w:rsidR="0051104F" w:rsidRPr="007E0AF4" w:rsidTr="00BD7207">
        <w:trPr>
          <w:trHeight w:val="538"/>
        </w:trPr>
        <w:tc>
          <w:tcPr>
            <w:tcW w:w="3007" w:type="dxa"/>
            <w:vMerge/>
            <w:tcBorders>
              <w:left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p>
        </w:tc>
        <w:tc>
          <w:tcPr>
            <w:tcW w:w="4300" w:type="dxa"/>
            <w:gridSpan w:val="4"/>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sz w:val="22"/>
              </w:rPr>
              <w:t>металеві конструкції на спортивному майданчику</w:t>
            </w:r>
          </w:p>
        </w:tc>
        <w:tc>
          <w:tcPr>
            <w:tcW w:w="1309" w:type="dxa"/>
            <w:gridSpan w:val="2"/>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sz w:val="22"/>
              </w:rPr>
              <w:t>одиниць</w:t>
            </w:r>
            <w:r w:rsidRPr="007E0AF4">
              <w:rPr>
                <w:rFonts w:eastAsia="Calibri"/>
                <w:sz w:val="22"/>
              </w:rPr>
              <w:t xml:space="preserve"> </w:t>
            </w:r>
          </w:p>
        </w:tc>
        <w:tc>
          <w:tcPr>
            <w:tcW w:w="1449" w:type="dxa"/>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20</w:t>
            </w:r>
          </w:p>
        </w:tc>
      </w:tr>
      <w:tr w:rsidR="0051104F" w:rsidRPr="007E0AF4" w:rsidTr="00BD7207">
        <w:trPr>
          <w:trHeight w:val="408"/>
        </w:trPr>
        <w:tc>
          <w:tcPr>
            <w:tcW w:w="3007" w:type="dxa"/>
            <w:vMerge/>
            <w:tcBorders>
              <w:left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p>
        </w:tc>
        <w:tc>
          <w:tcPr>
            <w:tcW w:w="4300" w:type="dxa"/>
            <w:gridSpan w:val="4"/>
            <w:tcBorders>
              <w:top w:val="single" w:sz="6" w:space="0" w:color="auto"/>
              <w:left w:val="single" w:sz="6" w:space="0" w:color="auto"/>
              <w:bottom w:val="single" w:sz="6" w:space="0" w:color="auto"/>
              <w:right w:val="single" w:sz="6" w:space="0" w:color="auto"/>
            </w:tcBorders>
          </w:tcPr>
          <w:p w:rsidR="0051104F" w:rsidRPr="007E0AF4" w:rsidRDefault="0051104F" w:rsidP="00BD7207">
            <w:pPr>
              <w:pStyle w:val="afe"/>
              <w:spacing w:before="0" w:beforeAutospacing="0" w:after="0" w:afterAutospacing="0"/>
              <w:rPr>
                <w:rFonts w:eastAsia="Calibri"/>
                <w:sz w:val="22"/>
              </w:rPr>
            </w:pPr>
            <w:r w:rsidRPr="007E0AF4">
              <w:rPr>
                <w:sz w:val="22"/>
              </w:rPr>
              <w:t>плитка на подвір’ї гімназії</w:t>
            </w:r>
          </w:p>
        </w:tc>
        <w:tc>
          <w:tcPr>
            <w:tcW w:w="1309" w:type="dxa"/>
            <w:gridSpan w:val="2"/>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rFonts w:eastAsia="Calibri"/>
                <w:sz w:val="22"/>
              </w:rPr>
              <w:t>м2</w:t>
            </w:r>
          </w:p>
        </w:tc>
        <w:tc>
          <w:tcPr>
            <w:tcW w:w="1449" w:type="dxa"/>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color w:val="000000"/>
                <w:sz w:val="22"/>
              </w:rPr>
            </w:pPr>
            <w:r w:rsidRPr="007E0AF4">
              <w:rPr>
                <w:color w:val="000000"/>
                <w:sz w:val="22"/>
              </w:rPr>
              <w:t>200</w:t>
            </w:r>
          </w:p>
        </w:tc>
      </w:tr>
      <w:tr w:rsidR="0051104F" w:rsidRPr="007E0AF4" w:rsidTr="0051104F">
        <w:trPr>
          <w:trHeight w:val="205"/>
        </w:trPr>
        <w:tc>
          <w:tcPr>
            <w:tcW w:w="3007" w:type="dxa"/>
            <w:vMerge/>
            <w:tcBorders>
              <w:left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ind w:left="720"/>
              <w:rPr>
                <w:rFonts w:eastAsia="Calibri"/>
                <w:b/>
                <w:color w:val="000000"/>
                <w:sz w:val="22"/>
              </w:rPr>
            </w:pPr>
          </w:p>
        </w:tc>
        <w:tc>
          <w:tcPr>
            <w:tcW w:w="4300" w:type="dxa"/>
            <w:gridSpan w:val="4"/>
            <w:tcBorders>
              <w:top w:val="single" w:sz="6" w:space="0" w:color="auto"/>
              <w:left w:val="single" w:sz="6" w:space="0" w:color="auto"/>
              <w:bottom w:val="single" w:sz="6" w:space="0" w:color="auto"/>
              <w:right w:val="single" w:sz="6" w:space="0" w:color="auto"/>
            </w:tcBorders>
          </w:tcPr>
          <w:p w:rsidR="0051104F" w:rsidRPr="007E0AF4" w:rsidRDefault="0051104F" w:rsidP="0051104F">
            <w:pPr>
              <w:pStyle w:val="afe"/>
              <w:spacing w:before="0" w:beforeAutospacing="0" w:after="0" w:afterAutospacing="0"/>
              <w:rPr>
                <w:sz w:val="22"/>
              </w:rPr>
            </w:pPr>
            <w:r w:rsidRPr="007E0AF4">
              <w:rPr>
                <w:sz w:val="22"/>
              </w:rPr>
              <w:t>меблі для навчальних кабінетів</w:t>
            </w:r>
          </w:p>
        </w:tc>
        <w:tc>
          <w:tcPr>
            <w:tcW w:w="1309" w:type="dxa"/>
            <w:gridSpan w:val="2"/>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sz w:val="22"/>
              </w:rPr>
              <w:t>одиниць</w:t>
            </w:r>
          </w:p>
        </w:tc>
        <w:tc>
          <w:tcPr>
            <w:tcW w:w="1449" w:type="dxa"/>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1819</w:t>
            </w:r>
          </w:p>
        </w:tc>
      </w:tr>
      <w:tr w:rsidR="0051104F" w:rsidRPr="007E0AF4" w:rsidTr="0051104F">
        <w:trPr>
          <w:trHeight w:val="271"/>
        </w:trPr>
        <w:tc>
          <w:tcPr>
            <w:tcW w:w="3007" w:type="dxa"/>
            <w:vMerge/>
            <w:tcBorders>
              <w:left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ind w:left="720"/>
              <w:rPr>
                <w:rFonts w:eastAsia="Calibri"/>
                <w:b/>
                <w:color w:val="000000"/>
                <w:sz w:val="22"/>
              </w:rPr>
            </w:pPr>
          </w:p>
        </w:tc>
        <w:tc>
          <w:tcPr>
            <w:tcW w:w="4300" w:type="dxa"/>
            <w:gridSpan w:val="4"/>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sz w:val="22"/>
              </w:rPr>
              <w:t>комп’ютери, інтерактивні дошки та оргтехніка</w:t>
            </w:r>
          </w:p>
        </w:tc>
        <w:tc>
          <w:tcPr>
            <w:tcW w:w="1309" w:type="dxa"/>
            <w:gridSpan w:val="2"/>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sz w:val="22"/>
              </w:rPr>
              <w:t>одиниць</w:t>
            </w:r>
          </w:p>
        </w:tc>
        <w:tc>
          <w:tcPr>
            <w:tcW w:w="1449" w:type="dxa"/>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color w:val="000000"/>
                <w:sz w:val="22"/>
              </w:rPr>
            </w:pPr>
            <w:r w:rsidRPr="007E0AF4">
              <w:rPr>
                <w:color w:val="000000"/>
                <w:sz w:val="22"/>
              </w:rPr>
              <w:t>164</w:t>
            </w:r>
          </w:p>
        </w:tc>
      </w:tr>
      <w:tr w:rsidR="0051104F" w:rsidRPr="007E0AF4" w:rsidTr="0051104F">
        <w:trPr>
          <w:trHeight w:val="257"/>
        </w:trPr>
        <w:tc>
          <w:tcPr>
            <w:tcW w:w="3007" w:type="dxa"/>
            <w:vMerge/>
            <w:tcBorders>
              <w:left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ind w:left="720"/>
              <w:rPr>
                <w:rFonts w:eastAsia="Calibri"/>
                <w:b/>
                <w:color w:val="000000"/>
                <w:sz w:val="22"/>
              </w:rPr>
            </w:pPr>
          </w:p>
        </w:tc>
        <w:tc>
          <w:tcPr>
            <w:tcW w:w="4300" w:type="dxa"/>
            <w:gridSpan w:val="4"/>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sz w:val="22"/>
              </w:rPr>
              <w:t>водонагрівачі</w:t>
            </w:r>
          </w:p>
        </w:tc>
        <w:tc>
          <w:tcPr>
            <w:tcW w:w="1309" w:type="dxa"/>
            <w:gridSpan w:val="2"/>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sz w:val="22"/>
              </w:rPr>
              <w:t>одиниць</w:t>
            </w:r>
          </w:p>
        </w:tc>
        <w:tc>
          <w:tcPr>
            <w:tcW w:w="1449" w:type="dxa"/>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5</w:t>
            </w:r>
          </w:p>
        </w:tc>
      </w:tr>
      <w:tr w:rsidR="0051104F" w:rsidRPr="007E0AF4" w:rsidTr="0051104F">
        <w:trPr>
          <w:trHeight w:val="287"/>
        </w:trPr>
        <w:tc>
          <w:tcPr>
            <w:tcW w:w="3007" w:type="dxa"/>
            <w:vMerge/>
            <w:tcBorders>
              <w:left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ind w:left="720"/>
              <w:rPr>
                <w:rFonts w:eastAsia="Calibri"/>
                <w:b/>
                <w:color w:val="000000"/>
                <w:sz w:val="22"/>
              </w:rPr>
            </w:pPr>
          </w:p>
        </w:tc>
        <w:tc>
          <w:tcPr>
            <w:tcW w:w="4300" w:type="dxa"/>
            <w:gridSpan w:val="4"/>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sz w:val="22"/>
              </w:rPr>
              <w:t xml:space="preserve">обладнання для кабінетів технології та  трудового навчання </w:t>
            </w:r>
          </w:p>
        </w:tc>
        <w:tc>
          <w:tcPr>
            <w:tcW w:w="1309" w:type="dxa"/>
            <w:gridSpan w:val="2"/>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sz w:val="22"/>
              </w:rPr>
              <w:t>одиниць</w:t>
            </w:r>
          </w:p>
        </w:tc>
        <w:tc>
          <w:tcPr>
            <w:tcW w:w="1449" w:type="dxa"/>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color w:val="000000"/>
                <w:sz w:val="22"/>
              </w:rPr>
            </w:pPr>
            <w:r w:rsidRPr="007E0AF4">
              <w:rPr>
                <w:color w:val="000000"/>
                <w:sz w:val="22"/>
              </w:rPr>
              <w:t>62</w:t>
            </w:r>
          </w:p>
        </w:tc>
      </w:tr>
      <w:tr w:rsidR="0051104F" w:rsidRPr="007E0AF4" w:rsidTr="0051104F">
        <w:trPr>
          <w:trHeight w:val="308"/>
        </w:trPr>
        <w:tc>
          <w:tcPr>
            <w:tcW w:w="3007" w:type="dxa"/>
            <w:vMerge/>
            <w:tcBorders>
              <w:left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ind w:left="720"/>
              <w:rPr>
                <w:rFonts w:eastAsia="Calibri"/>
                <w:b/>
                <w:color w:val="000000"/>
                <w:sz w:val="22"/>
              </w:rPr>
            </w:pPr>
          </w:p>
        </w:tc>
        <w:tc>
          <w:tcPr>
            <w:tcW w:w="4300" w:type="dxa"/>
            <w:gridSpan w:val="4"/>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sz w:val="22"/>
              </w:rPr>
              <w:t xml:space="preserve">меблі та обладнання для їдальні гімназії </w:t>
            </w:r>
          </w:p>
        </w:tc>
        <w:tc>
          <w:tcPr>
            <w:tcW w:w="1309" w:type="dxa"/>
            <w:gridSpan w:val="2"/>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sz w:val="22"/>
              </w:rPr>
              <w:t>одиниць</w:t>
            </w:r>
          </w:p>
        </w:tc>
        <w:tc>
          <w:tcPr>
            <w:tcW w:w="1449" w:type="dxa"/>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140</w:t>
            </w:r>
          </w:p>
        </w:tc>
      </w:tr>
      <w:tr w:rsidR="0051104F" w:rsidRPr="007E0AF4" w:rsidTr="0051104F">
        <w:trPr>
          <w:trHeight w:val="492"/>
        </w:trPr>
        <w:tc>
          <w:tcPr>
            <w:tcW w:w="3007" w:type="dxa"/>
            <w:vMerge/>
            <w:tcBorders>
              <w:left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ind w:left="720"/>
              <w:rPr>
                <w:rFonts w:eastAsia="Calibri"/>
                <w:b/>
                <w:color w:val="000000"/>
                <w:sz w:val="22"/>
              </w:rPr>
            </w:pPr>
          </w:p>
        </w:tc>
        <w:tc>
          <w:tcPr>
            <w:tcW w:w="4300" w:type="dxa"/>
            <w:gridSpan w:val="4"/>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sz w:val="22"/>
              </w:rPr>
              <w:t>меблі та обладнання для медичного пункту</w:t>
            </w:r>
          </w:p>
        </w:tc>
        <w:tc>
          <w:tcPr>
            <w:tcW w:w="1309" w:type="dxa"/>
            <w:gridSpan w:val="2"/>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sz w:val="22"/>
              </w:rPr>
              <w:t>одиниць</w:t>
            </w:r>
            <w:r w:rsidRPr="007E0AF4">
              <w:rPr>
                <w:rFonts w:eastAsia="Calibri"/>
                <w:sz w:val="22"/>
              </w:rPr>
              <w:t xml:space="preserve"> </w:t>
            </w:r>
          </w:p>
        </w:tc>
        <w:tc>
          <w:tcPr>
            <w:tcW w:w="1449" w:type="dxa"/>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12</w:t>
            </w:r>
          </w:p>
        </w:tc>
      </w:tr>
      <w:tr w:rsidR="0051104F" w:rsidRPr="007E0AF4" w:rsidTr="0051104F">
        <w:trPr>
          <w:trHeight w:val="260"/>
        </w:trPr>
        <w:tc>
          <w:tcPr>
            <w:tcW w:w="3007" w:type="dxa"/>
            <w:vMerge/>
            <w:tcBorders>
              <w:left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ind w:left="720"/>
              <w:rPr>
                <w:rFonts w:eastAsia="Calibri"/>
                <w:b/>
                <w:color w:val="000000"/>
                <w:sz w:val="22"/>
              </w:rPr>
            </w:pPr>
          </w:p>
        </w:tc>
        <w:tc>
          <w:tcPr>
            <w:tcW w:w="4300" w:type="dxa"/>
            <w:gridSpan w:val="4"/>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sz w:val="22"/>
              </w:rPr>
              <w:t>меблі та обладнання для спортивної зали</w:t>
            </w:r>
          </w:p>
        </w:tc>
        <w:tc>
          <w:tcPr>
            <w:tcW w:w="1309" w:type="dxa"/>
            <w:gridSpan w:val="2"/>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sz w:val="22"/>
              </w:rPr>
              <w:t>одиниць</w:t>
            </w:r>
          </w:p>
        </w:tc>
        <w:tc>
          <w:tcPr>
            <w:tcW w:w="1449" w:type="dxa"/>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17</w:t>
            </w:r>
          </w:p>
        </w:tc>
      </w:tr>
      <w:tr w:rsidR="0051104F" w:rsidRPr="007E0AF4" w:rsidTr="0051104F">
        <w:trPr>
          <w:trHeight w:val="531"/>
        </w:trPr>
        <w:tc>
          <w:tcPr>
            <w:tcW w:w="3007" w:type="dxa"/>
            <w:vMerge/>
            <w:tcBorders>
              <w:left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ind w:left="720"/>
              <w:rPr>
                <w:rFonts w:eastAsia="Calibri"/>
                <w:b/>
                <w:color w:val="000000"/>
                <w:sz w:val="22"/>
              </w:rPr>
            </w:pPr>
          </w:p>
        </w:tc>
        <w:tc>
          <w:tcPr>
            <w:tcW w:w="4300" w:type="dxa"/>
            <w:gridSpan w:val="4"/>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sz w:val="22"/>
              </w:rPr>
              <w:t>меблі та обладнання для бібліотеки</w:t>
            </w:r>
          </w:p>
        </w:tc>
        <w:tc>
          <w:tcPr>
            <w:tcW w:w="1309" w:type="dxa"/>
            <w:gridSpan w:val="2"/>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sz w:val="22"/>
              </w:rPr>
              <w:t>одиниць</w:t>
            </w:r>
            <w:r w:rsidRPr="007E0AF4">
              <w:rPr>
                <w:rFonts w:eastAsia="Calibri"/>
                <w:sz w:val="22"/>
              </w:rPr>
              <w:t xml:space="preserve"> </w:t>
            </w:r>
          </w:p>
        </w:tc>
        <w:tc>
          <w:tcPr>
            <w:tcW w:w="1449" w:type="dxa"/>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25</w:t>
            </w:r>
          </w:p>
        </w:tc>
      </w:tr>
      <w:tr w:rsidR="0051104F" w:rsidRPr="007E0AF4" w:rsidTr="0051104F">
        <w:trPr>
          <w:trHeight w:val="440"/>
        </w:trPr>
        <w:tc>
          <w:tcPr>
            <w:tcW w:w="3007" w:type="dxa"/>
            <w:vMerge/>
            <w:tcBorders>
              <w:left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ind w:left="720"/>
              <w:rPr>
                <w:rFonts w:eastAsia="Calibri"/>
                <w:b/>
                <w:color w:val="000000"/>
                <w:sz w:val="22"/>
              </w:rPr>
            </w:pPr>
          </w:p>
        </w:tc>
        <w:tc>
          <w:tcPr>
            <w:tcW w:w="4300" w:type="dxa"/>
            <w:gridSpan w:val="4"/>
            <w:tcBorders>
              <w:top w:val="single" w:sz="6" w:space="0" w:color="auto"/>
              <w:left w:val="single" w:sz="6" w:space="0" w:color="auto"/>
              <w:bottom w:val="single" w:sz="6" w:space="0" w:color="auto"/>
              <w:right w:val="single" w:sz="6" w:space="0" w:color="auto"/>
            </w:tcBorders>
          </w:tcPr>
          <w:p w:rsidR="0051104F" w:rsidRPr="007E0AF4" w:rsidRDefault="0051104F" w:rsidP="0051104F">
            <w:pPr>
              <w:pStyle w:val="afe"/>
              <w:spacing w:before="0" w:beforeAutospacing="0" w:after="0" w:afterAutospacing="0"/>
              <w:rPr>
                <w:sz w:val="22"/>
              </w:rPr>
            </w:pPr>
            <w:r w:rsidRPr="007E0AF4">
              <w:rPr>
                <w:sz w:val="22"/>
              </w:rPr>
              <w:t>меблі та обладнання для кабінету інформатики</w:t>
            </w:r>
          </w:p>
        </w:tc>
        <w:tc>
          <w:tcPr>
            <w:tcW w:w="1309" w:type="dxa"/>
            <w:gridSpan w:val="2"/>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sz w:val="22"/>
              </w:rPr>
              <w:t>одиниць</w:t>
            </w:r>
            <w:r w:rsidRPr="007E0AF4">
              <w:rPr>
                <w:rFonts w:eastAsia="Calibri"/>
                <w:sz w:val="22"/>
              </w:rPr>
              <w:t xml:space="preserve"> </w:t>
            </w:r>
          </w:p>
        </w:tc>
        <w:tc>
          <w:tcPr>
            <w:tcW w:w="1449" w:type="dxa"/>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rFonts w:eastAsia="Calibri"/>
                <w:sz w:val="22"/>
              </w:rPr>
              <w:t>135</w:t>
            </w:r>
          </w:p>
        </w:tc>
      </w:tr>
      <w:tr w:rsidR="0051104F" w:rsidRPr="007E0AF4" w:rsidTr="0051104F">
        <w:trPr>
          <w:trHeight w:val="542"/>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r w:rsidRPr="007E0AF4">
              <w:rPr>
                <w:rFonts w:eastAsia="Calibri"/>
                <w:b/>
                <w:color w:val="000000"/>
                <w:sz w:val="22"/>
              </w:rPr>
              <w:t>Ключові заходи проекту:</w:t>
            </w:r>
          </w:p>
          <w:p w:rsidR="0051104F" w:rsidRPr="007E0AF4" w:rsidRDefault="0051104F" w:rsidP="0051104F">
            <w:pPr>
              <w:autoSpaceDE w:val="0"/>
              <w:autoSpaceDN w:val="0"/>
              <w:adjustRightInd w:val="0"/>
              <w:rPr>
                <w:rFonts w:eastAsia="Calibri"/>
                <w:b/>
                <w:color w:val="000000"/>
                <w:sz w:val="22"/>
              </w:rPr>
            </w:pPr>
          </w:p>
          <w:p w:rsidR="0051104F" w:rsidRPr="007E0AF4" w:rsidRDefault="0051104F" w:rsidP="0051104F">
            <w:pPr>
              <w:autoSpaceDE w:val="0"/>
              <w:autoSpaceDN w:val="0"/>
              <w:adjustRightInd w:val="0"/>
              <w:rPr>
                <w:rFonts w:eastAsia="Calibri"/>
                <w:b/>
                <w:color w:val="000000"/>
                <w:sz w:val="22"/>
              </w:rPr>
            </w:pPr>
          </w:p>
        </w:tc>
        <w:tc>
          <w:tcPr>
            <w:tcW w:w="7058" w:type="dxa"/>
            <w:gridSpan w:val="7"/>
            <w:tcBorders>
              <w:top w:val="single" w:sz="6" w:space="0" w:color="auto"/>
              <w:left w:val="single" w:sz="6" w:space="0" w:color="auto"/>
              <w:bottom w:val="single" w:sz="4" w:space="0" w:color="auto"/>
              <w:right w:val="single" w:sz="6" w:space="0" w:color="auto"/>
            </w:tcBorders>
          </w:tcPr>
          <w:p w:rsidR="0051104F" w:rsidRPr="007E0AF4" w:rsidRDefault="0051104F" w:rsidP="000303D7">
            <w:pPr>
              <w:pStyle w:val="a7"/>
              <w:numPr>
                <w:ilvl w:val="0"/>
                <w:numId w:val="106"/>
              </w:numPr>
              <w:contextualSpacing w:val="0"/>
              <w:jc w:val="left"/>
              <w:rPr>
                <w:sz w:val="22"/>
              </w:rPr>
            </w:pPr>
            <w:r w:rsidRPr="007E0AF4">
              <w:rPr>
                <w:sz w:val="22"/>
              </w:rPr>
              <w:t>Обстеження стану будівлі.</w:t>
            </w:r>
          </w:p>
          <w:p w:rsidR="0051104F" w:rsidRPr="007E0AF4" w:rsidRDefault="0051104F" w:rsidP="000303D7">
            <w:pPr>
              <w:pStyle w:val="a7"/>
              <w:numPr>
                <w:ilvl w:val="0"/>
                <w:numId w:val="106"/>
              </w:numPr>
              <w:contextualSpacing w:val="0"/>
              <w:jc w:val="left"/>
              <w:rPr>
                <w:sz w:val="22"/>
              </w:rPr>
            </w:pPr>
            <w:r w:rsidRPr="007E0AF4">
              <w:rPr>
                <w:sz w:val="22"/>
              </w:rPr>
              <w:t>Проведення інвентаризації основних засобів</w:t>
            </w:r>
            <w:r w:rsidRPr="007E0AF4">
              <w:rPr>
                <w:rFonts w:eastAsia="Calibri"/>
                <w:sz w:val="22"/>
              </w:rPr>
              <w:t>.</w:t>
            </w:r>
          </w:p>
          <w:p w:rsidR="0051104F" w:rsidRPr="007E0AF4" w:rsidRDefault="0051104F" w:rsidP="000303D7">
            <w:pPr>
              <w:pStyle w:val="a7"/>
              <w:numPr>
                <w:ilvl w:val="0"/>
                <w:numId w:val="106"/>
              </w:numPr>
              <w:contextualSpacing w:val="0"/>
              <w:jc w:val="left"/>
              <w:rPr>
                <w:sz w:val="22"/>
              </w:rPr>
            </w:pPr>
            <w:r w:rsidRPr="007E0AF4">
              <w:rPr>
                <w:sz w:val="22"/>
              </w:rPr>
              <w:t xml:space="preserve">Здійснення експертизи </w:t>
            </w:r>
            <w:proofErr w:type="spellStart"/>
            <w:r w:rsidRPr="007E0AF4">
              <w:rPr>
                <w:sz w:val="22"/>
              </w:rPr>
              <w:t>про</w:t>
            </w:r>
            <w:r w:rsidR="00AF76B2" w:rsidRPr="007E0AF4">
              <w:rPr>
                <w:sz w:val="22"/>
              </w:rPr>
              <w:t>є</w:t>
            </w:r>
            <w:r w:rsidRPr="007E0AF4">
              <w:rPr>
                <w:sz w:val="22"/>
              </w:rPr>
              <w:t>ктно</w:t>
            </w:r>
            <w:proofErr w:type="spellEnd"/>
            <w:r w:rsidRPr="007E0AF4">
              <w:rPr>
                <w:sz w:val="22"/>
              </w:rPr>
              <w:t>-кошторисної документації.</w:t>
            </w:r>
          </w:p>
          <w:p w:rsidR="0051104F" w:rsidRPr="007E0AF4" w:rsidRDefault="0051104F" w:rsidP="000303D7">
            <w:pPr>
              <w:pStyle w:val="a7"/>
              <w:numPr>
                <w:ilvl w:val="0"/>
                <w:numId w:val="106"/>
              </w:numPr>
              <w:contextualSpacing w:val="0"/>
              <w:jc w:val="left"/>
              <w:rPr>
                <w:sz w:val="22"/>
              </w:rPr>
            </w:pPr>
            <w:r w:rsidRPr="007E0AF4">
              <w:rPr>
                <w:rFonts w:eastAsia="Calibri"/>
                <w:sz w:val="22"/>
              </w:rPr>
              <w:t>Капітальний ремонт будівлі та покрівлі  гімназії й теплиці.</w:t>
            </w:r>
          </w:p>
          <w:p w:rsidR="0051104F" w:rsidRPr="007E0AF4" w:rsidRDefault="0051104F" w:rsidP="000303D7">
            <w:pPr>
              <w:pStyle w:val="a7"/>
              <w:numPr>
                <w:ilvl w:val="0"/>
                <w:numId w:val="106"/>
              </w:numPr>
              <w:contextualSpacing w:val="0"/>
              <w:jc w:val="left"/>
              <w:rPr>
                <w:sz w:val="22"/>
              </w:rPr>
            </w:pPr>
            <w:r w:rsidRPr="007E0AF4">
              <w:rPr>
                <w:rFonts w:eastAsia="Calibri"/>
                <w:sz w:val="22"/>
              </w:rPr>
              <w:t>Заміна вікон і дверей.</w:t>
            </w:r>
          </w:p>
          <w:p w:rsidR="0051104F" w:rsidRPr="007E0AF4" w:rsidRDefault="0051104F" w:rsidP="000303D7">
            <w:pPr>
              <w:pStyle w:val="a7"/>
              <w:numPr>
                <w:ilvl w:val="0"/>
                <w:numId w:val="106"/>
              </w:numPr>
              <w:contextualSpacing w:val="0"/>
              <w:jc w:val="left"/>
              <w:rPr>
                <w:sz w:val="22"/>
              </w:rPr>
            </w:pPr>
            <w:r w:rsidRPr="007E0AF4">
              <w:rPr>
                <w:rFonts w:eastAsia="Calibri"/>
                <w:sz w:val="22"/>
              </w:rPr>
              <w:lastRenderedPageBreak/>
              <w:t xml:space="preserve">Облаштування приміщень, навчальних місць (відновлення комунікацій - освітлення, водопостачання, опалення, мережа Інтернет). </w:t>
            </w:r>
          </w:p>
          <w:p w:rsidR="0051104F" w:rsidRPr="007E0AF4" w:rsidRDefault="0051104F" w:rsidP="000303D7">
            <w:pPr>
              <w:pStyle w:val="a7"/>
              <w:numPr>
                <w:ilvl w:val="0"/>
                <w:numId w:val="106"/>
              </w:numPr>
              <w:contextualSpacing w:val="0"/>
              <w:jc w:val="left"/>
              <w:rPr>
                <w:sz w:val="22"/>
              </w:rPr>
            </w:pPr>
            <w:r w:rsidRPr="007E0AF4">
              <w:rPr>
                <w:rFonts w:eastAsia="Calibri"/>
                <w:sz w:val="22"/>
              </w:rPr>
              <w:t>Закупівля меблів, технічних засобів, комп'ютерної техніки, спортивно-ігрового обладнання та витратних матеріалів.</w:t>
            </w:r>
          </w:p>
          <w:p w:rsidR="0051104F" w:rsidRPr="007E0AF4" w:rsidRDefault="0051104F" w:rsidP="000303D7">
            <w:pPr>
              <w:pStyle w:val="a7"/>
              <w:numPr>
                <w:ilvl w:val="0"/>
                <w:numId w:val="106"/>
              </w:numPr>
              <w:contextualSpacing w:val="0"/>
              <w:jc w:val="left"/>
              <w:rPr>
                <w:sz w:val="22"/>
              </w:rPr>
            </w:pPr>
            <w:r w:rsidRPr="007E0AF4">
              <w:rPr>
                <w:rFonts w:eastAsia="Calibri"/>
                <w:sz w:val="22"/>
              </w:rPr>
              <w:t>Встановлення меблів та обладнання.</w:t>
            </w:r>
          </w:p>
          <w:p w:rsidR="0051104F" w:rsidRPr="007E0AF4" w:rsidRDefault="0051104F" w:rsidP="000303D7">
            <w:pPr>
              <w:pStyle w:val="a7"/>
              <w:numPr>
                <w:ilvl w:val="0"/>
                <w:numId w:val="106"/>
              </w:numPr>
              <w:contextualSpacing w:val="0"/>
              <w:jc w:val="left"/>
              <w:rPr>
                <w:sz w:val="22"/>
              </w:rPr>
            </w:pPr>
            <w:r w:rsidRPr="007E0AF4">
              <w:rPr>
                <w:rFonts w:eastAsia="Calibri"/>
                <w:sz w:val="22"/>
              </w:rPr>
              <w:t>Реконструкція стадіону гімназії, встановлення сучасних спортивних та ігрових майданчиків.</w:t>
            </w:r>
          </w:p>
          <w:p w:rsidR="0051104F" w:rsidRPr="007E0AF4" w:rsidRDefault="0051104F" w:rsidP="000303D7">
            <w:pPr>
              <w:pStyle w:val="a7"/>
              <w:numPr>
                <w:ilvl w:val="0"/>
                <w:numId w:val="106"/>
              </w:numPr>
              <w:contextualSpacing w:val="0"/>
              <w:jc w:val="left"/>
              <w:rPr>
                <w:sz w:val="22"/>
              </w:rPr>
            </w:pPr>
            <w:r w:rsidRPr="007E0AF4">
              <w:rPr>
                <w:rFonts w:eastAsia="Calibri"/>
                <w:sz w:val="22"/>
              </w:rPr>
              <w:t>Благоустрій території гімназії.</w:t>
            </w:r>
          </w:p>
          <w:p w:rsidR="0051104F" w:rsidRPr="007E0AF4" w:rsidRDefault="0051104F" w:rsidP="000303D7">
            <w:pPr>
              <w:pStyle w:val="a7"/>
              <w:numPr>
                <w:ilvl w:val="0"/>
                <w:numId w:val="106"/>
              </w:numPr>
              <w:contextualSpacing w:val="0"/>
              <w:jc w:val="left"/>
              <w:rPr>
                <w:sz w:val="22"/>
              </w:rPr>
            </w:pPr>
            <w:r w:rsidRPr="007E0AF4">
              <w:rPr>
                <w:rFonts w:eastAsia="Calibri"/>
                <w:sz w:val="22"/>
              </w:rPr>
              <w:t xml:space="preserve"> В</w:t>
            </w:r>
            <w:r w:rsidRPr="007E0AF4">
              <w:rPr>
                <w:sz w:val="22"/>
              </w:rPr>
              <w:t xml:space="preserve">изначення кількості осіб, які потребують отримання освітніх послуг. </w:t>
            </w:r>
          </w:p>
          <w:p w:rsidR="0051104F" w:rsidRPr="007E0AF4" w:rsidRDefault="0051104F" w:rsidP="000303D7">
            <w:pPr>
              <w:pStyle w:val="a7"/>
              <w:numPr>
                <w:ilvl w:val="0"/>
                <w:numId w:val="106"/>
              </w:numPr>
              <w:contextualSpacing w:val="0"/>
              <w:jc w:val="left"/>
              <w:rPr>
                <w:sz w:val="22"/>
              </w:rPr>
            </w:pPr>
            <w:r w:rsidRPr="007E0AF4">
              <w:rPr>
                <w:rFonts w:eastAsia="Calibri"/>
                <w:sz w:val="22"/>
              </w:rPr>
              <w:t>Кадрове забезпечення, нові робочі місця, відновлення освітнього процесу.</w:t>
            </w:r>
          </w:p>
          <w:p w:rsidR="0051104F" w:rsidRPr="007E0AF4" w:rsidRDefault="0051104F" w:rsidP="000303D7">
            <w:pPr>
              <w:pStyle w:val="a7"/>
              <w:numPr>
                <w:ilvl w:val="0"/>
                <w:numId w:val="106"/>
              </w:numPr>
              <w:contextualSpacing w:val="0"/>
              <w:jc w:val="left"/>
              <w:rPr>
                <w:sz w:val="22"/>
              </w:rPr>
            </w:pPr>
            <w:r w:rsidRPr="007E0AF4">
              <w:rPr>
                <w:sz w:val="22"/>
              </w:rPr>
              <w:t>Організація та початок робочого процесу.</w:t>
            </w:r>
          </w:p>
        </w:tc>
      </w:tr>
      <w:tr w:rsidR="0051104F" w:rsidRPr="007E0AF4" w:rsidTr="00F03D9D">
        <w:trPr>
          <w:trHeight w:val="435"/>
        </w:trPr>
        <w:tc>
          <w:tcPr>
            <w:tcW w:w="3007" w:type="dxa"/>
            <w:vMerge w:val="restart"/>
            <w:tcBorders>
              <w:top w:val="single" w:sz="6" w:space="0" w:color="auto"/>
              <w:left w:val="single" w:sz="6" w:space="0" w:color="auto"/>
              <w:right w:val="single" w:sz="4"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r w:rsidRPr="007E0AF4">
              <w:rPr>
                <w:rFonts w:eastAsia="Calibri"/>
                <w:b/>
                <w:color w:val="000000"/>
                <w:sz w:val="22"/>
              </w:rPr>
              <w:lastRenderedPageBreak/>
              <w:t>Орієнтовний обсяг та джерела фінансування тис. гривень</w:t>
            </w:r>
          </w:p>
        </w:tc>
        <w:tc>
          <w:tcPr>
            <w:tcW w:w="1276" w:type="dxa"/>
            <w:vMerge w:val="restart"/>
            <w:tcBorders>
              <w:top w:val="single" w:sz="4" w:space="0" w:color="auto"/>
              <w:left w:val="single" w:sz="4" w:space="0" w:color="auto"/>
              <w:bottom w:val="single" w:sz="4" w:space="0" w:color="auto"/>
              <w:right w:val="single" w:sz="4" w:space="0" w:color="auto"/>
            </w:tcBorders>
          </w:tcPr>
          <w:p w:rsidR="0051104F" w:rsidRPr="007E0AF4" w:rsidRDefault="0051104F" w:rsidP="0051104F">
            <w:pPr>
              <w:autoSpaceDE w:val="0"/>
              <w:autoSpaceDN w:val="0"/>
              <w:adjustRightInd w:val="0"/>
              <w:rPr>
                <w:rFonts w:eastAsia="Calibri"/>
                <w:sz w:val="22"/>
              </w:rPr>
            </w:pPr>
            <w:r w:rsidRPr="007E0AF4">
              <w:rPr>
                <w:rFonts w:eastAsia="Calibri"/>
                <w:sz w:val="22"/>
              </w:rPr>
              <w:t>Державний бюджет</w:t>
            </w:r>
          </w:p>
        </w:tc>
        <w:tc>
          <w:tcPr>
            <w:tcW w:w="1134" w:type="dxa"/>
            <w:vMerge w:val="restart"/>
            <w:tcBorders>
              <w:top w:val="single" w:sz="4" w:space="0" w:color="auto"/>
              <w:left w:val="single" w:sz="4" w:space="0" w:color="auto"/>
              <w:right w:val="single" w:sz="4" w:space="0" w:color="auto"/>
            </w:tcBorders>
          </w:tcPr>
          <w:p w:rsidR="0051104F" w:rsidRPr="007E0AF4" w:rsidRDefault="0051104F" w:rsidP="00F03D9D">
            <w:pPr>
              <w:autoSpaceDE w:val="0"/>
              <w:autoSpaceDN w:val="0"/>
              <w:adjustRightInd w:val="0"/>
              <w:rPr>
                <w:rFonts w:eastAsia="Calibri"/>
                <w:sz w:val="22"/>
              </w:rPr>
            </w:pPr>
            <w:r w:rsidRPr="007E0AF4">
              <w:rPr>
                <w:rFonts w:eastAsia="Calibri"/>
                <w:sz w:val="22"/>
              </w:rPr>
              <w:t>Місцевий бюджет</w:t>
            </w:r>
          </w:p>
        </w:tc>
        <w:tc>
          <w:tcPr>
            <w:tcW w:w="2835" w:type="dxa"/>
            <w:gridSpan w:val="3"/>
            <w:tcBorders>
              <w:top w:val="single" w:sz="4" w:space="0" w:color="auto"/>
              <w:left w:val="single" w:sz="4" w:space="0" w:color="auto"/>
              <w:bottom w:val="single" w:sz="4" w:space="0" w:color="auto"/>
              <w:right w:val="single" w:sz="4"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Інші джерела</w:t>
            </w:r>
          </w:p>
        </w:tc>
        <w:tc>
          <w:tcPr>
            <w:tcW w:w="1813" w:type="dxa"/>
            <w:gridSpan w:val="2"/>
            <w:vMerge w:val="restart"/>
            <w:tcBorders>
              <w:top w:val="single" w:sz="4" w:space="0" w:color="auto"/>
              <w:left w:val="single" w:sz="4" w:space="0" w:color="auto"/>
              <w:right w:val="single" w:sz="4" w:space="0" w:color="auto"/>
            </w:tcBorders>
          </w:tcPr>
          <w:p w:rsidR="0051104F" w:rsidRPr="007E0AF4" w:rsidRDefault="0051104F" w:rsidP="0051104F">
            <w:pPr>
              <w:autoSpaceDE w:val="0"/>
              <w:autoSpaceDN w:val="0"/>
              <w:adjustRightInd w:val="0"/>
              <w:rPr>
                <w:rFonts w:eastAsia="Calibri"/>
                <w:sz w:val="22"/>
              </w:rPr>
            </w:pPr>
            <w:r w:rsidRPr="007E0AF4">
              <w:rPr>
                <w:rFonts w:eastAsia="Calibri"/>
                <w:sz w:val="22"/>
              </w:rPr>
              <w:t>Всього</w:t>
            </w:r>
          </w:p>
        </w:tc>
      </w:tr>
      <w:tr w:rsidR="0051104F" w:rsidRPr="007E0AF4" w:rsidTr="00F03D9D">
        <w:trPr>
          <w:trHeight w:val="63"/>
        </w:trPr>
        <w:tc>
          <w:tcPr>
            <w:tcW w:w="3007" w:type="dxa"/>
            <w:vMerge/>
            <w:tcBorders>
              <w:left w:val="single" w:sz="6" w:space="0" w:color="auto"/>
              <w:right w:val="single" w:sz="4"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p>
        </w:tc>
        <w:tc>
          <w:tcPr>
            <w:tcW w:w="1276" w:type="dxa"/>
            <w:vMerge/>
            <w:tcBorders>
              <w:top w:val="single" w:sz="4" w:space="0" w:color="auto"/>
              <w:left w:val="single" w:sz="4" w:space="0" w:color="auto"/>
              <w:bottom w:val="single" w:sz="4" w:space="0" w:color="auto"/>
              <w:right w:val="single" w:sz="4" w:space="0" w:color="auto"/>
            </w:tcBorders>
          </w:tcPr>
          <w:p w:rsidR="0051104F" w:rsidRPr="007E0AF4" w:rsidRDefault="0051104F" w:rsidP="0051104F">
            <w:pPr>
              <w:autoSpaceDE w:val="0"/>
              <w:autoSpaceDN w:val="0"/>
              <w:adjustRightInd w:val="0"/>
              <w:rPr>
                <w:rFonts w:eastAsia="Calibri"/>
                <w:sz w:val="22"/>
              </w:rPr>
            </w:pPr>
          </w:p>
        </w:tc>
        <w:tc>
          <w:tcPr>
            <w:tcW w:w="1134" w:type="dxa"/>
            <w:vMerge/>
            <w:tcBorders>
              <w:left w:val="single" w:sz="4" w:space="0" w:color="auto"/>
              <w:bottom w:val="single" w:sz="4" w:space="0" w:color="auto"/>
              <w:right w:val="single" w:sz="4" w:space="0" w:color="auto"/>
            </w:tcBorders>
          </w:tcPr>
          <w:p w:rsidR="0051104F" w:rsidRPr="007E0AF4" w:rsidRDefault="0051104F" w:rsidP="0051104F">
            <w:pPr>
              <w:autoSpaceDE w:val="0"/>
              <w:autoSpaceDN w:val="0"/>
              <w:adjustRightInd w:val="0"/>
              <w:rPr>
                <w:rFonts w:eastAsia="Calibri"/>
                <w:sz w:val="22"/>
              </w:rPr>
            </w:pPr>
          </w:p>
        </w:tc>
        <w:tc>
          <w:tcPr>
            <w:tcW w:w="1134" w:type="dxa"/>
            <w:tcBorders>
              <w:top w:val="single" w:sz="4" w:space="0" w:color="auto"/>
              <w:left w:val="single" w:sz="4" w:space="0" w:color="auto"/>
              <w:bottom w:val="single" w:sz="4" w:space="0" w:color="auto"/>
              <w:right w:val="single" w:sz="4"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Обсяг</w:t>
            </w:r>
          </w:p>
        </w:tc>
        <w:tc>
          <w:tcPr>
            <w:tcW w:w="1701" w:type="dxa"/>
            <w:gridSpan w:val="2"/>
            <w:tcBorders>
              <w:top w:val="single" w:sz="4" w:space="0" w:color="auto"/>
              <w:left w:val="single" w:sz="4" w:space="0" w:color="auto"/>
              <w:bottom w:val="single" w:sz="4" w:space="0" w:color="auto"/>
              <w:right w:val="single" w:sz="4"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Назва джерела</w:t>
            </w:r>
          </w:p>
        </w:tc>
        <w:tc>
          <w:tcPr>
            <w:tcW w:w="1813" w:type="dxa"/>
            <w:gridSpan w:val="2"/>
            <w:vMerge/>
            <w:tcBorders>
              <w:left w:val="single" w:sz="4" w:space="0" w:color="auto"/>
              <w:bottom w:val="single" w:sz="4" w:space="0" w:color="auto"/>
              <w:right w:val="single" w:sz="4" w:space="0" w:color="auto"/>
            </w:tcBorders>
          </w:tcPr>
          <w:p w:rsidR="0051104F" w:rsidRPr="007E0AF4" w:rsidRDefault="0051104F" w:rsidP="0051104F">
            <w:pPr>
              <w:autoSpaceDE w:val="0"/>
              <w:autoSpaceDN w:val="0"/>
              <w:adjustRightInd w:val="0"/>
              <w:rPr>
                <w:rFonts w:eastAsia="Calibri"/>
                <w:color w:val="000000"/>
                <w:sz w:val="22"/>
              </w:rPr>
            </w:pPr>
          </w:p>
        </w:tc>
      </w:tr>
      <w:tr w:rsidR="0051104F" w:rsidRPr="007E0AF4" w:rsidTr="0051104F">
        <w:trPr>
          <w:trHeight w:val="651"/>
        </w:trPr>
        <w:tc>
          <w:tcPr>
            <w:tcW w:w="3007" w:type="dxa"/>
            <w:vMerge/>
            <w:tcBorders>
              <w:left w:val="single" w:sz="6" w:space="0" w:color="auto"/>
              <w:bottom w:val="single" w:sz="6" w:space="0" w:color="auto"/>
              <w:right w:val="single" w:sz="4"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p>
        </w:tc>
        <w:tc>
          <w:tcPr>
            <w:tcW w:w="1276" w:type="dxa"/>
            <w:tcBorders>
              <w:top w:val="single" w:sz="4" w:space="0" w:color="auto"/>
              <w:left w:val="single" w:sz="4" w:space="0" w:color="auto"/>
              <w:bottom w:val="single" w:sz="4" w:space="0" w:color="auto"/>
              <w:right w:val="single" w:sz="4" w:space="0" w:color="auto"/>
            </w:tcBorders>
          </w:tcPr>
          <w:p w:rsidR="0051104F" w:rsidRPr="007E0AF4" w:rsidRDefault="0051104F" w:rsidP="0051104F">
            <w:pPr>
              <w:autoSpaceDE w:val="0"/>
              <w:autoSpaceDN w:val="0"/>
              <w:adjustRightInd w:val="0"/>
              <w:rPr>
                <w:rFonts w:eastAsia="Calibri"/>
                <w:sz w:val="22"/>
              </w:rPr>
            </w:pPr>
            <w:r w:rsidRPr="007E0AF4">
              <w:rPr>
                <w:rFonts w:eastAsia="Calibri"/>
                <w:sz w:val="22"/>
              </w:rPr>
              <w:t>44877,9</w:t>
            </w:r>
          </w:p>
        </w:tc>
        <w:tc>
          <w:tcPr>
            <w:tcW w:w="1134" w:type="dxa"/>
            <w:tcBorders>
              <w:top w:val="single" w:sz="4" w:space="0" w:color="auto"/>
              <w:left w:val="single" w:sz="4" w:space="0" w:color="auto"/>
              <w:bottom w:val="single" w:sz="4" w:space="0" w:color="auto"/>
              <w:right w:val="single" w:sz="4" w:space="0" w:color="auto"/>
            </w:tcBorders>
          </w:tcPr>
          <w:p w:rsidR="0051104F" w:rsidRPr="007E0AF4" w:rsidRDefault="0051104F" w:rsidP="0051104F">
            <w:pPr>
              <w:autoSpaceDE w:val="0"/>
              <w:autoSpaceDN w:val="0"/>
              <w:adjustRightInd w:val="0"/>
              <w:rPr>
                <w:rFonts w:eastAsia="Calibri"/>
                <w:sz w:val="22"/>
              </w:rPr>
            </w:pPr>
          </w:p>
        </w:tc>
        <w:tc>
          <w:tcPr>
            <w:tcW w:w="1134" w:type="dxa"/>
            <w:tcBorders>
              <w:top w:val="single" w:sz="4" w:space="0" w:color="auto"/>
              <w:left w:val="single" w:sz="4" w:space="0" w:color="auto"/>
              <w:bottom w:val="single" w:sz="4" w:space="0" w:color="auto"/>
              <w:right w:val="single" w:sz="4"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19233,4</w:t>
            </w:r>
          </w:p>
        </w:tc>
        <w:tc>
          <w:tcPr>
            <w:tcW w:w="1701" w:type="dxa"/>
            <w:gridSpan w:val="2"/>
            <w:tcBorders>
              <w:top w:val="single" w:sz="4" w:space="0" w:color="auto"/>
              <w:left w:val="single" w:sz="4" w:space="0" w:color="auto"/>
              <w:bottom w:val="single" w:sz="4" w:space="0" w:color="auto"/>
              <w:right w:val="single" w:sz="4"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Міжнародні інвестиції</w:t>
            </w:r>
          </w:p>
        </w:tc>
        <w:tc>
          <w:tcPr>
            <w:tcW w:w="1813" w:type="dxa"/>
            <w:gridSpan w:val="2"/>
            <w:tcBorders>
              <w:top w:val="single" w:sz="4" w:space="0" w:color="auto"/>
              <w:left w:val="single" w:sz="4" w:space="0" w:color="auto"/>
              <w:bottom w:val="single" w:sz="4" w:space="0" w:color="auto"/>
              <w:right w:val="single" w:sz="4"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64111,3</w:t>
            </w:r>
          </w:p>
        </w:tc>
      </w:tr>
    </w:tbl>
    <w:p w:rsidR="00B10C42" w:rsidRPr="007E0AF4" w:rsidRDefault="00B10C42" w:rsidP="00E95FB1">
      <w:pPr>
        <w:rPr>
          <w:sz w:val="22"/>
          <w:lang w:val="ru-RU"/>
        </w:rPr>
      </w:pPr>
    </w:p>
    <w:p w:rsidR="000729E2" w:rsidRPr="007E0AF4" w:rsidRDefault="000729E2" w:rsidP="00E95FB1">
      <w:pPr>
        <w:rPr>
          <w:sz w:val="22"/>
        </w:rPr>
      </w:pPr>
    </w:p>
    <w:tbl>
      <w:tblPr>
        <w:tblpPr w:leftFromText="180" w:rightFromText="180" w:vertAnchor="text" w:horzAnchor="page" w:tblpX="1" w:tblpY="123"/>
        <w:tblW w:w="11370" w:type="dxa"/>
        <w:tblLayout w:type="fixed"/>
        <w:tblCellMar>
          <w:left w:w="30" w:type="dxa"/>
          <w:right w:w="30" w:type="dxa"/>
        </w:tblCellMar>
        <w:tblLook w:val="0000" w:firstRow="0" w:lastRow="0" w:firstColumn="0" w:lastColumn="0" w:noHBand="0" w:noVBand="0"/>
      </w:tblPr>
      <w:tblGrid>
        <w:gridCol w:w="1306"/>
        <w:gridCol w:w="2977"/>
        <w:gridCol w:w="1837"/>
        <w:gridCol w:w="1420"/>
        <w:gridCol w:w="854"/>
        <w:gridCol w:w="142"/>
        <w:gridCol w:w="1417"/>
        <w:gridCol w:w="1417"/>
      </w:tblGrid>
      <w:tr w:rsidR="00F03D9D" w:rsidRPr="007E0AF4" w:rsidTr="00F03D9D">
        <w:trPr>
          <w:trHeight w:val="555"/>
        </w:trPr>
        <w:tc>
          <w:tcPr>
            <w:tcW w:w="1306" w:type="dxa"/>
            <w:tcBorders>
              <w:top w:val="nil"/>
              <w:left w:val="nil"/>
              <w:bottom w:val="nil"/>
              <w:right w:val="nil"/>
            </w:tcBorders>
          </w:tcPr>
          <w:p w:rsidR="00F03D9D" w:rsidRPr="007E0AF4" w:rsidRDefault="00F03D9D" w:rsidP="00F03D9D">
            <w:pPr>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r w:rsidRPr="007E0AF4">
              <w:rPr>
                <w:rFonts w:eastAsia="Calibri"/>
                <w:b/>
                <w:color w:val="000000"/>
                <w:sz w:val="22"/>
              </w:rPr>
              <w:t>Оперативна ціль/завдання</w:t>
            </w:r>
          </w:p>
        </w:tc>
        <w:tc>
          <w:tcPr>
            <w:tcW w:w="7087" w:type="dxa"/>
            <w:gridSpan w:val="6"/>
            <w:tcBorders>
              <w:top w:val="single" w:sz="6" w:space="0" w:color="auto"/>
              <w:left w:val="single" w:sz="6" w:space="0" w:color="auto"/>
              <w:bottom w:val="single" w:sz="6" w:space="0" w:color="auto"/>
              <w:right w:val="single" w:sz="6" w:space="0" w:color="auto"/>
            </w:tcBorders>
          </w:tcPr>
          <w:p w:rsidR="00F03D9D" w:rsidRPr="007E0AF4" w:rsidRDefault="00F03D9D" w:rsidP="00F03D9D">
            <w:pPr>
              <w:rPr>
                <w:color w:val="000000"/>
                <w:sz w:val="22"/>
              </w:rPr>
            </w:pPr>
            <w:r w:rsidRPr="007E0AF4">
              <w:rPr>
                <w:rFonts w:eastAsia="Arial"/>
                <w:sz w:val="22"/>
              </w:rPr>
              <w:t xml:space="preserve">Людський розвиток через інновації управління та довіру до влади. Формування сучасного інклюзивного  </w:t>
            </w:r>
            <w:proofErr w:type="spellStart"/>
            <w:r w:rsidRPr="007E0AF4">
              <w:rPr>
                <w:rFonts w:eastAsia="Arial"/>
                <w:sz w:val="22"/>
              </w:rPr>
              <w:t>освітньо</w:t>
            </w:r>
            <w:proofErr w:type="spellEnd"/>
            <w:r w:rsidRPr="007E0AF4">
              <w:rPr>
                <w:rFonts w:eastAsia="Arial"/>
                <w:sz w:val="22"/>
              </w:rPr>
              <w:t xml:space="preserve">-культурного та спортивного простору для розвитку </w:t>
            </w:r>
          </w:p>
        </w:tc>
      </w:tr>
      <w:tr w:rsidR="00F03D9D" w:rsidRPr="007E0AF4" w:rsidTr="00F03D9D">
        <w:trPr>
          <w:trHeight w:val="691"/>
        </w:trPr>
        <w:tc>
          <w:tcPr>
            <w:tcW w:w="1306" w:type="dxa"/>
            <w:tcBorders>
              <w:top w:val="nil"/>
              <w:left w:val="nil"/>
              <w:bottom w:val="nil"/>
              <w:right w:val="nil"/>
            </w:tcBorders>
          </w:tcPr>
          <w:p w:rsidR="00F03D9D" w:rsidRPr="007E0AF4" w:rsidRDefault="00F03D9D" w:rsidP="00F03D9D">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r w:rsidRPr="007E0AF4">
              <w:rPr>
                <w:rFonts w:eastAsia="Calibri"/>
                <w:b/>
                <w:color w:val="000000"/>
                <w:sz w:val="22"/>
              </w:rPr>
              <w:t>Назва проекту:</w:t>
            </w:r>
          </w:p>
        </w:tc>
        <w:tc>
          <w:tcPr>
            <w:tcW w:w="7087" w:type="dxa"/>
            <w:gridSpan w:val="6"/>
            <w:tcBorders>
              <w:top w:val="single" w:sz="6" w:space="0" w:color="auto"/>
              <w:left w:val="single" w:sz="6" w:space="0" w:color="auto"/>
              <w:bottom w:val="single" w:sz="6" w:space="0" w:color="auto"/>
              <w:right w:val="single" w:sz="6" w:space="0" w:color="auto"/>
            </w:tcBorders>
          </w:tcPr>
          <w:p w:rsidR="00F03D9D" w:rsidRPr="007E0AF4" w:rsidRDefault="00F03D9D" w:rsidP="00F03D9D">
            <w:pPr>
              <w:rPr>
                <w:color w:val="000000"/>
                <w:sz w:val="22"/>
              </w:rPr>
            </w:pPr>
            <w:r w:rsidRPr="007E0AF4">
              <w:rPr>
                <w:color w:val="000000"/>
                <w:sz w:val="22"/>
              </w:rPr>
              <w:t>Капітальний ремонт будівлі комунальної установи Гімназії  № 18 міста Сєвєродонецька Луганської області, вул. Курчатова, буд. 27</w:t>
            </w:r>
          </w:p>
        </w:tc>
      </w:tr>
      <w:tr w:rsidR="00F03D9D" w:rsidRPr="007E0AF4" w:rsidTr="00F03D9D">
        <w:trPr>
          <w:trHeight w:val="574"/>
        </w:trPr>
        <w:tc>
          <w:tcPr>
            <w:tcW w:w="1306" w:type="dxa"/>
            <w:tcBorders>
              <w:top w:val="nil"/>
              <w:left w:val="nil"/>
              <w:bottom w:val="nil"/>
              <w:right w:val="nil"/>
            </w:tcBorders>
          </w:tcPr>
          <w:p w:rsidR="00F03D9D" w:rsidRPr="007E0AF4" w:rsidRDefault="00F03D9D" w:rsidP="00F03D9D">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r w:rsidRPr="007E0AF4">
              <w:rPr>
                <w:rFonts w:eastAsia="Calibri"/>
                <w:b/>
                <w:color w:val="000000"/>
                <w:sz w:val="22"/>
              </w:rPr>
              <w:t>Ціль проекту</w:t>
            </w:r>
          </w:p>
        </w:tc>
        <w:tc>
          <w:tcPr>
            <w:tcW w:w="7087" w:type="dxa"/>
            <w:gridSpan w:val="6"/>
            <w:tcBorders>
              <w:top w:val="single" w:sz="6" w:space="0" w:color="auto"/>
              <w:left w:val="single" w:sz="6" w:space="0" w:color="auto"/>
              <w:bottom w:val="single" w:sz="6" w:space="0" w:color="auto"/>
              <w:right w:val="single" w:sz="6" w:space="0" w:color="auto"/>
            </w:tcBorders>
          </w:tcPr>
          <w:p w:rsidR="00F03D9D" w:rsidRPr="007E0AF4" w:rsidRDefault="00F03D9D" w:rsidP="00F03D9D">
            <w:pPr>
              <w:rPr>
                <w:color w:val="000000"/>
                <w:sz w:val="22"/>
              </w:rPr>
            </w:pPr>
            <w:r w:rsidRPr="007E0AF4">
              <w:rPr>
                <w:sz w:val="22"/>
              </w:rPr>
              <w:t>Відновити та покращити роботу комунальної установи Гімназії № 18 міста Сєвєродонецька Луганської області для надання широкого спектру послуг, пов’язаних із якісною освітою та задоволення потреб мешканців Сєвєродонецької міської територіальної громади у необхідних послугах (або забезпечення якісного рівня життя).</w:t>
            </w:r>
          </w:p>
        </w:tc>
      </w:tr>
      <w:tr w:rsidR="00F03D9D" w:rsidRPr="007E0AF4" w:rsidTr="00F03D9D">
        <w:trPr>
          <w:trHeight w:val="290"/>
        </w:trPr>
        <w:tc>
          <w:tcPr>
            <w:tcW w:w="1306" w:type="dxa"/>
            <w:tcBorders>
              <w:top w:val="nil"/>
              <w:left w:val="nil"/>
              <w:bottom w:val="nil"/>
              <w:right w:val="nil"/>
            </w:tcBorders>
          </w:tcPr>
          <w:p w:rsidR="00F03D9D" w:rsidRPr="007E0AF4" w:rsidRDefault="00F03D9D" w:rsidP="00F03D9D">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r w:rsidRPr="007E0AF4">
              <w:rPr>
                <w:rFonts w:eastAsia="Calibri"/>
                <w:b/>
                <w:color w:val="000000"/>
                <w:sz w:val="22"/>
              </w:rPr>
              <w:t>Територія, на яку матиме вплив реалізація проекту</w:t>
            </w:r>
          </w:p>
        </w:tc>
        <w:tc>
          <w:tcPr>
            <w:tcW w:w="7087" w:type="dxa"/>
            <w:gridSpan w:val="6"/>
            <w:tcBorders>
              <w:top w:val="single" w:sz="6"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Сєвєродонецька міська територіальна громада</w:t>
            </w:r>
          </w:p>
        </w:tc>
      </w:tr>
      <w:tr w:rsidR="00F03D9D" w:rsidRPr="007E0AF4" w:rsidTr="00F03D9D">
        <w:trPr>
          <w:trHeight w:val="421"/>
        </w:trPr>
        <w:tc>
          <w:tcPr>
            <w:tcW w:w="1306" w:type="dxa"/>
            <w:tcBorders>
              <w:top w:val="nil"/>
              <w:left w:val="nil"/>
              <w:bottom w:val="nil"/>
              <w:right w:val="nil"/>
            </w:tcBorders>
          </w:tcPr>
          <w:p w:rsidR="00F03D9D" w:rsidRPr="007E0AF4" w:rsidRDefault="00F03D9D" w:rsidP="00F03D9D">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r w:rsidRPr="007E0AF4">
              <w:rPr>
                <w:rFonts w:eastAsia="Calibri"/>
                <w:b/>
                <w:color w:val="000000"/>
                <w:sz w:val="22"/>
              </w:rPr>
              <w:t>Чисельність населення, на яке матиме вплив реалізація проекту</w:t>
            </w:r>
          </w:p>
        </w:tc>
        <w:tc>
          <w:tcPr>
            <w:tcW w:w="7087" w:type="dxa"/>
            <w:gridSpan w:val="6"/>
            <w:tcBorders>
              <w:top w:val="single" w:sz="6"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rFonts w:eastAsia="Calibri"/>
                <w:color w:val="000000"/>
                <w:sz w:val="22"/>
              </w:rPr>
            </w:pPr>
            <w:r w:rsidRPr="007E0AF4">
              <w:rPr>
                <w:sz w:val="22"/>
              </w:rPr>
              <w:t>70 000  осіб</w:t>
            </w:r>
          </w:p>
        </w:tc>
      </w:tr>
      <w:tr w:rsidR="00F03D9D" w:rsidRPr="007E0AF4" w:rsidTr="00F03D9D">
        <w:trPr>
          <w:trHeight w:val="868"/>
        </w:trPr>
        <w:tc>
          <w:tcPr>
            <w:tcW w:w="1306" w:type="dxa"/>
            <w:tcBorders>
              <w:top w:val="nil"/>
              <w:left w:val="nil"/>
              <w:bottom w:val="nil"/>
              <w:right w:val="nil"/>
            </w:tcBorders>
          </w:tcPr>
          <w:p w:rsidR="00F03D9D" w:rsidRPr="007E0AF4" w:rsidRDefault="00F03D9D" w:rsidP="00F03D9D">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r w:rsidRPr="007E0AF4">
              <w:rPr>
                <w:rFonts w:eastAsia="Calibri"/>
                <w:b/>
                <w:color w:val="000000"/>
                <w:sz w:val="22"/>
              </w:rPr>
              <w:t>Опис проблеми, на вирішення якої спрямований проект</w:t>
            </w:r>
          </w:p>
        </w:tc>
        <w:tc>
          <w:tcPr>
            <w:tcW w:w="7087" w:type="dxa"/>
            <w:gridSpan w:val="6"/>
            <w:tcBorders>
              <w:top w:val="single" w:sz="6" w:space="0" w:color="auto"/>
              <w:left w:val="single" w:sz="6" w:space="0" w:color="auto"/>
              <w:bottom w:val="single" w:sz="6" w:space="0" w:color="auto"/>
              <w:right w:val="single" w:sz="6" w:space="0" w:color="auto"/>
            </w:tcBorders>
          </w:tcPr>
          <w:p w:rsidR="00F03D9D" w:rsidRPr="007E0AF4" w:rsidRDefault="00F03D9D" w:rsidP="00F03D9D">
            <w:pPr>
              <w:ind w:firstLine="708"/>
              <w:rPr>
                <w:sz w:val="22"/>
              </w:rPr>
            </w:pPr>
            <w:r w:rsidRPr="007E0AF4">
              <w:rPr>
                <w:sz w:val="22"/>
              </w:rPr>
              <w:t>Через військову агресію РФ територія Сєвєродонецької міської територіальної громади зазнала значних пошкоджень. Не оминуло це і комунальну установу- Гімназію № 18, вул. Курчатова 27-Б.</w:t>
            </w:r>
          </w:p>
          <w:p w:rsidR="00F03D9D" w:rsidRPr="007E0AF4" w:rsidRDefault="00F03D9D" w:rsidP="00F03D9D">
            <w:pPr>
              <w:ind w:firstLine="708"/>
              <w:rPr>
                <w:sz w:val="22"/>
              </w:rPr>
            </w:pPr>
            <w:r w:rsidRPr="007E0AF4">
              <w:rPr>
                <w:sz w:val="22"/>
              </w:rPr>
              <w:t>Будівля освітнього закладу пошкоджена:</w:t>
            </w:r>
          </w:p>
          <w:p w:rsidR="00F03D9D" w:rsidRPr="007E0AF4" w:rsidRDefault="00F03D9D" w:rsidP="000303D7">
            <w:pPr>
              <w:pStyle w:val="13"/>
              <w:numPr>
                <w:ilvl w:val="0"/>
                <w:numId w:val="9"/>
              </w:numPr>
              <w:jc w:val="both"/>
              <w:rPr>
                <w:sz w:val="22"/>
                <w:lang w:val="uk-UA"/>
              </w:rPr>
            </w:pPr>
            <w:r w:rsidRPr="007E0AF4">
              <w:rPr>
                <w:rFonts w:eastAsia="Calibri"/>
                <w:color w:val="000000"/>
                <w:sz w:val="22"/>
                <w:lang w:val="uk-UA"/>
              </w:rPr>
              <w:t>частково зруйновано стіни, перекриття, покрівля, розбиті вікна, вхідні двері, пандуси</w:t>
            </w:r>
            <w:r w:rsidR="0088024D" w:rsidRPr="007E0AF4">
              <w:rPr>
                <w:rFonts w:eastAsia="Calibri"/>
                <w:color w:val="000000"/>
                <w:sz w:val="22"/>
                <w:lang w:val="uk-UA"/>
              </w:rPr>
              <w:t>;</w:t>
            </w:r>
          </w:p>
          <w:p w:rsidR="00F03D9D" w:rsidRPr="007E0AF4" w:rsidRDefault="00F03D9D" w:rsidP="000303D7">
            <w:pPr>
              <w:pStyle w:val="13"/>
              <w:numPr>
                <w:ilvl w:val="0"/>
                <w:numId w:val="9"/>
              </w:numPr>
              <w:jc w:val="both"/>
              <w:rPr>
                <w:sz w:val="22"/>
                <w:lang w:val="uk-UA"/>
              </w:rPr>
            </w:pPr>
            <w:r w:rsidRPr="007E0AF4">
              <w:rPr>
                <w:rFonts w:eastAsia="Calibri"/>
                <w:color w:val="000000"/>
                <w:sz w:val="22"/>
                <w:lang w:val="uk-UA"/>
              </w:rPr>
              <w:t>пошкоджено тепло-, водо-, енергопостачання</w:t>
            </w:r>
            <w:r w:rsidR="0088024D" w:rsidRPr="007E0AF4">
              <w:rPr>
                <w:rFonts w:eastAsia="Calibri"/>
                <w:color w:val="000000"/>
                <w:sz w:val="22"/>
                <w:lang w:val="uk-UA"/>
              </w:rPr>
              <w:t>;</w:t>
            </w:r>
          </w:p>
          <w:p w:rsidR="00F03D9D" w:rsidRPr="007E0AF4" w:rsidRDefault="00F03D9D" w:rsidP="000303D7">
            <w:pPr>
              <w:pStyle w:val="13"/>
              <w:numPr>
                <w:ilvl w:val="0"/>
                <w:numId w:val="9"/>
              </w:numPr>
              <w:jc w:val="both"/>
              <w:rPr>
                <w:sz w:val="22"/>
                <w:lang w:val="uk-UA"/>
              </w:rPr>
            </w:pPr>
            <w:r w:rsidRPr="007E0AF4">
              <w:rPr>
                <w:rFonts w:eastAsia="Calibri"/>
                <w:color w:val="000000"/>
                <w:sz w:val="22"/>
                <w:lang w:val="uk-UA"/>
              </w:rPr>
              <w:t>пошкоджено навчальні кабінети, майстерні, спортивні  та актовий зали, адміністративні приміщення, харчоблок та їдальня, туалетні та душові кімнати</w:t>
            </w:r>
            <w:r w:rsidR="0088024D" w:rsidRPr="007E0AF4">
              <w:rPr>
                <w:rFonts w:eastAsia="Calibri"/>
                <w:color w:val="000000"/>
                <w:sz w:val="22"/>
                <w:lang w:val="uk-UA"/>
              </w:rPr>
              <w:t>;</w:t>
            </w:r>
          </w:p>
          <w:p w:rsidR="00F03D9D" w:rsidRPr="007E0AF4" w:rsidRDefault="00F03D9D" w:rsidP="000303D7">
            <w:pPr>
              <w:pStyle w:val="13"/>
              <w:numPr>
                <w:ilvl w:val="0"/>
                <w:numId w:val="9"/>
              </w:numPr>
              <w:jc w:val="both"/>
              <w:rPr>
                <w:sz w:val="22"/>
                <w:lang w:val="uk-UA"/>
              </w:rPr>
            </w:pPr>
            <w:r w:rsidRPr="007E0AF4">
              <w:rPr>
                <w:rFonts w:eastAsia="Calibri"/>
                <w:color w:val="000000"/>
                <w:sz w:val="22"/>
                <w:lang w:val="uk-UA"/>
              </w:rPr>
              <w:t>потребують ремонту підвальні приміщення</w:t>
            </w:r>
            <w:r w:rsidR="0088024D" w:rsidRPr="007E0AF4">
              <w:rPr>
                <w:rFonts w:eastAsia="Calibri"/>
                <w:color w:val="000000"/>
                <w:sz w:val="22"/>
                <w:lang w:val="uk-UA"/>
              </w:rPr>
              <w:t>.</w:t>
            </w:r>
          </w:p>
          <w:p w:rsidR="00F03D9D" w:rsidRPr="007E0AF4" w:rsidRDefault="00F03D9D" w:rsidP="00F03D9D">
            <w:pPr>
              <w:autoSpaceDE w:val="0"/>
              <w:autoSpaceDN w:val="0"/>
              <w:adjustRightInd w:val="0"/>
              <w:rPr>
                <w:rFonts w:eastAsia="Calibri"/>
                <w:color w:val="000000"/>
                <w:sz w:val="22"/>
              </w:rPr>
            </w:pPr>
            <w:r w:rsidRPr="007E0AF4">
              <w:rPr>
                <w:rFonts w:eastAsia="Arial"/>
                <w:sz w:val="22"/>
              </w:rPr>
              <w:t xml:space="preserve">            Для відбудови та сталого розвитку громади потрібне відновлення роботи закладу. Мешканці громади мають потребу в отриманні якісних освітніх послуг, які відповідають нормам сучасності.</w:t>
            </w:r>
          </w:p>
        </w:tc>
      </w:tr>
      <w:tr w:rsidR="00F03D9D" w:rsidRPr="007E0AF4" w:rsidTr="00F03D9D">
        <w:trPr>
          <w:trHeight w:val="540"/>
        </w:trPr>
        <w:tc>
          <w:tcPr>
            <w:tcW w:w="1306" w:type="dxa"/>
            <w:tcBorders>
              <w:top w:val="nil"/>
              <w:left w:val="nil"/>
              <w:bottom w:val="nil"/>
              <w:right w:val="nil"/>
            </w:tcBorders>
          </w:tcPr>
          <w:p w:rsidR="00F03D9D" w:rsidRPr="007E0AF4" w:rsidRDefault="00F03D9D" w:rsidP="00F03D9D">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r w:rsidRPr="007E0AF4">
              <w:rPr>
                <w:rFonts w:eastAsia="Calibri"/>
                <w:b/>
                <w:color w:val="000000"/>
                <w:sz w:val="22"/>
              </w:rPr>
              <w:t>Очікувані якісні результати від реалізації проекту</w:t>
            </w:r>
          </w:p>
        </w:tc>
        <w:tc>
          <w:tcPr>
            <w:tcW w:w="7087" w:type="dxa"/>
            <w:gridSpan w:val="6"/>
            <w:tcBorders>
              <w:top w:val="single" w:sz="6" w:space="0" w:color="auto"/>
              <w:left w:val="single" w:sz="6" w:space="0" w:color="auto"/>
              <w:bottom w:val="single" w:sz="6" w:space="0" w:color="auto"/>
              <w:right w:val="single" w:sz="6" w:space="0" w:color="auto"/>
            </w:tcBorders>
          </w:tcPr>
          <w:p w:rsidR="00F03D9D" w:rsidRPr="007E0AF4" w:rsidRDefault="00F03D9D" w:rsidP="00F03D9D">
            <w:pPr>
              <w:pStyle w:val="a7"/>
              <w:ind w:left="0"/>
              <w:rPr>
                <w:sz w:val="22"/>
              </w:rPr>
            </w:pPr>
            <w:r w:rsidRPr="007E0AF4">
              <w:rPr>
                <w:sz w:val="22"/>
              </w:rPr>
              <w:t xml:space="preserve">- </w:t>
            </w:r>
            <w:r w:rsidRPr="007E0AF4">
              <w:rPr>
                <w:rFonts w:eastAsia="Calibri"/>
                <w:color w:val="000000"/>
                <w:sz w:val="22"/>
              </w:rPr>
              <w:t>заклад освіти приведено у робочий стан, відновлено освітній процес в умовах комфортного енергоефективного освітнього середовища;</w:t>
            </w:r>
          </w:p>
          <w:p w:rsidR="00F03D9D" w:rsidRPr="007E0AF4" w:rsidRDefault="00F03D9D" w:rsidP="00F03D9D">
            <w:pPr>
              <w:pStyle w:val="a7"/>
              <w:ind w:left="0"/>
              <w:rPr>
                <w:sz w:val="22"/>
              </w:rPr>
            </w:pPr>
            <w:r w:rsidRPr="007E0AF4">
              <w:rPr>
                <w:sz w:val="22"/>
              </w:rPr>
              <w:lastRenderedPageBreak/>
              <w:t>- населення забезпечено можливостями для реалізації його конституційних прав на якісну освіту;</w:t>
            </w:r>
          </w:p>
          <w:p w:rsidR="00F03D9D" w:rsidRPr="007E0AF4" w:rsidRDefault="00F03D9D" w:rsidP="00F03D9D">
            <w:pPr>
              <w:pStyle w:val="a7"/>
              <w:ind w:left="0"/>
              <w:rPr>
                <w:sz w:val="22"/>
              </w:rPr>
            </w:pPr>
            <w:r w:rsidRPr="007E0AF4">
              <w:rPr>
                <w:sz w:val="22"/>
              </w:rPr>
              <w:t>- надається широкий спектр послуг, пов’язаних із навчально-виховним процесом;</w:t>
            </w:r>
          </w:p>
          <w:p w:rsidR="00F03D9D" w:rsidRPr="007E0AF4" w:rsidRDefault="00F03D9D" w:rsidP="00F03D9D">
            <w:pPr>
              <w:pStyle w:val="a7"/>
              <w:ind w:left="0"/>
              <w:rPr>
                <w:sz w:val="22"/>
              </w:rPr>
            </w:pPr>
            <w:r w:rsidRPr="007E0AF4">
              <w:rPr>
                <w:sz w:val="22"/>
              </w:rPr>
              <w:t>- вирішено ряд питань в межах статутної діяльності, пов’язаних із відбудовою та сталим розвитком громади;</w:t>
            </w:r>
          </w:p>
          <w:p w:rsidR="00F03D9D" w:rsidRPr="007E0AF4" w:rsidRDefault="00F03D9D" w:rsidP="00F03D9D">
            <w:pPr>
              <w:pStyle w:val="a7"/>
              <w:ind w:left="0"/>
              <w:rPr>
                <w:sz w:val="22"/>
              </w:rPr>
            </w:pPr>
            <w:r w:rsidRPr="007E0AF4">
              <w:rPr>
                <w:sz w:val="22"/>
              </w:rPr>
              <w:t>- забезпечено стимул щодо повернення ВПО до громади,</w:t>
            </w:r>
          </w:p>
          <w:p w:rsidR="00F03D9D" w:rsidRPr="007E0AF4" w:rsidRDefault="00F03D9D" w:rsidP="00F03D9D">
            <w:pPr>
              <w:pStyle w:val="a7"/>
              <w:ind w:left="0"/>
              <w:rPr>
                <w:rFonts w:eastAsia="Calibri"/>
                <w:color w:val="000000"/>
                <w:sz w:val="22"/>
              </w:rPr>
            </w:pPr>
            <w:r w:rsidRPr="007E0AF4">
              <w:rPr>
                <w:sz w:val="22"/>
              </w:rPr>
              <w:t>- сформовано безпечні санітарно-гігієнічні умови для перебування учнів, вчителів та персоналу у Гімназії № 18</w:t>
            </w:r>
          </w:p>
        </w:tc>
      </w:tr>
      <w:tr w:rsidR="00F03D9D" w:rsidRPr="007E0AF4" w:rsidTr="00F03D9D">
        <w:trPr>
          <w:trHeight w:val="581"/>
        </w:trPr>
        <w:tc>
          <w:tcPr>
            <w:tcW w:w="1306" w:type="dxa"/>
            <w:tcBorders>
              <w:top w:val="nil"/>
              <w:left w:val="nil"/>
              <w:bottom w:val="nil"/>
              <w:right w:val="nil"/>
            </w:tcBorders>
          </w:tcPr>
          <w:p w:rsidR="00F03D9D" w:rsidRPr="007E0AF4" w:rsidRDefault="00F03D9D" w:rsidP="00F03D9D">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r w:rsidRPr="007E0AF4">
              <w:rPr>
                <w:rFonts w:eastAsia="Calibri"/>
                <w:b/>
                <w:color w:val="000000"/>
                <w:sz w:val="22"/>
              </w:rPr>
              <w:t>Очікувані кількісні результати від реалізації проекту  (індикатори)</w:t>
            </w:r>
          </w:p>
        </w:tc>
        <w:tc>
          <w:tcPr>
            <w:tcW w:w="4111" w:type="dxa"/>
            <w:gridSpan w:val="3"/>
            <w:tcBorders>
              <w:top w:val="single" w:sz="6"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rFonts w:eastAsia="Calibri"/>
                <w:b/>
                <w:color w:val="000000"/>
                <w:sz w:val="22"/>
              </w:rPr>
            </w:pPr>
            <w:r w:rsidRPr="007E0AF4">
              <w:rPr>
                <w:rFonts w:eastAsia="Calibri"/>
                <w:b/>
                <w:color w:val="000000"/>
                <w:sz w:val="22"/>
              </w:rPr>
              <w:t>Найменування показника</w:t>
            </w:r>
          </w:p>
        </w:tc>
        <w:tc>
          <w:tcPr>
            <w:tcW w:w="1559" w:type="dxa"/>
            <w:gridSpan w:val="2"/>
            <w:tcBorders>
              <w:top w:val="single" w:sz="6"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rFonts w:eastAsia="Calibri"/>
                <w:b/>
                <w:color w:val="000000"/>
                <w:sz w:val="22"/>
              </w:rPr>
            </w:pPr>
            <w:r w:rsidRPr="007E0AF4">
              <w:rPr>
                <w:rFonts w:eastAsia="Calibri"/>
                <w:b/>
                <w:color w:val="000000"/>
                <w:sz w:val="22"/>
              </w:rPr>
              <w:t>Одиниця вимірювання</w:t>
            </w:r>
          </w:p>
        </w:tc>
        <w:tc>
          <w:tcPr>
            <w:tcW w:w="1417" w:type="dxa"/>
            <w:tcBorders>
              <w:top w:val="single" w:sz="6"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rFonts w:eastAsia="Calibri"/>
                <w:b/>
                <w:color w:val="000000"/>
                <w:sz w:val="22"/>
              </w:rPr>
            </w:pPr>
            <w:r w:rsidRPr="007E0AF4">
              <w:rPr>
                <w:rFonts w:eastAsia="Calibri"/>
                <w:b/>
                <w:color w:val="000000"/>
                <w:sz w:val="22"/>
              </w:rPr>
              <w:t>Прогнозне (цільове) значення</w:t>
            </w:r>
          </w:p>
        </w:tc>
      </w:tr>
      <w:tr w:rsidR="00F03D9D" w:rsidRPr="007E0AF4" w:rsidTr="00F03D9D">
        <w:trPr>
          <w:trHeight w:val="878"/>
        </w:trPr>
        <w:tc>
          <w:tcPr>
            <w:tcW w:w="1306" w:type="dxa"/>
            <w:tcBorders>
              <w:top w:val="nil"/>
              <w:left w:val="nil"/>
              <w:bottom w:val="nil"/>
              <w:right w:val="nil"/>
            </w:tcBorders>
          </w:tcPr>
          <w:p w:rsidR="00F03D9D" w:rsidRPr="007E0AF4" w:rsidRDefault="00F03D9D" w:rsidP="00F03D9D">
            <w:pPr>
              <w:autoSpaceDE w:val="0"/>
              <w:autoSpaceDN w:val="0"/>
              <w:adjustRightInd w:val="0"/>
              <w:jc w:val="right"/>
              <w:rPr>
                <w:rFonts w:eastAsia="Calibri"/>
                <w:color w:val="000000"/>
                <w:sz w:val="22"/>
              </w:rPr>
            </w:pPr>
          </w:p>
        </w:tc>
        <w:tc>
          <w:tcPr>
            <w:tcW w:w="2977" w:type="dxa"/>
            <w:vMerge w:val="restart"/>
            <w:tcBorders>
              <w:top w:val="single" w:sz="6" w:space="0" w:color="auto"/>
              <w:left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p>
        </w:tc>
        <w:tc>
          <w:tcPr>
            <w:tcW w:w="4111" w:type="dxa"/>
            <w:gridSpan w:val="3"/>
            <w:tcBorders>
              <w:top w:val="single" w:sz="6" w:space="0" w:color="auto"/>
              <w:left w:val="single" w:sz="6" w:space="0" w:color="auto"/>
              <w:bottom w:val="single" w:sz="6" w:space="0" w:color="auto"/>
              <w:right w:val="single" w:sz="6" w:space="0" w:color="auto"/>
            </w:tcBorders>
          </w:tcPr>
          <w:p w:rsidR="00F03D9D" w:rsidRPr="007E0AF4" w:rsidRDefault="00F03D9D" w:rsidP="001E7D10">
            <w:pPr>
              <w:autoSpaceDE w:val="0"/>
              <w:autoSpaceDN w:val="0"/>
              <w:adjustRightInd w:val="0"/>
              <w:rPr>
                <w:rFonts w:eastAsia="Calibri"/>
                <w:color w:val="000000"/>
                <w:sz w:val="22"/>
              </w:rPr>
            </w:pPr>
            <w:r w:rsidRPr="007E0AF4">
              <w:rPr>
                <w:sz w:val="22"/>
              </w:rPr>
              <w:t>Кількість фізичних осіб, які звернулись за послугами протягом  року</w:t>
            </w:r>
          </w:p>
        </w:tc>
        <w:tc>
          <w:tcPr>
            <w:tcW w:w="1559" w:type="dxa"/>
            <w:gridSpan w:val="2"/>
            <w:tcBorders>
              <w:top w:val="single" w:sz="6"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осіб</w:t>
            </w:r>
          </w:p>
        </w:tc>
        <w:tc>
          <w:tcPr>
            <w:tcW w:w="1417" w:type="dxa"/>
            <w:tcBorders>
              <w:top w:val="single" w:sz="6"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 xml:space="preserve">1000 </w:t>
            </w:r>
          </w:p>
        </w:tc>
      </w:tr>
      <w:tr w:rsidR="00F03D9D" w:rsidRPr="007E0AF4" w:rsidTr="00F03D9D">
        <w:trPr>
          <w:trHeight w:val="700"/>
        </w:trPr>
        <w:tc>
          <w:tcPr>
            <w:tcW w:w="1306" w:type="dxa"/>
            <w:tcBorders>
              <w:top w:val="nil"/>
              <w:left w:val="nil"/>
              <w:bottom w:val="nil"/>
              <w:right w:val="nil"/>
            </w:tcBorders>
          </w:tcPr>
          <w:p w:rsidR="00F03D9D" w:rsidRPr="007E0AF4" w:rsidRDefault="00F03D9D" w:rsidP="00F03D9D">
            <w:pPr>
              <w:autoSpaceDE w:val="0"/>
              <w:autoSpaceDN w:val="0"/>
              <w:adjustRightInd w:val="0"/>
              <w:jc w:val="right"/>
              <w:rPr>
                <w:rFonts w:eastAsia="Calibri"/>
                <w:color w:val="000000"/>
                <w:sz w:val="22"/>
              </w:rPr>
            </w:pPr>
          </w:p>
        </w:tc>
        <w:tc>
          <w:tcPr>
            <w:tcW w:w="2977" w:type="dxa"/>
            <w:vMerge/>
            <w:tcBorders>
              <w:left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p>
        </w:tc>
        <w:tc>
          <w:tcPr>
            <w:tcW w:w="4111" w:type="dxa"/>
            <w:gridSpan w:val="3"/>
            <w:tcBorders>
              <w:top w:val="single" w:sz="6"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sz w:val="22"/>
              </w:rPr>
            </w:pPr>
            <w:r w:rsidRPr="007E0AF4">
              <w:rPr>
                <w:sz w:val="22"/>
              </w:rPr>
              <w:t>Кількість видів та типів послуг</w:t>
            </w:r>
            <w:r w:rsidR="001E7D10" w:rsidRPr="007E0AF4">
              <w:rPr>
                <w:sz w:val="22"/>
              </w:rPr>
              <w:t>,</w:t>
            </w:r>
            <w:r w:rsidRPr="007E0AF4">
              <w:rPr>
                <w:sz w:val="22"/>
              </w:rPr>
              <w:t xml:space="preserve"> наданих протягом одного робочого дня</w:t>
            </w:r>
          </w:p>
        </w:tc>
        <w:tc>
          <w:tcPr>
            <w:tcW w:w="1559" w:type="dxa"/>
            <w:gridSpan w:val="2"/>
            <w:tcBorders>
              <w:top w:val="single" w:sz="6"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одиниць</w:t>
            </w:r>
          </w:p>
        </w:tc>
        <w:tc>
          <w:tcPr>
            <w:tcW w:w="1417" w:type="dxa"/>
            <w:tcBorders>
              <w:top w:val="single" w:sz="6"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133</w:t>
            </w:r>
          </w:p>
        </w:tc>
      </w:tr>
      <w:tr w:rsidR="00F03D9D" w:rsidRPr="007E0AF4" w:rsidTr="00F03D9D">
        <w:trPr>
          <w:trHeight w:val="434"/>
        </w:trPr>
        <w:tc>
          <w:tcPr>
            <w:tcW w:w="1306" w:type="dxa"/>
            <w:tcBorders>
              <w:top w:val="nil"/>
              <w:left w:val="nil"/>
              <w:bottom w:val="nil"/>
              <w:right w:val="nil"/>
            </w:tcBorders>
          </w:tcPr>
          <w:p w:rsidR="00F03D9D" w:rsidRPr="007E0AF4" w:rsidRDefault="00F03D9D" w:rsidP="00F03D9D">
            <w:pPr>
              <w:autoSpaceDE w:val="0"/>
              <w:autoSpaceDN w:val="0"/>
              <w:adjustRightInd w:val="0"/>
              <w:jc w:val="right"/>
              <w:rPr>
                <w:rFonts w:eastAsia="Calibri"/>
                <w:color w:val="000000"/>
                <w:sz w:val="22"/>
              </w:rPr>
            </w:pPr>
          </w:p>
        </w:tc>
        <w:tc>
          <w:tcPr>
            <w:tcW w:w="2977" w:type="dxa"/>
            <w:vMerge/>
            <w:tcBorders>
              <w:left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p>
        </w:tc>
        <w:tc>
          <w:tcPr>
            <w:tcW w:w="4111" w:type="dxa"/>
            <w:gridSpan w:val="3"/>
            <w:tcBorders>
              <w:top w:val="single" w:sz="6"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sz w:val="22"/>
              </w:rPr>
            </w:pPr>
            <w:r w:rsidRPr="007E0AF4">
              <w:rPr>
                <w:sz w:val="22"/>
              </w:rPr>
              <w:t>Термін надання послуги</w:t>
            </w:r>
          </w:p>
        </w:tc>
        <w:tc>
          <w:tcPr>
            <w:tcW w:w="1559" w:type="dxa"/>
            <w:gridSpan w:val="2"/>
            <w:tcBorders>
              <w:top w:val="single" w:sz="6"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день</w:t>
            </w:r>
          </w:p>
        </w:tc>
        <w:tc>
          <w:tcPr>
            <w:tcW w:w="1417" w:type="dxa"/>
            <w:tcBorders>
              <w:top w:val="single" w:sz="6"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365</w:t>
            </w:r>
          </w:p>
        </w:tc>
      </w:tr>
      <w:tr w:rsidR="00F03D9D" w:rsidRPr="007E0AF4" w:rsidTr="00F03D9D">
        <w:trPr>
          <w:trHeight w:val="737"/>
        </w:trPr>
        <w:tc>
          <w:tcPr>
            <w:tcW w:w="1306" w:type="dxa"/>
            <w:tcBorders>
              <w:top w:val="nil"/>
              <w:left w:val="nil"/>
              <w:bottom w:val="nil"/>
              <w:right w:val="nil"/>
            </w:tcBorders>
          </w:tcPr>
          <w:p w:rsidR="00F03D9D" w:rsidRPr="007E0AF4" w:rsidRDefault="00F03D9D" w:rsidP="00F03D9D">
            <w:pPr>
              <w:autoSpaceDE w:val="0"/>
              <w:autoSpaceDN w:val="0"/>
              <w:adjustRightInd w:val="0"/>
              <w:jc w:val="right"/>
              <w:rPr>
                <w:rFonts w:eastAsia="Calibri"/>
                <w:color w:val="000000"/>
                <w:sz w:val="22"/>
              </w:rPr>
            </w:pPr>
          </w:p>
        </w:tc>
        <w:tc>
          <w:tcPr>
            <w:tcW w:w="2977" w:type="dxa"/>
            <w:vMerge/>
            <w:tcBorders>
              <w:left w:val="single" w:sz="6" w:space="0" w:color="auto"/>
              <w:bottom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p>
        </w:tc>
        <w:tc>
          <w:tcPr>
            <w:tcW w:w="4111" w:type="dxa"/>
            <w:gridSpan w:val="3"/>
            <w:tcBorders>
              <w:top w:val="single" w:sz="6" w:space="0" w:color="auto"/>
              <w:left w:val="single" w:sz="6" w:space="0" w:color="auto"/>
              <w:bottom w:val="single" w:sz="6" w:space="0" w:color="auto"/>
              <w:right w:val="single" w:sz="6" w:space="0" w:color="auto"/>
            </w:tcBorders>
          </w:tcPr>
          <w:p w:rsidR="00F03D9D" w:rsidRPr="007E0AF4" w:rsidRDefault="00F03D9D" w:rsidP="001E7D10">
            <w:pPr>
              <w:autoSpaceDE w:val="0"/>
              <w:autoSpaceDN w:val="0"/>
              <w:adjustRightInd w:val="0"/>
              <w:rPr>
                <w:sz w:val="22"/>
              </w:rPr>
            </w:pPr>
            <w:r w:rsidRPr="007E0AF4">
              <w:rPr>
                <w:sz w:val="22"/>
              </w:rPr>
              <w:t>Кількість населених пунктів, як</w:t>
            </w:r>
            <w:r w:rsidR="001E7D10" w:rsidRPr="007E0AF4">
              <w:rPr>
                <w:sz w:val="22"/>
              </w:rPr>
              <w:t>і</w:t>
            </w:r>
            <w:r w:rsidRPr="007E0AF4">
              <w:rPr>
                <w:sz w:val="22"/>
              </w:rPr>
              <w:t xml:space="preserve"> обслуговує </w:t>
            </w:r>
            <w:r w:rsidR="001E7D10" w:rsidRPr="007E0AF4">
              <w:rPr>
                <w:sz w:val="22"/>
              </w:rPr>
              <w:t>заклад</w:t>
            </w:r>
          </w:p>
        </w:tc>
        <w:tc>
          <w:tcPr>
            <w:tcW w:w="1559" w:type="dxa"/>
            <w:gridSpan w:val="2"/>
            <w:tcBorders>
              <w:top w:val="single" w:sz="6"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одиниць</w:t>
            </w:r>
          </w:p>
        </w:tc>
        <w:tc>
          <w:tcPr>
            <w:tcW w:w="1417" w:type="dxa"/>
            <w:tcBorders>
              <w:top w:val="single" w:sz="6"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1</w:t>
            </w:r>
          </w:p>
        </w:tc>
      </w:tr>
      <w:tr w:rsidR="00F03D9D" w:rsidRPr="007E0AF4" w:rsidTr="00230B7E">
        <w:trPr>
          <w:trHeight w:val="974"/>
        </w:trPr>
        <w:tc>
          <w:tcPr>
            <w:tcW w:w="1306" w:type="dxa"/>
            <w:tcBorders>
              <w:top w:val="nil"/>
              <w:left w:val="nil"/>
              <w:bottom w:val="nil"/>
              <w:right w:val="nil"/>
            </w:tcBorders>
          </w:tcPr>
          <w:p w:rsidR="00F03D9D" w:rsidRPr="007E0AF4" w:rsidRDefault="00F03D9D" w:rsidP="00F03D9D">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r w:rsidRPr="007E0AF4">
              <w:rPr>
                <w:rFonts w:eastAsia="Calibri"/>
                <w:b/>
                <w:color w:val="000000"/>
                <w:sz w:val="22"/>
              </w:rPr>
              <w:t>Ключові заходи проекту:</w:t>
            </w:r>
          </w:p>
        </w:tc>
        <w:tc>
          <w:tcPr>
            <w:tcW w:w="7087" w:type="dxa"/>
            <w:gridSpan w:val="6"/>
            <w:tcBorders>
              <w:top w:val="single" w:sz="6" w:space="0" w:color="auto"/>
              <w:left w:val="single" w:sz="6" w:space="0" w:color="auto"/>
              <w:bottom w:val="single" w:sz="6" w:space="0" w:color="auto"/>
              <w:right w:val="single" w:sz="6" w:space="0" w:color="auto"/>
            </w:tcBorders>
          </w:tcPr>
          <w:p w:rsidR="00F03D9D" w:rsidRPr="007E0AF4" w:rsidRDefault="00F03D9D" w:rsidP="00F03D9D">
            <w:pPr>
              <w:pStyle w:val="a7"/>
              <w:ind w:left="0"/>
              <w:rPr>
                <w:sz w:val="22"/>
              </w:rPr>
            </w:pPr>
            <w:r w:rsidRPr="007E0AF4">
              <w:rPr>
                <w:sz w:val="22"/>
              </w:rPr>
              <w:t>- обстеження стану будівлі</w:t>
            </w:r>
            <w:r w:rsidRPr="007E0AF4">
              <w:rPr>
                <w:rFonts w:eastAsia="Calibri"/>
                <w:color w:val="000000"/>
                <w:sz w:val="22"/>
              </w:rPr>
              <w:t>, технічні експертизи</w:t>
            </w:r>
            <w:r w:rsidRPr="007E0AF4">
              <w:rPr>
                <w:sz w:val="22"/>
              </w:rPr>
              <w:t>;</w:t>
            </w:r>
          </w:p>
          <w:p w:rsidR="00F03D9D" w:rsidRPr="007E0AF4" w:rsidRDefault="00F03D9D" w:rsidP="00F03D9D">
            <w:pPr>
              <w:pStyle w:val="a7"/>
              <w:ind w:left="0"/>
              <w:rPr>
                <w:sz w:val="22"/>
              </w:rPr>
            </w:pPr>
            <w:r w:rsidRPr="007E0AF4">
              <w:rPr>
                <w:sz w:val="22"/>
              </w:rPr>
              <w:t>- проведення інвентаризації основних засобів;</w:t>
            </w:r>
          </w:p>
          <w:p w:rsidR="00F03D9D" w:rsidRPr="007E0AF4" w:rsidRDefault="00F03D9D" w:rsidP="00F03D9D">
            <w:pPr>
              <w:autoSpaceDE w:val="0"/>
              <w:autoSpaceDN w:val="0"/>
              <w:adjustRightInd w:val="0"/>
              <w:rPr>
                <w:rFonts w:eastAsia="Calibri"/>
                <w:color w:val="000000"/>
                <w:sz w:val="22"/>
              </w:rPr>
            </w:pPr>
            <w:r w:rsidRPr="007E0AF4">
              <w:rPr>
                <w:sz w:val="22"/>
              </w:rPr>
              <w:t>- п</w:t>
            </w:r>
            <w:r w:rsidRPr="007E0AF4">
              <w:rPr>
                <w:rFonts w:eastAsia="Calibri"/>
                <w:color w:val="000000"/>
                <w:sz w:val="22"/>
              </w:rPr>
              <w:t xml:space="preserve">ідготовка </w:t>
            </w:r>
            <w:proofErr w:type="spellStart"/>
            <w:r w:rsidRPr="007E0AF4">
              <w:rPr>
                <w:rFonts w:eastAsia="Calibri"/>
                <w:color w:val="000000"/>
                <w:sz w:val="22"/>
              </w:rPr>
              <w:t>про</w:t>
            </w:r>
            <w:r w:rsidR="00230B7E" w:rsidRPr="007E0AF4">
              <w:rPr>
                <w:rFonts w:eastAsia="Calibri"/>
                <w:color w:val="000000"/>
                <w:sz w:val="22"/>
              </w:rPr>
              <w:t>є</w:t>
            </w:r>
            <w:r w:rsidRPr="007E0AF4">
              <w:rPr>
                <w:rFonts w:eastAsia="Calibri"/>
                <w:color w:val="000000"/>
                <w:sz w:val="22"/>
              </w:rPr>
              <w:t>ктно</w:t>
            </w:r>
            <w:proofErr w:type="spellEnd"/>
            <w:r w:rsidRPr="007E0AF4">
              <w:rPr>
                <w:rFonts w:eastAsia="Calibri"/>
                <w:color w:val="000000"/>
                <w:sz w:val="22"/>
              </w:rPr>
              <w:t>-кошторисної документації (ПКД);</w:t>
            </w:r>
          </w:p>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 xml:space="preserve">- </w:t>
            </w:r>
            <w:r w:rsidRPr="007E0AF4">
              <w:rPr>
                <w:sz w:val="22"/>
              </w:rPr>
              <w:t>здійснення заходів згідно ПКД;</w:t>
            </w:r>
          </w:p>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 xml:space="preserve">- </w:t>
            </w:r>
            <w:r w:rsidRPr="007E0AF4">
              <w:rPr>
                <w:sz w:val="22"/>
              </w:rPr>
              <w:t>придбання технічного забезпечення;</w:t>
            </w:r>
          </w:p>
          <w:p w:rsidR="00F03D9D" w:rsidRPr="007E0AF4" w:rsidRDefault="00F03D9D" w:rsidP="00F03D9D">
            <w:pPr>
              <w:pStyle w:val="a7"/>
              <w:ind w:left="0"/>
              <w:rPr>
                <w:sz w:val="22"/>
              </w:rPr>
            </w:pPr>
            <w:r w:rsidRPr="007E0AF4">
              <w:rPr>
                <w:sz w:val="22"/>
              </w:rPr>
              <w:t>- придбання технологічного забезпечення;</w:t>
            </w:r>
          </w:p>
          <w:p w:rsidR="00F03D9D" w:rsidRPr="007E0AF4" w:rsidRDefault="00F03D9D" w:rsidP="00F03D9D">
            <w:pPr>
              <w:pStyle w:val="a7"/>
              <w:ind w:left="0"/>
              <w:rPr>
                <w:sz w:val="22"/>
              </w:rPr>
            </w:pPr>
            <w:r w:rsidRPr="007E0AF4">
              <w:rPr>
                <w:sz w:val="22"/>
              </w:rPr>
              <w:t xml:space="preserve">- визначення кількості осіб, які потребують отримання освітніх послуг; </w:t>
            </w:r>
          </w:p>
          <w:p w:rsidR="00F03D9D" w:rsidRPr="007E0AF4" w:rsidRDefault="00F03D9D" w:rsidP="00230B7E">
            <w:pPr>
              <w:autoSpaceDE w:val="0"/>
              <w:autoSpaceDN w:val="0"/>
              <w:adjustRightInd w:val="0"/>
              <w:rPr>
                <w:rFonts w:eastAsia="Calibri"/>
                <w:color w:val="000000"/>
                <w:sz w:val="22"/>
              </w:rPr>
            </w:pPr>
            <w:r w:rsidRPr="007E0AF4">
              <w:rPr>
                <w:rFonts w:eastAsia="Calibri"/>
                <w:color w:val="000000"/>
                <w:sz w:val="22"/>
              </w:rPr>
              <w:t xml:space="preserve">- демонтаж старої покрівлі, улаштування нової  покрівлі; навішування водостічних труб, колін та лійок; заміна вікон та дверей, ремонт стін, </w:t>
            </w:r>
            <w:proofErr w:type="spellStart"/>
            <w:r w:rsidRPr="007E0AF4">
              <w:rPr>
                <w:rFonts w:eastAsia="Calibri"/>
                <w:color w:val="000000"/>
                <w:sz w:val="22"/>
              </w:rPr>
              <w:t>перекриттів</w:t>
            </w:r>
            <w:proofErr w:type="spellEnd"/>
            <w:r w:rsidRPr="007E0AF4">
              <w:rPr>
                <w:rFonts w:eastAsia="Calibri"/>
                <w:color w:val="000000"/>
                <w:sz w:val="22"/>
              </w:rPr>
              <w:t>, прямолінійних укосів  та фарбування стін всередині будівлі, капітальний ремонт приміщень, рекреацій, кабінетів, майстерень, спортзалів, актово</w:t>
            </w:r>
            <w:r w:rsidR="00230B7E" w:rsidRPr="007E0AF4">
              <w:rPr>
                <w:rFonts w:eastAsia="Calibri"/>
                <w:color w:val="000000"/>
                <w:sz w:val="22"/>
              </w:rPr>
              <w:t>ї</w:t>
            </w:r>
            <w:r w:rsidRPr="007E0AF4">
              <w:rPr>
                <w:rFonts w:eastAsia="Calibri"/>
                <w:color w:val="000000"/>
                <w:sz w:val="22"/>
              </w:rPr>
              <w:t xml:space="preserve"> зал</w:t>
            </w:r>
            <w:r w:rsidR="00230B7E" w:rsidRPr="007E0AF4">
              <w:rPr>
                <w:rFonts w:eastAsia="Calibri"/>
                <w:color w:val="000000"/>
                <w:sz w:val="22"/>
              </w:rPr>
              <w:t>и</w:t>
            </w:r>
            <w:r w:rsidRPr="007E0AF4">
              <w:rPr>
                <w:rFonts w:eastAsia="Calibri"/>
                <w:color w:val="000000"/>
                <w:sz w:val="22"/>
              </w:rPr>
              <w:t>, їдальні, харчоблоку, туалетних кімнат, душових, ремонт медпункту, адміністративного блоку, підвалу, улаштування підвалу як укриття, улаштування пандусів; улаштування електромережі, тепло-, водопостачання та водовідведення</w:t>
            </w:r>
            <w:r w:rsidR="00230B7E" w:rsidRPr="007E0AF4">
              <w:rPr>
                <w:rFonts w:eastAsia="Calibri"/>
                <w:color w:val="000000"/>
                <w:sz w:val="22"/>
              </w:rPr>
              <w:t>;</w:t>
            </w:r>
          </w:p>
          <w:p w:rsidR="00230B7E" w:rsidRPr="007E0AF4" w:rsidRDefault="00230B7E" w:rsidP="00230B7E">
            <w:pPr>
              <w:autoSpaceDE w:val="0"/>
              <w:autoSpaceDN w:val="0"/>
              <w:adjustRightInd w:val="0"/>
              <w:rPr>
                <w:sz w:val="22"/>
              </w:rPr>
            </w:pPr>
            <w:r w:rsidRPr="007E0AF4">
              <w:rPr>
                <w:sz w:val="22"/>
              </w:rPr>
              <w:t>- організація та початок робочого процесу.</w:t>
            </w:r>
          </w:p>
          <w:p w:rsidR="00230B7E" w:rsidRPr="007E0AF4" w:rsidRDefault="00230B7E" w:rsidP="00230B7E">
            <w:pPr>
              <w:autoSpaceDE w:val="0"/>
              <w:autoSpaceDN w:val="0"/>
              <w:adjustRightInd w:val="0"/>
              <w:rPr>
                <w:rFonts w:eastAsia="Calibri"/>
                <w:color w:val="000000"/>
                <w:sz w:val="22"/>
              </w:rPr>
            </w:pPr>
          </w:p>
        </w:tc>
      </w:tr>
      <w:tr w:rsidR="00F03D9D" w:rsidRPr="007E0AF4" w:rsidTr="00F03D9D">
        <w:trPr>
          <w:trHeight w:val="604"/>
        </w:trPr>
        <w:tc>
          <w:tcPr>
            <w:tcW w:w="1306" w:type="dxa"/>
            <w:vMerge w:val="restart"/>
            <w:tcBorders>
              <w:top w:val="nil"/>
              <w:left w:val="nil"/>
              <w:bottom w:val="nil"/>
              <w:right w:val="nil"/>
            </w:tcBorders>
          </w:tcPr>
          <w:p w:rsidR="00F03D9D" w:rsidRPr="007E0AF4" w:rsidRDefault="00F03D9D" w:rsidP="00F03D9D">
            <w:pPr>
              <w:autoSpaceDE w:val="0"/>
              <w:autoSpaceDN w:val="0"/>
              <w:adjustRightInd w:val="0"/>
              <w:jc w:val="right"/>
              <w:rPr>
                <w:rFonts w:eastAsia="Calibri"/>
                <w:color w:val="000000"/>
                <w:sz w:val="22"/>
              </w:rPr>
            </w:pPr>
          </w:p>
        </w:tc>
        <w:tc>
          <w:tcPr>
            <w:tcW w:w="2977" w:type="dxa"/>
            <w:vMerge w:val="restart"/>
            <w:tcBorders>
              <w:top w:val="single" w:sz="6" w:space="0" w:color="auto"/>
              <w:left w:val="single" w:sz="6" w:space="0" w:color="auto"/>
              <w:bottom w:val="nil"/>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r w:rsidRPr="007E0AF4">
              <w:rPr>
                <w:rFonts w:eastAsia="Calibri"/>
                <w:b/>
                <w:color w:val="000000"/>
                <w:sz w:val="22"/>
              </w:rPr>
              <w:t>Орієнтовний обсяг та джерела фінансування тис. гривень</w:t>
            </w:r>
          </w:p>
        </w:tc>
        <w:tc>
          <w:tcPr>
            <w:tcW w:w="1837" w:type="dxa"/>
            <w:vMerge w:val="restart"/>
            <w:tcBorders>
              <w:top w:val="single" w:sz="6" w:space="0" w:color="auto"/>
              <w:left w:val="single" w:sz="6" w:space="0" w:color="auto"/>
              <w:bottom w:val="nil"/>
              <w:right w:val="single" w:sz="4"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Державний бюджет</w:t>
            </w:r>
          </w:p>
        </w:tc>
        <w:tc>
          <w:tcPr>
            <w:tcW w:w="1420" w:type="dxa"/>
            <w:vMerge w:val="restart"/>
            <w:tcBorders>
              <w:top w:val="single" w:sz="4" w:space="0" w:color="auto"/>
              <w:left w:val="single" w:sz="4" w:space="0" w:color="auto"/>
              <w:bottom w:val="single" w:sz="4" w:space="0" w:color="auto"/>
              <w:right w:val="single" w:sz="4"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Місцевий бюджет</w:t>
            </w:r>
          </w:p>
        </w:tc>
        <w:tc>
          <w:tcPr>
            <w:tcW w:w="2413" w:type="dxa"/>
            <w:gridSpan w:val="3"/>
            <w:tcBorders>
              <w:top w:val="single" w:sz="6" w:space="0" w:color="auto"/>
              <w:left w:val="single" w:sz="4" w:space="0" w:color="auto"/>
              <w:bottom w:val="nil"/>
              <w:right w:val="single" w:sz="4"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Інші джерела</w:t>
            </w:r>
          </w:p>
        </w:tc>
        <w:tc>
          <w:tcPr>
            <w:tcW w:w="1417" w:type="dxa"/>
            <w:vMerge w:val="restart"/>
            <w:tcBorders>
              <w:top w:val="single" w:sz="4" w:space="0" w:color="auto"/>
              <w:left w:val="single" w:sz="4" w:space="0" w:color="auto"/>
              <w:bottom w:val="nil"/>
              <w:right w:val="single" w:sz="4"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Всього</w:t>
            </w:r>
          </w:p>
          <w:p w:rsidR="00F03D9D" w:rsidRPr="007E0AF4" w:rsidRDefault="00F03D9D" w:rsidP="00F03D9D">
            <w:pPr>
              <w:autoSpaceDE w:val="0"/>
              <w:autoSpaceDN w:val="0"/>
              <w:adjustRightInd w:val="0"/>
              <w:rPr>
                <w:rFonts w:eastAsia="Calibri"/>
                <w:color w:val="000000"/>
                <w:sz w:val="22"/>
              </w:rPr>
            </w:pPr>
          </w:p>
        </w:tc>
      </w:tr>
      <w:tr w:rsidR="00F03D9D" w:rsidRPr="007E0AF4" w:rsidTr="00F03D9D">
        <w:trPr>
          <w:trHeight w:val="65"/>
        </w:trPr>
        <w:tc>
          <w:tcPr>
            <w:tcW w:w="1306" w:type="dxa"/>
            <w:vMerge/>
            <w:tcBorders>
              <w:left w:val="nil"/>
              <w:right w:val="nil"/>
            </w:tcBorders>
          </w:tcPr>
          <w:p w:rsidR="00F03D9D" w:rsidRPr="007E0AF4" w:rsidRDefault="00F03D9D" w:rsidP="00F03D9D">
            <w:pPr>
              <w:autoSpaceDE w:val="0"/>
              <w:autoSpaceDN w:val="0"/>
              <w:adjustRightInd w:val="0"/>
              <w:jc w:val="right"/>
              <w:rPr>
                <w:rFonts w:eastAsia="Calibri"/>
                <w:color w:val="000000"/>
                <w:sz w:val="22"/>
              </w:rPr>
            </w:pPr>
          </w:p>
        </w:tc>
        <w:tc>
          <w:tcPr>
            <w:tcW w:w="2977" w:type="dxa"/>
            <w:vMerge/>
            <w:tcBorders>
              <w:left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p>
        </w:tc>
        <w:tc>
          <w:tcPr>
            <w:tcW w:w="1837" w:type="dxa"/>
            <w:vMerge/>
            <w:tcBorders>
              <w:left w:val="single" w:sz="6" w:space="0" w:color="auto"/>
              <w:bottom w:val="single" w:sz="6" w:space="0" w:color="auto"/>
              <w:right w:val="single" w:sz="4" w:space="0" w:color="auto"/>
            </w:tcBorders>
          </w:tcPr>
          <w:p w:rsidR="00F03D9D" w:rsidRPr="007E0AF4" w:rsidRDefault="00F03D9D" w:rsidP="00F03D9D">
            <w:pPr>
              <w:autoSpaceDE w:val="0"/>
              <w:autoSpaceDN w:val="0"/>
              <w:adjustRightInd w:val="0"/>
              <w:rPr>
                <w:rFonts w:eastAsia="Calibri"/>
                <w:color w:val="000000"/>
                <w:sz w:val="22"/>
              </w:rPr>
            </w:pPr>
          </w:p>
        </w:tc>
        <w:tc>
          <w:tcPr>
            <w:tcW w:w="1420" w:type="dxa"/>
            <w:vMerge/>
            <w:tcBorders>
              <w:top w:val="single" w:sz="4" w:space="0" w:color="auto"/>
              <w:left w:val="single" w:sz="4" w:space="0" w:color="auto"/>
              <w:bottom w:val="single" w:sz="4" w:space="0" w:color="auto"/>
              <w:right w:val="single" w:sz="4" w:space="0" w:color="auto"/>
            </w:tcBorders>
          </w:tcPr>
          <w:p w:rsidR="00F03D9D" w:rsidRPr="007E0AF4" w:rsidRDefault="00F03D9D" w:rsidP="00F03D9D">
            <w:pPr>
              <w:autoSpaceDE w:val="0"/>
              <w:autoSpaceDN w:val="0"/>
              <w:adjustRightInd w:val="0"/>
              <w:rPr>
                <w:rFonts w:eastAsia="Calibri"/>
                <w:color w:val="000000"/>
                <w:sz w:val="22"/>
              </w:rPr>
            </w:pPr>
          </w:p>
        </w:tc>
        <w:tc>
          <w:tcPr>
            <w:tcW w:w="996" w:type="dxa"/>
            <w:gridSpan w:val="2"/>
            <w:tcBorders>
              <w:top w:val="single" w:sz="4" w:space="0" w:color="auto"/>
              <w:left w:val="single" w:sz="4" w:space="0" w:color="auto"/>
              <w:bottom w:val="single" w:sz="4" w:space="0" w:color="auto"/>
              <w:right w:val="single" w:sz="4"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Обсяг</w:t>
            </w:r>
          </w:p>
        </w:tc>
        <w:tc>
          <w:tcPr>
            <w:tcW w:w="1417" w:type="dxa"/>
            <w:tcBorders>
              <w:top w:val="single" w:sz="4" w:space="0" w:color="auto"/>
              <w:left w:val="single" w:sz="4" w:space="0" w:color="auto"/>
              <w:bottom w:val="single" w:sz="4" w:space="0" w:color="auto"/>
              <w:right w:val="single" w:sz="4"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Назва джерела</w:t>
            </w:r>
          </w:p>
        </w:tc>
        <w:tc>
          <w:tcPr>
            <w:tcW w:w="1417" w:type="dxa"/>
            <w:vMerge/>
            <w:tcBorders>
              <w:left w:val="single" w:sz="4" w:space="0" w:color="auto"/>
              <w:bottom w:val="single" w:sz="4" w:space="0" w:color="auto"/>
              <w:right w:val="single" w:sz="4" w:space="0" w:color="auto"/>
            </w:tcBorders>
          </w:tcPr>
          <w:p w:rsidR="00F03D9D" w:rsidRPr="007E0AF4" w:rsidRDefault="00F03D9D" w:rsidP="00F03D9D">
            <w:pPr>
              <w:autoSpaceDE w:val="0"/>
              <w:autoSpaceDN w:val="0"/>
              <w:adjustRightInd w:val="0"/>
              <w:rPr>
                <w:rFonts w:eastAsia="Calibri"/>
                <w:color w:val="000000"/>
                <w:sz w:val="22"/>
              </w:rPr>
            </w:pPr>
          </w:p>
        </w:tc>
      </w:tr>
      <w:tr w:rsidR="00F03D9D" w:rsidRPr="007E0AF4" w:rsidTr="00F03D9D">
        <w:trPr>
          <w:trHeight w:val="551"/>
        </w:trPr>
        <w:tc>
          <w:tcPr>
            <w:tcW w:w="1306" w:type="dxa"/>
            <w:vMerge/>
            <w:tcBorders>
              <w:left w:val="nil"/>
              <w:bottom w:val="nil"/>
              <w:right w:val="nil"/>
            </w:tcBorders>
          </w:tcPr>
          <w:p w:rsidR="00F03D9D" w:rsidRPr="007E0AF4" w:rsidRDefault="00F03D9D" w:rsidP="00F03D9D">
            <w:pPr>
              <w:autoSpaceDE w:val="0"/>
              <w:autoSpaceDN w:val="0"/>
              <w:adjustRightInd w:val="0"/>
              <w:jc w:val="right"/>
              <w:rPr>
                <w:rFonts w:eastAsia="Calibri"/>
                <w:color w:val="000000"/>
                <w:sz w:val="22"/>
              </w:rPr>
            </w:pPr>
          </w:p>
        </w:tc>
        <w:tc>
          <w:tcPr>
            <w:tcW w:w="2977" w:type="dxa"/>
            <w:vMerge/>
            <w:tcBorders>
              <w:left w:val="single" w:sz="6" w:space="0" w:color="auto"/>
              <w:bottom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p>
        </w:tc>
        <w:tc>
          <w:tcPr>
            <w:tcW w:w="1837" w:type="dxa"/>
            <w:tcBorders>
              <w:top w:val="single" w:sz="6"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jc w:val="center"/>
              <w:rPr>
                <w:rFonts w:eastAsia="Calibri"/>
                <w:color w:val="000000"/>
                <w:sz w:val="22"/>
              </w:rPr>
            </w:pPr>
            <w:r w:rsidRPr="007E0AF4">
              <w:rPr>
                <w:rFonts w:eastAsia="Calibri"/>
                <w:sz w:val="22"/>
              </w:rPr>
              <w:t>28 000,0</w:t>
            </w:r>
          </w:p>
        </w:tc>
        <w:tc>
          <w:tcPr>
            <w:tcW w:w="1420" w:type="dxa"/>
            <w:tcBorders>
              <w:top w:val="single" w:sz="4"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w:t>
            </w:r>
          </w:p>
        </w:tc>
        <w:tc>
          <w:tcPr>
            <w:tcW w:w="996" w:type="dxa"/>
            <w:gridSpan w:val="2"/>
            <w:tcBorders>
              <w:top w:val="single" w:sz="4"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12000,0</w:t>
            </w:r>
          </w:p>
        </w:tc>
        <w:tc>
          <w:tcPr>
            <w:tcW w:w="1417" w:type="dxa"/>
            <w:tcBorders>
              <w:top w:val="single" w:sz="4"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rFonts w:eastAsia="Calibri"/>
                <w:color w:val="000000"/>
                <w:sz w:val="22"/>
              </w:rPr>
            </w:pPr>
            <w:r w:rsidRPr="007E0AF4">
              <w:rPr>
                <w:sz w:val="22"/>
              </w:rPr>
              <w:t>Міжнародні інвестиції</w:t>
            </w:r>
          </w:p>
        </w:tc>
        <w:tc>
          <w:tcPr>
            <w:tcW w:w="1417" w:type="dxa"/>
            <w:tcBorders>
              <w:top w:val="single" w:sz="4"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jc w:val="center"/>
              <w:rPr>
                <w:rFonts w:eastAsia="Calibri"/>
                <w:color w:val="000000"/>
                <w:sz w:val="22"/>
              </w:rPr>
            </w:pPr>
            <w:r w:rsidRPr="007E0AF4">
              <w:rPr>
                <w:rFonts w:eastAsia="Calibri"/>
                <w:sz w:val="22"/>
              </w:rPr>
              <w:t>40 000,0</w:t>
            </w:r>
          </w:p>
        </w:tc>
      </w:tr>
    </w:tbl>
    <w:p w:rsidR="000729E2" w:rsidRPr="007E0AF4" w:rsidRDefault="000729E2" w:rsidP="00E95FB1">
      <w:pPr>
        <w:rPr>
          <w:sz w:val="22"/>
        </w:rPr>
      </w:pPr>
    </w:p>
    <w:p w:rsidR="00F03D9D" w:rsidRPr="007E0AF4" w:rsidRDefault="00F03D9D" w:rsidP="00E95FB1">
      <w:pPr>
        <w:rPr>
          <w:sz w:val="22"/>
        </w:rPr>
      </w:pPr>
    </w:p>
    <w:p w:rsidR="00F03D9D" w:rsidRPr="007E0AF4" w:rsidRDefault="00F03D9D" w:rsidP="00E95FB1">
      <w:pPr>
        <w:rPr>
          <w:sz w:val="22"/>
        </w:rPr>
      </w:pPr>
    </w:p>
    <w:tbl>
      <w:tblPr>
        <w:tblpPr w:leftFromText="180" w:rightFromText="180" w:vertAnchor="text" w:horzAnchor="margin" w:tblpXSpec="center" w:tblpY="123"/>
        <w:tblW w:w="10132" w:type="dxa"/>
        <w:tblLayout w:type="fixed"/>
        <w:tblCellMar>
          <w:left w:w="30" w:type="dxa"/>
          <w:right w:w="30" w:type="dxa"/>
        </w:tblCellMar>
        <w:tblLook w:val="0000" w:firstRow="0" w:lastRow="0" w:firstColumn="0" w:lastColumn="0" w:noHBand="0" w:noVBand="0"/>
      </w:tblPr>
      <w:tblGrid>
        <w:gridCol w:w="2917"/>
        <w:gridCol w:w="1306"/>
        <w:gridCol w:w="1276"/>
        <w:gridCol w:w="708"/>
        <w:gridCol w:w="1130"/>
        <w:gridCol w:w="571"/>
        <w:gridCol w:w="827"/>
        <w:gridCol w:w="1397"/>
      </w:tblGrid>
      <w:tr w:rsidR="00F03D9D" w:rsidRPr="007E0AF4" w:rsidTr="00CD602B">
        <w:trPr>
          <w:trHeight w:val="508"/>
        </w:trPr>
        <w:tc>
          <w:tcPr>
            <w:tcW w:w="291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r w:rsidRPr="007E0AF4">
              <w:rPr>
                <w:rFonts w:eastAsia="Calibri"/>
                <w:b/>
                <w:color w:val="000000"/>
                <w:sz w:val="22"/>
              </w:rPr>
              <w:t>Оперативна ціль/завдання</w:t>
            </w:r>
          </w:p>
        </w:tc>
        <w:tc>
          <w:tcPr>
            <w:tcW w:w="7215" w:type="dxa"/>
            <w:gridSpan w:val="7"/>
            <w:tcBorders>
              <w:top w:val="single" w:sz="6" w:space="0" w:color="auto"/>
              <w:left w:val="single" w:sz="6" w:space="0" w:color="auto"/>
              <w:bottom w:val="single" w:sz="6" w:space="0" w:color="auto"/>
              <w:right w:val="single" w:sz="6" w:space="0" w:color="auto"/>
            </w:tcBorders>
            <w:vAlign w:val="center"/>
          </w:tcPr>
          <w:p w:rsidR="00F03D9D" w:rsidRPr="007E0AF4" w:rsidRDefault="00F03D9D" w:rsidP="00F03D9D">
            <w:pPr>
              <w:rPr>
                <w:color w:val="000000"/>
                <w:sz w:val="22"/>
              </w:rPr>
            </w:pPr>
            <w:r w:rsidRPr="007E0AF4">
              <w:rPr>
                <w:rFonts w:eastAsia="Arial"/>
                <w:sz w:val="22"/>
              </w:rPr>
              <w:t xml:space="preserve">Людський розвиток через інновації управління та довіру до влади. Формування сучасного інклюзивного  </w:t>
            </w:r>
            <w:proofErr w:type="spellStart"/>
            <w:r w:rsidRPr="007E0AF4">
              <w:rPr>
                <w:rFonts w:eastAsia="Arial"/>
                <w:sz w:val="22"/>
              </w:rPr>
              <w:t>освітньо</w:t>
            </w:r>
            <w:proofErr w:type="spellEnd"/>
            <w:r w:rsidRPr="007E0AF4">
              <w:rPr>
                <w:rFonts w:eastAsia="Arial"/>
                <w:sz w:val="22"/>
              </w:rPr>
              <w:t xml:space="preserve">-культурного та спортивного простору для розвитку </w:t>
            </w:r>
          </w:p>
        </w:tc>
      </w:tr>
      <w:tr w:rsidR="00F03D9D" w:rsidRPr="007E0AF4" w:rsidTr="00CD602B">
        <w:trPr>
          <w:trHeight w:val="502"/>
        </w:trPr>
        <w:tc>
          <w:tcPr>
            <w:tcW w:w="291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r w:rsidRPr="007E0AF4">
              <w:rPr>
                <w:rFonts w:eastAsia="Calibri"/>
                <w:b/>
                <w:color w:val="000000"/>
                <w:sz w:val="22"/>
              </w:rPr>
              <w:lastRenderedPageBreak/>
              <w:t>Назва проекту:</w:t>
            </w:r>
          </w:p>
        </w:tc>
        <w:tc>
          <w:tcPr>
            <w:tcW w:w="7215" w:type="dxa"/>
            <w:gridSpan w:val="7"/>
            <w:tcBorders>
              <w:top w:val="single" w:sz="6" w:space="0" w:color="auto"/>
              <w:left w:val="single" w:sz="6" w:space="0" w:color="auto"/>
              <w:bottom w:val="single" w:sz="6" w:space="0" w:color="auto"/>
              <w:right w:val="single" w:sz="6" w:space="0" w:color="auto"/>
            </w:tcBorders>
          </w:tcPr>
          <w:p w:rsidR="00F03D9D" w:rsidRPr="007E0AF4" w:rsidRDefault="00F03D9D" w:rsidP="00847CA5">
            <w:pPr>
              <w:rPr>
                <w:color w:val="000000"/>
                <w:sz w:val="22"/>
              </w:rPr>
            </w:pPr>
            <w:r w:rsidRPr="007E0AF4">
              <w:rPr>
                <w:color w:val="000000"/>
                <w:sz w:val="22"/>
              </w:rPr>
              <w:t xml:space="preserve">Відновлення паркану, системи </w:t>
            </w:r>
            <w:proofErr w:type="spellStart"/>
            <w:r w:rsidRPr="007E0AF4">
              <w:rPr>
                <w:color w:val="000000"/>
                <w:sz w:val="22"/>
              </w:rPr>
              <w:t>відеонагляду</w:t>
            </w:r>
            <w:proofErr w:type="spellEnd"/>
            <w:r w:rsidRPr="007E0AF4">
              <w:rPr>
                <w:color w:val="000000"/>
                <w:sz w:val="22"/>
              </w:rPr>
              <w:t xml:space="preserve"> та зовнішнього освітлення садиби середньої загальноосвітньої школи I-III ступенів № 18 м. Сєвєродонецька Луганської області, вул. Курчатова, буд. 27-Б</w:t>
            </w:r>
          </w:p>
        </w:tc>
      </w:tr>
      <w:tr w:rsidR="00F03D9D" w:rsidRPr="007E0AF4" w:rsidTr="00CD602B">
        <w:trPr>
          <w:trHeight w:val="1015"/>
        </w:trPr>
        <w:tc>
          <w:tcPr>
            <w:tcW w:w="291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r w:rsidRPr="007E0AF4">
              <w:rPr>
                <w:rFonts w:eastAsia="Calibri"/>
                <w:b/>
                <w:color w:val="000000"/>
                <w:sz w:val="22"/>
              </w:rPr>
              <w:t>Ціль проекту</w:t>
            </w:r>
          </w:p>
        </w:tc>
        <w:tc>
          <w:tcPr>
            <w:tcW w:w="7215" w:type="dxa"/>
            <w:gridSpan w:val="7"/>
            <w:tcBorders>
              <w:top w:val="single" w:sz="6" w:space="0" w:color="auto"/>
              <w:left w:val="single" w:sz="6" w:space="0" w:color="auto"/>
              <w:bottom w:val="single" w:sz="6" w:space="0" w:color="auto"/>
              <w:right w:val="single" w:sz="6" w:space="0" w:color="auto"/>
            </w:tcBorders>
          </w:tcPr>
          <w:p w:rsidR="00F03D9D" w:rsidRPr="007E0AF4" w:rsidRDefault="00F03D9D" w:rsidP="00F03D9D">
            <w:pPr>
              <w:rPr>
                <w:color w:val="000000"/>
                <w:sz w:val="22"/>
              </w:rPr>
            </w:pPr>
            <w:r w:rsidRPr="007E0AF4">
              <w:rPr>
                <w:sz w:val="22"/>
              </w:rPr>
              <w:t>Відновити та покращити роботу комунальної установи Гімназії № 18 міста Сєвєродонецька Луганської області для надання широкого спектру послуг, пов’язаних із якісною, безпечною освітою та задоволення потреб мешканців Сєвєродонецької міської територіальної громади у необхідних послугах (або забезпечення якісного рівня життя).</w:t>
            </w:r>
          </w:p>
        </w:tc>
      </w:tr>
      <w:tr w:rsidR="00F03D9D" w:rsidRPr="007E0AF4" w:rsidTr="00CD602B">
        <w:trPr>
          <w:trHeight w:val="265"/>
        </w:trPr>
        <w:tc>
          <w:tcPr>
            <w:tcW w:w="291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r w:rsidRPr="007E0AF4">
              <w:rPr>
                <w:rFonts w:eastAsia="Calibri"/>
                <w:b/>
                <w:color w:val="000000"/>
                <w:sz w:val="22"/>
              </w:rPr>
              <w:t>Територія, на яку матиме вплив реалізація проекту</w:t>
            </w:r>
          </w:p>
        </w:tc>
        <w:tc>
          <w:tcPr>
            <w:tcW w:w="7215" w:type="dxa"/>
            <w:gridSpan w:val="7"/>
            <w:tcBorders>
              <w:top w:val="single" w:sz="6"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Сєвєродонецька міська територіальна громада</w:t>
            </w:r>
          </w:p>
        </w:tc>
      </w:tr>
      <w:tr w:rsidR="00F03D9D" w:rsidRPr="007E0AF4" w:rsidTr="00CD602B">
        <w:trPr>
          <w:trHeight w:val="520"/>
        </w:trPr>
        <w:tc>
          <w:tcPr>
            <w:tcW w:w="291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r w:rsidRPr="007E0AF4">
              <w:rPr>
                <w:rFonts w:eastAsia="Calibri"/>
                <w:b/>
                <w:color w:val="000000"/>
                <w:sz w:val="22"/>
              </w:rPr>
              <w:t>Чисельність населення, на яке матиме вплив реалізація проекту</w:t>
            </w:r>
          </w:p>
        </w:tc>
        <w:tc>
          <w:tcPr>
            <w:tcW w:w="7215" w:type="dxa"/>
            <w:gridSpan w:val="7"/>
            <w:tcBorders>
              <w:top w:val="single" w:sz="6" w:space="0" w:color="auto"/>
              <w:left w:val="single" w:sz="6" w:space="0" w:color="auto"/>
              <w:bottom w:val="single" w:sz="6" w:space="0" w:color="auto"/>
              <w:right w:val="single" w:sz="6" w:space="0" w:color="auto"/>
            </w:tcBorders>
          </w:tcPr>
          <w:p w:rsidR="00F03D9D" w:rsidRPr="007E0AF4" w:rsidRDefault="00F03D9D" w:rsidP="00F03D9D">
            <w:pPr>
              <w:rPr>
                <w:color w:val="000000"/>
                <w:sz w:val="22"/>
              </w:rPr>
            </w:pPr>
            <w:r w:rsidRPr="007E0AF4">
              <w:rPr>
                <w:sz w:val="22"/>
              </w:rPr>
              <w:t>70 000  осіб</w:t>
            </w:r>
          </w:p>
        </w:tc>
      </w:tr>
      <w:tr w:rsidR="00F03D9D" w:rsidRPr="007E0AF4" w:rsidTr="00CD602B">
        <w:trPr>
          <w:trHeight w:val="1154"/>
        </w:trPr>
        <w:tc>
          <w:tcPr>
            <w:tcW w:w="291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r w:rsidRPr="007E0AF4">
              <w:rPr>
                <w:rFonts w:eastAsia="Calibri"/>
                <w:b/>
                <w:color w:val="000000"/>
                <w:sz w:val="22"/>
              </w:rPr>
              <w:t>Опис проблеми, на вирішення якої спрямований проект</w:t>
            </w:r>
          </w:p>
        </w:tc>
        <w:tc>
          <w:tcPr>
            <w:tcW w:w="7215" w:type="dxa"/>
            <w:gridSpan w:val="7"/>
            <w:tcBorders>
              <w:top w:val="single" w:sz="6" w:space="0" w:color="auto"/>
              <w:left w:val="single" w:sz="6" w:space="0" w:color="auto"/>
              <w:bottom w:val="single" w:sz="6" w:space="0" w:color="auto"/>
              <w:right w:val="single" w:sz="6" w:space="0" w:color="auto"/>
            </w:tcBorders>
          </w:tcPr>
          <w:p w:rsidR="00F03D9D" w:rsidRPr="007E0AF4" w:rsidRDefault="00F03D9D" w:rsidP="00F03D9D">
            <w:pPr>
              <w:ind w:firstLine="708"/>
              <w:rPr>
                <w:sz w:val="22"/>
              </w:rPr>
            </w:pPr>
            <w:r w:rsidRPr="007E0AF4">
              <w:rPr>
                <w:sz w:val="22"/>
              </w:rPr>
              <w:t>Через військову агресію РФ територія Сєвєродонецької міської територіальної громади зазнала значних пошкоджень. Не оминуло це і комунальну установу, Гімназію № 18, вул. Курчатова 27-Б.</w:t>
            </w:r>
          </w:p>
          <w:p w:rsidR="00F03D9D" w:rsidRPr="007E0AF4" w:rsidRDefault="00F03D9D" w:rsidP="00372967">
            <w:pPr>
              <w:rPr>
                <w:sz w:val="22"/>
              </w:rPr>
            </w:pPr>
            <w:r w:rsidRPr="007E0AF4">
              <w:rPr>
                <w:sz w:val="22"/>
              </w:rPr>
              <w:t xml:space="preserve">Огорожа  СЗШ № 18 зазнала певних руйнацій </w:t>
            </w:r>
            <w:r w:rsidR="00372967" w:rsidRPr="007E0AF4">
              <w:rPr>
                <w:sz w:val="22"/>
              </w:rPr>
              <w:t>в</w:t>
            </w:r>
            <w:r w:rsidRPr="007E0AF4">
              <w:rPr>
                <w:sz w:val="22"/>
              </w:rPr>
              <w:t>наслідок обстрілів російських окупантів, що є небезпечним для життя і здоров'я учнів закладу. Проблема - забезпечення безпечного перебування дітей в урочний та позаурочний час на території закладу, обмеження доступу на шкільне подвір’я сторонніх осіб, таких, що вигулюють тварин, намагаються їздити автомобільним транспортом без дозволу. Безпека дітей і збереження майна школи мають бути на першому місці завдань відновлення закладу.</w:t>
            </w:r>
          </w:p>
        </w:tc>
      </w:tr>
      <w:tr w:rsidR="00F03D9D" w:rsidRPr="007E0AF4" w:rsidTr="00CD602B">
        <w:trPr>
          <w:trHeight w:val="1126"/>
        </w:trPr>
        <w:tc>
          <w:tcPr>
            <w:tcW w:w="291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r w:rsidRPr="007E0AF4">
              <w:rPr>
                <w:rFonts w:eastAsia="Calibri"/>
                <w:b/>
                <w:color w:val="000000"/>
                <w:sz w:val="22"/>
              </w:rPr>
              <w:t>Очікувані якісні результати від реалізації проекту</w:t>
            </w:r>
          </w:p>
        </w:tc>
        <w:tc>
          <w:tcPr>
            <w:tcW w:w="7215" w:type="dxa"/>
            <w:gridSpan w:val="7"/>
            <w:tcBorders>
              <w:top w:val="single" w:sz="6" w:space="0" w:color="auto"/>
              <w:left w:val="single" w:sz="6" w:space="0" w:color="auto"/>
              <w:bottom w:val="single" w:sz="6" w:space="0" w:color="auto"/>
              <w:right w:val="single" w:sz="6" w:space="0" w:color="auto"/>
            </w:tcBorders>
            <w:vAlign w:val="bottom"/>
          </w:tcPr>
          <w:p w:rsidR="00F03D9D" w:rsidRPr="007E0AF4" w:rsidRDefault="00F03D9D" w:rsidP="00F03D9D">
            <w:pPr>
              <w:rPr>
                <w:rFonts w:eastAsia="Calibri"/>
                <w:color w:val="000000"/>
                <w:sz w:val="22"/>
              </w:rPr>
            </w:pPr>
            <w:r w:rsidRPr="007E0AF4">
              <w:rPr>
                <w:sz w:val="22"/>
              </w:rPr>
              <w:t>- відновлено освітній процес в умовах безпечного освітнього середовища</w:t>
            </w:r>
            <w:r w:rsidRPr="007E0AF4">
              <w:rPr>
                <w:rFonts w:eastAsia="Calibri"/>
                <w:color w:val="000000"/>
                <w:sz w:val="22"/>
              </w:rPr>
              <w:t>;</w:t>
            </w:r>
          </w:p>
          <w:p w:rsidR="00F03D9D" w:rsidRPr="007E0AF4" w:rsidRDefault="00F03D9D" w:rsidP="00F03D9D">
            <w:pPr>
              <w:pStyle w:val="a7"/>
              <w:ind w:left="0"/>
              <w:rPr>
                <w:sz w:val="22"/>
              </w:rPr>
            </w:pPr>
            <w:r w:rsidRPr="007E0AF4">
              <w:rPr>
                <w:sz w:val="22"/>
              </w:rPr>
              <w:t>- населення забезпечено можливостями для реалізації його конституційних прав на якісну, безпечну освіту;</w:t>
            </w:r>
          </w:p>
          <w:p w:rsidR="00F03D9D" w:rsidRPr="007E0AF4" w:rsidRDefault="00F03D9D" w:rsidP="00F03D9D">
            <w:pPr>
              <w:pStyle w:val="a7"/>
              <w:ind w:left="0"/>
              <w:rPr>
                <w:sz w:val="22"/>
              </w:rPr>
            </w:pPr>
            <w:r w:rsidRPr="007E0AF4">
              <w:rPr>
                <w:sz w:val="22"/>
              </w:rPr>
              <w:t>- надається широкий спектр послуг, пов’язаних із навчально-виховним процесом;</w:t>
            </w:r>
          </w:p>
          <w:p w:rsidR="00F03D9D" w:rsidRPr="007E0AF4" w:rsidRDefault="00F03D9D" w:rsidP="00F03D9D">
            <w:pPr>
              <w:pStyle w:val="a7"/>
              <w:ind w:left="0"/>
              <w:rPr>
                <w:sz w:val="22"/>
              </w:rPr>
            </w:pPr>
            <w:r w:rsidRPr="007E0AF4">
              <w:rPr>
                <w:sz w:val="22"/>
              </w:rPr>
              <w:t>- вирішено ряд питань в межах статутної діяльності, пов’язаних із відбудовою та сталим розвитком громади;</w:t>
            </w:r>
          </w:p>
          <w:p w:rsidR="00F03D9D" w:rsidRPr="007E0AF4" w:rsidRDefault="00F03D9D" w:rsidP="00F03D9D">
            <w:pPr>
              <w:pStyle w:val="a7"/>
              <w:ind w:left="0"/>
              <w:rPr>
                <w:sz w:val="22"/>
              </w:rPr>
            </w:pPr>
            <w:r w:rsidRPr="007E0AF4">
              <w:rPr>
                <w:sz w:val="22"/>
              </w:rPr>
              <w:t>- забезпечено стимул щодо повернення ВПО до громади.</w:t>
            </w:r>
          </w:p>
        </w:tc>
      </w:tr>
      <w:tr w:rsidR="00F03D9D" w:rsidRPr="007E0AF4" w:rsidTr="00CD602B">
        <w:trPr>
          <w:trHeight w:val="532"/>
        </w:trPr>
        <w:tc>
          <w:tcPr>
            <w:tcW w:w="2917" w:type="dxa"/>
            <w:vMerge w:val="restart"/>
            <w:tcBorders>
              <w:top w:val="single" w:sz="6" w:space="0" w:color="auto"/>
              <w:left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r w:rsidRPr="007E0AF4">
              <w:rPr>
                <w:rFonts w:eastAsia="Calibri"/>
                <w:b/>
                <w:color w:val="000000"/>
                <w:sz w:val="22"/>
              </w:rPr>
              <w:t>Очікувані кількісні результати від реалізації проекту  (індикатори)</w:t>
            </w:r>
          </w:p>
        </w:tc>
        <w:tc>
          <w:tcPr>
            <w:tcW w:w="4420" w:type="dxa"/>
            <w:gridSpan w:val="4"/>
            <w:tcBorders>
              <w:top w:val="single" w:sz="6"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rFonts w:eastAsia="Calibri"/>
                <w:b/>
                <w:color w:val="000000"/>
                <w:sz w:val="22"/>
              </w:rPr>
            </w:pPr>
            <w:r w:rsidRPr="007E0AF4">
              <w:rPr>
                <w:rFonts w:eastAsia="Calibri"/>
                <w:b/>
                <w:color w:val="000000"/>
                <w:sz w:val="22"/>
              </w:rPr>
              <w:t>Найменування показника</w:t>
            </w:r>
          </w:p>
        </w:tc>
        <w:tc>
          <w:tcPr>
            <w:tcW w:w="1398" w:type="dxa"/>
            <w:gridSpan w:val="2"/>
            <w:tcBorders>
              <w:top w:val="single" w:sz="6"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rFonts w:eastAsia="Calibri"/>
                <w:b/>
                <w:color w:val="000000"/>
                <w:sz w:val="22"/>
              </w:rPr>
            </w:pPr>
            <w:r w:rsidRPr="007E0AF4">
              <w:rPr>
                <w:rFonts w:eastAsia="Calibri"/>
                <w:b/>
                <w:color w:val="000000"/>
                <w:sz w:val="22"/>
              </w:rPr>
              <w:t>Одиниця вимірювання</w:t>
            </w:r>
          </w:p>
        </w:tc>
        <w:tc>
          <w:tcPr>
            <w:tcW w:w="1397" w:type="dxa"/>
            <w:tcBorders>
              <w:top w:val="single" w:sz="6"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rFonts w:eastAsia="Calibri"/>
                <w:b/>
                <w:color w:val="000000"/>
                <w:sz w:val="22"/>
              </w:rPr>
            </w:pPr>
            <w:r w:rsidRPr="007E0AF4">
              <w:rPr>
                <w:rFonts w:eastAsia="Calibri"/>
                <w:b/>
                <w:color w:val="000000"/>
                <w:sz w:val="22"/>
              </w:rPr>
              <w:t>Прогнозне (цільове) значення</w:t>
            </w:r>
          </w:p>
        </w:tc>
      </w:tr>
      <w:tr w:rsidR="00F03D9D" w:rsidRPr="007E0AF4" w:rsidTr="00CD602B">
        <w:trPr>
          <w:trHeight w:val="830"/>
        </w:trPr>
        <w:tc>
          <w:tcPr>
            <w:tcW w:w="2917" w:type="dxa"/>
            <w:vMerge/>
            <w:tcBorders>
              <w:left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p>
        </w:tc>
        <w:tc>
          <w:tcPr>
            <w:tcW w:w="4420" w:type="dxa"/>
            <w:gridSpan w:val="4"/>
            <w:tcBorders>
              <w:top w:val="single" w:sz="6" w:space="0" w:color="auto"/>
              <w:left w:val="single" w:sz="6" w:space="0" w:color="auto"/>
              <w:bottom w:val="single" w:sz="6" w:space="0" w:color="auto"/>
              <w:right w:val="single" w:sz="6" w:space="0" w:color="auto"/>
            </w:tcBorders>
          </w:tcPr>
          <w:p w:rsidR="00F03D9D" w:rsidRPr="007E0AF4" w:rsidRDefault="00F03D9D" w:rsidP="002823C5">
            <w:pPr>
              <w:rPr>
                <w:sz w:val="22"/>
              </w:rPr>
            </w:pPr>
            <w:r w:rsidRPr="007E0AF4">
              <w:rPr>
                <w:sz w:val="22"/>
              </w:rPr>
              <w:t>Кількість фізичних осіб, які звернулись за послугами протягом  року</w:t>
            </w:r>
          </w:p>
        </w:tc>
        <w:tc>
          <w:tcPr>
            <w:tcW w:w="1398" w:type="dxa"/>
            <w:gridSpan w:val="2"/>
            <w:tcBorders>
              <w:top w:val="single" w:sz="6" w:space="0" w:color="auto"/>
              <w:left w:val="single" w:sz="6" w:space="0" w:color="auto"/>
              <w:bottom w:val="single" w:sz="6" w:space="0" w:color="auto"/>
              <w:right w:val="single" w:sz="6" w:space="0" w:color="auto"/>
            </w:tcBorders>
          </w:tcPr>
          <w:p w:rsidR="00F03D9D" w:rsidRPr="007E0AF4" w:rsidRDefault="00F03D9D" w:rsidP="00F03D9D">
            <w:pPr>
              <w:rPr>
                <w:sz w:val="22"/>
              </w:rPr>
            </w:pPr>
            <w:r w:rsidRPr="007E0AF4">
              <w:rPr>
                <w:sz w:val="22"/>
              </w:rPr>
              <w:t>осіб</w:t>
            </w:r>
          </w:p>
        </w:tc>
        <w:tc>
          <w:tcPr>
            <w:tcW w:w="1397" w:type="dxa"/>
            <w:tcBorders>
              <w:top w:val="single" w:sz="6" w:space="0" w:color="auto"/>
              <w:left w:val="single" w:sz="6" w:space="0" w:color="auto"/>
              <w:bottom w:val="single" w:sz="6" w:space="0" w:color="auto"/>
              <w:right w:val="single" w:sz="6" w:space="0" w:color="auto"/>
            </w:tcBorders>
          </w:tcPr>
          <w:p w:rsidR="00F03D9D" w:rsidRPr="007E0AF4" w:rsidRDefault="00F03D9D" w:rsidP="00F03D9D">
            <w:pPr>
              <w:rPr>
                <w:sz w:val="22"/>
              </w:rPr>
            </w:pPr>
            <w:r w:rsidRPr="007E0AF4">
              <w:rPr>
                <w:sz w:val="22"/>
              </w:rPr>
              <w:t>1000</w:t>
            </w:r>
          </w:p>
        </w:tc>
      </w:tr>
      <w:tr w:rsidR="00F03D9D" w:rsidRPr="007E0AF4" w:rsidTr="00CD602B">
        <w:trPr>
          <w:trHeight w:val="830"/>
        </w:trPr>
        <w:tc>
          <w:tcPr>
            <w:tcW w:w="2917" w:type="dxa"/>
            <w:vMerge/>
            <w:tcBorders>
              <w:left w:val="single" w:sz="6" w:space="0" w:color="auto"/>
              <w:bottom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p>
        </w:tc>
        <w:tc>
          <w:tcPr>
            <w:tcW w:w="4420" w:type="dxa"/>
            <w:gridSpan w:val="4"/>
            <w:tcBorders>
              <w:top w:val="single" w:sz="6" w:space="0" w:color="auto"/>
              <w:left w:val="single" w:sz="6" w:space="0" w:color="auto"/>
              <w:bottom w:val="single" w:sz="6" w:space="0" w:color="auto"/>
              <w:right w:val="single" w:sz="6" w:space="0" w:color="auto"/>
            </w:tcBorders>
          </w:tcPr>
          <w:p w:rsidR="00F03D9D" w:rsidRPr="007E0AF4" w:rsidRDefault="00F03D9D" w:rsidP="000853B1">
            <w:pPr>
              <w:rPr>
                <w:sz w:val="22"/>
              </w:rPr>
            </w:pPr>
            <w:r w:rsidRPr="007E0AF4">
              <w:rPr>
                <w:sz w:val="22"/>
              </w:rPr>
              <w:t>Кількість видів та типів послуг</w:t>
            </w:r>
            <w:r w:rsidR="000853B1" w:rsidRPr="007E0AF4">
              <w:rPr>
                <w:sz w:val="22"/>
                <w:lang w:val="ru-RU"/>
              </w:rPr>
              <w:t>,</w:t>
            </w:r>
            <w:r w:rsidRPr="007E0AF4">
              <w:rPr>
                <w:sz w:val="22"/>
              </w:rPr>
              <w:t xml:space="preserve"> наданих протягом одного робочого дня</w:t>
            </w:r>
          </w:p>
        </w:tc>
        <w:tc>
          <w:tcPr>
            <w:tcW w:w="1398" w:type="dxa"/>
            <w:gridSpan w:val="2"/>
            <w:tcBorders>
              <w:top w:val="single" w:sz="6" w:space="0" w:color="auto"/>
              <w:left w:val="single" w:sz="6" w:space="0" w:color="auto"/>
              <w:bottom w:val="single" w:sz="6" w:space="0" w:color="auto"/>
              <w:right w:val="single" w:sz="6" w:space="0" w:color="auto"/>
            </w:tcBorders>
          </w:tcPr>
          <w:p w:rsidR="00F03D9D" w:rsidRPr="007E0AF4" w:rsidRDefault="00F03D9D" w:rsidP="00F03D9D">
            <w:pPr>
              <w:rPr>
                <w:sz w:val="22"/>
              </w:rPr>
            </w:pPr>
            <w:r w:rsidRPr="007E0AF4">
              <w:rPr>
                <w:sz w:val="22"/>
              </w:rPr>
              <w:t>одиниць</w:t>
            </w:r>
          </w:p>
        </w:tc>
        <w:tc>
          <w:tcPr>
            <w:tcW w:w="1397" w:type="dxa"/>
            <w:tcBorders>
              <w:top w:val="single" w:sz="6" w:space="0" w:color="auto"/>
              <w:left w:val="single" w:sz="6" w:space="0" w:color="auto"/>
              <w:bottom w:val="single" w:sz="6" w:space="0" w:color="auto"/>
              <w:right w:val="single" w:sz="6" w:space="0" w:color="auto"/>
            </w:tcBorders>
          </w:tcPr>
          <w:p w:rsidR="00F03D9D" w:rsidRPr="007E0AF4" w:rsidRDefault="00F03D9D" w:rsidP="00F03D9D">
            <w:pPr>
              <w:rPr>
                <w:sz w:val="22"/>
              </w:rPr>
            </w:pPr>
            <w:r w:rsidRPr="007E0AF4">
              <w:rPr>
                <w:sz w:val="22"/>
              </w:rPr>
              <w:t>147</w:t>
            </w:r>
          </w:p>
        </w:tc>
      </w:tr>
      <w:tr w:rsidR="00F03D9D" w:rsidRPr="007E0AF4" w:rsidTr="00CD602B">
        <w:trPr>
          <w:trHeight w:val="274"/>
        </w:trPr>
        <w:tc>
          <w:tcPr>
            <w:tcW w:w="2917" w:type="dxa"/>
            <w:vMerge/>
            <w:tcBorders>
              <w:left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p>
        </w:tc>
        <w:tc>
          <w:tcPr>
            <w:tcW w:w="4420" w:type="dxa"/>
            <w:gridSpan w:val="4"/>
            <w:tcBorders>
              <w:top w:val="single" w:sz="6"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sz w:val="22"/>
              </w:rPr>
            </w:pPr>
            <w:r w:rsidRPr="007E0AF4">
              <w:rPr>
                <w:sz w:val="22"/>
              </w:rPr>
              <w:t>Термін надання послуги</w:t>
            </w:r>
          </w:p>
        </w:tc>
        <w:tc>
          <w:tcPr>
            <w:tcW w:w="1398" w:type="dxa"/>
            <w:gridSpan w:val="2"/>
            <w:tcBorders>
              <w:top w:val="single" w:sz="6"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день</w:t>
            </w:r>
          </w:p>
        </w:tc>
        <w:tc>
          <w:tcPr>
            <w:tcW w:w="1397" w:type="dxa"/>
            <w:tcBorders>
              <w:top w:val="single" w:sz="6"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365</w:t>
            </w:r>
          </w:p>
        </w:tc>
      </w:tr>
      <w:tr w:rsidR="00F03D9D" w:rsidRPr="007E0AF4" w:rsidTr="00CD602B">
        <w:trPr>
          <w:trHeight w:val="470"/>
        </w:trPr>
        <w:tc>
          <w:tcPr>
            <w:tcW w:w="291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r w:rsidRPr="007E0AF4">
              <w:rPr>
                <w:rFonts w:eastAsia="Calibri"/>
                <w:b/>
                <w:color w:val="000000"/>
                <w:sz w:val="22"/>
              </w:rPr>
              <w:t>Ключові заходи проекту:</w:t>
            </w:r>
          </w:p>
        </w:tc>
        <w:tc>
          <w:tcPr>
            <w:tcW w:w="7215" w:type="dxa"/>
            <w:gridSpan w:val="7"/>
            <w:tcBorders>
              <w:top w:val="single" w:sz="6" w:space="0" w:color="auto"/>
              <w:left w:val="single" w:sz="6" w:space="0" w:color="auto"/>
              <w:bottom w:val="single" w:sz="6" w:space="0" w:color="auto"/>
              <w:right w:val="single" w:sz="6" w:space="0" w:color="auto"/>
            </w:tcBorders>
          </w:tcPr>
          <w:p w:rsidR="00F03D9D" w:rsidRPr="007E0AF4" w:rsidRDefault="00F03D9D" w:rsidP="00F03D9D">
            <w:pPr>
              <w:pStyle w:val="a7"/>
              <w:ind w:left="0"/>
              <w:rPr>
                <w:sz w:val="22"/>
              </w:rPr>
            </w:pPr>
            <w:r w:rsidRPr="007E0AF4">
              <w:rPr>
                <w:sz w:val="22"/>
              </w:rPr>
              <w:t>- обстеження стану паркану</w:t>
            </w:r>
            <w:r w:rsidRPr="007E0AF4">
              <w:rPr>
                <w:rFonts w:eastAsia="Calibri"/>
                <w:color w:val="000000"/>
                <w:sz w:val="22"/>
              </w:rPr>
              <w:t xml:space="preserve">, зовнішнього </w:t>
            </w:r>
            <w:proofErr w:type="spellStart"/>
            <w:r w:rsidRPr="007E0AF4">
              <w:rPr>
                <w:rFonts w:eastAsia="Calibri"/>
                <w:color w:val="000000"/>
                <w:sz w:val="22"/>
              </w:rPr>
              <w:t>осітлення</w:t>
            </w:r>
            <w:proofErr w:type="spellEnd"/>
            <w:r w:rsidRPr="007E0AF4">
              <w:rPr>
                <w:rFonts w:eastAsia="Calibri"/>
                <w:color w:val="000000"/>
                <w:sz w:val="22"/>
              </w:rPr>
              <w:t>, технічні експертизи щодо відеоспостереження</w:t>
            </w:r>
            <w:r w:rsidRPr="007E0AF4">
              <w:rPr>
                <w:sz w:val="22"/>
              </w:rPr>
              <w:t>;</w:t>
            </w:r>
          </w:p>
          <w:p w:rsidR="00F03D9D" w:rsidRPr="007E0AF4" w:rsidRDefault="00F03D9D" w:rsidP="00F03D9D">
            <w:pPr>
              <w:pStyle w:val="a7"/>
              <w:ind w:left="0"/>
              <w:rPr>
                <w:sz w:val="22"/>
              </w:rPr>
            </w:pPr>
            <w:r w:rsidRPr="007E0AF4">
              <w:rPr>
                <w:sz w:val="22"/>
              </w:rPr>
              <w:t>- проведення інвентаризації основних засобів;</w:t>
            </w:r>
          </w:p>
          <w:p w:rsidR="00F03D9D" w:rsidRPr="007E0AF4" w:rsidRDefault="00F03D9D" w:rsidP="00F03D9D">
            <w:pPr>
              <w:autoSpaceDE w:val="0"/>
              <w:autoSpaceDN w:val="0"/>
              <w:adjustRightInd w:val="0"/>
              <w:rPr>
                <w:rFonts w:eastAsia="Calibri"/>
                <w:color w:val="000000"/>
                <w:sz w:val="22"/>
              </w:rPr>
            </w:pPr>
            <w:r w:rsidRPr="007E0AF4">
              <w:rPr>
                <w:sz w:val="22"/>
              </w:rPr>
              <w:t>- п</w:t>
            </w:r>
            <w:r w:rsidRPr="007E0AF4">
              <w:rPr>
                <w:rFonts w:eastAsia="Calibri"/>
                <w:color w:val="000000"/>
                <w:sz w:val="22"/>
              </w:rPr>
              <w:t xml:space="preserve">ідготовка </w:t>
            </w:r>
            <w:proofErr w:type="spellStart"/>
            <w:r w:rsidRPr="007E0AF4">
              <w:rPr>
                <w:rFonts w:eastAsia="Calibri"/>
                <w:color w:val="000000"/>
                <w:sz w:val="22"/>
              </w:rPr>
              <w:t>про</w:t>
            </w:r>
            <w:r w:rsidR="00377259" w:rsidRPr="007E0AF4">
              <w:rPr>
                <w:rFonts w:eastAsia="Calibri"/>
                <w:color w:val="000000"/>
                <w:sz w:val="22"/>
              </w:rPr>
              <w:t>є</w:t>
            </w:r>
            <w:r w:rsidRPr="007E0AF4">
              <w:rPr>
                <w:rFonts w:eastAsia="Calibri"/>
                <w:color w:val="000000"/>
                <w:sz w:val="22"/>
              </w:rPr>
              <w:t>ктно</w:t>
            </w:r>
            <w:proofErr w:type="spellEnd"/>
            <w:r w:rsidRPr="007E0AF4">
              <w:rPr>
                <w:rFonts w:eastAsia="Calibri"/>
                <w:color w:val="000000"/>
                <w:sz w:val="22"/>
              </w:rPr>
              <w:t>-кошторисної документації (ПКД);</w:t>
            </w:r>
          </w:p>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 xml:space="preserve">- </w:t>
            </w:r>
            <w:r w:rsidRPr="007E0AF4">
              <w:rPr>
                <w:sz w:val="22"/>
              </w:rPr>
              <w:t>здійснення заходів згідно ПКД;</w:t>
            </w:r>
          </w:p>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 xml:space="preserve">- </w:t>
            </w:r>
            <w:r w:rsidRPr="007E0AF4">
              <w:rPr>
                <w:sz w:val="22"/>
              </w:rPr>
              <w:t>придбання технічного забезпечення;</w:t>
            </w:r>
          </w:p>
          <w:p w:rsidR="00F03D9D" w:rsidRPr="007E0AF4" w:rsidRDefault="00F03D9D" w:rsidP="00F03D9D">
            <w:pPr>
              <w:pStyle w:val="a7"/>
              <w:ind w:left="0"/>
              <w:rPr>
                <w:sz w:val="22"/>
              </w:rPr>
            </w:pPr>
            <w:r w:rsidRPr="007E0AF4">
              <w:rPr>
                <w:sz w:val="22"/>
              </w:rPr>
              <w:t>- придбання технологічного забезпечення;</w:t>
            </w:r>
          </w:p>
          <w:p w:rsidR="00F03D9D" w:rsidRPr="007E0AF4" w:rsidRDefault="00F03D9D" w:rsidP="00F03D9D">
            <w:pPr>
              <w:rPr>
                <w:sz w:val="22"/>
              </w:rPr>
            </w:pPr>
            <w:r w:rsidRPr="007E0AF4">
              <w:rPr>
                <w:sz w:val="22"/>
              </w:rPr>
              <w:t>- організація та початок робочого процесу;</w:t>
            </w:r>
          </w:p>
          <w:p w:rsidR="00F03D9D" w:rsidRPr="007E0AF4" w:rsidRDefault="00F03D9D" w:rsidP="00377259">
            <w:pPr>
              <w:jc w:val="left"/>
              <w:rPr>
                <w:sz w:val="22"/>
              </w:rPr>
            </w:pPr>
            <w:r w:rsidRPr="007E0AF4">
              <w:rPr>
                <w:sz w:val="22"/>
              </w:rPr>
              <w:t>- демонтаж зіпсованого/зруйнованого паркану;</w:t>
            </w:r>
            <w:r w:rsidRPr="007E0AF4">
              <w:rPr>
                <w:sz w:val="22"/>
              </w:rPr>
              <w:br/>
              <w:t>- монтаж нового паркану;</w:t>
            </w:r>
          </w:p>
          <w:p w:rsidR="00F03D9D" w:rsidRPr="007E0AF4" w:rsidRDefault="00F03D9D" w:rsidP="00F03D9D">
            <w:pPr>
              <w:rPr>
                <w:sz w:val="22"/>
              </w:rPr>
            </w:pPr>
            <w:r w:rsidRPr="007E0AF4">
              <w:rPr>
                <w:sz w:val="22"/>
              </w:rPr>
              <w:t>- ремонт та установка зовнішнього освітлення;</w:t>
            </w:r>
          </w:p>
          <w:p w:rsidR="00F03D9D" w:rsidRPr="007E0AF4" w:rsidRDefault="00F03D9D" w:rsidP="00377259">
            <w:pPr>
              <w:rPr>
                <w:sz w:val="22"/>
              </w:rPr>
            </w:pPr>
            <w:r w:rsidRPr="007E0AF4">
              <w:rPr>
                <w:sz w:val="22"/>
              </w:rPr>
              <w:t>- налаштування відеоспостереження за територією садиби закладу</w:t>
            </w:r>
          </w:p>
        </w:tc>
      </w:tr>
      <w:tr w:rsidR="00F03D9D" w:rsidRPr="007E0AF4" w:rsidTr="00CD602B">
        <w:trPr>
          <w:trHeight w:val="507"/>
        </w:trPr>
        <w:tc>
          <w:tcPr>
            <w:tcW w:w="2917" w:type="dxa"/>
            <w:vMerge w:val="restart"/>
            <w:tcBorders>
              <w:top w:val="single" w:sz="6" w:space="0" w:color="auto"/>
              <w:left w:val="single" w:sz="6" w:space="0" w:color="auto"/>
              <w:bottom w:val="nil"/>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r w:rsidRPr="007E0AF4">
              <w:rPr>
                <w:rFonts w:eastAsia="Calibri"/>
                <w:b/>
                <w:color w:val="000000"/>
                <w:sz w:val="22"/>
              </w:rPr>
              <w:lastRenderedPageBreak/>
              <w:t>Орієнтовний обсяг та джерела фінансування тис. гривень</w:t>
            </w:r>
          </w:p>
        </w:tc>
        <w:tc>
          <w:tcPr>
            <w:tcW w:w="1306" w:type="dxa"/>
            <w:vMerge w:val="restart"/>
            <w:tcBorders>
              <w:top w:val="single" w:sz="6" w:space="0" w:color="auto"/>
              <w:left w:val="single" w:sz="6" w:space="0" w:color="auto"/>
              <w:bottom w:val="nil"/>
              <w:right w:val="single" w:sz="4"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Державний бюджет</w:t>
            </w:r>
          </w:p>
        </w:tc>
        <w:tc>
          <w:tcPr>
            <w:tcW w:w="1276" w:type="dxa"/>
            <w:vMerge w:val="restart"/>
            <w:tcBorders>
              <w:top w:val="single" w:sz="4" w:space="0" w:color="auto"/>
              <w:left w:val="single" w:sz="4" w:space="0" w:color="auto"/>
              <w:bottom w:val="single" w:sz="4" w:space="0" w:color="auto"/>
              <w:right w:val="single" w:sz="4"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Місцевий бюджет</w:t>
            </w:r>
          </w:p>
        </w:tc>
        <w:tc>
          <w:tcPr>
            <w:tcW w:w="2409" w:type="dxa"/>
            <w:gridSpan w:val="3"/>
            <w:tcBorders>
              <w:top w:val="single" w:sz="4" w:space="0" w:color="auto"/>
              <w:left w:val="single" w:sz="4" w:space="0" w:color="auto"/>
              <w:bottom w:val="nil"/>
              <w:right w:val="single" w:sz="4"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Інші джерела</w:t>
            </w:r>
          </w:p>
        </w:tc>
        <w:tc>
          <w:tcPr>
            <w:tcW w:w="2224" w:type="dxa"/>
            <w:gridSpan w:val="2"/>
            <w:vMerge w:val="restart"/>
            <w:tcBorders>
              <w:top w:val="single" w:sz="4" w:space="0" w:color="auto"/>
              <w:left w:val="single" w:sz="4" w:space="0" w:color="auto"/>
              <w:bottom w:val="nil"/>
              <w:right w:val="single" w:sz="4"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Всього</w:t>
            </w:r>
          </w:p>
        </w:tc>
      </w:tr>
      <w:tr w:rsidR="00F03D9D" w:rsidRPr="007E0AF4" w:rsidTr="00CD602B">
        <w:trPr>
          <w:trHeight w:val="59"/>
        </w:trPr>
        <w:tc>
          <w:tcPr>
            <w:tcW w:w="2917" w:type="dxa"/>
            <w:vMerge/>
            <w:tcBorders>
              <w:left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p>
        </w:tc>
        <w:tc>
          <w:tcPr>
            <w:tcW w:w="1306" w:type="dxa"/>
            <w:vMerge/>
            <w:tcBorders>
              <w:left w:val="single" w:sz="6" w:space="0" w:color="auto"/>
              <w:bottom w:val="single" w:sz="6" w:space="0" w:color="auto"/>
              <w:right w:val="single" w:sz="4" w:space="0" w:color="auto"/>
            </w:tcBorders>
          </w:tcPr>
          <w:p w:rsidR="00F03D9D" w:rsidRPr="007E0AF4" w:rsidRDefault="00F03D9D" w:rsidP="00F03D9D">
            <w:pPr>
              <w:autoSpaceDE w:val="0"/>
              <w:autoSpaceDN w:val="0"/>
              <w:adjustRightInd w:val="0"/>
              <w:rPr>
                <w:rFonts w:eastAsia="Calibri"/>
                <w:color w:val="000000"/>
                <w:sz w:val="22"/>
              </w:rPr>
            </w:pPr>
          </w:p>
        </w:tc>
        <w:tc>
          <w:tcPr>
            <w:tcW w:w="1276" w:type="dxa"/>
            <w:vMerge/>
            <w:tcBorders>
              <w:top w:val="single" w:sz="4" w:space="0" w:color="auto"/>
              <w:left w:val="single" w:sz="4" w:space="0" w:color="auto"/>
              <w:bottom w:val="single" w:sz="4" w:space="0" w:color="auto"/>
              <w:right w:val="single" w:sz="4" w:space="0" w:color="auto"/>
            </w:tcBorders>
          </w:tcPr>
          <w:p w:rsidR="00F03D9D" w:rsidRPr="007E0AF4" w:rsidRDefault="00F03D9D" w:rsidP="00F03D9D">
            <w:pPr>
              <w:autoSpaceDE w:val="0"/>
              <w:autoSpaceDN w:val="0"/>
              <w:adjustRightInd w:val="0"/>
              <w:rPr>
                <w:rFonts w:eastAsia="Calibri"/>
                <w:color w:val="000000"/>
                <w:sz w:val="22"/>
              </w:rPr>
            </w:pPr>
          </w:p>
        </w:tc>
        <w:tc>
          <w:tcPr>
            <w:tcW w:w="708" w:type="dxa"/>
            <w:tcBorders>
              <w:top w:val="single" w:sz="4" w:space="0" w:color="auto"/>
              <w:left w:val="single" w:sz="4" w:space="0" w:color="auto"/>
              <w:bottom w:val="single" w:sz="4" w:space="0" w:color="auto"/>
              <w:right w:val="single" w:sz="4"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Обсяг</w:t>
            </w:r>
          </w:p>
        </w:tc>
        <w:tc>
          <w:tcPr>
            <w:tcW w:w="1701" w:type="dxa"/>
            <w:gridSpan w:val="2"/>
            <w:tcBorders>
              <w:top w:val="single" w:sz="4" w:space="0" w:color="auto"/>
              <w:left w:val="single" w:sz="4" w:space="0" w:color="auto"/>
              <w:bottom w:val="single" w:sz="4" w:space="0" w:color="auto"/>
              <w:right w:val="single" w:sz="4"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Назва джерела</w:t>
            </w:r>
          </w:p>
        </w:tc>
        <w:tc>
          <w:tcPr>
            <w:tcW w:w="2224" w:type="dxa"/>
            <w:gridSpan w:val="2"/>
            <w:vMerge/>
            <w:tcBorders>
              <w:left w:val="single" w:sz="4" w:space="0" w:color="auto"/>
              <w:bottom w:val="single" w:sz="4" w:space="0" w:color="auto"/>
              <w:right w:val="single" w:sz="4" w:space="0" w:color="auto"/>
            </w:tcBorders>
          </w:tcPr>
          <w:p w:rsidR="00F03D9D" w:rsidRPr="007E0AF4" w:rsidRDefault="00F03D9D" w:rsidP="00F03D9D">
            <w:pPr>
              <w:autoSpaceDE w:val="0"/>
              <w:autoSpaceDN w:val="0"/>
              <w:adjustRightInd w:val="0"/>
              <w:rPr>
                <w:rFonts w:eastAsia="Calibri"/>
                <w:color w:val="000000"/>
                <w:sz w:val="22"/>
              </w:rPr>
            </w:pPr>
          </w:p>
        </w:tc>
      </w:tr>
      <w:tr w:rsidR="00F03D9D" w:rsidRPr="007E0AF4" w:rsidTr="00CD602B">
        <w:trPr>
          <w:trHeight w:val="1222"/>
        </w:trPr>
        <w:tc>
          <w:tcPr>
            <w:tcW w:w="2917" w:type="dxa"/>
            <w:vMerge/>
            <w:tcBorders>
              <w:left w:val="single" w:sz="6" w:space="0" w:color="auto"/>
              <w:bottom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p>
        </w:tc>
        <w:tc>
          <w:tcPr>
            <w:tcW w:w="1306" w:type="dxa"/>
            <w:tcBorders>
              <w:top w:val="single" w:sz="6"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276 ,0</w:t>
            </w:r>
          </w:p>
        </w:tc>
        <w:tc>
          <w:tcPr>
            <w:tcW w:w="1276" w:type="dxa"/>
            <w:tcBorders>
              <w:top w:val="single" w:sz="4" w:space="0" w:color="auto"/>
              <w:left w:val="single" w:sz="6" w:space="0" w:color="auto"/>
              <w:bottom w:val="single" w:sz="6" w:space="0" w:color="auto"/>
              <w:right w:val="single" w:sz="6" w:space="0" w:color="auto"/>
            </w:tcBorders>
          </w:tcPr>
          <w:p w:rsidR="00F03D9D" w:rsidRPr="007E0AF4" w:rsidRDefault="000853B1" w:rsidP="000853B1">
            <w:pPr>
              <w:autoSpaceDE w:val="0"/>
              <w:autoSpaceDN w:val="0"/>
              <w:adjustRightInd w:val="0"/>
              <w:jc w:val="center"/>
              <w:rPr>
                <w:rFonts w:eastAsia="Calibri"/>
                <w:color w:val="000000"/>
                <w:sz w:val="22"/>
                <w:lang w:val="ru-RU"/>
              </w:rPr>
            </w:pPr>
            <w:r w:rsidRPr="007E0AF4">
              <w:rPr>
                <w:rFonts w:eastAsia="Calibri"/>
                <w:color w:val="000000"/>
                <w:sz w:val="22"/>
                <w:lang w:val="ru-RU"/>
              </w:rPr>
              <w:t>-</w:t>
            </w:r>
          </w:p>
        </w:tc>
        <w:tc>
          <w:tcPr>
            <w:tcW w:w="708" w:type="dxa"/>
            <w:tcBorders>
              <w:top w:val="single" w:sz="4" w:space="0" w:color="auto"/>
              <w:left w:val="single" w:sz="6" w:space="0" w:color="auto"/>
              <w:bottom w:val="single" w:sz="6" w:space="0" w:color="auto"/>
              <w:right w:val="single" w:sz="6" w:space="0" w:color="auto"/>
            </w:tcBorders>
          </w:tcPr>
          <w:p w:rsidR="00F03D9D" w:rsidRPr="007E0AF4" w:rsidRDefault="000853B1" w:rsidP="000853B1">
            <w:pPr>
              <w:autoSpaceDE w:val="0"/>
              <w:autoSpaceDN w:val="0"/>
              <w:adjustRightInd w:val="0"/>
              <w:jc w:val="center"/>
              <w:rPr>
                <w:rFonts w:eastAsia="Calibri"/>
                <w:color w:val="000000"/>
                <w:sz w:val="22"/>
                <w:lang w:val="ru-RU"/>
              </w:rPr>
            </w:pPr>
            <w:r w:rsidRPr="007E0AF4">
              <w:rPr>
                <w:rFonts w:eastAsia="Calibri"/>
                <w:color w:val="000000"/>
                <w:sz w:val="22"/>
                <w:lang w:val="ru-RU"/>
              </w:rPr>
              <w:t>-</w:t>
            </w:r>
          </w:p>
        </w:tc>
        <w:tc>
          <w:tcPr>
            <w:tcW w:w="1701" w:type="dxa"/>
            <w:gridSpan w:val="2"/>
            <w:tcBorders>
              <w:top w:val="single" w:sz="4"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rFonts w:eastAsia="Calibri"/>
                <w:color w:val="000000"/>
                <w:sz w:val="22"/>
              </w:rPr>
            </w:pPr>
          </w:p>
        </w:tc>
        <w:tc>
          <w:tcPr>
            <w:tcW w:w="2224" w:type="dxa"/>
            <w:gridSpan w:val="2"/>
            <w:tcBorders>
              <w:top w:val="single" w:sz="4"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276,0 </w:t>
            </w:r>
          </w:p>
        </w:tc>
      </w:tr>
    </w:tbl>
    <w:p w:rsidR="00F03D9D" w:rsidRPr="007E0AF4" w:rsidRDefault="00F03D9D" w:rsidP="00E95FB1">
      <w:pPr>
        <w:rPr>
          <w:sz w:val="22"/>
        </w:rPr>
      </w:pPr>
    </w:p>
    <w:p w:rsidR="0051104F" w:rsidRPr="007E0AF4" w:rsidRDefault="0051104F" w:rsidP="00E95FB1">
      <w:pPr>
        <w:rPr>
          <w:sz w:val="22"/>
        </w:rPr>
      </w:pPr>
    </w:p>
    <w:tbl>
      <w:tblPr>
        <w:tblpPr w:leftFromText="180" w:rightFromText="180" w:vertAnchor="text" w:horzAnchor="page" w:tblpX="1" w:tblpY="123"/>
        <w:tblW w:w="11229" w:type="dxa"/>
        <w:tblLayout w:type="fixed"/>
        <w:tblCellMar>
          <w:left w:w="30" w:type="dxa"/>
          <w:right w:w="30" w:type="dxa"/>
        </w:tblCellMar>
        <w:tblLook w:val="0000" w:firstRow="0" w:lastRow="0" w:firstColumn="0" w:lastColumn="0" w:noHBand="0" w:noVBand="0"/>
      </w:tblPr>
      <w:tblGrid>
        <w:gridCol w:w="1448"/>
        <w:gridCol w:w="2835"/>
        <w:gridCol w:w="1417"/>
        <w:gridCol w:w="1134"/>
        <w:gridCol w:w="993"/>
        <w:gridCol w:w="708"/>
        <w:gridCol w:w="1418"/>
        <w:gridCol w:w="425"/>
        <w:gridCol w:w="851"/>
      </w:tblGrid>
      <w:tr w:rsidR="003A5BA5" w:rsidRPr="007E0AF4" w:rsidTr="00CD602B">
        <w:trPr>
          <w:trHeight w:val="555"/>
        </w:trPr>
        <w:tc>
          <w:tcPr>
            <w:tcW w:w="1448" w:type="dxa"/>
            <w:tcBorders>
              <w:top w:val="nil"/>
              <w:left w:val="nil"/>
              <w:bottom w:val="nil"/>
              <w:right w:val="nil"/>
            </w:tcBorders>
          </w:tcPr>
          <w:p w:rsidR="003A5BA5" w:rsidRPr="007E0AF4" w:rsidRDefault="003A5BA5" w:rsidP="001E6C97">
            <w:pPr>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3A5BA5" w:rsidRPr="007E0AF4" w:rsidRDefault="003A5BA5" w:rsidP="001E6C97">
            <w:pPr>
              <w:autoSpaceDE w:val="0"/>
              <w:autoSpaceDN w:val="0"/>
              <w:adjustRightInd w:val="0"/>
              <w:rPr>
                <w:rFonts w:eastAsia="Calibri"/>
                <w:b/>
                <w:color w:val="000000"/>
                <w:sz w:val="22"/>
              </w:rPr>
            </w:pPr>
            <w:r w:rsidRPr="007E0AF4">
              <w:rPr>
                <w:rFonts w:eastAsia="Calibri"/>
                <w:b/>
                <w:color w:val="000000"/>
                <w:sz w:val="22"/>
              </w:rPr>
              <w:t>Оперативна ціль/завдання</w:t>
            </w:r>
          </w:p>
        </w:tc>
        <w:tc>
          <w:tcPr>
            <w:tcW w:w="6946" w:type="dxa"/>
            <w:gridSpan w:val="7"/>
            <w:tcBorders>
              <w:top w:val="single" w:sz="6" w:space="0" w:color="auto"/>
              <w:left w:val="single" w:sz="6" w:space="0" w:color="auto"/>
              <w:bottom w:val="single" w:sz="6" w:space="0" w:color="auto"/>
              <w:right w:val="single" w:sz="6" w:space="0" w:color="auto"/>
            </w:tcBorders>
          </w:tcPr>
          <w:p w:rsidR="003A5BA5" w:rsidRPr="007E0AF4" w:rsidRDefault="003A5BA5" w:rsidP="001E6C97">
            <w:pPr>
              <w:rPr>
                <w:color w:val="000000"/>
                <w:sz w:val="22"/>
              </w:rPr>
            </w:pPr>
            <w:r w:rsidRPr="007E0AF4">
              <w:rPr>
                <w:rFonts w:eastAsia="Arial"/>
                <w:sz w:val="22"/>
              </w:rPr>
              <w:t xml:space="preserve">Людський розвиток через інновації управління та довіру до влади. Формування сучасного інклюзивного  </w:t>
            </w:r>
            <w:proofErr w:type="spellStart"/>
            <w:r w:rsidRPr="007E0AF4">
              <w:rPr>
                <w:rFonts w:eastAsia="Arial"/>
                <w:sz w:val="22"/>
              </w:rPr>
              <w:t>освітньо</w:t>
            </w:r>
            <w:proofErr w:type="spellEnd"/>
            <w:r w:rsidRPr="007E0AF4">
              <w:rPr>
                <w:rFonts w:eastAsia="Arial"/>
                <w:sz w:val="22"/>
              </w:rPr>
              <w:t xml:space="preserve">-культурного та спортивного простору для розвитку </w:t>
            </w:r>
          </w:p>
        </w:tc>
      </w:tr>
      <w:tr w:rsidR="003A5BA5" w:rsidRPr="007E0AF4" w:rsidTr="00CD602B">
        <w:trPr>
          <w:trHeight w:val="691"/>
        </w:trPr>
        <w:tc>
          <w:tcPr>
            <w:tcW w:w="1448" w:type="dxa"/>
            <w:tcBorders>
              <w:top w:val="nil"/>
              <w:left w:val="nil"/>
              <w:bottom w:val="nil"/>
              <w:right w:val="nil"/>
            </w:tcBorders>
          </w:tcPr>
          <w:p w:rsidR="003A5BA5" w:rsidRPr="007E0AF4" w:rsidRDefault="003A5BA5" w:rsidP="001E6C9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3A5BA5" w:rsidRPr="007E0AF4" w:rsidRDefault="003A5BA5" w:rsidP="001E6C97">
            <w:pPr>
              <w:autoSpaceDE w:val="0"/>
              <w:autoSpaceDN w:val="0"/>
              <w:adjustRightInd w:val="0"/>
              <w:rPr>
                <w:rFonts w:eastAsia="Calibri"/>
                <w:b/>
                <w:color w:val="000000"/>
                <w:sz w:val="22"/>
              </w:rPr>
            </w:pPr>
            <w:r w:rsidRPr="007E0AF4">
              <w:rPr>
                <w:rFonts w:eastAsia="Calibri"/>
                <w:b/>
                <w:color w:val="000000"/>
                <w:sz w:val="22"/>
              </w:rPr>
              <w:t>Назва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3A5BA5" w:rsidRPr="007E0AF4" w:rsidRDefault="003A5BA5" w:rsidP="001E6C97">
            <w:pPr>
              <w:rPr>
                <w:color w:val="000000"/>
                <w:sz w:val="22"/>
              </w:rPr>
            </w:pPr>
            <w:r w:rsidRPr="007E0AF4">
              <w:rPr>
                <w:color w:val="000000"/>
                <w:sz w:val="22"/>
              </w:rPr>
              <w:t xml:space="preserve">Оснащення Гімназії № 18  м. Сєвєродонецька Луганської області, вул. Курчатова, буд. 27-Б необхідним для якісної освіти обладнанням </w:t>
            </w:r>
          </w:p>
        </w:tc>
      </w:tr>
      <w:tr w:rsidR="003A5BA5" w:rsidRPr="007E0AF4" w:rsidTr="00CD602B">
        <w:trPr>
          <w:trHeight w:val="574"/>
        </w:trPr>
        <w:tc>
          <w:tcPr>
            <w:tcW w:w="1448" w:type="dxa"/>
            <w:tcBorders>
              <w:top w:val="nil"/>
              <w:left w:val="nil"/>
              <w:bottom w:val="nil"/>
              <w:right w:val="nil"/>
            </w:tcBorders>
          </w:tcPr>
          <w:p w:rsidR="003A5BA5" w:rsidRPr="007E0AF4" w:rsidRDefault="003A5BA5" w:rsidP="001E6C9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3A5BA5" w:rsidRPr="007E0AF4" w:rsidRDefault="003A5BA5" w:rsidP="001E6C97">
            <w:pPr>
              <w:autoSpaceDE w:val="0"/>
              <w:autoSpaceDN w:val="0"/>
              <w:adjustRightInd w:val="0"/>
              <w:rPr>
                <w:rFonts w:eastAsia="Calibri"/>
                <w:b/>
                <w:color w:val="000000"/>
                <w:sz w:val="22"/>
              </w:rPr>
            </w:pPr>
            <w:r w:rsidRPr="007E0AF4">
              <w:rPr>
                <w:rFonts w:eastAsia="Calibri"/>
                <w:b/>
                <w:color w:val="000000"/>
                <w:sz w:val="22"/>
              </w:rPr>
              <w:t>Ціль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3A5BA5" w:rsidRPr="007E0AF4" w:rsidRDefault="003A5BA5" w:rsidP="001E6C97">
            <w:pPr>
              <w:rPr>
                <w:color w:val="000000"/>
                <w:sz w:val="22"/>
              </w:rPr>
            </w:pPr>
            <w:r w:rsidRPr="007E0AF4">
              <w:rPr>
                <w:sz w:val="22"/>
              </w:rPr>
              <w:t>Відновити та покращити роботу комунальної установи Гімназії № 18 міста Сєвєродонецька Луганської області для надання широкого спектру послуг, пов’язаних із якісною освітою та задоволення потреб мешканців Сєвєродонецької міської територіальної громади у необхідних послугах (або забезпечення якісного рівня життя).</w:t>
            </w:r>
          </w:p>
        </w:tc>
      </w:tr>
      <w:tr w:rsidR="003A5BA5" w:rsidRPr="007E0AF4" w:rsidTr="00CD602B">
        <w:trPr>
          <w:trHeight w:val="290"/>
        </w:trPr>
        <w:tc>
          <w:tcPr>
            <w:tcW w:w="1448" w:type="dxa"/>
            <w:tcBorders>
              <w:top w:val="nil"/>
              <w:left w:val="nil"/>
              <w:bottom w:val="nil"/>
              <w:right w:val="nil"/>
            </w:tcBorders>
          </w:tcPr>
          <w:p w:rsidR="003A5BA5" w:rsidRPr="007E0AF4" w:rsidRDefault="003A5BA5" w:rsidP="001E6C9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3A5BA5" w:rsidRPr="007E0AF4" w:rsidRDefault="003A5BA5" w:rsidP="001E6C97">
            <w:pPr>
              <w:autoSpaceDE w:val="0"/>
              <w:autoSpaceDN w:val="0"/>
              <w:adjustRightInd w:val="0"/>
              <w:rPr>
                <w:rFonts w:eastAsia="Calibri"/>
                <w:b/>
                <w:color w:val="000000"/>
                <w:sz w:val="22"/>
              </w:rPr>
            </w:pPr>
            <w:r w:rsidRPr="007E0AF4">
              <w:rPr>
                <w:rFonts w:eastAsia="Calibri"/>
                <w:b/>
                <w:color w:val="000000"/>
                <w:sz w:val="22"/>
              </w:rPr>
              <w:t>Територія, на яку матиме вплив реалізація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3A5BA5" w:rsidRPr="007E0AF4" w:rsidRDefault="003A5BA5" w:rsidP="001E6C97">
            <w:pPr>
              <w:autoSpaceDE w:val="0"/>
              <w:autoSpaceDN w:val="0"/>
              <w:adjustRightInd w:val="0"/>
              <w:rPr>
                <w:rFonts w:eastAsia="Calibri"/>
                <w:color w:val="000000"/>
                <w:sz w:val="22"/>
              </w:rPr>
            </w:pPr>
            <w:r w:rsidRPr="007E0AF4">
              <w:rPr>
                <w:rFonts w:eastAsia="Calibri"/>
                <w:color w:val="000000"/>
                <w:sz w:val="22"/>
              </w:rPr>
              <w:t>Сєвєродонецька міська територіальна громада</w:t>
            </w:r>
          </w:p>
        </w:tc>
      </w:tr>
      <w:tr w:rsidR="003A5BA5" w:rsidRPr="007E0AF4" w:rsidTr="00CD602B">
        <w:trPr>
          <w:trHeight w:val="421"/>
        </w:trPr>
        <w:tc>
          <w:tcPr>
            <w:tcW w:w="1448" w:type="dxa"/>
            <w:tcBorders>
              <w:top w:val="nil"/>
              <w:left w:val="nil"/>
              <w:bottom w:val="nil"/>
              <w:right w:val="nil"/>
            </w:tcBorders>
          </w:tcPr>
          <w:p w:rsidR="003A5BA5" w:rsidRPr="007E0AF4" w:rsidRDefault="003A5BA5" w:rsidP="001E6C9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3A5BA5" w:rsidRPr="007E0AF4" w:rsidRDefault="003A5BA5" w:rsidP="001E6C97">
            <w:pPr>
              <w:autoSpaceDE w:val="0"/>
              <w:autoSpaceDN w:val="0"/>
              <w:adjustRightInd w:val="0"/>
              <w:rPr>
                <w:rFonts w:eastAsia="Calibri"/>
                <w:b/>
                <w:color w:val="000000"/>
                <w:sz w:val="22"/>
              </w:rPr>
            </w:pPr>
            <w:r w:rsidRPr="007E0AF4">
              <w:rPr>
                <w:rFonts w:eastAsia="Calibri"/>
                <w:b/>
                <w:color w:val="000000"/>
                <w:sz w:val="22"/>
              </w:rPr>
              <w:t>Чисельність населення, на яке матиме вплив реалізація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3A5BA5" w:rsidRPr="007E0AF4" w:rsidRDefault="003A5BA5" w:rsidP="001E6C97">
            <w:pPr>
              <w:autoSpaceDE w:val="0"/>
              <w:autoSpaceDN w:val="0"/>
              <w:adjustRightInd w:val="0"/>
              <w:rPr>
                <w:rFonts w:eastAsia="Calibri"/>
                <w:color w:val="000000"/>
                <w:sz w:val="22"/>
              </w:rPr>
            </w:pPr>
            <w:r w:rsidRPr="007E0AF4">
              <w:rPr>
                <w:sz w:val="22"/>
              </w:rPr>
              <w:t>70 000  осіб</w:t>
            </w:r>
          </w:p>
        </w:tc>
      </w:tr>
      <w:tr w:rsidR="003A5BA5" w:rsidRPr="007E0AF4" w:rsidTr="00CD602B">
        <w:trPr>
          <w:trHeight w:val="868"/>
        </w:trPr>
        <w:tc>
          <w:tcPr>
            <w:tcW w:w="1448" w:type="dxa"/>
            <w:tcBorders>
              <w:top w:val="nil"/>
              <w:left w:val="nil"/>
              <w:bottom w:val="nil"/>
              <w:right w:val="nil"/>
            </w:tcBorders>
          </w:tcPr>
          <w:p w:rsidR="003A5BA5" w:rsidRPr="007E0AF4" w:rsidRDefault="003A5BA5" w:rsidP="001E6C9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3A5BA5" w:rsidRPr="007E0AF4" w:rsidRDefault="003A5BA5" w:rsidP="001E6C97">
            <w:pPr>
              <w:autoSpaceDE w:val="0"/>
              <w:autoSpaceDN w:val="0"/>
              <w:adjustRightInd w:val="0"/>
              <w:rPr>
                <w:rFonts w:eastAsia="Calibri"/>
                <w:b/>
                <w:color w:val="000000"/>
                <w:sz w:val="22"/>
              </w:rPr>
            </w:pPr>
            <w:r w:rsidRPr="007E0AF4">
              <w:rPr>
                <w:rFonts w:eastAsia="Calibri"/>
                <w:b/>
                <w:color w:val="000000"/>
                <w:sz w:val="22"/>
              </w:rPr>
              <w:t>Опис проблеми, на вирішення якої спрямований проект</w:t>
            </w:r>
          </w:p>
        </w:tc>
        <w:tc>
          <w:tcPr>
            <w:tcW w:w="6946" w:type="dxa"/>
            <w:gridSpan w:val="7"/>
            <w:tcBorders>
              <w:top w:val="single" w:sz="6" w:space="0" w:color="auto"/>
              <w:left w:val="single" w:sz="6" w:space="0" w:color="auto"/>
              <w:bottom w:val="single" w:sz="6" w:space="0" w:color="auto"/>
              <w:right w:val="single" w:sz="6" w:space="0" w:color="auto"/>
            </w:tcBorders>
          </w:tcPr>
          <w:p w:rsidR="003A5BA5" w:rsidRPr="007E0AF4" w:rsidRDefault="003A5BA5" w:rsidP="001E6C97">
            <w:pPr>
              <w:ind w:firstLine="708"/>
              <w:rPr>
                <w:sz w:val="22"/>
              </w:rPr>
            </w:pPr>
            <w:r w:rsidRPr="007E0AF4">
              <w:rPr>
                <w:sz w:val="22"/>
              </w:rPr>
              <w:t>Через військову агресію РФ територія Сєвєродонецької міської територіальної громади зазнала значних пошкоджень. Не оминуло це і комунальну установу, Гімназію № 18, вул. Курчатова 27-Б.</w:t>
            </w:r>
          </w:p>
          <w:p w:rsidR="003A5BA5" w:rsidRPr="007E0AF4" w:rsidRDefault="003A5BA5" w:rsidP="001E6C97">
            <w:pPr>
              <w:ind w:firstLine="708"/>
              <w:rPr>
                <w:sz w:val="22"/>
              </w:rPr>
            </w:pPr>
            <w:r w:rsidRPr="007E0AF4">
              <w:rPr>
                <w:sz w:val="22"/>
              </w:rPr>
              <w:t>Вся матеріально-технічна база закладу, зокрема:</w:t>
            </w:r>
          </w:p>
          <w:p w:rsidR="003A5BA5" w:rsidRPr="007E0AF4" w:rsidRDefault="003A5BA5" w:rsidP="000303D7">
            <w:pPr>
              <w:numPr>
                <w:ilvl w:val="0"/>
                <w:numId w:val="9"/>
              </w:numPr>
              <w:rPr>
                <w:sz w:val="22"/>
              </w:rPr>
            </w:pPr>
            <w:r w:rsidRPr="007E0AF4">
              <w:rPr>
                <w:sz w:val="22"/>
              </w:rPr>
              <w:t>обладнання (устаткування);</w:t>
            </w:r>
          </w:p>
          <w:p w:rsidR="003A5BA5" w:rsidRPr="007E0AF4" w:rsidRDefault="003A5BA5" w:rsidP="000303D7">
            <w:pPr>
              <w:numPr>
                <w:ilvl w:val="0"/>
                <w:numId w:val="9"/>
              </w:numPr>
              <w:rPr>
                <w:sz w:val="22"/>
              </w:rPr>
            </w:pPr>
            <w:r w:rsidRPr="007E0AF4">
              <w:rPr>
                <w:sz w:val="22"/>
              </w:rPr>
              <w:t>обчислювальна техніка із відповідним програмним забезпеченням;</w:t>
            </w:r>
          </w:p>
          <w:p w:rsidR="003A5BA5" w:rsidRPr="007E0AF4" w:rsidRDefault="003A5BA5" w:rsidP="000303D7">
            <w:pPr>
              <w:numPr>
                <w:ilvl w:val="0"/>
                <w:numId w:val="9"/>
              </w:numPr>
              <w:rPr>
                <w:sz w:val="22"/>
              </w:rPr>
            </w:pPr>
            <w:r w:rsidRPr="007E0AF4">
              <w:rPr>
                <w:sz w:val="22"/>
              </w:rPr>
              <w:t>інша оргтехніка (монітори, принтери, сканери тощо);</w:t>
            </w:r>
          </w:p>
          <w:p w:rsidR="003A5BA5" w:rsidRPr="007E0AF4" w:rsidRDefault="003A5BA5" w:rsidP="000303D7">
            <w:pPr>
              <w:pStyle w:val="13"/>
              <w:numPr>
                <w:ilvl w:val="0"/>
                <w:numId w:val="9"/>
              </w:numPr>
              <w:jc w:val="both"/>
              <w:rPr>
                <w:sz w:val="22"/>
                <w:lang w:val="uk-UA"/>
              </w:rPr>
            </w:pPr>
            <w:r w:rsidRPr="007E0AF4">
              <w:rPr>
                <w:sz w:val="22"/>
                <w:lang w:val="uk-UA"/>
              </w:rPr>
              <w:t>основні засоби (класні, офісні меблі, сейфи, тощо) були знищені або викрадені;</w:t>
            </w:r>
          </w:p>
          <w:p w:rsidR="003A5BA5" w:rsidRPr="007E0AF4" w:rsidRDefault="003A5BA5" w:rsidP="000303D7">
            <w:pPr>
              <w:pStyle w:val="13"/>
              <w:numPr>
                <w:ilvl w:val="0"/>
                <w:numId w:val="9"/>
              </w:numPr>
              <w:jc w:val="both"/>
              <w:rPr>
                <w:sz w:val="22"/>
                <w:lang w:val="uk-UA"/>
              </w:rPr>
            </w:pPr>
            <w:r w:rsidRPr="007E0AF4">
              <w:rPr>
                <w:color w:val="000000"/>
                <w:sz w:val="22"/>
                <w:lang w:val="uk-UA"/>
              </w:rPr>
              <w:t xml:space="preserve">необхідно облаштувати заклад меблями, класними дошками,  технічними засобами навчання, комп’ютерною, </w:t>
            </w:r>
            <w:proofErr w:type="spellStart"/>
            <w:r w:rsidRPr="007E0AF4">
              <w:rPr>
                <w:color w:val="000000"/>
                <w:sz w:val="22"/>
                <w:lang w:val="uk-UA"/>
              </w:rPr>
              <w:t>множувальною</w:t>
            </w:r>
            <w:proofErr w:type="spellEnd"/>
            <w:r w:rsidRPr="007E0AF4">
              <w:rPr>
                <w:color w:val="000000"/>
                <w:sz w:val="22"/>
                <w:lang w:val="uk-UA"/>
              </w:rPr>
              <w:t>, мультимедійною технікою, програмним забезпеченням, акустичними системами тощо</w:t>
            </w:r>
            <w:r w:rsidR="00F81273" w:rsidRPr="007E0AF4">
              <w:rPr>
                <w:color w:val="000000"/>
                <w:sz w:val="22"/>
                <w:lang w:val="uk-UA"/>
              </w:rPr>
              <w:t>.</w:t>
            </w:r>
          </w:p>
          <w:p w:rsidR="003A5BA5" w:rsidRPr="007E0AF4" w:rsidRDefault="003A5BA5" w:rsidP="001E6C97">
            <w:pPr>
              <w:autoSpaceDE w:val="0"/>
              <w:autoSpaceDN w:val="0"/>
              <w:adjustRightInd w:val="0"/>
              <w:rPr>
                <w:rFonts w:eastAsia="Calibri"/>
                <w:color w:val="000000"/>
                <w:sz w:val="22"/>
              </w:rPr>
            </w:pPr>
            <w:r w:rsidRPr="007E0AF4">
              <w:rPr>
                <w:rFonts w:eastAsia="Arial"/>
                <w:sz w:val="22"/>
              </w:rPr>
              <w:t xml:space="preserve">            Для відбудови та сталого розвитку громади потрібне відновлення роботи закладу. Мешканці громади мають потребу в отриманні якісних освітніх послуг, які відповідають нормам сучасності.</w:t>
            </w:r>
          </w:p>
        </w:tc>
      </w:tr>
      <w:tr w:rsidR="003A5BA5" w:rsidRPr="007E0AF4" w:rsidTr="00CD602B">
        <w:trPr>
          <w:trHeight w:val="540"/>
        </w:trPr>
        <w:tc>
          <w:tcPr>
            <w:tcW w:w="1448" w:type="dxa"/>
            <w:tcBorders>
              <w:top w:val="nil"/>
              <w:left w:val="nil"/>
              <w:bottom w:val="nil"/>
              <w:right w:val="nil"/>
            </w:tcBorders>
          </w:tcPr>
          <w:p w:rsidR="003A5BA5" w:rsidRPr="007E0AF4" w:rsidRDefault="003A5BA5" w:rsidP="001E6C9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3A5BA5" w:rsidRPr="007E0AF4" w:rsidRDefault="003A5BA5" w:rsidP="001E6C97">
            <w:pPr>
              <w:autoSpaceDE w:val="0"/>
              <w:autoSpaceDN w:val="0"/>
              <w:adjustRightInd w:val="0"/>
              <w:rPr>
                <w:rFonts w:eastAsia="Calibri"/>
                <w:b/>
                <w:color w:val="000000"/>
                <w:sz w:val="22"/>
              </w:rPr>
            </w:pPr>
            <w:r w:rsidRPr="007E0AF4">
              <w:rPr>
                <w:rFonts w:eastAsia="Calibri"/>
                <w:b/>
                <w:color w:val="000000"/>
                <w:sz w:val="22"/>
              </w:rPr>
              <w:t>Очікувані якісні результати від реалізації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3A5BA5" w:rsidRPr="007E0AF4" w:rsidRDefault="003A5BA5" w:rsidP="001E6C97">
            <w:pPr>
              <w:pStyle w:val="a7"/>
              <w:ind w:left="0"/>
              <w:rPr>
                <w:sz w:val="22"/>
              </w:rPr>
            </w:pPr>
            <w:r w:rsidRPr="007E0AF4">
              <w:rPr>
                <w:sz w:val="22"/>
              </w:rPr>
              <w:t xml:space="preserve">- </w:t>
            </w:r>
            <w:r w:rsidRPr="007E0AF4">
              <w:rPr>
                <w:rFonts w:eastAsia="Calibri"/>
                <w:color w:val="000000"/>
                <w:sz w:val="22"/>
              </w:rPr>
              <w:t>заклад освіти приведено у робочий стан, відновлено освітній процес в умовах сучасного енергоефективного освітнього середовища;</w:t>
            </w:r>
          </w:p>
          <w:p w:rsidR="003A5BA5" w:rsidRPr="007E0AF4" w:rsidRDefault="003A5BA5" w:rsidP="001E6C97">
            <w:pPr>
              <w:pStyle w:val="a7"/>
              <w:ind w:left="0"/>
              <w:rPr>
                <w:sz w:val="22"/>
              </w:rPr>
            </w:pPr>
            <w:r w:rsidRPr="007E0AF4">
              <w:rPr>
                <w:sz w:val="22"/>
              </w:rPr>
              <w:t>- населення забезпечено можливостями для реалізації його конституційних прав на якісну освіту;</w:t>
            </w:r>
          </w:p>
          <w:p w:rsidR="003A5BA5" w:rsidRPr="007E0AF4" w:rsidRDefault="003A5BA5" w:rsidP="001E6C97">
            <w:pPr>
              <w:pStyle w:val="a7"/>
              <w:ind w:left="0"/>
              <w:rPr>
                <w:sz w:val="22"/>
              </w:rPr>
            </w:pPr>
            <w:r w:rsidRPr="007E0AF4">
              <w:rPr>
                <w:sz w:val="22"/>
              </w:rPr>
              <w:t>- надається широкий спектр послуг, пов’язаних із навчально-виховним процесом;</w:t>
            </w:r>
          </w:p>
          <w:p w:rsidR="003A5BA5" w:rsidRPr="007E0AF4" w:rsidRDefault="003A5BA5" w:rsidP="001E6C97">
            <w:pPr>
              <w:pStyle w:val="a7"/>
              <w:ind w:left="0"/>
              <w:rPr>
                <w:sz w:val="22"/>
              </w:rPr>
            </w:pPr>
            <w:r w:rsidRPr="007E0AF4">
              <w:rPr>
                <w:sz w:val="22"/>
              </w:rPr>
              <w:t>- вирішено ряд питань в межах статутної діяльності, пов’язаних із відбудовою та сталим розвитком громади;</w:t>
            </w:r>
          </w:p>
          <w:p w:rsidR="003A5BA5" w:rsidRPr="007E0AF4" w:rsidRDefault="003A5BA5" w:rsidP="001E6C97">
            <w:pPr>
              <w:pStyle w:val="a7"/>
              <w:ind w:left="0"/>
              <w:rPr>
                <w:sz w:val="22"/>
              </w:rPr>
            </w:pPr>
            <w:r w:rsidRPr="007E0AF4">
              <w:rPr>
                <w:sz w:val="22"/>
              </w:rPr>
              <w:t>- забезпечено стимул щодо повернення ВПО до громади,</w:t>
            </w:r>
          </w:p>
          <w:p w:rsidR="003A5BA5" w:rsidRPr="007E0AF4" w:rsidRDefault="003A5BA5" w:rsidP="001E6C97">
            <w:pPr>
              <w:pStyle w:val="a7"/>
              <w:ind w:left="0"/>
              <w:rPr>
                <w:sz w:val="22"/>
              </w:rPr>
            </w:pPr>
            <w:r w:rsidRPr="007E0AF4">
              <w:rPr>
                <w:sz w:val="22"/>
              </w:rPr>
              <w:t>- сформовано безпечні санітарно-гігієнічні умови для перебування учнів, вчителів та персоналу у Гімназії № 18</w:t>
            </w:r>
          </w:p>
          <w:p w:rsidR="003A5BA5" w:rsidRPr="007E0AF4" w:rsidRDefault="003A5BA5" w:rsidP="001E6C97">
            <w:pPr>
              <w:autoSpaceDE w:val="0"/>
              <w:autoSpaceDN w:val="0"/>
              <w:adjustRightInd w:val="0"/>
              <w:rPr>
                <w:rFonts w:eastAsia="Calibri"/>
                <w:color w:val="000000"/>
                <w:sz w:val="22"/>
              </w:rPr>
            </w:pPr>
          </w:p>
        </w:tc>
      </w:tr>
      <w:tr w:rsidR="003A5BA5" w:rsidRPr="007E0AF4" w:rsidTr="00CD602B">
        <w:trPr>
          <w:trHeight w:val="581"/>
        </w:trPr>
        <w:tc>
          <w:tcPr>
            <w:tcW w:w="1448" w:type="dxa"/>
            <w:tcBorders>
              <w:top w:val="nil"/>
              <w:left w:val="nil"/>
              <w:bottom w:val="nil"/>
              <w:right w:val="nil"/>
            </w:tcBorders>
          </w:tcPr>
          <w:p w:rsidR="003A5BA5" w:rsidRPr="007E0AF4" w:rsidRDefault="003A5BA5" w:rsidP="001E6C9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3A5BA5" w:rsidRPr="007E0AF4" w:rsidRDefault="003A5BA5" w:rsidP="001E6C97">
            <w:pPr>
              <w:autoSpaceDE w:val="0"/>
              <w:autoSpaceDN w:val="0"/>
              <w:adjustRightInd w:val="0"/>
              <w:rPr>
                <w:rFonts w:eastAsia="Calibri"/>
                <w:b/>
                <w:color w:val="000000"/>
                <w:sz w:val="22"/>
              </w:rPr>
            </w:pPr>
            <w:r w:rsidRPr="007E0AF4">
              <w:rPr>
                <w:rFonts w:eastAsia="Calibri"/>
                <w:b/>
                <w:color w:val="000000"/>
                <w:sz w:val="22"/>
              </w:rPr>
              <w:t>Очікувані кількісні результати від реалізації проекту  (індикатори)</w:t>
            </w:r>
          </w:p>
        </w:tc>
        <w:tc>
          <w:tcPr>
            <w:tcW w:w="4252" w:type="dxa"/>
            <w:gridSpan w:val="4"/>
            <w:tcBorders>
              <w:top w:val="single" w:sz="6" w:space="0" w:color="auto"/>
              <w:left w:val="single" w:sz="6" w:space="0" w:color="auto"/>
              <w:bottom w:val="single" w:sz="6" w:space="0" w:color="auto"/>
              <w:right w:val="single" w:sz="6" w:space="0" w:color="auto"/>
            </w:tcBorders>
          </w:tcPr>
          <w:p w:rsidR="003A5BA5" w:rsidRPr="007E0AF4" w:rsidRDefault="003A5BA5" w:rsidP="001E6C97">
            <w:pPr>
              <w:autoSpaceDE w:val="0"/>
              <w:autoSpaceDN w:val="0"/>
              <w:adjustRightInd w:val="0"/>
              <w:rPr>
                <w:rFonts w:eastAsia="Calibri"/>
                <w:b/>
                <w:color w:val="000000"/>
                <w:sz w:val="22"/>
              </w:rPr>
            </w:pPr>
            <w:r w:rsidRPr="007E0AF4">
              <w:rPr>
                <w:rFonts w:eastAsia="Calibri"/>
                <w:b/>
                <w:color w:val="000000"/>
                <w:sz w:val="22"/>
              </w:rPr>
              <w:t>Найменування показника</w:t>
            </w:r>
          </w:p>
        </w:tc>
        <w:tc>
          <w:tcPr>
            <w:tcW w:w="1418" w:type="dxa"/>
            <w:tcBorders>
              <w:top w:val="single" w:sz="6" w:space="0" w:color="auto"/>
              <w:left w:val="single" w:sz="6" w:space="0" w:color="auto"/>
              <w:bottom w:val="single" w:sz="6" w:space="0" w:color="auto"/>
              <w:right w:val="single" w:sz="6" w:space="0" w:color="auto"/>
            </w:tcBorders>
          </w:tcPr>
          <w:p w:rsidR="003A5BA5" w:rsidRPr="007E0AF4" w:rsidRDefault="003A5BA5" w:rsidP="001E6C97">
            <w:pPr>
              <w:autoSpaceDE w:val="0"/>
              <w:autoSpaceDN w:val="0"/>
              <w:adjustRightInd w:val="0"/>
              <w:rPr>
                <w:rFonts w:eastAsia="Calibri"/>
                <w:b/>
                <w:color w:val="000000"/>
                <w:sz w:val="22"/>
              </w:rPr>
            </w:pPr>
            <w:r w:rsidRPr="007E0AF4">
              <w:rPr>
                <w:rFonts w:eastAsia="Calibri"/>
                <w:b/>
                <w:color w:val="000000"/>
                <w:sz w:val="22"/>
              </w:rPr>
              <w:t>Одиниця вимірювання</w:t>
            </w:r>
          </w:p>
        </w:tc>
        <w:tc>
          <w:tcPr>
            <w:tcW w:w="1276" w:type="dxa"/>
            <w:gridSpan w:val="2"/>
            <w:tcBorders>
              <w:top w:val="single" w:sz="6" w:space="0" w:color="auto"/>
              <w:left w:val="single" w:sz="6" w:space="0" w:color="auto"/>
              <w:bottom w:val="single" w:sz="6" w:space="0" w:color="auto"/>
              <w:right w:val="single" w:sz="6" w:space="0" w:color="auto"/>
            </w:tcBorders>
          </w:tcPr>
          <w:p w:rsidR="003A5BA5" w:rsidRPr="007E0AF4" w:rsidRDefault="003A5BA5" w:rsidP="001E6C97">
            <w:pPr>
              <w:autoSpaceDE w:val="0"/>
              <w:autoSpaceDN w:val="0"/>
              <w:adjustRightInd w:val="0"/>
              <w:rPr>
                <w:rFonts w:eastAsia="Calibri"/>
                <w:b/>
                <w:color w:val="000000"/>
                <w:sz w:val="22"/>
              </w:rPr>
            </w:pPr>
            <w:r w:rsidRPr="007E0AF4">
              <w:rPr>
                <w:rFonts w:eastAsia="Calibri"/>
                <w:b/>
                <w:color w:val="000000"/>
                <w:sz w:val="22"/>
              </w:rPr>
              <w:t>Прогнозне (цільове) значення</w:t>
            </w:r>
          </w:p>
        </w:tc>
      </w:tr>
      <w:tr w:rsidR="003A5BA5" w:rsidRPr="007E0AF4" w:rsidTr="00CD602B">
        <w:trPr>
          <w:trHeight w:val="868"/>
        </w:trPr>
        <w:tc>
          <w:tcPr>
            <w:tcW w:w="1448" w:type="dxa"/>
            <w:tcBorders>
              <w:top w:val="nil"/>
              <w:left w:val="nil"/>
              <w:bottom w:val="nil"/>
              <w:right w:val="nil"/>
            </w:tcBorders>
          </w:tcPr>
          <w:p w:rsidR="003A5BA5" w:rsidRPr="007E0AF4" w:rsidRDefault="003A5BA5" w:rsidP="001E6C97">
            <w:pPr>
              <w:autoSpaceDE w:val="0"/>
              <w:autoSpaceDN w:val="0"/>
              <w:adjustRightInd w:val="0"/>
              <w:jc w:val="right"/>
              <w:rPr>
                <w:rFonts w:eastAsia="Calibri"/>
                <w:color w:val="000000"/>
                <w:sz w:val="22"/>
              </w:rPr>
            </w:pPr>
          </w:p>
        </w:tc>
        <w:tc>
          <w:tcPr>
            <w:tcW w:w="2835" w:type="dxa"/>
            <w:vMerge w:val="restart"/>
            <w:tcBorders>
              <w:top w:val="single" w:sz="6" w:space="0" w:color="auto"/>
              <w:left w:val="single" w:sz="6" w:space="0" w:color="auto"/>
              <w:right w:val="single" w:sz="6" w:space="0" w:color="auto"/>
            </w:tcBorders>
            <w:shd w:val="clear" w:color="00FFFF" w:fill="C6D9F1" w:themeFill="text2" w:themeFillTint="33"/>
          </w:tcPr>
          <w:p w:rsidR="003A5BA5" w:rsidRPr="007E0AF4" w:rsidRDefault="003A5BA5" w:rsidP="001E6C97">
            <w:pPr>
              <w:autoSpaceDE w:val="0"/>
              <w:autoSpaceDN w:val="0"/>
              <w:adjustRightInd w:val="0"/>
              <w:rPr>
                <w:rFonts w:eastAsia="Calibri"/>
                <w:b/>
                <w:color w:val="000000"/>
                <w:sz w:val="22"/>
              </w:rPr>
            </w:pPr>
          </w:p>
        </w:tc>
        <w:tc>
          <w:tcPr>
            <w:tcW w:w="4252" w:type="dxa"/>
            <w:gridSpan w:val="4"/>
            <w:tcBorders>
              <w:top w:val="single" w:sz="6" w:space="0" w:color="auto"/>
              <w:left w:val="single" w:sz="6" w:space="0" w:color="auto"/>
              <w:bottom w:val="single" w:sz="6" w:space="0" w:color="auto"/>
              <w:right w:val="single" w:sz="6" w:space="0" w:color="auto"/>
            </w:tcBorders>
          </w:tcPr>
          <w:p w:rsidR="003A5BA5" w:rsidRPr="007E0AF4" w:rsidRDefault="003A5BA5" w:rsidP="00F614AE">
            <w:pPr>
              <w:autoSpaceDE w:val="0"/>
              <w:autoSpaceDN w:val="0"/>
              <w:adjustRightInd w:val="0"/>
              <w:rPr>
                <w:rFonts w:eastAsia="Calibri"/>
                <w:color w:val="000000"/>
                <w:sz w:val="22"/>
              </w:rPr>
            </w:pPr>
            <w:r w:rsidRPr="007E0AF4">
              <w:rPr>
                <w:sz w:val="22"/>
              </w:rPr>
              <w:t>Кількість фізичних осіб, які звернулись за послугами протягом  року</w:t>
            </w:r>
          </w:p>
        </w:tc>
        <w:tc>
          <w:tcPr>
            <w:tcW w:w="1418" w:type="dxa"/>
            <w:tcBorders>
              <w:top w:val="single" w:sz="6" w:space="0" w:color="auto"/>
              <w:left w:val="single" w:sz="6" w:space="0" w:color="auto"/>
              <w:bottom w:val="single" w:sz="6" w:space="0" w:color="auto"/>
              <w:right w:val="single" w:sz="6" w:space="0" w:color="auto"/>
            </w:tcBorders>
          </w:tcPr>
          <w:p w:rsidR="003A5BA5" w:rsidRPr="007E0AF4" w:rsidRDefault="003A5BA5" w:rsidP="001E6C97">
            <w:pPr>
              <w:autoSpaceDE w:val="0"/>
              <w:autoSpaceDN w:val="0"/>
              <w:adjustRightInd w:val="0"/>
              <w:rPr>
                <w:rFonts w:eastAsia="Calibri"/>
                <w:color w:val="000000"/>
                <w:sz w:val="22"/>
              </w:rPr>
            </w:pPr>
            <w:r w:rsidRPr="007E0AF4">
              <w:rPr>
                <w:rFonts w:eastAsia="Calibri"/>
                <w:color w:val="000000"/>
                <w:sz w:val="22"/>
              </w:rPr>
              <w:t>осіб</w:t>
            </w:r>
          </w:p>
        </w:tc>
        <w:tc>
          <w:tcPr>
            <w:tcW w:w="1276" w:type="dxa"/>
            <w:gridSpan w:val="2"/>
            <w:tcBorders>
              <w:top w:val="single" w:sz="6" w:space="0" w:color="auto"/>
              <w:left w:val="single" w:sz="6" w:space="0" w:color="auto"/>
              <w:bottom w:val="single" w:sz="6" w:space="0" w:color="auto"/>
              <w:right w:val="single" w:sz="6" w:space="0" w:color="auto"/>
            </w:tcBorders>
          </w:tcPr>
          <w:p w:rsidR="003A5BA5" w:rsidRPr="007E0AF4" w:rsidRDefault="003A5BA5" w:rsidP="001E6C97">
            <w:pPr>
              <w:autoSpaceDE w:val="0"/>
              <w:autoSpaceDN w:val="0"/>
              <w:adjustRightInd w:val="0"/>
              <w:rPr>
                <w:rFonts w:eastAsia="Calibri"/>
                <w:color w:val="000000"/>
                <w:sz w:val="22"/>
              </w:rPr>
            </w:pPr>
            <w:r w:rsidRPr="007E0AF4">
              <w:rPr>
                <w:rFonts w:eastAsia="Calibri"/>
                <w:color w:val="000000"/>
                <w:sz w:val="22"/>
              </w:rPr>
              <w:t xml:space="preserve">1000 </w:t>
            </w:r>
          </w:p>
        </w:tc>
      </w:tr>
      <w:tr w:rsidR="003A5BA5" w:rsidRPr="007E0AF4" w:rsidTr="00CD602B">
        <w:trPr>
          <w:trHeight w:val="555"/>
        </w:trPr>
        <w:tc>
          <w:tcPr>
            <w:tcW w:w="1448" w:type="dxa"/>
            <w:tcBorders>
              <w:top w:val="nil"/>
              <w:left w:val="nil"/>
              <w:bottom w:val="nil"/>
              <w:right w:val="nil"/>
            </w:tcBorders>
          </w:tcPr>
          <w:p w:rsidR="003A5BA5" w:rsidRPr="007E0AF4" w:rsidRDefault="003A5BA5" w:rsidP="001E6C97">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3A5BA5" w:rsidRPr="007E0AF4" w:rsidRDefault="003A5BA5" w:rsidP="001E6C97">
            <w:pPr>
              <w:autoSpaceDE w:val="0"/>
              <w:autoSpaceDN w:val="0"/>
              <w:adjustRightInd w:val="0"/>
              <w:rPr>
                <w:rFonts w:eastAsia="Calibri"/>
                <w:b/>
                <w:color w:val="000000"/>
                <w:sz w:val="22"/>
              </w:rPr>
            </w:pPr>
          </w:p>
        </w:tc>
        <w:tc>
          <w:tcPr>
            <w:tcW w:w="4252" w:type="dxa"/>
            <w:gridSpan w:val="4"/>
            <w:tcBorders>
              <w:top w:val="single" w:sz="6" w:space="0" w:color="auto"/>
              <w:left w:val="single" w:sz="6" w:space="0" w:color="auto"/>
              <w:bottom w:val="single" w:sz="6" w:space="0" w:color="auto"/>
              <w:right w:val="single" w:sz="6" w:space="0" w:color="auto"/>
            </w:tcBorders>
          </w:tcPr>
          <w:p w:rsidR="003A5BA5" w:rsidRPr="007E0AF4" w:rsidRDefault="003A5BA5" w:rsidP="005C7378">
            <w:pPr>
              <w:autoSpaceDE w:val="0"/>
              <w:autoSpaceDN w:val="0"/>
              <w:adjustRightInd w:val="0"/>
              <w:rPr>
                <w:sz w:val="22"/>
              </w:rPr>
            </w:pPr>
            <w:r w:rsidRPr="007E0AF4">
              <w:rPr>
                <w:sz w:val="22"/>
              </w:rPr>
              <w:t>Кількість видів та типів послуг</w:t>
            </w:r>
            <w:r w:rsidR="005C7378" w:rsidRPr="007E0AF4">
              <w:rPr>
                <w:sz w:val="22"/>
                <w:lang w:val="ru-RU"/>
              </w:rPr>
              <w:t>,</w:t>
            </w:r>
            <w:r w:rsidRPr="007E0AF4">
              <w:rPr>
                <w:sz w:val="22"/>
              </w:rPr>
              <w:t xml:space="preserve"> наданих протягом одного робочого дня</w:t>
            </w:r>
          </w:p>
        </w:tc>
        <w:tc>
          <w:tcPr>
            <w:tcW w:w="1418" w:type="dxa"/>
            <w:tcBorders>
              <w:top w:val="single" w:sz="6" w:space="0" w:color="auto"/>
              <w:left w:val="single" w:sz="6" w:space="0" w:color="auto"/>
              <w:bottom w:val="single" w:sz="6" w:space="0" w:color="auto"/>
              <w:right w:val="single" w:sz="6" w:space="0" w:color="auto"/>
            </w:tcBorders>
          </w:tcPr>
          <w:p w:rsidR="003A5BA5" w:rsidRPr="007E0AF4" w:rsidRDefault="003A5BA5" w:rsidP="001E6C97">
            <w:pPr>
              <w:autoSpaceDE w:val="0"/>
              <w:autoSpaceDN w:val="0"/>
              <w:adjustRightInd w:val="0"/>
              <w:rPr>
                <w:rFonts w:eastAsia="Calibri"/>
                <w:color w:val="000000"/>
                <w:sz w:val="22"/>
              </w:rPr>
            </w:pPr>
            <w:r w:rsidRPr="007E0AF4">
              <w:rPr>
                <w:rFonts w:eastAsia="Calibri"/>
                <w:color w:val="000000"/>
                <w:sz w:val="22"/>
              </w:rPr>
              <w:t>одиниць</w:t>
            </w:r>
          </w:p>
        </w:tc>
        <w:tc>
          <w:tcPr>
            <w:tcW w:w="1276" w:type="dxa"/>
            <w:gridSpan w:val="2"/>
            <w:tcBorders>
              <w:top w:val="single" w:sz="6" w:space="0" w:color="auto"/>
              <w:left w:val="single" w:sz="6" w:space="0" w:color="auto"/>
              <w:bottom w:val="single" w:sz="6" w:space="0" w:color="auto"/>
              <w:right w:val="single" w:sz="6" w:space="0" w:color="auto"/>
            </w:tcBorders>
          </w:tcPr>
          <w:p w:rsidR="003A5BA5" w:rsidRPr="007E0AF4" w:rsidRDefault="003A5BA5" w:rsidP="001E6C97">
            <w:pPr>
              <w:autoSpaceDE w:val="0"/>
              <w:autoSpaceDN w:val="0"/>
              <w:adjustRightInd w:val="0"/>
              <w:rPr>
                <w:rFonts w:eastAsia="Calibri"/>
                <w:color w:val="000000"/>
                <w:sz w:val="22"/>
              </w:rPr>
            </w:pPr>
            <w:r w:rsidRPr="007E0AF4">
              <w:rPr>
                <w:rFonts w:eastAsia="Calibri"/>
                <w:color w:val="000000"/>
                <w:sz w:val="22"/>
              </w:rPr>
              <w:t>266</w:t>
            </w:r>
          </w:p>
        </w:tc>
      </w:tr>
      <w:tr w:rsidR="003A5BA5" w:rsidRPr="007E0AF4" w:rsidTr="00CD602B">
        <w:trPr>
          <w:trHeight w:val="737"/>
        </w:trPr>
        <w:tc>
          <w:tcPr>
            <w:tcW w:w="1448" w:type="dxa"/>
            <w:tcBorders>
              <w:top w:val="nil"/>
              <w:left w:val="nil"/>
              <w:bottom w:val="nil"/>
              <w:right w:val="nil"/>
            </w:tcBorders>
          </w:tcPr>
          <w:p w:rsidR="003A5BA5" w:rsidRPr="007E0AF4" w:rsidRDefault="003A5BA5" w:rsidP="001E6C97">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3A5BA5" w:rsidRPr="007E0AF4" w:rsidRDefault="003A5BA5" w:rsidP="001E6C97">
            <w:pPr>
              <w:autoSpaceDE w:val="0"/>
              <w:autoSpaceDN w:val="0"/>
              <w:adjustRightInd w:val="0"/>
              <w:rPr>
                <w:rFonts w:eastAsia="Calibri"/>
                <w:b/>
                <w:color w:val="000000"/>
                <w:sz w:val="22"/>
              </w:rPr>
            </w:pPr>
          </w:p>
        </w:tc>
        <w:tc>
          <w:tcPr>
            <w:tcW w:w="4252" w:type="dxa"/>
            <w:gridSpan w:val="4"/>
            <w:tcBorders>
              <w:top w:val="single" w:sz="6" w:space="0" w:color="auto"/>
              <w:left w:val="single" w:sz="6" w:space="0" w:color="auto"/>
              <w:bottom w:val="single" w:sz="6" w:space="0" w:color="auto"/>
              <w:right w:val="single" w:sz="6" w:space="0" w:color="auto"/>
            </w:tcBorders>
          </w:tcPr>
          <w:p w:rsidR="003A5BA5" w:rsidRPr="007E0AF4" w:rsidRDefault="003A5BA5" w:rsidP="001E6C97">
            <w:pPr>
              <w:autoSpaceDE w:val="0"/>
              <w:autoSpaceDN w:val="0"/>
              <w:adjustRightInd w:val="0"/>
              <w:rPr>
                <w:sz w:val="22"/>
              </w:rPr>
            </w:pPr>
            <w:r w:rsidRPr="007E0AF4">
              <w:rPr>
                <w:sz w:val="22"/>
              </w:rPr>
              <w:t>Термін надання послуги</w:t>
            </w:r>
          </w:p>
        </w:tc>
        <w:tc>
          <w:tcPr>
            <w:tcW w:w="1418" w:type="dxa"/>
            <w:tcBorders>
              <w:top w:val="single" w:sz="6" w:space="0" w:color="auto"/>
              <w:left w:val="single" w:sz="6" w:space="0" w:color="auto"/>
              <w:bottom w:val="single" w:sz="6" w:space="0" w:color="auto"/>
              <w:right w:val="single" w:sz="6" w:space="0" w:color="auto"/>
            </w:tcBorders>
          </w:tcPr>
          <w:p w:rsidR="003A5BA5" w:rsidRPr="007E0AF4" w:rsidRDefault="003A5BA5" w:rsidP="001E6C97">
            <w:pPr>
              <w:autoSpaceDE w:val="0"/>
              <w:autoSpaceDN w:val="0"/>
              <w:adjustRightInd w:val="0"/>
              <w:rPr>
                <w:rFonts w:eastAsia="Calibri"/>
                <w:color w:val="000000"/>
                <w:sz w:val="22"/>
              </w:rPr>
            </w:pPr>
            <w:r w:rsidRPr="007E0AF4">
              <w:rPr>
                <w:rFonts w:eastAsia="Calibri"/>
                <w:color w:val="000000"/>
                <w:sz w:val="22"/>
              </w:rPr>
              <w:t>день</w:t>
            </w:r>
          </w:p>
        </w:tc>
        <w:tc>
          <w:tcPr>
            <w:tcW w:w="1276" w:type="dxa"/>
            <w:gridSpan w:val="2"/>
            <w:tcBorders>
              <w:top w:val="single" w:sz="6" w:space="0" w:color="auto"/>
              <w:left w:val="single" w:sz="6" w:space="0" w:color="auto"/>
              <w:bottom w:val="single" w:sz="6" w:space="0" w:color="auto"/>
              <w:right w:val="single" w:sz="6" w:space="0" w:color="auto"/>
            </w:tcBorders>
          </w:tcPr>
          <w:p w:rsidR="003A5BA5" w:rsidRPr="007E0AF4" w:rsidRDefault="003A5BA5" w:rsidP="001E6C97">
            <w:pPr>
              <w:autoSpaceDE w:val="0"/>
              <w:autoSpaceDN w:val="0"/>
              <w:adjustRightInd w:val="0"/>
              <w:rPr>
                <w:rFonts w:eastAsia="Calibri"/>
                <w:color w:val="000000"/>
                <w:sz w:val="22"/>
              </w:rPr>
            </w:pPr>
            <w:r w:rsidRPr="007E0AF4">
              <w:rPr>
                <w:rFonts w:eastAsia="Calibri"/>
                <w:color w:val="000000"/>
                <w:sz w:val="22"/>
              </w:rPr>
              <w:t>365</w:t>
            </w:r>
          </w:p>
        </w:tc>
      </w:tr>
      <w:tr w:rsidR="003A5BA5" w:rsidRPr="007E0AF4" w:rsidTr="00CD602B">
        <w:trPr>
          <w:trHeight w:val="268"/>
        </w:trPr>
        <w:tc>
          <w:tcPr>
            <w:tcW w:w="1448" w:type="dxa"/>
            <w:tcBorders>
              <w:top w:val="nil"/>
              <w:left w:val="nil"/>
              <w:bottom w:val="nil"/>
              <w:right w:val="nil"/>
            </w:tcBorders>
          </w:tcPr>
          <w:p w:rsidR="003A5BA5" w:rsidRPr="007E0AF4" w:rsidRDefault="003A5BA5" w:rsidP="001E6C9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3A5BA5" w:rsidRPr="007E0AF4" w:rsidRDefault="003A5BA5" w:rsidP="001E6C97">
            <w:pPr>
              <w:autoSpaceDE w:val="0"/>
              <w:autoSpaceDN w:val="0"/>
              <w:adjustRightInd w:val="0"/>
              <w:rPr>
                <w:rFonts w:eastAsia="Calibri"/>
                <w:b/>
                <w:color w:val="000000"/>
                <w:sz w:val="22"/>
              </w:rPr>
            </w:pPr>
            <w:r w:rsidRPr="007E0AF4">
              <w:rPr>
                <w:rFonts w:eastAsia="Calibri"/>
                <w:b/>
                <w:color w:val="000000"/>
                <w:sz w:val="22"/>
              </w:rPr>
              <w:t>Ключові заходи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3A5BA5" w:rsidRPr="007E0AF4" w:rsidRDefault="003A5BA5" w:rsidP="001E6C97">
            <w:pPr>
              <w:pStyle w:val="a7"/>
              <w:ind w:left="0"/>
              <w:rPr>
                <w:sz w:val="22"/>
              </w:rPr>
            </w:pPr>
            <w:r w:rsidRPr="007E0AF4">
              <w:rPr>
                <w:sz w:val="22"/>
              </w:rPr>
              <w:t>-</w:t>
            </w:r>
            <w:r w:rsidRPr="007E0AF4">
              <w:rPr>
                <w:color w:val="000000"/>
                <w:sz w:val="22"/>
              </w:rPr>
              <w:t xml:space="preserve"> </w:t>
            </w:r>
            <w:r w:rsidRPr="007E0AF4">
              <w:rPr>
                <w:sz w:val="22"/>
              </w:rPr>
              <w:t xml:space="preserve">обстеження стану оснащення та обладнання закладу; </w:t>
            </w:r>
          </w:p>
          <w:p w:rsidR="003A5BA5" w:rsidRPr="007E0AF4" w:rsidRDefault="003A5BA5" w:rsidP="001E6C97">
            <w:pPr>
              <w:pStyle w:val="a7"/>
              <w:ind w:left="0"/>
              <w:rPr>
                <w:sz w:val="22"/>
              </w:rPr>
            </w:pPr>
            <w:r w:rsidRPr="007E0AF4">
              <w:rPr>
                <w:sz w:val="22"/>
              </w:rPr>
              <w:t>- проведення інвентаризації основних засобів;</w:t>
            </w:r>
          </w:p>
          <w:p w:rsidR="003A5BA5" w:rsidRPr="007E0AF4" w:rsidRDefault="003A5BA5" w:rsidP="001E6C97">
            <w:pPr>
              <w:autoSpaceDE w:val="0"/>
              <w:autoSpaceDN w:val="0"/>
              <w:adjustRightInd w:val="0"/>
              <w:rPr>
                <w:rFonts w:eastAsia="Calibri"/>
                <w:color w:val="000000"/>
                <w:sz w:val="22"/>
              </w:rPr>
            </w:pPr>
            <w:r w:rsidRPr="007E0AF4">
              <w:rPr>
                <w:sz w:val="22"/>
              </w:rPr>
              <w:t>- п</w:t>
            </w:r>
            <w:r w:rsidRPr="007E0AF4">
              <w:rPr>
                <w:rFonts w:eastAsia="Calibri"/>
                <w:color w:val="000000"/>
                <w:sz w:val="22"/>
              </w:rPr>
              <w:t xml:space="preserve">ідготовка </w:t>
            </w:r>
            <w:proofErr w:type="spellStart"/>
            <w:r w:rsidRPr="007E0AF4">
              <w:rPr>
                <w:rFonts w:eastAsia="Calibri"/>
                <w:color w:val="000000"/>
                <w:sz w:val="22"/>
              </w:rPr>
              <w:t>про</w:t>
            </w:r>
            <w:r w:rsidR="00F614AE" w:rsidRPr="007E0AF4">
              <w:rPr>
                <w:rFonts w:eastAsia="Calibri"/>
                <w:color w:val="000000"/>
                <w:sz w:val="22"/>
              </w:rPr>
              <w:t>є</w:t>
            </w:r>
            <w:r w:rsidRPr="007E0AF4">
              <w:rPr>
                <w:rFonts w:eastAsia="Calibri"/>
                <w:color w:val="000000"/>
                <w:sz w:val="22"/>
              </w:rPr>
              <w:t>ктно</w:t>
            </w:r>
            <w:proofErr w:type="spellEnd"/>
            <w:r w:rsidRPr="007E0AF4">
              <w:rPr>
                <w:rFonts w:eastAsia="Calibri"/>
                <w:color w:val="000000"/>
                <w:sz w:val="22"/>
              </w:rPr>
              <w:t>-кошторисної документації (ПКД);</w:t>
            </w:r>
          </w:p>
          <w:p w:rsidR="003A5BA5" w:rsidRPr="007E0AF4" w:rsidRDefault="003A5BA5" w:rsidP="001E6C97">
            <w:pPr>
              <w:autoSpaceDE w:val="0"/>
              <w:autoSpaceDN w:val="0"/>
              <w:adjustRightInd w:val="0"/>
              <w:rPr>
                <w:rFonts w:eastAsia="Calibri"/>
                <w:color w:val="000000"/>
                <w:sz w:val="22"/>
              </w:rPr>
            </w:pPr>
            <w:r w:rsidRPr="007E0AF4">
              <w:rPr>
                <w:rFonts w:eastAsia="Calibri"/>
                <w:color w:val="000000"/>
                <w:sz w:val="22"/>
              </w:rPr>
              <w:t xml:space="preserve">- </w:t>
            </w:r>
            <w:r w:rsidRPr="007E0AF4">
              <w:rPr>
                <w:sz w:val="22"/>
              </w:rPr>
              <w:t>здійснення заходів згідно ПКД;</w:t>
            </w:r>
          </w:p>
          <w:p w:rsidR="003A5BA5" w:rsidRPr="007E0AF4" w:rsidRDefault="003A5BA5" w:rsidP="001E6C97">
            <w:pPr>
              <w:autoSpaceDE w:val="0"/>
              <w:autoSpaceDN w:val="0"/>
              <w:adjustRightInd w:val="0"/>
              <w:rPr>
                <w:rFonts w:eastAsia="Calibri"/>
                <w:color w:val="000000"/>
                <w:sz w:val="22"/>
              </w:rPr>
            </w:pPr>
            <w:r w:rsidRPr="007E0AF4">
              <w:rPr>
                <w:rFonts w:eastAsia="Calibri"/>
                <w:color w:val="000000"/>
                <w:sz w:val="22"/>
              </w:rPr>
              <w:t xml:space="preserve">- </w:t>
            </w:r>
            <w:r w:rsidRPr="007E0AF4">
              <w:rPr>
                <w:sz w:val="22"/>
              </w:rPr>
              <w:t>придбання технічного забезпечення;</w:t>
            </w:r>
          </w:p>
          <w:p w:rsidR="003A5BA5" w:rsidRPr="007E0AF4" w:rsidRDefault="003A5BA5" w:rsidP="001E6C97">
            <w:pPr>
              <w:pStyle w:val="a7"/>
              <w:ind w:left="0"/>
              <w:rPr>
                <w:sz w:val="22"/>
              </w:rPr>
            </w:pPr>
            <w:r w:rsidRPr="007E0AF4">
              <w:rPr>
                <w:sz w:val="22"/>
              </w:rPr>
              <w:t>- придбання технологічного забезпечення;</w:t>
            </w:r>
          </w:p>
          <w:p w:rsidR="003A5BA5" w:rsidRPr="007E0AF4" w:rsidRDefault="003A5BA5" w:rsidP="001E6C97">
            <w:pPr>
              <w:pStyle w:val="a7"/>
              <w:ind w:left="0"/>
              <w:rPr>
                <w:sz w:val="22"/>
              </w:rPr>
            </w:pPr>
            <w:r w:rsidRPr="007E0AF4">
              <w:rPr>
                <w:sz w:val="22"/>
              </w:rPr>
              <w:t xml:space="preserve">- визначення кількості осіб, які потребують отримання освітніх послуг; </w:t>
            </w:r>
          </w:p>
          <w:p w:rsidR="003A5BA5" w:rsidRPr="007E0AF4" w:rsidRDefault="003A5BA5" w:rsidP="001E6C97">
            <w:pPr>
              <w:pStyle w:val="a7"/>
              <w:ind w:left="0"/>
              <w:rPr>
                <w:sz w:val="22"/>
              </w:rPr>
            </w:pPr>
            <w:r w:rsidRPr="007E0AF4">
              <w:rPr>
                <w:color w:val="000000"/>
                <w:sz w:val="22"/>
              </w:rPr>
              <w:t>- закупівля сучасних парт, стільців та класних дошок, м'яких меблів, учительських столів, комп'ютерних столів для шкільних кабінетів, учительської кімнати, спортивних, актового залу, лаборантських, інструкторських, обслуговуючого персоналу, ТСН, мультимедійної, ІКТ техніки, інше</w:t>
            </w:r>
            <w:r w:rsidR="00F614AE" w:rsidRPr="007E0AF4">
              <w:rPr>
                <w:color w:val="000000"/>
                <w:sz w:val="22"/>
              </w:rPr>
              <w:t>;</w:t>
            </w:r>
          </w:p>
          <w:p w:rsidR="003A5BA5" w:rsidRPr="007E0AF4" w:rsidRDefault="003A5BA5" w:rsidP="001E6C97">
            <w:pPr>
              <w:pStyle w:val="a7"/>
              <w:ind w:left="0"/>
              <w:rPr>
                <w:rFonts w:eastAsia="Calibri"/>
                <w:color w:val="000000"/>
                <w:sz w:val="22"/>
              </w:rPr>
            </w:pPr>
            <w:r w:rsidRPr="007E0AF4">
              <w:rPr>
                <w:sz w:val="22"/>
              </w:rPr>
              <w:t>- організація та початок робочого процесу</w:t>
            </w:r>
            <w:r w:rsidR="00F614AE" w:rsidRPr="007E0AF4">
              <w:rPr>
                <w:sz w:val="22"/>
              </w:rPr>
              <w:t>.</w:t>
            </w:r>
          </w:p>
        </w:tc>
      </w:tr>
      <w:tr w:rsidR="003A5BA5" w:rsidRPr="007E0AF4" w:rsidTr="00CD602B">
        <w:trPr>
          <w:trHeight w:val="604"/>
        </w:trPr>
        <w:tc>
          <w:tcPr>
            <w:tcW w:w="1448" w:type="dxa"/>
            <w:vMerge w:val="restart"/>
            <w:tcBorders>
              <w:top w:val="nil"/>
              <w:left w:val="nil"/>
              <w:bottom w:val="nil"/>
              <w:right w:val="nil"/>
            </w:tcBorders>
          </w:tcPr>
          <w:p w:rsidR="003A5BA5" w:rsidRPr="007E0AF4" w:rsidRDefault="003A5BA5" w:rsidP="001E6C97">
            <w:pPr>
              <w:autoSpaceDE w:val="0"/>
              <w:autoSpaceDN w:val="0"/>
              <w:adjustRightInd w:val="0"/>
              <w:jc w:val="right"/>
              <w:rPr>
                <w:rFonts w:eastAsia="Calibri"/>
                <w:color w:val="000000"/>
                <w:sz w:val="22"/>
              </w:rPr>
            </w:pPr>
          </w:p>
        </w:tc>
        <w:tc>
          <w:tcPr>
            <w:tcW w:w="2835" w:type="dxa"/>
            <w:vMerge w:val="restart"/>
            <w:tcBorders>
              <w:top w:val="single" w:sz="6" w:space="0" w:color="auto"/>
              <w:left w:val="single" w:sz="6" w:space="0" w:color="auto"/>
              <w:bottom w:val="nil"/>
              <w:right w:val="single" w:sz="6" w:space="0" w:color="auto"/>
            </w:tcBorders>
            <w:shd w:val="clear" w:color="00FFFF" w:fill="C6D9F1" w:themeFill="text2" w:themeFillTint="33"/>
          </w:tcPr>
          <w:p w:rsidR="003A5BA5" w:rsidRPr="007E0AF4" w:rsidRDefault="003A5BA5" w:rsidP="001E6C97">
            <w:pPr>
              <w:autoSpaceDE w:val="0"/>
              <w:autoSpaceDN w:val="0"/>
              <w:adjustRightInd w:val="0"/>
              <w:rPr>
                <w:rFonts w:eastAsia="Calibri"/>
                <w:b/>
                <w:color w:val="000000"/>
                <w:sz w:val="22"/>
              </w:rPr>
            </w:pPr>
            <w:r w:rsidRPr="007E0AF4">
              <w:rPr>
                <w:rFonts w:eastAsia="Calibri"/>
                <w:b/>
                <w:color w:val="000000"/>
                <w:sz w:val="22"/>
              </w:rPr>
              <w:t>Орієнтовний обсяг та джерела фінансування тис. гривень</w:t>
            </w:r>
          </w:p>
        </w:tc>
        <w:tc>
          <w:tcPr>
            <w:tcW w:w="1417" w:type="dxa"/>
            <w:vMerge w:val="restart"/>
            <w:tcBorders>
              <w:top w:val="single" w:sz="6" w:space="0" w:color="auto"/>
              <w:left w:val="single" w:sz="6" w:space="0" w:color="auto"/>
              <w:bottom w:val="nil"/>
              <w:right w:val="single" w:sz="4" w:space="0" w:color="auto"/>
            </w:tcBorders>
          </w:tcPr>
          <w:p w:rsidR="003A5BA5" w:rsidRPr="007E0AF4" w:rsidRDefault="003A5BA5" w:rsidP="001E6C97">
            <w:pPr>
              <w:autoSpaceDE w:val="0"/>
              <w:autoSpaceDN w:val="0"/>
              <w:adjustRightInd w:val="0"/>
              <w:rPr>
                <w:rFonts w:eastAsia="Calibri"/>
                <w:color w:val="000000"/>
                <w:sz w:val="22"/>
              </w:rPr>
            </w:pPr>
            <w:r w:rsidRPr="007E0AF4">
              <w:rPr>
                <w:rFonts w:eastAsia="Calibri"/>
                <w:color w:val="000000"/>
                <w:sz w:val="22"/>
              </w:rPr>
              <w:t>Державний бюджет</w:t>
            </w:r>
          </w:p>
        </w:tc>
        <w:tc>
          <w:tcPr>
            <w:tcW w:w="1134" w:type="dxa"/>
            <w:vMerge w:val="restart"/>
            <w:tcBorders>
              <w:top w:val="single" w:sz="4" w:space="0" w:color="auto"/>
              <w:left w:val="single" w:sz="4" w:space="0" w:color="auto"/>
              <w:bottom w:val="single" w:sz="4" w:space="0" w:color="auto"/>
              <w:right w:val="single" w:sz="4" w:space="0" w:color="auto"/>
            </w:tcBorders>
          </w:tcPr>
          <w:p w:rsidR="003A5BA5" w:rsidRPr="007E0AF4" w:rsidRDefault="003A5BA5" w:rsidP="001E6C97">
            <w:pPr>
              <w:autoSpaceDE w:val="0"/>
              <w:autoSpaceDN w:val="0"/>
              <w:adjustRightInd w:val="0"/>
              <w:rPr>
                <w:rFonts w:eastAsia="Calibri"/>
                <w:color w:val="000000"/>
                <w:sz w:val="22"/>
              </w:rPr>
            </w:pPr>
            <w:r w:rsidRPr="007E0AF4">
              <w:rPr>
                <w:rFonts w:eastAsia="Calibri"/>
                <w:color w:val="000000"/>
                <w:sz w:val="22"/>
              </w:rPr>
              <w:t>Місцевий бюджет</w:t>
            </w:r>
          </w:p>
        </w:tc>
        <w:tc>
          <w:tcPr>
            <w:tcW w:w="3544" w:type="dxa"/>
            <w:gridSpan w:val="4"/>
            <w:tcBorders>
              <w:top w:val="single" w:sz="6" w:space="0" w:color="auto"/>
              <w:left w:val="single" w:sz="4" w:space="0" w:color="auto"/>
              <w:bottom w:val="nil"/>
              <w:right w:val="single" w:sz="4" w:space="0" w:color="auto"/>
            </w:tcBorders>
          </w:tcPr>
          <w:p w:rsidR="003A5BA5" w:rsidRPr="007E0AF4" w:rsidRDefault="003A5BA5" w:rsidP="001E6C97">
            <w:pPr>
              <w:autoSpaceDE w:val="0"/>
              <w:autoSpaceDN w:val="0"/>
              <w:adjustRightInd w:val="0"/>
              <w:rPr>
                <w:rFonts w:eastAsia="Calibri"/>
                <w:color w:val="000000"/>
                <w:sz w:val="22"/>
              </w:rPr>
            </w:pPr>
            <w:r w:rsidRPr="007E0AF4">
              <w:rPr>
                <w:rFonts w:eastAsia="Calibri"/>
                <w:color w:val="000000"/>
                <w:sz w:val="22"/>
              </w:rPr>
              <w:t>Інші джерела</w:t>
            </w:r>
          </w:p>
        </w:tc>
        <w:tc>
          <w:tcPr>
            <w:tcW w:w="851" w:type="dxa"/>
            <w:vMerge w:val="restart"/>
            <w:tcBorders>
              <w:top w:val="single" w:sz="4" w:space="0" w:color="auto"/>
              <w:left w:val="single" w:sz="4" w:space="0" w:color="auto"/>
              <w:bottom w:val="nil"/>
              <w:right w:val="single" w:sz="4" w:space="0" w:color="auto"/>
            </w:tcBorders>
          </w:tcPr>
          <w:p w:rsidR="003A5BA5" w:rsidRPr="007E0AF4" w:rsidRDefault="003A5BA5" w:rsidP="001E6C97">
            <w:pPr>
              <w:autoSpaceDE w:val="0"/>
              <w:autoSpaceDN w:val="0"/>
              <w:adjustRightInd w:val="0"/>
              <w:rPr>
                <w:rFonts w:eastAsia="Calibri"/>
                <w:color w:val="000000"/>
                <w:sz w:val="22"/>
              </w:rPr>
            </w:pPr>
            <w:r w:rsidRPr="007E0AF4">
              <w:rPr>
                <w:rFonts w:eastAsia="Calibri"/>
                <w:color w:val="000000"/>
                <w:sz w:val="22"/>
              </w:rPr>
              <w:t>Всього</w:t>
            </w:r>
          </w:p>
          <w:p w:rsidR="003A5BA5" w:rsidRPr="007E0AF4" w:rsidRDefault="003A5BA5" w:rsidP="001E6C97">
            <w:pPr>
              <w:autoSpaceDE w:val="0"/>
              <w:autoSpaceDN w:val="0"/>
              <w:adjustRightInd w:val="0"/>
              <w:rPr>
                <w:rFonts w:eastAsia="Calibri"/>
                <w:color w:val="000000"/>
                <w:sz w:val="22"/>
              </w:rPr>
            </w:pPr>
          </w:p>
        </w:tc>
      </w:tr>
      <w:tr w:rsidR="00CD602B" w:rsidRPr="007E0AF4" w:rsidTr="00CD602B">
        <w:trPr>
          <w:trHeight w:val="65"/>
        </w:trPr>
        <w:tc>
          <w:tcPr>
            <w:tcW w:w="1448" w:type="dxa"/>
            <w:vMerge/>
            <w:tcBorders>
              <w:left w:val="nil"/>
              <w:right w:val="nil"/>
            </w:tcBorders>
          </w:tcPr>
          <w:p w:rsidR="003A5BA5" w:rsidRPr="007E0AF4" w:rsidRDefault="003A5BA5" w:rsidP="001E6C97">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3A5BA5" w:rsidRPr="007E0AF4" w:rsidRDefault="003A5BA5" w:rsidP="001E6C97">
            <w:pPr>
              <w:autoSpaceDE w:val="0"/>
              <w:autoSpaceDN w:val="0"/>
              <w:adjustRightInd w:val="0"/>
              <w:rPr>
                <w:rFonts w:eastAsia="Calibri"/>
                <w:b/>
                <w:color w:val="000000"/>
                <w:sz w:val="22"/>
              </w:rPr>
            </w:pPr>
          </w:p>
        </w:tc>
        <w:tc>
          <w:tcPr>
            <w:tcW w:w="1417" w:type="dxa"/>
            <w:vMerge/>
            <w:tcBorders>
              <w:left w:val="single" w:sz="6" w:space="0" w:color="auto"/>
              <w:bottom w:val="single" w:sz="6" w:space="0" w:color="auto"/>
              <w:right w:val="single" w:sz="4" w:space="0" w:color="auto"/>
            </w:tcBorders>
          </w:tcPr>
          <w:p w:rsidR="003A5BA5" w:rsidRPr="007E0AF4" w:rsidRDefault="003A5BA5" w:rsidP="001E6C97">
            <w:pPr>
              <w:autoSpaceDE w:val="0"/>
              <w:autoSpaceDN w:val="0"/>
              <w:adjustRightInd w:val="0"/>
              <w:rPr>
                <w:rFonts w:eastAsia="Calibri"/>
                <w:color w:val="000000"/>
                <w:sz w:val="22"/>
              </w:rPr>
            </w:pPr>
          </w:p>
        </w:tc>
        <w:tc>
          <w:tcPr>
            <w:tcW w:w="1134" w:type="dxa"/>
            <w:vMerge/>
            <w:tcBorders>
              <w:top w:val="single" w:sz="4" w:space="0" w:color="auto"/>
              <w:left w:val="single" w:sz="4" w:space="0" w:color="auto"/>
              <w:bottom w:val="single" w:sz="4" w:space="0" w:color="auto"/>
              <w:right w:val="single" w:sz="4" w:space="0" w:color="auto"/>
            </w:tcBorders>
          </w:tcPr>
          <w:p w:rsidR="003A5BA5" w:rsidRPr="007E0AF4" w:rsidRDefault="003A5BA5" w:rsidP="001E6C97">
            <w:pPr>
              <w:autoSpaceDE w:val="0"/>
              <w:autoSpaceDN w:val="0"/>
              <w:adjustRightInd w:val="0"/>
              <w:rPr>
                <w:rFonts w:eastAsia="Calibri"/>
                <w:color w:val="000000"/>
                <w:sz w:val="22"/>
              </w:rPr>
            </w:pPr>
          </w:p>
        </w:tc>
        <w:tc>
          <w:tcPr>
            <w:tcW w:w="993" w:type="dxa"/>
            <w:tcBorders>
              <w:top w:val="single" w:sz="4" w:space="0" w:color="auto"/>
              <w:left w:val="single" w:sz="4" w:space="0" w:color="auto"/>
              <w:bottom w:val="single" w:sz="4" w:space="0" w:color="auto"/>
              <w:right w:val="single" w:sz="4" w:space="0" w:color="auto"/>
            </w:tcBorders>
          </w:tcPr>
          <w:p w:rsidR="003A5BA5" w:rsidRPr="007E0AF4" w:rsidRDefault="003A5BA5" w:rsidP="001E6C97">
            <w:pPr>
              <w:autoSpaceDE w:val="0"/>
              <w:autoSpaceDN w:val="0"/>
              <w:adjustRightInd w:val="0"/>
              <w:rPr>
                <w:rFonts w:eastAsia="Calibri"/>
                <w:color w:val="000000"/>
                <w:sz w:val="22"/>
              </w:rPr>
            </w:pPr>
            <w:r w:rsidRPr="007E0AF4">
              <w:rPr>
                <w:rFonts w:eastAsia="Calibri"/>
                <w:color w:val="000000"/>
                <w:sz w:val="22"/>
              </w:rPr>
              <w:t>Обсяг</w:t>
            </w:r>
          </w:p>
        </w:tc>
        <w:tc>
          <w:tcPr>
            <w:tcW w:w="2551" w:type="dxa"/>
            <w:gridSpan w:val="3"/>
            <w:tcBorders>
              <w:top w:val="single" w:sz="4" w:space="0" w:color="auto"/>
              <w:left w:val="single" w:sz="4" w:space="0" w:color="auto"/>
              <w:bottom w:val="single" w:sz="4" w:space="0" w:color="auto"/>
              <w:right w:val="single" w:sz="4" w:space="0" w:color="auto"/>
            </w:tcBorders>
          </w:tcPr>
          <w:p w:rsidR="003A5BA5" w:rsidRPr="007E0AF4" w:rsidRDefault="003A5BA5" w:rsidP="001E6C97">
            <w:pPr>
              <w:autoSpaceDE w:val="0"/>
              <w:autoSpaceDN w:val="0"/>
              <w:adjustRightInd w:val="0"/>
              <w:rPr>
                <w:rFonts w:eastAsia="Calibri"/>
                <w:color w:val="000000"/>
                <w:sz w:val="22"/>
              </w:rPr>
            </w:pPr>
            <w:r w:rsidRPr="007E0AF4">
              <w:rPr>
                <w:rFonts w:eastAsia="Calibri"/>
                <w:color w:val="000000"/>
                <w:sz w:val="22"/>
              </w:rPr>
              <w:t>Назва джерела</w:t>
            </w:r>
          </w:p>
        </w:tc>
        <w:tc>
          <w:tcPr>
            <w:tcW w:w="851" w:type="dxa"/>
            <w:vMerge/>
            <w:tcBorders>
              <w:left w:val="single" w:sz="4" w:space="0" w:color="auto"/>
              <w:bottom w:val="single" w:sz="4" w:space="0" w:color="auto"/>
              <w:right w:val="single" w:sz="4" w:space="0" w:color="auto"/>
            </w:tcBorders>
          </w:tcPr>
          <w:p w:rsidR="003A5BA5" w:rsidRPr="007E0AF4" w:rsidRDefault="003A5BA5" w:rsidP="001E6C97">
            <w:pPr>
              <w:autoSpaceDE w:val="0"/>
              <w:autoSpaceDN w:val="0"/>
              <w:adjustRightInd w:val="0"/>
              <w:rPr>
                <w:rFonts w:eastAsia="Calibri"/>
                <w:color w:val="000000"/>
                <w:sz w:val="22"/>
              </w:rPr>
            </w:pPr>
          </w:p>
        </w:tc>
      </w:tr>
      <w:tr w:rsidR="00CD602B" w:rsidRPr="007E0AF4" w:rsidTr="00CD602B">
        <w:trPr>
          <w:trHeight w:val="625"/>
        </w:trPr>
        <w:tc>
          <w:tcPr>
            <w:tcW w:w="1448" w:type="dxa"/>
            <w:vMerge/>
            <w:tcBorders>
              <w:left w:val="nil"/>
              <w:bottom w:val="nil"/>
              <w:right w:val="nil"/>
            </w:tcBorders>
          </w:tcPr>
          <w:p w:rsidR="003A5BA5" w:rsidRPr="007E0AF4" w:rsidRDefault="003A5BA5" w:rsidP="001E6C97">
            <w:pPr>
              <w:autoSpaceDE w:val="0"/>
              <w:autoSpaceDN w:val="0"/>
              <w:adjustRightInd w:val="0"/>
              <w:jc w:val="right"/>
              <w:rPr>
                <w:rFonts w:eastAsia="Calibri"/>
                <w:color w:val="000000"/>
                <w:sz w:val="22"/>
              </w:rPr>
            </w:pPr>
          </w:p>
        </w:tc>
        <w:tc>
          <w:tcPr>
            <w:tcW w:w="2835" w:type="dxa"/>
            <w:vMerge/>
            <w:tcBorders>
              <w:left w:val="single" w:sz="6" w:space="0" w:color="auto"/>
              <w:bottom w:val="single" w:sz="6" w:space="0" w:color="auto"/>
              <w:right w:val="single" w:sz="6" w:space="0" w:color="auto"/>
            </w:tcBorders>
            <w:shd w:val="clear" w:color="00FFFF" w:fill="C6D9F1" w:themeFill="text2" w:themeFillTint="33"/>
          </w:tcPr>
          <w:p w:rsidR="003A5BA5" w:rsidRPr="007E0AF4" w:rsidRDefault="003A5BA5" w:rsidP="001E6C97">
            <w:pPr>
              <w:autoSpaceDE w:val="0"/>
              <w:autoSpaceDN w:val="0"/>
              <w:adjustRightInd w:val="0"/>
              <w:rPr>
                <w:rFonts w:eastAsia="Calibri"/>
                <w:b/>
                <w:color w:val="000000"/>
                <w:sz w:val="22"/>
              </w:rPr>
            </w:pPr>
          </w:p>
        </w:tc>
        <w:tc>
          <w:tcPr>
            <w:tcW w:w="1417" w:type="dxa"/>
            <w:tcBorders>
              <w:top w:val="single" w:sz="6" w:space="0" w:color="auto"/>
              <w:left w:val="single" w:sz="6" w:space="0" w:color="auto"/>
              <w:bottom w:val="single" w:sz="6" w:space="0" w:color="auto"/>
              <w:right w:val="single" w:sz="6" w:space="0" w:color="auto"/>
            </w:tcBorders>
          </w:tcPr>
          <w:p w:rsidR="003A5BA5" w:rsidRPr="007E0AF4" w:rsidRDefault="003A5BA5" w:rsidP="001E6C97">
            <w:pPr>
              <w:autoSpaceDE w:val="0"/>
              <w:autoSpaceDN w:val="0"/>
              <w:adjustRightInd w:val="0"/>
              <w:jc w:val="center"/>
              <w:rPr>
                <w:rFonts w:eastAsia="Calibri"/>
                <w:color w:val="000000"/>
                <w:sz w:val="22"/>
              </w:rPr>
            </w:pPr>
            <w:r w:rsidRPr="007E0AF4">
              <w:rPr>
                <w:sz w:val="22"/>
              </w:rPr>
              <w:t xml:space="preserve">7560,0 </w:t>
            </w:r>
          </w:p>
        </w:tc>
        <w:tc>
          <w:tcPr>
            <w:tcW w:w="1134" w:type="dxa"/>
            <w:tcBorders>
              <w:top w:val="single" w:sz="4" w:space="0" w:color="auto"/>
              <w:left w:val="single" w:sz="6" w:space="0" w:color="auto"/>
              <w:bottom w:val="single" w:sz="6" w:space="0" w:color="auto"/>
              <w:right w:val="single" w:sz="6" w:space="0" w:color="auto"/>
            </w:tcBorders>
          </w:tcPr>
          <w:p w:rsidR="003A5BA5" w:rsidRPr="007E0AF4" w:rsidRDefault="003A5BA5" w:rsidP="001E6C97">
            <w:pPr>
              <w:autoSpaceDE w:val="0"/>
              <w:autoSpaceDN w:val="0"/>
              <w:adjustRightInd w:val="0"/>
              <w:rPr>
                <w:rFonts w:eastAsia="Calibri"/>
                <w:color w:val="000000"/>
                <w:sz w:val="22"/>
              </w:rPr>
            </w:pPr>
          </w:p>
        </w:tc>
        <w:tc>
          <w:tcPr>
            <w:tcW w:w="993" w:type="dxa"/>
            <w:tcBorders>
              <w:top w:val="single" w:sz="4" w:space="0" w:color="auto"/>
              <w:left w:val="single" w:sz="6" w:space="0" w:color="auto"/>
              <w:bottom w:val="single" w:sz="6" w:space="0" w:color="auto"/>
              <w:right w:val="single" w:sz="6" w:space="0" w:color="auto"/>
            </w:tcBorders>
          </w:tcPr>
          <w:p w:rsidR="003A5BA5" w:rsidRPr="007E0AF4" w:rsidRDefault="003A5BA5" w:rsidP="001E6C97">
            <w:pPr>
              <w:autoSpaceDE w:val="0"/>
              <w:autoSpaceDN w:val="0"/>
              <w:adjustRightInd w:val="0"/>
              <w:rPr>
                <w:rFonts w:eastAsia="Calibri"/>
                <w:color w:val="000000"/>
                <w:sz w:val="22"/>
              </w:rPr>
            </w:pPr>
            <w:r w:rsidRPr="007E0AF4">
              <w:rPr>
                <w:rFonts w:eastAsia="Calibri"/>
                <w:color w:val="000000"/>
                <w:sz w:val="22"/>
              </w:rPr>
              <w:t>3240,0</w:t>
            </w:r>
          </w:p>
        </w:tc>
        <w:tc>
          <w:tcPr>
            <w:tcW w:w="2551" w:type="dxa"/>
            <w:gridSpan w:val="3"/>
            <w:tcBorders>
              <w:top w:val="single" w:sz="4" w:space="0" w:color="auto"/>
              <w:left w:val="single" w:sz="6" w:space="0" w:color="auto"/>
              <w:bottom w:val="single" w:sz="6" w:space="0" w:color="auto"/>
              <w:right w:val="single" w:sz="6" w:space="0" w:color="auto"/>
            </w:tcBorders>
          </w:tcPr>
          <w:p w:rsidR="003A5BA5" w:rsidRPr="007E0AF4" w:rsidRDefault="003A5BA5" w:rsidP="001E6C97">
            <w:pPr>
              <w:autoSpaceDE w:val="0"/>
              <w:autoSpaceDN w:val="0"/>
              <w:adjustRightInd w:val="0"/>
              <w:rPr>
                <w:rFonts w:eastAsia="Calibri"/>
                <w:color w:val="000000"/>
                <w:sz w:val="22"/>
              </w:rPr>
            </w:pPr>
            <w:r w:rsidRPr="007E0AF4">
              <w:rPr>
                <w:sz w:val="22"/>
              </w:rPr>
              <w:t>Міжнародні інвестиції, кошти приватних осіб</w:t>
            </w:r>
          </w:p>
        </w:tc>
        <w:tc>
          <w:tcPr>
            <w:tcW w:w="851" w:type="dxa"/>
            <w:tcBorders>
              <w:top w:val="single" w:sz="4" w:space="0" w:color="auto"/>
              <w:left w:val="single" w:sz="6" w:space="0" w:color="auto"/>
              <w:bottom w:val="single" w:sz="6" w:space="0" w:color="auto"/>
              <w:right w:val="single" w:sz="6" w:space="0" w:color="auto"/>
            </w:tcBorders>
          </w:tcPr>
          <w:p w:rsidR="003A5BA5" w:rsidRPr="007E0AF4" w:rsidRDefault="003A5BA5" w:rsidP="001E6C97">
            <w:pPr>
              <w:autoSpaceDE w:val="0"/>
              <w:autoSpaceDN w:val="0"/>
              <w:adjustRightInd w:val="0"/>
              <w:jc w:val="center"/>
              <w:rPr>
                <w:rFonts w:eastAsia="Calibri"/>
                <w:color w:val="000000"/>
                <w:sz w:val="22"/>
              </w:rPr>
            </w:pPr>
            <w:r w:rsidRPr="007E0AF4">
              <w:rPr>
                <w:sz w:val="22"/>
              </w:rPr>
              <w:t xml:space="preserve">10 800,0 </w:t>
            </w:r>
          </w:p>
        </w:tc>
      </w:tr>
    </w:tbl>
    <w:p w:rsidR="003A5BA5" w:rsidRPr="007E0AF4" w:rsidRDefault="003A5BA5" w:rsidP="00E95FB1">
      <w:pPr>
        <w:rPr>
          <w:sz w:val="22"/>
        </w:rPr>
      </w:pPr>
    </w:p>
    <w:p w:rsidR="0051104F" w:rsidRPr="007E0AF4" w:rsidRDefault="0051104F" w:rsidP="00E95FB1">
      <w:pPr>
        <w:rPr>
          <w:sz w:val="22"/>
        </w:rPr>
      </w:pPr>
    </w:p>
    <w:tbl>
      <w:tblPr>
        <w:tblpPr w:leftFromText="180" w:rightFromText="180" w:vertAnchor="text" w:horzAnchor="margin" w:tblpX="-224" w:tblpY="213"/>
        <w:tblW w:w="9811" w:type="dxa"/>
        <w:tblLayout w:type="fixed"/>
        <w:tblCellMar>
          <w:left w:w="30" w:type="dxa"/>
          <w:right w:w="30" w:type="dxa"/>
        </w:tblCellMar>
        <w:tblLook w:val="0000" w:firstRow="0" w:lastRow="0" w:firstColumn="0" w:lastColumn="0" w:noHBand="0" w:noVBand="0"/>
      </w:tblPr>
      <w:tblGrid>
        <w:gridCol w:w="2865"/>
        <w:gridCol w:w="1624"/>
        <w:gridCol w:w="1475"/>
        <w:gridCol w:w="739"/>
        <w:gridCol w:w="295"/>
        <w:gridCol w:w="1472"/>
        <w:gridCol w:w="294"/>
        <w:gridCol w:w="1047"/>
      </w:tblGrid>
      <w:tr w:rsidR="00CD602B" w:rsidRPr="007E0AF4" w:rsidTr="00CD602B">
        <w:trPr>
          <w:trHeight w:val="529"/>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D602B" w:rsidRPr="007E0AF4" w:rsidRDefault="00CD602B" w:rsidP="00CD602B">
            <w:pPr>
              <w:autoSpaceDE w:val="0"/>
              <w:autoSpaceDN w:val="0"/>
              <w:adjustRightInd w:val="0"/>
              <w:rPr>
                <w:rFonts w:eastAsia="Calibri"/>
                <w:b/>
                <w:color w:val="000000"/>
                <w:sz w:val="22"/>
              </w:rPr>
            </w:pPr>
            <w:r w:rsidRPr="007E0AF4">
              <w:rPr>
                <w:rFonts w:eastAsia="Calibri"/>
                <w:b/>
                <w:color w:val="000000"/>
                <w:sz w:val="22"/>
              </w:rPr>
              <w:t>Оперативна ціль/завдання</w:t>
            </w:r>
          </w:p>
        </w:tc>
        <w:tc>
          <w:tcPr>
            <w:tcW w:w="6946" w:type="dxa"/>
            <w:gridSpan w:val="7"/>
            <w:tcBorders>
              <w:top w:val="single" w:sz="6" w:space="0" w:color="auto"/>
              <w:left w:val="single" w:sz="6" w:space="0" w:color="auto"/>
              <w:bottom w:val="single" w:sz="6" w:space="0" w:color="auto"/>
              <w:right w:val="single" w:sz="6" w:space="0" w:color="auto"/>
            </w:tcBorders>
          </w:tcPr>
          <w:p w:rsidR="00CD602B" w:rsidRPr="007E0AF4" w:rsidRDefault="00CD602B" w:rsidP="00CD602B">
            <w:pPr>
              <w:pStyle w:val="a7"/>
              <w:ind w:left="0"/>
              <w:rPr>
                <w:sz w:val="22"/>
              </w:rPr>
            </w:pPr>
            <w:r w:rsidRPr="007E0AF4">
              <w:rPr>
                <w:rFonts w:eastAsia="Arial"/>
                <w:sz w:val="22"/>
              </w:rPr>
              <w:t xml:space="preserve">Людський розвиток через інновації управління та довіру до влади. Формування сучасного інклюзивного  </w:t>
            </w:r>
            <w:proofErr w:type="spellStart"/>
            <w:r w:rsidRPr="007E0AF4">
              <w:rPr>
                <w:rFonts w:eastAsia="Arial"/>
                <w:sz w:val="22"/>
              </w:rPr>
              <w:t>освітньо</w:t>
            </w:r>
            <w:proofErr w:type="spellEnd"/>
            <w:r w:rsidRPr="007E0AF4">
              <w:rPr>
                <w:rFonts w:eastAsia="Arial"/>
                <w:sz w:val="22"/>
              </w:rPr>
              <w:t>-культурного та спортивного простору для розвитку</w:t>
            </w:r>
          </w:p>
        </w:tc>
      </w:tr>
      <w:tr w:rsidR="00CD602B" w:rsidRPr="007E0AF4" w:rsidTr="00CD602B">
        <w:trPr>
          <w:trHeight w:val="658"/>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D602B" w:rsidRPr="007E0AF4" w:rsidRDefault="00CD602B" w:rsidP="00CD602B">
            <w:pPr>
              <w:autoSpaceDE w:val="0"/>
              <w:autoSpaceDN w:val="0"/>
              <w:adjustRightInd w:val="0"/>
              <w:rPr>
                <w:rFonts w:eastAsia="Calibri"/>
                <w:b/>
                <w:color w:val="000000"/>
                <w:sz w:val="22"/>
              </w:rPr>
            </w:pPr>
            <w:r w:rsidRPr="007E0AF4">
              <w:rPr>
                <w:rFonts w:eastAsia="Calibri"/>
                <w:b/>
                <w:color w:val="000000"/>
                <w:sz w:val="22"/>
              </w:rPr>
              <w:t>Назва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CD602B" w:rsidRPr="007E0AF4" w:rsidRDefault="00CD602B" w:rsidP="00CD602B">
            <w:pPr>
              <w:rPr>
                <w:color w:val="000000"/>
                <w:sz w:val="22"/>
              </w:rPr>
            </w:pPr>
            <w:r w:rsidRPr="007E0AF4">
              <w:rPr>
                <w:color w:val="000000"/>
                <w:sz w:val="22"/>
              </w:rPr>
              <w:t xml:space="preserve">Улаштування захисних споруд, обладнання укриття на випадок НС згідно загальних вимог у  будівлі Гімназії № 18  м. Сєвєродонецька Луганської області, вул. Курчатова, буд. 27-Б необхідним  </w:t>
            </w:r>
          </w:p>
        </w:tc>
      </w:tr>
      <w:tr w:rsidR="00CD602B" w:rsidRPr="007E0AF4" w:rsidTr="00CD602B">
        <w:trPr>
          <w:trHeight w:val="547"/>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D602B" w:rsidRPr="007E0AF4" w:rsidRDefault="00CD602B" w:rsidP="00CD602B">
            <w:pPr>
              <w:autoSpaceDE w:val="0"/>
              <w:autoSpaceDN w:val="0"/>
              <w:adjustRightInd w:val="0"/>
              <w:rPr>
                <w:rFonts w:eastAsia="Calibri"/>
                <w:b/>
                <w:color w:val="000000"/>
                <w:sz w:val="22"/>
              </w:rPr>
            </w:pPr>
            <w:r w:rsidRPr="007E0AF4">
              <w:rPr>
                <w:rFonts w:eastAsia="Calibri"/>
                <w:b/>
                <w:color w:val="000000"/>
                <w:sz w:val="22"/>
              </w:rPr>
              <w:t>Ціль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CD602B" w:rsidRPr="007E0AF4" w:rsidRDefault="00CD602B" w:rsidP="00CD602B">
            <w:pPr>
              <w:rPr>
                <w:color w:val="000000"/>
                <w:sz w:val="22"/>
              </w:rPr>
            </w:pPr>
            <w:r w:rsidRPr="007E0AF4">
              <w:rPr>
                <w:sz w:val="22"/>
              </w:rPr>
              <w:t xml:space="preserve">Відновити та покращити роботу комунальної установи Гімназії № 18 міста Сєвєродонецька Луганської області для надання широкого спектру послуг, пов’язаних із якісною безпечною  освітою та задоволення потреб мешканців Сєвєродонецької міської територіальної громади у необхідних послугах. </w:t>
            </w:r>
            <w:r w:rsidRPr="007E0AF4">
              <w:rPr>
                <w:rFonts w:eastAsia="Arial"/>
                <w:sz w:val="22"/>
              </w:rPr>
              <w:t xml:space="preserve"> </w:t>
            </w:r>
            <w:r w:rsidRPr="007E0AF4">
              <w:rPr>
                <w:color w:val="000000"/>
                <w:sz w:val="22"/>
              </w:rPr>
              <w:t>Забезпечення надійною захисною спорудою учасників освітнього процесу на випадок можливих техногенних ситуацій та у випадку військовий дій.</w:t>
            </w:r>
            <w:r w:rsidRPr="007E0AF4">
              <w:rPr>
                <w:rFonts w:eastAsia="Arial"/>
                <w:sz w:val="22"/>
              </w:rPr>
              <w:t xml:space="preserve"> </w:t>
            </w:r>
          </w:p>
        </w:tc>
      </w:tr>
      <w:tr w:rsidR="00CD602B" w:rsidRPr="007E0AF4" w:rsidTr="00CD602B">
        <w:trPr>
          <w:trHeight w:val="276"/>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D602B" w:rsidRPr="007E0AF4" w:rsidRDefault="00CD602B" w:rsidP="00CD602B">
            <w:pPr>
              <w:autoSpaceDE w:val="0"/>
              <w:autoSpaceDN w:val="0"/>
              <w:adjustRightInd w:val="0"/>
              <w:rPr>
                <w:rFonts w:eastAsia="Calibri"/>
                <w:b/>
                <w:color w:val="000000"/>
                <w:sz w:val="22"/>
              </w:rPr>
            </w:pPr>
            <w:r w:rsidRPr="007E0AF4">
              <w:rPr>
                <w:rFonts w:eastAsia="Calibri"/>
                <w:b/>
                <w:color w:val="000000"/>
                <w:sz w:val="22"/>
              </w:rPr>
              <w:t>Територія, на яку матиме вплив реалізація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CD602B" w:rsidRPr="007E0AF4" w:rsidRDefault="00CD602B" w:rsidP="00CD602B">
            <w:pPr>
              <w:autoSpaceDE w:val="0"/>
              <w:autoSpaceDN w:val="0"/>
              <w:adjustRightInd w:val="0"/>
              <w:rPr>
                <w:rFonts w:eastAsia="Calibri"/>
                <w:color w:val="000000"/>
                <w:sz w:val="22"/>
              </w:rPr>
            </w:pPr>
            <w:r w:rsidRPr="007E0AF4">
              <w:rPr>
                <w:rFonts w:eastAsia="Calibri"/>
                <w:color w:val="000000"/>
                <w:sz w:val="22"/>
              </w:rPr>
              <w:t>Сєвєродонецька міська територіальна громада</w:t>
            </w:r>
          </w:p>
        </w:tc>
      </w:tr>
      <w:tr w:rsidR="00CD602B" w:rsidRPr="007E0AF4" w:rsidTr="00CD602B">
        <w:trPr>
          <w:trHeight w:val="401"/>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D602B" w:rsidRPr="007E0AF4" w:rsidRDefault="00CD602B" w:rsidP="00CD602B">
            <w:pPr>
              <w:autoSpaceDE w:val="0"/>
              <w:autoSpaceDN w:val="0"/>
              <w:adjustRightInd w:val="0"/>
              <w:rPr>
                <w:rFonts w:eastAsia="Calibri"/>
                <w:b/>
                <w:color w:val="000000"/>
                <w:sz w:val="22"/>
              </w:rPr>
            </w:pPr>
            <w:r w:rsidRPr="007E0AF4">
              <w:rPr>
                <w:rFonts w:eastAsia="Calibri"/>
                <w:b/>
                <w:color w:val="000000"/>
                <w:sz w:val="22"/>
              </w:rPr>
              <w:t>Чисельність населення, на яке матиме вплив реалізація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CD602B" w:rsidRPr="007E0AF4" w:rsidRDefault="00CD602B" w:rsidP="00CD602B">
            <w:pPr>
              <w:autoSpaceDE w:val="0"/>
              <w:autoSpaceDN w:val="0"/>
              <w:adjustRightInd w:val="0"/>
              <w:rPr>
                <w:rFonts w:eastAsia="Calibri"/>
                <w:color w:val="000000"/>
                <w:sz w:val="22"/>
              </w:rPr>
            </w:pPr>
            <w:r w:rsidRPr="007E0AF4">
              <w:rPr>
                <w:sz w:val="22"/>
              </w:rPr>
              <w:t>70 000  осіб</w:t>
            </w:r>
          </w:p>
        </w:tc>
      </w:tr>
      <w:tr w:rsidR="00CD602B" w:rsidRPr="007E0AF4" w:rsidTr="00CD602B">
        <w:trPr>
          <w:trHeight w:val="827"/>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D602B" w:rsidRPr="007E0AF4" w:rsidRDefault="00CD602B" w:rsidP="00CD602B">
            <w:pPr>
              <w:autoSpaceDE w:val="0"/>
              <w:autoSpaceDN w:val="0"/>
              <w:adjustRightInd w:val="0"/>
              <w:rPr>
                <w:rFonts w:eastAsia="Calibri"/>
                <w:b/>
                <w:color w:val="000000"/>
                <w:sz w:val="22"/>
              </w:rPr>
            </w:pPr>
            <w:r w:rsidRPr="007E0AF4">
              <w:rPr>
                <w:rFonts w:eastAsia="Calibri"/>
                <w:b/>
                <w:color w:val="000000"/>
                <w:sz w:val="22"/>
              </w:rPr>
              <w:t>Опис проблеми, на вирішення якої спрямований проект</w:t>
            </w:r>
          </w:p>
        </w:tc>
        <w:tc>
          <w:tcPr>
            <w:tcW w:w="6946" w:type="dxa"/>
            <w:gridSpan w:val="7"/>
            <w:tcBorders>
              <w:top w:val="single" w:sz="6" w:space="0" w:color="auto"/>
              <w:left w:val="single" w:sz="6" w:space="0" w:color="auto"/>
              <w:bottom w:val="single" w:sz="6" w:space="0" w:color="auto"/>
              <w:right w:val="single" w:sz="6" w:space="0" w:color="auto"/>
            </w:tcBorders>
          </w:tcPr>
          <w:p w:rsidR="00CD602B" w:rsidRPr="007E0AF4" w:rsidRDefault="00CD602B" w:rsidP="00CD602B">
            <w:pPr>
              <w:ind w:firstLine="708"/>
              <w:rPr>
                <w:sz w:val="22"/>
              </w:rPr>
            </w:pPr>
            <w:r w:rsidRPr="007E0AF4">
              <w:rPr>
                <w:sz w:val="22"/>
              </w:rPr>
              <w:t xml:space="preserve">Через військову агресію РФ територія Сєвєродонецької міської територіальної громади зазнала значних пошкоджень. Не оминуло це і комунальну установу, Гімназію № 18, вул. Курчатова 27-Б. Нагальна </w:t>
            </w:r>
            <w:r w:rsidRPr="007E0AF4">
              <w:rPr>
                <w:sz w:val="22"/>
              </w:rPr>
              <w:lastRenderedPageBreak/>
              <w:t xml:space="preserve">потреба - </w:t>
            </w:r>
            <w:r w:rsidRPr="007E0AF4">
              <w:rPr>
                <w:color w:val="000000"/>
                <w:sz w:val="22"/>
              </w:rPr>
              <w:t xml:space="preserve"> створення і забезпечення надійності захисної споруди для учасників освітнього процесу на випадок можливих техногенних ситуацій та у випадку військових дій. Потрібний ремонт системи вентиляції,  санвузлів, тепло-, водопостачання, електропостачання, укріплення стін, дверей, підведення </w:t>
            </w:r>
            <w:r w:rsidRPr="007E0AF4">
              <w:rPr>
                <w:color w:val="000000"/>
                <w:sz w:val="22"/>
                <w:lang w:val="en-US"/>
              </w:rPr>
              <w:t>WI</w:t>
            </w:r>
            <w:r w:rsidRPr="007E0AF4">
              <w:rPr>
                <w:color w:val="000000"/>
                <w:sz w:val="22"/>
              </w:rPr>
              <w:t>-</w:t>
            </w:r>
            <w:r w:rsidRPr="007E0AF4">
              <w:rPr>
                <w:color w:val="000000"/>
                <w:sz w:val="22"/>
                <w:lang w:val="en-US"/>
              </w:rPr>
              <w:t>FI</w:t>
            </w:r>
            <w:r w:rsidRPr="007E0AF4">
              <w:rPr>
                <w:color w:val="000000"/>
                <w:sz w:val="22"/>
              </w:rPr>
              <w:t xml:space="preserve">, </w:t>
            </w:r>
            <w:r w:rsidRPr="007E0AF4">
              <w:rPr>
                <w:sz w:val="22"/>
              </w:rPr>
              <w:t>облаштування приміщень укриття відповідно до чинних державних вимог (огороджувальних конструкцій, гідроізоляції, захисних пристроїв, надійну герметичність, справне спеціальне обладнання та усе необхідне для життєзабезпечення, належний протипожежний та санітарний стан приміщень захисних споруд)</w:t>
            </w:r>
          </w:p>
          <w:p w:rsidR="00CD602B" w:rsidRPr="007E0AF4" w:rsidRDefault="00CD602B" w:rsidP="00CD602B">
            <w:pPr>
              <w:autoSpaceDE w:val="0"/>
              <w:autoSpaceDN w:val="0"/>
              <w:adjustRightInd w:val="0"/>
              <w:rPr>
                <w:rFonts w:eastAsia="Calibri"/>
                <w:color w:val="000000"/>
                <w:sz w:val="22"/>
              </w:rPr>
            </w:pPr>
            <w:r w:rsidRPr="007E0AF4">
              <w:rPr>
                <w:rFonts w:eastAsia="Arial"/>
                <w:sz w:val="22"/>
              </w:rPr>
              <w:t xml:space="preserve">            Для відбудови та сталого розвитку громади потрібне відновлення роботи закладу із безпечним освітнім середовищем. Мешканці громади мають потребу в отриманні якісних освітніх послуг, які відповідають нормам сучасності.</w:t>
            </w:r>
          </w:p>
        </w:tc>
      </w:tr>
      <w:tr w:rsidR="00CD602B" w:rsidRPr="007E0AF4" w:rsidTr="00CD602B">
        <w:trPr>
          <w:trHeight w:val="514"/>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D602B" w:rsidRPr="007E0AF4" w:rsidRDefault="00CD602B" w:rsidP="00CD602B">
            <w:pPr>
              <w:autoSpaceDE w:val="0"/>
              <w:autoSpaceDN w:val="0"/>
              <w:adjustRightInd w:val="0"/>
              <w:rPr>
                <w:rFonts w:eastAsia="Calibri"/>
                <w:b/>
                <w:color w:val="000000"/>
                <w:sz w:val="22"/>
              </w:rPr>
            </w:pPr>
            <w:r w:rsidRPr="007E0AF4">
              <w:rPr>
                <w:rFonts w:eastAsia="Calibri"/>
                <w:b/>
                <w:color w:val="000000"/>
                <w:sz w:val="22"/>
              </w:rPr>
              <w:lastRenderedPageBreak/>
              <w:t>Очікувані якісні результати від реалізації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CD602B" w:rsidRPr="007E0AF4" w:rsidRDefault="00CD602B" w:rsidP="00CD602B">
            <w:pPr>
              <w:pStyle w:val="a7"/>
              <w:ind w:left="0"/>
              <w:rPr>
                <w:sz w:val="22"/>
              </w:rPr>
            </w:pPr>
            <w:r w:rsidRPr="007E0AF4">
              <w:rPr>
                <w:sz w:val="22"/>
              </w:rPr>
              <w:t xml:space="preserve">- </w:t>
            </w:r>
            <w:r w:rsidRPr="007E0AF4">
              <w:rPr>
                <w:rFonts w:eastAsia="Calibri"/>
                <w:color w:val="000000"/>
                <w:sz w:val="22"/>
              </w:rPr>
              <w:t>заклад освіти приведено у робочий стан, відновлено освітній процес в умовах сучасного безпечного освітнього середовища;</w:t>
            </w:r>
          </w:p>
          <w:p w:rsidR="00CD602B" w:rsidRPr="007E0AF4" w:rsidRDefault="00CD602B" w:rsidP="00CD602B">
            <w:pPr>
              <w:pStyle w:val="a7"/>
              <w:ind w:left="0"/>
              <w:rPr>
                <w:sz w:val="22"/>
              </w:rPr>
            </w:pPr>
            <w:r w:rsidRPr="007E0AF4">
              <w:rPr>
                <w:sz w:val="22"/>
              </w:rPr>
              <w:t>- населення забезпечено можливостями для реалізації його конституційних прав на безпеку;</w:t>
            </w:r>
          </w:p>
          <w:p w:rsidR="00CD602B" w:rsidRPr="007E0AF4" w:rsidRDefault="00CD602B" w:rsidP="00CD602B">
            <w:pPr>
              <w:pStyle w:val="a7"/>
              <w:ind w:left="0"/>
              <w:rPr>
                <w:sz w:val="22"/>
              </w:rPr>
            </w:pPr>
            <w:r w:rsidRPr="007E0AF4">
              <w:rPr>
                <w:sz w:val="22"/>
              </w:rPr>
              <w:t>- 1000 учасників освітньої діяльності мають належний стан огороджувальних конструкцій, гідроізоляції, захисних пристроїв, надійну герметичність, справне спеціальне обладнання та усе необхідне для життєзабезпечення, належний протипожежний та санітарний стан приміщень захисних споруд;</w:t>
            </w:r>
          </w:p>
          <w:p w:rsidR="00CD602B" w:rsidRPr="007E0AF4" w:rsidRDefault="00CD602B" w:rsidP="00CD602B">
            <w:pPr>
              <w:pStyle w:val="a7"/>
              <w:ind w:left="0"/>
              <w:rPr>
                <w:sz w:val="22"/>
              </w:rPr>
            </w:pPr>
            <w:r w:rsidRPr="007E0AF4">
              <w:rPr>
                <w:sz w:val="22"/>
              </w:rPr>
              <w:t>- вирішено ряд питань в межах статутної діяльності, пов’язаних із відбудовою та сталим розвитком громади;</w:t>
            </w:r>
          </w:p>
          <w:p w:rsidR="00CD602B" w:rsidRPr="007E0AF4" w:rsidRDefault="00CD602B" w:rsidP="00CD602B">
            <w:pPr>
              <w:pStyle w:val="a7"/>
              <w:ind w:left="0"/>
              <w:rPr>
                <w:sz w:val="22"/>
              </w:rPr>
            </w:pPr>
            <w:r w:rsidRPr="007E0AF4">
              <w:rPr>
                <w:sz w:val="22"/>
              </w:rPr>
              <w:t>- забезпечено стимул щодо повернення ВПО до громади,</w:t>
            </w:r>
          </w:p>
          <w:p w:rsidR="00CD602B" w:rsidRPr="007E0AF4" w:rsidRDefault="00CD602B" w:rsidP="00CD602B">
            <w:pPr>
              <w:pStyle w:val="a7"/>
              <w:ind w:left="0"/>
              <w:rPr>
                <w:rFonts w:eastAsia="Calibri"/>
                <w:color w:val="000000"/>
                <w:sz w:val="22"/>
              </w:rPr>
            </w:pPr>
            <w:r w:rsidRPr="007E0AF4">
              <w:rPr>
                <w:sz w:val="22"/>
              </w:rPr>
              <w:t>- сформовано безпечні санітарно-гігієнічні умови для перебування учнів, вчителів та персоналу Гімназії № 18 в укритті.</w:t>
            </w:r>
          </w:p>
        </w:tc>
      </w:tr>
      <w:tr w:rsidR="00CD602B" w:rsidRPr="007E0AF4" w:rsidTr="00CD602B">
        <w:trPr>
          <w:trHeight w:val="553"/>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D602B" w:rsidRPr="007E0AF4" w:rsidRDefault="00CD602B" w:rsidP="00CD602B">
            <w:pPr>
              <w:autoSpaceDE w:val="0"/>
              <w:autoSpaceDN w:val="0"/>
              <w:adjustRightInd w:val="0"/>
              <w:rPr>
                <w:rFonts w:eastAsia="Calibri"/>
                <w:b/>
                <w:color w:val="000000"/>
                <w:sz w:val="22"/>
              </w:rPr>
            </w:pPr>
            <w:r w:rsidRPr="007E0AF4">
              <w:rPr>
                <w:rFonts w:eastAsia="Calibri"/>
                <w:b/>
                <w:color w:val="000000"/>
                <w:sz w:val="22"/>
              </w:rPr>
              <w:t>Очікувані кількісні результати від реалізації проекту  (індикатори)</w:t>
            </w:r>
          </w:p>
        </w:tc>
        <w:tc>
          <w:tcPr>
            <w:tcW w:w="3838" w:type="dxa"/>
            <w:gridSpan w:val="3"/>
            <w:tcBorders>
              <w:top w:val="single" w:sz="6" w:space="0" w:color="auto"/>
              <w:left w:val="single" w:sz="6" w:space="0" w:color="auto"/>
              <w:bottom w:val="single" w:sz="6" w:space="0" w:color="auto"/>
              <w:right w:val="single" w:sz="6" w:space="0" w:color="auto"/>
            </w:tcBorders>
          </w:tcPr>
          <w:p w:rsidR="00CD602B" w:rsidRPr="007E0AF4" w:rsidRDefault="00CD602B" w:rsidP="00CD602B">
            <w:pPr>
              <w:autoSpaceDE w:val="0"/>
              <w:autoSpaceDN w:val="0"/>
              <w:adjustRightInd w:val="0"/>
              <w:rPr>
                <w:rFonts w:eastAsia="Calibri"/>
                <w:b/>
                <w:color w:val="000000"/>
                <w:sz w:val="22"/>
              </w:rPr>
            </w:pPr>
            <w:r w:rsidRPr="007E0AF4">
              <w:rPr>
                <w:rFonts w:eastAsia="Calibri"/>
                <w:b/>
                <w:color w:val="000000"/>
                <w:sz w:val="22"/>
              </w:rPr>
              <w:t>Найменування показника</w:t>
            </w:r>
          </w:p>
        </w:tc>
        <w:tc>
          <w:tcPr>
            <w:tcW w:w="1767" w:type="dxa"/>
            <w:gridSpan w:val="2"/>
            <w:tcBorders>
              <w:top w:val="single" w:sz="6" w:space="0" w:color="auto"/>
              <w:left w:val="single" w:sz="6" w:space="0" w:color="auto"/>
              <w:bottom w:val="single" w:sz="6" w:space="0" w:color="auto"/>
              <w:right w:val="single" w:sz="6" w:space="0" w:color="auto"/>
            </w:tcBorders>
          </w:tcPr>
          <w:p w:rsidR="00CD602B" w:rsidRPr="007E0AF4" w:rsidRDefault="00CD602B" w:rsidP="00CD602B">
            <w:pPr>
              <w:autoSpaceDE w:val="0"/>
              <w:autoSpaceDN w:val="0"/>
              <w:adjustRightInd w:val="0"/>
              <w:rPr>
                <w:rFonts w:eastAsia="Calibri"/>
                <w:b/>
                <w:color w:val="000000"/>
                <w:sz w:val="22"/>
              </w:rPr>
            </w:pPr>
            <w:r w:rsidRPr="007E0AF4">
              <w:rPr>
                <w:rFonts w:eastAsia="Calibri"/>
                <w:b/>
                <w:color w:val="000000"/>
                <w:sz w:val="22"/>
              </w:rPr>
              <w:t>Одиниця вимірювання</w:t>
            </w:r>
          </w:p>
        </w:tc>
        <w:tc>
          <w:tcPr>
            <w:tcW w:w="1341" w:type="dxa"/>
            <w:gridSpan w:val="2"/>
            <w:tcBorders>
              <w:top w:val="single" w:sz="6" w:space="0" w:color="auto"/>
              <w:left w:val="single" w:sz="6" w:space="0" w:color="auto"/>
              <w:bottom w:val="single" w:sz="6" w:space="0" w:color="auto"/>
              <w:right w:val="single" w:sz="6" w:space="0" w:color="auto"/>
            </w:tcBorders>
          </w:tcPr>
          <w:p w:rsidR="00CD602B" w:rsidRPr="007E0AF4" w:rsidRDefault="00CD602B" w:rsidP="00CD602B">
            <w:pPr>
              <w:autoSpaceDE w:val="0"/>
              <w:autoSpaceDN w:val="0"/>
              <w:adjustRightInd w:val="0"/>
              <w:rPr>
                <w:rFonts w:eastAsia="Calibri"/>
                <w:b/>
                <w:color w:val="000000"/>
                <w:sz w:val="22"/>
              </w:rPr>
            </w:pPr>
            <w:r w:rsidRPr="007E0AF4">
              <w:rPr>
                <w:rFonts w:eastAsia="Calibri"/>
                <w:b/>
                <w:color w:val="000000"/>
                <w:sz w:val="22"/>
              </w:rPr>
              <w:t>Прогнозне (цільове) значення</w:t>
            </w:r>
          </w:p>
        </w:tc>
      </w:tr>
      <w:tr w:rsidR="00CD602B" w:rsidRPr="007E0AF4" w:rsidTr="00CD602B">
        <w:trPr>
          <w:trHeight w:val="886"/>
        </w:trPr>
        <w:tc>
          <w:tcPr>
            <w:tcW w:w="2865" w:type="dxa"/>
            <w:vMerge w:val="restart"/>
            <w:tcBorders>
              <w:top w:val="single" w:sz="6" w:space="0" w:color="auto"/>
              <w:left w:val="single" w:sz="6" w:space="0" w:color="auto"/>
              <w:right w:val="single" w:sz="6" w:space="0" w:color="auto"/>
            </w:tcBorders>
            <w:shd w:val="clear" w:color="00FFFF" w:fill="C6D9F1" w:themeFill="text2" w:themeFillTint="33"/>
          </w:tcPr>
          <w:p w:rsidR="00CD602B" w:rsidRPr="007E0AF4" w:rsidRDefault="00CD602B" w:rsidP="00CD602B">
            <w:pPr>
              <w:autoSpaceDE w:val="0"/>
              <w:autoSpaceDN w:val="0"/>
              <w:adjustRightInd w:val="0"/>
              <w:rPr>
                <w:rFonts w:eastAsia="Calibri"/>
                <w:b/>
                <w:color w:val="000000"/>
                <w:sz w:val="22"/>
              </w:rPr>
            </w:pPr>
          </w:p>
        </w:tc>
        <w:tc>
          <w:tcPr>
            <w:tcW w:w="3838" w:type="dxa"/>
            <w:gridSpan w:val="3"/>
            <w:tcBorders>
              <w:top w:val="single" w:sz="6" w:space="0" w:color="auto"/>
              <w:left w:val="single" w:sz="6" w:space="0" w:color="auto"/>
              <w:bottom w:val="single" w:sz="6" w:space="0" w:color="auto"/>
              <w:right w:val="single" w:sz="6" w:space="0" w:color="auto"/>
            </w:tcBorders>
          </w:tcPr>
          <w:p w:rsidR="00CD602B" w:rsidRPr="007E0AF4" w:rsidRDefault="00CD602B" w:rsidP="003470AC">
            <w:pPr>
              <w:autoSpaceDE w:val="0"/>
              <w:autoSpaceDN w:val="0"/>
              <w:adjustRightInd w:val="0"/>
              <w:rPr>
                <w:rFonts w:eastAsia="Calibri"/>
                <w:color w:val="000000"/>
                <w:sz w:val="22"/>
              </w:rPr>
            </w:pPr>
            <w:r w:rsidRPr="007E0AF4">
              <w:rPr>
                <w:sz w:val="22"/>
              </w:rPr>
              <w:t>Кількість фізичних осіб, які звернулись за послугами протягом  року</w:t>
            </w:r>
          </w:p>
        </w:tc>
        <w:tc>
          <w:tcPr>
            <w:tcW w:w="1767" w:type="dxa"/>
            <w:gridSpan w:val="2"/>
            <w:tcBorders>
              <w:top w:val="single" w:sz="6" w:space="0" w:color="auto"/>
              <w:left w:val="single" w:sz="6" w:space="0" w:color="auto"/>
              <w:bottom w:val="single" w:sz="6" w:space="0" w:color="auto"/>
              <w:right w:val="single" w:sz="6" w:space="0" w:color="auto"/>
            </w:tcBorders>
          </w:tcPr>
          <w:p w:rsidR="00CD602B" w:rsidRPr="007E0AF4" w:rsidRDefault="00CD602B" w:rsidP="00CD602B">
            <w:pPr>
              <w:autoSpaceDE w:val="0"/>
              <w:autoSpaceDN w:val="0"/>
              <w:adjustRightInd w:val="0"/>
              <w:rPr>
                <w:rFonts w:eastAsia="Calibri"/>
                <w:color w:val="000000"/>
                <w:sz w:val="22"/>
              </w:rPr>
            </w:pPr>
            <w:r w:rsidRPr="007E0AF4">
              <w:rPr>
                <w:rFonts w:eastAsia="Calibri"/>
                <w:color w:val="000000"/>
                <w:sz w:val="22"/>
              </w:rPr>
              <w:t>осіб</w:t>
            </w:r>
          </w:p>
        </w:tc>
        <w:tc>
          <w:tcPr>
            <w:tcW w:w="1341" w:type="dxa"/>
            <w:gridSpan w:val="2"/>
            <w:tcBorders>
              <w:top w:val="single" w:sz="6" w:space="0" w:color="auto"/>
              <w:left w:val="single" w:sz="6" w:space="0" w:color="auto"/>
              <w:bottom w:val="single" w:sz="6" w:space="0" w:color="auto"/>
              <w:right w:val="single" w:sz="6" w:space="0" w:color="auto"/>
            </w:tcBorders>
          </w:tcPr>
          <w:p w:rsidR="00CD602B" w:rsidRPr="007E0AF4" w:rsidRDefault="00CD602B" w:rsidP="00CD602B">
            <w:pPr>
              <w:autoSpaceDE w:val="0"/>
              <w:autoSpaceDN w:val="0"/>
              <w:adjustRightInd w:val="0"/>
              <w:rPr>
                <w:rFonts w:eastAsia="Calibri"/>
                <w:color w:val="000000"/>
                <w:sz w:val="22"/>
              </w:rPr>
            </w:pPr>
            <w:r w:rsidRPr="007E0AF4">
              <w:rPr>
                <w:rFonts w:eastAsia="Calibri"/>
                <w:color w:val="000000"/>
                <w:sz w:val="22"/>
              </w:rPr>
              <w:t xml:space="preserve">1000 </w:t>
            </w:r>
          </w:p>
        </w:tc>
      </w:tr>
      <w:tr w:rsidR="00CD602B" w:rsidRPr="007E0AF4" w:rsidTr="00CD602B">
        <w:trPr>
          <w:trHeight w:val="842"/>
        </w:trPr>
        <w:tc>
          <w:tcPr>
            <w:tcW w:w="2865" w:type="dxa"/>
            <w:vMerge/>
            <w:tcBorders>
              <w:left w:val="single" w:sz="6" w:space="0" w:color="auto"/>
              <w:right w:val="single" w:sz="6" w:space="0" w:color="auto"/>
            </w:tcBorders>
            <w:shd w:val="clear" w:color="00FFFF" w:fill="C6D9F1" w:themeFill="text2" w:themeFillTint="33"/>
          </w:tcPr>
          <w:p w:rsidR="00CD602B" w:rsidRPr="007E0AF4" w:rsidRDefault="00CD602B" w:rsidP="00CD602B">
            <w:pPr>
              <w:autoSpaceDE w:val="0"/>
              <w:autoSpaceDN w:val="0"/>
              <w:adjustRightInd w:val="0"/>
              <w:rPr>
                <w:rFonts w:eastAsia="Calibri"/>
                <w:b/>
                <w:color w:val="000000"/>
                <w:sz w:val="22"/>
              </w:rPr>
            </w:pPr>
          </w:p>
        </w:tc>
        <w:tc>
          <w:tcPr>
            <w:tcW w:w="3838" w:type="dxa"/>
            <w:gridSpan w:val="3"/>
            <w:tcBorders>
              <w:top w:val="single" w:sz="6" w:space="0" w:color="auto"/>
              <w:left w:val="single" w:sz="6" w:space="0" w:color="auto"/>
              <w:bottom w:val="single" w:sz="6" w:space="0" w:color="auto"/>
              <w:right w:val="single" w:sz="6" w:space="0" w:color="auto"/>
            </w:tcBorders>
          </w:tcPr>
          <w:p w:rsidR="00CD602B" w:rsidRPr="007E0AF4" w:rsidRDefault="00CD602B" w:rsidP="003470AC">
            <w:pPr>
              <w:autoSpaceDE w:val="0"/>
              <w:autoSpaceDN w:val="0"/>
              <w:adjustRightInd w:val="0"/>
              <w:rPr>
                <w:sz w:val="22"/>
              </w:rPr>
            </w:pPr>
            <w:r w:rsidRPr="007E0AF4">
              <w:rPr>
                <w:sz w:val="22"/>
              </w:rPr>
              <w:t>Кількість видів та типів послуг</w:t>
            </w:r>
            <w:r w:rsidR="003470AC" w:rsidRPr="007E0AF4">
              <w:rPr>
                <w:sz w:val="22"/>
                <w:lang w:val="ru-RU"/>
              </w:rPr>
              <w:t>,</w:t>
            </w:r>
            <w:r w:rsidRPr="007E0AF4">
              <w:rPr>
                <w:sz w:val="22"/>
              </w:rPr>
              <w:t xml:space="preserve"> наданих протягом одного робочого дня</w:t>
            </w:r>
          </w:p>
        </w:tc>
        <w:tc>
          <w:tcPr>
            <w:tcW w:w="1767" w:type="dxa"/>
            <w:gridSpan w:val="2"/>
            <w:tcBorders>
              <w:top w:val="single" w:sz="6" w:space="0" w:color="auto"/>
              <w:left w:val="single" w:sz="6" w:space="0" w:color="auto"/>
              <w:bottom w:val="single" w:sz="6" w:space="0" w:color="auto"/>
              <w:right w:val="single" w:sz="6" w:space="0" w:color="auto"/>
            </w:tcBorders>
          </w:tcPr>
          <w:p w:rsidR="00CD602B" w:rsidRPr="007E0AF4" w:rsidRDefault="00CD602B" w:rsidP="00CD602B">
            <w:pPr>
              <w:autoSpaceDE w:val="0"/>
              <w:autoSpaceDN w:val="0"/>
              <w:adjustRightInd w:val="0"/>
              <w:rPr>
                <w:rFonts w:eastAsia="Calibri"/>
                <w:color w:val="000000"/>
                <w:sz w:val="22"/>
              </w:rPr>
            </w:pPr>
            <w:r w:rsidRPr="007E0AF4">
              <w:rPr>
                <w:rFonts w:eastAsia="Calibri"/>
                <w:color w:val="000000"/>
                <w:sz w:val="22"/>
              </w:rPr>
              <w:t>одиниць</w:t>
            </w:r>
          </w:p>
        </w:tc>
        <w:tc>
          <w:tcPr>
            <w:tcW w:w="1341" w:type="dxa"/>
            <w:gridSpan w:val="2"/>
            <w:tcBorders>
              <w:top w:val="single" w:sz="6" w:space="0" w:color="auto"/>
              <w:left w:val="single" w:sz="6" w:space="0" w:color="auto"/>
              <w:bottom w:val="single" w:sz="6" w:space="0" w:color="auto"/>
              <w:right w:val="single" w:sz="6" w:space="0" w:color="auto"/>
            </w:tcBorders>
          </w:tcPr>
          <w:p w:rsidR="00CD602B" w:rsidRPr="007E0AF4" w:rsidRDefault="00CD602B" w:rsidP="00CD602B">
            <w:pPr>
              <w:autoSpaceDE w:val="0"/>
              <w:autoSpaceDN w:val="0"/>
              <w:adjustRightInd w:val="0"/>
              <w:rPr>
                <w:rFonts w:eastAsia="Calibri"/>
                <w:color w:val="000000"/>
                <w:sz w:val="22"/>
              </w:rPr>
            </w:pPr>
            <w:r w:rsidRPr="007E0AF4">
              <w:rPr>
                <w:rFonts w:eastAsia="Calibri"/>
                <w:color w:val="000000"/>
                <w:sz w:val="22"/>
              </w:rPr>
              <w:t>152</w:t>
            </w:r>
          </w:p>
        </w:tc>
      </w:tr>
      <w:tr w:rsidR="00CD602B" w:rsidRPr="007E0AF4" w:rsidTr="00CD602B">
        <w:trPr>
          <w:trHeight w:val="273"/>
        </w:trPr>
        <w:tc>
          <w:tcPr>
            <w:tcW w:w="2865" w:type="dxa"/>
            <w:vMerge/>
            <w:tcBorders>
              <w:left w:val="single" w:sz="6" w:space="0" w:color="auto"/>
              <w:right w:val="single" w:sz="6" w:space="0" w:color="auto"/>
            </w:tcBorders>
            <w:shd w:val="clear" w:color="00FFFF" w:fill="C6D9F1" w:themeFill="text2" w:themeFillTint="33"/>
          </w:tcPr>
          <w:p w:rsidR="00CD602B" w:rsidRPr="007E0AF4" w:rsidRDefault="00CD602B" w:rsidP="00CD602B">
            <w:pPr>
              <w:autoSpaceDE w:val="0"/>
              <w:autoSpaceDN w:val="0"/>
              <w:adjustRightInd w:val="0"/>
              <w:rPr>
                <w:rFonts w:eastAsia="Calibri"/>
                <w:b/>
                <w:color w:val="000000"/>
                <w:sz w:val="22"/>
              </w:rPr>
            </w:pPr>
          </w:p>
        </w:tc>
        <w:tc>
          <w:tcPr>
            <w:tcW w:w="3838" w:type="dxa"/>
            <w:gridSpan w:val="3"/>
            <w:tcBorders>
              <w:top w:val="single" w:sz="6" w:space="0" w:color="auto"/>
              <w:left w:val="single" w:sz="6" w:space="0" w:color="auto"/>
              <w:bottom w:val="single" w:sz="6" w:space="0" w:color="auto"/>
              <w:right w:val="single" w:sz="6" w:space="0" w:color="auto"/>
            </w:tcBorders>
          </w:tcPr>
          <w:p w:rsidR="00CD602B" w:rsidRPr="007E0AF4" w:rsidRDefault="00CD602B" w:rsidP="00CD602B">
            <w:pPr>
              <w:autoSpaceDE w:val="0"/>
              <w:autoSpaceDN w:val="0"/>
              <w:adjustRightInd w:val="0"/>
              <w:rPr>
                <w:sz w:val="22"/>
              </w:rPr>
            </w:pPr>
            <w:r w:rsidRPr="007E0AF4">
              <w:rPr>
                <w:sz w:val="22"/>
              </w:rPr>
              <w:t>Термін надання послуги</w:t>
            </w:r>
          </w:p>
        </w:tc>
        <w:tc>
          <w:tcPr>
            <w:tcW w:w="1767" w:type="dxa"/>
            <w:gridSpan w:val="2"/>
            <w:tcBorders>
              <w:top w:val="single" w:sz="6" w:space="0" w:color="auto"/>
              <w:left w:val="single" w:sz="6" w:space="0" w:color="auto"/>
              <w:bottom w:val="single" w:sz="6" w:space="0" w:color="auto"/>
              <w:right w:val="single" w:sz="6" w:space="0" w:color="auto"/>
            </w:tcBorders>
          </w:tcPr>
          <w:p w:rsidR="00CD602B" w:rsidRPr="007E0AF4" w:rsidRDefault="00CD602B" w:rsidP="00CD602B">
            <w:pPr>
              <w:autoSpaceDE w:val="0"/>
              <w:autoSpaceDN w:val="0"/>
              <w:adjustRightInd w:val="0"/>
              <w:rPr>
                <w:rFonts w:eastAsia="Calibri"/>
                <w:color w:val="000000"/>
                <w:sz w:val="22"/>
              </w:rPr>
            </w:pPr>
            <w:r w:rsidRPr="007E0AF4">
              <w:rPr>
                <w:rFonts w:eastAsia="Calibri"/>
                <w:color w:val="000000"/>
                <w:sz w:val="22"/>
              </w:rPr>
              <w:t>день</w:t>
            </w:r>
          </w:p>
        </w:tc>
        <w:tc>
          <w:tcPr>
            <w:tcW w:w="1341" w:type="dxa"/>
            <w:gridSpan w:val="2"/>
            <w:tcBorders>
              <w:top w:val="single" w:sz="6" w:space="0" w:color="auto"/>
              <w:left w:val="single" w:sz="6" w:space="0" w:color="auto"/>
              <w:bottom w:val="single" w:sz="6" w:space="0" w:color="auto"/>
              <w:right w:val="single" w:sz="6" w:space="0" w:color="auto"/>
            </w:tcBorders>
          </w:tcPr>
          <w:p w:rsidR="00CD602B" w:rsidRPr="007E0AF4" w:rsidRDefault="00CD602B" w:rsidP="00CD602B">
            <w:pPr>
              <w:autoSpaceDE w:val="0"/>
              <w:autoSpaceDN w:val="0"/>
              <w:adjustRightInd w:val="0"/>
              <w:rPr>
                <w:rFonts w:eastAsia="Calibri"/>
                <w:color w:val="000000"/>
                <w:sz w:val="22"/>
              </w:rPr>
            </w:pPr>
            <w:r w:rsidRPr="007E0AF4">
              <w:rPr>
                <w:rFonts w:eastAsia="Calibri"/>
                <w:color w:val="000000"/>
                <w:sz w:val="22"/>
              </w:rPr>
              <w:t>365</w:t>
            </w:r>
          </w:p>
        </w:tc>
      </w:tr>
      <w:tr w:rsidR="00CD602B" w:rsidRPr="007E0AF4" w:rsidTr="00CD602B">
        <w:trPr>
          <w:trHeight w:val="1604"/>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D602B" w:rsidRPr="007E0AF4" w:rsidRDefault="00CD602B" w:rsidP="00CD602B">
            <w:pPr>
              <w:autoSpaceDE w:val="0"/>
              <w:autoSpaceDN w:val="0"/>
              <w:adjustRightInd w:val="0"/>
              <w:rPr>
                <w:rFonts w:eastAsia="Calibri"/>
                <w:b/>
                <w:color w:val="000000"/>
                <w:sz w:val="22"/>
              </w:rPr>
            </w:pPr>
            <w:r w:rsidRPr="007E0AF4">
              <w:rPr>
                <w:rFonts w:eastAsia="Calibri"/>
                <w:b/>
                <w:color w:val="000000"/>
                <w:sz w:val="22"/>
              </w:rPr>
              <w:t>Ключові заходи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CD602B" w:rsidRPr="007E0AF4" w:rsidRDefault="00CD602B" w:rsidP="00CD602B">
            <w:pPr>
              <w:pStyle w:val="a7"/>
              <w:ind w:left="0"/>
              <w:rPr>
                <w:sz w:val="22"/>
              </w:rPr>
            </w:pPr>
            <w:r w:rsidRPr="007E0AF4">
              <w:rPr>
                <w:sz w:val="22"/>
              </w:rPr>
              <w:t>-</w:t>
            </w:r>
            <w:r w:rsidRPr="007E0AF4">
              <w:rPr>
                <w:color w:val="000000"/>
                <w:sz w:val="22"/>
              </w:rPr>
              <w:t xml:space="preserve"> </w:t>
            </w:r>
            <w:r w:rsidRPr="007E0AF4">
              <w:rPr>
                <w:sz w:val="22"/>
              </w:rPr>
              <w:t xml:space="preserve">обстеження стану оснащення та обладнання приміщень укриття; </w:t>
            </w:r>
          </w:p>
          <w:p w:rsidR="00CD602B" w:rsidRPr="007E0AF4" w:rsidRDefault="00CD602B" w:rsidP="00CD602B">
            <w:pPr>
              <w:autoSpaceDE w:val="0"/>
              <w:autoSpaceDN w:val="0"/>
              <w:adjustRightInd w:val="0"/>
              <w:rPr>
                <w:rFonts w:eastAsia="Calibri"/>
                <w:color w:val="000000"/>
                <w:sz w:val="22"/>
              </w:rPr>
            </w:pPr>
            <w:r w:rsidRPr="007E0AF4">
              <w:rPr>
                <w:sz w:val="22"/>
              </w:rPr>
              <w:t>- п</w:t>
            </w:r>
            <w:r w:rsidRPr="007E0AF4">
              <w:rPr>
                <w:rFonts w:eastAsia="Calibri"/>
                <w:color w:val="000000"/>
                <w:sz w:val="22"/>
              </w:rPr>
              <w:t xml:space="preserve">ідготовка </w:t>
            </w:r>
            <w:proofErr w:type="spellStart"/>
            <w:r w:rsidRPr="007E0AF4">
              <w:rPr>
                <w:rFonts w:eastAsia="Calibri"/>
                <w:color w:val="000000"/>
                <w:sz w:val="22"/>
              </w:rPr>
              <w:t>про</w:t>
            </w:r>
            <w:r w:rsidR="00723597" w:rsidRPr="007E0AF4">
              <w:rPr>
                <w:rFonts w:eastAsia="Calibri"/>
                <w:color w:val="000000"/>
                <w:sz w:val="22"/>
              </w:rPr>
              <w:t>є</w:t>
            </w:r>
            <w:r w:rsidRPr="007E0AF4">
              <w:rPr>
                <w:rFonts w:eastAsia="Calibri"/>
                <w:color w:val="000000"/>
                <w:sz w:val="22"/>
              </w:rPr>
              <w:t>ктно</w:t>
            </w:r>
            <w:proofErr w:type="spellEnd"/>
            <w:r w:rsidRPr="007E0AF4">
              <w:rPr>
                <w:rFonts w:eastAsia="Calibri"/>
                <w:color w:val="000000"/>
                <w:sz w:val="22"/>
              </w:rPr>
              <w:t>-кошторисної документації (ПКД);</w:t>
            </w:r>
          </w:p>
          <w:p w:rsidR="00CD602B" w:rsidRPr="007E0AF4" w:rsidRDefault="00CD602B" w:rsidP="00CD602B">
            <w:pPr>
              <w:autoSpaceDE w:val="0"/>
              <w:autoSpaceDN w:val="0"/>
              <w:adjustRightInd w:val="0"/>
              <w:rPr>
                <w:rFonts w:eastAsia="Calibri"/>
                <w:color w:val="000000"/>
                <w:sz w:val="22"/>
              </w:rPr>
            </w:pPr>
            <w:r w:rsidRPr="007E0AF4">
              <w:rPr>
                <w:rFonts w:eastAsia="Calibri"/>
                <w:color w:val="000000"/>
                <w:sz w:val="22"/>
              </w:rPr>
              <w:t xml:space="preserve">- </w:t>
            </w:r>
            <w:r w:rsidRPr="007E0AF4">
              <w:rPr>
                <w:sz w:val="22"/>
              </w:rPr>
              <w:t>здійснення заходів згідно ПКД;</w:t>
            </w:r>
          </w:p>
          <w:p w:rsidR="00CD602B" w:rsidRPr="007E0AF4" w:rsidRDefault="00CD602B" w:rsidP="00CD602B">
            <w:pPr>
              <w:autoSpaceDE w:val="0"/>
              <w:autoSpaceDN w:val="0"/>
              <w:adjustRightInd w:val="0"/>
              <w:rPr>
                <w:rFonts w:eastAsia="Calibri"/>
                <w:color w:val="000000"/>
                <w:sz w:val="22"/>
              </w:rPr>
            </w:pPr>
            <w:r w:rsidRPr="007E0AF4">
              <w:rPr>
                <w:rFonts w:eastAsia="Calibri"/>
                <w:color w:val="000000"/>
                <w:sz w:val="22"/>
              </w:rPr>
              <w:t xml:space="preserve">- </w:t>
            </w:r>
            <w:r w:rsidRPr="007E0AF4">
              <w:rPr>
                <w:sz w:val="22"/>
              </w:rPr>
              <w:t>придбання необхідного технічного забезпечення;</w:t>
            </w:r>
          </w:p>
          <w:p w:rsidR="00CD602B" w:rsidRPr="007E0AF4" w:rsidRDefault="00CD602B" w:rsidP="00CD602B">
            <w:pPr>
              <w:pStyle w:val="a7"/>
              <w:ind w:left="0"/>
              <w:rPr>
                <w:sz w:val="22"/>
              </w:rPr>
            </w:pPr>
            <w:r w:rsidRPr="007E0AF4">
              <w:rPr>
                <w:sz w:val="22"/>
              </w:rPr>
              <w:t>- придбання технологічного забезпечення;</w:t>
            </w:r>
          </w:p>
          <w:p w:rsidR="00CD602B" w:rsidRPr="007E0AF4" w:rsidRDefault="00CD602B" w:rsidP="00CD602B">
            <w:pPr>
              <w:pStyle w:val="a7"/>
              <w:ind w:left="0"/>
              <w:rPr>
                <w:sz w:val="22"/>
              </w:rPr>
            </w:pPr>
            <w:r w:rsidRPr="007E0AF4">
              <w:rPr>
                <w:sz w:val="22"/>
              </w:rPr>
              <w:t>- визначення кількості осіб, які потребують отримання освітніх послуг і будуть користуватися укриттям;</w:t>
            </w:r>
          </w:p>
          <w:p w:rsidR="00CD602B" w:rsidRPr="007E0AF4" w:rsidRDefault="00CD602B" w:rsidP="00CD602B">
            <w:pPr>
              <w:pStyle w:val="a7"/>
              <w:ind w:left="0"/>
              <w:rPr>
                <w:sz w:val="22"/>
              </w:rPr>
            </w:pPr>
            <w:r w:rsidRPr="007E0AF4">
              <w:rPr>
                <w:sz w:val="22"/>
              </w:rPr>
              <w:t>- оптимізація систем вентиляції, тепло-, водо-, електропостачання, водовідведення/каналізації, санвузлів, душових;</w:t>
            </w:r>
          </w:p>
          <w:p w:rsidR="00CD602B" w:rsidRPr="007E0AF4" w:rsidRDefault="00CD602B" w:rsidP="00CD602B">
            <w:pPr>
              <w:pStyle w:val="a7"/>
              <w:ind w:left="0"/>
              <w:rPr>
                <w:sz w:val="22"/>
              </w:rPr>
            </w:pPr>
            <w:r w:rsidRPr="007E0AF4">
              <w:rPr>
                <w:sz w:val="22"/>
              </w:rPr>
              <w:t>- укріплення стін, стелі, підлоги, дверей, входів/виходів;</w:t>
            </w:r>
          </w:p>
          <w:p w:rsidR="00CD602B" w:rsidRPr="007E0AF4" w:rsidRDefault="00CD602B" w:rsidP="00CD602B">
            <w:pPr>
              <w:pStyle w:val="a7"/>
              <w:ind w:left="0"/>
              <w:rPr>
                <w:sz w:val="22"/>
              </w:rPr>
            </w:pPr>
            <w:r w:rsidRPr="007E0AF4">
              <w:rPr>
                <w:sz w:val="22"/>
              </w:rPr>
              <w:t>- фарбування;</w:t>
            </w:r>
          </w:p>
          <w:p w:rsidR="00CD602B" w:rsidRPr="007E0AF4" w:rsidRDefault="00CD602B" w:rsidP="00CD602B">
            <w:pPr>
              <w:pStyle w:val="a7"/>
              <w:ind w:left="0"/>
              <w:rPr>
                <w:sz w:val="22"/>
              </w:rPr>
            </w:pPr>
            <w:r w:rsidRPr="007E0AF4">
              <w:rPr>
                <w:color w:val="000000"/>
                <w:sz w:val="22"/>
              </w:rPr>
              <w:t xml:space="preserve">- придбання необхідних меблів, оснащення місцями для сидіння (лежання) – лавками, нарами, стільцями, ліжками, шафи для медикаментів, інше) </w:t>
            </w:r>
          </w:p>
          <w:p w:rsidR="00CD602B" w:rsidRPr="007E0AF4" w:rsidRDefault="00CD602B" w:rsidP="00CD602B">
            <w:pPr>
              <w:pStyle w:val="a7"/>
              <w:ind w:left="0"/>
              <w:rPr>
                <w:sz w:val="22"/>
              </w:rPr>
            </w:pPr>
            <w:r w:rsidRPr="007E0AF4">
              <w:rPr>
                <w:sz w:val="22"/>
              </w:rPr>
              <w:t>- придбання засобів пожежогасіння;</w:t>
            </w:r>
          </w:p>
          <w:p w:rsidR="00CD602B" w:rsidRPr="007E0AF4" w:rsidRDefault="00CD602B" w:rsidP="00CD602B">
            <w:pPr>
              <w:pStyle w:val="a7"/>
              <w:ind w:left="0"/>
              <w:rPr>
                <w:sz w:val="22"/>
              </w:rPr>
            </w:pPr>
            <w:r w:rsidRPr="007E0AF4">
              <w:rPr>
                <w:sz w:val="22"/>
              </w:rPr>
              <w:t xml:space="preserve">- початок, хід робіт, контроль за етапами реалізації </w:t>
            </w:r>
            <w:proofErr w:type="spellStart"/>
            <w:r w:rsidRPr="007E0AF4">
              <w:rPr>
                <w:sz w:val="22"/>
              </w:rPr>
              <w:t>проєкту</w:t>
            </w:r>
            <w:proofErr w:type="spellEnd"/>
            <w:r w:rsidRPr="007E0AF4">
              <w:rPr>
                <w:sz w:val="22"/>
              </w:rPr>
              <w:t>.</w:t>
            </w:r>
            <w:r w:rsidRPr="007E0AF4">
              <w:rPr>
                <w:color w:val="000000"/>
                <w:sz w:val="22"/>
              </w:rPr>
              <w:t xml:space="preserve"> </w:t>
            </w:r>
          </w:p>
        </w:tc>
      </w:tr>
      <w:tr w:rsidR="00CD602B" w:rsidRPr="007E0AF4" w:rsidTr="00CD602B">
        <w:trPr>
          <w:trHeight w:val="575"/>
        </w:trPr>
        <w:tc>
          <w:tcPr>
            <w:tcW w:w="2865" w:type="dxa"/>
            <w:vMerge w:val="restart"/>
            <w:tcBorders>
              <w:top w:val="single" w:sz="6" w:space="0" w:color="auto"/>
              <w:left w:val="single" w:sz="6" w:space="0" w:color="auto"/>
              <w:bottom w:val="nil"/>
              <w:right w:val="single" w:sz="6" w:space="0" w:color="auto"/>
            </w:tcBorders>
            <w:shd w:val="clear" w:color="00FFFF" w:fill="C6D9F1" w:themeFill="text2" w:themeFillTint="33"/>
          </w:tcPr>
          <w:p w:rsidR="00CD602B" w:rsidRPr="007E0AF4" w:rsidRDefault="00CD602B" w:rsidP="00CD602B">
            <w:pPr>
              <w:autoSpaceDE w:val="0"/>
              <w:autoSpaceDN w:val="0"/>
              <w:adjustRightInd w:val="0"/>
              <w:rPr>
                <w:rFonts w:eastAsia="Calibri"/>
                <w:b/>
                <w:color w:val="000000"/>
                <w:sz w:val="22"/>
              </w:rPr>
            </w:pPr>
            <w:r w:rsidRPr="007E0AF4">
              <w:rPr>
                <w:rFonts w:eastAsia="Calibri"/>
                <w:b/>
                <w:color w:val="000000"/>
                <w:sz w:val="22"/>
              </w:rPr>
              <w:lastRenderedPageBreak/>
              <w:t>Орієнтовний обсяг та джерела фінансування тис. гривень</w:t>
            </w:r>
          </w:p>
        </w:tc>
        <w:tc>
          <w:tcPr>
            <w:tcW w:w="1624" w:type="dxa"/>
            <w:vMerge w:val="restart"/>
            <w:tcBorders>
              <w:top w:val="single" w:sz="6" w:space="0" w:color="auto"/>
              <w:left w:val="single" w:sz="6" w:space="0" w:color="auto"/>
              <w:bottom w:val="nil"/>
              <w:right w:val="single" w:sz="4" w:space="0" w:color="auto"/>
            </w:tcBorders>
          </w:tcPr>
          <w:p w:rsidR="00CD602B" w:rsidRPr="007E0AF4" w:rsidRDefault="00CD602B" w:rsidP="00CD602B">
            <w:pPr>
              <w:autoSpaceDE w:val="0"/>
              <w:autoSpaceDN w:val="0"/>
              <w:adjustRightInd w:val="0"/>
              <w:rPr>
                <w:rFonts w:eastAsia="Calibri"/>
                <w:color w:val="000000"/>
                <w:sz w:val="22"/>
              </w:rPr>
            </w:pPr>
            <w:r w:rsidRPr="007E0AF4">
              <w:rPr>
                <w:rFonts w:eastAsia="Calibri"/>
                <w:color w:val="000000"/>
                <w:sz w:val="22"/>
              </w:rPr>
              <w:t>Державний бюджет</w:t>
            </w:r>
          </w:p>
        </w:tc>
        <w:tc>
          <w:tcPr>
            <w:tcW w:w="1475" w:type="dxa"/>
            <w:vMerge w:val="restart"/>
            <w:tcBorders>
              <w:top w:val="single" w:sz="4" w:space="0" w:color="auto"/>
              <w:left w:val="single" w:sz="4" w:space="0" w:color="auto"/>
              <w:bottom w:val="single" w:sz="4" w:space="0" w:color="auto"/>
              <w:right w:val="single" w:sz="4" w:space="0" w:color="auto"/>
            </w:tcBorders>
          </w:tcPr>
          <w:p w:rsidR="00CD602B" w:rsidRPr="007E0AF4" w:rsidRDefault="00CD602B" w:rsidP="00CD602B">
            <w:pPr>
              <w:autoSpaceDE w:val="0"/>
              <w:autoSpaceDN w:val="0"/>
              <w:adjustRightInd w:val="0"/>
              <w:rPr>
                <w:rFonts w:eastAsia="Calibri"/>
                <w:color w:val="000000"/>
                <w:sz w:val="22"/>
              </w:rPr>
            </w:pPr>
            <w:r w:rsidRPr="007E0AF4">
              <w:rPr>
                <w:rFonts w:eastAsia="Calibri"/>
                <w:color w:val="000000"/>
                <w:sz w:val="22"/>
              </w:rPr>
              <w:t>Місцевий бюджет</w:t>
            </w:r>
          </w:p>
        </w:tc>
        <w:tc>
          <w:tcPr>
            <w:tcW w:w="2800" w:type="dxa"/>
            <w:gridSpan w:val="4"/>
            <w:tcBorders>
              <w:top w:val="single" w:sz="6" w:space="0" w:color="auto"/>
              <w:left w:val="single" w:sz="4" w:space="0" w:color="auto"/>
              <w:bottom w:val="nil"/>
              <w:right w:val="single" w:sz="4" w:space="0" w:color="auto"/>
            </w:tcBorders>
          </w:tcPr>
          <w:p w:rsidR="00CD602B" w:rsidRPr="007E0AF4" w:rsidRDefault="00CD602B" w:rsidP="00CD602B">
            <w:pPr>
              <w:autoSpaceDE w:val="0"/>
              <w:autoSpaceDN w:val="0"/>
              <w:adjustRightInd w:val="0"/>
              <w:rPr>
                <w:rFonts w:eastAsia="Calibri"/>
                <w:color w:val="000000"/>
                <w:sz w:val="22"/>
              </w:rPr>
            </w:pPr>
            <w:r w:rsidRPr="007E0AF4">
              <w:rPr>
                <w:rFonts w:eastAsia="Calibri"/>
                <w:color w:val="000000"/>
                <w:sz w:val="22"/>
              </w:rPr>
              <w:t>Інші джерела</w:t>
            </w:r>
          </w:p>
        </w:tc>
        <w:tc>
          <w:tcPr>
            <w:tcW w:w="1047" w:type="dxa"/>
            <w:vMerge w:val="restart"/>
            <w:tcBorders>
              <w:top w:val="single" w:sz="4" w:space="0" w:color="auto"/>
              <w:left w:val="single" w:sz="4" w:space="0" w:color="auto"/>
              <w:bottom w:val="nil"/>
              <w:right w:val="single" w:sz="4" w:space="0" w:color="auto"/>
            </w:tcBorders>
          </w:tcPr>
          <w:p w:rsidR="00CD602B" w:rsidRPr="007E0AF4" w:rsidRDefault="00CD602B" w:rsidP="00CD602B">
            <w:pPr>
              <w:autoSpaceDE w:val="0"/>
              <w:autoSpaceDN w:val="0"/>
              <w:adjustRightInd w:val="0"/>
              <w:rPr>
                <w:rFonts w:eastAsia="Calibri"/>
                <w:color w:val="000000"/>
                <w:sz w:val="22"/>
              </w:rPr>
            </w:pPr>
            <w:r w:rsidRPr="007E0AF4">
              <w:rPr>
                <w:rFonts w:eastAsia="Calibri"/>
                <w:color w:val="000000"/>
                <w:sz w:val="22"/>
              </w:rPr>
              <w:t>Всього</w:t>
            </w:r>
          </w:p>
          <w:p w:rsidR="00CD602B" w:rsidRPr="007E0AF4" w:rsidRDefault="00CD602B" w:rsidP="00CD602B">
            <w:pPr>
              <w:autoSpaceDE w:val="0"/>
              <w:autoSpaceDN w:val="0"/>
              <w:adjustRightInd w:val="0"/>
              <w:rPr>
                <w:rFonts w:eastAsia="Calibri"/>
                <w:color w:val="000000"/>
                <w:sz w:val="22"/>
              </w:rPr>
            </w:pPr>
          </w:p>
        </w:tc>
      </w:tr>
      <w:tr w:rsidR="00CD602B" w:rsidRPr="007E0AF4" w:rsidTr="00CD602B">
        <w:trPr>
          <w:trHeight w:val="62"/>
        </w:trPr>
        <w:tc>
          <w:tcPr>
            <w:tcW w:w="2865" w:type="dxa"/>
            <w:vMerge/>
            <w:tcBorders>
              <w:left w:val="single" w:sz="6" w:space="0" w:color="auto"/>
              <w:right w:val="single" w:sz="6" w:space="0" w:color="auto"/>
            </w:tcBorders>
            <w:shd w:val="clear" w:color="00FFFF" w:fill="C6D9F1" w:themeFill="text2" w:themeFillTint="33"/>
          </w:tcPr>
          <w:p w:rsidR="00CD602B" w:rsidRPr="007E0AF4" w:rsidRDefault="00CD602B" w:rsidP="00CD602B">
            <w:pPr>
              <w:autoSpaceDE w:val="0"/>
              <w:autoSpaceDN w:val="0"/>
              <w:adjustRightInd w:val="0"/>
              <w:rPr>
                <w:rFonts w:eastAsia="Calibri"/>
                <w:b/>
                <w:color w:val="000000"/>
                <w:sz w:val="22"/>
              </w:rPr>
            </w:pPr>
          </w:p>
        </w:tc>
        <w:tc>
          <w:tcPr>
            <w:tcW w:w="1624" w:type="dxa"/>
            <w:vMerge/>
            <w:tcBorders>
              <w:left w:val="single" w:sz="6" w:space="0" w:color="auto"/>
              <w:bottom w:val="single" w:sz="6" w:space="0" w:color="auto"/>
              <w:right w:val="single" w:sz="4" w:space="0" w:color="auto"/>
            </w:tcBorders>
          </w:tcPr>
          <w:p w:rsidR="00CD602B" w:rsidRPr="007E0AF4" w:rsidRDefault="00CD602B" w:rsidP="00CD602B">
            <w:pPr>
              <w:autoSpaceDE w:val="0"/>
              <w:autoSpaceDN w:val="0"/>
              <w:adjustRightInd w:val="0"/>
              <w:rPr>
                <w:rFonts w:eastAsia="Calibri"/>
                <w:color w:val="000000"/>
                <w:sz w:val="22"/>
              </w:rPr>
            </w:pPr>
          </w:p>
        </w:tc>
        <w:tc>
          <w:tcPr>
            <w:tcW w:w="1475" w:type="dxa"/>
            <w:vMerge/>
            <w:tcBorders>
              <w:top w:val="single" w:sz="4" w:space="0" w:color="auto"/>
              <w:left w:val="single" w:sz="4" w:space="0" w:color="auto"/>
              <w:bottom w:val="single" w:sz="4" w:space="0" w:color="auto"/>
              <w:right w:val="single" w:sz="4" w:space="0" w:color="auto"/>
            </w:tcBorders>
          </w:tcPr>
          <w:p w:rsidR="00CD602B" w:rsidRPr="007E0AF4" w:rsidRDefault="00CD602B" w:rsidP="00CD602B">
            <w:pPr>
              <w:autoSpaceDE w:val="0"/>
              <w:autoSpaceDN w:val="0"/>
              <w:adjustRightInd w:val="0"/>
              <w:rPr>
                <w:rFonts w:eastAsia="Calibri"/>
                <w:color w:val="000000"/>
                <w:sz w:val="22"/>
              </w:rPr>
            </w:pPr>
          </w:p>
        </w:tc>
        <w:tc>
          <w:tcPr>
            <w:tcW w:w="1034" w:type="dxa"/>
            <w:gridSpan w:val="2"/>
            <w:tcBorders>
              <w:top w:val="single" w:sz="4" w:space="0" w:color="auto"/>
              <w:left w:val="single" w:sz="4" w:space="0" w:color="auto"/>
              <w:bottom w:val="single" w:sz="4" w:space="0" w:color="auto"/>
              <w:right w:val="single" w:sz="4" w:space="0" w:color="auto"/>
            </w:tcBorders>
          </w:tcPr>
          <w:p w:rsidR="00CD602B" w:rsidRPr="007E0AF4" w:rsidRDefault="00CD602B" w:rsidP="00CD602B">
            <w:pPr>
              <w:autoSpaceDE w:val="0"/>
              <w:autoSpaceDN w:val="0"/>
              <w:adjustRightInd w:val="0"/>
              <w:rPr>
                <w:rFonts w:eastAsia="Calibri"/>
                <w:color w:val="000000"/>
                <w:sz w:val="22"/>
              </w:rPr>
            </w:pPr>
            <w:r w:rsidRPr="007E0AF4">
              <w:rPr>
                <w:rFonts w:eastAsia="Calibri"/>
                <w:color w:val="000000"/>
                <w:sz w:val="22"/>
              </w:rPr>
              <w:t>Обсяг</w:t>
            </w:r>
          </w:p>
        </w:tc>
        <w:tc>
          <w:tcPr>
            <w:tcW w:w="1766" w:type="dxa"/>
            <w:gridSpan w:val="2"/>
            <w:tcBorders>
              <w:top w:val="single" w:sz="4" w:space="0" w:color="auto"/>
              <w:left w:val="single" w:sz="4" w:space="0" w:color="auto"/>
              <w:bottom w:val="single" w:sz="4" w:space="0" w:color="auto"/>
              <w:right w:val="single" w:sz="4" w:space="0" w:color="auto"/>
            </w:tcBorders>
          </w:tcPr>
          <w:p w:rsidR="00CD602B" w:rsidRPr="007E0AF4" w:rsidRDefault="00CD602B" w:rsidP="00CD602B">
            <w:pPr>
              <w:autoSpaceDE w:val="0"/>
              <w:autoSpaceDN w:val="0"/>
              <w:adjustRightInd w:val="0"/>
              <w:rPr>
                <w:rFonts w:eastAsia="Calibri"/>
                <w:color w:val="000000"/>
                <w:sz w:val="22"/>
              </w:rPr>
            </w:pPr>
            <w:r w:rsidRPr="007E0AF4">
              <w:rPr>
                <w:rFonts w:eastAsia="Calibri"/>
                <w:color w:val="000000"/>
                <w:sz w:val="22"/>
              </w:rPr>
              <w:t>Назва джерела</w:t>
            </w:r>
          </w:p>
        </w:tc>
        <w:tc>
          <w:tcPr>
            <w:tcW w:w="1047" w:type="dxa"/>
            <w:vMerge/>
            <w:tcBorders>
              <w:left w:val="single" w:sz="4" w:space="0" w:color="auto"/>
              <w:bottom w:val="single" w:sz="4" w:space="0" w:color="auto"/>
              <w:right w:val="single" w:sz="4" w:space="0" w:color="auto"/>
            </w:tcBorders>
          </w:tcPr>
          <w:p w:rsidR="00CD602B" w:rsidRPr="007E0AF4" w:rsidRDefault="00CD602B" w:rsidP="00CD602B">
            <w:pPr>
              <w:autoSpaceDE w:val="0"/>
              <w:autoSpaceDN w:val="0"/>
              <w:adjustRightInd w:val="0"/>
              <w:rPr>
                <w:rFonts w:eastAsia="Calibri"/>
                <w:color w:val="000000"/>
                <w:sz w:val="22"/>
              </w:rPr>
            </w:pPr>
          </w:p>
        </w:tc>
      </w:tr>
      <w:tr w:rsidR="00CD602B" w:rsidRPr="007E0AF4" w:rsidTr="00CD602B">
        <w:trPr>
          <w:trHeight w:val="1048"/>
        </w:trPr>
        <w:tc>
          <w:tcPr>
            <w:tcW w:w="2865" w:type="dxa"/>
            <w:vMerge/>
            <w:tcBorders>
              <w:left w:val="single" w:sz="6" w:space="0" w:color="auto"/>
              <w:bottom w:val="single" w:sz="6" w:space="0" w:color="auto"/>
              <w:right w:val="single" w:sz="6" w:space="0" w:color="auto"/>
            </w:tcBorders>
            <w:shd w:val="clear" w:color="00FFFF" w:fill="C6D9F1" w:themeFill="text2" w:themeFillTint="33"/>
          </w:tcPr>
          <w:p w:rsidR="00CD602B" w:rsidRPr="007E0AF4" w:rsidRDefault="00CD602B" w:rsidP="00CD602B">
            <w:pPr>
              <w:autoSpaceDE w:val="0"/>
              <w:autoSpaceDN w:val="0"/>
              <w:adjustRightInd w:val="0"/>
              <w:rPr>
                <w:rFonts w:eastAsia="Calibri"/>
                <w:b/>
                <w:color w:val="000000"/>
                <w:sz w:val="22"/>
              </w:rPr>
            </w:pPr>
          </w:p>
        </w:tc>
        <w:tc>
          <w:tcPr>
            <w:tcW w:w="1624" w:type="dxa"/>
            <w:tcBorders>
              <w:top w:val="single" w:sz="6" w:space="0" w:color="auto"/>
              <w:left w:val="single" w:sz="6" w:space="0" w:color="auto"/>
              <w:bottom w:val="single" w:sz="6" w:space="0" w:color="auto"/>
              <w:right w:val="single" w:sz="6" w:space="0" w:color="auto"/>
            </w:tcBorders>
          </w:tcPr>
          <w:p w:rsidR="00CD602B" w:rsidRPr="007E0AF4" w:rsidRDefault="00CD602B" w:rsidP="00CD602B">
            <w:pPr>
              <w:autoSpaceDE w:val="0"/>
              <w:autoSpaceDN w:val="0"/>
              <w:adjustRightInd w:val="0"/>
              <w:jc w:val="center"/>
              <w:rPr>
                <w:rFonts w:eastAsia="Calibri"/>
                <w:color w:val="000000"/>
                <w:sz w:val="22"/>
              </w:rPr>
            </w:pPr>
            <w:r w:rsidRPr="007E0AF4">
              <w:rPr>
                <w:sz w:val="22"/>
              </w:rPr>
              <w:t>2 100,0</w:t>
            </w:r>
          </w:p>
        </w:tc>
        <w:tc>
          <w:tcPr>
            <w:tcW w:w="1475" w:type="dxa"/>
            <w:tcBorders>
              <w:top w:val="single" w:sz="4" w:space="0" w:color="auto"/>
              <w:left w:val="single" w:sz="6" w:space="0" w:color="auto"/>
              <w:bottom w:val="single" w:sz="6" w:space="0" w:color="auto"/>
              <w:right w:val="single" w:sz="6" w:space="0" w:color="auto"/>
            </w:tcBorders>
          </w:tcPr>
          <w:p w:rsidR="00CD602B" w:rsidRPr="007E0AF4" w:rsidRDefault="00CD602B" w:rsidP="00CD602B">
            <w:pPr>
              <w:autoSpaceDE w:val="0"/>
              <w:autoSpaceDN w:val="0"/>
              <w:adjustRightInd w:val="0"/>
              <w:rPr>
                <w:rFonts w:eastAsia="Calibri"/>
                <w:color w:val="000000"/>
                <w:sz w:val="22"/>
              </w:rPr>
            </w:pPr>
            <w:r w:rsidRPr="007E0AF4">
              <w:rPr>
                <w:rFonts w:eastAsia="Calibri"/>
                <w:color w:val="000000"/>
                <w:sz w:val="22"/>
              </w:rPr>
              <w:t>-</w:t>
            </w:r>
          </w:p>
        </w:tc>
        <w:tc>
          <w:tcPr>
            <w:tcW w:w="1034" w:type="dxa"/>
            <w:gridSpan w:val="2"/>
            <w:tcBorders>
              <w:top w:val="single" w:sz="4" w:space="0" w:color="auto"/>
              <w:left w:val="single" w:sz="6" w:space="0" w:color="auto"/>
              <w:bottom w:val="single" w:sz="6" w:space="0" w:color="auto"/>
              <w:right w:val="single" w:sz="6" w:space="0" w:color="auto"/>
            </w:tcBorders>
          </w:tcPr>
          <w:p w:rsidR="00CD602B" w:rsidRPr="007E0AF4" w:rsidRDefault="00CD602B" w:rsidP="00CD602B">
            <w:pPr>
              <w:autoSpaceDE w:val="0"/>
              <w:autoSpaceDN w:val="0"/>
              <w:adjustRightInd w:val="0"/>
              <w:rPr>
                <w:rFonts w:eastAsia="Calibri"/>
                <w:color w:val="000000"/>
                <w:sz w:val="22"/>
              </w:rPr>
            </w:pPr>
            <w:r w:rsidRPr="007E0AF4">
              <w:rPr>
                <w:rFonts w:eastAsia="Calibri"/>
                <w:color w:val="000000"/>
                <w:sz w:val="22"/>
              </w:rPr>
              <w:t>900,0</w:t>
            </w:r>
          </w:p>
        </w:tc>
        <w:tc>
          <w:tcPr>
            <w:tcW w:w="1766" w:type="dxa"/>
            <w:gridSpan w:val="2"/>
            <w:tcBorders>
              <w:top w:val="single" w:sz="4" w:space="0" w:color="auto"/>
              <w:left w:val="single" w:sz="6" w:space="0" w:color="auto"/>
              <w:bottom w:val="single" w:sz="6" w:space="0" w:color="auto"/>
              <w:right w:val="single" w:sz="6" w:space="0" w:color="auto"/>
            </w:tcBorders>
          </w:tcPr>
          <w:p w:rsidR="00CD602B" w:rsidRPr="007E0AF4" w:rsidRDefault="00CD602B" w:rsidP="00CD602B">
            <w:pPr>
              <w:autoSpaceDE w:val="0"/>
              <w:autoSpaceDN w:val="0"/>
              <w:adjustRightInd w:val="0"/>
              <w:rPr>
                <w:rFonts w:eastAsia="Calibri"/>
                <w:color w:val="000000"/>
                <w:sz w:val="22"/>
              </w:rPr>
            </w:pPr>
            <w:r w:rsidRPr="007E0AF4">
              <w:rPr>
                <w:sz w:val="22"/>
              </w:rPr>
              <w:t>Міжнародні інвестиції, кошти приватних осіб</w:t>
            </w:r>
          </w:p>
        </w:tc>
        <w:tc>
          <w:tcPr>
            <w:tcW w:w="1047" w:type="dxa"/>
            <w:tcBorders>
              <w:top w:val="single" w:sz="4" w:space="0" w:color="auto"/>
              <w:left w:val="single" w:sz="6" w:space="0" w:color="auto"/>
              <w:bottom w:val="single" w:sz="6" w:space="0" w:color="auto"/>
              <w:right w:val="single" w:sz="6" w:space="0" w:color="auto"/>
            </w:tcBorders>
          </w:tcPr>
          <w:p w:rsidR="00CD602B" w:rsidRPr="007E0AF4" w:rsidRDefault="00CD602B" w:rsidP="00CD602B">
            <w:pPr>
              <w:autoSpaceDE w:val="0"/>
              <w:autoSpaceDN w:val="0"/>
              <w:adjustRightInd w:val="0"/>
              <w:jc w:val="center"/>
              <w:rPr>
                <w:rFonts w:eastAsia="Calibri"/>
                <w:color w:val="000000"/>
                <w:sz w:val="22"/>
              </w:rPr>
            </w:pPr>
            <w:r w:rsidRPr="007E0AF4">
              <w:rPr>
                <w:sz w:val="22"/>
              </w:rPr>
              <w:t>3 000,0</w:t>
            </w:r>
          </w:p>
        </w:tc>
      </w:tr>
    </w:tbl>
    <w:p w:rsidR="0051104F" w:rsidRPr="007E0AF4" w:rsidRDefault="0051104F" w:rsidP="00E95FB1">
      <w:pPr>
        <w:rPr>
          <w:sz w:val="22"/>
        </w:rPr>
      </w:pPr>
    </w:p>
    <w:p w:rsidR="0051104F" w:rsidRPr="007E0AF4" w:rsidRDefault="0051104F" w:rsidP="00E95FB1">
      <w:pPr>
        <w:rPr>
          <w:sz w:val="22"/>
        </w:rPr>
      </w:pPr>
    </w:p>
    <w:p w:rsidR="0051104F" w:rsidRPr="007E0AF4" w:rsidRDefault="0051104F" w:rsidP="00E95FB1">
      <w:pPr>
        <w:rPr>
          <w:sz w:val="22"/>
        </w:rPr>
      </w:pPr>
    </w:p>
    <w:p w:rsidR="0051104F" w:rsidRPr="007E0AF4" w:rsidRDefault="0051104F" w:rsidP="00E95FB1">
      <w:pPr>
        <w:rPr>
          <w:sz w:val="22"/>
        </w:rPr>
      </w:pPr>
    </w:p>
    <w:p w:rsidR="0051104F" w:rsidRPr="007E0AF4" w:rsidRDefault="0051104F" w:rsidP="00E95FB1">
      <w:pPr>
        <w:rPr>
          <w:sz w:val="22"/>
        </w:rPr>
      </w:pPr>
    </w:p>
    <w:tbl>
      <w:tblPr>
        <w:tblStyle w:val="af"/>
        <w:tblW w:w="9923" w:type="dxa"/>
        <w:tblInd w:w="-176" w:type="dxa"/>
        <w:tblLayout w:type="fixed"/>
        <w:tblLook w:val="04A0" w:firstRow="1" w:lastRow="0" w:firstColumn="1" w:lastColumn="0" w:noHBand="0" w:noVBand="1"/>
      </w:tblPr>
      <w:tblGrid>
        <w:gridCol w:w="2978"/>
        <w:gridCol w:w="1417"/>
        <w:gridCol w:w="1276"/>
        <w:gridCol w:w="850"/>
        <w:gridCol w:w="284"/>
        <w:gridCol w:w="1559"/>
        <w:gridCol w:w="284"/>
        <w:gridCol w:w="1275"/>
      </w:tblGrid>
      <w:tr w:rsidR="00AD3425" w:rsidRPr="007E0AF4" w:rsidTr="00AD3425">
        <w:tc>
          <w:tcPr>
            <w:tcW w:w="2978" w:type="dxa"/>
            <w:shd w:val="clear" w:color="auto" w:fill="C6D9F1" w:themeFill="text2" w:themeFillTint="33"/>
          </w:tcPr>
          <w:p w:rsidR="00AD3425" w:rsidRPr="007E0AF4" w:rsidRDefault="00AD3425" w:rsidP="001E6C97">
            <w:pPr>
              <w:pStyle w:val="a7"/>
              <w:ind w:left="0"/>
              <w:rPr>
                <w:b/>
                <w:sz w:val="22"/>
              </w:rPr>
            </w:pPr>
            <w:r w:rsidRPr="007E0AF4">
              <w:rPr>
                <w:b/>
                <w:sz w:val="22"/>
              </w:rPr>
              <w:t xml:space="preserve">Оперативна </w:t>
            </w:r>
            <w:proofErr w:type="spellStart"/>
            <w:r w:rsidRPr="007E0AF4">
              <w:rPr>
                <w:b/>
                <w:sz w:val="22"/>
              </w:rPr>
              <w:t>ціль</w:t>
            </w:r>
            <w:proofErr w:type="spellEnd"/>
            <w:r w:rsidRPr="007E0AF4">
              <w:rPr>
                <w:b/>
                <w:sz w:val="22"/>
              </w:rPr>
              <w:t>/</w:t>
            </w:r>
            <w:proofErr w:type="spellStart"/>
            <w:r w:rsidRPr="007E0AF4">
              <w:rPr>
                <w:b/>
                <w:sz w:val="22"/>
              </w:rPr>
              <w:t>завдання</w:t>
            </w:r>
            <w:proofErr w:type="spellEnd"/>
          </w:p>
        </w:tc>
        <w:tc>
          <w:tcPr>
            <w:tcW w:w="6945" w:type="dxa"/>
            <w:gridSpan w:val="7"/>
            <w:shd w:val="clear" w:color="auto" w:fill="auto"/>
          </w:tcPr>
          <w:p w:rsidR="00AD3425" w:rsidRPr="007E0AF4" w:rsidRDefault="00AD3425" w:rsidP="001E6C97">
            <w:pPr>
              <w:pStyle w:val="a7"/>
              <w:ind w:left="0"/>
              <w:rPr>
                <w:sz w:val="22"/>
              </w:rPr>
            </w:pPr>
            <w:proofErr w:type="spellStart"/>
            <w:r w:rsidRPr="007E0AF4">
              <w:rPr>
                <w:sz w:val="22"/>
              </w:rPr>
              <w:t>Людський</w:t>
            </w:r>
            <w:proofErr w:type="spellEnd"/>
            <w:r w:rsidRPr="007E0AF4">
              <w:rPr>
                <w:sz w:val="22"/>
              </w:rPr>
              <w:t xml:space="preserve"> </w:t>
            </w:r>
            <w:proofErr w:type="spellStart"/>
            <w:r w:rsidRPr="007E0AF4">
              <w:rPr>
                <w:sz w:val="22"/>
              </w:rPr>
              <w:t>розвиток</w:t>
            </w:r>
            <w:proofErr w:type="spellEnd"/>
            <w:r w:rsidRPr="007E0AF4">
              <w:rPr>
                <w:sz w:val="22"/>
              </w:rPr>
              <w:t xml:space="preserve"> через </w:t>
            </w:r>
            <w:proofErr w:type="spellStart"/>
            <w:proofErr w:type="gramStart"/>
            <w:r w:rsidRPr="007E0AF4">
              <w:rPr>
                <w:sz w:val="22"/>
              </w:rPr>
              <w:t>інновації</w:t>
            </w:r>
            <w:proofErr w:type="spellEnd"/>
            <w:r w:rsidRPr="007E0AF4">
              <w:rPr>
                <w:sz w:val="22"/>
              </w:rPr>
              <w:t xml:space="preserve">  </w:t>
            </w:r>
            <w:proofErr w:type="spellStart"/>
            <w:r w:rsidRPr="007E0AF4">
              <w:rPr>
                <w:sz w:val="22"/>
              </w:rPr>
              <w:t>управління</w:t>
            </w:r>
            <w:proofErr w:type="spellEnd"/>
            <w:proofErr w:type="gramEnd"/>
          </w:p>
          <w:p w:rsidR="00AD3425" w:rsidRPr="007E0AF4" w:rsidRDefault="00AD3425" w:rsidP="001E6C97">
            <w:pPr>
              <w:pStyle w:val="a7"/>
              <w:ind w:left="0"/>
              <w:rPr>
                <w:sz w:val="22"/>
              </w:rPr>
            </w:pPr>
            <w:r w:rsidRPr="007E0AF4">
              <w:rPr>
                <w:sz w:val="22"/>
              </w:rPr>
              <w:t xml:space="preserve"> та </w:t>
            </w:r>
            <w:proofErr w:type="spellStart"/>
            <w:r w:rsidRPr="007E0AF4">
              <w:rPr>
                <w:sz w:val="22"/>
              </w:rPr>
              <w:t>довіру</w:t>
            </w:r>
            <w:proofErr w:type="spellEnd"/>
            <w:r w:rsidRPr="007E0AF4">
              <w:rPr>
                <w:sz w:val="22"/>
              </w:rPr>
              <w:t xml:space="preserve"> до </w:t>
            </w:r>
            <w:proofErr w:type="spellStart"/>
            <w:proofErr w:type="gramStart"/>
            <w:r w:rsidRPr="007E0AF4">
              <w:rPr>
                <w:sz w:val="22"/>
              </w:rPr>
              <w:t>влади.Формування</w:t>
            </w:r>
            <w:proofErr w:type="spellEnd"/>
            <w:proofErr w:type="gramEnd"/>
            <w:r w:rsidRPr="007E0AF4">
              <w:rPr>
                <w:sz w:val="22"/>
              </w:rPr>
              <w:t xml:space="preserve"> </w:t>
            </w:r>
            <w:proofErr w:type="spellStart"/>
            <w:r w:rsidRPr="007E0AF4">
              <w:rPr>
                <w:sz w:val="22"/>
              </w:rPr>
              <w:t>сучасного</w:t>
            </w:r>
            <w:proofErr w:type="spellEnd"/>
            <w:r w:rsidRPr="007E0AF4">
              <w:rPr>
                <w:sz w:val="22"/>
              </w:rPr>
              <w:t xml:space="preserve"> </w:t>
            </w:r>
            <w:proofErr w:type="spellStart"/>
            <w:r w:rsidRPr="007E0AF4">
              <w:rPr>
                <w:sz w:val="22"/>
              </w:rPr>
              <w:t>інклюзивного</w:t>
            </w:r>
            <w:proofErr w:type="spellEnd"/>
            <w:r w:rsidRPr="007E0AF4">
              <w:rPr>
                <w:sz w:val="22"/>
              </w:rPr>
              <w:t xml:space="preserve"> </w:t>
            </w:r>
            <w:proofErr w:type="spellStart"/>
            <w:r w:rsidRPr="007E0AF4">
              <w:rPr>
                <w:sz w:val="22"/>
              </w:rPr>
              <w:t>освітньо</w:t>
            </w:r>
            <w:proofErr w:type="spellEnd"/>
            <w:r w:rsidRPr="007E0AF4">
              <w:rPr>
                <w:sz w:val="22"/>
              </w:rPr>
              <w:t xml:space="preserve">-культурного та спортивного простору для </w:t>
            </w:r>
            <w:proofErr w:type="spellStart"/>
            <w:r w:rsidRPr="007E0AF4">
              <w:rPr>
                <w:sz w:val="22"/>
              </w:rPr>
              <w:t>розвитку</w:t>
            </w:r>
            <w:proofErr w:type="spellEnd"/>
            <w:r w:rsidRPr="007E0AF4">
              <w:rPr>
                <w:sz w:val="22"/>
              </w:rPr>
              <w:t>.</w:t>
            </w:r>
          </w:p>
        </w:tc>
      </w:tr>
      <w:tr w:rsidR="00AD3425" w:rsidRPr="007E0AF4" w:rsidTr="00AD3425">
        <w:tc>
          <w:tcPr>
            <w:tcW w:w="2978" w:type="dxa"/>
            <w:shd w:val="clear" w:color="auto" w:fill="C6D9F1" w:themeFill="text2" w:themeFillTint="33"/>
          </w:tcPr>
          <w:p w:rsidR="00AD3425" w:rsidRPr="007E0AF4" w:rsidRDefault="00AD3425" w:rsidP="001E6C97">
            <w:pPr>
              <w:pStyle w:val="a7"/>
              <w:ind w:left="0"/>
              <w:rPr>
                <w:b/>
                <w:sz w:val="22"/>
              </w:rPr>
            </w:pPr>
            <w:proofErr w:type="spellStart"/>
            <w:r w:rsidRPr="007E0AF4">
              <w:rPr>
                <w:b/>
                <w:sz w:val="22"/>
              </w:rPr>
              <w:t>Назва</w:t>
            </w:r>
            <w:proofErr w:type="spellEnd"/>
            <w:r w:rsidRPr="007E0AF4">
              <w:rPr>
                <w:b/>
                <w:sz w:val="22"/>
              </w:rPr>
              <w:t xml:space="preserve"> проекту:</w:t>
            </w:r>
          </w:p>
        </w:tc>
        <w:tc>
          <w:tcPr>
            <w:tcW w:w="6945" w:type="dxa"/>
            <w:gridSpan w:val="7"/>
          </w:tcPr>
          <w:p w:rsidR="00AD3425" w:rsidRPr="007E0AF4" w:rsidRDefault="00AD3425" w:rsidP="001E6C97">
            <w:pPr>
              <w:pStyle w:val="a7"/>
              <w:ind w:left="0"/>
              <w:rPr>
                <w:sz w:val="22"/>
              </w:rPr>
            </w:pPr>
            <w:proofErr w:type="spellStart"/>
            <w:r w:rsidRPr="007E0AF4">
              <w:rPr>
                <w:sz w:val="22"/>
              </w:rPr>
              <w:t>Відновлення</w:t>
            </w:r>
            <w:proofErr w:type="spellEnd"/>
            <w:r w:rsidRPr="007E0AF4">
              <w:rPr>
                <w:sz w:val="22"/>
              </w:rPr>
              <w:t xml:space="preserve"> </w:t>
            </w:r>
            <w:proofErr w:type="spellStart"/>
            <w:r w:rsidRPr="007E0AF4">
              <w:rPr>
                <w:sz w:val="22"/>
              </w:rPr>
              <w:t>діяльності</w:t>
            </w:r>
            <w:proofErr w:type="spellEnd"/>
            <w:r w:rsidRPr="007E0AF4">
              <w:rPr>
                <w:sz w:val="22"/>
              </w:rPr>
              <w:t xml:space="preserve"> </w:t>
            </w:r>
            <w:proofErr w:type="spellStart"/>
            <w:r w:rsidRPr="007E0AF4">
              <w:rPr>
                <w:sz w:val="22"/>
              </w:rPr>
              <w:t>комунального</w:t>
            </w:r>
            <w:proofErr w:type="spellEnd"/>
            <w:r w:rsidRPr="007E0AF4">
              <w:rPr>
                <w:sz w:val="22"/>
              </w:rPr>
              <w:t xml:space="preserve"> закладу </w:t>
            </w:r>
            <w:proofErr w:type="spellStart"/>
            <w:r w:rsidRPr="007E0AF4">
              <w:rPr>
                <w:sz w:val="22"/>
              </w:rPr>
              <w:t>Гімназії</w:t>
            </w:r>
            <w:proofErr w:type="spellEnd"/>
            <w:r w:rsidRPr="007E0AF4">
              <w:rPr>
                <w:sz w:val="22"/>
              </w:rPr>
              <w:t xml:space="preserve"> № 20 </w:t>
            </w:r>
            <w:proofErr w:type="spellStart"/>
            <w:r w:rsidRPr="007E0AF4">
              <w:rPr>
                <w:sz w:val="22"/>
              </w:rPr>
              <w:t>міста</w:t>
            </w:r>
            <w:proofErr w:type="spellEnd"/>
            <w:r w:rsidRPr="007E0AF4">
              <w:rPr>
                <w:sz w:val="22"/>
              </w:rPr>
              <w:t xml:space="preserve"> </w:t>
            </w:r>
            <w:proofErr w:type="spellStart"/>
            <w:r w:rsidRPr="007E0AF4">
              <w:rPr>
                <w:sz w:val="22"/>
              </w:rPr>
              <w:t>Сєвєродонецька</w:t>
            </w:r>
            <w:proofErr w:type="spellEnd"/>
            <w:r w:rsidRPr="007E0AF4">
              <w:rPr>
                <w:color w:val="FF0000"/>
                <w:sz w:val="22"/>
              </w:rPr>
              <w:t xml:space="preserve"> </w:t>
            </w:r>
            <w:proofErr w:type="spellStart"/>
            <w:r w:rsidRPr="007E0AF4">
              <w:rPr>
                <w:sz w:val="22"/>
              </w:rPr>
              <w:t>Луганської</w:t>
            </w:r>
            <w:proofErr w:type="spellEnd"/>
            <w:r w:rsidRPr="007E0AF4">
              <w:rPr>
                <w:sz w:val="22"/>
              </w:rPr>
              <w:t xml:space="preserve"> </w:t>
            </w:r>
            <w:proofErr w:type="spellStart"/>
            <w:r w:rsidRPr="007E0AF4">
              <w:rPr>
                <w:sz w:val="22"/>
              </w:rPr>
              <w:t>області</w:t>
            </w:r>
            <w:proofErr w:type="spellEnd"/>
            <w:r w:rsidRPr="007E0AF4">
              <w:rPr>
                <w:sz w:val="22"/>
              </w:rPr>
              <w:t xml:space="preserve">, </w:t>
            </w:r>
            <w:proofErr w:type="spellStart"/>
            <w:r w:rsidRPr="007E0AF4">
              <w:rPr>
                <w:sz w:val="22"/>
              </w:rPr>
              <w:t>Сєвєродонецького</w:t>
            </w:r>
            <w:proofErr w:type="spellEnd"/>
            <w:r w:rsidRPr="007E0AF4">
              <w:rPr>
                <w:sz w:val="22"/>
              </w:rPr>
              <w:t xml:space="preserve"> </w:t>
            </w:r>
            <w:proofErr w:type="spellStart"/>
            <w:proofErr w:type="gramStart"/>
            <w:r w:rsidRPr="007E0AF4">
              <w:rPr>
                <w:sz w:val="22"/>
              </w:rPr>
              <w:t>району,за</w:t>
            </w:r>
            <w:proofErr w:type="spellEnd"/>
            <w:proofErr w:type="gramEnd"/>
            <w:r w:rsidRPr="007E0AF4">
              <w:rPr>
                <w:sz w:val="22"/>
              </w:rPr>
              <w:t xml:space="preserve"> </w:t>
            </w:r>
            <w:proofErr w:type="spellStart"/>
            <w:r w:rsidRPr="007E0AF4">
              <w:rPr>
                <w:sz w:val="22"/>
              </w:rPr>
              <w:t>адресою</w:t>
            </w:r>
            <w:proofErr w:type="spellEnd"/>
            <w:r w:rsidRPr="007E0AF4">
              <w:rPr>
                <w:sz w:val="22"/>
              </w:rPr>
              <w:t xml:space="preserve">: </w:t>
            </w:r>
            <w:proofErr w:type="spellStart"/>
            <w:r w:rsidRPr="007E0AF4">
              <w:rPr>
                <w:sz w:val="22"/>
              </w:rPr>
              <w:t>місто</w:t>
            </w:r>
            <w:proofErr w:type="spellEnd"/>
            <w:r w:rsidRPr="007E0AF4">
              <w:rPr>
                <w:sz w:val="22"/>
              </w:rPr>
              <w:t xml:space="preserve"> </w:t>
            </w:r>
            <w:proofErr w:type="spellStart"/>
            <w:r w:rsidRPr="007E0AF4">
              <w:rPr>
                <w:sz w:val="22"/>
              </w:rPr>
              <w:t>Сєвєродонецьк</w:t>
            </w:r>
            <w:proofErr w:type="spellEnd"/>
            <w:r w:rsidRPr="007E0AF4">
              <w:rPr>
                <w:sz w:val="22"/>
              </w:rPr>
              <w:t xml:space="preserve">, </w:t>
            </w:r>
            <w:proofErr w:type="spellStart"/>
            <w:r w:rsidRPr="007E0AF4">
              <w:rPr>
                <w:sz w:val="22"/>
              </w:rPr>
              <w:t>вулиця</w:t>
            </w:r>
            <w:proofErr w:type="spellEnd"/>
            <w:r w:rsidRPr="007E0AF4">
              <w:rPr>
                <w:sz w:val="22"/>
              </w:rPr>
              <w:t xml:space="preserve"> </w:t>
            </w:r>
            <w:proofErr w:type="spellStart"/>
            <w:r w:rsidRPr="007E0AF4">
              <w:rPr>
                <w:sz w:val="22"/>
              </w:rPr>
              <w:t>Гагаріна</w:t>
            </w:r>
            <w:proofErr w:type="spellEnd"/>
            <w:r w:rsidRPr="007E0AF4">
              <w:rPr>
                <w:sz w:val="22"/>
              </w:rPr>
              <w:t xml:space="preserve"> 113.</w:t>
            </w:r>
          </w:p>
        </w:tc>
      </w:tr>
      <w:tr w:rsidR="00AD3425" w:rsidRPr="007E0AF4" w:rsidTr="00AD3425">
        <w:tc>
          <w:tcPr>
            <w:tcW w:w="2978" w:type="dxa"/>
            <w:shd w:val="clear" w:color="auto" w:fill="C6D9F1" w:themeFill="text2" w:themeFillTint="33"/>
          </w:tcPr>
          <w:p w:rsidR="00AD3425" w:rsidRPr="007E0AF4" w:rsidRDefault="00AD3425" w:rsidP="001E6C97">
            <w:pPr>
              <w:rPr>
                <w:b/>
                <w:sz w:val="22"/>
              </w:rPr>
            </w:pPr>
            <w:proofErr w:type="spellStart"/>
            <w:r w:rsidRPr="007E0AF4">
              <w:rPr>
                <w:b/>
                <w:sz w:val="22"/>
              </w:rPr>
              <w:t>Ціль</w:t>
            </w:r>
            <w:proofErr w:type="spellEnd"/>
            <w:r w:rsidRPr="007E0AF4">
              <w:rPr>
                <w:b/>
                <w:sz w:val="22"/>
              </w:rPr>
              <w:t xml:space="preserve"> проекту</w:t>
            </w:r>
          </w:p>
        </w:tc>
        <w:tc>
          <w:tcPr>
            <w:tcW w:w="6945" w:type="dxa"/>
            <w:gridSpan w:val="7"/>
          </w:tcPr>
          <w:p w:rsidR="00AD3425" w:rsidRPr="007E0AF4" w:rsidRDefault="00AD3425" w:rsidP="001E6C97">
            <w:pPr>
              <w:pStyle w:val="a7"/>
              <w:ind w:left="0"/>
              <w:rPr>
                <w:sz w:val="22"/>
              </w:rPr>
            </w:pPr>
            <w:proofErr w:type="spellStart"/>
            <w:r w:rsidRPr="007E0AF4">
              <w:rPr>
                <w:sz w:val="22"/>
              </w:rPr>
              <w:t>Відновити</w:t>
            </w:r>
            <w:proofErr w:type="spellEnd"/>
            <w:r w:rsidRPr="007E0AF4">
              <w:rPr>
                <w:sz w:val="22"/>
              </w:rPr>
              <w:t xml:space="preserve"> та </w:t>
            </w:r>
            <w:proofErr w:type="spellStart"/>
            <w:r w:rsidRPr="007E0AF4">
              <w:rPr>
                <w:sz w:val="22"/>
              </w:rPr>
              <w:t>покращити</w:t>
            </w:r>
            <w:proofErr w:type="spellEnd"/>
            <w:r w:rsidRPr="007E0AF4">
              <w:rPr>
                <w:sz w:val="22"/>
              </w:rPr>
              <w:t xml:space="preserve"> роботу </w:t>
            </w:r>
            <w:proofErr w:type="spellStart"/>
            <w:r w:rsidRPr="007E0AF4">
              <w:rPr>
                <w:sz w:val="22"/>
              </w:rPr>
              <w:t>комунального</w:t>
            </w:r>
            <w:proofErr w:type="spellEnd"/>
            <w:r w:rsidRPr="007E0AF4">
              <w:rPr>
                <w:sz w:val="22"/>
              </w:rPr>
              <w:t xml:space="preserve"> закладу </w:t>
            </w:r>
            <w:proofErr w:type="spellStart"/>
            <w:r w:rsidRPr="007E0AF4">
              <w:rPr>
                <w:sz w:val="22"/>
              </w:rPr>
              <w:t>Гімназії</w:t>
            </w:r>
            <w:proofErr w:type="spellEnd"/>
            <w:r w:rsidRPr="007E0AF4">
              <w:rPr>
                <w:sz w:val="22"/>
              </w:rPr>
              <w:t xml:space="preserve"> № 20 для </w:t>
            </w:r>
            <w:proofErr w:type="spellStart"/>
            <w:r w:rsidRPr="007E0AF4">
              <w:rPr>
                <w:sz w:val="22"/>
              </w:rPr>
              <w:t>надання</w:t>
            </w:r>
            <w:proofErr w:type="spellEnd"/>
            <w:r w:rsidRPr="007E0AF4">
              <w:rPr>
                <w:sz w:val="22"/>
              </w:rPr>
              <w:t xml:space="preserve"> широкого спектру </w:t>
            </w:r>
            <w:proofErr w:type="spellStart"/>
            <w:r w:rsidRPr="007E0AF4">
              <w:rPr>
                <w:sz w:val="22"/>
              </w:rPr>
              <w:t>послуг</w:t>
            </w:r>
            <w:proofErr w:type="spellEnd"/>
            <w:r w:rsidRPr="007E0AF4">
              <w:rPr>
                <w:sz w:val="22"/>
              </w:rPr>
              <w:t xml:space="preserve">, </w:t>
            </w:r>
            <w:proofErr w:type="spellStart"/>
            <w:r w:rsidRPr="007E0AF4">
              <w:rPr>
                <w:sz w:val="22"/>
              </w:rPr>
              <w:t>пов’язаних</w:t>
            </w:r>
            <w:proofErr w:type="spellEnd"/>
            <w:r w:rsidRPr="007E0AF4">
              <w:rPr>
                <w:sz w:val="22"/>
              </w:rPr>
              <w:t xml:space="preserve"> </w:t>
            </w:r>
            <w:proofErr w:type="spellStart"/>
            <w:r w:rsidRPr="007E0AF4">
              <w:rPr>
                <w:sz w:val="22"/>
              </w:rPr>
              <w:t>із</w:t>
            </w:r>
            <w:proofErr w:type="spellEnd"/>
            <w:r w:rsidRPr="007E0AF4">
              <w:rPr>
                <w:sz w:val="22"/>
              </w:rPr>
              <w:t xml:space="preserve"> </w:t>
            </w:r>
            <w:proofErr w:type="spellStart"/>
            <w:r w:rsidRPr="007E0AF4">
              <w:rPr>
                <w:sz w:val="22"/>
              </w:rPr>
              <w:t>освітньою</w:t>
            </w:r>
            <w:proofErr w:type="spellEnd"/>
            <w:r w:rsidRPr="007E0AF4">
              <w:rPr>
                <w:sz w:val="22"/>
              </w:rPr>
              <w:t xml:space="preserve"> </w:t>
            </w:r>
            <w:proofErr w:type="spellStart"/>
            <w:r w:rsidRPr="007E0AF4">
              <w:rPr>
                <w:sz w:val="22"/>
              </w:rPr>
              <w:t>діяльністю</w:t>
            </w:r>
            <w:proofErr w:type="spellEnd"/>
            <w:r w:rsidRPr="007E0AF4">
              <w:rPr>
                <w:sz w:val="22"/>
              </w:rPr>
              <w:t xml:space="preserve"> та </w:t>
            </w:r>
            <w:proofErr w:type="spellStart"/>
            <w:r w:rsidRPr="007E0AF4">
              <w:rPr>
                <w:sz w:val="22"/>
              </w:rPr>
              <w:t>задоволення</w:t>
            </w:r>
            <w:proofErr w:type="spellEnd"/>
            <w:r w:rsidRPr="007E0AF4">
              <w:rPr>
                <w:sz w:val="22"/>
              </w:rPr>
              <w:t xml:space="preserve"> потреб </w:t>
            </w:r>
            <w:proofErr w:type="spellStart"/>
            <w:r w:rsidRPr="007E0AF4">
              <w:rPr>
                <w:sz w:val="22"/>
              </w:rPr>
              <w:t>мешканців</w:t>
            </w:r>
            <w:proofErr w:type="spellEnd"/>
            <w:r w:rsidRPr="007E0AF4">
              <w:rPr>
                <w:sz w:val="22"/>
              </w:rPr>
              <w:t xml:space="preserve"> </w:t>
            </w:r>
            <w:proofErr w:type="spellStart"/>
            <w:r w:rsidRPr="007E0AF4">
              <w:rPr>
                <w:sz w:val="22"/>
              </w:rPr>
              <w:t>Сєвєродонецької</w:t>
            </w:r>
            <w:proofErr w:type="spellEnd"/>
            <w:r w:rsidRPr="007E0AF4">
              <w:rPr>
                <w:sz w:val="22"/>
              </w:rPr>
              <w:t xml:space="preserve"> </w:t>
            </w:r>
            <w:proofErr w:type="spellStart"/>
            <w:r w:rsidRPr="007E0AF4">
              <w:rPr>
                <w:sz w:val="22"/>
              </w:rPr>
              <w:t>міської</w:t>
            </w:r>
            <w:proofErr w:type="spellEnd"/>
            <w:r w:rsidRPr="007E0AF4">
              <w:rPr>
                <w:sz w:val="22"/>
              </w:rPr>
              <w:t xml:space="preserve"> </w:t>
            </w:r>
            <w:proofErr w:type="spellStart"/>
            <w:r w:rsidRPr="007E0AF4">
              <w:rPr>
                <w:sz w:val="22"/>
              </w:rPr>
              <w:t>територіальної</w:t>
            </w:r>
            <w:proofErr w:type="spellEnd"/>
            <w:r w:rsidRPr="007E0AF4">
              <w:rPr>
                <w:sz w:val="22"/>
              </w:rPr>
              <w:t xml:space="preserve"> </w:t>
            </w:r>
            <w:proofErr w:type="spellStart"/>
            <w:r w:rsidRPr="007E0AF4">
              <w:rPr>
                <w:sz w:val="22"/>
              </w:rPr>
              <w:t>громади</w:t>
            </w:r>
            <w:proofErr w:type="spellEnd"/>
            <w:r w:rsidRPr="007E0AF4">
              <w:rPr>
                <w:sz w:val="22"/>
              </w:rPr>
              <w:t xml:space="preserve"> у </w:t>
            </w:r>
            <w:proofErr w:type="spellStart"/>
            <w:r w:rsidRPr="007E0AF4">
              <w:rPr>
                <w:sz w:val="22"/>
              </w:rPr>
              <w:t>необхідних</w:t>
            </w:r>
            <w:proofErr w:type="spellEnd"/>
            <w:r w:rsidRPr="007E0AF4">
              <w:rPr>
                <w:sz w:val="22"/>
              </w:rPr>
              <w:t xml:space="preserve"> </w:t>
            </w:r>
            <w:proofErr w:type="spellStart"/>
            <w:r w:rsidRPr="007E0AF4">
              <w:rPr>
                <w:sz w:val="22"/>
              </w:rPr>
              <w:t>послугах</w:t>
            </w:r>
            <w:proofErr w:type="spellEnd"/>
            <w:r w:rsidRPr="007E0AF4">
              <w:rPr>
                <w:sz w:val="22"/>
              </w:rPr>
              <w:t>.</w:t>
            </w:r>
          </w:p>
        </w:tc>
      </w:tr>
      <w:tr w:rsidR="00AD3425" w:rsidRPr="007E0AF4" w:rsidTr="00AD3425">
        <w:tc>
          <w:tcPr>
            <w:tcW w:w="2978" w:type="dxa"/>
            <w:shd w:val="clear" w:color="auto" w:fill="C6D9F1" w:themeFill="text2" w:themeFillTint="33"/>
          </w:tcPr>
          <w:p w:rsidR="00AD3425" w:rsidRPr="007E0AF4" w:rsidRDefault="00AD3425" w:rsidP="001E6C97">
            <w:pPr>
              <w:pStyle w:val="a7"/>
              <w:ind w:left="0"/>
              <w:rPr>
                <w:b/>
                <w:sz w:val="22"/>
              </w:rPr>
            </w:pPr>
            <w:proofErr w:type="spellStart"/>
            <w:r w:rsidRPr="007E0AF4">
              <w:rPr>
                <w:b/>
                <w:sz w:val="22"/>
              </w:rPr>
              <w:t>Територія</w:t>
            </w:r>
            <w:proofErr w:type="spellEnd"/>
            <w:r w:rsidRPr="007E0AF4">
              <w:rPr>
                <w:b/>
                <w:sz w:val="22"/>
              </w:rPr>
              <w:t xml:space="preserve">, </w:t>
            </w:r>
            <w:proofErr w:type="gramStart"/>
            <w:r w:rsidRPr="007E0AF4">
              <w:rPr>
                <w:b/>
                <w:sz w:val="22"/>
              </w:rPr>
              <w:t>на яку</w:t>
            </w:r>
            <w:proofErr w:type="gramEnd"/>
            <w:r w:rsidRPr="007E0AF4">
              <w:rPr>
                <w:b/>
                <w:sz w:val="22"/>
              </w:rPr>
              <w:t xml:space="preserve"> </w:t>
            </w:r>
            <w:proofErr w:type="spellStart"/>
            <w:r w:rsidRPr="007E0AF4">
              <w:rPr>
                <w:b/>
                <w:sz w:val="22"/>
              </w:rPr>
              <w:t>матиме</w:t>
            </w:r>
            <w:proofErr w:type="spellEnd"/>
            <w:r w:rsidRPr="007E0AF4">
              <w:rPr>
                <w:b/>
                <w:sz w:val="22"/>
              </w:rPr>
              <w:t xml:space="preserve"> </w:t>
            </w:r>
            <w:proofErr w:type="spellStart"/>
            <w:r w:rsidRPr="007E0AF4">
              <w:rPr>
                <w:b/>
                <w:sz w:val="22"/>
              </w:rPr>
              <w:t>вплив</w:t>
            </w:r>
            <w:proofErr w:type="spellEnd"/>
            <w:r w:rsidRPr="007E0AF4">
              <w:rPr>
                <w:b/>
                <w:sz w:val="22"/>
              </w:rPr>
              <w:t xml:space="preserve"> </w:t>
            </w:r>
            <w:proofErr w:type="spellStart"/>
            <w:r w:rsidRPr="007E0AF4">
              <w:rPr>
                <w:b/>
                <w:sz w:val="22"/>
              </w:rPr>
              <w:t>реалізація</w:t>
            </w:r>
            <w:proofErr w:type="spellEnd"/>
            <w:r w:rsidRPr="007E0AF4">
              <w:rPr>
                <w:b/>
                <w:sz w:val="22"/>
              </w:rPr>
              <w:t xml:space="preserve"> проекту</w:t>
            </w:r>
          </w:p>
        </w:tc>
        <w:tc>
          <w:tcPr>
            <w:tcW w:w="6945" w:type="dxa"/>
            <w:gridSpan w:val="7"/>
          </w:tcPr>
          <w:p w:rsidR="00AD3425" w:rsidRPr="007E0AF4" w:rsidRDefault="00AD3425" w:rsidP="001E6C97">
            <w:pPr>
              <w:pStyle w:val="a7"/>
              <w:ind w:left="0"/>
              <w:rPr>
                <w:sz w:val="22"/>
              </w:rPr>
            </w:pPr>
            <w:proofErr w:type="spellStart"/>
            <w:r w:rsidRPr="007E0AF4">
              <w:rPr>
                <w:sz w:val="22"/>
              </w:rPr>
              <w:t>Сєвєродонецька</w:t>
            </w:r>
            <w:proofErr w:type="spellEnd"/>
            <w:r w:rsidRPr="007E0AF4">
              <w:rPr>
                <w:sz w:val="22"/>
              </w:rPr>
              <w:t xml:space="preserve"> </w:t>
            </w:r>
            <w:proofErr w:type="spellStart"/>
            <w:r w:rsidRPr="007E0AF4">
              <w:rPr>
                <w:sz w:val="22"/>
              </w:rPr>
              <w:t>міська</w:t>
            </w:r>
            <w:proofErr w:type="spellEnd"/>
            <w:r w:rsidRPr="007E0AF4">
              <w:rPr>
                <w:sz w:val="22"/>
              </w:rPr>
              <w:t xml:space="preserve"> </w:t>
            </w:r>
            <w:proofErr w:type="spellStart"/>
            <w:r w:rsidRPr="007E0AF4">
              <w:rPr>
                <w:sz w:val="22"/>
              </w:rPr>
              <w:t>територіальна</w:t>
            </w:r>
            <w:proofErr w:type="spellEnd"/>
            <w:r w:rsidRPr="007E0AF4">
              <w:rPr>
                <w:sz w:val="22"/>
              </w:rPr>
              <w:t xml:space="preserve"> громада</w:t>
            </w:r>
          </w:p>
        </w:tc>
      </w:tr>
      <w:tr w:rsidR="00AD3425" w:rsidRPr="007E0AF4" w:rsidTr="00AD3425">
        <w:tc>
          <w:tcPr>
            <w:tcW w:w="2978" w:type="dxa"/>
            <w:shd w:val="clear" w:color="auto" w:fill="C6D9F1" w:themeFill="text2" w:themeFillTint="33"/>
          </w:tcPr>
          <w:p w:rsidR="00AD3425" w:rsidRPr="007E0AF4" w:rsidRDefault="00AD3425" w:rsidP="001E6C97">
            <w:pPr>
              <w:pStyle w:val="a7"/>
              <w:ind w:left="0"/>
              <w:rPr>
                <w:b/>
                <w:sz w:val="22"/>
              </w:rPr>
            </w:pPr>
            <w:proofErr w:type="spellStart"/>
            <w:r w:rsidRPr="007E0AF4">
              <w:rPr>
                <w:b/>
                <w:sz w:val="22"/>
              </w:rPr>
              <w:t>Чисельність</w:t>
            </w:r>
            <w:proofErr w:type="spellEnd"/>
            <w:r w:rsidRPr="007E0AF4">
              <w:rPr>
                <w:b/>
                <w:sz w:val="22"/>
              </w:rPr>
              <w:t xml:space="preserve"> </w:t>
            </w:r>
            <w:proofErr w:type="spellStart"/>
            <w:r w:rsidRPr="007E0AF4">
              <w:rPr>
                <w:b/>
                <w:sz w:val="22"/>
              </w:rPr>
              <w:t>населення</w:t>
            </w:r>
            <w:proofErr w:type="spellEnd"/>
            <w:r w:rsidRPr="007E0AF4">
              <w:rPr>
                <w:b/>
                <w:sz w:val="22"/>
              </w:rPr>
              <w:t xml:space="preserve">, на яке </w:t>
            </w:r>
            <w:proofErr w:type="spellStart"/>
            <w:r w:rsidRPr="007E0AF4">
              <w:rPr>
                <w:b/>
                <w:sz w:val="22"/>
              </w:rPr>
              <w:t>матиме</w:t>
            </w:r>
            <w:proofErr w:type="spellEnd"/>
            <w:r w:rsidRPr="007E0AF4">
              <w:rPr>
                <w:b/>
                <w:sz w:val="22"/>
              </w:rPr>
              <w:t xml:space="preserve"> </w:t>
            </w:r>
            <w:proofErr w:type="spellStart"/>
            <w:r w:rsidRPr="007E0AF4">
              <w:rPr>
                <w:b/>
                <w:sz w:val="22"/>
              </w:rPr>
              <w:t>вплив</w:t>
            </w:r>
            <w:proofErr w:type="spellEnd"/>
            <w:r w:rsidRPr="007E0AF4">
              <w:rPr>
                <w:b/>
                <w:sz w:val="22"/>
              </w:rPr>
              <w:t xml:space="preserve"> </w:t>
            </w:r>
            <w:proofErr w:type="spellStart"/>
            <w:r w:rsidRPr="007E0AF4">
              <w:rPr>
                <w:b/>
                <w:sz w:val="22"/>
              </w:rPr>
              <w:t>реалізація</w:t>
            </w:r>
            <w:proofErr w:type="spellEnd"/>
            <w:r w:rsidRPr="007E0AF4">
              <w:rPr>
                <w:b/>
                <w:sz w:val="22"/>
              </w:rPr>
              <w:t xml:space="preserve"> проекту</w:t>
            </w:r>
          </w:p>
        </w:tc>
        <w:tc>
          <w:tcPr>
            <w:tcW w:w="6945" w:type="dxa"/>
            <w:gridSpan w:val="7"/>
          </w:tcPr>
          <w:p w:rsidR="00AD3425" w:rsidRPr="007E0AF4" w:rsidRDefault="00AD3425" w:rsidP="001E6C97">
            <w:pPr>
              <w:pStyle w:val="a7"/>
              <w:ind w:left="0"/>
              <w:rPr>
                <w:sz w:val="22"/>
              </w:rPr>
            </w:pPr>
            <w:r w:rsidRPr="007E0AF4">
              <w:rPr>
                <w:sz w:val="22"/>
              </w:rPr>
              <w:t xml:space="preserve">70 000 </w:t>
            </w:r>
            <w:proofErr w:type="spellStart"/>
            <w:r w:rsidRPr="007E0AF4">
              <w:rPr>
                <w:sz w:val="22"/>
              </w:rPr>
              <w:t>осіб</w:t>
            </w:r>
            <w:proofErr w:type="spellEnd"/>
          </w:p>
        </w:tc>
      </w:tr>
      <w:tr w:rsidR="00AD3425" w:rsidRPr="007E0AF4" w:rsidTr="00AD3425">
        <w:tc>
          <w:tcPr>
            <w:tcW w:w="2978" w:type="dxa"/>
            <w:shd w:val="clear" w:color="auto" w:fill="C6D9F1" w:themeFill="text2" w:themeFillTint="33"/>
          </w:tcPr>
          <w:p w:rsidR="00AD3425" w:rsidRPr="007E0AF4" w:rsidRDefault="00AD3425" w:rsidP="001E6C97">
            <w:pPr>
              <w:rPr>
                <w:b/>
                <w:sz w:val="22"/>
              </w:rPr>
            </w:pPr>
            <w:proofErr w:type="spellStart"/>
            <w:r w:rsidRPr="007E0AF4">
              <w:rPr>
                <w:b/>
                <w:sz w:val="22"/>
              </w:rPr>
              <w:t>Опис</w:t>
            </w:r>
            <w:proofErr w:type="spellEnd"/>
            <w:r w:rsidRPr="007E0AF4">
              <w:rPr>
                <w:b/>
                <w:sz w:val="22"/>
              </w:rPr>
              <w:t xml:space="preserve"> </w:t>
            </w:r>
            <w:proofErr w:type="spellStart"/>
            <w:r w:rsidRPr="007E0AF4">
              <w:rPr>
                <w:b/>
                <w:sz w:val="22"/>
              </w:rPr>
              <w:t>проблеми</w:t>
            </w:r>
            <w:proofErr w:type="spellEnd"/>
            <w:r w:rsidRPr="007E0AF4">
              <w:rPr>
                <w:b/>
                <w:sz w:val="22"/>
              </w:rPr>
              <w:t xml:space="preserve">, на </w:t>
            </w:r>
            <w:proofErr w:type="spellStart"/>
            <w:r w:rsidRPr="007E0AF4">
              <w:rPr>
                <w:b/>
                <w:sz w:val="22"/>
              </w:rPr>
              <w:t>вирішення</w:t>
            </w:r>
            <w:proofErr w:type="spellEnd"/>
            <w:r w:rsidRPr="007E0AF4">
              <w:rPr>
                <w:b/>
                <w:sz w:val="22"/>
              </w:rPr>
              <w:t xml:space="preserve"> </w:t>
            </w:r>
            <w:proofErr w:type="spellStart"/>
            <w:proofErr w:type="gramStart"/>
            <w:r w:rsidRPr="007E0AF4">
              <w:rPr>
                <w:b/>
                <w:sz w:val="22"/>
              </w:rPr>
              <w:t>якої</w:t>
            </w:r>
            <w:proofErr w:type="spellEnd"/>
            <w:r w:rsidRPr="007E0AF4">
              <w:rPr>
                <w:b/>
                <w:sz w:val="22"/>
              </w:rPr>
              <w:t xml:space="preserve">  </w:t>
            </w:r>
            <w:proofErr w:type="spellStart"/>
            <w:r w:rsidRPr="007E0AF4">
              <w:rPr>
                <w:b/>
                <w:sz w:val="22"/>
              </w:rPr>
              <w:t>спрямований</w:t>
            </w:r>
            <w:proofErr w:type="spellEnd"/>
            <w:proofErr w:type="gramEnd"/>
            <w:r w:rsidRPr="007E0AF4">
              <w:rPr>
                <w:b/>
                <w:sz w:val="22"/>
              </w:rPr>
              <w:t xml:space="preserve"> проект</w:t>
            </w:r>
          </w:p>
        </w:tc>
        <w:tc>
          <w:tcPr>
            <w:tcW w:w="6945" w:type="dxa"/>
            <w:gridSpan w:val="7"/>
          </w:tcPr>
          <w:p w:rsidR="00AD3425" w:rsidRPr="007E0AF4" w:rsidRDefault="00AD3425" w:rsidP="001E6C97">
            <w:pPr>
              <w:rPr>
                <w:sz w:val="22"/>
              </w:rPr>
            </w:pPr>
            <w:r w:rsidRPr="007E0AF4">
              <w:rPr>
                <w:sz w:val="22"/>
              </w:rPr>
              <w:t xml:space="preserve">Через </w:t>
            </w:r>
            <w:proofErr w:type="spellStart"/>
            <w:r w:rsidRPr="007E0AF4">
              <w:rPr>
                <w:sz w:val="22"/>
              </w:rPr>
              <w:t>військову</w:t>
            </w:r>
            <w:proofErr w:type="spellEnd"/>
            <w:r w:rsidRPr="007E0AF4">
              <w:rPr>
                <w:sz w:val="22"/>
              </w:rPr>
              <w:t xml:space="preserve"> </w:t>
            </w:r>
            <w:proofErr w:type="spellStart"/>
            <w:r w:rsidRPr="007E0AF4">
              <w:rPr>
                <w:sz w:val="22"/>
              </w:rPr>
              <w:t>агресію</w:t>
            </w:r>
            <w:proofErr w:type="spellEnd"/>
            <w:r w:rsidRPr="007E0AF4">
              <w:rPr>
                <w:sz w:val="22"/>
              </w:rPr>
              <w:t xml:space="preserve"> РФ </w:t>
            </w:r>
            <w:proofErr w:type="spellStart"/>
            <w:r w:rsidRPr="007E0AF4">
              <w:rPr>
                <w:sz w:val="22"/>
              </w:rPr>
              <w:t>територія</w:t>
            </w:r>
            <w:proofErr w:type="spellEnd"/>
            <w:r w:rsidRPr="007E0AF4">
              <w:rPr>
                <w:sz w:val="22"/>
              </w:rPr>
              <w:t xml:space="preserve"> </w:t>
            </w:r>
            <w:proofErr w:type="spellStart"/>
            <w:r w:rsidRPr="007E0AF4">
              <w:rPr>
                <w:sz w:val="22"/>
              </w:rPr>
              <w:t>Сєвєродонецької</w:t>
            </w:r>
            <w:proofErr w:type="spellEnd"/>
            <w:r w:rsidRPr="007E0AF4">
              <w:rPr>
                <w:sz w:val="22"/>
              </w:rPr>
              <w:t xml:space="preserve"> </w:t>
            </w:r>
            <w:proofErr w:type="spellStart"/>
            <w:r w:rsidRPr="007E0AF4">
              <w:rPr>
                <w:sz w:val="22"/>
              </w:rPr>
              <w:t>міської</w:t>
            </w:r>
            <w:proofErr w:type="spellEnd"/>
            <w:r w:rsidRPr="007E0AF4">
              <w:rPr>
                <w:sz w:val="22"/>
              </w:rPr>
              <w:t xml:space="preserve"> </w:t>
            </w:r>
            <w:proofErr w:type="spellStart"/>
            <w:r w:rsidRPr="007E0AF4">
              <w:rPr>
                <w:sz w:val="22"/>
              </w:rPr>
              <w:t>територіальної</w:t>
            </w:r>
            <w:proofErr w:type="spellEnd"/>
            <w:r w:rsidRPr="007E0AF4">
              <w:rPr>
                <w:sz w:val="22"/>
              </w:rPr>
              <w:t xml:space="preserve"> </w:t>
            </w:r>
            <w:proofErr w:type="spellStart"/>
            <w:r w:rsidRPr="007E0AF4">
              <w:rPr>
                <w:sz w:val="22"/>
              </w:rPr>
              <w:t>громади</w:t>
            </w:r>
            <w:proofErr w:type="spellEnd"/>
            <w:r w:rsidRPr="007E0AF4">
              <w:rPr>
                <w:sz w:val="22"/>
              </w:rPr>
              <w:t xml:space="preserve"> </w:t>
            </w:r>
            <w:proofErr w:type="spellStart"/>
            <w:r w:rsidRPr="007E0AF4">
              <w:rPr>
                <w:sz w:val="22"/>
              </w:rPr>
              <w:t>зазнала</w:t>
            </w:r>
            <w:proofErr w:type="spellEnd"/>
            <w:r w:rsidRPr="007E0AF4">
              <w:rPr>
                <w:sz w:val="22"/>
              </w:rPr>
              <w:t xml:space="preserve"> </w:t>
            </w:r>
            <w:proofErr w:type="spellStart"/>
            <w:r w:rsidRPr="007E0AF4">
              <w:rPr>
                <w:sz w:val="22"/>
              </w:rPr>
              <w:t>значних</w:t>
            </w:r>
            <w:proofErr w:type="spellEnd"/>
            <w:r w:rsidRPr="007E0AF4">
              <w:rPr>
                <w:sz w:val="22"/>
              </w:rPr>
              <w:t xml:space="preserve"> </w:t>
            </w:r>
            <w:proofErr w:type="spellStart"/>
            <w:r w:rsidRPr="007E0AF4">
              <w:rPr>
                <w:sz w:val="22"/>
              </w:rPr>
              <w:t>пошкоджень</w:t>
            </w:r>
            <w:proofErr w:type="spellEnd"/>
            <w:r w:rsidRPr="007E0AF4">
              <w:rPr>
                <w:sz w:val="22"/>
              </w:rPr>
              <w:t xml:space="preserve">. Не </w:t>
            </w:r>
            <w:proofErr w:type="spellStart"/>
            <w:r w:rsidRPr="007E0AF4">
              <w:rPr>
                <w:sz w:val="22"/>
              </w:rPr>
              <w:t>оминуло</w:t>
            </w:r>
            <w:proofErr w:type="spellEnd"/>
            <w:r w:rsidRPr="007E0AF4">
              <w:rPr>
                <w:sz w:val="22"/>
              </w:rPr>
              <w:t xml:space="preserve"> </w:t>
            </w:r>
            <w:proofErr w:type="spellStart"/>
            <w:r w:rsidRPr="007E0AF4">
              <w:rPr>
                <w:sz w:val="22"/>
              </w:rPr>
              <w:t>це</w:t>
            </w:r>
            <w:proofErr w:type="spellEnd"/>
            <w:r w:rsidRPr="007E0AF4">
              <w:rPr>
                <w:sz w:val="22"/>
              </w:rPr>
              <w:t xml:space="preserve"> і </w:t>
            </w:r>
            <w:proofErr w:type="spellStart"/>
            <w:r w:rsidRPr="007E0AF4">
              <w:rPr>
                <w:sz w:val="22"/>
              </w:rPr>
              <w:t>Гімназію</w:t>
            </w:r>
            <w:proofErr w:type="spellEnd"/>
            <w:r w:rsidRPr="007E0AF4">
              <w:rPr>
                <w:sz w:val="22"/>
              </w:rPr>
              <w:t xml:space="preserve"> № 20.</w:t>
            </w:r>
          </w:p>
          <w:p w:rsidR="00AD3425" w:rsidRPr="007E0AF4" w:rsidRDefault="00AD3425" w:rsidP="001E6C97">
            <w:pPr>
              <w:rPr>
                <w:sz w:val="22"/>
              </w:rPr>
            </w:pPr>
            <w:r w:rsidRPr="007E0AF4">
              <w:rPr>
                <w:sz w:val="22"/>
              </w:rPr>
              <w:t xml:space="preserve">Вся </w:t>
            </w:r>
            <w:proofErr w:type="spellStart"/>
            <w:r w:rsidRPr="007E0AF4">
              <w:rPr>
                <w:sz w:val="22"/>
              </w:rPr>
              <w:t>матеріально-технічна</w:t>
            </w:r>
            <w:proofErr w:type="spellEnd"/>
            <w:r w:rsidRPr="007E0AF4">
              <w:rPr>
                <w:sz w:val="22"/>
              </w:rPr>
              <w:t xml:space="preserve"> база </w:t>
            </w:r>
            <w:proofErr w:type="spellStart"/>
            <w:r w:rsidRPr="007E0AF4">
              <w:rPr>
                <w:sz w:val="22"/>
              </w:rPr>
              <w:t>підприємства</w:t>
            </w:r>
            <w:proofErr w:type="spellEnd"/>
            <w:r w:rsidRPr="007E0AF4">
              <w:rPr>
                <w:sz w:val="22"/>
              </w:rPr>
              <w:t xml:space="preserve">, </w:t>
            </w:r>
            <w:proofErr w:type="spellStart"/>
            <w:r w:rsidRPr="007E0AF4">
              <w:rPr>
                <w:sz w:val="22"/>
              </w:rPr>
              <w:t>зокрема</w:t>
            </w:r>
            <w:proofErr w:type="spellEnd"/>
            <w:r w:rsidRPr="007E0AF4">
              <w:rPr>
                <w:sz w:val="22"/>
              </w:rPr>
              <w:t>:</w:t>
            </w:r>
          </w:p>
          <w:p w:rsidR="00AD3425" w:rsidRPr="007E0AF4" w:rsidRDefault="00AD3425" w:rsidP="000303D7">
            <w:pPr>
              <w:numPr>
                <w:ilvl w:val="0"/>
                <w:numId w:val="9"/>
              </w:numPr>
              <w:tabs>
                <w:tab w:val="clear" w:pos="1068"/>
              </w:tabs>
              <w:ind w:left="369"/>
              <w:rPr>
                <w:sz w:val="22"/>
              </w:rPr>
            </w:pPr>
            <w:proofErr w:type="spellStart"/>
            <w:r w:rsidRPr="007E0AF4">
              <w:rPr>
                <w:sz w:val="22"/>
              </w:rPr>
              <w:t>обладнання</w:t>
            </w:r>
            <w:proofErr w:type="spellEnd"/>
            <w:r w:rsidRPr="007E0AF4">
              <w:rPr>
                <w:sz w:val="22"/>
              </w:rPr>
              <w:t xml:space="preserve"> (</w:t>
            </w:r>
            <w:proofErr w:type="spellStart"/>
            <w:r w:rsidRPr="007E0AF4">
              <w:rPr>
                <w:sz w:val="22"/>
              </w:rPr>
              <w:t>устаткування</w:t>
            </w:r>
            <w:proofErr w:type="spellEnd"/>
            <w:r w:rsidRPr="007E0AF4">
              <w:rPr>
                <w:sz w:val="22"/>
              </w:rPr>
              <w:t xml:space="preserve">): </w:t>
            </w:r>
            <w:proofErr w:type="spellStart"/>
            <w:r w:rsidRPr="007E0AF4">
              <w:rPr>
                <w:sz w:val="22"/>
              </w:rPr>
              <w:t>одномісні</w:t>
            </w:r>
            <w:proofErr w:type="spellEnd"/>
            <w:r w:rsidRPr="007E0AF4">
              <w:rPr>
                <w:sz w:val="22"/>
              </w:rPr>
              <w:t xml:space="preserve"> парти, </w:t>
            </w:r>
            <w:proofErr w:type="spellStart"/>
            <w:r w:rsidRPr="007E0AF4">
              <w:rPr>
                <w:sz w:val="22"/>
              </w:rPr>
              <w:t>стільці</w:t>
            </w:r>
            <w:proofErr w:type="spellEnd"/>
            <w:r w:rsidRPr="007E0AF4">
              <w:rPr>
                <w:sz w:val="22"/>
              </w:rPr>
              <w:t xml:space="preserve">, </w:t>
            </w:r>
            <w:proofErr w:type="spellStart"/>
            <w:r w:rsidRPr="007E0AF4">
              <w:rPr>
                <w:sz w:val="22"/>
              </w:rPr>
              <w:t>дошки</w:t>
            </w:r>
            <w:proofErr w:type="spellEnd"/>
            <w:r w:rsidRPr="007E0AF4">
              <w:rPr>
                <w:sz w:val="22"/>
              </w:rPr>
              <w:t xml:space="preserve">, </w:t>
            </w:r>
            <w:proofErr w:type="spellStart"/>
            <w:r w:rsidRPr="007E0AF4">
              <w:rPr>
                <w:sz w:val="22"/>
              </w:rPr>
              <w:t>вчительські</w:t>
            </w:r>
            <w:proofErr w:type="spellEnd"/>
            <w:r w:rsidRPr="007E0AF4">
              <w:rPr>
                <w:sz w:val="22"/>
              </w:rPr>
              <w:t xml:space="preserve"> </w:t>
            </w:r>
            <w:proofErr w:type="spellStart"/>
            <w:r w:rsidRPr="007E0AF4">
              <w:rPr>
                <w:sz w:val="22"/>
              </w:rPr>
              <w:t>столи</w:t>
            </w:r>
            <w:proofErr w:type="spellEnd"/>
            <w:r w:rsidRPr="007E0AF4">
              <w:rPr>
                <w:sz w:val="22"/>
              </w:rPr>
              <w:t xml:space="preserve"> і </w:t>
            </w:r>
            <w:proofErr w:type="spellStart"/>
            <w:r w:rsidRPr="007E0AF4">
              <w:rPr>
                <w:sz w:val="22"/>
              </w:rPr>
              <w:t>стільці</w:t>
            </w:r>
            <w:proofErr w:type="spellEnd"/>
            <w:r w:rsidRPr="007E0AF4">
              <w:rPr>
                <w:sz w:val="22"/>
              </w:rPr>
              <w:t xml:space="preserve">, </w:t>
            </w:r>
            <w:proofErr w:type="spellStart"/>
            <w:r w:rsidRPr="007E0AF4">
              <w:rPr>
                <w:sz w:val="22"/>
              </w:rPr>
              <w:t>кабінетні</w:t>
            </w:r>
            <w:proofErr w:type="spellEnd"/>
            <w:r w:rsidRPr="007E0AF4">
              <w:rPr>
                <w:sz w:val="22"/>
              </w:rPr>
              <w:t xml:space="preserve"> </w:t>
            </w:r>
            <w:proofErr w:type="spellStart"/>
            <w:r w:rsidRPr="007E0AF4">
              <w:rPr>
                <w:sz w:val="22"/>
              </w:rPr>
              <w:t>шафи</w:t>
            </w:r>
            <w:proofErr w:type="spellEnd"/>
            <w:r w:rsidRPr="007E0AF4">
              <w:rPr>
                <w:sz w:val="22"/>
              </w:rPr>
              <w:t xml:space="preserve">, </w:t>
            </w:r>
            <w:proofErr w:type="spellStart"/>
            <w:r w:rsidRPr="007E0AF4">
              <w:rPr>
                <w:sz w:val="22"/>
              </w:rPr>
              <w:t>устаткування</w:t>
            </w:r>
            <w:proofErr w:type="spellEnd"/>
            <w:r w:rsidRPr="007E0AF4">
              <w:rPr>
                <w:sz w:val="22"/>
              </w:rPr>
              <w:t xml:space="preserve"> </w:t>
            </w:r>
            <w:proofErr w:type="spellStart"/>
            <w:r w:rsidRPr="007E0AF4">
              <w:rPr>
                <w:sz w:val="22"/>
              </w:rPr>
              <w:t>спеціалізованих</w:t>
            </w:r>
            <w:proofErr w:type="spellEnd"/>
            <w:r w:rsidRPr="007E0AF4">
              <w:rPr>
                <w:sz w:val="22"/>
              </w:rPr>
              <w:t xml:space="preserve"> </w:t>
            </w:r>
            <w:proofErr w:type="spellStart"/>
            <w:r w:rsidRPr="007E0AF4">
              <w:rPr>
                <w:sz w:val="22"/>
              </w:rPr>
              <w:t>кабінетів</w:t>
            </w:r>
            <w:proofErr w:type="spellEnd"/>
            <w:r w:rsidRPr="007E0AF4">
              <w:rPr>
                <w:sz w:val="22"/>
              </w:rPr>
              <w:t xml:space="preserve"> </w:t>
            </w:r>
            <w:proofErr w:type="spellStart"/>
            <w:r w:rsidRPr="007E0AF4">
              <w:rPr>
                <w:sz w:val="22"/>
              </w:rPr>
              <w:t>хімії</w:t>
            </w:r>
            <w:proofErr w:type="spellEnd"/>
            <w:r w:rsidRPr="007E0AF4">
              <w:rPr>
                <w:sz w:val="22"/>
              </w:rPr>
              <w:t xml:space="preserve">, </w:t>
            </w:r>
            <w:proofErr w:type="spellStart"/>
            <w:r w:rsidRPr="007E0AF4">
              <w:rPr>
                <w:sz w:val="22"/>
              </w:rPr>
              <w:t>фізики</w:t>
            </w:r>
            <w:proofErr w:type="spellEnd"/>
            <w:r w:rsidRPr="007E0AF4">
              <w:rPr>
                <w:sz w:val="22"/>
              </w:rPr>
              <w:t xml:space="preserve">, трудового </w:t>
            </w:r>
            <w:proofErr w:type="spellStart"/>
            <w:r w:rsidRPr="007E0AF4">
              <w:rPr>
                <w:sz w:val="22"/>
              </w:rPr>
              <w:t>навчання</w:t>
            </w:r>
            <w:proofErr w:type="spellEnd"/>
            <w:r w:rsidRPr="007E0AF4">
              <w:rPr>
                <w:sz w:val="22"/>
              </w:rPr>
              <w:t xml:space="preserve">, </w:t>
            </w:r>
            <w:proofErr w:type="spellStart"/>
            <w:r w:rsidRPr="007E0AF4">
              <w:rPr>
                <w:sz w:val="22"/>
              </w:rPr>
              <w:t>шкільної</w:t>
            </w:r>
            <w:proofErr w:type="spellEnd"/>
            <w:r w:rsidRPr="007E0AF4">
              <w:rPr>
                <w:sz w:val="22"/>
              </w:rPr>
              <w:t xml:space="preserve"> </w:t>
            </w:r>
            <w:proofErr w:type="spellStart"/>
            <w:r w:rsidRPr="007E0AF4">
              <w:rPr>
                <w:sz w:val="22"/>
              </w:rPr>
              <w:t>їдальні</w:t>
            </w:r>
            <w:proofErr w:type="spellEnd"/>
            <w:r w:rsidRPr="007E0AF4">
              <w:rPr>
                <w:sz w:val="22"/>
              </w:rPr>
              <w:t xml:space="preserve">, </w:t>
            </w:r>
            <w:proofErr w:type="spellStart"/>
            <w:r w:rsidRPr="007E0AF4">
              <w:rPr>
                <w:sz w:val="22"/>
              </w:rPr>
              <w:t>двох</w:t>
            </w:r>
            <w:proofErr w:type="spellEnd"/>
            <w:r w:rsidRPr="007E0AF4">
              <w:rPr>
                <w:sz w:val="22"/>
              </w:rPr>
              <w:t xml:space="preserve"> </w:t>
            </w:r>
            <w:proofErr w:type="spellStart"/>
            <w:r w:rsidRPr="007E0AF4">
              <w:rPr>
                <w:sz w:val="22"/>
              </w:rPr>
              <w:t>спортивних</w:t>
            </w:r>
            <w:proofErr w:type="spellEnd"/>
            <w:r w:rsidRPr="007E0AF4">
              <w:rPr>
                <w:sz w:val="22"/>
              </w:rPr>
              <w:t xml:space="preserve"> </w:t>
            </w:r>
            <w:proofErr w:type="spellStart"/>
            <w:r w:rsidRPr="007E0AF4">
              <w:rPr>
                <w:sz w:val="22"/>
              </w:rPr>
              <w:t>залів</w:t>
            </w:r>
            <w:proofErr w:type="spellEnd"/>
            <w:r w:rsidRPr="007E0AF4">
              <w:rPr>
                <w:sz w:val="22"/>
              </w:rPr>
              <w:t xml:space="preserve">, </w:t>
            </w:r>
            <w:proofErr w:type="spellStart"/>
            <w:r w:rsidRPr="007E0AF4">
              <w:rPr>
                <w:sz w:val="22"/>
              </w:rPr>
              <w:t>двох</w:t>
            </w:r>
            <w:proofErr w:type="spellEnd"/>
            <w:r w:rsidRPr="007E0AF4">
              <w:rPr>
                <w:sz w:val="22"/>
              </w:rPr>
              <w:t xml:space="preserve"> </w:t>
            </w:r>
            <w:proofErr w:type="spellStart"/>
            <w:r w:rsidRPr="007E0AF4">
              <w:rPr>
                <w:sz w:val="22"/>
              </w:rPr>
              <w:t>комп’ютерних</w:t>
            </w:r>
            <w:proofErr w:type="spellEnd"/>
            <w:r w:rsidRPr="007E0AF4">
              <w:rPr>
                <w:sz w:val="22"/>
              </w:rPr>
              <w:t xml:space="preserve"> </w:t>
            </w:r>
            <w:proofErr w:type="spellStart"/>
            <w:r w:rsidRPr="007E0AF4">
              <w:rPr>
                <w:sz w:val="22"/>
              </w:rPr>
              <w:t>класів</w:t>
            </w:r>
            <w:proofErr w:type="spellEnd"/>
            <w:r w:rsidRPr="007E0AF4">
              <w:rPr>
                <w:sz w:val="22"/>
              </w:rPr>
              <w:t xml:space="preserve">, </w:t>
            </w:r>
            <w:proofErr w:type="spellStart"/>
            <w:r w:rsidRPr="007E0AF4">
              <w:rPr>
                <w:sz w:val="22"/>
              </w:rPr>
              <w:t>медичного</w:t>
            </w:r>
            <w:proofErr w:type="spellEnd"/>
            <w:r w:rsidRPr="007E0AF4">
              <w:rPr>
                <w:sz w:val="22"/>
              </w:rPr>
              <w:t xml:space="preserve"> </w:t>
            </w:r>
            <w:proofErr w:type="spellStart"/>
            <w:r w:rsidRPr="007E0AF4">
              <w:rPr>
                <w:sz w:val="22"/>
              </w:rPr>
              <w:t>кабінету</w:t>
            </w:r>
            <w:proofErr w:type="spellEnd"/>
            <w:r w:rsidRPr="007E0AF4">
              <w:rPr>
                <w:sz w:val="22"/>
              </w:rPr>
              <w:t xml:space="preserve">, </w:t>
            </w:r>
            <w:proofErr w:type="spellStart"/>
            <w:r w:rsidRPr="007E0AF4">
              <w:rPr>
                <w:sz w:val="22"/>
              </w:rPr>
              <w:t>ресурсної</w:t>
            </w:r>
            <w:proofErr w:type="spellEnd"/>
            <w:r w:rsidRPr="007E0AF4">
              <w:rPr>
                <w:sz w:val="22"/>
              </w:rPr>
              <w:t xml:space="preserve"> </w:t>
            </w:r>
            <w:proofErr w:type="spellStart"/>
            <w:r w:rsidRPr="007E0AF4">
              <w:rPr>
                <w:sz w:val="22"/>
              </w:rPr>
              <w:t>кімнати</w:t>
            </w:r>
            <w:proofErr w:type="spellEnd"/>
            <w:r w:rsidRPr="007E0AF4">
              <w:rPr>
                <w:sz w:val="22"/>
              </w:rPr>
              <w:t xml:space="preserve"> для </w:t>
            </w:r>
            <w:proofErr w:type="spellStart"/>
            <w:r w:rsidRPr="007E0AF4">
              <w:rPr>
                <w:sz w:val="22"/>
              </w:rPr>
              <w:t>інклюзивної</w:t>
            </w:r>
            <w:proofErr w:type="spellEnd"/>
            <w:r w:rsidRPr="007E0AF4">
              <w:rPr>
                <w:sz w:val="22"/>
              </w:rPr>
              <w:t xml:space="preserve"> </w:t>
            </w:r>
            <w:proofErr w:type="spellStart"/>
            <w:r w:rsidRPr="007E0AF4">
              <w:rPr>
                <w:sz w:val="22"/>
              </w:rPr>
              <w:t>освіти</w:t>
            </w:r>
            <w:proofErr w:type="spellEnd"/>
            <w:r w:rsidRPr="007E0AF4">
              <w:rPr>
                <w:sz w:val="22"/>
              </w:rPr>
              <w:t xml:space="preserve">, </w:t>
            </w:r>
            <w:proofErr w:type="spellStart"/>
            <w:r w:rsidRPr="007E0AF4">
              <w:rPr>
                <w:sz w:val="22"/>
              </w:rPr>
              <w:t>шкільної</w:t>
            </w:r>
            <w:proofErr w:type="spellEnd"/>
            <w:r w:rsidRPr="007E0AF4">
              <w:rPr>
                <w:sz w:val="22"/>
              </w:rPr>
              <w:t xml:space="preserve"> </w:t>
            </w:r>
            <w:proofErr w:type="spellStart"/>
            <w:r w:rsidRPr="007E0AF4">
              <w:rPr>
                <w:sz w:val="22"/>
              </w:rPr>
              <w:t>бібліотеки</w:t>
            </w:r>
            <w:proofErr w:type="spellEnd"/>
            <w:r w:rsidRPr="007E0AF4">
              <w:rPr>
                <w:sz w:val="22"/>
              </w:rPr>
              <w:t xml:space="preserve">, </w:t>
            </w:r>
            <w:proofErr w:type="spellStart"/>
            <w:r w:rsidRPr="007E0AF4">
              <w:rPr>
                <w:sz w:val="22"/>
              </w:rPr>
              <w:t>актової</w:t>
            </w:r>
            <w:proofErr w:type="spellEnd"/>
            <w:r w:rsidRPr="007E0AF4">
              <w:rPr>
                <w:sz w:val="22"/>
              </w:rPr>
              <w:t xml:space="preserve"> </w:t>
            </w:r>
            <w:proofErr w:type="spellStart"/>
            <w:r w:rsidRPr="007E0AF4">
              <w:rPr>
                <w:sz w:val="22"/>
              </w:rPr>
              <w:t>зали</w:t>
            </w:r>
            <w:proofErr w:type="spellEnd"/>
            <w:r w:rsidRPr="007E0AF4">
              <w:rPr>
                <w:sz w:val="22"/>
              </w:rPr>
              <w:t xml:space="preserve">, </w:t>
            </w:r>
            <w:proofErr w:type="spellStart"/>
            <w:r w:rsidRPr="007E0AF4">
              <w:rPr>
                <w:sz w:val="22"/>
              </w:rPr>
              <w:t>бомбосховища</w:t>
            </w:r>
            <w:proofErr w:type="spellEnd"/>
            <w:r w:rsidRPr="007E0AF4">
              <w:rPr>
                <w:sz w:val="22"/>
              </w:rPr>
              <w:t xml:space="preserve">, </w:t>
            </w:r>
            <w:proofErr w:type="spellStart"/>
            <w:r w:rsidRPr="007E0AF4">
              <w:rPr>
                <w:sz w:val="22"/>
              </w:rPr>
              <w:t>їдальні</w:t>
            </w:r>
            <w:proofErr w:type="spellEnd"/>
            <w:r w:rsidRPr="007E0AF4">
              <w:rPr>
                <w:sz w:val="22"/>
              </w:rPr>
              <w:t xml:space="preserve">, </w:t>
            </w:r>
            <w:proofErr w:type="spellStart"/>
            <w:r w:rsidRPr="007E0AF4">
              <w:rPr>
                <w:sz w:val="22"/>
              </w:rPr>
              <w:t>штори</w:t>
            </w:r>
            <w:proofErr w:type="spellEnd"/>
            <w:r w:rsidRPr="007E0AF4">
              <w:rPr>
                <w:sz w:val="22"/>
              </w:rPr>
              <w:t xml:space="preserve"> на </w:t>
            </w:r>
            <w:proofErr w:type="spellStart"/>
            <w:proofErr w:type="gramStart"/>
            <w:r w:rsidRPr="007E0AF4">
              <w:rPr>
                <w:sz w:val="22"/>
              </w:rPr>
              <w:t>вікна</w:t>
            </w:r>
            <w:proofErr w:type="spellEnd"/>
            <w:r w:rsidRPr="007E0AF4">
              <w:rPr>
                <w:sz w:val="22"/>
              </w:rPr>
              <w:t xml:space="preserve"> ;</w:t>
            </w:r>
            <w:proofErr w:type="gramEnd"/>
          </w:p>
          <w:p w:rsidR="00AD3425" w:rsidRPr="007E0AF4" w:rsidRDefault="00AD3425" w:rsidP="000303D7">
            <w:pPr>
              <w:numPr>
                <w:ilvl w:val="0"/>
                <w:numId w:val="9"/>
              </w:numPr>
              <w:tabs>
                <w:tab w:val="clear" w:pos="1068"/>
              </w:tabs>
              <w:ind w:left="369"/>
              <w:rPr>
                <w:sz w:val="22"/>
              </w:rPr>
            </w:pPr>
            <w:proofErr w:type="spellStart"/>
            <w:r w:rsidRPr="007E0AF4">
              <w:rPr>
                <w:sz w:val="22"/>
              </w:rPr>
              <w:t>обчислювальна</w:t>
            </w:r>
            <w:proofErr w:type="spellEnd"/>
            <w:r w:rsidRPr="007E0AF4">
              <w:rPr>
                <w:sz w:val="22"/>
              </w:rPr>
              <w:t xml:space="preserve"> </w:t>
            </w:r>
            <w:proofErr w:type="spellStart"/>
            <w:r w:rsidRPr="007E0AF4">
              <w:rPr>
                <w:sz w:val="22"/>
              </w:rPr>
              <w:t>техніка</w:t>
            </w:r>
            <w:proofErr w:type="spellEnd"/>
            <w:r w:rsidRPr="007E0AF4">
              <w:rPr>
                <w:sz w:val="22"/>
              </w:rPr>
              <w:t xml:space="preserve"> </w:t>
            </w:r>
            <w:proofErr w:type="spellStart"/>
            <w:r w:rsidRPr="007E0AF4">
              <w:rPr>
                <w:sz w:val="22"/>
              </w:rPr>
              <w:t>із</w:t>
            </w:r>
            <w:proofErr w:type="spellEnd"/>
            <w:r w:rsidRPr="007E0AF4">
              <w:rPr>
                <w:sz w:val="22"/>
              </w:rPr>
              <w:t xml:space="preserve"> </w:t>
            </w:r>
            <w:proofErr w:type="spellStart"/>
            <w:r w:rsidRPr="007E0AF4">
              <w:rPr>
                <w:sz w:val="22"/>
              </w:rPr>
              <w:t>відповідним</w:t>
            </w:r>
            <w:proofErr w:type="spellEnd"/>
            <w:r w:rsidRPr="007E0AF4">
              <w:rPr>
                <w:sz w:val="22"/>
              </w:rPr>
              <w:t xml:space="preserve"> </w:t>
            </w:r>
            <w:proofErr w:type="spellStart"/>
            <w:r w:rsidRPr="007E0AF4">
              <w:rPr>
                <w:sz w:val="22"/>
              </w:rPr>
              <w:t>програмним</w:t>
            </w:r>
            <w:proofErr w:type="spellEnd"/>
            <w:r w:rsidRPr="007E0AF4">
              <w:rPr>
                <w:sz w:val="22"/>
              </w:rPr>
              <w:t xml:space="preserve"> </w:t>
            </w:r>
            <w:proofErr w:type="spellStart"/>
            <w:r w:rsidRPr="007E0AF4">
              <w:rPr>
                <w:sz w:val="22"/>
              </w:rPr>
              <w:t>забезпеченням</w:t>
            </w:r>
            <w:proofErr w:type="spellEnd"/>
            <w:r w:rsidRPr="007E0AF4">
              <w:rPr>
                <w:sz w:val="22"/>
              </w:rPr>
              <w:t>;</w:t>
            </w:r>
          </w:p>
          <w:p w:rsidR="00AD3425" w:rsidRPr="007E0AF4" w:rsidRDefault="00AD3425" w:rsidP="000303D7">
            <w:pPr>
              <w:numPr>
                <w:ilvl w:val="0"/>
                <w:numId w:val="9"/>
              </w:numPr>
              <w:tabs>
                <w:tab w:val="clear" w:pos="1068"/>
              </w:tabs>
              <w:ind w:left="369"/>
              <w:rPr>
                <w:sz w:val="22"/>
              </w:rPr>
            </w:pPr>
            <w:proofErr w:type="spellStart"/>
            <w:r w:rsidRPr="007E0AF4">
              <w:rPr>
                <w:sz w:val="22"/>
              </w:rPr>
              <w:t>інша</w:t>
            </w:r>
            <w:proofErr w:type="spellEnd"/>
            <w:r w:rsidRPr="007E0AF4">
              <w:rPr>
                <w:sz w:val="22"/>
              </w:rPr>
              <w:t xml:space="preserve"> </w:t>
            </w:r>
            <w:proofErr w:type="spellStart"/>
            <w:r w:rsidRPr="007E0AF4">
              <w:rPr>
                <w:sz w:val="22"/>
              </w:rPr>
              <w:t>оргтехніка</w:t>
            </w:r>
            <w:proofErr w:type="spellEnd"/>
            <w:r w:rsidRPr="007E0AF4">
              <w:rPr>
                <w:sz w:val="22"/>
              </w:rPr>
              <w:t xml:space="preserve"> (</w:t>
            </w:r>
            <w:proofErr w:type="spellStart"/>
            <w:r w:rsidRPr="007E0AF4">
              <w:rPr>
                <w:sz w:val="22"/>
              </w:rPr>
              <w:t>монітори</w:t>
            </w:r>
            <w:proofErr w:type="spellEnd"/>
            <w:r w:rsidRPr="007E0AF4">
              <w:rPr>
                <w:sz w:val="22"/>
              </w:rPr>
              <w:t xml:space="preserve">, </w:t>
            </w:r>
            <w:proofErr w:type="spellStart"/>
            <w:r w:rsidRPr="007E0AF4">
              <w:rPr>
                <w:sz w:val="22"/>
              </w:rPr>
              <w:t>принтери</w:t>
            </w:r>
            <w:proofErr w:type="spellEnd"/>
            <w:r w:rsidRPr="007E0AF4">
              <w:rPr>
                <w:sz w:val="22"/>
              </w:rPr>
              <w:t xml:space="preserve">, </w:t>
            </w:r>
            <w:proofErr w:type="spellStart"/>
            <w:r w:rsidRPr="007E0AF4">
              <w:rPr>
                <w:sz w:val="22"/>
              </w:rPr>
              <w:t>сканери</w:t>
            </w:r>
            <w:proofErr w:type="spellEnd"/>
            <w:r w:rsidRPr="007E0AF4">
              <w:rPr>
                <w:sz w:val="22"/>
              </w:rPr>
              <w:t xml:space="preserve"> </w:t>
            </w:r>
            <w:proofErr w:type="spellStart"/>
            <w:r w:rsidRPr="007E0AF4">
              <w:rPr>
                <w:sz w:val="22"/>
              </w:rPr>
              <w:t>тощо</w:t>
            </w:r>
            <w:proofErr w:type="spellEnd"/>
            <w:r w:rsidRPr="007E0AF4">
              <w:rPr>
                <w:sz w:val="22"/>
              </w:rPr>
              <w:t>);</w:t>
            </w:r>
          </w:p>
          <w:p w:rsidR="00AD3425" w:rsidRPr="007E0AF4" w:rsidRDefault="00AD3425" w:rsidP="000303D7">
            <w:pPr>
              <w:pStyle w:val="13"/>
              <w:numPr>
                <w:ilvl w:val="0"/>
                <w:numId w:val="9"/>
              </w:numPr>
              <w:tabs>
                <w:tab w:val="clear" w:pos="1068"/>
              </w:tabs>
              <w:ind w:left="369"/>
              <w:jc w:val="both"/>
              <w:rPr>
                <w:sz w:val="22"/>
                <w:lang w:val="uk-UA"/>
              </w:rPr>
            </w:pPr>
            <w:r w:rsidRPr="007E0AF4">
              <w:rPr>
                <w:sz w:val="22"/>
                <w:lang w:val="uk-UA"/>
              </w:rPr>
              <w:t>основні засоби (офісні меблі, сейф, шкільний автобус тощо) були знищені або викрадені.</w:t>
            </w:r>
          </w:p>
          <w:p w:rsidR="00AD3425" w:rsidRPr="007E0AF4" w:rsidRDefault="00AD3425" w:rsidP="001E6C97">
            <w:pPr>
              <w:pStyle w:val="13"/>
              <w:jc w:val="both"/>
              <w:rPr>
                <w:sz w:val="22"/>
              </w:rPr>
            </w:pPr>
            <w:r w:rsidRPr="007E0AF4">
              <w:rPr>
                <w:rFonts w:eastAsia="Arial"/>
                <w:sz w:val="22"/>
                <w:lang w:val="uk-UA"/>
              </w:rPr>
              <w:t>Для відбудови та сталого розвитку громади потрібне відновлення роботи комунального закладу Гімназії № 20. Мешканці громади потребують отримання</w:t>
            </w:r>
            <w:r w:rsidRPr="007E0AF4">
              <w:rPr>
                <w:rFonts w:eastAsia="Arial"/>
                <w:color w:val="FF0000"/>
                <w:sz w:val="22"/>
                <w:lang w:val="uk-UA"/>
              </w:rPr>
              <w:t xml:space="preserve"> </w:t>
            </w:r>
            <w:r w:rsidRPr="007E0AF4">
              <w:rPr>
                <w:rFonts w:eastAsia="Arial"/>
                <w:sz w:val="22"/>
                <w:lang w:val="uk-UA"/>
              </w:rPr>
              <w:t xml:space="preserve">якісних освітніх послуг, які відповідають нормам сучасності. </w:t>
            </w:r>
          </w:p>
        </w:tc>
      </w:tr>
      <w:tr w:rsidR="00AD3425" w:rsidRPr="007E0AF4" w:rsidTr="00AD3425">
        <w:tc>
          <w:tcPr>
            <w:tcW w:w="2978" w:type="dxa"/>
            <w:shd w:val="clear" w:color="auto" w:fill="C6D9F1" w:themeFill="text2" w:themeFillTint="33"/>
          </w:tcPr>
          <w:p w:rsidR="00AD3425" w:rsidRPr="007E0AF4" w:rsidRDefault="00AD3425" w:rsidP="001E6C97">
            <w:pPr>
              <w:pStyle w:val="a7"/>
              <w:ind w:left="0"/>
              <w:rPr>
                <w:b/>
                <w:sz w:val="22"/>
              </w:rPr>
            </w:pPr>
            <w:proofErr w:type="spellStart"/>
            <w:r w:rsidRPr="007E0AF4">
              <w:rPr>
                <w:b/>
                <w:sz w:val="22"/>
              </w:rPr>
              <w:t>Очікувані</w:t>
            </w:r>
            <w:proofErr w:type="spellEnd"/>
            <w:r w:rsidRPr="007E0AF4">
              <w:rPr>
                <w:b/>
                <w:sz w:val="22"/>
              </w:rPr>
              <w:t xml:space="preserve"> </w:t>
            </w:r>
            <w:proofErr w:type="spellStart"/>
            <w:r w:rsidRPr="007E0AF4">
              <w:rPr>
                <w:b/>
                <w:sz w:val="22"/>
              </w:rPr>
              <w:t>якісні</w:t>
            </w:r>
            <w:proofErr w:type="spellEnd"/>
            <w:r w:rsidRPr="007E0AF4">
              <w:rPr>
                <w:b/>
                <w:sz w:val="22"/>
              </w:rPr>
              <w:t xml:space="preserve"> </w:t>
            </w:r>
            <w:proofErr w:type="spellStart"/>
            <w:r w:rsidRPr="007E0AF4">
              <w:rPr>
                <w:b/>
                <w:sz w:val="22"/>
              </w:rPr>
              <w:t>результати</w:t>
            </w:r>
            <w:proofErr w:type="spellEnd"/>
            <w:r w:rsidRPr="007E0AF4">
              <w:rPr>
                <w:b/>
                <w:sz w:val="22"/>
              </w:rPr>
              <w:t xml:space="preserve"> </w:t>
            </w:r>
            <w:proofErr w:type="spellStart"/>
            <w:r w:rsidRPr="007E0AF4">
              <w:rPr>
                <w:b/>
                <w:sz w:val="22"/>
              </w:rPr>
              <w:t>від</w:t>
            </w:r>
            <w:proofErr w:type="spellEnd"/>
            <w:r w:rsidRPr="007E0AF4">
              <w:rPr>
                <w:b/>
                <w:sz w:val="22"/>
              </w:rPr>
              <w:t xml:space="preserve"> </w:t>
            </w:r>
            <w:proofErr w:type="spellStart"/>
            <w:r w:rsidRPr="007E0AF4">
              <w:rPr>
                <w:b/>
                <w:sz w:val="22"/>
              </w:rPr>
              <w:t>реалізації</w:t>
            </w:r>
            <w:proofErr w:type="spellEnd"/>
            <w:r w:rsidRPr="007E0AF4">
              <w:rPr>
                <w:b/>
                <w:sz w:val="22"/>
              </w:rPr>
              <w:t xml:space="preserve"> проекту</w:t>
            </w:r>
          </w:p>
        </w:tc>
        <w:tc>
          <w:tcPr>
            <w:tcW w:w="6945" w:type="dxa"/>
            <w:gridSpan w:val="7"/>
          </w:tcPr>
          <w:p w:rsidR="00AD3425" w:rsidRPr="007E0AF4" w:rsidRDefault="00AD3425" w:rsidP="001E6C97">
            <w:pPr>
              <w:pStyle w:val="a7"/>
              <w:ind w:left="0"/>
              <w:rPr>
                <w:sz w:val="22"/>
              </w:rPr>
            </w:pPr>
            <w:r w:rsidRPr="007E0AF4">
              <w:rPr>
                <w:sz w:val="22"/>
              </w:rPr>
              <w:t xml:space="preserve">- </w:t>
            </w:r>
            <w:proofErr w:type="spellStart"/>
            <w:r w:rsidRPr="007E0AF4">
              <w:rPr>
                <w:sz w:val="22"/>
              </w:rPr>
              <w:t>забезпечення</w:t>
            </w:r>
            <w:proofErr w:type="spellEnd"/>
            <w:r w:rsidRPr="007E0AF4">
              <w:rPr>
                <w:sz w:val="22"/>
              </w:rPr>
              <w:t xml:space="preserve"> </w:t>
            </w:r>
            <w:proofErr w:type="spellStart"/>
            <w:r w:rsidRPr="007E0AF4">
              <w:rPr>
                <w:sz w:val="22"/>
              </w:rPr>
              <w:t>населення</w:t>
            </w:r>
            <w:proofErr w:type="spellEnd"/>
            <w:r w:rsidRPr="007E0AF4">
              <w:rPr>
                <w:sz w:val="22"/>
              </w:rPr>
              <w:t xml:space="preserve"> </w:t>
            </w:r>
            <w:proofErr w:type="spellStart"/>
            <w:r w:rsidRPr="007E0AF4">
              <w:rPr>
                <w:sz w:val="22"/>
              </w:rPr>
              <w:t>можливостями</w:t>
            </w:r>
            <w:proofErr w:type="spellEnd"/>
            <w:r w:rsidRPr="007E0AF4">
              <w:rPr>
                <w:sz w:val="22"/>
              </w:rPr>
              <w:t xml:space="preserve"> для </w:t>
            </w:r>
            <w:proofErr w:type="spellStart"/>
            <w:r w:rsidRPr="007E0AF4">
              <w:rPr>
                <w:sz w:val="22"/>
              </w:rPr>
              <w:t>реалізації</w:t>
            </w:r>
            <w:proofErr w:type="spellEnd"/>
            <w:r w:rsidRPr="007E0AF4">
              <w:rPr>
                <w:sz w:val="22"/>
              </w:rPr>
              <w:t xml:space="preserve"> </w:t>
            </w:r>
            <w:proofErr w:type="spellStart"/>
            <w:r w:rsidRPr="007E0AF4">
              <w:rPr>
                <w:sz w:val="22"/>
              </w:rPr>
              <w:t>його</w:t>
            </w:r>
            <w:proofErr w:type="spellEnd"/>
            <w:r w:rsidRPr="007E0AF4">
              <w:rPr>
                <w:sz w:val="22"/>
              </w:rPr>
              <w:t xml:space="preserve"> </w:t>
            </w:r>
            <w:proofErr w:type="spellStart"/>
            <w:r w:rsidRPr="007E0AF4">
              <w:rPr>
                <w:sz w:val="22"/>
              </w:rPr>
              <w:t>конституційних</w:t>
            </w:r>
            <w:proofErr w:type="spellEnd"/>
            <w:r w:rsidRPr="007E0AF4">
              <w:rPr>
                <w:sz w:val="22"/>
              </w:rPr>
              <w:t xml:space="preserve"> прав, </w:t>
            </w:r>
            <w:proofErr w:type="spellStart"/>
            <w:r w:rsidRPr="007E0AF4">
              <w:rPr>
                <w:sz w:val="22"/>
              </w:rPr>
              <w:t>пов’язаних</w:t>
            </w:r>
            <w:proofErr w:type="spellEnd"/>
            <w:r w:rsidRPr="007E0AF4">
              <w:rPr>
                <w:sz w:val="22"/>
              </w:rPr>
              <w:t xml:space="preserve"> </w:t>
            </w:r>
            <w:proofErr w:type="spellStart"/>
            <w:r w:rsidRPr="007E0AF4">
              <w:rPr>
                <w:sz w:val="22"/>
              </w:rPr>
              <w:t>із</w:t>
            </w:r>
            <w:proofErr w:type="spellEnd"/>
            <w:r w:rsidRPr="007E0AF4">
              <w:rPr>
                <w:sz w:val="22"/>
              </w:rPr>
              <w:t xml:space="preserve"> правом </w:t>
            </w:r>
            <w:proofErr w:type="spellStart"/>
            <w:r w:rsidRPr="007E0AF4">
              <w:rPr>
                <w:sz w:val="22"/>
              </w:rPr>
              <w:t>громадян</w:t>
            </w:r>
            <w:proofErr w:type="spellEnd"/>
            <w:r w:rsidRPr="007E0AF4">
              <w:rPr>
                <w:sz w:val="22"/>
              </w:rPr>
              <w:t xml:space="preserve"> на </w:t>
            </w:r>
            <w:proofErr w:type="spellStart"/>
            <w:r w:rsidRPr="007E0AF4">
              <w:rPr>
                <w:sz w:val="22"/>
              </w:rPr>
              <w:t>освіту</w:t>
            </w:r>
            <w:proofErr w:type="spellEnd"/>
            <w:r w:rsidRPr="007E0AF4">
              <w:rPr>
                <w:sz w:val="22"/>
              </w:rPr>
              <w:t>;</w:t>
            </w:r>
          </w:p>
          <w:p w:rsidR="00AD3425" w:rsidRPr="007E0AF4" w:rsidRDefault="00AD3425" w:rsidP="001E6C97">
            <w:pPr>
              <w:pStyle w:val="a7"/>
              <w:ind w:left="0"/>
              <w:rPr>
                <w:sz w:val="22"/>
              </w:rPr>
            </w:pPr>
            <w:r w:rsidRPr="007E0AF4">
              <w:rPr>
                <w:sz w:val="22"/>
              </w:rPr>
              <w:t xml:space="preserve">- </w:t>
            </w:r>
            <w:proofErr w:type="spellStart"/>
            <w:r w:rsidRPr="007E0AF4">
              <w:rPr>
                <w:sz w:val="22"/>
              </w:rPr>
              <w:t>надання</w:t>
            </w:r>
            <w:proofErr w:type="spellEnd"/>
            <w:r w:rsidRPr="007E0AF4">
              <w:rPr>
                <w:sz w:val="22"/>
              </w:rPr>
              <w:t xml:space="preserve"> широкого спектру </w:t>
            </w:r>
            <w:proofErr w:type="spellStart"/>
            <w:r w:rsidRPr="007E0AF4">
              <w:rPr>
                <w:sz w:val="22"/>
              </w:rPr>
              <w:t>послуг</w:t>
            </w:r>
            <w:proofErr w:type="spellEnd"/>
            <w:r w:rsidRPr="007E0AF4">
              <w:rPr>
                <w:sz w:val="22"/>
              </w:rPr>
              <w:t xml:space="preserve">, </w:t>
            </w:r>
            <w:proofErr w:type="spellStart"/>
            <w:r w:rsidRPr="007E0AF4">
              <w:rPr>
                <w:sz w:val="22"/>
              </w:rPr>
              <w:t>пов’язаних</w:t>
            </w:r>
            <w:proofErr w:type="spellEnd"/>
            <w:r w:rsidRPr="007E0AF4">
              <w:rPr>
                <w:sz w:val="22"/>
              </w:rPr>
              <w:t xml:space="preserve"> </w:t>
            </w:r>
            <w:proofErr w:type="spellStart"/>
            <w:r w:rsidRPr="007E0AF4">
              <w:rPr>
                <w:sz w:val="22"/>
              </w:rPr>
              <w:t>із</w:t>
            </w:r>
            <w:proofErr w:type="spellEnd"/>
            <w:r w:rsidRPr="007E0AF4">
              <w:rPr>
                <w:sz w:val="22"/>
              </w:rPr>
              <w:t xml:space="preserve"> </w:t>
            </w:r>
            <w:proofErr w:type="spellStart"/>
            <w:r w:rsidRPr="007E0AF4">
              <w:rPr>
                <w:sz w:val="22"/>
              </w:rPr>
              <w:t>освітнью</w:t>
            </w:r>
            <w:proofErr w:type="spellEnd"/>
            <w:r w:rsidRPr="007E0AF4">
              <w:rPr>
                <w:sz w:val="22"/>
              </w:rPr>
              <w:t xml:space="preserve"> </w:t>
            </w:r>
            <w:proofErr w:type="spellStart"/>
            <w:r w:rsidRPr="007E0AF4">
              <w:rPr>
                <w:sz w:val="22"/>
              </w:rPr>
              <w:t>діяльністю</w:t>
            </w:r>
            <w:proofErr w:type="spellEnd"/>
            <w:r w:rsidRPr="007E0AF4">
              <w:rPr>
                <w:sz w:val="22"/>
              </w:rPr>
              <w:t>;</w:t>
            </w:r>
          </w:p>
          <w:p w:rsidR="00AD3425" w:rsidRPr="007E0AF4" w:rsidRDefault="00AD3425" w:rsidP="001E6C97">
            <w:pPr>
              <w:pStyle w:val="a7"/>
              <w:ind w:left="0"/>
              <w:rPr>
                <w:sz w:val="22"/>
              </w:rPr>
            </w:pPr>
            <w:r w:rsidRPr="007E0AF4">
              <w:rPr>
                <w:sz w:val="22"/>
              </w:rPr>
              <w:t xml:space="preserve">- </w:t>
            </w:r>
            <w:proofErr w:type="spellStart"/>
            <w:r w:rsidRPr="007E0AF4">
              <w:rPr>
                <w:sz w:val="22"/>
              </w:rPr>
              <w:t>вирішення</w:t>
            </w:r>
            <w:proofErr w:type="spellEnd"/>
            <w:r w:rsidRPr="007E0AF4">
              <w:rPr>
                <w:sz w:val="22"/>
              </w:rPr>
              <w:t xml:space="preserve"> ряду </w:t>
            </w:r>
            <w:proofErr w:type="spellStart"/>
            <w:r w:rsidRPr="007E0AF4">
              <w:rPr>
                <w:sz w:val="22"/>
              </w:rPr>
              <w:t>питань</w:t>
            </w:r>
            <w:proofErr w:type="spellEnd"/>
            <w:r w:rsidRPr="007E0AF4">
              <w:rPr>
                <w:sz w:val="22"/>
              </w:rPr>
              <w:t xml:space="preserve"> в межах </w:t>
            </w:r>
            <w:proofErr w:type="spellStart"/>
            <w:r w:rsidRPr="007E0AF4">
              <w:rPr>
                <w:sz w:val="22"/>
              </w:rPr>
              <w:t>статутної</w:t>
            </w:r>
            <w:proofErr w:type="spellEnd"/>
            <w:r w:rsidRPr="007E0AF4">
              <w:rPr>
                <w:sz w:val="22"/>
              </w:rPr>
              <w:t xml:space="preserve"> </w:t>
            </w:r>
            <w:proofErr w:type="spellStart"/>
            <w:r w:rsidRPr="007E0AF4">
              <w:rPr>
                <w:sz w:val="22"/>
              </w:rPr>
              <w:t>діяльності</w:t>
            </w:r>
            <w:proofErr w:type="spellEnd"/>
            <w:r w:rsidRPr="007E0AF4">
              <w:rPr>
                <w:sz w:val="22"/>
              </w:rPr>
              <w:t xml:space="preserve">, </w:t>
            </w:r>
            <w:proofErr w:type="spellStart"/>
            <w:r w:rsidRPr="007E0AF4">
              <w:rPr>
                <w:sz w:val="22"/>
              </w:rPr>
              <w:t>пов’язаних</w:t>
            </w:r>
            <w:proofErr w:type="spellEnd"/>
            <w:r w:rsidRPr="007E0AF4">
              <w:rPr>
                <w:sz w:val="22"/>
              </w:rPr>
              <w:t xml:space="preserve"> </w:t>
            </w:r>
            <w:proofErr w:type="spellStart"/>
            <w:r w:rsidRPr="007E0AF4">
              <w:rPr>
                <w:sz w:val="22"/>
              </w:rPr>
              <w:t>із</w:t>
            </w:r>
            <w:proofErr w:type="spellEnd"/>
            <w:r w:rsidRPr="007E0AF4">
              <w:rPr>
                <w:sz w:val="22"/>
              </w:rPr>
              <w:t xml:space="preserve"> </w:t>
            </w:r>
            <w:proofErr w:type="spellStart"/>
            <w:r w:rsidRPr="007E0AF4">
              <w:rPr>
                <w:sz w:val="22"/>
              </w:rPr>
              <w:t>відбудовою</w:t>
            </w:r>
            <w:proofErr w:type="spellEnd"/>
            <w:r w:rsidRPr="007E0AF4">
              <w:rPr>
                <w:sz w:val="22"/>
              </w:rPr>
              <w:t xml:space="preserve"> та </w:t>
            </w:r>
            <w:proofErr w:type="spellStart"/>
            <w:r w:rsidRPr="007E0AF4">
              <w:rPr>
                <w:sz w:val="22"/>
              </w:rPr>
              <w:t>сталим</w:t>
            </w:r>
            <w:proofErr w:type="spellEnd"/>
            <w:r w:rsidRPr="007E0AF4">
              <w:rPr>
                <w:sz w:val="22"/>
              </w:rPr>
              <w:t xml:space="preserve"> </w:t>
            </w:r>
            <w:proofErr w:type="spellStart"/>
            <w:r w:rsidRPr="007E0AF4">
              <w:rPr>
                <w:sz w:val="22"/>
              </w:rPr>
              <w:t>розвитком</w:t>
            </w:r>
            <w:proofErr w:type="spellEnd"/>
            <w:r w:rsidRPr="007E0AF4">
              <w:rPr>
                <w:sz w:val="22"/>
              </w:rPr>
              <w:t xml:space="preserve"> </w:t>
            </w:r>
            <w:proofErr w:type="spellStart"/>
            <w:r w:rsidRPr="007E0AF4">
              <w:rPr>
                <w:sz w:val="22"/>
              </w:rPr>
              <w:t>громади</w:t>
            </w:r>
            <w:proofErr w:type="spellEnd"/>
            <w:r w:rsidRPr="007E0AF4">
              <w:rPr>
                <w:sz w:val="22"/>
              </w:rPr>
              <w:t>;</w:t>
            </w:r>
          </w:p>
          <w:p w:rsidR="00AD3425" w:rsidRPr="007E0AF4" w:rsidRDefault="00AD3425" w:rsidP="001E6C97">
            <w:pPr>
              <w:pStyle w:val="a7"/>
              <w:ind w:left="0"/>
              <w:rPr>
                <w:sz w:val="22"/>
              </w:rPr>
            </w:pPr>
            <w:r w:rsidRPr="007E0AF4">
              <w:rPr>
                <w:sz w:val="22"/>
              </w:rPr>
              <w:t xml:space="preserve">- </w:t>
            </w:r>
            <w:proofErr w:type="spellStart"/>
            <w:r w:rsidRPr="007E0AF4">
              <w:rPr>
                <w:sz w:val="22"/>
              </w:rPr>
              <w:t>створення</w:t>
            </w:r>
            <w:proofErr w:type="spellEnd"/>
            <w:r w:rsidRPr="007E0AF4">
              <w:rPr>
                <w:sz w:val="22"/>
              </w:rPr>
              <w:t xml:space="preserve"> </w:t>
            </w:r>
            <w:proofErr w:type="spellStart"/>
            <w:r w:rsidRPr="007E0AF4">
              <w:rPr>
                <w:sz w:val="22"/>
              </w:rPr>
              <w:t>нових</w:t>
            </w:r>
            <w:proofErr w:type="spellEnd"/>
            <w:r w:rsidRPr="007E0AF4">
              <w:rPr>
                <w:sz w:val="22"/>
              </w:rPr>
              <w:t xml:space="preserve"> </w:t>
            </w:r>
            <w:proofErr w:type="spellStart"/>
            <w:r w:rsidRPr="007E0AF4">
              <w:rPr>
                <w:sz w:val="22"/>
              </w:rPr>
              <w:t>робочих</w:t>
            </w:r>
            <w:proofErr w:type="spellEnd"/>
            <w:r w:rsidRPr="007E0AF4">
              <w:rPr>
                <w:sz w:val="22"/>
              </w:rPr>
              <w:t xml:space="preserve"> </w:t>
            </w:r>
            <w:proofErr w:type="spellStart"/>
            <w:r w:rsidRPr="007E0AF4">
              <w:rPr>
                <w:sz w:val="22"/>
              </w:rPr>
              <w:t>місць</w:t>
            </w:r>
            <w:proofErr w:type="spellEnd"/>
            <w:r w:rsidRPr="007E0AF4">
              <w:rPr>
                <w:sz w:val="22"/>
              </w:rPr>
              <w:t>;</w:t>
            </w:r>
          </w:p>
          <w:p w:rsidR="00AD3425" w:rsidRPr="007E0AF4" w:rsidRDefault="00AD3425" w:rsidP="001E6C97">
            <w:pPr>
              <w:pStyle w:val="a7"/>
              <w:ind w:left="0"/>
              <w:rPr>
                <w:sz w:val="22"/>
              </w:rPr>
            </w:pPr>
            <w:r w:rsidRPr="007E0AF4">
              <w:rPr>
                <w:sz w:val="22"/>
              </w:rPr>
              <w:t xml:space="preserve">- стимул до </w:t>
            </w:r>
            <w:proofErr w:type="spellStart"/>
            <w:r w:rsidRPr="007E0AF4">
              <w:rPr>
                <w:sz w:val="22"/>
              </w:rPr>
              <w:t>повернення</w:t>
            </w:r>
            <w:proofErr w:type="spellEnd"/>
            <w:r w:rsidRPr="007E0AF4">
              <w:rPr>
                <w:sz w:val="22"/>
              </w:rPr>
              <w:t xml:space="preserve"> ВПО до </w:t>
            </w:r>
            <w:proofErr w:type="spellStart"/>
            <w:r w:rsidRPr="007E0AF4">
              <w:rPr>
                <w:sz w:val="22"/>
              </w:rPr>
              <w:t>громади</w:t>
            </w:r>
            <w:proofErr w:type="spellEnd"/>
            <w:r w:rsidRPr="007E0AF4">
              <w:rPr>
                <w:sz w:val="22"/>
              </w:rPr>
              <w:t>;</w:t>
            </w:r>
          </w:p>
        </w:tc>
      </w:tr>
      <w:tr w:rsidR="00AD3425" w:rsidRPr="007E0AF4" w:rsidTr="00AD3425">
        <w:trPr>
          <w:trHeight w:val="390"/>
        </w:trPr>
        <w:tc>
          <w:tcPr>
            <w:tcW w:w="2978" w:type="dxa"/>
            <w:vMerge w:val="restart"/>
            <w:shd w:val="clear" w:color="auto" w:fill="C6D9F1" w:themeFill="text2" w:themeFillTint="33"/>
          </w:tcPr>
          <w:p w:rsidR="00AD3425" w:rsidRPr="007E0AF4" w:rsidRDefault="00AD3425" w:rsidP="001E6C97">
            <w:pPr>
              <w:pStyle w:val="a7"/>
              <w:ind w:left="0"/>
              <w:rPr>
                <w:b/>
                <w:sz w:val="22"/>
                <w:lang w:val="uk-UA"/>
              </w:rPr>
            </w:pPr>
            <w:r w:rsidRPr="007E0AF4">
              <w:rPr>
                <w:b/>
                <w:sz w:val="22"/>
                <w:lang w:val="uk-UA"/>
              </w:rPr>
              <w:lastRenderedPageBreak/>
              <w:t xml:space="preserve">Очікувані кількісні результати реалізації </w:t>
            </w:r>
            <w:proofErr w:type="spellStart"/>
            <w:r w:rsidRPr="007E0AF4">
              <w:rPr>
                <w:b/>
                <w:sz w:val="22"/>
                <w:lang w:val="uk-UA"/>
              </w:rPr>
              <w:t>проєкту</w:t>
            </w:r>
            <w:proofErr w:type="spellEnd"/>
            <w:r w:rsidRPr="007E0AF4">
              <w:rPr>
                <w:b/>
                <w:sz w:val="22"/>
                <w:lang w:val="uk-UA"/>
              </w:rPr>
              <w:t xml:space="preserve"> (індикатори)</w:t>
            </w:r>
          </w:p>
          <w:p w:rsidR="00AD3425" w:rsidRPr="007E0AF4" w:rsidRDefault="00AD3425" w:rsidP="001E6C97">
            <w:pPr>
              <w:pStyle w:val="a7"/>
              <w:ind w:left="0"/>
              <w:rPr>
                <w:b/>
                <w:sz w:val="22"/>
                <w:lang w:val="uk-UA"/>
              </w:rPr>
            </w:pPr>
          </w:p>
        </w:tc>
        <w:tc>
          <w:tcPr>
            <w:tcW w:w="3543" w:type="dxa"/>
            <w:gridSpan w:val="3"/>
            <w:tcBorders>
              <w:bottom w:val="single" w:sz="4" w:space="0" w:color="auto"/>
              <w:right w:val="single" w:sz="4" w:space="0" w:color="auto"/>
            </w:tcBorders>
          </w:tcPr>
          <w:p w:rsidR="00AD3425" w:rsidRPr="007E0AF4" w:rsidRDefault="00AD3425" w:rsidP="001E6C97">
            <w:pPr>
              <w:pStyle w:val="a7"/>
              <w:ind w:left="-108"/>
              <w:jc w:val="center"/>
              <w:rPr>
                <w:b/>
                <w:sz w:val="22"/>
              </w:rPr>
            </w:pPr>
            <w:proofErr w:type="spellStart"/>
            <w:r w:rsidRPr="007E0AF4">
              <w:rPr>
                <w:b/>
                <w:sz w:val="22"/>
              </w:rPr>
              <w:t>Найменування</w:t>
            </w:r>
            <w:proofErr w:type="spellEnd"/>
            <w:r w:rsidRPr="007E0AF4">
              <w:rPr>
                <w:b/>
                <w:sz w:val="22"/>
              </w:rPr>
              <w:t xml:space="preserve"> </w:t>
            </w:r>
            <w:proofErr w:type="spellStart"/>
            <w:r w:rsidRPr="007E0AF4">
              <w:rPr>
                <w:b/>
                <w:sz w:val="22"/>
              </w:rPr>
              <w:t>показника</w:t>
            </w:r>
            <w:proofErr w:type="spellEnd"/>
          </w:p>
        </w:tc>
        <w:tc>
          <w:tcPr>
            <w:tcW w:w="1843" w:type="dxa"/>
            <w:gridSpan w:val="2"/>
            <w:tcBorders>
              <w:left w:val="single" w:sz="4" w:space="0" w:color="auto"/>
              <w:bottom w:val="single" w:sz="4" w:space="0" w:color="auto"/>
              <w:right w:val="single" w:sz="4" w:space="0" w:color="auto"/>
            </w:tcBorders>
          </w:tcPr>
          <w:p w:rsidR="00AD3425" w:rsidRPr="007E0AF4" w:rsidRDefault="00AD3425" w:rsidP="001E6C97">
            <w:pPr>
              <w:pStyle w:val="a7"/>
              <w:ind w:left="0"/>
              <w:jc w:val="center"/>
              <w:rPr>
                <w:b/>
                <w:sz w:val="22"/>
              </w:rPr>
            </w:pPr>
            <w:proofErr w:type="spellStart"/>
            <w:r w:rsidRPr="007E0AF4">
              <w:rPr>
                <w:b/>
                <w:sz w:val="22"/>
              </w:rPr>
              <w:t>Одиниця</w:t>
            </w:r>
            <w:proofErr w:type="spellEnd"/>
            <w:r w:rsidRPr="007E0AF4">
              <w:rPr>
                <w:b/>
                <w:sz w:val="22"/>
              </w:rPr>
              <w:t xml:space="preserve"> </w:t>
            </w:r>
            <w:proofErr w:type="spellStart"/>
            <w:r w:rsidRPr="007E0AF4">
              <w:rPr>
                <w:b/>
                <w:sz w:val="22"/>
              </w:rPr>
              <w:t>вимірювання</w:t>
            </w:r>
            <w:proofErr w:type="spellEnd"/>
          </w:p>
        </w:tc>
        <w:tc>
          <w:tcPr>
            <w:tcW w:w="1559" w:type="dxa"/>
            <w:gridSpan w:val="2"/>
            <w:tcBorders>
              <w:left w:val="single" w:sz="4" w:space="0" w:color="auto"/>
              <w:bottom w:val="single" w:sz="4" w:space="0" w:color="auto"/>
            </w:tcBorders>
          </w:tcPr>
          <w:p w:rsidR="00AD3425" w:rsidRPr="007E0AF4" w:rsidRDefault="00AD3425" w:rsidP="001E6C97">
            <w:pPr>
              <w:pStyle w:val="a7"/>
              <w:ind w:left="0"/>
              <w:jc w:val="center"/>
              <w:rPr>
                <w:b/>
                <w:sz w:val="22"/>
              </w:rPr>
            </w:pPr>
            <w:proofErr w:type="spellStart"/>
            <w:r w:rsidRPr="007E0AF4">
              <w:rPr>
                <w:b/>
                <w:sz w:val="22"/>
              </w:rPr>
              <w:t>Прогнозне</w:t>
            </w:r>
            <w:proofErr w:type="spellEnd"/>
            <w:r w:rsidRPr="007E0AF4">
              <w:rPr>
                <w:b/>
                <w:sz w:val="22"/>
              </w:rPr>
              <w:t xml:space="preserve"> (</w:t>
            </w:r>
            <w:proofErr w:type="spellStart"/>
            <w:r w:rsidRPr="007E0AF4">
              <w:rPr>
                <w:b/>
                <w:sz w:val="22"/>
              </w:rPr>
              <w:t>цільове</w:t>
            </w:r>
            <w:proofErr w:type="spellEnd"/>
            <w:r w:rsidRPr="007E0AF4">
              <w:rPr>
                <w:b/>
                <w:sz w:val="22"/>
              </w:rPr>
              <w:t xml:space="preserve">) </w:t>
            </w:r>
            <w:proofErr w:type="spellStart"/>
            <w:r w:rsidRPr="007E0AF4">
              <w:rPr>
                <w:b/>
                <w:sz w:val="22"/>
              </w:rPr>
              <w:t>значення</w:t>
            </w:r>
            <w:proofErr w:type="spellEnd"/>
          </w:p>
        </w:tc>
      </w:tr>
      <w:tr w:rsidR="00AD3425" w:rsidRPr="007E0AF4" w:rsidTr="00AD3425">
        <w:trPr>
          <w:trHeight w:val="585"/>
        </w:trPr>
        <w:tc>
          <w:tcPr>
            <w:tcW w:w="2978" w:type="dxa"/>
            <w:vMerge/>
            <w:shd w:val="clear" w:color="auto" w:fill="C6D9F1" w:themeFill="text2" w:themeFillTint="33"/>
          </w:tcPr>
          <w:p w:rsidR="00AD3425" w:rsidRPr="007E0AF4" w:rsidRDefault="00AD3425" w:rsidP="001E6C97">
            <w:pPr>
              <w:pStyle w:val="a7"/>
              <w:ind w:left="0"/>
              <w:rPr>
                <w:b/>
                <w:sz w:val="22"/>
              </w:rPr>
            </w:pPr>
          </w:p>
        </w:tc>
        <w:tc>
          <w:tcPr>
            <w:tcW w:w="3543" w:type="dxa"/>
            <w:gridSpan w:val="3"/>
            <w:tcBorders>
              <w:top w:val="single" w:sz="4" w:space="0" w:color="auto"/>
              <w:bottom w:val="single" w:sz="4" w:space="0" w:color="auto"/>
              <w:right w:val="single" w:sz="4" w:space="0" w:color="auto"/>
            </w:tcBorders>
          </w:tcPr>
          <w:p w:rsidR="00AD3425" w:rsidRPr="007E0AF4" w:rsidRDefault="00AD3425" w:rsidP="001E6C97">
            <w:pPr>
              <w:pStyle w:val="a7"/>
              <w:ind w:left="0"/>
              <w:jc w:val="center"/>
              <w:rPr>
                <w:sz w:val="22"/>
              </w:rPr>
            </w:pPr>
            <w:proofErr w:type="spellStart"/>
            <w:r w:rsidRPr="007E0AF4">
              <w:rPr>
                <w:sz w:val="22"/>
              </w:rPr>
              <w:t>Кількість</w:t>
            </w:r>
            <w:proofErr w:type="spellEnd"/>
            <w:r w:rsidRPr="007E0AF4">
              <w:rPr>
                <w:sz w:val="22"/>
              </w:rPr>
              <w:t xml:space="preserve"> </w:t>
            </w:r>
            <w:proofErr w:type="spellStart"/>
            <w:r w:rsidRPr="007E0AF4">
              <w:rPr>
                <w:sz w:val="22"/>
              </w:rPr>
              <w:t>фізичних</w:t>
            </w:r>
            <w:proofErr w:type="spellEnd"/>
            <w:r w:rsidRPr="007E0AF4">
              <w:rPr>
                <w:sz w:val="22"/>
              </w:rPr>
              <w:t xml:space="preserve"> </w:t>
            </w:r>
            <w:proofErr w:type="spellStart"/>
            <w:r w:rsidRPr="007E0AF4">
              <w:rPr>
                <w:sz w:val="22"/>
              </w:rPr>
              <w:t>осіб</w:t>
            </w:r>
            <w:proofErr w:type="spellEnd"/>
            <w:r w:rsidRPr="007E0AF4">
              <w:rPr>
                <w:sz w:val="22"/>
              </w:rPr>
              <w:t xml:space="preserve">, </w:t>
            </w:r>
            <w:proofErr w:type="spellStart"/>
            <w:r w:rsidRPr="007E0AF4">
              <w:rPr>
                <w:sz w:val="22"/>
              </w:rPr>
              <w:t>які</w:t>
            </w:r>
            <w:proofErr w:type="spellEnd"/>
            <w:r w:rsidRPr="007E0AF4">
              <w:rPr>
                <w:sz w:val="22"/>
              </w:rPr>
              <w:t xml:space="preserve"> </w:t>
            </w:r>
            <w:proofErr w:type="spellStart"/>
            <w:r w:rsidRPr="007E0AF4">
              <w:rPr>
                <w:sz w:val="22"/>
              </w:rPr>
              <w:t>звернулись</w:t>
            </w:r>
            <w:proofErr w:type="spellEnd"/>
            <w:r w:rsidRPr="007E0AF4">
              <w:rPr>
                <w:sz w:val="22"/>
              </w:rPr>
              <w:t xml:space="preserve"> за </w:t>
            </w:r>
            <w:proofErr w:type="spellStart"/>
            <w:r w:rsidRPr="007E0AF4">
              <w:rPr>
                <w:sz w:val="22"/>
              </w:rPr>
              <w:t>послугами</w:t>
            </w:r>
            <w:proofErr w:type="spellEnd"/>
            <w:r w:rsidRPr="007E0AF4">
              <w:rPr>
                <w:sz w:val="22"/>
              </w:rPr>
              <w:t xml:space="preserve"> </w:t>
            </w:r>
            <w:proofErr w:type="spellStart"/>
            <w:r w:rsidRPr="007E0AF4">
              <w:rPr>
                <w:sz w:val="22"/>
              </w:rPr>
              <w:t>протягом</w:t>
            </w:r>
            <w:proofErr w:type="spellEnd"/>
            <w:r w:rsidRPr="007E0AF4">
              <w:rPr>
                <w:sz w:val="22"/>
              </w:rPr>
              <w:t xml:space="preserve"> року</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AD3425" w:rsidRPr="007E0AF4" w:rsidRDefault="00AD3425" w:rsidP="001E6C97">
            <w:pPr>
              <w:pStyle w:val="a7"/>
              <w:ind w:left="0"/>
              <w:jc w:val="center"/>
              <w:rPr>
                <w:sz w:val="22"/>
              </w:rPr>
            </w:pPr>
            <w:proofErr w:type="spellStart"/>
            <w:r w:rsidRPr="007E0AF4">
              <w:rPr>
                <w:sz w:val="22"/>
              </w:rPr>
              <w:t>осіб</w:t>
            </w:r>
            <w:proofErr w:type="spellEnd"/>
          </w:p>
        </w:tc>
        <w:tc>
          <w:tcPr>
            <w:tcW w:w="1559" w:type="dxa"/>
            <w:gridSpan w:val="2"/>
            <w:tcBorders>
              <w:top w:val="single" w:sz="4" w:space="0" w:color="auto"/>
              <w:left w:val="single" w:sz="4" w:space="0" w:color="auto"/>
              <w:bottom w:val="single" w:sz="4" w:space="0" w:color="auto"/>
            </w:tcBorders>
          </w:tcPr>
          <w:p w:rsidR="00AD3425" w:rsidRPr="007E0AF4" w:rsidRDefault="00AD3425" w:rsidP="001E6C97">
            <w:pPr>
              <w:pStyle w:val="a7"/>
              <w:ind w:left="0"/>
              <w:jc w:val="center"/>
              <w:rPr>
                <w:sz w:val="22"/>
              </w:rPr>
            </w:pPr>
            <w:r w:rsidRPr="007E0AF4">
              <w:rPr>
                <w:sz w:val="22"/>
              </w:rPr>
              <w:t>780</w:t>
            </w:r>
          </w:p>
        </w:tc>
      </w:tr>
      <w:tr w:rsidR="00AD3425" w:rsidRPr="007E0AF4" w:rsidTr="00AD3425">
        <w:trPr>
          <w:trHeight w:val="184"/>
        </w:trPr>
        <w:tc>
          <w:tcPr>
            <w:tcW w:w="2978" w:type="dxa"/>
            <w:vMerge/>
            <w:shd w:val="clear" w:color="auto" w:fill="C6D9F1" w:themeFill="text2" w:themeFillTint="33"/>
          </w:tcPr>
          <w:p w:rsidR="00AD3425" w:rsidRPr="007E0AF4" w:rsidRDefault="00AD3425" w:rsidP="001E6C97">
            <w:pPr>
              <w:pStyle w:val="a7"/>
              <w:ind w:left="0"/>
              <w:rPr>
                <w:b/>
                <w:sz w:val="22"/>
              </w:rPr>
            </w:pPr>
          </w:p>
        </w:tc>
        <w:tc>
          <w:tcPr>
            <w:tcW w:w="3543" w:type="dxa"/>
            <w:gridSpan w:val="3"/>
            <w:tcBorders>
              <w:top w:val="single" w:sz="4" w:space="0" w:color="auto"/>
              <w:bottom w:val="single" w:sz="4" w:space="0" w:color="auto"/>
              <w:right w:val="single" w:sz="4" w:space="0" w:color="auto"/>
            </w:tcBorders>
          </w:tcPr>
          <w:p w:rsidR="00AD3425" w:rsidRPr="007E0AF4" w:rsidRDefault="00AD3425" w:rsidP="001E6C97">
            <w:pPr>
              <w:pStyle w:val="a7"/>
              <w:ind w:left="0"/>
              <w:jc w:val="center"/>
              <w:rPr>
                <w:sz w:val="22"/>
              </w:rPr>
            </w:pPr>
            <w:proofErr w:type="spellStart"/>
            <w:r w:rsidRPr="007E0AF4">
              <w:rPr>
                <w:sz w:val="22"/>
              </w:rPr>
              <w:t>Кількість</w:t>
            </w:r>
            <w:proofErr w:type="spellEnd"/>
            <w:r w:rsidRPr="007E0AF4">
              <w:rPr>
                <w:sz w:val="22"/>
              </w:rPr>
              <w:t xml:space="preserve"> </w:t>
            </w:r>
            <w:proofErr w:type="spellStart"/>
            <w:r w:rsidRPr="007E0AF4">
              <w:rPr>
                <w:sz w:val="22"/>
              </w:rPr>
              <w:t>уроків</w:t>
            </w:r>
            <w:proofErr w:type="spellEnd"/>
          </w:p>
        </w:tc>
        <w:tc>
          <w:tcPr>
            <w:tcW w:w="1843" w:type="dxa"/>
            <w:gridSpan w:val="2"/>
            <w:tcBorders>
              <w:top w:val="single" w:sz="4" w:space="0" w:color="auto"/>
              <w:left w:val="single" w:sz="4" w:space="0" w:color="auto"/>
              <w:bottom w:val="single" w:sz="4" w:space="0" w:color="auto"/>
              <w:right w:val="single" w:sz="4" w:space="0" w:color="auto"/>
            </w:tcBorders>
            <w:vAlign w:val="center"/>
          </w:tcPr>
          <w:p w:rsidR="00AD3425" w:rsidRPr="007E0AF4" w:rsidRDefault="00AD3425" w:rsidP="001E6C97">
            <w:pPr>
              <w:pStyle w:val="a7"/>
              <w:ind w:left="0"/>
              <w:jc w:val="center"/>
              <w:rPr>
                <w:sz w:val="22"/>
              </w:rPr>
            </w:pPr>
            <w:proofErr w:type="spellStart"/>
            <w:r w:rsidRPr="007E0AF4">
              <w:rPr>
                <w:sz w:val="22"/>
              </w:rPr>
              <w:t>одиниць</w:t>
            </w:r>
            <w:proofErr w:type="spellEnd"/>
          </w:p>
        </w:tc>
        <w:tc>
          <w:tcPr>
            <w:tcW w:w="1559" w:type="dxa"/>
            <w:gridSpan w:val="2"/>
            <w:tcBorders>
              <w:top w:val="single" w:sz="4" w:space="0" w:color="auto"/>
              <w:left w:val="single" w:sz="4" w:space="0" w:color="auto"/>
              <w:bottom w:val="single" w:sz="4" w:space="0" w:color="auto"/>
            </w:tcBorders>
          </w:tcPr>
          <w:p w:rsidR="00AD3425" w:rsidRPr="007E0AF4" w:rsidRDefault="00AD3425" w:rsidP="001E6C97">
            <w:pPr>
              <w:pStyle w:val="a7"/>
              <w:ind w:left="0"/>
              <w:jc w:val="center"/>
              <w:rPr>
                <w:sz w:val="22"/>
              </w:rPr>
            </w:pPr>
            <w:r w:rsidRPr="007E0AF4">
              <w:rPr>
                <w:sz w:val="22"/>
              </w:rPr>
              <w:t>63</w:t>
            </w:r>
          </w:p>
        </w:tc>
      </w:tr>
      <w:tr w:rsidR="00AD3425" w:rsidRPr="007E0AF4" w:rsidTr="00AD3425">
        <w:trPr>
          <w:trHeight w:val="150"/>
        </w:trPr>
        <w:tc>
          <w:tcPr>
            <w:tcW w:w="2978" w:type="dxa"/>
            <w:vMerge/>
            <w:shd w:val="clear" w:color="auto" w:fill="C6D9F1" w:themeFill="text2" w:themeFillTint="33"/>
          </w:tcPr>
          <w:p w:rsidR="00AD3425" w:rsidRPr="007E0AF4" w:rsidRDefault="00AD3425" w:rsidP="001E6C97">
            <w:pPr>
              <w:pStyle w:val="a7"/>
              <w:ind w:left="0"/>
              <w:rPr>
                <w:b/>
                <w:sz w:val="22"/>
              </w:rPr>
            </w:pPr>
          </w:p>
        </w:tc>
        <w:tc>
          <w:tcPr>
            <w:tcW w:w="3543" w:type="dxa"/>
            <w:gridSpan w:val="3"/>
            <w:tcBorders>
              <w:top w:val="single" w:sz="4" w:space="0" w:color="auto"/>
              <w:right w:val="single" w:sz="4" w:space="0" w:color="auto"/>
            </w:tcBorders>
          </w:tcPr>
          <w:p w:rsidR="00AD3425" w:rsidRPr="007E0AF4" w:rsidRDefault="00AD3425" w:rsidP="001E6C97">
            <w:pPr>
              <w:pStyle w:val="a7"/>
              <w:ind w:left="0"/>
              <w:jc w:val="center"/>
              <w:rPr>
                <w:sz w:val="22"/>
              </w:rPr>
            </w:pPr>
            <w:proofErr w:type="spellStart"/>
            <w:r w:rsidRPr="007E0AF4">
              <w:rPr>
                <w:sz w:val="22"/>
              </w:rPr>
              <w:t>Термін</w:t>
            </w:r>
            <w:proofErr w:type="spellEnd"/>
            <w:r w:rsidRPr="007E0AF4">
              <w:rPr>
                <w:sz w:val="22"/>
              </w:rPr>
              <w:t xml:space="preserve"> </w:t>
            </w:r>
            <w:proofErr w:type="spellStart"/>
            <w:r w:rsidRPr="007E0AF4">
              <w:rPr>
                <w:sz w:val="22"/>
              </w:rPr>
              <w:t>надання</w:t>
            </w:r>
            <w:proofErr w:type="spellEnd"/>
            <w:r w:rsidRPr="007E0AF4">
              <w:rPr>
                <w:sz w:val="22"/>
              </w:rPr>
              <w:t xml:space="preserve"> </w:t>
            </w:r>
            <w:proofErr w:type="spellStart"/>
            <w:r w:rsidRPr="007E0AF4">
              <w:rPr>
                <w:sz w:val="22"/>
              </w:rPr>
              <w:t>послуги</w:t>
            </w:r>
            <w:proofErr w:type="spellEnd"/>
          </w:p>
        </w:tc>
        <w:tc>
          <w:tcPr>
            <w:tcW w:w="1843" w:type="dxa"/>
            <w:gridSpan w:val="2"/>
            <w:tcBorders>
              <w:top w:val="single" w:sz="4" w:space="0" w:color="auto"/>
              <w:left w:val="single" w:sz="4" w:space="0" w:color="auto"/>
              <w:right w:val="single" w:sz="4" w:space="0" w:color="auto"/>
            </w:tcBorders>
            <w:vAlign w:val="center"/>
          </w:tcPr>
          <w:p w:rsidR="00AD3425" w:rsidRPr="007E0AF4" w:rsidRDefault="00AD3425" w:rsidP="001E6C97">
            <w:pPr>
              <w:pStyle w:val="a7"/>
              <w:ind w:left="0"/>
              <w:jc w:val="center"/>
              <w:rPr>
                <w:sz w:val="22"/>
              </w:rPr>
            </w:pPr>
            <w:r w:rsidRPr="007E0AF4">
              <w:rPr>
                <w:sz w:val="22"/>
              </w:rPr>
              <w:t>день</w:t>
            </w:r>
          </w:p>
        </w:tc>
        <w:tc>
          <w:tcPr>
            <w:tcW w:w="1559" w:type="dxa"/>
            <w:gridSpan w:val="2"/>
            <w:tcBorders>
              <w:top w:val="single" w:sz="4" w:space="0" w:color="auto"/>
              <w:left w:val="single" w:sz="4" w:space="0" w:color="auto"/>
            </w:tcBorders>
          </w:tcPr>
          <w:p w:rsidR="00AD3425" w:rsidRPr="007E0AF4" w:rsidRDefault="00AD3425" w:rsidP="001E6C97">
            <w:pPr>
              <w:pStyle w:val="a7"/>
              <w:ind w:left="0"/>
              <w:jc w:val="center"/>
              <w:rPr>
                <w:sz w:val="22"/>
              </w:rPr>
            </w:pPr>
            <w:r w:rsidRPr="007E0AF4">
              <w:rPr>
                <w:sz w:val="22"/>
              </w:rPr>
              <w:t>365</w:t>
            </w:r>
          </w:p>
        </w:tc>
      </w:tr>
      <w:tr w:rsidR="00AD3425" w:rsidRPr="007E0AF4" w:rsidTr="00AD3425">
        <w:trPr>
          <w:trHeight w:val="150"/>
        </w:trPr>
        <w:tc>
          <w:tcPr>
            <w:tcW w:w="2978" w:type="dxa"/>
            <w:shd w:val="clear" w:color="auto" w:fill="C6D9F1" w:themeFill="text2" w:themeFillTint="33"/>
          </w:tcPr>
          <w:p w:rsidR="00AD3425" w:rsidRPr="007E0AF4" w:rsidRDefault="00AD3425" w:rsidP="001E6C97">
            <w:pPr>
              <w:pStyle w:val="a7"/>
              <w:ind w:left="0"/>
              <w:rPr>
                <w:b/>
                <w:sz w:val="22"/>
              </w:rPr>
            </w:pPr>
          </w:p>
        </w:tc>
        <w:tc>
          <w:tcPr>
            <w:tcW w:w="3543" w:type="dxa"/>
            <w:gridSpan w:val="3"/>
            <w:tcBorders>
              <w:top w:val="single" w:sz="4" w:space="0" w:color="auto"/>
              <w:right w:val="single" w:sz="4" w:space="0" w:color="auto"/>
            </w:tcBorders>
          </w:tcPr>
          <w:p w:rsidR="00AD3425" w:rsidRPr="007E0AF4" w:rsidRDefault="00AD3425" w:rsidP="005E6F14">
            <w:pPr>
              <w:pStyle w:val="a7"/>
              <w:ind w:left="0"/>
              <w:jc w:val="center"/>
              <w:rPr>
                <w:sz w:val="22"/>
              </w:rPr>
            </w:pPr>
            <w:proofErr w:type="spellStart"/>
            <w:r w:rsidRPr="007E0AF4">
              <w:rPr>
                <w:sz w:val="22"/>
              </w:rPr>
              <w:t>Кількість</w:t>
            </w:r>
            <w:proofErr w:type="spellEnd"/>
            <w:r w:rsidRPr="007E0AF4">
              <w:rPr>
                <w:sz w:val="22"/>
              </w:rPr>
              <w:t xml:space="preserve"> </w:t>
            </w:r>
            <w:proofErr w:type="spellStart"/>
            <w:r w:rsidRPr="007E0AF4">
              <w:rPr>
                <w:sz w:val="22"/>
              </w:rPr>
              <w:t>населених</w:t>
            </w:r>
            <w:proofErr w:type="spellEnd"/>
            <w:r w:rsidRPr="007E0AF4">
              <w:rPr>
                <w:sz w:val="22"/>
              </w:rPr>
              <w:t xml:space="preserve"> </w:t>
            </w:r>
            <w:proofErr w:type="spellStart"/>
            <w:r w:rsidRPr="007E0AF4">
              <w:rPr>
                <w:sz w:val="22"/>
              </w:rPr>
              <w:t>пунктів</w:t>
            </w:r>
            <w:proofErr w:type="spellEnd"/>
            <w:r w:rsidRPr="007E0AF4">
              <w:rPr>
                <w:sz w:val="22"/>
              </w:rPr>
              <w:t xml:space="preserve">, </w:t>
            </w:r>
            <w:proofErr w:type="spellStart"/>
            <w:r w:rsidRPr="007E0AF4">
              <w:rPr>
                <w:sz w:val="22"/>
              </w:rPr>
              <w:t>як</w:t>
            </w:r>
            <w:r w:rsidR="005E6F14" w:rsidRPr="007E0AF4">
              <w:rPr>
                <w:sz w:val="22"/>
              </w:rPr>
              <w:t>і</w:t>
            </w:r>
            <w:proofErr w:type="spellEnd"/>
            <w:r w:rsidRPr="007E0AF4">
              <w:rPr>
                <w:sz w:val="22"/>
              </w:rPr>
              <w:t xml:space="preserve"> </w:t>
            </w:r>
            <w:proofErr w:type="spellStart"/>
            <w:r w:rsidRPr="007E0AF4">
              <w:rPr>
                <w:sz w:val="22"/>
              </w:rPr>
              <w:t>обслуговує</w:t>
            </w:r>
            <w:proofErr w:type="spellEnd"/>
            <w:r w:rsidRPr="007E0AF4">
              <w:rPr>
                <w:sz w:val="22"/>
              </w:rPr>
              <w:t xml:space="preserve"> заклад.</w:t>
            </w:r>
          </w:p>
        </w:tc>
        <w:tc>
          <w:tcPr>
            <w:tcW w:w="1843" w:type="dxa"/>
            <w:gridSpan w:val="2"/>
            <w:tcBorders>
              <w:top w:val="single" w:sz="4" w:space="0" w:color="auto"/>
              <w:left w:val="single" w:sz="4" w:space="0" w:color="auto"/>
              <w:right w:val="single" w:sz="4" w:space="0" w:color="auto"/>
            </w:tcBorders>
            <w:vAlign w:val="center"/>
          </w:tcPr>
          <w:p w:rsidR="00AD3425" w:rsidRPr="007E0AF4" w:rsidRDefault="00AD3425" w:rsidP="001E6C97">
            <w:pPr>
              <w:pStyle w:val="a7"/>
              <w:ind w:left="0"/>
              <w:jc w:val="center"/>
              <w:rPr>
                <w:sz w:val="22"/>
              </w:rPr>
            </w:pPr>
            <w:proofErr w:type="spellStart"/>
            <w:r w:rsidRPr="007E0AF4">
              <w:rPr>
                <w:sz w:val="22"/>
              </w:rPr>
              <w:t>одиниць</w:t>
            </w:r>
            <w:proofErr w:type="spellEnd"/>
          </w:p>
        </w:tc>
        <w:tc>
          <w:tcPr>
            <w:tcW w:w="1559" w:type="dxa"/>
            <w:gridSpan w:val="2"/>
            <w:tcBorders>
              <w:top w:val="single" w:sz="4" w:space="0" w:color="auto"/>
              <w:left w:val="single" w:sz="4" w:space="0" w:color="auto"/>
            </w:tcBorders>
          </w:tcPr>
          <w:p w:rsidR="00AD3425" w:rsidRPr="007E0AF4" w:rsidRDefault="00AD3425" w:rsidP="001E6C97">
            <w:pPr>
              <w:pStyle w:val="a7"/>
              <w:rPr>
                <w:color w:val="000000" w:themeColor="text1"/>
                <w:sz w:val="22"/>
              </w:rPr>
            </w:pPr>
            <w:r w:rsidRPr="007E0AF4">
              <w:rPr>
                <w:color w:val="000000" w:themeColor="text1"/>
                <w:sz w:val="22"/>
              </w:rPr>
              <w:t>1</w:t>
            </w:r>
          </w:p>
          <w:p w:rsidR="00AD3425" w:rsidRPr="007E0AF4" w:rsidRDefault="00AD3425" w:rsidP="001E6C97">
            <w:pPr>
              <w:pStyle w:val="a7"/>
              <w:ind w:left="0"/>
              <w:jc w:val="center"/>
              <w:rPr>
                <w:sz w:val="22"/>
              </w:rPr>
            </w:pPr>
          </w:p>
        </w:tc>
      </w:tr>
      <w:tr w:rsidR="00AD3425" w:rsidRPr="007E0AF4" w:rsidTr="00AD3425">
        <w:tc>
          <w:tcPr>
            <w:tcW w:w="2978" w:type="dxa"/>
            <w:shd w:val="clear" w:color="auto" w:fill="C6D9F1" w:themeFill="text2" w:themeFillTint="33"/>
          </w:tcPr>
          <w:p w:rsidR="00AD3425" w:rsidRPr="007E0AF4" w:rsidRDefault="00AD3425" w:rsidP="001E6C97">
            <w:pPr>
              <w:rPr>
                <w:b/>
                <w:sz w:val="22"/>
              </w:rPr>
            </w:pPr>
            <w:proofErr w:type="spellStart"/>
            <w:r w:rsidRPr="007E0AF4">
              <w:rPr>
                <w:b/>
                <w:sz w:val="22"/>
              </w:rPr>
              <w:t>Ключові</w:t>
            </w:r>
            <w:proofErr w:type="spellEnd"/>
            <w:r w:rsidRPr="007E0AF4">
              <w:rPr>
                <w:b/>
                <w:sz w:val="22"/>
              </w:rPr>
              <w:t xml:space="preserve"> заходи проекту: </w:t>
            </w:r>
          </w:p>
          <w:p w:rsidR="00AD3425" w:rsidRPr="007E0AF4" w:rsidRDefault="00AD3425" w:rsidP="001E6C97">
            <w:pPr>
              <w:pStyle w:val="a7"/>
              <w:ind w:left="0"/>
              <w:rPr>
                <w:b/>
                <w:sz w:val="22"/>
              </w:rPr>
            </w:pPr>
          </w:p>
        </w:tc>
        <w:tc>
          <w:tcPr>
            <w:tcW w:w="6945" w:type="dxa"/>
            <w:gridSpan w:val="7"/>
          </w:tcPr>
          <w:p w:rsidR="00AD3425" w:rsidRPr="007E0AF4" w:rsidRDefault="00AD3425" w:rsidP="001E6C97">
            <w:pPr>
              <w:pStyle w:val="a7"/>
              <w:ind w:left="0"/>
              <w:rPr>
                <w:sz w:val="22"/>
              </w:rPr>
            </w:pPr>
            <w:r w:rsidRPr="007E0AF4">
              <w:rPr>
                <w:sz w:val="22"/>
              </w:rPr>
              <w:t xml:space="preserve">- </w:t>
            </w:r>
            <w:proofErr w:type="spellStart"/>
            <w:r w:rsidRPr="007E0AF4">
              <w:rPr>
                <w:sz w:val="22"/>
              </w:rPr>
              <w:t>обстеження</w:t>
            </w:r>
            <w:proofErr w:type="spellEnd"/>
            <w:r w:rsidRPr="007E0AF4">
              <w:rPr>
                <w:sz w:val="22"/>
              </w:rPr>
              <w:t xml:space="preserve"> стану </w:t>
            </w:r>
            <w:proofErr w:type="spellStart"/>
            <w:r w:rsidRPr="007E0AF4">
              <w:rPr>
                <w:sz w:val="22"/>
              </w:rPr>
              <w:t>будівлі</w:t>
            </w:r>
            <w:proofErr w:type="spellEnd"/>
            <w:r w:rsidRPr="007E0AF4">
              <w:rPr>
                <w:sz w:val="22"/>
              </w:rPr>
              <w:t>;</w:t>
            </w:r>
          </w:p>
          <w:p w:rsidR="00AD3425" w:rsidRPr="007E0AF4" w:rsidRDefault="00AD3425" w:rsidP="001E6C97">
            <w:pPr>
              <w:pStyle w:val="a7"/>
              <w:ind w:left="0"/>
              <w:rPr>
                <w:sz w:val="22"/>
              </w:rPr>
            </w:pPr>
            <w:r w:rsidRPr="007E0AF4">
              <w:rPr>
                <w:sz w:val="22"/>
              </w:rPr>
              <w:t xml:space="preserve">- </w:t>
            </w:r>
            <w:proofErr w:type="spellStart"/>
            <w:r w:rsidRPr="007E0AF4">
              <w:rPr>
                <w:sz w:val="22"/>
              </w:rPr>
              <w:t>проведення</w:t>
            </w:r>
            <w:proofErr w:type="spellEnd"/>
            <w:r w:rsidRPr="007E0AF4">
              <w:rPr>
                <w:sz w:val="22"/>
              </w:rPr>
              <w:t xml:space="preserve"> </w:t>
            </w:r>
            <w:proofErr w:type="spellStart"/>
            <w:r w:rsidRPr="007E0AF4">
              <w:rPr>
                <w:sz w:val="22"/>
              </w:rPr>
              <w:t>інвентаризації</w:t>
            </w:r>
            <w:proofErr w:type="spellEnd"/>
            <w:r w:rsidRPr="007E0AF4">
              <w:rPr>
                <w:sz w:val="22"/>
              </w:rPr>
              <w:t xml:space="preserve"> </w:t>
            </w:r>
            <w:proofErr w:type="spellStart"/>
            <w:r w:rsidRPr="007E0AF4">
              <w:rPr>
                <w:sz w:val="22"/>
              </w:rPr>
              <w:t>основних</w:t>
            </w:r>
            <w:proofErr w:type="spellEnd"/>
            <w:r w:rsidRPr="007E0AF4">
              <w:rPr>
                <w:sz w:val="22"/>
              </w:rPr>
              <w:t xml:space="preserve"> </w:t>
            </w:r>
            <w:proofErr w:type="spellStart"/>
            <w:r w:rsidRPr="007E0AF4">
              <w:rPr>
                <w:sz w:val="22"/>
              </w:rPr>
              <w:t>засобів</w:t>
            </w:r>
            <w:proofErr w:type="spellEnd"/>
            <w:r w:rsidRPr="007E0AF4">
              <w:rPr>
                <w:sz w:val="22"/>
              </w:rPr>
              <w:t>;</w:t>
            </w:r>
          </w:p>
          <w:p w:rsidR="00AD3425" w:rsidRPr="007E0AF4" w:rsidRDefault="00AD3425" w:rsidP="001E6C97">
            <w:pPr>
              <w:pStyle w:val="a7"/>
              <w:ind w:left="0"/>
              <w:rPr>
                <w:sz w:val="22"/>
              </w:rPr>
            </w:pPr>
            <w:r w:rsidRPr="007E0AF4">
              <w:rPr>
                <w:sz w:val="22"/>
              </w:rPr>
              <w:t xml:space="preserve">- </w:t>
            </w:r>
            <w:proofErr w:type="spellStart"/>
            <w:r w:rsidRPr="007E0AF4">
              <w:rPr>
                <w:sz w:val="22"/>
              </w:rPr>
              <w:t>придбання</w:t>
            </w:r>
            <w:proofErr w:type="spellEnd"/>
            <w:r w:rsidRPr="007E0AF4">
              <w:rPr>
                <w:sz w:val="22"/>
              </w:rPr>
              <w:t xml:space="preserve"> </w:t>
            </w:r>
            <w:proofErr w:type="spellStart"/>
            <w:r w:rsidRPr="007E0AF4">
              <w:rPr>
                <w:sz w:val="22"/>
              </w:rPr>
              <w:t>технічного</w:t>
            </w:r>
            <w:proofErr w:type="spellEnd"/>
            <w:r w:rsidRPr="007E0AF4">
              <w:rPr>
                <w:sz w:val="22"/>
              </w:rPr>
              <w:t xml:space="preserve"> </w:t>
            </w:r>
            <w:proofErr w:type="spellStart"/>
            <w:r w:rsidRPr="007E0AF4">
              <w:rPr>
                <w:sz w:val="22"/>
              </w:rPr>
              <w:t>забезпечення</w:t>
            </w:r>
            <w:proofErr w:type="spellEnd"/>
            <w:r w:rsidRPr="007E0AF4">
              <w:rPr>
                <w:sz w:val="22"/>
              </w:rPr>
              <w:t xml:space="preserve"> закладу;</w:t>
            </w:r>
          </w:p>
          <w:p w:rsidR="00AD3425" w:rsidRPr="007E0AF4" w:rsidRDefault="00AD3425" w:rsidP="001E6C97">
            <w:pPr>
              <w:pStyle w:val="a7"/>
              <w:ind w:left="0"/>
              <w:rPr>
                <w:sz w:val="22"/>
              </w:rPr>
            </w:pPr>
            <w:r w:rsidRPr="007E0AF4">
              <w:rPr>
                <w:sz w:val="22"/>
              </w:rPr>
              <w:t xml:space="preserve">- </w:t>
            </w:r>
            <w:proofErr w:type="spellStart"/>
            <w:r w:rsidRPr="007E0AF4">
              <w:rPr>
                <w:sz w:val="22"/>
              </w:rPr>
              <w:t>придбання</w:t>
            </w:r>
            <w:proofErr w:type="spellEnd"/>
            <w:r w:rsidRPr="007E0AF4">
              <w:rPr>
                <w:sz w:val="22"/>
              </w:rPr>
              <w:t xml:space="preserve"> </w:t>
            </w:r>
            <w:proofErr w:type="spellStart"/>
            <w:r w:rsidRPr="007E0AF4">
              <w:rPr>
                <w:sz w:val="22"/>
              </w:rPr>
              <w:t>технологічного</w:t>
            </w:r>
            <w:proofErr w:type="spellEnd"/>
            <w:r w:rsidRPr="007E0AF4">
              <w:rPr>
                <w:sz w:val="22"/>
              </w:rPr>
              <w:t xml:space="preserve"> </w:t>
            </w:r>
            <w:proofErr w:type="spellStart"/>
            <w:r w:rsidRPr="007E0AF4">
              <w:rPr>
                <w:sz w:val="22"/>
              </w:rPr>
              <w:t>забезпечення</w:t>
            </w:r>
            <w:proofErr w:type="spellEnd"/>
            <w:r w:rsidRPr="007E0AF4">
              <w:rPr>
                <w:sz w:val="22"/>
              </w:rPr>
              <w:t>;</w:t>
            </w:r>
          </w:p>
          <w:p w:rsidR="00AD3425" w:rsidRPr="007E0AF4" w:rsidRDefault="00AD3425" w:rsidP="001E6C97">
            <w:pPr>
              <w:pStyle w:val="a7"/>
              <w:ind w:left="0"/>
              <w:rPr>
                <w:sz w:val="22"/>
              </w:rPr>
            </w:pPr>
            <w:r w:rsidRPr="007E0AF4">
              <w:rPr>
                <w:sz w:val="22"/>
              </w:rPr>
              <w:t xml:space="preserve">- </w:t>
            </w:r>
            <w:proofErr w:type="spellStart"/>
            <w:r w:rsidRPr="007E0AF4">
              <w:rPr>
                <w:sz w:val="22"/>
              </w:rPr>
              <w:t>визначення</w:t>
            </w:r>
            <w:proofErr w:type="spellEnd"/>
            <w:r w:rsidRPr="007E0AF4">
              <w:rPr>
                <w:sz w:val="22"/>
              </w:rPr>
              <w:t xml:space="preserve"> </w:t>
            </w:r>
            <w:proofErr w:type="spellStart"/>
            <w:r w:rsidRPr="007E0AF4">
              <w:rPr>
                <w:sz w:val="22"/>
              </w:rPr>
              <w:t>кількості</w:t>
            </w:r>
            <w:proofErr w:type="spellEnd"/>
            <w:r w:rsidRPr="007E0AF4">
              <w:rPr>
                <w:sz w:val="22"/>
              </w:rPr>
              <w:t xml:space="preserve"> </w:t>
            </w:r>
            <w:proofErr w:type="spellStart"/>
            <w:r w:rsidRPr="007E0AF4">
              <w:rPr>
                <w:sz w:val="22"/>
              </w:rPr>
              <w:t>осіб</w:t>
            </w:r>
            <w:proofErr w:type="spellEnd"/>
            <w:r w:rsidRPr="007E0AF4">
              <w:rPr>
                <w:sz w:val="22"/>
              </w:rPr>
              <w:t xml:space="preserve">, </w:t>
            </w:r>
            <w:proofErr w:type="spellStart"/>
            <w:r w:rsidRPr="007E0AF4">
              <w:rPr>
                <w:sz w:val="22"/>
              </w:rPr>
              <w:t>які</w:t>
            </w:r>
            <w:proofErr w:type="spellEnd"/>
            <w:r w:rsidRPr="007E0AF4">
              <w:rPr>
                <w:sz w:val="22"/>
              </w:rPr>
              <w:t xml:space="preserve"> </w:t>
            </w:r>
            <w:proofErr w:type="spellStart"/>
            <w:r w:rsidRPr="007E0AF4">
              <w:rPr>
                <w:sz w:val="22"/>
              </w:rPr>
              <w:t>потребують</w:t>
            </w:r>
            <w:proofErr w:type="spellEnd"/>
            <w:r w:rsidRPr="007E0AF4">
              <w:rPr>
                <w:sz w:val="22"/>
              </w:rPr>
              <w:t xml:space="preserve"> </w:t>
            </w:r>
            <w:proofErr w:type="spellStart"/>
            <w:r w:rsidRPr="007E0AF4">
              <w:rPr>
                <w:sz w:val="22"/>
              </w:rPr>
              <w:t>отримання</w:t>
            </w:r>
            <w:proofErr w:type="spellEnd"/>
            <w:r w:rsidRPr="007E0AF4">
              <w:rPr>
                <w:sz w:val="22"/>
              </w:rPr>
              <w:t xml:space="preserve"> </w:t>
            </w:r>
            <w:proofErr w:type="spellStart"/>
            <w:r w:rsidRPr="007E0AF4">
              <w:rPr>
                <w:sz w:val="22"/>
              </w:rPr>
              <w:t>соціальних</w:t>
            </w:r>
            <w:proofErr w:type="spellEnd"/>
            <w:r w:rsidRPr="007E0AF4">
              <w:rPr>
                <w:sz w:val="22"/>
              </w:rPr>
              <w:t xml:space="preserve">, </w:t>
            </w:r>
            <w:proofErr w:type="spellStart"/>
            <w:r w:rsidRPr="007E0AF4">
              <w:rPr>
                <w:sz w:val="22"/>
              </w:rPr>
              <w:t>освітніх</w:t>
            </w:r>
            <w:proofErr w:type="spellEnd"/>
            <w:r w:rsidRPr="007E0AF4">
              <w:rPr>
                <w:sz w:val="22"/>
              </w:rPr>
              <w:t xml:space="preserve">, </w:t>
            </w:r>
            <w:proofErr w:type="spellStart"/>
            <w:r w:rsidRPr="007E0AF4">
              <w:rPr>
                <w:sz w:val="22"/>
              </w:rPr>
              <w:t>послуг</w:t>
            </w:r>
            <w:proofErr w:type="spellEnd"/>
            <w:r w:rsidRPr="007E0AF4">
              <w:rPr>
                <w:sz w:val="22"/>
              </w:rPr>
              <w:t xml:space="preserve"> закладу;</w:t>
            </w:r>
          </w:p>
          <w:p w:rsidR="00AD3425" w:rsidRPr="007E0AF4" w:rsidRDefault="00AD3425" w:rsidP="001E6C97">
            <w:pPr>
              <w:pStyle w:val="a7"/>
              <w:ind w:left="0"/>
              <w:rPr>
                <w:sz w:val="22"/>
              </w:rPr>
            </w:pPr>
            <w:r w:rsidRPr="007E0AF4">
              <w:rPr>
                <w:sz w:val="22"/>
              </w:rPr>
              <w:t xml:space="preserve">- </w:t>
            </w:r>
            <w:proofErr w:type="spellStart"/>
            <w:r w:rsidRPr="007E0AF4">
              <w:rPr>
                <w:sz w:val="22"/>
              </w:rPr>
              <w:t>організація</w:t>
            </w:r>
            <w:proofErr w:type="spellEnd"/>
            <w:r w:rsidRPr="007E0AF4">
              <w:rPr>
                <w:sz w:val="22"/>
              </w:rPr>
              <w:t xml:space="preserve"> та початок </w:t>
            </w:r>
            <w:proofErr w:type="spellStart"/>
            <w:r w:rsidRPr="007E0AF4">
              <w:rPr>
                <w:sz w:val="22"/>
              </w:rPr>
              <w:t>робочого</w:t>
            </w:r>
            <w:proofErr w:type="spellEnd"/>
            <w:r w:rsidRPr="007E0AF4">
              <w:rPr>
                <w:sz w:val="22"/>
              </w:rPr>
              <w:t xml:space="preserve"> </w:t>
            </w:r>
            <w:proofErr w:type="spellStart"/>
            <w:r w:rsidRPr="007E0AF4">
              <w:rPr>
                <w:sz w:val="22"/>
              </w:rPr>
              <w:t>процесу</w:t>
            </w:r>
            <w:proofErr w:type="spellEnd"/>
            <w:r w:rsidRPr="007E0AF4">
              <w:rPr>
                <w:sz w:val="22"/>
              </w:rPr>
              <w:t>.</w:t>
            </w:r>
          </w:p>
        </w:tc>
      </w:tr>
      <w:tr w:rsidR="00AD3425" w:rsidRPr="007E0AF4" w:rsidTr="00AD3425">
        <w:trPr>
          <w:trHeight w:val="360"/>
        </w:trPr>
        <w:tc>
          <w:tcPr>
            <w:tcW w:w="2978" w:type="dxa"/>
            <w:vMerge w:val="restart"/>
            <w:shd w:val="clear" w:color="auto" w:fill="C6D9F1" w:themeFill="text2" w:themeFillTint="33"/>
          </w:tcPr>
          <w:p w:rsidR="00AD3425" w:rsidRPr="007E0AF4" w:rsidRDefault="00AD3425" w:rsidP="001E6C97">
            <w:pPr>
              <w:pStyle w:val="a7"/>
              <w:ind w:left="0"/>
              <w:rPr>
                <w:b/>
                <w:sz w:val="22"/>
              </w:rPr>
            </w:pPr>
            <w:proofErr w:type="spellStart"/>
            <w:r w:rsidRPr="007E0AF4">
              <w:rPr>
                <w:b/>
                <w:sz w:val="22"/>
              </w:rPr>
              <w:t>Орієнтовний</w:t>
            </w:r>
            <w:proofErr w:type="spellEnd"/>
            <w:r w:rsidRPr="007E0AF4">
              <w:rPr>
                <w:b/>
                <w:sz w:val="22"/>
              </w:rPr>
              <w:t xml:space="preserve"> </w:t>
            </w:r>
            <w:proofErr w:type="spellStart"/>
            <w:r w:rsidRPr="007E0AF4">
              <w:rPr>
                <w:b/>
                <w:sz w:val="22"/>
              </w:rPr>
              <w:t>обсяг</w:t>
            </w:r>
            <w:proofErr w:type="spellEnd"/>
            <w:r w:rsidRPr="007E0AF4">
              <w:rPr>
                <w:b/>
                <w:sz w:val="22"/>
              </w:rPr>
              <w:t xml:space="preserve"> та </w:t>
            </w:r>
            <w:proofErr w:type="spellStart"/>
            <w:r w:rsidRPr="007E0AF4">
              <w:rPr>
                <w:b/>
                <w:sz w:val="22"/>
              </w:rPr>
              <w:t>джерела</w:t>
            </w:r>
            <w:proofErr w:type="spellEnd"/>
            <w:r w:rsidRPr="007E0AF4">
              <w:rPr>
                <w:b/>
                <w:sz w:val="22"/>
              </w:rPr>
              <w:t xml:space="preserve"> </w:t>
            </w:r>
            <w:proofErr w:type="spellStart"/>
            <w:r w:rsidRPr="007E0AF4">
              <w:rPr>
                <w:b/>
                <w:sz w:val="22"/>
              </w:rPr>
              <w:t>фінансування</w:t>
            </w:r>
            <w:proofErr w:type="spellEnd"/>
            <w:r w:rsidRPr="007E0AF4">
              <w:rPr>
                <w:b/>
                <w:sz w:val="22"/>
              </w:rPr>
              <w:t xml:space="preserve">, тис. грн. </w:t>
            </w:r>
          </w:p>
          <w:p w:rsidR="00AD3425" w:rsidRPr="007E0AF4" w:rsidRDefault="00AD3425" w:rsidP="001E6C97">
            <w:pPr>
              <w:pStyle w:val="a7"/>
              <w:ind w:left="0"/>
              <w:rPr>
                <w:b/>
                <w:sz w:val="22"/>
              </w:rPr>
            </w:pPr>
          </w:p>
        </w:tc>
        <w:tc>
          <w:tcPr>
            <w:tcW w:w="1417" w:type="dxa"/>
            <w:tcBorders>
              <w:bottom w:val="single" w:sz="4" w:space="0" w:color="auto"/>
              <w:right w:val="single" w:sz="4" w:space="0" w:color="auto"/>
            </w:tcBorders>
          </w:tcPr>
          <w:p w:rsidR="00AD3425" w:rsidRPr="007E0AF4" w:rsidRDefault="00AD3425" w:rsidP="001E6C97">
            <w:pPr>
              <w:pStyle w:val="a7"/>
              <w:ind w:left="0"/>
              <w:jc w:val="center"/>
              <w:rPr>
                <w:b/>
                <w:sz w:val="22"/>
              </w:rPr>
            </w:pPr>
            <w:proofErr w:type="spellStart"/>
            <w:r w:rsidRPr="007E0AF4">
              <w:rPr>
                <w:b/>
                <w:sz w:val="22"/>
              </w:rPr>
              <w:t>Державний</w:t>
            </w:r>
            <w:proofErr w:type="spellEnd"/>
            <w:r w:rsidRPr="007E0AF4">
              <w:rPr>
                <w:b/>
                <w:sz w:val="22"/>
              </w:rPr>
              <w:t xml:space="preserve"> бюджет</w:t>
            </w:r>
          </w:p>
        </w:tc>
        <w:tc>
          <w:tcPr>
            <w:tcW w:w="1276" w:type="dxa"/>
            <w:tcBorders>
              <w:bottom w:val="single" w:sz="4" w:space="0" w:color="auto"/>
              <w:right w:val="single" w:sz="4" w:space="0" w:color="auto"/>
            </w:tcBorders>
          </w:tcPr>
          <w:p w:rsidR="00AD3425" w:rsidRPr="007E0AF4" w:rsidRDefault="00AD3425" w:rsidP="001E6C97">
            <w:pPr>
              <w:pStyle w:val="a7"/>
              <w:ind w:left="0"/>
              <w:jc w:val="center"/>
              <w:rPr>
                <w:b/>
                <w:sz w:val="22"/>
              </w:rPr>
            </w:pPr>
            <w:proofErr w:type="spellStart"/>
            <w:r w:rsidRPr="007E0AF4">
              <w:rPr>
                <w:b/>
                <w:sz w:val="22"/>
              </w:rPr>
              <w:t>Місцевий</w:t>
            </w:r>
            <w:proofErr w:type="spellEnd"/>
            <w:r w:rsidRPr="007E0AF4">
              <w:rPr>
                <w:b/>
                <w:sz w:val="22"/>
              </w:rPr>
              <w:t xml:space="preserve"> бюджет</w:t>
            </w:r>
          </w:p>
        </w:tc>
        <w:tc>
          <w:tcPr>
            <w:tcW w:w="2977" w:type="dxa"/>
            <w:gridSpan w:val="4"/>
            <w:tcBorders>
              <w:left w:val="single" w:sz="4" w:space="0" w:color="auto"/>
              <w:bottom w:val="single" w:sz="4" w:space="0" w:color="auto"/>
              <w:right w:val="single" w:sz="4" w:space="0" w:color="auto"/>
            </w:tcBorders>
          </w:tcPr>
          <w:p w:rsidR="00AD3425" w:rsidRPr="007E0AF4" w:rsidRDefault="00AD3425" w:rsidP="001E6C97">
            <w:pPr>
              <w:pStyle w:val="a7"/>
              <w:ind w:left="0"/>
              <w:jc w:val="center"/>
              <w:rPr>
                <w:b/>
                <w:sz w:val="22"/>
              </w:rPr>
            </w:pPr>
            <w:proofErr w:type="spellStart"/>
            <w:r w:rsidRPr="007E0AF4">
              <w:rPr>
                <w:b/>
                <w:sz w:val="22"/>
              </w:rPr>
              <w:t>Інші</w:t>
            </w:r>
            <w:proofErr w:type="spellEnd"/>
            <w:r w:rsidRPr="007E0AF4">
              <w:rPr>
                <w:b/>
                <w:sz w:val="22"/>
              </w:rPr>
              <w:t xml:space="preserve"> </w:t>
            </w:r>
            <w:proofErr w:type="spellStart"/>
            <w:r w:rsidRPr="007E0AF4">
              <w:rPr>
                <w:b/>
                <w:sz w:val="22"/>
              </w:rPr>
              <w:t>джерела</w:t>
            </w:r>
            <w:proofErr w:type="spellEnd"/>
          </w:p>
        </w:tc>
        <w:tc>
          <w:tcPr>
            <w:tcW w:w="1275" w:type="dxa"/>
            <w:tcBorders>
              <w:left w:val="single" w:sz="4" w:space="0" w:color="auto"/>
              <w:bottom w:val="single" w:sz="4" w:space="0" w:color="auto"/>
            </w:tcBorders>
          </w:tcPr>
          <w:p w:rsidR="00AD3425" w:rsidRPr="007E0AF4" w:rsidRDefault="00AD3425" w:rsidP="001E6C97">
            <w:pPr>
              <w:pStyle w:val="a7"/>
              <w:ind w:left="0"/>
              <w:jc w:val="center"/>
              <w:rPr>
                <w:b/>
                <w:sz w:val="22"/>
              </w:rPr>
            </w:pPr>
            <w:proofErr w:type="spellStart"/>
            <w:r w:rsidRPr="007E0AF4">
              <w:rPr>
                <w:b/>
                <w:sz w:val="22"/>
              </w:rPr>
              <w:t>Всього</w:t>
            </w:r>
            <w:proofErr w:type="spellEnd"/>
          </w:p>
        </w:tc>
      </w:tr>
      <w:tr w:rsidR="00AD3425" w:rsidRPr="007E0AF4" w:rsidTr="00AD3425">
        <w:trPr>
          <w:trHeight w:val="225"/>
        </w:trPr>
        <w:tc>
          <w:tcPr>
            <w:tcW w:w="2978" w:type="dxa"/>
            <w:vMerge/>
            <w:shd w:val="clear" w:color="auto" w:fill="C6D9F1" w:themeFill="text2" w:themeFillTint="33"/>
          </w:tcPr>
          <w:p w:rsidR="00AD3425" w:rsidRPr="007E0AF4" w:rsidRDefault="00AD3425" w:rsidP="001E6C97">
            <w:pPr>
              <w:pStyle w:val="a7"/>
              <w:ind w:left="0"/>
              <w:rPr>
                <w:b/>
                <w:sz w:val="22"/>
              </w:rPr>
            </w:pPr>
          </w:p>
        </w:tc>
        <w:tc>
          <w:tcPr>
            <w:tcW w:w="1417" w:type="dxa"/>
            <w:vMerge w:val="restart"/>
            <w:tcBorders>
              <w:top w:val="single" w:sz="4" w:space="0" w:color="auto"/>
              <w:right w:val="single" w:sz="4" w:space="0" w:color="auto"/>
            </w:tcBorders>
          </w:tcPr>
          <w:p w:rsidR="00AD3425" w:rsidRPr="007E0AF4" w:rsidRDefault="00AD3425" w:rsidP="001E6C97">
            <w:pPr>
              <w:pStyle w:val="a7"/>
              <w:ind w:left="0"/>
              <w:jc w:val="center"/>
              <w:rPr>
                <w:sz w:val="22"/>
              </w:rPr>
            </w:pPr>
            <w:r w:rsidRPr="007E0AF4">
              <w:rPr>
                <w:sz w:val="22"/>
              </w:rPr>
              <w:t>35000,0</w:t>
            </w:r>
          </w:p>
        </w:tc>
        <w:tc>
          <w:tcPr>
            <w:tcW w:w="1276" w:type="dxa"/>
            <w:vMerge w:val="restart"/>
            <w:tcBorders>
              <w:top w:val="single" w:sz="4" w:space="0" w:color="auto"/>
              <w:right w:val="single" w:sz="4" w:space="0" w:color="auto"/>
            </w:tcBorders>
          </w:tcPr>
          <w:p w:rsidR="00AD3425" w:rsidRPr="007E0AF4" w:rsidRDefault="00AD3425" w:rsidP="001E6C97">
            <w:pPr>
              <w:pStyle w:val="a7"/>
              <w:ind w:left="0"/>
              <w:jc w:val="center"/>
              <w:rPr>
                <w:b/>
                <w:sz w:val="22"/>
              </w:rPr>
            </w:pPr>
            <w:r w:rsidRPr="007E0AF4">
              <w:rPr>
                <w:b/>
                <w:sz w:val="22"/>
              </w:rPr>
              <w:t>-</w:t>
            </w:r>
          </w:p>
        </w:tc>
        <w:tc>
          <w:tcPr>
            <w:tcW w:w="1134" w:type="dxa"/>
            <w:gridSpan w:val="2"/>
            <w:tcBorders>
              <w:top w:val="single" w:sz="4" w:space="0" w:color="auto"/>
              <w:left w:val="single" w:sz="4" w:space="0" w:color="auto"/>
              <w:bottom w:val="single" w:sz="4" w:space="0" w:color="auto"/>
              <w:right w:val="single" w:sz="4" w:space="0" w:color="auto"/>
            </w:tcBorders>
          </w:tcPr>
          <w:p w:rsidR="00AD3425" w:rsidRPr="007E0AF4" w:rsidRDefault="00AD3425" w:rsidP="001E6C97">
            <w:pPr>
              <w:pStyle w:val="a7"/>
              <w:ind w:left="0"/>
              <w:jc w:val="center"/>
              <w:rPr>
                <w:b/>
                <w:sz w:val="22"/>
              </w:rPr>
            </w:pPr>
            <w:proofErr w:type="spellStart"/>
            <w:r w:rsidRPr="007E0AF4">
              <w:rPr>
                <w:b/>
                <w:sz w:val="22"/>
              </w:rPr>
              <w:t>Обсяг</w:t>
            </w:r>
            <w:proofErr w:type="spellEnd"/>
          </w:p>
        </w:tc>
        <w:tc>
          <w:tcPr>
            <w:tcW w:w="1843" w:type="dxa"/>
            <w:gridSpan w:val="2"/>
            <w:tcBorders>
              <w:top w:val="single" w:sz="4" w:space="0" w:color="auto"/>
              <w:left w:val="single" w:sz="4" w:space="0" w:color="auto"/>
              <w:bottom w:val="single" w:sz="4" w:space="0" w:color="auto"/>
              <w:right w:val="single" w:sz="4" w:space="0" w:color="auto"/>
            </w:tcBorders>
          </w:tcPr>
          <w:p w:rsidR="00AD3425" w:rsidRPr="007E0AF4" w:rsidRDefault="00AD3425" w:rsidP="001E6C97">
            <w:pPr>
              <w:pStyle w:val="a7"/>
              <w:ind w:left="0"/>
              <w:jc w:val="center"/>
              <w:rPr>
                <w:b/>
                <w:sz w:val="22"/>
              </w:rPr>
            </w:pPr>
            <w:proofErr w:type="spellStart"/>
            <w:r w:rsidRPr="007E0AF4">
              <w:rPr>
                <w:b/>
                <w:sz w:val="22"/>
              </w:rPr>
              <w:t>Назва</w:t>
            </w:r>
            <w:proofErr w:type="spellEnd"/>
            <w:r w:rsidRPr="007E0AF4">
              <w:rPr>
                <w:b/>
                <w:sz w:val="22"/>
              </w:rPr>
              <w:t xml:space="preserve"> </w:t>
            </w:r>
            <w:proofErr w:type="spellStart"/>
            <w:r w:rsidRPr="007E0AF4">
              <w:rPr>
                <w:b/>
                <w:sz w:val="22"/>
              </w:rPr>
              <w:t>джерела</w:t>
            </w:r>
            <w:proofErr w:type="spellEnd"/>
          </w:p>
        </w:tc>
        <w:tc>
          <w:tcPr>
            <w:tcW w:w="1275" w:type="dxa"/>
            <w:vMerge w:val="restart"/>
            <w:tcBorders>
              <w:top w:val="single" w:sz="4" w:space="0" w:color="auto"/>
              <w:left w:val="single" w:sz="4" w:space="0" w:color="auto"/>
            </w:tcBorders>
          </w:tcPr>
          <w:p w:rsidR="00AD3425" w:rsidRPr="007E0AF4" w:rsidRDefault="00AD3425" w:rsidP="001E6C97">
            <w:pPr>
              <w:pStyle w:val="a7"/>
              <w:ind w:left="0"/>
              <w:jc w:val="center"/>
              <w:rPr>
                <w:sz w:val="22"/>
              </w:rPr>
            </w:pPr>
            <w:r w:rsidRPr="007E0AF4">
              <w:rPr>
                <w:sz w:val="22"/>
              </w:rPr>
              <w:t xml:space="preserve">50000,0 </w:t>
            </w:r>
          </w:p>
        </w:tc>
      </w:tr>
      <w:tr w:rsidR="00AD3425" w:rsidRPr="007E0AF4" w:rsidTr="00AD3425">
        <w:trPr>
          <w:trHeight w:val="300"/>
        </w:trPr>
        <w:tc>
          <w:tcPr>
            <w:tcW w:w="2978" w:type="dxa"/>
            <w:vMerge/>
            <w:shd w:val="clear" w:color="auto" w:fill="C6D9F1" w:themeFill="text2" w:themeFillTint="33"/>
          </w:tcPr>
          <w:p w:rsidR="00AD3425" w:rsidRPr="007E0AF4" w:rsidRDefault="00AD3425" w:rsidP="001E6C97">
            <w:pPr>
              <w:pStyle w:val="a7"/>
              <w:ind w:left="0"/>
              <w:rPr>
                <w:b/>
                <w:sz w:val="22"/>
              </w:rPr>
            </w:pPr>
          </w:p>
        </w:tc>
        <w:tc>
          <w:tcPr>
            <w:tcW w:w="1417" w:type="dxa"/>
            <w:vMerge/>
            <w:tcBorders>
              <w:right w:val="single" w:sz="4" w:space="0" w:color="auto"/>
            </w:tcBorders>
          </w:tcPr>
          <w:p w:rsidR="00AD3425" w:rsidRPr="007E0AF4" w:rsidRDefault="00AD3425" w:rsidP="001E6C97">
            <w:pPr>
              <w:pStyle w:val="a7"/>
              <w:ind w:left="0"/>
              <w:jc w:val="center"/>
              <w:rPr>
                <w:sz w:val="22"/>
              </w:rPr>
            </w:pPr>
          </w:p>
        </w:tc>
        <w:tc>
          <w:tcPr>
            <w:tcW w:w="1276" w:type="dxa"/>
            <w:vMerge/>
            <w:tcBorders>
              <w:right w:val="single" w:sz="4" w:space="0" w:color="auto"/>
            </w:tcBorders>
          </w:tcPr>
          <w:p w:rsidR="00AD3425" w:rsidRPr="007E0AF4" w:rsidRDefault="00AD3425" w:rsidP="001E6C97">
            <w:pPr>
              <w:pStyle w:val="a7"/>
              <w:ind w:left="0"/>
              <w:jc w:val="center"/>
              <w:rPr>
                <w:b/>
                <w:sz w:val="22"/>
              </w:rPr>
            </w:pPr>
          </w:p>
        </w:tc>
        <w:tc>
          <w:tcPr>
            <w:tcW w:w="1134" w:type="dxa"/>
            <w:gridSpan w:val="2"/>
            <w:tcBorders>
              <w:top w:val="single" w:sz="4" w:space="0" w:color="auto"/>
              <w:left w:val="single" w:sz="4" w:space="0" w:color="auto"/>
              <w:right w:val="single" w:sz="4" w:space="0" w:color="auto"/>
            </w:tcBorders>
          </w:tcPr>
          <w:p w:rsidR="00AD3425" w:rsidRPr="007E0AF4" w:rsidRDefault="00AD3425" w:rsidP="001E6C97">
            <w:pPr>
              <w:pStyle w:val="a7"/>
              <w:ind w:left="0"/>
              <w:jc w:val="center"/>
              <w:rPr>
                <w:sz w:val="22"/>
              </w:rPr>
            </w:pPr>
            <w:r w:rsidRPr="007E0AF4">
              <w:rPr>
                <w:sz w:val="22"/>
              </w:rPr>
              <w:t>15000,0</w:t>
            </w:r>
          </w:p>
        </w:tc>
        <w:tc>
          <w:tcPr>
            <w:tcW w:w="1843" w:type="dxa"/>
            <w:gridSpan w:val="2"/>
            <w:tcBorders>
              <w:top w:val="single" w:sz="4" w:space="0" w:color="auto"/>
              <w:left w:val="single" w:sz="4" w:space="0" w:color="auto"/>
              <w:right w:val="single" w:sz="4" w:space="0" w:color="auto"/>
            </w:tcBorders>
          </w:tcPr>
          <w:p w:rsidR="00AD3425" w:rsidRPr="007E0AF4" w:rsidRDefault="00AD3425" w:rsidP="001E6C97">
            <w:pPr>
              <w:pStyle w:val="a7"/>
              <w:ind w:left="0"/>
              <w:rPr>
                <w:sz w:val="22"/>
              </w:rPr>
            </w:pPr>
            <w:proofErr w:type="spellStart"/>
            <w:r w:rsidRPr="007E0AF4">
              <w:rPr>
                <w:sz w:val="22"/>
              </w:rPr>
              <w:t>Міжнародні</w:t>
            </w:r>
            <w:proofErr w:type="spellEnd"/>
            <w:r w:rsidRPr="007E0AF4">
              <w:rPr>
                <w:sz w:val="22"/>
              </w:rPr>
              <w:t xml:space="preserve"> </w:t>
            </w:r>
            <w:proofErr w:type="spellStart"/>
            <w:r w:rsidRPr="007E0AF4">
              <w:rPr>
                <w:sz w:val="22"/>
              </w:rPr>
              <w:t>інвестиції</w:t>
            </w:r>
            <w:proofErr w:type="spellEnd"/>
            <w:r w:rsidRPr="007E0AF4">
              <w:rPr>
                <w:sz w:val="22"/>
              </w:rPr>
              <w:t xml:space="preserve">, </w:t>
            </w:r>
            <w:proofErr w:type="spellStart"/>
            <w:r w:rsidRPr="007E0AF4">
              <w:rPr>
                <w:sz w:val="22"/>
              </w:rPr>
              <w:t>кошти</w:t>
            </w:r>
            <w:proofErr w:type="spellEnd"/>
            <w:r w:rsidRPr="007E0AF4">
              <w:rPr>
                <w:sz w:val="22"/>
              </w:rPr>
              <w:t xml:space="preserve"> </w:t>
            </w:r>
            <w:proofErr w:type="spellStart"/>
            <w:r w:rsidRPr="007E0AF4">
              <w:rPr>
                <w:sz w:val="22"/>
              </w:rPr>
              <w:t>приватних</w:t>
            </w:r>
            <w:proofErr w:type="spellEnd"/>
            <w:r w:rsidRPr="007E0AF4">
              <w:rPr>
                <w:sz w:val="22"/>
              </w:rPr>
              <w:t xml:space="preserve"> </w:t>
            </w:r>
            <w:proofErr w:type="spellStart"/>
            <w:r w:rsidRPr="007E0AF4">
              <w:rPr>
                <w:sz w:val="22"/>
              </w:rPr>
              <w:t>осіб</w:t>
            </w:r>
            <w:proofErr w:type="spellEnd"/>
          </w:p>
        </w:tc>
        <w:tc>
          <w:tcPr>
            <w:tcW w:w="1275" w:type="dxa"/>
            <w:vMerge/>
            <w:tcBorders>
              <w:left w:val="single" w:sz="4" w:space="0" w:color="auto"/>
            </w:tcBorders>
          </w:tcPr>
          <w:p w:rsidR="00AD3425" w:rsidRPr="007E0AF4" w:rsidRDefault="00AD3425" w:rsidP="001E6C97">
            <w:pPr>
              <w:pStyle w:val="a7"/>
              <w:ind w:left="0"/>
              <w:jc w:val="center"/>
              <w:rPr>
                <w:sz w:val="22"/>
              </w:rPr>
            </w:pPr>
          </w:p>
        </w:tc>
      </w:tr>
    </w:tbl>
    <w:p w:rsidR="0051104F" w:rsidRPr="007E0AF4" w:rsidRDefault="0051104F" w:rsidP="00E95FB1">
      <w:pPr>
        <w:rPr>
          <w:sz w:val="22"/>
        </w:rPr>
      </w:pPr>
    </w:p>
    <w:p w:rsidR="00AD3425" w:rsidRPr="007E0AF4" w:rsidRDefault="00AD3425" w:rsidP="00E95FB1">
      <w:pPr>
        <w:rPr>
          <w:sz w:val="22"/>
        </w:rPr>
      </w:pPr>
    </w:p>
    <w:tbl>
      <w:tblPr>
        <w:tblStyle w:val="af"/>
        <w:tblW w:w="9923" w:type="dxa"/>
        <w:tblInd w:w="-176" w:type="dxa"/>
        <w:tblLayout w:type="fixed"/>
        <w:tblLook w:val="04A0" w:firstRow="1" w:lastRow="0" w:firstColumn="1" w:lastColumn="0" w:noHBand="0" w:noVBand="1"/>
      </w:tblPr>
      <w:tblGrid>
        <w:gridCol w:w="2978"/>
        <w:gridCol w:w="1559"/>
        <w:gridCol w:w="1276"/>
        <w:gridCol w:w="992"/>
        <w:gridCol w:w="142"/>
        <w:gridCol w:w="1559"/>
        <w:gridCol w:w="283"/>
        <w:gridCol w:w="1134"/>
      </w:tblGrid>
      <w:tr w:rsidR="00AD3425" w:rsidRPr="007E0AF4" w:rsidTr="00AD3425">
        <w:tc>
          <w:tcPr>
            <w:tcW w:w="2978" w:type="dxa"/>
            <w:shd w:val="clear" w:color="auto" w:fill="C6D9F1" w:themeFill="text2" w:themeFillTint="33"/>
          </w:tcPr>
          <w:p w:rsidR="00AD3425" w:rsidRPr="007E0AF4" w:rsidRDefault="00AD3425" w:rsidP="001E6C97">
            <w:pPr>
              <w:pStyle w:val="a7"/>
              <w:ind w:left="0"/>
              <w:rPr>
                <w:b/>
                <w:sz w:val="22"/>
              </w:rPr>
            </w:pPr>
            <w:r w:rsidRPr="007E0AF4">
              <w:rPr>
                <w:b/>
                <w:sz w:val="22"/>
              </w:rPr>
              <w:t xml:space="preserve">Оперативна </w:t>
            </w:r>
            <w:proofErr w:type="spellStart"/>
            <w:r w:rsidRPr="007E0AF4">
              <w:rPr>
                <w:b/>
                <w:sz w:val="22"/>
              </w:rPr>
              <w:t>ціль</w:t>
            </w:r>
            <w:proofErr w:type="spellEnd"/>
            <w:r w:rsidRPr="007E0AF4">
              <w:rPr>
                <w:b/>
                <w:sz w:val="22"/>
              </w:rPr>
              <w:t>/</w:t>
            </w:r>
            <w:proofErr w:type="spellStart"/>
            <w:r w:rsidRPr="007E0AF4">
              <w:rPr>
                <w:b/>
                <w:sz w:val="22"/>
              </w:rPr>
              <w:t>завдання</w:t>
            </w:r>
            <w:proofErr w:type="spellEnd"/>
          </w:p>
        </w:tc>
        <w:tc>
          <w:tcPr>
            <w:tcW w:w="6945" w:type="dxa"/>
            <w:gridSpan w:val="7"/>
            <w:shd w:val="clear" w:color="auto" w:fill="auto"/>
          </w:tcPr>
          <w:p w:rsidR="00AD3425" w:rsidRPr="007E0AF4" w:rsidRDefault="00AD3425" w:rsidP="001E6C97">
            <w:pPr>
              <w:pStyle w:val="a7"/>
              <w:ind w:left="0"/>
              <w:rPr>
                <w:color w:val="000000" w:themeColor="text1"/>
                <w:sz w:val="22"/>
              </w:rPr>
            </w:pPr>
            <w:proofErr w:type="spellStart"/>
            <w:r w:rsidRPr="007E0AF4">
              <w:rPr>
                <w:color w:val="000000" w:themeColor="text1"/>
                <w:sz w:val="22"/>
              </w:rPr>
              <w:t>Людський</w:t>
            </w:r>
            <w:proofErr w:type="spellEnd"/>
            <w:r w:rsidRPr="007E0AF4">
              <w:rPr>
                <w:color w:val="000000" w:themeColor="text1"/>
                <w:sz w:val="22"/>
              </w:rPr>
              <w:t xml:space="preserve"> </w:t>
            </w:r>
            <w:proofErr w:type="spellStart"/>
            <w:r w:rsidRPr="007E0AF4">
              <w:rPr>
                <w:color w:val="000000" w:themeColor="text1"/>
                <w:sz w:val="22"/>
              </w:rPr>
              <w:t>розвиток</w:t>
            </w:r>
            <w:proofErr w:type="spellEnd"/>
            <w:r w:rsidRPr="007E0AF4">
              <w:rPr>
                <w:color w:val="000000" w:themeColor="text1"/>
                <w:sz w:val="22"/>
              </w:rPr>
              <w:t xml:space="preserve"> через </w:t>
            </w:r>
            <w:proofErr w:type="spellStart"/>
            <w:r w:rsidRPr="007E0AF4">
              <w:rPr>
                <w:color w:val="000000" w:themeColor="text1"/>
                <w:sz w:val="22"/>
              </w:rPr>
              <w:t>інновації</w:t>
            </w:r>
            <w:proofErr w:type="spellEnd"/>
            <w:r w:rsidRPr="007E0AF4">
              <w:rPr>
                <w:color w:val="000000" w:themeColor="text1"/>
                <w:sz w:val="22"/>
              </w:rPr>
              <w:t xml:space="preserve"> </w:t>
            </w:r>
            <w:proofErr w:type="spellStart"/>
            <w:r w:rsidRPr="007E0AF4">
              <w:rPr>
                <w:color w:val="000000" w:themeColor="text1"/>
                <w:sz w:val="22"/>
              </w:rPr>
              <w:t>управління</w:t>
            </w:r>
            <w:proofErr w:type="spellEnd"/>
            <w:r w:rsidRPr="007E0AF4">
              <w:rPr>
                <w:color w:val="000000" w:themeColor="text1"/>
                <w:sz w:val="22"/>
              </w:rPr>
              <w:t xml:space="preserve"> та </w:t>
            </w:r>
            <w:proofErr w:type="spellStart"/>
            <w:r w:rsidRPr="007E0AF4">
              <w:rPr>
                <w:color w:val="000000" w:themeColor="text1"/>
                <w:sz w:val="22"/>
              </w:rPr>
              <w:t>довіру</w:t>
            </w:r>
            <w:proofErr w:type="spellEnd"/>
            <w:r w:rsidRPr="007E0AF4">
              <w:rPr>
                <w:color w:val="000000" w:themeColor="text1"/>
                <w:sz w:val="22"/>
              </w:rPr>
              <w:t xml:space="preserve"> до </w:t>
            </w:r>
            <w:proofErr w:type="spellStart"/>
            <w:proofErr w:type="gramStart"/>
            <w:r w:rsidRPr="007E0AF4">
              <w:rPr>
                <w:color w:val="000000" w:themeColor="text1"/>
                <w:sz w:val="22"/>
              </w:rPr>
              <w:t>влади.Формування</w:t>
            </w:r>
            <w:proofErr w:type="spellEnd"/>
            <w:proofErr w:type="gramEnd"/>
            <w:r w:rsidRPr="007E0AF4">
              <w:rPr>
                <w:color w:val="000000" w:themeColor="text1"/>
                <w:sz w:val="22"/>
              </w:rPr>
              <w:t xml:space="preserve"> </w:t>
            </w:r>
            <w:proofErr w:type="spellStart"/>
            <w:r w:rsidRPr="007E0AF4">
              <w:rPr>
                <w:color w:val="000000" w:themeColor="text1"/>
                <w:sz w:val="22"/>
              </w:rPr>
              <w:t>сучасного</w:t>
            </w:r>
            <w:proofErr w:type="spellEnd"/>
            <w:r w:rsidRPr="007E0AF4">
              <w:rPr>
                <w:color w:val="000000" w:themeColor="text1"/>
                <w:sz w:val="22"/>
              </w:rPr>
              <w:t xml:space="preserve"> </w:t>
            </w:r>
            <w:proofErr w:type="spellStart"/>
            <w:r w:rsidRPr="007E0AF4">
              <w:rPr>
                <w:color w:val="000000" w:themeColor="text1"/>
                <w:sz w:val="22"/>
              </w:rPr>
              <w:t>інклюзивного</w:t>
            </w:r>
            <w:proofErr w:type="spellEnd"/>
            <w:r w:rsidRPr="007E0AF4">
              <w:rPr>
                <w:color w:val="000000" w:themeColor="text1"/>
                <w:sz w:val="22"/>
              </w:rPr>
              <w:t xml:space="preserve"> </w:t>
            </w:r>
            <w:proofErr w:type="spellStart"/>
            <w:r w:rsidRPr="007E0AF4">
              <w:rPr>
                <w:color w:val="000000" w:themeColor="text1"/>
                <w:sz w:val="22"/>
              </w:rPr>
              <w:t>освітньо</w:t>
            </w:r>
            <w:proofErr w:type="spellEnd"/>
            <w:r w:rsidRPr="007E0AF4">
              <w:rPr>
                <w:color w:val="000000" w:themeColor="text1"/>
                <w:sz w:val="22"/>
              </w:rPr>
              <w:t xml:space="preserve">-культурного та спортивного простору для </w:t>
            </w:r>
            <w:proofErr w:type="spellStart"/>
            <w:r w:rsidRPr="007E0AF4">
              <w:rPr>
                <w:color w:val="000000" w:themeColor="text1"/>
                <w:sz w:val="22"/>
              </w:rPr>
              <w:t>розвитку</w:t>
            </w:r>
            <w:proofErr w:type="spellEnd"/>
            <w:r w:rsidRPr="007E0AF4">
              <w:rPr>
                <w:color w:val="000000" w:themeColor="text1"/>
                <w:sz w:val="22"/>
              </w:rPr>
              <w:t>.</w:t>
            </w:r>
          </w:p>
        </w:tc>
      </w:tr>
      <w:tr w:rsidR="00AD3425" w:rsidRPr="007E0AF4" w:rsidTr="00AD3425">
        <w:tc>
          <w:tcPr>
            <w:tcW w:w="2978" w:type="dxa"/>
            <w:shd w:val="clear" w:color="auto" w:fill="C6D9F1" w:themeFill="text2" w:themeFillTint="33"/>
          </w:tcPr>
          <w:p w:rsidR="00AD3425" w:rsidRPr="007E0AF4" w:rsidRDefault="00AD3425" w:rsidP="001E6C97">
            <w:pPr>
              <w:pStyle w:val="a7"/>
              <w:ind w:left="0"/>
              <w:rPr>
                <w:b/>
                <w:sz w:val="22"/>
              </w:rPr>
            </w:pPr>
            <w:proofErr w:type="spellStart"/>
            <w:r w:rsidRPr="007E0AF4">
              <w:rPr>
                <w:b/>
                <w:sz w:val="22"/>
              </w:rPr>
              <w:t>Назва</w:t>
            </w:r>
            <w:proofErr w:type="spellEnd"/>
            <w:r w:rsidRPr="007E0AF4">
              <w:rPr>
                <w:b/>
                <w:sz w:val="22"/>
              </w:rPr>
              <w:t xml:space="preserve"> проекту:</w:t>
            </w:r>
          </w:p>
        </w:tc>
        <w:tc>
          <w:tcPr>
            <w:tcW w:w="6945" w:type="dxa"/>
            <w:gridSpan w:val="7"/>
          </w:tcPr>
          <w:p w:rsidR="00AD3425" w:rsidRPr="007E0AF4" w:rsidRDefault="00AD3425" w:rsidP="001E6C97">
            <w:pPr>
              <w:pStyle w:val="a7"/>
              <w:ind w:left="0"/>
              <w:rPr>
                <w:sz w:val="22"/>
              </w:rPr>
            </w:pPr>
            <w:proofErr w:type="spellStart"/>
            <w:r w:rsidRPr="007E0AF4">
              <w:rPr>
                <w:sz w:val="22"/>
              </w:rPr>
              <w:t>Капітальний</w:t>
            </w:r>
            <w:proofErr w:type="spellEnd"/>
            <w:r w:rsidRPr="007E0AF4">
              <w:rPr>
                <w:sz w:val="22"/>
              </w:rPr>
              <w:t xml:space="preserve"> ремонт </w:t>
            </w:r>
            <w:proofErr w:type="spellStart"/>
            <w:r w:rsidRPr="007E0AF4">
              <w:rPr>
                <w:sz w:val="22"/>
              </w:rPr>
              <w:t>будівлі</w:t>
            </w:r>
            <w:proofErr w:type="spellEnd"/>
            <w:r w:rsidRPr="007E0AF4">
              <w:rPr>
                <w:sz w:val="22"/>
              </w:rPr>
              <w:t xml:space="preserve"> </w:t>
            </w:r>
            <w:proofErr w:type="spellStart"/>
            <w:r w:rsidRPr="007E0AF4">
              <w:rPr>
                <w:sz w:val="22"/>
              </w:rPr>
              <w:t>комунального</w:t>
            </w:r>
            <w:proofErr w:type="spellEnd"/>
            <w:r w:rsidRPr="007E0AF4">
              <w:rPr>
                <w:sz w:val="22"/>
              </w:rPr>
              <w:t xml:space="preserve"> закладу </w:t>
            </w:r>
            <w:proofErr w:type="spellStart"/>
            <w:r w:rsidRPr="007E0AF4">
              <w:rPr>
                <w:sz w:val="22"/>
              </w:rPr>
              <w:t>Гімназії</w:t>
            </w:r>
            <w:proofErr w:type="spellEnd"/>
            <w:r w:rsidRPr="007E0AF4">
              <w:rPr>
                <w:sz w:val="22"/>
              </w:rPr>
              <w:t xml:space="preserve"> № 20 </w:t>
            </w:r>
            <w:proofErr w:type="spellStart"/>
            <w:r w:rsidRPr="007E0AF4">
              <w:rPr>
                <w:sz w:val="22"/>
              </w:rPr>
              <w:t>міста</w:t>
            </w:r>
            <w:proofErr w:type="spellEnd"/>
            <w:r w:rsidRPr="007E0AF4">
              <w:rPr>
                <w:sz w:val="22"/>
              </w:rPr>
              <w:t xml:space="preserve"> </w:t>
            </w:r>
            <w:proofErr w:type="spellStart"/>
            <w:r w:rsidRPr="007E0AF4">
              <w:rPr>
                <w:sz w:val="22"/>
              </w:rPr>
              <w:t>Сєвєродонецька</w:t>
            </w:r>
            <w:proofErr w:type="spellEnd"/>
            <w:r w:rsidRPr="007E0AF4">
              <w:rPr>
                <w:color w:val="FF0000"/>
                <w:sz w:val="22"/>
              </w:rPr>
              <w:t xml:space="preserve"> </w:t>
            </w:r>
            <w:proofErr w:type="spellStart"/>
            <w:r w:rsidRPr="007E0AF4">
              <w:rPr>
                <w:sz w:val="22"/>
              </w:rPr>
              <w:t>Луганської</w:t>
            </w:r>
            <w:proofErr w:type="spellEnd"/>
            <w:r w:rsidRPr="007E0AF4">
              <w:rPr>
                <w:sz w:val="22"/>
              </w:rPr>
              <w:t xml:space="preserve"> </w:t>
            </w:r>
            <w:proofErr w:type="spellStart"/>
            <w:r w:rsidRPr="007E0AF4">
              <w:rPr>
                <w:sz w:val="22"/>
              </w:rPr>
              <w:t>області</w:t>
            </w:r>
            <w:proofErr w:type="spellEnd"/>
            <w:r w:rsidRPr="007E0AF4">
              <w:rPr>
                <w:sz w:val="22"/>
              </w:rPr>
              <w:t xml:space="preserve">, </w:t>
            </w:r>
            <w:proofErr w:type="spellStart"/>
            <w:r w:rsidRPr="007E0AF4">
              <w:rPr>
                <w:sz w:val="22"/>
              </w:rPr>
              <w:t>Сєвєродонецького</w:t>
            </w:r>
            <w:proofErr w:type="spellEnd"/>
            <w:r w:rsidRPr="007E0AF4">
              <w:rPr>
                <w:sz w:val="22"/>
              </w:rPr>
              <w:t xml:space="preserve"> району, за </w:t>
            </w:r>
            <w:proofErr w:type="spellStart"/>
            <w:r w:rsidRPr="007E0AF4">
              <w:rPr>
                <w:sz w:val="22"/>
              </w:rPr>
              <w:t>адресою</w:t>
            </w:r>
            <w:proofErr w:type="spellEnd"/>
            <w:r w:rsidRPr="007E0AF4">
              <w:rPr>
                <w:sz w:val="22"/>
              </w:rPr>
              <w:t xml:space="preserve">: </w:t>
            </w:r>
            <w:proofErr w:type="spellStart"/>
            <w:r w:rsidRPr="007E0AF4">
              <w:rPr>
                <w:sz w:val="22"/>
              </w:rPr>
              <w:t>місто</w:t>
            </w:r>
            <w:proofErr w:type="spellEnd"/>
            <w:r w:rsidRPr="007E0AF4">
              <w:rPr>
                <w:sz w:val="22"/>
              </w:rPr>
              <w:t xml:space="preserve"> </w:t>
            </w:r>
            <w:proofErr w:type="spellStart"/>
            <w:r w:rsidRPr="007E0AF4">
              <w:rPr>
                <w:sz w:val="22"/>
              </w:rPr>
              <w:t>Сєвєродонецьк</w:t>
            </w:r>
            <w:proofErr w:type="spellEnd"/>
            <w:r w:rsidRPr="007E0AF4">
              <w:rPr>
                <w:sz w:val="22"/>
              </w:rPr>
              <w:t xml:space="preserve">, </w:t>
            </w:r>
            <w:proofErr w:type="spellStart"/>
            <w:r w:rsidRPr="007E0AF4">
              <w:rPr>
                <w:sz w:val="22"/>
              </w:rPr>
              <w:t>вулиця</w:t>
            </w:r>
            <w:proofErr w:type="spellEnd"/>
            <w:r w:rsidRPr="007E0AF4">
              <w:rPr>
                <w:sz w:val="22"/>
              </w:rPr>
              <w:t xml:space="preserve"> </w:t>
            </w:r>
            <w:proofErr w:type="spellStart"/>
            <w:proofErr w:type="gramStart"/>
            <w:r w:rsidRPr="007E0AF4">
              <w:rPr>
                <w:sz w:val="22"/>
              </w:rPr>
              <w:t>Гагаріна</w:t>
            </w:r>
            <w:proofErr w:type="spellEnd"/>
            <w:r w:rsidRPr="007E0AF4">
              <w:rPr>
                <w:sz w:val="22"/>
              </w:rPr>
              <w:t xml:space="preserve"> ,</w:t>
            </w:r>
            <w:proofErr w:type="gramEnd"/>
            <w:r w:rsidRPr="007E0AF4">
              <w:rPr>
                <w:sz w:val="22"/>
              </w:rPr>
              <w:t>буд.113</w:t>
            </w:r>
          </w:p>
        </w:tc>
      </w:tr>
      <w:tr w:rsidR="00AD3425" w:rsidRPr="007E0AF4" w:rsidTr="00AD3425">
        <w:tc>
          <w:tcPr>
            <w:tcW w:w="2978" w:type="dxa"/>
            <w:shd w:val="clear" w:color="auto" w:fill="C6D9F1" w:themeFill="text2" w:themeFillTint="33"/>
          </w:tcPr>
          <w:p w:rsidR="00AD3425" w:rsidRPr="007E0AF4" w:rsidRDefault="00AD3425" w:rsidP="001E6C97">
            <w:pPr>
              <w:rPr>
                <w:b/>
                <w:sz w:val="22"/>
              </w:rPr>
            </w:pPr>
            <w:proofErr w:type="spellStart"/>
            <w:r w:rsidRPr="007E0AF4">
              <w:rPr>
                <w:b/>
                <w:sz w:val="22"/>
              </w:rPr>
              <w:t>Ціль</w:t>
            </w:r>
            <w:proofErr w:type="spellEnd"/>
            <w:r w:rsidRPr="007E0AF4">
              <w:rPr>
                <w:b/>
                <w:sz w:val="22"/>
              </w:rPr>
              <w:t xml:space="preserve"> проекту</w:t>
            </w:r>
          </w:p>
        </w:tc>
        <w:tc>
          <w:tcPr>
            <w:tcW w:w="6945" w:type="dxa"/>
            <w:gridSpan w:val="7"/>
          </w:tcPr>
          <w:p w:rsidR="00AD3425" w:rsidRPr="007E0AF4" w:rsidRDefault="00AD3425" w:rsidP="001E6C97">
            <w:pPr>
              <w:pStyle w:val="a7"/>
              <w:ind w:left="0"/>
              <w:rPr>
                <w:sz w:val="22"/>
              </w:rPr>
            </w:pPr>
            <w:proofErr w:type="spellStart"/>
            <w:r w:rsidRPr="007E0AF4">
              <w:rPr>
                <w:sz w:val="22"/>
              </w:rPr>
              <w:t>Відновити</w:t>
            </w:r>
            <w:proofErr w:type="spellEnd"/>
            <w:r w:rsidRPr="007E0AF4">
              <w:rPr>
                <w:sz w:val="22"/>
              </w:rPr>
              <w:t xml:space="preserve"> та </w:t>
            </w:r>
            <w:proofErr w:type="spellStart"/>
            <w:r w:rsidRPr="007E0AF4">
              <w:rPr>
                <w:sz w:val="22"/>
              </w:rPr>
              <w:t>покращити</w:t>
            </w:r>
            <w:proofErr w:type="spellEnd"/>
            <w:r w:rsidRPr="007E0AF4">
              <w:rPr>
                <w:sz w:val="22"/>
              </w:rPr>
              <w:t xml:space="preserve"> роботу </w:t>
            </w:r>
            <w:proofErr w:type="spellStart"/>
            <w:r w:rsidRPr="007E0AF4">
              <w:rPr>
                <w:sz w:val="22"/>
              </w:rPr>
              <w:t>комунального</w:t>
            </w:r>
            <w:proofErr w:type="spellEnd"/>
            <w:r w:rsidRPr="007E0AF4">
              <w:rPr>
                <w:sz w:val="22"/>
              </w:rPr>
              <w:t xml:space="preserve"> закладу </w:t>
            </w:r>
            <w:proofErr w:type="spellStart"/>
            <w:r w:rsidRPr="007E0AF4">
              <w:rPr>
                <w:sz w:val="22"/>
              </w:rPr>
              <w:t>Гімназії</w:t>
            </w:r>
            <w:proofErr w:type="spellEnd"/>
            <w:r w:rsidRPr="007E0AF4">
              <w:rPr>
                <w:sz w:val="22"/>
              </w:rPr>
              <w:t xml:space="preserve"> № 20 для </w:t>
            </w:r>
            <w:proofErr w:type="spellStart"/>
            <w:r w:rsidRPr="007E0AF4">
              <w:rPr>
                <w:sz w:val="22"/>
              </w:rPr>
              <w:t>надання</w:t>
            </w:r>
            <w:proofErr w:type="spellEnd"/>
            <w:r w:rsidRPr="007E0AF4">
              <w:rPr>
                <w:sz w:val="22"/>
              </w:rPr>
              <w:t xml:space="preserve"> широкого спектру </w:t>
            </w:r>
            <w:proofErr w:type="spellStart"/>
            <w:r w:rsidRPr="007E0AF4">
              <w:rPr>
                <w:sz w:val="22"/>
              </w:rPr>
              <w:t>послуг</w:t>
            </w:r>
            <w:proofErr w:type="spellEnd"/>
            <w:r w:rsidR="00860731" w:rsidRPr="007E0AF4">
              <w:rPr>
                <w:sz w:val="22"/>
              </w:rPr>
              <w:t>,</w:t>
            </w:r>
            <w:r w:rsidRPr="007E0AF4">
              <w:rPr>
                <w:sz w:val="22"/>
              </w:rPr>
              <w:t xml:space="preserve"> </w:t>
            </w:r>
            <w:proofErr w:type="spellStart"/>
            <w:r w:rsidRPr="007E0AF4">
              <w:rPr>
                <w:sz w:val="22"/>
              </w:rPr>
              <w:t>пов’язаних</w:t>
            </w:r>
            <w:proofErr w:type="spellEnd"/>
            <w:r w:rsidRPr="007E0AF4">
              <w:rPr>
                <w:sz w:val="22"/>
              </w:rPr>
              <w:t xml:space="preserve"> </w:t>
            </w:r>
            <w:proofErr w:type="spellStart"/>
            <w:r w:rsidRPr="007E0AF4">
              <w:rPr>
                <w:sz w:val="22"/>
              </w:rPr>
              <w:t>із</w:t>
            </w:r>
            <w:proofErr w:type="spellEnd"/>
            <w:r w:rsidRPr="007E0AF4">
              <w:rPr>
                <w:sz w:val="22"/>
              </w:rPr>
              <w:t xml:space="preserve"> </w:t>
            </w:r>
            <w:proofErr w:type="spellStart"/>
            <w:r w:rsidRPr="007E0AF4">
              <w:rPr>
                <w:sz w:val="22"/>
              </w:rPr>
              <w:t>освітньою</w:t>
            </w:r>
            <w:proofErr w:type="spellEnd"/>
            <w:r w:rsidRPr="007E0AF4">
              <w:rPr>
                <w:sz w:val="22"/>
              </w:rPr>
              <w:t xml:space="preserve"> </w:t>
            </w:r>
            <w:proofErr w:type="spellStart"/>
            <w:r w:rsidRPr="007E0AF4">
              <w:rPr>
                <w:sz w:val="22"/>
              </w:rPr>
              <w:t>діяльністю</w:t>
            </w:r>
            <w:proofErr w:type="spellEnd"/>
            <w:r w:rsidRPr="007E0AF4">
              <w:rPr>
                <w:sz w:val="22"/>
              </w:rPr>
              <w:t xml:space="preserve"> та </w:t>
            </w:r>
            <w:proofErr w:type="spellStart"/>
            <w:r w:rsidRPr="007E0AF4">
              <w:rPr>
                <w:sz w:val="22"/>
              </w:rPr>
              <w:t>задоволення</w:t>
            </w:r>
            <w:proofErr w:type="spellEnd"/>
            <w:r w:rsidRPr="007E0AF4">
              <w:rPr>
                <w:sz w:val="22"/>
              </w:rPr>
              <w:t xml:space="preserve"> потреб </w:t>
            </w:r>
            <w:proofErr w:type="spellStart"/>
            <w:r w:rsidRPr="007E0AF4">
              <w:rPr>
                <w:sz w:val="22"/>
              </w:rPr>
              <w:t>мешканців</w:t>
            </w:r>
            <w:proofErr w:type="spellEnd"/>
            <w:r w:rsidRPr="007E0AF4">
              <w:rPr>
                <w:sz w:val="22"/>
              </w:rPr>
              <w:t xml:space="preserve"> </w:t>
            </w:r>
            <w:proofErr w:type="spellStart"/>
            <w:r w:rsidRPr="007E0AF4">
              <w:rPr>
                <w:sz w:val="22"/>
              </w:rPr>
              <w:t>Сєвєродонецької</w:t>
            </w:r>
            <w:proofErr w:type="spellEnd"/>
            <w:r w:rsidRPr="007E0AF4">
              <w:rPr>
                <w:sz w:val="22"/>
              </w:rPr>
              <w:t xml:space="preserve"> </w:t>
            </w:r>
            <w:proofErr w:type="spellStart"/>
            <w:r w:rsidRPr="007E0AF4">
              <w:rPr>
                <w:sz w:val="22"/>
              </w:rPr>
              <w:t>міської</w:t>
            </w:r>
            <w:proofErr w:type="spellEnd"/>
            <w:r w:rsidRPr="007E0AF4">
              <w:rPr>
                <w:sz w:val="22"/>
              </w:rPr>
              <w:t xml:space="preserve"> </w:t>
            </w:r>
            <w:proofErr w:type="spellStart"/>
            <w:r w:rsidRPr="007E0AF4">
              <w:rPr>
                <w:sz w:val="22"/>
              </w:rPr>
              <w:t>територіальної</w:t>
            </w:r>
            <w:proofErr w:type="spellEnd"/>
            <w:r w:rsidRPr="007E0AF4">
              <w:rPr>
                <w:sz w:val="22"/>
              </w:rPr>
              <w:t xml:space="preserve"> </w:t>
            </w:r>
            <w:proofErr w:type="spellStart"/>
            <w:r w:rsidRPr="007E0AF4">
              <w:rPr>
                <w:sz w:val="22"/>
              </w:rPr>
              <w:t>громади</w:t>
            </w:r>
            <w:proofErr w:type="spellEnd"/>
            <w:r w:rsidRPr="007E0AF4">
              <w:rPr>
                <w:sz w:val="22"/>
              </w:rPr>
              <w:t xml:space="preserve"> у </w:t>
            </w:r>
            <w:proofErr w:type="spellStart"/>
            <w:r w:rsidRPr="007E0AF4">
              <w:rPr>
                <w:sz w:val="22"/>
              </w:rPr>
              <w:t>необхідних</w:t>
            </w:r>
            <w:proofErr w:type="spellEnd"/>
            <w:r w:rsidRPr="007E0AF4">
              <w:rPr>
                <w:sz w:val="22"/>
              </w:rPr>
              <w:t xml:space="preserve"> </w:t>
            </w:r>
            <w:proofErr w:type="spellStart"/>
            <w:r w:rsidRPr="007E0AF4">
              <w:rPr>
                <w:sz w:val="22"/>
              </w:rPr>
              <w:t>послугах</w:t>
            </w:r>
            <w:proofErr w:type="spellEnd"/>
            <w:r w:rsidRPr="007E0AF4">
              <w:rPr>
                <w:sz w:val="22"/>
              </w:rPr>
              <w:t>.</w:t>
            </w:r>
          </w:p>
        </w:tc>
      </w:tr>
      <w:tr w:rsidR="00AD3425" w:rsidRPr="007E0AF4" w:rsidTr="00AD3425">
        <w:tc>
          <w:tcPr>
            <w:tcW w:w="2978" w:type="dxa"/>
            <w:shd w:val="clear" w:color="auto" w:fill="C6D9F1" w:themeFill="text2" w:themeFillTint="33"/>
          </w:tcPr>
          <w:p w:rsidR="00AD3425" w:rsidRPr="007E0AF4" w:rsidRDefault="00AD3425" w:rsidP="001E6C97">
            <w:pPr>
              <w:pStyle w:val="a7"/>
              <w:ind w:left="0"/>
              <w:rPr>
                <w:b/>
                <w:sz w:val="22"/>
              </w:rPr>
            </w:pPr>
            <w:proofErr w:type="spellStart"/>
            <w:r w:rsidRPr="007E0AF4">
              <w:rPr>
                <w:b/>
                <w:sz w:val="22"/>
              </w:rPr>
              <w:t>Територія</w:t>
            </w:r>
            <w:proofErr w:type="spellEnd"/>
            <w:r w:rsidRPr="007E0AF4">
              <w:rPr>
                <w:b/>
                <w:sz w:val="22"/>
              </w:rPr>
              <w:t xml:space="preserve">, </w:t>
            </w:r>
            <w:proofErr w:type="gramStart"/>
            <w:r w:rsidRPr="007E0AF4">
              <w:rPr>
                <w:b/>
                <w:sz w:val="22"/>
              </w:rPr>
              <w:t>на яку</w:t>
            </w:r>
            <w:proofErr w:type="gramEnd"/>
            <w:r w:rsidRPr="007E0AF4">
              <w:rPr>
                <w:b/>
                <w:sz w:val="22"/>
              </w:rPr>
              <w:t xml:space="preserve"> </w:t>
            </w:r>
            <w:proofErr w:type="spellStart"/>
            <w:r w:rsidRPr="007E0AF4">
              <w:rPr>
                <w:b/>
                <w:sz w:val="22"/>
              </w:rPr>
              <w:t>матиме</w:t>
            </w:r>
            <w:proofErr w:type="spellEnd"/>
            <w:r w:rsidRPr="007E0AF4">
              <w:rPr>
                <w:b/>
                <w:sz w:val="22"/>
              </w:rPr>
              <w:t xml:space="preserve"> </w:t>
            </w:r>
            <w:proofErr w:type="spellStart"/>
            <w:r w:rsidRPr="007E0AF4">
              <w:rPr>
                <w:b/>
                <w:sz w:val="22"/>
              </w:rPr>
              <w:t>вплив</w:t>
            </w:r>
            <w:proofErr w:type="spellEnd"/>
            <w:r w:rsidRPr="007E0AF4">
              <w:rPr>
                <w:b/>
                <w:sz w:val="22"/>
              </w:rPr>
              <w:t xml:space="preserve"> </w:t>
            </w:r>
            <w:proofErr w:type="spellStart"/>
            <w:r w:rsidRPr="007E0AF4">
              <w:rPr>
                <w:b/>
                <w:sz w:val="22"/>
              </w:rPr>
              <w:t>реалізація</w:t>
            </w:r>
            <w:proofErr w:type="spellEnd"/>
            <w:r w:rsidRPr="007E0AF4">
              <w:rPr>
                <w:b/>
                <w:sz w:val="22"/>
              </w:rPr>
              <w:t xml:space="preserve"> проекту</w:t>
            </w:r>
          </w:p>
        </w:tc>
        <w:tc>
          <w:tcPr>
            <w:tcW w:w="6945" w:type="dxa"/>
            <w:gridSpan w:val="7"/>
          </w:tcPr>
          <w:p w:rsidR="00AD3425" w:rsidRPr="007E0AF4" w:rsidRDefault="00AD3425" w:rsidP="001E6C97">
            <w:pPr>
              <w:pStyle w:val="a7"/>
              <w:ind w:left="0"/>
              <w:rPr>
                <w:sz w:val="22"/>
              </w:rPr>
            </w:pPr>
            <w:proofErr w:type="spellStart"/>
            <w:r w:rsidRPr="007E0AF4">
              <w:rPr>
                <w:sz w:val="22"/>
              </w:rPr>
              <w:t>Сєвєродонецька</w:t>
            </w:r>
            <w:proofErr w:type="spellEnd"/>
            <w:r w:rsidRPr="007E0AF4">
              <w:rPr>
                <w:sz w:val="22"/>
              </w:rPr>
              <w:t xml:space="preserve"> </w:t>
            </w:r>
            <w:proofErr w:type="spellStart"/>
            <w:r w:rsidRPr="007E0AF4">
              <w:rPr>
                <w:sz w:val="22"/>
              </w:rPr>
              <w:t>міська</w:t>
            </w:r>
            <w:proofErr w:type="spellEnd"/>
            <w:r w:rsidRPr="007E0AF4">
              <w:rPr>
                <w:sz w:val="22"/>
              </w:rPr>
              <w:t xml:space="preserve"> </w:t>
            </w:r>
            <w:proofErr w:type="spellStart"/>
            <w:r w:rsidRPr="007E0AF4">
              <w:rPr>
                <w:sz w:val="22"/>
              </w:rPr>
              <w:t>територіальна</w:t>
            </w:r>
            <w:proofErr w:type="spellEnd"/>
            <w:r w:rsidRPr="007E0AF4">
              <w:rPr>
                <w:sz w:val="22"/>
              </w:rPr>
              <w:t xml:space="preserve"> громада</w:t>
            </w:r>
          </w:p>
        </w:tc>
      </w:tr>
      <w:tr w:rsidR="00AD3425" w:rsidRPr="007E0AF4" w:rsidTr="00AD3425">
        <w:tc>
          <w:tcPr>
            <w:tcW w:w="2978" w:type="dxa"/>
            <w:shd w:val="clear" w:color="auto" w:fill="C6D9F1" w:themeFill="text2" w:themeFillTint="33"/>
          </w:tcPr>
          <w:p w:rsidR="00AD3425" w:rsidRPr="007E0AF4" w:rsidRDefault="00AD3425" w:rsidP="001E6C97">
            <w:pPr>
              <w:pStyle w:val="a7"/>
              <w:ind w:left="0"/>
              <w:rPr>
                <w:b/>
                <w:sz w:val="22"/>
              </w:rPr>
            </w:pPr>
            <w:proofErr w:type="spellStart"/>
            <w:r w:rsidRPr="007E0AF4">
              <w:rPr>
                <w:b/>
                <w:sz w:val="22"/>
              </w:rPr>
              <w:t>Чисельність</w:t>
            </w:r>
            <w:proofErr w:type="spellEnd"/>
            <w:r w:rsidRPr="007E0AF4">
              <w:rPr>
                <w:b/>
                <w:sz w:val="22"/>
              </w:rPr>
              <w:t xml:space="preserve"> </w:t>
            </w:r>
            <w:proofErr w:type="spellStart"/>
            <w:r w:rsidRPr="007E0AF4">
              <w:rPr>
                <w:b/>
                <w:sz w:val="22"/>
              </w:rPr>
              <w:t>населення</w:t>
            </w:r>
            <w:proofErr w:type="spellEnd"/>
            <w:r w:rsidRPr="007E0AF4">
              <w:rPr>
                <w:b/>
                <w:sz w:val="22"/>
              </w:rPr>
              <w:t xml:space="preserve">, на яке </w:t>
            </w:r>
            <w:proofErr w:type="spellStart"/>
            <w:r w:rsidRPr="007E0AF4">
              <w:rPr>
                <w:b/>
                <w:sz w:val="22"/>
              </w:rPr>
              <w:t>матиме</w:t>
            </w:r>
            <w:proofErr w:type="spellEnd"/>
            <w:r w:rsidRPr="007E0AF4">
              <w:rPr>
                <w:b/>
                <w:sz w:val="22"/>
              </w:rPr>
              <w:t xml:space="preserve"> </w:t>
            </w:r>
            <w:proofErr w:type="spellStart"/>
            <w:r w:rsidRPr="007E0AF4">
              <w:rPr>
                <w:b/>
                <w:sz w:val="22"/>
              </w:rPr>
              <w:t>вплив</w:t>
            </w:r>
            <w:proofErr w:type="spellEnd"/>
            <w:r w:rsidRPr="007E0AF4">
              <w:rPr>
                <w:b/>
                <w:sz w:val="22"/>
              </w:rPr>
              <w:t xml:space="preserve"> </w:t>
            </w:r>
            <w:proofErr w:type="spellStart"/>
            <w:r w:rsidRPr="007E0AF4">
              <w:rPr>
                <w:b/>
                <w:sz w:val="22"/>
              </w:rPr>
              <w:t>реалізація</w:t>
            </w:r>
            <w:proofErr w:type="spellEnd"/>
            <w:r w:rsidRPr="007E0AF4">
              <w:rPr>
                <w:b/>
                <w:sz w:val="22"/>
              </w:rPr>
              <w:t xml:space="preserve"> проекту</w:t>
            </w:r>
          </w:p>
        </w:tc>
        <w:tc>
          <w:tcPr>
            <w:tcW w:w="6945" w:type="dxa"/>
            <w:gridSpan w:val="7"/>
          </w:tcPr>
          <w:p w:rsidR="00AD3425" w:rsidRPr="007E0AF4" w:rsidRDefault="00AD3425" w:rsidP="001E6C97">
            <w:pPr>
              <w:pStyle w:val="a7"/>
              <w:ind w:left="0"/>
              <w:rPr>
                <w:sz w:val="22"/>
              </w:rPr>
            </w:pPr>
            <w:r w:rsidRPr="007E0AF4">
              <w:rPr>
                <w:sz w:val="22"/>
              </w:rPr>
              <w:t xml:space="preserve">70 000 </w:t>
            </w:r>
            <w:proofErr w:type="spellStart"/>
            <w:r w:rsidRPr="007E0AF4">
              <w:rPr>
                <w:sz w:val="22"/>
              </w:rPr>
              <w:t>осіб</w:t>
            </w:r>
            <w:proofErr w:type="spellEnd"/>
          </w:p>
        </w:tc>
      </w:tr>
      <w:tr w:rsidR="00AD3425" w:rsidRPr="007E0AF4" w:rsidTr="00AD3425">
        <w:tc>
          <w:tcPr>
            <w:tcW w:w="2978" w:type="dxa"/>
            <w:shd w:val="clear" w:color="auto" w:fill="C6D9F1" w:themeFill="text2" w:themeFillTint="33"/>
          </w:tcPr>
          <w:p w:rsidR="00AD3425" w:rsidRPr="007E0AF4" w:rsidRDefault="00AD3425" w:rsidP="001E6C97">
            <w:pPr>
              <w:rPr>
                <w:b/>
                <w:sz w:val="22"/>
              </w:rPr>
            </w:pPr>
            <w:proofErr w:type="spellStart"/>
            <w:r w:rsidRPr="007E0AF4">
              <w:rPr>
                <w:b/>
                <w:sz w:val="22"/>
              </w:rPr>
              <w:t>Опис</w:t>
            </w:r>
            <w:proofErr w:type="spellEnd"/>
            <w:r w:rsidRPr="007E0AF4">
              <w:rPr>
                <w:b/>
                <w:sz w:val="22"/>
              </w:rPr>
              <w:t xml:space="preserve"> </w:t>
            </w:r>
            <w:proofErr w:type="spellStart"/>
            <w:r w:rsidRPr="007E0AF4">
              <w:rPr>
                <w:b/>
                <w:sz w:val="22"/>
              </w:rPr>
              <w:t>проблеми</w:t>
            </w:r>
            <w:proofErr w:type="spellEnd"/>
            <w:r w:rsidRPr="007E0AF4">
              <w:rPr>
                <w:b/>
                <w:sz w:val="22"/>
              </w:rPr>
              <w:t xml:space="preserve">, на </w:t>
            </w:r>
            <w:proofErr w:type="spellStart"/>
            <w:r w:rsidRPr="007E0AF4">
              <w:rPr>
                <w:b/>
                <w:sz w:val="22"/>
              </w:rPr>
              <w:t>вирішення</w:t>
            </w:r>
            <w:proofErr w:type="spellEnd"/>
            <w:r w:rsidRPr="007E0AF4">
              <w:rPr>
                <w:b/>
                <w:sz w:val="22"/>
              </w:rPr>
              <w:t xml:space="preserve"> </w:t>
            </w:r>
            <w:proofErr w:type="spellStart"/>
            <w:proofErr w:type="gramStart"/>
            <w:r w:rsidRPr="007E0AF4">
              <w:rPr>
                <w:b/>
                <w:sz w:val="22"/>
              </w:rPr>
              <w:t>якої</w:t>
            </w:r>
            <w:proofErr w:type="spellEnd"/>
            <w:r w:rsidRPr="007E0AF4">
              <w:rPr>
                <w:b/>
                <w:sz w:val="22"/>
              </w:rPr>
              <w:t xml:space="preserve">  </w:t>
            </w:r>
            <w:proofErr w:type="spellStart"/>
            <w:r w:rsidRPr="007E0AF4">
              <w:rPr>
                <w:b/>
                <w:sz w:val="22"/>
              </w:rPr>
              <w:t>спрямований</w:t>
            </w:r>
            <w:proofErr w:type="spellEnd"/>
            <w:proofErr w:type="gramEnd"/>
            <w:r w:rsidRPr="007E0AF4">
              <w:rPr>
                <w:b/>
                <w:sz w:val="22"/>
              </w:rPr>
              <w:t xml:space="preserve"> проект</w:t>
            </w:r>
          </w:p>
        </w:tc>
        <w:tc>
          <w:tcPr>
            <w:tcW w:w="6945" w:type="dxa"/>
            <w:gridSpan w:val="7"/>
          </w:tcPr>
          <w:p w:rsidR="00AD3425" w:rsidRPr="007E0AF4" w:rsidRDefault="00AD3425" w:rsidP="001E6C97">
            <w:pPr>
              <w:rPr>
                <w:sz w:val="22"/>
              </w:rPr>
            </w:pPr>
            <w:r w:rsidRPr="007E0AF4">
              <w:rPr>
                <w:sz w:val="22"/>
              </w:rPr>
              <w:t xml:space="preserve">Через </w:t>
            </w:r>
            <w:proofErr w:type="spellStart"/>
            <w:r w:rsidRPr="007E0AF4">
              <w:rPr>
                <w:sz w:val="22"/>
              </w:rPr>
              <w:t>військову</w:t>
            </w:r>
            <w:proofErr w:type="spellEnd"/>
            <w:r w:rsidRPr="007E0AF4">
              <w:rPr>
                <w:sz w:val="22"/>
              </w:rPr>
              <w:t xml:space="preserve"> </w:t>
            </w:r>
            <w:proofErr w:type="spellStart"/>
            <w:r w:rsidRPr="007E0AF4">
              <w:rPr>
                <w:sz w:val="22"/>
              </w:rPr>
              <w:t>агресію</w:t>
            </w:r>
            <w:proofErr w:type="spellEnd"/>
            <w:r w:rsidRPr="007E0AF4">
              <w:rPr>
                <w:sz w:val="22"/>
              </w:rPr>
              <w:t xml:space="preserve"> РФ </w:t>
            </w:r>
            <w:proofErr w:type="spellStart"/>
            <w:r w:rsidRPr="007E0AF4">
              <w:rPr>
                <w:sz w:val="22"/>
              </w:rPr>
              <w:t>територія</w:t>
            </w:r>
            <w:proofErr w:type="spellEnd"/>
            <w:r w:rsidRPr="007E0AF4">
              <w:rPr>
                <w:sz w:val="22"/>
              </w:rPr>
              <w:t xml:space="preserve"> </w:t>
            </w:r>
            <w:proofErr w:type="spellStart"/>
            <w:r w:rsidRPr="007E0AF4">
              <w:rPr>
                <w:sz w:val="22"/>
              </w:rPr>
              <w:t>Сєвєродонецької</w:t>
            </w:r>
            <w:proofErr w:type="spellEnd"/>
            <w:r w:rsidRPr="007E0AF4">
              <w:rPr>
                <w:sz w:val="22"/>
              </w:rPr>
              <w:t xml:space="preserve"> </w:t>
            </w:r>
            <w:proofErr w:type="spellStart"/>
            <w:r w:rsidRPr="007E0AF4">
              <w:rPr>
                <w:sz w:val="22"/>
              </w:rPr>
              <w:t>міської</w:t>
            </w:r>
            <w:proofErr w:type="spellEnd"/>
            <w:r w:rsidRPr="007E0AF4">
              <w:rPr>
                <w:sz w:val="22"/>
              </w:rPr>
              <w:t xml:space="preserve"> </w:t>
            </w:r>
            <w:proofErr w:type="spellStart"/>
            <w:r w:rsidRPr="007E0AF4">
              <w:rPr>
                <w:sz w:val="22"/>
              </w:rPr>
              <w:t>територіальної</w:t>
            </w:r>
            <w:proofErr w:type="spellEnd"/>
            <w:r w:rsidRPr="007E0AF4">
              <w:rPr>
                <w:sz w:val="22"/>
              </w:rPr>
              <w:t xml:space="preserve"> </w:t>
            </w:r>
            <w:proofErr w:type="spellStart"/>
            <w:r w:rsidRPr="007E0AF4">
              <w:rPr>
                <w:sz w:val="22"/>
              </w:rPr>
              <w:t>громади</w:t>
            </w:r>
            <w:proofErr w:type="spellEnd"/>
            <w:r w:rsidRPr="007E0AF4">
              <w:rPr>
                <w:sz w:val="22"/>
              </w:rPr>
              <w:t xml:space="preserve"> </w:t>
            </w:r>
            <w:proofErr w:type="spellStart"/>
            <w:r w:rsidRPr="007E0AF4">
              <w:rPr>
                <w:sz w:val="22"/>
              </w:rPr>
              <w:t>зазнала</w:t>
            </w:r>
            <w:proofErr w:type="spellEnd"/>
            <w:r w:rsidRPr="007E0AF4">
              <w:rPr>
                <w:sz w:val="22"/>
              </w:rPr>
              <w:t xml:space="preserve"> </w:t>
            </w:r>
            <w:proofErr w:type="spellStart"/>
            <w:r w:rsidRPr="007E0AF4">
              <w:rPr>
                <w:sz w:val="22"/>
              </w:rPr>
              <w:t>значних</w:t>
            </w:r>
            <w:proofErr w:type="spellEnd"/>
            <w:r w:rsidRPr="007E0AF4">
              <w:rPr>
                <w:sz w:val="22"/>
              </w:rPr>
              <w:t xml:space="preserve"> </w:t>
            </w:r>
            <w:proofErr w:type="spellStart"/>
            <w:r w:rsidRPr="007E0AF4">
              <w:rPr>
                <w:sz w:val="22"/>
              </w:rPr>
              <w:t>пошкоджень</w:t>
            </w:r>
            <w:proofErr w:type="spellEnd"/>
            <w:r w:rsidRPr="007E0AF4">
              <w:rPr>
                <w:sz w:val="22"/>
              </w:rPr>
              <w:t xml:space="preserve">. Не </w:t>
            </w:r>
            <w:proofErr w:type="spellStart"/>
            <w:r w:rsidRPr="007E0AF4">
              <w:rPr>
                <w:sz w:val="22"/>
              </w:rPr>
              <w:t>оминуло</w:t>
            </w:r>
            <w:proofErr w:type="spellEnd"/>
            <w:r w:rsidRPr="007E0AF4">
              <w:rPr>
                <w:sz w:val="22"/>
              </w:rPr>
              <w:t xml:space="preserve"> це </w:t>
            </w:r>
            <w:proofErr w:type="spellStart"/>
            <w:r w:rsidRPr="007E0AF4">
              <w:rPr>
                <w:sz w:val="22"/>
              </w:rPr>
              <w:t>Гімназію</w:t>
            </w:r>
            <w:proofErr w:type="spellEnd"/>
            <w:r w:rsidRPr="007E0AF4">
              <w:rPr>
                <w:sz w:val="22"/>
              </w:rPr>
              <w:t xml:space="preserve"> № 20</w:t>
            </w:r>
          </w:p>
          <w:p w:rsidR="00AD3425" w:rsidRPr="007E0AF4" w:rsidRDefault="00AD3425" w:rsidP="001E6C97">
            <w:pPr>
              <w:rPr>
                <w:sz w:val="22"/>
              </w:rPr>
            </w:pPr>
            <w:r w:rsidRPr="007E0AF4">
              <w:rPr>
                <w:sz w:val="22"/>
              </w:rPr>
              <w:t xml:space="preserve">Вся </w:t>
            </w:r>
            <w:proofErr w:type="spellStart"/>
            <w:r w:rsidRPr="007E0AF4">
              <w:rPr>
                <w:sz w:val="22"/>
              </w:rPr>
              <w:t>матеріально-технічна</w:t>
            </w:r>
            <w:proofErr w:type="spellEnd"/>
            <w:r w:rsidRPr="007E0AF4">
              <w:rPr>
                <w:sz w:val="22"/>
              </w:rPr>
              <w:t xml:space="preserve"> база закладу, </w:t>
            </w:r>
            <w:proofErr w:type="spellStart"/>
            <w:r w:rsidRPr="007E0AF4">
              <w:rPr>
                <w:sz w:val="22"/>
              </w:rPr>
              <w:t>зокрема</w:t>
            </w:r>
            <w:proofErr w:type="spellEnd"/>
            <w:r w:rsidRPr="007E0AF4">
              <w:rPr>
                <w:sz w:val="22"/>
              </w:rPr>
              <w:t>:</w:t>
            </w:r>
          </w:p>
          <w:p w:rsidR="00AD3425" w:rsidRPr="007E0AF4" w:rsidRDefault="00AD3425" w:rsidP="000303D7">
            <w:pPr>
              <w:numPr>
                <w:ilvl w:val="0"/>
                <w:numId w:val="9"/>
              </w:numPr>
              <w:tabs>
                <w:tab w:val="clear" w:pos="1068"/>
                <w:tab w:val="num" w:pos="708"/>
              </w:tabs>
              <w:ind w:left="379"/>
              <w:rPr>
                <w:rFonts w:eastAsia="Arial"/>
                <w:color w:val="FF0000"/>
                <w:sz w:val="22"/>
              </w:rPr>
            </w:pPr>
            <w:proofErr w:type="spellStart"/>
            <w:r w:rsidRPr="007E0AF4">
              <w:rPr>
                <w:sz w:val="22"/>
              </w:rPr>
              <w:t>обладнання</w:t>
            </w:r>
            <w:proofErr w:type="spellEnd"/>
            <w:r w:rsidRPr="007E0AF4">
              <w:rPr>
                <w:sz w:val="22"/>
              </w:rPr>
              <w:t xml:space="preserve"> (</w:t>
            </w:r>
            <w:proofErr w:type="spellStart"/>
            <w:r w:rsidRPr="007E0AF4">
              <w:rPr>
                <w:sz w:val="22"/>
              </w:rPr>
              <w:t>устаткування</w:t>
            </w:r>
            <w:proofErr w:type="spellEnd"/>
            <w:r w:rsidRPr="007E0AF4">
              <w:rPr>
                <w:sz w:val="22"/>
              </w:rPr>
              <w:t xml:space="preserve">): </w:t>
            </w:r>
            <w:proofErr w:type="spellStart"/>
            <w:r w:rsidRPr="007E0AF4">
              <w:rPr>
                <w:sz w:val="22"/>
              </w:rPr>
              <w:t>покрівля</w:t>
            </w:r>
            <w:proofErr w:type="spellEnd"/>
            <w:r w:rsidRPr="007E0AF4">
              <w:rPr>
                <w:sz w:val="22"/>
              </w:rPr>
              <w:t xml:space="preserve">, </w:t>
            </w:r>
            <w:proofErr w:type="spellStart"/>
            <w:r w:rsidRPr="007E0AF4">
              <w:rPr>
                <w:sz w:val="22"/>
              </w:rPr>
              <w:t>вікна</w:t>
            </w:r>
            <w:proofErr w:type="spellEnd"/>
            <w:r w:rsidRPr="007E0AF4">
              <w:rPr>
                <w:sz w:val="22"/>
              </w:rPr>
              <w:t xml:space="preserve"> та </w:t>
            </w:r>
            <w:proofErr w:type="spellStart"/>
            <w:r w:rsidRPr="007E0AF4">
              <w:rPr>
                <w:sz w:val="22"/>
              </w:rPr>
              <w:t>двері</w:t>
            </w:r>
            <w:proofErr w:type="spellEnd"/>
            <w:r w:rsidRPr="007E0AF4">
              <w:rPr>
                <w:sz w:val="22"/>
              </w:rPr>
              <w:t xml:space="preserve">, </w:t>
            </w:r>
            <w:proofErr w:type="spellStart"/>
            <w:r w:rsidRPr="007E0AF4">
              <w:rPr>
                <w:sz w:val="22"/>
              </w:rPr>
              <w:t>внутрішньої</w:t>
            </w:r>
            <w:proofErr w:type="spellEnd"/>
            <w:r w:rsidRPr="007E0AF4">
              <w:rPr>
                <w:sz w:val="22"/>
              </w:rPr>
              <w:t xml:space="preserve"> </w:t>
            </w:r>
            <w:proofErr w:type="spellStart"/>
            <w:r w:rsidRPr="007E0AF4">
              <w:rPr>
                <w:sz w:val="22"/>
              </w:rPr>
              <w:t>системи</w:t>
            </w:r>
            <w:proofErr w:type="spellEnd"/>
            <w:r w:rsidRPr="007E0AF4">
              <w:rPr>
                <w:sz w:val="22"/>
              </w:rPr>
              <w:t xml:space="preserve"> </w:t>
            </w:r>
            <w:proofErr w:type="spellStart"/>
            <w:r w:rsidRPr="007E0AF4">
              <w:rPr>
                <w:sz w:val="22"/>
              </w:rPr>
              <w:t>водопостачання</w:t>
            </w:r>
            <w:proofErr w:type="spellEnd"/>
            <w:r w:rsidRPr="007E0AF4">
              <w:rPr>
                <w:sz w:val="22"/>
              </w:rPr>
              <w:t xml:space="preserve"> і </w:t>
            </w:r>
            <w:proofErr w:type="spellStart"/>
            <w:r w:rsidRPr="007E0AF4">
              <w:rPr>
                <w:sz w:val="22"/>
              </w:rPr>
              <w:t>водоведведення</w:t>
            </w:r>
            <w:proofErr w:type="spellEnd"/>
            <w:r w:rsidRPr="007E0AF4">
              <w:rPr>
                <w:sz w:val="22"/>
              </w:rPr>
              <w:t xml:space="preserve">, </w:t>
            </w:r>
            <w:proofErr w:type="spellStart"/>
            <w:r w:rsidRPr="007E0AF4">
              <w:rPr>
                <w:sz w:val="22"/>
              </w:rPr>
              <w:t>внутрішньої</w:t>
            </w:r>
            <w:proofErr w:type="spellEnd"/>
            <w:r w:rsidRPr="007E0AF4">
              <w:rPr>
                <w:sz w:val="22"/>
              </w:rPr>
              <w:t xml:space="preserve"> </w:t>
            </w:r>
            <w:proofErr w:type="spellStart"/>
            <w:r w:rsidRPr="007E0AF4">
              <w:rPr>
                <w:sz w:val="22"/>
              </w:rPr>
              <w:t>системи</w:t>
            </w:r>
            <w:proofErr w:type="spellEnd"/>
            <w:r w:rsidRPr="007E0AF4">
              <w:rPr>
                <w:sz w:val="22"/>
              </w:rPr>
              <w:t xml:space="preserve"> </w:t>
            </w:r>
            <w:proofErr w:type="spellStart"/>
            <w:r w:rsidRPr="007E0AF4">
              <w:rPr>
                <w:sz w:val="22"/>
              </w:rPr>
              <w:t>опалення</w:t>
            </w:r>
            <w:proofErr w:type="spellEnd"/>
            <w:r w:rsidRPr="007E0AF4">
              <w:rPr>
                <w:sz w:val="22"/>
              </w:rPr>
              <w:t xml:space="preserve">, </w:t>
            </w:r>
            <w:proofErr w:type="spellStart"/>
            <w:r w:rsidRPr="007E0AF4">
              <w:rPr>
                <w:sz w:val="22"/>
              </w:rPr>
              <w:t>внутрішньої</w:t>
            </w:r>
            <w:proofErr w:type="spellEnd"/>
            <w:r w:rsidRPr="007E0AF4">
              <w:rPr>
                <w:sz w:val="22"/>
              </w:rPr>
              <w:t xml:space="preserve"> </w:t>
            </w:r>
            <w:proofErr w:type="spellStart"/>
            <w:r w:rsidRPr="007E0AF4">
              <w:rPr>
                <w:sz w:val="22"/>
              </w:rPr>
              <w:t>мережі</w:t>
            </w:r>
            <w:proofErr w:type="spellEnd"/>
            <w:r w:rsidRPr="007E0AF4">
              <w:rPr>
                <w:sz w:val="22"/>
              </w:rPr>
              <w:t xml:space="preserve"> </w:t>
            </w:r>
            <w:proofErr w:type="spellStart"/>
            <w:r w:rsidRPr="007E0AF4">
              <w:rPr>
                <w:sz w:val="22"/>
              </w:rPr>
              <w:t>електропостачання</w:t>
            </w:r>
            <w:proofErr w:type="spellEnd"/>
            <w:r w:rsidRPr="007E0AF4">
              <w:rPr>
                <w:sz w:val="22"/>
              </w:rPr>
              <w:t xml:space="preserve">, </w:t>
            </w:r>
            <w:proofErr w:type="spellStart"/>
            <w:r w:rsidRPr="007E0AF4">
              <w:rPr>
                <w:sz w:val="22"/>
              </w:rPr>
              <w:t>системи</w:t>
            </w:r>
            <w:proofErr w:type="spellEnd"/>
            <w:r w:rsidRPr="007E0AF4">
              <w:rPr>
                <w:sz w:val="22"/>
              </w:rPr>
              <w:t xml:space="preserve"> </w:t>
            </w:r>
            <w:proofErr w:type="spellStart"/>
            <w:r w:rsidRPr="007E0AF4">
              <w:rPr>
                <w:sz w:val="22"/>
              </w:rPr>
              <w:t>зв’язку</w:t>
            </w:r>
            <w:proofErr w:type="spellEnd"/>
            <w:r w:rsidRPr="007E0AF4">
              <w:rPr>
                <w:sz w:val="22"/>
              </w:rPr>
              <w:t xml:space="preserve"> та </w:t>
            </w:r>
            <w:proofErr w:type="spellStart"/>
            <w:r w:rsidRPr="007E0AF4">
              <w:rPr>
                <w:sz w:val="22"/>
              </w:rPr>
              <w:t>інтернету</w:t>
            </w:r>
            <w:proofErr w:type="spellEnd"/>
            <w:r w:rsidRPr="007E0AF4">
              <w:rPr>
                <w:sz w:val="22"/>
              </w:rPr>
              <w:t>. 2</w:t>
            </w:r>
            <w:r w:rsidR="00901E07" w:rsidRPr="007E0AF4">
              <w:rPr>
                <w:sz w:val="22"/>
              </w:rPr>
              <w:t>-</w:t>
            </w:r>
            <w:r w:rsidRPr="007E0AF4">
              <w:rPr>
                <w:sz w:val="22"/>
              </w:rPr>
              <w:t xml:space="preserve">х </w:t>
            </w:r>
            <w:proofErr w:type="spellStart"/>
            <w:r w:rsidRPr="007E0AF4">
              <w:rPr>
                <w:sz w:val="22"/>
              </w:rPr>
              <w:t>спортивних</w:t>
            </w:r>
            <w:proofErr w:type="spellEnd"/>
            <w:r w:rsidRPr="007E0AF4">
              <w:rPr>
                <w:sz w:val="22"/>
              </w:rPr>
              <w:t xml:space="preserve"> </w:t>
            </w:r>
            <w:proofErr w:type="spellStart"/>
            <w:r w:rsidRPr="007E0AF4">
              <w:rPr>
                <w:sz w:val="22"/>
              </w:rPr>
              <w:t>залів</w:t>
            </w:r>
            <w:proofErr w:type="spellEnd"/>
            <w:r w:rsidRPr="007E0AF4">
              <w:rPr>
                <w:sz w:val="22"/>
              </w:rPr>
              <w:t xml:space="preserve">, </w:t>
            </w:r>
            <w:proofErr w:type="spellStart"/>
            <w:r w:rsidRPr="007E0AF4">
              <w:rPr>
                <w:sz w:val="22"/>
              </w:rPr>
              <w:t>актової</w:t>
            </w:r>
            <w:proofErr w:type="spellEnd"/>
            <w:r w:rsidRPr="007E0AF4">
              <w:rPr>
                <w:sz w:val="22"/>
              </w:rPr>
              <w:t xml:space="preserve"> </w:t>
            </w:r>
            <w:proofErr w:type="spellStart"/>
            <w:r w:rsidRPr="007E0AF4">
              <w:rPr>
                <w:sz w:val="22"/>
              </w:rPr>
              <w:t>зали</w:t>
            </w:r>
            <w:proofErr w:type="spellEnd"/>
            <w:r w:rsidRPr="007E0AF4">
              <w:rPr>
                <w:sz w:val="22"/>
              </w:rPr>
              <w:t xml:space="preserve">, </w:t>
            </w:r>
            <w:proofErr w:type="spellStart"/>
            <w:r w:rsidRPr="007E0AF4">
              <w:rPr>
                <w:sz w:val="22"/>
              </w:rPr>
              <w:t>їдальня</w:t>
            </w:r>
            <w:proofErr w:type="spellEnd"/>
            <w:r w:rsidRPr="007E0AF4">
              <w:rPr>
                <w:sz w:val="22"/>
              </w:rPr>
              <w:t xml:space="preserve">, </w:t>
            </w:r>
            <w:proofErr w:type="spellStart"/>
            <w:r w:rsidRPr="007E0AF4">
              <w:rPr>
                <w:sz w:val="22"/>
              </w:rPr>
              <w:t>огородження</w:t>
            </w:r>
            <w:proofErr w:type="spellEnd"/>
            <w:r w:rsidRPr="007E0AF4">
              <w:rPr>
                <w:sz w:val="22"/>
              </w:rPr>
              <w:t xml:space="preserve"> та </w:t>
            </w:r>
            <w:proofErr w:type="spellStart"/>
            <w:r w:rsidRPr="007E0AF4">
              <w:rPr>
                <w:sz w:val="22"/>
              </w:rPr>
              <w:t>системи</w:t>
            </w:r>
            <w:proofErr w:type="spellEnd"/>
            <w:r w:rsidRPr="007E0AF4">
              <w:rPr>
                <w:sz w:val="22"/>
              </w:rPr>
              <w:t xml:space="preserve"> </w:t>
            </w:r>
            <w:proofErr w:type="spellStart"/>
            <w:r w:rsidRPr="007E0AF4">
              <w:rPr>
                <w:sz w:val="22"/>
              </w:rPr>
              <w:t>відеоспостереження</w:t>
            </w:r>
            <w:proofErr w:type="spellEnd"/>
            <w:r w:rsidRPr="007E0AF4">
              <w:rPr>
                <w:sz w:val="22"/>
              </w:rPr>
              <w:t xml:space="preserve">, </w:t>
            </w:r>
            <w:proofErr w:type="spellStart"/>
            <w:r w:rsidRPr="007E0AF4">
              <w:rPr>
                <w:sz w:val="22"/>
              </w:rPr>
              <w:t>зовнішне</w:t>
            </w:r>
            <w:proofErr w:type="spellEnd"/>
            <w:r w:rsidRPr="007E0AF4">
              <w:rPr>
                <w:sz w:val="22"/>
              </w:rPr>
              <w:t xml:space="preserve"> </w:t>
            </w:r>
            <w:proofErr w:type="spellStart"/>
            <w:r w:rsidRPr="007E0AF4">
              <w:rPr>
                <w:sz w:val="22"/>
              </w:rPr>
              <w:t>термоутеплення</w:t>
            </w:r>
            <w:proofErr w:type="spellEnd"/>
            <w:r w:rsidRPr="007E0AF4">
              <w:rPr>
                <w:sz w:val="22"/>
              </w:rPr>
              <w:t xml:space="preserve"> </w:t>
            </w:r>
            <w:proofErr w:type="spellStart"/>
            <w:r w:rsidRPr="007E0AF4">
              <w:rPr>
                <w:sz w:val="22"/>
              </w:rPr>
              <w:t>будівлі</w:t>
            </w:r>
            <w:proofErr w:type="spellEnd"/>
            <w:r w:rsidRPr="007E0AF4">
              <w:rPr>
                <w:sz w:val="22"/>
              </w:rPr>
              <w:t>, два пандуса.</w:t>
            </w:r>
          </w:p>
          <w:p w:rsidR="00AD3425" w:rsidRPr="007E0AF4" w:rsidRDefault="00AD3425" w:rsidP="001E6C97">
            <w:pPr>
              <w:pStyle w:val="13"/>
              <w:jc w:val="both"/>
              <w:rPr>
                <w:sz w:val="22"/>
              </w:rPr>
            </w:pPr>
            <w:r w:rsidRPr="007E0AF4">
              <w:rPr>
                <w:rFonts w:eastAsia="Arial"/>
                <w:sz w:val="22"/>
                <w:lang w:val="uk-UA"/>
              </w:rPr>
              <w:t xml:space="preserve">Для відбудови та сталого розвитку громади потрібне відновлення роботи комунального закладу Гімназії № 20. Мешканці громади потребують в отриманні якісних освітніх послуг, які відповідають нормам сучасності. </w:t>
            </w:r>
          </w:p>
        </w:tc>
      </w:tr>
      <w:tr w:rsidR="00AD3425" w:rsidRPr="007E0AF4" w:rsidTr="00AD3425">
        <w:tc>
          <w:tcPr>
            <w:tcW w:w="2978" w:type="dxa"/>
            <w:shd w:val="clear" w:color="auto" w:fill="C6D9F1" w:themeFill="text2" w:themeFillTint="33"/>
          </w:tcPr>
          <w:p w:rsidR="00AD3425" w:rsidRPr="007E0AF4" w:rsidRDefault="00AD3425" w:rsidP="001E6C97">
            <w:pPr>
              <w:pStyle w:val="a7"/>
              <w:ind w:left="0"/>
              <w:rPr>
                <w:b/>
                <w:sz w:val="22"/>
              </w:rPr>
            </w:pPr>
            <w:proofErr w:type="spellStart"/>
            <w:r w:rsidRPr="007E0AF4">
              <w:rPr>
                <w:b/>
                <w:sz w:val="22"/>
              </w:rPr>
              <w:lastRenderedPageBreak/>
              <w:t>Очікувані</w:t>
            </w:r>
            <w:proofErr w:type="spellEnd"/>
            <w:r w:rsidRPr="007E0AF4">
              <w:rPr>
                <w:b/>
                <w:sz w:val="22"/>
              </w:rPr>
              <w:t xml:space="preserve"> </w:t>
            </w:r>
            <w:proofErr w:type="spellStart"/>
            <w:r w:rsidRPr="007E0AF4">
              <w:rPr>
                <w:b/>
                <w:sz w:val="22"/>
              </w:rPr>
              <w:t>якісні</w:t>
            </w:r>
            <w:proofErr w:type="spellEnd"/>
            <w:r w:rsidRPr="007E0AF4">
              <w:rPr>
                <w:b/>
                <w:sz w:val="22"/>
              </w:rPr>
              <w:t xml:space="preserve"> </w:t>
            </w:r>
            <w:proofErr w:type="spellStart"/>
            <w:r w:rsidRPr="007E0AF4">
              <w:rPr>
                <w:b/>
                <w:sz w:val="22"/>
              </w:rPr>
              <w:t>результати</w:t>
            </w:r>
            <w:proofErr w:type="spellEnd"/>
            <w:r w:rsidRPr="007E0AF4">
              <w:rPr>
                <w:b/>
                <w:sz w:val="22"/>
              </w:rPr>
              <w:t xml:space="preserve"> </w:t>
            </w:r>
            <w:proofErr w:type="spellStart"/>
            <w:r w:rsidRPr="007E0AF4">
              <w:rPr>
                <w:b/>
                <w:sz w:val="22"/>
              </w:rPr>
              <w:t>від</w:t>
            </w:r>
            <w:proofErr w:type="spellEnd"/>
            <w:r w:rsidRPr="007E0AF4">
              <w:rPr>
                <w:b/>
                <w:sz w:val="22"/>
              </w:rPr>
              <w:t xml:space="preserve"> </w:t>
            </w:r>
            <w:proofErr w:type="spellStart"/>
            <w:r w:rsidRPr="007E0AF4">
              <w:rPr>
                <w:b/>
                <w:sz w:val="22"/>
              </w:rPr>
              <w:t>реалізації</w:t>
            </w:r>
            <w:proofErr w:type="spellEnd"/>
            <w:r w:rsidRPr="007E0AF4">
              <w:rPr>
                <w:b/>
                <w:sz w:val="22"/>
              </w:rPr>
              <w:t xml:space="preserve"> проекту</w:t>
            </w:r>
          </w:p>
        </w:tc>
        <w:tc>
          <w:tcPr>
            <w:tcW w:w="6945" w:type="dxa"/>
            <w:gridSpan w:val="7"/>
          </w:tcPr>
          <w:p w:rsidR="00AD3425" w:rsidRPr="007E0AF4" w:rsidRDefault="00AD3425" w:rsidP="001E6C97">
            <w:pPr>
              <w:pStyle w:val="a7"/>
              <w:ind w:left="0"/>
              <w:rPr>
                <w:sz w:val="22"/>
              </w:rPr>
            </w:pPr>
            <w:r w:rsidRPr="007E0AF4">
              <w:rPr>
                <w:sz w:val="22"/>
              </w:rPr>
              <w:t xml:space="preserve">- </w:t>
            </w:r>
            <w:proofErr w:type="spellStart"/>
            <w:r w:rsidRPr="007E0AF4">
              <w:rPr>
                <w:sz w:val="22"/>
              </w:rPr>
              <w:t>забезпечення</w:t>
            </w:r>
            <w:proofErr w:type="spellEnd"/>
            <w:r w:rsidRPr="007E0AF4">
              <w:rPr>
                <w:sz w:val="22"/>
              </w:rPr>
              <w:t xml:space="preserve"> </w:t>
            </w:r>
            <w:proofErr w:type="spellStart"/>
            <w:r w:rsidRPr="007E0AF4">
              <w:rPr>
                <w:sz w:val="22"/>
              </w:rPr>
              <w:t>населення</w:t>
            </w:r>
            <w:proofErr w:type="spellEnd"/>
            <w:r w:rsidRPr="007E0AF4">
              <w:rPr>
                <w:sz w:val="22"/>
              </w:rPr>
              <w:t xml:space="preserve"> </w:t>
            </w:r>
            <w:proofErr w:type="spellStart"/>
            <w:r w:rsidRPr="007E0AF4">
              <w:rPr>
                <w:sz w:val="22"/>
              </w:rPr>
              <w:t>можливостями</w:t>
            </w:r>
            <w:proofErr w:type="spellEnd"/>
            <w:r w:rsidRPr="007E0AF4">
              <w:rPr>
                <w:sz w:val="22"/>
              </w:rPr>
              <w:t xml:space="preserve"> для </w:t>
            </w:r>
            <w:proofErr w:type="spellStart"/>
            <w:r w:rsidRPr="007E0AF4">
              <w:rPr>
                <w:sz w:val="22"/>
              </w:rPr>
              <w:t>реалізації</w:t>
            </w:r>
            <w:proofErr w:type="spellEnd"/>
            <w:r w:rsidRPr="007E0AF4">
              <w:rPr>
                <w:sz w:val="22"/>
              </w:rPr>
              <w:t xml:space="preserve"> </w:t>
            </w:r>
            <w:proofErr w:type="spellStart"/>
            <w:r w:rsidRPr="007E0AF4">
              <w:rPr>
                <w:sz w:val="22"/>
              </w:rPr>
              <w:t>його</w:t>
            </w:r>
            <w:proofErr w:type="spellEnd"/>
            <w:r w:rsidRPr="007E0AF4">
              <w:rPr>
                <w:sz w:val="22"/>
              </w:rPr>
              <w:t xml:space="preserve"> </w:t>
            </w:r>
            <w:proofErr w:type="spellStart"/>
            <w:r w:rsidRPr="007E0AF4">
              <w:rPr>
                <w:sz w:val="22"/>
              </w:rPr>
              <w:t>конституційних</w:t>
            </w:r>
            <w:proofErr w:type="spellEnd"/>
            <w:r w:rsidRPr="007E0AF4">
              <w:rPr>
                <w:sz w:val="22"/>
              </w:rPr>
              <w:t xml:space="preserve"> прав, </w:t>
            </w:r>
            <w:proofErr w:type="spellStart"/>
            <w:r w:rsidRPr="007E0AF4">
              <w:rPr>
                <w:sz w:val="22"/>
              </w:rPr>
              <w:t>пов’язаних</w:t>
            </w:r>
            <w:proofErr w:type="spellEnd"/>
            <w:r w:rsidRPr="007E0AF4">
              <w:rPr>
                <w:sz w:val="22"/>
              </w:rPr>
              <w:t xml:space="preserve"> </w:t>
            </w:r>
            <w:proofErr w:type="spellStart"/>
            <w:r w:rsidRPr="007E0AF4">
              <w:rPr>
                <w:sz w:val="22"/>
              </w:rPr>
              <w:t>із</w:t>
            </w:r>
            <w:proofErr w:type="spellEnd"/>
            <w:r w:rsidRPr="007E0AF4">
              <w:rPr>
                <w:sz w:val="22"/>
              </w:rPr>
              <w:t xml:space="preserve"> </w:t>
            </w:r>
            <w:proofErr w:type="spellStart"/>
            <w:r w:rsidRPr="007E0AF4">
              <w:rPr>
                <w:sz w:val="22"/>
              </w:rPr>
              <w:t>конституційним</w:t>
            </w:r>
            <w:proofErr w:type="spellEnd"/>
            <w:r w:rsidRPr="007E0AF4">
              <w:rPr>
                <w:sz w:val="22"/>
              </w:rPr>
              <w:t xml:space="preserve"> правом </w:t>
            </w:r>
            <w:proofErr w:type="spellStart"/>
            <w:r w:rsidRPr="007E0AF4">
              <w:rPr>
                <w:sz w:val="22"/>
              </w:rPr>
              <w:t>громадян</w:t>
            </w:r>
            <w:proofErr w:type="spellEnd"/>
            <w:r w:rsidRPr="007E0AF4">
              <w:rPr>
                <w:sz w:val="22"/>
              </w:rPr>
              <w:t xml:space="preserve"> на </w:t>
            </w:r>
            <w:proofErr w:type="spellStart"/>
            <w:r w:rsidRPr="007E0AF4">
              <w:rPr>
                <w:sz w:val="22"/>
              </w:rPr>
              <w:t>освіту</w:t>
            </w:r>
            <w:proofErr w:type="spellEnd"/>
            <w:r w:rsidRPr="007E0AF4">
              <w:rPr>
                <w:sz w:val="22"/>
              </w:rPr>
              <w:t>;</w:t>
            </w:r>
          </w:p>
          <w:p w:rsidR="00AD3425" w:rsidRPr="007E0AF4" w:rsidRDefault="00AD3425" w:rsidP="001E6C97">
            <w:pPr>
              <w:pStyle w:val="a7"/>
              <w:ind w:left="0"/>
              <w:rPr>
                <w:sz w:val="22"/>
              </w:rPr>
            </w:pPr>
            <w:r w:rsidRPr="007E0AF4">
              <w:rPr>
                <w:sz w:val="22"/>
              </w:rPr>
              <w:t xml:space="preserve">- </w:t>
            </w:r>
            <w:proofErr w:type="spellStart"/>
            <w:r w:rsidRPr="007E0AF4">
              <w:rPr>
                <w:sz w:val="22"/>
              </w:rPr>
              <w:t>надання</w:t>
            </w:r>
            <w:proofErr w:type="spellEnd"/>
            <w:r w:rsidRPr="007E0AF4">
              <w:rPr>
                <w:sz w:val="22"/>
              </w:rPr>
              <w:t xml:space="preserve"> широкого спектру </w:t>
            </w:r>
            <w:proofErr w:type="spellStart"/>
            <w:r w:rsidRPr="007E0AF4">
              <w:rPr>
                <w:sz w:val="22"/>
              </w:rPr>
              <w:t>послуг</w:t>
            </w:r>
            <w:proofErr w:type="spellEnd"/>
            <w:r w:rsidRPr="007E0AF4">
              <w:rPr>
                <w:sz w:val="22"/>
              </w:rPr>
              <w:t xml:space="preserve">, </w:t>
            </w:r>
            <w:proofErr w:type="spellStart"/>
            <w:r w:rsidRPr="007E0AF4">
              <w:rPr>
                <w:sz w:val="22"/>
              </w:rPr>
              <w:t>пов’язаних</w:t>
            </w:r>
            <w:proofErr w:type="spellEnd"/>
            <w:r w:rsidRPr="007E0AF4">
              <w:rPr>
                <w:sz w:val="22"/>
              </w:rPr>
              <w:t xml:space="preserve"> </w:t>
            </w:r>
            <w:proofErr w:type="spellStart"/>
            <w:r w:rsidRPr="007E0AF4">
              <w:rPr>
                <w:sz w:val="22"/>
              </w:rPr>
              <w:t>із</w:t>
            </w:r>
            <w:proofErr w:type="spellEnd"/>
            <w:r w:rsidRPr="007E0AF4">
              <w:rPr>
                <w:sz w:val="22"/>
              </w:rPr>
              <w:t xml:space="preserve"> </w:t>
            </w:r>
            <w:proofErr w:type="spellStart"/>
            <w:r w:rsidRPr="007E0AF4">
              <w:rPr>
                <w:sz w:val="22"/>
              </w:rPr>
              <w:t>освітньою</w:t>
            </w:r>
            <w:proofErr w:type="spellEnd"/>
            <w:r w:rsidRPr="007E0AF4">
              <w:rPr>
                <w:sz w:val="22"/>
              </w:rPr>
              <w:t xml:space="preserve"> </w:t>
            </w:r>
            <w:proofErr w:type="spellStart"/>
            <w:r w:rsidRPr="007E0AF4">
              <w:rPr>
                <w:sz w:val="22"/>
              </w:rPr>
              <w:t>діяльністю</w:t>
            </w:r>
            <w:proofErr w:type="spellEnd"/>
            <w:r w:rsidRPr="007E0AF4">
              <w:rPr>
                <w:sz w:val="22"/>
              </w:rPr>
              <w:t>;</w:t>
            </w:r>
          </w:p>
          <w:p w:rsidR="00AD3425" w:rsidRPr="007E0AF4" w:rsidRDefault="00AD3425" w:rsidP="001E6C97">
            <w:pPr>
              <w:pStyle w:val="a7"/>
              <w:ind w:left="0"/>
              <w:rPr>
                <w:sz w:val="22"/>
              </w:rPr>
            </w:pPr>
            <w:r w:rsidRPr="007E0AF4">
              <w:rPr>
                <w:sz w:val="22"/>
              </w:rPr>
              <w:t xml:space="preserve">- </w:t>
            </w:r>
            <w:proofErr w:type="spellStart"/>
            <w:r w:rsidRPr="007E0AF4">
              <w:rPr>
                <w:sz w:val="22"/>
              </w:rPr>
              <w:t>вирішення</w:t>
            </w:r>
            <w:proofErr w:type="spellEnd"/>
            <w:r w:rsidRPr="007E0AF4">
              <w:rPr>
                <w:sz w:val="22"/>
              </w:rPr>
              <w:t xml:space="preserve"> ряду </w:t>
            </w:r>
            <w:proofErr w:type="spellStart"/>
            <w:r w:rsidRPr="007E0AF4">
              <w:rPr>
                <w:sz w:val="22"/>
              </w:rPr>
              <w:t>питань</w:t>
            </w:r>
            <w:proofErr w:type="spellEnd"/>
            <w:r w:rsidRPr="007E0AF4">
              <w:rPr>
                <w:sz w:val="22"/>
              </w:rPr>
              <w:t xml:space="preserve"> в межах </w:t>
            </w:r>
            <w:proofErr w:type="spellStart"/>
            <w:r w:rsidRPr="007E0AF4">
              <w:rPr>
                <w:sz w:val="22"/>
              </w:rPr>
              <w:t>статутної</w:t>
            </w:r>
            <w:proofErr w:type="spellEnd"/>
            <w:r w:rsidRPr="007E0AF4">
              <w:rPr>
                <w:sz w:val="22"/>
              </w:rPr>
              <w:t xml:space="preserve"> </w:t>
            </w:r>
            <w:proofErr w:type="spellStart"/>
            <w:r w:rsidRPr="007E0AF4">
              <w:rPr>
                <w:sz w:val="22"/>
              </w:rPr>
              <w:t>діяльності</w:t>
            </w:r>
            <w:proofErr w:type="spellEnd"/>
            <w:r w:rsidRPr="007E0AF4">
              <w:rPr>
                <w:sz w:val="22"/>
              </w:rPr>
              <w:t xml:space="preserve">, </w:t>
            </w:r>
            <w:proofErr w:type="spellStart"/>
            <w:r w:rsidRPr="007E0AF4">
              <w:rPr>
                <w:sz w:val="22"/>
              </w:rPr>
              <w:t>пов’язаних</w:t>
            </w:r>
            <w:proofErr w:type="spellEnd"/>
            <w:r w:rsidRPr="007E0AF4">
              <w:rPr>
                <w:sz w:val="22"/>
              </w:rPr>
              <w:t xml:space="preserve"> </w:t>
            </w:r>
            <w:proofErr w:type="spellStart"/>
            <w:r w:rsidRPr="007E0AF4">
              <w:rPr>
                <w:sz w:val="22"/>
              </w:rPr>
              <w:t>із</w:t>
            </w:r>
            <w:proofErr w:type="spellEnd"/>
            <w:r w:rsidRPr="007E0AF4">
              <w:rPr>
                <w:sz w:val="22"/>
              </w:rPr>
              <w:t xml:space="preserve"> </w:t>
            </w:r>
            <w:proofErr w:type="spellStart"/>
            <w:r w:rsidRPr="007E0AF4">
              <w:rPr>
                <w:sz w:val="22"/>
              </w:rPr>
              <w:t>відбудовою</w:t>
            </w:r>
            <w:proofErr w:type="spellEnd"/>
            <w:r w:rsidRPr="007E0AF4">
              <w:rPr>
                <w:sz w:val="22"/>
              </w:rPr>
              <w:t xml:space="preserve"> та </w:t>
            </w:r>
            <w:proofErr w:type="spellStart"/>
            <w:r w:rsidRPr="007E0AF4">
              <w:rPr>
                <w:sz w:val="22"/>
              </w:rPr>
              <w:t>сталим</w:t>
            </w:r>
            <w:proofErr w:type="spellEnd"/>
            <w:r w:rsidRPr="007E0AF4">
              <w:rPr>
                <w:sz w:val="22"/>
              </w:rPr>
              <w:t xml:space="preserve"> </w:t>
            </w:r>
            <w:proofErr w:type="spellStart"/>
            <w:r w:rsidRPr="007E0AF4">
              <w:rPr>
                <w:sz w:val="22"/>
              </w:rPr>
              <w:t>розвитком</w:t>
            </w:r>
            <w:proofErr w:type="spellEnd"/>
            <w:r w:rsidRPr="007E0AF4">
              <w:rPr>
                <w:sz w:val="22"/>
              </w:rPr>
              <w:t xml:space="preserve"> </w:t>
            </w:r>
            <w:proofErr w:type="spellStart"/>
            <w:r w:rsidRPr="007E0AF4">
              <w:rPr>
                <w:sz w:val="22"/>
              </w:rPr>
              <w:t>громади</w:t>
            </w:r>
            <w:proofErr w:type="spellEnd"/>
            <w:r w:rsidRPr="007E0AF4">
              <w:rPr>
                <w:sz w:val="22"/>
              </w:rPr>
              <w:t>;</w:t>
            </w:r>
          </w:p>
          <w:p w:rsidR="00AD3425" w:rsidRPr="007E0AF4" w:rsidRDefault="00AD3425" w:rsidP="001E6C97">
            <w:pPr>
              <w:pStyle w:val="a7"/>
              <w:ind w:left="0"/>
              <w:rPr>
                <w:sz w:val="22"/>
              </w:rPr>
            </w:pPr>
            <w:r w:rsidRPr="007E0AF4">
              <w:rPr>
                <w:sz w:val="22"/>
              </w:rPr>
              <w:t xml:space="preserve">- </w:t>
            </w:r>
            <w:proofErr w:type="spellStart"/>
            <w:r w:rsidRPr="007E0AF4">
              <w:rPr>
                <w:sz w:val="22"/>
              </w:rPr>
              <w:t>створення</w:t>
            </w:r>
            <w:proofErr w:type="spellEnd"/>
            <w:r w:rsidRPr="007E0AF4">
              <w:rPr>
                <w:sz w:val="22"/>
              </w:rPr>
              <w:t xml:space="preserve"> </w:t>
            </w:r>
            <w:proofErr w:type="spellStart"/>
            <w:r w:rsidRPr="007E0AF4">
              <w:rPr>
                <w:sz w:val="22"/>
              </w:rPr>
              <w:t>нових</w:t>
            </w:r>
            <w:proofErr w:type="spellEnd"/>
            <w:r w:rsidRPr="007E0AF4">
              <w:rPr>
                <w:sz w:val="22"/>
              </w:rPr>
              <w:t xml:space="preserve"> </w:t>
            </w:r>
            <w:proofErr w:type="spellStart"/>
            <w:r w:rsidRPr="007E0AF4">
              <w:rPr>
                <w:sz w:val="22"/>
              </w:rPr>
              <w:t>робочих</w:t>
            </w:r>
            <w:proofErr w:type="spellEnd"/>
            <w:r w:rsidRPr="007E0AF4">
              <w:rPr>
                <w:sz w:val="22"/>
              </w:rPr>
              <w:t xml:space="preserve"> </w:t>
            </w:r>
            <w:proofErr w:type="spellStart"/>
            <w:r w:rsidRPr="007E0AF4">
              <w:rPr>
                <w:sz w:val="22"/>
              </w:rPr>
              <w:t>місць</w:t>
            </w:r>
            <w:proofErr w:type="spellEnd"/>
            <w:r w:rsidRPr="007E0AF4">
              <w:rPr>
                <w:sz w:val="22"/>
              </w:rPr>
              <w:t>;</w:t>
            </w:r>
          </w:p>
          <w:p w:rsidR="00AD3425" w:rsidRPr="007E0AF4" w:rsidRDefault="00AD3425" w:rsidP="001E6C97">
            <w:pPr>
              <w:pStyle w:val="a7"/>
              <w:ind w:left="0"/>
              <w:rPr>
                <w:sz w:val="22"/>
              </w:rPr>
            </w:pPr>
            <w:r w:rsidRPr="007E0AF4">
              <w:rPr>
                <w:sz w:val="22"/>
              </w:rPr>
              <w:t xml:space="preserve">- стимул до </w:t>
            </w:r>
            <w:proofErr w:type="spellStart"/>
            <w:r w:rsidRPr="007E0AF4">
              <w:rPr>
                <w:sz w:val="22"/>
              </w:rPr>
              <w:t>повернення</w:t>
            </w:r>
            <w:proofErr w:type="spellEnd"/>
            <w:r w:rsidRPr="007E0AF4">
              <w:rPr>
                <w:sz w:val="22"/>
              </w:rPr>
              <w:t xml:space="preserve"> ВПО до </w:t>
            </w:r>
            <w:proofErr w:type="spellStart"/>
            <w:r w:rsidRPr="007E0AF4">
              <w:rPr>
                <w:sz w:val="22"/>
              </w:rPr>
              <w:t>громади</w:t>
            </w:r>
            <w:proofErr w:type="spellEnd"/>
            <w:r w:rsidRPr="007E0AF4">
              <w:rPr>
                <w:sz w:val="22"/>
              </w:rPr>
              <w:t>;</w:t>
            </w:r>
          </w:p>
        </w:tc>
      </w:tr>
      <w:tr w:rsidR="00AD3425" w:rsidRPr="007E0AF4" w:rsidTr="00AD3425">
        <w:trPr>
          <w:trHeight w:val="390"/>
        </w:trPr>
        <w:tc>
          <w:tcPr>
            <w:tcW w:w="2978" w:type="dxa"/>
            <w:vMerge w:val="restart"/>
            <w:shd w:val="clear" w:color="auto" w:fill="C6D9F1" w:themeFill="text2" w:themeFillTint="33"/>
          </w:tcPr>
          <w:p w:rsidR="00AD3425" w:rsidRPr="007E0AF4" w:rsidRDefault="00AD3425" w:rsidP="001E6C97">
            <w:pPr>
              <w:pStyle w:val="a7"/>
              <w:ind w:left="0"/>
              <w:rPr>
                <w:b/>
                <w:sz w:val="22"/>
                <w:lang w:val="uk-UA"/>
              </w:rPr>
            </w:pPr>
            <w:r w:rsidRPr="007E0AF4">
              <w:rPr>
                <w:b/>
                <w:sz w:val="22"/>
                <w:lang w:val="uk-UA"/>
              </w:rPr>
              <w:t xml:space="preserve">Очікувані кількісні результати реалізації </w:t>
            </w:r>
            <w:proofErr w:type="spellStart"/>
            <w:r w:rsidRPr="007E0AF4">
              <w:rPr>
                <w:b/>
                <w:sz w:val="22"/>
                <w:lang w:val="uk-UA"/>
              </w:rPr>
              <w:t>проєкту</w:t>
            </w:r>
            <w:proofErr w:type="spellEnd"/>
            <w:r w:rsidRPr="007E0AF4">
              <w:rPr>
                <w:b/>
                <w:sz w:val="22"/>
                <w:lang w:val="uk-UA"/>
              </w:rPr>
              <w:t xml:space="preserve"> (індикатори)</w:t>
            </w:r>
          </w:p>
          <w:p w:rsidR="00AD3425" w:rsidRPr="007E0AF4" w:rsidRDefault="00AD3425" w:rsidP="001E6C97">
            <w:pPr>
              <w:pStyle w:val="a7"/>
              <w:ind w:left="0"/>
              <w:rPr>
                <w:b/>
                <w:sz w:val="22"/>
                <w:lang w:val="uk-UA"/>
              </w:rPr>
            </w:pPr>
          </w:p>
        </w:tc>
        <w:tc>
          <w:tcPr>
            <w:tcW w:w="3827" w:type="dxa"/>
            <w:gridSpan w:val="3"/>
            <w:tcBorders>
              <w:bottom w:val="single" w:sz="4" w:space="0" w:color="auto"/>
              <w:right w:val="single" w:sz="4" w:space="0" w:color="auto"/>
            </w:tcBorders>
          </w:tcPr>
          <w:p w:rsidR="00AD3425" w:rsidRPr="007E0AF4" w:rsidRDefault="00AD3425" w:rsidP="001E6C97">
            <w:pPr>
              <w:pStyle w:val="a7"/>
              <w:ind w:left="-108"/>
              <w:jc w:val="center"/>
              <w:rPr>
                <w:b/>
                <w:sz w:val="22"/>
              </w:rPr>
            </w:pPr>
            <w:proofErr w:type="spellStart"/>
            <w:r w:rsidRPr="007E0AF4">
              <w:rPr>
                <w:b/>
                <w:sz w:val="22"/>
              </w:rPr>
              <w:t>Найменування</w:t>
            </w:r>
            <w:proofErr w:type="spellEnd"/>
            <w:r w:rsidRPr="007E0AF4">
              <w:rPr>
                <w:b/>
                <w:sz w:val="22"/>
              </w:rPr>
              <w:t xml:space="preserve"> </w:t>
            </w:r>
            <w:proofErr w:type="spellStart"/>
            <w:r w:rsidRPr="007E0AF4">
              <w:rPr>
                <w:b/>
                <w:sz w:val="22"/>
              </w:rPr>
              <w:t>показника</w:t>
            </w:r>
            <w:proofErr w:type="spellEnd"/>
          </w:p>
        </w:tc>
        <w:tc>
          <w:tcPr>
            <w:tcW w:w="1701" w:type="dxa"/>
            <w:gridSpan w:val="2"/>
            <w:tcBorders>
              <w:left w:val="single" w:sz="4" w:space="0" w:color="auto"/>
              <w:bottom w:val="single" w:sz="4" w:space="0" w:color="auto"/>
              <w:right w:val="single" w:sz="4" w:space="0" w:color="auto"/>
            </w:tcBorders>
          </w:tcPr>
          <w:p w:rsidR="00AD3425" w:rsidRPr="007E0AF4" w:rsidRDefault="00AD3425" w:rsidP="001E6C97">
            <w:pPr>
              <w:pStyle w:val="a7"/>
              <w:ind w:left="0"/>
              <w:jc w:val="center"/>
              <w:rPr>
                <w:b/>
                <w:sz w:val="22"/>
              </w:rPr>
            </w:pPr>
            <w:proofErr w:type="spellStart"/>
            <w:r w:rsidRPr="007E0AF4">
              <w:rPr>
                <w:b/>
                <w:sz w:val="22"/>
              </w:rPr>
              <w:t>Одиниця</w:t>
            </w:r>
            <w:proofErr w:type="spellEnd"/>
            <w:r w:rsidRPr="007E0AF4">
              <w:rPr>
                <w:b/>
                <w:sz w:val="22"/>
              </w:rPr>
              <w:t xml:space="preserve"> </w:t>
            </w:r>
            <w:proofErr w:type="spellStart"/>
            <w:r w:rsidRPr="007E0AF4">
              <w:rPr>
                <w:b/>
                <w:sz w:val="22"/>
              </w:rPr>
              <w:t>вимірювання</w:t>
            </w:r>
            <w:proofErr w:type="spellEnd"/>
          </w:p>
        </w:tc>
        <w:tc>
          <w:tcPr>
            <w:tcW w:w="1417" w:type="dxa"/>
            <w:gridSpan w:val="2"/>
            <w:tcBorders>
              <w:left w:val="single" w:sz="4" w:space="0" w:color="auto"/>
              <w:bottom w:val="single" w:sz="4" w:space="0" w:color="auto"/>
            </w:tcBorders>
          </w:tcPr>
          <w:p w:rsidR="00AD3425" w:rsidRPr="007E0AF4" w:rsidRDefault="00AD3425" w:rsidP="001E6C97">
            <w:pPr>
              <w:pStyle w:val="a7"/>
              <w:ind w:left="0"/>
              <w:jc w:val="center"/>
              <w:rPr>
                <w:b/>
                <w:sz w:val="22"/>
              </w:rPr>
            </w:pPr>
            <w:proofErr w:type="spellStart"/>
            <w:r w:rsidRPr="007E0AF4">
              <w:rPr>
                <w:b/>
                <w:sz w:val="22"/>
              </w:rPr>
              <w:t>Прогнозне</w:t>
            </w:r>
            <w:proofErr w:type="spellEnd"/>
            <w:r w:rsidRPr="007E0AF4">
              <w:rPr>
                <w:b/>
                <w:sz w:val="22"/>
              </w:rPr>
              <w:t xml:space="preserve"> (</w:t>
            </w:r>
            <w:proofErr w:type="spellStart"/>
            <w:r w:rsidRPr="007E0AF4">
              <w:rPr>
                <w:b/>
                <w:sz w:val="22"/>
              </w:rPr>
              <w:t>цільове</w:t>
            </w:r>
            <w:proofErr w:type="spellEnd"/>
            <w:r w:rsidRPr="007E0AF4">
              <w:rPr>
                <w:b/>
                <w:sz w:val="22"/>
              </w:rPr>
              <w:t xml:space="preserve">) </w:t>
            </w:r>
            <w:proofErr w:type="spellStart"/>
            <w:r w:rsidRPr="007E0AF4">
              <w:rPr>
                <w:b/>
                <w:sz w:val="22"/>
              </w:rPr>
              <w:t>значення</w:t>
            </w:r>
            <w:proofErr w:type="spellEnd"/>
          </w:p>
        </w:tc>
      </w:tr>
      <w:tr w:rsidR="00AD3425" w:rsidRPr="007E0AF4" w:rsidTr="00AD3425">
        <w:trPr>
          <w:trHeight w:val="585"/>
        </w:trPr>
        <w:tc>
          <w:tcPr>
            <w:tcW w:w="2978" w:type="dxa"/>
            <w:vMerge/>
            <w:shd w:val="clear" w:color="auto" w:fill="C6D9F1" w:themeFill="text2" w:themeFillTint="33"/>
          </w:tcPr>
          <w:p w:rsidR="00AD3425" w:rsidRPr="007E0AF4" w:rsidRDefault="00AD3425" w:rsidP="001E6C97">
            <w:pPr>
              <w:pStyle w:val="a7"/>
              <w:ind w:left="0"/>
              <w:rPr>
                <w:b/>
                <w:sz w:val="22"/>
              </w:rPr>
            </w:pPr>
          </w:p>
        </w:tc>
        <w:tc>
          <w:tcPr>
            <w:tcW w:w="3827" w:type="dxa"/>
            <w:gridSpan w:val="3"/>
            <w:tcBorders>
              <w:top w:val="single" w:sz="4" w:space="0" w:color="auto"/>
              <w:bottom w:val="single" w:sz="4" w:space="0" w:color="auto"/>
              <w:right w:val="single" w:sz="4" w:space="0" w:color="auto"/>
            </w:tcBorders>
          </w:tcPr>
          <w:p w:rsidR="00AD3425" w:rsidRPr="007E0AF4" w:rsidRDefault="00AD3425" w:rsidP="001E6C97">
            <w:pPr>
              <w:pStyle w:val="a7"/>
              <w:ind w:left="0"/>
              <w:jc w:val="center"/>
              <w:rPr>
                <w:sz w:val="22"/>
              </w:rPr>
            </w:pPr>
            <w:proofErr w:type="spellStart"/>
            <w:r w:rsidRPr="007E0AF4">
              <w:rPr>
                <w:sz w:val="22"/>
              </w:rPr>
              <w:t>Кількість</w:t>
            </w:r>
            <w:proofErr w:type="spellEnd"/>
            <w:r w:rsidRPr="007E0AF4">
              <w:rPr>
                <w:sz w:val="22"/>
              </w:rPr>
              <w:t xml:space="preserve"> </w:t>
            </w:r>
            <w:proofErr w:type="spellStart"/>
            <w:r w:rsidRPr="007E0AF4">
              <w:rPr>
                <w:sz w:val="22"/>
              </w:rPr>
              <w:t>фізичних</w:t>
            </w:r>
            <w:proofErr w:type="spellEnd"/>
            <w:r w:rsidRPr="007E0AF4">
              <w:rPr>
                <w:sz w:val="22"/>
              </w:rPr>
              <w:t xml:space="preserve"> </w:t>
            </w:r>
            <w:proofErr w:type="spellStart"/>
            <w:r w:rsidRPr="007E0AF4">
              <w:rPr>
                <w:sz w:val="22"/>
              </w:rPr>
              <w:t>осіб</w:t>
            </w:r>
            <w:proofErr w:type="spellEnd"/>
            <w:r w:rsidRPr="007E0AF4">
              <w:rPr>
                <w:sz w:val="22"/>
              </w:rPr>
              <w:t xml:space="preserve">, </w:t>
            </w:r>
            <w:proofErr w:type="spellStart"/>
            <w:r w:rsidRPr="007E0AF4">
              <w:rPr>
                <w:sz w:val="22"/>
              </w:rPr>
              <w:t>які</w:t>
            </w:r>
            <w:proofErr w:type="spellEnd"/>
            <w:r w:rsidRPr="007E0AF4">
              <w:rPr>
                <w:sz w:val="22"/>
              </w:rPr>
              <w:t xml:space="preserve"> </w:t>
            </w:r>
            <w:proofErr w:type="spellStart"/>
            <w:r w:rsidRPr="007E0AF4">
              <w:rPr>
                <w:sz w:val="22"/>
              </w:rPr>
              <w:t>звернулись</w:t>
            </w:r>
            <w:proofErr w:type="spellEnd"/>
            <w:r w:rsidRPr="007E0AF4">
              <w:rPr>
                <w:sz w:val="22"/>
              </w:rPr>
              <w:t xml:space="preserve"> за </w:t>
            </w:r>
            <w:proofErr w:type="spellStart"/>
            <w:r w:rsidRPr="007E0AF4">
              <w:rPr>
                <w:sz w:val="22"/>
              </w:rPr>
              <w:t>послугами</w:t>
            </w:r>
            <w:proofErr w:type="spellEnd"/>
            <w:r w:rsidRPr="007E0AF4">
              <w:rPr>
                <w:sz w:val="22"/>
              </w:rPr>
              <w:t xml:space="preserve"> </w:t>
            </w:r>
            <w:proofErr w:type="spellStart"/>
            <w:r w:rsidRPr="007E0AF4">
              <w:rPr>
                <w:sz w:val="22"/>
              </w:rPr>
              <w:t>протягом</w:t>
            </w:r>
            <w:proofErr w:type="spellEnd"/>
            <w:r w:rsidRPr="007E0AF4">
              <w:rPr>
                <w:sz w:val="22"/>
              </w:rPr>
              <w:t xml:space="preserve"> року</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AD3425" w:rsidRPr="007E0AF4" w:rsidRDefault="00AD3425" w:rsidP="001E6C97">
            <w:pPr>
              <w:pStyle w:val="a7"/>
              <w:ind w:left="0"/>
              <w:jc w:val="center"/>
              <w:rPr>
                <w:sz w:val="22"/>
              </w:rPr>
            </w:pPr>
            <w:proofErr w:type="spellStart"/>
            <w:r w:rsidRPr="007E0AF4">
              <w:rPr>
                <w:sz w:val="22"/>
              </w:rPr>
              <w:t>осіб</w:t>
            </w:r>
            <w:proofErr w:type="spellEnd"/>
          </w:p>
        </w:tc>
        <w:tc>
          <w:tcPr>
            <w:tcW w:w="1417" w:type="dxa"/>
            <w:gridSpan w:val="2"/>
            <w:tcBorders>
              <w:top w:val="single" w:sz="4" w:space="0" w:color="auto"/>
              <w:left w:val="single" w:sz="4" w:space="0" w:color="auto"/>
              <w:bottom w:val="single" w:sz="4" w:space="0" w:color="auto"/>
            </w:tcBorders>
            <w:vAlign w:val="center"/>
          </w:tcPr>
          <w:p w:rsidR="00AD3425" w:rsidRPr="007E0AF4" w:rsidRDefault="00AD3425" w:rsidP="00AD3425">
            <w:pPr>
              <w:pStyle w:val="a7"/>
              <w:ind w:left="0"/>
              <w:jc w:val="center"/>
              <w:rPr>
                <w:sz w:val="22"/>
              </w:rPr>
            </w:pPr>
            <w:r w:rsidRPr="007E0AF4">
              <w:rPr>
                <w:sz w:val="22"/>
              </w:rPr>
              <w:t>780</w:t>
            </w:r>
          </w:p>
        </w:tc>
      </w:tr>
      <w:tr w:rsidR="00AD3425" w:rsidRPr="007E0AF4" w:rsidTr="00AD3425">
        <w:trPr>
          <w:trHeight w:val="184"/>
        </w:trPr>
        <w:tc>
          <w:tcPr>
            <w:tcW w:w="2978" w:type="dxa"/>
            <w:vMerge/>
            <w:shd w:val="clear" w:color="auto" w:fill="C6D9F1" w:themeFill="text2" w:themeFillTint="33"/>
          </w:tcPr>
          <w:p w:rsidR="00AD3425" w:rsidRPr="007E0AF4" w:rsidRDefault="00AD3425" w:rsidP="001E6C97">
            <w:pPr>
              <w:pStyle w:val="a7"/>
              <w:ind w:left="0"/>
              <w:rPr>
                <w:b/>
                <w:sz w:val="22"/>
              </w:rPr>
            </w:pPr>
          </w:p>
        </w:tc>
        <w:tc>
          <w:tcPr>
            <w:tcW w:w="3827" w:type="dxa"/>
            <w:gridSpan w:val="3"/>
            <w:tcBorders>
              <w:top w:val="single" w:sz="4" w:space="0" w:color="auto"/>
              <w:bottom w:val="single" w:sz="4" w:space="0" w:color="auto"/>
              <w:right w:val="single" w:sz="4" w:space="0" w:color="auto"/>
            </w:tcBorders>
          </w:tcPr>
          <w:p w:rsidR="00AD3425" w:rsidRPr="007E0AF4" w:rsidRDefault="00AD3425" w:rsidP="001E6C97">
            <w:pPr>
              <w:pStyle w:val="a7"/>
              <w:ind w:left="0"/>
              <w:jc w:val="center"/>
              <w:rPr>
                <w:sz w:val="22"/>
              </w:rPr>
            </w:pPr>
            <w:proofErr w:type="spellStart"/>
            <w:r w:rsidRPr="007E0AF4">
              <w:rPr>
                <w:sz w:val="22"/>
              </w:rPr>
              <w:t>Кількість</w:t>
            </w:r>
            <w:proofErr w:type="spellEnd"/>
            <w:r w:rsidRPr="007E0AF4">
              <w:rPr>
                <w:sz w:val="22"/>
              </w:rPr>
              <w:t xml:space="preserve"> </w:t>
            </w:r>
            <w:proofErr w:type="spellStart"/>
            <w:r w:rsidRPr="007E0AF4">
              <w:rPr>
                <w:sz w:val="22"/>
              </w:rPr>
              <w:t>уроків</w:t>
            </w:r>
            <w:proofErr w:type="spellEnd"/>
          </w:p>
        </w:tc>
        <w:tc>
          <w:tcPr>
            <w:tcW w:w="1701" w:type="dxa"/>
            <w:gridSpan w:val="2"/>
            <w:tcBorders>
              <w:top w:val="single" w:sz="4" w:space="0" w:color="auto"/>
              <w:left w:val="single" w:sz="4" w:space="0" w:color="auto"/>
              <w:bottom w:val="single" w:sz="4" w:space="0" w:color="auto"/>
              <w:right w:val="single" w:sz="4" w:space="0" w:color="auto"/>
            </w:tcBorders>
            <w:vAlign w:val="center"/>
          </w:tcPr>
          <w:p w:rsidR="00AD3425" w:rsidRPr="007E0AF4" w:rsidRDefault="00AD3425" w:rsidP="001E6C97">
            <w:pPr>
              <w:pStyle w:val="a7"/>
              <w:ind w:left="0"/>
              <w:jc w:val="center"/>
              <w:rPr>
                <w:sz w:val="22"/>
              </w:rPr>
            </w:pPr>
            <w:proofErr w:type="spellStart"/>
            <w:r w:rsidRPr="007E0AF4">
              <w:rPr>
                <w:sz w:val="22"/>
              </w:rPr>
              <w:t>одиниць</w:t>
            </w:r>
            <w:proofErr w:type="spellEnd"/>
          </w:p>
        </w:tc>
        <w:tc>
          <w:tcPr>
            <w:tcW w:w="1417" w:type="dxa"/>
            <w:gridSpan w:val="2"/>
            <w:tcBorders>
              <w:top w:val="single" w:sz="4" w:space="0" w:color="auto"/>
              <w:left w:val="single" w:sz="4" w:space="0" w:color="auto"/>
              <w:bottom w:val="single" w:sz="4" w:space="0" w:color="auto"/>
            </w:tcBorders>
          </w:tcPr>
          <w:p w:rsidR="00AD3425" w:rsidRPr="007E0AF4" w:rsidRDefault="00AD3425" w:rsidP="001E6C97">
            <w:pPr>
              <w:pStyle w:val="a7"/>
              <w:ind w:left="0"/>
              <w:jc w:val="center"/>
              <w:rPr>
                <w:sz w:val="22"/>
              </w:rPr>
            </w:pPr>
            <w:r w:rsidRPr="007E0AF4">
              <w:rPr>
                <w:sz w:val="22"/>
              </w:rPr>
              <w:t>63</w:t>
            </w:r>
          </w:p>
        </w:tc>
      </w:tr>
      <w:tr w:rsidR="00AD3425" w:rsidRPr="007E0AF4" w:rsidTr="00AD3425">
        <w:trPr>
          <w:trHeight w:val="150"/>
        </w:trPr>
        <w:tc>
          <w:tcPr>
            <w:tcW w:w="2978" w:type="dxa"/>
            <w:vMerge/>
            <w:shd w:val="clear" w:color="auto" w:fill="C6D9F1" w:themeFill="text2" w:themeFillTint="33"/>
          </w:tcPr>
          <w:p w:rsidR="00AD3425" w:rsidRPr="007E0AF4" w:rsidRDefault="00AD3425" w:rsidP="001E6C97">
            <w:pPr>
              <w:pStyle w:val="a7"/>
              <w:ind w:left="0"/>
              <w:rPr>
                <w:b/>
                <w:sz w:val="22"/>
              </w:rPr>
            </w:pPr>
          </w:p>
        </w:tc>
        <w:tc>
          <w:tcPr>
            <w:tcW w:w="3827" w:type="dxa"/>
            <w:gridSpan w:val="3"/>
            <w:tcBorders>
              <w:top w:val="single" w:sz="4" w:space="0" w:color="auto"/>
              <w:right w:val="single" w:sz="4" w:space="0" w:color="auto"/>
            </w:tcBorders>
          </w:tcPr>
          <w:p w:rsidR="00AD3425" w:rsidRPr="007E0AF4" w:rsidRDefault="00AD3425" w:rsidP="001E6C97">
            <w:pPr>
              <w:pStyle w:val="a7"/>
              <w:ind w:left="0"/>
              <w:jc w:val="center"/>
              <w:rPr>
                <w:sz w:val="22"/>
              </w:rPr>
            </w:pPr>
            <w:proofErr w:type="spellStart"/>
            <w:r w:rsidRPr="007E0AF4">
              <w:rPr>
                <w:sz w:val="22"/>
              </w:rPr>
              <w:t>Термін</w:t>
            </w:r>
            <w:proofErr w:type="spellEnd"/>
            <w:r w:rsidRPr="007E0AF4">
              <w:rPr>
                <w:sz w:val="22"/>
              </w:rPr>
              <w:t xml:space="preserve"> </w:t>
            </w:r>
            <w:proofErr w:type="spellStart"/>
            <w:r w:rsidRPr="007E0AF4">
              <w:rPr>
                <w:sz w:val="22"/>
              </w:rPr>
              <w:t>надання</w:t>
            </w:r>
            <w:proofErr w:type="spellEnd"/>
            <w:r w:rsidRPr="007E0AF4">
              <w:rPr>
                <w:sz w:val="22"/>
              </w:rPr>
              <w:t xml:space="preserve"> </w:t>
            </w:r>
            <w:proofErr w:type="spellStart"/>
            <w:r w:rsidRPr="007E0AF4">
              <w:rPr>
                <w:sz w:val="22"/>
              </w:rPr>
              <w:t>послуги</w:t>
            </w:r>
            <w:proofErr w:type="spellEnd"/>
          </w:p>
        </w:tc>
        <w:tc>
          <w:tcPr>
            <w:tcW w:w="1701" w:type="dxa"/>
            <w:gridSpan w:val="2"/>
            <w:tcBorders>
              <w:top w:val="single" w:sz="4" w:space="0" w:color="auto"/>
              <w:left w:val="single" w:sz="4" w:space="0" w:color="auto"/>
              <w:right w:val="single" w:sz="4" w:space="0" w:color="auto"/>
            </w:tcBorders>
            <w:vAlign w:val="center"/>
          </w:tcPr>
          <w:p w:rsidR="00AD3425" w:rsidRPr="007E0AF4" w:rsidRDefault="00AD3425" w:rsidP="001E6C97">
            <w:pPr>
              <w:pStyle w:val="a7"/>
              <w:ind w:left="0"/>
              <w:jc w:val="center"/>
              <w:rPr>
                <w:sz w:val="22"/>
              </w:rPr>
            </w:pPr>
            <w:r w:rsidRPr="007E0AF4">
              <w:rPr>
                <w:sz w:val="22"/>
              </w:rPr>
              <w:t>день</w:t>
            </w:r>
          </w:p>
        </w:tc>
        <w:tc>
          <w:tcPr>
            <w:tcW w:w="1417" w:type="dxa"/>
            <w:gridSpan w:val="2"/>
            <w:tcBorders>
              <w:top w:val="single" w:sz="4" w:space="0" w:color="auto"/>
              <w:left w:val="single" w:sz="4" w:space="0" w:color="auto"/>
            </w:tcBorders>
          </w:tcPr>
          <w:p w:rsidR="00AD3425" w:rsidRPr="007E0AF4" w:rsidRDefault="00AD3425" w:rsidP="001E6C97">
            <w:pPr>
              <w:pStyle w:val="a7"/>
              <w:ind w:left="0"/>
              <w:jc w:val="center"/>
              <w:rPr>
                <w:sz w:val="22"/>
              </w:rPr>
            </w:pPr>
            <w:r w:rsidRPr="007E0AF4">
              <w:rPr>
                <w:sz w:val="22"/>
              </w:rPr>
              <w:t>365</w:t>
            </w:r>
          </w:p>
        </w:tc>
      </w:tr>
      <w:tr w:rsidR="00AD3425" w:rsidRPr="007E0AF4" w:rsidTr="00AD3425">
        <w:trPr>
          <w:trHeight w:val="150"/>
        </w:trPr>
        <w:tc>
          <w:tcPr>
            <w:tcW w:w="2978" w:type="dxa"/>
            <w:shd w:val="clear" w:color="auto" w:fill="C6D9F1" w:themeFill="text2" w:themeFillTint="33"/>
          </w:tcPr>
          <w:p w:rsidR="00AD3425" w:rsidRPr="007E0AF4" w:rsidRDefault="00AD3425" w:rsidP="001E6C97">
            <w:pPr>
              <w:pStyle w:val="a7"/>
              <w:ind w:left="0"/>
              <w:rPr>
                <w:b/>
                <w:sz w:val="22"/>
              </w:rPr>
            </w:pPr>
          </w:p>
        </w:tc>
        <w:tc>
          <w:tcPr>
            <w:tcW w:w="3827" w:type="dxa"/>
            <w:gridSpan w:val="3"/>
            <w:tcBorders>
              <w:top w:val="single" w:sz="4" w:space="0" w:color="auto"/>
              <w:right w:val="single" w:sz="4" w:space="0" w:color="auto"/>
            </w:tcBorders>
          </w:tcPr>
          <w:p w:rsidR="00AD3425" w:rsidRPr="007E0AF4" w:rsidRDefault="00AD3425" w:rsidP="005B2808">
            <w:pPr>
              <w:pStyle w:val="a7"/>
              <w:ind w:left="0"/>
              <w:jc w:val="center"/>
              <w:rPr>
                <w:sz w:val="22"/>
              </w:rPr>
            </w:pPr>
            <w:proofErr w:type="spellStart"/>
            <w:r w:rsidRPr="007E0AF4">
              <w:rPr>
                <w:sz w:val="22"/>
              </w:rPr>
              <w:t>Кількість</w:t>
            </w:r>
            <w:proofErr w:type="spellEnd"/>
            <w:r w:rsidRPr="007E0AF4">
              <w:rPr>
                <w:sz w:val="22"/>
              </w:rPr>
              <w:t xml:space="preserve"> </w:t>
            </w:r>
            <w:proofErr w:type="spellStart"/>
            <w:r w:rsidRPr="007E0AF4">
              <w:rPr>
                <w:sz w:val="22"/>
              </w:rPr>
              <w:t>населених</w:t>
            </w:r>
            <w:proofErr w:type="spellEnd"/>
            <w:r w:rsidRPr="007E0AF4">
              <w:rPr>
                <w:sz w:val="22"/>
              </w:rPr>
              <w:t xml:space="preserve"> </w:t>
            </w:r>
            <w:proofErr w:type="spellStart"/>
            <w:r w:rsidRPr="007E0AF4">
              <w:rPr>
                <w:sz w:val="22"/>
              </w:rPr>
              <w:t>пунктів</w:t>
            </w:r>
            <w:proofErr w:type="spellEnd"/>
            <w:r w:rsidRPr="007E0AF4">
              <w:rPr>
                <w:sz w:val="22"/>
              </w:rPr>
              <w:t xml:space="preserve">, </w:t>
            </w:r>
            <w:proofErr w:type="spellStart"/>
            <w:r w:rsidRPr="007E0AF4">
              <w:rPr>
                <w:sz w:val="22"/>
              </w:rPr>
              <w:t>як</w:t>
            </w:r>
            <w:r w:rsidR="00901E07" w:rsidRPr="007E0AF4">
              <w:rPr>
                <w:sz w:val="22"/>
              </w:rPr>
              <w:t>і</w:t>
            </w:r>
            <w:proofErr w:type="spellEnd"/>
            <w:r w:rsidRPr="007E0AF4">
              <w:rPr>
                <w:sz w:val="22"/>
              </w:rPr>
              <w:t xml:space="preserve"> </w:t>
            </w:r>
            <w:proofErr w:type="spellStart"/>
            <w:r w:rsidRPr="007E0AF4">
              <w:rPr>
                <w:sz w:val="22"/>
              </w:rPr>
              <w:t>обслуговує</w:t>
            </w:r>
            <w:proofErr w:type="spellEnd"/>
            <w:r w:rsidRPr="007E0AF4">
              <w:rPr>
                <w:sz w:val="22"/>
              </w:rPr>
              <w:t xml:space="preserve"> </w:t>
            </w:r>
            <w:r w:rsidR="005B2808" w:rsidRPr="007E0AF4">
              <w:rPr>
                <w:sz w:val="22"/>
              </w:rPr>
              <w:t>заклад</w:t>
            </w:r>
          </w:p>
        </w:tc>
        <w:tc>
          <w:tcPr>
            <w:tcW w:w="1701" w:type="dxa"/>
            <w:gridSpan w:val="2"/>
            <w:tcBorders>
              <w:top w:val="single" w:sz="4" w:space="0" w:color="auto"/>
              <w:left w:val="single" w:sz="4" w:space="0" w:color="auto"/>
              <w:right w:val="single" w:sz="4" w:space="0" w:color="auto"/>
            </w:tcBorders>
            <w:vAlign w:val="center"/>
          </w:tcPr>
          <w:p w:rsidR="00AD3425" w:rsidRPr="007E0AF4" w:rsidRDefault="00AD3425" w:rsidP="001E6C97">
            <w:pPr>
              <w:pStyle w:val="a7"/>
              <w:ind w:left="0"/>
              <w:jc w:val="center"/>
              <w:rPr>
                <w:sz w:val="22"/>
              </w:rPr>
            </w:pPr>
            <w:proofErr w:type="spellStart"/>
            <w:r w:rsidRPr="007E0AF4">
              <w:rPr>
                <w:sz w:val="22"/>
              </w:rPr>
              <w:t>одиниць</w:t>
            </w:r>
            <w:proofErr w:type="spellEnd"/>
          </w:p>
        </w:tc>
        <w:tc>
          <w:tcPr>
            <w:tcW w:w="1417" w:type="dxa"/>
            <w:gridSpan w:val="2"/>
            <w:tcBorders>
              <w:top w:val="single" w:sz="4" w:space="0" w:color="auto"/>
              <w:left w:val="single" w:sz="4" w:space="0" w:color="auto"/>
            </w:tcBorders>
          </w:tcPr>
          <w:p w:rsidR="00AD3425" w:rsidRPr="007E0AF4" w:rsidRDefault="00AD3425" w:rsidP="001E6C97">
            <w:pPr>
              <w:rPr>
                <w:color w:val="000000" w:themeColor="text1"/>
                <w:sz w:val="22"/>
              </w:rPr>
            </w:pPr>
            <w:r w:rsidRPr="007E0AF4">
              <w:rPr>
                <w:color w:val="000000" w:themeColor="text1"/>
                <w:sz w:val="22"/>
              </w:rPr>
              <w:t>Вся СМТ громада.</w:t>
            </w:r>
          </w:p>
        </w:tc>
      </w:tr>
      <w:tr w:rsidR="00AD3425" w:rsidRPr="007E0AF4" w:rsidTr="00AD3425">
        <w:tc>
          <w:tcPr>
            <w:tcW w:w="2978" w:type="dxa"/>
            <w:shd w:val="clear" w:color="auto" w:fill="C6D9F1" w:themeFill="text2" w:themeFillTint="33"/>
          </w:tcPr>
          <w:p w:rsidR="00AD3425" w:rsidRPr="007E0AF4" w:rsidRDefault="00AD3425" w:rsidP="001E6C97">
            <w:pPr>
              <w:rPr>
                <w:b/>
                <w:sz w:val="22"/>
              </w:rPr>
            </w:pPr>
            <w:proofErr w:type="spellStart"/>
            <w:r w:rsidRPr="007E0AF4">
              <w:rPr>
                <w:b/>
                <w:sz w:val="22"/>
              </w:rPr>
              <w:t>Ключові</w:t>
            </w:r>
            <w:proofErr w:type="spellEnd"/>
            <w:r w:rsidRPr="007E0AF4">
              <w:rPr>
                <w:b/>
                <w:sz w:val="22"/>
              </w:rPr>
              <w:t xml:space="preserve"> заходи проекту: </w:t>
            </w:r>
          </w:p>
          <w:p w:rsidR="00AD3425" w:rsidRPr="007E0AF4" w:rsidRDefault="00AD3425" w:rsidP="001E6C97">
            <w:pPr>
              <w:pStyle w:val="a7"/>
              <w:ind w:left="0"/>
              <w:rPr>
                <w:b/>
                <w:sz w:val="22"/>
              </w:rPr>
            </w:pPr>
          </w:p>
        </w:tc>
        <w:tc>
          <w:tcPr>
            <w:tcW w:w="6945" w:type="dxa"/>
            <w:gridSpan w:val="7"/>
          </w:tcPr>
          <w:p w:rsidR="00AD3425" w:rsidRPr="007E0AF4" w:rsidRDefault="00AD3425" w:rsidP="001E6C97">
            <w:pPr>
              <w:pStyle w:val="a7"/>
              <w:ind w:left="0"/>
              <w:rPr>
                <w:sz w:val="22"/>
              </w:rPr>
            </w:pPr>
            <w:r w:rsidRPr="007E0AF4">
              <w:rPr>
                <w:sz w:val="22"/>
              </w:rPr>
              <w:t xml:space="preserve">- </w:t>
            </w:r>
            <w:proofErr w:type="spellStart"/>
            <w:r w:rsidRPr="007E0AF4">
              <w:rPr>
                <w:sz w:val="22"/>
              </w:rPr>
              <w:t>обстеження</w:t>
            </w:r>
            <w:proofErr w:type="spellEnd"/>
            <w:r w:rsidRPr="007E0AF4">
              <w:rPr>
                <w:sz w:val="22"/>
              </w:rPr>
              <w:t xml:space="preserve"> стану </w:t>
            </w:r>
            <w:proofErr w:type="spellStart"/>
            <w:r w:rsidRPr="007E0AF4">
              <w:rPr>
                <w:sz w:val="22"/>
              </w:rPr>
              <w:t>будівлі</w:t>
            </w:r>
            <w:proofErr w:type="spellEnd"/>
            <w:r w:rsidR="00901E07" w:rsidRPr="007E0AF4">
              <w:rPr>
                <w:sz w:val="22"/>
              </w:rPr>
              <w:t>.</w:t>
            </w:r>
          </w:p>
          <w:p w:rsidR="00AD3425" w:rsidRPr="007E0AF4" w:rsidRDefault="00AD3425" w:rsidP="001E6C97">
            <w:pPr>
              <w:pStyle w:val="a7"/>
              <w:ind w:left="0"/>
              <w:rPr>
                <w:sz w:val="22"/>
              </w:rPr>
            </w:pPr>
            <w:proofErr w:type="spellStart"/>
            <w:r w:rsidRPr="007E0AF4">
              <w:rPr>
                <w:color w:val="000000" w:themeColor="text1"/>
                <w:sz w:val="22"/>
              </w:rPr>
              <w:t>Проєктно-кошторисна</w:t>
            </w:r>
            <w:proofErr w:type="spellEnd"/>
            <w:r w:rsidRPr="007E0AF4">
              <w:rPr>
                <w:color w:val="000000" w:themeColor="text1"/>
                <w:sz w:val="22"/>
              </w:rPr>
              <w:t xml:space="preserve"> </w:t>
            </w:r>
            <w:proofErr w:type="spellStart"/>
            <w:r w:rsidRPr="007E0AF4">
              <w:rPr>
                <w:color w:val="000000" w:themeColor="text1"/>
                <w:sz w:val="22"/>
              </w:rPr>
              <w:t>документація</w:t>
            </w:r>
            <w:proofErr w:type="spellEnd"/>
            <w:r w:rsidRPr="007E0AF4">
              <w:rPr>
                <w:color w:val="000000" w:themeColor="text1"/>
                <w:sz w:val="22"/>
              </w:rPr>
              <w:t>.</w:t>
            </w:r>
          </w:p>
          <w:p w:rsidR="00AD3425" w:rsidRPr="007E0AF4" w:rsidRDefault="00AD3425" w:rsidP="001E6C97">
            <w:pPr>
              <w:pStyle w:val="a7"/>
              <w:ind w:left="0"/>
              <w:rPr>
                <w:sz w:val="22"/>
              </w:rPr>
            </w:pPr>
            <w:r w:rsidRPr="007E0AF4">
              <w:rPr>
                <w:sz w:val="22"/>
              </w:rPr>
              <w:t xml:space="preserve">- </w:t>
            </w:r>
            <w:proofErr w:type="spellStart"/>
            <w:r w:rsidRPr="007E0AF4">
              <w:rPr>
                <w:sz w:val="22"/>
              </w:rPr>
              <w:t>проведення</w:t>
            </w:r>
            <w:proofErr w:type="spellEnd"/>
            <w:r w:rsidRPr="007E0AF4">
              <w:rPr>
                <w:sz w:val="22"/>
              </w:rPr>
              <w:t xml:space="preserve"> </w:t>
            </w:r>
            <w:proofErr w:type="spellStart"/>
            <w:r w:rsidRPr="007E0AF4">
              <w:rPr>
                <w:sz w:val="22"/>
              </w:rPr>
              <w:t>інвентаризації</w:t>
            </w:r>
            <w:proofErr w:type="spellEnd"/>
            <w:r w:rsidRPr="007E0AF4">
              <w:rPr>
                <w:sz w:val="22"/>
              </w:rPr>
              <w:t xml:space="preserve"> </w:t>
            </w:r>
            <w:proofErr w:type="spellStart"/>
            <w:r w:rsidRPr="007E0AF4">
              <w:rPr>
                <w:sz w:val="22"/>
              </w:rPr>
              <w:t>основних</w:t>
            </w:r>
            <w:proofErr w:type="spellEnd"/>
            <w:r w:rsidRPr="007E0AF4">
              <w:rPr>
                <w:sz w:val="22"/>
              </w:rPr>
              <w:t xml:space="preserve"> </w:t>
            </w:r>
            <w:proofErr w:type="spellStart"/>
            <w:r w:rsidRPr="007E0AF4">
              <w:rPr>
                <w:sz w:val="22"/>
              </w:rPr>
              <w:t>засобів</w:t>
            </w:r>
            <w:proofErr w:type="spellEnd"/>
            <w:r w:rsidRPr="007E0AF4">
              <w:rPr>
                <w:sz w:val="22"/>
              </w:rPr>
              <w:t>;</w:t>
            </w:r>
          </w:p>
          <w:p w:rsidR="00AD3425" w:rsidRPr="007E0AF4" w:rsidRDefault="00AD3425" w:rsidP="001E6C97">
            <w:pPr>
              <w:pStyle w:val="a7"/>
              <w:ind w:left="0"/>
              <w:rPr>
                <w:color w:val="000000" w:themeColor="text1"/>
                <w:sz w:val="22"/>
              </w:rPr>
            </w:pPr>
            <w:r w:rsidRPr="007E0AF4">
              <w:rPr>
                <w:sz w:val="22"/>
              </w:rPr>
              <w:t xml:space="preserve"> - </w:t>
            </w:r>
            <w:proofErr w:type="spellStart"/>
            <w:r w:rsidRPr="007E0AF4">
              <w:rPr>
                <w:sz w:val="22"/>
              </w:rPr>
              <w:t>придбання</w:t>
            </w:r>
            <w:proofErr w:type="spellEnd"/>
            <w:r w:rsidRPr="007E0AF4">
              <w:rPr>
                <w:sz w:val="22"/>
              </w:rPr>
              <w:t xml:space="preserve"> </w:t>
            </w:r>
            <w:proofErr w:type="spellStart"/>
            <w:r w:rsidRPr="007E0AF4">
              <w:rPr>
                <w:sz w:val="22"/>
              </w:rPr>
              <w:t>технічного</w:t>
            </w:r>
            <w:proofErr w:type="spellEnd"/>
            <w:r w:rsidRPr="007E0AF4">
              <w:rPr>
                <w:sz w:val="22"/>
              </w:rPr>
              <w:t xml:space="preserve"> </w:t>
            </w:r>
            <w:proofErr w:type="spellStart"/>
            <w:proofErr w:type="gramStart"/>
            <w:r w:rsidRPr="007E0AF4">
              <w:rPr>
                <w:sz w:val="22"/>
              </w:rPr>
              <w:t>забезпечення</w:t>
            </w:r>
            <w:proofErr w:type="spellEnd"/>
            <w:r w:rsidRPr="007E0AF4">
              <w:rPr>
                <w:color w:val="FF0000"/>
                <w:sz w:val="22"/>
              </w:rPr>
              <w:t xml:space="preserve"> </w:t>
            </w:r>
            <w:r w:rsidRPr="007E0AF4">
              <w:rPr>
                <w:color w:val="000000" w:themeColor="text1"/>
                <w:sz w:val="22"/>
              </w:rPr>
              <w:t>;</w:t>
            </w:r>
            <w:proofErr w:type="gramEnd"/>
          </w:p>
          <w:p w:rsidR="00AD3425" w:rsidRPr="007E0AF4" w:rsidRDefault="00AD3425" w:rsidP="001E6C97">
            <w:pPr>
              <w:pStyle w:val="a7"/>
              <w:ind w:left="0"/>
              <w:rPr>
                <w:sz w:val="22"/>
              </w:rPr>
            </w:pPr>
            <w:r w:rsidRPr="007E0AF4">
              <w:rPr>
                <w:sz w:val="22"/>
              </w:rPr>
              <w:t>-</w:t>
            </w:r>
            <w:proofErr w:type="spellStart"/>
            <w:r w:rsidRPr="007E0AF4">
              <w:rPr>
                <w:sz w:val="22"/>
              </w:rPr>
              <w:t>придбання</w:t>
            </w:r>
            <w:proofErr w:type="spellEnd"/>
            <w:r w:rsidRPr="007E0AF4">
              <w:rPr>
                <w:sz w:val="22"/>
              </w:rPr>
              <w:t xml:space="preserve"> </w:t>
            </w:r>
            <w:proofErr w:type="spellStart"/>
            <w:r w:rsidRPr="007E0AF4">
              <w:rPr>
                <w:sz w:val="22"/>
              </w:rPr>
              <w:t>технологічного</w:t>
            </w:r>
            <w:proofErr w:type="spellEnd"/>
            <w:r w:rsidRPr="007E0AF4">
              <w:rPr>
                <w:sz w:val="22"/>
              </w:rPr>
              <w:t xml:space="preserve"> </w:t>
            </w:r>
            <w:proofErr w:type="spellStart"/>
            <w:r w:rsidRPr="007E0AF4">
              <w:rPr>
                <w:sz w:val="22"/>
              </w:rPr>
              <w:t>забезпечення</w:t>
            </w:r>
            <w:proofErr w:type="spellEnd"/>
            <w:r w:rsidRPr="007E0AF4">
              <w:rPr>
                <w:sz w:val="22"/>
              </w:rPr>
              <w:t>;</w:t>
            </w:r>
            <w:r w:rsidRPr="007E0AF4">
              <w:rPr>
                <w:color w:val="FF0000"/>
                <w:sz w:val="22"/>
              </w:rPr>
              <w:t xml:space="preserve"> </w:t>
            </w:r>
          </w:p>
          <w:p w:rsidR="00AD3425" w:rsidRPr="007E0AF4" w:rsidRDefault="00AD3425" w:rsidP="001E6C97">
            <w:pPr>
              <w:pStyle w:val="a7"/>
              <w:ind w:left="0"/>
              <w:rPr>
                <w:color w:val="FF0000"/>
                <w:sz w:val="22"/>
              </w:rPr>
            </w:pPr>
            <w:r w:rsidRPr="007E0AF4">
              <w:rPr>
                <w:color w:val="000000" w:themeColor="text1"/>
                <w:sz w:val="22"/>
              </w:rPr>
              <w:t>-</w:t>
            </w:r>
            <w:proofErr w:type="spellStart"/>
            <w:r w:rsidRPr="007E0AF4">
              <w:rPr>
                <w:color w:val="000000" w:themeColor="text1"/>
                <w:sz w:val="22"/>
              </w:rPr>
              <w:t>капітальний</w:t>
            </w:r>
            <w:proofErr w:type="spellEnd"/>
            <w:r w:rsidRPr="007E0AF4">
              <w:rPr>
                <w:color w:val="000000" w:themeColor="text1"/>
                <w:sz w:val="22"/>
              </w:rPr>
              <w:t xml:space="preserve"> ремонт, </w:t>
            </w:r>
            <w:proofErr w:type="spellStart"/>
            <w:r w:rsidRPr="007E0AF4">
              <w:rPr>
                <w:color w:val="000000" w:themeColor="text1"/>
                <w:sz w:val="22"/>
              </w:rPr>
              <w:t>ремонтні</w:t>
            </w:r>
            <w:proofErr w:type="spellEnd"/>
            <w:r w:rsidRPr="007E0AF4">
              <w:rPr>
                <w:color w:val="000000" w:themeColor="text1"/>
                <w:sz w:val="22"/>
              </w:rPr>
              <w:t xml:space="preserve"> </w:t>
            </w:r>
            <w:proofErr w:type="spellStart"/>
            <w:r w:rsidRPr="007E0AF4">
              <w:rPr>
                <w:color w:val="000000" w:themeColor="text1"/>
                <w:sz w:val="22"/>
              </w:rPr>
              <w:t>роботи</w:t>
            </w:r>
            <w:proofErr w:type="spellEnd"/>
            <w:r w:rsidRPr="007E0AF4">
              <w:rPr>
                <w:color w:val="000000" w:themeColor="text1"/>
                <w:sz w:val="22"/>
              </w:rPr>
              <w:t>.</w:t>
            </w:r>
            <w:r w:rsidRPr="007E0AF4">
              <w:rPr>
                <w:color w:val="FF0000"/>
                <w:sz w:val="22"/>
              </w:rPr>
              <w:t xml:space="preserve"> </w:t>
            </w:r>
          </w:p>
          <w:p w:rsidR="00AD3425" w:rsidRPr="007E0AF4" w:rsidRDefault="00AD3425" w:rsidP="00901E07">
            <w:pPr>
              <w:pStyle w:val="a7"/>
              <w:ind w:left="0"/>
              <w:jc w:val="left"/>
              <w:rPr>
                <w:sz w:val="22"/>
              </w:rPr>
            </w:pPr>
            <w:r w:rsidRPr="007E0AF4">
              <w:rPr>
                <w:sz w:val="22"/>
              </w:rPr>
              <w:t xml:space="preserve">- </w:t>
            </w:r>
            <w:proofErr w:type="spellStart"/>
            <w:r w:rsidRPr="007E0AF4">
              <w:rPr>
                <w:sz w:val="22"/>
              </w:rPr>
              <w:t>визначення</w:t>
            </w:r>
            <w:proofErr w:type="spellEnd"/>
            <w:r w:rsidRPr="007E0AF4">
              <w:rPr>
                <w:sz w:val="22"/>
              </w:rPr>
              <w:t xml:space="preserve"> </w:t>
            </w:r>
            <w:proofErr w:type="spellStart"/>
            <w:r w:rsidRPr="007E0AF4">
              <w:rPr>
                <w:sz w:val="22"/>
              </w:rPr>
              <w:t>кількості</w:t>
            </w:r>
            <w:proofErr w:type="spellEnd"/>
            <w:r w:rsidRPr="007E0AF4">
              <w:rPr>
                <w:sz w:val="22"/>
              </w:rPr>
              <w:t xml:space="preserve"> </w:t>
            </w:r>
            <w:proofErr w:type="spellStart"/>
            <w:r w:rsidRPr="007E0AF4">
              <w:rPr>
                <w:sz w:val="22"/>
              </w:rPr>
              <w:t>осіб</w:t>
            </w:r>
            <w:proofErr w:type="spellEnd"/>
            <w:r w:rsidRPr="007E0AF4">
              <w:rPr>
                <w:sz w:val="22"/>
              </w:rPr>
              <w:t xml:space="preserve">, </w:t>
            </w:r>
            <w:proofErr w:type="spellStart"/>
            <w:r w:rsidRPr="007E0AF4">
              <w:rPr>
                <w:sz w:val="22"/>
              </w:rPr>
              <w:t>які</w:t>
            </w:r>
            <w:proofErr w:type="spellEnd"/>
            <w:r w:rsidRPr="007E0AF4">
              <w:rPr>
                <w:sz w:val="22"/>
              </w:rPr>
              <w:t xml:space="preserve"> </w:t>
            </w:r>
            <w:proofErr w:type="spellStart"/>
            <w:r w:rsidRPr="007E0AF4">
              <w:rPr>
                <w:sz w:val="22"/>
              </w:rPr>
              <w:t>потребують</w:t>
            </w:r>
            <w:proofErr w:type="spellEnd"/>
            <w:r w:rsidRPr="007E0AF4">
              <w:rPr>
                <w:sz w:val="22"/>
              </w:rPr>
              <w:t xml:space="preserve"> </w:t>
            </w:r>
            <w:proofErr w:type="spellStart"/>
            <w:r w:rsidRPr="007E0AF4">
              <w:rPr>
                <w:sz w:val="22"/>
              </w:rPr>
              <w:t>отримання</w:t>
            </w:r>
            <w:proofErr w:type="spellEnd"/>
            <w:r w:rsidRPr="007E0AF4">
              <w:rPr>
                <w:sz w:val="22"/>
              </w:rPr>
              <w:t xml:space="preserve"> </w:t>
            </w:r>
            <w:proofErr w:type="spellStart"/>
            <w:r w:rsidRPr="007E0AF4">
              <w:rPr>
                <w:sz w:val="22"/>
              </w:rPr>
              <w:t>соціальних</w:t>
            </w:r>
            <w:proofErr w:type="spellEnd"/>
            <w:r w:rsidRPr="007E0AF4">
              <w:rPr>
                <w:sz w:val="22"/>
              </w:rPr>
              <w:t xml:space="preserve">, </w:t>
            </w:r>
            <w:proofErr w:type="spellStart"/>
            <w:r w:rsidRPr="007E0AF4">
              <w:rPr>
                <w:sz w:val="22"/>
              </w:rPr>
              <w:t>освітніх</w:t>
            </w:r>
            <w:proofErr w:type="spellEnd"/>
            <w:r w:rsidRPr="007E0AF4">
              <w:rPr>
                <w:sz w:val="22"/>
              </w:rPr>
              <w:t xml:space="preserve"> </w:t>
            </w:r>
            <w:proofErr w:type="spellStart"/>
            <w:r w:rsidRPr="007E0AF4">
              <w:rPr>
                <w:sz w:val="22"/>
              </w:rPr>
              <w:t>послуг</w:t>
            </w:r>
            <w:proofErr w:type="spellEnd"/>
            <w:r w:rsidRPr="007E0AF4">
              <w:rPr>
                <w:sz w:val="22"/>
              </w:rPr>
              <w:t xml:space="preserve"> </w:t>
            </w:r>
            <w:proofErr w:type="spellStart"/>
            <w:r w:rsidRPr="007E0AF4">
              <w:rPr>
                <w:sz w:val="22"/>
              </w:rPr>
              <w:t>від</w:t>
            </w:r>
            <w:proofErr w:type="spellEnd"/>
            <w:r w:rsidRPr="007E0AF4">
              <w:rPr>
                <w:sz w:val="22"/>
              </w:rPr>
              <w:t xml:space="preserve"> закладу </w:t>
            </w:r>
          </w:p>
          <w:p w:rsidR="00AD3425" w:rsidRPr="007E0AF4" w:rsidRDefault="00AD3425" w:rsidP="001E6C97">
            <w:pPr>
              <w:pStyle w:val="a7"/>
              <w:ind w:left="0"/>
              <w:rPr>
                <w:sz w:val="22"/>
              </w:rPr>
            </w:pPr>
            <w:r w:rsidRPr="007E0AF4">
              <w:rPr>
                <w:sz w:val="22"/>
              </w:rPr>
              <w:t xml:space="preserve">- </w:t>
            </w:r>
            <w:proofErr w:type="spellStart"/>
            <w:r w:rsidRPr="007E0AF4">
              <w:rPr>
                <w:sz w:val="22"/>
              </w:rPr>
              <w:t>організація</w:t>
            </w:r>
            <w:proofErr w:type="spellEnd"/>
            <w:r w:rsidRPr="007E0AF4">
              <w:rPr>
                <w:sz w:val="22"/>
              </w:rPr>
              <w:t xml:space="preserve"> та початок </w:t>
            </w:r>
            <w:proofErr w:type="spellStart"/>
            <w:r w:rsidRPr="007E0AF4">
              <w:rPr>
                <w:sz w:val="22"/>
              </w:rPr>
              <w:t>робочого</w:t>
            </w:r>
            <w:proofErr w:type="spellEnd"/>
            <w:r w:rsidRPr="007E0AF4">
              <w:rPr>
                <w:sz w:val="22"/>
              </w:rPr>
              <w:t xml:space="preserve"> </w:t>
            </w:r>
            <w:proofErr w:type="spellStart"/>
            <w:r w:rsidRPr="007E0AF4">
              <w:rPr>
                <w:sz w:val="22"/>
              </w:rPr>
              <w:t>процесу</w:t>
            </w:r>
            <w:proofErr w:type="spellEnd"/>
            <w:r w:rsidRPr="007E0AF4">
              <w:rPr>
                <w:sz w:val="22"/>
              </w:rPr>
              <w:t>.</w:t>
            </w:r>
          </w:p>
        </w:tc>
      </w:tr>
      <w:tr w:rsidR="00DC0E0E" w:rsidRPr="007E0AF4" w:rsidTr="00DC0E0E">
        <w:trPr>
          <w:trHeight w:val="360"/>
        </w:trPr>
        <w:tc>
          <w:tcPr>
            <w:tcW w:w="2978" w:type="dxa"/>
            <w:vMerge w:val="restart"/>
            <w:shd w:val="clear" w:color="auto" w:fill="C6D9F1" w:themeFill="text2" w:themeFillTint="33"/>
          </w:tcPr>
          <w:p w:rsidR="00AD3425" w:rsidRPr="007E0AF4" w:rsidRDefault="00AD3425" w:rsidP="001E6C97">
            <w:pPr>
              <w:pStyle w:val="a7"/>
              <w:ind w:left="0"/>
              <w:rPr>
                <w:b/>
                <w:sz w:val="22"/>
              </w:rPr>
            </w:pPr>
            <w:proofErr w:type="spellStart"/>
            <w:r w:rsidRPr="007E0AF4">
              <w:rPr>
                <w:b/>
                <w:sz w:val="22"/>
              </w:rPr>
              <w:t>Орієнтовний</w:t>
            </w:r>
            <w:proofErr w:type="spellEnd"/>
            <w:r w:rsidRPr="007E0AF4">
              <w:rPr>
                <w:b/>
                <w:sz w:val="22"/>
              </w:rPr>
              <w:t xml:space="preserve"> </w:t>
            </w:r>
            <w:proofErr w:type="spellStart"/>
            <w:r w:rsidRPr="007E0AF4">
              <w:rPr>
                <w:b/>
                <w:sz w:val="22"/>
              </w:rPr>
              <w:t>обсяг</w:t>
            </w:r>
            <w:proofErr w:type="spellEnd"/>
            <w:r w:rsidRPr="007E0AF4">
              <w:rPr>
                <w:b/>
                <w:sz w:val="22"/>
              </w:rPr>
              <w:t xml:space="preserve"> та </w:t>
            </w:r>
            <w:proofErr w:type="spellStart"/>
            <w:r w:rsidRPr="007E0AF4">
              <w:rPr>
                <w:b/>
                <w:sz w:val="22"/>
              </w:rPr>
              <w:t>джерела</w:t>
            </w:r>
            <w:proofErr w:type="spellEnd"/>
            <w:r w:rsidRPr="007E0AF4">
              <w:rPr>
                <w:b/>
                <w:sz w:val="22"/>
              </w:rPr>
              <w:t xml:space="preserve"> </w:t>
            </w:r>
            <w:proofErr w:type="spellStart"/>
            <w:r w:rsidRPr="007E0AF4">
              <w:rPr>
                <w:b/>
                <w:sz w:val="22"/>
              </w:rPr>
              <w:t>фінансування</w:t>
            </w:r>
            <w:proofErr w:type="spellEnd"/>
            <w:r w:rsidRPr="007E0AF4">
              <w:rPr>
                <w:b/>
                <w:sz w:val="22"/>
              </w:rPr>
              <w:t xml:space="preserve">, тис. грн. </w:t>
            </w:r>
          </w:p>
          <w:p w:rsidR="00AD3425" w:rsidRPr="007E0AF4" w:rsidRDefault="00AD3425" w:rsidP="001E6C97">
            <w:pPr>
              <w:pStyle w:val="a7"/>
              <w:ind w:left="0"/>
              <w:rPr>
                <w:b/>
                <w:sz w:val="22"/>
              </w:rPr>
            </w:pPr>
          </w:p>
        </w:tc>
        <w:tc>
          <w:tcPr>
            <w:tcW w:w="1559" w:type="dxa"/>
            <w:tcBorders>
              <w:bottom w:val="single" w:sz="4" w:space="0" w:color="auto"/>
              <w:right w:val="single" w:sz="4" w:space="0" w:color="auto"/>
            </w:tcBorders>
          </w:tcPr>
          <w:p w:rsidR="00AD3425" w:rsidRPr="007E0AF4" w:rsidRDefault="00AD3425" w:rsidP="001E6C97">
            <w:pPr>
              <w:pStyle w:val="a7"/>
              <w:ind w:left="0"/>
              <w:jc w:val="center"/>
              <w:rPr>
                <w:b/>
                <w:sz w:val="22"/>
              </w:rPr>
            </w:pPr>
            <w:proofErr w:type="spellStart"/>
            <w:r w:rsidRPr="007E0AF4">
              <w:rPr>
                <w:b/>
                <w:sz w:val="22"/>
              </w:rPr>
              <w:t>Державний</w:t>
            </w:r>
            <w:proofErr w:type="spellEnd"/>
            <w:r w:rsidRPr="007E0AF4">
              <w:rPr>
                <w:b/>
                <w:sz w:val="22"/>
              </w:rPr>
              <w:t xml:space="preserve"> бюджет</w:t>
            </w:r>
          </w:p>
        </w:tc>
        <w:tc>
          <w:tcPr>
            <w:tcW w:w="1276" w:type="dxa"/>
            <w:tcBorders>
              <w:bottom w:val="single" w:sz="4" w:space="0" w:color="auto"/>
              <w:right w:val="single" w:sz="4" w:space="0" w:color="auto"/>
            </w:tcBorders>
          </w:tcPr>
          <w:p w:rsidR="00AD3425" w:rsidRPr="007E0AF4" w:rsidRDefault="00AD3425" w:rsidP="001E6C97">
            <w:pPr>
              <w:pStyle w:val="a7"/>
              <w:ind w:left="0"/>
              <w:jc w:val="center"/>
              <w:rPr>
                <w:b/>
                <w:sz w:val="22"/>
              </w:rPr>
            </w:pPr>
            <w:proofErr w:type="spellStart"/>
            <w:r w:rsidRPr="007E0AF4">
              <w:rPr>
                <w:b/>
                <w:sz w:val="22"/>
              </w:rPr>
              <w:t>Місцевий</w:t>
            </w:r>
            <w:proofErr w:type="spellEnd"/>
            <w:r w:rsidRPr="007E0AF4">
              <w:rPr>
                <w:b/>
                <w:sz w:val="22"/>
              </w:rPr>
              <w:t xml:space="preserve"> бюджет</w:t>
            </w:r>
          </w:p>
        </w:tc>
        <w:tc>
          <w:tcPr>
            <w:tcW w:w="2976" w:type="dxa"/>
            <w:gridSpan w:val="4"/>
            <w:tcBorders>
              <w:left w:val="single" w:sz="4" w:space="0" w:color="auto"/>
              <w:bottom w:val="single" w:sz="4" w:space="0" w:color="auto"/>
              <w:right w:val="single" w:sz="4" w:space="0" w:color="auto"/>
            </w:tcBorders>
          </w:tcPr>
          <w:p w:rsidR="00AD3425" w:rsidRPr="007E0AF4" w:rsidRDefault="00AD3425" w:rsidP="001E6C97">
            <w:pPr>
              <w:pStyle w:val="a7"/>
              <w:ind w:left="0"/>
              <w:jc w:val="center"/>
              <w:rPr>
                <w:b/>
                <w:sz w:val="22"/>
              </w:rPr>
            </w:pPr>
            <w:proofErr w:type="spellStart"/>
            <w:r w:rsidRPr="007E0AF4">
              <w:rPr>
                <w:b/>
                <w:sz w:val="22"/>
              </w:rPr>
              <w:t>Інші</w:t>
            </w:r>
            <w:proofErr w:type="spellEnd"/>
            <w:r w:rsidRPr="007E0AF4">
              <w:rPr>
                <w:b/>
                <w:sz w:val="22"/>
              </w:rPr>
              <w:t xml:space="preserve"> </w:t>
            </w:r>
            <w:proofErr w:type="spellStart"/>
            <w:r w:rsidRPr="007E0AF4">
              <w:rPr>
                <w:b/>
                <w:sz w:val="22"/>
              </w:rPr>
              <w:t>джерела</w:t>
            </w:r>
            <w:proofErr w:type="spellEnd"/>
          </w:p>
        </w:tc>
        <w:tc>
          <w:tcPr>
            <w:tcW w:w="1134" w:type="dxa"/>
            <w:tcBorders>
              <w:left w:val="single" w:sz="4" w:space="0" w:color="auto"/>
              <w:bottom w:val="single" w:sz="4" w:space="0" w:color="auto"/>
            </w:tcBorders>
          </w:tcPr>
          <w:p w:rsidR="00AD3425" w:rsidRPr="007E0AF4" w:rsidRDefault="00AD3425" w:rsidP="001E6C97">
            <w:pPr>
              <w:pStyle w:val="a7"/>
              <w:ind w:left="0"/>
              <w:jc w:val="center"/>
              <w:rPr>
                <w:b/>
                <w:sz w:val="22"/>
              </w:rPr>
            </w:pPr>
            <w:proofErr w:type="spellStart"/>
            <w:r w:rsidRPr="007E0AF4">
              <w:rPr>
                <w:b/>
                <w:sz w:val="22"/>
              </w:rPr>
              <w:t>Всього</w:t>
            </w:r>
            <w:proofErr w:type="spellEnd"/>
          </w:p>
        </w:tc>
      </w:tr>
      <w:tr w:rsidR="00DC0E0E" w:rsidRPr="007E0AF4" w:rsidTr="00DC0E0E">
        <w:trPr>
          <w:trHeight w:val="367"/>
        </w:trPr>
        <w:tc>
          <w:tcPr>
            <w:tcW w:w="2978" w:type="dxa"/>
            <w:vMerge/>
            <w:shd w:val="clear" w:color="auto" w:fill="C6D9F1" w:themeFill="text2" w:themeFillTint="33"/>
          </w:tcPr>
          <w:p w:rsidR="00AD3425" w:rsidRPr="007E0AF4" w:rsidRDefault="00AD3425" w:rsidP="001E6C97">
            <w:pPr>
              <w:pStyle w:val="a7"/>
              <w:ind w:left="0"/>
              <w:rPr>
                <w:b/>
                <w:sz w:val="22"/>
              </w:rPr>
            </w:pPr>
          </w:p>
        </w:tc>
        <w:tc>
          <w:tcPr>
            <w:tcW w:w="1559" w:type="dxa"/>
            <w:vMerge w:val="restart"/>
            <w:tcBorders>
              <w:top w:val="single" w:sz="4" w:space="0" w:color="auto"/>
              <w:right w:val="single" w:sz="4" w:space="0" w:color="auto"/>
            </w:tcBorders>
          </w:tcPr>
          <w:p w:rsidR="00AD3425" w:rsidRPr="007E0AF4" w:rsidRDefault="00AD3425" w:rsidP="001E6C97">
            <w:pPr>
              <w:pStyle w:val="a7"/>
              <w:ind w:left="0"/>
              <w:jc w:val="center"/>
              <w:rPr>
                <w:sz w:val="22"/>
              </w:rPr>
            </w:pPr>
            <w:r w:rsidRPr="007E0AF4">
              <w:rPr>
                <w:sz w:val="22"/>
              </w:rPr>
              <w:t>35000,0</w:t>
            </w:r>
          </w:p>
        </w:tc>
        <w:tc>
          <w:tcPr>
            <w:tcW w:w="1276" w:type="dxa"/>
            <w:vMerge w:val="restart"/>
            <w:tcBorders>
              <w:top w:val="single" w:sz="4" w:space="0" w:color="auto"/>
              <w:right w:val="single" w:sz="4" w:space="0" w:color="auto"/>
            </w:tcBorders>
          </w:tcPr>
          <w:p w:rsidR="00AD3425" w:rsidRPr="007E0AF4" w:rsidRDefault="00AD3425" w:rsidP="001E6C97">
            <w:pPr>
              <w:pStyle w:val="a7"/>
              <w:ind w:left="0"/>
              <w:jc w:val="center"/>
              <w:rPr>
                <w:b/>
                <w:sz w:val="22"/>
              </w:rPr>
            </w:pPr>
            <w:r w:rsidRPr="007E0AF4">
              <w:rPr>
                <w:b/>
                <w:sz w:val="22"/>
              </w:rPr>
              <w:t>-</w:t>
            </w:r>
          </w:p>
        </w:tc>
        <w:tc>
          <w:tcPr>
            <w:tcW w:w="1134" w:type="dxa"/>
            <w:gridSpan w:val="2"/>
            <w:tcBorders>
              <w:top w:val="single" w:sz="4" w:space="0" w:color="auto"/>
              <w:left w:val="single" w:sz="4" w:space="0" w:color="auto"/>
              <w:bottom w:val="single" w:sz="4" w:space="0" w:color="auto"/>
              <w:right w:val="single" w:sz="4" w:space="0" w:color="auto"/>
            </w:tcBorders>
          </w:tcPr>
          <w:p w:rsidR="00AD3425" w:rsidRPr="007E0AF4" w:rsidRDefault="00AD3425" w:rsidP="00DC0E0E">
            <w:pPr>
              <w:pStyle w:val="a7"/>
              <w:ind w:left="0"/>
              <w:jc w:val="center"/>
              <w:rPr>
                <w:b/>
                <w:sz w:val="22"/>
              </w:rPr>
            </w:pPr>
            <w:proofErr w:type="spellStart"/>
            <w:r w:rsidRPr="007E0AF4">
              <w:rPr>
                <w:b/>
                <w:sz w:val="22"/>
              </w:rPr>
              <w:t>Обсяг</w:t>
            </w:r>
            <w:proofErr w:type="spellEnd"/>
          </w:p>
        </w:tc>
        <w:tc>
          <w:tcPr>
            <w:tcW w:w="1842" w:type="dxa"/>
            <w:gridSpan w:val="2"/>
            <w:tcBorders>
              <w:top w:val="single" w:sz="4" w:space="0" w:color="auto"/>
              <w:left w:val="single" w:sz="4" w:space="0" w:color="auto"/>
              <w:bottom w:val="single" w:sz="4" w:space="0" w:color="auto"/>
              <w:right w:val="single" w:sz="4" w:space="0" w:color="auto"/>
            </w:tcBorders>
          </w:tcPr>
          <w:p w:rsidR="00AD3425" w:rsidRPr="007E0AF4" w:rsidRDefault="00AD3425" w:rsidP="001E6C97">
            <w:pPr>
              <w:pStyle w:val="a7"/>
              <w:ind w:left="0"/>
              <w:jc w:val="center"/>
              <w:rPr>
                <w:b/>
                <w:sz w:val="22"/>
              </w:rPr>
            </w:pPr>
            <w:proofErr w:type="spellStart"/>
            <w:r w:rsidRPr="007E0AF4">
              <w:rPr>
                <w:b/>
                <w:sz w:val="22"/>
              </w:rPr>
              <w:t>Назва</w:t>
            </w:r>
            <w:proofErr w:type="spellEnd"/>
            <w:r w:rsidRPr="007E0AF4">
              <w:rPr>
                <w:b/>
                <w:sz w:val="22"/>
              </w:rPr>
              <w:t xml:space="preserve"> </w:t>
            </w:r>
            <w:proofErr w:type="spellStart"/>
            <w:r w:rsidRPr="007E0AF4">
              <w:rPr>
                <w:b/>
                <w:sz w:val="22"/>
              </w:rPr>
              <w:t>джерела</w:t>
            </w:r>
            <w:proofErr w:type="spellEnd"/>
          </w:p>
        </w:tc>
        <w:tc>
          <w:tcPr>
            <w:tcW w:w="1134" w:type="dxa"/>
            <w:vMerge w:val="restart"/>
            <w:tcBorders>
              <w:top w:val="single" w:sz="4" w:space="0" w:color="auto"/>
              <w:left w:val="single" w:sz="4" w:space="0" w:color="auto"/>
            </w:tcBorders>
          </w:tcPr>
          <w:p w:rsidR="00AD3425" w:rsidRPr="007E0AF4" w:rsidRDefault="00AD3425" w:rsidP="001E6C97">
            <w:pPr>
              <w:pStyle w:val="a7"/>
              <w:ind w:left="0"/>
              <w:jc w:val="center"/>
              <w:rPr>
                <w:sz w:val="22"/>
              </w:rPr>
            </w:pPr>
            <w:r w:rsidRPr="007E0AF4">
              <w:rPr>
                <w:sz w:val="22"/>
              </w:rPr>
              <w:t xml:space="preserve">50000,0 </w:t>
            </w:r>
          </w:p>
        </w:tc>
      </w:tr>
      <w:tr w:rsidR="00DC0E0E" w:rsidRPr="007E0AF4" w:rsidTr="00DC0E0E">
        <w:trPr>
          <w:trHeight w:val="300"/>
        </w:trPr>
        <w:tc>
          <w:tcPr>
            <w:tcW w:w="2978" w:type="dxa"/>
            <w:vMerge/>
            <w:shd w:val="clear" w:color="auto" w:fill="C6D9F1" w:themeFill="text2" w:themeFillTint="33"/>
          </w:tcPr>
          <w:p w:rsidR="00AD3425" w:rsidRPr="007E0AF4" w:rsidRDefault="00AD3425" w:rsidP="001E6C97">
            <w:pPr>
              <w:pStyle w:val="a7"/>
              <w:ind w:left="0"/>
              <w:rPr>
                <w:b/>
                <w:sz w:val="22"/>
              </w:rPr>
            </w:pPr>
          </w:p>
        </w:tc>
        <w:tc>
          <w:tcPr>
            <w:tcW w:w="1559" w:type="dxa"/>
            <w:vMerge/>
            <w:tcBorders>
              <w:right w:val="single" w:sz="4" w:space="0" w:color="auto"/>
            </w:tcBorders>
          </w:tcPr>
          <w:p w:rsidR="00AD3425" w:rsidRPr="007E0AF4" w:rsidRDefault="00AD3425" w:rsidP="001E6C97">
            <w:pPr>
              <w:pStyle w:val="a7"/>
              <w:ind w:left="0"/>
              <w:jc w:val="center"/>
              <w:rPr>
                <w:sz w:val="22"/>
              </w:rPr>
            </w:pPr>
          </w:p>
        </w:tc>
        <w:tc>
          <w:tcPr>
            <w:tcW w:w="1276" w:type="dxa"/>
            <w:vMerge/>
            <w:tcBorders>
              <w:right w:val="single" w:sz="4" w:space="0" w:color="auto"/>
            </w:tcBorders>
          </w:tcPr>
          <w:p w:rsidR="00AD3425" w:rsidRPr="007E0AF4" w:rsidRDefault="00AD3425" w:rsidP="001E6C97">
            <w:pPr>
              <w:pStyle w:val="a7"/>
              <w:ind w:left="0"/>
              <w:jc w:val="center"/>
              <w:rPr>
                <w:b/>
                <w:sz w:val="22"/>
              </w:rPr>
            </w:pPr>
          </w:p>
        </w:tc>
        <w:tc>
          <w:tcPr>
            <w:tcW w:w="1134" w:type="dxa"/>
            <w:gridSpan w:val="2"/>
            <w:tcBorders>
              <w:top w:val="single" w:sz="4" w:space="0" w:color="auto"/>
              <w:left w:val="single" w:sz="4" w:space="0" w:color="auto"/>
              <w:right w:val="single" w:sz="4" w:space="0" w:color="auto"/>
            </w:tcBorders>
          </w:tcPr>
          <w:p w:rsidR="00AD3425" w:rsidRPr="007E0AF4" w:rsidRDefault="00AD3425" w:rsidP="001E6C97">
            <w:pPr>
              <w:pStyle w:val="a7"/>
              <w:ind w:left="0"/>
              <w:jc w:val="center"/>
              <w:rPr>
                <w:sz w:val="22"/>
              </w:rPr>
            </w:pPr>
            <w:r w:rsidRPr="007E0AF4">
              <w:rPr>
                <w:sz w:val="22"/>
              </w:rPr>
              <w:t>15000,0</w:t>
            </w:r>
          </w:p>
        </w:tc>
        <w:tc>
          <w:tcPr>
            <w:tcW w:w="1842" w:type="dxa"/>
            <w:gridSpan w:val="2"/>
            <w:tcBorders>
              <w:top w:val="single" w:sz="4" w:space="0" w:color="auto"/>
              <w:left w:val="single" w:sz="4" w:space="0" w:color="auto"/>
              <w:right w:val="single" w:sz="4" w:space="0" w:color="auto"/>
            </w:tcBorders>
          </w:tcPr>
          <w:p w:rsidR="00AD3425" w:rsidRPr="007E0AF4" w:rsidRDefault="00AD3425" w:rsidP="001E6C97">
            <w:pPr>
              <w:pStyle w:val="a7"/>
              <w:ind w:left="0"/>
              <w:rPr>
                <w:sz w:val="22"/>
              </w:rPr>
            </w:pPr>
            <w:proofErr w:type="spellStart"/>
            <w:r w:rsidRPr="007E0AF4">
              <w:rPr>
                <w:sz w:val="22"/>
              </w:rPr>
              <w:t>Міжнародні</w:t>
            </w:r>
            <w:proofErr w:type="spellEnd"/>
            <w:r w:rsidRPr="007E0AF4">
              <w:rPr>
                <w:sz w:val="22"/>
              </w:rPr>
              <w:t xml:space="preserve"> </w:t>
            </w:r>
            <w:proofErr w:type="spellStart"/>
            <w:r w:rsidRPr="007E0AF4">
              <w:rPr>
                <w:sz w:val="22"/>
              </w:rPr>
              <w:t>інвестиції</w:t>
            </w:r>
            <w:proofErr w:type="spellEnd"/>
            <w:r w:rsidRPr="007E0AF4">
              <w:rPr>
                <w:sz w:val="22"/>
              </w:rPr>
              <w:t xml:space="preserve">, </w:t>
            </w:r>
            <w:proofErr w:type="spellStart"/>
            <w:r w:rsidRPr="007E0AF4">
              <w:rPr>
                <w:sz w:val="22"/>
              </w:rPr>
              <w:t>кошти</w:t>
            </w:r>
            <w:proofErr w:type="spellEnd"/>
            <w:r w:rsidRPr="007E0AF4">
              <w:rPr>
                <w:sz w:val="22"/>
              </w:rPr>
              <w:t xml:space="preserve"> </w:t>
            </w:r>
            <w:proofErr w:type="spellStart"/>
            <w:r w:rsidRPr="007E0AF4">
              <w:rPr>
                <w:sz w:val="22"/>
              </w:rPr>
              <w:t>приватних</w:t>
            </w:r>
            <w:proofErr w:type="spellEnd"/>
            <w:r w:rsidRPr="007E0AF4">
              <w:rPr>
                <w:sz w:val="22"/>
              </w:rPr>
              <w:t xml:space="preserve"> </w:t>
            </w:r>
            <w:proofErr w:type="spellStart"/>
            <w:r w:rsidRPr="007E0AF4">
              <w:rPr>
                <w:sz w:val="22"/>
              </w:rPr>
              <w:t>осіб</w:t>
            </w:r>
            <w:proofErr w:type="spellEnd"/>
          </w:p>
        </w:tc>
        <w:tc>
          <w:tcPr>
            <w:tcW w:w="1134" w:type="dxa"/>
            <w:vMerge/>
            <w:tcBorders>
              <w:left w:val="single" w:sz="4" w:space="0" w:color="auto"/>
            </w:tcBorders>
          </w:tcPr>
          <w:p w:rsidR="00AD3425" w:rsidRPr="007E0AF4" w:rsidRDefault="00AD3425" w:rsidP="001E6C97">
            <w:pPr>
              <w:pStyle w:val="a7"/>
              <w:ind w:left="0"/>
              <w:jc w:val="center"/>
              <w:rPr>
                <w:sz w:val="22"/>
              </w:rPr>
            </w:pPr>
          </w:p>
        </w:tc>
      </w:tr>
    </w:tbl>
    <w:p w:rsidR="0051104F" w:rsidRPr="007E0AF4" w:rsidRDefault="0051104F" w:rsidP="00E95FB1">
      <w:pPr>
        <w:rPr>
          <w:sz w:val="22"/>
        </w:rPr>
      </w:pPr>
    </w:p>
    <w:p w:rsidR="0051104F" w:rsidRPr="007E0AF4" w:rsidRDefault="0051104F" w:rsidP="00E95FB1">
      <w:pPr>
        <w:rPr>
          <w:sz w:val="22"/>
        </w:rPr>
      </w:pPr>
    </w:p>
    <w:tbl>
      <w:tblPr>
        <w:tblStyle w:val="af"/>
        <w:tblW w:w="0" w:type="auto"/>
        <w:tblInd w:w="-176" w:type="dxa"/>
        <w:tblLook w:val="04A0" w:firstRow="1" w:lastRow="0" w:firstColumn="1" w:lastColumn="0" w:noHBand="0" w:noVBand="1"/>
      </w:tblPr>
      <w:tblGrid>
        <w:gridCol w:w="2841"/>
        <w:gridCol w:w="1538"/>
        <w:gridCol w:w="1392"/>
        <w:gridCol w:w="653"/>
        <w:gridCol w:w="386"/>
        <w:gridCol w:w="1452"/>
        <w:gridCol w:w="1400"/>
      </w:tblGrid>
      <w:tr w:rsidR="00DC0E0E" w:rsidRPr="007E0AF4" w:rsidTr="00DC0E0E">
        <w:tc>
          <w:tcPr>
            <w:tcW w:w="2978" w:type="dxa"/>
            <w:shd w:val="clear" w:color="auto" w:fill="C6D9F1" w:themeFill="text2" w:themeFillTint="33"/>
          </w:tcPr>
          <w:p w:rsidR="00DC0E0E" w:rsidRPr="007E0AF4" w:rsidRDefault="00DC0E0E" w:rsidP="001E6C97">
            <w:pPr>
              <w:pStyle w:val="a7"/>
              <w:ind w:left="0"/>
              <w:rPr>
                <w:b/>
                <w:sz w:val="22"/>
              </w:rPr>
            </w:pPr>
            <w:r w:rsidRPr="007E0AF4">
              <w:rPr>
                <w:b/>
                <w:sz w:val="22"/>
              </w:rPr>
              <w:t xml:space="preserve">Оперативна </w:t>
            </w:r>
            <w:proofErr w:type="spellStart"/>
            <w:r w:rsidRPr="007E0AF4">
              <w:rPr>
                <w:b/>
                <w:sz w:val="22"/>
              </w:rPr>
              <w:t>ціль</w:t>
            </w:r>
            <w:proofErr w:type="spellEnd"/>
            <w:r w:rsidRPr="007E0AF4">
              <w:rPr>
                <w:b/>
                <w:sz w:val="22"/>
              </w:rPr>
              <w:t>/</w:t>
            </w:r>
            <w:proofErr w:type="spellStart"/>
            <w:r w:rsidRPr="007E0AF4">
              <w:rPr>
                <w:b/>
                <w:sz w:val="22"/>
              </w:rPr>
              <w:t>завдання</w:t>
            </w:r>
            <w:proofErr w:type="spellEnd"/>
          </w:p>
        </w:tc>
        <w:tc>
          <w:tcPr>
            <w:tcW w:w="6910" w:type="dxa"/>
            <w:gridSpan w:val="6"/>
            <w:shd w:val="clear" w:color="auto" w:fill="auto"/>
          </w:tcPr>
          <w:p w:rsidR="00DC0E0E" w:rsidRPr="007E0AF4" w:rsidRDefault="00DC0E0E" w:rsidP="001E6C97">
            <w:pPr>
              <w:pStyle w:val="a7"/>
              <w:ind w:left="0"/>
              <w:rPr>
                <w:color w:val="000000" w:themeColor="text1"/>
                <w:sz w:val="22"/>
              </w:rPr>
            </w:pPr>
            <w:proofErr w:type="spellStart"/>
            <w:r w:rsidRPr="007E0AF4">
              <w:rPr>
                <w:color w:val="000000" w:themeColor="text1"/>
                <w:sz w:val="22"/>
              </w:rPr>
              <w:t>Людський</w:t>
            </w:r>
            <w:proofErr w:type="spellEnd"/>
            <w:r w:rsidRPr="007E0AF4">
              <w:rPr>
                <w:color w:val="000000" w:themeColor="text1"/>
                <w:sz w:val="22"/>
              </w:rPr>
              <w:t xml:space="preserve"> </w:t>
            </w:r>
            <w:proofErr w:type="spellStart"/>
            <w:r w:rsidRPr="007E0AF4">
              <w:rPr>
                <w:color w:val="000000" w:themeColor="text1"/>
                <w:sz w:val="22"/>
              </w:rPr>
              <w:t>розвиток</w:t>
            </w:r>
            <w:proofErr w:type="spellEnd"/>
            <w:r w:rsidRPr="007E0AF4">
              <w:rPr>
                <w:color w:val="000000" w:themeColor="text1"/>
                <w:sz w:val="22"/>
              </w:rPr>
              <w:t xml:space="preserve"> через </w:t>
            </w:r>
            <w:proofErr w:type="spellStart"/>
            <w:r w:rsidRPr="007E0AF4">
              <w:rPr>
                <w:color w:val="000000" w:themeColor="text1"/>
                <w:sz w:val="22"/>
              </w:rPr>
              <w:t>інновації</w:t>
            </w:r>
            <w:proofErr w:type="spellEnd"/>
            <w:r w:rsidRPr="007E0AF4">
              <w:rPr>
                <w:color w:val="000000" w:themeColor="text1"/>
                <w:sz w:val="22"/>
              </w:rPr>
              <w:t xml:space="preserve"> </w:t>
            </w:r>
            <w:proofErr w:type="spellStart"/>
            <w:r w:rsidRPr="007E0AF4">
              <w:rPr>
                <w:color w:val="000000" w:themeColor="text1"/>
                <w:sz w:val="22"/>
              </w:rPr>
              <w:t>управління</w:t>
            </w:r>
            <w:proofErr w:type="spellEnd"/>
            <w:r w:rsidRPr="007E0AF4">
              <w:rPr>
                <w:color w:val="000000" w:themeColor="text1"/>
                <w:sz w:val="22"/>
              </w:rPr>
              <w:t xml:space="preserve"> та </w:t>
            </w:r>
            <w:proofErr w:type="spellStart"/>
            <w:r w:rsidRPr="007E0AF4">
              <w:rPr>
                <w:color w:val="000000" w:themeColor="text1"/>
                <w:sz w:val="22"/>
              </w:rPr>
              <w:t>довіру</w:t>
            </w:r>
            <w:proofErr w:type="spellEnd"/>
            <w:r w:rsidRPr="007E0AF4">
              <w:rPr>
                <w:color w:val="000000" w:themeColor="text1"/>
                <w:sz w:val="22"/>
              </w:rPr>
              <w:t xml:space="preserve"> до </w:t>
            </w:r>
            <w:proofErr w:type="spellStart"/>
            <w:proofErr w:type="gramStart"/>
            <w:r w:rsidRPr="007E0AF4">
              <w:rPr>
                <w:color w:val="000000" w:themeColor="text1"/>
                <w:sz w:val="22"/>
              </w:rPr>
              <w:t>влади.Формування</w:t>
            </w:r>
            <w:proofErr w:type="spellEnd"/>
            <w:proofErr w:type="gramEnd"/>
            <w:r w:rsidRPr="007E0AF4">
              <w:rPr>
                <w:color w:val="000000" w:themeColor="text1"/>
                <w:sz w:val="22"/>
              </w:rPr>
              <w:t xml:space="preserve"> </w:t>
            </w:r>
            <w:proofErr w:type="spellStart"/>
            <w:r w:rsidRPr="007E0AF4">
              <w:rPr>
                <w:color w:val="000000" w:themeColor="text1"/>
                <w:sz w:val="22"/>
              </w:rPr>
              <w:t>сучасного</w:t>
            </w:r>
            <w:proofErr w:type="spellEnd"/>
            <w:r w:rsidRPr="007E0AF4">
              <w:rPr>
                <w:color w:val="000000" w:themeColor="text1"/>
                <w:sz w:val="22"/>
              </w:rPr>
              <w:t xml:space="preserve"> </w:t>
            </w:r>
            <w:proofErr w:type="spellStart"/>
            <w:r w:rsidRPr="007E0AF4">
              <w:rPr>
                <w:color w:val="000000" w:themeColor="text1"/>
                <w:sz w:val="22"/>
              </w:rPr>
              <w:t>інклюзивного</w:t>
            </w:r>
            <w:proofErr w:type="spellEnd"/>
            <w:r w:rsidRPr="007E0AF4">
              <w:rPr>
                <w:color w:val="000000" w:themeColor="text1"/>
                <w:sz w:val="22"/>
              </w:rPr>
              <w:t xml:space="preserve"> </w:t>
            </w:r>
            <w:proofErr w:type="spellStart"/>
            <w:r w:rsidRPr="007E0AF4">
              <w:rPr>
                <w:color w:val="000000" w:themeColor="text1"/>
                <w:sz w:val="22"/>
              </w:rPr>
              <w:t>освітньо</w:t>
            </w:r>
            <w:proofErr w:type="spellEnd"/>
            <w:r w:rsidRPr="007E0AF4">
              <w:rPr>
                <w:color w:val="000000" w:themeColor="text1"/>
                <w:sz w:val="22"/>
              </w:rPr>
              <w:t xml:space="preserve">-культурного та спортивного простору для </w:t>
            </w:r>
            <w:proofErr w:type="spellStart"/>
            <w:r w:rsidRPr="007E0AF4">
              <w:rPr>
                <w:color w:val="000000" w:themeColor="text1"/>
                <w:sz w:val="22"/>
              </w:rPr>
              <w:t>розвитку</w:t>
            </w:r>
            <w:proofErr w:type="spellEnd"/>
            <w:r w:rsidRPr="007E0AF4">
              <w:rPr>
                <w:color w:val="000000" w:themeColor="text1"/>
                <w:sz w:val="22"/>
              </w:rPr>
              <w:t>.</w:t>
            </w:r>
          </w:p>
        </w:tc>
      </w:tr>
      <w:tr w:rsidR="00DC0E0E" w:rsidRPr="007E0AF4" w:rsidTr="00DC0E0E">
        <w:tc>
          <w:tcPr>
            <w:tcW w:w="2978" w:type="dxa"/>
            <w:shd w:val="clear" w:color="auto" w:fill="C6D9F1" w:themeFill="text2" w:themeFillTint="33"/>
          </w:tcPr>
          <w:p w:rsidR="00DC0E0E" w:rsidRPr="007E0AF4" w:rsidRDefault="00DC0E0E" w:rsidP="001E6C97">
            <w:pPr>
              <w:pStyle w:val="a7"/>
              <w:ind w:left="0"/>
              <w:rPr>
                <w:b/>
                <w:sz w:val="22"/>
              </w:rPr>
            </w:pPr>
            <w:proofErr w:type="spellStart"/>
            <w:r w:rsidRPr="007E0AF4">
              <w:rPr>
                <w:b/>
                <w:sz w:val="22"/>
              </w:rPr>
              <w:t>Назва</w:t>
            </w:r>
            <w:proofErr w:type="spellEnd"/>
            <w:r w:rsidRPr="007E0AF4">
              <w:rPr>
                <w:b/>
                <w:sz w:val="22"/>
              </w:rPr>
              <w:t xml:space="preserve"> проекту:</w:t>
            </w:r>
          </w:p>
        </w:tc>
        <w:tc>
          <w:tcPr>
            <w:tcW w:w="6910" w:type="dxa"/>
            <w:gridSpan w:val="6"/>
          </w:tcPr>
          <w:p w:rsidR="00DC0E0E" w:rsidRPr="007E0AF4" w:rsidRDefault="00DC0E0E" w:rsidP="001E6C97">
            <w:pPr>
              <w:pStyle w:val="a7"/>
              <w:ind w:left="0"/>
              <w:rPr>
                <w:sz w:val="22"/>
              </w:rPr>
            </w:pPr>
            <w:proofErr w:type="spellStart"/>
            <w:r w:rsidRPr="007E0AF4">
              <w:rPr>
                <w:sz w:val="22"/>
              </w:rPr>
              <w:t>Капітальний</w:t>
            </w:r>
            <w:proofErr w:type="spellEnd"/>
            <w:r w:rsidRPr="007E0AF4">
              <w:rPr>
                <w:sz w:val="22"/>
              </w:rPr>
              <w:t xml:space="preserve"> ремонт </w:t>
            </w:r>
            <w:proofErr w:type="spellStart"/>
            <w:r w:rsidRPr="007E0AF4">
              <w:rPr>
                <w:sz w:val="22"/>
              </w:rPr>
              <w:t>теплиці</w:t>
            </w:r>
            <w:proofErr w:type="spellEnd"/>
            <w:r w:rsidRPr="007E0AF4">
              <w:rPr>
                <w:sz w:val="22"/>
              </w:rPr>
              <w:t xml:space="preserve"> </w:t>
            </w:r>
            <w:proofErr w:type="spellStart"/>
            <w:r w:rsidRPr="007E0AF4">
              <w:rPr>
                <w:sz w:val="22"/>
              </w:rPr>
              <w:t>комунального</w:t>
            </w:r>
            <w:proofErr w:type="spellEnd"/>
            <w:r w:rsidRPr="007E0AF4">
              <w:rPr>
                <w:sz w:val="22"/>
              </w:rPr>
              <w:t xml:space="preserve"> закладу </w:t>
            </w:r>
            <w:proofErr w:type="spellStart"/>
            <w:r w:rsidRPr="007E0AF4">
              <w:rPr>
                <w:sz w:val="22"/>
              </w:rPr>
              <w:t>Гімназії</w:t>
            </w:r>
            <w:proofErr w:type="spellEnd"/>
            <w:r w:rsidRPr="007E0AF4">
              <w:rPr>
                <w:sz w:val="22"/>
              </w:rPr>
              <w:t xml:space="preserve"> № 20 </w:t>
            </w:r>
            <w:proofErr w:type="spellStart"/>
            <w:r w:rsidRPr="007E0AF4">
              <w:rPr>
                <w:sz w:val="22"/>
              </w:rPr>
              <w:t>міста</w:t>
            </w:r>
            <w:proofErr w:type="spellEnd"/>
            <w:r w:rsidRPr="007E0AF4">
              <w:rPr>
                <w:color w:val="FF0000"/>
                <w:sz w:val="22"/>
              </w:rPr>
              <w:t xml:space="preserve"> </w:t>
            </w:r>
            <w:proofErr w:type="spellStart"/>
            <w:r w:rsidRPr="007E0AF4">
              <w:rPr>
                <w:color w:val="000000" w:themeColor="text1"/>
                <w:sz w:val="22"/>
              </w:rPr>
              <w:t>Сєвєродонецька</w:t>
            </w:r>
            <w:proofErr w:type="spellEnd"/>
            <w:r w:rsidRPr="007E0AF4">
              <w:rPr>
                <w:color w:val="FF0000"/>
                <w:sz w:val="22"/>
              </w:rPr>
              <w:t xml:space="preserve"> </w:t>
            </w:r>
            <w:proofErr w:type="spellStart"/>
            <w:r w:rsidRPr="007E0AF4">
              <w:rPr>
                <w:sz w:val="22"/>
              </w:rPr>
              <w:t>Луганської</w:t>
            </w:r>
            <w:proofErr w:type="spellEnd"/>
            <w:r w:rsidRPr="007E0AF4">
              <w:rPr>
                <w:sz w:val="22"/>
              </w:rPr>
              <w:t xml:space="preserve"> </w:t>
            </w:r>
            <w:proofErr w:type="spellStart"/>
            <w:r w:rsidRPr="007E0AF4">
              <w:rPr>
                <w:sz w:val="22"/>
              </w:rPr>
              <w:t>області</w:t>
            </w:r>
            <w:proofErr w:type="spellEnd"/>
            <w:r w:rsidRPr="007E0AF4">
              <w:rPr>
                <w:sz w:val="22"/>
              </w:rPr>
              <w:t xml:space="preserve">, </w:t>
            </w:r>
            <w:proofErr w:type="spellStart"/>
            <w:r w:rsidRPr="007E0AF4">
              <w:rPr>
                <w:sz w:val="22"/>
              </w:rPr>
              <w:t>Сєвєродонецького</w:t>
            </w:r>
            <w:proofErr w:type="spellEnd"/>
            <w:r w:rsidRPr="007E0AF4">
              <w:rPr>
                <w:sz w:val="22"/>
              </w:rPr>
              <w:t xml:space="preserve"> району, за </w:t>
            </w:r>
            <w:proofErr w:type="spellStart"/>
            <w:r w:rsidRPr="007E0AF4">
              <w:rPr>
                <w:sz w:val="22"/>
              </w:rPr>
              <w:t>адресою</w:t>
            </w:r>
            <w:proofErr w:type="spellEnd"/>
            <w:r w:rsidRPr="007E0AF4">
              <w:rPr>
                <w:sz w:val="22"/>
              </w:rPr>
              <w:t xml:space="preserve">: </w:t>
            </w:r>
            <w:proofErr w:type="spellStart"/>
            <w:r w:rsidRPr="007E0AF4">
              <w:rPr>
                <w:sz w:val="22"/>
              </w:rPr>
              <w:t>місто</w:t>
            </w:r>
            <w:proofErr w:type="spellEnd"/>
            <w:r w:rsidRPr="007E0AF4">
              <w:rPr>
                <w:sz w:val="22"/>
              </w:rPr>
              <w:t xml:space="preserve"> </w:t>
            </w:r>
            <w:proofErr w:type="spellStart"/>
            <w:r w:rsidRPr="007E0AF4">
              <w:rPr>
                <w:sz w:val="22"/>
              </w:rPr>
              <w:t>Сєвєродонецьк</w:t>
            </w:r>
            <w:proofErr w:type="spellEnd"/>
            <w:r w:rsidRPr="007E0AF4">
              <w:rPr>
                <w:sz w:val="22"/>
              </w:rPr>
              <w:t xml:space="preserve">, </w:t>
            </w:r>
            <w:proofErr w:type="spellStart"/>
            <w:r w:rsidRPr="007E0AF4">
              <w:rPr>
                <w:sz w:val="22"/>
              </w:rPr>
              <w:t>вул</w:t>
            </w:r>
            <w:proofErr w:type="spellEnd"/>
            <w:r w:rsidRPr="007E0AF4">
              <w:rPr>
                <w:sz w:val="22"/>
              </w:rPr>
              <w:t xml:space="preserve">. </w:t>
            </w:r>
            <w:proofErr w:type="spellStart"/>
            <w:r w:rsidRPr="007E0AF4">
              <w:rPr>
                <w:sz w:val="22"/>
              </w:rPr>
              <w:t>Гагаріна</w:t>
            </w:r>
            <w:proofErr w:type="spellEnd"/>
            <w:r w:rsidRPr="007E0AF4">
              <w:rPr>
                <w:sz w:val="22"/>
              </w:rPr>
              <w:t>, буд.113.</w:t>
            </w:r>
          </w:p>
        </w:tc>
      </w:tr>
      <w:tr w:rsidR="00DC0E0E" w:rsidRPr="007E0AF4" w:rsidTr="00DC0E0E">
        <w:tc>
          <w:tcPr>
            <w:tcW w:w="2978" w:type="dxa"/>
            <w:shd w:val="clear" w:color="auto" w:fill="C6D9F1" w:themeFill="text2" w:themeFillTint="33"/>
          </w:tcPr>
          <w:p w:rsidR="00DC0E0E" w:rsidRPr="007E0AF4" w:rsidRDefault="00DC0E0E" w:rsidP="001E6C97">
            <w:pPr>
              <w:rPr>
                <w:b/>
                <w:sz w:val="22"/>
              </w:rPr>
            </w:pPr>
            <w:proofErr w:type="spellStart"/>
            <w:r w:rsidRPr="007E0AF4">
              <w:rPr>
                <w:b/>
                <w:sz w:val="22"/>
              </w:rPr>
              <w:t>Ціль</w:t>
            </w:r>
            <w:proofErr w:type="spellEnd"/>
            <w:r w:rsidRPr="007E0AF4">
              <w:rPr>
                <w:b/>
                <w:sz w:val="22"/>
              </w:rPr>
              <w:t xml:space="preserve"> проекту</w:t>
            </w:r>
          </w:p>
        </w:tc>
        <w:tc>
          <w:tcPr>
            <w:tcW w:w="6910" w:type="dxa"/>
            <w:gridSpan w:val="6"/>
          </w:tcPr>
          <w:p w:rsidR="00DC0E0E" w:rsidRPr="007E0AF4" w:rsidRDefault="00DC0E0E" w:rsidP="001E6C97">
            <w:pPr>
              <w:pStyle w:val="a7"/>
              <w:ind w:left="0"/>
              <w:rPr>
                <w:sz w:val="22"/>
              </w:rPr>
            </w:pPr>
            <w:proofErr w:type="spellStart"/>
            <w:r w:rsidRPr="007E0AF4">
              <w:rPr>
                <w:sz w:val="22"/>
              </w:rPr>
              <w:t>Відновити</w:t>
            </w:r>
            <w:proofErr w:type="spellEnd"/>
            <w:r w:rsidRPr="007E0AF4">
              <w:rPr>
                <w:sz w:val="22"/>
              </w:rPr>
              <w:t xml:space="preserve"> та </w:t>
            </w:r>
            <w:proofErr w:type="spellStart"/>
            <w:r w:rsidRPr="007E0AF4">
              <w:rPr>
                <w:sz w:val="22"/>
              </w:rPr>
              <w:t>покращити</w:t>
            </w:r>
            <w:proofErr w:type="spellEnd"/>
            <w:r w:rsidRPr="007E0AF4">
              <w:rPr>
                <w:sz w:val="22"/>
              </w:rPr>
              <w:t xml:space="preserve"> роботу </w:t>
            </w:r>
            <w:proofErr w:type="spellStart"/>
            <w:r w:rsidRPr="007E0AF4">
              <w:rPr>
                <w:sz w:val="22"/>
              </w:rPr>
              <w:t>комунального</w:t>
            </w:r>
            <w:proofErr w:type="spellEnd"/>
            <w:r w:rsidRPr="007E0AF4">
              <w:rPr>
                <w:sz w:val="22"/>
              </w:rPr>
              <w:t xml:space="preserve"> закладу </w:t>
            </w:r>
            <w:proofErr w:type="spellStart"/>
            <w:r w:rsidRPr="007E0AF4">
              <w:rPr>
                <w:sz w:val="22"/>
              </w:rPr>
              <w:t>Гімназії</w:t>
            </w:r>
            <w:proofErr w:type="spellEnd"/>
            <w:r w:rsidRPr="007E0AF4">
              <w:rPr>
                <w:sz w:val="22"/>
              </w:rPr>
              <w:t xml:space="preserve"> № 20 для </w:t>
            </w:r>
            <w:proofErr w:type="spellStart"/>
            <w:r w:rsidRPr="007E0AF4">
              <w:rPr>
                <w:sz w:val="22"/>
              </w:rPr>
              <w:t>надання</w:t>
            </w:r>
            <w:proofErr w:type="spellEnd"/>
            <w:r w:rsidRPr="007E0AF4">
              <w:rPr>
                <w:sz w:val="22"/>
              </w:rPr>
              <w:t xml:space="preserve"> широкого спектру </w:t>
            </w:r>
            <w:proofErr w:type="spellStart"/>
            <w:r w:rsidRPr="007E0AF4">
              <w:rPr>
                <w:sz w:val="22"/>
              </w:rPr>
              <w:t>послуг</w:t>
            </w:r>
            <w:proofErr w:type="spellEnd"/>
            <w:r w:rsidRPr="007E0AF4">
              <w:rPr>
                <w:sz w:val="22"/>
              </w:rPr>
              <w:t xml:space="preserve">, </w:t>
            </w:r>
            <w:proofErr w:type="spellStart"/>
            <w:r w:rsidRPr="007E0AF4">
              <w:rPr>
                <w:sz w:val="22"/>
              </w:rPr>
              <w:t>пов’язаних</w:t>
            </w:r>
            <w:proofErr w:type="spellEnd"/>
            <w:r w:rsidRPr="007E0AF4">
              <w:rPr>
                <w:sz w:val="22"/>
              </w:rPr>
              <w:t xml:space="preserve"> </w:t>
            </w:r>
            <w:proofErr w:type="spellStart"/>
            <w:r w:rsidRPr="007E0AF4">
              <w:rPr>
                <w:sz w:val="22"/>
              </w:rPr>
              <w:t>із</w:t>
            </w:r>
            <w:proofErr w:type="spellEnd"/>
            <w:r w:rsidRPr="007E0AF4">
              <w:rPr>
                <w:sz w:val="22"/>
              </w:rPr>
              <w:t xml:space="preserve"> </w:t>
            </w:r>
            <w:proofErr w:type="spellStart"/>
            <w:r w:rsidRPr="007E0AF4">
              <w:rPr>
                <w:sz w:val="22"/>
              </w:rPr>
              <w:t>освітньою</w:t>
            </w:r>
            <w:proofErr w:type="spellEnd"/>
            <w:r w:rsidRPr="007E0AF4">
              <w:rPr>
                <w:sz w:val="22"/>
              </w:rPr>
              <w:t xml:space="preserve"> </w:t>
            </w:r>
            <w:proofErr w:type="spellStart"/>
            <w:r w:rsidRPr="007E0AF4">
              <w:rPr>
                <w:sz w:val="22"/>
              </w:rPr>
              <w:t>діяльністю</w:t>
            </w:r>
            <w:proofErr w:type="spellEnd"/>
            <w:r w:rsidRPr="007E0AF4">
              <w:rPr>
                <w:sz w:val="22"/>
              </w:rPr>
              <w:t xml:space="preserve"> та </w:t>
            </w:r>
            <w:proofErr w:type="spellStart"/>
            <w:r w:rsidRPr="007E0AF4">
              <w:rPr>
                <w:sz w:val="22"/>
              </w:rPr>
              <w:t>задоволення</w:t>
            </w:r>
            <w:proofErr w:type="spellEnd"/>
            <w:r w:rsidRPr="007E0AF4">
              <w:rPr>
                <w:sz w:val="22"/>
              </w:rPr>
              <w:t xml:space="preserve"> потреб </w:t>
            </w:r>
            <w:proofErr w:type="spellStart"/>
            <w:r w:rsidRPr="007E0AF4">
              <w:rPr>
                <w:sz w:val="22"/>
              </w:rPr>
              <w:t>мешканців</w:t>
            </w:r>
            <w:proofErr w:type="spellEnd"/>
            <w:r w:rsidRPr="007E0AF4">
              <w:rPr>
                <w:sz w:val="22"/>
              </w:rPr>
              <w:t xml:space="preserve"> </w:t>
            </w:r>
            <w:proofErr w:type="spellStart"/>
            <w:r w:rsidRPr="007E0AF4">
              <w:rPr>
                <w:sz w:val="22"/>
              </w:rPr>
              <w:t>Сєвєродонецької</w:t>
            </w:r>
            <w:proofErr w:type="spellEnd"/>
            <w:r w:rsidRPr="007E0AF4">
              <w:rPr>
                <w:sz w:val="22"/>
              </w:rPr>
              <w:t xml:space="preserve"> </w:t>
            </w:r>
            <w:proofErr w:type="spellStart"/>
            <w:r w:rsidRPr="007E0AF4">
              <w:rPr>
                <w:sz w:val="22"/>
              </w:rPr>
              <w:t>міської</w:t>
            </w:r>
            <w:proofErr w:type="spellEnd"/>
            <w:r w:rsidRPr="007E0AF4">
              <w:rPr>
                <w:sz w:val="22"/>
              </w:rPr>
              <w:t xml:space="preserve"> </w:t>
            </w:r>
            <w:proofErr w:type="spellStart"/>
            <w:r w:rsidRPr="007E0AF4">
              <w:rPr>
                <w:sz w:val="22"/>
              </w:rPr>
              <w:t>територіальної</w:t>
            </w:r>
            <w:proofErr w:type="spellEnd"/>
            <w:r w:rsidRPr="007E0AF4">
              <w:rPr>
                <w:sz w:val="22"/>
              </w:rPr>
              <w:t xml:space="preserve"> </w:t>
            </w:r>
            <w:proofErr w:type="spellStart"/>
            <w:r w:rsidRPr="007E0AF4">
              <w:rPr>
                <w:sz w:val="22"/>
              </w:rPr>
              <w:t>громади</w:t>
            </w:r>
            <w:proofErr w:type="spellEnd"/>
            <w:r w:rsidRPr="007E0AF4">
              <w:rPr>
                <w:sz w:val="22"/>
              </w:rPr>
              <w:t xml:space="preserve"> у </w:t>
            </w:r>
            <w:proofErr w:type="spellStart"/>
            <w:r w:rsidRPr="007E0AF4">
              <w:rPr>
                <w:sz w:val="22"/>
              </w:rPr>
              <w:t>необхідних</w:t>
            </w:r>
            <w:proofErr w:type="spellEnd"/>
            <w:r w:rsidRPr="007E0AF4">
              <w:rPr>
                <w:sz w:val="22"/>
              </w:rPr>
              <w:t xml:space="preserve"> </w:t>
            </w:r>
            <w:proofErr w:type="spellStart"/>
            <w:r w:rsidRPr="007E0AF4">
              <w:rPr>
                <w:sz w:val="22"/>
              </w:rPr>
              <w:t>послугах</w:t>
            </w:r>
            <w:proofErr w:type="spellEnd"/>
            <w:r w:rsidRPr="007E0AF4">
              <w:rPr>
                <w:sz w:val="22"/>
              </w:rPr>
              <w:t>.</w:t>
            </w:r>
          </w:p>
        </w:tc>
      </w:tr>
      <w:tr w:rsidR="00DC0E0E" w:rsidRPr="007E0AF4" w:rsidTr="00DC0E0E">
        <w:tc>
          <w:tcPr>
            <w:tcW w:w="2978" w:type="dxa"/>
            <w:shd w:val="clear" w:color="auto" w:fill="C6D9F1" w:themeFill="text2" w:themeFillTint="33"/>
          </w:tcPr>
          <w:p w:rsidR="00DC0E0E" w:rsidRPr="007E0AF4" w:rsidRDefault="00DC0E0E" w:rsidP="001E6C97">
            <w:pPr>
              <w:pStyle w:val="a7"/>
              <w:ind w:left="0"/>
              <w:rPr>
                <w:b/>
                <w:sz w:val="22"/>
              </w:rPr>
            </w:pPr>
            <w:proofErr w:type="spellStart"/>
            <w:r w:rsidRPr="007E0AF4">
              <w:rPr>
                <w:b/>
                <w:sz w:val="22"/>
              </w:rPr>
              <w:t>Територія</w:t>
            </w:r>
            <w:proofErr w:type="spellEnd"/>
            <w:r w:rsidRPr="007E0AF4">
              <w:rPr>
                <w:b/>
                <w:sz w:val="22"/>
              </w:rPr>
              <w:t xml:space="preserve">, </w:t>
            </w:r>
            <w:proofErr w:type="gramStart"/>
            <w:r w:rsidRPr="007E0AF4">
              <w:rPr>
                <w:b/>
                <w:sz w:val="22"/>
              </w:rPr>
              <w:t>на яку</w:t>
            </w:r>
            <w:proofErr w:type="gramEnd"/>
            <w:r w:rsidRPr="007E0AF4">
              <w:rPr>
                <w:b/>
                <w:sz w:val="22"/>
              </w:rPr>
              <w:t xml:space="preserve"> </w:t>
            </w:r>
            <w:proofErr w:type="spellStart"/>
            <w:r w:rsidRPr="007E0AF4">
              <w:rPr>
                <w:b/>
                <w:sz w:val="22"/>
              </w:rPr>
              <w:t>матиме</w:t>
            </w:r>
            <w:proofErr w:type="spellEnd"/>
            <w:r w:rsidRPr="007E0AF4">
              <w:rPr>
                <w:b/>
                <w:sz w:val="22"/>
              </w:rPr>
              <w:t xml:space="preserve"> </w:t>
            </w:r>
            <w:proofErr w:type="spellStart"/>
            <w:r w:rsidRPr="007E0AF4">
              <w:rPr>
                <w:b/>
                <w:sz w:val="22"/>
              </w:rPr>
              <w:t>вплив</w:t>
            </w:r>
            <w:proofErr w:type="spellEnd"/>
            <w:r w:rsidRPr="007E0AF4">
              <w:rPr>
                <w:b/>
                <w:sz w:val="22"/>
              </w:rPr>
              <w:t xml:space="preserve"> </w:t>
            </w:r>
            <w:proofErr w:type="spellStart"/>
            <w:r w:rsidRPr="007E0AF4">
              <w:rPr>
                <w:b/>
                <w:sz w:val="22"/>
              </w:rPr>
              <w:t>реалізація</w:t>
            </w:r>
            <w:proofErr w:type="spellEnd"/>
            <w:r w:rsidRPr="007E0AF4">
              <w:rPr>
                <w:b/>
                <w:sz w:val="22"/>
              </w:rPr>
              <w:t xml:space="preserve"> проекту</w:t>
            </w:r>
          </w:p>
        </w:tc>
        <w:tc>
          <w:tcPr>
            <w:tcW w:w="6910" w:type="dxa"/>
            <w:gridSpan w:val="6"/>
          </w:tcPr>
          <w:p w:rsidR="00DC0E0E" w:rsidRPr="007E0AF4" w:rsidRDefault="00DC0E0E" w:rsidP="001E6C97">
            <w:pPr>
              <w:pStyle w:val="a7"/>
              <w:ind w:left="0"/>
              <w:rPr>
                <w:sz w:val="22"/>
              </w:rPr>
            </w:pPr>
            <w:proofErr w:type="spellStart"/>
            <w:r w:rsidRPr="007E0AF4">
              <w:rPr>
                <w:sz w:val="22"/>
              </w:rPr>
              <w:t>Сєвєродонецька</w:t>
            </w:r>
            <w:proofErr w:type="spellEnd"/>
            <w:r w:rsidRPr="007E0AF4">
              <w:rPr>
                <w:sz w:val="22"/>
              </w:rPr>
              <w:t xml:space="preserve"> </w:t>
            </w:r>
            <w:proofErr w:type="spellStart"/>
            <w:r w:rsidRPr="007E0AF4">
              <w:rPr>
                <w:sz w:val="22"/>
              </w:rPr>
              <w:t>міська</w:t>
            </w:r>
            <w:proofErr w:type="spellEnd"/>
            <w:r w:rsidRPr="007E0AF4">
              <w:rPr>
                <w:sz w:val="22"/>
              </w:rPr>
              <w:t xml:space="preserve"> </w:t>
            </w:r>
            <w:proofErr w:type="spellStart"/>
            <w:r w:rsidRPr="007E0AF4">
              <w:rPr>
                <w:sz w:val="22"/>
              </w:rPr>
              <w:t>територіальна</w:t>
            </w:r>
            <w:proofErr w:type="spellEnd"/>
            <w:r w:rsidRPr="007E0AF4">
              <w:rPr>
                <w:sz w:val="22"/>
              </w:rPr>
              <w:t xml:space="preserve"> громада</w:t>
            </w:r>
          </w:p>
        </w:tc>
      </w:tr>
      <w:tr w:rsidR="00DC0E0E" w:rsidRPr="007E0AF4" w:rsidTr="00DC0E0E">
        <w:tc>
          <w:tcPr>
            <w:tcW w:w="2978" w:type="dxa"/>
            <w:shd w:val="clear" w:color="auto" w:fill="C6D9F1" w:themeFill="text2" w:themeFillTint="33"/>
          </w:tcPr>
          <w:p w:rsidR="00DC0E0E" w:rsidRPr="007E0AF4" w:rsidRDefault="00DC0E0E" w:rsidP="001E6C97">
            <w:pPr>
              <w:pStyle w:val="a7"/>
              <w:ind w:left="0"/>
              <w:rPr>
                <w:b/>
                <w:sz w:val="22"/>
              </w:rPr>
            </w:pPr>
            <w:proofErr w:type="spellStart"/>
            <w:r w:rsidRPr="007E0AF4">
              <w:rPr>
                <w:b/>
                <w:sz w:val="22"/>
              </w:rPr>
              <w:t>Чисельність</w:t>
            </w:r>
            <w:proofErr w:type="spellEnd"/>
            <w:r w:rsidRPr="007E0AF4">
              <w:rPr>
                <w:b/>
                <w:sz w:val="22"/>
              </w:rPr>
              <w:t xml:space="preserve"> </w:t>
            </w:r>
            <w:proofErr w:type="spellStart"/>
            <w:r w:rsidRPr="007E0AF4">
              <w:rPr>
                <w:b/>
                <w:sz w:val="22"/>
              </w:rPr>
              <w:t>населення</w:t>
            </w:r>
            <w:proofErr w:type="spellEnd"/>
            <w:r w:rsidRPr="007E0AF4">
              <w:rPr>
                <w:b/>
                <w:sz w:val="22"/>
              </w:rPr>
              <w:t xml:space="preserve">, на яке </w:t>
            </w:r>
            <w:proofErr w:type="spellStart"/>
            <w:r w:rsidRPr="007E0AF4">
              <w:rPr>
                <w:b/>
                <w:sz w:val="22"/>
              </w:rPr>
              <w:t>матиме</w:t>
            </w:r>
            <w:proofErr w:type="spellEnd"/>
            <w:r w:rsidRPr="007E0AF4">
              <w:rPr>
                <w:b/>
                <w:sz w:val="22"/>
              </w:rPr>
              <w:t xml:space="preserve"> </w:t>
            </w:r>
            <w:proofErr w:type="spellStart"/>
            <w:r w:rsidRPr="007E0AF4">
              <w:rPr>
                <w:b/>
                <w:sz w:val="22"/>
              </w:rPr>
              <w:t>вплив</w:t>
            </w:r>
            <w:proofErr w:type="spellEnd"/>
            <w:r w:rsidRPr="007E0AF4">
              <w:rPr>
                <w:b/>
                <w:sz w:val="22"/>
              </w:rPr>
              <w:t xml:space="preserve"> </w:t>
            </w:r>
            <w:proofErr w:type="spellStart"/>
            <w:r w:rsidRPr="007E0AF4">
              <w:rPr>
                <w:b/>
                <w:sz w:val="22"/>
              </w:rPr>
              <w:t>реалізація</w:t>
            </w:r>
            <w:proofErr w:type="spellEnd"/>
            <w:r w:rsidRPr="007E0AF4">
              <w:rPr>
                <w:b/>
                <w:sz w:val="22"/>
              </w:rPr>
              <w:t xml:space="preserve"> проекту</w:t>
            </w:r>
          </w:p>
        </w:tc>
        <w:tc>
          <w:tcPr>
            <w:tcW w:w="6910" w:type="dxa"/>
            <w:gridSpan w:val="6"/>
          </w:tcPr>
          <w:p w:rsidR="00DC0E0E" w:rsidRPr="007E0AF4" w:rsidRDefault="00DC0E0E" w:rsidP="001E6C97">
            <w:pPr>
              <w:pStyle w:val="a7"/>
              <w:ind w:left="0"/>
              <w:rPr>
                <w:sz w:val="22"/>
              </w:rPr>
            </w:pPr>
            <w:r w:rsidRPr="007E0AF4">
              <w:rPr>
                <w:sz w:val="22"/>
              </w:rPr>
              <w:t xml:space="preserve"> 70 000 </w:t>
            </w:r>
            <w:proofErr w:type="spellStart"/>
            <w:r w:rsidRPr="007E0AF4">
              <w:rPr>
                <w:sz w:val="22"/>
              </w:rPr>
              <w:t>осіб</w:t>
            </w:r>
            <w:proofErr w:type="spellEnd"/>
          </w:p>
        </w:tc>
      </w:tr>
      <w:tr w:rsidR="00DC0E0E" w:rsidRPr="007E0AF4" w:rsidTr="00DC0E0E">
        <w:tc>
          <w:tcPr>
            <w:tcW w:w="2978" w:type="dxa"/>
            <w:shd w:val="clear" w:color="auto" w:fill="C6D9F1" w:themeFill="text2" w:themeFillTint="33"/>
          </w:tcPr>
          <w:p w:rsidR="00DC0E0E" w:rsidRPr="007E0AF4" w:rsidRDefault="00DC0E0E" w:rsidP="001E6C97">
            <w:pPr>
              <w:rPr>
                <w:b/>
                <w:sz w:val="22"/>
              </w:rPr>
            </w:pPr>
            <w:proofErr w:type="spellStart"/>
            <w:r w:rsidRPr="007E0AF4">
              <w:rPr>
                <w:b/>
                <w:sz w:val="22"/>
              </w:rPr>
              <w:lastRenderedPageBreak/>
              <w:t>Опис</w:t>
            </w:r>
            <w:proofErr w:type="spellEnd"/>
            <w:r w:rsidRPr="007E0AF4">
              <w:rPr>
                <w:b/>
                <w:sz w:val="22"/>
              </w:rPr>
              <w:t xml:space="preserve"> </w:t>
            </w:r>
            <w:proofErr w:type="spellStart"/>
            <w:r w:rsidRPr="007E0AF4">
              <w:rPr>
                <w:b/>
                <w:sz w:val="22"/>
              </w:rPr>
              <w:t>проблеми</w:t>
            </w:r>
            <w:proofErr w:type="spellEnd"/>
            <w:r w:rsidRPr="007E0AF4">
              <w:rPr>
                <w:b/>
                <w:sz w:val="22"/>
              </w:rPr>
              <w:t xml:space="preserve">, на </w:t>
            </w:r>
            <w:proofErr w:type="spellStart"/>
            <w:r w:rsidRPr="007E0AF4">
              <w:rPr>
                <w:b/>
                <w:sz w:val="22"/>
              </w:rPr>
              <w:t>вирішення</w:t>
            </w:r>
            <w:proofErr w:type="spellEnd"/>
            <w:r w:rsidRPr="007E0AF4">
              <w:rPr>
                <w:b/>
                <w:sz w:val="22"/>
              </w:rPr>
              <w:t xml:space="preserve"> </w:t>
            </w:r>
            <w:proofErr w:type="spellStart"/>
            <w:proofErr w:type="gramStart"/>
            <w:r w:rsidRPr="007E0AF4">
              <w:rPr>
                <w:b/>
                <w:sz w:val="22"/>
              </w:rPr>
              <w:t>якої</w:t>
            </w:r>
            <w:proofErr w:type="spellEnd"/>
            <w:r w:rsidRPr="007E0AF4">
              <w:rPr>
                <w:b/>
                <w:sz w:val="22"/>
              </w:rPr>
              <w:t xml:space="preserve">  </w:t>
            </w:r>
            <w:proofErr w:type="spellStart"/>
            <w:r w:rsidRPr="007E0AF4">
              <w:rPr>
                <w:b/>
                <w:sz w:val="22"/>
              </w:rPr>
              <w:t>спрямований</w:t>
            </w:r>
            <w:proofErr w:type="spellEnd"/>
            <w:proofErr w:type="gramEnd"/>
            <w:r w:rsidRPr="007E0AF4">
              <w:rPr>
                <w:b/>
                <w:sz w:val="22"/>
              </w:rPr>
              <w:t xml:space="preserve"> проект</w:t>
            </w:r>
          </w:p>
        </w:tc>
        <w:tc>
          <w:tcPr>
            <w:tcW w:w="6910" w:type="dxa"/>
            <w:gridSpan w:val="6"/>
          </w:tcPr>
          <w:p w:rsidR="00DC0E0E" w:rsidRPr="007E0AF4" w:rsidRDefault="00DC0E0E" w:rsidP="001E6C97">
            <w:pPr>
              <w:rPr>
                <w:sz w:val="22"/>
              </w:rPr>
            </w:pPr>
            <w:r w:rsidRPr="007E0AF4">
              <w:rPr>
                <w:sz w:val="22"/>
              </w:rPr>
              <w:t xml:space="preserve">Через </w:t>
            </w:r>
            <w:proofErr w:type="spellStart"/>
            <w:r w:rsidRPr="007E0AF4">
              <w:rPr>
                <w:sz w:val="22"/>
              </w:rPr>
              <w:t>військову</w:t>
            </w:r>
            <w:proofErr w:type="spellEnd"/>
            <w:r w:rsidRPr="007E0AF4">
              <w:rPr>
                <w:sz w:val="22"/>
              </w:rPr>
              <w:t xml:space="preserve"> </w:t>
            </w:r>
            <w:proofErr w:type="spellStart"/>
            <w:r w:rsidRPr="007E0AF4">
              <w:rPr>
                <w:sz w:val="22"/>
              </w:rPr>
              <w:t>агресію</w:t>
            </w:r>
            <w:proofErr w:type="spellEnd"/>
            <w:r w:rsidRPr="007E0AF4">
              <w:rPr>
                <w:sz w:val="22"/>
              </w:rPr>
              <w:t xml:space="preserve"> РФ </w:t>
            </w:r>
            <w:proofErr w:type="spellStart"/>
            <w:r w:rsidRPr="007E0AF4">
              <w:rPr>
                <w:sz w:val="22"/>
              </w:rPr>
              <w:t>територія</w:t>
            </w:r>
            <w:proofErr w:type="spellEnd"/>
            <w:r w:rsidRPr="007E0AF4">
              <w:rPr>
                <w:sz w:val="22"/>
              </w:rPr>
              <w:t xml:space="preserve"> </w:t>
            </w:r>
            <w:proofErr w:type="spellStart"/>
            <w:r w:rsidRPr="007E0AF4">
              <w:rPr>
                <w:sz w:val="22"/>
              </w:rPr>
              <w:t>Сєвєродонецької</w:t>
            </w:r>
            <w:proofErr w:type="spellEnd"/>
            <w:r w:rsidRPr="007E0AF4">
              <w:rPr>
                <w:sz w:val="22"/>
              </w:rPr>
              <w:t xml:space="preserve"> </w:t>
            </w:r>
            <w:proofErr w:type="spellStart"/>
            <w:r w:rsidRPr="007E0AF4">
              <w:rPr>
                <w:sz w:val="22"/>
              </w:rPr>
              <w:t>міської</w:t>
            </w:r>
            <w:proofErr w:type="spellEnd"/>
            <w:r w:rsidRPr="007E0AF4">
              <w:rPr>
                <w:sz w:val="22"/>
              </w:rPr>
              <w:t xml:space="preserve"> </w:t>
            </w:r>
            <w:proofErr w:type="spellStart"/>
            <w:r w:rsidRPr="007E0AF4">
              <w:rPr>
                <w:sz w:val="22"/>
              </w:rPr>
              <w:t>територіальної</w:t>
            </w:r>
            <w:proofErr w:type="spellEnd"/>
            <w:r w:rsidRPr="007E0AF4">
              <w:rPr>
                <w:sz w:val="22"/>
              </w:rPr>
              <w:t xml:space="preserve"> </w:t>
            </w:r>
            <w:proofErr w:type="spellStart"/>
            <w:r w:rsidRPr="007E0AF4">
              <w:rPr>
                <w:sz w:val="22"/>
              </w:rPr>
              <w:t>громади</w:t>
            </w:r>
            <w:proofErr w:type="spellEnd"/>
            <w:r w:rsidRPr="007E0AF4">
              <w:rPr>
                <w:sz w:val="22"/>
              </w:rPr>
              <w:t xml:space="preserve"> </w:t>
            </w:r>
            <w:proofErr w:type="spellStart"/>
            <w:r w:rsidRPr="007E0AF4">
              <w:rPr>
                <w:sz w:val="22"/>
              </w:rPr>
              <w:t>зазнала</w:t>
            </w:r>
            <w:proofErr w:type="spellEnd"/>
            <w:r w:rsidRPr="007E0AF4">
              <w:rPr>
                <w:sz w:val="22"/>
              </w:rPr>
              <w:t xml:space="preserve"> </w:t>
            </w:r>
            <w:proofErr w:type="spellStart"/>
            <w:r w:rsidRPr="007E0AF4">
              <w:rPr>
                <w:sz w:val="22"/>
              </w:rPr>
              <w:t>значних</w:t>
            </w:r>
            <w:proofErr w:type="spellEnd"/>
            <w:r w:rsidRPr="007E0AF4">
              <w:rPr>
                <w:sz w:val="22"/>
              </w:rPr>
              <w:t xml:space="preserve"> </w:t>
            </w:r>
            <w:proofErr w:type="spellStart"/>
            <w:r w:rsidRPr="007E0AF4">
              <w:rPr>
                <w:sz w:val="22"/>
              </w:rPr>
              <w:t>пошкоджень</w:t>
            </w:r>
            <w:proofErr w:type="spellEnd"/>
            <w:r w:rsidRPr="007E0AF4">
              <w:rPr>
                <w:sz w:val="22"/>
              </w:rPr>
              <w:t xml:space="preserve">. Не </w:t>
            </w:r>
            <w:proofErr w:type="spellStart"/>
            <w:r w:rsidRPr="007E0AF4">
              <w:rPr>
                <w:sz w:val="22"/>
              </w:rPr>
              <w:t>оминуло</w:t>
            </w:r>
            <w:proofErr w:type="spellEnd"/>
            <w:r w:rsidRPr="007E0AF4">
              <w:rPr>
                <w:sz w:val="22"/>
              </w:rPr>
              <w:t xml:space="preserve"> це і </w:t>
            </w:r>
            <w:proofErr w:type="spellStart"/>
            <w:r w:rsidRPr="007E0AF4">
              <w:rPr>
                <w:sz w:val="22"/>
              </w:rPr>
              <w:t>Гімназію</w:t>
            </w:r>
            <w:proofErr w:type="spellEnd"/>
            <w:r w:rsidRPr="007E0AF4">
              <w:rPr>
                <w:sz w:val="22"/>
              </w:rPr>
              <w:t xml:space="preserve"> № 20.</w:t>
            </w:r>
          </w:p>
          <w:p w:rsidR="00DC0E0E" w:rsidRPr="007E0AF4" w:rsidRDefault="00DC0E0E" w:rsidP="001E6C97">
            <w:pPr>
              <w:rPr>
                <w:sz w:val="22"/>
              </w:rPr>
            </w:pPr>
            <w:r w:rsidRPr="007E0AF4">
              <w:rPr>
                <w:sz w:val="22"/>
              </w:rPr>
              <w:t xml:space="preserve">Вся </w:t>
            </w:r>
            <w:proofErr w:type="spellStart"/>
            <w:r w:rsidRPr="007E0AF4">
              <w:rPr>
                <w:sz w:val="22"/>
              </w:rPr>
              <w:t>матеріально-технічна</w:t>
            </w:r>
            <w:proofErr w:type="spellEnd"/>
            <w:r w:rsidRPr="007E0AF4">
              <w:rPr>
                <w:sz w:val="22"/>
              </w:rPr>
              <w:t xml:space="preserve"> база </w:t>
            </w:r>
            <w:proofErr w:type="spellStart"/>
            <w:r w:rsidRPr="007E0AF4">
              <w:rPr>
                <w:sz w:val="22"/>
              </w:rPr>
              <w:t>теплиці</w:t>
            </w:r>
            <w:proofErr w:type="spellEnd"/>
            <w:r w:rsidRPr="007E0AF4">
              <w:rPr>
                <w:sz w:val="22"/>
              </w:rPr>
              <w:t xml:space="preserve"> закладу, </w:t>
            </w:r>
            <w:proofErr w:type="spellStart"/>
            <w:r w:rsidRPr="007E0AF4">
              <w:rPr>
                <w:sz w:val="22"/>
              </w:rPr>
              <w:t>зокрема</w:t>
            </w:r>
            <w:proofErr w:type="spellEnd"/>
            <w:r w:rsidRPr="007E0AF4">
              <w:rPr>
                <w:sz w:val="22"/>
              </w:rPr>
              <w:t>:</w:t>
            </w:r>
          </w:p>
          <w:p w:rsidR="00DC0E0E" w:rsidRPr="007E0AF4" w:rsidRDefault="00DC0E0E" w:rsidP="00263FC1">
            <w:pPr>
              <w:pStyle w:val="a7"/>
              <w:numPr>
                <w:ilvl w:val="0"/>
                <w:numId w:val="107"/>
              </w:numPr>
              <w:ind w:left="317" w:hanging="284"/>
              <w:jc w:val="left"/>
              <w:rPr>
                <w:color w:val="FF0000"/>
                <w:sz w:val="22"/>
              </w:rPr>
            </w:pPr>
            <w:proofErr w:type="spellStart"/>
            <w:r w:rsidRPr="007E0AF4">
              <w:rPr>
                <w:sz w:val="22"/>
              </w:rPr>
              <w:t>Обладнення</w:t>
            </w:r>
            <w:proofErr w:type="spellEnd"/>
            <w:r w:rsidRPr="007E0AF4">
              <w:rPr>
                <w:sz w:val="22"/>
              </w:rPr>
              <w:t xml:space="preserve"> (</w:t>
            </w:r>
            <w:proofErr w:type="spellStart"/>
            <w:r w:rsidRPr="007E0AF4">
              <w:rPr>
                <w:sz w:val="22"/>
              </w:rPr>
              <w:t>устаткування</w:t>
            </w:r>
            <w:proofErr w:type="spellEnd"/>
            <w:r w:rsidRPr="007E0AF4">
              <w:rPr>
                <w:sz w:val="22"/>
              </w:rPr>
              <w:t>):</w:t>
            </w:r>
            <w:r w:rsidR="00263FC1" w:rsidRPr="007E0AF4">
              <w:rPr>
                <w:sz w:val="22"/>
              </w:rPr>
              <w:t xml:space="preserve"> </w:t>
            </w:r>
            <w:proofErr w:type="spellStart"/>
            <w:r w:rsidRPr="007E0AF4">
              <w:rPr>
                <w:sz w:val="22"/>
              </w:rPr>
              <w:t>внутрішння</w:t>
            </w:r>
            <w:proofErr w:type="spellEnd"/>
            <w:r w:rsidRPr="007E0AF4">
              <w:rPr>
                <w:sz w:val="22"/>
              </w:rPr>
              <w:t xml:space="preserve"> система</w:t>
            </w:r>
            <w:r w:rsidRPr="007E0AF4">
              <w:rPr>
                <w:color w:val="FF0000"/>
                <w:sz w:val="22"/>
              </w:rPr>
              <w:t xml:space="preserve"> </w:t>
            </w:r>
            <w:proofErr w:type="spellStart"/>
            <w:r w:rsidRPr="007E0AF4">
              <w:rPr>
                <w:sz w:val="22"/>
              </w:rPr>
              <w:t>опалювання</w:t>
            </w:r>
            <w:proofErr w:type="spellEnd"/>
            <w:r w:rsidRPr="007E0AF4">
              <w:rPr>
                <w:sz w:val="22"/>
              </w:rPr>
              <w:t>,</w:t>
            </w:r>
            <w:r w:rsidRPr="007E0AF4">
              <w:rPr>
                <w:color w:val="FF0000"/>
                <w:sz w:val="22"/>
              </w:rPr>
              <w:t xml:space="preserve"> </w:t>
            </w:r>
            <w:proofErr w:type="spellStart"/>
            <w:r w:rsidRPr="007E0AF4">
              <w:rPr>
                <w:color w:val="000000" w:themeColor="text1"/>
                <w:sz w:val="22"/>
              </w:rPr>
              <w:t>внутрішня</w:t>
            </w:r>
            <w:proofErr w:type="spellEnd"/>
            <w:r w:rsidRPr="007E0AF4">
              <w:rPr>
                <w:color w:val="000000" w:themeColor="text1"/>
                <w:sz w:val="22"/>
              </w:rPr>
              <w:t xml:space="preserve"> система </w:t>
            </w:r>
            <w:proofErr w:type="spellStart"/>
            <w:r w:rsidRPr="007E0AF4">
              <w:rPr>
                <w:color w:val="000000" w:themeColor="text1"/>
                <w:sz w:val="22"/>
              </w:rPr>
              <w:t>водопостачання</w:t>
            </w:r>
            <w:proofErr w:type="spellEnd"/>
            <w:r w:rsidRPr="007E0AF4">
              <w:rPr>
                <w:color w:val="FF0000"/>
                <w:sz w:val="22"/>
              </w:rPr>
              <w:t xml:space="preserve"> </w:t>
            </w:r>
            <w:r w:rsidRPr="007E0AF4">
              <w:rPr>
                <w:color w:val="000000" w:themeColor="text1"/>
                <w:sz w:val="22"/>
              </w:rPr>
              <w:t xml:space="preserve">і </w:t>
            </w:r>
            <w:proofErr w:type="spellStart"/>
            <w:r w:rsidRPr="007E0AF4">
              <w:rPr>
                <w:color w:val="000000" w:themeColor="text1"/>
                <w:sz w:val="22"/>
              </w:rPr>
              <w:t>водовідведення</w:t>
            </w:r>
            <w:proofErr w:type="spellEnd"/>
            <w:r w:rsidRPr="007E0AF4">
              <w:rPr>
                <w:color w:val="000000" w:themeColor="text1"/>
                <w:sz w:val="22"/>
              </w:rPr>
              <w:t>,</w:t>
            </w:r>
            <w:r w:rsidR="00263FC1" w:rsidRPr="007E0AF4">
              <w:rPr>
                <w:color w:val="000000" w:themeColor="text1"/>
                <w:sz w:val="22"/>
              </w:rPr>
              <w:t xml:space="preserve"> </w:t>
            </w:r>
            <w:proofErr w:type="spellStart"/>
            <w:r w:rsidRPr="007E0AF4">
              <w:rPr>
                <w:color w:val="000000" w:themeColor="text1"/>
                <w:sz w:val="22"/>
              </w:rPr>
              <w:t>внутрішня</w:t>
            </w:r>
            <w:proofErr w:type="spellEnd"/>
            <w:r w:rsidRPr="007E0AF4">
              <w:rPr>
                <w:color w:val="000000" w:themeColor="text1"/>
                <w:sz w:val="22"/>
              </w:rPr>
              <w:t xml:space="preserve"> система </w:t>
            </w:r>
            <w:proofErr w:type="spellStart"/>
            <w:r w:rsidRPr="007E0AF4">
              <w:rPr>
                <w:color w:val="000000" w:themeColor="text1"/>
                <w:sz w:val="22"/>
              </w:rPr>
              <w:t>освітлення</w:t>
            </w:r>
            <w:proofErr w:type="spellEnd"/>
            <w:r w:rsidRPr="007E0AF4">
              <w:rPr>
                <w:color w:val="000000" w:themeColor="text1"/>
                <w:sz w:val="22"/>
              </w:rPr>
              <w:t>,</w:t>
            </w:r>
            <w:r w:rsidRPr="007E0AF4">
              <w:rPr>
                <w:color w:val="FF0000"/>
                <w:sz w:val="22"/>
              </w:rPr>
              <w:t xml:space="preserve"> </w:t>
            </w:r>
            <w:proofErr w:type="spellStart"/>
            <w:r w:rsidRPr="007E0AF4">
              <w:rPr>
                <w:color w:val="000000" w:themeColor="text1"/>
                <w:sz w:val="22"/>
              </w:rPr>
              <w:t>вікна</w:t>
            </w:r>
            <w:proofErr w:type="spellEnd"/>
            <w:r w:rsidRPr="007E0AF4">
              <w:rPr>
                <w:color w:val="000000" w:themeColor="text1"/>
                <w:sz w:val="22"/>
              </w:rPr>
              <w:t xml:space="preserve"> і </w:t>
            </w:r>
            <w:proofErr w:type="spellStart"/>
            <w:proofErr w:type="gramStart"/>
            <w:r w:rsidRPr="007E0AF4">
              <w:rPr>
                <w:color w:val="000000" w:themeColor="text1"/>
                <w:sz w:val="22"/>
              </w:rPr>
              <w:t>двері,покрівля</w:t>
            </w:r>
            <w:proofErr w:type="spellEnd"/>
            <w:proofErr w:type="gramEnd"/>
            <w:r w:rsidRPr="007E0AF4">
              <w:rPr>
                <w:color w:val="000000" w:themeColor="text1"/>
                <w:sz w:val="22"/>
              </w:rPr>
              <w:t>,</w:t>
            </w:r>
            <w:r w:rsidR="00263FC1" w:rsidRPr="007E0AF4">
              <w:rPr>
                <w:color w:val="000000" w:themeColor="text1"/>
                <w:sz w:val="22"/>
              </w:rPr>
              <w:t xml:space="preserve"> </w:t>
            </w:r>
            <w:r w:rsidRPr="007E0AF4">
              <w:rPr>
                <w:color w:val="000000" w:themeColor="text1"/>
                <w:sz w:val="22"/>
              </w:rPr>
              <w:t xml:space="preserve">система </w:t>
            </w:r>
            <w:proofErr w:type="spellStart"/>
            <w:r w:rsidRPr="007E0AF4">
              <w:rPr>
                <w:color w:val="000000" w:themeColor="text1"/>
                <w:sz w:val="22"/>
              </w:rPr>
              <w:t>відеоспостереження</w:t>
            </w:r>
            <w:proofErr w:type="spellEnd"/>
            <w:r w:rsidRPr="007E0AF4">
              <w:rPr>
                <w:color w:val="000000" w:themeColor="text1"/>
                <w:sz w:val="22"/>
              </w:rPr>
              <w:t>,</w:t>
            </w:r>
            <w:r w:rsidR="00263FC1" w:rsidRPr="007E0AF4">
              <w:rPr>
                <w:color w:val="000000" w:themeColor="text1"/>
                <w:sz w:val="22"/>
              </w:rPr>
              <w:t xml:space="preserve"> </w:t>
            </w:r>
            <w:proofErr w:type="spellStart"/>
            <w:r w:rsidRPr="007E0AF4">
              <w:rPr>
                <w:color w:val="000000" w:themeColor="text1"/>
                <w:sz w:val="22"/>
              </w:rPr>
              <w:t>зовнішне</w:t>
            </w:r>
            <w:proofErr w:type="spellEnd"/>
            <w:r w:rsidRPr="007E0AF4">
              <w:rPr>
                <w:color w:val="000000" w:themeColor="text1"/>
                <w:sz w:val="22"/>
              </w:rPr>
              <w:t xml:space="preserve"> </w:t>
            </w:r>
            <w:proofErr w:type="spellStart"/>
            <w:r w:rsidRPr="007E0AF4">
              <w:rPr>
                <w:color w:val="000000" w:themeColor="text1"/>
                <w:sz w:val="22"/>
              </w:rPr>
              <w:t>термоутеплення</w:t>
            </w:r>
            <w:proofErr w:type="spellEnd"/>
            <w:r w:rsidRPr="007E0AF4">
              <w:rPr>
                <w:color w:val="000000" w:themeColor="text1"/>
                <w:sz w:val="22"/>
              </w:rPr>
              <w:t>,</w:t>
            </w:r>
            <w:r w:rsidRPr="007E0AF4">
              <w:rPr>
                <w:color w:val="FF0000"/>
                <w:sz w:val="22"/>
              </w:rPr>
              <w:t xml:space="preserve"> </w:t>
            </w:r>
            <w:proofErr w:type="spellStart"/>
            <w:r w:rsidRPr="007E0AF4">
              <w:rPr>
                <w:sz w:val="22"/>
              </w:rPr>
              <w:t>сонячна</w:t>
            </w:r>
            <w:proofErr w:type="spellEnd"/>
            <w:r w:rsidRPr="007E0AF4">
              <w:rPr>
                <w:sz w:val="22"/>
              </w:rPr>
              <w:t xml:space="preserve"> </w:t>
            </w:r>
            <w:proofErr w:type="spellStart"/>
            <w:r w:rsidRPr="007E0AF4">
              <w:rPr>
                <w:sz w:val="22"/>
              </w:rPr>
              <w:t>електростанція</w:t>
            </w:r>
            <w:proofErr w:type="spellEnd"/>
            <w:r w:rsidRPr="007E0AF4">
              <w:rPr>
                <w:sz w:val="22"/>
              </w:rPr>
              <w:t>.</w:t>
            </w:r>
          </w:p>
          <w:p w:rsidR="00DC0E0E" w:rsidRPr="007E0AF4" w:rsidRDefault="00DC0E0E" w:rsidP="001E6C97">
            <w:pPr>
              <w:pStyle w:val="13"/>
              <w:jc w:val="both"/>
              <w:rPr>
                <w:sz w:val="22"/>
              </w:rPr>
            </w:pPr>
            <w:r w:rsidRPr="007E0AF4">
              <w:rPr>
                <w:rFonts w:eastAsia="Arial"/>
                <w:sz w:val="22"/>
                <w:lang w:val="uk-UA"/>
              </w:rPr>
              <w:t xml:space="preserve">Для відбудови та сталого розвитку громади потрібне відновлення роботи комунального закладу Гімназії № 20. Мешканці громади потребують в отриманні якісних освітніх послуг, які відповідають нормам сучасності. </w:t>
            </w:r>
          </w:p>
        </w:tc>
      </w:tr>
      <w:tr w:rsidR="00DC0E0E" w:rsidRPr="007E0AF4" w:rsidTr="00DC0E0E">
        <w:tc>
          <w:tcPr>
            <w:tcW w:w="2978" w:type="dxa"/>
            <w:shd w:val="clear" w:color="auto" w:fill="C6D9F1" w:themeFill="text2" w:themeFillTint="33"/>
          </w:tcPr>
          <w:p w:rsidR="00DC0E0E" w:rsidRPr="007E0AF4" w:rsidRDefault="00DC0E0E" w:rsidP="001E6C97">
            <w:pPr>
              <w:pStyle w:val="a7"/>
              <w:ind w:left="0"/>
              <w:rPr>
                <w:b/>
                <w:sz w:val="22"/>
              </w:rPr>
            </w:pPr>
            <w:proofErr w:type="spellStart"/>
            <w:r w:rsidRPr="007E0AF4">
              <w:rPr>
                <w:b/>
                <w:sz w:val="22"/>
              </w:rPr>
              <w:t>Очікувані</w:t>
            </w:r>
            <w:proofErr w:type="spellEnd"/>
            <w:r w:rsidRPr="007E0AF4">
              <w:rPr>
                <w:b/>
                <w:sz w:val="22"/>
              </w:rPr>
              <w:t xml:space="preserve"> </w:t>
            </w:r>
            <w:proofErr w:type="spellStart"/>
            <w:r w:rsidRPr="007E0AF4">
              <w:rPr>
                <w:b/>
                <w:sz w:val="22"/>
              </w:rPr>
              <w:t>якісні</w:t>
            </w:r>
            <w:proofErr w:type="spellEnd"/>
            <w:r w:rsidRPr="007E0AF4">
              <w:rPr>
                <w:b/>
                <w:sz w:val="22"/>
              </w:rPr>
              <w:t xml:space="preserve"> </w:t>
            </w:r>
            <w:proofErr w:type="spellStart"/>
            <w:r w:rsidRPr="007E0AF4">
              <w:rPr>
                <w:b/>
                <w:sz w:val="22"/>
              </w:rPr>
              <w:t>результати</w:t>
            </w:r>
            <w:proofErr w:type="spellEnd"/>
            <w:r w:rsidRPr="007E0AF4">
              <w:rPr>
                <w:b/>
                <w:sz w:val="22"/>
              </w:rPr>
              <w:t xml:space="preserve"> </w:t>
            </w:r>
            <w:proofErr w:type="spellStart"/>
            <w:r w:rsidRPr="007E0AF4">
              <w:rPr>
                <w:b/>
                <w:sz w:val="22"/>
              </w:rPr>
              <w:t>від</w:t>
            </w:r>
            <w:proofErr w:type="spellEnd"/>
            <w:r w:rsidRPr="007E0AF4">
              <w:rPr>
                <w:b/>
                <w:sz w:val="22"/>
              </w:rPr>
              <w:t xml:space="preserve"> </w:t>
            </w:r>
            <w:proofErr w:type="spellStart"/>
            <w:r w:rsidRPr="007E0AF4">
              <w:rPr>
                <w:b/>
                <w:sz w:val="22"/>
              </w:rPr>
              <w:t>реалізації</w:t>
            </w:r>
            <w:proofErr w:type="spellEnd"/>
            <w:r w:rsidRPr="007E0AF4">
              <w:rPr>
                <w:b/>
                <w:sz w:val="22"/>
              </w:rPr>
              <w:t xml:space="preserve"> проекту</w:t>
            </w:r>
          </w:p>
        </w:tc>
        <w:tc>
          <w:tcPr>
            <w:tcW w:w="6910" w:type="dxa"/>
            <w:gridSpan w:val="6"/>
          </w:tcPr>
          <w:p w:rsidR="00DC0E0E" w:rsidRPr="007E0AF4" w:rsidRDefault="00DC0E0E" w:rsidP="001E6C97">
            <w:pPr>
              <w:pStyle w:val="a7"/>
              <w:ind w:left="0"/>
              <w:rPr>
                <w:sz w:val="22"/>
              </w:rPr>
            </w:pPr>
            <w:r w:rsidRPr="007E0AF4">
              <w:rPr>
                <w:sz w:val="22"/>
              </w:rPr>
              <w:t xml:space="preserve">- </w:t>
            </w:r>
            <w:proofErr w:type="spellStart"/>
            <w:r w:rsidRPr="007E0AF4">
              <w:rPr>
                <w:sz w:val="22"/>
              </w:rPr>
              <w:t>забезпечення</w:t>
            </w:r>
            <w:proofErr w:type="spellEnd"/>
            <w:r w:rsidRPr="007E0AF4">
              <w:rPr>
                <w:sz w:val="22"/>
              </w:rPr>
              <w:t xml:space="preserve"> </w:t>
            </w:r>
            <w:proofErr w:type="spellStart"/>
            <w:r w:rsidRPr="007E0AF4">
              <w:rPr>
                <w:sz w:val="22"/>
              </w:rPr>
              <w:t>населення</w:t>
            </w:r>
            <w:proofErr w:type="spellEnd"/>
            <w:r w:rsidRPr="007E0AF4">
              <w:rPr>
                <w:sz w:val="22"/>
              </w:rPr>
              <w:t xml:space="preserve"> </w:t>
            </w:r>
            <w:proofErr w:type="spellStart"/>
            <w:r w:rsidRPr="007E0AF4">
              <w:rPr>
                <w:sz w:val="22"/>
              </w:rPr>
              <w:t>можливостями</w:t>
            </w:r>
            <w:proofErr w:type="spellEnd"/>
            <w:r w:rsidRPr="007E0AF4">
              <w:rPr>
                <w:sz w:val="22"/>
              </w:rPr>
              <w:t xml:space="preserve"> для </w:t>
            </w:r>
            <w:proofErr w:type="spellStart"/>
            <w:r w:rsidRPr="007E0AF4">
              <w:rPr>
                <w:sz w:val="22"/>
              </w:rPr>
              <w:t>реалізації</w:t>
            </w:r>
            <w:proofErr w:type="spellEnd"/>
            <w:r w:rsidRPr="007E0AF4">
              <w:rPr>
                <w:sz w:val="22"/>
              </w:rPr>
              <w:t xml:space="preserve"> </w:t>
            </w:r>
            <w:proofErr w:type="spellStart"/>
            <w:r w:rsidRPr="007E0AF4">
              <w:rPr>
                <w:sz w:val="22"/>
              </w:rPr>
              <w:t>його</w:t>
            </w:r>
            <w:proofErr w:type="spellEnd"/>
            <w:r w:rsidRPr="007E0AF4">
              <w:rPr>
                <w:sz w:val="22"/>
              </w:rPr>
              <w:t xml:space="preserve"> </w:t>
            </w:r>
            <w:proofErr w:type="spellStart"/>
            <w:r w:rsidRPr="007E0AF4">
              <w:rPr>
                <w:sz w:val="22"/>
              </w:rPr>
              <w:t>конституційних</w:t>
            </w:r>
            <w:proofErr w:type="spellEnd"/>
            <w:r w:rsidRPr="007E0AF4">
              <w:rPr>
                <w:sz w:val="22"/>
              </w:rPr>
              <w:t xml:space="preserve"> прав, </w:t>
            </w:r>
            <w:proofErr w:type="spellStart"/>
            <w:r w:rsidRPr="007E0AF4">
              <w:rPr>
                <w:sz w:val="22"/>
              </w:rPr>
              <w:t>пов’язаних</w:t>
            </w:r>
            <w:proofErr w:type="spellEnd"/>
            <w:r w:rsidRPr="007E0AF4">
              <w:rPr>
                <w:sz w:val="22"/>
              </w:rPr>
              <w:t xml:space="preserve"> </w:t>
            </w:r>
            <w:proofErr w:type="spellStart"/>
            <w:r w:rsidRPr="007E0AF4">
              <w:rPr>
                <w:sz w:val="22"/>
              </w:rPr>
              <w:t>із</w:t>
            </w:r>
            <w:proofErr w:type="spellEnd"/>
            <w:r w:rsidRPr="007E0AF4">
              <w:rPr>
                <w:sz w:val="22"/>
              </w:rPr>
              <w:t xml:space="preserve"> правом на </w:t>
            </w:r>
            <w:proofErr w:type="spellStart"/>
            <w:r w:rsidRPr="007E0AF4">
              <w:rPr>
                <w:sz w:val="22"/>
              </w:rPr>
              <w:t>освіту</w:t>
            </w:r>
            <w:proofErr w:type="spellEnd"/>
            <w:r w:rsidRPr="007E0AF4">
              <w:rPr>
                <w:sz w:val="22"/>
              </w:rPr>
              <w:t xml:space="preserve">, </w:t>
            </w:r>
            <w:proofErr w:type="spellStart"/>
            <w:r w:rsidRPr="007E0AF4">
              <w:rPr>
                <w:sz w:val="22"/>
              </w:rPr>
              <w:t>екологічним</w:t>
            </w:r>
            <w:proofErr w:type="spellEnd"/>
            <w:r w:rsidRPr="007E0AF4">
              <w:rPr>
                <w:sz w:val="22"/>
              </w:rPr>
              <w:t xml:space="preserve">, </w:t>
            </w:r>
            <w:proofErr w:type="spellStart"/>
            <w:r w:rsidRPr="007E0AF4">
              <w:rPr>
                <w:sz w:val="22"/>
              </w:rPr>
              <w:t>естетичним</w:t>
            </w:r>
            <w:proofErr w:type="spellEnd"/>
            <w:r w:rsidRPr="007E0AF4">
              <w:rPr>
                <w:sz w:val="22"/>
              </w:rPr>
              <w:t xml:space="preserve"> </w:t>
            </w:r>
            <w:proofErr w:type="spellStart"/>
            <w:r w:rsidRPr="007E0AF4">
              <w:rPr>
                <w:sz w:val="22"/>
              </w:rPr>
              <w:t>вихованням</w:t>
            </w:r>
            <w:proofErr w:type="spellEnd"/>
            <w:r w:rsidRPr="007E0AF4">
              <w:rPr>
                <w:sz w:val="22"/>
              </w:rPr>
              <w:t>;</w:t>
            </w:r>
          </w:p>
          <w:p w:rsidR="00DC0E0E" w:rsidRPr="007E0AF4" w:rsidRDefault="00DC0E0E" w:rsidP="001E6C97">
            <w:pPr>
              <w:pStyle w:val="a7"/>
              <w:ind w:left="0"/>
              <w:rPr>
                <w:sz w:val="22"/>
              </w:rPr>
            </w:pPr>
            <w:r w:rsidRPr="007E0AF4">
              <w:rPr>
                <w:sz w:val="22"/>
              </w:rPr>
              <w:t xml:space="preserve">- </w:t>
            </w:r>
            <w:proofErr w:type="spellStart"/>
            <w:r w:rsidRPr="007E0AF4">
              <w:rPr>
                <w:sz w:val="22"/>
              </w:rPr>
              <w:t>надання</w:t>
            </w:r>
            <w:proofErr w:type="spellEnd"/>
            <w:r w:rsidRPr="007E0AF4">
              <w:rPr>
                <w:sz w:val="22"/>
              </w:rPr>
              <w:t xml:space="preserve"> широкого спектру </w:t>
            </w:r>
            <w:proofErr w:type="spellStart"/>
            <w:r w:rsidRPr="007E0AF4">
              <w:rPr>
                <w:sz w:val="22"/>
              </w:rPr>
              <w:t>послуг</w:t>
            </w:r>
            <w:proofErr w:type="spellEnd"/>
            <w:r w:rsidRPr="007E0AF4">
              <w:rPr>
                <w:sz w:val="22"/>
              </w:rPr>
              <w:t xml:space="preserve">, </w:t>
            </w:r>
            <w:proofErr w:type="spellStart"/>
            <w:r w:rsidRPr="007E0AF4">
              <w:rPr>
                <w:sz w:val="22"/>
              </w:rPr>
              <w:t>пов’язаних</w:t>
            </w:r>
            <w:proofErr w:type="spellEnd"/>
            <w:r w:rsidRPr="007E0AF4">
              <w:rPr>
                <w:sz w:val="22"/>
              </w:rPr>
              <w:t xml:space="preserve"> </w:t>
            </w:r>
            <w:proofErr w:type="spellStart"/>
            <w:r w:rsidRPr="007E0AF4">
              <w:rPr>
                <w:sz w:val="22"/>
              </w:rPr>
              <w:t>із</w:t>
            </w:r>
            <w:proofErr w:type="spellEnd"/>
            <w:r w:rsidRPr="007E0AF4">
              <w:rPr>
                <w:sz w:val="22"/>
              </w:rPr>
              <w:t xml:space="preserve"> </w:t>
            </w:r>
            <w:proofErr w:type="spellStart"/>
            <w:r w:rsidRPr="007E0AF4">
              <w:rPr>
                <w:sz w:val="22"/>
              </w:rPr>
              <w:t>освітньою</w:t>
            </w:r>
            <w:proofErr w:type="spellEnd"/>
            <w:r w:rsidRPr="007E0AF4">
              <w:rPr>
                <w:sz w:val="22"/>
              </w:rPr>
              <w:t xml:space="preserve"> </w:t>
            </w:r>
            <w:proofErr w:type="spellStart"/>
            <w:r w:rsidRPr="007E0AF4">
              <w:rPr>
                <w:sz w:val="22"/>
              </w:rPr>
              <w:t>діяльністю</w:t>
            </w:r>
            <w:proofErr w:type="spellEnd"/>
            <w:r w:rsidRPr="007E0AF4">
              <w:rPr>
                <w:sz w:val="22"/>
              </w:rPr>
              <w:t>;</w:t>
            </w:r>
          </w:p>
          <w:p w:rsidR="00DC0E0E" w:rsidRPr="007E0AF4" w:rsidRDefault="00DC0E0E" w:rsidP="001E6C97">
            <w:pPr>
              <w:pStyle w:val="a7"/>
              <w:ind w:left="0"/>
              <w:rPr>
                <w:sz w:val="22"/>
              </w:rPr>
            </w:pPr>
            <w:r w:rsidRPr="007E0AF4">
              <w:rPr>
                <w:sz w:val="22"/>
              </w:rPr>
              <w:t xml:space="preserve">- </w:t>
            </w:r>
            <w:proofErr w:type="spellStart"/>
            <w:r w:rsidRPr="007E0AF4">
              <w:rPr>
                <w:sz w:val="22"/>
              </w:rPr>
              <w:t>вирішення</w:t>
            </w:r>
            <w:proofErr w:type="spellEnd"/>
            <w:r w:rsidRPr="007E0AF4">
              <w:rPr>
                <w:sz w:val="22"/>
              </w:rPr>
              <w:t xml:space="preserve"> ряду </w:t>
            </w:r>
            <w:proofErr w:type="spellStart"/>
            <w:r w:rsidRPr="007E0AF4">
              <w:rPr>
                <w:sz w:val="22"/>
              </w:rPr>
              <w:t>питань</w:t>
            </w:r>
            <w:proofErr w:type="spellEnd"/>
            <w:r w:rsidRPr="007E0AF4">
              <w:rPr>
                <w:sz w:val="22"/>
              </w:rPr>
              <w:t xml:space="preserve"> в межах </w:t>
            </w:r>
            <w:proofErr w:type="spellStart"/>
            <w:r w:rsidRPr="007E0AF4">
              <w:rPr>
                <w:sz w:val="22"/>
              </w:rPr>
              <w:t>статутної</w:t>
            </w:r>
            <w:proofErr w:type="spellEnd"/>
            <w:r w:rsidRPr="007E0AF4">
              <w:rPr>
                <w:sz w:val="22"/>
              </w:rPr>
              <w:t xml:space="preserve"> </w:t>
            </w:r>
            <w:proofErr w:type="spellStart"/>
            <w:r w:rsidRPr="007E0AF4">
              <w:rPr>
                <w:sz w:val="22"/>
              </w:rPr>
              <w:t>діяльності</w:t>
            </w:r>
            <w:proofErr w:type="spellEnd"/>
            <w:r w:rsidRPr="007E0AF4">
              <w:rPr>
                <w:sz w:val="22"/>
              </w:rPr>
              <w:t xml:space="preserve">, </w:t>
            </w:r>
            <w:proofErr w:type="spellStart"/>
            <w:r w:rsidRPr="007E0AF4">
              <w:rPr>
                <w:sz w:val="22"/>
              </w:rPr>
              <w:t>пов’язаних</w:t>
            </w:r>
            <w:proofErr w:type="spellEnd"/>
            <w:r w:rsidRPr="007E0AF4">
              <w:rPr>
                <w:sz w:val="22"/>
              </w:rPr>
              <w:t xml:space="preserve"> </w:t>
            </w:r>
            <w:proofErr w:type="spellStart"/>
            <w:r w:rsidRPr="007E0AF4">
              <w:rPr>
                <w:sz w:val="22"/>
              </w:rPr>
              <w:t>із</w:t>
            </w:r>
            <w:proofErr w:type="spellEnd"/>
            <w:r w:rsidRPr="007E0AF4">
              <w:rPr>
                <w:sz w:val="22"/>
              </w:rPr>
              <w:t xml:space="preserve"> </w:t>
            </w:r>
            <w:proofErr w:type="spellStart"/>
            <w:r w:rsidRPr="007E0AF4">
              <w:rPr>
                <w:sz w:val="22"/>
              </w:rPr>
              <w:t>відбудовою</w:t>
            </w:r>
            <w:proofErr w:type="spellEnd"/>
            <w:r w:rsidRPr="007E0AF4">
              <w:rPr>
                <w:sz w:val="22"/>
              </w:rPr>
              <w:t xml:space="preserve"> та </w:t>
            </w:r>
            <w:proofErr w:type="spellStart"/>
            <w:r w:rsidRPr="007E0AF4">
              <w:rPr>
                <w:sz w:val="22"/>
              </w:rPr>
              <w:t>сталим</w:t>
            </w:r>
            <w:proofErr w:type="spellEnd"/>
            <w:r w:rsidRPr="007E0AF4">
              <w:rPr>
                <w:sz w:val="22"/>
              </w:rPr>
              <w:t xml:space="preserve"> </w:t>
            </w:r>
            <w:proofErr w:type="spellStart"/>
            <w:r w:rsidRPr="007E0AF4">
              <w:rPr>
                <w:sz w:val="22"/>
              </w:rPr>
              <w:t>розвитком</w:t>
            </w:r>
            <w:proofErr w:type="spellEnd"/>
            <w:r w:rsidRPr="007E0AF4">
              <w:rPr>
                <w:sz w:val="22"/>
              </w:rPr>
              <w:t xml:space="preserve"> </w:t>
            </w:r>
            <w:proofErr w:type="spellStart"/>
            <w:r w:rsidRPr="007E0AF4">
              <w:rPr>
                <w:sz w:val="22"/>
              </w:rPr>
              <w:t>громади</w:t>
            </w:r>
            <w:proofErr w:type="spellEnd"/>
            <w:r w:rsidRPr="007E0AF4">
              <w:rPr>
                <w:sz w:val="22"/>
              </w:rPr>
              <w:t>;</w:t>
            </w:r>
          </w:p>
          <w:p w:rsidR="00DC0E0E" w:rsidRPr="007E0AF4" w:rsidRDefault="00DC0E0E" w:rsidP="001E6C97">
            <w:pPr>
              <w:pStyle w:val="a7"/>
              <w:ind w:left="0"/>
              <w:rPr>
                <w:sz w:val="22"/>
              </w:rPr>
            </w:pPr>
            <w:r w:rsidRPr="007E0AF4">
              <w:rPr>
                <w:sz w:val="22"/>
              </w:rPr>
              <w:t xml:space="preserve">- </w:t>
            </w:r>
            <w:proofErr w:type="spellStart"/>
            <w:r w:rsidRPr="007E0AF4">
              <w:rPr>
                <w:sz w:val="22"/>
              </w:rPr>
              <w:t>створення</w:t>
            </w:r>
            <w:proofErr w:type="spellEnd"/>
            <w:r w:rsidRPr="007E0AF4">
              <w:rPr>
                <w:sz w:val="22"/>
              </w:rPr>
              <w:t xml:space="preserve"> </w:t>
            </w:r>
            <w:proofErr w:type="spellStart"/>
            <w:r w:rsidRPr="007E0AF4">
              <w:rPr>
                <w:sz w:val="22"/>
              </w:rPr>
              <w:t>нових</w:t>
            </w:r>
            <w:proofErr w:type="spellEnd"/>
            <w:r w:rsidRPr="007E0AF4">
              <w:rPr>
                <w:sz w:val="22"/>
              </w:rPr>
              <w:t xml:space="preserve"> </w:t>
            </w:r>
            <w:proofErr w:type="spellStart"/>
            <w:r w:rsidRPr="007E0AF4">
              <w:rPr>
                <w:sz w:val="22"/>
              </w:rPr>
              <w:t>робочих</w:t>
            </w:r>
            <w:proofErr w:type="spellEnd"/>
            <w:r w:rsidRPr="007E0AF4">
              <w:rPr>
                <w:sz w:val="22"/>
              </w:rPr>
              <w:t xml:space="preserve"> </w:t>
            </w:r>
            <w:proofErr w:type="spellStart"/>
            <w:r w:rsidRPr="007E0AF4">
              <w:rPr>
                <w:sz w:val="22"/>
              </w:rPr>
              <w:t>місць</w:t>
            </w:r>
            <w:proofErr w:type="spellEnd"/>
            <w:r w:rsidRPr="007E0AF4">
              <w:rPr>
                <w:sz w:val="22"/>
              </w:rPr>
              <w:t>;</w:t>
            </w:r>
          </w:p>
          <w:p w:rsidR="00DC0E0E" w:rsidRPr="007E0AF4" w:rsidRDefault="00DC0E0E" w:rsidP="001E6C97">
            <w:pPr>
              <w:pStyle w:val="a7"/>
              <w:ind w:left="0"/>
              <w:rPr>
                <w:sz w:val="22"/>
              </w:rPr>
            </w:pPr>
            <w:r w:rsidRPr="007E0AF4">
              <w:rPr>
                <w:sz w:val="22"/>
              </w:rPr>
              <w:t xml:space="preserve">- стимул до </w:t>
            </w:r>
            <w:proofErr w:type="spellStart"/>
            <w:r w:rsidRPr="007E0AF4">
              <w:rPr>
                <w:sz w:val="22"/>
              </w:rPr>
              <w:t>повернення</w:t>
            </w:r>
            <w:proofErr w:type="spellEnd"/>
            <w:r w:rsidRPr="007E0AF4">
              <w:rPr>
                <w:sz w:val="22"/>
              </w:rPr>
              <w:t xml:space="preserve"> ВПО до </w:t>
            </w:r>
            <w:proofErr w:type="spellStart"/>
            <w:r w:rsidRPr="007E0AF4">
              <w:rPr>
                <w:sz w:val="22"/>
              </w:rPr>
              <w:t>громади</w:t>
            </w:r>
            <w:proofErr w:type="spellEnd"/>
            <w:r w:rsidRPr="007E0AF4">
              <w:rPr>
                <w:sz w:val="22"/>
              </w:rPr>
              <w:t>;</w:t>
            </w:r>
          </w:p>
        </w:tc>
      </w:tr>
      <w:tr w:rsidR="00DC0E0E" w:rsidRPr="007E0AF4" w:rsidTr="00DC0E0E">
        <w:trPr>
          <w:trHeight w:val="390"/>
        </w:trPr>
        <w:tc>
          <w:tcPr>
            <w:tcW w:w="2978" w:type="dxa"/>
            <w:vMerge w:val="restart"/>
            <w:shd w:val="clear" w:color="auto" w:fill="C6D9F1" w:themeFill="text2" w:themeFillTint="33"/>
          </w:tcPr>
          <w:p w:rsidR="00DC0E0E" w:rsidRPr="007E0AF4" w:rsidRDefault="00DC0E0E" w:rsidP="001E6C97">
            <w:pPr>
              <w:pStyle w:val="a7"/>
              <w:ind w:left="0"/>
              <w:rPr>
                <w:b/>
                <w:sz w:val="22"/>
                <w:lang w:val="uk-UA"/>
              </w:rPr>
            </w:pPr>
            <w:r w:rsidRPr="007E0AF4">
              <w:rPr>
                <w:b/>
                <w:sz w:val="22"/>
                <w:lang w:val="uk-UA"/>
              </w:rPr>
              <w:t xml:space="preserve">Очікувані кількісні результати реалізації </w:t>
            </w:r>
            <w:proofErr w:type="spellStart"/>
            <w:r w:rsidRPr="007E0AF4">
              <w:rPr>
                <w:b/>
                <w:sz w:val="22"/>
                <w:lang w:val="uk-UA"/>
              </w:rPr>
              <w:t>проєкту</w:t>
            </w:r>
            <w:proofErr w:type="spellEnd"/>
            <w:r w:rsidRPr="007E0AF4">
              <w:rPr>
                <w:b/>
                <w:sz w:val="22"/>
                <w:lang w:val="uk-UA"/>
              </w:rPr>
              <w:t xml:space="preserve"> (індикатори)</w:t>
            </w:r>
          </w:p>
          <w:p w:rsidR="00DC0E0E" w:rsidRPr="007E0AF4" w:rsidRDefault="00DC0E0E" w:rsidP="001E6C97">
            <w:pPr>
              <w:pStyle w:val="a7"/>
              <w:ind w:left="0"/>
              <w:rPr>
                <w:b/>
                <w:sz w:val="22"/>
                <w:lang w:val="uk-UA"/>
              </w:rPr>
            </w:pPr>
          </w:p>
        </w:tc>
        <w:tc>
          <w:tcPr>
            <w:tcW w:w="3646" w:type="dxa"/>
            <w:gridSpan w:val="3"/>
            <w:tcBorders>
              <w:bottom w:val="single" w:sz="4" w:space="0" w:color="auto"/>
              <w:right w:val="single" w:sz="4" w:space="0" w:color="auto"/>
            </w:tcBorders>
          </w:tcPr>
          <w:p w:rsidR="00DC0E0E" w:rsidRPr="007E0AF4" w:rsidRDefault="00DC0E0E" w:rsidP="001E6C97">
            <w:pPr>
              <w:pStyle w:val="a7"/>
              <w:ind w:left="-108"/>
              <w:jc w:val="center"/>
              <w:rPr>
                <w:b/>
                <w:sz w:val="22"/>
              </w:rPr>
            </w:pPr>
            <w:proofErr w:type="spellStart"/>
            <w:r w:rsidRPr="007E0AF4">
              <w:rPr>
                <w:b/>
                <w:sz w:val="22"/>
              </w:rPr>
              <w:t>Найменування</w:t>
            </w:r>
            <w:proofErr w:type="spellEnd"/>
            <w:r w:rsidRPr="007E0AF4">
              <w:rPr>
                <w:b/>
                <w:sz w:val="22"/>
              </w:rPr>
              <w:t xml:space="preserve"> </w:t>
            </w:r>
            <w:proofErr w:type="spellStart"/>
            <w:r w:rsidRPr="007E0AF4">
              <w:rPr>
                <w:b/>
                <w:sz w:val="22"/>
              </w:rPr>
              <w:t>показника</w:t>
            </w:r>
            <w:proofErr w:type="spellEnd"/>
          </w:p>
        </w:tc>
        <w:tc>
          <w:tcPr>
            <w:tcW w:w="1849" w:type="dxa"/>
            <w:gridSpan w:val="2"/>
            <w:tcBorders>
              <w:left w:val="single" w:sz="4" w:space="0" w:color="auto"/>
              <w:bottom w:val="single" w:sz="4" w:space="0" w:color="auto"/>
              <w:right w:val="single" w:sz="4" w:space="0" w:color="auto"/>
            </w:tcBorders>
          </w:tcPr>
          <w:p w:rsidR="00DC0E0E" w:rsidRPr="007E0AF4" w:rsidRDefault="00DC0E0E" w:rsidP="001E6C97">
            <w:pPr>
              <w:pStyle w:val="a7"/>
              <w:ind w:left="0"/>
              <w:jc w:val="center"/>
              <w:rPr>
                <w:b/>
                <w:sz w:val="22"/>
              </w:rPr>
            </w:pPr>
            <w:proofErr w:type="spellStart"/>
            <w:r w:rsidRPr="007E0AF4">
              <w:rPr>
                <w:b/>
                <w:sz w:val="22"/>
              </w:rPr>
              <w:t>Одиниця</w:t>
            </w:r>
            <w:proofErr w:type="spellEnd"/>
            <w:r w:rsidRPr="007E0AF4">
              <w:rPr>
                <w:b/>
                <w:sz w:val="22"/>
              </w:rPr>
              <w:t xml:space="preserve"> </w:t>
            </w:r>
            <w:proofErr w:type="spellStart"/>
            <w:r w:rsidRPr="007E0AF4">
              <w:rPr>
                <w:b/>
                <w:sz w:val="22"/>
              </w:rPr>
              <w:t>вимірювання</w:t>
            </w:r>
            <w:proofErr w:type="spellEnd"/>
          </w:p>
        </w:tc>
        <w:tc>
          <w:tcPr>
            <w:tcW w:w="1415" w:type="dxa"/>
            <w:tcBorders>
              <w:left w:val="single" w:sz="4" w:space="0" w:color="auto"/>
              <w:bottom w:val="single" w:sz="4" w:space="0" w:color="auto"/>
            </w:tcBorders>
          </w:tcPr>
          <w:p w:rsidR="00DC0E0E" w:rsidRPr="007E0AF4" w:rsidRDefault="00DC0E0E" w:rsidP="001E6C97">
            <w:pPr>
              <w:pStyle w:val="a7"/>
              <w:ind w:left="0"/>
              <w:jc w:val="center"/>
              <w:rPr>
                <w:b/>
                <w:sz w:val="22"/>
              </w:rPr>
            </w:pPr>
            <w:proofErr w:type="spellStart"/>
            <w:r w:rsidRPr="007E0AF4">
              <w:rPr>
                <w:b/>
                <w:sz w:val="22"/>
              </w:rPr>
              <w:t>Прогнозне</w:t>
            </w:r>
            <w:proofErr w:type="spellEnd"/>
            <w:r w:rsidRPr="007E0AF4">
              <w:rPr>
                <w:b/>
                <w:sz w:val="22"/>
              </w:rPr>
              <w:t xml:space="preserve"> (</w:t>
            </w:r>
            <w:proofErr w:type="spellStart"/>
            <w:r w:rsidRPr="007E0AF4">
              <w:rPr>
                <w:b/>
                <w:sz w:val="22"/>
              </w:rPr>
              <w:t>цільове</w:t>
            </w:r>
            <w:proofErr w:type="spellEnd"/>
            <w:r w:rsidRPr="007E0AF4">
              <w:rPr>
                <w:b/>
                <w:sz w:val="22"/>
              </w:rPr>
              <w:t xml:space="preserve">) </w:t>
            </w:r>
            <w:proofErr w:type="spellStart"/>
            <w:r w:rsidRPr="007E0AF4">
              <w:rPr>
                <w:b/>
                <w:sz w:val="22"/>
              </w:rPr>
              <w:t>значення</w:t>
            </w:r>
            <w:proofErr w:type="spellEnd"/>
          </w:p>
        </w:tc>
      </w:tr>
      <w:tr w:rsidR="00DC0E0E" w:rsidRPr="007E0AF4" w:rsidTr="00DC0E0E">
        <w:trPr>
          <w:trHeight w:val="585"/>
        </w:trPr>
        <w:tc>
          <w:tcPr>
            <w:tcW w:w="2978" w:type="dxa"/>
            <w:vMerge/>
            <w:shd w:val="clear" w:color="auto" w:fill="C6D9F1" w:themeFill="text2" w:themeFillTint="33"/>
          </w:tcPr>
          <w:p w:rsidR="00DC0E0E" w:rsidRPr="007E0AF4" w:rsidRDefault="00DC0E0E" w:rsidP="001E6C97">
            <w:pPr>
              <w:pStyle w:val="a7"/>
              <w:ind w:left="0"/>
              <w:rPr>
                <w:b/>
                <w:sz w:val="22"/>
              </w:rPr>
            </w:pPr>
          </w:p>
        </w:tc>
        <w:tc>
          <w:tcPr>
            <w:tcW w:w="3646" w:type="dxa"/>
            <w:gridSpan w:val="3"/>
            <w:tcBorders>
              <w:top w:val="single" w:sz="4" w:space="0" w:color="auto"/>
              <w:bottom w:val="single" w:sz="4" w:space="0" w:color="auto"/>
              <w:right w:val="single" w:sz="4" w:space="0" w:color="auto"/>
            </w:tcBorders>
          </w:tcPr>
          <w:p w:rsidR="00DC0E0E" w:rsidRPr="007E0AF4" w:rsidRDefault="00DC0E0E" w:rsidP="001E6C97">
            <w:pPr>
              <w:pStyle w:val="a7"/>
              <w:ind w:left="0"/>
              <w:jc w:val="center"/>
              <w:rPr>
                <w:sz w:val="22"/>
              </w:rPr>
            </w:pPr>
            <w:proofErr w:type="spellStart"/>
            <w:r w:rsidRPr="007E0AF4">
              <w:rPr>
                <w:sz w:val="22"/>
              </w:rPr>
              <w:t>Кількість</w:t>
            </w:r>
            <w:proofErr w:type="spellEnd"/>
            <w:r w:rsidRPr="007E0AF4">
              <w:rPr>
                <w:sz w:val="22"/>
              </w:rPr>
              <w:t xml:space="preserve"> </w:t>
            </w:r>
            <w:proofErr w:type="spellStart"/>
            <w:r w:rsidRPr="007E0AF4">
              <w:rPr>
                <w:sz w:val="22"/>
              </w:rPr>
              <w:t>фізичних</w:t>
            </w:r>
            <w:proofErr w:type="spellEnd"/>
            <w:r w:rsidRPr="007E0AF4">
              <w:rPr>
                <w:sz w:val="22"/>
              </w:rPr>
              <w:t xml:space="preserve"> </w:t>
            </w:r>
            <w:proofErr w:type="spellStart"/>
            <w:r w:rsidRPr="007E0AF4">
              <w:rPr>
                <w:sz w:val="22"/>
              </w:rPr>
              <w:t>осіб</w:t>
            </w:r>
            <w:proofErr w:type="spellEnd"/>
            <w:r w:rsidRPr="007E0AF4">
              <w:rPr>
                <w:sz w:val="22"/>
              </w:rPr>
              <w:t xml:space="preserve">, </w:t>
            </w:r>
            <w:proofErr w:type="spellStart"/>
            <w:r w:rsidRPr="007E0AF4">
              <w:rPr>
                <w:sz w:val="22"/>
              </w:rPr>
              <w:t>які</w:t>
            </w:r>
            <w:proofErr w:type="spellEnd"/>
            <w:r w:rsidRPr="007E0AF4">
              <w:rPr>
                <w:sz w:val="22"/>
              </w:rPr>
              <w:t xml:space="preserve"> </w:t>
            </w:r>
            <w:proofErr w:type="spellStart"/>
            <w:r w:rsidRPr="007E0AF4">
              <w:rPr>
                <w:sz w:val="22"/>
              </w:rPr>
              <w:t>звернулись</w:t>
            </w:r>
            <w:proofErr w:type="spellEnd"/>
            <w:r w:rsidRPr="007E0AF4">
              <w:rPr>
                <w:sz w:val="22"/>
              </w:rPr>
              <w:t xml:space="preserve"> за </w:t>
            </w:r>
            <w:proofErr w:type="spellStart"/>
            <w:r w:rsidRPr="007E0AF4">
              <w:rPr>
                <w:sz w:val="22"/>
              </w:rPr>
              <w:t>послугами</w:t>
            </w:r>
            <w:proofErr w:type="spellEnd"/>
            <w:r w:rsidRPr="007E0AF4">
              <w:rPr>
                <w:sz w:val="22"/>
              </w:rPr>
              <w:t xml:space="preserve"> </w:t>
            </w:r>
            <w:proofErr w:type="spellStart"/>
            <w:proofErr w:type="gramStart"/>
            <w:r w:rsidRPr="007E0AF4">
              <w:rPr>
                <w:sz w:val="22"/>
              </w:rPr>
              <w:t>протягом</w:t>
            </w:r>
            <w:proofErr w:type="spellEnd"/>
            <w:r w:rsidRPr="007E0AF4">
              <w:rPr>
                <w:sz w:val="22"/>
              </w:rPr>
              <w:t xml:space="preserve">  року</w:t>
            </w:r>
            <w:proofErr w:type="gramEnd"/>
          </w:p>
        </w:tc>
        <w:tc>
          <w:tcPr>
            <w:tcW w:w="1849" w:type="dxa"/>
            <w:gridSpan w:val="2"/>
            <w:tcBorders>
              <w:top w:val="single" w:sz="4" w:space="0" w:color="auto"/>
              <w:left w:val="single" w:sz="4" w:space="0" w:color="auto"/>
              <w:bottom w:val="single" w:sz="4" w:space="0" w:color="auto"/>
              <w:right w:val="single" w:sz="4" w:space="0" w:color="auto"/>
            </w:tcBorders>
            <w:vAlign w:val="center"/>
          </w:tcPr>
          <w:p w:rsidR="00DC0E0E" w:rsidRPr="007E0AF4" w:rsidRDefault="00DC0E0E" w:rsidP="001E6C97">
            <w:pPr>
              <w:pStyle w:val="a7"/>
              <w:ind w:left="0"/>
              <w:jc w:val="center"/>
              <w:rPr>
                <w:sz w:val="22"/>
              </w:rPr>
            </w:pPr>
            <w:proofErr w:type="spellStart"/>
            <w:r w:rsidRPr="007E0AF4">
              <w:rPr>
                <w:sz w:val="22"/>
              </w:rPr>
              <w:t>осіб</w:t>
            </w:r>
            <w:proofErr w:type="spellEnd"/>
          </w:p>
        </w:tc>
        <w:tc>
          <w:tcPr>
            <w:tcW w:w="1415" w:type="dxa"/>
            <w:tcBorders>
              <w:top w:val="single" w:sz="4" w:space="0" w:color="auto"/>
              <w:left w:val="single" w:sz="4" w:space="0" w:color="auto"/>
              <w:bottom w:val="single" w:sz="4" w:space="0" w:color="auto"/>
            </w:tcBorders>
          </w:tcPr>
          <w:p w:rsidR="00DC0E0E" w:rsidRPr="007E0AF4" w:rsidRDefault="00DC0E0E" w:rsidP="001E6C97">
            <w:pPr>
              <w:pStyle w:val="a7"/>
              <w:ind w:left="0"/>
              <w:jc w:val="center"/>
              <w:rPr>
                <w:sz w:val="22"/>
              </w:rPr>
            </w:pPr>
            <w:r w:rsidRPr="007E0AF4">
              <w:rPr>
                <w:sz w:val="22"/>
              </w:rPr>
              <w:t>780</w:t>
            </w:r>
          </w:p>
        </w:tc>
      </w:tr>
      <w:tr w:rsidR="00DC0E0E" w:rsidRPr="007E0AF4" w:rsidTr="00DC0E0E">
        <w:trPr>
          <w:trHeight w:val="184"/>
        </w:trPr>
        <w:tc>
          <w:tcPr>
            <w:tcW w:w="2978" w:type="dxa"/>
            <w:vMerge/>
            <w:shd w:val="clear" w:color="auto" w:fill="C6D9F1" w:themeFill="text2" w:themeFillTint="33"/>
          </w:tcPr>
          <w:p w:rsidR="00DC0E0E" w:rsidRPr="007E0AF4" w:rsidRDefault="00DC0E0E" w:rsidP="001E6C97">
            <w:pPr>
              <w:pStyle w:val="a7"/>
              <w:ind w:left="0"/>
              <w:rPr>
                <w:b/>
                <w:sz w:val="22"/>
              </w:rPr>
            </w:pPr>
          </w:p>
        </w:tc>
        <w:tc>
          <w:tcPr>
            <w:tcW w:w="3646" w:type="dxa"/>
            <w:gridSpan w:val="3"/>
            <w:tcBorders>
              <w:top w:val="single" w:sz="4" w:space="0" w:color="auto"/>
              <w:bottom w:val="single" w:sz="4" w:space="0" w:color="auto"/>
              <w:right w:val="single" w:sz="4" w:space="0" w:color="auto"/>
            </w:tcBorders>
          </w:tcPr>
          <w:p w:rsidR="00DC0E0E" w:rsidRPr="007E0AF4" w:rsidRDefault="00DC0E0E" w:rsidP="001E6C97">
            <w:pPr>
              <w:pStyle w:val="a7"/>
              <w:ind w:left="0"/>
              <w:jc w:val="center"/>
              <w:rPr>
                <w:sz w:val="22"/>
              </w:rPr>
            </w:pPr>
            <w:proofErr w:type="spellStart"/>
            <w:r w:rsidRPr="007E0AF4">
              <w:rPr>
                <w:sz w:val="22"/>
              </w:rPr>
              <w:t>Кількість</w:t>
            </w:r>
            <w:proofErr w:type="spellEnd"/>
            <w:r w:rsidRPr="007E0AF4">
              <w:rPr>
                <w:sz w:val="22"/>
              </w:rPr>
              <w:t xml:space="preserve"> </w:t>
            </w:r>
            <w:proofErr w:type="spellStart"/>
            <w:r w:rsidRPr="007E0AF4">
              <w:rPr>
                <w:sz w:val="22"/>
              </w:rPr>
              <w:t>видів</w:t>
            </w:r>
            <w:proofErr w:type="spellEnd"/>
            <w:r w:rsidRPr="007E0AF4">
              <w:rPr>
                <w:sz w:val="22"/>
              </w:rPr>
              <w:t xml:space="preserve"> та </w:t>
            </w:r>
            <w:proofErr w:type="spellStart"/>
            <w:r w:rsidRPr="007E0AF4">
              <w:rPr>
                <w:sz w:val="22"/>
              </w:rPr>
              <w:t>типів</w:t>
            </w:r>
            <w:proofErr w:type="spellEnd"/>
            <w:r w:rsidRPr="007E0AF4">
              <w:rPr>
                <w:sz w:val="22"/>
              </w:rPr>
              <w:t xml:space="preserve"> </w:t>
            </w:r>
            <w:proofErr w:type="spellStart"/>
            <w:r w:rsidRPr="007E0AF4">
              <w:rPr>
                <w:sz w:val="22"/>
              </w:rPr>
              <w:t>послуг</w:t>
            </w:r>
            <w:proofErr w:type="spellEnd"/>
            <w:r w:rsidRPr="007E0AF4">
              <w:rPr>
                <w:sz w:val="22"/>
              </w:rPr>
              <w:t xml:space="preserve"> </w:t>
            </w:r>
            <w:proofErr w:type="spellStart"/>
            <w:r w:rsidRPr="007E0AF4">
              <w:rPr>
                <w:sz w:val="22"/>
              </w:rPr>
              <w:t>наданих</w:t>
            </w:r>
            <w:proofErr w:type="spellEnd"/>
            <w:r w:rsidRPr="007E0AF4">
              <w:rPr>
                <w:sz w:val="22"/>
              </w:rPr>
              <w:t xml:space="preserve"> </w:t>
            </w:r>
            <w:proofErr w:type="spellStart"/>
            <w:r w:rsidRPr="007E0AF4">
              <w:rPr>
                <w:sz w:val="22"/>
              </w:rPr>
              <w:t>протягом</w:t>
            </w:r>
            <w:proofErr w:type="spellEnd"/>
            <w:r w:rsidRPr="007E0AF4">
              <w:rPr>
                <w:sz w:val="22"/>
              </w:rPr>
              <w:t xml:space="preserve"> одно </w:t>
            </w:r>
            <w:proofErr w:type="spellStart"/>
            <w:r w:rsidRPr="007E0AF4">
              <w:rPr>
                <w:sz w:val="22"/>
              </w:rPr>
              <w:t>робочого</w:t>
            </w:r>
            <w:proofErr w:type="spellEnd"/>
            <w:r w:rsidRPr="007E0AF4">
              <w:rPr>
                <w:sz w:val="22"/>
              </w:rPr>
              <w:t xml:space="preserve"> дня</w:t>
            </w:r>
          </w:p>
        </w:tc>
        <w:tc>
          <w:tcPr>
            <w:tcW w:w="1849" w:type="dxa"/>
            <w:gridSpan w:val="2"/>
            <w:tcBorders>
              <w:top w:val="single" w:sz="4" w:space="0" w:color="auto"/>
              <w:left w:val="single" w:sz="4" w:space="0" w:color="auto"/>
              <w:bottom w:val="single" w:sz="4" w:space="0" w:color="auto"/>
              <w:right w:val="single" w:sz="4" w:space="0" w:color="auto"/>
            </w:tcBorders>
            <w:vAlign w:val="center"/>
          </w:tcPr>
          <w:p w:rsidR="00DC0E0E" w:rsidRPr="007E0AF4" w:rsidRDefault="00DC0E0E" w:rsidP="001E6C97">
            <w:pPr>
              <w:pStyle w:val="a7"/>
              <w:ind w:left="0"/>
              <w:jc w:val="center"/>
              <w:rPr>
                <w:sz w:val="22"/>
              </w:rPr>
            </w:pPr>
            <w:r w:rsidRPr="007E0AF4">
              <w:rPr>
                <w:sz w:val="22"/>
              </w:rPr>
              <w:t>урок</w:t>
            </w:r>
          </w:p>
        </w:tc>
        <w:tc>
          <w:tcPr>
            <w:tcW w:w="1415" w:type="dxa"/>
            <w:tcBorders>
              <w:top w:val="single" w:sz="4" w:space="0" w:color="auto"/>
              <w:left w:val="single" w:sz="4" w:space="0" w:color="auto"/>
              <w:bottom w:val="single" w:sz="4" w:space="0" w:color="auto"/>
            </w:tcBorders>
          </w:tcPr>
          <w:p w:rsidR="00DC0E0E" w:rsidRPr="007E0AF4" w:rsidRDefault="00DC0E0E" w:rsidP="001E6C97">
            <w:pPr>
              <w:pStyle w:val="a7"/>
              <w:ind w:left="0"/>
              <w:jc w:val="center"/>
              <w:rPr>
                <w:sz w:val="22"/>
              </w:rPr>
            </w:pPr>
            <w:r w:rsidRPr="007E0AF4">
              <w:rPr>
                <w:sz w:val="22"/>
              </w:rPr>
              <w:t>63</w:t>
            </w:r>
          </w:p>
        </w:tc>
      </w:tr>
      <w:tr w:rsidR="00DC0E0E" w:rsidRPr="007E0AF4" w:rsidTr="00DC0E0E">
        <w:trPr>
          <w:trHeight w:val="150"/>
        </w:trPr>
        <w:tc>
          <w:tcPr>
            <w:tcW w:w="2978" w:type="dxa"/>
            <w:vMerge/>
            <w:shd w:val="clear" w:color="auto" w:fill="C6D9F1" w:themeFill="text2" w:themeFillTint="33"/>
          </w:tcPr>
          <w:p w:rsidR="00DC0E0E" w:rsidRPr="007E0AF4" w:rsidRDefault="00DC0E0E" w:rsidP="001E6C97">
            <w:pPr>
              <w:pStyle w:val="a7"/>
              <w:ind w:left="0"/>
              <w:rPr>
                <w:b/>
                <w:sz w:val="22"/>
              </w:rPr>
            </w:pPr>
          </w:p>
        </w:tc>
        <w:tc>
          <w:tcPr>
            <w:tcW w:w="3646" w:type="dxa"/>
            <w:gridSpan w:val="3"/>
            <w:tcBorders>
              <w:top w:val="single" w:sz="4" w:space="0" w:color="auto"/>
              <w:right w:val="single" w:sz="4" w:space="0" w:color="auto"/>
            </w:tcBorders>
          </w:tcPr>
          <w:p w:rsidR="00DC0E0E" w:rsidRPr="007E0AF4" w:rsidRDefault="00DC0E0E" w:rsidP="001E6C97">
            <w:pPr>
              <w:pStyle w:val="a7"/>
              <w:ind w:left="0"/>
              <w:jc w:val="center"/>
              <w:rPr>
                <w:sz w:val="22"/>
              </w:rPr>
            </w:pPr>
            <w:proofErr w:type="spellStart"/>
            <w:r w:rsidRPr="007E0AF4">
              <w:rPr>
                <w:sz w:val="22"/>
              </w:rPr>
              <w:t>Термін</w:t>
            </w:r>
            <w:proofErr w:type="spellEnd"/>
            <w:r w:rsidRPr="007E0AF4">
              <w:rPr>
                <w:sz w:val="22"/>
              </w:rPr>
              <w:t xml:space="preserve"> </w:t>
            </w:r>
            <w:proofErr w:type="spellStart"/>
            <w:r w:rsidRPr="007E0AF4">
              <w:rPr>
                <w:sz w:val="22"/>
              </w:rPr>
              <w:t>надання</w:t>
            </w:r>
            <w:proofErr w:type="spellEnd"/>
            <w:r w:rsidRPr="007E0AF4">
              <w:rPr>
                <w:sz w:val="22"/>
              </w:rPr>
              <w:t xml:space="preserve"> </w:t>
            </w:r>
            <w:proofErr w:type="spellStart"/>
            <w:r w:rsidRPr="007E0AF4">
              <w:rPr>
                <w:sz w:val="22"/>
              </w:rPr>
              <w:t>послуги</w:t>
            </w:r>
            <w:proofErr w:type="spellEnd"/>
          </w:p>
        </w:tc>
        <w:tc>
          <w:tcPr>
            <w:tcW w:w="1849" w:type="dxa"/>
            <w:gridSpan w:val="2"/>
            <w:tcBorders>
              <w:top w:val="single" w:sz="4" w:space="0" w:color="auto"/>
              <w:left w:val="single" w:sz="4" w:space="0" w:color="auto"/>
              <w:right w:val="single" w:sz="4" w:space="0" w:color="auto"/>
            </w:tcBorders>
            <w:vAlign w:val="center"/>
          </w:tcPr>
          <w:p w:rsidR="00DC0E0E" w:rsidRPr="007E0AF4" w:rsidRDefault="00DC0E0E" w:rsidP="001E6C97">
            <w:pPr>
              <w:pStyle w:val="a7"/>
              <w:ind w:left="0"/>
              <w:jc w:val="center"/>
              <w:rPr>
                <w:sz w:val="22"/>
              </w:rPr>
            </w:pPr>
            <w:r w:rsidRPr="007E0AF4">
              <w:rPr>
                <w:sz w:val="22"/>
              </w:rPr>
              <w:t>день</w:t>
            </w:r>
          </w:p>
        </w:tc>
        <w:tc>
          <w:tcPr>
            <w:tcW w:w="1415" w:type="dxa"/>
            <w:tcBorders>
              <w:top w:val="single" w:sz="4" w:space="0" w:color="auto"/>
              <w:left w:val="single" w:sz="4" w:space="0" w:color="auto"/>
            </w:tcBorders>
          </w:tcPr>
          <w:p w:rsidR="00DC0E0E" w:rsidRPr="007E0AF4" w:rsidRDefault="00DC0E0E" w:rsidP="001E6C97">
            <w:pPr>
              <w:pStyle w:val="a7"/>
              <w:ind w:left="0"/>
              <w:jc w:val="center"/>
              <w:rPr>
                <w:sz w:val="22"/>
              </w:rPr>
            </w:pPr>
            <w:r w:rsidRPr="007E0AF4">
              <w:rPr>
                <w:sz w:val="22"/>
              </w:rPr>
              <w:t>365</w:t>
            </w:r>
          </w:p>
        </w:tc>
      </w:tr>
      <w:tr w:rsidR="00DC0E0E" w:rsidRPr="007E0AF4" w:rsidTr="00DC0E0E">
        <w:trPr>
          <w:trHeight w:val="150"/>
        </w:trPr>
        <w:tc>
          <w:tcPr>
            <w:tcW w:w="2978" w:type="dxa"/>
            <w:shd w:val="clear" w:color="auto" w:fill="C6D9F1" w:themeFill="text2" w:themeFillTint="33"/>
          </w:tcPr>
          <w:p w:rsidR="00DC0E0E" w:rsidRPr="007E0AF4" w:rsidRDefault="00DC0E0E" w:rsidP="001E6C97">
            <w:pPr>
              <w:pStyle w:val="a7"/>
              <w:ind w:left="0"/>
              <w:rPr>
                <w:b/>
                <w:sz w:val="22"/>
              </w:rPr>
            </w:pPr>
          </w:p>
        </w:tc>
        <w:tc>
          <w:tcPr>
            <w:tcW w:w="3646" w:type="dxa"/>
            <w:gridSpan w:val="3"/>
            <w:tcBorders>
              <w:top w:val="single" w:sz="4" w:space="0" w:color="auto"/>
              <w:right w:val="single" w:sz="4" w:space="0" w:color="auto"/>
            </w:tcBorders>
          </w:tcPr>
          <w:p w:rsidR="00DC0E0E" w:rsidRPr="007E0AF4" w:rsidRDefault="00DC0E0E" w:rsidP="005B2808">
            <w:pPr>
              <w:pStyle w:val="a7"/>
              <w:ind w:left="0"/>
              <w:jc w:val="center"/>
              <w:rPr>
                <w:sz w:val="22"/>
              </w:rPr>
            </w:pPr>
            <w:proofErr w:type="spellStart"/>
            <w:r w:rsidRPr="007E0AF4">
              <w:rPr>
                <w:sz w:val="22"/>
              </w:rPr>
              <w:t>Кількість</w:t>
            </w:r>
            <w:proofErr w:type="spellEnd"/>
            <w:r w:rsidRPr="007E0AF4">
              <w:rPr>
                <w:sz w:val="22"/>
              </w:rPr>
              <w:t xml:space="preserve"> </w:t>
            </w:r>
            <w:proofErr w:type="spellStart"/>
            <w:r w:rsidRPr="007E0AF4">
              <w:rPr>
                <w:sz w:val="22"/>
              </w:rPr>
              <w:t>населених</w:t>
            </w:r>
            <w:proofErr w:type="spellEnd"/>
            <w:r w:rsidRPr="007E0AF4">
              <w:rPr>
                <w:sz w:val="22"/>
              </w:rPr>
              <w:t xml:space="preserve"> </w:t>
            </w:r>
            <w:proofErr w:type="spellStart"/>
            <w:r w:rsidRPr="007E0AF4">
              <w:rPr>
                <w:sz w:val="22"/>
              </w:rPr>
              <w:t>пунктів</w:t>
            </w:r>
            <w:proofErr w:type="spellEnd"/>
            <w:r w:rsidRPr="007E0AF4">
              <w:rPr>
                <w:sz w:val="22"/>
              </w:rPr>
              <w:t xml:space="preserve">, </w:t>
            </w:r>
            <w:proofErr w:type="spellStart"/>
            <w:r w:rsidRPr="007E0AF4">
              <w:rPr>
                <w:sz w:val="22"/>
              </w:rPr>
              <w:t>як</w:t>
            </w:r>
            <w:r w:rsidR="005B2808" w:rsidRPr="007E0AF4">
              <w:rPr>
                <w:sz w:val="22"/>
              </w:rPr>
              <w:t>і</w:t>
            </w:r>
            <w:proofErr w:type="spellEnd"/>
            <w:r w:rsidRPr="007E0AF4">
              <w:rPr>
                <w:sz w:val="22"/>
              </w:rPr>
              <w:t xml:space="preserve"> </w:t>
            </w:r>
            <w:proofErr w:type="spellStart"/>
            <w:r w:rsidRPr="007E0AF4">
              <w:rPr>
                <w:sz w:val="22"/>
              </w:rPr>
              <w:t>обслуговує</w:t>
            </w:r>
            <w:proofErr w:type="spellEnd"/>
            <w:r w:rsidRPr="007E0AF4">
              <w:rPr>
                <w:sz w:val="22"/>
              </w:rPr>
              <w:t xml:space="preserve"> </w:t>
            </w:r>
            <w:r w:rsidR="005B2808" w:rsidRPr="007E0AF4">
              <w:rPr>
                <w:sz w:val="22"/>
              </w:rPr>
              <w:t>заклад</w:t>
            </w:r>
          </w:p>
        </w:tc>
        <w:tc>
          <w:tcPr>
            <w:tcW w:w="1849" w:type="dxa"/>
            <w:gridSpan w:val="2"/>
            <w:tcBorders>
              <w:top w:val="single" w:sz="4" w:space="0" w:color="auto"/>
              <w:left w:val="single" w:sz="4" w:space="0" w:color="auto"/>
              <w:right w:val="single" w:sz="4" w:space="0" w:color="auto"/>
            </w:tcBorders>
            <w:vAlign w:val="center"/>
          </w:tcPr>
          <w:p w:rsidR="00DC0E0E" w:rsidRPr="007E0AF4" w:rsidRDefault="00DC0E0E" w:rsidP="001E6C97">
            <w:pPr>
              <w:pStyle w:val="a7"/>
              <w:ind w:left="0"/>
              <w:jc w:val="center"/>
              <w:rPr>
                <w:sz w:val="22"/>
              </w:rPr>
            </w:pPr>
            <w:proofErr w:type="spellStart"/>
            <w:r w:rsidRPr="007E0AF4">
              <w:rPr>
                <w:sz w:val="22"/>
              </w:rPr>
              <w:t>одиниць</w:t>
            </w:r>
            <w:proofErr w:type="spellEnd"/>
          </w:p>
        </w:tc>
        <w:tc>
          <w:tcPr>
            <w:tcW w:w="1415" w:type="dxa"/>
            <w:tcBorders>
              <w:top w:val="single" w:sz="4" w:space="0" w:color="auto"/>
              <w:left w:val="single" w:sz="4" w:space="0" w:color="auto"/>
            </w:tcBorders>
          </w:tcPr>
          <w:p w:rsidR="00DC0E0E" w:rsidRPr="007E0AF4" w:rsidRDefault="00DC0E0E" w:rsidP="001E6C97">
            <w:pPr>
              <w:rPr>
                <w:color w:val="000000" w:themeColor="text1"/>
                <w:sz w:val="22"/>
              </w:rPr>
            </w:pPr>
            <w:r w:rsidRPr="007E0AF4">
              <w:rPr>
                <w:color w:val="000000" w:themeColor="text1"/>
                <w:sz w:val="22"/>
              </w:rPr>
              <w:t>1</w:t>
            </w:r>
          </w:p>
        </w:tc>
      </w:tr>
      <w:tr w:rsidR="00DC0E0E" w:rsidRPr="007E0AF4" w:rsidTr="00DC0E0E">
        <w:tc>
          <w:tcPr>
            <w:tcW w:w="2978" w:type="dxa"/>
            <w:shd w:val="clear" w:color="auto" w:fill="C6D9F1" w:themeFill="text2" w:themeFillTint="33"/>
          </w:tcPr>
          <w:p w:rsidR="00DC0E0E" w:rsidRPr="007E0AF4" w:rsidRDefault="00DC0E0E" w:rsidP="001E6C97">
            <w:pPr>
              <w:rPr>
                <w:b/>
                <w:sz w:val="22"/>
              </w:rPr>
            </w:pPr>
            <w:proofErr w:type="spellStart"/>
            <w:r w:rsidRPr="007E0AF4">
              <w:rPr>
                <w:b/>
                <w:sz w:val="22"/>
              </w:rPr>
              <w:t>Ключові</w:t>
            </w:r>
            <w:proofErr w:type="spellEnd"/>
            <w:r w:rsidRPr="007E0AF4">
              <w:rPr>
                <w:b/>
                <w:sz w:val="22"/>
              </w:rPr>
              <w:t xml:space="preserve"> заходи проекту: </w:t>
            </w:r>
          </w:p>
          <w:p w:rsidR="00DC0E0E" w:rsidRPr="007E0AF4" w:rsidRDefault="00DC0E0E" w:rsidP="001E6C97">
            <w:pPr>
              <w:pStyle w:val="a7"/>
              <w:ind w:left="0"/>
              <w:rPr>
                <w:b/>
                <w:sz w:val="22"/>
              </w:rPr>
            </w:pPr>
          </w:p>
        </w:tc>
        <w:tc>
          <w:tcPr>
            <w:tcW w:w="6910" w:type="dxa"/>
            <w:gridSpan w:val="6"/>
          </w:tcPr>
          <w:p w:rsidR="00DC0E0E" w:rsidRPr="007E0AF4" w:rsidRDefault="00DC0E0E" w:rsidP="001E6C97">
            <w:pPr>
              <w:pStyle w:val="a7"/>
              <w:ind w:left="0"/>
              <w:rPr>
                <w:sz w:val="22"/>
              </w:rPr>
            </w:pPr>
            <w:r w:rsidRPr="007E0AF4">
              <w:rPr>
                <w:sz w:val="22"/>
              </w:rPr>
              <w:t xml:space="preserve">- </w:t>
            </w:r>
            <w:proofErr w:type="spellStart"/>
            <w:r w:rsidRPr="007E0AF4">
              <w:rPr>
                <w:sz w:val="22"/>
              </w:rPr>
              <w:t>обстеження</w:t>
            </w:r>
            <w:proofErr w:type="spellEnd"/>
            <w:r w:rsidRPr="007E0AF4">
              <w:rPr>
                <w:sz w:val="22"/>
              </w:rPr>
              <w:t xml:space="preserve"> стану </w:t>
            </w:r>
            <w:proofErr w:type="spellStart"/>
            <w:r w:rsidRPr="007E0AF4">
              <w:rPr>
                <w:sz w:val="22"/>
              </w:rPr>
              <w:t>будівлі</w:t>
            </w:r>
            <w:proofErr w:type="spellEnd"/>
            <w:r w:rsidRPr="007E0AF4">
              <w:rPr>
                <w:sz w:val="22"/>
              </w:rPr>
              <w:t>;</w:t>
            </w:r>
          </w:p>
          <w:p w:rsidR="00DC0E0E" w:rsidRPr="007E0AF4" w:rsidRDefault="00DC0E0E" w:rsidP="001E6C97">
            <w:pPr>
              <w:pStyle w:val="a7"/>
              <w:ind w:left="0"/>
              <w:rPr>
                <w:color w:val="FF0000"/>
                <w:sz w:val="22"/>
              </w:rPr>
            </w:pPr>
            <w:r w:rsidRPr="007E0AF4">
              <w:rPr>
                <w:color w:val="000000" w:themeColor="text1"/>
                <w:sz w:val="22"/>
              </w:rPr>
              <w:t xml:space="preserve">- </w:t>
            </w:r>
            <w:proofErr w:type="spellStart"/>
            <w:r w:rsidRPr="007E0AF4">
              <w:rPr>
                <w:color w:val="000000" w:themeColor="text1"/>
                <w:sz w:val="22"/>
              </w:rPr>
              <w:t>проєктно-кошторисна</w:t>
            </w:r>
            <w:proofErr w:type="spellEnd"/>
            <w:r w:rsidRPr="007E0AF4">
              <w:rPr>
                <w:color w:val="000000" w:themeColor="text1"/>
                <w:sz w:val="22"/>
              </w:rPr>
              <w:t xml:space="preserve"> </w:t>
            </w:r>
            <w:proofErr w:type="spellStart"/>
            <w:r w:rsidRPr="007E0AF4">
              <w:rPr>
                <w:color w:val="000000" w:themeColor="text1"/>
                <w:sz w:val="22"/>
              </w:rPr>
              <w:t>документація</w:t>
            </w:r>
            <w:proofErr w:type="spellEnd"/>
            <w:r w:rsidRPr="007E0AF4">
              <w:rPr>
                <w:color w:val="000000" w:themeColor="text1"/>
                <w:sz w:val="22"/>
              </w:rPr>
              <w:t>;</w:t>
            </w:r>
          </w:p>
          <w:p w:rsidR="00DC0E0E" w:rsidRPr="007E0AF4" w:rsidRDefault="00DC0E0E" w:rsidP="001E6C97">
            <w:pPr>
              <w:pStyle w:val="a7"/>
              <w:ind w:left="0"/>
              <w:rPr>
                <w:sz w:val="22"/>
              </w:rPr>
            </w:pPr>
            <w:r w:rsidRPr="007E0AF4">
              <w:rPr>
                <w:sz w:val="22"/>
              </w:rPr>
              <w:t xml:space="preserve">- </w:t>
            </w:r>
            <w:proofErr w:type="spellStart"/>
            <w:r w:rsidRPr="007E0AF4">
              <w:rPr>
                <w:sz w:val="22"/>
              </w:rPr>
              <w:t>проведення</w:t>
            </w:r>
            <w:proofErr w:type="spellEnd"/>
            <w:r w:rsidRPr="007E0AF4">
              <w:rPr>
                <w:sz w:val="22"/>
              </w:rPr>
              <w:t xml:space="preserve"> </w:t>
            </w:r>
            <w:proofErr w:type="spellStart"/>
            <w:r w:rsidRPr="007E0AF4">
              <w:rPr>
                <w:sz w:val="22"/>
              </w:rPr>
              <w:t>інвентаризації</w:t>
            </w:r>
            <w:proofErr w:type="spellEnd"/>
            <w:r w:rsidRPr="007E0AF4">
              <w:rPr>
                <w:sz w:val="22"/>
              </w:rPr>
              <w:t xml:space="preserve"> </w:t>
            </w:r>
            <w:proofErr w:type="spellStart"/>
            <w:r w:rsidRPr="007E0AF4">
              <w:rPr>
                <w:sz w:val="22"/>
              </w:rPr>
              <w:t>основних</w:t>
            </w:r>
            <w:proofErr w:type="spellEnd"/>
            <w:r w:rsidRPr="007E0AF4">
              <w:rPr>
                <w:sz w:val="22"/>
              </w:rPr>
              <w:t xml:space="preserve"> </w:t>
            </w:r>
            <w:proofErr w:type="spellStart"/>
            <w:r w:rsidRPr="007E0AF4">
              <w:rPr>
                <w:sz w:val="22"/>
              </w:rPr>
              <w:t>засобів</w:t>
            </w:r>
            <w:proofErr w:type="spellEnd"/>
            <w:r w:rsidRPr="007E0AF4">
              <w:rPr>
                <w:sz w:val="22"/>
              </w:rPr>
              <w:t>;</w:t>
            </w:r>
          </w:p>
          <w:p w:rsidR="00DC0E0E" w:rsidRPr="007E0AF4" w:rsidRDefault="00DC0E0E" w:rsidP="001E6C97">
            <w:pPr>
              <w:pStyle w:val="a7"/>
              <w:ind w:left="0"/>
              <w:rPr>
                <w:sz w:val="22"/>
              </w:rPr>
            </w:pPr>
            <w:r w:rsidRPr="007E0AF4">
              <w:rPr>
                <w:sz w:val="22"/>
              </w:rPr>
              <w:t xml:space="preserve">- </w:t>
            </w:r>
            <w:proofErr w:type="spellStart"/>
            <w:r w:rsidRPr="007E0AF4">
              <w:rPr>
                <w:sz w:val="22"/>
              </w:rPr>
              <w:t>придбання</w:t>
            </w:r>
            <w:proofErr w:type="spellEnd"/>
            <w:r w:rsidRPr="007E0AF4">
              <w:rPr>
                <w:sz w:val="22"/>
              </w:rPr>
              <w:t xml:space="preserve"> </w:t>
            </w:r>
            <w:proofErr w:type="spellStart"/>
            <w:r w:rsidRPr="007E0AF4">
              <w:rPr>
                <w:sz w:val="22"/>
              </w:rPr>
              <w:t>технічного</w:t>
            </w:r>
            <w:proofErr w:type="spellEnd"/>
            <w:r w:rsidRPr="007E0AF4">
              <w:rPr>
                <w:sz w:val="22"/>
              </w:rPr>
              <w:t xml:space="preserve"> </w:t>
            </w:r>
            <w:proofErr w:type="spellStart"/>
            <w:r w:rsidRPr="007E0AF4">
              <w:rPr>
                <w:sz w:val="22"/>
              </w:rPr>
              <w:t>забезпечення</w:t>
            </w:r>
            <w:proofErr w:type="spellEnd"/>
            <w:r w:rsidRPr="007E0AF4">
              <w:rPr>
                <w:sz w:val="22"/>
              </w:rPr>
              <w:t xml:space="preserve"> закладу.;</w:t>
            </w:r>
          </w:p>
          <w:p w:rsidR="00DC0E0E" w:rsidRPr="007E0AF4" w:rsidRDefault="00DC0E0E" w:rsidP="001E6C97">
            <w:pPr>
              <w:pStyle w:val="a7"/>
              <w:rPr>
                <w:sz w:val="22"/>
              </w:rPr>
            </w:pPr>
            <w:r w:rsidRPr="007E0AF4">
              <w:rPr>
                <w:sz w:val="22"/>
              </w:rPr>
              <w:t xml:space="preserve">- </w:t>
            </w:r>
            <w:proofErr w:type="spellStart"/>
            <w:r w:rsidRPr="007E0AF4">
              <w:rPr>
                <w:sz w:val="22"/>
              </w:rPr>
              <w:t>придбання</w:t>
            </w:r>
            <w:proofErr w:type="spellEnd"/>
            <w:r w:rsidRPr="007E0AF4">
              <w:rPr>
                <w:sz w:val="22"/>
              </w:rPr>
              <w:t xml:space="preserve"> </w:t>
            </w:r>
            <w:proofErr w:type="spellStart"/>
            <w:r w:rsidRPr="007E0AF4">
              <w:rPr>
                <w:sz w:val="22"/>
              </w:rPr>
              <w:t>технологічного</w:t>
            </w:r>
            <w:proofErr w:type="spellEnd"/>
            <w:r w:rsidRPr="007E0AF4">
              <w:rPr>
                <w:sz w:val="22"/>
              </w:rPr>
              <w:t xml:space="preserve"> </w:t>
            </w:r>
            <w:proofErr w:type="spellStart"/>
            <w:r w:rsidRPr="007E0AF4">
              <w:rPr>
                <w:sz w:val="22"/>
              </w:rPr>
              <w:t>забезпечення</w:t>
            </w:r>
            <w:proofErr w:type="spellEnd"/>
            <w:r w:rsidRPr="007E0AF4">
              <w:rPr>
                <w:sz w:val="22"/>
              </w:rPr>
              <w:t xml:space="preserve">; </w:t>
            </w:r>
          </w:p>
          <w:p w:rsidR="00DC0E0E" w:rsidRPr="007E0AF4" w:rsidRDefault="00DC0E0E" w:rsidP="001E6C97">
            <w:pPr>
              <w:rPr>
                <w:sz w:val="22"/>
              </w:rPr>
            </w:pPr>
            <w:r w:rsidRPr="007E0AF4">
              <w:rPr>
                <w:color w:val="000000" w:themeColor="text1"/>
                <w:sz w:val="22"/>
              </w:rPr>
              <w:t>-</w:t>
            </w:r>
            <w:proofErr w:type="spellStart"/>
            <w:r w:rsidRPr="007E0AF4">
              <w:rPr>
                <w:color w:val="000000" w:themeColor="text1"/>
                <w:sz w:val="22"/>
              </w:rPr>
              <w:t>демонтажні</w:t>
            </w:r>
            <w:proofErr w:type="spellEnd"/>
            <w:r w:rsidRPr="007E0AF4">
              <w:rPr>
                <w:color w:val="000000" w:themeColor="text1"/>
                <w:sz w:val="22"/>
              </w:rPr>
              <w:t xml:space="preserve"> та </w:t>
            </w:r>
            <w:proofErr w:type="spellStart"/>
            <w:r w:rsidRPr="007E0AF4">
              <w:rPr>
                <w:color w:val="000000" w:themeColor="text1"/>
                <w:sz w:val="22"/>
              </w:rPr>
              <w:t>монтажні</w:t>
            </w:r>
            <w:proofErr w:type="spellEnd"/>
            <w:r w:rsidRPr="007E0AF4">
              <w:rPr>
                <w:color w:val="000000" w:themeColor="text1"/>
                <w:sz w:val="22"/>
              </w:rPr>
              <w:t xml:space="preserve"> </w:t>
            </w:r>
            <w:proofErr w:type="spellStart"/>
            <w:r w:rsidRPr="007E0AF4">
              <w:rPr>
                <w:color w:val="000000" w:themeColor="text1"/>
                <w:sz w:val="22"/>
              </w:rPr>
              <w:t>роботи</w:t>
            </w:r>
            <w:proofErr w:type="spellEnd"/>
            <w:r w:rsidRPr="007E0AF4">
              <w:rPr>
                <w:color w:val="000000" w:themeColor="text1"/>
                <w:sz w:val="22"/>
              </w:rPr>
              <w:t>;</w:t>
            </w:r>
          </w:p>
          <w:p w:rsidR="00DC0E0E" w:rsidRPr="007E0AF4" w:rsidRDefault="00DC0E0E" w:rsidP="001E6C97">
            <w:pPr>
              <w:pStyle w:val="a7"/>
              <w:ind w:left="0"/>
              <w:rPr>
                <w:sz w:val="22"/>
              </w:rPr>
            </w:pPr>
            <w:r w:rsidRPr="007E0AF4">
              <w:rPr>
                <w:sz w:val="22"/>
              </w:rPr>
              <w:t xml:space="preserve">- </w:t>
            </w:r>
            <w:proofErr w:type="spellStart"/>
            <w:r w:rsidRPr="007E0AF4">
              <w:rPr>
                <w:sz w:val="22"/>
              </w:rPr>
              <w:t>визначення</w:t>
            </w:r>
            <w:proofErr w:type="spellEnd"/>
            <w:r w:rsidRPr="007E0AF4">
              <w:rPr>
                <w:sz w:val="22"/>
              </w:rPr>
              <w:t xml:space="preserve"> </w:t>
            </w:r>
            <w:proofErr w:type="spellStart"/>
            <w:r w:rsidRPr="007E0AF4">
              <w:rPr>
                <w:sz w:val="22"/>
              </w:rPr>
              <w:t>кількості</w:t>
            </w:r>
            <w:proofErr w:type="spellEnd"/>
            <w:r w:rsidRPr="007E0AF4">
              <w:rPr>
                <w:sz w:val="22"/>
              </w:rPr>
              <w:t xml:space="preserve"> </w:t>
            </w:r>
            <w:proofErr w:type="spellStart"/>
            <w:r w:rsidRPr="007E0AF4">
              <w:rPr>
                <w:sz w:val="22"/>
              </w:rPr>
              <w:t>осіб</w:t>
            </w:r>
            <w:proofErr w:type="spellEnd"/>
            <w:r w:rsidRPr="007E0AF4">
              <w:rPr>
                <w:sz w:val="22"/>
              </w:rPr>
              <w:t xml:space="preserve">, </w:t>
            </w:r>
            <w:proofErr w:type="spellStart"/>
            <w:r w:rsidRPr="007E0AF4">
              <w:rPr>
                <w:sz w:val="22"/>
              </w:rPr>
              <w:t>які</w:t>
            </w:r>
            <w:proofErr w:type="spellEnd"/>
            <w:r w:rsidRPr="007E0AF4">
              <w:rPr>
                <w:sz w:val="22"/>
              </w:rPr>
              <w:t xml:space="preserve"> </w:t>
            </w:r>
            <w:proofErr w:type="spellStart"/>
            <w:r w:rsidRPr="007E0AF4">
              <w:rPr>
                <w:sz w:val="22"/>
              </w:rPr>
              <w:t>потребують</w:t>
            </w:r>
            <w:proofErr w:type="spellEnd"/>
            <w:r w:rsidRPr="007E0AF4">
              <w:rPr>
                <w:sz w:val="22"/>
              </w:rPr>
              <w:t xml:space="preserve"> </w:t>
            </w:r>
            <w:proofErr w:type="spellStart"/>
            <w:r w:rsidRPr="007E0AF4">
              <w:rPr>
                <w:sz w:val="22"/>
              </w:rPr>
              <w:t>отримання</w:t>
            </w:r>
            <w:proofErr w:type="spellEnd"/>
            <w:r w:rsidRPr="007E0AF4">
              <w:rPr>
                <w:sz w:val="22"/>
              </w:rPr>
              <w:t xml:space="preserve"> </w:t>
            </w:r>
            <w:proofErr w:type="spellStart"/>
            <w:r w:rsidRPr="007E0AF4">
              <w:rPr>
                <w:sz w:val="22"/>
              </w:rPr>
              <w:t>соціальних</w:t>
            </w:r>
            <w:proofErr w:type="spellEnd"/>
            <w:r w:rsidRPr="007E0AF4">
              <w:rPr>
                <w:sz w:val="22"/>
              </w:rPr>
              <w:t xml:space="preserve">, </w:t>
            </w:r>
            <w:proofErr w:type="spellStart"/>
            <w:r w:rsidRPr="007E0AF4">
              <w:rPr>
                <w:sz w:val="22"/>
              </w:rPr>
              <w:t>освітніх</w:t>
            </w:r>
            <w:proofErr w:type="spellEnd"/>
            <w:r w:rsidRPr="007E0AF4">
              <w:rPr>
                <w:sz w:val="22"/>
              </w:rPr>
              <w:t xml:space="preserve"> </w:t>
            </w:r>
            <w:proofErr w:type="spellStart"/>
            <w:r w:rsidRPr="007E0AF4">
              <w:rPr>
                <w:sz w:val="22"/>
              </w:rPr>
              <w:t>послуг</w:t>
            </w:r>
            <w:proofErr w:type="spellEnd"/>
            <w:r w:rsidRPr="007E0AF4">
              <w:rPr>
                <w:sz w:val="22"/>
              </w:rPr>
              <w:t xml:space="preserve"> закладу.</w:t>
            </w:r>
          </w:p>
          <w:p w:rsidR="00DC0E0E" w:rsidRPr="007E0AF4" w:rsidRDefault="00DC0E0E" w:rsidP="001E6C97">
            <w:pPr>
              <w:pStyle w:val="a7"/>
              <w:ind w:left="0"/>
              <w:rPr>
                <w:sz w:val="22"/>
              </w:rPr>
            </w:pPr>
            <w:r w:rsidRPr="007E0AF4">
              <w:rPr>
                <w:sz w:val="22"/>
              </w:rPr>
              <w:t xml:space="preserve">- </w:t>
            </w:r>
            <w:proofErr w:type="spellStart"/>
            <w:r w:rsidRPr="007E0AF4">
              <w:rPr>
                <w:sz w:val="22"/>
              </w:rPr>
              <w:t>організація</w:t>
            </w:r>
            <w:proofErr w:type="spellEnd"/>
            <w:r w:rsidRPr="007E0AF4">
              <w:rPr>
                <w:sz w:val="22"/>
              </w:rPr>
              <w:t xml:space="preserve"> та початок </w:t>
            </w:r>
            <w:proofErr w:type="spellStart"/>
            <w:r w:rsidRPr="007E0AF4">
              <w:rPr>
                <w:sz w:val="22"/>
              </w:rPr>
              <w:t>робочого</w:t>
            </w:r>
            <w:proofErr w:type="spellEnd"/>
            <w:r w:rsidRPr="007E0AF4">
              <w:rPr>
                <w:sz w:val="22"/>
              </w:rPr>
              <w:t xml:space="preserve"> </w:t>
            </w:r>
            <w:proofErr w:type="spellStart"/>
            <w:r w:rsidRPr="007E0AF4">
              <w:rPr>
                <w:sz w:val="22"/>
              </w:rPr>
              <w:t>процесу</w:t>
            </w:r>
            <w:proofErr w:type="spellEnd"/>
            <w:r w:rsidRPr="007E0AF4">
              <w:rPr>
                <w:sz w:val="22"/>
              </w:rPr>
              <w:t>.</w:t>
            </w:r>
          </w:p>
        </w:tc>
      </w:tr>
      <w:tr w:rsidR="00DC0E0E" w:rsidRPr="007E0AF4" w:rsidTr="00DC0E0E">
        <w:trPr>
          <w:trHeight w:val="360"/>
        </w:trPr>
        <w:tc>
          <w:tcPr>
            <w:tcW w:w="2978" w:type="dxa"/>
            <w:vMerge w:val="restart"/>
            <w:shd w:val="clear" w:color="auto" w:fill="C6D9F1" w:themeFill="text2" w:themeFillTint="33"/>
          </w:tcPr>
          <w:p w:rsidR="00DC0E0E" w:rsidRPr="007E0AF4" w:rsidRDefault="00DC0E0E" w:rsidP="001E6C97">
            <w:pPr>
              <w:pStyle w:val="a7"/>
              <w:ind w:left="0"/>
              <w:rPr>
                <w:b/>
                <w:sz w:val="22"/>
              </w:rPr>
            </w:pPr>
            <w:proofErr w:type="spellStart"/>
            <w:r w:rsidRPr="007E0AF4">
              <w:rPr>
                <w:b/>
                <w:sz w:val="22"/>
              </w:rPr>
              <w:t>Орієнтовний</w:t>
            </w:r>
            <w:proofErr w:type="spellEnd"/>
            <w:r w:rsidRPr="007E0AF4">
              <w:rPr>
                <w:b/>
                <w:sz w:val="22"/>
              </w:rPr>
              <w:t xml:space="preserve"> </w:t>
            </w:r>
            <w:proofErr w:type="spellStart"/>
            <w:r w:rsidRPr="007E0AF4">
              <w:rPr>
                <w:b/>
                <w:sz w:val="22"/>
              </w:rPr>
              <w:t>обсяг</w:t>
            </w:r>
            <w:proofErr w:type="spellEnd"/>
            <w:r w:rsidRPr="007E0AF4">
              <w:rPr>
                <w:b/>
                <w:sz w:val="22"/>
              </w:rPr>
              <w:t xml:space="preserve"> та </w:t>
            </w:r>
            <w:proofErr w:type="spellStart"/>
            <w:r w:rsidRPr="007E0AF4">
              <w:rPr>
                <w:b/>
                <w:sz w:val="22"/>
              </w:rPr>
              <w:t>джерела</w:t>
            </w:r>
            <w:proofErr w:type="spellEnd"/>
            <w:r w:rsidRPr="007E0AF4">
              <w:rPr>
                <w:b/>
                <w:sz w:val="22"/>
              </w:rPr>
              <w:t xml:space="preserve"> </w:t>
            </w:r>
            <w:proofErr w:type="spellStart"/>
            <w:r w:rsidRPr="007E0AF4">
              <w:rPr>
                <w:b/>
                <w:sz w:val="22"/>
              </w:rPr>
              <w:t>фінансування</w:t>
            </w:r>
            <w:proofErr w:type="spellEnd"/>
            <w:r w:rsidRPr="007E0AF4">
              <w:rPr>
                <w:b/>
                <w:sz w:val="22"/>
              </w:rPr>
              <w:t xml:space="preserve">, тис. грн. </w:t>
            </w:r>
          </w:p>
          <w:p w:rsidR="00DC0E0E" w:rsidRPr="007E0AF4" w:rsidRDefault="00DC0E0E" w:rsidP="001E6C97">
            <w:pPr>
              <w:pStyle w:val="a7"/>
              <w:ind w:left="0"/>
              <w:rPr>
                <w:b/>
                <w:sz w:val="22"/>
              </w:rPr>
            </w:pPr>
          </w:p>
        </w:tc>
        <w:tc>
          <w:tcPr>
            <w:tcW w:w="1559" w:type="dxa"/>
            <w:tcBorders>
              <w:bottom w:val="single" w:sz="4" w:space="0" w:color="auto"/>
              <w:right w:val="single" w:sz="4" w:space="0" w:color="auto"/>
            </w:tcBorders>
          </w:tcPr>
          <w:p w:rsidR="00DC0E0E" w:rsidRPr="007E0AF4" w:rsidRDefault="00DC0E0E" w:rsidP="001E6C97">
            <w:pPr>
              <w:pStyle w:val="a7"/>
              <w:ind w:left="0"/>
              <w:jc w:val="center"/>
              <w:rPr>
                <w:b/>
                <w:sz w:val="22"/>
              </w:rPr>
            </w:pPr>
            <w:proofErr w:type="spellStart"/>
            <w:r w:rsidRPr="007E0AF4">
              <w:rPr>
                <w:b/>
                <w:sz w:val="22"/>
              </w:rPr>
              <w:t>Державний</w:t>
            </w:r>
            <w:proofErr w:type="spellEnd"/>
            <w:r w:rsidRPr="007E0AF4">
              <w:rPr>
                <w:b/>
                <w:sz w:val="22"/>
              </w:rPr>
              <w:t xml:space="preserve"> бюджет</w:t>
            </w:r>
          </w:p>
        </w:tc>
        <w:tc>
          <w:tcPr>
            <w:tcW w:w="1417" w:type="dxa"/>
            <w:tcBorders>
              <w:bottom w:val="single" w:sz="4" w:space="0" w:color="auto"/>
              <w:right w:val="single" w:sz="4" w:space="0" w:color="auto"/>
            </w:tcBorders>
          </w:tcPr>
          <w:p w:rsidR="00DC0E0E" w:rsidRPr="007E0AF4" w:rsidRDefault="00DC0E0E" w:rsidP="001E6C97">
            <w:pPr>
              <w:pStyle w:val="a7"/>
              <w:ind w:left="0"/>
              <w:jc w:val="center"/>
              <w:rPr>
                <w:b/>
                <w:sz w:val="22"/>
              </w:rPr>
            </w:pPr>
            <w:proofErr w:type="spellStart"/>
            <w:r w:rsidRPr="007E0AF4">
              <w:rPr>
                <w:b/>
                <w:sz w:val="22"/>
              </w:rPr>
              <w:t>Місцевий</w:t>
            </w:r>
            <w:proofErr w:type="spellEnd"/>
            <w:r w:rsidRPr="007E0AF4">
              <w:rPr>
                <w:b/>
                <w:sz w:val="22"/>
              </w:rPr>
              <w:t xml:space="preserve"> бюджет</w:t>
            </w:r>
          </w:p>
        </w:tc>
        <w:tc>
          <w:tcPr>
            <w:tcW w:w="2519" w:type="dxa"/>
            <w:gridSpan w:val="3"/>
            <w:tcBorders>
              <w:left w:val="single" w:sz="4" w:space="0" w:color="auto"/>
              <w:bottom w:val="single" w:sz="4" w:space="0" w:color="auto"/>
              <w:right w:val="single" w:sz="4" w:space="0" w:color="auto"/>
            </w:tcBorders>
          </w:tcPr>
          <w:p w:rsidR="00DC0E0E" w:rsidRPr="007E0AF4" w:rsidRDefault="00DC0E0E" w:rsidP="001E6C97">
            <w:pPr>
              <w:pStyle w:val="a7"/>
              <w:ind w:left="0"/>
              <w:jc w:val="center"/>
              <w:rPr>
                <w:b/>
                <w:sz w:val="22"/>
              </w:rPr>
            </w:pPr>
            <w:proofErr w:type="spellStart"/>
            <w:r w:rsidRPr="007E0AF4">
              <w:rPr>
                <w:b/>
                <w:sz w:val="22"/>
              </w:rPr>
              <w:t>Інші</w:t>
            </w:r>
            <w:proofErr w:type="spellEnd"/>
            <w:r w:rsidRPr="007E0AF4">
              <w:rPr>
                <w:b/>
                <w:sz w:val="22"/>
              </w:rPr>
              <w:t xml:space="preserve"> </w:t>
            </w:r>
            <w:proofErr w:type="spellStart"/>
            <w:r w:rsidRPr="007E0AF4">
              <w:rPr>
                <w:b/>
                <w:sz w:val="22"/>
              </w:rPr>
              <w:t>джерела</w:t>
            </w:r>
            <w:proofErr w:type="spellEnd"/>
          </w:p>
        </w:tc>
        <w:tc>
          <w:tcPr>
            <w:tcW w:w="1415" w:type="dxa"/>
            <w:tcBorders>
              <w:left w:val="single" w:sz="4" w:space="0" w:color="auto"/>
              <w:bottom w:val="single" w:sz="4" w:space="0" w:color="auto"/>
            </w:tcBorders>
          </w:tcPr>
          <w:p w:rsidR="00DC0E0E" w:rsidRPr="007E0AF4" w:rsidRDefault="00DC0E0E" w:rsidP="001E6C97">
            <w:pPr>
              <w:pStyle w:val="a7"/>
              <w:ind w:left="0"/>
              <w:jc w:val="center"/>
              <w:rPr>
                <w:b/>
                <w:sz w:val="22"/>
              </w:rPr>
            </w:pPr>
            <w:proofErr w:type="spellStart"/>
            <w:r w:rsidRPr="007E0AF4">
              <w:rPr>
                <w:b/>
                <w:sz w:val="22"/>
              </w:rPr>
              <w:t>Всього</w:t>
            </w:r>
            <w:proofErr w:type="spellEnd"/>
          </w:p>
        </w:tc>
      </w:tr>
      <w:tr w:rsidR="00DC0E0E" w:rsidRPr="007E0AF4" w:rsidTr="00DC0E0E">
        <w:trPr>
          <w:trHeight w:val="225"/>
        </w:trPr>
        <w:tc>
          <w:tcPr>
            <w:tcW w:w="2978" w:type="dxa"/>
            <w:vMerge/>
            <w:shd w:val="clear" w:color="auto" w:fill="C6D9F1" w:themeFill="text2" w:themeFillTint="33"/>
          </w:tcPr>
          <w:p w:rsidR="00DC0E0E" w:rsidRPr="007E0AF4" w:rsidRDefault="00DC0E0E" w:rsidP="001E6C97">
            <w:pPr>
              <w:pStyle w:val="a7"/>
              <w:ind w:left="0"/>
              <w:rPr>
                <w:b/>
                <w:sz w:val="22"/>
              </w:rPr>
            </w:pPr>
          </w:p>
        </w:tc>
        <w:tc>
          <w:tcPr>
            <w:tcW w:w="1559" w:type="dxa"/>
            <w:vMerge w:val="restart"/>
            <w:tcBorders>
              <w:top w:val="single" w:sz="4" w:space="0" w:color="auto"/>
              <w:right w:val="single" w:sz="4" w:space="0" w:color="auto"/>
            </w:tcBorders>
          </w:tcPr>
          <w:p w:rsidR="00DC0E0E" w:rsidRPr="007E0AF4" w:rsidRDefault="00DC0E0E" w:rsidP="001E6C97">
            <w:pPr>
              <w:pStyle w:val="a7"/>
              <w:ind w:left="0"/>
              <w:jc w:val="center"/>
              <w:rPr>
                <w:sz w:val="22"/>
              </w:rPr>
            </w:pPr>
            <w:r w:rsidRPr="007E0AF4">
              <w:rPr>
                <w:sz w:val="22"/>
              </w:rPr>
              <w:t xml:space="preserve">2800,0 </w:t>
            </w:r>
          </w:p>
        </w:tc>
        <w:tc>
          <w:tcPr>
            <w:tcW w:w="1417" w:type="dxa"/>
            <w:vMerge w:val="restart"/>
            <w:tcBorders>
              <w:top w:val="single" w:sz="4" w:space="0" w:color="auto"/>
              <w:right w:val="single" w:sz="4" w:space="0" w:color="auto"/>
            </w:tcBorders>
          </w:tcPr>
          <w:p w:rsidR="00DC0E0E" w:rsidRPr="007E0AF4" w:rsidRDefault="00DC0E0E" w:rsidP="001E6C97">
            <w:pPr>
              <w:pStyle w:val="a7"/>
              <w:ind w:left="0"/>
              <w:jc w:val="center"/>
              <w:rPr>
                <w:b/>
                <w:sz w:val="22"/>
              </w:rPr>
            </w:pPr>
            <w:r w:rsidRPr="007E0AF4">
              <w:rPr>
                <w:b/>
                <w:sz w:val="22"/>
              </w:rPr>
              <w:t>-</w:t>
            </w:r>
          </w:p>
        </w:tc>
        <w:tc>
          <w:tcPr>
            <w:tcW w:w="1064" w:type="dxa"/>
            <w:gridSpan w:val="2"/>
            <w:tcBorders>
              <w:top w:val="single" w:sz="4" w:space="0" w:color="auto"/>
              <w:left w:val="single" w:sz="4" w:space="0" w:color="auto"/>
              <w:bottom w:val="single" w:sz="4" w:space="0" w:color="auto"/>
              <w:right w:val="single" w:sz="4" w:space="0" w:color="auto"/>
            </w:tcBorders>
          </w:tcPr>
          <w:p w:rsidR="00DC0E0E" w:rsidRPr="007E0AF4" w:rsidRDefault="00DC0E0E" w:rsidP="001E6C97">
            <w:pPr>
              <w:pStyle w:val="a7"/>
              <w:ind w:left="0"/>
              <w:jc w:val="center"/>
              <w:rPr>
                <w:b/>
                <w:sz w:val="22"/>
              </w:rPr>
            </w:pPr>
            <w:proofErr w:type="spellStart"/>
            <w:r w:rsidRPr="007E0AF4">
              <w:rPr>
                <w:b/>
                <w:sz w:val="22"/>
              </w:rPr>
              <w:t>Обсяг</w:t>
            </w:r>
            <w:proofErr w:type="spellEnd"/>
          </w:p>
        </w:tc>
        <w:tc>
          <w:tcPr>
            <w:tcW w:w="1455" w:type="dxa"/>
            <w:tcBorders>
              <w:top w:val="single" w:sz="4" w:space="0" w:color="auto"/>
              <w:left w:val="single" w:sz="4" w:space="0" w:color="auto"/>
              <w:bottom w:val="single" w:sz="4" w:space="0" w:color="auto"/>
              <w:right w:val="single" w:sz="4" w:space="0" w:color="auto"/>
            </w:tcBorders>
          </w:tcPr>
          <w:p w:rsidR="00DC0E0E" w:rsidRPr="007E0AF4" w:rsidRDefault="00DC0E0E" w:rsidP="001E6C97">
            <w:pPr>
              <w:pStyle w:val="a7"/>
              <w:ind w:left="0"/>
              <w:jc w:val="center"/>
              <w:rPr>
                <w:b/>
                <w:sz w:val="22"/>
              </w:rPr>
            </w:pPr>
            <w:proofErr w:type="spellStart"/>
            <w:r w:rsidRPr="007E0AF4">
              <w:rPr>
                <w:b/>
                <w:sz w:val="22"/>
              </w:rPr>
              <w:t>Назва</w:t>
            </w:r>
            <w:proofErr w:type="spellEnd"/>
            <w:r w:rsidRPr="007E0AF4">
              <w:rPr>
                <w:b/>
                <w:sz w:val="22"/>
              </w:rPr>
              <w:t xml:space="preserve"> </w:t>
            </w:r>
            <w:proofErr w:type="spellStart"/>
            <w:r w:rsidRPr="007E0AF4">
              <w:rPr>
                <w:b/>
                <w:sz w:val="22"/>
              </w:rPr>
              <w:t>джерела</w:t>
            </w:r>
            <w:proofErr w:type="spellEnd"/>
          </w:p>
        </w:tc>
        <w:tc>
          <w:tcPr>
            <w:tcW w:w="1415" w:type="dxa"/>
            <w:vMerge w:val="restart"/>
            <w:tcBorders>
              <w:top w:val="single" w:sz="4" w:space="0" w:color="auto"/>
              <w:left w:val="single" w:sz="4" w:space="0" w:color="auto"/>
            </w:tcBorders>
          </w:tcPr>
          <w:p w:rsidR="00DC0E0E" w:rsidRPr="007E0AF4" w:rsidRDefault="00DC0E0E" w:rsidP="001E6C97">
            <w:pPr>
              <w:pStyle w:val="a7"/>
              <w:ind w:left="0"/>
              <w:jc w:val="center"/>
              <w:rPr>
                <w:sz w:val="22"/>
              </w:rPr>
            </w:pPr>
            <w:r w:rsidRPr="007E0AF4">
              <w:rPr>
                <w:sz w:val="22"/>
              </w:rPr>
              <w:t xml:space="preserve">4000,0 </w:t>
            </w:r>
          </w:p>
        </w:tc>
      </w:tr>
      <w:tr w:rsidR="00DC0E0E" w:rsidRPr="007E0AF4" w:rsidTr="00DC0E0E">
        <w:trPr>
          <w:trHeight w:val="300"/>
        </w:trPr>
        <w:tc>
          <w:tcPr>
            <w:tcW w:w="2978" w:type="dxa"/>
            <w:vMerge/>
            <w:shd w:val="clear" w:color="auto" w:fill="C6D9F1" w:themeFill="text2" w:themeFillTint="33"/>
          </w:tcPr>
          <w:p w:rsidR="00DC0E0E" w:rsidRPr="007E0AF4" w:rsidRDefault="00DC0E0E" w:rsidP="001E6C97">
            <w:pPr>
              <w:pStyle w:val="a7"/>
              <w:ind w:left="0"/>
              <w:rPr>
                <w:b/>
                <w:sz w:val="22"/>
              </w:rPr>
            </w:pPr>
          </w:p>
        </w:tc>
        <w:tc>
          <w:tcPr>
            <w:tcW w:w="1559" w:type="dxa"/>
            <w:vMerge/>
            <w:tcBorders>
              <w:right w:val="single" w:sz="4" w:space="0" w:color="auto"/>
            </w:tcBorders>
          </w:tcPr>
          <w:p w:rsidR="00DC0E0E" w:rsidRPr="007E0AF4" w:rsidRDefault="00DC0E0E" w:rsidP="001E6C97">
            <w:pPr>
              <w:pStyle w:val="a7"/>
              <w:ind w:left="0"/>
              <w:jc w:val="center"/>
              <w:rPr>
                <w:sz w:val="22"/>
              </w:rPr>
            </w:pPr>
          </w:p>
        </w:tc>
        <w:tc>
          <w:tcPr>
            <w:tcW w:w="1417" w:type="dxa"/>
            <w:vMerge/>
            <w:tcBorders>
              <w:right w:val="single" w:sz="4" w:space="0" w:color="auto"/>
            </w:tcBorders>
          </w:tcPr>
          <w:p w:rsidR="00DC0E0E" w:rsidRPr="007E0AF4" w:rsidRDefault="00DC0E0E" w:rsidP="001E6C97">
            <w:pPr>
              <w:pStyle w:val="a7"/>
              <w:ind w:left="0"/>
              <w:jc w:val="center"/>
              <w:rPr>
                <w:b/>
                <w:sz w:val="22"/>
              </w:rPr>
            </w:pPr>
          </w:p>
        </w:tc>
        <w:tc>
          <w:tcPr>
            <w:tcW w:w="1064" w:type="dxa"/>
            <w:gridSpan w:val="2"/>
            <w:tcBorders>
              <w:top w:val="single" w:sz="4" w:space="0" w:color="auto"/>
              <w:left w:val="single" w:sz="4" w:space="0" w:color="auto"/>
              <w:right w:val="single" w:sz="4" w:space="0" w:color="auto"/>
            </w:tcBorders>
          </w:tcPr>
          <w:p w:rsidR="00DC0E0E" w:rsidRPr="007E0AF4" w:rsidRDefault="00DC0E0E" w:rsidP="001E6C97">
            <w:pPr>
              <w:pStyle w:val="a7"/>
              <w:ind w:left="0"/>
              <w:jc w:val="center"/>
              <w:rPr>
                <w:sz w:val="22"/>
              </w:rPr>
            </w:pPr>
            <w:r w:rsidRPr="007E0AF4">
              <w:rPr>
                <w:sz w:val="22"/>
              </w:rPr>
              <w:t>1200,0</w:t>
            </w:r>
          </w:p>
        </w:tc>
        <w:tc>
          <w:tcPr>
            <w:tcW w:w="1455" w:type="dxa"/>
            <w:tcBorders>
              <w:top w:val="single" w:sz="4" w:space="0" w:color="auto"/>
              <w:left w:val="single" w:sz="4" w:space="0" w:color="auto"/>
              <w:right w:val="single" w:sz="4" w:space="0" w:color="auto"/>
            </w:tcBorders>
          </w:tcPr>
          <w:p w:rsidR="00DC0E0E" w:rsidRPr="007E0AF4" w:rsidRDefault="00DC0E0E" w:rsidP="001E6C97">
            <w:pPr>
              <w:pStyle w:val="a7"/>
              <w:ind w:left="0"/>
              <w:rPr>
                <w:sz w:val="22"/>
              </w:rPr>
            </w:pPr>
            <w:proofErr w:type="spellStart"/>
            <w:r w:rsidRPr="007E0AF4">
              <w:rPr>
                <w:rFonts w:eastAsia="Calibri"/>
                <w:color w:val="000000"/>
                <w:sz w:val="22"/>
              </w:rPr>
              <w:t>Міжнародні</w:t>
            </w:r>
            <w:proofErr w:type="spellEnd"/>
            <w:r w:rsidRPr="007E0AF4">
              <w:rPr>
                <w:rFonts w:eastAsia="Calibri"/>
                <w:color w:val="000000"/>
                <w:sz w:val="22"/>
              </w:rPr>
              <w:t xml:space="preserve"> </w:t>
            </w:r>
            <w:proofErr w:type="spellStart"/>
            <w:r w:rsidRPr="007E0AF4">
              <w:rPr>
                <w:rFonts w:eastAsia="Calibri"/>
                <w:color w:val="000000"/>
                <w:sz w:val="22"/>
              </w:rPr>
              <w:t>інвестиції</w:t>
            </w:r>
            <w:proofErr w:type="spellEnd"/>
          </w:p>
        </w:tc>
        <w:tc>
          <w:tcPr>
            <w:tcW w:w="1415" w:type="dxa"/>
            <w:vMerge/>
            <w:tcBorders>
              <w:left w:val="single" w:sz="4" w:space="0" w:color="auto"/>
            </w:tcBorders>
          </w:tcPr>
          <w:p w:rsidR="00DC0E0E" w:rsidRPr="007E0AF4" w:rsidRDefault="00DC0E0E" w:rsidP="001E6C97">
            <w:pPr>
              <w:pStyle w:val="a7"/>
              <w:ind w:left="0"/>
              <w:jc w:val="center"/>
              <w:rPr>
                <w:sz w:val="22"/>
              </w:rPr>
            </w:pPr>
          </w:p>
        </w:tc>
      </w:tr>
    </w:tbl>
    <w:p w:rsidR="00DC0E0E" w:rsidRPr="007E0AF4" w:rsidRDefault="00DC0E0E" w:rsidP="00E95FB1">
      <w:pPr>
        <w:rPr>
          <w:sz w:val="22"/>
        </w:rPr>
      </w:pPr>
    </w:p>
    <w:p w:rsidR="00DC0E0E" w:rsidRPr="007E0AF4" w:rsidRDefault="00DC0E0E" w:rsidP="00E95FB1">
      <w:pPr>
        <w:rPr>
          <w:sz w:val="22"/>
        </w:rPr>
      </w:pPr>
    </w:p>
    <w:tbl>
      <w:tblPr>
        <w:tblStyle w:val="af"/>
        <w:tblW w:w="0" w:type="auto"/>
        <w:tblInd w:w="-176" w:type="dxa"/>
        <w:tblLook w:val="04A0" w:firstRow="1" w:lastRow="0" w:firstColumn="1" w:lastColumn="0" w:noHBand="0" w:noVBand="1"/>
      </w:tblPr>
      <w:tblGrid>
        <w:gridCol w:w="2841"/>
        <w:gridCol w:w="1731"/>
        <w:gridCol w:w="1368"/>
        <w:gridCol w:w="624"/>
        <w:gridCol w:w="246"/>
        <w:gridCol w:w="1452"/>
        <w:gridCol w:w="1400"/>
      </w:tblGrid>
      <w:tr w:rsidR="00DC0E0E" w:rsidRPr="007E0AF4" w:rsidTr="00DC0E0E">
        <w:tc>
          <w:tcPr>
            <w:tcW w:w="2978" w:type="dxa"/>
            <w:shd w:val="clear" w:color="auto" w:fill="C6D9F1" w:themeFill="text2" w:themeFillTint="33"/>
          </w:tcPr>
          <w:p w:rsidR="00DC0E0E" w:rsidRPr="007E0AF4" w:rsidRDefault="00DC0E0E" w:rsidP="001E6C97">
            <w:pPr>
              <w:pStyle w:val="a7"/>
              <w:ind w:left="0"/>
              <w:rPr>
                <w:b/>
                <w:sz w:val="22"/>
              </w:rPr>
            </w:pPr>
            <w:r w:rsidRPr="007E0AF4">
              <w:rPr>
                <w:b/>
                <w:sz w:val="22"/>
              </w:rPr>
              <w:t xml:space="preserve">Оперативна </w:t>
            </w:r>
            <w:proofErr w:type="spellStart"/>
            <w:r w:rsidRPr="007E0AF4">
              <w:rPr>
                <w:b/>
                <w:sz w:val="22"/>
              </w:rPr>
              <w:t>ціль</w:t>
            </w:r>
            <w:proofErr w:type="spellEnd"/>
            <w:r w:rsidRPr="007E0AF4">
              <w:rPr>
                <w:b/>
                <w:sz w:val="22"/>
              </w:rPr>
              <w:t>/</w:t>
            </w:r>
            <w:proofErr w:type="spellStart"/>
            <w:r w:rsidRPr="007E0AF4">
              <w:rPr>
                <w:b/>
                <w:sz w:val="22"/>
              </w:rPr>
              <w:t>завдання</w:t>
            </w:r>
            <w:proofErr w:type="spellEnd"/>
          </w:p>
        </w:tc>
        <w:tc>
          <w:tcPr>
            <w:tcW w:w="6910" w:type="dxa"/>
            <w:gridSpan w:val="6"/>
            <w:shd w:val="clear" w:color="auto" w:fill="auto"/>
          </w:tcPr>
          <w:p w:rsidR="00DC0E0E" w:rsidRPr="007E0AF4" w:rsidRDefault="00DC0E0E" w:rsidP="001E6C97">
            <w:pPr>
              <w:pStyle w:val="a7"/>
              <w:ind w:left="0"/>
              <w:rPr>
                <w:color w:val="000000" w:themeColor="text1"/>
                <w:sz w:val="22"/>
              </w:rPr>
            </w:pPr>
            <w:proofErr w:type="spellStart"/>
            <w:r w:rsidRPr="007E0AF4">
              <w:rPr>
                <w:color w:val="000000" w:themeColor="text1"/>
                <w:sz w:val="22"/>
              </w:rPr>
              <w:t>Людський</w:t>
            </w:r>
            <w:proofErr w:type="spellEnd"/>
            <w:r w:rsidRPr="007E0AF4">
              <w:rPr>
                <w:color w:val="000000" w:themeColor="text1"/>
                <w:sz w:val="22"/>
              </w:rPr>
              <w:t xml:space="preserve"> </w:t>
            </w:r>
            <w:proofErr w:type="spellStart"/>
            <w:r w:rsidRPr="007E0AF4">
              <w:rPr>
                <w:color w:val="000000" w:themeColor="text1"/>
                <w:sz w:val="22"/>
              </w:rPr>
              <w:t>розвиток</w:t>
            </w:r>
            <w:proofErr w:type="spellEnd"/>
            <w:r w:rsidRPr="007E0AF4">
              <w:rPr>
                <w:color w:val="000000" w:themeColor="text1"/>
                <w:sz w:val="22"/>
              </w:rPr>
              <w:t xml:space="preserve"> через </w:t>
            </w:r>
            <w:proofErr w:type="spellStart"/>
            <w:r w:rsidRPr="007E0AF4">
              <w:rPr>
                <w:color w:val="000000" w:themeColor="text1"/>
                <w:sz w:val="22"/>
              </w:rPr>
              <w:t>інновації</w:t>
            </w:r>
            <w:proofErr w:type="spellEnd"/>
            <w:r w:rsidRPr="007E0AF4">
              <w:rPr>
                <w:color w:val="000000" w:themeColor="text1"/>
                <w:sz w:val="22"/>
              </w:rPr>
              <w:t xml:space="preserve"> </w:t>
            </w:r>
            <w:proofErr w:type="spellStart"/>
            <w:r w:rsidRPr="007E0AF4">
              <w:rPr>
                <w:color w:val="000000" w:themeColor="text1"/>
                <w:sz w:val="22"/>
              </w:rPr>
              <w:t>управління</w:t>
            </w:r>
            <w:proofErr w:type="spellEnd"/>
            <w:r w:rsidRPr="007E0AF4">
              <w:rPr>
                <w:color w:val="000000" w:themeColor="text1"/>
                <w:sz w:val="22"/>
              </w:rPr>
              <w:t xml:space="preserve"> та </w:t>
            </w:r>
            <w:proofErr w:type="spellStart"/>
            <w:r w:rsidRPr="007E0AF4">
              <w:rPr>
                <w:color w:val="000000" w:themeColor="text1"/>
                <w:sz w:val="22"/>
              </w:rPr>
              <w:t>довіру</w:t>
            </w:r>
            <w:proofErr w:type="spellEnd"/>
            <w:r w:rsidRPr="007E0AF4">
              <w:rPr>
                <w:color w:val="000000" w:themeColor="text1"/>
                <w:sz w:val="22"/>
              </w:rPr>
              <w:t xml:space="preserve"> до </w:t>
            </w:r>
            <w:proofErr w:type="spellStart"/>
            <w:proofErr w:type="gramStart"/>
            <w:r w:rsidRPr="007E0AF4">
              <w:rPr>
                <w:color w:val="000000" w:themeColor="text1"/>
                <w:sz w:val="22"/>
              </w:rPr>
              <w:t>влади.Формування</w:t>
            </w:r>
            <w:proofErr w:type="spellEnd"/>
            <w:proofErr w:type="gramEnd"/>
            <w:r w:rsidRPr="007E0AF4">
              <w:rPr>
                <w:color w:val="000000" w:themeColor="text1"/>
                <w:sz w:val="22"/>
              </w:rPr>
              <w:t xml:space="preserve"> </w:t>
            </w:r>
            <w:proofErr w:type="spellStart"/>
            <w:r w:rsidRPr="007E0AF4">
              <w:rPr>
                <w:color w:val="000000" w:themeColor="text1"/>
                <w:sz w:val="22"/>
              </w:rPr>
              <w:t>сучасного</w:t>
            </w:r>
            <w:proofErr w:type="spellEnd"/>
            <w:r w:rsidRPr="007E0AF4">
              <w:rPr>
                <w:color w:val="000000" w:themeColor="text1"/>
                <w:sz w:val="22"/>
              </w:rPr>
              <w:t xml:space="preserve"> </w:t>
            </w:r>
            <w:proofErr w:type="spellStart"/>
            <w:r w:rsidRPr="007E0AF4">
              <w:rPr>
                <w:color w:val="000000" w:themeColor="text1"/>
                <w:sz w:val="22"/>
              </w:rPr>
              <w:t>інклюзивного</w:t>
            </w:r>
            <w:proofErr w:type="spellEnd"/>
            <w:r w:rsidRPr="007E0AF4">
              <w:rPr>
                <w:color w:val="000000" w:themeColor="text1"/>
                <w:sz w:val="22"/>
              </w:rPr>
              <w:t xml:space="preserve"> </w:t>
            </w:r>
            <w:proofErr w:type="spellStart"/>
            <w:r w:rsidRPr="007E0AF4">
              <w:rPr>
                <w:color w:val="000000" w:themeColor="text1"/>
                <w:sz w:val="22"/>
              </w:rPr>
              <w:t>освітньо</w:t>
            </w:r>
            <w:proofErr w:type="spellEnd"/>
            <w:r w:rsidRPr="007E0AF4">
              <w:rPr>
                <w:color w:val="000000" w:themeColor="text1"/>
                <w:sz w:val="22"/>
              </w:rPr>
              <w:t xml:space="preserve">-культурного та спортивного простору для </w:t>
            </w:r>
            <w:proofErr w:type="spellStart"/>
            <w:r w:rsidRPr="007E0AF4">
              <w:rPr>
                <w:color w:val="000000" w:themeColor="text1"/>
                <w:sz w:val="22"/>
              </w:rPr>
              <w:t>розвитку</w:t>
            </w:r>
            <w:proofErr w:type="spellEnd"/>
            <w:r w:rsidRPr="007E0AF4">
              <w:rPr>
                <w:color w:val="000000" w:themeColor="text1"/>
                <w:sz w:val="22"/>
              </w:rPr>
              <w:t>.</w:t>
            </w:r>
          </w:p>
        </w:tc>
      </w:tr>
      <w:tr w:rsidR="00DC0E0E" w:rsidRPr="007E0AF4" w:rsidTr="00DC0E0E">
        <w:tc>
          <w:tcPr>
            <w:tcW w:w="2978" w:type="dxa"/>
            <w:shd w:val="clear" w:color="auto" w:fill="C6D9F1" w:themeFill="text2" w:themeFillTint="33"/>
          </w:tcPr>
          <w:p w:rsidR="00DC0E0E" w:rsidRPr="007E0AF4" w:rsidRDefault="00DC0E0E" w:rsidP="001E6C97">
            <w:pPr>
              <w:pStyle w:val="a7"/>
              <w:ind w:left="0"/>
              <w:rPr>
                <w:b/>
                <w:sz w:val="22"/>
              </w:rPr>
            </w:pPr>
            <w:proofErr w:type="spellStart"/>
            <w:r w:rsidRPr="007E0AF4">
              <w:rPr>
                <w:b/>
                <w:sz w:val="22"/>
              </w:rPr>
              <w:lastRenderedPageBreak/>
              <w:t>Назва</w:t>
            </w:r>
            <w:proofErr w:type="spellEnd"/>
            <w:r w:rsidRPr="007E0AF4">
              <w:rPr>
                <w:b/>
                <w:sz w:val="22"/>
              </w:rPr>
              <w:t xml:space="preserve"> проекту:</w:t>
            </w:r>
          </w:p>
        </w:tc>
        <w:tc>
          <w:tcPr>
            <w:tcW w:w="6910" w:type="dxa"/>
            <w:gridSpan w:val="6"/>
          </w:tcPr>
          <w:p w:rsidR="00DC0E0E" w:rsidRPr="007E0AF4" w:rsidRDefault="00DC0E0E" w:rsidP="001E6C97">
            <w:pPr>
              <w:pStyle w:val="a7"/>
              <w:ind w:left="0"/>
              <w:rPr>
                <w:sz w:val="22"/>
              </w:rPr>
            </w:pPr>
            <w:proofErr w:type="spellStart"/>
            <w:r w:rsidRPr="007E0AF4">
              <w:rPr>
                <w:sz w:val="22"/>
              </w:rPr>
              <w:t>Капітальний</w:t>
            </w:r>
            <w:proofErr w:type="spellEnd"/>
            <w:r w:rsidRPr="007E0AF4">
              <w:rPr>
                <w:sz w:val="22"/>
              </w:rPr>
              <w:t xml:space="preserve"> ремонт спортивного </w:t>
            </w:r>
            <w:proofErr w:type="spellStart"/>
            <w:r w:rsidRPr="007E0AF4">
              <w:rPr>
                <w:sz w:val="22"/>
              </w:rPr>
              <w:t>стадіону</w:t>
            </w:r>
            <w:proofErr w:type="spellEnd"/>
            <w:r w:rsidRPr="007E0AF4">
              <w:rPr>
                <w:sz w:val="22"/>
              </w:rPr>
              <w:t xml:space="preserve"> </w:t>
            </w:r>
            <w:proofErr w:type="spellStart"/>
            <w:r w:rsidRPr="007E0AF4">
              <w:rPr>
                <w:sz w:val="22"/>
              </w:rPr>
              <w:t>комунального</w:t>
            </w:r>
            <w:proofErr w:type="spellEnd"/>
            <w:r w:rsidRPr="007E0AF4">
              <w:rPr>
                <w:sz w:val="22"/>
              </w:rPr>
              <w:t xml:space="preserve"> закладу </w:t>
            </w:r>
            <w:proofErr w:type="spellStart"/>
            <w:r w:rsidRPr="007E0AF4">
              <w:rPr>
                <w:sz w:val="22"/>
              </w:rPr>
              <w:t>Гімназії</w:t>
            </w:r>
            <w:proofErr w:type="spellEnd"/>
            <w:r w:rsidRPr="007E0AF4">
              <w:rPr>
                <w:sz w:val="22"/>
              </w:rPr>
              <w:t xml:space="preserve"> № 20 </w:t>
            </w:r>
            <w:proofErr w:type="spellStart"/>
            <w:r w:rsidRPr="007E0AF4">
              <w:rPr>
                <w:sz w:val="22"/>
              </w:rPr>
              <w:t>міста</w:t>
            </w:r>
            <w:proofErr w:type="spellEnd"/>
            <w:r w:rsidRPr="007E0AF4">
              <w:rPr>
                <w:sz w:val="22"/>
              </w:rPr>
              <w:t xml:space="preserve"> </w:t>
            </w:r>
            <w:proofErr w:type="spellStart"/>
            <w:r w:rsidRPr="007E0AF4">
              <w:rPr>
                <w:sz w:val="22"/>
              </w:rPr>
              <w:t>Сєвєродонецька</w:t>
            </w:r>
            <w:proofErr w:type="spellEnd"/>
            <w:r w:rsidRPr="007E0AF4">
              <w:rPr>
                <w:color w:val="FF0000"/>
                <w:sz w:val="22"/>
              </w:rPr>
              <w:t xml:space="preserve"> </w:t>
            </w:r>
            <w:proofErr w:type="spellStart"/>
            <w:r w:rsidRPr="007E0AF4">
              <w:rPr>
                <w:sz w:val="22"/>
              </w:rPr>
              <w:t>Луганської</w:t>
            </w:r>
            <w:proofErr w:type="spellEnd"/>
            <w:r w:rsidRPr="007E0AF4">
              <w:rPr>
                <w:sz w:val="22"/>
              </w:rPr>
              <w:t xml:space="preserve"> </w:t>
            </w:r>
            <w:proofErr w:type="spellStart"/>
            <w:r w:rsidRPr="007E0AF4">
              <w:rPr>
                <w:sz w:val="22"/>
              </w:rPr>
              <w:t>області</w:t>
            </w:r>
            <w:proofErr w:type="spellEnd"/>
            <w:r w:rsidRPr="007E0AF4">
              <w:rPr>
                <w:sz w:val="22"/>
              </w:rPr>
              <w:t xml:space="preserve">, </w:t>
            </w:r>
            <w:proofErr w:type="spellStart"/>
            <w:r w:rsidRPr="007E0AF4">
              <w:rPr>
                <w:sz w:val="22"/>
              </w:rPr>
              <w:t>Сєвєродонецького</w:t>
            </w:r>
            <w:proofErr w:type="spellEnd"/>
            <w:r w:rsidRPr="007E0AF4">
              <w:rPr>
                <w:sz w:val="22"/>
              </w:rPr>
              <w:t xml:space="preserve"> району, за </w:t>
            </w:r>
            <w:proofErr w:type="spellStart"/>
            <w:r w:rsidRPr="007E0AF4">
              <w:rPr>
                <w:sz w:val="22"/>
              </w:rPr>
              <w:t>адресою</w:t>
            </w:r>
            <w:proofErr w:type="spellEnd"/>
            <w:r w:rsidRPr="007E0AF4">
              <w:rPr>
                <w:sz w:val="22"/>
              </w:rPr>
              <w:t xml:space="preserve">: </w:t>
            </w:r>
            <w:proofErr w:type="spellStart"/>
            <w:r w:rsidRPr="007E0AF4">
              <w:rPr>
                <w:sz w:val="22"/>
              </w:rPr>
              <w:t>місто</w:t>
            </w:r>
            <w:proofErr w:type="spellEnd"/>
            <w:r w:rsidRPr="007E0AF4">
              <w:rPr>
                <w:sz w:val="22"/>
              </w:rPr>
              <w:t xml:space="preserve"> </w:t>
            </w:r>
            <w:proofErr w:type="spellStart"/>
            <w:r w:rsidRPr="007E0AF4">
              <w:rPr>
                <w:sz w:val="22"/>
              </w:rPr>
              <w:t>Сєвєродонецьк</w:t>
            </w:r>
            <w:proofErr w:type="spellEnd"/>
            <w:r w:rsidRPr="007E0AF4">
              <w:rPr>
                <w:sz w:val="22"/>
              </w:rPr>
              <w:t xml:space="preserve">, </w:t>
            </w:r>
            <w:proofErr w:type="spellStart"/>
            <w:r w:rsidRPr="007E0AF4">
              <w:rPr>
                <w:sz w:val="22"/>
              </w:rPr>
              <w:t>вулиця</w:t>
            </w:r>
            <w:proofErr w:type="spellEnd"/>
            <w:r w:rsidRPr="007E0AF4">
              <w:rPr>
                <w:sz w:val="22"/>
              </w:rPr>
              <w:t xml:space="preserve"> </w:t>
            </w:r>
            <w:proofErr w:type="spellStart"/>
            <w:r w:rsidRPr="007E0AF4">
              <w:rPr>
                <w:sz w:val="22"/>
              </w:rPr>
              <w:t>Гагаріна</w:t>
            </w:r>
            <w:proofErr w:type="spellEnd"/>
            <w:r w:rsidRPr="007E0AF4">
              <w:rPr>
                <w:sz w:val="22"/>
              </w:rPr>
              <w:t>, буд. 113</w:t>
            </w:r>
          </w:p>
        </w:tc>
      </w:tr>
      <w:tr w:rsidR="00DC0E0E" w:rsidRPr="007E0AF4" w:rsidTr="00DC0E0E">
        <w:tc>
          <w:tcPr>
            <w:tcW w:w="2978" w:type="dxa"/>
            <w:shd w:val="clear" w:color="auto" w:fill="C6D9F1" w:themeFill="text2" w:themeFillTint="33"/>
          </w:tcPr>
          <w:p w:rsidR="00DC0E0E" w:rsidRPr="007E0AF4" w:rsidRDefault="00DC0E0E" w:rsidP="001E6C97">
            <w:pPr>
              <w:rPr>
                <w:b/>
                <w:sz w:val="22"/>
              </w:rPr>
            </w:pPr>
            <w:proofErr w:type="spellStart"/>
            <w:r w:rsidRPr="007E0AF4">
              <w:rPr>
                <w:b/>
                <w:sz w:val="22"/>
              </w:rPr>
              <w:t>Ціль</w:t>
            </w:r>
            <w:proofErr w:type="spellEnd"/>
            <w:r w:rsidRPr="007E0AF4">
              <w:rPr>
                <w:b/>
                <w:sz w:val="22"/>
              </w:rPr>
              <w:t xml:space="preserve"> проекту</w:t>
            </w:r>
          </w:p>
        </w:tc>
        <w:tc>
          <w:tcPr>
            <w:tcW w:w="6910" w:type="dxa"/>
            <w:gridSpan w:val="6"/>
          </w:tcPr>
          <w:p w:rsidR="00DC0E0E" w:rsidRPr="007E0AF4" w:rsidRDefault="00DC0E0E" w:rsidP="009836DD">
            <w:pPr>
              <w:pStyle w:val="a7"/>
              <w:ind w:left="0"/>
              <w:rPr>
                <w:sz w:val="22"/>
              </w:rPr>
            </w:pPr>
            <w:proofErr w:type="spellStart"/>
            <w:r w:rsidRPr="007E0AF4">
              <w:rPr>
                <w:sz w:val="22"/>
              </w:rPr>
              <w:t>Відновити</w:t>
            </w:r>
            <w:proofErr w:type="spellEnd"/>
            <w:r w:rsidRPr="007E0AF4">
              <w:rPr>
                <w:sz w:val="22"/>
              </w:rPr>
              <w:t xml:space="preserve"> та </w:t>
            </w:r>
            <w:proofErr w:type="spellStart"/>
            <w:r w:rsidRPr="007E0AF4">
              <w:rPr>
                <w:sz w:val="22"/>
              </w:rPr>
              <w:t>покращити</w:t>
            </w:r>
            <w:proofErr w:type="spellEnd"/>
            <w:r w:rsidRPr="007E0AF4">
              <w:rPr>
                <w:sz w:val="22"/>
              </w:rPr>
              <w:t xml:space="preserve"> роботу </w:t>
            </w:r>
            <w:proofErr w:type="spellStart"/>
            <w:r w:rsidRPr="007E0AF4">
              <w:rPr>
                <w:sz w:val="22"/>
              </w:rPr>
              <w:t>комунального</w:t>
            </w:r>
            <w:proofErr w:type="spellEnd"/>
            <w:r w:rsidRPr="007E0AF4">
              <w:rPr>
                <w:sz w:val="22"/>
              </w:rPr>
              <w:t xml:space="preserve"> закладу </w:t>
            </w:r>
            <w:proofErr w:type="spellStart"/>
            <w:r w:rsidRPr="007E0AF4">
              <w:rPr>
                <w:sz w:val="22"/>
              </w:rPr>
              <w:t>Гімназія</w:t>
            </w:r>
            <w:proofErr w:type="spellEnd"/>
            <w:r w:rsidRPr="007E0AF4">
              <w:rPr>
                <w:sz w:val="22"/>
              </w:rPr>
              <w:t xml:space="preserve"> № 20 для </w:t>
            </w:r>
            <w:proofErr w:type="spellStart"/>
            <w:r w:rsidRPr="007E0AF4">
              <w:rPr>
                <w:sz w:val="22"/>
              </w:rPr>
              <w:t>надання</w:t>
            </w:r>
            <w:proofErr w:type="spellEnd"/>
            <w:r w:rsidRPr="007E0AF4">
              <w:rPr>
                <w:sz w:val="22"/>
              </w:rPr>
              <w:t xml:space="preserve"> широкого спектру </w:t>
            </w:r>
            <w:proofErr w:type="spellStart"/>
            <w:r w:rsidRPr="007E0AF4">
              <w:rPr>
                <w:sz w:val="22"/>
              </w:rPr>
              <w:t>послуг</w:t>
            </w:r>
            <w:proofErr w:type="spellEnd"/>
            <w:r w:rsidRPr="007E0AF4">
              <w:rPr>
                <w:sz w:val="22"/>
              </w:rPr>
              <w:t xml:space="preserve">, </w:t>
            </w:r>
            <w:proofErr w:type="spellStart"/>
            <w:r w:rsidRPr="007E0AF4">
              <w:rPr>
                <w:sz w:val="22"/>
              </w:rPr>
              <w:t>пов’язаних</w:t>
            </w:r>
            <w:proofErr w:type="spellEnd"/>
            <w:r w:rsidRPr="007E0AF4">
              <w:rPr>
                <w:sz w:val="22"/>
              </w:rPr>
              <w:t xml:space="preserve"> </w:t>
            </w:r>
            <w:proofErr w:type="spellStart"/>
            <w:r w:rsidRPr="007E0AF4">
              <w:rPr>
                <w:sz w:val="22"/>
              </w:rPr>
              <w:t>із</w:t>
            </w:r>
            <w:proofErr w:type="spellEnd"/>
            <w:r w:rsidRPr="007E0AF4">
              <w:rPr>
                <w:sz w:val="22"/>
              </w:rPr>
              <w:t xml:space="preserve"> </w:t>
            </w:r>
            <w:proofErr w:type="spellStart"/>
            <w:r w:rsidRPr="007E0AF4">
              <w:rPr>
                <w:sz w:val="22"/>
              </w:rPr>
              <w:t>освітньою</w:t>
            </w:r>
            <w:proofErr w:type="spellEnd"/>
            <w:r w:rsidRPr="007E0AF4">
              <w:rPr>
                <w:sz w:val="22"/>
              </w:rPr>
              <w:t xml:space="preserve"> </w:t>
            </w:r>
            <w:proofErr w:type="spellStart"/>
            <w:r w:rsidRPr="007E0AF4">
              <w:rPr>
                <w:sz w:val="22"/>
              </w:rPr>
              <w:t>діяльністю</w:t>
            </w:r>
            <w:proofErr w:type="spellEnd"/>
            <w:r w:rsidRPr="007E0AF4">
              <w:rPr>
                <w:sz w:val="22"/>
              </w:rPr>
              <w:t xml:space="preserve"> та </w:t>
            </w:r>
            <w:proofErr w:type="spellStart"/>
            <w:r w:rsidRPr="007E0AF4">
              <w:rPr>
                <w:sz w:val="22"/>
              </w:rPr>
              <w:t>задоволення</w:t>
            </w:r>
            <w:proofErr w:type="spellEnd"/>
            <w:r w:rsidRPr="007E0AF4">
              <w:rPr>
                <w:sz w:val="22"/>
              </w:rPr>
              <w:t xml:space="preserve"> потреб </w:t>
            </w:r>
            <w:proofErr w:type="spellStart"/>
            <w:r w:rsidRPr="007E0AF4">
              <w:rPr>
                <w:sz w:val="22"/>
              </w:rPr>
              <w:t>мешканців</w:t>
            </w:r>
            <w:proofErr w:type="spellEnd"/>
            <w:r w:rsidRPr="007E0AF4">
              <w:rPr>
                <w:sz w:val="22"/>
              </w:rPr>
              <w:t xml:space="preserve"> </w:t>
            </w:r>
            <w:proofErr w:type="spellStart"/>
            <w:r w:rsidRPr="007E0AF4">
              <w:rPr>
                <w:sz w:val="22"/>
              </w:rPr>
              <w:t>Сєвєродонецької</w:t>
            </w:r>
            <w:proofErr w:type="spellEnd"/>
            <w:r w:rsidRPr="007E0AF4">
              <w:rPr>
                <w:sz w:val="22"/>
              </w:rPr>
              <w:t xml:space="preserve"> </w:t>
            </w:r>
            <w:proofErr w:type="spellStart"/>
            <w:r w:rsidRPr="007E0AF4">
              <w:rPr>
                <w:sz w:val="22"/>
              </w:rPr>
              <w:t>міської</w:t>
            </w:r>
            <w:proofErr w:type="spellEnd"/>
            <w:r w:rsidRPr="007E0AF4">
              <w:rPr>
                <w:sz w:val="22"/>
              </w:rPr>
              <w:t xml:space="preserve"> </w:t>
            </w:r>
            <w:proofErr w:type="spellStart"/>
            <w:r w:rsidRPr="007E0AF4">
              <w:rPr>
                <w:sz w:val="22"/>
              </w:rPr>
              <w:t>територіальної</w:t>
            </w:r>
            <w:proofErr w:type="spellEnd"/>
            <w:r w:rsidRPr="007E0AF4">
              <w:rPr>
                <w:sz w:val="22"/>
              </w:rPr>
              <w:t xml:space="preserve"> </w:t>
            </w:r>
            <w:proofErr w:type="spellStart"/>
            <w:r w:rsidRPr="007E0AF4">
              <w:rPr>
                <w:sz w:val="22"/>
              </w:rPr>
              <w:t>громади</w:t>
            </w:r>
            <w:proofErr w:type="spellEnd"/>
            <w:r w:rsidRPr="007E0AF4">
              <w:rPr>
                <w:sz w:val="22"/>
              </w:rPr>
              <w:t xml:space="preserve"> у </w:t>
            </w:r>
            <w:proofErr w:type="spellStart"/>
            <w:r w:rsidRPr="007E0AF4">
              <w:rPr>
                <w:sz w:val="22"/>
              </w:rPr>
              <w:t>необхідних</w:t>
            </w:r>
            <w:proofErr w:type="spellEnd"/>
            <w:r w:rsidRPr="007E0AF4">
              <w:rPr>
                <w:sz w:val="22"/>
              </w:rPr>
              <w:t xml:space="preserve"> </w:t>
            </w:r>
            <w:proofErr w:type="spellStart"/>
            <w:r w:rsidRPr="007E0AF4">
              <w:rPr>
                <w:sz w:val="22"/>
              </w:rPr>
              <w:t>послугах</w:t>
            </w:r>
            <w:proofErr w:type="spellEnd"/>
            <w:r w:rsidRPr="007E0AF4">
              <w:rPr>
                <w:sz w:val="22"/>
              </w:rPr>
              <w:t>.</w:t>
            </w:r>
            <w:r w:rsidR="009836DD" w:rsidRPr="007E0AF4">
              <w:rPr>
                <w:sz w:val="22"/>
              </w:rPr>
              <w:t xml:space="preserve"> </w:t>
            </w:r>
            <w:proofErr w:type="spellStart"/>
            <w:r w:rsidRPr="007E0AF4">
              <w:rPr>
                <w:sz w:val="22"/>
              </w:rPr>
              <w:t>Дасть</w:t>
            </w:r>
            <w:proofErr w:type="spellEnd"/>
            <w:r w:rsidRPr="007E0AF4">
              <w:rPr>
                <w:sz w:val="22"/>
              </w:rPr>
              <w:t xml:space="preserve"> </w:t>
            </w:r>
            <w:proofErr w:type="spellStart"/>
            <w:proofErr w:type="gramStart"/>
            <w:r w:rsidRPr="007E0AF4">
              <w:rPr>
                <w:sz w:val="22"/>
              </w:rPr>
              <w:t>можливість</w:t>
            </w:r>
            <w:proofErr w:type="spellEnd"/>
            <w:r w:rsidRPr="007E0AF4">
              <w:rPr>
                <w:sz w:val="22"/>
              </w:rPr>
              <w:t xml:space="preserve">  </w:t>
            </w:r>
            <w:proofErr w:type="spellStart"/>
            <w:r w:rsidRPr="007E0AF4">
              <w:rPr>
                <w:sz w:val="22"/>
              </w:rPr>
              <w:t>підвищення</w:t>
            </w:r>
            <w:proofErr w:type="spellEnd"/>
            <w:proofErr w:type="gramEnd"/>
            <w:r w:rsidRPr="007E0AF4">
              <w:rPr>
                <w:sz w:val="22"/>
              </w:rPr>
              <w:t xml:space="preserve"> </w:t>
            </w:r>
            <w:proofErr w:type="spellStart"/>
            <w:r w:rsidRPr="007E0AF4">
              <w:rPr>
                <w:sz w:val="22"/>
              </w:rPr>
              <w:t>рівня</w:t>
            </w:r>
            <w:proofErr w:type="spellEnd"/>
            <w:r w:rsidRPr="007E0AF4">
              <w:rPr>
                <w:sz w:val="22"/>
              </w:rPr>
              <w:t xml:space="preserve"> </w:t>
            </w:r>
            <w:proofErr w:type="spellStart"/>
            <w:r w:rsidRPr="007E0AF4">
              <w:rPr>
                <w:sz w:val="22"/>
              </w:rPr>
              <w:t>охоплення</w:t>
            </w:r>
            <w:proofErr w:type="spellEnd"/>
            <w:r w:rsidRPr="007E0AF4">
              <w:rPr>
                <w:sz w:val="22"/>
              </w:rPr>
              <w:t xml:space="preserve"> </w:t>
            </w:r>
            <w:proofErr w:type="spellStart"/>
            <w:r w:rsidRPr="007E0AF4">
              <w:rPr>
                <w:sz w:val="22"/>
              </w:rPr>
              <w:t>громадян</w:t>
            </w:r>
            <w:proofErr w:type="spellEnd"/>
            <w:r w:rsidRPr="007E0AF4">
              <w:rPr>
                <w:sz w:val="22"/>
              </w:rPr>
              <w:t xml:space="preserve"> </w:t>
            </w:r>
            <w:proofErr w:type="spellStart"/>
            <w:r w:rsidRPr="007E0AF4">
              <w:rPr>
                <w:sz w:val="22"/>
              </w:rPr>
              <w:t>громади</w:t>
            </w:r>
            <w:proofErr w:type="spellEnd"/>
            <w:r w:rsidRPr="007E0AF4">
              <w:rPr>
                <w:sz w:val="22"/>
              </w:rPr>
              <w:t xml:space="preserve"> </w:t>
            </w:r>
            <w:proofErr w:type="spellStart"/>
            <w:r w:rsidRPr="007E0AF4">
              <w:rPr>
                <w:sz w:val="22"/>
              </w:rPr>
              <w:t>заняттям</w:t>
            </w:r>
            <w:proofErr w:type="spellEnd"/>
            <w:r w:rsidRPr="007E0AF4">
              <w:rPr>
                <w:sz w:val="22"/>
              </w:rPr>
              <w:t xml:space="preserve"> </w:t>
            </w:r>
            <w:proofErr w:type="spellStart"/>
            <w:r w:rsidRPr="007E0AF4">
              <w:rPr>
                <w:sz w:val="22"/>
              </w:rPr>
              <w:t>фізичною</w:t>
            </w:r>
            <w:proofErr w:type="spellEnd"/>
            <w:r w:rsidRPr="007E0AF4">
              <w:rPr>
                <w:sz w:val="22"/>
              </w:rPr>
              <w:t xml:space="preserve"> культурою та спортом, </w:t>
            </w:r>
            <w:proofErr w:type="spellStart"/>
            <w:r w:rsidRPr="007E0AF4">
              <w:rPr>
                <w:sz w:val="22"/>
              </w:rPr>
              <w:t>популяризації</w:t>
            </w:r>
            <w:proofErr w:type="spellEnd"/>
            <w:r w:rsidRPr="007E0AF4">
              <w:rPr>
                <w:sz w:val="22"/>
              </w:rPr>
              <w:t xml:space="preserve"> здорового способу </w:t>
            </w:r>
            <w:proofErr w:type="spellStart"/>
            <w:r w:rsidRPr="007E0AF4">
              <w:rPr>
                <w:sz w:val="22"/>
              </w:rPr>
              <w:t>життя</w:t>
            </w:r>
            <w:proofErr w:type="spellEnd"/>
            <w:r w:rsidRPr="007E0AF4">
              <w:rPr>
                <w:sz w:val="22"/>
              </w:rPr>
              <w:t xml:space="preserve"> та </w:t>
            </w:r>
            <w:proofErr w:type="spellStart"/>
            <w:r w:rsidRPr="007E0AF4">
              <w:rPr>
                <w:sz w:val="22"/>
              </w:rPr>
              <w:t>фізичної</w:t>
            </w:r>
            <w:proofErr w:type="spellEnd"/>
            <w:r w:rsidRPr="007E0AF4">
              <w:rPr>
                <w:sz w:val="22"/>
              </w:rPr>
              <w:t xml:space="preserve"> </w:t>
            </w:r>
            <w:proofErr w:type="spellStart"/>
            <w:r w:rsidRPr="007E0AF4">
              <w:rPr>
                <w:sz w:val="22"/>
              </w:rPr>
              <w:t>реабілітації</w:t>
            </w:r>
            <w:proofErr w:type="spellEnd"/>
            <w:r w:rsidR="009836DD" w:rsidRPr="007E0AF4">
              <w:rPr>
                <w:sz w:val="22"/>
              </w:rPr>
              <w:t xml:space="preserve"> </w:t>
            </w:r>
            <w:r w:rsidRPr="007E0AF4">
              <w:rPr>
                <w:sz w:val="22"/>
              </w:rPr>
              <w:t>(особливо ветеранам,</w:t>
            </w:r>
            <w:r w:rsidR="009836DD" w:rsidRPr="007E0AF4">
              <w:rPr>
                <w:sz w:val="22"/>
              </w:rPr>
              <w:t xml:space="preserve"> </w:t>
            </w:r>
            <w:r w:rsidRPr="007E0AF4">
              <w:rPr>
                <w:sz w:val="22"/>
              </w:rPr>
              <w:t xml:space="preserve">людям з </w:t>
            </w:r>
            <w:proofErr w:type="spellStart"/>
            <w:r w:rsidRPr="007E0AF4">
              <w:rPr>
                <w:sz w:val="22"/>
              </w:rPr>
              <w:t>інвалідністю</w:t>
            </w:r>
            <w:proofErr w:type="spellEnd"/>
            <w:r w:rsidRPr="007E0AF4">
              <w:rPr>
                <w:sz w:val="22"/>
              </w:rPr>
              <w:t>),</w:t>
            </w:r>
            <w:r w:rsidR="009836DD" w:rsidRPr="007E0AF4">
              <w:rPr>
                <w:sz w:val="22"/>
              </w:rPr>
              <w:t xml:space="preserve"> </w:t>
            </w:r>
            <w:proofErr w:type="spellStart"/>
            <w:r w:rsidRPr="007E0AF4">
              <w:rPr>
                <w:sz w:val="22"/>
              </w:rPr>
              <w:t>максимальної</w:t>
            </w:r>
            <w:proofErr w:type="spellEnd"/>
            <w:r w:rsidRPr="007E0AF4">
              <w:rPr>
                <w:sz w:val="22"/>
              </w:rPr>
              <w:t xml:space="preserve"> </w:t>
            </w:r>
            <w:proofErr w:type="spellStart"/>
            <w:r w:rsidRPr="007E0AF4">
              <w:rPr>
                <w:sz w:val="22"/>
              </w:rPr>
              <w:t>реалізації</w:t>
            </w:r>
            <w:proofErr w:type="spellEnd"/>
            <w:r w:rsidRPr="007E0AF4">
              <w:rPr>
                <w:sz w:val="22"/>
              </w:rPr>
              <w:t xml:space="preserve"> </w:t>
            </w:r>
            <w:proofErr w:type="spellStart"/>
            <w:r w:rsidRPr="007E0AF4">
              <w:rPr>
                <w:sz w:val="22"/>
              </w:rPr>
              <w:t>здібностей</w:t>
            </w:r>
            <w:proofErr w:type="spellEnd"/>
            <w:r w:rsidRPr="007E0AF4">
              <w:rPr>
                <w:sz w:val="22"/>
              </w:rPr>
              <w:t xml:space="preserve"> </w:t>
            </w:r>
            <w:proofErr w:type="spellStart"/>
            <w:r w:rsidRPr="007E0AF4">
              <w:rPr>
                <w:sz w:val="22"/>
              </w:rPr>
              <w:t>обдарованої</w:t>
            </w:r>
            <w:proofErr w:type="spellEnd"/>
            <w:r w:rsidRPr="007E0AF4">
              <w:rPr>
                <w:sz w:val="22"/>
              </w:rPr>
              <w:t xml:space="preserve"> </w:t>
            </w:r>
            <w:proofErr w:type="spellStart"/>
            <w:r w:rsidRPr="007E0AF4">
              <w:rPr>
                <w:sz w:val="22"/>
              </w:rPr>
              <w:t>молоді</w:t>
            </w:r>
            <w:proofErr w:type="spellEnd"/>
            <w:r w:rsidRPr="007E0AF4">
              <w:rPr>
                <w:sz w:val="22"/>
              </w:rPr>
              <w:t>.</w:t>
            </w:r>
          </w:p>
        </w:tc>
      </w:tr>
      <w:tr w:rsidR="00DC0E0E" w:rsidRPr="007E0AF4" w:rsidTr="00DC0E0E">
        <w:tc>
          <w:tcPr>
            <w:tcW w:w="2978" w:type="dxa"/>
            <w:shd w:val="clear" w:color="auto" w:fill="C6D9F1" w:themeFill="text2" w:themeFillTint="33"/>
          </w:tcPr>
          <w:p w:rsidR="00DC0E0E" w:rsidRPr="007E0AF4" w:rsidRDefault="00DC0E0E" w:rsidP="001E6C97">
            <w:pPr>
              <w:pStyle w:val="a7"/>
              <w:ind w:left="0"/>
              <w:rPr>
                <w:b/>
                <w:sz w:val="22"/>
              </w:rPr>
            </w:pPr>
            <w:proofErr w:type="spellStart"/>
            <w:r w:rsidRPr="007E0AF4">
              <w:rPr>
                <w:b/>
                <w:sz w:val="22"/>
              </w:rPr>
              <w:t>Територія</w:t>
            </w:r>
            <w:proofErr w:type="spellEnd"/>
            <w:r w:rsidRPr="007E0AF4">
              <w:rPr>
                <w:b/>
                <w:sz w:val="22"/>
              </w:rPr>
              <w:t xml:space="preserve">, </w:t>
            </w:r>
            <w:proofErr w:type="gramStart"/>
            <w:r w:rsidRPr="007E0AF4">
              <w:rPr>
                <w:b/>
                <w:sz w:val="22"/>
              </w:rPr>
              <w:t>на яку</w:t>
            </w:r>
            <w:proofErr w:type="gramEnd"/>
            <w:r w:rsidRPr="007E0AF4">
              <w:rPr>
                <w:b/>
                <w:sz w:val="22"/>
              </w:rPr>
              <w:t xml:space="preserve"> </w:t>
            </w:r>
            <w:proofErr w:type="spellStart"/>
            <w:r w:rsidRPr="007E0AF4">
              <w:rPr>
                <w:b/>
                <w:sz w:val="22"/>
              </w:rPr>
              <w:t>матиме</w:t>
            </w:r>
            <w:proofErr w:type="spellEnd"/>
            <w:r w:rsidRPr="007E0AF4">
              <w:rPr>
                <w:b/>
                <w:sz w:val="22"/>
              </w:rPr>
              <w:t xml:space="preserve"> </w:t>
            </w:r>
            <w:proofErr w:type="spellStart"/>
            <w:r w:rsidRPr="007E0AF4">
              <w:rPr>
                <w:b/>
                <w:sz w:val="22"/>
              </w:rPr>
              <w:t>вплив</w:t>
            </w:r>
            <w:proofErr w:type="spellEnd"/>
            <w:r w:rsidRPr="007E0AF4">
              <w:rPr>
                <w:b/>
                <w:sz w:val="22"/>
              </w:rPr>
              <w:t xml:space="preserve"> </w:t>
            </w:r>
            <w:proofErr w:type="spellStart"/>
            <w:r w:rsidRPr="007E0AF4">
              <w:rPr>
                <w:b/>
                <w:sz w:val="22"/>
              </w:rPr>
              <w:t>реалізація</w:t>
            </w:r>
            <w:proofErr w:type="spellEnd"/>
            <w:r w:rsidRPr="007E0AF4">
              <w:rPr>
                <w:b/>
                <w:sz w:val="22"/>
              </w:rPr>
              <w:t xml:space="preserve"> проекту</w:t>
            </w:r>
          </w:p>
        </w:tc>
        <w:tc>
          <w:tcPr>
            <w:tcW w:w="6910" w:type="dxa"/>
            <w:gridSpan w:val="6"/>
          </w:tcPr>
          <w:p w:rsidR="00DC0E0E" w:rsidRPr="007E0AF4" w:rsidRDefault="00DC0E0E" w:rsidP="001E6C97">
            <w:pPr>
              <w:pStyle w:val="a7"/>
              <w:ind w:left="0"/>
              <w:rPr>
                <w:sz w:val="22"/>
              </w:rPr>
            </w:pPr>
            <w:proofErr w:type="spellStart"/>
            <w:r w:rsidRPr="007E0AF4">
              <w:rPr>
                <w:sz w:val="22"/>
              </w:rPr>
              <w:t>Сєвєродонецька</w:t>
            </w:r>
            <w:proofErr w:type="spellEnd"/>
            <w:r w:rsidRPr="007E0AF4">
              <w:rPr>
                <w:sz w:val="22"/>
              </w:rPr>
              <w:t xml:space="preserve"> </w:t>
            </w:r>
            <w:proofErr w:type="spellStart"/>
            <w:r w:rsidRPr="007E0AF4">
              <w:rPr>
                <w:sz w:val="22"/>
              </w:rPr>
              <w:t>міська</w:t>
            </w:r>
            <w:proofErr w:type="spellEnd"/>
            <w:r w:rsidRPr="007E0AF4">
              <w:rPr>
                <w:sz w:val="22"/>
              </w:rPr>
              <w:t xml:space="preserve"> </w:t>
            </w:r>
            <w:proofErr w:type="spellStart"/>
            <w:r w:rsidRPr="007E0AF4">
              <w:rPr>
                <w:sz w:val="22"/>
              </w:rPr>
              <w:t>територіальна</w:t>
            </w:r>
            <w:proofErr w:type="spellEnd"/>
            <w:r w:rsidRPr="007E0AF4">
              <w:rPr>
                <w:sz w:val="22"/>
              </w:rPr>
              <w:t xml:space="preserve"> громада</w:t>
            </w:r>
          </w:p>
        </w:tc>
      </w:tr>
      <w:tr w:rsidR="00DC0E0E" w:rsidRPr="007E0AF4" w:rsidTr="00DC0E0E">
        <w:tc>
          <w:tcPr>
            <w:tcW w:w="2978" w:type="dxa"/>
            <w:shd w:val="clear" w:color="auto" w:fill="C6D9F1" w:themeFill="text2" w:themeFillTint="33"/>
          </w:tcPr>
          <w:p w:rsidR="00DC0E0E" w:rsidRPr="007E0AF4" w:rsidRDefault="00DC0E0E" w:rsidP="001E6C97">
            <w:pPr>
              <w:pStyle w:val="a7"/>
              <w:ind w:left="0"/>
              <w:rPr>
                <w:b/>
                <w:sz w:val="22"/>
              </w:rPr>
            </w:pPr>
            <w:proofErr w:type="spellStart"/>
            <w:r w:rsidRPr="007E0AF4">
              <w:rPr>
                <w:b/>
                <w:sz w:val="22"/>
              </w:rPr>
              <w:t>Чисельність</w:t>
            </w:r>
            <w:proofErr w:type="spellEnd"/>
            <w:r w:rsidRPr="007E0AF4">
              <w:rPr>
                <w:b/>
                <w:sz w:val="22"/>
              </w:rPr>
              <w:t xml:space="preserve"> </w:t>
            </w:r>
            <w:proofErr w:type="spellStart"/>
            <w:r w:rsidRPr="007E0AF4">
              <w:rPr>
                <w:b/>
                <w:sz w:val="22"/>
              </w:rPr>
              <w:t>населення</w:t>
            </w:r>
            <w:proofErr w:type="spellEnd"/>
            <w:r w:rsidRPr="007E0AF4">
              <w:rPr>
                <w:b/>
                <w:sz w:val="22"/>
              </w:rPr>
              <w:t xml:space="preserve">, на яке </w:t>
            </w:r>
            <w:proofErr w:type="spellStart"/>
            <w:r w:rsidRPr="007E0AF4">
              <w:rPr>
                <w:b/>
                <w:sz w:val="22"/>
              </w:rPr>
              <w:t>матиме</w:t>
            </w:r>
            <w:proofErr w:type="spellEnd"/>
            <w:r w:rsidRPr="007E0AF4">
              <w:rPr>
                <w:b/>
                <w:sz w:val="22"/>
              </w:rPr>
              <w:t xml:space="preserve"> </w:t>
            </w:r>
            <w:proofErr w:type="spellStart"/>
            <w:r w:rsidRPr="007E0AF4">
              <w:rPr>
                <w:b/>
                <w:sz w:val="22"/>
              </w:rPr>
              <w:t>вплив</w:t>
            </w:r>
            <w:proofErr w:type="spellEnd"/>
            <w:r w:rsidRPr="007E0AF4">
              <w:rPr>
                <w:b/>
                <w:sz w:val="22"/>
              </w:rPr>
              <w:t xml:space="preserve"> </w:t>
            </w:r>
            <w:proofErr w:type="spellStart"/>
            <w:r w:rsidRPr="007E0AF4">
              <w:rPr>
                <w:b/>
                <w:sz w:val="22"/>
              </w:rPr>
              <w:t>реалізація</w:t>
            </w:r>
            <w:proofErr w:type="spellEnd"/>
            <w:r w:rsidRPr="007E0AF4">
              <w:rPr>
                <w:b/>
                <w:sz w:val="22"/>
              </w:rPr>
              <w:t xml:space="preserve"> проекту</w:t>
            </w:r>
          </w:p>
        </w:tc>
        <w:tc>
          <w:tcPr>
            <w:tcW w:w="6910" w:type="dxa"/>
            <w:gridSpan w:val="6"/>
          </w:tcPr>
          <w:p w:rsidR="00DC0E0E" w:rsidRPr="007E0AF4" w:rsidRDefault="00DC0E0E" w:rsidP="001E6C97">
            <w:pPr>
              <w:pStyle w:val="a7"/>
              <w:ind w:left="0"/>
              <w:rPr>
                <w:sz w:val="22"/>
              </w:rPr>
            </w:pPr>
            <w:r w:rsidRPr="007E0AF4">
              <w:rPr>
                <w:sz w:val="22"/>
              </w:rPr>
              <w:t xml:space="preserve">70 000 </w:t>
            </w:r>
            <w:proofErr w:type="spellStart"/>
            <w:r w:rsidRPr="007E0AF4">
              <w:rPr>
                <w:sz w:val="22"/>
              </w:rPr>
              <w:t>осіб</w:t>
            </w:r>
            <w:proofErr w:type="spellEnd"/>
          </w:p>
        </w:tc>
      </w:tr>
      <w:tr w:rsidR="00DC0E0E" w:rsidRPr="007E0AF4" w:rsidTr="00DC0E0E">
        <w:tc>
          <w:tcPr>
            <w:tcW w:w="2978" w:type="dxa"/>
            <w:shd w:val="clear" w:color="auto" w:fill="C6D9F1" w:themeFill="text2" w:themeFillTint="33"/>
          </w:tcPr>
          <w:p w:rsidR="00DC0E0E" w:rsidRPr="007E0AF4" w:rsidRDefault="00DC0E0E" w:rsidP="001E6C97">
            <w:pPr>
              <w:rPr>
                <w:b/>
                <w:sz w:val="22"/>
              </w:rPr>
            </w:pPr>
            <w:proofErr w:type="spellStart"/>
            <w:r w:rsidRPr="007E0AF4">
              <w:rPr>
                <w:b/>
                <w:sz w:val="22"/>
              </w:rPr>
              <w:t>Опис</w:t>
            </w:r>
            <w:proofErr w:type="spellEnd"/>
            <w:r w:rsidRPr="007E0AF4">
              <w:rPr>
                <w:b/>
                <w:sz w:val="22"/>
              </w:rPr>
              <w:t xml:space="preserve"> </w:t>
            </w:r>
            <w:proofErr w:type="spellStart"/>
            <w:r w:rsidRPr="007E0AF4">
              <w:rPr>
                <w:b/>
                <w:sz w:val="22"/>
              </w:rPr>
              <w:t>проблеми</w:t>
            </w:r>
            <w:proofErr w:type="spellEnd"/>
            <w:r w:rsidRPr="007E0AF4">
              <w:rPr>
                <w:b/>
                <w:sz w:val="22"/>
              </w:rPr>
              <w:t xml:space="preserve">, на </w:t>
            </w:r>
            <w:proofErr w:type="spellStart"/>
            <w:r w:rsidRPr="007E0AF4">
              <w:rPr>
                <w:b/>
                <w:sz w:val="22"/>
              </w:rPr>
              <w:t>вирішення</w:t>
            </w:r>
            <w:proofErr w:type="spellEnd"/>
            <w:r w:rsidRPr="007E0AF4">
              <w:rPr>
                <w:b/>
                <w:sz w:val="22"/>
              </w:rPr>
              <w:t xml:space="preserve"> </w:t>
            </w:r>
            <w:proofErr w:type="spellStart"/>
            <w:proofErr w:type="gramStart"/>
            <w:r w:rsidRPr="007E0AF4">
              <w:rPr>
                <w:b/>
                <w:sz w:val="22"/>
              </w:rPr>
              <w:t>якої</w:t>
            </w:r>
            <w:proofErr w:type="spellEnd"/>
            <w:r w:rsidRPr="007E0AF4">
              <w:rPr>
                <w:b/>
                <w:sz w:val="22"/>
              </w:rPr>
              <w:t xml:space="preserve">  </w:t>
            </w:r>
            <w:proofErr w:type="spellStart"/>
            <w:r w:rsidRPr="007E0AF4">
              <w:rPr>
                <w:b/>
                <w:sz w:val="22"/>
              </w:rPr>
              <w:t>спрямований</w:t>
            </w:r>
            <w:proofErr w:type="spellEnd"/>
            <w:proofErr w:type="gramEnd"/>
            <w:r w:rsidRPr="007E0AF4">
              <w:rPr>
                <w:b/>
                <w:sz w:val="22"/>
              </w:rPr>
              <w:t xml:space="preserve"> проект</w:t>
            </w:r>
          </w:p>
        </w:tc>
        <w:tc>
          <w:tcPr>
            <w:tcW w:w="6910" w:type="dxa"/>
            <w:gridSpan w:val="6"/>
          </w:tcPr>
          <w:p w:rsidR="00DC0E0E" w:rsidRPr="007E0AF4" w:rsidRDefault="00DC0E0E" w:rsidP="001E6C97">
            <w:pPr>
              <w:rPr>
                <w:sz w:val="22"/>
              </w:rPr>
            </w:pPr>
            <w:r w:rsidRPr="007E0AF4">
              <w:rPr>
                <w:sz w:val="22"/>
              </w:rPr>
              <w:t xml:space="preserve">Через </w:t>
            </w:r>
            <w:proofErr w:type="spellStart"/>
            <w:r w:rsidRPr="007E0AF4">
              <w:rPr>
                <w:sz w:val="22"/>
              </w:rPr>
              <w:t>військову</w:t>
            </w:r>
            <w:proofErr w:type="spellEnd"/>
            <w:r w:rsidRPr="007E0AF4">
              <w:rPr>
                <w:sz w:val="22"/>
              </w:rPr>
              <w:t xml:space="preserve"> </w:t>
            </w:r>
            <w:proofErr w:type="spellStart"/>
            <w:r w:rsidRPr="007E0AF4">
              <w:rPr>
                <w:sz w:val="22"/>
              </w:rPr>
              <w:t>агресію</w:t>
            </w:r>
            <w:proofErr w:type="spellEnd"/>
            <w:r w:rsidRPr="007E0AF4">
              <w:rPr>
                <w:sz w:val="22"/>
              </w:rPr>
              <w:t xml:space="preserve"> РФ </w:t>
            </w:r>
            <w:proofErr w:type="spellStart"/>
            <w:r w:rsidRPr="007E0AF4">
              <w:rPr>
                <w:sz w:val="22"/>
              </w:rPr>
              <w:t>територія</w:t>
            </w:r>
            <w:proofErr w:type="spellEnd"/>
            <w:r w:rsidRPr="007E0AF4">
              <w:rPr>
                <w:sz w:val="22"/>
              </w:rPr>
              <w:t xml:space="preserve"> </w:t>
            </w:r>
            <w:proofErr w:type="spellStart"/>
            <w:r w:rsidRPr="007E0AF4">
              <w:rPr>
                <w:sz w:val="22"/>
              </w:rPr>
              <w:t>Сєвєродонецької</w:t>
            </w:r>
            <w:proofErr w:type="spellEnd"/>
            <w:r w:rsidRPr="007E0AF4">
              <w:rPr>
                <w:sz w:val="22"/>
              </w:rPr>
              <w:t xml:space="preserve"> </w:t>
            </w:r>
            <w:proofErr w:type="spellStart"/>
            <w:r w:rsidRPr="007E0AF4">
              <w:rPr>
                <w:sz w:val="22"/>
              </w:rPr>
              <w:t>міської</w:t>
            </w:r>
            <w:proofErr w:type="spellEnd"/>
            <w:r w:rsidRPr="007E0AF4">
              <w:rPr>
                <w:sz w:val="22"/>
              </w:rPr>
              <w:t xml:space="preserve"> </w:t>
            </w:r>
            <w:proofErr w:type="spellStart"/>
            <w:r w:rsidRPr="007E0AF4">
              <w:rPr>
                <w:sz w:val="22"/>
              </w:rPr>
              <w:t>територіальної</w:t>
            </w:r>
            <w:proofErr w:type="spellEnd"/>
            <w:r w:rsidRPr="007E0AF4">
              <w:rPr>
                <w:sz w:val="22"/>
              </w:rPr>
              <w:t xml:space="preserve"> </w:t>
            </w:r>
            <w:proofErr w:type="spellStart"/>
            <w:r w:rsidRPr="007E0AF4">
              <w:rPr>
                <w:sz w:val="22"/>
              </w:rPr>
              <w:t>громади</w:t>
            </w:r>
            <w:proofErr w:type="spellEnd"/>
            <w:r w:rsidRPr="007E0AF4">
              <w:rPr>
                <w:sz w:val="22"/>
              </w:rPr>
              <w:t xml:space="preserve"> </w:t>
            </w:r>
            <w:proofErr w:type="spellStart"/>
            <w:r w:rsidRPr="007E0AF4">
              <w:rPr>
                <w:sz w:val="22"/>
              </w:rPr>
              <w:t>зазнала</w:t>
            </w:r>
            <w:proofErr w:type="spellEnd"/>
            <w:r w:rsidRPr="007E0AF4">
              <w:rPr>
                <w:sz w:val="22"/>
              </w:rPr>
              <w:t xml:space="preserve"> </w:t>
            </w:r>
            <w:proofErr w:type="spellStart"/>
            <w:r w:rsidRPr="007E0AF4">
              <w:rPr>
                <w:sz w:val="22"/>
              </w:rPr>
              <w:t>значних</w:t>
            </w:r>
            <w:proofErr w:type="spellEnd"/>
            <w:r w:rsidRPr="007E0AF4">
              <w:rPr>
                <w:sz w:val="22"/>
              </w:rPr>
              <w:t xml:space="preserve"> </w:t>
            </w:r>
            <w:proofErr w:type="spellStart"/>
            <w:r w:rsidRPr="007E0AF4">
              <w:rPr>
                <w:sz w:val="22"/>
              </w:rPr>
              <w:t>пошкоджень</w:t>
            </w:r>
            <w:proofErr w:type="spellEnd"/>
            <w:r w:rsidRPr="007E0AF4">
              <w:rPr>
                <w:sz w:val="22"/>
              </w:rPr>
              <w:t xml:space="preserve">. Не </w:t>
            </w:r>
            <w:proofErr w:type="spellStart"/>
            <w:r w:rsidRPr="007E0AF4">
              <w:rPr>
                <w:sz w:val="22"/>
              </w:rPr>
              <w:t>оминуло</w:t>
            </w:r>
            <w:proofErr w:type="spellEnd"/>
            <w:r w:rsidRPr="007E0AF4">
              <w:rPr>
                <w:sz w:val="22"/>
              </w:rPr>
              <w:t xml:space="preserve"> це і </w:t>
            </w:r>
            <w:proofErr w:type="spellStart"/>
            <w:r w:rsidRPr="007E0AF4">
              <w:rPr>
                <w:sz w:val="22"/>
              </w:rPr>
              <w:t>Гімназію</w:t>
            </w:r>
            <w:proofErr w:type="spellEnd"/>
            <w:r w:rsidRPr="007E0AF4">
              <w:rPr>
                <w:sz w:val="22"/>
              </w:rPr>
              <w:t xml:space="preserve"> № 20.</w:t>
            </w:r>
          </w:p>
          <w:p w:rsidR="00DC0E0E" w:rsidRPr="007E0AF4" w:rsidRDefault="00DC0E0E" w:rsidP="001E6C97">
            <w:pPr>
              <w:rPr>
                <w:sz w:val="22"/>
              </w:rPr>
            </w:pPr>
            <w:r w:rsidRPr="007E0AF4">
              <w:rPr>
                <w:sz w:val="22"/>
              </w:rPr>
              <w:t xml:space="preserve">Вся </w:t>
            </w:r>
            <w:proofErr w:type="spellStart"/>
            <w:r w:rsidRPr="007E0AF4">
              <w:rPr>
                <w:sz w:val="22"/>
              </w:rPr>
              <w:t>матеріально-технічна</w:t>
            </w:r>
            <w:proofErr w:type="spellEnd"/>
            <w:r w:rsidRPr="007E0AF4">
              <w:rPr>
                <w:sz w:val="22"/>
              </w:rPr>
              <w:t xml:space="preserve"> база спортивного </w:t>
            </w:r>
            <w:proofErr w:type="spellStart"/>
            <w:r w:rsidRPr="007E0AF4">
              <w:rPr>
                <w:sz w:val="22"/>
              </w:rPr>
              <w:t>стадіону</w:t>
            </w:r>
            <w:proofErr w:type="spellEnd"/>
            <w:r w:rsidRPr="007E0AF4">
              <w:rPr>
                <w:sz w:val="22"/>
              </w:rPr>
              <w:t xml:space="preserve"> закладу, </w:t>
            </w:r>
            <w:proofErr w:type="spellStart"/>
            <w:r w:rsidRPr="007E0AF4">
              <w:rPr>
                <w:sz w:val="22"/>
              </w:rPr>
              <w:t>зокрема</w:t>
            </w:r>
            <w:proofErr w:type="spellEnd"/>
            <w:r w:rsidRPr="007E0AF4">
              <w:rPr>
                <w:sz w:val="22"/>
              </w:rPr>
              <w:t>:</w:t>
            </w:r>
          </w:p>
          <w:p w:rsidR="00DC0E0E" w:rsidRPr="007E0AF4" w:rsidRDefault="00DC0E0E" w:rsidP="000303D7">
            <w:pPr>
              <w:numPr>
                <w:ilvl w:val="0"/>
                <w:numId w:val="9"/>
              </w:numPr>
              <w:tabs>
                <w:tab w:val="clear" w:pos="1068"/>
              </w:tabs>
              <w:ind w:left="369"/>
              <w:rPr>
                <w:sz w:val="22"/>
              </w:rPr>
            </w:pPr>
            <w:proofErr w:type="spellStart"/>
            <w:r w:rsidRPr="007E0AF4">
              <w:rPr>
                <w:sz w:val="22"/>
              </w:rPr>
              <w:t>обладнання</w:t>
            </w:r>
            <w:proofErr w:type="spellEnd"/>
            <w:r w:rsidRPr="007E0AF4">
              <w:rPr>
                <w:sz w:val="22"/>
              </w:rPr>
              <w:t xml:space="preserve"> (</w:t>
            </w:r>
            <w:proofErr w:type="spellStart"/>
            <w:r w:rsidRPr="007E0AF4">
              <w:rPr>
                <w:sz w:val="22"/>
              </w:rPr>
              <w:t>устаткування</w:t>
            </w:r>
            <w:proofErr w:type="spellEnd"/>
            <w:r w:rsidRPr="007E0AF4">
              <w:rPr>
                <w:sz w:val="22"/>
              </w:rPr>
              <w:t xml:space="preserve">): </w:t>
            </w:r>
            <w:proofErr w:type="spellStart"/>
            <w:r w:rsidRPr="007E0AF4">
              <w:rPr>
                <w:sz w:val="22"/>
              </w:rPr>
              <w:t>покриття</w:t>
            </w:r>
            <w:proofErr w:type="spellEnd"/>
            <w:r w:rsidRPr="007E0AF4">
              <w:rPr>
                <w:sz w:val="22"/>
              </w:rPr>
              <w:t xml:space="preserve"> футбольного поля, </w:t>
            </w:r>
            <w:proofErr w:type="spellStart"/>
            <w:r w:rsidRPr="007E0AF4">
              <w:rPr>
                <w:sz w:val="22"/>
              </w:rPr>
              <w:t>футбольні</w:t>
            </w:r>
            <w:proofErr w:type="spellEnd"/>
            <w:r w:rsidRPr="007E0AF4">
              <w:rPr>
                <w:sz w:val="22"/>
              </w:rPr>
              <w:t xml:space="preserve"> ворота, </w:t>
            </w:r>
            <w:proofErr w:type="spellStart"/>
            <w:r w:rsidRPr="007E0AF4">
              <w:rPr>
                <w:sz w:val="22"/>
              </w:rPr>
              <w:t>спортивні</w:t>
            </w:r>
            <w:proofErr w:type="spellEnd"/>
            <w:r w:rsidRPr="007E0AF4">
              <w:rPr>
                <w:sz w:val="22"/>
              </w:rPr>
              <w:t xml:space="preserve"> </w:t>
            </w:r>
            <w:proofErr w:type="spellStart"/>
            <w:r w:rsidRPr="007E0AF4">
              <w:rPr>
                <w:sz w:val="22"/>
              </w:rPr>
              <w:t>тренажери</w:t>
            </w:r>
            <w:proofErr w:type="spellEnd"/>
            <w:r w:rsidRPr="007E0AF4">
              <w:rPr>
                <w:sz w:val="22"/>
              </w:rPr>
              <w:t xml:space="preserve">, </w:t>
            </w:r>
            <w:proofErr w:type="spellStart"/>
            <w:r w:rsidRPr="007E0AF4">
              <w:rPr>
                <w:sz w:val="22"/>
              </w:rPr>
              <w:t>бігові</w:t>
            </w:r>
            <w:proofErr w:type="spellEnd"/>
            <w:r w:rsidRPr="007E0AF4">
              <w:rPr>
                <w:sz w:val="22"/>
              </w:rPr>
              <w:t xml:space="preserve"> </w:t>
            </w:r>
            <w:proofErr w:type="spellStart"/>
            <w:r w:rsidRPr="007E0AF4">
              <w:rPr>
                <w:sz w:val="22"/>
              </w:rPr>
              <w:t>доріжки</w:t>
            </w:r>
            <w:proofErr w:type="spellEnd"/>
            <w:r w:rsidRPr="007E0AF4">
              <w:rPr>
                <w:sz w:val="22"/>
              </w:rPr>
              <w:t xml:space="preserve">, флагшток </w:t>
            </w:r>
            <w:proofErr w:type="spellStart"/>
            <w:r w:rsidRPr="007E0AF4">
              <w:rPr>
                <w:sz w:val="22"/>
              </w:rPr>
              <w:t>були</w:t>
            </w:r>
            <w:proofErr w:type="spellEnd"/>
            <w:r w:rsidRPr="007E0AF4">
              <w:rPr>
                <w:sz w:val="22"/>
              </w:rPr>
              <w:t xml:space="preserve"> </w:t>
            </w:r>
            <w:proofErr w:type="spellStart"/>
            <w:r w:rsidRPr="007E0AF4">
              <w:rPr>
                <w:sz w:val="22"/>
              </w:rPr>
              <w:t>знищені</w:t>
            </w:r>
            <w:proofErr w:type="spellEnd"/>
            <w:r w:rsidRPr="007E0AF4">
              <w:rPr>
                <w:sz w:val="22"/>
              </w:rPr>
              <w:t xml:space="preserve"> </w:t>
            </w:r>
            <w:proofErr w:type="spellStart"/>
            <w:r w:rsidRPr="007E0AF4">
              <w:rPr>
                <w:sz w:val="22"/>
              </w:rPr>
              <w:t>або</w:t>
            </w:r>
            <w:proofErr w:type="spellEnd"/>
            <w:r w:rsidRPr="007E0AF4">
              <w:rPr>
                <w:sz w:val="22"/>
              </w:rPr>
              <w:t xml:space="preserve"> </w:t>
            </w:r>
            <w:proofErr w:type="spellStart"/>
            <w:r w:rsidRPr="007E0AF4">
              <w:rPr>
                <w:sz w:val="22"/>
              </w:rPr>
              <w:t>викрадені</w:t>
            </w:r>
            <w:proofErr w:type="spellEnd"/>
            <w:r w:rsidRPr="007E0AF4">
              <w:rPr>
                <w:sz w:val="22"/>
              </w:rPr>
              <w:t>.</w:t>
            </w:r>
          </w:p>
          <w:p w:rsidR="00DC0E0E" w:rsidRPr="007E0AF4" w:rsidRDefault="00DC0E0E" w:rsidP="001E6C97">
            <w:pPr>
              <w:pStyle w:val="13"/>
              <w:jc w:val="both"/>
              <w:rPr>
                <w:sz w:val="22"/>
              </w:rPr>
            </w:pPr>
            <w:r w:rsidRPr="007E0AF4">
              <w:rPr>
                <w:rFonts w:eastAsia="Arial"/>
                <w:sz w:val="22"/>
                <w:lang w:val="uk-UA"/>
              </w:rPr>
              <w:t xml:space="preserve">Для відбудови та сталого розвитку громади потрібне відновлення роботи комунального закладу Гімназії № 20. Мешканці громади потребують в отриманні якісних освітніх послуг, які відповідають нормам сучасності. </w:t>
            </w:r>
          </w:p>
        </w:tc>
      </w:tr>
      <w:tr w:rsidR="00DC0E0E" w:rsidRPr="007E0AF4" w:rsidTr="00DC0E0E">
        <w:tc>
          <w:tcPr>
            <w:tcW w:w="2978" w:type="dxa"/>
            <w:shd w:val="clear" w:color="auto" w:fill="C6D9F1" w:themeFill="text2" w:themeFillTint="33"/>
          </w:tcPr>
          <w:p w:rsidR="00DC0E0E" w:rsidRPr="007E0AF4" w:rsidRDefault="00DC0E0E" w:rsidP="001E6C97">
            <w:pPr>
              <w:pStyle w:val="a7"/>
              <w:ind w:left="0"/>
              <w:rPr>
                <w:b/>
                <w:sz w:val="22"/>
              </w:rPr>
            </w:pPr>
            <w:proofErr w:type="spellStart"/>
            <w:r w:rsidRPr="007E0AF4">
              <w:rPr>
                <w:b/>
                <w:sz w:val="22"/>
              </w:rPr>
              <w:t>Очікувані</w:t>
            </w:r>
            <w:proofErr w:type="spellEnd"/>
            <w:r w:rsidRPr="007E0AF4">
              <w:rPr>
                <w:b/>
                <w:sz w:val="22"/>
              </w:rPr>
              <w:t xml:space="preserve"> </w:t>
            </w:r>
            <w:proofErr w:type="spellStart"/>
            <w:r w:rsidRPr="007E0AF4">
              <w:rPr>
                <w:b/>
                <w:sz w:val="22"/>
              </w:rPr>
              <w:t>якісні</w:t>
            </w:r>
            <w:proofErr w:type="spellEnd"/>
            <w:r w:rsidRPr="007E0AF4">
              <w:rPr>
                <w:b/>
                <w:sz w:val="22"/>
              </w:rPr>
              <w:t xml:space="preserve"> </w:t>
            </w:r>
            <w:proofErr w:type="spellStart"/>
            <w:r w:rsidRPr="007E0AF4">
              <w:rPr>
                <w:b/>
                <w:sz w:val="22"/>
              </w:rPr>
              <w:t>результати</w:t>
            </w:r>
            <w:proofErr w:type="spellEnd"/>
            <w:r w:rsidRPr="007E0AF4">
              <w:rPr>
                <w:b/>
                <w:sz w:val="22"/>
              </w:rPr>
              <w:t xml:space="preserve"> </w:t>
            </w:r>
            <w:proofErr w:type="spellStart"/>
            <w:r w:rsidRPr="007E0AF4">
              <w:rPr>
                <w:b/>
                <w:sz w:val="22"/>
              </w:rPr>
              <w:t>від</w:t>
            </w:r>
            <w:proofErr w:type="spellEnd"/>
            <w:r w:rsidRPr="007E0AF4">
              <w:rPr>
                <w:b/>
                <w:sz w:val="22"/>
              </w:rPr>
              <w:t xml:space="preserve"> </w:t>
            </w:r>
            <w:proofErr w:type="spellStart"/>
            <w:r w:rsidRPr="007E0AF4">
              <w:rPr>
                <w:b/>
                <w:sz w:val="22"/>
              </w:rPr>
              <w:t>реалізації</w:t>
            </w:r>
            <w:proofErr w:type="spellEnd"/>
            <w:r w:rsidRPr="007E0AF4">
              <w:rPr>
                <w:b/>
                <w:sz w:val="22"/>
              </w:rPr>
              <w:t xml:space="preserve"> проекту</w:t>
            </w:r>
          </w:p>
        </w:tc>
        <w:tc>
          <w:tcPr>
            <w:tcW w:w="6910" w:type="dxa"/>
            <w:gridSpan w:val="6"/>
          </w:tcPr>
          <w:p w:rsidR="00DC0E0E" w:rsidRPr="007E0AF4" w:rsidRDefault="00DC0E0E" w:rsidP="001E6C97">
            <w:pPr>
              <w:pStyle w:val="a7"/>
              <w:ind w:left="0"/>
              <w:rPr>
                <w:sz w:val="22"/>
              </w:rPr>
            </w:pPr>
            <w:r w:rsidRPr="007E0AF4">
              <w:rPr>
                <w:sz w:val="22"/>
              </w:rPr>
              <w:t xml:space="preserve">- </w:t>
            </w:r>
            <w:proofErr w:type="spellStart"/>
            <w:r w:rsidRPr="007E0AF4">
              <w:rPr>
                <w:sz w:val="22"/>
              </w:rPr>
              <w:t>забезпечення</w:t>
            </w:r>
            <w:proofErr w:type="spellEnd"/>
            <w:r w:rsidRPr="007E0AF4">
              <w:rPr>
                <w:sz w:val="22"/>
              </w:rPr>
              <w:t xml:space="preserve"> </w:t>
            </w:r>
            <w:proofErr w:type="spellStart"/>
            <w:r w:rsidRPr="007E0AF4">
              <w:rPr>
                <w:sz w:val="22"/>
              </w:rPr>
              <w:t>населення</w:t>
            </w:r>
            <w:proofErr w:type="spellEnd"/>
            <w:r w:rsidRPr="007E0AF4">
              <w:rPr>
                <w:sz w:val="22"/>
              </w:rPr>
              <w:t xml:space="preserve"> </w:t>
            </w:r>
            <w:proofErr w:type="spellStart"/>
            <w:r w:rsidRPr="007E0AF4">
              <w:rPr>
                <w:sz w:val="22"/>
              </w:rPr>
              <w:t>можливостями</w:t>
            </w:r>
            <w:proofErr w:type="spellEnd"/>
            <w:r w:rsidRPr="007E0AF4">
              <w:rPr>
                <w:sz w:val="22"/>
              </w:rPr>
              <w:t xml:space="preserve"> для </w:t>
            </w:r>
            <w:proofErr w:type="spellStart"/>
            <w:r w:rsidRPr="007E0AF4">
              <w:rPr>
                <w:sz w:val="22"/>
              </w:rPr>
              <w:t>реалізації</w:t>
            </w:r>
            <w:proofErr w:type="spellEnd"/>
            <w:r w:rsidRPr="007E0AF4">
              <w:rPr>
                <w:sz w:val="22"/>
              </w:rPr>
              <w:t xml:space="preserve"> </w:t>
            </w:r>
            <w:proofErr w:type="spellStart"/>
            <w:r w:rsidRPr="007E0AF4">
              <w:rPr>
                <w:sz w:val="22"/>
              </w:rPr>
              <w:t>його</w:t>
            </w:r>
            <w:proofErr w:type="spellEnd"/>
            <w:r w:rsidRPr="007E0AF4">
              <w:rPr>
                <w:sz w:val="22"/>
              </w:rPr>
              <w:t xml:space="preserve"> </w:t>
            </w:r>
            <w:proofErr w:type="spellStart"/>
            <w:r w:rsidRPr="007E0AF4">
              <w:rPr>
                <w:sz w:val="22"/>
              </w:rPr>
              <w:t>конституційних</w:t>
            </w:r>
            <w:proofErr w:type="spellEnd"/>
            <w:r w:rsidRPr="007E0AF4">
              <w:rPr>
                <w:sz w:val="22"/>
              </w:rPr>
              <w:t xml:space="preserve"> прав</w:t>
            </w:r>
            <w:r w:rsidR="00E61E1C" w:rsidRPr="007E0AF4">
              <w:rPr>
                <w:sz w:val="22"/>
              </w:rPr>
              <w:t>,</w:t>
            </w:r>
            <w:r w:rsidRPr="007E0AF4">
              <w:rPr>
                <w:sz w:val="22"/>
              </w:rPr>
              <w:t xml:space="preserve"> </w:t>
            </w:r>
            <w:proofErr w:type="spellStart"/>
            <w:r w:rsidRPr="007E0AF4">
              <w:rPr>
                <w:sz w:val="22"/>
              </w:rPr>
              <w:t>пов’язаних</w:t>
            </w:r>
            <w:proofErr w:type="spellEnd"/>
            <w:r w:rsidRPr="007E0AF4">
              <w:rPr>
                <w:sz w:val="22"/>
              </w:rPr>
              <w:t xml:space="preserve"> </w:t>
            </w:r>
            <w:proofErr w:type="spellStart"/>
            <w:r w:rsidRPr="007E0AF4">
              <w:rPr>
                <w:sz w:val="22"/>
              </w:rPr>
              <w:t>із</w:t>
            </w:r>
            <w:proofErr w:type="spellEnd"/>
            <w:r w:rsidRPr="007E0AF4">
              <w:rPr>
                <w:sz w:val="22"/>
              </w:rPr>
              <w:t xml:space="preserve"> правом </w:t>
            </w:r>
            <w:proofErr w:type="spellStart"/>
            <w:r w:rsidRPr="007E0AF4">
              <w:rPr>
                <w:sz w:val="22"/>
              </w:rPr>
              <w:t>громадян</w:t>
            </w:r>
            <w:proofErr w:type="spellEnd"/>
            <w:r w:rsidRPr="007E0AF4">
              <w:rPr>
                <w:sz w:val="22"/>
              </w:rPr>
              <w:t xml:space="preserve"> на </w:t>
            </w:r>
            <w:proofErr w:type="spellStart"/>
            <w:r w:rsidRPr="007E0AF4">
              <w:rPr>
                <w:sz w:val="22"/>
              </w:rPr>
              <w:t>освіту</w:t>
            </w:r>
            <w:proofErr w:type="spellEnd"/>
            <w:r w:rsidRPr="007E0AF4">
              <w:rPr>
                <w:sz w:val="22"/>
              </w:rPr>
              <w:t>;</w:t>
            </w:r>
          </w:p>
          <w:p w:rsidR="00DC0E0E" w:rsidRPr="007E0AF4" w:rsidRDefault="00DC0E0E" w:rsidP="001E6C97">
            <w:pPr>
              <w:pStyle w:val="a7"/>
              <w:ind w:left="0"/>
              <w:rPr>
                <w:sz w:val="22"/>
              </w:rPr>
            </w:pPr>
            <w:r w:rsidRPr="007E0AF4">
              <w:rPr>
                <w:sz w:val="22"/>
              </w:rPr>
              <w:t xml:space="preserve">- </w:t>
            </w:r>
            <w:proofErr w:type="spellStart"/>
            <w:r w:rsidRPr="007E0AF4">
              <w:rPr>
                <w:sz w:val="22"/>
              </w:rPr>
              <w:t>надання</w:t>
            </w:r>
            <w:proofErr w:type="spellEnd"/>
            <w:r w:rsidRPr="007E0AF4">
              <w:rPr>
                <w:sz w:val="22"/>
              </w:rPr>
              <w:t xml:space="preserve"> широкого спектру </w:t>
            </w:r>
            <w:proofErr w:type="spellStart"/>
            <w:r w:rsidRPr="007E0AF4">
              <w:rPr>
                <w:sz w:val="22"/>
              </w:rPr>
              <w:t>послуг</w:t>
            </w:r>
            <w:proofErr w:type="spellEnd"/>
            <w:r w:rsidR="00E61E1C" w:rsidRPr="007E0AF4">
              <w:rPr>
                <w:sz w:val="22"/>
              </w:rPr>
              <w:t>,</w:t>
            </w:r>
            <w:r w:rsidRPr="007E0AF4">
              <w:rPr>
                <w:sz w:val="22"/>
              </w:rPr>
              <w:t xml:space="preserve"> </w:t>
            </w:r>
            <w:proofErr w:type="spellStart"/>
            <w:r w:rsidRPr="007E0AF4">
              <w:rPr>
                <w:sz w:val="22"/>
              </w:rPr>
              <w:t>пов’язаних</w:t>
            </w:r>
            <w:proofErr w:type="spellEnd"/>
            <w:r w:rsidRPr="007E0AF4">
              <w:rPr>
                <w:sz w:val="22"/>
              </w:rPr>
              <w:t xml:space="preserve"> </w:t>
            </w:r>
            <w:proofErr w:type="spellStart"/>
            <w:r w:rsidRPr="007E0AF4">
              <w:rPr>
                <w:sz w:val="22"/>
              </w:rPr>
              <w:t>із</w:t>
            </w:r>
            <w:proofErr w:type="spellEnd"/>
            <w:r w:rsidRPr="007E0AF4">
              <w:rPr>
                <w:sz w:val="22"/>
              </w:rPr>
              <w:t xml:space="preserve"> </w:t>
            </w:r>
            <w:proofErr w:type="spellStart"/>
            <w:r w:rsidRPr="007E0AF4">
              <w:rPr>
                <w:sz w:val="22"/>
              </w:rPr>
              <w:t>освітньою</w:t>
            </w:r>
            <w:proofErr w:type="spellEnd"/>
            <w:r w:rsidRPr="007E0AF4">
              <w:rPr>
                <w:sz w:val="22"/>
              </w:rPr>
              <w:t xml:space="preserve"> </w:t>
            </w:r>
            <w:proofErr w:type="spellStart"/>
            <w:r w:rsidRPr="007E0AF4">
              <w:rPr>
                <w:sz w:val="22"/>
              </w:rPr>
              <w:t>діяльністю</w:t>
            </w:r>
            <w:proofErr w:type="spellEnd"/>
            <w:r w:rsidRPr="007E0AF4">
              <w:rPr>
                <w:sz w:val="22"/>
              </w:rPr>
              <w:t>;</w:t>
            </w:r>
          </w:p>
          <w:p w:rsidR="00DC0E0E" w:rsidRPr="007E0AF4" w:rsidRDefault="00DC0E0E" w:rsidP="001E6C97">
            <w:pPr>
              <w:pStyle w:val="a7"/>
              <w:ind w:left="0"/>
              <w:rPr>
                <w:sz w:val="22"/>
              </w:rPr>
            </w:pPr>
            <w:r w:rsidRPr="007E0AF4">
              <w:rPr>
                <w:sz w:val="22"/>
              </w:rPr>
              <w:t xml:space="preserve">- </w:t>
            </w:r>
            <w:proofErr w:type="spellStart"/>
            <w:r w:rsidRPr="007E0AF4">
              <w:rPr>
                <w:sz w:val="22"/>
              </w:rPr>
              <w:t>вирішення</w:t>
            </w:r>
            <w:proofErr w:type="spellEnd"/>
            <w:r w:rsidRPr="007E0AF4">
              <w:rPr>
                <w:sz w:val="22"/>
              </w:rPr>
              <w:t xml:space="preserve"> ряду </w:t>
            </w:r>
            <w:proofErr w:type="spellStart"/>
            <w:r w:rsidRPr="007E0AF4">
              <w:rPr>
                <w:sz w:val="22"/>
              </w:rPr>
              <w:t>питань</w:t>
            </w:r>
            <w:proofErr w:type="spellEnd"/>
            <w:r w:rsidRPr="007E0AF4">
              <w:rPr>
                <w:sz w:val="22"/>
              </w:rPr>
              <w:t xml:space="preserve"> </w:t>
            </w:r>
            <w:proofErr w:type="gramStart"/>
            <w:r w:rsidRPr="007E0AF4">
              <w:rPr>
                <w:sz w:val="22"/>
              </w:rPr>
              <w:t>у межах</w:t>
            </w:r>
            <w:proofErr w:type="gramEnd"/>
            <w:r w:rsidRPr="007E0AF4">
              <w:rPr>
                <w:sz w:val="22"/>
              </w:rPr>
              <w:t xml:space="preserve"> </w:t>
            </w:r>
            <w:proofErr w:type="spellStart"/>
            <w:r w:rsidRPr="007E0AF4">
              <w:rPr>
                <w:sz w:val="22"/>
              </w:rPr>
              <w:t>статутної</w:t>
            </w:r>
            <w:proofErr w:type="spellEnd"/>
            <w:r w:rsidRPr="007E0AF4">
              <w:rPr>
                <w:sz w:val="22"/>
              </w:rPr>
              <w:t xml:space="preserve"> </w:t>
            </w:r>
            <w:proofErr w:type="spellStart"/>
            <w:r w:rsidRPr="007E0AF4">
              <w:rPr>
                <w:sz w:val="22"/>
              </w:rPr>
              <w:t>діяльності</w:t>
            </w:r>
            <w:proofErr w:type="spellEnd"/>
            <w:r w:rsidR="00E61E1C" w:rsidRPr="007E0AF4">
              <w:rPr>
                <w:sz w:val="22"/>
              </w:rPr>
              <w:t>,</w:t>
            </w:r>
            <w:r w:rsidRPr="007E0AF4">
              <w:rPr>
                <w:sz w:val="22"/>
              </w:rPr>
              <w:t xml:space="preserve"> </w:t>
            </w:r>
            <w:proofErr w:type="spellStart"/>
            <w:r w:rsidRPr="007E0AF4">
              <w:rPr>
                <w:sz w:val="22"/>
              </w:rPr>
              <w:t>пов’язаних</w:t>
            </w:r>
            <w:proofErr w:type="spellEnd"/>
            <w:r w:rsidRPr="007E0AF4">
              <w:rPr>
                <w:sz w:val="22"/>
              </w:rPr>
              <w:t xml:space="preserve"> </w:t>
            </w:r>
            <w:proofErr w:type="spellStart"/>
            <w:r w:rsidRPr="007E0AF4">
              <w:rPr>
                <w:sz w:val="22"/>
              </w:rPr>
              <w:t>із</w:t>
            </w:r>
            <w:proofErr w:type="spellEnd"/>
            <w:r w:rsidRPr="007E0AF4">
              <w:rPr>
                <w:sz w:val="22"/>
              </w:rPr>
              <w:t xml:space="preserve"> </w:t>
            </w:r>
            <w:proofErr w:type="spellStart"/>
            <w:r w:rsidRPr="007E0AF4">
              <w:rPr>
                <w:sz w:val="22"/>
              </w:rPr>
              <w:t>відбудовою</w:t>
            </w:r>
            <w:proofErr w:type="spellEnd"/>
            <w:r w:rsidRPr="007E0AF4">
              <w:rPr>
                <w:sz w:val="22"/>
              </w:rPr>
              <w:t xml:space="preserve"> та </w:t>
            </w:r>
            <w:proofErr w:type="spellStart"/>
            <w:r w:rsidRPr="007E0AF4">
              <w:rPr>
                <w:sz w:val="22"/>
              </w:rPr>
              <w:t>сталим</w:t>
            </w:r>
            <w:proofErr w:type="spellEnd"/>
            <w:r w:rsidRPr="007E0AF4">
              <w:rPr>
                <w:sz w:val="22"/>
              </w:rPr>
              <w:t xml:space="preserve"> </w:t>
            </w:r>
            <w:proofErr w:type="spellStart"/>
            <w:r w:rsidRPr="007E0AF4">
              <w:rPr>
                <w:sz w:val="22"/>
              </w:rPr>
              <w:t>розвитком</w:t>
            </w:r>
            <w:proofErr w:type="spellEnd"/>
            <w:r w:rsidRPr="007E0AF4">
              <w:rPr>
                <w:sz w:val="22"/>
              </w:rPr>
              <w:t xml:space="preserve"> </w:t>
            </w:r>
            <w:proofErr w:type="spellStart"/>
            <w:r w:rsidRPr="007E0AF4">
              <w:rPr>
                <w:sz w:val="22"/>
              </w:rPr>
              <w:t>громади</w:t>
            </w:r>
            <w:proofErr w:type="spellEnd"/>
            <w:r w:rsidRPr="007E0AF4">
              <w:rPr>
                <w:sz w:val="22"/>
              </w:rPr>
              <w:t>;</w:t>
            </w:r>
          </w:p>
          <w:p w:rsidR="00DC0E0E" w:rsidRPr="007E0AF4" w:rsidRDefault="00DC0E0E" w:rsidP="001E6C97">
            <w:pPr>
              <w:pStyle w:val="a7"/>
              <w:ind w:left="0"/>
              <w:rPr>
                <w:sz w:val="22"/>
              </w:rPr>
            </w:pPr>
            <w:r w:rsidRPr="007E0AF4">
              <w:rPr>
                <w:sz w:val="22"/>
              </w:rPr>
              <w:t xml:space="preserve">- </w:t>
            </w:r>
            <w:proofErr w:type="spellStart"/>
            <w:r w:rsidRPr="007E0AF4">
              <w:rPr>
                <w:sz w:val="22"/>
              </w:rPr>
              <w:t>створення</w:t>
            </w:r>
            <w:proofErr w:type="spellEnd"/>
            <w:r w:rsidRPr="007E0AF4">
              <w:rPr>
                <w:sz w:val="22"/>
              </w:rPr>
              <w:t xml:space="preserve"> </w:t>
            </w:r>
            <w:proofErr w:type="spellStart"/>
            <w:r w:rsidRPr="007E0AF4">
              <w:rPr>
                <w:sz w:val="22"/>
              </w:rPr>
              <w:t>нових</w:t>
            </w:r>
            <w:proofErr w:type="spellEnd"/>
            <w:r w:rsidRPr="007E0AF4">
              <w:rPr>
                <w:sz w:val="22"/>
              </w:rPr>
              <w:t xml:space="preserve"> </w:t>
            </w:r>
            <w:proofErr w:type="spellStart"/>
            <w:r w:rsidRPr="007E0AF4">
              <w:rPr>
                <w:sz w:val="22"/>
              </w:rPr>
              <w:t>робочих</w:t>
            </w:r>
            <w:proofErr w:type="spellEnd"/>
            <w:r w:rsidRPr="007E0AF4">
              <w:rPr>
                <w:sz w:val="22"/>
              </w:rPr>
              <w:t xml:space="preserve"> </w:t>
            </w:r>
            <w:proofErr w:type="spellStart"/>
            <w:r w:rsidRPr="007E0AF4">
              <w:rPr>
                <w:sz w:val="22"/>
              </w:rPr>
              <w:t>місць</w:t>
            </w:r>
            <w:proofErr w:type="spellEnd"/>
            <w:r w:rsidRPr="007E0AF4">
              <w:rPr>
                <w:sz w:val="22"/>
              </w:rPr>
              <w:t>;</w:t>
            </w:r>
          </w:p>
          <w:p w:rsidR="00DC0E0E" w:rsidRPr="007E0AF4" w:rsidRDefault="00DC0E0E" w:rsidP="001E6C97">
            <w:pPr>
              <w:pStyle w:val="a7"/>
              <w:ind w:left="0"/>
              <w:rPr>
                <w:sz w:val="22"/>
              </w:rPr>
            </w:pPr>
            <w:r w:rsidRPr="007E0AF4">
              <w:rPr>
                <w:sz w:val="22"/>
              </w:rPr>
              <w:t xml:space="preserve">- стимул до </w:t>
            </w:r>
            <w:proofErr w:type="spellStart"/>
            <w:r w:rsidRPr="007E0AF4">
              <w:rPr>
                <w:sz w:val="22"/>
              </w:rPr>
              <w:t>повернення</w:t>
            </w:r>
            <w:proofErr w:type="spellEnd"/>
            <w:r w:rsidRPr="007E0AF4">
              <w:rPr>
                <w:sz w:val="22"/>
              </w:rPr>
              <w:t xml:space="preserve"> ВПО до </w:t>
            </w:r>
            <w:proofErr w:type="spellStart"/>
            <w:r w:rsidRPr="007E0AF4">
              <w:rPr>
                <w:sz w:val="22"/>
              </w:rPr>
              <w:t>громади</w:t>
            </w:r>
            <w:proofErr w:type="spellEnd"/>
            <w:r w:rsidRPr="007E0AF4">
              <w:rPr>
                <w:sz w:val="22"/>
              </w:rPr>
              <w:t>.</w:t>
            </w:r>
          </w:p>
        </w:tc>
      </w:tr>
      <w:tr w:rsidR="00DC0E0E" w:rsidRPr="007E0AF4" w:rsidTr="00DC0E0E">
        <w:trPr>
          <w:trHeight w:val="390"/>
        </w:trPr>
        <w:tc>
          <w:tcPr>
            <w:tcW w:w="2978" w:type="dxa"/>
            <w:vMerge w:val="restart"/>
            <w:shd w:val="clear" w:color="auto" w:fill="C6D9F1" w:themeFill="text2" w:themeFillTint="33"/>
          </w:tcPr>
          <w:p w:rsidR="00DC0E0E" w:rsidRPr="007E0AF4" w:rsidRDefault="00DC0E0E" w:rsidP="001E6C97">
            <w:pPr>
              <w:pStyle w:val="a7"/>
              <w:ind w:left="0"/>
              <w:rPr>
                <w:b/>
                <w:sz w:val="22"/>
                <w:lang w:val="uk-UA"/>
              </w:rPr>
            </w:pPr>
            <w:r w:rsidRPr="007E0AF4">
              <w:rPr>
                <w:b/>
                <w:sz w:val="22"/>
                <w:lang w:val="uk-UA"/>
              </w:rPr>
              <w:t xml:space="preserve">Очікувані кількісні результати реалізації </w:t>
            </w:r>
            <w:proofErr w:type="spellStart"/>
            <w:r w:rsidRPr="007E0AF4">
              <w:rPr>
                <w:b/>
                <w:sz w:val="22"/>
                <w:lang w:val="uk-UA"/>
              </w:rPr>
              <w:t>проєкту</w:t>
            </w:r>
            <w:proofErr w:type="spellEnd"/>
            <w:r w:rsidRPr="007E0AF4">
              <w:rPr>
                <w:b/>
                <w:sz w:val="22"/>
                <w:lang w:val="uk-UA"/>
              </w:rPr>
              <w:t xml:space="preserve"> (індикатори)</w:t>
            </w:r>
          </w:p>
          <w:p w:rsidR="00DC0E0E" w:rsidRPr="007E0AF4" w:rsidRDefault="00DC0E0E" w:rsidP="001E6C97">
            <w:pPr>
              <w:pStyle w:val="a7"/>
              <w:ind w:left="0"/>
              <w:rPr>
                <w:b/>
                <w:sz w:val="22"/>
                <w:lang w:val="uk-UA"/>
              </w:rPr>
            </w:pPr>
          </w:p>
        </w:tc>
        <w:tc>
          <w:tcPr>
            <w:tcW w:w="3789" w:type="dxa"/>
            <w:gridSpan w:val="3"/>
            <w:tcBorders>
              <w:bottom w:val="single" w:sz="4" w:space="0" w:color="auto"/>
              <w:right w:val="single" w:sz="4" w:space="0" w:color="auto"/>
            </w:tcBorders>
          </w:tcPr>
          <w:p w:rsidR="00DC0E0E" w:rsidRPr="007E0AF4" w:rsidRDefault="00DC0E0E" w:rsidP="001E6C97">
            <w:pPr>
              <w:pStyle w:val="a7"/>
              <w:ind w:left="-108"/>
              <w:jc w:val="center"/>
              <w:rPr>
                <w:b/>
                <w:sz w:val="22"/>
              </w:rPr>
            </w:pPr>
            <w:proofErr w:type="spellStart"/>
            <w:r w:rsidRPr="007E0AF4">
              <w:rPr>
                <w:b/>
                <w:sz w:val="22"/>
              </w:rPr>
              <w:t>Найменування</w:t>
            </w:r>
            <w:proofErr w:type="spellEnd"/>
            <w:r w:rsidRPr="007E0AF4">
              <w:rPr>
                <w:b/>
                <w:sz w:val="22"/>
              </w:rPr>
              <w:t xml:space="preserve"> </w:t>
            </w:r>
            <w:proofErr w:type="spellStart"/>
            <w:r w:rsidRPr="007E0AF4">
              <w:rPr>
                <w:b/>
                <w:sz w:val="22"/>
              </w:rPr>
              <w:t>показника</w:t>
            </w:r>
            <w:proofErr w:type="spellEnd"/>
          </w:p>
        </w:tc>
        <w:tc>
          <w:tcPr>
            <w:tcW w:w="1706" w:type="dxa"/>
            <w:gridSpan w:val="2"/>
            <w:tcBorders>
              <w:left w:val="single" w:sz="4" w:space="0" w:color="auto"/>
              <w:bottom w:val="single" w:sz="4" w:space="0" w:color="auto"/>
              <w:right w:val="single" w:sz="4" w:space="0" w:color="auto"/>
            </w:tcBorders>
          </w:tcPr>
          <w:p w:rsidR="00DC0E0E" w:rsidRPr="007E0AF4" w:rsidRDefault="00DC0E0E" w:rsidP="001E6C97">
            <w:pPr>
              <w:pStyle w:val="a7"/>
              <w:ind w:left="0"/>
              <w:jc w:val="center"/>
              <w:rPr>
                <w:b/>
                <w:sz w:val="22"/>
              </w:rPr>
            </w:pPr>
            <w:proofErr w:type="spellStart"/>
            <w:r w:rsidRPr="007E0AF4">
              <w:rPr>
                <w:b/>
                <w:sz w:val="22"/>
              </w:rPr>
              <w:t>Одиниця</w:t>
            </w:r>
            <w:proofErr w:type="spellEnd"/>
            <w:r w:rsidRPr="007E0AF4">
              <w:rPr>
                <w:b/>
                <w:sz w:val="22"/>
              </w:rPr>
              <w:t xml:space="preserve"> </w:t>
            </w:r>
            <w:proofErr w:type="spellStart"/>
            <w:r w:rsidRPr="007E0AF4">
              <w:rPr>
                <w:b/>
                <w:sz w:val="22"/>
              </w:rPr>
              <w:t>вимірювання</w:t>
            </w:r>
            <w:proofErr w:type="spellEnd"/>
          </w:p>
        </w:tc>
        <w:tc>
          <w:tcPr>
            <w:tcW w:w="1415" w:type="dxa"/>
            <w:tcBorders>
              <w:left w:val="single" w:sz="4" w:space="0" w:color="auto"/>
              <w:bottom w:val="single" w:sz="4" w:space="0" w:color="auto"/>
            </w:tcBorders>
          </w:tcPr>
          <w:p w:rsidR="00DC0E0E" w:rsidRPr="007E0AF4" w:rsidRDefault="00DC0E0E" w:rsidP="001E6C97">
            <w:pPr>
              <w:pStyle w:val="a7"/>
              <w:ind w:left="0"/>
              <w:jc w:val="center"/>
              <w:rPr>
                <w:b/>
                <w:sz w:val="22"/>
              </w:rPr>
            </w:pPr>
            <w:proofErr w:type="spellStart"/>
            <w:r w:rsidRPr="007E0AF4">
              <w:rPr>
                <w:b/>
                <w:sz w:val="22"/>
              </w:rPr>
              <w:t>Прогнозне</w:t>
            </w:r>
            <w:proofErr w:type="spellEnd"/>
            <w:r w:rsidRPr="007E0AF4">
              <w:rPr>
                <w:b/>
                <w:sz w:val="22"/>
              </w:rPr>
              <w:t xml:space="preserve"> (</w:t>
            </w:r>
            <w:proofErr w:type="spellStart"/>
            <w:r w:rsidRPr="007E0AF4">
              <w:rPr>
                <w:b/>
                <w:sz w:val="22"/>
              </w:rPr>
              <w:t>цільове</w:t>
            </w:r>
            <w:proofErr w:type="spellEnd"/>
            <w:r w:rsidRPr="007E0AF4">
              <w:rPr>
                <w:b/>
                <w:sz w:val="22"/>
              </w:rPr>
              <w:t xml:space="preserve">) </w:t>
            </w:r>
            <w:proofErr w:type="spellStart"/>
            <w:r w:rsidRPr="007E0AF4">
              <w:rPr>
                <w:b/>
                <w:sz w:val="22"/>
              </w:rPr>
              <w:t>значення</w:t>
            </w:r>
            <w:proofErr w:type="spellEnd"/>
          </w:p>
        </w:tc>
      </w:tr>
      <w:tr w:rsidR="00DC0E0E" w:rsidRPr="007E0AF4" w:rsidTr="00DC0E0E">
        <w:trPr>
          <w:trHeight w:val="585"/>
        </w:trPr>
        <w:tc>
          <w:tcPr>
            <w:tcW w:w="2978" w:type="dxa"/>
            <w:vMerge/>
            <w:shd w:val="clear" w:color="auto" w:fill="C6D9F1" w:themeFill="text2" w:themeFillTint="33"/>
          </w:tcPr>
          <w:p w:rsidR="00DC0E0E" w:rsidRPr="007E0AF4" w:rsidRDefault="00DC0E0E" w:rsidP="001E6C97">
            <w:pPr>
              <w:pStyle w:val="a7"/>
              <w:ind w:left="0"/>
              <w:rPr>
                <w:b/>
                <w:sz w:val="22"/>
              </w:rPr>
            </w:pPr>
          </w:p>
        </w:tc>
        <w:tc>
          <w:tcPr>
            <w:tcW w:w="3789" w:type="dxa"/>
            <w:gridSpan w:val="3"/>
            <w:tcBorders>
              <w:top w:val="single" w:sz="4" w:space="0" w:color="auto"/>
              <w:bottom w:val="single" w:sz="4" w:space="0" w:color="auto"/>
              <w:right w:val="single" w:sz="4" w:space="0" w:color="auto"/>
            </w:tcBorders>
          </w:tcPr>
          <w:p w:rsidR="00DC0E0E" w:rsidRPr="007E0AF4" w:rsidRDefault="00DC0E0E" w:rsidP="001E6C97">
            <w:pPr>
              <w:pStyle w:val="a7"/>
              <w:ind w:left="0"/>
              <w:jc w:val="center"/>
              <w:rPr>
                <w:sz w:val="22"/>
              </w:rPr>
            </w:pPr>
            <w:proofErr w:type="spellStart"/>
            <w:r w:rsidRPr="007E0AF4">
              <w:rPr>
                <w:sz w:val="22"/>
              </w:rPr>
              <w:t>Кількість</w:t>
            </w:r>
            <w:proofErr w:type="spellEnd"/>
            <w:r w:rsidRPr="007E0AF4">
              <w:rPr>
                <w:sz w:val="22"/>
              </w:rPr>
              <w:t xml:space="preserve"> </w:t>
            </w:r>
            <w:proofErr w:type="spellStart"/>
            <w:r w:rsidRPr="007E0AF4">
              <w:rPr>
                <w:sz w:val="22"/>
              </w:rPr>
              <w:t>фізичних</w:t>
            </w:r>
            <w:proofErr w:type="spellEnd"/>
            <w:r w:rsidRPr="007E0AF4">
              <w:rPr>
                <w:sz w:val="22"/>
              </w:rPr>
              <w:t xml:space="preserve"> </w:t>
            </w:r>
            <w:proofErr w:type="spellStart"/>
            <w:r w:rsidRPr="007E0AF4">
              <w:rPr>
                <w:sz w:val="22"/>
              </w:rPr>
              <w:t>осіб</w:t>
            </w:r>
            <w:proofErr w:type="spellEnd"/>
            <w:r w:rsidRPr="007E0AF4">
              <w:rPr>
                <w:sz w:val="22"/>
              </w:rPr>
              <w:t xml:space="preserve">, </w:t>
            </w:r>
            <w:proofErr w:type="spellStart"/>
            <w:r w:rsidRPr="007E0AF4">
              <w:rPr>
                <w:sz w:val="22"/>
              </w:rPr>
              <w:t>які</w:t>
            </w:r>
            <w:proofErr w:type="spellEnd"/>
            <w:r w:rsidRPr="007E0AF4">
              <w:rPr>
                <w:sz w:val="22"/>
              </w:rPr>
              <w:t xml:space="preserve"> </w:t>
            </w:r>
            <w:proofErr w:type="spellStart"/>
            <w:r w:rsidRPr="007E0AF4">
              <w:rPr>
                <w:sz w:val="22"/>
              </w:rPr>
              <w:t>звернулись</w:t>
            </w:r>
            <w:proofErr w:type="spellEnd"/>
            <w:r w:rsidRPr="007E0AF4">
              <w:rPr>
                <w:sz w:val="22"/>
              </w:rPr>
              <w:t xml:space="preserve"> за </w:t>
            </w:r>
            <w:proofErr w:type="spellStart"/>
            <w:r w:rsidRPr="007E0AF4">
              <w:rPr>
                <w:sz w:val="22"/>
              </w:rPr>
              <w:t>послугами</w:t>
            </w:r>
            <w:proofErr w:type="spellEnd"/>
            <w:r w:rsidRPr="007E0AF4">
              <w:rPr>
                <w:sz w:val="22"/>
              </w:rPr>
              <w:t xml:space="preserve"> </w:t>
            </w:r>
            <w:proofErr w:type="spellStart"/>
            <w:r w:rsidRPr="007E0AF4">
              <w:rPr>
                <w:sz w:val="22"/>
              </w:rPr>
              <w:t>протягом</w:t>
            </w:r>
            <w:proofErr w:type="spellEnd"/>
            <w:r w:rsidRPr="007E0AF4">
              <w:rPr>
                <w:sz w:val="22"/>
              </w:rPr>
              <w:t xml:space="preserve"> року</w:t>
            </w:r>
          </w:p>
        </w:tc>
        <w:tc>
          <w:tcPr>
            <w:tcW w:w="1706" w:type="dxa"/>
            <w:gridSpan w:val="2"/>
            <w:tcBorders>
              <w:top w:val="single" w:sz="4" w:space="0" w:color="auto"/>
              <w:left w:val="single" w:sz="4" w:space="0" w:color="auto"/>
              <w:bottom w:val="single" w:sz="4" w:space="0" w:color="auto"/>
              <w:right w:val="single" w:sz="4" w:space="0" w:color="auto"/>
            </w:tcBorders>
            <w:vAlign w:val="center"/>
          </w:tcPr>
          <w:p w:rsidR="00DC0E0E" w:rsidRPr="007E0AF4" w:rsidRDefault="00DC0E0E" w:rsidP="001E6C97">
            <w:pPr>
              <w:pStyle w:val="a7"/>
              <w:ind w:left="0"/>
              <w:jc w:val="center"/>
              <w:rPr>
                <w:sz w:val="22"/>
              </w:rPr>
            </w:pPr>
            <w:proofErr w:type="spellStart"/>
            <w:r w:rsidRPr="007E0AF4">
              <w:rPr>
                <w:sz w:val="22"/>
              </w:rPr>
              <w:t>осіб</w:t>
            </w:r>
            <w:proofErr w:type="spellEnd"/>
          </w:p>
        </w:tc>
        <w:tc>
          <w:tcPr>
            <w:tcW w:w="1415" w:type="dxa"/>
            <w:tcBorders>
              <w:top w:val="single" w:sz="4" w:space="0" w:color="auto"/>
              <w:left w:val="single" w:sz="4" w:space="0" w:color="auto"/>
              <w:bottom w:val="single" w:sz="4" w:space="0" w:color="auto"/>
            </w:tcBorders>
          </w:tcPr>
          <w:p w:rsidR="00DC0E0E" w:rsidRPr="007E0AF4" w:rsidRDefault="00DC0E0E" w:rsidP="001E6C97">
            <w:pPr>
              <w:pStyle w:val="a7"/>
              <w:ind w:left="0"/>
              <w:jc w:val="center"/>
              <w:rPr>
                <w:sz w:val="22"/>
              </w:rPr>
            </w:pPr>
            <w:r w:rsidRPr="007E0AF4">
              <w:rPr>
                <w:sz w:val="22"/>
              </w:rPr>
              <w:t>780</w:t>
            </w:r>
          </w:p>
        </w:tc>
      </w:tr>
      <w:tr w:rsidR="00DC0E0E" w:rsidRPr="007E0AF4" w:rsidTr="00DC0E0E">
        <w:trPr>
          <w:trHeight w:val="184"/>
        </w:trPr>
        <w:tc>
          <w:tcPr>
            <w:tcW w:w="2978" w:type="dxa"/>
            <w:vMerge/>
            <w:shd w:val="clear" w:color="auto" w:fill="C6D9F1" w:themeFill="text2" w:themeFillTint="33"/>
          </w:tcPr>
          <w:p w:rsidR="00DC0E0E" w:rsidRPr="007E0AF4" w:rsidRDefault="00DC0E0E" w:rsidP="001E6C97">
            <w:pPr>
              <w:pStyle w:val="a7"/>
              <w:ind w:left="0"/>
              <w:rPr>
                <w:b/>
                <w:sz w:val="22"/>
              </w:rPr>
            </w:pPr>
          </w:p>
        </w:tc>
        <w:tc>
          <w:tcPr>
            <w:tcW w:w="3789" w:type="dxa"/>
            <w:gridSpan w:val="3"/>
            <w:tcBorders>
              <w:top w:val="single" w:sz="4" w:space="0" w:color="auto"/>
              <w:bottom w:val="single" w:sz="4" w:space="0" w:color="auto"/>
              <w:right w:val="single" w:sz="4" w:space="0" w:color="auto"/>
            </w:tcBorders>
          </w:tcPr>
          <w:p w:rsidR="00DC0E0E" w:rsidRPr="007E0AF4" w:rsidRDefault="00DC0E0E" w:rsidP="001E6C97">
            <w:pPr>
              <w:pStyle w:val="a7"/>
              <w:ind w:left="0"/>
              <w:jc w:val="center"/>
              <w:rPr>
                <w:sz w:val="22"/>
              </w:rPr>
            </w:pPr>
            <w:proofErr w:type="spellStart"/>
            <w:r w:rsidRPr="007E0AF4">
              <w:rPr>
                <w:sz w:val="22"/>
              </w:rPr>
              <w:t>Кількість</w:t>
            </w:r>
            <w:proofErr w:type="spellEnd"/>
            <w:r w:rsidRPr="007E0AF4">
              <w:rPr>
                <w:sz w:val="22"/>
              </w:rPr>
              <w:t xml:space="preserve"> </w:t>
            </w:r>
            <w:proofErr w:type="spellStart"/>
            <w:r w:rsidRPr="007E0AF4">
              <w:rPr>
                <w:sz w:val="22"/>
              </w:rPr>
              <w:t>видів</w:t>
            </w:r>
            <w:proofErr w:type="spellEnd"/>
            <w:r w:rsidRPr="007E0AF4">
              <w:rPr>
                <w:sz w:val="22"/>
              </w:rPr>
              <w:t xml:space="preserve"> та </w:t>
            </w:r>
            <w:proofErr w:type="spellStart"/>
            <w:r w:rsidRPr="007E0AF4">
              <w:rPr>
                <w:sz w:val="22"/>
              </w:rPr>
              <w:t>типів</w:t>
            </w:r>
            <w:proofErr w:type="spellEnd"/>
            <w:r w:rsidRPr="007E0AF4">
              <w:rPr>
                <w:sz w:val="22"/>
              </w:rPr>
              <w:t xml:space="preserve"> </w:t>
            </w:r>
            <w:proofErr w:type="spellStart"/>
            <w:r w:rsidRPr="007E0AF4">
              <w:rPr>
                <w:sz w:val="22"/>
              </w:rPr>
              <w:t>послуг</w:t>
            </w:r>
            <w:proofErr w:type="spellEnd"/>
            <w:r w:rsidR="00E61E1C" w:rsidRPr="007E0AF4">
              <w:rPr>
                <w:sz w:val="22"/>
              </w:rPr>
              <w:t>,</w:t>
            </w:r>
            <w:r w:rsidRPr="007E0AF4">
              <w:rPr>
                <w:sz w:val="22"/>
              </w:rPr>
              <w:t xml:space="preserve"> </w:t>
            </w:r>
            <w:proofErr w:type="spellStart"/>
            <w:r w:rsidRPr="007E0AF4">
              <w:rPr>
                <w:sz w:val="22"/>
              </w:rPr>
              <w:t>наданих</w:t>
            </w:r>
            <w:proofErr w:type="spellEnd"/>
            <w:r w:rsidRPr="007E0AF4">
              <w:rPr>
                <w:sz w:val="22"/>
              </w:rPr>
              <w:t xml:space="preserve"> </w:t>
            </w:r>
            <w:proofErr w:type="spellStart"/>
            <w:r w:rsidRPr="007E0AF4">
              <w:rPr>
                <w:sz w:val="22"/>
              </w:rPr>
              <w:t>протягом</w:t>
            </w:r>
            <w:proofErr w:type="spellEnd"/>
            <w:r w:rsidRPr="007E0AF4">
              <w:rPr>
                <w:sz w:val="22"/>
              </w:rPr>
              <w:t xml:space="preserve"> одно </w:t>
            </w:r>
            <w:proofErr w:type="spellStart"/>
            <w:r w:rsidRPr="007E0AF4">
              <w:rPr>
                <w:sz w:val="22"/>
              </w:rPr>
              <w:t>робочого</w:t>
            </w:r>
            <w:proofErr w:type="spellEnd"/>
            <w:r w:rsidRPr="007E0AF4">
              <w:rPr>
                <w:sz w:val="22"/>
              </w:rPr>
              <w:t xml:space="preserve"> дня</w:t>
            </w:r>
          </w:p>
        </w:tc>
        <w:tc>
          <w:tcPr>
            <w:tcW w:w="1706" w:type="dxa"/>
            <w:gridSpan w:val="2"/>
            <w:tcBorders>
              <w:top w:val="single" w:sz="4" w:space="0" w:color="auto"/>
              <w:left w:val="single" w:sz="4" w:space="0" w:color="auto"/>
              <w:bottom w:val="single" w:sz="4" w:space="0" w:color="auto"/>
              <w:right w:val="single" w:sz="4" w:space="0" w:color="auto"/>
            </w:tcBorders>
            <w:vAlign w:val="center"/>
          </w:tcPr>
          <w:p w:rsidR="00DC0E0E" w:rsidRPr="007E0AF4" w:rsidRDefault="00DC0E0E" w:rsidP="001E6C97">
            <w:pPr>
              <w:pStyle w:val="a7"/>
              <w:ind w:left="0"/>
              <w:jc w:val="center"/>
              <w:rPr>
                <w:sz w:val="22"/>
              </w:rPr>
            </w:pPr>
            <w:r w:rsidRPr="007E0AF4">
              <w:rPr>
                <w:sz w:val="22"/>
              </w:rPr>
              <w:t>урок</w:t>
            </w:r>
          </w:p>
        </w:tc>
        <w:tc>
          <w:tcPr>
            <w:tcW w:w="1415" w:type="dxa"/>
            <w:tcBorders>
              <w:top w:val="single" w:sz="4" w:space="0" w:color="auto"/>
              <w:left w:val="single" w:sz="4" w:space="0" w:color="auto"/>
              <w:bottom w:val="single" w:sz="4" w:space="0" w:color="auto"/>
            </w:tcBorders>
          </w:tcPr>
          <w:p w:rsidR="00DC0E0E" w:rsidRPr="007E0AF4" w:rsidRDefault="00DC0E0E" w:rsidP="001E6C97">
            <w:pPr>
              <w:pStyle w:val="a7"/>
              <w:ind w:left="0"/>
              <w:jc w:val="center"/>
              <w:rPr>
                <w:sz w:val="22"/>
              </w:rPr>
            </w:pPr>
            <w:r w:rsidRPr="007E0AF4">
              <w:rPr>
                <w:sz w:val="22"/>
              </w:rPr>
              <w:t>63</w:t>
            </w:r>
          </w:p>
        </w:tc>
      </w:tr>
      <w:tr w:rsidR="00DC0E0E" w:rsidRPr="007E0AF4" w:rsidTr="00DC0E0E">
        <w:trPr>
          <w:trHeight w:val="150"/>
        </w:trPr>
        <w:tc>
          <w:tcPr>
            <w:tcW w:w="2978" w:type="dxa"/>
            <w:vMerge/>
            <w:shd w:val="clear" w:color="auto" w:fill="C6D9F1" w:themeFill="text2" w:themeFillTint="33"/>
          </w:tcPr>
          <w:p w:rsidR="00DC0E0E" w:rsidRPr="007E0AF4" w:rsidRDefault="00DC0E0E" w:rsidP="001E6C97">
            <w:pPr>
              <w:pStyle w:val="a7"/>
              <w:ind w:left="0"/>
              <w:rPr>
                <w:b/>
                <w:sz w:val="22"/>
              </w:rPr>
            </w:pPr>
          </w:p>
        </w:tc>
        <w:tc>
          <w:tcPr>
            <w:tcW w:w="3789" w:type="dxa"/>
            <w:gridSpan w:val="3"/>
            <w:tcBorders>
              <w:top w:val="single" w:sz="4" w:space="0" w:color="auto"/>
              <w:right w:val="single" w:sz="4" w:space="0" w:color="auto"/>
            </w:tcBorders>
          </w:tcPr>
          <w:p w:rsidR="00DC0E0E" w:rsidRPr="007E0AF4" w:rsidRDefault="00DC0E0E" w:rsidP="001E6C97">
            <w:pPr>
              <w:pStyle w:val="a7"/>
              <w:ind w:left="0"/>
              <w:jc w:val="center"/>
              <w:rPr>
                <w:sz w:val="22"/>
              </w:rPr>
            </w:pPr>
            <w:proofErr w:type="spellStart"/>
            <w:r w:rsidRPr="007E0AF4">
              <w:rPr>
                <w:sz w:val="22"/>
              </w:rPr>
              <w:t>Термін</w:t>
            </w:r>
            <w:proofErr w:type="spellEnd"/>
            <w:r w:rsidRPr="007E0AF4">
              <w:rPr>
                <w:sz w:val="22"/>
              </w:rPr>
              <w:t xml:space="preserve"> </w:t>
            </w:r>
            <w:proofErr w:type="spellStart"/>
            <w:r w:rsidRPr="007E0AF4">
              <w:rPr>
                <w:sz w:val="22"/>
              </w:rPr>
              <w:t>надання</w:t>
            </w:r>
            <w:proofErr w:type="spellEnd"/>
            <w:r w:rsidRPr="007E0AF4">
              <w:rPr>
                <w:sz w:val="22"/>
              </w:rPr>
              <w:t xml:space="preserve"> </w:t>
            </w:r>
            <w:proofErr w:type="spellStart"/>
            <w:r w:rsidRPr="007E0AF4">
              <w:rPr>
                <w:sz w:val="22"/>
              </w:rPr>
              <w:t>послуги</w:t>
            </w:r>
            <w:proofErr w:type="spellEnd"/>
          </w:p>
        </w:tc>
        <w:tc>
          <w:tcPr>
            <w:tcW w:w="1706" w:type="dxa"/>
            <w:gridSpan w:val="2"/>
            <w:tcBorders>
              <w:top w:val="single" w:sz="4" w:space="0" w:color="auto"/>
              <w:left w:val="single" w:sz="4" w:space="0" w:color="auto"/>
              <w:right w:val="single" w:sz="4" w:space="0" w:color="auto"/>
            </w:tcBorders>
            <w:vAlign w:val="center"/>
          </w:tcPr>
          <w:p w:rsidR="00DC0E0E" w:rsidRPr="007E0AF4" w:rsidRDefault="00DC0E0E" w:rsidP="001E6C97">
            <w:pPr>
              <w:pStyle w:val="a7"/>
              <w:ind w:left="0"/>
              <w:jc w:val="center"/>
              <w:rPr>
                <w:sz w:val="22"/>
              </w:rPr>
            </w:pPr>
            <w:r w:rsidRPr="007E0AF4">
              <w:rPr>
                <w:sz w:val="22"/>
              </w:rPr>
              <w:t>день</w:t>
            </w:r>
          </w:p>
        </w:tc>
        <w:tc>
          <w:tcPr>
            <w:tcW w:w="1415" w:type="dxa"/>
            <w:tcBorders>
              <w:top w:val="single" w:sz="4" w:space="0" w:color="auto"/>
              <w:left w:val="single" w:sz="4" w:space="0" w:color="auto"/>
            </w:tcBorders>
          </w:tcPr>
          <w:p w:rsidR="00DC0E0E" w:rsidRPr="007E0AF4" w:rsidRDefault="00DC0E0E" w:rsidP="001E6C97">
            <w:pPr>
              <w:pStyle w:val="a7"/>
              <w:ind w:left="0"/>
              <w:jc w:val="center"/>
              <w:rPr>
                <w:sz w:val="22"/>
              </w:rPr>
            </w:pPr>
            <w:r w:rsidRPr="007E0AF4">
              <w:rPr>
                <w:sz w:val="22"/>
              </w:rPr>
              <w:t>365</w:t>
            </w:r>
          </w:p>
        </w:tc>
      </w:tr>
      <w:tr w:rsidR="00DC0E0E" w:rsidRPr="007E0AF4" w:rsidTr="00DC0E0E">
        <w:trPr>
          <w:trHeight w:val="150"/>
        </w:trPr>
        <w:tc>
          <w:tcPr>
            <w:tcW w:w="2978" w:type="dxa"/>
            <w:shd w:val="clear" w:color="auto" w:fill="C6D9F1" w:themeFill="text2" w:themeFillTint="33"/>
          </w:tcPr>
          <w:p w:rsidR="00DC0E0E" w:rsidRPr="007E0AF4" w:rsidRDefault="00DC0E0E" w:rsidP="001E6C97">
            <w:pPr>
              <w:pStyle w:val="a7"/>
              <w:ind w:left="0"/>
              <w:rPr>
                <w:b/>
                <w:sz w:val="22"/>
              </w:rPr>
            </w:pPr>
          </w:p>
        </w:tc>
        <w:tc>
          <w:tcPr>
            <w:tcW w:w="3789" w:type="dxa"/>
            <w:gridSpan w:val="3"/>
            <w:tcBorders>
              <w:top w:val="single" w:sz="4" w:space="0" w:color="auto"/>
              <w:right w:val="single" w:sz="4" w:space="0" w:color="auto"/>
            </w:tcBorders>
          </w:tcPr>
          <w:p w:rsidR="00DC0E0E" w:rsidRPr="007E0AF4" w:rsidRDefault="00DC0E0E" w:rsidP="00E61E1C">
            <w:pPr>
              <w:pStyle w:val="a7"/>
              <w:ind w:left="0"/>
              <w:jc w:val="center"/>
              <w:rPr>
                <w:sz w:val="22"/>
              </w:rPr>
            </w:pPr>
            <w:proofErr w:type="spellStart"/>
            <w:r w:rsidRPr="007E0AF4">
              <w:rPr>
                <w:sz w:val="22"/>
              </w:rPr>
              <w:t>Кількість</w:t>
            </w:r>
            <w:proofErr w:type="spellEnd"/>
            <w:r w:rsidRPr="007E0AF4">
              <w:rPr>
                <w:sz w:val="22"/>
              </w:rPr>
              <w:t xml:space="preserve"> </w:t>
            </w:r>
            <w:proofErr w:type="spellStart"/>
            <w:r w:rsidRPr="007E0AF4">
              <w:rPr>
                <w:sz w:val="22"/>
              </w:rPr>
              <w:t>населених</w:t>
            </w:r>
            <w:proofErr w:type="spellEnd"/>
            <w:r w:rsidRPr="007E0AF4">
              <w:rPr>
                <w:sz w:val="22"/>
              </w:rPr>
              <w:t xml:space="preserve"> </w:t>
            </w:r>
            <w:proofErr w:type="spellStart"/>
            <w:r w:rsidRPr="007E0AF4">
              <w:rPr>
                <w:sz w:val="22"/>
              </w:rPr>
              <w:t>пунктів</w:t>
            </w:r>
            <w:proofErr w:type="spellEnd"/>
            <w:r w:rsidRPr="007E0AF4">
              <w:rPr>
                <w:sz w:val="22"/>
              </w:rPr>
              <w:t xml:space="preserve">, </w:t>
            </w:r>
            <w:proofErr w:type="spellStart"/>
            <w:r w:rsidRPr="007E0AF4">
              <w:rPr>
                <w:sz w:val="22"/>
              </w:rPr>
              <w:t>як</w:t>
            </w:r>
            <w:r w:rsidR="00E61E1C" w:rsidRPr="007E0AF4">
              <w:rPr>
                <w:sz w:val="22"/>
              </w:rPr>
              <w:t>і</w:t>
            </w:r>
            <w:proofErr w:type="spellEnd"/>
            <w:r w:rsidRPr="007E0AF4">
              <w:rPr>
                <w:sz w:val="22"/>
              </w:rPr>
              <w:t xml:space="preserve"> </w:t>
            </w:r>
            <w:proofErr w:type="spellStart"/>
            <w:r w:rsidRPr="007E0AF4">
              <w:rPr>
                <w:sz w:val="22"/>
              </w:rPr>
              <w:t>обслуговує</w:t>
            </w:r>
            <w:proofErr w:type="spellEnd"/>
            <w:r w:rsidRPr="007E0AF4">
              <w:rPr>
                <w:sz w:val="22"/>
              </w:rPr>
              <w:t xml:space="preserve"> </w:t>
            </w:r>
            <w:r w:rsidR="00E61E1C" w:rsidRPr="007E0AF4">
              <w:rPr>
                <w:sz w:val="22"/>
              </w:rPr>
              <w:t>заклад</w:t>
            </w:r>
          </w:p>
        </w:tc>
        <w:tc>
          <w:tcPr>
            <w:tcW w:w="1706" w:type="dxa"/>
            <w:gridSpan w:val="2"/>
            <w:tcBorders>
              <w:top w:val="single" w:sz="4" w:space="0" w:color="auto"/>
              <w:left w:val="single" w:sz="4" w:space="0" w:color="auto"/>
              <w:right w:val="single" w:sz="4" w:space="0" w:color="auto"/>
            </w:tcBorders>
            <w:vAlign w:val="center"/>
          </w:tcPr>
          <w:p w:rsidR="00DC0E0E" w:rsidRPr="007E0AF4" w:rsidRDefault="00DC0E0E" w:rsidP="001E6C97">
            <w:pPr>
              <w:pStyle w:val="a7"/>
              <w:ind w:left="0"/>
              <w:jc w:val="center"/>
              <w:rPr>
                <w:sz w:val="22"/>
              </w:rPr>
            </w:pPr>
            <w:proofErr w:type="spellStart"/>
            <w:r w:rsidRPr="007E0AF4">
              <w:rPr>
                <w:sz w:val="22"/>
              </w:rPr>
              <w:t>одиниць</w:t>
            </w:r>
            <w:proofErr w:type="spellEnd"/>
          </w:p>
        </w:tc>
        <w:tc>
          <w:tcPr>
            <w:tcW w:w="1415" w:type="dxa"/>
            <w:tcBorders>
              <w:top w:val="single" w:sz="4" w:space="0" w:color="auto"/>
              <w:left w:val="single" w:sz="4" w:space="0" w:color="auto"/>
            </w:tcBorders>
          </w:tcPr>
          <w:p w:rsidR="00DC0E0E" w:rsidRPr="007E0AF4" w:rsidRDefault="00DC0E0E" w:rsidP="001E6C97">
            <w:pPr>
              <w:rPr>
                <w:sz w:val="22"/>
              </w:rPr>
            </w:pPr>
            <w:r w:rsidRPr="007E0AF4">
              <w:rPr>
                <w:sz w:val="22"/>
              </w:rPr>
              <w:t>1</w:t>
            </w:r>
          </w:p>
        </w:tc>
      </w:tr>
      <w:tr w:rsidR="00DC0E0E" w:rsidRPr="007E0AF4" w:rsidTr="00DC0E0E">
        <w:tc>
          <w:tcPr>
            <w:tcW w:w="2978" w:type="dxa"/>
            <w:shd w:val="clear" w:color="auto" w:fill="C6D9F1" w:themeFill="text2" w:themeFillTint="33"/>
          </w:tcPr>
          <w:p w:rsidR="00DC0E0E" w:rsidRPr="007E0AF4" w:rsidRDefault="00DC0E0E" w:rsidP="001E6C97">
            <w:pPr>
              <w:rPr>
                <w:b/>
                <w:sz w:val="22"/>
              </w:rPr>
            </w:pPr>
            <w:proofErr w:type="spellStart"/>
            <w:r w:rsidRPr="007E0AF4">
              <w:rPr>
                <w:b/>
                <w:sz w:val="22"/>
              </w:rPr>
              <w:t>Ключові</w:t>
            </w:r>
            <w:proofErr w:type="spellEnd"/>
            <w:r w:rsidRPr="007E0AF4">
              <w:rPr>
                <w:b/>
                <w:sz w:val="22"/>
              </w:rPr>
              <w:t xml:space="preserve"> заходи проекту: </w:t>
            </w:r>
          </w:p>
          <w:p w:rsidR="00DC0E0E" w:rsidRPr="007E0AF4" w:rsidRDefault="00DC0E0E" w:rsidP="001E6C97">
            <w:pPr>
              <w:pStyle w:val="a7"/>
              <w:ind w:left="0"/>
              <w:rPr>
                <w:b/>
                <w:sz w:val="22"/>
              </w:rPr>
            </w:pPr>
          </w:p>
        </w:tc>
        <w:tc>
          <w:tcPr>
            <w:tcW w:w="6910" w:type="dxa"/>
            <w:gridSpan w:val="6"/>
          </w:tcPr>
          <w:p w:rsidR="00DC0E0E" w:rsidRPr="007E0AF4" w:rsidRDefault="00DC0E0E" w:rsidP="001E6C97">
            <w:pPr>
              <w:pStyle w:val="a7"/>
              <w:ind w:left="0"/>
              <w:rPr>
                <w:sz w:val="22"/>
              </w:rPr>
            </w:pPr>
            <w:r w:rsidRPr="007E0AF4">
              <w:rPr>
                <w:sz w:val="22"/>
              </w:rPr>
              <w:t xml:space="preserve">- </w:t>
            </w:r>
            <w:proofErr w:type="spellStart"/>
            <w:r w:rsidRPr="007E0AF4">
              <w:rPr>
                <w:sz w:val="22"/>
              </w:rPr>
              <w:t>обстеження</w:t>
            </w:r>
            <w:proofErr w:type="spellEnd"/>
            <w:r w:rsidRPr="007E0AF4">
              <w:rPr>
                <w:sz w:val="22"/>
              </w:rPr>
              <w:t xml:space="preserve"> стану </w:t>
            </w:r>
            <w:proofErr w:type="spellStart"/>
            <w:r w:rsidRPr="007E0AF4">
              <w:rPr>
                <w:sz w:val="22"/>
              </w:rPr>
              <w:t>будівлі</w:t>
            </w:r>
            <w:proofErr w:type="spellEnd"/>
            <w:r w:rsidRPr="007E0AF4">
              <w:rPr>
                <w:sz w:val="22"/>
              </w:rPr>
              <w:t>;</w:t>
            </w:r>
          </w:p>
          <w:p w:rsidR="00DC0E0E" w:rsidRPr="007E0AF4" w:rsidRDefault="00DC0E0E" w:rsidP="001E6C97">
            <w:pPr>
              <w:pStyle w:val="a7"/>
              <w:ind w:left="0"/>
              <w:rPr>
                <w:sz w:val="22"/>
              </w:rPr>
            </w:pPr>
            <w:r w:rsidRPr="007E0AF4">
              <w:rPr>
                <w:sz w:val="22"/>
              </w:rPr>
              <w:t xml:space="preserve">- </w:t>
            </w:r>
            <w:proofErr w:type="spellStart"/>
            <w:r w:rsidRPr="007E0AF4">
              <w:rPr>
                <w:sz w:val="22"/>
              </w:rPr>
              <w:t>проведення</w:t>
            </w:r>
            <w:proofErr w:type="spellEnd"/>
            <w:r w:rsidRPr="007E0AF4">
              <w:rPr>
                <w:sz w:val="22"/>
              </w:rPr>
              <w:t xml:space="preserve"> </w:t>
            </w:r>
            <w:proofErr w:type="spellStart"/>
            <w:r w:rsidRPr="007E0AF4">
              <w:rPr>
                <w:sz w:val="22"/>
              </w:rPr>
              <w:t>інвентаризації</w:t>
            </w:r>
            <w:proofErr w:type="spellEnd"/>
            <w:r w:rsidRPr="007E0AF4">
              <w:rPr>
                <w:sz w:val="22"/>
              </w:rPr>
              <w:t xml:space="preserve"> </w:t>
            </w:r>
            <w:proofErr w:type="spellStart"/>
            <w:r w:rsidRPr="007E0AF4">
              <w:rPr>
                <w:sz w:val="22"/>
              </w:rPr>
              <w:t>основних</w:t>
            </w:r>
            <w:proofErr w:type="spellEnd"/>
            <w:r w:rsidRPr="007E0AF4">
              <w:rPr>
                <w:sz w:val="22"/>
              </w:rPr>
              <w:t xml:space="preserve"> </w:t>
            </w:r>
            <w:proofErr w:type="spellStart"/>
            <w:r w:rsidRPr="007E0AF4">
              <w:rPr>
                <w:sz w:val="22"/>
              </w:rPr>
              <w:t>засобів</w:t>
            </w:r>
            <w:proofErr w:type="spellEnd"/>
            <w:r w:rsidRPr="007E0AF4">
              <w:rPr>
                <w:sz w:val="22"/>
              </w:rPr>
              <w:t>;</w:t>
            </w:r>
          </w:p>
          <w:p w:rsidR="00DC0E0E" w:rsidRPr="007E0AF4" w:rsidRDefault="00DC0E0E" w:rsidP="001E6C97">
            <w:pPr>
              <w:pStyle w:val="a7"/>
              <w:ind w:left="0"/>
              <w:rPr>
                <w:color w:val="FF0000"/>
                <w:sz w:val="22"/>
              </w:rPr>
            </w:pPr>
            <w:r w:rsidRPr="007E0AF4">
              <w:rPr>
                <w:sz w:val="22"/>
              </w:rPr>
              <w:t>-</w:t>
            </w:r>
            <w:proofErr w:type="spellStart"/>
            <w:r w:rsidRPr="007E0AF4">
              <w:rPr>
                <w:sz w:val="22"/>
              </w:rPr>
              <w:t>про</w:t>
            </w:r>
            <w:r w:rsidR="00E61E1C" w:rsidRPr="007E0AF4">
              <w:rPr>
                <w:sz w:val="22"/>
              </w:rPr>
              <w:t>є</w:t>
            </w:r>
            <w:r w:rsidRPr="007E0AF4">
              <w:rPr>
                <w:sz w:val="22"/>
              </w:rPr>
              <w:t>ктно-кошторисна</w:t>
            </w:r>
            <w:proofErr w:type="spellEnd"/>
            <w:r w:rsidRPr="007E0AF4">
              <w:rPr>
                <w:sz w:val="22"/>
              </w:rPr>
              <w:t xml:space="preserve"> </w:t>
            </w:r>
            <w:proofErr w:type="spellStart"/>
            <w:r w:rsidRPr="007E0AF4">
              <w:rPr>
                <w:sz w:val="22"/>
              </w:rPr>
              <w:t>документація</w:t>
            </w:r>
            <w:proofErr w:type="spellEnd"/>
            <w:r w:rsidRPr="007E0AF4">
              <w:rPr>
                <w:sz w:val="22"/>
              </w:rPr>
              <w:t>;</w:t>
            </w:r>
          </w:p>
          <w:p w:rsidR="00DC0E0E" w:rsidRPr="007E0AF4" w:rsidRDefault="00DC0E0E" w:rsidP="001E6C97">
            <w:pPr>
              <w:pStyle w:val="a7"/>
              <w:ind w:left="0"/>
              <w:rPr>
                <w:color w:val="FF0000"/>
                <w:sz w:val="22"/>
              </w:rPr>
            </w:pPr>
            <w:r w:rsidRPr="007E0AF4">
              <w:rPr>
                <w:sz w:val="22"/>
              </w:rPr>
              <w:t>-</w:t>
            </w:r>
            <w:proofErr w:type="spellStart"/>
            <w:r w:rsidRPr="007E0AF4">
              <w:rPr>
                <w:sz w:val="22"/>
              </w:rPr>
              <w:t>демонтажні</w:t>
            </w:r>
            <w:proofErr w:type="spellEnd"/>
            <w:r w:rsidRPr="007E0AF4">
              <w:rPr>
                <w:sz w:val="22"/>
              </w:rPr>
              <w:t xml:space="preserve"> та </w:t>
            </w:r>
            <w:proofErr w:type="spellStart"/>
            <w:r w:rsidRPr="007E0AF4">
              <w:rPr>
                <w:sz w:val="22"/>
              </w:rPr>
              <w:t>монтажні</w:t>
            </w:r>
            <w:proofErr w:type="spellEnd"/>
            <w:r w:rsidRPr="007E0AF4">
              <w:rPr>
                <w:sz w:val="22"/>
              </w:rPr>
              <w:t xml:space="preserve"> </w:t>
            </w:r>
            <w:proofErr w:type="spellStart"/>
            <w:r w:rsidRPr="007E0AF4">
              <w:rPr>
                <w:sz w:val="22"/>
              </w:rPr>
              <w:t>роботи</w:t>
            </w:r>
            <w:proofErr w:type="spellEnd"/>
            <w:r w:rsidRPr="007E0AF4">
              <w:rPr>
                <w:sz w:val="22"/>
              </w:rPr>
              <w:t>;</w:t>
            </w:r>
          </w:p>
          <w:p w:rsidR="00DC0E0E" w:rsidRPr="007E0AF4" w:rsidRDefault="00DC0E0E" w:rsidP="00E61E1C">
            <w:pPr>
              <w:pStyle w:val="a7"/>
              <w:ind w:left="0"/>
              <w:jc w:val="left"/>
              <w:rPr>
                <w:sz w:val="22"/>
              </w:rPr>
            </w:pPr>
            <w:r w:rsidRPr="007E0AF4">
              <w:rPr>
                <w:sz w:val="22"/>
              </w:rPr>
              <w:t xml:space="preserve">- </w:t>
            </w:r>
            <w:proofErr w:type="spellStart"/>
            <w:r w:rsidRPr="007E0AF4">
              <w:rPr>
                <w:sz w:val="22"/>
              </w:rPr>
              <w:t>визначення</w:t>
            </w:r>
            <w:proofErr w:type="spellEnd"/>
            <w:r w:rsidRPr="007E0AF4">
              <w:rPr>
                <w:sz w:val="22"/>
              </w:rPr>
              <w:t xml:space="preserve"> </w:t>
            </w:r>
            <w:proofErr w:type="spellStart"/>
            <w:r w:rsidRPr="007E0AF4">
              <w:rPr>
                <w:sz w:val="22"/>
              </w:rPr>
              <w:t>кількості</w:t>
            </w:r>
            <w:proofErr w:type="spellEnd"/>
            <w:r w:rsidRPr="007E0AF4">
              <w:rPr>
                <w:sz w:val="22"/>
              </w:rPr>
              <w:t xml:space="preserve"> </w:t>
            </w:r>
            <w:proofErr w:type="spellStart"/>
            <w:r w:rsidRPr="007E0AF4">
              <w:rPr>
                <w:sz w:val="22"/>
              </w:rPr>
              <w:t>осіб</w:t>
            </w:r>
            <w:proofErr w:type="spellEnd"/>
            <w:r w:rsidRPr="007E0AF4">
              <w:rPr>
                <w:sz w:val="22"/>
              </w:rPr>
              <w:t xml:space="preserve">, </w:t>
            </w:r>
            <w:proofErr w:type="spellStart"/>
            <w:r w:rsidRPr="007E0AF4">
              <w:rPr>
                <w:sz w:val="22"/>
              </w:rPr>
              <w:t>які</w:t>
            </w:r>
            <w:proofErr w:type="spellEnd"/>
            <w:r w:rsidRPr="007E0AF4">
              <w:rPr>
                <w:sz w:val="22"/>
              </w:rPr>
              <w:t xml:space="preserve"> </w:t>
            </w:r>
            <w:proofErr w:type="spellStart"/>
            <w:r w:rsidRPr="007E0AF4">
              <w:rPr>
                <w:sz w:val="22"/>
              </w:rPr>
              <w:t>потребують</w:t>
            </w:r>
            <w:proofErr w:type="spellEnd"/>
            <w:r w:rsidRPr="007E0AF4">
              <w:rPr>
                <w:sz w:val="22"/>
              </w:rPr>
              <w:t xml:space="preserve"> </w:t>
            </w:r>
            <w:proofErr w:type="spellStart"/>
            <w:r w:rsidRPr="007E0AF4">
              <w:rPr>
                <w:sz w:val="22"/>
              </w:rPr>
              <w:t>отримання</w:t>
            </w:r>
            <w:proofErr w:type="spellEnd"/>
            <w:r w:rsidRPr="007E0AF4">
              <w:rPr>
                <w:sz w:val="22"/>
              </w:rPr>
              <w:t xml:space="preserve"> </w:t>
            </w:r>
            <w:proofErr w:type="spellStart"/>
            <w:r w:rsidRPr="007E0AF4">
              <w:rPr>
                <w:sz w:val="22"/>
              </w:rPr>
              <w:t>соціальних</w:t>
            </w:r>
            <w:proofErr w:type="spellEnd"/>
            <w:r w:rsidRPr="007E0AF4">
              <w:rPr>
                <w:sz w:val="22"/>
              </w:rPr>
              <w:t xml:space="preserve">, </w:t>
            </w:r>
            <w:proofErr w:type="spellStart"/>
            <w:r w:rsidRPr="007E0AF4">
              <w:rPr>
                <w:sz w:val="22"/>
              </w:rPr>
              <w:t>освітніх</w:t>
            </w:r>
            <w:proofErr w:type="spellEnd"/>
            <w:r w:rsidRPr="007E0AF4">
              <w:rPr>
                <w:sz w:val="22"/>
              </w:rPr>
              <w:t xml:space="preserve"> </w:t>
            </w:r>
            <w:proofErr w:type="spellStart"/>
            <w:r w:rsidRPr="007E0AF4">
              <w:rPr>
                <w:sz w:val="22"/>
              </w:rPr>
              <w:t>послуг</w:t>
            </w:r>
            <w:proofErr w:type="spellEnd"/>
            <w:r w:rsidRPr="007E0AF4">
              <w:rPr>
                <w:sz w:val="22"/>
              </w:rPr>
              <w:t xml:space="preserve"> закладу;</w:t>
            </w:r>
          </w:p>
          <w:p w:rsidR="00DC0E0E" w:rsidRPr="007E0AF4" w:rsidRDefault="00DC0E0E" w:rsidP="001E6C97">
            <w:pPr>
              <w:pStyle w:val="a7"/>
              <w:ind w:left="0"/>
              <w:rPr>
                <w:sz w:val="22"/>
              </w:rPr>
            </w:pPr>
            <w:r w:rsidRPr="007E0AF4">
              <w:rPr>
                <w:sz w:val="22"/>
              </w:rPr>
              <w:t xml:space="preserve">- </w:t>
            </w:r>
            <w:proofErr w:type="spellStart"/>
            <w:r w:rsidRPr="007E0AF4">
              <w:rPr>
                <w:sz w:val="22"/>
              </w:rPr>
              <w:t>організація</w:t>
            </w:r>
            <w:proofErr w:type="spellEnd"/>
            <w:r w:rsidRPr="007E0AF4">
              <w:rPr>
                <w:sz w:val="22"/>
              </w:rPr>
              <w:t xml:space="preserve"> та початок </w:t>
            </w:r>
            <w:proofErr w:type="spellStart"/>
            <w:r w:rsidRPr="007E0AF4">
              <w:rPr>
                <w:sz w:val="22"/>
              </w:rPr>
              <w:t>робочого</w:t>
            </w:r>
            <w:proofErr w:type="spellEnd"/>
            <w:r w:rsidRPr="007E0AF4">
              <w:rPr>
                <w:sz w:val="22"/>
              </w:rPr>
              <w:t xml:space="preserve"> </w:t>
            </w:r>
            <w:proofErr w:type="spellStart"/>
            <w:r w:rsidRPr="007E0AF4">
              <w:rPr>
                <w:sz w:val="22"/>
              </w:rPr>
              <w:t>процесу</w:t>
            </w:r>
            <w:proofErr w:type="spellEnd"/>
            <w:r w:rsidRPr="007E0AF4">
              <w:rPr>
                <w:sz w:val="22"/>
              </w:rPr>
              <w:t>.</w:t>
            </w:r>
          </w:p>
        </w:tc>
      </w:tr>
      <w:tr w:rsidR="00DC0E0E" w:rsidRPr="007E0AF4" w:rsidTr="00DC0E0E">
        <w:trPr>
          <w:trHeight w:val="360"/>
        </w:trPr>
        <w:tc>
          <w:tcPr>
            <w:tcW w:w="2978" w:type="dxa"/>
            <w:vMerge w:val="restart"/>
            <w:shd w:val="clear" w:color="auto" w:fill="C6D9F1" w:themeFill="text2" w:themeFillTint="33"/>
          </w:tcPr>
          <w:p w:rsidR="00DC0E0E" w:rsidRPr="007E0AF4" w:rsidRDefault="00DC0E0E" w:rsidP="001E6C97">
            <w:pPr>
              <w:pStyle w:val="a7"/>
              <w:ind w:left="0"/>
              <w:rPr>
                <w:b/>
                <w:sz w:val="22"/>
              </w:rPr>
            </w:pPr>
            <w:proofErr w:type="spellStart"/>
            <w:r w:rsidRPr="007E0AF4">
              <w:rPr>
                <w:b/>
                <w:sz w:val="22"/>
              </w:rPr>
              <w:lastRenderedPageBreak/>
              <w:t>Орієнтовний</w:t>
            </w:r>
            <w:proofErr w:type="spellEnd"/>
            <w:r w:rsidRPr="007E0AF4">
              <w:rPr>
                <w:b/>
                <w:sz w:val="22"/>
              </w:rPr>
              <w:t xml:space="preserve"> </w:t>
            </w:r>
            <w:proofErr w:type="spellStart"/>
            <w:r w:rsidRPr="007E0AF4">
              <w:rPr>
                <w:b/>
                <w:sz w:val="22"/>
              </w:rPr>
              <w:t>обсяг</w:t>
            </w:r>
            <w:proofErr w:type="spellEnd"/>
            <w:r w:rsidRPr="007E0AF4">
              <w:rPr>
                <w:b/>
                <w:sz w:val="22"/>
              </w:rPr>
              <w:t xml:space="preserve"> та </w:t>
            </w:r>
            <w:proofErr w:type="spellStart"/>
            <w:r w:rsidRPr="007E0AF4">
              <w:rPr>
                <w:b/>
                <w:sz w:val="22"/>
              </w:rPr>
              <w:t>джерела</w:t>
            </w:r>
            <w:proofErr w:type="spellEnd"/>
            <w:r w:rsidRPr="007E0AF4">
              <w:rPr>
                <w:b/>
                <w:sz w:val="22"/>
              </w:rPr>
              <w:t xml:space="preserve"> </w:t>
            </w:r>
            <w:proofErr w:type="spellStart"/>
            <w:r w:rsidRPr="007E0AF4">
              <w:rPr>
                <w:b/>
                <w:sz w:val="22"/>
              </w:rPr>
              <w:t>фінансування</w:t>
            </w:r>
            <w:proofErr w:type="spellEnd"/>
            <w:r w:rsidRPr="007E0AF4">
              <w:rPr>
                <w:b/>
                <w:sz w:val="22"/>
              </w:rPr>
              <w:t xml:space="preserve">, тис. грн. </w:t>
            </w:r>
          </w:p>
          <w:p w:rsidR="00DC0E0E" w:rsidRPr="007E0AF4" w:rsidRDefault="00DC0E0E" w:rsidP="001E6C97">
            <w:pPr>
              <w:pStyle w:val="a7"/>
              <w:ind w:left="0"/>
              <w:rPr>
                <w:b/>
                <w:sz w:val="22"/>
              </w:rPr>
            </w:pPr>
          </w:p>
        </w:tc>
        <w:tc>
          <w:tcPr>
            <w:tcW w:w="1774" w:type="dxa"/>
            <w:tcBorders>
              <w:bottom w:val="single" w:sz="4" w:space="0" w:color="auto"/>
              <w:right w:val="single" w:sz="4" w:space="0" w:color="auto"/>
            </w:tcBorders>
          </w:tcPr>
          <w:p w:rsidR="00DC0E0E" w:rsidRPr="007E0AF4" w:rsidRDefault="00DC0E0E" w:rsidP="001E6C97">
            <w:pPr>
              <w:pStyle w:val="a7"/>
              <w:ind w:left="0"/>
              <w:jc w:val="center"/>
              <w:rPr>
                <w:b/>
                <w:sz w:val="22"/>
              </w:rPr>
            </w:pPr>
            <w:proofErr w:type="spellStart"/>
            <w:r w:rsidRPr="007E0AF4">
              <w:rPr>
                <w:b/>
                <w:sz w:val="22"/>
              </w:rPr>
              <w:t>Державний</w:t>
            </w:r>
            <w:proofErr w:type="spellEnd"/>
            <w:r w:rsidRPr="007E0AF4">
              <w:rPr>
                <w:b/>
                <w:sz w:val="22"/>
              </w:rPr>
              <w:t xml:space="preserve"> бюджет</w:t>
            </w:r>
          </w:p>
        </w:tc>
        <w:tc>
          <w:tcPr>
            <w:tcW w:w="1390" w:type="dxa"/>
            <w:tcBorders>
              <w:bottom w:val="single" w:sz="4" w:space="0" w:color="auto"/>
              <w:right w:val="single" w:sz="4" w:space="0" w:color="auto"/>
            </w:tcBorders>
          </w:tcPr>
          <w:p w:rsidR="00DC0E0E" w:rsidRPr="007E0AF4" w:rsidRDefault="00DC0E0E" w:rsidP="001E6C97">
            <w:pPr>
              <w:pStyle w:val="a7"/>
              <w:ind w:left="0"/>
              <w:jc w:val="center"/>
              <w:rPr>
                <w:b/>
                <w:sz w:val="22"/>
              </w:rPr>
            </w:pPr>
            <w:proofErr w:type="spellStart"/>
            <w:r w:rsidRPr="007E0AF4">
              <w:rPr>
                <w:b/>
                <w:sz w:val="22"/>
              </w:rPr>
              <w:t>Місцевий</w:t>
            </w:r>
            <w:proofErr w:type="spellEnd"/>
            <w:r w:rsidRPr="007E0AF4">
              <w:rPr>
                <w:b/>
                <w:sz w:val="22"/>
              </w:rPr>
              <w:t xml:space="preserve"> бюджет</w:t>
            </w:r>
          </w:p>
        </w:tc>
        <w:tc>
          <w:tcPr>
            <w:tcW w:w="2331" w:type="dxa"/>
            <w:gridSpan w:val="3"/>
            <w:tcBorders>
              <w:left w:val="single" w:sz="4" w:space="0" w:color="auto"/>
              <w:bottom w:val="single" w:sz="4" w:space="0" w:color="auto"/>
              <w:right w:val="single" w:sz="4" w:space="0" w:color="auto"/>
            </w:tcBorders>
          </w:tcPr>
          <w:p w:rsidR="00DC0E0E" w:rsidRPr="007E0AF4" w:rsidRDefault="00DC0E0E" w:rsidP="001E6C97">
            <w:pPr>
              <w:pStyle w:val="a7"/>
              <w:ind w:left="0"/>
              <w:jc w:val="center"/>
              <w:rPr>
                <w:b/>
                <w:sz w:val="22"/>
              </w:rPr>
            </w:pPr>
            <w:proofErr w:type="spellStart"/>
            <w:r w:rsidRPr="007E0AF4">
              <w:rPr>
                <w:b/>
                <w:sz w:val="22"/>
              </w:rPr>
              <w:t>Інші</w:t>
            </w:r>
            <w:proofErr w:type="spellEnd"/>
            <w:r w:rsidRPr="007E0AF4">
              <w:rPr>
                <w:b/>
                <w:sz w:val="22"/>
              </w:rPr>
              <w:t xml:space="preserve"> </w:t>
            </w:r>
            <w:proofErr w:type="spellStart"/>
            <w:r w:rsidRPr="007E0AF4">
              <w:rPr>
                <w:b/>
                <w:sz w:val="22"/>
              </w:rPr>
              <w:t>джерела</w:t>
            </w:r>
            <w:proofErr w:type="spellEnd"/>
          </w:p>
        </w:tc>
        <w:tc>
          <w:tcPr>
            <w:tcW w:w="1415" w:type="dxa"/>
            <w:tcBorders>
              <w:left w:val="single" w:sz="4" w:space="0" w:color="auto"/>
              <w:bottom w:val="single" w:sz="4" w:space="0" w:color="auto"/>
            </w:tcBorders>
          </w:tcPr>
          <w:p w:rsidR="00DC0E0E" w:rsidRPr="007E0AF4" w:rsidRDefault="00DC0E0E" w:rsidP="001E6C97">
            <w:pPr>
              <w:pStyle w:val="a7"/>
              <w:ind w:left="0"/>
              <w:jc w:val="center"/>
              <w:rPr>
                <w:b/>
                <w:sz w:val="22"/>
              </w:rPr>
            </w:pPr>
            <w:proofErr w:type="spellStart"/>
            <w:r w:rsidRPr="007E0AF4">
              <w:rPr>
                <w:b/>
                <w:sz w:val="22"/>
              </w:rPr>
              <w:t>Всього</w:t>
            </w:r>
            <w:proofErr w:type="spellEnd"/>
          </w:p>
        </w:tc>
      </w:tr>
      <w:tr w:rsidR="00DC0E0E" w:rsidRPr="007E0AF4" w:rsidTr="00DC0E0E">
        <w:trPr>
          <w:trHeight w:val="225"/>
        </w:trPr>
        <w:tc>
          <w:tcPr>
            <w:tcW w:w="2978" w:type="dxa"/>
            <w:vMerge/>
            <w:shd w:val="clear" w:color="auto" w:fill="C6D9F1" w:themeFill="text2" w:themeFillTint="33"/>
          </w:tcPr>
          <w:p w:rsidR="00DC0E0E" w:rsidRPr="007E0AF4" w:rsidRDefault="00DC0E0E" w:rsidP="001E6C97">
            <w:pPr>
              <w:pStyle w:val="a7"/>
              <w:ind w:left="0"/>
              <w:rPr>
                <w:b/>
                <w:sz w:val="22"/>
              </w:rPr>
            </w:pPr>
          </w:p>
        </w:tc>
        <w:tc>
          <w:tcPr>
            <w:tcW w:w="1774" w:type="dxa"/>
            <w:vMerge w:val="restart"/>
            <w:tcBorders>
              <w:top w:val="single" w:sz="4" w:space="0" w:color="auto"/>
              <w:right w:val="single" w:sz="4" w:space="0" w:color="auto"/>
            </w:tcBorders>
          </w:tcPr>
          <w:p w:rsidR="00DC0E0E" w:rsidRPr="007E0AF4" w:rsidRDefault="00DC0E0E" w:rsidP="001E6C97">
            <w:pPr>
              <w:pStyle w:val="a7"/>
              <w:ind w:left="0"/>
              <w:jc w:val="center"/>
              <w:rPr>
                <w:sz w:val="22"/>
              </w:rPr>
            </w:pPr>
            <w:r w:rsidRPr="007E0AF4">
              <w:rPr>
                <w:sz w:val="22"/>
              </w:rPr>
              <w:t>4200,0</w:t>
            </w:r>
          </w:p>
        </w:tc>
        <w:tc>
          <w:tcPr>
            <w:tcW w:w="1390" w:type="dxa"/>
            <w:vMerge w:val="restart"/>
            <w:tcBorders>
              <w:top w:val="single" w:sz="4" w:space="0" w:color="auto"/>
              <w:right w:val="single" w:sz="4" w:space="0" w:color="auto"/>
            </w:tcBorders>
          </w:tcPr>
          <w:p w:rsidR="00DC0E0E" w:rsidRPr="007E0AF4" w:rsidRDefault="00DC0E0E" w:rsidP="001E6C97">
            <w:pPr>
              <w:pStyle w:val="a7"/>
              <w:ind w:left="0"/>
              <w:jc w:val="center"/>
              <w:rPr>
                <w:b/>
                <w:sz w:val="22"/>
              </w:rPr>
            </w:pPr>
            <w:r w:rsidRPr="007E0AF4">
              <w:rPr>
                <w:b/>
                <w:sz w:val="22"/>
              </w:rPr>
              <w:t>-</w:t>
            </w:r>
          </w:p>
        </w:tc>
        <w:tc>
          <w:tcPr>
            <w:tcW w:w="876" w:type="dxa"/>
            <w:gridSpan w:val="2"/>
            <w:tcBorders>
              <w:top w:val="single" w:sz="4" w:space="0" w:color="auto"/>
              <w:left w:val="single" w:sz="4" w:space="0" w:color="auto"/>
              <w:bottom w:val="single" w:sz="4" w:space="0" w:color="auto"/>
              <w:right w:val="single" w:sz="4" w:space="0" w:color="auto"/>
            </w:tcBorders>
          </w:tcPr>
          <w:p w:rsidR="00DC0E0E" w:rsidRPr="007E0AF4" w:rsidRDefault="00DC0E0E" w:rsidP="001E6C97">
            <w:pPr>
              <w:pStyle w:val="a7"/>
              <w:ind w:left="0"/>
              <w:jc w:val="center"/>
              <w:rPr>
                <w:b/>
                <w:sz w:val="22"/>
              </w:rPr>
            </w:pPr>
            <w:proofErr w:type="spellStart"/>
            <w:r w:rsidRPr="007E0AF4">
              <w:rPr>
                <w:b/>
                <w:sz w:val="22"/>
              </w:rPr>
              <w:t>Обсяг</w:t>
            </w:r>
            <w:proofErr w:type="spellEnd"/>
          </w:p>
        </w:tc>
        <w:tc>
          <w:tcPr>
            <w:tcW w:w="1455" w:type="dxa"/>
            <w:tcBorders>
              <w:top w:val="single" w:sz="4" w:space="0" w:color="auto"/>
              <w:left w:val="single" w:sz="4" w:space="0" w:color="auto"/>
              <w:bottom w:val="single" w:sz="4" w:space="0" w:color="auto"/>
              <w:right w:val="single" w:sz="4" w:space="0" w:color="auto"/>
            </w:tcBorders>
          </w:tcPr>
          <w:p w:rsidR="00DC0E0E" w:rsidRPr="007E0AF4" w:rsidRDefault="00DC0E0E" w:rsidP="001E6C97">
            <w:pPr>
              <w:pStyle w:val="a7"/>
              <w:ind w:left="0"/>
              <w:jc w:val="center"/>
              <w:rPr>
                <w:b/>
                <w:sz w:val="22"/>
              </w:rPr>
            </w:pPr>
            <w:proofErr w:type="spellStart"/>
            <w:r w:rsidRPr="007E0AF4">
              <w:rPr>
                <w:b/>
                <w:sz w:val="22"/>
              </w:rPr>
              <w:t>Назва</w:t>
            </w:r>
            <w:proofErr w:type="spellEnd"/>
            <w:r w:rsidRPr="007E0AF4">
              <w:rPr>
                <w:b/>
                <w:sz w:val="22"/>
              </w:rPr>
              <w:t xml:space="preserve"> </w:t>
            </w:r>
            <w:proofErr w:type="spellStart"/>
            <w:r w:rsidRPr="007E0AF4">
              <w:rPr>
                <w:b/>
                <w:sz w:val="22"/>
              </w:rPr>
              <w:t>джерела</w:t>
            </w:r>
            <w:proofErr w:type="spellEnd"/>
          </w:p>
        </w:tc>
        <w:tc>
          <w:tcPr>
            <w:tcW w:w="1415" w:type="dxa"/>
            <w:vMerge w:val="restart"/>
            <w:tcBorders>
              <w:top w:val="single" w:sz="4" w:space="0" w:color="auto"/>
              <w:left w:val="single" w:sz="4" w:space="0" w:color="auto"/>
            </w:tcBorders>
          </w:tcPr>
          <w:p w:rsidR="00DC0E0E" w:rsidRPr="007E0AF4" w:rsidRDefault="00DC0E0E" w:rsidP="001E6C97">
            <w:pPr>
              <w:pStyle w:val="a7"/>
              <w:ind w:left="0"/>
              <w:jc w:val="center"/>
              <w:rPr>
                <w:sz w:val="22"/>
              </w:rPr>
            </w:pPr>
            <w:r w:rsidRPr="007E0AF4">
              <w:rPr>
                <w:sz w:val="22"/>
              </w:rPr>
              <w:t>6000,0</w:t>
            </w:r>
          </w:p>
        </w:tc>
      </w:tr>
      <w:tr w:rsidR="00DC0E0E" w:rsidRPr="007E0AF4" w:rsidTr="00DC0E0E">
        <w:trPr>
          <w:trHeight w:val="300"/>
        </w:trPr>
        <w:tc>
          <w:tcPr>
            <w:tcW w:w="2978" w:type="dxa"/>
            <w:vMerge/>
            <w:shd w:val="clear" w:color="auto" w:fill="C6D9F1" w:themeFill="text2" w:themeFillTint="33"/>
          </w:tcPr>
          <w:p w:rsidR="00DC0E0E" w:rsidRPr="007E0AF4" w:rsidRDefault="00DC0E0E" w:rsidP="001E6C97">
            <w:pPr>
              <w:pStyle w:val="a7"/>
              <w:ind w:left="0"/>
              <w:rPr>
                <w:b/>
                <w:sz w:val="22"/>
              </w:rPr>
            </w:pPr>
          </w:p>
        </w:tc>
        <w:tc>
          <w:tcPr>
            <w:tcW w:w="1774" w:type="dxa"/>
            <w:vMerge/>
            <w:tcBorders>
              <w:right w:val="single" w:sz="4" w:space="0" w:color="auto"/>
            </w:tcBorders>
          </w:tcPr>
          <w:p w:rsidR="00DC0E0E" w:rsidRPr="007E0AF4" w:rsidRDefault="00DC0E0E" w:rsidP="001E6C97">
            <w:pPr>
              <w:pStyle w:val="a7"/>
              <w:ind w:left="0"/>
              <w:jc w:val="center"/>
              <w:rPr>
                <w:sz w:val="22"/>
              </w:rPr>
            </w:pPr>
          </w:p>
        </w:tc>
        <w:tc>
          <w:tcPr>
            <w:tcW w:w="1390" w:type="dxa"/>
            <w:vMerge/>
            <w:tcBorders>
              <w:right w:val="single" w:sz="4" w:space="0" w:color="auto"/>
            </w:tcBorders>
          </w:tcPr>
          <w:p w:rsidR="00DC0E0E" w:rsidRPr="007E0AF4" w:rsidRDefault="00DC0E0E" w:rsidP="001E6C97">
            <w:pPr>
              <w:pStyle w:val="a7"/>
              <w:ind w:left="0"/>
              <w:jc w:val="center"/>
              <w:rPr>
                <w:b/>
                <w:sz w:val="22"/>
              </w:rPr>
            </w:pPr>
          </w:p>
        </w:tc>
        <w:tc>
          <w:tcPr>
            <w:tcW w:w="876" w:type="dxa"/>
            <w:gridSpan w:val="2"/>
            <w:tcBorders>
              <w:top w:val="single" w:sz="4" w:space="0" w:color="auto"/>
              <w:left w:val="single" w:sz="4" w:space="0" w:color="auto"/>
              <w:right w:val="single" w:sz="4" w:space="0" w:color="auto"/>
            </w:tcBorders>
          </w:tcPr>
          <w:p w:rsidR="00DC0E0E" w:rsidRPr="007E0AF4" w:rsidRDefault="00DC0E0E" w:rsidP="001E6C97">
            <w:pPr>
              <w:pStyle w:val="a7"/>
              <w:ind w:left="0"/>
              <w:jc w:val="center"/>
              <w:rPr>
                <w:sz w:val="22"/>
              </w:rPr>
            </w:pPr>
            <w:r w:rsidRPr="007E0AF4">
              <w:rPr>
                <w:sz w:val="22"/>
              </w:rPr>
              <w:t>1800,0</w:t>
            </w:r>
          </w:p>
        </w:tc>
        <w:tc>
          <w:tcPr>
            <w:tcW w:w="1455" w:type="dxa"/>
            <w:tcBorders>
              <w:top w:val="single" w:sz="4" w:space="0" w:color="auto"/>
              <w:left w:val="single" w:sz="4" w:space="0" w:color="auto"/>
              <w:right w:val="single" w:sz="4" w:space="0" w:color="auto"/>
            </w:tcBorders>
          </w:tcPr>
          <w:p w:rsidR="00DC0E0E" w:rsidRPr="007E0AF4" w:rsidRDefault="00DC0E0E" w:rsidP="001E6C97">
            <w:pPr>
              <w:pStyle w:val="a7"/>
              <w:ind w:left="0"/>
              <w:rPr>
                <w:sz w:val="22"/>
              </w:rPr>
            </w:pPr>
            <w:proofErr w:type="spellStart"/>
            <w:r w:rsidRPr="007E0AF4">
              <w:rPr>
                <w:rFonts w:eastAsia="Calibri"/>
                <w:color w:val="000000"/>
                <w:sz w:val="22"/>
              </w:rPr>
              <w:t>Міжнародні</w:t>
            </w:r>
            <w:proofErr w:type="spellEnd"/>
            <w:r w:rsidRPr="007E0AF4">
              <w:rPr>
                <w:rFonts w:eastAsia="Calibri"/>
                <w:color w:val="000000"/>
                <w:sz w:val="22"/>
              </w:rPr>
              <w:t xml:space="preserve"> </w:t>
            </w:r>
            <w:proofErr w:type="spellStart"/>
            <w:r w:rsidRPr="007E0AF4">
              <w:rPr>
                <w:rFonts w:eastAsia="Calibri"/>
                <w:color w:val="000000"/>
                <w:sz w:val="22"/>
              </w:rPr>
              <w:t>інвестиції</w:t>
            </w:r>
            <w:proofErr w:type="spellEnd"/>
          </w:p>
        </w:tc>
        <w:tc>
          <w:tcPr>
            <w:tcW w:w="1415" w:type="dxa"/>
            <w:vMerge/>
            <w:tcBorders>
              <w:left w:val="single" w:sz="4" w:space="0" w:color="auto"/>
            </w:tcBorders>
          </w:tcPr>
          <w:p w:rsidR="00DC0E0E" w:rsidRPr="007E0AF4" w:rsidRDefault="00DC0E0E" w:rsidP="001E6C97">
            <w:pPr>
              <w:pStyle w:val="a7"/>
              <w:ind w:left="0"/>
              <w:jc w:val="center"/>
              <w:rPr>
                <w:sz w:val="22"/>
              </w:rPr>
            </w:pPr>
          </w:p>
        </w:tc>
      </w:tr>
    </w:tbl>
    <w:p w:rsidR="00DC0E0E" w:rsidRPr="007E0AF4" w:rsidRDefault="00DC0E0E" w:rsidP="00E95FB1">
      <w:pPr>
        <w:rPr>
          <w:sz w:val="22"/>
        </w:rPr>
      </w:pPr>
    </w:p>
    <w:p w:rsidR="0051104F" w:rsidRPr="007E0AF4" w:rsidRDefault="0051104F" w:rsidP="00E95FB1">
      <w:pPr>
        <w:rPr>
          <w:sz w:val="22"/>
        </w:rPr>
      </w:pPr>
    </w:p>
    <w:tbl>
      <w:tblPr>
        <w:tblpPr w:leftFromText="180" w:rightFromText="180" w:vertAnchor="text" w:horzAnchor="page" w:tblpX="1" w:tblpY="123"/>
        <w:tblW w:w="11370" w:type="dxa"/>
        <w:tblLayout w:type="fixed"/>
        <w:tblCellMar>
          <w:left w:w="30" w:type="dxa"/>
          <w:right w:w="30" w:type="dxa"/>
        </w:tblCellMar>
        <w:tblLook w:val="0000" w:firstRow="0" w:lastRow="0" w:firstColumn="0" w:lastColumn="0" w:noHBand="0" w:noVBand="0"/>
      </w:tblPr>
      <w:tblGrid>
        <w:gridCol w:w="1448"/>
        <w:gridCol w:w="2977"/>
        <w:gridCol w:w="1417"/>
        <w:gridCol w:w="1276"/>
        <w:gridCol w:w="992"/>
        <w:gridCol w:w="284"/>
        <w:gridCol w:w="1417"/>
        <w:gridCol w:w="284"/>
        <w:gridCol w:w="1275"/>
      </w:tblGrid>
      <w:tr w:rsidR="00DC0E0E" w:rsidRPr="007E0AF4" w:rsidTr="00191BD8">
        <w:trPr>
          <w:trHeight w:val="555"/>
        </w:trPr>
        <w:tc>
          <w:tcPr>
            <w:tcW w:w="1448" w:type="dxa"/>
            <w:tcBorders>
              <w:top w:val="nil"/>
              <w:left w:val="nil"/>
              <w:bottom w:val="nil"/>
              <w:right w:val="nil"/>
            </w:tcBorders>
          </w:tcPr>
          <w:p w:rsidR="00DC0E0E" w:rsidRPr="007E0AF4" w:rsidRDefault="00DC0E0E" w:rsidP="00DC0E0E">
            <w:pPr>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C0E0E" w:rsidRPr="007E0AF4" w:rsidRDefault="00DC0E0E" w:rsidP="00DC0E0E">
            <w:pPr>
              <w:autoSpaceDE w:val="0"/>
              <w:autoSpaceDN w:val="0"/>
              <w:adjustRightInd w:val="0"/>
              <w:rPr>
                <w:rFonts w:eastAsia="Calibri"/>
                <w:b/>
                <w:color w:val="000000"/>
                <w:sz w:val="22"/>
              </w:rPr>
            </w:pPr>
            <w:r w:rsidRPr="007E0AF4">
              <w:rPr>
                <w:rFonts w:eastAsia="Calibri"/>
                <w:b/>
                <w:color w:val="000000"/>
                <w:sz w:val="22"/>
              </w:rPr>
              <w:t>Оперативна ціль/завдання</w:t>
            </w:r>
          </w:p>
        </w:tc>
        <w:tc>
          <w:tcPr>
            <w:tcW w:w="6945" w:type="dxa"/>
            <w:gridSpan w:val="7"/>
            <w:tcBorders>
              <w:top w:val="single" w:sz="6" w:space="0" w:color="auto"/>
              <w:left w:val="single" w:sz="6" w:space="0" w:color="auto"/>
              <w:bottom w:val="single" w:sz="6" w:space="0" w:color="auto"/>
              <w:right w:val="single" w:sz="6" w:space="0" w:color="auto"/>
            </w:tcBorders>
          </w:tcPr>
          <w:p w:rsidR="00DC0E0E" w:rsidRPr="007E0AF4" w:rsidRDefault="00DC0E0E" w:rsidP="00DC0E0E">
            <w:pPr>
              <w:spacing w:line="259" w:lineRule="auto"/>
              <w:rPr>
                <w:sz w:val="22"/>
                <w:lang w:val="ru-RU"/>
              </w:rPr>
            </w:pPr>
            <w:proofErr w:type="spellStart"/>
            <w:r w:rsidRPr="007E0AF4">
              <w:rPr>
                <w:sz w:val="22"/>
                <w:lang w:val="ru-RU"/>
              </w:rPr>
              <w:t>Людський</w:t>
            </w:r>
            <w:proofErr w:type="spellEnd"/>
            <w:r w:rsidRPr="007E0AF4">
              <w:rPr>
                <w:sz w:val="22"/>
                <w:lang w:val="ru-RU"/>
              </w:rPr>
              <w:t xml:space="preserve"> </w:t>
            </w:r>
            <w:proofErr w:type="spellStart"/>
            <w:r w:rsidRPr="007E0AF4">
              <w:rPr>
                <w:sz w:val="22"/>
                <w:lang w:val="ru-RU"/>
              </w:rPr>
              <w:t>розвиток</w:t>
            </w:r>
            <w:proofErr w:type="spellEnd"/>
            <w:r w:rsidRPr="007E0AF4">
              <w:rPr>
                <w:sz w:val="22"/>
                <w:lang w:val="ru-RU"/>
              </w:rPr>
              <w:t xml:space="preserve"> через </w:t>
            </w:r>
            <w:proofErr w:type="spellStart"/>
            <w:r w:rsidRPr="007E0AF4">
              <w:rPr>
                <w:sz w:val="22"/>
                <w:lang w:val="ru-RU"/>
              </w:rPr>
              <w:t>інновації</w:t>
            </w:r>
            <w:proofErr w:type="spellEnd"/>
            <w:r w:rsidRPr="007E0AF4">
              <w:rPr>
                <w:sz w:val="22"/>
                <w:lang w:val="ru-RU"/>
              </w:rPr>
              <w:t xml:space="preserve"> </w:t>
            </w:r>
            <w:proofErr w:type="spellStart"/>
            <w:r w:rsidRPr="007E0AF4">
              <w:rPr>
                <w:sz w:val="22"/>
                <w:lang w:val="ru-RU"/>
              </w:rPr>
              <w:t>управління</w:t>
            </w:r>
            <w:proofErr w:type="spellEnd"/>
            <w:r w:rsidRPr="007E0AF4">
              <w:rPr>
                <w:sz w:val="22"/>
                <w:lang w:val="ru-RU"/>
              </w:rPr>
              <w:t xml:space="preserve"> та </w:t>
            </w:r>
            <w:proofErr w:type="spellStart"/>
            <w:r w:rsidRPr="007E0AF4">
              <w:rPr>
                <w:sz w:val="22"/>
                <w:lang w:val="ru-RU"/>
              </w:rPr>
              <w:t>довіру</w:t>
            </w:r>
            <w:proofErr w:type="spellEnd"/>
            <w:r w:rsidRPr="007E0AF4">
              <w:rPr>
                <w:sz w:val="22"/>
                <w:lang w:val="ru-RU"/>
              </w:rPr>
              <w:t xml:space="preserve"> до </w:t>
            </w:r>
            <w:proofErr w:type="spellStart"/>
            <w:r w:rsidRPr="007E0AF4">
              <w:rPr>
                <w:sz w:val="22"/>
                <w:lang w:val="ru-RU"/>
              </w:rPr>
              <w:t>влади</w:t>
            </w:r>
            <w:proofErr w:type="spellEnd"/>
            <w:r w:rsidRPr="007E0AF4">
              <w:rPr>
                <w:sz w:val="22"/>
                <w:lang w:val="ru-RU"/>
              </w:rPr>
              <w:t xml:space="preserve">. </w:t>
            </w:r>
            <w:proofErr w:type="spellStart"/>
            <w:r w:rsidRPr="007E0AF4">
              <w:rPr>
                <w:sz w:val="22"/>
                <w:lang w:val="ru-RU"/>
              </w:rPr>
              <w:t>Формування</w:t>
            </w:r>
            <w:proofErr w:type="spellEnd"/>
            <w:r w:rsidRPr="007E0AF4">
              <w:rPr>
                <w:sz w:val="22"/>
                <w:lang w:val="ru-RU"/>
              </w:rPr>
              <w:t xml:space="preserve"> </w:t>
            </w:r>
            <w:proofErr w:type="spellStart"/>
            <w:r w:rsidRPr="007E0AF4">
              <w:rPr>
                <w:sz w:val="22"/>
                <w:lang w:val="ru-RU"/>
              </w:rPr>
              <w:t>сучасного</w:t>
            </w:r>
            <w:proofErr w:type="spellEnd"/>
            <w:r w:rsidRPr="007E0AF4">
              <w:rPr>
                <w:sz w:val="22"/>
                <w:lang w:val="ru-RU"/>
              </w:rPr>
              <w:t xml:space="preserve"> </w:t>
            </w:r>
            <w:proofErr w:type="spellStart"/>
            <w:proofErr w:type="gramStart"/>
            <w:r w:rsidRPr="007E0AF4">
              <w:rPr>
                <w:sz w:val="22"/>
                <w:lang w:val="ru-RU"/>
              </w:rPr>
              <w:t>інклюзивного</w:t>
            </w:r>
            <w:proofErr w:type="spellEnd"/>
            <w:r w:rsidRPr="007E0AF4">
              <w:rPr>
                <w:sz w:val="22"/>
                <w:lang w:val="ru-RU"/>
              </w:rPr>
              <w:t xml:space="preserve">  </w:t>
            </w:r>
            <w:proofErr w:type="spellStart"/>
            <w:r w:rsidRPr="007E0AF4">
              <w:rPr>
                <w:sz w:val="22"/>
                <w:lang w:val="ru-RU"/>
              </w:rPr>
              <w:t>освітньо</w:t>
            </w:r>
            <w:proofErr w:type="spellEnd"/>
            <w:proofErr w:type="gramEnd"/>
            <w:r w:rsidRPr="007E0AF4">
              <w:rPr>
                <w:sz w:val="22"/>
                <w:lang w:val="ru-RU"/>
              </w:rPr>
              <w:t xml:space="preserve">-культурного та спортивного простору для </w:t>
            </w:r>
            <w:proofErr w:type="spellStart"/>
            <w:r w:rsidRPr="007E0AF4">
              <w:rPr>
                <w:sz w:val="22"/>
                <w:lang w:val="ru-RU"/>
              </w:rPr>
              <w:t>розвитку</w:t>
            </w:r>
            <w:proofErr w:type="spellEnd"/>
            <w:r w:rsidRPr="007E0AF4">
              <w:rPr>
                <w:sz w:val="22"/>
                <w:lang w:val="ru-RU"/>
              </w:rPr>
              <w:t>.</w:t>
            </w:r>
          </w:p>
        </w:tc>
      </w:tr>
      <w:tr w:rsidR="00DC0E0E" w:rsidRPr="007E0AF4" w:rsidTr="00191BD8">
        <w:trPr>
          <w:trHeight w:val="691"/>
        </w:trPr>
        <w:tc>
          <w:tcPr>
            <w:tcW w:w="1448" w:type="dxa"/>
            <w:tcBorders>
              <w:top w:val="nil"/>
              <w:left w:val="nil"/>
              <w:bottom w:val="nil"/>
              <w:right w:val="nil"/>
            </w:tcBorders>
          </w:tcPr>
          <w:p w:rsidR="00DC0E0E" w:rsidRPr="007E0AF4" w:rsidRDefault="00DC0E0E" w:rsidP="00DC0E0E">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C0E0E" w:rsidRPr="007E0AF4" w:rsidRDefault="00DC0E0E" w:rsidP="00DC0E0E">
            <w:pPr>
              <w:autoSpaceDE w:val="0"/>
              <w:autoSpaceDN w:val="0"/>
              <w:adjustRightInd w:val="0"/>
              <w:rPr>
                <w:rFonts w:eastAsia="Calibri"/>
                <w:b/>
                <w:color w:val="000000"/>
                <w:sz w:val="22"/>
              </w:rPr>
            </w:pPr>
            <w:r w:rsidRPr="007E0AF4">
              <w:rPr>
                <w:rFonts w:eastAsia="Calibri"/>
                <w:b/>
                <w:color w:val="000000"/>
                <w:sz w:val="22"/>
              </w:rPr>
              <w:t>Назва проекту:</w:t>
            </w:r>
          </w:p>
        </w:tc>
        <w:tc>
          <w:tcPr>
            <w:tcW w:w="6945" w:type="dxa"/>
            <w:gridSpan w:val="7"/>
            <w:tcBorders>
              <w:top w:val="single" w:sz="6" w:space="0" w:color="auto"/>
              <w:left w:val="single" w:sz="6" w:space="0" w:color="auto"/>
              <w:bottom w:val="single" w:sz="6" w:space="0" w:color="auto"/>
              <w:right w:val="single" w:sz="6" w:space="0" w:color="auto"/>
            </w:tcBorders>
          </w:tcPr>
          <w:p w:rsidR="00DC0E0E" w:rsidRPr="007E0AF4" w:rsidRDefault="00DC0E0E" w:rsidP="00DC0E0E">
            <w:pPr>
              <w:spacing w:line="259" w:lineRule="auto"/>
              <w:rPr>
                <w:sz w:val="22"/>
                <w:lang w:val="ru-RU"/>
              </w:rPr>
            </w:pPr>
            <w:r w:rsidRPr="007E0AF4">
              <w:rPr>
                <w:sz w:val="22"/>
              </w:rPr>
              <w:t xml:space="preserve">Капітальний ремонт будівель (основної та окремої будівлі для молодшої школи) Борівського навчально-виховного комплексу (загальноосвітнього навчального закладу І-ІІІ ступенів, дошкільного навчального закладу (ясла-садок)) з використанням сучасних енергозберігаючих технологій. </w:t>
            </w:r>
            <w:r w:rsidRPr="007E0AF4">
              <w:rPr>
                <w:sz w:val="22"/>
                <w:lang w:val="ru-RU"/>
              </w:rPr>
              <w:t xml:space="preserve">Адреса: </w:t>
            </w:r>
            <w:proofErr w:type="spellStart"/>
            <w:r w:rsidRPr="007E0AF4">
              <w:rPr>
                <w:sz w:val="22"/>
                <w:lang w:val="ru-RU"/>
              </w:rPr>
              <w:t>смт</w:t>
            </w:r>
            <w:proofErr w:type="spellEnd"/>
            <w:r w:rsidRPr="007E0AF4">
              <w:rPr>
                <w:sz w:val="22"/>
                <w:lang w:val="ru-RU"/>
              </w:rPr>
              <w:t xml:space="preserve">. </w:t>
            </w:r>
            <w:proofErr w:type="spellStart"/>
            <w:r w:rsidRPr="007E0AF4">
              <w:rPr>
                <w:sz w:val="22"/>
                <w:lang w:val="ru-RU"/>
              </w:rPr>
              <w:t>Борівське</w:t>
            </w:r>
            <w:proofErr w:type="spellEnd"/>
            <w:r w:rsidRPr="007E0AF4">
              <w:rPr>
                <w:sz w:val="22"/>
                <w:lang w:val="ru-RU"/>
              </w:rPr>
              <w:t xml:space="preserve">, </w:t>
            </w:r>
            <w:proofErr w:type="spellStart"/>
            <w:r w:rsidRPr="007E0AF4">
              <w:rPr>
                <w:sz w:val="22"/>
                <w:lang w:val="ru-RU"/>
              </w:rPr>
              <w:t>вул</w:t>
            </w:r>
            <w:proofErr w:type="spellEnd"/>
            <w:r w:rsidRPr="007E0AF4">
              <w:rPr>
                <w:sz w:val="22"/>
                <w:lang w:val="ru-RU"/>
              </w:rPr>
              <w:t xml:space="preserve">. </w:t>
            </w:r>
            <w:proofErr w:type="spellStart"/>
            <w:r w:rsidRPr="007E0AF4">
              <w:rPr>
                <w:sz w:val="22"/>
                <w:lang w:val="ru-RU"/>
              </w:rPr>
              <w:t>Шкільна</w:t>
            </w:r>
            <w:proofErr w:type="spellEnd"/>
            <w:r w:rsidRPr="007E0AF4">
              <w:rPr>
                <w:sz w:val="22"/>
                <w:lang w:val="ru-RU"/>
              </w:rPr>
              <w:t>, 35</w:t>
            </w:r>
          </w:p>
        </w:tc>
      </w:tr>
      <w:tr w:rsidR="00DC0E0E" w:rsidRPr="007E0AF4" w:rsidTr="00191BD8">
        <w:trPr>
          <w:trHeight w:val="1109"/>
        </w:trPr>
        <w:tc>
          <w:tcPr>
            <w:tcW w:w="1448" w:type="dxa"/>
            <w:tcBorders>
              <w:top w:val="nil"/>
              <w:left w:val="nil"/>
              <w:bottom w:val="nil"/>
              <w:right w:val="nil"/>
            </w:tcBorders>
          </w:tcPr>
          <w:p w:rsidR="00DC0E0E" w:rsidRPr="007E0AF4" w:rsidRDefault="00DC0E0E" w:rsidP="00DC0E0E">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C0E0E" w:rsidRPr="007E0AF4" w:rsidRDefault="00DC0E0E" w:rsidP="00DC0E0E">
            <w:pPr>
              <w:autoSpaceDE w:val="0"/>
              <w:autoSpaceDN w:val="0"/>
              <w:adjustRightInd w:val="0"/>
              <w:rPr>
                <w:rFonts w:eastAsia="Calibri"/>
                <w:b/>
                <w:color w:val="000000"/>
                <w:sz w:val="22"/>
              </w:rPr>
            </w:pPr>
            <w:r w:rsidRPr="007E0AF4">
              <w:rPr>
                <w:rFonts w:eastAsia="Calibri"/>
                <w:b/>
                <w:color w:val="000000"/>
                <w:sz w:val="22"/>
              </w:rPr>
              <w:t>Ціль проекту</w:t>
            </w:r>
          </w:p>
        </w:tc>
        <w:tc>
          <w:tcPr>
            <w:tcW w:w="6945" w:type="dxa"/>
            <w:gridSpan w:val="7"/>
            <w:tcBorders>
              <w:top w:val="single" w:sz="6" w:space="0" w:color="auto"/>
              <w:left w:val="single" w:sz="6" w:space="0" w:color="auto"/>
              <w:bottom w:val="single" w:sz="6" w:space="0" w:color="auto"/>
              <w:right w:val="single" w:sz="6" w:space="0" w:color="auto"/>
            </w:tcBorders>
          </w:tcPr>
          <w:p w:rsidR="00DC0E0E" w:rsidRPr="007E0AF4" w:rsidRDefault="00DC0E0E" w:rsidP="00DC0E0E">
            <w:pPr>
              <w:spacing w:line="259" w:lineRule="auto"/>
              <w:rPr>
                <w:sz w:val="22"/>
                <w:lang w:val="ru-RU"/>
              </w:rPr>
            </w:pPr>
            <w:r w:rsidRPr="007E0AF4">
              <w:rPr>
                <w:sz w:val="22"/>
              </w:rPr>
              <w:t xml:space="preserve">Задоволення потреб мешканців Сєвєродонецької міської територіальної громади в освітніх послугах. </w:t>
            </w:r>
            <w:proofErr w:type="spellStart"/>
            <w:r w:rsidRPr="007E0AF4">
              <w:rPr>
                <w:sz w:val="22"/>
                <w:lang w:val="ru-RU"/>
              </w:rPr>
              <w:t>Створення</w:t>
            </w:r>
            <w:proofErr w:type="spellEnd"/>
            <w:r w:rsidRPr="007E0AF4">
              <w:rPr>
                <w:sz w:val="22"/>
                <w:lang w:val="ru-RU"/>
              </w:rPr>
              <w:t xml:space="preserve"> </w:t>
            </w:r>
            <w:proofErr w:type="spellStart"/>
            <w:r w:rsidRPr="007E0AF4">
              <w:rPr>
                <w:sz w:val="22"/>
                <w:lang w:val="ru-RU"/>
              </w:rPr>
              <w:t>комфортних</w:t>
            </w:r>
            <w:proofErr w:type="spellEnd"/>
            <w:r w:rsidRPr="007E0AF4">
              <w:rPr>
                <w:sz w:val="22"/>
                <w:lang w:val="ru-RU"/>
              </w:rPr>
              <w:t xml:space="preserve"> умов для </w:t>
            </w:r>
            <w:proofErr w:type="spellStart"/>
            <w:r w:rsidRPr="007E0AF4">
              <w:rPr>
                <w:sz w:val="22"/>
                <w:lang w:val="ru-RU"/>
              </w:rPr>
              <w:t>навчання</w:t>
            </w:r>
            <w:proofErr w:type="spellEnd"/>
            <w:r w:rsidRPr="007E0AF4">
              <w:rPr>
                <w:sz w:val="22"/>
                <w:lang w:val="ru-RU"/>
              </w:rPr>
              <w:t xml:space="preserve"> і </w:t>
            </w:r>
            <w:proofErr w:type="spellStart"/>
            <w:r w:rsidRPr="007E0AF4">
              <w:rPr>
                <w:sz w:val="22"/>
                <w:lang w:val="ru-RU"/>
              </w:rPr>
              <w:t>виховання</w:t>
            </w:r>
            <w:proofErr w:type="spellEnd"/>
            <w:r w:rsidRPr="007E0AF4">
              <w:rPr>
                <w:sz w:val="22"/>
                <w:lang w:val="ru-RU"/>
              </w:rPr>
              <w:t xml:space="preserve"> </w:t>
            </w:r>
            <w:proofErr w:type="spellStart"/>
            <w:r w:rsidRPr="007E0AF4">
              <w:rPr>
                <w:sz w:val="22"/>
                <w:lang w:val="ru-RU"/>
              </w:rPr>
              <w:t>дітей</w:t>
            </w:r>
            <w:proofErr w:type="spellEnd"/>
            <w:r w:rsidRPr="007E0AF4">
              <w:rPr>
                <w:sz w:val="22"/>
                <w:lang w:val="ru-RU"/>
              </w:rPr>
              <w:t xml:space="preserve"> </w:t>
            </w:r>
            <w:proofErr w:type="spellStart"/>
            <w:r w:rsidRPr="007E0AF4">
              <w:rPr>
                <w:sz w:val="22"/>
                <w:lang w:val="ru-RU"/>
              </w:rPr>
              <w:t>Борівського</w:t>
            </w:r>
            <w:proofErr w:type="spellEnd"/>
            <w:r w:rsidRPr="007E0AF4">
              <w:rPr>
                <w:sz w:val="22"/>
                <w:lang w:val="ru-RU"/>
              </w:rPr>
              <w:t xml:space="preserve"> НВК, а </w:t>
            </w:r>
            <w:proofErr w:type="spellStart"/>
            <w:r w:rsidRPr="007E0AF4">
              <w:rPr>
                <w:sz w:val="22"/>
                <w:lang w:val="ru-RU"/>
              </w:rPr>
              <w:t>також</w:t>
            </w:r>
            <w:proofErr w:type="spellEnd"/>
            <w:r w:rsidRPr="007E0AF4">
              <w:rPr>
                <w:sz w:val="22"/>
                <w:lang w:val="ru-RU"/>
              </w:rPr>
              <w:t xml:space="preserve"> </w:t>
            </w:r>
            <w:proofErr w:type="spellStart"/>
            <w:r w:rsidRPr="007E0AF4">
              <w:rPr>
                <w:sz w:val="22"/>
                <w:lang w:val="ru-RU"/>
              </w:rPr>
              <w:t>сприятливих</w:t>
            </w:r>
            <w:proofErr w:type="spellEnd"/>
            <w:r w:rsidRPr="007E0AF4">
              <w:rPr>
                <w:sz w:val="22"/>
                <w:lang w:val="ru-RU"/>
              </w:rPr>
              <w:t xml:space="preserve"> умов для </w:t>
            </w:r>
            <w:proofErr w:type="spellStart"/>
            <w:r w:rsidRPr="007E0AF4">
              <w:rPr>
                <w:sz w:val="22"/>
                <w:lang w:val="ru-RU"/>
              </w:rPr>
              <w:t>працівників</w:t>
            </w:r>
            <w:proofErr w:type="spellEnd"/>
            <w:r w:rsidRPr="007E0AF4">
              <w:rPr>
                <w:sz w:val="22"/>
                <w:lang w:val="ru-RU"/>
              </w:rPr>
              <w:t xml:space="preserve"> закладу.</w:t>
            </w:r>
          </w:p>
        </w:tc>
      </w:tr>
      <w:tr w:rsidR="00DC0E0E" w:rsidRPr="007E0AF4" w:rsidTr="00191BD8">
        <w:trPr>
          <w:trHeight w:val="290"/>
        </w:trPr>
        <w:tc>
          <w:tcPr>
            <w:tcW w:w="1448" w:type="dxa"/>
            <w:tcBorders>
              <w:top w:val="nil"/>
              <w:left w:val="nil"/>
              <w:bottom w:val="nil"/>
              <w:right w:val="nil"/>
            </w:tcBorders>
          </w:tcPr>
          <w:p w:rsidR="00DC0E0E" w:rsidRPr="007E0AF4" w:rsidRDefault="00DC0E0E" w:rsidP="00DC0E0E">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C0E0E" w:rsidRPr="007E0AF4" w:rsidRDefault="00DC0E0E" w:rsidP="00DC0E0E">
            <w:pPr>
              <w:autoSpaceDE w:val="0"/>
              <w:autoSpaceDN w:val="0"/>
              <w:adjustRightInd w:val="0"/>
              <w:rPr>
                <w:rFonts w:eastAsia="Calibri"/>
                <w:b/>
                <w:color w:val="000000"/>
                <w:sz w:val="22"/>
              </w:rPr>
            </w:pPr>
            <w:r w:rsidRPr="007E0AF4">
              <w:rPr>
                <w:rFonts w:eastAsia="Calibri"/>
                <w:b/>
                <w:color w:val="000000"/>
                <w:sz w:val="22"/>
              </w:rPr>
              <w:t>Територія, на яку матиме вплив реалізація проекту</w:t>
            </w:r>
          </w:p>
        </w:tc>
        <w:tc>
          <w:tcPr>
            <w:tcW w:w="6945" w:type="dxa"/>
            <w:gridSpan w:val="7"/>
            <w:tcBorders>
              <w:top w:val="single" w:sz="6" w:space="0" w:color="auto"/>
              <w:left w:val="single" w:sz="6" w:space="0" w:color="auto"/>
              <w:bottom w:val="single" w:sz="6" w:space="0" w:color="auto"/>
              <w:right w:val="single" w:sz="6" w:space="0" w:color="auto"/>
            </w:tcBorders>
          </w:tcPr>
          <w:p w:rsidR="00DC0E0E" w:rsidRPr="007E0AF4" w:rsidRDefault="00DC0E0E" w:rsidP="00DC0E0E">
            <w:pPr>
              <w:autoSpaceDE w:val="0"/>
              <w:autoSpaceDN w:val="0"/>
              <w:adjustRightInd w:val="0"/>
              <w:rPr>
                <w:rFonts w:eastAsia="Calibri"/>
                <w:color w:val="000000"/>
                <w:sz w:val="22"/>
              </w:rPr>
            </w:pPr>
            <w:r w:rsidRPr="007E0AF4">
              <w:rPr>
                <w:rFonts w:eastAsia="Calibri"/>
                <w:color w:val="000000"/>
                <w:sz w:val="22"/>
              </w:rPr>
              <w:t>Сєвєродонецька міська територіальна громада</w:t>
            </w:r>
          </w:p>
        </w:tc>
      </w:tr>
      <w:tr w:rsidR="00DC0E0E" w:rsidRPr="007E0AF4" w:rsidTr="00191BD8">
        <w:trPr>
          <w:trHeight w:val="846"/>
        </w:trPr>
        <w:tc>
          <w:tcPr>
            <w:tcW w:w="1448" w:type="dxa"/>
            <w:tcBorders>
              <w:top w:val="nil"/>
              <w:left w:val="nil"/>
              <w:bottom w:val="nil"/>
              <w:right w:val="nil"/>
            </w:tcBorders>
          </w:tcPr>
          <w:p w:rsidR="00DC0E0E" w:rsidRPr="007E0AF4" w:rsidRDefault="00DC0E0E" w:rsidP="00DC0E0E">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C0E0E" w:rsidRPr="007E0AF4" w:rsidRDefault="00DC0E0E" w:rsidP="00DC0E0E">
            <w:pPr>
              <w:autoSpaceDE w:val="0"/>
              <w:autoSpaceDN w:val="0"/>
              <w:adjustRightInd w:val="0"/>
              <w:rPr>
                <w:rFonts w:eastAsia="Calibri"/>
                <w:b/>
                <w:color w:val="000000"/>
                <w:sz w:val="22"/>
              </w:rPr>
            </w:pPr>
            <w:r w:rsidRPr="007E0AF4">
              <w:rPr>
                <w:rFonts w:eastAsia="Calibri"/>
                <w:b/>
                <w:color w:val="000000"/>
                <w:sz w:val="22"/>
              </w:rPr>
              <w:t>Чисельність населення, на яке матиме вплив реалізація проекту</w:t>
            </w:r>
          </w:p>
        </w:tc>
        <w:tc>
          <w:tcPr>
            <w:tcW w:w="6945" w:type="dxa"/>
            <w:gridSpan w:val="7"/>
            <w:tcBorders>
              <w:top w:val="single" w:sz="6" w:space="0" w:color="auto"/>
              <w:left w:val="single" w:sz="6" w:space="0" w:color="auto"/>
              <w:bottom w:val="single" w:sz="6" w:space="0" w:color="auto"/>
              <w:right w:val="single" w:sz="6" w:space="0" w:color="auto"/>
            </w:tcBorders>
          </w:tcPr>
          <w:p w:rsidR="00DC0E0E" w:rsidRPr="007E0AF4" w:rsidRDefault="00DC0E0E" w:rsidP="00DC0E0E">
            <w:pPr>
              <w:autoSpaceDE w:val="0"/>
              <w:autoSpaceDN w:val="0"/>
              <w:adjustRightInd w:val="0"/>
              <w:rPr>
                <w:rFonts w:eastAsia="Calibri"/>
                <w:color w:val="000000"/>
                <w:sz w:val="22"/>
              </w:rPr>
            </w:pPr>
            <w:r w:rsidRPr="007E0AF4">
              <w:rPr>
                <w:rFonts w:eastAsia="Calibri"/>
                <w:color w:val="000000"/>
                <w:sz w:val="22"/>
              </w:rPr>
              <w:t>70 000 тисяч осіб</w:t>
            </w:r>
          </w:p>
        </w:tc>
      </w:tr>
      <w:tr w:rsidR="00DC0E0E" w:rsidRPr="007E0AF4" w:rsidTr="00191BD8">
        <w:trPr>
          <w:trHeight w:val="1261"/>
        </w:trPr>
        <w:tc>
          <w:tcPr>
            <w:tcW w:w="1448" w:type="dxa"/>
            <w:tcBorders>
              <w:top w:val="nil"/>
              <w:left w:val="nil"/>
              <w:bottom w:val="nil"/>
              <w:right w:val="nil"/>
            </w:tcBorders>
          </w:tcPr>
          <w:p w:rsidR="00DC0E0E" w:rsidRPr="007E0AF4" w:rsidRDefault="00DC0E0E" w:rsidP="00DC0E0E">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C0E0E" w:rsidRPr="007E0AF4" w:rsidRDefault="00DC0E0E" w:rsidP="00DC0E0E">
            <w:pPr>
              <w:autoSpaceDE w:val="0"/>
              <w:autoSpaceDN w:val="0"/>
              <w:adjustRightInd w:val="0"/>
              <w:rPr>
                <w:rFonts w:eastAsia="Calibri"/>
                <w:b/>
                <w:color w:val="000000"/>
                <w:sz w:val="22"/>
              </w:rPr>
            </w:pPr>
            <w:r w:rsidRPr="007E0AF4">
              <w:rPr>
                <w:rFonts w:eastAsia="Calibri"/>
                <w:b/>
                <w:color w:val="000000"/>
                <w:sz w:val="22"/>
              </w:rPr>
              <w:t>Опис проблеми, на вирішення якої спрямований проект</w:t>
            </w:r>
          </w:p>
        </w:tc>
        <w:tc>
          <w:tcPr>
            <w:tcW w:w="6945" w:type="dxa"/>
            <w:gridSpan w:val="7"/>
            <w:tcBorders>
              <w:top w:val="single" w:sz="6" w:space="0" w:color="auto"/>
              <w:left w:val="single" w:sz="6" w:space="0" w:color="auto"/>
              <w:bottom w:val="single" w:sz="6" w:space="0" w:color="auto"/>
              <w:right w:val="single" w:sz="6" w:space="0" w:color="auto"/>
            </w:tcBorders>
          </w:tcPr>
          <w:p w:rsidR="00DC0E0E" w:rsidRPr="007E0AF4" w:rsidRDefault="00DC0E0E" w:rsidP="00DC0E0E">
            <w:pPr>
              <w:autoSpaceDE w:val="0"/>
              <w:autoSpaceDN w:val="0"/>
              <w:adjustRightInd w:val="0"/>
              <w:rPr>
                <w:rFonts w:eastAsia="Calibri"/>
                <w:color w:val="000000"/>
                <w:sz w:val="22"/>
              </w:rPr>
            </w:pPr>
            <w:r w:rsidRPr="007E0AF4">
              <w:rPr>
                <w:rFonts w:eastAsia="Calibri"/>
                <w:color w:val="000000"/>
                <w:sz w:val="22"/>
              </w:rPr>
              <w:t>Через військову агресію РФ територія Сєвєродонецької міської територіальної громади зазнала пошкоджень.</w:t>
            </w:r>
          </w:p>
          <w:p w:rsidR="00DC0E0E" w:rsidRPr="007E0AF4" w:rsidRDefault="00DC0E0E" w:rsidP="00DC0E0E">
            <w:pPr>
              <w:autoSpaceDE w:val="0"/>
              <w:autoSpaceDN w:val="0"/>
              <w:adjustRightInd w:val="0"/>
              <w:rPr>
                <w:rFonts w:eastAsia="Calibri"/>
                <w:color w:val="000000"/>
                <w:sz w:val="22"/>
              </w:rPr>
            </w:pPr>
            <w:r w:rsidRPr="007E0AF4">
              <w:rPr>
                <w:rFonts w:eastAsia="Calibri"/>
                <w:color w:val="000000"/>
                <w:sz w:val="22"/>
              </w:rPr>
              <w:t>Не оминуло це і Борівський навчально-виховний комплекс.</w:t>
            </w:r>
          </w:p>
          <w:p w:rsidR="00DC0E0E" w:rsidRPr="007E0AF4" w:rsidRDefault="00DC0E0E" w:rsidP="00DC0E0E">
            <w:pPr>
              <w:autoSpaceDE w:val="0"/>
              <w:autoSpaceDN w:val="0"/>
              <w:adjustRightInd w:val="0"/>
              <w:rPr>
                <w:rFonts w:eastAsia="Calibri"/>
                <w:color w:val="000000"/>
                <w:sz w:val="22"/>
              </w:rPr>
            </w:pPr>
            <w:r w:rsidRPr="007E0AF4">
              <w:rPr>
                <w:rFonts w:eastAsia="Calibri"/>
                <w:color w:val="000000"/>
                <w:sz w:val="22"/>
              </w:rPr>
              <w:t>Саме тому навчальний заклад потребує відновлення і капітального ремонту:</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усунення наслідків влучань артилерійських снарядів у фасад будівель (основної та окремої будівлі для молодшої школи);</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капітальний ремонт даху з урахуванням енергозберігаючих технологій (основної та окремої будівлі для молодшої школи);</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утеплення фасаду основної будівлі;</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ремонт кабінетів і коридорів (основної та окремої будівлі для молодшої школи) з урахуванням енергозберігаючих технологій;</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заміна вибитих метало-пластикових вікон на енергозберігаючі (основної та окремої будівлі для молодшої школи);</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заміна вхідних дверей та дверей запасних виходів з урахуванням енергозберігаючих технологій;</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заміна системи опалення (основної та окремої будівлі для молодшої школи);</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капітальний ремонт системи водопостачання, системи очищення питної води, системи водовідведення основної будівлі ЗО;</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встановлення системи водопостачання та системи водовідведення окремої будівлі для молодшої школи;</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заміна електромережі (основної та окремої будівлі для молодшої школи);</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створення протипожежної сигналізації (основної та окремої будівлі для молодшої школи);</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встановлення камер відеоспостереження по периметру НВК;</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встановлення огородження по периметру будівель НВК.</w:t>
            </w:r>
          </w:p>
          <w:p w:rsidR="00DC0E0E" w:rsidRPr="007E0AF4" w:rsidRDefault="00DC0E0E" w:rsidP="00DC0E0E">
            <w:pPr>
              <w:autoSpaceDE w:val="0"/>
              <w:autoSpaceDN w:val="0"/>
              <w:adjustRightInd w:val="0"/>
              <w:ind w:left="360"/>
              <w:rPr>
                <w:rFonts w:eastAsia="Calibri"/>
                <w:color w:val="000000"/>
                <w:sz w:val="22"/>
              </w:rPr>
            </w:pPr>
            <w:r w:rsidRPr="007E0AF4">
              <w:rPr>
                <w:rFonts w:eastAsia="Calibri"/>
                <w:color w:val="000000"/>
                <w:sz w:val="22"/>
              </w:rPr>
              <w:lastRenderedPageBreak/>
              <w:t>Вся матеріально-технічна база Борівського НВК була знищена або викрадена.</w:t>
            </w:r>
          </w:p>
          <w:p w:rsidR="00DC0E0E" w:rsidRPr="007E0AF4" w:rsidRDefault="00DC0E0E" w:rsidP="00DC0E0E">
            <w:pPr>
              <w:autoSpaceDE w:val="0"/>
              <w:autoSpaceDN w:val="0"/>
              <w:adjustRightInd w:val="0"/>
              <w:ind w:left="360"/>
              <w:rPr>
                <w:rFonts w:eastAsia="Calibri"/>
                <w:color w:val="000000"/>
                <w:sz w:val="22"/>
              </w:rPr>
            </w:pPr>
            <w:r w:rsidRPr="007E0AF4">
              <w:rPr>
                <w:rFonts w:eastAsia="Calibri"/>
                <w:color w:val="000000"/>
                <w:sz w:val="22"/>
              </w:rPr>
              <w:t>Для відбудови та сталого розвитку громади потрібне відновлення роботи закладу освіти. Мешканці громади потребують отримання якісних освітніх послуг, які відповідають нормам сучасності.</w:t>
            </w:r>
          </w:p>
        </w:tc>
      </w:tr>
      <w:tr w:rsidR="00DC0E0E" w:rsidRPr="007E0AF4" w:rsidTr="00191BD8">
        <w:trPr>
          <w:trHeight w:val="1265"/>
        </w:trPr>
        <w:tc>
          <w:tcPr>
            <w:tcW w:w="1448" w:type="dxa"/>
            <w:tcBorders>
              <w:top w:val="nil"/>
              <w:left w:val="nil"/>
              <w:bottom w:val="nil"/>
              <w:right w:val="nil"/>
            </w:tcBorders>
          </w:tcPr>
          <w:p w:rsidR="00DC0E0E" w:rsidRPr="007E0AF4" w:rsidRDefault="00DC0E0E" w:rsidP="00DC0E0E">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C0E0E" w:rsidRPr="007E0AF4" w:rsidRDefault="00DC0E0E" w:rsidP="00DC0E0E">
            <w:pPr>
              <w:autoSpaceDE w:val="0"/>
              <w:autoSpaceDN w:val="0"/>
              <w:adjustRightInd w:val="0"/>
              <w:rPr>
                <w:rFonts w:eastAsia="Calibri"/>
                <w:b/>
                <w:color w:val="000000"/>
                <w:sz w:val="22"/>
              </w:rPr>
            </w:pPr>
            <w:r w:rsidRPr="007E0AF4">
              <w:rPr>
                <w:rFonts w:eastAsia="Calibri"/>
                <w:b/>
                <w:color w:val="000000"/>
                <w:sz w:val="22"/>
              </w:rPr>
              <w:t>Очікувані якісні результати від реалізації проекту</w:t>
            </w:r>
          </w:p>
        </w:tc>
        <w:tc>
          <w:tcPr>
            <w:tcW w:w="6945" w:type="dxa"/>
            <w:gridSpan w:val="7"/>
            <w:tcBorders>
              <w:top w:val="single" w:sz="6" w:space="0" w:color="auto"/>
              <w:left w:val="single" w:sz="6" w:space="0" w:color="auto"/>
              <w:bottom w:val="single" w:sz="6" w:space="0" w:color="auto"/>
              <w:right w:val="single" w:sz="6" w:space="0" w:color="auto"/>
            </w:tcBorders>
          </w:tcPr>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створення привабливого інвестиційного клімату;</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забезпечення населення можливостями для реалізації його конституційних прав – «Право на освіту»</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задоволення освітніх потреб громади для сталого розвитку;</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надання широкого спектру послуг, пов’язаних з освітою і вихованням молоді;</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створення нових робочих місць;</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стимул для повернення ВПО до громади.</w:t>
            </w:r>
          </w:p>
        </w:tc>
      </w:tr>
      <w:tr w:rsidR="00DC0E0E" w:rsidRPr="007E0AF4" w:rsidTr="00191BD8">
        <w:trPr>
          <w:trHeight w:val="581"/>
        </w:trPr>
        <w:tc>
          <w:tcPr>
            <w:tcW w:w="1448" w:type="dxa"/>
            <w:tcBorders>
              <w:top w:val="nil"/>
              <w:left w:val="nil"/>
              <w:bottom w:val="nil"/>
              <w:right w:val="nil"/>
            </w:tcBorders>
          </w:tcPr>
          <w:p w:rsidR="00DC0E0E" w:rsidRPr="007E0AF4" w:rsidRDefault="00DC0E0E" w:rsidP="00DC0E0E">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C0E0E" w:rsidRPr="007E0AF4" w:rsidRDefault="00DC0E0E" w:rsidP="00DC0E0E">
            <w:pPr>
              <w:autoSpaceDE w:val="0"/>
              <w:autoSpaceDN w:val="0"/>
              <w:adjustRightInd w:val="0"/>
              <w:rPr>
                <w:rFonts w:eastAsia="Calibri"/>
                <w:b/>
                <w:color w:val="000000"/>
                <w:sz w:val="22"/>
              </w:rPr>
            </w:pPr>
            <w:r w:rsidRPr="007E0AF4">
              <w:rPr>
                <w:rFonts w:eastAsia="Calibri"/>
                <w:b/>
                <w:color w:val="000000"/>
                <w:sz w:val="22"/>
              </w:rPr>
              <w:t>Очікувані кількісні результати від реалізації проекту  (індикатори)</w:t>
            </w:r>
          </w:p>
        </w:tc>
        <w:tc>
          <w:tcPr>
            <w:tcW w:w="3685" w:type="dxa"/>
            <w:gridSpan w:val="3"/>
            <w:tcBorders>
              <w:top w:val="single" w:sz="6" w:space="0" w:color="auto"/>
              <w:left w:val="single" w:sz="6" w:space="0" w:color="auto"/>
              <w:bottom w:val="single" w:sz="6" w:space="0" w:color="auto"/>
              <w:right w:val="single" w:sz="6" w:space="0" w:color="auto"/>
            </w:tcBorders>
          </w:tcPr>
          <w:p w:rsidR="00DC0E0E" w:rsidRPr="007E0AF4" w:rsidRDefault="00DC0E0E" w:rsidP="00DC0E0E">
            <w:pPr>
              <w:autoSpaceDE w:val="0"/>
              <w:autoSpaceDN w:val="0"/>
              <w:adjustRightInd w:val="0"/>
              <w:rPr>
                <w:rFonts w:eastAsia="Calibri"/>
                <w:b/>
                <w:color w:val="000000"/>
                <w:sz w:val="22"/>
              </w:rPr>
            </w:pPr>
            <w:r w:rsidRPr="007E0AF4">
              <w:rPr>
                <w:rFonts w:eastAsia="Calibri"/>
                <w:b/>
                <w:color w:val="000000"/>
                <w:sz w:val="22"/>
              </w:rPr>
              <w:t>Найменування показника</w:t>
            </w:r>
          </w:p>
        </w:tc>
        <w:tc>
          <w:tcPr>
            <w:tcW w:w="1701" w:type="dxa"/>
            <w:gridSpan w:val="2"/>
            <w:tcBorders>
              <w:top w:val="single" w:sz="6" w:space="0" w:color="auto"/>
              <w:left w:val="single" w:sz="6" w:space="0" w:color="auto"/>
              <w:bottom w:val="single" w:sz="6" w:space="0" w:color="auto"/>
              <w:right w:val="single" w:sz="6" w:space="0" w:color="auto"/>
            </w:tcBorders>
          </w:tcPr>
          <w:p w:rsidR="00DC0E0E" w:rsidRPr="007E0AF4" w:rsidRDefault="00DC0E0E" w:rsidP="00DC0E0E">
            <w:pPr>
              <w:autoSpaceDE w:val="0"/>
              <w:autoSpaceDN w:val="0"/>
              <w:adjustRightInd w:val="0"/>
              <w:rPr>
                <w:rFonts w:eastAsia="Calibri"/>
                <w:b/>
                <w:color w:val="000000"/>
                <w:sz w:val="22"/>
              </w:rPr>
            </w:pPr>
            <w:r w:rsidRPr="007E0AF4">
              <w:rPr>
                <w:rFonts w:eastAsia="Calibri"/>
                <w:b/>
                <w:color w:val="000000"/>
                <w:sz w:val="22"/>
              </w:rPr>
              <w:t>Одиниця вимірювання</w:t>
            </w:r>
          </w:p>
        </w:tc>
        <w:tc>
          <w:tcPr>
            <w:tcW w:w="1559" w:type="dxa"/>
            <w:gridSpan w:val="2"/>
            <w:tcBorders>
              <w:top w:val="single" w:sz="6" w:space="0" w:color="auto"/>
              <w:left w:val="single" w:sz="6" w:space="0" w:color="auto"/>
              <w:bottom w:val="single" w:sz="6" w:space="0" w:color="auto"/>
              <w:right w:val="single" w:sz="6" w:space="0" w:color="auto"/>
            </w:tcBorders>
          </w:tcPr>
          <w:p w:rsidR="00DC0E0E" w:rsidRPr="007E0AF4" w:rsidRDefault="00DC0E0E" w:rsidP="00DC0E0E">
            <w:pPr>
              <w:autoSpaceDE w:val="0"/>
              <w:autoSpaceDN w:val="0"/>
              <w:adjustRightInd w:val="0"/>
              <w:rPr>
                <w:rFonts w:eastAsia="Calibri"/>
                <w:b/>
                <w:color w:val="000000"/>
                <w:sz w:val="22"/>
              </w:rPr>
            </w:pPr>
            <w:r w:rsidRPr="007E0AF4">
              <w:rPr>
                <w:rFonts w:eastAsia="Calibri"/>
                <w:b/>
                <w:color w:val="000000"/>
                <w:sz w:val="22"/>
              </w:rPr>
              <w:t>Прогнозне (цільове) значення</w:t>
            </w:r>
          </w:p>
        </w:tc>
      </w:tr>
      <w:tr w:rsidR="00DC0E0E" w:rsidRPr="007E0AF4" w:rsidTr="00191BD8">
        <w:trPr>
          <w:trHeight w:val="1206"/>
        </w:trPr>
        <w:tc>
          <w:tcPr>
            <w:tcW w:w="1448" w:type="dxa"/>
            <w:vMerge w:val="restart"/>
            <w:tcBorders>
              <w:top w:val="nil"/>
              <w:left w:val="nil"/>
              <w:right w:val="nil"/>
            </w:tcBorders>
          </w:tcPr>
          <w:p w:rsidR="00DC0E0E" w:rsidRPr="007E0AF4" w:rsidRDefault="00DC0E0E" w:rsidP="00DC0E0E">
            <w:pPr>
              <w:autoSpaceDE w:val="0"/>
              <w:autoSpaceDN w:val="0"/>
              <w:adjustRightInd w:val="0"/>
              <w:jc w:val="right"/>
              <w:rPr>
                <w:rFonts w:eastAsia="Calibri"/>
                <w:color w:val="000000"/>
                <w:sz w:val="22"/>
              </w:rPr>
            </w:pPr>
          </w:p>
        </w:tc>
        <w:tc>
          <w:tcPr>
            <w:tcW w:w="2977" w:type="dxa"/>
            <w:vMerge w:val="restart"/>
            <w:tcBorders>
              <w:top w:val="single" w:sz="6" w:space="0" w:color="auto"/>
              <w:left w:val="single" w:sz="6" w:space="0" w:color="auto"/>
              <w:right w:val="single" w:sz="6" w:space="0" w:color="auto"/>
            </w:tcBorders>
            <w:shd w:val="clear" w:color="00FFFF" w:fill="C6D9F1" w:themeFill="text2" w:themeFillTint="33"/>
          </w:tcPr>
          <w:p w:rsidR="00DC0E0E" w:rsidRPr="007E0AF4" w:rsidRDefault="00DC0E0E" w:rsidP="00DC0E0E">
            <w:pPr>
              <w:autoSpaceDE w:val="0"/>
              <w:autoSpaceDN w:val="0"/>
              <w:adjustRightInd w:val="0"/>
              <w:rPr>
                <w:rFonts w:eastAsia="Calibri"/>
                <w:b/>
                <w:color w:val="000000"/>
                <w:sz w:val="22"/>
              </w:rPr>
            </w:pPr>
          </w:p>
        </w:tc>
        <w:tc>
          <w:tcPr>
            <w:tcW w:w="3685" w:type="dxa"/>
            <w:gridSpan w:val="3"/>
            <w:tcBorders>
              <w:top w:val="single" w:sz="6" w:space="0" w:color="auto"/>
              <w:left w:val="single" w:sz="6" w:space="0" w:color="auto"/>
              <w:bottom w:val="single" w:sz="4" w:space="0" w:color="auto"/>
              <w:right w:val="single" w:sz="6" w:space="0" w:color="auto"/>
            </w:tcBorders>
          </w:tcPr>
          <w:p w:rsidR="00DC0E0E" w:rsidRPr="007E0AF4" w:rsidRDefault="00DC0E0E" w:rsidP="00DC0E0E">
            <w:pPr>
              <w:autoSpaceDE w:val="0"/>
              <w:autoSpaceDN w:val="0"/>
              <w:adjustRightInd w:val="0"/>
              <w:rPr>
                <w:rFonts w:eastAsia="Calibri"/>
                <w:color w:val="000000"/>
                <w:sz w:val="22"/>
              </w:rPr>
            </w:pPr>
            <w:r w:rsidRPr="007E0AF4">
              <w:rPr>
                <w:rFonts w:eastAsia="Calibri"/>
                <w:color w:val="000000"/>
                <w:sz w:val="22"/>
              </w:rPr>
              <w:t>Кількість фізичних осіб, які звернулися за послугами протягом року (здобувачі освіти, працівники ЗО, батьки)</w:t>
            </w:r>
          </w:p>
        </w:tc>
        <w:tc>
          <w:tcPr>
            <w:tcW w:w="1701" w:type="dxa"/>
            <w:gridSpan w:val="2"/>
            <w:tcBorders>
              <w:top w:val="single" w:sz="6" w:space="0" w:color="auto"/>
              <w:left w:val="single" w:sz="6" w:space="0" w:color="auto"/>
              <w:bottom w:val="single" w:sz="4" w:space="0" w:color="auto"/>
              <w:right w:val="single" w:sz="6" w:space="0" w:color="auto"/>
            </w:tcBorders>
          </w:tcPr>
          <w:p w:rsidR="00DC0E0E" w:rsidRPr="007E0AF4" w:rsidRDefault="00DC0E0E" w:rsidP="00DC0E0E">
            <w:pPr>
              <w:autoSpaceDE w:val="0"/>
              <w:autoSpaceDN w:val="0"/>
              <w:adjustRightInd w:val="0"/>
              <w:rPr>
                <w:rFonts w:eastAsia="Calibri"/>
                <w:color w:val="000000"/>
                <w:sz w:val="22"/>
              </w:rPr>
            </w:pPr>
            <w:r w:rsidRPr="007E0AF4">
              <w:rPr>
                <w:rFonts w:eastAsia="Calibri"/>
                <w:color w:val="000000"/>
                <w:sz w:val="22"/>
              </w:rPr>
              <w:t xml:space="preserve"> осіб</w:t>
            </w:r>
          </w:p>
        </w:tc>
        <w:tc>
          <w:tcPr>
            <w:tcW w:w="1559" w:type="dxa"/>
            <w:gridSpan w:val="2"/>
            <w:tcBorders>
              <w:top w:val="single" w:sz="6" w:space="0" w:color="auto"/>
              <w:left w:val="single" w:sz="6" w:space="0" w:color="auto"/>
              <w:bottom w:val="single" w:sz="4" w:space="0" w:color="auto"/>
              <w:right w:val="single" w:sz="6" w:space="0" w:color="auto"/>
            </w:tcBorders>
          </w:tcPr>
          <w:p w:rsidR="00DC0E0E" w:rsidRPr="007E0AF4" w:rsidRDefault="00DC0E0E" w:rsidP="00DC0E0E">
            <w:pPr>
              <w:autoSpaceDE w:val="0"/>
              <w:autoSpaceDN w:val="0"/>
              <w:adjustRightInd w:val="0"/>
              <w:rPr>
                <w:rFonts w:eastAsia="Calibri"/>
                <w:color w:val="000000"/>
                <w:sz w:val="22"/>
              </w:rPr>
            </w:pPr>
            <w:r w:rsidRPr="007E0AF4">
              <w:rPr>
                <w:rFonts w:eastAsia="Calibri"/>
                <w:color w:val="000000"/>
                <w:sz w:val="22"/>
              </w:rPr>
              <w:t>1100</w:t>
            </w:r>
          </w:p>
        </w:tc>
      </w:tr>
      <w:tr w:rsidR="00DC0E0E" w:rsidRPr="007E0AF4" w:rsidTr="00191BD8">
        <w:trPr>
          <w:trHeight w:val="759"/>
        </w:trPr>
        <w:tc>
          <w:tcPr>
            <w:tcW w:w="1448" w:type="dxa"/>
            <w:vMerge/>
            <w:tcBorders>
              <w:left w:val="nil"/>
              <w:right w:val="nil"/>
            </w:tcBorders>
          </w:tcPr>
          <w:p w:rsidR="00DC0E0E" w:rsidRPr="007E0AF4" w:rsidRDefault="00DC0E0E" w:rsidP="00DC0E0E">
            <w:pPr>
              <w:autoSpaceDE w:val="0"/>
              <w:autoSpaceDN w:val="0"/>
              <w:adjustRightInd w:val="0"/>
              <w:jc w:val="right"/>
              <w:rPr>
                <w:rFonts w:eastAsia="Calibri"/>
                <w:color w:val="000000"/>
                <w:sz w:val="22"/>
              </w:rPr>
            </w:pPr>
          </w:p>
        </w:tc>
        <w:tc>
          <w:tcPr>
            <w:tcW w:w="2977" w:type="dxa"/>
            <w:vMerge/>
            <w:tcBorders>
              <w:left w:val="single" w:sz="6" w:space="0" w:color="auto"/>
              <w:right w:val="single" w:sz="6" w:space="0" w:color="auto"/>
            </w:tcBorders>
            <w:shd w:val="clear" w:color="00FFFF" w:fill="C6D9F1" w:themeFill="text2" w:themeFillTint="33"/>
          </w:tcPr>
          <w:p w:rsidR="00DC0E0E" w:rsidRPr="007E0AF4" w:rsidRDefault="00DC0E0E" w:rsidP="00DC0E0E">
            <w:pPr>
              <w:autoSpaceDE w:val="0"/>
              <w:autoSpaceDN w:val="0"/>
              <w:adjustRightInd w:val="0"/>
              <w:rPr>
                <w:rFonts w:eastAsia="Calibri"/>
                <w:b/>
                <w:color w:val="000000"/>
                <w:sz w:val="22"/>
              </w:rPr>
            </w:pPr>
          </w:p>
        </w:tc>
        <w:tc>
          <w:tcPr>
            <w:tcW w:w="3685" w:type="dxa"/>
            <w:gridSpan w:val="3"/>
            <w:tcBorders>
              <w:top w:val="single" w:sz="4" w:space="0" w:color="auto"/>
              <w:left w:val="single" w:sz="6" w:space="0" w:color="auto"/>
              <w:bottom w:val="single" w:sz="4" w:space="0" w:color="auto"/>
              <w:right w:val="single" w:sz="6" w:space="0" w:color="auto"/>
            </w:tcBorders>
          </w:tcPr>
          <w:p w:rsidR="00DC0E0E" w:rsidRPr="007E0AF4" w:rsidRDefault="00DC0E0E" w:rsidP="00DC0E0E">
            <w:pPr>
              <w:autoSpaceDE w:val="0"/>
              <w:autoSpaceDN w:val="0"/>
              <w:adjustRightInd w:val="0"/>
              <w:rPr>
                <w:rFonts w:eastAsia="Calibri"/>
                <w:color w:val="000000"/>
                <w:sz w:val="22"/>
              </w:rPr>
            </w:pPr>
            <w:r w:rsidRPr="007E0AF4">
              <w:rPr>
                <w:rFonts w:eastAsia="Calibri"/>
                <w:color w:val="000000"/>
                <w:sz w:val="22"/>
              </w:rPr>
              <w:t>Кількість видів та типів послуг</w:t>
            </w:r>
            <w:r w:rsidR="00C70941" w:rsidRPr="007E0AF4">
              <w:rPr>
                <w:rFonts w:eastAsia="Calibri"/>
                <w:color w:val="000000"/>
                <w:sz w:val="22"/>
              </w:rPr>
              <w:t>,</w:t>
            </w:r>
            <w:r w:rsidRPr="007E0AF4">
              <w:rPr>
                <w:rFonts w:eastAsia="Calibri"/>
                <w:color w:val="000000"/>
                <w:sz w:val="22"/>
              </w:rPr>
              <w:t xml:space="preserve"> наданих протягом одного робочого дня</w:t>
            </w:r>
          </w:p>
          <w:p w:rsidR="00DC0E0E" w:rsidRPr="007E0AF4" w:rsidRDefault="00DC0E0E" w:rsidP="00DC0E0E">
            <w:pPr>
              <w:autoSpaceDE w:val="0"/>
              <w:autoSpaceDN w:val="0"/>
              <w:adjustRightInd w:val="0"/>
              <w:rPr>
                <w:rFonts w:eastAsia="Calibri"/>
                <w:color w:val="000000"/>
                <w:sz w:val="22"/>
              </w:rPr>
            </w:pPr>
            <w:r w:rsidRPr="007E0AF4">
              <w:rPr>
                <w:rFonts w:eastAsia="Calibri"/>
                <w:color w:val="000000"/>
                <w:sz w:val="22"/>
              </w:rPr>
              <w:t xml:space="preserve"> </w:t>
            </w:r>
          </w:p>
        </w:tc>
        <w:tc>
          <w:tcPr>
            <w:tcW w:w="1701" w:type="dxa"/>
            <w:gridSpan w:val="2"/>
            <w:tcBorders>
              <w:top w:val="single" w:sz="4" w:space="0" w:color="auto"/>
              <w:left w:val="single" w:sz="6" w:space="0" w:color="auto"/>
              <w:bottom w:val="single" w:sz="4" w:space="0" w:color="auto"/>
              <w:right w:val="single" w:sz="6" w:space="0" w:color="auto"/>
            </w:tcBorders>
          </w:tcPr>
          <w:p w:rsidR="00DC0E0E" w:rsidRPr="007E0AF4" w:rsidRDefault="00DC0E0E" w:rsidP="00DC0E0E">
            <w:pPr>
              <w:autoSpaceDE w:val="0"/>
              <w:autoSpaceDN w:val="0"/>
              <w:adjustRightInd w:val="0"/>
              <w:rPr>
                <w:rFonts w:eastAsia="Calibri"/>
                <w:color w:val="000000"/>
                <w:sz w:val="22"/>
              </w:rPr>
            </w:pPr>
            <w:r w:rsidRPr="007E0AF4">
              <w:rPr>
                <w:rFonts w:eastAsia="Calibri"/>
                <w:color w:val="000000"/>
                <w:sz w:val="22"/>
              </w:rPr>
              <w:t>одиниць</w:t>
            </w:r>
          </w:p>
        </w:tc>
        <w:tc>
          <w:tcPr>
            <w:tcW w:w="1559" w:type="dxa"/>
            <w:gridSpan w:val="2"/>
            <w:tcBorders>
              <w:top w:val="single" w:sz="4" w:space="0" w:color="auto"/>
              <w:left w:val="single" w:sz="6" w:space="0" w:color="auto"/>
              <w:bottom w:val="single" w:sz="4" w:space="0" w:color="auto"/>
              <w:right w:val="single" w:sz="6" w:space="0" w:color="auto"/>
            </w:tcBorders>
          </w:tcPr>
          <w:p w:rsidR="00DC0E0E" w:rsidRPr="007E0AF4" w:rsidRDefault="00DC0E0E" w:rsidP="00DC0E0E">
            <w:pPr>
              <w:autoSpaceDE w:val="0"/>
              <w:autoSpaceDN w:val="0"/>
              <w:adjustRightInd w:val="0"/>
              <w:rPr>
                <w:rFonts w:eastAsia="Calibri"/>
                <w:color w:val="000000"/>
                <w:sz w:val="22"/>
              </w:rPr>
            </w:pPr>
            <w:r w:rsidRPr="007E0AF4">
              <w:rPr>
                <w:rFonts w:eastAsia="Calibri"/>
                <w:color w:val="000000"/>
                <w:sz w:val="22"/>
              </w:rPr>
              <w:t>7</w:t>
            </w:r>
          </w:p>
        </w:tc>
      </w:tr>
      <w:tr w:rsidR="00DC0E0E" w:rsidRPr="007E0AF4" w:rsidTr="00191BD8">
        <w:trPr>
          <w:trHeight w:val="436"/>
        </w:trPr>
        <w:tc>
          <w:tcPr>
            <w:tcW w:w="1448" w:type="dxa"/>
            <w:vMerge/>
            <w:tcBorders>
              <w:left w:val="nil"/>
              <w:right w:val="nil"/>
            </w:tcBorders>
          </w:tcPr>
          <w:p w:rsidR="00DC0E0E" w:rsidRPr="007E0AF4" w:rsidRDefault="00DC0E0E" w:rsidP="00DC0E0E">
            <w:pPr>
              <w:autoSpaceDE w:val="0"/>
              <w:autoSpaceDN w:val="0"/>
              <w:adjustRightInd w:val="0"/>
              <w:jc w:val="right"/>
              <w:rPr>
                <w:rFonts w:eastAsia="Calibri"/>
                <w:color w:val="000000"/>
                <w:sz w:val="22"/>
              </w:rPr>
            </w:pPr>
          </w:p>
        </w:tc>
        <w:tc>
          <w:tcPr>
            <w:tcW w:w="2977" w:type="dxa"/>
            <w:vMerge/>
            <w:tcBorders>
              <w:left w:val="single" w:sz="6" w:space="0" w:color="auto"/>
              <w:right w:val="single" w:sz="6" w:space="0" w:color="auto"/>
            </w:tcBorders>
            <w:shd w:val="clear" w:color="00FFFF" w:fill="C6D9F1" w:themeFill="text2" w:themeFillTint="33"/>
          </w:tcPr>
          <w:p w:rsidR="00DC0E0E" w:rsidRPr="007E0AF4" w:rsidRDefault="00DC0E0E" w:rsidP="00DC0E0E">
            <w:pPr>
              <w:autoSpaceDE w:val="0"/>
              <w:autoSpaceDN w:val="0"/>
              <w:adjustRightInd w:val="0"/>
              <w:rPr>
                <w:rFonts w:eastAsia="Calibri"/>
                <w:b/>
                <w:color w:val="000000"/>
                <w:sz w:val="22"/>
              </w:rPr>
            </w:pPr>
          </w:p>
        </w:tc>
        <w:tc>
          <w:tcPr>
            <w:tcW w:w="3685" w:type="dxa"/>
            <w:gridSpan w:val="3"/>
            <w:tcBorders>
              <w:top w:val="single" w:sz="4" w:space="0" w:color="auto"/>
              <w:left w:val="single" w:sz="6" w:space="0" w:color="auto"/>
              <w:bottom w:val="single" w:sz="4" w:space="0" w:color="auto"/>
              <w:right w:val="single" w:sz="6" w:space="0" w:color="auto"/>
            </w:tcBorders>
          </w:tcPr>
          <w:p w:rsidR="00DC0E0E" w:rsidRPr="007E0AF4" w:rsidRDefault="00DC0E0E" w:rsidP="00DC0E0E">
            <w:pPr>
              <w:autoSpaceDE w:val="0"/>
              <w:autoSpaceDN w:val="0"/>
              <w:adjustRightInd w:val="0"/>
              <w:rPr>
                <w:rFonts w:eastAsia="Calibri"/>
                <w:color w:val="000000"/>
                <w:sz w:val="22"/>
              </w:rPr>
            </w:pPr>
            <w:r w:rsidRPr="007E0AF4">
              <w:rPr>
                <w:rFonts w:eastAsia="Calibri"/>
                <w:color w:val="000000"/>
                <w:sz w:val="22"/>
              </w:rPr>
              <w:t>Термін надання послуги</w:t>
            </w:r>
          </w:p>
        </w:tc>
        <w:tc>
          <w:tcPr>
            <w:tcW w:w="1701" w:type="dxa"/>
            <w:gridSpan w:val="2"/>
            <w:tcBorders>
              <w:top w:val="single" w:sz="4" w:space="0" w:color="auto"/>
              <w:left w:val="single" w:sz="6" w:space="0" w:color="auto"/>
              <w:bottom w:val="single" w:sz="4" w:space="0" w:color="auto"/>
              <w:right w:val="single" w:sz="6" w:space="0" w:color="auto"/>
            </w:tcBorders>
          </w:tcPr>
          <w:p w:rsidR="00DC0E0E" w:rsidRPr="007E0AF4" w:rsidRDefault="00DC0E0E" w:rsidP="00DC0E0E">
            <w:pPr>
              <w:autoSpaceDE w:val="0"/>
              <w:autoSpaceDN w:val="0"/>
              <w:adjustRightInd w:val="0"/>
              <w:rPr>
                <w:rFonts w:eastAsia="Calibri"/>
                <w:color w:val="000000"/>
                <w:sz w:val="22"/>
              </w:rPr>
            </w:pPr>
            <w:r w:rsidRPr="007E0AF4">
              <w:rPr>
                <w:rFonts w:eastAsia="Calibri"/>
                <w:color w:val="000000"/>
                <w:sz w:val="22"/>
              </w:rPr>
              <w:t>день</w:t>
            </w:r>
          </w:p>
        </w:tc>
        <w:tc>
          <w:tcPr>
            <w:tcW w:w="1559" w:type="dxa"/>
            <w:gridSpan w:val="2"/>
            <w:tcBorders>
              <w:top w:val="single" w:sz="4" w:space="0" w:color="auto"/>
              <w:left w:val="single" w:sz="6" w:space="0" w:color="auto"/>
              <w:bottom w:val="single" w:sz="4" w:space="0" w:color="auto"/>
              <w:right w:val="single" w:sz="6" w:space="0" w:color="auto"/>
            </w:tcBorders>
          </w:tcPr>
          <w:p w:rsidR="00DC0E0E" w:rsidRPr="007E0AF4" w:rsidRDefault="00DC0E0E" w:rsidP="00DC0E0E">
            <w:pPr>
              <w:autoSpaceDE w:val="0"/>
              <w:autoSpaceDN w:val="0"/>
              <w:adjustRightInd w:val="0"/>
              <w:rPr>
                <w:rFonts w:eastAsia="Calibri"/>
                <w:color w:val="000000"/>
                <w:sz w:val="22"/>
              </w:rPr>
            </w:pPr>
            <w:r w:rsidRPr="007E0AF4">
              <w:rPr>
                <w:rFonts w:eastAsia="Calibri"/>
                <w:color w:val="000000"/>
                <w:sz w:val="22"/>
              </w:rPr>
              <w:t>144 - 210</w:t>
            </w:r>
          </w:p>
        </w:tc>
      </w:tr>
      <w:tr w:rsidR="00DC0E0E" w:rsidRPr="007E0AF4" w:rsidTr="00191BD8">
        <w:trPr>
          <w:trHeight w:val="586"/>
        </w:trPr>
        <w:tc>
          <w:tcPr>
            <w:tcW w:w="1448" w:type="dxa"/>
            <w:vMerge/>
            <w:tcBorders>
              <w:left w:val="nil"/>
              <w:bottom w:val="nil"/>
              <w:right w:val="nil"/>
            </w:tcBorders>
          </w:tcPr>
          <w:p w:rsidR="00DC0E0E" w:rsidRPr="007E0AF4" w:rsidRDefault="00DC0E0E" w:rsidP="00DC0E0E">
            <w:pPr>
              <w:autoSpaceDE w:val="0"/>
              <w:autoSpaceDN w:val="0"/>
              <w:adjustRightInd w:val="0"/>
              <w:jc w:val="right"/>
              <w:rPr>
                <w:rFonts w:eastAsia="Calibri"/>
                <w:color w:val="000000"/>
                <w:sz w:val="22"/>
              </w:rPr>
            </w:pPr>
          </w:p>
        </w:tc>
        <w:tc>
          <w:tcPr>
            <w:tcW w:w="2977" w:type="dxa"/>
            <w:vMerge/>
            <w:tcBorders>
              <w:left w:val="single" w:sz="6" w:space="0" w:color="auto"/>
              <w:bottom w:val="single" w:sz="6" w:space="0" w:color="auto"/>
              <w:right w:val="single" w:sz="6" w:space="0" w:color="auto"/>
            </w:tcBorders>
            <w:shd w:val="clear" w:color="00FFFF" w:fill="C6D9F1" w:themeFill="text2" w:themeFillTint="33"/>
          </w:tcPr>
          <w:p w:rsidR="00DC0E0E" w:rsidRPr="007E0AF4" w:rsidRDefault="00DC0E0E" w:rsidP="00DC0E0E">
            <w:pPr>
              <w:autoSpaceDE w:val="0"/>
              <w:autoSpaceDN w:val="0"/>
              <w:adjustRightInd w:val="0"/>
              <w:rPr>
                <w:rFonts w:eastAsia="Calibri"/>
                <w:b/>
                <w:color w:val="000000"/>
                <w:sz w:val="22"/>
              </w:rPr>
            </w:pPr>
          </w:p>
        </w:tc>
        <w:tc>
          <w:tcPr>
            <w:tcW w:w="3685" w:type="dxa"/>
            <w:gridSpan w:val="3"/>
            <w:tcBorders>
              <w:top w:val="single" w:sz="4" w:space="0" w:color="auto"/>
              <w:left w:val="single" w:sz="6" w:space="0" w:color="auto"/>
              <w:bottom w:val="single" w:sz="6" w:space="0" w:color="auto"/>
              <w:right w:val="single" w:sz="6" w:space="0" w:color="auto"/>
            </w:tcBorders>
          </w:tcPr>
          <w:p w:rsidR="00DC0E0E" w:rsidRPr="007E0AF4" w:rsidRDefault="00DC0E0E" w:rsidP="00C70941">
            <w:pPr>
              <w:autoSpaceDE w:val="0"/>
              <w:autoSpaceDN w:val="0"/>
              <w:adjustRightInd w:val="0"/>
              <w:rPr>
                <w:rFonts w:eastAsia="Calibri"/>
                <w:color w:val="000000"/>
                <w:sz w:val="22"/>
              </w:rPr>
            </w:pPr>
            <w:r w:rsidRPr="007E0AF4">
              <w:rPr>
                <w:rFonts w:eastAsia="Calibri"/>
                <w:color w:val="000000"/>
                <w:sz w:val="22"/>
              </w:rPr>
              <w:t>Кількість населених пунктів, як</w:t>
            </w:r>
            <w:r w:rsidR="00C70941" w:rsidRPr="007E0AF4">
              <w:rPr>
                <w:rFonts w:eastAsia="Calibri"/>
                <w:color w:val="000000"/>
                <w:sz w:val="22"/>
              </w:rPr>
              <w:t>і</w:t>
            </w:r>
            <w:r w:rsidRPr="007E0AF4">
              <w:rPr>
                <w:rFonts w:eastAsia="Calibri"/>
                <w:color w:val="000000"/>
                <w:sz w:val="22"/>
              </w:rPr>
              <w:t xml:space="preserve"> обслуговує </w:t>
            </w:r>
            <w:r w:rsidR="00C70941" w:rsidRPr="007E0AF4">
              <w:rPr>
                <w:sz w:val="22"/>
              </w:rPr>
              <w:t xml:space="preserve"> заклад</w:t>
            </w:r>
          </w:p>
        </w:tc>
        <w:tc>
          <w:tcPr>
            <w:tcW w:w="1701" w:type="dxa"/>
            <w:gridSpan w:val="2"/>
            <w:tcBorders>
              <w:top w:val="single" w:sz="4" w:space="0" w:color="auto"/>
              <w:left w:val="single" w:sz="6" w:space="0" w:color="auto"/>
              <w:bottom w:val="single" w:sz="6" w:space="0" w:color="auto"/>
              <w:right w:val="single" w:sz="6" w:space="0" w:color="auto"/>
            </w:tcBorders>
          </w:tcPr>
          <w:p w:rsidR="00DC0E0E" w:rsidRPr="007E0AF4" w:rsidRDefault="00DC0E0E" w:rsidP="00DC0E0E">
            <w:pPr>
              <w:autoSpaceDE w:val="0"/>
              <w:autoSpaceDN w:val="0"/>
              <w:adjustRightInd w:val="0"/>
              <w:rPr>
                <w:rFonts w:eastAsia="Calibri"/>
                <w:color w:val="000000"/>
                <w:sz w:val="22"/>
              </w:rPr>
            </w:pPr>
            <w:r w:rsidRPr="007E0AF4">
              <w:rPr>
                <w:rFonts w:eastAsia="Calibri"/>
                <w:color w:val="000000"/>
                <w:sz w:val="22"/>
              </w:rPr>
              <w:t>одиниць</w:t>
            </w:r>
          </w:p>
        </w:tc>
        <w:tc>
          <w:tcPr>
            <w:tcW w:w="1559" w:type="dxa"/>
            <w:gridSpan w:val="2"/>
            <w:tcBorders>
              <w:top w:val="single" w:sz="4" w:space="0" w:color="auto"/>
              <w:left w:val="single" w:sz="6" w:space="0" w:color="auto"/>
              <w:bottom w:val="single" w:sz="6" w:space="0" w:color="auto"/>
              <w:right w:val="single" w:sz="6" w:space="0" w:color="auto"/>
            </w:tcBorders>
          </w:tcPr>
          <w:p w:rsidR="00DC0E0E" w:rsidRPr="007E0AF4" w:rsidRDefault="00DC0E0E" w:rsidP="00DC0E0E">
            <w:pPr>
              <w:autoSpaceDE w:val="0"/>
              <w:autoSpaceDN w:val="0"/>
              <w:adjustRightInd w:val="0"/>
              <w:rPr>
                <w:rFonts w:eastAsia="Calibri"/>
                <w:color w:val="000000"/>
                <w:sz w:val="22"/>
              </w:rPr>
            </w:pPr>
            <w:r w:rsidRPr="007E0AF4">
              <w:rPr>
                <w:rFonts w:eastAsia="Calibri"/>
                <w:color w:val="000000"/>
                <w:sz w:val="22"/>
              </w:rPr>
              <w:t>1</w:t>
            </w:r>
          </w:p>
        </w:tc>
      </w:tr>
      <w:tr w:rsidR="00DC0E0E" w:rsidRPr="007E0AF4" w:rsidTr="00DC0E0E">
        <w:trPr>
          <w:trHeight w:val="1684"/>
        </w:trPr>
        <w:tc>
          <w:tcPr>
            <w:tcW w:w="1448" w:type="dxa"/>
            <w:tcBorders>
              <w:top w:val="nil"/>
              <w:left w:val="nil"/>
              <w:bottom w:val="nil"/>
              <w:right w:val="nil"/>
            </w:tcBorders>
          </w:tcPr>
          <w:p w:rsidR="00DC0E0E" w:rsidRPr="007E0AF4" w:rsidRDefault="00DC0E0E" w:rsidP="00DC0E0E">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C0E0E" w:rsidRPr="007E0AF4" w:rsidRDefault="00DC0E0E" w:rsidP="00DC0E0E">
            <w:pPr>
              <w:autoSpaceDE w:val="0"/>
              <w:autoSpaceDN w:val="0"/>
              <w:adjustRightInd w:val="0"/>
              <w:rPr>
                <w:rFonts w:eastAsia="Calibri"/>
                <w:b/>
                <w:color w:val="000000"/>
                <w:sz w:val="22"/>
              </w:rPr>
            </w:pPr>
            <w:r w:rsidRPr="007E0AF4">
              <w:rPr>
                <w:rFonts w:eastAsia="Calibri"/>
                <w:b/>
                <w:color w:val="000000"/>
                <w:sz w:val="22"/>
              </w:rPr>
              <w:t>Ключові заходи проекту:</w:t>
            </w:r>
          </w:p>
        </w:tc>
        <w:tc>
          <w:tcPr>
            <w:tcW w:w="6945" w:type="dxa"/>
            <w:gridSpan w:val="7"/>
            <w:tcBorders>
              <w:top w:val="single" w:sz="6" w:space="0" w:color="auto"/>
              <w:left w:val="single" w:sz="6" w:space="0" w:color="auto"/>
              <w:bottom w:val="single" w:sz="6" w:space="0" w:color="auto"/>
              <w:right w:val="single" w:sz="6" w:space="0" w:color="auto"/>
            </w:tcBorders>
          </w:tcPr>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збирання даних про стан закладу освіти;</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проведення інвентаризації основних засобів;</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прийняття плану про розроблення плану відновлення;</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 xml:space="preserve">виготовлення </w:t>
            </w:r>
            <w:proofErr w:type="spellStart"/>
            <w:r w:rsidRPr="007E0AF4">
              <w:rPr>
                <w:rFonts w:eastAsia="Calibri"/>
                <w:color w:val="000000"/>
                <w:sz w:val="22"/>
              </w:rPr>
              <w:t>проєктно</w:t>
            </w:r>
            <w:proofErr w:type="spellEnd"/>
            <w:r w:rsidRPr="007E0AF4">
              <w:rPr>
                <w:rFonts w:eastAsia="Calibri"/>
                <w:color w:val="000000"/>
                <w:sz w:val="22"/>
              </w:rPr>
              <w:t>-кошторисної документації;</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оприлюднення рішення про початок розроблення плану по відновленню НВК;</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затвердження плану;</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оприлюднення плану відновлення Борівського НВК на сайті освітнього закладу;</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 xml:space="preserve">проведення тендерних </w:t>
            </w:r>
            <w:proofErr w:type="spellStart"/>
            <w:r w:rsidRPr="007E0AF4">
              <w:rPr>
                <w:rFonts w:eastAsia="Calibri"/>
                <w:color w:val="000000"/>
                <w:sz w:val="22"/>
              </w:rPr>
              <w:t>закупівель</w:t>
            </w:r>
            <w:proofErr w:type="spellEnd"/>
            <w:r w:rsidRPr="007E0AF4">
              <w:rPr>
                <w:rFonts w:eastAsia="Calibri"/>
                <w:color w:val="000000"/>
                <w:sz w:val="22"/>
              </w:rPr>
              <w:t>;</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проведення ремонтних робіт;</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придбання технічного забезпечення закладу освіти;</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придбання технологічного забезпечення;</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нові робочі місця;</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визначення кількості осіб, які потребують отримання освітніх послуг;</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організація та початок робочого процесу.</w:t>
            </w:r>
          </w:p>
        </w:tc>
      </w:tr>
      <w:tr w:rsidR="00DC0E0E" w:rsidRPr="007E0AF4" w:rsidTr="00DC0E0E">
        <w:trPr>
          <w:trHeight w:val="600"/>
        </w:trPr>
        <w:tc>
          <w:tcPr>
            <w:tcW w:w="1448" w:type="dxa"/>
            <w:vMerge w:val="restart"/>
            <w:tcBorders>
              <w:top w:val="nil"/>
              <w:left w:val="nil"/>
              <w:right w:val="nil"/>
            </w:tcBorders>
          </w:tcPr>
          <w:p w:rsidR="00DC0E0E" w:rsidRPr="007E0AF4" w:rsidRDefault="00DC0E0E" w:rsidP="00DC0E0E">
            <w:pPr>
              <w:autoSpaceDE w:val="0"/>
              <w:autoSpaceDN w:val="0"/>
              <w:adjustRightInd w:val="0"/>
              <w:jc w:val="right"/>
              <w:rPr>
                <w:rFonts w:eastAsia="Calibri"/>
                <w:color w:val="000000"/>
                <w:sz w:val="22"/>
              </w:rPr>
            </w:pPr>
          </w:p>
        </w:tc>
        <w:tc>
          <w:tcPr>
            <w:tcW w:w="2977" w:type="dxa"/>
            <w:vMerge w:val="restart"/>
            <w:tcBorders>
              <w:top w:val="single" w:sz="6" w:space="0" w:color="auto"/>
              <w:left w:val="single" w:sz="6" w:space="0" w:color="auto"/>
              <w:right w:val="single" w:sz="4" w:space="0" w:color="auto"/>
            </w:tcBorders>
            <w:shd w:val="clear" w:color="00FFFF" w:fill="C6D9F1" w:themeFill="text2" w:themeFillTint="33"/>
          </w:tcPr>
          <w:p w:rsidR="00DC0E0E" w:rsidRPr="007E0AF4" w:rsidRDefault="00DC0E0E" w:rsidP="00DC0E0E">
            <w:pPr>
              <w:autoSpaceDE w:val="0"/>
              <w:autoSpaceDN w:val="0"/>
              <w:adjustRightInd w:val="0"/>
              <w:rPr>
                <w:rFonts w:eastAsia="Calibri"/>
                <w:b/>
                <w:color w:val="000000"/>
                <w:sz w:val="22"/>
              </w:rPr>
            </w:pPr>
            <w:r w:rsidRPr="007E0AF4">
              <w:rPr>
                <w:rFonts w:eastAsia="Calibri"/>
                <w:b/>
                <w:color w:val="000000"/>
                <w:sz w:val="22"/>
              </w:rPr>
              <w:t>Орієнтовний обсяг та джерела фінансування тис. гривень</w:t>
            </w:r>
          </w:p>
        </w:tc>
        <w:tc>
          <w:tcPr>
            <w:tcW w:w="1417" w:type="dxa"/>
            <w:vMerge w:val="restart"/>
            <w:tcBorders>
              <w:top w:val="single" w:sz="4" w:space="0" w:color="auto"/>
              <w:left w:val="single" w:sz="4" w:space="0" w:color="auto"/>
              <w:bottom w:val="single" w:sz="4" w:space="0" w:color="auto"/>
              <w:right w:val="single" w:sz="4" w:space="0" w:color="auto"/>
            </w:tcBorders>
          </w:tcPr>
          <w:p w:rsidR="00DC0E0E" w:rsidRPr="007E0AF4" w:rsidRDefault="00DC0E0E" w:rsidP="00DC0E0E">
            <w:pPr>
              <w:autoSpaceDE w:val="0"/>
              <w:autoSpaceDN w:val="0"/>
              <w:adjustRightInd w:val="0"/>
              <w:rPr>
                <w:rFonts w:eastAsia="Calibri"/>
                <w:b/>
                <w:color w:val="000000"/>
                <w:sz w:val="22"/>
              </w:rPr>
            </w:pPr>
            <w:r w:rsidRPr="007E0AF4">
              <w:rPr>
                <w:rFonts w:eastAsia="Calibri"/>
                <w:b/>
                <w:color w:val="000000"/>
                <w:sz w:val="22"/>
              </w:rPr>
              <w:t>Державний бюджет</w:t>
            </w:r>
          </w:p>
        </w:tc>
        <w:tc>
          <w:tcPr>
            <w:tcW w:w="1276" w:type="dxa"/>
            <w:vMerge w:val="restart"/>
            <w:tcBorders>
              <w:top w:val="single" w:sz="4" w:space="0" w:color="auto"/>
              <w:left w:val="single" w:sz="4" w:space="0" w:color="auto"/>
              <w:right w:val="single" w:sz="4" w:space="0" w:color="auto"/>
            </w:tcBorders>
          </w:tcPr>
          <w:p w:rsidR="00DC0E0E" w:rsidRPr="007E0AF4" w:rsidRDefault="00DC0E0E" w:rsidP="00DC0E0E">
            <w:pPr>
              <w:autoSpaceDE w:val="0"/>
              <w:autoSpaceDN w:val="0"/>
              <w:adjustRightInd w:val="0"/>
              <w:rPr>
                <w:rFonts w:eastAsia="Calibri"/>
                <w:b/>
                <w:color w:val="000000"/>
                <w:sz w:val="22"/>
              </w:rPr>
            </w:pPr>
            <w:r w:rsidRPr="007E0AF4">
              <w:rPr>
                <w:rFonts w:eastAsia="Calibri"/>
                <w:b/>
                <w:color w:val="000000"/>
                <w:sz w:val="22"/>
              </w:rPr>
              <w:t>Місцевий бюджет</w:t>
            </w:r>
          </w:p>
          <w:p w:rsidR="00DC0E0E" w:rsidRPr="007E0AF4" w:rsidRDefault="00DC0E0E" w:rsidP="00436806">
            <w:pPr>
              <w:autoSpaceDE w:val="0"/>
              <w:autoSpaceDN w:val="0"/>
              <w:adjustRightInd w:val="0"/>
              <w:rPr>
                <w:rFonts w:eastAsia="Calibri"/>
                <w:b/>
                <w:color w:val="000000"/>
                <w:sz w:val="22"/>
              </w:rPr>
            </w:pPr>
            <w:r w:rsidRPr="007E0AF4">
              <w:rPr>
                <w:rFonts w:eastAsia="Calibri"/>
                <w:color w:val="000000"/>
                <w:sz w:val="22"/>
              </w:rPr>
              <w:t xml:space="preserve">            </w:t>
            </w:r>
          </w:p>
        </w:tc>
        <w:tc>
          <w:tcPr>
            <w:tcW w:w="2977" w:type="dxa"/>
            <w:gridSpan w:val="4"/>
            <w:tcBorders>
              <w:top w:val="single" w:sz="4" w:space="0" w:color="auto"/>
              <w:left w:val="single" w:sz="4" w:space="0" w:color="auto"/>
              <w:bottom w:val="single" w:sz="4" w:space="0" w:color="auto"/>
              <w:right w:val="single" w:sz="4" w:space="0" w:color="auto"/>
            </w:tcBorders>
          </w:tcPr>
          <w:p w:rsidR="00DC0E0E" w:rsidRPr="007E0AF4" w:rsidRDefault="00DC0E0E" w:rsidP="00DC0E0E">
            <w:pPr>
              <w:autoSpaceDE w:val="0"/>
              <w:autoSpaceDN w:val="0"/>
              <w:adjustRightInd w:val="0"/>
              <w:rPr>
                <w:rFonts w:eastAsia="Calibri"/>
                <w:b/>
                <w:color w:val="000000"/>
                <w:sz w:val="22"/>
              </w:rPr>
            </w:pPr>
            <w:r w:rsidRPr="007E0AF4">
              <w:rPr>
                <w:rFonts w:eastAsia="Calibri"/>
                <w:b/>
                <w:color w:val="000000"/>
                <w:sz w:val="22"/>
              </w:rPr>
              <w:t>Інші джерела</w:t>
            </w:r>
          </w:p>
        </w:tc>
        <w:tc>
          <w:tcPr>
            <w:tcW w:w="1275" w:type="dxa"/>
            <w:vMerge w:val="restart"/>
            <w:tcBorders>
              <w:top w:val="single" w:sz="4" w:space="0" w:color="auto"/>
              <w:left w:val="single" w:sz="4" w:space="0" w:color="auto"/>
              <w:right w:val="single" w:sz="4" w:space="0" w:color="auto"/>
            </w:tcBorders>
          </w:tcPr>
          <w:p w:rsidR="00DC0E0E" w:rsidRPr="007E0AF4" w:rsidRDefault="00DC0E0E" w:rsidP="00DC0E0E">
            <w:pPr>
              <w:autoSpaceDE w:val="0"/>
              <w:autoSpaceDN w:val="0"/>
              <w:adjustRightInd w:val="0"/>
              <w:rPr>
                <w:rFonts w:eastAsia="Calibri"/>
                <w:b/>
                <w:color w:val="000000"/>
                <w:sz w:val="22"/>
              </w:rPr>
            </w:pPr>
            <w:r w:rsidRPr="007E0AF4">
              <w:rPr>
                <w:rFonts w:eastAsia="Calibri"/>
                <w:b/>
                <w:color w:val="000000"/>
                <w:sz w:val="22"/>
              </w:rPr>
              <w:t>Всього</w:t>
            </w:r>
          </w:p>
        </w:tc>
      </w:tr>
      <w:tr w:rsidR="00DC0E0E" w:rsidRPr="007E0AF4" w:rsidTr="00DC0E0E">
        <w:trPr>
          <w:trHeight w:val="65"/>
        </w:trPr>
        <w:tc>
          <w:tcPr>
            <w:tcW w:w="1448" w:type="dxa"/>
            <w:vMerge/>
            <w:tcBorders>
              <w:left w:val="nil"/>
              <w:right w:val="nil"/>
            </w:tcBorders>
          </w:tcPr>
          <w:p w:rsidR="00DC0E0E" w:rsidRPr="007E0AF4" w:rsidRDefault="00DC0E0E" w:rsidP="00DC0E0E">
            <w:pPr>
              <w:autoSpaceDE w:val="0"/>
              <w:autoSpaceDN w:val="0"/>
              <w:adjustRightInd w:val="0"/>
              <w:jc w:val="right"/>
              <w:rPr>
                <w:rFonts w:eastAsia="Calibri"/>
                <w:color w:val="000000"/>
                <w:sz w:val="22"/>
              </w:rPr>
            </w:pPr>
          </w:p>
        </w:tc>
        <w:tc>
          <w:tcPr>
            <w:tcW w:w="2977" w:type="dxa"/>
            <w:vMerge/>
            <w:tcBorders>
              <w:left w:val="single" w:sz="6" w:space="0" w:color="auto"/>
              <w:right w:val="single" w:sz="4" w:space="0" w:color="auto"/>
            </w:tcBorders>
            <w:shd w:val="clear" w:color="00FFFF" w:fill="C6D9F1" w:themeFill="text2" w:themeFillTint="33"/>
          </w:tcPr>
          <w:p w:rsidR="00DC0E0E" w:rsidRPr="007E0AF4" w:rsidRDefault="00DC0E0E" w:rsidP="00DC0E0E">
            <w:pPr>
              <w:autoSpaceDE w:val="0"/>
              <w:autoSpaceDN w:val="0"/>
              <w:adjustRightInd w:val="0"/>
              <w:rPr>
                <w:rFonts w:eastAsia="Calibri"/>
                <w:b/>
                <w:color w:val="000000"/>
                <w:sz w:val="22"/>
              </w:rPr>
            </w:pPr>
          </w:p>
        </w:tc>
        <w:tc>
          <w:tcPr>
            <w:tcW w:w="1417" w:type="dxa"/>
            <w:vMerge/>
            <w:tcBorders>
              <w:top w:val="single" w:sz="4" w:space="0" w:color="auto"/>
              <w:left w:val="single" w:sz="4" w:space="0" w:color="auto"/>
              <w:bottom w:val="single" w:sz="4" w:space="0" w:color="auto"/>
              <w:right w:val="single" w:sz="4" w:space="0" w:color="auto"/>
            </w:tcBorders>
          </w:tcPr>
          <w:p w:rsidR="00DC0E0E" w:rsidRPr="007E0AF4" w:rsidRDefault="00DC0E0E" w:rsidP="00DC0E0E">
            <w:pPr>
              <w:autoSpaceDE w:val="0"/>
              <w:autoSpaceDN w:val="0"/>
              <w:adjustRightInd w:val="0"/>
              <w:rPr>
                <w:rFonts w:eastAsia="Calibri"/>
                <w:color w:val="000000"/>
                <w:sz w:val="22"/>
              </w:rPr>
            </w:pPr>
          </w:p>
        </w:tc>
        <w:tc>
          <w:tcPr>
            <w:tcW w:w="1276" w:type="dxa"/>
            <w:vMerge/>
            <w:tcBorders>
              <w:left w:val="single" w:sz="4" w:space="0" w:color="auto"/>
              <w:bottom w:val="single" w:sz="4" w:space="0" w:color="auto"/>
              <w:right w:val="single" w:sz="4" w:space="0" w:color="auto"/>
            </w:tcBorders>
          </w:tcPr>
          <w:p w:rsidR="00DC0E0E" w:rsidRPr="007E0AF4" w:rsidRDefault="00DC0E0E" w:rsidP="00DC0E0E">
            <w:pPr>
              <w:autoSpaceDE w:val="0"/>
              <w:autoSpaceDN w:val="0"/>
              <w:adjustRightInd w:val="0"/>
              <w:rPr>
                <w:rFonts w:eastAsia="Calibri"/>
                <w:color w:val="000000"/>
                <w:sz w:val="22"/>
              </w:rPr>
            </w:pPr>
          </w:p>
        </w:tc>
        <w:tc>
          <w:tcPr>
            <w:tcW w:w="1276" w:type="dxa"/>
            <w:gridSpan w:val="2"/>
            <w:tcBorders>
              <w:top w:val="single" w:sz="4" w:space="0" w:color="auto"/>
              <w:left w:val="single" w:sz="4" w:space="0" w:color="auto"/>
              <w:bottom w:val="single" w:sz="4" w:space="0" w:color="auto"/>
              <w:right w:val="single" w:sz="4" w:space="0" w:color="auto"/>
            </w:tcBorders>
          </w:tcPr>
          <w:p w:rsidR="00DC0E0E" w:rsidRPr="007E0AF4" w:rsidRDefault="00DC0E0E" w:rsidP="00DC0E0E">
            <w:pPr>
              <w:autoSpaceDE w:val="0"/>
              <w:autoSpaceDN w:val="0"/>
              <w:adjustRightInd w:val="0"/>
              <w:rPr>
                <w:rFonts w:eastAsia="Calibri"/>
                <w:color w:val="000000"/>
                <w:sz w:val="22"/>
              </w:rPr>
            </w:pPr>
            <w:r w:rsidRPr="007E0AF4">
              <w:rPr>
                <w:rFonts w:eastAsia="Calibri"/>
                <w:color w:val="000000"/>
                <w:sz w:val="22"/>
              </w:rPr>
              <w:t>Обсяг</w:t>
            </w:r>
          </w:p>
        </w:tc>
        <w:tc>
          <w:tcPr>
            <w:tcW w:w="1701" w:type="dxa"/>
            <w:gridSpan w:val="2"/>
            <w:tcBorders>
              <w:top w:val="single" w:sz="4" w:space="0" w:color="auto"/>
              <w:left w:val="single" w:sz="4" w:space="0" w:color="auto"/>
              <w:bottom w:val="single" w:sz="4" w:space="0" w:color="auto"/>
              <w:right w:val="single" w:sz="4" w:space="0" w:color="auto"/>
            </w:tcBorders>
          </w:tcPr>
          <w:p w:rsidR="00DC0E0E" w:rsidRPr="007E0AF4" w:rsidRDefault="00DC0E0E" w:rsidP="00DC0E0E">
            <w:pPr>
              <w:autoSpaceDE w:val="0"/>
              <w:autoSpaceDN w:val="0"/>
              <w:adjustRightInd w:val="0"/>
              <w:rPr>
                <w:rFonts w:eastAsia="Calibri"/>
                <w:color w:val="000000"/>
                <w:sz w:val="22"/>
              </w:rPr>
            </w:pPr>
            <w:r w:rsidRPr="007E0AF4">
              <w:rPr>
                <w:rFonts w:eastAsia="Calibri"/>
                <w:color w:val="000000"/>
                <w:sz w:val="22"/>
              </w:rPr>
              <w:t>Назва джерела</w:t>
            </w:r>
          </w:p>
        </w:tc>
        <w:tc>
          <w:tcPr>
            <w:tcW w:w="1275" w:type="dxa"/>
            <w:vMerge/>
            <w:tcBorders>
              <w:left w:val="single" w:sz="4" w:space="0" w:color="auto"/>
              <w:bottom w:val="single" w:sz="4" w:space="0" w:color="auto"/>
              <w:right w:val="single" w:sz="4" w:space="0" w:color="auto"/>
            </w:tcBorders>
          </w:tcPr>
          <w:p w:rsidR="00DC0E0E" w:rsidRPr="007E0AF4" w:rsidRDefault="00DC0E0E" w:rsidP="00DC0E0E">
            <w:pPr>
              <w:autoSpaceDE w:val="0"/>
              <w:autoSpaceDN w:val="0"/>
              <w:adjustRightInd w:val="0"/>
              <w:rPr>
                <w:rFonts w:eastAsia="Calibri"/>
                <w:color w:val="000000"/>
                <w:sz w:val="22"/>
              </w:rPr>
            </w:pPr>
          </w:p>
        </w:tc>
      </w:tr>
      <w:tr w:rsidR="00DC0E0E" w:rsidRPr="007E0AF4" w:rsidTr="00DC0E0E">
        <w:trPr>
          <w:trHeight w:val="1335"/>
        </w:trPr>
        <w:tc>
          <w:tcPr>
            <w:tcW w:w="1448" w:type="dxa"/>
            <w:vMerge/>
            <w:tcBorders>
              <w:left w:val="nil"/>
              <w:bottom w:val="nil"/>
              <w:right w:val="nil"/>
            </w:tcBorders>
          </w:tcPr>
          <w:p w:rsidR="00DC0E0E" w:rsidRPr="007E0AF4" w:rsidRDefault="00DC0E0E" w:rsidP="00DC0E0E">
            <w:pPr>
              <w:autoSpaceDE w:val="0"/>
              <w:autoSpaceDN w:val="0"/>
              <w:adjustRightInd w:val="0"/>
              <w:jc w:val="right"/>
              <w:rPr>
                <w:rFonts w:eastAsia="Calibri"/>
                <w:color w:val="000000"/>
                <w:sz w:val="22"/>
              </w:rPr>
            </w:pPr>
          </w:p>
        </w:tc>
        <w:tc>
          <w:tcPr>
            <w:tcW w:w="2977" w:type="dxa"/>
            <w:vMerge/>
            <w:tcBorders>
              <w:left w:val="single" w:sz="6" w:space="0" w:color="auto"/>
              <w:bottom w:val="single" w:sz="6" w:space="0" w:color="auto"/>
              <w:right w:val="single" w:sz="4" w:space="0" w:color="auto"/>
            </w:tcBorders>
            <w:shd w:val="clear" w:color="00FFFF" w:fill="C6D9F1" w:themeFill="text2" w:themeFillTint="33"/>
          </w:tcPr>
          <w:p w:rsidR="00DC0E0E" w:rsidRPr="007E0AF4" w:rsidRDefault="00DC0E0E" w:rsidP="00DC0E0E">
            <w:pPr>
              <w:autoSpaceDE w:val="0"/>
              <w:autoSpaceDN w:val="0"/>
              <w:adjustRightInd w:val="0"/>
              <w:rPr>
                <w:rFonts w:eastAsia="Calibri"/>
                <w:b/>
                <w:color w:val="000000"/>
                <w:sz w:val="22"/>
              </w:rPr>
            </w:pPr>
          </w:p>
        </w:tc>
        <w:tc>
          <w:tcPr>
            <w:tcW w:w="1417" w:type="dxa"/>
            <w:tcBorders>
              <w:top w:val="single" w:sz="4" w:space="0" w:color="auto"/>
              <w:left w:val="single" w:sz="4" w:space="0" w:color="auto"/>
              <w:bottom w:val="single" w:sz="4" w:space="0" w:color="auto"/>
              <w:right w:val="single" w:sz="4" w:space="0" w:color="auto"/>
            </w:tcBorders>
          </w:tcPr>
          <w:p w:rsidR="00DC0E0E" w:rsidRPr="007E0AF4" w:rsidRDefault="00DC0E0E" w:rsidP="00DC0E0E">
            <w:pPr>
              <w:autoSpaceDE w:val="0"/>
              <w:autoSpaceDN w:val="0"/>
              <w:adjustRightInd w:val="0"/>
              <w:rPr>
                <w:rFonts w:eastAsia="Calibri"/>
                <w:color w:val="000000"/>
                <w:sz w:val="22"/>
              </w:rPr>
            </w:pPr>
            <w:r w:rsidRPr="007E0AF4">
              <w:rPr>
                <w:rFonts w:eastAsia="Calibri"/>
                <w:color w:val="000000"/>
                <w:sz w:val="22"/>
              </w:rPr>
              <w:t>6 500,00</w:t>
            </w:r>
          </w:p>
        </w:tc>
        <w:tc>
          <w:tcPr>
            <w:tcW w:w="1276" w:type="dxa"/>
            <w:tcBorders>
              <w:top w:val="single" w:sz="4" w:space="0" w:color="auto"/>
              <w:left w:val="single" w:sz="4" w:space="0" w:color="auto"/>
              <w:bottom w:val="single" w:sz="4" w:space="0" w:color="auto"/>
              <w:right w:val="single" w:sz="4" w:space="0" w:color="auto"/>
            </w:tcBorders>
          </w:tcPr>
          <w:p w:rsidR="00DC0E0E" w:rsidRPr="007E0AF4" w:rsidRDefault="00436806" w:rsidP="00436806">
            <w:pPr>
              <w:autoSpaceDE w:val="0"/>
              <w:autoSpaceDN w:val="0"/>
              <w:adjustRightInd w:val="0"/>
              <w:jc w:val="center"/>
              <w:rPr>
                <w:rFonts w:eastAsia="Calibri"/>
                <w:color w:val="000000"/>
                <w:sz w:val="22"/>
              </w:rPr>
            </w:pPr>
            <w:r w:rsidRPr="007E0AF4">
              <w:rPr>
                <w:rFonts w:eastAsia="Calibri"/>
                <w:color w:val="000000"/>
                <w:sz w:val="22"/>
              </w:rPr>
              <w:t>-</w:t>
            </w:r>
          </w:p>
        </w:tc>
        <w:tc>
          <w:tcPr>
            <w:tcW w:w="1276" w:type="dxa"/>
            <w:gridSpan w:val="2"/>
            <w:tcBorders>
              <w:top w:val="single" w:sz="4" w:space="0" w:color="auto"/>
              <w:left w:val="single" w:sz="4" w:space="0" w:color="auto"/>
              <w:bottom w:val="single" w:sz="4" w:space="0" w:color="auto"/>
              <w:right w:val="single" w:sz="4" w:space="0" w:color="auto"/>
            </w:tcBorders>
          </w:tcPr>
          <w:p w:rsidR="00DC0E0E" w:rsidRPr="007E0AF4" w:rsidRDefault="00DC0E0E" w:rsidP="00DC0E0E">
            <w:pPr>
              <w:autoSpaceDE w:val="0"/>
              <w:autoSpaceDN w:val="0"/>
              <w:adjustRightInd w:val="0"/>
              <w:rPr>
                <w:rFonts w:eastAsia="Calibri"/>
                <w:color w:val="000000"/>
                <w:sz w:val="22"/>
              </w:rPr>
            </w:pPr>
            <w:r w:rsidRPr="007E0AF4">
              <w:rPr>
                <w:rFonts w:eastAsia="Calibri"/>
                <w:color w:val="000000"/>
                <w:sz w:val="22"/>
              </w:rPr>
              <w:t>29 500,00</w:t>
            </w:r>
          </w:p>
          <w:p w:rsidR="00DC0E0E" w:rsidRPr="007E0AF4" w:rsidRDefault="00DC0E0E" w:rsidP="00DC0E0E">
            <w:pPr>
              <w:rPr>
                <w:rFonts w:eastAsia="Calibri"/>
                <w:color w:val="000000"/>
                <w:sz w:val="22"/>
              </w:rPr>
            </w:pPr>
          </w:p>
          <w:p w:rsidR="00DC0E0E" w:rsidRPr="007E0AF4" w:rsidRDefault="00DC0E0E" w:rsidP="00DC0E0E">
            <w:pPr>
              <w:rPr>
                <w:rFonts w:eastAsia="Calibri"/>
                <w:sz w:val="22"/>
              </w:rPr>
            </w:pPr>
          </w:p>
        </w:tc>
        <w:tc>
          <w:tcPr>
            <w:tcW w:w="1701" w:type="dxa"/>
            <w:gridSpan w:val="2"/>
            <w:tcBorders>
              <w:top w:val="single" w:sz="4" w:space="0" w:color="auto"/>
              <w:left w:val="single" w:sz="4" w:space="0" w:color="auto"/>
              <w:bottom w:val="single" w:sz="4" w:space="0" w:color="auto"/>
              <w:right w:val="single" w:sz="4" w:space="0" w:color="auto"/>
            </w:tcBorders>
          </w:tcPr>
          <w:p w:rsidR="00DC0E0E" w:rsidRPr="007E0AF4" w:rsidRDefault="00DC0E0E" w:rsidP="00DC0E0E">
            <w:pPr>
              <w:autoSpaceDE w:val="0"/>
              <w:autoSpaceDN w:val="0"/>
              <w:adjustRightInd w:val="0"/>
              <w:rPr>
                <w:rFonts w:eastAsia="Calibri"/>
                <w:color w:val="000000"/>
                <w:sz w:val="22"/>
              </w:rPr>
            </w:pPr>
            <w:r w:rsidRPr="007E0AF4">
              <w:rPr>
                <w:rFonts w:eastAsia="Calibri"/>
                <w:color w:val="000000"/>
                <w:sz w:val="22"/>
              </w:rPr>
              <w:t>Міжнародні інвестори</w:t>
            </w:r>
          </w:p>
        </w:tc>
        <w:tc>
          <w:tcPr>
            <w:tcW w:w="1275" w:type="dxa"/>
            <w:tcBorders>
              <w:top w:val="single" w:sz="4" w:space="0" w:color="auto"/>
              <w:left w:val="single" w:sz="4" w:space="0" w:color="auto"/>
              <w:bottom w:val="single" w:sz="4" w:space="0" w:color="auto"/>
              <w:right w:val="single" w:sz="4" w:space="0" w:color="auto"/>
            </w:tcBorders>
          </w:tcPr>
          <w:p w:rsidR="00DC0E0E" w:rsidRPr="007E0AF4" w:rsidRDefault="00DC0E0E" w:rsidP="00DC0E0E">
            <w:pPr>
              <w:autoSpaceDE w:val="0"/>
              <w:autoSpaceDN w:val="0"/>
              <w:adjustRightInd w:val="0"/>
              <w:rPr>
                <w:rFonts w:eastAsia="Calibri"/>
                <w:color w:val="000000"/>
                <w:sz w:val="22"/>
              </w:rPr>
            </w:pPr>
            <w:r w:rsidRPr="007E0AF4">
              <w:rPr>
                <w:rFonts w:eastAsia="Calibri"/>
                <w:color w:val="000000"/>
                <w:sz w:val="22"/>
              </w:rPr>
              <w:t>36000,0</w:t>
            </w:r>
          </w:p>
        </w:tc>
      </w:tr>
    </w:tbl>
    <w:p w:rsidR="0051104F" w:rsidRPr="007E0AF4" w:rsidRDefault="0051104F" w:rsidP="00E95FB1">
      <w:pPr>
        <w:rPr>
          <w:sz w:val="22"/>
        </w:rPr>
      </w:pPr>
    </w:p>
    <w:p w:rsidR="0051104F" w:rsidRPr="007E0AF4" w:rsidRDefault="0051104F" w:rsidP="00E95FB1">
      <w:pPr>
        <w:rPr>
          <w:sz w:val="22"/>
        </w:rPr>
      </w:pPr>
    </w:p>
    <w:tbl>
      <w:tblPr>
        <w:tblStyle w:val="af"/>
        <w:tblW w:w="0" w:type="auto"/>
        <w:tblInd w:w="-176" w:type="dxa"/>
        <w:tblLook w:val="04A0" w:firstRow="1" w:lastRow="0" w:firstColumn="1" w:lastColumn="0" w:noHBand="0" w:noVBand="1"/>
      </w:tblPr>
      <w:tblGrid>
        <w:gridCol w:w="2839"/>
        <w:gridCol w:w="1555"/>
        <w:gridCol w:w="1307"/>
        <w:gridCol w:w="340"/>
        <w:gridCol w:w="808"/>
        <w:gridCol w:w="893"/>
        <w:gridCol w:w="551"/>
        <w:gridCol w:w="1369"/>
      </w:tblGrid>
      <w:tr w:rsidR="002E3647" w:rsidRPr="007E0AF4" w:rsidTr="002E3647">
        <w:tc>
          <w:tcPr>
            <w:tcW w:w="2978" w:type="dxa"/>
            <w:shd w:val="clear" w:color="auto" w:fill="C6D9F1" w:themeFill="text2" w:themeFillTint="33"/>
          </w:tcPr>
          <w:p w:rsidR="002E3647" w:rsidRPr="007E0AF4" w:rsidRDefault="002E3647" w:rsidP="001E6C97">
            <w:pPr>
              <w:pStyle w:val="a7"/>
              <w:ind w:left="0"/>
              <w:rPr>
                <w:b/>
                <w:sz w:val="22"/>
              </w:rPr>
            </w:pPr>
            <w:r w:rsidRPr="007E0AF4">
              <w:rPr>
                <w:b/>
                <w:sz w:val="22"/>
              </w:rPr>
              <w:t xml:space="preserve">Оперативна </w:t>
            </w:r>
            <w:proofErr w:type="spellStart"/>
            <w:r w:rsidRPr="007E0AF4">
              <w:rPr>
                <w:b/>
                <w:sz w:val="22"/>
              </w:rPr>
              <w:t>ціль</w:t>
            </w:r>
            <w:proofErr w:type="spellEnd"/>
            <w:r w:rsidRPr="007E0AF4">
              <w:rPr>
                <w:b/>
                <w:sz w:val="22"/>
              </w:rPr>
              <w:t>/</w:t>
            </w:r>
            <w:proofErr w:type="spellStart"/>
            <w:r w:rsidRPr="007E0AF4">
              <w:rPr>
                <w:b/>
                <w:sz w:val="22"/>
              </w:rPr>
              <w:t>завдання</w:t>
            </w:r>
            <w:proofErr w:type="spellEnd"/>
          </w:p>
        </w:tc>
        <w:tc>
          <w:tcPr>
            <w:tcW w:w="6910" w:type="dxa"/>
            <w:gridSpan w:val="7"/>
            <w:shd w:val="clear" w:color="auto" w:fill="auto"/>
          </w:tcPr>
          <w:p w:rsidR="002E3647" w:rsidRPr="007E0AF4" w:rsidRDefault="002E3647" w:rsidP="001E6C97">
            <w:pPr>
              <w:pStyle w:val="a7"/>
              <w:ind w:left="0"/>
              <w:rPr>
                <w:sz w:val="22"/>
              </w:rPr>
            </w:pPr>
            <w:proofErr w:type="spellStart"/>
            <w:r w:rsidRPr="007E0AF4">
              <w:rPr>
                <w:rFonts w:eastAsia="Arial"/>
                <w:sz w:val="22"/>
              </w:rPr>
              <w:t>Людський</w:t>
            </w:r>
            <w:proofErr w:type="spellEnd"/>
            <w:r w:rsidRPr="007E0AF4">
              <w:rPr>
                <w:rFonts w:eastAsia="Arial"/>
                <w:sz w:val="22"/>
              </w:rPr>
              <w:t xml:space="preserve"> </w:t>
            </w:r>
            <w:proofErr w:type="spellStart"/>
            <w:r w:rsidRPr="007E0AF4">
              <w:rPr>
                <w:rFonts w:eastAsia="Arial"/>
                <w:sz w:val="22"/>
              </w:rPr>
              <w:t>розвиток</w:t>
            </w:r>
            <w:proofErr w:type="spellEnd"/>
            <w:r w:rsidRPr="007E0AF4">
              <w:rPr>
                <w:rFonts w:eastAsia="Arial"/>
                <w:sz w:val="22"/>
              </w:rPr>
              <w:t xml:space="preserve"> через </w:t>
            </w:r>
            <w:proofErr w:type="spellStart"/>
            <w:r w:rsidRPr="007E0AF4">
              <w:rPr>
                <w:rFonts w:eastAsia="Arial"/>
                <w:sz w:val="22"/>
              </w:rPr>
              <w:t>інновації</w:t>
            </w:r>
            <w:proofErr w:type="spellEnd"/>
            <w:r w:rsidRPr="007E0AF4">
              <w:rPr>
                <w:rFonts w:eastAsia="Arial"/>
                <w:sz w:val="22"/>
              </w:rPr>
              <w:t xml:space="preserve"> </w:t>
            </w:r>
            <w:proofErr w:type="spellStart"/>
            <w:r w:rsidRPr="007E0AF4">
              <w:rPr>
                <w:rFonts w:eastAsia="Arial"/>
                <w:sz w:val="22"/>
              </w:rPr>
              <w:t>управління</w:t>
            </w:r>
            <w:proofErr w:type="spellEnd"/>
            <w:r w:rsidRPr="007E0AF4">
              <w:rPr>
                <w:rFonts w:eastAsia="Arial"/>
                <w:sz w:val="22"/>
              </w:rPr>
              <w:t xml:space="preserve"> та </w:t>
            </w:r>
            <w:proofErr w:type="spellStart"/>
            <w:r w:rsidRPr="007E0AF4">
              <w:rPr>
                <w:rFonts w:eastAsia="Arial"/>
                <w:sz w:val="22"/>
              </w:rPr>
              <w:t>довіру</w:t>
            </w:r>
            <w:proofErr w:type="spellEnd"/>
            <w:r w:rsidRPr="007E0AF4">
              <w:rPr>
                <w:rFonts w:eastAsia="Arial"/>
                <w:sz w:val="22"/>
              </w:rPr>
              <w:t xml:space="preserve"> до </w:t>
            </w:r>
            <w:proofErr w:type="spellStart"/>
            <w:r w:rsidRPr="007E0AF4">
              <w:rPr>
                <w:rFonts w:eastAsia="Arial"/>
                <w:sz w:val="22"/>
              </w:rPr>
              <w:t>влади</w:t>
            </w:r>
            <w:proofErr w:type="spellEnd"/>
            <w:r w:rsidRPr="007E0AF4">
              <w:rPr>
                <w:rFonts w:eastAsia="Arial"/>
                <w:sz w:val="22"/>
              </w:rPr>
              <w:t xml:space="preserve">. </w:t>
            </w:r>
            <w:proofErr w:type="spellStart"/>
            <w:r w:rsidRPr="007E0AF4">
              <w:rPr>
                <w:rFonts w:eastAsia="Arial"/>
                <w:sz w:val="22"/>
              </w:rPr>
              <w:t>Формування</w:t>
            </w:r>
            <w:proofErr w:type="spellEnd"/>
            <w:r w:rsidRPr="007E0AF4">
              <w:rPr>
                <w:rFonts w:eastAsia="Arial"/>
                <w:sz w:val="22"/>
              </w:rPr>
              <w:t xml:space="preserve"> </w:t>
            </w:r>
            <w:proofErr w:type="spellStart"/>
            <w:r w:rsidRPr="007E0AF4">
              <w:rPr>
                <w:rFonts w:eastAsia="Arial"/>
                <w:sz w:val="22"/>
              </w:rPr>
              <w:t>сучасного</w:t>
            </w:r>
            <w:proofErr w:type="spellEnd"/>
            <w:r w:rsidRPr="007E0AF4">
              <w:rPr>
                <w:rFonts w:eastAsia="Arial"/>
                <w:sz w:val="22"/>
              </w:rPr>
              <w:t xml:space="preserve"> </w:t>
            </w:r>
            <w:proofErr w:type="spellStart"/>
            <w:proofErr w:type="gramStart"/>
            <w:r w:rsidRPr="007E0AF4">
              <w:rPr>
                <w:rFonts w:eastAsia="Arial"/>
                <w:sz w:val="22"/>
              </w:rPr>
              <w:t>інклюзивного</w:t>
            </w:r>
            <w:proofErr w:type="spellEnd"/>
            <w:r w:rsidRPr="007E0AF4">
              <w:rPr>
                <w:rFonts w:eastAsia="Arial"/>
                <w:sz w:val="22"/>
              </w:rPr>
              <w:t xml:space="preserve">  </w:t>
            </w:r>
            <w:proofErr w:type="spellStart"/>
            <w:r w:rsidRPr="007E0AF4">
              <w:rPr>
                <w:rFonts w:eastAsia="Arial"/>
                <w:sz w:val="22"/>
              </w:rPr>
              <w:t>освітньо</w:t>
            </w:r>
            <w:proofErr w:type="spellEnd"/>
            <w:proofErr w:type="gramEnd"/>
            <w:r w:rsidRPr="007E0AF4">
              <w:rPr>
                <w:rFonts w:eastAsia="Arial"/>
                <w:sz w:val="22"/>
              </w:rPr>
              <w:t xml:space="preserve">-культурного та спортивного простору для </w:t>
            </w:r>
            <w:proofErr w:type="spellStart"/>
            <w:r w:rsidRPr="007E0AF4">
              <w:rPr>
                <w:rFonts w:eastAsia="Arial"/>
                <w:sz w:val="22"/>
              </w:rPr>
              <w:t>розвитку</w:t>
            </w:r>
            <w:proofErr w:type="spellEnd"/>
            <w:r w:rsidRPr="007E0AF4">
              <w:rPr>
                <w:rFonts w:eastAsia="Arial"/>
                <w:sz w:val="22"/>
              </w:rPr>
              <w:t>.</w:t>
            </w:r>
          </w:p>
        </w:tc>
      </w:tr>
      <w:tr w:rsidR="002E3647" w:rsidRPr="007E0AF4" w:rsidTr="002E3647">
        <w:tc>
          <w:tcPr>
            <w:tcW w:w="2978" w:type="dxa"/>
            <w:shd w:val="clear" w:color="auto" w:fill="C6D9F1" w:themeFill="text2" w:themeFillTint="33"/>
          </w:tcPr>
          <w:p w:rsidR="002E3647" w:rsidRPr="007E0AF4" w:rsidRDefault="002E3647" w:rsidP="001E6C97">
            <w:pPr>
              <w:pStyle w:val="a7"/>
              <w:ind w:left="0"/>
              <w:rPr>
                <w:b/>
                <w:sz w:val="22"/>
              </w:rPr>
            </w:pPr>
            <w:proofErr w:type="spellStart"/>
            <w:r w:rsidRPr="007E0AF4">
              <w:rPr>
                <w:b/>
                <w:sz w:val="22"/>
              </w:rPr>
              <w:t>Назва</w:t>
            </w:r>
            <w:proofErr w:type="spellEnd"/>
            <w:r w:rsidRPr="007E0AF4">
              <w:rPr>
                <w:b/>
                <w:sz w:val="22"/>
              </w:rPr>
              <w:t xml:space="preserve"> проекту:</w:t>
            </w:r>
          </w:p>
        </w:tc>
        <w:tc>
          <w:tcPr>
            <w:tcW w:w="6910" w:type="dxa"/>
            <w:gridSpan w:val="7"/>
          </w:tcPr>
          <w:p w:rsidR="002E3647" w:rsidRPr="007E0AF4" w:rsidRDefault="002E3647" w:rsidP="001E6C97">
            <w:pPr>
              <w:pStyle w:val="a7"/>
              <w:ind w:left="0"/>
              <w:rPr>
                <w:sz w:val="22"/>
              </w:rPr>
            </w:pPr>
            <w:proofErr w:type="spellStart"/>
            <w:r w:rsidRPr="007E0AF4">
              <w:rPr>
                <w:sz w:val="22"/>
              </w:rPr>
              <w:t>Капітальний</w:t>
            </w:r>
            <w:proofErr w:type="spellEnd"/>
            <w:r w:rsidRPr="007E0AF4">
              <w:rPr>
                <w:sz w:val="22"/>
              </w:rPr>
              <w:t xml:space="preserve"> ремонт </w:t>
            </w:r>
            <w:proofErr w:type="spellStart"/>
            <w:r w:rsidRPr="007E0AF4">
              <w:rPr>
                <w:sz w:val="22"/>
              </w:rPr>
              <w:t>будівлі</w:t>
            </w:r>
            <w:proofErr w:type="spellEnd"/>
            <w:r w:rsidRPr="007E0AF4">
              <w:rPr>
                <w:sz w:val="22"/>
              </w:rPr>
              <w:t xml:space="preserve"> </w:t>
            </w:r>
            <w:proofErr w:type="spellStart"/>
            <w:r w:rsidRPr="007E0AF4">
              <w:rPr>
                <w:sz w:val="22"/>
              </w:rPr>
              <w:t>комунального</w:t>
            </w:r>
            <w:proofErr w:type="spellEnd"/>
            <w:r w:rsidRPr="007E0AF4">
              <w:rPr>
                <w:sz w:val="22"/>
              </w:rPr>
              <w:t xml:space="preserve"> закладу </w:t>
            </w:r>
            <w:proofErr w:type="spellStart"/>
            <w:r w:rsidRPr="007E0AF4">
              <w:rPr>
                <w:sz w:val="22"/>
              </w:rPr>
              <w:t>Гімназії</w:t>
            </w:r>
            <w:proofErr w:type="spellEnd"/>
            <w:r w:rsidRPr="007E0AF4">
              <w:rPr>
                <w:sz w:val="22"/>
              </w:rPr>
              <w:t xml:space="preserve"> «ГАРМОНІЯ» </w:t>
            </w:r>
            <w:proofErr w:type="spellStart"/>
            <w:r w:rsidRPr="007E0AF4">
              <w:rPr>
                <w:sz w:val="22"/>
              </w:rPr>
              <w:t>міста</w:t>
            </w:r>
            <w:proofErr w:type="spellEnd"/>
            <w:r w:rsidRPr="007E0AF4">
              <w:rPr>
                <w:sz w:val="22"/>
              </w:rPr>
              <w:t xml:space="preserve"> </w:t>
            </w:r>
            <w:proofErr w:type="spellStart"/>
            <w:r w:rsidRPr="007E0AF4">
              <w:rPr>
                <w:sz w:val="22"/>
              </w:rPr>
              <w:t>Сєвєродонецька</w:t>
            </w:r>
            <w:proofErr w:type="spellEnd"/>
            <w:r w:rsidRPr="007E0AF4">
              <w:rPr>
                <w:sz w:val="22"/>
              </w:rPr>
              <w:t xml:space="preserve"> </w:t>
            </w:r>
            <w:proofErr w:type="spellStart"/>
            <w:r w:rsidRPr="007E0AF4">
              <w:rPr>
                <w:sz w:val="22"/>
              </w:rPr>
              <w:t>Луганської</w:t>
            </w:r>
            <w:proofErr w:type="spellEnd"/>
            <w:r w:rsidRPr="007E0AF4">
              <w:rPr>
                <w:sz w:val="22"/>
              </w:rPr>
              <w:t xml:space="preserve"> </w:t>
            </w:r>
            <w:proofErr w:type="spellStart"/>
            <w:r w:rsidRPr="007E0AF4">
              <w:rPr>
                <w:sz w:val="22"/>
              </w:rPr>
              <w:t>області</w:t>
            </w:r>
            <w:proofErr w:type="spellEnd"/>
            <w:r w:rsidRPr="007E0AF4">
              <w:rPr>
                <w:sz w:val="22"/>
              </w:rPr>
              <w:t xml:space="preserve">, </w:t>
            </w:r>
            <w:proofErr w:type="spellStart"/>
            <w:r w:rsidRPr="007E0AF4">
              <w:rPr>
                <w:sz w:val="22"/>
              </w:rPr>
              <w:t>вулиця</w:t>
            </w:r>
            <w:proofErr w:type="spellEnd"/>
            <w:r w:rsidRPr="007E0AF4">
              <w:rPr>
                <w:sz w:val="22"/>
              </w:rPr>
              <w:t xml:space="preserve"> </w:t>
            </w:r>
            <w:proofErr w:type="spellStart"/>
            <w:r w:rsidRPr="007E0AF4">
              <w:rPr>
                <w:sz w:val="22"/>
              </w:rPr>
              <w:t>Юності</w:t>
            </w:r>
            <w:proofErr w:type="spellEnd"/>
            <w:r w:rsidRPr="007E0AF4">
              <w:rPr>
                <w:sz w:val="22"/>
              </w:rPr>
              <w:t xml:space="preserve">, </w:t>
            </w:r>
            <w:proofErr w:type="spellStart"/>
            <w:r w:rsidRPr="007E0AF4">
              <w:rPr>
                <w:sz w:val="22"/>
              </w:rPr>
              <w:t>будинок</w:t>
            </w:r>
            <w:proofErr w:type="spellEnd"/>
            <w:r w:rsidRPr="007E0AF4">
              <w:rPr>
                <w:sz w:val="22"/>
              </w:rPr>
              <w:t xml:space="preserve"> 1 </w:t>
            </w:r>
          </w:p>
        </w:tc>
      </w:tr>
      <w:tr w:rsidR="002E3647" w:rsidRPr="007E0AF4" w:rsidTr="002E3647">
        <w:tc>
          <w:tcPr>
            <w:tcW w:w="2978" w:type="dxa"/>
            <w:shd w:val="clear" w:color="auto" w:fill="C6D9F1" w:themeFill="text2" w:themeFillTint="33"/>
          </w:tcPr>
          <w:p w:rsidR="002E3647" w:rsidRPr="007E0AF4" w:rsidRDefault="002E3647" w:rsidP="001E6C97">
            <w:pPr>
              <w:rPr>
                <w:b/>
                <w:sz w:val="22"/>
              </w:rPr>
            </w:pPr>
            <w:proofErr w:type="spellStart"/>
            <w:r w:rsidRPr="007E0AF4">
              <w:rPr>
                <w:b/>
                <w:sz w:val="22"/>
              </w:rPr>
              <w:t>Ціль</w:t>
            </w:r>
            <w:proofErr w:type="spellEnd"/>
            <w:r w:rsidRPr="007E0AF4">
              <w:rPr>
                <w:b/>
                <w:sz w:val="22"/>
              </w:rPr>
              <w:t xml:space="preserve"> проекту</w:t>
            </w:r>
          </w:p>
        </w:tc>
        <w:tc>
          <w:tcPr>
            <w:tcW w:w="6910" w:type="dxa"/>
            <w:gridSpan w:val="7"/>
          </w:tcPr>
          <w:p w:rsidR="002E3647" w:rsidRPr="007E0AF4" w:rsidRDefault="002E3647" w:rsidP="001E6C97">
            <w:pPr>
              <w:pStyle w:val="a7"/>
              <w:ind w:left="0"/>
              <w:rPr>
                <w:sz w:val="22"/>
              </w:rPr>
            </w:pPr>
            <w:proofErr w:type="spellStart"/>
            <w:r w:rsidRPr="007E0AF4">
              <w:rPr>
                <w:sz w:val="22"/>
              </w:rPr>
              <w:t>Відновити</w:t>
            </w:r>
            <w:proofErr w:type="spellEnd"/>
            <w:r w:rsidRPr="007E0AF4">
              <w:rPr>
                <w:sz w:val="22"/>
              </w:rPr>
              <w:t xml:space="preserve"> та </w:t>
            </w:r>
            <w:proofErr w:type="spellStart"/>
            <w:r w:rsidRPr="007E0AF4">
              <w:rPr>
                <w:sz w:val="22"/>
              </w:rPr>
              <w:t>покращити</w:t>
            </w:r>
            <w:proofErr w:type="spellEnd"/>
            <w:r w:rsidRPr="007E0AF4">
              <w:rPr>
                <w:sz w:val="22"/>
              </w:rPr>
              <w:t xml:space="preserve"> роботу </w:t>
            </w:r>
            <w:proofErr w:type="spellStart"/>
            <w:r w:rsidRPr="007E0AF4">
              <w:rPr>
                <w:sz w:val="22"/>
              </w:rPr>
              <w:t>комунального</w:t>
            </w:r>
            <w:proofErr w:type="spellEnd"/>
            <w:r w:rsidRPr="007E0AF4">
              <w:rPr>
                <w:sz w:val="22"/>
              </w:rPr>
              <w:t xml:space="preserve"> закладу </w:t>
            </w:r>
            <w:proofErr w:type="spellStart"/>
            <w:r w:rsidRPr="007E0AF4">
              <w:rPr>
                <w:sz w:val="22"/>
              </w:rPr>
              <w:t>Гімназії</w:t>
            </w:r>
            <w:proofErr w:type="spellEnd"/>
            <w:r w:rsidRPr="007E0AF4">
              <w:rPr>
                <w:sz w:val="22"/>
              </w:rPr>
              <w:t xml:space="preserve"> «ГАРМОНІЯ» </w:t>
            </w:r>
            <w:proofErr w:type="spellStart"/>
            <w:r w:rsidRPr="007E0AF4">
              <w:rPr>
                <w:sz w:val="22"/>
              </w:rPr>
              <w:t>міста</w:t>
            </w:r>
            <w:proofErr w:type="spellEnd"/>
            <w:r w:rsidRPr="007E0AF4">
              <w:rPr>
                <w:sz w:val="22"/>
              </w:rPr>
              <w:t xml:space="preserve"> </w:t>
            </w:r>
            <w:proofErr w:type="spellStart"/>
            <w:r w:rsidRPr="007E0AF4">
              <w:rPr>
                <w:sz w:val="22"/>
              </w:rPr>
              <w:t>Сєвєродонецька</w:t>
            </w:r>
            <w:proofErr w:type="spellEnd"/>
            <w:r w:rsidRPr="007E0AF4">
              <w:rPr>
                <w:sz w:val="22"/>
              </w:rPr>
              <w:t xml:space="preserve"> </w:t>
            </w:r>
            <w:proofErr w:type="spellStart"/>
            <w:r w:rsidRPr="007E0AF4">
              <w:rPr>
                <w:sz w:val="22"/>
              </w:rPr>
              <w:t>Луганської</w:t>
            </w:r>
            <w:proofErr w:type="spellEnd"/>
            <w:r w:rsidRPr="007E0AF4">
              <w:rPr>
                <w:sz w:val="22"/>
              </w:rPr>
              <w:t xml:space="preserve"> </w:t>
            </w:r>
            <w:proofErr w:type="spellStart"/>
            <w:r w:rsidRPr="007E0AF4">
              <w:rPr>
                <w:sz w:val="22"/>
              </w:rPr>
              <w:t>області</w:t>
            </w:r>
            <w:proofErr w:type="spellEnd"/>
            <w:r w:rsidRPr="007E0AF4">
              <w:rPr>
                <w:sz w:val="22"/>
              </w:rPr>
              <w:t xml:space="preserve"> для </w:t>
            </w:r>
            <w:proofErr w:type="spellStart"/>
            <w:r w:rsidRPr="007E0AF4">
              <w:rPr>
                <w:sz w:val="22"/>
              </w:rPr>
              <w:t>надання</w:t>
            </w:r>
            <w:proofErr w:type="spellEnd"/>
            <w:r w:rsidRPr="007E0AF4">
              <w:rPr>
                <w:sz w:val="22"/>
              </w:rPr>
              <w:t xml:space="preserve"> широкого спектру </w:t>
            </w:r>
            <w:proofErr w:type="spellStart"/>
            <w:r w:rsidRPr="007E0AF4">
              <w:rPr>
                <w:sz w:val="22"/>
              </w:rPr>
              <w:t>послуг</w:t>
            </w:r>
            <w:proofErr w:type="spellEnd"/>
            <w:r w:rsidRPr="007E0AF4">
              <w:rPr>
                <w:sz w:val="22"/>
              </w:rPr>
              <w:t xml:space="preserve">, </w:t>
            </w:r>
            <w:proofErr w:type="spellStart"/>
            <w:r w:rsidRPr="007E0AF4">
              <w:rPr>
                <w:sz w:val="22"/>
              </w:rPr>
              <w:t>пов’язаних</w:t>
            </w:r>
            <w:proofErr w:type="spellEnd"/>
            <w:r w:rsidRPr="007E0AF4">
              <w:rPr>
                <w:sz w:val="22"/>
              </w:rPr>
              <w:t xml:space="preserve"> </w:t>
            </w:r>
            <w:proofErr w:type="spellStart"/>
            <w:r w:rsidRPr="007E0AF4">
              <w:rPr>
                <w:sz w:val="22"/>
              </w:rPr>
              <w:t>із</w:t>
            </w:r>
            <w:proofErr w:type="spellEnd"/>
            <w:r w:rsidRPr="007E0AF4">
              <w:rPr>
                <w:sz w:val="22"/>
              </w:rPr>
              <w:t xml:space="preserve"> </w:t>
            </w:r>
            <w:proofErr w:type="spellStart"/>
            <w:r w:rsidRPr="007E0AF4">
              <w:rPr>
                <w:sz w:val="22"/>
              </w:rPr>
              <w:t>освітньою</w:t>
            </w:r>
            <w:proofErr w:type="spellEnd"/>
            <w:r w:rsidRPr="007E0AF4">
              <w:rPr>
                <w:sz w:val="22"/>
              </w:rPr>
              <w:t xml:space="preserve"> </w:t>
            </w:r>
            <w:proofErr w:type="spellStart"/>
            <w:r w:rsidRPr="007E0AF4">
              <w:rPr>
                <w:sz w:val="22"/>
              </w:rPr>
              <w:t>діяльністю</w:t>
            </w:r>
            <w:proofErr w:type="spellEnd"/>
            <w:r w:rsidRPr="007E0AF4">
              <w:rPr>
                <w:sz w:val="22"/>
              </w:rPr>
              <w:t xml:space="preserve"> та </w:t>
            </w:r>
            <w:proofErr w:type="spellStart"/>
            <w:r w:rsidRPr="007E0AF4">
              <w:rPr>
                <w:sz w:val="22"/>
              </w:rPr>
              <w:t>задоволенням</w:t>
            </w:r>
            <w:proofErr w:type="spellEnd"/>
            <w:r w:rsidRPr="007E0AF4">
              <w:rPr>
                <w:sz w:val="22"/>
              </w:rPr>
              <w:t xml:space="preserve"> </w:t>
            </w:r>
            <w:proofErr w:type="spellStart"/>
            <w:r w:rsidRPr="007E0AF4">
              <w:rPr>
                <w:sz w:val="22"/>
              </w:rPr>
              <w:t>освітніх</w:t>
            </w:r>
            <w:proofErr w:type="spellEnd"/>
            <w:r w:rsidRPr="007E0AF4">
              <w:rPr>
                <w:sz w:val="22"/>
              </w:rPr>
              <w:t xml:space="preserve"> потреб </w:t>
            </w:r>
            <w:proofErr w:type="spellStart"/>
            <w:r w:rsidRPr="007E0AF4">
              <w:rPr>
                <w:sz w:val="22"/>
              </w:rPr>
              <w:t>мешканців</w:t>
            </w:r>
            <w:proofErr w:type="spellEnd"/>
            <w:r w:rsidRPr="007E0AF4">
              <w:rPr>
                <w:sz w:val="22"/>
              </w:rPr>
              <w:t xml:space="preserve"> </w:t>
            </w:r>
            <w:proofErr w:type="spellStart"/>
            <w:r w:rsidRPr="007E0AF4">
              <w:rPr>
                <w:sz w:val="22"/>
              </w:rPr>
              <w:t>Сєвєродонецької</w:t>
            </w:r>
            <w:proofErr w:type="spellEnd"/>
            <w:r w:rsidRPr="007E0AF4">
              <w:rPr>
                <w:sz w:val="22"/>
              </w:rPr>
              <w:t xml:space="preserve"> </w:t>
            </w:r>
            <w:proofErr w:type="spellStart"/>
            <w:r w:rsidRPr="007E0AF4">
              <w:rPr>
                <w:sz w:val="22"/>
              </w:rPr>
              <w:t>міської</w:t>
            </w:r>
            <w:proofErr w:type="spellEnd"/>
            <w:r w:rsidRPr="007E0AF4">
              <w:rPr>
                <w:sz w:val="22"/>
              </w:rPr>
              <w:t xml:space="preserve"> </w:t>
            </w:r>
            <w:proofErr w:type="spellStart"/>
            <w:r w:rsidRPr="007E0AF4">
              <w:rPr>
                <w:sz w:val="22"/>
              </w:rPr>
              <w:t>територіальної</w:t>
            </w:r>
            <w:proofErr w:type="spellEnd"/>
            <w:r w:rsidRPr="007E0AF4">
              <w:rPr>
                <w:sz w:val="22"/>
              </w:rPr>
              <w:t xml:space="preserve"> </w:t>
            </w:r>
            <w:proofErr w:type="spellStart"/>
            <w:r w:rsidRPr="007E0AF4">
              <w:rPr>
                <w:sz w:val="22"/>
              </w:rPr>
              <w:t>громади</w:t>
            </w:r>
            <w:proofErr w:type="spellEnd"/>
            <w:r w:rsidRPr="007E0AF4">
              <w:rPr>
                <w:sz w:val="22"/>
              </w:rPr>
              <w:t xml:space="preserve">. </w:t>
            </w:r>
            <w:proofErr w:type="spellStart"/>
            <w:r w:rsidRPr="007E0AF4">
              <w:rPr>
                <w:sz w:val="22"/>
              </w:rPr>
              <w:t>Виконати</w:t>
            </w:r>
            <w:proofErr w:type="spellEnd"/>
            <w:r w:rsidRPr="007E0AF4">
              <w:rPr>
                <w:sz w:val="22"/>
              </w:rPr>
              <w:t xml:space="preserve"> </w:t>
            </w:r>
            <w:proofErr w:type="spellStart"/>
            <w:r w:rsidRPr="007E0AF4">
              <w:rPr>
                <w:sz w:val="22"/>
              </w:rPr>
              <w:t>капітальні</w:t>
            </w:r>
            <w:proofErr w:type="spellEnd"/>
            <w:r w:rsidRPr="007E0AF4">
              <w:rPr>
                <w:sz w:val="22"/>
              </w:rPr>
              <w:t xml:space="preserve"> </w:t>
            </w:r>
            <w:proofErr w:type="spellStart"/>
            <w:r w:rsidRPr="007E0AF4">
              <w:rPr>
                <w:sz w:val="22"/>
              </w:rPr>
              <w:t>ремонти</w:t>
            </w:r>
            <w:proofErr w:type="spellEnd"/>
            <w:r w:rsidRPr="007E0AF4">
              <w:rPr>
                <w:sz w:val="22"/>
              </w:rPr>
              <w:t xml:space="preserve"> </w:t>
            </w:r>
            <w:proofErr w:type="spellStart"/>
            <w:r w:rsidRPr="007E0AF4">
              <w:rPr>
                <w:sz w:val="22"/>
              </w:rPr>
              <w:t>покрівлі</w:t>
            </w:r>
            <w:proofErr w:type="spellEnd"/>
            <w:r w:rsidRPr="007E0AF4">
              <w:rPr>
                <w:sz w:val="22"/>
              </w:rPr>
              <w:t xml:space="preserve">, </w:t>
            </w:r>
            <w:proofErr w:type="spellStart"/>
            <w:r w:rsidRPr="007E0AF4">
              <w:rPr>
                <w:sz w:val="22"/>
              </w:rPr>
              <w:t>вікон</w:t>
            </w:r>
            <w:proofErr w:type="spellEnd"/>
            <w:r w:rsidRPr="007E0AF4">
              <w:rPr>
                <w:sz w:val="22"/>
              </w:rPr>
              <w:t xml:space="preserve"> та дверей, </w:t>
            </w:r>
            <w:proofErr w:type="spellStart"/>
            <w:r w:rsidRPr="007E0AF4">
              <w:rPr>
                <w:sz w:val="22"/>
              </w:rPr>
              <w:t>внутрішньої</w:t>
            </w:r>
            <w:proofErr w:type="spellEnd"/>
            <w:r w:rsidRPr="007E0AF4">
              <w:rPr>
                <w:sz w:val="22"/>
              </w:rPr>
              <w:t xml:space="preserve"> </w:t>
            </w:r>
            <w:proofErr w:type="spellStart"/>
            <w:r w:rsidRPr="007E0AF4">
              <w:rPr>
                <w:sz w:val="22"/>
              </w:rPr>
              <w:t>системи</w:t>
            </w:r>
            <w:proofErr w:type="spellEnd"/>
            <w:r w:rsidRPr="007E0AF4">
              <w:rPr>
                <w:sz w:val="22"/>
              </w:rPr>
              <w:t xml:space="preserve"> </w:t>
            </w:r>
            <w:proofErr w:type="spellStart"/>
            <w:r w:rsidRPr="007E0AF4">
              <w:rPr>
                <w:sz w:val="22"/>
              </w:rPr>
              <w:t>водопостачання</w:t>
            </w:r>
            <w:proofErr w:type="spellEnd"/>
            <w:r w:rsidRPr="007E0AF4">
              <w:rPr>
                <w:sz w:val="22"/>
              </w:rPr>
              <w:t xml:space="preserve">, </w:t>
            </w:r>
            <w:proofErr w:type="spellStart"/>
            <w:r w:rsidRPr="007E0AF4">
              <w:rPr>
                <w:sz w:val="22"/>
              </w:rPr>
              <w:t>водовідведення</w:t>
            </w:r>
            <w:proofErr w:type="spellEnd"/>
            <w:r w:rsidRPr="007E0AF4">
              <w:rPr>
                <w:sz w:val="22"/>
              </w:rPr>
              <w:t xml:space="preserve">, </w:t>
            </w:r>
            <w:proofErr w:type="spellStart"/>
            <w:r w:rsidRPr="007E0AF4">
              <w:rPr>
                <w:sz w:val="22"/>
              </w:rPr>
              <w:t>системи</w:t>
            </w:r>
            <w:proofErr w:type="spellEnd"/>
            <w:r w:rsidRPr="007E0AF4">
              <w:rPr>
                <w:sz w:val="22"/>
              </w:rPr>
              <w:t xml:space="preserve"> </w:t>
            </w:r>
            <w:proofErr w:type="spellStart"/>
            <w:r w:rsidRPr="007E0AF4">
              <w:rPr>
                <w:sz w:val="22"/>
              </w:rPr>
              <w:t>опалення</w:t>
            </w:r>
            <w:proofErr w:type="spellEnd"/>
            <w:r w:rsidRPr="007E0AF4">
              <w:rPr>
                <w:sz w:val="22"/>
              </w:rPr>
              <w:t xml:space="preserve">, </w:t>
            </w:r>
            <w:proofErr w:type="spellStart"/>
            <w:r w:rsidRPr="007E0AF4">
              <w:rPr>
                <w:sz w:val="22"/>
              </w:rPr>
              <w:t>внутрішньої</w:t>
            </w:r>
            <w:proofErr w:type="spellEnd"/>
            <w:r w:rsidRPr="007E0AF4">
              <w:rPr>
                <w:sz w:val="22"/>
              </w:rPr>
              <w:t xml:space="preserve"> </w:t>
            </w:r>
            <w:proofErr w:type="spellStart"/>
            <w:r w:rsidRPr="007E0AF4">
              <w:rPr>
                <w:sz w:val="22"/>
              </w:rPr>
              <w:t>мережі</w:t>
            </w:r>
            <w:proofErr w:type="spellEnd"/>
            <w:r w:rsidRPr="007E0AF4">
              <w:rPr>
                <w:sz w:val="22"/>
              </w:rPr>
              <w:t xml:space="preserve"> </w:t>
            </w:r>
            <w:proofErr w:type="spellStart"/>
            <w:r w:rsidRPr="007E0AF4">
              <w:rPr>
                <w:sz w:val="22"/>
              </w:rPr>
              <w:t>електропостачання</w:t>
            </w:r>
            <w:proofErr w:type="spellEnd"/>
            <w:r w:rsidRPr="007E0AF4">
              <w:rPr>
                <w:sz w:val="22"/>
              </w:rPr>
              <w:t xml:space="preserve">, </w:t>
            </w:r>
            <w:proofErr w:type="spellStart"/>
            <w:r w:rsidRPr="007E0AF4">
              <w:rPr>
                <w:sz w:val="22"/>
              </w:rPr>
              <w:t>зовнішнього</w:t>
            </w:r>
            <w:proofErr w:type="spellEnd"/>
            <w:r w:rsidRPr="007E0AF4">
              <w:rPr>
                <w:sz w:val="22"/>
              </w:rPr>
              <w:t xml:space="preserve"> </w:t>
            </w:r>
            <w:proofErr w:type="spellStart"/>
            <w:r w:rsidRPr="007E0AF4">
              <w:rPr>
                <w:sz w:val="22"/>
              </w:rPr>
              <w:t>освітлення</w:t>
            </w:r>
            <w:proofErr w:type="spellEnd"/>
            <w:r w:rsidRPr="007E0AF4">
              <w:rPr>
                <w:sz w:val="22"/>
              </w:rPr>
              <w:t xml:space="preserve"> </w:t>
            </w:r>
            <w:proofErr w:type="spellStart"/>
            <w:r w:rsidRPr="007E0AF4">
              <w:rPr>
                <w:sz w:val="22"/>
              </w:rPr>
              <w:t>будівлі</w:t>
            </w:r>
            <w:proofErr w:type="spellEnd"/>
            <w:r w:rsidRPr="007E0AF4">
              <w:rPr>
                <w:sz w:val="22"/>
              </w:rPr>
              <w:t xml:space="preserve">, </w:t>
            </w:r>
            <w:proofErr w:type="spellStart"/>
            <w:r w:rsidRPr="007E0AF4">
              <w:rPr>
                <w:sz w:val="22"/>
              </w:rPr>
              <w:t>системи</w:t>
            </w:r>
            <w:proofErr w:type="spellEnd"/>
            <w:r w:rsidRPr="007E0AF4">
              <w:rPr>
                <w:sz w:val="22"/>
              </w:rPr>
              <w:t xml:space="preserve"> </w:t>
            </w:r>
            <w:proofErr w:type="spellStart"/>
            <w:r w:rsidRPr="007E0AF4">
              <w:rPr>
                <w:sz w:val="22"/>
              </w:rPr>
              <w:t>зв’язку</w:t>
            </w:r>
            <w:proofErr w:type="spellEnd"/>
            <w:r w:rsidRPr="007E0AF4">
              <w:rPr>
                <w:sz w:val="22"/>
              </w:rPr>
              <w:t xml:space="preserve"> та </w:t>
            </w:r>
            <w:proofErr w:type="spellStart"/>
            <w:r w:rsidRPr="007E0AF4">
              <w:rPr>
                <w:sz w:val="22"/>
              </w:rPr>
              <w:t>інтернету</w:t>
            </w:r>
            <w:proofErr w:type="spellEnd"/>
            <w:r w:rsidRPr="007E0AF4">
              <w:rPr>
                <w:sz w:val="22"/>
              </w:rPr>
              <w:t xml:space="preserve">, </w:t>
            </w:r>
            <w:proofErr w:type="spellStart"/>
            <w:r w:rsidRPr="007E0AF4">
              <w:rPr>
                <w:sz w:val="22"/>
              </w:rPr>
              <w:t>спортивної</w:t>
            </w:r>
            <w:proofErr w:type="spellEnd"/>
            <w:r w:rsidRPr="007E0AF4">
              <w:rPr>
                <w:sz w:val="22"/>
              </w:rPr>
              <w:t xml:space="preserve"> </w:t>
            </w:r>
            <w:proofErr w:type="spellStart"/>
            <w:r w:rsidRPr="007E0AF4">
              <w:rPr>
                <w:sz w:val="22"/>
              </w:rPr>
              <w:t>зали</w:t>
            </w:r>
            <w:proofErr w:type="spellEnd"/>
            <w:r w:rsidRPr="007E0AF4">
              <w:rPr>
                <w:sz w:val="22"/>
              </w:rPr>
              <w:t xml:space="preserve">, </w:t>
            </w:r>
            <w:proofErr w:type="spellStart"/>
            <w:r w:rsidRPr="007E0AF4">
              <w:rPr>
                <w:sz w:val="22"/>
              </w:rPr>
              <w:t>актової</w:t>
            </w:r>
            <w:proofErr w:type="spellEnd"/>
            <w:r w:rsidRPr="007E0AF4">
              <w:rPr>
                <w:sz w:val="22"/>
              </w:rPr>
              <w:t xml:space="preserve"> </w:t>
            </w:r>
            <w:proofErr w:type="spellStart"/>
            <w:r w:rsidRPr="007E0AF4">
              <w:rPr>
                <w:sz w:val="22"/>
              </w:rPr>
              <w:t>зали</w:t>
            </w:r>
            <w:proofErr w:type="spellEnd"/>
            <w:r w:rsidRPr="007E0AF4">
              <w:rPr>
                <w:sz w:val="22"/>
              </w:rPr>
              <w:t xml:space="preserve">, </w:t>
            </w:r>
            <w:proofErr w:type="spellStart"/>
            <w:r w:rsidRPr="007E0AF4">
              <w:rPr>
                <w:sz w:val="22"/>
              </w:rPr>
              <w:t>їдальні</w:t>
            </w:r>
            <w:proofErr w:type="spellEnd"/>
            <w:r w:rsidRPr="007E0AF4">
              <w:rPr>
                <w:sz w:val="22"/>
              </w:rPr>
              <w:t xml:space="preserve">, </w:t>
            </w:r>
            <w:proofErr w:type="spellStart"/>
            <w:r w:rsidRPr="007E0AF4">
              <w:rPr>
                <w:sz w:val="22"/>
              </w:rPr>
              <w:t>огорожі</w:t>
            </w:r>
            <w:proofErr w:type="spellEnd"/>
            <w:r w:rsidRPr="007E0AF4">
              <w:rPr>
                <w:sz w:val="22"/>
              </w:rPr>
              <w:t xml:space="preserve">, </w:t>
            </w:r>
            <w:proofErr w:type="spellStart"/>
            <w:r w:rsidRPr="007E0AF4">
              <w:rPr>
                <w:sz w:val="22"/>
              </w:rPr>
              <w:t>системи</w:t>
            </w:r>
            <w:proofErr w:type="spellEnd"/>
            <w:r w:rsidRPr="007E0AF4">
              <w:rPr>
                <w:sz w:val="22"/>
              </w:rPr>
              <w:t xml:space="preserve"> </w:t>
            </w:r>
            <w:proofErr w:type="spellStart"/>
            <w:r w:rsidRPr="007E0AF4">
              <w:rPr>
                <w:sz w:val="22"/>
              </w:rPr>
              <w:t>відеоспостереження</w:t>
            </w:r>
            <w:proofErr w:type="spellEnd"/>
            <w:r w:rsidRPr="007E0AF4">
              <w:rPr>
                <w:sz w:val="22"/>
              </w:rPr>
              <w:t xml:space="preserve">, </w:t>
            </w:r>
            <w:proofErr w:type="spellStart"/>
            <w:r w:rsidRPr="007E0AF4">
              <w:rPr>
                <w:sz w:val="22"/>
              </w:rPr>
              <w:t>зовнішнє</w:t>
            </w:r>
            <w:proofErr w:type="spellEnd"/>
            <w:r w:rsidRPr="007E0AF4">
              <w:rPr>
                <w:sz w:val="22"/>
              </w:rPr>
              <w:t xml:space="preserve"> </w:t>
            </w:r>
            <w:proofErr w:type="spellStart"/>
            <w:r w:rsidRPr="007E0AF4">
              <w:rPr>
                <w:sz w:val="22"/>
              </w:rPr>
              <w:t>термоутеплення</w:t>
            </w:r>
            <w:proofErr w:type="spellEnd"/>
            <w:r w:rsidRPr="007E0AF4">
              <w:rPr>
                <w:sz w:val="22"/>
              </w:rPr>
              <w:t xml:space="preserve"> фасаду. </w:t>
            </w:r>
          </w:p>
        </w:tc>
      </w:tr>
      <w:tr w:rsidR="002E3647" w:rsidRPr="007E0AF4" w:rsidTr="002E3647">
        <w:tc>
          <w:tcPr>
            <w:tcW w:w="2978" w:type="dxa"/>
            <w:shd w:val="clear" w:color="auto" w:fill="C6D9F1" w:themeFill="text2" w:themeFillTint="33"/>
          </w:tcPr>
          <w:p w:rsidR="002E3647" w:rsidRPr="007E0AF4" w:rsidRDefault="002E3647" w:rsidP="001E6C97">
            <w:pPr>
              <w:pStyle w:val="a7"/>
              <w:ind w:left="0"/>
              <w:rPr>
                <w:b/>
                <w:sz w:val="22"/>
              </w:rPr>
            </w:pPr>
            <w:proofErr w:type="spellStart"/>
            <w:r w:rsidRPr="007E0AF4">
              <w:rPr>
                <w:b/>
                <w:sz w:val="22"/>
              </w:rPr>
              <w:t>Територія</w:t>
            </w:r>
            <w:proofErr w:type="spellEnd"/>
            <w:r w:rsidRPr="007E0AF4">
              <w:rPr>
                <w:b/>
                <w:sz w:val="22"/>
              </w:rPr>
              <w:t xml:space="preserve">, </w:t>
            </w:r>
            <w:proofErr w:type="gramStart"/>
            <w:r w:rsidRPr="007E0AF4">
              <w:rPr>
                <w:b/>
                <w:sz w:val="22"/>
              </w:rPr>
              <w:t>на яку</w:t>
            </w:r>
            <w:proofErr w:type="gramEnd"/>
            <w:r w:rsidRPr="007E0AF4">
              <w:rPr>
                <w:b/>
                <w:sz w:val="22"/>
              </w:rPr>
              <w:t xml:space="preserve"> </w:t>
            </w:r>
            <w:proofErr w:type="spellStart"/>
            <w:r w:rsidRPr="007E0AF4">
              <w:rPr>
                <w:b/>
                <w:sz w:val="22"/>
              </w:rPr>
              <w:t>матиме</w:t>
            </w:r>
            <w:proofErr w:type="spellEnd"/>
            <w:r w:rsidRPr="007E0AF4">
              <w:rPr>
                <w:b/>
                <w:sz w:val="22"/>
              </w:rPr>
              <w:t xml:space="preserve"> </w:t>
            </w:r>
            <w:proofErr w:type="spellStart"/>
            <w:r w:rsidRPr="007E0AF4">
              <w:rPr>
                <w:b/>
                <w:sz w:val="22"/>
              </w:rPr>
              <w:t>вплив</w:t>
            </w:r>
            <w:proofErr w:type="spellEnd"/>
            <w:r w:rsidRPr="007E0AF4">
              <w:rPr>
                <w:b/>
                <w:sz w:val="22"/>
              </w:rPr>
              <w:t xml:space="preserve"> </w:t>
            </w:r>
            <w:proofErr w:type="spellStart"/>
            <w:r w:rsidRPr="007E0AF4">
              <w:rPr>
                <w:b/>
                <w:sz w:val="22"/>
              </w:rPr>
              <w:t>реалізація</w:t>
            </w:r>
            <w:proofErr w:type="spellEnd"/>
            <w:r w:rsidRPr="007E0AF4">
              <w:rPr>
                <w:b/>
                <w:sz w:val="22"/>
              </w:rPr>
              <w:t xml:space="preserve"> проекту</w:t>
            </w:r>
          </w:p>
        </w:tc>
        <w:tc>
          <w:tcPr>
            <w:tcW w:w="6910" w:type="dxa"/>
            <w:gridSpan w:val="7"/>
          </w:tcPr>
          <w:p w:rsidR="002E3647" w:rsidRPr="007E0AF4" w:rsidRDefault="002E3647" w:rsidP="001E6C97">
            <w:pPr>
              <w:pStyle w:val="a7"/>
              <w:ind w:left="0"/>
              <w:rPr>
                <w:sz w:val="22"/>
              </w:rPr>
            </w:pPr>
            <w:proofErr w:type="spellStart"/>
            <w:r w:rsidRPr="007E0AF4">
              <w:rPr>
                <w:sz w:val="22"/>
              </w:rPr>
              <w:t>Сєвєродонецька</w:t>
            </w:r>
            <w:proofErr w:type="spellEnd"/>
            <w:r w:rsidRPr="007E0AF4">
              <w:rPr>
                <w:sz w:val="22"/>
              </w:rPr>
              <w:t xml:space="preserve"> </w:t>
            </w:r>
            <w:proofErr w:type="spellStart"/>
            <w:r w:rsidRPr="007E0AF4">
              <w:rPr>
                <w:sz w:val="22"/>
              </w:rPr>
              <w:t>міська</w:t>
            </w:r>
            <w:proofErr w:type="spellEnd"/>
            <w:r w:rsidRPr="007E0AF4">
              <w:rPr>
                <w:sz w:val="22"/>
              </w:rPr>
              <w:t xml:space="preserve"> </w:t>
            </w:r>
            <w:proofErr w:type="spellStart"/>
            <w:r w:rsidRPr="007E0AF4">
              <w:rPr>
                <w:sz w:val="22"/>
              </w:rPr>
              <w:t>територіальна</w:t>
            </w:r>
            <w:proofErr w:type="spellEnd"/>
            <w:r w:rsidRPr="007E0AF4">
              <w:rPr>
                <w:sz w:val="22"/>
              </w:rPr>
              <w:t xml:space="preserve"> громада</w:t>
            </w:r>
          </w:p>
        </w:tc>
      </w:tr>
      <w:tr w:rsidR="002E3647" w:rsidRPr="007E0AF4" w:rsidTr="002E3647">
        <w:tc>
          <w:tcPr>
            <w:tcW w:w="2978" w:type="dxa"/>
            <w:shd w:val="clear" w:color="auto" w:fill="C6D9F1" w:themeFill="text2" w:themeFillTint="33"/>
          </w:tcPr>
          <w:p w:rsidR="002E3647" w:rsidRPr="007E0AF4" w:rsidRDefault="002E3647" w:rsidP="001E6C97">
            <w:pPr>
              <w:pStyle w:val="a7"/>
              <w:ind w:left="0"/>
              <w:rPr>
                <w:b/>
                <w:sz w:val="22"/>
              </w:rPr>
            </w:pPr>
            <w:proofErr w:type="spellStart"/>
            <w:r w:rsidRPr="007E0AF4">
              <w:rPr>
                <w:b/>
                <w:sz w:val="22"/>
              </w:rPr>
              <w:t>Чисельність</w:t>
            </w:r>
            <w:proofErr w:type="spellEnd"/>
            <w:r w:rsidRPr="007E0AF4">
              <w:rPr>
                <w:b/>
                <w:sz w:val="22"/>
              </w:rPr>
              <w:t xml:space="preserve"> </w:t>
            </w:r>
            <w:proofErr w:type="spellStart"/>
            <w:r w:rsidRPr="007E0AF4">
              <w:rPr>
                <w:b/>
                <w:sz w:val="22"/>
              </w:rPr>
              <w:t>населення</w:t>
            </w:r>
            <w:proofErr w:type="spellEnd"/>
            <w:r w:rsidRPr="007E0AF4">
              <w:rPr>
                <w:b/>
                <w:sz w:val="22"/>
              </w:rPr>
              <w:t xml:space="preserve">, на яке </w:t>
            </w:r>
            <w:proofErr w:type="spellStart"/>
            <w:r w:rsidRPr="007E0AF4">
              <w:rPr>
                <w:b/>
                <w:sz w:val="22"/>
              </w:rPr>
              <w:t>матиме</w:t>
            </w:r>
            <w:proofErr w:type="spellEnd"/>
            <w:r w:rsidRPr="007E0AF4">
              <w:rPr>
                <w:b/>
                <w:sz w:val="22"/>
              </w:rPr>
              <w:t xml:space="preserve"> </w:t>
            </w:r>
            <w:proofErr w:type="spellStart"/>
            <w:r w:rsidRPr="007E0AF4">
              <w:rPr>
                <w:b/>
                <w:sz w:val="22"/>
              </w:rPr>
              <w:t>вплив</w:t>
            </w:r>
            <w:proofErr w:type="spellEnd"/>
            <w:r w:rsidRPr="007E0AF4">
              <w:rPr>
                <w:b/>
                <w:sz w:val="22"/>
              </w:rPr>
              <w:t xml:space="preserve"> </w:t>
            </w:r>
            <w:proofErr w:type="spellStart"/>
            <w:r w:rsidRPr="007E0AF4">
              <w:rPr>
                <w:b/>
                <w:sz w:val="22"/>
              </w:rPr>
              <w:t>реалізація</w:t>
            </w:r>
            <w:proofErr w:type="spellEnd"/>
            <w:r w:rsidRPr="007E0AF4">
              <w:rPr>
                <w:b/>
                <w:sz w:val="22"/>
              </w:rPr>
              <w:t xml:space="preserve"> проекту</w:t>
            </w:r>
          </w:p>
        </w:tc>
        <w:tc>
          <w:tcPr>
            <w:tcW w:w="6910" w:type="dxa"/>
            <w:gridSpan w:val="7"/>
          </w:tcPr>
          <w:p w:rsidR="002E3647" w:rsidRPr="007E0AF4" w:rsidRDefault="002E3647" w:rsidP="001E6C97">
            <w:pPr>
              <w:pStyle w:val="a7"/>
              <w:ind w:left="0"/>
              <w:rPr>
                <w:sz w:val="22"/>
              </w:rPr>
            </w:pPr>
            <w:r w:rsidRPr="007E0AF4">
              <w:rPr>
                <w:sz w:val="22"/>
              </w:rPr>
              <w:t xml:space="preserve"> 70 </w:t>
            </w:r>
            <w:proofErr w:type="gramStart"/>
            <w:r w:rsidRPr="007E0AF4">
              <w:rPr>
                <w:sz w:val="22"/>
              </w:rPr>
              <w:t xml:space="preserve">000  </w:t>
            </w:r>
            <w:proofErr w:type="spellStart"/>
            <w:r w:rsidRPr="007E0AF4">
              <w:rPr>
                <w:sz w:val="22"/>
              </w:rPr>
              <w:t>осіб</w:t>
            </w:r>
            <w:proofErr w:type="spellEnd"/>
            <w:proofErr w:type="gramEnd"/>
          </w:p>
        </w:tc>
      </w:tr>
      <w:tr w:rsidR="002E3647" w:rsidRPr="007E0AF4" w:rsidTr="002E3647">
        <w:tc>
          <w:tcPr>
            <w:tcW w:w="2978" w:type="dxa"/>
            <w:shd w:val="clear" w:color="auto" w:fill="C6D9F1" w:themeFill="text2" w:themeFillTint="33"/>
          </w:tcPr>
          <w:p w:rsidR="002E3647" w:rsidRPr="007E0AF4" w:rsidRDefault="002E3647" w:rsidP="001E6C97">
            <w:pPr>
              <w:rPr>
                <w:b/>
                <w:sz w:val="22"/>
              </w:rPr>
            </w:pPr>
            <w:proofErr w:type="spellStart"/>
            <w:r w:rsidRPr="007E0AF4">
              <w:rPr>
                <w:b/>
                <w:sz w:val="22"/>
              </w:rPr>
              <w:t>Опис</w:t>
            </w:r>
            <w:proofErr w:type="spellEnd"/>
            <w:r w:rsidRPr="007E0AF4">
              <w:rPr>
                <w:b/>
                <w:sz w:val="22"/>
              </w:rPr>
              <w:t xml:space="preserve"> </w:t>
            </w:r>
            <w:proofErr w:type="spellStart"/>
            <w:r w:rsidRPr="007E0AF4">
              <w:rPr>
                <w:b/>
                <w:sz w:val="22"/>
              </w:rPr>
              <w:t>проблеми</w:t>
            </w:r>
            <w:proofErr w:type="spellEnd"/>
            <w:r w:rsidRPr="007E0AF4">
              <w:rPr>
                <w:b/>
                <w:sz w:val="22"/>
              </w:rPr>
              <w:t xml:space="preserve">, на </w:t>
            </w:r>
            <w:proofErr w:type="spellStart"/>
            <w:r w:rsidRPr="007E0AF4">
              <w:rPr>
                <w:b/>
                <w:sz w:val="22"/>
              </w:rPr>
              <w:t>вирішення</w:t>
            </w:r>
            <w:proofErr w:type="spellEnd"/>
            <w:r w:rsidRPr="007E0AF4">
              <w:rPr>
                <w:b/>
                <w:sz w:val="22"/>
              </w:rPr>
              <w:t xml:space="preserve"> </w:t>
            </w:r>
            <w:proofErr w:type="spellStart"/>
            <w:proofErr w:type="gramStart"/>
            <w:r w:rsidRPr="007E0AF4">
              <w:rPr>
                <w:b/>
                <w:sz w:val="22"/>
              </w:rPr>
              <w:t>якої</w:t>
            </w:r>
            <w:proofErr w:type="spellEnd"/>
            <w:r w:rsidRPr="007E0AF4">
              <w:rPr>
                <w:b/>
                <w:sz w:val="22"/>
              </w:rPr>
              <w:t xml:space="preserve">  </w:t>
            </w:r>
            <w:proofErr w:type="spellStart"/>
            <w:r w:rsidRPr="007E0AF4">
              <w:rPr>
                <w:b/>
                <w:sz w:val="22"/>
              </w:rPr>
              <w:t>спрямований</w:t>
            </w:r>
            <w:proofErr w:type="spellEnd"/>
            <w:proofErr w:type="gramEnd"/>
            <w:r w:rsidRPr="007E0AF4">
              <w:rPr>
                <w:b/>
                <w:sz w:val="22"/>
              </w:rPr>
              <w:t xml:space="preserve"> проект</w:t>
            </w:r>
          </w:p>
        </w:tc>
        <w:tc>
          <w:tcPr>
            <w:tcW w:w="6910" w:type="dxa"/>
            <w:gridSpan w:val="7"/>
          </w:tcPr>
          <w:p w:rsidR="002E3647" w:rsidRPr="007E0AF4" w:rsidRDefault="002E3647" w:rsidP="001E6C97">
            <w:pPr>
              <w:ind w:firstLine="653"/>
              <w:rPr>
                <w:sz w:val="22"/>
              </w:rPr>
            </w:pPr>
            <w:r w:rsidRPr="007E0AF4">
              <w:rPr>
                <w:sz w:val="22"/>
              </w:rPr>
              <w:t xml:space="preserve">Через </w:t>
            </w:r>
            <w:proofErr w:type="spellStart"/>
            <w:r w:rsidRPr="007E0AF4">
              <w:rPr>
                <w:sz w:val="22"/>
              </w:rPr>
              <w:t>військову</w:t>
            </w:r>
            <w:proofErr w:type="spellEnd"/>
            <w:r w:rsidRPr="007E0AF4">
              <w:rPr>
                <w:sz w:val="22"/>
              </w:rPr>
              <w:t xml:space="preserve"> </w:t>
            </w:r>
            <w:proofErr w:type="spellStart"/>
            <w:r w:rsidRPr="007E0AF4">
              <w:rPr>
                <w:sz w:val="22"/>
              </w:rPr>
              <w:t>агресію</w:t>
            </w:r>
            <w:proofErr w:type="spellEnd"/>
            <w:r w:rsidRPr="007E0AF4">
              <w:rPr>
                <w:sz w:val="22"/>
              </w:rPr>
              <w:t xml:space="preserve"> РФ </w:t>
            </w:r>
            <w:proofErr w:type="spellStart"/>
            <w:r w:rsidRPr="007E0AF4">
              <w:rPr>
                <w:sz w:val="22"/>
              </w:rPr>
              <w:t>територія</w:t>
            </w:r>
            <w:proofErr w:type="spellEnd"/>
            <w:r w:rsidRPr="007E0AF4">
              <w:rPr>
                <w:sz w:val="22"/>
              </w:rPr>
              <w:t xml:space="preserve"> </w:t>
            </w:r>
            <w:proofErr w:type="spellStart"/>
            <w:r w:rsidRPr="007E0AF4">
              <w:rPr>
                <w:sz w:val="22"/>
              </w:rPr>
              <w:t>Сєвєродонецької</w:t>
            </w:r>
            <w:proofErr w:type="spellEnd"/>
            <w:r w:rsidRPr="007E0AF4">
              <w:rPr>
                <w:sz w:val="22"/>
              </w:rPr>
              <w:t xml:space="preserve"> </w:t>
            </w:r>
            <w:proofErr w:type="spellStart"/>
            <w:r w:rsidRPr="007E0AF4">
              <w:rPr>
                <w:sz w:val="22"/>
              </w:rPr>
              <w:t>міської</w:t>
            </w:r>
            <w:proofErr w:type="spellEnd"/>
            <w:r w:rsidRPr="007E0AF4">
              <w:rPr>
                <w:sz w:val="22"/>
              </w:rPr>
              <w:t xml:space="preserve"> </w:t>
            </w:r>
            <w:proofErr w:type="spellStart"/>
            <w:r w:rsidRPr="007E0AF4">
              <w:rPr>
                <w:sz w:val="22"/>
              </w:rPr>
              <w:t>територіальної</w:t>
            </w:r>
            <w:proofErr w:type="spellEnd"/>
            <w:r w:rsidRPr="007E0AF4">
              <w:rPr>
                <w:sz w:val="22"/>
              </w:rPr>
              <w:t xml:space="preserve"> </w:t>
            </w:r>
            <w:proofErr w:type="spellStart"/>
            <w:r w:rsidRPr="007E0AF4">
              <w:rPr>
                <w:sz w:val="22"/>
              </w:rPr>
              <w:t>громади</w:t>
            </w:r>
            <w:proofErr w:type="spellEnd"/>
            <w:r w:rsidRPr="007E0AF4">
              <w:rPr>
                <w:sz w:val="22"/>
              </w:rPr>
              <w:t xml:space="preserve"> </w:t>
            </w:r>
            <w:proofErr w:type="spellStart"/>
            <w:r w:rsidRPr="007E0AF4">
              <w:rPr>
                <w:sz w:val="22"/>
              </w:rPr>
              <w:t>зазнала</w:t>
            </w:r>
            <w:proofErr w:type="spellEnd"/>
            <w:r w:rsidRPr="007E0AF4">
              <w:rPr>
                <w:sz w:val="22"/>
              </w:rPr>
              <w:t xml:space="preserve"> </w:t>
            </w:r>
            <w:proofErr w:type="spellStart"/>
            <w:r w:rsidRPr="007E0AF4">
              <w:rPr>
                <w:sz w:val="22"/>
              </w:rPr>
              <w:t>значних</w:t>
            </w:r>
            <w:proofErr w:type="spellEnd"/>
            <w:r w:rsidRPr="007E0AF4">
              <w:rPr>
                <w:sz w:val="22"/>
              </w:rPr>
              <w:t xml:space="preserve"> </w:t>
            </w:r>
            <w:proofErr w:type="spellStart"/>
            <w:r w:rsidRPr="007E0AF4">
              <w:rPr>
                <w:sz w:val="22"/>
              </w:rPr>
              <w:t>пошкоджень</w:t>
            </w:r>
            <w:proofErr w:type="spellEnd"/>
            <w:r w:rsidRPr="007E0AF4">
              <w:rPr>
                <w:sz w:val="22"/>
              </w:rPr>
              <w:t xml:space="preserve">. </w:t>
            </w:r>
            <w:proofErr w:type="spellStart"/>
            <w:r w:rsidRPr="007E0AF4">
              <w:rPr>
                <w:sz w:val="22"/>
              </w:rPr>
              <w:t>Гімназія</w:t>
            </w:r>
            <w:proofErr w:type="spellEnd"/>
            <w:r w:rsidRPr="007E0AF4">
              <w:rPr>
                <w:sz w:val="22"/>
              </w:rPr>
              <w:t xml:space="preserve"> «ГАРМОНІЯ» </w:t>
            </w:r>
            <w:proofErr w:type="spellStart"/>
            <w:r w:rsidRPr="007E0AF4">
              <w:rPr>
                <w:sz w:val="22"/>
              </w:rPr>
              <w:t>міста</w:t>
            </w:r>
            <w:proofErr w:type="spellEnd"/>
            <w:r w:rsidRPr="007E0AF4">
              <w:rPr>
                <w:sz w:val="22"/>
              </w:rPr>
              <w:t xml:space="preserve"> </w:t>
            </w:r>
            <w:proofErr w:type="spellStart"/>
            <w:r w:rsidRPr="007E0AF4">
              <w:rPr>
                <w:sz w:val="22"/>
              </w:rPr>
              <w:t>Сєвєродонецька</w:t>
            </w:r>
            <w:proofErr w:type="spellEnd"/>
            <w:r w:rsidRPr="007E0AF4">
              <w:rPr>
                <w:sz w:val="22"/>
              </w:rPr>
              <w:t xml:space="preserve"> </w:t>
            </w:r>
            <w:proofErr w:type="spellStart"/>
            <w:r w:rsidRPr="007E0AF4">
              <w:rPr>
                <w:sz w:val="22"/>
              </w:rPr>
              <w:t>Луганської</w:t>
            </w:r>
            <w:proofErr w:type="spellEnd"/>
            <w:r w:rsidRPr="007E0AF4">
              <w:rPr>
                <w:sz w:val="22"/>
              </w:rPr>
              <w:t xml:space="preserve"> </w:t>
            </w:r>
            <w:proofErr w:type="spellStart"/>
            <w:r w:rsidRPr="007E0AF4">
              <w:rPr>
                <w:sz w:val="22"/>
              </w:rPr>
              <w:t>області</w:t>
            </w:r>
            <w:proofErr w:type="spellEnd"/>
            <w:r w:rsidRPr="007E0AF4">
              <w:rPr>
                <w:sz w:val="22"/>
              </w:rPr>
              <w:t xml:space="preserve"> </w:t>
            </w:r>
            <w:proofErr w:type="spellStart"/>
            <w:r w:rsidRPr="007E0AF4">
              <w:rPr>
                <w:sz w:val="22"/>
              </w:rPr>
              <w:t>також</w:t>
            </w:r>
            <w:proofErr w:type="spellEnd"/>
            <w:r w:rsidRPr="007E0AF4">
              <w:rPr>
                <w:sz w:val="22"/>
              </w:rPr>
              <w:t xml:space="preserve"> </w:t>
            </w:r>
            <w:proofErr w:type="spellStart"/>
            <w:r w:rsidRPr="007E0AF4">
              <w:rPr>
                <w:sz w:val="22"/>
              </w:rPr>
              <w:t>зазнала</w:t>
            </w:r>
            <w:proofErr w:type="spellEnd"/>
            <w:r w:rsidRPr="007E0AF4">
              <w:rPr>
                <w:sz w:val="22"/>
              </w:rPr>
              <w:t xml:space="preserve"> </w:t>
            </w:r>
            <w:proofErr w:type="spellStart"/>
            <w:r w:rsidRPr="007E0AF4">
              <w:rPr>
                <w:sz w:val="22"/>
              </w:rPr>
              <w:t>руйнувань</w:t>
            </w:r>
            <w:proofErr w:type="spellEnd"/>
            <w:r w:rsidRPr="007E0AF4">
              <w:rPr>
                <w:sz w:val="22"/>
              </w:rPr>
              <w:t xml:space="preserve">, </w:t>
            </w:r>
            <w:proofErr w:type="spellStart"/>
            <w:r w:rsidRPr="007E0AF4">
              <w:rPr>
                <w:sz w:val="22"/>
              </w:rPr>
              <w:t>майно</w:t>
            </w:r>
            <w:proofErr w:type="spellEnd"/>
            <w:r w:rsidRPr="007E0AF4">
              <w:rPr>
                <w:sz w:val="22"/>
              </w:rPr>
              <w:t xml:space="preserve"> закладу </w:t>
            </w:r>
            <w:proofErr w:type="spellStart"/>
            <w:r w:rsidRPr="007E0AF4">
              <w:rPr>
                <w:sz w:val="22"/>
              </w:rPr>
              <w:t>пошкоджене</w:t>
            </w:r>
            <w:proofErr w:type="spellEnd"/>
            <w:r w:rsidRPr="007E0AF4">
              <w:rPr>
                <w:sz w:val="22"/>
              </w:rPr>
              <w:t xml:space="preserve"> </w:t>
            </w:r>
            <w:proofErr w:type="spellStart"/>
            <w:r w:rsidRPr="007E0AF4">
              <w:rPr>
                <w:sz w:val="22"/>
              </w:rPr>
              <w:t>або</w:t>
            </w:r>
            <w:proofErr w:type="spellEnd"/>
            <w:r w:rsidRPr="007E0AF4">
              <w:rPr>
                <w:sz w:val="22"/>
              </w:rPr>
              <w:t xml:space="preserve"> </w:t>
            </w:r>
            <w:proofErr w:type="spellStart"/>
            <w:r w:rsidRPr="007E0AF4">
              <w:rPr>
                <w:sz w:val="22"/>
              </w:rPr>
              <w:t>розграбоване</w:t>
            </w:r>
            <w:proofErr w:type="spellEnd"/>
            <w:r w:rsidRPr="007E0AF4">
              <w:rPr>
                <w:sz w:val="22"/>
              </w:rPr>
              <w:t xml:space="preserve">. </w:t>
            </w:r>
            <w:proofErr w:type="spellStart"/>
            <w:r w:rsidRPr="007E0AF4">
              <w:rPr>
                <w:sz w:val="22"/>
              </w:rPr>
              <w:t>Вийшли</w:t>
            </w:r>
            <w:proofErr w:type="spellEnd"/>
            <w:r w:rsidRPr="007E0AF4">
              <w:rPr>
                <w:sz w:val="22"/>
              </w:rPr>
              <w:t xml:space="preserve"> </w:t>
            </w:r>
            <w:proofErr w:type="spellStart"/>
            <w:r w:rsidRPr="007E0AF4">
              <w:rPr>
                <w:sz w:val="22"/>
              </w:rPr>
              <w:t>із</w:t>
            </w:r>
            <w:proofErr w:type="spellEnd"/>
            <w:r w:rsidRPr="007E0AF4">
              <w:rPr>
                <w:sz w:val="22"/>
              </w:rPr>
              <w:t xml:space="preserve"> ладу </w:t>
            </w:r>
            <w:proofErr w:type="spellStart"/>
            <w:r w:rsidRPr="007E0AF4">
              <w:rPr>
                <w:sz w:val="22"/>
              </w:rPr>
              <w:t>системи</w:t>
            </w:r>
            <w:proofErr w:type="spellEnd"/>
            <w:r w:rsidRPr="007E0AF4">
              <w:rPr>
                <w:sz w:val="22"/>
              </w:rPr>
              <w:t xml:space="preserve"> </w:t>
            </w:r>
            <w:proofErr w:type="spellStart"/>
            <w:r w:rsidRPr="007E0AF4">
              <w:rPr>
                <w:sz w:val="22"/>
              </w:rPr>
              <w:t>опалення</w:t>
            </w:r>
            <w:proofErr w:type="spellEnd"/>
            <w:r w:rsidRPr="007E0AF4">
              <w:rPr>
                <w:sz w:val="22"/>
              </w:rPr>
              <w:t xml:space="preserve">, </w:t>
            </w:r>
            <w:proofErr w:type="spellStart"/>
            <w:r w:rsidRPr="007E0AF4">
              <w:rPr>
                <w:sz w:val="22"/>
              </w:rPr>
              <w:t>водопостачання</w:t>
            </w:r>
            <w:proofErr w:type="spellEnd"/>
            <w:r w:rsidRPr="007E0AF4">
              <w:rPr>
                <w:sz w:val="22"/>
              </w:rPr>
              <w:t xml:space="preserve"> і </w:t>
            </w:r>
            <w:proofErr w:type="spellStart"/>
            <w:r w:rsidRPr="007E0AF4">
              <w:rPr>
                <w:sz w:val="22"/>
              </w:rPr>
              <w:t>водовідведення</w:t>
            </w:r>
            <w:proofErr w:type="spellEnd"/>
            <w:r w:rsidRPr="007E0AF4">
              <w:rPr>
                <w:sz w:val="22"/>
              </w:rPr>
              <w:t xml:space="preserve">, </w:t>
            </w:r>
            <w:proofErr w:type="spellStart"/>
            <w:r w:rsidRPr="007E0AF4">
              <w:rPr>
                <w:sz w:val="22"/>
              </w:rPr>
              <w:t>електропостачання</w:t>
            </w:r>
            <w:proofErr w:type="spellEnd"/>
            <w:r w:rsidRPr="007E0AF4">
              <w:rPr>
                <w:sz w:val="22"/>
              </w:rPr>
              <w:t xml:space="preserve">, </w:t>
            </w:r>
            <w:proofErr w:type="spellStart"/>
            <w:r w:rsidRPr="007E0AF4">
              <w:rPr>
                <w:sz w:val="22"/>
              </w:rPr>
              <w:t>зовнішнього</w:t>
            </w:r>
            <w:proofErr w:type="spellEnd"/>
            <w:r w:rsidRPr="007E0AF4">
              <w:rPr>
                <w:sz w:val="22"/>
              </w:rPr>
              <w:t xml:space="preserve"> </w:t>
            </w:r>
            <w:proofErr w:type="spellStart"/>
            <w:r w:rsidRPr="007E0AF4">
              <w:rPr>
                <w:sz w:val="22"/>
              </w:rPr>
              <w:t>освітлення</w:t>
            </w:r>
            <w:proofErr w:type="spellEnd"/>
            <w:r w:rsidRPr="007E0AF4">
              <w:rPr>
                <w:sz w:val="22"/>
              </w:rPr>
              <w:t xml:space="preserve">, </w:t>
            </w:r>
            <w:proofErr w:type="spellStart"/>
            <w:r w:rsidRPr="007E0AF4">
              <w:rPr>
                <w:sz w:val="22"/>
              </w:rPr>
              <w:t>мережі</w:t>
            </w:r>
            <w:proofErr w:type="spellEnd"/>
            <w:r w:rsidRPr="007E0AF4">
              <w:rPr>
                <w:sz w:val="22"/>
              </w:rPr>
              <w:t xml:space="preserve"> </w:t>
            </w:r>
            <w:proofErr w:type="spellStart"/>
            <w:r w:rsidRPr="007E0AF4">
              <w:rPr>
                <w:sz w:val="22"/>
              </w:rPr>
              <w:t>Інтернет</w:t>
            </w:r>
            <w:proofErr w:type="spellEnd"/>
            <w:r w:rsidRPr="007E0AF4">
              <w:rPr>
                <w:sz w:val="22"/>
              </w:rPr>
              <w:t xml:space="preserve"> </w:t>
            </w:r>
            <w:proofErr w:type="spellStart"/>
            <w:r w:rsidRPr="007E0AF4">
              <w:rPr>
                <w:sz w:val="22"/>
              </w:rPr>
              <w:t>тощо</w:t>
            </w:r>
            <w:proofErr w:type="spellEnd"/>
            <w:r w:rsidRPr="007E0AF4">
              <w:rPr>
                <w:sz w:val="22"/>
              </w:rPr>
              <w:t xml:space="preserve">. </w:t>
            </w:r>
            <w:proofErr w:type="spellStart"/>
            <w:r w:rsidRPr="007E0AF4">
              <w:rPr>
                <w:sz w:val="22"/>
              </w:rPr>
              <w:t>Частково</w:t>
            </w:r>
            <w:proofErr w:type="spellEnd"/>
            <w:r w:rsidRPr="007E0AF4">
              <w:rPr>
                <w:sz w:val="22"/>
              </w:rPr>
              <w:t xml:space="preserve"> </w:t>
            </w:r>
            <w:proofErr w:type="spellStart"/>
            <w:r w:rsidRPr="007E0AF4">
              <w:rPr>
                <w:sz w:val="22"/>
              </w:rPr>
              <w:t>пошкоджено</w:t>
            </w:r>
            <w:proofErr w:type="spellEnd"/>
            <w:r w:rsidRPr="007E0AF4">
              <w:rPr>
                <w:sz w:val="22"/>
              </w:rPr>
              <w:t xml:space="preserve"> огорожу закладу, </w:t>
            </w:r>
            <w:proofErr w:type="spellStart"/>
            <w:r w:rsidRPr="007E0AF4">
              <w:rPr>
                <w:sz w:val="22"/>
              </w:rPr>
              <w:t>частина</w:t>
            </w:r>
            <w:proofErr w:type="spellEnd"/>
            <w:r w:rsidRPr="007E0AF4">
              <w:rPr>
                <w:sz w:val="22"/>
              </w:rPr>
              <w:t xml:space="preserve"> </w:t>
            </w:r>
            <w:proofErr w:type="spellStart"/>
            <w:r w:rsidRPr="007E0AF4">
              <w:rPr>
                <w:sz w:val="22"/>
              </w:rPr>
              <w:t>будівлі</w:t>
            </w:r>
            <w:proofErr w:type="spellEnd"/>
            <w:r w:rsidRPr="007E0AF4">
              <w:rPr>
                <w:sz w:val="22"/>
              </w:rPr>
              <w:t xml:space="preserve"> </w:t>
            </w:r>
            <w:proofErr w:type="spellStart"/>
            <w:r w:rsidRPr="007E0AF4">
              <w:rPr>
                <w:sz w:val="22"/>
              </w:rPr>
              <w:t>вигоріла</w:t>
            </w:r>
            <w:proofErr w:type="spellEnd"/>
            <w:r w:rsidRPr="007E0AF4">
              <w:rPr>
                <w:sz w:val="22"/>
              </w:rPr>
              <w:t xml:space="preserve">. </w:t>
            </w:r>
            <w:proofErr w:type="spellStart"/>
            <w:r w:rsidRPr="007E0AF4">
              <w:rPr>
                <w:sz w:val="22"/>
              </w:rPr>
              <w:t>Значних</w:t>
            </w:r>
            <w:proofErr w:type="spellEnd"/>
            <w:r w:rsidRPr="007E0AF4">
              <w:rPr>
                <w:sz w:val="22"/>
              </w:rPr>
              <w:t xml:space="preserve"> </w:t>
            </w:r>
            <w:proofErr w:type="spellStart"/>
            <w:r w:rsidRPr="007E0AF4">
              <w:rPr>
                <w:sz w:val="22"/>
              </w:rPr>
              <w:t>руйнувань</w:t>
            </w:r>
            <w:proofErr w:type="spellEnd"/>
            <w:r w:rsidRPr="007E0AF4">
              <w:rPr>
                <w:sz w:val="22"/>
              </w:rPr>
              <w:t xml:space="preserve"> і </w:t>
            </w:r>
            <w:proofErr w:type="spellStart"/>
            <w:r w:rsidRPr="007E0AF4">
              <w:rPr>
                <w:sz w:val="22"/>
              </w:rPr>
              <w:t>пошкоджень</w:t>
            </w:r>
            <w:proofErr w:type="spellEnd"/>
            <w:r w:rsidRPr="007E0AF4">
              <w:rPr>
                <w:sz w:val="22"/>
              </w:rPr>
              <w:t xml:space="preserve"> </w:t>
            </w:r>
            <w:proofErr w:type="spellStart"/>
            <w:r w:rsidRPr="007E0AF4">
              <w:rPr>
                <w:sz w:val="22"/>
              </w:rPr>
              <w:t>зазнала</w:t>
            </w:r>
            <w:proofErr w:type="spellEnd"/>
            <w:r w:rsidRPr="007E0AF4">
              <w:rPr>
                <w:sz w:val="22"/>
              </w:rPr>
              <w:t xml:space="preserve"> </w:t>
            </w:r>
            <w:proofErr w:type="spellStart"/>
            <w:r w:rsidRPr="007E0AF4">
              <w:rPr>
                <w:sz w:val="22"/>
              </w:rPr>
              <w:t>покрівля</w:t>
            </w:r>
            <w:proofErr w:type="spellEnd"/>
            <w:r w:rsidRPr="007E0AF4">
              <w:rPr>
                <w:sz w:val="22"/>
              </w:rPr>
              <w:t xml:space="preserve"> закладу.</w:t>
            </w:r>
          </w:p>
          <w:p w:rsidR="002E3647" w:rsidRPr="007E0AF4" w:rsidRDefault="002E3647" w:rsidP="001E6C97">
            <w:pPr>
              <w:pStyle w:val="13"/>
              <w:ind w:firstLine="653"/>
              <w:jc w:val="both"/>
              <w:rPr>
                <w:sz w:val="22"/>
                <w:lang w:val="uk-UA"/>
              </w:rPr>
            </w:pPr>
            <w:r w:rsidRPr="007E0AF4">
              <w:rPr>
                <w:rFonts w:eastAsia="Arial"/>
                <w:sz w:val="22"/>
                <w:lang w:val="uk-UA"/>
              </w:rPr>
              <w:t xml:space="preserve">Для відбудови та сталого розвитку громади потрібен капітальний ремонт будівлі та відновлення роботи комунального закладу Гімназії «ГАРМОНІЯ» міста Сєвєродонецька Луганської області. </w:t>
            </w:r>
          </w:p>
        </w:tc>
      </w:tr>
      <w:tr w:rsidR="002E3647" w:rsidRPr="007E0AF4" w:rsidTr="002E3647">
        <w:tc>
          <w:tcPr>
            <w:tcW w:w="2978" w:type="dxa"/>
            <w:shd w:val="clear" w:color="auto" w:fill="C6D9F1" w:themeFill="text2" w:themeFillTint="33"/>
          </w:tcPr>
          <w:p w:rsidR="002E3647" w:rsidRPr="007E0AF4" w:rsidRDefault="002E3647" w:rsidP="001E6C97">
            <w:pPr>
              <w:pStyle w:val="a7"/>
              <w:ind w:left="0"/>
              <w:rPr>
                <w:b/>
                <w:sz w:val="22"/>
              </w:rPr>
            </w:pPr>
            <w:proofErr w:type="spellStart"/>
            <w:r w:rsidRPr="007E0AF4">
              <w:rPr>
                <w:b/>
                <w:sz w:val="22"/>
              </w:rPr>
              <w:t>Очікувані</w:t>
            </w:r>
            <w:proofErr w:type="spellEnd"/>
            <w:r w:rsidRPr="007E0AF4">
              <w:rPr>
                <w:b/>
                <w:sz w:val="22"/>
              </w:rPr>
              <w:t xml:space="preserve"> </w:t>
            </w:r>
            <w:proofErr w:type="spellStart"/>
            <w:r w:rsidRPr="007E0AF4">
              <w:rPr>
                <w:b/>
                <w:sz w:val="22"/>
              </w:rPr>
              <w:t>якісні</w:t>
            </w:r>
            <w:proofErr w:type="spellEnd"/>
            <w:r w:rsidRPr="007E0AF4">
              <w:rPr>
                <w:b/>
                <w:sz w:val="22"/>
              </w:rPr>
              <w:t xml:space="preserve"> </w:t>
            </w:r>
            <w:proofErr w:type="spellStart"/>
            <w:r w:rsidRPr="007E0AF4">
              <w:rPr>
                <w:b/>
                <w:sz w:val="22"/>
              </w:rPr>
              <w:t>результати</w:t>
            </w:r>
            <w:proofErr w:type="spellEnd"/>
            <w:r w:rsidRPr="007E0AF4">
              <w:rPr>
                <w:b/>
                <w:sz w:val="22"/>
              </w:rPr>
              <w:t xml:space="preserve"> </w:t>
            </w:r>
            <w:proofErr w:type="spellStart"/>
            <w:r w:rsidRPr="007E0AF4">
              <w:rPr>
                <w:b/>
                <w:sz w:val="22"/>
              </w:rPr>
              <w:t>від</w:t>
            </w:r>
            <w:proofErr w:type="spellEnd"/>
            <w:r w:rsidRPr="007E0AF4">
              <w:rPr>
                <w:b/>
                <w:sz w:val="22"/>
              </w:rPr>
              <w:t xml:space="preserve"> </w:t>
            </w:r>
            <w:proofErr w:type="spellStart"/>
            <w:r w:rsidRPr="007E0AF4">
              <w:rPr>
                <w:b/>
                <w:sz w:val="22"/>
              </w:rPr>
              <w:t>реалізації</w:t>
            </w:r>
            <w:proofErr w:type="spellEnd"/>
            <w:r w:rsidRPr="007E0AF4">
              <w:rPr>
                <w:b/>
                <w:sz w:val="22"/>
              </w:rPr>
              <w:t xml:space="preserve"> проекту</w:t>
            </w:r>
          </w:p>
        </w:tc>
        <w:tc>
          <w:tcPr>
            <w:tcW w:w="6910" w:type="dxa"/>
            <w:gridSpan w:val="7"/>
          </w:tcPr>
          <w:p w:rsidR="002E3647" w:rsidRPr="007E0AF4" w:rsidRDefault="002E3647" w:rsidP="000303D7">
            <w:pPr>
              <w:pStyle w:val="a7"/>
              <w:numPr>
                <w:ilvl w:val="0"/>
                <w:numId w:val="109"/>
              </w:numPr>
              <w:ind w:left="0" w:firstLine="425"/>
              <w:rPr>
                <w:sz w:val="22"/>
              </w:rPr>
            </w:pPr>
            <w:proofErr w:type="spellStart"/>
            <w:r w:rsidRPr="007E0AF4">
              <w:rPr>
                <w:sz w:val="22"/>
              </w:rPr>
              <w:t>Підготовка</w:t>
            </w:r>
            <w:proofErr w:type="spellEnd"/>
            <w:r w:rsidRPr="007E0AF4">
              <w:rPr>
                <w:sz w:val="22"/>
              </w:rPr>
              <w:t xml:space="preserve"> </w:t>
            </w:r>
            <w:proofErr w:type="spellStart"/>
            <w:r w:rsidRPr="007E0AF4">
              <w:rPr>
                <w:sz w:val="22"/>
              </w:rPr>
              <w:t>будівлі</w:t>
            </w:r>
            <w:proofErr w:type="spellEnd"/>
            <w:r w:rsidRPr="007E0AF4">
              <w:rPr>
                <w:sz w:val="22"/>
              </w:rPr>
              <w:t xml:space="preserve"> </w:t>
            </w:r>
            <w:proofErr w:type="spellStart"/>
            <w:r w:rsidRPr="007E0AF4">
              <w:rPr>
                <w:sz w:val="22"/>
              </w:rPr>
              <w:t>Гімназії</w:t>
            </w:r>
            <w:proofErr w:type="spellEnd"/>
            <w:r w:rsidRPr="007E0AF4">
              <w:rPr>
                <w:sz w:val="22"/>
              </w:rPr>
              <w:t xml:space="preserve"> «ГАРМОНІЯ» для </w:t>
            </w:r>
            <w:proofErr w:type="spellStart"/>
            <w:r w:rsidRPr="007E0AF4">
              <w:rPr>
                <w:sz w:val="22"/>
              </w:rPr>
              <w:t>якісного</w:t>
            </w:r>
            <w:proofErr w:type="spellEnd"/>
            <w:r w:rsidRPr="007E0AF4">
              <w:rPr>
                <w:sz w:val="22"/>
              </w:rPr>
              <w:t xml:space="preserve"> </w:t>
            </w:r>
            <w:proofErr w:type="spellStart"/>
            <w:r w:rsidRPr="007E0AF4">
              <w:rPr>
                <w:sz w:val="22"/>
              </w:rPr>
              <w:t>надання</w:t>
            </w:r>
            <w:proofErr w:type="spellEnd"/>
            <w:r w:rsidRPr="007E0AF4">
              <w:rPr>
                <w:sz w:val="22"/>
              </w:rPr>
              <w:t xml:space="preserve"> </w:t>
            </w:r>
            <w:proofErr w:type="spellStart"/>
            <w:r w:rsidRPr="007E0AF4">
              <w:rPr>
                <w:sz w:val="22"/>
              </w:rPr>
              <w:t>освітніх</w:t>
            </w:r>
            <w:proofErr w:type="spellEnd"/>
            <w:r w:rsidRPr="007E0AF4">
              <w:rPr>
                <w:sz w:val="22"/>
              </w:rPr>
              <w:t xml:space="preserve"> </w:t>
            </w:r>
            <w:proofErr w:type="spellStart"/>
            <w:r w:rsidRPr="007E0AF4">
              <w:rPr>
                <w:sz w:val="22"/>
              </w:rPr>
              <w:t>послуг</w:t>
            </w:r>
            <w:proofErr w:type="spellEnd"/>
            <w:r w:rsidRPr="007E0AF4">
              <w:rPr>
                <w:sz w:val="22"/>
              </w:rPr>
              <w:t xml:space="preserve"> </w:t>
            </w:r>
            <w:proofErr w:type="spellStart"/>
            <w:r w:rsidRPr="007E0AF4">
              <w:rPr>
                <w:sz w:val="22"/>
              </w:rPr>
              <w:t>відповідно</w:t>
            </w:r>
            <w:proofErr w:type="spellEnd"/>
            <w:r w:rsidRPr="007E0AF4">
              <w:rPr>
                <w:sz w:val="22"/>
              </w:rPr>
              <w:t xml:space="preserve"> до чинного </w:t>
            </w:r>
            <w:proofErr w:type="spellStart"/>
            <w:r w:rsidRPr="007E0AF4">
              <w:rPr>
                <w:sz w:val="22"/>
              </w:rPr>
              <w:t>законодавства</w:t>
            </w:r>
            <w:proofErr w:type="spellEnd"/>
            <w:r w:rsidRPr="007E0AF4">
              <w:rPr>
                <w:sz w:val="22"/>
              </w:rPr>
              <w:t xml:space="preserve"> </w:t>
            </w:r>
            <w:proofErr w:type="spellStart"/>
            <w:r w:rsidRPr="007E0AF4">
              <w:rPr>
                <w:sz w:val="22"/>
              </w:rPr>
              <w:t>України</w:t>
            </w:r>
            <w:proofErr w:type="spellEnd"/>
            <w:r w:rsidRPr="007E0AF4">
              <w:rPr>
                <w:sz w:val="22"/>
              </w:rPr>
              <w:t xml:space="preserve">; </w:t>
            </w:r>
          </w:p>
          <w:p w:rsidR="002E3647" w:rsidRPr="007E0AF4" w:rsidRDefault="002E3647" w:rsidP="000303D7">
            <w:pPr>
              <w:pStyle w:val="a7"/>
              <w:numPr>
                <w:ilvl w:val="0"/>
                <w:numId w:val="109"/>
              </w:numPr>
              <w:ind w:left="0" w:firstLine="425"/>
              <w:rPr>
                <w:sz w:val="22"/>
              </w:rPr>
            </w:pPr>
            <w:proofErr w:type="spellStart"/>
            <w:r w:rsidRPr="007E0AF4">
              <w:rPr>
                <w:sz w:val="22"/>
              </w:rPr>
              <w:t>Надання</w:t>
            </w:r>
            <w:proofErr w:type="spellEnd"/>
            <w:r w:rsidRPr="007E0AF4">
              <w:rPr>
                <w:sz w:val="22"/>
              </w:rPr>
              <w:t xml:space="preserve"> широкого спектру </w:t>
            </w:r>
            <w:proofErr w:type="spellStart"/>
            <w:r w:rsidRPr="007E0AF4">
              <w:rPr>
                <w:sz w:val="22"/>
              </w:rPr>
              <w:t>послуг</w:t>
            </w:r>
            <w:proofErr w:type="spellEnd"/>
            <w:r w:rsidRPr="007E0AF4">
              <w:rPr>
                <w:sz w:val="22"/>
              </w:rPr>
              <w:t xml:space="preserve">, </w:t>
            </w:r>
            <w:proofErr w:type="spellStart"/>
            <w:r w:rsidRPr="007E0AF4">
              <w:rPr>
                <w:sz w:val="22"/>
              </w:rPr>
              <w:t>пов’язаних</w:t>
            </w:r>
            <w:proofErr w:type="spellEnd"/>
            <w:r w:rsidRPr="007E0AF4">
              <w:rPr>
                <w:sz w:val="22"/>
              </w:rPr>
              <w:t xml:space="preserve"> </w:t>
            </w:r>
            <w:proofErr w:type="spellStart"/>
            <w:r w:rsidRPr="007E0AF4">
              <w:rPr>
                <w:sz w:val="22"/>
              </w:rPr>
              <w:t>із</w:t>
            </w:r>
            <w:proofErr w:type="spellEnd"/>
            <w:r w:rsidRPr="007E0AF4">
              <w:rPr>
                <w:sz w:val="22"/>
              </w:rPr>
              <w:t xml:space="preserve"> </w:t>
            </w:r>
            <w:proofErr w:type="spellStart"/>
            <w:r w:rsidRPr="007E0AF4">
              <w:rPr>
                <w:sz w:val="22"/>
              </w:rPr>
              <w:t>освітньою</w:t>
            </w:r>
            <w:proofErr w:type="spellEnd"/>
            <w:r w:rsidRPr="007E0AF4">
              <w:rPr>
                <w:sz w:val="22"/>
              </w:rPr>
              <w:t xml:space="preserve"> </w:t>
            </w:r>
            <w:proofErr w:type="spellStart"/>
            <w:r w:rsidRPr="007E0AF4">
              <w:rPr>
                <w:sz w:val="22"/>
              </w:rPr>
              <w:t>діяльністю</w:t>
            </w:r>
            <w:proofErr w:type="spellEnd"/>
            <w:r w:rsidRPr="007E0AF4">
              <w:rPr>
                <w:sz w:val="22"/>
              </w:rPr>
              <w:t xml:space="preserve"> </w:t>
            </w:r>
            <w:proofErr w:type="spellStart"/>
            <w:r w:rsidRPr="007E0AF4">
              <w:rPr>
                <w:sz w:val="22"/>
              </w:rPr>
              <w:t>закладів</w:t>
            </w:r>
            <w:proofErr w:type="spellEnd"/>
            <w:r w:rsidRPr="007E0AF4">
              <w:rPr>
                <w:sz w:val="22"/>
              </w:rPr>
              <w:t xml:space="preserve"> </w:t>
            </w:r>
            <w:proofErr w:type="spellStart"/>
            <w:r w:rsidRPr="007E0AF4">
              <w:rPr>
                <w:sz w:val="22"/>
              </w:rPr>
              <w:t>освіти</w:t>
            </w:r>
            <w:proofErr w:type="spellEnd"/>
            <w:r w:rsidRPr="007E0AF4">
              <w:rPr>
                <w:sz w:val="22"/>
              </w:rPr>
              <w:t xml:space="preserve"> </w:t>
            </w:r>
            <w:proofErr w:type="spellStart"/>
            <w:r w:rsidRPr="007E0AF4">
              <w:rPr>
                <w:sz w:val="22"/>
              </w:rPr>
              <w:t>міста</w:t>
            </w:r>
            <w:proofErr w:type="spellEnd"/>
            <w:r w:rsidRPr="007E0AF4">
              <w:rPr>
                <w:sz w:val="22"/>
              </w:rPr>
              <w:t>;</w:t>
            </w:r>
          </w:p>
          <w:p w:rsidR="002E3647" w:rsidRPr="007E0AF4" w:rsidRDefault="002E3647" w:rsidP="000303D7">
            <w:pPr>
              <w:pStyle w:val="a7"/>
              <w:numPr>
                <w:ilvl w:val="0"/>
                <w:numId w:val="109"/>
              </w:numPr>
              <w:ind w:left="0" w:firstLine="425"/>
              <w:rPr>
                <w:sz w:val="22"/>
              </w:rPr>
            </w:pPr>
            <w:proofErr w:type="spellStart"/>
            <w:r w:rsidRPr="007E0AF4">
              <w:rPr>
                <w:sz w:val="22"/>
              </w:rPr>
              <w:t>Забезпечення</w:t>
            </w:r>
            <w:proofErr w:type="spellEnd"/>
            <w:r w:rsidRPr="007E0AF4">
              <w:rPr>
                <w:sz w:val="22"/>
              </w:rPr>
              <w:t xml:space="preserve"> </w:t>
            </w:r>
            <w:proofErr w:type="spellStart"/>
            <w:r w:rsidRPr="007E0AF4">
              <w:rPr>
                <w:sz w:val="22"/>
              </w:rPr>
              <w:t>населення</w:t>
            </w:r>
            <w:proofErr w:type="spellEnd"/>
            <w:r w:rsidRPr="007E0AF4">
              <w:rPr>
                <w:sz w:val="22"/>
              </w:rPr>
              <w:t xml:space="preserve"> </w:t>
            </w:r>
            <w:proofErr w:type="spellStart"/>
            <w:r w:rsidRPr="007E0AF4">
              <w:rPr>
                <w:sz w:val="22"/>
              </w:rPr>
              <w:t>можливостями</w:t>
            </w:r>
            <w:proofErr w:type="spellEnd"/>
            <w:r w:rsidRPr="007E0AF4">
              <w:rPr>
                <w:sz w:val="22"/>
              </w:rPr>
              <w:t xml:space="preserve"> для </w:t>
            </w:r>
            <w:proofErr w:type="spellStart"/>
            <w:proofErr w:type="gramStart"/>
            <w:r w:rsidRPr="007E0AF4">
              <w:rPr>
                <w:sz w:val="22"/>
              </w:rPr>
              <w:t>реалізації</w:t>
            </w:r>
            <w:proofErr w:type="spellEnd"/>
            <w:r w:rsidRPr="007E0AF4">
              <w:rPr>
                <w:sz w:val="22"/>
              </w:rPr>
              <w:t xml:space="preserve">  </w:t>
            </w:r>
            <w:proofErr w:type="spellStart"/>
            <w:r w:rsidRPr="007E0AF4">
              <w:rPr>
                <w:sz w:val="22"/>
              </w:rPr>
              <w:t>конституційних</w:t>
            </w:r>
            <w:proofErr w:type="spellEnd"/>
            <w:proofErr w:type="gramEnd"/>
            <w:r w:rsidRPr="007E0AF4">
              <w:rPr>
                <w:sz w:val="22"/>
              </w:rPr>
              <w:t xml:space="preserve"> прав, </w:t>
            </w:r>
            <w:proofErr w:type="spellStart"/>
            <w:r w:rsidRPr="007E0AF4">
              <w:rPr>
                <w:sz w:val="22"/>
              </w:rPr>
              <w:t>пов’язаних</w:t>
            </w:r>
            <w:proofErr w:type="spellEnd"/>
            <w:r w:rsidRPr="007E0AF4">
              <w:rPr>
                <w:sz w:val="22"/>
              </w:rPr>
              <w:t xml:space="preserve"> </w:t>
            </w:r>
            <w:proofErr w:type="spellStart"/>
            <w:r w:rsidRPr="007E0AF4">
              <w:rPr>
                <w:sz w:val="22"/>
              </w:rPr>
              <w:t>із</w:t>
            </w:r>
            <w:proofErr w:type="spellEnd"/>
            <w:r w:rsidRPr="007E0AF4">
              <w:rPr>
                <w:sz w:val="22"/>
              </w:rPr>
              <w:t xml:space="preserve"> правом </w:t>
            </w:r>
            <w:proofErr w:type="spellStart"/>
            <w:r w:rsidRPr="007E0AF4">
              <w:rPr>
                <w:sz w:val="22"/>
              </w:rPr>
              <w:t>громадян</w:t>
            </w:r>
            <w:proofErr w:type="spellEnd"/>
            <w:r w:rsidRPr="007E0AF4">
              <w:rPr>
                <w:sz w:val="22"/>
              </w:rPr>
              <w:t xml:space="preserve"> на </w:t>
            </w:r>
            <w:proofErr w:type="spellStart"/>
            <w:r w:rsidRPr="007E0AF4">
              <w:rPr>
                <w:sz w:val="22"/>
              </w:rPr>
              <w:t>освіту</w:t>
            </w:r>
            <w:proofErr w:type="spellEnd"/>
            <w:r w:rsidRPr="007E0AF4">
              <w:rPr>
                <w:sz w:val="22"/>
              </w:rPr>
              <w:t>;</w:t>
            </w:r>
          </w:p>
          <w:p w:rsidR="002E3647" w:rsidRPr="007E0AF4" w:rsidRDefault="002E3647" w:rsidP="000303D7">
            <w:pPr>
              <w:pStyle w:val="a7"/>
              <w:numPr>
                <w:ilvl w:val="0"/>
                <w:numId w:val="109"/>
              </w:numPr>
              <w:ind w:left="0" w:firstLine="425"/>
              <w:rPr>
                <w:sz w:val="22"/>
              </w:rPr>
            </w:pPr>
            <w:proofErr w:type="spellStart"/>
            <w:r w:rsidRPr="007E0AF4">
              <w:rPr>
                <w:sz w:val="22"/>
              </w:rPr>
              <w:t>Вирішення</w:t>
            </w:r>
            <w:proofErr w:type="spellEnd"/>
            <w:r w:rsidRPr="007E0AF4">
              <w:rPr>
                <w:sz w:val="22"/>
              </w:rPr>
              <w:t xml:space="preserve"> ряду </w:t>
            </w:r>
            <w:proofErr w:type="spellStart"/>
            <w:r w:rsidRPr="007E0AF4">
              <w:rPr>
                <w:sz w:val="22"/>
              </w:rPr>
              <w:t>питань</w:t>
            </w:r>
            <w:proofErr w:type="spellEnd"/>
            <w:r w:rsidRPr="007E0AF4">
              <w:rPr>
                <w:sz w:val="22"/>
              </w:rPr>
              <w:t xml:space="preserve"> в межах </w:t>
            </w:r>
            <w:proofErr w:type="spellStart"/>
            <w:r w:rsidRPr="007E0AF4">
              <w:rPr>
                <w:sz w:val="22"/>
              </w:rPr>
              <w:t>Статутної</w:t>
            </w:r>
            <w:proofErr w:type="spellEnd"/>
            <w:r w:rsidRPr="007E0AF4">
              <w:rPr>
                <w:sz w:val="22"/>
              </w:rPr>
              <w:t xml:space="preserve"> </w:t>
            </w:r>
            <w:proofErr w:type="spellStart"/>
            <w:r w:rsidRPr="007E0AF4">
              <w:rPr>
                <w:sz w:val="22"/>
              </w:rPr>
              <w:t>діяльності</w:t>
            </w:r>
            <w:proofErr w:type="spellEnd"/>
            <w:r w:rsidRPr="007E0AF4">
              <w:rPr>
                <w:sz w:val="22"/>
              </w:rPr>
              <w:t xml:space="preserve"> закладу </w:t>
            </w:r>
            <w:proofErr w:type="spellStart"/>
            <w:r w:rsidRPr="007E0AF4">
              <w:rPr>
                <w:sz w:val="22"/>
              </w:rPr>
              <w:t>освіти</w:t>
            </w:r>
            <w:proofErr w:type="spellEnd"/>
            <w:r w:rsidRPr="007E0AF4">
              <w:rPr>
                <w:sz w:val="22"/>
              </w:rPr>
              <w:t xml:space="preserve">, </w:t>
            </w:r>
            <w:proofErr w:type="spellStart"/>
            <w:r w:rsidRPr="007E0AF4">
              <w:rPr>
                <w:sz w:val="22"/>
              </w:rPr>
              <w:t>пов’язаних</w:t>
            </w:r>
            <w:proofErr w:type="spellEnd"/>
            <w:r w:rsidRPr="007E0AF4">
              <w:rPr>
                <w:sz w:val="22"/>
              </w:rPr>
              <w:t xml:space="preserve"> </w:t>
            </w:r>
            <w:proofErr w:type="spellStart"/>
            <w:r w:rsidRPr="007E0AF4">
              <w:rPr>
                <w:sz w:val="22"/>
              </w:rPr>
              <w:t>із</w:t>
            </w:r>
            <w:proofErr w:type="spellEnd"/>
            <w:r w:rsidRPr="007E0AF4">
              <w:rPr>
                <w:sz w:val="22"/>
              </w:rPr>
              <w:t xml:space="preserve"> </w:t>
            </w:r>
            <w:proofErr w:type="spellStart"/>
            <w:r w:rsidRPr="007E0AF4">
              <w:rPr>
                <w:sz w:val="22"/>
              </w:rPr>
              <w:t>відбудовою</w:t>
            </w:r>
            <w:proofErr w:type="spellEnd"/>
            <w:r w:rsidRPr="007E0AF4">
              <w:rPr>
                <w:sz w:val="22"/>
              </w:rPr>
              <w:t xml:space="preserve"> та </w:t>
            </w:r>
            <w:proofErr w:type="spellStart"/>
            <w:r w:rsidRPr="007E0AF4">
              <w:rPr>
                <w:sz w:val="22"/>
              </w:rPr>
              <w:t>сталим</w:t>
            </w:r>
            <w:proofErr w:type="spellEnd"/>
            <w:r w:rsidRPr="007E0AF4">
              <w:rPr>
                <w:sz w:val="22"/>
              </w:rPr>
              <w:t xml:space="preserve"> </w:t>
            </w:r>
            <w:proofErr w:type="spellStart"/>
            <w:r w:rsidRPr="007E0AF4">
              <w:rPr>
                <w:sz w:val="22"/>
              </w:rPr>
              <w:t>розвитком</w:t>
            </w:r>
            <w:proofErr w:type="spellEnd"/>
            <w:r w:rsidRPr="007E0AF4">
              <w:rPr>
                <w:sz w:val="22"/>
              </w:rPr>
              <w:t xml:space="preserve"> </w:t>
            </w:r>
            <w:proofErr w:type="spellStart"/>
            <w:r w:rsidRPr="007E0AF4">
              <w:rPr>
                <w:sz w:val="22"/>
              </w:rPr>
              <w:t>громади</w:t>
            </w:r>
            <w:proofErr w:type="spellEnd"/>
            <w:r w:rsidRPr="007E0AF4">
              <w:rPr>
                <w:sz w:val="22"/>
              </w:rPr>
              <w:t>;</w:t>
            </w:r>
          </w:p>
          <w:p w:rsidR="002E3647" w:rsidRPr="007E0AF4" w:rsidRDefault="002E3647" w:rsidP="000303D7">
            <w:pPr>
              <w:pStyle w:val="a7"/>
              <w:numPr>
                <w:ilvl w:val="0"/>
                <w:numId w:val="109"/>
              </w:numPr>
              <w:ind w:left="0" w:firstLine="425"/>
              <w:rPr>
                <w:sz w:val="22"/>
              </w:rPr>
            </w:pPr>
            <w:proofErr w:type="spellStart"/>
            <w:r w:rsidRPr="007E0AF4">
              <w:rPr>
                <w:sz w:val="22"/>
              </w:rPr>
              <w:t>Створення</w:t>
            </w:r>
            <w:proofErr w:type="spellEnd"/>
            <w:r w:rsidRPr="007E0AF4">
              <w:rPr>
                <w:sz w:val="22"/>
              </w:rPr>
              <w:t xml:space="preserve"> </w:t>
            </w:r>
            <w:proofErr w:type="spellStart"/>
            <w:r w:rsidRPr="007E0AF4">
              <w:rPr>
                <w:sz w:val="22"/>
              </w:rPr>
              <w:t>нових</w:t>
            </w:r>
            <w:proofErr w:type="spellEnd"/>
            <w:r w:rsidRPr="007E0AF4">
              <w:rPr>
                <w:sz w:val="22"/>
              </w:rPr>
              <w:t xml:space="preserve"> </w:t>
            </w:r>
            <w:proofErr w:type="spellStart"/>
            <w:r w:rsidRPr="007E0AF4">
              <w:rPr>
                <w:sz w:val="22"/>
              </w:rPr>
              <w:t>робочих</w:t>
            </w:r>
            <w:proofErr w:type="spellEnd"/>
            <w:r w:rsidRPr="007E0AF4">
              <w:rPr>
                <w:sz w:val="22"/>
              </w:rPr>
              <w:t xml:space="preserve"> </w:t>
            </w:r>
            <w:proofErr w:type="spellStart"/>
            <w:r w:rsidRPr="007E0AF4">
              <w:rPr>
                <w:sz w:val="22"/>
              </w:rPr>
              <w:t>місць</w:t>
            </w:r>
            <w:proofErr w:type="spellEnd"/>
            <w:r w:rsidRPr="007E0AF4">
              <w:rPr>
                <w:sz w:val="22"/>
              </w:rPr>
              <w:t>;</w:t>
            </w:r>
          </w:p>
          <w:p w:rsidR="002E3647" w:rsidRPr="007E0AF4" w:rsidRDefault="002E3647" w:rsidP="000303D7">
            <w:pPr>
              <w:pStyle w:val="a7"/>
              <w:numPr>
                <w:ilvl w:val="0"/>
                <w:numId w:val="109"/>
              </w:numPr>
              <w:ind w:left="0" w:firstLine="425"/>
              <w:rPr>
                <w:sz w:val="22"/>
              </w:rPr>
            </w:pPr>
            <w:r w:rsidRPr="007E0AF4">
              <w:rPr>
                <w:sz w:val="22"/>
              </w:rPr>
              <w:t xml:space="preserve">Стимул для </w:t>
            </w:r>
            <w:proofErr w:type="spellStart"/>
            <w:r w:rsidRPr="007E0AF4">
              <w:rPr>
                <w:sz w:val="22"/>
              </w:rPr>
              <w:t>повернення</w:t>
            </w:r>
            <w:proofErr w:type="spellEnd"/>
            <w:r w:rsidRPr="007E0AF4">
              <w:rPr>
                <w:sz w:val="22"/>
              </w:rPr>
              <w:t xml:space="preserve"> ВПО до </w:t>
            </w:r>
            <w:proofErr w:type="spellStart"/>
            <w:r w:rsidRPr="007E0AF4">
              <w:rPr>
                <w:sz w:val="22"/>
              </w:rPr>
              <w:t>громади</w:t>
            </w:r>
            <w:proofErr w:type="spellEnd"/>
            <w:r w:rsidRPr="007E0AF4">
              <w:rPr>
                <w:sz w:val="22"/>
              </w:rPr>
              <w:t>;</w:t>
            </w:r>
          </w:p>
        </w:tc>
      </w:tr>
      <w:tr w:rsidR="002E3647" w:rsidRPr="007E0AF4" w:rsidTr="002E3647">
        <w:trPr>
          <w:trHeight w:val="390"/>
        </w:trPr>
        <w:tc>
          <w:tcPr>
            <w:tcW w:w="2978" w:type="dxa"/>
            <w:vMerge w:val="restart"/>
            <w:shd w:val="clear" w:color="auto" w:fill="C6D9F1" w:themeFill="text2" w:themeFillTint="33"/>
          </w:tcPr>
          <w:p w:rsidR="002E3647" w:rsidRPr="007E0AF4" w:rsidRDefault="002E3647" w:rsidP="001E6C97">
            <w:pPr>
              <w:pStyle w:val="a7"/>
              <w:ind w:left="0"/>
              <w:rPr>
                <w:b/>
                <w:sz w:val="22"/>
                <w:lang w:val="uk-UA"/>
              </w:rPr>
            </w:pPr>
            <w:r w:rsidRPr="007E0AF4">
              <w:rPr>
                <w:b/>
                <w:sz w:val="22"/>
                <w:lang w:val="uk-UA"/>
              </w:rPr>
              <w:t xml:space="preserve">Очікувані кількісні результати реалізації </w:t>
            </w:r>
            <w:proofErr w:type="spellStart"/>
            <w:r w:rsidRPr="007E0AF4">
              <w:rPr>
                <w:b/>
                <w:sz w:val="22"/>
                <w:lang w:val="uk-UA"/>
              </w:rPr>
              <w:t>проєкту</w:t>
            </w:r>
            <w:proofErr w:type="spellEnd"/>
            <w:r w:rsidRPr="007E0AF4">
              <w:rPr>
                <w:b/>
                <w:sz w:val="22"/>
                <w:lang w:val="uk-UA"/>
              </w:rPr>
              <w:t xml:space="preserve"> (індикатори)</w:t>
            </w:r>
          </w:p>
          <w:p w:rsidR="002E3647" w:rsidRPr="007E0AF4" w:rsidRDefault="002E3647" w:rsidP="001E6C97">
            <w:pPr>
              <w:pStyle w:val="a7"/>
              <w:ind w:left="0"/>
              <w:rPr>
                <w:b/>
                <w:sz w:val="22"/>
                <w:lang w:val="uk-UA"/>
              </w:rPr>
            </w:pPr>
          </w:p>
        </w:tc>
        <w:tc>
          <w:tcPr>
            <w:tcW w:w="3260" w:type="dxa"/>
            <w:gridSpan w:val="3"/>
            <w:tcBorders>
              <w:bottom w:val="single" w:sz="4" w:space="0" w:color="auto"/>
              <w:right w:val="single" w:sz="4" w:space="0" w:color="auto"/>
            </w:tcBorders>
          </w:tcPr>
          <w:p w:rsidR="002E3647" w:rsidRPr="007E0AF4" w:rsidRDefault="002E3647" w:rsidP="001E6C97">
            <w:pPr>
              <w:pStyle w:val="a7"/>
              <w:ind w:left="-108"/>
              <w:jc w:val="center"/>
              <w:rPr>
                <w:b/>
                <w:sz w:val="22"/>
              </w:rPr>
            </w:pPr>
            <w:proofErr w:type="spellStart"/>
            <w:r w:rsidRPr="007E0AF4">
              <w:rPr>
                <w:b/>
                <w:sz w:val="22"/>
              </w:rPr>
              <w:t>Найменування</w:t>
            </w:r>
            <w:proofErr w:type="spellEnd"/>
            <w:r w:rsidRPr="007E0AF4">
              <w:rPr>
                <w:b/>
                <w:sz w:val="22"/>
              </w:rPr>
              <w:t xml:space="preserve"> </w:t>
            </w:r>
            <w:proofErr w:type="spellStart"/>
            <w:r w:rsidRPr="007E0AF4">
              <w:rPr>
                <w:b/>
                <w:sz w:val="22"/>
              </w:rPr>
              <w:t>показника</w:t>
            </w:r>
            <w:proofErr w:type="spellEnd"/>
          </w:p>
        </w:tc>
        <w:tc>
          <w:tcPr>
            <w:tcW w:w="1701" w:type="dxa"/>
            <w:gridSpan w:val="2"/>
            <w:tcBorders>
              <w:left w:val="single" w:sz="4" w:space="0" w:color="auto"/>
              <w:bottom w:val="single" w:sz="4" w:space="0" w:color="auto"/>
              <w:right w:val="single" w:sz="4" w:space="0" w:color="auto"/>
            </w:tcBorders>
          </w:tcPr>
          <w:p w:rsidR="002E3647" w:rsidRPr="007E0AF4" w:rsidRDefault="002E3647" w:rsidP="001E6C97">
            <w:pPr>
              <w:pStyle w:val="a7"/>
              <w:ind w:left="0"/>
              <w:jc w:val="center"/>
              <w:rPr>
                <w:b/>
                <w:sz w:val="22"/>
              </w:rPr>
            </w:pPr>
            <w:proofErr w:type="spellStart"/>
            <w:r w:rsidRPr="007E0AF4">
              <w:rPr>
                <w:b/>
                <w:sz w:val="22"/>
              </w:rPr>
              <w:t>Одиниця</w:t>
            </w:r>
            <w:proofErr w:type="spellEnd"/>
            <w:r w:rsidRPr="007E0AF4">
              <w:rPr>
                <w:b/>
                <w:sz w:val="22"/>
              </w:rPr>
              <w:t xml:space="preserve"> </w:t>
            </w:r>
            <w:proofErr w:type="spellStart"/>
            <w:r w:rsidRPr="007E0AF4">
              <w:rPr>
                <w:b/>
                <w:sz w:val="22"/>
              </w:rPr>
              <w:t>вимірювання</w:t>
            </w:r>
            <w:proofErr w:type="spellEnd"/>
          </w:p>
          <w:p w:rsidR="002E3647" w:rsidRPr="007E0AF4" w:rsidRDefault="002E3647" w:rsidP="001E6C97">
            <w:pPr>
              <w:pStyle w:val="a7"/>
              <w:ind w:left="0"/>
              <w:rPr>
                <w:b/>
                <w:sz w:val="22"/>
              </w:rPr>
            </w:pPr>
          </w:p>
        </w:tc>
        <w:tc>
          <w:tcPr>
            <w:tcW w:w="1949" w:type="dxa"/>
            <w:gridSpan w:val="2"/>
            <w:tcBorders>
              <w:left w:val="single" w:sz="4" w:space="0" w:color="auto"/>
              <w:bottom w:val="single" w:sz="4" w:space="0" w:color="auto"/>
            </w:tcBorders>
          </w:tcPr>
          <w:p w:rsidR="002E3647" w:rsidRPr="007E0AF4" w:rsidRDefault="002E3647" w:rsidP="001E6C97">
            <w:pPr>
              <w:pStyle w:val="a7"/>
              <w:ind w:left="0"/>
              <w:jc w:val="center"/>
              <w:rPr>
                <w:b/>
                <w:sz w:val="22"/>
              </w:rPr>
            </w:pPr>
            <w:proofErr w:type="spellStart"/>
            <w:r w:rsidRPr="007E0AF4">
              <w:rPr>
                <w:b/>
                <w:sz w:val="22"/>
              </w:rPr>
              <w:t>Прогнозне</w:t>
            </w:r>
            <w:proofErr w:type="spellEnd"/>
            <w:r w:rsidRPr="007E0AF4">
              <w:rPr>
                <w:b/>
                <w:sz w:val="22"/>
              </w:rPr>
              <w:t xml:space="preserve"> (</w:t>
            </w:r>
            <w:proofErr w:type="spellStart"/>
            <w:r w:rsidRPr="007E0AF4">
              <w:rPr>
                <w:b/>
                <w:sz w:val="22"/>
              </w:rPr>
              <w:t>цільове</w:t>
            </w:r>
            <w:proofErr w:type="spellEnd"/>
            <w:r w:rsidRPr="007E0AF4">
              <w:rPr>
                <w:b/>
                <w:sz w:val="22"/>
              </w:rPr>
              <w:t xml:space="preserve">) </w:t>
            </w:r>
            <w:proofErr w:type="spellStart"/>
            <w:r w:rsidRPr="007E0AF4">
              <w:rPr>
                <w:b/>
                <w:sz w:val="22"/>
              </w:rPr>
              <w:t>значення</w:t>
            </w:r>
            <w:proofErr w:type="spellEnd"/>
          </w:p>
        </w:tc>
      </w:tr>
      <w:tr w:rsidR="002E3647" w:rsidRPr="007E0AF4" w:rsidTr="002E3647">
        <w:trPr>
          <w:trHeight w:val="430"/>
        </w:trPr>
        <w:tc>
          <w:tcPr>
            <w:tcW w:w="2978" w:type="dxa"/>
            <w:vMerge/>
            <w:shd w:val="clear" w:color="auto" w:fill="C6D9F1" w:themeFill="text2" w:themeFillTint="33"/>
          </w:tcPr>
          <w:p w:rsidR="002E3647" w:rsidRPr="007E0AF4" w:rsidRDefault="002E3647" w:rsidP="001E6C97">
            <w:pPr>
              <w:pStyle w:val="a7"/>
              <w:ind w:left="0"/>
              <w:rPr>
                <w:b/>
                <w:sz w:val="22"/>
              </w:rPr>
            </w:pPr>
          </w:p>
        </w:tc>
        <w:tc>
          <w:tcPr>
            <w:tcW w:w="3260" w:type="dxa"/>
            <w:gridSpan w:val="3"/>
            <w:tcBorders>
              <w:top w:val="single" w:sz="4" w:space="0" w:color="auto"/>
              <w:bottom w:val="single" w:sz="4" w:space="0" w:color="auto"/>
              <w:right w:val="single" w:sz="4" w:space="0" w:color="auto"/>
            </w:tcBorders>
          </w:tcPr>
          <w:p w:rsidR="002E3647" w:rsidRPr="007E0AF4" w:rsidRDefault="002E3647" w:rsidP="001E6C97">
            <w:pPr>
              <w:pStyle w:val="a7"/>
              <w:ind w:left="0"/>
              <w:jc w:val="center"/>
              <w:rPr>
                <w:sz w:val="22"/>
              </w:rPr>
            </w:pPr>
            <w:proofErr w:type="spellStart"/>
            <w:r w:rsidRPr="007E0AF4">
              <w:rPr>
                <w:sz w:val="22"/>
              </w:rPr>
              <w:t>Кількість</w:t>
            </w:r>
            <w:proofErr w:type="spellEnd"/>
            <w:r w:rsidRPr="007E0AF4">
              <w:rPr>
                <w:sz w:val="22"/>
              </w:rPr>
              <w:t xml:space="preserve"> </w:t>
            </w:r>
            <w:proofErr w:type="spellStart"/>
            <w:r w:rsidRPr="007E0AF4">
              <w:rPr>
                <w:sz w:val="22"/>
              </w:rPr>
              <w:t>учнів</w:t>
            </w:r>
            <w:proofErr w:type="spellEnd"/>
          </w:p>
        </w:tc>
        <w:tc>
          <w:tcPr>
            <w:tcW w:w="1701" w:type="dxa"/>
            <w:gridSpan w:val="2"/>
            <w:tcBorders>
              <w:top w:val="single" w:sz="4" w:space="0" w:color="auto"/>
              <w:left w:val="single" w:sz="4" w:space="0" w:color="auto"/>
              <w:bottom w:val="single" w:sz="4" w:space="0" w:color="auto"/>
              <w:right w:val="single" w:sz="4" w:space="0" w:color="auto"/>
            </w:tcBorders>
            <w:vAlign w:val="center"/>
          </w:tcPr>
          <w:p w:rsidR="002E3647" w:rsidRPr="007E0AF4" w:rsidRDefault="002E3647" w:rsidP="001E6C97">
            <w:pPr>
              <w:pStyle w:val="a7"/>
              <w:ind w:left="0"/>
              <w:jc w:val="center"/>
              <w:rPr>
                <w:sz w:val="22"/>
              </w:rPr>
            </w:pPr>
            <w:proofErr w:type="spellStart"/>
            <w:r w:rsidRPr="007E0AF4">
              <w:rPr>
                <w:sz w:val="22"/>
              </w:rPr>
              <w:t>осіб</w:t>
            </w:r>
            <w:proofErr w:type="spellEnd"/>
          </w:p>
        </w:tc>
        <w:tc>
          <w:tcPr>
            <w:tcW w:w="1949" w:type="dxa"/>
            <w:gridSpan w:val="2"/>
            <w:tcBorders>
              <w:top w:val="single" w:sz="4" w:space="0" w:color="auto"/>
              <w:left w:val="single" w:sz="4" w:space="0" w:color="auto"/>
              <w:bottom w:val="single" w:sz="4" w:space="0" w:color="auto"/>
            </w:tcBorders>
          </w:tcPr>
          <w:p w:rsidR="002E3647" w:rsidRPr="007E0AF4" w:rsidRDefault="002E3647" w:rsidP="001E6C97">
            <w:pPr>
              <w:pStyle w:val="a7"/>
              <w:ind w:left="0"/>
              <w:jc w:val="center"/>
              <w:rPr>
                <w:sz w:val="22"/>
              </w:rPr>
            </w:pPr>
            <w:r w:rsidRPr="007E0AF4">
              <w:rPr>
                <w:sz w:val="22"/>
              </w:rPr>
              <w:t xml:space="preserve">380 </w:t>
            </w:r>
          </w:p>
        </w:tc>
      </w:tr>
      <w:tr w:rsidR="002E3647" w:rsidRPr="007E0AF4" w:rsidTr="002E3647">
        <w:trPr>
          <w:trHeight w:val="184"/>
        </w:trPr>
        <w:tc>
          <w:tcPr>
            <w:tcW w:w="2978" w:type="dxa"/>
            <w:vMerge/>
            <w:shd w:val="clear" w:color="auto" w:fill="C6D9F1" w:themeFill="text2" w:themeFillTint="33"/>
          </w:tcPr>
          <w:p w:rsidR="002E3647" w:rsidRPr="007E0AF4" w:rsidRDefault="002E3647" w:rsidP="001E6C97">
            <w:pPr>
              <w:pStyle w:val="a7"/>
              <w:ind w:left="0"/>
              <w:rPr>
                <w:b/>
                <w:sz w:val="22"/>
              </w:rPr>
            </w:pPr>
          </w:p>
        </w:tc>
        <w:tc>
          <w:tcPr>
            <w:tcW w:w="3260" w:type="dxa"/>
            <w:gridSpan w:val="3"/>
            <w:tcBorders>
              <w:top w:val="single" w:sz="4" w:space="0" w:color="auto"/>
              <w:bottom w:val="single" w:sz="4" w:space="0" w:color="auto"/>
              <w:right w:val="single" w:sz="4" w:space="0" w:color="auto"/>
            </w:tcBorders>
          </w:tcPr>
          <w:p w:rsidR="002E3647" w:rsidRPr="007E0AF4" w:rsidRDefault="002E3647" w:rsidP="001E6C97">
            <w:pPr>
              <w:pStyle w:val="a7"/>
              <w:ind w:left="0"/>
              <w:jc w:val="center"/>
              <w:rPr>
                <w:sz w:val="22"/>
              </w:rPr>
            </w:pPr>
            <w:proofErr w:type="spellStart"/>
            <w:r w:rsidRPr="007E0AF4">
              <w:rPr>
                <w:sz w:val="22"/>
              </w:rPr>
              <w:t>Кількість</w:t>
            </w:r>
            <w:proofErr w:type="spellEnd"/>
            <w:r w:rsidRPr="007E0AF4">
              <w:rPr>
                <w:sz w:val="22"/>
              </w:rPr>
              <w:t xml:space="preserve"> </w:t>
            </w:r>
            <w:proofErr w:type="spellStart"/>
            <w:r w:rsidRPr="007E0AF4">
              <w:rPr>
                <w:sz w:val="22"/>
              </w:rPr>
              <w:t>уроків</w:t>
            </w:r>
            <w:proofErr w:type="spellEnd"/>
          </w:p>
        </w:tc>
        <w:tc>
          <w:tcPr>
            <w:tcW w:w="1701" w:type="dxa"/>
            <w:gridSpan w:val="2"/>
            <w:tcBorders>
              <w:top w:val="single" w:sz="4" w:space="0" w:color="auto"/>
              <w:left w:val="single" w:sz="4" w:space="0" w:color="auto"/>
              <w:bottom w:val="single" w:sz="4" w:space="0" w:color="auto"/>
              <w:right w:val="single" w:sz="4" w:space="0" w:color="auto"/>
            </w:tcBorders>
            <w:vAlign w:val="center"/>
          </w:tcPr>
          <w:p w:rsidR="002E3647" w:rsidRPr="007E0AF4" w:rsidRDefault="002E3647" w:rsidP="001E6C97">
            <w:pPr>
              <w:pStyle w:val="a7"/>
              <w:ind w:left="0"/>
              <w:jc w:val="center"/>
              <w:rPr>
                <w:sz w:val="22"/>
              </w:rPr>
            </w:pPr>
            <w:proofErr w:type="spellStart"/>
            <w:r w:rsidRPr="007E0AF4">
              <w:rPr>
                <w:sz w:val="22"/>
              </w:rPr>
              <w:t>одиниць</w:t>
            </w:r>
            <w:proofErr w:type="spellEnd"/>
          </w:p>
        </w:tc>
        <w:tc>
          <w:tcPr>
            <w:tcW w:w="1949" w:type="dxa"/>
            <w:gridSpan w:val="2"/>
            <w:tcBorders>
              <w:top w:val="single" w:sz="4" w:space="0" w:color="auto"/>
              <w:left w:val="single" w:sz="4" w:space="0" w:color="auto"/>
              <w:bottom w:val="single" w:sz="4" w:space="0" w:color="auto"/>
            </w:tcBorders>
          </w:tcPr>
          <w:p w:rsidR="002E3647" w:rsidRPr="007E0AF4" w:rsidRDefault="002E3647" w:rsidP="001E6C97">
            <w:pPr>
              <w:pStyle w:val="a7"/>
              <w:ind w:left="0"/>
              <w:jc w:val="center"/>
              <w:rPr>
                <w:sz w:val="22"/>
              </w:rPr>
            </w:pPr>
            <w:r w:rsidRPr="007E0AF4">
              <w:rPr>
                <w:sz w:val="22"/>
              </w:rPr>
              <w:t>77</w:t>
            </w:r>
          </w:p>
        </w:tc>
      </w:tr>
      <w:tr w:rsidR="002E3647" w:rsidRPr="007E0AF4" w:rsidTr="002E3647">
        <w:trPr>
          <w:trHeight w:val="150"/>
        </w:trPr>
        <w:tc>
          <w:tcPr>
            <w:tcW w:w="2978" w:type="dxa"/>
            <w:vMerge/>
            <w:shd w:val="clear" w:color="auto" w:fill="C6D9F1" w:themeFill="text2" w:themeFillTint="33"/>
          </w:tcPr>
          <w:p w:rsidR="002E3647" w:rsidRPr="007E0AF4" w:rsidRDefault="002E3647" w:rsidP="001E6C97">
            <w:pPr>
              <w:pStyle w:val="a7"/>
              <w:ind w:left="0"/>
              <w:rPr>
                <w:b/>
                <w:sz w:val="22"/>
              </w:rPr>
            </w:pPr>
          </w:p>
        </w:tc>
        <w:tc>
          <w:tcPr>
            <w:tcW w:w="3260" w:type="dxa"/>
            <w:gridSpan w:val="3"/>
            <w:tcBorders>
              <w:top w:val="single" w:sz="4" w:space="0" w:color="auto"/>
              <w:right w:val="single" w:sz="4" w:space="0" w:color="auto"/>
            </w:tcBorders>
          </w:tcPr>
          <w:p w:rsidR="002E3647" w:rsidRPr="007E0AF4" w:rsidRDefault="002E3647" w:rsidP="001E6C97">
            <w:pPr>
              <w:pStyle w:val="a7"/>
              <w:ind w:left="0"/>
              <w:jc w:val="center"/>
              <w:rPr>
                <w:sz w:val="22"/>
              </w:rPr>
            </w:pPr>
            <w:proofErr w:type="spellStart"/>
            <w:r w:rsidRPr="007E0AF4">
              <w:rPr>
                <w:sz w:val="22"/>
              </w:rPr>
              <w:t>Термін</w:t>
            </w:r>
            <w:proofErr w:type="spellEnd"/>
            <w:r w:rsidRPr="007E0AF4">
              <w:rPr>
                <w:sz w:val="22"/>
              </w:rPr>
              <w:t xml:space="preserve"> </w:t>
            </w:r>
            <w:proofErr w:type="spellStart"/>
            <w:r w:rsidRPr="007E0AF4">
              <w:rPr>
                <w:sz w:val="22"/>
              </w:rPr>
              <w:t>надання</w:t>
            </w:r>
            <w:proofErr w:type="spellEnd"/>
            <w:r w:rsidRPr="007E0AF4">
              <w:rPr>
                <w:sz w:val="22"/>
              </w:rPr>
              <w:t xml:space="preserve"> </w:t>
            </w:r>
            <w:proofErr w:type="spellStart"/>
            <w:r w:rsidRPr="007E0AF4">
              <w:rPr>
                <w:sz w:val="22"/>
              </w:rPr>
              <w:t>послуги</w:t>
            </w:r>
            <w:proofErr w:type="spellEnd"/>
          </w:p>
        </w:tc>
        <w:tc>
          <w:tcPr>
            <w:tcW w:w="1701" w:type="dxa"/>
            <w:gridSpan w:val="2"/>
            <w:tcBorders>
              <w:top w:val="single" w:sz="4" w:space="0" w:color="auto"/>
              <w:left w:val="single" w:sz="4" w:space="0" w:color="auto"/>
              <w:right w:val="single" w:sz="4" w:space="0" w:color="auto"/>
            </w:tcBorders>
            <w:vAlign w:val="center"/>
          </w:tcPr>
          <w:p w:rsidR="002E3647" w:rsidRPr="007E0AF4" w:rsidRDefault="002E3647" w:rsidP="001E6C97">
            <w:pPr>
              <w:pStyle w:val="a7"/>
              <w:ind w:left="0"/>
              <w:jc w:val="center"/>
              <w:rPr>
                <w:sz w:val="22"/>
              </w:rPr>
            </w:pPr>
            <w:r w:rsidRPr="007E0AF4">
              <w:rPr>
                <w:sz w:val="22"/>
              </w:rPr>
              <w:t>день</w:t>
            </w:r>
          </w:p>
        </w:tc>
        <w:tc>
          <w:tcPr>
            <w:tcW w:w="1949" w:type="dxa"/>
            <w:gridSpan w:val="2"/>
            <w:tcBorders>
              <w:top w:val="single" w:sz="4" w:space="0" w:color="auto"/>
              <w:left w:val="single" w:sz="4" w:space="0" w:color="auto"/>
            </w:tcBorders>
          </w:tcPr>
          <w:p w:rsidR="002E3647" w:rsidRPr="007E0AF4" w:rsidRDefault="002E3647" w:rsidP="001E6C97">
            <w:pPr>
              <w:pStyle w:val="a7"/>
              <w:ind w:left="0"/>
              <w:jc w:val="center"/>
              <w:rPr>
                <w:sz w:val="22"/>
              </w:rPr>
            </w:pPr>
            <w:r w:rsidRPr="007E0AF4">
              <w:rPr>
                <w:sz w:val="22"/>
              </w:rPr>
              <w:t>365</w:t>
            </w:r>
          </w:p>
        </w:tc>
      </w:tr>
      <w:tr w:rsidR="002E3647" w:rsidRPr="007E0AF4" w:rsidTr="002E3647">
        <w:trPr>
          <w:trHeight w:val="150"/>
        </w:trPr>
        <w:tc>
          <w:tcPr>
            <w:tcW w:w="2978" w:type="dxa"/>
            <w:shd w:val="clear" w:color="auto" w:fill="C6D9F1" w:themeFill="text2" w:themeFillTint="33"/>
          </w:tcPr>
          <w:p w:rsidR="002E3647" w:rsidRPr="007E0AF4" w:rsidRDefault="002E3647" w:rsidP="001E6C97">
            <w:pPr>
              <w:pStyle w:val="a7"/>
              <w:ind w:left="0"/>
              <w:rPr>
                <w:b/>
                <w:sz w:val="22"/>
              </w:rPr>
            </w:pPr>
          </w:p>
        </w:tc>
        <w:tc>
          <w:tcPr>
            <w:tcW w:w="3260" w:type="dxa"/>
            <w:gridSpan w:val="3"/>
            <w:tcBorders>
              <w:top w:val="single" w:sz="4" w:space="0" w:color="auto"/>
              <w:right w:val="single" w:sz="4" w:space="0" w:color="auto"/>
            </w:tcBorders>
          </w:tcPr>
          <w:p w:rsidR="002E3647" w:rsidRPr="007E0AF4" w:rsidRDefault="002E3647" w:rsidP="00870053">
            <w:pPr>
              <w:pStyle w:val="a7"/>
              <w:ind w:left="0"/>
              <w:jc w:val="center"/>
              <w:rPr>
                <w:sz w:val="22"/>
              </w:rPr>
            </w:pPr>
            <w:proofErr w:type="spellStart"/>
            <w:r w:rsidRPr="007E0AF4">
              <w:rPr>
                <w:sz w:val="22"/>
              </w:rPr>
              <w:t>Кількість</w:t>
            </w:r>
            <w:proofErr w:type="spellEnd"/>
            <w:r w:rsidRPr="007E0AF4">
              <w:rPr>
                <w:sz w:val="22"/>
              </w:rPr>
              <w:t xml:space="preserve"> </w:t>
            </w:r>
            <w:proofErr w:type="spellStart"/>
            <w:r w:rsidRPr="007E0AF4">
              <w:rPr>
                <w:sz w:val="22"/>
              </w:rPr>
              <w:t>населених</w:t>
            </w:r>
            <w:proofErr w:type="spellEnd"/>
            <w:r w:rsidRPr="007E0AF4">
              <w:rPr>
                <w:sz w:val="22"/>
              </w:rPr>
              <w:t xml:space="preserve"> </w:t>
            </w:r>
            <w:proofErr w:type="spellStart"/>
            <w:r w:rsidRPr="007E0AF4">
              <w:rPr>
                <w:sz w:val="22"/>
              </w:rPr>
              <w:t>пунктів</w:t>
            </w:r>
            <w:proofErr w:type="spellEnd"/>
            <w:r w:rsidRPr="007E0AF4">
              <w:rPr>
                <w:sz w:val="22"/>
              </w:rPr>
              <w:t>, як</w:t>
            </w:r>
            <w:r w:rsidR="00870053" w:rsidRPr="007E0AF4">
              <w:rPr>
                <w:sz w:val="22"/>
                <w:lang w:val="uk-UA"/>
              </w:rPr>
              <w:t>і</w:t>
            </w:r>
            <w:r w:rsidRPr="007E0AF4">
              <w:rPr>
                <w:sz w:val="22"/>
              </w:rPr>
              <w:t xml:space="preserve"> </w:t>
            </w:r>
            <w:proofErr w:type="spellStart"/>
            <w:r w:rsidRPr="007E0AF4">
              <w:rPr>
                <w:sz w:val="22"/>
              </w:rPr>
              <w:t>обслуговує</w:t>
            </w:r>
            <w:proofErr w:type="spellEnd"/>
            <w:r w:rsidRPr="007E0AF4">
              <w:rPr>
                <w:sz w:val="22"/>
              </w:rPr>
              <w:t xml:space="preserve"> </w:t>
            </w:r>
            <w:r w:rsidR="00870053" w:rsidRPr="007E0AF4">
              <w:rPr>
                <w:sz w:val="22"/>
              </w:rPr>
              <w:t>заклад</w:t>
            </w:r>
          </w:p>
        </w:tc>
        <w:tc>
          <w:tcPr>
            <w:tcW w:w="1701" w:type="dxa"/>
            <w:gridSpan w:val="2"/>
            <w:tcBorders>
              <w:top w:val="single" w:sz="4" w:space="0" w:color="auto"/>
              <w:left w:val="single" w:sz="4" w:space="0" w:color="auto"/>
              <w:right w:val="single" w:sz="4" w:space="0" w:color="auto"/>
            </w:tcBorders>
            <w:vAlign w:val="center"/>
          </w:tcPr>
          <w:p w:rsidR="002E3647" w:rsidRPr="007E0AF4" w:rsidRDefault="002E3647" w:rsidP="001E6C97">
            <w:pPr>
              <w:pStyle w:val="a7"/>
              <w:ind w:left="0"/>
              <w:jc w:val="center"/>
              <w:rPr>
                <w:sz w:val="22"/>
              </w:rPr>
            </w:pPr>
            <w:proofErr w:type="spellStart"/>
            <w:r w:rsidRPr="007E0AF4">
              <w:rPr>
                <w:sz w:val="22"/>
              </w:rPr>
              <w:t>одиниць</w:t>
            </w:r>
            <w:proofErr w:type="spellEnd"/>
          </w:p>
        </w:tc>
        <w:tc>
          <w:tcPr>
            <w:tcW w:w="1949" w:type="dxa"/>
            <w:gridSpan w:val="2"/>
            <w:tcBorders>
              <w:top w:val="single" w:sz="4" w:space="0" w:color="auto"/>
              <w:left w:val="single" w:sz="4" w:space="0" w:color="auto"/>
            </w:tcBorders>
          </w:tcPr>
          <w:p w:rsidR="002E3647" w:rsidRPr="007E0AF4" w:rsidRDefault="002E3647" w:rsidP="001E6C97">
            <w:pPr>
              <w:pStyle w:val="a7"/>
              <w:ind w:left="0"/>
              <w:jc w:val="center"/>
              <w:rPr>
                <w:sz w:val="22"/>
              </w:rPr>
            </w:pPr>
            <w:r w:rsidRPr="007E0AF4">
              <w:rPr>
                <w:sz w:val="22"/>
              </w:rPr>
              <w:t>1</w:t>
            </w:r>
          </w:p>
        </w:tc>
      </w:tr>
      <w:tr w:rsidR="002E3647" w:rsidRPr="007E0AF4" w:rsidTr="002E3647">
        <w:tc>
          <w:tcPr>
            <w:tcW w:w="2978" w:type="dxa"/>
            <w:shd w:val="clear" w:color="auto" w:fill="C6D9F1" w:themeFill="text2" w:themeFillTint="33"/>
          </w:tcPr>
          <w:p w:rsidR="002E3647" w:rsidRPr="007E0AF4" w:rsidRDefault="002E3647" w:rsidP="001E6C97">
            <w:pPr>
              <w:rPr>
                <w:b/>
                <w:sz w:val="22"/>
              </w:rPr>
            </w:pPr>
            <w:proofErr w:type="spellStart"/>
            <w:r w:rsidRPr="007E0AF4">
              <w:rPr>
                <w:b/>
                <w:sz w:val="22"/>
              </w:rPr>
              <w:lastRenderedPageBreak/>
              <w:t>Ключові</w:t>
            </w:r>
            <w:proofErr w:type="spellEnd"/>
            <w:r w:rsidRPr="007E0AF4">
              <w:rPr>
                <w:b/>
                <w:sz w:val="22"/>
              </w:rPr>
              <w:t xml:space="preserve"> заходи проекту: </w:t>
            </w:r>
          </w:p>
          <w:p w:rsidR="002E3647" w:rsidRPr="007E0AF4" w:rsidRDefault="002E3647" w:rsidP="001E6C97">
            <w:pPr>
              <w:pStyle w:val="a7"/>
              <w:ind w:left="0"/>
              <w:rPr>
                <w:b/>
                <w:sz w:val="22"/>
              </w:rPr>
            </w:pPr>
          </w:p>
        </w:tc>
        <w:tc>
          <w:tcPr>
            <w:tcW w:w="6910" w:type="dxa"/>
            <w:gridSpan w:val="7"/>
          </w:tcPr>
          <w:p w:rsidR="002E3647" w:rsidRPr="007E0AF4" w:rsidRDefault="002E3647" w:rsidP="000303D7">
            <w:pPr>
              <w:pStyle w:val="a7"/>
              <w:numPr>
                <w:ilvl w:val="0"/>
                <w:numId w:val="110"/>
              </w:numPr>
              <w:jc w:val="left"/>
              <w:rPr>
                <w:sz w:val="22"/>
              </w:rPr>
            </w:pPr>
            <w:proofErr w:type="spellStart"/>
            <w:r w:rsidRPr="007E0AF4">
              <w:rPr>
                <w:sz w:val="22"/>
              </w:rPr>
              <w:t>Обстеження</w:t>
            </w:r>
            <w:proofErr w:type="spellEnd"/>
            <w:r w:rsidRPr="007E0AF4">
              <w:rPr>
                <w:sz w:val="22"/>
              </w:rPr>
              <w:t xml:space="preserve"> стану </w:t>
            </w:r>
            <w:proofErr w:type="spellStart"/>
            <w:r w:rsidRPr="007E0AF4">
              <w:rPr>
                <w:sz w:val="22"/>
              </w:rPr>
              <w:t>будівлі</w:t>
            </w:r>
            <w:proofErr w:type="spellEnd"/>
            <w:r w:rsidRPr="007E0AF4">
              <w:rPr>
                <w:sz w:val="22"/>
              </w:rPr>
              <w:t xml:space="preserve"> закладу </w:t>
            </w:r>
            <w:proofErr w:type="spellStart"/>
            <w:r w:rsidRPr="007E0AF4">
              <w:rPr>
                <w:sz w:val="22"/>
              </w:rPr>
              <w:t>освіти</w:t>
            </w:r>
            <w:proofErr w:type="spellEnd"/>
            <w:r w:rsidRPr="007E0AF4">
              <w:rPr>
                <w:sz w:val="22"/>
              </w:rPr>
              <w:t>;</w:t>
            </w:r>
          </w:p>
          <w:p w:rsidR="002E3647" w:rsidRPr="007E0AF4" w:rsidRDefault="002E3647" w:rsidP="000303D7">
            <w:pPr>
              <w:pStyle w:val="a7"/>
              <w:numPr>
                <w:ilvl w:val="0"/>
                <w:numId w:val="110"/>
              </w:numPr>
              <w:jc w:val="left"/>
              <w:rPr>
                <w:sz w:val="22"/>
              </w:rPr>
            </w:pPr>
            <w:bookmarkStart w:id="53" w:name="_Hlk139623632"/>
            <w:proofErr w:type="spellStart"/>
            <w:r w:rsidRPr="007E0AF4">
              <w:rPr>
                <w:sz w:val="22"/>
              </w:rPr>
              <w:t>Проведення</w:t>
            </w:r>
            <w:proofErr w:type="spellEnd"/>
            <w:r w:rsidRPr="007E0AF4">
              <w:rPr>
                <w:sz w:val="22"/>
              </w:rPr>
              <w:t xml:space="preserve"> </w:t>
            </w:r>
            <w:proofErr w:type="spellStart"/>
            <w:r w:rsidRPr="007E0AF4">
              <w:rPr>
                <w:sz w:val="22"/>
              </w:rPr>
              <w:t>інвентаризації</w:t>
            </w:r>
            <w:proofErr w:type="spellEnd"/>
            <w:r w:rsidRPr="007E0AF4">
              <w:rPr>
                <w:sz w:val="22"/>
              </w:rPr>
              <w:t xml:space="preserve"> </w:t>
            </w:r>
            <w:proofErr w:type="spellStart"/>
            <w:r w:rsidRPr="007E0AF4">
              <w:rPr>
                <w:sz w:val="22"/>
              </w:rPr>
              <w:t>основних</w:t>
            </w:r>
            <w:proofErr w:type="spellEnd"/>
            <w:r w:rsidRPr="007E0AF4">
              <w:rPr>
                <w:sz w:val="22"/>
              </w:rPr>
              <w:t xml:space="preserve"> </w:t>
            </w:r>
            <w:proofErr w:type="spellStart"/>
            <w:r w:rsidRPr="007E0AF4">
              <w:rPr>
                <w:sz w:val="22"/>
              </w:rPr>
              <w:t>фондів</w:t>
            </w:r>
            <w:proofErr w:type="spellEnd"/>
            <w:r w:rsidRPr="007E0AF4">
              <w:rPr>
                <w:sz w:val="22"/>
              </w:rPr>
              <w:t xml:space="preserve"> на момент </w:t>
            </w:r>
            <w:proofErr w:type="spellStart"/>
            <w:r w:rsidRPr="007E0AF4">
              <w:rPr>
                <w:sz w:val="22"/>
              </w:rPr>
              <w:t>обстеження</w:t>
            </w:r>
            <w:proofErr w:type="spellEnd"/>
            <w:r w:rsidRPr="007E0AF4">
              <w:rPr>
                <w:sz w:val="22"/>
              </w:rPr>
              <w:t>;</w:t>
            </w:r>
          </w:p>
          <w:p w:rsidR="002E3647" w:rsidRPr="007E0AF4" w:rsidRDefault="002E3647" w:rsidP="000303D7">
            <w:pPr>
              <w:pStyle w:val="a7"/>
              <w:numPr>
                <w:ilvl w:val="0"/>
                <w:numId w:val="110"/>
              </w:numPr>
              <w:jc w:val="left"/>
              <w:rPr>
                <w:sz w:val="22"/>
              </w:rPr>
            </w:pPr>
            <w:proofErr w:type="spellStart"/>
            <w:r w:rsidRPr="007E0AF4">
              <w:rPr>
                <w:sz w:val="22"/>
              </w:rPr>
              <w:t>Створення</w:t>
            </w:r>
            <w:proofErr w:type="spellEnd"/>
            <w:r w:rsidRPr="007E0AF4">
              <w:rPr>
                <w:sz w:val="22"/>
              </w:rPr>
              <w:t xml:space="preserve"> </w:t>
            </w:r>
            <w:proofErr w:type="spellStart"/>
            <w:r w:rsidRPr="007E0AF4">
              <w:rPr>
                <w:sz w:val="22"/>
              </w:rPr>
              <w:t>про</w:t>
            </w:r>
            <w:r w:rsidR="00870053" w:rsidRPr="007E0AF4">
              <w:rPr>
                <w:sz w:val="22"/>
              </w:rPr>
              <w:t>є</w:t>
            </w:r>
            <w:r w:rsidRPr="007E0AF4">
              <w:rPr>
                <w:sz w:val="22"/>
              </w:rPr>
              <w:t>ктно-кошторисної</w:t>
            </w:r>
            <w:proofErr w:type="spellEnd"/>
            <w:r w:rsidRPr="007E0AF4">
              <w:rPr>
                <w:sz w:val="22"/>
              </w:rPr>
              <w:t xml:space="preserve"> </w:t>
            </w:r>
            <w:proofErr w:type="spellStart"/>
            <w:r w:rsidRPr="007E0AF4">
              <w:rPr>
                <w:sz w:val="22"/>
              </w:rPr>
              <w:t>документації</w:t>
            </w:r>
            <w:proofErr w:type="spellEnd"/>
            <w:r w:rsidRPr="007E0AF4">
              <w:rPr>
                <w:sz w:val="22"/>
              </w:rPr>
              <w:t xml:space="preserve">, </w:t>
            </w:r>
            <w:proofErr w:type="spellStart"/>
            <w:r w:rsidRPr="007E0AF4">
              <w:rPr>
                <w:sz w:val="22"/>
              </w:rPr>
              <w:t>пов’язаної</w:t>
            </w:r>
            <w:proofErr w:type="spellEnd"/>
            <w:r w:rsidRPr="007E0AF4">
              <w:rPr>
                <w:sz w:val="22"/>
              </w:rPr>
              <w:t xml:space="preserve"> з </w:t>
            </w:r>
            <w:proofErr w:type="spellStart"/>
            <w:r w:rsidRPr="007E0AF4">
              <w:rPr>
                <w:sz w:val="22"/>
              </w:rPr>
              <w:t>реалізацією</w:t>
            </w:r>
            <w:proofErr w:type="spellEnd"/>
            <w:r w:rsidRPr="007E0AF4">
              <w:rPr>
                <w:sz w:val="22"/>
              </w:rPr>
              <w:t xml:space="preserve"> </w:t>
            </w:r>
            <w:proofErr w:type="spellStart"/>
            <w:r w:rsidRPr="007E0AF4">
              <w:rPr>
                <w:sz w:val="22"/>
              </w:rPr>
              <w:t>даного</w:t>
            </w:r>
            <w:proofErr w:type="spellEnd"/>
            <w:r w:rsidRPr="007E0AF4">
              <w:rPr>
                <w:sz w:val="22"/>
              </w:rPr>
              <w:t xml:space="preserve"> </w:t>
            </w:r>
            <w:proofErr w:type="spellStart"/>
            <w:proofErr w:type="gramStart"/>
            <w:r w:rsidRPr="007E0AF4">
              <w:rPr>
                <w:sz w:val="22"/>
              </w:rPr>
              <w:t>проєкту</w:t>
            </w:r>
            <w:proofErr w:type="spellEnd"/>
            <w:r w:rsidRPr="007E0AF4">
              <w:rPr>
                <w:sz w:val="22"/>
              </w:rPr>
              <w:t xml:space="preserve"> ;</w:t>
            </w:r>
            <w:proofErr w:type="gramEnd"/>
          </w:p>
          <w:p w:rsidR="002E3647" w:rsidRPr="007E0AF4" w:rsidRDefault="002E3647" w:rsidP="000303D7">
            <w:pPr>
              <w:pStyle w:val="a7"/>
              <w:numPr>
                <w:ilvl w:val="0"/>
                <w:numId w:val="110"/>
              </w:numPr>
              <w:jc w:val="left"/>
              <w:rPr>
                <w:sz w:val="22"/>
              </w:rPr>
            </w:pPr>
            <w:proofErr w:type="spellStart"/>
            <w:r w:rsidRPr="007E0AF4">
              <w:rPr>
                <w:sz w:val="22"/>
              </w:rPr>
              <w:t>Придбання</w:t>
            </w:r>
            <w:proofErr w:type="spellEnd"/>
            <w:r w:rsidRPr="007E0AF4">
              <w:rPr>
                <w:sz w:val="22"/>
              </w:rPr>
              <w:t xml:space="preserve"> </w:t>
            </w:r>
            <w:proofErr w:type="spellStart"/>
            <w:r w:rsidRPr="007E0AF4">
              <w:rPr>
                <w:sz w:val="22"/>
              </w:rPr>
              <w:t>будівельних</w:t>
            </w:r>
            <w:proofErr w:type="spellEnd"/>
            <w:r w:rsidRPr="007E0AF4">
              <w:rPr>
                <w:sz w:val="22"/>
              </w:rPr>
              <w:t xml:space="preserve"> </w:t>
            </w:r>
            <w:proofErr w:type="spellStart"/>
            <w:r w:rsidRPr="007E0AF4">
              <w:rPr>
                <w:sz w:val="22"/>
              </w:rPr>
              <w:t>матеріалів</w:t>
            </w:r>
            <w:proofErr w:type="spellEnd"/>
            <w:r w:rsidRPr="007E0AF4">
              <w:rPr>
                <w:sz w:val="22"/>
              </w:rPr>
              <w:t xml:space="preserve">, </w:t>
            </w:r>
            <w:proofErr w:type="spellStart"/>
            <w:r w:rsidRPr="007E0AF4">
              <w:rPr>
                <w:sz w:val="22"/>
              </w:rPr>
              <w:t>сантехнічного</w:t>
            </w:r>
            <w:proofErr w:type="spellEnd"/>
            <w:r w:rsidRPr="007E0AF4">
              <w:rPr>
                <w:sz w:val="22"/>
              </w:rPr>
              <w:t xml:space="preserve"> </w:t>
            </w:r>
            <w:proofErr w:type="spellStart"/>
            <w:r w:rsidRPr="007E0AF4">
              <w:rPr>
                <w:sz w:val="22"/>
              </w:rPr>
              <w:t>обладнання</w:t>
            </w:r>
            <w:proofErr w:type="spellEnd"/>
            <w:r w:rsidRPr="007E0AF4">
              <w:rPr>
                <w:sz w:val="22"/>
              </w:rPr>
              <w:t xml:space="preserve"> та </w:t>
            </w:r>
            <w:proofErr w:type="spellStart"/>
            <w:r w:rsidRPr="007E0AF4">
              <w:rPr>
                <w:sz w:val="22"/>
              </w:rPr>
              <w:t>інших</w:t>
            </w:r>
            <w:proofErr w:type="spellEnd"/>
            <w:r w:rsidRPr="007E0AF4">
              <w:rPr>
                <w:sz w:val="22"/>
              </w:rPr>
              <w:t xml:space="preserve"> </w:t>
            </w:r>
            <w:proofErr w:type="spellStart"/>
            <w:r w:rsidRPr="007E0AF4">
              <w:rPr>
                <w:sz w:val="22"/>
              </w:rPr>
              <w:t>необхідних</w:t>
            </w:r>
            <w:proofErr w:type="spellEnd"/>
            <w:r w:rsidRPr="007E0AF4">
              <w:rPr>
                <w:sz w:val="22"/>
              </w:rPr>
              <w:t xml:space="preserve"> </w:t>
            </w:r>
            <w:proofErr w:type="spellStart"/>
            <w:r w:rsidRPr="007E0AF4">
              <w:rPr>
                <w:sz w:val="22"/>
              </w:rPr>
              <w:t>засобів</w:t>
            </w:r>
            <w:proofErr w:type="spellEnd"/>
            <w:r w:rsidRPr="007E0AF4">
              <w:rPr>
                <w:sz w:val="22"/>
              </w:rPr>
              <w:t>;</w:t>
            </w:r>
          </w:p>
          <w:bookmarkEnd w:id="53"/>
          <w:p w:rsidR="002E3647" w:rsidRPr="007E0AF4" w:rsidRDefault="002E3647" w:rsidP="000303D7">
            <w:pPr>
              <w:pStyle w:val="a7"/>
              <w:numPr>
                <w:ilvl w:val="0"/>
                <w:numId w:val="110"/>
              </w:numPr>
              <w:jc w:val="left"/>
              <w:rPr>
                <w:sz w:val="22"/>
              </w:rPr>
            </w:pPr>
            <w:proofErr w:type="spellStart"/>
            <w:r w:rsidRPr="007E0AF4">
              <w:rPr>
                <w:sz w:val="22"/>
              </w:rPr>
              <w:t>Виконання</w:t>
            </w:r>
            <w:proofErr w:type="spellEnd"/>
            <w:r w:rsidRPr="007E0AF4">
              <w:rPr>
                <w:sz w:val="22"/>
              </w:rPr>
              <w:t xml:space="preserve"> </w:t>
            </w:r>
            <w:proofErr w:type="spellStart"/>
            <w:r w:rsidRPr="007E0AF4">
              <w:rPr>
                <w:sz w:val="22"/>
              </w:rPr>
              <w:t>ремонтних</w:t>
            </w:r>
            <w:proofErr w:type="spellEnd"/>
            <w:r w:rsidRPr="007E0AF4">
              <w:rPr>
                <w:sz w:val="22"/>
              </w:rPr>
              <w:t xml:space="preserve"> </w:t>
            </w:r>
            <w:proofErr w:type="spellStart"/>
            <w:r w:rsidRPr="007E0AF4">
              <w:rPr>
                <w:sz w:val="22"/>
              </w:rPr>
              <w:t>робіт</w:t>
            </w:r>
            <w:proofErr w:type="spellEnd"/>
            <w:r w:rsidRPr="007E0AF4">
              <w:rPr>
                <w:sz w:val="22"/>
              </w:rPr>
              <w:t>;</w:t>
            </w:r>
          </w:p>
          <w:p w:rsidR="002E3647" w:rsidRPr="007E0AF4" w:rsidRDefault="002E3647" w:rsidP="000303D7">
            <w:pPr>
              <w:pStyle w:val="a7"/>
              <w:numPr>
                <w:ilvl w:val="0"/>
                <w:numId w:val="110"/>
              </w:numPr>
              <w:jc w:val="left"/>
              <w:rPr>
                <w:sz w:val="22"/>
              </w:rPr>
            </w:pPr>
            <w:r w:rsidRPr="007E0AF4">
              <w:rPr>
                <w:sz w:val="22"/>
              </w:rPr>
              <w:t xml:space="preserve">Заходи з </w:t>
            </w:r>
            <w:proofErr w:type="spellStart"/>
            <w:r w:rsidRPr="007E0AF4">
              <w:rPr>
                <w:sz w:val="22"/>
              </w:rPr>
              <w:t>надання</w:t>
            </w:r>
            <w:proofErr w:type="spellEnd"/>
            <w:r w:rsidRPr="007E0AF4">
              <w:rPr>
                <w:sz w:val="22"/>
              </w:rPr>
              <w:t xml:space="preserve"> </w:t>
            </w:r>
            <w:proofErr w:type="spellStart"/>
            <w:r w:rsidRPr="007E0AF4">
              <w:rPr>
                <w:sz w:val="22"/>
              </w:rPr>
              <w:t>допусків</w:t>
            </w:r>
            <w:proofErr w:type="spellEnd"/>
            <w:r w:rsidRPr="007E0AF4">
              <w:rPr>
                <w:sz w:val="22"/>
              </w:rPr>
              <w:t xml:space="preserve"> </w:t>
            </w:r>
            <w:proofErr w:type="gramStart"/>
            <w:r w:rsidRPr="007E0AF4">
              <w:rPr>
                <w:sz w:val="22"/>
              </w:rPr>
              <w:t>до початку</w:t>
            </w:r>
            <w:proofErr w:type="gramEnd"/>
            <w:r w:rsidRPr="007E0AF4">
              <w:rPr>
                <w:sz w:val="22"/>
              </w:rPr>
              <w:t xml:space="preserve"> </w:t>
            </w:r>
            <w:proofErr w:type="spellStart"/>
            <w:r w:rsidRPr="007E0AF4">
              <w:rPr>
                <w:sz w:val="22"/>
              </w:rPr>
              <w:t>експлуатації</w:t>
            </w:r>
            <w:proofErr w:type="spellEnd"/>
            <w:r w:rsidRPr="007E0AF4">
              <w:rPr>
                <w:sz w:val="22"/>
              </w:rPr>
              <w:t xml:space="preserve"> </w:t>
            </w:r>
            <w:proofErr w:type="spellStart"/>
            <w:r w:rsidRPr="007E0AF4">
              <w:rPr>
                <w:sz w:val="22"/>
              </w:rPr>
              <w:t>будівлі</w:t>
            </w:r>
            <w:proofErr w:type="spellEnd"/>
            <w:r w:rsidRPr="007E0AF4">
              <w:rPr>
                <w:sz w:val="22"/>
              </w:rPr>
              <w:t xml:space="preserve"> </w:t>
            </w:r>
            <w:proofErr w:type="spellStart"/>
            <w:r w:rsidRPr="007E0AF4">
              <w:rPr>
                <w:sz w:val="22"/>
              </w:rPr>
              <w:t>відповідними</w:t>
            </w:r>
            <w:proofErr w:type="spellEnd"/>
            <w:r w:rsidRPr="007E0AF4">
              <w:rPr>
                <w:sz w:val="22"/>
              </w:rPr>
              <w:t xml:space="preserve"> органами та </w:t>
            </w:r>
            <w:proofErr w:type="spellStart"/>
            <w:r w:rsidRPr="007E0AF4">
              <w:rPr>
                <w:sz w:val="22"/>
              </w:rPr>
              <w:t>організаціями</w:t>
            </w:r>
            <w:proofErr w:type="spellEnd"/>
            <w:r w:rsidRPr="007E0AF4">
              <w:rPr>
                <w:sz w:val="22"/>
              </w:rPr>
              <w:t xml:space="preserve">; </w:t>
            </w:r>
          </w:p>
          <w:p w:rsidR="002E3647" w:rsidRPr="007E0AF4" w:rsidRDefault="002E3647" w:rsidP="000303D7">
            <w:pPr>
              <w:pStyle w:val="a7"/>
              <w:numPr>
                <w:ilvl w:val="0"/>
                <w:numId w:val="110"/>
              </w:numPr>
              <w:jc w:val="left"/>
              <w:rPr>
                <w:sz w:val="22"/>
              </w:rPr>
            </w:pPr>
            <w:proofErr w:type="spellStart"/>
            <w:r w:rsidRPr="007E0AF4">
              <w:rPr>
                <w:sz w:val="22"/>
              </w:rPr>
              <w:t>Організація</w:t>
            </w:r>
            <w:proofErr w:type="spellEnd"/>
            <w:r w:rsidRPr="007E0AF4">
              <w:rPr>
                <w:sz w:val="22"/>
              </w:rPr>
              <w:t xml:space="preserve"> та </w:t>
            </w:r>
            <w:proofErr w:type="gramStart"/>
            <w:r w:rsidRPr="007E0AF4">
              <w:rPr>
                <w:sz w:val="22"/>
              </w:rPr>
              <w:t xml:space="preserve">початок  </w:t>
            </w:r>
            <w:proofErr w:type="spellStart"/>
            <w:r w:rsidRPr="007E0AF4">
              <w:rPr>
                <w:sz w:val="22"/>
              </w:rPr>
              <w:t>освітнього</w:t>
            </w:r>
            <w:proofErr w:type="spellEnd"/>
            <w:proofErr w:type="gramEnd"/>
            <w:r w:rsidRPr="007E0AF4">
              <w:rPr>
                <w:sz w:val="22"/>
              </w:rPr>
              <w:t xml:space="preserve"> </w:t>
            </w:r>
            <w:proofErr w:type="spellStart"/>
            <w:r w:rsidRPr="007E0AF4">
              <w:rPr>
                <w:sz w:val="22"/>
              </w:rPr>
              <w:t>процесу</w:t>
            </w:r>
            <w:proofErr w:type="spellEnd"/>
            <w:r w:rsidRPr="007E0AF4">
              <w:rPr>
                <w:sz w:val="22"/>
              </w:rPr>
              <w:t>.</w:t>
            </w:r>
          </w:p>
        </w:tc>
      </w:tr>
      <w:tr w:rsidR="002E3647" w:rsidRPr="007E0AF4" w:rsidTr="002E3647">
        <w:trPr>
          <w:trHeight w:val="360"/>
        </w:trPr>
        <w:tc>
          <w:tcPr>
            <w:tcW w:w="2978" w:type="dxa"/>
            <w:vMerge w:val="restart"/>
            <w:shd w:val="clear" w:color="auto" w:fill="C6D9F1" w:themeFill="text2" w:themeFillTint="33"/>
          </w:tcPr>
          <w:p w:rsidR="002E3647" w:rsidRPr="007E0AF4" w:rsidRDefault="002E3647" w:rsidP="001E6C97">
            <w:pPr>
              <w:pStyle w:val="a7"/>
              <w:ind w:left="0"/>
              <w:rPr>
                <w:b/>
                <w:sz w:val="22"/>
              </w:rPr>
            </w:pPr>
            <w:proofErr w:type="spellStart"/>
            <w:r w:rsidRPr="007E0AF4">
              <w:rPr>
                <w:b/>
                <w:sz w:val="22"/>
              </w:rPr>
              <w:t>Орієнтовний</w:t>
            </w:r>
            <w:proofErr w:type="spellEnd"/>
            <w:r w:rsidRPr="007E0AF4">
              <w:rPr>
                <w:b/>
                <w:sz w:val="22"/>
              </w:rPr>
              <w:t xml:space="preserve"> </w:t>
            </w:r>
            <w:proofErr w:type="spellStart"/>
            <w:r w:rsidRPr="007E0AF4">
              <w:rPr>
                <w:b/>
                <w:sz w:val="22"/>
              </w:rPr>
              <w:t>обсяг</w:t>
            </w:r>
            <w:proofErr w:type="spellEnd"/>
            <w:r w:rsidRPr="007E0AF4">
              <w:rPr>
                <w:b/>
                <w:sz w:val="22"/>
              </w:rPr>
              <w:t xml:space="preserve"> та </w:t>
            </w:r>
            <w:proofErr w:type="spellStart"/>
            <w:r w:rsidRPr="007E0AF4">
              <w:rPr>
                <w:b/>
                <w:sz w:val="22"/>
              </w:rPr>
              <w:t>джерела</w:t>
            </w:r>
            <w:proofErr w:type="spellEnd"/>
            <w:r w:rsidRPr="007E0AF4">
              <w:rPr>
                <w:b/>
                <w:sz w:val="22"/>
              </w:rPr>
              <w:t xml:space="preserve"> </w:t>
            </w:r>
            <w:proofErr w:type="spellStart"/>
            <w:r w:rsidRPr="007E0AF4">
              <w:rPr>
                <w:b/>
                <w:sz w:val="22"/>
              </w:rPr>
              <w:t>фінансування</w:t>
            </w:r>
            <w:proofErr w:type="spellEnd"/>
            <w:r w:rsidRPr="007E0AF4">
              <w:rPr>
                <w:b/>
                <w:sz w:val="22"/>
              </w:rPr>
              <w:t xml:space="preserve">, тис. грн. </w:t>
            </w:r>
          </w:p>
          <w:p w:rsidR="002E3647" w:rsidRPr="007E0AF4" w:rsidRDefault="002E3647" w:rsidP="001E6C97">
            <w:pPr>
              <w:pStyle w:val="a7"/>
              <w:ind w:left="0"/>
              <w:rPr>
                <w:b/>
                <w:sz w:val="22"/>
              </w:rPr>
            </w:pPr>
          </w:p>
        </w:tc>
        <w:tc>
          <w:tcPr>
            <w:tcW w:w="1579" w:type="dxa"/>
            <w:tcBorders>
              <w:bottom w:val="single" w:sz="4" w:space="0" w:color="auto"/>
              <w:right w:val="single" w:sz="4" w:space="0" w:color="auto"/>
            </w:tcBorders>
          </w:tcPr>
          <w:p w:rsidR="002E3647" w:rsidRPr="007E0AF4" w:rsidRDefault="002E3647" w:rsidP="001E6C97">
            <w:pPr>
              <w:pStyle w:val="a7"/>
              <w:ind w:left="0"/>
              <w:jc w:val="center"/>
              <w:rPr>
                <w:b/>
                <w:sz w:val="22"/>
              </w:rPr>
            </w:pPr>
            <w:proofErr w:type="spellStart"/>
            <w:r w:rsidRPr="007E0AF4">
              <w:rPr>
                <w:b/>
                <w:sz w:val="22"/>
              </w:rPr>
              <w:t>Державний</w:t>
            </w:r>
            <w:proofErr w:type="spellEnd"/>
            <w:r w:rsidRPr="007E0AF4">
              <w:rPr>
                <w:b/>
                <w:sz w:val="22"/>
              </w:rPr>
              <w:t xml:space="preserve"> бюджет</w:t>
            </w:r>
          </w:p>
        </w:tc>
        <w:tc>
          <w:tcPr>
            <w:tcW w:w="1322" w:type="dxa"/>
            <w:tcBorders>
              <w:bottom w:val="single" w:sz="4" w:space="0" w:color="auto"/>
              <w:right w:val="single" w:sz="4" w:space="0" w:color="auto"/>
            </w:tcBorders>
          </w:tcPr>
          <w:p w:rsidR="002E3647" w:rsidRPr="007E0AF4" w:rsidRDefault="002E3647" w:rsidP="001E6C97">
            <w:pPr>
              <w:pStyle w:val="a7"/>
              <w:ind w:left="0"/>
              <w:jc w:val="center"/>
              <w:rPr>
                <w:b/>
                <w:sz w:val="22"/>
              </w:rPr>
            </w:pPr>
            <w:proofErr w:type="spellStart"/>
            <w:r w:rsidRPr="007E0AF4">
              <w:rPr>
                <w:b/>
                <w:sz w:val="22"/>
              </w:rPr>
              <w:t>Місцевий</w:t>
            </w:r>
            <w:proofErr w:type="spellEnd"/>
            <w:r w:rsidRPr="007E0AF4">
              <w:rPr>
                <w:b/>
                <w:sz w:val="22"/>
              </w:rPr>
              <w:t xml:space="preserve"> бюджет</w:t>
            </w:r>
          </w:p>
        </w:tc>
        <w:tc>
          <w:tcPr>
            <w:tcW w:w="2622" w:type="dxa"/>
            <w:gridSpan w:val="4"/>
            <w:tcBorders>
              <w:left w:val="single" w:sz="4" w:space="0" w:color="auto"/>
              <w:bottom w:val="single" w:sz="4" w:space="0" w:color="auto"/>
              <w:right w:val="single" w:sz="4" w:space="0" w:color="auto"/>
            </w:tcBorders>
          </w:tcPr>
          <w:p w:rsidR="002E3647" w:rsidRPr="007E0AF4" w:rsidRDefault="002E3647" w:rsidP="001E6C97">
            <w:pPr>
              <w:pStyle w:val="a7"/>
              <w:ind w:left="0"/>
              <w:jc w:val="center"/>
              <w:rPr>
                <w:b/>
                <w:sz w:val="22"/>
              </w:rPr>
            </w:pPr>
            <w:proofErr w:type="spellStart"/>
            <w:r w:rsidRPr="007E0AF4">
              <w:rPr>
                <w:b/>
                <w:sz w:val="22"/>
              </w:rPr>
              <w:t>Інші</w:t>
            </w:r>
            <w:proofErr w:type="spellEnd"/>
            <w:r w:rsidRPr="007E0AF4">
              <w:rPr>
                <w:b/>
                <w:sz w:val="22"/>
              </w:rPr>
              <w:t xml:space="preserve"> </w:t>
            </w:r>
            <w:proofErr w:type="spellStart"/>
            <w:r w:rsidRPr="007E0AF4">
              <w:rPr>
                <w:b/>
                <w:sz w:val="22"/>
              </w:rPr>
              <w:t>джерела</w:t>
            </w:r>
            <w:proofErr w:type="spellEnd"/>
          </w:p>
        </w:tc>
        <w:tc>
          <w:tcPr>
            <w:tcW w:w="1387" w:type="dxa"/>
            <w:tcBorders>
              <w:left w:val="single" w:sz="4" w:space="0" w:color="auto"/>
              <w:bottom w:val="single" w:sz="4" w:space="0" w:color="auto"/>
            </w:tcBorders>
          </w:tcPr>
          <w:p w:rsidR="002E3647" w:rsidRPr="007E0AF4" w:rsidRDefault="002E3647" w:rsidP="001E6C97">
            <w:pPr>
              <w:pStyle w:val="a7"/>
              <w:ind w:left="0"/>
              <w:jc w:val="center"/>
              <w:rPr>
                <w:b/>
                <w:sz w:val="22"/>
              </w:rPr>
            </w:pPr>
            <w:proofErr w:type="spellStart"/>
            <w:r w:rsidRPr="007E0AF4">
              <w:rPr>
                <w:b/>
                <w:sz w:val="22"/>
              </w:rPr>
              <w:t>Всього</w:t>
            </w:r>
            <w:proofErr w:type="spellEnd"/>
          </w:p>
        </w:tc>
      </w:tr>
      <w:tr w:rsidR="002E3647" w:rsidRPr="007E0AF4" w:rsidTr="002E3647">
        <w:trPr>
          <w:trHeight w:val="225"/>
        </w:trPr>
        <w:tc>
          <w:tcPr>
            <w:tcW w:w="2978" w:type="dxa"/>
            <w:vMerge/>
            <w:shd w:val="clear" w:color="auto" w:fill="C6D9F1" w:themeFill="text2" w:themeFillTint="33"/>
          </w:tcPr>
          <w:p w:rsidR="002E3647" w:rsidRPr="007E0AF4" w:rsidRDefault="002E3647" w:rsidP="001E6C97">
            <w:pPr>
              <w:pStyle w:val="a7"/>
              <w:ind w:left="0"/>
              <w:rPr>
                <w:b/>
                <w:sz w:val="22"/>
              </w:rPr>
            </w:pPr>
          </w:p>
        </w:tc>
        <w:tc>
          <w:tcPr>
            <w:tcW w:w="1579" w:type="dxa"/>
            <w:vMerge w:val="restart"/>
            <w:tcBorders>
              <w:top w:val="single" w:sz="4" w:space="0" w:color="auto"/>
              <w:right w:val="single" w:sz="4" w:space="0" w:color="auto"/>
            </w:tcBorders>
          </w:tcPr>
          <w:p w:rsidR="002E3647" w:rsidRPr="007E0AF4" w:rsidRDefault="002E3647" w:rsidP="001E6C97">
            <w:pPr>
              <w:pStyle w:val="a7"/>
              <w:ind w:left="0"/>
              <w:jc w:val="center"/>
              <w:rPr>
                <w:sz w:val="22"/>
              </w:rPr>
            </w:pPr>
            <w:r w:rsidRPr="007E0AF4">
              <w:rPr>
                <w:sz w:val="22"/>
              </w:rPr>
              <w:t>35 000,0</w:t>
            </w:r>
          </w:p>
          <w:p w:rsidR="002E3647" w:rsidRPr="007E0AF4" w:rsidRDefault="002E3647" w:rsidP="001E6C97">
            <w:pPr>
              <w:pStyle w:val="a7"/>
              <w:ind w:left="0"/>
              <w:jc w:val="center"/>
              <w:rPr>
                <w:b/>
                <w:color w:val="FF0000"/>
                <w:sz w:val="22"/>
              </w:rPr>
            </w:pPr>
          </w:p>
        </w:tc>
        <w:tc>
          <w:tcPr>
            <w:tcW w:w="1322" w:type="dxa"/>
            <w:vMerge w:val="restart"/>
            <w:tcBorders>
              <w:top w:val="single" w:sz="4" w:space="0" w:color="auto"/>
              <w:right w:val="single" w:sz="4" w:space="0" w:color="auto"/>
            </w:tcBorders>
          </w:tcPr>
          <w:p w:rsidR="002E3647" w:rsidRPr="007E0AF4" w:rsidRDefault="002E3647" w:rsidP="001E6C97">
            <w:pPr>
              <w:pStyle w:val="a7"/>
              <w:ind w:left="0"/>
              <w:jc w:val="center"/>
              <w:rPr>
                <w:b/>
                <w:sz w:val="22"/>
              </w:rPr>
            </w:pPr>
            <w:r w:rsidRPr="007E0AF4">
              <w:rPr>
                <w:b/>
                <w:sz w:val="22"/>
              </w:rPr>
              <w:t>-</w:t>
            </w:r>
          </w:p>
        </w:tc>
        <w:tc>
          <w:tcPr>
            <w:tcW w:w="1167" w:type="dxa"/>
            <w:gridSpan w:val="2"/>
            <w:tcBorders>
              <w:top w:val="single" w:sz="4" w:space="0" w:color="auto"/>
              <w:left w:val="single" w:sz="4" w:space="0" w:color="auto"/>
              <w:bottom w:val="single" w:sz="4" w:space="0" w:color="auto"/>
              <w:right w:val="single" w:sz="4" w:space="0" w:color="auto"/>
            </w:tcBorders>
          </w:tcPr>
          <w:p w:rsidR="002E3647" w:rsidRPr="007E0AF4" w:rsidRDefault="002E3647" w:rsidP="001E6C97">
            <w:pPr>
              <w:pStyle w:val="a7"/>
              <w:ind w:left="0"/>
              <w:jc w:val="center"/>
              <w:rPr>
                <w:b/>
                <w:sz w:val="22"/>
              </w:rPr>
            </w:pPr>
            <w:proofErr w:type="spellStart"/>
            <w:r w:rsidRPr="007E0AF4">
              <w:rPr>
                <w:b/>
                <w:sz w:val="22"/>
              </w:rPr>
              <w:t>Обсяг</w:t>
            </w:r>
            <w:proofErr w:type="spellEnd"/>
          </w:p>
        </w:tc>
        <w:tc>
          <w:tcPr>
            <w:tcW w:w="1455" w:type="dxa"/>
            <w:gridSpan w:val="2"/>
            <w:tcBorders>
              <w:top w:val="single" w:sz="4" w:space="0" w:color="auto"/>
              <w:left w:val="single" w:sz="4" w:space="0" w:color="auto"/>
              <w:bottom w:val="single" w:sz="4" w:space="0" w:color="auto"/>
              <w:right w:val="single" w:sz="4" w:space="0" w:color="auto"/>
            </w:tcBorders>
          </w:tcPr>
          <w:p w:rsidR="002E3647" w:rsidRPr="007E0AF4" w:rsidRDefault="002E3647" w:rsidP="001E6C97">
            <w:pPr>
              <w:pStyle w:val="a7"/>
              <w:ind w:left="0"/>
              <w:jc w:val="center"/>
              <w:rPr>
                <w:b/>
                <w:sz w:val="22"/>
              </w:rPr>
            </w:pPr>
            <w:proofErr w:type="spellStart"/>
            <w:r w:rsidRPr="007E0AF4">
              <w:rPr>
                <w:b/>
                <w:sz w:val="22"/>
              </w:rPr>
              <w:t>Назва</w:t>
            </w:r>
            <w:proofErr w:type="spellEnd"/>
            <w:r w:rsidRPr="007E0AF4">
              <w:rPr>
                <w:b/>
                <w:sz w:val="22"/>
              </w:rPr>
              <w:t xml:space="preserve"> </w:t>
            </w:r>
            <w:proofErr w:type="spellStart"/>
            <w:r w:rsidRPr="007E0AF4">
              <w:rPr>
                <w:b/>
                <w:sz w:val="22"/>
              </w:rPr>
              <w:t>джерела</w:t>
            </w:r>
            <w:proofErr w:type="spellEnd"/>
          </w:p>
        </w:tc>
        <w:tc>
          <w:tcPr>
            <w:tcW w:w="1387" w:type="dxa"/>
            <w:vMerge w:val="restart"/>
            <w:tcBorders>
              <w:top w:val="single" w:sz="4" w:space="0" w:color="auto"/>
              <w:left w:val="single" w:sz="4" w:space="0" w:color="auto"/>
            </w:tcBorders>
          </w:tcPr>
          <w:p w:rsidR="002E3647" w:rsidRPr="007E0AF4" w:rsidRDefault="002E3647" w:rsidP="001E6C97">
            <w:pPr>
              <w:pStyle w:val="a7"/>
              <w:ind w:left="0"/>
              <w:jc w:val="center"/>
              <w:rPr>
                <w:sz w:val="22"/>
              </w:rPr>
            </w:pPr>
            <w:r w:rsidRPr="007E0AF4">
              <w:rPr>
                <w:sz w:val="22"/>
              </w:rPr>
              <w:t>105 400,0</w:t>
            </w:r>
          </w:p>
          <w:p w:rsidR="002E3647" w:rsidRPr="007E0AF4" w:rsidRDefault="002E3647" w:rsidP="001E6C97">
            <w:pPr>
              <w:pStyle w:val="a7"/>
              <w:ind w:left="0"/>
              <w:jc w:val="center"/>
              <w:rPr>
                <w:sz w:val="22"/>
              </w:rPr>
            </w:pPr>
          </w:p>
        </w:tc>
      </w:tr>
      <w:tr w:rsidR="002E3647" w:rsidRPr="007E0AF4" w:rsidTr="002E3647">
        <w:trPr>
          <w:trHeight w:val="300"/>
        </w:trPr>
        <w:tc>
          <w:tcPr>
            <w:tcW w:w="2978" w:type="dxa"/>
            <w:vMerge/>
            <w:shd w:val="clear" w:color="auto" w:fill="C6D9F1" w:themeFill="text2" w:themeFillTint="33"/>
          </w:tcPr>
          <w:p w:rsidR="002E3647" w:rsidRPr="007E0AF4" w:rsidRDefault="002E3647" w:rsidP="001E6C97">
            <w:pPr>
              <w:pStyle w:val="a7"/>
              <w:ind w:left="0"/>
              <w:rPr>
                <w:b/>
                <w:sz w:val="22"/>
              </w:rPr>
            </w:pPr>
          </w:p>
        </w:tc>
        <w:tc>
          <w:tcPr>
            <w:tcW w:w="1579" w:type="dxa"/>
            <w:vMerge/>
            <w:tcBorders>
              <w:right w:val="single" w:sz="4" w:space="0" w:color="auto"/>
            </w:tcBorders>
          </w:tcPr>
          <w:p w:rsidR="002E3647" w:rsidRPr="007E0AF4" w:rsidRDefault="002E3647" w:rsidP="001E6C97">
            <w:pPr>
              <w:pStyle w:val="a7"/>
              <w:ind w:left="0"/>
              <w:jc w:val="center"/>
              <w:rPr>
                <w:sz w:val="22"/>
              </w:rPr>
            </w:pPr>
          </w:p>
        </w:tc>
        <w:tc>
          <w:tcPr>
            <w:tcW w:w="1322" w:type="dxa"/>
            <w:vMerge/>
            <w:tcBorders>
              <w:right w:val="single" w:sz="4" w:space="0" w:color="auto"/>
            </w:tcBorders>
          </w:tcPr>
          <w:p w:rsidR="002E3647" w:rsidRPr="007E0AF4" w:rsidRDefault="002E3647" w:rsidP="001E6C97">
            <w:pPr>
              <w:pStyle w:val="a7"/>
              <w:ind w:left="0"/>
              <w:jc w:val="center"/>
              <w:rPr>
                <w:b/>
                <w:sz w:val="22"/>
              </w:rPr>
            </w:pPr>
          </w:p>
        </w:tc>
        <w:tc>
          <w:tcPr>
            <w:tcW w:w="1167" w:type="dxa"/>
            <w:gridSpan w:val="2"/>
            <w:tcBorders>
              <w:top w:val="single" w:sz="4" w:space="0" w:color="auto"/>
              <w:left w:val="single" w:sz="4" w:space="0" w:color="auto"/>
              <w:right w:val="single" w:sz="4" w:space="0" w:color="auto"/>
            </w:tcBorders>
          </w:tcPr>
          <w:p w:rsidR="002E3647" w:rsidRPr="007E0AF4" w:rsidRDefault="002E3647" w:rsidP="001E6C97">
            <w:pPr>
              <w:pStyle w:val="a7"/>
              <w:ind w:left="0"/>
              <w:jc w:val="center"/>
              <w:rPr>
                <w:sz w:val="22"/>
              </w:rPr>
            </w:pPr>
            <w:r w:rsidRPr="007E0AF4">
              <w:rPr>
                <w:sz w:val="22"/>
              </w:rPr>
              <w:t>70 400,0</w:t>
            </w:r>
          </w:p>
          <w:p w:rsidR="002E3647" w:rsidRPr="007E0AF4" w:rsidRDefault="002E3647" w:rsidP="001E6C97">
            <w:pPr>
              <w:pStyle w:val="a7"/>
              <w:ind w:left="0"/>
              <w:jc w:val="center"/>
              <w:rPr>
                <w:b/>
                <w:sz w:val="22"/>
              </w:rPr>
            </w:pPr>
          </w:p>
        </w:tc>
        <w:tc>
          <w:tcPr>
            <w:tcW w:w="1455" w:type="dxa"/>
            <w:gridSpan w:val="2"/>
            <w:tcBorders>
              <w:top w:val="single" w:sz="4" w:space="0" w:color="auto"/>
              <w:left w:val="single" w:sz="4" w:space="0" w:color="auto"/>
              <w:right w:val="single" w:sz="4" w:space="0" w:color="auto"/>
            </w:tcBorders>
          </w:tcPr>
          <w:p w:rsidR="002E3647" w:rsidRPr="007E0AF4" w:rsidRDefault="002E3647" w:rsidP="001E6C97">
            <w:pPr>
              <w:pStyle w:val="a7"/>
              <w:ind w:left="0"/>
              <w:jc w:val="center"/>
              <w:rPr>
                <w:sz w:val="22"/>
              </w:rPr>
            </w:pPr>
            <w:proofErr w:type="spellStart"/>
            <w:r w:rsidRPr="007E0AF4">
              <w:rPr>
                <w:sz w:val="22"/>
              </w:rPr>
              <w:t>Міжнародні</w:t>
            </w:r>
            <w:proofErr w:type="spellEnd"/>
            <w:r w:rsidRPr="007E0AF4">
              <w:rPr>
                <w:sz w:val="22"/>
              </w:rPr>
              <w:t xml:space="preserve"> </w:t>
            </w:r>
            <w:proofErr w:type="spellStart"/>
            <w:r w:rsidRPr="007E0AF4">
              <w:rPr>
                <w:sz w:val="22"/>
              </w:rPr>
              <w:t>інвестиції</w:t>
            </w:r>
            <w:proofErr w:type="spellEnd"/>
            <w:r w:rsidRPr="007E0AF4">
              <w:rPr>
                <w:sz w:val="22"/>
              </w:rPr>
              <w:t xml:space="preserve">, </w:t>
            </w:r>
            <w:proofErr w:type="spellStart"/>
            <w:r w:rsidRPr="007E0AF4">
              <w:rPr>
                <w:sz w:val="22"/>
              </w:rPr>
              <w:t>кошти</w:t>
            </w:r>
            <w:proofErr w:type="spellEnd"/>
            <w:r w:rsidRPr="007E0AF4">
              <w:rPr>
                <w:sz w:val="22"/>
              </w:rPr>
              <w:t xml:space="preserve"> </w:t>
            </w:r>
            <w:proofErr w:type="spellStart"/>
            <w:r w:rsidRPr="007E0AF4">
              <w:rPr>
                <w:sz w:val="22"/>
              </w:rPr>
              <w:t>приватних</w:t>
            </w:r>
            <w:proofErr w:type="spellEnd"/>
            <w:r w:rsidRPr="007E0AF4">
              <w:rPr>
                <w:sz w:val="22"/>
              </w:rPr>
              <w:t xml:space="preserve"> </w:t>
            </w:r>
            <w:proofErr w:type="spellStart"/>
            <w:r w:rsidRPr="007E0AF4">
              <w:rPr>
                <w:sz w:val="22"/>
              </w:rPr>
              <w:t>осіб</w:t>
            </w:r>
            <w:proofErr w:type="spellEnd"/>
          </w:p>
        </w:tc>
        <w:tc>
          <w:tcPr>
            <w:tcW w:w="1387" w:type="dxa"/>
            <w:vMerge/>
            <w:tcBorders>
              <w:left w:val="single" w:sz="4" w:space="0" w:color="auto"/>
            </w:tcBorders>
          </w:tcPr>
          <w:p w:rsidR="002E3647" w:rsidRPr="007E0AF4" w:rsidRDefault="002E3647" w:rsidP="001E6C97">
            <w:pPr>
              <w:pStyle w:val="a7"/>
              <w:ind w:left="0"/>
              <w:jc w:val="center"/>
              <w:rPr>
                <w:sz w:val="22"/>
              </w:rPr>
            </w:pPr>
          </w:p>
        </w:tc>
      </w:tr>
    </w:tbl>
    <w:p w:rsidR="002E3647" w:rsidRPr="007E0AF4" w:rsidRDefault="002E3647" w:rsidP="00E95FB1">
      <w:pPr>
        <w:rPr>
          <w:sz w:val="22"/>
        </w:rPr>
      </w:pPr>
    </w:p>
    <w:p w:rsidR="002E3647" w:rsidRPr="007E0AF4" w:rsidRDefault="002E3647" w:rsidP="00E95FB1">
      <w:pPr>
        <w:rPr>
          <w:sz w:val="22"/>
        </w:rPr>
      </w:pPr>
    </w:p>
    <w:tbl>
      <w:tblPr>
        <w:tblStyle w:val="af"/>
        <w:tblW w:w="0" w:type="auto"/>
        <w:tblInd w:w="-176" w:type="dxa"/>
        <w:tblLook w:val="04A0" w:firstRow="1" w:lastRow="0" w:firstColumn="1" w:lastColumn="0" w:noHBand="0" w:noVBand="1"/>
      </w:tblPr>
      <w:tblGrid>
        <w:gridCol w:w="2851"/>
        <w:gridCol w:w="1730"/>
        <w:gridCol w:w="1279"/>
        <w:gridCol w:w="270"/>
        <w:gridCol w:w="833"/>
        <w:gridCol w:w="859"/>
        <w:gridCol w:w="591"/>
        <w:gridCol w:w="1249"/>
      </w:tblGrid>
      <w:tr w:rsidR="002E3647" w:rsidRPr="007E0AF4" w:rsidTr="002E3647">
        <w:tc>
          <w:tcPr>
            <w:tcW w:w="2978" w:type="dxa"/>
            <w:shd w:val="clear" w:color="auto" w:fill="C6D9F1" w:themeFill="text2" w:themeFillTint="33"/>
          </w:tcPr>
          <w:p w:rsidR="002E3647" w:rsidRPr="007E0AF4" w:rsidRDefault="002E3647" w:rsidP="001E6C97">
            <w:pPr>
              <w:pStyle w:val="a7"/>
              <w:ind w:left="0"/>
              <w:rPr>
                <w:b/>
                <w:sz w:val="22"/>
              </w:rPr>
            </w:pPr>
            <w:r w:rsidRPr="007E0AF4">
              <w:rPr>
                <w:b/>
                <w:sz w:val="22"/>
              </w:rPr>
              <w:t xml:space="preserve">Оперативна </w:t>
            </w:r>
            <w:proofErr w:type="spellStart"/>
            <w:r w:rsidRPr="007E0AF4">
              <w:rPr>
                <w:b/>
                <w:sz w:val="22"/>
              </w:rPr>
              <w:t>ціль</w:t>
            </w:r>
            <w:proofErr w:type="spellEnd"/>
            <w:r w:rsidRPr="007E0AF4">
              <w:rPr>
                <w:b/>
                <w:sz w:val="22"/>
              </w:rPr>
              <w:t>/</w:t>
            </w:r>
            <w:proofErr w:type="spellStart"/>
            <w:r w:rsidRPr="007E0AF4">
              <w:rPr>
                <w:b/>
                <w:sz w:val="22"/>
              </w:rPr>
              <w:t>завдання</w:t>
            </w:r>
            <w:proofErr w:type="spellEnd"/>
          </w:p>
        </w:tc>
        <w:tc>
          <w:tcPr>
            <w:tcW w:w="6910" w:type="dxa"/>
            <w:gridSpan w:val="7"/>
            <w:shd w:val="clear" w:color="auto" w:fill="auto"/>
          </w:tcPr>
          <w:p w:rsidR="002E3647" w:rsidRPr="007E0AF4" w:rsidRDefault="002E3647" w:rsidP="001E6C97">
            <w:pPr>
              <w:pStyle w:val="a7"/>
              <w:ind w:left="0"/>
              <w:rPr>
                <w:sz w:val="22"/>
              </w:rPr>
            </w:pPr>
            <w:proofErr w:type="spellStart"/>
            <w:r w:rsidRPr="007E0AF4">
              <w:rPr>
                <w:rFonts w:eastAsia="Arial"/>
                <w:sz w:val="22"/>
              </w:rPr>
              <w:t>Людський</w:t>
            </w:r>
            <w:proofErr w:type="spellEnd"/>
            <w:r w:rsidRPr="007E0AF4">
              <w:rPr>
                <w:rFonts w:eastAsia="Arial"/>
                <w:sz w:val="22"/>
              </w:rPr>
              <w:t xml:space="preserve"> </w:t>
            </w:r>
            <w:proofErr w:type="spellStart"/>
            <w:r w:rsidRPr="007E0AF4">
              <w:rPr>
                <w:rFonts w:eastAsia="Arial"/>
                <w:sz w:val="22"/>
              </w:rPr>
              <w:t>розвиток</w:t>
            </w:r>
            <w:proofErr w:type="spellEnd"/>
            <w:r w:rsidRPr="007E0AF4">
              <w:rPr>
                <w:rFonts w:eastAsia="Arial"/>
                <w:sz w:val="22"/>
              </w:rPr>
              <w:t xml:space="preserve"> через </w:t>
            </w:r>
            <w:proofErr w:type="spellStart"/>
            <w:r w:rsidRPr="007E0AF4">
              <w:rPr>
                <w:rFonts w:eastAsia="Arial"/>
                <w:sz w:val="22"/>
              </w:rPr>
              <w:t>інновації</w:t>
            </w:r>
            <w:proofErr w:type="spellEnd"/>
            <w:r w:rsidRPr="007E0AF4">
              <w:rPr>
                <w:rFonts w:eastAsia="Arial"/>
                <w:sz w:val="22"/>
              </w:rPr>
              <w:t xml:space="preserve"> </w:t>
            </w:r>
            <w:proofErr w:type="spellStart"/>
            <w:r w:rsidRPr="007E0AF4">
              <w:rPr>
                <w:rFonts w:eastAsia="Arial"/>
                <w:sz w:val="22"/>
              </w:rPr>
              <w:t>управління</w:t>
            </w:r>
            <w:proofErr w:type="spellEnd"/>
            <w:r w:rsidRPr="007E0AF4">
              <w:rPr>
                <w:rFonts w:eastAsia="Arial"/>
                <w:sz w:val="22"/>
              </w:rPr>
              <w:t xml:space="preserve"> та </w:t>
            </w:r>
            <w:proofErr w:type="spellStart"/>
            <w:r w:rsidRPr="007E0AF4">
              <w:rPr>
                <w:rFonts w:eastAsia="Arial"/>
                <w:sz w:val="22"/>
              </w:rPr>
              <w:t>довіру</w:t>
            </w:r>
            <w:proofErr w:type="spellEnd"/>
            <w:r w:rsidRPr="007E0AF4">
              <w:rPr>
                <w:rFonts w:eastAsia="Arial"/>
                <w:sz w:val="22"/>
              </w:rPr>
              <w:t xml:space="preserve"> до </w:t>
            </w:r>
            <w:proofErr w:type="spellStart"/>
            <w:r w:rsidRPr="007E0AF4">
              <w:rPr>
                <w:rFonts w:eastAsia="Arial"/>
                <w:sz w:val="22"/>
              </w:rPr>
              <w:t>влади</w:t>
            </w:r>
            <w:proofErr w:type="spellEnd"/>
            <w:r w:rsidRPr="007E0AF4">
              <w:rPr>
                <w:rFonts w:eastAsia="Arial"/>
                <w:sz w:val="22"/>
              </w:rPr>
              <w:t xml:space="preserve">. </w:t>
            </w:r>
            <w:proofErr w:type="spellStart"/>
            <w:r w:rsidRPr="007E0AF4">
              <w:rPr>
                <w:rFonts w:eastAsia="Arial"/>
                <w:sz w:val="22"/>
              </w:rPr>
              <w:t>Формування</w:t>
            </w:r>
            <w:proofErr w:type="spellEnd"/>
            <w:r w:rsidRPr="007E0AF4">
              <w:rPr>
                <w:rFonts w:eastAsia="Arial"/>
                <w:sz w:val="22"/>
              </w:rPr>
              <w:t xml:space="preserve"> </w:t>
            </w:r>
            <w:proofErr w:type="spellStart"/>
            <w:r w:rsidRPr="007E0AF4">
              <w:rPr>
                <w:rFonts w:eastAsia="Arial"/>
                <w:sz w:val="22"/>
              </w:rPr>
              <w:t>сучасного</w:t>
            </w:r>
            <w:proofErr w:type="spellEnd"/>
            <w:r w:rsidRPr="007E0AF4">
              <w:rPr>
                <w:rFonts w:eastAsia="Arial"/>
                <w:sz w:val="22"/>
              </w:rPr>
              <w:t xml:space="preserve"> </w:t>
            </w:r>
            <w:proofErr w:type="spellStart"/>
            <w:proofErr w:type="gramStart"/>
            <w:r w:rsidRPr="007E0AF4">
              <w:rPr>
                <w:rFonts w:eastAsia="Arial"/>
                <w:sz w:val="22"/>
              </w:rPr>
              <w:t>інклюзивного</w:t>
            </w:r>
            <w:proofErr w:type="spellEnd"/>
            <w:r w:rsidRPr="007E0AF4">
              <w:rPr>
                <w:rFonts w:eastAsia="Arial"/>
                <w:sz w:val="22"/>
              </w:rPr>
              <w:t xml:space="preserve">  </w:t>
            </w:r>
            <w:proofErr w:type="spellStart"/>
            <w:r w:rsidRPr="007E0AF4">
              <w:rPr>
                <w:rFonts w:eastAsia="Arial"/>
                <w:sz w:val="22"/>
              </w:rPr>
              <w:t>освітньо</w:t>
            </w:r>
            <w:proofErr w:type="spellEnd"/>
            <w:proofErr w:type="gramEnd"/>
            <w:r w:rsidRPr="007E0AF4">
              <w:rPr>
                <w:rFonts w:eastAsia="Arial"/>
                <w:sz w:val="22"/>
              </w:rPr>
              <w:t xml:space="preserve">-культурного та спортивного простору для </w:t>
            </w:r>
            <w:proofErr w:type="spellStart"/>
            <w:r w:rsidRPr="007E0AF4">
              <w:rPr>
                <w:rFonts w:eastAsia="Arial"/>
                <w:sz w:val="22"/>
              </w:rPr>
              <w:t>розвитку</w:t>
            </w:r>
            <w:proofErr w:type="spellEnd"/>
            <w:r w:rsidRPr="007E0AF4">
              <w:rPr>
                <w:rFonts w:eastAsia="Arial"/>
                <w:sz w:val="22"/>
              </w:rPr>
              <w:t>.</w:t>
            </w:r>
          </w:p>
        </w:tc>
      </w:tr>
      <w:tr w:rsidR="002E3647" w:rsidRPr="007E0AF4" w:rsidTr="002E3647">
        <w:tc>
          <w:tcPr>
            <w:tcW w:w="2978" w:type="dxa"/>
            <w:shd w:val="clear" w:color="auto" w:fill="C6D9F1" w:themeFill="text2" w:themeFillTint="33"/>
          </w:tcPr>
          <w:p w:rsidR="002E3647" w:rsidRPr="007E0AF4" w:rsidRDefault="002E3647" w:rsidP="001E6C97">
            <w:pPr>
              <w:pStyle w:val="a7"/>
              <w:ind w:left="0"/>
              <w:rPr>
                <w:b/>
                <w:sz w:val="22"/>
              </w:rPr>
            </w:pPr>
            <w:proofErr w:type="spellStart"/>
            <w:r w:rsidRPr="007E0AF4">
              <w:rPr>
                <w:b/>
                <w:sz w:val="22"/>
              </w:rPr>
              <w:t>Назва</w:t>
            </w:r>
            <w:proofErr w:type="spellEnd"/>
            <w:r w:rsidRPr="007E0AF4">
              <w:rPr>
                <w:b/>
                <w:sz w:val="22"/>
              </w:rPr>
              <w:t xml:space="preserve"> проекту:</w:t>
            </w:r>
          </w:p>
        </w:tc>
        <w:tc>
          <w:tcPr>
            <w:tcW w:w="6910" w:type="dxa"/>
            <w:gridSpan w:val="7"/>
          </w:tcPr>
          <w:p w:rsidR="002E3647" w:rsidRPr="007E0AF4" w:rsidRDefault="002E3647" w:rsidP="001E6C97">
            <w:pPr>
              <w:pStyle w:val="a7"/>
              <w:ind w:left="0"/>
              <w:rPr>
                <w:sz w:val="22"/>
              </w:rPr>
            </w:pPr>
            <w:proofErr w:type="spellStart"/>
            <w:r w:rsidRPr="007E0AF4">
              <w:rPr>
                <w:sz w:val="22"/>
              </w:rPr>
              <w:t>Будівництво</w:t>
            </w:r>
            <w:proofErr w:type="spellEnd"/>
            <w:r w:rsidRPr="007E0AF4">
              <w:rPr>
                <w:sz w:val="22"/>
              </w:rPr>
              <w:t xml:space="preserve"> </w:t>
            </w:r>
            <w:proofErr w:type="spellStart"/>
            <w:r w:rsidRPr="007E0AF4">
              <w:rPr>
                <w:sz w:val="22"/>
              </w:rPr>
              <w:t>бомбосховища</w:t>
            </w:r>
            <w:proofErr w:type="spellEnd"/>
            <w:r w:rsidRPr="007E0AF4">
              <w:rPr>
                <w:sz w:val="22"/>
              </w:rPr>
              <w:t xml:space="preserve"> на </w:t>
            </w:r>
            <w:proofErr w:type="spellStart"/>
            <w:r w:rsidRPr="007E0AF4">
              <w:rPr>
                <w:sz w:val="22"/>
              </w:rPr>
              <w:t>території</w:t>
            </w:r>
            <w:proofErr w:type="spellEnd"/>
            <w:r w:rsidRPr="007E0AF4">
              <w:rPr>
                <w:sz w:val="22"/>
              </w:rPr>
              <w:t xml:space="preserve"> </w:t>
            </w:r>
            <w:proofErr w:type="spellStart"/>
            <w:r w:rsidRPr="007E0AF4">
              <w:rPr>
                <w:sz w:val="22"/>
              </w:rPr>
              <w:t>комунального</w:t>
            </w:r>
            <w:proofErr w:type="spellEnd"/>
            <w:r w:rsidRPr="007E0AF4">
              <w:rPr>
                <w:sz w:val="22"/>
              </w:rPr>
              <w:t xml:space="preserve"> закладу </w:t>
            </w:r>
            <w:proofErr w:type="spellStart"/>
            <w:r w:rsidRPr="007E0AF4">
              <w:rPr>
                <w:sz w:val="22"/>
              </w:rPr>
              <w:t>Гімназії</w:t>
            </w:r>
            <w:proofErr w:type="spellEnd"/>
            <w:r w:rsidRPr="007E0AF4">
              <w:rPr>
                <w:sz w:val="22"/>
              </w:rPr>
              <w:t xml:space="preserve"> «ГАРМОНІЯ» </w:t>
            </w:r>
            <w:proofErr w:type="spellStart"/>
            <w:r w:rsidRPr="007E0AF4">
              <w:rPr>
                <w:sz w:val="22"/>
              </w:rPr>
              <w:t>міста</w:t>
            </w:r>
            <w:proofErr w:type="spellEnd"/>
            <w:r w:rsidRPr="007E0AF4">
              <w:rPr>
                <w:sz w:val="22"/>
              </w:rPr>
              <w:t xml:space="preserve"> </w:t>
            </w:r>
            <w:proofErr w:type="spellStart"/>
            <w:r w:rsidRPr="007E0AF4">
              <w:rPr>
                <w:sz w:val="22"/>
              </w:rPr>
              <w:t>Сєвєродонецька</w:t>
            </w:r>
            <w:proofErr w:type="spellEnd"/>
            <w:r w:rsidRPr="007E0AF4">
              <w:rPr>
                <w:sz w:val="22"/>
              </w:rPr>
              <w:t xml:space="preserve"> </w:t>
            </w:r>
            <w:proofErr w:type="spellStart"/>
            <w:r w:rsidRPr="007E0AF4">
              <w:rPr>
                <w:sz w:val="22"/>
              </w:rPr>
              <w:t>Луганської</w:t>
            </w:r>
            <w:proofErr w:type="spellEnd"/>
            <w:r w:rsidRPr="007E0AF4">
              <w:rPr>
                <w:sz w:val="22"/>
              </w:rPr>
              <w:t xml:space="preserve"> </w:t>
            </w:r>
            <w:proofErr w:type="spellStart"/>
            <w:r w:rsidRPr="007E0AF4">
              <w:rPr>
                <w:sz w:val="22"/>
              </w:rPr>
              <w:t>області</w:t>
            </w:r>
            <w:proofErr w:type="spellEnd"/>
            <w:r w:rsidRPr="007E0AF4">
              <w:rPr>
                <w:sz w:val="22"/>
              </w:rPr>
              <w:t xml:space="preserve">, </w:t>
            </w:r>
            <w:proofErr w:type="spellStart"/>
            <w:r w:rsidRPr="007E0AF4">
              <w:rPr>
                <w:sz w:val="22"/>
              </w:rPr>
              <w:t>вулиця</w:t>
            </w:r>
            <w:proofErr w:type="spellEnd"/>
            <w:r w:rsidRPr="007E0AF4">
              <w:rPr>
                <w:sz w:val="22"/>
              </w:rPr>
              <w:t xml:space="preserve"> </w:t>
            </w:r>
            <w:proofErr w:type="spellStart"/>
            <w:r w:rsidRPr="007E0AF4">
              <w:rPr>
                <w:sz w:val="22"/>
              </w:rPr>
              <w:t>Юності</w:t>
            </w:r>
            <w:proofErr w:type="spellEnd"/>
            <w:r w:rsidRPr="007E0AF4">
              <w:rPr>
                <w:sz w:val="22"/>
              </w:rPr>
              <w:t xml:space="preserve">, </w:t>
            </w:r>
            <w:proofErr w:type="spellStart"/>
            <w:r w:rsidRPr="007E0AF4">
              <w:rPr>
                <w:sz w:val="22"/>
              </w:rPr>
              <w:t>будинок</w:t>
            </w:r>
            <w:proofErr w:type="spellEnd"/>
            <w:r w:rsidRPr="007E0AF4">
              <w:rPr>
                <w:sz w:val="22"/>
              </w:rPr>
              <w:t xml:space="preserve"> 1</w:t>
            </w:r>
          </w:p>
        </w:tc>
      </w:tr>
      <w:tr w:rsidR="002E3647" w:rsidRPr="007E0AF4" w:rsidTr="002E3647">
        <w:tc>
          <w:tcPr>
            <w:tcW w:w="2978" w:type="dxa"/>
            <w:shd w:val="clear" w:color="auto" w:fill="C6D9F1" w:themeFill="text2" w:themeFillTint="33"/>
          </w:tcPr>
          <w:p w:rsidR="002E3647" w:rsidRPr="007E0AF4" w:rsidRDefault="002E3647" w:rsidP="001E6C97">
            <w:pPr>
              <w:rPr>
                <w:b/>
                <w:sz w:val="22"/>
              </w:rPr>
            </w:pPr>
            <w:proofErr w:type="spellStart"/>
            <w:r w:rsidRPr="007E0AF4">
              <w:rPr>
                <w:b/>
                <w:sz w:val="22"/>
              </w:rPr>
              <w:t>Ціль</w:t>
            </w:r>
            <w:proofErr w:type="spellEnd"/>
            <w:r w:rsidRPr="007E0AF4">
              <w:rPr>
                <w:b/>
                <w:sz w:val="22"/>
              </w:rPr>
              <w:t xml:space="preserve"> проекту</w:t>
            </w:r>
          </w:p>
        </w:tc>
        <w:tc>
          <w:tcPr>
            <w:tcW w:w="6910" w:type="dxa"/>
            <w:gridSpan w:val="7"/>
          </w:tcPr>
          <w:p w:rsidR="002E3647" w:rsidRPr="007E0AF4" w:rsidRDefault="002E3647" w:rsidP="001E6C97">
            <w:pPr>
              <w:pStyle w:val="a7"/>
              <w:ind w:left="0"/>
              <w:rPr>
                <w:sz w:val="22"/>
              </w:rPr>
            </w:pPr>
            <w:proofErr w:type="spellStart"/>
            <w:r w:rsidRPr="007E0AF4">
              <w:rPr>
                <w:sz w:val="22"/>
              </w:rPr>
              <w:t>Відновити</w:t>
            </w:r>
            <w:proofErr w:type="spellEnd"/>
            <w:r w:rsidRPr="007E0AF4">
              <w:rPr>
                <w:sz w:val="22"/>
              </w:rPr>
              <w:t xml:space="preserve"> та </w:t>
            </w:r>
            <w:proofErr w:type="spellStart"/>
            <w:r w:rsidRPr="007E0AF4">
              <w:rPr>
                <w:sz w:val="22"/>
              </w:rPr>
              <w:t>покращити</w:t>
            </w:r>
            <w:proofErr w:type="spellEnd"/>
            <w:r w:rsidRPr="007E0AF4">
              <w:rPr>
                <w:sz w:val="22"/>
              </w:rPr>
              <w:t xml:space="preserve"> роботу </w:t>
            </w:r>
            <w:proofErr w:type="spellStart"/>
            <w:r w:rsidRPr="007E0AF4">
              <w:rPr>
                <w:sz w:val="22"/>
              </w:rPr>
              <w:t>комунального</w:t>
            </w:r>
            <w:proofErr w:type="spellEnd"/>
            <w:r w:rsidRPr="007E0AF4">
              <w:rPr>
                <w:sz w:val="22"/>
              </w:rPr>
              <w:t xml:space="preserve"> закладу </w:t>
            </w:r>
            <w:proofErr w:type="spellStart"/>
            <w:r w:rsidRPr="007E0AF4">
              <w:rPr>
                <w:sz w:val="22"/>
              </w:rPr>
              <w:t>Гімназії</w:t>
            </w:r>
            <w:proofErr w:type="spellEnd"/>
            <w:r w:rsidRPr="007E0AF4">
              <w:rPr>
                <w:sz w:val="22"/>
              </w:rPr>
              <w:t xml:space="preserve"> «ГАРМОНІЯ» </w:t>
            </w:r>
            <w:proofErr w:type="spellStart"/>
            <w:r w:rsidRPr="007E0AF4">
              <w:rPr>
                <w:sz w:val="22"/>
              </w:rPr>
              <w:t>міста</w:t>
            </w:r>
            <w:proofErr w:type="spellEnd"/>
            <w:r w:rsidRPr="007E0AF4">
              <w:rPr>
                <w:sz w:val="22"/>
              </w:rPr>
              <w:t xml:space="preserve"> </w:t>
            </w:r>
            <w:proofErr w:type="spellStart"/>
            <w:r w:rsidRPr="007E0AF4">
              <w:rPr>
                <w:sz w:val="22"/>
              </w:rPr>
              <w:t>Сєвєродонецька</w:t>
            </w:r>
            <w:proofErr w:type="spellEnd"/>
            <w:r w:rsidRPr="007E0AF4">
              <w:rPr>
                <w:sz w:val="22"/>
              </w:rPr>
              <w:t xml:space="preserve"> </w:t>
            </w:r>
            <w:proofErr w:type="spellStart"/>
            <w:r w:rsidRPr="007E0AF4">
              <w:rPr>
                <w:sz w:val="22"/>
              </w:rPr>
              <w:t>Луганської</w:t>
            </w:r>
            <w:proofErr w:type="spellEnd"/>
            <w:r w:rsidRPr="007E0AF4">
              <w:rPr>
                <w:sz w:val="22"/>
              </w:rPr>
              <w:t xml:space="preserve"> </w:t>
            </w:r>
            <w:proofErr w:type="spellStart"/>
            <w:r w:rsidRPr="007E0AF4">
              <w:rPr>
                <w:sz w:val="22"/>
              </w:rPr>
              <w:t>області</w:t>
            </w:r>
            <w:proofErr w:type="spellEnd"/>
            <w:r w:rsidRPr="007E0AF4">
              <w:rPr>
                <w:sz w:val="22"/>
              </w:rPr>
              <w:t xml:space="preserve">. </w:t>
            </w:r>
            <w:proofErr w:type="spellStart"/>
            <w:r w:rsidRPr="007E0AF4">
              <w:rPr>
                <w:sz w:val="22"/>
              </w:rPr>
              <w:t>Побудувати</w:t>
            </w:r>
            <w:proofErr w:type="spellEnd"/>
            <w:r w:rsidRPr="007E0AF4">
              <w:rPr>
                <w:sz w:val="22"/>
              </w:rPr>
              <w:t xml:space="preserve"> на </w:t>
            </w:r>
            <w:proofErr w:type="spellStart"/>
            <w:r w:rsidRPr="007E0AF4">
              <w:rPr>
                <w:sz w:val="22"/>
              </w:rPr>
              <w:t>території</w:t>
            </w:r>
            <w:proofErr w:type="spellEnd"/>
            <w:r w:rsidRPr="007E0AF4">
              <w:rPr>
                <w:sz w:val="22"/>
              </w:rPr>
              <w:t xml:space="preserve"> закладу </w:t>
            </w:r>
            <w:proofErr w:type="spellStart"/>
            <w:r w:rsidRPr="007E0AF4">
              <w:rPr>
                <w:sz w:val="22"/>
              </w:rPr>
              <w:t>сучасне</w:t>
            </w:r>
            <w:proofErr w:type="spellEnd"/>
            <w:r w:rsidRPr="007E0AF4">
              <w:rPr>
                <w:sz w:val="22"/>
              </w:rPr>
              <w:t xml:space="preserve"> </w:t>
            </w:r>
            <w:proofErr w:type="spellStart"/>
            <w:r w:rsidRPr="007E0AF4">
              <w:rPr>
                <w:sz w:val="22"/>
              </w:rPr>
              <w:t>залізобетонне</w:t>
            </w:r>
            <w:proofErr w:type="spellEnd"/>
            <w:r w:rsidRPr="007E0AF4">
              <w:rPr>
                <w:sz w:val="22"/>
              </w:rPr>
              <w:t xml:space="preserve"> </w:t>
            </w:r>
            <w:proofErr w:type="spellStart"/>
            <w:r w:rsidRPr="007E0AF4">
              <w:rPr>
                <w:sz w:val="22"/>
              </w:rPr>
              <w:t>модульне</w:t>
            </w:r>
            <w:proofErr w:type="spellEnd"/>
            <w:r w:rsidRPr="007E0AF4">
              <w:rPr>
                <w:sz w:val="22"/>
              </w:rPr>
              <w:t xml:space="preserve"> </w:t>
            </w:r>
            <w:proofErr w:type="spellStart"/>
            <w:r w:rsidRPr="007E0AF4">
              <w:rPr>
                <w:sz w:val="22"/>
              </w:rPr>
              <w:t>бомбосховище</w:t>
            </w:r>
            <w:proofErr w:type="spellEnd"/>
            <w:r w:rsidRPr="007E0AF4">
              <w:rPr>
                <w:sz w:val="22"/>
              </w:rPr>
              <w:t xml:space="preserve"> (</w:t>
            </w:r>
            <w:proofErr w:type="spellStart"/>
            <w:r w:rsidRPr="007E0AF4">
              <w:rPr>
                <w:sz w:val="22"/>
              </w:rPr>
              <w:t>протирадіаційне</w:t>
            </w:r>
            <w:proofErr w:type="spellEnd"/>
            <w:r w:rsidRPr="007E0AF4">
              <w:rPr>
                <w:sz w:val="22"/>
              </w:rPr>
              <w:t xml:space="preserve"> </w:t>
            </w:r>
            <w:proofErr w:type="spellStart"/>
            <w:r w:rsidRPr="007E0AF4">
              <w:rPr>
                <w:sz w:val="22"/>
              </w:rPr>
              <w:t>укриття</w:t>
            </w:r>
            <w:proofErr w:type="spellEnd"/>
            <w:r w:rsidRPr="007E0AF4">
              <w:rPr>
                <w:sz w:val="22"/>
              </w:rPr>
              <w:t xml:space="preserve">) з метою </w:t>
            </w:r>
            <w:proofErr w:type="spellStart"/>
            <w:r w:rsidRPr="007E0AF4">
              <w:rPr>
                <w:sz w:val="22"/>
              </w:rPr>
              <w:t>відновлення</w:t>
            </w:r>
            <w:proofErr w:type="spellEnd"/>
            <w:r w:rsidRPr="007E0AF4">
              <w:rPr>
                <w:sz w:val="22"/>
              </w:rPr>
              <w:t xml:space="preserve"> </w:t>
            </w:r>
            <w:proofErr w:type="spellStart"/>
            <w:r w:rsidRPr="007E0AF4">
              <w:rPr>
                <w:sz w:val="22"/>
              </w:rPr>
              <w:t>навчально-виховного</w:t>
            </w:r>
            <w:proofErr w:type="spellEnd"/>
            <w:r w:rsidRPr="007E0AF4">
              <w:rPr>
                <w:sz w:val="22"/>
              </w:rPr>
              <w:t xml:space="preserve"> </w:t>
            </w:r>
            <w:proofErr w:type="spellStart"/>
            <w:r w:rsidRPr="007E0AF4">
              <w:rPr>
                <w:sz w:val="22"/>
              </w:rPr>
              <w:t>процесу</w:t>
            </w:r>
            <w:proofErr w:type="spellEnd"/>
            <w:r w:rsidRPr="007E0AF4">
              <w:rPr>
                <w:sz w:val="22"/>
              </w:rPr>
              <w:t xml:space="preserve"> </w:t>
            </w:r>
            <w:proofErr w:type="spellStart"/>
            <w:r w:rsidRPr="007E0AF4">
              <w:rPr>
                <w:sz w:val="22"/>
              </w:rPr>
              <w:t>відповідно</w:t>
            </w:r>
            <w:proofErr w:type="spellEnd"/>
            <w:r w:rsidRPr="007E0AF4">
              <w:rPr>
                <w:sz w:val="22"/>
              </w:rPr>
              <w:t xml:space="preserve"> до </w:t>
            </w:r>
            <w:proofErr w:type="spellStart"/>
            <w:r w:rsidRPr="007E0AF4">
              <w:rPr>
                <w:sz w:val="22"/>
              </w:rPr>
              <w:t>вимог</w:t>
            </w:r>
            <w:proofErr w:type="spellEnd"/>
            <w:r w:rsidRPr="007E0AF4">
              <w:rPr>
                <w:sz w:val="22"/>
              </w:rPr>
              <w:t xml:space="preserve"> чинного </w:t>
            </w:r>
            <w:proofErr w:type="spellStart"/>
            <w:r w:rsidRPr="007E0AF4">
              <w:rPr>
                <w:sz w:val="22"/>
              </w:rPr>
              <w:t>законодавства</w:t>
            </w:r>
            <w:proofErr w:type="spellEnd"/>
            <w:r w:rsidRPr="007E0AF4">
              <w:rPr>
                <w:sz w:val="22"/>
              </w:rPr>
              <w:t xml:space="preserve"> </w:t>
            </w:r>
            <w:proofErr w:type="spellStart"/>
            <w:r w:rsidRPr="007E0AF4">
              <w:rPr>
                <w:sz w:val="22"/>
              </w:rPr>
              <w:t>України</w:t>
            </w:r>
            <w:proofErr w:type="spellEnd"/>
            <w:r w:rsidRPr="007E0AF4">
              <w:rPr>
                <w:sz w:val="22"/>
              </w:rPr>
              <w:t xml:space="preserve"> та </w:t>
            </w:r>
            <w:proofErr w:type="spellStart"/>
            <w:r w:rsidRPr="007E0AF4">
              <w:rPr>
                <w:sz w:val="22"/>
              </w:rPr>
              <w:t>задоволення</w:t>
            </w:r>
            <w:proofErr w:type="spellEnd"/>
            <w:r w:rsidRPr="007E0AF4">
              <w:rPr>
                <w:sz w:val="22"/>
              </w:rPr>
              <w:t xml:space="preserve"> потреб </w:t>
            </w:r>
            <w:proofErr w:type="spellStart"/>
            <w:r w:rsidRPr="007E0AF4">
              <w:rPr>
                <w:sz w:val="22"/>
              </w:rPr>
              <w:t>мешканців</w:t>
            </w:r>
            <w:proofErr w:type="spellEnd"/>
            <w:r w:rsidRPr="007E0AF4">
              <w:rPr>
                <w:sz w:val="22"/>
              </w:rPr>
              <w:t xml:space="preserve"> </w:t>
            </w:r>
            <w:proofErr w:type="spellStart"/>
            <w:r w:rsidRPr="007E0AF4">
              <w:rPr>
                <w:sz w:val="22"/>
              </w:rPr>
              <w:t>Сєвєродонецької</w:t>
            </w:r>
            <w:proofErr w:type="spellEnd"/>
            <w:r w:rsidRPr="007E0AF4">
              <w:rPr>
                <w:sz w:val="22"/>
              </w:rPr>
              <w:t xml:space="preserve"> </w:t>
            </w:r>
            <w:proofErr w:type="spellStart"/>
            <w:r w:rsidRPr="007E0AF4">
              <w:rPr>
                <w:sz w:val="22"/>
              </w:rPr>
              <w:t>міської</w:t>
            </w:r>
            <w:proofErr w:type="spellEnd"/>
            <w:r w:rsidRPr="007E0AF4">
              <w:rPr>
                <w:sz w:val="22"/>
              </w:rPr>
              <w:t xml:space="preserve"> </w:t>
            </w:r>
            <w:proofErr w:type="spellStart"/>
            <w:r w:rsidRPr="007E0AF4">
              <w:rPr>
                <w:sz w:val="22"/>
              </w:rPr>
              <w:t>територіальної</w:t>
            </w:r>
            <w:proofErr w:type="spellEnd"/>
            <w:r w:rsidRPr="007E0AF4">
              <w:rPr>
                <w:sz w:val="22"/>
              </w:rPr>
              <w:t xml:space="preserve"> </w:t>
            </w:r>
            <w:proofErr w:type="spellStart"/>
            <w:r w:rsidRPr="007E0AF4">
              <w:rPr>
                <w:sz w:val="22"/>
              </w:rPr>
              <w:t>громади</w:t>
            </w:r>
            <w:proofErr w:type="spellEnd"/>
            <w:r w:rsidRPr="007E0AF4">
              <w:rPr>
                <w:sz w:val="22"/>
              </w:rPr>
              <w:t xml:space="preserve"> </w:t>
            </w:r>
          </w:p>
        </w:tc>
      </w:tr>
      <w:tr w:rsidR="002E3647" w:rsidRPr="007E0AF4" w:rsidTr="002E3647">
        <w:tc>
          <w:tcPr>
            <w:tcW w:w="2978" w:type="dxa"/>
            <w:shd w:val="clear" w:color="auto" w:fill="C6D9F1" w:themeFill="text2" w:themeFillTint="33"/>
          </w:tcPr>
          <w:p w:rsidR="002E3647" w:rsidRPr="007E0AF4" w:rsidRDefault="002E3647" w:rsidP="001E6C97">
            <w:pPr>
              <w:pStyle w:val="a7"/>
              <w:ind w:left="0"/>
              <w:rPr>
                <w:b/>
                <w:sz w:val="22"/>
              </w:rPr>
            </w:pPr>
            <w:proofErr w:type="spellStart"/>
            <w:r w:rsidRPr="007E0AF4">
              <w:rPr>
                <w:b/>
                <w:sz w:val="22"/>
              </w:rPr>
              <w:t>Територія</w:t>
            </w:r>
            <w:proofErr w:type="spellEnd"/>
            <w:r w:rsidRPr="007E0AF4">
              <w:rPr>
                <w:b/>
                <w:sz w:val="22"/>
              </w:rPr>
              <w:t xml:space="preserve">, </w:t>
            </w:r>
            <w:proofErr w:type="gramStart"/>
            <w:r w:rsidRPr="007E0AF4">
              <w:rPr>
                <w:b/>
                <w:sz w:val="22"/>
              </w:rPr>
              <w:t>на яку</w:t>
            </w:r>
            <w:proofErr w:type="gramEnd"/>
            <w:r w:rsidRPr="007E0AF4">
              <w:rPr>
                <w:b/>
                <w:sz w:val="22"/>
              </w:rPr>
              <w:t xml:space="preserve"> </w:t>
            </w:r>
            <w:proofErr w:type="spellStart"/>
            <w:r w:rsidRPr="007E0AF4">
              <w:rPr>
                <w:b/>
                <w:sz w:val="22"/>
              </w:rPr>
              <w:t>матиме</w:t>
            </w:r>
            <w:proofErr w:type="spellEnd"/>
            <w:r w:rsidRPr="007E0AF4">
              <w:rPr>
                <w:b/>
                <w:sz w:val="22"/>
              </w:rPr>
              <w:t xml:space="preserve"> </w:t>
            </w:r>
            <w:proofErr w:type="spellStart"/>
            <w:r w:rsidRPr="007E0AF4">
              <w:rPr>
                <w:b/>
                <w:sz w:val="22"/>
              </w:rPr>
              <w:t>вплив</w:t>
            </w:r>
            <w:proofErr w:type="spellEnd"/>
            <w:r w:rsidRPr="007E0AF4">
              <w:rPr>
                <w:b/>
                <w:sz w:val="22"/>
              </w:rPr>
              <w:t xml:space="preserve"> </w:t>
            </w:r>
            <w:proofErr w:type="spellStart"/>
            <w:r w:rsidRPr="007E0AF4">
              <w:rPr>
                <w:b/>
                <w:sz w:val="22"/>
              </w:rPr>
              <w:t>реалізація</w:t>
            </w:r>
            <w:proofErr w:type="spellEnd"/>
            <w:r w:rsidRPr="007E0AF4">
              <w:rPr>
                <w:b/>
                <w:sz w:val="22"/>
              </w:rPr>
              <w:t xml:space="preserve"> проекту</w:t>
            </w:r>
          </w:p>
        </w:tc>
        <w:tc>
          <w:tcPr>
            <w:tcW w:w="6910" w:type="dxa"/>
            <w:gridSpan w:val="7"/>
          </w:tcPr>
          <w:p w:rsidR="002E3647" w:rsidRPr="007E0AF4" w:rsidRDefault="002E3647" w:rsidP="001E6C97">
            <w:pPr>
              <w:pStyle w:val="a7"/>
              <w:ind w:left="0"/>
              <w:rPr>
                <w:sz w:val="22"/>
              </w:rPr>
            </w:pPr>
            <w:proofErr w:type="spellStart"/>
            <w:r w:rsidRPr="007E0AF4">
              <w:rPr>
                <w:sz w:val="22"/>
              </w:rPr>
              <w:t>Сєвєродонецька</w:t>
            </w:r>
            <w:proofErr w:type="spellEnd"/>
            <w:r w:rsidRPr="007E0AF4">
              <w:rPr>
                <w:sz w:val="22"/>
              </w:rPr>
              <w:t xml:space="preserve"> </w:t>
            </w:r>
            <w:proofErr w:type="spellStart"/>
            <w:r w:rsidRPr="007E0AF4">
              <w:rPr>
                <w:sz w:val="22"/>
              </w:rPr>
              <w:t>міська</w:t>
            </w:r>
            <w:proofErr w:type="spellEnd"/>
            <w:r w:rsidRPr="007E0AF4">
              <w:rPr>
                <w:sz w:val="22"/>
              </w:rPr>
              <w:t xml:space="preserve"> </w:t>
            </w:r>
            <w:proofErr w:type="spellStart"/>
            <w:r w:rsidRPr="007E0AF4">
              <w:rPr>
                <w:sz w:val="22"/>
              </w:rPr>
              <w:t>територіальна</w:t>
            </w:r>
            <w:proofErr w:type="spellEnd"/>
            <w:r w:rsidRPr="007E0AF4">
              <w:rPr>
                <w:sz w:val="22"/>
              </w:rPr>
              <w:t xml:space="preserve"> громада</w:t>
            </w:r>
          </w:p>
        </w:tc>
      </w:tr>
      <w:tr w:rsidR="002E3647" w:rsidRPr="007E0AF4" w:rsidTr="002E3647">
        <w:tc>
          <w:tcPr>
            <w:tcW w:w="2978" w:type="dxa"/>
            <w:shd w:val="clear" w:color="auto" w:fill="C6D9F1" w:themeFill="text2" w:themeFillTint="33"/>
          </w:tcPr>
          <w:p w:rsidR="002E3647" w:rsidRPr="007E0AF4" w:rsidRDefault="002E3647" w:rsidP="001E6C97">
            <w:pPr>
              <w:pStyle w:val="a7"/>
              <w:ind w:left="0"/>
              <w:rPr>
                <w:b/>
                <w:sz w:val="22"/>
              </w:rPr>
            </w:pPr>
            <w:proofErr w:type="spellStart"/>
            <w:r w:rsidRPr="007E0AF4">
              <w:rPr>
                <w:b/>
                <w:sz w:val="22"/>
              </w:rPr>
              <w:t>Чисельність</w:t>
            </w:r>
            <w:proofErr w:type="spellEnd"/>
            <w:r w:rsidRPr="007E0AF4">
              <w:rPr>
                <w:b/>
                <w:sz w:val="22"/>
              </w:rPr>
              <w:t xml:space="preserve"> </w:t>
            </w:r>
            <w:proofErr w:type="spellStart"/>
            <w:r w:rsidRPr="007E0AF4">
              <w:rPr>
                <w:b/>
                <w:sz w:val="22"/>
              </w:rPr>
              <w:t>населення</w:t>
            </w:r>
            <w:proofErr w:type="spellEnd"/>
            <w:r w:rsidRPr="007E0AF4">
              <w:rPr>
                <w:b/>
                <w:sz w:val="22"/>
              </w:rPr>
              <w:t xml:space="preserve">, на яке </w:t>
            </w:r>
            <w:proofErr w:type="spellStart"/>
            <w:r w:rsidRPr="007E0AF4">
              <w:rPr>
                <w:b/>
                <w:sz w:val="22"/>
              </w:rPr>
              <w:t>матиме</w:t>
            </w:r>
            <w:proofErr w:type="spellEnd"/>
            <w:r w:rsidRPr="007E0AF4">
              <w:rPr>
                <w:b/>
                <w:sz w:val="22"/>
              </w:rPr>
              <w:t xml:space="preserve"> </w:t>
            </w:r>
            <w:proofErr w:type="spellStart"/>
            <w:r w:rsidRPr="007E0AF4">
              <w:rPr>
                <w:b/>
                <w:sz w:val="22"/>
              </w:rPr>
              <w:t>вплив</w:t>
            </w:r>
            <w:proofErr w:type="spellEnd"/>
            <w:r w:rsidRPr="007E0AF4">
              <w:rPr>
                <w:b/>
                <w:sz w:val="22"/>
              </w:rPr>
              <w:t xml:space="preserve"> </w:t>
            </w:r>
            <w:proofErr w:type="spellStart"/>
            <w:r w:rsidRPr="007E0AF4">
              <w:rPr>
                <w:b/>
                <w:sz w:val="22"/>
              </w:rPr>
              <w:t>реалізація</w:t>
            </w:r>
            <w:proofErr w:type="spellEnd"/>
            <w:r w:rsidRPr="007E0AF4">
              <w:rPr>
                <w:b/>
                <w:sz w:val="22"/>
              </w:rPr>
              <w:t xml:space="preserve"> проекту</w:t>
            </w:r>
          </w:p>
        </w:tc>
        <w:tc>
          <w:tcPr>
            <w:tcW w:w="6910" w:type="dxa"/>
            <w:gridSpan w:val="7"/>
          </w:tcPr>
          <w:p w:rsidR="002E3647" w:rsidRPr="007E0AF4" w:rsidRDefault="002E3647" w:rsidP="001E6C97">
            <w:pPr>
              <w:pStyle w:val="a7"/>
              <w:ind w:left="0"/>
              <w:rPr>
                <w:sz w:val="22"/>
              </w:rPr>
            </w:pPr>
            <w:r w:rsidRPr="007E0AF4">
              <w:rPr>
                <w:sz w:val="22"/>
              </w:rPr>
              <w:t xml:space="preserve"> 70 </w:t>
            </w:r>
            <w:proofErr w:type="gramStart"/>
            <w:r w:rsidRPr="007E0AF4">
              <w:rPr>
                <w:sz w:val="22"/>
              </w:rPr>
              <w:t xml:space="preserve">000  </w:t>
            </w:r>
            <w:proofErr w:type="spellStart"/>
            <w:r w:rsidRPr="007E0AF4">
              <w:rPr>
                <w:sz w:val="22"/>
              </w:rPr>
              <w:t>осіб</w:t>
            </w:r>
            <w:proofErr w:type="spellEnd"/>
            <w:proofErr w:type="gramEnd"/>
          </w:p>
        </w:tc>
      </w:tr>
      <w:tr w:rsidR="002E3647" w:rsidRPr="007E0AF4" w:rsidTr="002E3647">
        <w:tc>
          <w:tcPr>
            <w:tcW w:w="2978" w:type="dxa"/>
            <w:shd w:val="clear" w:color="auto" w:fill="C6D9F1" w:themeFill="text2" w:themeFillTint="33"/>
          </w:tcPr>
          <w:p w:rsidR="002E3647" w:rsidRPr="007E0AF4" w:rsidRDefault="002E3647" w:rsidP="001E6C97">
            <w:pPr>
              <w:rPr>
                <w:b/>
                <w:sz w:val="22"/>
              </w:rPr>
            </w:pPr>
            <w:proofErr w:type="spellStart"/>
            <w:r w:rsidRPr="007E0AF4">
              <w:rPr>
                <w:b/>
                <w:sz w:val="22"/>
              </w:rPr>
              <w:t>Опис</w:t>
            </w:r>
            <w:proofErr w:type="spellEnd"/>
            <w:r w:rsidRPr="007E0AF4">
              <w:rPr>
                <w:b/>
                <w:sz w:val="22"/>
              </w:rPr>
              <w:t xml:space="preserve"> </w:t>
            </w:r>
            <w:proofErr w:type="spellStart"/>
            <w:r w:rsidRPr="007E0AF4">
              <w:rPr>
                <w:b/>
                <w:sz w:val="22"/>
              </w:rPr>
              <w:t>проблеми</w:t>
            </w:r>
            <w:proofErr w:type="spellEnd"/>
            <w:r w:rsidRPr="007E0AF4">
              <w:rPr>
                <w:b/>
                <w:sz w:val="22"/>
              </w:rPr>
              <w:t xml:space="preserve">, на </w:t>
            </w:r>
            <w:proofErr w:type="spellStart"/>
            <w:r w:rsidRPr="007E0AF4">
              <w:rPr>
                <w:b/>
                <w:sz w:val="22"/>
              </w:rPr>
              <w:t>вирішення</w:t>
            </w:r>
            <w:proofErr w:type="spellEnd"/>
            <w:r w:rsidRPr="007E0AF4">
              <w:rPr>
                <w:b/>
                <w:sz w:val="22"/>
              </w:rPr>
              <w:t xml:space="preserve"> </w:t>
            </w:r>
            <w:proofErr w:type="spellStart"/>
            <w:proofErr w:type="gramStart"/>
            <w:r w:rsidRPr="007E0AF4">
              <w:rPr>
                <w:b/>
                <w:sz w:val="22"/>
              </w:rPr>
              <w:t>якої</w:t>
            </w:r>
            <w:proofErr w:type="spellEnd"/>
            <w:r w:rsidRPr="007E0AF4">
              <w:rPr>
                <w:b/>
                <w:sz w:val="22"/>
              </w:rPr>
              <w:t xml:space="preserve">  </w:t>
            </w:r>
            <w:proofErr w:type="spellStart"/>
            <w:r w:rsidRPr="007E0AF4">
              <w:rPr>
                <w:b/>
                <w:sz w:val="22"/>
              </w:rPr>
              <w:t>спрямований</w:t>
            </w:r>
            <w:proofErr w:type="spellEnd"/>
            <w:proofErr w:type="gramEnd"/>
            <w:r w:rsidRPr="007E0AF4">
              <w:rPr>
                <w:b/>
                <w:sz w:val="22"/>
              </w:rPr>
              <w:t xml:space="preserve"> проект</w:t>
            </w:r>
          </w:p>
        </w:tc>
        <w:tc>
          <w:tcPr>
            <w:tcW w:w="6910" w:type="dxa"/>
            <w:gridSpan w:val="7"/>
          </w:tcPr>
          <w:p w:rsidR="002E3647" w:rsidRPr="007E0AF4" w:rsidRDefault="002E3647" w:rsidP="001E6C97">
            <w:pPr>
              <w:ind w:firstLine="653"/>
              <w:rPr>
                <w:sz w:val="22"/>
              </w:rPr>
            </w:pPr>
            <w:r w:rsidRPr="007E0AF4">
              <w:rPr>
                <w:sz w:val="22"/>
              </w:rPr>
              <w:t xml:space="preserve">Через </w:t>
            </w:r>
            <w:proofErr w:type="spellStart"/>
            <w:r w:rsidRPr="007E0AF4">
              <w:rPr>
                <w:sz w:val="22"/>
              </w:rPr>
              <w:t>військову</w:t>
            </w:r>
            <w:proofErr w:type="spellEnd"/>
            <w:r w:rsidRPr="007E0AF4">
              <w:rPr>
                <w:sz w:val="22"/>
              </w:rPr>
              <w:t xml:space="preserve"> </w:t>
            </w:r>
            <w:proofErr w:type="spellStart"/>
            <w:r w:rsidRPr="007E0AF4">
              <w:rPr>
                <w:sz w:val="22"/>
              </w:rPr>
              <w:t>агресію</w:t>
            </w:r>
            <w:proofErr w:type="spellEnd"/>
            <w:r w:rsidRPr="007E0AF4">
              <w:rPr>
                <w:sz w:val="22"/>
              </w:rPr>
              <w:t xml:space="preserve"> </w:t>
            </w:r>
            <w:r w:rsidR="00D02A1B" w:rsidRPr="007E0AF4">
              <w:rPr>
                <w:sz w:val="22"/>
              </w:rPr>
              <w:t>РФ</w:t>
            </w:r>
            <w:r w:rsidRPr="007E0AF4">
              <w:rPr>
                <w:sz w:val="22"/>
              </w:rPr>
              <w:t xml:space="preserve"> </w:t>
            </w:r>
            <w:proofErr w:type="spellStart"/>
            <w:r w:rsidRPr="007E0AF4">
              <w:rPr>
                <w:sz w:val="22"/>
              </w:rPr>
              <w:t>територія</w:t>
            </w:r>
            <w:proofErr w:type="spellEnd"/>
            <w:r w:rsidRPr="007E0AF4">
              <w:rPr>
                <w:sz w:val="22"/>
              </w:rPr>
              <w:t xml:space="preserve"> </w:t>
            </w:r>
            <w:proofErr w:type="spellStart"/>
            <w:r w:rsidRPr="007E0AF4">
              <w:rPr>
                <w:sz w:val="22"/>
              </w:rPr>
              <w:t>Сєвєродонецької</w:t>
            </w:r>
            <w:proofErr w:type="spellEnd"/>
            <w:r w:rsidRPr="007E0AF4">
              <w:rPr>
                <w:sz w:val="22"/>
              </w:rPr>
              <w:t xml:space="preserve"> </w:t>
            </w:r>
            <w:proofErr w:type="spellStart"/>
            <w:r w:rsidRPr="007E0AF4">
              <w:rPr>
                <w:sz w:val="22"/>
              </w:rPr>
              <w:t>міської</w:t>
            </w:r>
            <w:proofErr w:type="spellEnd"/>
            <w:r w:rsidRPr="007E0AF4">
              <w:rPr>
                <w:sz w:val="22"/>
              </w:rPr>
              <w:t xml:space="preserve"> </w:t>
            </w:r>
            <w:proofErr w:type="spellStart"/>
            <w:r w:rsidRPr="007E0AF4">
              <w:rPr>
                <w:sz w:val="22"/>
              </w:rPr>
              <w:t>територіальної</w:t>
            </w:r>
            <w:proofErr w:type="spellEnd"/>
            <w:r w:rsidRPr="007E0AF4">
              <w:rPr>
                <w:sz w:val="22"/>
              </w:rPr>
              <w:t xml:space="preserve"> </w:t>
            </w:r>
            <w:proofErr w:type="spellStart"/>
            <w:r w:rsidRPr="007E0AF4">
              <w:rPr>
                <w:sz w:val="22"/>
              </w:rPr>
              <w:t>громади</w:t>
            </w:r>
            <w:proofErr w:type="spellEnd"/>
            <w:r w:rsidRPr="007E0AF4">
              <w:rPr>
                <w:sz w:val="22"/>
              </w:rPr>
              <w:t xml:space="preserve"> </w:t>
            </w:r>
            <w:proofErr w:type="spellStart"/>
            <w:r w:rsidRPr="007E0AF4">
              <w:rPr>
                <w:sz w:val="22"/>
              </w:rPr>
              <w:t>зазнала</w:t>
            </w:r>
            <w:proofErr w:type="spellEnd"/>
            <w:r w:rsidRPr="007E0AF4">
              <w:rPr>
                <w:sz w:val="22"/>
              </w:rPr>
              <w:t xml:space="preserve"> </w:t>
            </w:r>
            <w:proofErr w:type="spellStart"/>
            <w:r w:rsidRPr="007E0AF4">
              <w:rPr>
                <w:sz w:val="22"/>
              </w:rPr>
              <w:t>значних</w:t>
            </w:r>
            <w:proofErr w:type="spellEnd"/>
            <w:r w:rsidRPr="007E0AF4">
              <w:rPr>
                <w:sz w:val="22"/>
              </w:rPr>
              <w:t xml:space="preserve"> </w:t>
            </w:r>
            <w:proofErr w:type="spellStart"/>
            <w:r w:rsidRPr="007E0AF4">
              <w:rPr>
                <w:sz w:val="22"/>
              </w:rPr>
              <w:t>пошкоджень</w:t>
            </w:r>
            <w:proofErr w:type="spellEnd"/>
            <w:r w:rsidRPr="007E0AF4">
              <w:rPr>
                <w:sz w:val="22"/>
              </w:rPr>
              <w:t xml:space="preserve">. </w:t>
            </w:r>
            <w:proofErr w:type="spellStart"/>
            <w:r w:rsidRPr="007E0AF4">
              <w:rPr>
                <w:sz w:val="22"/>
              </w:rPr>
              <w:t>Гімназія</w:t>
            </w:r>
            <w:proofErr w:type="spellEnd"/>
            <w:r w:rsidRPr="007E0AF4">
              <w:rPr>
                <w:sz w:val="22"/>
              </w:rPr>
              <w:t xml:space="preserve"> «ГАРМОНІЯ» </w:t>
            </w:r>
            <w:proofErr w:type="spellStart"/>
            <w:r w:rsidRPr="007E0AF4">
              <w:rPr>
                <w:sz w:val="22"/>
              </w:rPr>
              <w:t>міста</w:t>
            </w:r>
            <w:proofErr w:type="spellEnd"/>
            <w:r w:rsidRPr="007E0AF4">
              <w:rPr>
                <w:sz w:val="22"/>
              </w:rPr>
              <w:t xml:space="preserve"> </w:t>
            </w:r>
            <w:proofErr w:type="spellStart"/>
            <w:r w:rsidRPr="007E0AF4">
              <w:rPr>
                <w:sz w:val="22"/>
              </w:rPr>
              <w:t>Сєвєродонецька</w:t>
            </w:r>
            <w:proofErr w:type="spellEnd"/>
            <w:r w:rsidRPr="007E0AF4">
              <w:rPr>
                <w:sz w:val="22"/>
              </w:rPr>
              <w:t xml:space="preserve"> </w:t>
            </w:r>
            <w:proofErr w:type="spellStart"/>
            <w:r w:rsidRPr="007E0AF4">
              <w:rPr>
                <w:sz w:val="22"/>
              </w:rPr>
              <w:t>Луганської</w:t>
            </w:r>
            <w:proofErr w:type="spellEnd"/>
            <w:r w:rsidRPr="007E0AF4">
              <w:rPr>
                <w:sz w:val="22"/>
              </w:rPr>
              <w:t xml:space="preserve"> </w:t>
            </w:r>
            <w:proofErr w:type="spellStart"/>
            <w:r w:rsidRPr="007E0AF4">
              <w:rPr>
                <w:sz w:val="22"/>
              </w:rPr>
              <w:t>області</w:t>
            </w:r>
            <w:proofErr w:type="spellEnd"/>
            <w:r w:rsidRPr="007E0AF4">
              <w:rPr>
                <w:sz w:val="22"/>
              </w:rPr>
              <w:t xml:space="preserve"> </w:t>
            </w:r>
            <w:proofErr w:type="spellStart"/>
            <w:r w:rsidRPr="007E0AF4">
              <w:rPr>
                <w:sz w:val="22"/>
              </w:rPr>
              <w:t>також</w:t>
            </w:r>
            <w:proofErr w:type="spellEnd"/>
            <w:r w:rsidRPr="007E0AF4">
              <w:rPr>
                <w:sz w:val="22"/>
              </w:rPr>
              <w:t xml:space="preserve"> </w:t>
            </w:r>
            <w:proofErr w:type="spellStart"/>
            <w:r w:rsidRPr="007E0AF4">
              <w:rPr>
                <w:sz w:val="22"/>
              </w:rPr>
              <w:t>зазнала</w:t>
            </w:r>
            <w:proofErr w:type="spellEnd"/>
            <w:r w:rsidRPr="007E0AF4">
              <w:rPr>
                <w:sz w:val="22"/>
              </w:rPr>
              <w:t xml:space="preserve"> </w:t>
            </w:r>
            <w:proofErr w:type="spellStart"/>
            <w:r w:rsidRPr="007E0AF4">
              <w:rPr>
                <w:sz w:val="22"/>
              </w:rPr>
              <w:t>руйнувань</w:t>
            </w:r>
            <w:proofErr w:type="spellEnd"/>
            <w:r w:rsidRPr="007E0AF4">
              <w:rPr>
                <w:sz w:val="22"/>
              </w:rPr>
              <w:t xml:space="preserve"> </w:t>
            </w:r>
            <w:proofErr w:type="gramStart"/>
            <w:r w:rsidRPr="007E0AF4">
              <w:rPr>
                <w:sz w:val="22"/>
              </w:rPr>
              <w:t xml:space="preserve">та  </w:t>
            </w:r>
            <w:proofErr w:type="spellStart"/>
            <w:r w:rsidRPr="007E0AF4">
              <w:rPr>
                <w:sz w:val="22"/>
              </w:rPr>
              <w:t>пошкоджень</w:t>
            </w:r>
            <w:proofErr w:type="spellEnd"/>
            <w:proofErr w:type="gramEnd"/>
            <w:r w:rsidRPr="007E0AF4">
              <w:rPr>
                <w:sz w:val="22"/>
              </w:rPr>
              <w:t xml:space="preserve">. </w:t>
            </w:r>
          </w:p>
          <w:p w:rsidR="002E3647" w:rsidRPr="007E0AF4" w:rsidRDefault="002E3647" w:rsidP="001E6C97">
            <w:pPr>
              <w:ind w:firstLine="653"/>
              <w:rPr>
                <w:sz w:val="22"/>
              </w:rPr>
            </w:pPr>
            <w:r w:rsidRPr="007E0AF4">
              <w:rPr>
                <w:rStyle w:val="afd"/>
                <w:i w:val="0"/>
                <w:color w:val="010101"/>
                <w:sz w:val="22"/>
                <w:bdr w:val="none" w:sz="0" w:space="0" w:color="auto" w:frame="1"/>
              </w:rPr>
              <w:t xml:space="preserve">Головною </w:t>
            </w:r>
            <w:proofErr w:type="spellStart"/>
            <w:r w:rsidRPr="007E0AF4">
              <w:rPr>
                <w:rStyle w:val="afd"/>
                <w:i w:val="0"/>
                <w:color w:val="010101"/>
                <w:sz w:val="22"/>
                <w:bdr w:val="none" w:sz="0" w:space="0" w:color="auto" w:frame="1"/>
              </w:rPr>
              <w:t>передумовою</w:t>
            </w:r>
            <w:proofErr w:type="spellEnd"/>
            <w:r w:rsidRPr="007E0AF4">
              <w:rPr>
                <w:rStyle w:val="afd"/>
                <w:i w:val="0"/>
                <w:color w:val="010101"/>
                <w:sz w:val="22"/>
                <w:bdr w:val="none" w:sz="0" w:space="0" w:color="auto" w:frame="1"/>
              </w:rPr>
              <w:t xml:space="preserve"> </w:t>
            </w:r>
            <w:proofErr w:type="spellStart"/>
            <w:r w:rsidRPr="007E0AF4">
              <w:rPr>
                <w:rStyle w:val="afd"/>
                <w:i w:val="0"/>
                <w:color w:val="010101"/>
                <w:sz w:val="22"/>
                <w:bdr w:val="none" w:sz="0" w:space="0" w:color="auto" w:frame="1"/>
              </w:rPr>
              <w:t>відновлення</w:t>
            </w:r>
            <w:proofErr w:type="spellEnd"/>
            <w:r w:rsidRPr="007E0AF4">
              <w:rPr>
                <w:rStyle w:val="afd"/>
                <w:i w:val="0"/>
                <w:color w:val="010101"/>
                <w:sz w:val="22"/>
                <w:bdr w:val="none" w:sz="0" w:space="0" w:color="auto" w:frame="1"/>
              </w:rPr>
              <w:t xml:space="preserve"> </w:t>
            </w:r>
            <w:proofErr w:type="spellStart"/>
            <w:r w:rsidRPr="007E0AF4">
              <w:rPr>
                <w:rStyle w:val="afd"/>
                <w:i w:val="0"/>
                <w:sz w:val="22"/>
                <w:bdr w:val="none" w:sz="0" w:space="0" w:color="auto" w:frame="1"/>
              </w:rPr>
              <w:t>навчально-виховного</w:t>
            </w:r>
            <w:proofErr w:type="spellEnd"/>
            <w:r w:rsidRPr="007E0AF4">
              <w:rPr>
                <w:rStyle w:val="afd"/>
                <w:i w:val="0"/>
                <w:sz w:val="22"/>
                <w:bdr w:val="none" w:sz="0" w:space="0" w:color="auto" w:frame="1"/>
              </w:rPr>
              <w:t xml:space="preserve"> </w:t>
            </w:r>
            <w:proofErr w:type="spellStart"/>
            <w:proofErr w:type="gramStart"/>
            <w:r w:rsidRPr="007E0AF4">
              <w:rPr>
                <w:rStyle w:val="afd"/>
                <w:i w:val="0"/>
                <w:sz w:val="22"/>
                <w:bdr w:val="none" w:sz="0" w:space="0" w:color="auto" w:frame="1"/>
              </w:rPr>
              <w:t>процесу</w:t>
            </w:r>
            <w:proofErr w:type="spellEnd"/>
            <w:r w:rsidRPr="007E0AF4">
              <w:rPr>
                <w:rStyle w:val="afd"/>
                <w:i w:val="0"/>
                <w:sz w:val="22"/>
                <w:bdr w:val="none" w:sz="0" w:space="0" w:color="auto" w:frame="1"/>
              </w:rPr>
              <w:t xml:space="preserve">  в</w:t>
            </w:r>
            <w:proofErr w:type="gramEnd"/>
            <w:r w:rsidRPr="007E0AF4">
              <w:rPr>
                <w:rStyle w:val="afd"/>
                <w:i w:val="0"/>
                <w:sz w:val="22"/>
                <w:bdr w:val="none" w:sz="0" w:space="0" w:color="auto" w:frame="1"/>
              </w:rPr>
              <w:t xml:space="preserve"> очному </w:t>
            </w:r>
            <w:proofErr w:type="spellStart"/>
            <w:r w:rsidRPr="007E0AF4">
              <w:rPr>
                <w:rStyle w:val="afd"/>
                <w:i w:val="0"/>
                <w:sz w:val="22"/>
                <w:bdr w:val="none" w:sz="0" w:space="0" w:color="auto" w:frame="1"/>
              </w:rPr>
              <w:t>форматі</w:t>
            </w:r>
            <w:proofErr w:type="spellEnd"/>
            <w:r w:rsidRPr="007E0AF4">
              <w:rPr>
                <w:rStyle w:val="afd"/>
                <w:i w:val="0"/>
                <w:sz w:val="22"/>
                <w:bdr w:val="none" w:sz="0" w:space="0" w:color="auto" w:frame="1"/>
              </w:rPr>
              <w:t xml:space="preserve"> є </w:t>
            </w:r>
            <w:proofErr w:type="spellStart"/>
            <w:r w:rsidRPr="007E0AF4">
              <w:rPr>
                <w:rStyle w:val="afd"/>
                <w:i w:val="0"/>
                <w:sz w:val="22"/>
                <w:bdr w:val="none" w:sz="0" w:space="0" w:color="auto" w:frame="1"/>
              </w:rPr>
              <w:t>наявність</w:t>
            </w:r>
            <w:proofErr w:type="spellEnd"/>
            <w:r w:rsidRPr="007E0AF4">
              <w:rPr>
                <w:rStyle w:val="afd"/>
                <w:i w:val="0"/>
                <w:sz w:val="22"/>
                <w:bdr w:val="none" w:sz="0" w:space="0" w:color="auto" w:frame="1"/>
              </w:rPr>
              <w:t xml:space="preserve"> та </w:t>
            </w:r>
            <w:proofErr w:type="spellStart"/>
            <w:r w:rsidRPr="007E0AF4">
              <w:rPr>
                <w:rStyle w:val="afd"/>
                <w:i w:val="0"/>
                <w:sz w:val="22"/>
                <w:bdr w:val="none" w:sz="0" w:space="0" w:color="auto" w:frame="1"/>
              </w:rPr>
              <w:t>задовільний</w:t>
            </w:r>
            <w:proofErr w:type="spellEnd"/>
            <w:r w:rsidRPr="007E0AF4">
              <w:rPr>
                <w:rStyle w:val="afd"/>
                <w:i w:val="0"/>
                <w:sz w:val="22"/>
                <w:bdr w:val="none" w:sz="0" w:space="0" w:color="auto" w:frame="1"/>
              </w:rPr>
              <w:t xml:space="preserve"> </w:t>
            </w:r>
            <w:r w:rsidRPr="007E0AF4">
              <w:rPr>
                <w:rStyle w:val="afd"/>
                <w:i w:val="0"/>
                <w:color w:val="010101"/>
                <w:sz w:val="22"/>
                <w:bdr w:val="none" w:sz="0" w:space="0" w:color="auto" w:frame="1"/>
              </w:rPr>
              <w:t xml:space="preserve">стан </w:t>
            </w:r>
            <w:proofErr w:type="spellStart"/>
            <w:r w:rsidRPr="007E0AF4">
              <w:rPr>
                <w:rStyle w:val="afd"/>
                <w:i w:val="0"/>
                <w:color w:val="010101"/>
                <w:sz w:val="22"/>
                <w:bdr w:val="none" w:sz="0" w:space="0" w:color="auto" w:frame="1"/>
              </w:rPr>
              <w:t>бомбосховищ</w:t>
            </w:r>
            <w:proofErr w:type="spellEnd"/>
            <w:r w:rsidRPr="007E0AF4">
              <w:rPr>
                <w:rStyle w:val="afd"/>
                <w:i w:val="0"/>
                <w:color w:val="010101"/>
                <w:sz w:val="22"/>
                <w:bdr w:val="none" w:sz="0" w:space="0" w:color="auto" w:frame="1"/>
              </w:rPr>
              <w:t xml:space="preserve"> (</w:t>
            </w:r>
            <w:proofErr w:type="spellStart"/>
            <w:r w:rsidRPr="007E0AF4">
              <w:rPr>
                <w:rStyle w:val="afd"/>
                <w:i w:val="0"/>
                <w:color w:val="010101"/>
                <w:sz w:val="22"/>
                <w:bdr w:val="none" w:sz="0" w:space="0" w:color="auto" w:frame="1"/>
              </w:rPr>
              <w:t>укриттів</w:t>
            </w:r>
            <w:proofErr w:type="spellEnd"/>
            <w:r w:rsidRPr="007E0AF4">
              <w:rPr>
                <w:rStyle w:val="afd"/>
                <w:i w:val="0"/>
                <w:color w:val="010101"/>
                <w:sz w:val="22"/>
                <w:bdr w:val="none" w:sz="0" w:space="0" w:color="auto" w:frame="1"/>
              </w:rPr>
              <w:t xml:space="preserve">) у закладах </w:t>
            </w:r>
            <w:proofErr w:type="spellStart"/>
            <w:r w:rsidRPr="007E0AF4">
              <w:rPr>
                <w:rStyle w:val="afd"/>
                <w:i w:val="0"/>
                <w:color w:val="010101"/>
                <w:sz w:val="22"/>
                <w:bdr w:val="none" w:sz="0" w:space="0" w:color="auto" w:frame="1"/>
              </w:rPr>
              <w:t>освіти</w:t>
            </w:r>
            <w:proofErr w:type="spellEnd"/>
            <w:r w:rsidRPr="007E0AF4">
              <w:rPr>
                <w:rStyle w:val="afd"/>
                <w:i w:val="0"/>
                <w:color w:val="010101"/>
                <w:sz w:val="22"/>
                <w:bdr w:val="none" w:sz="0" w:space="0" w:color="auto" w:frame="1"/>
              </w:rPr>
              <w:t>. </w:t>
            </w:r>
          </w:p>
          <w:p w:rsidR="002E3647" w:rsidRPr="007E0AF4" w:rsidRDefault="002E3647" w:rsidP="001E6C97">
            <w:pPr>
              <w:ind w:firstLine="653"/>
              <w:rPr>
                <w:sz w:val="22"/>
              </w:rPr>
            </w:pPr>
            <w:proofErr w:type="gramStart"/>
            <w:r w:rsidRPr="007E0AF4">
              <w:rPr>
                <w:sz w:val="22"/>
              </w:rPr>
              <w:t>До початку</w:t>
            </w:r>
            <w:proofErr w:type="gramEnd"/>
            <w:r w:rsidRPr="007E0AF4">
              <w:rPr>
                <w:sz w:val="22"/>
              </w:rPr>
              <w:t xml:space="preserve"> </w:t>
            </w:r>
            <w:proofErr w:type="spellStart"/>
            <w:r w:rsidRPr="007E0AF4">
              <w:rPr>
                <w:sz w:val="22"/>
              </w:rPr>
              <w:t>війни</w:t>
            </w:r>
            <w:proofErr w:type="spellEnd"/>
            <w:r w:rsidRPr="007E0AF4">
              <w:rPr>
                <w:sz w:val="22"/>
              </w:rPr>
              <w:t xml:space="preserve"> </w:t>
            </w:r>
            <w:proofErr w:type="spellStart"/>
            <w:r w:rsidRPr="007E0AF4">
              <w:rPr>
                <w:sz w:val="22"/>
              </w:rPr>
              <w:t>Гімназія</w:t>
            </w:r>
            <w:proofErr w:type="spellEnd"/>
            <w:r w:rsidRPr="007E0AF4">
              <w:rPr>
                <w:sz w:val="22"/>
              </w:rPr>
              <w:t xml:space="preserve"> «ГАРМОНІЯ» не мала </w:t>
            </w:r>
            <w:proofErr w:type="spellStart"/>
            <w:r w:rsidRPr="007E0AF4">
              <w:rPr>
                <w:sz w:val="22"/>
              </w:rPr>
              <w:t>бомбосховища</w:t>
            </w:r>
            <w:proofErr w:type="spellEnd"/>
            <w:r w:rsidRPr="007E0AF4">
              <w:rPr>
                <w:sz w:val="22"/>
              </w:rPr>
              <w:t xml:space="preserve">. </w:t>
            </w:r>
            <w:proofErr w:type="spellStart"/>
            <w:r w:rsidRPr="007E0AF4">
              <w:rPr>
                <w:sz w:val="22"/>
              </w:rPr>
              <w:t>Підвальні</w:t>
            </w:r>
            <w:proofErr w:type="spellEnd"/>
            <w:r w:rsidRPr="007E0AF4">
              <w:rPr>
                <w:sz w:val="22"/>
              </w:rPr>
              <w:t xml:space="preserve"> </w:t>
            </w:r>
            <w:proofErr w:type="spellStart"/>
            <w:r w:rsidRPr="007E0AF4">
              <w:rPr>
                <w:sz w:val="22"/>
              </w:rPr>
              <w:t>приміщення</w:t>
            </w:r>
            <w:proofErr w:type="spellEnd"/>
            <w:r w:rsidRPr="007E0AF4">
              <w:rPr>
                <w:sz w:val="22"/>
              </w:rPr>
              <w:t xml:space="preserve"> у </w:t>
            </w:r>
            <w:proofErr w:type="spellStart"/>
            <w:r w:rsidRPr="007E0AF4">
              <w:rPr>
                <w:sz w:val="22"/>
              </w:rPr>
              <w:t>закладі</w:t>
            </w:r>
            <w:proofErr w:type="spellEnd"/>
            <w:r w:rsidRPr="007E0AF4">
              <w:rPr>
                <w:sz w:val="22"/>
              </w:rPr>
              <w:t xml:space="preserve"> </w:t>
            </w:r>
            <w:proofErr w:type="spellStart"/>
            <w:r w:rsidRPr="007E0AF4">
              <w:rPr>
                <w:sz w:val="22"/>
              </w:rPr>
              <w:t>відсутні</w:t>
            </w:r>
            <w:proofErr w:type="spellEnd"/>
            <w:r w:rsidRPr="007E0AF4">
              <w:rPr>
                <w:sz w:val="22"/>
              </w:rPr>
              <w:t xml:space="preserve">. </w:t>
            </w:r>
            <w:proofErr w:type="spellStart"/>
            <w:r w:rsidRPr="007E0AF4">
              <w:rPr>
                <w:sz w:val="22"/>
              </w:rPr>
              <w:t>Поряд</w:t>
            </w:r>
            <w:proofErr w:type="spellEnd"/>
            <w:r w:rsidRPr="007E0AF4">
              <w:rPr>
                <w:sz w:val="22"/>
              </w:rPr>
              <w:t xml:space="preserve"> з основною </w:t>
            </w:r>
            <w:proofErr w:type="spellStart"/>
            <w:r w:rsidRPr="007E0AF4">
              <w:rPr>
                <w:sz w:val="22"/>
              </w:rPr>
              <w:t>будівлею</w:t>
            </w:r>
            <w:proofErr w:type="spellEnd"/>
            <w:r w:rsidRPr="007E0AF4">
              <w:rPr>
                <w:sz w:val="22"/>
              </w:rPr>
              <w:t xml:space="preserve"> закладу </w:t>
            </w:r>
            <w:proofErr w:type="spellStart"/>
            <w:r w:rsidRPr="007E0AF4">
              <w:rPr>
                <w:sz w:val="22"/>
              </w:rPr>
              <w:t>розташоване</w:t>
            </w:r>
            <w:proofErr w:type="spellEnd"/>
            <w:r w:rsidRPr="007E0AF4">
              <w:rPr>
                <w:sz w:val="22"/>
              </w:rPr>
              <w:t xml:space="preserve"> </w:t>
            </w:r>
            <w:proofErr w:type="spellStart"/>
            <w:r w:rsidRPr="007E0AF4">
              <w:rPr>
                <w:sz w:val="22"/>
              </w:rPr>
              <w:t>полупідвальне</w:t>
            </w:r>
            <w:proofErr w:type="spellEnd"/>
            <w:r w:rsidRPr="007E0AF4">
              <w:rPr>
                <w:sz w:val="22"/>
              </w:rPr>
              <w:t xml:space="preserve"> </w:t>
            </w:r>
            <w:proofErr w:type="spellStart"/>
            <w:r w:rsidRPr="007E0AF4">
              <w:rPr>
                <w:sz w:val="22"/>
              </w:rPr>
              <w:t>приміщення</w:t>
            </w:r>
            <w:proofErr w:type="spellEnd"/>
            <w:r w:rsidRPr="007E0AF4">
              <w:rPr>
                <w:sz w:val="22"/>
              </w:rPr>
              <w:t xml:space="preserve"> </w:t>
            </w:r>
            <w:proofErr w:type="spellStart"/>
            <w:r w:rsidRPr="007E0AF4">
              <w:rPr>
                <w:sz w:val="22"/>
              </w:rPr>
              <w:t>навчального</w:t>
            </w:r>
            <w:proofErr w:type="spellEnd"/>
            <w:r w:rsidRPr="007E0AF4">
              <w:rPr>
                <w:sz w:val="22"/>
              </w:rPr>
              <w:t xml:space="preserve"> тиру, яке </w:t>
            </w:r>
            <w:proofErr w:type="spellStart"/>
            <w:r w:rsidRPr="007E0AF4">
              <w:rPr>
                <w:sz w:val="22"/>
              </w:rPr>
              <w:t>знаходилося</w:t>
            </w:r>
            <w:proofErr w:type="spellEnd"/>
            <w:r w:rsidRPr="007E0AF4">
              <w:rPr>
                <w:sz w:val="22"/>
              </w:rPr>
              <w:t xml:space="preserve"> в </w:t>
            </w:r>
            <w:proofErr w:type="spellStart"/>
            <w:r w:rsidRPr="007E0AF4">
              <w:rPr>
                <w:sz w:val="22"/>
              </w:rPr>
              <w:t>аварійному</w:t>
            </w:r>
            <w:proofErr w:type="spellEnd"/>
            <w:r w:rsidRPr="007E0AF4">
              <w:rPr>
                <w:sz w:val="22"/>
              </w:rPr>
              <w:t xml:space="preserve"> </w:t>
            </w:r>
            <w:proofErr w:type="spellStart"/>
            <w:r w:rsidRPr="007E0AF4">
              <w:rPr>
                <w:sz w:val="22"/>
              </w:rPr>
              <w:t>стані</w:t>
            </w:r>
            <w:proofErr w:type="spellEnd"/>
            <w:r w:rsidRPr="007E0AF4">
              <w:rPr>
                <w:sz w:val="22"/>
              </w:rPr>
              <w:t xml:space="preserve">. На </w:t>
            </w:r>
            <w:proofErr w:type="spellStart"/>
            <w:r w:rsidRPr="007E0AF4">
              <w:rPr>
                <w:sz w:val="22"/>
              </w:rPr>
              <w:t>його</w:t>
            </w:r>
            <w:proofErr w:type="spellEnd"/>
            <w:r w:rsidRPr="007E0AF4">
              <w:rPr>
                <w:sz w:val="22"/>
              </w:rPr>
              <w:t xml:space="preserve"> </w:t>
            </w:r>
            <w:proofErr w:type="spellStart"/>
            <w:r w:rsidRPr="007E0AF4">
              <w:rPr>
                <w:sz w:val="22"/>
              </w:rPr>
              <w:t>місці</w:t>
            </w:r>
            <w:proofErr w:type="spellEnd"/>
            <w:r w:rsidRPr="007E0AF4">
              <w:rPr>
                <w:sz w:val="22"/>
              </w:rPr>
              <w:t xml:space="preserve"> </w:t>
            </w:r>
            <w:proofErr w:type="spellStart"/>
            <w:r w:rsidRPr="007E0AF4">
              <w:rPr>
                <w:sz w:val="22"/>
              </w:rPr>
              <w:t>можна</w:t>
            </w:r>
            <w:proofErr w:type="spellEnd"/>
            <w:r w:rsidRPr="007E0AF4">
              <w:rPr>
                <w:sz w:val="22"/>
              </w:rPr>
              <w:t xml:space="preserve"> </w:t>
            </w:r>
            <w:proofErr w:type="spellStart"/>
            <w:r w:rsidRPr="007E0AF4">
              <w:rPr>
                <w:sz w:val="22"/>
              </w:rPr>
              <w:t>побудувати</w:t>
            </w:r>
            <w:proofErr w:type="spellEnd"/>
            <w:r w:rsidRPr="007E0AF4">
              <w:rPr>
                <w:sz w:val="22"/>
              </w:rPr>
              <w:t xml:space="preserve"> </w:t>
            </w:r>
            <w:proofErr w:type="spellStart"/>
            <w:r w:rsidRPr="007E0AF4">
              <w:rPr>
                <w:sz w:val="22"/>
              </w:rPr>
              <w:t>сучасне</w:t>
            </w:r>
            <w:proofErr w:type="spellEnd"/>
            <w:r w:rsidRPr="007E0AF4">
              <w:rPr>
                <w:sz w:val="22"/>
              </w:rPr>
              <w:t xml:space="preserve"> </w:t>
            </w:r>
            <w:proofErr w:type="spellStart"/>
            <w:r w:rsidRPr="007E0AF4">
              <w:rPr>
                <w:sz w:val="22"/>
              </w:rPr>
              <w:t>бомбосховище</w:t>
            </w:r>
            <w:proofErr w:type="spellEnd"/>
            <w:r w:rsidRPr="007E0AF4">
              <w:rPr>
                <w:sz w:val="22"/>
              </w:rPr>
              <w:t xml:space="preserve">, яке буде </w:t>
            </w:r>
            <w:proofErr w:type="spellStart"/>
            <w:r w:rsidRPr="007E0AF4">
              <w:rPr>
                <w:sz w:val="22"/>
              </w:rPr>
              <w:t>відповідати</w:t>
            </w:r>
            <w:proofErr w:type="spellEnd"/>
            <w:r w:rsidRPr="007E0AF4">
              <w:rPr>
                <w:sz w:val="22"/>
              </w:rPr>
              <w:t xml:space="preserve"> потребам закладу </w:t>
            </w:r>
            <w:proofErr w:type="spellStart"/>
            <w:r w:rsidRPr="007E0AF4">
              <w:rPr>
                <w:sz w:val="22"/>
              </w:rPr>
              <w:t>освіти</w:t>
            </w:r>
            <w:proofErr w:type="spellEnd"/>
            <w:r w:rsidRPr="007E0AF4">
              <w:rPr>
                <w:sz w:val="22"/>
              </w:rPr>
              <w:t xml:space="preserve"> та </w:t>
            </w:r>
            <w:proofErr w:type="spellStart"/>
            <w:r w:rsidRPr="007E0AF4">
              <w:rPr>
                <w:sz w:val="22"/>
              </w:rPr>
              <w:t>задовольнить</w:t>
            </w:r>
            <w:proofErr w:type="spellEnd"/>
            <w:r w:rsidRPr="007E0AF4">
              <w:rPr>
                <w:sz w:val="22"/>
              </w:rPr>
              <w:t xml:space="preserve"> потреби </w:t>
            </w:r>
            <w:proofErr w:type="spellStart"/>
            <w:r w:rsidRPr="007E0AF4">
              <w:rPr>
                <w:rFonts w:eastAsia="Arial"/>
                <w:sz w:val="22"/>
              </w:rPr>
              <w:t>мешканців</w:t>
            </w:r>
            <w:proofErr w:type="spellEnd"/>
            <w:r w:rsidRPr="007E0AF4">
              <w:rPr>
                <w:rFonts w:eastAsia="Arial"/>
                <w:sz w:val="22"/>
              </w:rPr>
              <w:t xml:space="preserve"> </w:t>
            </w:r>
            <w:proofErr w:type="spellStart"/>
            <w:r w:rsidRPr="007E0AF4">
              <w:rPr>
                <w:rFonts w:eastAsia="Arial"/>
                <w:sz w:val="22"/>
              </w:rPr>
              <w:t>мікрорайону</w:t>
            </w:r>
            <w:proofErr w:type="spellEnd"/>
            <w:r w:rsidRPr="007E0AF4">
              <w:rPr>
                <w:rFonts w:eastAsia="Arial"/>
                <w:sz w:val="22"/>
              </w:rPr>
              <w:t xml:space="preserve"> </w:t>
            </w:r>
            <w:proofErr w:type="spellStart"/>
            <w:r w:rsidRPr="007E0AF4">
              <w:rPr>
                <w:rFonts w:eastAsia="Arial"/>
                <w:sz w:val="22"/>
              </w:rPr>
              <w:t>комунального</w:t>
            </w:r>
            <w:proofErr w:type="spellEnd"/>
            <w:r w:rsidRPr="007E0AF4">
              <w:rPr>
                <w:rFonts w:eastAsia="Arial"/>
                <w:sz w:val="22"/>
              </w:rPr>
              <w:t xml:space="preserve"> закладу </w:t>
            </w:r>
            <w:proofErr w:type="spellStart"/>
            <w:r w:rsidRPr="007E0AF4">
              <w:rPr>
                <w:rFonts w:eastAsia="Arial"/>
                <w:sz w:val="22"/>
              </w:rPr>
              <w:t>Гімназії</w:t>
            </w:r>
            <w:proofErr w:type="spellEnd"/>
            <w:r w:rsidRPr="007E0AF4">
              <w:rPr>
                <w:rFonts w:eastAsia="Arial"/>
                <w:sz w:val="22"/>
              </w:rPr>
              <w:t xml:space="preserve"> «ГАРМОНІЯ» </w:t>
            </w:r>
            <w:proofErr w:type="spellStart"/>
            <w:r w:rsidRPr="007E0AF4">
              <w:rPr>
                <w:rFonts w:eastAsia="Arial"/>
                <w:sz w:val="22"/>
              </w:rPr>
              <w:t>міста</w:t>
            </w:r>
            <w:proofErr w:type="spellEnd"/>
            <w:r w:rsidRPr="007E0AF4">
              <w:rPr>
                <w:rFonts w:eastAsia="Arial"/>
                <w:sz w:val="22"/>
              </w:rPr>
              <w:t xml:space="preserve"> </w:t>
            </w:r>
            <w:proofErr w:type="spellStart"/>
            <w:r w:rsidRPr="007E0AF4">
              <w:rPr>
                <w:rFonts w:eastAsia="Arial"/>
                <w:sz w:val="22"/>
              </w:rPr>
              <w:t>Сєвєродонецька</w:t>
            </w:r>
            <w:proofErr w:type="spellEnd"/>
            <w:r w:rsidRPr="007E0AF4">
              <w:rPr>
                <w:rFonts w:eastAsia="Arial"/>
                <w:sz w:val="22"/>
              </w:rPr>
              <w:t xml:space="preserve"> </w:t>
            </w:r>
            <w:proofErr w:type="spellStart"/>
            <w:r w:rsidRPr="007E0AF4">
              <w:rPr>
                <w:rFonts w:eastAsia="Arial"/>
                <w:sz w:val="22"/>
              </w:rPr>
              <w:t>Луганської</w:t>
            </w:r>
            <w:proofErr w:type="spellEnd"/>
            <w:r w:rsidRPr="007E0AF4">
              <w:rPr>
                <w:rFonts w:eastAsia="Arial"/>
                <w:sz w:val="22"/>
              </w:rPr>
              <w:t xml:space="preserve"> </w:t>
            </w:r>
            <w:proofErr w:type="spellStart"/>
            <w:r w:rsidRPr="007E0AF4">
              <w:rPr>
                <w:rFonts w:eastAsia="Arial"/>
                <w:sz w:val="22"/>
              </w:rPr>
              <w:t>області</w:t>
            </w:r>
            <w:proofErr w:type="spellEnd"/>
            <w:r w:rsidRPr="007E0AF4">
              <w:rPr>
                <w:rFonts w:eastAsia="Arial"/>
                <w:sz w:val="22"/>
              </w:rPr>
              <w:t>.</w:t>
            </w:r>
          </w:p>
        </w:tc>
      </w:tr>
      <w:tr w:rsidR="002E3647" w:rsidRPr="007E0AF4" w:rsidTr="002E3647">
        <w:tc>
          <w:tcPr>
            <w:tcW w:w="2978" w:type="dxa"/>
            <w:shd w:val="clear" w:color="auto" w:fill="C6D9F1" w:themeFill="text2" w:themeFillTint="33"/>
          </w:tcPr>
          <w:p w:rsidR="002E3647" w:rsidRPr="007E0AF4" w:rsidRDefault="002E3647" w:rsidP="001E6C97">
            <w:pPr>
              <w:pStyle w:val="a7"/>
              <w:ind w:left="0"/>
              <w:rPr>
                <w:b/>
                <w:sz w:val="22"/>
              </w:rPr>
            </w:pPr>
            <w:proofErr w:type="spellStart"/>
            <w:r w:rsidRPr="007E0AF4">
              <w:rPr>
                <w:b/>
                <w:sz w:val="22"/>
              </w:rPr>
              <w:lastRenderedPageBreak/>
              <w:t>Очікувані</w:t>
            </w:r>
            <w:proofErr w:type="spellEnd"/>
            <w:r w:rsidRPr="007E0AF4">
              <w:rPr>
                <w:b/>
                <w:sz w:val="22"/>
              </w:rPr>
              <w:t xml:space="preserve"> </w:t>
            </w:r>
            <w:proofErr w:type="spellStart"/>
            <w:r w:rsidRPr="007E0AF4">
              <w:rPr>
                <w:b/>
                <w:sz w:val="22"/>
              </w:rPr>
              <w:t>якісні</w:t>
            </w:r>
            <w:proofErr w:type="spellEnd"/>
            <w:r w:rsidRPr="007E0AF4">
              <w:rPr>
                <w:b/>
                <w:sz w:val="22"/>
              </w:rPr>
              <w:t xml:space="preserve"> </w:t>
            </w:r>
            <w:proofErr w:type="spellStart"/>
            <w:r w:rsidRPr="007E0AF4">
              <w:rPr>
                <w:b/>
                <w:sz w:val="22"/>
              </w:rPr>
              <w:t>результати</w:t>
            </w:r>
            <w:proofErr w:type="spellEnd"/>
            <w:r w:rsidRPr="007E0AF4">
              <w:rPr>
                <w:b/>
                <w:sz w:val="22"/>
              </w:rPr>
              <w:t xml:space="preserve"> </w:t>
            </w:r>
            <w:proofErr w:type="spellStart"/>
            <w:r w:rsidRPr="007E0AF4">
              <w:rPr>
                <w:b/>
                <w:sz w:val="22"/>
              </w:rPr>
              <w:t>від</w:t>
            </w:r>
            <w:proofErr w:type="spellEnd"/>
            <w:r w:rsidRPr="007E0AF4">
              <w:rPr>
                <w:b/>
                <w:sz w:val="22"/>
              </w:rPr>
              <w:t xml:space="preserve"> </w:t>
            </w:r>
            <w:proofErr w:type="spellStart"/>
            <w:r w:rsidRPr="007E0AF4">
              <w:rPr>
                <w:b/>
                <w:sz w:val="22"/>
              </w:rPr>
              <w:t>реалізації</w:t>
            </w:r>
            <w:proofErr w:type="spellEnd"/>
            <w:r w:rsidRPr="007E0AF4">
              <w:rPr>
                <w:b/>
                <w:sz w:val="22"/>
              </w:rPr>
              <w:t xml:space="preserve"> проекту</w:t>
            </w:r>
          </w:p>
        </w:tc>
        <w:tc>
          <w:tcPr>
            <w:tcW w:w="6910" w:type="dxa"/>
            <w:gridSpan w:val="7"/>
          </w:tcPr>
          <w:p w:rsidR="002E3647" w:rsidRPr="007E0AF4" w:rsidRDefault="002E3647" w:rsidP="000303D7">
            <w:pPr>
              <w:pStyle w:val="a7"/>
              <w:numPr>
                <w:ilvl w:val="0"/>
                <w:numId w:val="109"/>
              </w:numPr>
              <w:ind w:left="0" w:firstLine="425"/>
              <w:rPr>
                <w:sz w:val="22"/>
              </w:rPr>
            </w:pPr>
            <w:proofErr w:type="spellStart"/>
            <w:r w:rsidRPr="007E0AF4">
              <w:rPr>
                <w:sz w:val="22"/>
              </w:rPr>
              <w:t>Наявність</w:t>
            </w:r>
            <w:proofErr w:type="spellEnd"/>
            <w:r w:rsidRPr="007E0AF4">
              <w:rPr>
                <w:sz w:val="22"/>
              </w:rPr>
              <w:t xml:space="preserve"> </w:t>
            </w:r>
            <w:proofErr w:type="spellStart"/>
            <w:r w:rsidRPr="007E0AF4">
              <w:rPr>
                <w:sz w:val="22"/>
              </w:rPr>
              <w:t>бомбосховища</w:t>
            </w:r>
            <w:proofErr w:type="spellEnd"/>
            <w:r w:rsidRPr="007E0AF4">
              <w:rPr>
                <w:sz w:val="22"/>
              </w:rPr>
              <w:t xml:space="preserve"> (</w:t>
            </w:r>
            <w:proofErr w:type="spellStart"/>
            <w:r w:rsidRPr="007E0AF4">
              <w:rPr>
                <w:sz w:val="22"/>
              </w:rPr>
              <w:t>укриття</w:t>
            </w:r>
            <w:proofErr w:type="spellEnd"/>
            <w:r w:rsidRPr="007E0AF4">
              <w:rPr>
                <w:sz w:val="22"/>
              </w:rPr>
              <w:t xml:space="preserve">) на </w:t>
            </w:r>
            <w:proofErr w:type="spellStart"/>
            <w:r w:rsidRPr="007E0AF4">
              <w:rPr>
                <w:sz w:val="22"/>
              </w:rPr>
              <w:t>території</w:t>
            </w:r>
            <w:proofErr w:type="spellEnd"/>
            <w:r w:rsidRPr="007E0AF4">
              <w:rPr>
                <w:sz w:val="22"/>
              </w:rPr>
              <w:t xml:space="preserve"> </w:t>
            </w:r>
            <w:proofErr w:type="spellStart"/>
            <w:r w:rsidRPr="007E0AF4">
              <w:rPr>
                <w:sz w:val="22"/>
              </w:rPr>
              <w:t>Гімназії</w:t>
            </w:r>
            <w:proofErr w:type="spellEnd"/>
            <w:r w:rsidRPr="007E0AF4">
              <w:rPr>
                <w:sz w:val="22"/>
              </w:rPr>
              <w:t xml:space="preserve"> «ГАРМОНІЯ» для </w:t>
            </w:r>
            <w:proofErr w:type="spellStart"/>
            <w:r w:rsidRPr="007E0AF4">
              <w:rPr>
                <w:sz w:val="22"/>
              </w:rPr>
              <w:t>якісного</w:t>
            </w:r>
            <w:proofErr w:type="spellEnd"/>
            <w:r w:rsidRPr="007E0AF4">
              <w:rPr>
                <w:sz w:val="22"/>
              </w:rPr>
              <w:t xml:space="preserve"> </w:t>
            </w:r>
            <w:proofErr w:type="spellStart"/>
            <w:r w:rsidRPr="007E0AF4">
              <w:rPr>
                <w:sz w:val="22"/>
              </w:rPr>
              <w:t>надання</w:t>
            </w:r>
            <w:proofErr w:type="spellEnd"/>
            <w:r w:rsidRPr="007E0AF4">
              <w:rPr>
                <w:sz w:val="22"/>
              </w:rPr>
              <w:t xml:space="preserve"> </w:t>
            </w:r>
            <w:proofErr w:type="spellStart"/>
            <w:r w:rsidRPr="007E0AF4">
              <w:rPr>
                <w:sz w:val="22"/>
              </w:rPr>
              <w:t>освітніх</w:t>
            </w:r>
            <w:proofErr w:type="spellEnd"/>
            <w:r w:rsidRPr="007E0AF4">
              <w:rPr>
                <w:sz w:val="22"/>
              </w:rPr>
              <w:t xml:space="preserve"> </w:t>
            </w:r>
            <w:proofErr w:type="spellStart"/>
            <w:r w:rsidRPr="007E0AF4">
              <w:rPr>
                <w:sz w:val="22"/>
              </w:rPr>
              <w:t>послуг</w:t>
            </w:r>
            <w:proofErr w:type="spellEnd"/>
            <w:r w:rsidRPr="007E0AF4">
              <w:rPr>
                <w:sz w:val="22"/>
              </w:rPr>
              <w:t xml:space="preserve"> </w:t>
            </w:r>
            <w:proofErr w:type="spellStart"/>
            <w:r w:rsidRPr="007E0AF4">
              <w:rPr>
                <w:sz w:val="22"/>
              </w:rPr>
              <w:t>відповідно</w:t>
            </w:r>
            <w:proofErr w:type="spellEnd"/>
            <w:r w:rsidRPr="007E0AF4">
              <w:rPr>
                <w:sz w:val="22"/>
              </w:rPr>
              <w:t xml:space="preserve"> до чинного </w:t>
            </w:r>
            <w:proofErr w:type="spellStart"/>
            <w:r w:rsidRPr="007E0AF4">
              <w:rPr>
                <w:sz w:val="22"/>
              </w:rPr>
              <w:t>законодавства</w:t>
            </w:r>
            <w:proofErr w:type="spellEnd"/>
            <w:r w:rsidRPr="007E0AF4">
              <w:rPr>
                <w:sz w:val="22"/>
              </w:rPr>
              <w:t xml:space="preserve"> </w:t>
            </w:r>
            <w:proofErr w:type="spellStart"/>
            <w:r w:rsidRPr="007E0AF4">
              <w:rPr>
                <w:sz w:val="22"/>
              </w:rPr>
              <w:t>України</w:t>
            </w:r>
            <w:proofErr w:type="spellEnd"/>
            <w:r w:rsidRPr="007E0AF4">
              <w:rPr>
                <w:sz w:val="22"/>
              </w:rPr>
              <w:t xml:space="preserve">, </w:t>
            </w:r>
            <w:proofErr w:type="spellStart"/>
            <w:r w:rsidRPr="007E0AF4">
              <w:rPr>
                <w:sz w:val="22"/>
              </w:rPr>
              <w:t>використання</w:t>
            </w:r>
            <w:proofErr w:type="spellEnd"/>
            <w:r w:rsidRPr="007E0AF4">
              <w:rPr>
                <w:sz w:val="22"/>
              </w:rPr>
              <w:t xml:space="preserve"> </w:t>
            </w:r>
            <w:proofErr w:type="spellStart"/>
            <w:r w:rsidRPr="007E0AF4">
              <w:rPr>
                <w:sz w:val="22"/>
              </w:rPr>
              <w:t>бомбосховища</w:t>
            </w:r>
            <w:proofErr w:type="spellEnd"/>
            <w:r w:rsidRPr="007E0AF4">
              <w:rPr>
                <w:sz w:val="22"/>
              </w:rPr>
              <w:t xml:space="preserve"> </w:t>
            </w:r>
            <w:proofErr w:type="spellStart"/>
            <w:r w:rsidRPr="007E0AF4">
              <w:rPr>
                <w:sz w:val="22"/>
              </w:rPr>
              <w:t>мешканцями</w:t>
            </w:r>
            <w:proofErr w:type="spellEnd"/>
            <w:r w:rsidRPr="007E0AF4">
              <w:rPr>
                <w:sz w:val="22"/>
              </w:rPr>
              <w:t xml:space="preserve"> </w:t>
            </w:r>
            <w:proofErr w:type="spellStart"/>
            <w:r w:rsidRPr="007E0AF4">
              <w:rPr>
                <w:sz w:val="22"/>
              </w:rPr>
              <w:t>мікрорайону</w:t>
            </w:r>
            <w:proofErr w:type="spellEnd"/>
            <w:r w:rsidRPr="007E0AF4">
              <w:rPr>
                <w:sz w:val="22"/>
              </w:rPr>
              <w:t xml:space="preserve"> за потреби </w:t>
            </w:r>
            <w:proofErr w:type="spellStart"/>
            <w:r w:rsidRPr="007E0AF4">
              <w:rPr>
                <w:sz w:val="22"/>
              </w:rPr>
              <w:t>громади</w:t>
            </w:r>
            <w:proofErr w:type="spellEnd"/>
            <w:r w:rsidRPr="007E0AF4">
              <w:rPr>
                <w:sz w:val="22"/>
              </w:rPr>
              <w:t xml:space="preserve">; </w:t>
            </w:r>
          </w:p>
          <w:p w:rsidR="002E3647" w:rsidRPr="007E0AF4" w:rsidRDefault="002E3647" w:rsidP="000303D7">
            <w:pPr>
              <w:pStyle w:val="a7"/>
              <w:numPr>
                <w:ilvl w:val="0"/>
                <w:numId w:val="109"/>
              </w:numPr>
              <w:ind w:left="0" w:firstLine="425"/>
              <w:rPr>
                <w:sz w:val="22"/>
              </w:rPr>
            </w:pPr>
            <w:proofErr w:type="spellStart"/>
            <w:r w:rsidRPr="007E0AF4">
              <w:rPr>
                <w:sz w:val="22"/>
              </w:rPr>
              <w:t>Надання</w:t>
            </w:r>
            <w:proofErr w:type="spellEnd"/>
            <w:r w:rsidRPr="007E0AF4">
              <w:rPr>
                <w:sz w:val="22"/>
              </w:rPr>
              <w:t xml:space="preserve"> широкого спектру </w:t>
            </w:r>
            <w:proofErr w:type="spellStart"/>
            <w:r w:rsidRPr="007E0AF4">
              <w:rPr>
                <w:sz w:val="22"/>
              </w:rPr>
              <w:t>послуг</w:t>
            </w:r>
            <w:proofErr w:type="spellEnd"/>
            <w:r w:rsidRPr="007E0AF4">
              <w:rPr>
                <w:sz w:val="22"/>
              </w:rPr>
              <w:t xml:space="preserve">, </w:t>
            </w:r>
            <w:proofErr w:type="spellStart"/>
            <w:r w:rsidRPr="007E0AF4">
              <w:rPr>
                <w:sz w:val="22"/>
              </w:rPr>
              <w:t>пов’язаних</w:t>
            </w:r>
            <w:proofErr w:type="spellEnd"/>
            <w:r w:rsidRPr="007E0AF4">
              <w:rPr>
                <w:sz w:val="22"/>
              </w:rPr>
              <w:t xml:space="preserve"> </w:t>
            </w:r>
            <w:proofErr w:type="spellStart"/>
            <w:r w:rsidRPr="007E0AF4">
              <w:rPr>
                <w:sz w:val="22"/>
              </w:rPr>
              <w:t>із</w:t>
            </w:r>
            <w:proofErr w:type="spellEnd"/>
            <w:r w:rsidRPr="007E0AF4">
              <w:rPr>
                <w:sz w:val="22"/>
              </w:rPr>
              <w:t xml:space="preserve"> </w:t>
            </w:r>
            <w:proofErr w:type="spellStart"/>
            <w:r w:rsidRPr="007E0AF4">
              <w:rPr>
                <w:sz w:val="22"/>
              </w:rPr>
              <w:t>освітньою</w:t>
            </w:r>
            <w:proofErr w:type="spellEnd"/>
            <w:r w:rsidRPr="007E0AF4">
              <w:rPr>
                <w:sz w:val="22"/>
              </w:rPr>
              <w:t xml:space="preserve"> </w:t>
            </w:r>
            <w:proofErr w:type="spellStart"/>
            <w:r w:rsidRPr="007E0AF4">
              <w:rPr>
                <w:sz w:val="22"/>
              </w:rPr>
              <w:t>діяльністю</w:t>
            </w:r>
            <w:proofErr w:type="spellEnd"/>
            <w:r w:rsidRPr="007E0AF4">
              <w:rPr>
                <w:sz w:val="22"/>
              </w:rPr>
              <w:t xml:space="preserve"> </w:t>
            </w:r>
            <w:proofErr w:type="spellStart"/>
            <w:r w:rsidRPr="007E0AF4">
              <w:rPr>
                <w:sz w:val="22"/>
              </w:rPr>
              <w:t>закладів</w:t>
            </w:r>
            <w:proofErr w:type="spellEnd"/>
            <w:r w:rsidRPr="007E0AF4">
              <w:rPr>
                <w:sz w:val="22"/>
              </w:rPr>
              <w:t xml:space="preserve"> </w:t>
            </w:r>
            <w:proofErr w:type="spellStart"/>
            <w:r w:rsidRPr="007E0AF4">
              <w:rPr>
                <w:sz w:val="22"/>
              </w:rPr>
              <w:t>освіти</w:t>
            </w:r>
            <w:proofErr w:type="spellEnd"/>
            <w:r w:rsidRPr="007E0AF4">
              <w:rPr>
                <w:sz w:val="22"/>
              </w:rPr>
              <w:t xml:space="preserve"> </w:t>
            </w:r>
            <w:proofErr w:type="spellStart"/>
            <w:r w:rsidRPr="007E0AF4">
              <w:rPr>
                <w:sz w:val="22"/>
              </w:rPr>
              <w:t>міста</w:t>
            </w:r>
            <w:proofErr w:type="spellEnd"/>
            <w:r w:rsidRPr="007E0AF4">
              <w:rPr>
                <w:sz w:val="22"/>
              </w:rPr>
              <w:t>;</w:t>
            </w:r>
          </w:p>
          <w:p w:rsidR="002E3647" w:rsidRPr="007E0AF4" w:rsidRDefault="002E3647" w:rsidP="000303D7">
            <w:pPr>
              <w:pStyle w:val="a7"/>
              <w:numPr>
                <w:ilvl w:val="0"/>
                <w:numId w:val="109"/>
              </w:numPr>
              <w:ind w:left="0" w:firstLine="425"/>
              <w:rPr>
                <w:sz w:val="22"/>
              </w:rPr>
            </w:pPr>
            <w:proofErr w:type="spellStart"/>
            <w:r w:rsidRPr="007E0AF4">
              <w:rPr>
                <w:sz w:val="22"/>
              </w:rPr>
              <w:t>Забезпечення</w:t>
            </w:r>
            <w:proofErr w:type="spellEnd"/>
            <w:r w:rsidRPr="007E0AF4">
              <w:rPr>
                <w:sz w:val="22"/>
              </w:rPr>
              <w:t xml:space="preserve"> </w:t>
            </w:r>
            <w:proofErr w:type="spellStart"/>
            <w:r w:rsidRPr="007E0AF4">
              <w:rPr>
                <w:sz w:val="22"/>
              </w:rPr>
              <w:t>населення</w:t>
            </w:r>
            <w:proofErr w:type="spellEnd"/>
            <w:r w:rsidRPr="007E0AF4">
              <w:rPr>
                <w:sz w:val="22"/>
              </w:rPr>
              <w:t xml:space="preserve"> </w:t>
            </w:r>
            <w:proofErr w:type="spellStart"/>
            <w:r w:rsidRPr="007E0AF4">
              <w:rPr>
                <w:sz w:val="22"/>
              </w:rPr>
              <w:t>можливостями</w:t>
            </w:r>
            <w:proofErr w:type="spellEnd"/>
            <w:r w:rsidRPr="007E0AF4">
              <w:rPr>
                <w:sz w:val="22"/>
              </w:rPr>
              <w:t xml:space="preserve"> для </w:t>
            </w:r>
            <w:proofErr w:type="spellStart"/>
            <w:r w:rsidRPr="007E0AF4">
              <w:rPr>
                <w:sz w:val="22"/>
              </w:rPr>
              <w:t>збереження</w:t>
            </w:r>
            <w:proofErr w:type="spellEnd"/>
            <w:r w:rsidRPr="007E0AF4">
              <w:rPr>
                <w:sz w:val="22"/>
              </w:rPr>
              <w:t xml:space="preserve"> </w:t>
            </w:r>
            <w:proofErr w:type="spellStart"/>
            <w:r w:rsidRPr="007E0AF4">
              <w:rPr>
                <w:sz w:val="22"/>
              </w:rPr>
              <w:t>життя</w:t>
            </w:r>
            <w:proofErr w:type="spellEnd"/>
            <w:r w:rsidRPr="007E0AF4">
              <w:rPr>
                <w:sz w:val="22"/>
              </w:rPr>
              <w:t xml:space="preserve"> і </w:t>
            </w:r>
            <w:proofErr w:type="spellStart"/>
            <w:r w:rsidRPr="007E0AF4">
              <w:rPr>
                <w:sz w:val="22"/>
              </w:rPr>
              <w:t>здоров’я</w:t>
            </w:r>
            <w:proofErr w:type="spellEnd"/>
            <w:r w:rsidRPr="007E0AF4">
              <w:rPr>
                <w:sz w:val="22"/>
              </w:rPr>
              <w:t xml:space="preserve"> </w:t>
            </w:r>
            <w:proofErr w:type="spellStart"/>
            <w:r w:rsidRPr="007E0AF4">
              <w:rPr>
                <w:sz w:val="22"/>
              </w:rPr>
              <w:t>громадян</w:t>
            </w:r>
            <w:proofErr w:type="spellEnd"/>
            <w:r w:rsidRPr="007E0AF4">
              <w:rPr>
                <w:sz w:val="22"/>
              </w:rPr>
              <w:t xml:space="preserve">, комфортного </w:t>
            </w:r>
            <w:proofErr w:type="spellStart"/>
            <w:r w:rsidRPr="007E0AF4">
              <w:rPr>
                <w:sz w:val="22"/>
              </w:rPr>
              <w:t>перебування</w:t>
            </w:r>
            <w:proofErr w:type="spellEnd"/>
            <w:r w:rsidRPr="007E0AF4">
              <w:rPr>
                <w:sz w:val="22"/>
              </w:rPr>
              <w:t xml:space="preserve"> у </w:t>
            </w:r>
            <w:proofErr w:type="spellStart"/>
            <w:r w:rsidRPr="007E0AF4">
              <w:rPr>
                <w:sz w:val="22"/>
              </w:rPr>
              <w:t>бомбосховищі</w:t>
            </w:r>
            <w:proofErr w:type="spellEnd"/>
            <w:r w:rsidRPr="007E0AF4">
              <w:rPr>
                <w:sz w:val="22"/>
              </w:rPr>
              <w:t xml:space="preserve"> (</w:t>
            </w:r>
            <w:proofErr w:type="spellStart"/>
            <w:r w:rsidRPr="007E0AF4">
              <w:rPr>
                <w:sz w:val="22"/>
              </w:rPr>
              <w:t>укритті</w:t>
            </w:r>
            <w:proofErr w:type="spellEnd"/>
            <w:r w:rsidRPr="007E0AF4">
              <w:rPr>
                <w:sz w:val="22"/>
              </w:rPr>
              <w:t xml:space="preserve">) </w:t>
            </w:r>
            <w:proofErr w:type="spellStart"/>
            <w:r w:rsidRPr="007E0AF4">
              <w:rPr>
                <w:sz w:val="22"/>
              </w:rPr>
              <w:t>під</w:t>
            </w:r>
            <w:proofErr w:type="spellEnd"/>
            <w:r w:rsidRPr="007E0AF4">
              <w:rPr>
                <w:sz w:val="22"/>
              </w:rPr>
              <w:t xml:space="preserve"> час </w:t>
            </w:r>
            <w:proofErr w:type="spellStart"/>
            <w:r w:rsidRPr="007E0AF4">
              <w:rPr>
                <w:sz w:val="22"/>
              </w:rPr>
              <w:t>природних</w:t>
            </w:r>
            <w:proofErr w:type="spellEnd"/>
            <w:r w:rsidRPr="007E0AF4">
              <w:rPr>
                <w:sz w:val="22"/>
              </w:rPr>
              <w:t xml:space="preserve"> </w:t>
            </w:r>
            <w:proofErr w:type="spellStart"/>
            <w:r w:rsidRPr="007E0AF4">
              <w:rPr>
                <w:sz w:val="22"/>
              </w:rPr>
              <w:t>або</w:t>
            </w:r>
            <w:proofErr w:type="spellEnd"/>
            <w:r w:rsidRPr="007E0AF4">
              <w:rPr>
                <w:sz w:val="22"/>
              </w:rPr>
              <w:t xml:space="preserve"> </w:t>
            </w:r>
            <w:proofErr w:type="spellStart"/>
            <w:r w:rsidRPr="007E0AF4">
              <w:rPr>
                <w:sz w:val="22"/>
              </w:rPr>
              <w:t>техногенних</w:t>
            </w:r>
            <w:proofErr w:type="spellEnd"/>
            <w:r w:rsidRPr="007E0AF4">
              <w:rPr>
                <w:sz w:val="22"/>
              </w:rPr>
              <w:t xml:space="preserve"> катастроф, </w:t>
            </w:r>
            <w:proofErr w:type="spellStart"/>
            <w:r w:rsidRPr="007E0AF4">
              <w:rPr>
                <w:sz w:val="22"/>
              </w:rPr>
              <w:t>військових</w:t>
            </w:r>
            <w:proofErr w:type="spellEnd"/>
            <w:r w:rsidRPr="007E0AF4">
              <w:rPr>
                <w:sz w:val="22"/>
              </w:rPr>
              <w:t xml:space="preserve"> </w:t>
            </w:r>
            <w:proofErr w:type="spellStart"/>
            <w:r w:rsidRPr="007E0AF4">
              <w:rPr>
                <w:sz w:val="22"/>
              </w:rPr>
              <w:t>дій</w:t>
            </w:r>
            <w:proofErr w:type="spellEnd"/>
            <w:r w:rsidRPr="007E0AF4">
              <w:rPr>
                <w:sz w:val="22"/>
              </w:rPr>
              <w:t>;</w:t>
            </w:r>
          </w:p>
          <w:p w:rsidR="002E3647" w:rsidRPr="007E0AF4" w:rsidRDefault="002E3647" w:rsidP="000303D7">
            <w:pPr>
              <w:pStyle w:val="a7"/>
              <w:numPr>
                <w:ilvl w:val="0"/>
                <w:numId w:val="109"/>
              </w:numPr>
              <w:ind w:left="0" w:firstLine="425"/>
              <w:rPr>
                <w:sz w:val="22"/>
              </w:rPr>
            </w:pPr>
            <w:proofErr w:type="spellStart"/>
            <w:r w:rsidRPr="007E0AF4">
              <w:rPr>
                <w:sz w:val="22"/>
              </w:rPr>
              <w:t>Вирішення</w:t>
            </w:r>
            <w:proofErr w:type="spellEnd"/>
            <w:r w:rsidRPr="007E0AF4">
              <w:rPr>
                <w:sz w:val="22"/>
              </w:rPr>
              <w:t xml:space="preserve"> ряду </w:t>
            </w:r>
            <w:proofErr w:type="spellStart"/>
            <w:r w:rsidRPr="007E0AF4">
              <w:rPr>
                <w:sz w:val="22"/>
              </w:rPr>
              <w:t>питань</w:t>
            </w:r>
            <w:proofErr w:type="spellEnd"/>
            <w:r w:rsidRPr="007E0AF4">
              <w:rPr>
                <w:sz w:val="22"/>
              </w:rPr>
              <w:t xml:space="preserve"> в межах </w:t>
            </w:r>
            <w:proofErr w:type="spellStart"/>
            <w:r w:rsidR="00D02A1B" w:rsidRPr="007E0AF4">
              <w:rPr>
                <w:sz w:val="22"/>
              </w:rPr>
              <w:t>с</w:t>
            </w:r>
            <w:r w:rsidRPr="007E0AF4">
              <w:rPr>
                <w:sz w:val="22"/>
              </w:rPr>
              <w:t>татутної</w:t>
            </w:r>
            <w:proofErr w:type="spellEnd"/>
            <w:r w:rsidRPr="007E0AF4">
              <w:rPr>
                <w:sz w:val="22"/>
              </w:rPr>
              <w:t xml:space="preserve"> </w:t>
            </w:r>
            <w:proofErr w:type="spellStart"/>
            <w:r w:rsidRPr="007E0AF4">
              <w:rPr>
                <w:sz w:val="22"/>
              </w:rPr>
              <w:t>діяльності</w:t>
            </w:r>
            <w:proofErr w:type="spellEnd"/>
            <w:r w:rsidRPr="007E0AF4">
              <w:rPr>
                <w:sz w:val="22"/>
              </w:rPr>
              <w:t xml:space="preserve"> закладу </w:t>
            </w:r>
            <w:proofErr w:type="spellStart"/>
            <w:r w:rsidRPr="007E0AF4">
              <w:rPr>
                <w:sz w:val="22"/>
              </w:rPr>
              <w:t>освіти</w:t>
            </w:r>
            <w:proofErr w:type="spellEnd"/>
            <w:r w:rsidRPr="007E0AF4">
              <w:rPr>
                <w:sz w:val="22"/>
              </w:rPr>
              <w:t xml:space="preserve">, </w:t>
            </w:r>
            <w:proofErr w:type="spellStart"/>
            <w:r w:rsidRPr="007E0AF4">
              <w:rPr>
                <w:sz w:val="22"/>
              </w:rPr>
              <w:t>пов’язаних</w:t>
            </w:r>
            <w:proofErr w:type="spellEnd"/>
            <w:r w:rsidRPr="007E0AF4">
              <w:rPr>
                <w:sz w:val="22"/>
              </w:rPr>
              <w:t xml:space="preserve"> </w:t>
            </w:r>
            <w:proofErr w:type="spellStart"/>
            <w:r w:rsidRPr="007E0AF4">
              <w:rPr>
                <w:sz w:val="22"/>
              </w:rPr>
              <w:t>із</w:t>
            </w:r>
            <w:proofErr w:type="spellEnd"/>
            <w:r w:rsidRPr="007E0AF4">
              <w:rPr>
                <w:sz w:val="22"/>
              </w:rPr>
              <w:t xml:space="preserve"> </w:t>
            </w:r>
            <w:proofErr w:type="spellStart"/>
            <w:r w:rsidRPr="007E0AF4">
              <w:rPr>
                <w:sz w:val="22"/>
              </w:rPr>
              <w:t>відбудовою</w:t>
            </w:r>
            <w:proofErr w:type="spellEnd"/>
            <w:r w:rsidRPr="007E0AF4">
              <w:rPr>
                <w:sz w:val="22"/>
              </w:rPr>
              <w:t xml:space="preserve"> та </w:t>
            </w:r>
            <w:proofErr w:type="spellStart"/>
            <w:r w:rsidRPr="007E0AF4">
              <w:rPr>
                <w:sz w:val="22"/>
              </w:rPr>
              <w:t>сталим</w:t>
            </w:r>
            <w:proofErr w:type="spellEnd"/>
            <w:r w:rsidRPr="007E0AF4">
              <w:rPr>
                <w:sz w:val="22"/>
              </w:rPr>
              <w:t xml:space="preserve"> </w:t>
            </w:r>
            <w:proofErr w:type="spellStart"/>
            <w:r w:rsidRPr="007E0AF4">
              <w:rPr>
                <w:sz w:val="22"/>
              </w:rPr>
              <w:t>розвитком</w:t>
            </w:r>
            <w:proofErr w:type="spellEnd"/>
            <w:r w:rsidRPr="007E0AF4">
              <w:rPr>
                <w:sz w:val="22"/>
              </w:rPr>
              <w:t xml:space="preserve"> </w:t>
            </w:r>
            <w:proofErr w:type="spellStart"/>
            <w:r w:rsidRPr="007E0AF4">
              <w:rPr>
                <w:sz w:val="22"/>
              </w:rPr>
              <w:t>громади</w:t>
            </w:r>
            <w:proofErr w:type="spellEnd"/>
            <w:r w:rsidRPr="007E0AF4">
              <w:rPr>
                <w:sz w:val="22"/>
              </w:rPr>
              <w:t>;</w:t>
            </w:r>
          </w:p>
          <w:p w:rsidR="002E3647" w:rsidRPr="007E0AF4" w:rsidRDefault="002E3647" w:rsidP="000303D7">
            <w:pPr>
              <w:pStyle w:val="a7"/>
              <w:numPr>
                <w:ilvl w:val="0"/>
                <w:numId w:val="109"/>
              </w:numPr>
              <w:ind w:left="0" w:firstLine="425"/>
              <w:rPr>
                <w:sz w:val="22"/>
              </w:rPr>
            </w:pPr>
            <w:proofErr w:type="spellStart"/>
            <w:r w:rsidRPr="007E0AF4">
              <w:rPr>
                <w:sz w:val="22"/>
              </w:rPr>
              <w:t>Створення</w:t>
            </w:r>
            <w:proofErr w:type="spellEnd"/>
            <w:r w:rsidRPr="007E0AF4">
              <w:rPr>
                <w:sz w:val="22"/>
              </w:rPr>
              <w:t xml:space="preserve"> </w:t>
            </w:r>
            <w:proofErr w:type="spellStart"/>
            <w:r w:rsidRPr="007E0AF4">
              <w:rPr>
                <w:sz w:val="22"/>
              </w:rPr>
              <w:t>нових</w:t>
            </w:r>
            <w:proofErr w:type="spellEnd"/>
            <w:r w:rsidRPr="007E0AF4">
              <w:rPr>
                <w:sz w:val="22"/>
              </w:rPr>
              <w:t xml:space="preserve"> </w:t>
            </w:r>
            <w:proofErr w:type="spellStart"/>
            <w:r w:rsidRPr="007E0AF4">
              <w:rPr>
                <w:sz w:val="22"/>
              </w:rPr>
              <w:t>робочих</w:t>
            </w:r>
            <w:proofErr w:type="spellEnd"/>
            <w:r w:rsidRPr="007E0AF4">
              <w:rPr>
                <w:sz w:val="22"/>
              </w:rPr>
              <w:t xml:space="preserve"> </w:t>
            </w:r>
            <w:proofErr w:type="spellStart"/>
            <w:r w:rsidRPr="007E0AF4">
              <w:rPr>
                <w:sz w:val="22"/>
              </w:rPr>
              <w:t>місць</w:t>
            </w:r>
            <w:proofErr w:type="spellEnd"/>
            <w:r w:rsidRPr="007E0AF4">
              <w:rPr>
                <w:sz w:val="22"/>
              </w:rPr>
              <w:t>;</w:t>
            </w:r>
          </w:p>
          <w:p w:rsidR="002E3647" w:rsidRPr="007E0AF4" w:rsidRDefault="002E3647" w:rsidP="000303D7">
            <w:pPr>
              <w:pStyle w:val="a7"/>
              <w:numPr>
                <w:ilvl w:val="0"/>
                <w:numId w:val="109"/>
              </w:numPr>
              <w:ind w:left="0" w:firstLine="425"/>
              <w:rPr>
                <w:sz w:val="22"/>
              </w:rPr>
            </w:pPr>
            <w:r w:rsidRPr="007E0AF4">
              <w:rPr>
                <w:sz w:val="22"/>
              </w:rPr>
              <w:t xml:space="preserve">Стимул для </w:t>
            </w:r>
            <w:proofErr w:type="spellStart"/>
            <w:r w:rsidRPr="007E0AF4">
              <w:rPr>
                <w:sz w:val="22"/>
              </w:rPr>
              <w:t>повернення</w:t>
            </w:r>
            <w:proofErr w:type="spellEnd"/>
            <w:r w:rsidRPr="007E0AF4">
              <w:rPr>
                <w:sz w:val="22"/>
              </w:rPr>
              <w:t xml:space="preserve"> ВПО до </w:t>
            </w:r>
            <w:proofErr w:type="spellStart"/>
            <w:r w:rsidRPr="007E0AF4">
              <w:rPr>
                <w:sz w:val="22"/>
              </w:rPr>
              <w:t>громади</w:t>
            </w:r>
            <w:proofErr w:type="spellEnd"/>
            <w:r w:rsidRPr="007E0AF4">
              <w:rPr>
                <w:sz w:val="22"/>
              </w:rPr>
              <w:t>;</w:t>
            </w:r>
          </w:p>
        </w:tc>
      </w:tr>
      <w:tr w:rsidR="002E3647" w:rsidRPr="007E0AF4" w:rsidTr="002E3647">
        <w:trPr>
          <w:trHeight w:val="390"/>
        </w:trPr>
        <w:tc>
          <w:tcPr>
            <w:tcW w:w="2978" w:type="dxa"/>
            <w:vMerge w:val="restart"/>
            <w:shd w:val="clear" w:color="auto" w:fill="C6D9F1" w:themeFill="text2" w:themeFillTint="33"/>
          </w:tcPr>
          <w:p w:rsidR="002E3647" w:rsidRPr="007E0AF4" w:rsidRDefault="002E3647" w:rsidP="001E6C97">
            <w:pPr>
              <w:pStyle w:val="a7"/>
              <w:ind w:left="0"/>
              <w:rPr>
                <w:b/>
                <w:sz w:val="22"/>
                <w:lang w:val="uk-UA"/>
              </w:rPr>
            </w:pPr>
            <w:r w:rsidRPr="007E0AF4">
              <w:rPr>
                <w:b/>
                <w:sz w:val="22"/>
                <w:lang w:val="uk-UA"/>
              </w:rPr>
              <w:t xml:space="preserve">Очікувані кількісні результати реалізації </w:t>
            </w:r>
            <w:proofErr w:type="spellStart"/>
            <w:r w:rsidRPr="007E0AF4">
              <w:rPr>
                <w:b/>
                <w:sz w:val="22"/>
                <w:lang w:val="uk-UA"/>
              </w:rPr>
              <w:t>проєкту</w:t>
            </w:r>
            <w:proofErr w:type="spellEnd"/>
            <w:r w:rsidRPr="007E0AF4">
              <w:rPr>
                <w:b/>
                <w:sz w:val="22"/>
                <w:lang w:val="uk-UA"/>
              </w:rPr>
              <w:t xml:space="preserve"> (індикатори)</w:t>
            </w:r>
          </w:p>
          <w:p w:rsidR="002E3647" w:rsidRPr="007E0AF4" w:rsidRDefault="002E3647" w:rsidP="001E6C97">
            <w:pPr>
              <w:pStyle w:val="a7"/>
              <w:ind w:left="0"/>
              <w:rPr>
                <w:b/>
                <w:sz w:val="22"/>
                <w:lang w:val="uk-UA"/>
              </w:rPr>
            </w:pPr>
          </w:p>
        </w:tc>
        <w:tc>
          <w:tcPr>
            <w:tcW w:w="3357" w:type="dxa"/>
            <w:gridSpan w:val="3"/>
            <w:tcBorders>
              <w:bottom w:val="single" w:sz="4" w:space="0" w:color="auto"/>
              <w:right w:val="single" w:sz="4" w:space="0" w:color="auto"/>
            </w:tcBorders>
          </w:tcPr>
          <w:p w:rsidR="002E3647" w:rsidRPr="007E0AF4" w:rsidRDefault="002E3647" w:rsidP="001E6C97">
            <w:pPr>
              <w:pStyle w:val="a7"/>
              <w:ind w:left="-108"/>
              <w:jc w:val="center"/>
              <w:rPr>
                <w:b/>
                <w:sz w:val="22"/>
              </w:rPr>
            </w:pPr>
            <w:proofErr w:type="spellStart"/>
            <w:r w:rsidRPr="007E0AF4">
              <w:rPr>
                <w:b/>
                <w:sz w:val="22"/>
              </w:rPr>
              <w:t>Найменування</w:t>
            </w:r>
            <w:proofErr w:type="spellEnd"/>
            <w:r w:rsidRPr="007E0AF4">
              <w:rPr>
                <w:b/>
                <w:sz w:val="22"/>
              </w:rPr>
              <w:t xml:space="preserve"> </w:t>
            </w:r>
            <w:proofErr w:type="spellStart"/>
            <w:r w:rsidRPr="007E0AF4">
              <w:rPr>
                <w:b/>
                <w:sz w:val="22"/>
              </w:rPr>
              <w:t>показника</w:t>
            </w:r>
            <w:proofErr w:type="spellEnd"/>
          </w:p>
        </w:tc>
        <w:tc>
          <w:tcPr>
            <w:tcW w:w="1692" w:type="dxa"/>
            <w:gridSpan w:val="2"/>
            <w:tcBorders>
              <w:left w:val="single" w:sz="4" w:space="0" w:color="auto"/>
              <w:bottom w:val="single" w:sz="4" w:space="0" w:color="auto"/>
              <w:right w:val="single" w:sz="4" w:space="0" w:color="auto"/>
            </w:tcBorders>
          </w:tcPr>
          <w:p w:rsidR="002E3647" w:rsidRPr="007E0AF4" w:rsidRDefault="002E3647" w:rsidP="001E6C97">
            <w:pPr>
              <w:pStyle w:val="a7"/>
              <w:ind w:left="0"/>
              <w:jc w:val="center"/>
              <w:rPr>
                <w:b/>
                <w:sz w:val="22"/>
              </w:rPr>
            </w:pPr>
            <w:proofErr w:type="spellStart"/>
            <w:r w:rsidRPr="007E0AF4">
              <w:rPr>
                <w:b/>
                <w:sz w:val="22"/>
              </w:rPr>
              <w:t>Одиниця</w:t>
            </w:r>
            <w:proofErr w:type="spellEnd"/>
            <w:r w:rsidRPr="007E0AF4">
              <w:rPr>
                <w:b/>
                <w:sz w:val="22"/>
              </w:rPr>
              <w:t xml:space="preserve"> </w:t>
            </w:r>
            <w:proofErr w:type="spellStart"/>
            <w:r w:rsidRPr="007E0AF4">
              <w:rPr>
                <w:b/>
                <w:sz w:val="22"/>
              </w:rPr>
              <w:t>вимірювання</w:t>
            </w:r>
            <w:proofErr w:type="spellEnd"/>
          </w:p>
          <w:p w:rsidR="002E3647" w:rsidRPr="007E0AF4" w:rsidRDefault="002E3647" w:rsidP="001E6C97">
            <w:pPr>
              <w:pStyle w:val="a7"/>
              <w:ind w:left="0"/>
              <w:rPr>
                <w:b/>
                <w:sz w:val="22"/>
              </w:rPr>
            </w:pPr>
          </w:p>
        </w:tc>
        <w:tc>
          <w:tcPr>
            <w:tcW w:w="1861" w:type="dxa"/>
            <w:gridSpan w:val="2"/>
            <w:tcBorders>
              <w:left w:val="single" w:sz="4" w:space="0" w:color="auto"/>
              <w:bottom w:val="single" w:sz="4" w:space="0" w:color="auto"/>
            </w:tcBorders>
          </w:tcPr>
          <w:p w:rsidR="002E3647" w:rsidRPr="007E0AF4" w:rsidRDefault="002E3647" w:rsidP="001E6C97">
            <w:pPr>
              <w:pStyle w:val="a7"/>
              <w:ind w:left="0"/>
              <w:jc w:val="center"/>
              <w:rPr>
                <w:b/>
                <w:sz w:val="22"/>
              </w:rPr>
            </w:pPr>
            <w:proofErr w:type="spellStart"/>
            <w:r w:rsidRPr="007E0AF4">
              <w:rPr>
                <w:b/>
                <w:sz w:val="22"/>
              </w:rPr>
              <w:t>Прогнозне</w:t>
            </w:r>
            <w:proofErr w:type="spellEnd"/>
            <w:r w:rsidRPr="007E0AF4">
              <w:rPr>
                <w:b/>
                <w:sz w:val="22"/>
              </w:rPr>
              <w:t xml:space="preserve"> (</w:t>
            </w:r>
            <w:proofErr w:type="spellStart"/>
            <w:r w:rsidRPr="007E0AF4">
              <w:rPr>
                <w:b/>
                <w:sz w:val="22"/>
              </w:rPr>
              <w:t>цільове</w:t>
            </w:r>
            <w:proofErr w:type="spellEnd"/>
            <w:r w:rsidRPr="007E0AF4">
              <w:rPr>
                <w:b/>
                <w:sz w:val="22"/>
              </w:rPr>
              <w:t xml:space="preserve">) </w:t>
            </w:r>
            <w:proofErr w:type="spellStart"/>
            <w:r w:rsidRPr="007E0AF4">
              <w:rPr>
                <w:b/>
                <w:sz w:val="22"/>
              </w:rPr>
              <w:t>значення</w:t>
            </w:r>
            <w:proofErr w:type="spellEnd"/>
          </w:p>
        </w:tc>
      </w:tr>
      <w:tr w:rsidR="002E3647" w:rsidRPr="007E0AF4" w:rsidTr="002E3647">
        <w:trPr>
          <w:trHeight w:val="585"/>
        </w:trPr>
        <w:tc>
          <w:tcPr>
            <w:tcW w:w="2978" w:type="dxa"/>
            <w:vMerge/>
            <w:shd w:val="clear" w:color="auto" w:fill="C6D9F1" w:themeFill="text2" w:themeFillTint="33"/>
          </w:tcPr>
          <w:p w:rsidR="002E3647" w:rsidRPr="007E0AF4" w:rsidRDefault="002E3647" w:rsidP="001E6C97">
            <w:pPr>
              <w:pStyle w:val="a7"/>
              <w:ind w:left="0"/>
              <w:rPr>
                <w:b/>
                <w:sz w:val="22"/>
              </w:rPr>
            </w:pPr>
          </w:p>
        </w:tc>
        <w:tc>
          <w:tcPr>
            <w:tcW w:w="3357" w:type="dxa"/>
            <w:gridSpan w:val="3"/>
            <w:tcBorders>
              <w:top w:val="single" w:sz="4" w:space="0" w:color="auto"/>
              <w:bottom w:val="single" w:sz="4" w:space="0" w:color="auto"/>
              <w:right w:val="single" w:sz="4" w:space="0" w:color="auto"/>
            </w:tcBorders>
          </w:tcPr>
          <w:p w:rsidR="002E3647" w:rsidRPr="007E0AF4" w:rsidRDefault="002E3647" w:rsidP="001E6C97">
            <w:pPr>
              <w:pStyle w:val="a7"/>
              <w:ind w:left="0"/>
              <w:jc w:val="center"/>
              <w:rPr>
                <w:sz w:val="22"/>
              </w:rPr>
            </w:pPr>
            <w:proofErr w:type="spellStart"/>
            <w:r w:rsidRPr="007E0AF4">
              <w:rPr>
                <w:sz w:val="22"/>
              </w:rPr>
              <w:t>Кількість</w:t>
            </w:r>
            <w:proofErr w:type="spellEnd"/>
            <w:r w:rsidRPr="007E0AF4">
              <w:rPr>
                <w:sz w:val="22"/>
              </w:rPr>
              <w:t xml:space="preserve"> </w:t>
            </w:r>
            <w:proofErr w:type="spellStart"/>
            <w:r w:rsidRPr="007E0AF4">
              <w:rPr>
                <w:sz w:val="22"/>
              </w:rPr>
              <w:t>учнів</w:t>
            </w:r>
            <w:proofErr w:type="spellEnd"/>
          </w:p>
        </w:tc>
        <w:tc>
          <w:tcPr>
            <w:tcW w:w="1692" w:type="dxa"/>
            <w:gridSpan w:val="2"/>
            <w:tcBorders>
              <w:top w:val="single" w:sz="4" w:space="0" w:color="auto"/>
              <w:left w:val="single" w:sz="4" w:space="0" w:color="auto"/>
              <w:bottom w:val="single" w:sz="4" w:space="0" w:color="auto"/>
              <w:right w:val="single" w:sz="4" w:space="0" w:color="auto"/>
            </w:tcBorders>
            <w:vAlign w:val="center"/>
          </w:tcPr>
          <w:p w:rsidR="002E3647" w:rsidRPr="007E0AF4" w:rsidRDefault="002E3647" w:rsidP="001E6C97">
            <w:pPr>
              <w:pStyle w:val="a7"/>
              <w:ind w:left="0"/>
              <w:jc w:val="center"/>
              <w:rPr>
                <w:sz w:val="22"/>
              </w:rPr>
            </w:pPr>
            <w:proofErr w:type="spellStart"/>
            <w:r w:rsidRPr="007E0AF4">
              <w:rPr>
                <w:sz w:val="22"/>
              </w:rPr>
              <w:t>осіб</w:t>
            </w:r>
            <w:proofErr w:type="spellEnd"/>
          </w:p>
        </w:tc>
        <w:tc>
          <w:tcPr>
            <w:tcW w:w="1861" w:type="dxa"/>
            <w:gridSpan w:val="2"/>
            <w:tcBorders>
              <w:top w:val="single" w:sz="4" w:space="0" w:color="auto"/>
              <w:left w:val="single" w:sz="4" w:space="0" w:color="auto"/>
              <w:bottom w:val="single" w:sz="4" w:space="0" w:color="auto"/>
            </w:tcBorders>
          </w:tcPr>
          <w:p w:rsidR="002E3647" w:rsidRPr="007E0AF4" w:rsidRDefault="002E3647" w:rsidP="001E6C97">
            <w:pPr>
              <w:pStyle w:val="a7"/>
              <w:ind w:left="0"/>
              <w:jc w:val="center"/>
              <w:rPr>
                <w:sz w:val="22"/>
              </w:rPr>
            </w:pPr>
            <w:r w:rsidRPr="007E0AF4">
              <w:rPr>
                <w:sz w:val="22"/>
              </w:rPr>
              <w:t>1380</w:t>
            </w:r>
          </w:p>
          <w:p w:rsidR="002E3647" w:rsidRPr="007E0AF4" w:rsidRDefault="002E3647" w:rsidP="001E6C97">
            <w:pPr>
              <w:pStyle w:val="a7"/>
              <w:ind w:left="0"/>
              <w:jc w:val="center"/>
              <w:rPr>
                <w:b/>
                <w:sz w:val="22"/>
              </w:rPr>
            </w:pPr>
          </w:p>
        </w:tc>
      </w:tr>
      <w:tr w:rsidR="002E3647" w:rsidRPr="007E0AF4" w:rsidTr="002E3647">
        <w:trPr>
          <w:trHeight w:val="184"/>
        </w:trPr>
        <w:tc>
          <w:tcPr>
            <w:tcW w:w="2978" w:type="dxa"/>
            <w:vMerge/>
            <w:shd w:val="clear" w:color="auto" w:fill="C6D9F1" w:themeFill="text2" w:themeFillTint="33"/>
          </w:tcPr>
          <w:p w:rsidR="002E3647" w:rsidRPr="007E0AF4" w:rsidRDefault="002E3647" w:rsidP="001E6C97">
            <w:pPr>
              <w:pStyle w:val="a7"/>
              <w:ind w:left="0"/>
              <w:rPr>
                <w:b/>
                <w:sz w:val="22"/>
              </w:rPr>
            </w:pPr>
          </w:p>
        </w:tc>
        <w:tc>
          <w:tcPr>
            <w:tcW w:w="3357" w:type="dxa"/>
            <w:gridSpan w:val="3"/>
            <w:tcBorders>
              <w:top w:val="single" w:sz="4" w:space="0" w:color="auto"/>
              <w:bottom w:val="single" w:sz="4" w:space="0" w:color="auto"/>
              <w:right w:val="single" w:sz="4" w:space="0" w:color="auto"/>
            </w:tcBorders>
          </w:tcPr>
          <w:p w:rsidR="002E3647" w:rsidRPr="007E0AF4" w:rsidRDefault="002E3647" w:rsidP="001E6C97">
            <w:pPr>
              <w:pStyle w:val="a7"/>
              <w:ind w:left="0"/>
              <w:jc w:val="center"/>
              <w:rPr>
                <w:sz w:val="22"/>
              </w:rPr>
            </w:pPr>
            <w:proofErr w:type="spellStart"/>
            <w:r w:rsidRPr="007E0AF4">
              <w:rPr>
                <w:sz w:val="22"/>
              </w:rPr>
              <w:t>Кількість</w:t>
            </w:r>
            <w:proofErr w:type="spellEnd"/>
            <w:r w:rsidRPr="007E0AF4">
              <w:rPr>
                <w:sz w:val="22"/>
              </w:rPr>
              <w:t xml:space="preserve"> </w:t>
            </w:r>
            <w:proofErr w:type="spellStart"/>
            <w:r w:rsidRPr="007E0AF4">
              <w:rPr>
                <w:sz w:val="22"/>
              </w:rPr>
              <w:t>видів</w:t>
            </w:r>
            <w:proofErr w:type="spellEnd"/>
            <w:r w:rsidRPr="007E0AF4">
              <w:rPr>
                <w:sz w:val="22"/>
              </w:rPr>
              <w:t xml:space="preserve"> та </w:t>
            </w:r>
            <w:proofErr w:type="spellStart"/>
            <w:r w:rsidRPr="007E0AF4">
              <w:rPr>
                <w:sz w:val="22"/>
              </w:rPr>
              <w:t>типів</w:t>
            </w:r>
            <w:proofErr w:type="spellEnd"/>
            <w:r w:rsidRPr="007E0AF4">
              <w:rPr>
                <w:sz w:val="22"/>
              </w:rPr>
              <w:t xml:space="preserve"> </w:t>
            </w:r>
            <w:proofErr w:type="spellStart"/>
            <w:r w:rsidRPr="007E0AF4">
              <w:rPr>
                <w:sz w:val="22"/>
              </w:rPr>
              <w:t>послуг</w:t>
            </w:r>
            <w:proofErr w:type="spellEnd"/>
            <w:r w:rsidR="00D02A1B" w:rsidRPr="007E0AF4">
              <w:rPr>
                <w:sz w:val="22"/>
              </w:rPr>
              <w:t>,</w:t>
            </w:r>
            <w:r w:rsidRPr="007E0AF4">
              <w:rPr>
                <w:sz w:val="22"/>
              </w:rPr>
              <w:t xml:space="preserve"> </w:t>
            </w:r>
            <w:proofErr w:type="spellStart"/>
            <w:r w:rsidRPr="007E0AF4">
              <w:rPr>
                <w:sz w:val="22"/>
              </w:rPr>
              <w:t>наданих</w:t>
            </w:r>
            <w:proofErr w:type="spellEnd"/>
            <w:r w:rsidRPr="007E0AF4">
              <w:rPr>
                <w:sz w:val="22"/>
              </w:rPr>
              <w:t xml:space="preserve"> </w:t>
            </w:r>
            <w:proofErr w:type="spellStart"/>
            <w:r w:rsidRPr="007E0AF4">
              <w:rPr>
                <w:sz w:val="22"/>
              </w:rPr>
              <w:t>протягом</w:t>
            </w:r>
            <w:proofErr w:type="spellEnd"/>
            <w:r w:rsidRPr="007E0AF4">
              <w:rPr>
                <w:sz w:val="22"/>
              </w:rPr>
              <w:t xml:space="preserve"> одно </w:t>
            </w:r>
            <w:proofErr w:type="spellStart"/>
            <w:r w:rsidRPr="007E0AF4">
              <w:rPr>
                <w:sz w:val="22"/>
              </w:rPr>
              <w:t>робочого</w:t>
            </w:r>
            <w:proofErr w:type="spellEnd"/>
            <w:r w:rsidRPr="007E0AF4">
              <w:rPr>
                <w:sz w:val="22"/>
              </w:rPr>
              <w:t xml:space="preserve"> дня</w:t>
            </w:r>
          </w:p>
        </w:tc>
        <w:tc>
          <w:tcPr>
            <w:tcW w:w="1692" w:type="dxa"/>
            <w:gridSpan w:val="2"/>
            <w:tcBorders>
              <w:top w:val="single" w:sz="4" w:space="0" w:color="auto"/>
              <w:left w:val="single" w:sz="4" w:space="0" w:color="auto"/>
              <w:bottom w:val="single" w:sz="4" w:space="0" w:color="auto"/>
              <w:right w:val="single" w:sz="4" w:space="0" w:color="auto"/>
            </w:tcBorders>
            <w:vAlign w:val="center"/>
          </w:tcPr>
          <w:p w:rsidR="002E3647" w:rsidRPr="007E0AF4" w:rsidRDefault="002E3647" w:rsidP="001E6C97">
            <w:pPr>
              <w:pStyle w:val="a7"/>
              <w:ind w:left="0"/>
              <w:jc w:val="center"/>
              <w:rPr>
                <w:sz w:val="22"/>
              </w:rPr>
            </w:pPr>
            <w:r w:rsidRPr="007E0AF4">
              <w:rPr>
                <w:sz w:val="22"/>
              </w:rPr>
              <w:t>годин</w:t>
            </w:r>
          </w:p>
          <w:p w:rsidR="002E3647" w:rsidRPr="007E0AF4" w:rsidRDefault="002E3647" w:rsidP="001E6C97">
            <w:pPr>
              <w:pStyle w:val="a7"/>
              <w:ind w:left="0"/>
              <w:jc w:val="center"/>
              <w:rPr>
                <w:sz w:val="22"/>
              </w:rPr>
            </w:pPr>
          </w:p>
        </w:tc>
        <w:tc>
          <w:tcPr>
            <w:tcW w:w="1861" w:type="dxa"/>
            <w:gridSpan w:val="2"/>
            <w:tcBorders>
              <w:top w:val="single" w:sz="4" w:space="0" w:color="auto"/>
              <w:left w:val="single" w:sz="4" w:space="0" w:color="auto"/>
              <w:bottom w:val="single" w:sz="4" w:space="0" w:color="auto"/>
            </w:tcBorders>
          </w:tcPr>
          <w:p w:rsidR="002E3647" w:rsidRPr="007E0AF4" w:rsidRDefault="002E3647" w:rsidP="001E6C97">
            <w:pPr>
              <w:pStyle w:val="a7"/>
              <w:ind w:left="0"/>
              <w:jc w:val="center"/>
              <w:rPr>
                <w:sz w:val="22"/>
              </w:rPr>
            </w:pPr>
            <w:r w:rsidRPr="007E0AF4">
              <w:rPr>
                <w:sz w:val="22"/>
              </w:rPr>
              <w:t>24</w:t>
            </w:r>
          </w:p>
        </w:tc>
      </w:tr>
      <w:tr w:rsidR="002E3647" w:rsidRPr="007E0AF4" w:rsidTr="002E3647">
        <w:trPr>
          <w:trHeight w:val="150"/>
        </w:trPr>
        <w:tc>
          <w:tcPr>
            <w:tcW w:w="2978" w:type="dxa"/>
            <w:vMerge/>
            <w:shd w:val="clear" w:color="auto" w:fill="C6D9F1" w:themeFill="text2" w:themeFillTint="33"/>
          </w:tcPr>
          <w:p w:rsidR="002E3647" w:rsidRPr="007E0AF4" w:rsidRDefault="002E3647" w:rsidP="001E6C97">
            <w:pPr>
              <w:pStyle w:val="a7"/>
              <w:ind w:left="0"/>
              <w:rPr>
                <w:b/>
                <w:sz w:val="22"/>
              </w:rPr>
            </w:pPr>
          </w:p>
        </w:tc>
        <w:tc>
          <w:tcPr>
            <w:tcW w:w="3357" w:type="dxa"/>
            <w:gridSpan w:val="3"/>
            <w:tcBorders>
              <w:top w:val="single" w:sz="4" w:space="0" w:color="auto"/>
              <w:right w:val="single" w:sz="4" w:space="0" w:color="auto"/>
            </w:tcBorders>
          </w:tcPr>
          <w:p w:rsidR="002E3647" w:rsidRPr="007E0AF4" w:rsidRDefault="002E3647" w:rsidP="001E6C97">
            <w:pPr>
              <w:pStyle w:val="a7"/>
              <w:ind w:left="0"/>
              <w:jc w:val="center"/>
              <w:rPr>
                <w:sz w:val="22"/>
              </w:rPr>
            </w:pPr>
            <w:proofErr w:type="spellStart"/>
            <w:r w:rsidRPr="007E0AF4">
              <w:rPr>
                <w:sz w:val="22"/>
              </w:rPr>
              <w:t>Термін</w:t>
            </w:r>
            <w:proofErr w:type="spellEnd"/>
            <w:r w:rsidRPr="007E0AF4">
              <w:rPr>
                <w:sz w:val="22"/>
              </w:rPr>
              <w:t xml:space="preserve"> </w:t>
            </w:r>
            <w:proofErr w:type="spellStart"/>
            <w:r w:rsidRPr="007E0AF4">
              <w:rPr>
                <w:sz w:val="22"/>
              </w:rPr>
              <w:t>надання</w:t>
            </w:r>
            <w:proofErr w:type="spellEnd"/>
            <w:r w:rsidRPr="007E0AF4">
              <w:rPr>
                <w:sz w:val="22"/>
              </w:rPr>
              <w:t xml:space="preserve"> </w:t>
            </w:r>
            <w:proofErr w:type="spellStart"/>
            <w:r w:rsidRPr="007E0AF4">
              <w:rPr>
                <w:sz w:val="22"/>
              </w:rPr>
              <w:t>послуги</w:t>
            </w:r>
            <w:proofErr w:type="spellEnd"/>
          </w:p>
        </w:tc>
        <w:tc>
          <w:tcPr>
            <w:tcW w:w="1692" w:type="dxa"/>
            <w:gridSpan w:val="2"/>
            <w:tcBorders>
              <w:top w:val="single" w:sz="4" w:space="0" w:color="auto"/>
              <w:left w:val="single" w:sz="4" w:space="0" w:color="auto"/>
              <w:right w:val="single" w:sz="4" w:space="0" w:color="auto"/>
            </w:tcBorders>
            <w:vAlign w:val="center"/>
          </w:tcPr>
          <w:p w:rsidR="002E3647" w:rsidRPr="007E0AF4" w:rsidRDefault="002E3647" w:rsidP="001E6C97">
            <w:pPr>
              <w:pStyle w:val="a7"/>
              <w:ind w:left="0"/>
              <w:jc w:val="center"/>
              <w:rPr>
                <w:sz w:val="22"/>
              </w:rPr>
            </w:pPr>
            <w:r w:rsidRPr="007E0AF4">
              <w:rPr>
                <w:sz w:val="22"/>
              </w:rPr>
              <w:t>день</w:t>
            </w:r>
          </w:p>
        </w:tc>
        <w:tc>
          <w:tcPr>
            <w:tcW w:w="1861" w:type="dxa"/>
            <w:gridSpan w:val="2"/>
            <w:tcBorders>
              <w:top w:val="single" w:sz="4" w:space="0" w:color="auto"/>
              <w:left w:val="single" w:sz="4" w:space="0" w:color="auto"/>
            </w:tcBorders>
          </w:tcPr>
          <w:p w:rsidR="002E3647" w:rsidRPr="007E0AF4" w:rsidRDefault="002E3647" w:rsidP="001E6C97">
            <w:pPr>
              <w:pStyle w:val="a7"/>
              <w:ind w:left="0"/>
              <w:jc w:val="center"/>
              <w:rPr>
                <w:sz w:val="22"/>
              </w:rPr>
            </w:pPr>
            <w:r w:rsidRPr="007E0AF4">
              <w:rPr>
                <w:sz w:val="22"/>
              </w:rPr>
              <w:t>365</w:t>
            </w:r>
          </w:p>
        </w:tc>
      </w:tr>
      <w:tr w:rsidR="002E3647" w:rsidRPr="007E0AF4" w:rsidTr="002E3647">
        <w:trPr>
          <w:trHeight w:val="150"/>
        </w:trPr>
        <w:tc>
          <w:tcPr>
            <w:tcW w:w="2978" w:type="dxa"/>
            <w:shd w:val="clear" w:color="auto" w:fill="C6D9F1" w:themeFill="text2" w:themeFillTint="33"/>
          </w:tcPr>
          <w:p w:rsidR="002E3647" w:rsidRPr="007E0AF4" w:rsidRDefault="002E3647" w:rsidP="001E6C97">
            <w:pPr>
              <w:pStyle w:val="a7"/>
              <w:ind w:left="0"/>
              <w:rPr>
                <w:b/>
                <w:sz w:val="22"/>
              </w:rPr>
            </w:pPr>
          </w:p>
        </w:tc>
        <w:tc>
          <w:tcPr>
            <w:tcW w:w="3357" w:type="dxa"/>
            <w:gridSpan w:val="3"/>
            <w:tcBorders>
              <w:top w:val="single" w:sz="4" w:space="0" w:color="auto"/>
              <w:right w:val="single" w:sz="4" w:space="0" w:color="auto"/>
            </w:tcBorders>
          </w:tcPr>
          <w:p w:rsidR="002E3647" w:rsidRPr="007E0AF4" w:rsidRDefault="002E3647" w:rsidP="00D02A1B">
            <w:pPr>
              <w:pStyle w:val="a7"/>
              <w:ind w:left="0"/>
              <w:jc w:val="center"/>
              <w:rPr>
                <w:sz w:val="22"/>
              </w:rPr>
            </w:pPr>
            <w:proofErr w:type="spellStart"/>
            <w:r w:rsidRPr="007E0AF4">
              <w:rPr>
                <w:sz w:val="22"/>
              </w:rPr>
              <w:t>Кількість</w:t>
            </w:r>
            <w:proofErr w:type="spellEnd"/>
            <w:r w:rsidRPr="007E0AF4">
              <w:rPr>
                <w:sz w:val="22"/>
              </w:rPr>
              <w:t xml:space="preserve"> </w:t>
            </w:r>
            <w:proofErr w:type="spellStart"/>
            <w:r w:rsidRPr="007E0AF4">
              <w:rPr>
                <w:sz w:val="22"/>
              </w:rPr>
              <w:t>населених</w:t>
            </w:r>
            <w:proofErr w:type="spellEnd"/>
            <w:r w:rsidRPr="007E0AF4">
              <w:rPr>
                <w:sz w:val="22"/>
              </w:rPr>
              <w:t xml:space="preserve"> </w:t>
            </w:r>
            <w:proofErr w:type="spellStart"/>
            <w:r w:rsidRPr="007E0AF4">
              <w:rPr>
                <w:sz w:val="22"/>
              </w:rPr>
              <w:t>пунктів</w:t>
            </w:r>
            <w:proofErr w:type="spellEnd"/>
            <w:r w:rsidRPr="007E0AF4">
              <w:rPr>
                <w:sz w:val="22"/>
              </w:rPr>
              <w:t xml:space="preserve">, </w:t>
            </w:r>
            <w:proofErr w:type="spellStart"/>
            <w:r w:rsidRPr="007E0AF4">
              <w:rPr>
                <w:sz w:val="22"/>
              </w:rPr>
              <w:t>як</w:t>
            </w:r>
            <w:r w:rsidR="00D02A1B" w:rsidRPr="007E0AF4">
              <w:rPr>
                <w:sz w:val="22"/>
              </w:rPr>
              <w:t>і</w:t>
            </w:r>
            <w:proofErr w:type="spellEnd"/>
            <w:r w:rsidRPr="007E0AF4">
              <w:rPr>
                <w:sz w:val="22"/>
              </w:rPr>
              <w:t xml:space="preserve"> </w:t>
            </w:r>
            <w:proofErr w:type="spellStart"/>
            <w:r w:rsidRPr="007E0AF4">
              <w:rPr>
                <w:sz w:val="22"/>
              </w:rPr>
              <w:t>обслуговує</w:t>
            </w:r>
            <w:proofErr w:type="spellEnd"/>
            <w:r w:rsidRPr="007E0AF4">
              <w:rPr>
                <w:sz w:val="22"/>
              </w:rPr>
              <w:t xml:space="preserve"> </w:t>
            </w:r>
            <w:r w:rsidR="00D02A1B" w:rsidRPr="007E0AF4">
              <w:rPr>
                <w:sz w:val="22"/>
              </w:rPr>
              <w:t>заклад</w:t>
            </w:r>
          </w:p>
        </w:tc>
        <w:tc>
          <w:tcPr>
            <w:tcW w:w="1692" w:type="dxa"/>
            <w:gridSpan w:val="2"/>
            <w:tcBorders>
              <w:top w:val="single" w:sz="4" w:space="0" w:color="auto"/>
              <w:left w:val="single" w:sz="4" w:space="0" w:color="auto"/>
              <w:right w:val="single" w:sz="4" w:space="0" w:color="auto"/>
            </w:tcBorders>
            <w:vAlign w:val="center"/>
          </w:tcPr>
          <w:p w:rsidR="002E3647" w:rsidRPr="007E0AF4" w:rsidRDefault="002E3647" w:rsidP="001E6C97">
            <w:pPr>
              <w:pStyle w:val="a7"/>
              <w:ind w:left="0"/>
              <w:jc w:val="center"/>
              <w:rPr>
                <w:sz w:val="22"/>
              </w:rPr>
            </w:pPr>
            <w:proofErr w:type="spellStart"/>
            <w:r w:rsidRPr="007E0AF4">
              <w:rPr>
                <w:sz w:val="22"/>
              </w:rPr>
              <w:t>одиниць</w:t>
            </w:r>
            <w:proofErr w:type="spellEnd"/>
          </w:p>
        </w:tc>
        <w:tc>
          <w:tcPr>
            <w:tcW w:w="1861" w:type="dxa"/>
            <w:gridSpan w:val="2"/>
            <w:tcBorders>
              <w:top w:val="single" w:sz="4" w:space="0" w:color="auto"/>
              <w:left w:val="single" w:sz="4" w:space="0" w:color="auto"/>
            </w:tcBorders>
          </w:tcPr>
          <w:p w:rsidR="002E3647" w:rsidRPr="007E0AF4" w:rsidRDefault="002E3647" w:rsidP="001E6C97">
            <w:pPr>
              <w:pStyle w:val="a7"/>
              <w:ind w:left="0"/>
              <w:jc w:val="center"/>
              <w:rPr>
                <w:sz w:val="22"/>
              </w:rPr>
            </w:pPr>
            <w:r w:rsidRPr="007E0AF4">
              <w:rPr>
                <w:sz w:val="22"/>
              </w:rPr>
              <w:t>1</w:t>
            </w:r>
          </w:p>
        </w:tc>
      </w:tr>
      <w:tr w:rsidR="002E3647" w:rsidRPr="007E0AF4" w:rsidTr="002E3647">
        <w:tc>
          <w:tcPr>
            <w:tcW w:w="2978" w:type="dxa"/>
            <w:shd w:val="clear" w:color="auto" w:fill="C6D9F1" w:themeFill="text2" w:themeFillTint="33"/>
          </w:tcPr>
          <w:p w:rsidR="002E3647" w:rsidRPr="007E0AF4" w:rsidRDefault="002E3647" w:rsidP="001E6C97">
            <w:pPr>
              <w:rPr>
                <w:b/>
                <w:sz w:val="22"/>
              </w:rPr>
            </w:pPr>
            <w:proofErr w:type="spellStart"/>
            <w:r w:rsidRPr="007E0AF4">
              <w:rPr>
                <w:b/>
                <w:sz w:val="22"/>
              </w:rPr>
              <w:t>Ключові</w:t>
            </w:r>
            <w:proofErr w:type="spellEnd"/>
            <w:r w:rsidRPr="007E0AF4">
              <w:rPr>
                <w:b/>
                <w:sz w:val="22"/>
              </w:rPr>
              <w:t xml:space="preserve"> заходи проекту: </w:t>
            </w:r>
          </w:p>
          <w:p w:rsidR="002E3647" w:rsidRPr="007E0AF4" w:rsidRDefault="002E3647" w:rsidP="001E6C97">
            <w:pPr>
              <w:pStyle w:val="a7"/>
              <w:ind w:left="0"/>
              <w:rPr>
                <w:b/>
                <w:sz w:val="22"/>
              </w:rPr>
            </w:pPr>
          </w:p>
        </w:tc>
        <w:tc>
          <w:tcPr>
            <w:tcW w:w="6910" w:type="dxa"/>
            <w:gridSpan w:val="7"/>
          </w:tcPr>
          <w:p w:rsidR="002E3647" w:rsidRPr="007E0AF4" w:rsidRDefault="002E3647" w:rsidP="000303D7">
            <w:pPr>
              <w:pStyle w:val="a7"/>
              <w:numPr>
                <w:ilvl w:val="0"/>
                <w:numId w:val="110"/>
              </w:numPr>
              <w:rPr>
                <w:sz w:val="22"/>
              </w:rPr>
            </w:pPr>
            <w:proofErr w:type="spellStart"/>
            <w:r w:rsidRPr="007E0AF4">
              <w:rPr>
                <w:sz w:val="22"/>
              </w:rPr>
              <w:t>Обстеження</w:t>
            </w:r>
            <w:proofErr w:type="spellEnd"/>
            <w:r w:rsidRPr="007E0AF4">
              <w:rPr>
                <w:sz w:val="22"/>
              </w:rPr>
              <w:t xml:space="preserve"> стану </w:t>
            </w:r>
            <w:proofErr w:type="spellStart"/>
            <w:r w:rsidRPr="007E0AF4">
              <w:rPr>
                <w:sz w:val="22"/>
              </w:rPr>
              <w:t>навчального</w:t>
            </w:r>
            <w:proofErr w:type="spellEnd"/>
            <w:r w:rsidRPr="007E0AF4">
              <w:rPr>
                <w:sz w:val="22"/>
              </w:rPr>
              <w:t xml:space="preserve"> тиру в </w:t>
            </w:r>
            <w:proofErr w:type="spellStart"/>
            <w:r w:rsidRPr="007E0AF4">
              <w:rPr>
                <w:sz w:val="22"/>
              </w:rPr>
              <w:t>закладі</w:t>
            </w:r>
            <w:proofErr w:type="spellEnd"/>
            <w:r w:rsidRPr="007E0AF4">
              <w:rPr>
                <w:sz w:val="22"/>
              </w:rPr>
              <w:t xml:space="preserve"> </w:t>
            </w:r>
            <w:proofErr w:type="spellStart"/>
            <w:r w:rsidRPr="007E0AF4">
              <w:rPr>
                <w:sz w:val="22"/>
              </w:rPr>
              <w:t>освіти</w:t>
            </w:r>
            <w:proofErr w:type="spellEnd"/>
            <w:r w:rsidRPr="007E0AF4">
              <w:rPr>
                <w:sz w:val="22"/>
              </w:rPr>
              <w:t>;</w:t>
            </w:r>
          </w:p>
          <w:p w:rsidR="002E3647" w:rsidRPr="007E0AF4" w:rsidRDefault="002E3647" w:rsidP="000303D7">
            <w:pPr>
              <w:pStyle w:val="a7"/>
              <w:numPr>
                <w:ilvl w:val="0"/>
                <w:numId w:val="110"/>
              </w:numPr>
              <w:rPr>
                <w:sz w:val="22"/>
              </w:rPr>
            </w:pPr>
            <w:proofErr w:type="spellStart"/>
            <w:r w:rsidRPr="007E0AF4">
              <w:rPr>
                <w:sz w:val="22"/>
              </w:rPr>
              <w:t>Проведення</w:t>
            </w:r>
            <w:proofErr w:type="spellEnd"/>
            <w:r w:rsidRPr="007E0AF4">
              <w:rPr>
                <w:sz w:val="22"/>
              </w:rPr>
              <w:t xml:space="preserve"> </w:t>
            </w:r>
            <w:proofErr w:type="spellStart"/>
            <w:r w:rsidRPr="007E0AF4">
              <w:rPr>
                <w:sz w:val="22"/>
              </w:rPr>
              <w:t>інвентаризації</w:t>
            </w:r>
            <w:proofErr w:type="spellEnd"/>
            <w:r w:rsidRPr="007E0AF4">
              <w:rPr>
                <w:sz w:val="22"/>
              </w:rPr>
              <w:t xml:space="preserve"> </w:t>
            </w:r>
            <w:proofErr w:type="spellStart"/>
            <w:r w:rsidRPr="007E0AF4">
              <w:rPr>
                <w:sz w:val="22"/>
              </w:rPr>
              <w:t>основних</w:t>
            </w:r>
            <w:proofErr w:type="spellEnd"/>
            <w:r w:rsidRPr="007E0AF4">
              <w:rPr>
                <w:sz w:val="22"/>
              </w:rPr>
              <w:t xml:space="preserve"> </w:t>
            </w:r>
            <w:proofErr w:type="spellStart"/>
            <w:r w:rsidRPr="007E0AF4">
              <w:rPr>
                <w:sz w:val="22"/>
              </w:rPr>
              <w:t>фондів</w:t>
            </w:r>
            <w:proofErr w:type="spellEnd"/>
            <w:r w:rsidRPr="007E0AF4">
              <w:rPr>
                <w:sz w:val="22"/>
              </w:rPr>
              <w:t xml:space="preserve"> на момент </w:t>
            </w:r>
            <w:proofErr w:type="spellStart"/>
            <w:r w:rsidRPr="007E0AF4">
              <w:rPr>
                <w:sz w:val="22"/>
              </w:rPr>
              <w:t>обстеження</w:t>
            </w:r>
            <w:proofErr w:type="spellEnd"/>
            <w:r w:rsidRPr="007E0AF4">
              <w:rPr>
                <w:sz w:val="22"/>
              </w:rPr>
              <w:t>;</w:t>
            </w:r>
          </w:p>
          <w:p w:rsidR="002E3647" w:rsidRPr="007E0AF4" w:rsidRDefault="002E3647" w:rsidP="000303D7">
            <w:pPr>
              <w:pStyle w:val="a7"/>
              <w:numPr>
                <w:ilvl w:val="0"/>
                <w:numId w:val="110"/>
              </w:numPr>
              <w:rPr>
                <w:sz w:val="22"/>
              </w:rPr>
            </w:pPr>
            <w:proofErr w:type="spellStart"/>
            <w:r w:rsidRPr="007E0AF4">
              <w:rPr>
                <w:sz w:val="22"/>
              </w:rPr>
              <w:t>Створення</w:t>
            </w:r>
            <w:proofErr w:type="spellEnd"/>
            <w:r w:rsidRPr="007E0AF4">
              <w:rPr>
                <w:sz w:val="22"/>
              </w:rPr>
              <w:t xml:space="preserve"> </w:t>
            </w:r>
            <w:proofErr w:type="spellStart"/>
            <w:r w:rsidRPr="007E0AF4">
              <w:rPr>
                <w:sz w:val="22"/>
              </w:rPr>
              <w:t>про</w:t>
            </w:r>
            <w:r w:rsidR="00D02A1B" w:rsidRPr="007E0AF4">
              <w:rPr>
                <w:sz w:val="22"/>
              </w:rPr>
              <w:t>є</w:t>
            </w:r>
            <w:r w:rsidRPr="007E0AF4">
              <w:rPr>
                <w:sz w:val="22"/>
              </w:rPr>
              <w:t>ктно-кошторисної</w:t>
            </w:r>
            <w:proofErr w:type="spellEnd"/>
            <w:r w:rsidRPr="007E0AF4">
              <w:rPr>
                <w:sz w:val="22"/>
              </w:rPr>
              <w:t xml:space="preserve"> </w:t>
            </w:r>
            <w:proofErr w:type="spellStart"/>
            <w:r w:rsidRPr="007E0AF4">
              <w:rPr>
                <w:sz w:val="22"/>
              </w:rPr>
              <w:t>документації</w:t>
            </w:r>
            <w:proofErr w:type="spellEnd"/>
            <w:r w:rsidRPr="007E0AF4">
              <w:rPr>
                <w:sz w:val="22"/>
              </w:rPr>
              <w:t xml:space="preserve">, </w:t>
            </w:r>
            <w:proofErr w:type="spellStart"/>
            <w:r w:rsidRPr="007E0AF4">
              <w:rPr>
                <w:sz w:val="22"/>
              </w:rPr>
              <w:t>пов’язаної</w:t>
            </w:r>
            <w:proofErr w:type="spellEnd"/>
            <w:r w:rsidRPr="007E0AF4">
              <w:rPr>
                <w:sz w:val="22"/>
              </w:rPr>
              <w:t xml:space="preserve"> з </w:t>
            </w:r>
            <w:proofErr w:type="spellStart"/>
            <w:r w:rsidRPr="007E0AF4">
              <w:rPr>
                <w:sz w:val="22"/>
              </w:rPr>
              <w:t>реалізацією</w:t>
            </w:r>
            <w:proofErr w:type="spellEnd"/>
            <w:r w:rsidRPr="007E0AF4">
              <w:rPr>
                <w:sz w:val="22"/>
              </w:rPr>
              <w:t xml:space="preserve"> </w:t>
            </w:r>
            <w:proofErr w:type="spellStart"/>
            <w:r w:rsidRPr="007E0AF4">
              <w:rPr>
                <w:sz w:val="22"/>
              </w:rPr>
              <w:t>даного</w:t>
            </w:r>
            <w:proofErr w:type="spellEnd"/>
            <w:r w:rsidRPr="007E0AF4">
              <w:rPr>
                <w:sz w:val="22"/>
              </w:rPr>
              <w:t xml:space="preserve"> </w:t>
            </w:r>
            <w:proofErr w:type="spellStart"/>
            <w:proofErr w:type="gramStart"/>
            <w:r w:rsidRPr="007E0AF4">
              <w:rPr>
                <w:sz w:val="22"/>
              </w:rPr>
              <w:t>проєкту</w:t>
            </w:r>
            <w:proofErr w:type="spellEnd"/>
            <w:r w:rsidRPr="007E0AF4">
              <w:rPr>
                <w:sz w:val="22"/>
              </w:rPr>
              <w:t xml:space="preserve"> ;</w:t>
            </w:r>
            <w:proofErr w:type="gramEnd"/>
          </w:p>
          <w:p w:rsidR="002E3647" w:rsidRPr="007E0AF4" w:rsidRDefault="002E3647" w:rsidP="000303D7">
            <w:pPr>
              <w:pStyle w:val="a7"/>
              <w:numPr>
                <w:ilvl w:val="0"/>
                <w:numId w:val="110"/>
              </w:numPr>
              <w:rPr>
                <w:sz w:val="22"/>
              </w:rPr>
            </w:pPr>
            <w:proofErr w:type="spellStart"/>
            <w:r w:rsidRPr="007E0AF4">
              <w:rPr>
                <w:sz w:val="22"/>
              </w:rPr>
              <w:t>Придбання</w:t>
            </w:r>
            <w:proofErr w:type="spellEnd"/>
            <w:r w:rsidRPr="007E0AF4">
              <w:rPr>
                <w:sz w:val="22"/>
              </w:rPr>
              <w:t xml:space="preserve"> </w:t>
            </w:r>
            <w:proofErr w:type="spellStart"/>
            <w:r w:rsidRPr="007E0AF4">
              <w:rPr>
                <w:sz w:val="22"/>
              </w:rPr>
              <w:t>необхідного</w:t>
            </w:r>
            <w:proofErr w:type="spellEnd"/>
            <w:r w:rsidRPr="007E0AF4">
              <w:rPr>
                <w:sz w:val="22"/>
              </w:rPr>
              <w:t xml:space="preserve"> </w:t>
            </w:r>
            <w:proofErr w:type="spellStart"/>
            <w:r w:rsidRPr="007E0AF4">
              <w:rPr>
                <w:sz w:val="22"/>
              </w:rPr>
              <w:t>обладнання</w:t>
            </w:r>
            <w:proofErr w:type="spellEnd"/>
            <w:r w:rsidRPr="007E0AF4">
              <w:rPr>
                <w:sz w:val="22"/>
              </w:rPr>
              <w:t xml:space="preserve">, </w:t>
            </w:r>
            <w:proofErr w:type="spellStart"/>
            <w:r w:rsidRPr="007E0AF4">
              <w:rPr>
                <w:sz w:val="22"/>
              </w:rPr>
              <w:t>будівельних</w:t>
            </w:r>
            <w:proofErr w:type="spellEnd"/>
            <w:r w:rsidRPr="007E0AF4">
              <w:rPr>
                <w:sz w:val="22"/>
              </w:rPr>
              <w:t xml:space="preserve"> </w:t>
            </w:r>
            <w:proofErr w:type="spellStart"/>
            <w:r w:rsidRPr="007E0AF4">
              <w:rPr>
                <w:sz w:val="22"/>
              </w:rPr>
              <w:t>матеріалів</w:t>
            </w:r>
            <w:proofErr w:type="spellEnd"/>
            <w:r w:rsidRPr="007E0AF4">
              <w:rPr>
                <w:sz w:val="22"/>
              </w:rPr>
              <w:t xml:space="preserve">, </w:t>
            </w:r>
            <w:proofErr w:type="spellStart"/>
            <w:r w:rsidRPr="007E0AF4">
              <w:rPr>
                <w:sz w:val="22"/>
              </w:rPr>
              <w:t>сантехнічних</w:t>
            </w:r>
            <w:proofErr w:type="spellEnd"/>
            <w:r w:rsidRPr="007E0AF4">
              <w:rPr>
                <w:sz w:val="22"/>
              </w:rPr>
              <w:t xml:space="preserve"> та </w:t>
            </w:r>
            <w:proofErr w:type="spellStart"/>
            <w:r w:rsidRPr="007E0AF4">
              <w:rPr>
                <w:sz w:val="22"/>
              </w:rPr>
              <w:t>інших</w:t>
            </w:r>
            <w:proofErr w:type="spellEnd"/>
            <w:r w:rsidRPr="007E0AF4">
              <w:rPr>
                <w:sz w:val="22"/>
              </w:rPr>
              <w:t xml:space="preserve"> </w:t>
            </w:r>
            <w:proofErr w:type="spellStart"/>
            <w:r w:rsidRPr="007E0AF4">
              <w:rPr>
                <w:sz w:val="22"/>
              </w:rPr>
              <w:t>засобів</w:t>
            </w:r>
            <w:proofErr w:type="spellEnd"/>
            <w:r w:rsidRPr="007E0AF4">
              <w:rPr>
                <w:sz w:val="22"/>
              </w:rPr>
              <w:t>;</w:t>
            </w:r>
          </w:p>
          <w:p w:rsidR="002E3647" w:rsidRPr="007E0AF4" w:rsidRDefault="002E3647" w:rsidP="000303D7">
            <w:pPr>
              <w:pStyle w:val="a7"/>
              <w:numPr>
                <w:ilvl w:val="0"/>
                <w:numId w:val="110"/>
              </w:numPr>
              <w:rPr>
                <w:sz w:val="22"/>
              </w:rPr>
            </w:pPr>
            <w:proofErr w:type="spellStart"/>
            <w:r w:rsidRPr="007E0AF4">
              <w:rPr>
                <w:sz w:val="22"/>
              </w:rPr>
              <w:t>Виконання</w:t>
            </w:r>
            <w:proofErr w:type="spellEnd"/>
            <w:r w:rsidRPr="007E0AF4">
              <w:rPr>
                <w:sz w:val="22"/>
              </w:rPr>
              <w:t xml:space="preserve"> </w:t>
            </w:r>
            <w:proofErr w:type="spellStart"/>
            <w:r w:rsidRPr="007E0AF4">
              <w:rPr>
                <w:sz w:val="22"/>
              </w:rPr>
              <w:t>будівельних</w:t>
            </w:r>
            <w:proofErr w:type="spellEnd"/>
            <w:r w:rsidRPr="007E0AF4">
              <w:rPr>
                <w:sz w:val="22"/>
              </w:rPr>
              <w:t xml:space="preserve"> </w:t>
            </w:r>
            <w:proofErr w:type="spellStart"/>
            <w:r w:rsidRPr="007E0AF4">
              <w:rPr>
                <w:sz w:val="22"/>
              </w:rPr>
              <w:t>робіт</w:t>
            </w:r>
            <w:proofErr w:type="spellEnd"/>
            <w:r w:rsidRPr="007E0AF4">
              <w:rPr>
                <w:sz w:val="22"/>
              </w:rPr>
              <w:t>;</w:t>
            </w:r>
          </w:p>
          <w:p w:rsidR="002E3647" w:rsidRPr="007E0AF4" w:rsidRDefault="002E3647" w:rsidP="000303D7">
            <w:pPr>
              <w:pStyle w:val="a7"/>
              <w:numPr>
                <w:ilvl w:val="0"/>
                <w:numId w:val="110"/>
              </w:numPr>
              <w:rPr>
                <w:sz w:val="22"/>
              </w:rPr>
            </w:pPr>
            <w:r w:rsidRPr="007E0AF4">
              <w:rPr>
                <w:sz w:val="22"/>
              </w:rPr>
              <w:t xml:space="preserve">Заходи з </w:t>
            </w:r>
            <w:proofErr w:type="spellStart"/>
            <w:r w:rsidRPr="007E0AF4">
              <w:rPr>
                <w:sz w:val="22"/>
              </w:rPr>
              <w:t>надання</w:t>
            </w:r>
            <w:proofErr w:type="spellEnd"/>
            <w:r w:rsidRPr="007E0AF4">
              <w:rPr>
                <w:sz w:val="22"/>
              </w:rPr>
              <w:t xml:space="preserve"> </w:t>
            </w:r>
            <w:proofErr w:type="spellStart"/>
            <w:r w:rsidRPr="007E0AF4">
              <w:rPr>
                <w:sz w:val="22"/>
              </w:rPr>
              <w:t>допусків</w:t>
            </w:r>
            <w:proofErr w:type="spellEnd"/>
            <w:r w:rsidRPr="007E0AF4">
              <w:rPr>
                <w:sz w:val="22"/>
              </w:rPr>
              <w:t xml:space="preserve"> до початку </w:t>
            </w:r>
            <w:proofErr w:type="spellStart"/>
            <w:r w:rsidRPr="007E0AF4">
              <w:rPr>
                <w:sz w:val="22"/>
              </w:rPr>
              <w:t>експлуатації</w:t>
            </w:r>
            <w:proofErr w:type="spellEnd"/>
            <w:r w:rsidRPr="007E0AF4">
              <w:rPr>
                <w:sz w:val="22"/>
              </w:rPr>
              <w:t xml:space="preserve"> </w:t>
            </w:r>
            <w:proofErr w:type="spellStart"/>
            <w:proofErr w:type="gramStart"/>
            <w:r w:rsidRPr="007E0AF4">
              <w:rPr>
                <w:sz w:val="22"/>
              </w:rPr>
              <w:t>об’єкту</w:t>
            </w:r>
            <w:proofErr w:type="spellEnd"/>
            <w:r w:rsidRPr="007E0AF4">
              <w:rPr>
                <w:sz w:val="22"/>
              </w:rPr>
              <w:t xml:space="preserve">  </w:t>
            </w:r>
            <w:proofErr w:type="spellStart"/>
            <w:r w:rsidRPr="007E0AF4">
              <w:rPr>
                <w:sz w:val="22"/>
              </w:rPr>
              <w:t>відповідними</w:t>
            </w:r>
            <w:proofErr w:type="spellEnd"/>
            <w:proofErr w:type="gramEnd"/>
            <w:r w:rsidRPr="007E0AF4">
              <w:rPr>
                <w:sz w:val="22"/>
              </w:rPr>
              <w:t xml:space="preserve"> органами та </w:t>
            </w:r>
            <w:proofErr w:type="spellStart"/>
            <w:r w:rsidRPr="007E0AF4">
              <w:rPr>
                <w:sz w:val="22"/>
              </w:rPr>
              <w:t>організаціями</w:t>
            </w:r>
            <w:proofErr w:type="spellEnd"/>
            <w:r w:rsidRPr="007E0AF4">
              <w:rPr>
                <w:sz w:val="22"/>
              </w:rPr>
              <w:t xml:space="preserve">; </w:t>
            </w:r>
          </w:p>
          <w:p w:rsidR="002E3647" w:rsidRPr="007E0AF4" w:rsidRDefault="002E3647" w:rsidP="000303D7">
            <w:pPr>
              <w:pStyle w:val="a7"/>
              <w:numPr>
                <w:ilvl w:val="0"/>
                <w:numId w:val="110"/>
              </w:numPr>
              <w:rPr>
                <w:sz w:val="22"/>
              </w:rPr>
            </w:pPr>
            <w:proofErr w:type="spellStart"/>
            <w:r w:rsidRPr="007E0AF4">
              <w:rPr>
                <w:sz w:val="22"/>
              </w:rPr>
              <w:t>Організація</w:t>
            </w:r>
            <w:proofErr w:type="spellEnd"/>
            <w:r w:rsidRPr="007E0AF4">
              <w:rPr>
                <w:sz w:val="22"/>
              </w:rPr>
              <w:t xml:space="preserve"> та </w:t>
            </w:r>
            <w:proofErr w:type="gramStart"/>
            <w:r w:rsidRPr="007E0AF4">
              <w:rPr>
                <w:sz w:val="22"/>
              </w:rPr>
              <w:t xml:space="preserve">початок  </w:t>
            </w:r>
            <w:proofErr w:type="spellStart"/>
            <w:r w:rsidRPr="007E0AF4">
              <w:rPr>
                <w:sz w:val="22"/>
              </w:rPr>
              <w:t>освітнього</w:t>
            </w:r>
            <w:proofErr w:type="spellEnd"/>
            <w:proofErr w:type="gramEnd"/>
            <w:r w:rsidRPr="007E0AF4">
              <w:rPr>
                <w:sz w:val="22"/>
              </w:rPr>
              <w:t xml:space="preserve"> </w:t>
            </w:r>
            <w:proofErr w:type="spellStart"/>
            <w:r w:rsidRPr="007E0AF4">
              <w:rPr>
                <w:sz w:val="22"/>
              </w:rPr>
              <w:t>процесу</w:t>
            </w:r>
            <w:proofErr w:type="spellEnd"/>
            <w:r w:rsidRPr="007E0AF4">
              <w:rPr>
                <w:sz w:val="22"/>
              </w:rPr>
              <w:t>.</w:t>
            </w:r>
          </w:p>
        </w:tc>
      </w:tr>
      <w:tr w:rsidR="002E3647" w:rsidRPr="007E0AF4" w:rsidTr="002E3647">
        <w:trPr>
          <w:trHeight w:val="360"/>
        </w:trPr>
        <w:tc>
          <w:tcPr>
            <w:tcW w:w="2978" w:type="dxa"/>
            <w:vMerge w:val="restart"/>
            <w:shd w:val="clear" w:color="auto" w:fill="C6D9F1" w:themeFill="text2" w:themeFillTint="33"/>
          </w:tcPr>
          <w:p w:rsidR="002E3647" w:rsidRPr="007E0AF4" w:rsidRDefault="002E3647" w:rsidP="001E6C97">
            <w:pPr>
              <w:pStyle w:val="a7"/>
              <w:ind w:left="0"/>
              <w:rPr>
                <w:b/>
                <w:sz w:val="22"/>
              </w:rPr>
            </w:pPr>
            <w:proofErr w:type="spellStart"/>
            <w:r w:rsidRPr="007E0AF4">
              <w:rPr>
                <w:b/>
                <w:sz w:val="22"/>
              </w:rPr>
              <w:t>Орієнтовний</w:t>
            </w:r>
            <w:proofErr w:type="spellEnd"/>
            <w:r w:rsidRPr="007E0AF4">
              <w:rPr>
                <w:b/>
                <w:sz w:val="22"/>
              </w:rPr>
              <w:t xml:space="preserve"> </w:t>
            </w:r>
            <w:proofErr w:type="spellStart"/>
            <w:r w:rsidRPr="007E0AF4">
              <w:rPr>
                <w:b/>
                <w:sz w:val="22"/>
              </w:rPr>
              <w:t>обсяг</w:t>
            </w:r>
            <w:proofErr w:type="spellEnd"/>
            <w:r w:rsidRPr="007E0AF4">
              <w:rPr>
                <w:b/>
                <w:sz w:val="22"/>
              </w:rPr>
              <w:t xml:space="preserve"> та </w:t>
            </w:r>
            <w:proofErr w:type="spellStart"/>
            <w:r w:rsidRPr="007E0AF4">
              <w:rPr>
                <w:b/>
                <w:sz w:val="22"/>
              </w:rPr>
              <w:t>джерела</w:t>
            </w:r>
            <w:proofErr w:type="spellEnd"/>
            <w:r w:rsidRPr="007E0AF4">
              <w:rPr>
                <w:b/>
                <w:sz w:val="22"/>
              </w:rPr>
              <w:t xml:space="preserve"> </w:t>
            </w:r>
            <w:proofErr w:type="spellStart"/>
            <w:r w:rsidRPr="007E0AF4">
              <w:rPr>
                <w:b/>
                <w:sz w:val="22"/>
              </w:rPr>
              <w:t>фінансування</w:t>
            </w:r>
            <w:proofErr w:type="spellEnd"/>
            <w:r w:rsidRPr="007E0AF4">
              <w:rPr>
                <w:b/>
                <w:sz w:val="22"/>
              </w:rPr>
              <w:t xml:space="preserve">, тис. грн. </w:t>
            </w:r>
          </w:p>
          <w:p w:rsidR="002E3647" w:rsidRPr="007E0AF4" w:rsidRDefault="002E3647" w:rsidP="001E6C97">
            <w:pPr>
              <w:pStyle w:val="a7"/>
              <w:ind w:left="0"/>
              <w:rPr>
                <w:b/>
                <w:sz w:val="22"/>
              </w:rPr>
            </w:pPr>
          </w:p>
        </w:tc>
        <w:tc>
          <w:tcPr>
            <w:tcW w:w="1770" w:type="dxa"/>
            <w:tcBorders>
              <w:bottom w:val="single" w:sz="4" w:space="0" w:color="auto"/>
              <w:right w:val="single" w:sz="4" w:space="0" w:color="auto"/>
            </w:tcBorders>
          </w:tcPr>
          <w:p w:rsidR="002E3647" w:rsidRPr="007E0AF4" w:rsidRDefault="002E3647" w:rsidP="001E6C97">
            <w:pPr>
              <w:pStyle w:val="a7"/>
              <w:ind w:left="0"/>
              <w:jc w:val="center"/>
              <w:rPr>
                <w:b/>
                <w:sz w:val="22"/>
              </w:rPr>
            </w:pPr>
            <w:proofErr w:type="spellStart"/>
            <w:r w:rsidRPr="007E0AF4">
              <w:rPr>
                <w:b/>
                <w:sz w:val="22"/>
              </w:rPr>
              <w:t>Державний</w:t>
            </w:r>
            <w:proofErr w:type="spellEnd"/>
            <w:r w:rsidRPr="007E0AF4">
              <w:rPr>
                <w:b/>
                <w:sz w:val="22"/>
              </w:rPr>
              <w:t xml:space="preserve"> бюджет</w:t>
            </w:r>
          </w:p>
        </w:tc>
        <w:tc>
          <w:tcPr>
            <w:tcW w:w="1289" w:type="dxa"/>
            <w:tcBorders>
              <w:bottom w:val="single" w:sz="4" w:space="0" w:color="auto"/>
              <w:right w:val="single" w:sz="4" w:space="0" w:color="auto"/>
            </w:tcBorders>
          </w:tcPr>
          <w:p w:rsidR="002E3647" w:rsidRPr="007E0AF4" w:rsidRDefault="002E3647" w:rsidP="001E6C97">
            <w:pPr>
              <w:pStyle w:val="a7"/>
              <w:ind w:left="0"/>
              <w:jc w:val="center"/>
              <w:rPr>
                <w:b/>
                <w:sz w:val="22"/>
              </w:rPr>
            </w:pPr>
            <w:proofErr w:type="spellStart"/>
            <w:r w:rsidRPr="007E0AF4">
              <w:rPr>
                <w:b/>
                <w:sz w:val="22"/>
              </w:rPr>
              <w:t>Місцевий</w:t>
            </w:r>
            <w:proofErr w:type="spellEnd"/>
            <w:r w:rsidRPr="007E0AF4">
              <w:rPr>
                <w:b/>
                <w:sz w:val="22"/>
              </w:rPr>
              <w:t xml:space="preserve"> бюджет</w:t>
            </w:r>
          </w:p>
        </w:tc>
        <w:tc>
          <w:tcPr>
            <w:tcW w:w="2592" w:type="dxa"/>
            <w:gridSpan w:val="4"/>
            <w:tcBorders>
              <w:left w:val="single" w:sz="4" w:space="0" w:color="auto"/>
              <w:bottom w:val="single" w:sz="4" w:space="0" w:color="auto"/>
              <w:right w:val="single" w:sz="4" w:space="0" w:color="auto"/>
            </w:tcBorders>
          </w:tcPr>
          <w:p w:rsidR="002E3647" w:rsidRPr="007E0AF4" w:rsidRDefault="002E3647" w:rsidP="001E6C97">
            <w:pPr>
              <w:pStyle w:val="a7"/>
              <w:ind w:left="0"/>
              <w:jc w:val="center"/>
              <w:rPr>
                <w:b/>
                <w:sz w:val="22"/>
              </w:rPr>
            </w:pPr>
            <w:proofErr w:type="spellStart"/>
            <w:r w:rsidRPr="007E0AF4">
              <w:rPr>
                <w:b/>
                <w:sz w:val="22"/>
              </w:rPr>
              <w:t>Інші</w:t>
            </w:r>
            <w:proofErr w:type="spellEnd"/>
            <w:r w:rsidRPr="007E0AF4">
              <w:rPr>
                <w:b/>
                <w:sz w:val="22"/>
              </w:rPr>
              <w:t xml:space="preserve"> </w:t>
            </w:r>
            <w:proofErr w:type="spellStart"/>
            <w:r w:rsidRPr="007E0AF4">
              <w:rPr>
                <w:b/>
                <w:sz w:val="22"/>
              </w:rPr>
              <w:t>джерела</w:t>
            </w:r>
            <w:proofErr w:type="spellEnd"/>
          </w:p>
        </w:tc>
        <w:tc>
          <w:tcPr>
            <w:tcW w:w="1259" w:type="dxa"/>
            <w:tcBorders>
              <w:left w:val="single" w:sz="4" w:space="0" w:color="auto"/>
              <w:bottom w:val="single" w:sz="4" w:space="0" w:color="auto"/>
            </w:tcBorders>
          </w:tcPr>
          <w:p w:rsidR="002E3647" w:rsidRPr="007E0AF4" w:rsidRDefault="002E3647" w:rsidP="001E6C97">
            <w:pPr>
              <w:pStyle w:val="a7"/>
              <w:ind w:left="0"/>
              <w:jc w:val="center"/>
              <w:rPr>
                <w:b/>
                <w:sz w:val="22"/>
              </w:rPr>
            </w:pPr>
            <w:proofErr w:type="spellStart"/>
            <w:r w:rsidRPr="007E0AF4">
              <w:rPr>
                <w:b/>
                <w:sz w:val="22"/>
              </w:rPr>
              <w:t>Всього</w:t>
            </w:r>
            <w:proofErr w:type="spellEnd"/>
          </w:p>
        </w:tc>
      </w:tr>
      <w:tr w:rsidR="002E3647" w:rsidRPr="007E0AF4" w:rsidTr="002E3647">
        <w:trPr>
          <w:trHeight w:val="225"/>
        </w:trPr>
        <w:tc>
          <w:tcPr>
            <w:tcW w:w="2978" w:type="dxa"/>
            <w:vMerge/>
            <w:shd w:val="clear" w:color="auto" w:fill="C6D9F1" w:themeFill="text2" w:themeFillTint="33"/>
          </w:tcPr>
          <w:p w:rsidR="002E3647" w:rsidRPr="007E0AF4" w:rsidRDefault="002E3647" w:rsidP="001E6C97">
            <w:pPr>
              <w:pStyle w:val="a7"/>
              <w:ind w:left="0"/>
              <w:rPr>
                <w:b/>
                <w:sz w:val="22"/>
              </w:rPr>
            </w:pPr>
          </w:p>
        </w:tc>
        <w:tc>
          <w:tcPr>
            <w:tcW w:w="1770" w:type="dxa"/>
            <w:vMerge w:val="restart"/>
            <w:tcBorders>
              <w:top w:val="single" w:sz="4" w:space="0" w:color="auto"/>
              <w:right w:val="single" w:sz="4" w:space="0" w:color="auto"/>
            </w:tcBorders>
          </w:tcPr>
          <w:p w:rsidR="002E3647" w:rsidRPr="007E0AF4" w:rsidRDefault="002E3647" w:rsidP="001E6C97">
            <w:pPr>
              <w:pStyle w:val="a7"/>
              <w:ind w:left="0"/>
              <w:jc w:val="center"/>
              <w:rPr>
                <w:sz w:val="22"/>
              </w:rPr>
            </w:pPr>
            <w:r w:rsidRPr="007E0AF4">
              <w:rPr>
                <w:sz w:val="22"/>
              </w:rPr>
              <w:t>3850,0</w:t>
            </w:r>
          </w:p>
        </w:tc>
        <w:tc>
          <w:tcPr>
            <w:tcW w:w="1289" w:type="dxa"/>
            <w:vMerge w:val="restart"/>
            <w:tcBorders>
              <w:top w:val="single" w:sz="4" w:space="0" w:color="auto"/>
              <w:right w:val="single" w:sz="4" w:space="0" w:color="auto"/>
            </w:tcBorders>
          </w:tcPr>
          <w:p w:rsidR="002E3647" w:rsidRPr="007E0AF4" w:rsidRDefault="002E3647" w:rsidP="001E6C97">
            <w:pPr>
              <w:pStyle w:val="a7"/>
              <w:ind w:left="0"/>
              <w:jc w:val="center"/>
              <w:rPr>
                <w:b/>
                <w:sz w:val="22"/>
              </w:rPr>
            </w:pPr>
            <w:r w:rsidRPr="007E0AF4">
              <w:rPr>
                <w:b/>
                <w:sz w:val="22"/>
              </w:rPr>
              <w:t>-</w:t>
            </w:r>
          </w:p>
        </w:tc>
        <w:tc>
          <w:tcPr>
            <w:tcW w:w="1131" w:type="dxa"/>
            <w:gridSpan w:val="2"/>
            <w:tcBorders>
              <w:top w:val="single" w:sz="4" w:space="0" w:color="auto"/>
              <w:left w:val="single" w:sz="4" w:space="0" w:color="auto"/>
              <w:bottom w:val="single" w:sz="4" w:space="0" w:color="auto"/>
              <w:right w:val="single" w:sz="4" w:space="0" w:color="auto"/>
            </w:tcBorders>
          </w:tcPr>
          <w:p w:rsidR="002E3647" w:rsidRPr="007E0AF4" w:rsidRDefault="002E3647" w:rsidP="001E6C97">
            <w:pPr>
              <w:pStyle w:val="a7"/>
              <w:ind w:left="0"/>
              <w:jc w:val="center"/>
              <w:rPr>
                <w:b/>
                <w:sz w:val="22"/>
              </w:rPr>
            </w:pPr>
            <w:proofErr w:type="spellStart"/>
            <w:r w:rsidRPr="007E0AF4">
              <w:rPr>
                <w:b/>
                <w:sz w:val="22"/>
              </w:rPr>
              <w:t>Обсяг</w:t>
            </w:r>
            <w:proofErr w:type="spellEnd"/>
          </w:p>
        </w:tc>
        <w:tc>
          <w:tcPr>
            <w:tcW w:w="1461" w:type="dxa"/>
            <w:gridSpan w:val="2"/>
            <w:tcBorders>
              <w:top w:val="single" w:sz="4" w:space="0" w:color="auto"/>
              <w:left w:val="single" w:sz="4" w:space="0" w:color="auto"/>
              <w:bottom w:val="single" w:sz="4" w:space="0" w:color="auto"/>
              <w:right w:val="single" w:sz="4" w:space="0" w:color="auto"/>
            </w:tcBorders>
          </w:tcPr>
          <w:p w:rsidR="002E3647" w:rsidRPr="007E0AF4" w:rsidRDefault="002E3647" w:rsidP="001E6C97">
            <w:pPr>
              <w:pStyle w:val="a7"/>
              <w:ind w:left="0"/>
              <w:jc w:val="center"/>
              <w:rPr>
                <w:b/>
                <w:sz w:val="22"/>
              </w:rPr>
            </w:pPr>
            <w:proofErr w:type="spellStart"/>
            <w:r w:rsidRPr="007E0AF4">
              <w:rPr>
                <w:b/>
                <w:sz w:val="22"/>
              </w:rPr>
              <w:t>Назва</w:t>
            </w:r>
            <w:proofErr w:type="spellEnd"/>
            <w:r w:rsidRPr="007E0AF4">
              <w:rPr>
                <w:b/>
                <w:sz w:val="22"/>
              </w:rPr>
              <w:t xml:space="preserve"> </w:t>
            </w:r>
            <w:proofErr w:type="spellStart"/>
            <w:r w:rsidRPr="007E0AF4">
              <w:rPr>
                <w:b/>
                <w:sz w:val="22"/>
              </w:rPr>
              <w:t>джерела</w:t>
            </w:r>
            <w:proofErr w:type="spellEnd"/>
          </w:p>
        </w:tc>
        <w:tc>
          <w:tcPr>
            <w:tcW w:w="1259" w:type="dxa"/>
            <w:vMerge w:val="restart"/>
            <w:tcBorders>
              <w:top w:val="single" w:sz="4" w:space="0" w:color="auto"/>
              <w:left w:val="single" w:sz="4" w:space="0" w:color="auto"/>
            </w:tcBorders>
          </w:tcPr>
          <w:p w:rsidR="002E3647" w:rsidRPr="007E0AF4" w:rsidRDefault="002E3647" w:rsidP="001E6C97">
            <w:pPr>
              <w:pStyle w:val="a7"/>
              <w:ind w:left="0"/>
              <w:jc w:val="center"/>
              <w:rPr>
                <w:sz w:val="22"/>
              </w:rPr>
            </w:pPr>
            <w:r w:rsidRPr="007E0AF4">
              <w:rPr>
                <w:sz w:val="22"/>
              </w:rPr>
              <w:t>5 500,00</w:t>
            </w:r>
          </w:p>
          <w:p w:rsidR="002E3647" w:rsidRPr="007E0AF4" w:rsidRDefault="002E3647" w:rsidP="001E6C97">
            <w:pPr>
              <w:pStyle w:val="a7"/>
              <w:ind w:left="0"/>
              <w:jc w:val="center"/>
              <w:rPr>
                <w:sz w:val="22"/>
              </w:rPr>
            </w:pPr>
          </w:p>
        </w:tc>
      </w:tr>
      <w:tr w:rsidR="002E3647" w:rsidRPr="007E0AF4" w:rsidTr="002E3647">
        <w:trPr>
          <w:trHeight w:val="300"/>
        </w:trPr>
        <w:tc>
          <w:tcPr>
            <w:tcW w:w="2978" w:type="dxa"/>
            <w:vMerge/>
            <w:shd w:val="clear" w:color="auto" w:fill="C6D9F1" w:themeFill="text2" w:themeFillTint="33"/>
          </w:tcPr>
          <w:p w:rsidR="002E3647" w:rsidRPr="007E0AF4" w:rsidRDefault="002E3647" w:rsidP="001E6C97">
            <w:pPr>
              <w:pStyle w:val="a7"/>
              <w:ind w:left="0"/>
              <w:rPr>
                <w:b/>
                <w:sz w:val="22"/>
              </w:rPr>
            </w:pPr>
          </w:p>
        </w:tc>
        <w:tc>
          <w:tcPr>
            <w:tcW w:w="1770" w:type="dxa"/>
            <w:vMerge/>
            <w:tcBorders>
              <w:right w:val="single" w:sz="4" w:space="0" w:color="auto"/>
            </w:tcBorders>
          </w:tcPr>
          <w:p w:rsidR="002E3647" w:rsidRPr="007E0AF4" w:rsidRDefault="002E3647" w:rsidP="001E6C97">
            <w:pPr>
              <w:pStyle w:val="a7"/>
              <w:ind w:left="0"/>
              <w:jc w:val="center"/>
              <w:rPr>
                <w:sz w:val="22"/>
              </w:rPr>
            </w:pPr>
          </w:p>
        </w:tc>
        <w:tc>
          <w:tcPr>
            <w:tcW w:w="1289" w:type="dxa"/>
            <w:vMerge/>
            <w:tcBorders>
              <w:right w:val="single" w:sz="4" w:space="0" w:color="auto"/>
            </w:tcBorders>
          </w:tcPr>
          <w:p w:rsidR="002E3647" w:rsidRPr="007E0AF4" w:rsidRDefault="002E3647" w:rsidP="001E6C97">
            <w:pPr>
              <w:pStyle w:val="a7"/>
              <w:ind w:left="0"/>
              <w:jc w:val="center"/>
              <w:rPr>
                <w:b/>
                <w:sz w:val="22"/>
              </w:rPr>
            </w:pPr>
          </w:p>
        </w:tc>
        <w:tc>
          <w:tcPr>
            <w:tcW w:w="1131" w:type="dxa"/>
            <w:gridSpan w:val="2"/>
            <w:tcBorders>
              <w:top w:val="single" w:sz="4" w:space="0" w:color="auto"/>
              <w:left w:val="single" w:sz="4" w:space="0" w:color="auto"/>
              <w:right w:val="single" w:sz="4" w:space="0" w:color="auto"/>
            </w:tcBorders>
          </w:tcPr>
          <w:p w:rsidR="002E3647" w:rsidRPr="007E0AF4" w:rsidRDefault="002E3647" w:rsidP="001E6C97">
            <w:pPr>
              <w:pStyle w:val="a7"/>
              <w:ind w:left="0"/>
              <w:jc w:val="center"/>
              <w:rPr>
                <w:sz w:val="22"/>
              </w:rPr>
            </w:pPr>
            <w:r w:rsidRPr="007E0AF4">
              <w:rPr>
                <w:sz w:val="22"/>
              </w:rPr>
              <w:t>1650,0</w:t>
            </w:r>
          </w:p>
        </w:tc>
        <w:tc>
          <w:tcPr>
            <w:tcW w:w="1461" w:type="dxa"/>
            <w:gridSpan w:val="2"/>
            <w:tcBorders>
              <w:top w:val="single" w:sz="4" w:space="0" w:color="auto"/>
              <w:left w:val="single" w:sz="4" w:space="0" w:color="auto"/>
              <w:right w:val="single" w:sz="4" w:space="0" w:color="auto"/>
            </w:tcBorders>
          </w:tcPr>
          <w:p w:rsidR="002E3647" w:rsidRPr="007E0AF4" w:rsidRDefault="002E3647" w:rsidP="001E6C97">
            <w:pPr>
              <w:pStyle w:val="a7"/>
              <w:ind w:left="0"/>
              <w:jc w:val="center"/>
              <w:rPr>
                <w:sz w:val="22"/>
              </w:rPr>
            </w:pPr>
            <w:proofErr w:type="spellStart"/>
            <w:r w:rsidRPr="007E0AF4">
              <w:rPr>
                <w:sz w:val="22"/>
              </w:rPr>
              <w:t>Міжнародні</w:t>
            </w:r>
            <w:proofErr w:type="spellEnd"/>
            <w:r w:rsidRPr="007E0AF4">
              <w:rPr>
                <w:sz w:val="22"/>
              </w:rPr>
              <w:t xml:space="preserve"> </w:t>
            </w:r>
            <w:proofErr w:type="spellStart"/>
            <w:r w:rsidRPr="007E0AF4">
              <w:rPr>
                <w:sz w:val="22"/>
              </w:rPr>
              <w:t>інвестиції</w:t>
            </w:r>
            <w:proofErr w:type="spellEnd"/>
            <w:r w:rsidRPr="007E0AF4">
              <w:rPr>
                <w:sz w:val="22"/>
              </w:rPr>
              <w:t xml:space="preserve">, </w:t>
            </w:r>
            <w:proofErr w:type="spellStart"/>
            <w:r w:rsidRPr="007E0AF4">
              <w:rPr>
                <w:sz w:val="22"/>
              </w:rPr>
              <w:t>кошти</w:t>
            </w:r>
            <w:proofErr w:type="spellEnd"/>
            <w:r w:rsidRPr="007E0AF4">
              <w:rPr>
                <w:sz w:val="22"/>
              </w:rPr>
              <w:t xml:space="preserve"> </w:t>
            </w:r>
            <w:proofErr w:type="spellStart"/>
            <w:r w:rsidRPr="007E0AF4">
              <w:rPr>
                <w:sz w:val="22"/>
              </w:rPr>
              <w:t>приватних</w:t>
            </w:r>
            <w:proofErr w:type="spellEnd"/>
            <w:r w:rsidRPr="007E0AF4">
              <w:rPr>
                <w:sz w:val="22"/>
              </w:rPr>
              <w:t xml:space="preserve"> </w:t>
            </w:r>
            <w:proofErr w:type="spellStart"/>
            <w:r w:rsidRPr="007E0AF4">
              <w:rPr>
                <w:sz w:val="22"/>
              </w:rPr>
              <w:t>осіб</w:t>
            </w:r>
            <w:proofErr w:type="spellEnd"/>
          </w:p>
        </w:tc>
        <w:tc>
          <w:tcPr>
            <w:tcW w:w="1259" w:type="dxa"/>
            <w:vMerge/>
            <w:tcBorders>
              <w:left w:val="single" w:sz="4" w:space="0" w:color="auto"/>
            </w:tcBorders>
          </w:tcPr>
          <w:p w:rsidR="002E3647" w:rsidRPr="007E0AF4" w:rsidRDefault="002E3647" w:rsidP="001E6C97">
            <w:pPr>
              <w:pStyle w:val="a7"/>
              <w:ind w:left="0"/>
              <w:jc w:val="center"/>
              <w:rPr>
                <w:sz w:val="22"/>
              </w:rPr>
            </w:pPr>
          </w:p>
        </w:tc>
      </w:tr>
    </w:tbl>
    <w:p w:rsidR="002E3647" w:rsidRPr="007E0AF4" w:rsidRDefault="002E3647" w:rsidP="00E95FB1">
      <w:pPr>
        <w:rPr>
          <w:sz w:val="22"/>
        </w:rPr>
      </w:pPr>
    </w:p>
    <w:tbl>
      <w:tblPr>
        <w:tblStyle w:val="af"/>
        <w:tblW w:w="9923" w:type="dxa"/>
        <w:tblInd w:w="-176" w:type="dxa"/>
        <w:tblLayout w:type="fixed"/>
        <w:tblLook w:val="04A0" w:firstRow="1" w:lastRow="0" w:firstColumn="1" w:lastColumn="0" w:noHBand="0" w:noVBand="1"/>
      </w:tblPr>
      <w:tblGrid>
        <w:gridCol w:w="2978"/>
        <w:gridCol w:w="1559"/>
        <w:gridCol w:w="1276"/>
        <w:gridCol w:w="992"/>
        <w:gridCol w:w="1701"/>
        <w:gridCol w:w="142"/>
        <w:gridCol w:w="1275"/>
      </w:tblGrid>
      <w:tr w:rsidR="002E3647" w:rsidRPr="007E0AF4" w:rsidTr="002E3647">
        <w:tc>
          <w:tcPr>
            <w:tcW w:w="2978" w:type="dxa"/>
            <w:shd w:val="clear" w:color="auto" w:fill="C6D9F1" w:themeFill="text2" w:themeFillTint="33"/>
          </w:tcPr>
          <w:p w:rsidR="002E3647" w:rsidRPr="007E0AF4" w:rsidRDefault="002E3647" w:rsidP="001E6C97">
            <w:pPr>
              <w:pStyle w:val="a7"/>
              <w:ind w:left="0"/>
              <w:rPr>
                <w:b/>
                <w:sz w:val="22"/>
              </w:rPr>
            </w:pPr>
            <w:r w:rsidRPr="007E0AF4">
              <w:rPr>
                <w:b/>
                <w:sz w:val="22"/>
              </w:rPr>
              <w:t xml:space="preserve">Оперативна </w:t>
            </w:r>
            <w:proofErr w:type="spellStart"/>
            <w:r w:rsidRPr="007E0AF4">
              <w:rPr>
                <w:b/>
                <w:sz w:val="22"/>
              </w:rPr>
              <w:t>ціль</w:t>
            </w:r>
            <w:proofErr w:type="spellEnd"/>
            <w:r w:rsidRPr="007E0AF4">
              <w:rPr>
                <w:b/>
                <w:sz w:val="22"/>
              </w:rPr>
              <w:t>/</w:t>
            </w:r>
            <w:proofErr w:type="spellStart"/>
            <w:r w:rsidRPr="007E0AF4">
              <w:rPr>
                <w:b/>
                <w:sz w:val="22"/>
              </w:rPr>
              <w:t>завдання</w:t>
            </w:r>
            <w:proofErr w:type="spellEnd"/>
          </w:p>
        </w:tc>
        <w:tc>
          <w:tcPr>
            <w:tcW w:w="6945" w:type="dxa"/>
            <w:gridSpan w:val="6"/>
            <w:shd w:val="clear" w:color="auto" w:fill="auto"/>
          </w:tcPr>
          <w:p w:rsidR="002E3647" w:rsidRPr="007E0AF4" w:rsidRDefault="002E3647" w:rsidP="001E6C97">
            <w:pPr>
              <w:pStyle w:val="a7"/>
              <w:ind w:left="0"/>
              <w:rPr>
                <w:sz w:val="22"/>
                <w:lang w:val="uk-UA"/>
              </w:rPr>
            </w:pPr>
            <w:r w:rsidRPr="007E0AF4">
              <w:rPr>
                <w:rFonts w:eastAsia="Arial"/>
                <w:sz w:val="22"/>
                <w:lang w:val="uk-UA"/>
              </w:rPr>
              <w:t xml:space="preserve">Людський розвиток через інновації управління та довіру до влади. Формування сучасного інклюзивного  </w:t>
            </w:r>
            <w:proofErr w:type="spellStart"/>
            <w:r w:rsidRPr="007E0AF4">
              <w:rPr>
                <w:rFonts w:eastAsia="Arial"/>
                <w:sz w:val="22"/>
                <w:lang w:val="uk-UA"/>
              </w:rPr>
              <w:t>освітньо</w:t>
            </w:r>
            <w:proofErr w:type="spellEnd"/>
            <w:r w:rsidRPr="007E0AF4">
              <w:rPr>
                <w:rFonts w:eastAsia="Arial"/>
                <w:sz w:val="22"/>
                <w:lang w:val="uk-UA"/>
              </w:rPr>
              <w:t>-культурного та спортивного простору для розвитку.</w:t>
            </w:r>
          </w:p>
        </w:tc>
      </w:tr>
      <w:tr w:rsidR="002E3647" w:rsidRPr="007E0AF4" w:rsidTr="002E3647">
        <w:tc>
          <w:tcPr>
            <w:tcW w:w="2978" w:type="dxa"/>
            <w:shd w:val="clear" w:color="auto" w:fill="C6D9F1" w:themeFill="text2" w:themeFillTint="33"/>
          </w:tcPr>
          <w:p w:rsidR="002E3647" w:rsidRPr="007E0AF4" w:rsidRDefault="002E3647" w:rsidP="001E6C97">
            <w:pPr>
              <w:pStyle w:val="a7"/>
              <w:ind w:left="0"/>
              <w:rPr>
                <w:b/>
                <w:sz w:val="22"/>
              </w:rPr>
            </w:pPr>
            <w:proofErr w:type="spellStart"/>
            <w:r w:rsidRPr="007E0AF4">
              <w:rPr>
                <w:b/>
                <w:sz w:val="22"/>
              </w:rPr>
              <w:t>Назва</w:t>
            </w:r>
            <w:proofErr w:type="spellEnd"/>
            <w:r w:rsidRPr="007E0AF4">
              <w:rPr>
                <w:b/>
                <w:sz w:val="22"/>
              </w:rPr>
              <w:t xml:space="preserve"> проекту:</w:t>
            </w:r>
          </w:p>
        </w:tc>
        <w:tc>
          <w:tcPr>
            <w:tcW w:w="6945" w:type="dxa"/>
            <w:gridSpan w:val="6"/>
          </w:tcPr>
          <w:p w:rsidR="002E3647" w:rsidRPr="007E0AF4" w:rsidRDefault="002E3647" w:rsidP="001E6C97">
            <w:pPr>
              <w:pStyle w:val="a7"/>
              <w:ind w:left="0"/>
              <w:rPr>
                <w:sz w:val="22"/>
              </w:rPr>
            </w:pPr>
            <w:proofErr w:type="spellStart"/>
            <w:r w:rsidRPr="007E0AF4">
              <w:rPr>
                <w:sz w:val="22"/>
              </w:rPr>
              <w:t>Відновлення</w:t>
            </w:r>
            <w:proofErr w:type="spellEnd"/>
            <w:r w:rsidRPr="007E0AF4">
              <w:rPr>
                <w:sz w:val="22"/>
              </w:rPr>
              <w:t xml:space="preserve"> </w:t>
            </w:r>
            <w:proofErr w:type="spellStart"/>
            <w:r w:rsidRPr="007E0AF4">
              <w:rPr>
                <w:sz w:val="22"/>
              </w:rPr>
              <w:t>діяльності</w:t>
            </w:r>
            <w:proofErr w:type="spellEnd"/>
            <w:r w:rsidRPr="007E0AF4">
              <w:rPr>
                <w:sz w:val="22"/>
              </w:rPr>
              <w:t xml:space="preserve"> </w:t>
            </w:r>
            <w:proofErr w:type="spellStart"/>
            <w:r w:rsidRPr="007E0AF4">
              <w:rPr>
                <w:sz w:val="22"/>
              </w:rPr>
              <w:t>комунального</w:t>
            </w:r>
            <w:proofErr w:type="spellEnd"/>
            <w:r w:rsidRPr="007E0AF4">
              <w:rPr>
                <w:sz w:val="22"/>
              </w:rPr>
              <w:t xml:space="preserve"> закладу </w:t>
            </w:r>
            <w:proofErr w:type="spellStart"/>
            <w:r w:rsidRPr="007E0AF4">
              <w:rPr>
                <w:sz w:val="22"/>
              </w:rPr>
              <w:t>Гімназії</w:t>
            </w:r>
            <w:proofErr w:type="spellEnd"/>
            <w:r w:rsidRPr="007E0AF4">
              <w:rPr>
                <w:sz w:val="22"/>
              </w:rPr>
              <w:t xml:space="preserve"> «ГАРМОНІЯ» </w:t>
            </w:r>
            <w:proofErr w:type="spellStart"/>
            <w:r w:rsidRPr="007E0AF4">
              <w:rPr>
                <w:sz w:val="22"/>
              </w:rPr>
              <w:t>міста</w:t>
            </w:r>
            <w:proofErr w:type="spellEnd"/>
            <w:r w:rsidRPr="007E0AF4">
              <w:rPr>
                <w:sz w:val="22"/>
              </w:rPr>
              <w:t xml:space="preserve"> </w:t>
            </w:r>
            <w:proofErr w:type="spellStart"/>
            <w:r w:rsidRPr="007E0AF4">
              <w:rPr>
                <w:sz w:val="22"/>
              </w:rPr>
              <w:t>Сєвєродонецька</w:t>
            </w:r>
            <w:proofErr w:type="spellEnd"/>
            <w:r w:rsidRPr="007E0AF4">
              <w:rPr>
                <w:sz w:val="22"/>
              </w:rPr>
              <w:t xml:space="preserve"> </w:t>
            </w:r>
            <w:proofErr w:type="spellStart"/>
            <w:r w:rsidRPr="007E0AF4">
              <w:rPr>
                <w:sz w:val="22"/>
              </w:rPr>
              <w:t>Луганської</w:t>
            </w:r>
            <w:proofErr w:type="spellEnd"/>
            <w:r w:rsidRPr="007E0AF4">
              <w:rPr>
                <w:sz w:val="22"/>
              </w:rPr>
              <w:t xml:space="preserve"> </w:t>
            </w:r>
            <w:proofErr w:type="spellStart"/>
            <w:r w:rsidRPr="007E0AF4">
              <w:rPr>
                <w:sz w:val="22"/>
              </w:rPr>
              <w:t>області</w:t>
            </w:r>
            <w:proofErr w:type="spellEnd"/>
            <w:r w:rsidRPr="007E0AF4">
              <w:rPr>
                <w:sz w:val="22"/>
              </w:rPr>
              <w:t xml:space="preserve">, </w:t>
            </w:r>
            <w:proofErr w:type="spellStart"/>
            <w:r w:rsidRPr="007E0AF4">
              <w:rPr>
                <w:sz w:val="22"/>
              </w:rPr>
              <w:t>вулиця</w:t>
            </w:r>
            <w:proofErr w:type="spellEnd"/>
            <w:r w:rsidRPr="007E0AF4">
              <w:rPr>
                <w:sz w:val="22"/>
              </w:rPr>
              <w:t xml:space="preserve"> </w:t>
            </w:r>
            <w:proofErr w:type="spellStart"/>
            <w:r w:rsidRPr="007E0AF4">
              <w:rPr>
                <w:sz w:val="22"/>
              </w:rPr>
              <w:t>Юності</w:t>
            </w:r>
            <w:proofErr w:type="spellEnd"/>
            <w:r w:rsidRPr="007E0AF4">
              <w:rPr>
                <w:sz w:val="22"/>
              </w:rPr>
              <w:t xml:space="preserve">, </w:t>
            </w:r>
            <w:proofErr w:type="spellStart"/>
            <w:r w:rsidRPr="007E0AF4">
              <w:rPr>
                <w:sz w:val="22"/>
              </w:rPr>
              <w:t>будинок</w:t>
            </w:r>
            <w:proofErr w:type="spellEnd"/>
            <w:r w:rsidRPr="007E0AF4">
              <w:rPr>
                <w:sz w:val="22"/>
              </w:rPr>
              <w:t xml:space="preserve"> 1</w:t>
            </w:r>
          </w:p>
        </w:tc>
      </w:tr>
      <w:tr w:rsidR="002E3647" w:rsidRPr="007E0AF4" w:rsidTr="002E3647">
        <w:tc>
          <w:tcPr>
            <w:tcW w:w="2978" w:type="dxa"/>
            <w:shd w:val="clear" w:color="auto" w:fill="C6D9F1" w:themeFill="text2" w:themeFillTint="33"/>
          </w:tcPr>
          <w:p w:rsidR="002E3647" w:rsidRPr="007E0AF4" w:rsidRDefault="002E3647" w:rsidP="001E6C97">
            <w:pPr>
              <w:rPr>
                <w:b/>
                <w:sz w:val="22"/>
              </w:rPr>
            </w:pPr>
            <w:proofErr w:type="spellStart"/>
            <w:r w:rsidRPr="007E0AF4">
              <w:rPr>
                <w:b/>
                <w:sz w:val="22"/>
              </w:rPr>
              <w:t>Ціль</w:t>
            </w:r>
            <w:proofErr w:type="spellEnd"/>
            <w:r w:rsidRPr="007E0AF4">
              <w:rPr>
                <w:b/>
                <w:sz w:val="22"/>
              </w:rPr>
              <w:t xml:space="preserve"> проекту</w:t>
            </w:r>
          </w:p>
        </w:tc>
        <w:tc>
          <w:tcPr>
            <w:tcW w:w="6945" w:type="dxa"/>
            <w:gridSpan w:val="6"/>
          </w:tcPr>
          <w:p w:rsidR="002E3647" w:rsidRPr="007E0AF4" w:rsidRDefault="002E3647" w:rsidP="001E6C97">
            <w:pPr>
              <w:pStyle w:val="a7"/>
              <w:ind w:left="0"/>
              <w:rPr>
                <w:sz w:val="22"/>
              </w:rPr>
            </w:pPr>
            <w:proofErr w:type="spellStart"/>
            <w:r w:rsidRPr="007E0AF4">
              <w:rPr>
                <w:sz w:val="22"/>
              </w:rPr>
              <w:t>Відновити</w:t>
            </w:r>
            <w:proofErr w:type="spellEnd"/>
            <w:r w:rsidRPr="007E0AF4">
              <w:rPr>
                <w:sz w:val="22"/>
              </w:rPr>
              <w:t xml:space="preserve"> </w:t>
            </w:r>
            <w:proofErr w:type="spellStart"/>
            <w:r w:rsidRPr="007E0AF4">
              <w:rPr>
                <w:sz w:val="22"/>
              </w:rPr>
              <w:t>матеріально-технічну</w:t>
            </w:r>
            <w:proofErr w:type="spellEnd"/>
            <w:r w:rsidRPr="007E0AF4">
              <w:rPr>
                <w:sz w:val="22"/>
              </w:rPr>
              <w:t xml:space="preserve"> базу та </w:t>
            </w:r>
            <w:proofErr w:type="spellStart"/>
            <w:r w:rsidRPr="007E0AF4">
              <w:rPr>
                <w:sz w:val="22"/>
              </w:rPr>
              <w:t>покращити</w:t>
            </w:r>
            <w:proofErr w:type="spellEnd"/>
            <w:r w:rsidRPr="007E0AF4">
              <w:rPr>
                <w:sz w:val="22"/>
              </w:rPr>
              <w:t xml:space="preserve"> роботу </w:t>
            </w:r>
            <w:proofErr w:type="spellStart"/>
            <w:r w:rsidRPr="007E0AF4">
              <w:rPr>
                <w:sz w:val="22"/>
              </w:rPr>
              <w:t>комунального</w:t>
            </w:r>
            <w:proofErr w:type="spellEnd"/>
            <w:r w:rsidRPr="007E0AF4">
              <w:rPr>
                <w:sz w:val="22"/>
              </w:rPr>
              <w:t xml:space="preserve"> закладу </w:t>
            </w:r>
            <w:proofErr w:type="spellStart"/>
            <w:r w:rsidRPr="007E0AF4">
              <w:rPr>
                <w:sz w:val="22"/>
              </w:rPr>
              <w:t>Гімназії</w:t>
            </w:r>
            <w:proofErr w:type="spellEnd"/>
            <w:r w:rsidRPr="007E0AF4">
              <w:rPr>
                <w:sz w:val="22"/>
              </w:rPr>
              <w:t xml:space="preserve"> «ГАРМОНІЯ» </w:t>
            </w:r>
            <w:proofErr w:type="spellStart"/>
            <w:r w:rsidRPr="007E0AF4">
              <w:rPr>
                <w:sz w:val="22"/>
              </w:rPr>
              <w:t>міста</w:t>
            </w:r>
            <w:proofErr w:type="spellEnd"/>
            <w:r w:rsidRPr="007E0AF4">
              <w:rPr>
                <w:sz w:val="22"/>
              </w:rPr>
              <w:t xml:space="preserve"> </w:t>
            </w:r>
            <w:proofErr w:type="spellStart"/>
            <w:r w:rsidRPr="007E0AF4">
              <w:rPr>
                <w:sz w:val="22"/>
              </w:rPr>
              <w:t>Сєвєродонецька</w:t>
            </w:r>
            <w:proofErr w:type="spellEnd"/>
            <w:r w:rsidRPr="007E0AF4">
              <w:rPr>
                <w:sz w:val="22"/>
              </w:rPr>
              <w:t xml:space="preserve"> </w:t>
            </w:r>
            <w:proofErr w:type="spellStart"/>
            <w:r w:rsidRPr="007E0AF4">
              <w:rPr>
                <w:sz w:val="22"/>
              </w:rPr>
              <w:t>Луганської</w:t>
            </w:r>
            <w:proofErr w:type="spellEnd"/>
            <w:r w:rsidRPr="007E0AF4">
              <w:rPr>
                <w:sz w:val="22"/>
              </w:rPr>
              <w:t xml:space="preserve"> </w:t>
            </w:r>
            <w:proofErr w:type="spellStart"/>
            <w:r w:rsidRPr="007E0AF4">
              <w:rPr>
                <w:sz w:val="22"/>
              </w:rPr>
              <w:t>області</w:t>
            </w:r>
            <w:proofErr w:type="spellEnd"/>
            <w:r w:rsidRPr="007E0AF4">
              <w:rPr>
                <w:sz w:val="22"/>
              </w:rPr>
              <w:t xml:space="preserve"> для </w:t>
            </w:r>
            <w:proofErr w:type="spellStart"/>
            <w:r w:rsidRPr="007E0AF4">
              <w:rPr>
                <w:sz w:val="22"/>
              </w:rPr>
              <w:t>надання</w:t>
            </w:r>
            <w:proofErr w:type="spellEnd"/>
            <w:r w:rsidRPr="007E0AF4">
              <w:rPr>
                <w:sz w:val="22"/>
              </w:rPr>
              <w:t xml:space="preserve"> широкого спектру </w:t>
            </w:r>
            <w:proofErr w:type="spellStart"/>
            <w:r w:rsidRPr="007E0AF4">
              <w:rPr>
                <w:sz w:val="22"/>
              </w:rPr>
              <w:t>послуг</w:t>
            </w:r>
            <w:proofErr w:type="spellEnd"/>
            <w:r w:rsidRPr="007E0AF4">
              <w:rPr>
                <w:sz w:val="22"/>
              </w:rPr>
              <w:t xml:space="preserve">, </w:t>
            </w:r>
            <w:proofErr w:type="spellStart"/>
            <w:r w:rsidRPr="007E0AF4">
              <w:rPr>
                <w:sz w:val="22"/>
              </w:rPr>
              <w:t>пов’язаних</w:t>
            </w:r>
            <w:proofErr w:type="spellEnd"/>
            <w:r w:rsidRPr="007E0AF4">
              <w:rPr>
                <w:sz w:val="22"/>
              </w:rPr>
              <w:t xml:space="preserve"> </w:t>
            </w:r>
            <w:proofErr w:type="spellStart"/>
            <w:r w:rsidRPr="007E0AF4">
              <w:rPr>
                <w:sz w:val="22"/>
              </w:rPr>
              <w:t>із</w:t>
            </w:r>
            <w:proofErr w:type="spellEnd"/>
            <w:r w:rsidRPr="007E0AF4">
              <w:rPr>
                <w:sz w:val="22"/>
              </w:rPr>
              <w:t xml:space="preserve"> </w:t>
            </w:r>
            <w:proofErr w:type="spellStart"/>
            <w:r w:rsidRPr="007E0AF4">
              <w:rPr>
                <w:sz w:val="22"/>
              </w:rPr>
              <w:lastRenderedPageBreak/>
              <w:t>освітньою</w:t>
            </w:r>
            <w:proofErr w:type="spellEnd"/>
            <w:r w:rsidRPr="007E0AF4">
              <w:rPr>
                <w:sz w:val="22"/>
              </w:rPr>
              <w:t xml:space="preserve"> </w:t>
            </w:r>
            <w:proofErr w:type="spellStart"/>
            <w:r w:rsidRPr="007E0AF4">
              <w:rPr>
                <w:sz w:val="22"/>
              </w:rPr>
              <w:t>діяльністю</w:t>
            </w:r>
            <w:proofErr w:type="spellEnd"/>
            <w:r w:rsidRPr="007E0AF4">
              <w:rPr>
                <w:sz w:val="22"/>
              </w:rPr>
              <w:t xml:space="preserve"> та </w:t>
            </w:r>
            <w:proofErr w:type="spellStart"/>
            <w:r w:rsidRPr="007E0AF4">
              <w:rPr>
                <w:sz w:val="22"/>
              </w:rPr>
              <w:t>задоволенням</w:t>
            </w:r>
            <w:proofErr w:type="spellEnd"/>
            <w:r w:rsidRPr="007E0AF4">
              <w:rPr>
                <w:sz w:val="22"/>
              </w:rPr>
              <w:t xml:space="preserve"> </w:t>
            </w:r>
            <w:proofErr w:type="spellStart"/>
            <w:r w:rsidRPr="007E0AF4">
              <w:rPr>
                <w:sz w:val="22"/>
              </w:rPr>
              <w:t>освітніх</w:t>
            </w:r>
            <w:proofErr w:type="spellEnd"/>
            <w:r w:rsidRPr="007E0AF4">
              <w:rPr>
                <w:sz w:val="22"/>
              </w:rPr>
              <w:t xml:space="preserve"> потреб </w:t>
            </w:r>
            <w:proofErr w:type="spellStart"/>
            <w:r w:rsidRPr="007E0AF4">
              <w:rPr>
                <w:sz w:val="22"/>
              </w:rPr>
              <w:t>мешканців</w:t>
            </w:r>
            <w:proofErr w:type="spellEnd"/>
            <w:r w:rsidRPr="007E0AF4">
              <w:rPr>
                <w:sz w:val="22"/>
              </w:rPr>
              <w:t xml:space="preserve"> </w:t>
            </w:r>
            <w:proofErr w:type="spellStart"/>
            <w:r w:rsidRPr="007E0AF4">
              <w:rPr>
                <w:sz w:val="22"/>
              </w:rPr>
              <w:t>Сєвєродонецької</w:t>
            </w:r>
            <w:proofErr w:type="spellEnd"/>
            <w:r w:rsidRPr="007E0AF4">
              <w:rPr>
                <w:sz w:val="22"/>
              </w:rPr>
              <w:t xml:space="preserve"> </w:t>
            </w:r>
            <w:proofErr w:type="spellStart"/>
            <w:r w:rsidRPr="007E0AF4">
              <w:rPr>
                <w:sz w:val="22"/>
              </w:rPr>
              <w:t>міської</w:t>
            </w:r>
            <w:proofErr w:type="spellEnd"/>
            <w:r w:rsidRPr="007E0AF4">
              <w:rPr>
                <w:sz w:val="22"/>
              </w:rPr>
              <w:t xml:space="preserve"> </w:t>
            </w:r>
            <w:proofErr w:type="spellStart"/>
            <w:r w:rsidRPr="007E0AF4">
              <w:rPr>
                <w:sz w:val="22"/>
              </w:rPr>
              <w:t>територіальної</w:t>
            </w:r>
            <w:proofErr w:type="spellEnd"/>
            <w:r w:rsidRPr="007E0AF4">
              <w:rPr>
                <w:sz w:val="22"/>
              </w:rPr>
              <w:t xml:space="preserve"> </w:t>
            </w:r>
            <w:proofErr w:type="spellStart"/>
            <w:r w:rsidRPr="007E0AF4">
              <w:rPr>
                <w:sz w:val="22"/>
              </w:rPr>
              <w:t>громади</w:t>
            </w:r>
            <w:proofErr w:type="spellEnd"/>
            <w:r w:rsidRPr="007E0AF4">
              <w:rPr>
                <w:sz w:val="22"/>
              </w:rPr>
              <w:t xml:space="preserve">. </w:t>
            </w:r>
            <w:proofErr w:type="spellStart"/>
            <w:proofErr w:type="gramStart"/>
            <w:r w:rsidRPr="007E0AF4">
              <w:rPr>
                <w:sz w:val="22"/>
              </w:rPr>
              <w:t>Виконати</w:t>
            </w:r>
            <w:proofErr w:type="spellEnd"/>
            <w:r w:rsidRPr="007E0AF4">
              <w:rPr>
                <w:sz w:val="22"/>
              </w:rPr>
              <w:t xml:space="preserve">  </w:t>
            </w:r>
            <w:proofErr w:type="spellStart"/>
            <w:r w:rsidRPr="007E0AF4">
              <w:rPr>
                <w:sz w:val="22"/>
              </w:rPr>
              <w:t>закупівлю</w:t>
            </w:r>
            <w:proofErr w:type="spellEnd"/>
            <w:proofErr w:type="gramEnd"/>
            <w:r w:rsidRPr="007E0AF4">
              <w:rPr>
                <w:sz w:val="22"/>
              </w:rPr>
              <w:t xml:space="preserve">, установку та </w:t>
            </w:r>
            <w:proofErr w:type="spellStart"/>
            <w:r w:rsidRPr="007E0AF4">
              <w:rPr>
                <w:sz w:val="22"/>
              </w:rPr>
              <w:t>налаштування</w:t>
            </w:r>
            <w:proofErr w:type="spellEnd"/>
            <w:r w:rsidRPr="007E0AF4">
              <w:rPr>
                <w:sz w:val="22"/>
              </w:rPr>
              <w:t xml:space="preserve"> </w:t>
            </w:r>
            <w:proofErr w:type="spellStart"/>
            <w:r w:rsidRPr="007E0AF4">
              <w:rPr>
                <w:sz w:val="22"/>
              </w:rPr>
              <w:t>обладнання</w:t>
            </w:r>
            <w:proofErr w:type="spellEnd"/>
            <w:r w:rsidRPr="007E0AF4">
              <w:rPr>
                <w:sz w:val="22"/>
              </w:rPr>
              <w:t xml:space="preserve"> (</w:t>
            </w:r>
            <w:proofErr w:type="spellStart"/>
            <w:r w:rsidRPr="007E0AF4">
              <w:rPr>
                <w:sz w:val="22"/>
              </w:rPr>
              <w:t>устаткування</w:t>
            </w:r>
            <w:proofErr w:type="spellEnd"/>
            <w:r w:rsidRPr="007E0AF4">
              <w:rPr>
                <w:sz w:val="22"/>
              </w:rPr>
              <w:t xml:space="preserve">) для </w:t>
            </w:r>
            <w:proofErr w:type="spellStart"/>
            <w:r w:rsidRPr="007E0AF4">
              <w:rPr>
                <w:sz w:val="22"/>
              </w:rPr>
              <w:t>усіх</w:t>
            </w:r>
            <w:proofErr w:type="spellEnd"/>
            <w:r w:rsidRPr="007E0AF4">
              <w:rPr>
                <w:sz w:val="22"/>
              </w:rPr>
              <w:t xml:space="preserve"> сфер </w:t>
            </w:r>
            <w:proofErr w:type="spellStart"/>
            <w:r w:rsidRPr="007E0AF4">
              <w:rPr>
                <w:sz w:val="22"/>
              </w:rPr>
              <w:t>діяльності</w:t>
            </w:r>
            <w:proofErr w:type="spellEnd"/>
            <w:r w:rsidRPr="007E0AF4">
              <w:rPr>
                <w:sz w:val="22"/>
              </w:rPr>
              <w:t xml:space="preserve"> закладу, а </w:t>
            </w:r>
            <w:proofErr w:type="spellStart"/>
            <w:r w:rsidRPr="007E0AF4">
              <w:rPr>
                <w:sz w:val="22"/>
              </w:rPr>
              <w:t>саме</w:t>
            </w:r>
            <w:proofErr w:type="spellEnd"/>
            <w:r w:rsidRPr="007E0AF4">
              <w:rPr>
                <w:sz w:val="22"/>
              </w:rPr>
              <w:t>:</w:t>
            </w:r>
          </w:p>
          <w:p w:rsidR="002E3647" w:rsidRPr="007E0AF4" w:rsidRDefault="002E3647" w:rsidP="000303D7">
            <w:pPr>
              <w:pStyle w:val="a7"/>
              <w:numPr>
                <w:ilvl w:val="0"/>
                <w:numId w:val="111"/>
              </w:numPr>
              <w:ind w:left="0" w:firstLine="547"/>
              <w:rPr>
                <w:sz w:val="22"/>
              </w:rPr>
            </w:pPr>
            <w:proofErr w:type="spellStart"/>
            <w:r w:rsidRPr="007E0AF4">
              <w:rPr>
                <w:sz w:val="22"/>
              </w:rPr>
              <w:t>Навчальна</w:t>
            </w:r>
            <w:proofErr w:type="spellEnd"/>
            <w:r w:rsidRPr="007E0AF4">
              <w:rPr>
                <w:sz w:val="22"/>
              </w:rPr>
              <w:t xml:space="preserve"> </w:t>
            </w:r>
            <w:proofErr w:type="spellStart"/>
            <w:r w:rsidRPr="007E0AF4">
              <w:rPr>
                <w:sz w:val="22"/>
              </w:rPr>
              <w:t>діяльність</w:t>
            </w:r>
            <w:proofErr w:type="spellEnd"/>
            <w:r w:rsidRPr="007E0AF4">
              <w:rPr>
                <w:sz w:val="22"/>
              </w:rPr>
              <w:t xml:space="preserve"> (</w:t>
            </w:r>
            <w:proofErr w:type="spellStart"/>
            <w:r w:rsidRPr="007E0AF4">
              <w:rPr>
                <w:sz w:val="22"/>
              </w:rPr>
              <w:t>шкільні</w:t>
            </w:r>
            <w:proofErr w:type="spellEnd"/>
            <w:r w:rsidRPr="007E0AF4">
              <w:rPr>
                <w:sz w:val="22"/>
              </w:rPr>
              <w:t xml:space="preserve"> </w:t>
            </w:r>
            <w:proofErr w:type="spellStart"/>
            <w:r w:rsidRPr="007E0AF4">
              <w:rPr>
                <w:sz w:val="22"/>
              </w:rPr>
              <w:t>меблі</w:t>
            </w:r>
            <w:proofErr w:type="spellEnd"/>
            <w:r w:rsidRPr="007E0AF4">
              <w:rPr>
                <w:sz w:val="22"/>
              </w:rPr>
              <w:t xml:space="preserve">, </w:t>
            </w:r>
            <w:proofErr w:type="spellStart"/>
            <w:r w:rsidRPr="007E0AF4">
              <w:rPr>
                <w:sz w:val="22"/>
              </w:rPr>
              <w:t>дошки</w:t>
            </w:r>
            <w:proofErr w:type="spellEnd"/>
            <w:r w:rsidRPr="007E0AF4">
              <w:rPr>
                <w:sz w:val="22"/>
              </w:rPr>
              <w:t xml:space="preserve">, </w:t>
            </w:r>
            <w:proofErr w:type="spellStart"/>
            <w:r w:rsidRPr="007E0AF4">
              <w:rPr>
                <w:sz w:val="22"/>
              </w:rPr>
              <w:t>стенди</w:t>
            </w:r>
            <w:proofErr w:type="spellEnd"/>
            <w:r w:rsidRPr="007E0AF4">
              <w:rPr>
                <w:sz w:val="22"/>
              </w:rPr>
              <w:t xml:space="preserve">, </w:t>
            </w:r>
            <w:proofErr w:type="spellStart"/>
            <w:r w:rsidRPr="007E0AF4">
              <w:rPr>
                <w:sz w:val="22"/>
              </w:rPr>
              <w:t>навчальні</w:t>
            </w:r>
            <w:proofErr w:type="spellEnd"/>
            <w:r w:rsidRPr="007E0AF4">
              <w:rPr>
                <w:sz w:val="22"/>
              </w:rPr>
              <w:t xml:space="preserve"> </w:t>
            </w:r>
            <w:proofErr w:type="spellStart"/>
            <w:r w:rsidRPr="007E0AF4">
              <w:rPr>
                <w:sz w:val="22"/>
              </w:rPr>
              <w:t>матеріали</w:t>
            </w:r>
            <w:proofErr w:type="spellEnd"/>
            <w:r w:rsidRPr="007E0AF4">
              <w:rPr>
                <w:sz w:val="22"/>
              </w:rPr>
              <w:t xml:space="preserve">, </w:t>
            </w:r>
            <w:proofErr w:type="spellStart"/>
            <w:r w:rsidRPr="007E0AF4">
              <w:rPr>
                <w:sz w:val="22"/>
              </w:rPr>
              <w:t>роздатковий</w:t>
            </w:r>
            <w:proofErr w:type="spellEnd"/>
            <w:r w:rsidRPr="007E0AF4">
              <w:rPr>
                <w:sz w:val="22"/>
              </w:rPr>
              <w:t xml:space="preserve"> </w:t>
            </w:r>
            <w:proofErr w:type="spellStart"/>
            <w:r w:rsidRPr="007E0AF4">
              <w:rPr>
                <w:sz w:val="22"/>
              </w:rPr>
              <w:t>матеріал</w:t>
            </w:r>
            <w:proofErr w:type="spellEnd"/>
            <w:r w:rsidRPr="007E0AF4">
              <w:rPr>
                <w:sz w:val="22"/>
              </w:rPr>
              <w:t xml:space="preserve">, </w:t>
            </w:r>
            <w:proofErr w:type="spellStart"/>
            <w:r w:rsidRPr="007E0AF4">
              <w:rPr>
                <w:sz w:val="22"/>
              </w:rPr>
              <w:t>підручники</w:t>
            </w:r>
            <w:proofErr w:type="spellEnd"/>
            <w:r w:rsidRPr="007E0AF4">
              <w:rPr>
                <w:sz w:val="22"/>
              </w:rPr>
              <w:t xml:space="preserve">, </w:t>
            </w:r>
            <w:proofErr w:type="spellStart"/>
            <w:r w:rsidRPr="007E0AF4">
              <w:rPr>
                <w:sz w:val="22"/>
              </w:rPr>
              <w:t>навчально</w:t>
            </w:r>
            <w:proofErr w:type="spellEnd"/>
            <w:r w:rsidRPr="007E0AF4">
              <w:rPr>
                <w:sz w:val="22"/>
              </w:rPr>
              <w:t xml:space="preserve">-методична </w:t>
            </w:r>
            <w:proofErr w:type="spellStart"/>
            <w:r w:rsidRPr="007E0AF4">
              <w:rPr>
                <w:sz w:val="22"/>
              </w:rPr>
              <w:t>література</w:t>
            </w:r>
            <w:proofErr w:type="spellEnd"/>
            <w:r w:rsidRPr="007E0AF4">
              <w:rPr>
                <w:sz w:val="22"/>
              </w:rPr>
              <w:t xml:space="preserve">, </w:t>
            </w:r>
            <w:proofErr w:type="spellStart"/>
            <w:r w:rsidRPr="007E0AF4">
              <w:rPr>
                <w:sz w:val="22"/>
              </w:rPr>
              <w:t>обладнання</w:t>
            </w:r>
            <w:proofErr w:type="spellEnd"/>
            <w:r w:rsidRPr="007E0AF4">
              <w:rPr>
                <w:sz w:val="22"/>
              </w:rPr>
              <w:t xml:space="preserve"> </w:t>
            </w:r>
            <w:proofErr w:type="spellStart"/>
            <w:r w:rsidRPr="007E0AF4">
              <w:rPr>
                <w:sz w:val="22"/>
              </w:rPr>
              <w:t>спеціальних</w:t>
            </w:r>
            <w:proofErr w:type="spellEnd"/>
            <w:r w:rsidRPr="007E0AF4">
              <w:rPr>
                <w:sz w:val="22"/>
              </w:rPr>
              <w:t xml:space="preserve"> </w:t>
            </w:r>
            <w:proofErr w:type="spellStart"/>
            <w:r w:rsidRPr="007E0AF4">
              <w:rPr>
                <w:sz w:val="22"/>
              </w:rPr>
              <w:t>кабінетів</w:t>
            </w:r>
            <w:proofErr w:type="spellEnd"/>
            <w:r w:rsidRPr="007E0AF4">
              <w:rPr>
                <w:sz w:val="22"/>
              </w:rPr>
              <w:t xml:space="preserve"> </w:t>
            </w:r>
            <w:proofErr w:type="spellStart"/>
            <w:r w:rsidRPr="007E0AF4">
              <w:rPr>
                <w:sz w:val="22"/>
              </w:rPr>
              <w:t>тощо</w:t>
            </w:r>
            <w:proofErr w:type="spellEnd"/>
            <w:r w:rsidRPr="007E0AF4">
              <w:rPr>
                <w:sz w:val="22"/>
              </w:rPr>
              <w:t>)</w:t>
            </w:r>
            <w:r w:rsidR="00483484" w:rsidRPr="007E0AF4">
              <w:rPr>
                <w:sz w:val="22"/>
              </w:rPr>
              <w:t>.</w:t>
            </w:r>
          </w:p>
          <w:p w:rsidR="002E3647" w:rsidRPr="007E0AF4" w:rsidRDefault="002E3647" w:rsidP="000303D7">
            <w:pPr>
              <w:pStyle w:val="a7"/>
              <w:numPr>
                <w:ilvl w:val="0"/>
                <w:numId w:val="111"/>
              </w:numPr>
              <w:ind w:left="0" w:firstLine="547"/>
              <w:rPr>
                <w:sz w:val="22"/>
              </w:rPr>
            </w:pPr>
            <w:proofErr w:type="spellStart"/>
            <w:r w:rsidRPr="007E0AF4">
              <w:rPr>
                <w:sz w:val="22"/>
              </w:rPr>
              <w:t>Технічні</w:t>
            </w:r>
            <w:proofErr w:type="spellEnd"/>
            <w:r w:rsidRPr="007E0AF4">
              <w:rPr>
                <w:sz w:val="22"/>
              </w:rPr>
              <w:t xml:space="preserve"> </w:t>
            </w:r>
            <w:proofErr w:type="spellStart"/>
            <w:r w:rsidRPr="007E0AF4">
              <w:rPr>
                <w:sz w:val="22"/>
              </w:rPr>
              <w:t>засоби</w:t>
            </w:r>
            <w:proofErr w:type="spellEnd"/>
            <w:r w:rsidRPr="007E0AF4">
              <w:rPr>
                <w:sz w:val="22"/>
              </w:rPr>
              <w:t xml:space="preserve"> </w:t>
            </w:r>
            <w:proofErr w:type="spellStart"/>
            <w:r w:rsidRPr="007E0AF4">
              <w:rPr>
                <w:sz w:val="22"/>
              </w:rPr>
              <w:t>навчання</w:t>
            </w:r>
            <w:proofErr w:type="spellEnd"/>
            <w:r w:rsidRPr="007E0AF4">
              <w:rPr>
                <w:sz w:val="22"/>
              </w:rPr>
              <w:t xml:space="preserve"> (</w:t>
            </w:r>
            <w:proofErr w:type="spellStart"/>
            <w:r w:rsidRPr="007E0AF4">
              <w:rPr>
                <w:sz w:val="22"/>
              </w:rPr>
              <w:t>мультимедійні</w:t>
            </w:r>
            <w:proofErr w:type="spellEnd"/>
            <w:r w:rsidRPr="007E0AF4">
              <w:rPr>
                <w:sz w:val="22"/>
              </w:rPr>
              <w:t xml:space="preserve"> </w:t>
            </w:r>
            <w:proofErr w:type="spellStart"/>
            <w:r w:rsidRPr="007E0AF4">
              <w:rPr>
                <w:sz w:val="22"/>
              </w:rPr>
              <w:t>комплекси</w:t>
            </w:r>
            <w:proofErr w:type="spellEnd"/>
            <w:r w:rsidRPr="007E0AF4">
              <w:rPr>
                <w:sz w:val="22"/>
              </w:rPr>
              <w:t xml:space="preserve">, </w:t>
            </w:r>
            <w:proofErr w:type="spellStart"/>
            <w:r w:rsidRPr="007E0AF4">
              <w:rPr>
                <w:sz w:val="22"/>
              </w:rPr>
              <w:t>інтерактивні</w:t>
            </w:r>
            <w:proofErr w:type="spellEnd"/>
            <w:r w:rsidRPr="007E0AF4">
              <w:rPr>
                <w:sz w:val="22"/>
              </w:rPr>
              <w:t xml:space="preserve"> </w:t>
            </w:r>
            <w:proofErr w:type="spellStart"/>
            <w:r w:rsidRPr="007E0AF4">
              <w:rPr>
                <w:sz w:val="22"/>
              </w:rPr>
              <w:t>дошки</w:t>
            </w:r>
            <w:proofErr w:type="spellEnd"/>
            <w:r w:rsidRPr="007E0AF4">
              <w:rPr>
                <w:sz w:val="22"/>
              </w:rPr>
              <w:t xml:space="preserve">, </w:t>
            </w:r>
            <w:proofErr w:type="spellStart"/>
            <w:r w:rsidRPr="007E0AF4">
              <w:rPr>
                <w:sz w:val="22"/>
              </w:rPr>
              <w:t>комп’ютери</w:t>
            </w:r>
            <w:proofErr w:type="spellEnd"/>
            <w:r w:rsidRPr="007E0AF4">
              <w:rPr>
                <w:sz w:val="22"/>
              </w:rPr>
              <w:t xml:space="preserve">, </w:t>
            </w:r>
            <w:proofErr w:type="spellStart"/>
            <w:r w:rsidRPr="007E0AF4">
              <w:rPr>
                <w:sz w:val="22"/>
              </w:rPr>
              <w:t>програмне</w:t>
            </w:r>
            <w:proofErr w:type="spellEnd"/>
            <w:r w:rsidRPr="007E0AF4">
              <w:rPr>
                <w:sz w:val="22"/>
              </w:rPr>
              <w:t xml:space="preserve"> </w:t>
            </w:r>
            <w:proofErr w:type="spellStart"/>
            <w:r w:rsidRPr="007E0AF4">
              <w:rPr>
                <w:sz w:val="22"/>
              </w:rPr>
              <w:t>забезпечення</w:t>
            </w:r>
            <w:proofErr w:type="spellEnd"/>
            <w:r w:rsidRPr="007E0AF4">
              <w:rPr>
                <w:sz w:val="22"/>
              </w:rPr>
              <w:t xml:space="preserve">, </w:t>
            </w:r>
            <w:proofErr w:type="spellStart"/>
            <w:r w:rsidRPr="007E0AF4">
              <w:rPr>
                <w:sz w:val="22"/>
              </w:rPr>
              <w:t>принтери</w:t>
            </w:r>
            <w:proofErr w:type="spellEnd"/>
            <w:r w:rsidRPr="007E0AF4">
              <w:rPr>
                <w:sz w:val="22"/>
              </w:rPr>
              <w:t xml:space="preserve">, </w:t>
            </w:r>
            <w:proofErr w:type="spellStart"/>
            <w:r w:rsidRPr="007E0AF4">
              <w:rPr>
                <w:sz w:val="22"/>
              </w:rPr>
              <w:t>сканери</w:t>
            </w:r>
            <w:proofErr w:type="spellEnd"/>
            <w:r w:rsidRPr="007E0AF4">
              <w:rPr>
                <w:sz w:val="22"/>
              </w:rPr>
              <w:t xml:space="preserve">, </w:t>
            </w:r>
            <w:proofErr w:type="spellStart"/>
            <w:r w:rsidRPr="007E0AF4">
              <w:rPr>
                <w:sz w:val="22"/>
              </w:rPr>
              <w:t>інша</w:t>
            </w:r>
            <w:proofErr w:type="spellEnd"/>
            <w:r w:rsidRPr="007E0AF4">
              <w:rPr>
                <w:sz w:val="22"/>
              </w:rPr>
              <w:t xml:space="preserve"> </w:t>
            </w:r>
            <w:proofErr w:type="spellStart"/>
            <w:r w:rsidRPr="007E0AF4">
              <w:rPr>
                <w:sz w:val="22"/>
              </w:rPr>
              <w:t>офісна</w:t>
            </w:r>
            <w:proofErr w:type="spellEnd"/>
            <w:r w:rsidRPr="007E0AF4">
              <w:rPr>
                <w:sz w:val="22"/>
              </w:rPr>
              <w:t xml:space="preserve"> </w:t>
            </w:r>
            <w:proofErr w:type="spellStart"/>
            <w:r w:rsidRPr="007E0AF4">
              <w:rPr>
                <w:sz w:val="22"/>
              </w:rPr>
              <w:t>техніка</w:t>
            </w:r>
            <w:proofErr w:type="spellEnd"/>
            <w:r w:rsidRPr="007E0AF4">
              <w:rPr>
                <w:sz w:val="22"/>
              </w:rPr>
              <w:t>)</w:t>
            </w:r>
            <w:r w:rsidR="00483484" w:rsidRPr="007E0AF4">
              <w:rPr>
                <w:sz w:val="22"/>
              </w:rPr>
              <w:t>.</w:t>
            </w:r>
          </w:p>
          <w:p w:rsidR="002E3647" w:rsidRPr="007E0AF4" w:rsidRDefault="002E3647" w:rsidP="000303D7">
            <w:pPr>
              <w:pStyle w:val="a7"/>
              <w:numPr>
                <w:ilvl w:val="0"/>
                <w:numId w:val="111"/>
              </w:numPr>
              <w:ind w:left="0" w:firstLine="547"/>
              <w:rPr>
                <w:sz w:val="22"/>
              </w:rPr>
            </w:pPr>
            <w:proofErr w:type="spellStart"/>
            <w:r w:rsidRPr="007E0AF4">
              <w:rPr>
                <w:sz w:val="22"/>
              </w:rPr>
              <w:t>Технічні</w:t>
            </w:r>
            <w:proofErr w:type="spellEnd"/>
            <w:r w:rsidRPr="007E0AF4">
              <w:rPr>
                <w:sz w:val="22"/>
              </w:rPr>
              <w:t xml:space="preserve"> </w:t>
            </w:r>
            <w:proofErr w:type="spellStart"/>
            <w:r w:rsidRPr="007E0AF4">
              <w:rPr>
                <w:sz w:val="22"/>
              </w:rPr>
              <w:t>засоби</w:t>
            </w:r>
            <w:proofErr w:type="spellEnd"/>
            <w:r w:rsidRPr="007E0AF4">
              <w:rPr>
                <w:sz w:val="22"/>
              </w:rPr>
              <w:t xml:space="preserve"> для </w:t>
            </w:r>
            <w:proofErr w:type="spellStart"/>
            <w:r w:rsidRPr="007E0AF4">
              <w:rPr>
                <w:sz w:val="22"/>
              </w:rPr>
              <w:t>проведення</w:t>
            </w:r>
            <w:proofErr w:type="spellEnd"/>
            <w:r w:rsidRPr="007E0AF4">
              <w:rPr>
                <w:sz w:val="22"/>
              </w:rPr>
              <w:t xml:space="preserve"> </w:t>
            </w:r>
            <w:proofErr w:type="spellStart"/>
            <w:r w:rsidRPr="007E0AF4">
              <w:rPr>
                <w:sz w:val="22"/>
              </w:rPr>
              <w:t>масових</w:t>
            </w:r>
            <w:proofErr w:type="spellEnd"/>
            <w:r w:rsidRPr="007E0AF4">
              <w:rPr>
                <w:sz w:val="22"/>
              </w:rPr>
              <w:t xml:space="preserve"> </w:t>
            </w:r>
            <w:proofErr w:type="spellStart"/>
            <w:r w:rsidRPr="007E0AF4">
              <w:rPr>
                <w:sz w:val="22"/>
              </w:rPr>
              <w:t>заходів</w:t>
            </w:r>
            <w:proofErr w:type="spellEnd"/>
            <w:r w:rsidRPr="007E0AF4">
              <w:rPr>
                <w:sz w:val="22"/>
              </w:rPr>
              <w:t xml:space="preserve"> та </w:t>
            </w:r>
            <w:proofErr w:type="spellStart"/>
            <w:r w:rsidRPr="007E0AF4">
              <w:rPr>
                <w:sz w:val="22"/>
              </w:rPr>
              <w:t>обладнання</w:t>
            </w:r>
            <w:proofErr w:type="spellEnd"/>
            <w:r w:rsidRPr="007E0AF4">
              <w:rPr>
                <w:sz w:val="22"/>
              </w:rPr>
              <w:t xml:space="preserve"> </w:t>
            </w:r>
            <w:proofErr w:type="spellStart"/>
            <w:r w:rsidRPr="007E0AF4">
              <w:rPr>
                <w:sz w:val="22"/>
              </w:rPr>
              <w:t>актової</w:t>
            </w:r>
            <w:proofErr w:type="spellEnd"/>
            <w:r w:rsidRPr="007E0AF4">
              <w:rPr>
                <w:sz w:val="22"/>
              </w:rPr>
              <w:t xml:space="preserve"> </w:t>
            </w:r>
            <w:proofErr w:type="spellStart"/>
            <w:r w:rsidRPr="007E0AF4">
              <w:rPr>
                <w:sz w:val="22"/>
              </w:rPr>
              <w:t>зали</w:t>
            </w:r>
            <w:proofErr w:type="spellEnd"/>
            <w:r w:rsidRPr="007E0AF4">
              <w:rPr>
                <w:sz w:val="22"/>
              </w:rPr>
              <w:t xml:space="preserve"> (</w:t>
            </w:r>
            <w:proofErr w:type="spellStart"/>
            <w:r w:rsidRPr="007E0AF4">
              <w:rPr>
                <w:sz w:val="22"/>
              </w:rPr>
              <w:t>мультимедійні</w:t>
            </w:r>
            <w:proofErr w:type="spellEnd"/>
            <w:r w:rsidRPr="007E0AF4">
              <w:rPr>
                <w:sz w:val="22"/>
              </w:rPr>
              <w:t xml:space="preserve"> </w:t>
            </w:r>
            <w:proofErr w:type="spellStart"/>
            <w:r w:rsidRPr="007E0AF4">
              <w:rPr>
                <w:sz w:val="22"/>
              </w:rPr>
              <w:t>музичні</w:t>
            </w:r>
            <w:proofErr w:type="spellEnd"/>
            <w:r w:rsidRPr="007E0AF4">
              <w:rPr>
                <w:sz w:val="22"/>
              </w:rPr>
              <w:t xml:space="preserve"> центри, </w:t>
            </w:r>
            <w:proofErr w:type="spellStart"/>
            <w:r w:rsidRPr="007E0AF4">
              <w:rPr>
                <w:sz w:val="22"/>
              </w:rPr>
              <w:t>акустичні</w:t>
            </w:r>
            <w:proofErr w:type="spellEnd"/>
            <w:r w:rsidRPr="007E0AF4">
              <w:rPr>
                <w:sz w:val="22"/>
              </w:rPr>
              <w:t xml:space="preserve"> </w:t>
            </w:r>
            <w:proofErr w:type="spellStart"/>
            <w:r w:rsidRPr="007E0AF4">
              <w:rPr>
                <w:sz w:val="22"/>
              </w:rPr>
              <w:t>системи</w:t>
            </w:r>
            <w:proofErr w:type="spellEnd"/>
            <w:r w:rsidRPr="007E0AF4">
              <w:rPr>
                <w:sz w:val="22"/>
              </w:rPr>
              <w:t xml:space="preserve">, </w:t>
            </w:r>
            <w:proofErr w:type="spellStart"/>
            <w:r w:rsidRPr="007E0AF4">
              <w:rPr>
                <w:sz w:val="22"/>
              </w:rPr>
              <w:t>мікрофони</w:t>
            </w:r>
            <w:proofErr w:type="spellEnd"/>
            <w:r w:rsidRPr="007E0AF4">
              <w:rPr>
                <w:sz w:val="22"/>
              </w:rPr>
              <w:t xml:space="preserve"> </w:t>
            </w:r>
            <w:proofErr w:type="spellStart"/>
            <w:r w:rsidRPr="007E0AF4">
              <w:rPr>
                <w:sz w:val="22"/>
              </w:rPr>
              <w:t>тощо</w:t>
            </w:r>
            <w:proofErr w:type="spellEnd"/>
            <w:r w:rsidRPr="007E0AF4">
              <w:rPr>
                <w:sz w:val="22"/>
              </w:rPr>
              <w:t>)</w:t>
            </w:r>
            <w:r w:rsidR="00483484" w:rsidRPr="007E0AF4">
              <w:rPr>
                <w:sz w:val="22"/>
              </w:rPr>
              <w:t>.</w:t>
            </w:r>
          </w:p>
          <w:p w:rsidR="002E3647" w:rsidRPr="007E0AF4" w:rsidRDefault="002E3647" w:rsidP="000303D7">
            <w:pPr>
              <w:pStyle w:val="a7"/>
              <w:numPr>
                <w:ilvl w:val="0"/>
                <w:numId w:val="111"/>
              </w:numPr>
              <w:ind w:left="0" w:firstLine="547"/>
              <w:rPr>
                <w:sz w:val="22"/>
              </w:rPr>
            </w:pPr>
            <w:proofErr w:type="spellStart"/>
            <w:r w:rsidRPr="007E0AF4">
              <w:rPr>
                <w:sz w:val="22"/>
              </w:rPr>
              <w:t>Обладнання</w:t>
            </w:r>
            <w:proofErr w:type="spellEnd"/>
            <w:r w:rsidRPr="007E0AF4">
              <w:rPr>
                <w:sz w:val="22"/>
              </w:rPr>
              <w:t xml:space="preserve"> </w:t>
            </w:r>
            <w:proofErr w:type="spellStart"/>
            <w:r w:rsidRPr="007E0AF4">
              <w:rPr>
                <w:sz w:val="22"/>
              </w:rPr>
              <w:t>адміністративно-методичних</w:t>
            </w:r>
            <w:proofErr w:type="spellEnd"/>
            <w:r w:rsidRPr="007E0AF4">
              <w:rPr>
                <w:sz w:val="22"/>
              </w:rPr>
              <w:t xml:space="preserve"> </w:t>
            </w:r>
            <w:proofErr w:type="spellStart"/>
            <w:r w:rsidRPr="007E0AF4">
              <w:rPr>
                <w:sz w:val="22"/>
              </w:rPr>
              <w:t>кабінетів</w:t>
            </w:r>
            <w:proofErr w:type="spellEnd"/>
            <w:r w:rsidRPr="007E0AF4">
              <w:rPr>
                <w:sz w:val="22"/>
              </w:rPr>
              <w:t xml:space="preserve"> (</w:t>
            </w:r>
            <w:proofErr w:type="spellStart"/>
            <w:r w:rsidRPr="007E0AF4">
              <w:rPr>
                <w:sz w:val="22"/>
              </w:rPr>
              <w:t>набори</w:t>
            </w:r>
            <w:proofErr w:type="spellEnd"/>
            <w:r w:rsidRPr="007E0AF4">
              <w:rPr>
                <w:sz w:val="22"/>
              </w:rPr>
              <w:t xml:space="preserve"> </w:t>
            </w:r>
            <w:proofErr w:type="spellStart"/>
            <w:r w:rsidRPr="007E0AF4">
              <w:rPr>
                <w:sz w:val="22"/>
              </w:rPr>
              <w:t>меблів</w:t>
            </w:r>
            <w:proofErr w:type="spellEnd"/>
            <w:r w:rsidRPr="007E0AF4">
              <w:rPr>
                <w:sz w:val="22"/>
              </w:rPr>
              <w:t xml:space="preserve">, </w:t>
            </w:r>
            <w:proofErr w:type="spellStart"/>
            <w:r w:rsidRPr="007E0AF4">
              <w:rPr>
                <w:sz w:val="22"/>
              </w:rPr>
              <w:t>стільці</w:t>
            </w:r>
            <w:proofErr w:type="spellEnd"/>
            <w:r w:rsidRPr="007E0AF4">
              <w:rPr>
                <w:sz w:val="22"/>
              </w:rPr>
              <w:t xml:space="preserve">, </w:t>
            </w:r>
            <w:proofErr w:type="spellStart"/>
            <w:r w:rsidRPr="007E0AF4">
              <w:rPr>
                <w:sz w:val="22"/>
              </w:rPr>
              <w:t>сейфи</w:t>
            </w:r>
            <w:proofErr w:type="spellEnd"/>
            <w:r w:rsidRPr="007E0AF4">
              <w:rPr>
                <w:sz w:val="22"/>
              </w:rPr>
              <w:t xml:space="preserve">, </w:t>
            </w:r>
            <w:proofErr w:type="spellStart"/>
            <w:r w:rsidRPr="007E0AF4">
              <w:rPr>
                <w:sz w:val="22"/>
              </w:rPr>
              <w:t>стенди</w:t>
            </w:r>
            <w:proofErr w:type="spellEnd"/>
            <w:r w:rsidRPr="007E0AF4">
              <w:rPr>
                <w:sz w:val="22"/>
              </w:rPr>
              <w:t xml:space="preserve"> </w:t>
            </w:r>
            <w:proofErr w:type="spellStart"/>
            <w:r w:rsidRPr="007E0AF4">
              <w:rPr>
                <w:sz w:val="22"/>
              </w:rPr>
              <w:t>тощо</w:t>
            </w:r>
            <w:proofErr w:type="spellEnd"/>
            <w:r w:rsidRPr="007E0AF4">
              <w:rPr>
                <w:sz w:val="22"/>
              </w:rPr>
              <w:t>);</w:t>
            </w:r>
          </w:p>
          <w:p w:rsidR="002E3647" w:rsidRPr="007E0AF4" w:rsidRDefault="002E3647" w:rsidP="000303D7">
            <w:pPr>
              <w:pStyle w:val="a7"/>
              <w:numPr>
                <w:ilvl w:val="0"/>
                <w:numId w:val="111"/>
              </w:numPr>
              <w:ind w:left="0" w:firstLine="547"/>
              <w:rPr>
                <w:sz w:val="22"/>
              </w:rPr>
            </w:pPr>
            <w:proofErr w:type="spellStart"/>
            <w:r w:rsidRPr="007E0AF4">
              <w:rPr>
                <w:sz w:val="22"/>
              </w:rPr>
              <w:t>Обладнання</w:t>
            </w:r>
            <w:proofErr w:type="spellEnd"/>
            <w:r w:rsidRPr="007E0AF4">
              <w:rPr>
                <w:sz w:val="22"/>
              </w:rPr>
              <w:t xml:space="preserve"> </w:t>
            </w:r>
            <w:proofErr w:type="spellStart"/>
            <w:r w:rsidRPr="007E0AF4">
              <w:rPr>
                <w:sz w:val="22"/>
              </w:rPr>
              <w:t>їдальні</w:t>
            </w:r>
            <w:proofErr w:type="spellEnd"/>
            <w:r w:rsidRPr="007E0AF4">
              <w:rPr>
                <w:sz w:val="22"/>
              </w:rPr>
              <w:t xml:space="preserve"> </w:t>
            </w:r>
            <w:proofErr w:type="spellStart"/>
            <w:r w:rsidRPr="007E0AF4">
              <w:rPr>
                <w:sz w:val="22"/>
              </w:rPr>
              <w:t>необхідними</w:t>
            </w:r>
            <w:proofErr w:type="spellEnd"/>
            <w:r w:rsidRPr="007E0AF4">
              <w:rPr>
                <w:sz w:val="22"/>
              </w:rPr>
              <w:t xml:space="preserve"> </w:t>
            </w:r>
            <w:proofErr w:type="spellStart"/>
            <w:r w:rsidRPr="007E0AF4">
              <w:rPr>
                <w:sz w:val="22"/>
              </w:rPr>
              <w:t>засобами</w:t>
            </w:r>
            <w:proofErr w:type="spellEnd"/>
            <w:r w:rsidRPr="007E0AF4">
              <w:rPr>
                <w:sz w:val="22"/>
              </w:rPr>
              <w:t xml:space="preserve">, </w:t>
            </w:r>
            <w:proofErr w:type="spellStart"/>
            <w:r w:rsidRPr="007E0AF4">
              <w:rPr>
                <w:sz w:val="22"/>
              </w:rPr>
              <w:t>електричними</w:t>
            </w:r>
            <w:proofErr w:type="spellEnd"/>
            <w:r w:rsidRPr="007E0AF4">
              <w:rPr>
                <w:sz w:val="22"/>
              </w:rPr>
              <w:t xml:space="preserve"> </w:t>
            </w:r>
            <w:proofErr w:type="spellStart"/>
            <w:r w:rsidRPr="007E0AF4">
              <w:rPr>
                <w:sz w:val="22"/>
              </w:rPr>
              <w:t>приладами</w:t>
            </w:r>
            <w:proofErr w:type="spellEnd"/>
            <w:r w:rsidRPr="007E0AF4">
              <w:rPr>
                <w:sz w:val="22"/>
              </w:rPr>
              <w:t xml:space="preserve">, </w:t>
            </w:r>
            <w:proofErr w:type="spellStart"/>
            <w:r w:rsidRPr="007E0AF4">
              <w:rPr>
                <w:sz w:val="22"/>
              </w:rPr>
              <w:t>посудом</w:t>
            </w:r>
            <w:proofErr w:type="spellEnd"/>
            <w:r w:rsidRPr="007E0AF4">
              <w:rPr>
                <w:sz w:val="22"/>
              </w:rPr>
              <w:t xml:space="preserve">, твердим та </w:t>
            </w:r>
            <w:proofErr w:type="spellStart"/>
            <w:r w:rsidRPr="007E0AF4">
              <w:rPr>
                <w:sz w:val="22"/>
              </w:rPr>
              <w:t>м’яким</w:t>
            </w:r>
            <w:proofErr w:type="spellEnd"/>
            <w:r w:rsidRPr="007E0AF4">
              <w:rPr>
                <w:sz w:val="22"/>
              </w:rPr>
              <w:t xml:space="preserve"> </w:t>
            </w:r>
            <w:proofErr w:type="spellStart"/>
            <w:r w:rsidRPr="007E0AF4">
              <w:rPr>
                <w:sz w:val="22"/>
              </w:rPr>
              <w:t>інвентарем</w:t>
            </w:r>
            <w:proofErr w:type="spellEnd"/>
            <w:r w:rsidRPr="007E0AF4">
              <w:rPr>
                <w:sz w:val="22"/>
              </w:rPr>
              <w:t xml:space="preserve"> </w:t>
            </w:r>
            <w:proofErr w:type="spellStart"/>
            <w:r w:rsidRPr="007E0AF4">
              <w:rPr>
                <w:sz w:val="22"/>
              </w:rPr>
              <w:t>відповідно</w:t>
            </w:r>
            <w:proofErr w:type="spellEnd"/>
            <w:r w:rsidRPr="007E0AF4">
              <w:rPr>
                <w:sz w:val="22"/>
              </w:rPr>
              <w:t xml:space="preserve"> до </w:t>
            </w:r>
            <w:proofErr w:type="spellStart"/>
            <w:proofErr w:type="gramStart"/>
            <w:r w:rsidRPr="007E0AF4">
              <w:rPr>
                <w:sz w:val="22"/>
              </w:rPr>
              <w:t>вимог</w:t>
            </w:r>
            <w:proofErr w:type="spellEnd"/>
            <w:r w:rsidRPr="007E0AF4">
              <w:rPr>
                <w:sz w:val="22"/>
              </w:rPr>
              <w:t xml:space="preserve">  </w:t>
            </w:r>
            <w:proofErr w:type="spellStart"/>
            <w:r w:rsidRPr="007E0AF4">
              <w:rPr>
                <w:sz w:val="22"/>
              </w:rPr>
              <w:t>Санітарного</w:t>
            </w:r>
            <w:proofErr w:type="spellEnd"/>
            <w:proofErr w:type="gramEnd"/>
            <w:r w:rsidRPr="007E0AF4">
              <w:rPr>
                <w:sz w:val="22"/>
              </w:rPr>
              <w:t xml:space="preserve"> регламенту для </w:t>
            </w:r>
            <w:proofErr w:type="spellStart"/>
            <w:r w:rsidRPr="007E0AF4">
              <w:rPr>
                <w:sz w:val="22"/>
              </w:rPr>
              <w:t>закладів</w:t>
            </w:r>
            <w:proofErr w:type="spellEnd"/>
            <w:r w:rsidRPr="007E0AF4">
              <w:rPr>
                <w:sz w:val="22"/>
              </w:rPr>
              <w:t xml:space="preserve"> </w:t>
            </w:r>
            <w:proofErr w:type="spellStart"/>
            <w:r w:rsidRPr="007E0AF4">
              <w:rPr>
                <w:sz w:val="22"/>
              </w:rPr>
              <w:t>загальної</w:t>
            </w:r>
            <w:proofErr w:type="spellEnd"/>
            <w:r w:rsidRPr="007E0AF4">
              <w:rPr>
                <w:sz w:val="22"/>
              </w:rPr>
              <w:t xml:space="preserve"> </w:t>
            </w:r>
            <w:proofErr w:type="spellStart"/>
            <w:r w:rsidRPr="007E0AF4">
              <w:rPr>
                <w:sz w:val="22"/>
              </w:rPr>
              <w:t>середньої</w:t>
            </w:r>
            <w:proofErr w:type="spellEnd"/>
            <w:r w:rsidRPr="007E0AF4">
              <w:rPr>
                <w:sz w:val="22"/>
              </w:rPr>
              <w:t xml:space="preserve"> </w:t>
            </w:r>
            <w:proofErr w:type="spellStart"/>
            <w:r w:rsidRPr="007E0AF4">
              <w:rPr>
                <w:sz w:val="22"/>
              </w:rPr>
              <w:t>освіти</w:t>
            </w:r>
            <w:proofErr w:type="spellEnd"/>
            <w:r w:rsidRPr="007E0AF4">
              <w:rPr>
                <w:sz w:val="22"/>
              </w:rPr>
              <w:t xml:space="preserve"> та </w:t>
            </w:r>
            <w:proofErr w:type="spellStart"/>
            <w:r w:rsidRPr="007E0AF4">
              <w:rPr>
                <w:sz w:val="22"/>
              </w:rPr>
              <w:t>вимог</w:t>
            </w:r>
            <w:proofErr w:type="spellEnd"/>
            <w:r w:rsidRPr="007E0AF4">
              <w:rPr>
                <w:sz w:val="22"/>
              </w:rPr>
              <w:t xml:space="preserve"> ХАССП </w:t>
            </w:r>
            <w:proofErr w:type="spellStart"/>
            <w:r w:rsidRPr="007E0AF4">
              <w:rPr>
                <w:sz w:val="22"/>
              </w:rPr>
              <w:t>щодо</w:t>
            </w:r>
            <w:proofErr w:type="spellEnd"/>
            <w:r w:rsidRPr="007E0AF4">
              <w:rPr>
                <w:sz w:val="22"/>
              </w:rPr>
              <w:t xml:space="preserve"> </w:t>
            </w:r>
            <w:proofErr w:type="spellStart"/>
            <w:r w:rsidRPr="007E0AF4">
              <w:rPr>
                <w:sz w:val="22"/>
              </w:rPr>
              <w:t>безпечного</w:t>
            </w:r>
            <w:proofErr w:type="spellEnd"/>
            <w:r w:rsidRPr="007E0AF4">
              <w:rPr>
                <w:sz w:val="22"/>
              </w:rPr>
              <w:t xml:space="preserve"> </w:t>
            </w:r>
            <w:proofErr w:type="spellStart"/>
            <w:r w:rsidRPr="007E0AF4">
              <w:rPr>
                <w:sz w:val="22"/>
              </w:rPr>
              <w:t>функціонування</w:t>
            </w:r>
            <w:proofErr w:type="spellEnd"/>
            <w:r w:rsidRPr="007E0AF4">
              <w:rPr>
                <w:sz w:val="22"/>
              </w:rPr>
              <w:t xml:space="preserve"> закладу</w:t>
            </w:r>
            <w:r w:rsidR="00483484" w:rsidRPr="007E0AF4">
              <w:rPr>
                <w:sz w:val="22"/>
              </w:rPr>
              <w:t>.</w:t>
            </w:r>
          </w:p>
          <w:p w:rsidR="002E3647" w:rsidRPr="007E0AF4" w:rsidRDefault="002E3647" w:rsidP="000303D7">
            <w:pPr>
              <w:pStyle w:val="a7"/>
              <w:numPr>
                <w:ilvl w:val="0"/>
                <w:numId w:val="111"/>
              </w:numPr>
              <w:ind w:left="0" w:firstLine="547"/>
              <w:rPr>
                <w:sz w:val="22"/>
              </w:rPr>
            </w:pPr>
            <w:proofErr w:type="spellStart"/>
            <w:r w:rsidRPr="007E0AF4">
              <w:rPr>
                <w:sz w:val="22"/>
              </w:rPr>
              <w:t>Обладнання</w:t>
            </w:r>
            <w:proofErr w:type="spellEnd"/>
            <w:r w:rsidRPr="007E0AF4">
              <w:rPr>
                <w:sz w:val="22"/>
              </w:rPr>
              <w:t xml:space="preserve"> </w:t>
            </w:r>
            <w:proofErr w:type="spellStart"/>
            <w:r w:rsidRPr="007E0AF4">
              <w:rPr>
                <w:sz w:val="22"/>
              </w:rPr>
              <w:t>спортивної</w:t>
            </w:r>
            <w:proofErr w:type="spellEnd"/>
            <w:r w:rsidRPr="007E0AF4">
              <w:rPr>
                <w:sz w:val="22"/>
              </w:rPr>
              <w:t xml:space="preserve"> </w:t>
            </w:r>
            <w:proofErr w:type="spellStart"/>
            <w:r w:rsidRPr="007E0AF4">
              <w:rPr>
                <w:sz w:val="22"/>
              </w:rPr>
              <w:t>зали</w:t>
            </w:r>
            <w:proofErr w:type="spellEnd"/>
            <w:r w:rsidRPr="007E0AF4">
              <w:rPr>
                <w:sz w:val="22"/>
              </w:rPr>
              <w:t xml:space="preserve"> закладу </w:t>
            </w:r>
            <w:proofErr w:type="spellStart"/>
            <w:r w:rsidRPr="007E0AF4">
              <w:rPr>
                <w:sz w:val="22"/>
              </w:rPr>
              <w:t>необхідним</w:t>
            </w:r>
            <w:proofErr w:type="spellEnd"/>
            <w:r w:rsidRPr="007E0AF4">
              <w:rPr>
                <w:sz w:val="22"/>
              </w:rPr>
              <w:t xml:space="preserve"> </w:t>
            </w:r>
            <w:proofErr w:type="spellStart"/>
            <w:r w:rsidRPr="007E0AF4">
              <w:rPr>
                <w:sz w:val="22"/>
              </w:rPr>
              <w:t>мобільним</w:t>
            </w:r>
            <w:proofErr w:type="spellEnd"/>
            <w:r w:rsidRPr="007E0AF4">
              <w:rPr>
                <w:sz w:val="22"/>
              </w:rPr>
              <w:t xml:space="preserve"> </w:t>
            </w:r>
            <w:proofErr w:type="spellStart"/>
            <w:r w:rsidRPr="007E0AF4">
              <w:rPr>
                <w:sz w:val="22"/>
              </w:rPr>
              <w:t>спортивним</w:t>
            </w:r>
            <w:proofErr w:type="spellEnd"/>
            <w:r w:rsidRPr="007E0AF4">
              <w:rPr>
                <w:sz w:val="22"/>
              </w:rPr>
              <w:t xml:space="preserve"> </w:t>
            </w:r>
            <w:proofErr w:type="spellStart"/>
            <w:r w:rsidRPr="007E0AF4">
              <w:rPr>
                <w:sz w:val="22"/>
              </w:rPr>
              <w:t>інвентарем</w:t>
            </w:r>
            <w:proofErr w:type="spellEnd"/>
            <w:r w:rsidRPr="007E0AF4">
              <w:rPr>
                <w:sz w:val="22"/>
              </w:rPr>
              <w:t xml:space="preserve"> та </w:t>
            </w:r>
            <w:proofErr w:type="spellStart"/>
            <w:r w:rsidRPr="007E0AF4">
              <w:rPr>
                <w:sz w:val="22"/>
              </w:rPr>
              <w:t>спортивним</w:t>
            </w:r>
            <w:proofErr w:type="spellEnd"/>
            <w:r w:rsidRPr="007E0AF4">
              <w:rPr>
                <w:sz w:val="22"/>
              </w:rPr>
              <w:t xml:space="preserve"> </w:t>
            </w:r>
            <w:proofErr w:type="spellStart"/>
            <w:r w:rsidRPr="007E0AF4">
              <w:rPr>
                <w:sz w:val="22"/>
              </w:rPr>
              <w:t>устаткуванням</w:t>
            </w:r>
            <w:proofErr w:type="spellEnd"/>
            <w:r w:rsidRPr="007E0AF4">
              <w:rPr>
                <w:sz w:val="22"/>
              </w:rPr>
              <w:t xml:space="preserve"> </w:t>
            </w:r>
            <w:proofErr w:type="spellStart"/>
            <w:r w:rsidRPr="007E0AF4">
              <w:rPr>
                <w:sz w:val="22"/>
              </w:rPr>
              <w:t>відповідно</w:t>
            </w:r>
            <w:proofErr w:type="spellEnd"/>
            <w:r w:rsidRPr="007E0AF4">
              <w:rPr>
                <w:sz w:val="22"/>
              </w:rPr>
              <w:t xml:space="preserve"> до </w:t>
            </w:r>
            <w:proofErr w:type="spellStart"/>
            <w:r w:rsidRPr="007E0AF4">
              <w:rPr>
                <w:sz w:val="22"/>
              </w:rPr>
              <w:t>навчальних</w:t>
            </w:r>
            <w:proofErr w:type="spellEnd"/>
            <w:r w:rsidRPr="007E0AF4">
              <w:rPr>
                <w:sz w:val="22"/>
              </w:rPr>
              <w:t xml:space="preserve"> </w:t>
            </w:r>
            <w:proofErr w:type="spellStart"/>
            <w:r w:rsidRPr="007E0AF4">
              <w:rPr>
                <w:sz w:val="22"/>
              </w:rPr>
              <w:t>програм</w:t>
            </w:r>
            <w:proofErr w:type="spellEnd"/>
            <w:r w:rsidRPr="007E0AF4">
              <w:rPr>
                <w:sz w:val="22"/>
              </w:rPr>
              <w:t xml:space="preserve"> МОНУ, твердим та </w:t>
            </w:r>
            <w:proofErr w:type="spellStart"/>
            <w:r w:rsidRPr="007E0AF4">
              <w:rPr>
                <w:sz w:val="22"/>
              </w:rPr>
              <w:t>м’яким</w:t>
            </w:r>
            <w:proofErr w:type="spellEnd"/>
            <w:r w:rsidRPr="007E0AF4">
              <w:rPr>
                <w:sz w:val="22"/>
              </w:rPr>
              <w:t xml:space="preserve"> </w:t>
            </w:r>
            <w:proofErr w:type="spellStart"/>
            <w:r w:rsidRPr="007E0AF4">
              <w:rPr>
                <w:sz w:val="22"/>
              </w:rPr>
              <w:t>інвентарем</w:t>
            </w:r>
            <w:proofErr w:type="spellEnd"/>
            <w:r w:rsidRPr="007E0AF4">
              <w:rPr>
                <w:sz w:val="22"/>
              </w:rPr>
              <w:t xml:space="preserve"> для </w:t>
            </w:r>
            <w:proofErr w:type="spellStart"/>
            <w:r w:rsidRPr="007E0AF4">
              <w:rPr>
                <w:sz w:val="22"/>
              </w:rPr>
              <w:t>проведення</w:t>
            </w:r>
            <w:proofErr w:type="spellEnd"/>
            <w:r w:rsidRPr="007E0AF4">
              <w:rPr>
                <w:sz w:val="22"/>
              </w:rPr>
              <w:t xml:space="preserve"> спортивно-</w:t>
            </w:r>
            <w:proofErr w:type="spellStart"/>
            <w:r w:rsidRPr="007E0AF4">
              <w:rPr>
                <w:sz w:val="22"/>
              </w:rPr>
              <w:t>масових</w:t>
            </w:r>
            <w:proofErr w:type="spellEnd"/>
            <w:r w:rsidRPr="007E0AF4">
              <w:rPr>
                <w:sz w:val="22"/>
              </w:rPr>
              <w:t xml:space="preserve"> </w:t>
            </w:r>
            <w:proofErr w:type="spellStart"/>
            <w:r w:rsidRPr="007E0AF4">
              <w:rPr>
                <w:sz w:val="22"/>
              </w:rPr>
              <w:t>заходів</w:t>
            </w:r>
            <w:proofErr w:type="spellEnd"/>
            <w:r w:rsidR="00483484" w:rsidRPr="007E0AF4">
              <w:rPr>
                <w:sz w:val="22"/>
              </w:rPr>
              <w:t>.</w:t>
            </w:r>
            <w:r w:rsidRPr="007E0AF4">
              <w:rPr>
                <w:sz w:val="22"/>
              </w:rPr>
              <w:t xml:space="preserve"> </w:t>
            </w:r>
          </w:p>
          <w:p w:rsidR="002E3647" w:rsidRPr="007E0AF4" w:rsidRDefault="002E3647" w:rsidP="000303D7">
            <w:pPr>
              <w:pStyle w:val="a7"/>
              <w:numPr>
                <w:ilvl w:val="0"/>
                <w:numId w:val="111"/>
              </w:numPr>
              <w:ind w:left="0" w:firstLine="547"/>
              <w:rPr>
                <w:sz w:val="22"/>
              </w:rPr>
            </w:pPr>
            <w:proofErr w:type="spellStart"/>
            <w:r w:rsidRPr="007E0AF4">
              <w:rPr>
                <w:sz w:val="22"/>
              </w:rPr>
              <w:t>Відновлення</w:t>
            </w:r>
            <w:proofErr w:type="spellEnd"/>
            <w:r w:rsidRPr="007E0AF4">
              <w:rPr>
                <w:sz w:val="22"/>
              </w:rPr>
              <w:t xml:space="preserve"> </w:t>
            </w:r>
            <w:proofErr w:type="spellStart"/>
            <w:r w:rsidRPr="007E0AF4">
              <w:rPr>
                <w:sz w:val="22"/>
              </w:rPr>
              <w:t>мережі</w:t>
            </w:r>
            <w:proofErr w:type="spellEnd"/>
            <w:r w:rsidRPr="007E0AF4">
              <w:rPr>
                <w:sz w:val="22"/>
              </w:rPr>
              <w:t xml:space="preserve"> </w:t>
            </w:r>
            <w:proofErr w:type="spellStart"/>
            <w:r w:rsidRPr="007E0AF4">
              <w:rPr>
                <w:sz w:val="22"/>
              </w:rPr>
              <w:t>Інтернет</w:t>
            </w:r>
            <w:proofErr w:type="spellEnd"/>
            <w:r w:rsidR="00483484" w:rsidRPr="007E0AF4">
              <w:rPr>
                <w:sz w:val="22"/>
              </w:rPr>
              <w:t>.</w:t>
            </w:r>
          </w:p>
          <w:p w:rsidR="002E3647" w:rsidRPr="007E0AF4" w:rsidRDefault="002E3647" w:rsidP="000303D7">
            <w:pPr>
              <w:pStyle w:val="a7"/>
              <w:numPr>
                <w:ilvl w:val="0"/>
                <w:numId w:val="111"/>
              </w:numPr>
              <w:ind w:left="0" w:firstLine="547"/>
              <w:rPr>
                <w:sz w:val="22"/>
              </w:rPr>
            </w:pPr>
            <w:proofErr w:type="spellStart"/>
            <w:r w:rsidRPr="007E0AF4">
              <w:rPr>
                <w:sz w:val="22"/>
              </w:rPr>
              <w:t>Забезпечення</w:t>
            </w:r>
            <w:proofErr w:type="spellEnd"/>
            <w:r w:rsidRPr="007E0AF4">
              <w:rPr>
                <w:sz w:val="22"/>
              </w:rPr>
              <w:t xml:space="preserve"> </w:t>
            </w:r>
            <w:proofErr w:type="spellStart"/>
            <w:r w:rsidRPr="007E0AF4">
              <w:rPr>
                <w:sz w:val="22"/>
              </w:rPr>
              <w:t>навчальних</w:t>
            </w:r>
            <w:proofErr w:type="spellEnd"/>
            <w:r w:rsidRPr="007E0AF4">
              <w:rPr>
                <w:sz w:val="22"/>
              </w:rPr>
              <w:t xml:space="preserve"> </w:t>
            </w:r>
            <w:proofErr w:type="spellStart"/>
            <w:r w:rsidRPr="007E0AF4">
              <w:rPr>
                <w:sz w:val="22"/>
              </w:rPr>
              <w:t>кабінетів</w:t>
            </w:r>
            <w:proofErr w:type="spellEnd"/>
            <w:r w:rsidRPr="007E0AF4">
              <w:rPr>
                <w:sz w:val="22"/>
              </w:rPr>
              <w:t xml:space="preserve">, </w:t>
            </w:r>
            <w:proofErr w:type="spellStart"/>
            <w:r w:rsidRPr="007E0AF4">
              <w:rPr>
                <w:sz w:val="22"/>
              </w:rPr>
              <w:t>адміністративних</w:t>
            </w:r>
            <w:proofErr w:type="spellEnd"/>
            <w:r w:rsidRPr="007E0AF4">
              <w:rPr>
                <w:sz w:val="22"/>
              </w:rPr>
              <w:t xml:space="preserve"> та </w:t>
            </w:r>
            <w:proofErr w:type="spellStart"/>
            <w:r w:rsidRPr="007E0AF4">
              <w:rPr>
                <w:sz w:val="22"/>
              </w:rPr>
              <w:t>інших</w:t>
            </w:r>
            <w:proofErr w:type="spellEnd"/>
            <w:r w:rsidRPr="007E0AF4">
              <w:rPr>
                <w:sz w:val="22"/>
              </w:rPr>
              <w:t xml:space="preserve"> </w:t>
            </w:r>
            <w:proofErr w:type="spellStart"/>
            <w:r w:rsidRPr="007E0AF4">
              <w:rPr>
                <w:sz w:val="22"/>
              </w:rPr>
              <w:t>кімнат</w:t>
            </w:r>
            <w:proofErr w:type="spellEnd"/>
            <w:r w:rsidRPr="007E0AF4">
              <w:rPr>
                <w:sz w:val="22"/>
              </w:rPr>
              <w:t xml:space="preserve"> шторами, </w:t>
            </w:r>
            <w:proofErr w:type="spellStart"/>
            <w:r w:rsidRPr="007E0AF4">
              <w:rPr>
                <w:sz w:val="22"/>
              </w:rPr>
              <w:t>ролетами</w:t>
            </w:r>
            <w:proofErr w:type="spellEnd"/>
            <w:r w:rsidRPr="007E0AF4">
              <w:rPr>
                <w:sz w:val="22"/>
              </w:rPr>
              <w:t xml:space="preserve">, </w:t>
            </w:r>
            <w:proofErr w:type="spellStart"/>
            <w:r w:rsidRPr="007E0AF4">
              <w:rPr>
                <w:sz w:val="22"/>
              </w:rPr>
              <w:t>жалюзі</w:t>
            </w:r>
            <w:proofErr w:type="spellEnd"/>
            <w:r w:rsidRPr="007E0AF4">
              <w:rPr>
                <w:sz w:val="22"/>
              </w:rPr>
              <w:t xml:space="preserve"> </w:t>
            </w:r>
            <w:proofErr w:type="spellStart"/>
            <w:r w:rsidRPr="007E0AF4">
              <w:rPr>
                <w:sz w:val="22"/>
              </w:rPr>
              <w:t>тощо</w:t>
            </w:r>
            <w:proofErr w:type="spellEnd"/>
            <w:r w:rsidRPr="007E0AF4">
              <w:rPr>
                <w:sz w:val="22"/>
              </w:rPr>
              <w:t xml:space="preserve"> </w:t>
            </w:r>
            <w:proofErr w:type="spellStart"/>
            <w:r w:rsidRPr="007E0AF4">
              <w:rPr>
                <w:sz w:val="22"/>
              </w:rPr>
              <w:t>відповідно</w:t>
            </w:r>
            <w:proofErr w:type="spellEnd"/>
            <w:r w:rsidRPr="007E0AF4">
              <w:rPr>
                <w:sz w:val="22"/>
              </w:rPr>
              <w:t xml:space="preserve"> до </w:t>
            </w:r>
            <w:proofErr w:type="spellStart"/>
            <w:proofErr w:type="gramStart"/>
            <w:r w:rsidRPr="007E0AF4">
              <w:rPr>
                <w:sz w:val="22"/>
              </w:rPr>
              <w:t>вимог</w:t>
            </w:r>
            <w:proofErr w:type="spellEnd"/>
            <w:r w:rsidRPr="007E0AF4">
              <w:rPr>
                <w:sz w:val="22"/>
              </w:rPr>
              <w:t xml:space="preserve">  </w:t>
            </w:r>
            <w:proofErr w:type="spellStart"/>
            <w:r w:rsidRPr="007E0AF4">
              <w:rPr>
                <w:sz w:val="22"/>
              </w:rPr>
              <w:t>Санітарного</w:t>
            </w:r>
            <w:proofErr w:type="spellEnd"/>
            <w:proofErr w:type="gramEnd"/>
            <w:r w:rsidRPr="007E0AF4">
              <w:rPr>
                <w:sz w:val="22"/>
              </w:rPr>
              <w:t xml:space="preserve"> регламенту для </w:t>
            </w:r>
            <w:proofErr w:type="spellStart"/>
            <w:r w:rsidRPr="007E0AF4">
              <w:rPr>
                <w:sz w:val="22"/>
              </w:rPr>
              <w:t>закладів</w:t>
            </w:r>
            <w:proofErr w:type="spellEnd"/>
            <w:r w:rsidRPr="007E0AF4">
              <w:rPr>
                <w:sz w:val="22"/>
              </w:rPr>
              <w:t xml:space="preserve"> </w:t>
            </w:r>
            <w:proofErr w:type="spellStart"/>
            <w:r w:rsidRPr="007E0AF4">
              <w:rPr>
                <w:sz w:val="22"/>
              </w:rPr>
              <w:t>загальної</w:t>
            </w:r>
            <w:proofErr w:type="spellEnd"/>
            <w:r w:rsidRPr="007E0AF4">
              <w:rPr>
                <w:sz w:val="22"/>
              </w:rPr>
              <w:t xml:space="preserve"> </w:t>
            </w:r>
            <w:proofErr w:type="spellStart"/>
            <w:r w:rsidRPr="007E0AF4">
              <w:rPr>
                <w:sz w:val="22"/>
              </w:rPr>
              <w:t>середньої</w:t>
            </w:r>
            <w:proofErr w:type="spellEnd"/>
            <w:r w:rsidRPr="007E0AF4">
              <w:rPr>
                <w:sz w:val="22"/>
              </w:rPr>
              <w:t xml:space="preserve"> </w:t>
            </w:r>
            <w:proofErr w:type="spellStart"/>
            <w:r w:rsidRPr="007E0AF4">
              <w:rPr>
                <w:sz w:val="22"/>
              </w:rPr>
              <w:t>освіти</w:t>
            </w:r>
            <w:proofErr w:type="spellEnd"/>
            <w:r w:rsidRPr="007E0AF4">
              <w:rPr>
                <w:sz w:val="22"/>
              </w:rPr>
              <w:t xml:space="preserve"> та </w:t>
            </w:r>
            <w:proofErr w:type="spellStart"/>
            <w:r w:rsidRPr="007E0AF4">
              <w:rPr>
                <w:sz w:val="22"/>
              </w:rPr>
              <w:t>відповідних</w:t>
            </w:r>
            <w:proofErr w:type="spellEnd"/>
            <w:r w:rsidRPr="007E0AF4">
              <w:rPr>
                <w:sz w:val="22"/>
              </w:rPr>
              <w:t xml:space="preserve"> </w:t>
            </w:r>
            <w:proofErr w:type="spellStart"/>
            <w:r w:rsidRPr="007E0AF4">
              <w:rPr>
                <w:sz w:val="22"/>
              </w:rPr>
              <w:t>діючих</w:t>
            </w:r>
            <w:proofErr w:type="spellEnd"/>
            <w:r w:rsidRPr="007E0AF4">
              <w:rPr>
                <w:sz w:val="22"/>
              </w:rPr>
              <w:t xml:space="preserve"> норм і правил </w:t>
            </w:r>
            <w:proofErr w:type="spellStart"/>
            <w:r w:rsidRPr="007E0AF4">
              <w:rPr>
                <w:sz w:val="22"/>
              </w:rPr>
              <w:t>утримання</w:t>
            </w:r>
            <w:proofErr w:type="spellEnd"/>
            <w:r w:rsidRPr="007E0AF4">
              <w:rPr>
                <w:sz w:val="22"/>
              </w:rPr>
              <w:t xml:space="preserve"> та </w:t>
            </w:r>
            <w:proofErr w:type="spellStart"/>
            <w:r w:rsidRPr="007E0AF4">
              <w:rPr>
                <w:sz w:val="22"/>
              </w:rPr>
              <w:t>улаштування</w:t>
            </w:r>
            <w:proofErr w:type="spellEnd"/>
            <w:r w:rsidRPr="007E0AF4">
              <w:rPr>
                <w:sz w:val="22"/>
              </w:rPr>
              <w:t xml:space="preserve"> </w:t>
            </w:r>
            <w:proofErr w:type="spellStart"/>
            <w:r w:rsidRPr="007E0AF4">
              <w:rPr>
                <w:sz w:val="22"/>
              </w:rPr>
              <w:t>закладів</w:t>
            </w:r>
            <w:proofErr w:type="spellEnd"/>
            <w:r w:rsidRPr="007E0AF4">
              <w:rPr>
                <w:sz w:val="22"/>
              </w:rPr>
              <w:t xml:space="preserve"> </w:t>
            </w:r>
            <w:proofErr w:type="spellStart"/>
            <w:r w:rsidRPr="007E0AF4">
              <w:rPr>
                <w:sz w:val="22"/>
              </w:rPr>
              <w:t>освіти</w:t>
            </w:r>
            <w:proofErr w:type="spellEnd"/>
            <w:r w:rsidRPr="007E0AF4">
              <w:rPr>
                <w:sz w:val="22"/>
              </w:rPr>
              <w:t>.</w:t>
            </w:r>
          </w:p>
          <w:p w:rsidR="002E3647" w:rsidRPr="007E0AF4" w:rsidRDefault="002E3647" w:rsidP="000303D7">
            <w:pPr>
              <w:pStyle w:val="a7"/>
              <w:numPr>
                <w:ilvl w:val="0"/>
                <w:numId w:val="111"/>
              </w:numPr>
              <w:ind w:left="0" w:firstLine="547"/>
              <w:rPr>
                <w:sz w:val="22"/>
              </w:rPr>
            </w:pPr>
            <w:proofErr w:type="spellStart"/>
            <w:r w:rsidRPr="007E0AF4">
              <w:rPr>
                <w:sz w:val="22"/>
              </w:rPr>
              <w:t>Забезпечення</w:t>
            </w:r>
            <w:proofErr w:type="spellEnd"/>
            <w:r w:rsidRPr="007E0AF4">
              <w:rPr>
                <w:sz w:val="22"/>
              </w:rPr>
              <w:t xml:space="preserve"> </w:t>
            </w:r>
            <w:proofErr w:type="spellStart"/>
            <w:r w:rsidRPr="007E0AF4">
              <w:rPr>
                <w:sz w:val="22"/>
              </w:rPr>
              <w:t>працівників</w:t>
            </w:r>
            <w:proofErr w:type="spellEnd"/>
            <w:r w:rsidRPr="007E0AF4">
              <w:rPr>
                <w:sz w:val="22"/>
              </w:rPr>
              <w:t xml:space="preserve"> </w:t>
            </w:r>
            <w:proofErr w:type="spellStart"/>
            <w:r w:rsidRPr="007E0AF4">
              <w:rPr>
                <w:sz w:val="22"/>
              </w:rPr>
              <w:t>їдальні</w:t>
            </w:r>
            <w:proofErr w:type="spellEnd"/>
            <w:r w:rsidRPr="007E0AF4">
              <w:rPr>
                <w:sz w:val="22"/>
              </w:rPr>
              <w:t xml:space="preserve"> та </w:t>
            </w:r>
            <w:proofErr w:type="spellStart"/>
            <w:r w:rsidRPr="007E0AF4">
              <w:rPr>
                <w:sz w:val="22"/>
              </w:rPr>
              <w:t>молодшого</w:t>
            </w:r>
            <w:proofErr w:type="spellEnd"/>
            <w:r w:rsidRPr="007E0AF4">
              <w:rPr>
                <w:sz w:val="22"/>
              </w:rPr>
              <w:t xml:space="preserve"> </w:t>
            </w:r>
            <w:proofErr w:type="spellStart"/>
            <w:r w:rsidRPr="007E0AF4">
              <w:rPr>
                <w:sz w:val="22"/>
              </w:rPr>
              <w:t>обслуговуючого</w:t>
            </w:r>
            <w:proofErr w:type="spellEnd"/>
            <w:r w:rsidRPr="007E0AF4">
              <w:rPr>
                <w:sz w:val="22"/>
              </w:rPr>
              <w:t xml:space="preserve"> персоналу твердим та </w:t>
            </w:r>
            <w:proofErr w:type="spellStart"/>
            <w:r w:rsidRPr="007E0AF4">
              <w:rPr>
                <w:sz w:val="22"/>
              </w:rPr>
              <w:t>м’яким</w:t>
            </w:r>
            <w:proofErr w:type="spellEnd"/>
            <w:r w:rsidRPr="007E0AF4">
              <w:rPr>
                <w:sz w:val="22"/>
              </w:rPr>
              <w:t xml:space="preserve"> </w:t>
            </w:r>
            <w:proofErr w:type="spellStart"/>
            <w:r w:rsidRPr="007E0AF4">
              <w:rPr>
                <w:sz w:val="22"/>
              </w:rPr>
              <w:t>інвентарем</w:t>
            </w:r>
            <w:proofErr w:type="spellEnd"/>
            <w:r w:rsidRPr="007E0AF4">
              <w:rPr>
                <w:sz w:val="22"/>
              </w:rPr>
              <w:t xml:space="preserve">, </w:t>
            </w:r>
            <w:proofErr w:type="spellStart"/>
            <w:r w:rsidRPr="007E0AF4">
              <w:rPr>
                <w:sz w:val="22"/>
              </w:rPr>
              <w:t>миючими</w:t>
            </w:r>
            <w:proofErr w:type="spellEnd"/>
            <w:r w:rsidRPr="007E0AF4">
              <w:rPr>
                <w:sz w:val="22"/>
              </w:rPr>
              <w:t xml:space="preserve"> </w:t>
            </w:r>
            <w:proofErr w:type="spellStart"/>
            <w:r w:rsidRPr="007E0AF4">
              <w:rPr>
                <w:sz w:val="22"/>
              </w:rPr>
              <w:t>засобами</w:t>
            </w:r>
            <w:proofErr w:type="spellEnd"/>
            <w:r w:rsidRPr="007E0AF4">
              <w:rPr>
                <w:sz w:val="22"/>
              </w:rPr>
              <w:t xml:space="preserve"> </w:t>
            </w:r>
            <w:proofErr w:type="spellStart"/>
            <w:r w:rsidRPr="007E0AF4">
              <w:rPr>
                <w:sz w:val="22"/>
              </w:rPr>
              <w:t>тощо</w:t>
            </w:r>
            <w:proofErr w:type="spellEnd"/>
            <w:r w:rsidRPr="007E0AF4">
              <w:rPr>
                <w:sz w:val="22"/>
              </w:rPr>
              <w:t xml:space="preserve"> </w:t>
            </w:r>
            <w:proofErr w:type="spellStart"/>
            <w:r w:rsidRPr="007E0AF4">
              <w:rPr>
                <w:sz w:val="22"/>
              </w:rPr>
              <w:t>відповідно</w:t>
            </w:r>
            <w:proofErr w:type="spellEnd"/>
            <w:r w:rsidRPr="007E0AF4">
              <w:rPr>
                <w:sz w:val="22"/>
              </w:rPr>
              <w:t xml:space="preserve"> до </w:t>
            </w:r>
            <w:proofErr w:type="spellStart"/>
            <w:proofErr w:type="gramStart"/>
            <w:r w:rsidRPr="007E0AF4">
              <w:rPr>
                <w:sz w:val="22"/>
              </w:rPr>
              <w:t>вимог</w:t>
            </w:r>
            <w:proofErr w:type="spellEnd"/>
            <w:r w:rsidRPr="007E0AF4">
              <w:rPr>
                <w:sz w:val="22"/>
              </w:rPr>
              <w:t xml:space="preserve">  </w:t>
            </w:r>
            <w:proofErr w:type="spellStart"/>
            <w:r w:rsidRPr="007E0AF4">
              <w:rPr>
                <w:sz w:val="22"/>
              </w:rPr>
              <w:t>Санітарного</w:t>
            </w:r>
            <w:proofErr w:type="spellEnd"/>
            <w:proofErr w:type="gramEnd"/>
            <w:r w:rsidRPr="007E0AF4">
              <w:rPr>
                <w:sz w:val="22"/>
              </w:rPr>
              <w:t xml:space="preserve"> регламенту для </w:t>
            </w:r>
            <w:proofErr w:type="spellStart"/>
            <w:r w:rsidRPr="007E0AF4">
              <w:rPr>
                <w:sz w:val="22"/>
              </w:rPr>
              <w:t>закладів</w:t>
            </w:r>
            <w:proofErr w:type="spellEnd"/>
            <w:r w:rsidRPr="007E0AF4">
              <w:rPr>
                <w:sz w:val="22"/>
              </w:rPr>
              <w:t xml:space="preserve"> </w:t>
            </w:r>
            <w:proofErr w:type="spellStart"/>
            <w:r w:rsidRPr="007E0AF4">
              <w:rPr>
                <w:sz w:val="22"/>
              </w:rPr>
              <w:t>загальної</w:t>
            </w:r>
            <w:proofErr w:type="spellEnd"/>
            <w:r w:rsidRPr="007E0AF4">
              <w:rPr>
                <w:sz w:val="22"/>
              </w:rPr>
              <w:t xml:space="preserve"> </w:t>
            </w:r>
            <w:proofErr w:type="spellStart"/>
            <w:r w:rsidRPr="007E0AF4">
              <w:rPr>
                <w:sz w:val="22"/>
              </w:rPr>
              <w:t>середньої</w:t>
            </w:r>
            <w:proofErr w:type="spellEnd"/>
            <w:r w:rsidRPr="007E0AF4">
              <w:rPr>
                <w:sz w:val="22"/>
              </w:rPr>
              <w:t xml:space="preserve"> </w:t>
            </w:r>
            <w:proofErr w:type="spellStart"/>
            <w:r w:rsidRPr="007E0AF4">
              <w:rPr>
                <w:sz w:val="22"/>
              </w:rPr>
              <w:t>освіти</w:t>
            </w:r>
            <w:proofErr w:type="spellEnd"/>
            <w:r w:rsidRPr="007E0AF4">
              <w:rPr>
                <w:sz w:val="22"/>
              </w:rPr>
              <w:t xml:space="preserve"> та </w:t>
            </w:r>
            <w:proofErr w:type="spellStart"/>
            <w:r w:rsidRPr="007E0AF4">
              <w:rPr>
                <w:sz w:val="22"/>
              </w:rPr>
              <w:t>вимог</w:t>
            </w:r>
            <w:proofErr w:type="spellEnd"/>
            <w:r w:rsidRPr="007E0AF4">
              <w:rPr>
                <w:sz w:val="22"/>
              </w:rPr>
              <w:t xml:space="preserve"> ХАССП. </w:t>
            </w:r>
          </w:p>
        </w:tc>
      </w:tr>
      <w:tr w:rsidR="002E3647" w:rsidRPr="007E0AF4" w:rsidTr="002E3647">
        <w:tc>
          <w:tcPr>
            <w:tcW w:w="2978" w:type="dxa"/>
            <w:shd w:val="clear" w:color="auto" w:fill="C6D9F1" w:themeFill="text2" w:themeFillTint="33"/>
          </w:tcPr>
          <w:p w:rsidR="002E3647" w:rsidRPr="007E0AF4" w:rsidRDefault="002E3647" w:rsidP="001E6C97">
            <w:pPr>
              <w:pStyle w:val="a7"/>
              <w:ind w:left="0"/>
              <w:rPr>
                <w:b/>
                <w:sz w:val="22"/>
              </w:rPr>
            </w:pPr>
            <w:proofErr w:type="spellStart"/>
            <w:r w:rsidRPr="007E0AF4">
              <w:rPr>
                <w:b/>
                <w:sz w:val="22"/>
              </w:rPr>
              <w:lastRenderedPageBreak/>
              <w:t>Територія</w:t>
            </w:r>
            <w:proofErr w:type="spellEnd"/>
            <w:r w:rsidRPr="007E0AF4">
              <w:rPr>
                <w:b/>
                <w:sz w:val="22"/>
              </w:rPr>
              <w:t xml:space="preserve">, </w:t>
            </w:r>
            <w:proofErr w:type="gramStart"/>
            <w:r w:rsidRPr="007E0AF4">
              <w:rPr>
                <w:b/>
                <w:sz w:val="22"/>
              </w:rPr>
              <w:t>на яку</w:t>
            </w:r>
            <w:proofErr w:type="gramEnd"/>
            <w:r w:rsidRPr="007E0AF4">
              <w:rPr>
                <w:b/>
                <w:sz w:val="22"/>
              </w:rPr>
              <w:t xml:space="preserve"> </w:t>
            </w:r>
            <w:proofErr w:type="spellStart"/>
            <w:r w:rsidRPr="007E0AF4">
              <w:rPr>
                <w:b/>
                <w:sz w:val="22"/>
              </w:rPr>
              <w:t>матиме</w:t>
            </w:r>
            <w:proofErr w:type="spellEnd"/>
            <w:r w:rsidRPr="007E0AF4">
              <w:rPr>
                <w:b/>
                <w:sz w:val="22"/>
              </w:rPr>
              <w:t xml:space="preserve"> </w:t>
            </w:r>
            <w:proofErr w:type="spellStart"/>
            <w:r w:rsidRPr="007E0AF4">
              <w:rPr>
                <w:b/>
                <w:sz w:val="22"/>
              </w:rPr>
              <w:t>вплив</w:t>
            </w:r>
            <w:proofErr w:type="spellEnd"/>
            <w:r w:rsidRPr="007E0AF4">
              <w:rPr>
                <w:b/>
                <w:sz w:val="22"/>
              </w:rPr>
              <w:t xml:space="preserve"> </w:t>
            </w:r>
            <w:proofErr w:type="spellStart"/>
            <w:r w:rsidRPr="007E0AF4">
              <w:rPr>
                <w:b/>
                <w:sz w:val="22"/>
              </w:rPr>
              <w:t>реалізація</w:t>
            </w:r>
            <w:proofErr w:type="spellEnd"/>
            <w:r w:rsidRPr="007E0AF4">
              <w:rPr>
                <w:b/>
                <w:sz w:val="22"/>
              </w:rPr>
              <w:t xml:space="preserve"> проекту</w:t>
            </w:r>
          </w:p>
        </w:tc>
        <w:tc>
          <w:tcPr>
            <w:tcW w:w="6945" w:type="dxa"/>
            <w:gridSpan w:val="6"/>
          </w:tcPr>
          <w:p w:rsidR="002E3647" w:rsidRPr="007E0AF4" w:rsidRDefault="002E3647" w:rsidP="001E6C97">
            <w:pPr>
              <w:pStyle w:val="a7"/>
              <w:ind w:left="0"/>
              <w:rPr>
                <w:sz w:val="22"/>
              </w:rPr>
            </w:pPr>
            <w:proofErr w:type="spellStart"/>
            <w:r w:rsidRPr="007E0AF4">
              <w:rPr>
                <w:sz w:val="22"/>
              </w:rPr>
              <w:t>Сєвєродонецька</w:t>
            </w:r>
            <w:proofErr w:type="spellEnd"/>
            <w:r w:rsidRPr="007E0AF4">
              <w:rPr>
                <w:sz w:val="22"/>
              </w:rPr>
              <w:t xml:space="preserve"> </w:t>
            </w:r>
            <w:proofErr w:type="spellStart"/>
            <w:r w:rsidRPr="007E0AF4">
              <w:rPr>
                <w:sz w:val="22"/>
              </w:rPr>
              <w:t>міська</w:t>
            </w:r>
            <w:proofErr w:type="spellEnd"/>
            <w:r w:rsidRPr="007E0AF4">
              <w:rPr>
                <w:sz w:val="22"/>
              </w:rPr>
              <w:t xml:space="preserve"> </w:t>
            </w:r>
            <w:proofErr w:type="spellStart"/>
            <w:r w:rsidRPr="007E0AF4">
              <w:rPr>
                <w:sz w:val="22"/>
              </w:rPr>
              <w:t>територіальна</w:t>
            </w:r>
            <w:proofErr w:type="spellEnd"/>
            <w:r w:rsidRPr="007E0AF4">
              <w:rPr>
                <w:sz w:val="22"/>
              </w:rPr>
              <w:t xml:space="preserve"> громада</w:t>
            </w:r>
          </w:p>
        </w:tc>
      </w:tr>
      <w:tr w:rsidR="002E3647" w:rsidRPr="007E0AF4" w:rsidTr="002E3647">
        <w:tc>
          <w:tcPr>
            <w:tcW w:w="2978" w:type="dxa"/>
            <w:shd w:val="clear" w:color="auto" w:fill="C6D9F1" w:themeFill="text2" w:themeFillTint="33"/>
          </w:tcPr>
          <w:p w:rsidR="002E3647" w:rsidRPr="007E0AF4" w:rsidRDefault="002E3647" w:rsidP="001E6C97">
            <w:pPr>
              <w:pStyle w:val="a7"/>
              <w:ind w:left="0"/>
              <w:rPr>
                <w:b/>
                <w:sz w:val="22"/>
              </w:rPr>
            </w:pPr>
            <w:proofErr w:type="spellStart"/>
            <w:r w:rsidRPr="007E0AF4">
              <w:rPr>
                <w:b/>
                <w:sz w:val="22"/>
              </w:rPr>
              <w:t>Чисельність</w:t>
            </w:r>
            <w:proofErr w:type="spellEnd"/>
            <w:r w:rsidRPr="007E0AF4">
              <w:rPr>
                <w:b/>
                <w:sz w:val="22"/>
              </w:rPr>
              <w:t xml:space="preserve"> </w:t>
            </w:r>
            <w:proofErr w:type="spellStart"/>
            <w:r w:rsidRPr="007E0AF4">
              <w:rPr>
                <w:b/>
                <w:sz w:val="22"/>
              </w:rPr>
              <w:t>населення</w:t>
            </w:r>
            <w:proofErr w:type="spellEnd"/>
            <w:r w:rsidRPr="007E0AF4">
              <w:rPr>
                <w:b/>
                <w:sz w:val="22"/>
              </w:rPr>
              <w:t xml:space="preserve">, на яке </w:t>
            </w:r>
            <w:proofErr w:type="spellStart"/>
            <w:r w:rsidRPr="007E0AF4">
              <w:rPr>
                <w:b/>
                <w:sz w:val="22"/>
              </w:rPr>
              <w:t>матиме</w:t>
            </w:r>
            <w:proofErr w:type="spellEnd"/>
            <w:r w:rsidRPr="007E0AF4">
              <w:rPr>
                <w:b/>
                <w:sz w:val="22"/>
              </w:rPr>
              <w:t xml:space="preserve"> </w:t>
            </w:r>
            <w:proofErr w:type="spellStart"/>
            <w:r w:rsidRPr="007E0AF4">
              <w:rPr>
                <w:b/>
                <w:sz w:val="22"/>
              </w:rPr>
              <w:t>вплив</w:t>
            </w:r>
            <w:proofErr w:type="spellEnd"/>
            <w:r w:rsidRPr="007E0AF4">
              <w:rPr>
                <w:b/>
                <w:sz w:val="22"/>
              </w:rPr>
              <w:t xml:space="preserve"> </w:t>
            </w:r>
            <w:proofErr w:type="spellStart"/>
            <w:r w:rsidRPr="007E0AF4">
              <w:rPr>
                <w:b/>
                <w:sz w:val="22"/>
              </w:rPr>
              <w:t>реалізація</w:t>
            </w:r>
            <w:proofErr w:type="spellEnd"/>
            <w:r w:rsidRPr="007E0AF4">
              <w:rPr>
                <w:b/>
                <w:sz w:val="22"/>
              </w:rPr>
              <w:t xml:space="preserve"> проекту</w:t>
            </w:r>
          </w:p>
        </w:tc>
        <w:tc>
          <w:tcPr>
            <w:tcW w:w="6945" w:type="dxa"/>
            <w:gridSpan w:val="6"/>
          </w:tcPr>
          <w:p w:rsidR="002E3647" w:rsidRPr="007E0AF4" w:rsidRDefault="002E3647" w:rsidP="001E6C97">
            <w:pPr>
              <w:pStyle w:val="a7"/>
              <w:ind w:left="0"/>
              <w:rPr>
                <w:sz w:val="22"/>
              </w:rPr>
            </w:pPr>
            <w:r w:rsidRPr="007E0AF4">
              <w:rPr>
                <w:sz w:val="22"/>
              </w:rPr>
              <w:t xml:space="preserve"> 70 </w:t>
            </w:r>
            <w:proofErr w:type="gramStart"/>
            <w:r w:rsidRPr="007E0AF4">
              <w:rPr>
                <w:sz w:val="22"/>
              </w:rPr>
              <w:t xml:space="preserve">000  </w:t>
            </w:r>
            <w:proofErr w:type="spellStart"/>
            <w:r w:rsidRPr="007E0AF4">
              <w:rPr>
                <w:sz w:val="22"/>
              </w:rPr>
              <w:t>осіб</w:t>
            </w:r>
            <w:proofErr w:type="spellEnd"/>
            <w:proofErr w:type="gramEnd"/>
          </w:p>
        </w:tc>
      </w:tr>
      <w:tr w:rsidR="002E3647" w:rsidRPr="007E0AF4" w:rsidTr="002E3647">
        <w:tc>
          <w:tcPr>
            <w:tcW w:w="2978" w:type="dxa"/>
            <w:shd w:val="clear" w:color="auto" w:fill="C6D9F1" w:themeFill="text2" w:themeFillTint="33"/>
          </w:tcPr>
          <w:p w:rsidR="002E3647" w:rsidRPr="007E0AF4" w:rsidRDefault="002E3647" w:rsidP="001E6C97">
            <w:pPr>
              <w:rPr>
                <w:b/>
                <w:sz w:val="22"/>
              </w:rPr>
            </w:pPr>
            <w:proofErr w:type="spellStart"/>
            <w:r w:rsidRPr="007E0AF4">
              <w:rPr>
                <w:b/>
                <w:sz w:val="22"/>
              </w:rPr>
              <w:t>Опис</w:t>
            </w:r>
            <w:proofErr w:type="spellEnd"/>
            <w:r w:rsidRPr="007E0AF4">
              <w:rPr>
                <w:b/>
                <w:sz w:val="22"/>
              </w:rPr>
              <w:t xml:space="preserve"> </w:t>
            </w:r>
            <w:proofErr w:type="spellStart"/>
            <w:r w:rsidRPr="007E0AF4">
              <w:rPr>
                <w:b/>
                <w:sz w:val="22"/>
              </w:rPr>
              <w:t>проблеми</w:t>
            </w:r>
            <w:proofErr w:type="spellEnd"/>
            <w:r w:rsidRPr="007E0AF4">
              <w:rPr>
                <w:b/>
                <w:sz w:val="22"/>
              </w:rPr>
              <w:t xml:space="preserve">, на </w:t>
            </w:r>
            <w:proofErr w:type="spellStart"/>
            <w:r w:rsidRPr="007E0AF4">
              <w:rPr>
                <w:b/>
                <w:sz w:val="22"/>
              </w:rPr>
              <w:t>вирішення</w:t>
            </w:r>
            <w:proofErr w:type="spellEnd"/>
            <w:r w:rsidRPr="007E0AF4">
              <w:rPr>
                <w:b/>
                <w:sz w:val="22"/>
              </w:rPr>
              <w:t xml:space="preserve"> </w:t>
            </w:r>
            <w:proofErr w:type="spellStart"/>
            <w:proofErr w:type="gramStart"/>
            <w:r w:rsidRPr="007E0AF4">
              <w:rPr>
                <w:b/>
                <w:sz w:val="22"/>
              </w:rPr>
              <w:t>якої</w:t>
            </w:r>
            <w:proofErr w:type="spellEnd"/>
            <w:r w:rsidRPr="007E0AF4">
              <w:rPr>
                <w:b/>
                <w:sz w:val="22"/>
              </w:rPr>
              <w:t xml:space="preserve">  </w:t>
            </w:r>
            <w:proofErr w:type="spellStart"/>
            <w:r w:rsidRPr="007E0AF4">
              <w:rPr>
                <w:b/>
                <w:sz w:val="22"/>
              </w:rPr>
              <w:t>спрямований</w:t>
            </w:r>
            <w:proofErr w:type="spellEnd"/>
            <w:proofErr w:type="gramEnd"/>
            <w:r w:rsidRPr="007E0AF4">
              <w:rPr>
                <w:b/>
                <w:sz w:val="22"/>
              </w:rPr>
              <w:t xml:space="preserve"> проект</w:t>
            </w:r>
          </w:p>
        </w:tc>
        <w:tc>
          <w:tcPr>
            <w:tcW w:w="6945" w:type="dxa"/>
            <w:gridSpan w:val="6"/>
          </w:tcPr>
          <w:p w:rsidR="002E3647" w:rsidRPr="007E0AF4" w:rsidRDefault="002E3647" w:rsidP="001E6C97">
            <w:pPr>
              <w:pStyle w:val="13"/>
              <w:ind w:firstLine="511"/>
              <w:jc w:val="both"/>
              <w:rPr>
                <w:sz w:val="22"/>
              </w:rPr>
            </w:pPr>
            <w:r w:rsidRPr="007E0AF4">
              <w:rPr>
                <w:sz w:val="22"/>
              </w:rPr>
              <w:t xml:space="preserve">Через </w:t>
            </w:r>
            <w:proofErr w:type="spellStart"/>
            <w:r w:rsidRPr="007E0AF4">
              <w:rPr>
                <w:sz w:val="22"/>
              </w:rPr>
              <w:t>військову</w:t>
            </w:r>
            <w:proofErr w:type="spellEnd"/>
            <w:r w:rsidRPr="007E0AF4">
              <w:rPr>
                <w:sz w:val="22"/>
              </w:rPr>
              <w:t xml:space="preserve"> </w:t>
            </w:r>
            <w:r w:rsidRPr="007E0AF4">
              <w:rPr>
                <w:sz w:val="22"/>
                <w:lang w:val="uk-UA"/>
              </w:rPr>
              <w:t>агресію</w:t>
            </w:r>
            <w:r w:rsidRPr="007E0AF4">
              <w:rPr>
                <w:sz w:val="22"/>
              </w:rPr>
              <w:t xml:space="preserve"> РФ </w:t>
            </w:r>
            <w:proofErr w:type="spellStart"/>
            <w:r w:rsidRPr="007E0AF4">
              <w:rPr>
                <w:sz w:val="22"/>
              </w:rPr>
              <w:t>територія</w:t>
            </w:r>
            <w:proofErr w:type="spellEnd"/>
            <w:r w:rsidRPr="007E0AF4">
              <w:rPr>
                <w:sz w:val="22"/>
              </w:rPr>
              <w:t xml:space="preserve"> </w:t>
            </w:r>
            <w:proofErr w:type="spellStart"/>
            <w:r w:rsidRPr="007E0AF4">
              <w:rPr>
                <w:sz w:val="22"/>
              </w:rPr>
              <w:t>Сєвєродонецької</w:t>
            </w:r>
            <w:proofErr w:type="spellEnd"/>
            <w:r w:rsidRPr="007E0AF4">
              <w:rPr>
                <w:sz w:val="22"/>
              </w:rPr>
              <w:t xml:space="preserve"> </w:t>
            </w:r>
            <w:proofErr w:type="spellStart"/>
            <w:r w:rsidRPr="007E0AF4">
              <w:rPr>
                <w:sz w:val="22"/>
              </w:rPr>
              <w:t>міської</w:t>
            </w:r>
            <w:proofErr w:type="spellEnd"/>
            <w:r w:rsidRPr="007E0AF4">
              <w:rPr>
                <w:sz w:val="22"/>
              </w:rPr>
              <w:t xml:space="preserve"> </w:t>
            </w:r>
            <w:proofErr w:type="spellStart"/>
            <w:r w:rsidRPr="007E0AF4">
              <w:rPr>
                <w:sz w:val="22"/>
              </w:rPr>
              <w:t>територіальної</w:t>
            </w:r>
            <w:proofErr w:type="spellEnd"/>
            <w:r w:rsidRPr="007E0AF4">
              <w:rPr>
                <w:sz w:val="22"/>
              </w:rPr>
              <w:t xml:space="preserve"> </w:t>
            </w:r>
            <w:proofErr w:type="spellStart"/>
            <w:r w:rsidRPr="007E0AF4">
              <w:rPr>
                <w:sz w:val="22"/>
              </w:rPr>
              <w:t>громади</w:t>
            </w:r>
            <w:proofErr w:type="spellEnd"/>
            <w:r w:rsidRPr="007E0AF4">
              <w:rPr>
                <w:sz w:val="22"/>
              </w:rPr>
              <w:t xml:space="preserve"> </w:t>
            </w:r>
            <w:proofErr w:type="spellStart"/>
            <w:r w:rsidRPr="007E0AF4">
              <w:rPr>
                <w:sz w:val="22"/>
              </w:rPr>
              <w:t>зазнала</w:t>
            </w:r>
            <w:proofErr w:type="spellEnd"/>
            <w:r w:rsidRPr="007E0AF4">
              <w:rPr>
                <w:sz w:val="22"/>
              </w:rPr>
              <w:t xml:space="preserve"> </w:t>
            </w:r>
            <w:proofErr w:type="spellStart"/>
            <w:r w:rsidRPr="007E0AF4">
              <w:rPr>
                <w:sz w:val="22"/>
              </w:rPr>
              <w:t>значних</w:t>
            </w:r>
            <w:proofErr w:type="spellEnd"/>
            <w:r w:rsidRPr="007E0AF4">
              <w:rPr>
                <w:sz w:val="22"/>
              </w:rPr>
              <w:t xml:space="preserve"> </w:t>
            </w:r>
            <w:proofErr w:type="spellStart"/>
            <w:r w:rsidRPr="007E0AF4">
              <w:rPr>
                <w:sz w:val="22"/>
              </w:rPr>
              <w:t>пошкоджень</w:t>
            </w:r>
            <w:proofErr w:type="spellEnd"/>
            <w:r w:rsidRPr="007E0AF4">
              <w:rPr>
                <w:sz w:val="22"/>
              </w:rPr>
              <w:t xml:space="preserve">. </w:t>
            </w:r>
            <w:proofErr w:type="spellStart"/>
            <w:r w:rsidRPr="007E0AF4">
              <w:rPr>
                <w:sz w:val="22"/>
              </w:rPr>
              <w:t>Гімназія</w:t>
            </w:r>
            <w:proofErr w:type="spellEnd"/>
            <w:r w:rsidRPr="007E0AF4">
              <w:rPr>
                <w:sz w:val="22"/>
              </w:rPr>
              <w:t xml:space="preserve"> «ГАРМОНІЯ» </w:t>
            </w:r>
            <w:proofErr w:type="spellStart"/>
            <w:r w:rsidRPr="007E0AF4">
              <w:rPr>
                <w:sz w:val="22"/>
              </w:rPr>
              <w:t>міста</w:t>
            </w:r>
            <w:proofErr w:type="spellEnd"/>
            <w:r w:rsidRPr="007E0AF4">
              <w:rPr>
                <w:sz w:val="22"/>
              </w:rPr>
              <w:t xml:space="preserve"> </w:t>
            </w:r>
            <w:proofErr w:type="spellStart"/>
            <w:r w:rsidRPr="007E0AF4">
              <w:rPr>
                <w:sz w:val="22"/>
              </w:rPr>
              <w:t>Сєвєродонецька</w:t>
            </w:r>
            <w:proofErr w:type="spellEnd"/>
            <w:r w:rsidRPr="007E0AF4">
              <w:rPr>
                <w:sz w:val="22"/>
              </w:rPr>
              <w:t xml:space="preserve"> </w:t>
            </w:r>
            <w:proofErr w:type="spellStart"/>
            <w:r w:rsidRPr="007E0AF4">
              <w:rPr>
                <w:sz w:val="22"/>
              </w:rPr>
              <w:t>Луганської</w:t>
            </w:r>
            <w:proofErr w:type="spellEnd"/>
            <w:r w:rsidRPr="007E0AF4">
              <w:rPr>
                <w:sz w:val="22"/>
              </w:rPr>
              <w:t xml:space="preserve"> </w:t>
            </w:r>
            <w:proofErr w:type="spellStart"/>
            <w:r w:rsidRPr="007E0AF4">
              <w:rPr>
                <w:sz w:val="22"/>
              </w:rPr>
              <w:t>області</w:t>
            </w:r>
            <w:proofErr w:type="spellEnd"/>
            <w:r w:rsidRPr="007E0AF4">
              <w:rPr>
                <w:sz w:val="22"/>
              </w:rPr>
              <w:t xml:space="preserve"> </w:t>
            </w:r>
            <w:proofErr w:type="spellStart"/>
            <w:r w:rsidRPr="007E0AF4">
              <w:rPr>
                <w:sz w:val="22"/>
              </w:rPr>
              <w:t>також</w:t>
            </w:r>
            <w:proofErr w:type="spellEnd"/>
            <w:r w:rsidRPr="007E0AF4">
              <w:rPr>
                <w:sz w:val="22"/>
              </w:rPr>
              <w:t xml:space="preserve"> </w:t>
            </w:r>
            <w:proofErr w:type="spellStart"/>
            <w:r w:rsidRPr="007E0AF4">
              <w:rPr>
                <w:sz w:val="22"/>
              </w:rPr>
              <w:t>зазнала</w:t>
            </w:r>
            <w:proofErr w:type="spellEnd"/>
            <w:r w:rsidRPr="007E0AF4">
              <w:rPr>
                <w:sz w:val="22"/>
              </w:rPr>
              <w:t xml:space="preserve"> </w:t>
            </w:r>
            <w:proofErr w:type="spellStart"/>
            <w:r w:rsidRPr="007E0AF4">
              <w:rPr>
                <w:sz w:val="22"/>
              </w:rPr>
              <w:t>руйнувань</w:t>
            </w:r>
            <w:proofErr w:type="spellEnd"/>
            <w:r w:rsidRPr="007E0AF4">
              <w:rPr>
                <w:sz w:val="22"/>
              </w:rPr>
              <w:t xml:space="preserve">, </w:t>
            </w:r>
            <w:proofErr w:type="spellStart"/>
            <w:r w:rsidRPr="007E0AF4">
              <w:rPr>
                <w:sz w:val="22"/>
              </w:rPr>
              <w:t>майно</w:t>
            </w:r>
            <w:proofErr w:type="spellEnd"/>
            <w:r w:rsidRPr="007E0AF4">
              <w:rPr>
                <w:sz w:val="22"/>
              </w:rPr>
              <w:t xml:space="preserve"> закладу </w:t>
            </w:r>
            <w:proofErr w:type="spellStart"/>
            <w:r w:rsidRPr="007E0AF4">
              <w:rPr>
                <w:sz w:val="22"/>
              </w:rPr>
              <w:t>пошкоджен</w:t>
            </w:r>
            <w:proofErr w:type="spellEnd"/>
            <w:r w:rsidRPr="007E0AF4">
              <w:rPr>
                <w:sz w:val="22"/>
                <w:lang w:val="uk-UA"/>
              </w:rPr>
              <w:t>е</w:t>
            </w:r>
            <w:r w:rsidRPr="007E0AF4">
              <w:rPr>
                <w:sz w:val="22"/>
              </w:rPr>
              <w:t xml:space="preserve"> </w:t>
            </w:r>
            <w:proofErr w:type="spellStart"/>
            <w:r w:rsidRPr="007E0AF4">
              <w:rPr>
                <w:sz w:val="22"/>
              </w:rPr>
              <w:t>або</w:t>
            </w:r>
            <w:proofErr w:type="spellEnd"/>
            <w:r w:rsidRPr="007E0AF4">
              <w:rPr>
                <w:sz w:val="22"/>
              </w:rPr>
              <w:t xml:space="preserve"> </w:t>
            </w:r>
            <w:proofErr w:type="spellStart"/>
            <w:r w:rsidRPr="007E0AF4">
              <w:rPr>
                <w:sz w:val="22"/>
              </w:rPr>
              <w:t>розграбован</w:t>
            </w:r>
            <w:proofErr w:type="spellEnd"/>
            <w:r w:rsidRPr="007E0AF4">
              <w:rPr>
                <w:sz w:val="22"/>
                <w:lang w:val="uk-UA"/>
              </w:rPr>
              <w:t>е</w:t>
            </w:r>
            <w:r w:rsidRPr="007E0AF4">
              <w:rPr>
                <w:sz w:val="22"/>
              </w:rPr>
              <w:t xml:space="preserve">. Вся </w:t>
            </w:r>
            <w:proofErr w:type="spellStart"/>
            <w:r w:rsidRPr="007E0AF4">
              <w:rPr>
                <w:sz w:val="22"/>
              </w:rPr>
              <w:t>матеріально-технічна</w:t>
            </w:r>
            <w:proofErr w:type="spellEnd"/>
            <w:r w:rsidRPr="007E0AF4">
              <w:rPr>
                <w:sz w:val="22"/>
              </w:rPr>
              <w:t xml:space="preserve"> база закладу </w:t>
            </w:r>
            <w:proofErr w:type="spellStart"/>
            <w:r w:rsidRPr="007E0AF4">
              <w:rPr>
                <w:sz w:val="22"/>
              </w:rPr>
              <w:t>освіти</w:t>
            </w:r>
            <w:proofErr w:type="spellEnd"/>
            <w:r w:rsidRPr="007E0AF4">
              <w:rPr>
                <w:sz w:val="22"/>
              </w:rPr>
              <w:t xml:space="preserve"> </w:t>
            </w:r>
            <w:proofErr w:type="spellStart"/>
            <w:r w:rsidRPr="007E0AF4">
              <w:rPr>
                <w:sz w:val="22"/>
              </w:rPr>
              <w:t>була</w:t>
            </w:r>
            <w:proofErr w:type="spellEnd"/>
            <w:r w:rsidRPr="007E0AF4">
              <w:rPr>
                <w:sz w:val="22"/>
              </w:rPr>
              <w:t xml:space="preserve"> </w:t>
            </w:r>
            <w:proofErr w:type="spellStart"/>
            <w:r w:rsidRPr="007E0AF4">
              <w:rPr>
                <w:sz w:val="22"/>
              </w:rPr>
              <w:t>знищена</w:t>
            </w:r>
            <w:proofErr w:type="spellEnd"/>
            <w:r w:rsidRPr="007E0AF4">
              <w:rPr>
                <w:sz w:val="22"/>
              </w:rPr>
              <w:t xml:space="preserve">, </w:t>
            </w:r>
            <w:proofErr w:type="spellStart"/>
            <w:r w:rsidRPr="007E0AF4">
              <w:rPr>
                <w:sz w:val="22"/>
              </w:rPr>
              <w:t>зокрема</w:t>
            </w:r>
            <w:proofErr w:type="spellEnd"/>
            <w:r w:rsidRPr="007E0AF4">
              <w:rPr>
                <w:sz w:val="22"/>
              </w:rPr>
              <w:t>:</w:t>
            </w:r>
          </w:p>
          <w:p w:rsidR="002E3647" w:rsidRPr="007E0AF4" w:rsidRDefault="002E3647" w:rsidP="000303D7">
            <w:pPr>
              <w:pStyle w:val="a7"/>
              <w:numPr>
                <w:ilvl w:val="0"/>
                <w:numId w:val="112"/>
              </w:numPr>
              <w:ind w:left="0" w:firstLine="360"/>
              <w:rPr>
                <w:sz w:val="22"/>
              </w:rPr>
            </w:pPr>
            <w:proofErr w:type="spellStart"/>
            <w:r w:rsidRPr="007E0AF4">
              <w:rPr>
                <w:sz w:val="22"/>
              </w:rPr>
              <w:t>обладнання</w:t>
            </w:r>
            <w:proofErr w:type="spellEnd"/>
            <w:r w:rsidRPr="007E0AF4">
              <w:rPr>
                <w:sz w:val="22"/>
              </w:rPr>
              <w:t xml:space="preserve"> (</w:t>
            </w:r>
            <w:proofErr w:type="spellStart"/>
            <w:r w:rsidRPr="007E0AF4">
              <w:rPr>
                <w:sz w:val="22"/>
              </w:rPr>
              <w:t>устаткування</w:t>
            </w:r>
            <w:proofErr w:type="spellEnd"/>
            <w:r w:rsidRPr="007E0AF4">
              <w:rPr>
                <w:sz w:val="22"/>
              </w:rPr>
              <w:t>);</w:t>
            </w:r>
          </w:p>
          <w:p w:rsidR="002E3647" w:rsidRPr="007E0AF4" w:rsidRDefault="002E3647" w:rsidP="000303D7">
            <w:pPr>
              <w:pStyle w:val="a7"/>
              <w:numPr>
                <w:ilvl w:val="0"/>
                <w:numId w:val="112"/>
              </w:numPr>
              <w:ind w:left="0" w:firstLine="360"/>
              <w:rPr>
                <w:sz w:val="22"/>
              </w:rPr>
            </w:pPr>
            <w:proofErr w:type="spellStart"/>
            <w:proofErr w:type="gramStart"/>
            <w:r w:rsidRPr="007E0AF4">
              <w:rPr>
                <w:sz w:val="22"/>
              </w:rPr>
              <w:t>комп’ютерна</w:t>
            </w:r>
            <w:proofErr w:type="spellEnd"/>
            <w:r w:rsidRPr="007E0AF4">
              <w:rPr>
                <w:sz w:val="22"/>
              </w:rPr>
              <w:t xml:space="preserve">  </w:t>
            </w:r>
            <w:proofErr w:type="spellStart"/>
            <w:r w:rsidRPr="007E0AF4">
              <w:rPr>
                <w:sz w:val="22"/>
              </w:rPr>
              <w:t>техніка</w:t>
            </w:r>
            <w:proofErr w:type="spellEnd"/>
            <w:proofErr w:type="gramEnd"/>
            <w:r w:rsidRPr="007E0AF4">
              <w:rPr>
                <w:sz w:val="22"/>
              </w:rPr>
              <w:t xml:space="preserve"> </w:t>
            </w:r>
            <w:proofErr w:type="spellStart"/>
            <w:r w:rsidRPr="007E0AF4">
              <w:rPr>
                <w:sz w:val="22"/>
              </w:rPr>
              <w:t>із</w:t>
            </w:r>
            <w:proofErr w:type="spellEnd"/>
            <w:r w:rsidRPr="007E0AF4">
              <w:rPr>
                <w:sz w:val="22"/>
              </w:rPr>
              <w:t xml:space="preserve"> </w:t>
            </w:r>
            <w:proofErr w:type="spellStart"/>
            <w:r w:rsidRPr="007E0AF4">
              <w:rPr>
                <w:sz w:val="22"/>
              </w:rPr>
              <w:t>відповідним</w:t>
            </w:r>
            <w:proofErr w:type="spellEnd"/>
            <w:r w:rsidRPr="007E0AF4">
              <w:rPr>
                <w:sz w:val="22"/>
              </w:rPr>
              <w:t xml:space="preserve"> </w:t>
            </w:r>
            <w:proofErr w:type="spellStart"/>
            <w:r w:rsidRPr="007E0AF4">
              <w:rPr>
                <w:sz w:val="22"/>
              </w:rPr>
              <w:t>програмним</w:t>
            </w:r>
            <w:proofErr w:type="spellEnd"/>
            <w:r w:rsidRPr="007E0AF4">
              <w:rPr>
                <w:sz w:val="22"/>
              </w:rPr>
              <w:t xml:space="preserve"> </w:t>
            </w:r>
            <w:proofErr w:type="spellStart"/>
            <w:r w:rsidRPr="007E0AF4">
              <w:rPr>
                <w:sz w:val="22"/>
              </w:rPr>
              <w:t>забезпеченням</w:t>
            </w:r>
            <w:proofErr w:type="spellEnd"/>
            <w:r w:rsidRPr="007E0AF4">
              <w:rPr>
                <w:sz w:val="22"/>
              </w:rPr>
              <w:t>;</w:t>
            </w:r>
          </w:p>
          <w:p w:rsidR="002E3647" w:rsidRPr="007E0AF4" w:rsidRDefault="002E3647" w:rsidP="000303D7">
            <w:pPr>
              <w:pStyle w:val="a7"/>
              <w:numPr>
                <w:ilvl w:val="0"/>
                <w:numId w:val="112"/>
              </w:numPr>
              <w:ind w:left="0" w:firstLine="360"/>
              <w:rPr>
                <w:sz w:val="22"/>
              </w:rPr>
            </w:pPr>
            <w:proofErr w:type="spellStart"/>
            <w:r w:rsidRPr="007E0AF4">
              <w:rPr>
                <w:sz w:val="22"/>
              </w:rPr>
              <w:t>інша</w:t>
            </w:r>
            <w:proofErr w:type="spellEnd"/>
            <w:r w:rsidRPr="007E0AF4">
              <w:rPr>
                <w:sz w:val="22"/>
              </w:rPr>
              <w:t xml:space="preserve"> </w:t>
            </w:r>
            <w:proofErr w:type="spellStart"/>
            <w:r w:rsidRPr="007E0AF4">
              <w:rPr>
                <w:sz w:val="22"/>
              </w:rPr>
              <w:t>оргтехніка</w:t>
            </w:r>
            <w:proofErr w:type="spellEnd"/>
            <w:r w:rsidRPr="007E0AF4">
              <w:rPr>
                <w:sz w:val="22"/>
              </w:rPr>
              <w:t xml:space="preserve"> (</w:t>
            </w:r>
            <w:proofErr w:type="spellStart"/>
            <w:r w:rsidRPr="007E0AF4">
              <w:rPr>
                <w:sz w:val="22"/>
              </w:rPr>
              <w:t>монітори</w:t>
            </w:r>
            <w:proofErr w:type="spellEnd"/>
            <w:r w:rsidRPr="007E0AF4">
              <w:rPr>
                <w:sz w:val="22"/>
              </w:rPr>
              <w:t xml:space="preserve">, </w:t>
            </w:r>
            <w:proofErr w:type="spellStart"/>
            <w:r w:rsidRPr="007E0AF4">
              <w:rPr>
                <w:sz w:val="22"/>
              </w:rPr>
              <w:t>принтери</w:t>
            </w:r>
            <w:proofErr w:type="spellEnd"/>
            <w:r w:rsidRPr="007E0AF4">
              <w:rPr>
                <w:sz w:val="22"/>
              </w:rPr>
              <w:t xml:space="preserve">, </w:t>
            </w:r>
            <w:proofErr w:type="spellStart"/>
            <w:r w:rsidRPr="007E0AF4">
              <w:rPr>
                <w:sz w:val="22"/>
              </w:rPr>
              <w:t>сканери</w:t>
            </w:r>
            <w:proofErr w:type="spellEnd"/>
            <w:r w:rsidRPr="007E0AF4">
              <w:rPr>
                <w:sz w:val="22"/>
              </w:rPr>
              <w:t xml:space="preserve"> </w:t>
            </w:r>
            <w:proofErr w:type="spellStart"/>
            <w:r w:rsidRPr="007E0AF4">
              <w:rPr>
                <w:sz w:val="22"/>
              </w:rPr>
              <w:t>тощо</w:t>
            </w:r>
            <w:proofErr w:type="spellEnd"/>
            <w:r w:rsidRPr="007E0AF4">
              <w:rPr>
                <w:sz w:val="22"/>
              </w:rPr>
              <w:t>);</w:t>
            </w:r>
          </w:p>
          <w:p w:rsidR="002E3647" w:rsidRPr="007E0AF4" w:rsidRDefault="002E3647" w:rsidP="000303D7">
            <w:pPr>
              <w:pStyle w:val="13"/>
              <w:numPr>
                <w:ilvl w:val="0"/>
                <w:numId w:val="112"/>
              </w:numPr>
              <w:ind w:left="0" w:firstLine="360"/>
              <w:jc w:val="both"/>
              <w:rPr>
                <w:sz w:val="22"/>
                <w:lang w:val="uk-UA"/>
              </w:rPr>
            </w:pPr>
            <w:r w:rsidRPr="007E0AF4">
              <w:rPr>
                <w:sz w:val="22"/>
                <w:lang w:val="uk-UA"/>
              </w:rPr>
              <w:t>офісні та навчальні меблі, сейфи, твердий та м’який інвентар, спеціальний одяг для працівників їдальні та технічного персоналу тощо.</w:t>
            </w:r>
          </w:p>
          <w:p w:rsidR="002E3647" w:rsidRPr="007E0AF4" w:rsidRDefault="002E3647" w:rsidP="001E6C97">
            <w:pPr>
              <w:pStyle w:val="13"/>
              <w:jc w:val="both"/>
              <w:rPr>
                <w:sz w:val="22"/>
                <w:lang w:val="uk-UA"/>
              </w:rPr>
            </w:pPr>
            <w:r w:rsidRPr="007E0AF4">
              <w:rPr>
                <w:rFonts w:eastAsia="Arial"/>
                <w:sz w:val="22"/>
                <w:lang w:val="uk-UA"/>
              </w:rPr>
              <w:t xml:space="preserve">            Для відбудови та сталого розвитку громади потрібно відновлення роботи комунального закладу Гімназії «ГАРМОНІЯ» міста Сєвєродонецька Луганської області та забезпечення матеріально-технічної бази закладу, яка буде відповідати сучасним стандартам освіти в  Україні.</w:t>
            </w:r>
          </w:p>
        </w:tc>
      </w:tr>
      <w:tr w:rsidR="002E3647" w:rsidRPr="007E0AF4" w:rsidTr="002E3647">
        <w:tc>
          <w:tcPr>
            <w:tcW w:w="2978" w:type="dxa"/>
            <w:shd w:val="clear" w:color="auto" w:fill="C6D9F1" w:themeFill="text2" w:themeFillTint="33"/>
          </w:tcPr>
          <w:p w:rsidR="002E3647" w:rsidRPr="007E0AF4" w:rsidRDefault="002E3647" w:rsidP="001E6C97">
            <w:pPr>
              <w:pStyle w:val="a7"/>
              <w:ind w:left="0"/>
              <w:rPr>
                <w:b/>
                <w:sz w:val="22"/>
              </w:rPr>
            </w:pPr>
            <w:proofErr w:type="spellStart"/>
            <w:r w:rsidRPr="007E0AF4">
              <w:rPr>
                <w:b/>
                <w:sz w:val="22"/>
              </w:rPr>
              <w:lastRenderedPageBreak/>
              <w:t>Очікувані</w:t>
            </w:r>
            <w:proofErr w:type="spellEnd"/>
            <w:r w:rsidRPr="007E0AF4">
              <w:rPr>
                <w:b/>
                <w:sz w:val="22"/>
              </w:rPr>
              <w:t xml:space="preserve"> </w:t>
            </w:r>
            <w:proofErr w:type="spellStart"/>
            <w:r w:rsidRPr="007E0AF4">
              <w:rPr>
                <w:b/>
                <w:sz w:val="22"/>
              </w:rPr>
              <w:t>якісні</w:t>
            </w:r>
            <w:proofErr w:type="spellEnd"/>
            <w:r w:rsidRPr="007E0AF4">
              <w:rPr>
                <w:b/>
                <w:sz w:val="22"/>
              </w:rPr>
              <w:t xml:space="preserve"> </w:t>
            </w:r>
            <w:proofErr w:type="spellStart"/>
            <w:r w:rsidRPr="007E0AF4">
              <w:rPr>
                <w:b/>
                <w:sz w:val="22"/>
              </w:rPr>
              <w:t>результати</w:t>
            </w:r>
            <w:proofErr w:type="spellEnd"/>
            <w:r w:rsidRPr="007E0AF4">
              <w:rPr>
                <w:b/>
                <w:sz w:val="22"/>
              </w:rPr>
              <w:t xml:space="preserve"> </w:t>
            </w:r>
            <w:proofErr w:type="spellStart"/>
            <w:r w:rsidRPr="007E0AF4">
              <w:rPr>
                <w:b/>
                <w:sz w:val="22"/>
              </w:rPr>
              <w:t>від</w:t>
            </w:r>
            <w:proofErr w:type="spellEnd"/>
            <w:r w:rsidRPr="007E0AF4">
              <w:rPr>
                <w:b/>
                <w:sz w:val="22"/>
              </w:rPr>
              <w:t xml:space="preserve"> </w:t>
            </w:r>
            <w:proofErr w:type="spellStart"/>
            <w:r w:rsidRPr="007E0AF4">
              <w:rPr>
                <w:b/>
                <w:sz w:val="22"/>
              </w:rPr>
              <w:t>реалізації</w:t>
            </w:r>
            <w:proofErr w:type="spellEnd"/>
            <w:r w:rsidRPr="007E0AF4">
              <w:rPr>
                <w:b/>
                <w:sz w:val="22"/>
              </w:rPr>
              <w:t xml:space="preserve"> проекту</w:t>
            </w:r>
          </w:p>
        </w:tc>
        <w:tc>
          <w:tcPr>
            <w:tcW w:w="6945" w:type="dxa"/>
            <w:gridSpan w:val="6"/>
          </w:tcPr>
          <w:p w:rsidR="002E3647" w:rsidRPr="007E0AF4" w:rsidRDefault="002E3647" w:rsidP="000303D7">
            <w:pPr>
              <w:pStyle w:val="a7"/>
              <w:numPr>
                <w:ilvl w:val="0"/>
                <w:numId w:val="109"/>
              </w:numPr>
              <w:ind w:left="0" w:firstLine="425"/>
              <w:rPr>
                <w:sz w:val="22"/>
              </w:rPr>
            </w:pPr>
            <w:proofErr w:type="spellStart"/>
            <w:r w:rsidRPr="007E0AF4">
              <w:rPr>
                <w:sz w:val="22"/>
              </w:rPr>
              <w:t>Підготовка</w:t>
            </w:r>
            <w:proofErr w:type="spellEnd"/>
            <w:r w:rsidRPr="007E0AF4">
              <w:rPr>
                <w:sz w:val="22"/>
              </w:rPr>
              <w:t xml:space="preserve"> </w:t>
            </w:r>
            <w:proofErr w:type="spellStart"/>
            <w:r w:rsidRPr="007E0AF4">
              <w:rPr>
                <w:sz w:val="22"/>
              </w:rPr>
              <w:t>Гімназії</w:t>
            </w:r>
            <w:proofErr w:type="spellEnd"/>
            <w:r w:rsidRPr="007E0AF4">
              <w:rPr>
                <w:sz w:val="22"/>
              </w:rPr>
              <w:t xml:space="preserve"> «ГАРМОНІЯ» для </w:t>
            </w:r>
            <w:proofErr w:type="spellStart"/>
            <w:r w:rsidRPr="007E0AF4">
              <w:rPr>
                <w:sz w:val="22"/>
              </w:rPr>
              <w:t>якісного</w:t>
            </w:r>
            <w:proofErr w:type="spellEnd"/>
            <w:r w:rsidRPr="007E0AF4">
              <w:rPr>
                <w:sz w:val="22"/>
              </w:rPr>
              <w:t xml:space="preserve"> </w:t>
            </w:r>
            <w:proofErr w:type="spellStart"/>
            <w:r w:rsidRPr="007E0AF4">
              <w:rPr>
                <w:sz w:val="22"/>
              </w:rPr>
              <w:t>надання</w:t>
            </w:r>
            <w:proofErr w:type="spellEnd"/>
            <w:r w:rsidRPr="007E0AF4">
              <w:rPr>
                <w:sz w:val="22"/>
              </w:rPr>
              <w:t xml:space="preserve"> </w:t>
            </w:r>
            <w:proofErr w:type="spellStart"/>
            <w:r w:rsidRPr="007E0AF4">
              <w:rPr>
                <w:sz w:val="22"/>
              </w:rPr>
              <w:t>освітніх</w:t>
            </w:r>
            <w:proofErr w:type="spellEnd"/>
            <w:r w:rsidRPr="007E0AF4">
              <w:rPr>
                <w:sz w:val="22"/>
              </w:rPr>
              <w:t xml:space="preserve"> </w:t>
            </w:r>
            <w:proofErr w:type="spellStart"/>
            <w:r w:rsidRPr="007E0AF4">
              <w:rPr>
                <w:sz w:val="22"/>
              </w:rPr>
              <w:t>послуг</w:t>
            </w:r>
            <w:proofErr w:type="spellEnd"/>
            <w:r w:rsidRPr="007E0AF4">
              <w:rPr>
                <w:sz w:val="22"/>
              </w:rPr>
              <w:t xml:space="preserve"> </w:t>
            </w:r>
            <w:proofErr w:type="spellStart"/>
            <w:r w:rsidRPr="007E0AF4">
              <w:rPr>
                <w:sz w:val="22"/>
              </w:rPr>
              <w:t>відповідно</w:t>
            </w:r>
            <w:proofErr w:type="spellEnd"/>
            <w:r w:rsidRPr="007E0AF4">
              <w:rPr>
                <w:sz w:val="22"/>
              </w:rPr>
              <w:t xml:space="preserve"> до чинного </w:t>
            </w:r>
            <w:proofErr w:type="spellStart"/>
            <w:r w:rsidRPr="007E0AF4">
              <w:rPr>
                <w:sz w:val="22"/>
              </w:rPr>
              <w:t>законодавства</w:t>
            </w:r>
            <w:proofErr w:type="spellEnd"/>
            <w:r w:rsidRPr="007E0AF4">
              <w:rPr>
                <w:sz w:val="22"/>
              </w:rPr>
              <w:t xml:space="preserve"> </w:t>
            </w:r>
            <w:proofErr w:type="spellStart"/>
            <w:r w:rsidRPr="007E0AF4">
              <w:rPr>
                <w:sz w:val="22"/>
              </w:rPr>
              <w:t>України</w:t>
            </w:r>
            <w:proofErr w:type="spellEnd"/>
            <w:r w:rsidR="0000106F" w:rsidRPr="007E0AF4">
              <w:rPr>
                <w:sz w:val="22"/>
              </w:rPr>
              <w:t>.</w:t>
            </w:r>
            <w:r w:rsidRPr="007E0AF4">
              <w:rPr>
                <w:sz w:val="22"/>
              </w:rPr>
              <w:t xml:space="preserve"> </w:t>
            </w:r>
          </w:p>
          <w:p w:rsidR="002E3647" w:rsidRPr="007E0AF4" w:rsidRDefault="002E3647" w:rsidP="000303D7">
            <w:pPr>
              <w:pStyle w:val="a7"/>
              <w:numPr>
                <w:ilvl w:val="0"/>
                <w:numId w:val="109"/>
              </w:numPr>
              <w:ind w:left="0" w:firstLine="425"/>
              <w:rPr>
                <w:sz w:val="22"/>
              </w:rPr>
            </w:pPr>
            <w:proofErr w:type="spellStart"/>
            <w:r w:rsidRPr="007E0AF4">
              <w:rPr>
                <w:sz w:val="22"/>
              </w:rPr>
              <w:t>Надання</w:t>
            </w:r>
            <w:proofErr w:type="spellEnd"/>
            <w:r w:rsidRPr="007E0AF4">
              <w:rPr>
                <w:sz w:val="22"/>
              </w:rPr>
              <w:t xml:space="preserve"> широкого спектру </w:t>
            </w:r>
            <w:proofErr w:type="spellStart"/>
            <w:r w:rsidRPr="007E0AF4">
              <w:rPr>
                <w:sz w:val="22"/>
              </w:rPr>
              <w:t>послуг</w:t>
            </w:r>
            <w:proofErr w:type="spellEnd"/>
            <w:r w:rsidRPr="007E0AF4">
              <w:rPr>
                <w:sz w:val="22"/>
              </w:rPr>
              <w:t xml:space="preserve">, </w:t>
            </w:r>
            <w:proofErr w:type="spellStart"/>
            <w:r w:rsidRPr="007E0AF4">
              <w:rPr>
                <w:sz w:val="22"/>
              </w:rPr>
              <w:t>пов’язаних</w:t>
            </w:r>
            <w:proofErr w:type="spellEnd"/>
            <w:r w:rsidRPr="007E0AF4">
              <w:rPr>
                <w:sz w:val="22"/>
              </w:rPr>
              <w:t xml:space="preserve"> </w:t>
            </w:r>
            <w:proofErr w:type="spellStart"/>
            <w:r w:rsidRPr="007E0AF4">
              <w:rPr>
                <w:sz w:val="22"/>
              </w:rPr>
              <w:t>із</w:t>
            </w:r>
            <w:proofErr w:type="spellEnd"/>
            <w:r w:rsidRPr="007E0AF4">
              <w:rPr>
                <w:sz w:val="22"/>
              </w:rPr>
              <w:t xml:space="preserve"> </w:t>
            </w:r>
            <w:proofErr w:type="spellStart"/>
            <w:r w:rsidRPr="007E0AF4">
              <w:rPr>
                <w:sz w:val="22"/>
              </w:rPr>
              <w:t>освітньою</w:t>
            </w:r>
            <w:proofErr w:type="spellEnd"/>
            <w:r w:rsidRPr="007E0AF4">
              <w:rPr>
                <w:sz w:val="22"/>
              </w:rPr>
              <w:t xml:space="preserve"> </w:t>
            </w:r>
            <w:proofErr w:type="spellStart"/>
            <w:r w:rsidRPr="007E0AF4">
              <w:rPr>
                <w:sz w:val="22"/>
              </w:rPr>
              <w:t>діяльністю</w:t>
            </w:r>
            <w:proofErr w:type="spellEnd"/>
            <w:r w:rsidRPr="007E0AF4">
              <w:rPr>
                <w:sz w:val="22"/>
              </w:rPr>
              <w:t xml:space="preserve"> </w:t>
            </w:r>
            <w:proofErr w:type="spellStart"/>
            <w:r w:rsidRPr="007E0AF4">
              <w:rPr>
                <w:sz w:val="22"/>
              </w:rPr>
              <w:t>закладів</w:t>
            </w:r>
            <w:proofErr w:type="spellEnd"/>
            <w:r w:rsidRPr="007E0AF4">
              <w:rPr>
                <w:sz w:val="22"/>
              </w:rPr>
              <w:t xml:space="preserve"> </w:t>
            </w:r>
            <w:proofErr w:type="spellStart"/>
            <w:r w:rsidRPr="007E0AF4">
              <w:rPr>
                <w:sz w:val="22"/>
              </w:rPr>
              <w:t>освіти</w:t>
            </w:r>
            <w:proofErr w:type="spellEnd"/>
            <w:r w:rsidRPr="007E0AF4">
              <w:rPr>
                <w:sz w:val="22"/>
              </w:rPr>
              <w:t xml:space="preserve"> </w:t>
            </w:r>
            <w:proofErr w:type="spellStart"/>
            <w:r w:rsidRPr="007E0AF4">
              <w:rPr>
                <w:sz w:val="22"/>
              </w:rPr>
              <w:t>міста</w:t>
            </w:r>
            <w:proofErr w:type="spellEnd"/>
            <w:r w:rsidR="0000106F" w:rsidRPr="007E0AF4">
              <w:rPr>
                <w:sz w:val="22"/>
              </w:rPr>
              <w:t>.</w:t>
            </w:r>
          </w:p>
          <w:p w:rsidR="002E3647" w:rsidRPr="007E0AF4" w:rsidRDefault="002E3647" w:rsidP="000303D7">
            <w:pPr>
              <w:pStyle w:val="a7"/>
              <w:numPr>
                <w:ilvl w:val="0"/>
                <w:numId w:val="109"/>
              </w:numPr>
              <w:ind w:left="0" w:firstLine="425"/>
              <w:rPr>
                <w:sz w:val="22"/>
              </w:rPr>
            </w:pPr>
            <w:proofErr w:type="spellStart"/>
            <w:r w:rsidRPr="007E0AF4">
              <w:rPr>
                <w:sz w:val="22"/>
              </w:rPr>
              <w:t>Забезпечення</w:t>
            </w:r>
            <w:proofErr w:type="spellEnd"/>
            <w:r w:rsidRPr="007E0AF4">
              <w:rPr>
                <w:sz w:val="22"/>
              </w:rPr>
              <w:t xml:space="preserve"> </w:t>
            </w:r>
            <w:proofErr w:type="spellStart"/>
            <w:r w:rsidRPr="007E0AF4">
              <w:rPr>
                <w:sz w:val="22"/>
              </w:rPr>
              <w:t>населення</w:t>
            </w:r>
            <w:proofErr w:type="spellEnd"/>
            <w:r w:rsidRPr="007E0AF4">
              <w:rPr>
                <w:sz w:val="22"/>
              </w:rPr>
              <w:t xml:space="preserve"> </w:t>
            </w:r>
            <w:proofErr w:type="spellStart"/>
            <w:r w:rsidRPr="007E0AF4">
              <w:rPr>
                <w:sz w:val="22"/>
              </w:rPr>
              <w:t>можливостями</w:t>
            </w:r>
            <w:proofErr w:type="spellEnd"/>
            <w:r w:rsidRPr="007E0AF4">
              <w:rPr>
                <w:sz w:val="22"/>
              </w:rPr>
              <w:t xml:space="preserve"> для </w:t>
            </w:r>
            <w:proofErr w:type="spellStart"/>
            <w:proofErr w:type="gramStart"/>
            <w:r w:rsidRPr="007E0AF4">
              <w:rPr>
                <w:sz w:val="22"/>
              </w:rPr>
              <w:t>реалізації</w:t>
            </w:r>
            <w:proofErr w:type="spellEnd"/>
            <w:r w:rsidRPr="007E0AF4">
              <w:rPr>
                <w:sz w:val="22"/>
              </w:rPr>
              <w:t xml:space="preserve">  </w:t>
            </w:r>
            <w:proofErr w:type="spellStart"/>
            <w:r w:rsidRPr="007E0AF4">
              <w:rPr>
                <w:sz w:val="22"/>
              </w:rPr>
              <w:t>конституційних</w:t>
            </w:r>
            <w:proofErr w:type="spellEnd"/>
            <w:proofErr w:type="gramEnd"/>
            <w:r w:rsidRPr="007E0AF4">
              <w:rPr>
                <w:sz w:val="22"/>
              </w:rPr>
              <w:t xml:space="preserve"> прав, </w:t>
            </w:r>
            <w:proofErr w:type="spellStart"/>
            <w:r w:rsidRPr="007E0AF4">
              <w:rPr>
                <w:sz w:val="22"/>
              </w:rPr>
              <w:t>пов’язаних</w:t>
            </w:r>
            <w:proofErr w:type="spellEnd"/>
            <w:r w:rsidRPr="007E0AF4">
              <w:rPr>
                <w:sz w:val="22"/>
              </w:rPr>
              <w:t xml:space="preserve"> </w:t>
            </w:r>
            <w:proofErr w:type="spellStart"/>
            <w:r w:rsidRPr="007E0AF4">
              <w:rPr>
                <w:sz w:val="22"/>
              </w:rPr>
              <w:t>із</w:t>
            </w:r>
            <w:proofErr w:type="spellEnd"/>
            <w:r w:rsidRPr="007E0AF4">
              <w:rPr>
                <w:sz w:val="22"/>
              </w:rPr>
              <w:t xml:space="preserve"> правом </w:t>
            </w:r>
            <w:proofErr w:type="spellStart"/>
            <w:r w:rsidRPr="007E0AF4">
              <w:rPr>
                <w:sz w:val="22"/>
              </w:rPr>
              <w:t>громадян</w:t>
            </w:r>
            <w:proofErr w:type="spellEnd"/>
            <w:r w:rsidRPr="007E0AF4">
              <w:rPr>
                <w:sz w:val="22"/>
              </w:rPr>
              <w:t xml:space="preserve"> на </w:t>
            </w:r>
            <w:proofErr w:type="spellStart"/>
            <w:r w:rsidRPr="007E0AF4">
              <w:rPr>
                <w:sz w:val="22"/>
              </w:rPr>
              <w:t>освіту</w:t>
            </w:r>
            <w:proofErr w:type="spellEnd"/>
            <w:r w:rsidR="0000106F" w:rsidRPr="007E0AF4">
              <w:rPr>
                <w:sz w:val="22"/>
              </w:rPr>
              <w:t>.</w:t>
            </w:r>
          </w:p>
          <w:p w:rsidR="002E3647" w:rsidRPr="007E0AF4" w:rsidRDefault="002E3647" w:rsidP="000303D7">
            <w:pPr>
              <w:pStyle w:val="a7"/>
              <w:numPr>
                <w:ilvl w:val="0"/>
                <w:numId w:val="109"/>
              </w:numPr>
              <w:ind w:left="0" w:firstLine="425"/>
              <w:rPr>
                <w:sz w:val="22"/>
              </w:rPr>
            </w:pPr>
            <w:proofErr w:type="spellStart"/>
            <w:r w:rsidRPr="007E0AF4">
              <w:rPr>
                <w:sz w:val="22"/>
              </w:rPr>
              <w:t>Вирішення</w:t>
            </w:r>
            <w:proofErr w:type="spellEnd"/>
            <w:r w:rsidRPr="007E0AF4">
              <w:rPr>
                <w:sz w:val="22"/>
              </w:rPr>
              <w:t xml:space="preserve"> ряду </w:t>
            </w:r>
            <w:proofErr w:type="spellStart"/>
            <w:r w:rsidRPr="007E0AF4">
              <w:rPr>
                <w:sz w:val="22"/>
              </w:rPr>
              <w:t>питань</w:t>
            </w:r>
            <w:proofErr w:type="spellEnd"/>
            <w:r w:rsidRPr="007E0AF4">
              <w:rPr>
                <w:sz w:val="22"/>
              </w:rPr>
              <w:t xml:space="preserve"> в межах </w:t>
            </w:r>
            <w:proofErr w:type="spellStart"/>
            <w:r w:rsidR="0000106F" w:rsidRPr="007E0AF4">
              <w:rPr>
                <w:sz w:val="22"/>
              </w:rPr>
              <w:t>с</w:t>
            </w:r>
            <w:r w:rsidRPr="007E0AF4">
              <w:rPr>
                <w:sz w:val="22"/>
              </w:rPr>
              <w:t>татутної</w:t>
            </w:r>
            <w:proofErr w:type="spellEnd"/>
            <w:r w:rsidRPr="007E0AF4">
              <w:rPr>
                <w:sz w:val="22"/>
              </w:rPr>
              <w:t xml:space="preserve"> </w:t>
            </w:r>
            <w:proofErr w:type="spellStart"/>
            <w:r w:rsidRPr="007E0AF4">
              <w:rPr>
                <w:sz w:val="22"/>
              </w:rPr>
              <w:t>діяльності</w:t>
            </w:r>
            <w:proofErr w:type="spellEnd"/>
            <w:r w:rsidRPr="007E0AF4">
              <w:rPr>
                <w:sz w:val="22"/>
              </w:rPr>
              <w:t xml:space="preserve"> закладу </w:t>
            </w:r>
            <w:proofErr w:type="spellStart"/>
            <w:r w:rsidRPr="007E0AF4">
              <w:rPr>
                <w:sz w:val="22"/>
              </w:rPr>
              <w:t>освіти</w:t>
            </w:r>
            <w:proofErr w:type="spellEnd"/>
            <w:r w:rsidRPr="007E0AF4">
              <w:rPr>
                <w:sz w:val="22"/>
              </w:rPr>
              <w:t xml:space="preserve">, </w:t>
            </w:r>
            <w:proofErr w:type="spellStart"/>
            <w:r w:rsidRPr="007E0AF4">
              <w:rPr>
                <w:sz w:val="22"/>
              </w:rPr>
              <w:t>пов’язаних</w:t>
            </w:r>
            <w:proofErr w:type="spellEnd"/>
            <w:r w:rsidRPr="007E0AF4">
              <w:rPr>
                <w:sz w:val="22"/>
              </w:rPr>
              <w:t xml:space="preserve"> </w:t>
            </w:r>
            <w:proofErr w:type="spellStart"/>
            <w:r w:rsidRPr="007E0AF4">
              <w:rPr>
                <w:sz w:val="22"/>
              </w:rPr>
              <w:t>із</w:t>
            </w:r>
            <w:proofErr w:type="spellEnd"/>
            <w:r w:rsidRPr="007E0AF4">
              <w:rPr>
                <w:sz w:val="22"/>
              </w:rPr>
              <w:t xml:space="preserve"> </w:t>
            </w:r>
            <w:proofErr w:type="spellStart"/>
            <w:r w:rsidRPr="007E0AF4">
              <w:rPr>
                <w:sz w:val="22"/>
              </w:rPr>
              <w:t>відбудовою</w:t>
            </w:r>
            <w:proofErr w:type="spellEnd"/>
            <w:r w:rsidRPr="007E0AF4">
              <w:rPr>
                <w:sz w:val="22"/>
              </w:rPr>
              <w:t xml:space="preserve"> та </w:t>
            </w:r>
            <w:proofErr w:type="spellStart"/>
            <w:r w:rsidRPr="007E0AF4">
              <w:rPr>
                <w:sz w:val="22"/>
              </w:rPr>
              <w:t>сталим</w:t>
            </w:r>
            <w:proofErr w:type="spellEnd"/>
            <w:r w:rsidRPr="007E0AF4">
              <w:rPr>
                <w:sz w:val="22"/>
              </w:rPr>
              <w:t xml:space="preserve"> </w:t>
            </w:r>
            <w:proofErr w:type="spellStart"/>
            <w:r w:rsidRPr="007E0AF4">
              <w:rPr>
                <w:sz w:val="22"/>
              </w:rPr>
              <w:t>розвитком</w:t>
            </w:r>
            <w:proofErr w:type="spellEnd"/>
            <w:r w:rsidRPr="007E0AF4">
              <w:rPr>
                <w:sz w:val="22"/>
              </w:rPr>
              <w:t xml:space="preserve"> </w:t>
            </w:r>
            <w:proofErr w:type="spellStart"/>
            <w:r w:rsidRPr="007E0AF4">
              <w:rPr>
                <w:sz w:val="22"/>
              </w:rPr>
              <w:t>громади</w:t>
            </w:r>
            <w:proofErr w:type="spellEnd"/>
            <w:r w:rsidR="0000106F" w:rsidRPr="007E0AF4">
              <w:rPr>
                <w:sz w:val="22"/>
              </w:rPr>
              <w:t>.</w:t>
            </w:r>
          </w:p>
          <w:p w:rsidR="002E3647" w:rsidRPr="007E0AF4" w:rsidRDefault="002E3647" w:rsidP="000303D7">
            <w:pPr>
              <w:pStyle w:val="a7"/>
              <w:numPr>
                <w:ilvl w:val="0"/>
                <w:numId w:val="109"/>
              </w:numPr>
              <w:ind w:left="0" w:firstLine="425"/>
              <w:rPr>
                <w:sz w:val="22"/>
              </w:rPr>
            </w:pPr>
            <w:proofErr w:type="spellStart"/>
            <w:r w:rsidRPr="007E0AF4">
              <w:rPr>
                <w:sz w:val="22"/>
              </w:rPr>
              <w:t>Створення</w:t>
            </w:r>
            <w:proofErr w:type="spellEnd"/>
            <w:r w:rsidRPr="007E0AF4">
              <w:rPr>
                <w:sz w:val="22"/>
              </w:rPr>
              <w:t xml:space="preserve"> </w:t>
            </w:r>
            <w:proofErr w:type="spellStart"/>
            <w:r w:rsidRPr="007E0AF4">
              <w:rPr>
                <w:sz w:val="22"/>
              </w:rPr>
              <w:t>нових</w:t>
            </w:r>
            <w:proofErr w:type="spellEnd"/>
            <w:r w:rsidRPr="007E0AF4">
              <w:rPr>
                <w:sz w:val="22"/>
              </w:rPr>
              <w:t xml:space="preserve"> </w:t>
            </w:r>
            <w:proofErr w:type="spellStart"/>
            <w:r w:rsidRPr="007E0AF4">
              <w:rPr>
                <w:sz w:val="22"/>
              </w:rPr>
              <w:t>робочих</w:t>
            </w:r>
            <w:proofErr w:type="spellEnd"/>
            <w:r w:rsidRPr="007E0AF4">
              <w:rPr>
                <w:sz w:val="22"/>
              </w:rPr>
              <w:t xml:space="preserve"> </w:t>
            </w:r>
            <w:proofErr w:type="spellStart"/>
            <w:r w:rsidRPr="007E0AF4">
              <w:rPr>
                <w:sz w:val="22"/>
              </w:rPr>
              <w:t>місць</w:t>
            </w:r>
            <w:proofErr w:type="spellEnd"/>
            <w:r w:rsidR="0000106F" w:rsidRPr="007E0AF4">
              <w:rPr>
                <w:sz w:val="22"/>
              </w:rPr>
              <w:t>.</w:t>
            </w:r>
          </w:p>
          <w:p w:rsidR="002E3647" w:rsidRPr="007E0AF4" w:rsidRDefault="002E3647" w:rsidP="000303D7">
            <w:pPr>
              <w:pStyle w:val="a7"/>
              <w:numPr>
                <w:ilvl w:val="0"/>
                <w:numId w:val="109"/>
              </w:numPr>
              <w:ind w:left="0" w:firstLine="425"/>
              <w:rPr>
                <w:sz w:val="22"/>
              </w:rPr>
            </w:pPr>
            <w:r w:rsidRPr="007E0AF4">
              <w:rPr>
                <w:sz w:val="22"/>
              </w:rPr>
              <w:t xml:space="preserve">Стимул для </w:t>
            </w:r>
            <w:proofErr w:type="spellStart"/>
            <w:r w:rsidRPr="007E0AF4">
              <w:rPr>
                <w:sz w:val="22"/>
              </w:rPr>
              <w:t>повернення</w:t>
            </w:r>
            <w:proofErr w:type="spellEnd"/>
            <w:r w:rsidRPr="007E0AF4">
              <w:rPr>
                <w:sz w:val="22"/>
              </w:rPr>
              <w:t xml:space="preserve"> ВПО до </w:t>
            </w:r>
            <w:proofErr w:type="spellStart"/>
            <w:r w:rsidRPr="007E0AF4">
              <w:rPr>
                <w:sz w:val="22"/>
              </w:rPr>
              <w:t>громади</w:t>
            </w:r>
            <w:proofErr w:type="spellEnd"/>
            <w:r w:rsidR="0000106F" w:rsidRPr="007E0AF4">
              <w:rPr>
                <w:sz w:val="22"/>
              </w:rPr>
              <w:t>.</w:t>
            </w:r>
          </w:p>
          <w:p w:rsidR="002E3647" w:rsidRPr="007E0AF4" w:rsidRDefault="002E3647" w:rsidP="000303D7">
            <w:pPr>
              <w:pStyle w:val="a7"/>
              <w:numPr>
                <w:ilvl w:val="0"/>
                <w:numId w:val="109"/>
              </w:numPr>
              <w:ind w:left="0" w:firstLine="425"/>
              <w:rPr>
                <w:sz w:val="22"/>
              </w:rPr>
            </w:pPr>
            <w:proofErr w:type="spellStart"/>
            <w:r w:rsidRPr="007E0AF4">
              <w:rPr>
                <w:sz w:val="22"/>
              </w:rPr>
              <w:t>Забезпечення</w:t>
            </w:r>
            <w:proofErr w:type="spellEnd"/>
            <w:r w:rsidRPr="007E0AF4">
              <w:rPr>
                <w:sz w:val="22"/>
              </w:rPr>
              <w:t xml:space="preserve"> закладу </w:t>
            </w:r>
            <w:proofErr w:type="spellStart"/>
            <w:r w:rsidRPr="007E0AF4">
              <w:rPr>
                <w:sz w:val="22"/>
              </w:rPr>
              <w:t>необхідним</w:t>
            </w:r>
            <w:proofErr w:type="spellEnd"/>
            <w:r w:rsidRPr="007E0AF4">
              <w:rPr>
                <w:sz w:val="22"/>
              </w:rPr>
              <w:t xml:space="preserve"> </w:t>
            </w:r>
            <w:proofErr w:type="spellStart"/>
            <w:r w:rsidRPr="007E0AF4">
              <w:rPr>
                <w:sz w:val="22"/>
              </w:rPr>
              <w:t>обладнанням</w:t>
            </w:r>
            <w:proofErr w:type="spellEnd"/>
            <w:r w:rsidRPr="007E0AF4">
              <w:rPr>
                <w:sz w:val="22"/>
              </w:rPr>
              <w:t xml:space="preserve"> (</w:t>
            </w:r>
            <w:proofErr w:type="spellStart"/>
            <w:r w:rsidRPr="007E0AF4">
              <w:rPr>
                <w:sz w:val="22"/>
              </w:rPr>
              <w:t>устаткуванням</w:t>
            </w:r>
            <w:proofErr w:type="spellEnd"/>
            <w:r w:rsidRPr="007E0AF4">
              <w:rPr>
                <w:sz w:val="22"/>
              </w:rPr>
              <w:t xml:space="preserve">), </w:t>
            </w:r>
            <w:proofErr w:type="spellStart"/>
            <w:r w:rsidRPr="007E0AF4">
              <w:rPr>
                <w:sz w:val="22"/>
              </w:rPr>
              <w:t>налаштування</w:t>
            </w:r>
            <w:proofErr w:type="spellEnd"/>
            <w:r w:rsidRPr="007E0AF4">
              <w:rPr>
                <w:sz w:val="22"/>
              </w:rPr>
              <w:t xml:space="preserve"> та </w:t>
            </w:r>
            <w:proofErr w:type="spellStart"/>
            <w:r w:rsidRPr="007E0AF4">
              <w:rPr>
                <w:sz w:val="22"/>
              </w:rPr>
              <w:t>здача</w:t>
            </w:r>
            <w:proofErr w:type="spellEnd"/>
            <w:r w:rsidRPr="007E0AF4">
              <w:rPr>
                <w:sz w:val="22"/>
              </w:rPr>
              <w:t xml:space="preserve"> в </w:t>
            </w:r>
            <w:proofErr w:type="spellStart"/>
            <w:r w:rsidRPr="007E0AF4">
              <w:rPr>
                <w:sz w:val="22"/>
              </w:rPr>
              <w:t>експлуатацію</w:t>
            </w:r>
            <w:proofErr w:type="spellEnd"/>
            <w:r w:rsidRPr="007E0AF4">
              <w:rPr>
                <w:sz w:val="22"/>
              </w:rPr>
              <w:t xml:space="preserve"> </w:t>
            </w:r>
            <w:proofErr w:type="spellStart"/>
            <w:r w:rsidRPr="007E0AF4">
              <w:rPr>
                <w:sz w:val="22"/>
              </w:rPr>
              <w:t>технічних</w:t>
            </w:r>
            <w:proofErr w:type="spellEnd"/>
            <w:r w:rsidRPr="007E0AF4">
              <w:rPr>
                <w:sz w:val="22"/>
              </w:rPr>
              <w:t xml:space="preserve"> </w:t>
            </w:r>
            <w:proofErr w:type="spellStart"/>
            <w:r w:rsidRPr="007E0AF4">
              <w:rPr>
                <w:sz w:val="22"/>
              </w:rPr>
              <w:t>засобів</w:t>
            </w:r>
            <w:proofErr w:type="spellEnd"/>
            <w:r w:rsidRPr="007E0AF4">
              <w:rPr>
                <w:sz w:val="22"/>
              </w:rPr>
              <w:t xml:space="preserve"> </w:t>
            </w:r>
            <w:proofErr w:type="spellStart"/>
            <w:r w:rsidRPr="007E0AF4">
              <w:rPr>
                <w:sz w:val="22"/>
              </w:rPr>
              <w:t>навчання</w:t>
            </w:r>
            <w:proofErr w:type="spellEnd"/>
            <w:r w:rsidRPr="007E0AF4">
              <w:rPr>
                <w:sz w:val="22"/>
              </w:rPr>
              <w:t xml:space="preserve">, </w:t>
            </w:r>
            <w:proofErr w:type="spellStart"/>
            <w:r w:rsidRPr="007E0AF4">
              <w:rPr>
                <w:sz w:val="22"/>
              </w:rPr>
              <w:t>електрообладнання</w:t>
            </w:r>
            <w:proofErr w:type="spellEnd"/>
            <w:r w:rsidRPr="007E0AF4">
              <w:rPr>
                <w:sz w:val="22"/>
              </w:rPr>
              <w:t xml:space="preserve">. </w:t>
            </w:r>
          </w:p>
          <w:p w:rsidR="002E3647" w:rsidRPr="007E0AF4" w:rsidRDefault="002E3647" w:rsidP="000303D7">
            <w:pPr>
              <w:pStyle w:val="a7"/>
              <w:numPr>
                <w:ilvl w:val="0"/>
                <w:numId w:val="109"/>
              </w:numPr>
              <w:ind w:left="0" w:firstLine="425"/>
              <w:rPr>
                <w:sz w:val="22"/>
              </w:rPr>
            </w:pPr>
            <w:proofErr w:type="spellStart"/>
            <w:r w:rsidRPr="007E0AF4">
              <w:rPr>
                <w:sz w:val="22"/>
              </w:rPr>
              <w:t>Отримання</w:t>
            </w:r>
            <w:proofErr w:type="spellEnd"/>
            <w:r w:rsidRPr="007E0AF4">
              <w:rPr>
                <w:sz w:val="22"/>
              </w:rPr>
              <w:t xml:space="preserve"> </w:t>
            </w:r>
            <w:proofErr w:type="spellStart"/>
            <w:r w:rsidRPr="007E0AF4">
              <w:rPr>
                <w:sz w:val="22"/>
              </w:rPr>
              <w:t>відповідної</w:t>
            </w:r>
            <w:proofErr w:type="spellEnd"/>
            <w:r w:rsidRPr="007E0AF4">
              <w:rPr>
                <w:sz w:val="22"/>
              </w:rPr>
              <w:t xml:space="preserve"> </w:t>
            </w:r>
            <w:proofErr w:type="spellStart"/>
            <w:r w:rsidRPr="007E0AF4">
              <w:rPr>
                <w:sz w:val="22"/>
              </w:rPr>
              <w:t>дозвільної</w:t>
            </w:r>
            <w:proofErr w:type="spellEnd"/>
            <w:r w:rsidRPr="007E0AF4">
              <w:rPr>
                <w:sz w:val="22"/>
              </w:rPr>
              <w:t xml:space="preserve"> </w:t>
            </w:r>
            <w:proofErr w:type="spellStart"/>
            <w:r w:rsidRPr="007E0AF4">
              <w:rPr>
                <w:sz w:val="22"/>
              </w:rPr>
              <w:t>документації</w:t>
            </w:r>
            <w:proofErr w:type="spellEnd"/>
            <w:r w:rsidRPr="007E0AF4">
              <w:rPr>
                <w:sz w:val="22"/>
              </w:rPr>
              <w:t xml:space="preserve"> </w:t>
            </w:r>
            <w:proofErr w:type="spellStart"/>
            <w:r w:rsidRPr="007E0AF4">
              <w:rPr>
                <w:sz w:val="22"/>
              </w:rPr>
              <w:t>від</w:t>
            </w:r>
            <w:proofErr w:type="spellEnd"/>
            <w:r w:rsidRPr="007E0AF4">
              <w:rPr>
                <w:sz w:val="22"/>
              </w:rPr>
              <w:t xml:space="preserve"> </w:t>
            </w:r>
            <w:proofErr w:type="spellStart"/>
            <w:r w:rsidRPr="007E0AF4">
              <w:rPr>
                <w:sz w:val="22"/>
              </w:rPr>
              <w:t>відповідних</w:t>
            </w:r>
            <w:proofErr w:type="spellEnd"/>
            <w:r w:rsidRPr="007E0AF4">
              <w:rPr>
                <w:sz w:val="22"/>
              </w:rPr>
              <w:t xml:space="preserve"> </w:t>
            </w:r>
            <w:proofErr w:type="spellStart"/>
            <w:r w:rsidRPr="007E0AF4">
              <w:rPr>
                <w:sz w:val="22"/>
              </w:rPr>
              <w:t>органів</w:t>
            </w:r>
            <w:proofErr w:type="spellEnd"/>
            <w:r w:rsidRPr="007E0AF4">
              <w:rPr>
                <w:sz w:val="22"/>
              </w:rPr>
              <w:t xml:space="preserve"> та </w:t>
            </w:r>
            <w:proofErr w:type="spellStart"/>
            <w:r w:rsidRPr="007E0AF4">
              <w:rPr>
                <w:sz w:val="22"/>
              </w:rPr>
              <w:t>організацій</w:t>
            </w:r>
            <w:proofErr w:type="spellEnd"/>
            <w:r w:rsidRPr="007E0AF4">
              <w:rPr>
                <w:sz w:val="22"/>
              </w:rPr>
              <w:t xml:space="preserve">. </w:t>
            </w:r>
          </w:p>
        </w:tc>
      </w:tr>
      <w:tr w:rsidR="002E3647" w:rsidRPr="007E0AF4" w:rsidTr="002E3647">
        <w:trPr>
          <w:trHeight w:val="390"/>
        </w:trPr>
        <w:tc>
          <w:tcPr>
            <w:tcW w:w="2978" w:type="dxa"/>
            <w:vMerge w:val="restart"/>
            <w:shd w:val="clear" w:color="auto" w:fill="C6D9F1" w:themeFill="text2" w:themeFillTint="33"/>
          </w:tcPr>
          <w:p w:rsidR="002E3647" w:rsidRPr="007E0AF4" w:rsidRDefault="002E3647" w:rsidP="001E6C97">
            <w:pPr>
              <w:pStyle w:val="a7"/>
              <w:ind w:left="0"/>
              <w:rPr>
                <w:b/>
                <w:sz w:val="22"/>
                <w:lang w:val="uk-UA"/>
              </w:rPr>
            </w:pPr>
            <w:r w:rsidRPr="007E0AF4">
              <w:rPr>
                <w:b/>
                <w:sz w:val="22"/>
                <w:lang w:val="uk-UA"/>
              </w:rPr>
              <w:t xml:space="preserve">Очікувані кількісні результати реалізації </w:t>
            </w:r>
            <w:proofErr w:type="spellStart"/>
            <w:r w:rsidRPr="007E0AF4">
              <w:rPr>
                <w:b/>
                <w:sz w:val="22"/>
                <w:lang w:val="uk-UA"/>
              </w:rPr>
              <w:t>проєкту</w:t>
            </w:r>
            <w:proofErr w:type="spellEnd"/>
            <w:r w:rsidRPr="007E0AF4">
              <w:rPr>
                <w:b/>
                <w:sz w:val="22"/>
                <w:lang w:val="uk-UA"/>
              </w:rPr>
              <w:t xml:space="preserve"> (індикатори)</w:t>
            </w:r>
          </w:p>
          <w:p w:rsidR="002E3647" w:rsidRPr="007E0AF4" w:rsidRDefault="002E3647" w:rsidP="001E6C97">
            <w:pPr>
              <w:pStyle w:val="a7"/>
              <w:ind w:left="0"/>
              <w:rPr>
                <w:b/>
                <w:sz w:val="22"/>
                <w:lang w:val="uk-UA"/>
              </w:rPr>
            </w:pPr>
          </w:p>
        </w:tc>
        <w:tc>
          <w:tcPr>
            <w:tcW w:w="3827" w:type="dxa"/>
            <w:gridSpan w:val="3"/>
            <w:tcBorders>
              <w:bottom w:val="single" w:sz="4" w:space="0" w:color="auto"/>
              <w:right w:val="single" w:sz="4" w:space="0" w:color="auto"/>
            </w:tcBorders>
          </w:tcPr>
          <w:p w:rsidR="002E3647" w:rsidRPr="007E0AF4" w:rsidRDefault="002E3647" w:rsidP="001E6C97">
            <w:pPr>
              <w:pStyle w:val="a7"/>
              <w:ind w:left="-108"/>
              <w:jc w:val="center"/>
              <w:rPr>
                <w:b/>
                <w:sz w:val="22"/>
              </w:rPr>
            </w:pPr>
            <w:proofErr w:type="spellStart"/>
            <w:r w:rsidRPr="007E0AF4">
              <w:rPr>
                <w:b/>
                <w:sz w:val="22"/>
              </w:rPr>
              <w:t>Найменування</w:t>
            </w:r>
            <w:proofErr w:type="spellEnd"/>
            <w:r w:rsidRPr="007E0AF4">
              <w:rPr>
                <w:b/>
                <w:sz w:val="22"/>
              </w:rPr>
              <w:t xml:space="preserve"> </w:t>
            </w:r>
            <w:proofErr w:type="spellStart"/>
            <w:r w:rsidRPr="007E0AF4">
              <w:rPr>
                <w:b/>
                <w:sz w:val="22"/>
              </w:rPr>
              <w:t>показника</w:t>
            </w:r>
            <w:proofErr w:type="spellEnd"/>
          </w:p>
        </w:tc>
        <w:tc>
          <w:tcPr>
            <w:tcW w:w="1701" w:type="dxa"/>
            <w:tcBorders>
              <w:left w:val="single" w:sz="4" w:space="0" w:color="auto"/>
              <w:bottom w:val="single" w:sz="4" w:space="0" w:color="auto"/>
              <w:right w:val="single" w:sz="4" w:space="0" w:color="auto"/>
            </w:tcBorders>
          </w:tcPr>
          <w:p w:rsidR="002E3647" w:rsidRPr="007E0AF4" w:rsidRDefault="002E3647" w:rsidP="001E6C97">
            <w:pPr>
              <w:pStyle w:val="a7"/>
              <w:ind w:left="0"/>
              <w:jc w:val="center"/>
              <w:rPr>
                <w:b/>
                <w:sz w:val="22"/>
              </w:rPr>
            </w:pPr>
            <w:proofErr w:type="spellStart"/>
            <w:r w:rsidRPr="007E0AF4">
              <w:rPr>
                <w:b/>
                <w:sz w:val="22"/>
              </w:rPr>
              <w:t>Одиниця</w:t>
            </w:r>
            <w:proofErr w:type="spellEnd"/>
            <w:r w:rsidRPr="007E0AF4">
              <w:rPr>
                <w:b/>
                <w:sz w:val="22"/>
              </w:rPr>
              <w:t xml:space="preserve"> </w:t>
            </w:r>
            <w:proofErr w:type="spellStart"/>
            <w:r w:rsidRPr="007E0AF4">
              <w:rPr>
                <w:b/>
                <w:sz w:val="22"/>
              </w:rPr>
              <w:t>вимірювання</w:t>
            </w:r>
            <w:proofErr w:type="spellEnd"/>
          </w:p>
          <w:p w:rsidR="002E3647" w:rsidRPr="007E0AF4" w:rsidRDefault="002E3647" w:rsidP="001E6C97">
            <w:pPr>
              <w:pStyle w:val="a7"/>
              <w:ind w:left="0"/>
              <w:rPr>
                <w:b/>
                <w:sz w:val="22"/>
              </w:rPr>
            </w:pPr>
          </w:p>
        </w:tc>
        <w:tc>
          <w:tcPr>
            <w:tcW w:w="1417" w:type="dxa"/>
            <w:gridSpan w:val="2"/>
            <w:tcBorders>
              <w:left w:val="single" w:sz="4" w:space="0" w:color="auto"/>
              <w:bottom w:val="single" w:sz="4" w:space="0" w:color="auto"/>
            </w:tcBorders>
          </w:tcPr>
          <w:p w:rsidR="002E3647" w:rsidRPr="007E0AF4" w:rsidRDefault="002E3647" w:rsidP="001E6C97">
            <w:pPr>
              <w:pStyle w:val="a7"/>
              <w:ind w:left="0"/>
              <w:jc w:val="center"/>
              <w:rPr>
                <w:b/>
                <w:sz w:val="22"/>
              </w:rPr>
            </w:pPr>
            <w:proofErr w:type="spellStart"/>
            <w:r w:rsidRPr="007E0AF4">
              <w:rPr>
                <w:b/>
                <w:sz w:val="22"/>
              </w:rPr>
              <w:t>Прогнозне</w:t>
            </w:r>
            <w:proofErr w:type="spellEnd"/>
            <w:r w:rsidRPr="007E0AF4">
              <w:rPr>
                <w:b/>
                <w:sz w:val="22"/>
              </w:rPr>
              <w:t xml:space="preserve"> (</w:t>
            </w:r>
            <w:proofErr w:type="spellStart"/>
            <w:r w:rsidRPr="007E0AF4">
              <w:rPr>
                <w:b/>
                <w:sz w:val="22"/>
              </w:rPr>
              <w:t>цільове</w:t>
            </w:r>
            <w:proofErr w:type="spellEnd"/>
            <w:r w:rsidRPr="007E0AF4">
              <w:rPr>
                <w:b/>
                <w:sz w:val="22"/>
              </w:rPr>
              <w:t xml:space="preserve">) </w:t>
            </w:r>
            <w:proofErr w:type="spellStart"/>
            <w:r w:rsidRPr="007E0AF4">
              <w:rPr>
                <w:b/>
                <w:sz w:val="22"/>
              </w:rPr>
              <w:t>значення</w:t>
            </w:r>
            <w:proofErr w:type="spellEnd"/>
          </w:p>
        </w:tc>
      </w:tr>
      <w:tr w:rsidR="002E3647" w:rsidRPr="007E0AF4" w:rsidTr="002E3647">
        <w:trPr>
          <w:trHeight w:val="585"/>
        </w:trPr>
        <w:tc>
          <w:tcPr>
            <w:tcW w:w="2978" w:type="dxa"/>
            <w:vMerge/>
            <w:shd w:val="clear" w:color="auto" w:fill="C6D9F1" w:themeFill="text2" w:themeFillTint="33"/>
          </w:tcPr>
          <w:p w:rsidR="002E3647" w:rsidRPr="007E0AF4" w:rsidRDefault="002E3647" w:rsidP="001E6C97">
            <w:pPr>
              <w:pStyle w:val="a7"/>
              <w:ind w:left="0"/>
              <w:rPr>
                <w:b/>
                <w:sz w:val="22"/>
              </w:rPr>
            </w:pPr>
          </w:p>
        </w:tc>
        <w:tc>
          <w:tcPr>
            <w:tcW w:w="3827" w:type="dxa"/>
            <w:gridSpan w:val="3"/>
            <w:tcBorders>
              <w:top w:val="single" w:sz="4" w:space="0" w:color="auto"/>
              <w:bottom w:val="single" w:sz="4" w:space="0" w:color="auto"/>
              <w:right w:val="single" w:sz="4" w:space="0" w:color="auto"/>
            </w:tcBorders>
          </w:tcPr>
          <w:p w:rsidR="002E3647" w:rsidRPr="007E0AF4" w:rsidRDefault="002E3647" w:rsidP="001E6C97">
            <w:pPr>
              <w:pStyle w:val="a7"/>
              <w:ind w:left="0"/>
              <w:jc w:val="center"/>
              <w:rPr>
                <w:sz w:val="22"/>
              </w:rPr>
            </w:pPr>
            <w:proofErr w:type="spellStart"/>
            <w:r w:rsidRPr="007E0AF4">
              <w:rPr>
                <w:sz w:val="22"/>
              </w:rPr>
              <w:t>Кількість</w:t>
            </w:r>
            <w:proofErr w:type="spellEnd"/>
            <w:r w:rsidRPr="007E0AF4">
              <w:rPr>
                <w:sz w:val="22"/>
              </w:rPr>
              <w:t xml:space="preserve"> </w:t>
            </w:r>
            <w:proofErr w:type="spellStart"/>
            <w:r w:rsidRPr="007E0AF4">
              <w:rPr>
                <w:sz w:val="22"/>
              </w:rPr>
              <w:t>фізичних</w:t>
            </w:r>
            <w:proofErr w:type="spellEnd"/>
            <w:r w:rsidRPr="007E0AF4">
              <w:rPr>
                <w:sz w:val="22"/>
              </w:rPr>
              <w:t xml:space="preserve"> </w:t>
            </w:r>
            <w:proofErr w:type="spellStart"/>
            <w:r w:rsidRPr="007E0AF4">
              <w:rPr>
                <w:sz w:val="22"/>
              </w:rPr>
              <w:t>осіб</w:t>
            </w:r>
            <w:proofErr w:type="spellEnd"/>
            <w:r w:rsidRPr="007E0AF4">
              <w:rPr>
                <w:sz w:val="22"/>
              </w:rPr>
              <w:t xml:space="preserve">, </w:t>
            </w:r>
            <w:proofErr w:type="spellStart"/>
            <w:r w:rsidRPr="007E0AF4">
              <w:rPr>
                <w:sz w:val="22"/>
              </w:rPr>
              <w:t>які</w:t>
            </w:r>
            <w:proofErr w:type="spellEnd"/>
            <w:r w:rsidRPr="007E0AF4">
              <w:rPr>
                <w:sz w:val="22"/>
              </w:rPr>
              <w:t xml:space="preserve"> </w:t>
            </w:r>
            <w:proofErr w:type="spellStart"/>
            <w:r w:rsidRPr="007E0AF4">
              <w:rPr>
                <w:sz w:val="22"/>
              </w:rPr>
              <w:t>звернулись</w:t>
            </w:r>
            <w:proofErr w:type="spellEnd"/>
            <w:r w:rsidRPr="007E0AF4">
              <w:rPr>
                <w:sz w:val="22"/>
              </w:rPr>
              <w:t xml:space="preserve"> за </w:t>
            </w:r>
            <w:proofErr w:type="spellStart"/>
            <w:r w:rsidRPr="007E0AF4">
              <w:rPr>
                <w:sz w:val="22"/>
              </w:rPr>
              <w:t>послугами</w:t>
            </w:r>
            <w:proofErr w:type="spellEnd"/>
            <w:r w:rsidRPr="007E0AF4">
              <w:rPr>
                <w:sz w:val="22"/>
              </w:rPr>
              <w:t xml:space="preserve"> </w:t>
            </w:r>
            <w:proofErr w:type="spellStart"/>
            <w:proofErr w:type="gramStart"/>
            <w:r w:rsidRPr="007E0AF4">
              <w:rPr>
                <w:sz w:val="22"/>
              </w:rPr>
              <w:t>протягом</w:t>
            </w:r>
            <w:proofErr w:type="spellEnd"/>
            <w:r w:rsidRPr="007E0AF4">
              <w:rPr>
                <w:sz w:val="22"/>
              </w:rPr>
              <w:t xml:space="preserve">  року</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rsidR="002E3647" w:rsidRPr="007E0AF4" w:rsidRDefault="002E3647" w:rsidP="001E6C97">
            <w:pPr>
              <w:pStyle w:val="a7"/>
              <w:ind w:left="0"/>
              <w:jc w:val="center"/>
              <w:rPr>
                <w:sz w:val="22"/>
              </w:rPr>
            </w:pPr>
            <w:proofErr w:type="spellStart"/>
            <w:r w:rsidRPr="007E0AF4">
              <w:rPr>
                <w:sz w:val="22"/>
              </w:rPr>
              <w:t>осіб</w:t>
            </w:r>
            <w:proofErr w:type="spellEnd"/>
          </w:p>
        </w:tc>
        <w:tc>
          <w:tcPr>
            <w:tcW w:w="1417" w:type="dxa"/>
            <w:gridSpan w:val="2"/>
            <w:tcBorders>
              <w:top w:val="single" w:sz="4" w:space="0" w:color="auto"/>
              <w:left w:val="single" w:sz="4" w:space="0" w:color="auto"/>
              <w:bottom w:val="single" w:sz="4" w:space="0" w:color="auto"/>
            </w:tcBorders>
          </w:tcPr>
          <w:p w:rsidR="002E3647" w:rsidRPr="007E0AF4" w:rsidRDefault="002E3647" w:rsidP="001E6C97">
            <w:pPr>
              <w:pStyle w:val="a7"/>
              <w:ind w:left="0"/>
              <w:jc w:val="center"/>
              <w:rPr>
                <w:sz w:val="22"/>
              </w:rPr>
            </w:pPr>
            <w:r w:rsidRPr="007E0AF4">
              <w:rPr>
                <w:sz w:val="22"/>
              </w:rPr>
              <w:t>380</w:t>
            </w:r>
          </w:p>
        </w:tc>
      </w:tr>
      <w:tr w:rsidR="002E3647" w:rsidRPr="007E0AF4" w:rsidTr="002E3647">
        <w:trPr>
          <w:trHeight w:val="184"/>
        </w:trPr>
        <w:tc>
          <w:tcPr>
            <w:tcW w:w="2978" w:type="dxa"/>
            <w:vMerge/>
            <w:shd w:val="clear" w:color="auto" w:fill="C6D9F1" w:themeFill="text2" w:themeFillTint="33"/>
          </w:tcPr>
          <w:p w:rsidR="002E3647" w:rsidRPr="007E0AF4" w:rsidRDefault="002E3647" w:rsidP="001E6C97">
            <w:pPr>
              <w:pStyle w:val="a7"/>
              <w:ind w:left="0"/>
              <w:rPr>
                <w:b/>
                <w:sz w:val="22"/>
              </w:rPr>
            </w:pPr>
          </w:p>
        </w:tc>
        <w:tc>
          <w:tcPr>
            <w:tcW w:w="3827" w:type="dxa"/>
            <w:gridSpan w:val="3"/>
            <w:tcBorders>
              <w:top w:val="single" w:sz="4" w:space="0" w:color="auto"/>
              <w:bottom w:val="single" w:sz="4" w:space="0" w:color="auto"/>
              <w:right w:val="single" w:sz="4" w:space="0" w:color="auto"/>
            </w:tcBorders>
          </w:tcPr>
          <w:p w:rsidR="002E3647" w:rsidRPr="007E0AF4" w:rsidRDefault="002E3647" w:rsidP="001E6C97">
            <w:pPr>
              <w:pStyle w:val="a7"/>
              <w:ind w:left="0"/>
              <w:jc w:val="center"/>
              <w:rPr>
                <w:sz w:val="22"/>
              </w:rPr>
            </w:pPr>
            <w:proofErr w:type="spellStart"/>
            <w:r w:rsidRPr="007E0AF4">
              <w:rPr>
                <w:sz w:val="22"/>
              </w:rPr>
              <w:t>Кількість</w:t>
            </w:r>
            <w:proofErr w:type="spellEnd"/>
            <w:r w:rsidRPr="007E0AF4">
              <w:rPr>
                <w:sz w:val="22"/>
              </w:rPr>
              <w:t xml:space="preserve"> </w:t>
            </w:r>
            <w:proofErr w:type="spellStart"/>
            <w:r w:rsidRPr="007E0AF4">
              <w:rPr>
                <w:sz w:val="22"/>
              </w:rPr>
              <w:t>уроків</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2E3647" w:rsidRPr="007E0AF4" w:rsidRDefault="002E3647" w:rsidP="001E6C97">
            <w:pPr>
              <w:pStyle w:val="a7"/>
              <w:ind w:left="0"/>
              <w:jc w:val="center"/>
              <w:rPr>
                <w:sz w:val="22"/>
              </w:rPr>
            </w:pPr>
            <w:proofErr w:type="spellStart"/>
            <w:r w:rsidRPr="007E0AF4">
              <w:rPr>
                <w:sz w:val="22"/>
              </w:rPr>
              <w:t>одиниць</w:t>
            </w:r>
            <w:proofErr w:type="spellEnd"/>
          </w:p>
        </w:tc>
        <w:tc>
          <w:tcPr>
            <w:tcW w:w="1417" w:type="dxa"/>
            <w:gridSpan w:val="2"/>
            <w:tcBorders>
              <w:top w:val="single" w:sz="4" w:space="0" w:color="auto"/>
              <w:left w:val="single" w:sz="4" w:space="0" w:color="auto"/>
              <w:bottom w:val="single" w:sz="4" w:space="0" w:color="auto"/>
            </w:tcBorders>
          </w:tcPr>
          <w:p w:rsidR="002E3647" w:rsidRPr="007E0AF4" w:rsidRDefault="002E3647" w:rsidP="001E6C97">
            <w:pPr>
              <w:pStyle w:val="a7"/>
              <w:ind w:left="0"/>
              <w:jc w:val="center"/>
              <w:rPr>
                <w:sz w:val="22"/>
              </w:rPr>
            </w:pPr>
            <w:r w:rsidRPr="007E0AF4">
              <w:rPr>
                <w:sz w:val="22"/>
              </w:rPr>
              <w:t>77</w:t>
            </w:r>
          </w:p>
        </w:tc>
      </w:tr>
      <w:tr w:rsidR="002E3647" w:rsidRPr="007E0AF4" w:rsidTr="002E3647">
        <w:trPr>
          <w:trHeight w:val="150"/>
        </w:trPr>
        <w:tc>
          <w:tcPr>
            <w:tcW w:w="2978" w:type="dxa"/>
            <w:vMerge/>
            <w:shd w:val="clear" w:color="auto" w:fill="C6D9F1" w:themeFill="text2" w:themeFillTint="33"/>
          </w:tcPr>
          <w:p w:rsidR="002E3647" w:rsidRPr="007E0AF4" w:rsidRDefault="002E3647" w:rsidP="001E6C97">
            <w:pPr>
              <w:pStyle w:val="a7"/>
              <w:ind w:left="0"/>
              <w:rPr>
                <w:b/>
                <w:sz w:val="22"/>
              </w:rPr>
            </w:pPr>
          </w:p>
        </w:tc>
        <w:tc>
          <w:tcPr>
            <w:tcW w:w="3827" w:type="dxa"/>
            <w:gridSpan w:val="3"/>
            <w:tcBorders>
              <w:top w:val="single" w:sz="4" w:space="0" w:color="auto"/>
              <w:right w:val="single" w:sz="4" w:space="0" w:color="auto"/>
            </w:tcBorders>
          </w:tcPr>
          <w:p w:rsidR="002E3647" w:rsidRPr="007E0AF4" w:rsidRDefault="002E3647" w:rsidP="001E6C97">
            <w:pPr>
              <w:pStyle w:val="a7"/>
              <w:ind w:left="0"/>
              <w:jc w:val="center"/>
              <w:rPr>
                <w:sz w:val="22"/>
              </w:rPr>
            </w:pPr>
            <w:proofErr w:type="spellStart"/>
            <w:r w:rsidRPr="007E0AF4">
              <w:rPr>
                <w:sz w:val="22"/>
              </w:rPr>
              <w:t>Термін</w:t>
            </w:r>
            <w:proofErr w:type="spellEnd"/>
            <w:r w:rsidRPr="007E0AF4">
              <w:rPr>
                <w:sz w:val="22"/>
              </w:rPr>
              <w:t xml:space="preserve"> </w:t>
            </w:r>
            <w:proofErr w:type="spellStart"/>
            <w:r w:rsidRPr="007E0AF4">
              <w:rPr>
                <w:sz w:val="22"/>
              </w:rPr>
              <w:t>надання</w:t>
            </w:r>
            <w:proofErr w:type="spellEnd"/>
            <w:r w:rsidRPr="007E0AF4">
              <w:rPr>
                <w:sz w:val="22"/>
              </w:rPr>
              <w:t xml:space="preserve"> </w:t>
            </w:r>
            <w:proofErr w:type="spellStart"/>
            <w:r w:rsidRPr="007E0AF4">
              <w:rPr>
                <w:sz w:val="22"/>
              </w:rPr>
              <w:t>послуги</w:t>
            </w:r>
            <w:proofErr w:type="spellEnd"/>
          </w:p>
        </w:tc>
        <w:tc>
          <w:tcPr>
            <w:tcW w:w="1701" w:type="dxa"/>
            <w:tcBorders>
              <w:top w:val="single" w:sz="4" w:space="0" w:color="auto"/>
              <w:left w:val="single" w:sz="4" w:space="0" w:color="auto"/>
              <w:right w:val="single" w:sz="4" w:space="0" w:color="auto"/>
            </w:tcBorders>
            <w:vAlign w:val="center"/>
          </w:tcPr>
          <w:p w:rsidR="002E3647" w:rsidRPr="007E0AF4" w:rsidRDefault="002E3647" w:rsidP="001E6C97">
            <w:pPr>
              <w:pStyle w:val="a7"/>
              <w:ind w:left="0"/>
              <w:jc w:val="center"/>
              <w:rPr>
                <w:sz w:val="22"/>
              </w:rPr>
            </w:pPr>
            <w:r w:rsidRPr="007E0AF4">
              <w:rPr>
                <w:sz w:val="22"/>
              </w:rPr>
              <w:t>день</w:t>
            </w:r>
          </w:p>
        </w:tc>
        <w:tc>
          <w:tcPr>
            <w:tcW w:w="1417" w:type="dxa"/>
            <w:gridSpan w:val="2"/>
            <w:tcBorders>
              <w:top w:val="single" w:sz="4" w:space="0" w:color="auto"/>
              <w:left w:val="single" w:sz="4" w:space="0" w:color="auto"/>
            </w:tcBorders>
          </w:tcPr>
          <w:p w:rsidR="002E3647" w:rsidRPr="007E0AF4" w:rsidRDefault="002E3647" w:rsidP="001E6C97">
            <w:pPr>
              <w:pStyle w:val="a7"/>
              <w:ind w:left="0"/>
              <w:jc w:val="center"/>
              <w:rPr>
                <w:sz w:val="22"/>
              </w:rPr>
            </w:pPr>
            <w:r w:rsidRPr="007E0AF4">
              <w:rPr>
                <w:sz w:val="22"/>
              </w:rPr>
              <w:t>365</w:t>
            </w:r>
          </w:p>
        </w:tc>
      </w:tr>
      <w:tr w:rsidR="002E3647" w:rsidRPr="007E0AF4" w:rsidTr="002E3647">
        <w:trPr>
          <w:trHeight w:val="150"/>
        </w:trPr>
        <w:tc>
          <w:tcPr>
            <w:tcW w:w="2978" w:type="dxa"/>
            <w:shd w:val="clear" w:color="auto" w:fill="C6D9F1" w:themeFill="text2" w:themeFillTint="33"/>
          </w:tcPr>
          <w:p w:rsidR="002E3647" w:rsidRPr="007E0AF4" w:rsidRDefault="002E3647" w:rsidP="001E6C97">
            <w:pPr>
              <w:pStyle w:val="a7"/>
              <w:ind w:left="0"/>
              <w:rPr>
                <w:b/>
                <w:sz w:val="22"/>
              </w:rPr>
            </w:pPr>
          </w:p>
        </w:tc>
        <w:tc>
          <w:tcPr>
            <w:tcW w:w="3827" w:type="dxa"/>
            <w:gridSpan w:val="3"/>
            <w:tcBorders>
              <w:top w:val="single" w:sz="4" w:space="0" w:color="auto"/>
              <w:right w:val="single" w:sz="4" w:space="0" w:color="auto"/>
            </w:tcBorders>
          </w:tcPr>
          <w:p w:rsidR="002E3647" w:rsidRPr="007E0AF4" w:rsidRDefault="002E3647" w:rsidP="0000106F">
            <w:pPr>
              <w:pStyle w:val="a7"/>
              <w:ind w:left="0"/>
              <w:jc w:val="center"/>
              <w:rPr>
                <w:sz w:val="22"/>
              </w:rPr>
            </w:pPr>
            <w:proofErr w:type="spellStart"/>
            <w:r w:rsidRPr="007E0AF4">
              <w:rPr>
                <w:sz w:val="22"/>
              </w:rPr>
              <w:t>Кількість</w:t>
            </w:r>
            <w:proofErr w:type="spellEnd"/>
            <w:r w:rsidRPr="007E0AF4">
              <w:rPr>
                <w:sz w:val="22"/>
              </w:rPr>
              <w:t xml:space="preserve"> </w:t>
            </w:r>
            <w:proofErr w:type="spellStart"/>
            <w:r w:rsidRPr="007E0AF4">
              <w:rPr>
                <w:sz w:val="22"/>
              </w:rPr>
              <w:t>населених</w:t>
            </w:r>
            <w:proofErr w:type="spellEnd"/>
            <w:r w:rsidRPr="007E0AF4">
              <w:rPr>
                <w:sz w:val="22"/>
              </w:rPr>
              <w:t xml:space="preserve"> </w:t>
            </w:r>
            <w:proofErr w:type="spellStart"/>
            <w:r w:rsidRPr="007E0AF4">
              <w:rPr>
                <w:sz w:val="22"/>
              </w:rPr>
              <w:t>пунктів</w:t>
            </w:r>
            <w:proofErr w:type="spellEnd"/>
            <w:r w:rsidRPr="007E0AF4">
              <w:rPr>
                <w:sz w:val="22"/>
              </w:rPr>
              <w:t xml:space="preserve">, </w:t>
            </w:r>
            <w:proofErr w:type="spellStart"/>
            <w:r w:rsidRPr="007E0AF4">
              <w:rPr>
                <w:sz w:val="22"/>
              </w:rPr>
              <w:t>як</w:t>
            </w:r>
            <w:r w:rsidR="0000106F" w:rsidRPr="007E0AF4">
              <w:rPr>
                <w:sz w:val="22"/>
              </w:rPr>
              <w:t>і</w:t>
            </w:r>
            <w:proofErr w:type="spellEnd"/>
            <w:r w:rsidRPr="007E0AF4">
              <w:rPr>
                <w:sz w:val="22"/>
              </w:rPr>
              <w:t xml:space="preserve"> </w:t>
            </w:r>
            <w:proofErr w:type="spellStart"/>
            <w:r w:rsidRPr="007E0AF4">
              <w:rPr>
                <w:sz w:val="22"/>
              </w:rPr>
              <w:t>обслуговує</w:t>
            </w:r>
            <w:proofErr w:type="spellEnd"/>
            <w:r w:rsidRPr="007E0AF4">
              <w:rPr>
                <w:sz w:val="22"/>
              </w:rPr>
              <w:t xml:space="preserve"> </w:t>
            </w:r>
            <w:r w:rsidR="0000106F" w:rsidRPr="007E0AF4">
              <w:rPr>
                <w:sz w:val="22"/>
              </w:rPr>
              <w:t>заклад</w:t>
            </w:r>
          </w:p>
        </w:tc>
        <w:tc>
          <w:tcPr>
            <w:tcW w:w="1701" w:type="dxa"/>
            <w:tcBorders>
              <w:top w:val="single" w:sz="4" w:space="0" w:color="auto"/>
              <w:left w:val="single" w:sz="4" w:space="0" w:color="auto"/>
              <w:right w:val="single" w:sz="4" w:space="0" w:color="auto"/>
            </w:tcBorders>
            <w:vAlign w:val="center"/>
          </w:tcPr>
          <w:p w:rsidR="002E3647" w:rsidRPr="007E0AF4" w:rsidRDefault="002E3647" w:rsidP="001E6C97">
            <w:pPr>
              <w:pStyle w:val="a7"/>
              <w:ind w:left="0"/>
              <w:jc w:val="center"/>
              <w:rPr>
                <w:sz w:val="22"/>
              </w:rPr>
            </w:pPr>
            <w:proofErr w:type="spellStart"/>
            <w:r w:rsidRPr="007E0AF4">
              <w:rPr>
                <w:sz w:val="22"/>
              </w:rPr>
              <w:t>одиниць</w:t>
            </w:r>
            <w:proofErr w:type="spellEnd"/>
          </w:p>
        </w:tc>
        <w:tc>
          <w:tcPr>
            <w:tcW w:w="1417" w:type="dxa"/>
            <w:gridSpan w:val="2"/>
            <w:tcBorders>
              <w:top w:val="single" w:sz="4" w:space="0" w:color="auto"/>
              <w:left w:val="single" w:sz="4" w:space="0" w:color="auto"/>
            </w:tcBorders>
          </w:tcPr>
          <w:p w:rsidR="002E3647" w:rsidRPr="007E0AF4" w:rsidRDefault="002E3647" w:rsidP="001E6C97">
            <w:pPr>
              <w:pStyle w:val="a7"/>
              <w:ind w:left="0"/>
              <w:jc w:val="center"/>
              <w:rPr>
                <w:sz w:val="22"/>
              </w:rPr>
            </w:pPr>
            <w:r w:rsidRPr="007E0AF4">
              <w:rPr>
                <w:sz w:val="22"/>
              </w:rPr>
              <w:t>1</w:t>
            </w:r>
          </w:p>
        </w:tc>
      </w:tr>
      <w:tr w:rsidR="002E3647" w:rsidRPr="007E0AF4" w:rsidTr="002E3647">
        <w:tc>
          <w:tcPr>
            <w:tcW w:w="2978" w:type="dxa"/>
            <w:shd w:val="clear" w:color="auto" w:fill="C6D9F1" w:themeFill="text2" w:themeFillTint="33"/>
          </w:tcPr>
          <w:p w:rsidR="002E3647" w:rsidRPr="007E0AF4" w:rsidRDefault="002E3647" w:rsidP="001E6C97">
            <w:pPr>
              <w:rPr>
                <w:b/>
                <w:sz w:val="22"/>
              </w:rPr>
            </w:pPr>
            <w:proofErr w:type="spellStart"/>
            <w:r w:rsidRPr="007E0AF4">
              <w:rPr>
                <w:b/>
                <w:sz w:val="22"/>
              </w:rPr>
              <w:t>Ключові</w:t>
            </w:r>
            <w:proofErr w:type="spellEnd"/>
            <w:r w:rsidRPr="007E0AF4">
              <w:rPr>
                <w:b/>
                <w:sz w:val="22"/>
              </w:rPr>
              <w:t xml:space="preserve"> заходи проекту: </w:t>
            </w:r>
          </w:p>
          <w:p w:rsidR="002E3647" w:rsidRPr="007E0AF4" w:rsidRDefault="002E3647" w:rsidP="001E6C97">
            <w:pPr>
              <w:pStyle w:val="a7"/>
              <w:ind w:left="0"/>
              <w:rPr>
                <w:b/>
                <w:sz w:val="22"/>
              </w:rPr>
            </w:pPr>
          </w:p>
        </w:tc>
        <w:tc>
          <w:tcPr>
            <w:tcW w:w="6945" w:type="dxa"/>
            <w:gridSpan w:val="6"/>
          </w:tcPr>
          <w:p w:rsidR="002E3647" w:rsidRPr="007E0AF4" w:rsidRDefault="002E3647" w:rsidP="000303D7">
            <w:pPr>
              <w:pStyle w:val="a7"/>
              <w:numPr>
                <w:ilvl w:val="0"/>
                <w:numId w:val="110"/>
              </w:numPr>
              <w:jc w:val="left"/>
              <w:rPr>
                <w:sz w:val="22"/>
              </w:rPr>
            </w:pPr>
            <w:proofErr w:type="spellStart"/>
            <w:r w:rsidRPr="007E0AF4">
              <w:rPr>
                <w:sz w:val="22"/>
              </w:rPr>
              <w:t>Обстеження</w:t>
            </w:r>
            <w:proofErr w:type="spellEnd"/>
            <w:r w:rsidRPr="007E0AF4">
              <w:rPr>
                <w:sz w:val="22"/>
              </w:rPr>
              <w:t xml:space="preserve"> </w:t>
            </w:r>
            <w:proofErr w:type="spellStart"/>
            <w:r w:rsidRPr="007E0AF4">
              <w:rPr>
                <w:sz w:val="22"/>
              </w:rPr>
              <w:t>матеріально-технічного</w:t>
            </w:r>
            <w:proofErr w:type="spellEnd"/>
            <w:r w:rsidRPr="007E0AF4">
              <w:rPr>
                <w:sz w:val="22"/>
              </w:rPr>
              <w:t xml:space="preserve"> стану закладу </w:t>
            </w:r>
            <w:proofErr w:type="spellStart"/>
            <w:r w:rsidRPr="007E0AF4">
              <w:rPr>
                <w:sz w:val="22"/>
              </w:rPr>
              <w:t>освіти</w:t>
            </w:r>
            <w:proofErr w:type="spellEnd"/>
            <w:r w:rsidR="00AF459E" w:rsidRPr="007E0AF4">
              <w:rPr>
                <w:sz w:val="22"/>
              </w:rPr>
              <w:t>.</w:t>
            </w:r>
          </w:p>
          <w:p w:rsidR="002E3647" w:rsidRPr="007E0AF4" w:rsidRDefault="002E3647" w:rsidP="000303D7">
            <w:pPr>
              <w:pStyle w:val="a7"/>
              <w:numPr>
                <w:ilvl w:val="0"/>
                <w:numId w:val="110"/>
              </w:numPr>
              <w:jc w:val="left"/>
              <w:rPr>
                <w:sz w:val="22"/>
              </w:rPr>
            </w:pPr>
            <w:proofErr w:type="spellStart"/>
            <w:r w:rsidRPr="007E0AF4">
              <w:rPr>
                <w:sz w:val="22"/>
              </w:rPr>
              <w:t>Проведення</w:t>
            </w:r>
            <w:proofErr w:type="spellEnd"/>
            <w:r w:rsidRPr="007E0AF4">
              <w:rPr>
                <w:sz w:val="22"/>
              </w:rPr>
              <w:t xml:space="preserve"> </w:t>
            </w:r>
            <w:proofErr w:type="spellStart"/>
            <w:r w:rsidRPr="007E0AF4">
              <w:rPr>
                <w:sz w:val="22"/>
              </w:rPr>
              <w:t>інвентаризації</w:t>
            </w:r>
            <w:proofErr w:type="spellEnd"/>
            <w:r w:rsidRPr="007E0AF4">
              <w:rPr>
                <w:sz w:val="22"/>
              </w:rPr>
              <w:t xml:space="preserve"> </w:t>
            </w:r>
            <w:proofErr w:type="spellStart"/>
            <w:r w:rsidRPr="007E0AF4">
              <w:rPr>
                <w:sz w:val="22"/>
              </w:rPr>
              <w:t>основних</w:t>
            </w:r>
            <w:proofErr w:type="spellEnd"/>
            <w:r w:rsidRPr="007E0AF4">
              <w:rPr>
                <w:sz w:val="22"/>
              </w:rPr>
              <w:t xml:space="preserve"> </w:t>
            </w:r>
            <w:proofErr w:type="spellStart"/>
            <w:r w:rsidRPr="007E0AF4">
              <w:rPr>
                <w:sz w:val="22"/>
              </w:rPr>
              <w:t>фондів</w:t>
            </w:r>
            <w:proofErr w:type="spellEnd"/>
            <w:r w:rsidRPr="007E0AF4">
              <w:rPr>
                <w:sz w:val="22"/>
              </w:rPr>
              <w:t xml:space="preserve"> та </w:t>
            </w:r>
            <w:proofErr w:type="spellStart"/>
            <w:proofErr w:type="gramStart"/>
            <w:r w:rsidRPr="007E0AF4">
              <w:rPr>
                <w:sz w:val="22"/>
              </w:rPr>
              <w:t>засобів</w:t>
            </w:r>
            <w:proofErr w:type="spellEnd"/>
            <w:r w:rsidRPr="007E0AF4">
              <w:rPr>
                <w:sz w:val="22"/>
              </w:rPr>
              <w:t xml:space="preserve">  на</w:t>
            </w:r>
            <w:proofErr w:type="gramEnd"/>
            <w:r w:rsidRPr="007E0AF4">
              <w:rPr>
                <w:sz w:val="22"/>
              </w:rPr>
              <w:t xml:space="preserve"> момент </w:t>
            </w:r>
            <w:proofErr w:type="spellStart"/>
            <w:r w:rsidRPr="007E0AF4">
              <w:rPr>
                <w:sz w:val="22"/>
              </w:rPr>
              <w:t>обстеження</w:t>
            </w:r>
            <w:proofErr w:type="spellEnd"/>
            <w:r w:rsidR="00AF459E" w:rsidRPr="007E0AF4">
              <w:rPr>
                <w:sz w:val="22"/>
              </w:rPr>
              <w:t>.</w:t>
            </w:r>
          </w:p>
          <w:p w:rsidR="002E3647" w:rsidRPr="007E0AF4" w:rsidRDefault="002E3647" w:rsidP="000303D7">
            <w:pPr>
              <w:pStyle w:val="a7"/>
              <w:numPr>
                <w:ilvl w:val="0"/>
                <w:numId w:val="110"/>
              </w:numPr>
              <w:jc w:val="left"/>
              <w:rPr>
                <w:sz w:val="22"/>
              </w:rPr>
            </w:pPr>
            <w:proofErr w:type="spellStart"/>
            <w:r w:rsidRPr="007E0AF4">
              <w:rPr>
                <w:sz w:val="22"/>
              </w:rPr>
              <w:t>Створення</w:t>
            </w:r>
            <w:proofErr w:type="spellEnd"/>
            <w:r w:rsidRPr="007E0AF4">
              <w:rPr>
                <w:sz w:val="22"/>
              </w:rPr>
              <w:t xml:space="preserve"> </w:t>
            </w:r>
            <w:proofErr w:type="spellStart"/>
            <w:r w:rsidRPr="007E0AF4">
              <w:rPr>
                <w:sz w:val="22"/>
              </w:rPr>
              <w:t>запитів</w:t>
            </w:r>
            <w:proofErr w:type="spellEnd"/>
            <w:r w:rsidRPr="007E0AF4">
              <w:rPr>
                <w:sz w:val="22"/>
              </w:rPr>
              <w:t xml:space="preserve"> на </w:t>
            </w:r>
            <w:proofErr w:type="spellStart"/>
            <w:r w:rsidRPr="007E0AF4">
              <w:rPr>
                <w:sz w:val="22"/>
              </w:rPr>
              <w:t>закупівлю</w:t>
            </w:r>
            <w:proofErr w:type="spellEnd"/>
            <w:r w:rsidRPr="007E0AF4">
              <w:rPr>
                <w:sz w:val="22"/>
              </w:rPr>
              <w:t xml:space="preserve"> </w:t>
            </w:r>
            <w:proofErr w:type="spellStart"/>
            <w:r w:rsidRPr="007E0AF4">
              <w:rPr>
                <w:sz w:val="22"/>
              </w:rPr>
              <w:t>відповідного</w:t>
            </w:r>
            <w:proofErr w:type="spellEnd"/>
            <w:r w:rsidRPr="007E0AF4">
              <w:rPr>
                <w:sz w:val="22"/>
              </w:rPr>
              <w:t xml:space="preserve"> </w:t>
            </w:r>
            <w:proofErr w:type="spellStart"/>
            <w:r w:rsidRPr="007E0AF4">
              <w:rPr>
                <w:sz w:val="22"/>
              </w:rPr>
              <w:t>обладнання</w:t>
            </w:r>
            <w:proofErr w:type="spellEnd"/>
            <w:r w:rsidRPr="007E0AF4">
              <w:rPr>
                <w:sz w:val="22"/>
              </w:rPr>
              <w:t xml:space="preserve"> (</w:t>
            </w:r>
            <w:proofErr w:type="spellStart"/>
            <w:r w:rsidRPr="007E0AF4">
              <w:rPr>
                <w:sz w:val="22"/>
              </w:rPr>
              <w:t>устаткування</w:t>
            </w:r>
            <w:proofErr w:type="spellEnd"/>
            <w:r w:rsidRPr="007E0AF4">
              <w:rPr>
                <w:sz w:val="22"/>
              </w:rPr>
              <w:t xml:space="preserve">), </w:t>
            </w:r>
            <w:proofErr w:type="spellStart"/>
            <w:r w:rsidRPr="007E0AF4">
              <w:rPr>
                <w:sz w:val="22"/>
              </w:rPr>
              <w:t>технічних</w:t>
            </w:r>
            <w:proofErr w:type="spellEnd"/>
            <w:r w:rsidRPr="007E0AF4">
              <w:rPr>
                <w:sz w:val="22"/>
              </w:rPr>
              <w:t xml:space="preserve"> </w:t>
            </w:r>
            <w:proofErr w:type="spellStart"/>
            <w:r w:rsidRPr="007E0AF4">
              <w:rPr>
                <w:sz w:val="22"/>
              </w:rPr>
              <w:t>засобів</w:t>
            </w:r>
            <w:proofErr w:type="spellEnd"/>
            <w:r w:rsidRPr="007E0AF4">
              <w:rPr>
                <w:sz w:val="22"/>
              </w:rPr>
              <w:t xml:space="preserve">, </w:t>
            </w:r>
            <w:proofErr w:type="spellStart"/>
            <w:r w:rsidRPr="007E0AF4">
              <w:rPr>
                <w:sz w:val="22"/>
              </w:rPr>
              <w:t>електрообладнання</w:t>
            </w:r>
            <w:proofErr w:type="spellEnd"/>
            <w:r w:rsidRPr="007E0AF4">
              <w:rPr>
                <w:sz w:val="22"/>
              </w:rPr>
              <w:t xml:space="preserve">, </w:t>
            </w:r>
            <w:proofErr w:type="spellStart"/>
            <w:r w:rsidRPr="007E0AF4">
              <w:rPr>
                <w:sz w:val="22"/>
              </w:rPr>
              <w:t>матеріалів</w:t>
            </w:r>
            <w:proofErr w:type="spellEnd"/>
            <w:r w:rsidRPr="007E0AF4">
              <w:rPr>
                <w:sz w:val="22"/>
              </w:rPr>
              <w:t xml:space="preserve">, </w:t>
            </w:r>
            <w:proofErr w:type="spellStart"/>
            <w:r w:rsidRPr="007E0AF4">
              <w:rPr>
                <w:sz w:val="22"/>
              </w:rPr>
              <w:t>пов’язаних</w:t>
            </w:r>
            <w:proofErr w:type="spellEnd"/>
            <w:r w:rsidRPr="007E0AF4">
              <w:rPr>
                <w:sz w:val="22"/>
              </w:rPr>
              <w:t xml:space="preserve"> з </w:t>
            </w:r>
            <w:proofErr w:type="spellStart"/>
            <w:r w:rsidRPr="007E0AF4">
              <w:rPr>
                <w:sz w:val="22"/>
              </w:rPr>
              <w:t>реалізацією</w:t>
            </w:r>
            <w:proofErr w:type="spellEnd"/>
            <w:r w:rsidRPr="007E0AF4">
              <w:rPr>
                <w:sz w:val="22"/>
              </w:rPr>
              <w:t xml:space="preserve"> </w:t>
            </w:r>
            <w:proofErr w:type="spellStart"/>
            <w:r w:rsidRPr="007E0AF4">
              <w:rPr>
                <w:sz w:val="22"/>
              </w:rPr>
              <w:t>даного</w:t>
            </w:r>
            <w:proofErr w:type="spellEnd"/>
            <w:r w:rsidRPr="007E0AF4">
              <w:rPr>
                <w:sz w:val="22"/>
              </w:rPr>
              <w:t xml:space="preserve"> </w:t>
            </w:r>
            <w:proofErr w:type="spellStart"/>
            <w:r w:rsidRPr="007E0AF4">
              <w:rPr>
                <w:sz w:val="22"/>
              </w:rPr>
              <w:t>проєкту</w:t>
            </w:r>
            <w:proofErr w:type="spellEnd"/>
            <w:r w:rsidR="00AF459E" w:rsidRPr="007E0AF4">
              <w:rPr>
                <w:sz w:val="22"/>
              </w:rPr>
              <w:t>.</w:t>
            </w:r>
          </w:p>
          <w:p w:rsidR="002E3647" w:rsidRPr="007E0AF4" w:rsidRDefault="002E3647" w:rsidP="000303D7">
            <w:pPr>
              <w:pStyle w:val="a7"/>
              <w:numPr>
                <w:ilvl w:val="0"/>
                <w:numId w:val="110"/>
              </w:numPr>
              <w:jc w:val="left"/>
              <w:rPr>
                <w:sz w:val="22"/>
              </w:rPr>
            </w:pPr>
            <w:proofErr w:type="spellStart"/>
            <w:r w:rsidRPr="007E0AF4">
              <w:rPr>
                <w:sz w:val="22"/>
              </w:rPr>
              <w:t>Придбання</w:t>
            </w:r>
            <w:proofErr w:type="spellEnd"/>
            <w:r w:rsidRPr="007E0AF4">
              <w:rPr>
                <w:sz w:val="22"/>
              </w:rPr>
              <w:t xml:space="preserve"> </w:t>
            </w:r>
            <w:proofErr w:type="spellStart"/>
            <w:r w:rsidRPr="007E0AF4">
              <w:rPr>
                <w:sz w:val="22"/>
              </w:rPr>
              <w:t>відповідного</w:t>
            </w:r>
            <w:proofErr w:type="spellEnd"/>
            <w:r w:rsidRPr="007E0AF4">
              <w:rPr>
                <w:sz w:val="22"/>
              </w:rPr>
              <w:t xml:space="preserve"> </w:t>
            </w:r>
            <w:proofErr w:type="spellStart"/>
            <w:r w:rsidRPr="007E0AF4">
              <w:rPr>
                <w:sz w:val="22"/>
              </w:rPr>
              <w:t>обладнання</w:t>
            </w:r>
            <w:proofErr w:type="spellEnd"/>
            <w:r w:rsidRPr="007E0AF4">
              <w:rPr>
                <w:sz w:val="22"/>
              </w:rPr>
              <w:t xml:space="preserve"> (</w:t>
            </w:r>
            <w:proofErr w:type="spellStart"/>
            <w:r w:rsidRPr="007E0AF4">
              <w:rPr>
                <w:sz w:val="22"/>
              </w:rPr>
              <w:t>устаткування</w:t>
            </w:r>
            <w:proofErr w:type="spellEnd"/>
            <w:r w:rsidRPr="007E0AF4">
              <w:rPr>
                <w:sz w:val="22"/>
              </w:rPr>
              <w:t xml:space="preserve">), </w:t>
            </w:r>
            <w:proofErr w:type="spellStart"/>
            <w:r w:rsidRPr="007E0AF4">
              <w:rPr>
                <w:sz w:val="22"/>
              </w:rPr>
              <w:t>технічних</w:t>
            </w:r>
            <w:proofErr w:type="spellEnd"/>
            <w:r w:rsidRPr="007E0AF4">
              <w:rPr>
                <w:sz w:val="22"/>
              </w:rPr>
              <w:t xml:space="preserve"> </w:t>
            </w:r>
            <w:proofErr w:type="spellStart"/>
            <w:r w:rsidRPr="007E0AF4">
              <w:rPr>
                <w:sz w:val="22"/>
              </w:rPr>
              <w:t>засобів</w:t>
            </w:r>
            <w:proofErr w:type="spellEnd"/>
            <w:r w:rsidRPr="007E0AF4">
              <w:rPr>
                <w:sz w:val="22"/>
              </w:rPr>
              <w:t xml:space="preserve">, </w:t>
            </w:r>
            <w:proofErr w:type="spellStart"/>
            <w:r w:rsidRPr="007E0AF4">
              <w:rPr>
                <w:sz w:val="22"/>
              </w:rPr>
              <w:t>електрообладнання</w:t>
            </w:r>
            <w:proofErr w:type="spellEnd"/>
            <w:r w:rsidRPr="007E0AF4">
              <w:rPr>
                <w:sz w:val="22"/>
              </w:rPr>
              <w:t xml:space="preserve">, </w:t>
            </w:r>
            <w:proofErr w:type="spellStart"/>
            <w:r w:rsidRPr="007E0AF4">
              <w:rPr>
                <w:sz w:val="22"/>
              </w:rPr>
              <w:t>матеріалів</w:t>
            </w:r>
            <w:proofErr w:type="spellEnd"/>
            <w:r w:rsidRPr="007E0AF4">
              <w:rPr>
                <w:sz w:val="22"/>
              </w:rPr>
              <w:t xml:space="preserve"> та </w:t>
            </w:r>
            <w:proofErr w:type="spellStart"/>
            <w:r w:rsidRPr="007E0AF4">
              <w:rPr>
                <w:sz w:val="22"/>
              </w:rPr>
              <w:t>інших</w:t>
            </w:r>
            <w:proofErr w:type="spellEnd"/>
            <w:r w:rsidRPr="007E0AF4">
              <w:rPr>
                <w:sz w:val="22"/>
              </w:rPr>
              <w:t xml:space="preserve"> </w:t>
            </w:r>
            <w:proofErr w:type="spellStart"/>
            <w:r w:rsidRPr="007E0AF4">
              <w:rPr>
                <w:sz w:val="22"/>
              </w:rPr>
              <w:t>засобів</w:t>
            </w:r>
            <w:proofErr w:type="spellEnd"/>
            <w:r w:rsidR="00AF459E" w:rsidRPr="007E0AF4">
              <w:rPr>
                <w:sz w:val="22"/>
              </w:rPr>
              <w:t>.</w:t>
            </w:r>
          </w:p>
          <w:p w:rsidR="002E3647" w:rsidRPr="007E0AF4" w:rsidRDefault="002E3647" w:rsidP="000303D7">
            <w:pPr>
              <w:pStyle w:val="a7"/>
              <w:numPr>
                <w:ilvl w:val="0"/>
                <w:numId w:val="110"/>
              </w:numPr>
              <w:jc w:val="left"/>
              <w:rPr>
                <w:sz w:val="22"/>
              </w:rPr>
            </w:pPr>
            <w:r w:rsidRPr="007E0AF4">
              <w:rPr>
                <w:sz w:val="22"/>
              </w:rPr>
              <w:t xml:space="preserve">Установка і </w:t>
            </w:r>
            <w:proofErr w:type="spellStart"/>
            <w:r w:rsidRPr="007E0AF4">
              <w:rPr>
                <w:sz w:val="22"/>
              </w:rPr>
              <w:t>налаштування</w:t>
            </w:r>
            <w:proofErr w:type="spellEnd"/>
            <w:r w:rsidRPr="007E0AF4">
              <w:rPr>
                <w:sz w:val="22"/>
              </w:rPr>
              <w:t xml:space="preserve"> </w:t>
            </w:r>
            <w:proofErr w:type="spellStart"/>
            <w:r w:rsidRPr="007E0AF4">
              <w:rPr>
                <w:sz w:val="22"/>
              </w:rPr>
              <w:t>обладнання</w:t>
            </w:r>
            <w:proofErr w:type="spellEnd"/>
            <w:r w:rsidRPr="007E0AF4">
              <w:rPr>
                <w:sz w:val="22"/>
              </w:rPr>
              <w:t xml:space="preserve"> (</w:t>
            </w:r>
            <w:proofErr w:type="spellStart"/>
            <w:r w:rsidRPr="007E0AF4">
              <w:rPr>
                <w:sz w:val="22"/>
              </w:rPr>
              <w:t>устаткування</w:t>
            </w:r>
            <w:proofErr w:type="spellEnd"/>
            <w:r w:rsidRPr="007E0AF4">
              <w:rPr>
                <w:sz w:val="22"/>
              </w:rPr>
              <w:t xml:space="preserve">), </w:t>
            </w:r>
            <w:proofErr w:type="spellStart"/>
            <w:r w:rsidRPr="007E0AF4">
              <w:rPr>
                <w:sz w:val="22"/>
              </w:rPr>
              <w:t>технічних</w:t>
            </w:r>
            <w:proofErr w:type="spellEnd"/>
            <w:r w:rsidRPr="007E0AF4">
              <w:rPr>
                <w:sz w:val="22"/>
              </w:rPr>
              <w:t xml:space="preserve"> </w:t>
            </w:r>
            <w:proofErr w:type="spellStart"/>
            <w:r w:rsidRPr="007E0AF4">
              <w:rPr>
                <w:sz w:val="22"/>
              </w:rPr>
              <w:t>засобів</w:t>
            </w:r>
            <w:proofErr w:type="spellEnd"/>
            <w:r w:rsidRPr="007E0AF4">
              <w:rPr>
                <w:sz w:val="22"/>
              </w:rPr>
              <w:t xml:space="preserve">, </w:t>
            </w:r>
            <w:proofErr w:type="spellStart"/>
            <w:r w:rsidRPr="007E0AF4">
              <w:rPr>
                <w:sz w:val="22"/>
              </w:rPr>
              <w:t>електрообладнання</w:t>
            </w:r>
            <w:proofErr w:type="spellEnd"/>
            <w:r w:rsidRPr="007E0AF4">
              <w:rPr>
                <w:sz w:val="22"/>
              </w:rPr>
              <w:t xml:space="preserve"> </w:t>
            </w:r>
            <w:proofErr w:type="spellStart"/>
            <w:r w:rsidRPr="007E0AF4">
              <w:rPr>
                <w:sz w:val="22"/>
              </w:rPr>
              <w:t>тощо</w:t>
            </w:r>
            <w:proofErr w:type="spellEnd"/>
            <w:r w:rsidR="00AF459E" w:rsidRPr="007E0AF4">
              <w:rPr>
                <w:sz w:val="22"/>
              </w:rPr>
              <w:t>.</w:t>
            </w:r>
          </w:p>
          <w:p w:rsidR="002E3647" w:rsidRPr="007E0AF4" w:rsidRDefault="002E3647" w:rsidP="000303D7">
            <w:pPr>
              <w:pStyle w:val="a7"/>
              <w:numPr>
                <w:ilvl w:val="0"/>
                <w:numId w:val="110"/>
              </w:numPr>
              <w:jc w:val="left"/>
              <w:rPr>
                <w:sz w:val="22"/>
              </w:rPr>
            </w:pPr>
            <w:r w:rsidRPr="007E0AF4">
              <w:rPr>
                <w:sz w:val="22"/>
              </w:rPr>
              <w:t xml:space="preserve">Заходи з </w:t>
            </w:r>
            <w:proofErr w:type="spellStart"/>
            <w:r w:rsidRPr="007E0AF4">
              <w:rPr>
                <w:sz w:val="22"/>
              </w:rPr>
              <w:t>надання</w:t>
            </w:r>
            <w:proofErr w:type="spellEnd"/>
            <w:r w:rsidRPr="007E0AF4">
              <w:rPr>
                <w:sz w:val="22"/>
              </w:rPr>
              <w:t xml:space="preserve"> </w:t>
            </w:r>
            <w:proofErr w:type="spellStart"/>
            <w:r w:rsidRPr="007E0AF4">
              <w:rPr>
                <w:sz w:val="22"/>
              </w:rPr>
              <w:t>допусків</w:t>
            </w:r>
            <w:proofErr w:type="spellEnd"/>
            <w:r w:rsidRPr="007E0AF4">
              <w:rPr>
                <w:sz w:val="22"/>
              </w:rPr>
              <w:t xml:space="preserve"> </w:t>
            </w:r>
            <w:proofErr w:type="gramStart"/>
            <w:r w:rsidRPr="007E0AF4">
              <w:rPr>
                <w:sz w:val="22"/>
              </w:rPr>
              <w:t>до початку</w:t>
            </w:r>
            <w:proofErr w:type="gramEnd"/>
            <w:r w:rsidRPr="007E0AF4">
              <w:rPr>
                <w:sz w:val="22"/>
              </w:rPr>
              <w:t xml:space="preserve"> </w:t>
            </w:r>
            <w:proofErr w:type="spellStart"/>
            <w:r w:rsidRPr="007E0AF4">
              <w:rPr>
                <w:sz w:val="22"/>
              </w:rPr>
              <w:t>експлуатації</w:t>
            </w:r>
            <w:proofErr w:type="spellEnd"/>
            <w:r w:rsidRPr="007E0AF4">
              <w:rPr>
                <w:sz w:val="22"/>
              </w:rPr>
              <w:t xml:space="preserve"> </w:t>
            </w:r>
            <w:proofErr w:type="spellStart"/>
            <w:r w:rsidRPr="007E0AF4">
              <w:rPr>
                <w:sz w:val="22"/>
              </w:rPr>
              <w:t>обладнання</w:t>
            </w:r>
            <w:proofErr w:type="spellEnd"/>
            <w:r w:rsidRPr="007E0AF4">
              <w:rPr>
                <w:sz w:val="22"/>
              </w:rPr>
              <w:t xml:space="preserve"> (</w:t>
            </w:r>
            <w:proofErr w:type="spellStart"/>
            <w:r w:rsidRPr="007E0AF4">
              <w:rPr>
                <w:sz w:val="22"/>
              </w:rPr>
              <w:t>устаткування</w:t>
            </w:r>
            <w:proofErr w:type="spellEnd"/>
            <w:r w:rsidRPr="007E0AF4">
              <w:rPr>
                <w:sz w:val="22"/>
              </w:rPr>
              <w:t xml:space="preserve">), </w:t>
            </w:r>
            <w:proofErr w:type="spellStart"/>
            <w:r w:rsidRPr="007E0AF4">
              <w:rPr>
                <w:sz w:val="22"/>
              </w:rPr>
              <w:t>технічних</w:t>
            </w:r>
            <w:proofErr w:type="spellEnd"/>
            <w:r w:rsidRPr="007E0AF4">
              <w:rPr>
                <w:sz w:val="22"/>
              </w:rPr>
              <w:t xml:space="preserve"> </w:t>
            </w:r>
            <w:proofErr w:type="spellStart"/>
            <w:r w:rsidRPr="007E0AF4">
              <w:rPr>
                <w:sz w:val="22"/>
              </w:rPr>
              <w:t>засобів</w:t>
            </w:r>
            <w:proofErr w:type="spellEnd"/>
            <w:r w:rsidRPr="007E0AF4">
              <w:rPr>
                <w:sz w:val="22"/>
              </w:rPr>
              <w:t xml:space="preserve">, </w:t>
            </w:r>
            <w:proofErr w:type="spellStart"/>
            <w:r w:rsidRPr="007E0AF4">
              <w:rPr>
                <w:sz w:val="22"/>
              </w:rPr>
              <w:t>електрообладнання</w:t>
            </w:r>
            <w:proofErr w:type="spellEnd"/>
            <w:r w:rsidRPr="007E0AF4">
              <w:rPr>
                <w:sz w:val="22"/>
              </w:rPr>
              <w:t xml:space="preserve"> </w:t>
            </w:r>
            <w:proofErr w:type="spellStart"/>
            <w:r w:rsidRPr="007E0AF4">
              <w:rPr>
                <w:sz w:val="22"/>
              </w:rPr>
              <w:t>тощо</w:t>
            </w:r>
            <w:proofErr w:type="spellEnd"/>
            <w:r w:rsidRPr="007E0AF4">
              <w:rPr>
                <w:sz w:val="22"/>
              </w:rPr>
              <w:t xml:space="preserve"> </w:t>
            </w:r>
            <w:proofErr w:type="spellStart"/>
            <w:r w:rsidRPr="007E0AF4">
              <w:rPr>
                <w:sz w:val="22"/>
              </w:rPr>
              <w:t>відповідними</w:t>
            </w:r>
            <w:proofErr w:type="spellEnd"/>
            <w:r w:rsidRPr="007E0AF4">
              <w:rPr>
                <w:sz w:val="22"/>
              </w:rPr>
              <w:t xml:space="preserve"> органами та </w:t>
            </w:r>
            <w:proofErr w:type="spellStart"/>
            <w:r w:rsidRPr="007E0AF4">
              <w:rPr>
                <w:sz w:val="22"/>
              </w:rPr>
              <w:t>організаціями</w:t>
            </w:r>
            <w:proofErr w:type="spellEnd"/>
            <w:r w:rsidR="00AF459E" w:rsidRPr="007E0AF4">
              <w:rPr>
                <w:sz w:val="22"/>
              </w:rPr>
              <w:t>.</w:t>
            </w:r>
            <w:r w:rsidRPr="007E0AF4">
              <w:rPr>
                <w:sz w:val="22"/>
              </w:rPr>
              <w:t xml:space="preserve"> </w:t>
            </w:r>
          </w:p>
          <w:p w:rsidR="002E3647" w:rsidRPr="007E0AF4" w:rsidRDefault="002E3647" w:rsidP="000303D7">
            <w:pPr>
              <w:pStyle w:val="a7"/>
              <w:numPr>
                <w:ilvl w:val="0"/>
                <w:numId w:val="110"/>
              </w:numPr>
              <w:jc w:val="left"/>
              <w:rPr>
                <w:sz w:val="22"/>
              </w:rPr>
            </w:pPr>
            <w:proofErr w:type="spellStart"/>
            <w:r w:rsidRPr="007E0AF4">
              <w:rPr>
                <w:sz w:val="22"/>
              </w:rPr>
              <w:t>Придбання</w:t>
            </w:r>
            <w:proofErr w:type="spellEnd"/>
            <w:r w:rsidRPr="007E0AF4">
              <w:rPr>
                <w:sz w:val="22"/>
              </w:rPr>
              <w:t xml:space="preserve"> твердого та </w:t>
            </w:r>
            <w:proofErr w:type="spellStart"/>
            <w:r w:rsidRPr="007E0AF4">
              <w:rPr>
                <w:sz w:val="22"/>
              </w:rPr>
              <w:t>м’якого</w:t>
            </w:r>
            <w:proofErr w:type="spellEnd"/>
            <w:r w:rsidRPr="007E0AF4">
              <w:rPr>
                <w:sz w:val="22"/>
              </w:rPr>
              <w:t xml:space="preserve"> </w:t>
            </w:r>
            <w:proofErr w:type="spellStart"/>
            <w:r w:rsidRPr="007E0AF4">
              <w:rPr>
                <w:sz w:val="22"/>
              </w:rPr>
              <w:t>інвентарю</w:t>
            </w:r>
            <w:proofErr w:type="spellEnd"/>
            <w:r w:rsidRPr="007E0AF4">
              <w:rPr>
                <w:sz w:val="22"/>
              </w:rPr>
              <w:t xml:space="preserve">, </w:t>
            </w:r>
            <w:proofErr w:type="spellStart"/>
            <w:r w:rsidRPr="007E0AF4">
              <w:rPr>
                <w:sz w:val="22"/>
              </w:rPr>
              <w:t>спеціального</w:t>
            </w:r>
            <w:proofErr w:type="spellEnd"/>
            <w:r w:rsidRPr="007E0AF4">
              <w:rPr>
                <w:sz w:val="22"/>
              </w:rPr>
              <w:t xml:space="preserve"> </w:t>
            </w:r>
            <w:proofErr w:type="spellStart"/>
            <w:r w:rsidRPr="007E0AF4">
              <w:rPr>
                <w:sz w:val="22"/>
              </w:rPr>
              <w:t>одягу</w:t>
            </w:r>
            <w:proofErr w:type="spellEnd"/>
            <w:r w:rsidRPr="007E0AF4">
              <w:rPr>
                <w:sz w:val="22"/>
              </w:rPr>
              <w:t xml:space="preserve"> </w:t>
            </w:r>
            <w:proofErr w:type="spellStart"/>
            <w:r w:rsidRPr="007E0AF4">
              <w:rPr>
                <w:sz w:val="22"/>
              </w:rPr>
              <w:t>тощо</w:t>
            </w:r>
            <w:proofErr w:type="spellEnd"/>
            <w:r w:rsidRPr="007E0AF4">
              <w:rPr>
                <w:sz w:val="22"/>
              </w:rPr>
              <w:t>.</w:t>
            </w:r>
          </w:p>
          <w:p w:rsidR="002E3647" w:rsidRPr="007E0AF4" w:rsidRDefault="002E3647" w:rsidP="000303D7">
            <w:pPr>
              <w:pStyle w:val="a7"/>
              <w:numPr>
                <w:ilvl w:val="0"/>
                <w:numId w:val="110"/>
              </w:numPr>
              <w:jc w:val="left"/>
              <w:rPr>
                <w:sz w:val="22"/>
              </w:rPr>
            </w:pPr>
            <w:proofErr w:type="spellStart"/>
            <w:r w:rsidRPr="007E0AF4">
              <w:rPr>
                <w:sz w:val="22"/>
              </w:rPr>
              <w:t>Організація</w:t>
            </w:r>
            <w:proofErr w:type="spellEnd"/>
            <w:r w:rsidRPr="007E0AF4">
              <w:rPr>
                <w:sz w:val="22"/>
              </w:rPr>
              <w:t xml:space="preserve"> та </w:t>
            </w:r>
            <w:proofErr w:type="gramStart"/>
            <w:r w:rsidRPr="007E0AF4">
              <w:rPr>
                <w:sz w:val="22"/>
              </w:rPr>
              <w:t xml:space="preserve">початок  </w:t>
            </w:r>
            <w:proofErr w:type="spellStart"/>
            <w:r w:rsidRPr="007E0AF4">
              <w:rPr>
                <w:sz w:val="22"/>
              </w:rPr>
              <w:t>освітнього</w:t>
            </w:r>
            <w:proofErr w:type="spellEnd"/>
            <w:proofErr w:type="gramEnd"/>
            <w:r w:rsidRPr="007E0AF4">
              <w:rPr>
                <w:sz w:val="22"/>
              </w:rPr>
              <w:t xml:space="preserve"> </w:t>
            </w:r>
            <w:proofErr w:type="spellStart"/>
            <w:r w:rsidRPr="007E0AF4">
              <w:rPr>
                <w:sz w:val="22"/>
              </w:rPr>
              <w:t>процесу</w:t>
            </w:r>
            <w:proofErr w:type="spellEnd"/>
            <w:r w:rsidRPr="007E0AF4">
              <w:rPr>
                <w:sz w:val="22"/>
              </w:rPr>
              <w:t>.</w:t>
            </w:r>
          </w:p>
        </w:tc>
      </w:tr>
      <w:tr w:rsidR="002E3647" w:rsidRPr="007E0AF4" w:rsidTr="002E3647">
        <w:trPr>
          <w:trHeight w:val="360"/>
        </w:trPr>
        <w:tc>
          <w:tcPr>
            <w:tcW w:w="2978" w:type="dxa"/>
            <w:vMerge w:val="restart"/>
            <w:shd w:val="clear" w:color="auto" w:fill="C6D9F1" w:themeFill="text2" w:themeFillTint="33"/>
          </w:tcPr>
          <w:p w:rsidR="002E3647" w:rsidRPr="007E0AF4" w:rsidRDefault="002E3647" w:rsidP="001E6C97">
            <w:pPr>
              <w:pStyle w:val="a7"/>
              <w:ind w:left="0"/>
              <w:rPr>
                <w:b/>
                <w:sz w:val="22"/>
              </w:rPr>
            </w:pPr>
            <w:proofErr w:type="spellStart"/>
            <w:r w:rsidRPr="007E0AF4">
              <w:rPr>
                <w:b/>
                <w:sz w:val="22"/>
              </w:rPr>
              <w:t>Орієнтовний</w:t>
            </w:r>
            <w:proofErr w:type="spellEnd"/>
            <w:r w:rsidRPr="007E0AF4">
              <w:rPr>
                <w:b/>
                <w:sz w:val="22"/>
              </w:rPr>
              <w:t xml:space="preserve"> </w:t>
            </w:r>
            <w:proofErr w:type="spellStart"/>
            <w:r w:rsidRPr="007E0AF4">
              <w:rPr>
                <w:b/>
                <w:sz w:val="22"/>
              </w:rPr>
              <w:t>обсяг</w:t>
            </w:r>
            <w:proofErr w:type="spellEnd"/>
            <w:r w:rsidRPr="007E0AF4">
              <w:rPr>
                <w:b/>
                <w:sz w:val="22"/>
              </w:rPr>
              <w:t xml:space="preserve"> та </w:t>
            </w:r>
            <w:proofErr w:type="spellStart"/>
            <w:r w:rsidRPr="007E0AF4">
              <w:rPr>
                <w:b/>
                <w:sz w:val="22"/>
              </w:rPr>
              <w:t>джерела</w:t>
            </w:r>
            <w:proofErr w:type="spellEnd"/>
            <w:r w:rsidRPr="007E0AF4">
              <w:rPr>
                <w:b/>
                <w:sz w:val="22"/>
              </w:rPr>
              <w:t xml:space="preserve"> </w:t>
            </w:r>
            <w:proofErr w:type="spellStart"/>
            <w:r w:rsidRPr="007E0AF4">
              <w:rPr>
                <w:b/>
                <w:sz w:val="22"/>
              </w:rPr>
              <w:t>фінансування</w:t>
            </w:r>
            <w:proofErr w:type="spellEnd"/>
            <w:r w:rsidRPr="007E0AF4">
              <w:rPr>
                <w:b/>
                <w:sz w:val="22"/>
              </w:rPr>
              <w:t xml:space="preserve">, тис. грн. </w:t>
            </w:r>
          </w:p>
          <w:p w:rsidR="002E3647" w:rsidRPr="007E0AF4" w:rsidRDefault="002E3647" w:rsidP="001E6C97">
            <w:pPr>
              <w:pStyle w:val="a7"/>
              <w:ind w:left="0"/>
              <w:rPr>
                <w:b/>
                <w:sz w:val="22"/>
              </w:rPr>
            </w:pPr>
          </w:p>
        </w:tc>
        <w:tc>
          <w:tcPr>
            <w:tcW w:w="1559" w:type="dxa"/>
            <w:tcBorders>
              <w:bottom w:val="single" w:sz="4" w:space="0" w:color="auto"/>
              <w:right w:val="single" w:sz="4" w:space="0" w:color="auto"/>
            </w:tcBorders>
          </w:tcPr>
          <w:p w:rsidR="002E3647" w:rsidRPr="007E0AF4" w:rsidRDefault="002E3647" w:rsidP="001E6C97">
            <w:pPr>
              <w:pStyle w:val="a7"/>
              <w:ind w:left="0"/>
              <w:jc w:val="center"/>
              <w:rPr>
                <w:b/>
                <w:sz w:val="22"/>
              </w:rPr>
            </w:pPr>
            <w:proofErr w:type="spellStart"/>
            <w:r w:rsidRPr="007E0AF4">
              <w:rPr>
                <w:b/>
                <w:sz w:val="22"/>
              </w:rPr>
              <w:t>Державний</w:t>
            </w:r>
            <w:proofErr w:type="spellEnd"/>
            <w:r w:rsidRPr="007E0AF4">
              <w:rPr>
                <w:b/>
                <w:sz w:val="22"/>
              </w:rPr>
              <w:t xml:space="preserve"> бюджет</w:t>
            </w:r>
          </w:p>
        </w:tc>
        <w:tc>
          <w:tcPr>
            <w:tcW w:w="1276" w:type="dxa"/>
            <w:tcBorders>
              <w:bottom w:val="single" w:sz="4" w:space="0" w:color="auto"/>
              <w:right w:val="single" w:sz="4" w:space="0" w:color="auto"/>
            </w:tcBorders>
          </w:tcPr>
          <w:p w:rsidR="002E3647" w:rsidRPr="007E0AF4" w:rsidRDefault="002E3647" w:rsidP="001E6C97">
            <w:pPr>
              <w:pStyle w:val="a7"/>
              <w:ind w:left="0"/>
              <w:jc w:val="center"/>
              <w:rPr>
                <w:b/>
                <w:sz w:val="22"/>
              </w:rPr>
            </w:pPr>
            <w:proofErr w:type="spellStart"/>
            <w:r w:rsidRPr="007E0AF4">
              <w:rPr>
                <w:b/>
                <w:sz w:val="22"/>
              </w:rPr>
              <w:t>Місцевий</w:t>
            </w:r>
            <w:proofErr w:type="spellEnd"/>
            <w:r w:rsidRPr="007E0AF4">
              <w:rPr>
                <w:b/>
                <w:sz w:val="22"/>
              </w:rPr>
              <w:t xml:space="preserve"> бюджет</w:t>
            </w:r>
          </w:p>
        </w:tc>
        <w:tc>
          <w:tcPr>
            <w:tcW w:w="2835" w:type="dxa"/>
            <w:gridSpan w:val="3"/>
            <w:tcBorders>
              <w:left w:val="single" w:sz="4" w:space="0" w:color="auto"/>
              <w:bottom w:val="single" w:sz="4" w:space="0" w:color="auto"/>
              <w:right w:val="single" w:sz="4" w:space="0" w:color="auto"/>
            </w:tcBorders>
          </w:tcPr>
          <w:p w:rsidR="002E3647" w:rsidRPr="007E0AF4" w:rsidRDefault="002E3647" w:rsidP="001E6C97">
            <w:pPr>
              <w:pStyle w:val="a7"/>
              <w:ind w:left="0"/>
              <w:jc w:val="center"/>
              <w:rPr>
                <w:b/>
                <w:sz w:val="22"/>
              </w:rPr>
            </w:pPr>
            <w:proofErr w:type="spellStart"/>
            <w:r w:rsidRPr="007E0AF4">
              <w:rPr>
                <w:b/>
                <w:sz w:val="22"/>
              </w:rPr>
              <w:t>Інші</w:t>
            </w:r>
            <w:proofErr w:type="spellEnd"/>
            <w:r w:rsidRPr="007E0AF4">
              <w:rPr>
                <w:b/>
                <w:sz w:val="22"/>
              </w:rPr>
              <w:t xml:space="preserve"> </w:t>
            </w:r>
            <w:proofErr w:type="spellStart"/>
            <w:r w:rsidRPr="007E0AF4">
              <w:rPr>
                <w:b/>
                <w:sz w:val="22"/>
              </w:rPr>
              <w:t>джерела</w:t>
            </w:r>
            <w:proofErr w:type="spellEnd"/>
          </w:p>
        </w:tc>
        <w:tc>
          <w:tcPr>
            <w:tcW w:w="1275" w:type="dxa"/>
            <w:tcBorders>
              <w:left w:val="single" w:sz="4" w:space="0" w:color="auto"/>
              <w:bottom w:val="single" w:sz="4" w:space="0" w:color="auto"/>
            </w:tcBorders>
          </w:tcPr>
          <w:p w:rsidR="002E3647" w:rsidRPr="007E0AF4" w:rsidRDefault="002E3647" w:rsidP="001E6C97">
            <w:pPr>
              <w:pStyle w:val="a7"/>
              <w:ind w:left="0"/>
              <w:jc w:val="center"/>
              <w:rPr>
                <w:b/>
                <w:sz w:val="22"/>
              </w:rPr>
            </w:pPr>
            <w:proofErr w:type="spellStart"/>
            <w:r w:rsidRPr="007E0AF4">
              <w:rPr>
                <w:b/>
                <w:sz w:val="22"/>
              </w:rPr>
              <w:t>Всього</w:t>
            </w:r>
            <w:proofErr w:type="spellEnd"/>
          </w:p>
        </w:tc>
      </w:tr>
      <w:tr w:rsidR="002E3647" w:rsidRPr="007E0AF4" w:rsidTr="002E3647">
        <w:trPr>
          <w:trHeight w:val="225"/>
        </w:trPr>
        <w:tc>
          <w:tcPr>
            <w:tcW w:w="2978" w:type="dxa"/>
            <w:vMerge/>
            <w:shd w:val="clear" w:color="auto" w:fill="C6D9F1" w:themeFill="text2" w:themeFillTint="33"/>
          </w:tcPr>
          <w:p w:rsidR="002E3647" w:rsidRPr="007E0AF4" w:rsidRDefault="002E3647" w:rsidP="001E6C97">
            <w:pPr>
              <w:pStyle w:val="a7"/>
              <w:ind w:left="0"/>
              <w:rPr>
                <w:b/>
                <w:sz w:val="22"/>
              </w:rPr>
            </w:pPr>
          </w:p>
        </w:tc>
        <w:tc>
          <w:tcPr>
            <w:tcW w:w="1559" w:type="dxa"/>
            <w:vMerge w:val="restart"/>
            <w:tcBorders>
              <w:top w:val="single" w:sz="4" w:space="0" w:color="auto"/>
              <w:right w:val="single" w:sz="4" w:space="0" w:color="auto"/>
            </w:tcBorders>
          </w:tcPr>
          <w:p w:rsidR="002E3647" w:rsidRPr="007E0AF4" w:rsidRDefault="002E3647" w:rsidP="001E6C97">
            <w:pPr>
              <w:pStyle w:val="a7"/>
              <w:ind w:left="0"/>
              <w:jc w:val="center"/>
              <w:rPr>
                <w:sz w:val="22"/>
              </w:rPr>
            </w:pPr>
            <w:r w:rsidRPr="007E0AF4">
              <w:rPr>
                <w:sz w:val="22"/>
              </w:rPr>
              <w:t>15778,0</w:t>
            </w:r>
          </w:p>
        </w:tc>
        <w:tc>
          <w:tcPr>
            <w:tcW w:w="1276" w:type="dxa"/>
            <w:vMerge w:val="restart"/>
            <w:tcBorders>
              <w:top w:val="single" w:sz="4" w:space="0" w:color="auto"/>
              <w:right w:val="single" w:sz="4" w:space="0" w:color="auto"/>
            </w:tcBorders>
          </w:tcPr>
          <w:p w:rsidR="002E3647" w:rsidRPr="007E0AF4" w:rsidRDefault="002E3647" w:rsidP="001E6C97">
            <w:pPr>
              <w:pStyle w:val="a7"/>
              <w:ind w:left="0"/>
              <w:jc w:val="center"/>
              <w:rPr>
                <w:b/>
                <w:sz w:val="22"/>
              </w:rPr>
            </w:pPr>
            <w:r w:rsidRPr="007E0AF4">
              <w:rPr>
                <w:b/>
                <w:sz w:val="22"/>
              </w:rPr>
              <w:t>-</w:t>
            </w:r>
          </w:p>
        </w:tc>
        <w:tc>
          <w:tcPr>
            <w:tcW w:w="992" w:type="dxa"/>
            <w:tcBorders>
              <w:top w:val="single" w:sz="4" w:space="0" w:color="auto"/>
              <w:left w:val="single" w:sz="4" w:space="0" w:color="auto"/>
              <w:bottom w:val="single" w:sz="4" w:space="0" w:color="auto"/>
              <w:right w:val="single" w:sz="4" w:space="0" w:color="auto"/>
            </w:tcBorders>
          </w:tcPr>
          <w:p w:rsidR="002E3647" w:rsidRPr="007E0AF4" w:rsidRDefault="002E3647" w:rsidP="001E6C97">
            <w:pPr>
              <w:pStyle w:val="a7"/>
              <w:ind w:left="0"/>
              <w:jc w:val="center"/>
              <w:rPr>
                <w:b/>
                <w:sz w:val="22"/>
              </w:rPr>
            </w:pPr>
            <w:proofErr w:type="spellStart"/>
            <w:r w:rsidRPr="007E0AF4">
              <w:rPr>
                <w:b/>
                <w:sz w:val="22"/>
              </w:rPr>
              <w:t>Обсяг</w:t>
            </w:r>
            <w:proofErr w:type="spellEnd"/>
          </w:p>
        </w:tc>
        <w:tc>
          <w:tcPr>
            <w:tcW w:w="1843" w:type="dxa"/>
            <w:gridSpan w:val="2"/>
            <w:tcBorders>
              <w:top w:val="single" w:sz="4" w:space="0" w:color="auto"/>
              <w:left w:val="single" w:sz="4" w:space="0" w:color="auto"/>
              <w:bottom w:val="single" w:sz="4" w:space="0" w:color="auto"/>
              <w:right w:val="single" w:sz="4" w:space="0" w:color="auto"/>
            </w:tcBorders>
          </w:tcPr>
          <w:p w:rsidR="002E3647" w:rsidRPr="007E0AF4" w:rsidRDefault="002E3647" w:rsidP="001E6C97">
            <w:pPr>
              <w:pStyle w:val="a7"/>
              <w:ind w:left="0"/>
              <w:jc w:val="center"/>
              <w:rPr>
                <w:b/>
                <w:sz w:val="22"/>
              </w:rPr>
            </w:pPr>
            <w:proofErr w:type="spellStart"/>
            <w:r w:rsidRPr="007E0AF4">
              <w:rPr>
                <w:b/>
                <w:sz w:val="22"/>
              </w:rPr>
              <w:t>Назва</w:t>
            </w:r>
            <w:proofErr w:type="spellEnd"/>
            <w:r w:rsidRPr="007E0AF4">
              <w:rPr>
                <w:b/>
                <w:sz w:val="22"/>
              </w:rPr>
              <w:t xml:space="preserve"> </w:t>
            </w:r>
            <w:proofErr w:type="spellStart"/>
            <w:r w:rsidRPr="007E0AF4">
              <w:rPr>
                <w:b/>
                <w:sz w:val="22"/>
              </w:rPr>
              <w:t>джерела</w:t>
            </w:r>
            <w:proofErr w:type="spellEnd"/>
          </w:p>
        </w:tc>
        <w:tc>
          <w:tcPr>
            <w:tcW w:w="1275" w:type="dxa"/>
            <w:vMerge w:val="restart"/>
            <w:tcBorders>
              <w:top w:val="single" w:sz="4" w:space="0" w:color="auto"/>
              <w:left w:val="single" w:sz="4" w:space="0" w:color="auto"/>
            </w:tcBorders>
          </w:tcPr>
          <w:p w:rsidR="002E3647" w:rsidRPr="007E0AF4" w:rsidRDefault="002E3647" w:rsidP="001E6C97">
            <w:pPr>
              <w:pStyle w:val="a7"/>
              <w:ind w:left="0"/>
              <w:rPr>
                <w:sz w:val="22"/>
              </w:rPr>
            </w:pPr>
            <w:r w:rsidRPr="007E0AF4">
              <w:rPr>
                <w:sz w:val="22"/>
              </w:rPr>
              <w:t>22 540,00</w:t>
            </w:r>
          </w:p>
          <w:p w:rsidR="002E3647" w:rsidRPr="007E0AF4" w:rsidRDefault="002E3647" w:rsidP="001E6C97">
            <w:pPr>
              <w:pStyle w:val="a7"/>
              <w:ind w:left="0"/>
              <w:jc w:val="center"/>
              <w:rPr>
                <w:sz w:val="22"/>
              </w:rPr>
            </w:pPr>
          </w:p>
        </w:tc>
      </w:tr>
      <w:tr w:rsidR="002E3647" w:rsidRPr="007E0AF4" w:rsidTr="002E3647">
        <w:trPr>
          <w:trHeight w:val="300"/>
        </w:trPr>
        <w:tc>
          <w:tcPr>
            <w:tcW w:w="2978" w:type="dxa"/>
            <w:vMerge/>
            <w:shd w:val="clear" w:color="auto" w:fill="C6D9F1" w:themeFill="text2" w:themeFillTint="33"/>
          </w:tcPr>
          <w:p w:rsidR="002E3647" w:rsidRPr="007E0AF4" w:rsidRDefault="002E3647" w:rsidP="001E6C97">
            <w:pPr>
              <w:pStyle w:val="a7"/>
              <w:ind w:left="0"/>
              <w:rPr>
                <w:b/>
                <w:sz w:val="22"/>
              </w:rPr>
            </w:pPr>
          </w:p>
        </w:tc>
        <w:tc>
          <w:tcPr>
            <w:tcW w:w="1559" w:type="dxa"/>
            <w:vMerge/>
            <w:tcBorders>
              <w:right w:val="single" w:sz="4" w:space="0" w:color="auto"/>
            </w:tcBorders>
          </w:tcPr>
          <w:p w:rsidR="002E3647" w:rsidRPr="007E0AF4" w:rsidRDefault="002E3647" w:rsidP="001E6C97">
            <w:pPr>
              <w:pStyle w:val="a7"/>
              <w:ind w:left="0"/>
              <w:jc w:val="center"/>
              <w:rPr>
                <w:sz w:val="22"/>
              </w:rPr>
            </w:pPr>
          </w:p>
        </w:tc>
        <w:tc>
          <w:tcPr>
            <w:tcW w:w="1276" w:type="dxa"/>
            <w:vMerge/>
            <w:tcBorders>
              <w:right w:val="single" w:sz="4" w:space="0" w:color="auto"/>
            </w:tcBorders>
          </w:tcPr>
          <w:p w:rsidR="002E3647" w:rsidRPr="007E0AF4" w:rsidRDefault="002E3647" w:rsidP="001E6C97">
            <w:pPr>
              <w:pStyle w:val="a7"/>
              <w:ind w:left="0"/>
              <w:jc w:val="center"/>
              <w:rPr>
                <w:b/>
                <w:sz w:val="22"/>
              </w:rPr>
            </w:pPr>
          </w:p>
        </w:tc>
        <w:tc>
          <w:tcPr>
            <w:tcW w:w="992" w:type="dxa"/>
            <w:tcBorders>
              <w:top w:val="single" w:sz="4" w:space="0" w:color="auto"/>
              <w:left w:val="single" w:sz="4" w:space="0" w:color="auto"/>
              <w:right w:val="single" w:sz="4" w:space="0" w:color="auto"/>
            </w:tcBorders>
          </w:tcPr>
          <w:p w:rsidR="002E3647" w:rsidRPr="007E0AF4" w:rsidRDefault="002E3647" w:rsidP="001E6C97">
            <w:pPr>
              <w:pStyle w:val="a7"/>
              <w:ind w:left="0"/>
              <w:rPr>
                <w:sz w:val="22"/>
              </w:rPr>
            </w:pPr>
            <w:r w:rsidRPr="007E0AF4">
              <w:rPr>
                <w:sz w:val="22"/>
              </w:rPr>
              <w:t>6762,0</w:t>
            </w:r>
          </w:p>
        </w:tc>
        <w:tc>
          <w:tcPr>
            <w:tcW w:w="1843" w:type="dxa"/>
            <w:gridSpan w:val="2"/>
            <w:tcBorders>
              <w:top w:val="single" w:sz="4" w:space="0" w:color="auto"/>
              <w:left w:val="single" w:sz="4" w:space="0" w:color="auto"/>
              <w:right w:val="single" w:sz="4" w:space="0" w:color="auto"/>
            </w:tcBorders>
          </w:tcPr>
          <w:p w:rsidR="002E3647" w:rsidRPr="007E0AF4" w:rsidRDefault="002E3647" w:rsidP="001E6C97">
            <w:pPr>
              <w:pStyle w:val="a7"/>
              <w:ind w:left="0"/>
              <w:jc w:val="center"/>
              <w:rPr>
                <w:sz w:val="22"/>
              </w:rPr>
            </w:pPr>
            <w:proofErr w:type="spellStart"/>
            <w:r w:rsidRPr="007E0AF4">
              <w:rPr>
                <w:sz w:val="22"/>
              </w:rPr>
              <w:t>Міжнародні</w:t>
            </w:r>
            <w:proofErr w:type="spellEnd"/>
            <w:r w:rsidRPr="007E0AF4">
              <w:rPr>
                <w:sz w:val="22"/>
              </w:rPr>
              <w:t xml:space="preserve"> </w:t>
            </w:r>
            <w:proofErr w:type="spellStart"/>
            <w:r w:rsidRPr="007E0AF4">
              <w:rPr>
                <w:sz w:val="22"/>
              </w:rPr>
              <w:t>інвестиції</w:t>
            </w:r>
            <w:proofErr w:type="spellEnd"/>
            <w:r w:rsidRPr="007E0AF4">
              <w:rPr>
                <w:sz w:val="22"/>
              </w:rPr>
              <w:t xml:space="preserve">, </w:t>
            </w:r>
            <w:proofErr w:type="spellStart"/>
            <w:r w:rsidRPr="007E0AF4">
              <w:rPr>
                <w:sz w:val="22"/>
              </w:rPr>
              <w:t>кошти</w:t>
            </w:r>
            <w:proofErr w:type="spellEnd"/>
            <w:r w:rsidRPr="007E0AF4">
              <w:rPr>
                <w:sz w:val="22"/>
              </w:rPr>
              <w:t xml:space="preserve"> </w:t>
            </w:r>
            <w:proofErr w:type="spellStart"/>
            <w:r w:rsidRPr="007E0AF4">
              <w:rPr>
                <w:sz w:val="22"/>
              </w:rPr>
              <w:t>приватних</w:t>
            </w:r>
            <w:proofErr w:type="spellEnd"/>
            <w:r w:rsidRPr="007E0AF4">
              <w:rPr>
                <w:sz w:val="22"/>
              </w:rPr>
              <w:t xml:space="preserve"> </w:t>
            </w:r>
            <w:proofErr w:type="spellStart"/>
            <w:r w:rsidRPr="007E0AF4">
              <w:rPr>
                <w:sz w:val="22"/>
              </w:rPr>
              <w:t>осіб</w:t>
            </w:r>
            <w:proofErr w:type="spellEnd"/>
          </w:p>
        </w:tc>
        <w:tc>
          <w:tcPr>
            <w:tcW w:w="1275" w:type="dxa"/>
            <w:vMerge/>
            <w:tcBorders>
              <w:left w:val="single" w:sz="4" w:space="0" w:color="auto"/>
            </w:tcBorders>
          </w:tcPr>
          <w:p w:rsidR="002E3647" w:rsidRPr="007E0AF4" w:rsidRDefault="002E3647" w:rsidP="001E6C97">
            <w:pPr>
              <w:pStyle w:val="a7"/>
              <w:ind w:left="0"/>
              <w:jc w:val="center"/>
              <w:rPr>
                <w:sz w:val="22"/>
              </w:rPr>
            </w:pPr>
          </w:p>
        </w:tc>
      </w:tr>
    </w:tbl>
    <w:p w:rsidR="002E3647" w:rsidRPr="007E0AF4" w:rsidRDefault="002E3647" w:rsidP="00E95FB1">
      <w:pPr>
        <w:rPr>
          <w:sz w:val="22"/>
        </w:rPr>
      </w:pPr>
    </w:p>
    <w:p w:rsidR="002E3647" w:rsidRPr="007E0AF4" w:rsidRDefault="002E3647" w:rsidP="00E95FB1">
      <w:pPr>
        <w:rPr>
          <w:sz w:val="22"/>
        </w:rPr>
      </w:pPr>
    </w:p>
    <w:tbl>
      <w:tblPr>
        <w:tblStyle w:val="af"/>
        <w:tblW w:w="9923" w:type="dxa"/>
        <w:tblInd w:w="-176" w:type="dxa"/>
        <w:tblLayout w:type="fixed"/>
        <w:tblLook w:val="04A0" w:firstRow="1" w:lastRow="0" w:firstColumn="1" w:lastColumn="0" w:noHBand="0" w:noVBand="1"/>
      </w:tblPr>
      <w:tblGrid>
        <w:gridCol w:w="2978"/>
        <w:gridCol w:w="1559"/>
        <w:gridCol w:w="1417"/>
        <w:gridCol w:w="426"/>
        <w:gridCol w:w="567"/>
        <w:gridCol w:w="1134"/>
        <w:gridCol w:w="708"/>
        <w:gridCol w:w="1134"/>
      </w:tblGrid>
      <w:tr w:rsidR="002E3647" w:rsidRPr="007E0AF4" w:rsidTr="002E3647">
        <w:tc>
          <w:tcPr>
            <w:tcW w:w="2978" w:type="dxa"/>
            <w:shd w:val="clear" w:color="auto" w:fill="C6D9F1" w:themeFill="text2" w:themeFillTint="33"/>
          </w:tcPr>
          <w:p w:rsidR="002E3647" w:rsidRPr="007E0AF4" w:rsidRDefault="002E3647" w:rsidP="001E6C97">
            <w:pPr>
              <w:pStyle w:val="a7"/>
              <w:ind w:left="0"/>
              <w:rPr>
                <w:b/>
                <w:sz w:val="22"/>
              </w:rPr>
            </w:pPr>
            <w:r w:rsidRPr="007E0AF4">
              <w:rPr>
                <w:b/>
                <w:sz w:val="22"/>
              </w:rPr>
              <w:t xml:space="preserve">Оперативна </w:t>
            </w:r>
            <w:proofErr w:type="spellStart"/>
            <w:r w:rsidRPr="007E0AF4">
              <w:rPr>
                <w:b/>
                <w:sz w:val="22"/>
              </w:rPr>
              <w:t>ціль</w:t>
            </w:r>
            <w:proofErr w:type="spellEnd"/>
            <w:r w:rsidRPr="007E0AF4">
              <w:rPr>
                <w:b/>
                <w:sz w:val="22"/>
              </w:rPr>
              <w:t>/</w:t>
            </w:r>
            <w:proofErr w:type="spellStart"/>
            <w:r w:rsidRPr="007E0AF4">
              <w:rPr>
                <w:b/>
                <w:sz w:val="22"/>
              </w:rPr>
              <w:t>завдання</w:t>
            </w:r>
            <w:proofErr w:type="spellEnd"/>
          </w:p>
        </w:tc>
        <w:tc>
          <w:tcPr>
            <w:tcW w:w="6945" w:type="dxa"/>
            <w:gridSpan w:val="7"/>
            <w:shd w:val="clear" w:color="auto" w:fill="auto"/>
          </w:tcPr>
          <w:p w:rsidR="002E3647" w:rsidRPr="007E0AF4" w:rsidRDefault="002E3647" w:rsidP="001E6C97">
            <w:pPr>
              <w:pStyle w:val="a7"/>
              <w:ind w:left="0"/>
              <w:rPr>
                <w:sz w:val="22"/>
              </w:rPr>
            </w:pPr>
            <w:proofErr w:type="spellStart"/>
            <w:r w:rsidRPr="007E0AF4">
              <w:rPr>
                <w:rFonts w:eastAsia="Arial"/>
                <w:sz w:val="22"/>
              </w:rPr>
              <w:t>Людський</w:t>
            </w:r>
            <w:proofErr w:type="spellEnd"/>
            <w:r w:rsidRPr="007E0AF4">
              <w:rPr>
                <w:rFonts w:eastAsia="Arial"/>
                <w:sz w:val="22"/>
              </w:rPr>
              <w:t xml:space="preserve"> </w:t>
            </w:r>
            <w:proofErr w:type="spellStart"/>
            <w:r w:rsidRPr="007E0AF4">
              <w:rPr>
                <w:rFonts w:eastAsia="Arial"/>
                <w:sz w:val="22"/>
              </w:rPr>
              <w:t>розвиток</w:t>
            </w:r>
            <w:proofErr w:type="spellEnd"/>
            <w:r w:rsidRPr="007E0AF4">
              <w:rPr>
                <w:rFonts w:eastAsia="Arial"/>
                <w:sz w:val="22"/>
              </w:rPr>
              <w:t xml:space="preserve"> через </w:t>
            </w:r>
            <w:proofErr w:type="spellStart"/>
            <w:r w:rsidRPr="007E0AF4">
              <w:rPr>
                <w:rFonts w:eastAsia="Arial"/>
                <w:sz w:val="22"/>
              </w:rPr>
              <w:t>інновації</w:t>
            </w:r>
            <w:proofErr w:type="spellEnd"/>
            <w:r w:rsidRPr="007E0AF4">
              <w:rPr>
                <w:rFonts w:eastAsia="Arial"/>
                <w:sz w:val="22"/>
              </w:rPr>
              <w:t xml:space="preserve"> </w:t>
            </w:r>
            <w:proofErr w:type="spellStart"/>
            <w:r w:rsidRPr="007E0AF4">
              <w:rPr>
                <w:rFonts w:eastAsia="Arial"/>
                <w:sz w:val="22"/>
              </w:rPr>
              <w:t>управління</w:t>
            </w:r>
            <w:proofErr w:type="spellEnd"/>
            <w:r w:rsidRPr="007E0AF4">
              <w:rPr>
                <w:rFonts w:eastAsia="Arial"/>
                <w:sz w:val="22"/>
              </w:rPr>
              <w:t xml:space="preserve"> та </w:t>
            </w:r>
            <w:proofErr w:type="spellStart"/>
            <w:r w:rsidRPr="007E0AF4">
              <w:rPr>
                <w:rFonts w:eastAsia="Arial"/>
                <w:sz w:val="22"/>
              </w:rPr>
              <w:t>довіру</w:t>
            </w:r>
            <w:proofErr w:type="spellEnd"/>
            <w:r w:rsidRPr="007E0AF4">
              <w:rPr>
                <w:rFonts w:eastAsia="Arial"/>
                <w:sz w:val="22"/>
              </w:rPr>
              <w:t xml:space="preserve"> до </w:t>
            </w:r>
            <w:proofErr w:type="spellStart"/>
            <w:r w:rsidRPr="007E0AF4">
              <w:rPr>
                <w:rFonts w:eastAsia="Arial"/>
                <w:sz w:val="22"/>
              </w:rPr>
              <w:t>влади</w:t>
            </w:r>
            <w:proofErr w:type="spellEnd"/>
            <w:r w:rsidRPr="007E0AF4">
              <w:rPr>
                <w:rFonts w:eastAsia="Arial"/>
                <w:sz w:val="22"/>
              </w:rPr>
              <w:t xml:space="preserve">. </w:t>
            </w:r>
            <w:proofErr w:type="spellStart"/>
            <w:r w:rsidRPr="007E0AF4">
              <w:rPr>
                <w:rFonts w:eastAsia="Arial"/>
                <w:sz w:val="22"/>
              </w:rPr>
              <w:t>Формування</w:t>
            </w:r>
            <w:proofErr w:type="spellEnd"/>
            <w:r w:rsidRPr="007E0AF4">
              <w:rPr>
                <w:rFonts w:eastAsia="Arial"/>
                <w:sz w:val="22"/>
              </w:rPr>
              <w:t xml:space="preserve"> </w:t>
            </w:r>
            <w:proofErr w:type="spellStart"/>
            <w:r w:rsidRPr="007E0AF4">
              <w:rPr>
                <w:rFonts w:eastAsia="Arial"/>
                <w:sz w:val="22"/>
              </w:rPr>
              <w:t>сучасного</w:t>
            </w:r>
            <w:proofErr w:type="spellEnd"/>
            <w:r w:rsidRPr="007E0AF4">
              <w:rPr>
                <w:rFonts w:eastAsia="Arial"/>
                <w:sz w:val="22"/>
              </w:rPr>
              <w:t xml:space="preserve"> </w:t>
            </w:r>
            <w:proofErr w:type="spellStart"/>
            <w:proofErr w:type="gramStart"/>
            <w:r w:rsidRPr="007E0AF4">
              <w:rPr>
                <w:rFonts w:eastAsia="Arial"/>
                <w:sz w:val="22"/>
              </w:rPr>
              <w:t>інклюзивного</w:t>
            </w:r>
            <w:proofErr w:type="spellEnd"/>
            <w:r w:rsidRPr="007E0AF4">
              <w:rPr>
                <w:rFonts w:eastAsia="Arial"/>
                <w:sz w:val="22"/>
              </w:rPr>
              <w:t xml:space="preserve">  </w:t>
            </w:r>
            <w:proofErr w:type="spellStart"/>
            <w:r w:rsidRPr="007E0AF4">
              <w:rPr>
                <w:rFonts w:eastAsia="Arial"/>
                <w:sz w:val="22"/>
              </w:rPr>
              <w:t>освітньо</w:t>
            </w:r>
            <w:proofErr w:type="spellEnd"/>
            <w:proofErr w:type="gramEnd"/>
            <w:r w:rsidRPr="007E0AF4">
              <w:rPr>
                <w:rFonts w:eastAsia="Arial"/>
                <w:sz w:val="22"/>
              </w:rPr>
              <w:t xml:space="preserve">-культурного та спортивного простору для </w:t>
            </w:r>
            <w:proofErr w:type="spellStart"/>
            <w:r w:rsidRPr="007E0AF4">
              <w:rPr>
                <w:rFonts w:eastAsia="Arial"/>
                <w:sz w:val="22"/>
              </w:rPr>
              <w:t>розвитку</w:t>
            </w:r>
            <w:proofErr w:type="spellEnd"/>
            <w:r w:rsidRPr="007E0AF4">
              <w:rPr>
                <w:rFonts w:eastAsia="Arial"/>
                <w:sz w:val="22"/>
              </w:rPr>
              <w:t>.</w:t>
            </w:r>
          </w:p>
        </w:tc>
      </w:tr>
      <w:tr w:rsidR="002E3647" w:rsidRPr="007E0AF4" w:rsidTr="002E3647">
        <w:tc>
          <w:tcPr>
            <w:tcW w:w="2978" w:type="dxa"/>
            <w:shd w:val="clear" w:color="auto" w:fill="C6D9F1" w:themeFill="text2" w:themeFillTint="33"/>
          </w:tcPr>
          <w:p w:rsidR="002E3647" w:rsidRPr="007E0AF4" w:rsidRDefault="002E3647" w:rsidP="001E6C97">
            <w:pPr>
              <w:pStyle w:val="a7"/>
              <w:ind w:left="0"/>
              <w:rPr>
                <w:b/>
                <w:sz w:val="22"/>
              </w:rPr>
            </w:pPr>
            <w:proofErr w:type="spellStart"/>
            <w:r w:rsidRPr="007E0AF4">
              <w:rPr>
                <w:b/>
                <w:sz w:val="22"/>
              </w:rPr>
              <w:lastRenderedPageBreak/>
              <w:t>Назва</w:t>
            </w:r>
            <w:proofErr w:type="spellEnd"/>
            <w:r w:rsidRPr="007E0AF4">
              <w:rPr>
                <w:b/>
                <w:sz w:val="22"/>
              </w:rPr>
              <w:t xml:space="preserve"> проекту:</w:t>
            </w:r>
          </w:p>
        </w:tc>
        <w:tc>
          <w:tcPr>
            <w:tcW w:w="6945" w:type="dxa"/>
            <w:gridSpan w:val="7"/>
          </w:tcPr>
          <w:p w:rsidR="002E3647" w:rsidRPr="007E0AF4" w:rsidRDefault="002E3647" w:rsidP="001E6C97">
            <w:pPr>
              <w:pStyle w:val="a7"/>
              <w:ind w:left="0"/>
              <w:rPr>
                <w:sz w:val="22"/>
              </w:rPr>
            </w:pPr>
            <w:proofErr w:type="spellStart"/>
            <w:r w:rsidRPr="007E0AF4">
              <w:rPr>
                <w:sz w:val="22"/>
              </w:rPr>
              <w:t>Капітальний</w:t>
            </w:r>
            <w:proofErr w:type="spellEnd"/>
            <w:r w:rsidRPr="007E0AF4">
              <w:rPr>
                <w:sz w:val="22"/>
              </w:rPr>
              <w:t xml:space="preserve"> ремонт спортивного </w:t>
            </w:r>
            <w:proofErr w:type="spellStart"/>
            <w:r w:rsidRPr="007E0AF4">
              <w:rPr>
                <w:sz w:val="22"/>
              </w:rPr>
              <w:t>стадіону</w:t>
            </w:r>
            <w:proofErr w:type="spellEnd"/>
            <w:r w:rsidRPr="007E0AF4">
              <w:rPr>
                <w:sz w:val="22"/>
              </w:rPr>
              <w:t xml:space="preserve"> </w:t>
            </w:r>
            <w:proofErr w:type="spellStart"/>
            <w:r w:rsidRPr="007E0AF4">
              <w:rPr>
                <w:sz w:val="22"/>
              </w:rPr>
              <w:t>комунального</w:t>
            </w:r>
            <w:proofErr w:type="spellEnd"/>
            <w:r w:rsidRPr="007E0AF4">
              <w:rPr>
                <w:sz w:val="22"/>
              </w:rPr>
              <w:t xml:space="preserve"> закладу </w:t>
            </w:r>
            <w:proofErr w:type="spellStart"/>
            <w:r w:rsidRPr="007E0AF4">
              <w:rPr>
                <w:sz w:val="22"/>
              </w:rPr>
              <w:t>Гімназії</w:t>
            </w:r>
            <w:proofErr w:type="spellEnd"/>
            <w:r w:rsidRPr="007E0AF4">
              <w:rPr>
                <w:sz w:val="22"/>
              </w:rPr>
              <w:t xml:space="preserve"> «ГАРМОНІЯ» </w:t>
            </w:r>
            <w:proofErr w:type="spellStart"/>
            <w:r w:rsidRPr="007E0AF4">
              <w:rPr>
                <w:sz w:val="22"/>
              </w:rPr>
              <w:t>міста</w:t>
            </w:r>
            <w:proofErr w:type="spellEnd"/>
            <w:r w:rsidRPr="007E0AF4">
              <w:rPr>
                <w:sz w:val="22"/>
              </w:rPr>
              <w:t xml:space="preserve"> </w:t>
            </w:r>
            <w:proofErr w:type="spellStart"/>
            <w:r w:rsidRPr="007E0AF4">
              <w:rPr>
                <w:sz w:val="22"/>
              </w:rPr>
              <w:t>Сєвєродонецька</w:t>
            </w:r>
            <w:proofErr w:type="spellEnd"/>
            <w:r w:rsidRPr="007E0AF4">
              <w:rPr>
                <w:sz w:val="22"/>
              </w:rPr>
              <w:t xml:space="preserve"> </w:t>
            </w:r>
            <w:proofErr w:type="spellStart"/>
            <w:r w:rsidRPr="007E0AF4">
              <w:rPr>
                <w:sz w:val="22"/>
              </w:rPr>
              <w:t>Луганської</w:t>
            </w:r>
            <w:proofErr w:type="spellEnd"/>
            <w:r w:rsidRPr="007E0AF4">
              <w:rPr>
                <w:sz w:val="22"/>
              </w:rPr>
              <w:t xml:space="preserve"> </w:t>
            </w:r>
            <w:proofErr w:type="spellStart"/>
            <w:r w:rsidRPr="007E0AF4">
              <w:rPr>
                <w:sz w:val="22"/>
              </w:rPr>
              <w:t>області</w:t>
            </w:r>
            <w:proofErr w:type="spellEnd"/>
            <w:r w:rsidRPr="007E0AF4">
              <w:rPr>
                <w:sz w:val="22"/>
              </w:rPr>
              <w:t xml:space="preserve">, </w:t>
            </w:r>
            <w:proofErr w:type="spellStart"/>
            <w:r w:rsidRPr="007E0AF4">
              <w:rPr>
                <w:sz w:val="22"/>
              </w:rPr>
              <w:t>вулиця</w:t>
            </w:r>
            <w:proofErr w:type="spellEnd"/>
            <w:r w:rsidRPr="007E0AF4">
              <w:rPr>
                <w:sz w:val="22"/>
              </w:rPr>
              <w:t xml:space="preserve"> </w:t>
            </w:r>
            <w:proofErr w:type="spellStart"/>
            <w:r w:rsidRPr="007E0AF4">
              <w:rPr>
                <w:sz w:val="22"/>
              </w:rPr>
              <w:t>Юності</w:t>
            </w:r>
            <w:proofErr w:type="spellEnd"/>
            <w:r w:rsidRPr="007E0AF4">
              <w:rPr>
                <w:sz w:val="22"/>
              </w:rPr>
              <w:t xml:space="preserve">, </w:t>
            </w:r>
            <w:proofErr w:type="spellStart"/>
            <w:r w:rsidRPr="007E0AF4">
              <w:rPr>
                <w:sz w:val="22"/>
              </w:rPr>
              <w:t>будинок</w:t>
            </w:r>
            <w:proofErr w:type="spellEnd"/>
            <w:r w:rsidRPr="007E0AF4">
              <w:rPr>
                <w:sz w:val="22"/>
              </w:rPr>
              <w:t xml:space="preserve"> 1</w:t>
            </w:r>
          </w:p>
        </w:tc>
      </w:tr>
      <w:tr w:rsidR="002E3647" w:rsidRPr="007E0AF4" w:rsidTr="002E3647">
        <w:tc>
          <w:tcPr>
            <w:tcW w:w="2978" w:type="dxa"/>
            <w:shd w:val="clear" w:color="auto" w:fill="C6D9F1" w:themeFill="text2" w:themeFillTint="33"/>
          </w:tcPr>
          <w:p w:rsidR="002E3647" w:rsidRPr="007E0AF4" w:rsidRDefault="002E3647" w:rsidP="001E6C97">
            <w:pPr>
              <w:rPr>
                <w:b/>
                <w:sz w:val="22"/>
              </w:rPr>
            </w:pPr>
            <w:proofErr w:type="spellStart"/>
            <w:r w:rsidRPr="007E0AF4">
              <w:rPr>
                <w:b/>
                <w:sz w:val="22"/>
              </w:rPr>
              <w:t>Ціль</w:t>
            </w:r>
            <w:proofErr w:type="spellEnd"/>
            <w:r w:rsidRPr="007E0AF4">
              <w:rPr>
                <w:b/>
                <w:sz w:val="22"/>
              </w:rPr>
              <w:t xml:space="preserve"> проекту</w:t>
            </w:r>
          </w:p>
        </w:tc>
        <w:tc>
          <w:tcPr>
            <w:tcW w:w="6945" w:type="dxa"/>
            <w:gridSpan w:val="7"/>
          </w:tcPr>
          <w:p w:rsidR="002E3647" w:rsidRPr="007E0AF4" w:rsidRDefault="002E3647" w:rsidP="001E6C97">
            <w:pPr>
              <w:pStyle w:val="a7"/>
              <w:ind w:left="0"/>
              <w:rPr>
                <w:sz w:val="22"/>
              </w:rPr>
            </w:pPr>
            <w:proofErr w:type="spellStart"/>
            <w:r w:rsidRPr="007E0AF4">
              <w:rPr>
                <w:sz w:val="22"/>
              </w:rPr>
              <w:t>Відновити</w:t>
            </w:r>
            <w:proofErr w:type="spellEnd"/>
            <w:r w:rsidRPr="007E0AF4">
              <w:rPr>
                <w:sz w:val="22"/>
              </w:rPr>
              <w:t xml:space="preserve"> та </w:t>
            </w:r>
            <w:proofErr w:type="spellStart"/>
            <w:r w:rsidRPr="007E0AF4">
              <w:rPr>
                <w:sz w:val="22"/>
              </w:rPr>
              <w:t>покращити</w:t>
            </w:r>
            <w:proofErr w:type="spellEnd"/>
            <w:r w:rsidRPr="007E0AF4">
              <w:rPr>
                <w:sz w:val="22"/>
              </w:rPr>
              <w:t xml:space="preserve"> роботу спортивного </w:t>
            </w:r>
            <w:proofErr w:type="spellStart"/>
            <w:r w:rsidRPr="007E0AF4">
              <w:rPr>
                <w:sz w:val="22"/>
              </w:rPr>
              <w:t>стадіону</w:t>
            </w:r>
            <w:proofErr w:type="spellEnd"/>
            <w:r w:rsidRPr="007E0AF4">
              <w:rPr>
                <w:sz w:val="22"/>
              </w:rPr>
              <w:t xml:space="preserve"> </w:t>
            </w:r>
            <w:proofErr w:type="spellStart"/>
            <w:r w:rsidRPr="007E0AF4">
              <w:rPr>
                <w:sz w:val="22"/>
              </w:rPr>
              <w:t>комунального</w:t>
            </w:r>
            <w:proofErr w:type="spellEnd"/>
            <w:r w:rsidRPr="007E0AF4">
              <w:rPr>
                <w:sz w:val="22"/>
              </w:rPr>
              <w:t xml:space="preserve"> закладу </w:t>
            </w:r>
            <w:proofErr w:type="spellStart"/>
            <w:r w:rsidRPr="007E0AF4">
              <w:rPr>
                <w:sz w:val="22"/>
              </w:rPr>
              <w:t>Гімназії</w:t>
            </w:r>
            <w:proofErr w:type="spellEnd"/>
            <w:r w:rsidRPr="007E0AF4">
              <w:rPr>
                <w:sz w:val="22"/>
              </w:rPr>
              <w:t xml:space="preserve"> «ГАРМОНІЯ» </w:t>
            </w:r>
            <w:proofErr w:type="spellStart"/>
            <w:r w:rsidRPr="007E0AF4">
              <w:rPr>
                <w:sz w:val="22"/>
              </w:rPr>
              <w:t>міста</w:t>
            </w:r>
            <w:proofErr w:type="spellEnd"/>
            <w:r w:rsidRPr="007E0AF4">
              <w:rPr>
                <w:sz w:val="22"/>
              </w:rPr>
              <w:t xml:space="preserve"> </w:t>
            </w:r>
            <w:proofErr w:type="spellStart"/>
            <w:r w:rsidRPr="007E0AF4">
              <w:rPr>
                <w:sz w:val="22"/>
              </w:rPr>
              <w:t>Сєвєродонецька</w:t>
            </w:r>
            <w:proofErr w:type="spellEnd"/>
            <w:r w:rsidRPr="007E0AF4">
              <w:rPr>
                <w:sz w:val="22"/>
              </w:rPr>
              <w:t xml:space="preserve"> </w:t>
            </w:r>
            <w:proofErr w:type="spellStart"/>
            <w:r w:rsidRPr="007E0AF4">
              <w:rPr>
                <w:sz w:val="22"/>
              </w:rPr>
              <w:t>Луганської</w:t>
            </w:r>
            <w:proofErr w:type="spellEnd"/>
            <w:r w:rsidRPr="007E0AF4">
              <w:rPr>
                <w:sz w:val="22"/>
              </w:rPr>
              <w:t xml:space="preserve"> </w:t>
            </w:r>
            <w:proofErr w:type="spellStart"/>
            <w:r w:rsidRPr="007E0AF4">
              <w:rPr>
                <w:sz w:val="22"/>
              </w:rPr>
              <w:t>області</w:t>
            </w:r>
            <w:proofErr w:type="spellEnd"/>
            <w:r w:rsidRPr="007E0AF4">
              <w:rPr>
                <w:sz w:val="22"/>
              </w:rPr>
              <w:t xml:space="preserve">. </w:t>
            </w:r>
            <w:proofErr w:type="spellStart"/>
            <w:r w:rsidRPr="007E0AF4">
              <w:rPr>
                <w:sz w:val="22"/>
              </w:rPr>
              <w:t>Виконати</w:t>
            </w:r>
            <w:proofErr w:type="spellEnd"/>
            <w:r w:rsidRPr="007E0AF4">
              <w:rPr>
                <w:sz w:val="22"/>
              </w:rPr>
              <w:t xml:space="preserve"> </w:t>
            </w:r>
            <w:proofErr w:type="spellStart"/>
            <w:r w:rsidRPr="007E0AF4">
              <w:rPr>
                <w:sz w:val="22"/>
              </w:rPr>
              <w:t>капітальний</w:t>
            </w:r>
            <w:proofErr w:type="spellEnd"/>
            <w:r w:rsidRPr="007E0AF4">
              <w:rPr>
                <w:sz w:val="22"/>
              </w:rPr>
              <w:t xml:space="preserve"> ремонт та </w:t>
            </w:r>
            <w:proofErr w:type="spellStart"/>
            <w:r w:rsidRPr="007E0AF4">
              <w:rPr>
                <w:sz w:val="22"/>
              </w:rPr>
              <w:t>відновити</w:t>
            </w:r>
            <w:proofErr w:type="spellEnd"/>
            <w:r w:rsidRPr="007E0AF4">
              <w:rPr>
                <w:sz w:val="22"/>
              </w:rPr>
              <w:t xml:space="preserve"> </w:t>
            </w:r>
            <w:proofErr w:type="spellStart"/>
            <w:r w:rsidRPr="007E0AF4">
              <w:rPr>
                <w:sz w:val="22"/>
              </w:rPr>
              <w:t>обладнання</w:t>
            </w:r>
            <w:proofErr w:type="spellEnd"/>
            <w:r w:rsidRPr="007E0AF4">
              <w:rPr>
                <w:sz w:val="22"/>
              </w:rPr>
              <w:t xml:space="preserve"> </w:t>
            </w:r>
            <w:proofErr w:type="spellStart"/>
            <w:r w:rsidRPr="007E0AF4">
              <w:rPr>
                <w:sz w:val="22"/>
              </w:rPr>
              <w:t>стадіону</w:t>
            </w:r>
            <w:proofErr w:type="spellEnd"/>
            <w:r w:rsidRPr="007E0AF4">
              <w:rPr>
                <w:sz w:val="22"/>
              </w:rPr>
              <w:t xml:space="preserve"> з метою </w:t>
            </w:r>
            <w:proofErr w:type="spellStart"/>
            <w:r w:rsidRPr="007E0AF4">
              <w:rPr>
                <w:sz w:val="22"/>
              </w:rPr>
              <w:t>надання</w:t>
            </w:r>
            <w:proofErr w:type="spellEnd"/>
            <w:r w:rsidRPr="007E0AF4">
              <w:rPr>
                <w:sz w:val="22"/>
              </w:rPr>
              <w:t xml:space="preserve"> широкого спектру </w:t>
            </w:r>
            <w:proofErr w:type="spellStart"/>
            <w:r w:rsidRPr="007E0AF4">
              <w:rPr>
                <w:sz w:val="22"/>
              </w:rPr>
              <w:t>послуг</w:t>
            </w:r>
            <w:proofErr w:type="spellEnd"/>
            <w:r w:rsidRPr="007E0AF4">
              <w:rPr>
                <w:sz w:val="22"/>
              </w:rPr>
              <w:t xml:space="preserve">, </w:t>
            </w:r>
            <w:proofErr w:type="spellStart"/>
            <w:r w:rsidRPr="007E0AF4">
              <w:rPr>
                <w:sz w:val="22"/>
              </w:rPr>
              <w:t>пов’язаних</w:t>
            </w:r>
            <w:proofErr w:type="spellEnd"/>
            <w:r w:rsidRPr="007E0AF4">
              <w:rPr>
                <w:sz w:val="22"/>
              </w:rPr>
              <w:t xml:space="preserve"> </w:t>
            </w:r>
            <w:proofErr w:type="spellStart"/>
            <w:r w:rsidRPr="007E0AF4">
              <w:rPr>
                <w:sz w:val="22"/>
              </w:rPr>
              <w:t>із</w:t>
            </w:r>
            <w:proofErr w:type="spellEnd"/>
            <w:r w:rsidRPr="007E0AF4">
              <w:rPr>
                <w:sz w:val="22"/>
              </w:rPr>
              <w:t xml:space="preserve"> </w:t>
            </w:r>
            <w:proofErr w:type="spellStart"/>
            <w:r w:rsidRPr="007E0AF4">
              <w:rPr>
                <w:sz w:val="22"/>
              </w:rPr>
              <w:t>освітньою</w:t>
            </w:r>
            <w:proofErr w:type="spellEnd"/>
            <w:r w:rsidRPr="007E0AF4">
              <w:rPr>
                <w:sz w:val="22"/>
              </w:rPr>
              <w:t xml:space="preserve"> </w:t>
            </w:r>
            <w:proofErr w:type="spellStart"/>
            <w:r w:rsidRPr="007E0AF4">
              <w:rPr>
                <w:sz w:val="22"/>
              </w:rPr>
              <w:t>діяльністю</w:t>
            </w:r>
            <w:proofErr w:type="spellEnd"/>
            <w:r w:rsidRPr="007E0AF4">
              <w:rPr>
                <w:sz w:val="22"/>
              </w:rPr>
              <w:t xml:space="preserve"> та </w:t>
            </w:r>
            <w:proofErr w:type="spellStart"/>
            <w:r w:rsidRPr="007E0AF4">
              <w:rPr>
                <w:sz w:val="22"/>
              </w:rPr>
              <w:t>задоволенням</w:t>
            </w:r>
            <w:proofErr w:type="spellEnd"/>
            <w:r w:rsidRPr="007E0AF4">
              <w:rPr>
                <w:sz w:val="22"/>
              </w:rPr>
              <w:t xml:space="preserve"> </w:t>
            </w:r>
            <w:proofErr w:type="spellStart"/>
            <w:r w:rsidRPr="007E0AF4">
              <w:rPr>
                <w:sz w:val="22"/>
              </w:rPr>
              <w:t>спортивних</w:t>
            </w:r>
            <w:proofErr w:type="spellEnd"/>
            <w:r w:rsidRPr="007E0AF4">
              <w:rPr>
                <w:sz w:val="22"/>
              </w:rPr>
              <w:t xml:space="preserve"> та </w:t>
            </w:r>
            <w:proofErr w:type="spellStart"/>
            <w:r w:rsidRPr="007E0AF4">
              <w:rPr>
                <w:sz w:val="22"/>
              </w:rPr>
              <w:t>оздоровчих</w:t>
            </w:r>
            <w:proofErr w:type="spellEnd"/>
            <w:r w:rsidRPr="007E0AF4">
              <w:rPr>
                <w:sz w:val="22"/>
              </w:rPr>
              <w:t xml:space="preserve"> потреб </w:t>
            </w:r>
            <w:proofErr w:type="spellStart"/>
            <w:r w:rsidRPr="007E0AF4">
              <w:rPr>
                <w:sz w:val="22"/>
              </w:rPr>
              <w:t>мешканців</w:t>
            </w:r>
            <w:proofErr w:type="spellEnd"/>
            <w:r w:rsidRPr="007E0AF4">
              <w:rPr>
                <w:sz w:val="22"/>
              </w:rPr>
              <w:t xml:space="preserve"> </w:t>
            </w:r>
            <w:proofErr w:type="spellStart"/>
            <w:r w:rsidRPr="007E0AF4">
              <w:rPr>
                <w:sz w:val="22"/>
              </w:rPr>
              <w:t>Сєвєродонецької</w:t>
            </w:r>
            <w:proofErr w:type="spellEnd"/>
            <w:r w:rsidRPr="007E0AF4">
              <w:rPr>
                <w:sz w:val="22"/>
              </w:rPr>
              <w:t xml:space="preserve"> </w:t>
            </w:r>
            <w:proofErr w:type="spellStart"/>
            <w:r w:rsidRPr="007E0AF4">
              <w:rPr>
                <w:sz w:val="22"/>
              </w:rPr>
              <w:t>міської</w:t>
            </w:r>
            <w:proofErr w:type="spellEnd"/>
            <w:r w:rsidRPr="007E0AF4">
              <w:rPr>
                <w:sz w:val="22"/>
              </w:rPr>
              <w:t xml:space="preserve"> </w:t>
            </w:r>
            <w:proofErr w:type="spellStart"/>
            <w:r w:rsidRPr="007E0AF4">
              <w:rPr>
                <w:sz w:val="22"/>
              </w:rPr>
              <w:t>територіальної</w:t>
            </w:r>
            <w:proofErr w:type="spellEnd"/>
            <w:r w:rsidRPr="007E0AF4">
              <w:rPr>
                <w:sz w:val="22"/>
              </w:rPr>
              <w:t xml:space="preserve"> </w:t>
            </w:r>
            <w:proofErr w:type="spellStart"/>
            <w:r w:rsidRPr="007E0AF4">
              <w:rPr>
                <w:sz w:val="22"/>
              </w:rPr>
              <w:t>громади</w:t>
            </w:r>
            <w:proofErr w:type="spellEnd"/>
            <w:r w:rsidRPr="007E0AF4">
              <w:rPr>
                <w:sz w:val="22"/>
              </w:rPr>
              <w:t xml:space="preserve"> </w:t>
            </w:r>
          </w:p>
        </w:tc>
      </w:tr>
      <w:tr w:rsidR="002E3647" w:rsidRPr="007E0AF4" w:rsidTr="002E3647">
        <w:tc>
          <w:tcPr>
            <w:tcW w:w="2978" w:type="dxa"/>
            <w:shd w:val="clear" w:color="auto" w:fill="C6D9F1" w:themeFill="text2" w:themeFillTint="33"/>
          </w:tcPr>
          <w:p w:rsidR="002E3647" w:rsidRPr="007E0AF4" w:rsidRDefault="002E3647" w:rsidP="001E6C97">
            <w:pPr>
              <w:pStyle w:val="a7"/>
              <w:ind w:left="0"/>
              <w:rPr>
                <w:b/>
                <w:sz w:val="22"/>
              </w:rPr>
            </w:pPr>
            <w:proofErr w:type="spellStart"/>
            <w:r w:rsidRPr="007E0AF4">
              <w:rPr>
                <w:b/>
                <w:sz w:val="22"/>
              </w:rPr>
              <w:t>Територія</w:t>
            </w:r>
            <w:proofErr w:type="spellEnd"/>
            <w:r w:rsidRPr="007E0AF4">
              <w:rPr>
                <w:b/>
                <w:sz w:val="22"/>
              </w:rPr>
              <w:t xml:space="preserve">, </w:t>
            </w:r>
            <w:proofErr w:type="gramStart"/>
            <w:r w:rsidRPr="007E0AF4">
              <w:rPr>
                <w:b/>
                <w:sz w:val="22"/>
              </w:rPr>
              <w:t>на яку</w:t>
            </w:r>
            <w:proofErr w:type="gramEnd"/>
            <w:r w:rsidRPr="007E0AF4">
              <w:rPr>
                <w:b/>
                <w:sz w:val="22"/>
              </w:rPr>
              <w:t xml:space="preserve"> </w:t>
            </w:r>
            <w:proofErr w:type="spellStart"/>
            <w:r w:rsidRPr="007E0AF4">
              <w:rPr>
                <w:b/>
                <w:sz w:val="22"/>
              </w:rPr>
              <w:t>матиме</w:t>
            </w:r>
            <w:proofErr w:type="spellEnd"/>
            <w:r w:rsidRPr="007E0AF4">
              <w:rPr>
                <w:b/>
                <w:sz w:val="22"/>
              </w:rPr>
              <w:t xml:space="preserve"> </w:t>
            </w:r>
            <w:proofErr w:type="spellStart"/>
            <w:r w:rsidRPr="007E0AF4">
              <w:rPr>
                <w:b/>
                <w:sz w:val="22"/>
              </w:rPr>
              <w:t>вплив</w:t>
            </w:r>
            <w:proofErr w:type="spellEnd"/>
            <w:r w:rsidRPr="007E0AF4">
              <w:rPr>
                <w:b/>
                <w:sz w:val="22"/>
              </w:rPr>
              <w:t xml:space="preserve"> </w:t>
            </w:r>
            <w:proofErr w:type="spellStart"/>
            <w:r w:rsidRPr="007E0AF4">
              <w:rPr>
                <w:b/>
                <w:sz w:val="22"/>
              </w:rPr>
              <w:t>реалізація</w:t>
            </w:r>
            <w:proofErr w:type="spellEnd"/>
            <w:r w:rsidRPr="007E0AF4">
              <w:rPr>
                <w:b/>
                <w:sz w:val="22"/>
              </w:rPr>
              <w:t xml:space="preserve"> проекту</w:t>
            </w:r>
          </w:p>
        </w:tc>
        <w:tc>
          <w:tcPr>
            <w:tcW w:w="6945" w:type="dxa"/>
            <w:gridSpan w:val="7"/>
          </w:tcPr>
          <w:p w:rsidR="002E3647" w:rsidRPr="007E0AF4" w:rsidRDefault="002E3647" w:rsidP="001E6C97">
            <w:pPr>
              <w:pStyle w:val="a7"/>
              <w:ind w:left="0"/>
              <w:rPr>
                <w:sz w:val="22"/>
              </w:rPr>
            </w:pPr>
            <w:proofErr w:type="spellStart"/>
            <w:r w:rsidRPr="007E0AF4">
              <w:rPr>
                <w:sz w:val="22"/>
              </w:rPr>
              <w:t>Сєвєродонецька</w:t>
            </w:r>
            <w:proofErr w:type="spellEnd"/>
            <w:r w:rsidRPr="007E0AF4">
              <w:rPr>
                <w:sz w:val="22"/>
              </w:rPr>
              <w:t xml:space="preserve"> </w:t>
            </w:r>
            <w:proofErr w:type="spellStart"/>
            <w:r w:rsidRPr="007E0AF4">
              <w:rPr>
                <w:sz w:val="22"/>
              </w:rPr>
              <w:t>міська</w:t>
            </w:r>
            <w:proofErr w:type="spellEnd"/>
            <w:r w:rsidRPr="007E0AF4">
              <w:rPr>
                <w:sz w:val="22"/>
              </w:rPr>
              <w:t xml:space="preserve"> </w:t>
            </w:r>
            <w:proofErr w:type="spellStart"/>
            <w:r w:rsidRPr="007E0AF4">
              <w:rPr>
                <w:sz w:val="22"/>
              </w:rPr>
              <w:t>територіальна</w:t>
            </w:r>
            <w:proofErr w:type="spellEnd"/>
            <w:r w:rsidRPr="007E0AF4">
              <w:rPr>
                <w:sz w:val="22"/>
              </w:rPr>
              <w:t xml:space="preserve"> громада</w:t>
            </w:r>
          </w:p>
        </w:tc>
      </w:tr>
      <w:tr w:rsidR="002E3647" w:rsidRPr="007E0AF4" w:rsidTr="002E3647">
        <w:tc>
          <w:tcPr>
            <w:tcW w:w="2978" w:type="dxa"/>
            <w:shd w:val="clear" w:color="auto" w:fill="C6D9F1" w:themeFill="text2" w:themeFillTint="33"/>
          </w:tcPr>
          <w:p w:rsidR="002E3647" w:rsidRPr="007E0AF4" w:rsidRDefault="002E3647" w:rsidP="001E6C97">
            <w:pPr>
              <w:pStyle w:val="a7"/>
              <w:ind w:left="0"/>
              <w:rPr>
                <w:b/>
                <w:sz w:val="22"/>
              </w:rPr>
            </w:pPr>
            <w:proofErr w:type="spellStart"/>
            <w:r w:rsidRPr="007E0AF4">
              <w:rPr>
                <w:b/>
                <w:sz w:val="22"/>
              </w:rPr>
              <w:t>Чисельність</w:t>
            </w:r>
            <w:proofErr w:type="spellEnd"/>
            <w:r w:rsidRPr="007E0AF4">
              <w:rPr>
                <w:b/>
                <w:sz w:val="22"/>
              </w:rPr>
              <w:t xml:space="preserve"> </w:t>
            </w:r>
            <w:proofErr w:type="spellStart"/>
            <w:r w:rsidRPr="007E0AF4">
              <w:rPr>
                <w:b/>
                <w:sz w:val="22"/>
              </w:rPr>
              <w:t>населення</w:t>
            </w:r>
            <w:proofErr w:type="spellEnd"/>
            <w:r w:rsidRPr="007E0AF4">
              <w:rPr>
                <w:b/>
                <w:sz w:val="22"/>
              </w:rPr>
              <w:t xml:space="preserve">, на яке </w:t>
            </w:r>
            <w:proofErr w:type="spellStart"/>
            <w:r w:rsidRPr="007E0AF4">
              <w:rPr>
                <w:b/>
                <w:sz w:val="22"/>
              </w:rPr>
              <w:t>матиме</w:t>
            </w:r>
            <w:proofErr w:type="spellEnd"/>
            <w:r w:rsidRPr="007E0AF4">
              <w:rPr>
                <w:b/>
                <w:sz w:val="22"/>
              </w:rPr>
              <w:t xml:space="preserve"> </w:t>
            </w:r>
            <w:proofErr w:type="spellStart"/>
            <w:r w:rsidRPr="007E0AF4">
              <w:rPr>
                <w:b/>
                <w:sz w:val="22"/>
              </w:rPr>
              <w:t>вплив</w:t>
            </w:r>
            <w:proofErr w:type="spellEnd"/>
            <w:r w:rsidRPr="007E0AF4">
              <w:rPr>
                <w:b/>
                <w:sz w:val="22"/>
              </w:rPr>
              <w:t xml:space="preserve"> </w:t>
            </w:r>
            <w:proofErr w:type="spellStart"/>
            <w:r w:rsidRPr="007E0AF4">
              <w:rPr>
                <w:b/>
                <w:sz w:val="22"/>
              </w:rPr>
              <w:t>реалізація</w:t>
            </w:r>
            <w:proofErr w:type="spellEnd"/>
            <w:r w:rsidRPr="007E0AF4">
              <w:rPr>
                <w:b/>
                <w:sz w:val="22"/>
              </w:rPr>
              <w:t xml:space="preserve"> проекту</w:t>
            </w:r>
          </w:p>
        </w:tc>
        <w:tc>
          <w:tcPr>
            <w:tcW w:w="6945" w:type="dxa"/>
            <w:gridSpan w:val="7"/>
          </w:tcPr>
          <w:p w:rsidR="002E3647" w:rsidRPr="007E0AF4" w:rsidRDefault="002E3647" w:rsidP="001E6C97">
            <w:pPr>
              <w:pStyle w:val="a7"/>
              <w:ind w:left="0"/>
              <w:rPr>
                <w:sz w:val="22"/>
              </w:rPr>
            </w:pPr>
            <w:r w:rsidRPr="007E0AF4">
              <w:rPr>
                <w:sz w:val="22"/>
              </w:rPr>
              <w:t xml:space="preserve"> 70 </w:t>
            </w:r>
            <w:proofErr w:type="gramStart"/>
            <w:r w:rsidRPr="007E0AF4">
              <w:rPr>
                <w:sz w:val="22"/>
              </w:rPr>
              <w:t xml:space="preserve">000  </w:t>
            </w:r>
            <w:proofErr w:type="spellStart"/>
            <w:r w:rsidRPr="007E0AF4">
              <w:rPr>
                <w:sz w:val="22"/>
              </w:rPr>
              <w:t>осіб</w:t>
            </w:r>
            <w:proofErr w:type="spellEnd"/>
            <w:proofErr w:type="gramEnd"/>
          </w:p>
        </w:tc>
      </w:tr>
      <w:tr w:rsidR="002E3647" w:rsidRPr="007E0AF4" w:rsidTr="002E3647">
        <w:tc>
          <w:tcPr>
            <w:tcW w:w="2978" w:type="dxa"/>
            <w:shd w:val="clear" w:color="auto" w:fill="C6D9F1" w:themeFill="text2" w:themeFillTint="33"/>
          </w:tcPr>
          <w:p w:rsidR="002E3647" w:rsidRPr="007E0AF4" w:rsidRDefault="002E3647" w:rsidP="001E6C97">
            <w:pPr>
              <w:rPr>
                <w:b/>
                <w:sz w:val="22"/>
              </w:rPr>
            </w:pPr>
            <w:proofErr w:type="spellStart"/>
            <w:r w:rsidRPr="007E0AF4">
              <w:rPr>
                <w:b/>
                <w:sz w:val="22"/>
              </w:rPr>
              <w:t>Опис</w:t>
            </w:r>
            <w:proofErr w:type="spellEnd"/>
            <w:r w:rsidRPr="007E0AF4">
              <w:rPr>
                <w:b/>
                <w:sz w:val="22"/>
              </w:rPr>
              <w:t xml:space="preserve"> </w:t>
            </w:r>
            <w:proofErr w:type="spellStart"/>
            <w:r w:rsidRPr="007E0AF4">
              <w:rPr>
                <w:b/>
                <w:sz w:val="22"/>
              </w:rPr>
              <w:t>проблеми</w:t>
            </w:r>
            <w:proofErr w:type="spellEnd"/>
            <w:r w:rsidRPr="007E0AF4">
              <w:rPr>
                <w:b/>
                <w:sz w:val="22"/>
              </w:rPr>
              <w:t xml:space="preserve">, на </w:t>
            </w:r>
            <w:proofErr w:type="spellStart"/>
            <w:r w:rsidRPr="007E0AF4">
              <w:rPr>
                <w:b/>
                <w:sz w:val="22"/>
              </w:rPr>
              <w:t>вирішення</w:t>
            </w:r>
            <w:proofErr w:type="spellEnd"/>
            <w:r w:rsidRPr="007E0AF4">
              <w:rPr>
                <w:b/>
                <w:sz w:val="22"/>
              </w:rPr>
              <w:t xml:space="preserve"> </w:t>
            </w:r>
            <w:proofErr w:type="spellStart"/>
            <w:proofErr w:type="gramStart"/>
            <w:r w:rsidRPr="007E0AF4">
              <w:rPr>
                <w:b/>
                <w:sz w:val="22"/>
              </w:rPr>
              <w:t>якої</w:t>
            </w:r>
            <w:proofErr w:type="spellEnd"/>
            <w:r w:rsidRPr="007E0AF4">
              <w:rPr>
                <w:b/>
                <w:sz w:val="22"/>
              </w:rPr>
              <w:t xml:space="preserve">  </w:t>
            </w:r>
            <w:proofErr w:type="spellStart"/>
            <w:r w:rsidRPr="007E0AF4">
              <w:rPr>
                <w:b/>
                <w:sz w:val="22"/>
              </w:rPr>
              <w:t>спрямований</w:t>
            </w:r>
            <w:proofErr w:type="spellEnd"/>
            <w:proofErr w:type="gramEnd"/>
            <w:r w:rsidRPr="007E0AF4">
              <w:rPr>
                <w:b/>
                <w:sz w:val="22"/>
              </w:rPr>
              <w:t xml:space="preserve"> проект</w:t>
            </w:r>
          </w:p>
        </w:tc>
        <w:tc>
          <w:tcPr>
            <w:tcW w:w="6945" w:type="dxa"/>
            <w:gridSpan w:val="7"/>
          </w:tcPr>
          <w:p w:rsidR="002E3647" w:rsidRPr="007E0AF4" w:rsidRDefault="002E3647" w:rsidP="001E6C97">
            <w:pPr>
              <w:ind w:firstLine="653"/>
              <w:rPr>
                <w:sz w:val="22"/>
              </w:rPr>
            </w:pPr>
            <w:r w:rsidRPr="007E0AF4">
              <w:rPr>
                <w:sz w:val="22"/>
              </w:rPr>
              <w:t xml:space="preserve">Через </w:t>
            </w:r>
            <w:proofErr w:type="spellStart"/>
            <w:r w:rsidRPr="007E0AF4">
              <w:rPr>
                <w:sz w:val="22"/>
              </w:rPr>
              <w:t>військову</w:t>
            </w:r>
            <w:proofErr w:type="spellEnd"/>
            <w:r w:rsidRPr="007E0AF4">
              <w:rPr>
                <w:sz w:val="22"/>
              </w:rPr>
              <w:t xml:space="preserve"> </w:t>
            </w:r>
            <w:proofErr w:type="spellStart"/>
            <w:r w:rsidRPr="007E0AF4">
              <w:rPr>
                <w:sz w:val="22"/>
              </w:rPr>
              <w:t>агресію</w:t>
            </w:r>
            <w:proofErr w:type="spellEnd"/>
            <w:r w:rsidRPr="007E0AF4">
              <w:rPr>
                <w:sz w:val="22"/>
              </w:rPr>
              <w:t xml:space="preserve"> РФ </w:t>
            </w:r>
            <w:proofErr w:type="spellStart"/>
            <w:r w:rsidRPr="007E0AF4">
              <w:rPr>
                <w:sz w:val="22"/>
              </w:rPr>
              <w:t>територія</w:t>
            </w:r>
            <w:proofErr w:type="spellEnd"/>
            <w:r w:rsidRPr="007E0AF4">
              <w:rPr>
                <w:sz w:val="22"/>
              </w:rPr>
              <w:t xml:space="preserve"> </w:t>
            </w:r>
            <w:proofErr w:type="spellStart"/>
            <w:r w:rsidRPr="007E0AF4">
              <w:rPr>
                <w:sz w:val="22"/>
              </w:rPr>
              <w:t>Сєвєродонецької</w:t>
            </w:r>
            <w:proofErr w:type="spellEnd"/>
            <w:r w:rsidRPr="007E0AF4">
              <w:rPr>
                <w:sz w:val="22"/>
              </w:rPr>
              <w:t xml:space="preserve"> </w:t>
            </w:r>
            <w:proofErr w:type="spellStart"/>
            <w:r w:rsidRPr="007E0AF4">
              <w:rPr>
                <w:sz w:val="22"/>
              </w:rPr>
              <w:t>міської</w:t>
            </w:r>
            <w:proofErr w:type="spellEnd"/>
            <w:r w:rsidRPr="007E0AF4">
              <w:rPr>
                <w:sz w:val="22"/>
              </w:rPr>
              <w:t xml:space="preserve"> </w:t>
            </w:r>
            <w:proofErr w:type="spellStart"/>
            <w:r w:rsidRPr="007E0AF4">
              <w:rPr>
                <w:sz w:val="22"/>
              </w:rPr>
              <w:t>територіальної</w:t>
            </w:r>
            <w:proofErr w:type="spellEnd"/>
            <w:r w:rsidRPr="007E0AF4">
              <w:rPr>
                <w:sz w:val="22"/>
              </w:rPr>
              <w:t xml:space="preserve"> </w:t>
            </w:r>
            <w:proofErr w:type="spellStart"/>
            <w:r w:rsidRPr="007E0AF4">
              <w:rPr>
                <w:sz w:val="22"/>
              </w:rPr>
              <w:t>громади</w:t>
            </w:r>
            <w:proofErr w:type="spellEnd"/>
            <w:r w:rsidRPr="007E0AF4">
              <w:rPr>
                <w:sz w:val="22"/>
              </w:rPr>
              <w:t xml:space="preserve"> </w:t>
            </w:r>
            <w:proofErr w:type="spellStart"/>
            <w:r w:rsidRPr="007E0AF4">
              <w:rPr>
                <w:sz w:val="22"/>
              </w:rPr>
              <w:t>зазнала</w:t>
            </w:r>
            <w:proofErr w:type="spellEnd"/>
            <w:r w:rsidRPr="007E0AF4">
              <w:rPr>
                <w:sz w:val="22"/>
              </w:rPr>
              <w:t xml:space="preserve"> </w:t>
            </w:r>
            <w:proofErr w:type="spellStart"/>
            <w:r w:rsidRPr="007E0AF4">
              <w:rPr>
                <w:sz w:val="22"/>
              </w:rPr>
              <w:t>значних</w:t>
            </w:r>
            <w:proofErr w:type="spellEnd"/>
            <w:r w:rsidRPr="007E0AF4">
              <w:rPr>
                <w:sz w:val="22"/>
              </w:rPr>
              <w:t xml:space="preserve"> </w:t>
            </w:r>
            <w:proofErr w:type="spellStart"/>
            <w:r w:rsidRPr="007E0AF4">
              <w:rPr>
                <w:sz w:val="22"/>
              </w:rPr>
              <w:t>пошкоджень</w:t>
            </w:r>
            <w:proofErr w:type="spellEnd"/>
            <w:r w:rsidRPr="007E0AF4">
              <w:rPr>
                <w:sz w:val="22"/>
              </w:rPr>
              <w:t xml:space="preserve">. </w:t>
            </w:r>
            <w:proofErr w:type="spellStart"/>
            <w:r w:rsidRPr="007E0AF4">
              <w:rPr>
                <w:sz w:val="22"/>
              </w:rPr>
              <w:t>Спортивний</w:t>
            </w:r>
            <w:proofErr w:type="spellEnd"/>
            <w:r w:rsidRPr="007E0AF4">
              <w:rPr>
                <w:sz w:val="22"/>
              </w:rPr>
              <w:t xml:space="preserve"> </w:t>
            </w:r>
            <w:proofErr w:type="spellStart"/>
            <w:r w:rsidRPr="007E0AF4">
              <w:rPr>
                <w:sz w:val="22"/>
              </w:rPr>
              <w:t>стадіон</w:t>
            </w:r>
            <w:proofErr w:type="spellEnd"/>
            <w:r w:rsidRPr="007E0AF4">
              <w:rPr>
                <w:sz w:val="22"/>
              </w:rPr>
              <w:t xml:space="preserve"> </w:t>
            </w:r>
            <w:proofErr w:type="spellStart"/>
            <w:r w:rsidRPr="007E0AF4">
              <w:rPr>
                <w:sz w:val="22"/>
              </w:rPr>
              <w:t>Гімназії</w:t>
            </w:r>
            <w:proofErr w:type="spellEnd"/>
            <w:r w:rsidRPr="007E0AF4">
              <w:rPr>
                <w:sz w:val="22"/>
              </w:rPr>
              <w:t xml:space="preserve"> «ГАРМОНІЯ» </w:t>
            </w:r>
            <w:proofErr w:type="spellStart"/>
            <w:r w:rsidRPr="007E0AF4">
              <w:rPr>
                <w:sz w:val="22"/>
              </w:rPr>
              <w:t>міста</w:t>
            </w:r>
            <w:proofErr w:type="spellEnd"/>
            <w:r w:rsidRPr="007E0AF4">
              <w:rPr>
                <w:sz w:val="22"/>
              </w:rPr>
              <w:t xml:space="preserve"> </w:t>
            </w:r>
            <w:proofErr w:type="spellStart"/>
            <w:r w:rsidRPr="007E0AF4">
              <w:rPr>
                <w:sz w:val="22"/>
              </w:rPr>
              <w:t>Сєвєродонецька</w:t>
            </w:r>
            <w:proofErr w:type="spellEnd"/>
            <w:r w:rsidRPr="007E0AF4">
              <w:rPr>
                <w:sz w:val="22"/>
              </w:rPr>
              <w:t xml:space="preserve"> </w:t>
            </w:r>
            <w:proofErr w:type="spellStart"/>
            <w:r w:rsidRPr="007E0AF4">
              <w:rPr>
                <w:sz w:val="22"/>
              </w:rPr>
              <w:t>Луганської</w:t>
            </w:r>
            <w:proofErr w:type="spellEnd"/>
            <w:r w:rsidRPr="007E0AF4">
              <w:rPr>
                <w:sz w:val="22"/>
              </w:rPr>
              <w:t xml:space="preserve"> </w:t>
            </w:r>
            <w:proofErr w:type="spellStart"/>
            <w:r w:rsidRPr="007E0AF4">
              <w:rPr>
                <w:sz w:val="22"/>
              </w:rPr>
              <w:t>області</w:t>
            </w:r>
            <w:proofErr w:type="spellEnd"/>
            <w:r w:rsidRPr="007E0AF4">
              <w:rPr>
                <w:sz w:val="22"/>
              </w:rPr>
              <w:t xml:space="preserve"> </w:t>
            </w:r>
            <w:proofErr w:type="spellStart"/>
            <w:r w:rsidRPr="007E0AF4">
              <w:rPr>
                <w:sz w:val="22"/>
              </w:rPr>
              <w:t>також</w:t>
            </w:r>
            <w:proofErr w:type="spellEnd"/>
            <w:r w:rsidRPr="007E0AF4">
              <w:rPr>
                <w:sz w:val="22"/>
              </w:rPr>
              <w:t xml:space="preserve"> </w:t>
            </w:r>
            <w:proofErr w:type="spellStart"/>
            <w:r w:rsidRPr="007E0AF4">
              <w:rPr>
                <w:sz w:val="22"/>
              </w:rPr>
              <w:t>зазнав</w:t>
            </w:r>
            <w:proofErr w:type="spellEnd"/>
            <w:r w:rsidRPr="007E0AF4">
              <w:rPr>
                <w:sz w:val="22"/>
              </w:rPr>
              <w:t xml:space="preserve"> </w:t>
            </w:r>
            <w:proofErr w:type="spellStart"/>
            <w:r w:rsidRPr="007E0AF4">
              <w:rPr>
                <w:sz w:val="22"/>
              </w:rPr>
              <w:t>руйнувань</w:t>
            </w:r>
            <w:proofErr w:type="spellEnd"/>
            <w:r w:rsidRPr="007E0AF4">
              <w:rPr>
                <w:sz w:val="22"/>
              </w:rPr>
              <w:t xml:space="preserve"> </w:t>
            </w:r>
            <w:proofErr w:type="gramStart"/>
            <w:r w:rsidRPr="007E0AF4">
              <w:rPr>
                <w:sz w:val="22"/>
              </w:rPr>
              <w:t xml:space="preserve">та  </w:t>
            </w:r>
            <w:proofErr w:type="spellStart"/>
            <w:r w:rsidRPr="007E0AF4">
              <w:rPr>
                <w:sz w:val="22"/>
              </w:rPr>
              <w:t>пошкоджень</w:t>
            </w:r>
            <w:proofErr w:type="spellEnd"/>
            <w:proofErr w:type="gramEnd"/>
            <w:r w:rsidRPr="007E0AF4">
              <w:rPr>
                <w:sz w:val="22"/>
              </w:rPr>
              <w:t>.</w:t>
            </w:r>
          </w:p>
          <w:p w:rsidR="002E3647" w:rsidRPr="007E0AF4" w:rsidRDefault="002E3647" w:rsidP="001E6C97">
            <w:pPr>
              <w:ind w:firstLine="708"/>
              <w:rPr>
                <w:sz w:val="22"/>
              </w:rPr>
            </w:pPr>
            <w:r w:rsidRPr="007E0AF4">
              <w:rPr>
                <w:sz w:val="22"/>
              </w:rPr>
              <w:t xml:space="preserve">Вся </w:t>
            </w:r>
            <w:proofErr w:type="spellStart"/>
            <w:r w:rsidRPr="007E0AF4">
              <w:rPr>
                <w:sz w:val="22"/>
              </w:rPr>
              <w:t>матеріально-технічна</w:t>
            </w:r>
            <w:proofErr w:type="spellEnd"/>
            <w:r w:rsidRPr="007E0AF4">
              <w:rPr>
                <w:sz w:val="22"/>
              </w:rPr>
              <w:t xml:space="preserve"> база спортивного </w:t>
            </w:r>
            <w:proofErr w:type="spellStart"/>
            <w:r w:rsidRPr="007E0AF4">
              <w:rPr>
                <w:sz w:val="22"/>
              </w:rPr>
              <w:t>стадіону</w:t>
            </w:r>
            <w:proofErr w:type="spellEnd"/>
            <w:r w:rsidRPr="007E0AF4">
              <w:rPr>
                <w:sz w:val="22"/>
              </w:rPr>
              <w:t xml:space="preserve"> </w:t>
            </w:r>
            <w:proofErr w:type="spellStart"/>
            <w:r w:rsidRPr="007E0AF4">
              <w:rPr>
                <w:sz w:val="22"/>
              </w:rPr>
              <w:t>Гімназії</w:t>
            </w:r>
            <w:proofErr w:type="spellEnd"/>
            <w:r w:rsidRPr="007E0AF4">
              <w:rPr>
                <w:sz w:val="22"/>
              </w:rPr>
              <w:t xml:space="preserve"> «ГАРМОНІЯ» </w:t>
            </w:r>
            <w:proofErr w:type="spellStart"/>
            <w:r w:rsidRPr="007E0AF4">
              <w:rPr>
                <w:sz w:val="22"/>
              </w:rPr>
              <w:t>була</w:t>
            </w:r>
            <w:proofErr w:type="spellEnd"/>
            <w:r w:rsidRPr="007E0AF4">
              <w:rPr>
                <w:sz w:val="22"/>
              </w:rPr>
              <w:t xml:space="preserve"> </w:t>
            </w:r>
            <w:proofErr w:type="spellStart"/>
            <w:r w:rsidRPr="007E0AF4">
              <w:rPr>
                <w:sz w:val="22"/>
              </w:rPr>
              <w:t>знищена</w:t>
            </w:r>
            <w:proofErr w:type="spellEnd"/>
            <w:r w:rsidRPr="007E0AF4">
              <w:rPr>
                <w:sz w:val="22"/>
              </w:rPr>
              <w:t xml:space="preserve">, </w:t>
            </w:r>
            <w:proofErr w:type="spellStart"/>
            <w:r w:rsidRPr="007E0AF4">
              <w:rPr>
                <w:sz w:val="22"/>
              </w:rPr>
              <w:t>зокрема</w:t>
            </w:r>
            <w:proofErr w:type="spellEnd"/>
            <w:r w:rsidRPr="007E0AF4">
              <w:rPr>
                <w:sz w:val="22"/>
              </w:rPr>
              <w:t xml:space="preserve">: </w:t>
            </w:r>
          </w:p>
          <w:p w:rsidR="002E3647" w:rsidRPr="007E0AF4" w:rsidRDefault="002E3647" w:rsidP="000303D7">
            <w:pPr>
              <w:pStyle w:val="a7"/>
              <w:numPr>
                <w:ilvl w:val="0"/>
                <w:numId w:val="113"/>
              </w:numPr>
              <w:rPr>
                <w:sz w:val="22"/>
              </w:rPr>
            </w:pPr>
            <w:proofErr w:type="spellStart"/>
            <w:r w:rsidRPr="007E0AF4">
              <w:rPr>
                <w:sz w:val="22"/>
              </w:rPr>
              <w:t>обладнання</w:t>
            </w:r>
            <w:proofErr w:type="spellEnd"/>
            <w:r w:rsidRPr="007E0AF4">
              <w:rPr>
                <w:sz w:val="22"/>
              </w:rPr>
              <w:t xml:space="preserve"> (</w:t>
            </w:r>
            <w:proofErr w:type="spellStart"/>
            <w:r w:rsidRPr="007E0AF4">
              <w:rPr>
                <w:sz w:val="22"/>
              </w:rPr>
              <w:t>устаткування</w:t>
            </w:r>
            <w:proofErr w:type="spellEnd"/>
            <w:r w:rsidRPr="007E0AF4">
              <w:rPr>
                <w:sz w:val="22"/>
              </w:rPr>
              <w:t>);</w:t>
            </w:r>
          </w:p>
          <w:p w:rsidR="002E3647" w:rsidRPr="007E0AF4" w:rsidRDefault="002E3647" w:rsidP="000303D7">
            <w:pPr>
              <w:pStyle w:val="a7"/>
              <w:numPr>
                <w:ilvl w:val="0"/>
                <w:numId w:val="113"/>
              </w:numPr>
              <w:rPr>
                <w:sz w:val="22"/>
              </w:rPr>
            </w:pPr>
            <w:proofErr w:type="spellStart"/>
            <w:r w:rsidRPr="007E0AF4">
              <w:rPr>
                <w:sz w:val="22"/>
              </w:rPr>
              <w:t>покриття</w:t>
            </w:r>
            <w:proofErr w:type="spellEnd"/>
            <w:r w:rsidRPr="007E0AF4">
              <w:rPr>
                <w:sz w:val="22"/>
              </w:rPr>
              <w:t xml:space="preserve"> футбольного поля;</w:t>
            </w:r>
          </w:p>
          <w:p w:rsidR="002E3647" w:rsidRPr="007E0AF4" w:rsidRDefault="002E3647" w:rsidP="000303D7">
            <w:pPr>
              <w:pStyle w:val="a7"/>
              <w:numPr>
                <w:ilvl w:val="0"/>
                <w:numId w:val="113"/>
              </w:numPr>
              <w:rPr>
                <w:sz w:val="22"/>
              </w:rPr>
            </w:pPr>
            <w:proofErr w:type="spellStart"/>
            <w:r w:rsidRPr="007E0AF4">
              <w:rPr>
                <w:sz w:val="22"/>
              </w:rPr>
              <w:t>футбольні</w:t>
            </w:r>
            <w:proofErr w:type="spellEnd"/>
            <w:r w:rsidRPr="007E0AF4">
              <w:rPr>
                <w:sz w:val="22"/>
              </w:rPr>
              <w:t xml:space="preserve"> ворота, </w:t>
            </w:r>
            <w:proofErr w:type="spellStart"/>
            <w:r w:rsidRPr="007E0AF4">
              <w:rPr>
                <w:sz w:val="22"/>
              </w:rPr>
              <w:t>спортивні</w:t>
            </w:r>
            <w:proofErr w:type="spellEnd"/>
            <w:r w:rsidRPr="007E0AF4">
              <w:rPr>
                <w:sz w:val="22"/>
              </w:rPr>
              <w:t xml:space="preserve"> </w:t>
            </w:r>
            <w:proofErr w:type="spellStart"/>
            <w:r w:rsidRPr="007E0AF4">
              <w:rPr>
                <w:sz w:val="22"/>
              </w:rPr>
              <w:t>тренажери</w:t>
            </w:r>
            <w:proofErr w:type="spellEnd"/>
            <w:r w:rsidRPr="007E0AF4">
              <w:rPr>
                <w:sz w:val="22"/>
              </w:rPr>
              <w:t xml:space="preserve">, </w:t>
            </w:r>
            <w:proofErr w:type="spellStart"/>
            <w:r w:rsidRPr="007E0AF4">
              <w:rPr>
                <w:sz w:val="22"/>
              </w:rPr>
              <w:t>бігові</w:t>
            </w:r>
            <w:proofErr w:type="spellEnd"/>
            <w:r w:rsidRPr="007E0AF4">
              <w:rPr>
                <w:sz w:val="22"/>
              </w:rPr>
              <w:t xml:space="preserve"> </w:t>
            </w:r>
            <w:proofErr w:type="spellStart"/>
            <w:r w:rsidRPr="007E0AF4">
              <w:rPr>
                <w:sz w:val="22"/>
              </w:rPr>
              <w:t>доріжки</w:t>
            </w:r>
            <w:proofErr w:type="spellEnd"/>
            <w:r w:rsidRPr="007E0AF4">
              <w:rPr>
                <w:sz w:val="22"/>
              </w:rPr>
              <w:t xml:space="preserve">, флагшток </w:t>
            </w:r>
            <w:proofErr w:type="spellStart"/>
            <w:r w:rsidRPr="007E0AF4">
              <w:rPr>
                <w:sz w:val="22"/>
              </w:rPr>
              <w:t>тощо</w:t>
            </w:r>
            <w:proofErr w:type="spellEnd"/>
            <w:r w:rsidRPr="007E0AF4">
              <w:rPr>
                <w:sz w:val="22"/>
              </w:rPr>
              <w:t>.</w:t>
            </w:r>
          </w:p>
          <w:p w:rsidR="002E3647" w:rsidRPr="007E0AF4" w:rsidRDefault="002E3647" w:rsidP="001E6C97">
            <w:pPr>
              <w:ind w:firstLine="653"/>
              <w:rPr>
                <w:sz w:val="22"/>
              </w:rPr>
            </w:pPr>
            <w:r w:rsidRPr="007E0AF4">
              <w:rPr>
                <w:rFonts w:eastAsia="Arial"/>
                <w:sz w:val="22"/>
              </w:rPr>
              <w:t xml:space="preserve">Для </w:t>
            </w:r>
            <w:proofErr w:type="spellStart"/>
            <w:r w:rsidRPr="007E0AF4">
              <w:rPr>
                <w:rFonts w:eastAsia="Arial"/>
                <w:sz w:val="22"/>
              </w:rPr>
              <w:t>відбудови</w:t>
            </w:r>
            <w:proofErr w:type="spellEnd"/>
            <w:r w:rsidRPr="007E0AF4">
              <w:rPr>
                <w:rFonts w:eastAsia="Arial"/>
                <w:sz w:val="22"/>
              </w:rPr>
              <w:t xml:space="preserve"> та </w:t>
            </w:r>
            <w:proofErr w:type="spellStart"/>
            <w:r w:rsidRPr="007E0AF4">
              <w:rPr>
                <w:rFonts w:eastAsia="Arial"/>
                <w:sz w:val="22"/>
              </w:rPr>
              <w:t>сталого</w:t>
            </w:r>
            <w:proofErr w:type="spellEnd"/>
            <w:r w:rsidRPr="007E0AF4">
              <w:rPr>
                <w:rFonts w:eastAsia="Arial"/>
                <w:sz w:val="22"/>
              </w:rPr>
              <w:t xml:space="preserve"> </w:t>
            </w:r>
            <w:proofErr w:type="spellStart"/>
            <w:r w:rsidRPr="007E0AF4">
              <w:rPr>
                <w:rFonts w:eastAsia="Arial"/>
                <w:sz w:val="22"/>
              </w:rPr>
              <w:t>розвитку</w:t>
            </w:r>
            <w:proofErr w:type="spellEnd"/>
            <w:r w:rsidRPr="007E0AF4">
              <w:rPr>
                <w:rFonts w:eastAsia="Arial"/>
                <w:sz w:val="22"/>
              </w:rPr>
              <w:t xml:space="preserve"> </w:t>
            </w:r>
            <w:proofErr w:type="spellStart"/>
            <w:r w:rsidRPr="007E0AF4">
              <w:rPr>
                <w:rFonts w:eastAsia="Arial"/>
                <w:sz w:val="22"/>
              </w:rPr>
              <w:t>громади</w:t>
            </w:r>
            <w:proofErr w:type="spellEnd"/>
            <w:r w:rsidRPr="007E0AF4">
              <w:rPr>
                <w:rFonts w:eastAsia="Arial"/>
                <w:sz w:val="22"/>
              </w:rPr>
              <w:t xml:space="preserve"> </w:t>
            </w:r>
            <w:proofErr w:type="spellStart"/>
            <w:r w:rsidRPr="007E0AF4">
              <w:rPr>
                <w:rFonts w:eastAsia="Arial"/>
                <w:sz w:val="22"/>
              </w:rPr>
              <w:t>потрібен</w:t>
            </w:r>
            <w:proofErr w:type="spellEnd"/>
            <w:r w:rsidRPr="007E0AF4">
              <w:rPr>
                <w:rFonts w:eastAsia="Arial"/>
                <w:sz w:val="22"/>
              </w:rPr>
              <w:t xml:space="preserve"> </w:t>
            </w:r>
            <w:proofErr w:type="spellStart"/>
            <w:r w:rsidRPr="007E0AF4">
              <w:rPr>
                <w:rFonts w:eastAsia="Arial"/>
                <w:sz w:val="22"/>
              </w:rPr>
              <w:t>капітальний</w:t>
            </w:r>
            <w:proofErr w:type="spellEnd"/>
            <w:r w:rsidRPr="007E0AF4">
              <w:rPr>
                <w:rFonts w:eastAsia="Arial"/>
                <w:sz w:val="22"/>
              </w:rPr>
              <w:t xml:space="preserve"> ремонт спортивного </w:t>
            </w:r>
            <w:proofErr w:type="spellStart"/>
            <w:r w:rsidRPr="007E0AF4">
              <w:rPr>
                <w:rFonts w:eastAsia="Arial"/>
                <w:sz w:val="22"/>
              </w:rPr>
              <w:t>стадіону</w:t>
            </w:r>
            <w:proofErr w:type="spellEnd"/>
            <w:r w:rsidRPr="007E0AF4">
              <w:rPr>
                <w:rFonts w:eastAsia="Arial"/>
                <w:sz w:val="22"/>
              </w:rPr>
              <w:t xml:space="preserve"> та </w:t>
            </w:r>
            <w:proofErr w:type="spellStart"/>
            <w:r w:rsidRPr="007E0AF4">
              <w:rPr>
                <w:rFonts w:eastAsia="Arial"/>
                <w:sz w:val="22"/>
              </w:rPr>
              <w:t>відновлення</w:t>
            </w:r>
            <w:proofErr w:type="spellEnd"/>
            <w:r w:rsidRPr="007E0AF4">
              <w:rPr>
                <w:rFonts w:eastAsia="Arial"/>
                <w:sz w:val="22"/>
              </w:rPr>
              <w:t xml:space="preserve"> </w:t>
            </w:r>
            <w:proofErr w:type="spellStart"/>
            <w:proofErr w:type="gramStart"/>
            <w:r w:rsidRPr="007E0AF4">
              <w:rPr>
                <w:rFonts w:eastAsia="Arial"/>
                <w:sz w:val="22"/>
              </w:rPr>
              <w:t>його</w:t>
            </w:r>
            <w:proofErr w:type="spellEnd"/>
            <w:r w:rsidRPr="007E0AF4">
              <w:rPr>
                <w:rFonts w:eastAsia="Arial"/>
                <w:sz w:val="22"/>
              </w:rPr>
              <w:t xml:space="preserve">  </w:t>
            </w:r>
            <w:proofErr w:type="spellStart"/>
            <w:r w:rsidRPr="007E0AF4">
              <w:rPr>
                <w:rFonts w:eastAsia="Arial"/>
                <w:sz w:val="22"/>
              </w:rPr>
              <w:t>функціонування</w:t>
            </w:r>
            <w:proofErr w:type="spellEnd"/>
            <w:proofErr w:type="gramEnd"/>
            <w:r w:rsidRPr="007E0AF4">
              <w:rPr>
                <w:rFonts w:eastAsia="Arial"/>
                <w:sz w:val="22"/>
              </w:rPr>
              <w:t xml:space="preserve"> в рамках </w:t>
            </w:r>
            <w:proofErr w:type="spellStart"/>
            <w:r w:rsidRPr="007E0AF4">
              <w:rPr>
                <w:rFonts w:eastAsia="Arial"/>
                <w:sz w:val="22"/>
              </w:rPr>
              <w:t>використання</w:t>
            </w:r>
            <w:proofErr w:type="spellEnd"/>
            <w:r w:rsidRPr="007E0AF4">
              <w:rPr>
                <w:rFonts w:eastAsia="Arial"/>
                <w:sz w:val="22"/>
              </w:rPr>
              <w:t xml:space="preserve"> в </w:t>
            </w:r>
            <w:proofErr w:type="spellStart"/>
            <w:r w:rsidRPr="007E0AF4">
              <w:rPr>
                <w:rFonts w:eastAsia="Arial"/>
                <w:sz w:val="22"/>
              </w:rPr>
              <w:t>нав</w:t>
            </w:r>
            <w:r w:rsidR="005217DC" w:rsidRPr="007E0AF4">
              <w:rPr>
                <w:rFonts w:eastAsia="Arial"/>
                <w:sz w:val="22"/>
              </w:rPr>
              <w:t>ч</w:t>
            </w:r>
            <w:r w:rsidRPr="007E0AF4">
              <w:rPr>
                <w:rFonts w:eastAsia="Arial"/>
                <w:sz w:val="22"/>
              </w:rPr>
              <w:t>ально-виховному</w:t>
            </w:r>
            <w:proofErr w:type="spellEnd"/>
            <w:r w:rsidRPr="007E0AF4">
              <w:rPr>
                <w:rFonts w:eastAsia="Arial"/>
                <w:sz w:val="22"/>
              </w:rPr>
              <w:t xml:space="preserve"> </w:t>
            </w:r>
            <w:proofErr w:type="spellStart"/>
            <w:r w:rsidRPr="007E0AF4">
              <w:rPr>
                <w:rFonts w:eastAsia="Arial"/>
                <w:sz w:val="22"/>
              </w:rPr>
              <w:t>процесі</w:t>
            </w:r>
            <w:proofErr w:type="spellEnd"/>
            <w:r w:rsidRPr="007E0AF4">
              <w:rPr>
                <w:rFonts w:eastAsia="Arial"/>
                <w:sz w:val="22"/>
              </w:rPr>
              <w:t xml:space="preserve"> </w:t>
            </w:r>
            <w:proofErr w:type="spellStart"/>
            <w:r w:rsidRPr="007E0AF4">
              <w:rPr>
                <w:rFonts w:eastAsia="Arial"/>
                <w:sz w:val="22"/>
              </w:rPr>
              <w:t>комунального</w:t>
            </w:r>
            <w:proofErr w:type="spellEnd"/>
            <w:r w:rsidRPr="007E0AF4">
              <w:rPr>
                <w:rFonts w:eastAsia="Arial"/>
                <w:sz w:val="22"/>
              </w:rPr>
              <w:t xml:space="preserve"> закладу </w:t>
            </w:r>
            <w:proofErr w:type="spellStart"/>
            <w:r w:rsidRPr="007E0AF4">
              <w:rPr>
                <w:rFonts w:eastAsia="Arial"/>
                <w:sz w:val="22"/>
              </w:rPr>
              <w:t>Гімназії</w:t>
            </w:r>
            <w:proofErr w:type="spellEnd"/>
            <w:r w:rsidRPr="007E0AF4">
              <w:rPr>
                <w:rFonts w:eastAsia="Arial"/>
                <w:sz w:val="22"/>
              </w:rPr>
              <w:t xml:space="preserve"> «ГАРМОНІЯ» </w:t>
            </w:r>
            <w:proofErr w:type="spellStart"/>
            <w:r w:rsidRPr="007E0AF4">
              <w:rPr>
                <w:rFonts w:eastAsia="Arial"/>
                <w:sz w:val="22"/>
              </w:rPr>
              <w:t>міста</w:t>
            </w:r>
            <w:proofErr w:type="spellEnd"/>
            <w:r w:rsidRPr="007E0AF4">
              <w:rPr>
                <w:rFonts w:eastAsia="Arial"/>
                <w:sz w:val="22"/>
              </w:rPr>
              <w:t xml:space="preserve"> </w:t>
            </w:r>
            <w:proofErr w:type="spellStart"/>
            <w:r w:rsidRPr="007E0AF4">
              <w:rPr>
                <w:rFonts w:eastAsia="Arial"/>
                <w:sz w:val="22"/>
              </w:rPr>
              <w:t>Сєвєродонецька</w:t>
            </w:r>
            <w:proofErr w:type="spellEnd"/>
            <w:r w:rsidRPr="007E0AF4">
              <w:rPr>
                <w:rFonts w:eastAsia="Arial"/>
                <w:sz w:val="22"/>
              </w:rPr>
              <w:t xml:space="preserve"> </w:t>
            </w:r>
            <w:proofErr w:type="spellStart"/>
            <w:r w:rsidRPr="007E0AF4">
              <w:rPr>
                <w:rFonts w:eastAsia="Arial"/>
                <w:sz w:val="22"/>
              </w:rPr>
              <w:t>Луганської</w:t>
            </w:r>
            <w:proofErr w:type="spellEnd"/>
            <w:r w:rsidRPr="007E0AF4">
              <w:rPr>
                <w:rFonts w:eastAsia="Arial"/>
                <w:sz w:val="22"/>
              </w:rPr>
              <w:t xml:space="preserve"> </w:t>
            </w:r>
            <w:proofErr w:type="spellStart"/>
            <w:r w:rsidRPr="007E0AF4">
              <w:rPr>
                <w:rFonts w:eastAsia="Arial"/>
                <w:sz w:val="22"/>
              </w:rPr>
              <w:t>області</w:t>
            </w:r>
            <w:proofErr w:type="spellEnd"/>
            <w:r w:rsidRPr="007E0AF4">
              <w:rPr>
                <w:rFonts w:eastAsia="Arial"/>
                <w:sz w:val="22"/>
              </w:rPr>
              <w:t xml:space="preserve"> та </w:t>
            </w:r>
            <w:proofErr w:type="spellStart"/>
            <w:r w:rsidRPr="007E0AF4">
              <w:rPr>
                <w:rFonts w:eastAsia="Arial"/>
                <w:sz w:val="22"/>
              </w:rPr>
              <w:t>задоволення</w:t>
            </w:r>
            <w:proofErr w:type="spellEnd"/>
            <w:r w:rsidRPr="007E0AF4">
              <w:rPr>
                <w:rFonts w:eastAsia="Arial"/>
                <w:sz w:val="22"/>
              </w:rPr>
              <w:t xml:space="preserve"> потреб </w:t>
            </w:r>
            <w:proofErr w:type="spellStart"/>
            <w:r w:rsidRPr="007E0AF4">
              <w:rPr>
                <w:rFonts w:eastAsia="Arial"/>
                <w:sz w:val="22"/>
              </w:rPr>
              <w:t>мешканців</w:t>
            </w:r>
            <w:proofErr w:type="spellEnd"/>
            <w:r w:rsidRPr="007E0AF4">
              <w:rPr>
                <w:rFonts w:eastAsia="Arial"/>
                <w:sz w:val="22"/>
              </w:rPr>
              <w:t xml:space="preserve"> </w:t>
            </w:r>
            <w:proofErr w:type="spellStart"/>
            <w:r w:rsidRPr="007E0AF4">
              <w:rPr>
                <w:rFonts w:eastAsia="Arial"/>
                <w:sz w:val="22"/>
              </w:rPr>
              <w:t>мікрорайону</w:t>
            </w:r>
            <w:proofErr w:type="spellEnd"/>
            <w:r w:rsidRPr="007E0AF4">
              <w:rPr>
                <w:rFonts w:eastAsia="Arial"/>
                <w:sz w:val="22"/>
              </w:rPr>
              <w:t xml:space="preserve"> закладу </w:t>
            </w:r>
            <w:proofErr w:type="spellStart"/>
            <w:r w:rsidRPr="007E0AF4">
              <w:rPr>
                <w:rFonts w:eastAsia="Arial"/>
                <w:sz w:val="22"/>
              </w:rPr>
              <w:t>освіти</w:t>
            </w:r>
            <w:proofErr w:type="spellEnd"/>
            <w:r w:rsidRPr="007E0AF4">
              <w:rPr>
                <w:rFonts w:eastAsia="Arial"/>
                <w:sz w:val="22"/>
              </w:rPr>
              <w:t>.</w:t>
            </w:r>
          </w:p>
        </w:tc>
      </w:tr>
      <w:tr w:rsidR="002E3647" w:rsidRPr="007E0AF4" w:rsidTr="002E3647">
        <w:tc>
          <w:tcPr>
            <w:tcW w:w="2978" w:type="dxa"/>
            <w:shd w:val="clear" w:color="auto" w:fill="C6D9F1" w:themeFill="text2" w:themeFillTint="33"/>
          </w:tcPr>
          <w:p w:rsidR="002E3647" w:rsidRPr="007E0AF4" w:rsidRDefault="002E3647" w:rsidP="001E6C97">
            <w:pPr>
              <w:pStyle w:val="a7"/>
              <w:ind w:left="0"/>
              <w:rPr>
                <w:b/>
                <w:sz w:val="22"/>
              </w:rPr>
            </w:pPr>
            <w:proofErr w:type="spellStart"/>
            <w:r w:rsidRPr="007E0AF4">
              <w:rPr>
                <w:b/>
                <w:sz w:val="22"/>
              </w:rPr>
              <w:t>Очікувані</w:t>
            </w:r>
            <w:proofErr w:type="spellEnd"/>
            <w:r w:rsidRPr="007E0AF4">
              <w:rPr>
                <w:b/>
                <w:sz w:val="22"/>
              </w:rPr>
              <w:t xml:space="preserve"> </w:t>
            </w:r>
            <w:proofErr w:type="spellStart"/>
            <w:r w:rsidRPr="007E0AF4">
              <w:rPr>
                <w:b/>
                <w:sz w:val="22"/>
              </w:rPr>
              <w:t>якісні</w:t>
            </w:r>
            <w:proofErr w:type="spellEnd"/>
            <w:r w:rsidRPr="007E0AF4">
              <w:rPr>
                <w:b/>
                <w:sz w:val="22"/>
              </w:rPr>
              <w:t xml:space="preserve"> </w:t>
            </w:r>
            <w:proofErr w:type="spellStart"/>
            <w:r w:rsidRPr="007E0AF4">
              <w:rPr>
                <w:b/>
                <w:sz w:val="22"/>
              </w:rPr>
              <w:t>результати</w:t>
            </w:r>
            <w:proofErr w:type="spellEnd"/>
            <w:r w:rsidRPr="007E0AF4">
              <w:rPr>
                <w:b/>
                <w:sz w:val="22"/>
              </w:rPr>
              <w:t xml:space="preserve"> </w:t>
            </w:r>
            <w:proofErr w:type="spellStart"/>
            <w:r w:rsidRPr="007E0AF4">
              <w:rPr>
                <w:b/>
                <w:sz w:val="22"/>
              </w:rPr>
              <w:t>від</w:t>
            </w:r>
            <w:proofErr w:type="spellEnd"/>
            <w:r w:rsidRPr="007E0AF4">
              <w:rPr>
                <w:b/>
                <w:sz w:val="22"/>
              </w:rPr>
              <w:t xml:space="preserve"> </w:t>
            </w:r>
            <w:proofErr w:type="spellStart"/>
            <w:r w:rsidRPr="007E0AF4">
              <w:rPr>
                <w:b/>
                <w:sz w:val="22"/>
              </w:rPr>
              <w:t>реалізації</w:t>
            </w:r>
            <w:proofErr w:type="spellEnd"/>
            <w:r w:rsidRPr="007E0AF4">
              <w:rPr>
                <w:b/>
                <w:sz w:val="22"/>
              </w:rPr>
              <w:t xml:space="preserve"> проекту</w:t>
            </w:r>
          </w:p>
        </w:tc>
        <w:tc>
          <w:tcPr>
            <w:tcW w:w="6945" w:type="dxa"/>
            <w:gridSpan w:val="7"/>
          </w:tcPr>
          <w:p w:rsidR="002E3647" w:rsidRPr="007E0AF4" w:rsidRDefault="002E3647" w:rsidP="000303D7">
            <w:pPr>
              <w:pStyle w:val="a7"/>
              <w:numPr>
                <w:ilvl w:val="0"/>
                <w:numId w:val="109"/>
              </w:numPr>
              <w:ind w:left="0" w:firstLine="425"/>
              <w:rPr>
                <w:sz w:val="22"/>
              </w:rPr>
            </w:pPr>
            <w:proofErr w:type="spellStart"/>
            <w:r w:rsidRPr="007E0AF4">
              <w:rPr>
                <w:sz w:val="22"/>
              </w:rPr>
              <w:t>Підготовка</w:t>
            </w:r>
            <w:proofErr w:type="spellEnd"/>
            <w:r w:rsidRPr="007E0AF4">
              <w:rPr>
                <w:sz w:val="22"/>
              </w:rPr>
              <w:t xml:space="preserve"> спортивного </w:t>
            </w:r>
            <w:proofErr w:type="spellStart"/>
            <w:r w:rsidRPr="007E0AF4">
              <w:rPr>
                <w:sz w:val="22"/>
              </w:rPr>
              <w:t>стадіону</w:t>
            </w:r>
            <w:proofErr w:type="spellEnd"/>
            <w:r w:rsidRPr="007E0AF4">
              <w:rPr>
                <w:sz w:val="22"/>
              </w:rPr>
              <w:t xml:space="preserve"> </w:t>
            </w:r>
            <w:proofErr w:type="spellStart"/>
            <w:r w:rsidRPr="007E0AF4">
              <w:rPr>
                <w:sz w:val="22"/>
              </w:rPr>
              <w:t>Гімназії</w:t>
            </w:r>
            <w:proofErr w:type="spellEnd"/>
            <w:r w:rsidRPr="007E0AF4">
              <w:rPr>
                <w:sz w:val="22"/>
              </w:rPr>
              <w:t xml:space="preserve"> «ГАРМОНІЯ» для </w:t>
            </w:r>
            <w:proofErr w:type="spellStart"/>
            <w:r w:rsidRPr="007E0AF4">
              <w:rPr>
                <w:sz w:val="22"/>
              </w:rPr>
              <w:t>якісного</w:t>
            </w:r>
            <w:proofErr w:type="spellEnd"/>
            <w:r w:rsidRPr="007E0AF4">
              <w:rPr>
                <w:sz w:val="22"/>
              </w:rPr>
              <w:t xml:space="preserve"> </w:t>
            </w:r>
            <w:proofErr w:type="spellStart"/>
            <w:r w:rsidRPr="007E0AF4">
              <w:rPr>
                <w:sz w:val="22"/>
              </w:rPr>
              <w:t>надання</w:t>
            </w:r>
            <w:proofErr w:type="spellEnd"/>
            <w:r w:rsidRPr="007E0AF4">
              <w:rPr>
                <w:sz w:val="22"/>
              </w:rPr>
              <w:t xml:space="preserve"> </w:t>
            </w:r>
            <w:proofErr w:type="spellStart"/>
            <w:r w:rsidRPr="007E0AF4">
              <w:rPr>
                <w:sz w:val="22"/>
              </w:rPr>
              <w:t>освітніх</w:t>
            </w:r>
            <w:proofErr w:type="spellEnd"/>
            <w:r w:rsidRPr="007E0AF4">
              <w:rPr>
                <w:sz w:val="22"/>
              </w:rPr>
              <w:t xml:space="preserve"> </w:t>
            </w:r>
            <w:proofErr w:type="spellStart"/>
            <w:r w:rsidRPr="007E0AF4">
              <w:rPr>
                <w:sz w:val="22"/>
              </w:rPr>
              <w:t>послуг</w:t>
            </w:r>
            <w:proofErr w:type="spellEnd"/>
            <w:r w:rsidRPr="007E0AF4">
              <w:rPr>
                <w:sz w:val="22"/>
              </w:rPr>
              <w:t xml:space="preserve"> </w:t>
            </w:r>
            <w:proofErr w:type="spellStart"/>
            <w:r w:rsidRPr="007E0AF4">
              <w:rPr>
                <w:sz w:val="22"/>
              </w:rPr>
              <w:t>відповідно</w:t>
            </w:r>
            <w:proofErr w:type="spellEnd"/>
            <w:r w:rsidRPr="007E0AF4">
              <w:rPr>
                <w:sz w:val="22"/>
              </w:rPr>
              <w:t xml:space="preserve"> до чинного </w:t>
            </w:r>
            <w:proofErr w:type="spellStart"/>
            <w:r w:rsidRPr="007E0AF4">
              <w:rPr>
                <w:sz w:val="22"/>
              </w:rPr>
              <w:t>законодавства</w:t>
            </w:r>
            <w:proofErr w:type="spellEnd"/>
            <w:r w:rsidRPr="007E0AF4">
              <w:rPr>
                <w:sz w:val="22"/>
              </w:rPr>
              <w:t xml:space="preserve"> </w:t>
            </w:r>
            <w:proofErr w:type="spellStart"/>
            <w:r w:rsidRPr="007E0AF4">
              <w:rPr>
                <w:sz w:val="22"/>
              </w:rPr>
              <w:t>України</w:t>
            </w:r>
            <w:proofErr w:type="spellEnd"/>
            <w:r w:rsidRPr="007E0AF4">
              <w:rPr>
                <w:sz w:val="22"/>
              </w:rPr>
              <w:t xml:space="preserve">, </w:t>
            </w:r>
            <w:proofErr w:type="spellStart"/>
            <w:r w:rsidRPr="007E0AF4">
              <w:rPr>
                <w:sz w:val="22"/>
              </w:rPr>
              <w:t>використання</w:t>
            </w:r>
            <w:proofErr w:type="spellEnd"/>
            <w:r w:rsidRPr="007E0AF4">
              <w:rPr>
                <w:sz w:val="22"/>
              </w:rPr>
              <w:t xml:space="preserve"> </w:t>
            </w:r>
            <w:proofErr w:type="spellStart"/>
            <w:r w:rsidRPr="007E0AF4">
              <w:rPr>
                <w:sz w:val="22"/>
              </w:rPr>
              <w:t>стадіону</w:t>
            </w:r>
            <w:proofErr w:type="spellEnd"/>
            <w:r w:rsidRPr="007E0AF4">
              <w:rPr>
                <w:sz w:val="22"/>
              </w:rPr>
              <w:t xml:space="preserve"> </w:t>
            </w:r>
            <w:proofErr w:type="spellStart"/>
            <w:r w:rsidRPr="007E0AF4">
              <w:rPr>
                <w:sz w:val="22"/>
              </w:rPr>
              <w:t>мешканцями</w:t>
            </w:r>
            <w:proofErr w:type="spellEnd"/>
            <w:r w:rsidRPr="007E0AF4">
              <w:rPr>
                <w:sz w:val="22"/>
              </w:rPr>
              <w:t xml:space="preserve"> </w:t>
            </w:r>
            <w:proofErr w:type="spellStart"/>
            <w:r w:rsidRPr="007E0AF4">
              <w:rPr>
                <w:sz w:val="22"/>
              </w:rPr>
              <w:t>мікрорайону</w:t>
            </w:r>
            <w:proofErr w:type="spellEnd"/>
            <w:r w:rsidRPr="007E0AF4">
              <w:rPr>
                <w:sz w:val="22"/>
              </w:rPr>
              <w:t xml:space="preserve"> з метою </w:t>
            </w:r>
            <w:proofErr w:type="spellStart"/>
            <w:r w:rsidRPr="007E0AF4">
              <w:rPr>
                <w:sz w:val="22"/>
              </w:rPr>
              <w:t>задоволення</w:t>
            </w:r>
            <w:proofErr w:type="spellEnd"/>
            <w:r w:rsidRPr="007E0AF4">
              <w:rPr>
                <w:sz w:val="22"/>
              </w:rPr>
              <w:t xml:space="preserve"> </w:t>
            </w:r>
            <w:proofErr w:type="spellStart"/>
            <w:r w:rsidRPr="007E0AF4">
              <w:rPr>
                <w:sz w:val="22"/>
              </w:rPr>
              <w:t>спортивних</w:t>
            </w:r>
            <w:proofErr w:type="spellEnd"/>
            <w:r w:rsidRPr="007E0AF4">
              <w:rPr>
                <w:sz w:val="22"/>
              </w:rPr>
              <w:t xml:space="preserve"> та </w:t>
            </w:r>
            <w:proofErr w:type="spellStart"/>
            <w:r w:rsidRPr="007E0AF4">
              <w:rPr>
                <w:sz w:val="22"/>
              </w:rPr>
              <w:t>оздоровчих</w:t>
            </w:r>
            <w:proofErr w:type="spellEnd"/>
            <w:r w:rsidRPr="007E0AF4">
              <w:rPr>
                <w:sz w:val="22"/>
              </w:rPr>
              <w:t xml:space="preserve"> потреб </w:t>
            </w:r>
            <w:proofErr w:type="spellStart"/>
            <w:r w:rsidRPr="007E0AF4">
              <w:rPr>
                <w:sz w:val="22"/>
              </w:rPr>
              <w:t>громади</w:t>
            </w:r>
            <w:proofErr w:type="spellEnd"/>
            <w:r w:rsidR="005217DC" w:rsidRPr="007E0AF4">
              <w:rPr>
                <w:sz w:val="22"/>
              </w:rPr>
              <w:t>.</w:t>
            </w:r>
            <w:r w:rsidRPr="007E0AF4">
              <w:rPr>
                <w:sz w:val="22"/>
              </w:rPr>
              <w:t xml:space="preserve"> </w:t>
            </w:r>
          </w:p>
          <w:p w:rsidR="002E3647" w:rsidRPr="007E0AF4" w:rsidRDefault="002E3647" w:rsidP="000303D7">
            <w:pPr>
              <w:pStyle w:val="a7"/>
              <w:numPr>
                <w:ilvl w:val="0"/>
                <w:numId w:val="109"/>
              </w:numPr>
              <w:ind w:left="0" w:firstLine="425"/>
              <w:rPr>
                <w:sz w:val="22"/>
              </w:rPr>
            </w:pPr>
            <w:proofErr w:type="spellStart"/>
            <w:r w:rsidRPr="007E0AF4">
              <w:rPr>
                <w:sz w:val="22"/>
              </w:rPr>
              <w:t>Надання</w:t>
            </w:r>
            <w:proofErr w:type="spellEnd"/>
            <w:r w:rsidRPr="007E0AF4">
              <w:rPr>
                <w:sz w:val="22"/>
              </w:rPr>
              <w:t xml:space="preserve"> широкого спектру </w:t>
            </w:r>
            <w:proofErr w:type="spellStart"/>
            <w:r w:rsidRPr="007E0AF4">
              <w:rPr>
                <w:sz w:val="22"/>
              </w:rPr>
              <w:t>послуг</w:t>
            </w:r>
            <w:proofErr w:type="spellEnd"/>
            <w:r w:rsidRPr="007E0AF4">
              <w:rPr>
                <w:sz w:val="22"/>
              </w:rPr>
              <w:t xml:space="preserve">, </w:t>
            </w:r>
            <w:proofErr w:type="spellStart"/>
            <w:r w:rsidRPr="007E0AF4">
              <w:rPr>
                <w:sz w:val="22"/>
              </w:rPr>
              <w:t>пов’язаних</w:t>
            </w:r>
            <w:proofErr w:type="spellEnd"/>
            <w:r w:rsidRPr="007E0AF4">
              <w:rPr>
                <w:sz w:val="22"/>
              </w:rPr>
              <w:t xml:space="preserve"> </w:t>
            </w:r>
            <w:proofErr w:type="spellStart"/>
            <w:r w:rsidRPr="007E0AF4">
              <w:rPr>
                <w:sz w:val="22"/>
              </w:rPr>
              <w:t>із</w:t>
            </w:r>
            <w:proofErr w:type="spellEnd"/>
            <w:r w:rsidRPr="007E0AF4">
              <w:rPr>
                <w:sz w:val="22"/>
              </w:rPr>
              <w:t xml:space="preserve"> </w:t>
            </w:r>
            <w:proofErr w:type="spellStart"/>
            <w:r w:rsidRPr="007E0AF4">
              <w:rPr>
                <w:sz w:val="22"/>
              </w:rPr>
              <w:t>освітньою</w:t>
            </w:r>
            <w:proofErr w:type="spellEnd"/>
            <w:r w:rsidRPr="007E0AF4">
              <w:rPr>
                <w:sz w:val="22"/>
              </w:rPr>
              <w:t xml:space="preserve"> </w:t>
            </w:r>
            <w:proofErr w:type="spellStart"/>
            <w:r w:rsidRPr="007E0AF4">
              <w:rPr>
                <w:sz w:val="22"/>
              </w:rPr>
              <w:t>діяльністю</w:t>
            </w:r>
            <w:proofErr w:type="spellEnd"/>
            <w:r w:rsidRPr="007E0AF4">
              <w:rPr>
                <w:sz w:val="22"/>
              </w:rPr>
              <w:t xml:space="preserve"> </w:t>
            </w:r>
            <w:proofErr w:type="spellStart"/>
            <w:r w:rsidRPr="007E0AF4">
              <w:rPr>
                <w:sz w:val="22"/>
              </w:rPr>
              <w:t>закладів</w:t>
            </w:r>
            <w:proofErr w:type="spellEnd"/>
            <w:r w:rsidRPr="007E0AF4">
              <w:rPr>
                <w:sz w:val="22"/>
              </w:rPr>
              <w:t xml:space="preserve"> </w:t>
            </w:r>
            <w:proofErr w:type="spellStart"/>
            <w:r w:rsidRPr="007E0AF4">
              <w:rPr>
                <w:sz w:val="22"/>
              </w:rPr>
              <w:t>освіти</w:t>
            </w:r>
            <w:proofErr w:type="spellEnd"/>
            <w:r w:rsidRPr="007E0AF4">
              <w:rPr>
                <w:sz w:val="22"/>
              </w:rPr>
              <w:t xml:space="preserve"> </w:t>
            </w:r>
            <w:proofErr w:type="spellStart"/>
            <w:r w:rsidRPr="007E0AF4">
              <w:rPr>
                <w:sz w:val="22"/>
              </w:rPr>
              <w:t>міста</w:t>
            </w:r>
            <w:proofErr w:type="spellEnd"/>
            <w:r w:rsidR="005217DC" w:rsidRPr="007E0AF4">
              <w:rPr>
                <w:sz w:val="22"/>
              </w:rPr>
              <w:t>.</w:t>
            </w:r>
          </w:p>
          <w:p w:rsidR="002E3647" w:rsidRPr="007E0AF4" w:rsidRDefault="002E3647" w:rsidP="000303D7">
            <w:pPr>
              <w:pStyle w:val="a7"/>
              <w:numPr>
                <w:ilvl w:val="0"/>
                <w:numId w:val="109"/>
              </w:numPr>
              <w:ind w:left="0" w:firstLine="425"/>
              <w:rPr>
                <w:sz w:val="22"/>
              </w:rPr>
            </w:pPr>
            <w:proofErr w:type="spellStart"/>
            <w:r w:rsidRPr="007E0AF4">
              <w:rPr>
                <w:sz w:val="22"/>
              </w:rPr>
              <w:t>Забезпечення</w:t>
            </w:r>
            <w:proofErr w:type="spellEnd"/>
            <w:r w:rsidRPr="007E0AF4">
              <w:rPr>
                <w:sz w:val="22"/>
              </w:rPr>
              <w:t xml:space="preserve"> </w:t>
            </w:r>
            <w:proofErr w:type="spellStart"/>
            <w:r w:rsidRPr="007E0AF4">
              <w:rPr>
                <w:sz w:val="22"/>
              </w:rPr>
              <w:t>населення</w:t>
            </w:r>
            <w:proofErr w:type="spellEnd"/>
            <w:r w:rsidRPr="007E0AF4">
              <w:rPr>
                <w:sz w:val="22"/>
              </w:rPr>
              <w:t xml:space="preserve"> </w:t>
            </w:r>
            <w:proofErr w:type="spellStart"/>
            <w:r w:rsidRPr="007E0AF4">
              <w:rPr>
                <w:sz w:val="22"/>
              </w:rPr>
              <w:t>можливостями</w:t>
            </w:r>
            <w:proofErr w:type="spellEnd"/>
            <w:r w:rsidRPr="007E0AF4">
              <w:rPr>
                <w:sz w:val="22"/>
              </w:rPr>
              <w:t xml:space="preserve"> для </w:t>
            </w:r>
            <w:proofErr w:type="spellStart"/>
            <w:proofErr w:type="gramStart"/>
            <w:r w:rsidRPr="007E0AF4">
              <w:rPr>
                <w:sz w:val="22"/>
              </w:rPr>
              <w:t>реалізації</w:t>
            </w:r>
            <w:proofErr w:type="spellEnd"/>
            <w:r w:rsidRPr="007E0AF4">
              <w:rPr>
                <w:sz w:val="22"/>
              </w:rPr>
              <w:t xml:space="preserve">  </w:t>
            </w:r>
            <w:proofErr w:type="spellStart"/>
            <w:r w:rsidRPr="007E0AF4">
              <w:rPr>
                <w:sz w:val="22"/>
              </w:rPr>
              <w:t>конституційних</w:t>
            </w:r>
            <w:proofErr w:type="spellEnd"/>
            <w:proofErr w:type="gramEnd"/>
            <w:r w:rsidRPr="007E0AF4">
              <w:rPr>
                <w:sz w:val="22"/>
              </w:rPr>
              <w:t xml:space="preserve"> прав, </w:t>
            </w:r>
            <w:proofErr w:type="spellStart"/>
            <w:r w:rsidRPr="007E0AF4">
              <w:rPr>
                <w:sz w:val="22"/>
              </w:rPr>
              <w:t>пов’язаних</w:t>
            </w:r>
            <w:proofErr w:type="spellEnd"/>
            <w:r w:rsidRPr="007E0AF4">
              <w:rPr>
                <w:sz w:val="22"/>
              </w:rPr>
              <w:t xml:space="preserve"> </w:t>
            </w:r>
            <w:proofErr w:type="spellStart"/>
            <w:r w:rsidRPr="007E0AF4">
              <w:rPr>
                <w:sz w:val="22"/>
              </w:rPr>
              <w:t>із</w:t>
            </w:r>
            <w:proofErr w:type="spellEnd"/>
            <w:r w:rsidRPr="007E0AF4">
              <w:rPr>
                <w:sz w:val="22"/>
              </w:rPr>
              <w:t xml:space="preserve"> правом </w:t>
            </w:r>
            <w:proofErr w:type="spellStart"/>
            <w:r w:rsidRPr="007E0AF4">
              <w:rPr>
                <w:sz w:val="22"/>
              </w:rPr>
              <w:t>громадян</w:t>
            </w:r>
            <w:proofErr w:type="spellEnd"/>
            <w:r w:rsidRPr="007E0AF4">
              <w:rPr>
                <w:sz w:val="22"/>
              </w:rPr>
              <w:t xml:space="preserve"> на </w:t>
            </w:r>
            <w:proofErr w:type="spellStart"/>
            <w:r w:rsidRPr="007E0AF4">
              <w:rPr>
                <w:sz w:val="22"/>
              </w:rPr>
              <w:t>освіту</w:t>
            </w:r>
            <w:proofErr w:type="spellEnd"/>
            <w:r w:rsidRPr="007E0AF4">
              <w:rPr>
                <w:sz w:val="22"/>
              </w:rPr>
              <w:t xml:space="preserve">, пропаганда здорового способу </w:t>
            </w:r>
            <w:proofErr w:type="spellStart"/>
            <w:r w:rsidRPr="007E0AF4">
              <w:rPr>
                <w:sz w:val="22"/>
              </w:rPr>
              <w:t>життя</w:t>
            </w:r>
            <w:proofErr w:type="spellEnd"/>
            <w:r w:rsidRPr="007E0AF4">
              <w:rPr>
                <w:sz w:val="22"/>
              </w:rPr>
              <w:t xml:space="preserve">, </w:t>
            </w:r>
            <w:proofErr w:type="spellStart"/>
            <w:r w:rsidRPr="007E0AF4">
              <w:rPr>
                <w:sz w:val="22"/>
              </w:rPr>
              <w:t>організація</w:t>
            </w:r>
            <w:proofErr w:type="spellEnd"/>
            <w:r w:rsidRPr="007E0AF4">
              <w:rPr>
                <w:sz w:val="22"/>
              </w:rPr>
              <w:t xml:space="preserve"> спортивно-</w:t>
            </w:r>
            <w:proofErr w:type="spellStart"/>
            <w:r w:rsidRPr="007E0AF4">
              <w:rPr>
                <w:sz w:val="22"/>
              </w:rPr>
              <w:t>масових</w:t>
            </w:r>
            <w:proofErr w:type="spellEnd"/>
            <w:r w:rsidRPr="007E0AF4">
              <w:rPr>
                <w:sz w:val="22"/>
              </w:rPr>
              <w:t xml:space="preserve"> </w:t>
            </w:r>
            <w:proofErr w:type="spellStart"/>
            <w:r w:rsidRPr="007E0AF4">
              <w:rPr>
                <w:sz w:val="22"/>
              </w:rPr>
              <w:t>заходів</w:t>
            </w:r>
            <w:proofErr w:type="spellEnd"/>
            <w:r w:rsidRPr="007E0AF4">
              <w:rPr>
                <w:sz w:val="22"/>
              </w:rPr>
              <w:t xml:space="preserve">, </w:t>
            </w:r>
            <w:proofErr w:type="spellStart"/>
            <w:r w:rsidRPr="007E0AF4">
              <w:rPr>
                <w:sz w:val="22"/>
              </w:rPr>
              <w:t>змагань</w:t>
            </w:r>
            <w:proofErr w:type="spellEnd"/>
            <w:r w:rsidRPr="007E0AF4">
              <w:rPr>
                <w:sz w:val="22"/>
              </w:rPr>
              <w:t xml:space="preserve"> та </w:t>
            </w:r>
            <w:proofErr w:type="spellStart"/>
            <w:r w:rsidRPr="007E0AF4">
              <w:rPr>
                <w:sz w:val="22"/>
              </w:rPr>
              <w:t>естафет</w:t>
            </w:r>
            <w:proofErr w:type="spellEnd"/>
            <w:r w:rsidR="005217DC" w:rsidRPr="007E0AF4">
              <w:rPr>
                <w:sz w:val="22"/>
              </w:rPr>
              <w:t>.</w:t>
            </w:r>
          </w:p>
          <w:p w:rsidR="002E3647" w:rsidRPr="007E0AF4" w:rsidRDefault="002E3647" w:rsidP="000303D7">
            <w:pPr>
              <w:pStyle w:val="a7"/>
              <w:numPr>
                <w:ilvl w:val="0"/>
                <w:numId w:val="109"/>
              </w:numPr>
              <w:ind w:left="0" w:firstLine="425"/>
              <w:rPr>
                <w:sz w:val="22"/>
              </w:rPr>
            </w:pPr>
            <w:proofErr w:type="spellStart"/>
            <w:r w:rsidRPr="007E0AF4">
              <w:rPr>
                <w:sz w:val="22"/>
              </w:rPr>
              <w:t>Вирішення</w:t>
            </w:r>
            <w:proofErr w:type="spellEnd"/>
            <w:r w:rsidRPr="007E0AF4">
              <w:rPr>
                <w:sz w:val="22"/>
              </w:rPr>
              <w:t xml:space="preserve"> ряду </w:t>
            </w:r>
            <w:proofErr w:type="spellStart"/>
            <w:r w:rsidRPr="007E0AF4">
              <w:rPr>
                <w:sz w:val="22"/>
              </w:rPr>
              <w:t>питань</w:t>
            </w:r>
            <w:proofErr w:type="spellEnd"/>
            <w:r w:rsidRPr="007E0AF4">
              <w:rPr>
                <w:sz w:val="22"/>
              </w:rPr>
              <w:t xml:space="preserve"> в межах </w:t>
            </w:r>
            <w:proofErr w:type="spellStart"/>
            <w:r w:rsidRPr="007E0AF4">
              <w:rPr>
                <w:sz w:val="22"/>
              </w:rPr>
              <w:t>Статутної</w:t>
            </w:r>
            <w:proofErr w:type="spellEnd"/>
            <w:r w:rsidRPr="007E0AF4">
              <w:rPr>
                <w:sz w:val="22"/>
              </w:rPr>
              <w:t xml:space="preserve"> </w:t>
            </w:r>
            <w:proofErr w:type="spellStart"/>
            <w:r w:rsidRPr="007E0AF4">
              <w:rPr>
                <w:sz w:val="22"/>
              </w:rPr>
              <w:t>діяльності</w:t>
            </w:r>
            <w:proofErr w:type="spellEnd"/>
            <w:r w:rsidRPr="007E0AF4">
              <w:rPr>
                <w:sz w:val="22"/>
              </w:rPr>
              <w:t xml:space="preserve"> закладу </w:t>
            </w:r>
            <w:proofErr w:type="spellStart"/>
            <w:r w:rsidRPr="007E0AF4">
              <w:rPr>
                <w:sz w:val="22"/>
              </w:rPr>
              <w:t>освіти</w:t>
            </w:r>
            <w:proofErr w:type="spellEnd"/>
            <w:r w:rsidRPr="007E0AF4">
              <w:rPr>
                <w:sz w:val="22"/>
              </w:rPr>
              <w:t xml:space="preserve">, </w:t>
            </w:r>
            <w:proofErr w:type="spellStart"/>
            <w:r w:rsidRPr="007E0AF4">
              <w:rPr>
                <w:sz w:val="22"/>
              </w:rPr>
              <w:t>пов’язаних</w:t>
            </w:r>
            <w:proofErr w:type="spellEnd"/>
            <w:r w:rsidRPr="007E0AF4">
              <w:rPr>
                <w:sz w:val="22"/>
              </w:rPr>
              <w:t xml:space="preserve"> </w:t>
            </w:r>
            <w:proofErr w:type="spellStart"/>
            <w:r w:rsidRPr="007E0AF4">
              <w:rPr>
                <w:sz w:val="22"/>
              </w:rPr>
              <w:t>із</w:t>
            </w:r>
            <w:proofErr w:type="spellEnd"/>
            <w:r w:rsidRPr="007E0AF4">
              <w:rPr>
                <w:sz w:val="22"/>
              </w:rPr>
              <w:t xml:space="preserve"> </w:t>
            </w:r>
            <w:proofErr w:type="spellStart"/>
            <w:r w:rsidRPr="007E0AF4">
              <w:rPr>
                <w:sz w:val="22"/>
              </w:rPr>
              <w:t>відбудовою</w:t>
            </w:r>
            <w:proofErr w:type="spellEnd"/>
            <w:r w:rsidRPr="007E0AF4">
              <w:rPr>
                <w:sz w:val="22"/>
              </w:rPr>
              <w:t xml:space="preserve"> та </w:t>
            </w:r>
            <w:proofErr w:type="spellStart"/>
            <w:r w:rsidRPr="007E0AF4">
              <w:rPr>
                <w:sz w:val="22"/>
              </w:rPr>
              <w:t>сталим</w:t>
            </w:r>
            <w:proofErr w:type="spellEnd"/>
            <w:r w:rsidRPr="007E0AF4">
              <w:rPr>
                <w:sz w:val="22"/>
              </w:rPr>
              <w:t xml:space="preserve"> </w:t>
            </w:r>
            <w:proofErr w:type="spellStart"/>
            <w:r w:rsidRPr="007E0AF4">
              <w:rPr>
                <w:sz w:val="22"/>
              </w:rPr>
              <w:t>розвитком</w:t>
            </w:r>
            <w:proofErr w:type="spellEnd"/>
            <w:r w:rsidRPr="007E0AF4">
              <w:rPr>
                <w:sz w:val="22"/>
              </w:rPr>
              <w:t xml:space="preserve"> </w:t>
            </w:r>
            <w:proofErr w:type="spellStart"/>
            <w:r w:rsidRPr="007E0AF4">
              <w:rPr>
                <w:sz w:val="22"/>
              </w:rPr>
              <w:t>громади</w:t>
            </w:r>
            <w:proofErr w:type="spellEnd"/>
            <w:r w:rsidR="005217DC" w:rsidRPr="007E0AF4">
              <w:rPr>
                <w:sz w:val="22"/>
              </w:rPr>
              <w:t>.</w:t>
            </w:r>
          </w:p>
          <w:p w:rsidR="002E3647" w:rsidRPr="007E0AF4" w:rsidRDefault="002E3647" w:rsidP="000303D7">
            <w:pPr>
              <w:pStyle w:val="a7"/>
              <w:numPr>
                <w:ilvl w:val="0"/>
                <w:numId w:val="109"/>
              </w:numPr>
              <w:ind w:left="0" w:firstLine="425"/>
              <w:rPr>
                <w:sz w:val="22"/>
              </w:rPr>
            </w:pPr>
            <w:proofErr w:type="spellStart"/>
            <w:r w:rsidRPr="007E0AF4">
              <w:rPr>
                <w:sz w:val="22"/>
              </w:rPr>
              <w:t>Створення</w:t>
            </w:r>
            <w:proofErr w:type="spellEnd"/>
            <w:r w:rsidRPr="007E0AF4">
              <w:rPr>
                <w:sz w:val="22"/>
              </w:rPr>
              <w:t xml:space="preserve"> </w:t>
            </w:r>
            <w:proofErr w:type="spellStart"/>
            <w:r w:rsidRPr="007E0AF4">
              <w:rPr>
                <w:sz w:val="22"/>
              </w:rPr>
              <w:t>нових</w:t>
            </w:r>
            <w:proofErr w:type="spellEnd"/>
            <w:r w:rsidRPr="007E0AF4">
              <w:rPr>
                <w:sz w:val="22"/>
              </w:rPr>
              <w:t xml:space="preserve"> </w:t>
            </w:r>
            <w:proofErr w:type="spellStart"/>
            <w:r w:rsidRPr="007E0AF4">
              <w:rPr>
                <w:sz w:val="22"/>
              </w:rPr>
              <w:t>робочих</w:t>
            </w:r>
            <w:proofErr w:type="spellEnd"/>
            <w:r w:rsidRPr="007E0AF4">
              <w:rPr>
                <w:sz w:val="22"/>
              </w:rPr>
              <w:t xml:space="preserve"> </w:t>
            </w:r>
            <w:proofErr w:type="spellStart"/>
            <w:r w:rsidRPr="007E0AF4">
              <w:rPr>
                <w:sz w:val="22"/>
              </w:rPr>
              <w:t>місць</w:t>
            </w:r>
            <w:proofErr w:type="spellEnd"/>
            <w:r w:rsidR="005217DC" w:rsidRPr="007E0AF4">
              <w:rPr>
                <w:sz w:val="22"/>
              </w:rPr>
              <w:t>.</w:t>
            </w:r>
          </w:p>
          <w:p w:rsidR="002E3647" w:rsidRPr="007E0AF4" w:rsidRDefault="002E3647" w:rsidP="000303D7">
            <w:pPr>
              <w:pStyle w:val="a7"/>
              <w:numPr>
                <w:ilvl w:val="0"/>
                <w:numId w:val="109"/>
              </w:numPr>
              <w:ind w:left="0" w:firstLine="425"/>
              <w:rPr>
                <w:sz w:val="22"/>
              </w:rPr>
            </w:pPr>
            <w:r w:rsidRPr="007E0AF4">
              <w:rPr>
                <w:sz w:val="22"/>
              </w:rPr>
              <w:t xml:space="preserve">Стимул для </w:t>
            </w:r>
            <w:proofErr w:type="spellStart"/>
            <w:r w:rsidRPr="007E0AF4">
              <w:rPr>
                <w:sz w:val="22"/>
              </w:rPr>
              <w:t>повернення</w:t>
            </w:r>
            <w:proofErr w:type="spellEnd"/>
            <w:r w:rsidRPr="007E0AF4">
              <w:rPr>
                <w:sz w:val="22"/>
              </w:rPr>
              <w:t xml:space="preserve"> ВПО до </w:t>
            </w:r>
            <w:proofErr w:type="spellStart"/>
            <w:r w:rsidRPr="007E0AF4">
              <w:rPr>
                <w:sz w:val="22"/>
              </w:rPr>
              <w:t>громади</w:t>
            </w:r>
            <w:proofErr w:type="spellEnd"/>
            <w:r w:rsidRPr="007E0AF4">
              <w:rPr>
                <w:sz w:val="22"/>
              </w:rPr>
              <w:t>;</w:t>
            </w:r>
          </w:p>
        </w:tc>
      </w:tr>
      <w:tr w:rsidR="002E3647" w:rsidRPr="007E0AF4" w:rsidTr="002E3647">
        <w:trPr>
          <w:trHeight w:val="390"/>
        </w:trPr>
        <w:tc>
          <w:tcPr>
            <w:tcW w:w="2978" w:type="dxa"/>
            <w:vMerge w:val="restart"/>
            <w:shd w:val="clear" w:color="auto" w:fill="C6D9F1" w:themeFill="text2" w:themeFillTint="33"/>
          </w:tcPr>
          <w:p w:rsidR="002E3647" w:rsidRPr="007E0AF4" w:rsidRDefault="002E3647" w:rsidP="001E6C97">
            <w:pPr>
              <w:pStyle w:val="a7"/>
              <w:ind w:left="0"/>
              <w:rPr>
                <w:b/>
                <w:sz w:val="22"/>
                <w:lang w:val="uk-UA"/>
              </w:rPr>
            </w:pPr>
            <w:r w:rsidRPr="007E0AF4">
              <w:rPr>
                <w:b/>
                <w:sz w:val="22"/>
                <w:lang w:val="uk-UA"/>
              </w:rPr>
              <w:t xml:space="preserve">Очікувані кількісні результати реалізації </w:t>
            </w:r>
            <w:proofErr w:type="spellStart"/>
            <w:r w:rsidRPr="007E0AF4">
              <w:rPr>
                <w:b/>
                <w:sz w:val="22"/>
                <w:lang w:val="uk-UA"/>
              </w:rPr>
              <w:t>проєкту</w:t>
            </w:r>
            <w:proofErr w:type="spellEnd"/>
            <w:r w:rsidRPr="007E0AF4">
              <w:rPr>
                <w:b/>
                <w:sz w:val="22"/>
                <w:lang w:val="uk-UA"/>
              </w:rPr>
              <w:t xml:space="preserve"> (індикатори)</w:t>
            </w:r>
          </w:p>
          <w:p w:rsidR="002E3647" w:rsidRPr="007E0AF4" w:rsidRDefault="002E3647" w:rsidP="001E6C97">
            <w:pPr>
              <w:pStyle w:val="a7"/>
              <w:ind w:left="0"/>
              <w:rPr>
                <w:b/>
                <w:sz w:val="22"/>
                <w:lang w:val="uk-UA"/>
              </w:rPr>
            </w:pPr>
          </w:p>
        </w:tc>
        <w:tc>
          <w:tcPr>
            <w:tcW w:w="3402" w:type="dxa"/>
            <w:gridSpan w:val="3"/>
            <w:tcBorders>
              <w:bottom w:val="single" w:sz="4" w:space="0" w:color="auto"/>
              <w:right w:val="single" w:sz="4" w:space="0" w:color="auto"/>
            </w:tcBorders>
          </w:tcPr>
          <w:p w:rsidR="002E3647" w:rsidRPr="007E0AF4" w:rsidRDefault="002E3647" w:rsidP="001E6C97">
            <w:pPr>
              <w:pStyle w:val="a7"/>
              <w:ind w:left="-108"/>
              <w:jc w:val="center"/>
              <w:rPr>
                <w:b/>
                <w:sz w:val="22"/>
              </w:rPr>
            </w:pPr>
            <w:proofErr w:type="spellStart"/>
            <w:r w:rsidRPr="007E0AF4">
              <w:rPr>
                <w:b/>
                <w:sz w:val="22"/>
              </w:rPr>
              <w:t>Найменування</w:t>
            </w:r>
            <w:proofErr w:type="spellEnd"/>
            <w:r w:rsidRPr="007E0AF4">
              <w:rPr>
                <w:b/>
                <w:sz w:val="22"/>
              </w:rPr>
              <w:t xml:space="preserve"> </w:t>
            </w:r>
            <w:proofErr w:type="spellStart"/>
            <w:r w:rsidRPr="007E0AF4">
              <w:rPr>
                <w:b/>
                <w:sz w:val="22"/>
              </w:rPr>
              <w:t>показника</w:t>
            </w:r>
            <w:proofErr w:type="spellEnd"/>
          </w:p>
        </w:tc>
        <w:tc>
          <w:tcPr>
            <w:tcW w:w="1701" w:type="dxa"/>
            <w:gridSpan w:val="2"/>
            <w:tcBorders>
              <w:left w:val="single" w:sz="4" w:space="0" w:color="auto"/>
              <w:bottom w:val="single" w:sz="4" w:space="0" w:color="auto"/>
              <w:right w:val="single" w:sz="4" w:space="0" w:color="auto"/>
            </w:tcBorders>
          </w:tcPr>
          <w:p w:rsidR="002E3647" w:rsidRPr="007E0AF4" w:rsidRDefault="002E3647" w:rsidP="001E6C97">
            <w:pPr>
              <w:pStyle w:val="a7"/>
              <w:ind w:left="0"/>
              <w:jc w:val="center"/>
              <w:rPr>
                <w:b/>
                <w:sz w:val="22"/>
              </w:rPr>
            </w:pPr>
            <w:proofErr w:type="spellStart"/>
            <w:r w:rsidRPr="007E0AF4">
              <w:rPr>
                <w:b/>
                <w:sz w:val="22"/>
              </w:rPr>
              <w:t>Одиниця</w:t>
            </w:r>
            <w:proofErr w:type="spellEnd"/>
            <w:r w:rsidRPr="007E0AF4">
              <w:rPr>
                <w:b/>
                <w:sz w:val="22"/>
              </w:rPr>
              <w:t xml:space="preserve"> </w:t>
            </w:r>
            <w:proofErr w:type="spellStart"/>
            <w:r w:rsidRPr="007E0AF4">
              <w:rPr>
                <w:b/>
                <w:sz w:val="22"/>
              </w:rPr>
              <w:t>вимірювання</w:t>
            </w:r>
            <w:proofErr w:type="spellEnd"/>
          </w:p>
          <w:p w:rsidR="002E3647" w:rsidRPr="007E0AF4" w:rsidRDefault="002E3647" w:rsidP="001E6C97">
            <w:pPr>
              <w:pStyle w:val="a7"/>
              <w:ind w:left="0"/>
              <w:rPr>
                <w:b/>
                <w:sz w:val="22"/>
              </w:rPr>
            </w:pPr>
          </w:p>
        </w:tc>
        <w:tc>
          <w:tcPr>
            <w:tcW w:w="1842" w:type="dxa"/>
            <w:gridSpan w:val="2"/>
            <w:tcBorders>
              <w:left w:val="single" w:sz="4" w:space="0" w:color="auto"/>
              <w:bottom w:val="single" w:sz="4" w:space="0" w:color="auto"/>
            </w:tcBorders>
          </w:tcPr>
          <w:p w:rsidR="002E3647" w:rsidRPr="007E0AF4" w:rsidRDefault="002E3647" w:rsidP="001E6C97">
            <w:pPr>
              <w:pStyle w:val="a7"/>
              <w:ind w:left="0"/>
              <w:jc w:val="center"/>
              <w:rPr>
                <w:b/>
                <w:sz w:val="22"/>
              </w:rPr>
            </w:pPr>
            <w:proofErr w:type="spellStart"/>
            <w:r w:rsidRPr="007E0AF4">
              <w:rPr>
                <w:b/>
                <w:sz w:val="22"/>
              </w:rPr>
              <w:t>Прогнозне</w:t>
            </w:r>
            <w:proofErr w:type="spellEnd"/>
            <w:r w:rsidRPr="007E0AF4">
              <w:rPr>
                <w:b/>
                <w:sz w:val="22"/>
              </w:rPr>
              <w:t xml:space="preserve"> (</w:t>
            </w:r>
            <w:proofErr w:type="spellStart"/>
            <w:r w:rsidRPr="007E0AF4">
              <w:rPr>
                <w:b/>
                <w:sz w:val="22"/>
              </w:rPr>
              <w:t>цільове</w:t>
            </w:r>
            <w:proofErr w:type="spellEnd"/>
            <w:r w:rsidRPr="007E0AF4">
              <w:rPr>
                <w:b/>
                <w:sz w:val="22"/>
              </w:rPr>
              <w:t xml:space="preserve">) </w:t>
            </w:r>
            <w:proofErr w:type="spellStart"/>
            <w:r w:rsidRPr="007E0AF4">
              <w:rPr>
                <w:b/>
                <w:sz w:val="22"/>
              </w:rPr>
              <w:t>значення</w:t>
            </w:r>
            <w:proofErr w:type="spellEnd"/>
          </w:p>
        </w:tc>
      </w:tr>
      <w:tr w:rsidR="002E3647" w:rsidRPr="007E0AF4" w:rsidTr="002E3647">
        <w:trPr>
          <w:trHeight w:val="353"/>
        </w:trPr>
        <w:tc>
          <w:tcPr>
            <w:tcW w:w="2978" w:type="dxa"/>
            <w:vMerge/>
            <w:shd w:val="clear" w:color="auto" w:fill="C6D9F1" w:themeFill="text2" w:themeFillTint="33"/>
          </w:tcPr>
          <w:p w:rsidR="002E3647" w:rsidRPr="007E0AF4" w:rsidRDefault="002E3647" w:rsidP="001E6C97">
            <w:pPr>
              <w:pStyle w:val="a7"/>
              <w:ind w:left="0"/>
              <w:rPr>
                <w:b/>
                <w:sz w:val="22"/>
              </w:rPr>
            </w:pPr>
          </w:p>
        </w:tc>
        <w:tc>
          <w:tcPr>
            <w:tcW w:w="3402" w:type="dxa"/>
            <w:gridSpan w:val="3"/>
            <w:tcBorders>
              <w:top w:val="single" w:sz="4" w:space="0" w:color="auto"/>
              <w:bottom w:val="single" w:sz="4" w:space="0" w:color="auto"/>
              <w:right w:val="single" w:sz="4" w:space="0" w:color="auto"/>
            </w:tcBorders>
          </w:tcPr>
          <w:p w:rsidR="002E3647" w:rsidRPr="007E0AF4" w:rsidRDefault="002E3647" w:rsidP="001E6C97">
            <w:pPr>
              <w:pStyle w:val="a7"/>
              <w:ind w:left="0"/>
              <w:rPr>
                <w:sz w:val="22"/>
              </w:rPr>
            </w:pPr>
            <w:proofErr w:type="spellStart"/>
            <w:r w:rsidRPr="007E0AF4">
              <w:rPr>
                <w:sz w:val="22"/>
              </w:rPr>
              <w:t>Кількість</w:t>
            </w:r>
            <w:proofErr w:type="spellEnd"/>
            <w:r w:rsidRPr="007E0AF4">
              <w:rPr>
                <w:sz w:val="22"/>
              </w:rPr>
              <w:t xml:space="preserve"> </w:t>
            </w:r>
            <w:proofErr w:type="spellStart"/>
            <w:r w:rsidRPr="007E0AF4">
              <w:rPr>
                <w:sz w:val="22"/>
              </w:rPr>
              <w:t>учнів</w:t>
            </w:r>
            <w:proofErr w:type="spellEnd"/>
          </w:p>
        </w:tc>
        <w:tc>
          <w:tcPr>
            <w:tcW w:w="1701" w:type="dxa"/>
            <w:gridSpan w:val="2"/>
            <w:tcBorders>
              <w:top w:val="single" w:sz="4" w:space="0" w:color="auto"/>
              <w:left w:val="single" w:sz="4" w:space="0" w:color="auto"/>
              <w:bottom w:val="single" w:sz="4" w:space="0" w:color="auto"/>
              <w:right w:val="single" w:sz="4" w:space="0" w:color="auto"/>
            </w:tcBorders>
            <w:vAlign w:val="center"/>
          </w:tcPr>
          <w:p w:rsidR="002E3647" w:rsidRPr="007E0AF4" w:rsidRDefault="002E3647" w:rsidP="001E6C97">
            <w:pPr>
              <w:pStyle w:val="a7"/>
              <w:ind w:left="0"/>
              <w:jc w:val="center"/>
              <w:rPr>
                <w:sz w:val="22"/>
              </w:rPr>
            </w:pPr>
            <w:proofErr w:type="spellStart"/>
            <w:r w:rsidRPr="007E0AF4">
              <w:rPr>
                <w:sz w:val="22"/>
              </w:rPr>
              <w:t>осіб</w:t>
            </w:r>
            <w:proofErr w:type="spellEnd"/>
          </w:p>
        </w:tc>
        <w:tc>
          <w:tcPr>
            <w:tcW w:w="1842" w:type="dxa"/>
            <w:gridSpan w:val="2"/>
            <w:tcBorders>
              <w:top w:val="single" w:sz="4" w:space="0" w:color="auto"/>
              <w:left w:val="single" w:sz="4" w:space="0" w:color="auto"/>
              <w:bottom w:val="single" w:sz="4" w:space="0" w:color="auto"/>
            </w:tcBorders>
          </w:tcPr>
          <w:p w:rsidR="002E3647" w:rsidRPr="007E0AF4" w:rsidRDefault="002E3647" w:rsidP="001E6C97">
            <w:pPr>
              <w:pStyle w:val="a7"/>
              <w:ind w:left="0"/>
              <w:jc w:val="center"/>
              <w:rPr>
                <w:sz w:val="22"/>
              </w:rPr>
            </w:pPr>
            <w:r w:rsidRPr="007E0AF4">
              <w:rPr>
                <w:sz w:val="22"/>
              </w:rPr>
              <w:t>1380</w:t>
            </w:r>
          </w:p>
          <w:p w:rsidR="002E3647" w:rsidRPr="007E0AF4" w:rsidRDefault="002E3647" w:rsidP="001E6C97">
            <w:pPr>
              <w:pStyle w:val="a7"/>
              <w:ind w:left="0"/>
              <w:jc w:val="center"/>
              <w:rPr>
                <w:b/>
                <w:sz w:val="22"/>
              </w:rPr>
            </w:pPr>
          </w:p>
        </w:tc>
      </w:tr>
      <w:tr w:rsidR="002E3647" w:rsidRPr="007E0AF4" w:rsidTr="002E3647">
        <w:trPr>
          <w:trHeight w:val="184"/>
        </w:trPr>
        <w:tc>
          <w:tcPr>
            <w:tcW w:w="2978" w:type="dxa"/>
            <w:vMerge/>
            <w:shd w:val="clear" w:color="auto" w:fill="C6D9F1" w:themeFill="text2" w:themeFillTint="33"/>
          </w:tcPr>
          <w:p w:rsidR="002E3647" w:rsidRPr="007E0AF4" w:rsidRDefault="002E3647" w:rsidP="001E6C97">
            <w:pPr>
              <w:pStyle w:val="a7"/>
              <w:ind w:left="0"/>
              <w:rPr>
                <w:b/>
                <w:sz w:val="22"/>
              </w:rPr>
            </w:pPr>
          </w:p>
        </w:tc>
        <w:tc>
          <w:tcPr>
            <w:tcW w:w="3402" w:type="dxa"/>
            <w:gridSpan w:val="3"/>
            <w:tcBorders>
              <w:top w:val="single" w:sz="4" w:space="0" w:color="auto"/>
              <w:bottom w:val="single" w:sz="4" w:space="0" w:color="auto"/>
              <w:right w:val="single" w:sz="4" w:space="0" w:color="auto"/>
            </w:tcBorders>
          </w:tcPr>
          <w:p w:rsidR="002E3647" w:rsidRPr="007E0AF4" w:rsidRDefault="002E3647" w:rsidP="001E6C97">
            <w:pPr>
              <w:pStyle w:val="a7"/>
              <w:ind w:left="0"/>
              <w:rPr>
                <w:sz w:val="22"/>
              </w:rPr>
            </w:pPr>
            <w:r w:rsidRPr="007E0AF4">
              <w:rPr>
                <w:sz w:val="22"/>
              </w:rPr>
              <w:t xml:space="preserve">уроки, </w:t>
            </w:r>
            <w:proofErr w:type="spellStart"/>
            <w:r w:rsidRPr="007E0AF4">
              <w:rPr>
                <w:sz w:val="22"/>
              </w:rPr>
              <w:t>спортивні</w:t>
            </w:r>
            <w:proofErr w:type="spellEnd"/>
            <w:r w:rsidRPr="007E0AF4">
              <w:rPr>
                <w:sz w:val="22"/>
              </w:rPr>
              <w:t xml:space="preserve"> </w:t>
            </w:r>
            <w:proofErr w:type="spellStart"/>
            <w:r w:rsidRPr="007E0AF4">
              <w:rPr>
                <w:sz w:val="22"/>
              </w:rPr>
              <w:t>секції</w:t>
            </w:r>
            <w:proofErr w:type="spellEnd"/>
            <w:r w:rsidRPr="007E0AF4">
              <w:rPr>
                <w:sz w:val="22"/>
              </w:rPr>
              <w:t>,</w:t>
            </w:r>
          </w:p>
          <w:p w:rsidR="002E3647" w:rsidRPr="007E0AF4" w:rsidRDefault="002E3647" w:rsidP="001E6C97">
            <w:pPr>
              <w:pStyle w:val="a7"/>
              <w:ind w:left="0"/>
              <w:rPr>
                <w:sz w:val="22"/>
              </w:rPr>
            </w:pPr>
            <w:proofErr w:type="spellStart"/>
            <w:r w:rsidRPr="007E0AF4">
              <w:rPr>
                <w:sz w:val="22"/>
              </w:rPr>
              <w:t>інші</w:t>
            </w:r>
            <w:proofErr w:type="spellEnd"/>
            <w:r w:rsidRPr="007E0AF4">
              <w:rPr>
                <w:sz w:val="22"/>
              </w:rPr>
              <w:t xml:space="preserve"> заходи (в год.)</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2E3647" w:rsidRPr="007E0AF4" w:rsidRDefault="002E3647" w:rsidP="001E6C97">
            <w:pPr>
              <w:pStyle w:val="a7"/>
              <w:ind w:left="0"/>
              <w:jc w:val="center"/>
              <w:rPr>
                <w:sz w:val="22"/>
              </w:rPr>
            </w:pPr>
            <w:proofErr w:type="spellStart"/>
            <w:r w:rsidRPr="007E0AF4">
              <w:rPr>
                <w:sz w:val="22"/>
              </w:rPr>
              <w:t>одиниць</w:t>
            </w:r>
            <w:proofErr w:type="spellEnd"/>
          </w:p>
        </w:tc>
        <w:tc>
          <w:tcPr>
            <w:tcW w:w="1842" w:type="dxa"/>
            <w:gridSpan w:val="2"/>
            <w:tcBorders>
              <w:top w:val="single" w:sz="4" w:space="0" w:color="auto"/>
              <w:left w:val="single" w:sz="4" w:space="0" w:color="auto"/>
              <w:bottom w:val="single" w:sz="4" w:space="0" w:color="auto"/>
            </w:tcBorders>
          </w:tcPr>
          <w:p w:rsidR="002E3647" w:rsidRPr="007E0AF4" w:rsidRDefault="002E3647" w:rsidP="001E6C97">
            <w:pPr>
              <w:pStyle w:val="a7"/>
              <w:ind w:left="0"/>
              <w:jc w:val="center"/>
              <w:rPr>
                <w:sz w:val="22"/>
              </w:rPr>
            </w:pPr>
            <w:r w:rsidRPr="007E0AF4">
              <w:rPr>
                <w:sz w:val="22"/>
              </w:rPr>
              <w:t>12</w:t>
            </w:r>
          </w:p>
        </w:tc>
      </w:tr>
      <w:tr w:rsidR="002E3647" w:rsidRPr="007E0AF4" w:rsidTr="002E3647">
        <w:trPr>
          <w:trHeight w:val="150"/>
        </w:trPr>
        <w:tc>
          <w:tcPr>
            <w:tcW w:w="2978" w:type="dxa"/>
            <w:vMerge/>
            <w:shd w:val="clear" w:color="auto" w:fill="C6D9F1" w:themeFill="text2" w:themeFillTint="33"/>
          </w:tcPr>
          <w:p w:rsidR="002E3647" w:rsidRPr="007E0AF4" w:rsidRDefault="002E3647" w:rsidP="001E6C97">
            <w:pPr>
              <w:pStyle w:val="a7"/>
              <w:ind w:left="0"/>
              <w:rPr>
                <w:b/>
                <w:sz w:val="22"/>
              </w:rPr>
            </w:pPr>
          </w:p>
        </w:tc>
        <w:tc>
          <w:tcPr>
            <w:tcW w:w="3402" w:type="dxa"/>
            <w:gridSpan w:val="3"/>
            <w:tcBorders>
              <w:top w:val="single" w:sz="4" w:space="0" w:color="auto"/>
              <w:right w:val="single" w:sz="4" w:space="0" w:color="auto"/>
            </w:tcBorders>
          </w:tcPr>
          <w:p w:rsidR="002E3647" w:rsidRPr="007E0AF4" w:rsidRDefault="002E3647" w:rsidP="001E6C97">
            <w:pPr>
              <w:pStyle w:val="a7"/>
              <w:ind w:left="0"/>
              <w:rPr>
                <w:sz w:val="22"/>
              </w:rPr>
            </w:pPr>
            <w:proofErr w:type="spellStart"/>
            <w:r w:rsidRPr="007E0AF4">
              <w:rPr>
                <w:sz w:val="22"/>
              </w:rPr>
              <w:t>Термін</w:t>
            </w:r>
            <w:proofErr w:type="spellEnd"/>
            <w:r w:rsidRPr="007E0AF4">
              <w:rPr>
                <w:sz w:val="22"/>
              </w:rPr>
              <w:t xml:space="preserve"> </w:t>
            </w:r>
            <w:proofErr w:type="spellStart"/>
            <w:r w:rsidRPr="007E0AF4">
              <w:rPr>
                <w:sz w:val="22"/>
              </w:rPr>
              <w:t>надання</w:t>
            </w:r>
            <w:proofErr w:type="spellEnd"/>
            <w:r w:rsidRPr="007E0AF4">
              <w:rPr>
                <w:sz w:val="22"/>
              </w:rPr>
              <w:t xml:space="preserve"> </w:t>
            </w:r>
            <w:proofErr w:type="spellStart"/>
            <w:r w:rsidRPr="007E0AF4">
              <w:rPr>
                <w:sz w:val="22"/>
              </w:rPr>
              <w:t>послуги</w:t>
            </w:r>
            <w:proofErr w:type="spellEnd"/>
          </w:p>
        </w:tc>
        <w:tc>
          <w:tcPr>
            <w:tcW w:w="1701" w:type="dxa"/>
            <w:gridSpan w:val="2"/>
            <w:tcBorders>
              <w:top w:val="single" w:sz="4" w:space="0" w:color="auto"/>
              <w:left w:val="single" w:sz="4" w:space="0" w:color="auto"/>
              <w:right w:val="single" w:sz="4" w:space="0" w:color="auto"/>
            </w:tcBorders>
            <w:vAlign w:val="center"/>
          </w:tcPr>
          <w:p w:rsidR="002E3647" w:rsidRPr="007E0AF4" w:rsidRDefault="002E3647" w:rsidP="001E6C97">
            <w:pPr>
              <w:pStyle w:val="a7"/>
              <w:ind w:left="0"/>
              <w:jc w:val="center"/>
              <w:rPr>
                <w:sz w:val="22"/>
              </w:rPr>
            </w:pPr>
            <w:r w:rsidRPr="007E0AF4">
              <w:rPr>
                <w:sz w:val="22"/>
              </w:rPr>
              <w:t>день</w:t>
            </w:r>
          </w:p>
        </w:tc>
        <w:tc>
          <w:tcPr>
            <w:tcW w:w="1842" w:type="dxa"/>
            <w:gridSpan w:val="2"/>
            <w:tcBorders>
              <w:top w:val="single" w:sz="4" w:space="0" w:color="auto"/>
              <w:left w:val="single" w:sz="4" w:space="0" w:color="auto"/>
            </w:tcBorders>
          </w:tcPr>
          <w:p w:rsidR="002E3647" w:rsidRPr="007E0AF4" w:rsidRDefault="002E3647" w:rsidP="001E6C97">
            <w:pPr>
              <w:pStyle w:val="a7"/>
              <w:ind w:left="0"/>
              <w:jc w:val="center"/>
              <w:rPr>
                <w:sz w:val="22"/>
              </w:rPr>
            </w:pPr>
            <w:r w:rsidRPr="007E0AF4">
              <w:rPr>
                <w:sz w:val="22"/>
              </w:rPr>
              <w:t>365</w:t>
            </w:r>
          </w:p>
        </w:tc>
      </w:tr>
      <w:tr w:rsidR="002E3647" w:rsidRPr="007E0AF4" w:rsidTr="002E3647">
        <w:trPr>
          <w:trHeight w:val="150"/>
        </w:trPr>
        <w:tc>
          <w:tcPr>
            <w:tcW w:w="2978" w:type="dxa"/>
            <w:shd w:val="clear" w:color="auto" w:fill="C6D9F1" w:themeFill="text2" w:themeFillTint="33"/>
          </w:tcPr>
          <w:p w:rsidR="002E3647" w:rsidRPr="007E0AF4" w:rsidRDefault="002E3647" w:rsidP="001E6C97">
            <w:pPr>
              <w:pStyle w:val="a7"/>
              <w:ind w:left="0"/>
              <w:rPr>
                <w:b/>
                <w:sz w:val="22"/>
              </w:rPr>
            </w:pPr>
          </w:p>
        </w:tc>
        <w:tc>
          <w:tcPr>
            <w:tcW w:w="3402" w:type="dxa"/>
            <w:gridSpan w:val="3"/>
            <w:tcBorders>
              <w:top w:val="single" w:sz="4" w:space="0" w:color="auto"/>
              <w:right w:val="single" w:sz="4" w:space="0" w:color="auto"/>
            </w:tcBorders>
          </w:tcPr>
          <w:p w:rsidR="002E3647" w:rsidRPr="007E0AF4" w:rsidRDefault="002E3647" w:rsidP="005217DC">
            <w:pPr>
              <w:pStyle w:val="a7"/>
              <w:ind w:left="0"/>
              <w:rPr>
                <w:sz w:val="22"/>
              </w:rPr>
            </w:pPr>
            <w:proofErr w:type="spellStart"/>
            <w:r w:rsidRPr="007E0AF4">
              <w:rPr>
                <w:sz w:val="22"/>
              </w:rPr>
              <w:t>Кількість</w:t>
            </w:r>
            <w:proofErr w:type="spellEnd"/>
            <w:r w:rsidRPr="007E0AF4">
              <w:rPr>
                <w:sz w:val="22"/>
              </w:rPr>
              <w:t xml:space="preserve"> </w:t>
            </w:r>
            <w:proofErr w:type="spellStart"/>
            <w:r w:rsidRPr="007E0AF4">
              <w:rPr>
                <w:sz w:val="22"/>
              </w:rPr>
              <w:t>населених</w:t>
            </w:r>
            <w:proofErr w:type="spellEnd"/>
            <w:r w:rsidRPr="007E0AF4">
              <w:rPr>
                <w:sz w:val="22"/>
              </w:rPr>
              <w:t xml:space="preserve"> </w:t>
            </w:r>
            <w:proofErr w:type="spellStart"/>
            <w:r w:rsidRPr="007E0AF4">
              <w:rPr>
                <w:sz w:val="22"/>
              </w:rPr>
              <w:t>пунктів</w:t>
            </w:r>
            <w:proofErr w:type="spellEnd"/>
            <w:r w:rsidRPr="007E0AF4">
              <w:rPr>
                <w:sz w:val="22"/>
              </w:rPr>
              <w:t xml:space="preserve">, </w:t>
            </w:r>
            <w:proofErr w:type="spellStart"/>
            <w:r w:rsidRPr="007E0AF4">
              <w:rPr>
                <w:sz w:val="22"/>
              </w:rPr>
              <w:t>як</w:t>
            </w:r>
            <w:r w:rsidR="005217DC" w:rsidRPr="007E0AF4">
              <w:rPr>
                <w:sz w:val="22"/>
              </w:rPr>
              <w:t>і</w:t>
            </w:r>
            <w:proofErr w:type="spellEnd"/>
            <w:r w:rsidRPr="007E0AF4">
              <w:rPr>
                <w:sz w:val="22"/>
              </w:rPr>
              <w:t xml:space="preserve"> </w:t>
            </w:r>
            <w:proofErr w:type="spellStart"/>
            <w:r w:rsidRPr="007E0AF4">
              <w:rPr>
                <w:sz w:val="22"/>
              </w:rPr>
              <w:t>обслуговує</w:t>
            </w:r>
            <w:proofErr w:type="spellEnd"/>
            <w:r w:rsidRPr="007E0AF4">
              <w:rPr>
                <w:sz w:val="22"/>
              </w:rPr>
              <w:t xml:space="preserve"> </w:t>
            </w:r>
            <w:r w:rsidR="005217DC" w:rsidRPr="007E0AF4">
              <w:rPr>
                <w:sz w:val="22"/>
              </w:rPr>
              <w:t>заклад</w:t>
            </w:r>
          </w:p>
        </w:tc>
        <w:tc>
          <w:tcPr>
            <w:tcW w:w="1701" w:type="dxa"/>
            <w:gridSpan w:val="2"/>
            <w:tcBorders>
              <w:top w:val="single" w:sz="4" w:space="0" w:color="auto"/>
              <w:left w:val="single" w:sz="4" w:space="0" w:color="auto"/>
              <w:right w:val="single" w:sz="4" w:space="0" w:color="auto"/>
            </w:tcBorders>
            <w:vAlign w:val="center"/>
          </w:tcPr>
          <w:p w:rsidR="002E3647" w:rsidRPr="007E0AF4" w:rsidRDefault="002E3647" w:rsidP="001E6C97">
            <w:pPr>
              <w:pStyle w:val="a7"/>
              <w:ind w:left="0"/>
              <w:jc w:val="center"/>
              <w:rPr>
                <w:sz w:val="22"/>
              </w:rPr>
            </w:pPr>
            <w:proofErr w:type="spellStart"/>
            <w:r w:rsidRPr="007E0AF4">
              <w:rPr>
                <w:sz w:val="22"/>
              </w:rPr>
              <w:t>одиниць</w:t>
            </w:r>
            <w:proofErr w:type="spellEnd"/>
          </w:p>
        </w:tc>
        <w:tc>
          <w:tcPr>
            <w:tcW w:w="1842" w:type="dxa"/>
            <w:gridSpan w:val="2"/>
            <w:tcBorders>
              <w:top w:val="single" w:sz="4" w:space="0" w:color="auto"/>
              <w:left w:val="single" w:sz="4" w:space="0" w:color="auto"/>
            </w:tcBorders>
          </w:tcPr>
          <w:p w:rsidR="002E3647" w:rsidRPr="007E0AF4" w:rsidRDefault="002E3647" w:rsidP="001E6C97">
            <w:pPr>
              <w:pStyle w:val="a7"/>
              <w:ind w:left="0"/>
              <w:jc w:val="center"/>
              <w:rPr>
                <w:sz w:val="22"/>
              </w:rPr>
            </w:pPr>
            <w:r w:rsidRPr="007E0AF4">
              <w:rPr>
                <w:sz w:val="22"/>
              </w:rPr>
              <w:t>1</w:t>
            </w:r>
          </w:p>
        </w:tc>
      </w:tr>
      <w:tr w:rsidR="002E3647" w:rsidRPr="007E0AF4" w:rsidTr="002E3647">
        <w:tc>
          <w:tcPr>
            <w:tcW w:w="2978" w:type="dxa"/>
            <w:shd w:val="clear" w:color="auto" w:fill="C6D9F1" w:themeFill="text2" w:themeFillTint="33"/>
          </w:tcPr>
          <w:p w:rsidR="002E3647" w:rsidRPr="007E0AF4" w:rsidRDefault="002E3647" w:rsidP="001E6C97">
            <w:pPr>
              <w:rPr>
                <w:b/>
                <w:sz w:val="22"/>
              </w:rPr>
            </w:pPr>
            <w:proofErr w:type="spellStart"/>
            <w:r w:rsidRPr="007E0AF4">
              <w:rPr>
                <w:b/>
                <w:sz w:val="22"/>
              </w:rPr>
              <w:t>Ключові</w:t>
            </w:r>
            <w:proofErr w:type="spellEnd"/>
            <w:r w:rsidRPr="007E0AF4">
              <w:rPr>
                <w:b/>
                <w:sz w:val="22"/>
              </w:rPr>
              <w:t xml:space="preserve"> заходи проекту: </w:t>
            </w:r>
          </w:p>
          <w:p w:rsidR="002E3647" w:rsidRPr="007E0AF4" w:rsidRDefault="002E3647" w:rsidP="001E6C97">
            <w:pPr>
              <w:pStyle w:val="a7"/>
              <w:ind w:left="0"/>
              <w:rPr>
                <w:b/>
                <w:sz w:val="22"/>
              </w:rPr>
            </w:pPr>
          </w:p>
        </w:tc>
        <w:tc>
          <w:tcPr>
            <w:tcW w:w="6945" w:type="dxa"/>
            <w:gridSpan w:val="7"/>
          </w:tcPr>
          <w:p w:rsidR="002E3647" w:rsidRPr="007E0AF4" w:rsidRDefault="002E3647" w:rsidP="000303D7">
            <w:pPr>
              <w:pStyle w:val="a7"/>
              <w:numPr>
                <w:ilvl w:val="0"/>
                <w:numId w:val="110"/>
              </w:numPr>
              <w:rPr>
                <w:sz w:val="22"/>
              </w:rPr>
            </w:pPr>
            <w:proofErr w:type="spellStart"/>
            <w:r w:rsidRPr="007E0AF4">
              <w:rPr>
                <w:sz w:val="22"/>
              </w:rPr>
              <w:lastRenderedPageBreak/>
              <w:t>Обстеження</w:t>
            </w:r>
            <w:proofErr w:type="spellEnd"/>
            <w:r w:rsidRPr="007E0AF4">
              <w:rPr>
                <w:sz w:val="22"/>
              </w:rPr>
              <w:t xml:space="preserve"> стану спортивного </w:t>
            </w:r>
            <w:proofErr w:type="spellStart"/>
            <w:r w:rsidRPr="007E0AF4">
              <w:rPr>
                <w:sz w:val="22"/>
              </w:rPr>
              <w:t>стадіону</w:t>
            </w:r>
            <w:proofErr w:type="spellEnd"/>
            <w:r w:rsidRPr="007E0AF4">
              <w:rPr>
                <w:sz w:val="22"/>
              </w:rPr>
              <w:t xml:space="preserve"> закладу </w:t>
            </w:r>
            <w:proofErr w:type="spellStart"/>
            <w:r w:rsidRPr="007E0AF4">
              <w:rPr>
                <w:sz w:val="22"/>
              </w:rPr>
              <w:t>освіти</w:t>
            </w:r>
            <w:proofErr w:type="spellEnd"/>
            <w:r w:rsidR="005217DC" w:rsidRPr="007E0AF4">
              <w:rPr>
                <w:sz w:val="22"/>
              </w:rPr>
              <w:t>.</w:t>
            </w:r>
          </w:p>
          <w:p w:rsidR="002E3647" w:rsidRPr="007E0AF4" w:rsidRDefault="002E3647" w:rsidP="000303D7">
            <w:pPr>
              <w:pStyle w:val="a7"/>
              <w:numPr>
                <w:ilvl w:val="0"/>
                <w:numId w:val="110"/>
              </w:numPr>
              <w:rPr>
                <w:sz w:val="22"/>
              </w:rPr>
            </w:pPr>
            <w:proofErr w:type="spellStart"/>
            <w:r w:rsidRPr="007E0AF4">
              <w:rPr>
                <w:sz w:val="22"/>
              </w:rPr>
              <w:lastRenderedPageBreak/>
              <w:t>Проведення</w:t>
            </w:r>
            <w:proofErr w:type="spellEnd"/>
            <w:r w:rsidRPr="007E0AF4">
              <w:rPr>
                <w:sz w:val="22"/>
              </w:rPr>
              <w:t xml:space="preserve"> </w:t>
            </w:r>
            <w:proofErr w:type="spellStart"/>
            <w:r w:rsidRPr="007E0AF4">
              <w:rPr>
                <w:sz w:val="22"/>
              </w:rPr>
              <w:t>інвентаризації</w:t>
            </w:r>
            <w:proofErr w:type="spellEnd"/>
            <w:r w:rsidRPr="007E0AF4">
              <w:rPr>
                <w:sz w:val="22"/>
              </w:rPr>
              <w:t xml:space="preserve"> </w:t>
            </w:r>
            <w:proofErr w:type="spellStart"/>
            <w:r w:rsidRPr="007E0AF4">
              <w:rPr>
                <w:sz w:val="22"/>
              </w:rPr>
              <w:t>основних</w:t>
            </w:r>
            <w:proofErr w:type="spellEnd"/>
            <w:r w:rsidRPr="007E0AF4">
              <w:rPr>
                <w:sz w:val="22"/>
              </w:rPr>
              <w:t xml:space="preserve"> </w:t>
            </w:r>
            <w:proofErr w:type="spellStart"/>
            <w:r w:rsidRPr="007E0AF4">
              <w:rPr>
                <w:sz w:val="22"/>
              </w:rPr>
              <w:t>фондів</w:t>
            </w:r>
            <w:proofErr w:type="spellEnd"/>
            <w:r w:rsidRPr="007E0AF4">
              <w:rPr>
                <w:sz w:val="22"/>
              </w:rPr>
              <w:t xml:space="preserve"> на момент </w:t>
            </w:r>
            <w:proofErr w:type="spellStart"/>
            <w:r w:rsidRPr="007E0AF4">
              <w:rPr>
                <w:sz w:val="22"/>
              </w:rPr>
              <w:t>обстеження</w:t>
            </w:r>
            <w:proofErr w:type="spellEnd"/>
            <w:r w:rsidR="005217DC" w:rsidRPr="007E0AF4">
              <w:rPr>
                <w:sz w:val="22"/>
              </w:rPr>
              <w:t>.</w:t>
            </w:r>
          </w:p>
          <w:p w:rsidR="002E3647" w:rsidRPr="007E0AF4" w:rsidRDefault="002E3647" w:rsidP="000303D7">
            <w:pPr>
              <w:pStyle w:val="a7"/>
              <w:numPr>
                <w:ilvl w:val="0"/>
                <w:numId w:val="110"/>
              </w:numPr>
              <w:rPr>
                <w:sz w:val="22"/>
              </w:rPr>
            </w:pPr>
            <w:proofErr w:type="spellStart"/>
            <w:r w:rsidRPr="007E0AF4">
              <w:rPr>
                <w:sz w:val="22"/>
              </w:rPr>
              <w:t>Створення</w:t>
            </w:r>
            <w:proofErr w:type="spellEnd"/>
            <w:r w:rsidRPr="007E0AF4">
              <w:rPr>
                <w:sz w:val="22"/>
              </w:rPr>
              <w:t xml:space="preserve"> </w:t>
            </w:r>
            <w:proofErr w:type="spellStart"/>
            <w:r w:rsidRPr="007E0AF4">
              <w:rPr>
                <w:sz w:val="22"/>
              </w:rPr>
              <w:t>про</w:t>
            </w:r>
            <w:r w:rsidR="005217DC" w:rsidRPr="007E0AF4">
              <w:rPr>
                <w:sz w:val="22"/>
              </w:rPr>
              <w:t>є</w:t>
            </w:r>
            <w:r w:rsidRPr="007E0AF4">
              <w:rPr>
                <w:sz w:val="22"/>
              </w:rPr>
              <w:t>ктно-кошторисної</w:t>
            </w:r>
            <w:proofErr w:type="spellEnd"/>
            <w:r w:rsidRPr="007E0AF4">
              <w:rPr>
                <w:sz w:val="22"/>
              </w:rPr>
              <w:t xml:space="preserve"> </w:t>
            </w:r>
            <w:proofErr w:type="spellStart"/>
            <w:r w:rsidRPr="007E0AF4">
              <w:rPr>
                <w:sz w:val="22"/>
              </w:rPr>
              <w:t>документації</w:t>
            </w:r>
            <w:proofErr w:type="spellEnd"/>
            <w:r w:rsidRPr="007E0AF4">
              <w:rPr>
                <w:sz w:val="22"/>
              </w:rPr>
              <w:t xml:space="preserve">, </w:t>
            </w:r>
            <w:proofErr w:type="spellStart"/>
            <w:r w:rsidRPr="007E0AF4">
              <w:rPr>
                <w:sz w:val="22"/>
              </w:rPr>
              <w:t>пов’язаної</w:t>
            </w:r>
            <w:proofErr w:type="spellEnd"/>
            <w:r w:rsidRPr="007E0AF4">
              <w:rPr>
                <w:sz w:val="22"/>
              </w:rPr>
              <w:t xml:space="preserve"> з </w:t>
            </w:r>
            <w:proofErr w:type="spellStart"/>
            <w:r w:rsidRPr="007E0AF4">
              <w:rPr>
                <w:sz w:val="22"/>
              </w:rPr>
              <w:t>реалізацією</w:t>
            </w:r>
            <w:proofErr w:type="spellEnd"/>
            <w:r w:rsidRPr="007E0AF4">
              <w:rPr>
                <w:sz w:val="22"/>
              </w:rPr>
              <w:t xml:space="preserve"> </w:t>
            </w:r>
            <w:proofErr w:type="spellStart"/>
            <w:r w:rsidRPr="007E0AF4">
              <w:rPr>
                <w:sz w:val="22"/>
              </w:rPr>
              <w:t>даного</w:t>
            </w:r>
            <w:proofErr w:type="spellEnd"/>
            <w:r w:rsidRPr="007E0AF4">
              <w:rPr>
                <w:sz w:val="22"/>
              </w:rPr>
              <w:t xml:space="preserve"> </w:t>
            </w:r>
            <w:proofErr w:type="spellStart"/>
            <w:r w:rsidRPr="007E0AF4">
              <w:rPr>
                <w:sz w:val="22"/>
              </w:rPr>
              <w:t>проєкту</w:t>
            </w:r>
            <w:proofErr w:type="spellEnd"/>
            <w:r w:rsidR="005217DC" w:rsidRPr="007E0AF4">
              <w:rPr>
                <w:sz w:val="22"/>
              </w:rPr>
              <w:t>.</w:t>
            </w:r>
          </w:p>
          <w:p w:rsidR="002E3647" w:rsidRPr="007E0AF4" w:rsidRDefault="002E3647" w:rsidP="000303D7">
            <w:pPr>
              <w:pStyle w:val="a7"/>
              <w:numPr>
                <w:ilvl w:val="0"/>
                <w:numId w:val="110"/>
              </w:numPr>
              <w:rPr>
                <w:sz w:val="22"/>
              </w:rPr>
            </w:pPr>
            <w:proofErr w:type="spellStart"/>
            <w:r w:rsidRPr="007E0AF4">
              <w:rPr>
                <w:sz w:val="22"/>
              </w:rPr>
              <w:t>Придбання</w:t>
            </w:r>
            <w:proofErr w:type="spellEnd"/>
            <w:r w:rsidRPr="007E0AF4">
              <w:rPr>
                <w:sz w:val="22"/>
              </w:rPr>
              <w:t xml:space="preserve"> спортивного </w:t>
            </w:r>
            <w:proofErr w:type="spellStart"/>
            <w:r w:rsidRPr="007E0AF4">
              <w:rPr>
                <w:sz w:val="22"/>
              </w:rPr>
              <w:t>обладнання</w:t>
            </w:r>
            <w:proofErr w:type="spellEnd"/>
            <w:r w:rsidRPr="007E0AF4">
              <w:rPr>
                <w:sz w:val="22"/>
              </w:rPr>
              <w:t xml:space="preserve">, </w:t>
            </w:r>
            <w:proofErr w:type="spellStart"/>
            <w:r w:rsidRPr="007E0AF4">
              <w:rPr>
                <w:sz w:val="22"/>
              </w:rPr>
              <w:t>будівельних</w:t>
            </w:r>
            <w:proofErr w:type="spellEnd"/>
            <w:r w:rsidRPr="007E0AF4">
              <w:rPr>
                <w:sz w:val="22"/>
              </w:rPr>
              <w:t xml:space="preserve"> </w:t>
            </w:r>
            <w:proofErr w:type="spellStart"/>
            <w:r w:rsidRPr="007E0AF4">
              <w:rPr>
                <w:sz w:val="22"/>
              </w:rPr>
              <w:t>матеріалів</w:t>
            </w:r>
            <w:proofErr w:type="spellEnd"/>
            <w:r w:rsidRPr="007E0AF4">
              <w:rPr>
                <w:sz w:val="22"/>
              </w:rPr>
              <w:t xml:space="preserve"> та </w:t>
            </w:r>
            <w:proofErr w:type="spellStart"/>
            <w:r w:rsidRPr="007E0AF4">
              <w:rPr>
                <w:sz w:val="22"/>
              </w:rPr>
              <w:t>інших</w:t>
            </w:r>
            <w:proofErr w:type="spellEnd"/>
            <w:r w:rsidRPr="007E0AF4">
              <w:rPr>
                <w:sz w:val="22"/>
              </w:rPr>
              <w:t xml:space="preserve"> </w:t>
            </w:r>
            <w:proofErr w:type="spellStart"/>
            <w:r w:rsidRPr="007E0AF4">
              <w:rPr>
                <w:sz w:val="22"/>
              </w:rPr>
              <w:t>необхідних</w:t>
            </w:r>
            <w:proofErr w:type="spellEnd"/>
            <w:r w:rsidRPr="007E0AF4">
              <w:rPr>
                <w:sz w:val="22"/>
              </w:rPr>
              <w:t xml:space="preserve"> </w:t>
            </w:r>
            <w:proofErr w:type="spellStart"/>
            <w:r w:rsidRPr="007E0AF4">
              <w:rPr>
                <w:sz w:val="22"/>
              </w:rPr>
              <w:t>засобів</w:t>
            </w:r>
            <w:proofErr w:type="spellEnd"/>
            <w:r w:rsidR="005217DC" w:rsidRPr="007E0AF4">
              <w:rPr>
                <w:sz w:val="22"/>
              </w:rPr>
              <w:t>.</w:t>
            </w:r>
          </w:p>
          <w:p w:rsidR="002E3647" w:rsidRPr="007E0AF4" w:rsidRDefault="002E3647" w:rsidP="000303D7">
            <w:pPr>
              <w:pStyle w:val="a7"/>
              <w:numPr>
                <w:ilvl w:val="0"/>
                <w:numId w:val="110"/>
              </w:numPr>
              <w:rPr>
                <w:sz w:val="22"/>
              </w:rPr>
            </w:pPr>
            <w:proofErr w:type="spellStart"/>
            <w:r w:rsidRPr="007E0AF4">
              <w:rPr>
                <w:sz w:val="22"/>
              </w:rPr>
              <w:t>Виконання</w:t>
            </w:r>
            <w:proofErr w:type="spellEnd"/>
            <w:r w:rsidRPr="007E0AF4">
              <w:rPr>
                <w:sz w:val="22"/>
              </w:rPr>
              <w:t xml:space="preserve"> </w:t>
            </w:r>
            <w:proofErr w:type="spellStart"/>
            <w:r w:rsidRPr="007E0AF4">
              <w:rPr>
                <w:sz w:val="22"/>
              </w:rPr>
              <w:t>ремонтних</w:t>
            </w:r>
            <w:proofErr w:type="spellEnd"/>
            <w:r w:rsidRPr="007E0AF4">
              <w:rPr>
                <w:sz w:val="22"/>
              </w:rPr>
              <w:t xml:space="preserve"> </w:t>
            </w:r>
            <w:proofErr w:type="spellStart"/>
            <w:r w:rsidRPr="007E0AF4">
              <w:rPr>
                <w:sz w:val="22"/>
              </w:rPr>
              <w:t>робіт</w:t>
            </w:r>
            <w:proofErr w:type="spellEnd"/>
            <w:r w:rsidR="005217DC" w:rsidRPr="007E0AF4">
              <w:rPr>
                <w:sz w:val="22"/>
              </w:rPr>
              <w:t>.</w:t>
            </w:r>
          </w:p>
          <w:p w:rsidR="002E3647" w:rsidRPr="007E0AF4" w:rsidRDefault="002E3647" w:rsidP="000303D7">
            <w:pPr>
              <w:pStyle w:val="a7"/>
              <w:numPr>
                <w:ilvl w:val="0"/>
                <w:numId w:val="110"/>
              </w:numPr>
              <w:rPr>
                <w:sz w:val="22"/>
              </w:rPr>
            </w:pPr>
            <w:r w:rsidRPr="007E0AF4">
              <w:rPr>
                <w:sz w:val="22"/>
              </w:rPr>
              <w:t xml:space="preserve">Заходи з </w:t>
            </w:r>
            <w:proofErr w:type="spellStart"/>
            <w:r w:rsidRPr="007E0AF4">
              <w:rPr>
                <w:sz w:val="22"/>
              </w:rPr>
              <w:t>надання</w:t>
            </w:r>
            <w:proofErr w:type="spellEnd"/>
            <w:r w:rsidRPr="007E0AF4">
              <w:rPr>
                <w:sz w:val="22"/>
              </w:rPr>
              <w:t xml:space="preserve"> </w:t>
            </w:r>
            <w:proofErr w:type="spellStart"/>
            <w:r w:rsidRPr="007E0AF4">
              <w:rPr>
                <w:sz w:val="22"/>
              </w:rPr>
              <w:t>допусків</w:t>
            </w:r>
            <w:proofErr w:type="spellEnd"/>
            <w:r w:rsidRPr="007E0AF4">
              <w:rPr>
                <w:sz w:val="22"/>
              </w:rPr>
              <w:t xml:space="preserve"> </w:t>
            </w:r>
            <w:proofErr w:type="gramStart"/>
            <w:r w:rsidRPr="007E0AF4">
              <w:rPr>
                <w:sz w:val="22"/>
              </w:rPr>
              <w:t>до початку</w:t>
            </w:r>
            <w:proofErr w:type="gramEnd"/>
            <w:r w:rsidRPr="007E0AF4">
              <w:rPr>
                <w:sz w:val="22"/>
              </w:rPr>
              <w:t xml:space="preserve"> </w:t>
            </w:r>
            <w:proofErr w:type="spellStart"/>
            <w:r w:rsidRPr="007E0AF4">
              <w:rPr>
                <w:sz w:val="22"/>
              </w:rPr>
              <w:t>експлуатації</w:t>
            </w:r>
            <w:proofErr w:type="spellEnd"/>
            <w:r w:rsidRPr="007E0AF4">
              <w:rPr>
                <w:sz w:val="22"/>
              </w:rPr>
              <w:t xml:space="preserve"> спортивного </w:t>
            </w:r>
            <w:proofErr w:type="spellStart"/>
            <w:r w:rsidRPr="007E0AF4">
              <w:rPr>
                <w:sz w:val="22"/>
              </w:rPr>
              <w:t>стадіону</w:t>
            </w:r>
            <w:proofErr w:type="spellEnd"/>
            <w:r w:rsidRPr="007E0AF4">
              <w:rPr>
                <w:sz w:val="22"/>
              </w:rPr>
              <w:t xml:space="preserve"> </w:t>
            </w:r>
            <w:proofErr w:type="spellStart"/>
            <w:r w:rsidRPr="007E0AF4">
              <w:rPr>
                <w:sz w:val="22"/>
              </w:rPr>
              <w:t>відповідними</w:t>
            </w:r>
            <w:proofErr w:type="spellEnd"/>
            <w:r w:rsidRPr="007E0AF4">
              <w:rPr>
                <w:sz w:val="22"/>
              </w:rPr>
              <w:t xml:space="preserve"> органами та </w:t>
            </w:r>
            <w:proofErr w:type="spellStart"/>
            <w:r w:rsidRPr="007E0AF4">
              <w:rPr>
                <w:sz w:val="22"/>
              </w:rPr>
              <w:t>організаціями</w:t>
            </w:r>
            <w:proofErr w:type="spellEnd"/>
            <w:r w:rsidR="005217DC" w:rsidRPr="007E0AF4">
              <w:rPr>
                <w:sz w:val="22"/>
              </w:rPr>
              <w:t>.</w:t>
            </w:r>
            <w:r w:rsidRPr="007E0AF4">
              <w:rPr>
                <w:sz w:val="22"/>
              </w:rPr>
              <w:t xml:space="preserve"> </w:t>
            </w:r>
          </w:p>
          <w:p w:rsidR="002E3647" w:rsidRPr="007E0AF4" w:rsidRDefault="002E3647" w:rsidP="000303D7">
            <w:pPr>
              <w:pStyle w:val="a7"/>
              <w:numPr>
                <w:ilvl w:val="0"/>
                <w:numId w:val="110"/>
              </w:numPr>
              <w:rPr>
                <w:sz w:val="22"/>
              </w:rPr>
            </w:pPr>
            <w:proofErr w:type="spellStart"/>
            <w:r w:rsidRPr="007E0AF4">
              <w:rPr>
                <w:sz w:val="22"/>
              </w:rPr>
              <w:t>Організація</w:t>
            </w:r>
            <w:proofErr w:type="spellEnd"/>
            <w:r w:rsidRPr="007E0AF4">
              <w:rPr>
                <w:sz w:val="22"/>
              </w:rPr>
              <w:t xml:space="preserve"> та </w:t>
            </w:r>
            <w:proofErr w:type="gramStart"/>
            <w:r w:rsidRPr="007E0AF4">
              <w:rPr>
                <w:sz w:val="22"/>
              </w:rPr>
              <w:t xml:space="preserve">початок  </w:t>
            </w:r>
            <w:proofErr w:type="spellStart"/>
            <w:r w:rsidRPr="007E0AF4">
              <w:rPr>
                <w:sz w:val="22"/>
              </w:rPr>
              <w:t>освітнього</w:t>
            </w:r>
            <w:proofErr w:type="spellEnd"/>
            <w:proofErr w:type="gramEnd"/>
            <w:r w:rsidRPr="007E0AF4">
              <w:rPr>
                <w:sz w:val="22"/>
              </w:rPr>
              <w:t xml:space="preserve"> </w:t>
            </w:r>
            <w:proofErr w:type="spellStart"/>
            <w:r w:rsidRPr="007E0AF4">
              <w:rPr>
                <w:sz w:val="22"/>
              </w:rPr>
              <w:t>процесу</w:t>
            </w:r>
            <w:proofErr w:type="spellEnd"/>
            <w:r w:rsidRPr="007E0AF4">
              <w:rPr>
                <w:sz w:val="22"/>
              </w:rPr>
              <w:t>.</w:t>
            </w:r>
          </w:p>
        </w:tc>
      </w:tr>
      <w:tr w:rsidR="002E3647" w:rsidRPr="007E0AF4" w:rsidTr="002E3647">
        <w:trPr>
          <w:trHeight w:val="360"/>
        </w:trPr>
        <w:tc>
          <w:tcPr>
            <w:tcW w:w="2978" w:type="dxa"/>
            <w:vMerge w:val="restart"/>
            <w:shd w:val="clear" w:color="auto" w:fill="C6D9F1" w:themeFill="text2" w:themeFillTint="33"/>
          </w:tcPr>
          <w:p w:rsidR="002E3647" w:rsidRPr="007E0AF4" w:rsidRDefault="002E3647" w:rsidP="001E6C97">
            <w:pPr>
              <w:pStyle w:val="a7"/>
              <w:ind w:left="0"/>
              <w:rPr>
                <w:b/>
                <w:sz w:val="22"/>
              </w:rPr>
            </w:pPr>
            <w:proofErr w:type="spellStart"/>
            <w:r w:rsidRPr="007E0AF4">
              <w:rPr>
                <w:b/>
                <w:sz w:val="22"/>
              </w:rPr>
              <w:lastRenderedPageBreak/>
              <w:t>Орієнтовний</w:t>
            </w:r>
            <w:proofErr w:type="spellEnd"/>
            <w:r w:rsidRPr="007E0AF4">
              <w:rPr>
                <w:b/>
                <w:sz w:val="22"/>
              </w:rPr>
              <w:t xml:space="preserve"> </w:t>
            </w:r>
            <w:proofErr w:type="spellStart"/>
            <w:r w:rsidRPr="007E0AF4">
              <w:rPr>
                <w:b/>
                <w:sz w:val="22"/>
              </w:rPr>
              <w:t>обсяг</w:t>
            </w:r>
            <w:proofErr w:type="spellEnd"/>
            <w:r w:rsidRPr="007E0AF4">
              <w:rPr>
                <w:b/>
                <w:sz w:val="22"/>
              </w:rPr>
              <w:t xml:space="preserve"> та </w:t>
            </w:r>
            <w:proofErr w:type="spellStart"/>
            <w:r w:rsidRPr="007E0AF4">
              <w:rPr>
                <w:b/>
                <w:sz w:val="22"/>
              </w:rPr>
              <w:t>джерела</w:t>
            </w:r>
            <w:proofErr w:type="spellEnd"/>
            <w:r w:rsidRPr="007E0AF4">
              <w:rPr>
                <w:b/>
                <w:sz w:val="22"/>
              </w:rPr>
              <w:t xml:space="preserve"> </w:t>
            </w:r>
            <w:proofErr w:type="spellStart"/>
            <w:r w:rsidRPr="007E0AF4">
              <w:rPr>
                <w:b/>
                <w:sz w:val="22"/>
              </w:rPr>
              <w:t>фінансування</w:t>
            </w:r>
            <w:proofErr w:type="spellEnd"/>
            <w:r w:rsidRPr="007E0AF4">
              <w:rPr>
                <w:b/>
                <w:sz w:val="22"/>
              </w:rPr>
              <w:t xml:space="preserve">, тис. грн. </w:t>
            </w:r>
          </w:p>
          <w:p w:rsidR="002E3647" w:rsidRPr="007E0AF4" w:rsidRDefault="002E3647" w:rsidP="001E6C97">
            <w:pPr>
              <w:pStyle w:val="a7"/>
              <w:ind w:left="0"/>
              <w:rPr>
                <w:b/>
                <w:sz w:val="22"/>
              </w:rPr>
            </w:pPr>
          </w:p>
        </w:tc>
        <w:tc>
          <w:tcPr>
            <w:tcW w:w="1559" w:type="dxa"/>
            <w:tcBorders>
              <w:bottom w:val="single" w:sz="4" w:space="0" w:color="auto"/>
              <w:right w:val="single" w:sz="4" w:space="0" w:color="auto"/>
            </w:tcBorders>
          </w:tcPr>
          <w:p w:rsidR="002E3647" w:rsidRPr="007E0AF4" w:rsidRDefault="002E3647" w:rsidP="001E6C97">
            <w:pPr>
              <w:pStyle w:val="a7"/>
              <w:ind w:left="0"/>
              <w:jc w:val="center"/>
              <w:rPr>
                <w:b/>
                <w:sz w:val="22"/>
              </w:rPr>
            </w:pPr>
            <w:proofErr w:type="spellStart"/>
            <w:r w:rsidRPr="007E0AF4">
              <w:rPr>
                <w:b/>
                <w:sz w:val="22"/>
              </w:rPr>
              <w:t>Державний</w:t>
            </w:r>
            <w:proofErr w:type="spellEnd"/>
            <w:r w:rsidRPr="007E0AF4">
              <w:rPr>
                <w:b/>
                <w:sz w:val="22"/>
              </w:rPr>
              <w:t xml:space="preserve"> бюджет</w:t>
            </w:r>
          </w:p>
        </w:tc>
        <w:tc>
          <w:tcPr>
            <w:tcW w:w="1417" w:type="dxa"/>
            <w:tcBorders>
              <w:bottom w:val="single" w:sz="4" w:space="0" w:color="auto"/>
              <w:right w:val="single" w:sz="4" w:space="0" w:color="auto"/>
            </w:tcBorders>
          </w:tcPr>
          <w:p w:rsidR="002E3647" w:rsidRPr="007E0AF4" w:rsidRDefault="002E3647" w:rsidP="001E6C97">
            <w:pPr>
              <w:pStyle w:val="a7"/>
              <w:ind w:left="0"/>
              <w:jc w:val="center"/>
              <w:rPr>
                <w:b/>
                <w:sz w:val="22"/>
              </w:rPr>
            </w:pPr>
            <w:proofErr w:type="spellStart"/>
            <w:r w:rsidRPr="007E0AF4">
              <w:rPr>
                <w:b/>
                <w:sz w:val="22"/>
              </w:rPr>
              <w:t>Місцевий</w:t>
            </w:r>
            <w:proofErr w:type="spellEnd"/>
            <w:r w:rsidRPr="007E0AF4">
              <w:rPr>
                <w:b/>
                <w:sz w:val="22"/>
              </w:rPr>
              <w:t xml:space="preserve"> бюджет</w:t>
            </w:r>
          </w:p>
        </w:tc>
        <w:tc>
          <w:tcPr>
            <w:tcW w:w="2835" w:type="dxa"/>
            <w:gridSpan w:val="4"/>
            <w:tcBorders>
              <w:left w:val="single" w:sz="4" w:space="0" w:color="auto"/>
              <w:bottom w:val="single" w:sz="4" w:space="0" w:color="auto"/>
              <w:right w:val="single" w:sz="4" w:space="0" w:color="auto"/>
            </w:tcBorders>
          </w:tcPr>
          <w:p w:rsidR="002E3647" w:rsidRPr="007E0AF4" w:rsidRDefault="002E3647" w:rsidP="001E6C97">
            <w:pPr>
              <w:pStyle w:val="a7"/>
              <w:ind w:left="0"/>
              <w:jc w:val="center"/>
              <w:rPr>
                <w:b/>
                <w:sz w:val="22"/>
              </w:rPr>
            </w:pPr>
            <w:proofErr w:type="spellStart"/>
            <w:r w:rsidRPr="007E0AF4">
              <w:rPr>
                <w:b/>
                <w:sz w:val="22"/>
              </w:rPr>
              <w:t>Інші</w:t>
            </w:r>
            <w:proofErr w:type="spellEnd"/>
            <w:r w:rsidRPr="007E0AF4">
              <w:rPr>
                <w:b/>
                <w:sz w:val="22"/>
              </w:rPr>
              <w:t xml:space="preserve"> </w:t>
            </w:r>
            <w:proofErr w:type="spellStart"/>
            <w:r w:rsidRPr="007E0AF4">
              <w:rPr>
                <w:b/>
                <w:sz w:val="22"/>
              </w:rPr>
              <w:t>джерела</w:t>
            </w:r>
            <w:proofErr w:type="spellEnd"/>
          </w:p>
        </w:tc>
        <w:tc>
          <w:tcPr>
            <w:tcW w:w="1134" w:type="dxa"/>
            <w:tcBorders>
              <w:left w:val="single" w:sz="4" w:space="0" w:color="auto"/>
              <w:bottom w:val="single" w:sz="4" w:space="0" w:color="auto"/>
            </w:tcBorders>
          </w:tcPr>
          <w:p w:rsidR="002E3647" w:rsidRPr="007E0AF4" w:rsidRDefault="002E3647" w:rsidP="001E6C97">
            <w:pPr>
              <w:pStyle w:val="a7"/>
              <w:ind w:left="0"/>
              <w:jc w:val="center"/>
              <w:rPr>
                <w:b/>
                <w:sz w:val="22"/>
              </w:rPr>
            </w:pPr>
            <w:proofErr w:type="spellStart"/>
            <w:r w:rsidRPr="007E0AF4">
              <w:rPr>
                <w:b/>
                <w:sz w:val="22"/>
              </w:rPr>
              <w:t>Всього</w:t>
            </w:r>
            <w:proofErr w:type="spellEnd"/>
          </w:p>
        </w:tc>
      </w:tr>
      <w:tr w:rsidR="002E3647" w:rsidRPr="007E0AF4" w:rsidTr="002E3647">
        <w:trPr>
          <w:trHeight w:val="225"/>
        </w:trPr>
        <w:tc>
          <w:tcPr>
            <w:tcW w:w="2978" w:type="dxa"/>
            <w:vMerge/>
            <w:shd w:val="clear" w:color="auto" w:fill="C6D9F1" w:themeFill="text2" w:themeFillTint="33"/>
          </w:tcPr>
          <w:p w:rsidR="002E3647" w:rsidRPr="007E0AF4" w:rsidRDefault="002E3647" w:rsidP="001E6C97">
            <w:pPr>
              <w:pStyle w:val="a7"/>
              <w:ind w:left="0"/>
              <w:rPr>
                <w:b/>
                <w:sz w:val="22"/>
              </w:rPr>
            </w:pPr>
          </w:p>
        </w:tc>
        <w:tc>
          <w:tcPr>
            <w:tcW w:w="1559" w:type="dxa"/>
            <w:vMerge w:val="restart"/>
            <w:tcBorders>
              <w:top w:val="single" w:sz="4" w:space="0" w:color="auto"/>
              <w:right w:val="single" w:sz="4" w:space="0" w:color="auto"/>
            </w:tcBorders>
          </w:tcPr>
          <w:p w:rsidR="002E3647" w:rsidRPr="007E0AF4" w:rsidRDefault="002E3647" w:rsidP="001E6C97">
            <w:pPr>
              <w:pStyle w:val="a7"/>
              <w:ind w:left="0"/>
              <w:jc w:val="center"/>
              <w:rPr>
                <w:sz w:val="22"/>
              </w:rPr>
            </w:pPr>
            <w:r w:rsidRPr="007E0AF4">
              <w:rPr>
                <w:sz w:val="22"/>
              </w:rPr>
              <w:t>6510,0</w:t>
            </w:r>
          </w:p>
        </w:tc>
        <w:tc>
          <w:tcPr>
            <w:tcW w:w="1417" w:type="dxa"/>
            <w:vMerge w:val="restart"/>
            <w:tcBorders>
              <w:top w:val="single" w:sz="4" w:space="0" w:color="auto"/>
              <w:right w:val="single" w:sz="4" w:space="0" w:color="auto"/>
            </w:tcBorders>
          </w:tcPr>
          <w:p w:rsidR="002E3647" w:rsidRPr="007E0AF4" w:rsidRDefault="002E3647" w:rsidP="001E6C97">
            <w:pPr>
              <w:pStyle w:val="a7"/>
              <w:ind w:left="0"/>
              <w:jc w:val="center"/>
              <w:rPr>
                <w:b/>
                <w:sz w:val="22"/>
              </w:rPr>
            </w:pPr>
            <w:r w:rsidRPr="007E0AF4">
              <w:rPr>
                <w:b/>
                <w:sz w:val="22"/>
              </w:rPr>
              <w:t>-</w:t>
            </w:r>
          </w:p>
        </w:tc>
        <w:tc>
          <w:tcPr>
            <w:tcW w:w="993" w:type="dxa"/>
            <w:gridSpan w:val="2"/>
            <w:tcBorders>
              <w:top w:val="single" w:sz="4" w:space="0" w:color="auto"/>
              <w:left w:val="single" w:sz="4" w:space="0" w:color="auto"/>
              <w:bottom w:val="single" w:sz="4" w:space="0" w:color="auto"/>
              <w:right w:val="single" w:sz="4" w:space="0" w:color="auto"/>
            </w:tcBorders>
          </w:tcPr>
          <w:p w:rsidR="002E3647" w:rsidRPr="007E0AF4" w:rsidRDefault="002E3647" w:rsidP="001E6C97">
            <w:pPr>
              <w:pStyle w:val="a7"/>
              <w:ind w:left="0"/>
              <w:jc w:val="center"/>
              <w:rPr>
                <w:b/>
                <w:sz w:val="22"/>
              </w:rPr>
            </w:pPr>
            <w:proofErr w:type="spellStart"/>
            <w:r w:rsidRPr="007E0AF4">
              <w:rPr>
                <w:b/>
                <w:sz w:val="22"/>
              </w:rPr>
              <w:t>Обсяг</w:t>
            </w:r>
            <w:proofErr w:type="spellEnd"/>
          </w:p>
        </w:tc>
        <w:tc>
          <w:tcPr>
            <w:tcW w:w="1842" w:type="dxa"/>
            <w:gridSpan w:val="2"/>
            <w:tcBorders>
              <w:top w:val="single" w:sz="4" w:space="0" w:color="auto"/>
              <w:left w:val="single" w:sz="4" w:space="0" w:color="auto"/>
              <w:bottom w:val="single" w:sz="4" w:space="0" w:color="auto"/>
              <w:right w:val="single" w:sz="4" w:space="0" w:color="auto"/>
            </w:tcBorders>
          </w:tcPr>
          <w:p w:rsidR="002E3647" w:rsidRPr="007E0AF4" w:rsidRDefault="002E3647" w:rsidP="001E6C97">
            <w:pPr>
              <w:pStyle w:val="a7"/>
              <w:ind w:left="0"/>
              <w:jc w:val="center"/>
              <w:rPr>
                <w:b/>
                <w:sz w:val="22"/>
              </w:rPr>
            </w:pPr>
            <w:proofErr w:type="spellStart"/>
            <w:r w:rsidRPr="007E0AF4">
              <w:rPr>
                <w:b/>
                <w:sz w:val="22"/>
              </w:rPr>
              <w:t>Назва</w:t>
            </w:r>
            <w:proofErr w:type="spellEnd"/>
            <w:r w:rsidRPr="007E0AF4">
              <w:rPr>
                <w:b/>
                <w:sz w:val="22"/>
              </w:rPr>
              <w:t xml:space="preserve"> </w:t>
            </w:r>
            <w:proofErr w:type="spellStart"/>
            <w:r w:rsidRPr="007E0AF4">
              <w:rPr>
                <w:b/>
                <w:sz w:val="22"/>
              </w:rPr>
              <w:t>джерела</w:t>
            </w:r>
            <w:proofErr w:type="spellEnd"/>
          </w:p>
        </w:tc>
        <w:tc>
          <w:tcPr>
            <w:tcW w:w="1134" w:type="dxa"/>
            <w:vMerge w:val="restart"/>
            <w:tcBorders>
              <w:top w:val="single" w:sz="4" w:space="0" w:color="auto"/>
              <w:left w:val="single" w:sz="4" w:space="0" w:color="auto"/>
            </w:tcBorders>
          </w:tcPr>
          <w:p w:rsidR="002E3647" w:rsidRPr="007E0AF4" w:rsidRDefault="002E3647" w:rsidP="001E6C97">
            <w:pPr>
              <w:pStyle w:val="a7"/>
              <w:ind w:left="0"/>
              <w:jc w:val="center"/>
              <w:rPr>
                <w:sz w:val="22"/>
              </w:rPr>
            </w:pPr>
            <w:r w:rsidRPr="007E0AF4">
              <w:rPr>
                <w:sz w:val="22"/>
              </w:rPr>
              <w:t>9 300,00</w:t>
            </w:r>
          </w:p>
          <w:p w:rsidR="002E3647" w:rsidRPr="007E0AF4" w:rsidRDefault="002E3647" w:rsidP="001E6C97">
            <w:pPr>
              <w:pStyle w:val="a7"/>
              <w:ind w:left="0"/>
              <w:jc w:val="center"/>
              <w:rPr>
                <w:sz w:val="22"/>
              </w:rPr>
            </w:pPr>
          </w:p>
        </w:tc>
      </w:tr>
      <w:tr w:rsidR="002E3647" w:rsidRPr="007E0AF4" w:rsidTr="002E3647">
        <w:trPr>
          <w:trHeight w:val="300"/>
        </w:trPr>
        <w:tc>
          <w:tcPr>
            <w:tcW w:w="2978" w:type="dxa"/>
            <w:vMerge/>
            <w:shd w:val="clear" w:color="auto" w:fill="C6D9F1" w:themeFill="text2" w:themeFillTint="33"/>
          </w:tcPr>
          <w:p w:rsidR="002E3647" w:rsidRPr="007E0AF4" w:rsidRDefault="002E3647" w:rsidP="001E6C97">
            <w:pPr>
              <w:pStyle w:val="a7"/>
              <w:ind w:left="0"/>
              <w:rPr>
                <w:b/>
                <w:sz w:val="22"/>
              </w:rPr>
            </w:pPr>
          </w:p>
        </w:tc>
        <w:tc>
          <w:tcPr>
            <w:tcW w:w="1559" w:type="dxa"/>
            <w:vMerge/>
            <w:tcBorders>
              <w:right w:val="single" w:sz="4" w:space="0" w:color="auto"/>
            </w:tcBorders>
          </w:tcPr>
          <w:p w:rsidR="002E3647" w:rsidRPr="007E0AF4" w:rsidRDefault="002E3647" w:rsidP="001E6C97">
            <w:pPr>
              <w:pStyle w:val="a7"/>
              <w:ind w:left="0"/>
              <w:jc w:val="center"/>
              <w:rPr>
                <w:sz w:val="22"/>
              </w:rPr>
            </w:pPr>
          </w:p>
        </w:tc>
        <w:tc>
          <w:tcPr>
            <w:tcW w:w="1417" w:type="dxa"/>
            <w:vMerge/>
            <w:tcBorders>
              <w:right w:val="single" w:sz="4" w:space="0" w:color="auto"/>
            </w:tcBorders>
          </w:tcPr>
          <w:p w:rsidR="002E3647" w:rsidRPr="007E0AF4" w:rsidRDefault="002E3647" w:rsidP="001E6C97">
            <w:pPr>
              <w:pStyle w:val="a7"/>
              <w:ind w:left="0"/>
              <w:jc w:val="center"/>
              <w:rPr>
                <w:b/>
                <w:sz w:val="22"/>
              </w:rPr>
            </w:pPr>
          </w:p>
        </w:tc>
        <w:tc>
          <w:tcPr>
            <w:tcW w:w="993" w:type="dxa"/>
            <w:gridSpan w:val="2"/>
            <w:tcBorders>
              <w:top w:val="single" w:sz="4" w:space="0" w:color="auto"/>
              <w:left w:val="single" w:sz="4" w:space="0" w:color="auto"/>
              <w:right w:val="single" w:sz="4" w:space="0" w:color="auto"/>
            </w:tcBorders>
          </w:tcPr>
          <w:p w:rsidR="002E3647" w:rsidRPr="007E0AF4" w:rsidRDefault="002E3647" w:rsidP="001E6C97">
            <w:pPr>
              <w:pStyle w:val="a7"/>
              <w:ind w:left="0"/>
              <w:jc w:val="center"/>
              <w:rPr>
                <w:sz w:val="22"/>
              </w:rPr>
            </w:pPr>
            <w:r w:rsidRPr="007E0AF4">
              <w:rPr>
                <w:sz w:val="22"/>
              </w:rPr>
              <w:t>2790,0</w:t>
            </w:r>
          </w:p>
        </w:tc>
        <w:tc>
          <w:tcPr>
            <w:tcW w:w="1842" w:type="dxa"/>
            <w:gridSpan w:val="2"/>
            <w:tcBorders>
              <w:top w:val="single" w:sz="4" w:space="0" w:color="auto"/>
              <w:left w:val="single" w:sz="4" w:space="0" w:color="auto"/>
              <w:right w:val="single" w:sz="4" w:space="0" w:color="auto"/>
            </w:tcBorders>
          </w:tcPr>
          <w:p w:rsidR="002E3647" w:rsidRPr="007E0AF4" w:rsidRDefault="002E3647" w:rsidP="001E6C97">
            <w:pPr>
              <w:pStyle w:val="a7"/>
              <w:ind w:left="0"/>
              <w:jc w:val="center"/>
              <w:rPr>
                <w:sz w:val="22"/>
              </w:rPr>
            </w:pPr>
            <w:proofErr w:type="spellStart"/>
            <w:r w:rsidRPr="007E0AF4">
              <w:rPr>
                <w:sz w:val="22"/>
              </w:rPr>
              <w:t>Міжнародні</w:t>
            </w:r>
            <w:proofErr w:type="spellEnd"/>
            <w:r w:rsidRPr="007E0AF4">
              <w:rPr>
                <w:sz w:val="22"/>
              </w:rPr>
              <w:t xml:space="preserve"> </w:t>
            </w:r>
            <w:proofErr w:type="spellStart"/>
            <w:r w:rsidRPr="007E0AF4">
              <w:rPr>
                <w:sz w:val="22"/>
              </w:rPr>
              <w:t>інвестиції</w:t>
            </w:r>
            <w:proofErr w:type="spellEnd"/>
            <w:r w:rsidRPr="007E0AF4">
              <w:rPr>
                <w:sz w:val="22"/>
              </w:rPr>
              <w:t xml:space="preserve">, </w:t>
            </w:r>
            <w:proofErr w:type="spellStart"/>
            <w:r w:rsidRPr="007E0AF4">
              <w:rPr>
                <w:sz w:val="22"/>
              </w:rPr>
              <w:t>кошти</w:t>
            </w:r>
            <w:proofErr w:type="spellEnd"/>
            <w:r w:rsidRPr="007E0AF4">
              <w:rPr>
                <w:sz w:val="22"/>
              </w:rPr>
              <w:t xml:space="preserve"> </w:t>
            </w:r>
            <w:proofErr w:type="spellStart"/>
            <w:r w:rsidRPr="007E0AF4">
              <w:rPr>
                <w:sz w:val="22"/>
              </w:rPr>
              <w:t>приватних</w:t>
            </w:r>
            <w:proofErr w:type="spellEnd"/>
            <w:r w:rsidRPr="007E0AF4">
              <w:rPr>
                <w:sz w:val="22"/>
              </w:rPr>
              <w:t xml:space="preserve"> </w:t>
            </w:r>
            <w:proofErr w:type="spellStart"/>
            <w:r w:rsidRPr="007E0AF4">
              <w:rPr>
                <w:sz w:val="22"/>
              </w:rPr>
              <w:t>осіб</w:t>
            </w:r>
            <w:proofErr w:type="spellEnd"/>
          </w:p>
        </w:tc>
        <w:tc>
          <w:tcPr>
            <w:tcW w:w="1134" w:type="dxa"/>
            <w:vMerge/>
            <w:tcBorders>
              <w:left w:val="single" w:sz="4" w:space="0" w:color="auto"/>
            </w:tcBorders>
          </w:tcPr>
          <w:p w:rsidR="002E3647" w:rsidRPr="007E0AF4" w:rsidRDefault="002E3647" w:rsidP="001E6C97">
            <w:pPr>
              <w:pStyle w:val="a7"/>
              <w:ind w:left="0"/>
              <w:jc w:val="center"/>
              <w:rPr>
                <w:sz w:val="22"/>
              </w:rPr>
            </w:pPr>
          </w:p>
        </w:tc>
      </w:tr>
    </w:tbl>
    <w:p w:rsidR="002E3647" w:rsidRPr="007E0AF4" w:rsidRDefault="002E3647" w:rsidP="00E95FB1">
      <w:pPr>
        <w:rPr>
          <w:sz w:val="22"/>
        </w:rPr>
      </w:pPr>
    </w:p>
    <w:p w:rsidR="002E3647" w:rsidRPr="007E0AF4" w:rsidRDefault="002E3647" w:rsidP="00E95FB1">
      <w:pPr>
        <w:rPr>
          <w:sz w:val="22"/>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8"/>
        <w:gridCol w:w="1559"/>
        <w:gridCol w:w="1276"/>
        <w:gridCol w:w="567"/>
        <w:gridCol w:w="567"/>
        <w:gridCol w:w="1559"/>
        <w:gridCol w:w="283"/>
        <w:gridCol w:w="1134"/>
      </w:tblGrid>
      <w:tr w:rsidR="001E6C97" w:rsidRPr="007E0AF4" w:rsidTr="001E6C97">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sz w:val="22"/>
              </w:rPr>
            </w:pPr>
            <w:r w:rsidRPr="007E0AF4">
              <w:rPr>
                <w:b/>
                <w:sz w:val="22"/>
              </w:rPr>
              <w:t>Оперативна ціль/завдання</w:t>
            </w:r>
          </w:p>
        </w:tc>
        <w:tc>
          <w:tcPr>
            <w:tcW w:w="6945" w:type="dxa"/>
            <w:gridSpan w:val="7"/>
          </w:tcPr>
          <w:p w:rsidR="001E6C97" w:rsidRPr="007E0AF4" w:rsidRDefault="001E6C97" w:rsidP="001E6C97">
            <w:pPr>
              <w:rPr>
                <w:sz w:val="22"/>
              </w:rPr>
            </w:pPr>
            <w:r w:rsidRPr="007E0AF4">
              <w:rPr>
                <w:color w:val="222222"/>
                <w:sz w:val="22"/>
                <w:highlight w:val="white"/>
              </w:rPr>
              <w:t xml:space="preserve">Людський розвиток через інновації управління та довіру до влади. Формування сучасного інклюзивного  </w:t>
            </w:r>
            <w:proofErr w:type="spellStart"/>
            <w:r w:rsidRPr="007E0AF4">
              <w:rPr>
                <w:color w:val="222222"/>
                <w:sz w:val="22"/>
                <w:highlight w:val="white"/>
              </w:rPr>
              <w:t>освітньо</w:t>
            </w:r>
            <w:proofErr w:type="spellEnd"/>
            <w:r w:rsidRPr="007E0AF4">
              <w:rPr>
                <w:color w:val="222222"/>
                <w:sz w:val="22"/>
                <w:highlight w:val="white"/>
              </w:rPr>
              <w:t>-культурного та спортивного простору для розвитку</w:t>
            </w:r>
            <w:r w:rsidRPr="007E0AF4">
              <w:rPr>
                <w:sz w:val="22"/>
                <w:highlight w:val="white"/>
              </w:rPr>
              <w:t>.</w:t>
            </w:r>
          </w:p>
        </w:tc>
      </w:tr>
      <w:tr w:rsidR="001E6C97" w:rsidRPr="007E0AF4" w:rsidTr="001E6C97">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sz w:val="22"/>
              </w:rPr>
            </w:pPr>
            <w:r w:rsidRPr="007E0AF4">
              <w:rPr>
                <w:b/>
                <w:sz w:val="22"/>
              </w:rPr>
              <w:t xml:space="preserve">Назва </w:t>
            </w:r>
            <w:proofErr w:type="spellStart"/>
            <w:r w:rsidRPr="007E0AF4">
              <w:rPr>
                <w:b/>
                <w:sz w:val="22"/>
              </w:rPr>
              <w:t>проєкту</w:t>
            </w:r>
            <w:proofErr w:type="spellEnd"/>
            <w:r w:rsidRPr="007E0AF4">
              <w:rPr>
                <w:b/>
                <w:sz w:val="22"/>
              </w:rPr>
              <w:t>:</w:t>
            </w:r>
          </w:p>
        </w:tc>
        <w:tc>
          <w:tcPr>
            <w:tcW w:w="6945" w:type="dxa"/>
            <w:gridSpan w:val="7"/>
          </w:tcPr>
          <w:p w:rsidR="001E6C97" w:rsidRPr="007E0AF4" w:rsidRDefault="001E6C97" w:rsidP="001E6C97">
            <w:pPr>
              <w:rPr>
                <w:sz w:val="22"/>
              </w:rPr>
            </w:pPr>
            <w:r w:rsidRPr="007E0AF4">
              <w:rPr>
                <w:sz w:val="22"/>
                <w:highlight w:val="white"/>
              </w:rPr>
              <w:t>Капітальний ремонт будівлі Ліцею "КОЛЕГІУМ" міста Сєвєродонецька Луганської області, вулиця Гоголя, будинок 37.</w:t>
            </w:r>
          </w:p>
        </w:tc>
      </w:tr>
      <w:tr w:rsidR="001E6C97" w:rsidRPr="007E0AF4" w:rsidTr="001E6C97">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sz w:val="22"/>
              </w:rPr>
            </w:pPr>
            <w:r w:rsidRPr="007E0AF4">
              <w:rPr>
                <w:b/>
                <w:sz w:val="22"/>
              </w:rPr>
              <w:t xml:space="preserve">Ціль </w:t>
            </w:r>
            <w:proofErr w:type="spellStart"/>
            <w:r w:rsidRPr="007E0AF4">
              <w:rPr>
                <w:b/>
                <w:sz w:val="22"/>
              </w:rPr>
              <w:t>проєкту</w:t>
            </w:r>
            <w:proofErr w:type="spellEnd"/>
          </w:p>
        </w:tc>
        <w:tc>
          <w:tcPr>
            <w:tcW w:w="6945" w:type="dxa"/>
            <w:gridSpan w:val="7"/>
          </w:tcPr>
          <w:p w:rsidR="001E6C97" w:rsidRPr="007E0AF4" w:rsidRDefault="001E6C97" w:rsidP="001E6C97">
            <w:pPr>
              <w:rPr>
                <w:color w:val="000000"/>
                <w:sz w:val="22"/>
              </w:rPr>
            </w:pPr>
            <w:r w:rsidRPr="007E0AF4">
              <w:rPr>
                <w:sz w:val="22"/>
                <w:highlight w:val="white"/>
              </w:rPr>
              <w:t>Відновити роботу Ліцею "КОЛЕГІУМ" міста Сєвєродонецька Луганської області. Створити комфортні та безпечні умови для повноцінного і всебічного розвитку дітей шкільного віку, забезпечити реалізацію прав дітей С</w:t>
            </w:r>
            <w:r w:rsidRPr="007E0AF4">
              <w:rPr>
                <w:sz w:val="22"/>
              </w:rPr>
              <w:t>євєродонецької міської територіальної громади</w:t>
            </w:r>
            <w:r w:rsidRPr="007E0AF4">
              <w:rPr>
                <w:sz w:val="22"/>
                <w:highlight w:val="white"/>
              </w:rPr>
              <w:t xml:space="preserve"> на здобуття початкової, базової та повної загальної середньої освіти, їх фізичний і духовний розвиток, соціальну адаптацію, інтелектуальний розвиток, а також саморозвиток, самореалізацію та самовизначення здобувачів освіти як цілісної особистості відповідно до норм чинного законодавства шляхом капітального ремонту будівлі Ліцею "КОЛЕГІУМ".</w:t>
            </w:r>
          </w:p>
        </w:tc>
      </w:tr>
      <w:tr w:rsidR="001E6C97" w:rsidRPr="007E0AF4" w:rsidTr="001E6C97">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sz w:val="22"/>
              </w:rPr>
            </w:pPr>
            <w:r w:rsidRPr="007E0AF4">
              <w:rPr>
                <w:b/>
                <w:sz w:val="22"/>
              </w:rPr>
              <w:t xml:space="preserve">Територія, на яку матиме вплив реалізація </w:t>
            </w:r>
            <w:proofErr w:type="spellStart"/>
            <w:r w:rsidRPr="007E0AF4">
              <w:rPr>
                <w:b/>
                <w:sz w:val="22"/>
              </w:rPr>
              <w:t>проєкту</w:t>
            </w:r>
            <w:proofErr w:type="spellEnd"/>
          </w:p>
        </w:tc>
        <w:tc>
          <w:tcPr>
            <w:tcW w:w="6945" w:type="dxa"/>
            <w:gridSpan w:val="7"/>
          </w:tcPr>
          <w:p w:rsidR="001E6C97" w:rsidRPr="007E0AF4" w:rsidRDefault="001E6C97" w:rsidP="001E6C97">
            <w:pPr>
              <w:rPr>
                <w:color w:val="000000"/>
                <w:sz w:val="22"/>
              </w:rPr>
            </w:pPr>
            <w:r w:rsidRPr="007E0AF4">
              <w:rPr>
                <w:sz w:val="22"/>
              </w:rPr>
              <w:t>Сєвєродонецька міська територіальна громада</w:t>
            </w:r>
          </w:p>
        </w:tc>
      </w:tr>
      <w:tr w:rsidR="001E6C97" w:rsidRPr="007E0AF4" w:rsidTr="001E6C97">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sz w:val="22"/>
              </w:rPr>
            </w:pPr>
            <w:r w:rsidRPr="007E0AF4">
              <w:rPr>
                <w:b/>
                <w:sz w:val="22"/>
              </w:rPr>
              <w:t xml:space="preserve">Чисельність населення, на яке матиме вплив реалізація </w:t>
            </w:r>
            <w:proofErr w:type="spellStart"/>
            <w:r w:rsidRPr="007E0AF4">
              <w:rPr>
                <w:b/>
                <w:sz w:val="22"/>
              </w:rPr>
              <w:t>проєкту</w:t>
            </w:r>
            <w:proofErr w:type="spellEnd"/>
          </w:p>
        </w:tc>
        <w:tc>
          <w:tcPr>
            <w:tcW w:w="6945" w:type="dxa"/>
            <w:gridSpan w:val="7"/>
          </w:tcPr>
          <w:p w:rsidR="001E6C97" w:rsidRPr="007E0AF4" w:rsidRDefault="001E6C97" w:rsidP="001E6C97">
            <w:pPr>
              <w:pBdr>
                <w:top w:val="nil"/>
                <w:left w:val="nil"/>
                <w:bottom w:val="nil"/>
                <w:right w:val="nil"/>
                <w:between w:val="nil"/>
              </w:pBdr>
              <w:rPr>
                <w:color w:val="000000"/>
                <w:sz w:val="22"/>
              </w:rPr>
            </w:pPr>
            <w:r w:rsidRPr="007E0AF4">
              <w:rPr>
                <w:color w:val="000000"/>
                <w:sz w:val="22"/>
              </w:rPr>
              <w:t>70 000  осіб</w:t>
            </w:r>
          </w:p>
        </w:tc>
      </w:tr>
      <w:tr w:rsidR="001E6C97" w:rsidRPr="007E0AF4" w:rsidTr="001E6C97">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sz w:val="22"/>
              </w:rPr>
            </w:pPr>
            <w:r w:rsidRPr="007E0AF4">
              <w:rPr>
                <w:b/>
                <w:sz w:val="22"/>
              </w:rPr>
              <w:t xml:space="preserve">Опис проблеми, на вирішення якої спрямований </w:t>
            </w:r>
            <w:proofErr w:type="spellStart"/>
            <w:r w:rsidRPr="007E0AF4">
              <w:rPr>
                <w:b/>
                <w:sz w:val="22"/>
              </w:rPr>
              <w:t>проєкт</w:t>
            </w:r>
            <w:proofErr w:type="spellEnd"/>
          </w:p>
        </w:tc>
        <w:tc>
          <w:tcPr>
            <w:tcW w:w="6945" w:type="dxa"/>
            <w:gridSpan w:val="7"/>
          </w:tcPr>
          <w:p w:rsidR="001E6C97" w:rsidRPr="007E0AF4" w:rsidRDefault="001E6C97" w:rsidP="001E6C97">
            <w:pPr>
              <w:rPr>
                <w:sz w:val="22"/>
                <w:highlight w:val="white"/>
              </w:rPr>
            </w:pPr>
            <w:r w:rsidRPr="007E0AF4">
              <w:rPr>
                <w:sz w:val="22"/>
                <w:highlight w:val="white"/>
              </w:rPr>
              <w:t xml:space="preserve">Через військову агресію РФ та в результаті ведення бойових дій на території Сєвєродонецької міської громади будівля Ліцею "КОЛЕГІУМ" зазнала значних пошкоджень. Через влучання снарядів зруйновано як зовнішні, так і внутрішні стіни закладу. Вибито вікна та двері, пошкоджено дах. Частина споруди постраждала через пожежу. Системи опалення, електропостачання, освітлення, водопостачання та водовідведення розорені. Усе це унеможливлює безпечне знаходження у будівлі закладу учнів та співробітників, впровадження якісної освітньої діяльності та порушує права дітей на здобуття якісної освіти. </w:t>
            </w:r>
          </w:p>
          <w:p w:rsidR="001E6C97" w:rsidRPr="007E0AF4" w:rsidRDefault="001E6C97" w:rsidP="001E6C97">
            <w:pPr>
              <w:rPr>
                <w:sz w:val="22"/>
              </w:rPr>
            </w:pPr>
            <w:r w:rsidRPr="007E0AF4">
              <w:rPr>
                <w:sz w:val="22"/>
                <w:highlight w:val="white"/>
              </w:rPr>
              <w:t>Для відбудови та сталого розвитку громади потрібне відновлення роботи мережі закладів освіти, у тому числі й Ліцею "КОЛЕГІУМ". Мешканці громади потребують отримання якісних освітніх послуг, які відповідають нормам сучасності.</w:t>
            </w:r>
          </w:p>
        </w:tc>
      </w:tr>
      <w:tr w:rsidR="001E6C97" w:rsidRPr="007E0AF4" w:rsidTr="001E6C97">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sz w:val="22"/>
              </w:rPr>
            </w:pPr>
            <w:r w:rsidRPr="007E0AF4">
              <w:rPr>
                <w:b/>
                <w:sz w:val="22"/>
              </w:rPr>
              <w:lastRenderedPageBreak/>
              <w:t xml:space="preserve">Очікувані якісні результати від реалізації </w:t>
            </w:r>
            <w:proofErr w:type="spellStart"/>
            <w:r w:rsidRPr="007E0AF4">
              <w:rPr>
                <w:b/>
                <w:sz w:val="22"/>
              </w:rPr>
              <w:t>проєкту</w:t>
            </w:r>
            <w:proofErr w:type="spellEnd"/>
          </w:p>
        </w:tc>
        <w:tc>
          <w:tcPr>
            <w:tcW w:w="6945" w:type="dxa"/>
            <w:gridSpan w:val="7"/>
          </w:tcPr>
          <w:p w:rsidR="001E6C97" w:rsidRPr="007E0AF4" w:rsidRDefault="001E6C97" w:rsidP="001E6C97">
            <w:pPr>
              <w:rPr>
                <w:sz w:val="22"/>
                <w:highlight w:val="white"/>
              </w:rPr>
            </w:pPr>
            <w:r w:rsidRPr="007E0AF4">
              <w:rPr>
                <w:sz w:val="22"/>
                <w:highlight w:val="white"/>
              </w:rPr>
              <w:t xml:space="preserve">Реалізація </w:t>
            </w:r>
            <w:proofErr w:type="spellStart"/>
            <w:r w:rsidRPr="007E0AF4">
              <w:rPr>
                <w:sz w:val="22"/>
                <w:highlight w:val="white"/>
              </w:rPr>
              <w:t>проєкту</w:t>
            </w:r>
            <w:proofErr w:type="spellEnd"/>
            <w:r w:rsidRPr="007E0AF4">
              <w:rPr>
                <w:sz w:val="22"/>
                <w:highlight w:val="white"/>
              </w:rPr>
              <w:t>:</w:t>
            </w:r>
          </w:p>
          <w:p w:rsidR="001E6C97" w:rsidRPr="007E0AF4" w:rsidRDefault="001E6C97" w:rsidP="000303D7">
            <w:pPr>
              <w:numPr>
                <w:ilvl w:val="0"/>
                <w:numId w:val="114"/>
              </w:numPr>
              <w:jc w:val="left"/>
              <w:rPr>
                <w:sz w:val="22"/>
                <w:highlight w:val="white"/>
              </w:rPr>
            </w:pPr>
            <w:r w:rsidRPr="007E0AF4">
              <w:rPr>
                <w:sz w:val="22"/>
                <w:highlight w:val="white"/>
              </w:rPr>
              <w:t xml:space="preserve">створить безпечні та комфортні умови для надання якісних освітніх послуг; </w:t>
            </w:r>
          </w:p>
          <w:p w:rsidR="001E6C97" w:rsidRPr="007E0AF4" w:rsidRDefault="001E6C97" w:rsidP="000303D7">
            <w:pPr>
              <w:numPr>
                <w:ilvl w:val="0"/>
                <w:numId w:val="114"/>
              </w:numPr>
              <w:jc w:val="left"/>
              <w:rPr>
                <w:sz w:val="22"/>
                <w:highlight w:val="white"/>
              </w:rPr>
            </w:pPr>
            <w:r w:rsidRPr="007E0AF4">
              <w:rPr>
                <w:sz w:val="22"/>
                <w:highlight w:val="white"/>
              </w:rPr>
              <w:t>забезпечить їх системність та безперервність для населення Сєвєродонецької міської територіальної громади;</w:t>
            </w:r>
          </w:p>
          <w:p w:rsidR="001E6C97" w:rsidRPr="007E0AF4" w:rsidRDefault="001E6C97" w:rsidP="000303D7">
            <w:pPr>
              <w:numPr>
                <w:ilvl w:val="0"/>
                <w:numId w:val="114"/>
              </w:numPr>
              <w:jc w:val="left"/>
              <w:rPr>
                <w:sz w:val="22"/>
                <w:highlight w:val="white"/>
              </w:rPr>
            </w:pPr>
            <w:r w:rsidRPr="007E0AF4">
              <w:rPr>
                <w:sz w:val="22"/>
                <w:highlight w:val="white"/>
              </w:rPr>
              <w:t xml:space="preserve"> реалізує права дітей на отримання якісної загальної середньої освіти на усіх її рівнях;</w:t>
            </w:r>
          </w:p>
          <w:p w:rsidR="001E6C97" w:rsidRPr="007E0AF4" w:rsidRDefault="001E6C97" w:rsidP="000303D7">
            <w:pPr>
              <w:numPr>
                <w:ilvl w:val="0"/>
                <w:numId w:val="114"/>
              </w:numPr>
              <w:jc w:val="left"/>
              <w:rPr>
                <w:sz w:val="22"/>
                <w:highlight w:val="white"/>
              </w:rPr>
            </w:pPr>
            <w:r w:rsidRPr="007E0AF4">
              <w:rPr>
                <w:sz w:val="22"/>
                <w:highlight w:val="white"/>
              </w:rPr>
              <w:t>дасть можливість створення нових робочих місць;</w:t>
            </w:r>
          </w:p>
          <w:p w:rsidR="001E6C97" w:rsidRPr="007E0AF4" w:rsidRDefault="001E6C97" w:rsidP="000303D7">
            <w:pPr>
              <w:numPr>
                <w:ilvl w:val="0"/>
                <w:numId w:val="114"/>
              </w:numPr>
              <w:jc w:val="left"/>
              <w:rPr>
                <w:sz w:val="22"/>
                <w:highlight w:val="white"/>
              </w:rPr>
            </w:pPr>
            <w:r w:rsidRPr="007E0AF4">
              <w:rPr>
                <w:sz w:val="22"/>
                <w:highlight w:val="white"/>
              </w:rPr>
              <w:t>стане стимулом до повернення ВПО до громади</w:t>
            </w:r>
            <w:r w:rsidRPr="007E0AF4">
              <w:rPr>
                <w:sz w:val="22"/>
              </w:rPr>
              <w:t>.</w:t>
            </w:r>
          </w:p>
        </w:tc>
      </w:tr>
      <w:tr w:rsidR="001E6C97" w:rsidRPr="007E0AF4" w:rsidTr="001E6C97">
        <w:trPr>
          <w:trHeight w:val="390"/>
        </w:trPr>
        <w:tc>
          <w:tcPr>
            <w:tcW w:w="2978" w:type="dxa"/>
            <w:vMerge w:val="restart"/>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sz w:val="22"/>
              </w:rPr>
            </w:pPr>
            <w:r w:rsidRPr="007E0AF4">
              <w:rPr>
                <w:b/>
                <w:sz w:val="22"/>
              </w:rPr>
              <w:t xml:space="preserve">Очікувані кількісні результати від реалізації </w:t>
            </w:r>
            <w:proofErr w:type="spellStart"/>
            <w:r w:rsidRPr="007E0AF4">
              <w:rPr>
                <w:b/>
                <w:sz w:val="22"/>
              </w:rPr>
              <w:t>проєкту</w:t>
            </w:r>
            <w:proofErr w:type="spellEnd"/>
            <w:r w:rsidRPr="007E0AF4">
              <w:rPr>
                <w:b/>
                <w:sz w:val="22"/>
              </w:rPr>
              <w:t xml:space="preserve">  (індикатори)</w:t>
            </w:r>
          </w:p>
        </w:tc>
        <w:tc>
          <w:tcPr>
            <w:tcW w:w="3402" w:type="dxa"/>
            <w:gridSpan w:val="3"/>
            <w:tcBorders>
              <w:bottom w:val="single" w:sz="4" w:space="0" w:color="000000"/>
              <w:right w:val="single" w:sz="4" w:space="0" w:color="000000"/>
            </w:tcBorders>
          </w:tcPr>
          <w:p w:rsidR="001E6C97" w:rsidRPr="007E0AF4" w:rsidRDefault="001E6C97" w:rsidP="001E6C97">
            <w:pPr>
              <w:pBdr>
                <w:top w:val="nil"/>
                <w:left w:val="nil"/>
                <w:bottom w:val="nil"/>
                <w:right w:val="nil"/>
                <w:between w:val="nil"/>
              </w:pBdr>
              <w:ind w:left="-108"/>
              <w:jc w:val="center"/>
              <w:rPr>
                <w:b/>
                <w:color w:val="000000"/>
                <w:sz w:val="22"/>
              </w:rPr>
            </w:pPr>
            <w:r w:rsidRPr="007E0AF4">
              <w:rPr>
                <w:b/>
                <w:color w:val="000000"/>
                <w:sz w:val="22"/>
              </w:rPr>
              <w:t>Найменування показника</w:t>
            </w:r>
          </w:p>
        </w:tc>
        <w:tc>
          <w:tcPr>
            <w:tcW w:w="2126" w:type="dxa"/>
            <w:gridSpan w:val="2"/>
            <w:tcBorders>
              <w:left w:val="single" w:sz="4" w:space="0" w:color="000000"/>
              <w:bottom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r w:rsidRPr="007E0AF4">
              <w:rPr>
                <w:b/>
                <w:color w:val="000000"/>
                <w:sz w:val="22"/>
              </w:rPr>
              <w:t>Одиниця вимірювання</w:t>
            </w:r>
          </w:p>
          <w:p w:rsidR="001E6C97" w:rsidRPr="007E0AF4" w:rsidRDefault="001E6C97" w:rsidP="001E6C97">
            <w:pPr>
              <w:pBdr>
                <w:top w:val="nil"/>
                <w:left w:val="nil"/>
                <w:bottom w:val="nil"/>
                <w:right w:val="nil"/>
                <w:between w:val="nil"/>
              </w:pBdr>
              <w:rPr>
                <w:b/>
                <w:color w:val="000000"/>
                <w:sz w:val="22"/>
              </w:rPr>
            </w:pPr>
          </w:p>
        </w:tc>
        <w:tc>
          <w:tcPr>
            <w:tcW w:w="1417" w:type="dxa"/>
            <w:gridSpan w:val="2"/>
            <w:tcBorders>
              <w:left w:val="single" w:sz="4" w:space="0" w:color="000000"/>
              <w:bottom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r w:rsidRPr="007E0AF4">
              <w:rPr>
                <w:b/>
                <w:color w:val="000000"/>
                <w:sz w:val="22"/>
              </w:rPr>
              <w:t>Прогнозне (цільове) значення</w:t>
            </w:r>
          </w:p>
        </w:tc>
      </w:tr>
      <w:tr w:rsidR="001E6C97" w:rsidRPr="007E0AF4" w:rsidTr="001E6C97">
        <w:trPr>
          <w:trHeight w:val="585"/>
        </w:trPr>
        <w:tc>
          <w:tcPr>
            <w:tcW w:w="2978" w:type="dxa"/>
            <w:vMerge/>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widowControl w:val="0"/>
              <w:pBdr>
                <w:top w:val="nil"/>
                <w:left w:val="nil"/>
                <w:bottom w:val="nil"/>
                <w:right w:val="nil"/>
                <w:between w:val="nil"/>
              </w:pBdr>
              <w:spacing w:line="276" w:lineRule="auto"/>
              <w:rPr>
                <w:b/>
                <w:color w:val="000000"/>
                <w:sz w:val="22"/>
              </w:rPr>
            </w:pPr>
          </w:p>
        </w:tc>
        <w:tc>
          <w:tcPr>
            <w:tcW w:w="3402" w:type="dxa"/>
            <w:gridSpan w:val="3"/>
            <w:tcBorders>
              <w:top w:val="single" w:sz="4" w:space="0" w:color="000000"/>
              <w:bottom w:val="single" w:sz="4" w:space="0" w:color="000000"/>
              <w:right w:val="single" w:sz="4" w:space="0" w:color="000000"/>
            </w:tcBorders>
          </w:tcPr>
          <w:p w:rsidR="001E6C97" w:rsidRPr="007E0AF4" w:rsidRDefault="001E6C97" w:rsidP="001E6C97">
            <w:pPr>
              <w:rPr>
                <w:color w:val="000000"/>
                <w:sz w:val="22"/>
              </w:rPr>
            </w:pPr>
            <w:r w:rsidRPr="007E0AF4">
              <w:rPr>
                <w:sz w:val="22"/>
                <w:highlight w:val="white"/>
              </w:rPr>
              <w:t>Кількість здобувачів освітніх послуг та працівників закладу</w:t>
            </w:r>
          </w:p>
        </w:tc>
        <w:tc>
          <w:tcPr>
            <w:tcW w:w="2126" w:type="dxa"/>
            <w:gridSpan w:val="2"/>
            <w:tcBorders>
              <w:top w:val="single" w:sz="4" w:space="0" w:color="000000"/>
              <w:left w:val="single" w:sz="4" w:space="0" w:color="000000"/>
              <w:bottom w:val="single" w:sz="4" w:space="0" w:color="000000"/>
              <w:right w:val="single" w:sz="4" w:space="0" w:color="000000"/>
            </w:tcBorders>
            <w:vAlign w:val="center"/>
          </w:tcPr>
          <w:p w:rsidR="001E6C97" w:rsidRPr="007E0AF4" w:rsidRDefault="001E6C97" w:rsidP="001E6C97">
            <w:pPr>
              <w:pBdr>
                <w:top w:val="nil"/>
                <w:left w:val="nil"/>
                <w:bottom w:val="nil"/>
                <w:right w:val="nil"/>
                <w:between w:val="nil"/>
              </w:pBdr>
              <w:jc w:val="center"/>
              <w:rPr>
                <w:color w:val="000000"/>
                <w:sz w:val="22"/>
              </w:rPr>
            </w:pPr>
            <w:r w:rsidRPr="007E0AF4">
              <w:rPr>
                <w:color w:val="000000"/>
                <w:sz w:val="22"/>
              </w:rPr>
              <w:t>осіб</w:t>
            </w:r>
          </w:p>
        </w:tc>
        <w:tc>
          <w:tcPr>
            <w:tcW w:w="1417" w:type="dxa"/>
            <w:gridSpan w:val="2"/>
            <w:tcBorders>
              <w:top w:val="single" w:sz="4" w:space="0" w:color="000000"/>
              <w:left w:val="single" w:sz="4" w:space="0" w:color="000000"/>
              <w:bottom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r w:rsidRPr="007E0AF4">
              <w:rPr>
                <w:color w:val="000000"/>
                <w:sz w:val="22"/>
              </w:rPr>
              <w:t>1</w:t>
            </w:r>
            <w:r w:rsidRPr="007E0AF4">
              <w:rPr>
                <w:sz w:val="22"/>
              </w:rPr>
              <w:t>06</w:t>
            </w:r>
            <w:r w:rsidRPr="007E0AF4">
              <w:rPr>
                <w:color w:val="000000"/>
                <w:sz w:val="22"/>
              </w:rPr>
              <w:t>0</w:t>
            </w:r>
          </w:p>
        </w:tc>
      </w:tr>
      <w:tr w:rsidR="001E6C97" w:rsidRPr="007E0AF4" w:rsidTr="001E6C97">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b/>
                <w:sz w:val="22"/>
              </w:rPr>
            </w:pPr>
            <w:r w:rsidRPr="007E0AF4">
              <w:rPr>
                <w:b/>
                <w:sz w:val="22"/>
              </w:rPr>
              <w:t xml:space="preserve">Ключові заходи </w:t>
            </w:r>
            <w:proofErr w:type="spellStart"/>
            <w:r w:rsidRPr="007E0AF4">
              <w:rPr>
                <w:b/>
                <w:sz w:val="22"/>
              </w:rPr>
              <w:t>проєкту</w:t>
            </w:r>
            <w:proofErr w:type="spellEnd"/>
            <w:r w:rsidRPr="007E0AF4">
              <w:rPr>
                <w:b/>
                <w:sz w:val="22"/>
              </w:rPr>
              <w:t>:</w:t>
            </w:r>
          </w:p>
        </w:tc>
        <w:tc>
          <w:tcPr>
            <w:tcW w:w="6945" w:type="dxa"/>
            <w:gridSpan w:val="7"/>
          </w:tcPr>
          <w:p w:rsidR="001E6C97" w:rsidRPr="007E0AF4" w:rsidRDefault="001E6C97" w:rsidP="001E6C97">
            <w:pPr>
              <w:rPr>
                <w:sz w:val="22"/>
                <w:highlight w:val="white"/>
              </w:rPr>
            </w:pPr>
            <w:r w:rsidRPr="007E0AF4">
              <w:rPr>
                <w:sz w:val="22"/>
                <w:highlight w:val="white"/>
              </w:rPr>
              <w:t>1.Обстеження стану будівлі та проведення експертної оцінки.</w:t>
            </w:r>
          </w:p>
          <w:p w:rsidR="001E6C97" w:rsidRPr="007E0AF4" w:rsidRDefault="001E6C97" w:rsidP="001E6C97">
            <w:pPr>
              <w:rPr>
                <w:sz w:val="22"/>
                <w:highlight w:val="white"/>
              </w:rPr>
            </w:pPr>
            <w:r w:rsidRPr="007E0AF4">
              <w:rPr>
                <w:sz w:val="22"/>
                <w:highlight w:val="white"/>
              </w:rPr>
              <w:t xml:space="preserve">2.Розробка </w:t>
            </w:r>
            <w:proofErr w:type="spellStart"/>
            <w:r w:rsidRPr="007E0AF4">
              <w:rPr>
                <w:sz w:val="22"/>
                <w:highlight w:val="white"/>
              </w:rPr>
              <w:t>проєктно</w:t>
            </w:r>
            <w:proofErr w:type="spellEnd"/>
            <w:r w:rsidRPr="007E0AF4">
              <w:rPr>
                <w:sz w:val="22"/>
                <w:highlight w:val="white"/>
              </w:rPr>
              <w:t xml:space="preserve">-кошторисної документації. </w:t>
            </w:r>
          </w:p>
          <w:p w:rsidR="001E6C97" w:rsidRPr="007E0AF4" w:rsidRDefault="001E6C97" w:rsidP="001E6C97">
            <w:pPr>
              <w:rPr>
                <w:sz w:val="22"/>
                <w:highlight w:val="white"/>
              </w:rPr>
            </w:pPr>
            <w:r w:rsidRPr="007E0AF4">
              <w:rPr>
                <w:sz w:val="22"/>
                <w:highlight w:val="white"/>
              </w:rPr>
              <w:t xml:space="preserve">3.Виконання ремонтних та будівельно-монтажних робіт, а саме: </w:t>
            </w:r>
          </w:p>
          <w:p w:rsidR="001E6C97" w:rsidRPr="007E0AF4" w:rsidRDefault="001E6C97" w:rsidP="001E6C97">
            <w:pPr>
              <w:rPr>
                <w:sz w:val="22"/>
                <w:highlight w:val="white"/>
              </w:rPr>
            </w:pPr>
            <w:r w:rsidRPr="007E0AF4">
              <w:rPr>
                <w:sz w:val="22"/>
                <w:highlight w:val="white"/>
              </w:rPr>
              <w:t>1) капітальний ремонт та утеплення фасадів основного корпусу та прибудов;</w:t>
            </w:r>
          </w:p>
          <w:p w:rsidR="001E6C97" w:rsidRPr="007E0AF4" w:rsidRDefault="001E6C97" w:rsidP="001E6C97">
            <w:pPr>
              <w:rPr>
                <w:sz w:val="22"/>
                <w:highlight w:val="white"/>
              </w:rPr>
            </w:pPr>
            <w:r w:rsidRPr="007E0AF4">
              <w:rPr>
                <w:sz w:val="22"/>
                <w:highlight w:val="white"/>
              </w:rPr>
              <w:t xml:space="preserve">2) капітальний ремонт та оздоблення внутрішніх приміщень основного корпусу та прибудов; </w:t>
            </w:r>
          </w:p>
          <w:p w:rsidR="001E6C97" w:rsidRPr="007E0AF4" w:rsidRDefault="001E6C97" w:rsidP="001E6C97">
            <w:pPr>
              <w:rPr>
                <w:sz w:val="22"/>
                <w:highlight w:val="white"/>
              </w:rPr>
            </w:pPr>
            <w:r w:rsidRPr="007E0AF4">
              <w:rPr>
                <w:sz w:val="22"/>
                <w:highlight w:val="white"/>
              </w:rPr>
              <w:t xml:space="preserve">3) капітальний ремонт шиферного даху основного корпусу та </w:t>
            </w:r>
            <w:proofErr w:type="spellStart"/>
            <w:r w:rsidRPr="007E0AF4">
              <w:rPr>
                <w:sz w:val="22"/>
                <w:highlight w:val="white"/>
              </w:rPr>
              <w:t>мʼякої</w:t>
            </w:r>
            <w:proofErr w:type="spellEnd"/>
            <w:r w:rsidRPr="007E0AF4">
              <w:rPr>
                <w:sz w:val="22"/>
                <w:highlight w:val="white"/>
              </w:rPr>
              <w:t xml:space="preserve"> крівлі прибудов; </w:t>
            </w:r>
          </w:p>
          <w:p w:rsidR="001E6C97" w:rsidRPr="007E0AF4" w:rsidRDefault="001E6C97" w:rsidP="001E6C97">
            <w:pPr>
              <w:rPr>
                <w:sz w:val="22"/>
                <w:highlight w:val="white"/>
              </w:rPr>
            </w:pPr>
            <w:r w:rsidRPr="007E0AF4">
              <w:rPr>
                <w:sz w:val="22"/>
                <w:highlight w:val="white"/>
              </w:rPr>
              <w:t xml:space="preserve">4) встановлення вікон та дверей в основному корпусі та прибудовах; </w:t>
            </w:r>
          </w:p>
          <w:p w:rsidR="001E6C97" w:rsidRPr="007E0AF4" w:rsidRDefault="001E6C97" w:rsidP="001E6C97">
            <w:pPr>
              <w:rPr>
                <w:sz w:val="22"/>
                <w:highlight w:val="white"/>
              </w:rPr>
            </w:pPr>
            <w:r w:rsidRPr="007E0AF4">
              <w:rPr>
                <w:sz w:val="22"/>
                <w:highlight w:val="white"/>
              </w:rPr>
              <w:t xml:space="preserve">5) монтаж системи опалення; </w:t>
            </w:r>
          </w:p>
          <w:p w:rsidR="001E6C97" w:rsidRPr="007E0AF4" w:rsidRDefault="001E6C97" w:rsidP="001E6C97">
            <w:pPr>
              <w:rPr>
                <w:sz w:val="22"/>
                <w:highlight w:val="white"/>
              </w:rPr>
            </w:pPr>
            <w:r w:rsidRPr="007E0AF4">
              <w:rPr>
                <w:sz w:val="22"/>
                <w:highlight w:val="white"/>
              </w:rPr>
              <w:t>6) монтаж системи електропостачання та освітлення;</w:t>
            </w:r>
          </w:p>
          <w:p w:rsidR="001E6C97" w:rsidRPr="007E0AF4" w:rsidRDefault="001E6C97" w:rsidP="001E6C97">
            <w:pPr>
              <w:rPr>
                <w:sz w:val="22"/>
                <w:highlight w:val="white"/>
              </w:rPr>
            </w:pPr>
            <w:r w:rsidRPr="007E0AF4">
              <w:rPr>
                <w:sz w:val="22"/>
                <w:highlight w:val="white"/>
              </w:rPr>
              <w:t>7) монтаж системи водопостачання та водовідведення;</w:t>
            </w:r>
          </w:p>
          <w:p w:rsidR="001E6C97" w:rsidRPr="007E0AF4" w:rsidRDefault="001E6C97" w:rsidP="001E6C97">
            <w:pPr>
              <w:rPr>
                <w:sz w:val="22"/>
                <w:highlight w:val="white"/>
              </w:rPr>
            </w:pPr>
            <w:r w:rsidRPr="007E0AF4">
              <w:rPr>
                <w:sz w:val="22"/>
                <w:highlight w:val="white"/>
              </w:rPr>
              <w:t>8) монтаж протипожежної сигналізації основного корпусу та прибудов;</w:t>
            </w:r>
          </w:p>
          <w:p w:rsidR="001E6C97" w:rsidRPr="007E0AF4" w:rsidRDefault="001E6C97" w:rsidP="001E6C97">
            <w:pPr>
              <w:rPr>
                <w:sz w:val="22"/>
                <w:highlight w:val="white"/>
              </w:rPr>
            </w:pPr>
            <w:r w:rsidRPr="007E0AF4">
              <w:rPr>
                <w:sz w:val="22"/>
                <w:highlight w:val="white"/>
              </w:rPr>
              <w:t xml:space="preserve">9) улаштування укриття, що відповідає сучасним технічним нормам та правилам облаштування. </w:t>
            </w:r>
          </w:p>
          <w:p w:rsidR="001E6C97" w:rsidRPr="007E0AF4" w:rsidRDefault="001E6C97" w:rsidP="001E6C97">
            <w:pPr>
              <w:rPr>
                <w:sz w:val="22"/>
                <w:highlight w:val="white"/>
              </w:rPr>
            </w:pPr>
            <w:r w:rsidRPr="007E0AF4">
              <w:rPr>
                <w:sz w:val="22"/>
                <w:highlight w:val="white"/>
              </w:rPr>
              <w:t xml:space="preserve">4.Пуско - налагоджувальні роботи. </w:t>
            </w:r>
          </w:p>
          <w:p w:rsidR="001E6C97" w:rsidRPr="007E0AF4" w:rsidRDefault="001E6C97" w:rsidP="001E6C97">
            <w:pPr>
              <w:rPr>
                <w:sz w:val="22"/>
              </w:rPr>
            </w:pPr>
            <w:r w:rsidRPr="007E0AF4">
              <w:rPr>
                <w:sz w:val="22"/>
                <w:highlight w:val="white"/>
              </w:rPr>
              <w:t>5.Благоустрій території.</w:t>
            </w:r>
          </w:p>
          <w:p w:rsidR="001E6C97" w:rsidRPr="007E0AF4" w:rsidRDefault="001E6C97" w:rsidP="003207A1">
            <w:pPr>
              <w:jc w:val="left"/>
              <w:rPr>
                <w:sz w:val="22"/>
              </w:rPr>
            </w:pPr>
            <w:r w:rsidRPr="007E0AF4">
              <w:rPr>
                <w:sz w:val="22"/>
              </w:rPr>
              <w:t xml:space="preserve">6. </w:t>
            </w:r>
            <w:r w:rsidRPr="007E0AF4">
              <w:rPr>
                <w:sz w:val="22"/>
                <w:highlight w:val="white"/>
              </w:rPr>
              <w:t xml:space="preserve">Відновлення діяльності Ліцею “КОЛЕГІУМ” міста Сєверодонецька Луганської області в </w:t>
            </w:r>
            <w:proofErr w:type="spellStart"/>
            <w:r w:rsidRPr="007E0AF4">
              <w:rPr>
                <w:sz w:val="22"/>
                <w:highlight w:val="white"/>
              </w:rPr>
              <w:t>офлайн</w:t>
            </w:r>
            <w:proofErr w:type="spellEnd"/>
            <w:r w:rsidRPr="007E0AF4">
              <w:rPr>
                <w:sz w:val="22"/>
                <w:highlight w:val="white"/>
              </w:rPr>
              <w:t xml:space="preserve"> форматі.</w:t>
            </w:r>
          </w:p>
        </w:tc>
      </w:tr>
      <w:tr w:rsidR="001E6C97" w:rsidRPr="007E0AF4" w:rsidTr="001E6C97">
        <w:trPr>
          <w:trHeight w:val="360"/>
        </w:trPr>
        <w:tc>
          <w:tcPr>
            <w:tcW w:w="2978" w:type="dxa"/>
            <w:vMerge w:val="restart"/>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b/>
                <w:sz w:val="22"/>
              </w:rPr>
            </w:pPr>
            <w:r w:rsidRPr="007E0AF4">
              <w:rPr>
                <w:b/>
                <w:sz w:val="22"/>
              </w:rPr>
              <w:t>Орієнтовний обсяг та джерела фінансування тис. гривень</w:t>
            </w:r>
          </w:p>
        </w:tc>
        <w:tc>
          <w:tcPr>
            <w:tcW w:w="1559" w:type="dxa"/>
            <w:tcBorders>
              <w:bottom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r w:rsidRPr="007E0AF4">
              <w:rPr>
                <w:b/>
                <w:color w:val="000000"/>
                <w:sz w:val="22"/>
              </w:rPr>
              <w:t>Державний бюджет</w:t>
            </w:r>
          </w:p>
        </w:tc>
        <w:tc>
          <w:tcPr>
            <w:tcW w:w="1276" w:type="dxa"/>
            <w:tcBorders>
              <w:bottom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r w:rsidRPr="007E0AF4">
              <w:rPr>
                <w:b/>
                <w:color w:val="000000"/>
                <w:sz w:val="22"/>
              </w:rPr>
              <w:t>Місцевий бюджет</w:t>
            </w:r>
          </w:p>
        </w:tc>
        <w:tc>
          <w:tcPr>
            <w:tcW w:w="2976" w:type="dxa"/>
            <w:gridSpan w:val="4"/>
            <w:tcBorders>
              <w:left w:val="single" w:sz="4" w:space="0" w:color="000000"/>
              <w:bottom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r w:rsidRPr="007E0AF4">
              <w:rPr>
                <w:b/>
                <w:color w:val="000000"/>
                <w:sz w:val="22"/>
              </w:rPr>
              <w:t>Інші джерела</w:t>
            </w:r>
          </w:p>
        </w:tc>
        <w:tc>
          <w:tcPr>
            <w:tcW w:w="1134" w:type="dxa"/>
            <w:tcBorders>
              <w:left w:val="single" w:sz="4" w:space="0" w:color="000000"/>
              <w:bottom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r w:rsidRPr="007E0AF4">
              <w:rPr>
                <w:b/>
                <w:color w:val="000000"/>
                <w:sz w:val="22"/>
              </w:rPr>
              <w:t>Всього</w:t>
            </w:r>
          </w:p>
        </w:tc>
      </w:tr>
      <w:tr w:rsidR="001E6C97" w:rsidRPr="007E0AF4" w:rsidTr="001E6C97">
        <w:trPr>
          <w:trHeight w:val="225"/>
        </w:trPr>
        <w:tc>
          <w:tcPr>
            <w:tcW w:w="2978" w:type="dxa"/>
            <w:vMerge/>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widowControl w:val="0"/>
              <w:pBdr>
                <w:top w:val="nil"/>
                <w:left w:val="nil"/>
                <w:bottom w:val="nil"/>
                <w:right w:val="nil"/>
                <w:between w:val="nil"/>
              </w:pBdr>
              <w:spacing w:line="276" w:lineRule="auto"/>
              <w:rPr>
                <w:b/>
                <w:color w:val="000000"/>
                <w:sz w:val="22"/>
              </w:rPr>
            </w:pPr>
          </w:p>
        </w:tc>
        <w:tc>
          <w:tcPr>
            <w:tcW w:w="1559" w:type="dxa"/>
            <w:vMerge w:val="restart"/>
            <w:tcBorders>
              <w:top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sz w:val="22"/>
              </w:rPr>
            </w:pPr>
            <w:r w:rsidRPr="007E0AF4">
              <w:rPr>
                <w:sz w:val="22"/>
              </w:rPr>
              <w:t>150000,0</w:t>
            </w:r>
          </w:p>
        </w:tc>
        <w:tc>
          <w:tcPr>
            <w:tcW w:w="1276" w:type="dxa"/>
            <w:vMerge w:val="restart"/>
            <w:tcBorders>
              <w:top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p>
        </w:tc>
        <w:tc>
          <w:tcPr>
            <w:tcW w:w="1134" w:type="dxa"/>
            <w:gridSpan w:val="2"/>
            <w:tcBorders>
              <w:top w:val="single" w:sz="4" w:space="0" w:color="000000"/>
              <w:left w:val="single" w:sz="4" w:space="0" w:color="000000"/>
              <w:bottom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r w:rsidRPr="007E0AF4">
              <w:rPr>
                <w:b/>
                <w:color w:val="000000"/>
                <w:sz w:val="22"/>
              </w:rPr>
              <w:t>Обсяг</w:t>
            </w:r>
          </w:p>
        </w:tc>
        <w:tc>
          <w:tcPr>
            <w:tcW w:w="1842" w:type="dxa"/>
            <w:gridSpan w:val="2"/>
            <w:tcBorders>
              <w:top w:val="single" w:sz="4" w:space="0" w:color="000000"/>
              <w:left w:val="single" w:sz="4" w:space="0" w:color="000000"/>
              <w:bottom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r w:rsidRPr="007E0AF4">
              <w:rPr>
                <w:b/>
                <w:color w:val="000000"/>
                <w:sz w:val="22"/>
              </w:rPr>
              <w:t>Назва джерела</w:t>
            </w:r>
          </w:p>
        </w:tc>
        <w:tc>
          <w:tcPr>
            <w:tcW w:w="1134" w:type="dxa"/>
            <w:vMerge w:val="restart"/>
            <w:tcBorders>
              <w:top w:val="single" w:sz="4" w:space="0" w:color="000000"/>
              <w:left w:val="single" w:sz="4" w:space="0" w:color="000000"/>
            </w:tcBorders>
          </w:tcPr>
          <w:p w:rsidR="001E6C97" w:rsidRPr="007E0AF4" w:rsidRDefault="001E6C97" w:rsidP="001E6C97">
            <w:pPr>
              <w:pBdr>
                <w:top w:val="nil"/>
                <w:left w:val="nil"/>
                <w:bottom w:val="nil"/>
                <w:right w:val="nil"/>
                <w:between w:val="nil"/>
              </w:pBdr>
              <w:jc w:val="center"/>
              <w:rPr>
                <w:color w:val="000000"/>
                <w:sz w:val="22"/>
              </w:rPr>
            </w:pPr>
            <w:r w:rsidRPr="007E0AF4">
              <w:rPr>
                <w:sz w:val="22"/>
              </w:rPr>
              <w:t>200000,0</w:t>
            </w:r>
          </w:p>
        </w:tc>
      </w:tr>
      <w:tr w:rsidR="001E6C97" w:rsidRPr="007E0AF4" w:rsidTr="001E6C97">
        <w:trPr>
          <w:trHeight w:val="300"/>
        </w:trPr>
        <w:tc>
          <w:tcPr>
            <w:tcW w:w="2978" w:type="dxa"/>
            <w:vMerge/>
            <w:tcBorders>
              <w:top w:val="single" w:sz="6" w:space="0" w:color="000000"/>
              <w:left w:val="single" w:sz="6" w:space="0" w:color="000000"/>
              <w:right w:val="single" w:sz="6" w:space="0" w:color="000000"/>
            </w:tcBorders>
            <w:shd w:val="clear" w:color="auto" w:fill="C6D9F1" w:themeFill="text2" w:themeFillTint="33"/>
          </w:tcPr>
          <w:p w:rsidR="001E6C97" w:rsidRPr="007E0AF4" w:rsidRDefault="001E6C97" w:rsidP="001E6C97">
            <w:pPr>
              <w:widowControl w:val="0"/>
              <w:pBdr>
                <w:top w:val="nil"/>
                <w:left w:val="nil"/>
                <w:bottom w:val="nil"/>
                <w:right w:val="nil"/>
                <w:between w:val="nil"/>
              </w:pBdr>
              <w:spacing w:line="276" w:lineRule="auto"/>
              <w:rPr>
                <w:color w:val="000000"/>
                <w:sz w:val="22"/>
              </w:rPr>
            </w:pPr>
          </w:p>
        </w:tc>
        <w:tc>
          <w:tcPr>
            <w:tcW w:w="1559" w:type="dxa"/>
            <w:vMerge/>
            <w:tcBorders>
              <w:top w:val="single" w:sz="4" w:space="0" w:color="000000"/>
              <w:right w:val="single" w:sz="4" w:space="0" w:color="000000"/>
            </w:tcBorders>
          </w:tcPr>
          <w:p w:rsidR="001E6C97" w:rsidRPr="007E0AF4" w:rsidRDefault="001E6C97" w:rsidP="001E6C97">
            <w:pPr>
              <w:widowControl w:val="0"/>
              <w:pBdr>
                <w:top w:val="nil"/>
                <w:left w:val="nil"/>
                <w:bottom w:val="nil"/>
                <w:right w:val="nil"/>
                <w:between w:val="nil"/>
              </w:pBdr>
              <w:spacing w:line="276" w:lineRule="auto"/>
              <w:rPr>
                <w:color w:val="000000"/>
                <w:sz w:val="22"/>
              </w:rPr>
            </w:pPr>
          </w:p>
        </w:tc>
        <w:tc>
          <w:tcPr>
            <w:tcW w:w="1276" w:type="dxa"/>
            <w:vMerge/>
            <w:tcBorders>
              <w:top w:val="single" w:sz="4" w:space="0" w:color="000000"/>
              <w:right w:val="single" w:sz="4" w:space="0" w:color="000000"/>
            </w:tcBorders>
          </w:tcPr>
          <w:p w:rsidR="001E6C97" w:rsidRPr="007E0AF4" w:rsidRDefault="001E6C97" w:rsidP="001E6C97">
            <w:pPr>
              <w:widowControl w:val="0"/>
              <w:pBdr>
                <w:top w:val="nil"/>
                <w:left w:val="nil"/>
                <w:bottom w:val="nil"/>
                <w:right w:val="nil"/>
                <w:between w:val="nil"/>
              </w:pBdr>
              <w:spacing w:line="276" w:lineRule="auto"/>
              <w:rPr>
                <w:color w:val="000000"/>
                <w:sz w:val="22"/>
              </w:rPr>
            </w:pPr>
          </w:p>
        </w:tc>
        <w:tc>
          <w:tcPr>
            <w:tcW w:w="1134" w:type="dxa"/>
            <w:gridSpan w:val="2"/>
            <w:tcBorders>
              <w:top w:val="single" w:sz="4" w:space="0" w:color="000000"/>
              <w:left w:val="single" w:sz="4" w:space="0" w:color="000000"/>
              <w:right w:val="single" w:sz="4" w:space="0" w:color="000000"/>
            </w:tcBorders>
          </w:tcPr>
          <w:p w:rsidR="001E6C97" w:rsidRPr="007E0AF4" w:rsidRDefault="001E6C97" w:rsidP="001E6C97">
            <w:pPr>
              <w:pBdr>
                <w:top w:val="nil"/>
                <w:left w:val="nil"/>
                <w:bottom w:val="nil"/>
                <w:right w:val="nil"/>
                <w:between w:val="nil"/>
              </w:pBdr>
              <w:rPr>
                <w:b/>
                <w:color w:val="000000"/>
                <w:sz w:val="22"/>
              </w:rPr>
            </w:pPr>
            <w:r w:rsidRPr="007E0AF4">
              <w:rPr>
                <w:sz w:val="22"/>
              </w:rPr>
              <w:t>50000,0</w:t>
            </w:r>
          </w:p>
        </w:tc>
        <w:tc>
          <w:tcPr>
            <w:tcW w:w="1842" w:type="dxa"/>
            <w:gridSpan w:val="2"/>
            <w:tcBorders>
              <w:top w:val="single" w:sz="4" w:space="0" w:color="000000"/>
              <w:left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color w:val="000000"/>
                <w:sz w:val="22"/>
              </w:rPr>
            </w:pPr>
            <w:r w:rsidRPr="007E0AF4">
              <w:rPr>
                <w:color w:val="000000"/>
                <w:sz w:val="22"/>
              </w:rPr>
              <w:t>Міжнародні інвестиції, кошти приватних осіб</w:t>
            </w:r>
          </w:p>
        </w:tc>
        <w:tc>
          <w:tcPr>
            <w:tcW w:w="1134" w:type="dxa"/>
            <w:vMerge/>
            <w:tcBorders>
              <w:top w:val="single" w:sz="4" w:space="0" w:color="000000"/>
              <w:left w:val="single" w:sz="4" w:space="0" w:color="000000"/>
            </w:tcBorders>
          </w:tcPr>
          <w:p w:rsidR="001E6C97" w:rsidRPr="007E0AF4" w:rsidRDefault="001E6C97" w:rsidP="001E6C97">
            <w:pPr>
              <w:widowControl w:val="0"/>
              <w:pBdr>
                <w:top w:val="nil"/>
                <w:left w:val="nil"/>
                <w:bottom w:val="nil"/>
                <w:right w:val="nil"/>
                <w:between w:val="nil"/>
              </w:pBdr>
              <w:spacing w:line="276" w:lineRule="auto"/>
              <w:rPr>
                <w:color w:val="000000"/>
                <w:sz w:val="22"/>
              </w:rPr>
            </w:pPr>
          </w:p>
        </w:tc>
      </w:tr>
    </w:tbl>
    <w:p w:rsidR="002E3647" w:rsidRPr="007E0AF4" w:rsidRDefault="002E3647" w:rsidP="00E95FB1">
      <w:pPr>
        <w:rPr>
          <w:sz w:val="22"/>
        </w:rPr>
      </w:pPr>
    </w:p>
    <w:p w:rsidR="002E3647" w:rsidRPr="007E0AF4" w:rsidRDefault="002E3647" w:rsidP="00E95FB1">
      <w:pPr>
        <w:rPr>
          <w:sz w:val="22"/>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8"/>
        <w:gridCol w:w="1559"/>
        <w:gridCol w:w="1276"/>
        <w:gridCol w:w="425"/>
        <w:gridCol w:w="709"/>
        <w:gridCol w:w="1019"/>
        <w:gridCol w:w="823"/>
        <w:gridCol w:w="1134"/>
      </w:tblGrid>
      <w:tr w:rsidR="001E6C97" w:rsidRPr="007E0AF4" w:rsidTr="001E6C97">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sz w:val="22"/>
              </w:rPr>
            </w:pPr>
            <w:r w:rsidRPr="007E0AF4">
              <w:rPr>
                <w:b/>
                <w:sz w:val="22"/>
              </w:rPr>
              <w:t>Оперативна ціль/завдання</w:t>
            </w:r>
          </w:p>
        </w:tc>
        <w:tc>
          <w:tcPr>
            <w:tcW w:w="6945" w:type="dxa"/>
            <w:gridSpan w:val="7"/>
          </w:tcPr>
          <w:p w:rsidR="001E6C97" w:rsidRPr="007E0AF4" w:rsidRDefault="001E6C97" w:rsidP="001E6C97">
            <w:pPr>
              <w:rPr>
                <w:sz w:val="22"/>
              </w:rPr>
            </w:pPr>
            <w:r w:rsidRPr="007E0AF4">
              <w:rPr>
                <w:color w:val="222222"/>
                <w:sz w:val="22"/>
                <w:highlight w:val="white"/>
              </w:rPr>
              <w:t xml:space="preserve">Людський розвиток через інновації управління та довіру до влади. Формування сучасного інклюзивного  </w:t>
            </w:r>
            <w:proofErr w:type="spellStart"/>
            <w:r w:rsidRPr="007E0AF4">
              <w:rPr>
                <w:color w:val="222222"/>
                <w:sz w:val="22"/>
                <w:highlight w:val="white"/>
              </w:rPr>
              <w:t>освітньо</w:t>
            </w:r>
            <w:proofErr w:type="spellEnd"/>
            <w:r w:rsidRPr="007E0AF4">
              <w:rPr>
                <w:color w:val="222222"/>
                <w:sz w:val="22"/>
                <w:highlight w:val="white"/>
              </w:rPr>
              <w:t>-культурного та спортивного простору для розвитку.</w:t>
            </w:r>
          </w:p>
        </w:tc>
      </w:tr>
      <w:tr w:rsidR="001E6C97" w:rsidRPr="007E0AF4" w:rsidTr="001E6C97">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sz w:val="22"/>
              </w:rPr>
            </w:pPr>
            <w:r w:rsidRPr="007E0AF4">
              <w:rPr>
                <w:b/>
                <w:sz w:val="22"/>
              </w:rPr>
              <w:t xml:space="preserve">Назва </w:t>
            </w:r>
            <w:proofErr w:type="spellStart"/>
            <w:r w:rsidRPr="007E0AF4">
              <w:rPr>
                <w:b/>
                <w:sz w:val="22"/>
              </w:rPr>
              <w:t>проєкту</w:t>
            </w:r>
            <w:proofErr w:type="spellEnd"/>
            <w:r w:rsidRPr="007E0AF4">
              <w:rPr>
                <w:b/>
                <w:sz w:val="22"/>
              </w:rPr>
              <w:t>:</w:t>
            </w:r>
          </w:p>
        </w:tc>
        <w:tc>
          <w:tcPr>
            <w:tcW w:w="6945" w:type="dxa"/>
            <w:gridSpan w:val="7"/>
          </w:tcPr>
          <w:p w:rsidR="001E6C97" w:rsidRPr="007E0AF4" w:rsidRDefault="001E6C97" w:rsidP="001E6C97">
            <w:pPr>
              <w:rPr>
                <w:sz w:val="22"/>
              </w:rPr>
            </w:pPr>
            <w:r w:rsidRPr="007E0AF4">
              <w:rPr>
                <w:sz w:val="22"/>
                <w:highlight w:val="white"/>
              </w:rPr>
              <w:t>Відновлення освітньої діяльності та поновлення матеріально-технічної бази  Ліцею "КОЛЕГІУМ" міста Сєвєродонецька Луганської області, вулиця Гоголя, будинок 37.</w:t>
            </w:r>
          </w:p>
        </w:tc>
      </w:tr>
      <w:tr w:rsidR="001E6C97" w:rsidRPr="007E0AF4" w:rsidTr="001E6C97">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sz w:val="22"/>
              </w:rPr>
            </w:pPr>
            <w:r w:rsidRPr="007E0AF4">
              <w:rPr>
                <w:b/>
                <w:sz w:val="22"/>
              </w:rPr>
              <w:t xml:space="preserve">Ціль </w:t>
            </w:r>
            <w:proofErr w:type="spellStart"/>
            <w:r w:rsidRPr="007E0AF4">
              <w:rPr>
                <w:b/>
                <w:sz w:val="22"/>
              </w:rPr>
              <w:t>проєкту</w:t>
            </w:r>
            <w:proofErr w:type="spellEnd"/>
          </w:p>
        </w:tc>
        <w:tc>
          <w:tcPr>
            <w:tcW w:w="6945" w:type="dxa"/>
            <w:gridSpan w:val="7"/>
          </w:tcPr>
          <w:p w:rsidR="001E6C97" w:rsidRPr="007E0AF4" w:rsidRDefault="001E6C97" w:rsidP="001E6C97">
            <w:pPr>
              <w:rPr>
                <w:color w:val="000000"/>
                <w:sz w:val="22"/>
              </w:rPr>
            </w:pPr>
            <w:r w:rsidRPr="007E0AF4">
              <w:rPr>
                <w:sz w:val="22"/>
                <w:highlight w:val="white"/>
              </w:rPr>
              <w:t>Відновити роботу Ліцею "КОЛЕГІУМ" міста Сєвєродонецька Луганської області. Створити комфортні та безпечні умови для повноцінного і всебічного розвитку дітей шкільного віку, забезпечити реалізацію прав дітей С</w:t>
            </w:r>
            <w:r w:rsidRPr="007E0AF4">
              <w:rPr>
                <w:sz w:val="22"/>
              </w:rPr>
              <w:t>євєродонецької міської територіальної громади</w:t>
            </w:r>
            <w:r w:rsidRPr="007E0AF4">
              <w:rPr>
                <w:sz w:val="22"/>
                <w:highlight w:val="white"/>
              </w:rPr>
              <w:t xml:space="preserve"> на здобуття початкової, базової та повної загальної середньої освіти, їх </w:t>
            </w:r>
            <w:r w:rsidRPr="007E0AF4">
              <w:rPr>
                <w:sz w:val="22"/>
                <w:highlight w:val="white"/>
              </w:rPr>
              <w:lastRenderedPageBreak/>
              <w:t>фізичний і духовний розвиток, соціальну адаптацію, інтелектуальний розвиток, а також саморозвиток, самореалізацію та самовизначення здобувачів освіти як цілісної особистості відповідно до норм чинного законодавства шляхом відновлення матеріально-технічної бази Ліцею "КОЛЕГІУМ".</w:t>
            </w:r>
          </w:p>
        </w:tc>
      </w:tr>
      <w:tr w:rsidR="001E6C97" w:rsidRPr="007E0AF4" w:rsidTr="001E6C97">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sz w:val="22"/>
              </w:rPr>
            </w:pPr>
            <w:r w:rsidRPr="007E0AF4">
              <w:rPr>
                <w:b/>
                <w:sz w:val="22"/>
              </w:rPr>
              <w:lastRenderedPageBreak/>
              <w:t xml:space="preserve">Територія, на яку матиме вплив реалізація </w:t>
            </w:r>
            <w:proofErr w:type="spellStart"/>
            <w:r w:rsidRPr="007E0AF4">
              <w:rPr>
                <w:b/>
                <w:sz w:val="22"/>
              </w:rPr>
              <w:t>проєкту</w:t>
            </w:r>
            <w:proofErr w:type="spellEnd"/>
          </w:p>
        </w:tc>
        <w:tc>
          <w:tcPr>
            <w:tcW w:w="6945" w:type="dxa"/>
            <w:gridSpan w:val="7"/>
          </w:tcPr>
          <w:p w:rsidR="001E6C97" w:rsidRPr="007E0AF4" w:rsidRDefault="001E6C97" w:rsidP="001E6C97">
            <w:pPr>
              <w:rPr>
                <w:color w:val="000000"/>
                <w:sz w:val="22"/>
              </w:rPr>
            </w:pPr>
            <w:r w:rsidRPr="007E0AF4">
              <w:rPr>
                <w:sz w:val="22"/>
              </w:rPr>
              <w:t>Сєвєродонецька міська територіальна громада</w:t>
            </w:r>
          </w:p>
        </w:tc>
      </w:tr>
      <w:tr w:rsidR="001E6C97" w:rsidRPr="007E0AF4" w:rsidTr="001E6C97">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sz w:val="22"/>
              </w:rPr>
            </w:pPr>
            <w:r w:rsidRPr="007E0AF4">
              <w:rPr>
                <w:b/>
                <w:sz w:val="22"/>
              </w:rPr>
              <w:t xml:space="preserve">Чисельність населення, на яке матиме вплив реалізація </w:t>
            </w:r>
            <w:proofErr w:type="spellStart"/>
            <w:r w:rsidRPr="007E0AF4">
              <w:rPr>
                <w:b/>
                <w:sz w:val="22"/>
              </w:rPr>
              <w:t>проєкту</w:t>
            </w:r>
            <w:proofErr w:type="spellEnd"/>
          </w:p>
        </w:tc>
        <w:tc>
          <w:tcPr>
            <w:tcW w:w="6945" w:type="dxa"/>
            <w:gridSpan w:val="7"/>
          </w:tcPr>
          <w:p w:rsidR="001E6C97" w:rsidRPr="007E0AF4" w:rsidRDefault="001E6C97" w:rsidP="001E6C97">
            <w:pPr>
              <w:pBdr>
                <w:top w:val="nil"/>
                <w:left w:val="nil"/>
                <w:bottom w:val="nil"/>
                <w:right w:val="nil"/>
                <w:between w:val="nil"/>
              </w:pBdr>
              <w:rPr>
                <w:color w:val="000000"/>
                <w:sz w:val="22"/>
              </w:rPr>
            </w:pPr>
            <w:r w:rsidRPr="007E0AF4">
              <w:rPr>
                <w:color w:val="000000"/>
                <w:sz w:val="22"/>
              </w:rPr>
              <w:t>70 000  осіб</w:t>
            </w:r>
          </w:p>
        </w:tc>
      </w:tr>
      <w:tr w:rsidR="001E6C97" w:rsidRPr="007E0AF4" w:rsidTr="001E6C97">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sz w:val="22"/>
              </w:rPr>
            </w:pPr>
            <w:r w:rsidRPr="007E0AF4">
              <w:rPr>
                <w:b/>
                <w:sz w:val="22"/>
              </w:rPr>
              <w:t xml:space="preserve">Опис проблеми, на вирішення якої спрямований </w:t>
            </w:r>
            <w:proofErr w:type="spellStart"/>
            <w:r w:rsidRPr="007E0AF4">
              <w:rPr>
                <w:b/>
                <w:sz w:val="22"/>
              </w:rPr>
              <w:t>проєкт</w:t>
            </w:r>
            <w:proofErr w:type="spellEnd"/>
          </w:p>
        </w:tc>
        <w:tc>
          <w:tcPr>
            <w:tcW w:w="6945" w:type="dxa"/>
            <w:gridSpan w:val="7"/>
          </w:tcPr>
          <w:p w:rsidR="001E6C97" w:rsidRPr="007E0AF4" w:rsidRDefault="001E6C97" w:rsidP="001E6C97">
            <w:pPr>
              <w:rPr>
                <w:sz w:val="22"/>
                <w:highlight w:val="white"/>
              </w:rPr>
            </w:pPr>
            <w:r w:rsidRPr="007E0AF4">
              <w:rPr>
                <w:sz w:val="22"/>
                <w:highlight w:val="white"/>
              </w:rPr>
              <w:t>Через військову агресію РФ та у результаті ведення бойових дій на території Сєвєродонецької міської громади будівля Ліцею "КОЛЕГІУМ" зазнала значних пошкоджень. Через це та мародерство матеріально-технічна база теж зазнала значних втрат. Меблі, обладнання, дидактичні та методичні матеріали, комп'ютерна техніка, обладнання кабінетів технічної та обслуговуючої праці, спортивних залів, ресурсної кімнати, актової зали, медичного пункту, їдальні та кухні було або розбито, або розграбовано. Усе це унеможливлює впровадження якісного освітнього процесу на території закладу та порушує право дітей на здобуття якісної загальної середньої освіти.</w:t>
            </w:r>
          </w:p>
          <w:p w:rsidR="001E6C97" w:rsidRPr="007E0AF4" w:rsidRDefault="001E6C97" w:rsidP="001E6C97">
            <w:pPr>
              <w:rPr>
                <w:sz w:val="22"/>
                <w:highlight w:val="white"/>
              </w:rPr>
            </w:pPr>
            <w:r w:rsidRPr="007E0AF4">
              <w:rPr>
                <w:sz w:val="22"/>
                <w:highlight w:val="white"/>
              </w:rPr>
              <w:t>Для відбудови та сталого розвитку громади потрібне відновлення роботи мережі закладів освіти, у тому числі й Ліцею "КОЛЕГІУМ". Мешканці громади потребують отримання якісних освітніх послуг, які відповідають нормам сучасності.</w:t>
            </w:r>
          </w:p>
        </w:tc>
      </w:tr>
      <w:tr w:rsidR="001E6C97" w:rsidRPr="007E0AF4" w:rsidTr="001E6C97">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sz w:val="22"/>
              </w:rPr>
            </w:pPr>
            <w:r w:rsidRPr="007E0AF4">
              <w:rPr>
                <w:b/>
                <w:sz w:val="22"/>
              </w:rPr>
              <w:t xml:space="preserve">Очікувані якісні результати від реалізації </w:t>
            </w:r>
            <w:proofErr w:type="spellStart"/>
            <w:r w:rsidRPr="007E0AF4">
              <w:rPr>
                <w:b/>
                <w:sz w:val="22"/>
              </w:rPr>
              <w:t>проєкту</w:t>
            </w:r>
            <w:proofErr w:type="spellEnd"/>
          </w:p>
        </w:tc>
        <w:tc>
          <w:tcPr>
            <w:tcW w:w="6945" w:type="dxa"/>
            <w:gridSpan w:val="7"/>
          </w:tcPr>
          <w:p w:rsidR="001E6C97" w:rsidRPr="007E0AF4" w:rsidRDefault="001E6C97" w:rsidP="001E6C97">
            <w:pPr>
              <w:rPr>
                <w:sz w:val="22"/>
                <w:highlight w:val="white"/>
              </w:rPr>
            </w:pPr>
            <w:r w:rsidRPr="007E0AF4">
              <w:rPr>
                <w:sz w:val="22"/>
                <w:highlight w:val="white"/>
              </w:rPr>
              <w:t xml:space="preserve">Реалізація </w:t>
            </w:r>
            <w:proofErr w:type="spellStart"/>
            <w:r w:rsidRPr="007E0AF4">
              <w:rPr>
                <w:sz w:val="22"/>
                <w:highlight w:val="white"/>
              </w:rPr>
              <w:t>проєкту</w:t>
            </w:r>
            <w:proofErr w:type="spellEnd"/>
            <w:r w:rsidRPr="007E0AF4">
              <w:rPr>
                <w:sz w:val="22"/>
                <w:highlight w:val="white"/>
              </w:rPr>
              <w:t>:</w:t>
            </w:r>
          </w:p>
          <w:p w:rsidR="001E6C97" w:rsidRPr="007E0AF4" w:rsidRDefault="001E6C97" w:rsidP="000303D7">
            <w:pPr>
              <w:numPr>
                <w:ilvl w:val="0"/>
                <w:numId w:val="115"/>
              </w:numPr>
              <w:jc w:val="left"/>
              <w:rPr>
                <w:sz w:val="22"/>
                <w:highlight w:val="white"/>
              </w:rPr>
            </w:pPr>
            <w:r w:rsidRPr="007E0AF4">
              <w:rPr>
                <w:sz w:val="22"/>
                <w:highlight w:val="white"/>
              </w:rPr>
              <w:t xml:space="preserve">створить безпечні та комфортні умови для надання якісних освітніх послуг; </w:t>
            </w:r>
          </w:p>
          <w:p w:rsidR="001E6C97" w:rsidRPr="007E0AF4" w:rsidRDefault="001E6C97" w:rsidP="000303D7">
            <w:pPr>
              <w:numPr>
                <w:ilvl w:val="0"/>
                <w:numId w:val="115"/>
              </w:numPr>
              <w:jc w:val="left"/>
              <w:rPr>
                <w:sz w:val="22"/>
                <w:highlight w:val="white"/>
              </w:rPr>
            </w:pPr>
            <w:r w:rsidRPr="007E0AF4">
              <w:rPr>
                <w:sz w:val="22"/>
                <w:highlight w:val="white"/>
              </w:rPr>
              <w:t>забезпечить їх системність та безперервність для населення Сєвєродонецької міської територіальної громади;</w:t>
            </w:r>
          </w:p>
          <w:p w:rsidR="001E6C97" w:rsidRPr="007E0AF4" w:rsidRDefault="001E6C97" w:rsidP="000303D7">
            <w:pPr>
              <w:numPr>
                <w:ilvl w:val="0"/>
                <w:numId w:val="115"/>
              </w:numPr>
              <w:jc w:val="left"/>
              <w:rPr>
                <w:sz w:val="22"/>
                <w:highlight w:val="white"/>
              </w:rPr>
            </w:pPr>
            <w:r w:rsidRPr="007E0AF4">
              <w:rPr>
                <w:sz w:val="22"/>
                <w:highlight w:val="white"/>
              </w:rPr>
              <w:t xml:space="preserve"> реалізує права дітей на отримання якісної загальної середньої освіти на усіх її рівнях;</w:t>
            </w:r>
          </w:p>
          <w:p w:rsidR="001E6C97" w:rsidRPr="007E0AF4" w:rsidRDefault="001E6C97" w:rsidP="000303D7">
            <w:pPr>
              <w:numPr>
                <w:ilvl w:val="0"/>
                <w:numId w:val="115"/>
              </w:numPr>
              <w:jc w:val="left"/>
              <w:rPr>
                <w:sz w:val="22"/>
                <w:highlight w:val="white"/>
              </w:rPr>
            </w:pPr>
            <w:r w:rsidRPr="007E0AF4">
              <w:rPr>
                <w:sz w:val="22"/>
                <w:highlight w:val="white"/>
              </w:rPr>
              <w:t>дасть можливість створення нових робочих місць;</w:t>
            </w:r>
          </w:p>
          <w:p w:rsidR="001E6C97" w:rsidRPr="007E0AF4" w:rsidRDefault="001E6C97" w:rsidP="000303D7">
            <w:pPr>
              <w:numPr>
                <w:ilvl w:val="0"/>
                <w:numId w:val="115"/>
              </w:numPr>
              <w:jc w:val="left"/>
              <w:rPr>
                <w:sz w:val="22"/>
                <w:highlight w:val="white"/>
              </w:rPr>
            </w:pPr>
            <w:r w:rsidRPr="007E0AF4">
              <w:rPr>
                <w:sz w:val="22"/>
                <w:highlight w:val="white"/>
              </w:rPr>
              <w:t>стане стимулом до повернення ВПО до громади.</w:t>
            </w:r>
          </w:p>
        </w:tc>
      </w:tr>
      <w:tr w:rsidR="001E6C97" w:rsidRPr="007E0AF4" w:rsidTr="001E6C97">
        <w:trPr>
          <w:trHeight w:val="390"/>
        </w:trPr>
        <w:tc>
          <w:tcPr>
            <w:tcW w:w="2978" w:type="dxa"/>
            <w:vMerge w:val="restart"/>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sz w:val="22"/>
              </w:rPr>
            </w:pPr>
            <w:r w:rsidRPr="007E0AF4">
              <w:rPr>
                <w:b/>
                <w:sz w:val="22"/>
              </w:rPr>
              <w:t xml:space="preserve">Очікувані кількісні результати від реалізації </w:t>
            </w:r>
            <w:proofErr w:type="spellStart"/>
            <w:r w:rsidRPr="007E0AF4">
              <w:rPr>
                <w:b/>
                <w:sz w:val="22"/>
              </w:rPr>
              <w:t>проєкту</w:t>
            </w:r>
            <w:proofErr w:type="spellEnd"/>
            <w:r w:rsidRPr="007E0AF4">
              <w:rPr>
                <w:b/>
                <w:sz w:val="22"/>
              </w:rPr>
              <w:t xml:space="preserve">  (індикатори)</w:t>
            </w:r>
          </w:p>
        </w:tc>
        <w:tc>
          <w:tcPr>
            <w:tcW w:w="3260" w:type="dxa"/>
            <w:gridSpan w:val="3"/>
            <w:tcBorders>
              <w:bottom w:val="single" w:sz="4" w:space="0" w:color="000000"/>
              <w:right w:val="single" w:sz="4" w:space="0" w:color="000000"/>
            </w:tcBorders>
          </w:tcPr>
          <w:p w:rsidR="001E6C97" w:rsidRPr="007E0AF4" w:rsidRDefault="001E6C97" w:rsidP="001E6C97">
            <w:pPr>
              <w:pBdr>
                <w:top w:val="nil"/>
                <w:left w:val="nil"/>
                <w:bottom w:val="nil"/>
                <w:right w:val="nil"/>
                <w:between w:val="nil"/>
              </w:pBdr>
              <w:ind w:left="-108"/>
              <w:jc w:val="center"/>
              <w:rPr>
                <w:b/>
                <w:color w:val="000000"/>
                <w:sz w:val="22"/>
              </w:rPr>
            </w:pPr>
            <w:r w:rsidRPr="007E0AF4">
              <w:rPr>
                <w:b/>
                <w:color w:val="000000"/>
                <w:sz w:val="22"/>
              </w:rPr>
              <w:t>Найменування показника</w:t>
            </w:r>
          </w:p>
        </w:tc>
        <w:tc>
          <w:tcPr>
            <w:tcW w:w="1728" w:type="dxa"/>
            <w:gridSpan w:val="2"/>
            <w:tcBorders>
              <w:left w:val="single" w:sz="4" w:space="0" w:color="000000"/>
              <w:bottom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r w:rsidRPr="007E0AF4">
              <w:rPr>
                <w:b/>
                <w:color w:val="000000"/>
                <w:sz w:val="22"/>
              </w:rPr>
              <w:t>Одиниця вимірювання</w:t>
            </w:r>
          </w:p>
          <w:p w:rsidR="001E6C97" w:rsidRPr="007E0AF4" w:rsidRDefault="001E6C97" w:rsidP="001E6C97">
            <w:pPr>
              <w:pBdr>
                <w:top w:val="nil"/>
                <w:left w:val="nil"/>
                <w:bottom w:val="nil"/>
                <w:right w:val="nil"/>
                <w:between w:val="nil"/>
              </w:pBdr>
              <w:rPr>
                <w:b/>
                <w:color w:val="000000"/>
                <w:sz w:val="22"/>
              </w:rPr>
            </w:pPr>
          </w:p>
        </w:tc>
        <w:tc>
          <w:tcPr>
            <w:tcW w:w="1957" w:type="dxa"/>
            <w:gridSpan w:val="2"/>
            <w:tcBorders>
              <w:left w:val="single" w:sz="4" w:space="0" w:color="000000"/>
              <w:bottom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r w:rsidRPr="007E0AF4">
              <w:rPr>
                <w:b/>
                <w:color w:val="000000"/>
                <w:sz w:val="22"/>
              </w:rPr>
              <w:t>Прогнозне (цільове) значення</w:t>
            </w:r>
          </w:p>
        </w:tc>
      </w:tr>
      <w:tr w:rsidR="001E6C97" w:rsidRPr="007E0AF4" w:rsidTr="001E6C97">
        <w:trPr>
          <w:trHeight w:val="585"/>
        </w:trPr>
        <w:tc>
          <w:tcPr>
            <w:tcW w:w="2978" w:type="dxa"/>
            <w:vMerge/>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widowControl w:val="0"/>
              <w:pBdr>
                <w:top w:val="nil"/>
                <w:left w:val="nil"/>
                <w:bottom w:val="nil"/>
                <w:right w:val="nil"/>
                <w:between w:val="nil"/>
              </w:pBdr>
              <w:spacing w:line="276" w:lineRule="auto"/>
              <w:rPr>
                <w:b/>
                <w:color w:val="000000"/>
                <w:sz w:val="22"/>
              </w:rPr>
            </w:pPr>
          </w:p>
        </w:tc>
        <w:tc>
          <w:tcPr>
            <w:tcW w:w="3260" w:type="dxa"/>
            <w:gridSpan w:val="3"/>
            <w:tcBorders>
              <w:top w:val="single" w:sz="4" w:space="0" w:color="000000"/>
              <w:bottom w:val="single" w:sz="4" w:space="0" w:color="000000"/>
              <w:right w:val="single" w:sz="4" w:space="0" w:color="000000"/>
            </w:tcBorders>
          </w:tcPr>
          <w:p w:rsidR="001E6C97" w:rsidRPr="007E0AF4" w:rsidRDefault="001E6C97" w:rsidP="001E6C97">
            <w:pPr>
              <w:rPr>
                <w:color w:val="000000"/>
                <w:sz w:val="22"/>
              </w:rPr>
            </w:pPr>
            <w:r w:rsidRPr="007E0AF4">
              <w:rPr>
                <w:sz w:val="22"/>
                <w:highlight w:val="white"/>
              </w:rPr>
              <w:t>Кількість здобувачів освітніх послуг та працівників</w:t>
            </w:r>
          </w:p>
        </w:tc>
        <w:tc>
          <w:tcPr>
            <w:tcW w:w="1728" w:type="dxa"/>
            <w:gridSpan w:val="2"/>
            <w:tcBorders>
              <w:top w:val="single" w:sz="4" w:space="0" w:color="000000"/>
              <w:left w:val="single" w:sz="4" w:space="0" w:color="000000"/>
              <w:bottom w:val="single" w:sz="4" w:space="0" w:color="000000"/>
              <w:right w:val="single" w:sz="4" w:space="0" w:color="000000"/>
            </w:tcBorders>
            <w:vAlign w:val="center"/>
          </w:tcPr>
          <w:p w:rsidR="001E6C97" w:rsidRPr="007E0AF4" w:rsidRDefault="001E6C97" w:rsidP="001E6C97">
            <w:pPr>
              <w:pBdr>
                <w:top w:val="nil"/>
                <w:left w:val="nil"/>
                <w:bottom w:val="nil"/>
                <w:right w:val="nil"/>
                <w:between w:val="nil"/>
              </w:pBdr>
              <w:jc w:val="center"/>
              <w:rPr>
                <w:color w:val="000000"/>
                <w:sz w:val="22"/>
              </w:rPr>
            </w:pPr>
            <w:r w:rsidRPr="007E0AF4">
              <w:rPr>
                <w:color w:val="000000"/>
                <w:sz w:val="22"/>
              </w:rPr>
              <w:t>осіб</w:t>
            </w:r>
          </w:p>
        </w:tc>
        <w:tc>
          <w:tcPr>
            <w:tcW w:w="1957" w:type="dxa"/>
            <w:gridSpan w:val="2"/>
            <w:tcBorders>
              <w:top w:val="single" w:sz="4" w:space="0" w:color="000000"/>
              <w:left w:val="single" w:sz="4" w:space="0" w:color="000000"/>
              <w:bottom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r w:rsidRPr="007E0AF4">
              <w:rPr>
                <w:color w:val="000000"/>
                <w:sz w:val="22"/>
              </w:rPr>
              <w:t>1</w:t>
            </w:r>
            <w:r w:rsidRPr="007E0AF4">
              <w:rPr>
                <w:sz w:val="22"/>
              </w:rPr>
              <w:t>06</w:t>
            </w:r>
            <w:r w:rsidRPr="007E0AF4">
              <w:rPr>
                <w:color w:val="000000"/>
                <w:sz w:val="22"/>
              </w:rPr>
              <w:t>0</w:t>
            </w:r>
          </w:p>
        </w:tc>
      </w:tr>
      <w:tr w:rsidR="001E6C97" w:rsidRPr="007E0AF4" w:rsidTr="001E6C97">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b/>
                <w:sz w:val="22"/>
              </w:rPr>
            </w:pPr>
            <w:r w:rsidRPr="007E0AF4">
              <w:rPr>
                <w:b/>
                <w:sz w:val="22"/>
              </w:rPr>
              <w:t xml:space="preserve">Ключові заходи </w:t>
            </w:r>
            <w:proofErr w:type="spellStart"/>
            <w:r w:rsidRPr="007E0AF4">
              <w:rPr>
                <w:b/>
                <w:sz w:val="22"/>
              </w:rPr>
              <w:t>проєкту</w:t>
            </w:r>
            <w:proofErr w:type="spellEnd"/>
            <w:r w:rsidRPr="007E0AF4">
              <w:rPr>
                <w:b/>
                <w:sz w:val="22"/>
              </w:rPr>
              <w:t>:</w:t>
            </w:r>
          </w:p>
        </w:tc>
        <w:tc>
          <w:tcPr>
            <w:tcW w:w="6945" w:type="dxa"/>
            <w:gridSpan w:val="7"/>
          </w:tcPr>
          <w:p w:rsidR="001E6C97" w:rsidRPr="007E0AF4" w:rsidRDefault="001E6C97" w:rsidP="001E6C97">
            <w:pPr>
              <w:rPr>
                <w:sz w:val="22"/>
                <w:highlight w:val="white"/>
              </w:rPr>
            </w:pPr>
            <w:r w:rsidRPr="007E0AF4">
              <w:rPr>
                <w:sz w:val="22"/>
                <w:highlight w:val="white"/>
              </w:rPr>
              <w:t xml:space="preserve">1. Закупівля та монтаж меблів для навчальних та адміністративних кабінетів. </w:t>
            </w:r>
          </w:p>
          <w:p w:rsidR="001E6C97" w:rsidRPr="007E0AF4" w:rsidRDefault="001E6C97" w:rsidP="001E6C97">
            <w:pPr>
              <w:rPr>
                <w:sz w:val="22"/>
                <w:highlight w:val="white"/>
              </w:rPr>
            </w:pPr>
            <w:r w:rsidRPr="007E0AF4">
              <w:rPr>
                <w:sz w:val="22"/>
                <w:highlight w:val="white"/>
              </w:rPr>
              <w:t>2. Закупівля та монтаж комп'ютерного та мультимедійного обладнання для кабінетів інформатики, навчальних та адміністративних кабінетів.</w:t>
            </w:r>
          </w:p>
          <w:p w:rsidR="001E6C97" w:rsidRPr="007E0AF4" w:rsidRDefault="001E6C97" w:rsidP="001E6C97">
            <w:pPr>
              <w:rPr>
                <w:sz w:val="22"/>
                <w:highlight w:val="white"/>
              </w:rPr>
            </w:pPr>
            <w:r w:rsidRPr="007E0AF4">
              <w:rPr>
                <w:sz w:val="22"/>
                <w:highlight w:val="white"/>
              </w:rPr>
              <w:t xml:space="preserve">3. Закупівля та монтаж меблів та комп'ютерної техніки, поновлення книжкового фонду шкільної бібліотеки. </w:t>
            </w:r>
          </w:p>
          <w:p w:rsidR="001E6C97" w:rsidRPr="007E0AF4" w:rsidRDefault="001E6C97" w:rsidP="001E6C97">
            <w:pPr>
              <w:rPr>
                <w:sz w:val="22"/>
                <w:highlight w:val="white"/>
              </w:rPr>
            </w:pPr>
            <w:r w:rsidRPr="007E0AF4">
              <w:rPr>
                <w:sz w:val="22"/>
                <w:highlight w:val="white"/>
              </w:rPr>
              <w:t xml:space="preserve">4. Закупівля та монтаж меблів та комп'ютерної техніки, поновлення методичного та дидактичного наповнення ресурсної кімнати та кабінетів практичного психолога та педагога соціального. </w:t>
            </w:r>
          </w:p>
          <w:p w:rsidR="001E6C97" w:rsidRPr="007E0AF4" w:rsidRDefault="001E6C97" w:rsidP="001E6C97">
            <w:pPr>
              <w:rPr>
                <w:sz w:val="22"/>
                <w:highlight w:val="white"/>
              </w:rPr>
            </w:pPr>
            <w:r w:rsidRPr="007E0AF4">
              <w:rPr>
                <w:sz w:val="22"/>
                <w:highlight w:val="white"/>
              </w:rPr>
              <w:t xml:space="preserve">5. Поновлення методичного та дидактичного забезпечення навчальних кабінетів та лабораторій. </w:t>
            </w:r>
          </w:p>
          <w:p w:rsidR="001E6C97" w:rsidRPr="007E0AF4" w:rsidRDefault="001E6C97" w:rsidP="001E6C97">
            <w:pPr>
              <w:rPr>
                <w:sz w:val="22"/>
                <w:highlight w:val="white"/>
              </w:rPr>
            </w:pPr>
            <w:r w:rsidRPr="007E0AF4">
              <w:rPr>
                <w:sz w:val="22"/>
                <w:highlight w:val="white"/>
              </w:rPr>
              <w:t xml:space="preserve">6. Закупівля обладнання для спортивних зал, кабінетів технічної та обслуговуючої праці. </w:t>
            </w:r>
          </w:p>
          <w:p w:rsidR="001E6C97" w:rsidRPr="007E0AF4" w:rsidRDefault="001E6C97" w:rsidP="001E6C97">
            <w:pPr>
              <w:rPr>
                <w:sz w:val="22"/>
                <w:highlight w:val="white"/>
              </w:rPr>
            </w:pPr>
            <w:r w:rsidRPr="007E0AF4">
              <w:rPr>
                <w:sz w:val="22"/>
                <w:highlight w:val="white"/>
              </w:rPr>
              <w:t xml:space="preserve">7. Оснащення актової зали. </w:t>
            </w:r>
          </w:p>
          <w:p w:rsidR="001E6C97" w:rsidRPr="007E0AF4" w:rsidRDefault="001E6C97" w:rsidP="001E6C97">
            <w:pPr>
              <w:rPr>
                <w:sz w:val="22"/>
                <w:highlight w:val="white"/>
              </w:rPr>
            </w:pPr>
            <w:r w:rsidRPr="007E0AF4">
              <w:rPr>
                <w:sz w:val="22"/>
                <w:highlight w:val="white"/>
              </w:rPr>
              <w:t xml:space="preserve">8. Оснащення медичного пункту. </w:t>
            </w:r>
          </w:p>
          <w:p w:rsidR="004C3AF1" w:rsidRPr="007E0AF4" w:rsidRDefault="001E6C97" w:rsidP="001E6C97">
            <w:pPr>
              <w:rPr>
                <w:sz w:val="22"/>
                <w:highlight w:val="white"/>
              </w:rPr>
            </w:pPr>
            <w:r w:rsidRPr="007E0AF4">
              <w:rPr>
                <w:sz w:val="22"/>
                <w:highlight w:val="white"/>
              </w:rPr>
              <w:t xml:space="preserve">9. Закупівля та монтаж меблів та обладнання для кухні та їдальні. </w:t>
            </w:r>
          </w:p>
          <w:p w:rsidR="001E6C97" w:rsidRPr="007E0AF4" w:rsidRDefault="001E6C97" w:rsidP="001E6C97">
            <w:pPr>
              <w:rPr>
                <w:sz w:val="22"/>
                <w:highlight w:val="white"/>
              </w:rPr>
            </w:pPr>
            <w:r w:rsidRPr="007E0AF4">
              <w:rPr>
                <w:sz w:val="22"/>
                <w:highlight w:val="white"/>
              </w:rPr>
              <w:t>10.Оснащення укриття.</w:t>
            </w:r>
          </w:p>
          <w:p w:rsidR="001E6C97" w:rsidRPr="007E0AF4" w:rsidRDefault="001E6C97" w:rsidP="004C3AF1">
            <w:pPr>
              <w:jc w:val="left"/>
              <w:rPr>
                <w:sz w:val="22"/>
                <w:highlight w:val="white"/>
              </w:rPr>
            </w:pPr>
            <w:r w:rsidRPr="007E0AF4">
              <w:rPr>
                <w:sz w:val="22"/>
                <w:highlight w:val="white"/>
              </w:rPr>
              <w:lastRenderedPageBreak/>
              <w:t xml:space="preserve">11. Відновлення діяльності Ліцею “КОЛЕГІУМ” міста Сєверодонецька Луганської області в </w:t>
            </w:r>
            <w:proofErr w:type="spellStart"/>
            <w:r w:rsidRPr="007E0AF4">
              <w:rPr>
                <w:sz w:val="22"/>
                <w:highlight w:val="white"/>
              </w:rPr>
              <w:t>офлайн</w:t>
            </w:r>
            <w:proofErr w:type="spellEnd"/>
            <w:r w:rsidRPr="007E0AF4">
              <w:rPr>
                <w:sz w:val="22"/>
                <w:highlight w:val="white"/>
              </w:rPr>
              <w:t xml:space="preserve"> форматі.</w:t>
            </w:r>
          </w:p>
        </w:tc>
      </w:tr>
      <w:tr w:rsidR="001E6C97" w:rsidRPr="007E0AF4" w:rsidTr="001E6C97">
        <w:trPr>
          <w:trHeight w:val="360"/>
        </w:trPr>
        <w:tc>
          <w:tcPr>
            <w:tcW w:w="2978" w:type="dxa"/>
            <w:vMerge w:val="restart"/>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b/>
                <w:sz w:val="22"/>
              </w:rPr>
            </w:pPr>
            <w:r w:rsidRPr="007E0AF4">
              <w:rPr>
                <w:b/>
                <w:sz w:val="22"/>
              </w:rPr>
              <w:lastRenderedPageBreak/>
              <w:t>Орієнтовний обсяг та джерела фінансування тис. гривень</w:t>
            </w:r>
          </w:p>
        </w:tc>
        <w:tc>
          <w:tcPr>
            <w:tcW w:w="1559" w:type="dxa"/>
            <w:tcBorders>
              <w:bottom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b/>
                <w:sz w:val="22"/>
              </w:rPr>
            </w:pPr>
            <w:r w:rsidRPr="007E0AF4">
              <w:rPr>
                <w:b/>
                <w:sz w:val="22"/>
              </w:rPr>
              <w:t>Державний бюджет</w:t>
            </w:r>
          </w:p>
        </w:tc>
        <w:tc>
          <w:tcPr>
            <w:tcW w:w="1276" w:type="dxa"/>
            <w:tcBorders>
              <w:bottom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r w:rsidRPr="007E0AF4">
              <w:rPr>
                <w:b/>
                <w:color w:val="000000"/>
                <w:sz w:val="22"/>
              </w:rPr>
              <w:t>Місцевий бюджет</w:t>
            </w:r>
          </w:p>
        </w:tc>
        <w:tc>
          <w:tcPr>
            <w:tcW w:w="2976" w:type="dxa"/>
            <w:gridSpan w:val="4"/>
            <w:tcBorders>
              <w:left w:val="single" w:sz="4" w:space="0" w:color="000000"/>
              <w:bottom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r w:rsidRPr="007E0AF4">
              <w:rPr>
                <w:b/>
                <w:color w:val="000000"/>
                <w:sz w:val="22"/>
              </w:rPr>
              <w:t>Інші джерела</w:t>
            </w:r>
          </w:p>
        </w:tc>
        <w:tc>
          <w:tcPr>
            <w:tcW w:w="1134" w:type="dxa"/>
            <w:tcBorders>
              <w:left w:val="single" w:sz="4" w:space="0" w:color="000000"/>
              <w:bottom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r w:rsidRPr="007E0AF4">
              <w:rPr>
                <w:b/>
                <w:color w:val="000000"/>
                <w:sz w:val="22"/>
              </w:rPr>
              <w:t>Всього</w:t>
            </w:r>
          </w:p>
        </w:tc>
      </w:tr>
      <w:tr w:rsidR="001E6C97" w:rsidRPr="007E0AF4" w:rsidTr="001E6C97">
        <w:trPr>
          <w:trHeight w:val="225"/>
        </w:trPr>
        <w:tc>
          <w:tcPr>
            <w:tcW w:w="2978" w:type="dxa"/>
            <w:vMerge/>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widowControl w:val="0"/>
              <w:pBdr>
                <w:top w:val="nil"/>
                <w:left w:val="nil"/>
                <w:bottom w:val="nil"/>
                <w:right w:val="nil"/>
                <w:between w:val="nil"/>
              </w:pBdr>
              <w:spacing w:line="276" w:lineRule="auto"/>
              <w:rPr>
                <w:b/>
                <w:color w:val="000000"/>
                <w:sz w:val="22"/>
              </w:rPr>
            </w:pPr>
          </w:p>
        </w:tc>
        <w:tc>
          <w:tcPr>
            <w:tcW w:w="1559" w:type="dxa"/>
            <w:vMerge w:val="restart"/>
            <w:tcBorders>
              <w:top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sz w:val="22"/>
                <w:lang w:val="ru-RU"/>
              </w:rPr>
            </w:pPr>
            <w:r w:rsidRPr="007E0AF4">
              <w:rPr>
                <w:sz w:val="22"/>
              </w:rPr>
              <w:t>20000</w:t>
            </w:r>
            <w:r w:rsidRPr="007E0AF4">
              <w:rPr>
                <w:sz w:val="22"/>
                <w:lang w:val="ru-RU"/>
              </w:rPr>
              <w:t>,0</w:t>
            </w:r>
          </w:p>
        </w:tc>
        <w:tc>
          <w:tcPr>
            <w:tcW w:w="1276" w:type="dxa"/>
            <w:vMerge w:val="restart"/>
            <w:tcBorders>
              <w:top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b/>
                <w:color w:val="000000"/>
                <w:sz w:val="22"/>
                <w:lang w:val="ru-RU"/>
              </w:rPr>
            </w:pPr>
            <w:r w:rsidRPr="007E0AF4">
              <w:rPr>
                <w:b/>
                <w:color w:val="000000"/>
                <w:sz w:val="22"/>
                <w:lang w:val="ru-RU"/>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r w:rsidRPr="007E0AF4">
              <w:rPr>
                <w:b/>
                <w:color w:val="000000"/>
                <w:sz w:val="22"/>
              </w:rPr>
              <w:t>Обсяг</w:t>
            </w:r>
          </w:p>
        </w:tc>
        <w:tc>
          <w:tcPr>
            <w:tcW w:w="1842" w:type="dxa"/>
            <w:gridSpan w:val="2"/>
            <w:tcBorders>
              <w:top w:val="single" w:sz="4" w:space="0" w:color="000000"/>
              <w:left w:val="single" w:sz="4" w:space="0" w:color="000000"/>
              <w:bottom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r w:rsidRPr="007E0AF4">
              <w:rPr>
                <w:b/>
                <w:color w:val="000000"/>
                <w:sz w:val="22"/>
              </w:rPr>
              <w:t>Назва джерела</w:t>
            </w:r>
          </w:p>
        </w:tc>
        <w:tc>
          <w:tcPr>
            <w:tcW w:w="1134" w:type="dxa"/>
            <w:vMerge w:val="restart"/>
            <w:tcBorders>
              <w:top w:val="single" w:sz="4" w:space="0" w:color="000000"/>
              <w:left w:val="single" w:sz="4" w:space="0" w:color="000000"/>
            </w:tcBorders>
          </w:tcPr>
          <w:p w:rsidR="001E6C97" w:rsidRPr="007E0AF4" w:rsidRDefault="001E6C97" w:rsidP="001E6C97">
            <w:pPr>
              <w:pBdr>
                <w:top w:val="nil"/>
                <w:left w:val="nil"/>
                <w:bottom w:val="nil"/>
                <w:right w:val="nil"/>
                <w:between w:val="nil"/>
              </w:pBdr>
              <w:jc w:val="center"/>
              <w:rPr>
                <w:color w:val="000000"/>
                <w:sz w:val="22"/>
                <w:lang w:val="ru-RU"/>
              </w:rPr>
            </w:pPr>
            <w:r w:rsidRPr="007E0AF4">
              <w:rPr>
                <w:sz w:val="22"/>
              </w:rPr>
              <w:t>30000</w:t>
            </w:r>
            <w:r w:rsidRPr="007E0AF4">
              <w:rPr>
                <w:sz w:val="22"/>
                <w:lang w:val="ru-RU"/>
              </w:rPr>
              <w:t>,0</w:t>
            </w:r>
          </w:p>
        </w:tc>
      </w:tr>
      <w:tr w:rsidR="001E6C97" w:rsidRPr="007E0AF4" w:rsidTr="001E6C97">
        <w:trPr>
          <w:trHeight w:val="300"/>
        </w:trPr>
        <w:tc>
          <w:tcPr>
            <w:tcW w:w="2978" w:type="dxa"/>
            <w:vMerge/>
            <w:tcBorders>
              <w:top w:val="single" w:sz="6" w:space="0" w:color="000000"/>
              <w:left w:val="single" w:sz="6" w:space="0" w:color="000000"/>
              <w:right w:val="single" w:sz="6" w:space="0" w:color="000000"/>
            </w:tcBorders>
            <w:shd w:val="clear" w:color="auto" w:fill="C6D9F1" w:themeFill="text2" w:themeFillTint="33"/>
          </w:tcPr>
          <w:p w:rsidR="001E6C97" w:rsidRPr="007E0AF4" w:rsidRDefault="001E6C97" w:rsidP="001E6C97">
            <w:pPr>
              <w:widowControl w:val="0"/>
              <w:pBdr>
                <w:top w:val="nil"/>
                <w:left w:val="nil"/>
                <w:bottom w:val="nil"/>
                <w:right w:val="nil"/>
                <w:between w:val="nil"/>
              </w:pBdr>
              <w:spacing w:line="276" w:lineRule="auto"/>
              <w:rPr>
                <w:color w:val="000000"/>
                <w:sz w:val="22"/>
              </w:rPr>
            </w:pPr>
          </w:p>
        </w:tc>
        <w:tc>
          <w:tcPr>
            <w:tcW w:w="1559" w:type="dxa"/>
            <w:vMerge/>
            <w:tcBorders>
              <w:top w:val="single" w:sz="4" w:space="0" w:color="000000"/>
              <w:right w:val="single" w:sz="4" w:space="0" w:color="000000"/>
            </w:tcBorders>
          </w:tcPr>
          <w:p w:rsidR="001E6C97" w:rsidRPr="007E0AF4" w:rsidRDefault="001E6C97" w:rsidP="001E6C97">
            <w:pPr>
              <w:widowControl w:val="0"/>
              <w:pBdr>
                <w:top w:val="nil"/>
                <w:left w:val="nil"/>
                <w:bottom w:val="nil"/>
                <w:right w:val="nil"/>
                <w:between w:val="nil"/>
              </w:pBdr>
              <w:spacing w:line="276" w:lineRule="auto"/>
              <w:rPr>
                <w:color w:val="000000"/>
                <w:sz w:val="22"/>
              </w:rPr>
            </w:pPr>
          </w:p>
        </w:tc>
        <w:tc>
          <w:tcPr>
            <w:tcW w:w="1276" w:type="dxa"/>
            <w:vMerge/>
            <w:tcBorders>
              <w:top w:val="single" w:sz="4" w:space="0" w:color="000000"/>
              <w:right w:val="single" w:sz="4" w:space="0" w:color="000000"/>
            </w:tcBorders>
          </w:tcPr>
          <w:p w:rsidR="001E6C97" w:rsidRPr="007E0AF4" w:rsidRDefault="001E6C97" w:rsidP="001E6C97">
            <w:pPr>
              <w:widowControl w:val="0"/>
              <w:pBdr>
                <w:top w:val="nil"/>
                <w:left w:val="nil"/>
                <w:bottom w:val="nil"/>
                <w:right w:val="nil"/>
                <w:between w:val="nil"/>
              </w:pBdr>
              <w:spacing w:line="276" w:lineRule="auto"/>
              <w:rPr>
                <w:color w:val="000000"/>
                <w:sz w:val="22"/>
              </w:rPr>
            </w:pPr>
          </w:p>
        </w:tc>
        <w:tc>
          <w:tcPr>
            <w:tcW w:w="1134" w:type="dxa"/>
            <w:gridSpan w:val="2"/>
            <w:tcBorders>
              <w:top w:val="single" w:sz="4" w:space="0" w:color="000000"/>
              <w:left w:val="single" w:sz="4" w:space="0" w:color="000000"/>
              <w:right w:val="single" w:sz="4" w:space="0" w:color="000000"/>
            </w:tcBorders>
          </w:tcPr>
          <w:p w:rsidR="001E6C97" w:rsidRPr="007E0AF4" w:rsidRDefault="001E6C97" w:rsidP="001E6C97">
            <w:pPr>
              <w:pBdr>
                <w:top w:val="nil"/>
                <w:left w:val="nil"/>
                <w:bottom w:val="nil"/>
                <w:right w:val="nil"/>
                <w:between w:val="nil"/>
              </w:pBdr>
              <w:rPr>
                <w:b/>
                <w:color w:val="000000"/>
                <w:sz w:val="22"/>
                <w:lang w:val="ru-RU"/>
              </w:rPr>
            </w:pPr>
            <w:r w:rsidRPr="007E0AF4">
              <w:rPr>
                <w:sz w:val="22"/>
              </w:rPr>
              <w:t>10000</w:t>
            </w:r>
            <w:r w:rsidRPr="007E0AF4">
              <w:rPr>
                <w:sz w:val="22"/>
                <w:lang w:val="ru-RU"/>
              </w:rPr>
              <w:t>,0</w:t>
            </w:r>
          </w:p>
        </w:tc>
        <w:tc>
          <w:tcPr>
            <w:tcW w:w="1842" w:type="dxa"/>
            <w:gridSpan w:val="2"/>
            <w:tcBorders>
              <w:top w:val="single" w:sz="4" w:space="0" w:color="000000"/>
              <w:left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color w:val="000000"/>
                <w:sz w:val="22"/>
              </w:rPr>
            </w:pPr>
            <w:r w:rsidRPr="007E0AF4">
              <w:rPr>
                <w:color w:val="000000"/>
                <w:sz w:val="22"/>
              </w:rPr>
              <w:t>Міжнародні інвестиції, кошти приватних осіб</w:t>
            </w:r>
          </w:p>
        </w:tc>
        <w:tc>
          <w:tcPr>
            <w:tcW w:w="1134" w:type="dxa"/>
            <w:vMerge/>
            <w:tcBorders>
              <w:top w:val="single" w:sz="4" w:space="0" w:color="000000"/>
              <w:left w:val="single" w:sz="4" w:space="0" w:color="000000"/>
            </w:tcBorders>
          </w:tcPr>
          <w:p w:rsidR="001E6C97" w:rsidRPr="007E0AF4" w:rsidRDefault="001E6C97" w:rsidP="001E6C97">
            <w:pPr>
              <w:widowControl w:val="0"/>
              <w:pBdr>
                <w:top w:val="nil"/>
                <w:left w:val="nil"/>
                <w:bottom w:val="nil"/>
                <w:right w:val="nil"/>
                <w:between w:val="nil"/>
              </w:pBdr>
              <w:spacing w:line="276" w:lineRule="auto"/>
              <w:rPr>
                <w:color w:val="000000"/>
                <w:sz w:val="22"/>
              </w:rPr>
            </w:pPr>
          </w:p>
        </w:tc>
      </w:tr>
    </w:tbl>
    <w:p w:rsidR="001E6C97" w:rsidRPr="007E0AF4" w:rsidRDefault="001E6C97" w:rsidP="00E95FB1">
      <w:pPr>
        <w:rPr>
          <w:sz w:val="22"/>
        </w:rPr>
      </w:pPr>
    </w:p>
    <w:p w:rsidR="001E6C97" w:rsidRPr="007E0AF4" w:rsidRDefault="001E6C97" w:rsidP="00E95FB1">
      <w:pPr>
        <w:rPr>
          <w:sz w:val="22"/>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8"/>
        <w:gridCol w:w="1559"/>
        <w:gridCol w:w="1276"/>
        <w:gridCol w:w="708"/>
        <w:gridCol w:w="284"/>
        <w:gridCol w:w="1417"/>
        <w:gridCol w:w="567"/>
        <w:gridCol w:w="1134"/>
      </w:tblGrid>
      <w:tr w:rsidR="001E6C97" w:rsidRPr="007E0AF4" w:rsidTr="001E6C97">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sz w:val="22"/>
              </w:rPr>
            </w:pPr>
            <w:r w:rsidRPr="007E0AF4">
              <w:rPr>
                <w:b/>
                <w:sz w:val="22"/>
              </w:rPr>
              <w:t>Оперативна ціль/завдання</w:t>
            </w:r>
          </w:p>
        </w:tc>
        <w:tc>
          <w:tcPr>
            <w:tcW w:w="6945" w:type="dxa"/>
            <w:gridSpan w:val="7"/>
          </w:tcPr>
          <w:p w:rsidR="001E6C97" w:rsidRPr="007E0AF4" w:rsidRDefault="001E6C97" w:rsidP="001E6C97">
            <w:pPr>
              <w:rPr>
                <w:sz w:val="22"/>
              </w:rPr>
            </w:pPr>
            <w:r w:rsidRPr="007E0AF4">
              <w:rPr>
                <w:color w:val="222222"/>
                <w:sz w:val="22"/>
                <w:highlight w:val="white"/>
              </w:rPr>
              <w:t xml:space="preserve">Людський розвиток через інновації управління та довіру до влади. Формування сучасного інклюзивного  </w:t>
            </w:r>
            <w:proofErr w:type="spellStart"/>
            <w:r w:rsidRPr="007E0AF4">
              <w:rPr>
                <w:color w:val="222222"/>
                <w:sz w:val="22"/>
                <w:highlight w:val="white"/>
              </w:rPr>
              <w:t>освітньо</w:t>
            </w:r>
            <w:proofErr w:type="spellEnd"/>
            <w:r w:rsidRPr="007E0AF4">
              <w:rPr>
                <w:color w:val="222222"/>
                <w:sz w:val="22"/>
                <w:highlight w:val="white"/>
              </w:rPr>
              <w:t>-культурного та спортивного простору для розвитку.</w:t>
            </w:r>
          </w:p>
        </w:tc>
      </w:tr>
      <w:tr w:rsidR="001E6C97" w:rsidRPr="007E0AF4" w:rsidTr="001E6C97">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sz w:val="22"/>
              </w:rPr>
            </w:pPr>
            <w:r w:rsidRPr="007E0AF4">
              <w:rPr>
                <w:b/>
                <w:sz w:val="22"/>
              </w:rPr>
              <w:t xml:space="preserve">Назва </w:t>
            </w:r>
            <w:proofErr w:type="spellStart"/>
            <w:r w:rsidRPr="007E0AF4">
              <w:rPr>
                <w:b/>
                <w:sz w:val="22"/>
              </w:rPr>
              <w:t>проєкту</w:t>
            </w:r>
            <w:proofErr w:type="spellEnd"/>
            <w:r w:rsidRPr="007E0AF4">
              <w:rPr>
                <w:b/>
                <w:sz w:val="22"/>
              </w:rPr>
              <w:t>:</w:t>
            </w:r>
          </w:p>
        </w:tc>
        <w:tc>
          <w:tcPr>
            <w:tcW w:w="6945" w:type="dxa"/>
            <w:gridSpan w:val="7"/>
          </w:tcPr>
          <w:p w:rsidR="001E6C97" w:rsidRPr="007E0AF4" w:rsidRDefault="001E6C97" w:rsidP="001E6C97">
            <w:pPr>
              <w:rPr>
                <w:sz w:val="22"/>
              </w:rPr>
            </w:pPr>
            <w:r w:rsidRPr="007E0AF4">
              <w:rPr>
                <w:sz w:val="22"/>
                <w:highlight w:val="white"/>
              </w:rPr>
              <w:t>Реконструкція спортивного майданчика на території Ліцею "КОЛЕГІУМ" міста Сєвєродонецька Луганської області, вулиця Гоголя, будинок 37.</w:t>
            </w:r>
          </w:p>
        </w:tc>
      </w:tr>
      <w:tr w:rsidR="001E6C97" w:rsidRPr="007E0AF4" w:rsidTr="001E6C97">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sz w:val="22"/>
              </w:rPr>
            </w:pPr>
            <w:r w:rsidRPr="007E0AF4">
              <w:rPr>
                <w:b/>
                <w:sz w:val="22"/>
              </w:rPr>
              <w:t xml:space="preserve">Ціль </w:t>
            </w:r>
            <w:proofErr w:type="spellStart"/>
            <w:r w:rsidRPr="007E0AF4">
              <w:rPr>
                <w:b/>
                <w:sz w:val="22"/>
              </w:rPr>
              <w:t>проєкту</w:t>
            </w:r>
            <w:proofErr w:type="spellEnd"/>
          </w:p>
        </w:tc>
        <w:tc>
          <w:tcPr>
            <w:tcW w:w="6945" w:type="dxa"/>
            <w:gridSpan w:val="7"/>
          </w:tcPr>
          <w:p w:rsidR="001E6C97" w:rsidRPr="007E0AF4" w:rsidRDefault="001E6C97" w:rsidP="001E6C97">
            <w:pPr>
              <w:rPr>
                <w:color w:val="000000"/>
                <w:sz w:val="22"/>
              </w:rPr>
            </w:pPr>
            <w:r w:rsidRPr="007E0AF4">
              <w:rPr>
                <w:sz w:val="22"/>
                <w:highlight w:val="white"/>
              </w:rPr>
              <w:t>Відновити  роботу Ліцею "КОЛЕГІУМ" міста Сєвєродонецька Луганської області. Реконструювати спортивний майданчик відповідно до санітарних вимог, створити належні, комфортні та безпечні умови для організації занять фізичною культурою та спортом, дозвілля дітей та молоді, популяризувати й впроваджувати здоровий спосіб життя,  забезпечити реалізацію права жителів громади на фізичний розвиток.</w:t>
            </w:r>
          </w:p>
        </w:tc>
      </w:tr>
      <w:tr w:rsidR="001E6C97" w:rsidRPr="007E0AF4" w:rsidTr="001E6C97">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sz w:val="22"/>
              </w:rPr>
            </w:pPr>
            <w:r w:rsidRPr="007E0AF4">
              <w:rPr>
                <w:b/>
                <w:sz w:val="22"/>
              </w:rPr>
              <w:t xml:space="preserve">Територія, на яку матиме вплив реалізація </w:t>
            </w:r>
            <w:proofErr w:type="spellStart"/>
            <w:r w:rsidRPr="007E0AF4">
              <w:rPr>
                <w:b/>
                <w:sz w:val="22"/>
              </w:rPr>
              <w:t>проєкту</w:t>
            </w:r>
            <w:proofErr w:type="spellEnd"/>
          </w:p>
        </w:tc>
        <w:tc>
          <w:tcPr>
            <w:tcW w:w="6945" w:type="dxa"/>
            <w:gridSpan w:val="7"/>
          </w:tcPr>
          <w:p w:rsidR="001E6C97" w:rsidRPr="007E0AF4" w:rsidRDefault="001E6C97" w:rsidP="001E6C97">
            <w:pPr>
              <w:rPr>
                <w:color w:val="000000"/>
                <w:sz w:val="22"/>
              </w:rPr>
            </w:pPr>
            <w:r w:rsidRPr="007E0AF4">
              <w:rPr>
                <w:sz w:val="22"/>
              </w:rPr>
              <w:t>Сєвєродонецька міська територіальна громада</w:t>
            </w:r>
          </w:p>
        </w:tc>
      </w:tr>
      <w:tr w:rsidR="001E6C97" w:rsidRPr="007E0AF4" w:rsidTr="001E6C97">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sz w:val="22"/>
              </w:rPr>
            </w:pPr>
            <w:r w:rsidRPr="007E0AF4">
              <w:rPr>
                <w:b/>
                <w:sz w:val="22"/>
              </w:rPr>
              <w:t xml:space="preserve">Чисельність населення, на яке матиме вплив реалізація </w:t>
            </w:r>
            <w:proofErr w:type="spellStart"/>
            <w:r w:rsidRPr="007E0AF4">
              <w:rPr>
                <w:b/>
                <w:sz w:val="22"/>
              </w:rPr>
              <w:t>проєкту</w:t>
            </w:r>
            <w:proofErr w:type="spellEnd"/>
          </w:p>
        </w:tc>
        <w:tc>
          <w:tcPr>
            <w:tcW w:w="6945" w:type="dxa"/>
            <w:gridSpan w:val="7"/>
          </w:tcPr>
          <w:p w:rsidR="001E6C97" w:rsidRPr="007E0AF4" w:rsidRDefault="001E6C97" w:rsidP="001E6C97">
            <w:pPr>
              <w:pBdr>
                <w:top w:val="nil"/>
                <w:left w:val="nil"/>
                <w:bottom w:val="nil"/>
                <w:right w:val="nil"/>
                <w:between w:val="nil"/>
              </w:pBdr>
              <w:rPr>
                <w:color w:val="000000"/>
                <w:sz w:val="22"/>
              </w:rPr>
            </w:pPr>
            <w:r w:rsidRPr="007E0AF4">
              <w:rPr>
                <w:color w:val="000000"/>
                <w:sz w:val="22"/>
              </w:rPr>
              <w:t xml:space="preserve"> 70 000  осіб</w:t>
            </w:r>
          </w:p>
        </w:tc>
      </w:tr>
      <w:tr w:rsidR="001E6C97" w:rsidRPr="007E0AF4" w:rsidTr="001E6C97">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sz w:val="22"/>
              </w:rPr>
            </w:pPr>
            <w:r w:rsidRPr="007E0AF4">
              <w:rPr>
                <w:b/>
                <w:sz w:val="22"/>
              </w:rPr>
              <w:t xml:space="preserve">Опис проблеми, на вирішення якої спрямований </w:t>
            </w:r>
            <w:proofErr w:type="spellStart"/>
            <w:r w:rsidRPr="007E0AF4">
              <w:rPr>
                <w:b/>
                <w:sz w:val="22"/>
              </w:rPr>
              <w:t>проєкт</w:t>
            </w:r>
            <w:proofErr w:type="spellEnd"/>
          </w:p>
        </w:tc>
        <w:tc>
          <w:tcPr>
            <w:tcW w:w="6945" w:type="dxa"/>
            <w:gridSpan w:val="7"/>
          </w:tcPr>
          <w:p w:rsidR="001E6C97" w:rsidRPr="007E0AF4" w:rsidRDefault="001E6C97" w:rsidP="001E6C97">
            <w:pPr>
              <w:rPr>
                <w:sz w:val="22"/>
                <w:highlight w:val="white"/>
              </w:rPr>
            </w:pPr>
            <w:r w:rsidRPr="007E0AF4">
              <w:rPr>
                <w:sz w:val="22"/>
                <w:highlight w:val="white"/>
              </w:rPr>
              <w:t xml:space="preserve">Через військову агресію РФ та в результаті ведення бойових дій на території Сєвєродонецької міської громади спортивний майданчик Ліцею "КОЛЕГІУМ" зазнав значних пошкоджень. На сьогодні його стан є незадовільним, а на ньому займалися не тільки учні Ліцею "КОЛЕГІУМ", а й вихованці ДЮСШ № 4 та жителі прилеглих мікрорайонів. Крім того, майданчик був побудований більш ніж сорок років тому. Бігові доріжки зруйновані, асфальтове покриття волейбольного та баскетбольного майданчиків потріскалось, утворилися ями, які несуть загрозу травмування учням і вихованцям. Сьогодні майданчик не відповідає сучасним вимогам і потребує реконструкції та оновлення, а саме: облаштування футбольного поля зі штучною травою та </w:t>
            </w:r>
            <w:proofErr w:type="spellStart"/>
            <w:r w:rsidRPr="007E0AF4">
              <w:rPr>
                <w:sz w:val="22"/>
                <w:highlight w:val="white"/>
              </w:rPr>
              <w:t>мультиспортивного</w:t>
            </w:r>
            <w:proofErr w:type="spellEnd"/>
            <w:r w:rsidRPr="007E0AF4">
              <w:rPr>
                <w:sz w:val="22"/>
                <w:highlight w:val="white"/>
              </w:rPr>
              <w:t xml:space="preserve"> поля для гри у баскетбол, волейбол, теніс; доріжок для занять з легкої атлетики з гумовим наливним покриттям та поліуретановим компонентом; улаштування ями для стрибків та встановлення вуличного спортивного комплексу. Такий спортивний майданчик відповідатиме санітарно - гігієнічним нормам та буде безпечним для життя і здоров’я тих, хто на ньому займається.</w:t>
            </w:r>
          </w:p>
        </w:tc>
      </w:tr>
      <w:tr w:rsidR="001E6C97" w:rsidRPr="007E0AF4" w:rsidTr="001E6C97">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sz w:val="22"/>
              </w:rPr>
            </w:pPr>
            <w:r w:rsidRPr="007E0AF4">
              <w:rPr>
                <w:b/>
                <w:sz w:val="22"/>
              </w:rPr>
              <w:t xml:space="preserve">Очікувані якісні результати від реалізації </w:t>
            </w:r>
            <w:proofErr w:type="spellStart"/>
            <w:r w:rsidRPr="007E0AF4">
              <w:rPr>
                <w:b/>
                <w:sz w:val="22"/>
              </w:rPr>
              <w:t>проєкту</w:t>
            </w:r>
            <w:proofErr w:type="spellEnd"/>
          </w:p>
        </w:tc>
        <w:tc>
          <w:tcPr>
            <w:tcW w:w="6945" w:type="dxa"/>
            <w:gridSpan w:val="7"/>
          </w:tcPr>
          <w:p w:rsidR="001E6C97" w:rsidRPr="007E0AF4" w:rsidRDefault="001E6C97" w:rsidP="000303D7">
            <w:pPr>
              <w:numPr>
                <w:ilvl w:val="0"/>
                <w:numId w:val="116"/>
              </w:numPr>
              <w:jc w:val="left"/>
              <w:rPr>
                <w:sz w:val="22"/>
                <w:highlight w:val="white"/>
              </w:rPr>
            </w:pPr>
            <w:r w:rsidRPr="007E0AF4">
              <w:rPr>
                <w:sz w:val="22"/>
                <w:highlight w:val="white"/>
              </w:rPr>
              <w:t>облаштування спортивного майданчика Ліцею "КОЛЕГІУМ" відповідно до санітарних норм;</w:t>
            </w:r>
          </w:p>
          <w:p w:rsidR="001E6C97" w:rsidRPr="007E0AF4" w:rsidRDefault="001E6C97" w:rsidP="000303D7">
            <w:pPr>
              <w:numPr>
                <w:ilvl w:val="0"/>
                <w:numId w:val="116"/>
              </w:numPr>
              <w:jc w:val="left"/>
              <w:rPr>
                <w:sz w:val="22"/>
                <w:highlight w:val="white"/>
              </w:rPr>
            </w:pPr>
            <w:r w:rsidRPr="007E0AF4">
              <w:rPr>
                <w:sz w:val="22"/>
                <w:highlight w:val="white"/>
              </w:rPr>
              <w:t>створення умов для покращення здоров’я дітей та молоді;</w:t>
            </w:r>
          </w:p>
          <w:p w:rsidR="001E6C97" w:rsidRPr="007E0AF4" w:rsidRDefault="001E6C97" w:rsidP="000303D7">
            <w:pPr>
              <w:numPr>
                <w:ilvl w:val="0"/>
                <w:numId w:val="116"/>
              </w:numPr>
              <w:jc w:val="left"/>
              <w:rPr>
                <w:sz w:val="22"/>
                <w:highlight w:val="white"/>
              </w:rPr>
            </w:pPr>
            <w:r w:rsidRPr="007E0AF4">
              <w:rPr>
                <w:sz w:val="22"/>
                <w:highlight w:val="white"/>
              </w:rPr>
              <w:t>залучення більшої кількості жителів міста до занять спортом;</w:t>
            </w:r>
          </w:p>
          <w:p w:rsidR="001E6C97" w:rsidRPr="007E0AF4" w:rsidRDefault="001E6C97" w:rsidP="000303D7">
            <w:pPr>
              <w:numPr>
                <w:ilvl w:val="0"/>
                <w:numId w:val="116"/>
              </w:numPr>
              <w:jc w:val="left"/>
              <w:rPr>
                <w:sz w:val="22"/>
                <w:highlight w:val="white"/>
              </w:rPr>
            </w:pPr>
            <w:r w:rsidRPr="007E0AF4">
              <w:rPr>
                <w:sz w:val="22"/>
                <w:highlight w:val="white"/>
              </w:rPr>
              <w:t>забезпечення зайнятості дітей у позаурочний час;</w:t>
            </w:r>
          </w:p>
          <w:p w:rsidR="001E6C97" w:rsidRPr="007E0AF4" w:rsidRDefault="001E6C97" w:rsidP="000303D7">
            <w:pPr>
              <w:numPr>
                <w:ilvl w:val="0"/>
                <w:numId w:val="116"/>
              </w:numPr>
              <w:jc w:val="left"/>
              <w:rPr>
                <w:sz w:val="22"/>
                <w:highlight w:val="white"/>
              </w:rPr>
            </w:pPr>
            <w:r w:rsidRPr="007E0AF4">
              <w:rPr>
                <w:sz w:val="22"/>
                <w:highlight w:val="white"/>
              </w:rPr>
              <w:t>популяризація здорового способу життя шляхом проведення спортивних заходів;</w:t>
            </w:r>
          </w:p>
          <w:p w:rsidR="001E6C97" w:rsidRPr="007E0AF4" w:rsidRDefault="001E6C97" w:rsidP="000303D7">
            <w:pPr>
              <w:numPr>
                <w:ilvl w:val="0"/>
                <w:numId w:val="116"/>
              </w:numPr>
              <w:jc w:val="left"/>
              <w:rPr>
                <w:sz w:val="22"/>
                <w:highlight w:val="white"/>
              </w:rPr>
            </w:pPr>
            <w:r w:rsidRPr="007E0AF4">
              <w:rPr>
                <w:sz w:val="22"/>
                <w:highlight w:val="white"/>
              </w:rPr>
              <w:t>створення інноваційного комплексу для занять фізкультурою та спортом;</w:t>
            </w:r>
          </w:p>
          <w:p w:rsidR="001E6C97" w:rsidRPr="007E0AF4" w:rsidRDefault="001E6C97" w:rsidP="000303D7">
            <w:pPr>
              <w:numPr>
                <w:ilvl w:val="0"/>
                <w:numId w:val="116"/>
              </w:numPr>
              <w:jc w:val="left"/>
              <w:rPr>
                <w:sz w:val="22"/>
                <w:highlight w:val="white"/>
              </w:rPr>
            </w:pPr>
            <w:r w:rsidRPr="007E0AF4">
              <w:rPr>
                <w:sz w:val="22"/>
                <w:highlight w:val="white"/>
              </w:rPr>
              <w:lastRenderedPageBreak/>
              <w:t>стимул до повернення ВПО до громади.</w:t>
            </w:r>
          </w:p>
        </w:tc>
      </w:tr>
      <w:tr w:rsidR="001E6C97" w:rsidRPr="007E0AF4" w:rsidTr="001E6C97">
        <w:trPr>
          <w:trHeight w:val="390"/>
        </w:trPr>
        <w:tc>
          <w:tcPr>
            <w:tcW w:w="2978" w:type="dxa"/>
            <w:vMerge w:val="restart"/>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sz w:val="22"/>
              </w:rPr>
            </w:pPr>
            <w:r w:rsidRPr="007E0AF4">
              <w:rPr>
                <w:b/>
                <w:sz w:val="22"/>
              </w:rPr>
              <w:lastRenderedPageBreak/>
              <w:t xml:space="preserve">Очікувані кількісні результати від реалізації </w:t>
            </w:r>
            <w:proofErr w:type="spellStart"/>
            <w:r w:rsidRPr="007E0AF4">
              <w:rPr>
                <w:b/>
                <w:sz w:val="22"/>
              </w:rPr>
              <w:t>проєкту</w:t>
            </w:r>
            <w:proofErr w:type="spellEnd"/>
            <w:r w:rsidRPr="007E0AF4">
              <w:rPr>
                <w:b/>
                <w:sz w:val="22"/>
              </w:rPr>
              <w:t xml:space="preserve">  (індикатори)</w:t>
            </w:r>
          </w:p>
        </w:tc>
        <w:tc>
          <w:tcPr>
            <w:tcW w:w="3543" w:type="dxa"/>
            <w:gridSpan w:val="3"/>
            <w:tcBorders>
              <w:bottom w:val="single" w:sz="4" w:space="0" w:color="000000"/>
              <w:right w:val="single" w:sz="4" w:space="0" w:color="000000"/>
            </w:tcBorders>
          </w:tcPr>
          <w:p w:rsidR="001E6C97" w:rsidRPr="007E0AF4" w:rsidRDefault="001E6C97" w:rsidP="001E6C97">
            <w:pPr>
              <w:pBdr>
                <w:top w:val="nil"/>
                <w:left w:val="nil"/>
                <w:bottom w:val="nil"/>
                <w:right w:val="nil"/>
                <w:between w:val="nil"/>
              </w:pBdr>
              <w:ind w:left="-108"/>
              <w:jc w:val="center"/>
              <w:rPr>
                <w:b/>
                <w:color w:val="000000"/>
                <w:sz w:val="22"/>
              </w:rPr>
            </w:pPr>
            <w:r w:rsidRPr="007E0AF4">
              <w:rPr>
                <w:b/>
                <w:color w:val="000000"/>
                <w:sz w:val="22"/>
              </w:rPr>
              <w:t>Найменування показника</w:t>
            </w:r>
          </w:p>
        </w:tc>
        <w:tc>
          <w:tcPr>
            <w:tcW w:w="1701" w:type="dxa"/>
            <w:gridSpan w:val="2"/>
            <w:tcBorders>
              <w:left w:val="single" w:sz="4" w:space="0" w:color="000000"/>
              <w:bottom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r w:rsidRPr="007E0AF4">
              <w:rPr>
                <w:b/>
                <w:color w:val="000000"/>
                <w:sz w:val="22"/>
              </w:rPr>
              <w:t>Одиниця вимірювання</w:t>
            </w:r>
          </w:p>
          <w:p w:rsidR="001E6C97" w:rsidRPr="007E0AF4" w:rsidRDefault="001E6C97" w:rsidP="001E6C97">
            <w:pPr>
              <w:pBdr>
                <w:top w:val="nil"/>
                <w:left w:val="nil"/>
                <w:bottom w:val="nil"/>
                <w:right w:val="nil"/>
                <w:between w:val="nil"/>
              </w:pBdr>
              <w:rPr>
                <w:b/>
                <w:color w:val="000000"/>
                <w:sz w:val="22"/>
              </w:rPr>
            </w:pPr>
          </w:p>
        </w:tc>
        <w:tc>
          <w:tcPr>
            <w:tcW w:w="1701" w:type="dxa"/>
            <w:gridSpan w:val="2"/>
            <w:tcBorders>
              <w:left w:val="single" w:sz="4" w:space="0" w:color="000000"/>
              <w:bottom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r w:rsidRPr="007E0AF4">
              <w:rPr>
                <w:b/>
                <w:color w:val="000000"/>
                <w:sz w:val="22"/>
              </w:rPr>
              <w:t>Прогнозне (цільове) значення</w:t>
            </w:r>
          </w:p>
        </w:tc>
      </w:tr>
      <w:tr w:rsidR="001E6C97" w:rsidRPr="007E0AF4" w:rsidTr="001E6C97">
        <w:trPr>
          <w:trHeight w:val="585"/>
        </w:trPr>
        <w:tc>
          <w:tcPr>
            <w:tcW w:w="2978" w:type="dxa"/>
            <w:vMerge/>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widowControl w:val="0"/>
              <w:pBdr>
                <w:top w:val="nil"/>
                <w:left w:val="nil"/>
                <w:bottom w:val="nil"/>
                <w:right w:val="nil"/>
                <w:between w:val="nil"/>
              </w:pBdr>
              <w:spacing w:line="276" w:lineRule="auto"/>
              <w:rPr>
                <w:b/>
                <w:color w:val="000000"/>
                <w:sz w:val="22"/>
              </w:rPr>
            </w:pPr>
          </w:p>
        </w:tc>
        <w:tc>
          <w:tcPr>
            <w:tcW w:w="3543" w:type="dxa"/>
            <w:gridSpan w:val="3"/>
            <w:tcBorders>
              <w:top w:val="single" w:sz="4" w:space="0" w:color="000000"/>
              <w:bottom w:val="single" w:sz="4" w:space="0" w:color="000000"/>
              <w:right w:val="single" w:sz="4" w:space="0" w:color="000000"/>
            </w:tcBorders>
          </w:tcPr>
          <w:p w:rsidR="001E6C97" w:rsidRPr="007E0AF4" w:rsidRDefault="001E6C97" w:rsidP="001E6C97">
            <w:pPr>
              <w:rPr>
                <w:color w:val="000000"/>
                <w:sz w:val="22"/>
              </w:rPr>
            </w:pPr>
            <w:r w:rsidRPr="007E0AF4">
              <w:rPr>
                <w:sz w:val="22"/>
                <w:highlight w:val="white"/>
              </w:rPr>
              <w:t>Кількість одержувачів послуг (здобувачів освіти, жителів прилеглих мікрорайонів)</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1E6C97" w:rsidRPr="007E0AF4" w:rsidRDefault="001E6C97" w:rsidP="001E6C97">
            <w:pPr>
              <w:pBdr>
                <w:top w:val="nil"/>
                <w:left w:val="nil"/>
                <w:bottom w:val="nil"/>
                <w:right w:val="nil"/>
                <w:between w:val="nil"/>
              </w:pBdr>
              <w:jc w:val="center"/>
              <w:rPr>
                <w:color w:val="000000"/>
                <w:sz w:val="22"/>
              </w:rPr>
            </w:pPr>
            <w:r w:rsidRPr="007E0AF4">
              <w:rPr>
                <w:color w:val="000000"/>
                <w:sz w:val="22"/>
              </w:rPr>
              <w:t>осіб</w:t>
            </w:r>
          </w:p>
        </w:tc>
        <w:tc>
          <w:tcPr>
            <w:tcW w:w="1701" w:type="dxa"/>
            <w:gridSpan w:val="2"/>
            <w:tcBorders>
              <w:top w:val="single" w:sz="4" w:space="0" w:color="000000"/>
              <w:left w:val="single" w:sz="4" w:space="0" w:color="000000"/>
              <w:bottom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r w:rsidRPr="007E0AF4">
              <w:rPr>
                <w:sz w:val="22"/>
              </w:rPr>
              <w:t>30</w:t>
            </w:r>
            <w:r w:rsidRPr="007E0AF4">
              <w:rPr>
                <w:color w:val="000000"/>
                <w:sz w:val="22"/>
              </w:rPr>
              <w:t>00</w:t>
            </w:r>
          </w:p>
        </w:tc>
      </w:tr>
      <w:tr w:rsidR="001E6C97" w:rsidRPr="007E0AF4" w:rsidTr="001E6C97">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b/>
                <w:sz w:val="22"/>
              </w:rPr>
            </w:pPr>
            <w:r w:rsidRPr="007E0AF4">
              <w:rPr>
                <w:b/>
                <w:sz w:val="22"/>
              </w:rPr>
              <w:t xml:space="preserve">Ключові заходи </w:t>
            </w:r>
            <w:proofErr w:type="spellStart"/>
            <w:r w:rsidRPr="007E0AF4">
              <w:rPr>
                <w:b/>
                <w:sz w:val="22"/>
              </w:rPr>
              <w:t>проєкту</w:t>
            </w:r>
            <w:proofErr w:type="spellEnd"/>
            <w:r w:rsidRPr="007E0AF4">
              <w:rPr>
                <w:b/>
                <w:sz w:val="22"/>
              </w:rPr>
              <w:t>:</w:t>
            </w:r>
          </w:p>
        </w:tc>
        <w:tc>
          <w:tcPr>
            <w:tcW w:w="6945" w:type="dxa"/>
            <w:gridSpan w:val="7"/>
          </w:tcPr>
          <w:p w:rsidR="001E6C97" w:rsidRPr="007E0AF4" w:rsidRDefault="001E6C97" w:rsidP="001E6C97">
            <w:pPr>
              <w:rPr>
                <w:sz w:val="22"/>
                <w:highlight w:val="white"/>
              </w:rPr>
            </w:pPr>
            <w:r w:rsidRPr="007E0AF4">
              <w:rPr>
                <w:sz w:val="22"/>
                <w:highlight w:val="white"/>
              </w:rPr>
              <w:t xml:space="preserve">1. Розробка </w:t>
            </w:r>
            <w:proofErr w:type="spellStart"/>
            <w:r w:rsidRPr="007E0AF4">
              <w:rPr>
                <w:sz w:val="22"/>
                <w:highlight w:val="white"/>
              </w:rPr>
              <w:t>проєктно</w:t>
            </w:r>
            <w:proofErr w:type="spellEnd"/>
            <w:r w:rsidRPr="007E0AF4">
              <w:rPr>
                <w:sz w:val="22"/>
                <w:highlight w:val="white"/>
              </w:rPr>
              <w:t xml:space="preserve">-кошторисної документації. </w:t>
            </w:r>
          </w:p>
          <w:p w:rsidR="001E6C97" w:rsidRPr="007E0AF4" w:rsidRDefault="001E6C97" w:rsidP="001E6C97">
            <w:pPr>
              <w:rPr>
                <w:sz w:val="22"/>
                <w:highlight w:val="white"/>
              </w:rPr>
            </w:pPr>
            <w:r w:rsidRPr="007E0AF4">
              <w:rPr>
                <w:sz w:val="22"/>
                <w:highlight w:val="white"/>
              </w:rPr>
              <w:t>2. Демонтаж старого обладнання та покриття.</w:t>
            </w:r>
          </w:p>
          <w:p w:rsidR="001E6C97" w:rsidRPr="007E0AF4" w:rsidRDefault="001E6C97" w:rsidP="001E6C97">
            <w:pPr>
              <w:rPr>
                <w:sz w:val="22"/>
                <w:highlight w:val="white"/>
              </w:rPr>
            </w:pPr>
            <w:r w:rsidRPr="007E0AF4">
              <w:rPr>
                <w:sz w:val="22"/>
                <w:highlight w:val="white"/>
              </w:rPr>
              <w:t>3. Монтаж футбольного поля.</w:t>
            </w:r>
          </w:p>
          <w:p w:rsidR="001E6C97" w:rsidRPr="007E0AF4" w:rsidRDefault="001E6C97" w:rsidP="001E6C97">
            <w:pPr>
              <w:rPr>
                <w:sz w:val="22"/>
                <w:highlight w:val="white"/>
              </w:rPr>
            </w:pPr>
            <w:r w:rsidRPr="007E0AF4">
              <w:rPr>
                <w:sz w:val="22"/>
                <w:highlight w:val="white"/>
              </w:rPr>
              <w:t xml:space="preserve"> 4. Облаштування ями для стрибків, бігової доріжки. </w:t>
            </w:r>
          </w:p>
          <w:p w:rsidR="001E6C97" w:rsidRPr="007E0AF4" w:rsidRDefault="001E6C97" w:rsidP="001E6C97">
            <w:pPr>
              <w:rPr>
                <w:sz w:val="22"/>
                <w:highlight w:val="white"/>
              </w:rPr>
            </w:pPr>
            <w:r w:rsidRPr="007E0AF4">
              <w:rPr>
                <w:sz w:val="22"/>
                <w:highlight w:val="white"/>
              </w:rPr>
              <w:t xml:space="preserve">5. Монтаж вуличного спортивного комплексу. </w:t>
            </w:r>
          </w:p>
          <w:p w:rsidR="001E6C97" w:rsidRPr="007E0AF4" w:rsidRDefault="001E6C97" w:rsidP="001E6C97">
            <w:pPr>
              <w:rPr>
                <w:sz w:val="22"/>
                <w:highlight w:val="white"/>
              </w:rPr>
            </w:pPr>
            <w:r w:rsidRPr="007E0AF4">
              <w:rPr>
                <w:sz w:val="22"/>
                <w:highlight w:val="white"/>
              </w:rPr>
              <w:t xml:space="preserve">6. Монтаж </w:t>
            </w:r>
            <w:proofErr w:type="spellStart"/>
            <w:r w:rsidRPr="007E0AF4">
              <w:rPr>
                <w:sz w:val="22"/>
                <w:highlight w:val="white"/>
              </w:rPr>
              <w:t>мультиспортивного</w:t>
            </w:r>
            <w:proofErr w:type="spellEnd"/>
            <w:r w:rsidRPr="007E0AF4">
              <w:rPr>
                <w:sz w:val="22"/>
                <w:highlight w:val="white"/>
              </w:rPr>
              <w:t xml:space="preserve"> поля. </w:t>
            </w:r>
          </w:p>
          <w:p w:rsidR="001E6C97" w:rsidRPr="007E0AF4" w:rsidRDefault="001E6C97" w:rsidP="001E6C97">
            <w:pPr>
              <w:rPr>
                <w:sz w:val="22"/>
                <w:highlight w:val="white"/>
              </w:rPr>
            </w:pPr>
            <w:r w:rsidRPr="007E0AF4">
              <w:rPr>
                <w:sz w:val="22"/>
                <w:highlight w:val="white"/>
              </w:rPr>
              <w:t>7. Благоустрій території.</w:t>
            </w:r>
          </w:p>
          <w:p w:rsidR="001E6C97" w:rsidRPr="007E0AF4" w:rsidRDefault="001E6C97" w:rsidP="001E6C97">
            <w:pPr>
              <w:rPr>
                <w:sz w:val="22"/>
                <w:highlight w:val="white"/>
              </w:rPr>
            </w:pPr>
            <w:r w:rsidRPr="007E0AF4">
              <w:rPr>
                <w:sz w:val="22"/>
                <w:highlight w:val="white"/>
              </w:rPr>
              <w:t xml:space="preserve">8. Відновлення занять фізкультурою та спортом на території  Ліцею “КОЛЕГІУМ” міста Сєверодонецька Луганської області в </w:t>
            </w:r>
            <w:proofErr w:type="spellStart"/>
            <w:r w:rsidRPr="007E0AF4">
              <w:rPr>
                <w:sz w:val="22"/>
                <w:highlight w:val="white"/>
              </w:rPr>
              <w:t>офлайн</w:t>
            </w:r>
            <w:proofErr w:type="spellEnd"/>
            <w:r w:rsidRPr="007E0AF4">
              <w:rPr>
                <w:sz w:val="22"/>
                <w:highlight w:val="white"/>
              </w:rPr>
              <w:t xml:space="preserve"> форматі.</w:t>
            </w:r>
          </w:p>
        </w:tc>
      </w:tr>
      <w:tr w:rsidR="001E6C97" w:rsidRPr="007E0AF4" w:rsidTr="001E6C97">
        <w:trPr>
          <w:trHeight w:val="360"/>
        </w:trPr>
        <w:tc>
          <w:tcPr>
            <w:tcW w:w="2978" w:type="dxa"/>
            <w:vMerge w:val="restart"/>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b/>
                <w:sz w:val="22"/>
              </w:rPr>
            </w:pPr>
            <w:r w:rsidRPr="007E0AF4">
              <w:rPr>
                <w:b/>
                <w:sz w:val="22"/>
              </w:rPr>
              <w:t>Орієнтовний обсяг та джерела фінансування тис. гривень</w:t>
            </w:r>
          </w:p>
        </w:tc>
        <w:tc>
          <w:tcPr>
            <w:tcW w:w="1559" w:type="dxa"/>
            <w:tcBorders>
              <w:bottom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r w:rsidRPr="007E0AF4">
              <w:rPr>
                <w:b/>
                <w:color w:val="000000"/>
                <w:sz w:val="22"/>
              </w:rPr>
              <w:t>Державний бюджет</w:t>
            </w:r>
          </w:p>
        </w:tc>
        <w:tc>
          <w:tcPr>
            <w:tcW w:w="1276" w:type="dxa"/>
            <w:tcBorders>
              <w:bottom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r w:rsidRPr="007E0AF4">
              <w:rPr>
                <w:b/>
                <w:color w:val="000000"/>
                <w:sz w:val="22"/>
              </w:rPr>
              <w:t>Місцевий бюджет</w:t>
            </w:r>
          </w:p>
        </w:tc>
        <w:tc>
          <w:tcPr>
            <w:tcW w:w="2976" w:type="dxa"/>
            <w:gridSpan w:val="4"/>
            <w:tcBorders>
              <w:left w:val="single" w:sz="4" w:space="0" w:color="000000"/>
              <w:bottom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r w:rsidRPr="007E0AF4">
              <w:rPr>
                <w:b/>
                <w:color w:val="000000"/>
                <w:sz w:val="22"/>
              </w:rPr>
              <w:t>Інші джерела</w:t>
            </w:r>
          </w:p>
        </w:tc>
        <w:tc>
          <w:tcPr>
            <w:tcW w:w="1134" w:type="dxa"/>
            <w:tcBorders>
              <w:left w:val="single" w:sz="4" w:space="0" w:color="000000"/>
              <w:bottom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r w:rsidRPr="007E0AF4">
              <w:rPr>
                <w:b/>
                <w:color w:val="000000"/>
                <w:sz w:val="22"/>
              </w:rPr>
              <w:t>Всього</w:t>
            </w:r>
          </w:p>
        </w:tc>
      </w:tr>
      <w:tr w:rsidR="001E6C97" w:rsidRPr="007E0AF4" w:rsidTr="001E6C97">
        <w:trPr>
          <w:trHeight w:val="225"/>
        </w:trPr>
        <w:tc>
          <w:tcPr>
            <w:tcW w:w="2978" w:type="dxa"/>
            <w:vMerge/>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widowControl w:val="0"/>
              <w:pBdr>
                <w:top w:val="nil"/>
                <w:left w:val="nil"/>
                <w:bottom w:val="nil"/>
                <w:right w:val="nil"/>
                <w:between w:val="nil"/>
              </w:pBdr>
              <w:spacing w:line="276" w:lineRule="auto"/>
              <w:rPr>
                <w:b/>
                <w:color w:val="000000"/>
                <w:sz w:val="22"/>
              </w:rPr>
            </w:pPr>
          </w:p>
        </w:tc>
        <w:tc>
          <w:tcPr>
            <w:tcW w:w="1559" w:type="dxa"/>
            <w:vMerge w:val="restart"/>
            <w:tcBorders>
              <w:top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color w:val="000000"/>
                <w:sz w:val="22"/>
                <w:lang w:val="ru-RU"/>
              </w:rPr>
            </w:pPr>
            <w:r w:rsidRPr="007E0AF4">
              <w:rPr>
                <w:color w:val="000000"/>
                <w:sz w:val="22"/>
                <w:lang w:val="ru-RU"/>
              </w:rPr>
              <w:t>18200,0</w:t>
            </w:r>
          </w:p>
        </w:tc>
        <w:tc>
          <w:tcPr>
            <w:tcW w:w="1276" w:type="dxa"/>
            <w:vMerge w:val="restart"/>
            <w:tcBorders>
              <w:top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color w:val="000000"/>
                <w:sz w:val="22"/>
                <w:lang w:val="ru-RU"/>
              </w:rPr>
            </w:pPr>
            <w:r w:rsidRPr="007E0AF4">
              <w:rPr>
                <w:color w:val="000000"/>
                <w:sz w:val="22"/>
                <w:lang w:val="ru-RU"/>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r w:rsidRPr="007E0AF4">
              <w:rPr>
                <w:b/>
                <w:color w:val="000000"/>
                <w:sz w:val="22"/>
              </w:rPr>
              <w:t>Обсяг</w:t>
            </w:r>
          </w:p>
        </w:tc>
        <w:tc>
          <w:tcPr>
            <w:tcW w:w="1984" w:type="dxa"/>
            <w:gridSpan w:val="2"/>
            <w:tcBorders>
              <w:top w:val="single" w:sz="4" w:space="0" w:color="000000"/>
              <w:left w:val="single" w:sz="4" w:space="0" w:color="000000"/>
              <w:bottom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r w:rsidRPr="007E0AF4">
              <w:rPr>
                <w:b/>
                <w:color w:val="000000"/>
                <w:sz w:val="22"/>
              </w:rPr>
              <w:t>Назва джерела</w:t>
            </w:r>
          </w:p>
        </w:tc>
        <w:tc>
          <w:tcPr>
            <w:tcW w:w="1134" w:type="dxa"/>
            <w:vMerge w:val="restart"/>
            <w:tcBorders>
              <w:top w:val="single" w:sz="4" w:space="0" w:color="000000"/>
              <w:left w:val="single" w:sz="4" w:space="0" w:color="000000"/>
            </w:tcBorders>
          </w:tcPr>
          <w:p w:rsidR="001E6C97" w:rsidRPr="007E0AF4" w:rsidRDefault="001E6C97" w:rsidP="001E6C97">
            <w:pPr>
              <w:pBdr>
                <w:top w:val="nil"/>
                <w:left w:val="nil"/>
                <w:bottom w:val="nil"/>
                <w:right w:val="nil"/>
                <w:between w:val="nil"/>
              </w:pBdr>
              <w:jc w:val="center"/>
              <w:rPr>
                <w:color w:val="000000"/>
                <w:sz w:val="22"/>
                <w:lang w:val="ru-RU"/>
              </w:rPr>
            </w:pPr>
            <w:r w:rsidRPr="007E0AF4">
              <w:rPr>
                <w:sz w:val="22"/>
              </w:rPr>
              <w:t>26000</w:t>
            </w:r>
            <w:r w:rsidRPr="007E0AF4">
              <w:rPr>
                <w:sz w:val="22"/>
                <w:lang w:val="ru-RU"/>
              </w:rPr>
              <w:t>,0</w:t>
            </w:r>
          </w:p>
        </w:tc>
      </w:tr>
      <w:tr w:rsidR="001E6C97" w:rsidRPr="007E0AF4" w:rsidTr="001E6C97">
        <w:trPr>
          <w:trHeight w:val="300"/>
        </w:trPr>
        <w:tc>
          <w:tcPr>
            <w:tcW w:w="2978" w:type="dxa"/>
            <w:vMerge/>
            <w:tcBorders>
              <w:top w:val="single" w:sz="6" w:space="0" w:color="000000"/>
              <w:left w:val="single" w:sz="6" w:space="0" w:color="000000"/>
              <w:right w:val="single" w:sz="6" w:space="0" w:color="000000"/>
            </w:tcBorders>
            <w:shd w:val="clear" w:color="auto" w:fill="C6D9F1" w:themeFill="text2" w:themeFillTint="33"/>
          </w:tcPr>
          <w:p w:rsidR="001E6C97" w:rsidRPr="007E0AF4" w:rsidRDefault="001E6C97" w:rsidP="001E6C97">
            <w:pPr>
              <w:widowControl w:val="0"/>
              <w:pBdr>
                <w:top w:val="nil"/>
                <w:left w:val="nil"/>
                <w:bottom w:val="nil"/>
                <w:right w:val="nil"/>
                <w:between w:val="nil"/>
              </w:pBdr>
              <w:spacing w:line="276" w:lineRule="auto"/>
              <w:rPr>
                <w:color w:val="000000"/>
                <w:sz w:val="22"/>
              </w:rPr>
            </w:pPr>
          </w:p>
        </w:tc>
        <w:tc>
          <w:tcPr>
            <w:tcW w:w="1559" w:type="dxa"/>
            <w:vMerge/>
            <w:tcBorders>
              <w:top w:val="single" w:sz="4" w:space="0" w:color="000000"/>
              <w:right w:val="single" w:sz="4" w:space="0" w:color="000000"/>
            </w:tcBorders>
          </w:tcPr>
          <w:p w:rsidR="001E6C97" w:rsidRPr="007E0AF4" w:rsidRDefault="001E6C97" w:rsidP="001E6C97">
            <w:pPr>
              <w:widowControl w:val="0"/>
              <w:pBdr>
                <w:top w:val="nil"/>
                <w:left w:val="nil"/>
                <w:bottom w:val="nil"/>
                <w:right w:val="nil"/>
                <w:between w:val="nil"/>
              </w:pBdr>
              <w:spacing w:line="276" w:lineRule="auto"/>
              <w:rPr>
                <w:color w:val="000000"/>
                <w:sz w:val="22"/>
              </w:rPr>
            </w:pPr>
          </w:p>
        </w:tc>
        <w:tc>
          <w:tcPr>
            <w:tcW w:w="1276" w:type="dxa"/>
            <w:vMerge/>
            <w:tcBorders>
              <w:top w:val="single" w:sz="4" w:space="0" w:color="000000"/>
              <w:right w:val="single" w:sz="4" w:space="0" w:color="000000"/>
            </w:tcBorders>
          </w:tcPr>
          <w:p w:rsidR="001E6C97" w:rsidRPr="007E0AF4" w:rsidRDefault="001E6C97" w:rsidP="001E6C97">
            <w:pPr>
              <w:widowControl w:val="0"/>
              <w:pBdr>
                <w:top w:val="nil"/>
                <w:left w:val="nil"/>
                <w:bottom w:val="nil"/>
                <w:right w:val="nil"/>
                <w:between w:val="nil"/>
              </w:pBdr>
              <w:spacing w:line="276" w:lineRule="auto"/>
              <w:rPr>
                <w:color w:val="000000"/>
                <w:sz w:val="22"/>
              </w:rPr>
            </w:pPr>
          </w:p>
        </w:tc>
        <w:tc>
          <w:tcPr>
            <w:tcW w:w="992" w:type="dxa"/>
            <w:gridSpan w:val="2"/>
            <w:tcBorders>
              <w:top w:val="single" w:sz="4" w:space="0" w:color="000000"/>
              <w:left w:val="single" w:sz="4" w:space="0" w:color="000000"/>
              <w:right w:val="single" w:sz="4" w:space="0" w:color="000000"/>
            </w:tcBorders>
          </w:tcPr>
          <w:p w:rsidR="001E6C97" w:rsidRPr="007E0AF4" w:rsidRDefault="001E6C97" w:rsidP="001E6C97">
            <w:pPr>
              <w:pBdr>
                <w:top w:val="nil"/>
                <w:left w:val="nil"/>
                <w:bottom w:val="nil"/>
                <w:right w:val="nil"/>
                <w:between w:val="nil"/>
              </w:pBdr>
              <w:rPr>
                <w:b/>
                <w:color w:val="000000"/>
                <w:sz w:val="22"/>
                <w:lang w:val="ru-RU"/>
              </w:rPr>
            </w:pPr>
            <w:r w:rsidRPr="007E0AF4">
              <w:rPr>
                <w:sz w:val="22"/>
                <w:lang w:val="ru-RU"/>
              </w:rPr>
              <w:t>7800,0</w:t>
            </w:r>
          </w:p>
        </w:tc>
        <w:tc>
          <w:tcPr>
            <w:tcW w:w="1984" w:type="dxa"/>
            <w:gridSpan w:val="2"/>
            <w:tcBorders>
              <w:top w:val="single" w:sz="4" w:space="0" w:color="000000"/>
              <w:left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color w:val="000000"/>
                <w:sz w:val="22"/>
              </w:rPr>
            </w:pPr>
            <w:r w:rsidRPr="007E0AF4">
              <w:rPr>
                <w:color w:val="000000"/>
                <w:sz w:val="22"/>
              </w:rPr>
              <w:t>Міжнародні інвестиції, кошти приватних осіб</w:t>
            </w:r>
          </w:p>
        </w:tc>
        <w:tc>
          <w:tcPr>
            <w:tcW w:w="1134" w:type="dxa"/>
            <w:vMerge/>
            <w:tcBorders>
              <w:top w:val="single" w:sz="4" w:space="0" w:color="000000"/>
              <w:left w:val="single" w:sz="4" w:space="0" w:color="000000"/>
            </w:tcBorders>
          </w:tcPr>
          <w:p w:rsidR="001E6C97" w:rsidRPr="007E0AF4" w:rsidRDefault="001E6C97" w:rsidP="001E6C97">
            <w:pPr>
              <w:widowControl w:val="0"/>
              <w:pBdr>
                <w:top w:val="nil"/>
                <w:left w:val="nil"/>
                <w:bottom w:val="nil"/>
                <w:right w:val="nil"/>
                <w:between w:val="nil"/>
              </w:pBdr>
              <w:spacing w:line="276" w:lineRule="auto"/>
              <w:rPr>
                <w:color w:val="000000"/>
                <w:sz w:val="22"/>
              </w:rPr>
            </w:pPr>
          </w:p>
        </w:tc>
      </w:tr>
    </w:tbl>
    <w:p w:rsidR="001E6C97" w:rsidRPr="007E0AF4" w:rsidRDefault="001E6C97" w:rsidP="00E95FB1">
      <w:pPr>
        <w:rPr>
          <w:sz w:val="22"/>
        </w:rPr>
      </w:pPr>
    </w:p>
    <w:p w:rsidR="001E6C97" w:rsidRPr="007E0AF4" w:rsidRDefault="001E6C97" w:rsidP="00E95FB1">
      <w:pPr>
        <w:rPr>
          <w:sz w:val="22"/>
        </w:rPr>
      </w:pPr>
    </w:p>
    <w:p w:rsidR="001E6C97" w:rsidRPr="007E0AF4" w:rsidRDefault="001E6C97" w:rsidP="00E95FB1">
      <w:pPr>
        <w:rPr>
          <w:sz w:val="22"/>
        </w:rPr>
      </w:pPr>
    </w:p>
    <w:p w:rsidR="001E6C97" w:rsidRPr="007E0AF4" w:rsidRDefault="001E6C97" w:rsidP="00E95FB1">
      <w:pPr>
        <w:rPr>
          <w:sz w:val="22"/>
        </w:rPr>
      </w:pPr>
    </w:p>
    <w:tbl>
      <w:tblPr>
        <w:tblpPr w:leftFromText="180" w:rightFromText="180" w:vertAnchor="text" w:horzAnchor="page" w:tblpX="1" w:tblpY="123"/>
        <w:tblW w:w="11370" w:type="dxa"/>
        <w:tblLayout w:type="fixed"/>
        <w:tblCellMar>
          <w:left w:w="30" w:type="dxa"/>
          <w:right w:w="30" w:type="dxa"/>
        </w:tblCellMar>
        <w:tblLook w:val="0000" w:firstRow="0" w:lastRow="0" w:firstColumn="0" w:lastColumn="0" w:noHBand="0" w:noVBand="0"/>
      </w:tblPr>
      <w:tblGrid>
        <w:gridCol w:w="1446"/>
        <w:gridCol w:w="2973"/>
        <w:gridCol w:w="1562"/>
        <w:gridCol w:w="1134"/>
        <w:gridCol w:w="992"/>
        <w:gridCol w:w="139"/>
        <w:gridCol w:w="1562"/>
        <w:gridCol w:w="1475"/>
        <w:gridCol w:w="87"/>
      </w:tblGrid>
      <w:tr w:rsidR="001E6C97" w:rsidRPr="007E0AF4" w:rsidTr="00DC01CA">
        <w:trPr>
          <w:gridAfter w:val="1"/>
          <w:wAfter w:w="87" w:type="dxa"/>
          <w:trHeight w:val="555"/>
        </w:trPr>
        <w:tc>
          <w:tcPr>
            <w:tcW w:w="1446" w:type="dxa"/>
            <w:tcBorders>
              <w:top w:val="nil"/>
              <w:left w:val="nil"/>
              <w:bottom w:val="nil"/>
              <w:right w:val="nil"/>
            </w:tcBorders>
          </w:tcPr>
          <w:p w:rsidR="001E6C97" w:rsidRPr="007E0AF4" w:rsidRDefault="001E6C97" w:rsidP="001E6C97">
            <w:pPr>
              <w:rPr>
                <w:rFonts w:eastAsia="Calibri"/>
                <w:color w:val="000000"/>
                <w:sz w:val="22"/>
              </w:rPr>
            </w:pPr>
          </w:p>
        </w:tc>
        <w:tc>
          <w:tcPr>
            <w:tcW w:w="297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6C97" w:rsidRPr="007E0AF4" w:rsidRDefault="001E6C97" w:rsidP="001E6C97">
            <w:pPr>
              <w:autoSpaceDE w:val="0"/>
              <w:autoSpaceDN w:val="0"/>
              <w:adjustRightInd w:val="0"/>
              <w:rPr>
                <w:rFonts w:eastAsia="Calibri"/>
                <w:b/>
                <w:color w:val="000000"/>
                <w:sz w:val="22"/>
              </w:rPr>
            </w:pPr>
            <w:r w:rsidRPr="007E0AF4">
              <w:rPr>
                <w:rFonts w:eastAsia="Calibri"/>
                <w:b/>
                <w:color w:val="000000"/>
                <w:sz w:val="22"/>
              </w:rPr>
              <w:t>Оперативна ціль/завдання</w:t>
            </w:r>
          </w:p>
        </w:tc>
        <w:tc>
          <w:tcPr>
            <w:tcW w:w="6864" w:type="dxa"/>
            <w:gridSpan w:val="6"/>
            <w:tcBorders>
              <w:top w:val="single" w:sz="6" w:space="0" w:color="auto"/>
              <w:left w:val="single" w:sz="6" w:space="0" w:color="auto"/>
              <w:bottom w:val="single" w:sz="6" w:space="0" w:color="auto"/>
              <w:right w:val="single" w:sz="6" w:space="0" w:color="auto"/>
            </w:tcBorders>
          </w:tcPr>
          <w:p w:rsidR="001E6C97" w:rsidRPr="007E0AF4" w:rsidRDefault="001E6C97" w:rsidP="001E6C97">
            <w:pPr>
              <w:rPr>
                <w:sz w:val="22"/>
              </w:rPr>
            </w:pPr>
            <w:r w:rsidRPr="007E0AF4">
              <w:rPr>
                <w:sz w:val="22"/>
              </w:rPr>
              <w:t xml:space="preserve">Людський розвиток через інновації управління та довіру до влади. Формування сучасного інклюзивного  </w:t>
            </w:r>
            <w:proofErr w:type="spellStart"/>
            <w:r w:rsidRPr="007E0AF4">
              <w:rPr>
                <w:sz w:val="22"/>
              </w:rPr>
              <w:t>освітньо</w:t>
            </w:r>
            <w:proofErr w:type="spellEnd"/>
            <w:r w:rsidRPr="007E0AF4">
              <w:rPr>
                <w:sz w:val="22"/>
              </w:rPr>
              <w:t>-культурного та спортивного простору для розвитку</w:t>
            </w:r>
          </w:p>
        </w:tc>
      </w:tr>
      <w:tr w:rsidR="001E6C97" w:rsidRPr="007E0AF4" w:rsidTr="00DC01CA">
        <w:trPr>
          <w:gridAfter w:val="1"/>
          <w:wAfter w:w="87" w:type="dxa"/>
          <w:trHeight w:val="691"/>
        </w:trPr>
        <w:tc>
          <w:tcPr>
            <w:tcW w:w="1446" w:type="dxa"/>
            <w:tcBorders>
              <w:top w:val="nil"/>
              <w:left w:val="nil"/>
              <w:bottom w:val="nil"/>
              <w:right w:val="nil"/>
            </w:tcBorders>
          </w:tcPr>
          <w:p w:rsidR="001E6C97" w:rsidRPr="007E0AF4" w:rsidRDefault="001E6C97" w:rsidP="001E6C97">
            <w:pPr>
              <w:autoSpaceDE w:val="0"/>
              <w:autoSpaceDN w:val="0"/>
              <w:adjustRightInd w:val="0"/>
              <w:jc w:val="right"/>
              <w:rPr>
                <w:rFonts w:eastAsia="Calibri"/>
                <w:color w:val="000000"/>
                <w:sz w:val="22"/>
              </w:rPr>
            </w:pPr>
          </w:p>
        </w:tc>
        <w:tc>
          <w:tcPr>
            <w:tcW w:w="297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6C97" w:rsidRPr="007E0AF4" w:rsidRDefault="001E6C97" w:rsidP="001E6C97">
            <w:pPr>
              <w:autoSpaceDE w:val="0"/>
              <w:autoSpaceDN w:val="0"/>
              <w:adjustRightInd w:val="0"/>
              <w:rPr>
                <w:rFonts w:eastAsia="Calibri"/>
                <w:b/>
                <w:color w:val="000000"/>
                <w:sz w:val="22"/>
              </w:rPr>
            </w:pPr>
            <w:r w:rsidRPr="007E0AF4">
              <w:rPr>
                <w:rFonts w:eastAsia="Calibri"/>
                <w:b/>
                <w:color w:val="000000"/>
                <w:sz w:val="22"/>
              </w:rPr>
              <w:t>Назва проекту:</w:t>
            </w:r>
          </w:p>
        </w:tc>
        <w:tc>
          <w:tcPr>
            <w:tcW w:w="6864" w:type="dxa"/>
            <w:gridSpan w:val="6"/>
            <w:tcBorders>
              <w:top w:val="single" w:sz="6" w:space="0" w:color="auto"/>
              <w:left w:val="single" w:sz="6" w:space="0" w:color="auto"/>
              <w:bottom w:val="single" w:sz="6" w:space="0" w:color="auto"/>
              <w:right w:val="single" w:sz="6" w:space="0" w:color="auto"/>
            </w:tcBorders>
          </w:tcPr>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 xml:space="preserve">Капітальний ремонт будівлі Ліцею № 1 м. Сєвєродонецька Луганської області за </w:t>
            </w:r>
            <w:proofErr w:type="spellStart"/>
            <w:r w:rsidRPr="007E0AF4">
              <w:rPr>
                <w:rFonts w:eastAsia="Calibri"/>
                <w:color w:val="000000"/>
                <w:sz w:val="22"/>
              </w:rPr>
              <w:t>адресою</w:t>
            </w:r>
            <w:proofErr w:type="spellEnd"/>
            <w:r w:rsidRPr="007E0AF4">
              <w:rPr>
                <w:rFonts w:eastAsia="Calibri"/>
                <w:color w:val="000000"/>
                <w:sz w:val="22"/>
              </w:rPr>
              <w:t>: вулиця Науки, будинок 5 - А</w:t>
            </w:r>
          </w:p>
        </w:tc>
      </w:tr>
      <w:tr w:rsidR="001E6C97" w:rsidRPr="007E0AF4" w:rsidTr="00DC01CA">
        <w:trPr>
          <w:gridAfter w:val="1"/>
          <w:wAfter w:w="87" w:type="dxa"/>
          <w:trHeight w:val="841"/>
        </w:trPr>
        <w:tc>
          <w:tcPr>
            <w:tcW w:w="1446" w:type="dxa"/>
            <w:tcBorders>
              <w:top w:val="nil"/>
              <w:left w:val="nil"/>
              <w:bottom w:val="nil"/>
              <w:right w:val="nil"/>
            </w:tcBorders>
          </w:tcPr>
          <w:p w:rsidR="001E6C97" w:rsidRPr="007E0AF4" w:rsidRDefault="001E6C97" w:rsidP="001E6C97">
            <w:pPr>
              <w:autoSpaceDE w:val="0"/>
              <w:autoSpaceDN w:val="0"/>
              <w:adjustRightInd w:val="0"/>
              <w:jc w:val="right"/>
              <w:rPr>
                <w:rFonts w:eastAsia="Calibri"/>
                <w:color w:val="000000"/>
                <w:sz w:val="22"/>
              </w:rPr>
            </w:pPr>
          </w:p>
        </w:tc>
        <w:tc>
          <w:tcPr>
            <w:tcW w:w="297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6C97" w:rsidRPr="007E0AF4" w:rsidRDefault="001E6C97" w:rsidP="001E6C97">
            <w:pPr>
              <w:autoSpaceDE w:val="0"/>
              <w:autoSpaceDN w:val="0"/>
              <w:adjustRightInd w:val="0"/>
              <w:rPr>
                <w:rFonts w:eastAsia="Calibri"/>
                <w:b/>
                <w:color w:val="000000"/>
                <w:sz w:val="22"/>
              </w:rPr>
            </w:pPr>
            <w:r w:rsidRPr="007E0AF4">
              <w:rPr>
                <w:rFonts w:eastAsia="Calibri"/>
                <w:b/>
                <w:color w:val="000000"/>
                <w:sz w:val="22"/>
              </w:rPr>
              <w:t>Ціль проекту</w:t>
            </w:r>
          </w:p>
        </w:tc>
        <w:tc>
          <w:tcPr>
            <w:tcW w:w="6864" w:type="dxa"/>
            <w:gridSpan w:val="6"/>
            <w:tcBorders>
              <w:top w:val="single" w:sz="6" w:space="0" w:color="auto"/>
              <w:left w:val="single" w:sz="6" w:space="0" w:color="auto"/>
              <w:bottom w:val="single" w:sz="6" w:space="0" w:color="auto"/>
              <w:right w:val="single" w:sz="6" w:space="0" w:color="auto"/>
            </w:tcBorders>
          </w:tcPr>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Створення безпечних, якісних санітарно-гігієнічних умов для максимально комфортного перебування, навчання та виховання дітей  в закладі  освіти.</w:t>
            </w:r>
          </w:p>
        </w:tc>
      </w:tr>
      <w:tr w:rsidR="001E6C97" w:rsidRPr="007E0AF4" w:rsidTr="00DC01CA">
        <w:trPr>
          <w:gridAfter w:val="1"/>
          <w:wAfter w:w="87" w:type="dxa"/>
          <w:trHeight w:val="290"/>
        </w:trPr>
        <w:tc>
          <w:tcPr>
            <w:tcW w:w="1446" w:type="dxa"/>
            <w:tcBorders>
              <w:top w:val="nil"/>
              <w:left w:val="nil"/>
              <w:bottom w:val="nil"/>
              <w:right w:val="nil"/>
            </w:tcBorders>
          </w:tcPr>
          <w:p w:rsidR="001E6C97" w:rsidRPr="007E0AF4" w:rsidRDefault="001E6C97" w:rsidP="001E6C97">
            <w:pPr>
              <w:autoSpaceDE w:val="0"/>
              <w:autoSpaceDN w:val="0"/>
              <w:adjustRightInd w:val="0"/>
              <w:jc w:val="right"/>
              <w:rPr>
                <w:rFonts w:eastAsia="Calibri"/>
                <w:color w:val="000000"/>
                <w:sz w:val="22"/>
              </w:rPr>
            </w:pPr>
          </w:p>
        </w:tc>
        <w:tc>
          <w:tcPr>
            <w:tcW w:w="297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6C97" w:rsidRPr="007E0AF4" w:rsidRDefault="001E6C97" w:rsidP="001E6C97">
            <w:pPr>
              <w:autoSpaceDE w:val="0"/>
              <w:autoSpaceDN w:val="0"/>
              <w:adjustRightInd w:val="0"/>
              <w:rPr>
                <w:rFonts w:eastAsia="Calibri"/>
                <w:b/>
                <w:color w:val="000000"/>
                <w:sz w:val="22"/>
              </w:rPr>
            </w:pPr>
            <w:r w:rsidRPr="007E0AF4">
              <w:rPr>
                <w:rFonts w:eastAsia="Calibri"/>
                <w:b/>
                <w:color w:val="000000"/>
                <w:sz w:val="22"/>
              </w:rPr>
              <w:t>Територія, на яку матиме вплив реалізація проекту</w:t>
            </w:r>
          </w:p>
        </w:tc>
        <w:tc>
          <w:tcPr>
            <w:tcW w:w="6864" w:type="dxa"/>
            <w:gridSpan w:val="6"/>
            <w:tcBorders>
              <w:top w:val="single" w:sz="6" w:space="0" w:color="auto"/>
              <w:left w:val="single" w:sz="6" w:space="0" w:color="auto"/>
              <w:bottom w:val="single" w:sz="6" w:space="0" w:color="auto"/>
              <w:right w:val="single" w:sz="6" w:space="0" w:color="auto"/>
            </w:tcBorders>
          </w:tcPr>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Сєвєродонецька міська територіальна громада</w:t>
            </w:r>
          </w:p>
        </w:tc>
      </w:tr>
      <w:tr w:rsidR="001E6C97" w:rsidRPr="007E0AF4" w:rsidTr="00DC01CA">
        <w:trPr>
          <w:gridAfter w:val="1"/>
          <w:wAfter w:w="87" w:type="dxa"/>
          <w:trHeight w:val="846"/>
        </w:trPr>
        <w:tc>
          <w:tcPr>
            <w:tcW w:w="1446" w:type="dxa"/>
            <w:tcBorders>
              <w:top w:val="nil"/>
              <w:left w:val="nil"/>
              <w:bottom w:val="nil"/>
              <w:right w:val="nil"/>
            </w:tcBorders>
          </w:tcPr>
          <w:p w:rsidR="001E6C97" w:rsidRPr="007E0AF4" w:rsidRDefault="001E6C97" w:rsidP="001E6C97">
            <w:pPr>
              <w:autoSpaceDE w:val="0"/>
              <w:autoSpaceDN w:val="0"/>
              <w:adjustRightInd w:val="0"/>
              <w:jc w:val="right"/>
              <w:rPr>
                <w:rFonts w:eastAsia="Calibri"/>
                <w:color w:val="000000"/>
                <w:sz w:val="22"/>
              </w:rPr>
            </w:pPr>
          </w:p>
        </w:tc>
        <w:tc>
          <w:tcPr>
            <w:tcW w:w="297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6C97" w:rsidRPr="007E0AF4" w:rsidRDefault="001E6C97" w:rsidP="001E6C97">
            <w:pPr>
              <w:autoSpaceDE w:val="0"/>
              <w:autoSpaceDN w:val="0"/>
              <w:adjustRightInd w:val="0"/>
              <w:rPr>
                <w:rFonts w:eastAsia="Calibri"/>
                <w:b/>
                <w:color w:val="000000"/>
                <w:sz w:val="22"/>
              </w:rPr>
            </w:pPr>
            <w:r w:rsidRPr="007E0AF4">
              <w:rPr>
                <w:rFonts w:eastAsia="Calibri"/>
                <w:b/>
                <w:color w:val="000000"/>
                <w:sz w:val="22"/>
              </w:rPr>
              <w:t>Чисельність населення, на яке матиме вплив реалізація проекту</w:t>
            </w:r>
          </w:p>
        </w:tc>
        <w:tc>
          <w:tcPr>
            <w:tcW w:w="6864" w:type="dxa"/>
            <w:gridSpan w:val="6"/>
            <w:tcBorders>
              <w:top w:val="single" w:sz="6" w:space="0" w:color="auto"/>
              <w:left w:val="single" w:sz="6" w:space="0" w:color="auto"/>
              <w:bottom w:val="single" w:sz="6" w:space="0" w:color="auto"/>
              <w:right w:val="single" w:sz="6" w:space="0" w:color="auto"/>
            </w:tcBorders>
          </w:tcPr>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70 000 осіб</w:t>
            </w:r>
          </w:p>
        </w:tc>
      </w:tr>
      <w:tr w:rsidR="001E6C97" w:rsidRPr="007E0AF4" w:rsidTr="00DC01CA">
        <w:trPr>
          <w:gridAfter w:val="1"/>
          <w:wAfter w:w="87" w:type="dxa"/>
          <w:trHeight w:val="1261"/>
        </w:trPr>
        <w:tc>
          <w:tcPr>
            <w:tcW w:w="1446" w:type="dxa"/>
            <w:tcBorders>
              <w:top w:val="nil"/>
              <w:left w:val="nil"/>
              <w:bottom w:val="nil"/>
              <w:right w:val="nil"/>
            </w:tcBorders>
          </w:tcPr>
          <w:p w:rsidR="001E6C97" w:rsidRPr="007E0AF4" w:rsidRDefault="001E6C97" w:rsidP="001E6C97">
            <w:pPr>
              <w:autoSpaceDE w:val="0"/>
              <w:autoSpaceDN w:val="0"/>
              <w:adjustRightInd w:val="0"/>
              <w:jc w:val="right"/>
              <w:rPr>
                <w:rFonts w:eastAsia="Calibri"/>
                <w:color w:val="000000"/>
                <w:sz w:val="22"/>
              </w:rPr>
            </w:pPr>
          </w:p>
        </w:tc>
        <w:tc>
          <w:tcPr>
            <w:tcW w:w="297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6C97" w:rsidRPr="007E0AF4" w:rsidRDefault="001E6C97" w:rsidP="001E6C97">
            <w:pPr>
              <w:autoSpaceDE w:val="0"/>
              <w:autoSpaceDN w:val="0"/>
              <w:adjustRightInd w:val="0"/>
              <w:rPr>
                <w:rFonts w:eastAsia="Calibri"/>
                <w:b/>
                <w:color w:val="000000"/>
                <w:sz w:val="22"/>
              </w:rPr>
            </w:pPr>
            <w:r w:rsidRPr="007E0AF4">
              <w:rPr>
                <w:rFonts w:eastAsia="Calibri"/>
                <w:b/>
                <w:color w:val="000000"/>
                <w:sz w:val="22"/>
              </w:rPr>
              <w:t>Опис проблеми, на вирішення якої спрямований проект</w:t>
            </w:r>
          </w:p>
        </w:tc>
        <w:tc>
          <w:tcPr>
            <w:tcW w:w="6864" w:type="dxa"/>
            <w:gridSpan w:val="6"/>
            <w:tcBorders>
              <w:top w:val="single" w:sz="6" w:space="0" w:color="auto"/>
              <w:left w:val="single" w:sz="6" w:space="0" w:color="auto"/>
              <w:bottom w:val="single" w:sz="6" w:space="0" w:color="auto"/>
              <w:right w:val="single" w:sz="6" w:space="0" w:color="auto"/>
            </w:tcBorders>
          </w:tcPr>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 xml:space="preserve">   </w:t>
            </w:r>
            <w:proofErr w:type="spellStart"/>
            <w:r w:rsidRPr="007E0AF4">
              <w:rPr>
                <w:rFonts w:eastAsia="Calibri"/>
                <w:color w:val="000000"/>
                <w:sz w:val="22"/>
              </w:rPr>
              <w:t>Васлідок</w:t>
            </w:r>
            <w:proofErr w:type="spellEnd"/>
            <w:r w:rsidRPr="007E0AF4">
              <w:rPr>
                <w:rFonts w:eastAsia="Calibri"/>
                <w:color w:val="000000"/>
                <w:sz w:val="22"/>
              </w:rPr>
              <w:t xml:space="preserve"> ведення активних бойових дій на території Сєвєродонецької міської територіальної громади будівля Ліцею № 1 та пришкільна територія, як і велика кількість інфраструктури міста</w:t>
            </w:r>
            <w:r w:rsidR="00F310AD" w:rsidRPr="007E0AF4">
              <w:rPr>
                <w:rFonts w:eastAsia="Calibri"/>
                <w:color w:val="000000"/>
                <w:sz w:val="22"/>
              </w:rPr>
              <w:t>,</w:t>
            </w:r>
            <w:r w:rsidRPr="007E0AF4">
              <w:rPr>
                <w:rFonts w:eastAsia="Calibri"/>
                <w:color w:val="000000"/>
                <w:sz w:val="22"/>
              </w:rPr>
              <w:t xml:space="preserve"> зазнали пошкоджень та руйнувань.</w:t>
            </w:r>
          </w:p>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 xml:space="preserve">Після </w:t>
            </w:r>
            <w:proofErr w:type="spellStart"/>
            <w:r w:rsidRPr="007E0AF4">
              <w:rPr>
                <w:rFonts w:eastAsia="Calibri"/>
                <w:color w:val="000000"/>
                <w:sz w:val="22"/>
              </w:rPr>
              <w:t>деокупації</w:t>
            </w:r>
            <w:proofErr w:type="spellEnd"/>
            <w:r w:rsidRPr="007E0AF4">
              <w:rPr>
                <w:rFonts w:eastAsia="Calibri"/>
                <w:color w:val="000000"/>
                <w:sz w:val="22"/>
              </w:rPr>
              <w:t xml:space="preserve"> території та початком відбудови міста постане питання щодо необхідності надання якісних освітніх послуг мешканцям громади.</w:t>
            </w:r>
          </w:p>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 xml:space="preserve">    Реалізація </w:t>
            </w:r>
            <w:proofErr w:type="spellStart"/>
            <w:r w:rsidRPr="007E0AF4">
              <w:rPr>
                <w:rFonts w:eastAsia="Calibri"/>
                <w:color w:val="000000"/>
                <w:sz w:val="22"/>
              </w:rPr>
              <w:t>проєкту</w:t>
            </w:r>
            <w:proofErr w:type="spellEnd"/>
            <w:r w:rsidRPr="007E0AF4">
              <w:rPr>
                <w:rFonts w:eastAsia="Calibri"/>
                <w:color w:val="000000"/>
                <w:sz w:val="22"/>
              </w:rPr>
              <w:t xml:space="preserve"> «Капітальний ремонт  будівлі Ліцею № 1 м. Сєвєродонецька Луганської області за </w:t>
            </w:r>
            <w:proofErr w:type="spellStart"/>
            <w:r w:rsidRPr="007E0AF4">
              <w:rPr>
                <w:rFonts w:eastAsia="Calibri"/>
                <w:color w:val="000000"/>
                <w:sz w:val="22"/>
              </w:rPr>
              <w:t>адресою</w:t>
            </w:r>
            <w:proofErr w:type="spellEnd"/>
            <w:r w:rsidRPr="007E0AF4">
              <w:rPr>
                <w:rFonts w:eastAsia="Calibri"/>
                <w:color w:val="000000"/>
                <w:sz w:val="22"/>
              </w:rPr>
              <w:t>: вулиця Науки, будинок 5 -А» дозволить створити безпечні та комфортні умови для перебування, навчання та виховання здобувачів освіти Ліцею № 1.</w:t>
            </w:r>
            <w:r w:rsidRPr="007E0AF4">
              <w:rPr>
                <w:rFonts w:eastAsia="Calibri"/>
                <w:color w:val="000000"/>
                <w:sz w:val="22"/>
              </w:rPr>
              <w:tab/>
            </w:r>
            <w:r w:rsidRPr="007E0AF4">
              <w:rPr>
                <w:rFonts w:eastAsia="Calibri"/>
                <w:color w:val="000000"/>
                <w:sz w:val="22"/>
              </w:rPr>
              <w:tab/>
            </w:r>
          </w:p>
        </w:tc>
      </w:tr>
      <w:tr w:rsidR="001E6C97" w:rsidRPr="007E0AF4" w:rsidTr="00DC01CA">
        <w:trPr>
          <w:gridAfter w:val="1"/>
          <w:wAfter w:w="87" w:type="dxa"/>
          <w:trHeight w:val="1265"/>
        </w:trPr>
        <w:tc>
          <w:tcPr>
            <w:tcW w:w="1446" w:type="dxa"/>
            <w:tcBorders>
              <w:top w:val="nil"/>
              <w:left w:val="nil"/>
              <w:bottom w:val="nil"/>
              <w:right w:val="nil"/>
            </w:tcBorders>
          </w:tcPr>
          <w:p w:rsidR="001E6C97" w:rsidRPr="007E0AF4" w:rsidRDefault="001E6C97" w:rsidP="001E6C97">
            <w:pPr>
              <w:autoSpaceDE w:val="0"/>
              <w:autoSpaceDN w:val="0"/>
              <w:adjustRightInd w:val="0"/>
              <w:jc w:val="right"/>
              <w:rPr>
                <w:rFonts w:eastAsia="Calibri"/>
                <w:color w:val="000000"/>
                <w:sz w:val="22"/>
              </w:rPr>
            </w:pPr>
          </w:p>
        </w:tc>
        <w:tc>
          <w:tcPr>
            <w:tcW w:w="297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6C97" w:rsidRPr="007E0AF4" w:rsidRDefault="001E6C97" w:rsidP="001E6C97">
            <w:pPr>
              <w:autoSpaceDE w:val="0"/>
              <w:autoSpaceDN w:val="0"/>
              <w:adjustRightInd w:val="0"/>
              <w:rPr>
                <w:rFonts w:eastAsia="Calibri"/>
                <w:b/>
                <w:color w:val="000000"/>
                <w:sz w:val="22"/>
              </w:rPr>
            </w:pPr>
            <w:r w:rsidRPr="007E0AF4">
              <w:rPr>
                <w:rFonts w:eastAsia="Calibri"/>
                <w:b/>
                <w:color w:val="000000"/>
                <w:sz w:val="22"/>
              </w:rPr>
              <w:t>Очікувані якісні результати від реалізації проекту</w:t>
            </w:r>
          </w:p>
        </w:tc>
        <w:tc>
          <w:tcPr>
            <w:tcW w:w="6864" w:type="dxa"/>
            <w:gridSpan w:val="6"/>
            <w:tcBorders>
              <w:top w:val="single" w:sz="6" w:space="0" w:color="auto"/>
              <w:left w:val="single" w:sz="6" w:space="0" w:color="auto"/>
              <w:bottom w:val="single" w:sz="6" w:space="0" w:color="auto"/>
              <w:right w:val="single" w:sz="6" w:space="0" w:color="auto"/>
            </w:tcBorders>
          </w:tcPr>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1.  Створення сучасного освітнього простору для здобувачів освіти з орієнтацією на академічну свободу для всебічного розвитку особистості;</w:t>
            </w:r>
          </w:p>
          <w:p w:rsidR="001E6C97" w:rsidRPr="007E0AF4" w:rsidRDefault="001E6C97" w:rsidP="001E6C97">
            <w:pPr>
              <w:pStyle w:val="a7"/>
              <w:ind w:left="0"/>
              <w:rPr>
                <w:sz w:val="22"/>
              </w:rPr>
            </w:pPr>
            <w:r w:rsidRPr="007E0AF4">
              <w:rPr>
                <w:rFonts w:eastAsia="Calibri"/>
                <w:color w:val="000000"/>
                <w:sz w:val="22"/>
              </w:rPr>
              <w:t>2.</w:t>
            </w:r>
            <w:r w:rsidRPr="007E0AF4">
              <w:rPr>
                <w:sz w:val="22"/>
              </w:rPr>
              <w:t xml:space="preserve"> Забезпечення населення можливостями для реалізації його конституційних прав, пов’язаних із отриманням якісної освіти;</w:t>
            </w:r>
          </w:p>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 xml:space="preserve">3. Забезпечити якісно новий рівень комфорту перебування в будівлі; </w:t>
            </w:r>
          </w:p>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 xml:space="preserve">4. </w:t>
            </w:r>
            <w:r w:rsidRPr="007E0AF4">
              <w:rPr>
                <w:sz w:val="22"/>
              </w:rPr>
              <w:t>Надання широкого спектру послуг, пов’язаних із освітньою та виховною діяльністю</w:t>
            </w:r>
            <w:r w:rsidR="00681E30" w:rsidRPr="007E0AF4">
              <w:rPr>
                <w:sz w:val="22"/>
              </w:rPr>
              <w:t>;</w:t>
            </w:r>
          </w:p>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 xml:space="preserve">5. </w:t>
            </w:r>
            <w:r w:rsidRPr="007E0AF4">
              <w:rPr>
                <w:sz w:val="22"/>
              </w:rPr>
              <w:t xml:space="preserve"> З</w:t>
            </w:r>
            <w:r w:rsidRPr="007E0AF4">
              <w:rPr>
                <w:rFonts w:eastAsia="Calibri"/>
                <w:color w:val="000000"/>
                <w:sz w:val="22"/>
              </w:rPr>
              <w:t>більшиться привабливість міста</w:t>
            </w:r>
            <w:r w:rsidR="00681E30" w:rsidRPr="007E0AF4">
              <w:rPr>
                <w:rFonts w:eastAsia="Calibri"/>
                <w:color w:val="000000"/>
                <w:sz w:val="22"/>
              </w:rPr>
              <w:t>.</w:t>
            </w:r>
            <w:r w:rsidRPr="007E0AF4">
              <w:rPr>
                <w:rFonts w:eastAsia="Calibri"/>
                <w:color w:val="000000"/>
                <w:sz w:val="22"/>
              </w:rPr>
              <w:tab/>
            </w:r>
          </w:p>
        </w:tc>
      </w:tr>
      <w:tr w:rsidR="001E6C97" w:rsidRPr="007E0AF4" w:rsidTr="00DC01CA">
        <w:trPr>
          <w:trHeight w:val="581"/>
        </w:trPr>
        <w:tc>
          <w:tcPr>
            <w:tcW w:w="1446" w:type="dxa"/>
            <w:tcBorders>
              <w:top w:val="nil"/>
              <w:left w:val="nil"/>
              <w:bottom w:val="nil"/>
              <w:right w:val="nil"/>
            </w:tcBorders>
          </w:tcPr>
          <w:p w:rsidR="001E6C97" w:rsidRPr="007E0AF4" w:rsidRDefault="001E6C97" w:rsidP="001E6C97">
            <w:pPr>
              <w:autoSpaceDE w:val="0"/>
              <w:autoSpaceDN w:val="0"/>
              <w:adjustRightInd w:val="0"/>
              <w:jc w:val="right"/>
              <w:rPr>
                <w:rFonts w:eastAsia="Calibri"/>
                <w:color w:val="000000"/>
                <w:sz w:val="22"/>
              </w:rPr>
            </w:pPr>
          </w:p>
        </w:tc>
        <w:tc>
          <w:tcPr>
            <w:tcW w:w="297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6C97" w:rsidRPr="007E0AF4" w:rsidRDefault="001E6C97" w:rsidP="001E6C97">
            <w:pPr>
              <w:autoSpaceDE w:val="0"/>
              <w:autoSpaceDN w:val="0"/>
              <w:adjustRightInd w:val="0"/>
              <w:rPr>
                <w:rFonts w:eastAsia="Calibri"/>
                <w:b/>
                <w:color w:val="000000"/>
                <w:sz w:val="22"/>
              </w:rPr>
            </w:pPr>
            <w:r w:rsidRPr="007E0AF4">
              <w:rPr>
                <w:rFonts w:eastAsia="Calibri"/>
                <w:b/>
                <w:color w:val="000000"/>
                <w:sz w:val="22"/>
              </w:rPr>
              <w:t>Очікувані кількісні результати від реалізації проекту  (індикатори)</w:t>
            </w:r>
          </w:p>
        </w:tc>
        <w:tc>
          <w:tcPr>
            <w:tcW w:w="3827" w:type="dxa"/>
            <w:gridSpan w:val="4"/>
            <w:tcBorders>
              <w:top w:val="single" w:sz="6" w:space="0" w:color="auto"/>
              <w:left w:val="single" w:sz="6" w:space="0" w:color="auto"/>
              <w:bottom w:val="single" w:sz="6" w:space="0" w:color="auto"/>
              <w:right w:val="single" w:sz="6" w:space="0" w:color="auto"/>
            </w:tcBorders>
          </w:tcPr>
          <w:p w:rsidR="001E6C97" w:rsidRPr="007E0AF4" w:rsidRDefault="001E6C97" w:rsidP="001E6C97">
            <w:pPr>
              <w:autoSpaceDE w:val="0"/>
              <w:autoSpaceDN w:val="0"/>
              <w:adjustRightInd w:val="0"/>
              <w:rPr>
                <w:rFonts w:eastAsia="Calibri"/>
                <w:b/>
                <w:color w:val="000000"/>
                <w:sz w:val="22"/>
              </w:rPr>
            </w:pPr>
            <w:r w:rsidRPr="007E0AF4">
              <w:rPr>
                <w:rFonts w:eastAsia="Calibri"/>
                <w:b/>
                <w:color w:val="000000"/>
                <w:sz w:val="22"/>
              </w:rPr>
              <w:t>Найменування показника</w:t>
            </w:r>
          </w:p>
        </w:tc>
        <w:tc>
          <w:tcPr>
            <w:tcW w:w="1562" w:type="dxa"/>
            <w:tcBorders>
              <w:top w:val="single" w:sz="6" w:space="0" w:color="auto"/>
              <w:left w:val="single" w:sz="6" w:space="0" w:color="auto"/>
              <w:bottom w:val="single" w:sz="6" w:space="0" w:color="auto"/>
              <w:right w:val="single" w:sz="6" w:space="0" w:color="auto"/>
            </w:tcBorders>
          </w:tcPr>
          <w:p w:rsidR="001E6C97" w:rsidRPr="007E0AF4" w:rsidRDefault="001E6C97" w:rsidP="001E6C97">
            <w:pPr>
              <w:autoSpaceDE w:val="0"/>
              <w:autoSpaceDN w:val="0"/>
              <w:adjustRightInd w:val="0"/>
              <w:rPr>
                <w:rFonts w:eastAsia="Calibri"/>
                <w:b/>
                <w:color w:val="000000"/>
                <w:sz w:val="22"/>
              </w:rPr>
            </w:pPr>
            <w:r w:rsidRPr="007E0AF4">
              <w:rPr>
                <w:rFonts w:eastAsia="Calibri"/>
                <w:b/>
                <w:color w:val="000000"/>
                <w:sz w:val="22"/>
              </w:rPr>
              <w:t>Одиниця вимірювання</w:t>
            </w:r>
          </w:p>
        </w:tc>
        <w:tc>
          <w:tcPr>
            <w:tcW w:w="1562" w:type="dxa"/>
            <w:gridSpan w:val="2"/>
            <w:tcBorders>
              <w:top w:val="single" w:sz="6" w:space="0" w:color="auto"/>
              <w:left w:val="single" w:sz="6" w:space="0" w:color="auto"/>
              <w:bottom w:val="single" w:sz="6" w:space="0" w:color="auto"/>
              <w:right w:val="single" w:sz="6" w:space="0" w:color="auto"/>
            </w:tcBorders>
          </w:tcPr>
          <w:p w:rsidR="001E6C97" w:rsidRPr="007E0AF4" w:rsidRDefault="001E6C97" w:rsidP="001E6C97">
            <w:pPr>
              <w:autoSpaceDE w:val="0"/>
              <w:autoSpaceDN w:val="0"/>
              <w:adjustRightInd w:val="0"/>
              <w:rPr>
                <w:rFonts w:eastAsia="Calibri"/>
                <w:b/>
                <w:color w:val="000000"/>
                <w:sz w:val="22"/>
              </w:rPr>
            </w:pPr>
            <w:r w:rsidRPr="007E0AF4">
              <w:rPr>
                <w:rFonts w:eastAsia="Calibri"/>
                <w:b/>
                <w:color w:val="000000"/>
                <w:sz w:val="22"/>
              </w:rPr>
              <w:t>Прогнозне (цільове) значення</w:t>
            </w:r>
          </w:p>
        </w:tc>
      </w:tr>
      <w:tr w:rsidR="001E6C97" w:rsidRPr="007E0AF4" w:rsidTr="00DC01CA">
        <w:trPr>
          <w:trHeight w:val="1235"/>
        </w:trPr>
        <w:tc>
          <w:tcPr>
            <w:tcW w:w="1446" w:type="dxa"/>
            <w:tcBorders>
              <w:top w:val="nil"/>
              <w:left w:val="nil"/>
              <w:bottom w:val="nil"/>
              <w:right w:val="nil"/>
            </w:tcBorders>
          </w:tcPr>
          <w:p w:rsidR="001E6C97" w:rsidRPr="007E0AF4" w:rsidRDefault="001E6C97" w:rsidP="001E6C97">
            <w:pPr>
              <w:autoSpaceDE w:val="0"/>
              <w:autoSpaceDN w:val="0"/>
              <w:adjustRightInd w:val="0"/>
              <w:jc w:val="right"/>
              <w:rPr>
                <w:rFonts w:eastAsia="Calibri"/>
                <w:color w:val="000000"/>
                <w:sz w:val="22"/>
              </w:rPr>
            </w:pPr>
          </w:p>
        </w:tc>
        <w:tc>
          <w:tcPr>
            <w:tcW w:w="297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6C97" w:rsidRPr="007E0AF4" w:rsidRDefault="001E6C97" w:rsidP="001E6C97">
            <w:pPr>
              <w:autoSpaceDE w:val="0"/>
              <w:autoSpaceDN w:val="0"/>
              <w:adjustRightInd w:val="0"/>
              <w:rPr>
                <w:rFonts w:eastAsia="Calibri"/>
                <w:b/>
                <w:color w:val="000000"/>
                <w:sz w:val="22"/>
              </w:rPr>
            </w:pPr>
          </w:p>
        </w:tc>
        <w:tc>
          <w:tcPr>
            <w:tcW w:w="3827" w:type="dxa"/>
            <w:gridSpan w:val="4"/>
            <w:tcBorders>
              <w:top w:val="single" w:sz="6" w:space="0" w:color="auto"/>
              <w:left w:val="single" w:sz="6" w:space="0" w:color="auto"/>
              <w:bottom w:val="single" w:sz="6" w:space="0" w:color="auto"/>
              <w:right w:val="single" w:sz="6" w:space="0" w:color="auto"/>
            </w:tcBorders>
          </w:tcPr>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Кількість здобувачів освіти, педпрацівників, робітників, батьків та інших осіб</w:t>
            </w:r>
          </w:p>
        </w:tc>
        <w:tc>
          <w:tcPr>
            <w:tcW w:w="1562" w:type="dxa"/>
            <w:tcBorders>
              <w:top w:val="single" w:sz="6" w:space="0" w:color="auto"/>
              <w:left w:val="single" w:sz="6" w:space="0" w:color="auto"/>
              <w:bottom w:val="single" w:sz="6" w:space="0" w:color="auto"/>
              <w:right w:val="single" w:sz="6" w:space="0" w:color="auto"/>
            </w:tcBorders>
          </w:tcPr>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осіб</w:t>
            </w:r>
          </w:p>
        </w:tc>
        <w:tc>
          <w:tcPr>
            <w:tcW w:w="1562" w:type="dxa"/>
            <w:gridSpan w:val="2"/>
            <w:tcBorders>
              <w:top w:val="single" w:sz="6" w:space="0" w:color="auto"/>
              <w:left w:val="single" w:sz="6" w:space="0" w:color="auto"/>
              <w:bottom w:val="single" w:sz="6" w:space="0" w:color="auto"/>
              <w:right w:val="single" w:sz="6" w:space="0" w:color="auto"/>
            </w:tcBorders>
          </w:tcPr>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1000</w:t>
            </w:r>
          </w:p>
        </w:tc>
      </w:tr>
      <w:tr w:rsidR="001E6C97" w:rsidRPr="007E0AF4" w:rsidTr="00DC01CA">
        <w:trPr>
          <w:gridAfter w:val="1"/>
          <w:wAfter w:w="87" w:type="dxa"/>
          <w:trHeight w:val="1684"/>
        </w:trPr>
        <w:tc>
          <w:tcPr>
            <w:tcW w:w="1446" w:type="dxa"/>
            <w:tcBorders>
              <w:top w:val="nil"/>
              <w:left w:val="nil"/>
              <w:bottom w:val="nil"/>
              <w:right w:val="nil"/>
            </w:tcBorders>
          </w:tcPr>
          <w:p w:rsidR="001E6C97" w:rsidRPr="007E0AF4" w:rsidRDefault="001E6C97" w:rsidP="001E6C97">
            <w:pPr>
              <w:autoSpaceDE w:val="0"/>
              <w:autoSpaceDN w:val="0"/>
              <w:adjustRightInd w:val="0"/>
              <w:jc w:val="right"/>
              <w:rPr>
                <w:rFonts w:eastAsia="Calibri"/>
                <w:color w:val="000000"/>
                <w:sz w:val="22"/>
              </w:rPr>
            </w:pPr>
          </w:p>
        </w:tc>
        <w:tc>
          <w:tcPr>
            <w:tcW w:w="297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6C97" w:rsidRPr="007E0AF4" w:rsidRDefault="001E6C97" w:rsidP="001E6C97">
            <w:pPr>
              <w:autoSpaceDE w:val="0"/>
              <w:autoSpaceDN w:val="0"/>
              <w:adjustRightInd w:val="0"/>
              <w:rPr>
                <w:rFonts w:eastAsia="Calibri"/>
                <w:b/>
                <w:color w:val="000000"/>
                <w:sz w:val="22"/>
              </w:rPr>
            </w:pPr>
            <w:r w:rsidRPr="007E0AF4">
              <w:rPr>
                <w:rFonts w:eastAsia="Calibri"/>
                <w:b/>
                <w:color w:val="000000"/>
                <w:sz w:val="22"/>
              </w:rPr>
              <w:t>Ключові заходи проекту:</w:t>
            </w:r>
          </w:p>
        </w:tc>
        <w:tc>
          <w:tcPr>
            <w:tcW w:w="6864" w:type="dxa"/>
            <w:gridSpan w:val="6"/>
            <w:tcBorders>
              <w:top w:val="single" w:sz="6" w:space="0" w:color="auto"/>
              <w:left w:val="single" w:sz="6" w:space="0" w:color="auto"/>
              <w:bottom w:val="single" w:sz="6" w:space="0" w:color="auto"/>
              <w:right w:val="single" w:sz="6" w:space="0" w:color="auto"/>
            </w:tcBorders>
          </w:tcPr>
          <w:p w:rsidR="001E6C97" w:rsidRPr="007E0AF4" w:rsidRDefault="001E6C97" w:rsidP="000303D7">
            <w:pPr>
              <w:numPr>
                <w:ilvl w:val="0"/>
                <w:numId w:val="117"/>
              </w:numPr>
              <w:autoSpaceDE w:val="0"/>
              <w:autoSpaceDN w:val="0"/>
              <w:adjustRightInd w:val="0"/>
              <w:ind w:hanging="720"/>
              <w:jc w:val="left"/>
              <w:rPr>
                <w:rFonts w:eastAsia="Calibri"/>
                <w:color w:val="000000"/>
                <w:sz w:val="22"/>
              </w:rPr>
            </w:pPr>
            <w:r w:rsidRPr="007E0AF4">
              <w:rPr>
                <w:rFonts w:eastAsia="Calibri"/>
                <w:color w:val="000000"/>
                <w:sz w:val="22"/>
              </w:rPr>
              <w:t>Проведення незалежної експертної оцінки технічного стану будівлі та прилеглої території фахівцями.</w:t>
            </w:r>
          </w:p>
          <w:p w:rsidR="001E6C97" w:rsidRPr="007E0AF4" w:rsidRDefault="001E6C97" w:rsidP="001E6C97">
            <w:pPr>
              <w:autoSpaceDE w:val="0"/>
              <w:autoSpaceDN w:val="0"/>
              <w:adjustRightInd w:val="0"/>
              <w:rPr>
                <w:color w:val="222222"/>
                <w:sz w:val="22"/>
                <w:shd w:val="clear" w:color="auto" w:fill="FFFFFF"/>
              </w:rPr>
            </w:pPr>
            <w:r w:rsidRPr="007E0AF4">
              <w:rPr>
                <w:rFonts w:eastAsia="Calibri"/>
                <w:color w:val="000000"/>
                <w:sz w:val="22"/>
              </w:rPr>
              <w:t>-</w:t>
            </w:r>
            <w:r w:rsidRPr="007E0AF4">
              <w:rPr>
                <w:rFonts w:eastAsia="Calibri"/>
                <w:color w:val="000000"/>
                <w:sz w:val="22"/>
              </w:rPr>
              <w:tab/>
            </w:r>
            <w:r w:rsidRPr="007E0AF4">
              <w:rPr>
                <w:color w:val="222222"/>
                <w:sz w:val="22"/>
                <w:shd w:val="clear" w:color="auto" w:fill="FFFFFF"/>
              </w:rPr>
              <w:t xml:space="preserve">Виготовлення </w:t>
            </w:r>
            <w:proofErr w:type="spellStart"/>
            <w:r w:rsidRPr="007E0AF4">
              <w:rPr>
                <w:color w:val="222222"/>
                <w:sz w:val="22"/>
                <w:shd w:val="clear" w:color="auto" w:fill="FFFFFF"/>
              </w:rPr>
              <w:t>проєктно</w:t>
            </w:r>
            <w:proofErr w:type="spellEnd"/>
            <w:r w:rsidRPr="007E0AF4">
              <w:rPr>
                <w:color w:val="222222"/>
                <w:sz w:val="22"/>
                <w:shd w:val="clear" w:color="auto" w:fill="FFFFFF"/>
              </w:rPr>
              <w:t xml:space="preserve">-кошторисної документації </w:t>
            </w:r>
          </w:p>
          <w:p w:rsidR="001E6C97" w:rsidRPr="007E0AF4" w:rsidRDefault="001E6C97" w:rsidP="001E6C97">
            <w:pPr>
              <w:autoSpaceDE w:val="0"/>
              <w:autoSpaceDN w:val="0"/>
              <w:adjustRightInd w:val="0"/>
              <w:rPr>
                <w:rFonts w:eastAsia="Calibri"/>
                <w:b/>
                <w:color w:val="000000"/>
                <w:sz w:val="22"/>
              </w:rPr>
            </w:pPr>
            <w:r w:rsidRPr="007E0AF4">
              <w:rPr>
                <w:rFonts w:eastAsia="Calibri"/>
                <w:color w:val="000000"/>
                <w:sz w:val="22"/>
              </w:rPr>
              <w:tab/>
            </w:r>
            <w:r w:rsidRPr="007E0AF4">
              <w:rPr>
                <w:rFonts w:eastAsia="Calibri"/>
                <w:b/>
                <w:color w:val="000000"/>
                <w:sz w:val="22"/>
              </w:rPr>
              <w:t>І етап:</w:t>
            </w:r>
          </w:p>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w:t>
            </w:r>
            <w:r w:rsidRPr="007E0AF4">
              <w:rPr>
                <w:rFonts w:eastAsia="Calibri"/>
                <w:color w:val="000000"/>
                <w:sz w:val="22"/>
              </w:rPr>
              <w:tab/>
              <w:t>ремонт даху будівлі Ліцею № 1;</w:t>
            </w:r>
          </w:p>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w:t>
            </w:r>
            <w:r w:rsidRPr="007E0AF4">
              <w:rPr>
                <w:rFonts w:eastAsia="Calibri"/>
                <w:color w:val="000000"/>
                <w:sz w:val="22"/>
              </w:rPr>
              <w:tab/>
              <w:t>заміна пошкоджених вікон та дверей;</w:t>
            </w:r>
          </w:p>
          <w:p w:rsidR="001E6C97" w:rsidRPr="007E0AF4" w:rsidRDefault="005F49D6" w:rsidP="001E6C97">
            <w:pPr>
              <w:autoSpaceDE w:val="0"/>
              <w:autoSpaceDN w:val="0"/>
              <w:adjustRightInd w:val="0"/>
              <w:ind w:left="678" w:hanging="678"/>
              <w:rPr>
                <w:rFonts w:eastAsia="Calibri"/>
                <w:color w:val="000000"/>
                <w:sz w:val="22"/>
              </w:rPr>
            </w:pPr>
            <w:r w:rsidRPr="007E0AF4">
              <w:rPr>
                <w:rFonts w:eastAsia="Calibri"/>
                <w:color w:val="000000"/>
                <w:sz w:val="22"/>
              </w:rPr>
              <w:t xml:space="preserve">-         </w:t>
            </w:r>
            <w:r w:rsidR="001E6C97" w:rsidRPr="007E0AF4">
              <w:rPr>
                <w:rFonts w:eastAsia="Calibri"/>
                <w:color w:val="000000"/>
                <w:sz w:val="22"/>
              </w:rPr>
              <w:t>встановлення протипожежних дверей згідно з нормативами       протипожежної безпеки;</w:t>
            </w:r>
          </w:p>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w:t>
            </w:r>
            <w:r w:rsidRPr="007E0AF4">
              <w:rPr>
                <w:rFonts w:eastAsia="Calibri"/>
                <w:color w:val="000000"/>
                <w:sz w:val="22"/>
              </w:rPr>
              <w:tab/>
              <w:t>відновлення системи водопостачання та водовідведення;</w:t>
            </w:r>
          </w:p>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w:t>
            </w:r>
            <w:r w:rsidRPr="007E0AF4">
              <w:rPr>
                <w:rFonts w:eastAsia="Calibri"/>
                <w:color w:val="000000"/>
                <w:sz w:val="22"/>
              </w:rPr>
              <w:tab/>
            </w:r>
            <w:proofErr w:type="spellStart"/>
            <w:r w:rsidRPr="007E0AF4">
              <w:rPr>
                <w:rFonts w:eastAsia="Calibri"/>
                <w:color w:val="000000"/>
                <w:sz w:val="22"/>
              </w:rPr>
              <w:t>модернизація</w:t>
            </w:r>
            <w:proofErr w:type="spellEnd"/>
            <w:r w:rsidRPr="007E0AF4">
              <w:rPr>
                <w:rFonts w:eastAsia="Calibri"/>
                <w:color w:val="000000"/>
                <w:sz w:val="22"/>
              </w:rPr>
              <w:t xml:space="preserve"> системи опалення та інженерних мереж;</w:t>
            </w:r>
          </w:p>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 xml:space="preserve">-          відновлення та ремонт підвальних та </w:t>
            </w:r>
            <w:proofErr w:type="spellStart"/>
            <w:r w:rsidRPr="007E0AF4">
              <w:rPr>
                <w:rFonts w:eastAsia="Calibri"/>
                <w:color w:val="000000"/>
                <w:sz w:val="22"/>
              </w:rPr>
              <w:t>кладових</w:t>
            </w:r>
            <w:proofErr w:type="spellEnd"/>
            <w:r w:rsidRPr="007E0AF4">
              <w:rPr>
                <w:rFonts w:eastAsia="Calibri"/>
                <w:color w:val="000000"/>
                <w:sz w:val="22"/>
              </w:rPr>
              <w:t xml:space="preserve"> приміщень;</w:t>
            </w:r>
          </w:p>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          встановлення протипожежної сигналізації;</w:t>
            </w:r>
          </w:p>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w:t>
            </w:r>
            <w:r w:rsidRPr="007E0AF4">
              <w:rPr>
                <w:rFonts w:eastAsia="Calibri"/>
                <w:color w:val="000000"/>
                <w:sz w:val="22"/>
              </w:rPr>
              <w:tab/>
              <w:t>відновлення системи електропостачання та освітлення;</w:t>
            </w:r>
          </w:p>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w:t>
            </w:r>
            <w:r w:rsidRPr="007E0AF4">
              <w:rPr>
                <w:rFonts w:eastAsia="Calibri"/>
                <w:color w:val="000000"/>
                <w:sz w:val="22"/>
              </w:rPr>
              <w:tab/>
              <w:t>відновлення мережі Інтернет Ліцею № 1;</w:t>
            </w:r>
          </w:p>
          <w:p w:rsidR="001E6C97" w:rsidRPr="007E0AF4" w:rsidRDefault="005F49D6" w:rsidP="00A12A53">
            <w:pPr>
              <w:tabs>
                <w:tab w:val="left" w:pos="684"/>
              </w:tabs>
              <w:autoSpaceDE w:val="0"/>
              <w:autoSpaceDN w:val="0"/>
              <w:adjustRightInd w:val="0"/>
              <w:ind w:left="684" w:hanging="709"/>
              <w:jc w:val="left"/>
              <w:rPr>
                <w:rFonts w:eastAsia="Calibri"/>
                <w:color w:val="000000"/>
                <w:sz w:val="22"/>
              </w:rPr>
            </w:pPr>
            <w:r w:rsidRPr="007E0AF4">
              <w:rPr>
                <w:rFonts w:eastAsia="Calibri"/>
                <w:color w:val="000000"/>
                <w:sz w:val="22"/>
              </w:rPr>
              <w:t xml:space="preserve">-       </w:t>
            </w:r>
            <w:r w:rsidR="00A12A53" w:rsidRPr="007E0AF4">
              <w:rPr>
                <w:rFonts w:eastAsia="Calibri"/>
                <w:color w:val="000000"/>
                <w:sz w:val="22"/>
              </w:rPr>
              <w:t xml:space="preserve">    </w:t>
            </w:r>
            <w:r w:rsidR="001E6C97" w:rsidRPr="007E0AF4">
              <w:rPr>
                <w:rFonts w:eastAsia="Calibri"/>
                <w:color w:val="000000"/>
                <w:sz w:val="22"/>
              </w:rPr>
              <w:t xml:space="preserve">облаштування системи </w:t>
            </w:r>
            <w:proofErr w:type="spellStart"/>
            <w:r w:rsidR="001E6C97" w:rsidRPr="007E0AF4">
              <w:rPr>
                <w:rFonts w:eastAsia="Calibri"/>
                <w:color w:val="000000"/>
                <w:sz w:val="22"/>
              </w:rPr>
              <w:t>відеонагляду</w:t>
            </w:r>
            <w:proofErr w:type="spellEnd"/>
            <w:r w:rsidR="001E6C97" w:rsidRPr="007E0AF4">
              <w:rPr>
                <w:rFonts w:eastAsia="Calibri"/>
                <w:color w:val="000000"/>
                <w:sz w:val="22"/>
              </w:rPr>
              <w:t xml:space="preserve"> та відеоспостереження;</w:t>
            </w:r>
          </w:p>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ab/>
            </w:r>
            <w:r w:rsidRPr="007E0AF4">
              <w:rPr>
                <w:rFonts w:eastAsia="Calibri"/>
                <w:b/>
                <w:color w:val="000000"/>
                <w:sz w:val="22"/>
              </w:rPr>
              <w:t>2 етап –  капітальний ремонт приміщень</w:t>
            </w:r>
            <w:r w:rsidRPr="007E0AF4">
              <w:rPr>
                <w:rFonts w:eastAsia="Calibri"/>
                <w:color w:val="000000"/>
                <w:sz w:val="22"/>
              </w:rPr>
              <w:t>:</w:t>
            </w:r>
          </w:p>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w:t>
            </w:r>
            <w:r w:rsidRPr="007E0AF4">
              <w:rPr>
                <w:rFonts w:eastAsia="Calibri"/>
                <w:color w:val="000000"/>
                <w:sz w:val="22"/>
              </w:rPr>
              <w:tab/>
              <w:t>капітальний ремонт актової зали;</w:t>
            </w:r>
          </w:p>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          капітальний ремонт спортивної зали;</w:t>
            </w:r>
          </w:p>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w:t>
            </w:r>
            <w:r w:rsidRPr="007E0AF4">
              <w:rPr>
                <w:rFonts w:eastAsia="Calibri"/>
                <w:color w:val="000000"/>
                <w:sz w:val="22"/>
              </w:rPr>
              <w:tab/>
              <w:t>капітальний ремонт медичного кабінету;</w:t>
            </w:r>
          </w:p>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w:t>
            </w:r>
            <w:r w:rsidRPr="007E0AF4">
              <w:rPr>
                <w:rFonts w:eastAsia="Calibri"/>
                <w:color w:val="000000"/>
                <w:sz w:val="22"/>
              </w:rPr>
              <w:tab/>
              <w:t>капітальний ремонт шкільної їдальні та харчоблоку;</w:t>
            </w:r>
          </w:p>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w:t>
            </w:r>
            <w:r w:rsidRPr="007E0AF4">
              <w:rPr>
                <w:rFonts w:eastAsia="Calibri"/>
                <w:color w:val="000000"/>
                <w:sz w:val="22"/>
              </w:rPr>
              <w:tab/>
              <w:t>капітальний ремонт шкільної бібліотеки;</w:t>
            </w:r>
          </w:p>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          капітальний ремонт адміністративних кабінетів;</w:t>
            </w:r>
          </w:p>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w:t>
            </w:r>
            <w:r w:rsidRPr="007E0AF4">
              <w:rPr>
                <w:rFonts w:eastAsia="Calibri"/>
                <w:color w:val="000000"/>
                <w:sz w:val="22"/>
              </w:rPr>
              <w:tab/>
              <w:t>капітальний ремонт навчальних кабінетів ;</w:t>
            </w:r>
          </w:p>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          покриття лінолеумом підлоги навчальних кабінетів;</w:t>
            </w:r>
          </w:p>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w:t>
            </w:r>
            <w:r w:rsidRPr="007E0AF4">
              <w:rPr>
                <w:rFonts w:eastAsia="Calibri"/>
                <w:color w:val="000000"/>
                <w:sz w:val="22"/>
              </w:rPr>
              <w:tab/>
              <w:t>створення сучасного безпечного бомбосховища;</w:t>
            </w:r>
          </w:p>
          <w:p w:rsidR="001E6C97" w:rsidRPr="007E0AF4" w:rsidRDefault="001E6C97" w:rsidP="001E6C97">
            <w:pPr>
              <w:autoSpaceDE w:val="0"/>
              <w:autoSpaceDN w:val="0"/>
              <w:adjustRightInd w:val="0"/>
              <w:ind w:left="678" w:hanging="678"/>
              <w:rPr>
                <w:rFonts w:eastAsia="Calibri"/>
                <w:color w:val="000000"/>
                <w:sz w:val="22"/>
              </w:rPr>
            </w:pPr>
            <w:r w:rsidRPr="007E0AF4">
              <w:rPr>
                <w:rFonts w:eastAsia="Calibri"/>
                <w:color w:val="000000"/>
                <w:sz w:val="22"/>
              </w:rPr>
              <w:t>-</w:t>
            </w:r>
            <w:r w:rsidRPr="007E0AF4">
              <w:rPr>
                <w:rFonts w:eastAsia="Calibri"/>
                <w:color w:val="000000"/>
                <w:sz w:val="22"/>
              </w:rPr>
              <w:tab/>
              <w:t>капітальний ремонт сумісних приміщень (роздягальні, туалети, сходи та коридори);</w:t>
            </w:r>
          </w:p>
          <w:p w:rsidR="001E6C97" w:rsidRPr="007E0AF4" w:rsidRDefault="001E6C97" w:rsidP="001E6C97">
            <w:pPr>
              <w:autoSpaceDE w:val="0"/>
              <w:autoSpaceDN w:val="0"/>
              <w:adjustRightInd w:val="0"/>
              <w:ind w:left="678" w:hanging="678"/>
              <w:rPr>
                <w:rFonts w:eastAsia="Calibri"/>
                <w:color w:val="000000"/>
                <w:sz w:val="22"/>
              </w:rPr>
            </w:pPr>
            <w:r w:rsidRPr="007E0AF4">
              <w:rPr>
                <w:rFonts w:eastAsia="Calibri"/>
                <w:color w:val="000000"/>
                <w:sz w:val="22"/>
              </w:rPr>
              <w:t>-          встановлення кондиціонерів (їдальня, харчоблок);</w:t>
            </w:r>
          </w:p>
          <w:p w:rsidR="001E6C97" w:rsidRPr="007E0AF4" w:rsidRDefault="001E6C97" w:rsidP="001E6C97">
            <w:pPr>
              <w:autoSpaceDE w:val="0"/>
              <w:autoSpaceDN w:val="0"/>
              <w:adjustRightInd w:val="0"/>
              <w:ind w:left="678" w:hanging="678"/>
              <w:rPr>
                <w:rFonts w:eastAsia="Calibri"/>
                <w:color w:val="000000"/>
                <w:sz w:val="22"/>
              </w:rPr>
            </w:pPr>
            <w:r w:rsidRPr="007E0AF4">
              <w:rPr>
                <w:rFonts w:eastAsia="Calibri"/>
                <w:color w:val="000000"/>
                <w:sz w:val="22"/>
              </w:rPr>
              <w:t>-          встановлення водонагрівачів (для харчоблоку);</w:t>
            </w:r>
          </w:p>
          <w:p w:rsidR="001E6C97" w:rsidRPr="007E0AF4" w:rsidRDefault="001E6C97" w:rsidP="001E6C97">
            <w:pPr>
              <w:autoSpaceDE w:val="0"/>
              <w:autoSpaceDN w:val="0"/>
              <w:adjustRightInd w:val="0"/>
              <w:ind w:left="678" w:hanging="709"/>
              <w:rPr>
                <w:rFonts w:eastAsia="Calibri"/>
                <w:color w:val="000000"/>
                <w:sz w:val="22"/>
              </w:rPr>
            </w:pPr>
            <w:r w:rsidRPr="007E0AF4">
              <w:rPr>
                <w:rFonts w:eastAsia="Calibri"/>
                <w:color w:val="000000"/>
                <w:sz w:val="22"/>
              </w:rPr>
              <w:t>-</w:t>
            </w:r>
            <w:r w:rsidRPr="007E0AF4">
              <w:rPr>
                <w:rFonts w:eastAsia="Calibri"/>
                <w:color w:val="000000"/>
                <w:sz w:val="22"/>
              </w:rPr>
              <w:tab/>
              <w:t>облаштування доступу до будівлі Ліцею № 1 особам з інвалідністю;</w:t>
            </w:r>
          </w:p>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w:t>
            </w:r>
            <w:r w:rsidRPr="007E0AF4">
              <w:rPr>
                <w:rFonts w:eastAsia="Calibri"/>
                <w:color w:val="000000"/>
                <w:sz w:val="22"/>
              </w:rPr>
              <w:tab/>
              <w:t>встановлення спортивного майданчику;</w:t>
            </w:r>
          </w:p>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w:t>
            </w:r>
            <w:r w:rsidRPr="007E0AF4">
              <w:rPr>
                <w:rFonts w:eastAsia="Calibri"/>
                <w:color w:val="000000"/>
                <w:sz w:val="22"/>
              </w:rPr>
              <w:tab/>
              <w:t>встановлення ігрового дитячого майданчику;</w:t>
            </w:r>
          </w:p>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w:t>
            </w:r>
            <w:r w:rsidRPr="007E0AF4">
              <w:rPr>
                <w:rFonts w:eastAsia="Calibri"/>
                <w:color w:val="000000"/>
                <w:sz w:val="22"/>
              </w:rPr>
              <w:tab/>
              <w:t>відновлення паркану навколо території Ліцею № 1;</w:t>
            </w:r>
          </w:p>
          <w:p w:rsidR="001E6C97" w:rsidRPr="007E0AF4" w:rsidRDefault="001E6C97" w:rsidP="001E6C97">
            <w:pPr>
              <w:autoSpaceDE w:val="0"/>
              <w:autoSpaceDN w:val="0"/>
              <w:adjustRightInd w:val="0"/>
              <w:ind w:left="678" w:hanging="678"/>
              <w:rPr>
                <w:rFonts w:eastAsia="Calibri"/>
                <w:color w:val="000000"/>
                <w:sz w:val="22"/>
              </w:rPr>
            </w:pPr>
            <w:r w:rsidRPr="007E0AF4">
              <w:rPr>
                <w:rFonts w:eastAsia="Calibri"/>
                <w:color w:val="000000"/>
                <w:sz w:val="22"/>
              </w:rPr>
              <w:t>-</w:t>
            </w:r>
            <w:r w:rsidRPr="007E0AF4">
              <w:rPr>
                <w:rFonts w:eastAsia="Calibri"/>
                <w:color w:val="000000"/>
                <w:sz w:val="22"/>
              </w:rPr>
              <w:tab/>
              <w:t xml:space="preserve">благоустрій  прилеглої території (асфальтування, вуличне освітлення території навчального закладу, встановлення вуличних лав);   </w:t>
            </w:r>
          </w:p>
          <w:p w:rsidR="001E6C97" w:rsidRPr="007E0AF4" w:rsidRDefault="001E6C97" w:rsidP="001E6C97">
            <w:pPr>
              <w:autoSpaceDE w:val="0"/>
              <w:autoSpaceDN w:val="0"/>
              <w:adjustRightInd w:val="0"/>
              <w:ind w:left="678" w:hanging="678"/>
              <w:rPr>
                <w:rFonts w:eastAsia="Calibri"/>
                <w:color w:val="000000"/>
                <w:sz w:val="22"/>
              </w:rPr>
            </w:pPr>
            <w:r w:rsidRPr="007E0AF4">
              <w:rPr>
                <w:rFonts w:eastAsia="Calibri"/>
                <w:color w:val="000000"/>
                <w:sz w:val="22"/>
              </w:rPr>
              <w:t>-          початок освітнього процесу в Ліцеї № 1.</w:t>
            </w:r>
          </w:p>
        </w:tc>
      </w:tr>
      <w:tr w:rsidR="001E6C97" w:rsidRPr="007E0AF4" w:rsidTr="00DC01CA">
        <w:trPr>
          <w:trHeight w:val="600"/>
        </w:trPr>
        <w:tc>
          <w:tcPr>
            <w:tcW w:w="1446" w:type="dxa"/>
            <w:vMerge w:val="restart"/>
            <w:tcBorders>
              <w:top w:val="nil"/>
              <w:left w:val="nil"/>
              <w:right w:val="nil"/>
            </w:tcBorders>
          </w:tcPr>
          <w:p w:rsidR="001E6C97" w:rsidRPr="007E0AF4" w:rsidRDefault="001E6C97" w:rsidP="001E6C97">
            <w:pPr>
              <w:autoSpaceDE w:val="0"/>
              <w:autoSpaceDN w:val="0"/>
              <w:adjustRightInd w:val="0"/>
              <w:jc w:val="right"/>
              <w:rPr>
                <w:rFonts w:eastAsia="Calibri"/>
                <w:color w:val="000000"/>
                <w:sz w:val="22"/>
              </w:rPr>
            </w:pPr>
          </w:p>
        </w:tc>
        <w:tc>
          <w:tcPr>
            <w:tcW w:w="2973" w:type="dxa"/>
            <w:vMerge w:val="restart"/>
            <w:tcBorders>
              <w:top w:val="single" w:sz="6" w:space="0" w:color="auto"/>
              <w:left w:val="single" w:sz="6" w:space="0" w:color="auto"/>
              <w:right w:val="single" w:sz="4" w:space="0" w:color="auto"/>
            </w:tcBorders>
            <w:shd w:val="clear" w:color="00FFFF" w:fill="C6D9F1" w:themeFill="text2" w:themeFillTint="33"/>
          </w:tcPr>
          <w:p w:rsidR="001E6C97" w:rsidRPr="007E0AF4" w:rsidRDefault="001E6C97" w:rsidP="001E6C97">
            <w:pPr>
              <w:autoSpaceDE w:val="0"/>
              <w:autoSpaceDN w:val="0"/>
              <w:adjustRightInd w:val="0"/>
              <w:rPr>
                <w:rFonts w:eastAsia="Calibri"/>
                <w:b/>
                <w:color w:val="000000"/>
                <w:sz w:val="22"/>
              </w:rPr>
            </w:pPr>
            <w:r w:rsidRPr="007E0AF4">
              <w:rPr>
                <w:rFonts w:eastAsia="Calibri"/>
                <w:b/>
                <w:color w:val="000000"/>
                <w:sz w:val="22"/>
              </w:rPr>
              <w:t>Орієнтовний обсяг та джерела фінансування тис. гривень</w:t>
            </w:r>
          </w:p>
        </w:tc>
        <w:tc>
          <w:tcPr>
            <w:tcW w:w="1562" w:type="dxa"/>
            <w:vMerge w:val="restart"/>
            <w:tcBorders>
              <w:top w:val="single" w:sz="4" w:space="0" w:color="auto"/>
              <w:left w:val="single" w:sz="4" w:space="0" w:color="auto"/>
              <w:bottom w:val="single" w:sz="4" w:space="0" w:color="auto"/>
              <w:right w:val="single" w:sz="4" w:space="0" w:color="auto"/>
            </w:tcBorders>
          </w:tcPr>
          <w:p w:rsidR="001E6C97" w:rsidRPr="007E0AF4" w:rsidRDefault="001E6C97" w:rsidP="001E6C97">
            <w:pPr>
              <w:autoSpaceDE w:val="0"/>
              <w:autoSpaceDN w:val="0"/>
              <w:adjustRightInd w:val="0"/>
              <w:jc w:val="center"/>
              <w:rPr>
                <w:rFonts w:eastAsia="Calibri"/>
                <w:color w:val="000000"/>
                <w:sz w:val="22"/>
              </w:rPr>
            </w:pPr>
            <w:r w:rsidRPr="007E0AF4">
              <w:rPr>
                <w:rFonts w:eastAsia="Calibri"/>
                <w:color w:val="000000"/>
                <w:sz w:val="22"/>
              </w:rPr>
              <w:t>Державний бюджет</w:t>
            </w:r>
          </w:p>
        </w:tc>
        <w:tc>
          <w:tcPr>
            <w:tcW w:w="1134" w:type="dxa"/>
            <w:vMerge w:val="restart"/>
            <w:tcBorders>
              <w:top w:val="single" w:sz="4" w:space="0" w:color="auto"/>
              <w:left w:val="single" w:sz="4" w:space="0" w:color="auto"/>
              <w:right w:val="single" w:sz="4" w:space="0" w:color="auto"/>
            </w:tcBorders>
          </w:tcPr>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Місцевий бюджет</w:t>
            </w:r>
          </w:p>
        </w:tc>
        <w:tc>
          <w:tcPr>
            <w:tcW w:w="2693" w:type="dxa"/>
            <w:gridSpan w:val="3"/>
            <w:tcBorders>
              <w:top w:val="single" w:sz="4" w:space="0" w:color="auto"/>
              <w:left w:val="single" w:sz="4" w:space="0" w:color="auto"/>
              <w:bottom w:val="single" w:sz="4" w:space="0" w:color="auto"/>
              <w:right w:val="single" w:sz="4" w:space="0" w:color="auto"/>
            </w:tcBorders>
          </w:tcPr>
          <w:p w:rsidR="001E6C97" w:rsidRPr="007E0AF4" w:rsidRDefault="001E6C97" w:rsidP="001E6C97">
            <w:pPr>
              <w:autoSpaceDE w:val="0"/>
              <w:autoSpaceDN w:val="0"/>
              <w:adjustRightInd w:val="0"/>
              <w:jc w:val="center"/>
              <w:rPr>
                <w:rFonts w:eastAsia="Calibri"/>
                <w:color w:val="000000"/>
                <w:sz w:val="22"/>
              </w:rPr>
            </w:pPr>
            <w:r w:rsidRPr="007E0AF4">
              <w:rPr>
                <w:rFonts w:eastAsia="Calibri"/>
                <w:color w:val="000000"/>
                <w:sz w:val="22"/>
              </w:rPr>
              <w:t>Інші джерела</w:t>
            </w:r>
          </w:p>
        </w:tc>
        <w:tc>
          <w:tcPr>
            <w:tcW w:w="1562" w:type="dxa"/>
            <w:gridSpan w:val="2"/>
            <w:vMerge w:val="restart"/>
            <w:tcBorders>
              <w:top w:val="single" w:sz="4" w:space="0" w:color="auto"/>
              <w:left w:val="single" w:sz="4" w:space="0" w:color="auto"/>
              <w:bottom w:val="single" w:sz="4" w:space="0" w:color="auto"/>
              <w:right w:val="single" w:sz="4" w:space="0" w:color="auto"/>
            </w:tcBorders>
          </w:tcPr>
          <w:p w:rsidR="001E6C97" w:rsidRPr="007E0AF4" w:rsidRDefault="001E6C97" w:rsidP="001E6C97">
            <w:pPr>
              <w:autoSpaceDE w:val="0"/>
              <w:autoSpaceDN w:val="0"/>
              <w:adjustRightInd w:val="0"/>
              <w:jc w:val="center"/>
              <w:rPr>
                <w:rFonts w:eastAsia="Calibri"/>
                <w:color w:val="000000"/>
                <w:sz w:val="22"/>
              </w:rPr>
            </w:pPr>
            <w:r w:rsidRPr="007E0AF4">
              <w:rPr>
                <w:rFonts w:eastAsia="Calibri"/>
                <w:color w:val="000000"/>
                <w:sz w:val="22"/>
              </w:rPr>
              <w:t>Всього</w:t>
            </w:r>
          </w:p>
        </w:tc>
      </w:tr>
      <w:tr w:rsidR="001E6C97" w:rsidRPr="007E0AF4" w:rsidTr="00DC01CA">
        <w:trPr>
          <w:trHeight w:val="350"/>
        </w:trPr>
        <w:tc>
          <w:tcPr>
            <w:tcW w:w="1446" w:type="dxa"/>
            <w:vMerge/>
            <w:tcBorders>
              <w:top w:val="nil"/>
              <w:left w:val="nil"/>
              <w:right w:val="nil"/>
            </w:tcBorders>
          </w:tcPr>
          <w:p w:rsidR="001E6C97" w:rsidRPr="007E0AF4" w:rsidRDefault="001E6C97" w:rsidP="001E6C97">
            <w:pPr>
              <w:autoSpaceDE w:val="0"/>
              <w:autoSpaceDN w:val="0"/>
              <w:adjustRightInd w:val="0"/>
              <w:jc w:val="right"/>
              <w:rPr>
                <w:rFonts w:eastAsia="Calibri"/>
                <w:color w:val="000000"/>
                <w:sz w:val="22"/>
              </w:rPr>
            </w:pPr>
          </w:p>
        </w:tc>
        <w:tc>
          <w:tcPr>
            <w:tcW w:w="2973" w:type="dxa"/>
            <w:vMerge/>
            <w:tcBorders>
              <w:top w:val="single" w:sz="6" w:space="0" w:color="auto"/>
              <w:left w:val="single" w:sz="6" w:space="0" w:color="auto"/>
              <w:right w:val="single" w:sz="4" w:space="0" w:color="auto"/>
            </w:tcBorders>
            <w:shd w:val="clear" w:color="00FFFF" w:fill="C6D9F1" w:themeFill="text2" w:themeFillTint="33"/>
          </w:tcPr>
          <w:p w:rsidR="001E6C97" w:rsidRPr="007E0AF4" w:rsidRDefault="001E6C97" w:rsidP="001E6C97">
            <w:pPr>
              <w:autoSpaceDE w:val="0"/>
              <w:autoSpaceDN w:val="0"/>
              <w:adjustRightInd w:val="0"/>
              <w:rPr>
                <w:rFonts w:eastAsia="Calibri"/>
                <w:b/>
                <w:color w:val="000000"/>
                <w:sz w:val="22"/>
              </w:rPr>
            </w:pPr>
          </w:p>
        </w:tc>
        <w:tc>
          <w:tcPr>
            <w:tcW w:w="1562" w:type="dxa"/>
            <w:vMerge/>
            <w:tcBorders>
              <w:top w:val="single" w:sz="4" w:space="0" w:color="auto"/>
              <w:left w:val="single" w:sz="4" w:space="0" w:color="auto"/>
              <w:bottom w:val="single" w:sz="4" w:space="0" w:color="auto"/>
              <w:right w:val="single" w:sz="4" w:space="0" w:color="auto"/>
            </w:tcBorders>
          </w:tcPr>
          <w:p w:rsidR="001E6C97" w:rsidRPr="007E0AF4" w:rsidRDefault="001E6C97" w:rsidP="001E6C97">
            <w:pPr>
              <w:autoSpaceDE w:val="0"/>
              <w:autoSpaceDN w:val="0"/>
              <w:adjustRightInd w:val="0"/>
              <w:jc w:val="center"/>
              <w:rPr>
                <w:rFonts w:eastAsia="Calibri"/>
                <w:color w:val="000000"/>
                <w:sz w:val="22"/>
              </w:rPr>
            </w:pPr>
          </w:p>
        </w:tc>
        <w:tc>
          <w:tcPr>
            <w:tcW w:w="1134" w:type="dxa"/>
            <w:vMerge/>
            <w:tcBorders>
              <w:left w:val="single" w:sz="4" w:space="0" w:color="auto"/>
              <w:bottom w:val="single" w:sz="4" w:space="0" w:color="auto"/>
              <w:right w:val="single" w:sz="4" w:space="0" w:color="auto"/>
            </w:tcBorders>
          </w:tcPr>
          <w:p w:rsidR="001E6C97" w:rsidRPr="007E0AF4" w:rsidRDefault="001E6C97" w:rsidP="000303D7">
            <w:pPr>
              <w:numPr>
                <w:ilvl w:val="0"/>
                <w:numId w:val="117"/>
              </w:numPr>
              <w:autoSpaceDE w:val="0"/>
              <w:autoSpaceDN w:val="0"/>
              <w:adjustRightInd w:val="0"/>
              <w:jc w:val="left"/>
              <w:rPr>
                <w:rFonts w:eastAsia="Calibri"/>
                <w:color w:val="000000"/>
                <w:sz w:val="22"/>
              </w:rPr>
            </w:pPr>
          </w:p>
        </w:tc>
        <w:tc>
          <w:tcPr>
            <w:tcW w:w="992" w:type="dxa"/>
            <w:tcBorders>
              <w:top w:val="single" w:sz="4" w:space="0" w:color="auto"/>
              <w:left w:val="single" w:sz="4" w:space="0" w:color="auto"/>
              <w:bottom w:val="single" w:sz="4" w:space="0" w:color="auto"/>
              <w:right w:val="single" w:sz="4" w:space="0" w:color="auto"/>
            </w:tcBorders>
          </w:tcPr>
          <w:p w:rsidR="001E6C97" w:rsidRPr="007E0AF4" w:rsidRDefault="001E6C97" w:rsidP="001E6C97">
            <w:pPr>
              <w:autoSpaceDE w:val="0"/>
              <w:autoSpaceDN w:val="0"/>
              <w:adjustRightInd w:val="0"/>
              <w:jc w:val="center"/>
              <w:rPr>
                <w:rFonts w:eastAsia="Calibri"/>
                <w:color w:val="000000"/>
                <w:sz w:val="22"/>
              </w:rPr>
            </w:pPr>
            <w:r w:rsidRPr="007E0AF4">
              <w:rPr>
                <w:rFonts w:eastAsia="Calibri"/>
                <w:color w:val="000000"/>
                <w:sz w:val="22"/>
              </w:rPr>
              <w:t>Обсяг</w:t>
            </w:r>
          </w:p>
        </w:tc>
        <w:tc>
          <w:tcPr>
            <w:tcW w:w="1701" w:type="dxa"/>
            <w:gridSpan w:val="2"/>
            <w:tcBorders>
              <w:top w:val="single" w:sz="4" w:space="0" w:color="auto"/>
              <w:left w:val="single" w:sz="4" w:space="0" w:color="auto"/>
              <w:bottom w:val="single" w:sz="4" w:space="0" w:color="auto"/>
              <w:right w:val="single" w:sz="4" w:space="0" w:color="auto"/>
            </w:tcBorders>
          </w:tcPr>
          <w:p w:rsidR="001E6C97" w:rsidRPr="007E0AF4" w:rsidRDefault="001E6C97" w:rsidP="001E6C97">
            <w:pPr>
              <w:autoSpaceDE w:val="0"/>
              <w:autoSpaceDN w:val="0"/>
              <w:adjustRightInd w:val="0"/>
              <w:jc w:val="center"/>
              <w:rPr>
                <w:rFonts w:eastAsia="Calibri"/>
                <w:color w:val="000000"/>
                <w:sz w:val="22"/>
              </w:rPr>
            </w:pPr>
            <w:r w:rsidRPr="007E0AF4">
              <w:rPr>
                <w:rFonts w:eastAsia="Calibri"/>
                <w:color w:val="000000"/>
                <w:sz w:val="22"/>
              </w:rPr>
              <w:t>Назва джерела</w:t>
            </w:r>
          </w:p>
        </w:tc>
        <w:tc>
          <w:tcPr>
            <w:tcW w:w="1562" w:type="dxa"/>
            <w:gridSpan w:val="2"/>
            <w:vMerge/>
            <w:tcBorders>
              <w:top w:val="single" w:sz="4" w:space="0" w:color="auto"/>
              <w:left w:val="single" w:sz="4" w:space="0" w:color="auto"/>
              <w:bottom w:val="single" w:sz="4" w:space="0" w:color="auto"/>
              <w:right w:val="single" w:sz="4" w:space="0" w:color="auto"/>
            </w:tcBorders>
          </w:tcPr>
          <w:p w:rsidR="001E6C97" w:rsidRPr="007E0AF4" w:rsidRDefault="001E6C97" w:rsidP="001E6C97">
            <w:pPr>
              <w:autoSpaceDE w:val="0"/>
              <w:autoSpaceDN w:val="0"/>
              <w:adjustRightInd w:val="0"/>
              <w:rPr>
                <w:rFonts w:eastAsia="Calibri"/>
                <w:color w:val="000000"/>
                <w:sz w:val="22"/>
              </w:rPr>
            </w:pPr>
          </w:p>
        </w:tc>
      </w:tr>
      <w:tr w:rsidR="001E6C97" w:rsidRPr="007E0AF4" w:rsidTr="00DC01CA">
        <w:trPr>
          <w:trHeight w:val="619"/>
        </w:trPr>
        <w:tc>
          <w:tcPr>
            <w:tcW w:w="1446" w:type="dxa"/>
            <w:vMerge/>
            <w:tcBorders>
              <w:left w:val="nil"/>
              <w:bottom w:val="nil"/>
              <w:right w:val="nil"/>
            </w:tcBorders>
          </w:tcPr>
          <w:p w:rsidR="001E6C97" w:rsidRPr="007E0AF4" w:rsidRDefault="001E6C97" w:rsidP="001E6C97">
            <w:pPr>
              <w:autoSpaceDE w:val="0"/>
              <w:autoSpaceDN w:val="0"/>
              <w:adjustRightInd w:val="0"/>
              <w:jc w:val="right"/>
              <w:rPr>
                <w:rFonts w:eastAsia="Calibri"/>
                <w:color w:val="000000"/>
                <w:sz w:val="22"/>
              </w:rPr>
            </w:pPr>
          </w:p>
        </w:tc>
        <w:tc>
          <w:tcPr>
            <w:tcW w:w="2973" w:type="dxa"/>
            <w:vMerge/>
            <w:tcBorders>
              <w:left w:val="single" w:sz="6" w:space="0" w:color="auto"/>
              <w:bottom w:val="single" w:sz="6" w:space="0" w:color="auto"/>
              <w:right w:val="single" w:sz="4" w:space="0" w:color="auto"/>
            </w:tcBorders>
            <w:shd w:val="clear" w:color="00FFFF" w:fill="C6D9F1" w:themeFill="text2" w:themeFillTint="33"/>
          </w:tcPr>
          <w:p w:rsidR="001E6C97" w:rsidRPr="007E0AF4" w:rsidRDefault="001E6C97" w:rsidP="001E6C97">
            <w:pPr>
              <w:autoSpaceDE w:val="0"/>
              <w:autoSpaceDN w:val="0"/>
              <w:adjustRightInd w:val="0"/>
              <w:rPr>
                <w:rFonts w:eastAsia="Calibri"/>
                <w:b/>
                <w:color w:val="000000"/>
                <w:sz w:val="22"/>
              </w:rPr>
            </w:pPr>
          </w:p>
        </w:tc>
        <w:tc>
          <w:tcPr>
            <w:tcW w:w="1562" w:type="dxa"/>
            <w:tcBorders>
              <w:top w:val="single" w:sz="4" w:space="0" w:color="auto"/>
              <w:left w:val="single" w:sz="4" w:space="0" w:color="auto"/>
              <w:bottom w:val="single" w:sz="4" w:space="0" w:color="auto"/>
              <w:right w:val="single" w:sz="4" w:space="0" w:color="auto"/>
            </w:tcBorders>
          </w:tcPr>
          <w:p w:rsidR="001E6C97" w:rsidRPr="007E0AF4" w:rsidRDefault="001E6C97" w:rsidP="001E6C97">
            <w:pPr>
              <w:autoSpaceDE w:val="0"/>
              <w:autoSpaceDN w:val="0"/>
              <w:adjustRightInd w:val="0"/>
              <w:rPr>
                <w:rFonts w:eastAsia="Calibri"/>
                <w:sz w:val="22"/>
              </w:rPr>
            </w:pPr>
            <w:r w:rsidRPr="007E0AF4">
              <w:rPr>
                <w:rFonts w:eastAsia="Calibri"/>
                <w:sz w:val="22"/>
              </w:rPr>
              <w:t>40 000,0</w:t>
            </w:r>
          </w:p>
        </w:tc>
        <w:tc>
          <w:tcPr>
            <w:tcW w:w="1134" w:type="dxa"/>
            <w:tcBorders>
              <w:top w:val="single" w:sz="4" w:space="0" w:color="auto"/>
              <w:left w:val="single" w:sz="4" w:space="0" w:color="auto"/>
              <w:bottom w:val="single" w:sz="4" w:space="0" w:color="auto"/>
              <w:right w:val="single" w:sz="4" w:space="0" w:color="auto"/>
            </w:tcBorders>
          </w:tcPr>
          <w:p w:rsidR="001E6C97" w:rsidRPr="007E0AF4" w:rsidRDefault="001E6C97" w:rsidP="001E6C97">
            <w:pPr>
              <w:autoSpaceDE w:val="0"/>
              <w:autoSpaceDN w:val="0"/>
              <w:adjustRightInd w:val="0"/>
              <w:rPr>
                <w:rFonts w:eastAsia="Calibri"/>
                <w:color w:val="000000"/>
                <w:sz w:val="22"/>
              </w:rPr>
            </w:pPr>
          </w:p>
        </w:tc>
        <w:tc>
          <w:tcPr>
            <w:tcW w:w="992" w:type="dxa"/>
            <w:tcBorders>
              <w:top w:val="single" w:sz="4" w:space="0" w:color="auto"/>
              <w:left w:val="single" w:sz="4" w:space="0" w:color="auto"/>
              <w:bottom w:val="single" w:sz="4" w:space="0" w:color="auto"/>
              <w:right w:val="single" w:sz="4" w:space="0" w:color="auto"/>
            </w:tcBorders>
          </w:tcPr>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20 000,0</w:t>
            </w:r>
          </w:p>
        </w:tc>
        <w:tc>
          <w:tcPr>
            <w:tcW w:w="1701" w:type="dxa"/>
            <w:gridSpan w:val="2"/>
            <w:tcBorders>
              <w:top w:val="single" w:sz="4" w:space="0" w:color="auto"/>
              <w:left w:val="single" w:sz="4" w:space="0" w:color="auto"/>
              <w:bottom w:val="single" w:sz="4" w:space="0" w:color="auto"/>
              <w:right w:val="single" w:sz="4" w:space="0" w:color="auto"/>
            </w:tcBorders>
          </w:tcPr>
          <w:p w:rsidR="001E6C97" w:rsidRPr="007E0AF4" w:rsidRDefault="001E6C97" w:rsidP="001E6C97">
            <w:pPr>
              <w:autoSpaceDE w:val="0"/>
              <w:autoSpaceDN w:val="0"/>
              <w:adjustRightInd w:val="0"/>
              <w:rPr>
                <w:rFonts w:eastAsia="Calibri"/>
                <w:color w:val="000000"/>
                <w:sz w:val="22"/>
              </w:rPr>
            </w:pPr>
            <w:r w:rsidRPr="007E0AF4">
              <w:rPr>
                <w:sz w:val="22"/>
              </w:rPr>
              <w:t>Міжнародні інвестиції, кошти приватних осіб</w:t>
            </w:r>
          </w:p>
        </w:tc>
        <w:tc>
          <w:tcPr>
            <w:tcW w:w="1562" w:type="dxa"/>
            <w:gridSpan w:val="2"/>
            <w:tcBorders>
              <w:top w:val="single" w:sz="4" w:space="0" w:color="auto"/>
              <w:left w:val="single" w:sz="4" w:space="0" w:color="auto"/>
              <w:bottom w:val="single" w:sz="4" w:space="0" w:color="auto"/>
              <w:right w:val="single" w:sz="4" w:space="0" w:color="auto"/>
            </w:tcBorders>
          </w:tcPr>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60 000,0</w:t>
            </w:r>
          </w:p>
        </w:tc>
      </w:tr>
    </w:tbl>
    <w:p w:rsidR="001E6C97" w:rsidRPr="007E0AF4" w:rsidRDefault="001E6C97" w:rsidP="00E95FB1">
      <w:pPr>
        <w:rPr>
          <w:sz w:val="22"/>
        </w:rPr>
      </w:pPr>
    </w:p>
    <w:tbl>
      <w:tblPr>
        <w:tblpPr w:leftFromText="180" w:rightFromText="180" w:vertAnchor="text" w:horzAnchor="page" w:tblpX="1" w:tblpY="123"/>
        <w:tblW w:w="11370" w:type="dxa"/>
        <w:tblLayout w:type="fixed"/>
        <w:tblCellMar>
          <w:left w:w="30" w:type="dxa"/>
          <w:right w:w="30" w:type="dxa"/>
        </w:tblCellMar>
        <w:tblLook w:val="0000" w:firstRow="0" w:lastRow="0" w:firstColumn="0" w:lastColumn="0" w:noHBand="0" w:noVBand="0"/>
      </w:tblPr>
      <w:tblGrid>
        <w:gridCol w:w="1448"/>
        <w:gridCol w:w="2977"/>
        <w:gridCol w:w="1275"/>
        <w:gridCol w:w="1134"/>
        <w:gridCol w:w="1134"/>
        <w:gridCol w:w="1701"/>
        <w:gridCol w:w="426"/>
        <w:gridCol w:w="1137"/>
        <w:gridCol w:w="138"/>
      </w:tblGrid>
      <w:tr w:rsidR="00DC01CA" w:rsidRPr="007E0AF4" w:rsidTr="00DC01CA">
        <w:trPr>
          <w:trHeight w:val="555"/>
        </w:trPr>
        <w:tc>
          <w:tcPr>
            <w:tcW w:w="1448" w:type="dxa"/>
            <w:tcBorders>
              <w:top w:val="nil"/>
              <w:left w:val="nil"/>
              <w:bottom w:val="nil"/>
              <w:right w:val="nil"/>
            </w:tcBorders>
          </w:tcPr>
          <w:p w:rsidR="00DC01CA" w:rsidRPr="007E0AF4" w:rsidRDefault="00DC01CA" w:rsidP="001013F3">
            <w:pPr>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C01CA" w:rsidRPr="007E0AF4" w:rsidRDefault="00DC01CA" w:rsidP="001013F3">
            <w:pPr>
              <w:autoSpaceDE w:val="0"/>
              <w:autoSpaceDN w:val="0"/>
              <w:adjustRightInd w:val="0"/>
              <w:rPr>
                <w:rFonts w:eastAsia="Calibri"/>
                <w:b/>
                <w:color w:val="000000"/>
                <w:sz w:val="22"/>
              </w:rPr>
            </w:pPr>
            <w:r w:rsidRPr="007E0AF4">
              <w:rPr>
                <w:rFonts w:eastAsia="Calibri"/>
                <w:b/>
                <w:color w:val="000000"/>
                <w:sz w:val="22"/>
              </w:rPr>
              <w:t>Оперативна ціль/завдання</w:t>
            </w:r>
          </w:p>
        </w:tc>
        <w:tc>
          <w:tcPr>
            <w:tcW w:w="6945" w:type="dxa"/>
            <w:gridSpan w:val="7"/>
            <w:tcBorders>
              <w:top w:val="single" w:sz="6" w:space="0" w:color="auto"/>
              <w:left w:val="single" w:sz="6" w:space="0" w:color="auto"/>
              <w:bottom w:val="single" w:sz="6" w:space="0" w:color="auto"/>
              <w:right w:val="single" w:sz="6" w:space="0" w:color="auto"/>
            </w:tcBorders>
          </w:tcPr>
          <w:p w:rsidR="00DC01CA" w:rsidRPr="007E0AF4" w:rsidRDefault="00DC01CA" w:rsidP="001013F3">
            <w:pPr>
              <w:rPr>
                <w:sz w:val="22"/>
              </w:rPr>
            </w:pPr>
            <w:r w:rsidRPr="007E0AF4">
              <w:rPr>
                <w:sz w:val="22"/>
              </w:rPr>
              <w:t xml:space="preserve">Людський розвиток через інновації управління та довіру до влади. Формування сучасного інклюзивного  </w:t>
            </w:r>
            <w:proofErr w:type="spellStart"/>
            <w:r w:rsidRPr="007E0AF4">
              <w:rPr>
                <w:sz w:val="22"/>
              </w:rPr>
              <w:t>освітньо</w:t>
            </w:r>
            <w:proofErr w:type="spellEnd"/>
            <w:r w:rsidRPr="007E0AF4">
              <w:rPr>
                <w:sz w:val="22"/>
              </w:rPr>
              <w:t>-культурного та спортивного простору для розвитку</w:t>
            </w:r>
          </w:p>
        </w:tc>
      </w:tr>
      <w:tr w:rsidR="00DC01CA" w:rsidRPr="007E0AF4" w:rsidTr="00DC01CA">
        <w:trPr>
          <w:trHeight w:val="691"/>
        </w:trPr>
        <w:tc>
          <w:tcPr>
            <w:tcW w:w="1448" w:type="dxa"/>
            <w:tcBorders>
              <w:top w:val="nil"/>
              <w:left w:val="nil"/>
              <w:bottom w:val="nil"/>
              <w:right w:val="nil"/>
            </w:tcBorders>
          </w:tcPr>
          <w:p w:rsidR="00DC01CA" w:rsidRPr="007E0AF4" w:rsidRDefault="00DC01CA" w:rsidP="001013F3">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C01CA" w:rsidRPr="007E0AF4" w:rsidRDefault="00DC01CA" w:rsidP="001013F3">
            <w:pPr>
              <w:autoSpaceDE w:val="0"/>
              <w:autoSpaceDN w:val="0"/>
              <w:adjustRightInd w:val="0"/>
              <w:rPr>
                <w:rFonts w:eastAsia="Calibri"/>
                <w:b/>
                <w:color w:val="000000"/>
                <w:sz w:val="22"/>
              </w:rPr>
            </w:pPr>
            <w:r w:rsidRPr="007E0AF4">
              <w:rPr>
                <w:rFonts w:eastAsia="Calibri"/>
                <w:b/>
                <w:color w:val="000000"/>
                <w:sz w:val="22"/>
              </w:rPr>
              <w:t>Назва проекту:</w:t>
            </w:r>
          </w:p>
        </w:tc>
        <w:tc>
          <w:tcPr>
            <w:tcW w:w="6945" w:type="dxa"/>
            <w:gridSpan w:val="7"/>
            <w:tcBorders>
              <w:top w:val="single" w:sz="6" w:space="0" w:color="auto"/>
              <w:left w:val="single" w:sz="6" w:space="0" w:color="auto"/>
              <w:bottom w:val="single" w:sz="6" w:space="0" w:color="auto"/>
              <w:right w:val="single" w:sz="6" w:space="0" w:color="auto"/>
            </w:tcBorders>
          </w:tcPr>
          <w:p w:rsidR="00DC01CA" w:rsidRPr="007E0AF4" w:rsidRDefault="00DC01CA" w:rsidP="001013F3">
            <w:pPr>
              <w:autoSpaceDE w:val="0"/>
              <w:autoSpaceDN w:val="0"/>
              <w:adjustRightInd w:val="0"/>
              <w:rPr>
                <w:rFonts w:eastAsia="Calibri"/>
                <w:color w:val="000000"/>
                <w:sz w:val="22"/>
              </w:rPr>
            </w:pPr>
            <w:r w:rsidRPr="007E0AF4">
              <w:rPr>
                <w:rFonts w:eastAsia="Calibri"/>
                <w:color w:val="000000"/>
                <w:sz w:val="22"/>
              </w:rPr>
              <w:t xml:space="preserve">Відновлення діяльності Ліцею № 1 м. Сєвєродонецька Луганської області за </w:t>
            </w:r>
            <w:proofErr w:type="spellStart"/>
            <w:r w:rsidRPr="007E0AF4">
              <w:rPr>
                <w:rFonts w:eastAsia="Calibri"/>
                <w:color w:val="000000"/>
                <w:sz w:val="22"/>
              </w:rPr>
              <w:t>адресою</w:t>
            </w:r>
            <w:proofErr w:type="spellEnd"/>
            <w:r w:rsidRPr="007E0AF4">
              <w:rPr>
                <w:rFonts w:eastAsia="Calibri"/>
                <w:color w:val="000000"/>
                <w:sz w:val="22"/>
              </w:rPr>
              <w:t>: вулиця Науки, будинок 5 - А</w:t>
            </w:r>
          </w:p>
        </w:tc>
      </w:tr>
      <w:tr w:rsidR="00DC01CA" w:rsidRPr="007E0AF4" w:rsidTr="00DC01CA">
        <w:trPr>
          <w:trHeight w:val="1109"/>
        </w:trPr>
        <w:tc>
          <w:tcPr>
            <w:tcW w:w="1448" w:type="dxa"/>
            <w:tcBorders>
              <w:top w:val="nil"/>
              <w:left w:val="nil"/>
              <w:bottom w:val="nil"/>
              <w:right w:val="nil"/>
            </w:tcBorders>
          </w:tcPr>
          <w:p w:rsidR="00DC01CA" w:rsidRPr="007E0AF4" w:rsidRDefault="00DC01CA" w:rsidP="001013F3">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C01CA" w:rsidRPr="007E0AF4" w:rsidRDefault="00DC01CA" w:rsidP="001013F3">
            <w:pPr>
              <w:autoSpaceDE w:val="0"/>
              <w:autoSpaceDN w:val="0"/>
              <w:adjustRightInd w:val="0"/>
              <w:rPr>
                <w:rFonts w:eastAsia="Calibri"/>
                <w:b/>
                <w:color w:val="000000"/>
                <w:sz w:val="22"/>
              </w:rPr>
            </w:pPr>
            <w:r w:rsidRPr="007E0AF4">
              <w:rPr>
                <w:rFonts w:eastAsia="Calibri"/>
                <w:b/>
                <w:color w:val="000000"/>
                <w:sz w:val="22"/>
              </w:rPr>
              <w:t>Ціль проекту</w:t>
            </w:r>
          </w:p>
        </w:tc>
        <w:tc>
          <w:tcPr>
            <w:tcW w:w="6945" w:type="dxa"/>
            <w:gridSpan w:val="7"/>
            <w:tcBorders>
              <w:top w:val="single" w:sz="6" w:space="0" w:color="auto"/>
              <w:left w:val="single" w:sz="6" w:space="0" w:color="auto"/>
              <w:bottom w:val="single" w:sz="6" w:space="0" w:color="auto"/>
              <w:right w:val="single" w:sz="6" w:space="0" w:color="auto"/>
            </w:tcBorders>
          </w:tcPr>
          <w:p w:rsidR="00DC01CA" w:rsidRPr="007E0AF4" w:rsidRDefault="00DC01CA" w:rsidP="001013F3">
            <w:pPr>
              <w:autoSpaceDE w:val="0"/>
              <w:autoSpaceDN w:val="0"/>
              <w:adjustRightInd w:val="0"/>
              <w:rPr>
                <w:rFonts w:eastAsia="Calibri"/>
                <w:color w:val="000000"/>
                <w:sz w:val="22"/>
              </w:rPr>
            </w:pPr>
            <w:r w:rsidRPr="007E0AF4">
              <w:rPr>
                <w:sz w:val="22"/>
              </w:rPr>
              <w:t>Відновити та покращити роботу навчального закладу для надання широкого спектру послуг, пов’язаних із освітньою діяльністю.</w:t>
            </w:r>
            <w:r w:rsidRPr="007E0AF4">
              <w:rPr>
                <w:rFonts w:eastAsia="Calibri"/>
                <w:color w:val="000000"/>
                <w:sz w:val="22"/>
              </w:rPr>
              <w:t xml:space="preserve"> Оновлення матеріально – технічної бази закладу освіти з метою надання якісних освітніх послуг.</w:t>
            </w:r>
          </w:p>
        </w:tc>
      </w:tr>
      <w:tr w:rsidR="00DC01CA" w:rsidRPr="007E0AF4" w:rsidTr="00DC01CA">
        <w:trPr>
          <w:trHeight w:val="290"/>
        </w:trPr>
        <w:tc>
          <w:tcPr>
            <w:tcW w:w="1448" w:type="dxa"/>
            <w:tcBorders>
              <w:top w:val="nil"/>
              <w:left w:val="nil"/>
              <w:bottom w:val="nil"/>
              <w:right w:val="nil"/>
            </w:tcBorders>
          </w:tcPr>
          <w:p w:rsidR="00DC01CA" w:rsidRPr="007E0AF4" w:rsidRDefault="00DC01CA" w:rsidP="001013F3">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C01CA" w:rsidRPr="007E0AF4" w:rsidRDefault="00DC01CA" w:rsidP="001013F3">
            <w:pPr>
              <w:autoSpaceDE w:val="0"/>
              <w:autoSpaceDN w:val="0"/>
              <w:adjustRightInd w:val="0"/>
              <w:rPr>
                <w:rFonts w:eastAsia="Calibri"/>
                <w:b/>
                <w:color w:val="000000"/>
                <w:sz w:val="22"/>
              </w:rPr>
            </w:pPr>
            <w:r w:rsidRPr="007E0AF4">
              <w:rPr>
                <w:rFonts w:eastAsia="Calibri"/>
                <w:b/>
                <w:color w:val="000000"/>
                <w:sz w:val="22"/>
              </w:rPr>
              <w:t>Територія, на яку матиме вплив реалізація проекту</w:t>
            </w:r>
          </w:p>
        </w:tc>
        <w:tc>
          <w:tcPr>
            <w:tcW w:w="6945" w:type="dxa"/>
            <w:gridSpan w:val="7"/>
            <w:tcBorders>
              <w:top w:val="single" w:sz="6" w:space="0" w:color="auto"/>
              <w:left w:val="single" w:sz="6" w:space="0" w:color="auto"/>
              <w:bottom w:val="single" w:sz="6" w:space="0" w:color="auto"/>
              <w:right w:val="single" w:sz="6" w:space="0" w:color="auto"/>
            </w:tcBorders>
          </w:tcPr>
          <w:p w:rsidR="00DC01CA" w:rsidRPr="007E0AF4" w:rsidRDefault="00DC01CA" w:rsidP="001013F3">
            <w:pPr>
              <w:autoSpaceDE w:val="0"/>
              <w:autoSpaceDN w:val="0"/>
              <w:adjustRightInd w:val="0"/>
              <w:rPr>
                <w:rFonts w:eastAsia="Calibri"/>
                <w:color w:val="000000"/>
                <w:sz w:val="22"/>
              </w:rPr>
            </w:pPr>
            <w:r w:rsidRPr="007E0AF4">
              <w:rPr>
                <w:rFonts w:eastAsia="Calibri"/>
                <w:color w:val="000000"/>
                <w:sz w:val="22"/>
              </w:rPr>
              <w:t>Сєвєродонецька міська територіальна громада</w:t>
            </w:r>
          </w:p>
        </w:tc>
      </w:tr>
      <w:tr w:rsidR="00DC01CA" w:rsidRPr="007E0AF4" w:rsidTr="00DC01CA">
        <w:trPr>
          <w:trHeight w:val="846"/>
        </w:trPr>
        <w:tc>
          <w:tcPr>
            <w:tcW w:w="1448" w:type="dxa"/>
            <w:tcBorders>
              <w:top w:val="nil"/>
              <w:left w:val="nil"/>
              <w:bottom w:val="nil"/>
              <w:right w:val="nil"/>
            </w:tcBorders>
          </w:tcPr>
          <w:p w:rsidR="00DC01CA" w:rsidRPr="007E0AF4" w:rsidRDefault="00DC01CA" w:rsidP="001013F3">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C01CA" w:rsidRPr="007E0AF4" w:rsidRDefault="00DC01CA" w:rsidP="001013F3">
            <w:pPr>
              <w:autoSpaceDE w:val="0"/>
              <w:autoSpaceDN w:val="0"/>
              <w:adjustRightInd w:val="0"/>
              <w:rPr>
                <w:rFonts w:eastAsia="Calibri"/>
                <w:b/>
                <w:color w:val="000000"/>
                <w:sz w:val="22"/>
              </w:rPr>
            </w:pPr>
            <w:r w:rsidRPr="007E0AF4">
              <w:rPr>
                <w:rFonts w:eastAsia="Calibri"/>
                <w:b/>
                <w:color w:val="000000"/>
                <w:sz w:val="22"/>
              </w:rPr>
              <w:t>Чисельність населення, на яке матиме вплив реалізація проекту</w:t>
            </w:r>
          </w:p>
        </w:tc>
        <w:tc>
          <w:tcPr>
            <w:tcW w:w="6945" w:type="dxa"/>
            <w:gridSpan w:val="7"/>
            <w:tcBorders>
              <w:top w:val="single" w:sz="6" w:space="0" w:color="auto"/>
              <w:left w:val="single" w:sz="6" w:space="0" w:color="auto"/>
              <w:bottom w:val="single" w:sz="6" w:space="0" w:color="auto"/>
              <w:right w:val="single" w:sz="6" w:space="0" w:color="auto"/>
            </w:tcBorders>
          </w:tcPr>
          <w:p w:rsidR="00DC01CA" w:rsidRPr="007E0AF4" w:rsidRDefault="00DC01CA" w:rsidP="001013F3">
            <w:pPr>
              <w:autoSpaceDE w:val="0"/>
              <w:autoSpaceDN w:val="0"/>
              <w:adjustRightInd w:val="0"/>
              <w:rPr>
                <w:rFonts w:eastAsia="Calibri"/>
                <w:color w:val="000000"/>
                <w:sz w:val="22"/>
              </w:rPr>
            </w:pPr>
            <w:r w:rsidRPr="007E0AF4">
              <w:rPr>
                <w:rFonts w:eastAsia="Calibri"/>
                <w:color w:val="000000"/>
                <w:sz w:val="22"/>
              </w:rPr>
              <w:t>70 000 осіб</w:t>
            </w:r>
          </w:p>
        </w:tc>
      </w:tr>
      <w:tr w:rsidR="00DC01CA" w:rsidRPr="007E0AF4" w:rsidTr="00DC01CA">
        <w:trPr>
          <w:trHeight w:val="1261"/>
        </w:trPr>
        <w:tc>
          <w:tcPr>
            <w:tcW w:w="1448" w:type="dxa"/>
            <w:tcBorders>
              <w:top w:val="nil"/>
              <w:left w:val="nil"/>
              <w:bottom w:val="nil"/>
              <w:right w:val="nil"/>
            </w:tcBorders>
          </w:tcPr>
          <w:p w:rsidR="00DC01CA" w:rsidRPr="007E0AF4" w:rsidRDefault="00DC01CA" w:rsidP="001013F3">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C01CA" w:rsidRPr="007E0AF4" w:rsidRDefault="00DC01CA" w:rsidP="001013F3">
            <w:pPr>
              <w:autoSpaceDE w:val="0"/>
              <w:autoSpaceDN w:val="0"/>
              <w:adjustRightInd w:val="0"/>
              <w:rPr>
                <w:rFonts w:eastAsia="Calibri"/>
                <w:b/>
                <w:color w:val="000000"/>
                <w:sz w:val="22"/>
              </w:rPr>
            </w:pPr>
            <w:r w:rsidRPr="007E0AF4">
              <w:rPr>
                <w:rFonts w:eastAsia="Calibri"/>
                <w:b/>
                <w:color w:val="000000"/>
                <w:sz w:val="22"/>
              </w:rPr>
              <w:t>Опис проблеми, на вирішення якої спрямований проект</w:t>
            </w:r>
          </w:p>
        </w:tc>
        <w:tc>
          <w:tcPr>
            <w:tcW w:w="6945" w:type="dxa"/>
            <w:gridSpan w:val="7"/>
            <w:tcBorders>
              <w:top w:val="single" w:sz="6" w:space="0" w:color="auto"/>
              <w:left w:val="single" w:sz="6" w:space="0" w:color="auto"/>
              <w:bottom w:val="single" w:sz="6" w:space="0" w:color="auto"/>
              <w:right w:val="single" w:sz="6" w:space="0" w:color="auto"/>
            </w:tcBorders>
          </w:tcPr>
          <w:p w:rsidR="00DC01CA" w:rsidRPr="007E0AF4" w:rsidRDefault="00DC01CA" w:rsidP="001013F3">
            <w:pPr>
              <w:rPr>
                <w:sz w:val="22"/>
              </w:rPr>
            </w:pPr>
            <w:r w:rsidRPr="007E0AF4">
              <w:rPr>
                <w:sz w:val="22"/>
              </w:rPr>
              <w:t xml:space="preserve">      Через військову агресію РФ територія Сєвєродонецької міської територіальної громади зазнала значних пошкоджень. Не оминуло це і навчальний заклад – Ліцей № 1 м. Сєвєродонецька.</w:t>
            </w:r>
          </w:p>
          <w:p w:rsidR="00DC01CA" w:rsidRPr="007E0AF4" w:rsidRDefault="00DC01CA" w:rsidP="001013F3">
            <w:pPr>
              <w:rPr>
                <w:sz w:val="22"/>
              </w:rPr>
            </w:pPr>
            <w:r w:rsidRPr="007E0AF4">
              <w:rPr>
                <w:sz w:val="22"/>
              </w:rPr>
              <w:t xml:space="preserve">      Уся матеріально-технічна база Ліцею № 1, зокрема:</w:t>
            </w:r>
          </w:p>
          <w:p w:rsidR="00DC01CA" w:rsidRPr="007E0AF4" w:rsidRDefault="00DC01CA" w:rsidP="000303D7">
            <w:pPr>
              <w:numPr>
                <w:ilvl w:val="0"/>
                <w:numId w:val="9"/>
              </w:numPr>
              <w:rPr>
                <w:sz w:val="22"/>
              </w:rPr>
            </w:pPr>
            <w:r w:rsidRPr="007E0AF4">
              <w:rPr>
                <w:sz w:val="22"/>
              </w:rPr>
              <w:t>обладнання;</w:t>
            </w:r>
          </w:p>
          <w:p w:rsidR="00DC01CA" w:rsidRPr="007E0AF4" w:rsidRDefault="00DC01CA" w:rsidP="000303D7">
            <w:pPr>
              <w:numPr>
                <w:ilvl w:val="0"/>
                <w:numId w:val="9"/>
              </w:numPr>
              <w:rPr>
                <w:sz w:val="22"/>
              </w:rPr>
            </w:pPr>
            <w:r w:rsidRPr="007E0AF4">
              <w:rPr>
                <w:sz w:val="22"/>
              </w:rPr>
              <w:t>обчислювальна техніка з відповідним програмним забезпеченням;</w:t>
            </w:r>
          </w:p>
          <w:p w:rsidR="00DC01CA" w:rsidRPr="007E0AF4" w:rsidRDefault="00DC01CA" w:rsidP="000303D7">
            <w:pPr>
              <w:numPr>
                <w:ilvl w:val="0"/>
                <w:numId w:val="9"/>
              </w:numPr>
              <w:rPr>
                <w:sz w:val="22"/>
              </w:rPr>
            </w:pPr>
            <w:r w:rsidRPr="007E0AF4">
              <w:rPr>
                <w:sz w:val="22"/>
              </w:rPr>
              <w:t>інша оргтехніка (монітори, принтери, сканери тощо);</w:t>
            </w:r>
          </w:p>
          <w:p w:rsidR="00DC01CA" w:rsidRPr="007E0AF4" w:rsidRDefault="00DC01CA" w:rsidP="000303D7">
            <w:pPr>
              <w:pStyle w:val="13"/>
              <w:numPr>
                <w:ilvl w:val="0"/>
                <w:numId w:val="9"/>
              </w:numPr>
              <w:jc w:val="both"/>
              <w:rPr>
                <w:sz w:val="22"/>
                <w:lang w:val="uk-UA"/>
              </w:rPr>
            </w:pPr>
            <w:r w:rsidRPr="007E0AF4">
              <w:rPr>
                <w:sz w:val="22"/>
                <w:lang w:val="uk-UA"/>
              </w:rPr>
              <w:t>основні засоби (меблі, дошки, спортивне знаряддя</w:t>
            </w:r>
            <w:r w:rsidR="009509B8" w:rsidRPr="007E0AF4">
              <w:rPr>
                <w:sz w:val="22"/>
                <w:lang w:val="uk-UA"/>
              </w:rPr>
              <w:t>)</w:t>
            </w:r>
            <w:r w:rsidR="00A1503C" w:rsidRPr="007E0AF4">
              <w:rPr>
                <w:sz w:val="22"/>
                <w:lang w:val="uk-UA"/>
              </w:rPr>
              <w:t>;</w:t>
            </w:r>
            <w:r w:rsidRPr="007E0AF4">
              <w:rPr>
                <w:sz w:val="22"/>
                <w:lang w:val="uk-UA"/>
              </w:rPr>
              <w:t xml:space="preserve">  </w:t>
            </w:r>
          </w:p>
          <w:p w:rsidR="00DC01CA" w:rsidRPr="007E0AF4" w:rsidRDefault="00DC01CA" w:rsidP="000303D7">
            <w:pPr>
              <w:pStyle w:val="13"/>
              <w:numPr>
                <w:ilvl w:val="0"/>
                <w:numId w:val="9"/>
              </w:numPr>
              <w:jc w:val="both"/>
              <w:rPr>
                <w:sz w:val="22"/>
                <w:lang w:val="uk-UA"/>
              </w:rPr>
            </w:pPr>
            <w:r w:rsidRPr="007E0AF4">
              <w:rPr>
                <w:sz w:val="22"/>
                <w:lang w:val="uk-UA"/>
              </w:rPr>
              <w:t>методичні матеріали, обладнання для харчоблоку, посуд для їдальні, сейф тощо) були знищені або викрадені.</w:t>
            </w:r>
          </w:p>
          <w:p w:rsidR="00DC01CA" w:rsidRPr="007E0AF4" w:rsidRDefault="00DC01CA" w:rsidP="001013F3">
            <w:pPr>
              <w:pStyle w:val="13"/>
              <w:jc w:val="both"/>
              <w:rPr>
                <w:rFonts w:eastAsia="Calibri"/>
                <w:color w:val="000000"/>
                <w:sz w:val="22"/>
                <w:lang w:val="uk-UA"/>
              </w:rPr>
            </w:pPr>
            <w:r w:rsidRPr="007E0AF4">
              <w:rPr>
                <w:rFonts w:eastAsia="Calibri"/>
                <w:color w:val="000000"/>
                <w:sz w:val="22"/>
                <w:lang w:val="uk-UA"/>
              </w:rPr>
              <w:t xml:space="preserve">      Після </w:t>
            </w:r>
            <w:proofErr w:type="spellStart"/>
            <w:r w:rsidRPr="007E0AF4">
              <w:rPr>
                <w:rFonts w:eastAsia="Calibri"/>
                <w:color w:val="000000"/>
                <w:sz w:val="22"/>
                <w:lang w:val="uk-UA"/>
              </w:rPr>
              <w:t>деокупації</w:t>
            </w:r>
            <w:proofErr w:type="spellEnd"/>
            <w:r w:rsidRPr="007E0AF4">
              <w:rPr>
                <w:rFonts w:eastAsia="Calibri"/>
                <w:color w:val="000000"/>
                <w:sz w:val="22"/>
                <w:lang w:val="uk-UA"/>
              </w:rPr>
              <w:t xml:space="preserve"> території та з початком відбудови міста постане питання щодо необхідності надання якісних освітніх послуг мешканцям громади. </w:t>
            </w:r>
          </w:p>
          <w:p w:rsidR="00DC01CA" w:rsidRPr="007E0AF4" w:rsidRDefault="00DC01CA" w:rsidP="001013F3">
            <w:pPr>
              <w:pStyle w:val="13"/>
              <w:jc w:val="both"/>
              <w:rPr>
                <w:rFonts w:eastAsia="Calibri"/>
                <w:color w:val="000000"/>
                <w:sz w:val="22"/>
                <w:lang w:val="uk-UA"/>
              </w:rPr>
            </w:pPr>
            <w:r w:rsidRPr="007E0AF4">
              <w:rPr>
                <w:rFonts w:eastAsia="Calibri"/>
                <w:color w:val="000000"/>
                <w:sz w:val="22"/>
                <w:lang w:val="uk-UA"/>
              </w:rPr>
              <w:t xml:space="preserve">       Реалізація </w:t>
            </w:r>
            <w:proofErr w:type="spellStart"/>
            <w:r w:rsidRPr="007E0AF4">
              <w:rPr>
                <w:rFonts w:eastAsia="Calibri"/>
                <w:color w:val="000000"/>
                <w:sz w:val="22"/>
                <w:lang w:val="uk-UA"/>
              </w:rPr>
              <w:t>проєкту</w:t>
            </w:r>
            <w:proofErr w:type="spellEnd"/>
            <w:r w:rsidRPr="007E0AF4">
              <w:rPr>
                <w:rFonts w:eastAsia="Calibri"/>
                <w:color w:val="000000"/>
                <w:sz w:val="22"/>
                <w:lang w:val="uk-UA"/>
              </w:rPr>
              <w:t xml:space="preserve"> «Відновлення діяльності Ліцею № 1 м. Сєвєродонецька Луганської області за </w:t>
            </w:r>
            <w:proofErr w:type="spellStart"/>
            <w:r w:rsidRPr="007E0AF4">
              <w:rPr>
                <w:rFonts w:eastAsia="Calibri"/>
                <w:color w:val="000000"/>
                <w:sz w:val="22"/>
                <w:lang w:val="uk-UA"/>
              </w:rPr>
              <w:t>адресою</w:t>
            </w:r>
            <w:proofErr w:type="spellEnd"/>
            <w:r w:rsidRPr="007E0AF4">
              <w:rPr>
                <w:rFonts w:eastAsia="Calibri"/>
                <w:color w:val="000000"/>
                <w:sz w:val="22"/>
                <w:lang w:val="uk-UA"/>
              </w:rPr>
              <w:t>: вулиця Науки, будинок 5 – А» дозволить надавати якісні освітні послуги, які відповідають нормам сучасності в навчанні та вихованні здобувачів освіти Ліцею № 1.</w:t>
            </w:r>
            <w:r w:rsidRPr="007E0AF4">
              <w:rPr>
                <w:rFonts w:eastAsia="Calibri"/>
                <w:color w:val="000000"/>
                <w:sz w:val="22"/>
                <w:lang w:val="uk-UA"/>
              </w:rPr>
              <w:tab/>
            </w:r>
          </w:p>
        </w:tc>
      </w:tr>
      <w:tr w:rsidR="00DC01CA" w:rsidRPr="007E0AF4" w:rsidTr="00DC01CA">
        <w:trPr>
          <w:trHeight w:val="1265"/>
        </w:trPr>
        <w:tc>
          <w:tcPr>
            <w:tcW w:w="1448" w:type="dxa"/>
            <w:tcBorders>
              <w:top w:val="nil"/>
              <w:left w:val="nil"/>
              <w:bottom w:val="nil"/>
              <w:right w:val="nil"/>
            </w:tcBorders>
          </w:tcPr>
          <w:p w:rsidR="00DC01CA" w:rsidRPr="007E0AF4" w:rsidRDefault="00DC01CA" w:rsidP="001013F3">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C01CA" w:rsidRPr="007E0AF4" w:rsidRDefault="00DC01CA" w:rsidP="001013F3">
            <w:pPr>
              <w:autoSpaceDE w:val="0"/>
              <w:autoSpaceDN w:val="0"/>
              <w:adjustRightInd w:val="0"/>
              <w:rPr>
                <w:rFonts w:eastAsia="Calibri"/>
                <w:b/>
                <w:color w:val="000000"/>
                <w:sz w:val="22"/>
              </w:rPr>
            </w:pPr>
            <w:r w:rsidRPr="007E0AF4">
              <w:rPr>
                <w:rFonts w:eastAsia="Calibri"/>
                <w:b/>
                <w:color w:val="000000"/>
                <w:sz w:val="22"/>
              </w:rPr>
              <w:t>Очікувані якісні результати від реалізації проекту</w:t>
            </w:r>
          </w:p>
        </w:tc>
        <w:tc>
          <w:tcPr>
            <w:tcW w:w="6945" w:type="dxa"/>
            <w:gridSpan w:val="7"/>
            <w:tcBorders>
              <w:top w:val="single" w:sz="6" w:space="0" w:color="auto"/>
              <w:left w:val="single" w:sz="6" w:space="0" w:color="auto"/>
              <w:bottom w:val="single" w:sz="6" w:space="0" w:color="auto"/>
              <w:right w:val="single" w:sz="6" w:space="0" w:color="auto"/>
            </w:tcBorders>
          </w:tcPr>
          <w:p w:rsidR="00DC01CA" w:rsidRPr="007E0AF4" w:rsidRDefault="00DC01CA" w:rsidP="001013F3">
            <w:pPr>
              <w:autoSpaceDE w:val="0"/>
              <w:autoSpaceDN w:val="0"/>
              <w:adjustRightInd w:val="0"/>
              <w:rPr>
                <w:rFonts w:eastAsia="Calibri"/>
                <w:color w:val="000000"/>
                <w:sz w:val="22"/>
              </w:rPr>
            </w:pPr>
            <w:r w:rsidRPr="007E0AF4">
              <w:rPr>
                <w:rFonts w:eastAsia="Calibri"/>
                <w:color w:val="000000"/>
                <w:sz w:val="22"/>
              </w:rPr>
              <w:t>1. Створення сучасного освітнього простору для здобувачів освіти з орієнтацією на академічну свободу для всебічного розвитку особистості;</w:t>
            </w:r>
          </w:p>
          <w:p w:rsidR="00DC01CA" w:rsidRPr="007E0AF4" w:rsidRDefault="00DC01CA" w:rsidP="001013F3">
            <w:pPr>
              <w:autoSpaceDE w:val="0"/>
              <w:autoSpaceDN w:val="0"/>
              <w:adjustRightInd w:val="0"/>
              <w:rPr>
                <w:rFonts w:eastAsia="Calibri"/>
                <w:color w:val="000000"/>
                <w:sz w:val="22"/>
              </w:rPr>
            </w:pPr>
            <w:r w:rsidRPr="007E0AF4">
              <w:rPr>
                <w:rFonts w:eastAsia="Calibri"/>
                <w:color w:val="000000"/>
                <w:sz w:val="22"/>
              </w:rPr>
              <w:t xml:space="preserve">2. Розвиток творчої ініціативи та академічної свободи педагогів у пошуках нових форм і методів педагогічної діяльності для надання якісних освітніх послуг; </w:t>
            </w:r>
          </w:p>
          <w:p w:rsidR="00DC01CA" w:rsidRPr="007E0AF4" w:rsidRDefault="00DC01CA" w:rsidP="001013F3">
            <w:pPr>
              <w:pStyle w:val="a7"/>
              <w:ind w:left="0"/>
              <w:rPr>
                <w:sz w:val="22"/>
              </w:rPr>
            </w:pPr>
            <w:r w:rsidRPr="007E0AF4">
              <w:rPr>
                <w:rFonts w:eastAsia="Calibri"/>
                <w:color w:val="000000"/>
                <w:sz w:val="22"/>
              </w:rPr>
              <w:t xml:space="preserve">3. </w:t>
            </w:r>
            <w:r w:rsidRPr="007E0AF4">
              <w:rPr>
                <w:sz w:val="22"/>
              </w:rPr>
              <w:t>Забезпечення населення можливостями для реалізації його конституційних прав, пов’язаних із отриманням якісної освіти;</w:t>
            </w:r>
          </w:p>
          <w:p w:rsidR="00DC01CA" w:rsidRPr="007E0AF4" w:rsidRDefault="00DC01CA" w:rsidP="001013F3">
            <w:pPr>
              <w:autoSpaceDE w:val="0"/>
              <w:autoSpaceDN w:val="0"/>
              <w:adjustRightInd w:val="0"/>
              <w:rPr>
                <w:rFonts w:eastAsia="Calibri"/>
                <w:color w:val="000000"/>
                <w:sz w:val="22"/>
              </w:rPr>
            </w:pPr>
            <w:r w:rsidRPr="007E0AF4">
              <w:rPr>
                <w:rFonts w:eastAsia="Calibri"/>
                <w:color w:val="000000"/>
                <w:sz w:val="22"/>
              </w:rPr>
              <w:t xml:space="preserve">4. </w:t>
            </w:r>
            <w:r w:rsidRPr="007E0AF4">
              <w:rPr>
                <w:sz w:val="22"/>
              </w:rPr>
              <w:t xml:space="preserve"> Стимул до повернення ВПО до громади;</w:t>
            </w:r>
            <w:r w:rsidRPr="007E0AF4">
              <w:rPr>
                <w:rFonts w:eastAsia="Calibri"/>
                <w:color w:val="000000"/>
                <w:sz w:val="22"/>
              </w:rPr>
              <w:tab/>
            </w:r>
            <w:r w:rsidRPr="007E0AF4">
              <w:rPr>
                <w:rFonts w:eastAsia="Calibri"/>
                <w:color w:val="000000"/>
                <w:sz w:val="22"/>
              </w:rPr>
              <w:tab/>
            </w:r>
            <w:r w:rsidRPr="007E0AF4">
              <w:rPr>
                <w:rFonts w:eastAsia="Calibri"/>
                <w:color w:val="000000"/>
                <w:sz w:val="22"/>
              </w:rPr>
              <w:tab/>
            </w:r>
          </w:p>
        </w:tc>
      </w:tr>
      <w:tr w:rsidR="00DC01CA" w:rsidRPr="007E0AF4" w:rsidTr="00DC01CA">
        <w:trPr>
          <w:gridAfter w:val="1"/>
          <w:wAfter w:w="138" w:type="dxa"/>
          <w:trHeight w:val="581"/>
        </w:trPr>
        <w:tc>
          <w:tcPr>
            <w:tcW w:w="1448" w:type="dxa"/>
            <w:tcBorders>
              <w:top w:val="nil"/>
              <w:left w:val="nil"/>
              <w:bottom w:val="nil"/>
              <w:right w:val="nil"/>
            </w:tcBorders>
          </w:tcPr>
          <w:p w:rsidR="00DC01CA" w:rsidRPr="007E0AF4" w:rsidRDefault="00DC01CA" w:rsidP="001013F3">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C01CA" w:rsidRPr="007E0AF4" w:rsidRDefault="00DC01CA" w:rsidP="001013F3">
            <w:pPr>
              <w:autoSpaceDE w:val="0"/>
              <w:autoSpaceDN w:val="0"/>
              <w:adjustRightInd w:val="0"/>
              <w:rPr>
                <w:rFonts w:eastAsia="Calibri"/>
                <w:b/>
                <w:color w:val="000000"/>
                <w:sz w:val="22"/>
              </w:rPr>
            </w:pPr>
            <w:r w:rsidRPr="007E0AF4">
              <w:rPr>
                <w:rFonts w:eastAsia="Calibri"/>
                <w:b/>
                <w:color w:val="000000"/>
                <w:sz w:val="22"/>
              </w:rPr>
              <w:t>Очікувані кількісні результати від реалізації проекту  (індикатори)</w:t>
            </w:r>
          </w:p>
        </w:tc>
        <w:tc>
          <w:tcPr>
            <w:tcW w:w="3543" w:type="dxa"/>
            <w:gridSpan w:val="3"/>
            <w:tcBorders>
              <w:top w:val="single" w:sz="6" w:space="0" w:color="auto"/>
              <w:left w:val="single" w:sz="6" w:space="0" w:color="auto"/>
              <w:bottom w:val="single" w:sz="6" w:space="0" w:color="auto"/>
              <w:right w:val="single" w:sz="6" w:space="0" w:color="auto"/>
            </w:tcBorders>
          </w:tcPr>
          <w:p w:rsidR="00DC01CA" w:rsidRPr="007E0AF4" w:rsidRDefault="00DC01CA" w:rsidP="001013F3">
            <w:pPr>
              <w:autoSpaceDE w:val="0"/>
              <w:autoSpaceDN w:val="0"/>
              <w:adjustRightInd w:val="0"/>
              <w:rPr>
                <w:rFonts w:eastAsia="Calibri"/>
                <w:b/>
                <w:color w:val="000000"/>
                <w:sz w:val="22"/>
              </w:rPr>
            </w:pPr>
            <w:r w:rsidRPr="007E0AF4">
              <w:rPr>
                <w:rFonts w:eastAsia="Calibri"/>
                <w:b/>
                <w:color w:val="000000"/>
                <w:sz w:val="22"/>
              </w:rPr>
              <w:t>Найменування показника</w:t>
            </w:r>
          </w:p>
        </w:tc>
        <w:tc>
          <w:tcPr>
            <w:tcW w:w="1701" w:type="dxa"/>
            <w:tcBorders>
              <w:top w:val="single" w:sz="6" w:space="0" w:color="auto"/>
              <w:left w:val="single" w:sz="6" w:space="0" w:color="auto"/>
              <w:bottom w:val="single" w:sz="6" w:space="0" w:color="auto"/>
              <w:right w:val="single" w:sz="6" w:space="0" w:color="auto"/>
            </w:tcBorders>
          </w:tcPr>
          <w:p w:rsidR="00DC01CA" w:rsidRPr="007E0AF4" w:rsidRDefault="00DC01CA" w:rsidP="001013F3">
            <w:pPr>
              <w:autoSpaceDE w:val="0"/>
              <w:autoSpaceDN w:val="0"/>
              <w:adjustRightInd w:val="0"/>
              <w:rPr>
                <w:rFonts w:eastAsia="Calibri"/>
                <w:b/>
                <w:color w:val="000000"/>
                <w:sz w:val="22"/>
              </w:rPr>
            </w:pPr>
            <w:r w:rsidRPr="007E0AF4">
              <w:rPr>
                <w:rFonts w:eastAsia="Calibri"/>
                <w:b/>
                <w:color w:val="000000"/>
                <w:sz w:val="22"/>
              </w:rPr>
              <w:t>Одиниця вимірювання</w:t>
            </w:r>
          </w:p>
        </w:tc>
        <w:tc>
          <w:tcPr>
            <w:tcW w:w="1563" w:type="dxa"/>
            <w:gridSpan w:val="2"/>
            <w:tcBorders>
              <w:top w:val="single" w:sz="6" w:space="0" w:color="auto"/>
              <w:left w:val="single" w:sz="6" w:space="0" w:color="auto"/>
              <w:bottom w:val="single" w:sz="6" w:space="0" w:color="auto"/>
              <w:right w:val="single" w:sz="6" w:space="0" w:color="auto"/>
            </w:tcBorders>
          </w:tcPr>
          <w:p w:rsidR="00DC01CA" w:rsidRPr="007E0AF4" w:rsidRDefault="00DC01CA" w:rsidP="001013F3">
            <w:pPr>
              <w:autoSpaceDE w:val="0"/>
              <w:autoSpaceDN w:val="0"/>
              <w:adjustRightInd w:val="0"/>
              <w:rPr>
                <w:rFonts w:eastAsia="Calibri"/>
                <w:b/>
                <w:color w:val="000000"/>
                <w:sz w:val="22"/>
              </w:rPr>
            </w:pPr>
            <w:r w:rsidRPr="007E0AF4">
              <w:rPr>
                <w:rFonts w:eastAsia="Calibri"/>
                <w:b/>
                <w:color w:val="000000"/>
                <w:sz w:val="22"/>
              </w:rPr>
              <w:t>Прогнозне (цільове) значення</w:t>
            </w:r>
          </w:p>
        </w:tc>
      </w:tr>
      <w:tr w:rsidR="00DC01CA" w:rsidRPr="007E0AF4" w:rsidTr="00DC01CA">
        <w:trPr>
          <w:gridAfter w:val="1"/>
          <w:wAfter w:w="138" w:type="dxa"/>
          <w:trHeight w:val="1235"/>
        </w:trPr>
        <w:tc>
          <w:tcPr>
            <w:tcW w:w="1448" w:type="dxa"/>
            <w:tcBorders>
              <w:top w:val="nil"/>
              <w:left w:val="nil"/>
              <w:bottom w:val="nil"/>
              <w:right w:val="nil"/>
            </w:tcBorders>
          </w:tcPr>
          <w:p w:rsidR="00DC01CA" w:rsidRPr="007E0AF4" w:rsidRDefault="00DC01CA" w:rsidP="001013F3">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C01CA" w:rsidRPr="007E0AF4" w:rsidRDefault="00DC01CA" w:rsidP="001013F3">
            <w:pPr>
              <w:autoSpaceDE w:val="0"/>
              <w:autoSpaceDN w:val="0"/>
              <w:adjustRightInd w:val="0"/>
              <w:rPr>
                <w:rFonts w:eastAsia="Calibri"/>
                <w:b/>
                <w:color w:val="000000"/>
                <w:sz w:val="22"/>
              </w:rPr>
            </w:pPr>
          </w:p>
        </w:tc>
        <w:tc>
          <w:tcPr>
            <w:tcW w:w="3543" w:type="dxa"/>
            <w:gridSpan w:val="3"/>
            <w:tcBorders>
              <w:top w:val="single" w:sz="6" w:space="0" w:color="auto"/>
              <w:left w:val="single" w:sz="6" w:space="0" w:color="auto"/>
              <w:bottom w:val="single" w:sz="6" w:space="0" w:color="auto"/>
              <w:right w:val="single" w:sz="6" w:space="0" w:color="auto"/>
            </w:tcBorders>
          </w:tcPr>
          <w:p w:rsidR="00DC01CA" w:rsidRPr="007E0AF4" w:rsidRDefault="00DC01CA" w:rsidP="001013F3">
            <w:pPr>
              <w:autoSpaceDE w:val="0"/>
              <w:autoSpaceDN w:val="0"/>
              <w:adjustRightInd w:val="0"/>
              <w:rPr>
                <w:rFonts w:eastAsia="Calibri"/>
                <w:color w:val="000000"/>
                <w:sz w:val="22"/>
              </w:rPr>
            </w:pPr>
            <w:r w:rsidRPr="007E0AF4">
              <w:rPr>
                <w:rFonts w:eastAsia="Calibri"/>
                <w:color w:val="000000"/>
                <w:sz w:val="22"/>
              </w:rPr>
              <w:t>Кількість здобувачів освіти, педпрацівників, робітників, батьків та інших осіб</w:t>
            </w:r>
          </w:p>
        </w:tc>
        <w:tc>
          <w:tcPr>
            <w:tcW w:w="1701" w:type="dxa"/>
            <w:tcBorders>
              <w:top w:val="single" w:sz="6" w:space="0" w:color="auto"/>
              <w:left w:val="single" w:sz="6" w:space="0" w:color="auto"/>
              <w:bottom w:val="single" w:sz="6" w:space="0" w:color="auto"/>
              <w:right w:val="single" w:sz="6" w:space="0" w:color="auto"/>
            </w:tcBorders>
          </w:tcPr>
          <w:p w:rsidR="00DC01CA" w:rsidRPr="007E0AF4" w:rsidRDefault="00DC01CA" w:rsidP="001013F3">
            <w:pPr>
              <w:autoSpaceDE w:val="0"/>
              <w:autoSpaceDN w:val="0"/>
              <w:adjustRightInd w:val="0"/>
              <w:rPr>
                <w:rFonts w:eastAsia="Calibri"/>
                <w:color w:val="000000"/>
                <w:sz w:val="22"/>
              </w:rPr>
            </w:pPr>
            <w:r w:rsidRPr="007E0AF4">
              <w:rPr>
                <w:rFonts w:eastAsia="Calibri"/>
                <w:color w:val="000000"/>
                <w:sz w:val="22"/>
              </w:rPr>
              <w:t>осіб</w:t>
            </w:r>
          </w:p>
        </w:tc>
        <w:tc>
          <w:tcPr>
            <w:tcW w:w="1563" w:type="dxa"/>
            <w:gridSpan w:val="2"/>
            <w:tcBorders>
              <w:top w:val="single" w:sz="6" w:space="0" w:color="auto"/>
              <w:left w:val="single" w:sz="6" w:space="0" w:color="auto"/>
              <w:bottom w:val="single" w:sz="6" w:space="0" w:color="auto"/>
              <w:right w:val="single" w:sz="6" w:space="0" w:color="auto"/>
            </w:tcBorders>
          </w:tcPr>
          <w:p w:rsidR="00DC01CA" w:rsidRPr="007E0AF4" w:rsidRDefault="00DC01CA" w:rsidP="001013F3">
            <w:pPr>
              <w:autoSpaceDE w:val="0"/>
              <w:autoSpaceDN w:val="0"/>
              <w:adjustRightInd w:val="0"/>
              <w:rPr>
                <w:rFonts w:eastAsia="Calibri"/>
                <w:color w:val="000000"/>
                <w:sz w:val="22"/>
              </w:rPr>
            </w:pPr>
            <w:r w:rsidRPr="007E0AF4">
              <w:rPr>
                <w:rFonts w:eastAsia="Calibri"/>
                <w:color w:val="000000"/>
                <w:sz w:val="22"/>
              </w:rPr>
              <w:t>1000</w:t>
            </w:r>
          </w:p>
        </w:tc>
      </w:tr>
      <w:tr w:rsidR="00DC01CA" w:rsidRPr="007E0AF4" w:rsidTr="00DC01CA">
        <w:trPr>
          <w:trHeight w:val="1684"/>
        </w:trPr>
        <w:tc>
          <w:tcPr>
            <w:tcW w:w="1448" w:type="dxa"/>
            <w:tcBorders>
              <w:top w:val="nil"/>
              <w:left w:val="nil"/>
              <w:bottom w:val="nil"/>
              <w:right w:val="nil"/>
            </w:tcBorders>
          </w:tcPr>
          <w:p w:rsidR="00DC01CA" w:rsidRPr="007E0AF4" w:rsidRDefault="00DC01CA" w:rsidP="001013F3">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C01CA" w:rsidRPr="007E0AF4" w:rsidRDefault="00DC01CA" w:rsidP="001013F3">
            <w:pPr>
              <w:autoSpaceDE w:val="0"/>
              <w:autoSpaceDN w:val="0"/>
              <w:adjustRightInd w:val="0"/>
              <w:rPr>
                <w:rFonts w:eastAsia="Calibri"/>
                <w:b/>
                <w:color w:val="000000"/>
                <w:sz w:val="22"/>
              </w:rPr>
            </w:pPr>
            <w:r w:rsidRPr="007E0AF4">
              <w:rPr>
                <w:rFonts w:eastAsia="Calibri"/>
                <w:b/>
                <w:color w:val="000000"/>
                <w:sz w:val="22"/>
              </w:rPr>
              <w:t>Ключові заходи проекту:</w:t>
            </w:r>
          </w:p>
        </w:tc>
        <w:tc>
          <w:tcPr>
            <w:tcW w:w="6945" w:type="dxa"/>
            <w:gridSpan w:val="7"/>
            <w:tcBorders>
              <w:top w:val="single" w:sz="6" w:space="0" w:color="auto"/>
              <w:left w:val="single" w:sz="6" w:space="0" w:color="auto"/>
              <w:bottom w:val="single" w:sz="4" w:space="0" w:color="auto"/>
              <w:right w:val="single" w:sz="6" w:space="0" w:color="auto"/>
            </w:tcBorders>
          </w:tcPr>
          <w:p w:rsidR="00DC01CA" w:rsidRPr="007E0AF4" w:rsidRDefault="00DC01CA" w:rsidP="001013F3">
            <w:pPr>
              <w:autoSpaceDE w:val="0"/>
              <w:autoSpaceDN w:val="0"/>
              <w:adjustRightInd w:val="0"/>
              <w:rPr>
                <w:color w:val="222222"/>
                <w:sz w:val="22"/>
                <w:shd w:val="clear" w:color="auto" w:fill="FFFFFF"/>
              </w:rPr>
            </w:pPr>
            <w:r w:rsidRPr="007E0AF4">
              <w:rPr>
                <w:color w:val="222222"/>
                <w:sz w:val="22"/>
                <w:shd w:val="clear" w:color="auto" w:fill="FFFFFF"/>
              </w:rPr>
              <w:t>-     обстеження стану будівлі;</w:t>
            </w:r>
          </w:p>
          <w:p w:rsidR="00DC01CA" w:rsidRPr="007E0AF4" w:rsidRDefault="00DC01CA" w:rsidP="001013F3">
            <w:pPr>
              <w:pStyle w:val="a7"/>
              <w:ind w:left="0"/>
              <w:rPr>
                <w:sz w:val="22"/>
              </w:rPr>
            </w:pPr>
            <w:r w:rsidRPr="007E0AF4">
              <w:rPr>
                <w:sz w:val="22"/>
              </w:rPr>
              <w:t>-     проведення інвентаризації основних засобів;</w:t>
            </w:r>
          </w:p>
          <w:p w:rsidR="00DC01CA" w:rsidRPr="007E0AF4" w:rsidRDefault="00DC01CA" w:rsidP="001013F3">
            <w:pPr>
              <w:pStyle w:val="a7"/>
              <w:ind w:left="394" w:hanging="394"/>
              <w:rPr>
                <w:sz w:val="22"/>
              </w:rPr>
            </w:pPr>
            <w:r w:rsidRPr="007E0AF4">
              <w:rPr>
                <w:sz w:val="22"/>
              </w:rPr>
              <w:t>-     придбання технічного забезпечення навчального закладу (мультимедійні комплекси, мультимедійні проектори, ноутбуки, екрани);</w:t>
            </w:r>
          </w:p>
          <w:p w:rsidR="00DC01CA" w:rsidRPr="007E0AF4" w:rsidRDefault="00DC01CA" w:rsidP="001013F3">
            <w:pPr>
              <w:pStyle w:val="a7"/>
              <w:ind w:left="0"/>
              <w:rPr>
                <w:sz w:val="22"/>
              </w:rPr>
            </w:pPr>
            <w:r w:rsidRPr="007E0AF4">
              <w:rPr>
                <w:sz w:val="22"/>
              </w:rPr>
              <w:t>-     придбання технологічного забезпечення;</w:t>
            </w:r>
          </w:p>
          <w:p w:rsidR="00DC01CA" w:rsidRPr="007E0AF4" w:rsidRDefault="00DC01CA" w:rsidP="001013F3">
            <w:pPr>
              <w:pStyle w:val="a7"/>
              <w:ind w:left="394" w:hanging="394"/>
              <w:rPr>
                <w:sz w:val="22"/>
              </w:rPr>
            </w:pPr>
            <w:r w:rsidRPr="007E0AF4">
              <w:rPr>
                <w:sz w:val="22"/>
              </w:rPr>
              <w:t>-     придбання обладнання для навчальних кабінетів (навчальні меблі, дошки, шафи для посібників, столи учительські тощо);</w:t>
            </w:r>
          </w:p>
          <w:p w:rsidR="00DC01CA" w:rsidRPr="007E0AF4" w:rsidRDefault="00DC01CA" w:rsidP="001013F3">
            <w:pPr>
              <w:pStyle w:val="a7"/>
              <w:ind w:left="394" w:hanging="394"/>
              <w:rPr>
                <w:sz w:val="22"/>
              </w:rPr>
            </w:pPr>
            <w:r w:rsidRPr="007E0AF4">
              <w:rPr>
                <w:sz w:val="22"/>
              </w:rPr>
              <w:t>-     придбання меблів для адміністративних кабінетів;</w:t>
            </w:r>
          </w:p>
          <w:p w:rsidR="00DC01CA" w:rsidRPr="007E0AF4" w:rsidRDefault="00DC01CA" w:rsidP="001013F3">
            <w:pPr>
              <w:pStyle w:val="a7"/>
              <w:ind w:left="394" w:hanging="394"/>
              <w:rPr>
                <w:sz w:val="22"/>
              </w:rPr>
            </w:pPr>
            <w:r w:rsidRPr="007E0AF4">
              <w:rPr>
                <w:sz w:val="22"/>
              </w:rPr>
              <w:t>-     придбання меблів для вчительської;</w:t>
            </w:r>
          </w:p>
          <w:p w:rsidR="00DC01CA" w:rsidRPr="007E0AF4" w:rsidRDefault="00DC01CA" w:rsidP="001013F3">
            <w:pPr>
              <w:pStyle w:val="a7"/>
              <w:ind w:left="394" w:hanging="394"/>
              <w:rPr>
                <w:sz w:val="22"/>
              </w:rPr>
            </w:pPr>
            <w:r w:rsidRPr="007E0AF4">
              <w:rPr>
                <w:sz w:val="22"/>
              </w:rPr>
              <w:t>-     придбання меблів для шкільної бібліотеки;</w:t>
            </w:r>
          </w:p>
          <w:p w:rsidR="00DC01CA" w:rsidRPr="007E0AF4" w:rsidRDefault="00DC01CA" w:rsidP="001013F3">
            <w:pPr>
              <w:pStyle w:val="a7"/>
              <w:ind w:left="394" w:hanging="394"/>
              <w:rPr>
                <w:sz w:val="22"/>
              </w:rPr>
            </w:pPr>
            <w:r w:rsidRPr="007E0AF4">
              <w:rPr>
                <w:sz w:val="22"/>
              </w:rPr>
              <w:t>-     придбання обладнання для медичного кабінету;</w:t>
            </w:r>
          </w:p>
          <w:p w:rsidR="00DC01CA" w:rsidRPr="007E0AF4" w:rsidRDefault="00DC01CA" w:rsidP="001013F3">
            <w:pPr>
              <w:pStyle w:val="a7"/>
              <w:ind w:left="394" w:hanging="394"/>
              <w:rPr>
                <w:sz w:val="22"/>
              </w:rPr>
            </w:pPr>
            <w:r w:rsidRPr="007E0AF4">
              <w:rPr>
                <w:sz w:val="22"/>
              </w:rPr>
              <w:t>-     придбання меблів для шкільної роздягальні;</w:t>
            </w:r>
          </w:p>
          <w:p w:rsidR="00DC01CA" w:rsidRPr="007E0AF4" w:rsidRDefault="00DC01CA" w:rsidP="001013F3">
            <w:pPr>
              <w:pStyle w:val="a7"/>
              <w:ind w:left="394" w:hanging="394"/>
              <w:rPr>
                <w:sz w:val="22"/>
              </w:rPr>
            </w:pPr>
            <w:r w:rsidRPr="007E0AF4">
              <w:rPr>
                <w:sz w:val="22"/>
              </w:rPr>
              <w:t xml:space="preserve">-     придбання обладнання та інвентарю для спортивної зали та спортивних </w:t>
            </w:r>
            <w:proofErr w:type="spellStart"/>
            <w:r w:rsidRPr="007E0AF4">
              <w:rPr>
                <w:sz w:val="22"/>
              </w:rPr>
              <w:t>роздягалень</w:t>
            </w:r>
            <w:proofErr w:type="spellEnd"/>
            <w:r w:rsidRPr="007E0AF4">
              <w:rPr>
                <w:sz w:val="22"/>
              </w:rPr>
              <w:t>;</w:t>
            </w:r>
          </w:p>
          <w:p w:rsidR="00DC01CA" w:rsidRPr="007E0AF4" w:rsidRDefault="00DC01CA" w:rsidP="001013F3">
            <w:pPr>
              <w:pStyle w:val="a7"/>
              <w:ind w:left="394" w:hanging="394"/>
              <w:rPr>
                <w:sz w:val="22"/>
              </w:rPr>
            </w:pPr>
            <w:r w:rsidRPr="007E0AF4">
              <w:rPr>
                <w:sz w:val="22"/>
              </w:rPr>
              <w:t>-     придбання меблів та обладнання для актової зали;</w:t>
            </w:r>
          </w:p>
          <w:p w:rsidR="00DC01CA" w:rsidRPr="007E0AF4" w:rsidRDefault="00DC01CA" w:rsidP="001013F3">
            <w:pPr>
              <w:pStyle w:val="a7"/>
              <w:ind w:left="394" w:hanging="394"/>
              <w:rPr>
                <w:sz w:val="22"/>
              </w:rPr>
            </w:pPr>
            <w:r w:rsidRPr="007E0AF4">
              <w:rPr>
                <w:sz w:val="22"/>
              </w:rPr>
              <w:t>-     придбання меблів для шкільної їдальні;</w:t>
            </w:r>
          </w:p>
          <w:p w:rsidR="00DC01CA" w:rsidRPr="007E0AF4" w:rsidRDefault="00DC01CA" w:rsidP="001013F3">
            <w:pPr>
              <w:pStyle w:val="a7"/>
              <w:ind w:left="394" w:hanging="394"/>
              <w:rPr>
                <w:sz w:val="22"/>
              </w:rPr>
            </w:pPr>
            <w:r w:rsidRPr="007E0AF4">
              <w:rPr>
                <w:sz w:val="22"/>
              </w:rPr>
              <w:t>-     придбання обладнання для харчоблоку за вимогами ХАССП;</w:t>
            </w:r>
          </w:p>
          <w:p w:rsidR="00DC01CA" w:rsidRPr="007E0AF4" w:rsidRDefault="00DC01CA" w:rsidP="001013F3">
            <w:pPr>
              <w:pStyle w:val="a7"/>
              <w:ind w:left="394" w:hanging="394"/>
              <w:rPr>
                <w:sz w:val="22"/>
              </w:rPr>
            </w:pPr>
            <w:r w:rsidRPr="007E0AF4">
              <w:rPr>
                <w:sz w:val="22"/>
              </w:rPr>
              <w:t>-     придбання меблів для куточків відпочинку в рекреаціях, фойє;</w:t>
            </w:r>
          </w:p>
          <w:p w:rsidR="00DC01CA" w:rsidRPr="007E0AF4" w:rsidRDefault="00DC01CA" w:rsidP="001013F3">
            <w:pPr>
              <w:pStyle w:val="a7"/>
              <w:ind w:left="394" w:hanging="394"/>
              <w:rPr>
                <w:sz w:val="22"/>
              </w:rPr>
            </w:pPr>
            <w:r w:rsidRPr="007E0AF4">
              <w:rPr>
                <w:sz w:val="22"/>
              </w:rPr>
              <w:t>-     організація та початок робочого процесу.</w:t>
            </w:r>
          </w:p>
        </w:tc>
      </w:tr>
      <w:tr w:rsidR="00DC01CA" w:rsidRPr="007E0AF4" w:rsidTr="00DC01CA">
        <w:trPr>
          <w:trHeight w:val="600"/>
        </w:trPr>
        <w:tc>
          <w:tcPr>
            <w:tcW w:w="1448" w:type="dxa"/>
            <w:vMerge w:val="restart"/>
            <w:tcBorders>
              <w:top w:val="nil"/>
              <w:left w:val="nil"/>
              <w:right w:val="nil"/>
            </w:tcBorders>
          </w:tcPr>
          <w:p w:rsidR="00DC01CA" w:rsidRPr="007E0AF4" w:rsidRDefault="00DC01CA" w:rsidP="001013F3">
            <w:pPr>
              <w:autoSpaceDE w:val="0"/>
              <w:autoSpaceDN w:val="0"/>
              <w:adjustRightInd w:val="0"/>
              <w:jc w:val="right"/>
              <w:rPr>
                <w:rFonts w:eastAsia="Calibri"/>
                <w:color w:val="000000"/>
                <w:sz w:val="22"/>
              </w:rPr>
            </w:pPr>
          </w:p>
        </w:tc>
        <w:tc>
          <w:tcPr>
            <w:tcW w:w="2977" w:type="dxa"/>
            <w:vMerge w:val="restart"/>
            <w:tcBorders>
              <w:top w:val="single" w:sz="6" w:space="0" w:color="auto"/>
              <w:left w:val="single" w:sz="6" w:space="0" w:color="auto"/>
              <w:right w:val="single" w:sz="4" w:space="0" w:color="auto"/>
            </w:tcBorders>
            <w:shd w:val="clear" w:color="00FFFF" w:fill="C6D9F1" w:themeFill="text2" w:themeFillTint="33"/>
          </w:tcPr>
          <w:p w:rsidR="00DC01CA" w:rsidRPr="007E0AF4" w:rsidRDefault="00DC01CA" w:rsidP="001013F3">
            <w:pPr>
              <w:autoSpaceDE w:val="0"/>
              <w:autoSpaceDN w:val="0"/>
              <w:adjustRightInd w:val="0"/>
              <w:rPr>
                <w:rFonts w:eastAsia="Calibri"/>
                <w:b/>
                <w:color w:val="000000"/>
                <w:sz w:val="22"/>
              </w:rPr>
            </w:pPr>
            <w:r w:rsidRPr="007E0AF4">
              <w:rPr>
                <w:rFonts w:eastAsia="Calibri"/>
                <w:b/>
                <w:color w:val="000000"/>
                <w:sz w:val="22"/>
              </w:rPr>
              <w:t>Орієнтовний обсяг та джерела фінансування тис. гривень</w:t>
            </w:r>
          </w:p>
        </w:tc>
        <w:tc>
          <w:tcPr>
            <w:tcW w:w="1275" w:type="dxa"/>
            <w:vMerge w:val="restart"/>
            <w:tcBorders>
              <w:top w:val="single" w:sz="4" w:space="0" w:color="auto"/>
              <w:left w:val="single" w:sz="4" w:space="0" w:color="auto"/>
              <w:bottom w:val="single" w:sz="4" w:space="0" w:color="auto"/>
              <w:right w:val="single" w:sz="4" w:space="0" w:color="auto"/>
            </w:tcBorders>
          </w:tcPr>
          <w:p w:rsidR="00DC01CA" w:rsidRPr="007E0AF4" w:rsidRDefault="00DC01CA" w:rsidP="001013F3">
            <w:pPr>
              <w:autoSpaceDE w:val="0"/>
              <w:autoSpaceDN w:val="0"/>
              <w:adjustRightInd w:val="0"/>
              <w:jc w:val="center"/>
              <w:rPr>
                <w:rFonts w:eastAsia="Calibri"/>
                <w:color w:val="000000"/>
                <w:sz w:val="22"/>
              </w:rPr>
            </w:pPr>
            <w:r w:rsidRPr="007E0AF4">
              <w:rPr>
                <w:rFonts w:eastAsia="Calibri"/>
                <w:color w:val="000000"/>
                <w:sz w:val="22"/>
              </w:rPr>
              <w:t>Державний бюджет</w:t>
            </w:r>
          </w:p>
        </w:tc>
        <w:tc>
          <w:tcPr>
            <w:tcW w:w="1134" w:type="dxa"/>
            <w:vMerge w:val="restart"/>
            <w:tcBorders>
              <w:top w:val="single" w:sz="4" w:space="0" w:color="auto"/>
              <w:left w:val="single" w:sz="4" w:space="0" w:color="auto"/>
              <w:bottom w:val="single" w:sz="4" w:space="0" w:color="auto"/>
              <w:right w:val="single" w:sz="4" w:space="0" w:color="auto"/>
            </w:tcBorders>
          </w:tcPr>
          <w:p w:rsidR="00DC01CA" w:rsidRPr="007E0AF4" w:rsidRDefault="00DC01CA" w:rsidP="001013F3">
            <w:pPr>
              <w:autoSpaceDE w:val="0"/>
              <w:autoSpaceDN w:val="0"/>
              <w:adjustRightInd w:val="0"/>
              <w:jc w:val="center"/>
              <w:rPr>
                <w:rFonts w:eastAsia="Calibri"/>
                <w:color w:val="000000"/>
                <w:sz w:val="22"/>
              </w:rPr>
            </w:pPr>
            <w:r w:rsidRPr="007E0AF4">
              <w:rPr>
                <w:rFonts w:eastAsia="Calibri"/>
                <w:color w:val="000000"/>
                <w:sz w:val="22"/>
              </w:rPr>
              <w:t>Місцевий бюджет</w:t>
            </w:r>
          </w:p>
        </w:tc>
        <w:tc>
          <w:tcPr>
            <w:tcW w:w="3261" w:type="dxa"/>
            <w:gridSpan w:val="3"/>
            <w:tcBorders>
              <w:top w:val="single" w:sz="4" w:space="0" w:color="auto"/>
              <w:left w:val="single" w:sz="4" w:space="0" w:color="auto"/>
              <w:bottom w:val="single" w:sz="4" w:space="0" w:color="auto"/>
              <w:right w:val="single" w:sz="4" w:space="0" w:color="auto"/>
            </w:tcBorders>
          </w:tcPr>
          <w:p w:rsidR="00DC01CA" w:rsidRPr="007E0AF4" w:rsidRDefault="00DC01CA" w:rsidP="001013F3">
            <w:pPr>
              <w:autoSpaceDE w:val="0"/>
              <w:autoSpaceDN w:val="0"/>
              <w:adjustRightInd w:val="0"/>
              <w:jc w:val="center"/>
              <w:rPr>
                <w:rFonts w:eastAsia="Calibri"/>
                <w:color w:val="000000"/>
                <w:sz w:val="22"/>
              </w:rPr>
            </w:pPr>
            <w:r w:rsidRPr="007E0AF4">
              <w:rPr>
                <w:rFonts w:eastAsia="Calibri"/>
                <w:color w:val="000000"/>
                <w:sz w:val="22"/>
              </w:rPr>
              <w:t>Інші джерела</w:t>
            </w:r>
          </w:p>
        </w:tc>
        <w:tc>
          <w:tcPr>
            <w:tcW w:w="1275" w:type="dxa"/>
            <w:gridSpan w:val="2"/>
            <w:tcBorders>
              <w:top w:val="single" w:sz="4" w:space="0" w:color="auto"/>
              <w:left w:val="single" w:sz="4" w:space="0" w:color="auto"/>
              <w:bottom w:val="single" w:sz="4" w:space="0" w:color="auto"/>
              <w:right w:val="single" w:sz="4" w:space="0" w:color="auto"/>
            </w:tcBorders>
          </w:tcPr>
          <w:p w:rsidR="00DC01CA" w:rsidRPr="007E0AF4" w:rsidRDefault="00DC01CA" w:rsidP="001013F3">
            <w:pPr>
              <w:autoSpaceDE w:val="0"/>
              <w:autoSpaceDN w:val="0"/>
              <w:adjustRightInd w:val="0"/>
              <w:jc w:val="center"/>
              <w:rPr>
                <w:rFonts w:eastAsia="Calibri"/>
                <w:color w:val="000000"/>
                <w:sz w:val="22"/>
              </w:rPr>
            </w:pPr>
            <w:r w:rsidRPr="007E0AF4">
              <w:rPr>
                <w:rFonts w:eastAsia="Calibri"/>
                <w:color w:val="000000"/>
                <w:sz w:val="22"/>
              </w:rPr>
              <w:t>Всього</w:t>
            </w:r>
          </w:p>
        </w:tc>
      </w:tr>
      <w:tr w:rsidR="00DC01CA" w:rsidRPr="007E0AF4" w:rsidTr="00DC01CA">
        <w:trPr>
          <w:trHeight w:val="350"/>
        </w:trPr>
        <w:tc>
          <w:tcPr>
            <w:tcW w:w="1448" w:type="dxa"/>
            <w:vMerge/>
            <w:tcBorders>
              <w:top w:val="nil"/>
              <w:left w:val="nil"/>
              <w:right w:val="nil"/>
            </w:tcBorders>
          </w:tcPr>
          <w:p w:rsidR="00DC01CA" w:rsidRPr="007E0AF4" w:rsidRDefault="00DC01CA" w:rsidP="001013F3">
            <w:pPr>
              <w:autoSpaceDE w:val="0"/>
              <w:autoSpaceDN w:val="0"/>
              <w:adjustRightInd w:val="0"/>
              <w:jc w:val="right"/>
              <w:rPr>
                <w:rFonts w:eastAsia="Calibri"/>
                <w:color w:val="000000"/>
                <w:sz w:val="22"/>
              </w:rPr>
            </w:pPr>
          </w:p>
        </w:tc>
        <w:tc>
          <w:tcPr>
            <w:tcW w:w="2977" w:type="dxa"/>
            <w:vMerge/>
            <w:tcBorders>
              <w:top w:val="single" w:sz="6" w:space="0" w:color="auto"/>
              <w:left w:val="single" w:sz="6" w:space="0" w:color="auto"/>
              <w:right w:val="single" w:sz="4" w:space="0" w:color="auto"/>
            </w:tcBorders>
            <w:shd w:val="clear" w:color="00FFFF" w:fill="C6D9F1" w:themeFill="text2" w:themeFillTint="33"/>
          </w:tcPr>
          <w:p w:rsidR="00DC01CA" w:rsidRPr="007E0AF4" w:rsidRDefault="00DC01CA" w:rsidP="001013F3">
            <w:pPr>
              <w:autoSpaceDE w:val="0"/>
              <w:autoSpaceDN w:val="0"/>
              <w:adjustRightInd w:val="0"/>
              <w:rPr>
                <w:rFonts w:eastAsia="Calibri"/>
                <w:b/>
                <w:color w:val="000000"/>
                <w:sz w:val="22"/>
              </w:rPr>
            </w:pPr>
          </w:p>
        </w:tc>
        <w:tc>
          <w:tcPr>
            <w:tcW w:w="1275" w:type="dxa"/>
            <w:vMerge/>
            <w:tcBorders>
              <w:top w:val="single" w:sz="4" w:space="0" w:color="auto"/>
              <w:left w:val="single" w:sz="4" w:space="0" w:color="auto"/>
              <w:bottom w:val="single" w:sz="4" w:space="0" w:color="auto"/>
              <w:right w:val="single" w:sz="4" w:space="0" w:color="auto"/>
            </w:tcBorders>
          </w:tcPr>
          <w:p w:rsidR="00DC01CA" w:rsidRPr="007E0AF4" w:rsidRDefault="00DC01CA" w:rsidP="001013F3">
            <w:pPr>
              <w:autoSpaceDE w:val="0"/>
              <w:autoSpaceDN w:val="0"/>
              <w:adjustRightInd w:val="0"/>
              <w:jc w:val="center"/>
              <w:rPr>
                <w:rFonts w:eastAsia="Calibri"/>
                <w:color w:val="000000"/>
                <w:sz w:val="22"/>
              </w:rPr>
            </w:pPr>
          </w:p>
        </w:tc>
        <w:tc>
          <w:tcPr>
            <w:tcW w:w="1134" w:type="dxa"/>
            <w:vMerge/>
            <w:tcBorders>
              <w:top w:val="single" w:sz="4" w:space="0" w:color="auto"/>
              <w:left w:val="single" w:sz="4" w:space="0" w:color="auto"/>
              <w:bottom w:val="single" w:sz="4" w:space="0" w:color="auto"/>
              <w:right w:val="single" w:sz="4" w:space="0" w:color="auto"/>
            </w:tcBorders>
          </w:tcPr>
          <w:p w:rsidR="00DC01CA" w:rsidRPr="007E0AF4" w:rsidRDefault="00DC01CA" w:rsidP="001013F3">
            <w:pPr>
              <w:autoSpaceDE w:val="0"/>
              <w:autoSpaceDN w:val="0"/>
              <w:adjustRightInd w:val="0"/>
              <w:jc w:val="center"/>
              <w:rPr>
                <w:rFonts w:eastAsia="Calibri"/>
                <w:color w:val="000000"/>
                <w:sz w:val="22"/>
              </w:rPr>
            </w:pPr>
          </w:p>
        </w:tc>
        <w:tc>
          <w:tcPr>
            <w:tcW w:w="1134" w:type="dxa"/>
            <w:tcBorders>
              <w:top w:val="single" w:sz="4" w:space="0" w:color="auto"/>
              <w:left w:val="single" w:sz="4" w:space="0" w:color="auto"/>
              <w:bottom w:val="single" w:sz="4" w:space="0" w:color="auto"/>
              <w:right w:val="single" w:sz="4" w:space="0" w:color="auto"/>
            </w:tcBorders>
          </w:tcPr>
          <w:p w:rsidR="00DC01CA" w:rsidRPr="007E0AF4" w:rsidRDefault="00DC01CA" w:rsidP="001013F3">
            <w:pPr>
              <w:autoSpaceDE w:val="0"/>
              <w:autoSpaceDN w:val="0"/>
              <w:adjustRightInd w:val="0"/>
              <w:jc w:val="center"/>
              <w:rPr>
                <w:rFonts w:eastAsia="Calibri"/>
                <w:color w:val="000000"/>
                <w:sz w:val="22"/>
              </w:rPr>
            </w:pPr>
            <w:r w:rsidRPr="007E0AF4">
              <w:rPr>
                <w:rFonts w:eastAsia="Calibri"/>
                <w:color w:val="000000"/>
                <w:sz w:val="22"/>
              </w:rPr>
              <w:t>Обсяг</w:t>
            </w:r>
          </w:p>
        </w:tc>
        <w:tc>
          <w:tcPr>
            <w:tcW w:w="2127" w:type="dxa"/>
            <w:gridSpan w:val="2"/>
            <w:tcBorders>
              <w:top w:val="single" w:sz="4" w:space="0" w:color="auto"/>
              <w:left w:val="single" w:sz="4" w:space="0" w:color="auto"/>
              <w:bottom w:val="single" w:sz="4" w:space="0" w:color="auto"/>
              <w:right w:val="single" w:sz="4" w:space="0" w:color="auto"/>
            </w:tcBorders>
          </w:tcPr>
          <w:p w:rsidR="00DC01CA" w:rsidRPr="007E0AF4" w:rsidRDefault="00DC01CA" w:rsidP="001013F3">
            <w:pPr>
              <w:autoSpaceDE w:val="0"/>
              <w:autoSpaceDN w:val="0"/>
              <w:adjustRightInd w:val="0"/>
              <w:jc w:val="center"/>
              <w:rPr>
                <w:rFonts w:eastAsia="Calibri"/>
                <w:color w:val="000000"/>
                <w:sz w:val="22"/>
              </w:rPr>
            </w:pPr>
            <w:r w:rsidRPr="007E0AF4">
              <w:rPr>
                <w:rFonts w:eastAsia="Calibri"/>
                <w:color w:val="000000"/>
                <w:sz w:val="22"/>
              </w:rPr>
              <w:t>Назва джерела</w:t>
            </w:r>
          </w:p>
        </w:tc>
        <w:tc>
          <w:tcPr>
            <w:tcW w:w="1275" w:type="dxa"/>
            <w:gridSpan w:val="2"/>
            <w:tcBorders>
              <w:top w:val="single" w:sz="4" w:space="0" w:color="auto"/>
              <w:left w:val="single" w:sz="4" w:space="0" w:color="auto"/>
              <w:bottom w:val="single" w:sz="4" w:space="0" w:color="auto"/>
              <w:right w:val="single" w:sz="4" w:space="0" w:color="auto"/>
            </w:tcBorders>
          </w:tcPr>
          <w:p w:rsidR="00DC01CA" w:rsidRPr="007E0AF4" w:rsidRDefault="00DC01CA" w:rsidP="001013F3">
            <w:pPr>
              <w:autoSpaceDE w:val="0"/>
              <w:autoSpaceDN w:val="0"/>
              <w:adjustRightInd w:val="0"/>
              <w:rPr>
                <w:rFonts w:eastAsia="Calibri"/>
                <w:color w:val="000000"/>
                <w:sz w:val="22"/>
              </w:rPr>
            </w:pPr>
          </w:p>
          <w:p w:rsidR="00DC01CA" w:rsidRPr="007E0AF4" w:rsidRDefault="00DC01CA" w:rsidP="001013F3">
            <w:pPr>
              <w:autoSpaceDE w:val="0"/>
              <w:autoSpaceDN w:val="0"/>
              <w:adjustRightInd w:val="0"/>
              <w:rPr>
                <w:rFonts w:eastAsia="Calibri"/>
                <w:color w:val="000000"/>
                <w:sz w:val="22"/>
              </w:rPr>
            </w:pPr>
          </w:p>
        </w:tc>
      </w:tr>
      <w:tr w:rsidR="00DC01CA" w:rsidRPr="007E0AF4" w:rsidTr="00DC01CA">
        <w:trPr>
          <w:trHeight w:val="921"/>
        </w:trPr>
        <w:tc>
          <w:tcPr>
            <w:tcW w:w="1448" w:type="dxa"/>
            <w:vMerge/>
            <w:tcBorders>
              <w:left w:val="nil"/>
              <w:bottom w:val="nil"/>
              <w:right w:val="nil"/>
            </w:tcBorders>
          </w:tcPr>
          <w:p w:rsidR="00DC01CA" w:rsidRPr="007E0AF4" w:rsidRDefault="00DC01CA" w:rsidP="001013F3">
            <w:pPr>
              <w:autoSpaceDE w:val="0"/>
              <w:autoSpaceDN w:val="0"/>
              <w:adjustRightInd w:val="0"/>
              <w:jc w:val="right"/>
              <w:rPr>
                <w:rFonts w:eastAsia="Calibri"/>
                <w:color w:val="000000"/>
                <w:sz w:val="22"/>
              </w:rPr>
            </w:pPr>
          </w:p>
        </w:tc>
        <w:tc>
          <w:tcPr>
            <w:tcW w:w="2977" w:type="dxa"/>
            <w:vMerge/>
            <w:tcBorders>
              <w:left w:val="single" w:sz="6" w:space="0" w:color="auto"/>
              <w:bottom w:val="single" w:sz="6" w:space="0" w:color="auto"/>
              <w:right w:val="single" w:sz="4" w:space="0" w:color="auto"/>
            </w:tcBorders>
            <w:shd w:val="clear" w:color="00FFFF" w:fill="C6D9F1" w:themeFill="text2" w:themeFillTint="33"/>
          </w:tcPr>
          <w:p w:rsidR="00DC01CA" w:rsidRPr="007E0AF4" w:rsidRDefault="00DC01CA" w:rsidP="001013F3">
            <w:pPr>
              <w:autoSpaceDE w:val="0"/>
              <w:autoSpaceDN w:val="0"/>
              <w:adjustRightInd w:val="0"/>
              <w:rPr>
                <w:rFonts w:eastAsia="Calibri"/>
                <w:b/>
                <w:color w:val="000000"/>
                <w:sz w:val="22"/>
              </w:rPr>
            </w:pPr>
          </w:p>
        </w:tc>
        <w:tc>
          <w:tcPr>
            <w:tcW w:w="1275" w:type="dxa"/>
            <w:tcBorders>
              <w:top w:val="single" w:sz="4" w:space="0" w:color="auto"/>
              <w:left w:val="single" w:sz="4" w:space="0" w:color="auto"/>
              <w:bottom w:val="single" w:sz="4" w:space="0" w:color="auto"/>
              <w:right w:val="single" w:sz="4" w:space="0" w:color="auto"/>
            </w:tcBorders>
          </w:tcPr>
          <w:p w:rsidR="00DC01CA" w:rsidRPr="007E0AF4" w:rsidRDefault="00DC01CA" w:rsidP="001013F3">
            <w:pPr>
              <w:autoSpaceDE w:val="0"/>
              <w:autoSpaceDN w:val="0"/>
              <w:adjustRightInd w:val="0"/>
              <w:rPr>
                <w:rFonts w:eastAsia="Calibri"/>
                <w:color w:val="000000"/>
                <w:sz w:val="22"/>
              </w:rPr>
            </w:pPr>
            <w:r w:rsidRPr="007E0AF4">
              <w:rPr>
                <w:rFonts w:eastAsia="Calibri"/>
                <w:color w:val="000000"/>
                <w:sz w:val="22"/>
              </w:rPr>
              <w:t>10 000,0</w:t>
            </w:r>
          </w:p>
        </w:tc>
        <w:tc>
          <w:tcPr>
            <w:tcW w:w="1134" w:type="dxa"/>
            <w:tcBorders>
              <w:top w:val="single" w:sz="4" w:space="0" w:color="auto"/>
              <w:left w:val="single" w:sz="4" w:space="0" w:color="auto"/>
              <w:bottom w:val="single" w:sz="4" w:space="0" w:color="auto"/>
              <w:right w:val="single" w:sz="4" w:space="0" w:color="auto"/>
            </w:tcBorders>
          </w:tcPr>
          <w:p w:rsidR="00DC01CA" w:rsidRPr="007E0AF4" w:rsidRDefault="00DC01CA" w:rsidP="001013F3">
            <w:pPr>
              <w:autoSpaceDE w:val="0"/>
              <w:autoSpaceDN w:val="0"/>
              <w:adjustRightInd w:val="0"/>
              <w:rPr>
                <w:rFonts w:eastAsia="Calibri"/>
                <w:color w:val="000000"/>
                <w:sz w:val="22"/>
              </w:rPr>
            </w:pPr>
            <w:r w:rsidRPr="007E0AF4">
              <w:rPr>
                <w:rFonts w:eastAsia="Calibri"/>
                <w:color w:val="000000"/>
                <w:sz w:val="22"/>
              </w:rPr>
              <w:t xml:space="preserve">         -</w:t>
            </w:r>
          </w:p>
        </w:tc>
        <w:tc>
          <w:tcPr>
            <w:tcW w:w="1134" w:type="dxa"/>
            <w:tcBorders>
              <w:top w:val="single" w:sz="4" w:space="0" w:color="auto"/>
              <w:left w:val="single" w:sz="4" w:space="0" w:color="auto"/>
              <w:bottom w:val="single" w:sz="4" w:space="0" w:color="auto"/>
              <w:right w:val="single" w:sz="4" w:space="0" w:color="auto"/>
            </w:tcBorders>
          </w:tcPr>
          <w:p w:rsidR="00DC01CA" w:rsidRPr="007E0AF4" w:rsidRDefault="00DC01CA" w:rsidP="001013F3">
            <w:pPr>
              <w:autoSpaceDE w:val="0"/>
              <w:autoSpaceDN w:val="0"/>
              <w:adjustRightInd w:val="0"/>
              <w:rPr>
                <w:rFonts w:eastAsia="Calibri"/>
                <w:color w:val="000000"/>
                <w:sz w:val="22"/>
              </w:rPr>
            </w:pPr>
            <w:r w:rsidRPr="007E0AF4">
              <w:rPr>
                <w:rFonts w:eastAsia="Calibri"/>
                <w:color w:val="000000"/>
                <w:sz w:val="22"/>
              </w:rPr>
              <w:t>5 000,0</w:t>
            </w:r>
          </w:p>
        </w:tc>
        <w:tc>
          <w:tcPr>
            <w:tcW w:w="2127" w:type="dxa"/>
            <w:gridSpan w:val="2"/>
            <w:tcBorders>
              <w:top w:val="single" w:sz="4" w:space="0" w:color="auto"/>
              <w:left w:val="single" w:sz="4" w:space="0" w:color="auto"/>
              <w:bottom w:val="single" w:sz="4" w:space="0" w:color="auto"/>
              <w:right w:val="single" w:sz="4" w:space="0" w:color="auto"/>
            </w:tcBorders>
          </w:tcPr>
          <w:p w:rsidR="00DC01CA" w:rsidRPr="007E0AF4" w:rsidRDefault="00DC01CA" w:rsidP="001013F3">
            <w:pPr>
              <w:autoSpaceDE w:val="0"/>
              <w:autoSpaceDN w:val="0"/>
              <w:adjustRightInd w:val="0"/>
              <w:rPr>
                <w:rFonts w:eastAsia="Calibri"/>
                <w:color w:val="000000"/>
                <w:sz w:val="22"/>
              </w:rPr>
            </w:pPr>
            <w:r w:rsidRPr="007E0AF4">
              <w:rPr>
                <w:sz w:val="22"/>
              </w:rPr>
              <w:t>Міжнародні інвестиції, кошти приватних осіб</w:t>
            </w:r>
          </w:p>
        </w:tc>
        <w:tc>
          <w:tcPr>
            <w:tcW w:w="1275" w:type="dxa"/>
            <w:gridSpan w:val="2"/>
            <w:tcBorders>
              <w:top w:val="single" w:sz="4" w:space="0" w:color="auto"/>
              <w:left w:val="single" w:sz="4" w:space="0" w:color="auto"/>
              <w:bottom w:val="single" w:sz="4" w:space="0" w:color="auto"/>
              <w:right w:val="single" w:sz="4" w:space="0" w:color="auto"/>
            </w:tcBorders>
          </w:tcPr>
          <w:p w:rsidR="00DC01CA" w:rsidRPr="007E0AF4" w:rsidRDefault="00DC01CA" w:rsidP="001013F3">
            <w:pPr>
              <w:autoSpaceDE w:val="0"/>
              <w:autoSpaceDN w:val="0"/>
              <w:adjustRightInd w:val="0"/>
              <w:rPr>
                <w:rFonts w:eastAsia="Calibri"/>
                <w:color w:val="000000"/>
                <w:sz w:val="22"/>
              </w:rPr>
            </w:pPr>
            <w:r w:rsidRPr="007E0AF4">
              <w:rPr>
                <w:rFonts w:eastAsia="Calibri"/>
                <w:color w:val="000000"/>
                <w:sz w:val="22"/>
              </w:rPr>
              <w:t>15 000,0</w:t>
            </w:r>
          </w:p>
        </w:tc>
      </w:tr>
    </w:tbl>
    <w:p w:rsidR="001E6C97" w:rsidRPr="007E0AF4" w:rsidRDefault="001E6C97" w:rsidP="00E95FB1">
      <w:pPr>
        <w:rPr>
          <w:sz w:val="22"/>
        </w:rPr>
      </w:pPr>
    </w:p>
    <w:p w:rsidR="001E6C97" w:rsidRPr="007E0AF4" w:rsidRDefault="001E6C97" w:rsidP="00E95FB1">
      <w:pPr>
        <w:rPr>
          <w:sz w:val="22"/>
        </w:rPr>
      </w:pPr>
    </w:p>
    <w:tbl>
      <w:tblPr>
        <w:tblStyle w:val="af"/>
        <w:tblW w:w="0" w:type="auto"/>
        <w:tblInd w:w="-176" w:type="dxa"/>
        <w:tblLook w:val="04A0" w:firstRow="1" w:lastRow="0" w:firstColumn="1" w:lastColumn="0" w:noHBand="0" w:noVBand="1"/>
      </w:tblPr>
      <w:tblGrid>
        <w:gridCol w:w="2818"/>
        <w:gridCol w:w="1360"/>
        <w:gridCol w:w="1256"/>
        <w:gridCol w:w="1149"/>
        <w:gridCol w:w="15"/>
        <w:gridCol w:w="1672"/>
        <w:gridCol w:w="20"/>
        <w:gridCol w:w="1372"/>
      </w:tblGrid>
      <w:tr w:rsidR="0081670D" w:rsidRPr="007E0AF4" w:rsidTr="0081670D">
        <w:tc>
          <w:tcPr>
            <w:tcW w:w="2978" w:type="dxa"/>
            <w:shd w:val="clear" w:color="auto" w:fill="C6D9F1" w:themeFill="text2" w:themeFillTint="33"/>
          </w:tcPr>
          <w:p w:rsidR="0081670D" w:rsidRPr="007E0AF4" w:rsidRDefault="0081670D" w:rsidP="001013F3">
            <w:pPr>
              <w:pStyle w:val="a7"/>
              <w:ind w:left="0"/>
              <w:rPr>
                <w:b/>
                <w:sz w:val="22"/>
              </w:rPr>
            </w:pPr>
            <w:r w:rsidRPr="007E0AF4">
              <w:rPr>
                <w:b/>
                <w:sz w:val="22"/>
              </w:rPr>
              <w:t xml:space="preserve">Оперативна </w:t>
            </w:r>
            <w:proofErr w:type="spellStart"/>
            <w:r w:rsidRPr="007E0AF4">
              <w:rPr>
                <w:b/>
                <w:sz w:val="22"/>
              </w:rPr>
              <w:t>ціль</w:t>
            </w:r>
            <w:proofErr w:type="spellEnd"/>
            <w:r w:rsidRPr="007E0AF4">
              <w:rPr>
                <w:b/>
                <w:sz w:val="22"/>
              </w:rPr>
              <w:t>/</w:t>
            </w:r>
            <w:proofErr w:type="spellStart"/>
            <w:r w:rsidRPr="007E0AF4">
              <w:rPr>
                <w:b/>
                <w:sz w:val="22"/>
              </w:rPr>
              <w:t>завдання</w:t>
            </w:r>
            <w:proofErr w:type="spellEnd"/>
          </w:p>
        </w:tc>
        <w:tc>
          <w:tcPr>
            <w:tcW w:w="6910" w:type="dxa"/>
            <w:gridSpan w:val="7"/>
            <w:shd w:val="clear" w:color="auto" w:fill="auto"/>
          </w:tcPr>
          <w:p w:rsidR="0081670D" w:rsidRPr="007E0AF4" w:rsidRDefault="0081670D" w:rsidP="001013F3">
            <w:pPr>
              <w:pStyle w:val="a7"/>
              <w:ind w:left="0"/>
              <w:rPr>
                <w:sz w:val="22"/>
              </w:rPr>
            </w:pPr>
            <w:proofErr w:type="spellStart"/>
            <w:r w:rsidRPr="007E0AF4">
              <w:rPr>
                <w:rFonts w:eastAsia="Arial"/>
                <w:sz w:val="22"/>
              </w:rPr>
              <w:t>Людський</w:t>
            </w:r>
            <w:proofErr w:type="spellEnd"/>
            <w:r w:rsidRPr="007E0AF4">
              <w:rPr>
                <w:rFonts w:eastAsia="Arial"/>
                <w:sz w:val="22"/>
              </w:rPr>
              <w:t xml:space="preserve"> </w:t>
            </w:r>
            <w:proofErr w:type="spellStart"/>
            <w:r w:rsidRPr="007E0AF4">
              <w:rPr>
                <w:rFonts w:eastAsia="Arial"/>
                <w:sz w:val="22"/>
              </w:rPr>
              <w:t>розвиток</w:t>
            </w:r>
            <w:proofErr w:type="spellEnd"/>
            <w:r w:rsidRPr="007E0AF4">
              <w:rPr>
                <w:rFonts w:eastAsia="Arial"/>
                <w:sz w:val="22"/>
              </w:rPr>
              <w:t xml:space="preserve"> через </w:t>
            </w:r>
            <w:proofErr w:type="spellStart"/>
            <w:r w:rsidRPr="007E0AF4">
              <w:rPr>
                <w:rFonts w:eastAsia="Arial"/>
                <w:sz w:val="22"/>
              </w:rPr>
              <w:t>інновації</w:t>
            </w:r>
            <w:proofErr w:type="spellEnd"/>
            <w:r w:rsidRPr="007E0AF4">
              <w:rPr>
                <w:rFonts w:eastAsia="Arial"/>
                <w:sz w:val="22"/>
              </w:rPr>
              <w:t xml:space="preserve"> </w:t>
            </w:r>
            <w:proofErr w:type="spellStart"/>
            <w:r w:rsidRPr="007E0AF4">
              <w:rPr>
                <w:rFonts w:eastAsia="Arial"/>
                <w:sz w:val="22"/>
              </w:rPr>
              <w:t>управління</w:t>
            </w:r>
            <w:proofErr w:type="spellEnd"/>
            <w:r w:rsidRPr="007E0AF4">
              <w:rPr>
                <w:rFonts w:eastAsia="Arial"/>
                <w:sz w:val="22"/>
              </w:rPr>
              <w:t xml:space="preserve"> та </w:t>
            </w:r>
            <w:proofErr w:type="spellStart"/>
            <w:r w:rsidRPr="007E0AF4">
              <w:rPr>
                <w:rFonts w:eastAsia="Arial"/>
                <w:sz w:val="22"/>
              </w:rPr>
              <w:t>довіру</w:t>
            </w:r>
            <w:proofErr w:type="spellEnd"/>
            <w:r w:rsidRPr="007E0AF4">
              <w:rPr>
                <w:rFonts w:eastAsia="Arial"/>
                <w:sz w:val="22"/>
              </w:rPr>
              <w:t xml:space="preserve"> до </w:t>
            </w:r>
            <w:proofErr w:type="spellStart"/>
            <w:r w:rsidRPr="007E0AF4">
              <w:rPr>
                <w:rFonts w:eastAsia="Arial"/>
                <w:sz w:val="22"/>
              </w:rPr>
              <w:t>влади</w:t>
            </w:r>
            <w:proofErr w:type="spellEnd"/>
            <w:r w:rsidRPr="007E0AF4">
              <w:rPr>
                <w:rFonts w:eastAsia="Arial"/>
                <w:sz w:val="22"/>
              </w:rPr>
              <w:t xml:space="preserve">. </w:t>
            </w:r>
            <w:proofErr w:type="spellStart"/>
            <w:r w:rsidRPr="007E0AF4">
              <w:rPr>
                <w:rFonts w:eastAsia="Arial"/>
                <w:sz w:val="22"/>
              </w:rPr>
              <w:t>Формування</w:t>
            </w:r>
            <w:proofErr w:type="spellEnd"/>
            <w:r w:rsidRPr="007E0AF4">
              <w:rPr>
                <w:rFonts w:eastAsia="Arial"/>
                <w:sz w:val="22"/>
              </w:rPr>
              <w:t xml:space="preserve"> </w:t>
            </w:r>
            <w:proofErr w:type="spellStart"/>
            <w:r w:rsidRPr="007E0AF4">
              <w:rPr>
                <w:rFonts w:eastAsia="Arial"/>
                <w:sz w:val="22"/>
              </w:rPr>
              <w:t>сучасного</w:t>
            </w:r>
            <w:proofErr w:type="spellEnd"/>
            <w:r w:rsidRPr="007E0AF4">
              <w:rPr>
                <w:rFonts w:eastAsia="Arial"/>
                <w:sz w:val="22"/>
              </w:rPr>
              <w:t xml:space="preserve"> </w:t>
            </w:r>
            <w:proofErr w:type="spellStart"/>
            <w:proofErr w:type="gramStart"/>
            <w:r w:rsidRPr="007E0AF4">
              <w:rPr>
                <w:rFonts w:eastAsia="Arial"/>
                <w:sz w:val="22"/>
              </w:rPr>
              <w:t>інклюзивного</w:t>
            </w:r>
            <w:proofErr w:type="spellEnd"/>
            <w:r w:rsidRPr="007E0AF4">
              <w:rPr>
                <w:rFonts w:eastAsia="Arial"/>
                <w:sz w:val="22"/>
              </w:rPr>
              <w:t xml:space="preserve">  </w:t>
            </w:r>
            <w:proofErr w:type="spellStart"/>
            <w:r w:rsidRPr="007E0AF4">
              <w:rPr>
                <w:rFonts w:eastAsia="Arial"/>
                <w:sz w:val="22"/>
              </w:rPr>
              <w:t>освітньо</w:t>
            </w:r>
            <w:proofErr w:type="spellEnd"/>
            <w:proofErr w:type="gramEnd"/>
            <w:r w:rsidRPr="007E0AF4">
              <w:rPr>
                <w:rFonts w:eastAsia="Arial"/>
                <w:sz w:val="22"/>
              </w:rPr>
              <w:t xml:space="preserve">-культурного та спортивного простору для </w:t>
            </w:r>
            <w:proofErr w:type="spellStart"/>
            <w:r w:rsidRPr="007E0AF4">
              <w:rPr>
                <w:rFonts w:eastAsia="Arial"/>
                <w:sz w:val="22"/>
              </w:rPr>
              <w:t>розвитку</w:t>
            </w:r>
            <w:proofErr w:type="spellEnd"/>
            <w:r w:rsidRPr="007E0AF4">
              <w:rPr>
                <w:rFonts w:eastAsia="Arial"/>
                <w:sz w:val="22"/>
              </w:rPr>
              <w:t xml:space="preserve">. </w:t>
            </w:r>
            <w:proofErr w:type="spellStart"/>
            <w:r w:rsidRPr="007E0AF4">
              <w:rPr>
                <w:rFonts w:eastAsia="Arial"/>
                <w:sz w:val="22"/>
              </w:rPr>
              <w:t>Реалізація</w:t>
            </w:r>
            <w:proofErr w:type="spellEnd"/>
            <w:r w:rsidRPr="007E0AF4">
              <w:rPr>
                <w:rFonts w:eastAsia="Arial"/>
                <w:sz w:val="22"/>
              </w:rPr>
              <w:t xml:space="preserve"> </w:t>
            </w:r>
            <w:proofErr w:type="spellStart"/>
            <w:r w:rsidRPr="007E0AF4">
              <w:rPr>
                <w:rFonts w:eastAsia="Arial"/>
                <w:sz w:val="22"/>
              </w:rPr>
              <w:t>державної</w:t>
            </w:r>
            <w:proofErr w:type="spellEnd"/>
            <w:r w:rsidRPr="007E0AF4">
              <w:rPr>
                <w:rFonts w:eastAsia="Arial"/>
                <w:sz w:val="22"/>
              </w:rPr>
              <w:t xml:space="preserve"> </w:t>
            </w:r>
            <w:proofErr w:type="spellStart"/>
            <w:r w:rsidRPr="007E0AF4">
              <w:rPr>
                <w:rFonts w:eastAsia="Arial"/>
                <w:sz w:val="22"/>
              </w:rPr>
              <w:t>програми</w:t>
            </w:r>
            <w:proofErr w:type="spellEnd"/>
            <w:r w:rsidRPr="007E0AF4">
              <w:rPr>
                <w:rFonts w:eastAsia="Arial"/>
                <w:sz w:val="22"/>
              </w:rPr>
              <w:t xml:space="preserve"> </w:t>
            </w:r>
            <w:proofErr w:type="spellStart"/>
            <w:r w:rsidRPr="007E0AF4">
              <w:rPr>
                <w:rFonts w:eastAsia="Arial"/>
                <w:sz w:val="22"/>
              </w:rPr>
              <w:t>Стратегії</w:t>
            </w:r>
            <w:proofErr w:type="spellEnd"/>
            <w:r w:rsidRPr="007E0AF4">
              <w:rPr>
                <w:rFonts w:eastAsia="Arial"/>
                <w:sz w:val="22"/>
              </w:rPr>
              <w:t xml:space="preserve"> </w:t>
            </w:r>
            <w:proofErr w:type="spellStart"/>
            <w:r w:rsidRPr="007E0AF4">
              <w:rPr>
                <w:rFonts w:eastAsia="Arial"/>
                <w:sz w:val="22"/>
              </w:rPr>
              <w:t>енергозбереження</w:t>
            </w:r>
            <w:proofErr w:type="spellEnd"/>
          </w:p>
        </w:tc>
      </w:tr>
      <w:tr w:rsidR="0081670D" w:rsidRPr="007E0AF4" w:rsidTr="0081670D">
        <w:tc>
          <w:tcPr>
            <w:tcW w:w="2978" w:type="dxa"/>
            <w:shd w:val="clear" w:color="auto" w:fill="C6D9F1" w:themeFill="text2" w:themeFillTint="33"/>
          </w:tcPr>
          <w:p w:rsidR="0081670D" w:rsidRPr="007E0AF4" w:rsidRDefault="0081670D" w:rsidP="001013F3">
            <w:pPr>
              <w:pStyle w:val="a7"/>
              <w:ind w:left="0"/>
              <w:rPr>
                <w:b/>
                <w:sz w:val="22"/>
              </w:rPr>
            </w:pPr>
            <w:proofErr w:type="spellStart"/>
            <w:r w:rsidRPr="007E0AF4">
              <w:rPr>
                <w:b/>
                <w:sz w:val="22"/>
              </w:rPr>
              <w:t>Назва</w:t>
            </w:r>
            <w:proofErr w:type="spellEnd"/>
            <w:r w:rsidRPr="007E0AF4">
              <w:rPr>
                <w:b/>
                <w:sz w:val="22"/>
              </w:rPr>
              <w:t xml:space="preserve"> проекту:</w:t>
            </w:r>
          </w:p>
        </w:tc>
        <w:tc>
          <w:tcPr>
            <w:tcW w:w="6910" w:type="dxa"/>
            <w:gridSpan w:val="7"/>
          </w:tcPr>
          <w:p w:rsidR="0081670D" w:rsidRPr="007E0AF4" w:rsidRDefault="0081670D" w:rsidP="001013F3">
            <w:pPr>
              <w:pStyle w:val="a7"/>
              <w:ind w:left="0"/>
              <w:rPr>
                <w:sz w:val="22"/>
              </w:rPr>
            </w:pPr>
            <w:proofErr w:type="spellStart"/>
            <w:r w:rsidRPr="007E0AF4">
              <w:rPr>
                <w:sz w:val="22"/>
              </w:rPr>
              <w:t>Будівництво</w:t>
            </w:r>
            <w:proofErr w:type="spellEnd"/>
            <w:r w:rsidRPr="007E0AF4">
              <w:rPr>
                <w:sz w:val="22"/>
              </w:rPr>
              <w:t xml:space="preserve"> </w:t>
            </w:r>
            <w:proofErr w:type="spellStart"/>
            <w:r w:rsidRPr="007E0AF4">
              <w:rPr>
                <w:sz w:val="22"/>
              </w:rPr>
              <w:t>універсального</w:t>
            </w:r>
            <w:proofErr w:type="spellEnd"/>
            <w:r w:rsidRPr="007E0AF4">
              <w:rPr>
                <w:sz w:val="22"/>
              </w:rPr>
              <w:t xml:space="preserve"> спортивного комплексу на </w:t>
            </w:r>
            <w:proofErr w:type="spellStart"/>
            <w:r w:rsidRPr="007E0AF4">
              <w:rPr>
                <w:sz w:val="22"/>
              </w:rPr>
              <w:t>території</w:t>
            </w:r>
            <w:proofErr w:type="spellEnd"/>
            <w:r w:rsidRPr="007E0AF4">
              <w:rPr>
                <w:sz w:val="22"/>
              </w:rPr>
              <w:t xml:space="preserve"> </w:t>
            </w:r>
            <w:proofErr w:type="spellStart"/>
            <w:r w:rsidRPr="007E0AF4">
              <w:rPr>
                <w:sz w:val="22"/>
              </w:rPr>
              <w:t>Ліцею</w:t>
            </w:r>
            <w:proofErr w:type="spellEnd"/>
            <w:r w:rsidRPr="007E0AF4">
              <w:rPr>
                <w:sz w:val="22"/>
              </w:rPr>
              <w:t xml:space="preserve"> "</w:t>
            </w:r>
            <w:proofErr w:type="spellStart"/>
            <w:r w:rsidRPr="007E0AF4">
              <w:rPr>
                <w:sz w:val="22"/>
              </w:rPr>
              <w:t>Інітіум</w:t>
            </w:r>
            <w:proofErr w:type="spellEnd"/>
            <w:r w:rsidRPr="007E0AF4">
              <w:rPr>
                <w:sz w:val="22"/>
              </w:rPr>
              <w:t xml:space="preserve">" </w:t>
            </w:r>
            <w:proofErr w:type="spellStart"/>
            <w:r w:rsidRPr="007E0AF4">
              <w:rPr>
                <w:sz w:val="22"/>
              </w:rPr>
              <w:t>міста</w:t>
            </w:r>
            <w:proofErr w:type="spellEnd"/>
            <w:r w:rsidRPr="007E0AF4">
              <w:rPr>
                <w:sz w:val="22"/>
              </w:rPr>
              <w:t xml:space="preserve"> </w:t>
            </w:r>
            <w:proofErr w:type="spellStart"/>
            <w:r w:rsidRPr="007E0AF4">
              <w:rPr>
                <w:sz w:val="22"/>
              </w:rPr>
              <w:t>Сєвєродонецька</w:t>
            </w:r>
            <w:proofErr w:type="spellEnd"/>
            <w:r w:rsidRPr="007E0AF4">
              <w:rPr>
                <w:sz w:val="22"/>
              </w:rPr>
              <w:t xml:space="preserve"> </w:t>
            </w:r>
            <w:proofErr w:type="spellStart"/>
            <w:r w:rsidRPr="007E0AF4">
              <w:rPr>
                <w:sz w:val="22"/>
              </w:rPr>
              <w:t>Луганської</w:t>
            </w:r>
            <w:proofErr w:type="spellEnd"/>
            <w:r w:rsidRPr="007E0AF4">
              <w:rPr>
                <w:sz w:val="22"/>
              </w:rPr>
              <w:t xml:space="preserve"> </w:t>
            </w:r>
            <w:proofErr w:type="spellStart"/>
            <w:r w:rsidRPr="007E0AF4">
              <w:rPr>
                <w:sz w:val="22"/>
              </w:rPr>
              <w:t>області</w:t>
            </w:r>
            <w:proofErr w:type="spellEnd"/>
            <w:r w:rsidRPr="007E0AF4">
              <w:rPr>
                <w:sz w:val="22"/>
              </w:rPr>
              <w:t xml:space="preserve">, пр-т </w:t>
            </w:r>
            <w:proofErr w:type="spellStart"/>
            <w:r w:rsidRPr="007E0AF4">
              <w:rPr>
                <w:sz w:val="22"/>
              </w:rPr>
              <w:t>Хіміків</w:t>
            </w:r>
            <w:proofErr w:type="spellEnd"/>
            <w:r w:rsidRPr="007E0AF4">
              <w:rPr>
                <w:sz w:val="22"/>
              </w:rPr>
              <w:t>, буд. 7</w:t>
            </w:r>
          </w:p>
        </w:tc>
      </w:tr>
      <w:tr w:rsidR="0081670D" w:rsidRPr="007E0AF4" w:rsidTr="0081670D">
        <w:tc>
          <w:tcPr>
            <w:tcW w:w="2978" w:type="dxa"/>
            <w:shd w:val="clear" w:color="auto" w:fill="C6D9F1" w:themeFill="text2" w:themeFillTint="33"/>
          </w:tcPr>
          <w:p w:rsidR="0081670D" w:rsidRPr="007E0AF4" w:rsidRDefault="0081670D" w:rsidP="001013F3">
            <w:pPr>
              <w:rPr>
                <w:b/>
                <w:sz w:val="22"/>
              </w:rPr>
            </w:pPr>
            <w:proofErr w:type="spellStart"/>
            <w:r w:rsidRPr="007E0AF4">
              <w:rPr>
                <w:b/>
                <w:sz w:val="22"/>
              </w:rPr>
              <w:t>Ціль</w:t>
            </w:r>
            <w:proofErr w:type="spellEnd"/>
            <w:r w:rsidRPr="007E0AF4">
              <w:rPr>
                <w:b/>
                <w:sz w:val="22"/>
              </w:rPr>
              <w:t xml:space="preserve"> проекту</w:t>
            </w:r>
          </w:p>
        </w:tc>
        <w:tc>
          <w:tcPr>
            <w:tcW w:w="6910" w:type="dxa"/>
            <w:gridSpan w:val="7"/>
          </w:tcPr>
          <w:p w:rsidR="0081670D" w:rsidRPr="007E0AF4" w:rsidRDefault="0081670D" w:rsidP="00F96778">
            <w:pPr>
              <w:pStyle w:val="a7"/>
              <w:ind w:left="0"/>
              <w:rPr>
                <w:sz w:val="22"/>
              </w:rPr>
            </w:pPr>
            <w:proofErr w:type="spellStart"/>
            <w:r w:rsidRPr="007E0AF4">
              <w:rPr>
                <w:sz w:val="22"/>
              </w:rPr>
              <w:t>Створення</w:t>
            </w:r>
            <w:proofErr w:type="spellEnd"/>
            <w:r w:rsidRPr="007E0AF4">
              <w:rPr>
                <w:sz w:val="22"/>
              </w:rPr>
              <w:t xml:space="preserve"> </w:t>
            </w:r>
            <w:proofErr w:type="spellStart"/>
            <w:r w:rsidRPr="007E0AF4">
              <w:rPr>
                <w:sz w:val="22"/>
              </w:rPr>
              <w:t>сучасних</w:t>
            </w:r>
            <w:proofErr w:type="spellEnd"/>
            <w:r w:rsidRPr="007E0AF4">
              <w:rPr>
                <w:sz w:val="22"/>
              </w:rPr>
              <w:t xml:space="preserve"> </w:t>
            </w:r>
            <w:proofErr w:type="spellStart"/>
            <w:r w:rsidRPr="007E0AF4">
              <w:rPr>
                <w:sz w:val="22"/>
              </w:rPr>
              <w:t>безпечних</w:t>
            </w:r>
            <w:proofErr w:type="spellEnd"/>
            <w:r w:rsidRPr="007E0AF4">
              <w:rPr>
                <w:sz w:val="22"/>
              </w:rPr>
              <w:t xml:space="preserve"> умов для занять спортом та </w:t>
            </w:r>
            <w:proofErr w:type="spellStart"/>
            <w:r w:rsidRPr="007E0AF4">
              <w:rPr>
                <w:sz w:val="22"/>
              </w:rPr>
              <w:t>освітнього</w:t>
            </w:r>
            <w:proofErr w:type="spellEnd"/>
            <w:r w:rsidRPr="007E0AF4">
              <w:rPr>
                <w:sz w:val="22"/>
              </w:rPr>
              <w:t xml:space="preserve"> </w:t>
            </w:r>
            <w:proofErr w:type="spellStart"/>
            <w:r w:rsidRPr="007E0AF4">
              <w:rPr>
                <w:sz w:val="22"/>
              </w:rPr>
              <w:t>середовища</w:t>
            </w:r>
            <w:proofErr w:type="spellEnd"/>
            <w:r w:rsidRPr="007E0AF4">
              <w:rPr>
                <w:sz w:val="22"/>
              </w:rPr>
              <w:t xml:space="preserve"> для </w:t>
            </w:r>
            <w:proofErr w:type="spellStart"/>
            <w:r w:rsidRPr="007E0AF4">
              <w:rPr>
                <w:sz w:val="22"/>
              </w:rPr>
              <w:t>отримання</w:t>
            </w:r>
            <w:proofErr w:type="spellEnd"/>
            <w:r w:rsidRPr="007E0AF4">
              <w:rPr>
                <w:sz w:val="22"/>
              </w:rPr>
              <w:t xml:space="preserve"> </w:t>
            </w:r>
            <w:proofErr w:type="spellStart"/>
            <w:r w:rsidRPr="007E0AF4">
              <w:rPr>
                <w:sz w:val="22"/>
              </w:rPr>
              <w:t>профільної</w:t>
            </w:r>
            <w:proofErr w:type="spellEnd"/>
            <w:r w:rsidRPr="007E0AF4">
              <w:rPr>
                <w:sz w:val="22"/>
              </w:rPr>
              <w:t xml:space="preserve"> </w:t>
            </w:r>
            <w:proofErr w:type="spellStart"/>
            <w:r w:rsidRPr="007E0AF4">
              <w:rPr>
                <w:sz w:val="22"/>
              </w:rPr>
              <w:t>середньої</w:t>
            </w:r>
            <w:proofErr w:type="spellEnd"/>
            <w:r w:rsidRPr="007E0AF4">
              <w:rPr>
                <w:sz w:val="22"/>
              </w:rPr>
              <w:t xml:space="preserve"> </w:t>
            </w:r>
            <w:proofErr w:type="spellStart"/>
            <w:r w:rsidRPr="007E0AF4">
              <w:rPr>
                <w:sz w:val="22"/>
              </w:rPr>
              <w:t>освіти</w:t>
            </w:r>
            <w:proofErr w:type="spellEnd"/>
            <w:r w:rsidRPr="007E0AF4">
              <w:rPr>
                <w:sz w:val="22"/>
              </w:rPr>
              <w:t xml:space="preserve">. Пропаганда </w:t>
            </w:r>
            <w:proofErr w:type="spellStart"/>
            <w:r w:rsidRPr="007E0AF4">
              <w:rPr>
                <w:sz w:val="22"/>
              </w:rPr>
              <w:t>культури</w:t>
            </w:r>
            <w:proofErr w:type="spellEnd"/>
            <w:r w:rsidRPr="007E0AF4">
              <w:rPr>
                <w:sz w:val="22"/>
              </w:rPr>
              <w:t xml:space="preserve">, спорту та </w:t>
            </w:r>
            <w:proofErr w:type="spellStart"/>
            <w:r w:rsidRPr="007E0AF4">
              <w:rPr>
                <w:sz w:val="22"/>
              </w:rPr>
              <w:t>патріотизму</w:t>
            </w:r>
            <w:proofErr w:type="spellEnd"/>
            <w:r w:rsidRPr="007E0AF4">
              <w:rPr>
                <w:sz w:val="22"/>
              </w:rPr>
              <w:t xml:space="preserve"> </w:t>
            </w:r>
            <w:proofErr w:type="spellStart"/>
            <w:r w:rsidRPr="007E0AF4">
              <w:rPr>
                <w:sz w:val="22"/>
              </w:rPr>
              <w:t>серед</w:t>
            </w:r>
            <w:proofErr w:type="spellEnd"/>
            <w:r w:rsidRPr="007E0AF4">
              <w:rPr>
                <w:sz w:val="22"/>
              </w:rPr>
              <w:t xml:space="preserve"> </w:t>
            </w:r>
            <w:proofErr w:type="spellStart"/>
            <w:r w:rsidRPr="007E0AF4">
              <w:rPr>
                <w:sz w:val="22"/>
              </w:rPr>
              <w:t>підлітків</w:t>
            </w:r>
            <w:proofErr w:type="spellEnd"/>
            <w:r w:rsidRPr="007E0AF4">
              <w:rPr>
                <w:sz w:val="22"/>
              </w:rPr>
              <w:t>.</w:t>
            </w:r>
          </w:p>
        </w:tc>
      </w:tr>
      <w:tr w:rsidR="0081670D" w:rsidRPr="007E0AF4" w:rsidTr="0081670D">
        <w:tc>
          <w:tcPr>
            <w:tcW w:w="2978" w:type="dxa"/>
            <w:shd w:val="clear" w:color="auto" w:fill="C6D9F1" w:themeFill="text2" w:themeFillTint="33"/>
          </w:tcPr>
          <w:p w:rsidR="0081670D" w:rsidRPr="007E0AF4" w:rsidRDefault="0081670D" w:rsidP="001013F3">
            <w:pPr>
              <w:pStyle w:val="a7"/>
              <w:ind w:left="0"/>
              <w:rPr>
                <w:b/>
                <w:sz w:val="22"/>
              </w:rPr>
            </w:pPr>
            <w:proofErr w:type="spellStart"/>
            <w:r w:rsidRPr="007E0AF4">
              <w:rPr>
                <w:b/>
                <w:sz w:val="22"/>
              </w:rPr>
              <w:t>Територія</w:t>
            </w:r>
            <w:proofErr w:type="spellEnd"/>
            <w:r w:rsidRPr="007E0AF4">
              <w:rPr>
                <w:b/>
                <w:sz w:val="22"/>
              </w:rPr>
              <w:t xml:space="preserve">, </w:t>
            </w:r>
            <w:proofErr w:type="gramStart"/>
            <w:r w:rsidRPr="007E0AF4">
              <w:rPr>
                <w:b/>
                <w:sz w:val="22"/>
              </w:rPr>
              <w:t>на яку</w:t>
            </w:r>
            <w:proofErr w:type="gramEnd"/>
            <w:r w:rsidRPr="007E0AF4">
              <w:rPr>
                <w:b/>
                <w:sz w:val="22"/>
              </w:rPr>
              <w:t xml:space="preserve"> </w:t>
            </w:r>
            <w:proofErr w:type="spellStart"/>
            <w:r w:rsidRPr="007E0AF4">
              <w:rPr>
                <w:b/>
                <w:sz w:val="22"/>
              </w:rPr>
              <w:t>матиме</w:t>
            </w:r>
            <w:proofErr w:type="spellEnd"/>
            <w:r w:rsidRPr="007E0AF4">
              <w:rPr>
                <w:b/>
                <w:sz w:val="22"/>
              </w:rPr>
              <w:t xml:space="preserve"> </w:t>
            </w:r>
            <w:proofErr w:type="spellStart"/>
            <w:r w:rsidRPr="007E0AF4">
              <w:rPr>
                <w:b/>
                <w:sz w:val="22"/>
              </w:rPr>
              <w:t>вплив</w:t>
            </w:r>
            <w:proofErr w:type="spellEnd"/>
            <w:r w:rsidRPr="007E0AF4">
              <w:rPr>
                <w:b/>
                <w:sz w:val="22"/>
              </w:rPr>
              <w:t xml:space="preserve"> </w:t>
            </w:r>
            <w:proofErr w:type="spellStart"/>
            <w:r w:rsidRPr="007E0AF4">
              <w:rPr>
                <w:b/>
                <w:sz w:val="22"/>
              </w:rPr>
              <w:t>реалізація</w:t>
            </w:r>
            <w:proofErr w:type="spellEnd"/>
            <w:r w:rsidRPr="007E0AF4">
              <w:rPr>
                <w:b/>
                <w:sz w:val="22"/>
              </w:rPr>
              <w:t xml:space="preserve"> проекту</w:t>
            </w:r>
          </w:p>
        </w:tc>
        <w:tc>
          <w:tcPr>
            <w:tcW w:w="6910" w:type="dxa"/>
            <w:gridSpan w:val="7"/>
          </w:tcPr>
          <w:p w:rsidR="0081670D" w:rsidRPr="007E0AF4" w:rsidRDefault="0081670D" w:rsidP="001013F3">
            <w:pPr>
              <w:pStyle w:val="a7"/>
              <w:ind w:left="0"/>
              <w:rPr>
                <w:sz w:val="22"/>
              </w:rPr>
            </w:pPr>
          </w:p>
          <w:p w:rsidR="0081670D" w:rsidRPr="007E0AF4" w:rsidRDefault="0081670D" w:rsidP="001013F3">
            <w:pPr>
              <w:pStyle w:val="a7"/>
              <w:ind w:left="0"/>
              <w:rPr>
                <w:sz w:val="22"/>
              </w:rPr>
            </w:pPr>
            <w:proofErr w:type="spellStart"/>
            <w:r w:rsidRPr="007E0AF4">
              <w:rPr>
                <w:sz w:val="22"/>
              </w:rPr>
              <w:t>Сєвєродонецька</w:t>
            </w:r>
            <w:proofErr w:type="spellEnd"/>
            <w:r w:rsidRPr="007E0AF4">
              <w:rPr>
                <w:sz w:val="22"/>
              </w:rPr>
              <w:t xml:space="preserve"> </w:t>
            </w:r>
            <w:proofErr w:type="spellStart"/>
            <w:r w:rsidRPr="007E0AF4">
              <w:rPr>
                <w:sz w:val="22"/>
              </w:rPr>
              <w:t>міська</w:t>
            </w:r>
            <w:proofErr w:type="spellEnd"/>
            <w:r w:rsidRPr="007E0AF4">
              <w:rPr>
                <w:sz w:val="22"/>
              </w:rPr>
              <w:t xml:space="preserve"> </w:t>
            </w:r>
            <w:proofErr w:type="spellStart"/>
            <w:r w:rsidRPr="007E0AF4">
              <w:rPr>
                <w:sz w:val="22"/>
              </w:rPr>
              <w:t>територіальна</w:t>
            </w:r>
            <w:proofErr w:type="spellEnd"/>
            <w:r w:rsidRPr="007E0AF4">
              <w:rPr>
                <w:sz w:val="22"/>
              </w:rPr>
              <w:t xml:space="preserve"> громада</w:t>
            </w:r>
          </w:p>
        </w:tc>
      </w:tr>
      <w:tr w:rsidR="0081670D" w:rsidRPr="007E0AF4" w:rsidTr="0081670D">
        <w:tc>
          <w:tcPr>
            <w:tcW w:w="2978" w:type="dxa"/>
            <w:shd w:val="clear" w:color="auto" w:fill="C6D9F1" w:themeFill="text2" w:themeFillTint="33"/>
          </w:tcPr>
          <w:p w:rsidR="0081670D" w:rsidRPr="007E0AF4" w:rsidRDefault="0081670D" w:rsidP="001013F3">
            <w:pPr>
              <w:pStyle w:val="a7"/>
              <w:ind w:left="0"/>
              <w:rPr>
                <w:b/>
                <w:sz w:val="22"/>
              </w:rPr>
            </w:pPr>
            <w:proofErr w:type="spellStart"/>
            <w:r w:rsidRPr="007E0AF4">
              <w:rPr>
                <w:b/>
                <w:sz w:val="22"/>
              </w:rPr>
              <w:t>Чисельність</w:t>
            </w:r>
            <w:proofErr w:type="spellEnd"/>
            <w:r w:rsidRPr="007E0AF4">
              <w:rPr>
                <w:b/>
                <w:sz w:val="22"/>
              </w:rPr>
              <w:t xml:space="preserve"> </w:t>
            </w:r>
            <w:proofErr w:type="spellStart"/>
            <w:r w:rsidRPr="007E0AF4">
              <w:rPr>
                <w:b/>
                <w:sz w:val="22"/>
              </w:rPr>
              <w:t>населення</w:t>
            </w:r>
            <w:proofErr w:type="spellEnd"/>
            <w:r w:rsidRPr="007E0AF4">
              <w:rPr>
                <w:b/>
                <w:sz w:val="22"/>
              </w:rPr>
              <w:t xml:space="preserve">, на яке </w:t>
            </w:r>
            <w:proofErr w:type="spellStart"/>
            <w:r w:rsidRPr="007E0AF4">
              <w:rPr>
                <w:b/>
                <w:sz w:val="22"/>
              </w:rPr>
              <w:t>матиме</w:t>
            </w:r>
            <w:proofErr w:type="spellEnd"/>
            <w:r w:rsidRPr="007E0AF4">
              <w:rPr>
                <w:b/>
                <w:sz w:val="22"/>
              </w:rPr>
              <w:t xml:space="preserve"> </w:t>
            </w:r>
            <w:proofErr w:type="spellStart"/>
            <w:r w:rsidRPr="007E0AF4">
              <w:rPr>
                <w:b/>
                <w:sz w:val="22"/>
              </w:rPr>
              <w:t>вплив</w:t>
            </w:r>
            <w:proofErr w:type="spellEnd"/>
            <w:r w:rsidRPr="007E0AF4">
              <w:rPr>
                <w:b/>
                <w:sz w:val="22"/>
              </w:rPr>
              <w:t xml:space="preserve"> </w:t>
            </w:r>
            <w:proofErr w:type="spellStart"/>
            <w:r w:rsidRPr="007E0AF4">
              <w:rPr>
                <w:b/>
                <w:sz w:val="22"/>
              </w:rPr>
              <w:t>реалізація</w:t>
            </w:r>
            <w:proofErr w:type="spellEnd"/>
            <w:r w:rsidRPr="007E0AF4">
              <w:rPr>
                <w:b/>
                <w:sz w:val="22"/>
              </w:rPr>
              <w:t xml:space="preserve"> проекту</w:t>
            </w:r>
          </w:p>
        </w:tc>
        <w:tc>
          <w:tcPr>
            <w:tcW w:w="6910" w:type="dxa"/>
            <w:gridSpan w:val="7"/>
          </w:tcPr>
          <w:p w:rsidR="0081670D" w:rsidRPr="007E0AF4" w:rsidRDefault="0081670D" w:rsidP="001013F3">
            <w:pPr>
              <w:pStyle w:val="a7"/>
              <w:ind w:left="0"/>
              <w:rPr>
                <w:sz w:val="22"/>
              </w:rPr>
            </w:pPr>
          </w:p>
          <w:p w:rsidR="0081670D" w:rsidRPr="007E0AF4" w:rsidRDefault="0081670D" w:rsidP="001013F3">
            <w:pPr>
              <w:pStyle w:val="a7"/>
              <w:ind w:left="0"/>
              <w:rPr>
                <w:sz w:val="22"/>
              </w:rPr>
            </w:pPr>
            <w:r w:rsidRPr="007E0AF4">
              <w:rPr>
                <w:sz w:val="22"/>
              </w:rPr>
              <w:t xml:space="preserve"> 70 </w:t>
            </w:r>
            <w:proofErr w:type="gramStart"/>
            <w:r w:rsidRPr="007E0AF4">
              <w:rPr>
                <w:sz w:val="22"/>
              </w:rPr>
              <w:t xml:space="preserve">000  </w:t>
            </w:r>
            <w:proofErr w:type="spellStart"/>
            <w:r w:rsidRPr="007E0AF4">
              <w:rPr>
                <w:sz w:val="22"/>
              </w:rPr>
              <w:t>осіб</w:t>
            </w:r>
            <w:proofErr w:type="spellEnd"/>
            <w:proofErr w:type="gramEnd"/>
          </w:p>
        </w:tc>
      </w:tr>
      <w:tr w:rsidR="0081670D" w:rsidRPr="007E0AF4" w:rsidTr="0081670D">
        <w:tc>
          <w:tcPr>
            <w:tcW w:w="2978" w:type="dxa"/>
            <w:shd w:val="clear" w:color="auto" w:fill="C6D9F1" w:themeFill="text2" w:themeFillTint="33"/>
          </w:tcPr>
          <w:p w:rsidR="0081670D" w:rsidRPr="007E0AF4" w:rsidRDefault="0081670D" w:rsidP="001013F3">
            <w:pPr>
              <w:rPr>
                <w:b/>
                <w:sz w:val="22"/>
              </w:rPr>
            </w:pPr>
            <w:proofErr w:type="spellStart"/>
            <w:r w:rsidRPr="007E0AF4">
              <w:rPr>
                <w:b/>
                <w:sz w:val="22"/>
              </w:rPr>
              <w:t>Опис</w:t>
            </w:r>
            <w:proofErr w:type="spellEnd"/>
            <w:r w:rsidRPr="007E0AF4">
              <w:rPr>
                <w:b/>
                <w:sz w:val="22"/>
              </w:rPr>
              <w:t xml:space="preserve"> </w:t>
            </w:r>
            <w:proofErr w:type="spellStart"/>
            <w:r w:rsidRPr="007E0AF4">
              <w:rPr>
                <w:b/>
                <w:sz w:val="22"/>
              </w:rPr>
              <w:t>проблеми</w:t>
            </w:r>
            <w:proofErr w:type="spellEnd"/>
            <w:r w:rsidRPr="007E0AF4">
              <w:rPr>
                <w:b/>
                <w:sz w:val="22"/>
              </w:rPr>
              <w:t xml:space="preserve">, на </w:t>
            </w:r>
            <w:proofErr w:type="spellStart"/>
            <w:r w:rsidRPr="007E0AF4">
              <w:rPr>
                <w:b/>
                <w:sz w:val="22"/>
              </w:rPr>
              <w:t>вирішення</w:t>
            </w:r>
            <w:proofErr w:type="spellEnd"/>
            <w:r w:rsidRPr="007E0AF4">
              <w:rPr>
                <w:b/>
                <w:sz w:val="22"/>
              </w:rPr>
              <w:t xml:space="preserve"> </w:t>
            </w:r>
            <w:proofErr w:type="spellStart"/>
            <w:proofErr w:type="gramStart"/>
            <w:r w:rsidRPr="007E0AF4">
              <w:rPr>
                <w:b/>
                <w:sz w:val="22"/>
              </w:rPr>
              <w:t>якої</w:t>
            </w:r>
            <w:proofErr w:type="spellEnd"/>
            <w:r w:rsidRPr="007E0AF4">
              <w:rPr>
                <w:b/>
                <w:sz w:val="22"/>
              </w:rPr>
              <w:t xml:space="preserve">  </w:t>
            </w:r>
            <w:proofErr w:type="spellStart"/>
            <w:r w:rsidRPr="007E0AF4">
              <w:rPr>
                <w:b/>
                <w:sz w:val="22"/>
              </w:rPr>
              <w:t>спрямований</w:t>
            </w:r>
            <w:proofErr w:type="spellEnd"/>
            <w:proofErr w:type="gramEnd"/>
            <w:r w:rsidRPr="007E0AF4">
              <w:rPr>
                <w:b/>
                <w:sz w:val="22"/>
              </w:rPr>
              <w:t xml:space="preserve"> проект</w:t>
            </w:r>
          </w:p>
        </w:tc>
        <w:tc>
          <w:tcPr>
            <w:tcW w:w="6910" w:type="dxa"/>
            <w:gridSpan w:val="7"/>
          </w:tcPr>
          <w:p w:rsidR="0081670D" w:rsidRPr="007E0AF4" w:rsidRDefault="0081670D" w:rsidP="00236091">
            <w:pPr>
              <w:pStyle w:val="13"/>
              <w:jc w:val="both"/>
              <w:rPr>
                <w:sz w:val="22"/>
                <w:lang w:val="uk-UA"/>
              </w:rPr>
            </w:pPr>
            <w:r w:rsidRPr="007E0AF4">
              <w:rPr>
                <w:sz w:val="22"/>
                <w:lang w:val="uk-UA"/>
              </w:rPr>
              <w:t>Через військову агресію РФ територія Сєвєродонецької міської територіальної громади зазнала значних пошкоджень. Виникла проблема усунення наслідків влуч</w:t>
            </w:r>
            <w:r w:rsidR="00B06204" w:rsidRPr="007E0AF4">
              <w:rPr>
                <w:sz w:val="22"/>
                <w:lang w:val="uk-UA"/>
              </w:rPr>
              <w:t>а</w:t>
            </w:r>
            <w:r w:rsidRPr="007E0AF4">
              <w:rPr>
                <w:sz w:val="22"/>
                <w:lang w:val="uk-UA"/>
              </w:rPr>
              <w:t xml:space="preserve">нь артснарядів на території спортивних майданчиків та шкільного стадіону, заміна їх застарілого </w:t>
            </w:r>
            <w:r w:rsidRPr="007E0AF4">
              <w:rPr>
                <w:sz w:val="22"/>
                <w:lang w:val="uk-UA"/>
              </w:rPr>
              <w:lastRenderedPageBreak/>
              <w:t xml:space="preserve">покриття, будівництво критої спортивної зали для командних видів спорту, створення рекреаційної зони на </w:t>
            </w:r>
            <w:proofErr w:type="spellStart"/>
            <w:r w:rsidRPr="007E0AF4">
              <w:rPr>
                <w:sz w:val="22"/>
                <w:lang w:val="uk-UA"/>
              </w:rPr>
              <w:t>внутрішньошкільн</w:t>
            </w:r>
            <w:r w:rsidR="00236091" w:rsidRPr="007E0AF4">
              <w:rPr>
                <w:sz w:val="22"/>
                <w:lang w:val="uk-UA"/>
              </w:rPr>
              <w:t>ій</w:t>
            </w:r>
            <w:proofErr w:type="spellEnd"/>
            <w:r w:rsidRPr="007E0AF4">
              <w:rPr>
                <w:sz w:val="22"/>
                <w:lang w:val="uk-UA"/>
              </w:rPr>
              <w:t xml:space="preserve"> території</w:t>
            </w:r>
          </w:p>
        </w:tc>
      </w:tr>
      <w:tr w:rsidR="0081670D" w:rsidRPr="007E0AF4" w:rsidTr="0081670D">
        <w:tc>
          <w:tcPr>
            <w:tcW w:w="2978" w:type="dxa"/>
            <w:shd w:val="clear" w:color="auto" w:fill="C6D9F1" w:themeFill="text2" w:themeFillTint="33"/>
          </w:tcPr>
          <w:p w:rsidR="0081670D" w:rsidRPr="007E0AF4" w:rsidRDefault="0081670D" w:rsidP="001013F3">
            <w:pPr>
              <w:pStyle w:val="a7"/>
              <w:ind w:left="0"/>
              <w:rPr>
                <w:b/>
                <w:sz w:val="22"/>
              </w:rPr>
            </w:pPr>
            <w:proofErr w:type="spellStart"/>
            <w:r w:rsidRPr="007E0AF4">
              <w:rPr>
                <w:b/>
                <w:sz w:val="22"/>
              </w:rPr>
              <w:lastRenderedPageBreak/>
              <w:t>Очікувані</w:t>
            </w:r>
            <w:proofErr w:type="spellEnd"/>
            <w:r w:rsidRPr="007E0AF4">
              <w:rPr>
                <w:b/>
                <w:sz w:val="22"/>
              </w:rPr>
              <w:t xml:space="preserve"> </w:t>
            </w:r>
            <w:proofErr w:type="spellStart"/>
            <w:r w:rsidRPr="007E0AF4">
              <w:rPr>
                <w:b/>
                <w:sz w:val="22"/>
              </w:rPr>
              <w:t>якісні</w:t>
            </w:r>
            <w:proofErr w:type="spellEnd"/>
            <w:r w:rsidRPr="007E0AF4">
              <w:rPr>
                <w:b/>
                <w:sz w:val="22"/>
              </w:rPr>
              <w:t xml:space="preserve"> </w:t>
            </w:r>
            <w:proofErr w:type="spellStart"/>
            <w:r w:rsidRPr="007E0AF4">
              <w:rPr>
                <w:b/>
                <w:sz w:val="22"/>
              </w:rPr>
              <w:t>результати</w:t>
            </w:r>
            <w:proofErr w:type="spellEnd"/>
            <w:r w:rsidRPr="007E0AF4">
              <w:rPr>
                <w:b/>
                <w:sz w:val="22"/>
              </w:rPr>
              <w:t xml:space="preserve"> </w:t>
            </w:r>
            <w:proofErr w:type="spellStart"/>
            <w:r w:rsidRPr="007E0AF4">
              <w:rPr>
                <w:b/>
                <w:sz w:val="22"/>
              </w:rPr>
              <w:t>від</w:t>
            </w:r>
            <w:proofErr w:type="spellEnd"/>
            <w:r w:rsidRPr="007E0AF4">
              <w:rPr>
                <w:b/>
                <w:sz w:val="22"/>
              </w:rPr>
              <w:t xml:space="preserve"> </w:t>
            </w:r>
            <w:proofErr w:type="spellStart"/>
            <w:r w:rsidRPr="007E0AF4">
              <w:rPr>
                <w:b/>
                <w:sz w:val="22"/>
              </w:rPr>
              <w:t>реалізації</w:t>
            </w:r>
            <w:proofErr w:type="spellEnd"/>
            <w:r w:rsidRPr="007E0AF4">
              <w:rPr>
                <w:b/>
                <w:sz w:val="22"/>
              </w:rPr>
              <w:t xml:space="preserve"> проекту</w:t>
            </w:r>
          </w:p>
        </w:tc>
        <w:tc>
          <w:tcPr>
            <w:tcW w:w="6910" w:type="dxa"/>
            <w:gridSpan w:val="7"/>
          </w:tcPr>
          <w:p w:rsidR="0081670D" w:rsidRPr="007E0AF4" w:rsidRDefault="0081670D" w:rsidP="001013F3">
            <w:pPr>
              <w:rPr>
                <w:sz w:val="22"/>
              </w:rPr>
            </w:pPr>
            <w:r w:rsidRPr="007E0AF4">
              <w:rPr>
                <w:sz w:val="22"/>
              </w:rPr>
              <w:t xml:space="preserve">1. </w:t>
            </w:r>
            <w:proofErr w:type="spellStart"/>
            <w:r w:rsidRPr="007E0AF4">
              <w:rPr>
                <w:sz w:val="22"/>
              </w:rPr>
              <w:t>Сучасний</w:t>
            </w:r>
            <w:proofErr w:type="spellEnd"/>
            <w:r w:rsidRPr="007E0AF4">
              <w:rPr>
                <w:sz w:val="22"/>
              </w:rPr>
              <w:t xml:space="preserve"> </w:t>
            </w:r>
            <w:proofErr w:type="spellStart"/>
            <w:r w:rsidRPr="007E0AF4">
              <w:rPr>
                <w:sz w:val="22"/>
              </w:rPr>
              <w:t>універсальний</w:t>
            </w:r>
            <w:proofErr w:type="spellEnd"/>
            <w:r w:rsidRPr="007E0AF4">
              <w:rPr>
                <w:sz w:val="22"/>
              </w:rPr>
              <w:t xml:space="preserve"> </w:t>
            </w:r>
            <w:proofErr w:type="spellStart"/>
            <w:r w:rsidRPr="007E0AF4">
              <w:rPr>
                <w:sz w:val="22"/>
              </w:rPr>
              <w:t>спортивний</w:t>
            </w:r>
            <w:proofErr w:type="spellEnd"/>
            <w:r w:rsidRPr="007E0AF4">
              <w:rPr>
                <w:sz w:val="22"/>
              </w:rPr>
              <w:t xml:space="preserve"> комплекс для занять спортом та </w:t>
            </w:r>
            <w:proofErr w:type="spellStart"/>
            <w:r w:rsidRPr="007E0AF4">
              <w:rPr>
                <w:sz w:val="22"/>
              </w:rPr>
              <w:t>ігрових</w:t>
            </w:r>
            <w:proofErr w:type="spellEnd"/>
            <w:r w:rsidRPr="007E0AF4">
              <w:rPr>
                <w:sz w:val="22"/>
              </w:rPr>
              <w:t xml:space="preserve"> </w:t>
            </w:r>
            <w:proofErr w:type="spellStart"/>
            <w:r w:rsidRPr="007E0AF4">
              <w:rPr>
                <w:sz w:val="22"/>
              </w:rPr>
              <w:t>видів</w:t>
            </w:r>
            <w:proofErr w:type="spellEnd"/>
            <w:r w:rsidRPr="007E0AF4">
              <w:rPr>
                <w:sz w:val="22"/>
              </w:rPr>
              <w:t xml:space="preserve"> спорту на </w:t>
            </w:r>
            <w:proofErr w:type="spellStart"/>
            <w:r w:rsidRPr="007E0AF4">
              <w:rPr>
                <w:sz w:val="22"/>
              </w:rPr>
              <w:t>території</w:t>
            </w:r>
            <w:proofErr w:type="spellEnd"/>
            <w:r w:rsidRPr="007E0AF4">
              <w:rPr>
                <w:sz w:val="22"/>
              </w:rPr>
              <w:t xml:space="preserve"> </w:t>
            </w:r>
            <w:proofErr w:type="spellStart"/>
            <w:r w:rsidRPr="007E0AF4">
              <w:rPr>
                <w:sz w:val="22"/>
              </w:rPr>
              <w:t>Ліцею</w:t>
            </w:r>
            <w:proofErr w:type="spellEnd"/>
            <w:r w:rsidRPr="007E0AF4">
              <w:rPr>
                <w:sz w:val="22"/>
              </w:rPr>
              <w:t xml:space="preserve"> «</w:t>
            </w:r>
            <w:proofErr w:type="spellStart"/>
            <w:r w:rsidRPr="007E0AF4">
              <w:rPr>
                <w:sz w:val="22"/>
              </w:rPr>
              <w:t>Інітіум</w:t>
            </w:r>
            <w:proofErr w:type="spellEnd"/>
            <w:r w:rsidRPr="007E0AF4">
              <w:rPr>
                <w:sz w:val="22"/>
              </w:rPr>
              <w:t>».</w:t>
            </w:r>
          </w:p>
          <w:p w:rsidR="0081670D" w:rsidRPr="007E0AF4" w:rsidRDefault="0081670D" w:rsidP="001013F3">
            <w:pPr>
              <w:rPr>
                <w:sz w:val="22"/>
              </w:rPr>
            </w:pPr>
            <w:r w:rsidRPr="007E0AF4">
              <w:rPr>
                <w:sz w:val="22"/>
              </w:rPr>
              <w:t xml:space="preserve">2. </w:t>
            </w:r>
            <w:proofErr w:type="spellStart"/>
            <w:r w:rsidRPr="007E0AF4">
              <w:rPr>
                <w:sz w:val="22"/>
              </w:rPr>
              <w:t>Залучення</w:t>
            </w:r>
            <w:proofErr w:type="spellEnd"/>
            <w:r w:rsidRPr="007E0AF4">
              <w:rPr>
                <w:sz w:val="22"/>
              </w:rPr>
              <w:t xml:space="preserve"> як </w:t>
            </w:r>
            <w:proofErr w:type="spellStart"/>
            <w:r w:rsidRPr="007E0AF4">
              <w:rPr>
                <w:sz w:val="22"/>
              </w:rPr>
              <w:t>можна</w:t>
            </w:r>
            <w:proofErr w:type="spellEnd"/>
            <w:r w:rsidRPr="007E0AF4">
              <w:rPr>
                <w:sz w:val="22"/>
              </w:rPr>
              <w:t xml:space="preserve"> </w:t>
            </w:r>
            <w:proofErr w:type="spellStart"/>
            <w:r w:rsidRPr="007E0AF4">
              <w:rPr>
                <w:sz w:val="22"/>
              </w:rPr>
              <w:t>більшої</w:t>
            </w:r>
            <w:proofErr w:type="spellEnd"/>
            <w:r w:rsidRPr="007E0AF4">
              <w:rPr>
                <w:sz w:val="22"/>
              </w:rPr>
              <w:t xml:space="preserve"> </w:t>
            </w:r>
            <w:proofErr w:type="spellStart"/>
            <w:r w:rsidRPr="007E0AF4">
              <w:rPr>
                <w:sz w:val="22"/>
              </w:rPr>
              <w:t>кількості</w:t>
            </w:r>
            <w:proofErr w:type="spellEnd"/>
            <w:r w:rsidRPr="007E0AF4">
              <w:rPr>
                <w:sz w:val="22"/>
              </w:rPr>
              <w:t xml:space="preserve"> </w:t>
            </w:r>
            <w:proofErr w:type="spellStart"/>
            <w:r w:rsidRPr="007E0AF4">
              <w:rPr>
                <w:sz w:val="22"/>
              </w:rPr>
              <w:t>здобувачів</w:t>
            </w:r>
            <w:proofErr w:type="spellEnd"/>
            <w:r w:rsidRPr="007E0AF4">
              <w:rPr>
                <w:sz w:val="22"/>
              </w:rPr>
              <w:t xml:space="preserve"> </w:t>
            </w:r>
            <w:proofErr w:type="spellStart"/>
            <w:r w:rsidRPr="007E0AF4">
              <w:rPr>
                <w:sz w:val="22"/>
              </w:rPr>
              <w:t>освіти</w:t>
            </w:r>
            <w:proofErr w:type="spellEnd"/>
            <w:r w:rsidRPr="007E0AF4">
              <w:rPr>
                <w:sz w:val="22"/>
              </w:rPr>
              <w:t xml:space="preserve"> та </w:t>
            </w:r>
            <w:proofErr w:type="spellStart"/>
            <w:r w:rsidRPr="007E0AF4">
              <w:rPr>
                <w:sz w:val="22"/>
              </w:rPr>
              <w:t>дітей</w:t>
            </w:r>
            <w:proofErr w:type="spellEnd"/>
            <w:r w:rsidRPr="007E0AF4">
              <w:rPr>
                <w:sz w:val="22"/>
              </w:rPr>
              <w:t xml:space="preserve"> </w:t>
            </w:r>
            <w:proofErr w:type="spellStart"/>
            <w:r w:rsidRPr="007E0AF4">
              <w:rPr>
                <w:sz w:val="22"/>
              </w:rPr>
              <w:t>прилеглих</w:t>
            </w:r>
            <w:proofErr w:type="spellEnd"/>
            <w:r w:rsidRPr="007E0AF4">
              <w:rPr>
                <w:sz w:val="22"/>
              </w:rPr>
              <w:t xml:space="preserve"> </w:t>
            </w:r>
            <w:proofErr w:type="spellStart"/>
            <w:r w:rsidRPr="007E0AF4">
              <w:rPr>
                <w:sz w:val="22"/>
              </w:rPr>
              <w:t>мікрорайонів</w:t>
            </w:r>
            <w:proofErr w:type="spellEnd"/>
            <w:r w:rsidRPr="007E0AF4">
              <w:rPr>
                <w:sz w:val="22"/>
              </w:rPr>
              <w:t xml:space="preserve"> до здорового способу </w:t>
            </w:r>
            <w:proofErr w:type="spellStart"/>
            <w:r w:rsidRPr="007E0AF4">
              <w:rPr>
                <w:sz w:val="22"/>
              </w:rPr>
              <w:t>життя</w:t>
            </w:r>
            <w:proofErr w:type="spellEnd"/>
            <w:r w:rsidRPr="007E0AF4">
              <w:rPr>
                <w:sz w:val="22"/>
              </w:rPr>
              <w:t xml:space="preserve"> та </w:t>
            </w:r>
            <w:proofErr w:type="gramStart"/>
            <w:r w:rsidRPr="007E0AF4">
              <w:rPr>
                <w:sz w:val="22"/>
              </w:rPr>
              <w:t>занять  спортом</w:t>
            </w:r>
            <w:proofErr w:type="gramEnd"/>
            <w:r w:rsidRPr="007E0AF4">
              <w:rPr>
                <w:sz w:val="22"/>
              </w:rPr>
              <w:t>.</w:t>
            </w:r>
          </w:p>
          <w:p w:rsidR="0081670D" w:rsidRPr="007E0AF4" w:rsidRDefault="0081670D" w:rsidP="001013F3">
            <w:pPr>
              <w:rPr>
                <w:sz w:val="22"/>
              </w:rPr>
            </w:pPr>
            <w:r w:rsidRPr="007E0AF4">
              <w:rPr>
                <w:sz w:val="22"/>
              </w:rPr>
              <w:t xml:space="preserve">3. </w:t>
            </w:r>
            <w:proofErr w:type="spellStart"/>
            <w:r w:rsidRPr="007E0AF4">
              <w:rPr>
                <w:sz w:val="22"/>
              </w:rPr>
              <w:t>Доступність</w:t>
            </w:r>
            <w:proofErr w:type="spellEnd"/>
            <w:r w:rsidRPr="007E0AF4">
              <w:rPr>
                <w:sz w:val="22"/>
              </w:rPr>
              <w:t xml:space="preserve"> та </w:t>
            </w:r>
            <w:proofErr w:type="spellStart"/>
            <w:r w:rsidRPr="007E0AF4">
              <w:rPr>
                <w:sz w:val="22"/>
              </w:rPr>
              <w:t>можливість</w:t>
            </w:r>
            <w:proofErr w:type="spellEnd"/>
            <w:r w:rsidRPr="007E0AF4">
              <w:rPr>
                <w:sz w:val="22"/>
              </w:rPr>
              <w:t xml:space="preserve"> особам з </w:t>
            </w:r>
            <w:proofErr w:type="spellStart"/>
            <w:r w:rsidRPr="007E0AF4">
              <w:rPr>
                <w:sz w:val="22"/>
              </w:rPr>
              <w:t>особливими</w:t>
            </w:r>
            <w:proofErr w:type="spellEnd"/>
            <w:r w:rsidRPr="007E0AF4">
              <w:rPr>
                <w:sz w:val="22"/>
              </w:rPr>
              <w:t xml:space="preserve"> </w:t>
            </w:r>
            <w:proofErr w:type="spellStart"/>
            <w:r w:rsidRPr="007E0AF4">
              <w:rPr>
                <w:sz w:val="22"/>
              </w:rPr>
              <w:t>освітніми</w:t>
            </w:r>
            <w:proofErr w:type="spellEnd"/>
            <w:r w:rsidRPr="007E0AF4">
              <w:rPr>
                <w:sz w:val="22"/>
              </w:rPr>
              <w:t xml:space="preserve"> потребами </w:t>
            </w:r>
            <w:proofErr w:type="spellStart"/>
            <w:r w:rsidRPr="007E0AF4">
              <w:rPr>
                <w:sz w:val="22"/>
              </w:rPr>
              <w:t>займатись</w:t>
            </w:r>
            <w:proofErr w:type="spellEnd"/>
            <w:r w:rsidRPr="007E0AF4">
              <w:rPr>
                <w:sz w:val="22"/>
              </w:rPr>
              <w:t xml:space="preserve"> </w:t>
            </w:r>
            <w:proofErr w:type="spellStart"/>
            <w:r w:rsidRPr="007E0AF4">
              <w:rPr>
                <w:sz w:val="22"/>
              </w:rPr>
              <w:t>командними</w:t>
            </w:r>
            <w:proofErr w:type="spellEnd"/>
            <w:r w:rsidRPr="007E0AF4">
              <w:rPr>
                <w:sz w:val="22"/>
              </w:rPr>
              <w:t xml:space="preserve"> видами спорту.</w:t>
            </w:r>
          </w:p>
          <w:p w:rsidR="0081670D" w:rsidRPr="007E0AF4" w:rsidRDefault="0081670D" w:rsidP="001013F3">
            <w:pPr>
              <w:rPr>
                <w:sz w:val="22"/>
              </w:rPr>
            </w:pPr>
            <w:r w:rsidRPr="007E0AF4">
              <w:rPr>
                <w:sz w:val="22"/>
              </w:rPr>
              <w:t xml:space="preserve">4. </w:t>
            </w:r>
            <w:proofErr w:type="spellStart"/>
            <w:r w:rsidRPr="007E0AF4">
              <w:rPr>
                <w:sz w:val="22"/>
              </w:rPr>
              <w:t>Проведення</w:t>
            </w:r>
            <w:proofErr w:type="spellEnd"/>
            <w:r w:rsidRPr="007E0AF4">
              <w:rPr>
                <w:sz w:val="22"/>
              </w:rPr>
              <w:t xml:space="preserve"> </w:t>
            </w:r>
            <w:proofErr w:type="spellStart"/>
            <w:r w:rsidRPr="007E0AF4">
              <w:rPr>
                <w:sz w:val="22"/>
              </w:rPr>
              <w:t>інноваційних</w:t>
            </w:r>
            <w:proofErr w:type="spellEnd"/>
            <w:r w:rsidRPr="007E0AF4">
              <w:rPr>
                <w:sz w:val="22"/>
              </w:rPr>
              <w:t xml:space="preserve"> </w:t>
            </w:r>
            <w:proofErr w:type="spellStart"/>
            <w:r w:rsidRPr="007E0AF4">
              <w:rPr>
                <w:sz w:val="22"/>
              </w:rPr>
              <w:t>уроків</w:t>
            </w:r>
            <w:proofErr w:type="spellEnd"/>
            <w:r w:rsidRPr="007E0AF4">
              <w:rPr>
                <w:sz w:val="22"/>
              </w:rPr>
              <w:t xml:space="preserve"> не </w:t>
            </w:r>
            <w:proofErr w:type="spellStart"/>
            <w:r w:rsidRPr="007E0AF4">
              <w:rPr>
                <w:sz w:val="22"/>
              </w:rPr>
              <w:t>тільки</w:t>
            </w:r>
            <w:proofErr w:type="spellEnd"/>
            <w:r w:rsidRPr="007E0AF4">
              <w:rPr>
                <w:sz w:val="22"/>
              </w:rPr>
              <w:t xml:space="preserve"> </w:t>
            </w:r>
            <w:proofErr w:type="spellStart"/>
            <w:r w:rsidRPr="007E0AF4">
              <w:rPr>
                <w:sz w:val="22"/>
              </w:rPr>
              <w:t>серед</w:t>
            </w:r>
            <w:proofErr w:type="spellEnd"/>
            <w:r w:rsidRPr="007E0AF4">
              <w:rPr>
                <w:sz w:val="22"/>
              </w:rPr>
              <w:t xml:space="preserve"> </w:t>
            </w:r>
            <w:proofErr w:type="spellStart"/>
            <w:r w:rsidRPr="007E0AF4">
              <w:rPr>
                <w:sz w:val="22"/>
              </w:rPr>
              <w:t>здобувачів</w:t>
            </w:r>
            <w:proofErr w:type="spellEnd"/>
            <w:r w:rsidRPr="007E0AF4">
              <w:rPr>
                <w:sz w:val="22"/>
              </w:rPr>
              <w:t xml:space="preserve"> </w:t>
            </w:r>
            <w:proofErr w:type="spellStart"/>
            <w:r w:rsidRPr="007E0AF4">
              <w:rPr>
                <w:sz w:val="22"/>
              </w:rPr>
              <w:t>освіти</w:t>
            </w:r>
            <w:proofErr w:type="spellEnd"/>
            <w:r w:rsidRPr="007E0AF4">
              <w:rPr>
                <w:sz w:val="22"/>
              </w:rPr>
              <w:t xml:space="preserve"> </w:t>
            </w:r>
            <w:proofErr w:type="spellStart"/>
            <w:r w:rsidRPr="007E0AF4">
              <w:rPr>
                <w:sz w:val="22"/>
              </w:rPr>
              <w:t>військово</w:t>
            </w:r>
            <w:proofErr w:type="spellEnd"/>
            <w:r w:rsidRPr="007E0AF4">
              <w:rPr>
                <w:sz w:val="22"/>
              </w:rPr>
              <w:t xml:space="preserve">-спортивного </w:t>
            </w:r>
            <w:proofErr w:type="spellStart"/>
            <w:r w:rsidRPr="007E0AF4">
              <w:rPr>
                <w:sz w:val="22"/>
              </w:rPr>
              <w:t>профілю</w:t>
            </w:r>
            <w:proofErr w:type="spellEnd"/>
            <w:r w:rsidRPr="007E0AF4">
              <w:rPr>
                <w:sz w:val="22"/>
              </w:rPr>
              <w:t xml:space="preserve">, а й </w:t>
            </w:r>
            <w:proofErr w:type="spellStart"/>
            <w:r w:rsidRPr="007E0AF4">
              <w:rPr>
                <w:sz w:val="22"/>
              </w:rPr>
              <w:t>серед</w:t>
            </w:r>
            <w:proofErr w:type="spellEnd"/>
            <w:r w:rsidRPr="007E0AF4">
              <w:rPr>
                <w:sz w:val="22"/>
              </w:rPr>
              <w:t xml:space="preserve"> </w:t>
            </w:r>
            <w:proofErr w:type="spellStart"/>
            <w:r w:rsidRPr="007E0AF4">
              <w:rPr>
                <w:sz w:val="22"/>
              </w:rPr>
              <w:t>інших</w:t>
            </w:r>
            <w:proofErr w:type="spellEnd"/>
            <w:r w:rsidRPr="007E0AF4">
              <w:rPr>
                <w:sz w:val="22"/>
              </w:rPr>
              <w:t xml:space="preserve"> </w:t>
            </w:r>
            <w:proofErr w:type="spellStart"/>
            <w:r w:rsidRPr="007E0AF4">
              <w:rPr>
                <w:sz w:val="22"/>
              </w:rPr>
              <w:t>ліцеїстів</w:t>
            </w:r>
            <w:proofErr w:type="spellEnd"/>
            <w:r w:rsidRPr="007E0AF4">
              <w:rPr>
                <w:sz w:val="22"/>
              </w:rPr>
              <w:t>.</w:t>
            </w:r>
          </w:p>
          <w:p w:rsidR="0081670D" w:rsidRPr="007E0AF4" w:rsidRDefault="0081670D" w:rsidP="001013F3">
            <w:pPr>
              <w:pStyle w:val="a7"/>
              <w:ind w:left="0"/>
              <w:rPr>
                <w:sz w:val="22"/>
              </w:rPr>
            </w:pPr>
            <w:r w:rsidRPr="007E0AF4">
              <w:rPr>
                <w:sz w:val="22"/>
              </w:rPr>
              <w:t xml:space="preserve">5. </w:t>
            </w:r>
            <w:proofErr w:type="spellStart"/>
            <w:r w:rsidRPr="007E0AF4">
              <w:rPr>
                <w:sz w:val="22"/>
              </w:rPr>
              <w:t>Проведення</w:t>
            </w:r>
            <w:proofErr w:type="spellEnd"/>
            <w:r w:rsidRPr="007E0AF4">
              <w:rPr>
                <w:sz w:val="22"/>
              </w:rPr>
              <w:t xml:space="preserve"> </w:t>
            </w:r>
            <w:proofErr w:type="spellStart"/>
            <w:r w:rsidRPr="007E0AF4">
              <w:rPr>
                <w:sz w:val="22"/>
              </w:rPr>
              <w:t>турнірів</w:t>
            </w:r>
            <w:proofErr w:type="spellEnd"/>
            <w:r w:rsidRPr="007E0AF4">
              <w:rPr>
                <w:sz w:val="22"/>
              </w:rPr>
              <w:t xml:space="preserve"> з </w:t>
            </w:r>
            <w:proofErr w:type="spellStart"/>
            <w:r w:rsidRPr="007E0AF4">
              <w:rPr>
                <w:sz w:val="22"/>
              </w:rPr>
              <w:t>командних</w:t>
            </w:r>
            <w:proofErr w:type="spellEnd"/>
            <w:r w:rsidRPr="007E0AF4">
              <w:rPr>
                <w:sz w:val="22"/>
              </w:rPr>
              <w:t xml:space="preserve"> </w:t>
            </w:r>
            <w:proofErr w:type="spellStart"/>
            <w:r w:rsidRPr="007E0AF4">
              <w:rPr>
                <w:sz w:val="22"/>
              </w:rPr>
              <w:t>видів</w:t>
            </w:r>
            <w:proofErr w:type="spellEnd"/>
            <w:r w:rsidRPr="007E0AF4">
              <w:rPr>
                <w:sz w:val="22"/>
              </w:rPr>
              <w:t xml:space="preserve"> спорту </w:t>
            </w:r>
            <w:proofErr w:type="spellStart"/>
            <w:r w:rsidRPr="007E0AF4">
              <w:rPr>
                <w:sz w:val="22"/>
              </w:rPr>
              <w:t>міського</w:t>
            </w:r>
            <w:proofErr w:type="spellEnd"/>
            <w:r w:rsidRPr="007E0AF4">
              <w:rPr>
                <w:sz w:val="22"/>
              </w:rPr>
              <w:t xml:space="preserve">, </w:t>
            </w:r>
            <w:proofErr w:type="spellStart"/>
            <w:r w:rsidRPr="007E0AF4">
              <w:rPr>
                <w:sz w:val="22"/>
              </w:rPr>
              <w:t>обласного</w:t>
            </w:r>
            <w:proofErr w:type="spellEnd"/>
            <w:r w:rsidRPr="007E0AF4">
              <w:rPr>
                <w:sz w:val="22"/>
              </w:rPr>
              <w:t xml:space="preserve"> та клубного </w:t>
            </w:r>
            <w:proofErr w:type="spellStart"/>
            <w:r w:rsidRPr="007E0AF4">
              <w:rPr>
                <w:sz w:val="22"/>
              </w:rPr>
              <w:t>рівня</w:t>
            </w:r>
            <w:proofErr w:type="spellEnd"/>
            <w:r w:rsidRPr="007E0AF4">
              <w:rPr>
                <w:sz w:val="22"/>
              </w:rPr>
              <w:t>.</w:t>
            </w:r>
          </w:p>
        </w:tc>
      </w:tr>
      <w:tr w:rsidR="0081670D" w:rsidRPr="007E0AF4" w:rsidTr="0081670D">
        <w:trPr>
          <w:trHeight w:val="566"/>
        </w:trPr>
        <w:tc>
          <w:tcPr>
            <w:tcW w:w="2978" w:type="dxa"/>
            <w:vMerge w:val="restart"/>
            <w:shd w:val="clear" w:color="auto" w:fill="C6D9F1" w:themeFill="text2" w:themeFillTint="33"/>
          </w:tcPr>
          <w:p w:rsidR="0081670D" w:rsidRPr="007E0AF4" w:rsidRDefault="0081670D" w:rsidP="001013F3">
            <w:pPr>
              <w:pStyle w:val="a7"/>
              <w:ind w:left="0"/>
              <w:rPr>
                <w:b/>
                <w:sz w:val="22"/>
                <w:lang w:val="uk-UA"/>
              </w:rPr>
            </w:pPr>
            <w:r w:rsidRPr="007E0AF4">
              <w:rPr>
                <w:b/>
                <w:sz w:val="22"/>
                <w:lang w:val="uk-UA"/>
              </w:rPr>
              <w:t xml:space="preserve">Очікувані кількісні результати реалізації </w:t>
            </w:r>
            <w:proofErr w:type="spellStart"/>
            <w:r w:rsidRPr="007E0AF4">
              <w:rPr>
                <w:b/>
                <w:sz w:val="22"/>
                <w:lang w:val="uk-UA"/>
              </w:rPr>
              <w:t>проєкту</w:t>
            </w:r>
            <w:proofErr w:type="spellEnd"/>
            <w:r w:rsidRPr="007E0AF4">
              <w:rPr>
                <w:b/>
                <w:sz w:val="22"/>
                <w:lang w:val="uk-UA"/>
              </w:rPr>
              <w:t xml:space="preserve"> (індикатори)</w:t>
            </w:r>
          </w:p>
        </w:tc>
        <w:tc>
          <w:tcPr>
            <w:tcW w:w="3814" w:type="dxa"/>
            <w:gridSpan w:val="4"/>
            <w:tcBorders>
              <w:bottom w:val="single" w:sz="4" w:space="0" w:color="auto"/>
              <w:right w:val="single" w:sz="4" w:space="0" w:color="auto"/>
            </w:tcBorders>
          </w:tcPr>
          <w:p w:rsidR="0081670D" w:rsidRPr="007E0AF4" w:rsidRDefault="0081670D" w:rsidP="001013F3">
            <w:pPr>
              <w:pStyle w:val="a7"/>
              <w:ind w:left="-108"/>
              <w:jc w:val="center"/>
              <w:rPr>
                <w:b/>
                <w:sz w:val="22"/>
              </w:rPr>
            </w:pPr>
            <w:proofErr w:type="spellStart"/>
            <w:r w:rsidRPr="007E0AF4">
              <w:rPr>
                <w:b/>
                <w:sz w:val="22"/>
              </w:rPr>
              <w:t>Найменування</w:t>
            </w:r>
            <w:proofErr w:type="spellEnd"/>
            <w:r w:rsidRPr="007E0AF4">
              <w:rPr>
                <w:b/>
                <w:sz w:val="22"/>
              </w:rPr>
              <w:t xml:space="preserve"> </w:t>
            </w:r>
            <w:proofErr w:type="spellStart"/>
            <w:r w:rsidRPr="007E0AF4">
              <w:rPr>
                <w:b/>
                <w:sz w:val="22"/>
              </w:rPr>
              <w:t>показника</w:t>
            </w:r>
            <w:proofErr w:type="spellEnd"/>
          </w:p>
        </w:tc>
        <w:tc>
          <w:tcPr>
            <w:tcW w:w="1687" w:type="dxa"/>
            <w:tcBorders>
              <w:left w:val="single" w:sz="4" w:space="0" w:color="auto"/>
              <w:bottom w:val="single" w:sz="4" w:space="0" w:color="auto"/>
              <w:right w:val="single" w:sz="4" w:space="0" w:color="auto"/>
            </w:tcBorders>
          </w:tcPr>
          <w:p w:rsidR="0081670D" w:rsidRPr="007E0AF4" w:rsidRDefault="0081670D" w:rsidP="001013F3">
            <w:pPr>
              <w:pStyle w:val="a7"/>
              <w:ind w:left="0"/>
              <w:jc w:val="center"/>
              <w:rPr>
                <w:b/>
                <w:sz w:val="22"/>
              </w:rPr>
            </w:pPr>
            <w:proofErr w:type="spellStart"/>
            <w:r w:rsidRPr="007E0AF4">
              <w:rPr>
                <w:b/>
                <w:sz w:val="22"/>
              </w:rPr>
              <w:t>Одиниця</w:t>
            </w:r>
            <w:proofErr w:type="spellEnd"/>
            <w:r w:rsidRPr="007E0AF4">
              <w:rPr>
                <w:b/>
                <w:sz w:val="22"/>
              </w:rPr>
              <w:t xml:space="preserve"> </w:t>
            </w:r>
            <w:proofErr w:type="spellStart"/>
            <w:r w:rsidRPr="007E0AF4">
              <w:rPr>
                <w:b/>
                <w:sz w:val="22"/>
              </w:rPr>
              <w:t>вимірювання</w:t>
            </w:r>
            <w:proofErr w:type="spellEnd"/>
          </w:p>
          <w:p w:rsidR="0081670D" w:rsidRPr="007E0AF4" w:rsidRDefault="0081670D" w:rsidP="001013F3">
            <w:pPr>
              <w:pStyle w:val="a7"/>
              <w:ind w:left="0"/>
              <w:rPr>
                <w:b/>
                <w:sz w:val="22"/>
              </w:rPr>
            </w:pPr>
          </w:p>
        </w:tc>
        <w:tc>
          <w:tcPr>
            <w:tcW w:w="1409" w:type="dxa"/>
            <w:gridSpan w:val="2"/>
            <w:tcBorders>
              <w:left w:val="single" w:sz="4" w:space="0" w:color="auto"/>
              <w:bottom w:val="single" w:sz="4" w:space="0" w:color="auto"/>
            </w:tcBorders>
          </w:tcPr>
          <w:p w:rsidR="0081670D" w:rsidRPr="007E0AF4" w:rsidRDefault="0081670D" w:rsidP="001013F3">
            <w:pPr>
              <w:pStyle w:val="a7"/>
              <w:ind w:left="0"/>
              <w:jc w:val="center"/>
              <w:rPr>
                <w:b/>
                <w:sz w:val="22"/>
              </w:rPr>
            </w:pPr>
            <w:proofErr w:type="spellStart"/>
            <w:r w:rsidRPr="007E0AF4">
              <w:rPr>
                <w:b/>
                <w:sz w:val="22"/>
              </w:rPr>
              <w:t>Прогнозне</w:t>
            </w:r>
            <w:proofErr w:type="spellEnd"/>
            <w:r w:rsidRPr="007E0AF4">
              <w:rPr>
                <w:b/>
                <w:sz w:val="22"/>
              </w:rPr>
              <w:t xml:space="preserve"> (</w:t>
            </w:r>
            <w:proofErr w:type="spellStart"/>
            <w:r w:rsidRPr="007E0AF4">
              <w:rPr>
                <w:b/>
                <w:sz w:val="22"/>
              </w:rPr>
              <w:t>цільове</w:t>
            </w:r>
            <w:proofErr w:type="spellEnd"/>
            <w:r w:rsidRPr="007E0AF4">
              <w:rPr>
                <w:b/>
                <w:sz w:val="22"/>
              </w:rPr>
              <w:t xml:space="preserve">) </w:t>
            </w:r>
            <w:proofErr w:type="spellStart"/>
            <w:r w:rsidRPr="007E0AF4">
              <w:rPr>
                <w:b/>
                <w:sz w:val="22"/>
              </w:rPr>
              <w:t>значення</w:t>
            </w:r>
            <w:proofErr w:type="spellEnd"/>
          </w:p>
        </w:tc>
      </w:tr>
      <w:tr w:rsidR="0081670D" w:rsidRPr="007E0AF4" w:rsidTr="0081670D">
        <w:trPr>
          <w:trHeight w:val="565"/>
        </w:trPr>
        <w:tc>
          <w:tcPr>
            <w:tcW w:w="2978" w:type="dxa"/>
            <w:vMerge/>
            <w:shd w:val="clear" w:color="auto" w:fill="C6D9F1" w:themeFill="text2" w:themeFillTint="33"/>
          </w:tcPr>
          <w:p w:rsidR="0081670D" w:rsidRPr="007E0AF4" w:rsidRDefault="0081670D" w:rsidP="001013F3">
            <w:pPr>
              <w:pStyle w:val="a7"/>
              <w:ind w:left="0"/>
              <w:rPr>
                <w:b/>
                <w:sz w:val="22"/>
              </w:rPr>
            </w:pPr>
          </w:p>
        </w:tc>
        <w:tc>
          <w:tcPr>
            <w:tcW w:w="3814" w:type="dxa"/>
            <w:gridSpan w:val="4"/>
            <w:tcBorders>
              <w:top w:val="single" w:sz="4" w:space="0" w:color="auto"/>
              <w:bottom w:val="single" w:sz="4" w:space="0" w:color="auto"/>
              <w:right w:val="single" w:sz="4" w:space="0" w:color="auto"/>
            </w:tcBorders>
          </w:tcPr>
          <w:p w:rsidR="0081670D" w:rsidRPr="007E0AF4" w:rsidRDefault="0081670D" w:rsidP="00434ECC">
            <w:pPr>
              <w:pStyle w:val="a7"/>
              <w:ind w:left="0"/>
              <w:jc w:val="center"/>
              <w:rPr>
                <w:sz w:val="22"/>
              </w:rPr>
            </w:pPr>
            <w:proofErr w:type="spellStart"/>
            <w:r w:rsidRPr="007E0AF4">
              <w:rPr>
                <w:sz w:val="22"/>
              </w:rPr>
              <w:t>Кількість</w:t>
            </w:r>
            <w:proofErr w:type="spellEnd"/>
            <w:r w:rsidRPr="007E0AF4">
              <w:rPr>
                <w:sz w:val="22"/>
              </w:rPr>
              <w:t xml:space="preserve"> </w:t>
            </w:r>
            <w:proofErr w:type="spellStart"/>
            <w:r w:rsidRPr="007E0AF4">
              <w:rPr>
                <w:sz w:val="22"/>
              </w:rPr>
              <w:t>фізичних</w:t>
            </w:r>
            <w:proofErr w:type="spellEnd"/>
            <w:r w:rsidRPr="007E0AF4">
              <w:rPr>
                <w:sz w:val="22"/>
              </w:rPr>
              <w:t xml:space="preserve"> </w:t>
            </w:r>
            <w:proofErr w:type="spellStart"/>
            <w:r w:rsidRPr="007E0AF4">
              <w:rPr>
                <w:sz w:val="22"/>
              </w:rPr>
              <w:t>осіб</w:t>
            </w:r>
            <w:proofErr w:type="spellEnd"/>
            <w:r w:rsidRPr="007E0AF4">
              <w:rPr>
                <w:sz w:val="22"/>
              </w:rPr>
              <w:t xml:space="preserve">, </w:t>
            </w:r>
            <w:proofErr w:type="spellStart"/>
            <w:r w:rsidRPr="007E0AF4">
              <w:rPr>
                <w:sz w:val="22"/>
              </w:rPr>
              <w:t>які</w:t>
            </w:r>
            <w:proofErr w:type="spellEnd"/>
            <w:r w:rsidRPr="007E0AF4">
              <w:rPr>
                <w:sz w:val="22"/>
              </w:rPr>
              <w:t xml:space="preserve"> </w:t>
            </w:r>
            <w:proofErr w:type="spellStart"/>
            <w:r w:rsidRPr="007E0AF4">
              <w:rPr>
                <w:sz w:val="22"/>
              </w:rPr>
              <w:t>звернулись</w:t>
            </w:r>
            <w:proofErr w:type="spellEnd"/>
            <w:r w:rsidRPr="007E0AF4">
              <w:rPr>
                <w:sz w:val="22"/>
              </w:rPr>
              <w:t xml:space="preserve"> за </w:t>
            </w:r>
            <w:proofErr w:type="spellStart"/>
            <w:r w:rsidRPr="007E0AF4">
              <w:rPr>
                <w:sz w:val="22"/>
              </w:rPr>
              <w:t>послугами</w:t>
            </w:r>
            <w:proofErr w:type="spellEnd"/>
            <w:r w:rsidRPr="007E0AF4">
              <w:rPr>
                <w:sz w:val="22"/>
              </w:rPr>
              <w:t xml:space="preserve"> </w:t>
            </w:r>
            <w:proofErr w:type="spellStart"/>
            <w:proofErr w:type="gramStart"/>
            <w:r w:rsidRPr="007E0AF4">
              <w:rPr>
                <w:sz w:val="22"/>
              </w:rPr>
              <w:t>протягом</w:t>
            </w:r>
            <w:proofErr w:type="spellEnd"/>
            <w:r w:rsidRPr="007E0AF4">
              <w:rPr>
                <w:sz w:val="22"/>
              </w:rPr>
              <w:t xml:space="preserve">  року</w:t>
            </w:r>
            <w:proofErr w:type="gramEnd"/>
          </w:p>
        </w:tc>
        <w:tc>
          <w:tcPr>
            <w:tcW w:w="1687" w:type="dxa"/>
            <w:tcBorders>
              <w:top w:val="single" w:sz="4" w:space="0" w:color="auto"/>
              <w:left w:val="single" w:sz="4" w:space="0" w:color="auto"/>
              <w:bottom w:val="single" w:sz="4" w:space="0" w:color="auto"/>
              <w:right w:val="single" w:sz="4" w:space="0" w:color="auto"/>
            </w:tcBorders>
            <w:vAlign w:val="center"/>
          </w:tcPr>
          <w:p w:rsidR="0081670D" w:rsidRPr="007E0AF4" w:rsidRDefault="0081670D" w:rsidP="001013F3">
            <w:pPr>
              <w:pStyle w:val="a7"/>
              <w:ind w:left="0"/>
              <w:rPr>
                <w:sz w:val="22"/>
              </w:rPr>
            </w:pPr>
            <w:r w:rsidRPr="007E0AF4">
              <w:rPr>
                <w:sz w:val="22"/>
              </w:rPr>
              <w:t xml:space="preserve">        </w:t>
            </w:r>
            <w:proofErr w:type="spellStart"/>
            <w:r w:rsidRPr="007E0AF4">
              <w:rPr>
                <w:sz w:val="22"/>
              </w:rPr>
              <w:t>осіб</w:t>
            </w:r>
            <w:proofErr w:type="spellEnd"/>
          </w:p>
        </w:tc>
        <w:tc>
          <w:tcPr>
            <w:tcW w:w="1409" w:type="dxa"/>
            <w:gridSpan w:val="2"/>
            <w:tcBorders>
              <w:top w:val="single" w:sz="4" w:space="0" w:color="auto"/>
              <w:left w:val="single" w:sz="4" w:space="0" w:color="auto"/>
              <w:bottom w:val="single" w:sz="4" w:space="0" w:color="auto"/>
            </w:tcBorders>
          </w:tcPr>
          <w:p w:rsidR="0081670D" w:rsidRPr="007E0AF4" w:rsidRDefault="0081670D" w:rsidP="001013F3">
            <w:pPr>
              <w:pStyle w:val="a7"/>
              <w:ind w:left="0"/>
              <w:rPr>
                <w:b/>
                <w:sz w:val="22"/>
              </w:rPr>
            </w:pPr>
            <w:r w:rsidRPr="007E0AF4">
              <w:rPr>
                <w:sz w:val="22"/>
              </w:rPr>
              <w:t xml:space="preserve">     1 000</w:t>
            </w:r>
          </w:p>
        </w:tc>
      </w:tr>
      <w:tr w:rsidR="0081670D" w:rsidRPr="007E0AF4" w:rsidTr="0081670D">
        <w:tc>
          <w:tcPr>
            <w:tcW w:w="2978" w:type="dxa"/>
            <w:shd w:val="clear" w:color="auto" w:fill="C6D9F1" w:themeFill="text2" w:themeFillTint="33"/>
          </w:tcPr>
          <w:p w:rsidR="0081670D" w:rsidRPr="007E0AF4" w:rsidRDefault="0081670D" w:rsidP="001013F3">
            <w:pPr>
              <w:rPr>
                <w:b/>
                <w:sz w:val="22"/>
              </w:rPr>
            </w:pPr>
            <w:proofErr w:type="spellStart"/>
            <w:r w:rsidRPr="007E0AF4">
              <w:rPr>
                <w:b/>
                <w:sz w:val="22"/>
              </w:rPr>
              <w:t>Ключові</w:t>
            </w:r>
            <w:proofErr w:type="spellEnd"/>
            <w:r w:rsidRPr="007E0AF4">
              <w:rPr>
                <w:b/>
                <w:sz w:val="22"/>
              </w:rPr>
              <w:t xml:space="preserve"> заходи проекту: </w:t>
            </w:r>
          </w:p>
          <w:p w:rsidR="0081670D" w:rsidRPr="007E0AF4" w:rsidRDefault="0081670D" w:rsidP="001013F3">
            <w:pPr>
              <w:pStyle w:val="a7"/>
              <w:ind w:left="0"/>
              <w:rPr>
                <w:b/>
                <w:sz w:val="22"/>
              </w:rPr>
            </w:pPr>
          </w:p>
        </w:tc>
        <w:tc>
          <w:tcPr>
            <w:tcW w:w="6910" w:type="dxa"/>
            <w:gridSpan w:val="7"/>
          </w:tcPr>
          <w:p w:rsidR="0081670D" w:rsidRPr="007E0AF4" w:rsidRDefault="0081670D" w:rsidP="001013F3">
            <w:pPr>
              <w:pStyle w:val="a7"/>
              <w:ind w:left="0"/>
              <w:rPr>
                <w:sz w:val="22"/>
              </w:rPr>
            </w:pPr>
            <w:r w:rsidRPr="007E0AF4">
              <w:rPr>
                <w:sz w:val="22"/>
              </w:rPr>
              <w:t xml:space="preserve">1. </w:t>
            </w:r>
            <w:proofErr w:type="spellStart"/>
            <w:r w:rsidRPr="007E0AF4">
              <w:rPr>
                <w:sz w:val="22"/>
              </w:rPr>
              <w:t>Прийняття</w:t>
            </w:r>
            <w:proofErr w:type="spellEnd"/>
            <w:r w:rsidRPr="007E0AF4">
              <w:rPr>
                <w:sz w:val="22"/>
              </w:rPr>
              <w:t xml:space="preserve"> </w:t>
            </w:r>
            <w:proofErr w:type="spellStart"/>
            <w:r w:rsidRPr="007E0AF4">
              <w:rPr>
                <w:sz w:val="22"/>
              </w:rPr>
              <w:t>рішення</w:t>
            </w:r>
            <w:proofErr w:type="spellEnd"/>
            <w:r w:rsidRPr="007E0AF4">
              <w:rPr>
                <w:sz w:val="22"/>
              </w:rPr>
              <w:t xml:space="preserve"> </w:t>
            </w:r>
            <w:proofErr w:type="spellStart"/>
            <w:r w:rsidRPr="007E0AF4">
              <w:rPr>
                <w:sz w:val="22"/>
              </w:rPr>
              <w:t>щодо</w:t>
            </w:r>
            <w:proofErr w:type="spellEnd"/>
            <w:r w:rsidRPr="007E0AF4">
              <w:rPr>
                <w:sz w:val="22"/>
              </w:rPr>
              <w:t xml:space="preserve"> </w:t>
            </w:r>
            <w:proofErr w:type="spellStart"/>
            <w:r w:rsidRPr="007E0AF4">
              <w:rPr>
                <w:sz w:val="22"/>
              </w:rPr>
              <w:t>реалізації</w:t>
            </w:r>
            <w:proofErr w:type="spellEnd"/>
            <w:r w:rsidRPr="007E0AF4">
              <w:rPr>
                <w:sz w:val="22"/>
              </w:rPr>
              <w:t xml:space="preserve"> </w:t>
            </w:r>
            <w:proofErr w:type="spellStart"/>
            <w:r w:rsidRPr="007E0AF4">
              <w:rPr>
                <w:sz w:val="22"/>
              </w:rPr>
              <w:t>проєкту</w:t>
            </w:r>
            <w:proofErr w:type="spellEnd"/>
            <w:r w:rsidRPr="007E0AF4">
              <w:rPr>
                <w:sz w:val="22"/>
              </w:rPr>
              <w:t>.</w:t>
            </w:r>
          </w:p>
          <w:p w:rsidR="0081670D" w:rsidRPr="007E0AF4" w:rsidRDefault="0081670D" w:rsidP="001013F3">
            <w:pPr>
              <w:pStyle w:val="a7"/>
              <w:ind w:left="0"/>
              <w:rPr>
                <w:sz w:val="22"/>
              </w:rPr>
            </w:pPr>
            <w:r w:rsidRPr="007E0AF4">
              <w:rPr>
                <w:sz w:val="22"/>
              </w:rPr>
              <w:t xml:space="preserve">2. </w:t>
            </w:r>
            <w:proofErr w:type="spellStart"/>
            <w:r w:rsidRPr="007E0AF4">
              <w:rPr>
                <w:sz w:val="22"/>
              </w:rPr>
              <w:t>Виділення</w:t>
            </w:r>
            <w:proofErr w:type="spellEnd"/>
            <w:r w:rsidRPr="007E0AF4">
              <w:rPr>
                <w:sz w:val="22"/>
              </w:rPr>
              <w:t xml:space="preserve"> </w:t>
            </w:r>
            <w:proofErr w:type="spellStart"/>
            <w:r w:rsidRPr="007E0AF4">
              <w:rPr>
                <w:sz w:val="22"/>
              </w:rPr>
              <w:t>фінансових</w:t>
            </w:r>
            <w:proofErr w:type="spellEnd"/>
            <w:r w:rsidRPr="007E0AF4">
              <w:rPr>
                <w:sz w:val="22"/>
              </w:rPr>
              <w:t xml:space="preserve"> </w:t>
            </w:r>
            <w:proofErr w:type="spellStart"/>
            <w:r w:rsidRPr="007E0AF4">
              <w:rPr>
                <w:sz w:val="22"/>
              </w:rPr>
              <w:t>коштів</w:t>
            </w:r>
            <w:proofErr w:type="spellEnd"/>
            <w:r w:rsidRPr="007E0AF4">
              <w:rPr>
                <w:sz w:val="22"/>
              </w:rPr>
              <w:t xml:space="preserve"> на </w:t>
            </w:r>
            <w:proofErr w:type="spellStart"/>
            <w:r w:rsidRPr="007E0AF4">
              <w:rPr>
                <w:sz w:val="22"/>
              </w:rPr>
              <w:t>реалізацію</w:t>
            </w:r>
            <w:proofErr w:type="spellEnd"/>
            <w:r w:rsidRPr="007E0AF4">
              <w:rPr>
                <w:sz w:val="22"/>
              </w:rPr>
              <w:t xml:space="preserve"> </w:t>
            </w:r>
            <w:proofErr w:type="spellStart"/>
            <w:r w:rsidRPr="007E0AF4">
              <w:rPr>
                <w:sz w:val="22"/>
              </w:rPr>
              <w:t>проєкту</w:t>
            </w:r>
            <w:proofErr w:type="spellEnd"/>
            <w:r w:rsidRPr="007E0AF4">
              <w:rPr>
                <w:sz w:val="22"/>
              </w:rPr>
              <w:t>.</w:t>
            </w:r>
          </w:p>
          <w:p w:rsidR="0081670D" w:rsidRPr="007E0AF4" w:rsidRDefault="0081670D" w:rsidP="001013F3">
            <w:pPr>
              <w:pStyle w:val="a7"/>
              <w:ind w:left="0"/>
              <w:rPr>
                <w:sz w:val="22"/>
              </w:rPr>
            </w:pPr>
            <w:r w:rsidRPr="007E0AF4">
              <w:rPr>
                <w:sz w:val="22"/>
              </w:rPr>
              <w:t xml:space="preserve">3. </w:t>
            </w:r>
            <w:proofErr w:type="spellStart"/>
            <w:r w:rsidRPr="007E0AF4">
              <w:rPr>
                <w:sz w:val="22"/>
              </w:rPr>
              <w:t>Підписання</w:t>
            </w:r>
            <w:proofErr w:type="spellEnd"/>
            <w:r w:rsidRPr="007E0AF4">
              <w:rPr>
                <w:sz w:val="22"/>
              </w:rPr>
              <w:t xml:space="preserve"> </w:t>
            </w:r>
            <w:proofErr w:type="spellStart"/>
            <w:r w:rsidRPr="007E0AF4">
              <w:rPr>
                <w:sz w:val="22"/>
              </w:rPr>
              <w:t>договорів</w:t>
            </w:r>
            <w:proofErr w:type="spellEnd"/>
            <w:r w:rsidRPr="007E0AF4">
              <w:rPr>
                <w:sz w:val="22"/>
              </w:rPr>
              <w:t xml:space="preserve"> з </w:t>
            </w:r>
            <w:proofErr w:type="spellStart"/>
            <w:r w:rsidRPr="007E0AF4">
              <w:rPr>
                <w:sz w:val="22"/>
              </w:rPr>
              <w:t>проєктною</w:t>
            </w:r>
            <w:proofErr w:type="spellEnd"/>
            <w:r w:rsidRPr="007E0AF4">
              <w:rPr>
                <w:sz w:val="22"/>
              </w:rPr>
              <w:t xml:space="preserve"> та </w:t>
            </w:r>
            <w:proofErr w:type="spellStart"/>
            <w:r w:rsidRPr="007E0AF4">
              <w:rPr>
                <w:sz w:val="22"/>
              </w:rPr>
              <w:t>підрядною</w:t>
            </w:r>
            <w:proofErr w:type="spellEnd"/>
            <w:r w:rsidRPr="007E0AF4">
              <w:rPr>
                <w:sz w:val="22"/>
              </w:rPr>
              <w:t xml:space="preserve"> </w:t>
            </w:r>
            <w:proofErr w:type="spellStart"/>
            <w:r w:rsidRPr="007E0AF4">
              <w:rPr>
                <w:sz w:val="22"/>
              </w:rPr>
              <w:t>організаціями</w:t>
            </w:r>
            <w:proofErr w:type="spellEnd"/>
            <w:r w:rsidRPr="007E0AF4">
              <w:rPr>
                <w:sz w:val="22"/>
              </w:rPr>
              <w:t>.</w:t>
            </w:r>
          </w:p>
          <w:p w:rsidR="0081670D" w:rsidRPr="007E0AF4" w:rsidRDefault="0081670D" w:rsidP="001013F3">
            <w:pPr>
              <w:pStyle w:val="a7"/>
              <w:ind w:left="0"/>
              <w:rPr>
                <w:sz w:val="22"/>
              </w:rPr>
            </w:pPr>
            <w:r w:rsidRPr="007E0AF4">
              <w:rPr>
                <w:sz w:val="22"/>
              </w:rPr>
              <w:t xml:space="preserve">4. </w:t>
            </w:r>
            <w:proofErr w:type="spellStart"/>
            <w:r w:rsidRPr="007E0AF4">
              <w:rPr>
                <w:sz w:val="22"/>
              </w:rPr>
              <w:t>Складання</w:t>
            </w:r>
            <w:proofErr w:type="spellEnd"/>
            <w:r w:rsidRPr="007E0AF4">
              <w:rPr>
                <w:sz w:val="22"/>
              </w:rPr>
              <w:t xml:space="preserve"> </w:t>
            </w:r>
            <w:proofErr w:type="spellStart"/>
            <w:r w:rsidRPr="007E0AF4">
              <w:rPr>
                <w:sz w:val="22"/>
              </w:rPr>
              <w:t>графіків</w:t>
            </w:r>
            <w:proofErr w:type="spellEnd"/>
            <w:r w:rsidRPr="007E0AF4">
              <w:rPr>
                <w:sz w:val="22"/>
              </w:rPr>
              <w:t xml:space="preserve"> </w:t>
            </w:r>
            <w:proofErr w:type="spellStart"/>
            <w:r w:rsidRPr="007E0AF4">
              <w:rPr>
                <w:sz w:val="22"/>
              </w:rPr>
              <w:t>проєктних</w:t>
            </w:r>
            <w:proofErr w:type="spellEnd"/>
            <w:r w:rsidRPr="007E0AF4">
              <w:rPr>
                <w:sz w:val="22"/>
              </w:rPr>
              <w:t xml:space="preserve">, </w:t>
            </w:r>
            <w:proofErr w:type="spellStart"/>
            <w:r w:rsidRPr="007E0AF4">
              <w:rPr>
                <w:sz w:val="22"/>
              </w:rPr>
              <w:t>ремонтних</w:t>
            </w:r>
            <w:proofErr w:type="spellEnd"/>
            <w:r w:rsidRPr="007E0AF4">
              <w:rPr>
                <w:sz w:val="22"/>
              </w:rPr>
              <w:t xml:space="preserve"> та </w:t>
            </w:r>
            <w:proofErr w:type="spellStart"/>
            <w:r w:rsidRPr="007E0AF4">
              <w:rPr>
                <w:sz w:val="22"/>
              </w:rPr>
              <w:t>будівельно-монтажних</w:t>
            </w:r>
            <w:proofErr w:type="spellEnd"/>
            <w:r w:rsidRPr="007E0AF4">
              <w:rPr>
                <w:sz w:val="22"/>
              </w:rPr>
              <w:t xml:space="preserve"> </w:t>
            </w:r>
            <w:proofErr w:type="spellStart"/>
            <w:r w:rsidRPr="007E0AF4">
              <w:rPr>
                <w:sz w:val="22"/>
              </w:rPr>
              <w:t>робіт</w:t>
            </w:r>
            <w:proofErr w:type="spellEnd"/>
            <w:r w:rsidRPr="007E0AF4">
              <w:rPr>
                <w:sz w:val="22"/>
              </w:rPr>
              <w:t>.</w:t>
            </w:r>
          </w:p>
          <w:p w:rsidR="0081670D" w:rsidRPr="007E0AF4" w:rsidRDefault="0081670D" w:rsidP="001013F3">
            <w:pPr>
              <w:pStyle w:val="a7"/>
              <w:ind w:left="0"/>
              <w:rPr>
                <w:sz w:val="22"/>
              </w:rPr>
            </w:pPr>
            <w:r w:rsidRPr="007E0AF4">
              <w:rPr>
                <w:sz w:val="22"/>
              </w:rPr>
              <w:t xml:space="preserve">5. </w:t>
            </w:r>
            <w:proofErr w:type="spellStart"/>
            <w:r w:rsidRPr="007E0AF4">
              <w:rPr>
                <w:sz w:val="22"/>
              </w:rPr>
              <w:t>Розробка</w:t>
            </w:r>
            <w:proofErr w:type="spellEnd"/>
            <w:r w:rsidRPr="007E0AF4">
              <w:rPr>
                <w:sz w:val="22"/>
              </w:rPr>
              <w:t xml:space="preserve"> </w:t>
            </w:r>
            <w:proofErr w:type="spellStart"/>
            <w:r w:rsidRPr="007E0AF4">
              <w:rPr>
                <w:sz w:val="22"/>
              </w:rPr>
              <w:t>проєктно-кошторисної</w:t>
            </w:r>
            <w:proofErr w:type="spellEnd"/>
            <w:r w:rsidRPr="007E0AF4">
              <w:rPr>
                <w:sz w:val="22"/>
              </w:rPr>
              <w:t xml:space="preserve"> </w:t>
            </w:r>
            <w:proofErr w:type="spellStart"/>
            <w:r w:rsidRPr="007E0AF4">
              <w:rPr>
                <w:sz w:val="22"/>
              </w:rPr>
              <w:t>документації</w:t>
            </w:r>
            <w:proofErr w:type="spellEnd"/>
            <w:r w:rsidRPr="007E0AF4">
              <w:rPr>
                <w:sz w:val="22"/>
              </w:rPr>
              <w:t>.</w:t>
            </w:r>
          </w:p>
          <w:p w:rsidR="0081670D" w:rsidRPr="007E0AF4" w:rsidRDefault="0081670D" w:rsidP="001013F3">
            <w:pPr>
              <w:pStyle w:val="a7"/>
              <w:ind w:left="0"/>
              <w:rPr>
                <w:sz w:val="22"/>
              </w:rPr>
            </w:pPr>
            <w:r w:rsidRPr="007E0AF4">
              <w:rPr>
                <w:sz w:val="22"/>
              </w:rPr>
              <w:t xml:space="preserve">6. </w:t>
            </w:r>
            <w:proofErr w:type="spellStart"/>
            <w:r w:rsidRPr="007E0AF4">
              <w:rPr>
                <w:sz w:val="22"/>
              </w:rPr>
              <w:t>Організація</w:t>
            </w:r>
            <w:proofErr w:type="spellEnd"/>
            <w:r w:rsidRPr="007E0AF4">
              <w:rPr>
                <w:sz w:val="22"/>
              </w:rPr>
              <w:t xml:space="preserve"> </w:t>
            </w:r>
            <w:proofErr w:type="spellStart"/>
            <w:r w:rsidRPr="007E0AF4">
              <w:rPr>
                <w:sz w:val="22"/>
              </w:rPr>
              <w:t>технічного</w:t>
            </w:r>
            <w:proofErr w:type="spellEnd"/>
            <w:r w:rsidRPr="007E0AF4">
              <w:rPr>
                <w:sz w:val="22"/>
              </w:rPr>
              <w:t xml:space="preserve"> </w:t>
            </w:r>
            <w:proofErr w:type="spellStart"/>
            <w:r w:rsidRPr="007E0AF4">
              <w:rPr>
                <w:sz w:val="22"/>
              </w:rPr>
              <w:t>нагляду</w:t>
            </w:r>
            <w:proofErr w:type="spellEnd"/>
            <w:r w:rsidRPr="007E0AF4">
              <w:rPr>
                <w:sz w:val="22"/>
              </w:rPr>
              <w:t xml:space="preserve"> за </w:t>
            </w:r>
            <w:proofErr w:type="spellStart"/>
            <w:r w:rsidRPr="007E0AF4">
              <w:rPr>
                <w:sz w:val="22"/>
              </w:rPr>
              <w:t>будівельно-монтажними</w:t>
            </w:r>
            <w:proofErr w:type="spellEnd"/>
            <w:r w:rsidRPr="007E0AF4">
              <w:rPr>
                <w:sz w:val="22"/>
              </w:rPr>
              <w:t xml:space="preserve"> та </w:t>
            </w:r>
            <w:proofErr w:type="spellStart"/>
            <w:r w:rsidRPr="007E0AF4">
              <w:rPr>
                <w:sz w:val="22"/>
              </w:rPr>
              <w:t>ремонтними</w:t>
            </w:r>
            <w:proofErr w:type="spellEnd"/>
            <w:r w:rsidRPr="007E0AF4">
              <w:rPr>
                <w:sz w:val="22"/>
              </w:rPr>
              <w:t xml:space="preserve"> роботами.</w:t>
            </w:r>
          </w:p>
          <w:p w:rsidR="0081670D" w:rsidRPr="007E0AF4" w:rsidRDefault="0081670D" w:rsidP="001013F3">
            <w:pPr>
              <w:pStyle w:val="a7"/>
              <w:ind w:left="0"/>
              <w:rPr>
                <w:sz w:val="22"/>
              </w:rPr>
            </w:pPr>
            <w:r w:rsidRPr="007E0AF4">
              <w:rPr>
                <w:sz w:val="22"/>
              </w:rPr>
              <w:t xml:space="preserve">7. </w:t>
            </w:r>
            <w:proofErr w:type="spellStart"/>
            <w:r w:rsidRPr="007E0AF4">
              <w:rPr>
                <w:sz w:val="22"/>
              </w:rPr>
              <w:t>Виконання</w:t>
            </w:r>
            <w:proofErr w:type="spellEnd"/>
            <w:r w:rsidRPr="007E0AF4">
              <w:rPr>
                <w:sz w:val="22"/>
              </w:rPr>
              <w:t xml:space="preserve"> </w:t>
            </w:r>
            <w:proofErr w:type="spellStart"/>
            <w:r w:rsidRPr="007E0AF4">
              <w:rPr>
                <w:sz w:val="22"/>
              </w:rPr>
              <w:t>демонтажних</w:t>
            </w:r>
            <w:proofErr w:type="spellEnd"/>
            <w:r w:rsidRPr="007E0AF4">
              <w:rPr>
                <w:sz w:val="22"/>
              </w:rPr>
              <w:t xml:space="preserve"> </w:t>
            </w:r>
            <w:proofErr w:type="spellStart"/>
            <w:r w:rsidRPr="007E0AF4">
              <w:rPr>
                <w:sz w:val="22"/>
              </w:rPr>
              <w:t>робіт</w:t>
            </w:r>
            <w:proofErr w:type="spellEnd"/>
            <w:r w:rsidRPr="007E0AF4">
              <w:rPr>
                <w:sz w:val="22"/>
              </w:rPr>
              <w:t xml:space="preserve"> та </w:t>
            </w:r>
            <w:proofErr w:type="spellStart"/>
            <w:r w:rsidRPr="007E0AF4">
              <w:rPr>
                <w:sz w:val="22"/>
              </w:rPr>
              <w:t>планування</w:t>
            </w:r>
            <w:proofErr w:type="spellEnd"/>
            <w:r w:rsidRPr="007E0AF4">
              <w:rPr>
                <w:sz w:val="22"/>
              </w:rPr>
              <w:t xml:space="preserve"> </w:t>
            </w:r>
            <w:proofErr w:type="spellStart"/>
            <w:r w:rsidRPr="007E0AF4">
              <w:rPr>
                <w:sz w:val="22"/>
              </w:rPr>
              <w:t>території</w:t>
            </w:r>
            <w:proofErr w:type="spellEnd"/>
            <w:r w:rsidRPr="007E0AF4">
              <w:rPr>
                <w:sz w:val="22"/>
              </w:rPr>
              <w:t xml:space="preserve">. </w:t>
            </w:r>
          </w:p>
          <w:p w:rsidR="0081670D" w:rsidRPr="007E0AF4" w:rsidRDefault="0081670D" w:rsidP="001013F3">
            <w:pPr>
              <w:pStyle w:val="a7"/>
              <w:ind w:left="0"/>
              <w:rPr>
                <w:sz w:val="22"/>
              </w:rPr>
            </w:pPr>
            <w:r w:rsidRPr="007E0AF4">
              <w:rPr>
                <w:sz w:val="22"/>
              </w:rPr>
              <w:t xml:space="preserve">8. </w:t>
            </w:r>
            <w:proofErr w:type="spellStart"/>
            <w:r w:rsidRPr="007E0AF4">
              <w:rPr>
                <w:sz w:val="22"/>
              </w:rPr>
              <w:t>Виконання</w:t>
            </w:r>
            <w:proofErr w:type="spellEnd"/>
            <w:r w:rsidRPr="007E0AF4">
              <w:rPr>
                <w:sz w:val="22"/>
              </w:rPr>
              <w:t xml:space="preserve"> </w:t>
            </w:r>
            <w:proofErr w:type="spellStart"/>
            <w:r w:rsidRPr="007E0AF4">
              <w:rPr>
                <w:sz w:val="22"/>
              </w:rPr>
              <w:t>будівельно-монтажних</w:t>
            </w:r>
            <w:proofErr w:type="spellEnd"/>
            <w:r w:rsidRPr="007E0AF4">
              <w:rPr>
                <w:sz w:val="22"/>
              </w:rPr>
              <w:t xml:space="preserve"> та </w:t>
            </w:r>
            <w:proofErr w:type="spellStart"/>
            <w:r w:rsidRPr="007E0AF4">
              <w:rPr>
                <w:sz w:val="22"/>
              </w:rPr>
              <w:t>ремонтних</w:t>
            </w:r>
            <w:proofErr w:type="spellEnd"/>
            <w:r w:rsidRPr="007E0AF4">
              <w:rPr>
                <w:sz w:val="22"/>
              </w:rPr>
              <w:t xml:space="preserve"> </w:t>
            </w:r>
            <w:proofErr w:type="spellStart"/>
            <w:r w:rsidRPr="007E0AF4">
              <w:rPr>
                <w:sz w:val="22"/>
              </w:rPr>
              <w:t>робіт</w:t>
            </w:r>
            <w:proofErr w:type="spellEnd"/>
            <w:r w:rsidRPr="007E0AF4">
              <w:rPr>
                <w:sz w:val="22"/>
              </w:rPr>
              <w:t>.</w:t>
            </w:r>
          </w:p>
          <w:p w:rsidR="0081670D" w:rsidRPr="007E0AF4" w:rsidRDefault="0081670D" w:rsidP="001013F3">
            <w:pPr>
              <w:pStyle w:val="a7"/>
              <w:ind w:left="0"/>
              <w:rPr>
                <w:sz w:val="22"/>
              </w:rPr>
            </w:pPr>
            <w:r w:rsidRPr="007E0AF4">
              <w:rPr>
                <w:sz w:val="22"/>
              </w:rPr>
              <w:t xml:space="preserve">9. </w:t>
            </w:r>
            <w:proofErr w:type="spellStart"/>
            <w:r w:rsidRPr="007E0AF4">
              <w:rPr>
                <w:sz w:val="22"/>
              </w:rPr>
              <w:t>Придбання</w:t>
            </w:r>
            <w:proofErr w:type="spellEnd"/>
            <w:r w:rsidRPr="007E0AF4">
              <w:rPr>
                <w:sz w:val="22"/>
              </w:rPr>
              <w:t xml:space="preserve"> </w:t>
            </w:r>
            <w:proofErr w:type="spellStart"/>
            <w:r w:rsidRPr="007E0AF4">
              <w:rPr>
                <w:sz w:val="22"/>
              </w:rPr>
              <w:t>матеріального</w:t>
            </w:r>
            <w:proofErr w:type="spellEnd"/>
            <w:r w:rsidRPr="007E0AF4">
              <w:rPr>
                <w:sz w:val="22"/>
              </w:rPr>
              <w:t xml:space="preserve">, </w:t>
            </w:r>
            <w:proofErr w:type="spellStart"/>
            <w:r w:rsidRPr="007E0AF4">
              <w:rPr>
                <w:sz w:val="22"/>
              </w:rPr>
              <w:t>технічного</w:t>
            </w:r>
            <w:proofErr w:type="spellEnd"/>
            <w:r w:rsidRPr="007E0AF4">
              <w:rPr>
                <w:sz w:val="22"/>
              </w:rPr>
              <w:t xml:space="preserve"> та </w:t>
            </w:r>
            <w:proofErr w:type="spellStart"/>
            <w:r w:rsidRPr="007E0AF4">
              <w:rPr>
                <w:sz w:val="22"/>
              </w:rPr>
              <w:t>технологічного</w:t>
            </w:r>
            <w:proofErr w:type="spellEnd"/>
            <w:r w:rsidRPr="007E0AF4">
              <w:rPr>
                <w:sz w:val="22"/>
              </w:rPr>
              <w:t xml:space="preserve"> </w:t>
            </w:r>
            <w:proofErr w:type="spellStart"/>
            <w:r w:rsidRPr="007E0AF4">
              <w:rPr>
                <w:sz w:val="22"/>
              </w:rPr>
              <w:t>обладнання</w:t>
            </w:r>
            <w:proofErr w:type="spellEnd"/>
            <w:r w:rsidRPr="007E0AF4">
              <w:rPr>
                <w:sz w:val="22"/>
              </w:rPr>
              <w:t>.</w:t>
            </w:r>
          </w:p>
          <w:p w:rsidR="0081670D" w:rsidRPr="007E0AF4" w:rsidRDefault="0081670D" w:rsidP="001013F3">
            <w:pPr>
              <w:pStyle w:val="a7"/>
              <w:ind w:left="0"/>
              <w:rPr>
                <w:sz w:val="22"/>
              </w:rPr>
            </w:pPr>
            <w:r w:rsidRPr="007E0AF4">
              <w:rPr>
                <w:sz w:val="22"/>
              </w:rPr>
              <w:t xml:space="preserve">10. </w:t>
            </w:r>
            <w:proofErr w:type="spellStart"/>
            <w:r w:rsidRPr="007E0AF4">
              <w:rPr>
                <w:sz w:val="22"/>
              </w:rPr>
              <w:t>Підписання</w:t>
            </w:r>
            <w:proofErr w:type="spellEnd"/>
            <w:r w:rsidRPr="007E0AF4">
              <w:rPr>
                <w:sz w:val="22"/>
              </w:rPr>
              <w:t xml:space="preserve"> акту </w:t>
            </w:r>
            <w:proofErr w:type="spellStart"/>
            <w:r w:rsidRPr="007E0AF4">
              <w:rPr>
                <w:sz w:val="22"/>
              </w:rPr>
              <w:t>прийому-передачі</w:t>
            </w:r>
            <w:proofErr w:type="spellEnd"/>
            <w:r w:rsidRPr="007E0AF4">
              <w:rPr>
                <w:sz w:val="22"/>
              </w:rPr>
              <w:t>.</w:t>
            </w:r>
          </w:p>
          <w:p w:rsidR="00247844" w:rsidRPr="007E0AF4" w:rsidRDefault="00247844" w:rsidP="001013F3">
            <w:pPr>
              <w:pStyle w:val="a7"/>
              <w:ind w:left="0"/>
              <w:rPr>
                <w:sz w:val="22"/>
              </w:rPr>
            </w:pPr>
            <w:r w:rsidRPr="007E0AF4">
              <w:rPr>
                <w:sz w:val="22"/>
              </w:rPr>
              <w:t xml:space="preserve">11.Початок </w:t>
            </w:r>
            <w:proofErr w:type="spellStart"/>
            <w:r w:rsidRPr="007E0AF4">
              <w:rPr>
                <w:sz w:val="22"/>
              </w:rPr>
              <w:t>освітнього</w:t>
            </w:r>
            <w:proofErr w:type="spellEnd"/>
            <w:r w:rsidRPr="007E0AF4">
              <w:rPr>
                <w:sz w:val="22"/>
              </w:rPr>
              <w:t xml:space="preserve"> </w:t>
            </w:r>
            <w:proofErr w:type="spellStart"/>
            <w:r w:rsidRPr="007E0AF4">
              <w:rPr>
                <w:sz w:val="22"/>
              </w:rPr>
              <w:t>процесу</w:t>
            </w:r>
            <w:proofErr w:type="spellEnd"/>
            <w:r w:rsidRPr="007E0AF4">
              <w:rPr>
                <w:sz w:val="22"/>
              </w:rPr>
              <w:t>.</w:t>
            </w:r>
          </w:p>
        </w:tc>
      </w:tr>
      <w:tr w:rsidR="0081670D" w:rsidRPr="002045F5" w:rsidTr="0081670D">
        <w:trPr>
          <w:trHeight w:val="360"/>
        </w:trPr>
        <w:tc>
          <w:tcPr>
            <w:tcW w:w="2978" w:type="dxa"/>
            <w:vMerge w:val="restart"/>
            <w:shd w:val="clear" w:color="auto" w:fill="C6D9F1" w:themeFill="text2" w:themeFillTint="33"/>
          </w:tcPr>
          <w:p w:rsidR="0081670D" w:rsidRPr="002045F5" w:rsidRDefault="0081670D" w:rsidP="001013F3">
            <w:pPr>
              <w:pStyle w:val="a7"/>
              <w:ind w:left="0"/>
              <w:rPr>
                <w:b/>
                <w:sz w:val="22"/>
              </w:rPr>
            </w:pPr>
            <w:proofErr w:type="spellStart"/>
            <w:r w:rsidRPr="002045F5">
              <w:rPr>
                <w:b/>
                <w:sz w:val="22"/>
              </w:rPr>
              <w:t>Орієнтовний</w:t>
            </w:r>
            <w:proofErr w:type="spellEnd"/>
            <w:r w:rsidRPr="002045F5">
              <w:rPr>
                <w:b/>
                <w:sz w:val="22"/>
              </w:rPr>
              <w:t xml:space="preserve"> </w:t>
            </w:r>
            <w:proofErr w:type="spellStart"/>
            <w:r w:rsidRPr="002045F5">
              <w:rPr>
                <w:b/>
                <w:sz w:val="22"/>
              </w:rPr>
              <w:t>обсяг</w:t>
            </w:r>
            <w:proofErr w:type="spellEnd"/>
            <w:r w:rsidRPr="002045F5">
              <w:rPr>
                <w:b/>
                <w:sz w:val="22"/>
              </w:rPr>
              <w:t xml:space="preserve"> та </w:t>
            </w:r>
            <w:proofErr w:type="spellStart"/>
            <w:r w:rsidRPr="002045F5">
              <w:rPr>
                <w:b/>
                <w:sz w:val="22"/>
              </w:rPr>
              <w:t>джерела</w:t>
            </w:r>
            <w:proofErr w:type="spellEnd"/>
            <w:r w:rsidRPr="002045F5">
              <w:rPr>
                <w:b/>
                <w:sz w:val="22"/>
              </w:rPr>
              <w:t xml:space="preserve"> </w:t>
            </w:r>
            <w:proofErr w:type="spellStart"/>
            <w:r w:rsidRPr="002045F5">
              <w:rPr>
                <w:b/>
                <w:sz w:val="22"/>
              </w:rPr>
              <w:t>фінансування</w:t>
            </w:r>
            <w:proofErr w:type="spellEnd"/>
            <w:r w:rsidRPr="002045F5">
              <w:rPr>
                <w:b/>
                <w:sz w:val="22"/>
              </w:rPr>
              <w:t xml:space="preserve">, тис. грн. </w:t>
            </w:r>
          </w:p>
          <w:p w:rsidR="0081670D" w:rsidRPr="002045F5" w:rsidRDefault="0081670D" w:rsidP="001013F3">
            <w:pPr>
              <w:pStyle w:val="a7"/>
              <w:ind w:left="0"/>
              <w:rPr>
                <w:b/>
                <w:sz w:val="22"/>
              </w:rPr>
            </w:pPr>
          </w:p>
        </w:tc>
        <w:tc>
          <w:tcPr>
            <w:tcW w:w="1360" w:type="dxa"/>
            <w:tcBorders>
              <w:bottom w:val="single" w:sz="4" w:space="0" w:color="auto"/>
              <w:right w:val="single" w:sz="4" w:space="0" w:color="auto"/>
            </w:tcBorders>
          </w:tcPr>
          <w:p w:rsidR="0081670D" w:rsidRPr="002045F5" w:rsidRDefault="0081670D" w:rsidP="001013F3">
            <w:pPr>
              <w:pStyle w:val="a7"/>
              <w:ind w:left="0"/>
              <w:jc w:val="center"/>
              <w:rPr>
                <w:b/>
                <w:sz w:val="22"/>
              </w:rPr>
            </w:pPr>
            <w:proofErr w:type="spellStart"/>
            <w:r w:rsidRPr="002045F5">
              <w:rPr>
                <w:b/>
                <w:sz w:val="22"/>
              </w:rPr>
              <w:t>Державний</w:t>
            </w:r>
            <w:proofErr w:type="spellEnd"/>
            <w:r w:rsidRPr="002045F5">
              <w:rPr>
                <w:b/>
                <w:sz w:val="22"/>
              </w:rPr>
              <w:t xml:space="preserve"> бюджет</w:t>
            </w:r>
          </w:p>
        </w:tc>
        <w:tc>
          <w:tcPr>
            <w:tcW w:w="1267" w:type="dxa"/>
            <w:tcBorders>
              <w:bottom w:val="single" w:sz="4" w:space="0" w:color="auto"/>
              <w:right w:val="single" w:sz="4" w:space="0" w:color="auto"/>
            </w:tcBorders>
          </w:tcPr>
          <w:p w:rsidR="0081670D" w:rsidRPr="002045F5" w:rsidRDefault="0081670D" w:rsidP="001013F3">
            <w:pPr>
              <w:pStyle w:val="a7"/>
              <w:ind w:left="0"/>
              <w:jc w:val="center"/>
              <w:rPr>
                <w:b/>
                <w:sz w:val="22"/>
              </w:rPr>
            </w:pPr>
            <w:proofErr w:type="spellStart"/>
            <w:r w:rsidRPr="002045F5">
              <w:rPr>
                <w:b/>
                <w:sz w:val="22"/>
              </w:rPr>
              <w:t>Місцевий</w:t>
            </w:r>
            <w:proofErr w:type="spellEnd"/>
            <w:r w:rsidRPr="002045F5">
              <w:rPr>
                <w:b/>
                <w:sz w:val="22"/>
              </w:rPr>
              <w:t xml:space="preserve"> бюджет</w:t>
            </w:r>
          </w:p>
        </w:tc>
        <w:tc>
          <w:tcPr>
            <w:tcW w:w="2896" w:type="dxa"/>
            <w:gridSpan w:val="4"/>
            <w:tcBorders>
              <w:left w:val="single" w:sz="4" w:space="0" w:color="auto"/>
              <w:bottom w:val="single" w:sz="4" w:space="0" w:color="auto"/>
              <w:right w:val="single" w:sz="4" w:space="0" w:color="auto"/>
            </w:tcBorders>
          </w:tcPr>
          <w:p w:rsidR="0081670D" w:rsidRPr="002045F5" w:rsidRDefault="0081670D" w:rsidP="001013F3">
            <w:pPr>
              <w:pStyle w:val="a7"/>
              <w:ind w:left="0"/>
              <w:jc w:val="center"/>
              <w:rPr>
                <w:b/>
                <w:sz w:val="22"/>
              </w:rPr>
            </w:pPr>
            <w:proofErr w:type="spellStart"/>
            <w:r w:rsidRPr="002045F5">
              <w:rPr>
                <w:b/>
                <w:sz w:val="22"/>
              </w:rPr>
              <w:t>Інші</w:t>
            </w:r>
            <w:proofErr w:type="spellEnd"/>
            <w:r w:rsidRPr="002045F5">
              <w:rPr>
                <w:b/>
                <w:sz w:val="22"/>
              </w:rPr>
              <w:t xml:space="preserve"> </w:t>
            </w:r>
            <w:proofErr w:type="spellStart"/>
            <w:r w:rsidRPr="002045F5">
              <w:rPr>
                <w:b/>
                <w:sz w:val="22"/>
              </w:rPr>
              <w:t>джерела</w:t>
            </w:r>
            <w:proofErr w:type="spellEnd"/>
          </w:p>
        </w:tc>
        <w:tc>
          <w:tcPr>
            <w:tcW w:w="1387" w:type="dxa"/>
            <w:tcBorders>
              <w:left w:val="single" w:sz="4" w:space="0" w:color="auto"/>
              <w:bottom w:val="single" w:sz="4" w:space="0" w:color="auto"/>
            </w:tcBorders>
          </w:tcPr>
          <w:p w:rsidR="0081670D" w:rsidRPr="002045F5" w:rsidRDefault="0081670D" w:rsidP="001013F3">
            <w:pPr>
              <w:pStyle w:val="a7"/>
              <w:ind w:left="0"/>
              <w:jc w:val="center"/>
              <w:rPr>
                <w:b/>
                <w:sz w:val="22"/>
              </w:rPr>
            </w:pPr>
            <w:proofErr w:type="spellStart"/>
            <w:r w:rsidRPr="002045F5">
              <w:rPr>
                <w:b/>
                <w:sz w:val="22"/>
              </w:rPr>
              <w:t>Всього</w:t>
            </w:r>
            <w:proofErr w:type="spellEnd"/>
          </w:p>
        </w:tc>
      </w:tr>
      <w:tr w:rsidR="0081670D" w:rsidRPr="002045F5" w:rsidTr="0081670D">
        <w:trPr>
          <w:trHeight w:val="225"/>
        </w:trPr>
        <w:tc>
          <w:tcPr>
            <w:tcW w:w="2978" w:type="dxa"/>
            <w:vMerge/>
            <w:shd w:val="clear" w:color="auto" w:fill="C6D9F1" w:themeFill="text2" w:themeFillTint="33"/>
          </w:tcPr>
          <w:p w:rsidR="0081670D" w:rsidRPr="002045F5" w:rsidRDefault="0081670D" w:rsidP="001013F3">
            <w:pPr>
              <w:pStyle w:val="a7"/>
              <w:ind w:left="0"/>
              <w:rPr>
                <w:b/>
                <w:sz w:val="22"/>
              </w:rPr>
            </w:pPr>
          </w:p>
        </w:tc>
        <w:tc>
          <w:tcPr>
            <w:tcW w:w="1360" w:type="dxa"/>
            <w:vMerge w:val="restart"/>
            <w:tcBorders>
              <w:top w:val="single" w:sz="4" w:space="0" w:color="auto"/>
              <w:right w:val="single" w:sz="4" w:space="0" w:color="auto"/>
            </w:tcBorders>
          </w:tcPr>
          <w:p w:rsidR="0081670D" w:rsidRPr="002045F5" w:rsidRDefault="0081670D" w:rsidP="001013F3">
            <w:pPr>
              <w:pStyle w:val="a7"/>
              <w:ind w:left="0"/>
              <w:rPr>
                <w:sz w:val="22"/>
              </w:rPr>
            </w:pPr>
            <w:r w:rsidRPr="002045F5">
              <w:rPr>
                <w:sz w:val="22"/>
              </w:rPr>
              <w:t>20 000,0</w:t>
            </w:r>
          </w:p>
        </w:tc>
        <w:tc>
          <w:tcPr>
            <w:tcW w:w="1267" w:type="dxa"/>
            <w:vMerge w:val="restart"/>
            <w:tcBorders>
              <w:top w:val="single" w:sz="4" w:space="0" w:color="auto"/>
              <w:right w:val="single" w:sz="4" w:space="0" w:color="auto"/>
            </w:tcBorders>
          </w:tcPr>
          <w:p w:rsidR="0081670D" w:rsidRPr="002045F5" w:rsidRDefault="0081670D" w:rsidP="001013F3">
            <w:pPr>
              <w:pStyle w:val="a7"/>
              <w:ind w:left="0"/>
              <w:jc w:val="center"/>
              <w:rPr>
                <w:b/>
                <w:sz w:val="22"/>
              </w:rPr>
            </w:pPr>
            <w:r w:rsidRPr="002045F5">
              <w:rPr>
                <w:b/>
                <w:sz w:val="22"/>
              </w:rPr>
              <w:t>-</w:t>
            </w:r>
          </w:p>
        </w:tc>
        <w:tc>
          <w:tcPr>
            <w:tcW w:w="1171" w:type="dxa"/>
            <w:tcBorders>
              <w:top w:val="single" w:sz="4" w:space="0" w:color="auto"/>
              <w:left w:val="single" w:sz="4" w:space="0" w:color="auto"/>
              <w:bottom w:val="single" w:sz="4" w:space="0" w:color="auto"/>
              <w:right w:val="single" w:sz="4" w:space="0" w:color="auto"/>
            </w:tcBorders>
          </w:tcPr>
          <w:p w:rsidR="0081670D" w:rsidRPr="002045F5" w:rsidRDefault="0081670D" w:rsidP="001013F3">
            <w:pPr>
              <w:pStyle w:val="a7"/>
              <w:ind w:left="0"/>
              <w:jc w:val="center"/>
              <w:rPr>
                <w:b/>
                <w:sz w:val="22"/>
              </w:rPr>
            </w:pPr>
            <w:proofErr w:type="spellStart"/>
            <w:r w:rsidRPr="002045F5">
              <w:rPr>
                <w:b/>
                <w:sz w:val="22"/>
              </w:rPr>
              <w:t>Обсяг</w:t>
            </w:r>
            <w:proofErr w:type="spellEnd"/>
          </w:p>
        </w:tc>
        <w:tc>
          <w:tcPr>
            <w:tcW w:w="1725" w:type="dxa"/>
            <w:gridSpan w:val="3"/>
            <w:tcBorders>
              <w:top w:val="single" w:sz="4" w:space="0" w:color="auto"/>
              <w:left w:val="single" w:sz="4" w:space="0" w:color="auto"/>
              <w:bottom w:val="single" w:sz="4" w:space="0" w:color="auto"/>
              <w:right w:val="single" w:sz="4" w:space="0" w:color="auto"/>
            </w:tcBorders>
          </w:tcPr>
          <w:p w:rsidR="0081670D" w:rsidRPr="002045F5" w:rsidRDefault="0081670D" w:rsidP="001013F3">
            <w:pPr>
              <w:pStyle w:val="a7"/>
              <w:ind w:left="0"/>
              <w:jc w:val="center"/>
              <w:rPr>
                <w:b/>
                <w:sz w:val="22"/>
              </w:rPr>
            </w:pPr>
            <w:proofErr w:type="spellStart"/>
            <w:r w:rsidRPr="002045F5">
              <w:rPr>
                <w:b/>
                <w:sz w:val="22"/>
              </w:rPr>
              <w:t>Назва</w:t>
            </w:r>
            <w:proofErr w:type="spellEnd"/>
            <w:r w:rsidRPr="002045F5">
              <w:rPr>
                <w:b/>
                <w:sz w:val="22"/>
              </w:rPr>
              <w:t xml:space="preserve"> </w:t>
            </w:r>
            <w:proofErr w:type="spellStart"/>
            <w:r w:rsidRPr="002045F5">
              <w:rPr>
                <w:b/>
                <w:sz w:val="22"/>
              </w:rPr>
              <w:t>джерела</w:t>
            </w:r>
            <w:proofErr w:type="spellEnd"/>
          </w:p>
        </w:tc>
        <w:tc>
          <w:tcPr>
            <w:tcW w:w="1387" w:type="dxa"/>
            <w:vMerge w:val="restart"/>
            <w:tcBorders>
              <w:top w:val="single" w:sz="4" w:space="0" w:color="auto"/>
              <w:left w:val="single" w:sz="4" w:space="0" w:color="auto"/>
            </w:tcBorders>
          </w:tcPr>
          <w:p w:rsidR="0081670D" w:rsidRPr="002045F5" w:rsidRDefault="0081670D" w:rsidP="001013F3">
            <w:pPr>
              <w:pStyle w:val="a7"/>
              <w:ind w:left="0"/>
              <w:rPr>
                <w:sz w:val="22"/>
              </w:rPr>
            </w:pPr>
            <w:r w:rsidRPr="002045F5">
              <w:rPr>
                <w:sz w:val="22"/>
              </w:rPr>
              <w:t xml:space="preserve">100 000,0 </w:t>
            </w:r>
          </w:p>
        </w:tc>
      </w:tr>
      <w:tr w:rsidR="0081670D" w:rsidRPr="002045F5" w:rsidTr="0081670D">
        <w:trPr>
          <w:trHeight w:val="300"/>
        </w:trPr>
        <w:tc>
          <w:tcPr>
            <w:tcW w:w="2978" w:type="dxa"/>
            <w:vMerge/>
            <w:shd w:val="clear" w:color="auto" w:fill="C6D9F1" w:themeFill="text2" w:themeFillTint="33"/>
          </w:tcPr>
          <w:p w:rsidR="0081670D" w:rsidRPr="002045F5" w:rsidRDefault="0081670D" w:rsidP="001013F3">
            <w:pPr>
              <w:pStyle w:val="a7"/>
              <w:ind w:left="0"/>
              <w:rPr>
                <w:b/>
                <w:sz w:val="22"/>
              </w:rPr>
            </w:pPr>
          </w:p>
        </w:tc>
        <w:tc>
          <w:tcPr>
            <w:tcW w:w="1360" w:type="dxa"/>
            <w:vMerge/>
            <w:tcBorders>
              <w:right w:val="single" w:sz="4" w:space="0" w:color="auto"/>
            </w:tcBorders>
          </w:tcPr>
          <w:p w:rsidR="0081670D" w:rsidRPr="002045F5" w:rsidRDefault="0081670D" w:rsidP="001013F3">
            <w:pPr>
              <w:pStyle w:val="a7"/>
              <w:ind w:left="0"/>
              <w:jc w:val="center"/>
              <w:rPr>
                <w:sz w:val="22"/>
              </w:rPr>
            </w:pPr>
          </w:p>
        </w:tc>
        <w:tc>
          <w:tcPr>
            <w:tcW w:w="1267" w:type="dxa"/>
            <w:vMerge/>
            <w:tcBorders>
              <w:right w:val="single" w:sz="4" w:space="0" w:color="auto"/>
            </w:tcBorders>
          </w:tcPr>
          <w:p w:rsidR="0081670D" w:rsidRPr="002045F5" w:rsidRDefault="0081670D" w:rsidP="001013F3">
            <w:pPr>
              <w:pStyle w:val="a7"/>
              <w:ind w:left="0"/>
              <w:jc w:val="center"/>
              <w:rPr>
                <w:b/>
                <w:sz w:val="22"/>
              </w:rPr>
            </w:pPr>
          </w:p>
        </w:tc>
        <w:tc>
          <w:tcPr>
            <w:tcW w:w="1171" w:type="dxa"/>
            <w:tcBorders>
              <w:top w:val="single" w:sz="4" w:space="0" w:color="auto"/>
              <w:left w:val="single" w:sz="4" w:space="0" w:color="auto"/>
              <w:right w:val="single" w:sz="4" w:space="0" w:color="auto"/>
            </w:tcBorders>
          </w:tcPr>
          <w:p w:rsidR="0081670D" w:rsidRPr="002045F5" w:rsidRDefault="0081670D" w:rsidP="001013F3">
            <w:pPr>
              <w:pStyle w:val="a7"/>
              <w:ind w:left="0"/>
              <w:rPr>
                <w:sz w:val="22"/>
              </w:rPr>
            </w:pPr>
            <w:r w:rsidRPr="002045F5">
              <w:rPr>
                <w:sz w:val="22"/>
              </w:rPr>
              <w:t xml:space="preserve">80 000,0 </w:t>
            </w:r>
          </w:p>
          <w:p w:rsidR="0081670D" w:rsidRPr="002045F5" w:rsidRDefault="0081670D" w:rsidP="001013F3">
            <w:pPr>
              <w:pStyle w:val="a7"/>
              <w:ind w:left="0"/>
              <w:rPr>
                <w:b/>
                <w:sz w:val="22"/>
              </w:rPr>
            </w:pPr>
          </w:p>
        </w:tc>
        <w:tc>
          <w:tcPr>
            <w:tcW w:w="1725" w:type="dxa"/>
            <w:gridSpan w:val="3"/>
            <w:tcBorders>
              <w:top w:val="single" w:sz="4" w:space="0" w:color="auto"/>
              <w:left w:val="single" w:sz="4" w:space="0" w:color="auto"/>
              <w:right w:val="single" w:sz="4" w:space="0" w:color="auto"/>
            </w:tcBorders>
          </w:tcPr>
          <w:p w:rsidR="0081670D" w:rsidRPr="002045F5" w:rsidRDefault="0081670D" w:rsidP="001013F3">
            <w:pPr>
              <w:pStyle w:val="a7"/>
              <w:ind w:left="0"/>
              <w:jc w:val="center"/>
              <w:rPr>
                <w:sz w:val="22"/>
              </w:rPr>
            </w:pPr>
            <w:proofErr w:type="spellStart"/>
            <w:r w:rsidRPr="002045F5">
              <w:rPr>
                <w:sz w:val="22"/>
              </w:rPr>
              <w:t>Міжнародні</w:t>
            </w:r>
            <w:proofErr w:type="spellEnd"/>
            <w:r w:rsidRPr="002045F5">
              <w:rPr>
                <w:sz w:val="22"/>
              </w:rPr>
              <w:t xml:space="preserve"> </w:t>
            </w:r>
            <w:proofErr w:type="spellStart"/>
            <w:r w:rsidRPr="002045F5">
              <w:rPr>
                <w:sz w:val="22"/>
              </w:rPr>
              <w:t>інвестиції</w:t>
            </w:r>
            <w:proofErr w:type="spellEnd"/>
            <w:r w:rsidRPr="002045F5">
              <w:rPr>
                <w:sz w:val="22"/>
              </w:rPr>
              <w:t xml:space="preserve">, </w:t>
            </w:r>
            <w:proofErr w:type="spellStart"/>
            <w:r w:rsidRPr="002045F5">
              <w:rPr>
                <w:sz w:val="22"/>
              </w:rPr>
              <w:t>кошти</w:t>
            </w:r>
            <w:proofErr w:type="spellEnd"/>
            <w:r w:rsidRPr="002045F5">
              <w:rPr>
                <w:sz w:val="22"/>
              </w:rPr>
              <w:t xml:space="preserve"> </w:t>
            </w:r>
            <w:proofErr w:type="spellStart"/>
            <w:r w:rsidRPr="002045F5">
              <w:rPr>
                <w:sz w:val="22"/>
              </w:rPr>
              <w:t>приватних</w:t>
            </w:r>
            <w:proofErr w:type="spellEnd"/>
            <w:r w:rsidRPr="002045F5">
              <w:rPr>
                <w:sz w:val="22"/>
              </w:rPr>
              <w:t xml:space="preserve"> </w:t>
            </w:r>
            <w:proofErr w:type="spellStart"/>
            <w:r w:rsidRPr="002045F5">
              <w:rPr>
                <w:sz w:val="22"/>
              </w:rPr>
              <w:t>осіб</w:t>
            </w:r>
            <w:proofErr w:type="spellEnd"/>
          </w:p>
        </w:tc>
        <w:tc>
          <w:tcPr>
            <w:tcW w:w="1387" w:type="dxa"/>
            <w:vMerge/>
            <w:tcBorders>
              <w:left w:val="single" w:sz="4" w:space="0" w:color="auto"/>
            </w:tcBorders>
          </w:tcPr>
          <w:p w:rsidR="0081670D" w:rsidRPr="002045F5" w:rsidRDefault="0081670D" w:rsidP="001013F3">
            <w:pPr>
              <w:pStyle w:val="a7"/>
              <w:ind w:left="0"/>
              <w:jc w:val="center"/>
              <w:rPr>
                <w:sz w:val="22"/>
              </w:rPr>
            </w:pPr>
          </w:p>
        </w:tc>
      </w:tr>
    </w:tbl>
    <w:p w:rsidR="00DC01CA" w:rsidRPr="002045F5" w:rsidRDefault="00DC01CA" w:rsidP="00E95FB1">
      <w:pPr>
        <w:rPr>
          <w:sz w:val="22"/>
        </w:rPr>
      </w:pPr>
    </w:p>
    <w:p w:rsidR="00DC01CA" w:rsidRPr="002045F5" w:rsidRDefault="00DC01CA" w:rsidP="00E95FB1">
      <w:pPr>
        <w:rPr>
          <w:sz w:val="22"/>
        </w:rPr>
      </w:pPr>
    </w:p>
    <w:tbl>
      <w:tblPr>
        <w:tblStyle w:val="af"/>
        <w:tblW w:w="0" w:type="auto"/>
        <w:tblInd w:w="-147" w:type="dxa"/>
        <w:tblLook w:val="04A0" w:firstRow="1" w:lastRow="0" w:firstColumn="1" w:lastColumn="0" w:noHBand="0" w:noVBand="1"/>
      </w:tblPr>
      <w:tblGrid>
        <w:gridCol w:w="2822"/>
        <w:gridCol w:w="1356"/>
        <w:gridCol w:w="1253"/>
        <w:gridCol w:w="621"/>
        <w:gridCol w:w="696"/>
        <w:gridCol w:w="1005"/>
        <w:gridCol w:w="650"/>
        <w:gridCol w:w="1230"/>
      </w:tblGrid>
      <w:tr w:rsidR="00E824C2" w:rsidRPr="002045F5" w:rsidTr="00E824C2">
        <w:tc>
          <w:tcPr>
            <w:tcW w:w="3090" w:type="dxa"/>
            <w:shd w:val="clear" w:color="auto" w:fill="C6D9F1" w:themeFill="text2" w:themeFillTint="33"/>
          </w:tcPr>
          <w:p w:rsidR="003B7CFF" w:rsidRPr="002045F5" w:rsidRDefault="003B7CFF" w:rsidP="001013F3">
            <w:pPr>
              <w:pStyle w:val="a7"/>
              <w:ind w:left="0"/>
              <w:rPr>
                <w:b/>
                <w:sz w:val="22"/>
              </w:rPr>
            </w:pPr>
            <w:r w:rsidRPr="002045F5">
              <w:rPr>
                <w:b/>
                <w:sz w:val="22"/>
              </w:rPr>
              <w:t xml:space="preserve">Оперативна </w:t>
            </w:r>
            <w:proofErr w:type="spellStart"/>
            <w:r w:rsidRPr="002045F5">
              <w:rPr>
                <w:b/>
                <w:sz w:val="22"/>
              </w:rPr>
              <w:t>ціль</w:t>
            </w:r>
            <w:proofErr w:type="spellEnd"/>
            <w:r w:rsidRPr="002045F5">
              <w:rPr>
                <w:b/>
                <w:sz w:val="22"/>
              </w:rPr>
              <w:t>/</w:t>
            </w:r>
            <w:proofErr w:type="spellStart"/>
            <w:r w:rsidRPr="002045F5">
              <w:rPr>
                <w:b/>
                <w:sz w:val="22"/>
              </w:rPr>
              <w:t>завдання</w:t>
            </w:r>
            <w:proofErr w:type="spellEnd"/>
          </w:p>
        </w:tc>
        <w:tc>
          <w:tcPr>
            <w:tcW w:w="6769" w:type="dxa"/>
            <w:gridSpan w:val="7"/>
            <w:shd w:val="clear" w:color="auto" w:fill="auto"/>
          </w:tcPr>
          <w:p w:rsidR="003B7CFF" w:rsidRPr="002045F5" w:rsidRDefault="003B7CFF" w:rsidP="001013F3">
            <w:pPr>
              <w:pStyle w:val="a7"/>
              <w:ind w:left="0"/>
              <w:rPr>
                <w:sz w:val="22"/>
              </w:rPr>
            </w:pPr>
            <w:proofErr w:type="spellStart"/>
            <w:r w:rsidRPr="002045F5">
              <w:rPr>
                <w:rFonts w:eastAsia="Arial"/>
                <w:sz w:val="22"/>
              </w:rPr>
              <w:t>Людський</w:t>
            </w:r>
            <w:proofErr w:type="spellEnd"/>
            <w:r w:rsidRPr="002045F5">
              <w:rPr>
                <w:rFonts w:eastAsia="Arial"/>
                <w:sz w:val="22"/>
              </w:rPr>
              <w:t xml:space="preserve"> </w:t>
            </w:r>
            <w:proofErr w:type="spellStart"/>
            <w:r w:rsidRPr="002045F5">
              <w:rPr>
                <w:rFonts w:eastAsia="Arial"/>
                <w:sz w:val="22"/>
              </w:rPr>
              <w:t>розвиток</w:t>
            </w:r>
            <w:proofErr w:type="spellEnd"/>
            <w:r w:rsidRPr="002045F5">
              <w:rPr>
                <w:rFonts w:eastAsia="Arial"/>
                <w:sz w:val="22"/>
              </w:rPr>
              <w:t xml:space="preserve"> через </w:t>
            </w:r>
            <w:proofErr w:type="spellStart"/>
            <w:r w:rsidRPr="002045F5">
              <w:rPr>
                <w:rFonts w:eastAsia="Arial"/>
                <w:sz w:val="22"/>
              </w:rPr>
              <w:t>інновації</w:t>
            </w:r>
            <w:proofErr w:type="spellEnd"/>
            <w:r w:rsidRPr="002045F5">
              <w:rPr>
                <w:rFonts w:eastAsia="Arial"/>
                <w:sz w:val="22"/>
              </w:rPr>
              <w:t xml:space="preserve"> </w:t>
            </w:r>
            <w:proofErr w:type="spellStart"/>
            <w:r w:rsidRPr="002045F5">
              <w:rPr>
                <w:rFonts w:eastAsia="Arial"/>
                <w:sz w:val="22"/>
              </w:rPr>
              <w:t>управління</w:t>
            </w:r>
            <w:proofErr w:type="spellEnd"/>
            <w:r w:rsidRPr="002045F5">
              <w:rPr>
                <w:rFonts w:eastAsia="Arial"/>
                <w:sz w:val="22"/>
              </w:rPr>
              <w:t xml:space="preserve"> та </w:t>
            </w:r>
            <w:proofErr w:type="spellStart"/>
            <w:r w:rsidRPr="002045F5">
              <w:rPr>
                <w:rFonts w:eastAsia="Arial"/>
                <w:sz w:val="22"/>
              </w:rPr>
              <w:t>довіру</w:t>
            </w:r>
            <w:proofErr w:type="spellEnd"/>
            <w:r w:rsidRPr="002045F5">
              <w:rPr>
                <w:rFonts w:eastAsia="Arial"/>
                <w:sz w:val="22"/>
              </w:rPr>
              <w:t xml:space="preserve"> до </w:t>
            </w:r>
            <w:proofErr w:type="spellStart"/>
            <w:r w:rsidRPr="002045F5">
              <w:rPr>
                <w:rFonts w:eastAsia="Arial"/>
                <w:sz w:val="22"/>
              </w:rPr>
              <w:t>влади</w:t>
            </w:r>
            <w:proofErr w:type="spellEnd"/>
            <w:r w:rsidRPr="002045F5">
              <w:rPr>
                <w:rFonts w:eastAsia="Arial"/>
                <w:sz w:val="22"/>
              </w:rPr>
              <w:t xml:space="preserve">. </w:t>
            </w:r>
            <w:proofErr w:type="spellStart"/>
            <w:r w:rsidRPr="002045F5">
              <w:rPr>
                <w:rFonts w:eastAsia="Arial"/>
                <w:sz w:val="22"/>
              </w:rPr>
              <w:t>Формування</w:t>
            </w:r>
            <w:proofErr w:type="spellEnd"/>
            <w:r w:rsidRPr="002045F5">
              <w:rPr>
                <w:rFonts w:eastAsia="Arial"/>
                <w:sz w:val="22"/>
              </w:rPr>
              <w:t xml:space="preserve"> </w:t>
            </w:r>
            <w:proofErr w:type="spellStart"/>
            <w:r w:rsidRPr="002045F5">
              <w:rPr>
                <w:rFonts w:eastAsia="Arial"/>
                <w:sz w:val="22"/>
              </w:rPr>
              <w:t>сучасного</w:t>
            </w:r>
            <w:proofErr w:type="spellEnd"/>
            <w:r w:rsidRPr="002045F5">
              <w:rPr>
                <w:rFonts w:eastAsia="Arial"/>
                <w:sz w:val="22"/>
              </w:rPr>
              <w:t xml:space="preserve"> </w:t>
            </w:r>
            <w:proofErr w:type="spellStart"/>
            <w:proofErr w:type="gramStart"/>
            <w:r w:rsidRPr="002045F5">
              <w:rPr>
                <w:rFonts w:eastAsia="Arial"/>
                <w:sz w:val="22"/>
              </w:rPr>
              <w:t>інклюзивного</w:t>
            </w:r>
            <w:proofErr w:type="spellEnd"/>
            <w:r w:rsidRPr="002045F5">
              <w:rPr>
                <w:rFonts w:eastAsia="Arial"/>
                <w:sz w:val="22"/>
              </w:rPr>
              <w:t xml:space="preserve">  </w:t>
            </w:r>
            <w:proofErr w:type="spellStart"/>
            <w:r w:rsidRPr="002045F5">
              <w:rPr>
                <w:rFonts w:eastAsia="Arial"/>
                <w:sz w:val="22"/>
              </w:rPr>
              <w:t>освітньо</w:t>
            </w:r>
            <w:proofErr w:type="spellEnd"/>
            <w:proofErr w:type="gramEnd"/>
            <w:r w:rsidRPr="002045F5">
              <w:rPr>
                <w:rFonts w:eastAsia="Arial"/>
                <w:sz w:val="22"/>
              </w:rPr>
              <w:t xml:space="preserve">-культурного та спортивного простору для </w:t>
            </w:r>
            <w:proofErr w:type="spellStart"/>
            <w:r w:rsidRPr="002045F5">
              <w:rPr>
                <w:rFonts w:eastAsia="Arial"/>
                <w:sz w:val="22"/>
              </w:rPr>
              <w:t>розвитку</w:t>
            </w:r>
            <w:proofErr w:type="spellEnd"/>
          </w:p>
        </w:tc>
      </w:tr>
      <w:tr w:rsidR="003B7CFF" w:rsidRPr="002045F5" w:rsidTr="00E824C2">
        <w:tc>
          <w:tcPr>
            <w:tcW w:w="3090" w:type="dxa"/>
            <w:shd w:val="clear" w:color="auto" w:fill="C6D9F1" w:themeFill="text2" w:themeFillTint="33"/>
          </w:tcPr>
          <w:p w:rsidR="003B7CFF" w:rsidRPr="002045F5" w:rsidRDefault="003B7CFF" w:rsidP="001013F3">
            <w:pPr>
              <w:pStyle w:val="a7"/>
              <w:ind w:left="0"/>
              <w:rPr>
                <w:b/>
                <w:sz w:val="22"/>
              </w:rPr>
            </w:pPr>
            <w:proofErr w:type="spellStart"/>
            <w:r w:rsidRPr="002045F5">
              <w:rPr>
                <w:b/>
                <w:sz w:val="22"/>
              </w:rPr>
              <w:t>Назва</w:t>
            </w:r>
            <w:proofErr w:type="spellEnd"/>
            <w:r w:rsidRPr="002045F5">
              <w:rPr>
                <w:b/>
                <w:sz w:val="22"/>
              </w:rPr>
              <w:t xml:space="preserve"> проекту:</w:t>
            </w:r>
          </w:p>
        </w:tc>
        <w:tc>
          <w:tcPr>
            <w:tcW w:w="6769" w:type="dxa"/>
            <w:gridSpan w:val="7"/>
          </w:tcPr>
          <w:p w:rsidR="003B7CFF" w:rsidRPr="002045F5" w:rsidRDefault="003B7CFF" w:rsidP="001013F3">
            <w:pPr>
              <w:pStyle w:val="a7"/>
              <w:ind w:left="0"/>
              <w:rPr>
                <w:sz w:val="22"/>
              </w:rPr>
            </w:pPr>
            <w:proofErr w:type="spellStart"/>
            <w:r w:rsidRPr="002045F5">
              <w:rPr>
                <w:sz w:val="22"/>
              </w:rPr>
              <w:t>Відновлення</w:t>
            </w:r>
            <w:proofErr w:type="spellEnd"/>
            <w:r w:rsidRPr="002045F5">
              <w:rPr>
                <w:sz w:val="22"/>
              </w:rPr>
              <w:t xml:space="preserve"> </w:t>
            </w:r>
            <w:proofErr w:type="spellStart"/>
            <w:r w:rsidRPr="002045F5">
              <w:rPr>
                <w:sz w:val="22"/>
              </w:rPr>
              <w:t>діяльності</w:t>
            </w:r>
            <w:proofErr w:type="spellEnd"/>
            <w:r w:rsidRPr="002045F5">
              <w:rPr>
                <w:sz w:val="22"/>
              </w:rPr>
              <w:t xml:space="preserve"> </w:t>
            </w:r>
            <w:proofErr w:type="spellStart"/>
            <w:r w:rsidRPr="002045F5">
              <w:rPr>
                <w:sz w:val="22"/>
              </w:rPr>
              <w:t>Ліцею</w:t>
            </w:r>
            <w:proofErr w:type="spellEnd"/>
            <w:r w:rsidRPr="002045F5">
              <w:rPr>
                <w:sz w:val="22"/>
              </w:rPr>
              <w:t xml:space="preserve"> "</w:t>
            </w:r>
            <w:proofErr w:type="spellStart"/>
            <w:r w:rsidRPr="002045F5">
              <w:rPr>
                <w:sz w:val="22"/>
              </w:rPr>
              <w:t>Інітіум</w:t>
            </w:r>
            <w:proofErr w:type="spellEnd"/>
            <w:r w:rsidRPr="002045F5">
              <w:rPr>
                <w:sz w:val="22"/>
              </w:rPr>
              <w:t xml:space="preserve">" </w:t>
            </w:r>
            <w:proofErr w:type="spellStart"/>
            <w:r w:rsidRPr="002045F5">
              <w:rPr>
                <w:sz w:val="22"/>
              </w:rPr>
              <w:t>міста</w:t>
            </w:r>
            <w:proofErr w:type="spellEnd"/>
            <w:r w:rsidRPr="002045F5">
              <w:rPr>
                <w:sz w:val="22"/>
              </w:rPr>
              <w:t xml:space="preserve"> </w:t>
            </w:r>
            <w:proofErr w:type="spellStart"/>
            <w:r w:rsidRPr="002045F5">
              <w:rPr>
                <w:sz w:val="22"/>
              </w:rPr>
              <w:t>Сєвєродонецька</w:t>
            </w:r>
            <w:proofErr w:type="spellEnd"/>
            <w:r w:rsidRPr="002045F5">
              <w:rPr>
                <w:sz w:val="22"/>
              </w:rPr>
              <w:t xml:space="preserve"> </w:t>
            </w:r>
            <w:proofErr w:type="spellStart"/>
            <w:r w:rsidRPr="002045F5">
              <w:rPr>
                <w:sz w:val="22"/>
              </w:rPr>
              <w:t>Луганської</w:t>
            </w:r>
            <w:proofErr w:type="spellEnd"/>
            <w:r w:rsidRPr="002045F5">
              <w:rPr>
                <w:sz w:val="22"/>
              </w:rPr>
              <w:t xml:space="preserve"> </w:t>
            </w:r>
            <w:proofErr w:type="spellStart"/>
            <w:r w:rsidRPr="002045F5">
              <w:rPr>
                <w:sz w:val="22"/>
              </w:rPr>
              <w:t>області</w:t>
            </w:r>
            <w:proofErr w:type="spellEnd"/>
            <w:r w:rsidRPr="002045F5">
              <w:rPr>
                <w:sz w:val="22"/>
              </w:rPr>
              <w:t xml:space="preserve">, пр-т </w:t>
            </w:r>
            <w:proofErr w:type="spellStart"/>
            <w:r w:rsidRPr="002045F5">
              <w:rPr>
                <w:sz w:val="22"/>
              </w:rPr>
              <w:t>Хіміків</w:t>
            </w:r>
            <w:proofErr w:type="spellEnd"/>
            <w:r w:rsidRPr="002045F5">
              <w:rPr>
                <w:sz w:val="22"/>
              </w:rPr>
              <w:t>, буд. 7</w:t>
            </w:r>
          </w:p>
        </w:tc>
      </w:tr>
      <w:tr w:rsidR="003B7CFF" w:rsidRPr="002045F5" w:rsidTr="00E824C2">
        <w:tc>
          <w:tcPr>
            <w:tcW w:w="3090" w:type="dxa"/>
            <w:shd w:val="clear" w:color="auto" w:fill="C6D9F1" w:themeFill="text2" w:themeFillTint="33"/>
          </w:tcPr>
          <w:p w:rsidR="003B7CFF" w:rsidRPr="002045F5" w:rsidRDefault="003B7CFF" w:rsidP="001013F3">
            <w:pPr>
              <w:rPr>
                <w:b/>
                <w:sz w:val="22"/>
              </w:rPr>
            </w:pPr>
            <w:proofErr w:type="spellStart"/>
            <w:r w:rsidRPr="002045F5">
              <w:rPr>
                <w:b/>
                <w:sz w:val="22"/>
              </w:rPr>
              <w:t>Ціль</w:t>
            </w:r>
            <w:proofErr w:type="spellEnd"/>
            <w:r w:rsidRPr="002045F5">
              <w:rPr>
                <w:b/>
                <w:sz w:val="22"/>
              </w:rPr>
              <w:t xml:space="preserve"> проекту</w:t>
            </w:r>
          </w:p>
        </w:tc>
        <w:tc>
          <w:tcPr>
            <w:tcW w:w="6769" w:type="dxa"/>
            <w:gridSpan w:val="7"/>
          </w:tcPr>
          <w:p w:rsidR="003B7CFF" w:rsidRPr="002045F5" w:rsidRDefault="003B7CFF" w:rsidP="00C64D38">
            <w:pPr>
              <w:pStyle w:val="a7"/>
              <w:ind w:left="0"/>
              <w:rPr>
                <w:sz w:val="22"/>
              </w:rPr>
            </w:pPr>
            <w:proofErr w:type="spellStart"/>
            <w:r w:rsidRPr="002045F5">
              <w:rPr>
                <w:sz w:val="22"/>
              </w:rPr>
              <w:t>Створення</w:t>
            </w:r>
            <w:proofErr w:type="spellEnd"/>
            <w:r w:rsidRPr="002045F5">
              <w:rPr>
                <w:sz w:val="22"/>
              </w:rPr>
              <w:t xml:space="preserve"> </w:t>
            </w:r>
            <w:proofErr w:type="spellStart"/>
            <w:r w:rsidRPr="002045F5">
              <w:rPr>
                <w:sz w:val="22"/>
              </w:rPr>
              <w:t>сучасних</w:t>
            </w:r>
            <w:proofErr w:type="spellEnd"/>
            <w:r w:rsidRPr="002045F5">
              <w:rPr>
                <w:sz w:val="22"/>
              </w:rPr>
              <w:t xml:space="preserve"> </w:t>
            </w:r>
            <w:proofErr w:type="spellStart"/>
            <w:r w:rsidRPr="002045F5">
              <w:rPr>
                <w:sz w:val="22"/>
              </w:rPr>
              <w:t>безпечних</w:t>
            </w:r>
            <w:proofErr w:type="spellEnd"/>
            <w:r w:rsidRPr="002045F5">
              <w:rPr>
                <w:sz w:val="22"/>
              </w:rPr>
              <w:t xml:space="preserve"> умов та </w:t>
            </w:r>
            <w:proofErr w:type="spellStart"/>
            <w:r w:rsidRPr="002045F5">
              <w:rPr>
                <w:sz w:val="22"/>
              </w:rPr>
              <w:t>освітнього</w:t>
            </w:r>
            <w:proofErr w:type="spellEnd"/>
            <w:r w:rsidRPr="002045F5">
              <w:rPr>
                <w:sz w:val="22"/>
              </w:rPr>
              <w:t xml:space="preserve"> </w:t>
            </w:r>
            <w:proofErr w:type="spellStart"/>
            <w:r w:rsidRPr="002045F5">
              <w:rPr>
                <w:sz w:val="22"/>
              </w:rPr>
              <w:t>середовища</w:t>
            </w:r>
            <w:proofErr w:type="spellEnd"/>
            <w:r w:rsidRPr="002045F5">
              <w:rPr>
                <w:sz w:val="22"/>
              </w:rPr>
              <w:t xml:space="preserve"> для </w:t>
            </w:r>
            <w:proofErr w:type="spellStart"/>
            <w:r w:rsidRPr="002045F5">
              <w:rPr>
                <w:sz w:val="22"/>
              </w:rPr>
              <w:t>отримання</w:t>
            </w:r>
            <w:proofErr w:type="spellEnd"/>
            <w:r w:rsidRPr="002045F5">
              <w:rPr>
                <w:sz w:val="22"/>
              </w:rPr>
              <w:t xml:space="preserve"> </w:t>
            </w:r>
            <w:proofErr w:type="spellStart"/>
            <w:r w:rsidRPr="002045F5">
              <w:rPr>
                <w:sz w:val="22"/>
              </w:rPr>
              <w:t>профільної</w:t>
            </w:r>
            <w:proofErr w:type="spellEnd"/>
            <w:r w:rsidRPr="002045F5">
              <w:rPr>
                <w:sz w:val="22"/>
              </w:rPr>
              <w:t xml:space="preserve"> </w:t>
            </w:r>
            <w:proofErr w:type="spellStart"/>
            <w:r w:rsidRPr="002045F5">
              <w:rPr>
                <w:sz w:val="22"/>
              </w:rPr>
              <w:t>середньої</w:t>
            </w:r>
            <w:proofErr w:type="spellEnd"/>
            <w:r w:rsidRPr="002045F5">
              <w:rPr>
                <w:sz w:val="22"/>
              </w:rPr>
              <w:t xml:space="preserve"> </w:t>
            </w:r>
            <w:proofErr w:type="spellStart"/>
            <w:r w:rsidRPr="002045F5">
              <w:rPr>
                <w:sz w:val="22"/>
              </w:rPr>
              <w:t>освіти</w:t>
            </w:r>
            <w:proofErr w:type="spellEnd"/>
            <w:r w:rsidRPr="002045F5">
              <w:rPr>
                <w:sz w:val="22"/>
              </w:rPr>
              <w:t xml:space="preserve">. Пропаганда </w:t>
            </w:r>
            <w:proofErr w:type="spellStart"/>
            <w:r w:rsidRPr="002045F5">
              <w:rPr>
                <w:sz w:val="22"/>
              </w:rPr>
              <w:t>культури</w:t>
            </w:r>
            <w:proofErr w:type="spellEnd"/>
            <w:r w:rsidRPr="002045F5">
              <w:rPr>
                <w:sz w:val="22"/>
              </w:rPr>
              <w:t xml:space="preserve">, спорту та </w:t>
            </w:r>
            <w:proofErr w:type="spellStart"/>
            <w:r w:rsidRPr="002045F5">
              <w:rPr>
                <w:sz w:val="22"/>
              </w:rPr>
              <w:t>патріотизму</w:t>
            </w:r>
            <w:proofErr w:type="spellEnd"/>
            <w:r w:rsidRPr="002045F5">
              <w:rPr>
                <w:sz w:val="22"/>
              </w:rPr>
              <w:t xml:space="preserve"> </w:t>
            </w:r>
            <w:proofErr w:type="spellStart"/>
            <w:r w:rsidRPr="002045F5">
              <w:rPr>
                <w:sz w:val="22"/>
              </w:rPr>
              <w:t>серед</w:t>
            </w:r>
            <w:proofErr w:type="spellEnd"/>
            <w:r w:rsidRPr="002045F5">
              <w:rPr>
                <w:sz w:val="22"/>
              </w:rPr>
              <w:t xml:space="preserve"> </w:t>
            </w:r>
            <w:proofErr w:type="spellStart"/>
            <w:r w:rsidRPr="002045F5">
              <w:rPr>
                <w:sz w:val="22"/>
              </w:rPr>
              <w:t>підлітків</w:t>
            </w:r>
            <w:proofErr w:type="spellEnd"/>
            <w:r w:rsidRPr="002045F5">
              <w:rPr>
                <w:sz w:val="22"/>
              </w:rPr>
              <w:t>.</w:t>
            </w:r>
          </w:p>
        </w:tc>
      </w:tr>
      <w:tr w:rsidR="003B7CFF" w:rsidRPr="002045F5" w:rsidTr="00E824C2">
        <w:tc>
          <w:tcPr>
            <w:tcW w:w="3090" w:type="dxa"/>
            <w:shd w:val="clear" w:color="auto" w:fill="C6D9F1" w:themeFill="text2" w:themeFillTint="33"/>
          </w:tcPr>
          <w:p w:rsidR="003B7CFF" w:rsidRPr="002045F5" w:rsidRDefault="003B7CFF" w:rsidP="001013F3">
            <w:pPr>
              <w:pStyle w:val="a7"/>
              <w:ind w:left="0"/>
              <w:rPr>
                <w:b/>
                <w:sz w:val="22"/>
              </w:rPr>
            </w:pPr>
            <w:proofErr w:type="spellStart"/>
            <w:r w:rsidRPr="002045F5">
              <w:rPr>
                <w:b/>
                <w:sz w:val="22"/>
              </w:rPr>
              <w:t>Територія</w:t>
            </w:r>
            <w:proofErr w:type="spellEnd"/>
            <w:r w:rsidRPr="002045F5">
              <w:rPr>
                <w:b/>
                <w:sz w:val="22"/>
              </w:rPr>
              <w:t xml:space="preserve">, </w:t>
            </w:r>
            <w:proofErr w:type="gramStart"/>
            <w:r w:rsidRPr="002045F5">
              <w:rPr>
                <w:b/>
                <w:sz w:val="22"/>
              </w:rPr>
              <w:t>на яку</w:t>
            </w:r>
            <w:proofErr w:type="gramEnd"/>
            <w:r w:rsidRPr="002045F5">
              <w:rPr>
                <w:b/>
                <w:sz w:val="22"/>
              </w:rPr>
              <w:t xml:space="preserve"> </w:t>
            </w:r>
            <w:proofErr w:type="spellStart"/>
            <w:r w:rsidRPr="002045F5">
              <w:rPr>
                <w:b/>
                <w:sz w:val="22"/>
              </w:rPr>
              <w:t>матиме</w:t>
            </w:r>
            <w:proofErr w:type="spellEnd"/>
            <w:r w:rsidRPr="002045F5">
              <w:rPr>
                <w:b/>
                <w:sz w:val="22"/>
              </w:rPr>
              <w:t xml:space="preserve"> </w:t>
            </w:r>
            <w:proofErr w:type="spellStart"/>
            <w:r w:rsidRPr="002045F5">
              <w:rPr>
                <w:b/>
                <w:sz w:val="22"/>
              </w:rPr>
              <w:t>вплив</w:t>
            </w:r>
            <w:proofErr w:type="spellEnd"/>
            <w:r w:rsidRPr="002045F5">
              <w:rPr>
                <w:b/>
                <w:sz w:val="22"/>
              </w:rPr>
              <w:t xml:space="preserve"> </w:t>
            </w:r>
            <w:proofErr w:type="spellStart"/>
            <w:r w:rsidRPr="002045F5">
              <w:rPr>
                <w:b/>
                <w:sz w:val="22"/>
              </w:rPr>
              <w:t>реалізація</w:t>
            </w:r>
            <w:proofErr w:type="spellEnd"/>
            <w:r w:rsidRPr="002045F5">
              <w:rPr>
                <w:b/>
                <w:sz w:val="22"/>
              </w:rPr>
              <w:t xml:space="preserve"> проекту</w:t>
            </w:r>
          </w:p>
        </w:tc>
        <w:tc>
          <w:tcPr>
            <w:tcW w:w="6769" w:type="dxa"/>
            <w:gridSpan w:val="7"/>
          </w:tcPr>
          <w:p w:rsidR="003B7CFF" w:rsidRPr="002045F5" w:rsidRDefault="003B7CFF" w:rsidP="001013F3">
            <w:pPr>
              <w:pStyle w:val="a7"/>
              <w:ind w:left="0"/>
              <w:rPr>
                <w:sz w:val="22"/>
              </w:rPr>
            </w:pPr>
          </w:p>
          <w:p w:rsidR="003B7CFF" w:rsidRPr="002045F5" w:rsidRDefault="003B7CFF" w:rsidP="001013F3">
            <w:pPr>
              <w:pStyle w:val="a7"/>
              <w:ind w:left="0"/>
              <w:rPr>
                <w:sz w:val="22"/>
              </w:rPr>
            </w:pPr>
            <w:proofErr w:type="spellStart"/>
            <w:r w:rsidRPr="002045F5">
              <w:rPr>
                <w:sz w:val="22"/>
              </w:rPr>
              <w:t>Сєвєродонецька</w:t>
            </w:r>
            <w:proofErr w:type="spellEnd"/>
            <w:r w:rsidRPr="002045F5">
              <w:rPr>
                <w:sz w:val="22"/>
              </w:rPr>
              <w:t xml:space="preserve"> </w:t>
            </w:r>
            <w:proofErr w:type="spellStart"/>
            <w:r w:rsidRPr="002045F5">
              <w:rPr>
                <w:sz w:val="22"/>
              </w:rPr>
              <w:t>міська</w:t>
            </w:r>
            <w:proofErr w:type="spellEnd"/>
            <w:r w:rsidRPr="002045F5">
              <w:rPr>
                <w:sz w:val="22"/>
              </w:rPr>
              <w:t xml:space="preserve"> </w:t>
            </w:r>
            <w:proofErr w:type="spellStart"/>
            <w:r w:rsidRPr="002045F5">
              <w:rPr>
                <w:sz w:val="22"/>
              </w:rPr>
              <w:t>територіальна</w:t>
            </w:r>
            <w:proofErr w:type="spellEnd"/>
            <w:r w:rsidRPr="002045F5">
              <w:rPr>
                <w:sz w:val="22"/>
              </w:rPr>
              <w:t xml:space="preserve"> громада</w:t>
            </w:r>
          </w:p>
        </w:tc>
      </w:tr>
      <w:tr w:rsidR="003B7CFF" w:rsidRPr="002045F5" w:rsidTr="00E824C2">
        <w:tc>
          <w:tcPr>
            <w:tcW w:w="3090" w:type="dxa"/>
            <w:shd w:val="clear" w:color="auto" w:fill="C6D9F1" w:themeFill="text2" w:themeFillTint="33"/>
          </w:tcPr>
          <w:p w:rsidR="003B7CFF" w:rsidRPr="002045F5" w:rsidRDefault="003B7CFF" w:rsidP="001013F3">
            <w:pPr>
              <w:pStyle w:val="a7"/>
              <w:ind w:left="0"/>
              <w:rPr>
                <w:b/>
                <w:sz w:val="22"/>
              </w:rPr>
            </w:pPr>
            <w:proofErr w:type="spellStart"/>
            <w:r w:rsidRPr="002045F5">
              <w:rPr>
                <w:b/>
                <w:sz w:val="22"/>
              </w:rPr>
              <w:t>Чисельність</w:t>
            </w:r>
            <w:proofErr w:type="spellEnd"/>
            <w:r w:rsidRPr="002045F5">
              <w:rPr>
                <w:b/>
                <w:sz w:val="22"/>
              </w:rPr>
              <w:t xml:space="preserve"> </w:t>
            </w:r>
            <w:proofErr w:type="spellStart"/>
            <w:r w:rsidRPr="002045F5">
              <w:rPr>
                <w:b/>
                <w:sz w:val="22"/>
              </w:rPr>
              <w:t>населення</w:t>
            </w:r>
            <w:proofErr w:type="spellEnd"/>
            <w:r w:rsidRPr="002045F5">
              <w:rPr>
                <w:b/>
                <w:sz w:val="22"/>
              </w:rPr>
              <w:t xml:space="preserve">, на яке </w:t>
            </w:r>
            <w:proofErr w:type="spellStart"/>
            <w:r w:rsidRPr="002045F5">
              <w:rPr>
                <w:b/>
                <w:sz w:val="22"/>
              </w:rPr>
              <w:t>матиме</w:t>
            </w:r>
            <w:proofErr w:type="spellEnd"/>
            <w:r w:rsidRPr="002045F5">
              <w:rPr>
                <w:b/>
                <w:sz w:val="22"/>
              </w:rPr>
              <w:t xml:space="preserve"> </w:t>
            </w:r>
            <w:proofErr w:type="spellStart"/>
            <w:r w:rsidRPr="002045F5">
              <w:rPr>
                <w:b/>
                <w:sz w:val="22"/>
              </w:rPr>
              <w:t>вплив</w:t>
            </w:r>
            <w:proofErr w:type="spellEnd"/>
            <w:r w:rsidRPr="002045F5">
              <w:rPr>
                <w:b/>
                <w:sz w:val="22"/>
              </w:rPr>
              <w:t xml:space="preserve"> </w:t>
            </w:r>
            <w:proofErr w:type="spellStart"/>
            <w:r w:rsidRPr="002045F5">
              <w:rPr>
                <w:b/>
                <w:sz w:val="22"/>
              </w:rPr>
              <w:t>реалізація</w:t>
            </w:r>
            <w:proofErr w:type="spellEnd"/>
            <w:r w:rsidRPr="002045F5">
              <w:rPr>
                <w:b/>
                <w:sz w:val="22"/>
              </w:rPr>
              <w:t xml:space="preserve"> проекту</w:t>
            </w:r>
          </w:p>
        </w:tc>
        <w:tc>
          <w:tcPr>
            <w:tcW w:w="6769" w:type="dxa"/>
            <w:gridSpan w:val="7"/>
          </w:tcPr>
          <w:p w:rsidR="003B7CFF" w:rsidRPr="002045F5" w:rsidRDefault="003B7CFF" w:rsidP="001013F3">
            <w:pPr>
              <w:pStyle w:val="a7"/>
              <w:ind w:left="0"/>
              <w:rPr>
                <w:sz w:val="22"/>
              </w:rPr>
            </w:pPr>
            <w:r w:rsidRPr="002045F5">
              <w:rPr>
                <w:sz w:val="22"/>
              </w:rPr>
              <w:t xml:space="preserve"> </w:t>
            </w:r>
          </w:p>
          <w:p w:rsidR="003B7CFF" w:rsidRPr="002045F5" w:rsidRDefault="003B7CFF" w:rsidP="001013F3">
            <w:pPr>
              <w:pStyle w:val="a7"/>
              <w:ind w:left="0"/>
              <w:rPr>
                <w:sz w:val="22"/>
              </w:rPr>
            </w:pPr>
            <w:r w:rsidRPr="002045F5">
              <w:rPr>
                <w:sz w:val="22"/>
              </w:rPr>
              <w:t xml:space="preserve">70 </w:t>
            </w:r>
            <w:proofErr w:type="gramStart"/>
            <w:r w:rsidRPr="002045F5">
              <w:rPr>
                <w:sz w:val="22"/>
              </w:rPr>
              <w:t xml:space="preserve">000  </w:t>
            </w:r>
            <w:proofErr w:type="spellStart"/>
            <w:r w:rsidRPr="002045F5">
              <w:rPr>
                <w:sz w:val="22"/>
              </w:rPr>
              <w:t>осіб</w:t>
            </w:r>
            <w:proofErr w:type="spellEnd"/>
            <w:proofErr w:type="gramEnd"/>
          </w:p>
        </w:tc>
      </w:tr>
      <w:tr w:rsidR="003B7CFF" w:rsidRPr="002045F5" w:rsidTr="00E824C2">
        <w:tc>
          <w:tcPr>
            <w:tcW w:w="3090" w:type="dxa"/>
            <w:shd w:val="clear" w:color="auto" w:fill="C6D9F1" w:themeFill="text2" w:themeFillTint="33"/>
          </w:tcPr>
          <w:p w:rsidR="003B7CFF" w:rsidRPr="002045F5" w:rsidRDefault="003B7CFF" w:rsidP="001013F3">
            <w:pPr>
              <w:rPr>
                <w:b/>
                <w:sz w:val="22"/>
              </w:rPr>
            </w:pPr>
            <w:proofErr w:type="spellStart"/>
            <w:r w:rsidRPr="002045F5">
              <w:rPr>
                <w:b/>
                <w:sz w:val="22"/>
              </w:rPr>
              <w:lastRenderedPageBreak/>
              <w:t>Опис</w:t>
            </w:r>
            <w:proofErr w:type="spellEnd"/>
            <w:r w:rsidRPr="002045F5">
              <w:rPr>
                <w:b/>
                <w:sz w:val="22"/>
              </w:rPr>
              <w:t xml:space="preserve"> </w:t>
            </w:r>
            <w:proofErr w:type="spellStart"/>
            <w:r w:rsidRPr="002045F5">
              <w:rPr>
                <w:b/>
                <w:sz w:val="22"/>
              </w:rPr>
              <w:t>проблеми</w:t>
            </w:r>
            <w:proofErr w:type="spellEnd"/>
            <w:r w:rsidRPr="002045F5">
              <w:rPr>
                <w:b/>
                <w:sz w:val="22"/>
              </w:rPr>
              <w:t xml:space="preserve">, на </w:t>
            </w:r>
            <w:proofErr w:type="spellStart"/>
            <w:r w:rsidRPr="002045F5">
              <w:rPr>
                <w:b/>
                <w:sz w:val="22"/>
              </w:rPr>
              <w:t>вирішення</w:t>
            </w:r>
            <w:proofErr w:type="spellEnd"/>
            <w:r w:rsidRPr="002045F5">
              <w:rPr>
                <w:b/>
                <w:sz w:val="22"/>
              </w:rPr>
              <w:t xml:space="preserve"> </w:t>
            </w:r>
            <w:proofErr w:type="spellStart"/>
            <w:proofErr w:type="gramStart"/>
            <w:r w:rsidRPr="002045F5">
              <w:rPr>
                <w:b/>
                <w:sz w:val="22"/>
              </w:rPr>
              <w:t>якої</w:t>
            </w:r>
            <w:proofErr w:type="spellEnd"/>
            <w:r w:rsidRPr="002045F5">
              <w:rPr>
                <w:b/>
                <w:sz w:val="22"/>
              </w:rPr>
              <w:t xml:space="preserve">  </w:t>
            </w:r>
            <w:proofErr w:type="spellStart"/>
            <w:r w:rsidRPr="002045F5">
              <w:rPr>
                <w:b/>
                <w:sz w:val="22"/>
              </w:rPr>
              <w:t>спрямований</w:t>
            </w:r>
            <w:proofErr w:type="spellEnd"/>
            <w:proofErr w:type="gramEnd"/>
            <w:r w:rsidRPr="002045F5">
              <w:rPr>
                <w:b/>
                <w:sz w:val="22"/>
              </w:rPr>
              <w:t xml:space="preserve"> проект</w:t>
            </w:r>
          </w:p>
        </w:tc>
        <w:tc>
          <w:tcPr>
            <w:tcW w:w="6769" w:type="dxa"/>
            <w:gridSpan w:val="7"/>
          </w:tcPr>
          <w:p w:rsidR="003B7CFF" w:rsidRPr="002045F5" w:rsidRDefault="003B7CFF" w:rsidP="00C316B2">
            <w:pPr>
              <w:pStyle w:val="13"/>
              <w:jc w:val="both"/>
              <w:rPr>
                <w:sz w:val="22"/>
                <w:lang w:val="uk-UA"/>
              </w:rPr>
            </w:pPr>
            <w:r w:rsidRPr="002045F5">
              <w:rPr>
                <w:sz w:val="22"/>
                <w:lang w:val="uk-UA"/>
              </w:rPr>
              <w:t>Через військову агресію РФ територія Сєвєродонецької міської територіальної громади зазнала значних пошкоджень. Виникла проблема ліквідування наслідків влуч</w:t>
            </w:r>
            <w:r w:rsidR="00C64D38" w:rsidRPr="002045F5">
              <w:rPr>
                <w:sz w:val="22"/>
                <w:lang w:val="uk-UA"/>
              </w:rPr>
              <w:t>а</w:t>
            </w:r>
            <w:r w:rsidRPr="002045F5">
              <w:rPr>
                <w:sz w:val="22"/>
                <w:lang w:val="uk-UA"/>
              </w:rPr>
              <w:t>нь артилерійських снарядів у несучі конструкції будівлі</w:t>
            </w:r>
            <w:r w:rsidR="00C316B2" w:rsidRPr="002045F5">
              <w:rPr>
                <w:sz w:val="22"/>
                <w:lang w:val="uk-UA"/>
              </w:rPr>
              <w:t>.</w:t>
            </w:r>
            <w:r w:rsidRPr="002045F5">
              <w:rPr>
                <w:sz w:val="22"/>
                <w:lang w:val="uk-UA"/>
              </w:rPr>
              <w:t xml:space="preserve"> </w:t>
            </w:r>
            <w:r w:rsidR="00C316B2" w:rsidRPr="002045F5">
              <w:rPr>
                <w:sz w:val="22"/>
                <w:lang w:val="uk-UA"/>
              </w:rPr>
              <w:t xml:space="preserve">Необхідно </w:t>
            </w:r>
            <w:r w:rsidRPr="002045F5">
              <w:rPr>
                <w:sz w:val="22"/>
                <w:lang w:val="uk-UA"/>
              </w:rPr>
              <w:t xml:space="preserve">будівництво (ремонт) внутрішніх перегородок, навчальних, адміністративних та службових приміщень, монтаж (заміна) віконних склопакетів, інженерних мереж та утеплення фасадних стін. Надання сучасного вигляду будівлі закладу та благоустрою прилеглої території. Також необхідно відновлення матеріально-технічної бази закладу за допомогою використання сучасного обладнання, матеріалів та технологій </w:t>
            </w:r>
          </w:p>
        </w:tc>
      </w:tr>
      <w:tr w:rsidR="003B7CFF" w:rsidRPr="002045F5" w:rsidTr="00E824C2">
        <w:tc>
          <w:tcPr>
            <w:tcW w:w="3090" w:type="dxa"/>
            <w:shd w:val="clear" w:color="auto" w:fill="C6D9F1" w:themeFill="text2" w:themeFillTint="33"/>
          </w:tcPr>
          <w:p w:rsidR="003B7CFF" w:rsidRPr="002045F5" w:rsidRDefault="003B7CFF" w:rsidP="001013F3">
            <w:pPr>
              <w:pStyle w:val="a7"/>
              <w:ind w:left="0"/>
              <w:rPr>
                <w:b/>
                <w:sz w:val="22"/>
              </w:rPr>
            </w:pPr>
            <w:proofErr w:type="spellStart"/>
            <w:r w:rsidRPr="002045F5">
              <w:rPr>
                <w:b/>
                <w:sz w:val="22"/>
              </w:rPr>
              <w:t>Очікувані</w:t>
            </w:r>
            <w:proofErr w:type="spellEnd"/>
            <w:r w:rsidRPr="002045F5">
              <w:rPr>
                <w:b/>
                <w:sz w:val="22"/>
              </w:rPr>
              <w:t xml:space="preserve"> </w:t>
            </w:r>
            <w:proofErr w:type="spellStart"/>
            <w:r w:rsidRPr="002045F5">
              <w:rPr>
                <w:b/>
                <w:sz w:val="22"/>
              </w:rPr>
              <w:t>якісні</w:t>
            </w:r>
            <w:proofErr w:type="spellEnd"/>
            <w:r w:rsidRPr="002045F5">
              <w:rPr>
                <w:b/>
                <w:sz w:val="22"/>
              </w:rPr>
              <w:t xml:space="preserve"> </w:t>
            </w:r>
            <w:proofErr w:type="spellStart"/>
            <w:r w:rsidRPr="002045F5">
              <w:rPr>
                <w:b/>
                <w:sz w:val="22"/>
              </w:rPr>
              <w:t>результати</w:t>
            </w:r>
            <w:proofErr w:type="spellEnd"/>
            <w:r w:rsidRPr="002045F5">
              <w:rPr>
                <w:b/>
                <w:sz w:val="22"/>
              </w:rPr>
              <w:t xml:space="preserve"> </w:t>
            </w:r>
            <w:proofErr w:type="spellStart"/>
            <w:r w:rsidRPr="002045F5">
              <w:rPr>
                <w:b/>
                <w:sz w:val="22"/>
              </w:rPr>
              <w:t>від</w:t>
            </w:r>
            <w:proofErr w:type="spellEnd"/>
            <w:r w:rsidRPr="002045F5">
              <w:rPr>
                <w:b/>
                <w:sz w:val="22"/>
              </w:rPr>
              <w:t xml:space="preserve"> </w:t>
            </w:r>
            <w:proofErr w:type="spellStart"/>
            <w:r w:rsidRPr="002045F5">
              <w:rPr>
                <w:b/>
                <w:sz w:val="22"/>
              </w:rPr>
              <w:t>реалізації</w:t>
            </w:r>
            <w:proofErr w:type="spellEnd"/>
            <w:r w:rsidRPr="002045F5">
              <w:rPr>
                <w:b/>
                <w:sz w:val="22"/>
              </w:rPr>
              <w:t xml:space="preserve"> проекту</w:t>
            </w:r>
          </w:p>
        </w:tc>
        <w:tc>
          <w:tcPr>
            <w:tcW w:w="6769" w:type="dxa"/>
            <w:gridSpan w:val="7"/>
          </w:tcPr>
          <w:p w:rsidR="003B7CFF" w:rsidRPr="002045F5" w:rsidRDefault="003B7CFF" w:rsidP="001013F3">
            <w:pPr>
              <w:pStyle w:val="a7"/>
              <w:ind w:left="0"/>
              <w:rPr>
                <w:sz w:val="22"/>
              </w:rPr>
            </w:pPr>
            <w:r w:rsidRPr="002045F5">
              <w:rPr>
                <w:sz w:val="22"/>
              </w:rPr>
              <w:t xml:space="preserve">1. </w:t>
            </w:r>
            <w:proofErr w:type="spellStart"/>
            <w:r w:rsidRPr="002045F5">
              <w:rPr>
                <w:sz w:val="22"/>
              </w:rPr>
              <w:t>Створення</w:t>
            </w:r>
            <w:proofErr w:type="spellEnd"/>
            <w:r w:rsidRPr="002045F5">
              <w:rPr>
                <w:sz w:val="22"/>
              </w:rPr>
              <w:t xml:space="preserve"> </w:t>
            </w:r>
            <w:proofErr w:type="spellStart"/>
            <w:r w:rsidRPr="002045F5">
              <w:rPr>
                <w:sz w:val="22"/>
              </w:rPr>
              <w:t>безпечного</w:t>
            </w:r>
            <w:proofErr w:type="spellEnd"/>
            <w:r w:rsidRPr="002045F5">
              <w:rPr>
                <w:sz w:val="22"/>
              </w:rPr>
              <w:t xml:space="preserve"> та </w:t>
            </w:r>
            <w:proofErr w:type="spellStart"/>
            <w:r w:rsidRPr="002045F5">
              <w:rPr>
                <w:sz w:val="22"/>
              </w:rPr>
              <w:t>сучасного</w:t>
            </w:r>
            <w:proofErr w:type="spellEnd"/>
            <w:r w:rsidRPr="002045F5">
              <w:rPr>
                <w:sz w:val="22"/>
              </w:rPr>
              <w:t xml:space="preserve"> </w:t>
            </w:r>
            <w:proofErr w:type="spellStart"/>
            <w:r w:rsidRPr="002045F5">
              <w:rPr>
                <w:sz w:val="22"/>
              </w:rPr>
              <w:t>освітнього</w:t>
            </w:r>
            <w:proofErr w:type="spellEnd"/>
            <w:r w:rsidRPr="002045F5">
              <w:rPr>
                <w:sz w:val="22"/>
              </w:rPr>
              <w:t xml:space="preserve"> </w:t>
            </w:r>
            <w:proofErr w:type="spellStart"/>
            <w:r w:rsidRPr="002045F5">
              <w:rPr>
                <w:sz w:val="22"/>
              </w:rPr>
              <w:t>середовища</w:t>
            </w:r>
            <w:proofErr w:type="spellEnd"/>
            <w:r w:rsidRPr="002045F5">
              <w:rPr>
                <w:sz w:val="22"/>
              </w:rPr>
              <w:t>.</w:t>
            </w:r>
          </w:p>
          <w:p w:rsidR="003B7CFF" w:rsidRPr="002045F5" w:rsidRDefault="003B7CFF" w:rsidP="001013F3">
            <w:pPr>
              <w:pStyle w:val="a7"/>
              <w:ind w:left="0"/>
              <w:rPr>
                <w:sz w:val="22"/>
              </w:rPr>
            </w:pPr>
            <w:r w:rsidRPr="002045F5">
              <w:rPr>
                <w:sz w:val="22"/>
              </w:rPr>
              <w:t xml:space="preserve">2. </w:t>
            </w:r>
            <w:proofErr w:type="spellStart"/>
            <w:r w:rsidRPr="002045F5">
              <w:rPr>
                <w:sz w:val="22"/>
              </w:rPr>
              <w:t>Надання</w:t>
            </w:r>
            <w:proofErr w:type="spellEnd"/>
            <w:r w:rsidRPr="002045F5">
              <w:rPr>
                <w:sz w:val="22"/>
              </w:rPr>
              <w:t xml:space="preserve"> </w:t>
            </w:r>
            <w:proofErr w:type="spellStart"/>
            <w:r w:rsidRPr="002045F5">
              <w:rPr>
                <w:sz w:val="22"/>
              </w:rPr>
              <w:t>сучасного</w:t>
            </w:r>
            <w:proofErr w:type="spellEnd"/>
            <w:r w:rsidRPr="002045F5">
              <w:rPr>
                <w:sz w:val="22"/>
              </w:rPr>
              <w:t xml:space="preserve"> </w:t>
            </w:r>
            <w:proofErr w:type="spellStart"/>
            <w:r w:rsidRPr="002045F5">
              <w:rPr>
                <w:sz w:val="22"/>
              </w:rPr>
              <w:t>естетичного</w:t>
            </w:r>
            <w:proofErr w:type="spellEnd"/>
            <w:r w:rsidRPr="002045F5">
              <w:rPr>
                <w:sz w:val="22"/>
              </w:rPr>
              <w:t xml:space="preserve"> </w:t>
            </w:r>
            <w:proofErr w:type="spellStart"/>
            <w:r w:rsidRPr="002045F5">
              <w:rPr>
                <w:sz w:val="22"/>
              </w:rPr>
              <w:t>вигляду</w:t>
            </w:r>
            <w:proofErr w:type="spellEnd"/>
            <w:r w:rsidRPr="002045F5">
              <w:rPr>
                <w:sz w:val="22"/>
              </w:rPr>
              <w:t xml:space="preserve"> </w:t>
            </w:r>
            <w:proofErr w:type="spellStart"/>
            <w:r w:rsidRPr="002045F5">
              <w:rPr>
                <w:sz w:val="22"/>
              </w:rPr>
              <w:t>будівлі</w:t>
            </w:r>
            <w:proofErr w:type="spellEnd"/>
            <w:r w:rsidRPr="002045F5">
              <w:rPr>
                <w:sz w:val="22"/>
              </w:rPr>
              <w:t xml:space="preserve"> </w:t>
            </w:r>
            <w:proofErr w:type="spellStart"/>
            <w:r w:rsidRPr="002045F5">
              <w:rPr>
                <w:sz w:val="22"/>
              </w:rPr>
              <w:t>Ліцею</w:t>
            </w:r>
            <w:proofErr w:type="spellEnd"/>
            <w:r w:rsidRPr="002045F5">
              <w:rPr>
                <w:sz w:val="22"/>
              </w:rPr>
              <w:t>.</w:t>
            </w:r>
          </w:p>
          <w:p w:rsidR="003B7CFF" w:rsidRPr="002045F5" w:rsidRDefault="003B7CFF" w:rsidP="001013F3">
            <w:pPr>
              <w:pStyle w:val="a7"/>
              <w:ind w:left="0"/>
              <w:rPr>
                <w:sz w:val="22"/>
              </w:rPr>
            </w:pPr>
            <w:r w:rsidRPr="002045F5">
              <w:rPr>
                <w:sz w:val="22"/>
              </w:rPr>
              <w:t xml:space="preserve">3. </w:t>
            </w:r>
            <w:proofErr w:type="spellStart"/>
            <w:r w:rsidRPr="002045F5">
              <w:rPr>
                <w:sz w:val="22"/>
              </w:rPr>
              <w:t>Реалізація</w:t>
            </w:r>
            <w:proofErr w:type="spellEnd"/>
            <w:r w:rsidRPr="002045F5">
              <w:rPr>
                <w:sz w:val="22"/>
              </w:rPr>
              <w:t xml:space="preserve"> </w:t>
            </w:r>
            <w:proofErr w:type="spellStart"/>
            <w:r w:rsidRPr="002045F5">
              <w:rPr>
                <w:sz w:val="22"/>
              </w:rPr>
              <w:t>державної</w:t>
            </w:r>
            <w:proofErr w:type="spellEnd"/>
            <w:r w:rsidRPr="002045F5">
              <w:rPr>
                <w:sz w:val="22"/>
              </w:rPr>
              <w:t xml:space="preserve"> </w:t>
            </w:r>
            <w:proofErr w:type="spellStart"/>
            <w:r w:rsidRPr="002045F5">
              <w:rPr>
                <w:sz w:val="22"/>
              </w:rPr>
              <w:t>програми</w:t>
            </w:r>
            <w:proofErr w:type="spellEnd"/>
            <w:r w:rsidRPr="002045F5">
              <w:rPr>
                <w:sz w:val="22"/>
              </w:rPr>
              <w:t xml:space="preserve"> </w:t>
            </w:r>
            <w:proofErr w:type="spellStart"/>
            <w:r w:rsidRPr="002045F5">
              <w:rPr>
                <w:sz w:val="22"/>
              </w:rPr>
              <w:t>Стратегії</w:t>
            </w:r>
            <w:proofErr w:type="spellEnd"/>
            <w:r w:rsidRPr="002045F5">
              <w:rPr>
                <w:sz w:val="22"/>
              </w:rPr>
              <w:t xml:space="preserve"> </w:t>
            </w:r>
            <w:proofErr w:type="spellStart"/>
            <w:r w:rsidRPr="002045F5">
              <w:rPr>
                <w:sz w:val="22"/>
              </w:rPr>
              <w:t>енергозбереження</w:t>
            </w:r>
            <w:proofErr w:type="spellEnd"/>
            <w:r w:rsidRPr="002045F5">
              <w:rPr>
                <w:sz w:val="22"/>
              </w:rPr>
              <w:t>.</w:t>
            </w:r>
          </w:p>
          <w:p w:rsidR="003B7CFF" w:rsidRPr="002045F5" w:rsidRDefault="003B7CFF" w:rsidP="001013F3">
            <w:pPr>
              <w:pStyle w:val="a7"/>
              <w:ind w:left="0"/>
              <w:rPr>
                <w:sz w:val="22"/>
              </w:rPr>
            </w:pPr>
            <w:r w:rsidRPr="002045F5">
              <w:rPr>
                <w:sz w:val="22"/>
              </w:rPr>
              <w:t xml:space="preserve">4. </w:t>
            </w:r>
            <w:proofErr w:type="spellStart"/>
            <w:r w:rsidRPr="002045F5">
              <w:rPr>
                <w:sz w:val="22"/>
              </w:rPr>
              <w:t>Реалізація</w:t>
            </w:r>
            <w:proofErr w:type="spellEnd"/>
            <w:r w:rsidRPr="002045F5">
              <w:rPr>
                <w:sz w:val="22"/>
              </w:rPr>
              <w:t xml:space="preserve"> </w:t>
            </w:r>
            <w:proofErr w:type="spellStart"/>
            <w:r w:rsidRPr="002045F5">
              <w:rPr>
                <w:sz w:val="22"/>
              </w:rPr>
              <w:t>положень</w:t>
            </w:r>
            <w:proofErr w:type="spellEnd"/>
            <w:r w:rsidRPr="002045F5">
              <w:rPr>
                <w:sz w:val="22"/>
              </w:rPr>
              <w:t xml:space="preserve"> ЗУ «Про </w:t>
            </w:r>
            <w:proofErr w:type="spellStart"/>
            <w:r w:rsidRPr="002045F5">
              <w:rPr>
                <w:sz w:val="22"/>
              </w:rPr>
              <w:t>повну</w:t>
            </w:r>
            <w:proofErr w:type="spellEnd"/>
            <w:r w:rsidRPr="002045F5">
              <w:rPr>
                <w:sz w:val="22"/>
              </w:rPr>
              <w:t xml:space="preserve"> </w:t>
            </w:r>
            <w:proofErr w:type="spellStart"/>
            <w:r w:rsidRPr="002045F5">
              <w:rPr>
                <w:sz w:val="22"/>
              </w:rPr>
              <w:t>загальну</w:t>
            </w:r>
            <w:proofErr w:type="spellEnd"/>
            <w:r w:rsidRPr="002045F5">
              <w:rPr>
                <w:sz w:val="22"/>
              </w:rPr>
              <w:t xml:space="preserve"> </w:t>
            </w:r>
            <w:proofErr w:type="spellStart"/>
            <w:r w:rsidRPr="002045F5">
              <w:rPr>
                <w:sz w:val="22"/>
              </w:rPr>
              <w:t>середню</w:t>
            </w:r>
            <w:proofErr w:type="spellEnd"/>
            <w:r w:rsidRPr="002045F5">
              <w:rPr>
                <w:sz w:val="22"/>
              </w:rPr>
              <w:t xml:space="preserve"> </w:t>
            </w:r>
            <w:proofErr w:type="spellStart"/>
            <w:r w:rsidRPr="002045F5">
              <w:rPr>
                <w:sz w:val="22"/>
              </w:rPr>
              <w:t>освіту</w:t>
            </w:r>
            <w:proofErr w:type="spellEnd"/>
            <w:r w:rsidRPr="002045F5">
              <w:rPr>
                <w:sz w:val="22"/>
              </w:rPr>
              <w:t>»</w:t>
            </w:r>
            <w:r w:rsidR="00C64D38" w:rsidRPr="002045F5">
              <w:rPr>
                <w:sz w:val="22"/>
              </w:rPr>
              <w:t>.</w:t>
            </w:r>
          </w:p>
          <w:p w:rsidR="003B7CFF" w:rsidRPr="002045F5" w:rsidRDefault="003B7CFF" w:rsidP="001013F3">
            <w:pPr>
              <w:pStyle w:val="a7"/>
              <w:ind w:left="0"/>
              <w:rPr>
                <w:sz w:val="22"/>
              </w:rPr>
            </w:pPr>
            <w:r w:rsidRPr="002045F5">
              <w:rPr>
                <w:sz w:val="22"/>
              </w:rPr>
              <w:t xml:space="preserve">5. </w:t>
            </w:r>
            <w:proofErr w:type="spellStart"/>
            <w:r w:rsidRPr="002045F5">
              <w:rPr>
                <w:sz w:val="22"/>
              </w:rPr>
              <w:t>Створення</w:t>
            </w:r>
            <w:proofErr w:type="spellEnd"/>
            <w:r w:rsidRPr="002045F5">
              <w:rPr>
                <w:sz w:val="22"/>
              </w:rPr>
              <w:t xml:space="preserve"> умов для </w:t>
            </w:r>
            <w:proofErr w:type="spellStart"/>
            <w:r w:rsidRPr="002045F5">
              <w:rPr>
                <w:sz w:val="22"/>
              </w:rPr>
              <w:t>отримання</w:t>
            </w:r>
            <w:proofErr w:type="spellEnd"/>
            <w:r w:rsidRPr="002045F5">
              <w:rPr>
                <w:sz w:val="22"/>
              </w:rPr>
              <w:t xml:space="preserve"> </w:t>
            </w:r>
            <w:proofErr w:type="spellStart"/>
            <w:r w:rsidRPr="002045F5">
              <w:rPr>
                <w:sz w:val="22"/>
              </w:rPr>
              <w:t>профільної</w:t>
            </w:r>
            <w:proofErr w:type="spellEnd"/>
            <w:r w:rsidRPr="002045F5">
              <w:rPr>
                <w:sz w:val="22"/>
              </w:rPr>
              <w:t xml:space="preserve"> </w:t>
            </w:r>
            <w:proofErr w:type="spellStart"/>
            <w:r w:rsidRPr="002045F5">
              <w:rPr>
                <w:sz w:val="22"/>
              </w:rPr>
              <w:t>середньої</w:t>
            </w:r>
            <w:proofErr w:type="spellEnd"/>
            <w:r w:rsidRPr="002045F5">
              <w:rPr>
                <w:sz w:val="22"/>
              </w:rPr>
              <w:t xml:space="preserve"> </w:t>
            </w:r>
            <w:proofErr w:type="spellStart"/>
            <w:r w:rsidRPr="002045F5">
              <w:rPr>
                <w:sz w:val="22"/>
              </w:rPr>
              <w:t>освіти</w:t>
            </w:r>
            <w:proofErr w:type="spellEnd"/>
            <w:r w:rsidRPr="002045F5">
              <w:rPr>
                <w:sz w:val="22"/>
              </w:rPr>
              <w:t xml:space="preserve"> для </w:t>
            </w:r>
            <w:proofErr w:type="spellStart"/>
            <w:r w:rsidRPr="002045F5">
              <w:rPr>
                <w:sz w:val="22"/>
              </w:rPr>
              <w:t>підлітків</w:t>
            </w:r>
            <w:proofErr w:type="spellEnd"/>
            <w:r w:rsidRPr="002045F5">
              <w:rPr>
                <w:sz w:val="22"/>
              </w:rPr>
              <w:t xml:space="preserve"> </w:t>
            </w:r>
            <w:proofErr w:type="spellStart"/>
            <w:r w:rsidRPr="002045F5">
              <w:rPr>
                <w:sz w:val="22"/>
              </w:rPr>
              <w:t>Сєвєродонецької</w:t>
            </w:r>
            <w:proofErr w:type="spellEnd"/>
            <w:r w:rsidRPr="002045F5">
              <w:rPr>
                <w:sz w:val="22"/>
              </w:rPr>
              <w:t xml:space="preserve"> ТГ. </w:t>
            </w:r>
          </w:p>
          <w:p w:rsidR="003B7CFF" w:rsidRPr="002045F5" w:rsidRDefault="003B7CFF" w:rsidP="001013F3">
            <w:pPr>
              <w:pStyle w:val="a7"/>
              <w:ind w:left="0"/>
              <w:rPr>
                <w:sz w:val="22"/>
              </w:rPr>
            </w:pPr>
            <w:r w:rsidRPr="002045F5">
              <w:rPr>
                <w:sz w:val="22"/>
              </w:rPr>
              <w:t xml:space="preserve">6. </w:t>
            </w:r>
            <w:proofErr w:type="spellStart"/>
            <w:r w:rsidRPr="002045F5">
              <w:rPr>
                <w:sz w:val="22"/>
              </w:rPr>
              <w:t>Створення</w:t>
            </w:r>
            <w:proofErr w:type="spellEnd"/>
            <w:r w:rsidRPr="002045F5">
              <w:rPr>
                <w:sz w:val="22"/>
              </w:rPr>
              <w:t xml:space="preserve"> умов для </w:t>
            </w:r>
            <w:proofErr w:type="spellStart"/>
            <w:r w:rsidRPr="002045F5">
              <w:rPr>
                <w:sz w:val="22"/>
              </w:rPr>
              <w:t>педагогічної</w:t>
            </w:r>
            <w:proofErr w:type="spellEnd"/>
            <w:r w:rsidRPr="002045F5">
              <w:rPr>
                <w:sz w:val="22"/>
              </w:rPr>
              <w:t xml:space="preserve"> </w:t>
            </w:r>
            <w:proofErr w:type="spellStart"/>
            <w:r w:rsidRPr="002045F5">
              <w:rPr>
                <w:sz w:val="22"/>
              </w:rPr>
              <w:t>діяльності</w:t>
            </w:r>
            <w:proofErr w:type="spellEnd"/>
            <w:r w:rsidRPr="002045F5">
              <w:rPr>
                <w:sz w:val="22"/>
              </w:rPr>
              <w:t xml:space="preserve"> </w:t>
            </w:r>
            <w:proofErr w:type="spellStart"/>
            <w:r w:rsidRPr="002045F5">
              <w:rPr>
                <w:sz w:val="22"/>
              </w:rPr>
              <w:t>педпрацівників</w:t>
            </w:r>
            <w:proofErr w:type="spellEnd"/>
            <w:r w:rsidRPr="002045F5">
              <w:rPr>
                <w:sz w:val="22"/>
              </w:rPr>
              <w:t>.</w:t>
            </w:r>
          </w:p>
          <w:p w:rsidR="003B7CFF" w:rsidRPr="002045F5" w:rsidRDefault="003B7CFF" w:rsidP="001013F3">
            <w:pPr>
              <w:pStyle w:val="a7"/>
              <w:ind w:left="0"/>
              <w:rPr>
                <w:sz w:val="22"/>
              </w:rPr>
            </w:pPr>
            <w:r w:rsidRPr="002045F5">
              <w:rPr>
                <w:sz w:val="22"/>
              </w:rPr>
              <w:t xml:space="preserve">7. </w:t>
            </w:r>
            <w:proofErr w:type="spellStart"/>
            <w:r w:rsidRPr="002045F5">
              <w:rPr>
                <w:sz w:val="22"/>
              </w:rPr>
              <w:t>Створення</w:t>
            </w:r>
            <w:proofErr w:type="spellEnd"/>
            <w:r w:rsidRPr="002045F5">
              <w:rPr>
                <w:sz w:val="22"/>
              </w:rPr>
              <w:t xml:space="preserve"> </w:t>
            </w:r>
            <w:proofErr w:type="spellStart"/>
            <w:r w:rsidRPr="002045F5">
              <w:rPr>
                <w:sz w:val="22"/>
              </w:rPr>
              <w:t>сучасної</w:t>
            </w:r>
            <w:proofErr w:type="spellEnd"/>
            <w:r w:rsidRPr="002045F5">
              <w:rPr>
                <w:sz w:val="22"/>
              </w:rPr>
              <w:t xml:space="preserve"> </w:t>
            </w:r>
            <w:proofErr w:type="spellStart"/>
            <w:r w:rsidRPr="002045F5">
              <w:rPr>
                <w:sz w:val="22"/>
              </w:rPr>
              <w:t>матеріально-технічної</w:t>
            </w:r>
            <w:proofErr w:type="spellEnd"/>
            <w:r w:rsidRPr="002045F5">
              <w:rPr>
                <w:sz w:val="22"/>
              </w:rPr>
              <w:t xml:space="preserve"> </w:t>
            </w:r>
            <w:proofErr w:type="spellStart"/>
            <w:r w:rsidRPr="002045F5">
              <w:rPr>
                <w:sz w:val="22"/>
              </w:rPr>
              <w:t>бази</w:t>
            </w:r>
            <w:proofErr w:type="spellEnd"/>
            <w:r w:rsidRPr="002045F5">
              <w:rPr>
                <w:sz w:val="22"/>
              </w:rPr>
              <w:t xml:space="preserve"> </w:t>
            </w:r>
            <w:proofErr w:type="spellStart"/>
            <w:r w:rsidRPr="002045F5">
              <w:rPr>
                <w:sz w:val="22"/>
              </w:rPr>
              <w:t>Ліцею</w:t>
            </w:r>
            <w:proofErr w:type="spellEnd"/>
            <w:r w:rsidRPr="002045F5">
              <w:rPr>
                <w:sz w:val="22"/>
              </w:rPr>
              <w:t xml:space="preserve">. </w:t>
            </w:r>
          </w:p>
        </w:tc>
      </w:tr>
      <w:tr w:rsidR="00E824C2" w:rsidRPr="002045F5" w:rsidTr="00E824C2">
        <w:trPr>
          <w:trHeight w:val="390"/>
        </w:trPr>
        <w:tc>
          <w:tcPr>
            <w:tcW w:w="3090" w:type="dxa"/>
            <w:vMerge w:val="restart"/>
            <w:shd w:val="clear" w:color="auto" w:fill="C6D9F1" w:themeFill="text2" w:themeFillTint="33"/>
          </w:tcPr>
          <w:p w:rsidR="003B7CFF" w:rsidRPr="002045F5" w:rsidRDefault="003B7CFF" w:rsidP="001013F3">
            <w:pPr>
              <w:pStyle w:val="a7"/>
              <w:ind w:left="0"/>
              <w:rPr>
                <w:b/>
                <w:sz w:val="22"/>
                <w:lang w:val="uk-UA"/>
              </w:rPr>
            </w:pPr>
            <w:r w:rsidRPr="002045F5">
              <w:rPr>
                <w:b/>
                <w:sz w:val="22"/>
                <w:lang w:val="uk-UA"/>
              </w:rPr>
              <w:t xml:space="preserve">Очікувані кількісні результати реалізації </w:t>
            </w:r>
            <w:proofErr w:type="spellStart"/>
            <w:r w:rsidRPr="002045F5">
              <w:rPr>
                <w:b/>
                <w:sz w:val="22"/>
                <w:lang w:val="uk-UA"/>
              </w:rPr>
              <w:t>проєкту</w:t>
            </w:r>
            <w:proofErr w:type="spellEnd"/>
            <w:r w:rsidRPr="002045F5">
              <w:rPr>
                <w:b/>
                <w:sz w:val="22"/>
                <w:lang w:val="uk-UA"/>
              </w:rPr>
              <w:t xml:space="preserve"> (індикатори)</w:t>
            </w:r>
          </w:p>
        </w:tc>
        <w:tc>
          <w:tcPr>
            <w:tcW w:w="3115" w:type="dxa"/>
            <w:gridSpan w:val="3"/>
            <w:tcBorders>
              <w:bottom w:val="single" w:sz="4" w:space="0" w:color="auto"/>
              <w:right w:val="single" w:sz="4" w:space="0" w:color="auto"/>
            </w:tcBorders>
          </w:tcPr>
          <w:p w:rsidR="003B7CFF" w:rsidRPr="002045F5" w:rsidRDefault="003B7CFF" w:rsidP="001013F3">
            <w:pPr>
              <w:pStyle w:val="a7"/>
              <w:ind w:left="-108"/>
              <w:jc w:val="center"/>
              <w:rPr>
                <w:b/>
                <w:sz w:val="22"/>
              </w:rPr>
            </w:pPr>
            <w:proofErr w:type="spellStart"/>
            <w:r w:rsidRPr="002045F5">
              <w:rPr>
                <w:b/>
                <w:sz w:val="22"/>
              </w:rPr>
              <w:t>Найменування</w:t>
            </w:r>
            <w:proofErr w:type="spellEnd"/>
            <w:r w:rsidRPr="002045F5">
              <w:rPr>
                <w:b/>
                <w:sz w:val="22"/>
              </w:rPr>
              <w:t xml:space="preserve"> </w:t>
            </w:r>
            <w:proofErr w:type="spellStart"/>
            <w:r w:rsidRPr="002045F5">
              <w:rPr>
                <w:b/>
                <w:sz w:val="22"/>
              </w:rPr>
              <w:t>показника</w:t>
            </w:r>
            <w:proofErr w:type="spellEnd"/>
          </w:p>
        </w:tc>
        <w:tc>
          <w:tcPr>
            <w:tcW w:w="1701" w:type="dxa"/>
            <w:gridSpan w:val="2"/>
            <w:tcBorders>
              <w:left w:val="single" w:sz="4" w:space="0" w:color="auto"/>
              <w:bottom w:val="single" w:sz="4" w:space="0" w:color="auto"/>
              <w:right w:val="single" w:sz="4" w:space="0" w:color="auto"/>
            </w:tcBorders>
          </w:tcPr>
          <w:p w:rsidR="003B7CFF" w:rsidRPr="002045F5" w:rsidRDefault="003B7CFF" w:rsidP="001013F3">
            <w:pPr>
              <w:pStyle w:val="a7"/>
              <w:ind w:left="0"/>
              <w:jc w:val="center"/>
              <w:rPr>
                <w:b/>
                <w:sz w:val="22"/>
              </w:rPr>
            </w:pPr>
            <w:proofErr w:type="spellStart"/>
            <w:r w:rsidRPr="002045F5">
              <w:rPr>
                <w:b/>
                <w:sz w:val="22"/>
              </w:rPr>
              <w:t>Одиниця</w:t>
            </w:r>
            <w:proofErr w:type="spellEnd"/>
            <w:r w:rsidRPr="002045F5">
              <w:rPr>
                <w:b/>
                <w:sz w:val="22"/>
              </w:rPr>
              <w:t xml:space="preserve"> </w:t>
            </w:r>
            <w:proofErr w:type="spellStart"/>
            <w:r w:rsidRPr="002045F5">
              <w:rPr>
                <w:b/>
                <w:sz w:val="22"/>
              </w:rPr>
              <w:t>вимірювання</w:t>
            </w:r>
            <w:proofErr w:type="spellEnd"/>
          </w:p>
        </w:tc>
        <w:tc>
          <w:tcPr>
            <w:tcW w:w="1953" w:type="dxa"/>
            <w:gridSpan w:val="2"/>
            <w:tcBorders>
              <w:left w:val="single" w:sz="4" w:space="0" w:color="auto"/>
              <w:bottom w:val="single" w:sz="4" w:space="0" w:color="auto"/>
            </w:tcBorders>
          </w:tcPr>
          <w:p w:rsidR="003B7CFF" w:rsidRPr="002045F5" w:rsidRDefault="003B7CFF" w:rsidP="001013F3">
            <w:pPr>
              <w:pStyle w:val="a7"/>
              <w:ind w:left="0"/>
              <w:jc w:val="center"/>
              <w:rPr>
                <w:b/>
                <w:sz w:val="22"/>
              </w:rPr>
            </w:pPr>
            <w:proofErr w:type="spellStart"/>
            <w:r w:rsidRPr="002045F5">
              <w:rPr>
                <w:b/>
                <w:sz w:val="22"/>
              </w:rPr>
              <w:t>Прогнозне</w:t>
            </w:r>
            <w:proofErr w:type="spellEnd"/>
            <w:r w:rsidRPr="002045F5">
              <w:rPr>
                <w:b/>
                <w:sz w:val="22"/>
              </w:rPr>
              <w:t xml:space="preserve"> (</w:t>
            </w:r>
            <w:proofErr w:type="spellStart"/>
            <w:r w:rsidRPr="002045F5">
              <w:rPr>
                <w:b/>
                <w:sz w:val="22"/>
              </w:rPr>
              <w:t>цільове</w:t>
            </w:r>
            <w:proofErr w:type="spellEnd"/>
            <w:r w:rsidRPr="002045F5">
              <w:rPr>
                <w:b/>
                <w:sz w:val="22"/>
              </w:rPr>
              <w:t xml:space="preserve">) </w:t>
            </w:r>
            <w:proofErr w:type="spellStart"/>
            <w:r w:rsidRPr="002045F5">
              <w:rPr>
                <w:b/>
                <w:sz w:val="22"/>
              </w:rPr>
              <w:t>значення</w:t>
            </w:r>
            <w:proofErr w:type="spellEnd"/>
          </w:p>
        </w:tc>
      </w:tr>
      <w:tr w:rsidR="00E824C2" w:rsidRPr="002045F5" w:rsidTr="00E824C2">
        <w:trPr>
          <w:trHeight w:val="617"/>
        </w:trPr>
        <w:tc>
          <w:tcPr>
            <w:tcW w:w="3090" w:type="dxa"/>
            <w:vMerge/>
            <w:shd w:val="clear" w:color="auto" w:fill="C6D9F1" w:themeFill="text2" w:themeFillTint="33"/>
          </w:tcPr>
          <w:p w:rsidR="003B7CFF" w:rsidRPr="002045F5" w:rsidRDefault="003B7CFF" w:rsidP="001013F3">
            <w:pPr>
              <w:pStyle w:val="a7"/>
              <w:ind w:left="0"/>
              <w:rPr>
                <w:b/>
                <w:sz w:val="22"/>
              </w:rPr>
            </w:pPr>
          </w:p>
        </w:tc>
        <w:tc>
          <w:tcPr>
            <w:tcW w:w="3115" w:type="dxa"/>
            <w:gridSpan w:val="3"/>
            <w:tcBorders>
              <w:top w:val="single" w:sz="4" w:space="0" w:color="auto"/>
              <w:bottom w:val="single" w:sz="4" w:space="0" w:color="auto"/>
              <w:right w:val="single" w:sz="4" w:space="0" w:color="auto"/>
            </w:tcBorders>
          </w:tcPr>
          <w:p w:rsidR="003B7CFF" w:rsidRPr="002045F5" w:rsidRDefault="003B7CFF" w:rsidP="001013F3">
            <w:pPr>
              <w:pStyle w:val="a7"/>
              <w:ind w:left="0"/>
              <w:rPr>
                <w:sz w:val="22"/>
              </w:rPr>
            </w:pPr>
            <w:proofErr w:type="spellStart"/>
            <w:proofErr w:type="gramStart"/>
            <w:r w:rsidRPr="002045F5">
              <w:rPr>
                <w:sz w:val="22"/>
              </w:rPr>
              <w:t>Кількість</w:t>
            </w:r>
            <w:proofErr w:type="spellEnd"/>
            <w:r w:rsidRPr="002045F5">
              <w:rPr>
                <w:sz w:val="22"/>
              </w:rPr>
              <w:t xml:space="preserve">  </w:t>
            </w:r>
            <w:proofErr w:type="spellStart"/>
            <w:r w:rsidRPr="002045F5">
              <w:rPr>
                <w:sz w:val="22"/>
              </w:rPr>
              <w:t>осіб</w:t>
            </w:r>
            <w:proofErr w:type="spellEnd"/>
            <w:proofErr w:type="gramEnd"/>
            <w:r w:rsidRPr="002045F5">
              <w:rPr>
                <w:sz w:val="22"/>
              </w:rPr>
              <w:t xml:space="preserve">, </w:t>
            </w:r>
            <w:proofErr w:type="spellStart"/>
            <w:r w:rsidRPr="002045F5">
              <w:rPr>
                <w:sz w:val="22"/>
              </w:rPr>
              <w:t>які</w:t>
            </w:r>
            <w:proofErr w:type="spellEnd"/>
            <w:r w:rsidRPr="002045F5">
              <w:rPr>
                <w:sz w:val="22"/>
              </w:rPr>
              <w:t xml:space="preserve"> </w:t>
            </w:r>
            <w:proofErr w:type="spellStart"/>
            <w:r w:rsidRPr="002045F5">
              <w:rPr>
                <w:sz w:val="22"/>
              </w:rPr>
              <w:t>звернулись</w:t>
            </w:r>
            <w:proofErr w:type="spellEnd"/>
            <w:r w:rsidRPr="002045F5">
              <w:rPr>
                <w:sz w:val="22"/>
              </w:rPr>
              <w:t xml:space="preserve"> за </w:t>
            </w:r>
            <w:proofErr w:type="spellStart"/>
            <w:r w:rsidRPr="002045F5">
              <w:rPr>
                <w:sz w:val="22"/>
              </w:rPr>
              <w:t>освітніми</w:t>
            </w:r>
            <w:proofErr w:type="spellEnd"/>
            <w:r w:rsidRPr="002045F5">
              <w:rPr>
                <w:sz w:val="22"/>
              </w:rPr>
              <w:t xml:space="preserve"> </w:t>
            </w:r>
            <w:proofErr w:type="spellStart"/>
            <w:r w:rsidRPr="002045F5">
              <w:rPr>
                <w:sz w:val="22"/>
              </w:rPr>
              <w:t>послугами</w:t>
            </w:r>
            <w:proofErr w:type="spellEnd"/>
            <w:r w:rsidRPr="002045F5">
              <w:rPr>
                <w:sz w:val="22"/>
              </w:rPr>
              <w:t xml:space="preserve"> </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3B7CFF" w:rsidRPr="002045F5" w:rsidRDefault="003B7CFF" w:rsidP="001013F3">
            <w:pPr>
              <w:pStyle w:val="a7"/>
              <w:ind w:left="0"/>
              <w:jc w:val="center"/>
              <w:rPr>
                <w:sz w:val="22"/>
              </w:rPr>
            </w:pPr>
            <w:proofErr w:type="spellStart"/>
            <w:r w:rsidRPr="002045F5">
              <w:rPr>
                <w:sz w:val="22"/>
              </w:rPr>
              <w:t>осіб</w:t>
            </w:r>
            <w:proofErr w:type="spellEnd"/>
          </w:p>
        </w:tc>
        <w:tc>
          <w:tcPr>
            <w:tcW w:w="1953" w:type="dxa"/>
            <w:gridSpan w:val="2"/>
            <w:tcBorders>
              <w:top w:val="single" w:sz="4" w:space="0" w:color="auto"/>
              <w:left w:val="single" w:sz="4" w:space="0" w:color="auto"/>
              <w:bottom w:val="single" w:sz="4" w:space="0" w:color="auto"/>
            </w:tcBorders>
          </w:tcPr>
          <w:p w:rsidR="003B7CFF" w:rsidRPr="002045F5" w:rsidRDefault="003B7CFF" w:rsidP="001013F3">
            <w:pPr>
              <w:pStyle w:val="a7"/>
              <w:ind w:left="0"/>
              <w:jc w:val="center"/>
              <w:rPr>
                <w:sz w:val="22"/>
              </w:rPr>
            </w:pPr>
          </w:p>
          <w:p w:rsidR="003B7CFF" w:rsidRPr="002045F5" w:rsidRDefault="003B7CFF" w:rsidP="001013F3">
            <w:pPr>
              <w:pStyle w:val="a7"/>
              <w:ind w:left="0"/>
              <w:rPr>
                <w:b/>
                <w:sz w:val="22"/>
              </w:rPr>
            </w:pPr>
            <w:r w:rsidRPr="002045F5">
              <w:rPr>
                <w:sz w:val="22"/>
              </w:rPr>
              <w:t xml:space="preserve">            1 000</w:t>
            </w:r>
          </w:p>
        </w:tc>
      </w:tr>
      <w:tr w:rsidR="003B7CFF" w:rsidRPr="002045F5" w:rsidTr="00E824C2">
        <w:tc>
          <w:tcPr>
            <w:tcW w:w="3090" w:type="dxa"/>
            <w:shd w:val="clear" w:color="auto" w:fill="C6D9F1" w:themeFill="text2" w:themeFillTint="33"/>
          </w:tcPr>
          <w:p w:rsidR="003B7CFF" w:rsidRPr="002045F5" w:rsidRDefault="003B7CFF" w:rsidP="001013F3">
            <w:pPr>
              <w:rPr>
                <w:b/>
                <w:sz w:val="22"/>
              </w:rPr>
            </w:pPr>
            <w:proofErr w:type="spellStart"/>
            <w:r w:rsidRPr="002045F5">
              <w:rPr>
                <w:b/>
                <w:sz w:val="22"/>
              </w:rPr>
              <w:t>Ключові</w:t>
            </w:r>
            <w:proofErr w:type="spellEnd"/>
            <w:r w:rsidRPr="002045F5">
              <w:rPr>
                <w:b/>
                <w:sz w:val="22"/>
              </w:rPr>
              <w:t xml:space="preserve"> заходи проекту: </w:t>
            </w:r>
          </w:p>
          <w:p w:rsidR="003B7CFF" w:rsidRPr="002045F5" w:rsidRDefault="003B7CFF" w:rsidP="001013F3">
            <w:pPr>
              <w:pStyle w:val="a7"/>
              <w:ind w:left="0"/>
              <w:rPr>
                <w:b/>
                <w:sz w:val="22"/>
              </w:rPr>
            </w:pPr>
          </w:p>
        </w:tc>
        <w:tc>
          <w:tcPr>
            <w:tcW w:w="6769" w:type="dxa"/>
            <w:gridSpan w:val="7"/>
          </w:tcPr>
          <w:p w:rsidR="003B7CFF" w:rsidRPr="002045F5" w:rsidRDefault="003B7CFF" w:rsidP="001013F3">
            <w:pPr>
              <w:pStyle w:val="a7"/>
              <w:ind w:left="0"/>
              <w:rPr>
                <w:sz w:val="22"/>
              </w:rPr>
            </w:pPr>
            <w:r w:rsidRPr="002045F5">
              <w:rPr>
                <w:sz w:val="22"/>
              </w:rPr>
              <w:t xml:space="preserve">1. </w:t>
            </w:r>
            <w:proofErr w:type="spellStart"/>
            <w:r w:rsidRPr="002045F5">
              <w:rPr>
                <w:sz w:val="22"/>
              </w:rPr>
              <w:t>Прийняття</w:t>
            </w:r>
            <w:proofErr w:type="spellEnd"/>
            <w:r w:rsidRPr="002045F5">
              <w:rPr>
                <w:sz w:val="22"/>
              </w:rPr>
              <w:t xml:space="preserve"> </w:t>
            </w:r>
            <w:proofErr w:type="spellStart"/>
            <w:r w:rsidRPr="002045F5">
              <w:rPr>
                <w:sz w:val="22"/>
              </w:rPr>
              <w:t>рішення</w:t>
            </w:r>
            <w:proofErr w:type="spellEnd"/>
            <w:r w:rsidRPr="002045F5">
              <w:rPr>
                <w:sz w:val="22"/>
              </w:rPr>
              <w:t xml:space="preserve"> </w:t>
            </w:r>
            <w:proofErr w:type="spellStart"/>
            <w:r w:rsidRPr="002045F5">
              <w:rPr>
                <w:sz w:val="22"/>
              </w:rPr>
              <w:t>щодо</w:t>
            </w:r>
            <w:proofErr w:type="spellEnd"/>
            <w:r w:rsidRPr="002045F5">
              <w:rPr>
                <w:sz w:val="22"/>
              </w:rPr>
              <w:t xml:space="preserve"> </w:t>
            </w:r>
            <w:proofErr w:type="spellStart"/>
            <w:r w:rsidRPr="002045F5">
              <w:rPr>
                <w:sz w:val="22"/>
              </w:rPr>
              <w:t>розробки</w:t>
            </w:r>
            <w:proofErr w:type="spellEnd"/>
            <w:r w:rsidRPr="002045F5">
              <w:rPr>
                <w:sz w:val="22"/>
              </w:rPr>
              <w:t xml:space="preserve"> (</w:t>
            </w:r>
            <w:proofErr w:type="spellStart"/>
            <w:r w:rsidRPr="002045F5">
              <w:rPr>
                <w:sz w:val="22"/>
              </w:rPr>
              <w:t>реалізації</w:t>
            </w:r>
            <w:proofErr w:type="spellEnd"/>
            <w:r w:rsidRPr="002045F5">
              <w:rPr>
                <w:sz w:val="22"/>
              </w:rPr>
              <w:t xml:space="preserve">) </w:t>
            </w:r>
            <w:proofErr w:type="spellStart"/>
            <w:r w:rsidRPr="002045F5">
              <w:rPr>
                <w:sz w:val="22"/>
              </w:rPr>
              <w:t>проєкту</w:t>
            </w:r>
            <w:proofErr w:type="spellEnd"/>
            <w:r w:rsidRPr="002045F5">
              <w:rPr>
                <w:sz w:val="22"/>
              </w:rPr>
              <w:t>.</w:t>
            </w:r>
          </w:p>
          <w:p w:rsidR="003B7CFF" w:rsidRPr="002045F5" w:rsidRDefault="003B7CFF" w:rsidP="001013F3">
            <w:pPr>
              <w:pStyle w:val="a7"/>
              <w:ind w:left="0"/>
              <w:rPr>
                <w:sz w:val="22"/>
              </w:rPr>
            </w:pPr>
            <w:r w:rsidRPr="002045F5">
              <w:rPr>
                <w:sz w:val="22"/>
              </w:rPr>
              <w:t xml:space="preserve">2. </w:t>
            </w:r>
            <w:proofErr w:type="spellStart"/>
            <w:r w:rsidRPr="002045F5">
              <w:rPr>
                <w:sz w:val="22"/>
              </w:rPr>
              <w:t>Виділення</w:t>
            </w:r>
            <w:proofErr w:type="spellEnd"/>
            <w:r w:rsidRPr="002045F5">
              <w:rPr>
                <w:sz w:val="22"/>
              </w:rPr>
              <w:t xml:space="preserve"> </w:t>
            </w:r>
            <w:proofErr w:type="spellStart"/>
            <w:r w:rsidRPr="002045F5">
              <w:rPr>
                <w:sz w:val="22"/>
              </w:rPr>
              <w:t>фінансових</w:t>
            </w:r>
            <w:proofErr w:type="spellEnd"/>
            <w:r w:rsidRPr="002045F5">
              <w:rPr>
                <w:sz w:val="22"/>
              </w:rPr>
              <w:t xml:space="preserve"> </w:t>
            </w:r>
            <w:proofErr w:type="spellStart"/>
            <w:r w:rsidRPr="002045F5">
              <w:rPr>
                <w:sz w:val="22"/>
              </w:rPr>
              <w:t>коштів</w:t>
            </w:r>
            <w:proofErr w:type="spellEnd"/>
            <w:r w:rsidRPr="002045F5">
              <w:rPr>
                <w:sz w:val="22"/>
              </w:rPr>
              <w:t xml:space="preserve"> на </w:t>
            </w:r>
            <w:proofErr w:type="spellStart"/>
            <w:r w:rsidRPr="002045F5">
              <w:rPr>
                <w:sz w:val="22"/>
              </w:rPr>
              <w:t>розробку</w:t>
            </w:r>
            <w:proofErr w:type="spellEnd"/>
            <w:r w:rsidRPr="002045F5">
              <w:rPr>
                <w:sz w:val="22"/>
              </w:rPr>
              <w:t xml:space="preserve"> (</w:t>
            </w:r>
            <w:proofErr w:type="spellStart"/>
            <w:r w:rsidRPr="002045F5">
              <w:rPr>
                <w:sz w:val="22"/>
              </w:rPr>
              <w:t>реалізацію</w:t>
            </w:r>
            <w:proofErr w:type="spellEnd"/>
            <w:r w:rsidRPr="002045F5">
              <w:rPr>
                <w:sz w:val="22"/>
              </w:rPr>
              <w:t xml:space="preserve">) </w:t>
            </w:r>
            <w:proofErr w:type="spellStart"/>
            <w:r w:rsidRPr="002045F5">
              <w:rPr>
                <w:sz w:val="22"/>
              </w:rPr>
              <w:t>проєкту</w:t>
            </w:r>
            <w:proofErr w:type="spellEnd"/>
            <w:r w:rsidRPr="002045F5">
              <w:rPr>
                <w:sz w:val="22"/>
              </w:rPr>
              <w:t>.</w:t>
            </w:r>
          </w:p>
          <w:p w:rsidR="003B7CFF" w:rsidRPr="002045F5" w:rsidRDefault="003B7CFF" w:rsidP="001013F3">
            <w:pPr>
              <w:pStyle w:val="a7"/>
              <w:ind w:left="0"/>
              <w:rPr>
                <w:sz w:val="22"/>
              </w:rPr>
            </w:pPr>
            <w:r w:rsidRPr="002045F5">
              <w:rPr>
                <w:sz w:val="22"/>
              </w:rPr>
              <w:t xml:space="preserve">3. </w:t>
            </w:r>
            <w:proofErr w:type="spellStart"/>
            <w:r w:rsidRPr="002045F5">
              <w:rPr>
                <w:sz w:val="22"/>
              </w:rPr>
              <w:t>Підписання</w:t>
            </w:r>
            <w:proofErr w:type="spellEnd"/>
            <w:r w:rsidRPr="002045F5">
              <w:rPr>
                <w:sz w:val="22"/>
              </w:rPr>
              <w:t xml:space="preserve"> </w:t>
            </w:r>
            <w:proofErr w:type="spellStart"/>
            <w:r w:rsidRPr="002045F5">
              <w:rPr>
                <w:sz w:val="22"/>
              </w:rPr>
              <w:t>договорів</w:t>
            </w:r>
            <w:proofErr w:type="spellEnd"/>
            <w:r w:rsidRPr="002045F5">
              <w:rPr>
                <w:sz w:val="22"/>
              </w:rPr>
              <w:t xml:space="preserve"> з </w:t>
            </w:r>
            <w:proofErr w:type="spellStart"/>
            <w:r w:rsidRPr="002045F5">
              <w:rPr>
                <w:sz w:val="22"/>
              </w:rPr>
              <w:t>проєктною</w:t>
            </w:r>
            <w:proofErr w:type="spellEnd"/>
            <w:r w:rsidRPr="002045F5">
              <w:rPr>
                <w:sz w:val="22"/>
              </w:rPr>
              <w:t xml:space="preserve"> та </w:t>
            </w:r>
            <w:proofErr w:type="spellStart"/>
            <w:r w:rsidRPr="002045F5">
              <w:rPr>
                <w:sz w:val="22"/>
              </w:rPr>
              <w:t>підрядною</w:t>
            </w:r>
            <w:proofErr w:type="spellEnd"/>
            <w:r w:rsidRPr="002045F5">
              <w:rPr>
                <w:sz w:val="22"/>
              </w:rPr>
              <w:t xml:space="preserve"> </w:t>
            </w:r>
            <w:proofErr w:type="spellStart"/>
            <w:r w:rsidRPr="002045F5">
              <w:rPr>
                <w:sz w:val="22"/>
              </w:rPr>
              <w:t>організаціями</w:t>
            </w:r>
            <w:proofErr w:type="spellEnd"/>
            <w:r w:rsidRPr="002045F5">
              <w:rPr>
                <w:sz w:val="22"/>
              </w:rPr>
              <w:t>.</w:t>
            </w:r>
          </w:p>
          <w:p w:rsidR="003B7CFF" w:rsidRPr="002045F5" w:rsidRDefault="003B7CFF" w:rsidP="001013F3">
            <w:pPr>
              <w:pStyle w:val="a7"/>
              <w:ind w:left="0"/>
              <w:rPr>
                <w:sz w:val="22"/>
              </w:rPr>
            </w:pPr>
            <w:r w:rsidRPr="002045F5">
              <w:rPr>
                <w:sz w:val="22"/>
              </w:rPr>
              <w:t xml:space="preserve">4. </w:t>
            </w:r>
            <w:proofErr w:type="spellStart"/>
            <w:r w:rsidRPr="002045F5">
              <w:rPr>
                <w:sz w:val="22"/>
              </w:rPr>
              <w:t>Складання</w:t>
            </w:r>
            <w:proofErr w:type="spellEnd"/>
            <w:r w:rsidRPr="002045F5">
              <w:rPr>
                <w:sz w:val="22"/>
              </w:rPr>
              <w:t xml:space="preserve"> </w:t>
            </w:r>
            <w:proofErr w:type="spellStart"/>
            <w:r w:rsidRPr="002045F5">
              <w:rPr>
                <w:sz w:val="22"/>
              </w:rPr>
              <w:t>графіків</w:t>
            </w:r>
            <w:proofErr w:type="spellEnd"/>
            <w:r w:rsidRPr="002045F5">
              <w:rPr>
                <w:sz w:val="22"/>
              </w:rPr>
              <w:t xml:space="preserve"> </w:t>
            </w:r>
            <w:proofErr w:type="spellStart"/>
            <w:r w:rsidRPr="002045F5">
              <w:rPr>
                <w:sz w:val="22"/>
              </w:rPr>
              <w:t>проєктних</w:t>
            </w:r>
            <w:proofErr w:type="spellEnd"/>
            <w:r w:rsidRPr="002045F5">
              <w:rPr>
                <w:sz w:val="22"/>
              </w:rPr>
              <w:t xml:space="preserve">, </w:t>
            </w:r>
            <w:proofErr w:type="spellStart"/>
            <w:r w:rsidRPr="002045F5">
              <w:rPr>
                <w:sz w:val="22"/>
              </w:rPr>
              <w:t>ремонтних</w:t>
            </w:r>
            <w:proofErr w:type="spellEnd"/>
            <w:r w:rsidRPr="002045F5">
              <w:rPr>
                <w:sz w:val="22"/>
              </w:rPr>
              <w:t xml:space="preserve"> та </w:t>
            </w:r>
            <w:proofErr w:type="spellStart"/>
            <w:r w:rsidRPr="002045F5">
              <w:rPr>
                <w:sz w:val="22"/>
              </w:rPr>
              <w:t>будівельно-монтажних</w:t>
            </w:r>
            <w:proofErr w:type="spellEnd"/>
            <w:r w:rsidRPr="002045F5">
              <w:rPr>
                <w:sz w:val="22"/>
              </w:rPr>
              <w:t xml:space="preserve"> </w:t>
            </w:r>
            <w:proofErr w:type="spellStart"/>
            <w:r w:rsidRPr="002045F5">
              <w:rPr>
                <w:sz w:val="22"/>
              </w:rPr>
              <w:t>робіт</w:t>
            </w:r>
            <w:proofErr w:type="spellEnd"/>
            <w:r w:rsidRPr="002045F5">
              <w:rPr>
                <w:sz w:val="22"/>
              </w:rPr>
              <w:t>.</w:t>
            </w:r>
          </w:p>
          <w:p w:rsidR="003B7CFF" w:rsidRPr="002045F5" w:rsidRDefault="003B7CFF" w:rsidP="001013F3">
            <w:pPr>
              <w:pStyle w:val="a7"/>
              <w:ind w:left="0"/>
              <w:rPr>
                <w:sz w:val="22"/>
              </w:rPr>
            </w:pPr>
            <w:r w:rsidRPr="002045F5">
              <w:rPr>
                <w:sz w:val="22"/>
              </w:rPr>
              <w:t xml:space="preserve">5. </w:t>
            </w:r>
            <w:proofErr w:type="spellStart"/>
            <w:r w:rsidRPr="002045F5">
              <w:rPr>
                <w:sz w:val="22"/>
              </w:rPr>
              <w:t>Розробка</w:t>
            </w:r>
            <w:proofErr w:type="spellEnd"/>
            <w:r w:rsidRPr="002045F5">
              <w:rPr>
                <w:sz w:val="22"/>
              </w:rPr>
              <w:t xml:space="preserve"> </w:t>
            </w:r>
            <w:proofErr w:type="spellStart"/>
            <w:r w:rsidRPr="002045F5">
              <w:rPr>
                <w:sz w:val="22"/>
              </w:rPr>
              <w:t>проєктно-кошторисної</w:t>
            </w:r>
            <w:proofErr w:type="spellEnd"/>
            <w:r w:rsidRPr="002045F5">
              <w:rPr>
                <w:sz w:val="22"/>
              </w:rPr>
              <w:t xml:space="preserve"> </w:t>
            </w:r>
            <w:proofErr w:type="spellStart"/>
            <w:r w:rsidRPr="002045F5">
              <w:rPr>
                <w:sz w:val="22"/>
              </w:rPr>
              <w:t>документації</w:t>
            </w:r>
            <w:proofErr w:type="spellEnd"/>
            <w:r w:rsidRPr="002045F5">
              <w:rPr>
                <w:sz w:val="22"/>
              </w:rPr>
              <w:t>.</w:t>
            </w:r>
          </w:p>
          <w:p w:rsidR="003B7CFF" w:rsidRPr="002045F5" w:rsidRDefault="003B7CFF" w:rsidP="001013F3">
            <w:pPr>
              <w:pStyle w:val="a7"/>
              <w:ind w:left="0"/>
              <w:rPr>
                <w:sz w:val="22"/>
              </w:rPr>
            </w:pPr>
            <w:r w:rsidRPr="002045F5">
              <w:rPr>
                <w:sz w:val="22"/>
              </w:rPr>
              <w:t xml:space="preserve">6. </w:t>
            </w:r>
            <w:proofErr w:type="spellStart"/>
            <w:r w:rsidRPr="002045F5">
              <w:rPr>
                <w:sz w:val="22"/>
              </w:rPr>
              <w:t>Організація</w:t>
            </w:r>
            <w:proofErr w:type="spellEnd"/>
            <w:r w:rsidRPr="002045F5">
              <w:rPr>
                <w:sz w:val="22"/>
              </w:rPr>
              <w:t xml:space="preserve"> </w:t>
            </w:r>
            <w:proofErr w:type="spellStart"/>
            <w:r w:rsidRPr="002045F5">
              <w:rPr>
                <w:sz w:val="22"/>
              </w:rPr>
              <w:t>технічного</w:t>
            </w:r>
            <w:proofErr w:type="spellEnd"/>
            <w:r w:rsidRPr="002045F5">
              <w:rPr>
                <w:sz w:val="22"/>
              </w:rPr>
              <w:t xml:space="preserve"> </w:t>
            </w:r>
            <w:proofErr w:type="spellStart"/>
            <w:r w:rsidRPr="002045F5">
              <w:rPr>
                <w:sz w:val="22"/>
              </w:rPr>
              <w:t>нагляду</w:t>
            </w:r>
            <w:proofErr w:type="spellEnd"/>
            <w:r w:rsidRPr="002045F5">
              <w:rPr>
                <w:sz w:val="22"/>
              </w:rPr>
              <w:t xml:space="preserve"> за </w:t>
            </w:r>
            <w:proofErr w:type="spellStart"/>
            <w:r w:rsidRPr="002045F5">
              <w:rPr>
                <w:sz w:val="22"/>
              </w:rPr>
              <w:t>будівельно-монтажними</w:t>
            </w:r>
            <w:proofErr w:type="spellEnd"/>
            <w:r w:rsidRPr="002045F5">
              <w:rPr>
                <w:sz w:val="22"/>
              </w:rPr>
              <w:t xml:space="preserve"> та </w:t>
            </w:r>
            <w:proofErr w:type="spellStart"/>
            <w:r w:rsidRPr="002045F5">
              <w:rPr>
                <w:sz w:val="22"/>
              </w:rPr>
              <w:t>ремонтними</w:t>
            </w:r>
            <w:proofErr w:type="spellEnd"/>
            <w:r w:rsidRPr="002045F5">
              <w:rPr>
                <w:sz w:val="22"/>
              </w:rPr>
              <w:t xml:space="preserve"> роботами.</w:t>
            </w:r>
          </w:p>
          <w:p w:rsidR="003B7CFF" w:rsidRPr="002045F5" w:rsidRDefault="003B7CFF" w:rsidP="001013F3">
            <w:pPr>
              <w:pStyle w:val="a7"/>
              <w:ind w:left="0"/>
              <w:rPr>
                <w:sz w:val="22"/>
              </w:rPr>
            </w:pPr>
            <w:r w:rsidRPr="002045F5">
              <w:rPr>
                <w:sz w:val="22"/>
              </w:rPr>
              <w:t xml:space="preserve">7. </w:t>
            </w:r>
            <w:proofErr w:type="spellStart"/>
            <w:r w:rsidRPr="002045F5">
              <w:rPr>
                <w:sz w:val="22"/>
              </w:rPr>
              <w:t>Виконання</w:t>
            </w:r>
            <w:proofErr w:type="spellEnd"/>
            <w:r w:rsidRPr="002045F5">
              <w:rPr>
                <w:sz w:val="22"/>
              </w:rPr>
              <w:t xml:space="preserve"> </w:t>
            </w:r>
            <w:proofErr w:type="spellStart"/>
            <w:r w:rsidRPr="002045F5">
              <w:rPr>
                <w:sz w:val="22"/>
              </w:rPr>
              <w:t>демонтажних</w:t>
            </w:r>
            <w:proofErr w:type="spellEnd"/>
            <w:r w:rsidRPr="002045F5">
              <w:rPr>
                <w:sz w:val="22"/>
              </w:rPr>
              <w:t xml:space="preserve"> </w:t>
            </w:r>
            <w:proofErr w:type="spellStart"/>
            <w:r w:rsidRPr="002045F5">
              <w:rPr>
                <w:sz w:val="22"/>
              </w:rPr>
              <w:t>робіт</w:t>
            </w:r>
            <w:proofErr w:type="spellEnd"/>
            <w:r w:rsidRPr="002045F5">
              <w:rPr>
                <w:sz w:val="22"/>
              </w:rPr>
              <w:t xml:space="preserve"> та </w:t>
            </w:r>
            <w:proofErr w:type="spellStart"/>
            <w:r w:rsidRPr="002045F5">
              <w:rPr>
                <w:sz w:val="22"/>
              </w:rPr>
              <w:t>планування</w:t>
            </w:r>
            <w:proofErr w:type="spellEnd"/>
            <w:r w:rsidRPr="002045F5">
              <w:rPr>
                <w:sz w:val="22"/>
              </w:rPr>
              <w:t xml:space="preserve"> </w:t>
            </w:r>
            <w:proofErr w:type="spellStart"/>
            <w:r w:rsidRPr="002045F5">
              <w:rPr>
                <w:sz w:val="22"/>
              </w:rPr>
              <w:t>території</w:t>
            </w:r>
            <w:proofErr w:type="spellEnd"/>
            <w:r w:rsidRPr="002045F5">
              <w:rPr>
                <w:sz w:val="22"/>
              </w:rPr>
              <w:t xml:space="preserve">. </w:t>
            </w:r>
          </w:p>
          <w:p w:rsidR="003B7CFF" w:rsidRPr="002045F5" w:rsidRDefault="003B7CFF" w:rsidP="001013F3">
            <w:pPr>
              <w:pStyle w:val="a7"/>
              <w:ind w:left="0"/>
              <w:rPr>
                <w:sz w:val="22"/>
              </w:rPr>
            </w:pPr>
            <w:r w:rsidRPr="002045F5">
              <w:rPr>
                <w:sz w:val="22"/>
              </w:rPr>
              <w:t xml:space="preserve">8. </w:t>
            </w:r>
            <w:proofErr w:type="spellStart"/>
            <w:r w:rsidRPr="002045F5">
              <w:rPr>
                <w:sz w:val="22"/>
              </w:rPr>
              <w:t>Виконання</w:t>
            </w:r>
            <w:proofErr w:type="spellEnd"/>
            <w:r w:rsidRPr="002045F5">
              <w:rPr>
                <w:sz w:val="22"/>
              </w:rPr>
              <w:t xml:space="preserve"> </w:t>
            </w:r>
            <w:proofErr w:type="spellStart"/>
            <w:r w:rsidRPr="002045F5">
              <w:rPr>
                <w:sz w:val="22"/>
              </w:rPr>
              <w:t>будівельно-монтажних</w:t>
            </w:r>
            <w:proofErr w:type="spellEnd"/>
            <w:r w:rsidRPr="002045F5">
              <w:rPr>
                <w:sz w:val="22"/>
              </w:rPr>
              <w:t xml:space="preserve"> та </w:t>
            </w:r>
            <w:proofErr w:type="spellStart"/>
            <w:r w:rsidRPr="002045F5">
              <w:rPr>
                <w:sz w:val="22"/>
              </w:rPr>
              <w:t>ремонтних</w:t>
            </w:r>
            <w:proofErr w:type="spellEnd"/>
            <w:r w:rsidRPr="002045F5">
              <w:rPr>
                <w:sz w:val="22"/>
              </w:rPr>
              <w:t xml:space="preserve"> </w:t>
            </w:r>
            <w:proofErr w:type="spellStart"/>
            <w:r w:rsidRPr="002045F5">
              <w:rPr>
                <w:sz w:val="22"/>
              </w:rPr>
              <w:t>робіт</w:t>
            </w:r>
            <w:proofErr w:type="spellEnd"/>
            <w:r w:rsidRPr="002045F5">
              <w:rPr>
                <w:sz w:val="22"/>
              </w:rPr>
              <w:t>.</w:t>
            </w:r>
          </w:p>
          <w:p w:rsidR="003B7CFF" w:rsidRPr="002045F5" w:rsidRDefault="003B7CFF" w:rsidP="001013F3">
            <w:pPr>
              <w:pStyle w:val="a7"/>
              <w:ind w:left="0"/>
              <w:rPr>
                <w:sz w:val="22"/>
              </w:rPr>
            </w:pPr>
            <w:r w:rsidRPr="002045F5">
              <w:rPr>
                <w:sz w:val="22"/>
              </w:rPr>
              <w:t xml:space="preserve">9. </w:t>
            </w:r>
            <w:proofErr w:type="spellStart"/>
            <w:r w:rsidRPr="002045F5">
              <w:rPr>
                <w:sz w:val="22"/>
              </w:rPr>
              <w:t>Придбання</w:t>
            </w:r>
            <w:proofErr w:type="spellEnd"/>
            <w:r w:rsidRPr="002045F5">
              <w:rPr>
                <w:sz w:val="22"/>
              </w:rPr>
              <w:t xml:space="preserve"> </w:t>
            </w:r>
            <w:proofErr w:type="spellStart"/>
            <w:r w:rsidRPr="002045F5">
              <w:rPr>
                <w:sz w:val="22"/>
              </w:rPr>
              <w:t>матеріального</w:t>
            </w:r>
            <w:proofErr w:type="spellEnd"/>
            <w:r w:rsidRPr="002045F5">
              <w:rPr>
                <w:sz w:val="22"/>
              </w:rPr>
              <w:t xml:space="preserve">, </w:t>
            </w:r>
            <w:proofErr w:type="spellStart"/>
            <w:r w:rsidRPr="002045F5">
              <w:rPr>
                <w:sz w:val="22"/>
              </w:rPr>
              <w:t>технічного</w:t>
            </w:r>
            <w:proofErr w:type="spellEnd"/>
            <w:r w:rsidRPr="002045F5">
              <w:rPr>
                <w:sz w:val="22"/>
              </w:rPr>
              <w:t xml:space="preserve"> та </w:t>
            </w:r>
            <w:proofErr w:type="spellStart"/>
            <w:r w:rsidRPr="002045F5">
              <w:rPr>
                <w:sz w:val="22"/>
              </w:rPr>
              <w:t>технологічного</w:t>
            </w:r>
            <w:proofErr w:type="spellEnd"/>
            <w:r w:rsidRPr="002045F5">
              <w:rPr>
                <w:sz w:val="22"/>
              </w:rPr>
              <w:t xml:space="preserve"> </w:t>
            </w:r>
            <w:proofErr w:type="spellStart"/>
            <w:r w:rsidRPr="002045F5">
              <w:rPr>
                <w:sz w:val="22"/>
              </w:rPr>
              <w:t>обладнання</w:t>
            </w:r>
            <w:proofErr w:type="spellEnd"/>
            <w:r w:rsidRPr="002045F5">
              <w:rPr>
                <w:sz w:val="22"/>
              </w:rPr>
              <w:t>.</w:t>
            </w:r>
          </w:p>
          <w:p w:rsidR="003B7CFF" w:rsidRPr="002045F5" w:rsidRDefault="003B7CFF" w:rsidP="001013F3">
            <w:pPr>
              <w:pStyle w:val="a7"/>
              <w:ind w:left="0"/>
              <w:rPr>
                <w:sz w:val="22"/>
              </w:rPr>
            </w:pPr>
            <w:r w:rsidRPr="002045F5">
              <w:rPr>
                <w:sz w:val="22"/>
              </w:rPr>
              <w:t xml:space="preserve">10. </w:t>
            </w:r>
            <w:proofErr w:type="spellStart"/>
            <w:r w:rsidRPr="002045F5">
              <w:rPr>
                <w:sz w:val="22"/>
              </w:rPr>
              <w:t>Підписання</w:t>
            </w:r>
            <w:proofErr w:type="spellEnd"/>
            <w:r w:rsidRPr="002045F5">
              <w:rPr>
                <w:sz w:val="22"/>
              </w:rPr>
              <w:t xml:space="preserve"> акту </w:t>
            </w:r>
            <w:proofErr w:type="spellStart"/>
            <w:r w:rsidRPr="002045F5">
              <w:rPr>
                <w:sz w:val="22"/>
              </w:rPr>
              <w:t>прийому-передачі</w:t>
            </w:r>
            <w:proofErr w:type="spellEnd"/>
            <w:r w:rsidRPr="002045F5">
              <w:rPr>
                <w:sz w:val="22"/>
              </w:rPr>
              <w:t>.</w:t>
            </w:r>
          </w:p>
        </w:tc>
      </w:tr>
      <w:tr w:rsidR="003B7CFF" w:rsidRPr="002045F5" w:rsidTr="00E824C2">
        <w:trPr>
          <w:trHeight w:val="360"/>
        </w:trPr>
        <w:tc>
          <w:tcPr>
            <w:tcW w:w="3090" w:type="dxa"/>
            <w:vMerge w:val="restart"/>
            <w:shd w:val="clear" w:color="auto" w:fill="C6D9F1" w:themeFill="text2" w:themeFillTint="33"/>
          </w:tcPr>
          <w:p w:rsidR="003B7CFF" w:rsidRPr="002045F5" w:rsidRDefault="003B7CFF" w:rsidP="001013F3">
            <w:pPr>
              <w:pStyle w:val="a7"/>
              <w:ind w:left="0"/>
              <w:rPr>
                <w:b/>
                <w:sz w:val="22"/>
              </w:rPr>
            </w:pPr>
            <w:proofErr w:type="spellStart"/>
            <w:r w:rsidRPr="002045F5">
              <w:rPr>
                <w:b/>
                <w:sz w:val="22"/>
              </w:rPr>
              <w:t>Орієнтовний</w:t>
            </w:r>
            <w:proofErr w:type="spellEnd"/>
            <w:r w:rsidRPr="002045F5">
              <w:rPr>
                <w:b/>
                <w:sz w:val="22"/>
              </w:rPr>
              <w:t xml:space="preserve"> </w:t>
            </w:r>
            <w:proofErr w:type="spellStart"/>
            <w:r w:rsidRPr="002045F5">
              <w:rPr>
                <w:b/>
                <w:sz w:val="22"/>
              </w:rPr>
              <w:t>обсяг</w:t>
            </w:r>
            <w:proofErr w:type="spellEnd"/>
            <w:r w:rsidRPr="002045F5">
              <w:rPr>
                <w:b/>
                <w:sz w:val="22"/>
              </w:rPr>
              <w:t xml:space="preserve"> та </w:t>
            </w:r>
            <w:proofErr w:type="spellStart"/>
            <w:r w:rsidRPr="002045F5">
              <w:rPr>
                <w:b/>
                <w:sz w:val="22"/>
              </w:rPr>
              <w:t>джерела</w:t>
            </w:r>
            <w:proofErr w:type="spellEnd"/>
            <w:r w:rsidRPr="002045F5">
              <w:rPr>
                <w:b/>
                <w:sz w:val="22"/>
              </w:rPr>
              <w:t xml:space="preserve"> </w:t>
            </w:r>
            <w:proofErr w:type="spellStart"/>
            <w:r w:rsidRPr="002045F5">
              <w:rPr>
                <w:b/>
                <w:sz w:val="22"/>
              </w:rPr>
              <w:t>фінансування</w:t>
            </w:r>
            <w:proofErr w:type="spellEnd"/>
            <w:r w:rsidRPr="002045F5">
              <w:rPr>
                <w:b/>
                <w:sz w:val="22"/>
              </w:rPr>
              <w:t xml:space="preserve">, тис. грн. </w:t>
            </w:r>
          </w:p>
          <w:p w:rsidR="003B7CFF" w:rsidRPr="002045F5" w:rsidRDefault="003B7CFF" w:rsidP="001013F3">
            <w:pPr>
              <w:pStyle w:val="a7"/>
              <w:ind w:left="0"/>
              <w:rPr>
                <w:b/>
                <w:sz w:val="22"/>
              </w:rPr>
            </w:pPr>
          </w:p>
        </w:tc>
        <w:tc>
          <w:tcPr>
            <w:tcW w:w="1174" w:type="dxa"/>
            <w:tcBorders>
              <w:bottom w:val="single" w:sz="4" w:space="0" w:color="auto"/>
              <w:right w:val="single" w:sz="4" w:space="0" w:color="auto"/>
            </w:tcBorders>
          </w:tcPr>
          <w:p w:rsidR="003B7CFF" w:rsidRPr="002045F5" w:rsidRDefault="003B7CFF" w:rsidP="001013F3">
            <w:pPr>
              <w:pStyle w:val="a7"/>
              <w:ind w:left="0"/>
              <w:jc w:val="center"/>
              <w:rPr>
                <w:b/>
                <w:sz w:val="22"/>
              </w:rPr>
            </w:pPr>
            <w:proofErr w:type="spellStart"/>
            <w:r w:rsidRPr="002045F5">
              <w:rPr>
                <w:b/>
                <w:sz w:val="22"/>
              </w:rPr>
              <w:t>Державний</w:t>
            </w:r>
            <w:proofErr w:type="spellEnd"/>
            <w:r w:rsidRPr="002045F5">
              <w:rPr>
                <w:b/>
                <w:sz w:val="22"/>
              </w:rPr>
              <w:t xml:space="preserve"> бюджет</w:t>
            </w:r>
          </w:p>
        </w:tc>
        <w:tc>
          <w:tcPr>
            <w:tcW w:w="1270" w:type="dxa"/>
            <w:tcBorders>
              <w:bottom w:val="single" w:sz="4" w:space="0" w:color="auto"/>
              <w:right w:val="single" w:sz="4" w:space="0" w:color="auto"/>
            </w:tcBorders>
          </w:tcPr>
          <w:p w:rsidR="003B7CFF" w:rsidRPr="002045F5" w:rsidRDefault="003B7CFF" w:rsidP="001013F3">
            <w:pPr>
              <w:pStyle w:val="a7"/>
              <w:ind w:left="0"/>
              <w:jc w:val="center"/>
              <w:rPr>
                <w:b/>
                <w:sz w:val="22"/>
              </w:rPr>
            </w:pPr>
            <w:proofErr w:type="spellStart"/>
            <w:r w:rsidRPr="002045F5">
              <w:rPr>
                <w:b/>
                <w:sz w:val="22"/>
              </w:rPr>
              <w:t>Місцевий</w:t>
            </w:r>
            <w:proofErr w:type="spellEnd"/>
            <w:r w:rsidRPr="002045F5">
              <w:rPr>
                <w:b/>
                <w:sz w:val="22"/>
              </w:rPr>
              <w:t xml:space="preserve"> бюджет</w:t>
            </w:r>
          </w:p>
        </w:tc>
        <w:tc>
          <w:tcPr>
            <w:tcW w:w="3091" w:type="dxa"/>
            <w:gridSpan w:val="4"/>
            <w:tcBorders>
              <w:left w:val="single" w:sz="4" w:space="0" w:color="auto"/>
              <w:bottom w:val="single" w:sz="4" w:space="0" w:color="auto"/>
              <w:right w:val="single" w:sz="4" w:space="0" w:color="auto"/>
            </w:tcBorders>
          </w:tcPr>
          <w:p w:rsidR="003B7CFF" w:rsidRPr="002045F5" w:rsidRDefault="003B7CFF" w:rsidP="001013F3">
            <w:pPr>
              <w:pStyle w:val="a7"/>
              <w:ind w:left="0"/>
              <w:jc w:val="center"/>
              <w:rPr>
                <w:b/>
                <w:sz w:val="22"/>
              </w:rPr>
            </w:pPr>
            <w:proofErr w:type="spellStart"/>
            <w:r w:rsidRPr="002045F5">
              <w:rPr>
                <w:b/>
                <w:sz w:val="22"/>
              </w:rPr>
              <w:t>Інші</w:t>
            </w:r>
            <w:proofErr w:type="spellEnd"/>
            <w:r w:rsidRPr="002045F5">
              <w:rPr>
                <w:b/>
                <w:sz w:val="22"/>
              </w:rPr>
              <w:t xml:space="preserve"> </w:t>
            </w:r>
            <w:proofErr w:type="spellStart"/>
            <w:r w:rsidRPr="002045F5">
              <w:rPr>
                <w:b/>
                <w:sz w:val="22"/>
              </w:rPr>
              <w:t>джерела</w:t>
            </w:r>
            <w:proofErr w:type="spellEnd"/>
          </w:p>
        </w:tc>
        <w:tc>
          <w:tcPr>
            <w:tcW w:w="1234" w:type="dxa"/>
            <w:tcBorders>
              <w:left w:val="single" w:sz="4" w:space="0" w:color="auto"/>
              <w:bottom w:val="single" w:sz="4" w:space="0" w:color="auto"/>
            </w:tcBorders>
          </w:tcPr>
          <w:p w:rsidR="003B7CFF" w:rsidRPr="002045F5" w:rsidRDefault="003B7CFF" w:rsidP="001013F3">
            <w:pPr>
              <w:pStyle w:val="a7"/>
              <w:ind w:left="0"/>
              <w:jc w:val="center"/>
              <w:rPr>
                <w:b/>
                <w:sz w:val="22"/>
              </w:rPr>
            </w:pPr>
            <w:proofErr w:type="spellStart"/>
            <w:r w:rsidRPr="002045F5">
              <w:rPr>
                <w:b/>
                <w:sz w:val="22"/>
              </w:rPr>
              <w:t>Всього</w:t>
            </w:r>
            <w:proofErr w:type="spellEnd"/>
          </w:p>
        </w:tc>
      </w:tr>
      <w:tr w:rsidR="003B7CFF" w:rsidRPr="002045F5" w:rsidTr="00E824C2">
        <w:trPr>
          <w:trHeight w:val="225"/>
        </w:trPr>
        <w:tc>
          <w:tcPr>
            <w:tcW w:w="3090" w:type="dxa"/>
            <w:vMerge/>
            <w:shd w:val="clear" w:color="auto" w:fill="C6D9F1" w:themeFill="text2" w:themeFillTint="33"/>
          </w:tcPr>
          <w:p w:rsidR="003B7CFF" w:rsidRPr="002045F5" w:rsidRDefault="003B7CFF" w:rsidP="001013F3">
            <w:pPr>
              <w:pStyle w:val="a7"/>
              <w:ind w:left="0"/>
              <w:rPr>
                <w:b/>
                <w:sz w:val="22"/>
              </w:rPr>
            </w:pPr>
          </w:p>
        </w:tc>
        <w:tc>
          <w:tcPr>
            <w:tcW w:w="1174" w:type="dxa"/>
            <w:vMerge w:val="restart"/>
            <w:tcBorders>
              <w:top w:val="single" w:sz="4" w:space="0" w:color="auto"/>
              <w:right w:val="single" w:sz="4" w:space="0" w:color="auto"/>
            </w:tcBorders>
          </w:tcPr>
          <w:p w:rsidR="003B7CFF" w:rsidRPr="002045F5" w:rsidRDefault="003B7CFF" w:rsidP="001013F3">
            <w:pPr>
              <w:pStyle w:val="a7"/>
              <w:ind w:left="0"/>
              <w:rPr>
                <w:sz w:val="22"/>
              </w:rPr>
            </w:pPr>
            <w:r w:rsidRPr="002045F5">
              <w:rPr>
                <w:sz w:val="22"/>
              </w:rPr>
              <w:t xml:space="preserve">40 000,0 </w:t>
            </w:r>
          </w:p>
          <w:p w:rsidR="003B7CFF" w:rsidRPr="002045F5" w:rsidRDefault="003B7CFF" w:rsidP="001013F3">
            <w:pPr>
              <w:pStyle w:val="a7"/>
              <w:ind w:left="0"/>
              <w:rPr>
                <w:sz w:val="22"/>
              </w:rPr>
            </w:pPr>
          </w:p>
        </w:tc>
        <w:tc>
          <w:tcPr>
            <w:tcW w:w="1270" w:type="dxa"/>
            <w:vMerge w:val="restart"/>
            <w:tcBorders>
              <w:top w:val="single" w:sz="4" w:space="0" w:color="auto"/>
              <w:right w:val="single" w:sz="4" w:space="0" w:color="auto"/>
            </w:tcBorders>
          </w:tcPr>
          <w:p w:rsidR="003B7CFF" w:rsidRPr="002045F5" w:rsidRDefault="003B7CFF" w:rsidP="001013F3">
            <w:pPr>
              <w:pStyle w:val="a7"/>
              <w:ind w:left="0"/>
              <w:jc w:val="center"/>
              <w:rPr>
                <w:b/>
                <w:sz w:val="22"/>
              </w:rPr>
            </w:pPr>
          </w:p>
          <w:p w:rsidR="003B7CFF" w:rsidRPr="002045F5" w:rsidRDefault="003B7CFF" w:rsidP="001013F3">
            <w:pPr>
              <w:pStyle w:val="a7"/>
              <w:ind w:left="0"/>
              <w:rPr>
                <w:b/>
                <w:sz w:val="22"/>
              </w:rPr>
            </w:pPr>
            <w:r w:rsidRPr="002045F5">
              <w:rPr>
                <w:b/>
                <w:sz w:val="22"/>
              </w:rPr>
              <w:t xml:space="preserve">        -</w:t>
            </w:r>
          </w:p>
        </w:tc>
        <w:tc>
          <w:tcPr>
            <w:tcW w:w="1367" w:type="dxa"/>
            <w:gridSpan w:val="2"/>
            <w:tcBorders>
              <w:top w:val="single" w:sz="4" w:space="0" w:color="auto"/>
              <w:left w:val="single" w:sz="4" w:space="0" w:color="auto"/>
              <w:bottom w:val="single" w:sz="4" w:space="0" w:color="auto"/>
              <w:right w:val="single" w:sz="4" w:space="0" w:color="auto"/>
            </w:tcBorders>
          </w:tcPr>
          <w:p w:rsidR="003B7CFF" w:rsidRPr="002045F5" w:rsidRDefault="003B7CFF" w:rsidP="001013F3">
            <w:pPr>
              <w:pStyle w:val="a7"/>
              <w:ind w:left="0"/>
              <w:jc w:val="center"/>
              <w:rPr>
                <w:b/>
                <w:sz w:val="22"/>
              </w:rPr>
            </w:pPr>
            <w:proofErr w:type="spellStart"/>
            <w:r w:rsidRPr="002045F5">
              <w:rPr>
                <w:b/>
                <w:sz w:val="22"/>
              </w:rPr>
              <w:t>Обсяг</w:t>
            </w:r>
            <w:proofErr w:type="spellEnd"/>
          </w:p>
        </w:tc>
        <w:tc>
          <w:tcPr>
            <w:tcW w:w="1724" w:type="dxa"/>
            <w:gridSpan w:val="2"/>
            <w:tcBorders>
              <w:top w:val="single" w:sz="4" w:space="0" w:color="auto"/>
              <w:left w:val="single" w:sz="4" w:space="0" w:color="auto"/>
              <w:bottom w:val="single" w:sz="4" w:space="0" w:color="auto"/>
              <w:right w:val="single" w:sz="4" w:space="0" w:color="auto"/>
            </w:tcBorders>
          </w:tcPr>
          <w:p w:rsidR="003B7CFF" w:rsidRPr="002045F5" w:rsidRDefault="003B7CFF" w:rsidP="001013F3">
            <w:pPr>
              <w:pStyle w:val="a7"/>
              <w:ind w:left="0"/>
              <w:jc w:val="center"/>
              <w:rPr>
                <w:b/>
                <w:sz w:val="22"/>
              </w:rPr>
            </w:pPr>
            <w:proofErr w:type="spellStart"/>
            <w:r w:rsidRPr="002045F5">
              <w:rPr>
                <w:b/>
                <w:sz w:val="22"/>
              </w:rPr>
              <w:t>Назва</w:t>
            </w:r>
            <w:proofErr w:type="spellEnd"/>
            <w:r w:rsidRPr="002045F5">
              <w:rPr>
                <w:b/>
                <w:sz w:val="22"/>
              </w:rPr>
              <w:t xml:space="preserve"> </w:t>
            </w:r>
            <w:proofErr w:type="spellStart"/>
            <w:r w:rsidRPr="002045F5">
              <w:rPr>
                <w:b/>
                <w:sz w:val="22"/>
              </w:rPr>
              <w:t>джерела</w:t>
            </w:r>
            <w:proofErr w:type="spellEnd"/>
          </w:p>
        </w:tc>
        <w:tc>
          <w:tcPr>
            <w:tcW w:w="1234" w:type="dxa"/>
            <w:vMerge w:val="restart"/>
            <w:tcBorders>
              <w:top w:val="single" w:sz="4" w:space="0" w:color="auto"/>
              <w:left w:val="single" w:sz="4" w:space="0" w:color="auto"/>
            </w:tcBorders>
          </w:tcPr>
          <w:p w:rsidR="003B7CFF" w:rsidRPr="002045F5" w:rsidRDefault="003B7CFF" w:rsidP="001013F3">
            <w:pPr>
              <w:pStyle w:val="a7"/>
              <w:ind w:left="0"/>
              <w:rPr>
                <w:sz w:val="22"/>
              </w:rPr>
            </w:pPr>
            <w:r w:rsidRPr="002045F5">
              <w:rPr>
                <w:sz w:val="22"/>
              </w:rPr>
              <w:t>195 000,0</w:t>
            </w:r>
          </w:p>
        </w:tc>
      </w:tr>
      <w:tr w:rsidR="003B7CFF" w:rsidRPr="002045F5" w:rsidTr="00E824C2">
        <w:trPr>
          <w:trHeight w:val="655"/>
        </w:trPr>
        <w:tc>
          <w:tcPr>
            <w:tcW w:w="3090" w:type="dxa"/>
            <w:vMerge/>
            <w:shd w:val="clear" w:color="auto" w:fill="C6D9F1" w:themeFill="text2" w:themeFillTint="33"/>
          </w:tcPr>
          <w:p w:rsidR="003B7CFF" w:rsidRPr="002045F5" w:rsidRDefault="003B7CFF" w:rsidP="001013F3">
            <w:pPr>
              <w:pStyle w:val="a7"/>
              <w:ind w:left="0"/>
              <w:rPr>
                <w:b/>
                <w:sz w:val="22"/>
              </w:rPr>
            </w:pPr>
          </w:p>
        </w:tc>
        <w:tc>
          <w:tcPr>
            <w:tcW w:w="1174" w:type="dxa"/>
            <w:vMerge/>
            <w:tcBorders>
              <w:right w:val="single" w:sz="4" w:space="0" w:color="auto"/>
            </w:tcBorders>
          </w:tcPr>
          <w:p w:rsidR="003B7CFF" w:rsidRPr="002045F5" w:rsidRDefault="003B7CFF" w:rsidP="001013F3">
            <w:pPr>
              <w:pStyle w:val="a7"/>
              <w:ind w:left="0"/>
              <w:jc w:val="center"/>
              <w:rPr>
                <w:sz w:val="22"/>
              </w:rPr>
            </w:pPr>
          </w:p>
        </w:tc>
        <w:tc>
          <w:tcPr>
            <w:tcW w:w="1270" w:type="dxa"/>
            <w:vMerge/>
            <w:tcBorders>
              <w:right w:val="single" w:sz="4" w:space="0" w:color="auto"/>
            </w:tcBorders>
          </w:tcPr>
          <w:p w:rsidR="003B7CFF" w:rsidRPr="002045F5" w:rsidRDefault="003B7CFF" w:rsidP="001013F3">
            <w:pPr>
              <w:pStyle w:val="a7"/>
              <w:ind w:left="0"/>
              <w:jc w:val="center"/>
              <w:rPr>
                <w:b/>
                <w:sz w:val="22"/>
              </w:rPr>
            </w:pPr>
          </w:p>
        </w:tc>
        <w:tc>
          <w:tcPr>
            <w:tcW w:w="1367" w:type="dxa"/>
            <w:gridSpan w:val="2"/>
            <w:tcBorders>
              <w:top w:val="single" w:sz="4" w:space="0" w:color="auto"/>
              <w:left w:val="single" w:sz="4" w:space="0" w:color="auto"/>
              <w:right w:val="single" w:sz="4" w:space="0" w:color="auto"/>
            </w:tcBorders>
          </w:tcPr>
          <w:p w:rsidR="003B7CFF" w:rsidRPr="002045F5" w:rsidRDefault="003B7CFF" w:rsidP="001013F3">
            <w:pPr>
              <w:pStyle w:val="a7"/>
              <w:ind w:left="0"/>
              <w:rPr>
                <w:b/>
                <w:sz w:val="22"/>
              </w:rPr>
            </w:pPr>
            <w:r w:rsidRPr="002045F5">
              <w:rPr>
                <w:sz w:val="22"/>
              </w:rPr>
              <w:t xml:space="preserve">155 000,0 </w:t>
            </w:r>
          </w:p>
        </w:tc>
        <w:tc>
          <w:tcPr>
            <w:tcW w:w="1724" w:type="dxa"/>
            <w:gridSpan w:val="2"/>
            <w:tcBorders>
              <w:top w:val="single" w:sz="4" w:space="0" w:color="auto"/>
              <w:left w:val="single" w:sz="4" w:space="0" w:color="auto"/>
              <w:right w:val="single" w:sz="4" w:space="0" w:color="auto"/>
            </w:tcBorders>
          </w:tcPr>
          <w:p w:rsidR="003B7CFF" w:rsidRPr="002045F5" w:rsidRDefault="003B7CFF" w:rsidP="001013F3">
            <w:pPr>
              <w:pStyle w:val="a7"/>
              <w:ind w:left="0"/>
              <w:jc w:val="center"/>
              <w:rPr>
                <w:sz w:val="22"/>
              </w:rPr>
            </w:pPr>
            <w:proofErr w:type="spellStart"/>
            <w:r w:rsidRPr="002045F5">
              <w:rPr>
                <w:sz w:val="22"/>
              </w:rPr>
              <w:t>Міжнародні</w:t>
            </w:r>
            <w:proofErr w:type="spellEnd"/>
            <w:r w:rsidRPr="002045F5">
              <w:rPr>
                <w:sz w:val="22"/>
              </w:rPr>
              <w:t xml:space="preserve"> </w:t>
            </w:r>
            <w:proofErr w:type="spellStart"/>
            <w:r w:rsidRPr="002045F5">
              <w:rPr>
                <w:sz w:val="22"/>
              </w:rPr>
              <w:t>інвестиції</w:t>
            </w:r>
            <w:proofErr w:type="spellEnd"/>
            <w:r w:rsidRPr="002045F5">
              <w:rPr>
                <w:sz w:val="22"/>
              </w:rPr>
              <w:t xml:space="preserve">, </w:t>
            </w:r>
            <w:proofErr w:type="spellStart"/>
            <w:r w:rsidRPr="002045F5">
              <w:rPr>
                <w:sz w:val="22"/>
              </w:rPr>
              <w:t>кошти</w:t>
            </w:r>
            <w:proofErr w:type="spellEnd"/>
            <w:r w:rsidRPr="002045F5">
              <w:rPr>
                <w:sz w:val="22"/>
              </w:rPr>
              <w:t xml:space="preserve"> </w:t>
            </w:r>
            <w:proofErr w:type="spellStart"/>
            <w:r w:rsidRPr="002045F5">
              <w:rPr>
                <w:sz w:val="22"/>
              </w:rPr>
              <w:t>приватних</w:t>
            </w:r>
            <w:proofErr w:type="spellEnd"/>
            <w:r w:rsidRPr="002045F5">
              <w:rPr>
                <w:sz w:val="22"/>
              </w:rPr>
              <w:t xml:space="preserve"> </w:t>
            </w:r>
            <w:proofErr w:type="spellStart"/>
            <w:r w:rsidRPr="002045F5">
              <w:rPr>
                <w:sz w:val="22"/>
              </w:rPr>
              <w:t>осіб</w:t>
            </w:r>
            <w:proofErr w:type="spellEnd"/>
          </w:p>
        </w:tc>
        <w:tc>
          <w:tcPr>
            <w:tcW w:w="1234" w:type="dxa"/>
            <w:vMerge/>
            <w:tcBorders>
              <w:left w:val="single" w:sz="4" w:space="0" w:color="auto"/>
            </w:tcBorders>
          </w:tcPr>
          <w:p w:rsidR="003B7CFF" w:rsidRPr="002045F5" w:rsidRDefault="003B7CFF" w:rsidP="001013F3">
            <w:pPr>
              <w:pStyle w:val="a7"/>
              <w:ind w:left="0"/>
              <w:jc w:val="center"/>
              <w:rPr>
                <w:sz w:val="22"/>
              </w:rPr>
            </w:pPr>
          </w:p>
        </w:tc>
      </w:tr>
    </w:tbl>
    <w:p w:rsidR="003B7CFF" w:rsidRPr="002045F5" w:rsidRDefault="003B7CFF" w:rsidP="00E95FB1">
      <w:pPr>
        <w:rPr>
          <w:sz w:val="22"/>
        </w:rPr>
      </w:pPr>
    </w:p>
    <w:p w:rsidR="003B7CFF" w:rsidRPr="002045F5" w:rsidRDefault="003B7CFF" w:rsidP="00E95FB1">
      <w:pPr>
        <w:rPr>
          <w:sz w:val="22"/>
        </w:rPr>
      </w:pPr>
    </w:p>
    <w:tbl>
      <w:tblPr>
        <w:tblW w:w="98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1134"/>
        <w:gridCol w:w="1275"/>
        <w:gridCol w:w="635"/>
        <w:gridCol w:w="499"/>
        <w:gridCol w:w="1381"/>
        <w:gridCol w:w="774"/>
        <w:gridCol w:w="1183"/>
      </w:tblGrid>
      <w:tr w:rsidR="003B7CFF" w:rsidRPr="002045F5" w:rsidTr="00E824C2">
        <w:trPr>
          <w:trHeight w:val="300"/>
        </w:trPr>
        <w:tc>
          <w:tcPr>
            <w:tcW w:w="2978" w:type="dxa"/>
            <w:shd w:val="clear" w:color="auto" w:fill="C6D9F1" w:themeFill="text2" w:themeFillTint="33"/>
            <w:vAlign w:val="center"/>
            <w:hideMark/>
          </w:tcPr>
          <w:p w:rsidR="003B7CFF" w:rsidRPr="002045F5" w:rsidRDefault="003B7CFF" w:rsidP="001013F3">
            <w:pPr>
              <w:rPr>
                <w:b/>
                <w:color w:val="000000"/>
                <w:sz w:val="22"/>
              </w:rPr>
            </w:pPr>
            <w:r w:rsidRPr="002045F5">
              <w:rPr>
                <w:rFonts w:eastAsia="Calibri"/>
                <w:b/>
                <w:color w:val="000000"/>
                <w:sz w:val="22"/>
                <w:lang w:val="ru-RU"/>
              </w:rPr>
              <w:t xml:space="preserve">Оперативна </w:t>
            </w:r>
            <w:proofErr w:type="spellStart"/>
            <w:r w:rsidRPr="002045F5">
              <w:rPr>
                <w:rFonts w:eastAsia="Calibri"/>
                <w:b/>
                <w:color w:val="000000"/>
                <w:sz w:val="22"/>
                <w:lang w:val="ru-RU"/>
              </w:rPr>
              <w:t>ціль</w:t>
            </w:r>
            <w:proofErr w:type="spellEnd"/>
            <w:r w:rsidRPr="002045F5">
              <w:rPr>
                <w:rFonts w:eastAsia="Calibri"/>
                <w:b/>
                <w:color w:val="000000"/>
                <w:sz w:val="22"/>
                <w:lang w:val="ru-RU"/>
              </w:rPr>
              <w:t>/</w:t>
            </w:r>
            <w:proofErr w:type="spellStart"/>
            <w:r w:rsidRPr="002045F5">
              <w:rPr>
                <w:rFonts w:eastAsia="Calibri"/>
                <w:b/>
                <w:color w:val="000000"/>
                <w:sz w:val="22"/>
                <w:lang w:val="ru-RU"/>
              </w:rPr>
              <w:t>завдання</w:t>
            </w:r>
            <w:proofErr w:type="spellEnd"/>
          </w:p>
        </w:tc>
        <w:tc>
          <w:tcPr>
            <w:tcW w:w="6881" w:type="dxa"/>
            <w:gridSpan w:val="7"/>
            <w:shd w:val="clear" w:color="auto" w:fill="auto"/>
            <w:vAlign w:val="center"/>
            <w:hideMark/>
          </w:tcPr>
          <w:p w:rsidR="003B7CFF" w:rsidRPr="002045F5" w:rsidRDefault="003B7CFF" w:rsidP="001013F3">
            <w:pPr>
              <w:rPr>
                <w:color w:val="000000"/>
                <w:sz w:val="22"/>
                <w:lang w:val="ru-RU"/>
              </w:rPr>
            </w:pPr>
            <w:proofErr w:type="spellStart"/>
            <w:r w:rsidRPr="002045F5">
              <w:rPr>
                <w:color w:val="222222"/>
                <w:sz w:val="22"/>
                <w:shd w:val="clear" w:color="auto" w:fill="FFFFFF"/>
                <w:lang w:val="ru-RU"/>
              </w:rPr>
              <w:t>Людський</w:t>
            </w:r>
            <w:proofErr w:type="spellEnd"/>
            <w:r w:rsidRPr="002045F5">
              <w:rPr>
                <w:color w:val="222222"/>
                <w:sz w:val="22"/>
                <w:shd w:val="clear" w:color="auto" w:fill="FFFFFF"/>
                <w:lang w:val="ru-RU"/>
              </w:rPr>
              <w:t xml:space="preserve"> </w:t>
            </w:r>
            <w:proofErr w:type="spellStart"/>
            <w:r w:rsidRPr="002045F5">
              <w:rPr>
                <w:color w:val="222222"/>
                <w:sz w:val="22"/>
                <w:shd w:val="clear" w:color="auto" w:fill="FFFFFF"/>
                <w:lang w:val="ru-RU"/>
              </w:rPr>
              <w:t>розвиток</w:t>
            </w:r>
            <w:proofErr w:type="spellEnd"/>
            <w:r w:rsidRPr="002045F5">
              <w:rPr>
                <w:color w:val="222222"/>
                <w:sz w:val="22"/>
                <w:shd w:val="clear" w:color="auto" w:fill="FFFFFF"/>
                <w:lang w:val="ru-RU"/>
              </w:rPr>
              <w:t xml:space="preserve"> через </w:t>
            </w:r>
            <w:proofErr w:type="spellStart"/>
            <w:r w:rsidRPr="002045F5">
              <w:rPr>
                <w:color w:val="222222"/>
                <w:sz w:val="22"/>
                <w:shd w:val="clear" w:color="auto" w:fill="FFFFFF"/>
                <w:lang w:val="ru-RU"/>
              </w:rPr>
              <w:t>інновації</w:t>
            </w:r>
            <w:proofErr w:type="spellEnd"/>
            <w:r w:rsidRPr="002045F5">
              <w:rPr>
                <w:color w:val="222222"/>
                <w:sz w:val="22"/>
                <w:shd w:val="clear" w:color="auto" w:fill="FFFFFF"/>
                <w:lang w:val="ru-RU"/>
              </w:rPr>
              <w:t xml:space="preserve"> </w:t>
            </w:r>
            <w:proofErr w:type="spellStart"/>
            <w:r w:rsidRPr="002045F5">
              <w:rPr>
                <w:color w:val="222222"/>
                <w:sz w:val="22"/>
                <w:shd w:val="clear" w:color="auto" w:fill="FFFFFF"/>
                <w:lang w:val="ru-RU"/>
              </w:rPr>
              <w:t>управління</w:t>
            </w:r>
            <w:proofErr w:type="spellEnd"/>
            <w:r w:rsidRPr="002045F5">
              <w:rPr>
                <w:color w:val="222222"/>
                <w:sz w:val="22"/>
                <w:shd w:val="clear" w:color="auto" w:fill="FFFFFF"/>
                <w:lang w:val="ru-RU"/>
              </w:rPr>
              <w:t xml:space="preserve"> та </w:t>
            </w:r>
            <w:proofErr w:type="spellStart"/>
            <w:r w:rsidRPr="002045F5">
              <w:rPr>
                <w:color w:val="222222"/>
                <w:sz w:val="22"/>
                <w:shd w:val="clear" w:color="auto" w:fill="FFFFFF"/>
                <w:lang w:val="ru-RU"/>
              </w:rPr>
              <w:t>довіру</w:t>
            </w:r>
            <w:proofErr w:type="spellEnd"/>
            <w:r w:rsidRPr="002045F5">
              <w:rPr>
                <w:color w:val="222222"/>
                <w:sz w:val="22"/>
                <w:shd w:val="clear" w:color="auto" w:fill="FFFFFF"/>
                <w:lang w:val="ru-RU"/>
              </w:rPr>
              <w:t xml:space="preserve"> до </w:t>
            </w:r>
            <w:proofErr w:type="spellStart"/>
            <w:r w:rsidRPr="002045F5">
              <w:rPr>
                <w:color w:val="222222"/>
                <w:sz w:val="22"/>
                <w:shd w:val="clear" w:color="auto" w:fill="FFFFFF"/>
                <w:lang w:val="ru-RU"/>
              </w:rPr>
              <w:t>влади</w:t>
            </w:r>
            <w:proofErr w:type="spellEnd"/>
            <w:r w:rsidRPr="002045F5">
              <w:rPr>
                <w:color w:val="222222"/>
                <w:sz w:val="22"/>
                <w:shd w:val="clear" w:color="auto" w:fill="FFFFFF"/>
                <w:lang w:val="ru-RU"/>
              </w:rPr>
              <w:t xml:space="preserve">. </w:t>
            </w:r>
            <w:proofErr w:type="spellStart"/>
            <w:r w:rsidRPr="002045F5">
              <w:rPr>
                <w:color w:val="222222"/>
                <w:sz w:val="22"/>
                <w:shd w:val="clear" w:color="auto" w:fill="FFFFFF"/>
                <w:lang w:val="ru-RU"/>
              </w:rPr>
              <w:t>Формування</w:t>
            </w:r>
            <w:proofErr w:type="spellEnd"/>
            <w:r w:rsidRPr="002045F5">
              <w:rPr>
                <w:color w:val="222222"/>
                <w:sz w:val="22"/>
                <w:shd w:val="clear" w:color="auto" w:fill="FFFFFF"/>
                <w:lang w:val="ru-RU"/>
              </w:rPr>
              <w:t xml:space="preserve"> </w:t>
            </w:r>
            <w:proofErr w:type="spellStart"/>
            <w:r w:rsidRPr="002045F5">
              <w:rPr>
                <w:color w:val="222222"/>
                <w:sz w:val="22"/>
                <w:shd w:val="clear" w:color="auto" w:fill="FFFFFF"/>
                <w:lang w:val="ru-RU"/>
              </w:rPr>
              <w:t>сучасного</w:t>
            </w:r>
            <w:proofErr w:type="spellEnd"/>
            <w:r w:rsidRPr="002045F5">
              <w:rPr>
                <w:color w:val="222222"/>
                <w:sz w:val="22"/>
                <w:shd w:val="clear" w:color="auto" w:fill="FFFFFF"/>
                <w:lang w:val="ru-RU"/>
              </w:rPr>
              <w:t xml:space="preserve"> </w:t>
            </w:r>
            <w:proofErr w:type="spellStart"/>
            <w:proofErr w:type="gramStart"/>
            <w:r w:rsidRPr="002045F5">
              <w:rPr>
                <w:color w:val="222222"/>
                <w:sz w:val="22"/>
                <w:shd w:val="clear" w:color="auto" w:fill="FFFFFF"/>
                <w:lang w:val="ru-RU"/>
              </w:rPr>
              <w:t>інклюзивного</w:t>
            </w:r>
            <w:proofErr w:type="spellEnd"/>
            <w:r w:rsidRPr="002045F5">
              <w:rPr>
                <w:color w:val="222222"/>
                <w:sz w:val="22"/>
                <w:shd w:val="clear" w:color="auto" w:fill="FFFFFF"/>
              </w:rPr>
              <w:t> </w:t>
            </w:r>
            <w:r w:rsidRPr="002045F5">
              <w:rPr>
                <w:color w:val="222222"/>
                <w:sz w:val="22"/>
                <w:shd w:val="clear" w:color="auto" w:fill="FFFFFF"/>
                <w:lang w:val="ru-RU"/>
              </w:rPr>
              <w:t xml:space="preserve"> </w:t>
            </w:r>
            <w:proofErr w:type="spellStart"/>
            <w:r w:rsidRPr="002045F5">
              <w:rPr>
                <w:color w:val="222222"/>
                <w:sz w:val="22"/>
                <w:shd w:val="clear" w:color="auto" w:fill="FFFFFF"/>
                <w:lang w:val="ru-RU"/>
              </w:rPr>
              <w:t>освітньо</w:t>
            </w:r>
            <w:proofErr w:type="spellEnd"/>
            <w:proofErr w:type="gramEnd"/>
            <w:r w:rsidRPr="002045F5">
              <w:rPr>
                <w:color w:val="222222"/>
                <w:sz w:val="22"/>
                <w:shd w:val="clear" w:color="auto" w:fill="FFFFFF"/>
                <w:lang w:val="ru-RU"/>
              </w:rPr>
              <w:t xml:space="preserve">-культурного та спортивного простору для </w:t>
            </w:r>
            <w:proofErr w:type="spellStart"/>
            <w:r w:rsidRPr="002045F5">
              <w:rPr>
                <w:color w:val="222222"/>
                <w:sz w:val="22"/>
                <w:shd w:val="clear" w:color="auto" w:fill="FFFFFF"/>
                <w:lang w:val="ru-RU"/>
              </w:rPr>
              <w:t>розвитку</w:t>
            </w:r>
            <w:proofErr w:type="spellEnd"/>
            <w:r w:rsidRPr="002045F5">
              <w:rPr>
                <w:color w:val="222222"/>
                <w:sz w:val="22"/>
                <w:shd w:val="clear" w:color="auto" w:fill="FFFFFF"/>
                <w:lang w:val="ru-RU"/>
              </w:rPr>
              <w:t>.</w:t>
            </w:r>
          </w:p>
        </w:tc>
      </w:tr>
      <w:tr w:rsidR="003B7CFF" w:rsidRPr="002045F5" w:rsidTr="00E824C2">
        <w:trPr>
          <w:trHeight w:val="740"/>
        </w:trPr>
        <w:tc>
          <w:tcPr>
            <w:tcW w:w="2978" w:type="dxa"/>
            <w:shd w:val="clear" w:color="auto" w:fill="C6D9F1" w:themeFill="text2" w:themeFillTint="33"/>
            <w:vAlign w:val="center"/>
            <w:hideMark/>
          </w:tcPr>
          <w:p w:rsidR="003B7CFF" w:rsidRPr="002045F5" w:rsidRDefault="003B7CFF" w:rsidP="001013F3">
            <w:pPr>
              <w:rPr>
                <w:b/>
                <w:color w:val="000000"/>
                <w:sz w:val="22"/>
              </w:rPr>
            </w:pPr>
            <w:proofErr w:type="spellStart"/>
            <w:r w:rsidRPr="002045F5">
              <w:rPr>
                <w:rFonts w:eastAsia="Calibri"/>
                <w:b/>
                <w:color w:val="000000"/>
                <w:sz w:val="22"/>
                <w:lang w:val="ru-RU"/>
              </w:rPr>
              <w:t>Назва</w:t>
            </w:r>
            <w:proofErr w:type="spellEnd"/>
            <w:r w:rsidRPr="002045F5">
              <w:rPr>
                <w:rFonts w:eastAsia="Calibri"/>
                <w:b/>
                <w:color w:val="000000"/>
                <w:sz w:val="22"/>
                <w:lang w:val="ru-RU"/>
              </w:rPr>
              <w:t xml:space="preserve"> проекту:</w:t>
            </w:r>
          </w:p>
        </w:tc>
        <w:tc>
          <w:tcPr>
            <w:tcW w:w="6881" w:type="dxa"/>
            <w:gridSpan w:val="7"/>
            <w:shd w:val="clear" w:color="auto" w:fill="auto"/>
            <w:vAlign w:val="center"/>
            <w:hideMark/>
          </w:tcPr>
          <w:p w:rsidR="003B7CFF" w:rsidRPr="002045F5" w:rsidRDefault="003B7CFF" w:rsidP="001013F3">
            <w:pPr>
              <w:rPr>
                <w:color w:val="000000"/>
                <w:sz w:val="22"/>
              </w:rPr>
            </w:pPr>
            <w:r w:rsidRPr="002045F5">
              <w:rPr>
                <w:color w:val="000000"/>
                <w:sz w:val="22"/>
              </w:rPr>
              <w:t>Оснащення Ліцею "ЮВЕНЕС" міста Сєвєродонецька Луганської області, вул. Курчатова, буд.34.</w:t>
            </w:r>
          </w:p>
        </w:tc>
      </w:tr>
      <w:tr w:rsidR="003B7CFF" w:rsidRPr="002045F5" w:rsidTr="00E824C2">
        <w:trPr>
          <w:trHeight w:val="300"/>
        </w:trPr>
        <w:tc>
          <w:tcPr>
            <w:tcW w:w="2978" w:type="dxa"/>
            <w:shd w:val="clear" w:color="auto" w:fill="C6D9F1" w:themeFill="text2" w:themeFillTint="33"/>
            <w:vAlign w:val="center"/>
            <w:hideMark/>
          </w:tcPr>
          <w:p w:rsidR="003B7CFF" w:rsidRPr="002045F5" w:rsidRDefault="003B7CFF" w:rsidP="001013F3">
            <w:pPr>
              <w:rPr>
                <w:rFonts w:eastAsia="Calibri"/>
                <w:b/>
                <w:sz w:val="22"/>
                <w:lang w:val="ru-RU"/>
              </w:rPr>
            </w:pPr>
            <w:proofErr w:type="spellStart"/>
            <w:r w:rsidRPr="002045F5">
              <w:rPr>
                <w:rFonts w:eastAsia="Calibri"/>
                <w:b/>
                <w:sz w:val="22"/>
                <w:lang w:val="ru-RU"/>
              </w:rPr>
              <w:t>Ціль</w:t>
            </w:r>
            <w:proofErr w:type="spellEnd"/>
            <w:r w:rsidRPr="002045F5">
              <w:rPr>
                <w:rFonts w:eastAsia="Calibri"/>
                <w:b/>
                <w:sz w:val="22"/>
                <w:lang w:val="ru-RU"/>
              </w:rPr>
              <w:t xml:space="preserve"> проекту</w:t>
            </w:r>
          </w:p>
          <w:p w:rsidR="003B7CFF" w:rsidRPr="002045F5" w:rsidRDefault="003B7CFF" w:rsidP="001013F3">
            <w:pPr>
              <w:rPr>
                <w:rFonts w:eastAsia="Calibri"/>
                <w:b/>
                <w:color w:val="FF0000"/>
                <w:sz w:val="22"/>
                <w:lang w:val="ru-RU"/>
              </w:rPr>
            </w:pPr>
          </w:p>
          <w:p w:rsidR="003B7CFF" w:rsidRPr="002045F5" w:rsidRDefault="003B7CFF" w:rsidP="001013F3">
            <w:pPr>
              <w:rPr>
                <w:b/>
                <w:color w:val="000000"/>
                <w:sz w:val="22"/>
                <w:lang w:val="ru-RU"/>
              </w:rPr>
            </w:pPr>
          </w:p>
        </w:tc>
        <w:tc>
          <w:tcPr>
            <w:tcW w:w="6881" w:type="dxa"/>
            <w:gridSpan w:val="7"/>
            <w:shd w:val="clear" w:color="auto" w:fill="auto"/>
            <w:vAlign w:val="center"/>
            <w:hideMark/>
          </w:tcPr>
          <w:p w:rsidR="003B7CFF" w:rsidRPr="002045F5" w:rsidRDefault="003B7CFF" w:rsidP="001013F3">
            <w:pPr>
              <w:rPr>
                <w:color w:val="000000"/>
                <w:sz w:val="22"/>
              </w:rPr>
            </w:pPr>
            <w:proofErr w:type="spellStart"/>
            <w:r w:rsidRPr="002045F5">
              <w:rPr>
                <w:sz w:val="22"/>
                <w:lang w:val="ru-RU"/>
              </w:rPr>
              <w:t>Створення</w:t>
            </w:r>
            <w:proofErr w:type="spellEnd"/>
            <w:r w:rsidRPr="002045F5">
              <w:rPr>
                <w:sz w:val="22"/>
                <w:lang w:val="ru-RU"/>
              </w:rPr>
              <w:t xml:space="preserve"> в </w:t>
            </w:r>
            <w:proofErr w:type="spellStart"/>
            <w:r w:rsidRPr="002045F5">
              <w:rPr>
                <w:sz w:val="22"/>
                <w:lang w:val="ru-RU"/>
              </w:rPr>
              <w:t>Ліцеї</w:t>
            </w:r>
            <w:proofErr w:type="spellEnd"/>
            <w:r w:rsidRPr="002045F5">
              <w:rPr>
                <w:sz w:val="22"/>
                <w:lang w:val="ru-RU"/>
              </w:rPr>
              <w:t xml:space="preserve"> </w:t>
            </w:r>
            <w:r w:rsidR="00EC598E" w:rsidRPr="002045F5">
              <w:rPr>
                <w:sz w:val="22"/>
                <w:lang w:val="ru-RU"/>
              </w:rPr>
              <w:t>«</w:t>
            </w:r>
            <w:r w:rsidRPr="002045F5">
              <w:rPr>
                <w:sz w:val="22"/>
                <w:lang w:val="ru-RU"/>
              </w:rPr>
              <w:t xml:space="preserve">ЮВЕНЕС» </w:t>
            </w:r>
            <w:proofErr w:type="spellStart"/>
            <w:r w:rsidRPr="002045F5">
              <w:rPr>
                <w:sz w:val="22"/>
                <w:lang w:val="ru-RU"/>
              </w:rPr>
              <w:t>комфортних</w:t>
            </w:r>
            <w:proofErr w:type="spellEnd"/>
            <w:r w:rsidRPr="002045F5">
              <w:rPr>
                <w:sz w:val="22"/>
                <w:lang w:val="ru-RU"/>
              </w:rPr>
              <w:t xml:space="preserve"> і </w:t>
            </w:r>
            <w:proofErr w:type="spellStart"/>
            <w:r w:rsidRPr="002045F5">
              <w:rPr>
                <w:sz w:val="22"/>
                <w:lang w:val="ru-RU"/>
              </w:rPr>
              <w:t>безпечних</w:t>
            </w:r>
            <w:proofErr w:type="spellEnd"/>
            <w:r w:rsidRPr="002045F5">
              <w:rPr>
                <w:sz w:val="22"/>
                <w:lang w:val="ru-RU"/>
              </w:rPr>
              <w:t xml:space="preserve"> умов для </w:t>
            </w:r>
            <w:proofErr w:type="spellStart"/>
            <w:r w:rsidRPr="002045F5">
              <w:rPr>
                <w:sz w:val="22"/>
                <w:lang w:val="ru-RU"/>
              </w:rPr>
              <w:t>повноцінного</w:t>
            </w:r>
            <w:proofErr w:type="spellEnd"/>
            <w:r w:rsidRPr="002045F5">
              <w:rPr>
                <w:sz w:val="22"/>
                <w:lang w:val="ru-RU"/>
              </w:rPr>
              <w:t xml:space="preserve"> і </w:t>
            </w:r>
            <w:proofErr w:type="spellStart"/>
            <w:r w:rsidRPr="002045F5">
              <w:rPr>
                <w:sz w:val="22"/>
                <w:lang w:val="ru-RU"/>
              </w:rPr>
              <w:t>всебічного</w:t>
            </w:r>
            <w:proofErr w:type="spellEnd"/>
            <w:r w:rsidRPr="002045F5">
              <w:rPr>
                <w:sz w:val="22"/>
                <w:lang w:val="ru-RU"/>
              </w:rPr>
              <w:t xml:space="preserve"> </w:t>
            </w:r>
            <w:proofErr w:type="spellStart"/>
            <w:r w:rsidRPr="002045F5">
              <w:rPr>
                <w:sz w:val="22"/>
                <w:lang w:val="ru-RU"/>
              </w:rPr>
              <w:t>розвитку</w:t>
            </w:r>
            <w:proofErr w:type="spellEnd"/>
            <w:r w:rsidRPr="002045F5">
              <w:rPr>
                <w:sz w:val="22"/>
                <w:lang w:val="ru-RU"/>
              </w:rPr>
              <w:t xml:space="preserve"> </w:t>
            </w:r>
            <w:proofErr w:type="spellStart"/>
            <w:r w:rsidRPr="002045F5">
              <w:rPr>
                <w:sz w:val="22"/>
                <w:lang w:val="ru-RU"/>
              </w:rPr>
              <w:t>дітей</w:t>
            </w:r>
            <w:proofErr w:type="spellEnd"/>
            <w:r w:rsidRPr="002045F5">
              <w:rPr>
                <w:sz w:val="22"/>
                <w:lang w:val="ru-RU"/>
              </w:rPr>
              <w:t xml:space="preserve"> </w:t>
            </w:r>
            <w:proofErr w:type="spellStart"/>
            <w:r w:rsidRPr="002045F5">
              <w:rPr>
                <w:sz w:val="22"/>
                <w:lang w:val="ru-RU"/>
              </w:rPr>
              <w:t>шкільного</w:t>
            </w:r>
            <w:proofErr w:type="spellEnd"/>
            <w:r w:rsidRPr="002045F5">
              <w:rPr>
                <w:sz w:val="22"/>
                <w:lang w:val="ru-RU"/>
              </w:rPr>
              <w:t xml:space="preserve"> </w:t>
            </w:r>
            <w:proofErr w:type="spellStart"/>
            <w:r w:rsidRPr="002045F5">
              <w:rPr>
                <w:sz w:val="22"/>
                <w:lang w:val="ru-RU"/>
              </w:rPr>
              <w:t>віку</w:t>
            </w:r>
            <w:proofErr w:type="spellEnd"/>
            <w:r w:rsidRPr="002045F5">
              <w:rPr>
                <w:sz w:val="22"/>
                <w:lang w:val="ru-RU"/>
              </w:rPr>
              <w:t xml:space="preserve">, </w:t>
            </w:r>
            <w:r w:rsidRPr="002045F5">
              <w:rPr>
                <w:sz w:val="22"/>
              </w:rPr>
              <w:t xml:space="preserve">в тому числі </w:t>
            </w:r>
            <w:r w:rsidRPr="002045F5">
              <w:rPr>
                <w:sz w:val="22"/>
                <w:shd w:val="clear" w:color="auto" w:fill="FFFFFF"/>
                <w:lang w:val="ru-RU"/>
              </w:rPr>
              <w:t xml:space="preserve">для </w:t>
            </w:r>
            <w:proofErr w:type="spellStart"/>
            <w:r w:rsidRPr="002045F5">
              <w:rPr>
                <w:sz w:val="22"/>
                <w:shd w:val="clear" w:color="auto" w:fill="FFFFFF"/>
                <w:lang w:val="ru-RU"/>
              </w:rPr>
              <w:t>забезпечення</w:t>
            </w:r>
            <w:proofErr w:type="spellEnd"/>
            <w:r w:rsidRPr="002045F5">
              <w:rPr>
                <w:sz w:val="22"/>
                <w:shd w:val="clear" w:color="auto" w:fill="FFFFFF"/>
                <w:lang w:val="ru-RU"/>
              </w:rPr>
              <w:t xml:space="preserve"> прав і </w:t>
            </w:r>
            <w:proofErr w:type="spellStart"/>
            <w:r w:rsidRPr="002045F5">
              <w:rPr>
                <w:sz w:val="22"/>
                <w:shd w:val="clear" w:color="auto" w:fill="FFFFFF"/>
                <w:lang w:val="ru-RU"/>
              </w:rPr>
              <w:t>можливостей</w:t>
            </w:r>
            <w:proofErr w:type="spellEnd"/>
            <w:r w:rsidRPr="002045F5">
              <w:rPr>
                <w:sz w:val="22"/>
                <w:shd w:val="clear" w:color="auto" w:fill="FFFFFF"/>
                <w:lang w:val="ru-RU"/>
              </w:rPr>
              <w:t xml:space="preserve"> </w:t>
            </w:r>
            <w:proofErr w:type="spellStart"/>
            <w:r w:rsidRPr="002045F5">
              <w:rPr>
                <w:sz w:val="22"/>
                <w:shd w:val="clear" w:color="auto" w:fill="FFFFFF"/>
                <w:lang w:val="ru-RU"/>
              </w:rPr>
              <w:t>осіб</w:t>
            </w:r>
            <w:proofErr w:type="spellEnd"/>
            <w:r w:rsidRPr="002045F5">
              <w:rPr>
                <w:sz w:val="22"/>
                <w:shd w:val="clear" w:color="auto" w:fill="FFFFFF"/>
                <w:lang w:val="ru-RU"/>
              </w:rPr>
              <w:t xml:space="preserve"> з </w:t>
            </w:r>
            <w:proofErr w:type="spellStart"/>
            <w:r w:rsidRPr="002045F5">
              <w:rPr>
                <w:sz w:val="22"/>
                <w:shd w:val="clear" w:color="auto" w:fill="FFFFFF"/>
                <w:lang w:val="ru-RU"/>
              </w:rPr>
              <w:t>особливими</w:t>
            </w:r>
            <w:proofErr w:type="spellEnd"/>
            <w:r w:rsidRPr="002045F5">
              <w:rPr>
                <w:sz w:val="22"/>
                <w:shd w:val="clear" w:color="auto" w:fill="FFFFFF"/>
                <w:lang w:val="ru-RU"/>
              </w:rPr>
              <w:t xml:space="preserve"> </w:t>
            </w:r>
            <w:proofErr w:type="spellStart"/>
            <w:r w:rsidRPr="002045F5">
              <w:rPr>
                <w:sz w:val="22"/>
                <w:shd w:val="clear" w:color="auto" w:fill="FFFFFF"/>
                <w:lang w:val="ru-RU"/>
              </w:rPr>
              <w:t>освітніми</w:t>
            </w:r>
            <w:proofErr w:type="spellEnd"/>
            <w:r w:rsidRPr="002045F5">
              <w:rPr>
                <w:sz w:val="22"/>
                <w:shd w:val="clear" w:color="auto" w:fill="FFFFFF"/>
                <w:lang w:val="ru-RU"/>
              </w:rPr>
              <w:t xml:space="preserve"> </w:t>
            </w:r>
            <w:r w:rsidRPr="002045F5">
              <w:rPr>
                <w:sz w:val="22"/>
                <w:shd w:val="clear" w:color="auto" w:fill="FFFFFF"/>
                <w:lang w:val="ru-RU"/>
              </w:rPr>
              <w:lastRenderedPageBreak/>
              <w:t xml:space="preserve">потребами, для </w:t>
            </w:r>
            <w:proofErr w:type="spellStart"/>
            <w:r w:rsidRPr="002045F5">
              <w:rPr>
                <w:sz w:val="22"/>
                <w:shd w:val="clear" w:color="auto" w:fill="FFFFFF"/>
                <w:lang w:val="ru-RU"/>
              </w:rPr>
              <w:t>здобуття</w:t>
            </w:r>
            <w:proofErr w:type="spellEnd"/>
            <w:r w:rsidRPr="002045F5">
              <w:rPr>
                <w:sz w:val="22"/>
                <w:shd w:val="clear" w:color="auto" w:fill="FFFFFF"/>
                <w:lang w:val="ru-RU"/>
              </w:rPr>
              <w:t xml:space="preserve"> ними </w:t>
            </w:r>
            <w:proofErr w:type="spellStart"/>
            <w:r w:rsidRPr="002045F5">
              <w:rPr>
                <w:sz w:val="22"/>
                <w:shd w:val="clear" w:color="auto" w:fill="FFFFFF"/>
                <w:lang w:val="ru-RU"/>
              </w:rPr>
              <w:t>освіти</w:t>
            </w:r>
            <w:proofErr w:type="spellEnd"/>
            <w:r w:rsidRPr="002045F5">
              <w:rPr>
                <w:sz w:val="22"/>
                <w:shd w:val="clear" w:color="auto" w:fill="FFFFFF"/>
                <w:lang w:val="ru-RU"/>
              </w:rPr>
              <w:t xml:space="preserve"> на </w:t>
            </w:r>
            <w:proofErr w:type="spellStart"/>
            <w:r w:rsidRPr="002045F5">
              <w:rPr>
                <w:sz w:val="22"/>
                <w:shd w:val="clear" w:color="auto" w:fill="FFFFFF"/>
                <w:lang w:val="ru-RU"/>
              </w:rPr>
              <w:t>всіх</w:t>
            </w:r>
            <w:proofErr w:type="spellEnd"/>
            <w:r w:rsidRPr="002045F5">
              <w:rPr>
                <w:sz w:val="22"/>
                <w:shd w:val="clear" w:color="auto" w:fill="FFFFFF"/>
                <w:lang w:val="ru-RU"/>
              </w:rPr>
              <w:t xml:space="preserve"> </w:t>
            </w:r>
            <w:proofErr w:type="spellStart"/>
            <w:r w:rsidRPr="002045F5">
              <w:rPr>
                <w:sz w:val="22"/>
                <w:shd w:val="clear" w:color="auto" w:fill="FFFFFF"/>
                <w:lang w:val="ru-RU"/>
              </w:rPr>
              <w:t>рівнях</w:t>
            </w:r>
            <w:proofErr w:type="spellEnd"/>
            <w:r w:rsidRPr="002045F5">
              <w:rPr>
                <w:sz w:val="22"/>
                <w:shd w:val="clear" w:color="auto" w:fill="FFFFFF"/>
                <w:lang w:val="ru-RU"/>
              </w:rPr>
              <w:t xml:space="preserve"> </w:t>
            </w:r>
            <w:proofErr w:type="spellStart"/>
            <w:r w:rsidRPr="002045F5">
              <w:rPr>
                <w:sz w:val="22"/>
                <w:shd w:val="clear" w:color="auto" w:fill="FFFFFF"/>
                <w:lang w:val="ru-RU"/>
              </w:rPr>
              <w:t>освіти</w:t>
            </w:r>
            <w:proofErr w:type="spellEnd"/>
            <w:r w:rsidRPr="002045F5">
              <w:rPr>
                <w:sz w:val="22"/>
                <w:shd w:val="clear" w:color="auto" w:fill="FFFFFF"/>
                <w:lang w:val="ru-RU"/>
              </w:rPr>
              <w:t xml:space="preserve"> з </w:t>
            </w:r>
            <w:proofErr w:type="spellStart"/>
            <w:r w:rsidRPr="002045F5">
              <w:rPr>
                <w:sz w:val="22"/>
                <w:shd w:val="clear" w:color="auto" w:fill="FFFFFF"/>
                <w:lang w:val="ru-RU"/>
              </w:rPr>
              <w:t>урахуванням</w:t>
            </w:r>
            <w:proofErr w:type="spellEnd"/>
            <w:r w:rsidRPr="002045F5">
              <w:rPr>
                <w:sz w:val="22"/>
                <w:shd w:val="clear" w:color="auto" w:fill="FFFFFF"/>
                <w:lang w:val="ru-RU"/>
              </w:rPr>
              <w:t xml:space="preserve"> </w:t>
            </w:r>
            <w:proofErr w:type="spellStart"/>
            <w:r w:rsidRPr="002045F5">
              <w:rPr>
                <w:sz w:val="22"/>
                <w:shd w:val="clear" w:color="auto" w:fill="FFFFFF"/>
                <w:lang w:val="ru-RU"/>
              </w:rPr>
              <w:t>їхніх</w:t>
            </w:r>
            <w:proofErr w:type="spellEnd"/>
            <w:r w:rsidRPr="002045F5">
              <w:rPr>
                <w:sz w:val="22"/>
                <w:shd w:val="clear" w:color="auto" w:fill="FFFFFF"/>
                <w:lang w:val="ru-RU"/>
              </w:rPr>
              <w:t xml:space="preserve"> </w:t>
            </w:r>
            <w:proofErr w:type="spellStart"/>
            <w:r w:rsidRPr="002045F5">
              <w:rPr>
                <w:sz w:val="22"/>
                <w:shd w:val="clear" w:color="auto" w:fill="FFFFFF"/>
                <w:lang w:val="ru-RU"/>
              </w:rPr>
              <w:t>індивідуальних</w:t>
            </w:r>
            <w:proofErr w:type="spellEnd"/>
            <w:r w:rsidRPr="002045F5">
              <w:rPr>
                <w:sz w:val="22"/>
                <w:shd w:val="clear" w:color="auto" w:fill="FFFFFF"/>
                <w:lang w:val="ru-RU"/>
              </w:rPr>
              <w:t xml:space="preserve"> потреб, </w:t>
            </w:r>
            <w:proofErr w:type="spellStart"/>
            <w:r w:rsidRPr="002045F5">
              <w:rPr>
                <w:sz w:val="22"/>
                <w:shd w:val="clear" w:color="auto" w:fill="FFFFFF"/>
                <w:lang w:val="ru-RU"/>
              </w:rPr>
              <w:t>можливостей</w:t>
            </w:r>
            <w:proofErr w:type="spellEnd"/>
            <w:r w:rsidRPr="002045F5">
              <w:rPr>
                <w:sz w:val="22"/>
                <w:shd w:val="clear" w:color="auto" w:fill="FFFFFF"/>
                <w:lang w:val="ru-RU"/>
              </w:rPr>
              <w:t xml:space="preserve">, </w:t>
            </w:r>
            <w:proofErr w:type="spellStart"/>
            <w:r w:rsidRPr="002045F5">
              <w:rPr>
                <w:sz w:val="22"/>
                <w:shd w:val="clear" w:color="auto" w:fill="FFFFFF"/>
                <w:lang w:val="ru-RU"/>
              </w:rPr>
              <w:t>здібностей</w:t>
            </w:r>
            <w:proofErr w:type="spellEnd"/>
            <w:r w:rsidRPr="002045F5">
              <w:rPr>
                <w:sz w:val="22"/>
                <w:shd w:val="clear" w:color="auto" w:fill="FFFFFF"/>
                <w:lang w:val="ru-RU"/>
              </w:rPr>
              <w:t xml:space="preserve"> та </w:t>
            </w:r>
            <w:proofErr w:type="spellStart"/>
            <w:r w:rsidRPr="002045F5">
              <w:rPr>
                <w:sz w:val="22"/>
                <w:shd w:val="clear" w:color="auto" w:fill="FFFFFF"/>
                <w:lang w:val="ru-RU"/>
              </w:rPr>
              <w:t>інтересів</w:t>
            </w:r>
            <w:proofErr w:type="spellEnd"/>
            <w:r w:rsidRPr="002045F5">
              <w:rPr>
                <w:sz w:val="22"/>
                <w:shd w:val="clear" w:color="auto" w:fill="FFFFFF"/>
                <w:lang w:val="ru-RU"/>
              </w:rPr>
              <w:t xml:space="preserve">; </w:t>
            </w:r>
            <w:r w:rsidRPr="002045F5">
              <w:rPr>
                <w:sz w:val="22"/>
                <w:lang w:val="ru-RU"/>
              </w:rPr>
              <w:t>ї</w:t>
            </w:r>
            <w:r w:rsidRPr="002045F5">
              <w:rPr>
                <w:sz w:val="22"/>
              </w:rPr>
              <w:t>х</w:t>
            </w:r>
            <w:r w:rsidRPr="002045F5">
              <w:rPr>
                <w:sz w:val="22"/>
                <w:lang w:val="ru-RU"/>
              </w:rPr>
              <w:t xml:space="preserve"> </w:t>
            </w:r>
            <w:proofErr w:type="spellStart"/>
            <w:r w:rsidRPr="002045F5">
              <w:rPr>
                <w:sz w:val="22"/>
                <w:lang w:val="ru-RU"/>
              </w:rPr>
              <w:t>фізичний</w:t>
            </w:r>
            <w:proofErr w:type="spellEnd"/>
            <w:r w:rsidRPr="002045F5">
              <w:rPr>
                <w:sz w:val="22"/>
                <w:lang w:val="ru-RU"/>
              </w:rPr>
              <w:t xml:space="preserve"> і </w:t>
            </w:r>
            <w:proofErr w:type="spellStart"/>
            <w:r w:rsidRPr="002045F5">
              <w:rPr>
                <w:sz w:val="22"/>
                <w:lang w:val="ru-RU"/>
              </w:rPr>
              <w:t>духовний</w:t>
            </w:r>
            <w:proofErr w:type="spellEnd"/>
            <w:r w:rsidRPr="002045F5">
              <w:rPr>
                <w:sz w:val="22"/>
                <w:lang w:val="ru-RU"/>
              </w:rPr>
              <w:t xml:space="preserve"> </w:t>
            </w:r>
            <w:proofErr w:type="spellStart"/>
            <w:r w:rsidRPr="002045F5">
              <w:rPr>
                <w:sz w:val="22"/>
                <w:lang w:val="ru-RU"/>
              </w:rPr>
              <w:t>розвиток</w:t>
            </w:r>
            <w:proofErr w:type="spellEnd"/>
            <w:r w:rsidRPr="002045F5">
              <w:rPr>
                <w:sz w:val="22"/>
                <w:lang w:val="ru-RU"/>
              </w:rPr>
              <w:t xml:space="preserve">, </w:t>
            </w:r>
            <w:proofErr w:type="spellStart"/>
            <w:r w:rsidRPr="002045F5">
              <w:rPr>
                <w:sz w:val="22"/>
                <w:lang w:val="ru-RU"/>
              </w:rPr>
              <w:t>соціальну</w:t>
            </w:r>
            <w:proofErr w:type="spellEnd"/>
            <w:r w:rsidRPr="002045F5">
              <w:rPr>
                <w:sz w:val="22"/>
                <w:lang w:val="ru-RU"/>
              </w:rPr>
              <w:t xml:space="preserve"> </w:t>
            </w:r>
            <w:proofErr w:type="spellStart"/>
            <w:r w:rsidRPr="002045F5">
              <w:rPr>
                <w:sz w:val="22"/>
                <w:lang w:val="ru-RU"/>
              </w:rPr>
              <w:t>адаптацію</w:t>
            </w:r>
            <w:proofErr w:type="spellEnd"/>
            <w:r w:rsidRPr="002045F5">
              <w:rPr>
                <w:sz w:val="22"/>
                <w:lang w:val="ru-RU"/>
              </w:rPr>
              <w:t xml:space="preserve">, </w:t>
            </w:r>
            <w:proofErr w:type="spellStart"/>
            <w:r w:rsidRPr="002045F5">
              <w:rPr>
                <w:sz w:val="22"/>
                <w:lang w:val="ru-RU"/>
              </w:rPr>
              <w:t>інтелектуальний</w:t>
            </w:r>
            <w:proofErr w:type="spellEnd"/>
            <w:r w:rsidRPr="002045F5">
              <w:rPr>
                <w:sz w:val="22"/>
                <w:lang w:val="ru-RU"/>
              </w:rPr>
              <w:t xml:space="preserve"> </w:t>
            </w:r>
            <w:proofErr w:type="spellStart"/>
            <w:r w:rsidRPr="002045F5">
              <w:rPr>
                <w:sz w:val="22"/>
                <w:lang w:val="ru-RU"/>
              </w:rPr>
              <w:t>розвиток</w:t>
            </w:r>
            <w:proofErr w:type="spellEnd"/>
            <w:r w:rsidRPr="002045F5">
              <w:rPr>
                <w:sz w:val="22"/>
                <w:lang w:val="ru-RU"/>
              </w:rPr>
              <w:t xml:space="preserve">, а </w:t>
            </w:r>
            <w:proofErr w:type="spellStart"/>
            <w:r w:rsidRPr="002045F5">
              <w:rPr>
                <w:sz w:val="22"/>
                <w:lang w:val="ru-RU"/>
              </w:rPr>
              <w:t>також</w:t>
            </w:r>
            <w:proofErr w:type="spellEnd"/>
            <w:r w:rsidRPr="002045F5">
              <w:rPr>
                <w:sz w:val="22"/>
                <w:lang w:val="ru-RU"/>
              </w:rPr>
              <w:t xml:space="preserve"> </w:t>
            </w:r>
            <w:proofErr w:type="spellStart"/>
            <w:r w:rsidRPr="002045F5">
              <w:rPr>
                <w:sz w:val="22"/>
                <w:lang w:val="ru-RU"/>
              </w:rPr>
              <w:t>саморозвиток</w:t>
            </w:r>
            <w:proofErr w:type="spellEnd"/>
            <w:r w:rsidRPr="002045F5">
              <w:rPr>
                <w:sz w:val="22"/>
                <w:lang w:val="ru-RU"/>
              </w:rPr>
              <w:t xml:space="preserve">, </w:t>
            </w:r>
            <w:proofErr w:type="spellStart"/>
            <w:r w:rsidRPr="002045F5">
              <w:rPr>
                <w:sz w:val="22"/>
                <w:lang w:val="ru-RU"/>
              </w:rPr>
              <w:t>самореалізацію</w:t>
            </w:r>
            <w:proofErr w:type="spellEnd"/>
            <w:r w:rsidRPr="002045F5">
              <w:rPr>
                <w:sz w:val="22"/>
                <w:lang w:val="ru-RU"/>
              </w:rPr>
              <w:t xml:space="preserve"> та </w:t>
            </w:r>
            <w:proofErr w:type="spellStart"/>
            <w:r w:rsidRPr="002045F5">
              <w:rPr>
                <w:sz w:val="22"/>
                <w:lang w:val="ru-RU"/>
              </w:rPr>
              <w:t>самовизначення</w:t>
            </w:r>
            <w:proofErr w:type="spellEnd"/>
            <w:r w:rsidRPr="002045F5">
              <w:rPr>
                <w:sz w:val="22"/>
                <w:lang w:val="ru-RU"/>
              </w:rPr>
              <w:t xml:space="preserve"> </w:t>
            </w:r>
            <w:proofErr w:type="spellStart"/>
            <w:r w:rsidRPr="002045F5">
              <w:rPr>
                <w:sz w:val="22"/>
                <w:lang w:val="ru-RU"/>
              </w:rPr>
              <w:t>здобувача</w:t>
            </w:r>
            <w:proofErr w:type="spellEnd"/>
            <w:r w:rsidRPr="002045F5">
              <w:rPr>
                <w:sz w:val="22"/>
                <w:lang w:val="ru-RU"/>
              </w:rPr>
              <w:t xml:space="preserve"> </w:t>
            </w:r>
            <w:proofErr w:type="spellStart"/>
            <w:r w:rsidRPr="002045F5">
              <w:rPr>
                <w:sz w:val="22"/>
                <w:lang w:val="ru-RU"/>
              </w:rPr>
              <w:t>освіти</w:t>
            </w:r>
            <w:proofErr w:type="spellEnd"/>
            <w:r w:rsidRPr="002045F5">
              <w:rPr>
                <w:sz w:val="22"/>
                <w:lang w:val="ru-RU"/>
              </w:rPr>
              <w:t xml:space="preserve"> як </w:t>
            </w:r>
            <w:proofErr w:type="spellStart"/>
            <w:r w:rsidRPr="002045F5">
              <w:rPr>
                <w:sz w:val="22"/>
                <w:lang w:val="ru-RU"/>
              </w:rPr>
              <w:t>цілісної</w:t>
            </w:r>
            <w:proofErr w:type="spellEnd"/>
            <w:r w:rsidRPr="002045F5">
              <w:rPr>
                <w:sz w:val="22"/>
                <w:lang w:val="ru-RU"/>
              </w:rPr>
              <w:t xml:space="preserve"> </w:t>
            </w:r>
            <w:proofErr w:type="spellStart"/>
            <w:r w:rsidRPr="002045F5">
              <w:rPr>
                <w:sz w:val="22"/>
                <w:lang w:val="ru-RU"/>
              </w:rPr>
              <w:t>особистості</w:t>
            </w:r>
            <w:proofErr w:type="spellEnd"/>
            <w:r w:rsidRPr="002045F5">
              <w:rPr>
                <w:sz w:val="22"/>
              </w:rPr>
              <w:t xml:space="preserve">, </w:t>
            </w:r>
            <w:proofErr w:type="spellStart"/>
            <w:r w:rsidRPr="002045F5">
              <w:rPr>
                <w:sz w:val="22"/>
                <w:lang w:val="ru-RU"/>
              </w:rPr>
              <w:t>що</w:t>
            </w:r>
            <w:proofErr w:type="spellEnd"/>
            <w:r w:rsidRPr="002045F5">
              <w:rPr>
                <w:sz w:val="22"/>
                <w:lang w:val="ru-RU"/>
              </w:rPr>
              <w:t xml:space="preserve"> </w:t>
            </w:r>
            <w:proofErr w:type="spellStart"/>
            <w:r w:rsidRPr="002045F5">
              <w:rPr>
                <w:sz w:val="22"/>
                <w:lang w:val="ru-RU"/>
              </w:rPr>
              <w:t>відповідає</w:t>
            </w:r>
            <w:proofErr w:type="spellEnd"/>
            <w:r w:rsidRPr="002045F5">
              <w:rPr>
                <w:sz w:val="22"/>
                <w:lang w:val="ru-RU"/>
              </w:rPr>
              <w:t xml:space="preserve"> </w:t>
            </w:r>
            <w:proofErr w:type="spellStart"/>
            <w:r w:rsidRPr="002045F5">
              <w:rPr>
                <w:sz w:val="22"/>
                <w:lang w:val="ru-RU"/>
              </w:rPr>
              <w:t>стратегічним</w:t>
            </w:r>
            <w:proofErr w:type="spellEnd"/>
            <w:r w:rsidRPr="002045F5">
              <w:rPr>
                <w:sz w:val="22"/>
                <w:lang w:val="ru-RU"/>
              </w:rPr>
              <w:t xml:space="preserve"> </w:t>
            </w:r>
            <w:proofErr w:type="spellStart"/>
            <w:r w:rsidRPr="002045F5">
              <w:rPr>
                <w:sz w:val="22"/>
                <w:lang w:val="ru-RU"/>
              </w:rPr>
              <w:t>цілям</w:t>
            </w:r>
            <w:proofErr w:type="spellEnd"/>
            <w:r w:rsidRPr="002045F5">
              <w:rPr>
                <w:sz w:val="22"/>
                <w:lang w:val="ru-RU"/>
              </w:rPr>
              <w:t xml:space="preserve"> </w:t>
            </w:r>
            <w:proofErr w:type="spellStart"/>
            <w:r w:rsidRPr="002045F5">
              <w:rPr>
                <w:sz w:val="22"/>
                <w:lang w:val="ru-RU"/>
              </w:rPr>
              <w:t>розвитку</w:t>
            </w:r>
            <w:proofErr w:type="spellEnd"/>
            <w:r w:rsidRPr="002045F5">
              <w:rPr>
                <w:sz w:val="22"/>
                <w:lang w:val="ru-RU"/>
              </w:rPr>
              <w:t xml:space="preserve"> </w:t>
            </w:r>
            <w:proofErr w:type="spellStart"/>
            <w:r w:rsidRPr="002045F5">
              <w:rPr>
                <w:sz w:val="22"/>
                <w:lang w:val="ru-RU"/>
              </w:rPr>
              <w:t>територіальної</w:t>
            </w:r>
            <w:proofErr w:type="spellEnd"/>
            <w:r w:rsidRPr="002045F5">
              <w:rPr>
                <w:sz w:val="22"/>
                <w:lang w:val="ru-RU"/>
              </w:rPr>
              <w:t xml:space="preserve"> </w:t>
            </w:r>
            <w:proofErr w:type="spellStart"/>
            <w:r w:rsidRPr="002045F5">
              <w:rPr>
                <w:sz w:val="22"/>
                <w:lang w:val="ru-RU"/>
              </w:rPr>
              <w:t>громади</w:t>
            </w:r>
            <w:proofErr w:type="spellEnd"/>
            <w:r w:rsidRPr="002045F5">
              <w:rPr>
                <w:sz w:val="22"/>
                <w:lang w:val="ru-RU"/>
              </w:rPr>
              <w:t>.</w:t>
            </w:r>
          </w:p>
        </w:tc>
      </w:tr>
      <w:tr w:rsidR="003B7CFF" w:rsidRPr="002045F5" w:rsidTr="00E824C2">
        <w:trPr>
          <w:trHeight w:val="300"/>
        </w:trPr>
        <w:tc>
          <w:tcPr>
            <w:tcW w:w="2978" w:type="dxa"/>
            <w:shd w:val="clear" w:color="auto" w:fill="C6D9F1" w:themeFill="text2" w:themeFillTint="33"/>
            <w:vAlign w:val="center"/>
            <w:hideMark/>
          </w:tcPr>
          <w:p w:rsidR="003B7CFF" w:rsidRPr="002045F5" w:rsidRDefault="003B7CFF" w:rsidP="001013F3">
            <w:pPr>
              <w:rPr>
                <w:b/>
                <w:color w:val="000000"/>
                <w:sz w:val="22"/>
                <w:lang w:val="ru-RU"/>
              </w:rPr>
            </w:pPr>
            <w:proofErr w:type="spellStart"/>
            <w:r w:rsidRPr="002045F5">
              <w:rPr>
                <w:rFonts w:eastAsia="Calibri"/>
                <w:b/>
                <w:color w:val="000000"/>
                <w:sz w:val="22"/>
                <w:lang w:val="ru-RU"/>
              </w:rPr>
              <w:lastRenderedPageBreak/>
              <w:t>Територія</w:t>
            </w:r>
            <w:proofErr w:type="spellEnd"/>
            <w:r w:rsidRPr="002045F5">
              <w:rPr>
                <w:rFonts w:eastAsia="Calibri"/>
                <w:b/>
                <w:color w:val="000000"/>
                <w:sz w:val="22"/>
                <w:lang w:val="ru-RU"/>
              </w:rPr>
              <w:t xml:space="preserve">, </w:t>
            </w:r>
            <w:proofErr w:type="gramStart"/>
            <w:r w:rsidRPr="002045F5">
              <w:rPr>
                <w:rFonts w:eastAsia="Calibri"/>
                <w:b/>
                <w:color w:val="000000"/>
                <w:sz w:val="22"/>
                <w:lang w:val="ru-RU"/>
              </w:rPr>
              <w:t>на яку</w:t>
            </w:r>
            <w:proofErr w:type="gramEnd"/>
            <w:r w:rsidRPr="002045F5">
              <w:rPr>
                <w:rFonts w:eastAsia="Calibri"/>
                <w:b/>
                <w:color w:val="000000"/>
                <w:sz w:val="22"/>
                <w:lang w:val="ru-RU"/>
              </w:rPr>
              <w:t xml:space="preserve"> </w:t>
            </w:r>
            <w:proofErr w:type="spellStart"/>
            <w:r w:rsidRPr="002045F5">
              <w:rPr>
                <w:rFonts w:eastAsia="Calibri"/>
                <w:b/>
                <w:color w:val="000000"/>
                <w:sz w:val="22"/>
                <w:lang w:val="ru-RU"/>
              </w:rPr>
              <w:t>матиме</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вплив</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реалізація</w:t>
            </w:r>
            <w:proofErr w:type="spellEnd"/>
            <w:r w:rsidRPr="002045F5">
              <w:rPr>
                <w:rFonts w:eastAsia="Calibri"/>
                <w:b/>
                <w:color w:val="000000"/>
                <w:sz w:val="22"/>
                <w:lang w:val="ru-RU"/>
              </w:rPr>
              <w:t xml:space="preserve"> проекту</w:t>
            </w:r>
          </w:p>
        </w:tc>
        <w:tc>
          <w:tcPr>
            <w:tcW w:w="6881" w:type="dxa"/>
            <w:gridSpan w:val="7"/>
            <w:shd w:val="clear" w:color="auto" w:fill="auto"/>
            <w:vAlign w:val="center"/>
            <w:hideMark/>
          </w:tcPr>
          <w:p w:rsidR="003B7CFF" w:rsidRPr="002045F5" w:rsidRDefault="003B7CFF" w:rsidP="001013F3">
            <w:pPr>
              <w:rPr>
                <w:color w:val="000000"/>
                <w:sz w:val="22"/>
              </w:rPr>
            </w:pPr>
            <w:proofErr w:type="spellStart"/>
            <w:r w:rsidRPr="002045F5">
              <w:rPr>
                <w:rFonts w:eastAsia="Calibri"/>
                <w:color w:val="000000"/>
                <w:sz w:val="22"/>
                <w:lang w:val="ru-RU"/>
              </w:rPr>
              <w:t>Сєвєродонецька</w:t>
            </w:r>
            <w:proofErr w:type="spellEnd"/>
            <w:r w:rsidRPr="002045F5">
              <w:rPr>
                <w:rFonts w:eastAsia="Calibri"/>
                <w:color w:val="000000"/>
                <w:sz w:val="22"/>
                <w:lang w:val="ru-RU"/>
              </w:rPr>
              <w:t xml:space="preserve"> </w:t>
            </w:r>
            <w:proofErr w:type="spellStart"/>
            <w:r w:rsidRPr="002045F5">
              <w:rPr>
                <w:rFonts w:eastAsia="Calibri"/>
                <w:color w:val="000000"/>
                <w:sz w:val="22"/>
                <w:lang w:val="ru-RU"/>
              </w:rPr>
              <w:t>міська</w:t>
            </w:r>
            <w:proofErr w:type="spellEnd"/>
            <w:r w:rsidRPr="002045F5">
              <w:rPr>
                <w:rFonts w:eastAsia="Calibri"/>
                <w:color w:val="000000"/>
                <w:sz w:val="22"/>
                <w:lang w:val="ru-RU"/>
              </w:rPr>
              <w:t xml:space="preserve"> </w:t>
            </w:r>
            <w:proofErr w:type="spellStart"/>
            <w:r w:rsidRPr="002045F5">
              <w:rPr>
                <w:rFonts w:eastAsia="Calibri"/>
                <w:color w:val="000000"/>
                <w:sz w:val="22"/>
                <w:lang w:val="ru-RU"/>
              </w:rPr>
              <w:t>територіальна</w:t>
            </w:r>
            <w:proofErr w:type="spellEnd"/>
            <w:r w:rsidRPr="002045F5">
              <w:rPr>
                <w:rFonts w:eastAsia="Calibri"/>
                <w:color w:val="000000"/>
                <w:sz w:val="22"/>
                <w:lang w:val="ru-RU"/>
              </w:rPr>
              <w:t xml:space="preserve"> громада</w:t>
            </w:r>
          </w:p>
        </w:tc>
      </w:tr>
      <w:tr w:rsidR="003B7CFF" w:rsidRPr="002045F5" w:rsidTr="00E824C2">
        <w:trPr>
          <w:trHeight w:val="588"/>
        </w:trPr>
        <w:tc>
          <w:tcPr>
            <w:tcW w:w="2978" w:type="dxa"/>
            <w:shd w:val="clear" w:color="auto" w:fill="C6D9F1" w:themeFill="text2" w:themeFillTint="33"/>
            <w:vAlign w:val="center"/>
            <w:hideMark/>
          </w:tcPr>
          <w:p w:rsidR="003B7CFF" w:rsidRPr="002045F5" w:rsidRDefault="003B7CFF" w:rsidP="001013F3">
            <w:pPr>
              <w:rPr>
                <w:b/>
                <w:color w:val="000000"/>
                <w:sz w:val="22"/>
                <w:lang w:val="ru-RU"/>
              </w:rPr>
            </w:pPr>
            <w:proofErr w:type="spellStart"/>
            <w:r w:rsidRPr="002045F5">
              <w:rPr>
                <w:rFonts w:eastAsia="Calibri"/>
                <w:b/>
                <w:color w:val="000000"/>
                <w:sz w:val="22"/>
                <w:lang w:val="ru-RU"/>
              </w:rPr>
              <w:t>Чисельність</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населення</w:t>
            </w:r>
            <w:proofErr w:type="spellEnd"/>
            <w:r w:rsidRPr="002045F5">
              <w:rPr>
                <w:rFonts w:eastAsia="Calibri"/>
                <w:b/>
                <w:color w:val="000000"/>
                <w:sz w:val="22"/>
                <w:lang w:val="ru-RU"/>
              </w:rPr>
              <w:t xml:space="preserve">, на яке </w:t>
            </w:r>
            <w:proofErr w:type="spellStart"/>
            <w:r w:rsidRPr="002045F5">
              <w:rPr>
                <w:rFonts w:eastAsia="Calibri"/>
                <w:b/>
                <w:color w:val="000000"/>
                <w:sz w:val="22"/>
                <w:lang w:val="ru-RU"/>
              </w:rPr>
              <w:t>матиме</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вплив</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реалізація</w:t>
            </w:r>
            <w:proofErr w:type="spellEnd"/>
            <w:r w:rsidRPr="002045F5">
              <w:rPr>
                <w:rFonts w:eastAsia="Calibri"/>
                <w:b/>
                <w:color w:val="000000"/>
                <w:sz w:val="22"/>
                <w:lang w:val="ru-RU"/>
              </w:rPr>
              <w:t xml:space="preserve"> проекту</w:t>
            </w:r>
          </w:p>
        </w:tc>
        <w:tc>
          <w:tcPr>
            <w:tcW w:w="6881" w:type="dxa"/>
            <w:gridSpan w:val="7"/>
            <w:shd w:val="clear" w:color="auto" w:fill="auto"/>
            <w:vAlign w:val="center"/>
            <w:hideMark/>
          </w:tcPr>
          <w:p w:rsidR="003B7CFF" w:rsidRPr="002045F5" w:rsidRDefault="003B7CFF" w:rsidP="001013F3">
            <w:pPr>
              <w:rPr>
                <w:color w:val="000000"/>
                <w:sz w:val="22"/>
              </w:rPr>
            </w:pPr>
            <w:r w:rsidRPr="002045F5">
              <w:rPr>
                <w:color w:val="000000"/>
                <w:sz w:val="22"/>
              </w:rPr>
              <w:t xml:space="preserve">70 000 </w:t>
            </w:r>
            <w:r w:rsidRPr="002045F5">
              <w:rPr>
                <w:sz w:val="22"/>
              </w:rPr>
              <w:t xml:space="preserve">осіб </w:t>
            </w:r>
          </w:p>
        </w:tc>
      </w:tr>
      <w:tr w:rsidR="003B7CFF" w:rsidRPr="002045F5" w:rsidTr="00DE3C78">
        <w:trPr>
          <w:trHeight w:val="983"/>
        </w:trPr>
        <w:tc>
          <w:tcPr>
            <w:tcW w:w="2978" w:type="dxa"/>
            <w:shd w:val="clear" w:color="auto" w:fill="C6D9F1" w:themeFill="text2" w:themeFillTint="33"/>
            <w:vAlign w:val="center"/>
            <w:hideMark/>
          </w:tcPr>
          <w:p w:rsidR="003B7CFF" w:rsidRPr="002045F5" w:rsidRDefault="003B7CFF" w:rsidP="001013F3">
            <w:pPr>
              <w:rPr>
                <w:b/>
                <w:color w:val="000000"/>
                <w:sz w:val="22"/>
                <w:lang w:val="ru-RU"/>
              </w:rPr>
            </w:pPr>
            <w:proofErr w:type="spellStart"/>
            <w:r w:rsidRPr="002045F5">
              <w:rPr>
                <w:rFonts w:eastAsia="Calibri"/>
                <w:b/>
                <w:color w:val="000000"/>
                <w:sz w:val="22"/>
                <w:lang w:val="ru-RU"/>
              </w:rPr>
              <w:t>Опис</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проблеми</w:t>
            </w:r>
            <w:proofErr w:type="spellEnd"/>
            <w:r w:rsidRPr="002045F5">
              <w:rPr>
                <w:rFonts w:eastAsia="Calibri"/>
                <w:b/>
                <w:color w:val="000000"/>
                <w:sz w:val="22"/>
                <w:lang w:val="ru-RU"/>
              </w:rPr>
              <w:t xml:space="preserve">, на </w:t>
            </w:r>
            <w:proofErr w:type="spellStart"/>
            <w:r w:rsidRPr="002045F5">
              <w:rPr>
                <w:rFonts w:eastAsia="Calibri"/>
                <w:b/>
                <w:color w:val="000000"/>
                <w:sz w:val="22"/>
                <w:lang w:val="ru-RU"/>
              </w:rPr>
              <w:t>вирішення</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якої</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спрямований</w:t>
            </w:r>
            <w:proofErr w:type="spellEnd"/>
            <w:r w:rsidRPr="002045F5">
              <w:rPr>
                <w:rFonts w:eastAsia="Calibri"/>
                <w:b/>
                <w:color w:val="000000"/>
                <w:sz w:val="22"/>
                <w:lang w:val="ru-RU"/>
              </w:rPr>
              <w:t xml:space="preserve"> проект</w:t>
            </w:r>
          </w:p>
        </w:tc>
        <w:tc>
          <w:tcPr>
            <w:tcW w:w="6881" w:type="dxa"/>
            <w:gridSpan w:val="7"/>
            <w:shd w:val="clear" w:color="auto" w:fill="auto"/>
            <w:vAlign w:val="center"/>
            <w:hideMark/>
          </w:tcPr>
          <w:p w:rsidR="003B7CFF" w:rsidRPr="002045F5" w:rsidRDefault="003B7CFF" w:rsidP="001013F3">
            <w:pPr>
              <w:rPr>
                <w:color w:val="000000"/>
                <w:sz w:val="22"/>
                <w:lang w:val="ru-RU"/>
              </w:rPr>
            </w:pPr>
            <w:r w:rsidRPr="002045F5">
              <w:rPr>
                <w:color w:val="000000"/>
                <w:sz w:val="22"/>
                <w:lang w:val="ru-RU"/>
              </w:rPr>
              <w:t xml:space="preserve">        З </w:t>
            </w:r>
            <w:proofErr w:type="spellStart"/>
            <w:r w:rsidRPr="002045F5">
              <w:rPr>
                <w:color w:val="000000"/>
                <w:sz w:val="22"/>
                <w:lang w:val="ru-RU"/>
              </w:rPr>
              <w:t>повномасштабним</w:t>
            </w:r>
            <w:proofErr w:type="spellEnd"/>
            <w:r w:rsidRPr="002045F5">
              <w:rPr>
                <w:color w:val="000000"/>
                <w:sz w:val="22"/>
                <w:lang w:val="ru-RU"/>
              </w:rPr>
              <w:t xml:space="preserve"> </w:t>
            </w:r>
            <w:proofErr w:type="spellStart"/>
            <w:r w:rsidRPr="002045F5">
              <w:rPr>
                <w:color w:val="000000"/>
                <w:sz w:val="22"/>
                <w:lang w:val="ru-RU"/>
              </w:rPr>
              <w:t>вторгненням</w:t>
            </w:r>
            <w:proofErr w:type="spellEnd"/>
            <w:r w:rsidRPr="002045F5">
              <w:rPr>
                <w:color w:val="000000"/>
                <w:sz w:val="22"/>
                <w:lang w:val="ru-RU"/>
              </w:rPr>
              <w:t xml:space="preserve"> РФ в </w:t>
            </w:r>
            <w:proofErr w:type="spellStart"/>
            <w:r w:rsidRPr="002045F5">
              <w:rPr>
                <w:color w:val="000000"/>
                <w:sz w:val="22"/>
                <w:lang w:val="ru-RU"/>
              </w:rPr>
              <w:t>Україну</w:t>
            </w:r>
            <w:proofErr w:type="spellEnd"/>
            <w:r w:rsidRPr="002045F5">
              <w:rPr>
                <w:color w:val="000000"/>
                <w:sz w:val="22"/>
                <w:lang w:val="ru-RU"/>
              </w:rPr>
              <w:t xml:space="preserve"> з 24.02.2022 року </w:t>
            </w:r>
            <w:proofErr w:type="spellStart"/>
            <w:r w:rsidRPr="002045F5">
              <w:rPr>
                <w:color w:val="000000"/>
                <w:sz w:val="22"/>
                <w:lang w:val="ru-RU"/>
              </w:rPr>
              <w:t>місто</w:t>
            </w:r>
            <w:proofErr w:type="spellEnd"/>
            <w:r w:rsidRPr="002045F5">
              <w:rPr>
                <w:color w:val="000000"/>
                <w:sz w:val="22"/>
                <w:lang w:val="ru-RU"/>
              </w:rPr>
              <w:t xml:space="preserve"> </w:t>
            </w:r>
            <w:proofErr w:type="spellStart"/>
            <w:r w:rsidRPr="002045F5">
              <w:rPr>
                <w:color w:val="000000"/>
                <w:sz w:val="22"/>
                <w:lang w:val="ru-RU"/>
              </w:rPr>
              <w:t>Сєвєродонецьк</w:t>
            </w:r>
            <w:proofErr w:type="spellEnd"/>
            <w:r w:rsidRPr="002045F5">
              <w:rPr>
                <w:color w:val="000000"/>
                <w:sz w:val="22"/>
                <w:lang w:val="ru-RU"/>
              </w:rPr>
              <w:t xml:space="preserve"> </w:t>
            </w:r>
            <w:proofErr w:type="spellStart"/>
            <w:r w:rsidRPr="002045F5">
              <w:rPr>
                <w:color w:val="000000"/>
                <w:sz w:val="22"/>
                <w:lang w:val="ru-RU"/>
              </w:rPr>
              <w:t>опинилось</w:t>
            </w:r>
            <w:proofErr w:type="spellEnd"/>
            <w:r w:rsidRPr="002045F5">
              <w:rPr>
                <w:color w:val="000000"/>
                <w:sz w:val="22"/>
                <w:lang w:val="ru-RU"/>
              </w:rPr>
              <w:t xml:space="preserve"> в </w:t>
            </w:r>
            <w:proofErr w:type="spellStart"/>
            <w:r w:rsidRPr="002045F5">
              <w:rPr>
                <w:color w:val="000000"/>
                <w:sz w:val="22"/>
                <w:lang w:val="ru-RU"/>
              </w:rPr>
              <w:t>зоні</w:t>
            </w:r>
            <w:proofErr w:type="spellEnd"/>
            <w:r w:rsidRPr="002045F5">
              <w:rPr>
                <w:color w:val="000000"/>
                <w:sz w:val="22"/>
                <w:lang w:val="ru-RU"/>
              </w:rPr>
              <w:t xml:space="preserve"> </w:t>
            </w:r>
            <w:proofErr w:type="spellStart"/>
            <w:r w:rsidRPr="002045F5">
              <w:rPr>
                <w:color w:val="000000"/>
                <w:sz w:val="22"/>
                <w:lang w:val="ru-RU"/>
              </w:rPr>
              <w:t>воєнних</w:t>
            </w:r>
            <w:proofErr w:type="spellEnd"/>
            <w:r w:rsidRPr="002045F5">
              <w:rPr>
                <w:color w:val="000000"/>
                <w:sz w:val="22"/>
                <w:lang w:val="ru-RU"/>
              </w:rPr>
              <w:t xml:space="preserve"> </w:t>
            </w:r>
            <w:proofErr w:type="spellStart"/>
            <w:r w:rsidRPr="002045F5">
              <w:rPr>
                <w:color w:val="000000"/>
                <w:sz w:val="22"/>
                <w:lang w:val="ru-RU"/>
              </w:rPr>
              <w:t>дій</w:t>
            </w:r>
            <w:proofErr w:type="spellEnd"/>
            <w:r w:rsidRPr="002045F5">
              <w:rPr>
                <w:color w:val="000000"/>
                <w:sz w:val="22"/>
                <w:lang w:val="ru-RU"/>
              </w:rPr>
              <w:t xml:space="preserve">. </w:t>
            </w:r>
            <w:proofErr w:type="spellStart"/>
            <w:r w:rsidRPr="002045F5">
              <w:rPr>
                <w:color w:val="000000"/>
                <w:sz w:val="22"/>
                <w:lang w:val="ru-RU"/>
              </w:rPr>
              <w:t>Будівля</w:t>
            </w:r>
            <w:proofErr w:type="spellEnd"/>
            <w:r w:rsidRPr="002045F5">
              <w:rPr>
                <w:color w:val="000000"/>
                <w:sz w:val="22"/>
                <w:lang w:val="ru-RU"/>
              </w:rPr>
              <w:t xml:space="preserve"> </w:t>
            </w:r>
            <w:proofErr w:type="spellStart"/>
            <w:r w:rsidRPr="002045F5">
              <w:rPr>
                <w:color w:val="000000"/>
                <w:sz w:val="22"/>
                <w:lang w:val="ru-RU"/>
              </w:rPr>
              <w:t>Ліцею</w:t>
            </w:r>
            <w:proofErr w:type="spellEnd"/>
            <w:r w:rsidRPr="002045F5">
              <w:rPr>
                <w:color w:val="000000"/>
                <w:sz w:val="22"/>
                <w:lang w:val="ru-RU"/>
              </w:rPr>
              <w:t xml:space="preserve"> "ЮВЕНЕС" </w:t>
            </w:r>
            <w:proofErr w:type="spellStart"/>
            <w:r w:rsidRPr="002045F5">
              <w:rPr>
                <w:color w:val="000000"/>
                <w:sz w:val="22"/>
                <w:lang w:val="ru-RU"/>
              </w:rPr>
              <w:t>міста</w:t>
            </w:r>
            <w:proofErr w:type="spellEnd"/>
            <w:r w:rsidRPr="002045F5">
              <w:rPr>
                <w:color w:val="000000"/>
                <w:sz w:val="22"/>
                <w:lang w:val="ru-RU"/>
              </w:rPr>
              <w:t xml:space="preserve"> </w:t>
            </w:r>
            <w:proofErr w:type="spellStart"/>
            <w:r w:rsidRPr="002045F5">
              <w:rPr>
                <w:color w:val="000000"/>
                <w:sz w:val="22"/>
                <w:lang w:val="ru-RU"/>
              </w:rPr>
              <w:t>Сєвєродонецька</w:t>
            </w:r>
            <w:proofErr w:type="spellEnd"/>
            <w:r w:rsidRPr="002045F5">
              <w:rPr>
                <w:color w:val="000000"/>
                <w:sz w:val="22"/>
                <w:lang w:val="ru-RU"/>
              </w:rPr>
              <w:t xml:space="preserve"> </w:t>
            </w:r>
            <w:proofErr w:type="spellStart"/>
            <w:r w:rsidRPr="002045F5">
              <w:rPr>
                <w:color w:val="000000"/>
                <w:sz w:val="22"/>
                <w:lang w:val="ru-RU"/>
              </w:rPr>
              <w:t>Луганської</w:t>
            </w:r>
            <w:proofErr w:type="spellEnd"/>
            <w:r w:rsidRPr="002045F5">
              <w:rPr>
                <w:color w:val="000000"/>
                <w:sz w:val="22"/>
                <w:lang w:val="ru-RU"/>
              </w:rPr>
              <w:t xml:space="preserve"> </w:t>
            </w:r>
            <w:proofErr w:type="spellStart"/>
            <w:r w:rsidRPr="002045F5">
              <w:rPr>
                <w:color w:val="000000"/>
                <w:sz w:val="22"/>
                <w:lang w:val="ru-RU"/>
              </w:rPr>
              <w:t>області</w:t>
            </w:r>
            <w:proofErr w:type="spellEnd"/>
            <w:r w:rsidRPr="002045F5">
              <w:rPr>
                <w:color w:val="000000"/>
                <w:sz w:val="22"/>
                <w:lang w:val="ru-RU"/>
              </w:rPr>
              <w:t xml:space="preserve"> </w:t>
            </w:r>
            <w:proofErr w:type="spellStart"/>
            <w:proofErr w:type="gramStart"/>
            <w:r w:rsidRPr="002045F5">
              <w:rPr>
                <w:color w:val="000000"/>
                <w:sz w:val="22"/>
                <w:lang w:val="ru-RU"/>
              </w:rPr>
              <w:t>зазнала</w:t>
            </w:r>
            <w:proofErr w:type="spellEnd"/>
            <w:r w:rsidRPr="002045F5">
              <w:rPr>
                <w:color w:val="000000"/>
                <w:sz w:val="22"/>
                <w:lang w:val="ru-RU"/>
              </w:rPr>
              <w:t xml:space="preserve">  </w:t>
            </w:r>
            <w:proofErr w:type="spellStart"/>
            <w:r w:rsidRPr="002045F5">
              <w:rPr>
                <w:color w:val="000000"/>
                <w:sz w:val="22"/>
                <w:lang w:val="ru-RU"/>
              </w:rPr>
              <w:t>руйнувань</w:t>
            </w:r>
            <w:proofErr w:type="spellEnd"/>
            <w:proofErr w:type="gramEnd"/>
            <w:r w:rsidRPr="002045F5">
              <w:rPr>
                <w:color w:val="000000"/>
                <w:sz w:val="22"/>
                <w:lang w:val="ru-RU"/>
              </w:rPr>
              <w:t xml:space="preserve">, в </w:t>
            </w:r>
            <w:proofErr w:type="spellStart"/>
            <w:r w:rsidRPr="002045F5">
              <w:rPr>
                <w:color w:val="000000"/>
                <w:sz w:val="22"/>
                <w:lang w:val="ru-RU"/>
              </w:rPr>
              <w:t>результаті</w:t>
            </w:r>
            <w:proofErr w:type="spellEnd"/>
            <w:r w:rsidRPr="002045F5">
              <w:rPr>
                <w:color w:val="000000"/>
                <w:sz w:val="22"/>
                <w:lang w:val="ru-RU"/>
              </w:rPr>
              <w:t xml:space="preserve"> </w:t>
            </w:r>
            <w:proofErr w:type="spellStart"/>
            <w:r w:rsidRPr="002045F5">
              <w:rPr>
                <w:color w:val="000000"/>
                <w:sz w:val="22"/>
                <w:lang w:val="ru-RU"/>
              </w:rPr>
              <w:t>чого</w:t>
            </w:r>
            <w:proofErr w:type="spellEnd"/>
            <w:r w:rsidRPr="002045F5">
              <w:rPr>
                <w:color w:val="000000"/>
                <w:sz w:val="22"/>
                <w:lang w:val="ru-RU"/>
              </w:rPr>
              <w:t xml:space="preserve">  </w:t>
            </w:r>
            <w:proofErr w:type="spellStart"/>
            <w:r w:rsidRPr="002045F5">
              <w:rPr>
                <w:color w:val="000000"/>
                <w:sz w:val="22"/>
                <w:lang w:val="ru-RU"/>
              </w:rPr>
              <w:t>пошкоджені</w:t>
            </w:r>
            <w:proofErr w:type="spellEnd"/>
            <w:r w:rsidRPr="002045F5">
              <w:rPr>
                <w:color w:val="000000"/>
                <w:sz w:val="22"/>
                <w:lang w:val="ru-RU"/>
              </w:rPr>
              <w:t xml:space="preserve"> </w:t>
            </w:r>
            <w:proofErr w:type="spellStart"/>
            <w:r w:rsidRPr="002045F5">
              <w:rPr>
                <w:color w:val="000000"/>
                <w:sz w:val="22"/>
                <w:lang w:val="ru-RU"/>
              </w:rPr>
              <w:t>навчальні</w:t>
            </w:r>
            <w:proofErr w:type="spellEnd"/>
            <w:r w:rsidRPr="002045F5">
              <w:rPr>
                <w:color w:val="000000"/>
                <w:sz w:val="22"/>
                <w:lang w:val="ru-RU"/>
              </w:rPr>
              <w:t xml:space="preserve"> та </w:t>
            </w:r>
            <w:proofErr w:type="spellStart"/>
            <w:r w:rsidRPr="002045F5">
              <w:rPr>
                <w:color w:val="000000"/>
                <w:sz w:val="22"/>
                <w:lang w:val="ru-RU"/>
              </w:rPr>
              <w:t>адміністративні</w:t>
            </w:r>
            <w:proofErr w:type="spellEnd"/>
            <w:r w:rsidRPr="002045F5">
              <w:rPr>
                <w:color w:val="000000"/>
                <w:sz w:val="22"/>
                <w:lang w:val="ru-RU"/>
              </w:rPr>
              <w:t xml:space="preserve"> </w:t>
            </w:r>
            <w:proofErr w:type="spellStart"/>
            <w:r w:rsidRPr="002045F5">
              <w:rPr>
                <w:color w:val="000000"/>
                <w:sz w:val="22"/>
                <w:lang w:val="ru-RU"/>
              </w:rPr>
              <w:t>кабінети</w:t>
            </w:r>
            <w:proofErr w:type="spellEnd"/>
            <w:r w:rsidRPr="002045F5">
              <w:rPr>
                <w:color w:val="000000"/>
                <w:sz w:val="22"/>
                <w:lang w:val="ru-RU"/>
              </w:rPr>
              <w:t xml:space="preserve">,  </w:t>
            </w:r>
            <w:proofErr w:type="spellStart"/>
            <w:r w:rsidRPr="002045F5">
              <w:rPr>
                <w:color w:val="000000"/>
                <w:sz w:val="22"/>
                <w:lang w:val="ru-RU"/>
              </w:rPr>
              <w:t>приміщення</w:t>
            </w:r>
            <w:proofErr w:type="spellEnd"/>
            <w:r w:rsidRPr="002045F5">
              <w:rPr>
                <w:color w:val="000000"/>
                <w:sz w:val="22"/>
                <w:lang w:val="ru-RU"/>
              </w:rPr>
              <w:t xml:space="preserve"> </w:t>
            </w:r>
            <w:proofErr w:type="spellStart"/>
            <w:r w:rsidRPr="002045F5">
              <w:rPr>
                <w:color w:val="000000"/>
                <w:sz w:val="22"/>
                <w:lang w:val="ru-RU"/>
              </w:rPr>
              <w:t>спеціального</w:t>
            </w:r>
            <w:proofErr w:type="spellEnd"/>
            <w:r w:rsidRPr="002045F5">
              <w:rPr>
                <w:color w:val="000000"/>
                <w:sz w:val="22"/>
                <w:lang w:val="ru-RU"/>
              </w:rPr>
              <w:t xml:space="preserve"> </w:t>
            </w:r>
            <w:proofErr w:type="spellStart"/>
            <w:r w:rsidRPr="002045F5">
              <w:rPr>
                <w:color w:val="000000"/>
                <w:sz w:val="22"/>
                <w:lang w:val="ru-RU"/>
              </w:rPr>
              <w:t>призначення</w:t>
            </w:r>
            <w:proofErr w:type="spellEnd"/>
            <w:r w:rsidRPr="002045F5">
              <w:rPr>
                <w:color w:val="000000"/>
                <w:sz w:val="22"/>
                <w:lang w:val="ru-RU"/>
              </w:rPr>
              <w:t xml:space="preserve"> разом з </w:t>
            </w:r>
            <w:proofErr w:type="spellStart"/>
            <w:r w:rsidRPr="002045F5">
              <w:rPr>
                <w:color w:val="000000"/>
                <w:sz w:val="22"/>
                <w:lang w:val="ru-RU"/>
              </w:rPr>
              <w:t>меблями</w:t>
            </w:r>
            <w:proofErr w:type="spellEnd"/>
            <w:r w:rsidRPr="002045F5">
              <w:rPr>
                <w:color w:val="000000"/>
                <w:sz w:val="22"/>
                <w:lang w:val="ru-RU"/>
              </w:rPr>
              <w:t xml:space="preserve">,  </w:t>
            </w:r>
            <w:proofErr w:type="spellStart"/>
            <w:r w:rsidRPr="002045F5">
              <w:rPr>
                <w:color w:val="000000"/>
                <w:sz w:val="22"/>
                <w:lang w:val="ru-RU"/>
              </w:rPr>
              <w:t>обладнанням</w:t>
            </w:r>
            <w:proofErr w:type="spellEnd"/>
            <w:r w:rsidRPr="002045F5">
              <w:rPr>
                <w:color w:val="000000"/>
                <w:sz w:val="22"/>
                <w:lang w:val="ru-RU"/>
              </w:rPr>
              <w:t xml:space="preserve">, </w:t>
            </w:r>
            <w:proofErr w:type="spellStart"/>
            <w:r w:rsidRPr="002045F5">
              <w:rPr>
                <w:color w:val="000000"/>
                <w:sz w:val="22"/>
                <w:lang w:val="ru-RU"/>
              </w:rPr>
              <w:t>технічними</w:t>
            </w:r>
            <w:proofErr w:type="spellEnd"/>
            <w:r w:rsidRPr="002045F5">
              <w:rPr>
                <w:color w:val="000000"/>
                <w:sz w:val="22"/>
                <w:lang w:val="ru-RU"/>
              </w:rPr>
              <w:t xml:space="preserve"> </w:t>
            </w:r>
            <w:proofErr w:type="spellStart"/>
            <w:r w:rsidRPr="002045F5">
              <w:rPr>
                <w:color w:val="000000"/>
                <w:sz w:val="22"/>
                <w:lang w:val="ru-RU"/>
              </w:rPr>
              <w:t>засобами</w:t>
            </w:r>
            <w:proofErr w:type="spellEnd"/>
            <w:r w:rsidRPr="002045F5">
              <w:rPr>
                <w:color w:val="000000"/>
                <w:sz w:val="22"/>
                <w:lang w:val="ru-RU"/>
              </w:rPr>
              <w:t xml:space="preserve"> </w:t>
            </w:r>
            <w:proofErr w:type="spellStart"/>
            <w:r w:rsidRPr="002045F5">
              <w:rPr>
                <w:color w:val="000000"/>
                <w:sz w:val="22"/>
                <w:lang w:val="ru-RU"/>
              </w:rPr>
              <w:t>навчання</w:t>
            </w:r>
            <w:proofErr w:type="spellEnd"/>
            <w:r w:rsidRPr="002045F5">
              <w:rPr>
                <w:color w:val="000000"/>
                <w:sz w:val="22"/>
                <w:lang w:val="ru-RU"/>
              </w:rPr>
              <w:t xml:space="preserve">, </w:t>
            </w:r>
            <w:proofErr w:type="spellStart"/>
            <w:r w:rsidRPr="002045F5">
              <w:rPr>
                <w:color w:val="000000"/>
                <w:sz w:val="22"/>
                <w:lang w:val="ru-RU"/>
              </w:rPr>
              <w:t>офісною</w:t>
            </w:r>
            <w:proofErr w:type="spellEnd"/>
            <w:r w:rsidRPr="002045F5">
              <w:rPr>
                <w:color w:val="000000"/>
                <w:sz w:val="22"/>
                <w:lang w:val="ru-RU"/>
              </w:rPr>
              <w:t xml:space="preserve"> </w:t>
            </w:r>
            <w:proofErr w:type="spellStart"/>
            <w:r w:rsidRPr="002045F5">
              <w:rPr>
                <w:color w:val="000000"/>
                <w:sz w:val="22"/>
                <w:lang w:val="ru-RU"/>
              </w:rPr>
              <w:t>технікою</w:t>
            </w:r>
            <w:proofErr w:type="spellEnd"/>
            <w:r w:rsidRPr="002045F5">
              <w:rPr>
                <w:color w:val="000000"/>
                <w:sz w:val="22"/>
                <w:lang w:val="ru-RU"/>
              </w:rPr>
              <w:t xml:space="preserve">, </w:t>
            </w:r>
            <w:proofErr w:type="spellStart"/>
            <w:r w:rsidRPr="002045F5">
              <w:rPr>
                <w:color w:val="000000"/>
                <w:sz w:val="22"/>
                <w:lang w:val="ru-RU"/>
              </w:rPr>
              <w:t>інтерактивними</w:t>
            </w:r>
            <w:proofErr w:type="spellEnd"/>
            <w:r w:rsidRPr="002045F5">
              <w:rPr>
                <w:color w:val="000000"/>
                <w:sz w:val="22"/>
                <w:lang w:val="ru-RU"/>
              </w:rPr>
              <w:t xml:space="preserve"> комплексами </w:t>
            </w:r>
            <w:proofErr w:type="spellStart"/>
            <w:r w:rsidRPr="002045F5">
              <w:rPr>
                <w:color w:val="000000"/>
                <w:sz w:val="22"/>
                <w:lang w:val="ru-RU"/>
              </w:rPr>
              <w:t>навчання</w:t>
            </w:r>
            <w:proofErr w:type="spellEnd"/>
            <w:r w:rsidRPr="002045F5">
              <w:rPr>
                <w:color w:val="000000"/>
                <w:sz w:val="22"/>
                <w:lang w:val="ru-RU"/>
              </w:rPr>
              <w:t xml:space="preserve">. </w:t>
            </w:r>
            <w:proofErr w:type="spellStart"/>
            <w:r w:rsidRPr="002045F5">
              <w:rPr>
                <w:color w:val="000000"/>
                <w:sz w:val="22"/>
                <w:lang w:val="ru-RU"/>
              </w:rPr>
              <w:t>Вільний</w:t>
            </w:r>
            <w:proofErr w:type="spellEnd"/>
            <w:r w:rsidRPr="002045F5">
              <w:rPr>
                <w:color w:val="000000"/>
                <w:sz w:val="22"/>
                <w:lang w:val="ru-RU"/>
              </w:rPr>
              <w:t xml:space="preserve"> доступ у </w:t>
            </w:r>
            <w:proofErr w:type="spellStart"/>
            <w:r w:rsidRPr="002045F5">
              <w:rPr>
                <w:color w:val="000000"/>
                <w:sz w:val="22"/>
                <w:lang w:val="ru-RU"/>
              </w:rPr>
              <w:t>пошкоджену</w:t>
            </w:r>
            <w:proofErr w:type="spellEnd"/>
            <w:r w:rsidRPr="002045F5">
              <w:rPr>
                <w:color w:val="000000"/>
                <w:sz w:val="22"/>
                <w:lang w:val="ru-RU"/>
              </w:rPr>
              <w:t xml:space="preserve"> </w:t>
            </w:r>
            <w:proofErr w:type="spellStart"/>
            <w:r w:rsidRPr="002045F5">
              <w:rPr>
                <w:color w:val="000000"/>
                <w:sz w:val="22"/>
                <w:lang w:val="ru-RU"/>
              </w:rPr>
              <w:t>будівлю</w:t>
            </w:r>
            <w:proofErr w:type="spellEnd"/>
            <w:r w:rsidRPr="002045F5">
              <w:rPr>
                <w:color w:val="000000"/>
                <w:sz w:val="22"/>
                <w:lang w:val="ru-RU"/>
              </w:rPr>
              <w:t xml:space="preserve"> </w:t>
            </w:r>
            <w:proofErr w:type="gramStart"/>
            <w:r w:rsidRPr="002045F5">
              <w:rPr>
                <w:color w:val="000000"/>
                <w:sz w:val="22"/>
                <w:lang w:val="ru-RU"/>
              </w:rPr>
              <w:t xml:space="preserve">створив  </w:t>
            </w:r>
            <w:proofErr w:type="spellStart"/>
            <w:r w:rsidRPr="002045F5">
              <w:rPr>
                <w:color w:val="000000"/>
                <w:sz w:val="22"/>
                <w:lang w:val="ru-RU"/>
              </w:rPr>
              <w:t>можливості</w:t>
            </w:r>
            <w:proofErr w:type="spellEnd"/>
            <w:proofErr w:type="gramEnd"/>
            <w:r w:rsidRPr="002045F5">
              <w:rPr>
                <w:color w:val="000000"/>
                <w:sz w:val="22"/>
                <w:lang w:val="ru-RU"/>
              </w:rPr>
              <w:t xml:space="preserve"> </w:t>
            </w:r>
            <w:proofErr w:type="spellStart"/>
            <w:r w:rsidRPr="002045F5">
              <w:rPr>
                <w:color w:val="000000"/>
                <w:sz w:val="22"/>
                <w:lang w:val="ru-RU"/>
              </w:rPr>
              <w:t>викрадення</w:t>
            </w:r>
            <w:proofErr w:type="spellEnd"/>
            <w:r w:rsidRPr="002045F5">
              <w:rPr>
                <w:color w:val="000000"/>
                <w:sz w:val="22"/>
                <w:lang w:val="ru-RU"/>
              </w:rPr>
              <w:t xml:space="preserve"> </w:t>
            </w:r>
            <w:proofErr w:type="spellStart"/>
            <w:r w:rsidRPr="002045F5">
              <w:rPr>
                <w:color w:val="000000"/>
                <w:sz w:val="22"/>
                <w:lang w:val="ru-RU"/>
              </w:rPr>
              <w:t>невідомими</w:t>
            </w:r>
            <w:proofErr w:type="spellEnd"/>
            <w:r w:rsidRPr="002045F5">
              <w:rPr>
                <w:color w:val="000000"/>
                <w:sz w:val="22"/>
                <w:lang w:val="ru-RU"/>
              </w:rPr>
              <w:t xml:space="preserve"> особами державного майна. </w:t>
            </w:r>
          </w:p>
          <w:p w:rsidR="003B7CFF" w:rsidRPr="002045F5" w:rsidRDefault="003B7CFF" w:rsidP="001013F3">
            <w:pPr>
              <w:rPr>
                <w:color w:val="000000"/>
                <w:sz w:val="22"/>
                <w:lang w:val="ru-RU"/>
              </w:rPr>
            </w:pPr>
            <w:r w:rsidRPr="002045F5">
              <w:rPr>
                <w:rFonts w:eastAsia="Arial"/>
                <w:sz w:val="22"/>
              </w:rPr>
              <w:t xml:space="preserve">        Для відбудови та сталого розвитку громади потрібне відновлення </w:t>
            </w:r>
            <w:proofErr w:type="spellStart"/>
            <w:r w:rsidRPr="002045F5">
              <w:rPr>
                <w:color w:val="000000"/>
                <w:sz w:val="22"/>
                <w:lang w:val="ru-RU"/>
              </w:rPr>
              <w:t>оснащення</w:t>
            </w:r>
            <w:proofErr w:type="spellEnd"/>
            <w:r w:rsidRPr="002045F5">
              <w:rPr>
                <w:color w:val="000000"/>
                <w:sz w:val="22"/>
                <w:lang w:val="ru-RU"/>
              </w:rPr>
              <w:t xml:space="preserve">  </w:t>
            </w:r>
            <w:proofErr w:type="spellStart"/>
            <w:r w:rsidRPr="002045F5">
              <w:rPr>
                <w:color w:val="000000"/>
                <w:sz w:val="22"/>
                <w:lang w:val="ru-RU"/>
              </w:rPr>
              <w:t>Ліцею</w:t>
            </w:r>
            <w:proofErr w:type="spellEnd"/>
            <w:r w:rsidRPr="002045F5">
              <w:rPr>
                <w:color w:val="000000"/>
                <w:sz w:val="22"/>
                <w:lang w:val="ru-RU"/>
              </w:rPr>
              <w:t xml:space="preserve"> "ЮВЕНЕС" </w:t>
            </w:r>
            <w:proofErr w:type="spellStart"/>
            <w:r w:rsidRPr="002045F5">
              <w:rPr>
                <w:color w:val="000000"/>
                <w:sz w:val="22"/>
                <w:lang w:val="ru-RU"/>
              </w:rPr>
              <w:t>міста</w:t>
            </w:r>
            <w:proofErr w:type="spellEnd"/>
            <w:r w:rsidRPr="002045F5">
              <w:rPr>
                <w:color w:val="000000"/>
                <w:sz w:val="22"/>
                <w:lang w:val="ru-RU"/>
              </w:rPr>
              <w:t xml:space="preserve"> </w:t>
            </w:r>
            <w:proofErr w:type="spellStart"/>
            <w:r w:rsidRPr="002045F5">
              <w:rPr>
                <w:color w:val="000000"/>
                <w:sz w:val="22"/>
                <w:lang w:val="ru-RU"/>
              </w:rPr>
              <w:t>Сєвєродонецька</w:t>
            </w:r>
            <w:proofErr w:type="spellEnd"/>
            <w:r w:rsidRPr="002045F5">
              <w:rPr>
                <w:color w:val="000000"/>
                <w:sz w:val="22"/>
                <w:lang w:val="ru-RU"/>
              </w:rPr>
              <w:t xml:space="preserve"> </w:t>
            </w:r>
            <w:proofErr w:type="spellStart"/>
            <w:r w:rsidRPr="002045F5">
              <w:rPr>
                <w:color w:val="000000"/>
                <w:sz w:val="22"/>
                <w:lang w:val="ru-RU"/>
              </w:rPr>
              <w:t>Луганської</w:t>
            </w:r>
            <w:proofErr w:type="spellEnd"/>
            <w:r w:rsidRPr="002045F5">
              <w:rPr>
                <w:color w:val="000000"/>
                <w:sz w:val="22"/>
                <w:lang w:val="ru-RU"/>
              </w:rPr>
              <w:t xml:space="preserve"> </w:t>
            </w:r>
            <w:proofErr w:type="spellStart"/>
            <w:r w:rsidRPr="002045F5">
              <w:rPr>
                <w:color w:val="000000"/>
                <w:sz w:val="22"/>
                <w:lang w:val="ru-RU"/>
              </w:rPr>
              <w:t>області</w:t>
            </w:r>
            <w:proofErr w:type="spellEnd"/>
            <w:r w:rsidRPr="002045F5">
              <w:rPr>
                <w:color w:val="000000"/>
                <w:sz w:val="22"/>
                <w:lang w:val="ru-RU"/>
              </w:rPr>
              <w:t xml:space="preserve">, </w:t>
            </w:r>
            <w:proofErr w:type="spellStart"/>
            <w:r w:rsidRPr="002045F5">
              <w:rPr>
                <w:color w:val="000000"/>
                <w:sz w:val="22"/>
                <w:lang w:val="ru-RU"/>
              </w:rPr>
              <w:t>вул</w:t>
            </w:r>
            <w:proofErr w:type="spellEnd"/>
            <w:r w:rsidRPr="002045F5">
              <w:rPr>
                <w:color w:val="000000"/>
                <w:sz w:val="22"/>
                <w:lang w:val="ru-RU"/>
              </w:rPr>
              <w:t>. Курчатова, буд.34.</w:t>
            </w:r>
            <w:r w:rsidRPr="002045F5">
              <w:rPr>
                <w:rFonts w:eastAsia="Arial"/>
                <w:sz w:val="22"/>
              </w:rPr>
              <w:t xml:space="preserve"> Мешканці громади потребують отримання якісних освітніх послуг, які відповідають нормам сучасності.</w:t>
            </w:r>
          </w:p>
        </w:tc>
      </w:tr>
      <w:tr w:rsidR="003B7CFF" w:rsidRPr="002045F5" w:rsidTr="00E824C2">
        <w:trPr>
          <w:trHeight w:val="794"/>
        </w:trPr>
        <w:tc>
          <w:tcPr>
            <w:tcW w:w="2978" w:type="dxa"/>
            <w:shd w:val="clear" w:color="auto" w:fill="C6D9F1" w:themeFill="text2" w:themeFillTint="33"/>
            <w:vAlign w:val="center"/>
            <w:hideMark/>
          </w:tcPr>
          <w:p w:rsidR="003B7CFF" w:rsidRPr="002045F5" w:rsidRDefault="003B7CFF" w:rsidP="001013F3">
            <w:pPr>
              <w:rPr>
                <w:b/>
                <w:color w:val="000000"/>
                <w:sz w:val="22"/>
                <w:lang w:val="ru-RU"/>
              </w:rPr>
            </w:pPr>
            <w:proofErr w:type="spellStart"/>
            <w:r w:rsidRPr="002045F5">
              <w:rPr>
                <w:rFonts w:eastAsia="Calibri"/>
                <w:b/>
                <w:color w:val="000000"/>
                <w:sz w:val="22"/>
                <w:lang w:val="ru-RU"/>
              </w:rPr>
              <w:t>Очікувані</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якісні</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результати</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від</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реалізації</w:t>
            </w:r>
            <w:proofErr w:type="spellEnd"/>
            <w:r w:rsidRPr="002045F5">
              <w:rPr>
                <w:rFonts w:eastAsia="Calibri"/>
                <w:b/>
                <w:color w:val="000000"/>
                <w:sz w:val="22"/>
                <w:lang w:val="ru-RU"/>
              </w:rPr>
              <w:t xml:space="preserve"> проекту</w:t>
            </w:r>
          </w:p>
        </w:tc>
        <w:tc>
          <w:tcPr>
            <w:tcW w:w="6881" w:type="dxa"/>
            <w:gridSpan w:val="7"/>
            <w:shd w:val="clear" w:color="auto" w:fill="auto"/>
            <w:vAlign w:val="center"/>
            <w:hideMark/>
          </w:tcPr>
          <w:p w:rsidR="003B7CFF" w:rsidRPr="002045F5" w:rsidRDefault="003B7CFF" w:rsidP="000303D7">
            <w:pPr>
              <w:pStyle w:val="a7"/>
              <w:numPr>
                <w:ilvl w:val="0"/>
                <w:numId w:val="118"/>
              </w:numPr>
              <w:ind w:left="0" w:firstLine="357"/>
              <w:jc w:val="left"/>
              <w:rPr>
                <w:color w:val="000000"/>
                <w:sz w:val="22"/>
                <w:lang w:val="ru-RU"/>
              </w:rPr>
            </w:pPr>
            <w:proofErr w:type="spellStart"/>
            <w:r w:rsidRPr="002045F5">
              <w:rPr>
                <w:color w:val="000000"/>
                <w:sz w:val="22"/>
                <w:lang w:val="ru-RU"/>
              </w:rPr>
              <w:t>Створення</w:t>
            </w:r>
            <w:proofErr w:type="spellEnd"/>
            <w:r w:rsidRPr="002045F5">
              <w:rPr>
                <w:color w:val="000000"/>
                <w:sz w:val="22"/>
                <w:lang w:val="ru-RU"/>
              </w:rPr>
              <w:t xml:space="preserve"> </w:t>
            </w:r>
            <w:proofErr w:type="spellStart"/>
            <w:r w:rsidRPr="002045F5">
              <w:rPr>
                <w:color w:val="000000"/>
                <w:sz w:val="22"/>
                <w:lang w:val="ru-RU"/>
              </w:rPr>
              <w:t>належних</w:t>
            </w:r>
            <w:proofErr w:type="spellEnd"/>
            <w:r w:rsidRPr="002045F5">
              <w:rPr>
                <w:color w:val="000000"/>
                <w:sz w:val="22"/>
                <w:lang w:val="ru-RU"/>
              </w:rPr>
              <w:t xml:space="preserve"> умов для </w:t>
            </w:r>
            <w:proofErr w:type="spellStart"/>
            <w:r w:rsidRPr="002045F5">
              <w:rPr>
                <w:color w:val="000000"/>
                <w:sz w:val="22"/>
                <w:lang w:val="ru-RU"/>
              </w:rPr>
              <w:t>навчання</w:t>
            </w:r>
            <w:proofErr w:type="spellEnd"/>
            <w:r w:rsidRPr="002045F5">
              <w:rPr>
                <w:color w:val="000000"/>
                <w:sz w:val="22"/>
                <w:lang w:val="ru-RU"/>
              </w:rPr>
              <w:t xml:space="preserve">, </w:t>
            </w:r>
            <w:proofErr w:type="spellStart"/>
            <w:r w:rsidRPr="002045F5">
              <w:rPr>
                <w:color w:val="000000"/>
                <w:sz w:val="22"/>
                <w:lang w:val="ru-RU"/>
              </w:rPr>
              <w:t>всебічного</w:t>
            </w:r>
            <w:proofErr w:type="spellEnd"/>
            <w:r w:rsidRPr="002045F5">
              <w:rPr>
                <w:color w:val="000000"/>
                <w:sz w:val="22"/>
                <w:lang w:val="ru-RU"/>
              </w:rPr>
              <w:t xml:space="preserve"> </w:t>
            </w:r>
            <w:proofErr w:type="spellStart"/>
            <w:r w:rsidRPr="002045F5">
              <w:rPr>
                <w:color w:val="000000"/>
                <w:sz w:val="22"/>
                <w:lang w:val="ru-RU"/>
              </w:rPr>
              <w:t>розвитку</w:t>
            </w:r>
            <w:proofErr w:type="spellEnd"/>
            <w:r w:rsidRPr="002045F5">
              <w:rPr>
                <w:color w:val="000000"/>
                <w:sz w:val="22"/>
                <w:lang w:val="ru-RU"/>
              </w:rPr>
              <w:t xml:space="preserve"> </w:t>
            </w:r>
            <w:proofErr w:type="gramStart"/>
            <w:r w:rsidRPr="002045F5">
              <w:rPr>
                <w:color w:val="000000"/>
                <w:sz w:val="22"/>
                <w:lang w:val="ru-RU"/>
              </w:rPr>
              <w:t xml:space="preserve">та  </w:t>
            </w:r>
            <w:proofErr w:type="spellStart"/>
            <w:r w:rsidRPr="002045F5">
              <w:rPr>
                <w:color w:val="000000"/>
                <w:sz w:val="22"/>
                <w:lang w:val="ru-RU"/>
              </w:rPr>
              <w:t>відпочинку</w:t>
            </w:r>
            <w:proofErr w:type="spellEnd"/>
            <w:proofErr w:type="gramEnd"/>
            <w:r w:rsidRPr="002045F5">
              <w:rPr>
                <w:color w:val="000000"/>
                <w:sz w:val="22"/>
                <w:lang w:val="ru-RU"/>
              </w:rPr>
              <w:t xml:space="preserve"> </w:t>
            </w:r>
            <w:proofErr w:type="spellStart"/>
            <w:r w:rsidRPr="002045F5">
              <w:rPr>
                <w:color w:val="000000"/>
                <w:sz w:val="22"/>
                <w:lang w:val="ru-RU"/>
              </w:rPr>
              <w:t>здобувачів</w:t>
            </w:r>
            <w:proofErr w:type="spellEnd"/>
            <w:r w:rsidRPr="002045F5">
              <w:rPr>
                <w:color w:val="000000"/>
                <w:sz w:val="22"/>
                <w:lang w:val="ru-RU"/>
              </w:rPr>
              <w:t xml:space="preserve"> </w:t>
            </w:r>
            <w:proofErr w:type="spellStart"/>
            <w:r w:rsidRPr="002045F5">
              <w:rPr>
                <w:color w:val="000000"/>
                <w:sz w:val="22"/>
                <w:lang w:val="ru-RU"/>
              </w:rPr>
              <w:t>освіти</w:t>
            </w:r>
            <w:proofErr w:type="spellEnd"/>
            <w:r w:rsidRPr="002045F5">
              <w:rPr>
                <w:color w:val="000000"/>
                <w:sz w:val="22"/>
                <w:lang w:val="ru-RU"/>
              </w:rPr>
              <w:t>.</w:t>
            </w:r>
          </w:p>
          <w:p w:rsidR="003B7CFF" w:rsidRPr="002045F5" w:rsidRDefault="003B7CFF" w:rsidP="000303D7">
            <w:pPr>
              <w:pStyle w:val="a7"/>
              <w:numPr>
                <w:ilvl w:val="0"/>
                <w:numId w:val="118"/>
              </w:numPr>
              <w:ind w:left="0" w:firstLine="357"/>
              <w:jc w:val="left"/>
              <w:rPr>
                <w:color w:val="000000"/>
                <w:sz w:val="22"/>
                <w:lang w:val="ru-RU"/>
              </w:rPr>
            </w:pPr>
            <w:proofErr w:type="spellStart"/>
            <w:r w:rsidRPr="002045F5">
              <w:rPr>
                <w:color w:val="000000"/>
                <w:sz w:val="22"/>
                <w:lang w:val="ru-RU"/>
              </w:rPr>
              <w:t>Відновлення</w:t>
            </w:r>
            <w:proofErr w:type="spellEnd"/>
            <w:r w:rsidRPr="002045F5">
              <w:rPr>
                <w:color w:val="000000"/>
                <w:sz w:val="22"/>
                <w:lang w:val="ru-RU"/>
              </w:rPr>
              <w:t xml:space="preserve"> </w:t>
            </w:r>
            <w:proofErr w:type="spellStart"/>
            <w:r w:rsidRPr="002045F5">
              <w:rPr>
                <w:color w:val="000000"/>
                <w:sz w:val="22"/>
                <w:lang w:val="ru-RU"/>
              </w:rPr>
              <w:t>навчально-виховного</w:t>
            </w:r>
            <w:proofErr w:type="spellEnd"/>
            <w:r w:rsidRPr="002045F5">
              <w:rPr>
                <w:color w:val="000000"/>
                <w:sz w:val="22"/>
                <w:lang w:val="ru-RU"/>
              </w:rPr>
              <w:t xml:space="preserve"> </w:t>
            </w:r>
            <w:proofErr w:type="spellStart"/>
            <w:r w:rsidRPr="002045F5">
              <w:rPr>
                <w:color w:val="000000"/>
                <w:sz w:val="22"/>
                <w:lang w:val="ru-RU"/>
              </w:rPr>
              <w:t>процесу</w:t>
            </w:r>
            <w:proofErr w:type="spellEnd"/>
            <w:r w:rsidRPr="002045F5">
              <w:rPr>
                <w:color w:val="000000"/>
                <w:sz w:val="22"/>
                <w:lang w:val="ru-RU"/>
              </w:rPr>
              <w:t xml:space="preserve"> за </w:t>
            </w:r>
            <w:proofErr w:type="spellStart"/>
            <w:r w:rsidRPr="002045F5">
              <w:rPr>
                <w:color w:val="000000"/>
                <w:sz w:val="22"/>
                <w:lang w:val="ru-RU"/>
              </w:rPr>
              <w:t>вимогами</w:t>
            </w:r>
            <w:proofErr w:type="spellEnd"/>
            <w:r w:rsidRPr="002045F5">
              <w:rPr>
                <w:color w:val="000000"/>
                <w:sz w:val="22"/>
                <w:lang w:val="ru-RU"/>
              </w:rPr>
              <w:t xml:space="preserve"> ЗУ "Про </w:t>
            </w:r>
            <w:proofErr w:type="spellStart"/>
            <w:r w:rsidRPr="002045F5">
              <w:rPr>
                <w:color w:val="000000"/>
                <w:sz w:val="22"/>
                <w:lang w:val="ru-RU"/>
              </w:rPr>
              <w:t>освіту</w:t>
            </w:r>
            <w:proofErr w:type="spellEnd"/>
            <w:r w:rsidRPr="002045F5">
              <w:rPr>
                <w:color w:val="000000"/>
                <w:sz w:val="22"/>
                <w:lang w:val="ru-RU"/>
              </w:rPr>
              <w:t>".</w:t>
            </w:r>
          </w:p>
          <w:p w:rsidR="003B7CFF" w:rsidRPr="002045F5" w:rsidRDefault="003B7CFF" w:rsidP="000303D7">
            <w:pPr>
              <w:pStyle w:val="a7"/>
              <w:numPr>
                <w:ilvl w:val="0"/>
                <w:numId w:val="118"/>
              </w:numPr>
              <w:ind w:left="0" w:firstLine="357"/>
              <w:jc w:val="left"/>
              <w:rPr>
                <w:color w:val="000000"/>
                <w:sz w:val="22"/>
                <w:lang w:val="ru-RU"/>
              </w:rPr>
            </w:pPr>
            <w:proofErr w:type="spellStart"/>
            <w:r w:rsidRPr="002045F5">
              <w:rPr>
                <w:color w:val="000000"/>
                <w:sz w:val="22"/>
                <w:lang w:val="ru-RU"/>
              </w:rPr>
              <w:t>Надання</w:t>
            </w:r>
            <w:proofErr w:type="spellEnd"/>
            <w:r w:rsidRPr="002045F5">
              <w:rPr>
                <w:color w:val="000000"/>
                <w:sz w:val="22"/>
                <w:lang w:val="ru-RU"/>
              </w:rPr>
              <w:t xml:space="preserve"> </w:t>
            </w:r>
            <w:proofErr w:type="spellStart"/>
            <w:r w:rsidRPr="002045F5">
              <w:rPr>
                <w:color w:val="000000"/>
                <w:sz w:val="22"/>
                <w:lang w:val="ru-RU"/>
              </w:rPr>
              <w:t>якісних</w:t>
            </w:r>
            <w:proofErr w:type="spellEnd"/>
            <w:r w:rsidRPr="002045F5">
              <w:rPr>
                <w:color w:val="000000"/>
                <w:sz w:val="22"/>
                <w:lang w:val="ru-RU"/>
              </w:rPr>
              <w:t xml:space="preserve"> </w:t>
            </w:r>
            <w:proofErr w:type="spellStart"/>
            <w:r w:rsidRPr="002045F5">
              <w:rPr>
                <w:color w:val="000000"/>
                <w:sz w:val="22"/>
                <w:lang w:val="ru-RU"/>
              </w:rPr>
              <w:t>освітніх</w:t>
            </w:r>
            <w:proofErr w:type="spellEnd"/>
            <w:r w:rsidRPr="002045F5">
              <w:rPr>
                <w:color w:val="000000"/>
                <w:sz w:val="22"/>
                <w:lang w:val="ru-RU"/>
              </w:rPr>
              <w:t xml:space="preserve"> </w:t>
            </w:r>
            <w:proofErr w:type="spellStart"/>
            <w:r w:rsidRPr="002045F5">
              <w:rPr>
                <w:color w:val="000000"/>
                <w:sz w:val="22"/>
                <w:lang w:val="ru-RU"/>
              </w:rPr>
              <w:t>послуг</w:t>
            </w:r>
            <w:proofErr w:type="spellEnd"/>
            <w:r w:rsidRPr="002045F5">
              <w:rPr>
                <w:color w:val="000000"/>
                <w:sz w:val="22"/>
                <w:lang w:val="ru-RU"/>
              </w:rPr>
              <w:t xml:space="preserve"> жителям </w:t>
            </w:r>
            <w:proofErr w:type="spellStart"/>
            <w:r w:rsidRPr="002045F5">
              <w:rPr>
                <w:color w:val="000000"/>
                <w:sz w:val="22"/>
                <w:lang w:val="ru-RU"/>
              </w:rPr>
              <w:t>Сєвєродонецької</w:t>
            </w:r>
            <w:proofErr w:type="spellEnd"/>
            <w:r w:rsidRPr="002045F5">
              <w:rPr>
                <w:color w:val="000000"/>
                <w:sz w:val="22"/>
                <w:lang w:val="ru-RU"/>
              </w:rPr>
              <w:t xml:space="preserve"> </w:t>
            </w:r>
            <w:proofErr w:type="spellStart"/>
            <w:r w:rsidRPr="002045F5">
              <w:rPr>
                <w:color w:val="000000"/>
                <w:sz w:val="22"/>
                <w:lang w:val="ru-RU"/>
              </w:rPr>
              <w:t>міської</w:t>
            </w:r>
            <w:proofErr w:type="spellEnd"/>
            <w:r w:rsidRPr="002045F5">
              <w:rPr>
                <w:color w:val="000000"/>
                <w:sz w:val="22"/>
                <w:lang w:val="ru-RU"/>
              </w:rPr>
              <w:t xml:space="preserve"> </w:t>
            </w:r>
            <w:proofErr w:type="spellStart"/>
            <w:r w:rsidRPr="002045F5">
              <w:rPr>
                <w:color w:val="000000"/>
                <w:sz w:val="22"/>
                <w:lang w:val="ru-RU"/>
              </w:rPr>
              <w:t>територіальної</w:t>
            </w:r>
            <w:proofErr w:type="spellEnd"/>
            <w:r w:rsidRPr="002045F5">
              <w:rPr>
                <w:color w:val="000000"/>
                <w:sz w:val="22"/>
                <w:lang w:val="ru-RU"/>
              </w:rPr>
              <w:t xml:space="preserve"> </w:t>
            </w:r>
            <w:proofErr w:type="spellStart"/>
            <w:r w:rsidRPr="002045F5">
              <w:rPr>
                <w:color w:val="000000"/>
                <w:sz w:val="22"/>
                <w:lang w:val="ru-RU"/>
              </w:rPr>
              <w:t>громади</w:t>
            </w:r>
            <w:proofErr w:type="spellEnd"/>
            <w:r w:rsidRPr="002045F5">
              <w:rPr>
                <w:color w:val="000000"/>
                <w:sz w:val="22"/>
                <w:lang w:val="ru-RU"/>
              </w:rPr>
              <w:t>.</w:t>
            </w:r>
          </w:p>
          <w:p w:rsidR="003B7CFF" w:rsidRPr="002045F5" w:rsidRDefault="003B7CFF" w:rsidP="000303D7">
            <w:pPr>
              <w:pStyle w:val="a7"/>
              <w:numPr>
                <w:ilvl w:val="0"/>
                <w:numId w:val="118"/>
              </w:numPr>
              <w:ind w:left="0" w:firstLine="357"/>
              <w:jc w:val="left"/>
              <w:rPr>
                <w:color w:val="000000"/>
                <w:sz w:val="22"/>
                <w:lang w:val="ru-RU"/>
              </w:rPr>
            </w:pPr>
            <w:proofErr w:type="spellStart"/>
            <w:r w:rsidRPr="002045F5">
              <w:rPr>
                <w:color w:val="000000"/>
                <w:sz w:val="22"/>
                <w:lang w:val="ru-RU"/>
              </w:rPr>
              <w:t>Створення</w:t>
            </w:r>
            <w:proofErr w:type="spellEnd"/>
            <w:r w:rsidRPr="002045F5">
              <w:rPr>
                <w:color w:val="000000"/>
                <w:sz w:val="22"/>
                <w:lang w:val="ru-RU"/>
              </w:rPr>
              <w:t xml:space="preserve"> умов для </w:t>
            </w:r>
            <w:proofErr w:type="spellStart"/>
            <w:r w:rsidRPr="002045F5">
              <w:rPr>
                <w:color w:val="000000"/>
                <w:sz w:val="22"/>
                <w:lang w:val="ru-RU"/>
              </w:rPr>
              <w:t>повернення</w:t>
            </w:r>
            <w:proofErr w:type="spellEnd"/>
            <w:r w:rsidRPr="002045F5">
              <w:rPr>
                <w:color w:val="000000"/>
                <w:sz w:val="22"/>
                <w:lang w:val="ru-RU"/>
              </w:rPr>
              <w:t xml:space="preserve"> ВПО до </w:t>
            </w:r>
            <w:proofErr w:type="spellStart"/>
            <w:r w:rsidRPr="002045F5">
              <w:rPr>
                <w:color w:val="000000"/>
                <w:sz w:val="22"/>
                <w:lang w:val="ru-RU"/>
              </w:rPr>
              <w:t>громади</w:t>
            </w:r>
            <w:proofErr w:type="spellEnd"/>
            <w:r w:rsidRPr="002045F5">
              <w:rPr>
                <w:color w:val="000000"/>
                <w:sz w:val="22"/>
                <w:lang w:val="ru-RU"/>
              </w:rPr>
              <w:t>.</w:t>
            </w:r>
          </w:p>
        </w:tc>
      </w:tr>
      <w:tr w:rsidR="003B7CFF" w:rsidRPr="002045F5" w:rsidTr="00E824C2">
        <w:trPr>
          <w:trHeight w:val="588"/>
        </w:trPr>
        <w:tc>
          <w:tcPr>
            <w:tcW w:w="2978" w:type="dxa"/>
            <w:vMerge w:val="restart"/>
            <w:shd w:val="clear" w:color="auto" w:fill="C6D9F1" w:themeFill="text2" w:themeFillTint="33"/>
            <w:vAlign w:val="center"/>
            <w:hideMark/>
          </w:tcPr>
          <w:p w:rsidR="003B7CFF" w:rsidRPr="002045F5" w:rsidRDefault="003B7CFF" w:rsidP="001013F3">
            <w:pPr>
              <w:rPr>
                <w:b/>
                <w:color w:val="000000"/>
                <w:sz w:val="22"/>
              </w:rPr>
            </w:pPr>
            <w:r w:rsidRPr="002045F5">
              <w:rPr>
                <w:rFonts w:eastAsia="Calibri"/>
                <w:b/>
                <w:color w:val="000000"/>
                <w:sz w:val="22"/>
              </w:rPr>
              <w:t>Очікувані кількісні результати від реалізації проекту  (індикатори)</w:t>
            </w:r>
          </w:p>
        </w:tc>
        <w:tc>
          <w:tcPr>
            <w:tcW w:w="3044" w:type="dxa"/>
            <w:gridSpan w:val="3"/>
            <w:shd w:val="clear" w:color="auto" w:fill="auto"/>
            <w:vAlign w:val="center"/>
            <w:hideMark/>
          </w:tcPr>
          <w:p w:rsidR="003B7CFF" w:rsidRPr="002045F5" w:rsidRDefault="003B7CFF" w:rsidP="001013F3">
            <w:pPr>
              <w:rPr>
                <w:b/>
                <w:color w:val="000000"/>
                <w:sz w:val="22"/>
              </w:rPr>
            </w:pPr>
            <w:proofErr w:type="spellStart"/>
            <w:r w:rsidRPr="002045F5">
              <w:rPr>
                <w:rFonts w:eastAsia="Calibri"/>
                <w:b/>
                <w:color w:val="000000"/>
                <w:sz w:val="22"/>
                <w:lang w:val="ru-RU"/>
              </w:rPr>
              <w:t>Найменування</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показника</w:t>
            </w:r>
            <w:proofErr w:type="spellEnd"/>
          </w:p>
        </w:tc>
        <w:tc>
          <w:tcPr>
            <w:tcW w:w="1880" w:type="dxa"/>
            <w:gridSpan w:val="2"/>
            <w:shd w:val="clear" w:color="auto" w:fill="auto"/>
            <w:vAlign w:val="center"/>
            <w:hideMark/>
          </w:tcPr>
          <w:p w:rsidR="003B7CFF" w:rsidRPr="002045F5" w:rsidRDefault="003B7CFF" w:rsidP="001013F3">
            <w:pPr>
              <w:rPr>
                <w:b/>
                <w:color w:val="000000"/>
                <w:sz w:val="22"/>
              </w:rPr>
            </w:pPr>
            <w:proofErr w:type="spellStart"/>
            <w:r w:rsidRPr="002045F5">
              <w:rPr>
                <w:rFonts w:eastAsia="Calibri"/>
                <w:b/>
                <w:color w:val="000000"/>
                <w:sz w:val="22"/>
                <w:lang w:val="ru-RU"/>
              </w:rPr>
              <w:t>Одиниця</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вимірювання</w:t>
            </w:r>
            <w:proofErr w:type="spellEnd"/>
          </w:p>
        </w:tc>
        <w:tc>
          <w:tcPr>
            <w:tcW w:w="1957" w:type="dxa"/>
            <w:gridSpan w:val="2"/>
            <w:shd w:val="clear" w:color="auto" w:fill="auto"/>
            <w:vAlign w:val="center"/>
            <w:hideMark/>
          </w:tcPr>
          <w:p w:rsidR="003B7CFF" w:rsidRPr="002045F5" w:rsidRDefault="003B7CFF" w:rsidP="001013F3">
            <w:pPr>
              <w:rPr>
                <w:b/>
                <w:color w:val="000000"/>
                <w:sz w:val="22"/>
              </w:rPr>
            </w:pPr>
            <w:proofErr w:type="spellStart"/>
            <w:r w:rsidRPr="002045F5">
              <w:rPr>
                <w:rFonts w:eastAsia="Calibri"/>
                <w:b/>
                <w:color w:val="000000"/>
                <w:sz w:val="22"/>
                <w:lang w:val="ru-RU"/>
              </w:rPr>
              <w:t>Прогнозне</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цільове</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значення</w:t>
            </w:r>
            <w:proofErr w:type="spellEnd"/>
          </w:p>
        </w:tc>
      </w:tr>
      <w:tr w:rsidR="003B7CFF" w:rsidRPr="002045F5" w:rsidTr="00E824C2">
        <w:trPr>
          <w:trHeight w:val="637"/>
        </w:trPr>
        <w:tc>
          <w:tcPr>
            <w:tcW w:w="2978" w:type="dxa"/>
            <w:vMerge/>
            <w:shd w:val="clear" w:color="auto" w:fill="C6D9F1" w:themeFill="text2" w:themeFillTint="33"/>
            <w:vAlign w:val="center"/>
            <w:hideMark/>
          </w:tcPr>
          <w:p w:rsidR="003B7CFF" w:rsidRPr="002045F5" w:rsidRDefault="003B7CFF" w:rsidP="001013F3">
            <w:pPr>
              <w:rPr>
                <w:b/>
                <w:color w:val="000000"/>
                <w:sz w:val="22"/>
              </w:rPr>
            </w:pPr>
          </w:p>
        </w:tc>
        <w:tc>
          <w:tcPr>
            <w:tcW w:w="3044" w:type="dxa"/>
            <w:gridSpan w:val="3"/>
            <w:shd w:val="clear" w:color="auto" w:fill="auto"/>
            <w:hideMark/>
          </w:tcPr>
          <w:p w:rsidR="003B7CFF" w:rsidRPr="002045F5" w:rsidRDefault="003B7CFF" w:rsidP="001013F3">
            <w:pPr>
              <w:rPr>
                <w:color w:val="000000"/>
                <w:sz w:val="22"/>
              </w:rPr>
            </w:pPr>
            <w:r w:rsidRPr="002045F5">
              <w:rPr>
                <w:color w:val="000000"/>
                <w:sz w:val="22"/>
              </w:rPr>
              <w:t>Кількість учасників освітнього процесу.</w:t>
            </w:r>
          </w:p>
        </w:tc>
        <w:tc>
          <w:tcPr>
            <w:tcW w:w="1880" w:type="dxa"/>
            <w:gridSpan w:val="2"/>
            <w:shd w:val="clear" w:color="auto" w:fill="auto"/>
            <w:hideMark/>
          </w:tcPr>
          <w:p w:rsidR="003B7CFF" w:rsidRPr="002045F5" w:rsidRDefault="003B7CFF" w:rsidP="001013F3">
            <w:pPr>
              <w:rPr>
                <w:color w:val="000000"/>
                <w:sz w:val="22"/>
              </w:rPr>
            </w:pPr>
            <w:r w:rsidRPr="002045F5">
              <w:rPr>
                <w:color w:val="000000"/>
                <w:sz w:val="22"/>
              </w:rPr>
              <w:t>осіб</w:t>
            </w:r>
          </w:p>
        </w:tc>
        <w:tc>
          <w:tcPr>
            <w:tcW w:w="1957" w:type="dxa"/>
            <w:gridSpan w:val="2"/>
            <w:shd w:val="clear" w:color="auto" w:fill="auto"/>
            <w:hideMark/>
          </w:tcPr>
          <w:p w:rsidR="003B7CFF" w:rsidRPr="002045F5" w:rsidRDefault="003B7CFF" w:rsidP="001013F3">
            <w:pPr>
              <w:rPr>
                <w:color w:val="000000"/>
                <w:sz w:val="22"/>
              </w:rPr>
            </w:pPr>
            <w:r w:rsidRPr="002045F5">
              <w:rPr>
                <w:color w:val="000000"/>
                <w:sz w:val="22"/>
              </w:rPr>
              <w:t>4800</w:t>
            </w:r>
          </w:p>
        </w:tc>
      </w:tr>
      <w:tr w:rsidR="003B7CFF" w:rsidRPr="002045F5" w:rsidTr="00E824C2">
        <w:trPr>
          <w:trHeight w:val="3192"/>
        </w:trPr>
        <w:tc>
          <w:tcPr>
            <w:tcW w:w="2978" w:type="dxa"/>
            <w:shd w:val="clear" w:color="auto" w:fill="C6D9F1" w:themeFill="text2" w:themeFillTint="33"/>
            <w:vAlign w:val="center"/>
            <w:hideMark/>
          </w:tcPr>
          <w:p w:rsidR="003B7CFF" w:rsidRPr="002045F5" w:rsidRDefault="003B7CFF" w:rsidP="001013F3">
            <w:pPr>
              <w:rPr>
                <w:b/>
                <w:color w:val="000000"/>
                <w:sz w:val="22"/>
              </w:rPr>
            </w:pPr>
            <w:proofErr w:type="spellStart"/>
            <w:r w:rsidRPr="002045F5">
              <w:rPr>
                <w:rFonts w:eastAsia="Calibri"/>
                <w:b/>
                <w:color w:val="000000"/>
                <w:sz w:val="22"/>
                <w:lang w:val="ru-RU"/>
              </w:rPr>
              <w:t>Ключові</w:t>
            </w:r>
            <w:proofErr w:type="spellEnd"/>
            <w:r w:rsidRPr="002045F5">
              <w:rPr>
                <w:rFonts w:eastAsia="Calibri"/>
                <w:b/>
                <w:color w:val="000000"/>
                <w:sz w:val="22"/>
                <w:lang w:val="ru-RU"/>
              </w:rPr>
              <w:t xml:space="preserve"> заходи проекту:</w:t>
            </w:r>
          </w:p>
        </w:tc>
        <w:tc>
          <w:tcPr>
            <w:tcW w:w="6881" w:type="dxa"/>
            <w:gridSpan w:val="7"/>
            <w:shd w:val="clear" w:color="auto" w:fill="auto"/>
            <w:hideMark/>
          </w:tcPr>
          <w:p w:rsidR="003B7CFF" w:rsidRPr="002045F5" w:rsidRDefault="003B7CFF" w:rsidP="001013F3">
            <w:pPr>
              <w:pStyle w:val="a7"/>
              <w:ind w:left="0"/>
              <w:contextualSpacing w:val="0"/>
              <w:rPr>
                <w:sz w:val="22"/>
                <w:lang w:val="ru-RU"/>
              </w:rPr>
            </w:pPr>
            <w:r w:rsidRPr="002045F5">
              <w:rPr>
                <w:color w:val="000000"/>
                <w:sz w:val="22"/>
                <w:lang w:val="ru-RU"/>
              </w:rPr>
              <w:t xml:space="preserve">1. </w:t>
            </w:r>
            <w:proofErr w:type="spellStart"/>
            <w:r w:rsidRPr="002045F5">
              <w:rPr>
                <w:color w:val="000000"/>
                <w:sz w:val="22"/>
                <w:lang w:val="ru-RU"/>
              </w:rPr>
              <w:t>О</w:t>
            </w:r>
            <w:r w:rsidRPr="002045F5">
              <w:rPr>
                <w:sz w:val="22"/>
                <w:lang w:val="ru-RU"/>
              </w:rPr>
              <w:t>бстеження</w:t>
            </w:r>
            <w:proofErr w:type="spellEnd"/>
            <w:r w:rsidRPr="002045F5">
              <w:rPr>
                <w:sz w:val="22"/>
                <w:lang w:val="ru-RU"/>
              </w:rPr>
              <w:t xml:space="preserve"> стану </w:t>
            </w:r>
            <w:proofErr w:type="spellStart"/>
            <w:proofErr w:type="gramStart"/>
            <w:r w:rsidRPr="002045F5">
              <w:rPr>
                <w:sz w:val="22"/>
                <w:lang w:val="ru-RU"/>
              </w:rPr>
              <w:t>оснащення</w:t>
            </w:r>
            <w:proofErr w:type="spellEnd"/>
            <w:r w:rsidRPr="002045F5">
              <w:rPr>
                <w:sz w:val="22"/>
                <w:lang w:val="ru-RU"/>
              </w:rPr>
              <w:t xml:space="preserve">  </w:t>
            </w:r>
            <w:proofErr w:type="spellStart"/>
            <w:r w:rsidRPr="002045F5">
              <w:rPr>
                <w:sz w:val="22"/>
                <w:lang w:val="ru-RU"/>
              </w:rPr>
              <w:t>Ліцею</w:t>
            </w:r>
            <w:proofErr w:type="spellEnd"/>
            <w:proofErr w:type="gramEnd"/>
            <w:r w:rsidRPr="002045F5">
              <w:rPr>
                <w:sz w:val="22"/>
                <w:lang w:val="ru-RU"/>
              </w:rPr>
              <w:t xml:space="preserve"> «ЮВЕНЕС».</w:t>
            </w:r>
          </w:p>
          <w:p w:rsidR="003B7CFF" w:rsidRPr="002045F5" w:rsidRDefault="003B7CFF" w:rsidP="001013F3">
            <w:pPr>
              <w:pStyle w:val="a7"/>
              <w:ind w:left="0"/>
              <w:contextualSpacing w:val="0"/>
              <w:rPr>
                <w:sz w:val="22"/>
                <w:lang w:val="ru-RU"/>
              </w:rPr>
            </w:pPr>
            <w:r w:rsidRPr="002045F5">
              <w:rPr>
                <w:sz w:val="22"/>
                <w:lang w:val="ru-RU"/>
              </w:rPr>
              <w:t xml:space="preserve">2. </w:t>
            </w:r>
            <w:proofErr w:type="spellStart"/>
            <w:r w:rsidRPr="002045F5">
              <w:rPr>
                <w:sz w:val="22"/>
                <w:lang w:val="ru-RU"/>
              </w:rPr>
              <w:t>Проведення</w:t>
            </w:r>
            <w:proofErr w:type="spellEnd"/>
            <w:r w:rsidRPr="002045F5">
              <w:rPr>
                <w:sz w:val="22"/>
                <w:lang w:val="ru-RU"/>
              </w:rPr>
              <w:t xml:space="preserve"> </w:t>
            </w:r>
            <w:proofErr w:type="spellStart"/>
            <w:r w:rsidRPr="002045F5">
              <w:rPr>
                <w:sz w:val="22"/>
                <w:lang w:val="ru-RU"/>
              </w:rPr>
              <w:t>інвентаризації</w:t>
            </w:r>
            <w:proofErr w:type="spellEnd"/>
            <w:r w:rsidRPr="002045F5">
              <w:rPr>
                <w:sz w:val="22"/>
                <w:lang w:val="ru-RU"/>
              </w:rPr>
              <w:t xml:space="preserve"> </w:t>
            </w:r>
            <w:proofErr w:type="spellStart"/>
            <w:r w:rsidRPr="002045F5">
              <w:rPr>
                <w:sz w:val="22"/>
                <w:lang w:val="ru-RU"/>
              </w:rPr>
              <w:t>основних</w:t>
            </w:r>
            <w:proofErr w:type="spellEnd"/>
            <w:r w:rsidRPr="002045F5">
              <w:rPr>
                <w:sz w:val="22"/>
                <w:lang w:val="ru-RU"/>
              </w:rPr>
              <w:t xml:space="preserve"> </w:t>
            </w:r>
            <w:proofErr w:type="spellStart"/>
            <w:r w:rsidRPr="002045F5">
              <w:rPr>
                <w:sz w:val="22"/>
                <w:lang w:val="ru-RU"/>
              </w:rPr>
              <w:t>засобів</w:t>
            </w:r>
            <w:proofErr w:type="spellEnd"/>
            <w:r w:rsidRPr="002045F5">
              <w:rPr>
                <w:sz w:val="22"/>
                <w:lang w:val="ru-RU"/>
              </w:rPr>
              <w:t>.</w:t>
            </w:r>
          </w:p>
          <w:p w:rsidR="003B7CFF" w:rsidRPr="002045F5" w:rsidRDefault="003B7CFF" w:rsidP="001013F3">
            <w:pPr>
              <w:rPr>
                <w:color w:val="000000"/>
                <w:sz w:val="22"/>
                <w:lang w:val="ru-RU"/>
              </w:rPr>
            </w:pPr>
            <w:r w:rsidRPr="002045F5">
              <w:rPr>
                <w:color w:val="000000"/>
                <w:sz w:val="22"/>
                <w:lang w:val="ru-RU"/>
              </w:rPr>
              <w:t xml:space="preserve">3. </w:t>
            </w:r>
            <w:proofErr w:type="spellStart"/>
            <w:r w:rsidRPr="002045F5">
              <w:rPr>
                <w:color w:val="000000"/>
                <w:sz w:val="22"/>
                <w:lang w:val="ru-RU"/>
              </w:rPr>
              <w:t>Утворення</w:t>
            </w:r>
            <w:proofErr w:type="spellEnd"/>
            <w:r w:rsidRPr="002045F5">
              <w:rPr>
                <w:color w:val="000000"/>
                <w:sz w:val="22"/>
                <w:lang w:val="ru-RU"/>
              </w:rPr>
              <w:t xml:space="preserve"> </w:t>
            </w:r>
            <w:proofErr w:type="spellStart"/>
            <w:r w:rsidRPr="002045F5">
              <w:rPr>
                <w:color w:val="000000"/>
                <w:sz w:val="22"/>
                <w:lang w:val="ru-RU"/>
              </w:rPr>
              <w:t>робочої</w:t>
            </w:r>
            <w:proofErr w:type="spellEnd"/>
            <w:r w:rsidRPr="002045F5">
              <w:rPr>
                <w:color w:val="000000"/>
                <w:sz w:val="22"/>
                <w:lang w:val="ru-RU"/>
              </w:rPr>
              <w:t xml:space="preserve"> </w:t>
            </w:r>
            <w:proofErr w:type="spellStart"/>
            <w:r w:rsidRPr="002045F5">
              <w:rPr>
                <w:color w:val="000000"/>
                <w:sz w:val="22"/>
                <w:lang w:val="ru-RU"/>
              </w:rPr>
              <w:t>групи</w:t>
            </w:r>
            <w:proofErr w:type="spellEnd"/>
            <w:r w:rsidRPr="002045F5">
              <w:rPr>
                <w:color w:val="000000"/>
                <w:sz w:val="22"/>
                <w:lang w:val="ru-RU"/>
              </w:rPr>
              <w:t xml:space="preserve"> для </w:t>
            </w:r>
            <w:proofErr w:type="spellStart"/>
            <w:r w:rsidRPr="002045F5">
              <w:rPr>
                <w:color w:val="000000"/>
                <w:sz w:val="22"/>
                <w:lang w:val="ru-RU"/>
              </w:rPr>
              <w:t>забезпечення</w:t>
            </w:r>
            <w:proofErr w:type="spellEnd"/>
            <w:r w:rsidRPr="002045F5">
              <w:rPr>
                <w:color w:val="000000"/>
                <w:sz w:val="22"/>
                <w:lang w:val="ru-RU"/>
              </w:rPr>
              <w:t xml:space="preserve"> </w:t>
            </w:r>
            <w:proofErr w:type="spellStart"/>
            <w:r w:rsidRPr="002045F5">
              <w:rPr>
                <w:color w:val="000000"/>
                <w:sz w:val="22"/>
                <w:lang w:val="ru-RU"/>
              </w:rPr>
              <w:t>належної</w:t>
            </w:r>
            <w:proofErr w:type="spellEnd"/>
            <w:r w:rsidRPr="002045F5">
              <w:rPr>
                <w:color w:val="000000"/>
                <w:sz w:val="22"/>
                <w:lang w:val="ru-RU"/>
              </w:rPr>
              <w:t xml:space="preserve"> </w:t>
            </w:r>
            <w:proofErr w:type="spellStart"/>
            <w:r w:rsidRPr="002045F5">
              <w:rPr>
                <w:color w:val="000000"/>
                <w:sz w:val="22"/>
                <w:lang w:val="ru-RU"/>
              </w:rPr>
              <w:t>організації</w:t>
            </w:r>
            <w:proofErr w:type="spellEnd"/>
            <w:r w:rsidRPr="002045F5">
              <w:rPr>
                <w:color w:val="000000"/>
                <w:sz w:val="22"/>
                <w:lang w:val="ru-RU"/>
              </w:rPr>
              <w:t xml:space="preserve"> </w:t>
            </w:r>
            <w:proofErr w:type="spellStart"/>
            <w:r w:rsidRPr="002045F5">
              <w:rPr>
                <w:color w:val="000000"/>
                <w:sz w:val="22"/>
                <w:lang w:val="ru-RU"/>
              </w:rPr>
              <w:t>виконання</w:t>
            </w:r>
            <w:proofErr w:type="spellEnd"/>
            <w:r w:rsidRPr="002045F5">
              <w:rPr>
                <w:color w:val="000000"/>
                <w:sz w:val="22"/>
                <w:lang w:val="ru-RU"/>
              </w:rPr>
              <w:t xml:space="preserve"> </w:t>
            </w:r>
            <w:proofErr w:type="spellStart"/>
            <w:r w:rsidRPr="002045F5">
              <w:rPr>
                <w:color w:val="000000"/>
                <w:sz w:val="22"/>
                <w:lang w:val="ru-RU"/>
              </w:rPr>
              <w:t>проєкту</w:t>
            </w:r>
            <w:proofErr w:type="spellEnd"/>
            <w:r w:rsidRPr="002045F5">
              <w:rPr>
                <w:color w:val="000000"/>
                <w:sz w:val="22"/>
                <w:lang w:val="ru-RU"/>
              </w:rPr>
              <w:t xml:space="preserve">.   </w:t>
            </w:r>
          </w:p>
          <w:p w:rsidR="003B7CFF" w:rsidRPr="002045F5" w:rsidRDefault="003B7CFF" w:rsidP="001013F3">
            <w:pPr>
              <w:rPr>
                <w:color w:val="FF0000"/>
                <w:sz w:val="22"/>
                <w:lang w:val="ru-RU"/>
              </w:rPr>
            </w:pPr>
            <w:r w:rsidRPr="002045F5">
              <w:rPr>
                <w:color w:val="000000"/>
                <w:sz w:val="22"/>
                <w:lang w:val="ru-RU"/>
              </w:rPr>
              <w:t xml:space="preserve">4. </w:t>
            </w:r>
            <w:proofErr w:type="spellStart"/>
            <w:r w:rsidRPr="002045F5">
              <w:rPr>
                <w:sz w:val="22"/>
                <w:lang w:val="ru-RU"/>
              </w:rPr>
              <w:t>Розробка</w:t>
            </w:r>
            <w:proofErr w:type="spellEnd"/>
            <w:r w:rsidRPr="002045F5">
              <w:rPr>
                <w:sz w:val="22"/>
                <w:lang w:val="ru-RU"/>
              </w:rPr>
              <w:t xml:space="preserve"> </w:t>
            </w:r>
            <w:proofErr w:type="spellStart"/>
            <w:r w:rsidRPr="002045F5">
              <w:rPr>
                <w:sz w:val="22"/>
                <w:lang w:val="ru-RU"/>
              </w:rPr>
              <w:t>кошторисної</w:t>
            </w:r>
            <w:proofErr w:type="spellEnd"/>
            <w:r w:rsidRPr="002045F5">
              <w:rPr>
                <w:sz w:val="22"/>
                <w:lang w:val="ru-RU"/>
              </w:rPr>
              <w:t xml:space="preserve"> </w:t>
            </w:r>
            <w:proofErr w:type="spellStart"/>
            <w:r w:rsidRPr="002045F5">
              <w:rPr>
                <w:sz w:val="22"/>
                <w:lang w:val="ru-RU"/>
              </w:rPr>
              <w:t>документації</w:t>
            </w:r>
            <w:proofErr w:type="spellEnd"/>
            <w:r w:rsidRPr="002045F5">
              <w:rPr>
                <w:sz w:val="22"/>
                <w:lang w:val="ru-RU"/>
              </w:rPr>
              <w:t xml:space="preserve">.   </w:t>
            </w:r>
          </w:p>
          <w:p w:rsidR="003B7CFF" w:rsidRPr="002045F5" w:rsidRDefault="003B7CFF" w:rsidP="00EC598E">
            <w:pPr>
              <w:jc w:val="left"/>
              <w:rPr>
                <w:color w:val="000000"/>
                <w:sz w:val="22"/>
                <w:lang w:val="ru-RU"/>
              </w:rPr>
            </w:pPr>
            <w:r w:rsidRPr="002045F5">
              <w:rPr>
                <w:color w:val="000000"/>
                <w:sz w:val="22"/>
                <w:lang w:val="ru-RU"/>
              </w:rPr>
              <w:t xml:space="preserve">5. </w:t>
            </w:r>
            <w:proofErr w:type="spellStart"/>
            <w:r w:rsidRPr="002045F5">
              <w:rPr>
                <w:color w:val="000000"/>
                <w:sz w:val="22"/>
                <w:lang w:val="ru-RU"/>
              </w:rPr>
              <w:t>Проведення</w:t>
            </w:r>
            <w:proofErr w:type="spellEnd"/>
            <w:r w:rsidRPr="002045F5">
              <w:rPr>
                <w:color w:val="000000"/>
                <w:sz w:val="22"/>
                <w:lang w:val="ru-RU"/>
              </w:rPr>
              <w:t xml:space="preserve"> </w:t>
            </w:r>
            <w:proofErr w:type="spellStart"/>
            <w:r w:rsidRPr="002045F5">
              <w:rPr>
                <w:color w:val="000000"/>
                <w:sz w:val="22"/>
                <w:lang w:val="ru-RU"/>
              </w:rPr>
              <w:t>конкурсних</w:t>
            </w:r>
            <w:proofErr w:type="spellEnd"/>
            <w:r w:rsidRPr="002045F5">
              <w:rPr>
                <w:color w:val="000000"/>
                <w:sz w:val="22"/>
                <w:lang w:val="ru-RU"/>
              </w:rPr>
              <w:t xml:space="preserve"> </w:t>
            </w:r>
            <w:proofErr w:type="spellStart"/>
            <w:r w:rsidRPr="002045F5">
              <w:rPr>
                <w:color w:val="000000"/>
                <w:sz w:val="22"/>
                <w:lang w:val="ru-RU"/>
              </w:rPr>
              <w:t>торгів</w:t>
            </w:r>
            <w:proofErr w:type="spellEnd"/>
            <w:r w:rsidRPr="002045F5">
              <w:rPr>
                <w:color w:val="000000"/>
                <w:sz w:val="22"/>
                <w:lang w:val="ru-RU"/>
              </w:rPr>
              <w:t>.</w:t>
            </w:r>
            <w:r w:rsidRPr="002045F5">
              <w:rPr>
                <w:color w:val="000000"/>
                <w:sz w:val="22"/>
                <w:lang w:val="ru-RU"/>
              </w:rPr>
              <w:br/>
              <w:t xml:space="preserve">6. </w:t>
            </w:r>
            <w:proofErr w:type="spellStart"/>
            <w:r w:rsidRPr="002045F5">
              <w:rPr>
                <w:color w:val="000000"/>
                <w:sz w:val="22"/>
                <w:lang w:val="ru-RU"/>
              </w:rPr>
              <w:t>Укладення</w:t>
            </w:r>
            <w:proofErr w:type="spellEnd"/>
            <w:r w:rsidRPr="002045F5">
              <w:rPr>
                <w:color w:val="000000"/>
                <w:sz w:val="22"/>
                <w:lang w:val="ru-RU"/>
              </w:rPr>
              <w:t xml:space="preserve"> договору з </w:t>
            </w:r>
            <w:proofErr w:type="spellStart"/>
            <w:r w:rsidRPr="002045F5">
              <w:rPr>
                <w:color w:val="000000"/>
                <w:sz w:val="22"/>
                <w:lang w:val="ru-RU"/>
              </w:rPr>
              <w:t>постачальниками</w:t>
            </w:r>
            <w:proofErr w:type="spellEnd"/>
            <w:r w:rsidRPr="002045F5">
              <w:rPr>
                <w:color w:val="000000"/>
                <w:sz w:val="22"/>
                <w:lang w:val="ru-RU"/>
              </w:rPr>
              <w:t xml:space="preserve"> </w:t>
            </w:r>
            <w:proofErr w:type="spellStart"/>
            <w:r w:rsidRPr="002045F5">
              <w:rPr>
                <w:color w:val="000000"/>
                <w:sz w:val="22"/>
                <w:lang w:val="ru-RU"/>
              </w:rPr>
              <w:t>меблів</w:t>
            </w:r>
            <w:proofErr w:type="spellEnd"/>
            <w:r w:rsidRPr="002045F5">
              <w:rPr>
                <w:color w:val="000000"/>
                <w:sz w:val="22"/>
                <w:lang w:val="ru-RU"/>
              </w:rPr>
              <w:t xml:space="preserve">, </w:t>
            </w:r>
            <w:proofErr w:type="spellStart"/>
            <w:r w:rsidRPr="002045F5">
              <w:rPr>
                <w:color w:val="000000"/>
                <w:sz w:val="22"/>
                <w:lang w:val="ru-RU"/>
              </w:rPr>
              <w:t>технічних</w:t>
            </w:r>
            <w:proofErr w:type="spellEnd"/>
            <w:r w:rsidRPr="002045F5">
              <w:rPr>
                <w:color w:val="000000"/>
                <w:sz w:val="22"/>
                <w:lang w:val="ru-RU"/>
              </w:rPr>
              <w:t xml:space="preserve"> </w:t>
            </w:r>
            <w:proofErr w:type="spellStart"/>
            <w:r w:rsidRPr="002045F5">
              <w:rPr>
                <w:color w:val="000000"/>
                <w:sz w:val="22"/>
                <w:lang w:val="ru-RU"/>
              </w:rPr>
              <w:t>засобів</w:t>
            </w:r>
            <w:proofErr w:type="spellEnd"/>
            <w:r w:rsidRPr="002045F5">
              <w:rPr>
                <w:color w:val="000000"/>
                <w:sz w:val="22"/>
                <w:lang w:val="ru-RU"/>
              </w:rPr>
              <w:t xml:space="preserve">, </w:t>
            </w:r>
            <w:proofErr w:type="spellStart"/>
            <w:r w:rsidRPr="002045F5">
              <w:rPr>
                <w:color w:val="000000"/>
                <w:sz w:val="22"/>
                <w:lang w:val="ru-RU"/>
              </w:rPr>
              <w:t>офісної</w:t>
            </w:r>
            <w:proofErr w:type="spellEnd"/>
            <w:r w:rsidRPr="002045F5">
              <w:rPr>
                <w:color w:val="000000"/>
                <w:sz w:val="22"/>
                <w:lang w:val="ru-RU"/>
              </w:rPr>
              <w:t xml:space="preserve"> </w:t>
            </w:r>
            <w:proofErr w:type="spellStart"/>
            <w:r w:rsidRPr="002045F5">
              <w:rPr>
                <w:color w:val="000000"/>
                <w:sz w:val="22"/>
                <w:lang w:val="ru-RU"/>
              </w:rPr>
              <w:t>техніки</w:t>
            </w:r>
            <w:proofErr w:type="spellEnd"/>
            <w:r w:rsidRPr="002045F5">
              <w:rPr>
                <w:color w:val="000000"/>
                <w:sz w:val="22"/>
                <w:lang w:val="ru-RU"/>
              </w:rPr>
              <w:t xml:space="preserve">,  </w:t>
            </w:r>
            <w:proofErr w:type="spellStart"/>
            <w:r w:rsidRPr="002045F5">
              <w:rPr>
                <w:color w:val="000000"/>
                <w:sz w:val="22"/>
                <w:lang w:val="ru-RU"/>
              </w:rPr>
              <w:t>методичних</w:t>
            </w:r>
            <w:proofErr w:type="spellEnd"/>
            <w:r w:rsidRPr="002045F5">
              <w:rPr>
                <w:color w:val="000000"/>
                <w:sz w:val="22"/>
                <w:lang w:val="ru-RU"/>
              </w:rPr>
              <w:t xml:space="preserve"> </w:t>
            </w:r>
            <w:proofErr w:type="spellStart"/>
            <w:r w:rsidRPr="002045F5">
              <w:rPr>
                <w:color w:val="000000"/>
                <w:sz w:val="22"/>
                <w:lang w:val="ru-RU"/>
              </w:rPr>
              <w:t>приладів</w:t>
            </w:r>
            <w:proofErr w:type="spellEnd"/>
            <w:r w:rsidRPr="002045F5">
              <w:rPr>
                <w:color w:val="000000"/>
                <w:sz w:val="22"/>
                <w:lang w:val="ru-RU"/>
              </w:rPr>
              <w:t xml:space="preserve"> та </w:t>
            </w:r>
            <w:proofErr w:type="spellStart"/>
            <w:r w:rsidRPr="002045F5">
              <w:rPr>
                <w:color w:val="000000"/>
                <w:sz w:val="22"/>
                <w:lang w:val="ru-RU"/>
              </w:rPr>
              <w:t>матеріалів</w:t>
            </w:r>
            <w:proofErr w:type="spellEnd"/>
            <w:r w:rsidRPr="002045F5">
              <w:rPr>
                <w:color w:val="000000"/>
                <w:sz w:val="22"/>
                <w:lang w:val="ru-RU"/>
              </w:rPr>
              <w:t xml:space="preserve"> для  </w:t>
            </w:r>
            <w:proofErr w:type="spellStart"/>
            <w:r w:rsidRPr="002045F5">
              <w:rPr>
                <w:color w:val="000000"/>
                <w:sz w:val="22"/>
                <w:lang w:val="ru-RU"/>
              </w:rPr>
              <w:t>навчальних</w:t>
            </w:r>
            <w:proofErr w:type="spellEnd"/>
            <w:r w:rsidRPr="002045F5">
              <w:rPr>
                <w:color w:val="000000"/>
                <w:sz w:val="22"/>
                <w:lang w:val="ru-RU"/>
              </w:rPr>
              <w:t xml:space="preserve">, </w:t>
            </w:r>
            <w:proofErr w:type="spellStart"/>
            <w:r w:rsidRPr="002045F5">
              <w:rPr>
                <w:color w:val="000000"/>
                <w:sz w:val="22"/>
                <w:lang w:val="ru-RU"/>
              </w:rPr>
              <w:t>адміністративних</w:t>
            </w:r>
            <w:proofErr w:type="spellEnd"/>
            <w:r w:rsidRPr="002045F5">
              <w:rPr>
                <w:color w:val="000000"/>
                <w:sz w:val="22"/>
                <w:lang w:val="ru-RU"/>
              </w:rPr>
              <w:t xml:space="preserve"> </w:t>
            </w:r>
            <w:proofErr w:type="spellStart"/>
            <w:r w:rsidRPr="002045F5">
              <w:rPr>
                <w:color w:val="000000"/>
                <w:sz w:val="22"/>
                <w:lang w:val="ru-RU"/>
              </w:rPr>
              <w:t>кабінетів</w:t>
            </w:r>
            <w:proofErr w:type="spellEnd"/>
            <w:r w:rsidRPr="002045F5">
              <w:rPr>
                <w:color w:val="000000"/>
                <w:sz w:val="22"/>
                <w:lang w:val="ru-RU"/>
              </w:rPr>
              <w:t xml:space="preserve">, </w:t>
            </w:r>
            <w:r w:rsidRPr="002045F5">
              <w:rPr>
                <w:color w:val="000000"/>
                <w:sz w:val="22"/>
              </w:rPr>
              <w:t xml:space="preserve">актової зали, бібліотеки з книгосховищем, їдальні з харчоблоком, </w:t>
            </w:r>
            <w:proofErr w:type="spellStart"/>
            <w:r w:rsidRPr="002045F5">
              <w:rPr>
                <w:color w:val="000000"/>
                <w:sz w:val="22"/>
                <w:lang w:val="ru-RU"/>
              </w:rPr>
              <w:t>кабінетів</w:t>
            </w:r>
            <w:proofErr w:type="spellEnd"/>
            <w:r w:rsidRPr="002045F5">
              <w:rPr>
                <w:color w:val="000000"/>
                <w:sz w:val="22"/>
                <w:lang w:val="ru-RU"/>
              </w:rPr>
              <w:t xml:space="preserve"> психолога, педагога-</w:t>
            </w:r>
            <w:proofErr w:type="spellStart"/>
            <w:r w:rsidRPr="002045F5">
              <w:rPr>
                <w:color w:val="000000"/>
                <w:sz w:val="22"/>
                <w:lang w:val="ru-RU"/>
              </w:rPr>
              <w:t>організатора</w:t>
            </w:r>
            <w:proofErr w:type="spellEnd"/>
            <w:r w:rsidRPr="002045F5">
              <w:rPr>
                <w:color w:val="000000"/>
                <w:sz w:val="22"/>
                <w:lang w:val="ru-RU"/>
              </w:rPr>
              <w:t xml:space="preserve">, </w:t>
            </w:r>
            <w:proofErr w:type="spellStart"/>
            <w:r w:rsidRPr="002045F5">
              <w:rPr>
                <w:color w:val="000000"/>
                <w:sz w:val="22"/>
                <w:lang w:val="ru-RU"/>
              </w:rPr>
              <w:t>медичного</w:t>
            </w:r>
            <w:proofErr w:type="spellEnd"/>
            <w:r w:rsidRPr="002045F5">
              <w:rPr>
                <w:color w:val="000000"/>
                <w:sz w:val="22"/>
                <w:lang w:val="ru-RU"/>
              </w:rPr>
              <w:t xml:space="preserve"> </w:t>
            </w:r>
            <w:proofErr w:type="spellStart"/>
            <w:r w:rsidRPr="002045F5">
              <w:rPr>
                <w:color w:val="000000"/>
                <w:sz w:val="22"/>
                <w:lang w:val="ru-RU"/>
              </w:rPr>
              <w:t>кабінета</w:t>
            </w:r>
            <w:proofErr w:type="spellEnd"/>
            <w:r w:rsidRPr="002045F5">
              <w:rPr>
                <w:color w:val="000000"/>
                <w:sz w:val="22"/>
                <w:lang w:val="ru-RU"/>
              </w:rPr>
              <w:t xml:space="preserve">, </w:t>
            </w:r>
            <w:proofErr w:type="spellStart"/>
            <w:r w:rsidRPr="002045F5">
              <w:rPr>
                <w:color w:val="000000"/>
                <w:sz w:val="22"/>
                <w:lang w:val="ru-RU"/>
              </w:rPr>
              <w:t>спортивних</w:t>
            </w:r>
            <w:proofErr w:type="spellEnd"/>
            <w:r w:rsidRPr="002045F5">
              <w:rPr>
                <w:color w:val="000000"/>
                <w:sz w:val="22"/>
                <w:lang w:val="ru-RU"/>
              </w:rPr>
              <w:t xml:space="preserve"> </w:t>
            </w:r>
            <w:proofErr w:type="spellStart"/>
            <w:r w:rsidRPr="002045F5">
              <w:rPr>
                <w:color w:val="000000"/>
                <w:sz w:val="22"/>
                <w:lang w:val="ru-RU"/>
              </w:rPr>
              <w:t>залів</w:t>
            </w:r>
            <w:proofErr w:type="spellEnd"/>
            <w:r w:rsidRPr="002045F5">
              <w:rPr>
                <w:color w:val="000000"/>
                <w:sz w:val="22"/>
                <w:lang w:val="ru-RU"/>
              </w:rPr>
              <w:t xml:space="preserve">,  </w:t>
            </w:r>
            <w:proofErr w:type="spellStart"/>
            <w:r w:rsidRPr="002045F5">
              <w:rPr>
                <w:color w:val="000000"/>
                <w:sz w:val="22"/>
                <w:lang w:val="ru-RU"/>
              </w:rPr>
              <w:t>майстерень</w:t>
            </w:r>
            <w:proofErr w:type="spellEnd"/>
            <w:r w:rsidRPr="002045F5">
              <w:rPr>
                <w:color w:val="000000"/>
                <w:sz w:val="22"/>
                <w:lang w:val="ru-RU"/>
              </w:rPr>
              <w:t xml:space="preserve"> </w:t>
            </w:r>
            <w:proofErr w:type="spellStart"/>
            <w:r w:rsidRPr="002045F5">
              <w:rPr>
                <w:color w:val="000000"/>
                <w:sz w:val="22"/>
                <w:lang w:val="ru-RU"/>
              </w:rPr>
              <w:t>обслуговуючої</w:t>
            </w:r>
            <w:proofErr w:type="spellEnd"/>
            <w:r w:rsidRPr="002045F5">
              <w:rPr>
                <w:color w:val="000000"/>
                <w:sz w:val="22"/>
                <w:lang w:val="ru-RU"/>
              </w:rPr>
              <w:t xml:space="preserve"> та </w:t>
            </w:r>
            <w:proofErr w:type="spellStart"/>
            <w:r w:rsidRPr="002045F5">
              <w:rPr>
                <w:color w:val="000000"/>
                <w:sz w:val="22"/>
                <w:lang w:val="ru-RU"/>
              </w:rPr>
              <w:t>технічної</w:t>
            </w:r>
            <w:proofErr w:type="spellEnd"/>
            <w:r w:rsidRPr="002045F5">
              <w:rPr>
                <w:color w:val="000000"/>
                <w:sz w:val="22"/>
                <w:lang w:val="ru-RU"/>
              </w:rPr>
              <w:t xml:space="preserve"> </w:t>
            </w:r>
            <w:proofErr w:type="spellStart"/>
            <w:r w:rsidRPr="002045F5">
              <w:rPr>
                <w:color w:val="000000"/>
                <w:sz w:val="22"/>
                <w:lang w:val="ru-RU"/>
              </w:rPr>
              <w:t>праці</w:t>
            </w:r>
            <w:proofErr w:type="spellEnd"/>
            <w:r w:rsidRPr="002045F5">
              <w:rPr>
                <w:color w:val="000000"/>
                <w:sz w:val="22"/>
                <w:lang w:val="ru-RU"/>
              </w:rPr>
              <w:t xml:space="preserve">, </w:t>
            </w:r>
            <w:proofErr w:type="spellStart"/>
            <w:r w:rsidRPr="002045F5">
              <w:rPr>
                <w:color w:val="000000"/>
                <w:sz w:val="22"/>
                <w:lang w:val="ru-RU"/>
              </w:rPr>
              <w:t>ресурсної</w:t>
            </w:r>
            <w:proofErr w:type="spellEnd"/>
            <w:r w:rsidRPr="002045F5">
              <w:rPr>
                <w:color w:val="000000"/>
                <w:sz w:val="22"/>
                <w:lang w:val="ru-RU"/>
              </w:rPr>
              <w:t xml:space="preserve"> </w:t>
            </w:r>
            <w:proofErr w:type="spellStart"/>
            <w:r w:rsidRPr="002045F5">
              <w:rPr>
                <w:color w:val="000000"/>
                <w:sz w:val="22"/>
                <w:lang w:val="ru-RU"/>
              </w:rPr>
              <w:t>кімнати</w:t>
            </w:r>
            <w:proofErr w:type="spellEnd"/>
            <w:r w:rsidRPr="002045F5">
              <w:rPr>
                <w:color w:val="000000"/>
                <w:sz w:val="22"/>
                <w:lang w:val="ru-RU"/>
              </w:rPr>
              <w:t xml:space="preserve">, </w:t>
            </w:r>
            <w:proofErr w:type="spellStart"/>
            <w:r w:rsidRPr="002045F5">
              <w:rPr>
                <w:color w:val="000000"/>
                <w:sz w:val="22"/>
                <w:lang w:val="ru-RU"/>
              </w:rPr>
              <w:t>ігрової</w:t>
            </w:r>
            <w:proofErr w:type="spellEnd"/>
            <w:r w:rsidRPr="002045F5">
              <w:rPr>
                <w:color w:val="000000"/>
                <w:sz w:val="22"/>
                <w:lang w:val="ru-RU"/>
              </w:rPr>
              <w:t xml:space="preserve"> </w:t>
            </w:r>
            <w:proofErr w:type="spellStart"/>
            <w:r w:rsidRPr="002045F5">
              <w:rPr>
                <w:color w:val="000000"/>
                <w:sz w:val="22"/>
                <w:lang w:val="ru-RU"/>
              </w:rPr>
              <w:t>кімнати</w:t>
            </w:r>
            <w:proofErr w:type="spellEnd"/>
            <w:r w:rsidRPr="002045F5">
              <w:rPr>
                <w:color w:val="000000"/>
                <w:sz w:val="22"/>
                <w:lang w:val="ru-RU"/>
              </w:rPr>
              <w:t xml:space="preserve"> </w:t>
            </w:r>
            <w:proofErr w:type="spellStart"/>
            <w:r w:rsidRPr="002045F5">
              <w:rPr>
                <w:color w:val="000000"/>
                <w:sz w:val="22"/>
                <w:lang w:val="ru-RU"/>
              </w:rPr>
              <w:t>групи</w:t>
            </w:r>
            <w:proofErr w:type="spellEnd"/>
            <w:r w:rsidRPr="002045F5">
              <w:rPr>
                <w:color w:val="000000"/>
                <w:sz w:val="22"/>
                <w:lang w:val="ru-RU"/>
              </w:rPr>
              <w:t xml:space="preserve"> </w:t>
            </w:r>
            <w:proofErr w:type="spellStart"/>
            <w:r w:rsidRPr="002045F5">
              <w:rPr>
                <w:color w:val="000000"/>
                <w:sz w:val="22"/>
                <w:lang w:val="ru-RU"/>
              </w:rPr>
              <w:t>продовженого</w:t>
            </w:r>
            <w:proofErr w:type="spellEnd"/>
            <w:r w:rsidRPr="002045F5">
              <w:rPr>
                <w:color w:val="000000"/>
                <w:sz w:val="22"/>
                <w:lang w:val="ru-RU"/>
              </w:rPr>
              <w:t xml:space="preserve"> дня, </w:t>
            </w:r>
            <w:proofErr w:type="spellStart"/>
            <w:r w:rsidRPr="002045F5">
              <w:rPr>
                <w:color w:val="000000"/>
                <w:sz w:val="22"/>
                <w:lang w:val="ru-RU"/>
              </w:rPr>
              <w:t>гардеробних</w:t>
            </w:r>
            <w:proofErr w:type="spellEnd"/>
            <w:r w:rsidRPr="002045F5">
              <w:rPr>
                <w:color w:val="000000"/>
                <w:sz w:val="22"/>
                <w:lang w:val="ru-RU"/>
              </w:rPr>
              <w:t xml:space="preserve"> </w:t>
            </w:r>
            <w:proofErr w:type="spellStart"/>
            <w:r w:rsidRPr="002045F5">
              <w:rPr>
                <w:color w:val="000000"/>
                <w:sz w:val="22"/>
                <w:lang w:val="ru-RU"/>
              </w:rPr>
              <w:t>приміщень</w:t>
            </w:r>
            <w:proofErr w:type="spellEnd"/>
            <w:r w:rsidRPr="002045F5">
              <w:rPr>
                <w:color w:val="000000"/>
                <w:sz w:val="22"/>
                <w:lang w:val="ru-RU"/>
              </w:rPr>
              <w:t xml:space="preserve">, </w:t>
            </w:r>
            <w:proofErr w:type="spellStart"/>
            <w:r w:rsidRPr="002045F5">
              <w:rPr>
                <w:color w:val="000000"/>
                <w:sz w:val="22"/>
                <w:lang w:val="ru-RU"/>
              </w:rPr>
              <w:t>учительських</w:t>
            </w:r>
            <w:proofErr w:type="spellEnd"/>
            <w:r w:rsidRPr="002045F5">
              <w:rPr>
                <w:color w:val="000000"/>
                <w:sz w:val="22"/>
                <w:lang w:val="ru-RU"/>
              </w:rPr>
              <w:t xml:space="preserve"> </w:t>
            </w:r>
            <w:proofErr w:type="spellStart"/>
            <w:r w:rsidRPr="002045F5">
              <w:rPr>
                <w:color w:val="000000"/>
                <w:sz w:val="22"/>
                <w:lang w:val="ru-RU"/>
              </w:rPr>
              <w:t>кімнат</w:t>
            </w:r>
            <w:proofErr w:type="spellEnd"/>
            <w:r w:rsidRPr="002045F5">
              <w:rPr>
                <w:color w:val="000000"/>
                <w:sz w:val="22"/>
                <w:lang w:val="ru-RU"/>
              </w:rPr>
              <w:t xml:space="preserve">, </w:t>
            </w:r>
            <w:proofErr w:type="spellStart"/>
            <w:r w:rsidRPr="002045F5">
              <w:rPr>
                <w:color w:val="000000"/>
                <w:sz w:val="22"/>
                <w:lang w:val="ru-RU"/>
              </w:rPr>
              <w:t>кімнат</w:t>
            </w:r>
            <w:proofErr w:type="spellEnd"/>
            <w:r w:rsidRPr="002045F5">
              <w:rPr>
                <w:color w:val="000000"/>
                <w:sz w:val="22"/>
                <w:lang w:val="ru-RU"/>
              </w:rPr>
              <w:t xml:space="preserve"> для </w:t>
            </w:r>
            <w:proofErr w:type="spellStart"/>
            <w:r w:rsidRPr="002045F5">
              <w:rPr>
                <w:color w:val="000000"/>
                <w:sz w:val="22"/>
                <w:lang w:val="ru-RU"/>
              </w:rPr>
              <w:t>технічного</w:t>
            </w:r>
            <w:proofErr w:type="spellEnd"/>
            <w:r w:rsidRPr="002045F5">
              <w:rPr>
                <w:color w:val="000000"/>
                <w:sz w:val="22"/>
                <w:lang w:val="ru-RU"/>
              </w:rPr>
              <w:t xml:space="preserve"> персоналу, </w:t>
            </w:r>
            <w:proofErr w:type="spellStart"/>
            <w:r w:rsidRPr="002045F5">
              <w:rPr>
                <w:color w:val="000000"/>
                <w:sz w:val="22"/>
                <w:lang w:val="ru-RU"/>
              </w:rPr>
              <w:t>майстерень</w:t>
            </w:r>
            <w:proofErr w:type="spellEnd"/>
            <w:r w:rsidRPr="002045F5">
              <w:rPr>
                <w:color w:val="000000"/>
                <w:sz w:val="22"/>
                <w:lang w:val="ru-RU"/>
              </w:rPr>
              <w:t xml:space="preserve"> </w:t>
            </w:r>
            <w:proofErr w:type="spellStart"/>
            <w:r w:rsidRPr="002045F5">
              <w:rPr>
                <w:color w:val="000000"/>
                <w:sz w:val="22"/>
                <w:lang w:val="ru-RU"/>
              </w:rPr>
              <w:t>технічного</w:t>
            </w:r>
            <w:proofErr w:type="spellEnd"/>
            <w:r w:rsidRPr="002045F5">
              <w:rPr>
                <w:color w:val="000000"/>
                <w:sz w:val="22"/>
                <w:lang w:val="ru-RU"/>
              </w:rPr>
              <w:t xml:space="preserve"> персоналу.   </w:t>
            </w:r>
            <w:r w:rsidRPr="002045F5">
              <w:rPr>
                <w:color w:val="000000"/>
                <w:sz w:val="22"/>
                <w:lang w:val="ru-RU"/>
              </w:rPr>
              <w:br/>
              <w:t xml:space="preserve">7. </w:t>
            </w:r>
            <w:proofErr w:type="spellStart"/>
            <w:r w:rsidRPr="002045F5">
              <w:rPr>
                <w:color w:val="000000"/>
                <w:sz w:val="22"/>
                <w:lang w:val="ru-RU"/>
              </w:rPr>
              <w:t>Здійснення</w:t>
            </w:r>
            <w:proofErr w:type="spellEnd"/>
            <w:r w:rsidRPr="002045F5">
              <w:rPr>
                <w:color w:val="000000"/>
                <w:sz w:val="22"/>
                <w:lang w:val="ru-RU"/>
              </w:rPr>
              <w:t xml:space="preserve"> </w:t>
            </w:r>
            <w:proofErr w:type="spellStart"/>
            <w:r w:rsidRPr="002045F5">
              <w:rPr>
                <w:color w:val="000000"/>
                <w:sz w:val="22"/>
                <w:lang w:val="ru-RU"/>
              </w:rPr>
              <w:t>монтажних</w:t>
            </w:r>
            <w:proofErr w:type="spellEnd"/>
            <w:r w:rsidRPr="002045F5">
              <w:rPr>
                <w:color w:val="000000"/>
                <w:sz w:val="22"/>
                <w:lang w:val="ru-RU"/>
              </w:rPr>
              <w:t xml:space="preserve"> та </w:t>
            </w:r>
            <w:proofErr w:type="spellStart"/>
            <w:r w:rsidRPr="002045F5">
              <w:rPr>
                <w:color w:val="000000"/>
                <w:sz w:val="22"/>
                <w:lang w:val="ru-RU"/>
              </w:rPr>
              <w:t>пусконалагоджувальних</w:t>
            </w:r>
            <w:proofErr w:type="spellEnd"/>
            <w:r w:rsidRPr="002045F5">
              <w:rPr>
                <w:color w:val="000000"/>
                <w:sz w:val="22"/>
                <w:lang w:val="ru-RU"/>
              </w:rPr>
              <w:t xml:space="preserve"> </w:t>
            </w:r>
            <w:proofErr w:type="spellStart"/>
            <w:r w:rsidRPr="002045F5">
              <w:rPr>
                <w:color w:val="000000"/>
                <w:sz w:val="22"/>
                <w:lang w:val="ru-RU"/>
              </w:rPr>
              <w:t>робіт</w:t>
            </w:r>
            <w:proofErr w:type="spellEnd"/>
            <w:r w:rsidRPr="002045F5">
              <w:rPr>
                <w:color w:val="000000"/>
                <w:sz w:val="22"/>
                <w:lang w:val="ru-RU"/>
              </w:rPr>
              <w:t xml:space="preserve">:          </w:t>
            </w:r>
          </w:p>
          <w:p w:rsidR="003B7CFF" w:rsidRPr="002045F5" w:rsidRDefault="003B7CFF" w:rsidP="001013F3">
            <w:pPr>
              <w:rPr>
                <w:color w:val="000000"/>
                <w:sz w:val="22"/>
                <w:lang w:val="ru-RU"/>
              </w:rPr>
            </w:pPr>
            <w:r w:rsidRPr="002045F5">
              <w:rPr>
                <w:color w:val="000000"/>
                <w:sz w:val="22"/>
                <w:lang w:val="ru-RU"/>
              </w:rPr>
              <w:t xml:space="preserve">7.1. </w:t>
            </w:r>
            <w:proofErr w:type="spellStart"/>
            <w:r w:rsidRPr="002045F5">
              <w:rPr>
                <w:color w:val="000000"/>
                <w:sz w:val="22"/>
                <w:lang w:val="ru-RU"/>
              </w:rPr>
              <w:t>Закупівля</w:t>
            </w:r>
            <w:proofErr w:type="spellEnd"/>
            <w:r w:rsidRPr="002045F5">
              <w:rPr>
                <w:color w:val="000000"/>
                <w:sz w:val="22"/>
                <w:lang w:val="ru-RU"/>
              </w:rPr>
              <w:t xml:space="preserve">, доставка та </w:t>
            </w:r>
            <w:proofErr w:type="spellStart"/>
            <w:proofErr w:type="gramStart"/>
            <w:r w:rsidRPr="002045F5">
              <w:rPr>
                <w:color w:val="000000"/>
                <w:sz w:val="22"/>
                <w:lang w:val="ru-RU"/>
              </w:rPr>
              <w:t>встановлення</w:t>
            </w:r>
            <w:proofErr w:type="spellEnd"/>
            <w:r w:rsidRPr="002045F5">
              <w:rPr>
                <w:color w:val="000000"/>
                <w:sz w:val="22"/>
                <w:lang w:val="ru-RU"/>
              </w:rPr>
              <w:t xml:space="preserve">  </w:t>
            </w:r>
            <w:proofErr w:type="spellStart"/>
            <w:r w:rsidRPr="002045F5">
              <w:rPr>
                <w:color w:val="000000"/>
                <w:sz w:val="22"/>
                <w:lang w:val="ru-RU"/>
              </w:rPr>
              <w:t>меблів</w:t>
            </w:r>
            <w:proofErr w:type="spellEnd"/>
            <w:proofErr w:type="gramEnd"/>
            <w:r w:rsidRPr="002045F5">
              <w:rPr>
                <w:color w:val="000000"/>
                <w:sz w:val="22"/>
                <w:lang w:val="ru-RU"/>
              </w:rPr>
              <w:t xml:space="preserve"> для </w:t>
            </w:r>
            <w:proofErr w:type="spellStart"/>
            <w:r w:rsidRPr="002045F5">
              <w:rPr>
                <w:color w:val="000000"/>
                <w:sz w:val="22"/>
                <w:lang w:val="ru-RU"/>
              </w:rPr>
              <w:t>всіх</w:t>
            </w:r>
            <w:proofErr w:type="spellEnd"/>
            <w:r w:rsidRPr="002045F5">
              <w:rPr>
                <w:color w:val="000000"/>
                <w:sz w:val="22"/>
                <w:lang w:val="ru-RU"/>
              </w:rPr>
              <w:t xml:space="preserve"> </w:t>
            </w:r>
            <w:proofErr w:type="spellStart"/>
            <w:r w:rsidRPr="002045F5">
              <w:rPr>
                <w:color w:val="000000"/>
                <w:sz w:val="22"/>
                <w:lang w:val="ru-RU"/>
              </w:rPr>
              <w:t>приміщень</w:t>
            </w:r>
            <w:proofErr w:type="spellEnd"/>
            <w:r w:rsidRPr="002045F5">
              <w:rPr>
                <w:color w:val="000000"/>
                <w:sz w:val="22"/>
                <w:lang w:val="ru-RU"/>
              </w:rPr>
              <w:t>.</w:t>
            </w:r>
          </w:p>
          <w:p w:rsidR="003B7CFF" w:rsidRPr="002045F5" w:rsidRDefault="003B7CFF" w:rsidP="001013F3">
            <w:pPr>
              <w:rPr>
                <w:color w:val="000000"/>
                <w:sz w:val="22"/>
                <w:lang w:val="ru-RU"/>
              </w:rPr>
            </w:pPr>
            <w:r w:rsidRPr="002045F5">
              <w:rPr>
                <w:color w:val="000000"/>
                <w:sz w:val="22"/>
                <w:lang w:val="ru-RU"/>
              </w:rPr>
              <w:t xml:space="preserve">7.2. </w:t>
            </w:r>
            <w:proofErr w:type="spellStart"/>
            <w:r w:rsidRPr="002045F5">
              <w:rPr>
                <w:color w:val="000000"/>
                <w:sz w:val="22"/>
                <w:lang w:val="ru-RU"/>
              </w:rPr>
              <w:t>Закупівля</w:t>
            </w:r>
            <w:proofErr w:type="spellEnd"/>
            <w:r w:rsidRPr="002045F5">
              <w:rPr>
                <w:color w:val="000000"/>
                <w:sz w:val="22"/>
                <w:lang w:val="ru-RU"/>
              </w:rPr>
              <w:t xml:space="preserve">, доставка та </w:t>
            </w:r>
            <w:proofErr w:type="spellStart"/>
            <w:r w:rsidRPr="002045F5">
              <w:rPr>
                <w:color w:val="000000"/>
                <w:sz w:val="22"/>
                <w:lang w:val="ru-RU"/>
              </w:rPr>
              <w:t>встановлення</w:t>
            </w:r>
            <w:proofErr w:type="spellEnd"/>
            <w:r w:rsidRPr="002045F5">
              <w:rPr>
                <w:color w:val="000000"/>
                <w:sz w:val="22"/>
                <w:lang w:val="ru-RU"/>
              </w:rPr>
              <w:t xml:space="preserve"> </w:t>
            </w:r>
            <w:proofErr w:type="spellStart"/>
            <w:r w:rsidRPr="002045F5">
              <w:rPr>
                <w:color w:val="000000"/>
                <w:sz w:val="22"/>
                <w:lang w:val="ru-RU"/>
              </w:rPr>
              <w:t>методичних</w:t>
            </w:r>
            <w:proofErr w:type="spellEnd"/>
            <w:r w:rsidRPr="002045F5">
              <w:rPr>
                <w:color w:val="000000"/>
                <w:sz w:val="22"/>
                <w:lang w:val="ru-RU"/>
              </w:rPr>
              <w:t xml:space="preserve"> </w:t>
            </w:r>
            <w:proofErr w:type="spellStart"/>
            <w:r w:rsidRPr="002045F5">
              <w:rPr>
                <w:color w:val="000000"/>
                <w:sz w:val="22"/>
                <w:lang w:val="ru-RU"/>
              </w:rPr>
              <w:t>засобів</w:t>
            </w:r>
            <w:proofErr w:type="spellEnd"/>
            <w:r w:rsidRPr="002045F5">
              <w:rPr>
                <w:color w:val="000000"/>
                <w:sz w:val="22"/>
                <w:lang w:val="ru-RU"/>
              </w:rPr>
              <w:t xml:space="preserve"> </w:t>
            </w:r>
            <w:proofErr w:type="spellStart"/>
            <w:r w:rsidRPr="002045F5">
              <w:rPr>
                <w:color w:val="000000"/>
                <w:sz w:val="22"/>
                <w:lang w:val="ru-RU"/>
              </w:rPr>
              <w:t>навчання</w:t>
            </w:r>
            <w:proofErr w:type="spellEnd"/>
            <w:r w:rsidRPr="002045F5">
              <w:rPr>
                <w:color w:val="000000"/>
                <w:sz w:val="22"/>
                <w:lang w:val="ru-RU"/>
              </w:rPr>
              <w:t xml:space="preserve">.          </w:t>
            </w:r>
          </w:p>
          <w:p w:rsidR="003B7CFF" w:rsidRPr="002045F5" w:rsidRDefault="003B7CFF" w:rsidP="001013F3">
            <w:pPr>
              <w:rPr>
                <w:color w:val="000000"/>
                <w:sz w:val="22"/>
                <w:lang w:val="ru-RU"/>
              </w:rPr>
            </w:pPr>
            <w:r w:rsidRPr="002045F5">
              <w:rPr>
                <w:color w:val="000000"/>
                <w:sz w:val="22"/>
                <w:lang w:val="ru-RU"/>
              </w:rPr>
              <w:lastRenderedPageBreak/>
              <w:t xml:space="preserve">7.3. </w:t>
            </w:r>
            <w:proofErr w:type="spellStart"/>
            <w:r w:rsidRPr="002045F5">
              <w:rPr>
                <w:color w:val="000000"/>
                <w:sz w:val="22"/>
                <w:lang w:val="ru-RU"/>
              </w:rPr>
              <w:t>Закупівля</w:t>
            </w:r>
            <w:proofErr w:type="spellEnd"/>
            <w:r w:rsidRPr="002045F5">
              <w:rPr>
                <w:color w:val="000000"/>
                <w:sz w:val="22"/>
                <w:lang w:val="ru-RU"/>
              </w:rPr>
              <w:t>, доставка</w:t>
            </w:r>
            <w:r w:rsidR="00EC598E" w:rsidRPr="002045F5">
              <w:rPr>
                <w:color w:val="000000"/>
                <w:sz w:val="22"/>
                <w:lang w:val="ru-RU"/>
              </w:rPr>
              <w:t>,</w:t>
            </w:r>
            <w:r w:rsidRPr="002045F5">
              <w:rPr>
                <w:color w:val="000000"/>
                <w:sz w:val="22"/>
                <w:lang w:val="ru-RU"/>
              </w:rPr>
              <w:t xml:space="preserve"> монтаж та </w:t>
            </w:r>
            <w:proofErr w:type="spellStart"/>
            <w:r w:rsidRPr="002045F5">
              <w:rPr>
                <w:color w:val="000000"/>
                <w:sz w:val="22"/>
                <w:lang w:val="ru-RU"/>
              </w:rPr>
              <w:t>встановлення</w:t>
            </w:r>
            <w:proofErr w:type="spellEnd"/>
            <w:r w:rsidRPr="002045F5">
              <w:rPr>
                <w:color w:val="000000"/>
                <w:sz w:val="22"/>
                <w:lang w:val="ru-RU"/>
              </w:rPr>
              <w:t xml:space="preserve"> </w:t>
            </w:r>
            <w:proofErr w:type="spellStart"/>
            <w:r w:rsidRPr="002045F5">
              <w:rPr>
                <w:color w:val="000000"/>
                <w:sz w:val="22"/>
                <w:lang w:val="ru-RU"/>
              </w:rPr>
              <w:t>технічних</w:t>
            </w:r>
            <w:proofErr w:type="spellEnd"/>
            <w:r w:rsidRPr="002045F5">
              <w:rPr>
                <w:color w:val="000000"/>
                <w:sz w:val="22"/>
                <w:lang w:val="ru-RU"/>
              </w:rPr>
              <w:t xml:space="preserve"> </w:t>
            </w:r>
            <w:proofErr w:type="spellStart"/>
            <w:r w:rsidRPr="002045F5">
              <w:rPr>
                <w:color w:val="000000"/>
                <w:sz w:val="22"/>
                <w:lang w:val="ru-RU"/>
              </w:rPr>
              <w:t>засобів</w:t>
            </w:r>
            <w:proofErr w:type="spellEnd"/>
            <w:r w:rsidRPr="002045F5">
              <w:rPr>
                <w:color w:val="000000"/>
                <w:sz w:val="22"/>
                <w:lang w:val="ru-RU"/>
              </w:rPr>
              <w:t xml:space="preserve"> </w:t>
            </w:r>
            <w:proofErr w:type="spellStart"/>
            <w:r w:rsidRPr="002045F5">
              <w:rPr>
                <w:color w:val="000000"/>
                <w:sz w:val="22"/>
                <w:lang w:val="ru-RU"/>
              </w:rPr>
              <w:t>навчання</w:t>
            </w:r>
            <w:proofErr w:type="spellEnd"/>
            <w:r w:rsidRPr="002045F5">
              <w:rPr>
                <w:color w:val="000000"/>
                <w:sz w:val="22"/>
                <w:lang w:val="ru-RU"/>
              </w:rPr>
              <w:t xml:space="preserve">.   </w:t>
            </w:r>
          </w:p>
          <w:p w:rsidR="003B7CFF" w:rsidRPr="002045F5" w:rsidRDefault="003B7CFF" w:rsidP="001013F3">
            <w:pPr>
              <w:rPr>
                <w:color w:val="000000"/>
                <w:sz w:val="22"/>
                <w:lang w:val="ru-RU"/>
              </w:rPr>
            </w:pPr>
            <w:r w:rsidRPr="002045F5">
              <w:rPr>
                <w:color w:val="000000"/>
                <w:sz w:val="22"/>
                <w:lang w:val="ru-RU"/>
              </w:rPr>
              <w:t xml:space="preserve">7.4.  </w:t>
            </w:r>
            <w:proofErr w:type="spellStart"/>
            <w:r w:rsidRPr="002045F5">
              <w:rPr>
                <w:color w:val="000000"/>
                <w:sz w:val="22"/>
                <w:lang w:val="ru-RU"/>
              </w:rPr>
              <w:t>Закупівля</w:t>
            </w:r>
            <w:proofErr w:type="spellEnd"/>
            <w:r w:rsidRPr="002045F5">
              <w:rPr>
                <w:color w:val="000000"/>
                <w:sz w:val="22"/>
                <w:lang w:val="ru-RU"/>
              </w:rPr>
              <w:t>, доставка</w:t>
            </w:r>
            <w:r w:rsidR="00EC598E" w:rsidRPr="002045F5">
              <w:rPr>
                <w:color w:val="000000"/>
                <w:sz w:val="22"/>
                <w:lang w:val="ru-RU"/>
              </w:rPr>
              <w:t>,</w:t>
            </w:r>
            <w:r w:rsidRPr="002045F5">
              <w:rPr>
                <w:color w:val="000000"/>
                <w:sz w:val="22"/>
                <w:lang w:val="ru-RU"/>
              </w:rPr>
              <w:t xml:space="preserve"> монтаж та </w:t>
            </w:r>
            <w:proofErr w:type="spellStart"/>
            <w:r w:rsidRPr="002045F5">
              <w:rPr>
                <w:color w:val="000000"/>
                <w:sz w:val="22"/>
                <w:lang w:val="ru-RU"/>
              </w:rPr>
              <w:t>встановлення</w:t>
            </w:r>
            <w:proofErr w:type="spellEnd"/>
            <w:r w:rsidRPr="002045F5">
              <w:rPr>
                <w:color w:val="000000"/>
                <w:sz w:val="22"/>
                <w:lang w:val="ru-RU"/>
              </w:rPr>
              <w:t xml:space="preserve"> </w:t>
            </w:r>
            <w:proofErr w:type="spellStart"/>
            <w:r w:rsidRPr="002045F5">
              <w:rPr>
                <w:color w:val="000000"/>
                <w:sz w:val="22"/>
                <w:lang w:val="ru-RU"/>
              </w:rPr>
              <w:t>обладнання</w:t>
            </w:r>
            <w:proofErr w:type="spellEnd"/>
            <w:r w:rsidRPr="002045F5">
              <w:rPr>
                <w:color w:val="000000"/>
                <w:sz w:val="22"/>
                <w:lang w:val="ru-RU"/>
              </w:rPr>
              <w:t xml:space="preserve"> для </w:t>
            </w:r>
            <w:proofErr w:type="spellStart"/>
            <w:r w:rsidRPr="002045F5">
              <w:rPr>
                <w:color w:val="000000"/>
                <w:sz w:val="22"/>
                <w:lang w:val="ru-RU"/>
              </w:rPr>
              <w:t>харчоблоку</w:t>
            </w:r>
            <w:proofErr w:type="spellEnd"/>
            <w:r w:rsidRPr="002045F5">
              <w:rPr>
                <w:color w:val="000000"/>
                <w:sz w:val="22"/>
                <w:lang w:val="ru-RU"/>
              </w:rPr>
              <w:t xml:space="preserve"> та </w:t>
            </w:r>
            <w:proofErr w:type="spellStart"/>
            <w:r w:rsidRPr="002045F5">
              <w:rPr>
                <w:color w:val="000000"/>
                <w:sz w:val="22"/>
                <w:lang w:val="ru-RU"/>
              </w:rPr>
              <w:t>приміщення</w:t>
            </w:r>
            <w:proofErr w:type="spellEnd"/>
            <w:r w:rsidRPr="002045F5">
              <w:rPr>
                <w:color w:val="000000"/>
                <w:sz w:val="22"/>
                <w:lang w:val="ru-RU"/>
              </w:rPr>
              <w:t xml:space="preserve"> </w:t>
            </w:r>
            <w:proofErr w:type="spellStart"/>
            <w:r w:rsidRPr="002045F5">
              <w:rPr>
                <w:color w:val="000000"/>
                <w:sz w:val="22"/>
                <w:lang w:val="ru-RU"/>
              </w:rPr>
              <w:t>їдальні</w:t>
            </w:r>
            <w:proofErr w:type="spellEnd"/>
            <w:r w:rsidRPr="002045F5">
              <w:rPr>
                <w:color w:val="000000"/>
                <w:sz w:val="22"/>
                <w:lang w:val="ru-RU"/>
              </w:rPr>
              <w:t>.</w:t>
            </w:r>
          </w:p>
          <w:p w:rsidR="003B7CFF" w:rsidRPr="002045F5" w:rsidRDefault="003B7CFF" w:rsidP="001013F3">
            <w:pPr>
              <w:rPr>
                <w:color w:val="000000"/>
                <w:sz w:val="22"/>
                <w:lang w:val="ru-RU"/>
              </w:rPr>
            </w:pPr>
            <w:r w:rsidRPr="002045F5">
              <w:rPr>
                <w:color w:val="000000"/>
                <w:sz w:val="22"/>
                <w:lang w:val="ru-RU"/>
              </w:rPr>
              <w:t xml:space="preserve">7.5. </w:t>
            </w:r>
            <w:proofErr w:type="spellStart"/>
            <w:r w:rsidRPr="002045F5">
              <w:rPr>
                <w:color w:val="000000"/>
                <w:sz w:val="22"/>
                <w:lang w:val="ru-RU"/>
              </w:rPr>
              <w:t>Закупівля</w:t>
            </w:r>
            <w:proofErr w:type="spellEnd"/>
            <w:r w:rsidRPr="002045F5">
              <w:rPr>
                <w:color w:val="000000"/>
                <w:sz w:val="22"/>
                <w:lang w:val="ru-RU"/>
              </w:rPr>
              <w:t>, доставка</w:t>
            </w:r>
            <w:r w:rsidR="00EC598E" w:rsidRPr="002045F5">
              <w:rPr>
                <w:color w:val="000000"/>
                <w:sz w:val="22"/>
                <w:lang w:val="ru-RU"/>
              </w:rPr>
              <w:t>,</w:t>
            </w:r>
            <w:r w:rsidRPr="002045F5">
              <w:rPr>
                <w:color w:val="000000"/>
                <w:sz w:val="22"/>
                <w:lang w:val="ru-RU"/>
              </w:rPr>
              <w:t xml:space="preserve"> монтаж та </w:t>
            </w:r>
            <w:proofErr w:type="spellStart"/>
            <w:r w:rsidRPr="002045F5">
              <w:rPr>
                <w:color w:val="000000"/>
                <w:sz w:val="22"/>
                <w:lang w:val="ru-RU"/>
              </w:rPr>
              <w:t>встановлення</w:t>
            </w:r>
            <w:proofErr w:type="spellEnd"/>
            <w:r w:rsidRPr="002045F5">
              <w:rPr>
                <w:color w:val="000000"/>
                <w:sz w:val="22"/>
                <w:lang w:val="ru-RU"/>
              </w:rPr>
              <w:t xml:space="preserve"> </w:t>
            </w:r>
            <w:proofErr w:type="spellStart"/>
            <w:r w:rsidRPr="002045F5">
              <w:rPr>
                <w:color w:val="000000"/>
                <w:sz w:val="22"/>
                <w:lang w:val="ru-RU"/>
              </w:rPr>
              <w:t>технічних</w:t>
            </w:r>
            <w:proofErr w:type="spellEnd"/>
            <w:r w:rsidRPr="002045F5">
              <w:rPr>
                <w:color w:val="000000"/>
                <w:sz w:val="22"/>
                <w:lang w:val="ru-RU"/>
              </w:rPr>
              <w:t xml:space="preserve"> </w:t>
            </w:r>
            <w:proofErr w:type="spellStart"/>
            <w:r w:rsidRPr="002045F5">
              <w:rPr>
                <w:color w:val="000000"/>
                <w:sz w:val="22"/>
                <w:lang w:val="ru-RU"/>
              </w:rPr>
              <w:t>засобів</w:t>
            </w:r>
            <w:proofErr w:type="spellEnd"/>
            <w:r w:rsidRPr="002045F5">
              <w:rPr>
                <w:color w:val="000000"/>
                <w:sz w:val="22"/>
                <w:lang w:val="ru-RU"/>
              </w:rPr>
              <w:t xml:space="preserve"> та </w:t>
            </w:r>
            <w:proofErr w:type="spellStart"/>
            <w:r w:rsidRPr="002045F5">
              <w:rPr>
                <w:color w:val="000000"/>
                <w:sz w:val="22"/>
                <w:lang w:val="ru-RU"/>
              </w:rPr>
              <w:t>обладнання</w:t>
            </w:r>
            <w:proofErr w:type="spellEnd"/>
            <w:r w:rsidRPr="002045F5">
              <w:rPr>
                <w:color w:val="000000"/>
                <w:sz w:val="22"/>
                <w:lang w:val="ru-RU"/>
              </w:rPr>
              <w:t xml:space="preserve"> </w:t>
            </w:r>
            <w:proofErr w:type="spellStart"/>
            <w:r w:rsidRPr="002045F5">
              <w:rPr>
                <w:color w:val="000000"/>
                <w:sz w:val="22"/>
                <w:lang w:val="ru-RU"/>
              </w:rPr>
              <w:t>актової</w:t>
            </w:r>
            <w:proofErr w:type="spellEnd"/>
            <w:r w:rsidRPr="002045F5">
              <w:rPr>
                <w:color w:val="000000"/>
                <w:sz w:val="22"/>
                <w:lang w:val="ru-RU"/>
              </w:rPr>
              <w:t xml:space="preserve"> </w:t>
            </w:r>
            <w:proofErr w:type="spellStart"/>
            <w:r w:rsidRPr="002045F5">
              <w:rPr>
                <w:color w:val="000000"/>
                <w:sz w:val="22"/>
                <w:lang w:val="ru-RU"/>
              </w:rPr>
              <w:t>зали</w:t>
            </w:r>
            <w:proofErr w:type="spellEnd"/>
            <w:r w:rsidRPr="002045F5">
              <w:rPr>
                <w:color w:val="000000"/>
                <w:sz w:val="22"/>
                <w:lang w:val="ru-RU"/>
              </w:rPr>
              <w:t>.</w:t>
            </w:r>
          </w:p>
          <w:p w:rsidR="003B7CFF" w:rsidRPr="002045F5" w:rsidRDefault="003B7CFF" w:rsidP="001013F3">
            <w:pPr>
              <w:rPr>
                <w:color w:val="000000"/>
                <w:sz w:val="22"/>
                <w:lang w:val="ru-RU"/>
              </w:rPr>
            </w:pPr>
            <w:r w:rsidRPr="002045F5">
              <w:rPr>
                <w:color w:val="000000"/>
                <w:sz w:val="22"/>
                <w:lang w:val="ru-RU"/>
              </w:rPr>
              <w:t xml:space="preserve">7.6. </w:t>
            </w:r>
            <w:proofErr w:type="spellStart"/>
            <w:r w:rsidRPr="002045F5">
              <w:rPr>
                <w:color w:val="000000"/>
                <w:sz w:val="22"/>
                <w:lang w:val="ru-RU"/>
              </w:rPr>
              <w:t>Закупівля</w:t>
            </w:r>
            <w:proofErr w:type="spellEnd"/>
            <w:r w:rsidRPr="002045F5">
              <w:rPr>
                <w:color w:val="000000"/>
                <w:sz w:val="22"/>
                <w:lang w:val="ru-RU"/>
              </w:rPr>
              <w:t>, доставка</w:t>
            </w:r>
            <w:r w:rsidR="00EC598E" w:rsidRPr="002045F5">
              <w:rPr>
                <w:color w:val="000000"/>
                <w:sz w:val="22"/>
                <w:lang w:val="ru-RU"/>
              </w:rPr>
              <w:t>,</w:t>
            </w:r>
            <w:r w:rsidRPr="002045F5">
              <w:rPr>
                <w:color w:val="000000"/>
                <w:sz w:val="22"/>
                <w:lang w:val="ru-RU"/>
              </w:rPr>
              <w:t xml:space="preserve"> монтаж та </w:t>
            </w:r>
            <w:proofErr w:type="spellStart"/>
            <w:r w:rsidRPr="002045F5">
              <w:rPr>
                <w:color w:val="000000"/>
                <w:sz w:val="22"/>
                <w:lang w:val="ru-RU"/>
              </w:rPr>
              <w:t>встановлення</w:t>
            </w:r>
            <w:proofErr w:type="spellEnd"/>
            <w:r w:rsidRPr="002045F5">
              <w:rPr>
                <w:color w:val="000000"/>
                <w:sz w:val="22"/>
                <w:lang w:val="ru-RU"/>
              </w:rPr>
              <w:t xml:space="preserve"> </w:t>
            </w:r>
            <w:proofErr w:type="spellStart"/>
            <w:r w:rsidRPr="002045F5">
              <w:rPr>
                <w:color w:val="000000"/>
                <w:sz w:val="22"/>
                <w:lang w:val="ru-RU"/>
              </w:rPr>
              <w:t>технічних</w:t>
            </w:r>
            <w:proofErr w:type="spellEnd"/>
            <w:r w:rsidRPr="002045F5">
              <w:rPr>
                <w:color w:val="000000"/>
                <w:sz w:val="22"/>
                <w:lang w:val="ru-RU"/>
              </w:rPr>
              <w:t xml:space="preserve"> </w:t>
            </w:r>
            <w:proofErr w:type="spellStart"/>
            <w:r w:rsidRPr="002045F5">
              <w:rPr>
                <w:color w:val="000000"/>
                <w:sz w:val="22"/>
                <w:lang w:val="ru-RU"/>
              </w:rPr>
              <w:t>засобів</w:t>
            </w:r>
            <w:proofErr w:type="spellEnd"/>
            <w:r w:rsidRPr="002045F5">
              <w:rPr>
                <w:color w:val="000000"/>
                <w:sz w:val="22"/>
                <w:lang w:val="ru-RU"/>
              </w:rPr>
              <w:t xml:space="preserve"> та </w:t>
            </w:r>
            <w:proofErr w:type="spellStart"/>
            <w:r w:rsidRPr="002045F5">
              <w:rPr>
                <w:color w:val="000000"/>
                <w:sz w:val="22"/>
                <w:lang w:val="ru-RU"/>
              </w:rPr>
              <w:t>обладнання</w:t>
            </w:r>
            <w:proofErr w:type="spellEnd"/>
            <w:r w:rsidRPr="002045F5">
              <w:rPr>
                <w:color w:val="000000"/>
                <w:sz w:val="22"/>
                <w:lang w:val="ru-RU"/>
              </w:rPr>
              <w:t xml:space="preserve"> </w:t>
            </w:r>
            <w:proofErr w:type="spellStart"/>
            <w:r w:rsidRPr="002045F5">
              <w:rPr>
                <w:color w:val="000000"/>
                <w:sz w:val="22"/>
                <w:lang w:val="ru-RU"/>
              </w:rPr>
              <w:t>бібліотеки</w:t>
            </w:r>
            <w:proofErr w:type="spellEnd"/>
            <w:r w:rsidRPr="002045F5">
              <w:rPr>
                <w:color w:val="000000"/>
                <w:sz w:val="22"/>
                <w:lang w:val="ru-RU"/>
              </w:rPr>
              <w:t xml:space="preserve"> та </w:t>
            </w:r>
            <w:proofErr w:type="spellStart"/>
            <w:r w:rsidRPr="002045F5">
              <w:rPr>
                <w:color w:val="000000"/>
                <w:sz w:val="22"/>
                <w:lang w:val="ru-RU"/>
              </w:rPr>
              <w:t>книгосховища</w:t>
            </w:r>
            <w:proofErr w:type="spellEnd"/>
            <w:r w:rsidRPr="002045F5">
              <w:rPr>
                <w:color w:val="000000"/>
                <w:sz w:val="22"/>
                <w:lang w:val="ru-RU"/>
              </w:rPr>
              <w:t>.</w:t>
            </w:r>
          </w:p>
          <w:p w:rsidR="003B7CFF" w:rsidRPr="002045F5" w:rsidRDefault="003B7CFF" w:rsidP="001013F3">
            <w:pPr>
              <w:rPr>
                <w:color w:val="000000"/>
                <w:sz w:val="22"/>
                <w:lang w:val="ru-RU"/>
              </w:rPr>
            </w:pPr>
            <w:r w:rsidRPr="002045F5">
              <w:rPr>
                <w:color w:val="000000"/>
                <w:sz w:val="22"/>
                <w:lang w:val="ru-RU"/>
              </w:rPr>
              <w:t xml:space="preserve">7.7. </w:t>
            </w:r>
            <w:proofErr w:type="spellStart"/>
            <w:r w:rsidRPr="002045F5">
              <w:rPr>
                <w:color w:val="000000"/>
                <w:sz w:val="22"/>
                <w:lang w:val="ru-RU"/>
              </w:rPr>
              <w:t>Закупівля</w:t>
            </w:r>
            <w:proofErr w:type="spellEnd"/>
            <w:r w:rsidRPr="002045F5">
              <w:rPr>
                <w:color w:val="000000"/>
                <w:sz w:val="22"/>
                <w:lang w:val="ru-RU"/>
              </w:rPr>
              <w:t xml:space="preserve">, доставка </w:t>
            </w:r>
            <w:proofErr w:type="spellStart"/>
            <w:r w:rsidRPr="002045F5">
              <w:rPr>
                <w:color w:val="000000"/>
                <w:sz w:val="22"/>
                <w:lang w:val="ru-RU"/>
              </w:rPr>
              <w:t>художньої</w:t>
            </w:r>
            <w:proofErr w:type="spellEnd"/>
            <w:r w:rsidRPr="002045F5">
              <w:rPr>
                <w:color w:val="000000"/>
                <w:sz w:val="22"/>
                <w:lang w:val="ru-RU"/>
              </w:rPr>
              <w:t xml:space="preserve">, </w:t>
            </w:r>
            <w:proofErr w:type="spellStart"/>
            <w:r w:rsidRPr="002045F5">
              <w:rPr>
                <w:color w:val="000000"/>
                <w:sz w:val="22"/>
                <w:lang w:val="ru-RU"/>
              </w:rPr>
              <w:t>навчальної</w:t>
            </w:r>
            <w:proofErr w:type="spellEnd"/>
            <w:r w:rsidRPr="002045F5">
              <w:rPr>
                <w:color w:val="000000"/>
                <w:sz w:val="22"/>
                <w:lang w:val="ru-RU"/>
              </w:rPr>
              <w:t xml:space="preserve"> та </w:t>
            </w:r>
            <w:proofErr w:type="spellStart"/>
            <w:r w:rsidRPr="002045F5">
              <w:rPr>
                <w:color w:val="000000"/>
                <w:sz w:val="22"/>
                <w:lang w:val="ru-RU"/>
              </w:rPr>
              <w:t>методичної</w:t>
            </w:r>
            <w:proofErr w:type="spellEnd"/>
            <w:r w:rsidRPr="002045F5">
              <w:rPr>
                <w:color w:val="000000"/>
                <w:sz w:val="22"/>
                <w:lang w:val="ru-RU"/>
              </w:rPr>
              <w:t xml:space="preserve"> </w:t>
            </w:r>
            <w:proofErr w:type="spellStart"/>
            <w:r w:rsidRPr="002045F5">
              <w:rPr>
                <w:color w:val="000000"/>
                <w:sz w:val="22"/>
                <w:lang w:val="ru-RU"/>
              </w:rPr>
              <w:t>літератури</w:t>
            </w:r>
            <w:proofErr w:type="spellEnd"/>
            <w:r w:rsidRPr="002045F5">
              <w:rPr>
                <w:color w:val="000000"/>
                <w:sz w:val="22"/>
                <w:lang w:val="ru-RU"/>
              </w:rPr>
              <w:t>.</w:t>
            </w:r>
          </w:p>
          <w:p w:rsidR="003B7CFF" w:rsidRPr="002045F5" w:rsidRDefault="003B7CFF" w:rsidP="001013F3">
            <w:pPr>
              <w:rPr>
                <w:color w:val="000000"/>
                <w:sz w:val="22"/>
                <w:lang w:val="ru-RU"/>
              </w:rPr>
            </w:pPr>
            <w:r w:rsidRPr="002045F5">
              <w:rPr>
                <w:color w:val="000000"/>
                <w:sz w:val="22"/>
                <w:lang w:val="ru-RU"/>
              </w:rPr>
              <w:t xml:space="preserve">8. </w:t>
            </w:r>
            <w:proofErr w:type="spellStart"/>
            <w:r w:rsidRPr="002045F5">
              <w:rPr>
                <w:color w:val="000000"/>
                <w:sz w:val="22"/>
                <w:lang w:val="ru-RU"/>
              </w:rPr>
              <w:t>Оформлення</w:t>
            </w:r>
            <w:proofErr w:type="spellEnd"/>
            <w:r w:rsidRPr="002045F5">
              <w:rPr>
                <w:color w:val="000000"/>
                <w:sz w:val="22"/>
                <w:lang w:val="ru-RU"/>
              </w:rPr>
              <w:t xml:space="preserve"> </w:t>
            </w:r>
            <w:proofErr w:type="spellStart"/>
            <w:r w:rsidRPr="002045F5">
              <w:rPr>
                <w:color w:val="000000"/>
                <w:sz w:val="22"/>
                <w:lang w:val="ru-RU"/>
              </w:rPr>
              <w:t>документації</w:t>
            </w:r>
            <w:proofErr w:type="spellEnd"/>
            <w:r w:rsidRPr="002045F5">
              <w:rPr>
                <w:color w:val="000000"/>
                <w:sz w:val="22"/>
                <w:lang w:val="ru-RU"/>
              </w:rPr>
              <w:t xml:space="preserve"> </w:t>
            </w:r>
            <w:proofErr w:type="spellStart"/>
            <w:r w:rsidRPr="002045F5">
              <w:rPr>
                <w:color w:val="000000"/>
                <w:sz w:val="22"/>
                <w:lang w:val="ru-RU"/>
              </w:rPr>
              <w:t>щодо</w:t>
            </w:r>
            <w:proofErr w:type="spellEnd"/>
            <w:r w:rsidRPr="002045F5">
              <w:rPr>
                <w:color w:val="000000"/>
                <w:sz w:val="22"/>
                <w:lang w:val="ru-RU"/>
              </w:rPr>
              <w:t xml:space="preserve"> </w:t>
            </w:r>
            <w:proofErr w:type="spellStart"/>
            <w:r w:rsidRPr="002045F5">
              <w:rPr>
                <w:color w:val="000000"/>
                <w:sz w:val="22"/>
                <w:lang w:val="ru-RU"/>
              </w:rPr>
              <w:t>виконаних</w:t>
            </w:r>
            <w:proofErr w:type="spellEnd"/>
            <w:r w:rsidRPr="002045F5">
              <w:rPr>
                <w:color w:val="000000"/>
                <w:sz w:val="22"/>
                <w:lang w:val="ru-RU"/>
              </w:rPr>
              <w:t xml:space="preserve"> </w:t>
            </w:r>
            <w:proofErr w:type="spellStart"/>
            <w:r w:rsidRPr="002045F5">
              <w:rPr>
                <w:color w:val="000000"/>
                <w:sz w:val="22"/>
                <w:lang w:val="ru-RU"/>
              </w:rPr>
              <w:t>робіт</w:t>
            </w:r>
            <w:proofErr w:type="spellEnd"/>
            <w:r w:rsidRPr="002045F5">
              <w:rPr>
                <w:color w:val="000000"/>
                <w:sz w:val="22"/>
                <w:lang w:val="ru-RU"/>
              </w:rPr>
              <w:t xml:space="preserve"> та </w:t>
            </w:r>
            <w:proofErr w:type="spellStart"/>
            <w:r w:rsidRPr="002045F5">
              <w:rPr>
                <w:color w:val="000000"/>
                <w:sz w:val="22"/>
                <w:lang w:val="ru-RU"/>
              </w:rPr>
              <w:t>їх</w:t>
            </w:r>
            <w:proofErr w:type="spellEnd"/>
            <w:r w:rsidRPr="002045F5">
              <w:rPr>
                <w:color w:val="000000"/>
                <w:sz w:val="22"/>
                <w:lang w:val="ru-RU"/>
              </w:rPr>
              <w:t xml:space="preserve"> оплата.</w:t>
            </w:r>
            <w:r w:rsidRPr="002045F5">
              <w:rPr>
                <w:color w:val="000000"/>
                <w:sz w:val="22"/>
                <w:lang w:val="ru-RU"/>
              </w:rPr>
              <w:br/>
              <w:t xml:space="preserve">9. </w:t>
            </w:r>
            <w:proofErr w:type="spellStart"/>
            <w:r w:rsidRPr="002045F5">
              <w:rPr>
                <w:color w:val="000000"/>
                <w:sz w:val="22"/>
                <w:lang w:val="ru-RU"/>
              </w:rPr>
              <w:t>Введення</w:t>
            </w:r>
            <w:proofErr w:type="spellEnd"/>
            <w:r w:rsidRPr="002045F5">
              <w:rPr>
                <w:color w:val="000000"/>
                <w:sz w:val="22"/>
                <w:lang w:val="ru-RU"/>
              </w:rPr>
              <w:t xml:space="preserve"> </w:t>
            </w:r>
            <w:proofErr w:type="spellStart"/>
            <w:r w:rsidRPr="002045F5">
              <w:rPr>
                <w:color w:val="000000"/>
                <w:sz w:val="22"/>
                <w:lang w:val="ru-RU"/>
              </w:rPr>
              <w:t>об`єкта</w:t>
            </w:r>
            <w:proofErr w:type="spellEnd"/>
            <w:r w:rsidRPr="002045F5">
              <w:rPr>
                <w:color w:val="000000"/>
                <w:sz w:val="22"/>
                <w:lang w:val="ru-RU"/>
              </w:rPr>
              <w:t xml:space="preserve"> в </w:t>
            </w:r>
            <w:proofErr w:type="spellStart"/>
            <w:r w:rsidRPr="002045F5">
              <w:rPr>
                <w:color w:val="000000"/>
                <w:sz w:val="22"/>
                <w:lang w:val="ru-RU"/>
              </w:rPr>
              <w:t>експлуатацію</w:t>
            </w:r>
            <w:proofErr w:type="spellEnd"/>
            <w:r w:rsidRPr="002045F5">
              <w:rPr>
                <w:color w:val="000000"/>
                <w:sz w:val="22"/>
                <w:lang w:val="ru-RU"/>
              </w:rPr>
              <w:t xml:space="preserve">.     </w:t>
            </w:r>
          </w:p>
        </w:tc>
      </w:tr>
      <w:tr w:rsidR="003B7CFF" w:rsidRPr="002045F5" w:rsidTr="00E824C2">
        <w:trPr>
          <w:trHeight w:val="300"/>
        </w:trPr>
        <w:tc>
          <w:tcPr>
            <w:tcW w:w="2978" w:type="dxa"/>
            <w:vMerge w:val="restart"/>
            <w:shd w:val="clear" w:color="auto" w:fill="C6D9F1" w:themeFill="text2" w:themeFillTint="33"/>
            <w:vAlign w:val="center"/>
            <w:hideMark/>
          </w:tcPr>
          <w:p w:rsidR="003B7CFF" w:rsidRPr="002045F5" w:rsidRDefault="003B7CFF" w:rsidP="001013F3">
            <w:pPr>
              <w:rPr>
                <w:b/>
                <w:color w:val="000000"/>
                <w:sz w:val="22"/>
                <w:lang w:val="ru-RU"/>
              </w:rPr>
            </w:pPr>
            <w:proofErr w:type="spellStart"/>
            <w:r w:rsidRPr="002045F5">
              <w:rPr>
                <w:rFonts w:eastAsia="Calibri"/>
                <w:b/>
                <w:color w:val="000000"/>
                <w:sz w:val="22"/>
                <w:lang w:val="ru-RU"/>
              </w:rPr>
              <w:lastRenderedPageBreak/>
              <w:t>Орієнтовний</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обсяг</w:t>
            </w:r>
            <w:proofErr w:type="spellEnd"/>
            <w:r w:rsidRPr="002045F5">
              <w:rPr>
                <w:rFonts w:eastAsia="Calibri"/>
                <w:b/>
                <w:color w:val="000000"/>
                <w:sz w:val="22"/>
                <w:lang w:val="ru-RU"/>
              </w:rPr>
              <w:t xml:space="preserve"> та </w:t>
            </w:r>
            <w:proofErr w:type="spellStart"/>
            <w:r w:rsidRPr="002045F5">
              <w:rPr>
                <w:rFonts w:eastAsia="Calibri"/>
                <w:b/>
                <w:color w:val="000000"/>
                <w:sz w:val="22"/>
                <w:lang w:val="ru-RU"/>
              </w:rPr>
              <w:t>джерела</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фінансування</w:t>
            </w:r>
            <w:proofErr w:type="spellEnd"/>
            <w:r w:rsidRPr="002045F5">
              <w:rPr>
                <w:rFonts w:eastAsia="Calibri"/>
                <w:b/>
                <w:color w:val="000000"/>
                <w:sz w:val="22"/>
                <w:lang w:val="ru-RU"/>
              </w:rPr>
              <w:t xml:space="preserve"> тис. </w:t>
            </w:r>
            <w:proofErr w:type="spellStart"/>
            <w:r w:rsidRPr="002045F5">
              <w:rPr>
                <w:rFonts w:eastAsia="Calibri"/>
                <w:b/>
                <w:color w:val="000000"/>
                <w:sz w:val="22"/>
                <w:lang w:val="ru-RU"/>
              </w:rPr>
              <w:t>гривень</w:t>
            </w:r>
            <w:proofErr w:type="spellEnd"/>
          </w:p>
        </w:tc>
        <w:tc>
          <w:tcPr>
            <w:tcW w:w="1134" w:type="dxa"/>
            <w:vMerge w:val="restart"/>
            <w:shd w:val="clear" w:color="auto" w:fill="auto"/>
            <w:vAlign w:val="center"/>
            <w:hideMark/>
          </w:tcPr>
          <w:p w:rsidR="003B7CFF" w:rsidRPr="002045F5" w:rsidRDefault="003B7CFF" w:rsidP="001013F3">
            <w:pPr>
              <w:rPr>
                <w:color w:val="000000"/>
                <w:sz w:val="22"/>
              </w:rPr>
            </w:pPr>
            <w:r w:rsidRPr="002045F5">
              <w:rPr>
                <w:color w:val="000000"/>
                <w:sz w:val="22"/>
              </w:rPr>
              <w:t>Державний бюджет</w:t>
            </w:r>
          </w:p>
        </w:tc>
        <w:tc>
          <w:tcPr>
            <w:tcW w:w="1275" w:type="dxa"/>
            <w:vMerge w:val="restart"/>
            <w:shd w:val="clear" w:color="auto" w:fill="auto"/>
            <w:noWrap/>
            <w:vAlign w:val="center"/>
            <w:hideMark/>
          </w:tcPr>
          <w:p w:rsidR="003B7CFF" w:rsidRPr="002045F5" w:rsidRDefault="003B7CFF" w:rsidP="001013F3">
            <w:pPr>
              <w:jc w:val="center"/>
              <w:rPr>
                <w:color w:val="000000"/>
                <w:sz w:val="22"/>
              </w:rPr>
            </w:pPr>
            <w:r w:rsidRPr="002045F5">
              <w:rPr>
                <w:color w:val="000000"/>
                <w:sz w:val="22"/>
              </w:rPr>
              <w:t>Місцевий бюджет</w:t>
            </w:r>
          </w:p>
        </w:tc>
        <w:tc>
          <w:tcPr>
            <w:tcW w:w="3289" w:type="dxa"/>
            <w:gridSpan w:val="4"/>
            <w:shd w:val="clear" w:color="auto" w:fill="auto"/>
            <w:vAlign w:val="center"/>
            <w:hideMark/>
          </w:tcPr>
          <w:p w:rsidR="003B7CFF" w:rsidRPr="002045F5" w:rsidRDefault="003B7CFF" w:rsidP="001013F3">
            <w:pPr>
              <w:rPr>
                <w:color w:val="000000"/>
                <w:sz w:val="22"/>
              </w:rPr>
            </w:pPr>
            <w:r w:rsidRPr="002045F5">
              <w:rPr>
                <w:color w:val="000000"/>
                <w:sz w:val="22"/>
              </w:rPr>
              <w:t>Інші джерела</w:t>
            </w:r>
          </w:p>
        </w:tc>
        <w:tc>
          <w:tcPr>
            <w:tcW w:w="1183" w:type="dxa"/>
            <w:vMerge w:val="restart"/>
            <w:shd w:val="clear" w:color="auto" w:fill="auto"/>
            <w:vAlign w:val="center"/>
            <w:hideMark/>
          </w:tcPr>
          <w:p w:rsidR="003B7CFF" w:rsidRPr="002045F5" w:rsidRDefault="003B7CFF" w:rsidP="001013F3">
            <w:pPr>
              <w:rPr>
                <w:color w:val="000000"/>
                <w:sz w:val="22"/>
              </w:rPr>
            </w:pPr>
            <w:r w:rsidRPr="002045F5">
              <w:rPr>
                <w:color w:val="000000"/>
                <w:sz w:val="22"/>
              </w:rPr>
              <w:t>Всього</w:t>
            </w:r>
          </w:p>
        </w:tc>
      </w:tr>
      <w:tr w:rsidR="003B7CFF" w:rsidRPr="002045F5" w:rsidTr="00E824C2">
        <w:trPr>
          <w:trHeight w:val="300"/>
        </w:trPr>
        <w:tc>
          <w:tcPr>
            <w:tcW w:w="2978" w:type="dxa"/>
            <w:vMerge/>
            <w:shd w:val="clear" w:color="auto" w:fill="C6D9F1" w:themeFill="text2" w:themeFillTint="33"/>
            <w:vAlign w:val="center"/>
            <w:hideMark/>
          </w:tcPr>
          <w:p w:rsidR="003B7CFF" w:rsidRPr="002045F5" w:rsidRDefault="003B7CFF" w:rsidP="001013F3">
            <w:pPr>
              <w:rPr>
                <w:b/>
                <w:color w:val="000000"/>
                <w:sz w:val="22"/>
              </w:rPr>
            </w:pPr>
          </w:p>
        </w:tc>
        <w:tc>
          <w:tcPr>
            <w:tcW w:w="1134" w:type="dxa"/>
            <w:vMerge/>
            <w:vAlign w:val="center"/>
            <w:hideMark/>
          </w:tcPr>
          <w:p w:rsidR="003B7CFF" w:rsidRPr="002045F5" w:rsidRDefault="003B7CFF" w:rsidP="001013F3">
            <w:pPr>
              <w:rPr>
                <w:color w:val="000000"/>
                <w:sz w:val="22"/>
              </w:rPr>
            </w:pPr>
          </w:p>
        </w:tc>
        <w:tc>
          <w:tcPr>
            <w:tcW w:w="1275" w:type="dxa"/>
            <w:vMerge/>
            <w:vAlign w:val="center"/>
            <w:hideMark/>
          </w:tcPr>
          <w:p w:rsidR="003B7CFF" w:rsidRPr="002045F5" w:rsidRDefault="003B7CFF" w:rsidP="001013F3">
            <w:pPr>
              <w:rPr>
                <w:color w:val="000000"/>
                <w:sz w:val="22"/>
              </w:rPr>
            </w:pPr>
          </w:p>
        </w:tc>
        <w:tc>
          <w:tcPr>
            <w:tcW w:w="1134" w:type="dxa"/>
            <w:gridSpan w:val="2"/>
            <w:shd w:val="clear" w:color="auto" w:fill="auto"/>
            <w:vAlign w:val="center"/>
            <w:hideMark/>
          </w:tcPr>
          <w:p w:rsidR="003B7CFF" w:rsidRPr="002045F5" w:rsidRDefault="003B7CFF" w:rsidP="001013F3">
            <w:pPr>
              <w:rPr>
                <w:color w:val="000000"/>
                <w:sz w:val="22"/>
              </w:rPr>
            </w:pPr>
            <w:r w:rsidRPr="002045F5">
              <w:rPr>
                <w:color w:val="000000"/>
                <w:sz w:val="22"/>
              </w:rPr>
              <w:t>Обсяг</w:t>
            </w:r>
          </w:p>
        </w:tc>
        <w:tc>
          <w:tcPr>
            <w:tcW w:w="2155" w:type="dxa"/>
            <w:gridSpan w:val="2"/>
            <w:shd w:val="clear" w:color="auto" w:fill="auto"/>
            <w:vAlign w:val="center"/>
            <w:hideMark/>
          </w:tcPr>
          <w:p w:rsidR="003B7CFF" w:rsidRPr="002045F5" w:rsidRDefault="003B7CFF" w:rsidP="001013F3">
            <w:pPr>
              <w:jc w:val="center"/>
              <w:rPr>
                <w:color w:val="000000"/>
                <w:sz w:val="22"/>
              </w:rPr>
            </w:pPr>
            <w:r w:rsidRPr="002045F5">
              <w:rPr>
                <w:color w:val="000000"/>
                <w:sz w:val="22"/>
              </w:rPr>
              <w:t>Назва джерела</w:t>
            </w:r>
          </w:p>
        </w:tc>
        <w:tc>
          <w:tcPr>
            <w:tcW w:w="1183" w:type="dxa"/>
            <w:vMerge/>
            <w:vAlign w:val="center"/>
            <w:hideMark/>
          </w:tcPr>
          <w:p w:rsidR="003B7CFF" w:rsidRPr="002045F5" w:rsidRDefault="003B7CFF" w:rsidP="001013F3">
            <w:pPr>
              <w:rPr>
                <w:color w:val="000000"/>
                <w:sz w:val="22"/>
              </w:rPr>
            </w:pPr>
          </w:p>
        </w:tc>
      </w:tr>
      <w:tr w:rsidR="003B7CFF" w:rsidRPr="002045F5" w:rsidTr="00E824C2">
        <w:trPr>
          <w:trHeight w:val="303"/>
        </w:trPr>
        <w:tc>
          <w:tcPr>
            <w:tcW w:w="2978" w:type="dxa"/>
            <w:vMerge/>
            <w:shd w:val="clear" w:color="auto" w:fill="C6D9F1" w:themeFill="text2" w:themeFillTint="33"/>
            <w:vAlign w:val="center"/>
            <w:hideMark/>
          </w:tcPr>
          <w:p w:rsidR="003B7CFF" w:rsidRPr="002045F5" w:rsidRDefault="003B7CFF" w:rsidP="001013F3">
            <w:pPr>
              <w:rPr>
                <w:b/>
                <w:color w:val="000000"/>
                <w:sz w:val="22"/>
              </w:rPr>
            </w:pPr>
          </w:p>
        </w:tc>
        <w:tc>
          <w:tcPr>
            <w:tcW w:w="1134" w:type="dxa"/>
            <w:shd w:val="clear" w:color="auto" w:fill="auto"/>
            <w:noWrap/>
            <w:hideMark/>
          </w:tcPr>
          <w:p w:rsidR="003B7CFF" w:rsidRPr="002045F5" w:rsidRDefault="003B7CFF" w:rsidP="001013F3">
            <w:pPr>
              <w:rPr>
                <w:color w:val="000000"/>
                <w:sz w:val="22"/>
              </w:rPr>
            </w:pPr>
            <w:r w:rsidRPr="002045F5">
              <w:rPr>
                <w:color w:val="000000"/>
                <w:sz w:val="22"/>
              </w:rPr>
              <w:t> 8 000,0</w:t>
            </w:r>
          </w:p>
        </w:tc>
        <w:tc>
          <w:tcPr>
            <w:tcW w:w="1275" w:type="dxa"/>
            <w:shd w:val="clear" w:color="auto" w:fill="auto"/>
            <w:noWrap/>
            <w:vAlign w:val="bottom"/>
            <w:hideMark/>
          </w:tcPr>
          <w:p w:rsidR="003B7CFF" w:rsidRPr="002045F5" w:rsidRDefault="003B7CFF" w:rsidP="001013F3">
            <w:pPr>
              <w:rPr>
                <w:color w:val="000000"/>
                <w:sz w:val="22"/>
              </w:rPr>
            </w:pPr>
            <w:r w:rsidRPr="002045F5">
              <w:rPr>
                <w:color w:val="000000"/>
                <w:sz w:val="22"/>
              </w:rPr>
              <w:t> </w:t>
            </w:r>
          </w:p>
          <w:p w:rsidR="003B7CFF" w:rsidRPr="002045F5" w:rsidRDefault="003B7CFF" w:rsidP="001013F3">
            <w:pPr>
              <w:rPr>
                <w:color w:val="000000"/>
                <w:sz w:val="22"/>
              </w:rPr>
            </w:pPr>
            <w:r w:rsidRPr="002045F5">
              <w:rPr>
                <w:color w:val="000000"/>
                <w:sz w:val="22"/>
              </w:rPr>
              <w:t> </w:t>
            </w:r>
          </w:p>
        </w:tc>
        <w:tc>
          <w:tcPr>
            <w:tcW w:w="1134" w:type="dxa"/>
            <w:gridSpan w:val="2"/>
            <w:shd w:val="clear" w:color="auto" w:fill="auto"/>
            <w:noWrap/>
            <w:hideMark/>
          </w:tcPr>
          <w:p w:rsidR="003B7CFF" w:rsidRPr="002045F5" w:rsidRDefault="003B7CFF" w:rsidP="001013F3">
            <w:pPr>
              <w:rPr>
                <w:color w:val="000000"/>
                <w:sz w:val="22"/>
              </w:rPr>
            </w:pPr>
            <w:r w:rsidRPr="002045F5">
              <w:rPr>
                <w:color w:val="000000"/>
                <w:sz w:val="22"/>
              </w:rPr>
              <w:t>17 000,0</w:t>
            </w:r>
          </w:p>
        </w:tc>
        <w:tc>
          <w:tcPr>
            <w:tcW w:w="2155" w:type="dxa"/>
            <w:gridSpan w:val="2"/>
            <w:shd w:val="clear" w:color="auto" w:fill="auto"/>
            <w:vAlign w:val="bottom"/>
            <w:hideMark/>
          </w:tcPr>
          <w:p w:rsidR="003B7CFF" w:rsidRPr="002045F5" w:rsidRDefault="003B7CFF" w:rsidP="003B7CFF">
            <w:pPr>
              <w:rPr>
                <w:color w:val="000000"/>
                <w:sz w:val="22"/>
                <w:lang w:val="ru-RU"/>
              </w:rPr>
            </w:pPr>
            <w:proofErr w:type="spellStart"/>
            <w:r w:rsidRPr="002045F5">
              <w:rPr>
                <w:color w:val="000000"/>
                <w:sz w:val="22"/>
                <w:lang w:val="ru-RU"/>
              </w:rPr>
              <w:t>кошти</w:t>
            </w:r>
            <w:proofErr w:type="spellEnd"/>
            <w:r w:rsidRPr="002045F5">
              <w:rPr>
                <w:color w:val="000000"/>
                <w:sz w:val="22"/>
                <w:lang w:val="ru-RU"/>
              </w:rPr>
              <w:t xml:space="preserve"> </w:t>
            </w:r>
            <w:proofErr w:type="spellStart"/>
            <w:r w:rsidRPr="002045F5">
              <w:rPr>
                <w:color w:val="000000"/>
                <w:sz w:val="22"/>
                <w:lang w:val="ru-RU"/>
              </w:rPr>
              <w:t>міжнародних</w:t>
            </w:r>
            <w:proofErr w:type="spellEnd"/>
            <w:r w:rsidRPr="002045F5">
              <w:rPr>
                <w:color w:val="000000"/>
                <w:sz w:val="22"/>
                <w:lang w:val="ru-RU"/>
              </w:rPr>
              <w:t xml:space="preserve"> </w:t>
            </w:r>
            <w:proofErr w:type="spellStart"/>
            <w:r w:rsidRPr="002045F5">
              <w:rPr>
                <w:color w:val="000000"/>
                <w:sz w:val="22"/>
                <w:lang w:val="ru-RU"/>
              </w:rPr>
              <w:t>організацій</w:t>
            </w:r>
            <w:proofErr w:type="spellEnd"/>
            <w:r w:rsidRPr="002045F5">
              <w:rPr>
                <w:color w:val="000000"/>
                <w:sz w:val="22"/>
                <w:lang w:val="ru-RU"/>
              </w:rPr>
              <w:t xml:space="preserve">, </w:t>
            </w:r>
            <w:proofErr w:type="spellStart"/>
            <w:r w:rsidRPr="002045F5">
              <w:rPr>
                <w:color w:val="000000"/>
                <w:sz w:val="22"/>
                <w:lang w:val="ru-RU"/>
              </w:rPr>
              <w:t>кошти</w:t>
            </w:r>
            <w:proofErr w:type="spellEnd"/>
            <w:r w:rsidRPr="002045F5">
              <w:rPr>
                <w:color w:val="000000"/>
                <w:sz w:val="22"/>
                <w:lang w:val="ru-RU"/>
              </w:rPr>
              <w:t xml:space="preserve"> </w:t>
            </w:r>
            <w:proofErr w:type="spellStart"/>
            <w:r w:rsidRPr="002045F5">
              <w:rPr>
                <w:color w:val="000000"/>
                <w:sz w:val="22"/>
                <w:lang w:val="ru-RU"/>
              </w:rPr>
              <w:t>недержавних</w:t>
            </w:r>
            <w:proofErr w:type="spellEnd"/>
            <w:r w:rsidRPr="002045F5">
              <w:rPr>
                <w:color w:val="000000"/>
                <w:sz w:val="22"/>
                <w:lang w:val="ru-RU"/>
              </w:rPr>
              <w:t xml:space="preserve"> </w:t>
            </w:r>
            <w:proofErr w:type="spellStart"/>
            <w:r w:rsidRPr="002045F5">
              <w:rPr>
                <w:color w:val="000000"/>
                <w:sz w:val="22"/>
                <w:lang w:val="ru-RU"/>
              </w:rPr>
              <w:t>громадських</w:t>
            </w:r>
            <w:proofErr w:type="spellEnd"/>
            <w:r w:rsidRPr="002045F5">
              <w:rPr>
                <w:color w:val="000000"/>
                <w:sz w:val="22"/>
                <w:lang w:val="ru-RU"/>
              </w:rPr>
              <w:t xml:space="preserve"> </w:t>
            </w:r>
            <w:proofErr w:type="spellStart"/>
            <w:r w:rsidRPr="002045F5">
              <w:rPr>
                <w:color w:val="000000"/>
                <w:sz w:val="22"/>
                <w:lang w:val="ru-RU"/>
              </w:rPr>
              <w:t>організацій</w:t>
            </w:r>
            <w:proofErr w:type="spellEnd"/>
            <w:r w:rsidRPr="002045F5">
              <w:rPr>
                <w:color w:val="000000"/>
                <w:sz w:val="22"/>
                <w:lang w:val="ru-RU"/>
              </w:rPr>
              <w:t xml:space="preserve"> та </w:t>
            </w:r>
            <w:proofErr w:type="spellStart"/>
            <w:r w:rsidRPr="002045F5">
              <w:rPr>
                <w:color w:val="000000"/>
                <w:sz w:val="22"/>
                <w:lang w:val="ru-RU"/>
              </w:rPr>
              <w:t>благодійних</w:t>
            </w:r>
            <w:proofErr w:type="spellEnd"/>
            <w:r w:rsidRPr="002045F5">
              <w:rPr>
                <w:color w:val="000000"/>
                <w:sz w:val="22"/>
                <w:lang w:val="ru-RU"/>
              </w:rPr>
              <w:t xml:space="preserve"> </w:t>
            </w:r>
            <w:proofErr w:type="spellStart"/>
            <w:r w:rsidRPr="002045F5">
              <w:rPr>
                <w:color w:val="000000"/>
                <w:sz w:val="22"/>
                <w:lang w:val="ru-RU"/>
              </w:rPr>
              <w:t>фондів</w:t>
            </w:r>
            <w:proofErr w:type="spellEnd"/>
          </w:p>
        </w:tc>
        <w:tc>
          <w:tcPr>
            <w:tcW w:w="1183" w:type="dxa"/>
            <w:shd w:val="clear" w:color="auto" w:fill="auto"/>
            <w:noWrap/>
            <w:hideMark/>
          </w:tcPr>
          <w:p w:rsidR="003B7CFF" w:rsidRPr="002045F5" w:rsidRDefault="003B7CFF" w:rsidP="001013F3">
            <w:pPr>
              <w:rPr>
                <w:color w:val="000000"/>
                <w:sz w:val="22"/>
              </w:rPr>
            </w:pPr>
            <w:r w:rsidRPr="002045F5">
              <w:rPr>
                <w:color w:val="000000"/>
                <w:sz w:val="22"/>
              </w:rPr>
              <w:t>25 000,0</w:t>
            </w:r>
          </w:p>
        </w:tc>
      </w:tr>
    </w:tbl>
    <w:p w:rsidR="003B7CFF" w:rsidRPr="002045F5" w:rsidRDefault="003B7CFF" w:rsidP="00E95FB1">
      <w:pPr>
        <w:rPr>
          <w:sz w:val="22"/>
        </w:rPr>
      </w:pPr>
    </w:p>
    <w:p w:rsidR="003B7CFF" w:rsidRPr="002045F5" w:rsidRDefault="003B7CFF" w:rsidP="00E95FB1">
      <w:pPr>
        <w:rPr>
          <w:sz w:val="22"/>
        </w:rPr>
      </w:pPr>
    </w:p>
    <w:tbl>
      <w:tblPr>
        <w:tblW w:w="990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1134"/>
        <w:gridCol w:w="1275"/>
        <w:gridCol w:w="993"/>
        <w:gridCol w:w="283"/>
        <w:gridCol w:w="1418"/>
        <w:gridCol w:w="567"/>
        <w:gridCol w:w="1252"/>
        <w:gridCol w:w="9"/>
      </w:tblGrid>
      <w:tr w:rsidR="003B7CFF" w:rsidRPr="002045F5" w:rsidTr="00E824C2">
        <w:trPr>
          <w:trHeight w:val="301"/>
        </w:trPr>
        <w:tc>
          <w:tcPr>
            <w:tcW w:w="2978" w:type="dxa"/>
            <w:shd w:val="clear" w:color="auto" w:fill="C6D9F1" w:themeFill="text2" w:themeFillTint="33"/>
            <w:vAlign w:val="center"/>
            <w:hideMark/>
          </w:tcPr>
          <w:p w:rsidR="003B7CFF" w:rsidRPr="002045F5" w:rsidRDefault="003B7CFF" w:rsidP="001013F3">
            <w:pPr>
              <w:rPr>
                <w:b/>
                <w:color w:val="000000"/>
                <w:sz w:val="22"/>
              </w:rPr>
            </w:pPr>
            <w:r w:rsidRPr="002045F5">
              <w:rPr>
                <w:rFonts w:eastAsia="Calibri"/>
                <w:b/>
                <w:color w:val="000000"/>
                <w:sz w:val="22"/>
                <w:lang w:val="ru-RU"/>
              </w:rPr>
              <w:t xml:space="preserve">Оперативна </w:t>
            </w:r>
            <w:proofErr w:type="spellStart"/>
            <w:r w:rsidRPr="002045F5">
              <w:rPr>
                <w:rFonts w:eastAsia="Calibri"/>
                <w:b/>
                <w:color w:val="000000"/>
                <w:sz w:val="22"/>
                <w:lang w:val="ru-RU"/>
              </w:rPr>
              <w:t>ціль</w:t>
            </w:r>
            <w:proofErr w:type="spellEnd"/>
            <w:r w:rsidRPr="002045F5">
              <w:rPr>
                <w:rFonts w:eastAsia="Calibri"/>
                <w:b/>
                <w:color w:val="000000"/>
                <w:sz w:val="22"/>
                <w:lang w:val="ru-RU"/>
              </w:rPr>
              <w:t>/</w:t>
            </w:r>
            <w:proofErr w:type="spellStart"/>
            <w:r w:rsidRPr="002045F5">
              <w:rPr>
                <w:rFonts w:eastAsia="Calibri"/>
                <w:b/>
                <w:color w:val="000000"/>
                <w:sz w:val="22"/>
                <w:lang w:val="ru-RU"/>
              </w:rPr>
              <w:t>завдання</w:t>
            </w:r>
            <w:proofErr w:type="spellEnd"/>
          </w:p>
        </w:tc>
        <w:tc>
          <w:tcPr>
            <w:tcW w:w="6931" w:type="dxa"/>
            <w:gridSpan w:val="8"/>
            <w:shd w:val="clear" w:color="auto" w:fill="auto"/>
            <w:vAlign w:val="center"/>
            <w:hideMark/>
          </w:tcPr>
          <w:p w:rsidR="003B7CFF" w:rsidRPr="002045F5" w:rsidRDefault="003B7CFF" w:rsidP="001013F3">
            <w:pPr>
              <w:rPr>
                <w:color w:val="000000"/>
                <w:sz w:val="22"/>
                <w:lang w:val="ru-RU"/>
              </w:rPr>
            </w:pPr>
            <w:proofErr w:type="spellStart"/>
            <w:r w:rsidRPr="002045F5">
              <w:rPr>
                <w:color w:val="222222"/>
                <w:sz w:val="22"/>
                <w:shd w:val="clear" w:color="auto" w:fill="FFFFFF"/>
                <w:lang w:val="ru-RU"/>
              </w:rPr>
              <w:t>Людський</w:t>
            </w:r>
            <w:proofErr w:type="spellEnd"/>
            <w:r w:rsidRPr="002045F5">
              <w:rPr>
                <w:color w:val="222222"/>
                <w:sz w:val="22"/>
                <w:shd w:val="clear" w:color="auto" w:fill="FFFFFF"/>
                <w:lang w:val="ru-RU"/>
              </w:rPr>
              <w:t xml:space="preserve"> </w:t>
            </w:r>
            <w:proofErr w:type="spellStart"/>
            <w:r w:rsidRPr="002045F5">
              <w:rPr>
                <w:color w:val="222222"/>
                <w:sz w:val="22"/>
                <w:shd w:val="clear" w:color="auto" w:fill="FFFFFF"/>
                <w:lang w:val="ru-RU"/>
              </w:rPr>
              <w:t>розвиток</w:t>
            </w:r>
            <w:proofErr w:type="spellEnd"/>
            <w:r w:rsidRPr="002045F5">
              <w:rPr>
                <w:color w:val="222222"/>
                <w:sz w:val="22"/>
                <w:shd w:val="clear" w:color="auto" w:fill="FFFFFF"/>
                <w:lang w:val="ru-RU"/>
              </w:rPr>
              <w:t xml:space="preserve"> через </w:t>
            </w:r>
            <w:proofErr w:type="spellStart"/>
            <w:r w:rsidRPr="002045F5">
              <w:rPr>
                <w:color w:val="222222"/>
                <w:sz w:val="22"/>
                <w:shd w:val="clear" w:color="auto" w:fill="FFFFFF"/>
                <w:lang w:val="ru-RU"/>
              </w:rPr>
              <w:t>інновації</w:t>
            </w:r>
            <w:proofErr w:type="spellEnd"/>
            <w:r w:rsidRPr="002045F5">
              <w:rPr>
                <w:color w:val="222222"/>
                <w:sz w:val="22"/>
                <w:shd w:val="clear" w:color="auto" w:fill="FFFFFF"/>
                <w:lang w:val="ru-RU"/>
              </w:rPr>
              <w:t xml:space="preserve"> </w:t>
            </w:r>
            <w:proofErr w:type="spellStart"/>
            <w:r w:rsidRPr="002045F5">
              <w:rPr>
                <w:color w:val="222222"/>
                <w:sz w:val="22"/>
                <w:shd w:val="clear" w:color="auto" w:fill="FFFFFF"/>
                <w:lang w:val="ru-RU"/>
              </w:rPr>
              <w:t>управління</w:t>
            </w:r>
            <w:proofErr w:type="spellEnd"/>
            <w:r w:rsidRPr="002045F5">
              <w:rPr>
                <w:color w:val="222222"/>
                <w:sz w:val="22"/>
                <w:shd w:val="clear" w:color="auto" w:fill="FFFFFF"/>
                <w:lang w:val="ru-RU"/>
              </w:rPr>
              <w:t xml:space="preserve"> та </w:t>
            </w:r>
            <w:proofErr w:type="spellStart"/>
            <w:r w:rsidRPr="002045F5">
              <w:rPr>
                <w:color w:val="222222"/>
                <w:sz w:val="22"/>
                <w:shd w:val="clear" w:color="auto" w:fill="FFFFFF"/>
                <w:lang w:val="ru-RU"/>
              </w:rPr>
              <w:t>довіру</w:t>
            </w:r>
            <w:proofErr w:type="spellEnd"/>
            <w:r w:rsidRPr="002045F5">
              <w:rPr>
                <w:color w:val="222222"/>
                <w:sz w:val="22"/>
                <w:shd w:val="clear" w:color="auto" w:fill="FFFFFF"/>
                <w:lang w:val="ru-RU"/>
              </w:rPr>
              <w:t xml:space="preserve"> до </w:t>
            </w:r>
            <w:proofErr w:type="spellStart"/>
            <w:r w:rsidRPr="002045F5">
              <w:rPr>
                <w:color w:val="222222"/>
                <w:sz w:val="22"/>
                <w:shd w:val="clear" w:color="auto" w:fill="FFFFFF"/>
                <w:lang w:val="ru-RU"/>
              </w:rPr>
              <w:t>влади</w:t>
            </w:r>
            <w:proofErr w:type="spellEnd"/>
            <w:r w:rsidRPr="002045F5">
              <w:rPr>
                <w:color w:val="222222"/>
                <w:sz w:val="22"/>
                <w:shd w:val="clear" w:color="auto" w:fill="FFFFFF"/>
                <w:lang w:val="ru-RU"/>
              </w:rPr>
              <w:t xml:space="preserve">. </w:t>
            </w:r>
            <w:proofErr w:type="spellStart"/>
            <w:r w:rsidRPr="002045F5">
              <w:rPr>
                <w:color w:val="222222"/>
                <w:sz w:val="22"/>
                <w:shd w:val="clear" w:color="auto" w:fill="FFFFFF"/>
                <w:lang w:val="ru-RU"/>
              </w:rPr>
              <w:t>Формування</w:t>
            </w:r>
            <w:proofErr w:type="spellEnd"/>
            <w:r w:rsidRPr="002045F5">
              <w:rPr>
                <w:color w:val="222222"/>
                <w:sz w:val="22"/>
                <w:shd w:val="clear" w:color="auto" w:fill="FFFFFF"/>
                <w:lang w:val="ru-RU"/>
              </w:rPr>
              <w:t xml:space="preserve"> </w:t>
            </w:r>
            <w:proofErr w:type="spellStart"/>
            <w:r w:rsidRPr="002045F5">
              <w:rPr>
                <w:color w:val="222222"/>
                <w:sz w:val="22"/>
                <w:shd w:val="clear" w:color="auto" w:fill="FFFFFF"/>
                <w:lang w:val="ru-RU"/>
              </w:rPr>
              <w:t>сучасного</w:t>
            </w:r>
            <w:proofErr w:type="spellEnd"/>
            <w:r w:rsidRPr="002045F5">
              <w:rPr>
                <w:color w:val="222222"/>
                <w:sz w:val="22"/>
                <w:shd w:val="clear" w:color="auto" w:fill="FFFFFF"/>
                <w:lang w:val="ru-RU"/>
              </w:rPr>
              <w:t xml:space="preserve"> </w:t>
            </w:r>
            <w:proofErr w:type="spellStart"/>
            <w:proofErr w:type="gramStart"/>
            <w:r w:rsidRPr="002045F5">
              <w:rPr>
                <w:color w:val="222222"/>
                <w:sz w:val="22"/>
                <w:shd w:val="clear" w:color="auto" w:fill="FFFFFF"/>
                <w:lang w:val="ru-RU"/>
              </w:rPr>
              <w:t>інклюзивного</w:t>
            </w:r>
            <w:proofErr w:type="spellEnd"/>
            <w:r w:rsidRPr="002045F5">
              <w:rPr>
                <w:color w:val="222222"/>
                <w:sz w:val="22"/>
                <w:shd w:val="clear" w:color="auto" w:fill="FFFFFF"/>
              </w:rPr>
              <w:t> </w:t>
            </w:r>
            <w:r w:rsidRPr="002045F5">
              <w:rPr>
                <w:color w:val="222222"/>
                <w:sz w:val="22"/>
                <w:shd w:val="clear" w:color="auto" w:fill="FFFFFF"/>
                <w:lang w:val="ru-RU"/>
              </w:rPr>
              <w:t xml:space="preserve"> </w:t>
            </w:r>
            <w:proofErr w:type="spellStart"/>
            <w:r w:rsidRPr="002045F5">
              <w:rPr>
                <w:color w:val="222222"/>
                <w:sz w:val="22"/>
                <w:shd w:val="clear" w:color="auto" w:fill="FFFFFF"/>
                <w:lang w:val="ru-RU"/>
              </w:rPr>
              <w:t>освітньо</w:t>
            </w:r>
            <w:proofErr w:type="spellEnd"/>
            <w:proofErr w:type="gramEnd"/>
            <w:r w:rsidRPr="002045F5">
              <w:rPr>
                <w:color w:val="222222"/>
                <w:sz w:val="22"/>
                <w:shd w:val="clear" w:color="auto" w:fill="FFFFFF"/>
                <w:lang w:val="ru-RU"/>
              </w:rPr>
              <w:t xml:space="preserve">-культурного та спортивного простору для </w:t>
            </w:r>
            <w:proofErr w:type="spellStart"/>
            <w:r w:rsidRPr="002045F5">
              <w:rPr>
                <w:color w:val="222222"/>
                <w:sz w:val="22"/>
                <w:shd w:val="clear" w:color="auto" w:fill="FFFFFF"/>
                <w:lang w:val="ru-RU"/>
              </w:rPr>
              <w:t>розвитку</w:t>
            </w:r>
            <w:proofErr w:type="spellEnd"/>
            <w:r w:rsidRPr="002045F5">
              <w:rPr>
                <w:color w:val="222222"/>
                <w:sz w:val="22"/>
                <w:shd w:val="clear" w:color="auto" w:fill="FFFFFF"/>
                <w:lang w:val="ru-RU"/>
              </w:rPr>
              <w:t>.</w:t>
            </w:r>
          </w:p>
        </w:tc>
      </w:tr>
      <w:tr w:rsidR="003B7CFF" w:rsidRPr="002045F5" w:rsidTr="00E824C2">
        <w:trPr>
          <w:trHeight w:val="747"/>
        </w:trPr>
        <w:tc>
          <w:tcPr>
            <w:tcW w:w="2978" w:type="dxa"/>
            <w:shd w:val="clear" w:color="auto" w:fill="C6D9F1" w:themeFill="text2" w:themeFillTint="33"/>
            <w:vAlign w:val="center"/>
            <w:hideMark/>
          </w:tcPr>
          <w:p w:rsidR="003B7CFF" w:rsidRPr="002045F5" w:rsidRDefault="003B7CFF" w:rsidP="001013F3">
            <w:pPr>
              <w:rPr>
                <w:b/>
                <w:color w:val="000000"/>
                <w:sz w:val="22"/>
              </w:rPr>
            </w:pPr>
            <w:proofErr w:type="spellStart"/>
            <w:r w:rsidRPr="002045F5">
              <w:rPr>
                <w:rFonts w:eastAsia="Calibri"/>
                <w:b/>
                <w:color w:val="000000"/>
                <w:sz w:val="22"/>
                <w:lang w:val="ru-RU"/>
              </w:rPr>
              <w:t>Назва</w:t>
            </w:r>
            <w:proofErr w:type="spellEnd"/>
            <w:r w:rsidRPr="002045F5">
              <w:rPr>
                <w:rFonts w:eastAsia="Calibri"/>
                <w:b/>
                <w:color w:val="000000"/>
                <w:sz w:val="22"/>
                <w:lang w:val="ru-RU"/>
              </w:rPr>
              <w:t xml:space="preserve"> проекту:</w:t>
            </w:r>
          </w:p>
        </w:tc>
        <w:tc>
          <w:tcPr>
            <w:tcW w:w="6931" w:type="dxa"/>
            <w:gridSpan w:val="8"/>
            <w:shd w:val="clear" w:color="auto" w:fill="auto"/>
            <w:vAlign w:val="center"/>
            <w:hideMark/>
          </w:tcPr>
          <w:p w:rsidR="003B7CFF" w:rsidRPr="002045F5" w:rsidRDefault="003B7CFF" w:rsidP="001013F3">
            <w:pPr>
              <w:rPr>
                <w:color w:val="000000"/>
                <w:sz w:val="22"/>
              </w:rPr>
            </w:pPr>
            <w:r w:rsidRPr="002045F5">
              <w:rPr>
                <w:color w:val="000000"/>
                <w:sz w:val="22"/>
              </w:rPr>
              <w:t>Капітальний ремонт будівлі Ліцею "ЮВЕНЕС" міста Сєвєродонецька Луганської області, вулиця Курчатова , будинок 34</w:t>
            </w:r>
          </w:p>
        </w:tc>
      </w:tr>
      <w:tr w:rsidR="003B7CFF" w:rsidRPr="002045F5" w:rsidTr="00E824C2">
        <w:trPr>
          <w:trHeight w:val="1927"/>
        </w:trPr>
        <w:tc>
          <w:tcPr>
            <w:tcW w:w="2978" w:type="dxa"/>
            <w:shd w:val="clear" w:color="auto" w:fill="C6D9F1" w:themeFill="text2" w:themeFillTint="33"/>
            <w:vAlign w:val="center"/>
            <w:hideMark/>
          </w:tcPr>
          <w:p w:rsidR="003B7CFF" w:rsidRPr="002045F5" w:rsidRDefault="003B7CFF" w:rsidP="001013F3">
            <w:pPr>
              <w:rPr>
                <w:b/>
                <w:color w:val="000000"/>
                <w:sz w:val="22"/>
              </w:rPr>
            </w:pPr>
            <w:proofErr w:type="spellStart"/>
            <w:r w:rsidRPr="002045F5">
              <w:rPr>
                <w:rFonts w:eastAsia="Calibri"/>
                <w:b/>
                <w:color w:val="000000"/>
                <w:sz w:val="22"/>
                <w:lang w:val="ru-RU"/>
              </w:rPr>
              <w:t>Ціль</w:t>
            </w:r>
            <w:proofErr w:type="spellEnd"/>
            <w:r w:rsidRPr="002045F5">
              <w:rPr>
                <w:rFonts w:eastAsia="Calibri"/>
                <w:b/>
                <w:color w:val="000000"/>
                <w:sz w:val="22"/>
                <w:lang w:val="ru-RU"/>
              </w:rPr>
              <w:t xml:space="preserve"> проекту</w:t>
            </w:r>
          </w:p>
        </w:tc>
        <w:tc>
          <w:tcPr>
            <w:tcW w:w="6931" w:type="dxa"/>
            <w:gridSpan w:val="8"/>
            <w:shd w:val="clear" w:color="auto" w:fill="auto"/>
            <w:vAlign w:val="center"/>
            <w:hideMark/>
          </w:tcPr>
          <w:p w:rsidR="003B7CFF" w:rsidRPr="002045F5" w:rsidRDefault="003B7CFF" w:rsidP="001013F3">
            <w:pPr>
              <w:rPr>
                <w:color w:val="000000"/>
                <w:sz w:val="22"/>
              </w:rPr>
            </w:pPr>
            <w:r w:rsidRPr="002045F5">
              <w:rPr>
                <w:color w:val="000000"/>
                <w:sz w:val="22"/>
              </w:rPr>
              <w:t xml:space="preserve">Створення комфортних і безпечних умов для повноцінного і всебічного розвитку дітей шкільного віку, в тому числі </w:t>
            </w:r>
            <w:r w:rsidRPr="002045F5">
              <w:rPr>
                <w:color w:val="333333"/>
                <w:sz w:val="22"/>
                <w:shd w:val="clear" w:color="auto" w:fill="FFFFFF"/>
              </w:rPr>
              <w:t xml:space="preserve">для забезпечення прав і можливостей осіб з особливими освітніми потребами, для здобуття ними освіти на всіх рівнях освіти з урахуванням їхніх індивідуальних потреб, можливостей, здібностей та інтересів; </w:t>
            </w:r>
            <w:r w:rsidRPr="002045F5">
              <w:rPr>
                <w:color w:val="000000"/>
                <w:sz w:val="22"/>
              </w:rPr>
              <w:t>їх фізичний і духовний розвиток, соціальну адаптацію, інтелектуальний розвиток, а також саморозвиток, самореалізацію та самовизначення здобувача освіти як цілісної особистості відповідно до санітарно-гігієнічних вимог шляхом капітального ремонту будівлі Ліцею "ЮВЕНЕС".</w:t>
            </w:r>
          </w:p>
        </w:tc>
      </w:tr>
      <w:tr w:rsidR="003B7CFF" w:rsidRPr="002045F5" w:rsidTr="00E824C2">
        <w:trPr>
          <w:trHeight w:val="590"/>
        </w:trPr>
        <w:tc>
          <w:tcPr>
            <w:tcW w:w="2978" w:type="dxa"/>
            <w:shd w:val="clear" w:color="auto" w:fill="C6D9F1" w:themeFill="text2" w:themeFillTint="33"/>
            <w:vAlign w:val="center"/>
            <w:hideMark/>
          </w:tcPr>
          <w:p w:rsidR="003B7CFF" w:rsidRPr="002045F5" w:rsidRDefault="003B7CFF" w:rsidP="001013F3">
            <w:pPr>
              <w:rPr>
                <w:b/>
                <w:color w:val="000000"/>
                <w:sz w:val="22"/>
                <w:lang w:val="ru-RU"/>
              </w:rPr>
            </w:pPr>
            <w:proofErr w:type="spellStart"/>
            <w:r w:rsidRPr="002045F5">
              <w:rPr>
                <w:rFonts w:eastAsia="Calibri"/>
                <w:b/>
                <w:color w:val="000000"/>
                <w:sz w:val="22"/>
                <w:lang w:val="ru-RU"/>
              </w:rPr>
              <w:t>Територія</w:t>
            </w:r>
            <w:proofErr w:type="spellEnd"/>
            <w:r w:rsidRPr="002045F5">
              <w:rPr>
                <w:rFonts w:eastAsia="Calibri"/>
                <w:b/>
                <w:color w:val="000000"/>
                <w:sz w:val="22"/>
                <w:lang w:val="ru-RU"/>
              </w:rPr>
              <w:t xml:space="preserve">, </w:t>
            </w:r>
            <w:proofErr w:type="gramStart"/>
            <w:r w:rsidRPr="002045F5">
              <w:rPr>
                <w:rFonts w:eastAsia="Calibri"/>
                <w:b/>
                <w:color w:val="000000"/>
                <w:sz w:val="22"/>
                <w:lang w:val="ru-RU"/>
              </w:rPr>
              <w:t>на яку</w:t>
            </w:r>
            <w:proofErr w:type="gramEnd"/>
            <w:r w:rsidRPr="002045F5">
              <w:rPr>
                <w:rFonts w:eastAsia="Calibri"/>
                <w:b/>
                <w:color w:val="000000"/>
                <w:sz w:val="22"/>
                <w:lang w:val="ru-RU"/>
              </w:rPr>
              <w:t xml:space="preserve"> </w:t>
            </w:r>
            <w:proofErr w:type="spellStart"/>
            <w:r w:rsidRPr="002045F5">
              <w:rPr>
                <w:rFonts w:eastAsia="Calibri"/>
                <w:b/>
                <w:color w:val="000000"/>
                <w:sz w:val="22"/>
                <w:lang w:val="ru-RU"/>
              </w:rPr>
              <w:t>матиме</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вплив</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реалізація</w:t>
            </w:r>
            <w:proofErr w:type="spellEnd"/>
            <w:r w:rsidRPr="002045F5">
              <w:rPr>
                <w:rFonts w:eastAsia="Calibri"/>
                <w:b/>
                <w:color w:val="000000"/>
                <w:sz w:val="22"/>
                <w:lang w:val="ru-RU"/>
              </w:rPr>
              <w:t xml:space="preserve"> проекту</w:t>
            </w:r>
          </w:p>
        </w:tc>
        <w:tc>
          <w:tcPr>
            <w:tcW w:w="6931" w:type="dxa"/>
            <w:gridSpan w:val="8"/>
            <w:shd w:val="clear" w:color="auto" w:fill="auto"/>
            <w:vAlign w:val="center"/>
            <w:hideMark/>
          </w:tcPr>
          <w:p w:rsidR="003B7CFF" w:rsidRPr="002045F5" w:rsidRDefault="003B7CFF" w:rsidP="001013F3">
            <w:pPr>
              <w:rPr>
                <w:color w:val="000000"/>
                <w:sz w:val="22"/>
              </w:rPr>
            </w:pPr>
            <w:proofErr w:type="spellStart"/>
            <w:r w:rsidRPr="002045F5">
              <w:rPr>
                <w:rFonts w:eastAsia="Calibri"/>
                <w:color w:val="000000"/>
                <w:sz w:val="22"/>
                <w:lang w:val="ru-RU"/>
              </w:rPr>
              <w:t>Сєвєродонецька</w:t>
            </w:r>
            <w:proofErr w:type="spellEnd"/>
            <w:r w:rsidRPr="002045F5">
              <w:rPr>
                <w:rFonts w:eastAsia="Calibri"/>
                <w:color w:val="000000"/>
                <w:sz w:val="22"/>
                <w:lang w:val="ru-RU"/>
              </w:rPr>
              <w:t xml:space="preserve"> </w:t>
            </w:r>
            <w:proofErr w:type="spellStart"/>
            <w:r w:rsidRPr="002045F5">
              <w:rPr>
                <w:rFonts w:eastAsia="Calibri"/>
                <w:color w:val="000000"/>
                <w:sz w:val="22"/>
                <w:lang w:val="ru-RU"/>
              </w:rPr>
              <w:t>міська</w:t>
            </w:r>
            <w:proofErr w:type="spellEnd"/>
            <w:r w:rsidRPr="002045F5">
              <w:rPr>
                <w:rFonts w:eastAsia="Calibri"/>
                <w:color w:val="000000"/>
                <w:sz w:val="22"/>
                <w:lang w:val="ru-RU"/>
              </w:rPr>
              <w:t xml:space="preserve"> </w:t>
            </w:r>
            <w:proofErr w:type="spellStart"/>
            <w:r w:rsidRPr="002045F5">
              <w:rPr>
                <w:rFonts w:eastAsia="Calibri"/>
                <w:color w:val="000000"/>
                <w:sz w:val="22"/>
                <w:lang w:val="ru-RU"/>
              </w:rPr>
              <w:t>територіальна</w:t>
            </w:r>
            <w:proofErr w:type="spellEnd"/>
            <w:r w:rsidRPr="002045F5">
              <w:rPr>
                <w:rFonts w:eastAsia="Calibri"/>
                <w:color w:val="000000"/>
                <w:sz w:val="22"/>
                <w:lang w:val="ru-RU"/>
              </w:rPr>
              <w:t xml:space="preserve"> громада</w:t>
            </w:r>
          </w:p>
        </w:tc>
      </w:tr>
      <w:tr w:rsidR="003B7CFF" w:rsidRPr="002045F5" w:rsidTr="00E824C2">
        <w:trPr>
          <w:trHeight w:val="590"/>
        </w:trPr>
        <w:tc>
          <w:tcPr>
            <w:tcW w:w="2978" w:type="dxa"/>
            <w:shd w:val="clear" w:color="auto" w:fill="C6D9F1" w:themeFill="text2" w:themeFillTint="33"/>
            <w:vAlign w:val="center"/>
            <w:hideMark/>
          </w:tcPr>
          <w:p w:rsidR="003B7CFF" w:rsidRPr="002045F5" w:rsidRDefault="003B7CFF" w:rsidP="001013F3">
            <w:pPr>
              <w:rPr>
                <w:b/>
                <w:color w:val="000000"/>
                <w:sz w:val="22"/>
                <w:lang w:val="ru-RU"/>
              </w:rPr>
            </w:pPr>
            <w:proofErr w:type="spellStart"/>
            <w:r w:rsidRPr="002045F5">
              <w:rPr>
                <w:rFonts w:eastAsia="Calibri"/>
                <w:b/>
                <w:color w:val="000000"/>
                <w:sz w:val="22"/>
                <w:lang w:val="ru-RU"/>
              </w:rPr>
              <w:t>Чисельність</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населення</w:t>
            </w:r>
            <w:proofErr w:type="spellEnd"/>
            <w:r w:rsidRPr="002045F5">
              <w:rPr>
                <w:rFonts w:eastAsia="Calibri"/>
                <w:b/>
                <w:color w:val="000000"/>
                <w:sz w:val="22"/>
                <w:lang w:val="ru-RU"/>
              </w:rPr>
              <w:t xml:space="preserve">, на яке </w:t>
            </w:r>
            <w:proofErr w:type="spellStart"/>
            <w:r w:rsidRPr="002045F5">
              <w:rPr>
                <w:rFonts w:eastAsia="Calibri"/>
                <w:b/>
                <w:color w:val="000000"/>
                <w:sz w:val="22"/>
                <w:lang w:val="ru-RU"/>
              </w:rPr>
              <w:t>матиме</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вплив</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реалізація</w:t>
            </w:r>
            <w:proofErr w:type="spellEnd"/>
            <w:r w:rsidRPr="002045F5">
              <w:rPr>
                <w:rFonts w:eastAsia="Calibri"/>
                <w:b/>
                <w:color w:val="000000"/>
                <w:sz w:val="22"/>
                <w:lang w:val="ru-RU"/>
              </w:rPr>
              <w:t xml:space="preserve"> проекту</w:t>
            </w:r>
          </w:p>
        </w:tc>
        <w:tc>
          <w:tcPr>
            <w:tcW w:w="6931" w:type="dxa"/>
            <w:gridSpan w:val="8"/>
            <w:shd w:val="clear" w:color="auto" w:fill="auto"/>
            <w:vAlign w:val="center"/>
            <w:hideMark/>
          </w:tcPr>
          <w:p w:rsidR="003B7CFF" w:rsidRPr="002045F5" w:rsidRDefault="003B7CFF" w:rsidP="001013F3">
            <w:pPr>
              <w:rPr>
                <w:color w:val="000000"/>
                <w:sz w:val="22"/>
                <w:lang w:val="ru-RU"/>
              </w:rPr>
            </w:pPr>
            <w:r w:rsidRPr="002045F5">
              <w:rPr>
                <w:color w:val="000000"/>
                <w:sz w:val="22"/>
                <w:lang w:val="ru-RU"/>
              </w:rPr>
              <w:t xml:space="preserve">70 000 </w:t>
            </w:r>
            <w:proofErr w:type="spellStart"/>
            <w:r w:rsidRPr="002045F5">
              <w:rPr>
                <w:color w:val="000000"/>
                <w:sz w:val="22"/>
                <w:lang w:val="ru-RU"/>
              </w:rPr>
              <w:t>осіб</w:t>
            </w:r>
            <w:proofErr w:type="spellEnd"/>
          </w:p>
        </w:tc>
      </w:tr>
      <w:tr w:rsidR="003B7CFF" w:rsidRPr="002045F5" w:rsidTr="00E824C2">
        <w:trPr>
          <w:trHeight w:val="3444"/>
        </w:trPr>
        <w:tc>
          <w:tcPr>
            <w:tcW w:w="2978" w:type="dxa"/>
            <w:shd w:val="clear" w:color="auto" w:fill="C6D9F1" w:themeFill="text2" w:themeFillTint="33"/>
            <w:vAlign w:val="center"/>
            <w:hideMark/>
          </w:tcPr>
          <w:p w:rsidR="003B7CFF" w:rsidRPr="002045F5" w:rsidRDefault="003B7CFF" w:rsidP="001013F3">
            <w:pPr>
              <w:rPr>
                <w:b/>
                <w:color w:val="000000"/>
                <w:sz w:val="22"/>
                <w:lang w:val="ru-RU"/>
              </w:rPr>
            </w:pPr>
            <w:proofErr w:type="spellStart"/>
            <w:r w:rsidRPr="002045F5">
              <w:rPr>
                <w:rFonts w:eastAsia="Calibri"/>
                <w:b/>
                <w:color w:val="000000"/>
                <w:sz w:val="22"/>
                <w:lang w:val="ru-RU"/>
              </w:rPr>
              <w:lastRenderedPageBreak/>
              <w:t>Опис</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проблеми</w:t>
            </w:r>
            <w:proofErr w:type="spellEnd"/>
            <w:r w:rsidRPr="002045F5">
              <w:rPr>
                <w:rFonts w:eastAsia="Calibri"/>
                <w:b/>
                <w:color w:val="000000"/>
                <w:sz w:val="22"/>
                <w:lang w:val="ru-RU"/>
              </w:rPr>
              <w:t xml:space="preserve">, на </w:t>
            </w:r>
            <w:proofErr w:type="spellStart"/>
            <w:r w:rsidRPr="002045F5">
              <w:rPr>
                <w:rFonts w:eastAsia="Calibri"/>
                <w:b/>
                <w:color w:val="000000"/>
                <w:sz w:val="22"/>
                <w:lang w:val="ru-RU"/>
              </w:rPr>
              <w:t>вирішення</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якої</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спрямований</w:t>
            </w:r>
            <w:proofErr w:type="spellEnd"/>
            <w:r w:rsidRPr="002045F5">
              <w:rPr>
                <w:rFonts w:eastAsia="Calibri"/>
                <w:b/>
                <w:color w:val="000000"/>
                <w:sz w:val="22"/>
                <w:lang w:val="ru-RU"/>
              </w:rPr>
              <w:t xml:space="preserve"> проект</w:t>
            </w:r>
          </w:p>
        </w:tc>
        <w:tc>
          <w:tcPr>
            <w:tcW w:w="6931" w:type="dxa"/>
            <w:gridSpan w:val="8"/>
            <w:shd w:val="clear" w:color="auto" w:fill="auto"/>
            <w:vAlign w:val="center"/>
            <w:hideMark/>
          </w:tcPr>
          <w:p w:rsidR="003B7CFF" w:rsidRPr="002045F5" w:rsidRDefault="003B7CFF" w:rsidP="00F306AB">
            <w:pPr>
              <w:rPr>
                <w:color w:val="000000"/>
                <w:sz w:val="22"/>
                <w:lang w:val="ru-RU"/>
              </w:rPr>
            </w:pPr>
            <w:r w:rsidRPr="002045F5">
              <w:rPr>
                <w:color w:val="000000"/>
                <w:sz w:val="22"/>
                <w:lang w:val="ru-RU"/>
              </w:rPr>
              <w:t xml:space="preserve">З </w:t>
            </w:r>
            <w:proofErr w:type="spellStart"/>
            <w:r w:rsidRPr="002045F5">
              <w:rPr>
                <w:color w:val="000000"/>
                <w:sz w:val="22"/>
                <w:lang w:val="ru-RU"/>
              </w:rPr>
              <w:t>повномасштабним</w:t>
            </w:r>
            <w:proofErr w:type="spellEnd"/>
            <w:r w:rsidRPr="002045F5">
              <w:rPr>
                <w:color w:val="000000"/>
                <w:sz w:val="22"/>
                <w:lang w:val="ru-RU"/>
              </w:rPr>
              <w:t xml:space="preserve"> </w:t>
            </w:r>
            <w:proofErr w:type="spellStart"/>
            <w:r w:rsidRPr="002045F5">
              <w:rPr>
                <w:color w:val="000000"/>
                <w:sz w:val="22"/>
                <w:lang w:val="ru-RU"/>
              </w:rPr>
              <w:t>вторгненням</w:t>
            </w:r>
            <w:proofErr w:type="spellEnd"/>
            <w:r w:rsidRPr="002045F5">
              <w:rPr>
                <w:color w:val="000000"/>
                <w:sz w:val="22"/>
                <w:lang w:val="ru-RU"/>
              </w:rPr>
              <w:t xml:space="preserve"> РФ в </w:t>
            </w:r>
            <w:proofErr w:type="spellStart"/>
            <w:r w:rsidRPr="002045F5">
              <w:rPr>
                <w:color w:val="000000"/>
                <w:sz w:val="22"/>
                <w:lang w:val="ru-RU"/>
              </w:rPr>
              <w:t>Україну</w:t>
            </w:r>
            <w:proofErr w:type="spellEnd"/>
            <w:r w:rsidRPr="002045F5">
              <w:rPr>
                <w:color w:val="000000"/>
                <w:sz w:val="22"/>
                <w:lang w:val="ru-RU"/>
              </w:rPr>
              <w:t xml:space="preserve"> з 24.02.2022 року </w:t>
            </w:r>
            <w:proofErr w:type="spellStart"/>
            <w:r w:rsidRPr="002045F5">
              <w:rPr>
                <w:color w:val="000000"/>
                <w:sz w:val="22"/>
                <w:lang w:val="ru-RU"/>
              </w:rPr>
              <w:t>місто</w:t>
            </w:r>
            <w:proofErr w:type="spellEnd"/>
            <w:r w:rsidRPr="002045F5">
              <w:rPr>
                <w:color w:val="000000"/>
                <w:sz w:val="22"/>
                <w:lang w:val="ru-RU"/>
              </w:rPr>
              <w:t xml:space="preserve"> </w:t>
            </w:r>
            <w:proofErr w:type="spellStart"/>
            <w:r w:rsidRPr="002045F5">
              <w:rPr>
                <w:color w:val="000000"/>
                <w:sz w:val="22"/>
                <w:lang w:val="ru-RU"/>
              </w:rPr>
              <w:t>Сєвєродонецьк</w:t>
            </w:r>
            <w:proofErr w:type="spellEnd"/>
            <w:r w:rsidRPr="002045F5">
              <w:rPr>
                <w:color w:val="000000"/>
                <w:sz w:val="22"/>
                <w:lang w:val="ru-RU"/>
              </w:rPr>
              <w:t xml:space="preserve"> </w:t>
            </w:r>
            <w:proofErr w:type="spellStart"/>
            <w:r w:rsidRPr="002045F5">
              <w:rPr>
                <w:color w:val="000000"/>
                <w:sz w:val="22"/>
                <w:lang w:val="ru-RU"/>
              </w:rPr>
              <w:t>опинилось</w:t>
            </w:r>
            <w:proofErr w:type="spellEnd"/>
            <w:r w:rsidRPr="002045F5">
              <w:rPr>
                <w:color w:val="000000"/>
                <w:sz w:val="22"/>
                <w:lang w:val="ru-RU"/>
              </w:rPr>
              <w:t xml:space="preserve"> в </w:t>
            </w:r>
            <w:proofErr w:type="spellStart"/>
            <w:r w:rsidRPr="002045F5">
              <w:rPr>
                <w:color w:val="000000"/>
                <w:sz w:val="22"/>
                <w:lang w:val="ru-RU"/>
              </w:rPr>
              <w:t>зоні</w:t>
            </w:r>
            <w:proofErr w:type="spellEnd"/>
            <w:r w:rsidRPr="002045F5">
              <w:rPr>
                <w:color w:val="000000"/>
                <w:sz w:val="22"/>
                <w:lang w:val="ru-RU"/>
              </w:rPr>
              <w:t xml:space="preserve"> </w:t>
            </w:r>
            <w:proofErr w:type="spellStart"/>
            <w:r w:rsidRPr="002045F5">
              <w:rPr>
                <w:color w:val="000000"/>
                <w:sz w:val="22"/>
                <w:lang w:val="ru-RU"/>
              </w:rPr>
              <w:t>воєнних</w:t>
            </w:r>
            <w:proofErr w:type="spellEnd"/>
            <w:r w:rsidRPr="002045F5">
              <w:rPr>
                <w:color w:val="000000"/>
                <w:sz w:val="22"/>
                <w:lang w:val="ru-RU"/>
              </w:rPr>
              <w:t xml:space="preserve"> </w:t>
            </w:r>
            <w:proofErr w:type="spellStart"/>
            <w:r w:rsidRPr="002045F5">
              <w:rPr>
                <w:color w:val="000000"/>
                <w:sz w:val="22"/>
                <w:lang w:val="ru-RU"/>
              </w:rPr>
              <w:t>дій</w:t>
            </w:r>
            <w:proofErr w:type="spellEnd"/>
            <w:r w:rsidRPr="002045F5">
              <w:rPr>
                <w:color w:val="000000"/>
                <w:sz w:val="22"/>
                <w:lang w:val="ru-RU"/>
              </w:rPr>
              <w:t xml:space="preserve">. </w:t>
            </w:r>
            <w:proofErr w:type="spellStart"/>
            <w:r w:rsidRPr="002045F5">
              <w:rPr>
                <w:color w:val="000000"/>
                <w:sz w:val="22"/>
                <w:lang w:val="ru-RU"/>
              </w:rPr>
              <w:t>Будівля</w:t>
            </w:r>
            <w:proofErr w:type="spellEnd"/>
            <w:r w:rsidRPr="002045F5">
              <w:rPr>
                <w:color w:val="000000"/>
                <w:sz w:val="22"/>
                <w:lang w:val="ru-RU"/>
              </w:rPr>
              <w:t xml:space="preserve"> </w:t>
            </w:r>
            <w:proofErr w:type="spellStart"/>
            <w:r w:rsidRPr="002045F5">
              <w:rPr>
                <w:color w:val="000000"/>
                <w:sz w:val="22"/>
                <w:lang w:val="ru-RU"/>
              </w:rPr>
              <w:t>Ліцею</w:t>
            </w:r>
            <w:proofErr w:type="spellEnd"/>
            <w:r w:rsidRPr="002045F5">
              <w:rPr>
                <w:color w:val="000000"/>
                <w:sz w:val="22"/>
                <w:lang w:val="ru-RU"/>
              </w:rPr>
              <w:t xml:space="preserve"> "ЮВЕНЕС" </w:t>
            </w:r>
            <w:proofErr w:type="spellStart"/>
            <w:r w:rsidRPr="002045F5">
              <w:rPr>
                <w:color w:val="000000"/>
                <w:sz w:val="22"/>
                <w:lang w:val="ru-RU"/>
              </w:rPr>
              <w:t>міста</w:t>
            </w:r>
            <w:proofErr w:type="spellEnd"/>
            <w:r w:rsidRPr="002045F5">
              <w:rPr>
                <w:color w:val="000000"/>
                <w:sz w:val="22"/>
                <w:lang w:val="ru-RU"/>
              </w:rPr>
              <w:t xml:space="preserve"> </w:t>
            </w:r>
            <w:proofErr w:type="spellStart"/>
            <w:r w:rsidRPr="002045F5">
              <w:rPr>
                <w:color w:val="000000"/>
                <w:sz w:val="22"/>
                <w:lang w:val="ru-RU"/>
              </w:rPr>
              <w:t>Сєвєродонецька</w:t>
            </w:r>
            <w:proofErr w:type="spellEnd"/>
            <w:r w:rsidRPr="002045F5">
              <w:rPr>
                <w:color w:val="000000"/>
                <w:sz w:val="22"/>
                <w:lang w:val="ru-RU"/>
              </w:rPr>
              <w:t xml:space="preserve"> </w:t>
            </w:r>
            <w:proofErr w:type="spellStart"/>
            <w:r w:rsidRPr="002045F5">
              <w:rPr>
                <w:color w:val="000000"/>
                <w:sz w:val="22"/>
                <w:lang w:val="ru-RU"/>
              </w:rPr>
              <w:t>Луганської</w:t>
            </w:r>
            <w:proofErr w:type="spellEnd"/>
            <w:r w:rsidRPr="002045F5">
              <w:rPr>
                <w:color w:val="000000"/>
                <w:sz w:val="22"/>
                <w:lang w:val="ru-RU"/>
              </w:rPr>
              <w:t xml:space="preserve"> </w:t>
            </w:r>
            <w:proofErr w:type="spellStart"/>
            <w:r w:rsidRPr="002045F5">
              <w:rPr>
                <w:color w:val="000000"/>
                <w:sz w:val="22"/>
                <w:lang w:val="ru-RU"/>
              </w:rPr>
              <w:t>області</w:t>
            </w:r>
            <w:proofErr w:type="spellEnd"/>
            <w:r w:rsidRPr="002045F5">
              <w:rPr>
                <w:color w:val="000000"/>
                <w:sz w:val="22"/>
                <w:lang w:val="ru-RU"/>
              </w:rPr>
              <w:t xml:space="preserve"> </w:t>
            </w:r>
            <w:proofErr w:type="spellStart"/>
            <w:r w:rsidRPr="002045F5">
              <w:rPr>
                <w:color w:val="000000"/>
                <w:sz w:val="22"/>
                <w:lang w:val="ru-RU"/>
              </w:rPr>
              <w:t>зазнала</w:t>
            </w:r>
            <w:proofErr w:type="spellEnd"/>
            <w:r w:rsidRPr="002045F5">
              <w:rPr>
                <w:color w:val="000000"/>
                <w:sz w:val="22"/>
                <w:lang w:val="ru-RU"/>
              </w:rPr>
              <w:t xml:space="preserve"> таких </w:t>
            </w:r>
            <w:proofErr w:type="spellStart"/>
            <w:r w:rsidRPr="002045F5">
              <w:rPr>
                <w:color w:val="000000"/>
                <w:sz w:val="22"/>
                <w:lang w:val="ru-RU"/>
              </w:rPr>
              <w:t>руйнувань</w:t>
            </w:r>
            <w:proofErr w:type="spellEnd"/>
            <w:r w:rsidRPr="002045F5">
              <w:rPr>
                <w:color w:val="000000"/>
                <w:sz w:val="22"/>
                <w:lang w:val="ru-RU"/>
              </w:rPr>
              <w:t xml:space="preserve">: три </w:t>
            </w:r>
            <w:proofErr w:type="spellStart"/>
            <w:r w:rsidRPr="002045F5">
              <w:rPr>
                <w:color w:val="000000"/>
                <w:sz w:val="22"/>
                <w:lang w:val="ru-RU"/>
              </w:rPr>
              <w:t>влучання</w:t>
            </w:r>
            <w:proofErr w:type="spellEnd"/>
            <w:r w:rsidRPr="002045F5">
              <w:rPr>
                <w:color w:val="000000"/>
                <w:sz w:val="22"/>
                <w:lang w:val="ru-RU"/>
              </w:rPr>
              <w:t xml:space="preserve"> ракетами у </w:t>
            </w:r>
            <w:proofErr w:type="spellStart"/>
            <w:r w:rsidRPr="002045F5">
              <w:rPr>
                <w:color w:val="000000"/>
                <w:sz w:val="22"/>
                <w:lang w:val="ru-RU"/>
              </w:rPr>
              <w:t>дах</w:t>
            </w:r>
            <w:proofErr w:type="spellEnd"/>
            <w:r w:rsidRPr="002045F5">
              <w:rPr>
                <w:color w:val="000000"/>
                <w:sz w:val="22"/>
                <w:lang w:val="ru-RU"/>
              </w:rPr>
              <w:t xml:space="preserve">, </w:t>
            </w:r>
            <w:proofErr w:type="spellStart"/>
            <w:r w:rsidRPr="002045F5">
              <w:rPr>
                <w:color w:val="000000"/>
                <w:sz w:val="22"/>
                <w:lang w:val="ru-RU"/>
              </w:rPr>
              <w:t>наслідками</w:t>
            </w:r>
            <w:proofErr w:type="spellEnd"/>
            <w:r w:rsidRPr="002045F5">
              <w:rPr>
                <w:color w:val="000000"/>
                <w:sz w:val="22"/>
                <w:lang w:val="ru-RU"/>
              </w:rPr>
              <w:t xml:space="preserve"> </w:t>
            </w:r>
            <w:proofErr w:type="spellStart"/>
            <w:r w:rsidRPr="002045F5">
              <w:rPr>
                <w:color w:val="000000"/>
                <w:sz w:val="22"/>
                <w:lang w:val="ru-RU"/>
              </w:rPr>
              <w:t>яких</w:t>
            </w:r>
            <w:proofErr w:type="spellEnd"/>
            <w:r w:rsidRPr="002045F5">
              <w:rPr>
                <w:color w:val="000000"/>
                <w:sz w:val="22"/>
                <w:lang w:val="ru-RU"/>
              </w:rPr>
              <w:t xml:space="preserve"> </w:t>
            </w:r>
            <w:proofErr w:type="spellStart"/>
            <w:r w:rsidRPr="002045F5">
              <w:rPr>
                <w:color w:val="000000"/>
                <w:sz w:val="22"/>
                <w:lang w:val="ru-RU"/>
              </w:rPr>
              <w:t>було</w:t>
            </w:r>
            <w:proofErr w:type="spellEnd"/>
            <w:r w:rsidRPr="002045F5">
              <w:rPr>
                <w:color w:val="000000"/>
                <w:sz w:val="22"/>
                <w:lang w:val="ru-RU"/>
              </w:rPr>
              <w:t xml:space="preserve"> </w:t>
            </w:r>
            <w:proofErr w:type="spellStart"/>
            <w:r w:rsidRPr="002045F5">
              <w:rPr>
                <w:color w:val="000000"/>
                <w:sz w:val="22"/>
                <w:lang w:val="ru-RU"/>
              </w:rPr>
              <w:t>пошкодження</w:t>
            </w:r>
            <w:proofErr w:type="spellEnd"/>
            <w:r w:rsidRPr="002045F5">
              <w:rPr>
                <w:color w:val="000000"/>
                <w:sz w:val="22"/>
                <w:lang w:val="ru-RU"/>
              </w:rPr>
              <w:t xml:space="preserve"> </w:t>
            </w:r>
            <w:proofErr w:type="spellStart"/>
            <w:r w:rsidRPr="002045F5">
              <w:rPr>
                <w:color w:val="000000"/>
                <w:sz w:val="22"/>
                <w:lang w:val="ru-RU"/>
              </w:rPr>
              <w:t>капітальних</w:t>
            </w:r>
            <w:proofErr w:type="spellEnd"/>
            <w:r w:rsidRPr="002045F5">
              <w:rPr>
                <w:color w:val="000000"/>
                <w:sz w:val="22"/>
                <w:lang w:val="ru-RU"/>
              </w:rPr>
              <w:t xml:space="preserve"> та </w:t>
            </w:r>
            <w:proofErr w:type="spellStart"/>
            <w:r w:rsidRPr="002045F5">
              <w:rPr>
                <w:color w:val="000000"/>
                <w:sz w:val="22"/>
                <w:lang w:val="ru-RU"/>
              </w:rPr>
              <w:t>інших</w:t>
            </w:r>
            <w:proofErr w:type="spellEnd"/>
            <w:r w:rsidRPr="002045F5">
              <w:rPr>
                <w:color w:val="000000"/>
                <w:sz w:val="22"/>
                <w:lang w:val="ru-RU"/>
              </w:rPr>
              <w:t xml:space="preserve"> </w:t>
            </w:r>
            <w:proofErr w:type="spellStart"/>
            <w:r w:rsidRPr="002045F5">
              <w:rPr>
                <w:color w:val="000000"/>
                <w:sz w:val="22"/>
                <w:lang w:val="ru-RU"/>
              </w:rPr>
              <w:t>внутрішніх</w:t>
            </w:r>
            <w:proofErr w:type="spellEnd"/>
            <w:r w:rsidRPr="002045F5">
              <w:rPr>
                <w:color w:val="000000"/>
                <w:sz w:val="22"/>
                <w:lang w:val="ru-RU"/>
              </w:rPr>
              <w:t xml:space="preserve"> </w:t>
            </w:r>
            <w:proofErr w:type="spellStart"/>
            <w:r w:rsidRPr="002045F5">
              <w:rPr>
                <w:color w:val="000000"/>
                <w:sz w:val="22"/>
                <w:lang w:val="ru-RU"/>
              </w:rPr>
              <w:t>стін</w:t>
            </w:r>
            <w:proofErr w:type="spellEnd"/>
            <w:r w:rsidRPr="002045F5">
              <w:rPr>
                <w:color w:val="000000"/>
                <w:sz w:val="22"/>
                <w:lang w:val="ru-RU"/>
              </w:rPr>
              <w:t xml:space="preserve">; </w:t>
            </w:r>
            <w:proofErr w:type="spellStart"/>
            <w:r w:rsidRPr="002045F5">
              <w:rPr>
                <w:color w:val="000000"/>
                <w:sz w:val="22"/>
                <w:lang w:val="ru-RU"/>
              </w:rPr>
              <w:t>влучання</w:t>
            </w:r>
            <w:proofErr w:type="spellEnd"/>
            <w:r w:rsidRPr="002045F5">
              <w:rPr>
                <w:color w:val="000000"/>
                <w:sz w:val="22"/>
                <w:lang w:val="ru-RU"/>
              </w:rPr>
              <w:t xml:space="preserve"> у </w:t>
            </w:r>
            <w:proofErr w:type="spellStart"/>
            <w:r w:rsidRPr="002045F5">
              <w:rPr>
                <w:color w:val="000000"/>
                <w:sz w:val="22"/>
                <w:lang w:val="ru-RU"/>
              </w:rPr>
              <w:t>стіну</w:t>
            </w:r>
            <w:proofErr w:type="spellEnd"/>
            <w:r w:rsidRPr="002045F5">
              <w:rPr>
                <w:color w:val="000000"/>
                <w:sz w:val="22"/>
                <w:lang w:val="ru-RU"/>
              </w:rPr>
              <w:t xml:space="preserve"> </w:t>
            </w:r>
            <w:proofErr w:type="spellStart"/>
            <w:r w:rsidRPr="002045F5">
              <w:rPr>
                <w:color w:val="000000"/>
                <w:sz w:val="22"/>
                <w:lang w:val="ru-RU"/>
              </w:rPr>
              <w:t>шкільного</w:t>
            </w:r>
            <w:proofErr w:type="spellEnd"/>
            <w:r w:rsidRPr="002045F5">
              <w:rPr>
                <w:color w:val="000000"/>
                <w:sz w:val="22"/>
                <w:lang w:val="ru-RU"/>
              </w:rPr>
              <w:t xml:space="preserve"> </w:t>
            </w:r>
            <w:proofErr w:type="spellStart"/>
            <w:r w:rsidRPr="002045F5">
              <w:rPr>
                <w:color w:val="000000"/>
                <w:sz w:val="22"/>
                <w:lang w:val="ru-RU"/>
              </w:rPr>
              <w:t>кабінету</w:t>
            </w:r>
            <w:proofErr w:type="spellEnd"/>
            <w:r w:rsidRPr="002045F5">
              <w:rPr>
                <w:color w:val="000000"/>
                <w:sz w:val="22"/>
                <w:lang w:val="ru-RU"/>
              </w:rPr>
              <w:t xml:space="preserve"> другого поверху </w:t>
            </w:r>
            <w:proofErr w:type="spellStart"/>
            <w:r w:rsidRPr="002045F5">
              <w:rPr>
                <w:color w:val="000000"/>
                <w:sz w:val="22"/>
                <w:lang w:val="ru-RU"/>
              </w:rPr>
              <w:t>початкової</w:t>
            </w:r>
            <w:proofErr w:type="spellEnd"/>
            <w:r w:rsidRPr="002045F5">
              <w:rPr>
                <w:color w:val="000000"/>
                <w:sz w:val="22"/>
                <w:lang w:val="ru-RU"/>
              </w:rPr>
              <w:t xml:space="preserve"> </w:t>
            </w:r>
            <w:proofErr w:type="spellStart"/>
            <w:r w:rsidRPr="002045F5">
              <w:rPr>
                <w:color w:val="000000"/>
                <w:sz w:val="22"/>
                <w:lang w:val="ru-RU"/>
              </w:rPr>
              <w:t>школи</w:t>
            </w:r>
            <w:proofErr w:type="spellEnd"/>
            <w:r w:rsidRPr="002045F5">
              <w:rPr>
                <w:color w:val="000000"/>
                <w:sz w:val="22"/>
                <w:lang w:val="ru-RU"/>
              </w:rPr>
              <w:t xml:space="preserve"> </w:t>
            </w:r>
            <w:proofErr w:type="spellStart"/>
            <w:r w:rsidRPr="002045F5">
              <w:rPr>
                <w:color w:val="000000"/>
                <w:sz w:val="22"/>
                <w:lang w:val="ru-RU"/>
              </w:rPr>
              <w:t>зі</w:t>
            </w:r>
            <w:proofErr w:type="spellEnd"/>
            <w:r w:rsidRPr="002045F5">
              <w:rPr>
                <w:color w:val="000000"/>
                <w:sz w:val="22"/>
                <w:lang w:val="ru-RU"/>
              </w:rPr>
              <w:t xml:space="preserve"> </w:t>
            </w:r>
            <w:proofErr w:type="spellStart"/>
            <w:r w:rsidRPr="002045F5">
              <w:rPr>
                <w:color w:val="000000"/>
                <w:sz w:val="22"/>
                <w:lang w:val="ru-RU"/>
              </w:rPr>
              <w:t>сторони</w:t>
            </w:r>
            <w:proofErr w:type="spellEnd"/>
            <w:r w:rsidRPr="002045F5">
              <w:rPr>
                <w:color w:val="000000"/>
                <w:sz w:val="22"/>
                <w:lang w:val="ru-RU"/>
              </w:rPr>
              <w:t xml:space="preserve"> </w:t>
            </w:r>
            <w:proofErr w:type="spellStart"/>
            <w:r w:rsidRPr="002045F5">
              <w:rPr>
                <w:color w:val="000000"/>
                <w:sz w:val="22"/>
                <w:lang w:val="ru-RU"/>
              </w:rPr>
              <w:t>вулиці</w:t>
            </w:r>
            <w:proofErr w:type="spellEnd"/>
            <w:r w:rsidRPr="002045F5">
              <w:rPr>
                <w:color w:val="000000"/>
                <w:sz w:val="22"/>
                <w:lang w:val="ru-RU"/>
              </w:rPr>
              <w:t xml:space="preserve"> Курчатова; </w:t>
            </w:r>
            <w:proofErr w:type="spellStart"/>
            <w:r w:rsidRPr="002045F5">
              <w:rPr>
                <w:color w:val="000000"/>
                <w:sz w:val="22"/>
                <w:lang w:val="ru-RU"/>
              </w:rPr>
              <w:t>руйнування</w:t>
            </w:r>
            <w:proofErr w:type="spellEnd"/>
            <w:r w:rsidRPr="002045F5">
              <w:rPr>
                <w:color w:val="000000"/>
                <w:sz w:val="22"/>
                <w:lang w:val="ru-RU"/>
              </w:rPr>
              <w:t xml:space="preserve"> ганку входу </w:t>
            </w:r>
            <w:proofErr w:type="gramStart"/>
            <w:r w:rsidRPr="002045F5">
              <w:rPr>
                <w:color w:val="000000"/>
                <w:sz w:val="22"/>
                <w:lang w:val="ru-RU"/>
              </w:rPr>
              <w:t>до корпусу</w:t>
            </w:r>
            <w:proofErr w:type="gramEnd"/>
            <w:r w:rsidRPr="002045F5">
              <w:rPr>
                <w:color w:val="000000"/>
                <w:sz w:val="22"/>
                <w:lang w:val="ru-RU"/>
              </w:rPr>
              <w:t xml:space="preserve"> </w:t>
            </w:r>
            <w:proofErr w:type="spellStart"/>
            <w:r w:rsidRPr="002045F5">
              <w:rPr>
                <w:color w:val="000000"/>
                <w:sz w:val="22"/>
                <w:lang w:val="ru-RU"/>
              </w:rPr>
              <w:t>початкових</w:t>
            </w:r>
            <w:proofErr w:type="spellEnd"/>
            <w:r w:rsidRPr="002045F5">
              <w:rPr>
                <w:color w:val="000000"/>
                <w:sz w:val="22"/>
                <w:lang w:val="ru-RU"/>
              </w:rPr>
              <w:t xml:space="preserve"> </w:t>
            </w:r>
            <w:proofErr w:type="spellStart"/>
            <w:r w:rsidRPr="002045F5">
              <w:rPr>
                <w:color w:val="000000"/>
                <w:sz w:val="22"/>
                <w:lang w:val="ru-RU"/>
              </w:rPr>
              <w:t>класів</w:t>
            </w:r>
            <w:proofErr w:type="spellEnd"/>
            <w:r w:rsidRPr="002045F5">
              <w:rPr>
                <w:color w:val="000000"/>
                <w:sz w:val="22"/>
                <w:lang w:val="ru-RU"/>
              </w:rPr>
              <w:t xml:space="preserve">; </w:t>
            </w:r>
            <w:proofErr w:type="spellStart"/>
            <w:r w:rsidRPr="002045F5">
              <w:rPr>
                <w:color w:val="000000"/>
                <w:sz w:val="22"/>
                <w:lang w:val="ru-RU"/>
              </w:rPr>
              <w:t>пошкодження</w:t>
            </w:r>
            <w:proofErr w:type="spellEnd"/>
            <w:r w:rsidRPr="002045F5">
              <w:rPr>
                <w:color w:val="000000"/>
                <w:sz w:val="22"/>
                <w:lang w:val="ru-RU"/>
              </w:rPr>
              <w:t xml:space="preserve"> </w:t>
            </w:r>
            <w:proofErr w:type="spellStart"/>
            <w:r w:rsidRPr="002045F5">
              <w:rPr>
                <w:color w:val="000000"/>
                <w:sz w:val="22"/>
                <w:lang w:val="ru-RU"/>
              </w:rPr>
              <w:t>більшості</w:t>
            </w:r>
            <w:proofErr w:type="spellEnd"/>
            <w:r w:rsidRPr="002045F5">
              <w:rPr>
                <w:color w:val="000000"/>
                <w:sz w:val="22"/>
                <w:lang w:val="ru-RU"/>
              </w:rPr>
              <w:t xml:space="preserve"> </w:t>
            </w:r>
            <w:proofErr w:type="spellStart"/>
            <w:r w:rsidRPr="002045F5">
              <w:rPr>
                <w:color w:val="000000"/>
                <w:sz w:val="22"/>
                <w:lang w:val="ru-RU"/>
              </w:rPr>
              <w:t>металопластикових</w:t>
            </w:r>
            <w:proofErr w:type="spellEnd"/>
            <w:r w:rsidRPr="002045F5">
              <w:rPr>
                <w:color w:val="000000"/>
                <w:sz w:val="22"/>
                <w:lang w:val="ru-RU"/>
              </w:rPr>
              <w:t xml:space="preserve"> </w:t>
            </w:r>
            <w:proofErr w:type="spellStart"/>
            <w:r w:rsidRPr="002045F5">
              <w:rPr>
                <w:color w:val="000000"/>
                <w:sz w:val="22"/>
                <w:lang w:val="ru-RU"/>
              </w:rPr>
              <w:t>вікон</w:t>
            </w:r>
            <w:proofErr w:type="spellEnd"/>
            <w:r w:rsidRPr="002045F5">
              <w:rPr>
                <w:color w:val="000000"/>
                <w:sz w:val="22"/>
                <w:lang w:val="ru-RU"/>
              </w:rPr>
              <w:t xml:space="preserve"> </w:t>
            </w:r>
            <w:proofErr w:type="spellStart"/>
            <w:r w:rsidRPr="002045F5">
              <w:rPr>
                <w:color w:val="000000"/>
                <w:sz w:val="22"/>
                <w:lang w:val="ru-RU"/>
              </w:rPr>
              <w:t>усіх</w:t>
            </w:r>
            <w:proofErr w:type="spellEnd"/>
            <w:r w:rsidRPr="002045F5">
              <w:rPr>
                <w:color w:val="000000"/>
                <w:sz w:val="22"/>
                <w:lang w:val="ru-RU"/>
              </w:rPr>
              <w:t xml:space="preserve"> </w:t>
            </w:r>
            <w:proofErr w:type="spellStart"/>
            <w:r w:rsidRPr="002045F5">
              <w:rPr>
                <w:color w:val="000000"/>
                <w:sz w:val="22"/>
                <w:lang w:val="ru-RU"/>
              </w:rPr>
              <w:t>корпусів</w:t>
            </w:r>
            <w:proofErr w:type="spellEnd"/>
            <w:r w:rsidRPr="002045F5">
              <w:rPr>
                <w:color w:val="000000"/>
                <w:sz w:val="22"/>
                <w:lang w:val="ru-RU"/>
              </w:rPr>
              <w:t xml:space="preserve"> </w:t>
            </w:r>
            <w:proofErr w:type="spellStart"/>
            <w:r w:rsidRPr="002045F5">
              <w:rPr>
                <w:color w:val="000000"/>
                <w:sz w:val="22"/>
                <w:lang w:val="ru-RU"/>
              </w:rPr>
              <w:t>школи</w:t>
            </w:r>
            <w:proofErr w:type="spellEnd"/>
            <w:r w:rsidRPr="002045F5">
              <w:rPr>
                <w:color w:val="000000"/>
                <w:sz w:val="22"/>
                <w:lang w:val="ru-RU"/>
              </w:rPr>
              <w:t xml:space="preserve">. </w:t>
            </w:r>
            <w:proofErr w:type="spellStart"/>
            <w:r w:rsidR="00F306AB" w:rsidRPr="002045F5">
              <w:rPr>
                <w:color w:val="000000"/>
                <w:sz w:val="22"/>
                <w:lang w:val="ru-RU"/>
              </w:rPr>
              <w:t>Б</w:t>
            </w:r>
            <w:r w:rsidRPr="002045F5">
              <w:rPr>
                <w:color w:val="000000"/>
                <w:sz w:val="22"/>
                <w:lang w:val="ru-RU"/>
              </w:rPr>
              <w:t>удівля</w:t>
            </w:r>
            <w:proofErr w:type="spellEnd"/>
            <w:r w:rsidRPr="002045F5">
              <w:rPr>
                <w:color w:val="000000"/>
                <w:sz w:val="22"/>
                <w:lang w:val="ru-RU"/>
              </w:rPr>
              <w:t xml:space="preserve"> </w:t>
            </w:r>
            <w:proofErr w:type="spellStart"/>
            <w:r w:rsidRPr="002045F5">
              <w:rPr>
                <w:color w:val="000000"/>
                <w:sz w:val="22"/>
                <w:lang w:val="ru-RU"/>
              </w:rPr>
              <w:t>зазнала</w:t>
            </w:r>
            <w:proofErr w:type="spellEnd"/>
            <w:r w:rsidRPr="002045F5">
              <w:rPr>
                <w:color w:val="000000"/>
                <w:sz w:val="22"/>
                <w:lang w:val="ru-RU"/>
              </w:rPr>
              <w:t xml:space="preserve"> </w:t>
            </w:r>
            <w:proofErr w:type="spellStart"/>
            <w:r w:rsidRPr="002045F5">
              <w:rPr>
                <w:color w:val="000000"/>
                <w:sz w:val="22"/>
                <w:lang w:val="ru-RU"/>
              </w:rPr>
              <w:t>розмороження</w:t>
            </w:r>
            <w:proofErr w:type="spellEnd"/>
            <w:r w:rsidRPr="002045F5">
              <w:rPr>
                <w:color w:val="000000"/>
                <w:sz w:val="22"/>
                <w:lang w:val="ru-RU"/>
              </w:rPr>
              <w:t xml:space="preserve"> </w:t>
            </w:r>
            <w:proofErr w:type="spellStart"/>
            <w:r w:rsidRPr="002045F5">
              <w:rPr>
                <w:color w:val="000000"/>
                <w:sz w:val="22"/>
                <w:lang w:val="ru-RU"/>
              </w:rPr>
              <w:t>системи</w:t>
            </w:r>
            <w:proofErr w:type="spellEnd"/>
            <w:r w:rsidRPr="002045F5">
              <w:rPr>
                <w:color w:val="000000"/>
                <w:sz w:val="22"/>
                <w:lang w:val="ru-RU"/>
              </w:rPr>
              <w:t xml:space="preserve"> </w:t>
            </w:r>
            <w:proofErr w:type="spellStart"/>
            <w:r w:rsidRPr="002045F5">
              <w:rPr>
                <w:color w:val="000000"/>
                <w:sz w:val="22"/>
                <w:lang w:val="ru-RU"/>
              </w:rPr>
              <w:t>теплопостачання</w:t>
            </w:r>
            <w:proofErr w:type="spellEnd"/>
            <w:r w:rsidRPr="002045F5">
              <w:rPr>
                <w:color w:val="000000"/>
                <w:sz w:val="22"/>
                <w:lang w:val="ru-RU"/>
              </w:rPr>
              <w:t xml:space="preserve">, </w:t>
            </w:r>
            <w:proofErr w:type="spellStart"/>
            <w:r w:rsidRPr="002045F5">
              <w:rPr>
                <w:color w:val="000000"/>
                <w:sz w:val="22"/>
                <w:lang w:val="ru-RU"/>
              </w:rPr>
              <w:t>що</w:t>
            </w:r>
            <w:proofErr w:type="spellEnd"/>
            <w:r w:rsidRPr="002045F5">
              <w:rPr>
                <w:color w:val="000000"/>
                <w:sz w:val="22"/>
                <w:lang w:val="ru-RU"/>
              </w:rPr>
              <w:t xml:space="preserve"> </w:t>
            </w:r>
            <w:proofErr w:type="spellStart"/>
            <w:r w:rsidRPr="002045F5">
              <w:rPr>
                <w:color w:val="000000"/>
                <w:sz w:val="22"/>
                <w:lang w:val="ru-RU"/>
              </w:rPr>
              <w:t>призвело</w:t>
            </w:r>
            <w:proofErr w:type="spellEnd"/>
            <w:r w:rsidRPr="002045F5">
              <w:rPr>
                <w:color w:val="000000"/>
                <w:sz w:val="22"/>
                <w:lang w:val="ru-RU"/>
              </w:rPr>
              <w:t xml:space="preserve"> до </w:t>
            </w:r>
            <w:proofErr w:type="spellStart"/>
            <w:r w:rsidRPr="002045F5">
              <w:rPr>
                <w:color w:val="000000"/>
                <w:sz w:val="22"/>
                <w:lang w:val="ru-RU"/>
              </w:rPr>
              <w:t>псування</w:t>
            </w:r>
            <w:proofErr w:type="spellEnd"/>
            <w:r w:rsidRPr="002045F5">
              <w:rPr>
                <w:color w:val="000000"/>
                <w:sz w:val="22"/>
                <w:lang w:val="ru-RU"/>
              </w:rPr>
              <w:t xml:space="preserve"> </w:t>
            </w:r>
            <w:proofErr w:type="spellStart"/>
            <w:r w:rsidRPr="002045F5">
              <w:rPr>
                <w:color w:val="000000"/>
                <w:sz w:val="22"/>
                <w:lang w:val="ru-RU"/>
              </w:rPr>
              <w:t>покриття</w:t>
            </w:r>
            <w:proofErr w:type="spellEnd"/>
            <w:r w:rsidRPr="002045F5">
              <w:rPr>
                <w:color w:val="000000"/>
                <w:sz w:val="22"/>
                <w:lang w:val="ru-RU"/>
              </w:rPr>
              <w:t xml:space="preserve"> </w:t>
            </w:r>
            <w:proofErr w:type="spellStart"/>
            <w:r w:rsidRPr="002045F5">
              <w:rPr>
                <w:color w:val="000000"/>
                <w:sz w:val="22"/>
                <w:lang w:val="ru-RU"/>
              </w:rPr>
              <w:t>лінолеумом</w:t>
            </w:r>
            <w:proofErr w:type="spellEnd"/>
            <w:r w:rsidRPr="002045F5">
              <w:rPr>
                <w:color w:val="000000"/>
                <w:sz w:val="22"/>
                <w:lang w:val="ru-RU"/>
              </w:rPr>
              <w:t xml:space="preserve"> </w:t>
            </w:r>
            <w:proofErr w:type="spellStart"/>
            <w:r w:rsidRPr="002045F5">
              <w:rPr>
                <w:color w:val="000000"/>
                <w:sz w:val="22"/>
                <w:lang w:val="ru-RU"/>
              </w:rPr>
              <w:t>підлоги</w:t>
            </w:r>
            <w:proofErr w:type="spellEnd"/>
            <w:r w:rsidRPr="002045F5">
              <w:rPr>
                <w:color w:val="000000"/>
                <w:sz w:val="22"/>
                <w:lang w:val="ru-RU"/>
              </w:rPr>
              <w:t xml:space="preserve"> в </w:t>
            </w:r>
            <w:proofErr w:type="spellStart"/>
            <w:r w:rsidRPr="002045F5">
              <w:rPr>
                <w:color w:val="000000"/>
                <w:sz w:val="22"/>
                <w:lang w:val="ru-RU"/>
              </w:rPr>
              <w:t>кабінетах</w:t>
            </w:r>
            <w:proofErr w:type="spellEnd"/>
            <w:r w:rsidRPr="002045F5">
              <w:rPr>
                <w:color w:val="000000"/>
                <w:sz w:val="22"/>
                <w:lang w:val="ru-RU"/>
              </w:rPr>
              <w:t xml:space="preserve"> і коридорах. Як </w:t>
            </w:r>
            <w:proofErr w:type="spellStart"/>
            <w:r w:rsidRPr="002045F5">
              <w:rPr>
                <w:color w:val="000000"/>
                <w:sz w:val="22"/>
                <w:lang w:val="ru-RU"/>
              </w:rPr>
              <w:t>наслідок</w:t>
            </w:r>
            <w:proofErr w:type="spellEnd"/>
            <w:r w:rsidRPr="002045F5">
              <w:rPr>
                <w:color w:val="000000"/>
                <w:sz w:val="22"/>
                <w:lang w:val="ru-RU"/>
              </w:rPr>
              <w:t xml:space="preserve"> – </w:t>
            </w:r>
            <w:proofErr w:type="spellStart"/>
            <w:r w:rsidRPr="002045F5">
              <w:rPr>
                <w:color w:val="000000"/>
                <w:sz w:val="22"/>
                <w:lang w:val="ru-RU"/>
              </w:rPr>
              <w:t>пошкодження</w:t>
            </w:r>
            <w:proofErr w:type="spellEnd"/>
            <w:r w:rsidRPr="002045F5">
              <w:rPr>
                <w:color w:val="000000"/>
                <w:sz w:val="22"/>
                <w:lang w:val="ru-RU"/>
              </w:rPr>
              <w:t xml:space="preserve"> </w:t>
            </w:r>
            <w:proofErr w:type="spellStart"/>
            <w:r w:rsidRPr="002045F5">
              <w:rPr>
                <w:color w:val="000000"/>
                <w:sz w:val="22"/>
                <w:lang w:val="ru-RU"/>
              </w:rPr>
              <w:t>системи</w:t>
            </w:r>
            <w:proofErr w:type="spellEnd"/>
            <w:r w:rsidRPr="002045F5">
              <w:rPr>
                <w:color w:val="000000"/>
                <w:sz w:val="22"/>
                <w:lang w:val="ru-RU"/>
              </w:rPr>
              <w:t xml:space="preserve"> </w:t>
            </w:r>
            <w:proofErr w:type="spellStart"/>
            <w:r w:rsidRPr="002045F5">
              <w:rPr>
                <w:color w:val="000000"/>
                <w:sz w:val="22"/>
                <w:lang w:val="ru-RU"/>
              </w:rPr>
              <w:t>водопостачання</w:t>
            </w:r>
            <w:proofErr w:type="spellEnd"/>
            <w:r w:rsidRPr="002045F5">
              <w:rPr>
                <w:color w:val="000000"/>
                <w:sz w:val="22"/>
                <w:lang w:val="ru-RU"/>
              </w:rPr>
              <w:t xml:space="preserve">, </w:t>
            </w:r>
            <w:proofErr w:type="spellStart"/>
            <w:r w:rsidRPr="002045F5">
              <w:rPr>
                <w:color w:val="000000"/>
                <w:sz w:val="22"/>
                <w:lang w:val="ru-RU"/>
              </w:rPr>
              <w:t>електрозабезпечення</w:t>
            </w:r>
            <w:proofErr w:type="spellEnd"/>
            <w:r w:rsidRPr="002045F5">
              <w:rPr>
                <w:color w:val="000000"/>
                <w:sz w:val="22"/>
                <w:lang w:val="ru-RU"/>
              </w:rPr>
              <w:t xml:space="preserve"> та </w:t>
            </w:r>
            <w:proofErr w:type="spellStart"/>
            <w:r w:rsidRPr="002045F5">
              <w:rPr>
                <w:color w:val="000000"/>
                <w:sz w:val="22"/>
                <w:lang w:val="ru-RU"/>
              </w:rPr>
              <w:t>інтернет-комунікацій</w:t>
            </w:r>
            <w:proofErr w:type="spellEnd"/>
            <w:r w:rsidRPr="002045F5">
              <w:rPr>
                <w:color w:val="000000"/>
                <w:sz w:val="22"/>
                <w:lang w:val="ru-RU"/>
              </w:rPr>
              <w:t xml:space="preserve">, </w:t>
            </w:r>
            <w:proofErr w:type="spellStart"/>
            <w:r w:rsidRPr="002045F5">
              <w:rPr>
                <w:color w:val="000000"/>
                <w:sz w:val="22"/>
                <w:lang w:val="ru-RU"/>
              </w:rPr>
              <w:t>які</w:t>
            </w:r>
            <w:proofErr w:type="spellEnd"/>
            <w:r w:rsidRPr="002045F5">
              <w:rPr>
                <w:color w:val="000000"/>
                <w:sz w:val="22"/>
                <w:lang w:val="ru-RU"/>
              </w:rPr>
              <w:t xml:space="preserve"> </w:t>
            </w:r>
            <w:proofErr w:type="spellStart"/>
            <w:r w:rsidRPr="002045F5">
              <w:rPr>
                <w:color w:val="000000"/>
                <w:sz w:val="22"/>
                <w:lang w:val="ru-RU"/>
              </w:rPr>
              <w:t>були</w:t>
            </w:r>
            <w:proofErr w:type="spellEnd"/>
            <w:r w:rsidRPr="002045F5">
              <w:rPr>
                <w:color w:val="000000"/>
                <w:sz w:val="22"/>
                <w:lang w:val="ru-RU"/>
              </w:rPr>
              <w:t xml:space="preserve"> </w:t>
            </w:r>
            <w:proofErr w:type="spellStart"/>
            <w:r w:rsidRPr="002045F5">
              <w:rPr>
                <w:color w:val="000000"/>
                <w:sz w:val="22"/>
                <w:lang w:val="ru-RU"/>
              </w:rPr>
              <w:t>підведені</w:t>
            </w:r>
            <w:proofErr w:type="spellEnd"/>
            <w:r w:rsidRPr="002045F5">
              <w:rPr>
                <w:color w:val="000000"/>
                <w:sz w:val="22"/>
                <w:lang w:val="ru-RU"/>
              </w:rPr>
              <w:t xml:space="preserve"> в </w:t>
            </w:r>
            <w:proofErr w:type="spellStart"/>
            <w:r w:rsidRPr="002045F5">
              <w:rPr>
                <w:color w:val="000000"/>
                <w:sz w:val="22"/>
                <w:lang w:val="ru-RU"/>
              </w:rPr>
              <w:t>кожний</w:t>
            </w:r>
            <w:proofErr w:type="spellEnd"/>
            <w:r w:rsidRPr="002045F5">
              <w:rPr>
                <w:color w:val="000000"/>
                <w:sz w:val="22"/>
                <w:lang w:val="ru-RU"/>
              </w:rPr>
              <w:t xml:space="preserve"> </w:t>
            </w:r>
            <w:proofErr w:type="spellStart"/>
            <w:r w:rsidRPr="002045F5">
              <w:rPr>
                <w:color w:val="000000"/>
                <w:sz w:val="22"/>
                <w:lang w:val="ru-RU"/>
              </w:rPr>
              <w:t>кабінет</w:t>
            </w:r>
            <w:proofErr w:type="spellEnd"/>
            <w:r w:rsidRPr="002045F5">
              <w:rPr>
                <w:color w:val="000000"/>
                <w:sz w:val="22"/>
                <w:lang w:val="ru-RU"/>
              </w:rPr>
              <w:t xml:space="preserve">. </w:t>
            </w:r>
            <w:proofErr w:type="spellStart"/>
            <w:r w:rsidRPr="002045F5">
              <w:rPr>
                <w:color w:val="000000"/>
                <w:sz w:val="22"/>
                <w:lang w:val="ru-RU"/>
              </w:rPr>
              <w:t>Вільний</w:t>
            </w:r>
            <w:proofErr w:type="spellEnd"/>
            <w:r w:rsidRPr="002045F5">
              <w:rPr>
                <w:color w:val="000000"/>
                <w:sz w:val="22"/>
                <w:lang w:val="ru-RU"/>
              </w:rPr>
              <w:t xml:space="preserve"> доступ в </w:t>
            </w:r>
            <w:proofErr w:type="spellStart"/>
            <w:r w:rsidRPr="002045F5">
              <w:rPr>
                <w:color w:val="000000"/>
                <w:sz w:val="22"/>
                <w:lang w:val="ru-RU"/>
              </w:rPr>
              <w:t>пошкоджену</w:t>
            </w:r>
            <w:proofErr w:type="spellEnd"/>
            <w:r w:rsidRPr="002045F5">
              <w:rPr>
                <w:color w:val="000000"/>
                <w:sz w:val="22"/>
                <w:lang w:val="ru-RU"/>
              </w:rPr>
              <w:t xml:space="preserve"> </w:t>
            </w:r>
            <w:proofErr w:type="spellStart"/>
            <w:r w:rsidRPr="002045F5">
              <w:rPr>
                <w:color w:val="000000"/>
                <w:sz w:val="22"/>
                <w:lang w:val="ru-RU"/>
              </w:rPr>
              <w:t>будівлю</w:t>
            </w:r>
            <w:proofErr w:type="spellEnd"/>
            <w:r w:rsidRPr="002045F5">
              <w:rPr>
                <w:color w:val="000000"/>
                <w:sz w:val="22"/>
                <w:lang w:val="ru-RU"/>
              </w:rPr>
              <w:t xml:space="preserve"> </w:t>
            </w:r>
            <w:proofErr w:type="spellStart"/>
            <w:r w:rsidRPr="002045F5">
              <w:rPr>
                <w:color w:val="000000"/>
                <w:sz w:val="22"/>
                <w:lang w:val="ru-RU"/>
              </w:rPr>
              <w:t>забезпечив</w:t>
            </w:r>
            <w:proofErr w:type="spellEnd"/>
            <w:r w:rsidRPr="002045F5">
              <w:rPr>
                <w:color w:val="000000"/>
                <w:sz w:val="22"/>
                <w:lang w:val="ru-RU"/>
              </w:rPr>
              <w:t xml:space="preserve"> </w:t>
            </w:r>
            <w:proofErr w:type="spellStart"/>
            <w:r w:rsidRPr="002045F5">
              <w:rPr>
                <w:color w:val="000000"/>
                <w:sz w:val="22"/>
                <w:lang w:val="ru-RU"/>
              </w:rPr>
              <w:t>можливість</w:t>
            </w:r>
            <w:proofErr w:type="spellEnd"/>
            <w:r w:rsidRPr="002045F5">
              <w:rPr>
                <w:color w:val="000000"/>
                <w:sz w:val="22"/>
                <w:lang w:val="ru-RU"/>
              </w:rPr>
              <w:t xml:space="preserve"> </w:t>
            </w:r>
            <w:proofErr w:type="spellStart"/>
            <w:r w:rsidRPr="002045F5">
              <w:rPr>
                <w:color w:val="000000"/>
                <w:sz w:val="22"/>
                <w:lang w:val="ru-RU"/>
              </w:rPr>
              <w:t>викрадення</w:t>
            </w:r>
            <w:proofErr w:type="spellEnd"/>
            <w:r w:rsidRPr="002045F5">
              <w:rPr>
                <w:color w:val="000000"/>
                <w:sz w:val="22"/>
                <w:lang w:val="ru-RU"/>
              </w:rPr>
              <w:t xml:space="preserve"> </w:t>
            </w:r>
            <w:proofErr w:type="spellStart"/>
            <w:r w:rsidRPr="002045F5">
              <w:rPr>
                <w:color w:val="000000"/>
                <w:sz w:val="22"/>
                <w:lang w:val="ru-RU"/>
              </w:rPr>
              <w:t>невідомими</w:t>
            </w:r>
            <w:proofErr w:type="spellEnd"/>
            <w:r w:rsidRPr="002045F5">
              <w:rPr>
                <w:color w:val="000000"/>
                <w:sz w:val="22"/>
                <w:lang w:val="ru-RU"/>
              </w:rPr>
              <w:t xml:space="preserve"> особами державного майна. </w:t>
            </w:r>
          </w:p>
        </w:tc>
      </w:tr>
      <w:tr w:rsidR="003B7CFF" w:rsidRPr="002045F5" w:rsidTr="00E824C2">
        <w:trPr>
          <w:trHeight w:val="586"/>
        </w:trPr>
        <w:tc>
          <w:tcPr>
            <w:tcW w:w="2978" w:type="dxa"/>
            <w:shd w:val="clear" w:color="auto" w:fill="C6D9F1" w:themeFill="text2" w:themeFillTint="33"/>
            <w:vAlign w:val="center"/>
            <w:hideMark/>
          </w:tcPr>
          <w:p w:rsidR="003B7CFF" w:rsidRPr="002045F5" w:rsidRDefault="003B7CFF" w:rsidP="001013F3">
            <w:pPr>
              <w:rPr>
                <w:b/>
                <w:color w:val="000000"/>
                <w:sz w:val="22"/>
                <w:lang w:val="ru-RU"/>
              </w:rPr>
            </w:pPr>
            <w:proofErr w:type="spellStart"/>
            <w:r w:rsidRPr="002045F5">
              <w:rPr>
                <w:rFonts w:eastAsia="Calibri"/>
                <w:b/>
                <w:color w:val="000000"/>
                <w:sz w:val="22"/>
                <w:lang w:val="ru-RU"/>
              </w:rPr>
              <w:t>Очікувані</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якісні</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результати</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від</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реалізації</w:t>
            </w:r>
            <w:proofErr w:type="spellEnd"/>
            <w:r w:rsidRPr="002045F5">
              <w:rPr>
                <w:rFonts w:eastAsia="Calibri"/>
                <w:b/>
                <w:color w:val="000000"/>
                <w:sz w:val="22"/>
                <w:lang w:val="ru-RU"/>
              </w:rPr>
              <w:t xml:space="preserve"> проекту</w:t>
            </w:r>
          </w:p>
        </w:tc>
        <w:tc>
          <w:tcPr>
            <w:tcW w:w="6931" w:type="dxa"/>
            <w:gridSpan w:val="8"/>
            <w:shd w:val="clear" w:color="auto" w:fill="auto"/>
            <w:vAlign w:val="center"/>
            <w:hideMark/>
          </w:tcPr>
          <w:p w:rsidR="003B7CFF" w:rsidRPr="002045F5" w:rsidRDefault="003B7CFF" w:rsidP="000303D7">
            <w:pPr>
              <w:pStyle w:val="a7"/>
              <w:numPr>
                <w:ilvl w:val="0"/>
                <w:numId w:val="119"/>
              </w:numPr>
              <w:ind w:left="33" w:firstLine="327"/>
              <w:jc w:val="left"/>
              <w:rPr>
                <w:color w:val="000000"/>
                <w:sz w:val="22"/>
                <w:lang w:val="ru-RU"/>
              </w:rPr>
            </w:pPr>
            <w:proofErr w:type="spellStart"/>
            <w:r w:rsidRPr="002045F5">
              <w:rPr>
                <w:color w:val="000000"/>
                <w:sz w:val="22"/>
                <w:lang w:val="ru-RU"/>
              </w:rPr>
              <w:t>Створення</w:t>
            </w:r>
            <w:proofErr w:type="spellEnd"/>
            <w:r w:rsidRPr="002045F5">
              <w:rPr>
                <w:color w:val="000000"/>
                <w:sz w:val="22"/>
                <w:lang w:val="ru-RU"/>
              </w:rPr>
              <w:t xml:space="preserve"> </w:t>
            </w:r>
            <w:proofErr w:type="spellStart"/>
            <w:r w:rsidRPr="002045F5">
              <w:rPr>
                <w:color w:val="000000"/>
                <w:sz w:val="22"/>
                <w:lang w:val="ru-RU"/>
              </w:rPr>
              <w:t>безпечних</w:t>
            </w:r>
            <w:proofErr w:type="spellEnd"/>
            <w:r w:rsidRPr="002045F5">
              <w:rPr>
                <w:color w:val="000000"/>
                <w:sz w:val="22"/>
                <w:lang w:val="ru-RU"/>
              </w:rPr>
              <w:t xml:space="preserve"> та </w:t>
            </w:r>
            <w:proofErr w:type="spellStart"/>
            <w:r w:rsidRPr="002045F5">
              <w:rPr>
                <w:color w:val="000000"/>
                <w:sz w:val="22"/>
                <w:lang w:val="ru-RU"/>
              </w:rPr>
              <w:t>комфортних</w:t>
            </w:r>
            <w:proofErr w:type="spellEnd"/>
            <w:r w:rsidRPr="002045F5">
              <w:rPr>
                <w:color w:val="000000"/>
                <w:sz w:val="22"/>
                <w:lang w:val="ru-RU"/>
              </w:rPr>
              <w:t xml:space="preserve"> умов для </w:t>
            </w:r>
            <w:proofErr w:type="spellStart"/>
            <w:r w:rsidRPr="002045F5">
              <w:rPr>
                <w:color w:val="000000"/>
                <w:sz w:val="22"/>
                <w:lang w:val="ru-RU"/>
              </w:rPr>
              <w:t>надання</w:t>
            </w:r>
            <w:proofErr w:type="spellEnd"/>
            <w:r w:rsidRPr="002045F5">
              <w:rPr>
                <w:color w:val="000000"/>
                <w:sz w:val="22"/>
                <w:lang w:val="ru-RU"/>
              </w:rPr>
              <w:t xml:space="preserve"> </w:t>
            </w:r>
            <w:proofErr w:type="spellStart"/>
            <w:r w:rsidRPr="002045F5">
              <w:rPr>
                <w:color w:val="000000"/>
                <w:sz w:val="22"/>
                <w:lang w:val="ru-RU"/>
              </w:rPr>
              <w:t>якісних</w:t>
            </w:r>
            <w:proofErr w:type="spellEnd"/>
            <w:r w:rsidRPr="002045F5">
              <w:rPr>
                <w:color w:val="000000"/>
                <w:sz w:val="22"/>
                <w:lang w:val="ru-RU"/>
              </w:rPr>
              <w:t xml:space="preserve"> </w:t>
            </w:r>
            <w:proofErr w:type="spellStart"/>
            <w:r w:rsidRPr="002045F5">
              <w:rPr>
                <w:color w:val="000000"/>
                <w:sz w:val="22"/>
                <w:lang w:val="ru-RU"/>
              </w:rPr>
              <w:t>освітніх</w:t>
            </w:r>
            <w:proofErr w:type="spellEnd"/>
            <w:r w:rsidRPr="002045F5">
              <w:rPr>
                <w:color w:val="000000"/>
                <w:sz w:val="22"/>
                <w:lang w:val="ru-RU"/>
              </w:rPr>
              <w:t xml:space="preserve"> </w:t>
            </w:r>
            <w:proofErr w:type="spellStart"/>
            <w:r w:rsidRPr="002045F5">
              <w:rPr>
                <w:color w:val="000000"/>
                <w:sz w:val="22"/>
                <w:lang w:val="ru-RU"/>
              </w:rPr>
              <w:t>послуг</w:t>
            </w:r>
            <w:proofErr w:type="spellEnd"/>
            <w:r w:rsidRPr="002045F5">
              <w:rPr>
                <w:color w:val="000000"/>
                <w:sz w:val="22"/>
                <w:lang w:val="ru-RU"/>
              </w:rPr>
              <w:t xml:space="preserve">, </w:t>
            </w:r>
            <w:proofErr w:type="spellStart"/>
            <w:r w:rsidRPr="002045F5">
              <w:rPr>
                <w:color w:val="000000"/>
                <w:sz w:val="22"/>
                <w:lang w:val="ru-RU"/>
              </w:rPr>
              <w:t>підвищення</w:t>
            </w:r>
            <w:proofErr w:type="spellEnd"/>
            <w:r w:rsidRPr="002045F5">
              <w:rPr>
                <w:color w:val="000000"/>
                <w:sz w:val="22"/>
                <w:lang w:val="ru-RU"/>
              </w:rPr>
              <w:t xml:space="preserve"> </w:t>
            </w:r>
            <w:proofErr w:type="spellStart"/>
            <w:r w:rsidRPr="002045F5">
              <w:rPr>
                <w:color w:val="000000"/>
                <w:sz w:val="22"/>
                <w:lang w:val="ru-RU"/>
              </w:rPr>
              <w:t>їх</w:t>
            </w:r>
            <w:proofErr w:type="spellEnd"/>
            <w:r w:rsidRPr="002045F5">
              <w:rPr>
                <w:color w:val="000000"/>
                <w:sz w:val="22"/>
                <w:lang w:val="ru-RU"/>
              </w:rPr>
              <w:t xml:space="preserve"> </w:t>
            </w:r>
            <w:proofErr w:type="spellStart"/>
            <w:proofErr w:type="gramStart"/>
            <w:r w:rsidRPr="002045F5">
              <w:rPr>
                <w:color w:val="000000"/>
                <w:sz w:val="22"/>
                <w:lang w:val="ru-RU"/>
              </w:rPr>
              <w:t>рівня</w:t>
            </w:r>
            <w:proofErr w:type="spellEnd"/>
            <w:r w:rsidRPr="002045F5">
              <w:rPr>
                <w:color w:val="000000"/>
                <w:sz w:val="22"/>
                <w:lang w:val="ru-RU"/>
              </w:rPr>
              <w:t xml:space="preserve">,  </w:t>
            </w:r>
            <w:proofErr w:type="spellStart"/>
            <w:r w:rsidRPr="002045F5">
              <w:rPr>
                <w:color w:val="000000"/>
                <w:sz w:val="22"/>
                <w:lang w:val="ru-RU"/>
              </w:rPr>
              <w:t>забезпечення</w:t>
            </w:r>
            <w:proofErr w:type="spellEnd"/>
            <w:proofErr w:type="gramEnd"/>
            <w:r w:rsidRPr="002045F5">
              <w:rPr>
                <w:color w:val="000000"/>
                <w:sz w:val="22"/>
                <w:lang w:val="ru-RU"/>
              </w:rPr>
              <w:t xml:space="preserve"> </w:t>
            </w:r>
            <w:proofErr w:type="spellStart"/>
            <w:r w:rsidRPr="002045F5">
              <w:rPr>
                <w:color w:val="000000"/>
                <w:sz w:val="22"/>
                <w:lang w:val="ru-RU"/>
              </w:rPr>
              <w:t>їх</w:t>
            </w:r>
            <w:proofErr w:type="spellEnd"/>
            <w:r w:rsidRPr="002045F5">
              <w:rPr>
                <w:color w:val="000000"/>
                <w:sz w:val="22"/>
                <w:lang w:val="ru-RU"/>
              </w:rPr>
              <w:t xml:space="preserve"> </w:t>
            </w:r>
            <w:proofErr w:type="spellStart"/>
            <w:r w:rsidRPr="002045F5">
              <w:rPr>
                <w:color w:val="000000"/>
                <w:sz w:val="22"/>
                <w:lang w:val="ru-RU"/>
              </w:rPr>
              <w:t>системності</w:t>
            </w:r>
            <w:proofErr w:type="spellEnd"/>
            <w:r w:rsidRPr="002045F5">
              <w:rPr>
                <w:color w:val="000000"/>
                <w:sz w:val="22"/>
                <w:lang w:val="ru-RU"/>
              </w:rPr>
              <w:t xml:space="preserve"> та </w:t>
            </w:r>
            <w:proofErr w:type="spellStart"/>
            <w:r w:rsidRPr="002045F5">
              <w:rPr>
                <w:color w:val="000000"/>
                <w:sz w:val="22"/>
                <w:lang w:val="ru-RU"/>
              </w:rPr>
              <w:t>безперервності</w:t>
            </w:r>
            <w:proofErr w:type="spellEnd"/>
            <w:r w:rsidRPr="002045F5">
              <w:rPr>
                <w:color w:val="000000"/>
                <w:sz w:val="22"/>
                <w:lang w:val="ru-RU"/>
              </w:rPr>
              <w:t xml:space="preserve"> для  </w:t>
            </w:r>
            <w:proofErr w:type="spellStart"/>
            <w:r w:rsidRPr="002045F5">
              <w:rPr>
                <w:color w:val="000000"/>
                <w:sz w:val="22"/>
                <w:lang w:val="ru-RU"/>
              </w:rPr>
              <w:t>населення</w:t>
            </w:r>
            <w:proofErr w:type="spellEnd"/>
            <w:r w:rsidRPr="002045F5">
              <w:rPr>
                <w:color w:val="000000"/>
                <w:sz w:val="22"/>
                <w:lang w:val="ru-RU"/>
              </w:rPr>
              <w:t xml:space="preserve"> </w:t>
            </w:r>
            <w:proofErr w:type="spellStart"/>
            <w:r w:rsidRPr="002045F5">
              <w:rPr>
                <w:color w:val="000000"/>
                <w:sz w:val="22"/>
                <w:lang w:val="ru-RU"/>
              </w:rPr>
              <w:t>Сєвєродонецької</w:t>
            </w:r>
            <w:proofErr w:type="spellEnd"/>
            <w:r w:rsidRPr="002045F5">
              <w:rPr>
                <w:color w:val="000000"/>
                <w:sz w:val="22"/>
                <w:lang w:val="ru-RU"/>
              </w:rPr>
              <w:t xml:space="preserve"> </w:t>
            </w:r>
            <w:proofErr w:type="spellStart"/>
            <w:r w:rsidRPr="002045F5">
              <w:rPr>
                <w:color w:val="000000"/>
                <w:sz w:val="22"/>
                <w:lang w:val="ru-RU"/>
              </w:rPr>
              <w:t>міської</w:t>
            </w:r>
            <w:proofErr w:type="spellEnd"/>
            <w:r w:rsidRPr="002045F5">
              <w:rPr>
                <w:color w:val="000000"/>
                <w:sz w:val="22"/>
                <w:lang w:val="ru-RU"/>
              </w:rPr>
              <w:t xml:space="preserve"> </w:t>
            </w:r>
            <w:proofErr w:type="spellStart"/>
            <w:r w:rsidRPr="002045F5">
              <w:rPr>
                <w:color w:val="000000"/>
                <w:sz w:val="22"/>
                <w:lang w:val="ru-RU"/>
              </w:rPr>
              <w:t>територіальної</w:t>
            </w:r>
            <w:proofErr w:type="spellEnd"/>
            <w:r w:rsidRPr="002045F5">
              <w:rPr>
                <w:color w:val="000000"/>
                <w:sz w:val="22"/>
                <w:lang w:val="ru-RU"/>
              </w:rPr>
              <w:t xml:space="preserve"> </w:t>
            </w:r>
            <w:proofErr w:type="spellStart"/>
            <w:r w:rsidRPr="002045F5">
              <w:rPr>
                <w:color w:val="000000"/>
                <w:sz w:val="22"/>
                <w:lang w:val="ru-RU"/>
              </w:rPr>
              <w:t>громади</w:t>
            </w:r>
            <w:proofErr w:type="spellEnd"/>
            <w:r w:rsidRPr="002045F5">
              <w:rPr>
                <w:color w:val="000000"/>
                <w:sz w:val="22"/>
                <w:lang w:val="ru-RU"/>
              </w:rPr>
              <w:t xml:space="preserve"> та </w:t>
            </w:r>
            <w:proofErr w:type="spellStart"/>
            <w:r w:rsidRPr="002045F5">
              <w:rPr>
                <w:color w:val="000000"/>
                <w:sz w:val="22"/>
                <w:lang w:val="ru-RU"/>
              </w:rPr>
              <w:t>реалізації</w:t>
            </w:r>
            <w:proofErr w:type="spellEnd"/>
            <w:r w:rsidRPr="002045F5">
              <w:rPr>
                <w:color w:val="000000"/>
                <w:sz w:val="22"/>
                <w:lang w:val="ru-RU"/>
              </w:rPr>
              <w:t xml:space="preserve"> права </w:t>
            </w:r>
            <w:proofErr w:type="spellStart"/>
            <w:r w:rsidRPr="002045F5">
              <w:rPr>
                <w:color w:val="000000"/>
                <w:sz w:val="22"/>
                <w:lang w:val="ru-RU"/>
              </w:rPr>
              <w:t>здобувачів</w:t>
            </w:r>
            <w:proofErr w:type="spellEnd"/>
            <w:r w:rsidRPr="002045F5">
              <w:rPr>
                <w:color w:val="000000"/>
                <w:sz w:val="22"/>
                <w:lang w:val="ru-RU"/>
              </w:rPr>
              <w:t xml:space="preserve"> </w:t>
            </w:r>
            <w:proofErr w:type="spellStart"/>
            <w:r w:rsidRPr="002045F5">
              <w:rPr>
                <w:color w:val="000000"/>
                <w:sz w:val="22"/>
                <w:lang w:val="ru-RU"/>
              </w:rPr>
              <w:t>освіти</w:t>
            </w:r>
            <w:proofErr w:type="spellEnd"/>
            <w:r w:rsidRPr="002045F5">
              <w:rPr>
                <w:color w:val="000000"/>
                <w:sz w:val="22"/>
                <w:lang w:val="ru-RU"/>
              </w:rPr>
              <w:t xml:space="preserve"> на </w:t>
            </w:r>
            <w:proofErr w:type="spellStart"/>
            <w:r w:rsidRPr="002045F5">
              <w:rPr>
                <w:color w:val="000000"/>
                <w:sz w:val="22"/>
                <w:lang w:val="ru-RU"/>
              </w:rPr>
              <w:t>отримання</w:t>
            </w:r>
            <w:proofErr w:type="spellEnd"/>
            <w:r w:rsidRPr="002045F5">
              <w:rPr>
                <w:color w:val="000000"/>
                <w:sz w:val="22"/>
                <w:lang w:val="ru-RU"/>
              </w:rPr>
              <w:t xml:space="preserve"> </w:t>
            </w:r>
            <w:proofErr w:type="spellStart"/>
            <w:r w:rsidRPr="002045F5">
              <w:rPr>
                <w:color w:val="000000"/>
                <w:sz w:val="22"/>
                <w:lang w:val="ru-RU"/>
              </w:rPr>
              <w:t>якісної</w:t>
            </w:r>
            <w:proofErr w:type="spellEnd"/>
            <w:r w:rsidRPr="002045F5">
              <w:rPr>
                <w:color w:val="000000"/>
                <w:sz w:val="22"/>
                <w:lang w:val="ru-RU"/>
              </w:rPr>
              <w:t xml:space="preserve"> </w:t>
            </w:r>
            <w:proofErr w:type="spellStart"/>
            <w:r w:rsidRPr="002045F5">
              <w:rPr>
                <w:color w:val="000000"/>
                <w:sz w:val="22"/>
                <w:lang w:val="ru-RU"/>
              </w:rPr>
              <w:t>загальної</w:t>
            </w:r>
            <w:proofErr w:type="spellEnd"/>
            <w:r w:rsidRPr="002045F5">
              <w:rPr>
                <w:color w:val="000000"/>
                <w:sz w:val="22"/>
                <w:lang w:val="ru-RU"/>
              </w:rPr>
              <w:t xml:space="preserve"> </w:t>
            </w:r>
            <w:proofErr w:type="spellStart"/>
            <w:r w:rsidRPr="002045F5">
              <w:rPr>
                <w:color w:val="000000"/>
                <w:sz w:val="22"/>
                <w:lang w:val="ru-RU"/>
              </w:rPr>
              <w:t>середньої</w:t>
            </w:r>
            <w:proofErr w:type="spellEnd"/>
            <w:r w:rsidRPr="002045F5">
              <w:rPr>
                <w:color w:val="000000"/>
                <w:sz w:val="22"/>
                <w:lang w:val="ru-RU"/>
              </w:rPr>
              <w:t xml:space="preserve"> </w:t>
            </w:r>
            <w:proofErr w:type="spellStart"/>
            <w:r w:rsidRPr="002045F5">
              <w:rPr>
                <w:color w:val="000000"/>
                <w:sz w:val="22"/>
                <w:lang w:val="ru-RU"/>
              </w:rPr>
              <w:t>освіти</w:t>
            </w:r>
            <w:proofErr w:type="spellEnd"/>
            <w:r w:rsidRPr="002045F5">
              <w:rPr>
                <w:color w:val="000000"/>
                <w:sz w:val="22"/>
                <w:lang w:val="ru-RU"/>
              </w:rPr>
              <w:t xml:space="preserve"> на </w:t>
            </w:r>
            <w:proofErr w:type="spellStart"/>
            <w:r w:rsidRPr="002045F5">
              <w:rPr>
                <w:color w:val="000000"/>
                <w:sz w:val="22"/>
                <w:lang w:val="ru-RU"/>
              </w:rPr>
              <w:t>всіх</w:t>
            </w:r>
            <w:proofErr w:type="spellEnd"/>
            <w:r w:rsidRPr="002045F5">
              <w:rPr>
                <w:color w:val="000000"/>
                <w:sz w:val="22"/>
                <w:lang w:val="ru-RU"/>
              </w:rPr>
              <w:t xml:space="preserve"> </w:t>
            </w:r>
            <w:proofErr w:type="spellStart"/>
            <w:r w:rsidRPr="002045F5">
              <w:rPr>
                <w:color w:val="000000"/>
                <w:sz w:val="22"/>
                <w:lang w:val="ru-RU"/>
              </w:rPr>
              <w:t>її</w:t>
            </w:r>
            <w:proofErr w:type="spellEnd"/>
            <w:r w:rsidRPr="002045F5">
              <w:rPr>
                <w:color w:val="000000"/>
                <w:sz w:val="22"/>
                <w:lang w:val="ru-RU"/>
              </w:rPr>
              <w:t xml:space="preserve"> </w:t>
            </w:r>
            <w:proofErr w:type="spellStart"/>
            <w:r w:rsidRPr="002045F5">
              <w:rPr>
                <w:color w:val="000000"/>
                <w:sz w:val="22"/>
                <w:lang w:val="ru-RU"/>
              </w:rPr>
              <w:t>рівнях</w:t>
            </w:r>
            <w:proofErr w:type="spellEnd"/>
            <w:r w:rsidRPr="002045F5">
              <w:rPr>
                <w:color w:val="000000"/>
                <w:sz w:val="22"/>
                <w:lang w:val="ru-RU"/>
              </w:rPr>
              <w:t>.</w:t>
            </w:r>
          </w:p>
          <w:p w:rsidR="003B7CFF" w:rsidRPr="002045F5" w:rsidRDefault="003B7CFF" w:rsidP="000303D7">
            <w:pPr>
              <w:pStyle w:val="a7"/>
              <w:numPr>
                <w:ilvl w:val="0"/>
                <w:numId w:val="119"/>
              </w:numPr>
              <w:ind w:left="33" w:firstLine="327"/>
              <w:jc w:val="left"/>
              <w:rPr>
                <w:color w:val="000000"/>
                <w:sz w:val="22"/>
              </w:rPr>
            </w:pPr>
            <w:proofErr w:type="spellStart"/>
            <w:r w:rsidRPr="002045F5">
              <w:rPr>
                <w:color w:val="333333"/>
                <w:sz w:val="22"/>
                <w:shd w:val="clear" w:color="auto" w:fill="FFFFFF"/>
                <w:lang w:val="ru-RU"/>
              </w:rPr>
              <w:t>Створення</w:t>
            </w:r>
            <w:proofErr w:type="spellEnd"/>
            <w:r w:rsidRPr="002045F5">
              <w:rPr>
                <w:color w:val="333333"/>
                <w:sz w:val="22"/>
                <w:shd w:val="clear" w:color="auto" w:fill="FFFFFF"/>
                <w:lang w:val="ru-RU"/>
              </w:rPr>
              <w:t xml:space="preserve"> умов для </w:t>
            </w:r>
            <w:proofErr w:type="spellStart"/>
            <w:r w:rsidRPr="002045F5">
              <w:rPr>
                <w:color w:val="333333"/>
                <w:sz w:val="22"/>
                <w:shd w:val="clear" w:color="auto" w:fill="FFFFFF"/>
                <w:lang w:val="ru-RU"/>
              </w:rPr>
              <w:t>забезпечення</w:t>
            </w:r>
            <w:proofErr w:type="spellEnd"/>
            <w:r w:rsidRPr="002045F5">
              <w:rPr>
                <w:color w:val="333333"/>
                <w:sz w:val="22"/>
                <w:shd w:val="clear" w:color="auto" w:fill="FFFFFF"/>
                <w:lang w:val="ru-RU"/>
              </w:rPr>
              <w:t xml:space="preserve"> прав і </w:t>
            </w:r>
            <w:proofErr w:type="spellStart"/>
            <w:r w:rsidRPr="002045F5">
              <w:rPr>
                <w:color w:val="333333"/>
                <w:sz w:val="22"/>
                <w:shd w:val="clear" w:color="auto" w:fill="FFFFFF"/>
                <w:lang w:val="ru-RU"/>
              </w:rPr>
              <w:t>можливостей</w:t>
            </w:r>
            <w:proofErr w:type="spellEnd"/>
            <w:r w:rsidRPr="002045F5">
              <w:rPr>
                <w:color w:val="333333"/>
                <w:sz w:val="22"/>
                <w:shd w:val="clear" w:color="auto" w:fill="FFFFFF"/>
                <w:lang w:val="ru-RU"/>
              </w:rPr>
              <w:t xml:space="preserve"> </w:t>
            </w:r>
            <w:proofErr w:type="spellStart"/>
            <w:r w:rsidRPr="002045F5">
              <w:rPr>
                <w:color w:val="333333"/>
                <w:sz w:val="22"/>
                <w:shd w:val="clear" w:color="auto" w:fill="FFFFFF"/>
                <w:lang w:val="ru-RU"/>
              </w:rPr>
              <w:t>осіб</w:t>
            </w:r>
            <w:proofErr w:type="spellEnd"/>
            <w:r w:rsidRPr="002045F5">
              <w:rPr>
                <w:color w:val="333333"/>
                <w:sz w:val="22"/>
                <w:shd w:val="clear" w:color="auto" w:fill="FFFFFF"/>
                <w:lang w:val="ru-RU"/>
              </w:rPr>
              <w:t xml:space="preserve"> з </w:t>
            </w:r>
            <w:proofErr w:type="spellStart"/>
            <w:r w:rsidRPr="002045F5">
              <w:rPr>
                <w:color w:val="333333"/>
                <w:sz w:val="22"/>
                <w:shd w:val="clear" w:color="auto" w:fill="FFFFFF"/>
                <w:lang w:val="ru-RU"/>
              </w:rPr>
              <w:t>особливими</w:t>
            </w:r>
            <w:proofErr w:type="spellEnd"/>
            <w:r w:rsidRPr="002045F5">
              <w:rPr>
                <w:color w:val="333333"/>
                <w:sz w:val="22"/>
                <w:shd w:val="clear" w:color="auto" w:fill="FFFFFF"/>
                <w:lang w:val="ru-RU"/>
              </w:rPr>
              <w:t xml:space="preserve"> </w:t>
            </w:r>
            <w:proofErr w:type="spellStart"/>
            <w:r w:rsidRPr="002045F5">
              <w:rPr>
                <w:color w:val="333333"/>
                <w:sz w:val="22"/>
                <w:shd w:val="clear" w:color="auto" w:fill="FFFFFF"/>
                <w:lang w:val="ru-RU"/>
              </w:rPr>
              <w:t>освітніми</w:t>
            </w:r>
            <w:proofErr w:type="spellEnd"/>
            <w:r w:rsidRPr="002045F5">
              <w:rPr>
                <w:color w:val="333333"/>
                <w:sz w:val="22"/>
                <w:shd w:val="clear" w:color="auto" w:fill="FFFFFF"/>
                <w:lang w:val="ru-RU"/>
              </w:rPr>
              <w:t xml:space="preserve"> потребами для </w:t>
            </w:r>
            <w:proofErr w:type="spellStart"/>
            <w:r w:rsidRPr="002045F5">
              <w:rPr>
                <w:color w:val="333333"/>
                <w:sz w:val="22"/>
                <w:shd w:val="clear" w:color="auto" w:fill="FFFFFF"/>
                <w:lang w:val="ru-RU"/>
              </w:rPr>
              <w:t>здобуття</w:t>
            </w:r>
            <w:proofErr w:type="spellEnd"/>
            <w:r w:rsidRPr="002045F5">
              <w:rPr>
                <w:color w:val="333333"/>
                <w:sz w:val="22"/>
                <w:shd w:val="clear" w:color="auto" w:fill="FFFFFF"/>
                <w:lang w:val="ru-RU"/>
              </w:rPr>
              <w:t xml:space="preserve"> ними </w:t>
            </w:r>
            <w:proofErr w:type="spellStart"/>
            <w:r w:rsidRPr="002045F5">
              <w:rPr>
                <w:color w:val="333333"/>
                <w:sz w:val="22"/>
                <w:shd w:val="clear" w:color="auto" w:fill="FFFFFF"/>
                <w:lang w:val="ru-RU"/>
              </w:rPr>
              <w:t>освіти</w:t>
            </w:r>
            <w:proofErr w:type="spellEnd"/>
            <w:r w:rsidRPr="002045F5">
              <w:rPr>
                <w:color w:val="333333"/>
                <w:sz w:val="22"/>
                <w:shd w:val="clear" w:color="auto" w:fill="FFFFFF"/>
                <w:lang w:val="ru-RU"/>
              </w:rPr>
              <w:t xml:space="preserve"> на </w:t>
            </w:r>
            <w:proofErr w:type="spellStart"/>
            <w:r w:rsidRPr="002045F5">
              <w:rPr>
                <w:color w:val="333333"/>
                <w:sz w:val="22"/>
                <w:shd w:val="clear" w:color="auto" w:fill="FFFFFF"/>
                <w:lang w:val="ru-RU"/>
              </w:rPr>
              <w:t>всіх</w:t>
            </w:r>
            <w:proofErr w:type="spellEnd"/>
            <w:r w:rsidRPr="002045F5">
              <w:rPr>
                <w:color w:val="333333"/>
                <w:sz w:val="22"/>
                <w:shd w:val="clear" w:color="auto" w:fill="FFFFFF"/>
                <w:lang w:val="ru-RU"/>
              </w:rPr>
              <w:t xml:space="preserve"> </w:t>
            </w:r>
            <w:proofErr w:type="spellStart"/>
            <w:r w:rsidRPr="002045F5">
              <w:rPr>
                <w:color w:val="333333"/>
                <w:sz w:val="22"/>
                <w:shd w:val="clear" w:color="auto" w:fill="FFFFFF"/>
                <w:lang w:val="ru-RU"/>
              </w:rPr>
              <w:t>рівнях</w:t>
            </w:r>
            <w:proofErr w:type="spellEnd"/>
            <w:r w:rsidRPr="002045F5">
              <w:rPr>
                <w:color w:val="333333"/>
                <w:sz w:val="22"/>
                <w:shd w:val="clear" w:color="auto" w:fill="FFFFFF"/>
                <w:lang w:val="ru-RU"/>
              </w:rPr>
              <w:t xml:space="preserve"> </w:t>
            </w:r>
            <w:proofErr w:type="spellStart"/>
            <w:r w:rsidRPr="002045F5">
              <w:rPr>
                <w:color w:val="333333"/>
                <w:sz w:val="22"/>
                <w:shd w:val="clear" w:color="auto" w:fill="FFFFFF"/>
                <w:lang w:val="ru-RU"/>
              </w:rPr>
              <w:t>освіти</w:t>
            </w:r>
            <w:proofErr w:type="spellEnd"/>
            <w:r w:rsidRPr="002045F5">
              <w:rPr>
                <w:color w:val="333333"/>
                <w:sz w:val="22"/>
                <w:shd w:val="clear" w:color="auto" w:fill="FFFFFF"/>
                <w:lang w:val="ru-RU"/>
              </w:rPr>
              <w:t xml:space="preserve"> з </w:t>
            </w:r>
            <w:proofErr w:type="spellStart"/>
            <w:r w:rsidRPr="002045F5">
              <w:rPr>
                <w:color w:val="333333"/>
                <w:sz w:val="22"/>
                <w:shd w:val="clear" w:color="auto" w:fill="FFFFFF"/>
                <w:lang w:val="ru-RU"/>
              </w:rPr>
              <w:t>урахуванням</w:t>
            </w:r>
            <w:proofErr w:type="spellEnd"/>
            <w:r w:rsidRPr="002045F5">
              <w:rPr>
                <w:color w:val="333333"/>
                <w:sz w:val="22"/>
                <w:shd w:val="clear" w:color="auto" w:fill="FFFFFF"/>
                <w:lang w:val="ru-RU"/>
              </w:rPr>
              <w:t xml:space="preserve"> </w:t>
            </w:r>
            <w:proofErr w:type="spellStart"/>
            <w:r w:rsidRPr="002045F5">
              <w:rPr>
                <w:color w:val="333333"/>
                <w:sz w:val="22"/>
                <w:shd w:val="clear" w:color="auto" w:fill="FFFFFF"/>
                <w:lang w:val="ru-RU"/>
              </w:rPr>
              <w:t>їхніх</w:t>
            </w:r>
            <w:proofErr w:type="spellEnd"/>
            <w:r w:rsidRPr="002045F5">
              <w:rPr>
                <w:color w:val="333333"/>
                <w:sz w:val="22"/>
                <w:shd w:val="clear" w:color="auto" w:fill="FFFFFF"/>
                <w:lang w:val="ru-RU"/>
              </w:rPr>
              <w:t xml:space="preserve"> </w:t>
            </w:r>
            <w:proofErr w:type="spellStart"/>
            <w:r w:rsidRPr="002045F5">
              <w:rPr>
                <w:color w:val="333333"/>
                <w:sz w:val="22"/>
                <w:shd w:val="clear" w:color="auto" w:fill="FFFFFF"/>
                <w:lang w:val="ru-RU"/>
              </w:rPr>
              <w:t>індивідуальних</w:t>
            </w:r>
            <w:proofErr w:type="spellEnd"/>
            <w:r w:rsidRPr="002045F5">
              <w:rPr>
                <w:color w:val="333333"/>
                <w:sz w:val="22"/>
                <w:shd w:val="clear" w:color="auto" w:fill="FFFFFF"/>
                <w:lang w:val="ru-RU"/>
              </w:rPr>
              <w:t xml:space="preserve"> потреб, </w:t>
            </w:r>
            <w:proofErr w:type="spellStart"/>
            <w:r w:rsidRPr="002045F5">
              <w:rPr>
                <w:color w:val="333333"/>
                <w:sz w:val="22"/>
                <w:shd w:val="clear" w:color="auto" w:fill="FFFFFF"/>
                <w:lang w:val="ru-RU"/>
              </w:rPr>
              <w:t>можливостей</w:t>
            </w:r>
            <w:proofErr w:type="spellEnd"/>
            <w:r w:rsidRPr="002045F5">
              <w:rPr>
                <w:color w:val="333333"/>
                <w:sz w:val="22"/>
                <w:shd w:val="clear" w:color="auto" w:fill="FFFFFF"/>
                <w:lang w:val="ru-RU"/>
              </w:rPr>
              <w:t xml:space="preserve">, </w:t>
            </w:r>
            <w:proofErr w:type="spellStart"/>
            <w:r w:rsidRPr="002045F5">
              <w:rPr>
                <w:color w:val="333333"/>
                <w:sz w:val="22"/>
                <w:shd w:val="clear" w:color="auto" w:fill="FFFFFF"/>
                <w:lang w:val="ru-RU"/>
              </w:rPr>
              <w:t>здібностей</w:t>
            </w:r>
            <w:proofErr w:type="spellEnd"/>
            <w:r w:rsidRPr="002045F5">
              <w:rPr>
                <w:color w:val="333333"/>
                <w:sz w:val="22"/>
                <w:shd w:val="clear" w:color="auto" w:fill="FFFFFF"/>
                <w:lang w:val="ru-RU"/>
              </w:rPr>
              <w:t xml:space="preserve"> та </w:t>
            </w:r>
            <w:proofErr w:type="spellStart"/>
            <w:r w:rsidRPr="002045F5">
              <w:rPr>
                <w:color w:val="333333"/>
                <w:sz w:val="22"/>
                <w:shd w:val="clear" w:color="auto" w:fill="FFFFFF"/>
                <w:lang w:val="ru-RU"/>
              </w:rPr>
              <w:t>інтересів</w:t>
            </w:r>
            <w:proofErr w:type="spellEnd"/>
            <w:r w:rsidRPr="002045F5">
              <w:rPr>
                <w:color w:val="333333"/>
                <w:sz w:val="22"/>
                <w:shd w:val="clear" w:color="auto" w:fill="FFFFFF"/>
                <w:lang w:val="ru-RU"/>
              </w:rPr>
              <w:t xml:space="preserve"> </w:t>
            </w:r>
            <w:proofErr w:type="spellStart"/>
            <w:r w:rsidRPr="002045F5">
              <w:rPr>
                <w:color w:val="333333"/>
                <w:sz w:val="22"/>
                <w:shd w:val="clear" w:color="auto" w:fill="FFFFFF"/>
                <w:lang w:val="ru-RU"/>
              </w:rPr>
              <w:t>і</w:t>
            </w:r>
            <w:r w:rsidRPr="002045F5">
              <w:rPr>
                <w:color w:val="000000"/>
                <w:sz w:val="22"/>
                <w:lang w:val="ru-RU"/>
              </w:rPr>
              <w:t>з</w:t>
            </w:r>
            <w:proofErr w:type="spellEnd"/>
            <w:r w:rsidRPr="002045F5">
              <w:rPr>
                <w:color w:val="000000"/>
                <w:sz w:val="22"/>
                <w:lang w:val="ru-RU"/>
              </w:rPr>
              <w:t xml:space="preserve"> </w:t>
            </w:r>
            <w:proofErr w:type="spellStart"/>
            <w:r w:rsidRPr="002045F5">
              <w:rPr>
                <w:color w:val="000000"/>
                <w:sz w:val="22"/>
                <w:lang w:val="ru-RU"/>
              </w:rPr>
              <w:t>дотриманням</w:t>
            </w:r>
            <w:proofErr w:type="spellEnd"/>
            <w:r w:rsidRPr="002045F5">
              <w:rPr>
                <w:color w:val="000000"/>
                <w:sz w:val="22"/>
                <w:lang w:val="ru-RU"/>
              </w:rPr>
              <w:t xml:space="preserve"> </w:t>
            </w:r>
            <w:proofErr w:type="spellStart"/>
            <w:proofErr w:type="gramStart"/>
            <w:r w:rsidRPr="002045F5">
              <w:rPr>
                <w:color w:val="000000"/>
                <w:sz w:val="22"/>
                <w:lang w:val="ru-RU"/>
              </w:rPr>
              <w:t>будівельних</w:t>
            </w:r>
            <w:proofErr w:type="spellEnd"/>
            <w:r w:rsidRPr="002045F5">
              <w:rPr>
                <w:color w:val="000000"/>
                <w:sz w:val="22"/>
                <w:lang w:val="ru-RU"/>
              </w:rPr>
              <w:t xml:space="preserve">,  </w:t>
            </w:r>
            <w:proofErr w:type="spellStart"/>
            <w:r w:rsidRPr="002045F5">
              <w:rPr>
                <w:color w:val="000000"/>
                <w:sz w:val="22"/>
                <w:lang w:val="ru-RU"/>
              </w:rPr>
              <w:t>протипожежних</w:t>
            </w:r>
            <w:proofErr w:type="spellEnd"/>
            <w:proofErr w:type="gramEnd"/>
            <w:r w:rsidRPr="002045F5">
              <w:rPr>
                <w:color w:val="000000"/>
                <w:sz w:val="22"/>
                <w:lang w:val="ru-RU"/>
              </w:rPr>
              <w:t xml:space="preserve">,  </w:t>
            </w:r>
            <w:proofErr w:type="spellStart"/>
            <w:r w:rsidRPr="002045F5">
              <w:rPr>
                <w:color w:val="000000"/>
                <w:sz w:val="22"/>
                <w:lang w:val="ru-RU"/>
              </w:rPr>
              <w:t>санітарних</w:t>
            </w:r>
            <w:proofErr w:type="spellEnd"/>
            <w:r w:rsidRPr="002045F5">
              <w:rPr>
                <w:color w:val="000000"/>
                <w:sz w:val="22"/>
                <w:lang w:val="ru-RU"/>
              </w:rPr>
              <w:t xml:space="preserve">,   </w:t>
            </w:r>
            <w:proofErr w:type="spellStart"/>
            <w:r w:rsidRPr="002045F5">
              <w:rPr>
                <w:color w:val="000000"/>
                <w:sz w:val="22"/>
                <w:lang w:val="ru-RU"/>
              </w:rPr>
              <w:t>безпекових</w:t>
            </w:r>
            <w:proofErr w:type="spellEnd"/>
            <w:r w:rsidRPr="002045F5">
              <w:rPr>
                <w:color w:val="000000"/>
                <w:sz w:val="22"/>
                <w:lang w:val="ru-RU"/>
              </w:rPr>
              <w:t xml:space="preserve"> </w:t>
            </w:r>
            <w:proofErr w:type="spellStart"/>
            <w:r w:rsidRPr="002045F5">
              <w:rPr>
                <w:color w:val="000000"/>
                <w:sz w:val="22"/>
                <w:lang w:val="ru-RU"/>
              </w:rPr>
              <w:t>вимог</w:t>
            </w:r>
            <w:proofErr w:type="spellEnd"/>
            <w:r w:rsidRPr="002045F5">
              <w:rPr>
                <w:color w:val="000000"/>
                <w:sz w:val="22"/>
              </w:rPr>
              <w:t>.</w:t>
            </w:r>
          </w:p>
        </w:tc>
      </w:tr>
      <w:tr w:rsidR="003B7CFF" w:rsidRPr="002045F5" w:rsidTr="00F429F1">
        <w:trPr>
          <w:gridAfter w:val="1"/>
          <w:wAfter w:w="9" w:type="dxa"/>
          <w:trHeight w:val="879"/>
        </w:trPr>
        <w:tc>
          <w:tcPr>
            <w:tcW w:w="2978" w:type="dxa"/>
            <w:vMerge w:val="restart"/>
            <w:shd w:val="clear" w:color="auto" w:fill="C6D9F1" w:themeFill="text2" w:themeFillTint="33"/>
            <w:vAlign w:val="center"/>
            <w:hideMark/>
          </w:tcPr>
          <w:p w:rsidR="003B7CFF" w:rsidRPr="002045F5" w:rsidRDefault="003B7CFF" w:rsidP="001013F3">
            <w:pPr>
              <w:rPr>
                <w:b/>
                <w:color w:val="000000"/>
                <w:sz w:val="22"/>
              </w:rPr>
            </w:pPr>
            <w:r w:rsidRPr="002045F5">
              <w:rPr>
                <w:rFonts w:eastAsia="Calibri"/>
                <w:b/>
                <w:color w:val="000000"/>
                <w:sz w:val="22"/>
              </w:rPr>
              <w:t>Очікувані кількісні результати від реалізації проекту  (індикатори)</w:t>
            </w:r>
          </w:p>
        </w:tc>
        <w:tc>
          <w:tcPr>
            <w:tcW w:w="3402" w:type="dxa"/>
            <w:gridSpan w:val="3"/>
            <w:shd w:val="clear" w:color="auto" w:fill="auto"/>
            <w:vAlign w:val="center"/>
            <w:hideMark/>
          </w:tcPr>
          <w:p w:rsidR="003B7CFF" w:rsidRPr="002045F5" w:rsidRDefault="003B7CFF" w:rsidP="001013F3">
            <w:pPr>
              <w:rPr>
                <w:b/>
                <w:color w:val="000000"/>
                <w:sz w:val="22"/>
              </w:rPr>
            </w:pPr>
            <w:proofErr w:type="spellStart"/>
            <w:r w:rsidRPr="002045F5">
              <w:rPr>
                <w:rFonts w:eastAsia="Calibri"/>
                <w:b/>
                <w:color w:val="000000"/>
                <w:sz w:val="22"/>
                <w:lang w:val="ru-RU"/>
              </w:rPr>
              <w:t>Найменування</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показника</w:t>
            </w:r>
            <w:proofErr w:type="spellEnd"/>
          </w:p>
        </w:tc>
        <w:tc>
          <w:tcPr>
            <w:tcW w:w="1701" w:type="dxa"/>
            <w:gridSpan w:val="2"/>
            <w:shd w:val="clear" w:color="auto" w:fill="auto"/>
            <w:vAlign w:val="center"/>
            <w:hideMark/>
          </w:tcPr>
          <w:p w:rsidR="003B7CFF" w:rsidRPr="002045F5" w:rsidRDefault="003B7CFF" w:rsidP="001013F3">
            <w:pPr>
              <w:rPr>
                <w:b/>
                <w:color w:val="000000"/>
                <w:sz w:val="22"/>
              </w:rPr>
            </w:pPr>
            <w:proofErr w:type="spellStart"/>
            <w:r w:rsidRPr="002045F5">
              <w:rPr>
                <w:rFonts w:eastAsia="Calibri"/>
                <w:b/>
                <w:color w:val="000000"/>
                <w:sz w:val="22"/>
                <w:lang w:val="ru-RU"/>
              </w:rPr>
              <w:t>Одиниця</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вимірювання</w:t>
            </w:r>
            <w:proofErr w:type="spellEnd"/>
          </w:p>
        </w:tc>
        <w:tc>
          <w:tcPr>
            <w:tcW w:w="1819" w:type="dxa"/>
            <w:gridSpan w:val="2"/>
            <w:shd w:val="clear" w:color="auto" w:fill="auto"/>
            <w:vAlign w:val="center"/>
            <w:hideMark/>
          </w:tcPr>
          <w:p w:rsidR="003B7CFF" w:rsidRPr="002045F5" w:rsidRDefault="003B7CFF" w:rsidP="001013F3">
            <w:pPr>
              <w:rPr>
                <w:b/>
                <w:color w:val="000000"/>
                <w:sz w:val="22"/>
              </w:rPr>
            </w:pPr>
            <w:proofErr w:type="spellStart"/>
            <w:r w:rsidRPr="002045F5">
              <w:rPr>
                <w:rFonts w:eastAsia="Calibri"/>
                <w:b/>
                <w:color w:val="000000"/>
                <w:sz w:val="22"/>
                <w:lang w:val="ru-RU"/>
              </w:rPr>
              <w:t>Прогнозне</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цільове</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значення</w:t>
            </w:r>
            <w:proofErr w:type="spellEnd"/>
          </w:p>
        </w:tc>
      </w:tr>
      <w:tr w:rsidR="00E824C2" w:rsidRPr="002045F5" w:rsidTr="00F429F1">
        <w:trPr>
          <w:gridAfter w:val="1"/>
          <w:wAfter w:w="9" w:type="dxa"/>
          <w:trHeight w:val="692"/>
        </w:trPr>
        <w:tc>
          <w:tcPr>
            <w:tcW w:w="2978" w:type="dxa"/>
            <w:vMerge/>
            <w:shd w:val="clear" w:color="auto" w:fill="C6D9F1" w:themeFill="text2" w:themeFillTint="33"/>
            <w:vAlign w:val="center"/>
            <w:hideMark/>
          </w:tcPr>
          <w:p w:rsidR="003B7CFF" w:rsidRPr="002045F5" w:rsidRDefault="003B7CFF" w:rsidP="001013F3">
            <w:pPr>
              <w:rPr>
                <w:b/>
                <w:color w:val="000000"/>
                <w:sz w:val="22"/>
              </w:rPr>
            </w:pPr>
          </w:p>
        </w:tc>
        <w:tc>
          <w:tcPr>
            <w:tcW w:w="3402" w:type="dxa"/>
            <w:gridSpan w:val="3"/>
            <w:shd w:val="clear" w:color="auto" w:fill="auto"/>
            <w:hideMark/>
          </w:tcPr>
          <w:p w:rsidR="003B7CFF" w:rsidRPr="002045F5" w:rsidRDefault="003B7CFF" w:rsidP="001013F3">
            <w:pPr>
              <w:rPr>
                <w:color w:val="000000"/>
                <w:sz w:val="22"/>
              </w:rPr>
            </w:pPr>
            <w:r w:rsidRPr="002045F5">
              <w:rPr>
                <w:color w:val="000000"/>
                <w:sz w:val="22"/>
              </w:rPr>
              <w:t>Кількість учасників освітнього процесу</w:t>
            </w:r>
          </w:p>
        </w:tc>
        <w:tc>
          <w:tcPr>
            <w:tcW w:w="1701" w:type="dxa"/>
            <w:gridSpan w:val="2"/>
            <w:shd w:val="clear" w:color="auto" w:fill="auto"/>
            <w:hideMark/>
          </w:tcPr>
          <w:p w:rsidR="003B7CFF" w:rsidRPr="002045F5" w:rsidRDefault="003B7CFF" w:rsidP="001013F3">
            <w:pPr>
              <w:rPr>
                <w:color w:val="000000"/>
                <w:sz w:val="22"/>
              </w:rPr>
            </w:pPr>
            <w:r w:rsidRPr="002045F5">
              <w:rPr>
                <w:color w:val="000000"/>
                <w:sz w:val="22"/>
              </w:rPr>
              <w:t xml:space="preserve">Осіб </w:t>
            </w:r>
          </w:p>
        </w:tc>
        <w:tc>
          <w:tcPr>
            <w:tcW w:w="1819" w:type="dxa"/>
            <w:gridSpan w:val="2"/>
            <w:shd w:val="clear" w:color="auto" w:fill="auto"/>
            <w:hideMark/>
          </w:tcPr>
          <w:p w:rsidR="003B7CFF" w:rsidRPr="002045F5" w:rsidRDefault="003B7CFF" w:rsidP="001013F3">
            <w:pPr>
              <w:rPr>
                <w:color w:val="000000"/>
                <w:sz w:val="22"/>
              </w:rPr>
            </w:pPr>
            <w:r w:rsidRPr="002045F5">
              <w:rPr>
                <w:color w:val="000000"/>
                <w:sz w:val="22"/>
              </w:rPr>
              <w:t>4800</w:t>
            </w:r>
          </w:p>
        </w:tc>
      </w:tr>
      <w:tr w:rsidR="003B7CFF" w:rsidRPr="002045F5" w:rsidTr="00E824C2">
        <w:trPr>
          <w:trHeight w:val="20"/>
        </w:trPr>
        <w:tc>
          <w:tcPr>
            <w:tcW w:w="2978" w:type="dxa"/>
            <w:shd w:val="clear" w:color="auto" w:fill="C6D9F1" w:themeFill="text2" w:themeFillTint="33"/>
            <w:vAlign w:val="center"/>
            <w:hideMark/>
          </w:tcPr>
          <w:p w:rsidR="003B7CFF" w:rsidRPr="002045F5" w:rsidRDefault="003B7CFF" w:rsidP="001013F3">
            <w:pPr>
              <w:rPr>
                <w:b/>
                <w:color w:val="000000"/>
                <w:sz w:val="22"/>
              </w:rPr>
            </w:pPr>
            <w:proofErr w:type="spellStart"/>
            <w:r w:rsidRPr="002045F5">
              <w:rPr>
                <w:rFonts w:eastAsia="Calibri"/>
                <w:b/>
                <w:color w:val="000000"/>
                <w:sz w:val="22"/>
                <w:lang w:val="ru-RU"/>
              </w:rPr>
              <w:t>Ключові</w:t>
            </w:r>
            <w:proofErr w:type="spellEnd"/>
            <w:r w:rsidRPr="002045F5">
              <w:rPr>
                <w:rFonts w:eastAsia="Calibri"/>
                <w:b/>
                <w:color w:val="000000"/>
                <w:sz w:val="22"/>
                <w:lang w:val="ru-RU"/>
              </w:rPr>
              <w:t xml:space="preserve"> заходи проекту:</w:t>
            </w:r>
          </w:p>
        </w:tc>
        <w:tc>
          <w:tcPr>
            <w:tcW w:w="6931" w:type="dxa"/>
            <w:gridSpan w:val="8"/>
            <w:vMerge w:val="restart"/>
            <w:shd w:val="clear" w:color="auto" w:fill="auto"/>
            <w:hideMark/>
          </w:tcPr>
          <w:p w:rsidR="003B7CFF" w:rsidRPr="002045F5" w:rsidRDefault="003B7CFF" w:rsidP="001013F3">
            <w:pPr>
              <w:ind w:left="174" w:right="344"/>
              <w:rPr>
                <w:sz w:val="22"/>
                <w:lang w:val="ru-RU"/>
              </w:rPr>
            </w:pPr>
            <w:r w:rsidRPr="002045F5">
              <w:rPr>
                <w:color w:val="000000"/>
                <w:sz w:val="22"/>
                <w:lang w:val="ru-RU"/>
              </w:rPr>
              <w:t>1.О</w:t>
            </w:r>
            <w:r w:rsidRPr="002045F5">
              <w:rPr>
                <w:sz w:val="22"/>
                <w:lang w:val="ru-RU"/>
              </w:rPr>
              <w:t xml:space="preserve">бстеження стану </w:t>
            </w:r>
            <w:proofErr w:type="spellStart"/>
            <w:proofErr w:type="gramStart"/>
            <w:r w:rsidRPr="002045F5">
              <w:rPr>
                <w:sz w:val="22"/>
                <w:lang w:val="ru-RU"/>
              </w:rPr>
              <w:t>будівлі</w:t>
            </w:r>
            <w:proofErr w:type="spellEnd"/>
            <w:r w:rsidRPr="002045F5">
              <w:rPr>
                <w:sz w:val="22"/>
                <w:lang w:val="ru-RU"/>
              </w:rPr>
              <w:t xml:space="preserve">  </w:t>
            </w:r>
            <w:proofErr w:type="spellStart"/>
            <w:r w:rsidRPr="002045F5">
              <w:rPr>
                <w:sz w:val="22"/>
                <w:lang w:val="ru-RU"/>
              </w:rPr>
              <w:t>Ліцею</w:t>
            </w:r>
            <w:proofErr w:type="spellEnd"/>
            <w:proofErr w:type="gramEnd"/>
            <w:r w:rsidRPr="002045F5">
              <w:rPr>
                <w:sz w:val="22"/>
                <w:lang w:val="ru-RU"/>
              </w:rPr>
              <w:t xml:space="preserve"> «ЮВЕНЕС».</w:t>
            </w:r>
          </w:p>
          <w:p w:rsidR="003B7CFF" w:rsidRPr="002045F5" w:rsidRDefault="003B7CFF" w:rsidP="001013F3">
            <w:pPr>
              <w:ind w:left="174" w:right="344"/>
              <w:rPr>
                <w:color w:val="000000"/>
                <w:sz w:val="22"/>
                <w:lang w:val="ru-RU"/>
              </w:rPr>
            </w:pPr>
            <w:r w:rsidRPr="002045F5">
              <w:rPr>
                <w:sz w:val="22"/>
                <w:lang w:val="ru-RU"/>
              </w:rPr>
              <w:t xml:space="preserve">2.Проведення </w:t>
            </w:r>
            <w:proofErr w:type="spellStart"/>
            <w:r w:rsidRPr="002045F5">
              <w:rPr>
                <w:sz w:val="22"/>
                <w:lang w:val="ru-RU"/>
              </w:rPr>
              <w:t>інвентаризації</w:t>
            </w:r>
            <w:proofErr w:type="spellEnd"/>
            <w:r w:rsidRPr="002045F5">
              <w:rPr>
                <w:sz w:val="22"/>
                <w:lang w:val="ru-RU"/>
              </w:rPr>
              <w:t xml:space="preserve"> </w:t>
            </w:r>
            <w:proofErr w:type="spellStart"/>
            <w:r w:rsidRPr="002045F5">
              <w:rPr>
                <w:sz w:val="22"/>
                <w:lang w:val="ru-RU"/>
              </w:rPr>
              <w:t>основних</w:t>
            </w:r>
            <w:proofErr w:type="spellEnd"/>
            <w:r w:rsidRPr="002045F5">
              <w:rPr>
                <w:sz w:val="22"/>
                <w:lang w:val="ru-RU"/>
              </w:rPr>
              <w:t xml:space="preserve"> </w:t>
            </w:r>
            <w:proofErr w:type="spellStart"/>
            <w:r w:rsidRPr="002045F5">
              <w:rPr>
                <w:sz w:val="22"/>
                <w:lang w:val="ru-RU"/>
              </w:rPr>
              <w:t>засобів</w:t>
            </w:r>
            <w:proofErr w:type="spellEnd"/>
            <w:r w:rsidRPr="002045F5">
              <w:rPr>
                <w:sz w:val="22"/>
                <w:lang w:val="ru-RU"/>
              </w:rPr>
              <w:t>.</w:t>
            </w:r>
          </w:p>
          <w:p w:rsidR="003B7CFF" w:rsidRPr="002045F5" w:rsidRDefault="003B7CFF" w:rsidP="009E3278">
            <w:pPr>
              <w:ind w:left="174" w:right="344"/>
              <w:jc w:val="left"/>
              <w:rPr>
                <w:color w:val="000000"/>
                <w:sz w:val="22"/>
                <w:lang w:val="ru-RU"/>
              </w:rPr>
            </w:pPr>
            <w:r w:rsidRPr="002045F5">
              <w:rPr>
                <w:color w:val="000000"/>
                <w:sz w:val="22"/>
                <w:lang w:val="ru-RU"/>
              </w:rPr>
              <w:t xml:space="preserve">3.Утворення </w:t>
            </w:r>
            <w:proofErr w:type="spellStart"/>
            <w:r w:rsidRPr="002045F5">
              <w:rPr>
                <w:color w:val="000000"/>
                <w:sz w:val="22"/>
                <w:lang w:val="ru-RU"/>
              </w:rPr>
              <w:t>робочої</w:t>
            </w:r>
            <w:proofErr w:type="spellEnd"/>
            <w:r w:rsidRPr="002045F5">
              <w:rPr>
                <w:color w:val="000000"/>
                <w:sz w:val="22"/>
                <w:lang w:val="ru-RU"/>
              </w:rPr>
              <w:t xml:space="preserve"> </w:t>
            </w:r>
            <w:proofErr w:type="spellStart"/>
            <w:r w:rsidRPr="002045F5">
              <w:rPr>
                <w:color w:val="000000"/>
                <w:sz w:val="22"/>
                <w:lang w:val="ru-RU"/>
              </w:rPr>
              <w:t>групи</w:t>
            </w:r>
            <w:proofErr w:type="spellEnd"/>
            <w:r w:rsidRPr="002045F5">
              <w:rPr>
                <w:color w:val="000000"/>
                <w:sz w:val="22"/>
                <w:lang w:val="ru-RU"/>
              </w:rPr>
              <w:t xml:space="preserve"> для </w:t>
            </w:r>
            <w:proofErr w:type="spellStart"/>
            <w:r w:rsidRPr="002045F5">
              <w:rPr>
                <w:color w:val="000000"/>
                <w:sz w:val="22"/>
                <w:lang w:val="ru-RU"/>
              </w:rPr>
              <w:t>забезпечення</w:t>
            </w:r>
            <w:proofErr w:type="spellEnd"/>
            <w:r w:rsidRPr="002045F5">
              <w:rPr>
                <w:color w:val="000000"/>
                <w:sz w:val="22"/>
                <w:lang w:val="ru-RU"/>
              </w:rPr>
              <w:t xml:space="preserve"> </w:t>
            </w:r>
            <w:proofErr w:type="spellStart"/>
            <w:r w:rsidRPr="002045F5">
              <w:rPr>
                <w:color w:val="000000"/>
                <w:sz w:val="22"/>
                <w:lang w:val="ru-RU"/>
              </w:rPr>
              <w:t>належної</w:t>
            </w:r>
            <w:proofErr w:type="spellEnd"/>
            <w:r w:rsidRPr="002045F5">
              <w:rPr>
                <w:color w:val="000000"/>
                <w:sz w:val="22"/>
                <w:lang w:val="ru-RU"/>
              </w:rPr>
              <w:t xml:space="preserve"> організації виконання проєкту.                                                                                                              4.Розробка </w:t>
            </w:r>
            <w:proofErr w:type="spellStart"/>
            <w:r w:rsidRPr="002045F5">
              <w:rPr>
                <w:color w:val="000000"/>
                <w:sz w:val="22"/>
                <w:lang w:val="ru-RU"/>
              </w:rPr>
              <w:t>проєктно-кошторисної</w:t>
            </w:r>
            <w:proofErr w:type="spellEnd"/>
            <w:r w:rsidRPr="002045F5">
              <w:rPr>
                <w:color w:val="000000"/>
                <w:sz w:val="22"/>
                <w:lang w:val="ru-RU"/>
              </w:rPr>
              <w:t xml:space="preserve"> документації.</w:t>
            </w:r>
            <w:r w:rsidRPr="002045F5">
              <w:rPr>
                <w:color w:val="000000"/>
                <w:sz w:val="22"/>
                <w:lang w:val="ru-RU"/>
              </w:rPr>
              <w:br/>
              <w:t>5. Проведення конкурсних торгів.</w:t>
            </w:r>
            <w:r w:rsidRPr="002045F5">
              <w:rPr>
                <w:color w:val="000000"/>
                <w:sz w:val="22"/>
                <w:lang w:val="ru-RU"/>
              </w:rPr>
              <w:br/>
              <w:t xml:space="preserve">6. Укладення договору з </w:t>
            </w:r>
            <w:proofErr w:type="spellStart"/>
            <w:r w:rsidRPr="002045F5">
              <w:rPr>
                <w:color w:val="000000"/>
                <w:sz w:val="22"/>
                <w:lang w:val="ru-RU"/>
              </w:rPr>
              <w:t>підрядною</w:t>
            </w:r>
            <w:proofErr w:type="spellEnd"/>
            <w:r w:rsidRPr="002045F5">
              <w:rPr>
                <w:color w:val="000000"/>
                <w:sz w:val="22"/>
                <w:lang w:val="ru-RU"/>
              </w:rPr>
              <w:t xml:space="preserve"> </w:t>
            </w:r>
            <w:proofErr w:type="spellStart"/>
            <w:r w:rsidRPr="002045F5">
              <w:rPr>
                <w:color w:val="000000"/>
                <w:sz w:val="22"/>
                <w:lang w:val="ru-RU"/>
              </w:rPr>
              <w:t>організацією</w:t>
            </w:r>
            <w:proofErr w:type="spellEnd"/>
            <w:r w:rsidRPr="002045F5">
              <w:rPr>
                <w:color w:val="000000"/>
                <w:sz w:val="22"/>
                <w:lang w:val="ru-RU"/>
              </w:rPr>
              <w:t xml:space="preserve"> – </w:t>
            </w:r>
            <w:proofErr w:type="spellStart"/>
            <w:r w:rsidRPr="002045F5">
              <w:rPr>
                <w:color w:val="000000"/>
                <w:sz w:val="22"/>
                <w:lang w:val="ru-RU"/>
              </w:rPr>
              <w:t>переможцем</w:t>
            </w:r>
            <w:proofErr w:type="spellEnd"/>
            <w:r w:rsidRPr="002045F5">
              <w:rPr>
                <w:color w:val="000000"/>
                <w:sz w:val="22"/>
                <w:lang w:val="ru-RU"/>
              </w:rPr>
              <w:t xml:space="preserve"> </w:t>
            </w:r>
            <w:proofErr w:type="spellStart"/>
            <w:r w:rsidRPr="002045F5">
              <w:rPr>
                <w:color w:val="000000"/>
                <w:sz w:val="22"/>
                <w:lang w:val="ru-RU"/>
              </w:rPr>
              <w:t>конкурсних</w:t>
            </w:r>
            <w:proofErr w:type="spellEnd"/>
            <w:r w:rsidRPr="002045F5">
              <w:rPr>
                <w:color w:val="000000"/>
                <w:sz w:val="22"/>
                <w:lang w:val="ru-RU"/>
              </w:rPr>
              <w:t xml:space="preserve"> </w:t>
            </w:r>
            <w:proofErr w:type="spellStart"/>
            <w:r w:rsidRPr="002045F5">
              <w:rPr>
                <w:color w:val="000000"/>
                <w:sz w:val="22"/>
                <w:lang w:val="ru-RU"/>
              </w:rPr>
              <w:t>торгів</w:t>
            </w:r>
            <w:proofErr w:type="spellEnd"/>
            <w:r w:rsidRPr="002045F5">
              <w:rPr>
                <w:color w:val="000000"/>
                <w:sz w:val="22"/>
                <w:lang w:val="ru-RU"/>
              </w:rPr>
              <w:t xml:space="preserve">, яка </w:t>
            </w:r>
            <w:proofErr w:type="spellStart"/>
            <w:r w:rsidRPr="002045F5">
              <w:rPr>
                <w:color w:val="000000"/>
                <w:sz w:val="22"/>
                <w:lang w:val="ru-RU"/>
              </w:rPr>
              <w:t>має</w:t>
            </w:r>
            <w:proofErr w:type="spellEnd"/>
            <w:r w:rsidRPr="002045F5">
              <w:rPr>
                <w:color w:val="000000"/>
                <w:sz w:val="22"/>
                <w:lang w:val="ru-RU"/>
              </w:rPr>
              <w:t xml:space="preserve"> </w:t>
            </w:r>
            <w:proofErr w:type="spellStart"/>
            <w:r w:rsidRPr="002045F5">
              <w:rPr>
                <w:color w:val="000000"/>
                <w:sz w:val="22"/>
                <w:lang w:val="ru-RU"/>
              </w:rPr>
              <w:t>ліцензію</w:t>
            </w:r>
            <w:proofErr w:type="spellEnd"/>
            <w:r w:rsidRPr="002045F5">
              <w:rPr>
                <w:color w:val="000000"/>
                <w:sz w:val="22"/>
                <w:lang w:val="ru-RU"/>
              </w:rPr>
              <w:t xml:space="preserve"> на </w:t>
            </w:r>
            <w:proofErr w:type="spellStart"/>
            <w:r w:rsidRPr="002045F5">
              <w:rPr>
                <w:color w:val="000000"/>
                <w:sz w:val="22"/>
                <w:lang w:val="ru-RU"/>
              </w:rPr>
              <w:t>проведення</w:t>
            </w:r>
            <w:proofErr w:type="spellEnd"/>
            <w:r w:rsidRPr="002045F5">
              <w:rPr>
                <w:color w:val="000000"/>
                <w:sz w:val="22"/>
                <w:lang w:val="ru-RU"/>
              </w:rPr>
              <w:t xml:space="preserve"> </w:t>
            </w:r>
            <w:proofErr w:type="spellStart"/>
            <w:r w:rsidRPr="002045F5">
              <w:rPr>
                <w:color w:val="000000"/>
                <w:sz w:val="22"/>
                <w:lang w:val="ru-RU"/>
              </w:rPr>
              <w:t>містобудівної</w:t>
            </w:r>
            <w:proofErr w:type="spellEnd"/>
            <w:r w:rsidRPr="002045F5">
              <w:rPr>
                <w:color w:val="000000"/>
                <w:sz w:val="22"/>
                <w:lang w:val="ru-RU"/>
              </w:rPr>
              <w:t xml:space="preserve"> </w:t>
            </w:r>
            <w:proofErr w:type="spellStart"/>
            <w:r w:rsidRPr="002045F5">
              <w:rPr>
                <w:color w:val="000000"/>
                <w:sz w:val="22"/>
                <w:lang w:val="ru-RU"/>
              </w:rPr>
              <w:t>діяльності</w:t>
            </w:r>
            <w:proofErr w:type="spellEnd"/>
            <w:r w:rsidRPr="002045F5">
              <w:rPr>
                <w:color w:val="000000"/>
                <w:sz w:val="22"/>
                <w:lang w:val="ru-RU"/>
              </w:rPr>
              <w:t xml:space="preserve">, на </w:t>
            </w:r>
            <w:proofErr w:type="spellStart"/>
            <w:r w:rsidRPr="002045F5">
              <w:rPr>
                <w:color w:val="000000"/>
                <w:sz w:val="22"/>
                <w:lang w:val="ru-RU"/>
              </w:rPr>
              <w:t>проведення</w:t>
            </w:r>
            <w:proofErr w:type="spellEnd"/>
            <w:r w:rsidRPr="002045F5">
              <w:rPr>
                <w:color w:val="000000"/>
                <w:sz w:val="22"/>
                <w:lang w:val="ru-RU"/>
              </w:rPr>
              <w:t xml:space="preserve"> </w:t>
            </w:r>
            <w:proofErr w:type="spellStart"/>
            <w:r w:rsidRPr="002045F5">
              <w:rPr>
                <w:color w:val="000000"/>
                <w:sz w:val="22"/>
                <w:lang w:val="ru-RU"/>
              </w:rPr>
              <w:t>будівельних</w:t>
            </w:r>
            <w:proofErr w:type="spellEnd"/>
            <w:r w:rsidRPr="002045F5">
              <w:rPr>
                <w:color w:val="000000"/>
                <w:sz w:val="22"/>
                <w:lang w:val="ru-RU"/>
              </w:rPr>
              <w:t xml:space="preserve">, </w:t>
            </w:r>
            <w:proofErr w:type="spellStart"/>
            <w:r w:rsidRPr="002045F5">
              <w:rPr>
                <w:color w:val="000000"/>
                <w:sz w:val="22"/>
                <w:lang w:val="ru-RU"/>
              </w:rPr>
              <w:t>монтажних</w:t>
            </w:r>
            <w:proofErr w:type="spellEnd"/>
            <w:r w:rsidRPr="002045F5">
              <w:rPr>
                <w:color w:val="000000"/>
                <w:sz w:val="22"/>
                <w:lang w:val="ru-RU"/>
              </w:rPr>
              <w:t xml:space="preserve">, </w:t>
            </w:r>
            <w:proofErr w:type="spellStart"/>
            <w:r w:rsidRPr="002045F5">
              <w:rPr>
                <w:color w:val="000000"/>
                <w:sz w:val="22"/>
                <w:lang w:val="ru-RU"/>
              </w:rPr>
              <w:t>відновлювальних</w:t>
            </w:r>
            <w:proofErr w:type="spellEnd"/>
            <w:r w:rsidRPr="002045F5">
              <w:rPr>
                <w:color w:val="000000"/>
                <w:sz w:val="22"/>
                <w:lang w:val="ru-RU"/>
              </w:rPr>
              <w:t xml:space="preserve"> та </w:t>
            </w:r>
            <w:proofErr w:type="spellStart"/>
            <w:r w:rsidRPr="002045F5">
              <w:rPr>
                <w:color w:val="000000"/>
                <w:sz w:val="22"/>
                <w:lang w:val="ru-RU"/>
              </w:rPr>
              <w:t>пусконалагоджувальних</w:t>
            </w:r>
            <w:proofErr w:type="spellEnd"/>
            <w:r w:rsidRPr="002045F5">
              <w:rPr>
                <w:color w:val="000000"/>
                <w:sz w:val="22"/>
                <w:lang w:val="ru-RU"/>
              </w:rPr>
              <w:t xml:space="preserve"> </w:t>
            </w:r>
            <w:proofErr w:type="spellStart"/>
            <w:r w:rsidRPr="002045F5">
              <w:rPr>
                <w:color w:val="000000"/>
                <w:sz w:val="22"/>
                <w:lang w:val="ru-RU"/>
              </w:rPr>
              <w:t>робіт</w:t>
            </w:r>
            <w:proofErr w:type="spellEnd"/>
            <w:r w:rsidRPr="002045F5">
              <w:rPr>
                <w:color w:val="000000"/>
                <w:sz w:val="22"/>
                <w:lang w:val="ru-RU"/>
              </w:rPr>
              <w:t>.</w:t>
            </w:r>
            <w:r w:rsidRPr="002045F5">
              <w:rPr>
                <w:color w:val="000000"/>
                <w:sz w:val="22"/>
                <w:lang w:val="ru-RU"/>
              </w:rPr>
              <w:br/>
              <w:t xml:space="preserve">7. </w:t>
            </w:r>
            <w:proofErr w:type="spellStart"/>
            <w:r w:rsidRPr="002045F5">
              <w:rPr>
                <w:color w:val="000000"/>
                <w:sz w:val="22"/>
                <w:lang w:val="ru-RU"/>
              </w:rPr>
              <w:t>Здійснення</w:t>
            </w:r>
            <w:proofErr w:type="spellEnd"/>
            <w:r w:rsidRPr="002045F5">
              <w:rPr>
                <w:color w:val="000000"/>
                <w:sz w:val="22"/>
                <w:lang w:val="ru-RU"/>
              </w:rPr>
              <w:t xml:space="preserve"> </w:t>
            </w:r>
            <w:proofErr w:type="spellStart"/>
            <w:r w:rsidRPr="002045F5">
              <w:rPr>
                <w:color w:val="000000"/>
                <w:sz w:val="22"/>
                <w:lang w:val="ru-RU"/>
              </w:rPr>
              <w:t>будівельних</w:t>
            </w:r>
            <w:proofErr w:type="spellEnd"/>
            <w:r w:rsidRPr="002045F5">
              <w:rPr>
                <w:color w:val="000000"/>
                <w:sz w:val="22"/>
                <w:lang w:val="ru-RU"/>
              </w:rPr>
              <w:t xml:space="preserve">, </w:t>
            </w:r>
            <w:proofErr w:type="spellStart"/>
            <w:r w:rsidRPr="002045F5">
              <w:rPr>
                <w:color w:val="000000"/>
                <w:sz w:val="22"/>
                <w:lang w:val="ru-RU"/>
              </w:rPr>
              <w:t>монтажних</w:t>
            </w:r>
            <w:proofErr w:type="spellEnd"/>
            <w:r w:rsidRPr="002045F5">
              <w:rPr>
                <w:color w:val="000000"/>
                <w:sz w:val="22"/>
                <w:lang w:val="ru-RU"/>
              </w:rPr>
              <w:t xml:space="preserve">, </w:t>
            </w:r>
            <w:proofErr w:type="spellStart"/>
            <w:r w:rsidRPr="002045F5">
              <w:rPr>
                <w:color w:val="000000"/>
                <w:sz w:val="22"/>
                <w:lang w:val="ru-RU"/>
              </w:rPr>
              <w:t>відновлювальних</w:t>
            </w:r>
            <w:proofErr w:type="spellEnd"/>
            <w:r w:rsidRPr="002045F5">
              <w:rPr>
                <w:color w:val="000000"/>
                <w:sz w:val="22"/>
                <w:lang w:val="ru-RU"/>
              </w:rPr>
              <w:t xml:space="preserve"> та </w:t>
            </w:r>
            <w:proofErr w:type="spellStart"/>
            <w:r w:rsidRPr="002045F5">
              <w:rPr>
                <w:color w:val="000000"/>
                <w:sz w:val="22"/>
                <w:lang w:val="ru-RU"/>
              </w:rPr>
              <w:t>пусконалагоджувальних</w:t>
            </w:r>
            <w:proofErr w:type="spellEnd"/>
            <w:r w:rsidRPr="002045F5">
              <w:rPr>
                <w:color w:val="000000"/>
                <w:sz w:val="22"/>
                <w:lang w:val="ru-RU"/>
              </w:rPr>
              <w:t xml:space="preserve"> </w:t>
            </w:r>
            <w:proofErr w:type="spellStart"/>
            <w:r w:rsidRPr="002045F5">
              <w:rPr>
                <w:color w:val="000000"/>
                <w:sz w:val="22"/>
                <w:lang w:val="ru-RU"/>
              </w:rPr>
              <w:t>робіт</w:t>
            </w:r>
            <w:proofErr w:type="spellEnd"/>
            <w:r w:rsidRPr="002045F5">
              <w:rPr>
                <w:color w:val="000000"/>
                <w:sz w:val="22"/>
                <w:lang w:val="ru-RU"/>
              </w:rPr>
              <w:t xml:space="preserve">:        </w:t>
            </w:r>
          </w:p>
          <w:p w:rsidR="003B7CFF" w:rsidRPr="002045F5" w:rsidRDefault="003B7CFF" w:rsidP="009E3278">
            <w:pPr>
              <w:ind w:right="344"/>
              <w:jc w:val="left"/>
              <w:rPr>
                <w:color w:val="000000"/>
                <w:sz w:val="22"/>
                <w:lang w:val="ru-RU"/>
              </w:rPr>
            </w:pPr>
            <w:r w:rsidRPr="002045F5">
              <w:rPr>
                <w:color w:val="000000"/>
                <w:sz w:val="22"/>
                <w:lang w:val="ru-RU"/>
              </w:rPr>
              <w:t xml:space="preserve"> 7.1. Ремонт </w:t>
            </w:r>
            <w:proofErr w:type="spellStart"/>
            <w:r w:rsidRPr="002045F5">
              <w:rPr>
                <w:color w:val="000000"/>
                <w:sz w:val="22"/>
                <w:lang w:val="ru-RU"/>
              </w:rPr>
              <w:t>харчоблоку</w:t>
            </w:r>
            <w:proofErr w:type="spellEnd"/>
            <w:r w:rsidRPr="002045F5">
              <w:rPr>
                <w:color w:val="000000"/>
                <w:sz w:val="22"/>
                <w:lang w:val="ru-RU"/>
              </w:rPr>
              <w:t xml:space="preserve">, </w:t>
            </w:r>
            <w:proofErr w:type="spellStart"/>
            <w:r w:rsidRPr="002045F5">
              <w:rPr>
                <w:color w:val="000000"/>
                <w:sz w:val="22"/>
                <w:lang w:val="ru-RU"/>
              </w:rPr>
              <w:t>їдальні</w:t>
            </w:r>
            <w:proofErr w:type="spellEnd"/>
            <w:r w:rsidRPr="002045F5">
              <w:rPr>
                <w:color w:val="000000"/>
                <w:sz w:val="22"/>
                <w:lang w:val="ru-RU"/>
              </w:rPr>
              <w:t xml:space="preserve">, </w:t>
            </w:r>
            <w:proofErr w:type="spellStart"/>
            <w:r w:rsidRPr="002045F5">
              <w:rPr>
                <w:color w:val="000000"/>
                <w:sz w:val="22"/>
                <w:lang w:val="ru-RU"/>
              </w:rPr>
              <w:t>актової</w:t>
            </w:r>
            <w:proofErr w:type="spellEnd"/>
            <w:r w:rsidRPr="002045F5">
              <w:rPr>
                <w:color w:val="000000"/>
                <w:sz w:val="22"/>
                <w:lang w:val="ru-RU"/>
              </w:rPr>
              <w:t xml:space="preserve"> </w:t>
            </w:r>
            <w:proofErr w:type="spellStart"/>
            <w:r w:rsidRPr="002045F5">
              <w:rPr>
                <w:color w:val="000000"/>
                <w:sz w:val="22"/>
                <w:lang w:val="ru-RU"/>
              </w:rPr>
              <w:t>зали</w:t>
            </w:r>
            <w:proofErr w:type="spellEnd"/>
            <w:r w:rsidRPr="002045F5">
              <w:rPr>
                <w:color w:val="000000"/>
                <w:sz w:val="22"/>
                <w:lang w:val="ru-RU"/>
              </w:rPr>
              <w:t xml:space="preserve">, </w:t>
            </w:r>
            <w:proofErr w:type="spellStart"/>
            <w:r w:rsidRPr="002045F5">
              <w:rPr>
                <w:color w:val="000000"/>
                <w:sz w:val="22"/>
                <w:lang w:val="ru-RU"/>
              </w:rPr>
              <w:t>спортивної</w:t>
            </w:r>
            <w:proofErr w:type="spellEnd"/>
            <w:r w:rsidRPr="002045F5">
              <w:rPr>
                <w:color w:val="000000"/>
                <w:sz w:val="22"/>
                <w:lang w:val="ru-RU"/>
              </w:rPr>
              <w:t xml:space="preserve"> </w:t>
            </w:r>
            <w:proofErr w:type="spellStart"/>
            <w:r w:rsidRPr="002045F5">
              <w:rPr>
                <w:color w:val="000000"/>
                <w:sz w:val="22"/>
                <w:lang w:val="ru-RU"/>
              </w:rPr>
              <w:t>зали</w:t>
            </w:r>
            <w:proofErr w:type="spellEnd"/>
            <w:r w:rsidRPr="002045F5">
              <w:rPr>
                <w:color w:val="000000"/>
                <w:sz w:val="22"/>
                <w:lang w:val="ru-RU"/>
              </w:rPr>
              <w:t xml:space="preserve">, </w:t>
            </w:r>
            <w:proofErr w:type="spellStart"/>
            <w:r w:rsidRPr="002045F5">
              <w:rPr>
                <w:color w:val="000000"/>
                <w:sz w:val="22"/>
                <w:lang w:val="ru-RU"/>
              </w:rPr>
              <w:t>гімнастичної</w:t>
            </w:r>
            <w:proofErr w:type="spellEnd"/>
            <w:r w:rsidRPr="002045F5">
              <w:rPr>
                <w:color w:val="000000"/>
                <w:sz w:val="22"/>
                <w:lang w:val="ru-RU"/>
              </w:rPr>
              <w:t xml:space="preserve"> </w:t>
            </w:r>
            <w:proofErr w:type="spellStart"/>
            <w:r w:rsidRPr="002045F5">
              <w:rPr>
                <w:color w:val="000000"/>
                <w:sz w:val="22"/>
                <w:lang w:val="ru-RU"/>
              </w:rPr>
              <w:t>зали</w:t>
            </w:r>
            <w:proofErr w:type="spellEnd"/>
            <w:r w:rsidRPr="002045F5">
              <w:rPr>
                <w:color w:val="000000"/>
                <w:sz w:val="22"/>
                <w:lang w:val="ru-RU"/>
              </w:rPr>
              <w:t xml:space="preserve">, </w:t>
            </w:r>
            <w:proofErr w:type="spellStart"/>
            <w:r w:rsidRPr="002045F5">
              <w:rPr>
                <w:color w:val="000000"/>
                <w:sz w:val="22"/>
                <w:lang w:val="ru-RU"/>
              </w:rPr>
              <w:t>кабінетів</w:t>
            </w:r>
            <w:proofErr w:type="spellEnd"/>
            <w:r w:rsidRPr="002045F5">
              <w:rPr>
                <w:color w:val="000000"/>
                <w:sz w:val="22"/>
                <w:lang w:val="ru-RU"/>
              </w:rPr>
              <w:t xml:space="preserve">,  </w:t>
            </w:r>
            <w:proofErr w:type="spellStart"/>
            <w:r w:rsidRPr="002045F5">
              <w:rPr>
                <w:color w:val="000000"/>
                <w:sz w:val="22"/>
                <w:lang w:val="ru-RU"/>
              </w:rPr>
              <w:t>коридорів</w:t>
            </w:r>
            <w:proofErr w:type="spellEnd"/>
            <w:r w:rsidRPr="002045F5">
              <w:rPr>
                <w:color w:val="000000"/>
                <w:sz w:val="22"/>
                <w:lang w:val="ru-RU"/>
              </w:rPr>
              <w:t xml:space="preserve">, </w:t>
            </w:r>
            <w:proofErr w:type="spellStart"/>
            <w:r w:rsidRPr="002045F5">
              <w:rPr>
                <w:color w:val="000000"/>
                <w:sz w:val="22"/>
                <w:lang w:val="ru-RU"/>
              </w:rPr>
              <w:t>туалетів</w:t>
            </w:r>
            <w:proofErr w:type="spellEnd"/>
            <w:r w:rsidRPr="002045F5">
              <w:rPr>
                <w:color w:val="000000"/>
                <w:sz w:val="22"/>
                <w:lang w:val="ru-RU"/>
              </w:rPr>
              <w:t>:</w:t>
            </w:r>
            <w:r w:rsidRPr="002045F5">
              <w:rPr>
                <w:color w:val="000000"/>
                <w:sz w:val="22"/>
                <w:lang w:val="ru-RU"/>
              </w:rPr>
              <w:br/>
              <w:t xml:space="preserve">- </w:t>
            </w:r>
            <w:proofErr w:type="spellStart"/>
            <w:r w:rsidRPr="002045F5">
              <w:rPr>
                <w:color w:val="000000"/>
                <w:sz w:val="22"/>
                <w:lang w:val="ru-RU"/>
              </w:rPr>
              <w:t>заміна</w:t>
            </w:r>
            <w:proofErr w:type="spellEnd"/>
            <w:r w:rsidRPr="002045F5">
              <w:rPr>
                <w:color w:val="000000"/>
                <w:sz w:val="22"/>
                <w:lang w:val="ru-RU"/>
              </w:rPr>
              <w:t xml:space="preserve"> дверей з </w:t>
            </w:r>
            <w:proofErr w:type="spellStart"/>
            <w:r w:rsidRPr="002045F5">
              <w:rPr>
                <w:color w:val="000000"/>
                <w:sz w:val="22"/>
                <w:lang w:val="ru-RU"/>
              </w:rPr>
              <w:t>лудками</w:t>
            </w:r>
            <w:proofErr w:type="spellEnd"/>
            <w:r w:rsidRPr="002045F5">
              <w:rPr>
                <w:color w:val="000000"/>
                <w:sz w:val="22"/>
                <w:lang w:val="ru-RU"/>
              </w:rPr>
              <w:t xml:space="preserve"> і замками – 112 шт. </w:t>
            </w:r>
            <w:proofErr w:type="spellStart"/>
            <w:r w:rsidRPr="002045F5">
              <w:rPr>
                <w:color w:val="000000"/>
                <w:sz w:val="22"/>
                <w:lang w:val="ru-RU"/>
              </w:rPr>
              <w:t>одинарних</w:t>
            </w:r>
            <w:proofErr w:type="spellEnd"/>
            <w:r w:rsidRPr="002045F5">
              <w:rPr>
                <w:color w:val="000000"/>
                <w:sz w:val="22"/>
                <w:lang w:val="ru-RU"/>
              </w:rPr>
              <w:t xml:space="preserve"> та 8 шт. </w:t>
            </w:r>
            <w:proofErr w:type="spellStart"/>
            <w:r w:rsidRPr="002045F5">
              <w:rPr>
                <w:color w:val="000000"/>
                <w:sz w:val="22"/>
                <w:lang w:val="ru-RU"/>
              </w:rPr>
              <w:t>подвійних</w:t>
            </w:r>
            <w:proofErr w:type="spellEnd"/>
            <w:r w:rsidRPr="002045F5">
              <w:rPr>
                <w:color w:val="000000"/>
                <w:sz w:val="22"/>
                <w:lang w:val="ru-RU"/>
              </w:rPr>
              <w:t>;</w:t>
            </w:r>
            <w:r w:rsidRPr="002045F5">
              <w:rPr>
                <w:color w:val="000000"/>
                <w:sz w:val="22"/>
                <w:lang w:val="ru-RU"/>
              </w:rPr>
              <w:br/>
              <w:t xml:space="preserve">- </w:t>
            </w:r>
            <w:proofErr w:type="spellStart"/>
            <w:r w:rsidRPr="002045F5">
              <w:rPr>
                <w:color w:val="000000"/>
                <w:sz w:val="22"/>
                <w:lang w:val="ru-RU"/>
              </w:rPr>
              <w:t>переклеювання</w:t>
            </w:r>
            <w:proofErr w:type="spellEnd"/>
            <w:r w:rsidRPr="002045F5">
              <w:rPr>
                <w:color w:val="000000"/>
                <w:sz w:val="22"/>
                <w:lang w:val="ru-RU"/>
              </w:rPr>
              <w:t xml:space="preserve"> шпалер -50 </w:t>
            </w:r>
            <w:proofErr w:type="spellStart"/>
            <w:r w:rsidRPr="002045F5">
              <w:rPr>
                <w:color w:val="000000"/>
                <w:sz w:val="22"/>
                <w:lang w:val="ru-RU"/>
              </w:rPr>
              <w:t>кабінетів</w:t>
            </w:r>
            <w:proofErr w:type="spellEnd"/>
            <w:r w:rsidRPr="002045F5">
              <w:rPr>
                <w:color w:val="000000"/>
                <w:sz w:val="22"/>
                <w:lang w:val="ru-RU"/>
              </w:rPr>
              <w:t xml:space="preserve"> по 51м2,  10 </w:t>
            </w:r>
            <w:proofErr w:type="spellStart"/>
            <w:r w:rsidRPr="002045F5">
              <w:rPr>
                <w:color w:val="000000"/>
                <w:sz w:val="22"/>
                <w:lang w:val="ru-RU"/>
              </w:rPr>
              <w:t>кабінетів</w:t>
            </w:r>
            <w:proofErr w:type="spellEnd"/>
            <w:r w:rsidRPr="002045F5">
              <w:rPr>
                <w:color w:val="000000"/>
                <w:sz w:val="22"/>
                <w:lang w:val="ru-RU"/>
              </w:rPr>
              <w:t xml:space="preserve"> по 9 м2, </w:t>
            </w:r>
            <w:r w:rsidRPr="002045F5">
              <w:rPr>
                <w:color w:val="000000"/>
                <w:sz w:val="22"/>
                <w:lang w:val="ru-RU"/>
              </w:rPr>
              <w:br/>
              <w:t xml:space="preserve">- ремонт </w:t>
            </w:r>
            <w:proofErr w:type="spellStart"/>
            <w:r w:rsidRPr="002045F5">
              <w:rPr>
                <w:color w:val="000000"/>
                <w:sz w:val="22"/>
                <w:lang w:val="ru-RU"/>
              </w:rPr>
              <w:t>стелі</w:t>
            </w:r>
            <w:proofErr w:type="spellEnd"/>
            <w:r w:rsidRPr="002045F5">
              <w:rPr>
                <w:color w:val="000000"/>
                <w:sz w:val="22"/>
                <w:lang w:val="ru-RU"/>
              </w:rPr>
              <w:t xml:space="preserve"> в </w:t>
            </w:r>
            <w:proofErr w:type="spellStart"/>
            <w:r w:rsidRPr="002045F5">
              <w:rPr>
                <w:color w:val="000000"/>
                <w:sz w:val="22"/>
                <w:lang w:val="ru-RU"/>
              </w:rPr>
              <w:t>кабінетах</w:t>
            </w:r>
            <w:proofErr w:type="spellEnd"/>
            <w:r w:rsidRPr="002045F5">
              <w:rPr>
                <w:color w:val="000000"/>
                <w:sz w:val="22"/>
                <w:lang w:val="ru-RU"/>
              </w:rPr>
              <w:t xml:space="preserve"> і коридорах 7755 м2. </w:t>
            </w:r>
            <w:r w:rsidRPr="002045F5">
              <w:rPr>
                <w:color w:val="000000"/>
                <w:sz w:val="22"/>
                <w:lang w:val="ru-RU"/>
              </w:rPr>
              <w:br/>
              <w:t xml:space="preserve">- </w:t>
            </w:r>
            <w:proofErr w:type="spellStart"/>
            <w:r w:rsidRPr="002045F5">
              <w:rPr>
                <w:color w:val="000000"/>
                <w:sz w:val="22"/>
                <w:lang w:val="ru-RU"/>
              </w:rPr>
              <w:t>заміна</w:t>
            </w:r>
            <w:proofErr w:type="spellEnd"/>
            <w:r w:rsidRPr="002045F5">
              <w:rPr>
                <w:color w:val="000000"/>
                <w:sz w:val="22"/>
                <w:lang w:val="ru-RU"/>
              </w:rPr>
              <w:t xml:space="preserve"> </w:t>
            </w:r>
            <w:proofErr w:type="spellStart"/>
            <w:r w:rsidRPr="002045F5">
              <w:rPr>
                <w:color w:val="000000"/>
                <w:sz w:val="22"/>
                <w:lang w:val="ru-RU"/>
              </w:rPr>
              <w:t>лінолеуму</w:t>
            </w:r>
            <w:proofErr w:type="spellEnd"/>
            <w:r w:rsidRPr="002045F5">
              <w:rPr>
                <w:color w:val="000000"/>
                <w:sz w:val="22"/>
                <w:lang w:val="ru-RU"/>
              </w:rPr>
              <w:t xml:space="preserve"> 6717 м2  </w:t>
            </w:r>
            <w:r w:rsidRPr="002045F5">
              <w:rPr>
                <w:color w:val="000000"/>
                <w:sz w:val="22"/>
                <w:lang w:val="ru-RU"/>
              </w:rPr>
              <w:br/>
              <w:t xml:space="preserve">- </w:t>
            </w:r>
            <w:proofErr w:type="spellStart"/>
            <w:r w:rsidRPr="002045F5">
              <w:rPr>
                <w:color w:val="000000"/>
                <w:sz w:val="22"/>
                <w:lang w:val="ru-RU"/>
              </w:rPr>
              <w:t>фарбування</w:t>
            </w:r>
            <w:proofErr w:type="spellEnd"/>
            <w:r w:rsidRPr="002045F5">
              <w:rPr>
                <w:color w:val="000000"/>
                <w:sz w:val="22"/>
                <w:lang w:val="ru-RU"/>
              </w:rPr>
              <w:t xml:space="preserve"> </w:t>
            </w:r>
            <w:proofErr w:type="spellStart"/>
            <w:r w:rsidRPr="002045F5">
              <w:rPr>
                <w:color w:val="000000"/>
                <w:sz w:val="22"/>
                <w:lang w:val="ru-RU"/>
              </w:rPr>
              <w:t>стін</w:t>
            </w:r>
            <w:proofErr w:type="spellEnd"/>
            <w:r w:rsidRPr="002045F5">
              <w:rPr>
                <w:color w:val="000000"/>
                <w:sz w:val="22"/>
                <w:lang w:val="ru-RU"/>
              </w:rPr>
              <w:t xml:space="preserve"> </w:t>
            </w:r>
            <w:proofErr w:type="spellStart"/>
            <w:r w:rsidRPr="002045F5">
              <w:rPr>
                <w:color w:val="000000"/>
                <w:sz w:val="22"/>
                <w:lang w:val="ru-RU"/>
              </w:rPr>
              <w:t>коридорів</w:t>
            </w:r>
            <w:proofErr w:type="spellEnd"/>
            <w:r w:rsidRPr="002045F5">
              <w:rPr>
                <w:color w:val="000000"/>
                <w:sz w:val="22"/>
                <w:lang w:val="ru-RU"/>
              </w:rPr>
              <w:t>.                                                                                                                                                       7.</w:t>
            </w:r>
            <w:proofErr w:type="gramStart"/>
            <w:r w:rsidRPr="002045F5">
              <w:rPr>
                <w:color w:val="000000"/>
                <w:sz w:val="22"/>
                <w:lang w:val="ru-RU"/>
              </w:rPr>
              <w:t>2.Ремонт</w:t>
            </w:r>
            <w:proofErr w:type="gramEnd"/>
            <w:r w:rsidRPr="002045F5">
              <w:rPr>
                <w:color w:val="000000"/>
                <w:sz w:val="22"/>
                <w:lang w:val="ru-RU"/>
              </w:rPr>
              <w:t xml:space="preserve"> </w:t>
            </w:r>
            <w:proofErr w:type="spellStart"/>
            <w:r w:rsidRPr="002045F5">
              <w:rPr>
                <w:color w:val="000000"/>
                <w:sz w:val="22"/>
                <w:lang w:val="ru-RU"/>
              </w:rPr>
              <w:t>подвійних</w:t>
            </w:r>
            <w:proofErr w:type="spellEnd"/>
            <w:r w:rsidRPr="002045F5">
              <w:rPr>
                <w:color w:val="000000"/>
                <w:sz w:val="22"/>
                <w:lang w:val="ru-RU"/>
              </w:rPr>
              <w:t xml:space="preserve"> </w:t>
            </w:r>
            <w:proofErr w:type="spellStart"/>
            <w:r w:rsidRPr="002045F5">
              <w:rPr>
                <w:color w:val="000000"/>
                <w:sz w:val="22"/>
                <w:lang w:val="ru-RU"/>
              </w:rPr>
              <w:t>металопластикових</w:t>
            </w:r>
            <w:proofErr w:type="spellEnd"/>
            <w:r w:rsidRPr="002045F5">
              <w:rPr>
                <w:color w:val="000000"/>
                <w:sz w:val="22"/>
                <w:lang w:val="ru-RU"/>
              </w:rPr>
              <w:t xml:space="preserve"> </w:t>
            </w:r>
            <w:proofErr w:type="spellStart"/>
            <w:r w:rsidRPr="002045F5">
              <w:rPr>
                <w:color w:val="000000"/>
                <w:sz w:val="22"/>
                <w:lang w:val="ru-RU"/>
              </w:rPr>
              <w:t>конструкцій</w:t>
            </w:r>
            <w:proofErr w:type="spellEnd"/>
            <w:r w:rsidRPr="002045F5">
              <w:rPr>
                <w:color w:val="000000"/>
                <w:sz w:val="22"/>
                <w:lang w:val="ru-RU"/>
              </w:rPr>
              <w:t xml:space="preserve"> входу старшого корпусу з  </w:t>
            </w:r>
            <w:proofErr w:type="spellStart"/>
            <w:r w:rsidRPr="002045F5">
              <w:rPr>
                <w:color w:val="000000"/>
                <w:sz w:val="22"/>
                <w:lang w:val="ru-RU"/>
              </w:rPr>
              <w:t>дверима</w:t>
            </w:r>
            <w:proofErr w:type="spellEnd"/>
            <w:r w:rsidRPr="002045F5">
              <w:rPr>
                <w:color w:val="000000"/>
                <w:sz w:val="22"/>
                <w:lang w:val="ru-RU"/>
              </w:rPr>
              <w:t xml:space="preserve">, ремонт </w:t>
            </w:r>
            <w:proofErr w:type="spellStart"/>
            <w:r w:rsidRPr="002045F5">
              <w:rPr>
                <w:color w:val="000000"/>
                <w:sz w:val="22"/>
                <w:lang w:val="ru-RU"/>
              </w:rPr>
              <w:t>щабелів</w:t>
            </w:r>
            <w:proofErr w:type="spellEnd"/>
            <w:r w:rsidRPr="002045F5">
              <w:rPr>
                <w:color w:val="000000"/>
                <w:sz w:val="22"/>
                <w:lang w:val="ru-RU"/>
              </w:rPr>
              <w:t xml:space="preserve"> </w:t>
            </w:r>
            <w:proofErr w:type="spellStart"/>
            <w:r w:rsidRPr="002045F5">
              <w:rPr>
                <w:color w:val="000000"/>
                <w:sz w:val="22"/>
                <w:lang w:val="ru-RU"/>
              </w:rPr>
              <w:t>сходин</w:t>
            </w:r>
            <w:proofErr w:type="spellEnd"/>
            <w:r w:rsidRPr="002045F5">
              <w:rPr>
                <w:color w:val="000000"/>
                <w:sz w:val="22"/>
                <w:lang w:val="ru-RU"/>
              </w:rPr>
              <w:t xml:space="preserve"> перед входом. </w:t>
            </w:r>
            <w:r w:rsidRPr="002045F5">
              <w:rPr>
                <w:color w:val="000000"/>
                <w:sz w:val="22"/>
                <w:lang w:val="ru-RU"/>
              </w:rPr>
              <w:br/>
              <w:t xml:space="preserve">7.3. </w:t>
            </w:r>
            <w:proofErr w:type="spellStart"/>
            <w:r w:rsidRPr="002045F5">
              <w:rPr>
                <w:color w:val="000000"/>
                <w:sz w:val="22"/>
                <w:lang w:val="ru-RU"/>
              </w:rPr>
              <w:t>Заміна</w:t>
            </w:r>
            <w:proofErr w:type="spellEnd"/>
            <w:r w:rsidRPr="002045F5">
              <w:rPr>
                <w:color w:val="000000"/>
                <w:sz w:val="22"/>
                <w:lang w:val="ru-RU"/>
              </w:rPr>
              <w:t xml:space="preserve"> дверей </w:t>
            </w:r>
            <w:proofErr w:type="spellStart"/>
            <w:r w:rsidRPr="002045F5">
              <w:rPr>
                <w:color w:val="000000"/>
                <w:sz w:val="22"/>
                <w:lang w:val="ru-RU"/>
              </w:rPr>
              <w:t>запасних</w:t>
            </w:r>
            <w:proofErr w:type="spellEnd"/>
            <w:r w:rsidRPr="002045F5">
              <w:rPr>
                <w:color w:val="000000"/>
                <w:sz w:val="22"/>
                <w:lang w:val="ru-RU"/>
              </w:rPr>
              <w:t xml:space="preserve"> </w:t>
            </w:r>
            <w:proofErr w:type="spellStart"/>
            <w:r w:rsidRPr="002045F5">
              <w:rPr>
                <w:color w:val="000000"/>
                <w:sz w:val="22"/>
                <w:lang w:val="ru-RU"/>
              </w:rPr>
              <w:t>виходів</w:t>
            </w:r>
            <w:proofErr w:type="spellEnd"/>
            <w:r w:rsidRPr="002045F5">
              <w:rPr>
                <w:color w:val="000000"/>
                <w:sz w:val="22"/>
                <w:lang w:val="ru-RU"/>
              </w:rPr>
              <w:t xml:space="preserve"> – 7 шт.                                                                                                                              </w:t>
            </w:r>
            <w:r w:rsidRPr="002045F5">
              <w:rPr>
                <w:color w:val="000000"/>
                <w:sz w:val="22"/>
                <w:lang w:val="ru-RU"/>
              </w:rPr>
              <w:lastRenderedPageBreak/>
              <w:t xml:space="preserve">7.4. </w:t>
            </w:r>
            <w:proofErr w:type="spellStart"/>
            <w:r w:rsidRPr="002045F5">
              <w:rPr>
                <w:color w:val="000000"/>
                <w:sz w:val="22"/>
                <w:lang w:val="ru-RU"/>
              </w:rPr>
              <w:t>Заміна</w:t>
            </w:r>
            <w:proofErr w:type="spellEnd"/>
            <w:r w:rsidRPr="002045F5">
              <w:rPr>
                <w:color w:val="000000"/>
                <w:sz w:val="22"/>
                <w:lang w:val="ru-RU"/>
              </w:rPr>
              <w:t xml:space="preserve"> </w:t>
            </w:r>
            <w:proofErr w:type="spellStart"/>
            <w:r w:rsidRPr="002045F5">
              <w:rPr>
                <w:color w:val="000000"/>
                <w:sz w:val="22"/>
                <w:lang w:val="ru-RU"/>
              </w:rPr>
              <w:t>дерев’яного</w:t>
            </w:r>
            <w:proofErr w:type="spellEnd"/>
            <w:r w:rsidRPr="002045F5">
              <w:rPr>
                <w:color w:val="000000"/>
                <w:sz w:val="22"/>
                <w:lang w:val="ru-RU"/>
              </w:rPr>
              <w:t xml:space="preserve"> </w:t>
            </w:r>
            <w:proofErr w:type="spellStart"/>
            <w:r w:rsidRPr="002045F5">
              <w:rPr>
                <w:color w:val="000000"/>
                <w:sz w:val="22"/>
                <w:lang w:val="ru-RU"/>
              </w:rPr>
              <w:t>покриття</w:t>
            </w:r>
            <w:proofErr w:type="spellEnd"/>
            <w:r w:rsidRPr="002045F5">
              <w:rPr>
                <w:color w:val="000000"/>
                <w:sz w:val="22"/>
                <w:lang w:val="ru-RU"/>
              </w:rPr>
              <w:t xml:space="preserve"> </w:t>
            </w:r>
            <w:proofErr w:type="spellStart"/>
            <w:r w:rsidRPr="002045F5">
              <w:rPr>
                <w:color w:val="000000"/>
                <w:sz w:val="22"/>
                <w:lang w:val="ru-RU"/>
              </w:rPr>
              <w:t>підлоги</w:t>
            </w:r>
            <w:proofErr w:type="spellEnd"/>
            <w:r w:rsidRPr="002045F5">
              <w:rPr>
                <w:color w:val="000000"/>
                <w:sz w:val="22"/>
                <w:lang w:val="ru-RU"/>
              </w:rPr>
              <w:t xml:space="preserve"> в </w:t>
            </w:r>
            <w:proofErr w:type="spellStart"/>
            <w:r w:rsidRPr="002045F5">
              <w:rPr>
                <w:color w:val="000000"/>
                <w:sz w:val="22"/>
                <w:lang w:val="ru-RU"/>
              </w:rPr>
              <w:t>спортивній</w:t>
            </w:r>
            <w:proofErr w:type="spellEnd"/>
            <w:r w:rsidRPr="002045F5">
              <w:rPr>
                <w:color w:val="000000"/>
                <w:sz w:val="22"/>
                <w:lang w:val="ru-RU"/>
              </w:rPr>
              <w:t xml:space="preserve"> </w:t>
            </w:r>
            <w:proofErr w:type="spellStart"/>
            <w:r w:rsidRPr="002045F5">
              <w:rPr>
                <w:color w:val="000000"/>
                <w:sz w:val="22"/>
                <w:lang w:val="ru-RU"/>
              </w:rPr>
              <w:t>залі</w:t>
            </w:r>
            <w:proofErr w:type="spellEnd"/>
            <w:r w:rsidRPr="002045F5">
              <w:rPr>
                <w:color w:val="000000"/>
                <w:sz w:val="22"/>
                <w:lang w:val="ru-RU"/>
              </w:rPr>
              <w:t xml:space="preserve"> 500 м2 та в </w:t>
            </w:r>
            <w:proofErr w:type="spellStart"/>
            <w:r w:rsidRPr="002045F5">
              <w:rPr>
                <w:color w:val="000000"/>
                <w:sz w:val="22"/>
                <w:lang w:val="ru-RU"/>
              </w:rPr>
              <w:t>гімнастичній</w:t>
            </w:r>
            <w:proofErr w:type="spellEnd"/>
            <w:r w:rsidRPr="002045F5">
              <w:rPr>
                <w:color w:val="000000"/>
                <w:sz w:val="22"/>
                <w:lang w:val="ru-RU"/>
              </w:rPr>
              <w:t xml:space="preserve"> залі 300м2.                                                                                                                                                            7. 5. </w:t>
            </w:r>
            <w:proofErr w:type="spellStart"/>
            <w:r w:rsidRPr="002045F5">
              <w:rPr>
                <w:color w:val="000000"/>
                <w:sz w:val="22"/>
                <w:lang w:val="ru-RU"/>
              </w:rPr>
              <w:t>Тепломодернізація</w:t>
            </w:r>
            <w:proofErr w:type="spellEnd"/>
            <w:r w:rsidRPr="002045F5">
              <w:rPr>
                <w:color w:val="000000"/>
                <w:sz w:val="22"/>
                <w:lang w:val="ru-RU"/>
              </w:rPr>
              <w:t xml:space="preserve"> </w:t>
            </w:r>
            <w:proofErr w:type="spellStart"/>
            <w:r w:rsidRPr="002045F5">
              <w:rPr>
                <w:color w:val="000000"/>
                <w:sz w:val="22"/>
                <w:lang w:val="ru-RU"/>
              </w:rPr>
              <w:t>будівлі</w:t>
            </w:r>
            <w:proofErr w:type="spellEnd"/>
            <w:r w:rsidRPr="002045F5">
              <w:rPr>
                <w:color w:val="000000"/>
                <w:sz w:val="22"/>
                <w:lang w:val="ru-RU"/>
              </w:rPr>
              <w:t xml:space="preserve"> - </w:t>
            </w:r>
            <w:proofErr w:type="spellStart"/>
            <w:r w:rsidRPr="002045F5">
              <w:rPr>
                <w:color w:val="000000"/>
                <w:sz w:val="22"/>
                <w:lang w:val="ru-RU"/>
              </w:rPr>
              <w:t>утеплення</w:t>
            </w:r>
            <w:proofErr w:type="spellEnd"/>
            <w:r w:rsidRPr="002045F5">
              <w:rPr>
                <w:color w:val="000000"/>
                <w:sz w:val="22"/>
                <w:lang w:val="ru-RU"/>
              </w:rPr>
              <w:t xml:space="preserve"> </w:t>
            </w:r>
            <w:proofErr w:type="spellStart"/>
            <w:r w:rsidRPr="002045F5">
              <w:rPr>
                <w:color w:val="000000"/>
                <w:sz w:val="22"/>
                <w:lang w:val="ru-RU"/>
              </w:rPr>
              <w:t>зовнішніх</w:t>
            </w:r>
            <w:proofErr w:type="spellEnd"/>
            <w:r w:rsidRPr="002045F5">
              <w:rPr>
                <w:color w:val="000000"/>
                <w:sz w:val="22"/>
                <w:lang w:val="ru-RU"/>
              </w:rPr>
              <w:t xml:space="preserve"> </w:t>
            </w:r>
            <w:proofErr w:type="spellStart"/>
            <w:r w:rsidRPr="002045F5">
              <w:rPr>
                <w:color w:val="000000"/>
                <w:sz w:val="22"/>
                <w:lang w:val="ru-RU"/>
              </w:rPr>
              <w:t>стін</w:t>
            </w:r>
            <w:proofErr w:type="spellEnd"/>
            <w:r w:rsidRPr="002045F5">
              <w:rPr>
                <w:color w:val="000000"/>
                <w:sz w:val="22"/>
                <w:lang w:val="ru-RU"/>
              </w:rPr>
              <w:t xml:space="preserve">.                                                                                       7. 6. </w:t>
            </w:r>
            <w:proofErr w:type="spellStart"/>
            <w:r w:rsidRPr="002045F5">
              <w:rPr>
                <w:color w:val="000000"/>
                <w:sz w:val="22"/>
                <w:lang w:val="ru-RU"/>
              </w:rPr>
              <w:t>Капітальний</w:t>
            </w:r>
            <w:proofErr w:type="spellEnd"/>
            <w:r w:rsidRPr="002045F5">
              <w:rPr>
                <w:color w:val="000000"/>
                <w:sz w:val="22"/>
                <w:lang w:val="ru-RU"/>
              </w:rPr>
              <w:t xml:space="preserve"> ремонт </w:t>
            </w:r>
            <w:proofErr w:type="spellStart"/>
            <w:r w:rsidRPr="002045F5">
              <w:rPr>
                <w:color w:val="000000"/>
                <w:sz w:val="22"/>
                <w:lang w:val="ru-RU"/>
              </w:rPr>
              <w:t>покрівлі</w:t>
            </w:r>
            <w:proofErr w:type="spellEnd"/>
            <w:r w:rsidRPr="002045F5">
              <w:rPr>
                <w:color w:val="000000"/>
                <w:sz w:val="22"/>
                <w:lang w:val="ru-RU"/>
              </w:rPr>
              <w:t>:</w:t>
            </w:r>
            <w:r w:rsidRPr="002045F5">
              <w:rPr>
                <w:color w:val="000000"/>
                <w:sz w:val="22"/>
                <w:lang w:val="ru-RU"/>
              </w:rPr>
              <w:br/>
              <w:t xml:space="preserve"> </w:t>
            </w:r>
            <w:proofErr w:type="spellStart"/>
            <w:r w:rsidRPr="002045F5">
              <w:rPr>
                <w:color w:val="000000"/>
                <w:sz w:val="22"/>
                <w:lang w:val="ru-RU"/>
              </w:rPr>
              <w:t>після</w:t>
            </w:r>
            <w:proofErr w:type="spellEnd"/>
            <w:r w:rsidRPr="002045F5">
              <w:rPr>
                <w:color w:val="000000"/>
                <w:sz w:val="22"/>
                <w:lang w:val="ru-RU"/>
              </w:rPr>
              <w:t xml:space="preserve"> </w:t>
            </w:r>
            <w:proofErr w:type="spellStart"/>
            <w:r w:rsidRPr="002045F5">
              <w:rPr>
                <w:color w:val="000000"/>
                <w:sz w:val="22"/>
                <w:lang w:val="ru-RU"/>
              </w:rPr>
              <w:t>руйнування</w:t>
            </w:r>
            <w:proofErr w:type="spellEnd"/>
            <w:r w:rsidRPr="002045F5">
              <w:rPr>
                <w:color w:val="000000"/>
                <w:sz w:val="22"/>
                <w:lang w:val="ru-RU"/>
              </w:rPr>
              <w:t xml:space="preserve"> даху в 3-х </w:t>
            </w:r>
            <w:proofErr w:type="spellStart"/>
            <w:r w:rsidRPr="002045F5">
              <w:rPr>
                <w:color w:val="000000"/>
                <w:sz w:val="22"/>
                <w:lang w:val="ru-RU"/>
              </w:rPr>
              <w:t>місцях</w:t>
            </w:r>
            <w:proofErr w:type="spellEnd"/>
            <w:r w:rsidRPr="002045F5">
              <w:rPr>
                <w:color w:val="000000"/>
                <w:sz w:val="22"/>
                <w:lang w:val="ru-RU"/>
              </w:rPr>
              <w:t xml:space="preserve"> (корпус </w:t>
            </w:r>
            <w:proofErr w:type="spellStart"/>
            <w:r w:rsidRPr="002045F5">
              <w:rPr>
                <w:color w:val="000000"/>
                <w:sz w:val="22"/>
                <w:lang w:val="ru-RU"/>
              </w:rPr>
              <w:t>початкових</w:t>
            </w:r>
            <w:proofErr w:type="spellEnd"/>
            <w:r w:rsidRPr="002045F5">
              <w:rPr>
                <w:color w:val="000000"/>
                <w:sz w:val="22"/>
                <w:lang w:val="ru-RU"/>
              </w:rPr>
              <w:t xml:space="preserve"> </w:t>
            </w:r>
            <w:proofErr w:type="spellStart"/>
            <w:r w:rsidRPr="002045F5">
              <w:rPr>
                <w:color w:val="000000"/>
                <w:sz w:val="22"/>
                <w:lang w:val="ru-RU"/>
              </w:rPr>
              <w:t>класів</w:t>
            </w:r>
            <w:proofErr w:type="spellEnd"/>
            <w:r w:rsidRPr="002045F5">
              <w:rPr>
                <w:color w:val="000000"/>
                <w:sz w:val="22"/>
                <w:lang w:val="ru-RU"/>
              </w:rPr>
              <w:t xml:space="preserve"> 14 кв. м, </w:t>
            </w:r>
            <w:proofErr w:type="spellStart"/>
            <w:r w:rsidRPr="002045F5">
              <w:rPr>
                <w:color w:val="000000"/>
                <w:sz w:val="22"/>
                <w:lang w:val="ru-RU"/>
              </w:rPr>
              <w:t>каб</w:t>
            </w:r>
            <w:proofErr w:type="spellEnd"/>
            <w:r w:rsidRPr="002045F5">
              <w:rPr>
                <w:color w:val="000000"/>
                <w:sz w:val="22"/>
                <w:lang w:val="ru-RU"/>
              </w:rPr>
              <w:t xml:space="preserve">. 82- 9 кв. м, </w:t>
            </w:r>
            <w:proofErr w:type="spellStart"/>
            <w:r w:rsidRPr="002045F5">
              <w:rPr>
                <w:color w:val="000000"/>
                <w:sz w:val="22"/>
                <w:lang w:val="ru-RU"/>
              </w:rPr>
              <w:t>каб</w:t>
            </w:r>
            <w:proofErr w:type="spellEnd"/>
            <w:r w:rsidRPr="002045F5">
              <w:rPr>
                <w:color w:val="000000"/>
                <w:sz w:val="22"/>
                <w:lang w:val="ru-RU"/>
              </w:rPr>
              <w:t xml:space="preserve">. №66-16 кв. м, </w:t>
            </w:r>
            <w:proofErr w:type="spellStart"/>
            <w:r w:rsidRPr="002045F5">
              <w:rPr>
                <w:color w:val="000000"/>
                <w:sz w:val="22"/>
                <w:lang w:val="ru-RU"/>
              </w:rPr>
              <w:t>що</w:t>
            </w:r>
            <w:proofErr w:type="spellEnd"/>
            <w:r w:rsidRPr="002045F5">
              <w:rPr>
                <w:color w:val="000000"/>
                <w:sz w:val="22"/>
                <w:lang w:val="ru-RU"/>
              </w:rPr>
              <w:t xml:space="preserve"> </w:t>
            </w:r>
            <w:proofErr w:type="spellStart"/>
            <w:r w:rsidRPr="002045F5">
              <w:rPr>
                <w:color w:val="000000"/>
                <w:sz w:val="22"/>
                <w:lang w:val="ru-RU"/>
              </w:rPr>
              <w:t>знаходиться</w:t>
            </w:r>
            <w:proofErr w:type="spellEnd"/>
            <w:r w:rsidRPr="002045F5">
              <w:rPr>
                <w:color w:val="000000"/>
                <w:sz w:val="22"/>
                <w:lang w:val="ru-RU"/>
              </w:rPr>
              <w:t xml:space="preserve"> на 3-х </w:t>
            </w:r>
            <w:proofErr w:type="spellStart"/>
            <w:r w:rsidRPr="002045F5">
              <w:rPr>
                <w:color w:val="000000"/>
                <w:sz w:val="22"/>
                <w:lang w:val="ru-RU"/>
              </w:rPr>
              <w:t>різних</w:t>
            </w:r>
            <w:proofErr w:type="spellEnd"/>
            <w:r w:rsidRPr="002045F5">
              <w:rPr>
                <w:color w:val="000000"/>
                <w:sz w:val="22"/>
                <w:lang w:val="ru-RU"/>
              </w:rPr>
              <w:t xml:space="preserve"> корпусах) – потреби у </w:t>
            </w:r>
            <w:proofErr w:type="spellStart"/>
            <w:r w:rsidRPr="002045F5">
              <w:rPr>
                <w:color w:val="000000"/>
                <w:sz w:val="22"/>
                <w:lang w:val="ru-RU"/>
              </w:rPr>
              <w:t>ремонті</w:t>
            </w:r>
            <w:proofErr w:type="spellEnd"/>
            <w:r w:rsidRPr="002045F5">
              <w:rPr>
                <w:color w:val="000000"/>
                <w:sz w:val="22"/>
                <w:lang w:val="ru-RU"/>
              </w:rPr>
              <w:t xml:space="preserve"> 2665,1 кв. м.   </w:t>
            </w:r>
            <w:proofErr w:type="spellStart"/>
            <w:r w:rsidRPr="002045F5">
              <w:rPr>
                <w:color w:val="000000"/>
                <w:sz w:val="22"/>
                <w:lang w:val="ru-RU"/>
              </w:rPr>
              <w:t>Облаштування</w:t>
            </w:r>
            <w:proofErr w:type="spellEnd"/>
            <w:r w:rsidRPr="002045F5">
              <w:rPr>
                <w:color w:val="000000"/>
                <w:sz w:val="22"/>
                <w:lang w:val="ru-RU"/>
              </w:rPr>
              <w:t xml:space="preserve"> </w:t>
            </w:r>
            <w:proofErr w:type="spellStart"/>
            <w:r w:rsidRPr="002045F5">
              <w:rPr>
                <w:color w:val="000000"/>
                <w:sz w:val="22"/>
                <w:lang w:val="ru-RU"/>
              </w:rPr>
              <w:t>двосхилого</w:t>
            </w:r>
            <w:proofErr w:type="spellEnd"/>
            <w:r w:rsidRPr="002045F5">
              <w:rPr>
                <w:color w:val="000000"/>
                <w:sz w:val="22"/>
                <w:lang w:val="ru-RU"/>
              </w:rPr>
              <w:t xml:space="preserve"> даху </w:t>
            </w:r>
            <w:proofErr w:type="spellStart"/>
            <w:r w:rsidRPr="002045F5">
              <w:rPr>
                <w:color w:val="000000"/>
                <w:sz w:val="22"/>
                <w:lang w:val="ru-RU"/>
              </w:rPr>
              <w:t>площею</w:t>
            </w:r>
            <w:proofErr w:type="spellEnd"/>
            <w:r w:rsidRPr="002045F5">
              <w:rPr>
                <w:color w:val="000000"/>
                <w:sz w:val="22"/>
                <w:lang w:val="ru-RU"/>
              </w:rPr>
              <w:t xml:space="preserve"> </w:t>
            </w:r>
            <w:proofErr w:type="spellStart"/>
            <w:r w:rsidRPr="002045F5">
              <w:rPr>
                <w:color w:val="000000"/>
                <w:sz w:val="22"/>
                <w:lang w:val="ru-RU"/>
              </w:rPr>
              <w:t>приблизно</w:t>
            </w:r>
            <w:proofErr w:type="spellEnd"/>
            <w:r w:rsidRPr="002045F5">
              <w:rPr>
                <w:color w:val="000000"/>
                <w:sz w:val="22"/>
                <w:lang w:val="ru-RU"/>
              </w:rPr>
              <w:t xml:space="preserve"> 20000 </w:t>
            </w:r>
            <w:proofErr w:type="spellStart"/>
            <w:r w:rsidRPr="002045F5">
              <w:rPr>
                <w:color w:val="000000"/>
                <w:sz w:val="22"/>
                <w:lang w:val="ru-RU"/>
              </w:rPr>
              <w:t>кв.м</w:t>
            </w:r>
            <w:proofErr w:type="spellEnd"/>
            <w:r w:rsidRPr="002045F5">
              <w:rPr>
                <w:color w:val="000000"/>
                <w:sz w:val="22"/>
                <w:lang w:val="ru-RU"/>
              </w:rPr>
              <w:t xml:space="preserve">. з метою </w:t>
            </w:r>
            <w:proofErr w:type="spellStart"/>
            <w:r w:rsidRPr="002045F5">
              <w:rPr>
                <w:color w:val="000000"/>
                <w:sz w:val="22"/>
                <w:lang w:val="ru-RU"/>
              </w:rPr>
              <w:t>збільшення</w:t>
            </w:r>
            <w:proofErr w:type="spellEnd"/>
            <w:r w:rsidRPr="002045F5">
              <w:rPr>
                <w:color w:val="000000"/>
                <w:sz w:val="22"/>
                <w:lang w:val="ru-RU"/>
              </w:rPr>
              <w:t xml:space="preserve"> </w:t>
            </w:r>
            <w:proofErr w:type="spellStart"/>
            <w:r w:rsidRPr="002045F5">
              <w:rPr>
                <w:color w:val="000000"/>
                <w:sz w:val="22"/>
                <w:lang w:val="ru-RU"/>
              </w:rPr>
              <w:t>терміну</w:t>
            </w:r>
            <w:proofErr w:type="spellEnd"/>
            <w:r w:rsidRPr="002045F5">
              <w:rPr>
                <w:color w:val="000000"/>
                <w:sz w:val="22"/>
                <w:lang w:val="ru-RU"/>
              </w:rPr>
              <w:t xml:space="preserve"> </w:t>
            </w:r>
            <w:proofErr w:type="spellStart"/>
            <w:r w:rsidRPr="002045F5">
              <w:rPr>
                <w:color w:val="000000"/>
                <w:sz w:val="22"/>
                <w:lang w:val="ru-RU"/>
              </w:rPr>
              <w:t>експлуатації</w:t>
            </w:r>
            <w:proofErr w:type="spellEnd"/>
            <w:r w:rsidRPr="002045F5">
              <w:rPr>
                <w:color w:val="000000"/>
                <w:sz w:val="22"/>
                <w:lang w:val="ru-RU"/>
              </w:rPr>
              <w:t xml:space="preserve"> </w:t>
            </w:r>
            <w:proofErr w:type="spellStart"/>
            <w:r w:rsidRPr="002045F5">
              <w:rPr>
                <w:color w:val="000000"/>
                <w:sz w:val="22"/>
                <w:lang w:val="ru-RU"/>
              </w:rPr>
              <w:t>конструкції</w:t>
            </w:r>
            <w:proofErr w:type="spellEnd"/>
            <w:r w:rsidRPr="002045F5">
              <w:rPr>
                <w:color w:val="000000"/>
                <w:sz w:val="22"/>
                <w:lang w:val="ru-RU"/>
              </w:rPr>
              <w:t xml:space="preserve"> даху та </w:t>
            </w:r>
            <w:proofErr w:type="spellStart"/>
            <w:r w:rsidRPr="002045F5">
              <w:rPr>
                <w:color w:val="000000"/>
                <w:sz w:val="22"/>
                <w:lang w:val="ru-RU"/>
              </w:rPr>
              <w:t>економії</w:t>
            </w:r>
            <w:proofErr w:type="spellEnd"/>
            <w:r w:rsidRPr="002045F5">
              <w:rPr>
                <w:color w:val="000000"/>
                <w:sz w:val="22"/>
                <w:lang w:val="ru-RU"/>
              </w:rPr>
              <w:t xml:space="preserve"> </w:t>
            </w:r>
            <w:proofErr w:type="spellStart"/>
            <w:r w:rsidRPr="002045F5">
              <w:rPr>
                <w:color w:val="000000"/>
                <w:sz w:val="22"/>
                <w:lang w:val="ru-RU"/>
              </w:rPr>
              <w:t>коштів</w:t>
            </w:r>
            <w:proofErr w:type="spellEnd"/>
            <w:r w:rsidRPr="002045F5">
              <w:rPr>
                <w:color w:val="000000"/>
                <w:sz w:val="22"/>
                <w:lang w:val="ru-RU"/>
              </w:rPr>
              <w:t xml:space="preserve">, </w:t>
            </w:r>
            <w:proofErr w:type="spellStart"/>
            <w:r w:rsidRPr="002045F5">
              <w:rPr>
                <w:color w:val="000000"/>
                <w:sz w:val="22"/>
                <w:lang w:val="ru-RU"/>
              </w:rPr>
              <w:t>які</w:t>
            </w:r>
            <w:proofErr w:type="spellEnd"/>
            <w:r w:rsidRPr="002045F5">
              <w:rPr>
                <w:color w:val="000000"/>
                <w:sz w:val="22"/>
                <w:lang w:val="ru-RU"/>
              </w:rPr>
              <w:t xml:space="preserve"> </w:t>
            </w:r>
            <w:proofErr w:type="spellStart"/>
            <w:r w:rsidRPr="002045F5">
              <w:rPr>
                <w:color w:val="000000"/>
                <w:sz w:val="22"/>
                <w:lang w:val="ru-RU"/>
              </w:rPr>
              <w:t>виділяються</w:t>
            </w:r>
            <w:proofErr w:type="spellEnd"/>
            <w:r w:rsidRPr="002045F5">
              <w:rPr>
                <w:color w:val="000000"/>
                <w:sz w:val="22"/>
                <w:lang w:val="ru-RU"/>
              </w:rPr>
              <w:t xml:space="preserve"> на ремонт </w:t>
            </w:r>
            <w:proofErr w:type="spellStart"/>
            <w:r w:rsidRPr="002045F5">
              <w:rPr>
                <w:color w:val="000000"/>
                <w:sz w:val="22"/>
                <w:lang w:val="ru-RU"/>
              </w:rPr>
              <w:t>інснуючої</w:t>
            </w:r>
            <w:proofErr w:type="spellEnd"/>
            <w:r w:rsidRPr="002045F5">
              <w:rPr>
                <w:color w:val="000000"/>
                <w:sz w:val="22"/>
                <w:lang w:val="ru-RU"/>
              </w:rPr>
              <w:t xml:space="preserve"> </w:t>
            </w:r>
            <w:proofErr w:type="spellStart"/>
            <w:r w:rsidRPr="002045F5">
              <w:rPr>
                <w:color w:val="000000"/>
                <w:sz w:val="22"/>
                <w:lang w:val="ru-RU"/>
              </w:rPr>
              <w:t>конструкції</w:t>
            </w:r>
            <w:proofErr w:type="spellEnd"/>
            <w:r w:rsidRPr="002045F5">
              <w:rPr>
                <w:color w:val="000000"/>
                <w:sz w:val="22"/>
                <w:lang w:val="ru-RU"/>
              </w:rPr>
              <w:t xml:space="preserve">.                                 </w:t>
            </w:r>
          </w:p>
          <w:p w:rsidR="003B7CFF" w:rsidRPr="002045F5" w:rsidRDefault="003B7CFF" w:rsidP="009E3278">
            <w:pPr>
              <w:ind w:left="174" w:right="344"/>
              <w:jc w:val="left"/>
              <w:rPr>
                <w:color w:val="000000"/>
                <w:sz w:val="22"/>
                <w:lang w:val="ru-RU"/>
              </w:rPr>
            </w:pPr>
            <w:r w:rsidRPr="002045F5">
              <w:rPr>
                <w:color w:val="000000"/>
                <w:sz w:val="22"/>
                <w:lang w:val="ru-RU"/>
              </w:rPr>
              <w:t xml:space="preserve">7.7.  </w:t>
            </w:r>
            <w:proofErr w:type="spellStart"/>
            <w:r w:rsidRPr="002045F5">
              <w:rPr>
                <w:color w:val="000000"/>
                <w:sz w:val="22"/>
                <w:lang w:val="ru-RU"/>
              </w:rPr>
              <w:t>Відновлення</w:t>
            </w:r>
            <w:proofErr w:type="spellEnd"/>
            <w:r w:rsidRPr="002045F5">
              <w:rPr>
                <w:color w:val="000000"/>
                <w:sz w:val="22"/>
                <w:lang w:val="ru-RU"/>
              </w:rPr>
              <w:t xml:space="preserve"> </w:t>
            </w:r>
            <w:proofErr w:type="spellStart"/>
            <w:proofErr w:type="gramStart"/>
            <w:r w:rsidRPr="002045F5">
              <w:rPr>
                <w:color w:val="000000"/>
                <w:sz w:val="22"/>
                <w:lang w:val="ru-RU"/>
              </w:rPr>
              <w:t>зруйнованих</w:t>
            </w:r>
            <w:proofErr w:type="spellEnd"/>
            <w:r w:rsidRPr="002045F5">
              <w:rPr>
                <w:color w:val="000000"/>
                <w:sz w:val="22"/>
                <w:lang w:val="ru-RU"/>
              </w:rPr>
              <w:t xml:space="preserve">  </w:t>
            </w:r>
            <w:proofErr w:type="spellStart"/>
            <w:r w:rsidRPr="002045F5">
              <w:rPr>
                <w:color w:val="000000"/>
                <w:sz w:val="22"/>
                <w:lang w:val="ru-RU"/>
              </w:rPr>
              <w:t>стін</w:t>
            </w:r>
            <w:proofErr w:type="spellEnd"/>
            <w:proofErr w:type="gramEnd"/>
            <w:r w:rsidRPr="002045F5">
              <w:rPr>
                <w:color w:val="000000"/>
                <w:sz w:val="22"/>
                <w:lang w:val="ru-RU"/>
              </w:rPr>
              <w:t>:</w:t>
            </w:r>
            <w:r w:rsidRPr="002045F5">
              <w:rPr>
                <w:color w:val="000000"/>
                <w:sz w:val="22"/>
                <w:lang w:val="ru-RU"/>
              </w:rPr>
              <w:br/>
              <w:t xml:space="preserve">- </w:t>
            </w:r>
            <w:proofErr w:type="spellStart"/>
            <w:r w:rsidRPr="002045F5">
              <w:rPr>
                <w:color w:val="000000"/>
                <w:sz w:val="22"/>
                <w:lang w:val="ru-RU"/>
              </w:rPr>
              <w:t>зовнішньо</w:t>
            </w:r>
            <w:proofErr w:type="spellEnd"/>
            <w:r w:rsidRPr="002045F5">
              <w:rPr>
                <w:color w:val="000000"/>
                <w:sz w:val="22"/>
                <w:lang w:val="ru-RU"/>
              </w:rPr>
              <w:t xml:space="preserve"> </w:t>
            </w:r>
            <w:proofErr w:type="spellStart"/>
            <w:r w:rsidRPr="002045F5">
              <w:rPr>
                <w:color w:val="000000"/>
                <w:sz w:val="22"/>
                <w:lang w:val="ru-RU"/>
              </w:rPr>
              <w:t>зі</w:t>
            </w:r>
            <w:proofErr w:type="spellEnd"/>
            <w:r w:rsidRPr="002045F5">
              <w:rPr>
                <w:color w:val="000000"/>
                <w:sz w:val="22"/>
                <w:lang w:val="ru-RU"/>
              </w:rPr>
              <w:t xml:space="preserve"> </w:t>
            </w:r>
            <w:proofErr w:type="spellStart"/>
            <w:r w:rsidRPr="002045F5">
              <w:rPr>
                <w:color w:val="000000"/>
                <w:sz w:val="22"/>
                <w:lang w:val="ru-RU"/>
              </w:rPr>
              <w:t>сторони</w:t>
            </w:r>
            <w:proofErr w:type="spellEnd"/>
            <w:r w:rsidRPr="002045F5">
              <w:rPr>
                <w:color w:val="000000"/>
                <w:sz w:val="22"/>
                <w:lang w:val="ru-RU"/>
              </w:rPr>
              <w:t xml:space="preserve"> </w:t>
            </w:r>
            <w:proofErr w:type="spellStart"/>
            <w:r w:rsidRPr="002045F5">
              <w:rPr>
                <w:color w:val="000000"/>
                <w:sz w:val="22"/>
                <w:lang w:val="ru-RU"/>
              </w:rPr>
              <w:t>вул</w:t>
            </w:r>
            <w:proofErr w:type="spellEnd"/>
            <w:r w:rsidRPr="002045F5">
              <w:rPr>
                <w:color w:val="000000"/>
                <w:sz w:val="22"/>
                <w:lang w:val="ru-RU"/>
              </w:rPr>
              <w:t xml:space="preserve">. Курчатова: </w:t>
            </w:r>
            <w:proofErr w:type="spellStart"/>
            <w:r w:rsidRPr="002045F5">
              <w:rPr>
                <w:color w:val="000000"/>
                <w:sz w:val="22"/>
                <w:lang w:val="ru-RU"/>
              </w:rPr>
              <w:t>кабінета</w:t>
            </w:r>
            <w:proofErr w:type="spellEnd"/>
            <w:r w:rsidRPr="002045F5">
              <w:rPr>
                <w:color w:val="000000"/>
                <w:sz w:val="22"/>
                <w:lang w:val="ru-RU"/>
              </w:rPr>
              <w:t xml:space="preserve"> </w:t>
            </w:r>
            <w:proofErr w:type="spellStart"/>
            <w:r w:rsidRPr="002045F5">
              <w:rPr>
                <w:color w:val="000000"/>
                <w:sz w:val="22"/>
                <w:lang w:val="ru-RU"/>
              </w:rPr>
              <w:t>початкової</w:t>
            </w:r>
            <w:proofErr w:type="spellEnd"/>
            <w:r w:rsidRPr="002045F5">
              <w:rPr>
                <w:color w:val="000000"/>
                <w:sz w:val="22"/>
                <w:lang w:val="ru-RU"/>
              </w:rPr>
              <w:t xml:space="preserve"> </w:t>
            </w:r>
            <w:proofErr w:type="spellStart"/>
            <w:r w:rsidRPr="002045F5">
              <w:rPr>
                <w:color w:val="000000"/>
                <w:sz w:val="22"/>
                <w:lang w:val="ru-RU"/>
              </w:rPr>
              <w:t>школи</w:t>
            </w:r>
            <w:proofErr w:type="spellEnd"/>
            <w:r w:rsidRPr="002045F5">
              <w:rPr>
                <w:color w:val="000000"/>
                <w:sz w:val="22"/>
                <w:lang w:val="ru-RU"/>
              </w:rPr>
              <w:t xml:space="preserve"> - </w:t>
            </w:r>
            <w:proofErr w:type="spellStart"/>
            <w:r w:rsidRPr="002045F5">
              <w:rPr>
                <w:color w:val="000000"/>
                <w:sz w:val="22"/>
                <w:lang w:val="ru-RU"/>
              </w:rPr>
              <w:t>приблизно</w:t>
            </w:r>
            <w:proofErr w:type="spellEnd"/>
            <w:r w:rsidRPr="002045F5">
              <w:rPr>
                <w:color w:val="000000"/>
                <w:sz w:val="22"/>
                <w:lang w:val="ru-RU"/>
              </w:rPr>
              <w:t xml:space="preserve"> 15 кв. м; </w:t>
            </w:r>
            <w:proofErr w:type="spellStart"/>
            <w:r w:rsidRPr="002045F5">
              <w:rPr>
                <w:color w:val="000000"/>
                <w:sz w:val="22"/>
                <w:lang w:val="ru-RU"/>
              </w:rPr>
              <w:t>каб</w:t>
            </w:r>
            <w:proofErr w:type="spellEnd"/>
            <w:r w:rsidRPr="002045F5">
              <w:rPr>
                <w:color w:val="000000"/>
                <w:sz w:val="22"/>
                <w:lang w:val="ru-RU"/>
              </w:rPr>
              <w:t xml:space="preserve"> №3 (</w:t>
            </w:r>
            <w:proofErr w:type="spellStart"/>
            <w:r w:rsidRPr="002045F5">
              <w:rPr>
                <w:color w:val="000000"/>
                <w:sz w:val="22"/>
                <w:lang w:val="ru-RU"/>
              </w:rPr>
              <w:t>обслуговуючої</w:t>
            </w:r>
            <w:proofErr w:type="spellEnd"/>
            <w:r w:rsidRPr="002045F5">
              <w:rPr>
                <w:color w:val="000000"/>
                <w:sz w:val="22"/>
                <w:lang w:val="ru-RU"/>
              </w:rPr>
              <w:t xml:space="preserve"> </w:t>
            </w:r>
            <w:proofErr w:type="spellStart"/>
            <w:r w:rsidRPr="002045F5">
              <w:rPr>
                <w:color w:val="000000"/>
                <w:sz w:val="22"/>
                <w:lang w:val="ru-RU"/>
              </w:rPr>
              <w:t>праці</w:t>
            </w:r>
            <w:proofErr w:type="spellEnd"/>
            <w:r w:rsidRPr="002045F5">
              <w:rPr>
                <w:color w:val="000000"/>
                <w:sz w:val="22"/>
                <w:lang w:val="ru-RU"/>
              </w:rPr>
              <w:t>) - 3 кв. м.</w:t>
            </w:r>
            <w:r w:rsidRPr="002045F5">
              <w:rPr>
                <w:color w:val="000000"/>
                <w:sz w:val="22"/>
                <w:lang w:val="ru-RU"/>
              </w:rPr>
              <w:br/>
              <w:t xml:space="preserve">- </w:t>
            </w:r>
            <w:proofErr w:type="spellStart"/>
            <w:r w:rsidRPr="002045F5">
              <w:rPr>
                <w:color w:val="000000"/>
                <w:sz w:val="22"/>
                <w:lang w:val="ru-RU"/>
              </w:rPr>
              <w:t>внутрішня</w:t>
            </w:r>
            <w:proofErr w:type="spellEnd"/>
            <w:r w:rsidRPr="002045F5">
              <w:rPr>
                <w:color w:val="000000"/>
                <w:sz w:val="22"/>
                <w:lang w:val="ru-RU"/>
              </w:rPr>
              <w:t xml:space="preserve"> </w:t>
            </w:r>
            <w:proofErr w:type="spellStart"/>
            <w:r w:rsidRPr="002045F5">
              <w:rPr>
                <w:color w:val="000000"/>
                <w:sz w:val="22"/>
                <w:lang w:val="ru-RU"/>
              </w:rPr>
              <w:t>капітальна</w:t>
            </w:r>
            <w:proofErr w:type="spellEnd"/>
            <w:r w:rsidRPr="002045F5">
              <w:rPr>
                <w:color w:val="000000"/>
                <w:sz w:val="22"/>
                <w:lang w:val="ru-RU"/>
              </w:rPr>
              <w:t xml:space="preserve"> в </w:t>
            </w:r>
            <w:proofErr w:type="spellStart"/>
            <w:r w:rsidRPr="002045F5">
              <w:rPr>
                <w:color w:val="000000"/>
                <w:sz w:val="22"/>
                <w:lang w:val="ru-RU"/>
              </w:rPr>
              <w:t>коридорі</w:t>
            </w:r>
            <w:proofErr w:type="spellEnd"/>
            <w:r w:rsidRPr="002045F5">
              <w:rPr>
                <w:color w:val="000000"/>
                <w:sz w:val="22"/>
                <w:lang w:val="ru-RU"/>
              </w:rPr>
              <w:t xml:space="preserve"> 3-го поверху корпусу </w:t>
            </w:r>
            <w:proofErr w:type="spellStart"/>
            <w:r w:rsidRPr="002045F5">
              <w:rPr>
                <w:color w:val="000000"/>
                <w:sz w:val="22"/>
                <w:lang w:val="ru-RU"/>
              </w:rPr>
              <w:t>початкової</w:t>
            </w:r>
            <w:proofErr w:type="spellEnd"/>
            <w:r w:rsidRPr="002045F5">
              <w:rPr>
                <w:color w:val="000000"/>
                <w:sz w:val="22"/>
                <w:lang w:val="ru-RU"/>
              </w:rPr>
              <w:t xml:space="preserve"> </w:t>
            </w:r>
            <w:proofErr w:type="spellStart"/>
            <w:r w:rsidRPr="002045F5">
              <w:rPr>
                <w:color w:val="000000"/>
                <w:sz w:val="22"/>
                <w:lang w:val="ru-RU"/>
              </w:rPr>
              <w:t>школи</w:t>
            </w:r>
            <w:proofErr w:type="spellEnd"/>
            <w:r w:rsidRPr="002045F5">
              <w:rPr>
                <w:color w:val="000000"/>
                <w:sz w:val="22"/>
                <w:lang w:val="ru-RU"/>
              </w:rPr>
              <w:t xml:space="preserve"> </w:t>
            </w:r>
            <w:proofErr w:type="spellStart"/>
            <w:r w:rsidRPr="002045F5">
              <w:rPr>
                <w:color w:val="000000"/>
                <w:sz w:val="22"/>
                <w:lang w:val="ru-RU"/>
              </w:rPr>
              <w:t>приблизно</w:t>
            </w:r>
            <w:proofErr w:type="spellEnd"/>
            <w:r w:rsidRPr="002045F5">
              <w:rPr>
                <w:color w:val="000000"/>
                <w:sz w:val="22"/>
                <w:lang w:val="ru-RU"/>
              </w:rPr>
              <w:t xml:space="preserve"> 12 кв. м. </w:t>
            </w:r>
            <w:r w:rsidRPr="002045F5">
              <w:rPr>
                <w:color w:val="000000"/>
                <w:sz w:val="22"/>
                <w:lang w:val="ru-RU"/>
              </w:rPr>
              <w:br/>
              <w:t xml:space="preserve">- </w:t>
            </w:r>
            <w:proofErr w:type="spellStart"/>
            <w:r w:rsidRPr="002045F5">
              <w:rPr>
                <w:color w:val="000000"/>
                <w:sz w:val="22"/>
                <w:lang w:val="ru-RU"/>
              </w:rPr>
              <w:t>капітальна</w:t>
            </w:r>
            <w:proofErr w:type="spellEnd"/>
            <w:r w:rsidRPr="002045F5">
              <w:rPr>
                <w:color w:val="000000"/>
                <w:sz w:val="22"/>
                <w:lang w:val="ru-RU"/>
              </w:rPr>
              <w:t xml:space="preserve"> </w:t>
            </w:r>
            <w:proofErr w:type="spellStart"/>
            <w:r w:rsidRPr="002045F5">
              <w:rPr>
                <w:color w:val="000000"/>
                <w:sz w:val="22"/>
                <w:lang w:val="ru-RU"/>
              </w:rPr>
              <w:t>стіна</w:t>
            </w:r>
            <w:proofErr w:type="spellEnd"/>
            <w:r w:rsidRPr="002045F5">
              <w:rPr>
                <w:color w:val="000000"/>
                <w:sz w:val="22"/>
                <w:lang w:val="ru-RU"/>
              </w:rPr>
              <w:t xml:space="preserve"> в </w:t>
            </w:r>
            <w:proofErr w:type="spellStart"/>
            <w:r w:rsidRPr="002045F5">
              <w:rPr>
                <w:color w:val="000000"/>
                <w:sz w:val="22"/>
                <w:lang w:val="ru-RU"/>
              </w:rPr>
              <w:t>переході</w:t>
            </w:r>
            <w:proofErr w:type="spellEnd"/>
            <w:r w:rsidRPr="002045F5">
              <w:rPr>
                <w:color w:val="000000"/>
                <w:sz w:val="22"/>
                <w:lang w:val="ru-RU"/>
              </w:rPr>
              <w:t xml:space="preserve"> 3-го </w:t>
            </w:r>
            <w:proofErr w:type="spellStart"/>
            <w:r w:rsidRPr="002045F5">
              <w:rPr>
                <w:color w:val="000000"/>
                <w:sz w:val="22"/>
                <w:lang w:val="ru-RU"/>
              </w:rPr>
              <w:t>поверха</w:t>
            </w:r>
            <w:proofErr w:type="spellEnd"/>
            <w:r w:rsidRPr="002045F5">
              <w:rPr>
                <w:color w:val="000000"/>
                <w:sz w:val="22"/>
                <w:lang w:val="ru-RU"/>
              </w:rPr>
              <w:t xml:space="preserve"> старшого корпусу </w:t>
            </w:r>
            <w:proofErr w:type="spellStart"/>
            <w:r w:rsidRPr="002045F5">
              <w:rPr>
                <w:color w:val="000000"/>
                <w:sz w:val="22"/>
                <w:lang w:val="ru-RU"/>
              </w:rPr>
              <w:t>біля</w:t>
            </w:r>
            <w:proofErr w:type="spellEnd"/>
            <w:r w:rsidRPr="002045F5">
              <w:rPr>
                <w:color w:val="000000"/>
                <w:sz w:val="22"/>
                <w:lang w:val="ru-RU"/>
              </w:rPr>
              <w:t xml:space="preserve"> </w:t>
            </w:r>
            <w:proofErr w:type="spellStart"/>
            <w:r w:rsidRPr="002045F5">
              <w:rPr>
                <w:color w:val="000000"/>
                <w:sz w:val="22"/>
                <w:lang w:val="ru-RU"/>
              </w:rPr>
              <w:t>каб</w:t>
            </w:r>
            <w:proofErr w:type="spellEnd"/>
            <w:r w:rsidRPr="002045F5">
              <w:rPr>
                <w:color w:val="000000"/>
                <w:sz w:val="22"/>
                <w:lang w:val="ru-RU"/>
              </w:rPr>
              <w:t xml:space="preserve">. 82 </w:t>
            </w:r>
            <w:proofErr w:type="gramStart"/>
            <w:r w:rsidRPr="002045F5">
              <w:rPr>
                <w:color w:val="000000"/>
                <w:sz w:val="22"/>
                <w:lang w:val="ru-RU"/>
              </w:rPr>
              <w:t xml:space="preserve">–  </w:t>
            </w:r>
            <w:proofErr w:type="spellStart"/>
            <w:r w:rsidRPr="002045F5">
              <w:rPr>
                <w:color w:val="000000"/>
                <w:sz w:val="22"/>
                <w:lang w:val="ru-RU"/>
              </w:rPr>
              <w:t>приблизно</w:t>
            </w:r>
            <w:proofErr w:type="spellEnd"/>
            <w:proofErr w:type="gramEnd"/>
            <w:r w:rsidRPr="002045F5">
              <w:rPr>
                <w:color w:val="000000"/>
                <w:sz w:val="22"/>
                <w:lang w:val="ru-RU"/>
              </w:rPr>
              <w:t xml:space="preserve"> 4 </w:t>
            </w:r>
            <w:proofErr w:type="spellStart"/>
            <w:r w:rsidRPr="002045F5">
              <w:rPr>
                <w:color w:val="000000"/>
                <w:sz w:val="22"/>
                <w:lang w:val="ru-RU"/>
              </w:rPr>
              <w:t>кв.м</w:t>
            </w:r>
            <w:proofErr w:type="spellEnd"/>
            <w:r w:rsidRPr="002045F5">
              <w:rPr>
                <w:color w:val="000000"/>
                <w:sz w:val="22"/>
                <w:lang w:val="ru-RU"/>
              </w:rPr>
              <w:t>.</w:t>
            </w:r>
            <w:r w:rsidRPr="002045F5">
              <w:rPr>
                <w:color w:val="000000"/>
                <w:sz w:val="22"/>
                <w:lang w:val="ru-RU"/>
              </w:rPr>
              <w:br/>
              <w:t xml:space="preserve">7.8.  Ремонт </w:t>
            </w:r>
            <w:proofErr w:type="spellStart"/>
            <w:r w:rsidRPr="002045F5">
              <w:rPr>
                <w:color w:val="000000"/>
                <w:sz w:val="22"/>
                <w:lang w:val="ru-RU"/>
              </w:rPr>
              <w:t>сходів</w:t>
            </w:r>
            <w:proofErr w:type="spellEnd"/>
            <w:r w:rsidRPr="002045F5">
              <w:rPr>
                <w:color w:val="000000"/>
                <w:sz w:val="22"/>
                <w:lang w:val="ru-RU"/>
              </w:rPr>
              <w:t xml:space="preserve">, даху, </w:t>
            </w:r>
            <w:proofErr w:type="spellStart"/>
            <w:r w:rsidRPr="002045F5">
              <w:rPr>
                <w:color w:val="000000"/>
                <w:sz w:val="22"/>
                <w:lang w:val="ru-RU"/>
              </w:rPr>
              <w:t>стін</w:t>
            </w:r>
            <w:proofErr w:type="spellEnd"/>
            <w:r w:rsidRPr="002045F5">
              <w:rPr>
                <w:color w:val="000000"/>
                <w:sz w:val="22"/>
                <w:lang w:val="ru-RU"/>
              </w:rPr>
              <w:t xml:space="preserve"> </w:t>
            </w:r>
            <w:proofErr w:type="spellStart"/>
            <w:r w:rsidRPr="002045F5">
              <w:rPr>
                <w:color w:val="000000"/>
                <w:sz w:val="22"/>
                <w:lang w:val="ru-RU"/>
              </w:rPr>
              <w:t>конструкції</w:t>
            </w:r>
            <w:proofErr w:type="spellEnd"/>
            <w:r w:rsidRPr="002045F5">
              <w:rPr>
                <w:color w:val="000000"/>
                <w:sz w:val="22"/>
                <w:lang w:val="ru-RU"/>
              </w:rPr>
              <w:t xml:space="preserve"> тамбура, </w:t>
            </w:r>
            <w:proofErr w:type="spellStart"/>
            <w:r w:rsidRPr="002045F5">
              <w:rPr>
                <w:color w:val="000000"/>
                <w:sz w:val="22"/>
                <w:lang w:val="ru-RU"/>
              </w:rPr>
              <w:t>що</w:t>
            </w:r>
            <w:proofErr w:type="spellEnd"/>
            <w:r w:rsidRPr="002045F5">
              <w:rPr>
                <w:color w:val="000000"/>
                <w:sz w:val="22"/>
                <w:lang w:val="ru-RU"/>
              </w:rPr>
              <w:t xml:space="preserve"> </w:t>
            </w:r>
            <w:proofErr w:type="spellStart"/>
            <w:r w:rsidRPr="002045F5">
              <w:rPr>
                <w:color w:val="000000"/>
                <w:sz w:val="22"/>
                <w:lang w:val="ru-RU"/>
              </w:rPr>
              <w:t>відійшли</w:t>
            </w:r>
            <w:proofErr w:type="spellEnd"/>
            <w:r w:rsidRPr="002045F5">
              <w:rPr>
                <w:color w:val="000000"/>
                <w:sz w:val="22"/>
                <w:lang w:val="ru-RU"/>
              </w:rPr>
              <w:t xml:space="preserve"> </w:t>
            </w:r>
            <w:proofErr w:type="spellStart"/>
            <w:r w:rsidRPr="002045F5">
              <w:rPr>
                <w:color w:val="000000"/>
                <w:sz w:val="22"/>
                <w:lang w:val="ru-RU"/>
              </w:rPr>
              <w:t>від</w:t>
            </w:r>
            <w:proofErr w:type="spellEnd"/>
            <w:r w:rsidRPr="002045F5">
              <w:rPr>
                <w:color w:val="000000"/>
                <w:sz w:val="22"/>
                <w:lang w:val="ru-RU"/>
              </w:rPr>
              <w:t xml:space="preserve"> </w:t>
            </w:r>
            <w:proofErr w:type="spellStart"/>
            <w:r w:rsidRPr="002045F5">
              <w:rPr>
                <w:color w:val="000000"/>
                <w:sz w:val="22"/>
                <w:lang w:val="ru-RU"/>
              </w:rPr>
              <w:t>капітальної</w:t>
            </w:r>
            <w:proofErr w:type="spellEnd"/>
            <w:r w:rsidRPr="002045F5">
              <w:rPr>
                <w:color w:val="000000"/>
                <w:sz w:val="22"/>
                <w:lang w:val="ru-RU"/>
              </w:rPr>
              <w:t xml:space="preserve"> </w:t>
            </w:r>
            <w:proofErr w:type="spellStart"/>
            <w:r w:rsidRPr="002045F5">
              <w:rPr>
                <w:color w:val="000000"/>
                <w:sz w:val="22"/>
                <w:lang w:val="ru-RU"/>
              </w:rPr>
              <w:t>стіни</w:t>
            </w:r>
            <w:proofErr w:type="spellEnd"/>
            <w:r w:rsidRPr="002045F5">
              <w:rPr>
                <w:color w:val="000000"/>
                <w:sz w:val="22"/>
                <w:lang w:val="ru-RU"/>
              </w:rPr>
              <w:t xml:space="preserve"> входу в корпус </w:t>
            </w:r>
            <w:proofErr w:type="spellStart"/>
            <w:r w:rsidRPr="002045F5">
              <w:rPr>
                <w:color w:val="000000"/>
                <w:sz w:val="22"/>
                <w:lang w:val="ru-RU"/>
              </w:rPr>
              <w:t>початкової</w:t>
            </w:r>
            <w:proofErr w:type="spellEnd"/>
            <w:r w:rsidRPr="002045F5">
              <w:rPr>
                <w:color w:val="000000"/>
                <w:sz w:val="22"/>
                <w:lang w:val="ru-RU"/>
              </w:rPr>
              <w:t xml:space="preserve"> </w:t>
            </w:r>
            <w:proofErr w:type="spellStart"/>
            <w:r w:rsidRPr="002045F5">
              <w:rPr>
                <w:color w:val="000000"/>
                <w:sz w:val="22"/>
                <w:lang w:val="ru-RU"/>
              </w:rPr>
              <w:t>школи</w:t>
            </w:r>
            <w:proofErr w:type="spellEnd"/>
            <w:r w:rsidRPr="002045F5">
              <w:rPr>
                <w:color w:val="000000"/>
                <w:sz w:val="22"/>
                <w:lang w:val="ru-RU"/>
              </w:rPr>
              <w:t xml:space="preserve"> </w:t>
            </w:r>
            <w:proofErr w:type="gramStart"/>
            <w:r w:rsidRPr="002045F5">
              <w:rPr>
                <w:color w:val="000000"/>
                <w:sz w:val="22"/>
                <w:lang w:val="ru-RU"/>
              </w:rPr>
              <w:t xml:space="preserve">–  </w:t>
            </w:r>
            <w:proofErr w:type="spellStart"/>
            <w:r w:rsidRPr="002045F5">
              <w:rPr>
                <w:color w:val="000000"/>
                <w:sz w:val="22"/>
                <w:lang w:val="ru-RU"/>
              </w:rPr>
              <w:t>приблизно</w:t>
            </w:r>
            <w:proofErr w:type="spellEnd"/>
            <w:proofErr w:type="gramEnd"/>
            <w:r w:rsidRPr="002045F5">
              <w:rPr>
                <w:color w:val="000000"/>
                <w:sz w:val="22"/>
                <w:lang w:val="ru-RU"/>
              </w:rPr>
              <w:t xml:space="preserve"> 18 кв. м.    </w:t>
            </w:r>
          </w:p>
          <w:p w:rsidR="003B7CFF" w:rsidRPr="002045F5" w:rsidRDefault="003B7CFF" w:rsidP="009E3278">
            <w:pPr>
              <w:ind w:left="174" w:right="344"/>
              <w:jc w:val="left"/>
              <w:rPr>
                <w:color w:val="000000"/>
                <w:sz w:val="22"/>
                <w:lang w:val="ru-RU"/>
              </w:rPr>
            </w:pPr>
            <w:r w:rsidRPr="002045F5">
              <w:rPr>
                <w:color w:val="000000"/>
                <w:sz w:val="22"/>
                <w:lang w:val="ru-RU"/>
              </w:rPr>
              <w:t xml:space="preserve">7.9. </w:t>
            </w:r>
            <w:proofErr w:type="spellStart"/>
            <w:r w:rsidRPr="002045F5">
              <w:rPr>
                <w:color w:val="000000"/>
                <w:sz w:val="22"/>
                <w:lang w:val="ru-RU"/>
              </w:rPr>
              <w:t>Реконструкція</w:t>
            </w:r>
            <w:proofErr w:type="spellEnd"/>
            <w:r w:rsidRPr="002045F5">
              <w:rPr>
                <w:color w:val="000000"/>
                <w:sz w:val="22"/>
                <w:lang w:val="ru-RU"/>
              </w:rPr>
              <w:t xml:space="preserve"> </w:t>
            </w:r>
            <w:proofErr w:type="spellStart"/>
            <w:r w:rsidRPr="002045F5">
              <w:rPr>
                <w:color w:val="000000"/>
                <w:sz w:val="22"/>
                <w:lang w:val="ru-RU"/>
              </w:rPr>
              <w:t>сходів</w:t>
            </w:r>
            <w:proofErr w:type="spellEnd"/>
            <w:r w:rsidRPr="002045F5">
              <w:rPr>
                <w:color w:val="000000"/>
                <w:sz w:val="22"/>
                <w:lang w:val="ru-RU"/>
              </w:rPr>
              <w:t xml:space="preserve"> </w:t>
            </w:r>
            <w:proofErr w:type="spellStart"/>
            <w:r w:rsidRPr="002045F5">
              <w:rPr>
                <w:color w:val="000000"/>
                <w:sz w:val="22"/>
                <w:lang w:val="ru-RU"/>
              </w:rPr>
              <w:t>всередині</w:t>
            </w:r>
            <w:proofErr w:type="spellEnd"/>
            <w:r w:rsidRPr="002045F5">
              <w:rPr>
                <w:color w:val="000000"/>
                <w:sz w:val="22"/>
                <w:lang w:val="ru-RU"/>
              </w:rPr>
              <w:t xml:space="preserve"> </w:t>
            </w:r>
            <w:proofErr w:type="spellStart"/>
            <w:r w:rsidRPr="002045F5">
              <w:rPr>
                <w:color w:val="000000"/>
                <w:sz w:val="22"/>
                <w:lang w:val="ru-RU"/>
              </w:rPr>
              <w:t>будівлі</w:t>
            </w:r>
            <w:proofErr w:type="spellEnd"/>
            <w:r w:rsidRPr="002045F5">
              <w:rPr>
                <w:color w:val="000000"/>
                <w:sz w:val="22"/>
                <w:lang w:val="ru-RU"/>
              </w:rPr>
              <w:t xml:space="preserve"> з </w:t>
            </w:r>
            <w:proofErr w:type="spellStart"/>
            <w:r w:rsidRPr="002045F5">
              <w:rPr>
                <w:color w:val="000000"/>
                <w:sz w:val="22"/>
                <w:lang w:val="ru-RU"/>
              </w:rPr>
              <w:t>урахуванням</w:t>
            </w:r>
            <w:proofErr w:type="spellEnd"/>
            <w:r w:rsidRPr="002045F5">
              <w:rPr>
                <w:color w:val="000000"/>
                <w:sz w:val="22"/>
                <w:lang w:val="ru-RU"/>
              </w:rPr>
              <w:t xml:space="preserve"> потреб </w:t>
            </w:r>
            <w:proofErr w:type="spellStart"/>
            <w:r w:rsidRPr="002045F5">
              <w:rPr>
                <w:color w:val="000000"/>
                <w:sz w:val="22"/>
                <w:lang w:val="ru-RU"/>
              </w:rPr>
              <w:t>здобувачів</w:t>
            </w:r>
            <w:proofErr w:type="spellEnd"/>
            <w:r w:rsidRPr="002045F5">
              <w:rPr>
                <w:color w:val="000000"/>
                <w:sz w:val="22"/>
                <w:lang w:val="ru-RU"/>
              </w:rPr>
              <w:t xml:space="preserve"> </w:t>
            </w:r>
            <w:proofErr w:type="spellStart"/>
            <w:r w:rsidRPr="002045F5">
              <w:rPr>
                <w:color w:val="000000"/>
                <w:sz w:val="22"/>
                <w:lang w:val="ru-RU"/>
              </w:rPr>
              <w:t>освіти</w:t>
            </w:r>
            <w:proofErr w:type="spellEnd"/>
            <w:r w:rsidRPr="002045F5">
              <w:rPr>
                <w:color w:val="000000"/>
                <w:sz w:val="22"/>
                <w:lang w:val="ru-RU"/>
              </w:rPr>
              <w:t xml:space="preserve"> з </w:t>
            </w:r>
            <w:proofErr w:type="spellStart"/>
            <w:r w:rsidRPr="002045F5">
              <w:rPr>
                <w:color w:val="000000"/>
                <w:sz w:val="22"/>
                <w:lang w:val="ru-RU"/>
              </w:rPr>
              <w:t>особливими</w:t>
            </w:r>
            <w:proofErr w:type="spellEnd"/>
            <w:r w:rsidRPr="002045F5">
              <w:rPr>
                <w:color w:val="000000"/>
                <w:sz w:val="22"/>
                <w:lang w:val="ru-RU"/>
              </w:rPr>
              <w:t xml:space="preserve"> потребами.                                                                                                                       7.10. Ремонт </w:t>
            </w:r>
            <w:proofErr w:type="spellStart"/>
            <w:r w:rsidRPr="002045F5">
              <w:rPr>
                <w:color w:val="000000"/>
                <w:sz w:val="22"/>
                <w:lang w:val="ru-RU"/>
              </w:rPr>
              <w:t>металопластикових</w:t>
            </w:r>
            <w:proofErr w:type="spellEnd"/>
            <w:r w:rsidRPr="002045F5">
              <w:rPr>
                <w:color w:val="000000"/>
                <w:sz w:val="22"/>
                <w:lang w:val="ru-RU"/>
              </w:rPr>
              <w:t xml:space="preserve"> </w:t>
            </w:r>
            <w:proofErr w:type="spellStart"/>
            <w:r w:rsidRPr="002045F5">
              <w:rPr>
                <w:color w:val="000000"/>
                <w:sz w:val="22"/>
                <w:lang w:val="ru-RU"/>
              </w:rPr>
              <w:t>конструкцій</w:t>
            </w:r>
            <w:proofErr w:type="spellEnd"/>
            <w:r w:rsidRPr="002045F5">
              <w:rPr>
                <w:color w:val="000000"/>
                <w:sz w:val="22"/>
                <w:lang w:val="ru-RU"/>
              </w:rPr>
              <w:t xml:space="preserve"> </w:t>
            </w:r>
            <w:proofErr w:type="spellStart"/>
            <w:r w:rsidRPr="002045F5">
              <w:rPr>
                <w:color w:val="000000"/>
                <w:sz w:val="22"/>
                <w:lang w:val="ru-RU"/>
              </w:rPr>
              <w:t>вікон</w:t>
            </w:r>
            <w:proofErr w:type="spellEnd"/>
            <w:r w:rsidRPr="002045F5">
              <w:rPr>
                <w:color w:val="000000"/>
                <w:sz w:val="22"/>
                <w:lang w:val="ru-RU"/>
              </w:rPr>
              <w:t xml:space="preserve"> і </w:t>
            </w:r>
            <w:proofErr w:type="spellStart"/>
            <w:r w:rsidRPr="002045F5">
              <w:rPr>
                <w:color w:val="000000"/>
                <w:sz w:val="22"/>
                <w:lang w:val="ru-RU"/>
              </w:rPr>
              <w:t>заміна</w:t>
            </w:r>
            <w:proofErr w:type="spellEnd"/>
            <w:r w:rsidRPr="002045F5">
              <w:rPr>
                <w:color w:val="000000"/>
                <w:sz w:val="22"/>
                <w:lang w:val="ru-RU"/>
              </w:rPr>
              <w:t xml:space="preserve"> </w:t>
            </w:r>
            <w:proofErr w:type="spellStart"/>
            <w:r w:rsidRPr="002045F5">
              <w:rPr>
                <w:color w:val="000000"/>
                <w:sz w:val="22"/>
                <w:lang w:val="ru-RU"/>
              </w:rPr>
              <w:t>скла</w:t>
            </w:r>
            <w:proofErr w:type="spellEnd"/>
            <w:r w:rsidRPr="002045F5">
              <w:rPr>
                <w:color w:val="000000"/>
                <w:sz w:val="22"/>
                <w:lang w:val="ru-RU"/>
              </w:rPr>
              <w:t>:</w:t>
            </w:r>
            <w:r w:rsidRPr="002045F5">
              <w:rPr>
                <w:color w:val="000000"/>
                <w:sz w:val="22"/>
                <w:lang w:val="ru-RU"/>
              </w:rPr>
              <w:br/>
              <w:t xml:space="preserve">- </w:t>
            </w:r>
            <w:proofErr w:type="spellStart"/>
            <w:r w:rsidRPr="002045F5">
              <w:rPr>
                <w:color w:val="000000"/>
                <w:sz w:val="22"/>
                <w:lang w:val="ru-RU"/>
              </w:rPr>
              <w:t>вікно</w:t>
            </w:r>
            <w:proofErr w:type="spellEnd"/>
            <w:r w:rsidRPr="002045F5">
              <w:rPr>
                <w:color w:val="000000"/>
                <w:sz w:val="22"/>
                <w:lang w:val="ru-RU"/>
              </w:rPr>
              <w:t xml:space="preserve"> на 3 </w:t>
            </w:r>
            <w:proofErr w:type="spellStart"/>
            <w:r w:rsidRPr="002045F5">
              <w:rPr>
                <w:color w:val="000000"/>
                <w:sz w:val="22"/>
                <w:lang w:val="ru-RU"/>
              </w:rPr>
              <w:t>секції</w:t>
            </w:r>
            <w:proofErr w:type="spellEnd"/>
            <w:r w:rsidRPr="002045F5">
              <w:rPr>
                <w:color w:val="000000"/>
                <w:sz w:val="22"/>
                <w:lang w:val="ru-RU"/>
              </w:rPr>
              <w:t xml:space="preserve"> </w:t>
            </w:r>
            <w:proofErr w:type="spellStart"/>
            <w:r w:rsidRPr="002045F5">
              <w:rPr>
                <w:color w:val="000000"/>
                <w:sz w:val="22"/>
                <w:lang w:val="ru-RU"/>
              </w:rPr>
              <w:t>подвійне</w:t>
            </w:r>
            <w:proofErr w:type="spellEnd"/>
            <w:r w:rsidRPr="002045F5">
              <w:rPr>
                <w:color w:val="000000"/>
                <w:sz w:val="22"/>
                <w:lang w:val="ru-RU"/>
              </w:rPr>
              <w:t xml:space="preserve"> – 264 шт.- 3000х3000мм</w:t>
            </w:r>
            <w:r w:rsidRPr="002045F5">
              <w:rPr>
                <w:color w:val="000000"/>
                <w:sz w:val="22"/>
                <w:lang w:val="ru-RU"/>
              </w:rPr>
              <w:br/>
              <w:t xml:space="preserve">- </w:t>
            </w:r>
            <w:proofErr w:type="spellStart"/>
            <w:r w:rsidRPr="002045F5">
              <w:rPr>
                <w:color w:val="000000"/>
                <w:sz w:val="22"/>
                <w:lang w:val="ru-RU"/>
              </w:rPr>
              <w:t>вікно</w:t>
            </w:r>
            <w:proofErr w:type="spellEnd"/>
            <w:r w:rsidRPr="002045F5">
              <w:rPr>
                <w:color w:val="000000"/>
                <w:sz w:val="22"/>
                <w:lang w:val="ru-RU"/>
              </w:rPr>
              <w:t xml:space="preserve"> </w:t>
            </w:r>
            <w:proofErr w:type="spellStart"/>
            <w:r w:rsidRPr="002045F5">
              <w:rPr>
                <w:color w:val="000000"/>
                <w:sz w:val="22"/>
                <w:lang w:val="ru-RU"/>
              </w:rPr>
              <w:t>фасадне</w:t>
            </w:r>
            <w:proofErr w:type="spellEnd"/>
            <w:r w:rsidRPr="002045F5">
              <w:rPr>
                <w:color w:val="000000"/>
                <w:sz w:val="22"/>
                <w:lang w:val="ru-RU"/>
              </w:rPr>
              <w:t xml:space="preserve"> </w:t>
            </w:r>
            <w:proofErr w:type="spellStart"/>
            <w:r w:rsidRPr="002045F5">
              <w:rPr>
                <w:color w:val="000000"/>
                <w:sz w:val="22"/>
                <w:lang w:val="ru-RU"/>
              </w:rPr>
              <w:t>подвійне</w:t>
            </w:r>
            <w:proofErr w:type="spellEnd"/>
            <w:r w:rsidRPr="002045F5">
              <w:rPr>
                <w:color w:val="000000"/>
                <w:sz w:val="22"/>
                <w:lang w:val="ru-RU"/>
              </w:rPr>
              <w:t xml:space="preserve"> – 13 шт. 3000х4000 мм</w:t>
            </w:r>
            <w:r w:rsidRPr="002045F5">
              <w:rPr>
                <w:color w:val="000000"/>
                <w:sz w:val="22"/>
                <w:lang w:val="ru-RU"/>
              </w:rPr>
              <w:br/>
              <w:t xml:space="preserve">- </w:t>
            </w:r>
            <w:proofErr w:type="spellStart"/>
            <w:r w:rsidRPr="002045F5">
              <w:rPr>
                <w:color w:val="000000"/>
                <w:sz w:val="22"/>
                <w:lang w:val="ru-RU"/>
              </w:rPr>
              <w:t>вікно</w:t>
            </w:r>
            <w:proofErr w:type="spellEnd"/>
            <w:r w:rsidRPr="002045F5">
              <w:rPr>
                <w:color w:val="000000"/>
                <w:sz w:val="22"/>
                <w:lang w:val="ru-RU"/>
              </w:rPr>
              <w:t xml:space="preserve"> </w:t>
            </w:r>
            <w:proofErr w:type="spellStart"/>
            <w:r w:rsidRPr="002045F5">
              <w:rPr>
                <w:color w:val="000000"/>
                <w:sz w:val="22"/>
                <w:lang w:val="ru-RU"/>
              </w:rPr>
              <w:t>спортивної</w:t>
            </w:r>
            <w:proofErr w:type="spellEnd"/>
            <w:r w:rsidRPr="002045F5">
              <w:rPr>
                <w:color w:val="000000"/>
                <w:sz w:val="22"/>
                <w:lang w:val="ru-RU"/>
              </w:rPr>
              <w:t xml:space="preserve"> </w:t>
            </w:r>
            <w:proofErr w:type="spellStart"/>
            <w:r w:rsidRPr="002045F5">
              <w:rPr>
                <w:color w:val="000000"/>
                <w:sz w:val="22"/>
                <w:lang w:val="ru-RU"/>
              </w:rPr>
              <w:t>зали</w:t>
            </w:r>
            <w:proofErr w:type="spellEnd"/>
            <w:r w:rsidRPr="002045F5">
              <w:rPr>
                <w:color w:val="000000"/>
                <w:sz w:val="22"/>
                <w:lang w:val="ru-RU"/>
              </w:rPr>
              <w:t xml:space="preserve"> – 5 шт. 5000х3000 мм</w:t>
            </w:r>
            <w:r w:rsidRPr="002045F5">
              <w:rPr>
                <w:color w:val="000000"/>
                <w:sz w:val="22"/>
                <w:lang w:val="ru-RU"/>
              </w:rPr>
              <w:br/>
              <w:t xml:space="preserve">- </w:t>
            </w:r>
            <w:proofErr w:type="spellStart"/>
            <w:r w:rsidRPr="002045F5">
              <w:rPr>
                <w:color w:val="000000"/>
                <w:sz w:val="22"/>
                <w:lang w:val="ru-RU"/>
              </w:rPr>
              <w:t>вікна</w:t>
            </w:r>
            <w:proofErr w:type="spellEnd"/>
            <w:r w:rsidRPr="002045F5">
              <w:rPr>
                <w:color w:val="000000"/>
                <w:sz w:val="22"/>
                <w:lang w:val="ru-RU"/>
              </w:rPr>
              <w:t xml:space="preserve"> </w:t>
            </w:r>
            <w:proofErr w:type="spellStart"/>
            <w:r w:rsidRPr="002045F5">
              <w:rPr>
                <w:color w:val="000000"/>
                <w:sz w:val="22"/>
                <w:lang w:val="ru-RU"/>
              </w:rPr>
              <w:t>туалетів</w:t>
            </w:r>
            <w:proofErr w:type="spellEnd"/>
            <w:r w:rsidRPr="002045F5">
              <w:rPr>
                <w:color w:val="000000"/>
                <w:sz w:val="22"/>
                <w:lang w:val="ru-RU"/>
              </w:rPr>
              <w:t xml:space="preserve"> (</w:t>
            </w:r>
            <w:proofErr w:type="spellStart"/>
            <w:r w:rsidRPr="002045F5">
              <w:rPr>
                <w:color w:val="000000"/>
                <w:sz w:val="22"/>
                <w:lang w:val="ru-RU"/>
              </w:rPr>
              <w:t>малі</w:t>
            </w:r>
            <w:proofErr w:type="spellEnd"/>
            <w:r w:rsidRPr="002045F5">
              <w:rPr>
                <w:color w:val="000000"/>
                <w:sz w:val="22"/>
                <w:lang w:val="ru-RU"/>
              </w:rPr>
              <w:t xml:space="preserve">) – 12 шт. 700х1500 мм.                                                                                                                    7.11.  </w:t>
            </w:r>
            <w:proofErr w:type="spellStart"/>
            <w:r w:rsidRPr="002045F5">
              <w:rPr>
                <w:color w:val="000000"/>
                <w:sz w:val="22"/>
                <w:lang w:val="ru-RU"/>
              </w:rPr>
              <w:t>Здійснення</w:t>
            </w:r>
            <w:proofErr w:type="spellEnd"/>
            <w:r w:rsidRPr="002045F5">
              <w:rPr>
                <w:color w:val="000000"/>
                <w:sz w:val="22"/>
                <w:lang w:val="ru-RU"/>
              </w:rPr>
              <w:t xml:space="preserve"> </w:t>
            </w:r>
            <w:proofErr w:type="spellStart"/>
            <w:r w:rsidRPr="002045F5">
              <w:rPr>
                <w:color w:val="000000"/>
                <w:sz w:val="22"/>
                <w:lang w:val="ru-RU"/>
              </w:rPr>
              <w:t>будівельних</w:t>
            </w:r>
            <w:proofErr w:type="spellEnd"/>
            <w:r w:rsidRPr="002045F5">
              <w:rPr>
                <w:color w:val="000000"/>
                <w:sz w:val="22"/>
                <w:lang w:val="ru-RU"/>
              </w:rPr>
              <w:t xml:space="preserve">, </w:t>
            </w:r>
            <w:proofErr w:type="spellStart"/>
            <w:r w:rsidRPr="002045F5">
              <w:rPr>
                <w:color w:val="000000"/>
                <w:sz w:val="22"/>
                <w:lang w:val="ru-RU"/>
              </w:rPr>
              <w:t>монтажних</w:t>
            </w:r>
            <w:proofErr w:type="spellEnd"/>
            <w:r w:rsidRPr="002045F5">
              <w:rPr>
                <w:color w:val="000000"/>
                <w:sz w:val="22"/>
                <w:lang w:val="ru-RU"/>
              </w:rPr>
              <w:t xml:space="preserve">, </w:t>
            </w:r>
            <w:proofErr w:type="spellStart"/>
            <w:r w:rsidRPr="002045F5">
              <w:rPr>
                <w:color w:val="000000"/>
                <w:sz w:val="22"/>
                <w:lang w:val="ru-RU"/>
              </w:rPr>
              <w:t>відновлювальних</w:t>
            </w:r>
            <w:proofErr w:type="spellEnd"/>
            <w:r w:rsidRPr="002045F5">
              <w:rPr>
                <w:color w:val="000000"/>
                <w:sz w:val="22"/>
                <w:lang w:val="ru-RU"/>
              </w:rPr>
              <w:t xml:space="preserve"> та </w:t>
            </w:r>
            <w:proofErr w:type="spellStart"/>
            <w:r w:rsidRPr="002045F5">
              <w:rPr>
                <w:color w:val="000000"/>
                <w:sz w:val="22"/>
                <w:lang w:val="ru-RU"/>
              </w:rPr>
              <w:t>пусконалагоджувальних</w:t>
            </w:r>
            <w:proofErr w:type="spellEnd"/>
            <w:r w:rsidRPr="002045F5">
              <w:rPr>
                <w:color w:val="000000"/>
                <w:sz w:val="22"/>
                <w:lang w:val="ru-RU"/>
              </w:rPr>
              <w:t xml:space="preserve"> </w:t>
            </w:r>
            <w:proofErr w:type="spellStart"/>
            <w:proofErr w:type="gramStart"/>
            <w:r w:rsidRPr="002045F5">
              <w:rPr>
                <w:color w:val="000000"/>
                <w:sz w:val="22"/>
                <w:lang w:val="ru-RU"/>
              </w:rPr>
              <w:t>робіт</w:t>
            </w:r>
            <w:proofErr w:type="spellEnd"/>
            <w:r w:rsidRPr="002045F5">
              <w:rPr>
                <w:color w:val="000000"/>
                <w:sz w:val="22"/>
                <w:lang w:val="ru-RU"/>
              </w:rPr>
              <w:t xml:space="preserve">  </w:t>
            </w:r>
            <w:proofErr w:type="spellStart"/>
            <w:r w:rsidRPr="002045F5">
              <w:rPr>
                <w:color w:val="000000"/>
                <w:sz w:val="22"/>
                <w:lang w:val="ru-RU"/>
              </w:rPr>
              <w:t>системи</w:t>
            </w:r>
            <w:proofErr w:type="spellEnd"/>
            <w:proofErr w:type="gramEnd"/>
            <w:r w:rsidRPr="002045F5">
              <w:rPr>
                <w:color w:val="000000"/>
                <w:sz w:val="22"/>
                <w:lang w:val="ru-RU"/>
              </w:rPr>
              <w:t xml:space="preserve"> </w:t>
            </w:r>
            <w:proofErr w:type="spellStart"/>
            <w:r w:rsidRPr="002045F5">
              <w:rPr>
                <w:color w:val="000000"/>
                <w:sz w:val="22"/>
                <w:lang w:val="ru-RU"/>
              </w:rPr>
              <w:t>водопостачання</w:t>
            </w:r>
            <w:proofErr w:type="spellEnd"/>
            <w:r w:rsidRPr="002045F5">
              <w:rPr>
                <w:color w:val="000000"/>
                <w:sz w:val="22"/>
                <w:lang w:val="ru-RU"/>
              </w:rPr>
              <w:t xml:space="preserve"> та </w:t>
            </w:r>
            <w:proofErr w:type="spellStart"/>
            <w:r w:rsidRPr="002045F5">
              <w:rPr>
                <w:color w:val="000000"/>
                <w:sz w:val="22"/>
                <w:lang w:val="ru-RU"/>
              </w:rPr>
              <w:t>водовідведення</w:t>
            </w:r>
            <w:proofErr w:type="spellEnd"/>
            <w:r w:rsidRPr="002045F5">
              <w:rPr>
                <w:color w:val="000000"/>
                <w:sz w:val="22"/>
                <w:lang w:val="ru-RU"/>
              </w:rPr>
              <w:t xml:space="preserve"> для </w:t>
            </w:r>
            <w:proofErr w:type="spellStart"/>
            <w:r w:rsidRPr="002045F5">
              <w:rPr>
                <w:color w:val="000000"/>
                <w:sz w:val="22"/>
                <w:lang w:val="ru-RU"/>
              </w:rPr>
              <w:t>площі</w:t>
            </w:r>
            <w:proofErr w:type="spellEnd"/>
            <w:r w:rsidRPr="002045F5">
              <w:rPr>
                <w:color w:val="000000"/>
                <w:sz w:val="22"/>
                <w:lang w:val="ru-RU"/>
              </w:rPr>
              <w:t xml:space="preserve"> </w:t>
            </w:r>
            <w:proofErr w:type="spellStart"/>
            <w:r w:rsidRPr="002045F5">
              <w:rPr>
                <w:color w:val="000000"/>
                <w:sz w:val="22"/>
                <w:lang w:val="ru-RU"/>
              </w:rPr>
              <w:t>будівлі</w:t>
            </w:r>
            <w:proofErr w:type="spellEnd"/>
            <w:r w:rsidRPr="002045F5">
              <w:rPr>
                <w:color w:val="000000"/>
                <w:sz w:val="22"/>
                <w:lang w:val="ru-RU"/>
              </w:rPr>
              <w:t xml:space="preserve"> 7755 кв. м.                                                                                                                                                                                         7.12.   Ремонт та </w:t>
            </w:r>
            <w:proofErr w:type="spellStart"/>
            <w:r w:rsidRPr="002045F5">
              <w:rPr>
                <w:color w:val="000000"/>
                <w:sz w:val="22"/>
                <w:lang w:val="ru-RU"/>
              </w:rPr>
              <w:t>відновлення</w:t>
            </w:r>
            <w:proofErr w:type="spellEnd"/>
            <w:r w:rsidRPr="002045F5">
              <w:rPr>
                <w:color w:val="000000"/>
                <w:sz w:val="22"/>
                <w:lang w:val="ru-RU"/>
              </w:rPr>
              <w:t xml:space="preserve"> </w:t>
            </w:r>
            <w:proofErr w:type="spellStart"/>
            <w:r w:rsidRPr="002045F5">
              <w:rPr>
                <w:color w:val="000000"/>
                <w:sz w:val="22"/>
                <w:lang w:val="ru-RU"/>
              </w:rPr>
              <w:t>системи</w:t>
            </w:r>
            <w:proofErr w:type="spellEnd"/>
            <w:r w:rsidRPr="002045F5">
              <w:rPr>
                <w:color w:val="000000"/>
                <w:sz w:val="22"/>
                <w:lang w:val="ru-RU"/>
              </w:rPr>
              <w:t xml:space="preserve"> </w:t>
            </w:r>
            <w:proofErr w:type="spellStart"/>
            <w:r w:rsidRPr="002045F5">
              <w:rPr>
                <w:color w:val="000000"/>
                <w:sz w:val="22"/>
                <w:lang w:val="ru-RU"/>
              </w:rPr>
              <w:t>електропостачання</w:t>
            </w:r>
            <w:proofErr w:type="spellEnd"/>
            <w:r w:rsidRPr="002045F5">
              <w:rPr>
                <w:color w:val="000000"/>
                <w:sz w:val="22"/>
                <w:lang w:val="ru-RU"/>
              </w:rPr>
              <w:t xml:space="preserve"> та </w:t>
            </w:r>
            <w:proofErr w:type="spellStart"/>
            <w:proofErr w:type="gramStart"/>
            <w:r w:rsidRPr="002045F5">
              <w:rPr>
                <w:color w:val="000000"/>
                <w:sz w:val="22"/>
                <w:lang w:val="ru-RU"/>
              </w:rPr>
              <w:t>освітлення</w:t>
            </w:r>
            <w:proofErr w:type="spellEnd"/>
            <w:r w:rsidRPr="002045F5">
              <w:rPr>
                <w:color w:val="000000"/>
                <w:sz w:val="22"/>
                <w:lang w:val="ru-RU"/>
              </w:rPr>
              <w:t xml:space="preserve">  для</w:t>
            </w:r>
            <w:proofErr w:type="gramEnd"/>
            <w:r w:rsidRPr="002045F5">
              <w:rPr>
                <w:color w:val="000000"/>
                <w:sz w:val="22"/>
                <w:lang w:val="ru-RU"/>
              </w:rPr>
              <w:t xml:space="preserve"> </w:t>
            </w:r>
            <w:proofErr w:type="spellStart"/>
            <w:r w:rsidRPr="002045F5">
              <w:rPr>
                <w:color w:val="000000"/>
                <w:sz w:val="22"/>
                <w:lang w:val="ru-RU"/>
              </w:rPr>
              <w:t>площі</w:t>
            </w:r>
            <w:proofErr w:type="spellEnd"/>
            <w:r w:rsidRPr="002045F5">
              <w:rPr>
                <w:color w:val="000000"/>
                <w:sz w:val="22"/>
                <w:lang w:val="ru-RU"/>
              </w:rPr>
              <w:t xml:space="preserve"> </w:t>
            </w:r>
            <w:proofErr w:type="spellStart"/>
            <w:r w:rsidRPr="002045F5">
              <w:rPr>
                <w:color w:val="000000"/>
                <w:sz w:val="22"/>
                <w:lang w:val="ru-RU"/>
              </w:rPr>
              <w:t>будівлі</w:t>
            </w:r>
            <w:proofErr w:type="spellEnd"/>
            <w:r w:rsidRPr="002045F5">
              <w:rPr>
                <w:color w:val="000000"/>
                <w:sz w:val="22"/>
                <w:lang w:val="ru-RU"/>
              </w:rPr>
              <w:t xml:space="preserve"> 7755 кв. м .                                                                                                                                                                                                                        7.13. </w:t>
            </w:r>
            <w:proofErr w:type="spellStart"/>
            <w:r w:rsidRPr="002045F5">
              <w:rPr>
                <w:color w:val="000000"/>
                <w:sz w:val="22"/>
                <w:lang w:val="ru-RU"/>
              </w:rPr>
              <w:t>Заміна</w:t>
            </w:r>
            <w:proofErr w:type="spellEnd"/>
            <w:r w:rsidRPr="002045F5">
              <w:rPr>
                <w:color w:val="000000"/>
                <w:sz w:val="22"/>
                <w:lang w:val="ru-RU"/>
              </w:rPr>
              <w:t>:</w:t>
            </w:r>
            <w:r w:rsidRPr="002045F5">
              <w:rPr>
                <w:color w:val="000000"/>
                <w:sz w:val="22"/>
                <w:lang w:val="ru-RU"/>
              </w:rPr>
              <w:br/>
              <w:t xml:space="preserve">- </w:t>
            </w:r>
            <w:proofErr w:type="spellStart"/>
            <w:r w:rsidRPr="002045F5">
              <w:rPr>
                <w:color w:val="000000"/>
                <w:sz w:val="22"/>
                <w:lang w:val="ru-RU"/>
              </w:rPr>
              <w:t>плафонів</w:t>
            </w:r>
            <w:proofErr w:type="spellEnd"/>
            <w:r w:rsidRPr="002045F5">
              <w:rPr>
                <w:color w:val="000000"/>
                <w:sz w:val="22"/>
                <w:lang w:val="ru-RU"/>
              </w:rPr>
              <w:t xml:space="preserve"> і </w:t>
            </w:r>
            <w:r w:rsidRPr="002045F5">
              <w:rPr>
                <w:color w:val="000000"/>
                <w:sz w:val="22"/>
              </w:rPr>
              <w:t>LED</w:t>
            </w:r>
            <w:r w:rsidRPr="002045F5">
              <w:rPr>
                <w:color w:val="000000"/>
                <w:sz w:val="22"/>
                <w:lang w:val="ru-RU"/>
              </w:rPr>
              <w:t>-</w:t>
            </w:r>
            <w:proofErr w:type="gramStart"/>
            <w:r w:rsidRPr="002045F5">
              <w:rPr>
                <w:color w:val="000000"/>
                <w:sz w:val="22"/>
                <w:lang w:val="ru-RU"/>
              </w:rPr>
              <w:t>ламп  –</w:t>
            </w:r>
            <w:proofErr w:type="gramEnd"/>
            <w:r w:rsidRPr="002045F5">
              <w:rPr>
                <w:color w:val="000000"/>
                <w:sz w:val="22"/>
                <w:lang w:val="ru-RU"/>
              </w:rPr>
              <w:t xml:space="preserve"> 348 шт.</w:t>
            </w:r>
            <w:r w:rsidRPr="002045F5">
              <w:rPr>
                <w:color w:val="000000"/>
                <w:sz w:val="22"/>
                <w:lang w:val="ru-RU"/>
              </w:rPr>
              <w:br/>
              <w:t xml:space="preserve">- </w:t>
            </w:r>
            <w:proofErr w:type="spellStart"/>
            <w:r w:rsidRPr="002045F5">
              <w:rPr>
                <w:color w:val="000000"/>
                <w:sz w:val="22"/>
                <w:lang w:val="ru-RU"/>
              </w:rPr>
              <w:t>лампи</w:t>
            </w:r>
            <w:proofErr w:type="spellEnd"/>
            <w:r w:rsidRPr="002045F5">
              <w:rPr>
                <w:color w:val="000000"/>
                <w:sz w:val="22"/>
                <w:lang w:val="ru-RU"/>
              </w:rPr>
              <w:t xml:space="preserve"> денного </w:t>
            </w:r>
            <w:proofErr w:type="spellStart"/>
            <w:r w:rsidRPr="002045F5">
              <w:rPr>
                <w:color w:val="000000"/>
                <w:sz w:val="22"/>
                <w:lang w:val="ru-RU"/>
              </w:rPr>
              <w:t>світла</w:t>
            </w:r>
            <w:proofErr w:type="spellEnd"/>
            <w:r w:rsidRPr="002045F5">
              <w:rPr>
                <w:color w:val="000000"/>
                <w:sz w:val="22"/>
                <w:lang w:val="ru-RU"/>
              </w:rPr>
              <w:t xml:space="preserve"> – 292 шт.                                                                                                                                                          7.14. </w:t>
            </w:r>
            <w:proofErr w:type="spellStart"/>
            <w:r w:rsidRPr="002045F5">
              <w:rPr>
                <w:color w:val="000000"/>
                <w:sz w:val="22"/>
                <w:lang w:val="ru-RU"/>
              </w:rPr>
              <w:t>Заміна</w:t>
            </w:r>
            <w:proofErr w:type="spellEnd"/>
            <w:r w:rsidRPr="002045F5">
              <w:rPr>
                <w:color w:val="000000"/>
                <w:sz w:val="22"/>
                <w:lang w:val="ru-RU"/>
              </w:rPr>
              <w:t xml:space="preserve"> </w:t>
            </w:r>
            <w:proofErr w:type="spellStart"/>
            <w:r w:rsidRPr="002045F5">
              <w:rPr>
                <w:color w:val="000000"/>
                <w:sz w:val="22"/>
                <w:lang w:val="ru-RU"/>
              </w:rPr>
              <w:t>електросушарок</w:t>
            </w:r>
            <w:proofErr w:type="spellEnd"/>
            <w:r w:rsidRPr="002045F5">
              <w:rPr>
                <w:color w:val="000000"/>
                <w:sz w:val="22"/>
                <w:lang w:val="ru-RU"/>
              </w:rPr>
              <w:t xml:space="preserve"> для рук - 19 шт.</w:t>
            </w:r>
            <w:r w:rsidRPr="002045F5">
              <w:rPr>
                <w:color w:val="000000"/>
                <w:sz w:val="22"/>
                <w:lang w:val="ru-RU"/>
              </w:rPr>
              <w:br/>
              <w:t xml:space="preserve">- </w:t>
            </w:r>
            <w:proofErr w:type="spellStart"/>
            <w:r w:rsidRPr="002045F5">
              <w:rPr>
                <w:color w:val="000000"/>
                <w:sz w:val="22"/>
                <w:lang w:val="ru-RU"/>
              </w:rPr>
              <w:t>встановлення</w:t>
            </w:r>
            <w:proofErr w:type="spellEnd"/>
            <w:r w:rsidRPr="002045F5">
              <w:rPr>
                <w:color w:val="000000"/>
                <w:sz w:val="22"/>
                <w:lang w:val="ru-RU"/>
              </w:rPr>
              <w:t xml:space="preserve"> </w:t>
            </w:r>
            <w:proofErr w:type="spellStart"/>
            <w:r w:rsidRPr="002045F5">
              <w:rPr>
                <w:color w:val="000000"/>
                <w:sz w:val="22"/>
                <w:lang w:val="ru-RU"/>
              </w:rPr>
              <w:t>бойлерів</w:t>
            </w:r>
            <w:proofErr w:type="spellEnd"/>
            <w:r w:rsidRPr="002045F5">
              <w:rPr>
                <w:color w:val="000000"/>
                <w:sz w:val="22"/>
                <w:lang w:val="ru-RU"/>
              </w:rPr>
              <w:t xml:space="preserve"> в туалетах – 11 шт.                                                                                                                                7.15. </w:t>
            </w:r>
            <w:proofErr w:type="gramStart"/>
            <w:r w:rsidRPr="002045F5">
              <w:rPr>
                <w:color w:val="000000"/>
                <w:sz w:val="22"/>
                <w:lang w:val="ru-RU"/>
              </w:rPr>
              <w:t xml:space="preserve">Ремонт  </w:t>
            </w:r>
            <w:proofErr w:type="spellStart"/>
            <w:r w:rsidRPr="002045F5">
              <w:rPr>
                <w:color w:val="000000"/>
                <w:sz w:val="22"/>
                <w:lang w:val="ru-RU"/>
              </w:rPr>
              <w:t>системи</w:t>
            </w:r>
            <w:proofErr w:type="spellEnd"/>
            <w:proofErr w:type="gramEnd"/>
            <w:r w:rsidRPr="002045F5">
              <w:rPr>
                <w:color w:val="000000"/>
                <w:sz w:val="22"/>
                <w:lang w:val="ru-RU"/>
              </w:rPr>
              <w:t xml:space="preserve"> </w:t>
            </w:r>
            <w:proofErr w:type="spellStart"/>
            <w:r w:rsidRPr="002045F5">
              <w:rPr>
                <w:color w:val="000000"/>
                <w:sz w:val="22"/>
                <w:lang w:val="ru-RU"/>
              </w:rPr>
              <w:t>опалення</w:t>
            </w:r>
            <w:proofErr w:type="spellEnd"/>
            <w:r w:rsidRPr="002045F5">
              <w:rPr>
                <w:color w:val="000000"/>
                <w:sz w:val="22"/>
                <w:lang w:val="ru-RU"/>
              </w:rPr>
              <w:t xml:space="preserve"> (труби, </w:t>
            </w:r>
            <w:proofErr w:type="spellStart"/>
            <w:r w:rsidRPr="002045F5">
              <w:rPr>
                <w:color w:val="000000"/>
                <w:sz w:val="22"/>
                <w:lang w:val="ru-RU"/>
              </w:rPr>
              <w:t>секції</w:t>
            </w:r>
            <w:proofErr w:type="spellEnd"/>
            <w:r w:rsidRPr="002045F5">
              <w:rPr>
                <w:color w:val="000000"/>
                <w:sz w:val="22"/>
                <w:lang w:val="ru-RU"/>
              </w:rPr>
              <w:t xml:space="preserve"> </w:t>
            </w:r>
            <w:proofErr w:type="spellStart"/>
            <w:r w:rsidRPr="002045F5">
              <w:rPr>
                <w:color w:val="000000"/>
                <w:sz w:val="22"/>
                <w:lang w:val="ru-RU"/>
              </w:rPr>
              <w:t>опалювальної</w:t>
            </w:r>
            <w:proofErr w:type="spellEnd"/>
            <w:r w:rsidRPr="002045F5">
              <w:rPr>
                <w:color w:val="000000"/>
                <w:sz w:val="22"/>
                <w:lang w:val="ru-RU"/>
              </w:rPr>
              <w:t xml:space="preserve"> </w:t>
            </w:r>
            <w:proofErr w:type="spellStart"/>
            <w:r w:rsidRPr="002045F5">
              <w:rPr>
                <w:color w:val="000000"/>
                <w:sz w:val="22"/>
                <w:lang w:val="ru-RU"/>
              </w:rPr>
              <w:t>системи</w:t>
            </w:r>
            <w:proofErr w:type="spellEnd"/>
            <w:r w:rsidRPr="002045F5">
              <w:rPr>
                <w:color w:val="000000"/>
                <w:sz w:val="22"/>
                <w:lang w:val="ru-RU"/>
              </w:rPr>
              <w:t xml:space="preserve">) для </w:t>
            </w:r>
            <w:proofErr w:type="spellStart"/>
            <w:r w:rsidRPr="002045F5">
              <w:rPr>
                <w:color w:val="000000"/>
                <w:sz w:val="22"/>
                <w:lang w:val="ru-RU"/>
              </w:rPr>
              <w:t>площі</w:t>
            </w:r>
            <w:proofErr w:type="spellEnd"/>
            <w:r w:rsidRPr="002045F5">
              <w:rPr>
                <w:color w:val="000000"/>
                <w:sz w:val="22"/>
                <w:lang w:val="ru-RU"/>
              </w:rPr>
              <w:t xml:space="preserve"> </w:t>
            </w:r>
            <w:proofErr w:type="spellStart"/>
            <w:r w:rsidRPr="002045F5">
              <w:rPr>
                <w:color w:val="000000"/>
                <w:sz w:val="22"/>
                <w:lang w:val="ru-RU"/>
              </w:rPr>
              <w:t>будівлі</w:t>
            </w:r>
            <w:proofErr w:type="spellEnd"/>
            <w:r w:rsidRPr="002045F5">
              <w:rPr>
                <w:color w:val="000000"/>
                <w:sz w:val="22"/>
                <w:lang w:val="ru-RU"/>
              </w:rPr>
              <w:t xml:space="preserve"> 7755 кв. м   - </w:t>
            </w:r>
            <w:proofErr w:type="spellStart"/>
            <w:r w:rsidRPr="002045F5">
              <w:rPr>
                <w:color w:val="000000"/>
                <w:sz w:val="22"/>
                <w:lang w:val="ru-RU"/>
              </w:rPr>
              <w:t>здійснення</w:t>
            </w:r>
            <w:proofErr w:type="spellEnd"/>
            <w:r w:rsidRPr="002045F5">
              <w:rPr>
                <w:color w:val="000000"/>
                <w:sz w:val="22"/>
                <w:lang w:val="ru-RU"/>
              </w:rPr>
              <w:t xml:space="preserve"> </w:t>
            </w:r>
            <w:proofErr w:type="spellStart"/>
            <w:r w:rsidRPr="002045F5">
              <w:rPr>
                <w:color w:val="000000"/>
                <w:sz w:val="22"/>
                <w:lang w:val="ru-RU"/>
              </w:rPr>
              <w:t>будівельних</w:t>
            </w:r>
            <w:proofErr w:type="spellEnd"/>
            <w:r w:rsidRPr="002045F5">
              <w:rPr>
                <w:color w:val="000000"/>
                <w:sz w:val="22"/>
                <w:lang w:val="ru-RU"/>
              </w:rPr>
              <w:t xml:space="preserve">, </w:t>
            </w:r>
            <w:proofErr w:type="spellStart"/>
            <w:r w:rsidRPr="002045F5">
              <w:rPr>
                <w:color w:val="000000"/>
                <w:sz w:val="22"/>
                <w:lang w:val="ru-RU"/>
              </w:rPr>
              <w:t>монтажних</w:t>
            </w:r>
            <w:proofErr w:type="spellEnd"/>
            <w:r w:rsidRPr="002045F5">
              <w:rPr>
                <w:color w:val="000000"/>
                <w:sz w:val="22"/>
                <w:lang w:val="ru-RU"/>
              </w:rPr>
              <w:t xml:space="preserve">, </w:t>
            </w:r>
            <w:proofErr w:type="spellStart"/>
            <w:r w:rsidRPr="002045F5">
              <w:rPr>
                <w:color w:val="000000"/>
                <w:sz w:val="22"/>
                <w:lang w:val="ru-RU"/>
              </w:rPr>
              <w:t>відновлювальних</w:t>
            </w:r>
            <w:proofErr w:type="spellEnd"/>
            <w:r w:rsidRPr="002045F5">
              <w:rPr>
                <w:color w:val="000000"/>
                <w:sz w:val="22"/>
                <w:lang w:val="ru-RU"/>
              </w:rPr>
              <w:t xml:space="preserve"> та </w:t>
            </w:r>
            <w:proofErr w:type="spellStart"/>
            <w:r w:rsidRPr="002045F5">
              <w:rPr>
                <w:color w:val="000000"/>
                <w:sz w:val="22"/>
                <w:lang w:val="ru-RU"/>
              </w:rPr>
              <w:t>пусконалагоджувальних</w:t>
            </w:r>
            <w:proofErr w:type="spellEnd"/>
            <w:r w:rsidRPr="002045F5">
              <w:rPr>
                <w:color w:val="000000"/>
                <w:sz w:val="22"/>
                <w:lang w:val="ru-RU"/>
              </w:rPr>
              <w:t xml:space="preserve"> робіт.                                                                                                                                                   7.16. </w:t>
            </w:r>
            <w:proofErr w:type="spellStart"/>
            <w:r w:rsidRPr="002045F5">
              <w:rPr>
                <w:color w:val="000000"/>
                <w:sz w:val="22"/>
                <w:lang w:val="ru-RU"/>
              </w:rPr>
              <w:t>Улаштування</w:t>
            </w:r>
            <w:proofErr w:type="spellEnd"/>
            <w:r w:rsidRPr="002045F5">
              <w:rPr>
                <w:color w:val="000000"/>
                <w:sz w:val="22"/>
                <w:lang w:val="ru-RU"/>
              </w:rPr>
              <w:t xml:space="preserve"> </w:t>
            </w:r>
            <w:proofErr w:type="spellStart"/>
            <w:r w:rsidRPr="002045F5">
              <w:rPr>
                <w:color w:val="000000"/>
                <w:sz w:val="22"/>
                <w:lang w:val="ru-RU"/>
              </w:rPr>
              <w:t>укриття</w:t>
            </w:r>
            <w:proofErr w:type="spellEnd"/>
            <w:r w:rsidRPr="002045F5">
              <w:rPr>
                <w:color w:val="000000"/>
                <w:sz w:val="22"/>
                <w:lang w:val="ru-RU"/>
              </w:rPr>
              <w:t xml:space="preserve"> в </w:t>
            </w:r>
            <w:proofErr w:type="spellStart"/>
            <w:r w:rsidRPr="002045F5">
              <w:rPr>
                <w:color w:val="000000"/>
                <w:sz w:val="22"/>
                <w:lang w:val="ru-RU"/>
              </w:rPr>
              <w:t>підвалі</w:t>
            </w:r>
            <w:proofErr w:type="spellEnd"/>
            <w:r w:rsidRPr="002045F5">
              <w:rPr>
                <w:color w:val="000000"/>
                <w:sz w:val="22"/>
                <w:lang w:val="ru-RU"/>
              </w:rPr>
              <w:t xml:space="preserve"> </w:t>
            </w:r>
            <w:proofErr w:type="spellStart"/>
            <w:r w:rsidRPr="002045F5">
              <w:rPr>
                <w:color w:val="000000"/>
                <w:sz w:val="22"/>
                <w:lang w:val="ru-RU"/>
              </w:rPr>
              <w:t>будівлі</w:t>
            </w:r>
            <w:proofErr w:type="spellEnd"/>
            <w:r w:rsidRPr="002045F5">
              <w:rPr>
                <w:color w:val="000000"/>
                <w:sz w:val="22"/>
                <w:lang w:val="ru-RU"/>
              </w:rPr>
              <w:t xml:space="preserve">, </w:t>
            </w:r>
            <w:proofErr w:type="spellStart"/>
            <w:r w:rsidRPr="002045F5">
              <w:rPr>
                <w:color w:val="000000"/>
                <w:sz w:val="22"/>
                <w:lang w:val="ru-RU"/>
              </w:rPr>
              <w:t>що</w:t>
            </w:r>
            <w:proofErr w:type="spellEnd"/>
            <w:r w:rsidRPr="002045F5">
              <w:rPr>
                <w:color w:val="000000"/>
                <w:sz w:val="22"/>
                <w:lang w:val="ru-RU"/>
              </w:rPr>
              <w:t xml:space="preserve"> </w:t>
            </w:r>
            <w:proofErr w:type="spellStart"/>
            <w:r w:rsidRPr="002045F5">
              <w:rPr>
                <w:color w:val="000000"/>
                <w:sz w:val="22"/>
                <w:lang w:val="ru-RU"/>
              </w:rPr>
              <w:t>відповідає</w:t>
            </w:r>
            <w:proofErr w:type="spellEnd"/>
            <w:r w:rsidRPr="002045F5">
              <w:rPr>
                <w:color w:val="000000"/>
                <w:sz w:val="22"/>
                <w:lang w:val="ru-RU"/>
              </w:rPr>
              <w:t xml:space="preserve"> </w:t>
            </w:r>
            <w:proofErr w:type="spellStart"/>
            <w:r w:rsidRPr="002045F5">
              <w:rPr>
                <w:color w:val="000000"/>
                <w:sz w:val="22"/>
                <w:lang w:val="ru-RU"/>
              </w:rPr>
              <w:t>сучасним</w:t>
            </w:r>
            <w:proofErr w:type="spellEnd"/>
            <w:r w:rsidRPr="002045F5">
              <w:rPr>
                <w:color w:val="000000"/>
                <w:sz w:val="22"/>
                <w:lang w:val="ru-RU"/>
              </w:rPr>
              <w:t xml:space="preserve"> </w:t>
            </w:r>
            <w:proofErr w:type="spellStart"/>
            <w:r w:rsidRPr="002045F5">
              <w:rPr>
                <w:color w:val="000000"/>
                <w:sz w:val="22"/>
                <w:lang w:val="ru-RU"/>
              </w:rPr>
              <w:t>технічним</w:t>
            </w:r>
            <w:proofErr w:type="spellEnd"/>
            <w:r w:rsidRPr="002045F5">
              <w:rPr>
                <w:color w:val="000000"/>
                <w:sz w:val="22"/>
                <w:lang w:val="ru-RU"/>
              </w:rPr>
              <w:t xml:space="preserve"> нормам та правилам </w:t>
            </w:r>
            <w:proofErr w:type="spellStart"/>
            <w:r w:rsidRPr="002045F5">
              <w:rPr>
                <w:color w:val="000000"/>
                <w:sz w:val="22"/>
                <w:lang w:val="ru-RU"/>
              </w:rPr>
              <w:t>облаштування</w:t>
            </w:r>
            <w:proofErr w:type="spellEnd"/>
            <w:r w:rsidRPr="002045F5">
              <w:rPr>
                <w:color w:val="000000"/>
                <w:sz w:val="22"/>
                <w:lang w:val="ru-RU"/>
              </w:rPr>
              <w:t xml:space="preserve"> з </w:t>
            </w:r>
            <w:proofErr w:type="spellStart"/>
            <w:r w:rsidRPr="002045F5">
              <w:rPr>
                <w:color w:val="000000"/>
                <w:sz w:val="22"/>
                <w:lang w:val="ru-RU"/>
              </w:rPr>
              <w:t>урахуванням</w:t>
            </w:r>
            <w:proofErr w:type="spellEnd"/>
            <w:r w:rsidRPr="002045F5">
              <w:rPr>
                <w:color w:val="000000"/>
                <w:sz w:val="22"/>
                <w:lang w:val="ru-RU"/>
              </w:rPr>
              <w:t xml:space="preserve"> потреб людей з </w:t>
            </w:r>
            <w:proofErr w:type="spellStart"/>
            <w:r w:rsidRPr="002045F5">
              <w:rPr>
                <w:color w:val="000000"/>
                <w:sz w:val="22"/>
                <w:lang w:val="ru-RU"/>
              </w:rPr>
              <w:t>обмеженими</w:t>
            </w:r>
            <w:proofErr w:type="spellEnd"/>
            <w:r w:rsidRPr="002045F5">
              <w:rPr>
                <w:color w:val="000000"/>
                <w:sz w:val="22"/>
                <w:lang w:val="ru-RU"/>
              </w:rPr>
              <w:t xml:space="preserve"> </w:t>
            </w:r>
            <w:proofErr w:type="spellStart"/>
            <w:r w:rsidRPr="002045F5">
              <w:rPr>
                <w:color w:val="000000"/>
                <w:sz w:val="22"/>
                <w:lang w:val="ru-RU"/>
              </w:rPr>
              <w:t>можливостями</w:t>
            </w:r>
            <w:proofErr w:type="spellEnd"/>
            <w:r w:rsidRPr="002045F5">
              <w:rPr>
                <w:color w:val="000000"/>
                <w:sz w:val="22"/>
                <w:lang w:val="ru-RU"/>
              </w:rPr>
              <w:t xml:space="preserve">.  </w:t>
            </w:r>
            <w:proofErr w:type="spellStart"/>
            <w:r w:rsidRPr="002045F5">
              <w:rPr>
                <w:color w:val="000000"/>
                <w:sz w:val="22"/>
                <w:lang w:val="ru-RU"/>
              </w:rPr>
              <w:t>Оснащення</w:t>
            </w:r>
            <w:proofErr w:type="spellEnd"/>
            <w:r w:rsidRPr="002045F5">
              <w:rPr>
                <w:color w:val="000000"/>
                <w:sz w:val="22"/>
                <w:lang w:val="ru-RU"/>
              </w:rPr>
              <w:t xml:space="preserve"> доступом до </w:t>
            </w:r>
            <w:proofErr w:type="spellStart"/>
            <w:r w:rsidRPr="002045F5">
              <w:rPr>
                <w:color w:val="000000"/>
                <w:sz w:val="22"/>
                <w:lang w:val="ru-RU"/>
              </w:rPr>
              <w:t>мережі</w:t>
            </w:r>
            <w:proofErr w:type="spellEnd"/>
            <w:r w:rsidRPr="002045F5">
              <w:rPr>
                <w:color w:val="000000"/>
                <w:sz w:val="22"/>
                <w:lang w:val="ru-RU"/>
              </w:rPr>
              <w:t xml:space="preserve">     </w:t>
            </w:r>
            <w:r w:rsidRPr="002045F5">
              <w:rPr>
                <w:color w:val="000000"/>
                <w:sz w:val="22"/>
              </w:rPr>
              <w:t>INTERNET</w:t>
            </w:r>
            <w:r w:rsidRPr="002045F5">
              <w:rPr>
                <w:color w:val="000000"/>
                <w:sz w:val="22"/>
                <w:lang w:val="ru-RU"/>
              </w:rPr>
              <w:t xml:space="preserve">.                                                                                                                                                                                7.17. </w:t>
            </w:r>
            <w:proofErr w:type="spellStart"/>
            <w:proofErr w:type="gramStart"/>
            <w:r w:rsidRPr="002045F5">
              <w:rPr>
                <w:color w:val="000000"/>
                <w:sz w:val="22"/>
                <w:lang w:val="ru-RU"/>
              </w:rPr>
              <w:t>Відновлення</w:t>
            </w:r>
            <w:proofErr w:type="spellEnd"/>
            <w:r w:rsidRPr="002045F5">
              <w:rPr>
                <w:color w:val="000000"/>
                <w:sz w:val="22"/>
                <w:lang w:val="ru-RU"/>
              </w:rPr>
              <w:t xml:space="preserve">  </w:t>
            </w:r>
            <w:proofErr w:type="spellStart"/>
            <w:r w:rsidRPr="002045F5">
              <w:rPr>
                <w:color w:val="000000"/>
                <w:sz w:val="22"/>
                <w:lang w:val="ru-RU"/>
              </w:rPr>
              <w:t>мережі</w:t>
            </w:r>
            <w:proofErr w:type="spellEnd"/>
            <w:proofErr w:type="gramEnd"/>
            <w:r w:rsidRPr="002045F5">
              <w:rPr>
                <w:color w:val="000000"/>
                <w:sz w:val="22"/>
                <w:lang w:val="ru-RU"/>
              </w:rPr>
              <w:t xml:space="preserve"> </w:t>
            </w:r>
            <w:r w:rsidRPr="002045F5">
              <w:rPr>
                <w:color w:val="000000"/>
                <w:sz w:val="22"/>
              </w:rPr>
              <w:t>INTERNET</w:t>
            </w:r>
            <w:r w:rsidRPr="002045F5">
              <w:rPr>
                <w:color w:val="000000"/>
                <w:sz w:val="22"/>
                <w:lang w:val="ru-RU"/>
              </w:rPr>
              <w:t xml:space="preserve"> для </w:t>
            </w:r>
            <w:proofErr w:type="spellStart"/>
            <w:r w:rsidRPr="002045F5">
              <w:rPr>
                <w:color w:val="000000"/>
                <w:sz w:val="22"/>
                <w:lang w:val="ru-RU"/>
              </w:rPr>
              <w:t>навчальних</w:t>
            </w:r>
            <w:proofErr w:type="spellEnd"/>
            <w:r w:rsidRPr="002045F5">
              <w:rPr>
                <w:color w:val="000000"/>
                <w:sz w:val="22"/>
                <w:lang w:val="ru-RU"/>
              </w:rPr>
              <w:t xml:space="preserve"> та </w:t>
            </w:r>
            <w:proofErr w:type="spellStart"/>
            <w:r w:rsidRPr="002045F5">
              <w:rPr>
                <w:color w:val="000000"/>
                <w:sz w:val="22"/>
                <w:lang w:val="ru-RU"/>
              </w:rPr>
              <w:t>адміністративних</w:t>
            </w:r>
            <w:proofErr w:type="spellEnd"/>
            <w:r w:rsidRPr="002045F5">
              <w:rPr>
                <w:color w:val="000000"/>
                <w:sz w:val="22"/>
                <w:lang w:val="ru-RU"/>
              </w:rPr>
              <w:t xml:space="preserve"> </w:t>
            </w:r>
            <w:proofErr w:type="spellStart"/>
            <w:r w:rsidRPr="002045F5">
              <w:rPr>
                <w:color w:val="000000"/>
                <w:sz w:val="22"/>
                <w:lang w:val="ru-RU"/>
              </w:rPr>
              <w:t>кабінетів</w:t>
            </w:r>
            <w:proofErr w:type="spellEnd"/>
            <w:r w:rsidRPr="002045F5">
              <w:rPr>
                <w:color w:val="000000"/>
                <w:sz w:val="22"/>
                <w:lang w:val="ru-RU"/>
              </w:rPr>
              <w:t xml:space="preserve"> для </w:t>
            </w:r>
            <w:proofErr w:type="spellStart"/>
            <w:r w:rsidRPr="002045F5">
              <w:rPr>
                <w:color w:val="000000"/>
                <w:sz w:val="22"/>
                <w:lang w:val="ru-RU"/>
              </w:rPr>
              <w:t>площі</w:t>
            </w:r>
            <w:proofErr w:type="spellEnd"/>
            <w:r w:rsidRPr="002045F5">
              <w:rPr>
                <w:color w:val="000000"/>
                <w:sz w:val="22"/>
                <w:lang w:val="ru-RU"/>
              </w:rPr>
              <w:t xml:space="preserve"> </w:t>
            </w:r>
            <w:proofErr w:type="spellStart"/>
            <w:r w:rsidRPr="002045F5">
              <w:rPr>
                <w:color w:val="000000"/>
                <w:sz w:val="22"/>
                <w:lang w:val="ru-RU"/>
              </w:rPr>
              <w:t>будівлі</w:t>
            </w:r>
            <w:proofErr w:type="spellEnd"/>
            <w:r w:rsidRPr="002045F5">
              <w:rPr>
                <w:color w:val="000000"/>
                <w:sz w:val="22"/>
                <w:lang w:val="ru-RU"/>
              </w:rPr>
              <w:t xml:space="preserve"> 7755 кв. м.     </w:t>
            </w:r>
            <w:proofErr w:type="spellStart"/>
            <w:proofErr w:type="gramStart"/>
            <w:r w:rsidRPr="002045F5">
              <w:rPr>
                <w:color w:val="000000"/>
                <w:sz w:val="22"/>
                <w:lang w:val="ru-RU"/>
              </w:rPr>
              <w:t>Здійснення</w:t>
            </w:r>
            <w:proofErr w:type="spellEnd"/>
            <w:r w:rsidRPr="002045F5">
              <w:rPr>
                <w:color w:val="000000"/>
                <w:sz w:val="22"/>
                <w:lang w:val="ru-RU"/>
              </w:rPr>
              <w:t xml:space="preserve">  </w:t>
            </w:r>
            <w:proofErr w:type="spellStart"/>
            <w:r w:rsidRPr="002045F5">
              <w:rPr>
                <w:color w:val="000000"/>
                <w:sz w:val="22"/>
                <w:lang w:val="ru-RU"/>
              </w:rPr>
              <w:t>монтажних</w:t>
            </w:r>
            <w:proofErr w:type="spellEnd"/>
            <w:proofErr w:type="gramEnd"/>
            <w:r w:rsidRPr="002045F5">
              <w:rPr>
                <w:color w:val="000000"/>
                <w:sz w:val="22"/>
                <w:lang w:val="ru-RU"/>
              </w:rPr>
              <w:t xml:space="preserve">, </w:t>
            </w:r>
            <w:proofErr w:type="spellStart"/>
            <w:r w:rsidRPr="002045F5">
              <w:rPr>
                <w:color w:val="000000"/>
                <w:sz w:val="22"/>
                <w:lang w:val="ru-RU"/>
              </w:rPr>
              <w:t>відновлювальних</w:t>
            </w:r>
            <w:proofErr w:type="spellEnd"/>
            <w:r w:rsidRPr="002045F5">
              <w:rPr>
                <w:color w:val="000000"/>
                <w:sz w:val="22"/>
                <w:lang w:val="ru-RU"/>
              </w:rPr>
              <w:t xml:space="preserve"> та </w:t>
            </w:r>
            <w:proofErr w:type="spellStart"/>
            <w:r w:rsidRPr="002045F5">
              <w:rPr>
                <w:color w:val="000000"/>
                <w:sz w:val="22"/>
                <w:lang w:val="ru-RU"/>
              </w:rPr>
              <w:t>пусконалагоджувальних</w:t>
            </w:r>
            <w:proofErr w:type="spellEnd"/>
            <w:r w:rsidRPr="002045F5">
              <w:rPr>
                <w:color w:val="000000"/>
                <w:sz w:val="22"/>
                <w:lang w:val="ru-RU"/>
              </w:rPr>
              <w:t xml:space="preserve"> </w:t>
            </w:r>
            <w:proofErr w:type="spellStart"/>
            <w:r w:rsidRPr="002045F5">
              <w:rPr>
                <w:color w:val="000000"/>
                <w:sz w:val="22"/>
                <w:lang w:val="ru-RU"/>
              </w:rPr>
              <w:t>робіт</w:t>
            </w:r>
            <w:proofErr w:type="spellEnd"/>
            <w:r w:rsidRPr="002045F5">
              <w:rPr>
                <w:color w:val="000000"/>
                <w:sz w:val="22"/>
                <w:lang w:val="ru-RU"/>
              </w:rPr>
              <w:t xml:space="preserve">.                                                                                                                                  7.18.  </w:t>
            </w:r>
            <w:proofErr w:type="spellStart"/>
            <w:r w:rsidRPr="002045F5">
              <w:rPr>
                <w:color w:val="000000"/>
                <w:sz w:val="22"/>
                <w:lang w:val="ru-RU"/>
              </w:rPr>
              <w:t>Відновлення</w:t>
            </w:r>
            <w:proofErr w:type="spellEnd"/>
            <w:r w:rsidRPr="002045F5">
              <w:rPr>
                <w:color w:val="000000"/>
                <w:sz w:val="22"/>
                <w:lang w:val="ru-RU"/>
              </w:rPr>
              <w:t xml:space="preserve"> </w:t>
            </w:r>
            <w:proofErr w:type="spellStart"/>
            <w:r w:rsidRPr="002045F5">
              <w:rPr>
                <w:color w:val="000000"/>
                <w:sz w:val="22"/>
                <w:lang w:val="ru-RU"/>
              </w:rPr>
              <w:t>туалетних</w:t>
            </w:r>
            <w:proofErr w:type="spellEnd"/>
            <w:r w:rsidRPr="002045F5">
              <w:rPr>
                <w:color w:val="000000"/>
                <w:sz w:val="22"/>
                <w:lang w:val="ru-RU"/>
              </w:rPr>
              <w:t xml:space="preserve"> </w:t>
            </w:r>
            <w:proofErr w:type="spellStart"/>
            <w:r w:rsidRPr="002045F5">
              <w:rPr>
                <w:color w:val="000000"/>
                <w:sz w:val="22"/>
                <w:lang w:val="ru-RU"/>
              </w:rPr>
              <w:t>кімнат</w:t>
            </w:r>
            <w:proofErr w:type="spellEnd"/>
            <w:r w:rsidRPr="002045F5">
              <w:rPr>
                <w:color w:val="000000"/>
                <w:sz w:val="22"/>
                <w:lang w:val="ru-RU"/>
              </w:rPr>
              <w:t xml:space="preserve">, </w:t>
            </w:r>
            <w:proofErr w:type="spellStart"/>
            <w:r w:rsidRPr="002045F5">
              <w:rPr>
                <w:color w:val="000000"/>
                <w:sz w:val="22"/>
                <w:lang w:val="ru-RU"/>
              </w:rPr>
              <w:t>встановлення</w:t>
            </w:r>
            <w:proofErr w:type="spellEnd"/>
            <w:r w:rsidRPr="002045F5">
              <w:rPr>
                <w:color w:val="000000"/>
                <w:sz w:val="22"/>
                <w:lang w:val="ru-RU"/>
              </w:rPr>
              <w:t xml:space="preserve"> </w:t>
            </w:r>
            <w:proofErr w:type="spellStart"/>
            <w:r w:rsidRPr="002045F5">
              <w:rPr>
                <w:color w:val="000000"/>
                <w:sz w:val="22"/>
                <w:lang w:val="ru-RU"/>
              </w:rPr>
              <w:t>кабінок</w:t>
            </w:r>
            <w:proofErr w:type="spellEnd"/>
            <w:r w:rsidRPr="002045F5">
              <w:rPr>
                <w:color w:val="000000"/>
                <w:sz w:val="22"/>
                <w:lang w:val="ru-RU"/>
              </w:rPr>
              <w:t xml:space="preserve"> в </w:t>
            </w:r>
            <w:proofErr w:type="spellStart"/>
            <w:r w:rsidRPr="002045F5">
              <w:rPr>
                <w:color w:val="000000"/>
                <w:sz w:val="22"/>
                <w:lang w:val="ru-RU"/>
              </w:rPr>
              <w:t>туалетних</w:t>
            </w:r>
            <w:proofErr w:type="spellEnd"/>
            <w:r w:rsidRPr="002045F5">
              <w:rPr>
                <w:color w:val="000000"/>
                <w:sz w:val="22"/>
                <w:lang w:val="ru-RU"/>
              </w:rPr>
              <w:t xml:space="preserve"> </w:t>
            </w:r>
            <w:proofErr w:type="spellStart"/>
            <w:r w:rsidRPr="002045F5">
              <w:rPr>
                <w:color w:val="000000"/>
                <w:sz w:val="22"/>
                <w:lang w:val="ru-RU"/>
              </w:rPr>
              <w:t>кімнатах</w:t>
            </w:r>
            <w:proofErr w:type="spellEnd"/>
            <w:r w:rsidRPr="002045F5">
              <w:rPr>
                <w:color w:val="000000"/>
                <w:sz w:val="22"/>
                <w:lang w:val="ru-RU"/>
              </w:rPr>
              <w:t xml:space="preserve"> (20 </w:t>
            </w:r>
            <w:proofErr w:type="spellStart"/>
            <w:r w:rsidRPr="002045F5">
              <w:rPr>
                <w:color w:val="000000"/>
                <w:sz w:val="22"/>
                <w:lang w:val="ru-RU"/>
              </w:rPr>
              <w:t>шт</w:t>
            </w:r>
            <w:proofErr w:type="spellEnd"/>
            <w:r w:rsidRPr="002045F5">
              <w:rPr>
                <w:color w:val="000000"/>
                <w:sz w:val="22"/>
                <w:lang w:val="ru-RU"/>
              </w:rPr>
              <w:t xml:space="preserve">), </w:t>
            </w:r>
            <w:proofErr w:type="spellStart"/>
            <w:r w:rsidRPr="002045F5">
              <w:rPr>
                <w:color w:val="000000"/>
                <w:sz w:val="22"/>
                <w:lang w:val="ru-RU"/>
              </w:rPr>
              <w:t>що</w:t>
            </w:r>
            <w:proofErr w:type="spellEnd"/>
            <w:r w:rsidRPr="002045F5">
              <w:rPr>
                <w:color w:val="000000"/>
                <w:sz w:val="22"/>
                <w:lang w:val="ru-RU"/>
              </w:rPr>
              <w:t xml:space="preserve"> </w:t>
            </w:r>
            <w:proofErr w:type="spellStart"/>
            <w:r w:rsidRPr="002045F5">
              <w:rPr>
                <w:color w:val="000000"/>
                <w:sz w:val="22"/>
                <w:lang w:val="ru-RU"/>
              </w:rPr>
              <w:t>відповідає</w:t>
            </w:r>
            <w:proofErr w:type="spellEnd"/>
            <w:r w:rsidRPr="002045F5">
              <w:rPr>
                <w:color w:val="000000"/>
                <w:sz w:val="22"/>
                <w:lang w:val="ru-RU"/>
              </w:rPr>
              <w:t xml:space="preserve"> </w:t>
            </w:r>
            <w:proofErr w:type="spellStart"/>
            <w:r w:rsidRPr="002045F5">
              <w:rPr>
                <w:color w:val="000000"/>
                <w:sz w:val="22"/>
                <w:lang w:val="ru-RU"/>
              </w:rPr>
              <w:t>сучасним</w:t>
            </w:r>
            <w:proofErr w:type="spellEnd"/>
            <w:r w:rsidRPr="002045F5">
              <w:rPr>
                <w:color w:val="000000"/>
                <w:sz w:val="22"/>
                <w:lang w:val="ru-RU"/>
              </w:rPr>
              <w:t xml:space="preserve"> </w:t>
            </w:r>
            <w:proofErr w:type="spellStart"/>
            <w:r w:rsidRPr="002045F5">
              <w:rPr>
                <w:color w:val="000000"/>
                <w:sz w:val="22"/>
                <w:lang w:val="ru-RU"/>
              </w:rPr>
              <w:t>технічним</w:t>
            </w:r>
            <w:proofErr w:type="spellEnd"/>
            <w:r w:rsidRPr="002045F5">
              <w:rPr>
                <w:color w:val="000000"/>
                <w:sz w:val="22"/>
                <w:lang w:val="ru-RU"/>
              </w:rPr>
              <w:t xml:space="preserve"> нормам та правилам </w:t>
            </w:r>
            <w:proofErr w:type="spellStart"/>
            <w:r w:rsidRPr="002045F5">
              <w:rPr>
                <w:color w:val="000000"/>
                <w:sz w:val="22"/>
                <w:lang w:val="ru-RU"/>
              </w:rPr>
              <w:t>облаштування</w:t>
            </w:r>
            <w:proofErr w:type="spellEnd"/>
            <w:r w:rsidRPr="002045F5">
              <w:rPr>
                <w:color w:val="000000"/>
                <w:sz w:val="22"/>
                <w:lang w:val="ru-RU"/>
              </w:rPr>
              <w:t xml:space="preserve"> з </w:t>
            </w:r>
            <w:proofErr w:type="spellStart"/>
            <w:r w:rsidRPr="002045F5">
              <w:rPr>
                <w:color w:val="000000"/>
                <w:sz w:val="22"/>
                <w:lang w:val="ru-RU"/>
              </w:rPr>
              <w:t>урахуванням</w:t>
            </w:r>
            <w:proofErr w:type="spellEnd"/>
            <w:r w:rsidRPr="002045F5">
              <w:rPr>
                <w:color w:val="000000"/>
                <w:sz w:val="22"/>
                <w:lang w:val="ru-RU"/>
              </w:rPr>
              <w:t xml:space="preserve"> потреб людей з </w:t>
            </w:r>
            <w:proofErr w:type="spellStart"/>
            <w:r w:rsidRPr="002045F5">
              <w:rPr>
                <w:color w:val="000000"/>
                <w:sz w:val="22"/>
                <w:lang w:val="ru-RU"/>
              </w:rPr>
              <w:t>обмеженими</w:t>
            </w:r>
            <w:proofErr w:type="spellEnd"/>
            <w:r w:rsidRPr="002045F5">
              <w:rPr>
                <w:color w:val="000000"/>
                <w:sz w:val="22"/>
                <w:lang w:val="ru-RU"/>
              </w:rPr>
              <w:t xml:space="preserve"> можливостями.                                                                                                                                             - </w:t>
            </w:r>
            <w:proofErr w:type="spellStart"/>
            <w:r w:rsidRPr="002045F5">
              <w:rPr>
                <w:color w:val="000000"/>
                <w:sz w:val="22"/>
                <w:lang w:val="ru-RU"/>
              </w:rPr>
              <w:t>заміна</w:t>
            </w:r>
            <w:proofErr w:type="spellEnd"/>
            <w:r w:rsidRPr="002045F5">
              <w:rPr>
                <w:color w:val="000000"/>
                <w:sz w:val="22"/>
                <w:lang w:val="ru-RU"/>
              </w:rPr>
              <w:t xml:space="preserve"> </w:t>
            </w:r>
            <w:proofErr w:type="spellStart"/>
            <w:r w:rsidRPr="002045F5">
              <w:rPr>
                <w:color w:val="000000"/>
                <w:sz w:val="22"/>
                <w:lang w:val="ru-RU"/>
              </w:rPr>
              <w:t>кахельної</w:t>
            </w:r>
            <w:proofErr w:type="spellEnd"/>
            <w:r w:rsidRPr="002045F5">
              <w:rPr>
                <w:color w:val="000000"/>
                <w:sz w:val="22"/>
                <w:lang w:val="ru-RU"/>
              </w:rPr>
              <w:t xml:space="preserve"> плитки (</w:t>
            </w:r>
            <w:proofErr w:type="spellStart"/>
            <w:r w:rsidRPr="002045F5">
              <w:rPr>
                <w:color w:val="000000"/>
                <w:sz w:val="22"/>
                <w:lang w:val="ru-RU"/>
              </w:rPr>
              <w:t>підлога</w:t>
            </w:r>
            <w:proofErr w:type="spellEnd"/>
            <w:r w:rsidRPr="002045F5">
              <w:rPr>
                <w:color w:val="000000"/>
                <w:sz w:val="22"/>
                <w:lang w:val="ru-RU"/>
              </w:rPr>
              <w:t xml:space="preserve">, </w:t>
            </w:r>
            <w:proofErr w:type="spellStart"/>
            <w:r w:rsidRPr="002045F5">
              <w:rPr>
                <w:color w:val="000000"/>
                <w:sz w:val="22"/>
                <w:lang w:val="ru-RU"/>
              </w:rPr>
              <w:t>стіни</w:t>
            </w:r>
            <w:proofErr w:type="spellEnd"/>
            <w:r w:rsidRPr="002045F5">
              <w:rPr>
                <w:color w:val="000000"/>
                <w:sz w:val="22"/>
                <w:lang w:val="ru-RU"/>
              </w:rPr>
              <w:t xml:space="preserve">) в туалетах (дитячі-160 кв. </w:t>
            </w:r>
            <w:proofErr w:type="gramStart"/>
            <w:r w:rsidRPr="002045F5">
              <w:rPr>
                <w:color w:val="000000"/>
                <w:sz w:val="22"/>
                <w:lang w:val="ru-RU"/>
              </w:rPr>
              <w:t>м ,</w:t>
            </w:r>
            <w:proofErr w:type="gramEnd"/>
            <w:r w:rsidRPr="002045F5">
              <w:rPr>
                <w:color w:val="000000"/>
                <w:sz w:val="22"/>
                <w:lang w:val="ru-RU"/>
              </w:rPr>
              <w:t xml:space="preserve"> для </w:t>
            </w:r>
            <w:proofErr w:type="spellStart"/>
            <w:r w:rsidRPr="002045F5">
              <w:rPr>
                <w:color w:val="000000"/>
                <w:sz w:val="22"/>
                <w:lang w:val="ru-RU"/>
              </w:rPr>
              <w:t>вчителів</w:t>
            </w:r>
            <w:proofErr w:type="spellEnd"/>
            <w:r w:rsidRPr="002045F5">
              <w:rPr>
                <w:color w:val="000000"/>
                <w:sz w:val="22"/>
                <w:lang w:val="ru-RU"/>
              </w:rPr>
              <w:t xml:space="preserve"> –18 кв. м.)                                                                                                                                                                   </w:t>
            </w:r>
            <w:r w:rsidRPr="002045F5">
              <w:rPr>
                <w:color w:val="000000"/>
                <w:sz w:val="22"/>
                <w:lang w:val="ru-RU"/>
              </w:rPr>
              <w:lastRenderedPageBreak/>
              <w:t xml:space="preserve">7.19. </w:t>
            </w:r>
            <w:proofErr w:type="spellStart"/>
            <w:r w:rsidRPr="002045F5">
              <w:rPr>
                <w:color w:val="000000"/>
                <w:sz w:val="22"/>
                <w:lang w:val="ru-RU"/>
              </w:rPr>
              <w:t>Улаштування</w:t>
            </w:r>
            <w:proofErr w:type="spellEnd"/>
            <w:r w:rsidRPr="002045F5">
              <w:rPr>
                <w:color w:val="000000"/>
                <w:sz w:val="22"/>
                <w:lang w:val="ru-RU"/>
              </w:rPr>
              <w:t xml:space="preserve"> </w:t>
            </w:r>
            <w:proofErr w:type="spellStart"/>
            <w:r w:rsidRPr="002045F5">
              <w:rPr>
                <w:color w:val="000000"/>
                <w:sz w:val="22"/>
                <w:lang w:val="ru-RU"/>
              </w:rPr>
              <w:t>протипожежної</w:t>
            </w:r>
            <w:proofErr w:type="spellEnd"/>
            <w:r w:rsidRPr="002045F5">
              <w:rPr>
                <w:color w:val="000000"/>
                <w:sz w:val="22"/>
                <w:lang w:val="ru-RU"/>
              </w:rPr>
              <w:t xml:space="preserve"> </w:t>
            </w:r>
            <w:proofErr w:type="spellStart"/>
            <w:r w:rsidRPr="002045F5">
              <w:rPr>
                <w:color w:val="000000"/>
                <w:sz w:val="22"/>
                <w:lang w:val="ru-RU"/>
              </w:rPr>
              <w:t>сигналізації</w:t>
            </w:r>
            <w:proofErr w:type="spellEnd"/>
            <w:r w:rsidRPr="002045F5">
              <w:rPr>
                <w:color w:val="000000"/>
                <w:sz w:val="22"/>
                <w:lang w:val="ru-RU"/>
              </w:rPr>
              <w:t xml:space="preserve"> </w:t>
            </w:r>
            <w:proofErr w:type="gramStart"/>
            <w:r w:rsidRPr="002045F5">
              <w:rPr>
                <w:color w:val="000000"/>
                <w:sz w:val="22"/>
                <w:lang w:val="ru-RU"/>
              </w:rPr>
              <w:t xml:space="preserve">для  </w:t>
            </w:r>
            <w:proofErr w:type="spellStart"/>
            <w:r w:rsidRPr="002045F5">
              <w:rPr>
                <w:color w:val="000000"/>
                <w:sz w:val="22"/>
                <w:lang w:val="ru-RU"/>
              </w:rPr>
              <w:t>площі</w:t>
            </w:r>
            <w:proofErr w:type="spellEnd"/>
            <w:proofErr w:type="gramEnd"/>
            <w:r w:rsidRPr="002045F5">
              <w:rPr>
                <w:color w:val="000000"/>
                <w:sz w:val="22"/>
                <w:lang w:val="ru-RU"/>
              </w:rPr>
              <w:t xml:space="preserve"> </w:t>
            </w:r>
            <w:proofErr w:type="spellStart"/>
            <w:r w:rsidRPr="002045F5">
              <w:rPr>
                <w:color w:val="000000"/>
                <w:sz w:val="22"/>
                <w:lang w:val="ru-RU"/>
              </w:rPr>
              <w:t>будівлі</w:t>
            </w:r>
            <w:proofErr w:type="spellEnd"/>
            <w:r w:rsidRPr="002045F5">
              <w:rPr>
                <w:color w:val="000000"/>
                <w:sz w:val="22"/>
                <w:lang w:val="ru-RU"/>
              </w:rPr>
              <w:t xml:space="preserve"> 7755 кв. м.    - </w:t>
            </w:r>
            <w:proofErr w:type="spellStart"/>
            <w:proofErr w:type="gramStart"/>
            <w:r w:rsidRPr="002045F5">
              <w:rPr>
                <w:color w:val="000000"/>
                <w:sz w:val="22"/>
                <w:lang w:val="ru-RU"/>
              </w:rPr>
              <w:t>здійснення</w:t>
            </w:r>
            <w:proofErr w:type="spellEnd"/>
            <w:r w:rsidRPr="002045F5">
              <w:rPr>
                <w:color w:val="000000"/>
                <w:sz w:val="22"/>
                <w:lang w:val="ru-RU"/>
              </w:rPr>
              <w:t xml:space="preserve">  </w:t>
            </w:r>
            <w:proofErr w:type="spellStart"/>
            <w:r w:rsidRPr="002045F5">
              <w:rPr>
                <w:color w:val="000000"/>
                <w:sz w:val="22"/>
                <w:lang w:val="ru-RU"/>
              </w:rPr>
              <w:t>монтажних</w:t>
            </w:r>
            <w:proofErr w:type="spellEnd"/>
            <w:proofErr w:type="gramEnd"/>
            <w:r w:rsidRPr="002045F5">
              <w:rPr>
                <w:color w:val="000000"/>
                <w:sz w:val="22"/>
                <w:lang w:val="ru-RU"/>
              </w:rPr>
              <w:t xml:space="preserve">, </w:t>
            </w:r>
            <w:proofErr w:type="spellStart"/>
            <w:r w:rsidRPr="002045F5">
              <w:rPr>
                <w:color w:val="000000"/>
                <w:sz w:val="22"/>
                <w:lang w:val="ru-RU"/>
              </w:rPr>
              <w:t>відновлювальних</w:t>
            </w:r>
            <w:proofErr w:type="spellEnd"/>
            <w:r w:rsidRPr="002045F5">
              <w:rPr>
                <w:color w:val="000000"/>
                <w:sz w:val="22"/>
                <w:lang w:val="ru-RU"/>
              </w:rPr>
              <w:t xml:space="preserve"> та </w:t>
            </w:r>
            <w:proofErr w:type="spellStart"/>
            <w:r w:rsidRPr="002045F5">
              <w:rPr>
                <w:color w:val="000000"/>
                <w:sz w:val="22"/>
                <w:lang w:val="ru-RU"/>
              </w:rPr>
              <w:t>пусконалагоджувальних</w:t>
            </w:r>
            <w:proofErr w:type="spellEnd"/>
            <w:r w:rsidRPr="002045F5">
              <w:rPr>
                <w:color w:val="000000"/>
                <w:sz w:val="22"/>
                <w:lang w:val="ru-RU"/>
              </w:rPr>
              <w:t xml:space="preserve"> </w:t>
            </w:r>
            <w:proofErr w:type="spellStart"/>
            <w:r w:rsidRPr="002045F5">
              <w:rPr>
                <w:color w:val="000000"/>
                <w:sz w:val="22"/>
                <w:lang w:val="ru-RU"/>
              </w:rPr>
              <w:t>робіт</w:t>
            </w:r>
            <w:proofErr w:type="spellEnd"/>
            <w:r w:rsidRPr="002045F5">
              <w:rPr>
                <w:color w:val="000000"/>
                <w:sz w:val="22"/>
                <w:lang w:val="ru-RU"/>
              </w:rPr>
              <w:t xml:space="preserve">.  </w:t>
            </w:r>
          </w:p>
          <w:p w:rsidR="003B7CFF" w:rsidRPr="002045F5" w:rsidRDefault="003B7CFF" w:rsidP="001013F3">
            <w:pPr>
              <w:ind w:left="174" w:right="344"/>
              <w:rPr>
                <w:color w:val="000000"/>
                <w:sz w:val="22"/>
                <w:lang w:val="ru-RU"/>
              </w:rPr>
            </w:pPr>
            <w:r w:rsidRPr="002045F5">
              <w:rPr>
                <w:color w:val="000000"/>
                <w:sz w:val="22"/>
                <w:lang w:val="ru-RU"/>
              </w:rPr>
              <w:t>7.</w:t>
            </w:r>
            <w:proofErr w:type="gramStart"/>
            <w:r w:rsidRPr="002045F5">
              <w:rPr>
                <w:color w:val="000000"/>
                <w:sz w:val="22"/>
                <w:lang w:val="ru-RU"/>
              </w:rPr>
              <w:t>20.Улаштування</w:t>
            </w:r>
            <w:proofErr w:type="gramEnd"/>
            <w:r w:rsidRPr="002045F5">
              <w:rPr>
                <w:color w:val="000000"/>
                <w:sz w:val="22"/>
                <w:lang w:val="ru-RU"/>
              </w:rPr>
              <w:t xml:space="preserve">  </w:t>
            </w:r>
            <w:proofErr w:type="spellStart"/>
            <w:r w:rsidRPr="002045F5">
              <w:rPr>
                <w:color w:val="000000"/>
                <w:sz w:val="22"/>
                <w:lang w:val="ru-RU"/>
              </w:rPr>
              <w:t>системи</w:t>
            </w:r>
            <w:proofErr w:type="spellEnd"/>
            <w:r w:rsidRPr="002045F5">
              <w:rPr>
                <w:color w:val="000000"/>
                <w:sz w:val="22"/>
                <w:lang w:val="ru-RU"/>
              </w:rPr>
              <w:t xml:space="preserve"> </w:t>
            </w:r>
            <w:proofErr w:type="spellStart"/>
            <w:r w:rsidRPr="002045F5">
              <w:rPr>
                <w:color w:val="000000"/>
                <w:sz w:val="22"/>
                <w:lang w:val="ru-RU"/>
              </w:rPr>
              <w:t>відеоспостереження</w:t>
            </w:r>
            <w:proofErr w:type="spellEnd"/>
            <w:r w:rsidRPr="002045F5">
              <w:rPr>
                <w:color w:val="000000"/>
                <w:sz w:val="22"/>
                <w:lang w:val="ru-RU"/>
              </w:rPr>
              <w:t xml:space="preserve"> </w:t>
            </w:r>
            <w:proofErr w:type="spellStart"/>
            <w:r w:rsidRPr="002045F5">
              <w:rPr>
                <w:color w:val="000000"/>
                <w:sz w:val="22"/>
                <w:lang w:val="ru-RU"/>
              </w:rPr>
              <w:t>всередині</w:t>
            </w:r>
            <w:proofErr w:type="spellEnd"/>
            <w:r w:rsidRPr="002045F5">
              <w:rPr>
                <w:color w:val="000000"/>
                <w:sz w:val="22"/>
                <w:lang w:val="ru-RU"/>
              </w:rPr>
              <w:t xml:space="preserve"> </w:t>
            </w:r>
            <w:proofErr w:type="spellStart"/>
            <w:r w:rsidRPr="002045F5">
              <w:rPr>
                <w:color w:val="000000"/>
                <w:sz w:val="22"/>
                <w:lang w:val="ru-RU"/>
              </w:rPr>
              <w:t>будівлі</w:t>
            </w:r>
            <w:proofErr w:type="spellEnd"/>
            <w:r w:rsidRPr="002045F5">
              <w:rPr>
                <w:color w:val="000000"/>
                <w:sz w:val="22"/>
                <w:lang w:val="ru-RU"/>
              </w:rPr>
              <w:t xml:space="preserve"> та на </w:t>
            </w:r>
            <w:proofErr w:type="spellStart"/>
            <w:r w:rsidRPr="002045F5">
              <w:rPr>
                <w:color w:val="000000"/>
                <w:sz w:val="22"/>
                <w:lang w:val="ru-RU"/>
              </w:rPr>
              <w:t>прилеглій</w:t>
            </w:r>
            <w:proofErr w:type="spellEnd"/>
            <w:r w:rsidRPr="002045F5">
              <w:rPr>
                <w:color w:val="000000"/>
                <w:sz w:val="22"/>
                <w:lang w:val="ru-RU"/>
              </w:rPr>
              <w:t xml:space="preserve"> </w:t>
            </w:r>
            <w:proofErr w:type="spellStart"/>
            <w:r w:rsidRPr="002045F5">
              <w:rPr>
                <w:color w:val="000000"/>
                <w:sz w:val="22"/>
                <w:lang w:val="ru-RU"/>
              </w:rPr>
              <w:t>території</w:t>
            </w:r>
            <w:proofErr w:type="spellEnd"/>
            <w:r w:rsidRPr="002045F5">
              <w:rPr>
                <w:color w:val="000000"/>
                <w:sz w:val="22"/>
                <w:lang w:val="ru-RU"/>
              </w:rPr>
              <w:t xml:space="preserve"> з метою </w:t>
            </w:r>
            <w:proofErr w:type="spellStart"/>
            <w:r w:rsidRPr="002045F5">
              <w:rPr>
                <w:color w:val="000000"/>
                <w:sz w:val="22"/>
                <w:lang w:val="ru-RU"/>
              </w:rPr>
              <w:t>попередження</w:t>
            </w:r>
            <w:proofErr w:type="spellEnd"/>
            <w:r w:rsidRPr="002045F5">
              <w:rPr>
                <w:color w:val="000000"/>
                <w:sz w:val="22"/>
                <w:lang w:val="ru-RU"/>
              </w:rPr>
              <w:t xml:space="preserve"> </w:t>
            </w:r>
            <w:proofErr w:type="spellStart"/>
            <w:r w:rsidRPr="002045F5">
              <w:rPr>
                <w:color w:val="000000"/>
                <w:sz w:val="22"/>
                <w:lang w:val="ru-RU"/>
              </w:rPr>
              <w:t>правопорушень</w:t>
            </w:r>
            <w:proofErr w:type="spellEnd"/>
            <w:r w:rsidRPr="002045F5">
              <w:rPr>
                <w:color w:val="000000"/>
                <w:sz w:val="22"/>
                <w:lang w:val="ru-RU"/>
              </w:rPr>
              <w:t xml:space="preserve">, </w:t>
            </w:r>
            <w:proofErr w:type="spellStart"/>
            <w:r w:rsidRPr="002045F5">
              <w:rPr>
                <w:color w:val="000000"/>
                <w:sz w:val="22"/>
                <w:lang w:val="ru-RU"/>
              </w:rPr>
              <w:t>булінгу</w:t>
            </w:r>
            <w:proofErr w:type="spellEnd"/>
            <w:r w:rsidRPr="002045F5">
              <w:rPr>
                <w:color w:val="000000"/>
                <w:sz w:val="22"/>
                <w:lang w:val="ru-RU"/>
              </w:rPr>
              <w:t xml:space="preserve"> </w:t>
            </w:r>
            <w:proofErr w:type="spellStart"/>
            <w:r w:rsidRPr="002045F5">
              <w:rPr>
                <w:color w:val="000000"/>
                <w:sz w:val="22"/>
                <w:lang w:val="ru-RU"/>
              </w:rPr>
              <w:t>відносно</w:t>
            </w:r>
            <w:proofErr w:type="spellEnd"/>
            <w:r w:rsidRPr="002045F5">
              <w:rPr>
                <w:color w:val="000000"/>
                <w:sz w:val="22"/>
                <w:lang w:val="ru-RU"/>
              </w:rPr>
              <w:t xml:space="preserve"> </w:t>
            </w:r>
            <w:proofErr w:type="spellStart"/>
            <w:r w:rsidRPr="002045F5">
              <w:rPr>
                <w:color w:val="000000"/>
                <w:sz w:val="22"/>
                <w:lang w:val="ru-RU"/>
              </w:rPr>
              <w:t>учасників</w:t>
            </w:r>
            <w:proofErr w:type="spellEnd"/>
            <w:r w:rsidRPr="002045F5">
              <w:rPr>
                <w:color w:val="000000"/>
                <w:sz w:val="22"/>
                <w:lang w:val="ru-RU"/>
              </w:rPr>
              <w:t xml:space="preserve"> </w:t>
            </w:r>
            <w:proofErr w:type="spellStart"/>
            <w:r w:rsidRPr="002045F5">
              <w:rPr>
                <w:color w:val="000000"/>
                <w:sz w:val="22"/>
                <w:lang w:val="ru-RU"/>
              </w:rPr>
              <w:t>освітнього</w:t>
            </w:r>
            <w:proofErr w:type="spellEnd"/>
            <w:r w:rsidRPr="002045F5">
              <w:rPr>
                <w:color w:val="000000"/>
                <w:sz w:val="22"/>
                <w:lang w:val="ru-RU"/>
              </w:rPr>
              <w:t xml:space="preserve"> </w:t>
            </w:r>
            <w:proofErr w:type="spellStart"/>
            <w:r w:rsidRPr="002045F5">
              <w:rPr>
                <w:color w:val="000000"/>
                <w:sz w:val="22"/>
                <w:lang w:val="ru-RU"/>
              </w:rPr>
              <w:t>процесу</w:t>
            </w:r>
            <w:proofErr w:type="spellEnd"/>
            <w:r w:rsidRPr="002045F5">
              <w:rPr>
                <w:color w:val="000000"/>
                <w:sz w:val="22"/>
                <w:lang w:val="ru-RU"/>
              </w:rPr>
              <w:t xml:space="preserve">, </w:t>
            </w:r>
            <w:proofErr w:type="spellStart"/>
            <w:r w:rsidRPr="002045F5">
              <w:rPr>
                <w:color w:val="000000"/>
                <w:sz w:val="22"/>
                <w:lang w:val="ru-RU"/>
              </w:rPr>
              <w:t>збереження</w:t>
            </w:r>
            <w:proofErr w:type="spellEnd"/>
            <w:r w:rsidRPr="002045F5">
              <w:rPr>
                <w:color w:val="000000"/>
                <w:sz w:val="22"/>
                <w:lang w:val="ru-RU"/>
              </w:rPr>
              <w:t xml:space="preserve"> </w:t>
            </w:r>
            <w:proofErr w:type="spellStart"/>
            <w:r w:rsidRPr="002045F5">
              <w:rPr>
                <w:color w:val="000000"/>
                <w:sz w:val="22"/>
                <w:lang w:val="ru-RU"/>
              </w:rPr>
              <w:t>матеріальних</w:t>
            </w:r>
            <w:proofErr w:type="spellEnd"/>
            <w:r w:rsidRPr="002045F5">
              <w:rPr>
                <w:color w:val="000000"/>
                <w:sz w:val="22"/>
                <w:lang w:val="ru-RU"/>
              </w:rPr>
              <w:t xml:space="preserve"> </w:t>
            </w:r>
            <w:proofErr w:type="spellStart"/>
            <w:r w:rsidRPr="002045F5">
              <w:rPr>
                <w:color w:val="000000"/>
                <w:sz w:val="22"/>
                <w:lang w:val="ru-RU"/>
              </w:rPr>
              <w:t>цінностей</w:t>
            </w:r>
            <w:proofErr w:type="spellEnd"/>
            <w:r w:rsidRPr="002045F5">
              <w:rPr>
                <w:color w:val="000000"/>
                <w:sz w:val="22"/>
                <w:lang w:val="ru-RU"/>
              </w:rPr>
              <w:t xml:space="preserve">, </w:t>
            </w:r>
            <w:proofErr w:type="spellStart"/>
            <w:r w:rsidRPr="002045F5">
              <w:rPr>
                <w:color w:val="000000"/>
                <w:sz w:val="22"/>
                <w:lang w:val="ru-RU"/>
              </w:rPr>
              <w:t>непроникнення</w:t>
            </w:r>
            <w:proofErr w:type="spellEnd"/>
            <w:r w:rsidRPr="002045F5">
              <w:rPr>
                <w:color w:val="000000"/>
                <w:sz w:val="22"/>
                <w:lang w:val="ru-RU"/>
              </w:rPr>
              <w:t xml:space="preserve"> </w:t>
            </w:r>
            <w:proofErr w:type="spellStart"/>
            <w:r w:rsidRPr="002045F5">
              <w:rPr>
                <w:color w:val="000000"/>
                <w:sz w:val="22"/>
                <w:lang w:val="ru-RU"/>
              </w:rPr>
              <w:t>сторонніх</w:t>
            </w:r>
            <w:proofErr w:type="spellEnd"/>
            <w:r w:rsidRPr="002045F5">
              <w:rPr>
                <w:color w:val="000000"/>
                <w:sz w:val="22"/>
                <w:lang w:val="ru-RU"/>
              </w:rPr>
              <w:t xml:space="preserve"> </w:t>
            </w:r>
            <w:proofErr w:type="spellStart"/>
            <w:r w:rsidRPr="002045F5">
              <w:rPr>
                <w:color w:val="000000"/>
                <w:sz w:val="22"/>
                <w:lang w:val="ru-RU"/>
              </w:rPr>
              <w:t>осіб</w:t>
            </w:r>
            <w:proofErr w:type="spellEnd"/>
            <w:r w:rsidRPr="002045F5">
              <w:rPr>
                <w:color w:val="000000"/>
                <w:sz w:val="22"/>
                <w:lang w:val="ru-RU"/>
              </w:rPr>
              <w:t xml:space="preserve"> на </w:t>
            </w:r>
            <w:proofErr w:type="spellStart"/>
            <w:r w:rsidRPr="002045F5">
              <w:rPr>
                <w:color w:val="000000"/>
                <w:sz w:val="22"/>
                <w:lang w:val="ru-RU"/>
              </w:rPr>
              <w:t>територію</w:t>
            </w:r>
            <w:proofErr w:type="spellEnd"/>
            <w:r w:rsidRPr="002045F5">
              <w:rPr>
                <w:color w:val="000000"/>
                <w:sz w:val="22"/>
                <w:lang w:val="ru-RU"/>
              </w:rPr>
              <w:t xml:space="preserve"> закладу.                                                                                                                                                               8. </w:t>
            </w:r>
            <w:proofErr w:type="spellStart"/>
            <w:r w:rsidRPr="002045F5">
              <w:rPr>
                <w:color w:val="000000"/>
                <w:sz w:val="22"/>
                <w:lang w:val="ru-RU"/>
              </w:rPr>
              <w:t>Оформлення</w:t>
            </w:r>
            <w:proofErr w:type="spellEnd"/>
            <w:r w:rsidRPr="002045F5">
              <w:rPr>
                <w:color w:val="000000"/>
                <w:sz w:val="22"/>
                <w:lang w:val="ru-RU"/>
              </w:rPr>
              <w:t xml:space="preserve"> </w:t>
            </w:r>
            <w:proofErr w:type="spellStart"/>
            <w:r w:rsidRPr="002045F5">
              <w:rPr>
                <w:color w:val="000000"/>
                <w:sz w:val="22"/>
                <w:lang w:val="ru-RU"/>
              </w:rPr>
              <w:t>документації</w:t>
            </w:r>
            <w:proofErr w:type="spellEnd"/>
            <w:r w:rsidRPr="002045F5">
              <w:rPr>
                <w:color w:val="000000"/>
                <w:sz w:val="22"/>
                <w:lang w:val="ru-RU"/>
              </w:rPr>
              <w:t xml:space="preserve"> </w:t>
            </w:r>
            <w:proofErr w:type="spellStart"/>
            <w:r w:rsidRPr="002045F5">
              <w:rPr>
                <w:color w:val="000000"/>
                <w:sz w:val="22"/>
                <w:lang w:val="ru-RU"/>
              </w:rPr>
              <w:t>щодо</w:t>
            </w:r>
            <w:proofErr w:type="spellEnd"/>
            <w:r w:rsidRPr="002045F5">
              <w:rPr>
                <w:color w:val="000000"/>
                <w:sz w:val="22"/>
                <w:lang w:val="ru-RU"/>
              </w:rPr>
              <w:t xml:space="preserve"> </w:t>
            </w:r>
            <w:proofErr w:type="spellStart"/>
            <w:r w:rsidRPr="002045F5">
              <w:rPr>
                <w:color w:val="000000"/>
                <w:sz w:val="22"/>
                <w:lang w:val="ru-RU"/>
              </w:rPr>
              <w:t>виконаних</w:t>
            </w:r>
            <w:proofErr w:type="spellEnd"/>
            <w:r w:rsidRPr="002045F5">
              <w:rPr>
                <w:color w:val="000000"/>
                <w:sz w:val="22"/>
                <w:lang w:val="ru-RU"/>
              </w:rPr>
              <w:t xml:space="preserve"> </w:t>
            </w:r>
            <w:proofErr w:type="spellStart"/>
            <w:r w:rsidRPr="002045F5">
              <w:rPr>
                <w:color w:val="000000"/>
                <w:sz w:val="22"/>
                <w:lang w:val="ru-RU"/>
              </w:rPr>
              <w:t>робіт</w:t>
            </w:r>
            <w:proofErr w:type="spellEnd"/>
            <w:r w:rsidRPr="002045F5">
              <w:rPr>
                <w:color w:val="000000"/>
                <w:sz w:val="22"/>
                <w:lang w:val="ru-RU"/>
              </w:rPr>
              <w:t xml:space="preserve"> та </w:t>
            </w:r>
            <w:proofErr w:type="spellStart"/>
            <w:r w:rsidRPr="002045F5">
              <w:rPr>
                <w:color w:val="000000"/>
                <w:sz w:val="22"/>
                <w:lang w:val="ru-RU"/>
              </w:rPr>
              <w:t>їх</w:t>
            </w:r>
            <w:proofErr w:type="spellEnd"/>
            <w:r w:rsidRPr="002045F5">
              <w:rPr>
                <w:color w:val="000000"/>
                <w:sz w:val="22"/>
                <w:lang w:val="ru-RU"/>
              </w:rPr>
              <w:t xml:space="preserve"> оплата.</w:t>
            </w:r>
            <w:r w:rsidRPr="002045F5">
              <w:rPr>
                <w:color w:val="000000"/>
                <w:sz w:val="22"/>
                <w:lang w:val="ru-RU"/>
              </w:rPr>
              <w:br/>
              <w:t xml:space="preserve">9. </w:t>
            </w:r>
            <w:proofErr w:type="spellStart"/>
            <w:r w:rsidRPr="002045F5">
              <w:rPr>
                <w:color w:val="000000"/>
                <w:sz w:val="22"/>
                <w:lang w:val="ru-RU"/>
              </w:rPr>
              <w:t>Введення</w:t>
            </w:r>
            <w:proofErr w:type="spellEnd"/>
            <w:r w:rsidRPr="002045F5">
              <w:rPr>
                <w:color w:val="000000"/>
                <w:sz w:val="22"/>
                <w:lang w:val="ru-RU"/>
              </w:rPr>
              <w:t xml:space="preserve"> </w:t>
            </w:r>
            <w:proofErr w:type="spellStart"/>
            <w:r w:rsidRPr="002045F5">
              <w:rPr>
                <w:color w:val="000000"/>
                <w:sz w:val="22"/>
                <w:lang w:val="ru-RU"/>
              </w:rPr>
              <w:t>об`єкта</w:t>
            </w:r>
            <w:proofErr w:type="spellEnd"/>
            <w:r w:rsidRPr="002045F5">
              <w:rPr>
                <w:color w:val="000000"/>
                <w:sz w:val="22"/>
                <w:lang w:val="ru-RU"/>
              </w:rPr>
              <w:t xml:space="preserve"> в </w:t>
            </w:r>
            <w:proofErr w:type="spellStart"/>
            <w:r w:rsidRPr="002045F5">
              <w:rPr>
                <w:color w:val="000000"/>
                <w:sz w:val="22"/>
                <w:lang w:val="ru-RU"/>
              </w:rPr>
              <w:t>експлуатацію</w:t>
            </w:r>
            <w:proofErr w:type="spellEnd"/>
            <w:r w:rsidRPr="002045F5">
              <w:rPr>
                <w:color w:val="000000"/>
                <w:sz w:val="22"/>
                <w:lang w:val="ru-RU"/>
              </w:rPr>
              <w:t xml:space="preserve">.                                                                                                                                                                                      </w:t>
            </w:r>
          </w:p>
        </w:tc>
      </w:tr>
      <w:tr w:rsidR="003B7CFF" w:rsidRPr="002045F5" w:rsidTr="00E824C2">
        <w:trPr>
          <w:trHeight w:val="20"/>
        </w:trPr>
        <w:tc>
          <w:tcPr>
            <w:tcW w:w="2978" w:type="dxa"/>
            <w:shd w:val="clear" w:color="auto" w:fill="C6D9F1" w:themeFill="text2" w:themeFillTint="33"/>
            <w:noWrap/>
            <w:vAlign w:val="bottom"/>
            <w:hideMark/>
          </w:tcPr>
          <w:p w:rsidR="003B7CFF" w:rsidRPr="002045F5" w:rsidRDefault="003B7CFF" w:rsidP="001013F3">
            <w:pPr>
              <w:rPr>
                <w:color w:val="000000"/>
                <w:sz w:val="22"/>
                <w:lang w:val="ru-RU"/>
              </w:rPr>
            </w:pPr>
            <w:r w:rsidRPr="002045F5">
              <w:rPr>
                <w:color w:val="000000"/>
                <w:sz w:val="22"/>
              </w:rPr>
              <w:t> </w:t>
            </w:r>
          </w:p>
        </w:tc>
        <w:tc>
          <w:tcPr>
            <w:tcW w:w="6931" w:type="dxa"/>
            <w:gridSpan w:val="8"/>
            <w:vMerge/>
            <w:vAlign w:val="center"/>
            <w:hideMark/>
          </w:tcPr>
          <w:p w:rsidR="003B7CFF" w:rsidRPr="002045F5" w:rsidRDefault="003B7CFF" w:rsidP="001013F3">
            <w:pPr>
              <w:rPr>
                <w:color w:val="000000"/>
                <w:sz w:val="22"/>
                <w:lang w:val="ru-RU"/>
              </w:rPr>
            </w:pPr>
          </w:p>
        </w:tc>
      </w:tr>
      <w:tr w:rsidR="00E824C2" w:rsidRPr="002045F5" w:rsidTr="00F76155">
        <w:trPr>
          <w:gridAfter w:val="1"/>
          <w:wAfter w:w="9" w:type="dxa"/>
          <w:trHeight w:val="509"/>
        </w:trPr>
        <w:tc>
          <w:tcPr>
            <w:tcW w:w="2978" w:type="dxa"/>
            <w:vMerge w:val="restart"/>
            <w:shd w:val="clear" w:color="auto" w:fill="C6D9F1" w:themeFill="text2" w:themeFillTint="33"/>
            <w:vAlign w:val="center"/>
            <w:hideMark/>
          </w:tcPr>
          <w:p w:rsidR="003B7CFF" w:rsidRPr="002045F5" w:rsidRDefault="003B7CFF" w:rsidP="001013F3">
            <w:pPr>
              <w:rPr>
                <w:b/>
                <w:color w:val="000000"/>
                <w:sz w:val="22"/>
                <w:lang w:val="ru-RU"/>
              </w:rPr>
            </w:pPr>
            <w:proofErr w:type="spellStart"/>
            <w:r w:rsidRPr="002045F5">
              <w:rPr>
                <w:rFonts w:eastAsia="Calibri"/>
                <w:b/>
                <w:color w:val="000000"/>
                <w:sz w:val="22"/>
                <w:lang w:val="ru-RU"/>
              </w:rPr>
              <w:lastRenderedPageBreak/>
              <w:t>Орієнтовний</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обсяг</w:t>
            </w:r>
            <w:proofErr w:type="spellEnd"/>
            <w:r w:rsidRPr="002045F5">
              <w:rPr>
                <w:rFonts w:eastAsia="Calibri"/>
                <w:b/>
                <w:color w:val="000000"/>
                <w:sz w:val="22"/>
                <w:lang w:val="ru-RU"/>
              </w:rPr>
              <w:t xml:space="preserve"> та </w:t>
            </w:r>
            <w:proofErr w:type="spellStart"/>
            <w:r w:rsidRPr="002045F5">
              <w:rPr>
                <w:rFonts w:eastAsia="Calibri"/>
                <w:b/>
                <w:color w:val="000000"/>
                <w:sz w:val="22"/>
                <w:lang w:val="ru-RU"/>
              </w:rPr>
              <w:t>джерела</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фінансування</w:t>
            </w:r>
            <w:proofErr w:type="spellEnd"/>
            <w:r w:rsidRPr="002045F5">
              <w:rPr>
                <w:rFonts w:eastAsia="Calibri"/>
                <w:b/>
                <w:color w:val="000000"/>
                <w:sz w:val="22"/>
                <w:lang w:val="ru-RU"/>
              </w:rPr>
              <w:t xml:space="preserve"> тис. </w:t>
            </w:r>
            <w:proofErr w:type="spellStart"/>
            <w:r w:rsidRPr="002045F5">
              <w:rPr>
                <w:rFonts w:eastAsia="Calibri"/>
                <w:b/>
                <w:color w:val="000000"/>
                <w:sz w:val="22"/>
                <w:lang w:val="ru-RU"/>
              </w:rPr>
              <w:t>гривень</w:t>
            </w:r>
            <w:proofErr w:type="spellEnd"/>
          </w:p>
        </w:tc>
        <w:tc>
          <w:tcPr>
            <w:tcW w:w="1134" w:type="dxa"/>
            <w:vMerge w:val="restart"/>
            <w:shd w:val="clear" w:color="auto" w:fill="auto"/>
            <w:vAlign w:val="center"/>
            <w:hideMark/>
          </w:tcPr>
          <w:p w:rsidR="003B7CFF" w:rsidRPr="002045F5" w:rsidRDefault="003B7CFF" w:rsidP="001013F3">
            <w:pPr>
              <w:rPr>
                <w:color w:val="000000"/>
                <w:sz w:val="22"/>
              </w:rPr>
            </w:pPr>
            <w:r w:rsidRPr="002045F5">
              <w:rPr>
                <w:color w:val="000000"/>
                <w:sz w:val="22"/>
              </w:rPr>
              <w:t>Державний бюджет</w:t>
            </w:r>
          </w:p>
        </w:tc>
        <w:tc>
          <w:tcPr>
            <w:tcW w:w="1275" w:type="dxa"/>
            <w:vMerge w:val="restart"/>
            <w:shd w:val="clear" w:color="auto" w:fill="auto"/>
            <w:noWrap/>
            <w:vAlign w:val="center"/>
            <w:hideMark/>
          </w:tcPr>
          <w:p w:rsidR="003B7CFF" w:rsidRPr="002045F5" w:rsidRDefault="003B7CFF" w:rsidP="001013F3">
            <w:pPr>
              <w:jc w:val="center"/>
              <w:rPr>
                <w:color w:val="000000"/>
                <w:sz w:val="22"/>
              </w:rPr>
            </w:pPr>
            <w:r w:rsidRPr="002045F5">
              <w:rPr>
                <w:color w:val="000000"/>
                <w:sz w:val="22"/>
              </w:rPr>
              <w:t>Місцевий бюджет</w:t>
            </w:r>
          </w:p>
        </w:tc>
        <w:tc>
          <w:tcPr>
            <w:tcW w:w="3261" w:type="dxa"/>
            <w:gridSpan w:val="4"/>
            <w:shd w:val="clear" w:color="auto" w:fill="auto"/>
            <w:vAlign w:val="center"/>
            <w:hideMark/>
          </w:tcPr>
          <w:p w:rsidR="003B7CFF" w:rsidRPr="002045F5" w:rsidRDefault="003B7CFF" w:rsidP="001013F3">
            <w:pPr>
              <w:rPr>
                <w:color w:val="000000"/>
                <w:sz w:val="22"/>
              </w:rPr>
            </w:pPr>
            <w:r w:rsidRPr="002045F5">
              <w:rPr>
                <w:color w:val="000000"/>
                <w:sz w:val="22"/>
              </w:rPr>
              <w:t>Інші джерела</w:t>
            </w:r>
          </w:p>
        </w:tc>
        <w:tc>
          <w:tcPr>
            <w:tcW w:w="1252" w:type="dxa"/>
            <w:shd w:val="clear" w:color="auto" w:fill="auto"/>
            <w:vAlign w:val="center"/>
            <w:hideMark/>
          </w:tcPr>
          <w:p w:rsidR="003B7CFF" w:rsidRPr="002045F5" w:rsidRDefault="003B7CFF" w:rsidP="001013F3">
            <w:pPr>
              <w:rPr>
                <w:color w:val="000000"/>
                <w:sz w:val="22"/>
              </w:rPr>
            </w:pPr>
            <w:r w:rsidRPr="002045F5">
              <w:rPr>
                <w:color w:val="000000"/>
                <w:sz w:val="22"/>
              </w:rPr>
              <w:t>Всього</w:t>
            </w:r>
          </w:p>
        </w:tc>
      </w:tr>
      <w:tr w:rsidR="00E824C2" w:rsidRPr="002045F5" w:rsidTr="00F76155">
        <w:trPr>
          <w:gridAfter w:val="1"/>
          <w:wAfter w:w="9" w:type="dxa"/>
          <w:trHeight w:val="404"/>
        </w:trPr>
        <w:tc>
          <w:tcPr>
            <w:tcW w:w="2978" w:type="dxa"/>
            <w:vMerge/>
            <w:shd w:val="clear" w:color="auto" w:fill="C6D9F1" w:themeFill="text2" w:themeFillTint="33"/>
            <w:vAlign w:val="center"/>
            <w:hideMark/>
          </w:tcPr>
          <w:p w:rsidR="003B7CFF" w:rsidRPr="002045F5" w:rsidRDefault="003B7CFF" w:rsidP="001013F3">
            <w:pPr>
              <w:rPr>
                <w:b/>
                <w:color w:val="000000"/>
                <w:sz w:val="22"/>
              </w:rPr>
            </w:pPr>
          </w:p>
        </w:tc>
        <w:tc>
          <w:tcPr>
            <w:tcW w:w="1134" w:type="dxa"/>
            <w:vMerge/>
            <w:vAlign w:val="center"/>
            <w:hideMark/>
          </w:tcPr>
          <w:p w:rsidR="003B7CFF" w:rsidRPr="002045F5" w:rsidRDefault="003B7CFF" w:rsidP="001013F3">
            <w:pPr>
              <w:rPr>
                <w:color w:val="000000"/>
                <w:sz w:val="22"/>
              </w:rPr>
            </w:pPr>
          </w:p>
        </w:tc>
        <w:tc>
          <w:tcPr>
            <w:tcW w:w="1275" w:type="dxa"/>
            <w:vMerge/>
            <w:vAlign w:val="center"/>
            <w:hideMark/>
          </w:tcPr>
          <w:p w:rsidR="003B7CFF" w:rsidRPr="002045F5" w:rsidRDefault="003B7CFF" w:rsidP="001013F3">
            <w:pPr>
              <w:rPr>
                <w:color w:val="000000"/>
                <w:sz w:val="22"/>
              </w:rPr>
            </w:pPr>
          </w:p>
        </w:tc>
        <w:tc>
          <w:tcPr>
            <w:tcW w:w="1276" w:type="dxa"/>
            <w:gridSpan w:val="2"/>
            <w:shd w:val="clear" w:color="auto" w:fill="auto"/>
            <w:vAlign w:val="center"/>
            <w:hideMark/>
          </w:tcPr>
          <w:p w:rsidR="003B7CFF" w:rsidRPr="002045F5" w:rsidRDefault="003B7CFF" w:rsidP="001013F3">
            <w:pPr>
              <w:rPr>
                <w:color w:val="000000"/>
                <w:sz w:val="22"/>
              </w:rPr>
            </w:pPr>
            <w:r w:rsidRPr="002045F5">
              <w:rPr>
                <w:color w:val="000000"/>
                <w:sz w:val="22"/>
              </w:rPr>
              <w:t>Обсяг</w:t>
            </w:r>
          </w:p>
        </w:tc>
        <w:tc>
          <w:tcPr>
            <w:tcW w:w="1985" w:type="dxa"/>
            <w:gridSpan w:val="2"/>
            <w:shd w:val="clear" w:color="auto" w:fill="auto"/>
            <w:vAlign w:val="center"/>
            <w:hideMark/>
          </w:tcPr>
          <w:p w:rsidR="003B7CFF" w:rsidRPr="002045F5" w:rsidRDefault="003B7CFF" w:rsidP="001013F3">
            <w:pPr>
              <w:rPr>
                <w:color w:val="000000"/>
                <w:sz w:val="22"/>
              </w:rPr>
            </w:pPr>
            <w:r w:rsidRPr="002045F5">
              <w:rPr>
                <w:color w:val="000000"/>
                <w:sz w:val="22"/>
              </w:rPr>
              <w:t>Назва джерела</w:t>
            </w:r>
          </w:p>
          <w:p w:rsidR="003B7CFF" w:rsidRPr="002045F5" w:rsidRDefault="003B7CFF" w:rsidP="001013F3">
            <w:pPr>
              <w:rPr>
                <w:color w:val="000000"/>
                <w:sz w:val="22"/>
              </w:rPr>
            </w:pPr>
            <w:r w:rsidRPr="002045F5">
              <w:rPr>
                <w:color w:val="000000"/>
                <w:sz w:val="22"/>
              </w:rPr>
              <w:t> </w:t>
            </w:r>
          </w:p>
        </w:tc>
        <w:tc>
          <w:tcPr>
            <w:tcW w:w="1252" w:type="dxa"/>
            <w:vAlign w:val="center"/>
            <w:hideMark/>
          </w:tcPr>
          <w:p w:rsidR="003B7CFF" w:rsidRPr="002045F5" w:rsidRDefault="003B7CFF" w:rsidP="001013F3">
            <w:pPr>
              <w:rPr>
                <w:color w:val="000000"/>
                <w:sz w:val="22"/>
              </w:rPr>
            </w:pPr>
          </w:p>
        </w:tc>
      </w:tr>
      <w:tr w:rsidR="00D75E8F" w:rsidRPr="002045F5" w:rsidTr="00F76155">
        <w:trPr>
          <w:gridAfter w:val="1"/>
          <w:wAfter w:w="9" w:type="dxa"/>
          <w:trHeight w:val="2461"/>
        </w:trPr>
        <w:tc>
          <w:tcPr>
            <w:tcW w:w="2978" w:type="dxa"/>
            <w:vMerge/>
            <w:shd w:val="clear" w:color="auto" w:fill="C6D9F1" w:themeFill="text2" w:themeFillTint="33"/>
            <w:vAlign w:val="center"/>
            <w:hideMark/>
          </w:tcPr>
          <w:p w:rsidR="00D75E8F" w:rsidRPr="002045F5" w:rsidRDefault="00D75E8F" w:rsidP="001013F3">
            <w:pPr>
              <w:rPr>
                <w:b/>
                <w:color w:val="000000"/>
                <w:sz w:val="22"/>
              </w:rPr>
            </w:pPr>
          </w:p>
        </w:tc>
        <w:tc>
          <w:tcPr>
            <w:tcW w:w="1134" w:type="dxa"/>
            <w:shd w:val="clear" w:color="auto" w:fill="auto"/>
            <w:noWrap/>
            <w:hideMark/>
          </w:tcPr>
          <w:p w:rsidR="00D75E8F" w:rsidRPr="002045F5" w:rsidRDefault="00D75E8F" w:rsidP="001013F3">
            <w:pPr>
              <w:rPr>
                <w:color w:val="000000"/>
                <w:sz w:val="22"/>
              </w:rPr>
            </w:pPr>
            <w:r w:rsidRPr="002045F5">
              <w:rPr>
                <w:color w:val="000000"/>
                <w:sz w:val="22"/>
              </w:rPr>
              <w:t>90 000,0</w:t>
            </w:r>
          </w:p>
        </w:tc>
        <w:tc>
          <w:tcPr>
            <w:tcW w:w="1275" w:type="dxa"/>
            <w:shd w:val="clear" w:color="auto" w:fill="auto"/>
            <w:noWrap/>
            <w:vAlign w:val="bottom"/>
            <w:hideMark/>
          </w:tcPr>
          <w:p w:rsidR="00D75E8F" w:rsidRPr="002045F5" w:rsidRDefault="00D75E8F" w:rsidP="001013F3">
            <w:pPr>
              <w:rPr>
                <w:color w:val="000000"/>
                <w:sz w:val="22"/>
                <w:lang w:val="ru-RU"/>
              </w:rPr>
            </w:pPr>
            <w:r w:rsidRPr="002045F5">
              <w:rPr>
                <w:color w:val="000000"/>
                <w:sz w:val="22"/>
              </w:rPr>
              <w:t> </w:t>
            </w:r>
          </w:p>
          <w:p w:rsidR="00D75E8F" w:rsidRPr="002045F5" w:rsidRDefault="00D75E8F" w:rsidP="001013F3">
            <w:pPr>
              <w:rPr>
                <w:color w:val="000000"/>
                <w:sz w:val="22"/>
              </w:rPr>
            </w:pPr>
            <w:r w:rsidRPr="002045F5">
              <w:rPr>
                <w:color w:val="000000"/>
                <w:sz w:val="22"/>
              </w:rPr>
              <w:t> </w:t>
            </w:r>
          </w:p>
        </w:tc>
        <w:tc>
          <w:tcPr>
            <w:tcW w:w="1276" w:type="dxa"/>
            <w:gridSpan w:val="2"/>
            <w:shd w:val="clear" w:color="auto" w:fill="auto"/>
            <w:noWrap/>
            <w:hideMark/>
          </w:tcPr>
          <w:p w:rsidR="00D75E8F" w:rsidRPr="002045F5" w:rsidRDefault="00D75E8F" w:rsidP="001013F3">
            <w:pPr>
              <w:rPr>
                <w:color w:val="000000"/>
                <w:sz w:val="22"/>
              </w:rPr>
            </w:pPr>
            <w:r w:rsidRPr="002045F5">
              <w:rPr>
                <w:color w:val="000000"/>
                <w:sz w:val="22"/>
              </w:rPr>
              <w:t>170 000,0</w:t>
            </w:r>
          </w:p>
        </w:tc>
        <w:tc>
          <w:tcPr>
            <w:tcW w:w="1985" w:type="dxa"/>
            <w:gridSpan w:val="2"/>
            <w:shd w:val="clear" w:color="auto" w:fill="auto"/>
            <w:hideMark/>
          </w:tcPr>
          <w:p w:rsidR="00D75E8F" w:rsidRPr="002045F5" w:rsidRDefault="00D75E8F" w:rsidP="001013F3">
            <w:pPr>
              <w:rPr>
                <w:color w:val="000000"/>
                <w:sz w:val="22"/>
              </w:rPr>
            </w:pPr>
            <w:r w:rsidRPr="002045F5">
              <w:rPr>
                <w:color w:val="000000"/>
                <w:sz w:val="22"/>
              </w:rPr>
              <w:t xml:space="preserve">кошти міжнародних організацій,  </w:t>
            </w:r>
          </w:p>
          <w:p w:rsidR="00D75E8F" w:rsidRPr="002045F5" w:rsidRDefault="00D75E8F" w:rsidP="001013F3">
            <w:pPr>
              <w:rPr>
                <w:color w:val="000000"/>
                <w:sz w:val="22"/>
              </w:rPr>
            </w:pPr>
            <w:r w:rsidRPr="002045F5">
              <w:rPr>
                <w:color w:val="000000"/>
                <w:sz w:val="22"/>
              </w:rPr>
              <w:t>кошти недержавних громадських організацій та благодійних фондів</w:t>
            </w:r>
          </w:p>
        </w:tc>
        <w:tc>
          <w:tcPr>
            <w:tcW w:w="1252" w:type="dxa"/>
            <w:shd w:val="clear" w:color="auto" w:fill="auto"/>
            <w:noWrap/>
            <w:hideMark/>
          </w:tcPr>
          <w:p w:rsidR="00D75E8F" w:rsidRPr="002045F5" w:rsidRDefault="00D75E8F" w:rsidP="001013F3">
            <w:pPr>
              <w:rPr>
                <w:color w:val="000000"/>
                <w:sz w:val="22"/>
              </w:rPr>
            </w:pPr>
            <w:r w:rsidRPr="002045F5">
              <w:rPr>
                <w:color w:val="000000"/>
                <w:sz w:val="22"/>
              </w:rPr>
              <w:t>260 000,0</w:t>
            </w:r>
          </w:p>
        </w:tc>
      </w:tr>
    </w:tbl>
    <w:p w:rsidR="003B7CFF" w:rsidRPr="002045F5" w:rsidRDefault="00D75E8F" w:rsidP="00E95FB1">
      <w:pPr>
        <w:rPr>
          <w:sz w:val="22"/>
        </w:rPr>
      </w:pPr>
      <w:r w:rsidRPr="002045F5">
        <w:rPr>
          <w:sz w:val="22"/>
        </w:rPr>
        <w:t xml:space="preserve"> </w:t>
      </w:r>
    </w:p>
    <w:p w:rsidR="00D75E8F" w:rsidRPr="002045F5" w:rsidRDefault="00D75E8F" w:rsidP="00E95FB1">
      <w:pPr>
        <w:rPr>
          <w:sz w:val="22"/>
        </w:rPr>
      </w:pPr>
    </w:p>
    <w:tbl>
      <w:tblPr>
        <w:tblW w:w="993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1417"/>
        <w:gridCol w:w="1276"/>
        <w:gridCol w:w="992"/>
        <w:gridCol w:w="142"/>
        <w:gridCol w:w="1559"/>
        <w:gridCol w:w="425"/>
        <w:gridCol w:w="1144"/>
      </w:tblGrid>
      <w:tr w:rsidR="00D75E8F" w:rsidRPr="002045F5" w:rsidTr="00E824C2">
        <w:trPr>
          <w:trHeight w:val="299"/>
        </w:trPr>
        <w:tc>
          <w:tcPr>
            <w:tcW w:w="2978" w:type="dxa"/>
            <w:shd w:val="clear" w:color="auto" w:fill="C6D9F1" w:themeFill="text2" w:themeFillTint="33"/>
            <w:vAlign w:val="center"/>
            <w:hideMark/>
          </w:tcPr>
          <w:p w:rsidR="00D75E8F" w:rsidRPr="002045F5" w:rsidRDefault="00D75E8F" w:rsidP="001013F3">
            <w:pPr>
              <w:rPr>
                <w:b/>
                <w:color w:val="000000"/>
                <w:sz w:val="22"/>
              </w:rPr>
            </w:pPr>
            <w:r w:rsidRPr="002045F5">
              <w:rPr>
                <w:rFonts w:eastAsia="Calibri"/>
                <w:b/>
                <w:color w:val="000000"/>
                <w:sz w:val="22"/>
                <w:lang w:val="ru-RU"/>
              </w:rPr>
              <w:t xml:space="preserve">Оперативна </w:t>
            </w:r>
            <w:proofErr w:type="spellStart"/>
            <w:r w:rsidRPr="002045F5">
              <w:rPr>
                <w:rFonts w:eastAsia="Calibri"/>
                <w:b/>
                <w:color w:val="000000"/>
                <w:sz w:val="22"/>
                <w:lang w:val="ru-RU"/>
              </w:rPr>
              <w:t>ціль</w:t>
            </w:r>
            <w:proofErr w:type="spellEnd"/>
            <w:r w:rsidRPr="002045F5">
              <w:rPr>
                <w:rFonts w:eastAsia="Calibri"/>
                <w:b/>
                <w:color w:val="000000"/>
                <w:sz w:val="22"/>
                <w:lang w:val="ru-RU"/>
              </w:rPr>
              <w:t>/</w:t>
            </w:r>
            <w:proofErr w:type="spellStart"/>
            <w:r w:rsidRPr="002045F5">
              <w:rPr>
                <w:rFonts w:eastAsia="Calibri"/>
                <w:b/>
                <w:color w:val="000000"/>
                <w:sz w:val="22"/>
                <w:lang w:val="ru-RU"/>
              </w:rPr>
              <w:t>завдання</w:t>
            </w:r>
            <w:proofErr w:type="spellEnd"/>
          </w:p>
        </w:tc>
        <w:tc>
          <w:tcPr>
            <w:tcW w:w="6955" w:type="dxa"/>
            <w:gridSpan w:val="7"/>
            <w:shd w:val="clear" w:color="auto" w:fill="auto"/>
            <w:vAlign w:val="center"/>
            <w:hideMark/>
          </w:tcPr>
          <w:p w:rsidR="00D75E8F" w:rsidRPr="002045F5" w:rsidRDefault="00D75E8F" w:rsidP="001013F3">
            <w:pPr>
              <w:rPr>
                <w:sz w:val="22"/>
                <w:lang w:val="ru-RU"/>
              </w:rPr>
            </w:pPr>
            <w:proofErr w:type="spellStart"/>
            <w:r w:rsidRPr="002045F5">
              <w:rPr>
                <w:sz w:val="22"/>
                <w:shd w:val="clear" w:color="auto" w:fill="FFFFFF"/>
                <w:lang w:val="ru-RU"/>
              </w:rPr>
              <w:t>Людський</w:t>
            </w:r>
            <w:proofErr w:type="spellEnd"/>
            <w:r w:rsidRPr="002045F5">
              <w:rPr>
                <w:sz w:val="22"/>
                <w:shd w:val="clear" w:color="auto" w:fill="FFFFFF"/>
                <w:lang w:val="ru-RU"/>
              </w:rPr>
              <w:t xml:space="preserve"> </w:t>
            </w:r>
            <w:proofErr w:type="spellStart"/>
            <w:r w:rsidRPr="002045F5">
              <w:rPr>
                <w:sz w:val="22"/>
                <w:shd w:val="clear" w:color="auto" w:fill="FFFFFF"/>
                <w:lang w:val="ru-RU"/>
              </w:rPr>
              <w:t>розвиток</w:t>
            </w:r>
            <w:proofErr w:type="spellEnd"/>
            <w:r w:rsidRPr="002045F5">
              <w:rPr>
                <w:sz w:val="22"/>
                <w:shd w:val="clear" w:color="auto" w:fill="FFFFFF"/>
                <w:lang w:val="ru-RU"/>
              </w:rPr>
              <w:t xml:space="preserve"> через </w:t>
            </w:r>
            <w:proofErr w:type="spellStart"/>
            <w:r w:rsidRPr="002045F5">
              <w:rPr>
                <w:sz w:val="22"/>
                <w:shd w:val="clear" w:color="auto" w:fill="FFFFFF"/>
                <w:lang w:val="ru-RU"/>
              </w:rPr>
              <w:t>інновації</w:t>
            </w:r>
            <w:proofErr w:type="spellEnd"/>
            <w:r w:rsidRPr="002045F5">
              <w:rPr>
                <w:sz w:val="22"/>
                <w:shd w:val="clear" w:color="auto" w:fill="FFFFFF"/>
                <w:lang w:val="ru-RU"/>
              </w:rPr>
              <w:t xml:space="preserve"> </w:t>
            </w:r>
            <w:proofErr w:type="spellStart"/>
            <w:r w:rsidRPr="002045F5">
              <w:rPr>
                <w:sz w:val="22"/>
                <w:shd w:val="clear" w:color="auto" w:fill="FFFFFF"/>
                <w:lang w:val="ru-RU"/>
              </w:rPr>
              <w:t>управління</w:t>
            </w:r>
            <w:proofErr w:type="spellEnd"/>
            <w:r w:rsidRPr="002045F5">
              <w:rPr>
                <w:sz w:val="22"/>
                <w:shd w:val="clear" w:color="auto" w:fill="FFFFFF"/>
                <w:lang w:val="ru-RU"/>
              </w:rPr>
              <w:t xml:space="preserve"> та </w:t>
            </w:r>
            <w:proofErr w:type="spellStart"/>
            <w:r w:rsidRPr="002045F5">
              <w:rPr>
                <w:sz w:val="22"/>
                <w:shd w:val="clear" w:color="auto" w:fill="FFFFFF"/>
                <w:lang w:val="ru-RU"/>
              </w:rPr>
              <w:t>довіру</w:t>
            </w:r>
            <w:proofErr w:type="spellEnd"/>
            <w:r w:rsidRPr="002045F5">
              <w:rPr>
                <w:sz w:val="22"/>
                <w:shd w:val="clear" w:color="auto" w:fill="FFFFFF"/>
                <w:lang w:val="ru-RU"/>
              </w:rPr>
              <w:t xml:space="preserve"> до </w:t>
            </w:r>
            <w:proofErr w:type="spellStart"/>
            <w:r w:rsidRPr="002045F5">
              <w:rPr>
                <w:sz w:val="22"/>
                <w:shd w:val="clear" w:color="auto" w:fill="FFFFFF"/>
                <w:lang w:val="ru-RU"/>
              </w:rPr>
              <w:t>влади</w:t>
            </w:r>
            <w:proofErr w:type="spellEnd"/>
            <w:r w:rsidRPr="002045F5">
              <w:rPr>
                <w:sz w:val="22"/>
                <w:shd w:val="clear" w:color="auto" w:fill="FFFFFF"/>
                <w:lang w:val="ru-RU"/>
              </w:rPr>
              <w:t xml:space="preserve">. </w:t>
            </w:r>
            <w:proofErr w:type="spellStart"/>
            <w:r w:rsidRPr="002045F5">
              <w:rPr>
                <w:sz w:val="22"/>
                <w:shd w:val="clear" w:color="auto" w:fill="FFFFFF"/>
                <w:lang w:val="ru-RU"/>
              </w:rPr>
              <w:t>Формування</w:t>
            </w:r>
            <w:proofErr w:type="spellEnd"/>
            <w:r w:rsidRPr="002045F5">
              <w:rPr>
                <w:sz w:val="22"/>
                <w:shd w:val="clear" w:color="auto" w:fill="FFFFFF"/>
                <w:lang w:val="ru-RU"/>
              </w:rPr>
              <w:t xml:space="preserve"> </w:t>
            </w:r>
            <w:proofErr w:type="spellStart"/>
            <w:r w:rsidRPr="002045F5">
              <w:rPr>
                <w:sz w:val="22"/>
                <w:shd w:val="clear" w:color="auto" w:fill="FFFFFF"/>
                <w:lang w:val="ru-RU"/>
              </w:rPr>
              <w:t>сучасного</w:t>
            </w:r>
            <w:proofErr w:type="spellEnd"/>
            <w:r w:rsidRPr="002045F5">
              <w:rPr>
                <w:sz w:val="22"/>
                <w:shd w:val="clear" w:color="auto" w:fill="FFFFFF"/>
                <w:lang w:val="ru-RU"/>
              </w:rPr>
              <w:t xml:space="preserve"> </w:t>
            </w:r>
            <w:proofErr w:type="spellStart"/>
            <w:proofErr w:type="gramStart"/>
            <w:r w:rsidRPr="002045F5">
              <w:rPr>
                <w:sz w:val="22"/>
                <w:shd w:val="clear" w:color="auto" w:fill="FFFFFF"/>
                <w:lang w:val="ru-RU"/>
              </w:rPr>
              <w:t>інклюзивного</w:t>
            </w:r>
            <w:proofErr w:type="spellEnd"/>
            <w:r w:rsidRPr="002045F5">
              <w:rPr>
                <w:sz w:val="22"/>
                <w:shd w:val="clear" w:color="auto" w:fill="FFFFFF"/>
              </w:rPr>
              <w:t> </w:t>
            </w:r>
            <w:r w:rsidRPr="002045F5">
              <w:rPr>
                <w:sz w:val="22"/>
                <w:shd w:val="clear" w:color="auto" w:fill="FFFFFF"/>
                <w:lang w:val="ru-RU"/>
              </w:rPr>
              <w:t xml:space="preserve"> </w:t>
            </w:r>
            <w:proofErr w:type="spellStart"/>
            <w:r w:rsidRPr="002045F5">
              <w:rPr>
                <w:sz w:val="22"/>
                <w:shd w:val="clear" w:color="auto" w:fill="FFFFFF"/>
                <w:lang w:val="ru-RU"/>
              </w:rPr>
              <w:t>освітньо</w:t>
            </w:r>
            <w:proofErr w:type="spellEnd"/>
            <w:proofErr w:type="gramEnd"/>
            <w:r w:rsidRPr="002045F5">
              <w:rPr>
                <w:sz w:val="22"/>
                <w:shd w:val="clear" w:color="auto" w:fill="FFFFFF"/>
                <w:lang w:val="ru-RU"/>
              </w:rPr>
              <w:t xml:space="preserve">-культурного та спортивного простору для </w:t>
            </w:r>
            <w:proofErr w:type="spellStart"/>
            <w:r w:rsidRPr="002045F5">
              <w:rPr>
                <w:sz w:val="22"/>
                <w:shd w:val="clear" w:color="auto" w:fill="FFFFFF"/>
                <w:lang w:val="ru-RU"/>
              </w:rPr>
              <w:t>розвитку</w:t>
            </w:r>
            <w:proofErr w:type="spellEnd"/>
            <w:r w:rsidRPr="002045F5">
              <w:rPr>
                <w:sz w:val="22"/>
                <w:shd w:val="clear" w:color="auto" w:fill="FFFFFF"/>
                <w:lang w:val="ru-RU"/>
              </w:rPr>
              <w:t>.</w:t>
            </w:r>
          </w:p>
        </w:tc>
      </w:tr>
      <w:tr w:rsidR="00D75E8F" w:rsidRPr="002045F5" w:rsidTr="00E824C2">
        <w:trPr>
          <w:trHeight w:val="1252"/>
        </w:trPr>
        <w:tc>
          <w:tcPr>
            <w:tcW w:w="2978" w:type="dxa"/>
            <w:shd w:val="clear" w:color="auto" w:fill="C6D9F1" w:themeFill="text2" w:themeFillTint="33"/>
            <w:vAlign w:val="center"/>
            <w:hideMark/>
          </w:tcPr>
          <w:p w:rsidR="00D75E8F" w:rsidRPr="002045F5" w:rsidRDefault="00D75E8F" w:rsidP="001013F3">
            <w:pPr>
              <w:rPr>
                <w:b/>
                <w:color w:val="000000"/>
                <w:sz w:val="22"/>
              </w:rPr>
            </w:pPr>
            <w:proofErr w:type="spellStart"/>
            <w:r w:rsidRPr="002045F5">
              <w:rPr>
                <w:rFonts w:eastAsia="Calibri"/>
                <w:b/>
                <w:color w:val="000000"/>
                <w:sz w:val="22"/>
                <w:lang w:val="ru-RU"/>
              </w:rPr>
              <w:t>Назва</w:t>
            </w:r>
            <w:proofErr w:type="spellEnd"/>
            <w:r w:rsidRPr="002045F5">
              <w:rPr>
                <w:rFonts w:eastAsia="Calibri"/>
                <w:b/>
                <w:color w:val="000000"/>
                <w:sz w:val="22"/>
                <w:lang w:val="ru-RU"/>
              </w:rPr>
              <w:t xml:space="preserve"> проекту:</w:t>
            </w:r>
          </w:p>
        </w:tc>
        <w:tc>
          <w:tcPr>
            <w:tcW w:w="6955" w:type="dxa"/>
            <w:gridSpan w:val="7"/>
            <w:shd w:val="clear" w:color="auto" w:fill="auto"/>
            <w:vAlign w:val="center"/>
            <w:hideMark/>
          </w:tcPr>
          <w:p w:rsidR="00D75E8F" w:rsidRPr="002045F5" w:rsidRDefault="00D75E8F" w:rsidP="001013F3">
            <w:pPr>
              <w:rPr>
                <w:color w:val="000000"/>
                <w:sz w:val="22"/>
              </w:rPr>
            </w:pPr>
            <w:proofErr w:type="spellStart"/>
            <w:r w:rsidRPr="002045F5">
              <w:rPr>
                <w:color w:val="000000"/>
                <w:sz w:val="22"/>
                <w:lang w:val="ru-RU"/>
              </w:rPr>
              <w:t>Відновлення</w:t>
            </w:r>
            <w:proofErr w:type="spellEnd"/>
            <w:r w:rsidRPr="002045F5">
              <w:rPr>
                <w:color w:val="000000"/>
                <w:sz w:val="22"/>
                <w:lang w:val="ru-RU"/>
              </w:rPr>
              <w:t xml:space="preserve"> </w:t>
            </w:r>
            <w:proofErr w:type="spellStart"/>
            <w:r w:rsidRPr="002045F5">
              <w:rPr>
                <w:color w:val="000000"/>
                <w:sz w:val="22"/>
                <w:lang w:val="ru-RU"/>
              </w:rPr>
              <w:t>вуличного</w:t>
            </w:r>
            <w:proofErr w:type="spellEnd"/>
            <w:r w:rsidRPr="002045F5">
              <w:rPr>
                <w:color w:val="000000"/>
                <w:sz w:val="22"/>
                <w:lang w:val="ru-RU"/>
              </w:rPr>
              <w:t xml:space="preserve"> </w:t>
            </w:r>
            <w:proofErr w:type="spellStart"/>
            <w:r w:rsidRPr="002045F5">
              <w:rPr>
                <w:color w:val="000000"/>
                <w:sz w:val="22"/>
                <w:lang w:val="ru-RU"/>
              </w:rPr>
              <w:t>освітлення</w:t>
            </w:r>
            <w:proofErr w:type="spellEnd"/>
            <w:r w:rsidRPr="002045F5">
              <w:rPr>
                <w:color w:val="000000"/>
                <w:sz w:val="22"/>
                <w:lang w:val="ru-RU"/>
              </w:rPr>
              <w:t xml:space="preserve">, </w:t>
            </w:r>
            <w:proofErr w:type="spellStart"/>
            <w:r w:rsidRPr="002045F5">
              <w:rPr>
                <w:color w:val="000000"/>
                <w:sz w:val="22"/>
                <w:lang w:val="ru-RU"/>
              </w:rPr>
              <w:t>спортивних</w:t>
            </w:r>
            <w:proofErr w:type="spellEnd"/>
            <w:r w:rsidRPr="002045F5">
              <w:rPr>
                <w:color w:val="000000"/>
                <w:sz w:val="22"/>
                <w:lang w:val="ru-RU"/>
              </w:rPr>
              <w:t xml:space="preserve"> </w:t>
            </w:r>
            <w:proofErr w:type="spellStart"/>
            <w:r w:rsidRPr="002045F5">
              <w:rPr>
                <w:color w:val="000000"/>
                <w:sz w:val="22"/>
                <w:lang w:val="ru-RU"/>
              </w:rPr>
              <w:t>майданчиків</w:t>
            </w:r>
            <w:proofErr w:type="spellEnd"/>
            <w:r w:rsidRPr="002045F5">
              <w:rPr>
                <w:color w:val="000000"/>
                <w:sz w:val="22"/>
                <w:lang w:val="ru-RU"/>
              </w:rPr>
              <w:t xml:space="preserve">, </w:t>
            </w:r>
            <w:proofErr w:type="spellStart"/>
            <w:r w:rsidRPr="002045F5">
              <w:rPr>
                <w:color w:val="000000"/>
                <w:sz w:val="22"/>
                <w:lang w:val="ru-RU"/>
              </w:rPr>
              <w:t>дитячих</w:t>
            </w:r>
            <w:proofErr w:type="spellEnd"/>
            <w:r w:rsidRPr="002045F5">
              <w:rPr>
                <w:color w:val="000000"/>
                <w:sz w:val="22"/>
                <w:lang w:val="ru-RU"/>
              </w:rPr>
              <w:t xml:space="preserve"> </w:t>
            </w:r>
            <w:proofErr w:type="spellStart"/>
            <w:r w:rsidRPr="002045F5">
              <w:rPr>
                <w:color w:val="000000"/>
                <w:sz w:val="22"/>
                <w:lang w:val="ru-RU"/>
              </w:rPr>
              <w:t>майданчиків</w:t>
            </w:r>
            <w:proofErr w:type="spellEnd"/>
            <w:r w:rsidRPr="002045F5">
              <w:rPr>
                <w:color w:val="000000"/>
                <w:sz w:val="22"/>
                <w:lang w:val="ru-RU"/>
              </w:rPr>
              <w:t xml:space="preserve"> та благоустрою </w:t>
            </w:r>
            <w:proofErr w:type="spellStart"/>
            <w:r w:rsidRPr="002045F5">
              <w:rPr>
                <w:color w:val="000000"/>
                <w:sz w:val="22"/>
                <w:lang w:val="ru-RU"/>
              </w:rPr>
              <w:t>території</w:t>
            </w:r>
            <w:proofErr w:type="spellEnd"/>
            <w:r w:rsidRPr="002045F5">
              <w:rPr>
                <w:color w:val="000000"/>
                <w:sz w:val="22"/>
                <w:lang w:val="ru-RU"/>
              </w:rPr>
              <w:t xml:space="preserve">, </w:t>
            </w:r>
            <w:proofErr w:type="spellStart"/>
            <w:r w:rsidRPr="002045F5">
              <w:rPr>
                <w:color w:val="000000"/>
                <w:sz w:val="22"/>
                <w:lang w:val="ru-RU"/>
              </w:rPr>
              <w:t>встановлення</w:t>
            </w:r>
            <w:proofErr w:type="spellEnd"/>
            <w:r w:rsidRPr="002045F5">
              <w:rPr>
                <w:color w:val="000000"/>
                <w:sz w:val="22"/>
                <w:lang w:val="ru-RU"/>
              </w:rPr>
              <w:t xml:space="preserve"> </w:t>
            </w:r>
            <w:proofErr w:type="spellStart"/>
            <w:r w:rsidRPr="002045F5">
              <w:rPr>
                <w:color w:val="000000"/>
                <w:sz w:val="22"/>
                <w:lang w:val="ru-RU"/>
              </w:rPr>
              <w:t>паркану</w:t>
            </w:r>
            <w:proofErr w:type="spellEnd"/>
            <w:r w:rsidRPr="002045F5">
              <w:rPr>
                <w:color w:val="000000"/>
                <w:sz w:val="22"/>
                <w:lang w:val="ru-RU"/>
              </w:rPr>
              <w:t xml:space="preserve"> </w:t>
            </w:r>
            <w:proofErr w:type="spellStart"/>
            <w:r w:rsidRPr="002045F5">
              <w:rPr>
                <w:color w:val="000000"/>
                <w:sz w:val="22"/>
                <w:lang w:val="ru-RU"/>
              </w:rPr>
              <w:t>навколо</w:t>
            </w:r>
            <w:proofErr w:type="spellEnd"/>
            <w:r w:rsidRPr="002045F5">
              <w:rPr>
                <w:color w:val="000000"/>
                <w:sz w:val="22"/>
                <w:lang w:val="ru-RU"/>
              </w:rPr>
              <w:t xml:space="preserve"> </w:t>
            </w:r>
            <w:proofErr w:type="spellStart"/>
            <w:r w:rsidRPr="002045F5">
              <w:rPr>
                <w:color w:val="000000"/>
                <w:sz w:val="22"/>
                <w:lang w:val="ru-RU"/>
              </w:rPr>
              <w:t>території</w:t>
            </w:r>
            <w:proofErr w:type="spellEnd"/>
            <w:r w:rsidRPr="002045F5">
              <w:rPr>
                <w:color w:val="000000"/>
                <w:sz w:val="22"/>
                <w:lang w:val="ru-RU"/>
              </w:rPr>
              <w:t xml:space="preserve">   </w:t>
            </w:r>
            <w:proofErr w:type="spellStart"/>
            <w:r w:rsidRPr="002045F5">
              <w:rPr>
                <w:color w:val="000000"/>
                <w:sz w:val="22"/>
                <w:lang w:val="ru-RU"/>
              </w:rPr>
              <w:t>Ліцею</w:t>
            </w:r>
            <w:proofErr w:type="spellEnd"/>
            <w:r w:rsidRPr="002045F5">
              <w:rPr>
                <w:color w:val="000000"/>
                <w:sz w:val="22"/>
                <w:lang w:val="ru-RU"/>
              </w:rPr>
              <w:t xml:space="preserve"> </w:t>
            </w:r>
            <w:r w:rsidRPr="002045F5">
              <w:rPr>
                <w:color w:val="000000"/>
                <w:sz w:val="22"/>
              </w:rPr>
              <w:t>"ЮВЕНЕС" міста Сєвєродонецька Луганської області, вул. Курчатова, буд.34</w:t>
            </w:r>
          </w:p>
        </w:tc>
      </w:tr>
      <w:tr w:rsidR="00D75E8F" w:rsidRPr="002045F5" w:rsidTr="00E824C2">
        <w:trPr>
          <w:trHeight w:val="801"/>
        </w:trPr>
        <w:tc>
          <w:tcPr>
            <w:tcW w:w="2978" w:type="dxa"/>
            <w:shd w:val="clear" w:color="auto" w:fill="C6D9F1" w:themeFill="text2" w:themeFillTint="33"/>
            <w:vAlign w:val="center"/>
            <w:hideMark/>
          </w:tcPr>
          <w:p w:rsidR="00D75E8F" w:rsidRPr="002045F5" w:rsidRDefault="00D75E8F" w:rsidP="001013F3">
            <w:pPr>
              <w:rPr>
                <w:b/>
                <w:color w:val="000000"/>
                <w:sz w:val="22"/>
              </w:rPr>
            </w:pPr>
            <w:proofErr w:type="spellStart"/>
            <w:r w:rsidRPr="002045F5">
              <w:rPr>
                <w:rFonts w:eastAsia="Calibri"/>
                <w:b/>
                <w:color w:val="000000"/>
                <w:sz w:val="22"/>
                <w:lang w:val="ru-RU"/>
              </w:rPr>
              <w:t>Ціль</w:t>
            </w:r>
            <w:proofErr w:type="spellEnd"/>
            <w:r w:rsidRPr="002045F5">
              <w:rPr>
                <w:rFonts w:eastAsia="Calibri"/>
                <w:b/>
                <w:color w:val="000000"/>
                <w:sz w:val="22"/>
                <w:lang w:val="ru-RU"/>
              </w:rPr>
              <w:t xml:space="preserve"> проекту</w:t>
            </w:r>
          </w:p>
        </w:tc>
        <w:tc>
          <w:tcPr>
            <w:tcW w:w="6955" w:type="dxa"/>
            <w:gridSpan w:val="7"/>
            <w:shd w:val="clear" w:color="auto" w:fill="auto"/>
            <w:vAlign w:val="center"/>
            <w:hideMark/>
          </w:tcPr>
          <w:p w:rsidR="00D75E8F" w:rsidRPr="002045F5" w:rsidRDefault="00D75E8F" w:rsidP="001013F3">
            <w:pPr>
              <w:rPr>
                <w:color w:val="000000"/>
                <w:sz w:val="22"/>
                <w:lang w:val="ru-RU"/>
              </w:rPr>
            </w:pPr>
            <w:proofErr w:type="spellStart"/>
            <w:r w:rsidRPr="002045F5">
              <w:rPr>
                <w:color w:val="000000"/>
                <w:sz w:val="22"/>
                <w:lang w:val="ru-RU"/>
              </w:rPr>
              <w:t>Створення</w:t>
            </w:r>
            <w:proofErr w:type="spellEnd"/>
            <w:r w:rsidRPr="002045F5">
              <w:rPr>
                <w:color w:val="000000"/>
                <w:sz w:val="22"/>
                <w:lang w:val="ru-RU"/>
              </w:rPr>
              <w:t xml:space="preserve"> </w:t>
            </w:r>
            <w:proofErr w:type="spellStart"/>
            <w:r w:rsidRPr="002045F5">
              <w:rPr>
                <w:color w:val="000000"/>
                <w:sz w:val="22"/>
                <w:lang w:val="ru-RU"/>
              </w:rPr>
              <w:t>привабливого</w:t>
            </w:r>
            <w:proofErr w:type="spellEnd"/>
            <w:r w:rsidRPr="002045F5">
              <w:rPr>
                <w:color w:val="000000"/>
                <w:sz w:val="22"/>
                <w:lang w:val="ru-RU"/>
              </w:rPr>
              <w:t xml:space="preserve"> </w:t>
            </w:r>
            <w:proofErr w:type="spellStart"/>
            <w:r w:rsidRPr="002045F5">
              <w:rPr>
                <w:color w:val="000000"/>
                <w:sz w:val="22"/>
                <w:lang w:val="ru-RU"/>
              </w:rPr>
              <w:t>сучасного</w:t>
            </w:r>
            <w:proofErr w:type="spellEnd"/>
            <w:r w:rsidRPr="002045F5">
              <w:rPr>
                <w:color w:val="000000"/>
                <w:sz w:val="22"/>
                <w:lang w:val="ru-RU"/>
              </w:rPr>
              <w:t xml:space="preserve"> комфортного </w:t>
            </w:r>
            <w:proofErr w:type="spellStart"/>
            <w:r w:rsidRPr="002045F5">
              <w:rPr>
                <w:color w:val="000000"/>
                <w:sz w:val="22"/>
                <w:lang w:val="ru-RU"/>
              </w:rPr>
              <w:t>громадського</w:t>
            </w:r>
            <w:proofErr w:type="spellEnd"/>
            <w:r w:rsidRPr="002045F5">
              <w:rPr>
                <w:color w:val="000000"/>
                <w:sz w:val="22"/>
                <w:lang w:val="ru-RU"/>
              </w:rPr>
              <w:t xml:space="preserve"> простору, </w:t>
            </w:r>
            <w:proofErr w:type="spellStart"/>
            <w:r w:rsidRPr="002045F5">
              <w:rPr>
                <w:color w:val="000000"/>
                <w:sz w:val="22"/>
                <w:lang w:val="ru-RU"/>
              </w:rPr>
              <w:t>що</w:t>
            </w:r>
            <w:proofErr w:type="spellEnd"/>
            <w:r w:rsidRPr="002045F5">
              <w:rPr>
                <w:color w:val="000000"/>
                <w:sz w:val="22"/>
                <w:lang w:val="ru-RU"/>
              </w:rPr>
              <w:t xml:space="preserve"> </w:t>
            </w:r>
            <w:proofErr w:type="spellStart"/>
            <w:r w:rsidRPr="002045F5">
              <w:rPr>
                <w:color w:val="000000"/>
                <w:sz w:val="22"/>
                <w:lang w:val="ru-RU"/>
              </w:rPr>
              <w:t>відповідає</w:t>
            </w:r>
            <w:proofErr w:type="spellEnd"/>
            <w:r w:rsidRPr="002045F5">
              <w:rPr>
                <w:color w:val="000000"/>
                <w:sz w:val="22"/>
                <w:lang w:val="ru-RU"/>
              </w:rPr>
              <w:t xml:space="preserve"> </w:t>
            </w:r>
            <w:proofErr w:type="spellStart"/>
            <w:r w:rsidRPr="002045F5">
              <w:rPr>
                <w:color w:val="000000"/>
                <w:sz w:val="22"/>
                <w:lang w:val="ru-RU"/>
              </w:rPr>
              <w:t>стратегічним</w:t>
            </w:r>
            <w:proofErr w:type="spellEnd"/>
            <w:r w:rsidRPr="002045F5">
              <w:rPr>
                <w:color w:val="000000"/>
                <w:sz w:val="22"/>
                <w:lang w:val="ru-RU"/>
              </w:rPr>
              <w:t xml:space="preserve"> </w:t>
            </w:r>
            <w:proofErr w:type="spellStart"/>
            <w:r w:rsidRPr="002045F5">
              <w:rPr>
                <w:color w:val="000000"/>
                <w:sz w:val="22"/>
                <w:lang w:val="ru-RU"/>
              </w:rPr>
              <w:t>цілям</w:t>
            </w:r>
            <w:proofErr w:type="spellEnd"/>
            <w:r w:rsidRPr="002045F5">
              <w:rPr>
                <w:color w:val="000000"/>
                <w:sz w:val="22"/>
                <w:lang w:val="ru-RU"/>
              </w:rPr>
              <w:t xml:space="preserve"> </w:t>
            </w:r>
            <w:proofErr w:type="spellStart"/>
            <w:r w:rsidRPr="002045F5">
              <w:rPr>
                <w:color w:val="000000"/>
                <w:sz w:val="22"/>
                <w:lang w:val="ru-RU"/>
              </w:rPr>
              <w:t>розвитку</w:t>
            </w:r>
            <w:proofErr w:type="spellEnd"/>
            <w:r w:rsidRPr="002045F5">
              <w:rPr>
                <w:color w:val="000000"/>
                <w:sz w:val="22"/>
                <w:lang w:val="ru-RU"/>
              </w:rPr>
              <w:t xml:space="preserve"> </w:t>
            </w:r>
            <w:proofErr w:type="spellStart"/>
            <w:r w:rsidRPr="002045F5">
              <w:rPr>
                <w:color w:val="000000"/>
                <w:sz w:val="22"/>
                <w:lang w:val="ru-RU"/>
              </w:rPr>
              <w:t>територіальної</w:t>
            </w:r>
            <w:proofErr w:type="spellEnd"/>
            <w:r w:rsidRPr="002045F5">
              <w:rPr>
                <w:color w:val="000000"/>
                <w:sz w:val="22"/>
                <w:lang w:val="ru-RU"/>
              </w:rPr>
              <w:t xml:space="preserve"> </w:t>
            </w:r>
            <w:proofErr w:type="spellStart"/>
            <w:r w:rsidRPr="002045F5">
              <w:rPr>
                <w:color w:val="000000"/>
                <w:sz w:val="22"/>
                <w:lang w:val="ru-RU"/>
              </w:rPr>
              <w:t>громади</w:t>
            </w:r>
            <w:proofErr w:type="spellEnd"/>
            <w:r w:rsidRPr="002045F5">
              <w:rPr>
                <w:color w:val="000000"/>
                <w:sz w:val="22"/>
                <w:lang w:val="ru-RU"/>
              </w:rPr>
              <w:t>.</w:t>
            </w:r>
          </w:p>
        </w:tc>
      </w:tr>
      <w:tr w:rsidR="00D75E8F" w:rsidRPr="002045F5" w:rsidTr="00E824C2">
        <w:trPr>
          <w:trHeight w:val="299"/>
        </w:trPr>
        <w:tc>
          <w:tcPr>
            <w:tcW w:w="2978" w:type="dxa"/>
            <w:shd w:val="clear" w:color="auto" w:fill="C6D9F1" w:themeFill="text2" w:themeFillTint="33"/>
            <w:vAlign w:val="center"/>
            <w:hideMark/>
          </w:tcPr>
          <w:p w:rsidR="00D75E8F" w:rsidRPr="002045F5" w:rsidRDefault="00D75E8F" w:rsidP="001013F3">
            <w:pPr>
              <w:rPr>
                <w:b/>
                <w:color w:val="000000"/>
                <w:sz w:val="22"/>
                <w:lang w:val="ru-RU"/>
              </w:rPr>
            </w:pPr>
            <w:proofErr w:type="spellStart"/>
            <w:r w:rsidRPr="002045F5">
              <w:rPr>
                <w:rFonts w:eastAsia="Calibri"/>
                <w:b/>
                <w:color w:val="000000"/>
                <w:sz w:val="22"/>
                <w:lang w:val="ru-RU"/>
              </w:rPr>
              <w:t>Територія</w:t>
            </w:r>
            <w:proofErr w:type="spellEnd"/>
            <w:r w:rsidRPr="002045F5">
              <w:rPr>
                <w:rFonts w:eastAsia="Calibri"/>
                <w:b/>
                <w:color w:val="000000"/>
                <w:sz w:val="22"/>
                <w:lang w:val="ru-RU"/>
              </w:rPr>
              <w:t xml:space="preserve">, </w:t>
            </w:r>
            <w:proofErr w:type="gramStart"/>
            <w:r w:rsidRPr="002045F5">
              <w:rPr>
                <w:rFonts w:eastAsia="Calibri"/>
                <w:b/>
                <w:color w:val="000000"/>
                <w:sz w:val="22"/>
                <w:lang w:val="ru-RU"/>
              </w:rPr>
              <w:t>на яку</w:t>
            </w:r>
            <w:proofErr w:type="gramEnd"/>
            <w:r w:rsidRPr="002045F5">
              <w:rPr>
                <w:rFonts w:eastAsia="Calibri"/>
                <w:b/>
                <w:color w:val="000000"/>
                <w:sz w:val="22"/>
                <w:lang w:val="ru-RU"/>
              </w:rPr>
              <w:t xml:space="preserve"> </w:t>
            </w:r>
            <w:proofErr w:type="spellStart"/>
            <w:r w:rsidRPr="002045F5">
              <w:rPr>
                <w:rFonts w:eastAsia="Calibri"/>
                <w:b/>
                <w:color w:val="000000"/>
                <w:sz w:val="22"/>
                <w:lang w:val="ru-RU"/>
              </w:rPr>
              <w:t>матиме</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вплив</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реалізація</w:t>
            </w:r>
            <w:proofErr w:type="spellEnd"/>
            <w:r w:rsidRPr="002045F5">
              <w:rPr>
                <w:rFonts w:eastAsia="Calibri"/>
                <w:b/>
                <w:color w:val="000000"/>
                <w:sz w:val="22"/>
                <w:lang w:val="ru-RU"/>
              </w:rPr>
              <w:t xml:space="preserve"> проекту</w:t>
            </w:r>
          </w:p>
        </w:tc>
        <w:tc>
          <w:tcPr>
            <w:tcW w:w="6955" w:type="dxa"/>
            <w:gridSpan w:val="7"/>
            <w:shd w:val="clear" w:color="auto" w:fill="auto"/>
            <w:vAlign w:val="center"/>
            <w:hideMark/>
          </w:tcPr>
          <w:p w:rsidR="00D75E8F" w:rsidRPr="002045F5" w:rsidRDefault="00D75E8F" w:rsidP="001013F3">
            <w:pPr>
              <w:rPr>
                <w:color w:val="000000"/>
                <w:sz w:val="22"/>
              </w:rPr>
            </w:pPr>
            <w:proofErr w:type="spellStart"/>
            <w:r w:rsidRPr="002045F5">
              <w:rPr>
                <w:rFonts w:eastAsia="Calibri"/>
                <w:color w:val="000000"/>
                <w:sz w:val="22"/>
                <w:lang w:val="ru-RU"/>
              </w:rPr>
              <w:t>Сєвєродонецька</w:t>
            </w:r>
            <w:proofErr w:type="spellEnd"/>
            <w:r w:rsidRPr="002045F5">
              <w:rPr>
                <w:rFonts w:eastAsia="Calibri"/>
                <w:color w:val="000000"/>
                <w:sz w:val="22"/>
                <w:lang w:val="ru-RU"/>
              </w:rPr>
              <w:t xml:space="preserve"> </w:t>
            </w:r>
            <w:proofErr w:type="spellStart"/>
            <w:r w:rsidRPr="002045F5">
              <w:rPr>
                <w:rFonts w:eastAsia="Calibri"/>
                <w:color w:val="000000"/>
                <w:sz w:val="22"/>
                <w:lang w:val="ru-RU"/>
              </w:rPr>
              <w:t>міська</w:t>
            </w:r>
            <w:proofErr w:type="spellEnd"/>
            <w:r w:rsidRPr="002045F5">
              <w:rPr>
                <w:rFonts w:eastAsia="Calibri"/>
                <w:color w:val="000000"/>
                <w:sz w:val="22"/>
                <w:lang w:val="ru-RU"/>
              </w:rPr>
              <w:t xml:space="preserve"> </w:t>
            </w:r>
            <w:proofErr w:type="spellStart"/>
            <w:r w:rsidRPr="002045F5">
              <w:rPr>
                <w:rFonts w:eastAsia="Calibri"/>
                <w:color w:val="000000"/>
                <w:sz w:val="22"/>
                <w:lang w:val="ru-RU"/>
              </w:rPr>
              <w:t>територіальна</w:t>
            </w:r>
            <w:proofErr w:type="spellEnd"/>
            <w:r w:rsidRPr="002045F5">
              <w:rPr>
                <w:rFonts w:eastAsia="Calibri"/>
                <w:color w:val="000000"/>
                <w:sz w:val="22"/>
                <w:lang w:val="ru-RU"/>
              </w:rPr>
              <w:t xml:space="preserve"> громада</w:t>
            </w:r>
          </w:p>
        </w:tc>
      </w:tr>
      <w:tr w:rsidR="00D75E8F" w:rsidRPr="002045F5" w:rsidTr="00E824C2">
        <w:trPr>
          <w:trHeight w:val="586"/>
        </w:trPr>
        <w:tc>
          <w:tcPr>
            <w:tcW w:w="2978" w:type="dxa"/>
            <w:shd w:val="clear" w:color="auto" w:fill="C6D9F1" w:themeFill="text2" w:themeFillTint="33"/>
            <w:vAlign w:val="center"/>
            <w:hideMark/>
          </w:tcPr>
          <w:p w:rsidR="00D75E8F" w:rsidRPr="002045F5" w:rsidRDefault="00D75E8F" w:rsidP="001013F3">
            <w:pPr>
              <w:rPr>
                <w:b/>
                <w:color w:val="000000"/>
                <w:sz w:val="22"/>
                <w:lang w:val="ru-RU"/>
              </w:rPr>
            </w:pPr>
            <w:proofErr w:type="spellStart"/>
            <w:r w:rsidRPr="002045F5">
              <w:rPr>
                <w:rFonts w:eastAsia="Calibri"/>
                <w:b/>
                <w:color w:val="000000"/>
                <w:sz w:val="22"/>
                <w:lang w:val="ru-RU"/>
              </w:rPr>
              <w:t>Чисельність</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населення</w:t>
            </w:r>
            <w:proofErr w:type="spellEnd"/>
            <w:r w:rsidRPr="002045F5">
              <w:rPr>
                <w:rFonts w:eastAsia="Calibri"/>
                <w:b/>
                <w:color w:val="000000"/>
                <w:sz w:val="22"/>
                <w:lang w:val="ru-RU"/>
              </w:rPr>
              <w:t xml:space="preserve">, на яке </w:t>
            </w:r>
            <w:proofErr w:type="spellStart"/>
            <w:r w:rsidRPr="002045F5">
              <w:rPr>
                <w:rFonts w:eastAsia="Calibri"/>
                <w:b/>
                <w:color w:val="000000"/>
                <w:sz w:val="22"/>
                <w:lang w:val="ru-RU"/>
              </w:rPr>
              <w:t>матиме</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вплив</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реалізація</w:t>
            </w:r>
            <w:proofErr w:type="spellEnd"/>
            <w:r w:rsidRPr="002045F5">
              <w:rPr>
                <w:rFonts w:eastAsia="Calibri"/>
                <w:b/>
                <w:color w:val="000000"/>
                <w:sz w:val="22"/>
                <w:lang w:val="ru-RU"/>
              </w:rPr>
              <w:t xml:space="preserve"> проекту</w:t>
            </w:r>
          </w:p>
        </w:tc>
        <w:tc>
          <w:tcPr>
            <w:tcW w:w="6955" w:type="dxa"/>
            <w:gridSpan w:val="7"/>
            <w:shd w:val="clear" w:color="auto" w:fill="auto"/>
            <w:vAlign w:val="center"/>
            <w:hideMark/>
          </w:tcPr>
          <w:p w:rsidR="00D75E8F" w:rsidRPr="002045F5" w:rsidRDefault="00D75E8F" w:rsidP="001013F3">
            <w:pPr>
              <w:rPr>
                <w:color w:val="000000"/>
                <w:sz w:val="22"/>
                <w:lang w:val="ru-RU"/>
              </w:rPr>
            </w:pPr>
            <w:r w:rsidRPr="002045F5">
              <w:rPr>
                <w:color w:val="000000"/>
                <w:sz w:val="22"/>
                <w:lang w:val="ru-RU"/>
              </w:rPr>
              <w:t xml:space="preserve"> 70 000 </w:t>
            </w:r>
            <w:proofErr w:type="spellStart"/>
            <w:r w:rsidRPr="002045F5">
              <w:rPr>
                <w:color w:val="000000"/>
                <w:sz w:val="22"/>
                <w:lang w:val="ru-RU"/>
              </w:rPr>
              <w:t>осіб</w:t>
            </w:r>
            <w:proofErr w:type="spellEnd"/>
          </w:p>
        </w:tc>
      </w:tr>
      <w:tr w:rsidR="00D75E8F" w:rsidRPr="002045F5" w:rsidTr="00E824C2">
        <w:trPr>
          <w:trHeight w:val="1578"/>
        </w:trPr>
        <w:tc>
          <w:tcPr>
            <w:tcW w:w="2978" w:type="dxa"/>
            <w:shd w:val="clear" w:color="auto" w:fill="C6D9F1" w:themeFill="text2" w:themeFillTint="33"/>
            <w:vAlign w:val="center"/>
            <w:hideMark/>
          </w:tcPr>
          <w:p w:rsidR="00D75E8F" w:rsidRPr="002045F5" w:rsidRDefault="00D75E8F" w:rsidP="001013F3">
            <w:pPr>
              <w:rPr>
                <w:b/>
                <w:color w:val="000000"/>
                <w:sz w:val="22"/>
                <w:lang w:val="ru-RU"/>
              </w:rPr>
            </w:pPr>
            <w:proofErr w:type="spellStart"/>
            <w:r w:rsidRPr="002045F5">
              <w:rPr>
                <w:rFonts w:eastAsia="Calibri"/>
                <w:b/>
                <w:color w:val="000000"/>
                <w:sz w:val="22"/>
                <w:lang w:val="ru-RU"/>
              </w:rPr>
              <w:t>Опис</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проблеми</w:t>
            </w:r>
            <w:proofErr w:type="spellEnd"/>
            <w:r w:rsidRPr="002045F5">
              <w:rPr>
                <w:rFonts w:eastAsia="Calibri"/>
                <w:b/>
                <w:color w:val="000000"/>
                <w:sz w:val="22"/>
                <w:lang w:val="ru-RU"/>
              </w:rPr>
              <w:t xml:space="preserve">, на </w:t>
            </w:r>
            <w:proofErr w:type="spellStart"/>
            <w:r w:rsidRPr="002045F5">
              <w:rPr>
                <w:rFonts w:eastAsia="Calibri"/>
                <w:b/>
                <w:color w:val="000000"/>
                <w:sz w:val="22"/>
                <w:lang w:val="ru-RU"/>
              </w:rPr>
              <w:t>вирішення</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якої</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спрямований</w:t>
            </w:r>
            <w:proofErr w:type="spellEnd"/>
            <w:r w:rsidRPr="002045F5">
              <w:rPr>
                <w:rFonts w:eastAsia="Calibri"/>
                <w:b/>
                <w:color w:val="000000"/>
                <w:sz w:val="22"/>
                <w:lang w:val="ru-RU"/>
              </w:rPr>
              <w:t xml:space="preserve"> проект</w:t>
            </w:r>
          </w:p>
        </w:tc>
        <w:tc>
          <w:tcPr>
            <w:tcW w:w="6955" w:type="dxa"/>
            <w:gridSpan w:val="7"/>
            <w:shd w:val="clear" w:color="auto" w:fill="auto"/>
            <w:vAlign w:val="center"/>
            <w:hideMark/>
          </w:tcPr>
          <w:p w:rsidR="00D75E8F" w:rsidRPr="002045F5" w:rsidRDefault="00D75E8F" w:rsidP="001013F3">
            <w:pPr>
              <w:spacing w:line="276" w:lineRule="auto"/>
              <w:rPr>
                <w:color w:val="000000"/>
                <w:sz w:val="22"/>
                <w:lang w:val="ru-RU"/>
              </w:rPr>
            </w:pPr>
            <w:r w:rsidRPr="002045F5">
              <w:rPr>
                <w:color w:val="000000"/>
                <w:sz w:val="22"/>
                <w:lang w:val="ru-RU"/>
              </w:rPr>
              <w:t xml:space="preserve">     З </w:t>
            </w:r>
            <w:proofErr w:type="spellStart"/>
            <w:r w:rsidRPr="002045F5">
              <w:rPr>
                <w:color w:val="000000"/>
                <w:sz w:val="22"/>
                <w:lang w:val="ru-RU"/>
              </w:rPr>
              <w:t>повномасштабним</w:t>
            </w:r>
            <w:proofErr w:type="spellEnd"/>
            <w:r w:rsidRPr="002045F5">
              <w:rPr>
                <w:color w:val="000000"/>
                <w:sz w:val="22"/>
                <w:lang w:val="ru-RU"/>
              </w:rPr>
              <w:t xml:space="preserve"> </w:t>
            </w:r>
            <w:proofErr w:type="spellStart"/>
            <w:r w:rsidRPr="002045F5">
              <w:rPr>
                <w:color w:val="000000"/>
                <w:sz w:val="22"/>
                <w:lang w:val="ru-RU"/>
              </w:rPr>
              <w:t>вторгненням</w:t>
            </w:r>
            <w:proofErr w:type="spellEnd"/>
            <w:r w:rsidRPr="002045F5">
              <w:rPr>
                <w:color w:val="000000"/>
                <w:sz w:val="22"/>
                <w:lang w:val="ru-RU"/>
              </w:rPr>
              <w:t xml:space="preserve"> РФ в </w:t>
            </w:r>
            <w:proofErr w:type="spellStart"/>
            <w:r w:rsidRPr="002045F5">
              <w:rPr>
                <w:color w:val="000000"/>
                <w:sz w:val="22"/>
                <w:lang w:val="ru-RU"/>
              </w:rPr>
              <w:t>Україну</w:t>
            </w:r>
            <w:proofErr w:type="spellEnd"/>
            <w:r w:rsidRPr="002045F5">
              <w:rPr>
                <w:color w:val="000000"/>
                <w:sz w:val="22"/>
                <w:lang w:val="ru-RU"/>
              </w:rPr>
              <w:t xml:space="preserve"> з 24.02.2022 року </w:t>
            </w:r>
            <w:proofErr w:type="spellStart"/>
            <w:r w:rsidRPr="002045F5">
              <w:rPr>
                <w:color w:val="000000"/>
                <w:sz w:val="22"/>
                <w:lang w:val="ru-RU"/>
              </w:rPr>
              <w:t>місто</w:t>
            </w:r>
            <w:proofErr w:type="spellEnd"/>
            <w:r w:rsidRPr="002045F5">
              <w:rPr>
                <w:color w:val="000000"/>
                <w:sz w:val="22"/>
                <w:lang w:val="ru-RU"/>
              </w:rPr>
              <w:t xml:space="preserve"> </w:t>
            </w:r>
            <w:proofErr w:type="spellStart"/>
            <w:r w:rsidRPr="002045F5">
              <w:rPr>
                <w:color w:val="000000"/>
                <w:sz w:val="22"/>
                <w:lang w:val="ru-RU"/>
              </w:rPr>
              <w:t>Сєвєродонецьк</w:t>
            </w:r>
            <w:proofErr w:type="spellEnd"/>
            <w:r w:rsidRPr="002045F5">
              <w:rPr>
                <w:color w:val="000000"/>
                <w:sz w:val="22"/>
                <w:lang w:val="ru-RU"/>
              </w:rPr>
              <w:t xml:space="preserve"> </w:t>
            </w:r>
            <w:proofErr w:type="spellStart"/>
            <w:r w:rsidRPr="002045F5">
              <w:rPr>
                <w:color w:val="000000"/>
                <w:sz w:val="22"/>
                <w:lang w:val="ru-RU"/>
              </w:rPr>
              <w:t>опинилось</w:t>
            </w:r>
            <w:proofErr w:type="spellEnd"/>
            <w:r w:rsidRPr="002045F5">
              <w:rPr>
                <w:color w:val="000000"/>
                <w:sz w:val="22"/>
                <w:lang w:val="ru-RU"/>
              </w:rPr>
              <w:t xml:space="preserve"> в </w:t>
            </w:r>
            <w:proofErr w:type="spellStart"/>
            <w:r w:rsidRPr="002045F5">
              <w:rPr>
                <w:color w:val="000000"/>
                <w:sz w:val="22"/>
                <w:lang w:val="ru-RU"/>
              </w:rPr>
              <w:t>зоні</w:t>
            </w:r>
            <w:proofErr w:type="spellEnd"/>
            <w:r w:rsidRPr="002045F5">
              <w:rPr>
                <w:color w:val="000000"/>
                <w:sz w:val="22"/>
                <w:lang w:val="ru-RU"/>
              </w:rPr>
              <w:t xml:space="preserve"> </w:t>
            </w:r>
            <w:proofErr w:type="spellStart"/>
            <w:r w:rsidRPr="002045F5">
              <w:rPr>
                <w:color w:val="000000"/>
                <w:sz w:val="22"/>
                <w:lang w:val="ru-RU"/>
              </w:rPr>
              <w:t>воєнних</w:t>
            </w:r>
            <w:proofErr w:type="spellEnd"/>
            <w:r w:rsidRPr="002045F5">
              <w:rPr>
                <w:color w:val="000000"/>
                <w:sz w:val="22"/>
                <w:lang w:val="ru-RU"/>
              </w:rPr>
              <w:t xml:space="preserve"> </w:t>
            </w:r>
            <w:proofErr w:type="spellStart"/>
            <w:r w:rsidRPr="002045F5">
              <w:rPr>
                <w:color w:val="000000"/>
                <w:sz w:val="22"/>
                <w:lang w:val="ru-RU"/>
              </w:rPr>
              <w:t>дій</w:t>
            </w:r>
            <w:proofErr w:type="spellEnd"/>
            <w:r w:rsidRPr="002045F5">
              <w:rPr>
                <w:color w:val="000000"/>
                <w:sz w:val="22"/>
                <w:lang w:val="ru-RU"/>
              </w:rPr>
              <w:t xml:space="preserve">. </w:t>
            </w:r>
            <w:proofErr w:type="spellStart"/>
            <w:r w:rsidRPr="002045F5">
              <w:rPr>
                <w:color w:val="000000"/>
                <w:sz w:val="22"/>
                <w:lang w:val="ru-RU"/>
              </w:rPr>
              <w:t>Будівля</w:t>
            </w:r>
            <w:proofErr w:type="spellEnd"/>
            <w:r w:rsidRPr="002045F5">
              <w:rPr>
                <w:color w:val="000000"/>
                <w:sz w:val="22"/>
                <w:lang w:val="ru-RU"/>
              </w:rPr>
              <w:t xml:space="preserve"> та прилегла </w:t>
            </w:r>
            <w:proofErr w:type="spellStart"/>
            <w:r w:rsidRPr="002045F5">
              <w:rPr>
                <w:color w:val="000000"/>
                <w:sz w:val="22"/>
                <w:lang w:val="ru-RU"/>
              </w:rPr>
              <w:t>територія</w:t>
            </w:r>
            <w:proofErr w:type="spellEnd"/>
            <w:r w:rsidRPr="002045F5">
              <w:rPr>
                <w:color w:val="000000"/>
                <w:sz w:val="22"/>
                <w:lang w:val="ru-RU"/>
              </w:rPr>
              <w:t xml:space="preserve"> разом </w:t>
            </w:r>
            <w:proofErr w:type="spellStart"/>
            <w:r w:rsidRPr="002045F5">
              <w:rPr>
                <w:color w:val="000000"/>
                <w:sz w:val="22"/>
                <w:lang w:val="ru-RU"/>
              </w:rPr>
              <w:t>із</w:t>
            </w:r>
            <w:proofErr w:type="spellEnd"/>
            <w:r w:rsidRPr="002045F5">
              <w:rPr>
                <w:color w:val="000000"/>
                <w:sz w:val="22"/>
                <w:lang w:val="ru-RU"/>
              </w:rPr>
              <w:t xml:space="preserve"> </w:t>
            </w:r>
            <w:proofErr w:type="spellStart"/>
            <w:r w:rsidRPr="002045F5">
              <w:rPr>
                <w:color w:val="000000"/>
                <w:sz w:val="22"/>
                <w:lang w:val="ru-RU"/>
              </w:rPr>
              <w:t>спортивними</w:t>
            </w:r>
            <w:proofErr w:type="spellEnd"/>
            <w:r w:rsidRPr="002045F5">
              <w:rPr>
                <w:color w:val="000000"/>
                <w:sz w:val="22"/>
                <w:lang w:val="ru-RU"/>
              </w:rPr>
              <w:t xml:space="preserve"> </w:t>
            </w:r>
            <w:proofErr w:type="spellStart"/>
            <w:r w:rsidRPr="002045F5">
              <w:rPr>
                <w:color w:val="000000"/>
                <w:sz w:val="22"/>
                <w:lang w:val="ru-RU"/>
              </w:rPr>
              <w:t>спорудами</w:t>
            </w:r>
            <w:proofErr w:type="spellEnd"/>
            <w:r w:rsidRPr="002045F5">
              <w:rPr>
                <w:color w:val="000000"/>
                <w:sz w:val="22"/>
                <w:lang w:val="ru-RU"/>
              </w:rPr>
              <w:t xml:space="preserve"> </w:t>
            </w:r>
            <w:proofErr w:type="spellStart"/>
            <w:r w:rsidRPr="002045F5">
              <w:rPr>
                <w:color w:val="000000"/>
                <w:sz w:val="22"/>
                <w:lang w:val="ru-RU"/>
              </w:rPr>
              <w:t>Ліцею</w:t>
            </w:r>
            <w:proofErr w:type="spellEnd"/>
            <w:r w:rsidRPr="002045F5">
              <w:rPr>
                <w:color w:val="000000"/>
                <w:sz w:val="22"/>
                <w:lang w:val="ru-RU"/>
              </w:rPr>
              <w:t xml:space="preserve"> «ЮВЕНЕС» </w:t>
            </w:r>
            <w:proofErr w:type="spellStart"/>
            <w:r w:rsidRPr="002045F5">
              <w:rPr>
                <w:color w:val="000000"/>
                <w:sz w:val="22"/>
                <w:lang w:val="ru-RU"/>
              </w:rPr>
              <w:t>міста</w:t>
            </w:r>
            <w:proofErr w:type="spellEnd"/>
            <w:r w:rsidRPr="002045F5">
              <w:rPr>
                <w:color w:val="000000"/>
                <w:sz w:val="22"/>
                <w:lang w:val="ru-RU"/>
              </w:rPr>
              <w:t xml:space="preserve"> </w:t>
            </w:r>
            <w:proofErr w:type="spellStart"/>
            <w:r w:rsidRPr="002045F5">
              <w:rPr>
                <w:color w:val="000000"/>
                <w:sz w:val="22"/>
                <w:lang w:val="ru-RU"/>
              </w:rPr>
              <w:t>Сєвєродонецька</w:t>
            </w:r>
            <w:proofErr w:type="spellEnd"/>
            <w:r w:rsidRPr="002045F5">
              <w:rPr>
                <w:color w:val="000000"/>
                <w:sz w:val="22"/>
                <w:lang w:val="ru-RU"/>
              </w:rPr>
              <w:t xml:space="preserve"> </w:t>
            </w:r>
            <w:proofErr w:type="spellStart"/>
            <w:r w:rsidRPr="002045F5">
              <w:rPr>
                <w:color w:val="000000"/>
                <w:sz w:val="22"/>
                <w:lang w:val="ru-RU"/>
              </w:rPr>
              <w:t>Луганської</w:t>
            </w:r>
            <w:proofErr w:type="spellEnd"/>
            <w:r w:rsidRPr="002045F5">
              <w:rPr>
                <w:color w:val="000000"/>
                <w:sz w:val="22"/>
                <w:lang w:val="ru-RU"/>
              </w:rPr>
              <w:t xml:space="preserve"> </w:t>
            </w:r>
            <w:proofErr w:type="spellStart"/>
            <w:r w:rsidRPr="002045F5">
              <w:rPr>
                <w:color w:val="000000"/>
                <w:sz w:val="22"/>
                <w:lang w:val="ru-RU"/>
              </w:rPr>
              <w:t>області</w:t>
            </w:r>
            <w:proofErr w:type="spellEnd"/>
            <w:r w:rsidRPr="002045F5">
              <w:rPr>
                <w:color w:val="000000"/>
                <w:sz w:val="22"/>
                <w:lang w:val="ru-RU"/>
              </w:rPr>
              <w:t xml:space="preserve"> </w:t>
            </w:r>
            <w:proofErr w:type="spellStart"/>
            <w:proofErr w:type="gramStart"/>
            <w:r w:rsidRPr="002045F5">
              <w:rPr>
                <w:color w:val="000000"/>
                <w:sz w:val="22"/>
                <w:lang w:val="ru-RU"/>
              </w:rPr>
              <w:t>зазнала</w:t>
            </w:r>
            <w:proofErr w:type="spellEnd"/>
            <w:r w:rsidRPr="002045F5">
              <w:rPr>
                <w:color w:val="000000"/>
                <w:sz w:val="22"/>
                <w:lang w:val="ru-RU"/>
              </w:rPr>
              <w:t xml:space="preserve">  </w:t>
            </w:r>
            <w:proofErr w:type="spellStart"/>
            <w:r w:rsidRPr="002045F5">
              <w:rPr>
                <w:color w:val="000000"/>
                <w:sz w:val="22"/>
                <w:lang w:val="ru-RU"/>
              </w:rPr>
              <w:t>руйнувань</w:t>
            </w:r>
            <w:proofErr w:type="spellEnd"/>
            <w:proofErr w:type="gramEnd"/>
            <w:r w:rsidRPr="002045F5">
              <w:rPr>
                <w:color w:val="000000"/>
                <w:sz w:val="22"/>
                <w:lang w:val="ru-RU"/>
              </w:rPr>
              <w:t xml:space="preserve">. На </w:t>
            </w:r>
            <w:proofErr w:type="spellStart"/>
            <w:r w:rsidRPr="002045F5">
              <w:rPr>
                <w:color w:val="000000"/>
                <w:sz w:val="22"/>
                <w:lang w:val="ru-RU"/>
              </w:rPr>
              <w:t>прилеглій</w:t>
            </w:r>
            <w:proofErr w:type="spellEnd"/>
            <w:r w:rsidRPr="002045F5">
              <w:rPr>
                <w:color w:val="000000"/>
                <w:sz w:val="22"/>
                <w:lang w:val="ru-RU"/>
              </w:rPr>
              <w:t xml:space="preserve"> </w:t>
            </w:r>
            <w:proofErr w:type="spellStart"/>
            <w:proofErr w:type="gramStart"/>
            <w:r w:rsidRPr="002045F5">
              <w:rPr>
                <w:color w:val="000000"/>
                <w:sz w:val="22"/>
                <w:lang w:val="ru-RU"/>
              </w:rPr>
              <w:t>території</w:t>
            </w:r>
            <w:proofErr w:type="spellEnd"/>
            <w:r w:rsidRPr="002045F5">
              <w:rPr>
                <w:color w:val="000000"/>
                <w:sz w:val="22"/>
                <w:lang w:val="ru-RU"/>
              </w:rPr>
              <w:t xml:space="preserve">,  </w:t>
            </w:r>
            <w:proofErr w:type="spellStart"/>
            <w:r w:rsidRPr="002045F5">
              <w:rPr>
                <w:color w:val="000000"/>
                <w:sz w:val="22"/>
                <w:lang w:val="ru-RU"/>
              </w:rPr>
              <w:t>спортивних</w:t>
            </w:r>
            <w:proofErr w:type="spellEnd"/>
            <w:proofErr w:type="gramEnd"/>
            <w:r w:rsidRPr="002045F5">
              <w:rPr>
                <w:color w:val="000000"/>
                <w:sz w:val="22"/>
                <w:lang w:val="ru-RU"/>
              </w:rPr>
              <w:t xml:space="preserve">  </w:t>
            </w:r>
            <w:proofErr w:type="spellStart"/>
            <w:r w:rsidRPr="002045F5">
              <w:rPr>
                <w:color w:val="000000"/>
                <w:sz w:val="22"/>
                <w:lang w:val="ru-RU"/>
              </w:rPr>
              <w:t>майданчиках</w:t>
            </w:r>
            <w:proofErr w:type="spellEnd"/>
            <w:r w:rsidRPr="002045F5">
              <w:rPr>
                <w:color w:val="000000"/>
                <w:sz w:val="22"/>
                <w:lang w:val="ru-RU"/>
              </w:rPr>
              <w:t xml:space="preserve">, </w:t>
            </w:r>
            <w:proofErr w:type="spellStart"/>
            <w:r w:rsidRPr="002045F5">
              <w:rPr>
                <w:color w:val="000000"/>
                <w:sz w:val="22"/>
                <w:lang w:val="ru-RU"/>
              </w:rPr>
              <w:t>пішохідних</w:t>
            </w:r>
            <w:proofErr w:type="spellEnd"/>
            <w:r w:rsidRPr="002045F5">
              <w:rPr>
                <w:color w:val="000000"/>
                <w:sz w:val="22"/>
                <w:lang w:val="ru-RU"/>
              </w:rPr>
              <w:t xml:space="preserve"> </w:t>
            </w:r>
            <w:proofErr w:type="spellStart"/>
            <w:r w:rsidRPr="002045F5">
              <w:rPr>
                <w:color w:val="000000"/>
                <w:sz w:val="22"/>
                <w:lang w:val="ru-RU"/>
              </w:rPr>
              <w:t>доріжках</w:t>
            </w:r>
            <w:proofErr w:type="spellEnd"/>
            <w:r w:rsidRPr="002045F5">
              <w:rPr>
                <w:color w:val="000000"/>
                <w:sz w:val="22"/>
                <w:lang w:val="ru-RU"/>
              </w:rPr>
              <w:t xml:space="preserve"> є  </w:t>
            </w:r>
            <w:proofErr w:type="spellStart"/>
            <w:r w:rsidRPr="002045F5">
              <w:rPr>
                <w:color w:val="000000"/>
                <w:sz w:val="22"/>
                <w:lang w:val="ru-RU"/>
              </w:rPr>
              <w:t>численна</w:t>
            </w:r>
            <w:proofErr w:type="spellEnd"/>
            <w:r w:rsidRPr="002045F5">
              <w:rPr>
                <w:color w:val="000000"/>
                <w:sz w:val="22"/>
                <w:lang w:val="ru-RU"/>
              </w:rPr>
              <w:t xml:space="preserve"> </w:t>
            </w:r>
            <w:proofErr w:type="spellStart"/>
            <w:r w:rsidRPr="002045F5">
              <w:rPr>
                <w:color w:val="000000"/>
                <w:sz w:val="22"/>
                <w:lang w:val="ru-RU"/>
              </w:rPr>
              <w:t>кількість</w:t>
            </w:r>
            <w:proofErr w:type="spellEnd"/>
            <w:r w:rsidRPr="002045F5">
              <w:rPr>
                <w:color w:val="000000"/>
                <w:sz w:val="22"/>
                <w:lang w:val="ru-RU"/>
              </w:rPr>
              <w:t xml:space="preserve"> </w:t>
            </w:r>
            <w:proofErr w:type="spellStart"/>
            <w:r w:rsidRPr="002045F5">
              <w:rPr>
                <w:color w:val="000000"/>
                <w:sz w:val="22"/>
                <w:lang w:val="ru-RU"/>
              </w:rPr>
              <w:t>руйнацій</w:t>
            </w:r>
            <w:proofErr w:type="spellEnd"/>
            <w:r w:rsidRPr="002045F5">
              <w:rPr>
                <w:color w:val="000000"/>
                <w:sz w:val="22"/>
                <w:lang w:val="ru-RU"/>
              </w:rPr>
              <w:t xml:space="preserve"> </w:t>
            </w:r>
            <w:proofErr w:type="spellStart"/>
            <w:r w:rsidRPr="002045F5">
              <w:rPr>
                <w:color w:val="000000"/>
                <w:sz w:val="22"/>
                <w:lang w:val="ru-RU"/>
              </w:rPr>
              <w:t>внаслідок</w:t>
            </w:r>
            <w:proofErr w:type="spellEnd"/>
            <w:r w:rsidRPr="002045F5">
              <w:rPr>
                <w:color w:val="000000"/>
                <w:sz w:val="22"/>
                <w:lang w:val="ru-RU"/>
              </w:rPr>
              <w:t xml:space="preserve">  </w:t>
            </w:r>
            <w:proofErr w:type="spellStart"/>
            <w:r w:rsidRPr="002045F5">
              <w:rPr>
                <w:color w:val="000000"/>
                <w:sz w:val="22"/>
                <w:lang w:val="ru-RU"/>
              </w:rPr>
              <w:t>влучань</w:t>
            </w:r>
            <w:proofErr w:type="spellEnd"/>
            <w:r w:rsidRPr="002045F5">
              <w:rPr>
                <w:color w:val="000000"/>
                <w:sz w:val="22"/>
                <w:lang w:val="ru-RU"/>
              </w:rPr>
              <w:t xml:space="preserve"> </w:t>
            </w:r>
            <w:proofErr w:type="spellStart"/>
            <w:r w:rsidRPr="002045F5">
              <w:rPr>
                <w:color w:val="000000"/>
                <w:sz w:val="22"/>
                <w:lang w:val="ru-RU"/>
              </w:rPr>
              <w:t>снарядів</w:t>
            </w:r>
            <w:proofErr w:type="spellEnd"/>
            <w:r w:rsidRPr="002045F5">
              <w:rPr>
                <w:color w:val="000000"/>
                <w:sz w:val="22"/>
                <w:lang w:val="ru-RU"/>
              </w:rPr>
              <w:t xml:space="preserve">. Остаточно </w:t>
            </w:r>
            <w:proofErr w:type="spellStart"/>
            <w:r w:rsidRPr="002045F5">
              <w:rPr>
                <w:color w:val="000000"/>
                <w:sz w:val="22"/>
                <w:lang w:val="ru-RU"/>
              </w:rPr>
              <w:t>зруйнований</w:t>
            </w:r>
            <w:proofErr w:type="spellEnd"/>
            <w:r w:rsidRPr="002045F5">
              <w:rPr>
                <w:color w:val="000000"/>
                <w:sz w:val="22"/>
                <w:lang w:val="ru-RU"/>
              </w:rPr>
              <w:t xml:space="preserve"> </w:t>
            </w:r>
            <w:proofErr w:type="spellStart"/>
            <w:r w:rsidRPr="002045F5">
              <w:rPr>
                <w:color w:val="000000"/>
                <w:sz w:val="22"/>
                <w:lang w:val="ru-RU"/>
              </w:rPr>
              <w:t>паркан</w:t>
            </w:r>
            <w:proofErr w:type="spellEnd"/>
            <w:r w:rsidRPr="002045F5">
              <w:rPr>
                <w:color w:val="000000"/>
                <w:sz w:val="22"/>
                <w:lang w:val="ru-RU"/>
              </w:rPr>
              <w:t xml:space="preserve">. Не </w:t>
            </w:r>
            <w:proofErr w:type="spellStart"/>
            <w:r w:rsidRPr="002045F5">
              <w:rPr>
                <w:color w:val="000000"/>
                <w:sz w:val="22"/>
                <w:lang w:val="ru-RU"/>
              </w:rPr>
              <w:t>функціонує</w:t>
            </w:r>
            <w:proofErr w:type="spellEnd"/>
            <w:r w:rsidRPr="002045F5">
              <w:rPr>
                <w:color w:val="000000"/>
                <w:sz w:val="22"/>
                <w:lang w:val="ru-RU"/>
              </w:rPr>
              <w:t xml:space="preserve"> </w:t>
            </w:r>
            <w:proofErr w:type="spellStart"/>
            <w:r w:rsidRPr="002045F5">
              <w:rPr>
                <w:color w:val="000000"/>
                <w:sz w:val="22"/>
                <w:lang w:val="ru-RU"/>
              </w:rPr>
              <w:t>вуличне</w:t>
            </w:r>
            <w:proofErr w:type="spellEnd"/>
            <w:r w:rsidRPr="002045F5">
              <w:rPr>
                <w:color w:val="000000"/>
                <w:sz w:val="22"/>
                <w:lang w:val="ru-RU"/>
              </w:rPr>
              <w:t xml:space="preserve"> </w:t>
            </w:r>
            <w:proofErr w:type="spellStart"/>
            <w:r w:rsidRPr="002045F5">
              <w:rPr>
                <w:color w:val="000000"/>
                <w:sz w:val="22"/>
                <w:lang w:val="ru-RU"/>
              </w:rPr>
              <w:t>освітлення</w:t>
            </w:r>
            <w:proofErr w:type="spellEnd"/>
            <w:r w:rsidRPr="002045F5">
              <w:rPr>
                <w:color w:val="000000"/>
                <w:sz w:val="22"/>
                <w:lang w:val="ru-RU"/>
              </w:rPr>
              <w:t xml:space="preserve">. </w:t>
            </w:r>
            <w:proofErr w:type="spellStart"/>
            <w:r w:rsidRPr="002045F5">
              <w:rPr>
                <w:color w:val="000000"/>
                <w:sz w:val="22"/>
                <w:lang w:val="ru-RU"/>
              </w:rPr>
              <w:t>Знищені</w:t>
            </w:r>
            <w:proofErr w:type="spellEnd"/>
            <w:r w:rsidRPr="002045F5">
              <w:rPr>
                <w:color w:val="000000"/>
                <w:sz w:val="22"/>
                <w:lang w:val="ru-RU"/>
              </w:rPr>
              <w:t xml:space="preserve"> </w:t>
            </w:r>
            <w:proofErr w:type="spellStart"/>
            <w:r w:rsidRPr="002045F5">
              <w:rPr>
                <w:color w:val="000000"/>
                <w:sz w:val="22"/>
                <w:lang w:val="ru-RU"/>
              </w:rPr>
              <w:t>зелені</w:t>
            </w:r>
            <w:proofErr w:type="spellEnd"/>
            <w:r w:rsidRPr="002045F5">
              <w:rPr>
                <w:color w:val="000000"/>
                <w:sz w:val="22"/>
                <w:lang w:val="ru-RU"/>
              </w:rPr>
              <w:t xml:space="preserve"> </w:t>
            </w:r>
            <w:proofErr w:type="spellStart"/>
            <w:r w:rsidRPr="002045F5">
              <w:rPr>
                <w:color w:val="000000"/>
                <w:sz w:val="22"/>
                <w:lang w:val="ru-RU"/>
              </w:rPr>
              <w:t>насадження</w:t>
            </w:r>
            <w:proofErr w:type="spellEnd"/>
            <w:r w:rsidRPr="002045F5">
              <w:rPr>
                <w:color w:val="000000"/>
                <w:sz w:val="22"/>
                <w:lang w:val="ru-RU"/>
              </w:rPr>
              <w:t xml:space="preserve">. </w:t>
            </w:r>
            <w:proofErr w:type="spellStart"/>
            <w:r w:rsidRPr="002045F5">
              <w:rPr>
                <w:color w:val="000000"/>
                <w:sz w:val="22"/>
                <w:lang w:val="ru-RU"/>
              </w:rPr>
              <w:t>Вільний</w:t>
            </w:r>
            <w:proofErr w:type="spellEnd"/>
            <w:r w:rsidRPr="002045F5">
              <w:rPr>
                <w:color w:val="000000"/>
                <w:sz w:val="22"/>
                <w:lang w:val="ru-RU"/>
              </w:rPr>
              <w:t xml:space="preserve"> доступ на </w:t>
            </w:r>
            <w:proofErr w:type="spellStart"/>
            <w:r w:rsidRPr="002045F5">
              <w:rPr>
                <w:color w:val="000000"/>
                <w:sz w:val="22"/>
                <w:lang w:val="ru-RU"/>
              </w:rPr>
              <w:t>територію</w:t>
            </w:r>
            <w:proofErr w:type="spellEnd"/>
            <w:r w:rsidRPr="002045F5">
              <w:rPr>
                <w:color w:val="000000"/>
                <w:sz w:val="22"/>
                <w:lang w:val="ru-RU"/>
              </w:rPr>
              <w:t xml:space="preserve"> </w:t>
            </w:r>
            <w:proofErr w:type="spellStart"/>
            <w:r w:rsidRPr="002045F5">
              <w:rPr>
                <w:color w:val="000000"/>
                <w:sz w:val="22"/>
                <w:lang w:val="ru-RU"/>
              </w:rPr>
              <w:t>забезпечив</w:t>
            </w:r>
            <w:proofErr w:type="spellEnd"/>
            <w:r w:rsidRPr="002045F5">
              <w:rPr>
                <w:color w:val="000000"/>
                <w:sz w:val="22"/>
                <w:lang w:val="ru-RU"/>
              </w:rPr>
              <w:t xml:space="preserve"> </w:t>
            </w:r>
            <w:proofErr w:type="spellStart"/>
            <w:r w:rsidRPr="002045F5">
              <w:rPr>
                <w:color w:val="000000"/>
                <w:sz w:val="22"/>
                <w:lang w:val="ru-RU"/>
              </w:rPr>
              <w:t>можливість</w:t>
            </w:r>
            <w:proofErr w:type="spellEnd"/>
            <w:r w:rsidRPr="002045F5">
              <w:rPr>
                <w:color w:val="000000"/>
                <w:sz w:val="22"/>
                <w:lang w:val="ru-RU"/>
              </w:rPr>
              <w:t xml:space="preserve"> </w:t>
            </w:r>
            <w:proofErr w:type="spellStart"/>
            <w:r w:rsidRPr="002045F5">
              <w:rPr>
                <w:color w:val="000000"/>
                <w:sz w:val="22"/>
                <w:lang w:val="ru-RU"/>
              </w:rPr>
              <w:t>викрадення</w:t>
            </w:r>
            <w:proofErr w:type="spellEnd"/>
            <w:r w:rsidRPr="002045F5">
              <w:rPr>
                <w:color w:val="000000"/>
                <w:sz w:val="22"/>
                <w:lang w:val="ru-RU"/>
              </w:rPr>
              <w:t xml:space="preserve"> </w:t>
            </w:r>
            <w:proofErr w:type="spellStart"/>
            <w:r w:rsidRPr="002045F5">
              <w:rPr>
                <w:color w:val="000000"/>
                <w:sz w:val="22"/>
                <w:lang w:val="ru-RU"/>
              </w:rPr>
              <w:t>невідомими</w:t>
            </w:r>
            <w:proofErr w:type="spellEnd"/>
            <w:r w:rsidRPr="002045F5">
              <w:rPr>
                <w:color w:val="000000"/>
                <w:sz w:val="22"/>
                <w:lang w:val="ru-RU"/>
              </w:rPr>
              <w:t xml:space="preserve"> особами державного майна (</w:t>
            </w:r>
            <w:proofErr w:type="spellStart"/>
            <w:r w:rsidRPr="002045F5">
              <w:rPr>
                <w:color w:val="000000"/>
                <w:sz w:val="22"/>
                <w:lang w:val="ru-RU"/>
              </w:rPr>
              <w:t>обладнання</w:t>
            </w:r>
            <w:proofErr w:type="spellEnd"/>
            <w:r w:rsidRPr="002045F5">
              <w:rPr>
                <w:color w:val="000000"/>
                <w:sz w:val="22"/>
                <w:lang w:val="ru-RU"/>
              </w:rPr>
              <w:t xml:space="preserve"> </w:t>
            </w:r>
            <w:proofErr w:type="spellStart"/>
            <w:r w:rsidRPr="002045F5">
              <w:rPr>
                <w:color w:val="000000"/>
                <w:sz w:val="22"/>
                <w:lang w:val="ru-RU"/>
              </w:rPr>
              <w:t>спортивних</w:t>
            </w:r>
            <w:proofErr w:type="spellEnd"/>
            <w:r w:rsidRPr="002045F5">
              <w:rPr>
                <w:color w:val="000000"/>
                <w:sz w:val="22"/>
                <w:lang w:val="ru-RU"/>
              </w:rPr>
              <w:t xml:space="preserve"> </w:t>
            </w:r>
            <w:proofErr w:type="spellStart"/>
            <w:r w:rsidRPr="002045F5">
              <w:rPr>
                <w:color w:val="000000"/>
                <w:sz w:val="22"/>
                <w:lang w:val="ru-RU"/>
              </w:rPr>
              <w:t>майданчиків</w:t>
            </w:r>
            <w:proofErr w:type="spellEnd"/>
            <w:r w:rsidRPr="002045F5">
              <w:rPr>
                <w:color w:val="000000"/>
                <w:sz w:val="22"/>
                <w:lang w:val="ru-RU"/>
              </w:rPr>
              <w:t xml:space="preserve">, футбольного поля, </w:t>
            </w:r>
            <w:proofErr w:type="spellStart"/>
            <w:r w:rsidRPr="002045F5">
              <w:rPr>
                <w:color w:val="000000"/>
                <w:sz w:val="22"/>
                <w:lang w:val="ru-RU"/>
              </w:rPr>
              <w:t>майданчиків</w:t>
            </w:r>
            <w:proofErr w:type="spellEnd"/>
            <w:r w:rsidRPr="002045F5">
              <w:rPr>
                <w:color w:val="000000"/>
                <w:sz w:val="22"/>
                <w:lang w:val="ru-RU"/>
              </w:rPr>
              <w:t xml:space="preserve"> для </w:t>
            </w:r>
            <w:proofErr w:type="spellStart"/>
            <w:r w:rsidRPr="002045F5">
              <w:rPr>
                <w:color w:val="000000"/>
                <w:sz w:val="22"/>
                <w:lang w:val="ru-RU"/>
              </w:rPr>
              <w:t>відпочинку</w:t>
            </w:r>
            <w:proofErr w:type="spellEnd"/>
            <w:r w:rsidRPr="002045F5">
              <w:rPr>
                <w:color w:val="000000"/>
                <w:sz w:val="22"/>
                <w:lang w:val="ru-RU"/>
              </w:rPr>
              <w:t xml:space="preserve"> </w:t>
            </w:r>
            <w:proofErr w:type="spellStart"/>
            <w:r w:rsidRPr="002045F5">
              <w:rPr>
                <w:color w:val="000000"/>
                <w:sz w:val="22"/>
                <w:lang w:val="ru-RU"/>
              </w:rPr>
              <w:t>груп</w:t>
            </w:r>
            <w:proofErr w:type="spellEnd"/>
            <w:r w:rsidRPr="002045F5">
              <w:rPr>
                <w:color w:val="000000"/>
                <w:sz w:val="22"/>
                <w:lang w:val="ru-RU"/>
              </w:rPr>
              <w:t xml:space="preserve"> </w:t>
            </w:r>
            <w:proofErr w:type="spellStart"/>
            <w:r w:rsidRPr="002045F5">
              <w:rPr>
                <w:color w:val="000000"/>
                <w:sz w:val="22"/>
                <w:lang w:val="ru-RU"/>
              </w:rPr>
              <w:t>продовженого</w:t>
            </w:r>
            <w:proofErr w:type="spellEnd"/>
            <w:r w:rsidRPr="002045F5">
              <w:rPr>
                <w:color w:val="000000"/>
                <w:sz w:val="22"/>
                <w:lang w:val="ru-RU"/>
              </w:rPr>
              <w:t xml:space="preserve"> дня). </w:t>
            </w:r>
          </w:p>
          <w:p w:rsidR="00D75E8F" w:rsidRPr="002045F5" w:rsidRDefault="00D75E8F" w:rsidP="001013F3">
            <w:pPr>
              <w:spacing w:line="276" w:lineRule="auto"/>
              <w:rPr>
                <w:color w:val="000000"/>
                <w:sz w:val="22"/>
              </w:rPr>
            </w:pPr>
            <w:r w:rsidRPr="002045F5">
              <w:rPr>
                <w:rFonts w:eastAsia="Arial"/>
                <w:sz w:val="22"/>
              </w:rPr>
              <w:lastRenderedPageBreak/>
              <w:t xml:space="preserve">    Для відбудови та сталого розвитку громади потрібне відновлення </w:t>
            </w:r>
            <w:proofErr w:type="spellStart"/>
            <w:r w:rsidRPr="002045F5">
              <w:rPr>
                <w:color w:val="000000"/>
                <w:sz w:val="22"/>
                <w:lang w:val="ru-RU"/>
              </w:rPr>
              <w:t>вуличного</w:t>
            </w:r>
            <w:proofErr w:type="spellEnd"/>
            <w:r w:rsidRPr="002045F5">
              <w:rPr>
                <w:color w:val="000000"/>
                <w:sz w:val="22"/>
                <w:lang w:val="ru-RU"/>
              </w:rPr>
              <w:t xml:space="preserve"> </w:t>
            </w:r>
            <w:proofErr w:type="spellStart"/>
            <w:r w:rsidRPr="002045F5">
              <w:rPr>
                <w:color w:val="000000"/>
                <w:sz w:val="22"/>
                <w:lang w:val="ru-RU"/>
              </w:rPr>
              <w:t>освітлення</w:t>
            </w:r>
            <w:proofErr w:type="spellEnd"/>
            <w:r w:rsidRPr="002045F5">
              <w:rPr>
                <w:color w:val="000000"/>
                <w:sz w:val="22"/>
                <w:lang w:val="ru-RU"/>
              </w:rPr>
              <w:t xml:space="preserve">, </w:t>
            </w:r>
            <w:proofErr w:type="spellStart"/>
            <w:r w:rsidRPr="002045F5">
              <w:rPr>
                <w:color w:val="000000"/>
                <w:sz w:val="22"/>
                <w:lang w:val="ru-RU"/>
              </w:rPr>
              <w:t>спортивних</w:t>
            </w:r>
            <w:proofErr w:type="spellEnd"/>
            <w:r w:rsidRPr="002045F5">
              <w:rPr>
                <w:color w:val="000000"/>
                <w:sz w:val="22"/>
                <w:lang w:val="ru-RU"/>
              </w:rPr>
              <w:t xml:space="preserve"> </w:t>
            </w:r>
            <w:proofErr w:type="spellStart"/>
            <w:r w:rsidRPr="002045F5">
              <w:rPr>
                <w:color w:val="000000"/>
                <w:sz w:val="22"/>
                <w:lang w:val="ru-RU"/>
              </w:rPr>
              <w:t>майданчиків</w:t>
            </w:r>
            <w:proofErr w:type="spellEnd"/>
            <w:r w:rsidRPr="002045F5">
              <w:rPr>
                <w:color w:val="000000"/>
                <w:sz w:val="22"/>
                <w:lang w:val="ru-RU"/>
              </w:rPr>
              <w:t xml:space="preserve">, </w:t>
            </w:r>
            <w:proofErr w:type="spellStart"/>
            <w:r w:rsidRPr="002045F5">
              <w:rPr>
                <w:color w:val="000000"/>
                <w:sz w:val="22"/>
                <w:lang w:val="ru-RU"/>
              </w:rPr>
              <w:t>дитячих</w:t>
            </w:r>
            <w:proofErr w:type="spellEnd"/>
            <w:r w:rsidRPr="002045F5">
              <w:rPr>
                <w:color w:val="000000"/>
                <w:sz w:val="22"/>
                <w:lang w:val="ru-RU"/>
              </w:rPr>
              <w:t xml:space="preserve"> </w:t>
            </w:r>
            <w:proofErr w:type="spellStart"/>
            <w:r w:rsidRPr="002045F5">
              <w:rPr>
                <w:color w:val="000000"/>
                <w:sz w:val="22"/>
                <w:lang w:val="ru-RU"/>
              </w:rPr>
              <w:t>майданчиків</w:t>
            </w:r>
            <w:proofErr w:type="spellEnd"/>
            <w:r w:rsidRPr="002045F5">
              <w:rPr>
                <w:color w:val="000000"/>
                <w:sz w:val="22"/>
                <w:lang w:val="ru-RU"/>
              </w:rPr>
              <w:t xml:space="preserve"> та благоустрою </w:t>
            </w:r>
            <w:proofErr w:type="spellStart"/>
            <w:r w:rsidRPr="002045F5">
              <w:rPr>
                <w:color w:val="000000"/>
                <w:sz w:val="22"/>
                <w:lang w:val="ru-RU"/>
              </w:rPr>
              <w:t>території</w:t>
            </w:r>
            <w:proofErr w:type="spellEnd"/>
            <w:r w:rsidRPr="002045F5">
              <w:rPr>
                <w:color w:val="000000"/>
                <w:sz w:val="22"/>
                <w:lang w:val="ru-RU"/>
              </w:rPr>
              <w:t xml:space="preserve"> </w:t>
            </w:r>
            <w:proofErr w:type="spellStart"/>
            <w:r w:rsidRPr="002045F5">
              <w:rPr>
                <w:sz w:val="22"/>
                <w:lang w:val="ru-RU"/>
              </w:rPr>
              <w:t>площею</w:t>
            </w:r>
            <w:proofErr w:type="spellEnd"/>
            <w:r w:rsidRPr="002045F5">
              <w:rPr>
                <w:sz w:val="22"/>
                <w:lang w:val="ru-RU"/>
              </w:rPr>
              <w:t xml:space="preserve"> 24894 </w:t>
            </w:r>
            <w:proofErr w:type="spellStart"/>
            <w:r w:rsidRPr="002045F5">
              <w:rPr>
                <w:sz w:val="22"/>
                <w:lang w:val="ru-RU"/>
              </w:rPr>
              <w:t>кв.м</w:t>
            </w:r>
            <w:proofErr w:type="spellEnd"/>
            <w:r w:rsidRPr="002045F5">
              <w:rPr>
                <w:color w:val="000000"/>
                <w:sz w:val="22"/>
                <w:lang w:val="ru-RU"/>
              </w:rPr>
              <w:t xml:space="preserve">, </w:t>
            </w:r>
            <w:proofErr w:type="spellStart"/>
            <w:r w:rsidRPr="002045F5">
              <w:rPr>
                <w:color w:val="000000"/>
                <w:sz w:val="22"/>
                <w:lang w:val="ru-RU"/>
              </w:rPr>
              <w:t>встановлення</w:t>
            </w:r>
            <w:proofErr w:type="spellEnd"/>
            <w:r w:rsidRPr="002045F5">
              <w:rPr>
                <w:color w:val="000000"/>
                <w:sz w:val="22"/>
                <w:lang w:val="ru-RU"/>
              </w:rPr>
              <w:t xml:space="preserve"> </w:t>
            </w:r>
            <w:proofErr w:type="spellStart"/>
            <w:r w:rsidRPr="002045F5">
              <w:rPr>
                <w:color w:val="000000"/>
                <w:sz w:val="22"/>
                <w:lang w:val="ru-RU"/>
              </w:rPr>
              <w:t>паркану</w:t>
            </w:r>
            <w:proofErr w:type="spellEnd"/>
            <w:r w:rsidRPr="002045F5">
              <w:rPr>
                <w:color w:val="000000"/>
                <w:sz w:val="22"/>
                <w:lang w:val="ru-RU"/>
              </w:rPr>
              <w:t xml:space="preserve"> </w:t>
            </w:r>
            <w:proofErr w:type="spellStart"/>
            <w:r w:rsidRPr="002045F5">
              <w:rPr>
                <w:color w:val="000000"/>
                <w:sz w:val="22"/>
                <w:lang w:val="ru-RU"/>
              </w:rPr>
              <w:t>навколо</w:t>
            </w:r>
            <w:proofErr w:type="spellEnd"/>
            <w:r w:rsidRPr="002045F5">
              <w:rPr>
                <w:color w:val="000000"/>
                <w:sz w:val="22"/>
                <w:lang w:val="ru-RU"/>
              </w:rPr>
              <w:t xml:space="preserve"> </w:t>
            </w:r>
            <w:proofErr w:type="spellStart"/>
            <w:r w:rsidRPr="002045F5">
              <w:rPr>
                <w:color w:val="000000"/>
                <w:sz w:val="22"/>
                <w:lang w:val="ru-RU"/>
              </w:rPr>
              <w:t>території</w:t>
            </w:r>
            <w:proofErr w:type="spellEnd"/>
            <w:r w:rsidRPr="002045F5">
              <w:rPr>
                <w:color w:val="000000"/>
                <w:sz w:val="22"/>
                <w:lang w:val="ru-RU"/>
              </w:rPr>
              <w:t xml:space="preserve">  </w:t>
            </w:r>
            <w:proofErr w:type="spellStart"/>
            <w:r w:rsidRPr="002045F5">
              <w:rPr>
                <w:color w:val="000000"/>
                <w:sz w:val="22"/>
                <w:lang w:val="ru-RU"/>
              </w:rPr>
              <w:t>Ліцею</w:t>
            </w:r>
            <w:proofErr w:type="spellEnd"/>
            <w:r w:rsidRPr="002045F5">
              <w:rPr>
                <w:color w:val="000000"/>
                <w:sz w:val="22"/>
                <w:lang w:val="ru-RU"/>
              </w:rPr>
              <w:t xml:space="preserve"> "ЮВЕНЕС" </w:t>
            </w:r>
            <w:proofErr w:type="spellStart"/>
            <w:r w:rsidRPr="002045F5">
              <w:rPr>
                <w:color w:val="000000"/>
                <w:sz w:val="22"/>
                <w:lang w:val="ru-RU"/>
              </w:rPr>
              <w:t>міста</w:t>
            </w:r>
            <w:proofErr w:type="spellEnd"/>
            <w:r w:rsidRPr="002045F5">
              <w:rPr>
                <w:color w:val="000000"/>
                <w:sz w:val="22"/>
                <w:lang w:val="ru-RU"/>
              </w:rPr>
              <w:t xml:space="preserve"> </w:t>
            </w:r>
            <w:proofErr w:type="spellStart"/>
            <w:r w:rsidRPr="002045F5">
              <w:rPr>
                <w:color w:val="000000"/>
                <w:sz w:val="22"/>
                <w:lang w:val="ru-RU"/>
              </w:rPr>
              <w:t>Сєвєродонецька</w:t>
            </w:r>
            <w:proofErr w:type="spellEnd"/>
            <w:r w:rsidRPr="002045F5">
              <w:rPr>
                <w:color w:val="000000"/>
                <w:sz w:val="22"/>
                <w:lang w:val="ru-RU"/>
              </w:rPr>
              <w:t xml:space="preserve"> </w:t>
            </w:r>
            <w:proofErr w:type="spellStart"/>
            <w:r w:rsidRPr="002045F5">
              <w:rPr>
                <w:color w:val="000000"/>
                <w:sz w:val="22"/>
                <w:lang w:val="ru-RU"/>
              </w:rPr>
              <w:t>Луганської</w:t>
            </w:r>
            <w:proofErr w:type="spellEnd"/>
            <w:r w:rsidRPr="002045F5">
              <w:rPr>
                <w:color w:val="000000"/>
                <w:sz w:val="22"/>
                <w:lang w:val="ru-RU"/>
              </w:rPr>
              <w:t xml:space="preserve"> </w:t>
            </w:r>
            <w:proofErr w:type="spellStart"/>
            <w:r w:rsidRPr="002045F5">
              <w:rPr>
                <w:color w:val="000000"/>
                <w:sz w:val="22"/>
                <w:lang w:val="ru-RU"/>
              </w:rPr>
              <w:t>області</w:t>
            </w:r>
            <w:proofErr w:type="spellEnd"/>
            <w:r w:rsidRPr="002045F5">
              <w:rPr>
                <w:color w:val="000000"/>
                <w:sz w:val="22"/>
                <w:lang w:val="ru-RU"/>
              </w:rPr>
              <w:t xml:space="preserve">, </w:t>
            </w:r>
            <w:proofErr w:type="spellStart"/>
            <w:r w:rsidRPr="002045F5">
              <w:rPr>
                <w:color w:val="000000"/>
                <w:sz w:val="22"/>
                <w:lang w:val="ru-RU"/>
              </w:rPr>
              <w:t>вул</w:t>
            </w:r>
            <w:proofErr w:type="spellEnd"/>
            <w:r w:rsidRPr="002045F5">
              <w:rPr>
                <w:color w:val="000000"/>
                <w:sz w:val="22"/>
                <w:lang w:val="ru-RU"/>
              </w:rPr>
              <w:t>. Курчатова, буд.34.</w:t>
            </w:r>
            <w:r w:rsidRPr="002045F5">
              <w:rPr>
                <w:rFonts w:eastAsia="Arial"/>
                <w:sz w:val="22"/>
              </w:rPr>
              <w:t xml:space="preserve"> Мешканці громади потребують отримання якісних освітніх послуг, які відповідають нормам сучасності.</w:t>
            </w:r>
          </w:p>
        </w:tc>
      </w:tr>
      <w:tr w:rsidR="00D75E8F" w:rsidRPr="002045F5" w:rsidTr="00E824C2">
        <w:trPr>
          <w:trHeight w:val="686"/>
        </w:trPr>
        <w:tc>
          <w:tcPr>
            <w:tcW w:w="2978" w:type="dxa"/>
            <w:shd w:val="clear" w:color="auto" w:fill="C6D9F1" w:themeFill="text2" w:themeFillTint="33"/>
            <w:vAlign w:val="center"/>
            <w:hideMark/>
          </w:tcPr>
          <w:p w:rsidR="00D75E8F" w:rsidRPr="002045F5" w:rsidRDefault="00D75E8F" w:rsidP="001013F3">
            <w:pPr>
              <w:rPr>
                <w:b/>
                <w:color w:val="000000"/>
                <w:sz w:val="22"/>
                <w:lang w:val="ru-RU"/>
              </w:rPr>
            </w:pPr>
            <w:proofErr w:type="spellStart"/>
            <w:r w:rsidRPr="002045F5">
              <w:rPr>
                <w:rFonts w:eastAsia="Calibri"/>
                <w:b/>
                <w:color w:val="000000"/>
                <w:sz w:val="22"/>
                <w:lang w:val="ru-RU"/>
              </w:rPr>
              <w:lastRenderedPageBreak/>
              <w:t>Очікувані</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якісні</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результати</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від</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реалізації</w:t>
            </w:r>
            <w:proofErr w:type="spellEnd"/>
            <w:r w:rsidRPr="002045F5">
              <w:rPr>
                <w:rFonts w:eastAsia="Calibri"/>
                <w:b/>
                <w:color w:val="000000"/>
                <w:sz w:val="22"/>
                <w:lang w:val="ru-RU"/>
              </w:rPr>
              <w:t xml:space="preserve"> проекту</w:t>
            </w:r>
          </w:p>
        </w:tc>
        <w:tc>
          <w:tcPr>
            <w:tcW w:w="6955" w:type="dxa"/>
            <w:gridSpan w:val="7"/>
            <w:shd w:val="clear" w:color="auto" w:fill="auto"/>
            <w:vAlign w:val="center"/>
            <w:hideMark/>
          </w:tcPr>
          <w:p w:rsidR="00D75E8F" w:rsidRPr="002045F5" w:rsidRDefault="00D75E8F" w:rsidP="000303D7">
            <w:pPr>
              <w:pStyle w:val="a7"/>
              <w:numPr>
                <w:ilvl w:val="0"/>
                <w:numId w:val="120"/>
              </w:numPr>
              <w:spacing w:line="276" w:lineRule="auto"/>
              <w:ind w:left="37" w:firstLine="323"/>
              <w:jc w:val="left"/>
              <w:rPr>
                <w:color w:val="000000"/>
                <w:sz w:val="22"/>
                <w:lang w:val="ru-RU"/>
              </w:rPr>
            </w:pPr>
            <w:proofErr w:type="spellStart"/>
            <w:r w:rsidRPr="002045F5">
              <w:rPr>
                <w:color w:val="000000"/>
                <w:sz w:val="22"/>
                <w:lang w:val="ru-RU"/>
              </w:rPr>
              <w:t>Створення</w:t>
            </w:r>
            <w:proofErr w:type="spellEnd"/>
            <w:r w:rsidRPr="002045F5">
              <w:rPr>
                <w:color w:val="000000"/>
                <w:sz w:val="22"/>
                <w:lang w:val="ru-RU"/>
              </w:rPr>
              <w:t xml:space="preserve"> </w:t>
            </w:r>
            <w:proofErr w:type="spellStart"/>
            <w:r w:rsidRPr="002045F5">
              <w:rPr>
                <w:color w:val="000000"/>
                <w:sz w:val="22"/>
                <w:lang w:val="ru-RU"/>
              </w:rPr>
              <w:t>належних</w:t>
            </w:r>
            <w:proofErr w:type="spellEnd"/>
            <w:r w:rsidRPr="002045F5">
              <w:rPr>
                <w:color w:val="000000"/>
                <w:sz w:val="22"/>
                <w:lang w:val="ru-RU"/>
              </w:rPr>
              <w:t xml:space="preserve"> </w:t>
            </w:r>
            <w:proofErr w:type="gramStart"/>
            <w:r w:rsidRPr="002045F5">
              <w:rPr>
                <w:color w:val="000000"/>
                <w:sz w:val="22"/>
                <w:lang w:val="ru-RU"/>
              </w:rPr>
              <w:t>умов  для</w:t>
            </w:r>
            <w:proofErr w:type="gramEnd"/>
            <w:r w:rsidRPr="002045F5">
              <w:rPr>
                <w:color w:val="000000"/>
                <w:sz w:val="22"/>
                <w:lang w:val="ru-RU"/>
              </w:rPr>
              <w:t xml:space="preserve"> </w:t>
            </w:r>
            <w:proofErr w:type="spellStart"/>
            <w:r w:rsidRPr="002045F5">
              <w:rPr>
                <w:color w:val="000000"/>
                <w:sz w:val="22"/>
                <w:lang w:val="ru-RU"/>
              </w:rPr>
              <w:t>навчання</w:t>
            </w:r>
            <w:proofErr w:type="spellEnd"/>
            <w:r w:rsidRPr="002045F5">
              <w:rPr>
                <w:color w:val="000000"/>
                <w:sz w:val="22"/>
                <w:lang w:val="ru-RU"/>
              </w:rPr>
              <w:t xml:space="preserve"> та </w:t>
            </w:r>
            <w:proofErr w:type="spellStart"/>
            <w:r w:rsidRPr="002045F5">
              <w:rPr>
                <w:color w:val="000000"/>
                <w:sz w:val="22"/>
                <w:lang w:val="ru-RU"/>
              </w:rPr>
              <w:t>відпочинку</w:t>
            </w:r>
            <w:proofErr w:type="spellEnd"/>
            <w:r w:rsidRPr="002045F5">
              <w:rPr>
                <w:color w:val="000000"/>
                <w:sz w:val="22"/>
                <w:lang w:val="ru-RU"/>
              </w:rPr>
              <w:t xml:space="preserve"> </w:t>
            </w:r>
            <w:proofErr w:type="spellStart"/>
            <w:r w:rsidRPr="002045F5">
              <w:rPr>
                <w:color w:val="000000"/>
                <w:sz w:val="22"/>
                <w:lang w:val="ru-RU"/>
              </w:rPr>
              <w:t>дітей</w:t>
            </w:r>
            <w:proofErr w:type="spellEnd"/>
            <w:r w:rsidRPr="002045F5">
              <w:rPr>
                <w:color w:val="000000"/>
                <w:sz w:val="22"/>
                <w:lang w:val="ru-RU"/>
              </w:rPr>
              <w:t xml:space="preserve">, </w:t>
            </w:r>
            <w:proofErr w:type="spellStart"/>
            <w:r w:rsidRPr="002045F5">
              <w:rPr>
                <w:color w:val="000000"/>
                <w:sz w:val="22"/>
                <w:lang w:val="ru-RU"/>
              </w:rPr>
              <w:t>працівників</w:t>
            </w:r>
            <w:proofErr w:type="spellEnd"/>
            <w:r w:rsidRPr="002045F5">
              <w:rPr>
                <w:color w:val="000000"/>
                <w:sz w:val="22"/>
                <w:lang w:val="ru-RU"/>
              </w:rPr>
              <w:t xml:space="preserve"> та </w:t>
            </w:r>
            <w:proofErr w:type="spellStart"/>
            <w:r w:rsidRPr="002045F5">
              <w:rPr>
                <w:color w:val="000000"/>
                <w:sz w:val="22"/>
                <w:lang w:val="ru-RU"/>
              </w:rPr>
              <w:t>мешканців</w:t>
            </w:r>
            <w:proofErr w:type="spellEnd"/>
            <w:r w:rsidRPr="002045F5">
              <w:rPr>
                <w:color w:val="000000"/>
                <w:sz w:val="22"/>
                <w:lang w:val="ru-RU"/>
              </w:rPr>
              <w:t xml:space="preserve"> </w:t>
            </w:r>
            <w:proofErr w:type="spellStart"/>
            <w:r w:rsidRPr="002045F5">
              <w:rPr>
                <w:color w:val="000000"/>
                <w:sz w:val="22"/>
                <w:lang w:val="ru-RU"/>
              </w:rPr>
              <w:t>мікрорайону</w:t>
            </w:r>
            <w:proofErr w:type="spellEnd"/>
            <w:r w:rsidRPr="002045F5">
              <w:rPr>
                <w:color w:val="000000"/>
                <w:sz w:val="22"/>
                <w:lang w:val="ru-RU"/>
              </w:rPr>
              <w:t xml:space="preserve">,  </w:t>
            </w:r>
            <w:proofErr w:type="spellStart"/>
            <w:r w:rsidRPr="002045F5">
              <w:rPr>
                <w:color w:val="000000"/>
                <w:sz w:val="22"/>
                <w:lang w:val="ru-RU"/>
              </w:rPr>
              <w:t>покращення</w:t>
            </w:r>
            <w:proofErr w:type="spellEnd"/>
            <w:r w:rsidRPr="002045F5">
              <w:rPr>
                <w:color w:val="000000"/>
                <w:sz w:val="22"/>
                <w:lang w:val="ru-RU"/>
              </w:rPr>
              <w:t xml:space="preserve"> </w:t>
            </w:r>
            <w:proofErr w:type="spellStart"/>
            <w:r w:rsidRPr="002045F5">
              <w:rPr>
                <w:color w:val="000000"/>
                <w:sz w:val="22"/>
                <w:lang w:val="ru-RU"/>
              </w:rPr>
              <w:t>здоров’я</w:t>
            </w:r>
            <w:proofErr w:type="spellEnd"/>
            <w:r w:rsidRPr="002045F5">
              <w:rPr>
                <w:color w:val="000000"/>
                <w:sz w:val="22"/>
                <w:lang w:val="ru-RU"/>
              </w:rPr>
              <w:t xml:space="preserve"> </w:t>
            </w:r>
            <w:proofErr w:type="spellStart"/>
            <w:r w:rsidRPr="002045F5">
              <w:rPr>
                <w:color w:val="000000"/>
                <w:sz w:val="22"/>
                <w:lang w:val="ru-RU"/>
              </w:rPr>
              <w:t>дітей</w:t>
            </w:r>
            <w:proofErr w:type="spellEnd"/>
            <w:r w:rsidRPr="002045F5">
              <w:rPr>
                <w:color w:val="000000"/>
                <w:sz w:val="22"/>
                <w:lang w:val="ru-RU"/>
              </w:rPr>
              <w:t xml:space="preserve"> та </w:t>
            </w:r>
            <w:proofErr w:type="spellStart"/>
            <w:r w:rsidRPr="002045F5">
              <w:rPr>
                <w:color w:val="000000"/>
                <w:sz w:val="22"/>
                <w:lang w:val="ru-RU"/>
              </w:rPr>
              <w:t>молоді</w:t>
            </w:r>
            <w:proofErr w:type="spellEnd"/>
            <w:r w:rsidRPr="002045F5">
              <w:rPr>
                <w:color w:val="000000"/>
                <w:sz w:val="22"/>
                <w:lang w:val="ru-RU"/>
              </w:rPr>
              <w:t xml:space="preserve">, </w:t>
            </w:r>
            <w:proofErr w:type="spellStart"/>
            <w:r w:rsidRPr="002045F5">
              <w:rPr>
                <w:color w:val="000000"/>
                <w:sz w:val="22"/>
                <w:lang w:val="ru-RU"/>
              </w:rPr>
              <w:t>залучення</w:t>
            </w:r>
            <w:proofErr w:type="spellEnd"/>
            <w:r w:rsidRPr="002045F5">
              <w:rPr>
                <w:color w:val="000000"/>
                <w:sz w:val="22"/>
                <w:lang w:val="ru-RU"/>
              </w:rPr>
              <w:t xml:space="preserve"> </w:t>
            </w:r>
            <w:proofErr w:type="spellStart"/>
            <w:r w:rsidRPr="002045F5">
              <w:rPr>
                <w:color w:val="000000"/>
                <w:sz w:val="22"/>
                <w:lang w:val="ru-RU"/>
              </w:rPr>
              <w:t>більшої</w:t>
            </w:r>
            <w:proofErr w:type="spellEnd"/>
            <w:r w:rsidRPr="002045F5">
              <w:rPr>
                <w:color w:val="000000"/>
                <w:sz w:val="22"/>
                <w:lang w:val="ru-RU"/>
              </w:rPr>
              <w:t xml:space="preserve"> </w:t>
            </w:r>
            <w:proofErr w:type="spellStart"/>
            <w:r w:rsidRPr="002045F5">
              <w:rPr>
                <w:color w:val="000000"/>
                <w:sz w:val="22"/>
                <w:lang w:val="ru-RU"/>
              </w:rPr>
              <w:t>кількості</w:t>
            </w:r>
            <w:proofErr w:type="spellEnd"/>
            <w:r w:rsidRPr="002045F5">
              <w:rPr>
                <w:color w:val="000000"/>
                <w:sz w:val="22"/>
                <w:lang w:val="ru-RU"/>
              </w:rPr>
              <w:t xml:space="preserve"> </w:t>
            </w:r>
            <w:proofErr w:type="spellStart"/>
            <w:r w:rsidRPr="002045F5">
              <w:rPr>
                <w:color w:val="000000"/>
                <w:sz w:val="22"/>
                <w:lang w:val="ru-RU"/>
              </w:rPr>
              <w:t>жителів</w:t>
            </w:r>
            <w:proofErr w:type="spellEnd"/>
            <w:r w:rsidRPr="002045F5">
              <w:rPr>
                <w:color w:val="000000"/>
                <w:sz w:val="22"/>
                <w:lang w:val="ru-RU"/>
              </w:rPr>
              <w:t xml:space="preserve"> </w:t>
            </w:r>
            <w:proofErr w:type="spellStart"/>
            <w:r w:rsidRPr="002045F5">
              <w:rPr>
                <w:color w:val="000000"/>
                <w:sz w:val="22"/>
                <w:lang w:val="ru-RU"/>
              </w:rPr>
              <w:t>міста</w:t>
            </w:r>
            <w:proofErr w:type="spellEnd"/>
            <w:r w:rsidRPr="002045F5">
              <w:rPr>
                <w:color w:val="000000"/>
                <w:sz w:val="22"/>
                <w:lang w:val="ru-RU"/>
              </w:rPr>
              <w:t xml:space="preserve"> до занять спортом, </w:t>
            </w:r>
            <w:proofErr w:type="spellStart"/>
            <w:r w:rsidRPr="002045F5">
              <w:rPr>
                <w:color w:val="000000"/>
                <w:sz w:val="22"/>
                <w:lang w:val="ru-RU"/>
              </w:rPr>
              <w:t>забезпечення</w:t>
            </w:r>
            <w:proofErr w:type="spellEnd"/>
            <w:r w:rsidRPr="002045F5">
              <w:rPr>
                <w:color w:val="000000"/>
                <w:sz w:val="22"/>
                <w:lang w:val="ru-RU"/>
              </w:rPr>
              <w:t xml:space="preserve"> </w:t>
            </w:r>
            <w:proofErr w:type="spellStart"/>
            <w:r w:rsidRPr="002045F5">
              <w:rPr>
                <w:color w:val="000000"/>
                <w:sz w:val="22"/>
                <w:lang w:val="ru-RU"/>
              </w:rPr>
              <w:t>зайнятості</w:t>
            </w:r>
            <w:proofErr w:type="spellEnd"/>
            <w:r w:rsidRPr="002045F5">
              <w:rPr>
                <w:color w:val="000000"/>
                <w:sz w:val="22"/>
                <w:lang w:val="ru-RU"/>
              </w:rPr>
              <w:t xml:space="preserve"> </w:t>
            </w:r>
            <w:proofErr w:type="spellStart"/>
            <w:r w:rsidRPr="002045F5">
              <w:rPr>
                <w:color w:val="000000"/>
                <w:sz w:val="22"/>
                <w:lang w:val="ru-RU"/>
              </w:rPr>
              <w:t>дітей</w:t>
            </w:r>
            <w:proofErr w:type="spellEnd"/>
            <w:r w:rsidRPr="002045F5">
              <w:rPr>
                <w:color w:val="000000"/>
                <w:sz w:val="22"/>
                <w:lang w:val="ru-RU"/>
              </w:rPr>
              <w:t xml:space="preserve"> у </w:t>
            </w:r>
            <w:proofErr w:type="spellStart"/>
            <w:r w:rsidRPr="002045F5">
              <w:rPr>
                <w:color w:val="000000"/>
                <w:sz w:val="22"/>
                <w:lang w:val="ru-RU"/>
              </w:rPr>
              <w:t>позаурочний</w:t>
            </w:r>
            <w:proofErr w:type="spellEnd"/>
            <w:r w:rsidRPr="002045F5">
              <w:rPr>
                <w:color w:val="000000"/>
                <w:sz w:val="22"/>
                <w:lang w:val="ru-RU"/>
              </w:rPr>
              <w:t xml:space="preserve"> час шляхом </w:t>
            </w:r>
            <w:proofErr w:type="spellStart"/>
            <w:r w:rsidRPr="002045F5">
              <w:rPr>
                <w:color w:val="000000"/>
                <w:sz w:val="22"/>
                <w:lang w:val="ru-RU"/>
              </w:rPr>
              <w:t>облаштування</w:t>
            </w:r>
            <w:proofErr w:type="spellEnd"/>
            <w:r w:rsidRPr="002045F5">
              <w:rPr>
                <w:color w:val="000000"/>
                <w:sz w:val="22"/>
                <w:lang w:val="ru-RU"/>
              </w:rPr>
              <w:t xml:space="preserve"> спортивного </w:t>
            </w:r>
            <w:proofErr w:type="spellStart"/>
            <w:r w:rsidRPr="002045F5">
              <w:rPr>
                <w:color w:val="000000"/>
                <w:sz w:val="22"/>
                <w:lang w:val="ru-RU"/>
              </w:rPr>
              <w:t>майданчика</w:t>
            </w:r>
            <w:proofErr w:type="spellEnd"/>
            <w:r w:rsidRPr="002045F5">
              <w:rPr>
                <w:color w:val="000000"/>
                <w:sz w:val="22"/>
                <w:lang w:val="ru-RU"/>
              </w:rPr>
              <w:t xml:space="preserve"> </w:t>
            </w:r>
            <w:proofErr w:type="spellStart"/>
            <w:r w:rsidRPr="002045F5">
              <w:rPr>
                <w:color w:val="000000"/>
                <w:sz w:val="22"/>
                <w:lang w:val="ru-RU"/>
              </w:rPr>
              <w:t>школи</w:t>
            </w:r>
            <w:proofErr w:type="spellEnd"/>
            <w:r w:rsidRPr="002045F5">
              <w:rPr>
                <w:color w:val="000000"/>
                <w:sz w:val="22"/>
                <w:lang w:val="ru-RU"/>
              </w:rPr>
              <w:t xml:space="preserve"> </w:t>
            </w:r>
            <w:proofErr w:type="spellStart"/>
            <w:r w:rsidRPr="002045F5">
              <w:rPr>
                <w:color w:val="000000"/>
                <w:sz w:val="22"/>
                <w:lang w:val="ru-RU"/>
              </w:rPr>
              <w:t>відповідно</w:t>
            </w:r>
            <w:proofErr w:type="spellEnd"/>
            <w:r w:rsidRPr="002045F5">
              <w:rPr>
                <w:color w:val="000000"/>
                <w:sz w:val="22"/>
                <w:lang w:val="ru-RU"/>
              </w:rPr>
              <w:t xml:space="preserve"> до </w:t>
            </w:r>
            <w:proofErr w:type="spellStart"/>
            <w:r w:rsidRPr="002045F5">
              <w:rPr>
                <w:color w:val="000000"/>
                <w:sz w:val="22"/>
                <w:lang w:val="ru-RU"/>
              </w:rPr>
              <w:t>санітарних</w:t>
            </w:r>
            <w:proofErr w:type="spellEnd"/>
            <w:r w:rsidRPr="002045F5">
              <w:rPr>
                <w:color w:val="000000"/>
                <w:sz w:val="22"/>
                <w:lang w:val="ru-RU"/>
              </w:rPr>
              <w:t xml:space="preserve"> норм.</w:t>
            </w:r>
          </w:p>
          <w:p w:rsidR="00D75E8F" w:rsidRPr="002045F5" w:rsidRDefault="00D75E8F" w:rsidP="000303D7">
            <w:pPr>
              <w:pStyle w:val="a7"/>
              <w:numPr>
                <w:ilvl w:val="0"/>
                <w:numId w:val="120"/>
              </w:numPr>
              <w:spacing w:line="276" w:lineRule="auto"/>
              <w:ind w:left="37" w:firstLine="323"/>
              <w:jc w:val="left"/>
              <w:rPr>
                <w:color w:val="000000"/>
                <w:sz w:val="22"/>
                <w:lang w:val="ru-RU"/>
              </w:rPr>
            </w:pPr>
            <w:proofErr w:type="spellStart"/>
            <w:r w:rsidRPr="002045F5">
              <w:rPr>
                <w:color w:val="000000"/>
                <w:sz w:val="22"/>
                <w:lang w:val="ru-RU"/>
              </w:rPr>
              <w:t>Створення</w:t>
            </w:r>
            <w:proofErr w:type="spellEnd"/>
            <w:r w:rsidRPr="002045F5">
              <w:rPr>
                <w:color w:val="000000"/>
                <w:sz w:val="22"/>
                <w:lang w:val="ru-RU"/>
              </w:rPr>
              <w:t xml:space="preserve"> умов для </w:t>
            </w:r>
            <w:proofErr w:type="spellStart"/>
            <w:r w:rsidRPr="002045F5">
              <w:rPr>
                <w:color w:val="000000"/>
                <w:sz w:val="22"/>
                <w:lang w:val="ru-RU"/>
              </w:rPr>
              <w:t>фізичного</w:t>
            </w:r>
            <w:proofErr w:type="spellEnd"/>
            <w:r w:rsidRPr="002045F5">
              <w:rPr>
                <w:color w:val="000000"/>
                <w:sz w:val="22"/>
                <w:lang w:val="ru-RU"/>
              </w:rPr>
              <w:t xml:space="preserve"> </w:t>
            </w:r>
            <w:proofErr w:type="spellStart"/>
            <w:r w:rsidRPr="002045F5">
              <w:rPr>
                <w:color w:val="000000"/>
                <w:sz w:val="22"/>
                <w:lang w:val="ru-RU"/>
              </w:rPr>
              <w:t>розвитку</w:t>
            </w:r>
            <w:proofErr w:type="spellEnd"/>
            <w:r w:rsidRPr="002045F5">
              <w:rPr>
                <w:color w:val="000000"/>
                <w:sz w:val="22"/>
                <w:lang w:val="ru-RU"/>
              </w:rPr>
              <w:t xml:space="preserve"> та </w:t>
            </w:r>
            <w:proofErr w:type="spellStart"/>
            <w:r w:rsidRPr="002045F5">
              <w:rPr>
                <w:color w:val="000000"/>
                <w:sz w:val="22"/>
                <w:lang w:val="ru-RU"/>
              </w:rPr>
              <w:t>відпочинку</w:t>
            </w:r>
            <w:proofErr w:type="spellEnd"/>
            <w:r w:rsidRPr="002045F5">
              <w:rPr>
                <w:color w:val="000000"/>
                <w:sz w:val="22"/>
                <w:lang w:val="ru-RU"/>
              </w:rPr>
              <w:t xml:space="preserve"> </w:t>
            </w:r>
            <w:proofErr w:type="spellStart"/>
            <w:r w:rsidRPr="002045F5">
              <w:rPr>
                <w:color w:val="000000"/>
                <w:sz w:val="22"/>
                <w:lang w:val="ru-RU"/>
              </w:rPr>
              <w:t>осіб</w:t>
            </w:r>
            <w:proofErr w:type="spellEnd"/>
            <w:r w:rsidRPr="002045F5">
              <w:rPr>
                <w:color w:val="000000"/>
                <w:sz w:val="22"/>
                <w:lang w:val="ru-RU"/>
              </w:rPr>
              <w:t xml:space="preserve"> з </w:t>
            </w:r>
            <w:proofErr w:type="spellStart"/>
            <w:r w:rsidRPr="002045F5">
              <w:rPr>
                <w:color w:val="000000"/>
                <w:sz w:val="22"/>
                <w:lang w:val="ru-RU"/>
              </w:rPr>
              <w:t>особливими</w:t>
            </w:r>
            <w:proofErr w:type="spellEnd"/>
            <w:r w:rsidRPr="002045F5">
              <w:rPr>
                <w:color w:val="000000"/>
                <w:sz w:val="22"/>
                <w:lang w:val="ru-RU"/>
              </w:rPr>
              <w:t xml:space="preserve"> потребами.</w:t>
            </w:r>
          </w:p>
          <w:p w:rsidR="00D75E8F" w:rsidRPr="002045F5" w:rsidRDefault="00D75E8F" w:rsidP="000303D7">
            <w:pPr>
              <w:pStyle w:val="a7"/>
              <w:numPr>
                <w:ilvl w:val="0"/>
                <w:numId w:val="120"/>
              </w:numPr>
              <w:spacing w:line="276" w:lineRule="auto"/>
              <w:ind w:left="37" w:firstLine="323"/>
              <w:jc w:val="left"/>
              <w:rPr>
                <w:color w:val="000000"/>
                <w:sz w:val="22"/>
                <w:lang w:val="ru-RU"/>
              </w:rPr>
            </w:pPr>
            <w:proofErr w:type="spellStart"/>
            <w:r w:rsidRPr="002045F5">
              <w:rPr>
                <w:color w:val="000000"/>
                <w:sz w:val="22"/>
                <w:lang w:val="ru-RU"/>
              </w:rPr>
              <w:t>Популяризація</w:t>
            </w:r>
            <w:proofErr w:type="spellEnd"/>
            <w:r w:rsidRPr="002045F5">
              <w:rPr>
                <w:color w:val="000000"/>
                <w:sz w:val="22"/>
                <w:lang w:val="ru-RU"/>
              </w:rPr>
              <w:t xml:space="preserve"> здорового способу </w:t>
            </w:r>
            <w:proofErr w:type="spellStart"/>
            <w:r w:rsidRPr="002045F5">
              <w:rPr>
                <w:color w:val="000000"/>
                <w:sz w:val="22"/>
                <w:lang w:val="ru-RU"/>
              </w:rPr>
              <w:t>життя</w:t>
            </w:r>
            <w:proofErr w:type="spellEnd"/>
            <w:r w:rsidRPr="002045F5">
              <w:rPr>
                <w:color w:val="000000"/>
                <w:sz w:val="22"/>
                <w:lang w:val="ru-RU"/>
              </w:rPr>
              <w:t xml:space="preserve"> шляхом </w:t>
            </w:r>
            <w:proofErr w:type="spellStart"/>
            <w:r w:rsidRPr="002045F5">
              <w:rPr>
                <w:color w:val="000000"/>
                <w:sz w:val="22"/>
                <w:lang w:val="ru-RU"/>
              </w:rPr>
              <w:t>проведення</w:t>
            </w:r>
            <w:proofErr w:type="spellEnd"/>
            <w:r w:rsidRPr="002045F5">
              <w:rPr>
                <w:color w:val="000000"/>
                <w:sz w:val="22"/>
                <w:lang w:val="ru-RU"/>
              </w:rPr>
              <w:t xml:space="preserve"> </w:t>
            </w:r>
            <w:proofErr w:type="spellStart"/>
            <w:r w:rsidRPr="002045F5">
              <w:rPr>
                <w:color w:val="000000"/>
                <w:sz w:val="22"/>
                <w:lang w:val="ru-RU"/>
              </w:rPr>
              <w:t>спортивних</w:t>
            </w:r>
            <w:proofErr w:type="spellEnd"/>
            <w:r w:rsidRPr="002045F5">
              <w:rPr>
                <w:color w:val="000000"/>
                <w:sz w:val="22"/>
                <w:lang w:val="ru-RU"/>
              </w:rPr>
              <w:t xml:space="preserve"> </w:t>
            </w:r>
            <w:proofErr w:type="spellStart"/>
            <w:r w:rsidRPr="002045F5">
              <w:rPr>
                <w:color w:val="000000"/>
                <w:sz w:val="22"/>
                <w:lang w:val="ru-RU"/>
              </w:rPr>
              <w:t>заходів</w:t>
            </w:r>
            <w:proofErr w:type="spellEnd"/>
            <w:r w:rsidRPr="002045F5">
              <w:rPr>
                <w:color w:val="000000"/>
                <w:sz w:val="22"/>
                <w:lang w:val="ru-RU"/>
              </w:rPr>
              <w:t xml:space="preserve">, </w:t>
            </w:r>
            <w:proofErr w:type="spellStart"/>
            <w:r w:rsidRPr="002045F5">
              <w:rPr>
                <w:color w:val="000000"/>
                <w:sz w:val="22"/>
                <w:lang w:val="ru-RU"/>
              </w:rPr>
              <w:t>створення</w:t>
            </w:r>
            <w:proofErr w:type="spellEnd"/>
            <w:r w:rsidRPr="002045F5">
              <w:rPr>
                <w:color w:val="000000"/>
                <w:sz w:val="22"/>
                <w:lang w:val="ru-RU"/>
              </w:rPr>
              <w:t xml:space="preserve"> </w:t>
            </w:r>
            <w:proofErr w:type="spellStart"/>
            <w:r w:rsidRPr="002045F5">
              <w:rPr>
                <w:color w:val="000000"/>
                <w:sz w:val="22"/>
                <w:lang w:val="ru-RU"/>
              </w:rPr>
              <w:t>інноваційного</w:t>
            </w:r>
            <w:proofErr w:type="spellEnd"/>
            <w:r w:rsidRPr="002045F5">
              <w:rPr>
                <w:color w:val="000000"/>
                <w:sz w:val="22"/>
                <w:lang w:val="ru-RU"/>
              </w:rPr>
              <w:t xml:space="preserve"> комплексу для занять </w:t>
            </w:r>
            <w:proofErr w:type="spellStart"/>
            <w:r w:rsidRPr="002045F5">
              <w:rPr>
                <w:color w:val="000000"/>
                <w:sz w:val="22"/>
                <w:lang w:val="ru-RU"/>
              </w:rPr>
              <w:t>фізкультурою</w:t>
            </w:r>
            <w:proofErr w:type="spellEnd"/>
            <w:r w:rsidRPr="002045F5">
              <w:rPr>
                <w:color w:val="000000"/>
                <w:sz w:val="22"/>
                <w:lang w:val="ru-RU"/>
              </w:rPr>
              <w:t xml:space="preserve"> та спортом. </w:t>
            </w:r>
          </w:p>
          <w:p w:rsidR="00D75E8F" w:rsidRPr="002045F5" w:rsidRDefault="00D75E8F" w:rsidP="000303D7">
            <w:pPr>
              <w:pStyle w:val="a7"/>
              <w:numPr>
                <w:ilvl w:val="0"/>
                <w:numId w:val="120"/>
              </w:numPr>
              <w:spacing w:line="276" w:lineRule="auto"/>
              <w:ind w:left="37" w:firstLine="323"/>
              <w:jc w:val="left"/>
              <w:rPr>
                <w:color w:val="000000"/>
                <w:sz w:val="22"/>
                <w:lang w:val="ru-RU"/>
              </w:rPr>
            </w:pPr>
            <w:proofErr w:type="spellStart"/>
            <w:r w:rsidRPr="002045F5">
              <w:rPr>
                <w:color w:val="000000"/>
                <w:sz w:val="22"/>
                <w:lang w:val="ru-RU"/>
              </w:rPr>
              <w:t>Створення</w:t>
            </w:r>
            <w:proofErr w:type="spellEnd"/>
            <w:r w:rsidRPr="002045F5">
              <w:rPr>
                <w:color w:val="000000"/>
                <w:sz w:val="22"/>
                <w:lang w:val="ru-RU"/>
              </w:rPr>
              <w:t xml:space="preserve"> умов для </w:t>
            </w:r>
            <w:proofErr w:type="spellStart"/>
            <w:r w:rsidRPr="002045F5">
              <w:rPr>
                <w:color w:val="000000"/>
                <w:sz w:val="22"/>
                <w:lang w:val="ru-RU"/>
              </w:rPr>
              <w:t>повернення</w:t>
            </w:r>
            <w:proofErr w:type="spellEnd"/>
            <w:r w:rsidRPr="002045F5">
              <w:rPr>
                <w:color w:val="000000"/>
                <w:sz w:val="22"/>
                <w:lang w:val="ru-RU"/>
              </w:rPr>
              <w:t xml:space="preserve"> ВПО до </w:t>
            </w:r>
            <w:proofErr w:type="spellStart"/>
            <w:r w:rsidRPr="002045F5">
              <w:rPr>
                <w:color w:val="000000"/>
                <w:sz w:val="22"/>
                <w:lang w:val="ru-RU"/>
              </w:rPr>
              <w:t>громади</w:t>
            </w:r>
            <w:proofErr w:type="spellEnd"/>
            <w:r w:rsidRPr="002045F5">
              <w:rPr>
                <w:color w:val="000000"/>
                <w:sz w:val="22"/>
                <w:lang w:val="ru-RU"/>
              </w:rPr>
              <w:t>.</w:t>
            </w:r>
          </w:p>
        </w:tc>
      </w:tr>
      <w:tr w:rsidR="00D75E8F" w:rsidRPr="002045F5" w:rsidTr="00E824C2">
        <w:trPr>
          <w:trHeight w:val="1299"/>
        </w:trPr>
        <w:tc>
          <w:tcPr>
            <w:tcW w:w="2978" w:type="dxa"/>
            <w:vMerge w:val="restart"/>
            <w:shd w:val="clear" w:color="auto" w:fill="C6D9F1" w:themeFill="text2" w:themeFillTint="33"/>
            <w:vAlign w:val="center"/>
            <w:hideMark/>
          </w:tcPr>
          <w:p w:rsidR="00D75E8F" w:rsidRPr="002045F5" w:rsidRDefault="00D75E8F" w:rsidP="001013F3">
            <w:pPr>
              <w:rPr>
                <w:b/>
                <w:color w:val="000000"/>
                <w:sz w:val="22"/>
              </w:rPr>
            </w:pPr>
            <w:r w:rsidRPr="002045F5">
              <w:rPr>
                <w:rFonts w:eastAsia="Calibri"/>
                <w:b/>
                <w:color w:val="000000"/>
                <w:sz w:val="22"/>
              </w:rPr>
              <w:t>Очікувані кількісні результати від реалізації проекту  (індикатори)</w:t>
            </w:r>
          </w:p>
        </w:tc>
        <w:tc>
          <w:tcPr>
            <w:tcW w:w="3685" w:type="dxa"/>
            <w:gridSpan w:val="3"/>
            <w:shd w:val="clear" w:color="auto" w:fill="auto"/>
            <w:vAlign w:val="center"/>
            <w:hideMark/>
          </w:tcPr>
          <w:p w:rsidR="00D75E8F" w:rsidRPr="002045F5" w:rsidRDefault="00D75E8F" w:rsidP="001013F3">
            <w:pPr>
              <w:rPr>
                <w:b/>
                <w:color w:val="000000"/>
                <w:sz w:val="22"/>
              </w:rPr>
            </w:pPr>
            <w:proofErr w:type="spellStart"/>
            <w:r w:rsidRPr="002045F5">
              <w:rPr>
                <w:rFonts w:eastAsia="Calibri"/>
                <w:b/>
                <w:color w:val="000000"/>
                <w:sz w:val="22"/>
                <w:lang w:val="ru-RU"/>
              </w:rPr>
              <w:t>Найменування</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показника</w:t>
            </w:r>
            <w:proofErr w:type="spellEnd"/>
          </w:p>
        </w:tc>
        <w:tc>
          <w:tcPr>
            <w:tcW w:w="1701" w:type="dxa"/>
            <w:gridSpan w:val="2"/>
            <w:shd w:val="clear" w:color="auto" w:fill="auto"/>
            <w:vAlign w:val="center"/>
            <w:hideMark/>
          </w:tcPr>
          <w:p w:rsidR="00D75E8F" w:rsidRPr="002045F5" w:rsidRDefault="00D75E8F" w:rsidP="001013F3">
            <w:pPr>
              <w:rPr>
                <w:b/>
                <w:color w:val="000000"/>
                <w:sz w:val="22"/>
              </w:rPr>
            </w:pPr>
            <w:proofErr w:type="spellStart"/>
            <w:r w:rsidRPr="002045F5">
              <w:rPr>
                <w:rFonts w:eastAsia="Calibri"/>
                <w:b/>
                <w:color w:val="000000"/>
                <w:sz w:val="22"/>
                <w:lang w:val="ru-RU"/>
              </w:rPr>
              <w:t>Одиниця</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вимірювання</w:t>
            </w:r>
            <w:proofErr w:type="spellEnd"/>
          </w:p>
        </w:tc>
        <w:tc>
          <w:tcPr>
            <w:tcW w:w="1569" w:type="dxa"/>
            <w:gridSpan w:val="2"/>
            <w:shd w:val="clear" w:color="auto" w:fill="auto"/>
            <w:vAlign w:val="center"/>
            <w:hideMark/>
          </w:tcPr>
          <w:p w:rsidR="00D75E8F" w:rsidRPr="002045F5" w:rsidRDefault="00D75E8F" w:rsidP="001013F3">
            <w:pPr>
              <w:rPr>
                <w:b/>
                <w:color w:val="000000"/>
                <w:sz w:val="22"/>
              </w:rPr>
            </w:pPr>
            <w:proofErr w:type="spellStart"/>
            <w:r w:rsidRPr="002045F5">
              <w:rPr>
                <w:rFonts w:eastAsia="Calibri"/>
                <w:b/>
                <w:color w:val="000000"/>
                <w:sz w:val="22"/>
                <w:lang w:val="ru-RU"/>
              </w:rPr>
              <w:t>Прогнозне</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цільове</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значення</w:t>
            </w:r>
            <w:proofErr w:type="spellEnd"/>
          </w:p>
        </w:tc>
      </w:tr>
      <w:tr w:rsidR="00E824C2" w:rsidRPr="002045F5" w:rsidTr="00E824C2">
        <w:trPr>
          <w:trHeight w:val="1448"/>
        </w:trPr>
        <w:tc>
          <w:tcPr>
            <w:tcW w:w="2978" w:type="dxa"/>
            <w:vMerge/>
            <w:shd w:val="clear" w:color="auto" w:fill="C6D9F1" w:themeFill="text2" w:themeFillTint="33"/>
            <w:vAlign w:val="center"/>
            <w:hideMark/>
          </w:tcPr>
          <w:p w:rsidR="00D75E8F" w:rsidRPr="002045F5" w:rsidRDefault="00D75E8F" w:rsidP="001013F3">
            <w:pPr>
              <w:rPr>
                <w:b/>
                <w:color w:val="000000"/>
                <w:sz w:val="22"/>
              </w:rPr>
            </w:pPr>
          </w:p>
        </w:tc>
        <w:tc>
          <w:tcPr>
            <w:tcW w:w="3685" w:type="dxa"/>
            <w:gridSpan w:val="3"/>
            <w:shd w:val="clear" w:color="auto" w:fill="auto"/>
            <w:hideMark/>
          </w:tcPr>
          <w:p w:rsidR="00D75E8F" w:rsidRPr="002045F5" w:rsidRDefault="00D75E8F" w:rsidP="001013F3">
            <w:pPr>
              <w:spacing w:line="276" w:lineRule="auto"/>
              <w:rPr>
                <w:color w:val="000000"/>
                <w:sz w:val="22"/>
              </w:rPr>
            </w:pPr>
            <w:r w:rsidRPr="002045F5">
              <w:rPr>
                <w:color w:val="000000"/>
                <w:sz w:val="22"/>
              </w:rPr>
              <w:t>Кількість здобувачів освіти. Кількість педагогічних працівників. Кількість мешканців прилеглих мікрорайонів.</w:t>
            </w:r>
          </w:p>
        </w:tc>
        <w:tc>
          <w:tcPr>
            <w:tcW w:w="1701" w:type="dxa"/>
            <w:gridSpan w:val="2"/>
            <w:shd w:val="clear" w:color="auto" w:fill="auto"/>
            <w:vAlign w:val="center"/>
            <w:hideMark/>
          </w:tcPr>
          <w:p w:rsidR="00D75E8F" w:rsidRPr="002045F5" w:rsidRDefault="00D75E8F" w:rsidP="001013F3">
            <w:pPr>
              <w:rPr>
                <w:color w:val="000000"/>
                <w:sz w:val="22"/>
              </w:rPr>
            </w:pPr>
            <w:r w:rsidRPr="002045F5">
              <w:rPr>
                <w:color w:val="000000"/>
                <w:sz w:val="22"/>
              </w:rPr>
              <w:t xml:space="preserve"> Осіб </w:t>
            </w:r>
          </w:p>
        </w:tc>
        <w:tc>
          <w:tcPr>
            <w:tcW w:w="1569" w:type="dxa"/>
            <w:gridSpan w:val="2"/>
            <w:shd w:val="clear" w:color="auto" w:fill="auto"/>
            <w:vAlign w:val="center"/>
            <w:hideMark/>
          </w:tcPr>
          <w:p w:rsidR="00D75E8F" w:rsidRPr="002045F5" w:rsidRDefault="00D75E8F" w:rsidP="001013F3">
            <w:pPr>
              <w:rPr>
                <w:color w:val="000000"/>
                <w:sz w:val="22"/>
                <w:lang w:val="ru-RU"/>
              </w:rPr>
            </w:pPr>
            <w:r w:rsidRPr="002045F5">
              <w:rPr>
                <w:color w:val="000000"/>
                <w:sz w:val="22"/>
                <w:lang w:val="ru-RU"/>
              </w:rPr>
              <w:t>4800</w:t>
            </w:r>
          </w:p>
        </w:tc>
      </w:tr>
      <w:tr w:rsidR="00E824C2" w:rsidRPr="002045F5" w:rsidTr="00E824C2">
        <w:trPr>
          <w:trHeight w:val="561"/>
        </w:trPr>
        <w:tc>
          <w:tcPr>
            <w:tcW w:w="2978" w:type="dxa"/>
            <w:vMerge/>
            <w:shd w:val="clear" w:color="auto" w:fill="C6D9F1" w:themeFill="text2" w:themeFillTint="33"/>
            <w:vAlign w:val="center"/>
          </w:tcPr>
          <w:p w:rsidR="00D75E8F" w:rsidRPr="002045F5" w:rsidRDefault="00D75E8F" w:rsidP="001013F3">
            <w:pPr>
              <w:rPr>
                <w:b/>
                <w:color w:val="000000"/>
                <w:sz w:val="22"/>
              </w:rPr>
            </w:pPr>
          </w:p>
        </w:tc>
        <w:tc>
          <w:tcPr>
            <w:tcW w:w="3685" w:type="dxa"/>
            <w:gridSpan w:val="3"/>
            <w:shd w:val="clear" w:color="auto" w:fill="auto"/>
          </w:tcPr>
          <w:p w:rsidR="00D75E8F" w:rsidRPr="002045F5" w:rsidRDefault="00D75E8F" w:rsidP="001013F3">
            <w:pPr>
              <w:spacing w:line="276" w:lineRule="auto"/>
              <w:rPr>
                <w:color w:val="000000"/>
                <w:sz w:val="22"/>
                <w:lang w:val="ru-RU"/>
              </w:rPr>
            </w:pPr>
            <w:proofErr w:type="spellStart"/>
            <w:proofErr w:type="gramStart"/>
            <w:r w:rsidRPr="002045F5">
              <w:rPr>
                <w:color w:val="000000"/>
                <w:sz w:val="22"/>
                <w:lang w:val="ru-RU"/>
              </w:rPr>
              <w:t>Кількість</w:t>
            </w:r>
            <w:proofErr w:type="spellEnd"/>
            <w:r w:rsidRPr="002045F5">
              <w:rPr>
                <w:color w:val="000000"/>
                <w:sz w:val="22"/>
                <w:lang w:val="ru-RU"/>
              </w:rPr>
              <w:t xml:space="preserve">  </w:t>
            </w:r>
            <w:proofErr w:type="spellStart"/>
            <w:r w:rsidRPr="002045F5">
              <w:rPr>
                <w:color w:val="000000"/>
                <w:sz w:val="22"/>
                <w:lang w:val="ru-RU"/>
              </w:rPr>
              <w:t>проведених</w:t>
            </w:r>
            <w:proofErr w:type="spellEnd"/>
            <w:proofErr w:type="gramEnd"/>
            <w:r w:rsidRPr="002045F5">
              <w:rPr>
                <w:color w:val="000000"/>
                <w:sz w:val="22"/>
                <w:lang w:val="ru-RU"/>
              </w:rPr>
              <w:t xml:space="preserve"> </w:t>
            </w:r>
            <w:proofErr w:type="spellStart"/>
            <w:r w:rsidRPr="002045F5">
              <w:rPr>
                <w:color w:val="000000"/>
                <w:sz w:val="22"/>
                <w:lang w:val="ru-RU"/>
              </w:rPr>
              <w:t>заходів</w:t>
            </w:r>
            <w:proofErr w:type="spellEnd"/>
            <w:r w:rsidRPr="002045F5">
              <w:rPr>
                <w:color w:val="000000"/>
                <w:sz w:val="22"/>
                <w:lang w:val="ru-RU"/>
              </w:rPr>
              <w:t xml:space="preserve"> за </w:t>
            </w:r>
            <w:proofErr w:type="spellStart"/>
            <w:r w:rsidRPr="002045F5">
              <w:rPr>
                <w:color w:val="000000"/>
                <w:sz w:val="22"/>
                <w:lang w:val="ru-RU"/>
              </w:rPr>
              <w:t>рік</w:t>
            </w:r>
            <w:proofErr w:type="spellEnd"/>
            <w:r w:rsidRPr="002045F5">
              <w:rPr>
                <w:color w:val="000000"/>
                <w:sz w:val="22"/>
                <w:lang w:val="ru-RU"/>
              </w:rPr>
              <w:t>.</w:t>
            </w:r>
          </w:p>
        </w:tc>
        <w:tc>
          <w:tcPr>
            <w:tcW w:w="1701" w:type="dxa"/>
            <w:gridSpan w:val="2"/>
            <w:shd w:val="clear" w:color="auto" w:fill="auto"/>
            <w:vAlign w:val="center"/>
          </w:tcPr>
          <w:p w:rsidR="00D75E8F" w:rsidRPr="002045F5" w:rsidRDefault="00D75E8F" w:rsidP="001013F3">
            <w:pPr>
              <w:rPr>
                <w:color w:val="000000"/>
                <w:sz w:val="22"/>
                <w:lang w:val="ru-RU"/>
              </w:rPr>
            </w:pPr>
            <w:proofErr w:type="spellStart"/>
            <w:r w:rsidRPr="002045F5">
              <w:rPr>
                <w:color w:val="000000"/>
                <w:sz w:val="22"/>
                <w:lang w:val="ru-RU"/>
              </w:rPr>
              <w:t>Одиниць</w:t>
            </w:r>
            <w:proofErr w:type="spellEnd"/>
            <w:r w:rsidRPr="002045F5">
              <w:rPr>
                <w:color w:val="000000"/>
                <w:sz w:val="22"/>
                <w:lang w:val="ru-RU"/>
              </w:rPr>
              <w:t xml:space="preserve"> </w:t>
            </w:r>
          </w:p>
        </w:tc>
        <w:tc>
          <w:tcPr>
            <w:tcW w:w="1569" w:type="dxa"/>
            <w:gridSpan w:val="2"/>
            <w:shd w:val="clear" w:color="auto" w:fill="auto"/>
            <w:vAlign w:val="center"/>
          </w:tcPr>
          <w:p w:rsidR="00D75E8F" w:rsidRPr="002045F5" w:rsidRDefault="00D75E8F" w:rsidP="001013F3">
            <w:pPr>
              <w:rPr>
                <w:color w:val="000000"/>
                <w:sz w:val="22"/>
                <w:lang w:val="ru-RU"/>
              </w:rPr>
            </w:pPr>
            <w:r w:rsidRPr="002045F5">
              <w:rPr>
                <w:color w:val="000000"/>
                <w:sz w:val="22"/>
                <w:lang w:val="ru-RU"/>
              </w:rPr>
              <w:t>80</w:t>
            </w:r>
          </w:p>
        </w:tc>
      </w:tr>
      <w:tr w:rsidR="00D75E8F" w:rsidRPr="002045F5" w:rsidTr="00E824C2">
        <w:trPr>
          <w:trHeight w:val="299"/>
        </w:trPr>
        <w:tc>
          <w:tcPr>
            <w:tcW w:w="2978" w:type="dxa"/>
            <w:shd w:val="clear" w:color="auto" w:fill="C6D9F1" w:themeFill="text2" w:themeFillTint="33"/>
            <w:vAlign w:val="center"/>
            <w:hideMark/>
          </w:tcPr>
          <w:p w:rsidR="00D75E8F" w:rsidRPr="002045F5" w:rsidRDefault="00D75E8F" w:rsidP="001013F3">
            <w:pPr>
              <w:rPr>
                <w:b/>
                <w:color w:val="000000"/>
                <w:sz w:val="22"/>
              </w:rPr>
            </w:pPr>
            <w:proofErr w:type="spellStart"/>
            <w:r w:rsidRPr="002045F5">
              <w:rPr>
                <w:rFonts w:eastAsia="Calibri"/>
                <w:b/>
                <w:color w:val="000000"/>
                <w:sz w:val="22"/>
                <w:lang w:val="ru-RU"/>
              </w:rPr>
              <w:t>Ключові</w:t>
            </w:r>
            <w:proofErr w:type="spellEnd"/>
            <w:r w:rsidRPr="002045F5">
              <w:rPr>
                <w:rFonts w:eastAsia="Calibri"/>
                <w:b/>
                <w:color w:val="000000"/>
                <w:sz w:val="22"/>
                <w:lang w:val="ru-RU"/>
              </w:rPr>
              <w:t xml:space="preserve"> заходи проекту:</w:t>
            </w:r>
          </w:p>
        </w:tc>
        <w:tc>
          <w:tcPr>
            <w:tcW w:w="6955" w:type="dxa"/>
            <w:gridSpan w:val="7"/>
            <w:shd w:val="clear" w:color="auto" w:fill="auto"/>
            <w:hideMark/>
          </w:tcPr>
          <w:p w:rsidR="00D75E8F" w:rsidRPr="002045F5" w:rsidRDefault="00D75E8F" w:rsidP="00817328">
            <w:pPr>
              <w:pStyle w:val="a7"/>
              <w:spacing w:line="276" w:lineRule="auto"/>
              <w:ind w:left="0"/>
              <w:contextualSpacing w:val="0"/>
              <w:jc w:val="left"/>
              <w:rPr>
                <w:sz w:val="22"/>
                <w:lang w:val="ru-RU"/>
              </w:rPr>
            </w:pPr>
            <w:r w:rsidRPr="002045F5">
              <w:rPr>
                <w:color w:val="000000"/>
                <w:sz w:val="22"/>
                <w:lang w:val="ru-RU"/>
              </w:rPr>
              <w:t xml:space="preserve">1. </w:t>
            </w:r>
            <w:proofErr w:type="spellStart"/>
            <w:r w:rsidRPr="002045F5">
              <w:rPr>
                <w:color w:val="000000"/>
                <w:sz w:val="22"/>
                <w:lang w:val="ru-RU"/>
              </w:rPr>
              <w:t>О</w:t>
            </w:r>
            <w:r w:rsidRPr="002045F5">
              <w:rPr>
                <w:sz w:val="22"/>
                <w:lang w:val="ru-RU"/>
              </w:rPr>
              <w:t>бстеження</w:t>
            </w:r>
            <w:proofErr w:type="spellEnd"/>
            <w:r w:rsidRPr="002045F5">
              <w:rPr>
                <w:sz w:val="22"/>
                <w:lang w:val="ru-RU"/>
              </w:rPr>
              <w:t xml:space="preserve"> стану </w:t>
            </w:r>
            <w:proofErr w:type="spellStart"/>
            <w:r w:rsidRPr="002045F5">
              <w:rPr>
                <w:sz w:val="22"/>
                <w:lang w:val="ru-RU"/>
              </w:rPr>
              <w:t>прилеглої</w:t>
            </w:r>
            <w:proofErr w:type="spellEnd"/>
            <w:r w:rsidRPr="002045F5">
              <w:rPr>
                <w:sz w:val="22"/>
                <w:lang w:val="ru-RU"/>
              </w:rPr>
              <w:t xml:space="preserve"> </w:t>
            </w:r>
            <w:proofErr w:type="spellStart"/>
            <w:r w:rsidRPr="002045F5">
              <w:rPr>
                <w:sz w:val="22"/>
                <w:lang w:val="ru-RU"/>
              </w:rPr>
              <w:t>території</w:t>
            </w:r>
            <w:proofErr w:type="spellEnd"/>
            <w:r w:rsidRPr="002045F5">
              <w:rPr>
                <w:sz w:val="22"/>
                <w:lang w:val="ru-RU"/>
              </w:rPr>
              <w:t xml:space="preserve"> </w:t>
            </w:r>
            <w:proofErr w:type="spellStart"/>
            <w:r w:rsidRPr="002045F5">
              <w:rPr>
                <w:sz w:val="22"/>
                <w:lang w:val="ru-RU"/>
              </w:rPr>
              <w:t>Ліцею</w:t>
            </w:r>
            <w:proofErr w:type="spellEnd"/>
            <w:r w:rsidRPr="002045F5">
              <w:rPr>
                <w:sz w:val="22"/>
                <w:lang w:val="ru-RU"/>
              </w:rPr>
              <w:t xml:space="preserve"> «ЮВЕНЕС», асфальтового та тротуарного </w:t>
            </w:r>
            <w:proofErr w:type="spellStart"/>
            <w:r w:rsidRPr="002045F5">
              <w:rPr>
                <w:sz w:val="22"/>
                <w:lang w:val="ru-RU"/>
              </w:rPr>
              <w:t>покриття</w:t>
            </w:r>
            <w:proofErr w:type="spellEnd"/>
            <w:r w:rsidRPr="002045F5">
              <w:rPr>
                <w:sz w:val="22"/>
                <w:lang w:val="ru-RU"/>
              </w:rPr>
              <w:t xml:space="preserve">, </w:t>
            </w:r>
            <w:proofErr w:type="spellStart"/>
            <w:r w:rsidRPr="002045F5">
              <w:rPr>
                <w:sz w:val="22"/>
                <w:lang w:val="ru-RU"/>
              </w:rPr>
              <w:t>спортивних</w:t>
            </w:r>
            <w:proofErr w:type="spellEnd"/>
            <w:r w:rsidRPr="002045F5">
              <w:rPr>
                <w:sz w:val="22"/>
                <w:lang w:val="ru-RU"/>
              </w:rPr>
              <w:t xml:space="preserve"> </w:t>
            </w:r>
            <w:proofErr w:type="spellStart"/>
            <w:r w:rsidRPr="002045F5">
              <w:rPr>
                <w:sz w:val="22"/>
                <w:lang w:val="ru-RU"/>
              </w:rPr>
              <w:t>майданчиків</w:t>
            </w:r>
            <w:proofErr w:type="spellEnd"/>
            <w:r w:rsidRPr="002045F5">
              <w:rPr>
                <w:sz w:val="22"/>
                <w:lang w:val="ru-RU"/>
              </w:rPr>
              <w:t xml:space="preserve">, </w:t>
            </w:r>
            <w:proofErr w:type="spellStart"/>
            <w:r w:rsidRPr="002045F5">
              <w:rPr>
                <w:sz w:val="22"/>
                <w:lang w:val="ru-RU"/>
              </w:rPr>
              <w:t>спортивних</w:t>
            </w:r>
            <w:proofErr w:type="spellEnd"/>
            <w:r w:rsidRPr="002045F5">
              <w:rPr>
                <w:sz w:val="22"/>
                <w:lang w:val="ru-RU"/>
              </w:rPr>
              <w:t xml:space="preserve"> </w:t>
            </w:r>
            <w:proofErr w:type="spellStart"/>
            <w:r w:rsidRPr="002045F5">
              <w:rPr>
                <w:sz w:val="22"/>
                <w:lang w:val="ru-RU"/>
              </w:rPr>
              <w:t>споруд</w:t>
            </w:r>
            <w:proofErr w:type="spellEnd"/>
            <w:r w:rsidRPr="002045F5">
              <w:rPr>
                <w:sz w:val="22"/>
                <w:lang w:val="ru-RU"/>
              </w:rPr>
              <w:t xml:space="preserve">, </w:t>
            </w:r>
            <w:proofErr w:type="spellStart"/>
            <w:r w:rsidRPr="002045F5">
              <w:rPr>
                <w:sz w:val="22"/>
                <w:lang w:val="ru-RU"/>
              </w:rPr>
              <w:t>паркану</w:t>
            </w:r>
            <w:proofErr w:type="spellEnd"/>
            <w:r w:rsidRPr="002045F5">
              <w:rPr>
                <w:sz w:val="22"/>
                <w:lang w:val="ru-RU"/>
              </w:rPr>
              <w:t xml:space="preserve">, </w:t>
            </w:r>
            <w:proofErr w:type="spellStart"/>
            <w:r w:rsidRPr="002045F5">
              <w:rPr>
                <w:sz w:val="22"/>
                <w:lang w:val="ru-RU"/>
              </w:rPr>
              <w:t>вуличного</w:t>
            </w:r>
            <w:proofErr w:type="spellEnd"/>
            <w:r w:rsidRPr="002045F5">
              <w:rPr>
                <w:sz w:val="22"/>
                <w:lang w:val="ru-RU"/>
              </w:rPr>
              <w:t xml:space="preserve"> </w:t>
            </w:r>
            <w:proofErr w:type="spellStart"/>
            <w:r w:rsidRPr="002045F5">
              <w:rPr>
                <w:sz w:val="22"/>
                <w:lang w:val="ru-RU"/>
              </w:rPr>
              <w:t>освітлення</w:t>
            </w:r>
            <w:proofErr w:type="spellEnd"/>
            <w:r w:rsidRPr="002045F5">
              <w:rPr>
                <w:sz w:val="22"/>
                <w:lang w:val="ru-RU"/>
              </w:rPr>
              <w:t xml:space="preserve"> на </w:t>
            </w:r>
            <w:proofErr w:type="spellStart"/>
            <w:r w:rsidRPr="002045F5">
              <w:rPr>
                <w:sz w:val="22"/>
                <w:lang w:val="ru-RU"/>
              </w:rPr>
              <w:t>площі</w:t>
            </w:r>
            <w:proofErr w:type="spellEnd"/>
            <w:r w:rsidRPr="002045F5">
              <w:rPr>
                <w:sz w:val="22"/>
                <w:lang w:val="ru-RU"/>
              </w:rPr>
              <w:t xml:space="preserve"> 24894 </w:t>
            </w:r>
            <w:proofErr w:type="spellStart"/>
            <w:r w:rsidRPr="002045F5">
              <w:rPr>
                <w:sz w:val="22"/>
                <w:lang w:val="ru-RU"/>
              </w:rPr>
              <w:t>кв.м</w:t>
            </w:r>
            <w:proofErr w:type="spellEnd"/>
            <w:r w:rsidRPr="002045F5">
              <w:rPr>
                <w:sz w:val="22"/>
                <w:lang w:val="ru-RU"/>
              </w:rPr>
              <w:t>.</w:t>
            </w:r>
          </w:p>
          <w:p w:rsidR="00D75E8F" w:rsidRPr="002045F5" w:rsidRDefault="00D75E8F" w:rsidP="00817328">
            <w:pPr>
              <w:pStyle w:val="a7"/>
              <w:spacing w:line="276" w:lineRule="auto"/>
              <w:ind w:left="0"/>
              <w:contextualSpacing w:val="0"/>
              <w:jc w:val="left"/>
              <w:rPr>
                <w:sz w:val="22"/>
                <w:lang w:val="ru-RU"/>
              </w:rPr>
            </w:pPr>
            <w:r w:rsidRPr="002045F5">
              <w:rPr>
                <w:sz w:val="22"/>
                <w:lang w:val="ru-RU"/>
              </w:rPr>
              <w:t xml:space="preserve">2. </w:t>
            </w:r>
            <w:proofErr w:type="spellStart"/>
            <w:r w:rsidRPr="002045F5">
              <w:rPr>
                <w:sz w:val="22"/>
                <w:lang w:val="ru-RU"/>
              </w:rPr>
              <w:t>Проведення</w:t>
            </w:r>
            <w:proofErr w:type="spellEnd"/>
            <w:r w:rsidRPr="002045F5">
              <w:rPr>
                <w:sz w:val="22"/>
                <w:lang w:val="ru-RU"/>
              </w:rPr>
              <w:t xml:space="preserve"> </w:t>
            </w:r>
            <w:proofErr w:type="spellStart"/>
            <w:r w:rsidRPr="002045F5">
              <w:rPr>
                <w:sz w:val="22"/>
                <w:lang w:val="ru-RU"/>
              </w:rPr>
              <w:t>інвентаризації</w:t>
            </w:r>
            <w:proofErr w:type="spellEnd"/>
            <w:r w:rsidRPr="002045F5">
              <w:rPr>
                <w:sz w:val="22"/>
                <w:lang w:val="ru-RU"/>
              </w:rPr>
              <w:t xml:space="preserve"> </w:t>
            </w:r>
            <w:proofErr w:type="spellStart"/>
            <w:r w:rsidRPr="002045F5">
              <w:rPr>
                <w:sz w:val="22"/>
                <w:lang w:val="ru-RU"/>
              </w:rPr>
              <w:t>основних</w:t>
            </w:r>
            <w:proofErr w:type="spellEnd"/>
            <w:r w:rsidRPr="002045F5">
              <w:rPr>
                <w:sz w:val="22"/>
                <w:lang w:val="ru-RU"/>
              </w:rPr>
              <w:t xml:space="preserve"> </w:t>
            </w:r>
            <w:proofErr w:type="spellStart"/>
            <w:r w:rsidRPr="002045F5">
              <w:rPr>
                <w:sz w:val="22"/>
                <w:lang w:val="ru-RU"/>
              </w:rPr>
              <w:t>засобів</w:t>
            </w:r>
            <w:proofErr w:type="spellEnd"/>
            <w:r w:rsidRPr="002045F5">
              <w:rPr>
                <w:sz w:val="22"/>
                <w:lang w:val="ru-RU"/>
              </w:rPr>
              <w:t>.</w:t>
            </w:r>
          </w:p>
          <w:p w:rsidR="00D75E8F" w:rsidRPr="002045F5" w:rsidRDefault="00D75E8F" w:rsidP="00817328">
            <w:pPr>
              <w:spacing w:line="276" w:lineRule="auto"/>
              <w:jc w:val="left"/>
              <w:rPr>
                <w:color w:val="000000"/>
                <w:sz w:val="22"/>
                <w:lang w:val="ru-RU"/>
              </w:rPr>
            </w:pPr>
            <w:r w:rsidRPr="002045F5">
              <w:rPr>
                <w:color w:val="000000"/>
                <w:sz w:val="22"/>
                <w:lang w:val="ru-RU"/>
              </w:rPr>
              <w:t xml:space="preserve">3. </w:t>
            </w:r>
            <w:proofErr w:type="spellStart"/>
            <w:r w:rsidRPr="002045F5">
              <w:rPr>
                <w:color w:val="000000"/>
                <w:sz w:val="22"/>
                <w:lang w:val="ru-RU"/>
              </w:rPr>
              <w:t>Утворення</w:t>
            </w:r>
            <w:proofErr w:type="spellEnd"/>
            <w:r w:rsidRPr="002045F5">
              <w:rPr>
                <w:color w:val="000000"/>
                <w:sz w:val="22"/>
                <w:lang w:val="ru-RU"/>
              </w:rPr>
              <w:t xml:space="preserve"> </w:t>
            </w:r>
            <w:proofErr w:type="spellStart"/>
            <w:r w:rsidRPr="002045F5">
              <w:rPr>
                <w:color w:val="000000"/>
                <w:sz w:val="22"/>
                <w:lang w:val="ru-RU"/>
              </w:rPr>
              <w:t>робочої</w:t>
            </w:r>
            <w:proofErr w:type="spellEnd"/>
            <w:r w:rsidRPr="002045F5">
              <w:rPr>
                <w:color w:val="000000"/>
                <w:sz w:val="22"/>
                <w:lang w:val="ru-RU"/>
              </w:rPr>
              <w:t xml:space="preserve"> </w:t>
            </w:r>
            <w:proofErr w:type="spellStart"/>
            <w:r w:rsidRPr="002045F5">
              <w:rPr>
                <w:color w:val="000000"/>
                <w:sz w:val="22"/>
                <w:lang w:val="ru-RU"/>
              </w:rPr>
              <w:t>групи</w:t>
            </w:r>
            <w:proofErr w:type="spellEnd"/>
            <w:r w:rsidRPr="002045F5">
              <w:rPr>
                <w:color w:val="000000"/>
                <w:sz w:val="22"/>
                <w:lang w:val="ru-RU"/>
              </w:rPr>
              <w:t xml:space="preserve"> для </w:t>
            </w:r>
            <w:proofErr w:type="spellStart"/>
            <w:r w:rsidRPr="002045F5">
              <w:rPr>
                <w:color w:val="000000"/>
                <w:sz w:val="22"/>
                <w:lang w:val="ru-RU"/>
              </w:rPr>
              <w:t>забезпечення</w:t>
            </w:r>
            <w:proofErr w:type="spellEnd"/>
            <w:r w:rsidRPr="002045F5">
              <w:rPr>
                <w:color w:val="000000"/>
                <w:sz w:val="22"/>
                <w:lang w:val="ru-RU"/>
              </w:rPr>
              <w:t xml:space="preserve"> </w:t>
            </w:r>
            <w:proofErr w:type="spellStart"/>
            <w:r w:rsidRPr="002045F5">
              <w:rPr>
                <w:color w:val="000000"/>
                <w:sz w:val="22"/>
                <w:lang w:val="ru-RU"/>
              </w:rPr>
              <w:t>належної</w:t>
            </w:r>
            <w:proofErr w:type="spellEnd"/>
            <w:r w:rsidRPr="002045F5">
              <w:rPr>
                <w:color w:val="000000"/>
                <w:sz w:val="22"/>
                <w:lang w:val="ru-RU"/>
              </w:rPr>
              <w:t xml:space="preserve"> </w:t>
            </w:r>
            <w:proofErr w:type="spellStart"/>
            <w:r w:rsidRPr="002045F5">
              <w:rPr>
                <w:color w:val="000000"/>
                <w:sz w:val="22"/>
                <w:lang w:val="ru-RU"/>
              </w:rPr>
              <w:t>організації</w:t>
            </w:r>
            <w:proofErr w:type="spellEnd"/>
            <w:r w:rsidRPr="002045F5">
              <w:rPr>
                <w:color w:val="000000"/>
                <w:sz w:val="22"/>
                <w:lang w:val="ru-RU"/>
              </w:rPr>
              <w:t xml:space="preserve"> </w:t>
            </w:r>
            <w:proofErr w:type="spellStart"/>
            <w:r w:rsidRPr="002045F5">
              <w:rPr>
                <w:color w:val="000000"/>
                <w:sz w:val="22"/>
                <w:lang w:val="ru-RU"/>
              </w:rPr>
              <w:t>виконання</w:t>
            </w:r>
            <w:proofErr w:type="spellEnd"/>
            <w:r w:rsidRPr="002045F5">
              <w:rPr>
                <w:color w:val="000000"/>
                <w:sz w:val="22"/>
                <w:lang w:val="ru-RU"/>
              </w:rPr>
              <w:t xml:space="preserve"> </w:t>
            </w:r>
            <w:proofErr w:type="spellStart"/>
            <w:r w:rsidRPr="002045F5">
              <w:rPr>
                <w:color w:val="000000"/>
                <w:sz w:val="22"/>
                <w:lang w:val="ru-RU"/>
              </w:rPr>
              <w:t>проєкту</w:t>
            </w:r>
            <w:proofErr w:type="spellEnd"/>
            <w:r w:rsidRPr="002045F5">
              <w:rPr>
                <w:color w:val="000000"/>
                <w:sz w:val="22"/>
                <w:lang w:val="ru-RU"/>
              </w:rPr>
              <w:t xml:space="preserve">.                                                                                                                                     4. </w:t>
            </w:r>
            <w:proofErr w:type="spellStart"/>
            <w:r w:rsidRPr="002045F5">
              <w:rPr>
                <w:color w:val="000000"/>
                <w:sz w:val="22"/>
                <w:lang w:val="ru-RU"/>
              </w:rPr>
              <w:t>Розробка</w:t>
            </w:r>
            <w:proofErr w:type="spellEnd"/>
            <w:r w:rsidRPr="002045F5">
              <w:rPr>
                <w:color w:val="000000"/>
                <w:sz w:val="22"/>
                <w:lang w:val="ru-RU"/>
              </w:rPr>
              <w:t xml:space="preserve"> </w:t>
            </w:r>
            <w:proofErr w:type="spellStart"/>
            <w:r w:rsidRPr="002045F5">
              <w:rPr>
                <w:color w:val="000000"/>
                <w:sz w:val="22"/>
                <w:lang w:val="ru-RU"/>
              </w:rPr>
              <w:t>проєктно-кошторисної</w:t>
            </w:r>
            <w:proofErr w:type="spellEnd"/>
            <w:r w:rsidRPr="002045F5">
              <w:rPr>
                <w:color w:val="000000"/>
                <w:sz w:val="22"/>
                <w:lang w:val="ru-RU"/>
              </w:rPr>
              <w:t xml:space="preserve"> </w:t>
            </w:r>
            <w:proofErr w:type="spellStart"/>
            <w:r w:rsidRPr="002045F5">
              <w:rPr>
                <w:color w:val="000000"/>
                <w:sz w:val="22"/>
                <w:lang w:val="ru-RU"/>
              </w:rPr>
              <w:t>документації</w:t>
            </w:r>
            <w:proofErr w:type="spellEnd"/>
            <w:r w:rsidRPr="002045F5">
              <w:rPr>
                <w:color w:val="000000"/>
                <w:sz w:val="22"/>
                <w:lang w:val="ru-RU"/>
              </w:rPr>
              <w:t>;</w:t>
            </w:r>
          </w:p>
          <w:p w:rsidR="00D75E8F" w:rsidRPr="002045F5" w:rsidRDefault="00D75E8F" w:rsidP="00817328">
            <w:pPr>
              <w:spacing w:line="276" w:lineRule="auto"/>
              <w:jc w:val="left"/>
              <w:rPr>
                <w:color w:val="000000"/>
                <w:sz w:val="22"/>
                <w:lang w:val="ru-RU"/>
              </w:rPr>
            </w:pPr>
            <w:r w:rsidRPr="002045F5">
              <w:rPr>
                <w:color w:val="000000"/>
                <w:sz w:val="22"/>
                <w:lang w:val="ru-RU"/>
              </w:rPr>
              <w:t xml:space="preserve">5. </w:t>
            </w:r>
            <w:proofErr w:type="spellStart"/>
            <w:r w:rsidRPr="002045F5">
              <w:rPr>
                <w:color w:val="000000"/>
                <w:sz w:val="22"/>
                <w:lang w:val="ru-RU"/>
              </w:rPr>
              <w:t>Проведення</w:t>
            </w:r>
            <w:proofErr w:type="spellEnd"/>
            <w:r w:rsidRPr="002045F5">
              <w:rPr>
                <w:color w:val="000000"/>
                <w:sz w:val="22"/>
                <w:lang w:val="ru-RU"/>
              </w:rPr>
              <w:t xml:space="preserve"> </w:t>
            </w:r>
            <w:proofErr w:type="spellStart"/>
            <w:r w:rsidRPr="002045F5">
              <w:rPr>
                <w:color w:val="000000"/>
                <w:sz w:val="22"/>
                <w:lang w:val="ru-RU"/>
              </w:rPr>
              <w:t>конкурсних</w:t>
            </w:r>
            <w:proofErr w:type="spellEnd"/>
            <w:r w:rsidRPr="002045F5">
              <w:rPr>
                <w:color w:val="000000"/>
                <w:sz w:val="22"/>
                <w:lang w:val="ru-RU"/>
              </w:rPr>
              <w:t xml:space="preserve"> </w:t>
            </w:r>
            <w:proofErr w:type="spellStart"/>
            <w:r w:rsidRPr="002045F5">
              <w:rPr>
                <w:color w:val="000000"/>
                <w:sz w:val="22"/>
                <w:lang w:val="ru-RU"/>
              </w:rPr>
              <w:t>торгів</w:t>
            </w:r>
            <w:proofErr w:type="spellEnd"/>
            <w:r w:rsidRPr="002045F5">
              <w:rPr>
                <w:color w:val="000000"/>
                <w:sz w:val="22"/>
                <w:lang w:val="ru-RU"/>
              </w:rPr>
              <w:t>.</w:t>
            </w:r>
          </w:p>
          <w:p w:rsidR="00D75E8F" w:rsidRPr="002045F5" w:rsidRDefault="00D75E8F" w:rsidP="00817328">
            <w:pPr>
              <w:spacing w:line="276" w:lineRule="auto"/>
              <w:jc w:val="left"/>
              <w:rPr>
                <w:color w:val="000000"/>
                <w:sz w:val="22"/>
                <w:lang w:val="ru-RU"/>
              </w:rPr>
            </w:pPr>
            <w:r w:rsidRPr="002045F5">
              <w:rPr>
                <w:color w:val="000000"/>
                <w:sz w:val="22"/>
                <w:lang w:val="ru-RU"/>
              </w:rPr>
              <w:t xml:space="preserve">6. </w:t>
            </w:r>
            <w:proofErr w:type="spellStart"/>
            <w:r w:rsidRPr="002045F5">
              <w:rPr>
                <w:color w:val="000000"/>
                <w:sz w:val="22"/>
                <w:lang w:val="ru-RU"/>
              </w:rPr>
              <w:t>Укладення</w:t>
            </w:r>
            <w:proofErr w:type="spellEnd"/>
            <w:r w:rsidRPr="002045F5">
              <w:rPr>
                <w:color w:val="000000"/>
                <w:sz w:val="22"/>
                <w:lang w:val="ru-RU"/>
              </w:rPr>
              <w:t xml:space="preserve"> </w:t>
            </w:r>
            <w:proofErr w:type="spellStart"/>
            <w:r w:rsidRPr="002045F5">
              <w:rPr>
                <w:color w:val="000000"/>
                <w:sz w:val="22"/>
                <w:lang w:val="ru-RU"/>
              </w:rPr>
              <w:t>договорів</w:t>
            </w:r>
            <w:proofErr w:type="spellEnd"/>
            <w:r w:rsidRPr="002045F5">
              <w:rPr>
                <w:color w:val="000000"/>
                <w:sz w:val="22"/>
                <w:lang w:val="ru-RU"/>
              </w:rPr>
              <w:t xml:space="preserve"> з </w:t>
            </w:r>
            <w:proofErr w:type="spellStart"/>
            <w:r w:rsidRPr="002045F5">
              <w:rPr>
                <w:color w:val="000000"/>
                <w:sz w:val="22"/>
                <w:lang w:val="ru-RU"/>
              </w:rPr>
              <w:t>підрядними</w:t>
            </w:r>
            <w:proofErr w:type="spellEnd"/>
            <w:r w:rsidRPr="002045F5">
              <w:rPr>
                <w:color w:val="000000"/>
                <w:sz w:val="22"/>
                <w:lang w:val="ru-RU"/>
              </w:rPr>
              <w:t xml:space="preserve"> </w:t>
            </w:r>
            <w:proofErr w:type="spellStart"/>
            <w:r w:rsidRPr="002045F5">
              <w:rPr>
                <w:color w:val="000000"/>
                <w:sz w:val="22"/>
                <w:lang w:val="ru-RU"/>
              </w:rPr>
              <w:t>організаціями</w:t>
            </w:r>
            <w:proofErr w:type="spellEnd"/>
            <w:r w:rsidRPr="002045F5">
              <w:rPr>
                <w:color w:val="000000"/>
                <w:sz w:val="22"/>
                <w:lang w:val="ru-RU"/>
              </w:rPr>
              <w:t xml:space="preserve">, </w:t>
            </w:r>
            <w:proofErr w:type="spellStart"/>
            <w:r w:rsidRPr="002045F5">
              <w:rPr>
                <w:color w:val="000000"/>
                <w:sz w:val="22"/>
                <w:lang w:val="ru-RU"/>
              </w:rPr>
              <w:t>постачальниками</w:t>
            </w:r>
            <w:proofErr w:type="spellEnd"/>
            <w:r w:rsidRPr="002045F5">
              <w:rPr>
                <w:color w:val="000000"/>
                <w:sz w:val="22"/>
                <w:lang w:val="ru-RU"/>
              </w:rPr>
              <w:t xml:space="preserve"> </w:t>
            </w:r>
            <w:proofErr w:type="spellStart"/>
            <w:r w:rsidRPr="002045F5">
              <w:rPr>
                <w:color w:val="000000"/>
                <w:sz w:val="22"/>
                <w:lang w:val="ru-RU"/>
              </w:rPr>
              <w:t>обладнання</w:t>
            </w:r>
            <w:proofErr w:type="spellEnd"/>
            <w:r w:rsidRPr="002045F5">
              <w:rPr>
                <w:color w:val="000000"/>
                <w:sz w:val="22"/>
                <w:lang w:val="ru-RU"/>
              </w:rPr>
              <w:t>.</w:t>
            </w:r>
          </w:p>
          <w:p w:rsidR="00D75E8F" w:rsidRPr="002045F5" w:rsidRDefault="00D75E8F" w:rsidP="00817328">
            <w:pPr>
              <w:spacing w:line="276" w:lineRule="auto"/>
              <w:jc w:val="left"/>
              <w:rPr>
                <w:color w:val="000000"/>
                <w:sz w:val="22"/>
                <w:lang w:val="ru-RU"/>
              </w:rPr>
            </w:pPr>
            <w:r w:rsidRPr="002045F5">
              <w:rPr>
                <w:color w:val="000000"/>
                <w:sz w:val="22"/>
                <w:lang w:val="ru-RU"/>
              </w:rPr>
              <w:t xml:space="preserve">7. </w:t>
            </w:r>
            <w:proofErr w:type="spellStart"/>
            <w:r w:rsidRPr="002045F5">
              <w:rPr>
                <w:color w:val="000000"/>
                <w:sz w:val="22"/>
                <w:lang w:val="ru-RU"/>
              </w:rPr>
              <w:t>Здійснення</w:t>
            </w:r>
            <w:proofErr w:type="spellEnd"/>
            <w:r w:rsidRPr="002045F5">
              <w:rPr>
                <w:color w:val="000000"/>
                <w:sz w:val="22"/>
                <w:lang w:val="ru-RU"/>
              </w:rPr>
              <w:t xml:space="preserve"> </w:t>
            </w:r>
            <w:proofErr w:type="spellStart"/>
            <w:r w:rsidRPr="002045F5">
              <w:rPr>
                <w:color w:val="000000"/>
                <w:sz w:val="22"/>
                <w:lang w:val="ru-RU"/>
              </w:rPr>
              <w:t>будівельних</w:t>
            </w:r>
            <w:proofErr w:type="spellEnd"/>
            <w:r w:rsidRPr="002045F5">
              <w:rPr>
                <w:color w:val="000000"/>
                <w:sz w:val="22"/>
                <w:lang w:val="ru-RU"/>
              </w:rPr>
              <w:t xml:space="preserve">, </w:t>
            </w:r>
            <w:proofErr w:type="spellStart"/>
            <w:r w:rsidRPr="002045F5">
              <w:rPr>
                <w:color w:val="000000"/>
                <w:sz w:val="22"/>
                <w:lang w:val="ru-RU"/>
              </w:rPr>
              <w:t>монтажних</w:t>
            </w:r>
            <w:proofErr w:type="spellEnd"/>
            <w:r w:rsidRPr="002045F5">
              <w:rPr>
                <w:color w:val="000000"/>
                <w:sz w:val="22"/>
                <w:lang w:val="ru-RU"/>
              </w:rPr>
              <w:t xml:space="preserve"> та </w:t>
            </w:r>
            <w:proofErr w:type="spellStart"/>
            <w:r w:rsidRPr="002045F5">
              <w:rPr>
                <w:color w:val="000000"/>
                <w:sz w:val="22"/>
                <w:lang w:val="ru-RU"/>
              </w:rPr>
              <w:t>пусконалагоджувальних</w:t>
            </w:r>
            <w:proofErr w:type="spellEnd"/>
            <w:r w:rsidRPr="002045F5">
              <w:rPr>
                <w:color w:val="000000"/>
                <w:sz w:val="22"/>
                <w:lang w:val="ru-RU"/>
              </w:rPr>
              <w:t xml:space="preserve"> </w:t>
            </w:r>
            <w:proofErr w:type="spellStart"/>
            <w:r w:rsidRPr="002045F5">
              <w:rPr>
                <w:color w:val="000000"/>
                <w:sz w:val="22"/>
                <w:lang w:val="ru-RU"/>
              </w:rPr>
              <w:t>робіт</w:t>
            </w:r>
            <w:proofErr w:type="spellEnd"/>
            <w:r w:rsidRPr="002045F5">
              <w:rPr>
                <w:color w:val="000000"/>
                <w:sz w:val="22"/>
                <w:lang w:val="ru-RU"/>
              </w:rPr>
              <w:t xml:space="preserve">:   </w:t>
            </w:r>
          </w:p>
          <w:p w:rsidR="00D75E8F" w:rsidRPr="002045F5" w:rsidRDefault="00D75E8F" w:rsidP="00817328">
            <w:pPr>
              <w:spacing w:line="276" w:lineRule="auto"/>
              <w:jc w:val="left"/>
              <w:rPr>
                <w:color w:val="000000"/>
                <w:sz w:val="22"/>
                <w:lang w:val="ru-RU"/>
              </w:rPr>
            </w:pPr>
            <w:r w:rsidRPr="002045F5">
              <w:rPr>
                <w:color w:val="000000"/>
                <w:sz w:val="22"/>
                <w:lang w:val="ru-RU"/>
              </w:rPr>
              <w:t xml:space="preserve">7.1.  Демонтаж </w:t>
            </w:r>
            <w:proofErr w:type="spellStart"/>
            <w:r w:rsidRPr="002045F5">
              <w:rPr>
                <w:color w:val="000000"/>
                <w:sz w:val="22"/>
                <w:lang w:val="ru-RU"/>
              </w:rPr>
              <w:t>пошкодженого</w:t>
            </w:r>
            <w:proofErr w:type="spellEnd"/>
            <w:r w:rsidRPr="002045F5">
              <w:rPr>
                <w:color w:val="000000"/>
                <w:sz w:val="22"/>
                <w:lang w:val="ru-RU"/>
              </w:rPr>
              <w:t xml:space="preserve"> </w:t>
            </w:r>
            <w:proofErr w:type="spellStart"/>
            <w:r w:rsidRPr="002045F5">
              <w:rPr>
                <w:color w:val="000000"/>
                <w:sz w:val="22"/>
                <w:lang w:val="ru-RU"/>
              </w:rPr>
              <w:t>обладнання</w:t>
            </w:r>
            <w:proofErr w:type="spellEnd"/>
            <w:r w:rsidRPr="002045F5">
              <w:rPr>
                <w:color w:val="000000"/>
                <w:sz w:val="22"/>
                <w:lang w:val="ru-RU"/>
              </w:rPr>
              <w:t xml:space="preserve"> та </w:t>
            </w:r>
            <w:proofErr w:type="spellStart"/>
            <w:r w:rsidRPr="002045F5">
              <w:rPr>
                <w:color w:val="000000"/>
                <w:sz w:val="22"/>
                <w:lang w:val="ru-RU"/>
              </w:rPr>
              <w:t>покриття</w:t>
            </w:r>
            <w:proofErr w:type="spellEnd"/>
            <w:r w:rsidRPr="002045F5">
              <w:rPr>
                <w:color w:val="000000"/>
                <w:sz w:val="22"/>
                <w:lang w:val="ru-RU"/>
              </w:rPr>
              <w:t>.</w:t>
            </w:r>
          </w:p>
          <w:p w:rsidR="00D75E8F" w:rsidRPr="002045F5" w:rsidRDefault="00D75E8F" w:rsidP="00817328">
            <w:pPr>
              <w:spacing w:line="276" w:lineRule="auto"/>
              <w:jc w:val="left"/>
              <w:rPr>
                <w:color w:val="000000"/>
                <w:sz w:val="22"/>
                <w:lang w:val="ru-RU"/>
              </w:rPr>
            </w:pPr>
            <w:r w:rsidRPr="002045F5">
              <w:rPr>
                <w:color w:val="000000"/>
                <w:sz w:val="22"/>
                <w:lang w:val="ru-RU"/>
              </w:rPr>
              <w:t>7.2. Монтаж футбольного поля.</w:t>
            </w:r>
          </w:p>
          <w:p w:rsidR="00D75E8F" w:rsidRPr="002045F5" w:rsidRDefault="00D75E8F" w:rsidP="00817328">
            <w:pPr>
              <w:spacing w:line="276" w:lineRule="auto"/>
              <w:jc w:val="left"/>
              <w:rPr>
                <w:color w:val="000000"/>
                <w:sz w:val="22"/>
                <w:lang w:val="ru-RU"/>
              </w:rPr>
            </w:pPr>
            <w:r w:rsidRPr="002045F5">
              <w:rPr>
                <w:color w:val="000000"/>
                <w:sz w:val="22"/>
                <w:lang w:val="ru-RU"/>
              </w:rPr>
              <w:t xml:space="preserve">7.3. </w:t>
            </w:r>
            <w:proofErr w:type="spellStart"/>
            <w:r w:rsidRPr="002045F5">
              <w:rPr>
                <w:color w:val="000000"/>
                <w:sz w:val="22"/>
                <w:lang w:val="ru-RU"/>
              </w:rPr>
              <w:t>Облаштування</w:t>
            </w:r>
            <w:proofErr w:type="spellEnd"/>
            <w:r w:rsidRPr="002045F5">
              <w:rPr>
                <w:color w:val="000000"/>
                <w:sz w:val="22"/>
                <w:lang w:val="ru-RU"/>
              </w:rPr>
              <w:t xml:space="preserve"> </w:t>
            </w:r>
            <w:proofErr w:type="spellStart"/>
            <w:r w:rsidRPr="002045F5">
              <w:rPr>
                <w:color w:val="000000"/>
                <w:sz w:val="22"/>
                <w:lang w:val="ru-RU"/>
              </w:rPr>
              <w:t>ями</w:t>
            </w:r>
            <w:proofErr w:type="spellEnd"/>
            <w:r w:rsidRPr="002045F5">
              <w:rPr>
                <w:color w:val="000000"/>
                <w:sz w:val="22"/>
                <w:lang w:val="ru-RU"/>
              </w:rPr>
              <w:t xml:space="preserve"> для </w:t>
            </w:r>
            <w:proofErr w:type="spellStart"/>
            <w:r w:rsidRPr="002045F5">
              <w:rPr>
                <w:color w:val="000000"/>
                <w:sz w:val="22"/>
                <w:lang w:val="ru-RU"/>
              </w:rPr>
              <w:t>стрибків</w:t>
            </w:r>
            <w:proofErr w:type="spellEnd"/>
            <w:r w:rsidRPr="002045F5">
              <w:rPr>
                <w:color w:val="000000"/>
                <w:sz w:val="22"/>
                <w:lang w:val="ru-RU"/>
              </w:rPr>
              <w:t xml:space="preserve">, </w:t>
            </w:r>
            <w:proofErr w:type="spellStart"/>
            <w:r w:rsidRPr="002045F5">
              <w:rPr>
                <w:color w:val="000000"/>
                <w:sz w:val="22"/>
                <w:lang w:val="ru-RU"/>
              </w:rPr>
              <w:t>бігової</w:t>
            </w:r>
            <w:proofErr w:type="spellEnd"/>
            <w:r w:rsidRPr="002045F5">
              <w:rPr>
                <w:color w:val="000000"/>
                <w:sz w:val="22"/>
                <w:lang w:val="ru-RU"/>
              </w:rPr>
              <w:t xml:space="preserve"> </w:t>
            </w:r>
            <w:proofErr w:type="spellStart"/>
            <w:r w:rsidRPr="002045F5">
              <w:rPr>
                <w:color w:val="000000"/>
                <w:sz w:val="22"/>
                <w:lang w:val="ru-RU"/>
              </w:rPr>
              <w:t>доріжки</w:t>
            </w:r>
            <w:proofErr w:type="spellEnd"/>
            <w:r w:rsidRPr="002045F5">
              <w:rPr>
                <w:color w:val="000000"/>
                <w:sz w:val="22"/>
                <w:lang w:val="ru-RU"/>
              </w:rPr>
              <w:t>.</w:t>
            </w:r>
          </w:p>
          <w:p w:rsidR="00D75E8F" w:rsidRPr="002045F5" w:rsidRDefault="00D75E8F" w:rsidP="00817328">
            <w:pPr>
              <w:spacing w:line="276" w:lineRule="auto"/>
              <w:jc w:val="left"/>
              <w:rPr>
                <w:color w:val="000000"/>
                <w:sz w:val="22"/>
                <w:lang w:val="ru-RU"/>
              </w:rPr>
            </w:pPr>
            <w:r w:rsidRPr="002045F5">
              <w:rPr>
                <w:color w:val="000000"/>
                <w:sz w:val="22"/>
                <w:lang w:val="ru-RU"/>
              </w:rPr>
              <w:t xml:space="preserve">7.4. Монтаж </w:t>
            </w:r>
            <w:proofErr w:type="spellStart"/>
            <w:r w:rsidRPr="002045F5">
              <w:rPr>
                <w:color w:val="000000"/>
                <w:sz w:val="22"/>
                <w:lang w:val="ru-RU"/>
              </w:rPr>
              <w:t>вуличних</w:t>
            </w:r>
            <w:proofErr w:type="spellEnd"/>
            <w:r w:rsidRPr="002045F5">
              <w:rPr>
                <w:color w:val="000000"/>
                <w:sz w:val="22"/>
                <w:lang w:val="ru-RU"/>
              </w:rPr>
              <w:t xml:space="preserve"> </w:t>
            </w:r>
            <w:proofErr w:type="spellStart"/>
            <w:r w:rsidRPr="002045F5">
              <w:rPr>
                <w:color w:val="000000"/>
                <w:sz w:val="22"/>
                <w:lang w:val="ru-RU"/>
              </w:rPr>
              <w:t>спортивних</w:t>
            </w:r>
            <w:proofErr w:type="spellEnd"/>
            <w:r w:rsidRPr="002045F5">
              <w:rPr>
                <w:color w:val="000000"/>
                <w:sz w:val="22"/>
                <w:lang w:val="ru-RU"/>
              </w:rPr>
              <w:t xml:space="preserve"> </w:t>
            </w:r>
            <w:proofErr w:type="spellStart"/>
            <w:r w:rsidRPr="002045F5">
              <w:rPr>
                <w:color w:val="000000"/>
                <w:sz w:val="22"/>
                <w:lang w:val="ru-RU"/>
              </w:rPr>
              <w:t>комплексів</w:t>
            </w:r>
            <w:proofErr w:type="spellEnd"/>
            <w:r w:rsidRPr="002045F5">
              <w:rPr>
                <w:color w:val="000000"/>
                <w:sz w:val="22"/>
                <w:lang w:val="ru-RU"/>
              </w:rPr>
              <w:t>.</w:t>
            </w:r>
          </w:p>
          <w:p w:rsidR="00D75E8F" w:rsidRPr="002045F5" w:rsidRDefault="00D75E8F" w:rsidP="00817328">
            <w:pPr>
              <w:spacing w:line="276" w:lineRule="auto"/>
              <w:jc w:val="left"/>
              <w:rPr>
                <w:color w:val="000000"/>
                <w:sz w:val="22"/>
                <w:lang w:val="ru-RU"/>
              </w:rPr>
            </w:pPr>
            <w:r w:rsidRPr="002045F5">
              <w:rPr>
                <w:color w:val="000000"/>
                <w:sz w:val="22"/>
                <w:lang w:val="ru-RU"/>
              </w:rPr>
              <w:t xml:space="preserve">7.5. Монтаж </w:t>
            </w:r>
            <w:proofErr w:type="spellStart"/>
            <w:r w:rsidRPr="002045F5">
              <w:rPr>
                <w:color w:val="000000"/>
                <w:sz w:val="22"/>
                <w:lang w:val="ru-RU"/>
              </w:rPr>
              <w:t>мультиспортивного</w:t>
            </w:r>
            <w:proofErr w:type="spellEnd"/>
            <w:r w:rsidRPr="002045F5">
              <w:rPr>
                <w:color w:val="000000"/>
                <w:sz w:val="22"/>
                <w:lang w:val="ru-RU"/>
              </w:rPr>
              <w:t xml:space="preserve"> поля.</w:t>
            </w:r>
          </w:p>
          <w:p w:rsidR="00D75E8F" w:rsidRPr="002045F5" w:rsidRDefault="00D75E8F" w:rsidP="00817328">
            <w:pPr>
              <w:spacing w:line="276" w:lineRule="auto"/>
              <w:jc w:val="left"/>
              <w:rPr>
                <w:color w:val="000000"/>
                <w:sz w:val="22"/>
                <w:lang w:val="ru-RU"/>
              </w:rPr>
            </w:pPr>
            <w:r w:rsidRPr="002045F5">
              <w:rPr>
                <w:color w:val="000000"/>
                <w:sz w:val="22"/>
                <w:lang w:val="ru-RU"/>
              </w:rPr>
              <w:lastRenderedPageBreak/>
              <w:t xml:space="preserve">7.6. </w:t>
            </w:r>
            <w:proofErr w:type="spellStart"/>
            <w:r w:rsidRPr="002045F5">
              <w:rPr>
                <w:color w:val="000000"/>
                <w:sz w:val="22"/>
                <w:lang w:val="ru-RU"/>
              </w:rPr>
              <w:t>Благоустрій</w:t>
            </w:r>
            <w:proofErr w:type="spellEnd"/>
            <w:r w:rsidRPr="002045F5">
              <w:rPr>
                <w:color w:val="000000"/>
                <w:sz w:val="22"/>
                <w:lang w:val="ru-RU"/>
              </w:rPr>
              <w:t xml:space="preserve"> території.                                                                                                                                                                   7.7. Демонтаж </w:t>
            </w:r>
            <w:proofErr w:type="spellStart"/>
            <w:r w:rsidRPr="002045F5">
              <w:rPr>
                <w:color w:val="000000"/>
                <w:sz w:val="22"/>
                <w:lang w:val="ru-RU"/>
              </w:rPr>
              <w:t>залишків</w:t>
            </w:r>
            <w:proofErr w:type="spellEnd"/>
            <w:r w:rsidRPr="002045F5">
              <w:rPr>
                <w:color w:val="000000"/>
                <w:sz w:val="22"/>
                <w:lang w:val="ru-RU"/>
              </w:rPr>
              <w:t xml:space="preserve"> </w:t>
            </w:r>
            <w:proofErr w:type="spellStart"/>
            <w:r w:rsidRPr="002045F5">
              <w:rPr>
                <w:color w:val="000000"/>
                <w:sz w:val="22"/>
                <w:lang w:val="ru-RU"/>
              </w:rPr>
              <w:t>зруйнованого</w:t>
            </w:r>
            <w:proofErr w:type="spellEnd"/>
            <w:r w:rsidRPr="002045F5">
              <w:rPr>
                <w:color w:val="000000"/>
                <w:sz w:val="22"/>
                <w:lang w:val="ru-RU"/>
              </w:rPr>
              <w:t xml:space="preserve"> </w:t>
            </w:r>
            <w:proofErr w:type="spellStart"/>
            <w:r w:rsidRPr="002045F5">
              <w:rPr>
                <w:color w:val="000000"/>
                <w:sz w:val="22"/>
                <w:lang w:val="ru-RU"/>
              </w:rPr>
              <w:t>паркану</w:t>
            </w:r>
            <w:proofErr w:type="spellEnd"/>
            <w:r w:rsidRPr="002045F5">
              <w:rPr>
                <w:color w:val="000000"/>
                <w:sz w:val="22"/>
                <w:lang w:val="ru-RU"/>
              </w:rPr>
              <w:t xml:space="preserve">. </w:t>
            </w:r>
          </w:p>
          <w:p w:rsidR="00D75E8F" w:rsidRPr="002045F5" w:rsidRDefault="00D75E8F" w:rsidP="00817328">
            <w:pPr>
              <w:spacing w:line="276" w:lineRule="auto"/>
              <w:jc w:val="left"/>
              <w:rPr>
                <w:color w:val="000000"/>
                <w:sz w:val="22"/>
                <w:lang w:val="ru-RU"/>
              </w:rPr>
            </w:pPr>
            <w:r w:rsidRPr="002045F5">
              <w:rPr>
                <w:color w:val="000000"/>
                <w:sz w:val="22"/>
                <w:lang w:val="ru-RU"/>
              </w:rPr>
              <w:t xml:space="preserve">7.8. Монтаж нового </w:t>
            </w:r>
            <w:proofErr w:type="spellStart"/>
            <w:r w:rsidRPr="002045F5">
              <w:rPr>
                <w:color w:val="000000"/>
                <w:sz w:val="22"/>
                <w:lang w:val="ru-RU"/>
              </w:rPr>
              <w:t>паркану</w:t>
            </w:r>
            <w:proofErr w:type="spellEnd"/>
            <w:r w:rsidRPr="002045F5">
              <w:rPr>
                <w:color w:val="000000"/>
                <w:sz w:val="22"/>
                <w:lang w:val="ru-RU"/>
              </w:rPr>
              <w:t xml:space="preserve">.                                                                                                        7.9. Ремонт та </w:t>
            </w:r>
            <w:proofErr w:type="spellStart"/>
            <w:r w:rsidRPr="002045F5">
              <w:rPr>
                <w:color w:val="000000"/>
                <w:sz w:val="22"/>
                <w:lang w:val="ru-RU"/>
              </w:rPr>
              <w:t>відновлення</w:t>
            </w:r>
            <w:proofErr w:type="spellEnd"/>
            <w:r w:rsidRPr="002045F5">
              <w:rPr>
                <w:color w:val="000000"/>
                <w:sz w:val="22"/>
                <w:lang w:val="ru-RU"/>
              </w:rPr>
              <w:t xml:space="preserve"> </w:t>
            </w:r>
            <w:proofErr w:type="spellStart"/>
            <w:r w:rsidRPr="002045F5">
              <w:rPr>
                <w:color w:val="000000"/>
                <w:sz w:val="22"/>
                <w:lang w:val="ru-RU"/>
              </w:rPr>
              <w:t>вуличного</w:t>
            </w:r>
            <w:proofErr w:type="spellEnd"/>
            <w:r w:rsidRPr="002045F5">
              <w:rPr>
                <w:color w:val="000000"/>
                <w:sz w:val="22"/>
                <w:lang w:val="ru-RU"/>
              </w:rPr>
              <w:t xml:space="preserve"> </w:t>
            </w:r>
            <w:proofErr w:type="spellStart"/>
            <w:r w:rsidRPr="002045F5">
              <w:rPr>
                <w:color w:val="000000"/>
                <w:sz w:val="22"/>
                <w:lang w:val="ru-RU"/>
              </w:rPr>
              <w:t>освітлення</w:t>
            </w:r>
            <w:proofErr w:type="spellEnd"/>
            <w:r w:rsidRPr="002045F5">
              <w:rPr>
                <w:color w:val="000000"/>
                <w:sz w:val="22"/>
                <w:lang w:val="ru-RU"/>
              </w:rPr>
              <w:t xml:space="preserve"> </w:t>
            </w:r>
            <w:proofErr w:type="spellStart"/>
            <w:r w:rsidRPr="002045F5">
              <w:rPr>
                <w:color w:val="000000"/>
                <w:sz w:val="22"/>
                <w:lang w:val="ru-RU"/>
              </w:rPr>
              <w:t>території</w:t>
            </w:r>
            <w:proofErr w:type="spellEnd"/>
            <w:r w:rsidRPr="002045F5">
              <w:rPr>
                <w:color w:val="000000"/>
                <w:sz w:val="22"/>
                <w:lang w:val="ru-RU"/>
              </w:rPr>
              <w:t xml:space="preserve">.                                                                                                                                                                                                                                                                         8. </w:t>
            </w:r>
            <w:proofErr w:type="spellStart"/>
            <w:r w:rsidRPr="002045F5">
              <w:rPr>
                <w:color w:val="000000"/>
                <w:sz w:val="22"/>
                <w:lang w:val="ru-RU"/>
              </w:rPr>
              <w:t>Оформлення</w:t>
            </w:r>
            <w:proofErr w:type="spellEnd"/>
            <w:r w:rsidRPr="002045F5">
              <w:rPr>
                <w:color w:val="000000"/>
                <w:sz w:val="22"/>
                <w:lang w:val="ru-RU"/>
              </w:rPr>
              <w:t xml:space="preserve"> </w:t>
            </w:r>
            <w:proofErr w:type="spellStart"/>
            <w:r w:rsidRPr="002045F5">
              <w:rPr>
                <w:color w:val="000000"/>
                <w:sz w:val="22"/>
                <w:lang w:val="ru-RU"/>
              </w:rPr>
              <w:t>документації</w:t>
            </w:r>
            <w:proofErr w:type="spellEnd"/>
            <w:r w:rsidRPr="002045F5">
              <w:rPr>
                <w:color w:val="000000"/>
                <w:sz w:val="22"/>
                <w:lang w:val="ru-RU"/>
              </w:rPr>
              <w:t xml:space="preserve"> </w:t>
            </w:r>
            <w:proofErr w:type="spellStart"/>
            <w:r w:rsidRPr="002045F5">
              <w:rPr>
                <w:color w:val="000000"/>
                <w:sz w:val="22"/>
                <w:lang w:val="ru-RU"/>
              </w:rPr>
              <w:t>щодо</w:t>
            </w:r>
            <w:proofErr w:type="spellEnd"/>
            <w:r w:rsidRPr="002045F5">
              <w:rPr>
                <w:color w:val="000000"/>
                <w:sz w:val="22"/>
                <w:lang w:val="ru-RU"/>
              </w:rPr>
              <w:t xml:space="preserve"> </w:t>
            </w:r>
            <w:proofErr w:type="spellStart"/>
            <w:r w:rsidRPr="002045F5">
              <w:rPr>
                <w:color w:val="000000"/>
                <w:sz w:val="22"/>
                <w:lang w:val="ru-RU"/>
              </w:rPr>
              <w:t>виконаних</w:t>
            </w:r>
            <w:proofErr w:type="spellEnd"/>
            <w:r w:rsidRPr="002045F5">
              <w:rPr>
                <w:color w:val="000000"/>
                <w:sz w:val="22"/>
                <w:lang w:val="ru-RU"/>
              </w:rPr>
              <w:t xml:space="preserve"> </w:t>
            </w:r>
            <w:proofErr w:type="spellStart"/>
            <w:r w:rsidRPr="002045F5">
              <w:rPr>
                <w:color w:val="000000"/>
                <w:sz w:val="22"/>
                <w:lang w:val="ru-RU"/>
              </w:rPr>
              <w:t>робіт</w:t>
            </w:r>
            <w:proofErr w:type="spellEnd"/>
            <w:r w:rsidRPr="002045F5">
              <w:rPr>
                <w:color w:val="000000"/>
                <w:sz w:val="22"/>
                <w:lang w:val="ru-RU"/>
              </w:rPr>
              <w:t xml:space="preserve"> та </w:t>
            </w:r>
            <w:proofErr w:type="spellStart"/>
            <w:r w:rsidRPr="002045F5">
              <w:rPr>
                <w:color w:val="000000"/>
                <w:sz w:val="22"/>
                <w:lang w:val="ru-RU"/>
              </w:rPr>
              <w:t>їх</w:t>
            </w:r>
            <w:proofErr w:type="spellEnd"/>
            <w:r w:rsidRPr="002045F5">
              <w:rPr>
                <w:color w:val="000000"/>
                <w:sz w:val="22"/>
                <w:lang w:val="ru-RU"/>
              </w:rPr>
              <w:t xml:space="preserve"> оплата.</w:t>
            </w:r>
          </w:p>
          <w:p w:rsidR="00D75E8F" w:rsidRPr="002045F5" w:rsidRDefault="00D75E8F" w:rsidP="00817328">
            <w:pPr>
              <w:spacing w:line="276" w:lineRule="auto"/>
              <w:jc w:val="left"/>
              <w:rPr>
                <w:color w:val="000000"/>
                <w:sz w:val="22"/>
                <w:lang w:val="ru-RU"/>
              </w:rPr>
            </w:pPr>
            <w:r w:rsidRPr="002045F5">
              <w:rPr>
                <w:color w:val="000000"/>
                <w:sz w:val="22"/>
                <w:lang w:val="ru-RU"/>
              </w:rPr>
              <w:t xml:space="preserve">9. </w:t>
            </w:r>
            <w:proofErr w:type="spellStart"/>
            <w:r w:rsidRPr="002045F5">
              <w:rPr>
                <w:color w:val="000000"/>
                <w:sz w:val="22"/>
                <w:lang w:val="ru-RU"/>
              </w:rPr>
              <w:t>Введення</w:t>
            </w:r>
            <w:proofErr w:type="spellEnd"/>
            <w:r w:rsidRPr="002045F5">
              <w:rPr>
                <w:color w:val="000000"/>
                <w:sz w:val="22"/>
                <w:lang w:val="ru-RU"/>
              </w:rPr>
              <w:t xml:space="preserve"> на </w:t>
            </w:r>
            <w:proofErr w:type="spellStart"/>
            <w:r w:rsidRPr="002045F5">
              <w:rPr>
                <w:color w:val="000000"/>
                <w:sz w:val="22"/>
                <w:lang w:val="ru-RU"/>
              </w:rPr>
              <w:t>території</w:t>
            </w:r>
            <w:proofErr w:type="spellEnd"/>
            <w:r w:rsidRPr="002045F5">
              <w:rPr>
                <w:color w:val="000000"/>
                <w:sz w:val="22"/>
                <w:lang w:val="ru-RU"/>
              </w:rPr>
              <w:t xml:space="preserve"> </w:t>
            </w:r>
            <w:proofErr w:type="spellStart"/>
            <w:r w:rsidRPr="002045F5">
              <w:rPr>
                <w:color w:val="000000"/>
                <w:sz w:val="22"/>
                <w:lang w:val="ru-RU"/>
              </w:rPr>
              <w:t>Ліцею</w:t>
            </w:r>
            <w:proofErr w:type="spellEnd"/>
            <w:r w:rsidRPr="002045F5">
              <w:rPr>
                <w:color w:val="000000"/>
                <w:sz w:val="22"/>
                <w:lang w:val="ru-RU"/>
              </w:rPr>
              <w:t xml:space="preserve"> «ЮВЕНЕС» </w:t>
            </w:r>
            <w:proofErr w:type="spellStart"/>
            <w:r w:rsidRPr="002045F5">
              <w:rPr>
                <w:color w:val="000000"/>
                <w:sz w:val="22"/>
                <w:lang w:val="ru-RU"/>
              </w:rPr>
              <w:t>об`єктів</w:t>
            </w:r>
            <w:proofErr w:type="spellEnd"/>
            <w:r w:rsidRPr="002045F5">
              <w:rPr>
                <w:color w:val="000000"/>
                <w:sz w:val="22"/>
                <w:lang w:val="ru-RU"/>
              </w:rPr>
              <w:t xml:space="preserve"> в </w:t>
            </w:r>
            <w:proofErr w:type="spellStart"/>
            <w:r w:rsidRPr="002045F5">
              <w:rPr>
                <w:color w:val="000000"/>
                <w:sz w:val="22"/>
                <w:lang w:val="ru-RU"/>
              </w:rPr>
              <w:t>експлуатацію</w:t>
            </w:r>
            <w:proofErr w:type="spellEnd"/>
            <w:r w:rsidRPr="002045F5">
              <w:rPr>
                <w:color w:val="000000"/>
                <w:sz w:val="22"/>
                <w:lang w:val="ru-RU"/>
              </w:rPr>
              <w:t xml:space="preserve">.                                                                                           </w:t>
            </w:r>
          </w:p>
        </w:tc>
      </w:tr>
      <w:tr w:rsidR="00817328" w:rsidRPr="002045F5" w:rsidTr="00EF1AF1">
        <w:trPr>
          <w:trHeight w:val="20"/>
        </w:trPr>
        <w:tc>
          <w:tcPr>
            <w:tcW w:w="2978" w:type="dxa"/>
            <w:vMerge w:val="restart"/>
            <w:shd w:val="clear" w:color="auto" w:fill="C6D9F1" w:themeFill="text2" w:themeFillTint="33"/>
            <w:vAlign w:val="center"/>
            <w:hideMark/>
          </w:tcPr>
          <w:p w:rsidR="00D75E8F" w:rsidRPr="002045F5" w:rsidRDefault="00D75E8F" w:rsidP="001013F3">
            <w:pPr>
              <w:rPr>
                <w:b/>
                <w:color w:val="000000"/>
                <w:sz w:val="22"/>
                <w:lang w:val="ru-RU"/>
              </w:rPr>
            </w:pPr>
            <w:proofErr w:type="spellStart"/>
            <w:r w:rsidRPr="002045F5">
              <w:rPr>
                <w:rFonts w:eastAsia="Calibri"/>
                <w:b/>
                <w:color w:val="000000"/>
                <w:sz w:val="22"/>
                <w:lang w:val="ru-RU"/>
              </w:rPr>
              <w:lastRenderedPageBreak/>
              <w:t>Орієнтовний</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обсяг</w:t>
            </w:r>
            <w:proofErr w:type="spellEnd"/>
            <w:r w:rsidRPr="002045F5">
              <w:rPr>
                <w:rFonts w:eastAsia="Calibri"/>
                <w:b/>
                <w:color w:val="000000"/>
                <w:sz w:val="22"/>
                <w:lang w:val="ru-RU"/>
              </w:rPr>
              <w:t xml:space="preserve"> та </w:t>
            </w:r>
            <w:proofErr w:type="spellStart"/>
            <w:r w:rsidRPr="002045F5">
              <w:rPr>
                <w:rFonts w:eastAsia="Calibri"/>
                <w:b/>
                <w:color w:val="000000"/>
                <w:sz w:val="22"/>
                <w:lang w:val="ru-RU"/>
              </w:rPr>
              <w:t>джерела</w:t>
            </w:r>
            <w:proofErr w:type="spellEnd"/>
            <w:r w:rsidRPr="002045F5">
              <w:rPr>
                <w:rFonts w:eastAsia="Calibri"/>
                <w:b/>
                <w:color w:val="000000"/>
                <w:sz w:val="22"/>
                <w:lang w:val="ru-RU"/>
              </w:rPr>
              <w:t xml:space="preserve"> </w:t>
            </w:r>
            <w:proofErr w:type="spellStart"/>
            <w:r w:rsidRPr="002045F5">
              <w:rPr>
                <w:rFonts w:eastAsia="Calibri"/>
                <w:b/>
                <w:color w:val="000000"/>
                <w:sz w:val="22"/>
                <w:lang w:val="ru-RU"/>
              </w:rPr>
              <w:t>фінансування</w:t>
            </w:r>
            <w:proofErr w:type="spellEnd"/>
            <w:r w:rsidRPr="002045F5">
              <w:rPr>
                <w:rFonts w:eastAsia="Calibri"/>
                <w:b/>
                <w:color w:val="000000"/>
                <w:sz w:val="22"/>
                <w:lang w:val="ru-RU"/>
              </w:rPr>
              <w:t xml:space="preserve"> тис. </w:t>
            </w:r>
            <w:proofErr w:type="spellStart"/>
            <w:r w:rsidRPr="002045F5">
              <w:rPr>
                <w:rFonts w:eastAsia="Calibri"/>
                <w:b/>
                <w:color w:val="000000"/>
                <w:sz w:val="22"/>
                <w:lang w:val="ru-RU"/>
              </w:rPr>
              <w:t>гривень</w:t>
            </w:r>
            <w:proofErr w:type="spellEnd"/>
          </w:p>
        </w:tc>
        <w:tc>
          <w:tcPr>
            <w:tcW w:w="1417" w:type="dxa"/>
            <w:vMerge w:val="restart"/>
            <w:shd w:val="clear" w:color="auto" w:fill="auto"/>
            <w:vAlign w:val="center"/>
            <w:hideMark/>
          </w:tcPr>
          <w:p w:rsidR="00D75E8F" w:rsidRPr="002045F5" w:rsidRDefault="00D75E8F" w:rsidP="001013F3">
            <w:pPr>
              <w:rPr>
                <w:color w:val="000000"/>
                <w:sz w:val="22"/>
              </w:rPr>
            </w:pPr>
            <w:r w:rsidRPr="002045F5">
              <w:rPr>
                <w:color w:val="000000"/>
                <w:sz w:val="22"/>
              </w:rPr>
              <w:t>Державний бюджет</w:t>
            </w:r>
          </w:p>
        </w:tc>
        <w:tc>
          <w:tcPr>
            <w:tcW w:w="1276" w:type="dxa"/>
            <w:vMerge w:val="restart"/>
            <w:shd w:val="clear" w:color="auto" w:fill="auto"/>
            <w:noWrap/>
            <w:vAlign w:val="center"/>
            <w:hideMark/>
          </w:tcPr>
          <w:p w:rsidR="00D75E8F" w:rsidRPr="002045F5" w:rsidRDefault="00D75E8F" w:rsidP="001013F3">
            <w:pPr>
              <w:jc w:val="center"/>
              <w:rPr>
                <w:color w:val="000000"/>
                <w:sz w:val="22"/>
              </w:rPr>
            </w:pPr>
            <w:r w:rsidRPr="002045F5">
              <w:rPr>
                <w:color w:val="000000"/>
                <w:sz w:val="22"/>
              </w:rPr>
              <w:t>Місцевий бюджет</w:t>
            </w:r>
          </w:p>
        </w:tc>
        <w:tc>
          <w:tcPr>
            <w:tcW w:w="3118" w:type="dxa"/>
            <w:gridSpan w:val="4"/>
            <w:shd w:val="clear" w:color="auto" w:fill="auto"/>
            <w:vAlign w:val="center"/>
            <w:hideMark/>
          </w:tcPr>
          <w:p w:rsidR="00D75E8F" w:rsidRPr="002045F5" w:rsidRDefault="00D75E8F" w:rsidP="001013F3">
            <w:pPr>
              <w:rPr>
                <w:color w:val="000000"/>
                <w:sz w:val="22"/>
              </w:rPr>
            </w:pPr>
            <w:r w:rsidRPr="002045F5">
              <w:rPr>
                <w:color w:val="000000"/>
                <w:sz w:val="22"/>
              </w:rPr>
              <w:t>Інші джерела</w:t>
            </w:r>
          </w:p>
        </w:tc>
        <w:tc>
          <w:tcPr>
            <w:tcW w:w="1144" w:type="dxa"/>
            <w:vMerge w:val="restart"/>
            <w:shd w:val="clear" w:color="auto" w:fill="auto"/>
            <w:vAlign w:val="center"/>
            <w:hideMark/>
          </w:tcPr>
          <w:p w:rsidR="00D75E8F" w:rsidRPr="002045F5" w:rsidRDefault="00D75E8F" w:rsidP="001013F3">
            <w:pPr>
              <w:rPr>
                <w:color w:val="000000"/>
                <w:sz w:val="22"/>
              </w:rPr>
            </w:pPr>
            <w:r w:rsidRPr="002045F5">
              <w:rPr>
                <w:color w:val="000000"/>
                <w:sz w:val="22"/>
              </w:rPr>
              <w:t>Всього</w:t>
            </w:r>
          </w:p>
        </w:tc>
      </w:tr>
      <w:tr w:rsidR="00D75E8F" w:rsidRPr="002045F5" w:rsidTr="00EF1AF1">
        <w:trPr>
          <w:trHeight w:val="20"/>
        </w:trPr>
        <w:tc>
          <w:tcPr>
            <w:tcW w:w="2978" w:type="dxa"/>
            <w:vMerge/>
            <w:shd w:val="clear" w:color="auto" w:fill="C6D9F1" w:themeFill="text2" w:themeFillTint="33"/>
            <w:vAlign w:val="center"/>
            <w:hideMark/>
          </w:tcPr>
          <w:p w:rsidR="00D75E8F" w:rsidRPr="002045F5" w:rsidRDefault="00D75E8F" w:rsidP="001013F3">
            <w:pPr>
              <w:rPr>
                <w:b/>
                <w:color w:val="000000"/>
                <w:sz w:val="22"/>
              </w:rPr>
            </w:pPr>
          </w:p>
        </w:tc>
        <w:tc>
          <w:tcPr>
            <w:tcW w:w="1417" w:type="dxa"/>
            <w:vMerge/>
            <w:vAlign w:val="center"/>
            <w:hideMark/>
          </w:tcPr>
          <w:p w:rsidR="00D75E8F" w:rsidRPr="002045F5" w:rsidRDefault="00D75E8F" w:rsidP="001013F3">
            <w:pPr>
              <w:rPr>
                <w:color w:val="000000"/>
                <w:sz w:val="22"/>
              </w:rPr>
            </w:pPr>
          </w:p>
        </w:tc>
        <w:tc>
          <w:tcPr>
            <w:tcW w:w="1276" w:type="dxa"/>
            <w:vMerge/>
            <w:vAlign w:val="center"/>
            <w:hideMark/>
          </w:tcPr>
          <w:p w:rsidR="00D75E8F" w:rsidRPr="002045F5" w:rsidRDefault="00D75E8F" w:rsidP="001013F3">
            <w:pPr>
              <w:rPr>
                <w:color w:val="000000"/>
                <w:sz w:val="22"/>
              </w:rPr>
            </w:pPr>
          </w:p>
        </w:tc>
        <w:tc>
          <w:tcPr>
            <w:tcW w:w="1134" w:type="dxa"/>
            <w:gridSpan w:val="2"/>
            <w:shd w:val="clear" w:color="auto" w:fill="auto"/>
            <w:vAlign w:val="center"/>
            <w:hideMark/>
          </w:tcPr>
          <w:p w:rsidR="00D75E8F" w:rsidRPr="002045F5" w:rsidRDefault="00D75E8F" w:rsidP="001013F3">
            <w:pPr>
              <w:rPr>
                <w:color w:val="000000"/>
                <w:sz w:val="22"/>
              </w:rPr>
            </w:pPr>
            <w:r w:rsidRPr="002045F5">
              <w:rPr>
                <w:color w:val="000000"/>
                <w:sz w:val="22"/>
              </w:rPr>
              <w:t>Обсяг</w:t>
            </w:r>
          </w:p>
        </w:tc>
        <w:tc>
          <w:tcPr>
            <w:tcW w:w="1984" w:type="dxa"/>
            <w:gridSpan w:val="2"/>
            <w:shd w:val="clear" w:color="auto" w:fill="auto"/>
            <w:vAlign w:val="center"/>
            <w:hideMark/>
          </w:tcPr>
          <w:p w:rsidR="00D75E8F" w:rsidRPr="002045F5" w:rsidRDefault="00D75E8F" w:rsidP="001013F3">
            <w:pPr>
              <w:jc w:val="center"/>
              <w:rPr>
                <w:color w:val="000000"/>
                <w:sz w:val="22"/>
              </w:rPr>
            </w:pPr>
            <w:r w:rsidRPr="002045F5">
              <w:rPr>
                <w:color w:val="000000"/>
                <w:sz w:val="22"/>
              </w:rPr>
              <w:t>Назва джерела</w:t>
            </w:r>
          </w:p>
        </w:tc>
        <w:tc>
          <w:tcPr>
            <w:tcW w:w="1144" w:type="dxa"/>
            <w:vMerge/>
            <w:vAlign w:val="center"/>
            <w:hideMark/>
          </w:tcPr>
          <w:p w:rsidR="00D75E8F" w:rsidRPr="002045F5" w:rsidRDefault="00D75E8F" w:rsidP="001013F3">
            <w:pPr>
              <w:rPr>
                <w:color w:val="000000"/>
                <w:sz w:val="22"/>
              </w:rPr>
            </w:pPr>
          </w:p>
        </w:tc>
      </w:tr>
      <w:tr w:rsidR="00D75E8F" w:rsidRPr="002045F5" w:rsidTr="00EF1AF1">
        <w:trPr>
          <w:trHeight w:val="20"/>
        </w:trPr>
        <w:tc>
          <w:tcPr>
            <w:tcW w:w="2978" w:type="dxa"/>
            <w:vMerge/>
            <w:shd w:val="clear" w:color="auto" w:fill="C6D9F1" w:themeFill="text2" w:themeFillTint="33"/>
            <w:vAlign w:val="center"/>
            <w:hideMark/>
          </w:tcPr>
          <w:p w:rsidR="00D75E8F" w:rsidRPr="002045F5" w:rsidRDefault="00D75E8F" w:rsidP="001013F3">
            <w:pPr>
              <w:rPr>
                <w:b/>
                <w:color w:val="000000"/>
                <w:sz w:val="22"/>
              </w:rPr>
            </w:pPr>
          </w:p>
        </w:tc>
        <w:tc>
          <w:tcPr>
            <w:tcW w:w="1417" w:type="dxa"/>
            <w:shd w:val="clear" w:color="auto" w:fill="auto"/>
            <w:noWrap/>
            <w:hideMark/>
          </w:tcPr>
          <w:p w:rsidR="00D75E8F" w:rsidRPr="002045F5" w:rsidRDefault="00D75E8F" w:rsidP="001013F3">
            <w:pPr>
              <w:rPr>
                <w:color w:val="000000"/>
                <w:sz w:val="22"/>
              </w:rPr>
            </w:pPr>
            <w:r w:rsidRPr="002045F5">
              <w:rPr>
                <w:color w:val="000000"/>
                <w:sz w:val="22"/>
              </w:rPr>
              <w:t> 7 000,0</w:t>
            </w:r>
          </w:p>
        </w:tc>
        <w:tc>
          <w:tcPr>
            <w:tcW w:w="1276" w:type="dxa"/>
            <w:shd w:val="clear" w:color="auto" w:fill="auto"/>
            <w:noWrap/>
            <w:vAlign w:val="bottom"/>
            <w:hideMark/>
          </w:tcPr>
          <w:p w:rsidR="00D75E8F" w:rsidRPr="002045F5" w:rsidRDefault="00D75E8F" w:rsidP="001013F3">
            <w:pPr>
              <w:rPr>
                <w:color w:val="000000"/>
                <w:sz w:val="22"/>
              </w:rPr>
            </w:pPr>
            <w:r w:rsidRPr="002045F5">
              <w:rPr>
                <w:color w:val="000000"/>
                <w:sz w:val="22"/>
              </w:rPr>
              <w:t> </w:t>
            </w:r>
          </w:p>
          <w:p w:rsidR="00D75E8F" w:rsidRPr="002045F5" w:rsidRDefault="00D75E8F" w:rsidP="001013F3">
            <w:pPr>
              <w:rPr>
                <w:color w:val="000000"/>
                <w:sz w:val="22"/>
              </w:rPr>
            </w:pPr>
            <w:r w:rsidRPr="002045F5">
              <w:rPr>
                <w:color w:val="000000"/>
                <w:sz w:val="22"/>
              </w:rPr>
              <w:t> </w:t>
            </w:r>
          </w:p>
        </w:tc>
        <w:tc>
          <w:tcPr>
            <w:tcW w:w="1134" w:type="dxa"/>
            <w:gridSpan w:val="2"/>
            <w:shd w:val="clear" w:color="auto" w:fill="auto"/>
            <w:noWrap/>
            <w:hideMark/>
          </w:tcPr>
          <w:p w:rsidR="00D75E8F" w:rsidRPr="002045F5" w:rsidRDefault="00D75E8F" w:rsidP="001013F3">
            <w:pPr>
              <w:rPr>
                <w:color w:val="000000"/>
                <w:sz w:val="22"/>
              </w:rPr>
            </w:pPr>
            <w:r w:rsidRPr="002045F5">
              <w:rPr>
                <w:color w:val="000000"/>
                <w:sz w:val="22"/>
              </w:rPr>
              <w:t>13 000,0</w:t>
            </w:r>
          </w:p>
        </w:tc>
        <w:tc>
          <w:tcPr>
            <w:tcW w:w="1984" w:type="dxa"/>
            <w:gridSpan w:val="2"/>
            <w:shd w:val="clear" w:color="auto" w:fill="auto"/>
            <w:hideMark/>
          </w:tcPr>
          <w:p w:rsidR="00D75E8F" w:rsidRPr="002045F5" w:rsidRDefault="00D75E8F" w:rsidP="00EF1AF1">
            <w:pPr>
              <w:jc w:val="left"/>
              <w:rPr>
                <w:color w:val="000000"/>
                <w:sz w:val="22"/>
                <w:lang w:val="ru-RU"/>
              </w:rPr>
            </w:pPr>
            <w:proofErr w:type="spellStart"/>
            <w:r w:rsidRPr="002045F5">
              <w:rPr>
                <w:color w:val="000000"/>
                <w:sz w:val="22"/>
                <w:lang w:val="ru-RU"/>
              </w:rPr>
              <w:t>кошти</w:t>
            </w:r>
            <w:proofErr w:type="spellEnd"/>
            <w:r w:rsidRPr="002045F5">
              <w:rPr>
                <w:color w:val="000000"/>
                <w:sz w:val="22"/>
                <w:lang w:val="ru-RU"/>
              </w:rPr>
              <w:t xml:space="preserve"> </w:t>
            </w:r>
            <w:proofErr w:type="spellStart"/>
            <w:r w:rsidRPr="002045F5">
              <w:rPr>
                <w:color w:val="000000"/>
                <w:sz w:val="22"/>
                <w:lang w:val="ru-RU"/>
              </w:rPr>
              <w:t>міжнародних</w:t>
            </w:r>
            <w:proofErr w:type="spellEnd"/>
            <w:r w:rsidRPr="002045F5">
              <w:rPr>
                <w:color w:val="000000"/>
                <w:sz w:val="22"/>
                <w:lang w:val="ru-RU"/>
              </w:rPr>
              <w:t xml:space="preserve"> </w:t>
            </w:r>
            <w:proofErr w:type="spellStart"/>
            <w:proofErr w:type="gramStart"/>
            <w:r w:rsidRPr="002045F5">
              <w:rPr>
                <w:color w:val="000000"/>
                <w:sz w:val="22"/>
                <w:lang w:val="ru-RU"/>
              </w:rPr>
              <w:t>організацій</w:t>
            </w:r>
            <w:proofErr w:type="spellEnd"/>
            <w:r w:rsidRPr="002045F5">
              <w:rPr>
                <w:color w:val="000000"/>
                <w:sz w:val="22"/>
                <w:lang w:val="ru-RU"/>
              </w:rPr>
              <w:t xml:space="preserve">,  </w:t>
            </w:r>
            <w:proofErr w:type="spellStart"/>
            <w:r w:rsidRPr="002045F5">
              <w:rPr>
                <w:color w:val="000000"/>
                <w:sz w:val="22"/>
                <w:lang w:val="ru-RU"/>
              </w:rPr>
              <w:t>кошти</w:t>
            </w:r>
            <w:proofErr w:type="spellEnd"/>
            <w:proofErr w:type="gramEnd"/>
            <w:r w:rsidRPr="002045F5">
              <w:rPr>
                <w:color w:val="000000"/>
                <w:sz w:val="22"/>
                <w:lang w:val="ru-RU"/>
              </w:rPr>
              <w:t xml:space="preserve"> </w:t>
            </w:r>
            <w:proofErr w:type="spellStart"/>
            <w:r w:rsidRPr="002045F5">
              <w:rPr>
                <w:color w:val="000000"/>
                <w:sz w:val="22"/>
                <w:lang w:val="ru-RU"/>
              </w:rPr>
              <w:t>недержавних</w:t>
            </w:r>
            <w:proofErr w:type="spellEnd"/>
            <w:r w:rsidRPr="002045F5">
              <w:rPr>
                <w:color w:val="000000"/>
                <w:sz w:val="22"/>
                <w:lang w:val="ru-RU"/>
              </w:rPr>
              <w:t xml:space="preserve"> </w:t>
            </w:r>
            <w:proofErr w:type="spellStart"/>
            <w:r w:rsidRPr="002045F5">
              <w:rPr>
                <w:color w:val="000000"/>
                <w:sz w:val="22"/>
                <w:lang w:val="ru-RU"/>
              </w:rPr>
              <w:t>громадських</w:t>
            </w:r>
            <w:proofErr w:type="spellEnd"/>
            <w:r w:rsidRPr="002045F5">
              <w:rPr>
                <w:color w:val="000000"/>
                <w:sz w:val="22"/>
                <w:lang w:val="ru-RU"/>
              </w:rPr>
              <w:t xml:space="preserve"> </w:t>
            </w:r>
            <w:proofErr w:type="spellStart"/>
            <w:r w:rsidRPr="002045F5">
              <w:rPr>
                <w:color w:val="000000"/>
                <w:sz w:val="22"/>
                <w:lang w:val="ru-RU"/>
              </w:rPr>
              <w:t>організацій</w:t>
            </w:r>
            <w:proofErr w:type="spellEnd"/>
            <w:r w:rsidRPr="002045F5">
              <w:rPr>
                <w:color w:val="000000"/>
                <w:sz w:val="22"/>
                <w:lang w:val="ru-RU"/>
              </w:rPr>
              <w:t xml:space="preserve"> та </w:t>
            </w:r>
            <w:proofErr w:type="spellStart"/>
            <w:r w:rsidRPr="002045F5">
              <w:rPr>
                <w:color w:val="000000"/>
                <w:sz w:val="22"/>
                <w:lang w:val="ru-RU"/>
              </w:rPr>
              <w:t>благодійних</w:t>
            </w:r>
            <w:proofErr w:type="spellEnd"/>
            <w:r w:rsidRPr="002045F5">
              <w:rPr>
                <w:color w:val="000000"/>
                <w:sz w:val="22"/>
                <w:lang w:val="ru-RU"/>
              </w:rPr>
              <w:t xml:space="preserve"> </w:t>
            </w:r>
            <w:proofErr w:type="spellStart"/>
            <w:r w:rsidRPr="002045F5">
              <w:rPr>
                <w:color w:val="000000"/>
                <w:sz w:val="22"/>
                <w:lang w:val="ru-RU"/>
              </w:rPr>
              <w:t>фондів</w:t>
            </w:r>
            <w:proofErr w:type="spellEnd"/>
          </w:p>
        </w:tc>
        <w:tc>
          <w:tcPr>
            <w:tcW w:w="1144" w:type="dxa"/>
            <w:shd w:val="clear" w:color="auto" w:fill="auto"/>
            <w:noWrap/>
            <w:hideMark/>
          </w:tcPr>
          <w:p w:rsidR="00D75E8F" w:rsidRPr="002045F5" w:rsidRDefault="00D75E8F" w:rsidP="001013F3">
            <w:pPr>
              <w:rPr>
                <w:color w:val="000000"/>
                <w:sz w:val="22"/>
              </w:rPr>
            </w:pPr>
            <w:r w:rsidRPr="002045F5">
              <w:rPr>
                <w:color w:val="000000"/>
                <w:sz w:val="22"/>
              </w:rPr>
              <w:t>20 000,0</w:t>
            </w:r>
          </w:p>
        </w:tc>
      </w:tr>
    </w:tbl>
    <w:p w:rsidR="00D75E8F" w:rsidRPr="002045F5" w:rsidRDefault="00D75E8F" w:rsidP="00E95FB1">
      <w:pPr>
        <w:rPr>
          <w:sz w:val="22"/>
        </w:rPr>
      </w:pPr>
    </w:p>
    <w:p w:rsidR="001013F3" w:rsidRPr="002045F5" w:rsidRDefault="001013F3" w:rsidP="00E95FB1">
      <w:pPr>
        <w:rPr>
          <w:sz w:val="22"/>
        </w:rPr>
      </w:pPr>
    </w:p>
    <w:tbl>
      <w:tblPr>
        <w:tblStyle w:val="af"/>
        <w:tblW w:w="0" w:type="auto"/>
        <w:tblInd w:w="-176" w:type="dxa"/>
        <w:tblLook w:val="04A0" w:firstRow="1" w:lastRow="0" w:firstColumn="1" w:lastColumn="0" w:noHBand="0" w:noVBand="1"/>
      </w:tblPr>
      <w:tblGrid>
        <w:gridCol w:w="2807"/>
        <w:gridCol w:w="1356"/>
        <w:gridCol w:w="1264"/>
        <w:gridCol w:w="1113"/>
        <w:gridCol w:w="94"/>
        <w:gridCol w:w="1585"/>
        <w:gridCol w:w="86"/>
        <w:gridCol w:w="1357"/>
      </w:tblGrid>
      <w:tr w:rsidR="001013F3" w:rsidRPr="002045F5" w:rsidTr="00822744">
        <w:tc>
          <w:tcPr>
            <w:tcW w:w="2978" w:type="dxa"/>
            <w:shd w:val="clear" w:color="auto" w:fill="C6D9F1" w:themeFill="text2" w:themeFillTint="33"/>
          </w:tcPr>
          <w:p w:rsidR="001013F3" w:rsidRPr="002045F5" w:rsidRDefault="001013F3" w:rsidP="001013F3">
            <w:pPr>
              <w:pStyle w:val="a7"/>
              <w:ind w:left="0"/>
              <w:rPr>
                <w:b/>
                <w:sz w:val="22"/>
              </w:rPr>
            </w:pPr>
            <w:r w:rsidRPr="002045F5">
              <w:rPr>
                <w:b/>
                <w:sz w:val="22"/>
              </w:rPr>
              <w:t xml:space="preserve">Оперативна </w:t>
            </w:r>
            <w:proofErr w:type="spellStart"/>
            <w:r w:rsidRPr="002045F5">
              <w:rPr>
                <w:b/>
                <w:sz w:val="22"/>
              </w:rPr>
              <w:t>ціль</w:t>
            </w:r>
            <w:proofErr w:type="spellEnd"/>
            <w:r w:rsidRPr="002045F5">
              <w:rPr>
                <w:b/>
                <w:sz w:val="22"/>
              </w:rPr>
              <w:t>/</w:t>
            </w:r>
            <w:proofErr w:type="spellStart"/>
            <w:r w:rsidRPr="002045F5">
              <w:rPr>
                <w:b/>
                <w:sz w:val="22"/>
              </w:rPr>
              <w:t>завдання</w:t>
            </w:r>
            <w:proofErr w:type="spellEnd"/>
          </w:p>
        </w:tc>
        <w:tc>
          <w:tcPr>
            <w:tcW w:w="6910" w:type="dxa"/>
            <w:gridSpan w:val="7"/>
            <w:shd w:val="clear" w:color="auto" w:fill="auto"/>
          </w:tcPr>
          <w:p w:rsidR="001013F3" w:rsidRPr="002045F5" w:rsidRDefault="001013F3" w:rsidP="001013F3">
            <w:pPr>
              <w:pStyle w:val="a7"/>
              <w:ind w:left="0"/>
              <w:rPr>
                <w:sz w:val="22"/>
              </w:rPr>
            </w:pPr>
            <w:proofErr w:type="spellStart"/>
            <w:r w:rsidRPr="002045F5">
              <w:rPr>
                <w:sz w:val="22"/>
              </w:rPr>
              <w:t>Людський</w:t>
            </w:r>
            <w:proofErr w:type="spellEnd"/>
            <w:r w:rsidRPr="002045F5">
              <w:rPr>
                <w:sz w:val="22"/>
              </w:rPr>
              <w:t xml:space="preserve"> </w:t>
            </w:r>
            <w:proofErr w:type="spellStart"/>
            <w:r w:rsidRPr="002045F5">
              <w:rPr>
                <w:sz w:val="22"/>
              </w:rPr>
              <w:t>розвиток</w:t>
            </w:r>
            <w:proofErr w:type="spellEnd"/>
            <w:r w:rsidRPr="002045F5">
              <w:rPr>
                <w:sz w:val="22"/>
              </w:rPr>
              <w:t xml:space="preserve"> через </w:t>
            </w:r>
            <w:proofErr w:type="spellStart"/>
            <w:r w:rsidRPr="002045F5">
              <w:rPr>
                <w:sz w:val="22"/>
              </w:rPr>
              <w:t>інновації</w:t>
            </w:r>
            <w:proofErr w:type="spellEnd"/>
            <w:r w:rsidRPr="002045F5">
              <w:rPr>
                <w:sz w:val="22"/>
              </w:rPr>
              <w:t xml:space="preserve"> </w:t>
            </w:r>
            <w:proofErr w:type="spellStart"/>
            <w:r w:rsidRPr="002045F5">
              <w:rPr>
                <w:sz w:val="22"/>
              </w:rPr>
              <w:t>управління</w:t>
            </w:r>
            <w:proofErr w:type="spellEnd"/>
            <w:r w:rsidRPr="002045F5">
              <w:rPr>
                <w:sz w:val="22"/>
              </w:rPr>
              <w:t xml:space="preserve"> та </w:t>
            </w:r>
            <w:proofErr w:type="spellStart"/>
            <w:r w:rsidRPr="002045F5">
              <w:rPr>
                <w:sz w:val="22"/>
              </w:rPr>
              <w:t>довіру</w:t>
            </w:r>
            <w:proofErr w:type="spellEnd"/>
            <w:r w:rsidRPr="002045F5">
              <w:rPr>
                <w:sz w:val="22"/>
              </w:rPr>
              <w:t xml:space="preserve"> до </w:t>
            </w:r>
            <w:proofErr w:type="spellStart"/>
            <w:r w:rsidRPr="002045F5">
              <w:rPr>
                <w:sz w:val="22"/>
              </w:rPr>
              <w:t>влади</w:t>
            </w:r>
            <w:proofErr w:type="spellEnd"/>
            <w:r w:rsidRPr="002045F5">
              <w:rPr>
                <w:sz w:val="22"/>
              </w:rPr>
              <w:t xml:space="preserve">. </w:t>
            </w:r>
            <w:proofErr w:type="spellStart"/>
            <w:r w:rsidRPr="002045F5">
              <w:rPr>
                <w:sz w:val="22"/>
              </w:rPr>
              <w:t>Формування</w:t>
            </w:r>
            <w:proofErr w:type="spellEnd"/>
            <w:r w:rsidRPr="002045F5">
              <w:rPr>
                <w:sz w:val="22"/>
              </w:rPr>
              <w:t xml:space="preserve"> </w:t>
            </w:r>
            <w:proofErr w:type="spellStart"/>
            <w:r w:rsidRPr="002045F5">
              <w:rPr>
                <w:sz w:val="22"/>
              </w:rPr>
              <w:t>сучасного</w:t>
            </w:r>
            <w:proofErr w:type="spellEnd"/>
            <w:r w:rsidRPr="002045F5">
              <w:rPr>
                <w:sz w:val="22"/>
              </w:rPr>
              <w:t xml:space="preserve"> </w:t>
            </w:r>
            <w:proofErr w:type="spellStart"/>
            <w:r w:rsidRPr="002045F5">
              <w:rPr>
                <w:sz w:val="22"/>
              </w:rPr>
              <w:t>інклюзивного</w:t>
            </w:r>
            <w:proofErr w:type="spellEnd"/>
            <w:r w:rsidRPr="002045F5">
              <w:rPr>
                <w:sz w:val="22"/>
              </w:rPr>
              <w:t xml:space="preserve"> </w:t>
            </w:r>
            <w:proofErr w:type="spellStart"/>
            <w:r w:rsidRPr="002045F5">
              <w:rPr>
                <w:sz w:val="22"/>
              </w:rPr>
              <w:t>освітньо</w:t>
            </w:r>
            <w:proofErr w:type="spellEnd"/>
            <w:r w:rsidRPr="002045F5">
              <w:rPr>
                <w:sz w:val="22"/>
              </w:rPr>
              <w:t xml:space="preserve">-культурного та спортивного простору для </w:t>
            </w:r>
            <w:proofErr w:type="spellStart"/>
            <w:r w:rsidRPr="002045F5">
              <w:rPr>
                <w:sz w:val="22"/>
              </w:rPr>
              <w:t>розвитку</w:t>
            </w:r>
            <w:proofErr w:type="spellEnd"/>
            <w:r w:rsidRPr="002045F5">
              <w:rPr>
                <w:sz w:val="22"/>
              </w:rPr>
              <w:t>.</w:t>
            </w:r>
          </w:p>
        </w:tc>
      </w:tr>
      <w:tr w:rsidR="001013F3" w:rsidRPr="002045F5" w:rsidTr="00822744">
        <w:tc>
          <w:tcPr>
            <w:tcW w:w="2978" w:type="dxa"/>
            <w:shd w:val="clear" w:color="auto" w:fill="C6D9F1" w:themeFill="text2" w:themeFillTint="33"/>
          </w:tcPr>
          <w:p w:rsidR="001013F3" w:rsidRPr="002045F5" w:rsidRDefault="001013F3" w:rsidP="001013F3">
            <w:pPr>
              <w:pStyle w:val="a7"/>
              <w:ind w:left="0"/>
              <w:rPr>
                <w:b/>
                <w:sz w:val="22"/>
              </w:rPr>
            </w:pPr>
            <w:proofErr w:type="spellStart"/>
            <w:r w:rsidRPr="002045F5">
              <w:rPr>
                <w:b/>
                <w:sz w:val="22"/>
              </w:rPr>
              <w:t>Назва</w:t>
            </w:r>
            <w:proofErr w:type="spellEnd"/>
            <w:r w:rsidRPr="002045F5">
              <w:rPr>
                <w:b/>
                <w:sz w:val="22"/>
              </w:rPr>
              <w:t xml:space="preserve"> проекту:</w:t>
            </w:r>
          </w:p>
        </w:tc>
        <w:tc>
          <w:tcPr>
            <w:tcW w:w="6910" w:type="dxa"/>
            <w:gridSpan w:val="7"/>
          </w:tcPr>
          <w:p w:rsidR="001013F3" w:rsidRPr="002045F5" w:rsidRDefault="001013F3" w:rsidP="009D0A93">
            <w:pPr>
              <w:pStyle w:val="a7"/>
              <w:ind w:left="0"/>
              <w:rPr>
                <w:sz w:val="22"/>
              </w:rPr>
            </w:pPr>
            <w:r w:rsidRPr="002045F5">
              <w:rPr>
                <w:sz w:val="22"/>
              </w:rPr>
              <w:t xml:space="preserve">  </w:t>
            </w:r>
            <w:proofErr w:type="spellStart"/>
            <w:r w:rsidRPr="002045F5">
              <w:rPr>
                <w:sz w:val="22"/>
              </w:rPr>
              <w:t>Будівництво</w:t>
            </w:r>
            <w:proofErr w:type="spellEnd"/>
            <w:r w:rsidRPr="002045F5">
              <w:rPr>
                <w:sz w:val="22"/>
              </w:rPr>
              <w:t xml:space="preserve"> спортивного залу </w:t>
            </w:r>
            <w:proofErr w:type="spellStart"/>
            <w:r w:rsidRPr="002045F5">
              <w:rPr>
                <w:sz w:val="22"/>
              </w:rPr>
              <w:t>Новоастраханського</w:t>
            </w:r>
            <w:proofErr w:type="spellEnd"/>
            <w:r w:rsidRPr="002045F5">
              <w:rPr>
                <w:sz w:val="22"/>
              </w:rPr>
              <w:t xml:space="preserve"> </w:t>
            </w:r>
            <w:proofErr w:type="spellStart"/>
            <w:r w:rsidRPr="002045F5">
              <w:rPr>
                <w:sz w:val="22"/>
              </w:rPr>
              <w:t>ліцею</w:t>
            </w:r>
            <w:proofErr w:type="spellEnd"/>
            <w:r w:rsidRPr="002045F5">
              <w:rPr>
                <w:sz w:val="22"/>
              </w:rPr>
              <w:t xml:space="preserve"> </w:t>
            </w:r>
            <w:proofErr w:type="spellStart"/>
            <w:r w:rsidRPr="002045F5">
              <w:rPr>
                <w:sz w:val="22"/>
              </w:rPr>
              <w:t>Сєвєродонецького</w:t>
            </w:r>
            <w:proofErr w:type="spellEnd"/>
            <w:r w:rsidRPr="002045F5">
              <w:rPr>
                <w:sz w:val="22"/>
              </w:rPr>
              <w:t xml:space="preserve"> району </w:t>
            </w:r>
            <w:proofErr w:type="spellStart"/>
            <w:r w:rsidRPr="002045F5">
              <w:rPr>
                <w:sz w:val="22"/>
              </w:rPr>
              <w:t>Луганської</w:t>
            </w:r>
            <w:proofErr w:type="spellEnd"/>
            <w:r w:rsidRPr="002045F5">
              <w:rPr>
                <w:sz w:val="22"/>
              </w:rPr>
              <w:t xml:space="preserve"> </w:t>
            </w:r>
            <w:proofErr w:type="spellStart"/>
            <w:r w:rsidRPr="002045F5">
              <w:rPr>
                <w:sz w:val="22"/>
              </w:rPr>
              <w:t>області</w:t>
            </w:r>
            <w:proofErr w:type="spellEnd"/>
            <w:r w:rsidRPr="002045F5">
              <w:rPr>
                <w:sz w:val="22"/>
              </w:rPr>
              <w:t xml:space="preserve">, за </w:t>
            </w:r>
            <w:proofErr w:type="spellStart"/>
            <w:r w:rsidRPr="002045F5">
              <w:rPr>
                <w:sz w:val="22"/>
              </w:rPr>
              <w:t>адресою</w:t>
            </w:r>
            <w:proofErr w:type="spellEnd"/>
            <w:r w:rsidRPr="002045F5">
              <w:rPr>
                <w:sz w:val="22"/>
              </w:rPr>
              <w:t xml:space="preserve">: </w:t>
            </w:r>
            <w:proofErr w:type="gramStart"/>
            <w:r w:rsidRPr="002045F5">
              <w:rPr>
                <w:sz w:val="22"/>
              </w:rPr>
              <w:t>вул.Центральна</w:t>
            </w:r>
            <w:proofErr w:type="gramEnd"/>
            <w:r w:rsidRPr="002045F5">
              <w:rPr>
                <w:sz w:val="22"/>
              </w:rPr>
              <w:t xml:space="preserve">,45, с. Нова Астрахань, </w:t>
            </w:r>
            <w:proofErr w:type="spellStart"/>
            <w:r w:rsidRPr="002045F5">
              <w:rPr>
                <w:sz w:val="22"/>
              </w:rPr>
              <w:t>Сєвєродонецький</w:t>
            </w:r>
            <w:proofErr w:type="spellEnd"/>
            <w:r w:rsidRPr="002045F5">
              <w:rPr>
                <w:sz w:val="22"/>
              </w:rPr>
              <w:t xml:space="preserve"> район, </w:t>
            </w:r>
            <w:proofErr w:type="spellStart"/>
            <w:r w:rsidRPr="002045F5">
              <w:rPr>
                <w:sz w:val="22"/>
              </w:rPr>
              <w:t>Луганська</w:t>
            </w:r>
            <w:proofErr w:type="spellEnd"/>
            <w:r w:rsidRPr="002045F5">
              <w:rPr>
                <w:sz w:val="22"/>
              </w:rPr>
              <w:t xml:space="preserve"> область,.</w:t>
            </w:r>
          </w:p>
        </w:tc>
      </w:tr>
      <w:tr w:rsidR="001013F3" w:rsidRPr="002045F5" w:rsidTr="00822744">
        <w:tc>
          <w:tcPr>
            <w:tcW w:w="2978" w:type="dxa"/>
            <w:shd w:val="clear" w:color="auto" w:fill="C6D9F1" w:themeFill="text2" w:themeFillTint="33"/>
          </w:tcPr>
          <w:p w:rsidR="001013F3" w:rsidRPr="002045F5" w:rsidRDefault="001013F3" w:rsidP="001013F3">
            <w:pPr>
              <w:rPr>
                <w:b/>
                <w:sz w:val="22"/>
              </w:rPr>
            </w:pPr>
            <w:proofErr w:type="spellStart"/>
            <w:r w:rsidRPr="002045F5">
              <w:rPr>
                <w:b/>
                <w:sz w:val="22"/>
              </w:rPr>
              <w:t>Ціль</w:t>
            </w:r>
            <w:proofErr w:type="spellEnd"/>
            <w:r w:rsidRPr="002045F5">
              <w:rPr>
                <w:b/>
                <w:sz w:val="22"/>
              </w:rPr>
              <w:t xml:space="preserve"> проекту</w:t>
            </w:r>
          </w:p>
        </w:tc>
        <w:tc>
          <w:tcPr>
            <w:tcW w:w="6910" w:type="dxa"/>
            <w:gridSpan w:val="7"/>
          </w:tcPr>
          <w:p w:rsidR="001013F3" w:rsidRPr="002045F5" w:rsidRDefault="001013F3" w:rsidP="001013F3">
            <w:pPr>
              <w:pStyle w:val="a7"/>
              <w:ind w:left="0"/>
              <w:rPr>
                <w:sz w:val="22"/>
              </w:rPr>
            </w:pPr>
            <w:proofErr w:type="spellStart"/>
            <w:r w:rsidRPr="002045F5">
              <w:rPr>
                <w:sz w:val="22"/>
              </w:rPr>
              <w:t>Створення</w:t>
            </w:r>
            <w:proofErr w:type="spellEnd"/>
            <w:r w:rsidRPr="002045F5">
              <w:rPr>
                <w:sz w:val="22"/>
              </w:rPr>
              <w:t xml:space="preserve"> умов для </w:t>
            </w:r>
            <w:proofErr w:type="spellStart"/>
            <w:r w:rsidRPr="002045F5">
              <w:rPr>
                <w:sz w:val="22"/>
              </w:rPr>
              <w:t>проведення</w:t>
            </w:r>
            <w:proofErr w:type="spellEnd"/>
            <w:r w:rsidRPr="002045F5">
              <w:rPr>
                <w:sz w:val="22"/>
              </w:rPr>
              <w:t xml:space="preserve"> </w:t>
            </w:r>
            <w:proofErr w:type="spellStart"/>
            <w:r w:rsidRPr="002045F5">
              <w:rPr>
                <w:sz w:val="22"/>
              </w:rPr>
              <w:t>уроків</w:t>
            </w:r>
            <w:proofErr w:type="spellEnd"/>
            <w:r w:rsidRPr="002045F5">
              <w:rPr>
                <w:sz w:val="22"/>
              </w:rPr>
              <w:t xml:space="preserve"> </w:t>
            </w:r>
            <w:proofErr w:type="spellStart"/>
            <w:r w:rsidRPr="002045F5">
              <w:rPr>
                <w:sz w:val="22"/>
              </w:rPr>
              <w:t>фізичної</w:t>
            </w:r>
            <w:proofErr w:type="spellEnd"/>
            <w:r w:rsidRPr="002045F5">
              <w:rPr>
                <w:sz w:val="22"/>
              </w:rPr>
              <w:t xml:space="preserve"> </w:t>
            </w:r>
            <w:proofErr w:type="spellStart"/>
            <w:r w:rsidRPr="002045F5">
              <w:rPr>
                <w:sz w:val="22"/>
              </w:rPr>
              <w:t>культури</w:t>
            </w:r>
            <w:proofErr w:type="spellEnd"/>
            <w:r w:rsidRPr="002045F5">
              <w:rPr>
                <w:sz w:val="22"/>
              </w:rPr>
              <w:t xml:space="preserve">, </w:t>
            </w:r>
            <w:proofErr w:type="spellStart"/>
            <w:r w:rsidRPr="002045F5">
              <w:rPr>
                <w:sz w:val="22"/>
              </w:rPr>
              <w:t>фізкультурно-оздоровчих</w:t>
            </w:r>
            <w:proofErr w:type="spellEnd"/>
            <w:r w:rsidRPr="002045F5">
              <w:rPr>
                <w:sz w:val="22"/>
              </w:rPr>
              <w:t>, культурно-</w:t>
            </w:r>
            <w:proofErr w:type="spellStart"/>
            <w:r w:rsidRPr="002045F5">
              <w:rPr>
                <w:sz w:val="22"/>
              </w:rPr>
              <w:t>масових</w:t>
            </w:r>
            <w:proofErr w:type="spellEnd"/>
            <w:r w:rsidRPr="002045F5">
              <w:rPr>
                <w:sz w:val="22"/>
              </w:rPr>
              <w:t xml:space="preserve"> </w:t>
            </w:r>
            <w:proofErr w:type="spellStart"/>
            <w:r w:rsidRPr="002045F5">
              <w:rPr>
                <w:sz w:val="22"/>
              </w:rPr>
              <w:t>заходів</w:t>
            </w:r>
            <w:proofErr w:type="spellEnd"/>
            <w:r w:rsidRPr="002045F5">
              <w:rPr>
                <w:sz w:val="22"/>
              </w:rPr>
              <w:t xml:space="preserve"> </w:t>
            </w:r>
            <w:proofErr w:type="spellStart"/>
            <w:r w:rsidRPr="002045F5">
              <w:rPr>
                <w:sz w:val="22"/>
              </w:rPr>
              <w:t>учнів</w:t>
            </w:r>
            <w:proofErr w:type="spellEnd"/>
            <w:r w:rsidRPr="002045F5">
              <w:rPr>
                <w:sz w:val="22"/>
              </w:rPr>
              <w:t xml:space="preserve"> та </w:t>
            </w:r>
            <w:proofErr w:type="spellStart"/>
            <w:r w:rsidRPr="002045F5">
              <w:rPr>
                <w:sz w:val="22"/>
              </w:rPr>
              <w:t>жителів</w:t>
            </w:r>
            <w:proofErr w:type="spellEnd"/>
            <w:r w:rsidRPr="002045F5">
              <w:rPr>
                <w:sz w:val="22"/>
              </w:rPr>
              <w:t xml:space="preserve"> </w:t>
            </w:r>
            <w:proofErr w:type="spellStart"/>
            <w:r w:rsidRPr="002045F5">
              <w:rPr>
                <w:sz w:val="22"/>
              </w:rPr>
              <w:t>громади</w:t>
            </w:r>
            <w:proofErr w:type="spellEnd"/>
            <w:r w:rsidRPr="002045F5">
              <w:rPr>
                <w:sz w:val="22"/>
              </w:rPr>
              <w:t xml:space="preserve">, у тому </w:t>
            </w:r>
            <w:proofErr w:type="spellStart"/>
            <w:r w:rsidRPr="002045F5">
              <w:rPr>
                <w:sz w:val="22"/>
              </w:rPr>
              <w:t>числі</w:t>
            </w:r>
            <w:proofErr w:type="spellEnd"/>
            <w:r w:rsidRPr="002045F5">
              <w:rPr>
                <w:sz w:val="22"/>
              </w:rPr>
              <w:t xml:space="preserve"> </w:t>
            </w:r>
            <w:proofErr w:type="spellStart"/>
            <w:r w:rsidRPr="002045F5">
              <w:rPr>
                <w:sz w:val="22"/>
              </w:rPr>
              <w:t>осіб</w:t>
            </w:r>
            <w:proofErr w:type="spellEnd"/>
            <w:r w:rsidRPr="002045F5">
              <w:rPr>
                <w:sz w:val="22"/>
              </w:rPr>
              <w:t xml:space="preserve"> з </w:t>
            </w:r>
            <w:proofErr w:type="spellStart"/>
            <w:r w:rsidRPr="002045F5">
              <w:rPr>
                <w:sz w:val="22"/>
              </w:rPr>
              <w:t>обмеженими</w:t>
            </w:r>
            <w:proofErr w:type="spellEnd"/>
            <w:r w:rsidRPr="002045F5">
              <w:rPr>
                <w:sz w:val="22"/>
              </w:rPr>
              <w:t xml:space="preserve"> </w:t>
            </w:r>
            <w:proofErr w:type="spellStart"/>
            <w:r w:rsidRPr="002045F5">
              <w:rPr>
                <w:sz w:val="22"/>
              </w:rPr>
              <w:t>можливостями</w:t>
            </w:r>
            <w:proofErr w:type="spellEnd"/>
            <w:r w:rsidRPr="002045F5">
              <w:rPr>
                <w:sz w:val="22"/>
              </w:rPr>
              <w:t xml:space="preserve">; </w:t>
            </w:r>
            <w:proofErr w:type="spellStart"/>
            <w:r w:rsidRPr="002045F5">
              <w:rPr>
                <w:sz w:val="22"/>
              </w:rPr>
              <w:t>організація</w:t>
            </w:r>
            <w:proofErr w:type="spellEnd"/>
            <w:r w:rsidRPr="002045F5">
              <w:rPr>
                <w:sz w:val="22"/>
              </w:rPr>
              <w:t xml:space="preserve"> </w:t>
            </w:r>
            <w:proofErr w:type="spellStart"/>
            <w:r w:rsidRPr="002045F5">
              <w:rPr>
                <w:sz w:val="22"/>
              </w:rPr>
              <w:t>дозвілля</w:t>
            </w:r>
            <w:proofErr w:type="spellEnd"/>
            <w:r w:rsidRPr="002045F5">
              <w:rPr>
                <w:sz w:val="22"/>
              </w:rPr>
              <w:t xml:space="preserve"> </w:t>
            </w:r>
            <w:proofErr w:type="spellStart"/>
            <w:r w:rsidRPr="002045F5">
              <w:rPr>
                <w:sz w:val="22"/>
              </w:rPr>
              <w:t>дітей</w:t>
            </w:r>
            <w:proofErr w:type="spellEnd"/>
            <w:r w:rsidRPr="002045F5">
              <w:rPr>
                <w:sz w:val="22"/>
              </w:rPr>
              <w:t xml:space="preserve"> та </w:t>
            </w:r>
            <w:proofErr w:type="spellStart"/>
            <w:r w:rsidRPr="002045F5">
              <w:rPr>
                <w:sz w:val="22"/>
              </w:rPr>
              <w:t>учнівської</w:t>
            </w:r>
            <w:proofErr w:type="spellEnd"/>
            <w:r w:rsidRPr="002045F5">
              <w:rPr>
                <w:sz w:val="22"/>
              </w:rPr>
              <w:t xml:space="preserve"> </w:t>
            </w:r>
            <w:proofErr w:type="spellStart"/>
            <w:r w:rsidRPr="002045F5">
              <w:rPr>
                <w:sz w:val="22"/>
              </w:rPr>
              <w:t>молоді</w:t>
            </w:r>
            <w:proofErr w:type="spellEnd"/>
            <w:r w:rsidRPr="002045F5">
              <w:rPr>
                <w:sz w:val="22"/>
              </w:rPr>
              <w:t xml:space="preserve"> в </w:t>
            </w:r>
            <w:proofErr w:type="spellStart"/>
            <w:r w:rsidRPr="002045F5">
              <w:rPr>
                <w:sz w:val="22"/>
              </w:rPr>
              <w:t>позаурочний</w:t>
            </w:r>
            <w:proofErr w:type="spellEnd"/>
            <w:r w:rsidRPr="002045F5">
              <w:rPr>
                <w:sz w:val="22"/>
              </w:rPr>
              <w:t xml:space="preserve"> час; </w:t>
            </w:r>
            <w:proofErr w:type="spellStart"/>
            <w:r w:rsidRPr="002045F5">
              <w:rPr>
                <w:sz w:val="22"/>
              </w:rPr>
              <w:t>проведення</w:t>
            </w:r>
            <w:proofErr w:type="spellEnd"/>
            <w:r w:rsidRPr="002045F5">
              <w:rPr>
                <w:sz w:val="22"/>
              </w:rPr>
              <w:t xml:space="preserve"> спортивно-</w:t>
            </w:r>
            <w:proofErr w:type="spellStart"/>
            <w:r w:rsidRPr="002045F5">
              <w:rPr>
                <w:sz w:val="22"/>
              </w:rPr>
              <w:t>масових</w:t>
            </w:r>
            <w:proofErr w:type="spellEnd"/>
            <w:r w:rsidRPr="002045F5">
              <w:rPr>
                <w:sz w:val="22"/>
              </w:rPr>
              <w:t xml:space="preserve"> </w:t>
            </w:r>
            <w:proofErr w:type="spellStart"/>
            <w:r w:rsidRPr="002045F5">
              <w:rPr>
                <w:sz w:val="22"/>
              </w:rPr>
              <w:t>заходів</w:t>
            </w:r>
            <w:proofErr w:type="spellEnd"/>
            <w:r w:rsidRPr="002045F5">
              <w:rPr>
                <w:sz w:val="22"/>
              </w:rPr>
              <w:t xml:space="preserve"> та </w:t>
            </w:r>
            <w:proofErr w:type="spellStart"/>
            <w:r w:rsidRPr="002045F5">
              <w:rPr>
                <w:sz w:val="22"/>
              </w:rPr>
              <w:t>змагань</w:t>
            </w:r>
            <w:proofErr w:type="spellEnd"/>
            <w:r w:rsidRPr="002045F5">
              <w:rPr>
                <w:sz w:val="22"/>
              </w:rPr>
              <w:t xml:space="preserve">, у тому </w:t>
            </w:r>
            <w:proofErr w:type="spellStart"/>
            <w:r w:rsidRPr="002045F5">
              <w:rPr>
                <w:sz w:val="22"/>
              </w:rPr>
              <w:t>числі</w:t>
            </w:r>
            <w:proofErr w:type="spellEnd"/>
            <w:r w:rsidRPr="002045F5">
              <w:rPr>
                <w:sz w:val="22"/>
              </w:rPr>
              <w:t xml:space="preserve"> </w:t>
            </w:r>
            <w:proofErr w:type="spellStart"/>
            <w:r w:rsidRPr="002045F5">
              <w:rPr>
                <w:sz w:val="22"/>
              </w:rPr>
              <w:t>районних</w:t>
            </w:r>
            <w:proofErr w:type="spellEnd"/>
            <w:r w:rsidRPr="002045F5">
              <w:rPr>
                <w:sz w:val="22"/>
              </w:rPr>
              <w:t xml:space="preserve"> та </w:t>
            </w:r>
            <w:proofErr w:type="spellStart"/>
            <w:r w:rsidRPr="002045F5">
              <w:rPr>
                <w:sz w:val="22"/>
              </w:rPr>
              <w:t>обласних</w:t>
            </w:r>
            <w:proofErr w:type="spellEnd"/>
            <w:r w:rsidRPr="002045F5">
              <w:rPr>
                <w:sz w:val="22"/>
              </w:rPr>
              <w:t xml:space="preserve">; </w:t>
            </w:r>
            <w:proofErr w:type="spellStart"/>
            <w:r w:rsidRPr="002045F5">
              <w:rPr>
                <w:sz w:val="22"/>
              </w:rPr>
              <w:t>популяризація</w:t>
            </w:r>
            <w:proofErr w:type="spellEnd"/>
            <w:r w:rsidRPr="002045F5">
              <w:rPr>
                <w:sz w:val="22"/>
              </w:rPr>
              <w:t xml:space="preserve"> здорового способу </w:t>
            </w:r>
            <w:proofErr w:type="spellStart"/>
            <w:r w:rsidRPr="002045F5">
              <w:rPr>
                <w:sz w:val="22"/>
              </w:rPr>
              <w:t>життя</w:t>
            </w:r>
            <w:proofErr w:type="spellEnd"/>
            <w:r w:rsidRPr="002045F5">
              <w:rPr>
                <w:sz w:val="22"/>
              </w:rPr>
              <w:t xml:space="preserve"> та </w:t>
            </w:r>
            <w:proofErr w:type="spellStart"/>
            <w:r w:rsidRPr="002045F5">
              <w:rPr>
                <w:sz w:val="22"/>
              </w:rPr>
              <w:t>задоволення</w:t>
            </w:r>
            <w:proofErr w:type="spellEnd"/>
            <w:r w:rsidRPr="002045F5">
              <w:rPr>
                <w:sz w:val="22"/>
              </w:rPr>
              <w:t xml:space="preserve"> потреб </w:t>
            </w:r>
            <w:proofErr w:type="spellStart"/>
            <w:r w:rsidRPr="002045F5">
              <w:rPr>
                <w:sz w:val="22"/>
              </w:rPr>
              <w:t>мешканців</w:t>
            </w:r>
            <w:proofErr w:type="spellEnd"/>
            <w:r w:rsidRPr="002045F5">
              <w:rPr>
                <w:sz w:val="22"/>
              </w:rPr>
              <w:t xml:space="preserve"> </w:t>
            </w:r>
            <w:proofErr w:type="spellStart"/>
            <w:r w:rsidRPr="002045F5">
              <w:rPr>
                <w:sz w:val="22"/>
              </w:rPr>
              <w:t>Сєвєродонецької</w:t>
            </w:r>
            <w:proofErr w:type="spellEnd"/>
            <w:r w:rsidRPr="002045F5">
              <w:rPr>
                <w:sz w:val="22"/>
              </w:rPr>
              <w:t xml:space="preserve"> </w:t>
            </w:r>
            <w:proofErr w:type="spellStart"/>
            <w:r w:rsidRPr="002045F5">
              <w:rPr>
                <w:sz w:val="22"/>
              </w:rPr>
              <w:t>громади</w:t>
            </w:r>
            <w:proofErr w:type="spellEnd"/>
            <w:r w:rsidRPr="002045F5">
              <w:rPr>
                <w:sz w:val="22"/>
              </w:rPr>
              <w:t xml:space="preserve"> у </w:t>
            </w:r>
            <w:proofErr w:type="spellStart"/>
            <w:r w:rsidRPr="002045F5">
              <w:rPr>
                <w:sz w:val="22"/>
              </w:rPr>
              <w:t>необхідних</w:t>
            </w:r>
            <w:proofErr w:type="spellEnd"/>
            <w:r w:rsidRPr="002045F5">
              <w:rPr>
                <w:sz w:val="22"/>
              </w:rPr>
              <w:t xml:space="preserve"> </w:t>
            </w:r>
            <w:proofErr w:type="spellStart"/>
            <w:r w:rsidRPr="002045F5">
              <w:rPr>
                <w:sz w:val="22"/>
              </w:rPr>
              <w:t>послугах</w:t>
            </w:r>
            <w:proofErr w:type="spellEnd"/>
            <w:r w:rsidRPr="002045F5">
              <w:rPr>
                <w:sz w:val="22"/>
              </w:rPr>
              <w:t>.</w:t>
            </w:r>
          </w:p>
        </w:tc>
      </w:tr>
      <w:tr w:rsidR="001013F3" w:rsidRPr="002045F5" w:rsidTr="00822744">
        <w:tc>
          <w:tcPr>
            <w:tcW w:w="2978" w:type="dxa"/>
            <w:shd w:val="clear" w:color="auto" w:fill="C6D9F1" w:themeFill="text2" w:themeFillTint="33"/>
          </w:tcPr>
          <w:p w:rsidR="001013F3" w:rsidRPr="002045F5" w:rsidRDefault="001013F3" w:rsidP="001013F3">
            <w:pPr>
              <w:pStyle w:val="a7"/>
              <w:ind w:left="0"/>
              <w:rPr>
                <w:b/>
                <w:sz w:val="22"/>
              </w:rPr>
            </w:pPr>
            <w:proofErr w:type="spellStart"/>
            <w:r w:rsidRPr="002045F5">
              <w:rPr>
                <w:b/>
                <w:sz w:val="22"/>
              </w:rPr>
              <w:t>Територія</w:t>
            </w:r>
            <w:proofErr w:type="spellEnd"/>
            <w:r w:rsidRPr="002045F5">
              <w:rPr>
                <w:b/>
                <w:sz w:val="22"/>
              </w:rPr>
              <w:t xml:space="preserve">, </w:t>
            </w:r>
            <w:proofErr w:type="gramStart"/>
            <w:r w:rsidRPr="002045F5">
              <w:rPr>
                <w:b/>
                <w:sz w:val="22"/>
              </w:rPr>
              <w:t>на яку</w:t>
            </w:r>
            <w:proofErr w:type="gramEnd"/>
            <w:r w:rsidRPr="002045F5">
              <w:rPr>
                <w:b/>
                <w:sz w:val="22"/>
              </w:rPr>
              <w:t xml:space="preserve"> </w:t>
            </w:r>
            <w:proofErr w:type="spellStart"/>
            <w:r w:rsidRPr="002045F5">
              <w:rPr>
                <w:b/>
                <w:sz w:val="22"/>
              </w:rPr>
              <w:t>матиме</w:t>
            </w:r>
            <w:proofErr w:type="spellEnd"/>
            <w:r w:rsidRPr="002045F5">
              <w:rPr>
                <w:b/>
                <w:sz w:val="22"/>
              </w:rPr>
              <w:t xml:space="preserve"> </w:t>
            </w:r>
            <w:proofErr w:type="spellStart"/>
            <w:r w:rsidRPr="002045F5">
              <w:rPr>
                <w:b/>
                <w:sz w:val="22"/>
              </w:rPr>
              <w:t>вплив</w:t>
            </w:r>
            <w:proofErr w:type="spellEnd"/>
            <w:r w:rsidRPr="002045F5">
              <w:rPr>
                <w:b/>
                <w:sz w:val="22"/>
              </w:rPr>
              <w:t xml:space="preserve"> </w:t>
            </w:r>
            <w:proofErr w:type="spellStart"/>
            <w:r w:rsidRPr="002045F5">
              <w:rPr>
                <w:b/>
                <w:sz w:val="22"/>
              </w:rPr>
              <w:t>реалізація</w:t>
            </w:r>
            <w:proofErr w:type="spellEnd"/>
            <w:r w:rsidRPr="002045F5">
              <w:rPr>
                <w:b/>
                <w:sz w:val="22"/>
              </w:rPr>
              <w:t xml:space="preserve"> проекту</w:t>
            </w:r>
          </w:p>
        </w:tc>
        <w:tc>
          <w:tcPr>
            <w:tcW w:w="6910" w:type="dxa"/>
            <w:gridSpan w:val="7"/>
          </w:tcPr>
          <w:p w:rsidR="001013F3" w:rsidRPr="002045F5" w:rsidRDefault="001013F3" w:rsidP="001013F3">
            <w:pPr>
              <w:pStyle w:val="a7"/>
              <w:ind w:left="0"/>
              <w:rPr>
                <w:sz w:val="22"/>
              </w:rPr>
            </w:pPr>
            <w:proofErr w:type="spellStart"/>
            <w:r w:rsidRPr="002045F5">
              <w:rPr>
                <w:sz w:val="22"/>
              </w:rPr>
              <w:t>Сєвєродонецька</w:t>
            </w:r>
            <w:proofErr w:type="spellEnd"/>
            <w:r w:rsidRPr="002045F5">
              <w:rPr>
                <w:sz w:val="22"/>
              </w:rPr>
              <w:t xml:space="preserve"> </w:t>
            </w:r>
            <w:proofErr w:type="spellStart"/>
            <w:r w:rsidRPr="002045F5">
              <w:rPr>
                <w:sz w:val="22"/>
              </w:rPr>
              <w:t>міська</w:t>
            </w:r>
            <w:proofErr w:type="spellEnd"/>
            <w:r w:rsidRPr="002045F5">
              <w:rPr>
                <w:sz w:val="22"/>
              </w:rPr>
              <w:t xml:space="preserve"> </w:t>
            </w:r>
            <w:proofErr w:type="spellStart"/>
            <w:r w:rsidRPr="002045F5">
              <w:rPr>
                <w:sz w:val="22"/>
              </w:rPr>
              <w:t>територіальна</w:t>
            </w:r>
            <w:proofErr w:type="spellEnd"/>
            <w:r w:rsidRPr="002045F5">
              <w:rPr>
                <w:sz w:val="22"/>
              </w:rPr>
              <w:t xml:space="preserve"> громада</w:t>
            </w:r>
          </w:p>
        </w:tc>
      </w:tr>
      <w:tr w:rsidR="001013F3" w:rsidRPr="002045F5" w:rsidTr="00822744">
        <w:tc>
          <w:tcPr>
            <w:tcW w:w="2978" w:type="dxa"/>
            <w:shd w:val="clear" w:color="auto" w:fill="C6D9F1" w:themeFill="text2" w:themeFillTint="33"/>
          </w:tcPr>
          <w:p w:rsidR="001013F3" w:rsidRPr="002045F5" w:rsidRDefault="001013F3" w:rsidP="001013F3">
            <w:pPr>
              <w:pStyle w:val="a7"/>
              <w:ind w:left="0"/>
              <w:rPr>
                <w:b/>
                <w:sz w:val="22"/>
              </w:rPr>
            </w:pPr>
            <w:proofErr w:type="spellStart"/>
            <w:r w:rsidRPr="002045F5">
              <w:rPr>
                <w:b/>
                <w:sz w:val="22"/>
              </w:rPr>
              <w:t>Чисельність</w:t>
            </w:r>
            <w:proofErr w:type="spellEnd"/>
            <w:r w:rsidRPr="002045F5">
              <w:rPr>
                <w:b/>
                <w:sz w:val="22"/>
              </w:rPr>
              <w:t xml:space="preserve"> </w:t>
            </w:r>
            <w:proofErr w:type="spellStart"/>
            <w:r w:rsidRPr="002045F5">
              <w:rPr>
                <w:b/>
                <w:sz w:val="22"/>
              </w:rPr>
              <w:t>населення</w:t>
            </w:r>
            <w:proofErr w:type="spellEnd"/>
            <w:r w:rsidRPr="002045F5">
              <w:rPr>
                <w:b/>
                <w:sz w:val="22"/>
              </w:rPr>
              <w:t xml:space="preserve">, на яке </w:t>
            </w:r>
            <w:proofErr w:type="spellStart"/>
            <w:r w:rsidRPr="002045F5">
              <w:rPr>
                <w:b/>
                <w:sz w:val="22"/>
              </w:rPr>
              <w:t>матиме</w:t>
            </w:r>
            <w:proofErr w:type="spellEnd"/>
            <w:r w:rsidRPr="002045F5">
              <w:rPr>
                <w:b/>
                <w:sz w:val="22"/>
              </w:rPr>
              <w:t xml:space="preserve"> </w:t>
            </w:r>
            <w:proofErr w:type="spellStart"/>
            <w:r w:rsidRPr="002045F5">
              <w:rPr>
                <w:b/>
                <w:sz w:val="22"/>
              </w:rPr>
              <w:t>вплив</w:t>
            </w:r>
            <w:proofErr w:type="spellEnd"/>
            <w:r w:rsidRPr="002045F5">
              <w:rPr>
                <w:b/>
                <w:sz w:val="22"/>
              </w:rPr>
              <w:t xml:space="preserve"> </w:t>
            </w:r>
            <w:proofErr w:type="spellStart"/>
            <w:r w:rsidRPr="002045F5">
              <w:rPr>
                <w:b/>
                <w:sz w:val="22"/>
              </w:rPr>
              <w:t>реалізація</w:t>
            </w:r>
            <w:proofErr w:type="spellEnd"/>
            <w:r w:rsidRPr="002045F5">
              <w:rPr>
                <w:b/>
                <w:sz w:val="22"/>
              </w:rPr>
              <w:t xml:space="preserve"> проекту</w:t>
            </w:r>
          </w:p>
        </w:tc>
        <w:tc>
          <w:tcPr>
            <w:tcW w:w="6910" w:type="dxa"/>
            <w:gridSpan w:val="7"/>
          </w:tcPr>
          <w:p w:rsidR="001013F3" w:rsidRPr="002045F5" w:rsidRDefault="001013F3" w:rsidP="001013F3">
            <w:pPr>
              <w:pStyle w:val="a7"/>
              <w:ind w:left="0"/>
              <w:rPr>
                <w:sz w:val="22"/>
              </w:rPr>
            </w:pPr>
            <w:r w:rsidRPr="002045F5">
              <w:rPr>
                <w:sz w:val="22"/>
              </w:rPr>
              <w:t xml:space="preserve"> 70 </w:t>
            </w:r>
            <w:proofErr w:type="gramStart"/>
            <w:r w:rsidRPr="002045F5">
              <w:rPr>
                <w:sz w:val="22"/>
              </w:rPr>
              <w:t xml:space="preserve">000  </w:t>
            </w:r>
            <w:proofErr w:type="spellStart"/>
            <w:r w:rsidRPr="002045F5">
              <w:rPr>
                <w:sz w:val="22"/>
              </w:rPr>
              <w:t>осіб</w:t>
            </w:r>
            <w:proofErr w:type="spellEnd"/>
            <w:proofErr w:type="gramEnd"/>
          </w:p>
        </w:tc>
      </w:tr>
      <w:tr w:rsidR="001013F3" w:rsidRPr="002045F5" w:rsidTr="00822744">
        <w:tc>
          <w:tcPr>
            <w:tcW w:w="2978" w:type="dxa"/>
            <w:shd w:val="clear" w:color="auto" w:fill="C6D9F1" w:themeFill="text2" w:themeFillTint="33"/>
          </w:tcPr>
          <w:p w:rsidR="001013F3" w:rsidRPr="002045F5" w:rsidRDefault="001013F3" w:rsidP="001013F3">
            <w:pPr>
              <w:rPr>
                <w:b/>
                <w:sz w:val="22"/>
              </w:rPr>
            </w:pPr>
            <w:proofErr w:type="spellStart"/>
            <w:r w:rsidRPr="002045F5">
              <w:rPr>
                <w:b/>
                <w:sz w:val="22"/>
              </w:rPr>
              <w:t>Опис</w:t>
            </w:r>
            <w:proofErr w:type="spellEnd"/>
            <w:r w:rsidRPr="002045F5">
              <w:rPr>
                <w:b/>
                <w:sz w:val="22"/>
              </w:rPr>
              <w:t xml:space="preserve"> </w:t>
            </w:r>
            <w:proofErr w:type="spellStart"/>
            <w:r w:rsidRPr="002045F5">
              <w:rPr>
                <w:b/>
                <w:sz w:val="22"/>
              </w:rPr>
              <w:t>проблеми</w:t>
            </w:r>
            <w:proofErr w:type="spellEnd"/>
            <w:r w:rsidRPr="002045F5">
              <w:rPr>
                <w:b/>
                <w:sz w:val="22"/>
              </w:rPr>
              <w:t xml:space="preserve">, на </w:t>
            </w:r>
            <w:proofErr w:type="spellStart"/>
            <w:r w:rsidRPr="002045F5">
              <w:rPr>
                <w:b/>
                <w:sz w:val="22"/>
              </w:rPr>
              <w:t>вирішення</w:t>
            </w:r>
            <w:proofErr w:type="spellEnd"/>
            <w:r w:rsidRPr="002045F5">
              <w:rPr>
                <w:b/>
                <w:sz w:val="22"/>
              </w:rPr>
              <w:t xml:space="preserve"> </w:t>
            </w:r>
            <w:proofErr w:type="spellStart"/>
            <w:proofErr w:type="gramStart"/>
            <w:r w:rsidRPr="002045F5">
              <w:rPr>
                <w:b/>
                <w:sz w:val="22"/>
              </w:rPr>
              <w:t>якої</w:t>
            </w:r>
            <w:proofErr w:type="spellEnd"/>
            <w:r w:rsidRPr="002045F5">
              <w:rPr>
                <w:b/>
                <w:sz w:val="22"/>
              </w:rPr>
              <w:t xml:space="preserve">  </w:t>
            </w:r>
            <w:proofErr w:type="spellStart"/>
            <w:r w:rsidRPr="002045F5">
              <w:rPr>
                <w:b/>
                <w:sz w:val="22"/>
              </w:rPr>
              <w:t>спрямований</w:t>
            </w:r>
            <w:proofErr w:type="spellEnd"/>
            <w:proofErr w:type="gramEnd"/>
            <w:r w:rsidRPr="002045F5">
              <w:rPr>
                <w:b/>
                <w:sz w:val="22"/>
              </w:rPr>
              <w:t xml:space="preserve"> проект</w:t>
            </w:r>
          </w:p>
        </w:tc>
        <w:tc>
          <w:tcPr>
            <w:tcW w:w="6910" w:type="dxa"/>
            <w:gridSpan w:val="7"/>
          </w:tcPr>
          <w:p w:rsidR="001013F3" w:rsidRPr="002045F5" w:rsidRDefault="001013F3" w:rsidP="001013F3">
            <w:pPr>
              <w:rPr>
                <w:color w:val="000000"/>
                <w:sz w:val="22"/>
              </w:rPr>
            </w:pPr>
            <w:r w:rsidRPr="002045F5">
              <w:rPr>
                <w:color w:val="000000"/>
                <w:sz w:val="22"/>
              </w:rPr>
              <w:t xml:space="preserve">    Через </w:t>
            </w:r>
            <w:proofErr w:type="spellStart"/>
            <w:r w:rsidRPr="002045F5">
              <w:rPr>
                <w:color w:val="000000"/>
                <w:sz w:val="22"/>
              </w:rPr>
              <w:t>зростаючу</w:t>
            </w:r>
            <w:proofErr w:type="spellEnd"/>
            <w:r w:rsidRPr="002045F5">
              <w:rPr>
                <w:color w:val="000000"/>
                <w:sz w:val="22"/>
              </w:rPr>
              <w:t xml:space="preserve"> </w:t>
            </w:r>
            <w:proofErr w:type="spellStart"/>
            <w:r w:rsidRPr="002045F5">
              <w:rPr>
                <w:color w:val="000000"/>
                <w:sz w:val="22"/>
              </w:rPr>
              <w:t>популярність</w:t>
            </w:r>
            <w:proofErr w:type="spellEnd"/>
            <w:r w:rsidRPr="002045F5">
              <w:rPr>
                <w:color w:val="000000"/>
                <w:sz w:val="22"/>
              </w:rPr>
              <w:t xml:space="preserve"> в </w:t>
            </w:r>
            <w:proofErr w:type="spellStart"/>
            <w:r w:rsidRPr="002045F5">
              <w:rPr>
                <w:color w:val="000000"/>
                <w:sz w:val="22"/>
              </w:rPr>
              <w:t>шкільному</w:t>
            </w:r>
            <w:proofErr w:type="spellEnd"/>
            <w:r w:rsidRPr="002045F5">
              <w:rPr>
                <w:color w:val="000000"/>
                <w:sz w:val="22"/>
              </w:rPr>
              <w:t xml:space="preserve"> та </w:t>
            </w:r>
            <w:proofErr w:type="spellStart"/>
            <w:r w:rsidRPr="002045F5">
              <w:rPr>
                <w:color w:val="000000"/>
                <w:sz w:val="22"/>
              </w:rPr>
              <w:t>молодіжному</w:t>
            </w:r>
            <w:proofErr w:type="spellEnd"/>
            <w:r w:rsidRPr="002045F5">
              <w:rPr>
                <w:color w:val="000000"/>
                <w:sz w:val="22"/>
              </w:rPr>
              <w:t xml:space="preserve"> </w:t>
            </w:r>
            <w:proofErr w:type="spellStart"/>
            <w:r w:rsidRPr="002045F5">
              <w:rPr>
                <w:color w:val="000000"/>
                <w:sz w:val="22"/>
              </w:rPr>
              <w:t>середовищі</w:t>
            </w:r>
            <w:proofErr w:type="spellEnd"/>
            <w:r w:rsidRPr="002045F5">
              <w:rPr>
                <w:color w:val="000000"/>
                <w:sz w:val="22"/>
              </w:rPr>
              <w:t xml:space="preserve"> </w:t>
            </w:r>
            <w:proofErr w:type="spellStart"/>
            <w:r w:rsidRPr="002045F5">
              <w:rPr>
                <w:color w:val="000000"/>
                <w:sz w:val="22"/>
              </w:rPr>
              <w:t>комп’ютерних</w:t>
            </w:r>
            <w:proofErr w:type="spellEnd"/>
            <w:r w:rsidRPr="002045F5">
              <w:rPr>
                <w:color w:val="000000"/>
                <w:sz w:val="22"/>
              </w:rPr>
              <w:t xml:space="preserve"> </w:t>
            </w:r>
            <w:proofErr w:type="spellStart"/>
            <w:r w:rsidRPr="002045F5">
              <w:rPr>
                <w:color w:val="000000"/>
                <w:sz w:val="22"/>
              </w:rPr>
              <w:t>ігор</w:t>
            </w:r>
            <w:proofErr w:type="spellEnd"/>
            <w:r w:rsidRPr="002045F5">
              <w:rPr>
                <w:color w:val="000000"/>
                <w:sz w:val="22"/>
              </w:rPr>
              <w:t xml:space="preserve">, </w:t>
            </w:r>
            <w:proofErr w:type="spellStart"/>
            <w:r w:rsidRPr="002045F5">
              <w:rPr>
                <w:color w:val="000000"/>
                <w:sz w:val="22"/>
              </w:rPr>
              <w:t>переважна</w:t>
            </w:r>
            <w:proofErr w:type="spellEnd"/>
            <w:r w:rsidRPr="002045F5">
              <w:rPr>
                <w:color w:val="000000"/>
                <w:sz w:val="22"/>
              </w:rPr>
              <w:t xml:space="preserve"> </w:t>
            </w:r>
            <w:proofErr w:type="spellStart"/>
            <w:r w:rsidRPr="002045F5">
              <w:rPr>
                <w:color w:val="000000"/>
                <w:sz w:val="22"/>
              </w:rPr>
              <w:t>більшість</w:t>
            </w:r>
            <w:proofErr w:type="spellEnd"/>
            <w:r w:rsidRPr="002045F5">
              <w:rPr>
                <w:color w:val="000000"/>
                <w:sz w:val="22"/>
              </w:rPr>
              <w:t xml:space="preserve"> </w:t>
            </w:r>
            <w:proofErr w:type="spellStart"/>
            <w:r w:rsidRPr="002045F5">
              <w:rPr>
                <w:color w:val="000000"/>
                <w:sz w:val="22"/>
              </w:rPr>
              <w:t>дітей</w:t>
            </w:r>
            <w:proofErr w:type="spellEnd"/>
            <w:r w:rsidRPr="002045F5">
              <w:rPr>
                <w:color w:val="000000"/>
                <w:sz w:val="22"/>
              </w:rPr>
              <w:t xml:space="preserve"> і </w:t>
            </w:r>
            <w:proofErr w:type="spellStart"/>
            <w:r w:rsidRPr="002045F5">
              <w:rPr>
                <w:color w:val="000000"/>
                <w:sz w:val="22"/>
              </w:rPr>
              <w:t>підлітків</w:t>
            </w:r>
            <w:proofErr w:type="spellEnd"/>
            <w:r w:rsidRPr="002045F5">
              <w:rPr>
                <w:color w:val="000000"/>
                <w:sz w:val="22"/>
              </w:rPr>
              <w:t xml:space="preserve"> </w:t>
            </w:r>
            <w:proofErr w:type="spellStart"/>
            <w:r w:rsidRPr="002045F5">
              <w:rPr>
                <w:color w:val="000000"/>
                <w:sz w:val="22"/>
              </w:rPr>
              <w:t>залишаються</w:t>
            </w:r>
            <w:proofErr w:type="spellEnd"/>
            <w:r w:rsidRPr="002045F5">
              <w:rPr>
                <w:color w:val="000000"/>
                <w:sz w:val="22"/>
              </w:rPr>
              <w:t xml:space="preserve"> не </w:t>
            </w:r>
            <w:proofErr w:type="spellStart"/>
            <w:r w:rsidRPr="002045F5">
              <w:rPr>
                <w:color w:val="000000"/>
                <w:sz w:val="22"/>
              </w:rPr>
              <w:t>охопленими</w:t>
            </w:r>
            <w:proofErr w:type="spellEnd"/>
            <w:r w:rsidRPr="002045F5">
              <w:rPr>
                <w:color w:val="000000"/>
                <w:sz w:val="22"/>
              </w:rPr>
              <w:t xml:space="preserve"> </w:t>
            </w:r>
            <w:proofErr w:type="spellStart"/>
            <w:r w:rsidRPr="002045F5">
              <w:rPr>
                <w:color w:val="000000"/>
                <w:sz w:val="22"/>
              </w:rPr>
              <w:t>фізкультурно-оздоровчими</w:t>
            </w:r>
            <w:proofErr w:type="spellEnd"/>
            <w:r w:rsidRPr="002045F5">
              <w:rPr>
                <w:color w:val="000000"/>
                <w:sz w:val="22"/>
              </w:rPr>
              <w:t xml:space="preserve"> заходами. Не </w:t>
            </w:r>
            <w:proofErr w:type="spellStart"/>
            <w:r w:rsidRPr="002045F5">
              <w:rPr>
                <w:color w:val="000000"/>
                <w:sz w:val="22"/>
              </w:rPr>
              <w:t>менш</w:t>
            </w:r>
            <w:proofErr w:type="spellEnd"/>
            <w:r w:rsidRPr="002045F5">
              <w:rPr>
                <w:color w:val="000000"/>
                <w:sz w:val="22"/>
              </w:rPr>
              <w:t xml:space="preserve"> </w:t>
            </w:r>
            <w:proofErr w:type="spellStart"/>
            <w:r w:rsidRPr="002045F5">
              <w:rPr>
                <w:color w:val="000000"/>
                <w:sz w:val="22"/>
              </w:rPr>
              <w:t>важливою</w:t>
            </w:r>
            <w:proofErr w:type="spellEnd"/>
            <w:r w:rsidRPr="002045F5">
              <w:rPr>
                <w:color w:val="000000"/>
                <w:sz w:val="22"/>
              </w:rPr>
              <w:t xml:space="preserve"> причиною є </w:t>
            </w:r>
            <w:proofErr w:type="spellStart"/>
            <w:proofErr w:type="gramStart"/>
            <w:r w:rsidRPr="002045F5">
              <w:rPr>
                <w:color w:val="000000"/>
                <w:sz w:val="22"/>
              </w:rPr>
              <w:t>відсутність</w:t>
            </w:r>
            <w:proofErr w:type="spellEnd"/>
            <w:r w:rsidRPr="002045F5">
              <w:rPr>
                <w:color w:val="000000"/>
                <w:sz w:val="22"/>
              </w:rPr>
              <w:t xml:space="preserve">  у</w:t>
            </w:r>
            <w:proofErr w:type="gramEnd"/>
            <w:r w:rsidRPr="002045F5">
              <w:rPr>
                <w:color w:val="000000"/>
                <w:sz w:val="22"/>
              </w:rPr>
              <w:t xml:space="preserve">  </w:t>
            </w:r>
            <w:proofErr w:type="spellStart"/>
            <w:r w:rsidRPr="002045F5">
              <w:rPr>
                <w:color w:val="000000"/>
                <w:sz w:val="22"/>
              </w:rPr>
              <w:t>Новоастрахансько</w:t>
            </w:r>
            <w:r w:rsidR="007969DD" w:rsidRPr="002045F5">
              <w:rPr>
                <w:color w:val="000000"/>
                <w:sz w:val="22"/>
              </w:rPr>
              <w:t>го</w:t>
            </w:r>
            <w:proofErr w:type="spellEnd"/>
            <w:r w:rsidRPr="002045F5">
              <w:rPr>
                <w:color w:val="000000"/>
                <w:sz w:val="22"/>
              </w:rPr>
              <w:t xml:space="preserve"> </w:t>
            </w:r>
            <w:proofErr w:type="spellStart"/>
            <w:r w:rsidRPr="002045F5">
              <w:rPr>
                <w:color w:val="000000"/>
                <w:sz w:val="22"/>
              </w:rPr>
              <w:t>ліцею</w:t>
            </w:r>
            <w:proofErr w:type="spellEnd"/>
            <w:r w:rsidRPr="002045F5">
              <w:rPr>
                <w:color w:val="000000"/>
                <w:sz w:val="22"/>
              </w:rPr>
              <w:t xml:space="preserve"> спортивного залу, </w:t>
            </w:r>
            <w:proofErr w:type="spellStart"/>
            <w:r w:rsidRPr="002045F5">
              <w:rPr>
                <w:color w:val="000000"/>
                <w:sz w:val="22"/>
              </w:rPr>
              <w:t>який</w:t>
            </w:r>
            <w:proofErr w:type="spellEnd"/>
            <w:r w:rsidRPr="002045F5">
              <w:rPr>
                <w:color w:val="000000"/>
                <w:sz w:val="22"/>
              </w:rPr>
              <w:t xml:space="preserve"> би </w:t>
            </w:r>
            <w:proofErr w:type="spellStart"/>
            <w:r w:rsidRPr="002045F5">
              <w:rPr>
                <w:color w:val="000000"/>
                <w:sz w:val="22"/>
              </w:rPr>
              <w:t>відповідав</w:t>
            </w:r>
            <w:proofErr w:type="spellEnd"/>
            <w:r w:rsidRPr="002045F5">
              <w:rPr>
                <w:color w:val="000000"/>
                <w:sz w:val="22"/>
              </w:rPr>
              <w:t xml:space="preserve"> </w:t>
            </w:r>
            <w:proofErr w:type="spellStart"/>
            <w:r w:rsidRPr="002045F5">
              <w:rPr>
                <w:color w:val="000000"/>
                <w:sz w:val="22"/>
              </w:rPr>
              <w:t>державним</w:t>
            </w:r>
            <w:proofErr w:type="spellEnd"/>
            <w:r w:rsidRPr="002045F5">
              <w:rPr>
                <w:color w:val="000000"/>
                <w:sz w:val="22"/>
              </w:rPr>
              <w:t xml:space="preserve"> нормам</w:t>
            </w:r>
            <w:r w:rsidR="007969DD" w:rsidRPr="002045F5">
              <w:rPr>
                <w:color w:val="000000"/>
                <w:sz w:val="22"/>
              </w:rPr>
              <w:t>.</w:t>
            </w:r>
            <w:r w:rsidRPr="002045F5">
              <w:rPr>
                <w:color w:val="000000"/>
                <w:sz w:val="22"/>
              </w:rPr>
              <w:t xml:space="preserve"> </w:t>
            </w:r>
            <w:proofErr w:type="spellStart"/>
            <w:r w:rsidR="007969DD" w:rsidRPr="002045F5">
              <w:rPr>
                <w:color w:val="000000"/>
                <w:sz w:val="22"/>
              </w:rPr>
              <w:t>В</w:t>
            </w:r>
            <w:r w:rsidRPr="002045F5">
              <w:rPr>
                <w:color w:val="000000"/>
                <w:sz w:val="22"/>
              </w:rPr>
              <w:t>ідповідно</w:t>
            </w:r>
            <w:proofErr w:type="spellEnd"/>
            <w:r w:rsidR="007969DD" w:rsidRPr="002045F5">
              <w:rPr>
                <w:color w:val="000000"/>
                <w:sz w:val="22"/>
              </w:rPr>
              <w:t>,</w:t>
            </w:r>
            <w:r w:rsidRPr="002045F5">
              <w:rPr>
                <w:color w:val="000000"/>
                <w:sz w:val="22"/>
              </w:rPr>
              <w:t xml:space="preserve"> уроки </w:t>
            </w:r>
            <w:proofErr w:type="spellStart"/>
            <w:r w:rsidRPr="002045F5">
              <w:rPr>
                <w:color w:val="000000"/>
                <w:sz w:val="22"/>
              </w:rPr>
              <w:t>фізкультури</w:t>
            </w:r>
            <w:proofErr w:type="spellEnd"/>
            <w:r w:rsidRPr="002045F5">
              <w:rPr>
                <w:color w:val="000000"/>
                <w:sz w:val="22"/>
              </w:rPr>
              <w:t xml:space="preserve">, </w:t>
            </w:r>
            <w:proofErr w:type="spellStart"/>
            <w:r w:rsidRPr="002045F5">
              <w:rPr>
                <w:color w:val="000000"/>
                <w:sz w:val="22"/>
              </w:rPr>
              <w:t>спортивні</w:t>
            </w:r>
            <w:proofErr w:type="spellEnd"/>
            <w:r w:rsidRPr="002045F5">
              <w:rPr>
                <w:color w:val="000000"/>
                <w:sz w:val="22"/>
              </w:rPr>
              <w:t xml:space="preserve"> </w:t>
            </w:r>
            <w:proofErr w:type="spellStart"/>
            <w:r w:rsidRPr="002045F5">
              <w:rPr>
                <w:color w:val="000000"/>
                <w:sz w:val="22"/>
              </w:rPr>
              <w:t>гуртки</w:t>
            </w:r>
            <w:proofErr w:type="spellEnd"/>
            <w:r w:rsidRPr="002045F5">
              <w:rPr>
                <w:color w:val="000000"/>
                <w:sz w:val="22"/>
              </w:rPr>
              <w:t xml:space="preserve">, </w:t>
            </w:r>
            <w:proofErr w:type="spellStart"/>
            <w:proofErr w:type="gramStart"/>
            <w:r w:rsidRPr="002045F5">
              <w:rPr>
                <w:color w:val="000000"/>
                <w:sz w:val="22"/>
              </w:rPr>
              <w:t>секції</w:t>
            </w:r>
            <w:proofErr w:type="spellEnd"/>
            <w:r w:rsidRPr="002045F5">
              <w:rPr>
                <w:color w:val="000000"/>
                <w:sz w:val="22"/>
              </w:rPr>
              <w:t xml:space="preserve">  у</w:t>
            </w:r>
            <w:proofErr w:type="gramEnd"/>
            <w:r w:rsidRPr="002045F5">
              <w:rPr>
                <w:color w:val="000000"/>
                <w:sz w:val="22"/>
              </w:rPr>
              <w:t xml:space="preserve"> зимовий </w:t>
            </w:r>
            <w:proofErr w:type="spellStart"/>
            <w:r w:rsidRPr="002045F5">
              <w:rPr>
                <w:color w:val="000000"/>
                <w:sz w:val="22"/>
              </w:rPr>
              <w:t>період</w:t>
            </w:r>
            <w:proofErr w:type="spellEnd"/>
            <w:r w:rsidRPr="002045F5">
              <w:rPr>
                <w:color w:val="000000"/>
                <w:sz w:val="22"/>
              </w:rPr>
              <w:t xml:space="preserve"> та за </w:t>
            </w:r>
            <w:proofErr w:type="spellStart"/>
            <w:r w:rsidRPr="002045F5">
              <w:rPr>
                <w:color w:val="000000"/>
                <w:sz w:val="22"/>
              </w:rPr>
              <w:t>поганої</w:t>
            </w:r>
            <w:proofErr w:type="spellEnd"/>
            <w:r w:rsidRPr="002045F5">
              <w:rPr>
                <w:color w:val="000000"/>
                <w:sz w:val="22"/>
              </w:rPr>
              <w:t xml:space="preserve"> погоди </w:t>
            </w:r>
            <w:proofErr w:type="spellStart"/>
            <w:r w:rsidRPr="002045F5">
              <w:rPr>
                <w:color w:val="000000"/>
                <w:sz w:val="22"/>
              </w:rPr>
              <w:t>проводяться</w:t>
            </w:r>
            <w:proofErr w:type="spellEnd"/>
            <w:r w:rsidRPr="002045F5">
              <w:rPr>
                <w:color w:val="000000"/>
                <w:sz w:val="22"/>
              </w:rPr>
              <w:t xml:space="preserve"> у </w:t>
            </w:r>
            <w:proofErr w:type="spellStart"/>
            <w:r w:rsidRPr="002045F5">
              <w:rPr>
                <w:color w:val="000000"/>
                <w:sz w:val="22"/>
              </w:rPr>
              <w:t>прилаштованій</w:t>
            </w:r>
            <w:proofErr w:type="spellEnd"/>
            <w:r w:rsidRPr="002045F5">
              <w:rPr>
                <w:color w:val="000000"/>
                <w:sz w:val="22"/>
              </w:rPr>
              <w:t xml:space="preserve"> </w:t>
            </w:r>
            <w:proofErr w:type="spellStart"/>
            <w:r w:rsidRPr="002045F5">
              <w:rPr>
                <w:color w:val="000000"/>
                <w:sz w:val="22"/>
              </w:rPr>
              <w:t>спортивній</w:t>
            </w:r>
            <w:proofErr w:type="spellEnd"/>
            <w:r w:rsidRPr="002045F5">
              <w:rPr>
                <w:color w:val="000000"/>
                <w:sz w:val="22"/>
              </w:rPr>
              <w:t xml:space="preserve"> </w:t>
            </w:r>
            <w:proofErr w:type="spellStart"/>
            <w:r w:rsidRPr="002045F5">
              <w:rPr>
                <w:color w:val="000000"/>
                <w:sz w:val="22"/>
              </w:rPr>
              <w:t>кімнатці</w:t>
            </w:r>
            <w:proofErr w:type="spellEnd"/>
            <w:r w:rsidRPr="002045F5">
              <w:rPr>
                <w:color w:val="000000"/>
                <w:sz w:val="22"/>
              </w:rPr>
              <w:t xml:space="preserve"> </w:t>
            </w:r>
            <w:proofErr w:type="spellStart"/>
            <w:r w:rsidRPr="002045F5">
              <w:rPr>
                <w:color w:val="000000"/>
                <w:sz w:val="22"/>
              </w:rPr>
              <w:t>площею</w:t>
            </w:r>
            <w:proofErr w:type="spellEnd"/>
            <w:r w:rsidRPr="002045F5">
              <w:rPr>
                <w:color w:val="000000"/>
                <w:sz w:val="22"/>
              </w:rPr>
              <w:t xml:space="preserve"> 18 </w:t>
            </w:r>
            <w:proofErr w:type="spellStart"/>
            <w:r w:rsidRPr="002045F5">
              <w:rPr>
                <w:color w:val="000000"/>
                <w:sz w:val="22"/>
              </w:rPr>
              <w:t>кв.м</w:t>
            </w:r>
            <w:proofErr w:type="spellEnd"/>
            <w:r w:rsidRPr="002045F5">
              <w:rPr>
                <w:color w:val="000000"/>
                <w:sz w:val="22"/>
              </w:rPr>
              <w:t xml:space="preserve">, а спортивна </w:t>
            </w:r>
            <w:proofErr w:type="spellStart"/>
            <w:r w:rsidRPr="002045F5">
              <w:rPr>
                <w:color w:val="000000"/>
                <w:sz w:val="22"/>
              </w:rPr>
              <w:t>кімнатка</w:t>
            </w:r>
            <w:proofErr w:type="spellEnd"/>
            <w:r w:rsidRPr="002045F5">
              <w:rPr>
                <w:color w:val="000000"/>
                <w:sz w:val="22"/>
              </w:rPr>
              <w:t xml:space="preserve"> </w:t>
            </w:r>
            <w:proofErr w:type="spellStart"/>
            <w:r w:rsidRPr="002045F5">
              <w:rPr>
                <w:color w:val="000000"/>
                <w:sz w:val="22"/>
              </w:rPr>
              <w:t>розміщена</w:t>
            </w:r>
            <w:proofErr w:type="spellEnd"/>
            <w:r w:rsidRPr="002045F5">
              <w:rPr>
                <w:color w:val="000000"/>
                <w:sz w:val="22"/>
              </w:rPr>
              <w:t xml:space="preserve"> на </w:t>
            </w:r>
            <w:proofErr w:type="spellStart"/>
            <w:r w:rsidRPr="002045F5">
              <w:rPr>
                <w:color w:val="000000"/>
                <w:sz w:val="22"/>
              </w:rPr>
              <w:t>першому</w:t>
            </w:r>
            <w:proofErr w:type="spellEnd"/>
            <w:r w:rsidRPr="002045F5">
              <w:rPr>
                <w:color w:val="000000"/>
                <w:sz w:val="22"/>
              </w:rPr>
              <w:t xml:space="preserve"> </w:t>
            </w:r>
            <w:proofErr w:type="spellStart"/>
            <w:r w:rsidRPr="002045F5">
              <w:rPr>
                <w:color w:val="000000"/>
                <w:sz w:val="22"/>
              </w:rPr>
              <w:t>поверсі</w:t>
            </w:r>
            <w:proofErr w:type="spellEnd"/>
            <w:r w:rsidRPr="002045F5">
              <w:rPr>
                <w:color w:val="000000"/>
                <w:sz w:val="22"/>
              </w:rPr>
              <w:t xml:space="preserve"> </w:t>
            </w:r>
            <w:proofErr w:type="spellStart"/>
            <w:r w:rsidRPr="002045F5">
              <w:rPr>
                <w:color w:val="000000"/>
                <w:sz w:val="22"/>
              </w:rPr>
              <w:t>поряд</w:t>
            </w:r>
            <w:proofErr w:type="spellEnd"/>
            <w:r w:rsidRPr="002045F5">
              <w:rPr>
                <w:color w:val="000000"/>
                <w:sz w:val="22"/>
              </w:rPr>
              <w:t xml:space="preserve"> з </w:t>
            </w:r>
            <w:proofErr w:type="spellStart"/>
            <w:r w:rsidRPr="002045F5">
              <w:rPr>
                <w:color w:val="000000"/>
                <w:sz w:val="22"/>
              </w:rPr>
              <w:t>класними</w:t>
            </w:r>
            <w:proofErr w:type="spellEnd"/>
            <w:r w:rsidRPr="002045F5">
              <w:rPr>
                <w:color w:val="000000"/>
                <w:sz w:val="22"/>
              </w:rPr>
              <w:t xml:space="preserve"> </w:t>
            </w:r>
            <w:proofErr w:type="spellStart"/>
            <w:r w:rsidRPr="002045F5">
              <w:rPr>
                <w:color w:val="000000"/>
                <w:sz w:val="22"/>
              </w:rPr>
              <w:t>кімнатами</w:t>
            </w:r>
            <w:proofErr w:type="spellEnd"/>
            <w:r w:rsidRPr="002045F5">
              <w:rPr>
                <w:color w:val="000000"/>
                <w:sz w:val="22"/>
              </w:rPr>
              <w:t xml:space="preserve"> </w:t>
            </w:r>
            <w:proofErr w:type="spellStart"/>
            <w:r w:rsidRPr="002045F5">
              <w:rPr>
                <w:color w:val="000000"/>
                <w:sz w:val="22"/>
              </w:rPr>
              <w:t>початкової</w:t>
            </w:r>
            <w:proofErr w:type="spellEnd"/>
            <w:r w:rsidRPr="002045F5">
              <w:rPr>
                <w:color w:val="000000"/>
                <w:sz w:val="22"/>
              </w:rPr>
              <w:t xml:space="preserve"> </w:t>
            </w:r>
            <w:proofErr w:type="spellStart"/>
            <w:r w:rsidRPr="002045F5">
              <w:rPr>
                <w:color w:val="000000"/>
                <w:sz w:val="22"/>
              </w:rPr>
              <w:t>школи</w:t>
            </w:r>
            <w:proofErr w:type="spellEnd"/>
            <w:r w:rsidR="007969DD" w:rsidRPr="002045F5">
              <w:rPr>
                <w:color w:val="000000"/>
                <w:sz w:val="22"/>
              </w:rPr>
              <w:t>.</w:t>
            </w:r>
            <w:r w:rsidRPr="002045F5">
              <w:rPr>
                <w:color w:val="000000"/>
                <w:sz w:val="22"/>
              </w:rPr>
              <w:t xml:space="preserve"> </w:t>
            </w:r>
            <w:r w:rsidR="007969DD" w:rsidRPr="002045F5">
              <w:rPr>
                <w:color w:val="000000"/>
                <w:sz w:val="22"/>
              </w:rPr>
              <w:t>У</w:t>
            </w:r>
            <w:r w:rsidRPr="002045F5">
              <w:rPr>
                <w:color w:val="000000"/>
                <w:sz w:val="22"/>
              </w:rPr>
              <w:t xml:space="preserve">роки </w:t>
            </w:r>
            <w:proofErr w:type="spellStart"/>
            <w:r w:rsidRPr="002045F5">
              <w:rPr>
                <w:color w:val="000000"/>
                <w:sz w:val="22"/>
              </w:rPr>
              <w:t>фізкультури</w:t>
            </w:r>
            <w:proofErr w:type="spellEnd"/>
            <w:r w:rsidRPr="002045F5">
              <w:rPr>
                <w:color w:val="000000"/>
                <w:sz w:val="22"/>
              </w:rPr>
              <w:t xml:space="preserve"> </w:t>
            </w:r>
            <w:proofErr w:type="spellStart"/>
            <w:r w:rsidRPr="002045F5">
              <w:rPr>
                <w:color w:val="000000"/>
                <w:sz w:val="22"/>
              </w:rPr>
              <w:t>заважають</w:t>
            </w:r>
            <w:proofErr w:type="spellEnd"/>
            <w:r w:rsidRPr="002045F5">
              <w:rPr>
                <w:color w:val="000000"/>
                <w:sz w:val="22"/>
              </w:rPr>
              <w:t xml:space="preserve"> </w:t>
            </w:r>
            <w:proofErr w:type="spellStart"/>
            <w:r w:rsidRPr="002045F5">
              <w:rPr>
                <w:color w:val="000000"/>
                <w:sz w:val="22"/>
              </w:rPr>
              <w:t>проводити</w:t>
            </w:r>
            <w:proofErr w:type="spellEnd"/>
            <w:r w:rsidRPr="002045F5">
              <w:rPr>
                <w:color w:val="000000"/>
                <w:sz w:val="22"/>
              </w:rPr>
              <w:t xml:space="preserve"> </w:t>
            </w:r>
            <w:proofErr w:type="spellStart"/>
            <w:r w:rsidRPr="002045F5">
              <w:rPr>
                <w:color w:val="000000"/>
                <w:sz w:val="22"/>
              </w:rPr>
              <w:t>навчання</w:t>
            </w:r>
            <w:proofErr w:type="spellEnd"/>
            <w:r w:rsidRPr="002045F5">
              <w:rPr>
                <w:color w:val="000000"/>
                <w:sz w:val="22"/>
              </w:rPr>
              <w:t xml:space="preserve"> </w:t>
            </w:r>
            <w:proofErr w:type="spellStart"/>
            <w:r w:rsidRPr="002045F5">
              <w:rPr>
                <w:color w:val="000000"/>
                <w:sz w:val="22"/>
              </w:rPr>
              <w:t>тим</w:t>
            </w:r>
            <w:proofErr w:type="spellEnd"/>
            <w:r w:rsidRPr="002045F5">
              <w:rPr>
                <w:color w:val="000000"/>
                <w:sz w:val="22"/>
              </w:rPr>
              <w:t xml:space="preserve">, </w:t>
            </w:r>
            <w:proofErr w:type="spellStart"/>
            <w:r w:rsidRPr="002045F5">
              <w:rPr>
                <w:color w:val="000000"/>
                <w:sz w:val="22"/>
              </w:rPr>
              <w:t>хто</w:t>
            </w:r>
            <w:proofErr w:type="spellEnd"/>
            <w:r w:rsidRPr="002045F5">
              <w:rPr>
                <w:color w:val="000000"/>
                <w:sz w:val="22"/>
              </w:rPr>
              <w:t xml:space="preserve"> </w:t>
            </w:r>
            <w:proofErr w:type="spellStart"/>
            <w:r w:rsidRPr="002045F5">
              <w:rPr>
                <w:color w:val="000000"/>
                <w:sz w:val="22"/>
              </w:rPr>
              <w:t>знаходиться</w:t>
            </w:r>
            <w:proofErr w:type="spellEnd"/>
            <w:r w:rsidRPr="002045F5">
              <w:rPr>
                <w:color w:val="000000"/>
                <w:sz w:val="22"/>
              </w:rPr>
              <w:t xml:space="preserve"> на </w:t>
            </w:r>
            <w:proofErr w:type="spellStart"/>
            <w:r w:rsidRPr="002045F5">
              <w:rPr>
                <w:color w:val="000000"/>
                <w:sz w:val="22"/>
              </w:rPr>
              <w:t>першому</w:t>
            </w:r>
            <w:proofErr w:type="spellEnd"/>
            <w:r w:rsidRPr="002045F5">
              <w:rPr>
                <w:color w:val="000000"/>
                <w:sz w:val="22"/>
              </w:rPr>
              <w:t xml:space="preserve"> </w:t>
            </w:r>
            <w:proofErr w:type="spellStart"/>
            <w:r w:rsidRPr="002045F5">
              <w:rPr>
                <w:color w:val="000000"/>
                <w:sz w:val="22"/>
              </w:rPr>
              <w:t>поверсі</w:t>
            </w:r>
            <w:proofErr w:type="spellEnd"/>
            <w:r w:rsidRPr="002045F5">
              <w:rPr>
                <w:color w:val="000000"/>
                <w:sz w:val="22"/>
              </w:rPr>
              <w:t xml:space="preserve">. </w:t>
            </w:r>
            <w:proofErr w:type="spellStart"/>
            <w:r w:rsidRPr="002045F5">
              <w:rPr>
                <w:color w:val="000000"/>
                <w:sz w:val="22"/>
              </w:rPr>
              <w:t>Це</w:t>
            </w:r>
            <w:proofErr w:type="spellEnd"/>
            <w:r w:rsidRPr="002045F5">
              <w:rPr>
                <w:color w:val="000000"/>
                <w:sz w:val="22"/>
              </w:rPr>
              <w:t xml:space="preserve"> </w:t>
            </w:r>
            <w:proofErr w:type="spellStart"/>
            <w:r w:rsidRPr="002045F5">
              <w:rPr>
                <w:color w:val="000000"/>
                <w:sz w:val="22"/>
              </w:rPr>
              <w:t>призводить</w:t>
            </w:r>
            <w:proofErr w:type="spellEnd"/>
            <w:r w:rsidRPr="002045F5">
              <w:rPr>
                <w:color w:val="000000"/>
                <w:sz w:val="22"/>
              </w:rPr>
              <w:t xml:space="preserve"> до </w:t>
            </w:r>
            <w:proofErr w:type="spellStart"/>
            <w:r w:rsidRPr="002045F5">
              <w:rPr>
                <w:color w:val="000000"/>
                <w:sz w:val="22"/>
              </w:rPr>
              <w:t>психологічного</w:t>
            </w:r>
            <w:proofErr w:type="spellEnd"/>
            <w:r w:rsidRPr="002045F5">
              <w:rPr>
                <w:color w:val="000000"/>
                <w:sz w:val="22"/>
              </w:rPr>
              <w:t xml:space="preserve"> </w:t>
            </w:r>
            <w:proofErr w:type="spellStart"/>
            <w:r w:rsidRPr="002045F5">
              <w:rPr>
                <w:color w:val="000000"/>
                <w:sz w:val="22"/>
              </w:rPr>
              <w:t>навантаження</w:t>
            </w:r>
            <w:proofErr w:type="spellEnd"/>
            <w:r w:rsidRPr="002045F5">
              <w:rPr>
                <w:color w:val="000000"/>
                <w:sz w:val="22"/>
              </w:rPr>
              <w:t xml:space="preserve"> </w:t>
            </w:r>
            <w:proofErr w:type="spellStart"/>
            <w:r w:rsidRPr="002045F5">
              <w:rPr>
                <w:color w:val="000000"/>
                <w:sz w:val="22"/>
              </w:rPr>
              <w:t>учнів</w:t>
            </w:r>
            <w:proofErr w:type="spellEnd"/>
            <w:r w:rsidRPr="002045F5">
              <w:rPr>
                <w:color w:val="000000"/>
                <w:sz w:val="22"/>
              </w:rPr>
              <w:t xml:space="preserve"> та </w:t>
            </w:r>
            <w:proofErr w:type="spellStart"/>
            <w:r w:rsidRPr="002045F5">
              <w:rPr>
                <w:color w:val="000000"/>
                <w:sz w:val="22"/>
              </w:rPr>
              <w:t>вчителів</w:t>
            </w:r>
            <w:proofErr w:type="spellEnd"/>
            <w:r w:rsidRPr="002045F5">
              <w:rPr>
                <w:color w:val="000000"/>
                <w:sz w:val="22"/>
              </w:rPr>
              <w:t xml:space="preserve">. </w:t>
            </w:r>
            <w:proofErr w:type="spellStart"/>
            <w:r w:rsidRPr="002045F5">
              <w:rPr>
                <w:color w:val="000000"/>
                <w:sz w:val="22"/>
              </w:rPr>
              <w:t>Шкільного</w:t>
            </w:r>
            <w:proofErr w:type="spellEnd"/>
            <w:r w:rsidRPr="002045F5">
              <w:rPr>
                <w:color w:val="000000"/>
                <w:sz w:val="22"/>
              </w:rPr>
              <w:t xml:space="preserve"> </w:t>
            </w:r>
            <w:proofErr w:type="spellStart"/>
            <w:r w:rsidRPr="002045F5">
              <w:rPr>
                <w:color w:val="000000"/>
                <w:sz w:val="22"/>
              </w:rPr>
              <w:t>стадіону</w:t>
            </w:r>
            <w:proofErr w:type="spellEnd"/>
            <w:r w:rsidRPr="002045F5">
              <w:rPr>
                <w:color w:val="000000"/>
                <w:sz w:val="22"/>
              </w:rPr>
              <w:t xml:space="preserve">, </w:t>
            </w:r>
            <w:proofErr w:type="spellStart"/>
            <w:r w:rsidRPr="002045F5">
              <w:rPr>
                <w:color w:val="000000"/>
                <w:sz w:val="22"/>
              </w:rPr>
              <w:t>спортивних</w:t>
            </w:r>
            <w:proofErr w:type="spellEnd"/>
            <w:r w:rsidRPr="002045F5">
              <w:rPr>
                <w:color w:val="000000"/>
                <w:sz w:val="22"/>
              </w:rPr>
              <w:t xml:space="preserve"> та </w:t>
            </w:r>
            <w:proofErr w:type="spellStart"/>
            <w:r w:rsidRPr="002045F5">
              <w:rPr>
                <w:color w:val="000000"/>
                <w:sz w:val="22"/>
              </w:rPr>
              <w:t>дитячих</w:t>
            </w:r>
            <w:proofErr w:type="spellEnd"/>
            <w:r w:rsidRPr="002045F5">
              <w:rPr>
                <w:color w:val="000000"/>
                <w:sz w:val="22"/>
              </w:rPr>
              <w:t xml:space="preserve"> </w:t>
            </w:r>
            <w:proofErr w:type="spellStart"/>
            <w:r w:rsidRPr="002045F5">
              <w:rPr>
                <w:color w:val="000000"/>
                <w:sz w:val="22"/>
              </w:rPr>
              <w:t>майданчиків</w:t>
            </w:r>
            <w:proofErr w:type="spellEnd"/>
            <w:r w:rsidRPr="002045F5">
              <w:rPr>
                <w:color w:val="000000"/>
                <w:sz w:val="22"/>
              </w:rPr>
              <w:t xml:space="preserve"> </w:t>
            </w:r>
            <w:proofErr w:type="spellStart"/>
            <w:r w:rsidRPr="002045F5">
              <w:rPr>
                <w:color w:val="000000"/>
                <w:sz w:val="22"/>
              </w:rPr>
              <w:t>немає</w:t>
            </w:r>
            <w:proofErr w:type="spellEnd"/>
            <w:r w:rsidRPr="002045F5">
              <w:rPr>
                <w:color w:val="000000"/>
                <w:sz w:val="22"/>
              </w:rPr>
              <w:t xml:space="preserve">. </w:t>
            </w:r>
          </w:p>
          <w:p w:rsidR="001013F3" w:rsidRPr="002045F5" w:rsidRDefault="001013F3" w:rsidP="001013F3">
            <w:pPr>
              <w:rPr>
                <w:rFonts w:eastAsia="Arial"/>
                <w:sz w:val="22"/>
              </w:rPr>
            </w:pPr>
            <w:r w:rsidRPr="002045F5">
              <w:rPr>
                <w:sz w:val="22"/>
              </w:rPr>
              <w:t xml:space="preserve">    </w:t>
            </w:r>
            <w:r w:rsidRPr="002045F5">
              <w:rPr>
                <w:rFonts w:eastAsia="Arial"/>
                <w:sz w:val="22"/>
              </w:rPr>
              <w:t xml:space="preserve"> </w:t>
            </w:r>
            <w:proofErr w:type="spellStart"/>
            <w:r w:rsidRPr="002045F5">
              <w:rPr>
                <w:rFonts w:eastAsia="Arial"/>
                <w:sz w:val="22"/>
              </w:rPr>
              <w:t>Всі</w:t>
            </w:r>
            <w:proofErr w:type="spellEnd"/>
            <w:r w:rsidRPr="002045F5">
              <w:rPr>
                <w:rFonts w:eastAsia="Arial"/>
                <w:sz w:val="22"/>
              </w:rPr>
              <w:t xml:space="preserve"> </w:t>
            </w:r>
            <w:proofErr w:type="spellStart"/>
            <w:r w:rsidRPr="002045F5">
              <w:rPr>
                <w:rFonts w:eastAsia="Arial"/>
                <w:sz w:val="22"/>
              </w:rPr>
              <w:t>учасники</w:t>
            </w:r>
            <w:proofErr w:type="spellEnd"/>
            <w:r w:rsidRPr="002045F5">
              <w:rPr>
                <w:rFonts w:eastAsia="Arial"/>
                <w:sz w:val="22"/>
              </w:rPr>
              <w:t xml:space="preserve"> </w:t>
            </w:r>
            <w:proofErr w:type="spellStart"/>
            <w:r w:rsidRPr="002045F5">
              <w:rPr>
                <w:rFonts w:eastAsia="Arial"/>
                <w:sz w:val="22"/>
              </w:rPr>
              <w:t>освітнього</w:t>
            </w:r>
            <w:proofErr w:type="spellEnd"/>
            <w:r w:rsidRPr="002045F5">
              <w:rPr>
                <w:rFonts w:eastAsia="Arial"/>
                <w:sz w:val="22"/>
              </w:rPr>
              <w:t xml:space="preserve"> </w:t>
            </w:r>
            <w:proofErr w:type="spellStart"/>
            <w:r w:rsidRPr="002045F5">
              <w:rPr>
                <w:rFonts w:eastAsia="Arial"/>
                <w:sz w:val="22"/>
              </w:rPr>
              <w:t>процесу</w:t>
            </w:r>
            <w:proofErr w:type="spellEnd"/>
            <w:r w:rsidRPr="002045F5">
              <w:rPr>
                <w:rFonts w:eastAsia="Arial"/>
                <w:sz w:val="22"/>
              </w:rPr>
              <w:t xml:space="preserve"> </w:t>
            </w:r>
            <w:proofErr w:type="spellStart"/>
            <w:r w:rsidRPr="002045F5">
              <w:rPr>
                <w:rFonts w:eastAsia="Arial"/>
                <w:sz w:val="22"/>
              </w:rPr>
              <w:t>потребують</w:t>
            </w:r>
            <w:proofErr w:type="spellEnd"/>
            <w:r w:rsidRPr="002045F5">
              <w:rPr>
                <w:rFonts w:eastAsia="Arial"/>
                <w:sz w:val="22"/>
              </w:rPr>
              <w:t xml:space="preserve"> </w:t>
            </w:r>
            <w:proofErr w:type="spellStart"/>
            <w:r w:rsidRPr="002045F5">
              <w:rPr>
                <w:rFonts w:eastAsia="Arial"/>
                <w:sz w:val="22"/>
              </w:rPr>
              <w:t>підвищення</w:t>
            </w:r>
            <w:proofErr w:type="spellEnd"/>
            <w:r w:rsidRPr="002045F5">
              <w:rPr>
                <w:rFonts w:eastAsia="Arial"/>
                <w:sz w:val="22"/>
              </w:rPr>
              <w:t xml:space="preserve"> </w:t>
            </w:r>
            <w:proofErr w:type="spellStart"/>
            <w:r w:rsidRPr="002045F5">
              <w:rPr>
                <w:rFonts w:eastAsia="Arial"/>
                <w:sz w:val="22"/>
              </w:rPr>
              <w:t>доступності</w:t>
            </w:r>
            <w:proofErr w:type="spellEnd"/>
            <w:r w:rsidRPr="002045F5">
              <w:rPr>
                <w:rFonts w:eastAsia="Arial"/>
                <w:sz w:val="22"/>
              </w:rPr>
              <w:t xml:space="preserve"> та </w:t>
            </w:r>
            <w:proofErr w:type="spellStart"/>
            <w:r w:rsidRPr="002045F5">
              <w:rPr>
                <w:rFonts w:eastAsia="Arial"/>
                <w:sz w:val="22"/>
              </w:rPr>
              <w:t>якості</w:t>
            </w:r>
            <w:proofErr w:type="spellEnd"/>
            <w:r w:rsidRPr="002045F5">
              <w:rPr>
                <w:rFonts w:eastAsia="Arial"/>
                <w:sz w:val="22"/>
              </w:rPr>
              <w:t xml:space="preserve"> </w:t>
            </w:r>
            <w:proofErr w:type="spellStart"/>
            <w:r w:rsidRPr="002045F5">
              <w:rPr>
                <w:rFonts w:eastAsia="Arial"/>
                <w:sz w:val="22"/>
              </w:rPr>
              <w:t>освітніх</w:t>
            </w:r>
            <w:proofErr w:type="spellEnd"/>
            <w:r w:rsidRPr="002045F5">
              <w:rPr>
                <w:rFonts w:eastAsia="Arial"/>
                <w:sz w:val="22"/>
              </w:rPr>
              <w:t xml:space="preserve"> </w:t>
            </w:r>
            <w:proofErr w:type="spellStart"/>
            <w:r w:rsidRPr="002045F5">
              <w:rPr>
                <w:rFonts w:eastAsia="Arial"/>
                <w:sz w:val="22"/>
              </w:rPr>
              <w:t>послуг</w:t>
            </w:r>
            <w:proofErr w:type="spellEnd"/>
            <w:r w:rsidRPr="002045F5">
              <w:rPr>
                <w:rFonts w:eastAsia="Arial"/>
                <w:sz w:val="22"/>
              </w:rPr>
              <w:t xml:space="preserve">, </w:t>
            </w:r>
            <w:proofErr w:type="spellStart"/>
            <w:r w:rsidRPr="002045F5">
              <w:rPr>
                <w:rFonts w:eastAsia="Arial"/>
                <w:sz w:val="22"/>
              </w:rPr>
              <w:t>які</w:t>
            </w:r>
            <w:proofErr w:type="spellEnd"/>
            <w:r w:rsidRPr="002045F5">
              <w:rPr>
                <w:rFonts w:eastAsia="Arial"/>
                <w:sz w:val="22"/>
              </w:rPr>
              <w:t xml:space="preserve"> </w:t>
            </w:r>
            <w:proofErr w:type="spellStart"/>
            <w:r w:rsidRPr="002045F5">
              <w:rPr>
                <w:rFonts w:eastAsia="Arial"/>
                <w:sz w:val="22"/>
              </w:rPr>
              <w:t>відповідають</w:t>
            </w:r>
            <w:proofErr w:type="spellEnd"/>
            <w:r w:rsidRPr="002045F5">
              <w:rPr>
                <w:rFonts w:eastAsia="Arial"/>
                <w:sz w:val="22"/>
              </w:rPr>
              <w:t xml:space="preserve"> нормам </w:t>
            </w:r>
            <w:proofErr w:type="spellStart"/>
            <w:r w:rsidRPr="002045F5">
              <w:rPr>
                <w:rFonts w:eastAsia="Arial"/>
                <w:sz w:val="22"/>
              </w:rPr>
              <w:t>сучасності</w:t>
            </w:r>
            <w:proofErr w:type="spellEnd"/>
            <w:r w:rsidRPr="002045F5">
              <w:rPr>
                <w:rFonts w:eastAsia="Arial"/>
                <w:sz w:val="22"/>
              </w:rPr>
              <w:t xml:space="preserve">. І </w:t>
            </w:r>
            <w:proofErr w:type="spellStart"/>
            <w:r w:rsidRPr="002045F5">
              <w:rPr>
                <w:rFonts w:eastAsia="Arial"/>
                <w:sz w:val="22"/>
              </w:rPr>
              <w:t>завдяки</w:t>
            </w:r>
            <w:proofErr w:type="spellEnd"/>
            <w:r w:rsidRPr="002045F5">
              <w:rPr>
                <w:rFonts w:eastAsia="Arial"/>
                <w:sz w:val="22"/>
              </w:rPr>
              <w:t xml:space="preserve"> </w:t>
            </w:r>
            <w:proofErr w:type="spellStart"/>
            <w:r w:rsidRPr="002045F5">
              <w:rPr>
                <w:rFonts w:eastAsia="Arial"/>
                <w:sz w:val="22"/>
              </w:rPr>
              <w:t>втіленню</w:t>
            </w:r>
            <w:proofErr w:type="spellEnd"/>
            <w:r w:rsidRPr="002045F5">
              <w:rPr>
                <w:rFonts w:eastAsia="Arial"/>
                <w:sz w:val="22"/>
              </w:rPr>
              <w:t xml:space="preserve"> </w:t>
            </w:r>
            <w:proofErr w:type="spellStart"/>
            <w:r w:rsidRPr="002045F5">
              <w:rPr>
                <w:rFonts w:eastAsia="Arial"/>
                <w:sz w:val="22"/>
              </w:rPr>
              <w:t>про</w:t>
            </w:r>
            <w:r w:rsidR="00084E2E" w:rsidRPr="002045F5">
              <w:rPr>
                <w:rFonts w:eastAsia="Arial"/>
                <w:sz w:val="22"/>
              </w:rPr>
              <w:t>є</w:t>
            </w:r>
            <w:r w:rsidRPr="002045F5">
              <w:rPr>
                <w:rFonts w:eastAsia="Arial"/>
                <w:sz w:val="22"/>
              </w:rPr>
              <w:t>кту</w:t>
            </w:r>
            <w:proofErr w:type="spellEnd"/>
            <w:r w:rsidRPr="002045F5">
              <w:rPr>
                <w:rFonts w:eastAsia="Arial"/>
                <w:sz w:val="22"/>
              </w:rPr>
              <w:t xml:space="preserve"> на </w:t>
            </w:r>
            <w:proofErr w:type="spellStart"/>
            <w:r w:rsidRPr="002045F5">
              <w:rPr>
                <w:rFonts w:eastAsia="Arial"/>
                <w:sz w:val="22"/>
              </w:rPr>
              <w:t>території</w:t>
            </w:r>
            <w:proofErr w:type="spellEnd"/>
            <w:r w:rsidRPr="002045F5">
              <w:rPr>
                <w:rFonts w:eastAsia="Arial"/>
                <w:sz w:val="22"/>
              </w:rPr>
              <w:t xml:space="preserve"> </w:t>
            </w:r>
            <w:proofErr w:type="spellStart"/>
            <w:r w:rsidRPr="002045F5">
              <w:rPr>
                <w:rFonts w:eastAsia="Arial"/>
                <w:sz w:val="22"/>
              </w:rPr>
              <w:t>громади</w:t>
            </w:r>
            <w:proofErr w:type="spellEnd"/>
            <w:r w:rsidRPr="002045F5">
              <w:rPr>
                <w:rFonts w:eastAsia="Arial"/>
                <w:sz w:val="22"/>
              </w:rPr>
              <w:t xml:space="preserve"> буде </w:t>
            </w:r>
            <w:proofErr w:type="spellStart"/>
            <w:r w:rsidRPr="002045F5">
              <w:rPr>
                <w:rFonts w:eastAsia="Arial"/>
                <w:sz w:val="22"/>
              </w:rPr>
              <w:lastRenderedPageBreak/>
              <w:t>функціонувати</w:t>
            </w:r>
            <w:proofErr w:type="spellEnd"/>
            <w:r w:rsidRPr="002045F5">
              <w:rPr>
                <w:rFonts w:eastAsia="Arial"/>
                <w:sz w:val="22"/>
              </w:rPr>
              <w:t xml:space="preserve"> </w:t>
            </w:r>
            <w:proofErr w:type="spellStart"/>
            <w:r w:rsidRPr="002045F5">
              <w:rPr>
                <w:rFonts w:eastAsia="Arial"/>
                <w:sz w:val="22"/>
              </w:rPr>
              <w:t>сучасно</w:t>
            </w:r>
            <w:proofErr w:type="spellEnd"/>
            <w:r w:rsidRPr="002045F5">
              <w:rPr>
                <w:rFonts w:eastAsia="Arial"/>
                <w:sz w:val="22"/>
              </w:rPr>
              <w:t xml:space="preserve"> </w:t>
            </w:r>
            <w:proofErr w:type="spellStart"/>
            <w:r w:rsidRPr="002045F5">
              <w:rPr>
                <w:rFonts w:eastAsia="Arial"/>
                <w:sz w:val="22"/>
              </w:rPr>
              <w:t>обладнаний</w:t>
            </w:r>
            <w:proofErr w:type="spellEnd"/>
            <w:r w:rsidRPr="002045F5">
              <w:rPr>
                <w:rFonts w:eastAsia="Arial"/>
                <w:sz w:val="22"/>
              </w:rPr>
              <w:t xml:space="preserve"> </w:t>
            </w:r>
            <w:proofErr w:type="spellStart"/>
            <w:r w:rsidRPr="002045F5">
              <w:rPr>
                <w:rFonts w:eastAsia="Arial"/>
                <w:sz w:val="22"/>
              </w:rPr>
              <w:t>спортивний</w:t>
            </w:r>
            <w:proofErr w:type="spellEnd"/>
            <w:r w:rsidRPr="002045F5">
              <w:rPr>
                <w:rFonts w:eastAsia="Arial"/>
                <w:sz w:val="22"/>
              </w:rPr>
              <w:t xml:space="preserve"> зал для </w:t>
            </w:r>
            <w:proofErr w:type="spellStart"/>
            <w:r w:rsidRPr="002045F5">
              <w:rPr>
                <w:rFonts w:eastAsia="Arial"/>
                <w:sz w:val="22"/>
              </w:rPr>
              <w:t>всіх</w:t>
            </w:r>
            <w:proofErr w:type="spellEnd"/>
            <w:r w:rsidRPr="002045F5">
              <w:rPr>
                <w:rFonts w:eastAsia="Arial"/>
                <w:sz w:val="22"/>
              </w:rPr>
              <w:t xml:space="preserve"> </w:t>
            </w:r>
            <w:proofErr w:type="spellStart"/>
            <w:r w:rsidRPr="002045F5">
              <w:rPr>
                <w:rFonts w:eastAsia="Arial"/>
                <w:sz w:val="22"/>
              </w:rPr>
              <w:t>учасників</w:t>
            </w:r>
            <w:proofErr w:type="spellEnd"/>
            <w:r w:rsidRPr="002045F5">
              <w:rPr>
                <w:rFonts w:eastAsia="Arial"/>
                <w:sz w:val="22"/>
              </w:rPr>
              <w:t xml:space="preserve"> </w:t>
            </w:r>
            <w:proofErr w:type="spellStart"/>
            <w:r w:rsidRPr="002045F5">
              <w:rPr>
                <w:rFonts w:eastAsia="Arial"/>
                <w:sz w:val="22"/>
              </w:rPr>
              <w:t>освітнього</w:t>
            </w:r>
            <w:proofErr w:type="spellEnd"/>
            <w:r w:rsidRPr="002045F5">
              <w:rPr>
                <w:rFonts w:eastAsia="Arial"/>
                <w:sz w:val="22"/>
              </w:rPr>
              <w:t xml:space="preserve"> </w:t>
            </w:r>
            <w:proofErr w:type="spellStart"/>
            <w:proofErr w:type="gramStart"/>
            <w:r w:rsidRPr="002045F5">
              <w:rPr>
                <w:rFonts w:eastAsia="Arial"/>
                <w:sz w:val="22"/>
              </w:rPr>
              <w:t>процесу</w:t>
            </w:r>
            <w:proofErr w:type="spellEnd"/>
            <w:r w:rsidRPr="002045F5">
              <w:rPr>
                <w:rFonts w:eastAsia="Arial"/>
                <w:sz w:val="22"/>
              </w:rPr>
              <w:t>,  у</w:t>
            </w:r>
            <w:proofErr w:type="gramEnd"/>
            <w:r w:rsidRPr="002045F5">
              <w:rPr>
                <w:rFonts w:eastAsia="Arial"/>
                <w:sz w:val="22"/>
              </w:rPr>
              <w:t xml:space="preserve"> тому </w:t>
            </w:r>
            <w:proofErr w:type="spellStart"/>
            <w:r w:rsidRPr="002045F5">
              <w:rPr>
                <w:rFonts w:eastAsia="Arial"/>
                <w:sz w:val="22"/>
              </w:rPr>
              <w:t>числі</w:t>
            </w:r>
            <w:proofErr w:type="spellEnd"/>
            <w:r w:rsidRPr="002045F5">
              <w:rPr>
                <w:rFonts w:eastAsia="Arial"/>
                <w:sz w:val="22"/>
              </w:rPr>
              <w:t xml:space="preserve"> для </w:t>
            </w:r>
            <w:proofErr w:type="spellStart"/>
            <w:r w:rsidRPr="002045F5">
              <w:rPr>
                <w:rFonts w:eastAsia="Arial"/>
                <w:sz w:val="22"/>
              </w:rPr>
              <w:t>осіб</w:t>
            </w:r>
            <w:proofErr w:type="spellEnd"/>
            <w:r w:rsidRPr="002045F5">
              <w:rPr>
                <w:rFonts w:eastAsia="Arial"/>
                <w:sz w:val="22"/>
              </w:rPr>
              <w:t xml:space="preserve"> з </w:t>
            </w:r>
            <w:proofErr w:type="spellStart"/>
            <w:r w:rsidRPr="002045F5">
              <w:rPr>
                <w:rFonts w:eastAsia="Arial"/>
                <w:sz w:val="22"/>
              </w:rPr>
              <w:t>обмеженими</w:t>
            </w:r>
            <w:proofErr w:type="spellEnd"/>
            <w:r w:rsidRPr="002045F5">
              <w:rPr>
                <w:rFonts w:eastAsia="Arial"/>
                <w:sz w:val="22"/>
              </w:rPr>
              <w:t xml:space="preserve"> </w:t>
            </w:r>
            <w:proofErr w:type="spellStart"/>
            <w:r w:rsidRPr="002045F5">
              <w:rPr>
                <w:rFonts w:eastAsia="Arial"/>
                <w:sz w:val="22"/>
              </w:rPr>
              <w:t>можливостями</w:t>
            </w:r>
            <w:proofErr w:type="spellEnd"/>
            <w:r w:rsidRPr="002045F5">
              <w:rPr>
                <w:rFonts w:eastAsia="Arial"/>
                <w:sz w:val="22"/>
              </w:rPr>
              <w:t xml:space="preserve">, де </w:t>
            </w:r>
            <w:proofErr w:type="spellStart"/>
            <w:r w:rsidRPr="002045F5">
              <w:rPr>
                <w:rFonts w:eastAsia="Arial"/>
                <w:sz w:val="22"/>
              </w:rPr>
              <w:t>будуть</w:t>
            </w:r>
            <w:proofErr w:type="spellEnd"/>
            <w:r w:rsidRPr="002045F5">
              <w:rPr>
                <w:rFonts w:eastAsia="Arial"/>
                <w:sz w:val="22"/>
              </w:rPr>
              <w:t xml:space="preserve"> </w:t>
            </w:r>
            <w:proofErr w:type="spellStart"/>
            <w:r w:rsidRPr="002045F5">
              <w:rPr>
                <w:rFonts w:eastAsia="Arial"/>
                <w:sz w:val="22"/>
              </w:rPr>
              <w:t>проводитися</w:t>
            </w:r>
            <w:proofErr w:type="spellEnd"/>
            <w:r w:rsidRPr="002045F5">
              <w:rPr>
                <w:rFonts w:eastAsia="Arial"/>
                <w:sz w:val="22"/>
              </w:rPr>
              <w:t xml:space="preserve"> уроки </w:t>
            </w:r>
            <w:proofErr w:type="spellStart"/>
            <w:r w:rsidRPr="002045F5">
              <w:rPr>
                <w:rFonts w:eastAsia="Arial"/>
                <w:sz w:val="22"/>
              </w:rPr>
              <w:t>фізкультури</w:t>
            </w:r>
            <w:proofErr w:type="spellEnd"/>
            <w:r w:rsidRPr="002045F5">
              <w:rPr>
                <w:rFonts w:eastAsia="Arial"/>
                <w:sz w:val="22"/>
              </w:rPr>
              <w:t xml:space="preserve">, </w:t>
            </w:r>
            <w:proofErr w:type="spellStart"/>
            <w:r w:rsidRPr="002045F5">
              <w:rPr>
                <w:rFonts w:eastAsia="Arial"/>
                <w:sz w:val="22"/>
              </w:rPr>
              <w:t>спортивні</w:t>
            </w:r>
            <w:proofErr w:type="spellEnd"/>
            <w:r w:rsidRPr="002045F5">
              <w:rPr>
                <w:rFonts w:eastAsia="Arial"/>
                <w:sz w:val="22"/>
              </w:rPr>
              <w:t xml:space="preserve"> </w:t>
            </w:r>
            <w:proofErr w:type="spellStart"/>
            <w:r w:rsidRPr="002045F5">
              <w:rPr>
                <w:rFonts w:eastAsia="Arial"/>
                <w:sz w:val="22"/>
              </w:rPr>
              <w:t>змагання</w:t>
            </w:r>
            <w:proofErr w:type="spellEnd"/>
            <w:r w:rsidRPr="002045F5">
              <w:rPr>
                <w:rFonts w:eastAsia="Arial"/>
                <w:sz w:val="22"/>
              </w:rPr>
              <w:t xml:space="preserve"> та культурно-</w:t>
            </w:r>
            <w:proofErr w:type="spellStart"/>
            <w:r w:rsidRPr="002045F5">
              <w:rPr>
                <w:rFonts w:eastAsia="Arial"/>
                <w:sz w:val="22"/>
              </w:rPr>
              <w:t>масові</w:t>
            </w:r>
            <w:proofErr w:type="spellEnd"/>
            <w:r w:rsidRPr="002045F5">
              <w:rPr>
                <w:rFonts w:eastAsia="Arial"/>
                <w:sz w:val="22"/>
              </w:rPr>
              <w:t xml:space="preserve"> заходи.</w:t>
            </w:r>
          </w:p>
          <w:p w:rsidR="001013F3" w:rsidRPr="002045F5" w:rsidRDefault="001013F3" w:rsidP="00883CE1">
            <w:pPr>
              <w:rPr>
                <w:sz w:val="22"/>
              </w:rPr>
            </w:pPr>
            <w:r w:rsidRPr="002045F5">
              <w:rPr>
                <w:sz w:val="22"/>
              </w:rPr>
              <w:t xml:space="preserve">    Даний </w:t>
            </w:r>
            <w:proofErr w:type="spellStart"/>
            <w:r w:rsidRPr="002045F5">
              <w:rPr>
                <w:sz w:val="22"/>
              </w:rPr>
              <w:t>про</w:t>
            </w:r>
            <w:r w:rsidR="00883CE1" w:rsidRPr="002045F5">
              <w:rPr>
                <w:sz w:val="22"/>
              </w:rPr>
              <w:t>є</w:t>
            </w:r>
            <w:r w:rsidRPr="002045F5">
              <w:rPr>
                <w:sz w:val="22"/>
              </w:rPr>
              <w:t>кт</w:t>
            </w:r>
            <w:proofErr w:type="spellEnd"/>
            <w:r w:rsidRPr="002045F5">
              <w:rPr>
                <w:sz w:val="22"/>
              </w:rPr>
              <w:t xml:space="preserve"> направлений на </w:t>
            </w:r>
            <w:proofErr w:type="spellStart"/>
            <w:r w:rsidRPr="002045F5">
              <w:rPr>
                <w:sz w:val="22"/>
              </w:rPr>
              <w:t>розширення</w:t>
            </w:r>
            <w:proofErr w:type="spellEnd"/>
            <w:r w:rsidRPr="002045F5">
              <w:rPr>
                <w:sz w:val="22"/>
              </w:rPr>
              <w:t xml:space="preserve"> </w:t>
            </w:r>
            <w:proofErr w:type="spellStart"/>
            <w:r w:rsidRPr="002045F5">
              <w:rPr>
                <w:sz w:val="22"/>
              </w:rPr>
              <w:t>спортивної</w:t>
            </w:r>
            <w:proofErr w:type="spellEnd"/>
            <w:r w:rsidRPr="002045F5">
              <w:rPr>
                <w:sz w:val="22"/>
              </w:rPr>
              <w:t xml:space="preserve"> </w:t>
            </w:r>
            <w:proofErr w:type="spellStart"/>
            <w:r w:rsidRPr="002045F5">
              <w:rPr>
                <w:sz w:val="22"/>
              </w:rPr>
              <w:t>інфраструктури</w:t>
            </w:r>
            <w:proofErr w:type="spellEnd"/>
            <w:r w:rsidRPr="002045F5">
              <w:rPr>
                <w:sz w:val="22"/>
              </w:rPr>
              <w:t xml:space="preserve"> </w:t>
            </w:r>
            <w:proofErr w:type="spellStart"/>
            <w:r w:rsidRPr="002045F5">
              <w:rPr>
                <w:sz w:val="22"/>
              </w:rPr>
              <w:t>громади</w:t>
            </w:r>
            <w:proofErr w:type="spellEnd"/>
            <w:r w:rsidRPr="002045F5">
              <w:rPr>
                <w:sz w:val="22"/>
              </w:rPr>
              <w:t xml:space="preserve">, </w:t>
            </w:r>
            <w:proofErr w:type="spellStart"/>
            <w:r w:rsidRPr="002045F5">
              <w:rPr>
                <w:sz w:val="22"/>
              </w:rPr>
              <w:t>що</w:t>
            </w:r>
            <w:proofErr w:type="spellEnd"/>
            <w:r w:rsidRPr="002045F5">
              <w:rPr>
                <w:sz w:val="22"/>
              </w:rPr>
              <w:t xml:space="preserve"> створить </w:t>
            </w:r>
            <w:proofErr w:type="spellStart"/>
            <w:r w:rsidRPr="002045F5">
              <w:rPr>
                <w:sz w:val="22"/>
              </w:rPr>
              <w:t>умови</w:t>
            </w:r>
            <w:proofErr w:type="spellEnd"/>
            <w:r w:rsidRPr="002045F5">
              <w:rPr>
                <w:sz w:val="22"/>
              </w:rPr>
              <w:t xml:space="preserve"> для </w:t>
            </w:r>
            <w:proofErr w:type="spellStart"/>
            <w:r w:rsidRPr="002045F5">
              <w:rPr>
                <w:sz w:val="22"/>
              </w:rPr>
              <w:t>фізичного</w:t>
            </w:r>
            <w:proofErr w:type="spellEnd"/>
            <w:r w:rsidRPr="002045F5">
              <w:rPr>
                <w:sz w:val="22"/>
              </w:rPr>
              <w:t xml:space="preserve"> </w:t>
            </w:r>
            <w:proofErr w:type="spellStart"/>
            <w:r w:rsidRPr="002045F5">
              <w:rPr>
                <w:sz w:val="22"/>
              </w:rPr>
              <w:t>розвитку</w:t>
            </w:r>
            <w:proofErr w:type="spellEnd"/>
            <w:r w:rsidRPr="002045F5">
              <w:rPr>
                <w:sz w:val="22"/>
              </w:rPr>
              <w:t xml:space="preserve"> не </w:t>
            </w:r>
            <w:proofErr w:type="spellStart"/>
            <w:r w:rsidRPr="002045F5">
              <w:rPr>
                <w:sz w:val="22"/>
              </w:rPr>
              <w:t>тільки</w:t>
            </w:r>
            <w:proofErr w:type="spellEnd"/>
            <w:r w:rsidRPr="002045F5">
              <w:rPr>
                <w:sz w:val="22"/>
              </w:rPr>
              <w:t xml:space="preserve"> </w:t>
            </w:r>
            <w:proofErr w:type="spellStart"/>
            <w:r w:rsidRPr="002045F5">
              <w:rPr>
                <w:sz w:val="22"/>
              </w:rPr>
              <w:t>дітей</w:t>
            </w:r>
            <w:proofErr w:type="spellEnd"/>
            <w:r w:rsidRPr="002045F5">
              <w:rPr>
                <w:sz w:val="22"/>
              </w:rPr>
              <w:t xml:space="preserve"> </w:t>
            </w:r>
            <w:proofErr w:type="spellStart"/>
            <w:r w:rsidRPr="002045F5">
              <w:rPr>
                <w:sz w:val="22"/>
              </w:rPr>
              <w:t>дошкільного</w:t>
            </w:r>
            <w:proofErr w:type="spellEnd"/>
            <w:r w:rsidRPr="002045F5">
              <w:rPr>
                <w:sz w:val="22"/>
              </w:rPr>
              <w:t xml:space="preserve"> і </w:t>
            </w:r>
            <w:proofErr w:type="spellStart"/>
            <w:r w:rsidRPr="002045F5">
              <w:rPr>
                <w:sz w:val="22"/>
              </w:rPr>
              <w:t>шкільного</w:t>
            </w:r>
            <w:proofErr w:type="spellEnd"/>
            <w:r w:rsidRPr="002045F5">
              <w:rPr>
                <w:sz w:val="22"/>
              </w:rPr>
              <w:t xml:space="preserve"> </w:t>
            </w:r>
            <w:proofErr w:type="spellStart"/>
            <w:r w:rsidRPr="002045F5">
              <w:rPr>
                <w:sz w:val="22"/>
              </w:rPr>
              <w:t>віку</w:t>
            </w:r>
            <w:proofErr w:type="spellEnd"/>
            <w:r w:rsidRPr="002045F5">
              <w:rPr>
                <w:sz w:val="22"/>
              </w:rPr>
              <w:t xml:space="preserve">, а й </w:t>
            </w:r>
            <w:proofErr w:type="spellStart"/>
            <w:r w:rsidRPr="002045F5">
              <w:rPr>
                <w:sz w:val="22"/>
              </w:rPr>
              <w:t>мешканців</w:t>
            </w:r>
            <w:proofErr w:type="spellEnd"/>
            <w:r w:rsidRPr="002045F5">
              <w:rPr>
                <w:sz w:val="22"/>
              </w:rPr>
              <w:t xml:space="preserve"> </w:t>
            </w:r>
            <w:proofErr w:type="spellStart"/>
            <w:r w:rsidRPr="002045F5">
              <w:rPr>
                <w:sz w:val="22"/>
              </w:rPr>
              <w:t>громади</w:t>
            </w:r>
            <w:proofErr w:type="spellEnd"/>
            <w:r w:rsidRPr="002045F5">
              <w:rPr>
                <w:sz w:val="22"/>
              </w:rPr>
              <w:t xml:space="preserve">.   </w:t>
            </w:r>
            <w:proofErr w:type="spellStart"/>
            <w:r w:rsidRPr="002045F5">
              <w:rPr>
                <w:sz w:val="22"/>
              </w:rPr>
              <w:t>Мешканці</w:t>
            </w:r>
            <w:proofErr w:type="spellEnd"/>
            <w:r w:rsidRPr="002045F5">
              <w:rPr>
                <w:sz w:val="22"/>
              </w:rPr>
              <w:t xml:space="preserve"> </w:t>
            </w:r>
            <w:proofErr w:type="spellStart"/>
            <w:r w:rsidRPr="002045F5">
              <w:rPr>
                <w:sz w:val="22"/>
              </w:rPr>
              <w:t>громади</w:t>
            </w:r>
            <w:proofErr w:type="spellEnd"/>
            <w:r w:rsidRPr="002045F5">
              <w:rPr>
                <w:sz w:val="22"/>
              </w:rPr>
              <w:t xml:space="preserve"> </w:t>
            </w:r>
            <w:proofErr w:type="spellStart"/>
            <w:r w:rsidRPr="002045F5">
              <w:rPr>
                <w:sz w:val="22"/>
              </w:rPr>
              <w:t>потребують</w:t>
            </w:r>
            <w:proofErr w:type="spellEnd"/>
            <w:r w:rsidRPr="002045F5">
              <w:rPr>
                <w:sz w:val="22"/>
              </w:rPr>
              <w:t xml:space="preserve"> в </w:t>
            </w:r>
            <w:proofErr w:type="spellStart"/>
            <w:r w:rsidRPr="002045F5">
              <w:rPr>
                <w:sz w:val="22"/>
              </w:rPr>
              <w:t>отриманні</w:t>
            </w:r>
            <w:proofErr w:type="spellEnd"/>
            <w:r w:rsidRPr="002045F5">
              <w:rPr>
                <w:sz w:val="22"/>
              </w:rPr>
              <w:t xml:space="preserve"> </w:t>
            </w:r>
            <w:proofErr w:type="spellStart"/>
            <w:r w:rsidRPr="002045F5">
              <w:rPr>
                <w:sz w:val="22"/>
              </w:rPr>
              <w:t>якісних</w:t>
            </w:r>
            <w:proofErr w:type="spellEnd"/>
            <w:r w:rsidRPr="002045F5">
              <w:rPr>
                <w:sz w:val="22"/>
              </w:rPr>
              <w:t xml:space="preserve"> </w:t>
            </w:r>
            <w:proofErr w:type="spellStart"/>
            <w:r w:rsidRPr="002045F5">
              <w:rPr>
                <w:sz w:val="22"/>
              </w:rPr>
              <w:t>освітніх</w:t>
            </w:r>
            <w:proofErr w:type="spellEnd"/>
            <w:r w:rsidRPr="002045F5">
              <w:rPr>
                <w:sz w:val="22"/>
              </w:rPr>
              <w:t xml:space="preserve"> </w:t>
            </w:r>
            <w:proofErr w:type="spellStart"/>
            <w:r w:rsidRPr="002045F5">
              <w:rPr>
                <w:sz w:val="22"/>
              </w:rPr>
              <w:t>послуг</w:t>
            </w:r>
            <w:proofErr w:type="spellEnd"/>
            <w:r w:rsidRPr="002045F5">
              <w:rPr>
                <w:sz w:val="22"/>
              </w:rPr>
              <w:t xml:space="preserve">, </w:t>
            </w:r>
            <w:proofErr w:type="spellStart"/>
            <w:r w:rsidRPr="002045F5">
              <w:rPr>
                <w:sz w:val="22"/>
              </w:rPr>
              <w:t>які</w:t>
            </w:r>
            <w:proofErr w:type="spellEnd"/>
            <w:r w:rsidRPr="002045F5">
              <w:rPr>
                <w:sz w:val="22"/>
              </w:rPr>
              <w:t xml:space="preserve"> </w:t>
            </w:r>
            <w:proofErr w:type="spellStart"/>
            <w:r w:rsidRPr="002045F5">
              <w:rPr>
                <w:sz w:val="22"/>
              </w:rPr>
              <w:t>відповідають</w:t>
            </w:r>
            <w:proofErr w:type="spellEnd"/>
            <w:r w:rsidRPr="002045F5">
              <w:rPr>
                <w:sz w:val="22"/>
              </w:rPr>
              <w:t xml:space="preserve"> нормам </w:t>
            </w:r>
            <w:proofErr w:type="spellStart"/>
            <w:r w:rsidRPr="002045F5">
              <w:rPr>
                <w:sz w:val="22"/>
              </w:rPr>
              <w:t>сучасності</w:t>
            </w:r>
            <w:proofErr w:type="spellEnd"/>
            <w:r w:rsidRPr="002045F5">
              <w:rPr>
                <w:sz w:val="22"/>
              </w:rPr>
              <w:t>.</w:t>
            </w:r>
          </w:p>
        </w:tc>
      </w:tr>
      <w:tr w:rsidR="001013F3" w:rsidRPr="002045F5" w:rsidTr="00822744">
        <w:tc>
          <w:tcPr>
            <w:tcW w:w="2978" w:type="dxa"/>
            <w:shd w:val="clear" w:color="auto" w:fill="C6D9F1" w:themeFill="text2" w:themeFillTint="33"/>
          </w:tcPr>
          <w:p w:rsidR="001013F3" w:rsidRPr="002045F5" w:rsidRDefault="001013F3" w:rsidP="001013F3">
            <w:pPr>
              <w:pStyle w:val="a7"/>
              <w:ind w:left="0"/>
              <w:rPr>
                <w:b/>
                <w:sz w:val="22"/>
              </w:rPr>
            </w:pPr>
            <w:r w:rsidRPr="002045F5">
              <w:rPr>
                <w:b/>
                <w:sz w:val="22"/>
              </w:rPr>
              <w:lastRenderedPageBreak/>
              <w:t>‘</w:t>
            </w:r>
            <w:proofErr w:type="spellStart"/>
            <w:r w:rsidRPr="002045F5">
              <w:rPr>
                <w:b/>
                <w:sz w:val="22"/>
              </w:rPr>
              <w:t>Очікувані</w:t>
            </w:r>
            <w:proofErr w:type="spellEnd"/>
            <w:r w:rsidRPr="002045F5">
              <w:rPr>
                <w:b/>
                <w:sz w:val="22"/>
              </w:rPr>
              <w:t xml:space="preserve"> </w:t>
            </w:r>
            <w:proofErr w:type="spellStart"/>
            <w:r w:rsidRPr="002045F5">
              <w:rPr>
                <w:b/>
                <w:sz w:val="22"/>
              </w:rPr>
              <w:t>якісні</w:t>
            </w:r>
            <w:proofErr w:type="spellEnd"/>
            <w:r w:rsidRPr="002045F5">
              <w:rPr>
                <w:b/>
                <w:sz w:val="22"/>
              </w:rPr>
              <w:t xml:space="preserve"> </w:t>
            </w:r>
            <w:proofErr w:type="spellStart"/>
            <w:r w:rsidRPr="002045F5">
              <w:rPr>
                <w:b/>
                <w:sz w:val="22"/>
              </w:rPr>
              <w:t>результати</w:t>
            </w:r>
            <w:proofErr w:type="spellEnd"/>
            <w:r w:rsidRPr="002045F5">
              <w:rPr>
                <w:b/>
                <w:sz w:val="22"/>
              </w:rPr>
              <w:t xml:space="preserve"> </w:t>
            </w:r>
            <w:proofErr w:type="spellStart"/>
            <w:r w:rsidRPr="002045F5">
              <w:rPr>
                <w:b/>
                <w:sz w:val="22"/>
              </w:rPr>
              <w:t>від</w:t>
            </w:r>
            <w:proofErr w:type="spellEnd"/>
            <w:r w:rsidRPr="002045F5">
              <w:rPr>
                <w:b/>
                <w:sz w:val="22"/>
              </w:rPr>
              <w:t xml:space="preserve"> </w:t>
            </w:r>
            <w:proofErr w:type="spellStart"/>
            <w:r w:rsidRPr="002045F5">
              <w:rPr>
                <w:b/>
                <w:sz w:val="22"/>
              </w:rPr>
              <w:t>реалізації</w:t>
            </w:r>
            <w:proofErr w:type="spellEnd"/>
            <w:r w:rsidRPr="002045F5">
              <w:rPr>
                <w:b/>
                <w:sz w:val="22"/>
              </w:rPr>
              <w:t xml:space="preserve"> проекту</w:t>
            </w:r>
          </w:p>
        </w:tc>
        <w:tc>
          <w:tcPr>
            <w:tcW w:w="6910" w:type="dxa"/>
            <w:gridSpan w:val="7"/>
          </w:tcPr>
          <w:p w:rsidR="001013F3" w:rsidRPr="002045F5" w:rsidRDefault="001013F3" w:rsidP="001013F3">
            <w:pPr>
              <w:rPr>
                <w:color w:val="000000"/>
                <w:sz w:val="22"/>
              </w:rPr>
            </w:pPr>
            <w:r w:rsidRPr="002045F5">
              <w:rPr>
                <w:color w:val="000000"/>
                <w:sz w:val="22"/>
              </w:rPr>
              <w:t>-</w:t>
            </w:r>
            <w:proofErr w:type="spellStart"/>
            <w:r w:rsidRPr="002045F5">
              <w:rPr>
                <w:color w:val="000000"/>
                <w:sz w:val="22"/>
              </w:rPr>
              <w:t>отримання</w:t>
            </w:r>
            <w:proofErr w:type="spellEnd"/>
            <w:r w:rsidRPr="002045F5">
              <w:rPr>
                <w:color w:val="000000"/>
                <w:sz w:val="22"/>
              </w:rPr>
              <w:t xml:space="preserve"> </w:t>
            </w:r>
            <w:proofErr w:type="spellStart"/>
            <w:r w:rsidRPr="002045F5">
              <w:rPr>
                <w:color w:val="000000"/>
                <w:sz w:val="22"/>
              </w:rPr>
              <w:t>якісних</w:t>
            </w:r>
            <w:proofErr w:type="spellEnd"/>
            <w:r w:rsidRPr="002045F5">
              <w:rPr>
                <w:color w:val="000000"/>
                <w:sz w:val="22"/>
              </w:rPr>
              <w:t xml:space="preserve"> </w:t>
            </w:r>
            <w:proofErr w:type="spellStart"/>
            <w:r w:rsidRPr="002045F5">
              <w:rPr>
                <w:color w:val="000000"/>
                <w:sz w:val="22"/>
              </w:rPr>
              <w:t>освітніх</w:t>
            </w:r>
            <w:proofErr w:type="spellEnd"/>
            <w:r w:rsidRPr="002045F5">
              <w:rPr>
                <w:color w:val="000000"/>
                <w:sz w:val="22"/>
              </w:rPr>
              <w:t xml:space="preserve"> </w:t>
            </w:r>
            <w:proofErr w:type="spellStart"/>
            <w:proofErr w:type="gramStart"/>
            <w:r w:rsidRPr="002045F5">
              <w:rPr>
                <w:color w:val="000000"/>
                <w:sz w:val="22"/>
              </w:rPr>
              <w:t>послуг</w:t>
            </w:r>
            <w:proofErr w:type="spellEnd"/>
            <w:r w:rsidRPr="002045F5">
              <w:rPr>
                <w:color w:val="000000"/>
                <w:sz w:val="22"/>
              </w:rPr>
              <w:t xml:space="preserve"> ;</w:t>
            </w:r>
            <w:proofErr w:type="gramEnd"/>
          </w:p>
          <w:p w:rsidR="001013F3" w:rsidRPr="002045F5" w:rsidRDefault="001013F3" w:rsidP="001013F3">
            <w:pPr>
              <w:rPr>
                <w:color w:val="000000"/>
                <w:sz w:val="22"/>
              </w:rPr>
            </w:pPr>
            <w:r w:rsidRPr="002045F5">
              <w:rPr>
                <w:color w:val="000000"/>
                <w:sz w:val="22"/>
              </w:rPr>
              <w:t>-</w:t>
            </w:r>
            <w:proofErr w:type="spellStart"/>
            <w:r w:rsidRPr="002045F5">
              <w:rPr>
                <w:color w:val="000000"/>
                <w:sz w:val="22"/>
              </w:rPr>
              <w:t>залученість</w:t>
            </w:r>
            <w:proofErr w:type="spellEnd"/>
            <w:r w:rsidRPr="002045F5">
              <w:rPr>
                <w:color w:val="000000"/>
                <w:sz w:val="22"/>
              </w:rPr>
              <w:t xml:space="preserve"> до занять спортом та </w:t>
            </w:r>
            <w:proofErr w:type="spellStart"/>
            <w:r w:rsidRPr="002045F5">
              <w:rPr>
                <w:color w:val="000000"/>
                <w:sz w:val="22"/>
              </w:rPr>
              <w:t>фізичною</w:t>
            </w:r>
            <w:proofErr w:type="spellEnd"/>
            <w:r w:rsidRPr="002045F5">
              <w:rPr>
                <w:color w:val="000000"/>
                <w:sz w:val="22"/>
              </w:rPr>
              <w:t xml:space="preserve"> культурою </w:t>
            </w:r>
            <w:proofErr w:type="spellStart"/>
            <w:r w:rsidRPr="002045F5">
              <w:rPr>
                <w:color w:val="000000"/>
                <w:sz w:val="22"/>
              </w:rPr>
              <w:t>учнівської</w:t>
            </w:r>
            <w:proofErr w:type="spellEnd"/>
            <w:r w:rsidRPr="002045F5">
              <w:rPr>
                <w:color w:val="000000"/>
                <w:sz w:val="22"/>
              </w:rPr>
              <w:t xml:space="preserve"> </w:t>
            </w:r>
            <w:proofErr w:type="spellStart"/>
            <w:r w:rsidRPr="002045F5">
              <w:rPr>
                <w:color w:val="000000"/>
                <w:sz w:val="22"/>
              </w:rPr>
              <w:t>молоді</w:t>
            </w:r>
            <w:proofErr w:type="spellEnd"/>
            <w:r w:rsidR="00E52556" w:rsidRPr="002045F5">
              <w:rPr>
                <w:color w:val="000000"/>
                <w:sz w:val="22"/>
              </w:rPr>
              <w:t>,</w:t>
            </w:r>
            <w:r w:rsidRPr="002045F5">
              <w:rPr>
                <w:color w:val="000000"/>
                <w:sz w:val="22"/>
              </w:rPr>
              <w:t xml:space="preserve"> </w:t>
            </w:r>
            <w:proofErr w:type="spellStart"/>
            <w:r w:rsidRPr="002045F5">
              <w:rPr>
                <w:color w:val="000000"/>
                <w:sz w:val="22"/>
              </w:rPr>
              <w:t>жителів</w:t>
            </w:r>
            <w:proofErr w:type="spellEnd"/>
            <w:r w:rsidRPr="002045F5">
              <w:rPr>
                <w:color w:val="000000"/>
                <w:sz w:val="22"/>
              </w:rPr>
              <w:t xml:space="preserve"> </w:t>
            </w:r>
            <w:proofErr w:type="spellStart"/>
            <w:r w:rsidRPr="002045F5">
              <w:rPr>
                <w:color w:val="000000"/>
                <w:sz w:val="22"/>
              </w:rPr>
              <w:t>громади</w:t>
            </w:r>
            <w:proofErr w:type="spellEnd"/>
            <w:r w:rsidRPr="002045F5">
              <w:rPr>
                <w:color w:val="000000"/>
                <w:sz w:val="22"/>
              </w:rPr>
              <w:t>.</w:t>
            </w:r>
          </w:p>
          <w:p w:rsidR="001013F3" w:rsidRPr="002045F5" w:rsidRDefault="001013F3" w:rsidP="001013F3">
            <w:pPr>
              <w:rPr>
                <w:color w:val="000000"/>
                <w:sz w:val="22"/>
              </w:rPr>
            </w:pPr>
            <w:r w:rsidRPr="002045F5">
              <w:rPr>
                <w:color w:val="000000"/>
                <w:sz w:val="22"/>
              </w:rPr>
              <w:t xml:space="preserve">- результативна участь </w:t>
            </w:r>
            <w:proofErr w:type="spellStart"/>
            <w:r w:rsidRPr="002045F5">
              <w:rPr>
                <w:color w:val="000000"/>
                <w:sz w:val="22"/>
              </w:rPr>
              <w:t>шкільних</w:t>
            </w:r>
            <w:proofErr w:type="spellEnd"/>
            <w:r w:rsidRPr="002045F5">
              <w:rPr>
                <w:color w:val="000000"/>
                <w:sz w:val="22"/>
              </w:rPr>
              <w:t xml:space="preserve">, </w:t>
            </w:r>
            <w:proofErr w:type="spellStart"/>
            <w:r w:rsidRPr="002045F5">
              <w:rPr>
                <w:color w:val="000000"/>
                <w:sz w:val="22"/>
              </w:rPr>
              <w:t>сільських</w:t>
            </w:r>
            <w:proofErr w:type="spellEnd"/>
            <w:r w:rsidRPr="002045F5">
              <w:rPr>
                <w:color w:val="000000"/>
                <w:sz w:val="22"/>
              </w:rPr>
              <w:t xml:space="preserve"> команд в </w:t>
            </w:r>
            <w:proofErr w:type="spellStart"/>
            <w:r w:rsidRPr="002045F5">
              <w:rPr>
                <w:color w:val="000000"/>
                <w:sz w:val="22"/>
              </w:rPr>
              <w:t>спортивних</w:t>
            </w:r>
            <w:proofErr w:type="spellEnd"/>
            <w:r w:rsidRPr="002045F5">
              <w:rPr>
                <w:color w:val="000000"/>
                <w:sz w:val="22"/>
              </w:rPr>
              <w:t xml:space="preserve"> </w:t>
            </w:r>
            <w:proofErr w:type="spellStart"/>
            <w:r w:rsidRPr="002045F5">
              <w:rPr>
                <w:color w:val="000000"/>
                <w:sz w:val="22"/>
              </w:rPr>
              <w:t>змаганнях</w:t>
            </w:r>
            <w:proofErr w:type="spellEnd"/>
            <w:r w:rsidRPr="002045F5">
              <w:rPr>
                <w:color w:val="000000"/>
                <w:sz w:val="22"/>
              </w:rPr>
              <w:t xml:space="preserve"> </w:t>
            </w:r>
            <w:proofErr w:type="spellStart"/>
            <w:r w:rsidRPr="002045F5">
              <w:rPr>
                <w:color w:val="000000"/>
                <w:sz w:val="22"/>
              </w:rPr>
              <w:t>вищого</w:t>
            </w:r>
            <w:proofErr w:type="spellEnd"/>
            <w:r w:rsidRPr="002045F5">
              <w:rPr>
                <w:color w:val="000000"/>
                <w:sz w:val="22"/>
              </w:rPr>
              <w:t xml:space="preserve"> </w:t>
            </w:r>
            <w:proofErr w:type="spellStart"/>
            <w:r w:rsidRPr="002045F5">
              <w:rPr>
                <w:color w:val="000000"/>
                <w:sz w:val="22"/>
              </w:rPr>
              <w:t>рівня</w:t>
            </w:r>
            <w:proofErr w:type="spellEnd"/>
            <w:r w:rsidRPr="002045F5">
              <w:rPr>
                <w:color w:val="000000"/>
                <w:sz w:val="22"/>
              </w:rPr>
              <w:t>;</w:t>
            </w:r>
          </w:p>
          <w:p w:rsidR="001013F3" w:rsidRPr="002045F5" w:rsidRDefault="001013F3" w:rsidP="001013F3">
            <w:pPr>
              <w:pStyle w:val="a7"/>
              <w:ind w:left="0"/>
              <w:rPr>
                <w:sz w:val="22"/>
              </w:rPr>
            </w:pPr>
            <w:r w:rsidRPr="002045F5">
              <w:rPr>
                <w:sz w:val="22"/>
              </w:rPr>
              <w:t xml:space="preserve">- </w:t>
            </w:r>
            <w:proofErr w:type="spellStart"/>
            <w:r w:rsidRPr="002045F5">
              <w:rPr>
                <w:sz w:val="22"/>
              </w:rPr>
              <w:t>вирішення</w:t>
            </w:r>
            <w:proofErr w:type="spellEnd"/>
            <w:r w:rsidRPr="002045F5">
              <w:rPr>
                <w:sz w:val="22"/>
              </w:rPr>
              <w:t xml:space="preserve"> ряду </w:t>
            </w:r>
            <w:proofErr w:type="spellStart"/>
            <w:r w:rsidRPr="002045F5">
              <w:rPr>
                <w:sz w:val="22"/>
              </w:rPr>
              <w:t>питань</w:t>
            </w:r>
            <w:proofErr w:type="spellEnd"/>
            <w:r w:rsidRPr="002045F5">
              <w:rPr>
                <w:sz w:val="22"/>
              </w:rPr>
              <w:t xml:space="preserve"> в межах </w:t>
            </w:r>
            <w:proofErr w:type="spellStart"/>
            <w:r w:rsidRPr="002045F5">
              <w:rPr>
                <w:sz w:val="22"/>
              </w:rPr>
              <w:t>статутної</w:t>
            </w:r>
            <w:proofErr w:type="spellEnd"/>
            <w:r w:rsidRPr="002045F5">
              <w:rPr>
                <w:sz w:val="22"/>
              </w:rPr>
              <w:t xml:space="preserve"> </w:t>
            </w:r>
            <w:proofErr w:type="spellStart"/>
            <w:r w:rsidRPr="002045F5">
              <w:rPr>
                <w:sz w:val="22"/>
              </w:rPr>
              <w:t>діяльності</w:t>
            </w:r>
            <w:proofErr w:type="spellEnd"/>
            <w:r w:rsidRPr="002045F5">
              <w:rPr>
                <w:sz w:val="22"/>
              </w:rPr>
              <w:t xml:space="preserve">, </w:t>
            </w:r>
            <w:proofErr w:type="spellStart"/>
            <w:r w:rsidRPr="002045F5">
              <w:rPr>
                <w:sz w:val="22"/>
              </w:rPr>
              <w:t>пов’язаних</w:t>
            </w:r>
            <w:proofErr w:type="spellEnd"/>
            <w:r w:rsidRPr="002045F5">
              <w:rPr>
                <w:sz w:val="22"/>
              </w:rPr>
              <w:t xml:space="preserve"> </w:t>
            </w:r>
            <w:proofErr w:type="spellStart"/>
            <w:r w:rsidRPr="002045F5">
              <w:rPr>
                <w:sz w:val="22"/>
              </w:rPr>
              <w:t>із</w:t>
            </w:r>
            <w:proofErr w:type="spellEnd"/>
            <w:r w:rsidRPr="002045F5">
              <w:rPr>
                <w:sz w:val="22"/>
              </w:rPr>
              <w:t xml:space="preserve"> </w:t>
            </w:r>
            <w:proofErr w:type="spellStart"/>
            <w:r w:rsidRPr="002045F5">
              <w:rPr>
                <w:sz w:val="22"/>
              </w:rPr>
              <w:t>відбудовою</w:t>
            </w:r>
            <w:proofErr w:type="spellEnd"/>
            <w:r w:rsidRPr="002045F5">
              <w:rPr>
                <w:sz w:val="22"/>
              </w:rPr>
              <w:t xml:space="preserve"> та </w:t>
            </w:r>
            <w:proofErr w:type="spellStart"/>
            <w:r w:rsidRPr="002045F5">
              <w:rPr>
                <w:sz w:val="22"/>
              </w:rPr>
              <w:t>сталим</w:t>
            </w:r>
            <w:proofErr w:type="spellEnd"/>
            <w:r w:rsidRPr="002045F5">
              <w:rPr>
                <w:sz w:val="22"/>
              </w:rPr>
              <w:t xml:space="preserve"> </w:t>
            </w:r>
            <w:proofErr w:type="spellStart"/>
            <w:proofErr w:type="gramStart"/>
            <w:r w:rsidRPr="002045F5">
              <w:rPr>
                <w:sz w:val="22"/>
              </w:rPr>
              <w:t>розвитком</w:t>
            </w:r>
            <w:proofErr w:type="spellEnd"/>
            <w:r w:rsidRPr="002045F5">
              <w:rPr>
                <w:sz w:val="22"/>
              </w:rPr>
              <w:t xml:space="preserve">  </w:t>
            </w:r>
            <w:proofErr w:type="spellStart"/>
            <w:r w:rsidRPr="002045F5">
              <w:rPr>
                <w:sz w:val="22"/>
              </w:rPr>
              <w:t>громади</w:t>
            </w:r>
            <w:proofErr w:type="spellEnd"/>
            <w:proofErr w:type="gramEnd"/>
            <w:r w:rsidRPr="002045F5">
              <w:rPr>
                <w:sz w:val="22"/>
              </w:rPr>
              <w:t>;</w:t>
            </w:r>
          </w:p>
          <w:p w:rsidR="001013F3" w:rsidRPr="002045F5" w:rsidRDefault="001013F3" w:rsidP="001013F3">
            <w:pPr>
              <w:pStyle w:val="a7"/>
              <w:ind w:left="0"/>
              <w:rPr>
                <w:sz w:val="22"/>
              </w:rPr>
            </w:pPr>
            <w:r w:rsidRPr="002045F5">
              <w:rPr>
                <w:sz w:val="22"/>
              </w:rPr>
              <w:t xml:space="preserve">- </w:t>
            </w:r>
            <w:proofErr w:type="spellStart"/>
            <w:r w:rsidRPr="002045F5">
              <w:rPr>
                <w:sz w:val="22"/>
              </w:rPr>
              <w:t>створення</w:t>
            </w:r>
            <w:proofErr w:type="spellEnd"/>
            <w:r w:rsidRPr="002045F5">
              <w:rPr>
                <w:sz w:val="22"/>
              </w:rPr>
              <w:t xml:space="preserve"> </w:t>
            </w:r>
            <w:proofErr w:type="spellStart"/>
            <w:r w:rsidRPr="002045F5">
              <w:rPr>
                <w:sz w:val="22"/>
              </w:rPr>
              <w:t>нових</w:t>
            </w:r>
            <w:proofErr w:type="spellEnd"/>
            <w:r w:rsidRPr="002045F5">
              <w:rPr>
                <w:sz w:val="22"/>
              </w:rPr>
              <w:t xml:space="preserve"> </w:t>
            </w:r>
            <w:proofErr w:type="spellStart"/>
            <w:r w:rsidRPr="002045F5">
              <w:rPr>
                <w:sz w:val="22"/>
              </w:rPr>
              <w:t>робочих</w:t>
            </w:r>
            <w:proofErr w:type="spellEnd"/>
            <w:r w:rsidRPr="002045F5">
              <w:rPr>
                <w:sz w:val="22"/>
              </w:rPr>
              <w:t xml:space="preserve"> </w:t>
            </w:r>
            <w:proofErr w:type="spellStart"/>
            <w:r w:rsidRPr="002045F5">
              <w:rPr>
                <w:sz w:val="22"/>
              </w:rPr>
              <w:t>місць</w:t>
            </w:r>
            <w:proofErr w:type="spellEnd"/>
            <w:r w:rsidRPr="002045F5">
              <w:rPr>
                <w:sz w:val="22"/>
              </w:rPr>
              <w:t>;</w:t>
            </w:r>
          </w:p>
          <w:p w:rsidR="001013F3" w:rsidRPr="002045F5" w:rsidRDefault="001013F3" w:rsidP="001013F3">
            <w:pPr>
              <w:pStyle w:val="a7"/>
              <w:ind w:left="0"/>
              <w:rPr>
                <w:sz w:val="22"/>
              </w:rPr>
            </w:pPr>
            <w:r w:rsidRPr="002045F5">
              <w:rPr>
                <w:sz w:val="22"/>
              </w:rPr>
              <w:t xml:space="preserve">- стимул до </w:t>
            </w:r>
            <w:proofErr w:type="spellStart"/>
            <w:r w:rsidRPr="002045F5">
              <w:rPr>
                <w:sz w:val="22"/>
              </w:rPr>
              <w:t>повернення</w:t>
            </w:r>
            <w:proofErr w:type="spellEnd"/>
            <w:r w:rsidRPr="002045F5">
              <w:rPr>
                <w:sz w:val="22"/>
              </w:rPr>
              <w:t xml:space="preserve"> ВПО до </w:t>
            </w:r>
            <w:proofErr w:type="spellStart"/>
            <w:r w:rsidRPr="002045F5">
              <w:rPr>
                <w:sz w:val="22"/>
              </w:rPr>
              <w:t>громади</w:t>
            </w:r>
            <w:proofErr w:type="spellEnd"/>
            <w:r w:rsidRPr="002045F5">
              <w:rPr>
                <w:sz w:val="22"/>
              </w:rPr>
              <w:t>;</w:t>
            </w:r>
          </w:p>
        </w:tc>
      </w:tr>
      <w:tr w:rsidR="001013F3" w:rsidRPr="002045F5" w:rsidTr="00822744">
        <w:trPr>
          <w:trHeight w:val="390"/>
        </w:trPr>
        <w:tc>
          <w:tcPr>
            <w:tcW w:w="2978" w:type="dxa"/>
            <w:vMerge w:val="restart"/>
            <w:shd w:val="clear" w:color="auto" w:fill="C6D9F1" w:themeFill="text2" w:themeFillTint="33"/>
          </w:tcPr>
          <w:p w:rsidR="001013F3" w:rsidRPr="002045F5" w:rsidRDefault="001013F3" w:rsidP="001013F3">
            <w:pPr>
              <w:pStyle w:val="a7"/>
              <w:ind w:left="0"/>
              <w:rPr>
                <w:b/>
                <w:sz w:val="22"/>
                <w:lang w:val="uk-UA"/>
              </w:rPr>
            </w:pPr>
            <w:r w:rsidRPr="002045F5">
              <w:rPr>
                <w:b/>
                <w:sz w:val="22"/>
                <w:lang w:val="uk-UA"/>
              </w:rPr>
              <w:t xml:space="preserve">Очікувані кількісні результати реалізації </w:t>
            </w:r>
            <w:proofErr w:type="spellStart"/>
            <w:r w:rsidRPr="002045F5">
              <w:rPr>
                <w:b/>
                <w:sz w:val="22"/>
                <w:lang w:val="uk-UA"/>
              </w:rPr>
              <w:t>проєкту</w:t>
            </w:r>
            <w:proofErr w:type="spellEnd"/>
            <w:r w:rsidRPr="002045F5">
              <w:rPr>
                <w:b/>
                <w:sz w:val="22"/>
                <w:lang w:val="uk-UA"/>
              </w:rPr>
              <w:t xml:space="preserve"> (індикатори)</w:t>
            </w:r>
          </w:p>
          <w:p w:rsidR="001013F3" w:rsidRPr="002045F5" w:rsidRDefault="001013F3" w:rsidP="001013F3">
            <w:pPr>
              <w:pStyle w:val="a7"/>
              <w:ind w:left="0"/>
              <w:rPr>
                <w:b/>
                <w:sz w:val="22"/>
                <w:lang w:val="uk-UA"/>
              </w:rPr>
            </w:pPr>
          </w:p>
        </w:tc>
        <w:tc>
          <w:tcPr>
            <w:tcW w:w="3746" w:type="dxa"/>
            <w:gridSpan w:val="3"/>
            <w:tcBorders>
              <w:bottom w:val="single" w:sz="4" w:space="0" w:color="auto"/>
              <w:right w:val="single" w:sz="4" w:space="0" w:color="auto"/>
            </w:tcBorders>
          </w:tcPr>
          <w:p w:rsidR="001013F3" w:rsidRPr="002045F5" w:rsidRDefault="001013F3" w:rsidP="001013F3">
            <w:pPr>
              <w:pStyle w:val="a7"/>
              <w:ind w:left="-108"/>
              <w:jc w:val="center"/>
              <w:rPr>
                <w:b/>
                <w:sz w:val="22"/>
              </w:rPr>
            </w:pPr>
            <w:proofErr w:type="spellStart"/>
            <w:r w:rsidRPr="002045F5">
              <w:rPr>
                <w:b/>
                <w:sz w:val="22"/>
              </w:rPr>
              <w:t>Найменування</w:t>
            </w:r>
            <w:proofErr w:type="spellEnd"/>
            <w:r w:rsidRPr="002045F5">
              <w:rPr>
                <w:b/>
                <w:sz w:val="22"/>
              </w:rPr>
              <w:t xml:space="preserve"> </w:t>
            </w:r>
            <w:proofErr w:type="spellStart"/>
            <w:r w:rsidRPr="002045F5">
              <w:rPr>
                <w:b/>
                <w:sz w:val="22"/>
              </w:rPr>
              <w:t>показника</w:t>
            </w:r>
            <w:proofErr w:type="spellEnd"/>
          </w:p>
        </w:tc>
        <w:tc>
          <w:tcPr>
            <w:tcW w:w="1696" w:type="dxa"/>
            <w:gridSpan w:val="2"/>
            <w:tcBorders>
              <w:left w:val="single" w:sz="4" w:space="0" w:color="auto"/>
              <w:bottom w:val="single" w:sz="4" w:space="0" w:color="auto"/>
              <w:right w:val="single" w:sz="4" w:space="0" w:color="auto"/>
            </w:tcBorders>
          </w:tcPr>
          <w:p w:rsidR="001013F3" w:rsidRPr="002045F5" w:rsidRDefault="001013F3" w:rsidP="001013F3">
            <w:pPr>
              <w:pStyle w:val="a7"/>
              <w:ind w:left="0"/>
              <w:jc w:val="center"/>
              <w:rPr>
                <w:b/>
                <w:sz w:val="22"/>
              </w:rPr>
            </w:pPr>
            <w:proofErr w:type="spellStart"/>
            <w:r w:rsidRPr="002045F5">
              <w:rPr>
                <w:b/>
                <w:sz w:val="22"/>
              </w:rPr>
              <w:t>Одиниця</w:t>
            </w:r>
            <w:proofErr w:type="spellEnd"/>
            <w:r w:rsidRPr="002045F5">
              <w:rPr>
                <w:b/>
                <w:sz w:val="22"/>
              </w:rPr>
              <w:t xml:space="preserve"> </w:t>
            </w:r>
            <w:proofErr w:type="spellStart"/>
            <w:r w:rsidRPr="002045F5">
              <w:rPr>
                <w:b/>
                <w:sz w:val="22"/>
              </w:rPr>
              <w:t>вимірювання</w:t>
            </w:r>
            <w:proofErr w:type="spellEnd"/>
          </w:p>
          <w:p w:rsidR="001013F3" w:rsidRPr="002045F5" w:rsidRDefault="001013F3" w:rsidP="001013F3">
            <w:pPr>
              <w:pStyle w:val="a7"/>
              <w:ind w:left="0"/>
              <w:rPr>
                <w:b/>
                <w:sz w:val="22"/>
              </w:rPr>
            </w:pPr>
          </w:p>
        </w:tc>
        <w:tc>
          <w:tcPr>
            <w:tcW w:w="1468" w:type="dxa"/>
            <w:gridSpan w:val="2"/>
            <w:tcBorders>
              <w:left w:val="single" w:sz="4" w:space="0" w:color="auto"/>
              <w:bottom w:val="single" w:sz="4" w:space="0" w:color="auto"/>
            </w:tcBorders>
          </w:tcPr>
          <w:p w:rsidR="001013F3" w:rsidRPr="002045F5" w:rsidRDefault="001013F3" w:rsidP="001013F3">
            <w:pPr>
              <w:pStyle w:val="a7"/>
              <w:ind w:left="0"/>
              <w:jc w:val="center"/>
              <w:rPr>
                <w:b/>
                <w:sz w:val="22"/>
              </w:rPr>
            </w:pPr>
            <w:proofErr w:type="spellStart"/>
            <w:r w:rsidRPr="002045F5">
              <w:rPr>
                <w:b/>
                <w:sz w:val="22"/>
              </w:rPr>
              <w:t>Прогнозне</w:t>
            </w:r>
            <w:proofErr w:type="spellEnd"/>
            <w:r w:rsidRPr="002045F5">
              <w:rPr>
                <w:b/>
                <w:sz w:val="22"/>
              </w:rPr>
              <w:t xml:space="preserve"> (</w:t>
            </w:r>
            <w:proofErr w:type="spellStart"/>
            <w:r w:rsidRPr="002045F5">
              <w:rPr>
                <w:b/>
                <w:sz w:val="22"/>
              </w:rPr>
              <w:t>цільове</w:t>
            </w:r>
            <w:proofErr w:type="spellEnd"/>
            <w:r w:rsidRPr="002045F5">
              <w:rPr>
                <w:b/>
                <w:sz w:val="22"/>
              </w:rPr>
              <w:t xml:space="preserve">) </w:t>
            </w:r>
            <w:proofErr w:type="spellStart"/>
            <w:r w:rsidRPr="002045F5">
              <w:rPr>
                <w:b/>
                <w:sz w:val="22"/>
              </w:rPr>
              <w:t>значення</w:t>
            </w:r>
            <w:proofErr w:type="spellEnd"/>
          </w:p>
        </w:tc>
      </w:tr>
      <w:tr w:rsidR="001013F3" w:rsidRPr="002045F5" w:rsidTr="00822744">
        <w:trPr>
          <w:trHeight w:val="585"/>
        </w:trPr>
        <w:tc>
          <w:tcPr>
            <w:tcW w:w="2978" w:type="dxa"/>
            <w:vMerge/>
            <w:shd w:val="clear" w:color="auto" w:fill="C6D9F1" w:themeFill="text2" w:themeFillTint="33"/>
          </w:tcPr>
          <w:p w:rsidR="001013F3" w:rsidRPr="002045F5" w:rsidRDefault="001013F3" w:rsidP="001013F3">
            <w:pPr>
              <w:pStyle w:val="a7"/>
              <w:ind w:left="0"/>
              <w:rPr>
                <w:b/>
                <w:sz w:val="22"/>
              </w:rPr>
            </w:pPr>
          </w:p>
        </w:tc>
        <w:tc>
          <w:tcPr>
            <w:tcW w:w="3746" w:type="dxa"/>
            <w:gridSpan w:val="3"/>
            <w:tcBorders>
              <w:top w:val="single" w:sz="4" w:space="0" w:color="auto"/>
              <w:bottom w:val="single" w:sz="4" w:space="0" w:color="auto"/>
              <w:right w:val="single" w:sz="4" w:space="0" w:color="auto"/>
            </w:tcBorders>
          </w:tcPr>
          <w:p w:rsidR="001013F3" w:rsidRPr="002045F5" w:rsidRDefault="001013F3" w:rsidP="001013F3">
            <w:pPr>
              <w:pStyle w:val="a7"/>
              <w:ind w:left="0"/>
              <w:rPr>
                <w:sz w:val="22"/>
              </w:rPr>
            </w:pPr>
            <w:proofErr w:type="spellStart"/>
            <w:r w:rsidRPr="002045F5">
              <w:rPr>
                <w:sz w:val="22"/>
              </w:rPr>
              <w:t>Використання</w:t>
            </w:r>
            <w:proofErr w:type="spellEnd"/>
            <w:r w:rsidRPr="002045F5">
              <w:rPr>
                <w:sz w:val="22"/>
              </w:rPr>
              <w:t xml:space="preserve"> спортивного залу для занять </w:t>
            </w:r>
            <w:proofErr w:type="spellStart"/>
            <w:r w:rsidRPr="002045F5">
              <w:rPr>
                <w:sz w:val="22"/>
              </w:rPr>
              <w:t>фізичною</w:t>
            </w:r>
            <w:proofErr w:type="spellEnd"/>
            <w:r w:rsidRPr="002045F5">
              <w:rPr>
                <w:sz w:val="22"/>
              </w:rPr>
              <w:t xml:space="preserve"> культурою та спортом жителями </w:t>
            </w:r>
            <w:proofErr w:type="spellStart"/>
            <w:r w:rsidRPr="002045F5">
              <w:rPr>
                <w:sz w:val="22"/>
              </w:rPr>
              <w:t>громади</w:t>
            </w:r>
            <w:proofErr w:type="spellEnd"/>
            <w:r w:rsidRPr="002045F5">
              <w:rPr>
                <w:sz w:val="22"/>
              </w:rPr>
              <w:t xml:space="preserve">, в т.ч. особами з </w:t>
            </w:r>
            <w:proofErr w:type="spellStart"/>
            <w:r w:rsidRPr="002045F5">
              <w:rPr>
                <w:sz w:val="22"/>
              </w:rPr>
              <w:t>обмеженими</w:t>
            </w:r>
            <w:proofErr w:type="spellEnd"/>
            <w:r w:rsidRPr="002045F5">
              <w:rPr>
                <w:sz w:val="22"/>
              </w:rPr>
              <w:t xml:space="preserve"> </w:t>
            </w:r>
            <w:proofErr w:type="spellStart"/>
            <w:r w:rsidRPr="002045F5">
              <w:rPr>
                <w:sz w:val="22"/>
              </w:rPr>
              <w:t>фізичними</w:t>
            </w:r>
            <w:proofErr w:type="spellEnd"/>
            <w:r w:rsidRPr="002045F5">
              <w:rPr>
                <w:sz w:val="22"/>
              </w:rPr>
              <w:t xml:space="preserve"> </w:t>
            </w:r>
            <w:proofErr w:type="spellStart"/>
            <w:r w:rsidRPr="002045F5">
              <w:rPr>
                <w:sz w:val="22"/>
              </w:rPr>
              <w:t>можливостями</w:t>
            </w:r>
            <w:proofErr w:type="spellEnd"/>
            <w:r w:rsidRPr="002045F5">
              <w:rPr>
                <w:sz w:val="22"/>
              </w:rPr>
              <w:t>.</w:t>
            </w:r>
          </w:p>
        </w:tc>
        <w:tc>
          <w:tcPr>
            <w:tcW w:w="1696" w:type="dxa"/>
            <w:gridSpan w:val="2"/>
            <w:tcBorders>
              <w:top w:val="single" w:sz="4" w:space="0" w:color="auto"/>
              <w:left w:val="single" w:sz="4" w:space="0" w:color="auto"/>
              <w:bottom w:val="single" w:sz="4" w:space="0" w:color="auto"/>
              <w:right w:val="single" w:sz="4" w:space="0" w:color="auto"/>
            </w:tcBorders>
            <w:vAlign w:val="center"/>
          </w:tcPr>
          <w:p w:rsidR="001013F3" w:rsidRPr="002045F5" w:rsidRDefault="001013F3" w:rsidP="001013F3">
            <w:pPr>
              <w:pStyle w:val="a7"/>
              <w:ind w:left="0"/>
              <w:jc w:val="center"/>
              <w:rPr>
                <w:sz w:val="22"/>
              </w:rPr>
            </w:pPr>
            <w:proofErr w:type="spellStart"/>
            <w:r w:rsidRPr="002045F5">
              <w:rPr>
                <w:sz w:val="22"/>
              </w:rPr>
              <w:t>осіб</w:t>
            </w:r>
            <w:proofErr w:type="spellEnd"/>
          </w:p>
        </w:tc>
        <w:tc>
          <w:tcPr>
            <w:tcW w:w="1468" w:type="dxa"/>
            <w:gridSpan w:val="2"/>
            <w:tcBorders>
              <w:top w:val="single" w:sz="4" w:space="0" w:color="auto"/>
              <w:left w:val="single" w:sz="4" w:space="0" w:color="auto"/>
              <w:bottom w:val="single" w:sz="4" w:space="0" w:color="auto"/>
            </w:tcBorders>
            <w:vAlign w:val="center"/>
          </w:tcPr>
          <w:p w:rsidR="001013F3" w:rsidRPr="002045F5" w:rsidRDefault="001013F3" w:rsidP="001013F3">
            <w:pPr>
              <w:pStyle w:val="a7"/>
              <w:ind w:left="0"/>
              <w:jc w:val="center"/>
              <w:rPr>
                <w:sz w:val="22"/>
              </w:rPr>
            </w:pPr>
            <w:r w:rsidRPr="002045F5">
              <w:rPr>
                <w:sz w:val="22"/>
              </w:rPr>
              <w:t>2500</w:t>
            </w:r>
          </w:p>
        </w:tc>
      </w:tr>
      <w:tr w:rsidR="001013F3" w:rsidRPr="002045F5" w:rsidTr="00822744">
        <w:trPr>
          <w:trHeight w:val="1512"/>
        </w:trPr>
        <w:tc>
          <w:tcPr>
            <w:tcW w:w="2978" w:type="dxa"/>
            <w:vMerge/>
            <w:shd w:val="clear" w:color="auto" w:fill="C6D9F1" w:themeFill="text2" w:themeFillTint="33"/>
          </w:tcPr>
          <w:p w:rsidR="001013F3" w:rsidRPr="002045F5" w:rsidRDefault="001013F3" w:rsidP="001013F3">
            <w:pPr>
              <w:pStyle w:val="a7"/>
              <w:ind w:left="0"/>
              <w:rPr>
                <w:b/>
                <w:sz w:val="22"/>
              </w:rPr>
            </w:pPr>
          </w:p>
        </w:tc>
        <w:tc>
          <w:tcPr>
            <w:tcW w:w="3746" w:type="dxa"/>
            <w:gridSpan w:val="3"/>
            <w:tcBorders>
              <w:top w:val="single" w:sz="4" w:space="0" w:color="auto"/>
              <w:bottom w:val="single" w:sz="4" w:space="0" w:color="auto"/>
              <w:right w:val="single" w:sz="4" w:space="0" w:color="auto"/>
            </w:tcBorders>
          </w:tcPr>
          <w:p w:rsidR="001013F3" w:rsidRPr="002045F5" w:rsidRDefault="001013F3" w:rsidP="001013F3">
            <w:pPr>
              <w:pStyle w:val="a7"/>
              <w:ind w:left="0"/>
              <w:rPr>
                <w:sz w:val="22"/>
              </w:rPr>
            </w:pPr>
            <w:proofErr w:type="spellStart"/>
            <w:r w:rsidRPr="002045F5">
              <w:rPr>
                <w:sz w:val="22"/>
              </w:rPr>
              <w:t>Залученість</w:t>
            </w:r>
            <w:proofErr w:type="spellEnd"/>
            <w:r w:rsidRPr="002045F5">
              <w:rPr>
                <w:sz w:val="22"/>
              </w:rPr>
              <w:t xml:space="preserve"> до занять спортом та </w:t>
            </w:r>
            <w:proofErr w:type="spellStart"/>
            <w:r w:rsidRPr="002045F5">
              <w:rPr>
                <w:sz w:val="22"/>
              </w:rPr>
              <w:t>фізичною</w:t>
            </w:r>
            <w:proofErr w:type="spellEnd"/>
            <w:r w:rsidRPr="002045F5">
              <w:rPr>
                <w:sz w:val="22"/>
              </w:rPr>
              <w:t xml:space="preserve"> культурою </w:t>
            </w:r>
            <w:proofErr w:type="spellStart"/>
            <w:r w:rsidRPr="002045F5">
              <w:rPr>
                <w:sz w:val="22"/>
              </w:rPr>
              <w:t>учнівської</w:t>
            </w:r>
            <w:proofErr w:type="spellEnd"/>
            <w:r w:rsidRPr="002045F5">
              <w:rPr>
                <w:sz w:val="22"/>
              </w:rPr>
              <w:t xml:space="preserve"> </w:t>
            </w:r>
            <w:proofErr w:type="spellStart"/>
            <w:r w:rsidRPr="002045F5">
              <w:rPr>
                <w:sz w:val="22"/>
              </w:rPr>
              <w:t>молоді</w:t>
            </w:r>
            <w:proofErr w:type="spellEnd"/>
            <w:r w:rsidRPr="002045F5">
              <w:rPr>
                <w:sz w:val="22"/>
              </w:rPr>
              <w:t>.</w:t>
            </w:r>
          </w:p>
        </w:tc>
        <w:tc>
          <w:tcPr>
            <w:tcW w:w="1696" w:type="dxa"/>
            <w:gridSpan w:val="2"/>
            <w:tcBorders>
              <w:top w:val="single" w:sz="4" w:space="0" w:color="auto"/>
              <w:left w:val="single" w:sz="4" w:space="0" w:color="auto"/>
              <w:bottom w:val="single" w:sz="4" w:space="0" w:color="auto"/>
              <w:right w:val="single" w:sz="4" w:space="0" w:color="auto"/>
            </w:tcBorders>
            <w:vAlign w:val="center"/>
          </w:tcPr>
          <w:p w:rsidR="001013F3" w:rsidRPr="002045F5" w:rsidRDefault="001013F3" w:rsidP="001013F3">
            <w:pPr>
              <w:pStyle w:val="a7"/>
              <w:ind w:left="0"/>
              <w:jc w:val="center"/>
              <w:rPr>
                <w:sz w:val="22"/>
              </w:rPr>
            </w:pPr>
            <w:proofErr w:type="spellStart"/>
            <w:r w:rsidRPr="002045F5">
              <w:rPr>
                <w:sz w:val="22"/>
              </w:rPr>
              <w:t>осіб</w:t>
            </w:r>
            <w:proofErr w:type="spellEnd"/>
          </w:p>
        </w:tc>
        <w:tc>
          <w:tcPr>
            <w:tcW w:w="1468" w:type="dxa"/>
            <w:gridSpan w:val="2"/>
            <w:tcBorders>
              <w:top w:val="single" w:sz="4" w:space="0" w:color="auto"/>
              <w:left w:val="single" w:sz="4" w:space="0" w:color="auto"/>
              <w:bottom w:val="single" w:sz="4" w:space="0" w:color="auto"/>
            </w:tcBorders>
            <w:vAlign w:val="center"/>
          </w:tcPr>
          <w:p w:rsidR="001013F3" w:rsidRPr="002045F5" w:rsidRDefault="001013F3" w:rsidP="001013F3">
            <w:pPr>
              <w:pStyle w:val="a7"/>
              <w:ind w:left="0"/>
              <w:jc w:val="center"/>
              <w:rPr>
                <w:sz w:val="22"/>
              </w:rPr>
            </w:pPr>
            <w:r w:rsidRPr="002045F5">
              <w:rPr>
                <w:sz w:val="22"/>
              </w:rPr>
              <w:t>355</w:t>
            </w:r>
          </w:p>
        </w:tc>
      </w:tr>
      <w:tr w:rsidR="001013F3" w:rsidRPr="002045F5" w:rsidTr="00822744">
        <w:trPr>
          <w:trHeight w:val="132"/>
        </w:trPr>
        <w:tc>
          <w:tcPr>
            <w:tcW w:w="2978" w:type="dxa"/>
            <w:vMerge/>
            <w:shd w:val="clear" w:color="auto" w:fill="C6D9F1" w:themeFill="text2" w:themeFillTint="33"/>
          </w:tcPr>
          <w:p w:rsidR="001013F3" w:rsidRPr="002045F5" w:rsidRDefault="001013F3" w:rsidP="001013F3">
            <w:pPr>
              <w:pStyle w:val="a7"/>
              <w:ind w:left="0"/>
              <w:rPr>
                <w:b/>
                <w:sz w:val="22"/>
              </w:rPr>
            </w:pPr>
          </w:p>
        </w:tc>
        <w:tc>
          <w:tcPr>
            <w:tcW w:w="3746" w:type="dxa"/>
            <w:gridSpan w:val="3"/>
            <w:tcBorders>
              <w:top w:val="single" w:sz="4" w:space="0" w:color="auto"/>
              <w:bottom w:val="single" w:sz="4" w:space="0" w:color="auto"/>
              <w:right w:val="single" w:sz="4" w:space="0" w:color="auto"/>
            </w:tcBorders>
          </w:tcPr>
          <w:p w:rsidR="001013F3" w:rsidRPr="002045F5" w:rsidRDefault="001013F3" w:rsidP="001013F3">
            <w:pPr>
              <w:pStyle w:val="a7"/>
              <w:ind w:left="0"/>
              <w:rPr>
                <w:sz w:val="22"/>
              </w:rPr>
            </w:pPr>
            <w:proofErr w:type="spellStart"/>
            <w:proofErr w:type="gramStart"/>
            <w:r w:rsidRPr="002045F5">
              <w:rPr>
                <w:sz w:val="22"/>
              </w:rPr>
              <w:t>Вирішення</w:t>
            </w:r>
            <w:proofErr w:type="spellEnd"/>
            <w:r w:rsidRPr="002045F5">
              <w:rPr>
                <w:sz w:val="22"/>
              </w:rPr>
              <w:t xml:space="preserve">  </w:t>
            </w:r>
            <w:proofErr w:type="spellStart"/>
            <w:r w:rsidRPr="002045F5">
              <w:rPr>
                <w:sz w:val="22"/>
              </w:rPr>
              <w:t>актуальної</w:t>
            </w:r>
            <w:proofErr w:type="spellEnd"/>
            <w:proofErr w:type="gramEnd"/>
            <w:r w:rsidRPr="002045F5">
              <w:rPr>
                <w:sz w:val="22"/>
              </w:rPr>
              <w:t xml:space="preserve"> </w:t>
            </w:r>
            <w:proofErr w:type="spellStart"/>
            <w:r w:rsidRPr="002045F5">
              <w:rPr>
                <w:sz w:val="22"/>
              </w:rPr>
              <w:t>проблеми</w:t>
            </w:r>
            <w:proofErr w:type="spellEnd"/>
            <w:r w:rsidRPr="002045F5">
              <w:rPr>
                <w:sz w:val="22"/>
              </w:rPr>
              <w:t xml:space="preserve"> </w:t>
            </w:r>
            <w:proofErr w:type="spellStart"/>
            <w:r w:rsidRPr="002045F5">
              <w:rPr>
                <w:sz w:val="22"/>
              </w:rPr>
              <w:t>зайнятості</w:t>
            </w:r>
            <w:proofErr w:type="spellEnd"/>
            <w:r w:rsidRPr="002045F5">
              <w:rPr>
                <w:sz w:val="22"/>
              </w:rPr>
              <w:t xml:space="preserve"> </w:t>
            </w:r>
            <w:proofErr w:type="spellStart"/>
            <w:r w:rsidRPr="002045F5">
              <w:rPr>
                <w:sz w:val="22"/>
              </w:rPr>
              <w:t>дітей</w:t>
            </w:r>
            <w:proofErr w:type="spellEnd"/>
            <w:r w:rsidRPr="002045F5">
              <w:rPr>
                <w:sz w:val="22"/>
              </w:rPr>
              <w:t xml:space="preserve"> та </w:t>
            </w:r>
            <w:proofErr w:type="spellStart"/>
            <w:r w:rsidRPr="002045F5">
              <w:rPr>
                <w:sz w:val="22"/>
              </w:rPr>
              <w:t>молоді</w:t>
            </w:r>
            <w:proofErr w:type="spellEnd"/>
            <w:r w:rsidRPr="002045F5">
              <w:rPr>
                <w:sz w:val="22"/>
              </w:rPr>
              <w:t xml:space="preserve"> </w:t>
            </w:r>
            <w:proofErr w:type="spellStart"/>
            <w:r w:rsidRPr="002045F5">
              <w:rPr>
                <w:sz w:val="22"/>
              </w:rPr>
              <w:t>громади</w:t>
            </w:r>
            <w:proofErr w:type="spellEnd"/>
            <w:r w:rsidRPr="002045F5">
              <w:rPr>
                <w:sz w:val="22"/>
              </w:rPr>
              <w:t xml:space="preserve"> в </w:t>
            </w:r>
            <w:proofErr w:type="spellStart"/>
            <w:r w:rsidRPr="002045F5">
              <w:rPr>
                <w:sz w:val="22"/>
              </w:rPr>
              <w:t>позаурочний</w:t>
            </w:r>
            <w:proofErr w:type="spellEnd"/>
            <w:r w:rsidRPr="002045F5">
              <w:rPr>
                <w:sz w:val="22"/>
              </w:rPr>
              <w:t xml:space="preserve"> час.</w:t>
            </w:r>
          </w:p>
        </w:tc>
        <w:tc>
          <w:tcPr>
            <w:tcW w:w="1696" w:type="dxa"/>
            <w:gridSpan w:val="2"/>
            <w:tcBorders>
              <w:top w:val="single" w:sz="4" w:space="0" w:color="auto"/>
              <w:left w:val="single" w:sz="4" w:space="0" w:color="auto"/>
              <w:bottom w:val="single" w:sz="4" w:space="0" w:color="auto"/>
              <w:right w:val="single" w:sz="4" w:space="0" w:color="auto"/>
            </w:tcBorders>
            <w:vAlign w:val="center"/>
          </w:tcPr>
          <w:p w:rsidR="001013F3" w:rsidRPr="002045F5" w:rsidRDefault="001013F3" w:rsidP="001013F3">
            <w:pPr>
              <w:pStyle w:val="a7"/>
              <w:ind w:left="0"/>
              <w:jc w:val="center"/>
              <w:rPr>
                <w:sz w:val="22"/>
              </w:rPr>
            </w:pPr>
            <w:proofErr w:type="spellStart"/>
            <w:r w:rsidRPr="002045F5">
              <w:rPr>
                <w:sz w:val="22"/>
              </w:rPr>
              <w:t>осіб</w:t>
            </w:r>
            <w:proofErr w:type="spellEnd"/>
          </w:p>
        </w:tc>
        <w:tc>
          <w:tcPr>
            <w:tcW w:w="1468" w:type="dxa"/>
            <w:gridSpan w:val="2"/>
            <w:tcBorders>
              <w:top w:val="single" w:sz="4" w:space="0" w:color="auto"/>
              <w:left w:val="single" w:sz="4" w:space="0" w:color="auto"/>
              <w:bottom w:val="single" w:sz="4" w:space="0" w:color="auto"/>
            </w:tcBorders>
            <w:vAlign w:val="center"/>
          </w:tcPr>
          <w:p w:rsidR="001013F3" w:rsidRPr="002045F5" w:rsidRDefault="001013F3" w:rsidP="001013F3">
            <w:pPr>
              <w:pStyle w:val="a7"/>
              <w:ind w:left="0"/>
              <w:jc w:val="center"/>
              <w:rPr>
                <w:sz w:val="22"/>
              </w:rPr>
            </w:pPr>
            <w:r w:rsidRPr="002045F5">
              <w:rPr>
                <w:sz w:val="22"/>
              </w:rPr>
              <w:t>1200</w:t>
            </w:r>
          </w:p>
        </w:tc>
      </w:tr>
      <w:tr w:rsidR="001013F3" w:rsidRPr="002045F5" w:rsidTr="00822744">
        <w:trPr>
          <w:trHeight w:val="586"/>
        </w:trPr>
        <w:tc>
          <w:tcPr>
            <w:tcW w:w="2978" w:type="dxa"/>
            <w:vMerge/>
            <w:shd w:val="clear" w:color="auto" w:fill="C6D9F1" w:themeFill="text2" w:themeFillTint="33"/>
          </w:tcPr>
          <w:p w:rsidR="001013F3" w:rsidRPr="002045F5" w:rsidRDefault="001013F3" w:rsidP="001013F3">
            <w:pPr>
              <w:pStyle w:val="a7"/>
              <w:ind w:left="0"/>
              <w:rPr>
                <w:b/>
                <w:sz w:val="22"/>
              </w:rPr>
            </w:pPr>
          </w:p>
        </w:tc>
        <w:tc>
          <w:tcPr>
            <w:tcW w:w="3746" w:type="dxa"/>
            <w:gridSpan w:val="3"/>
            <w:tcBorders>
              <w:top w:val="single" w:sz="4" w:space="0" w:color="auto"/>
              <w:bottom w:val="single" w:sz="4" w:space="0" w:color="auto"/>
              <w:right w:val="single" w:sz="4" w:space="0" w:color="auto"/>
            </w:tcBorders>
          </w:tcPr>
          <w:p w:rsidR="001013F3" w:rsidRPr="002045F5" w:rsidRDefault="001013F3" w:rsidP="001013F3">
            <w:pPr>
              <w:pStyle w:val="a7"/>
              <w:ind w:left="0"/>
              <w:rPr>
                <w:sz w:val="22"/>
              </w:rPr>
            </w:pPr>
            <w:proofErr w:type="spellStart"/>
            <w:r w:rsidRPr="002045F5">
              <w:rPr>
                <w:sz w:val="22"/>
              </w:rPr>
              <w:t>Профілактика</w:t>
            </w:r>
            <w:proofErr w:type="spellEnd"/>
            <w:r w:rsidRPr="002045F5">
              <w:rPr>
                <w:sz w:val="22"/>
              </w:rPr>
              <w:t xml:space="preserve"> </w:t>
            </w:r>
            <w:proofErr w:type="spellStart"/>
            <w:r w:rsidRPr="002045F5">
              <w:rPr>
                <w:sz w:val="22"/>
              </w:rPr>
              <w:t>захворюваності</w:t>
            </w:r>
            <w:proofErr w:type="spellEnd"/>
            <w:r w:rsidRPr="002045F5">
              <w:rPr>
                <w:sz w:val="22"/>
              </w:rPr>
              <w:t xml:space="preserve"> </w:t>
            </w:r>
            <w:proofErr w:type="spellStart"/>
            <w:r w:rsidRPr="002045F5">
              <w:rPr>
                <w:sz w:val="22"/>
              </w:rPr>
              <w:t>дітей</w:t>
            </w:r>
            <w:proofErr w:type="spellEnd"/>
            <w:r w:rsidRPr="002045F5">
              <w:rPr>
                <w:sz w:val="22"/>
              </w:rPr>
              <w:t xml:space="preserve"> </w:t>
            </w:r>
            <w:proofErr w:type="spellStart"/>
            <w:r w:rsidRPr="002045F5">
              <w:rPr>
                <w:sz w:val="22"/>
              </w:rPr>
              <w:t>шкільного</w:t>
            </w:r>
            <w:proofErr w:type="spellEnd"/>
            <w:r w:rsidRPr="002045F5">
              <w:rPr>
                <w:sz w:val="22"/>
              </w:rPr>
              <w:t xml:space="preserve"> та </w:t>
            </w:r>
            <w:proofErr w:type="spellStart"/>
            <w:r w:rsidRPr="002045F5">
              <w:rPr>
                <w:sz w:val="22"/>
              </w:rPr>
              <w:t>дошкільного</w:t>
            </w:r>
            <w:proofErr w:type="spellEnd"/>
            <w:r w:rsidRPr="002045F5">
              <w:rPr>
                <w:sz w:val="22"/>
              </w:rPr>
              <w:t xml:space="preserve"> </w:t>
            </w:r>
            <w:proofErr w:type="spellStart"/>
            <w:r w:rsidRPr="002045F5">
              <w:rPr>
                <w:sz w:val="22"/>
              </w:rPr>
              <w:t>віку</w:t>
            </w:r>
            <w:proofErr w:type="spellEnd"/>
            <w:r w:rsidRPr="002045F5">
              <w:rPr>
                <w:sz w:val="22"/>
              </w:rPr>
              <w:t>.</w:t>
            </w:r>
          </w:p>
        </w:tc>
        <w:tc>
          <w:tcPr>
            <w:tcW w:w="1696" w:type="dxa"/>
            <w:gridSpan w:val="2"/>
            <w:tcBorders>
              <w:top w:val="single" w:sz="4" w:space="0" w:color="auto"/>
              <w:left w:val="single" w:sz="4" w:space="0" w:color="auto"/>
              <w:bottom w:val="single" w:sz="4" w:space="0" w:color="auto"/>
              <w:right w:val="single" w:sz="4" w:space="0" w:color="auto"/>
            </w:tcBorders>
            <w:vAlign w:val="center"/>
          </w:tcPr>
          <w:p w:rsidR="001013F3" w:rsidRPr="002045F5" w:rsidRDefault="001013F3" w:rsidP="001013F3">
            <w:pPr>
              <w:pStyle w:val="a7"/>
              <w:ind w:left="0"/>
              <w:jc w:val="center"/>
              <w:rPr>
                <w:sz w:val="22"/>
              </w:rPr>
            </w:pPr>
            <w:proofErr w:type="spellStart"/>
            <w:r w:rsidRPr="002045F5">
              <w:rPr>
                <w:sz w:val="22"/>
              </w:rPr>
              <w:t>осіб</w:t>
            </w:r>
            <w:proofErr w:type="spellEnd"/>
          </w:p>
        </w:tc>
        <w:tc>
          <w:tcPr>
            <w:tcW w:w="1468" w:type="dxa"/>
            <w:gridSpan w:val="2"/>
            <w:tcBorders>
              <w:top w:val="single" w:sz="4" w:space="0" w:color="auto"/>
              <w:left w:val="single" w:sz="4" w:space="0" w:color="auto"/>
              <w:bottom w:val="single" w:sz="4" w:space="0" w:color="auto"/>
            </w:tcBorders>
            <w:vAlign w:val="center"/>
          </w:tcPr>
          <w:p w:rsidR="001013F3" w:rsidRPr="002045F5" w:rsidRDefault="001013F3" w:rsidP="001013F3">
            <w:pPr>
              <w:pStyle w:val="a7"/>
              <w:ind w:left="0"/>
              <w:jc w:val="center"/>
              <w:rPr>
                <w:sz w:val="22"/>
              </w:rPr>
            </w:pPr>
            <w:r w:rsidRPr="002045F5">
              <w:rPr>
                <w:sz w:val="22"/>
              </w:rPr>
              <w:t>355</w:t>
            </w:r>
          </w:p>
        </w:tc>
      </w:tr>
      <w:tr w:rsidR="001013F3" w:rsidRPr="002045F5" w:rsidTr="00822744">
        <w:tc>
          <w:tcPr>
            <w:tcW w:w="2978" w:type="dxa"/>
            <w:shd w:val="clear" w:color="auto" w:fill="C6D9F1" w:themeFill="text2" w:themeFillTint="33"/>
          </w:tcPr>
          <w:p w:rsidR="001013F3" w:rsidRPr="002045F5" w:rsidRDefault="001013F3" w:rsidP="001013F3">
            <w:pPr>
              <w:rPr>
                <w:b/>
                <w:sz w:val="22"/>
              </w:rPr>
            </w:pPr>
            <w:proofErr w:type="spellStart"/>
            <w:r w:rsidRPr="002045F5">
              <w:rPr>
                <w:b/>
                <w:sz w:val="22"/>
              </w:rPr>
              <w:t>Ключові</w:t>
            </w:r>
            <w:proofErr w:type="spellEnd"/>
            <w:r w:rsidRPr="002045F5">
              <w:rPr>
                <w:b/>
                <w:sz w:val="22"/>
              </w:rPr>
              <w:t xml:space="preserve"> заходи проекту: </w:t>
            </w:r>
          </w:p>
          <w:p w:rsidR="001013F3" w:rsidRPr="002045F5" w:rsidRDefault="001013F3" w:rsidP="001013F3">
            <w:pPr>
              <w:pStyle w:val="a7"/>
              <w:ind w:left="0"/>
              <w:rPr>
                <w:b/>
                <w:sz w:val="22"/>
              </w:rPr>
            </w:pPr>
          </w:p>
        </w:tc>
        <w:tc>
          <w:tcPr>
            <w:tcW w:w="6910" w:type="dxa"/>
            <w:gridSpan w:val="7"/>
          </w:tcPr>
          <w:p w:rsidR="001013F3" w:rsidRPr="002045F5" w:rsidRDefault="001013F3" w:rsidP="001013F3">
            <w:pPr>
              <w:rPr>
                <w:color w:val="000000"/>
                <w:sz w:val="22"/>
              </w:rPr>
            </w:pPr>
            <w:r w:rsidRPr="002045F5">
              <w:rPr>
                <w:b/>
                <w:color w:val="000000"/>
                <w:sz w:val="22"/>
              </w:rPr>
              <w:t>1.</w:t>
            </w:r>
            <w:r w:rsidRPr="002045F5">
              <w:rPr>
                <w:color w:val="000000"/>
                <w:sz w:val="22"/>
              </w:rPr>
              <w:t xml:space="preserve"> </w:t>
            </w:r>
            <w:proofErr w:type="spellStart"/>
            <w:r w:rsidRPr="002045F5">
              <w:rPr>
                <w:color w:val="000000"/>
                <w:sz w:val="22"/>
              </w:rPr>
              <w:t>Створення</w:t>
            </w:r>
            <w:proofErr w:type="spellEnd"/>
            <w:r w:rsidRPr="002045F5">
              <w:rPr>
                <w:color w:val="000000"/>
                <w:sz w:val="22"/>
              </w:rPr>
              <w:t xml:space="preserve"> й </w:t>
            </w:r>
            <w:proofErr w:type="spellStart"/>
            <w:r w:rsidRPr="002045F5">
              <w:rPr>
                <w:color w:val="000000"/>
                <w:sz w:val="22"/>
              </w:rPr>
              <w:t>функціонування</w:t>
            </w:r>
            <w:proofErr w:type="spellEnd"/>
            <w:r w:rsidRPr="002045F5">
              <w:rPr>
                <w:color w:val="000000"/>
                <w:sz w:val="22"/>
              </w:rPr>
              <w:t xml:space="preserve"> </w:t>
            </w:r>
            <w:proofErr w:type="spellStart"/>
            <w:r w:rsidRPr="002045F5">
              <w:rPr>
                <w:color w:val="000000"/>
                <w:sz w:val="22"/>
              </w:rPr>
              <w:t>робочої</w:t>
            </w:r>
            <w:proofErr w:type="spellEnd"/>
            <w:r w:rsidRPr="002045F5">
              <w:rPr>
                <w:color w:val="000000"/>
                <w:sz w:val="22"/>
              </w:rPr>
              <w:t xml:space="preserve"> </w:t>
            </w:r>
            <w:proofErr w:type="spellStart"/>
            <w:r w:rsidRPr="002045F5">
              <w:rPr>
                <w:color w:val="000000"/>
                <w:sz w:val="22"/>
              </w:rPr>
              <w:t>групи</w:t>
            </w:r>
            <w:proofErr w:type="spellEnd"/>
            <w:r w:rsidRPr="002045F5">
              <w:rPr>
                <w:color w:val="000000"/>
                <w:sz w:val="22"/>
              </w:rPr>
              <w:t xml:space="preserve"> з </w:t>
            </w:r>
            <w:proofErr w:type="spellStart"/>
            <w:r w:rsidRPr="002045F5">
              <w:rPr>
                <w:color w:val="000000"/>
                <w:sz w:val="22"/>
              </w:rPr>
              <w:t>реалізації</w:t>
            </w:r>
            <w:proofErr w:type="spellEnd"/>
            <w:r w:rsidRPr="002045F5">
              <w:rPr>
                <w:color w:val="000000"/>
                <w:sz w:val="22"/>
              </w:rPr>
              <w:t xml:space="preserve"> </w:t>
            </w:r>
            <w:proofErr w:type="spellStart"/>
            <w:r w:rsidRPr="002045F5">
              <w:rPr>
                <w:color w:val="000000"/>
                <w:sz w:val="22"/>
              </w:rPr>
              <w:t>про</w:t>
            </w:r>
            <w:r w:rsidR="004313B7" w:rsidRPr="002045F5">
              <w:rPr>
                <w:color w:val="000000"/>
                <w:sz w:val="22"/>
              </w:rPr>
              <w:t>є</w:t>
            </w:r>
            <w:r w:rsidRPr="002045F5">
              <w:rPr>
                <w:color w:val="000000"/>
                <w:sz w:val="22"/>
              </w:rPr>
              <w:t>кту</w:t>
            </w:r>
            <w:proofErr w:type="spellEnd"/>
            <w:r w:rsidRPr="002045F5">
              <w:rPr>
                <w:color w:val="000000"/>
                <w:sz w:val="22"/>
              </w:rPr>
              <w:t>.</w:t>
            </w:r>
          </w:p>
          <w:p w:rsidR="001013F3" w:rsidRPr="002045F5" w:rsidRDefault="001013F3" w:rsidP="001013F3">
            <w:pPr>
              <w:rPr>
                <w:color w:val="000000"/>
                <w:sz w:val="22"/>
              </w:rPr>
            </w:pPr>
            <w:r w:rsidRPr="002045F5">
              <w:rPr>
                <w:color w:val="000000"/>
                <w:sz w:val="22"/>
              </w:rPr>
              <w:t xml:space="preserve"> </w:t>
            </w:r>
            <w:r w:rsidRPr="002045F5">
              <w:rPr>
                <w:b/>
                <w:color w:val="000000"/>
                <w:sz w:val="22"/>
              </w:rPr>
              <w:t>2.</w:t>
            </w:r>
            <w:r w:rsidRPr="002045F5">
              <w:rPr>
                <w:color w:val="000000"/>
                <w:sz w:val="22"/>
              </w:rPr>
              <w:t xml:space="preserve"> </w:t>
            </w:r>
            <w:proofErr w:type="spellStart"/>
            <w:r w:rsidRPr="002045F5">
              <w:rPr>
                <w:color w:val="000000"/>
                <w:sz w:val="22"/>
              </w:rPr>
              <w:t>Виготовлення</w:t>
            </w:r>
            <w:proofErr w:type="spellEnd"/>
            <w:r w:rsidRPr="002045F5">
              <w:rPr>
                <w:color w:val="000000"/>
                <w:sz w:val="22"/>
              </w:rPr>
              <w:t xml:space="preserve"> </w:t>
            </w:r>
            <w:proofErr w:type="spellStart"/>
            <w:r w:rsidRPr="002045F5">
              <w:rPr>
                <w:color w:val="000000"/>
                <w:sz w:val="22"/>
              </w:rPr>
              <w:t>про</w:t>
            </w:r>
            <w:r w:rsidR="00260D37" w:rsidRPr="002045F5">
              <w:rPr>
                <w:color w:val="000000"/>
                <w:sz w:val="22"/>
              </w:rPr>
              <w:t>є</w:t>
            </w:r>
            <w:r w:rsidRPr="002045F5">
              <w:rPr>
                <w:color w:val="000000"/>
                <w:sz w:val="22"/>
              </w:rPr>
              <w:t>ктно</w:t>
            </w:r>
            <w:proofErr w:type="spellEnd"/>
            <w:r w:rsidRPr="002045F5">
              <w:rPr>
                <w:color w:val="000000"/>
                <w:sz w:val="22"/>
              </w:rPr>
              <w:t xml:space="preserve"> - </w:t>
            </w:r>
            <w:proofErr w:type="spellStart"/>
            <w:r w:rsidRPr="002045F5">
              <w:rPr>
                <w:color w:val="000000"/>
                <w:sz w:val="22"/>
              </w:rPr>
              <w:t>кошторисної</w:t>
            </w:r>
            <w:proofErr w:type="spellEnd"/>
            <w:r w:rsidRPr="002045F5">
              <w:rPr>
                <w:color w:val="000000"/>
                <w:sz w:val="22"/>
              </w:rPr>
              <w:t xml:space="preserve"> </w:t>
            </w:r>
            <w:proofErr w:type="spellStart"/>
            <w:r w:rsidRPr="002045F5">
              <w:rPr>
                <w:color w:val="000000"/>
                <w:sz w:val="22"/>
              </w:rPr>
              <w:t>документації</w:t>
            </w:r>
            <w:proofErr w:type="spellEnd"/>
            <w:r w:rsidRPr="002045F5">
              <w:rPr>
                <w:color w:val="000000"/>
                <w:sz w:val="22"/>
              </w:rPr>
              <w:t xml:space="preserve"> для </w:t>
            </w:r>
            <w:proofErr w:type="spellStart"/>
            <w:r w:rsidRPr="002045F5">
              <w:rPr>
                <w:color w:val="000000"/>
                <w:sz w:val="22"/>
              </w:rPr>
              <w:t>здійснення</w:t>
            </w:r>
            <w:proofErr w:type="spellEnd"/>
            <w:r w:rsidRPr="002045F5">
              <w:rPr>
                <w:color w:val="000000"/>
                <w:sz w:val="22"/>
              </w:rPr>
              <w:t xml:space="preserve"> </w:t>
            </w:r>
            <w:proofErr w:type="spellStart"/>
            <w:r w:rsidRPr="002045F5">
              <w:rPr>
                <w:color w:val="000000"/>
                <w:sz w:val="22"/>
              </w:rPr>
              <w:t>будівельно</w:t>
            </w:r>
            <w:proofErr w:type="spellEnd"/>
            <w:r w:rsidRPr="002045F5">
              <w:rPr>
                <w:color w:val="000000"/>
                <w:sz w:val="22"/>
              </w:rPr>
              <w:t xml:space="preserve"> - </w:t>
            </w:r>
            <w:proofErr w:type="spellStart"/>
            <w:r w:rsidRPr="002045F5">
              <w:rPr>
                <w:color w:val="000000"/>
                <w:sz w:val="22"/>
              </w:rPr>
              <w:t>монтажних</w:t>
            </w:r>
            <w:proofErr w:type="spellEnd"/>
            <w:r w:rsidRPr="002045F5">
              <w:rPr>
                <w:color w:val="000000"/>
                <w:sz w:val="22"/>
              </w:rPr>
              <w:t xml:space="preserve"> </w:t>
            </w:r>
            <w:proofErr w:type="spellStart"/>
            <w:r w:rsidRPr="002045F5">
              <w:rPr>
                <w:color w:val="000000"/>
                <w:sz w:val="22"/>
              </w:rPr>
              <w:t>робіт</w:t>
            </w:r>
            <w:proofErr w:type="spellEnd"/>
            <w:r w:rsidRPr="002045F5">
              <w:rPr>
                <w:color w:val="000000"/>
                <w:sz w:val="22"/>
              </w:rPr>
              <w:t xml:space="preserve"> шляхом конкурсного </w:t>
            </w:r>
            <w:proofErr w:type="spellStart"/>
            <w:r w:rsidRPr="002045F5">
              <w:rPr>
                <w:color w:val="000000"/>
                <w:sz w:val="22"/>
              </w:rPr>
              <w:t>відбору</w:t>
            </w:r>
            <w:proofErr w:type="spellEnd"/>
            <w:r w:rsidRPr="002045F5">
              <w:rPr>
                <w:color w:val="000000"/>
                <w:sz w:val="22"/>
              </w:rPr>
              <w:t xml:space="preserve"> </w:t>
            </w:r>
            <w:proofErr w:type="spellStart"/>
            <w:r w:rsidRPr="002045F5">
              <w:rPr>
                <w:color w:val="000000"/>
                <w:sz w:val="22"/>
              </w:rPr>
              <w:t>розробника</w:t>
            </w:r>
            <w:proofErr w:type="spellEnd"/>
            <w:r w:rsidRPr="002045F5">
              <w:rPr>
                <w:color w:val="000000"/>
                <w:sz w:val="22"/>
              </w:rPr>
              <w:t xml:space="preserve"> </w:t>
            </w:r>
            <w:proofErr w:type="spellStart"/>
            <w:r w:rsidRPr="002045F5">
              <w:rPr>
                <w:color w:val="000000"/>
                <w:sz w:val="22"/>
              </w:rPr>
              <w:t>згідно</w:t>
            </w:r>
            <w:proofErr w:type="spellEnd"/>
            <w:r w:rsidRPr="002045F5">
              <w:rPr>
                <w:color w:val="000000"/>
                <w:sz w:val="22"/>
              </w:rPr>
              <w:t xml:space="preserve"> </w:t>
            </w:r>
            <w:proofErr w:type="spellStart"/>
            <w:r w:rsidRPr="002045F5">
              <w:rPr>
                <w:color w:val="000000"/>
                <w:sz w:val="22"/>
              </w:rPr>
              <w:t>законодавства</w:t>
            </w:r>
            <w:proofErr w:type="spellEnd"/>
            <w:r w:rsidRPr="002045F5">
              <w:rPr>
                <w:color w:val="000000"/>
                <w:sz w:val="22"/>
              </w:rPr>
              <w:t xml:space="preserve"> та </w:t>
            </w:r>
            <w:proofErr w:type="spellStart"/>
            <w:r w:rsidRPr="002045F5">
              <w:rPr>
                <w:color w:val="000000"/>
                <w:sz w:val="22"/>
              </w:rPr>
              <w:t>проведення</w:t>
            </w:r>
            <w:proofErr w:type="spellEnd"/>
            <w:r w:rsidRPr="002045F5">
              <w:rPr>
                <w:color w:val="000000"/>
                <w:sz w:val="22"/>
              </w:rPr>
              <w:t xml:space="preserve"> </w:t>
            </w:r>
            <w:proofErr w:type="spellStart"/>
            <w:r w:rsidRPr="002045F5">
              <w:rPr>
                <w:color w:val="000000"/>
                <w:sz w:val="22"/>
              </w:rPr>
              <w:t>експертної</w:t>
            </w:r>
            <w:proofErr w:type="spellEnd"/>
            <w:r w:rsidRPr="002045F5">
              <w:rPr>
                <w:color w:val="000000"/>
                <w:sz w:val="22"/>
              </w:rPr>
              <w:t xml:space="preserve"> </w:t>
            </w:r>
            <w:proofErr w:type="spellStart"/>
            <w:r w:rsidRPr="002045F5">
              <w:rPr>
                <w:color w:val="000000"/>
                <w:sz w:val="22"/>
              </w:rPr>
              <w:t>оцінки</w:t>
            </w:r>
            <w:proofErr w:type="spellEnd"/>
            <w:r w:rsidRPr="002045F5">
              <w:rPr>
                <w:color w:val="000000"/>
                <w:sz w:val="22"/>
              </w:rPr>
              <w:t xml:space="preserve"> </w:t>
            </w:r>
            <w:proofErr w:type="spellStart"/>
            <w:r w:rsidRPr="002045F5">
              <w:rPr>
                <w:color w:val="000000"/>
                <w:sz w:val="22"/>
              </w:rPr>
              <w:t>про</w:t>
            </w:r>
            <w:r w:rsidR="004C17DD" w:rsidRPr="002045F5">
              <w:rPr>
                <w:color w:val="000000"/>
                <w:sz w:val="22"/>
              </w:rPr>
              <w:t>є</w:t>
            </w:r>
            <w:r w:rsidRPr="002045F5">
              <w:rPr>
                <w:color w:val="000000"/>
                <w:sz w:val="22"/>
              </w:rPr>
              <w:t>кту</w:t>
            </w:r>
            <w:proofErr w:type="spellEnd"/>
            <w:r w:rsidRPr="002045F5">
              <w:rPr>
                <w:color w:val="000000"/>
                <w:sz w:val="22"/>
              </w:rPr>
              <w:t>.</w:t>
            </w:r>
          </w:p>
          <w:p w:rsidR="001013F3" w:rsidRPr="002045F5" w:rsidRDefault="001013F3" w:rsidP="001013F3">
            <w:pPr>
              <w:rPr>
                <w:color w:val="000000"/>
                <w:sz w:val="22"/>
              </w:rPr>
            </w:pPr>
            <w:r w:rsidRPr="002045F5">
              <w:rPr>
                <w:color w:val="000000"/>
                <w:sz w:val="22"/>
              </w:rPr>
              <w:t xml:space="preserve"> </w:t>
            </w:r>
            <w:r w:rsidRPr="002045F5">
              <w:rPr>
                <w:b/>
                <w:color w:val="000000"/>
                <w:sz w:val="22"/>
              </w:rPr>
              <w:t>3.</w:t>
            </w:r>
            <w:r w:rsidRPr="002045F5">
              <w:rPr>
                <w:color w:val="000000"/>
                <w:sz w:val="22"/>
              </w:rPr>
              <w:t xml:space="preserve"> </w:t>
            </w:r>
            <w:proofErr w:type="spellStart"/>
            <w:r w:rsidRPr="002045F5">
              <w:rPr>
                <w:color w:val="000000"/>
                <w:sz w:val="22"/>
              </w:rPr>
              <w:t>Проведення</w:t>
            </w:r>
            <w:proofErr w:type="spellEnd"/>
            <w:r w:rsidRPr="002045F5">
              <w:rPr>
                <w:color w:val="000000"/>
                <w:sz w:val="22"/>
              </w:rPr>
              <w:t xml:space="preserve"> </w:t>
            </w:r>
            <w:proofErr w:type="spellStart"/>
            <w:r w:rsidRPr="002045F5">
              <w:rPr>
                <w:color w:val="000000"/>
                <w:sz w:val="22"/>
              </w:rPr>
              <w:t>будівельно-монтажних</w:t>
            </w:r>
            <w:proofErr w:type="spellEnd"/>
            <w:r w:rsidRPr="002045F5">
              <w:rPr>
                <w:color w:val="000000"/>
                <w:sz w:val="22"/>
              </w:rPr>
              <w:t xml:space="preserve"> </w:t>
            </w:r>
            <w:proofErr w:type="spellStart"/>
            <w:r w:rsidRPr="002045F5">
              <w:rPr>
                <w:color w:val="000000"/>
                <w:sz w:val="22"/>
              </w:rPr>
              <w:t>робіт</w:t>
            </w:r>
            <w:proofErr w:type="spellEnd"/>
            <w:r w:rsidRPr="002045F5">
              <w:rPr>
                <w:color w:val="000000"/>
                <w:sz w:val="22"/>
              </w:rPr>
              <w:t xml:space="preserve"> з </w:t>
            </w:r>
            <w:proofErr w:type="spellStart"/>
            <w:r w:rsidRPr="002045F5">
              <w:rPr>
                <w:color w:val="000000"/>
                <w:sz w:val="22"/>
              </w:rPr>
              <w:t>використанням</w:t>
            </w:r>
            <w:proofErr w:type="spellEnd"/>
            <w:r w:rsidRPr="002045F5">
              <w:rPr>
                <w:color w:val="000000"/>
                <w:sz w:val="22"/>
              </w:rPr>
              <w:t xml:space="preserve"> </w:t>
            </w:r>
            <w:proofErr w:type="spellStart"/>
            <w:r w:rsidRPr="002045F5">
              <w:rPr>
                <w:color w:val="000000"/>
                <w:sz w:val="22"/>
              </w:rPr>
              <w:t>сучасних</w:t>
            </w:r>
            <w:proofErr w:type="spellEnd"/>
            <w:r w:rsidRPr="002045F5">
              <w:rPr>
                <w:color w:val="000000"/>
                <w:sz w:val="22"/>
              </w:rPr>
              <w:t xml:space="preserve"> </w:t>
            </w:r>
            <w:proofErr w:type="spellStart"/>
            <w:r w:rsidRPr="002045F5">
              <w:rPr>
                <w:color w:val="000000"/>
                <w:sz w:val="22"/>
              </w:rPr>
              <w:t>матеріалів</w:t>
            </w:r>
            <w:proofErr w:type="spellEnd"/>
            <w:r w:rsidRPr="002045F5">
              <w:rPr>
                <w:color w:val="000000"/>
                <w:sz w:val="22"/>
              </w:rPr>
              <w:t xml:space="preserve">, </w:t>
            </w:r>
            <w:proofErr w:type="spellStart"/>
            <w:r w:rsidRPr="002045F5">
              <w:rPr>
                <w:color w:val="000000"/>
                <w:sz w:val="22"/>
              </w:rPr>
              <w:t>обладнання</w:t>
            </w:r>
            <w:proofErr w:type="spellEnd"/>
            <w:r w:rsidRPr="002045F5">
              <w:rPr>
                <w:color w:val="000000"/>
                <w:sz w:val="22"/>
              </w:rPr>
              <w:t xml:space="preserve"> та </w:t>
            </w:r>
            <w:proofErr w:type="spellStart"/>
            <w:r w:rsidRPr="002045F5">
              <w:rPr>
                <w:color w:val="000000"/>
                <w:sz w:val="22"/>
              </w:rPr>
              <w:t>новітніх</w:t>
            </w:r>
            <w:proofErr w:type="spellEnd"/>
            <w:r w:rsidRPr="002045F5">
              <w:rPr>
                <w:color w:val="000000"/>
                <w:sz w:val="22"/>
              </w:rPr>
              <w:t xml:space="preserve"> </w:t>
            </w:r>
            <w:proofErr w:type="spellStart"/>
            <w:r w:rsidRPr="002045F5">
              <w:rPr>
                <w:color w:val="000000"/>
                <w:sz w:val="22"/>
              </w:rPr>
              <w:t>технологій</w:t>
            </w:r>
            <w:proofErr w:type="spellEnd"/>
            <w:r w:rsidRPr="002045F5">
              <w:rPr>
                <w:color w:val="000000"/>
                <w:sz w:val="22"/>
              </w:rPr>
              <w:t>.</w:t>
            </w:r>
          </w:p>
          <w:p w:rsidR="001013F3" w:rsidRPr="002045F5" w:rsidRDefault="001013F3" w:rsidP="001013F3">
            <w:pPr>
              <w:rPr>
                <w:color w:val="000000"/>
                <w:sz w:val="22"/>
              </w:rPr>
            </w:pPr>
            <w:r w:rsidRPr="002045F5">
              <w:rPr>
                <w:b/>
                <w:color w:val="000000"/>
                <w:sz w:val="22"/>
              </w:rPr>
              <w:t>4.</w:t>
            </w:r>
            <w:r w:rsidR="00D8784F" w:rsidRPr="002045F5">
              <w:rPr>
                <w:b/>
                <w:color w:val="000000"/>
                <w:sz w:val="22"/>
              </w:rPr>
              <w:t xml:space="preserve"> </w:t>
            </w:r>
            <w:proofErr w:type="spellStart"/>
            <w:r w:rsidRPr="002045F5">
              <w:rPr>
                <w:color w:val="000000"/>
                <w:sz w:val="22"/>
              </w:rPr>
              <w:t>Будівництво</w:t>
            </w:r>
            <w:proofErr w:type="spellEnd"/>
            <w:r w:rsidRPr="002045F5">
              <w:rPr>
                <w:color w:val="000000"/>
                <w:sz w:val="22"/>
              </w:rPr>
              <w:t xml:space="preserve"> </w:t>
            </w:r>
            <w:proofErr w:type="spellStart"/>
            <w:r w:rsidRPr="002045F5">
              <w:rPr>
                <w:color w:val="000000"/>
                <w:sz w:val="22"/>
              </w:rPr>
              <w:t>критого</w:t>
            </w:r>
            <w:proofErr w:type="spellEnd"/>
            <w:r w:rsidRPr="002045F5">
              <w:rPr>
                <w:color w:val="000000"/>
                <w:sz w:val="22"/>
              </w:rPr>
              <w:t xml:space="preserve"> переходу з </w:t>
            </w:r>
            <w:proofErr w:type="spellStart"/>
            <w:r w:rsidRPr="002045F5">
              <w:rPr>
                <w:color w:val="000000"/>
                <w:sz w:val="22"/>
              </w:rPr>
              <w:t>будівлі</w:t>
            </w:r>
            <w:proofErr w:type="spellEnd"/>
            <w:r w:rsidRPr="002045F5">
              <w:rPr>
                <w:color w:val="000000"/>
                <w:sz w:val="22"/>
              </w:rPr>
              <w:t xml:space="preserve"> </w:t>
            </w:r>
            <w:proofErr w:type="spellStart"/>
            <w:r w:rsidRPr="002045F5">
              <w:rPr>
                <w:color w:val="000000"/>
                <w:sz w:val="22"/>
              </w:rPr>
              <w:t>школи</w:t>
            </w:r>
            <w:proofErr w:type="spellEnd"/>
            <w:r w:rsidRPr="002045F5">
              <w:rPr>
                <w:color w:val="000000"/>
                <w:sz w:val="22"/>
              </w:rPr>
              <w:t xml:space="preserve"> до спортивного залу.</w:t>
            </w:r>
          </w:p>
          <w:p w:rsidR="001013F3" w:rsidRPr="002045F5" w:rsidRDefault="001013F3" w:rsidP="001013F3">
            <w:pPr>
              <w:rPr>
                <w:color w:val="000000"/>
                <w:sz w:val="22"/>
              </w:rPr>
            </w:pPr>
            <w:r w:rsidRPr="002045F5">
              <w:rPr>
                <w:b/>
                <w:color w:val="000000"/>
                <w:sz w:val="22"/>
              </w:rPr>
              <w:t xml:space="preserve"> 5.</w:t>
            </w:r>
            <w:r w:rsidRPr="002045F5">
              <w:rPr>
                <w:color w:val="000000"/>
                <w:sz w:val="22"/>
              </w:rPr>
              <w:t xml:space="preserve"> </w:t>
            </w:r>
            <w:proofErr w:type="spellStart"/>
            <w:r w:rsidRPr="002045F5">
              <w:rPr>
                <w:color w:val="000000"/>
                <w:sz w:val="22"/>
              </w:rPr>
              <w:t>Облаштування</w:t>
            </w:r>
            <w:proofErr w:type="spellEnd"/>
            <w:r w:rsidRPr="002045F5">
              <w:rPr>
                <w:color w:val="000000"/>
                <w:sz w:val="22"/>
              </w:rPr>
              <w:t xml:space="preserve"> спортзалу </w:t>
            </w:r>
            <w:proofErr w:type="spellStart"/>
            <w:r w:rsidRPr="002045F5">
              <w:rPr>
                <w:color w:val="000000"/>
                <w:sz w:val="22"/>
              </w:rPr>
              <w:t>всіма</w:t>
            </w:r>
            <w:proofErr w:type="spellEnd"/>
            <w:r w:rsidRPr="002045F5">
              <w:rPr>
                <w:color w:val="000000"/>
                <w:sz w:val="22"/>
              </w:rPr>
              <w:t xml:space="preserve"> </w:t>
            </w:r>
            <w:proofErr w:type="spellStart"/>
            <w:r w:rsidRPr="002045F5">
              <w:rPr>
                <w:color w:val="000000"/>
                <w:sz w:val="22"/>
              </w:rPr>
              <w:t>необхідними</w:t>
            </w:r>
            <w:proofErr w:type="spellEnd"/>
            <w:r w:rsidRPr="002045F5">
              <w:rPr>
                <w:color w:val="000000"/>
                <w:sz w:val="22"/>
              </w:rPr>
              <w:t xml:space="preserve"> </w:t>
            </w:r>
            <w:proofErr w:type="spellStart"/>
            <w:r w:rsidRPr="002045F5">
              <w:rPr>
                <w:color w:val="000000"/>
                <w:sz w:val="22"/>
              </w:rPr>
              <w:t>меблями</w:t>
            </w:r>
            <w:proofErr w:type="spellEnd"/>
            <w:r w:rsidRPr="002045F5">
              <w:rPr>
                <w:color w:val="000000"/>
                <w:sz w:val="22"/>
              </w:rPr>
              <w:t xml:space="preserve"> та </w:t>
            </w:r>
            <w:proofErr w:type="spellStart"/>
            <w:r w:rsidRPr="002045F5">
              <w:rPr>
                <w:color w:val="000000"/>
                <w:sz w:val="22"/>
              </w:rPr>
              <w:t>обладнанням</w:t>
            </w:r>
            <w:proofErr w:type="spellEnd"/>
            <w:r w:rsidRPr="002045F5">
              <w:rPr>
                <w:color w:val="000000"/>
                <w:sz w:val="22"/>
              </w:rPr>
              <w:t xml:space="preserve"> для занять баскетболом, волейболом, футболом, </w:t>
            </w:r>
            <w:proofErr w:type="spellStart"/>
            <w:r w:rsidRPr="002045F5">
              <w:rPr>
                <w:color w:val="000000"/>
                <w:sz w:val="22"/>
              </w:rPr>
              <w:t>силовими</w:t>
            </w:r>
            <w:proofErr w:type="spellEnd"/>
            <w:r w:rsidRPr="002045F5">
              <w:rPr>
                <w:color w:val="000000"/>
                <w:sz w:val="22"/>
              </w:rPr>
              <w:t xml:space="preserve"> тренажерами.</w:t>
            </w:r>
          </w:p>
          <w:p w:rsidR="001013F3" w:rsidRPr="002045F5" w:rsidRDefault="001013F3" w:rsidP="001013F3">
            <w:pPr>
              <w:rPr>
                <w:color w:val="000000"/>
                <w:sz w:val="22"/>
              </w:rPr>
            </w:pPr>
            <w:r w:rsidRPr="002045F5">
              <w:rPr>
                <w:b/>
                <w:color w:val="000000"/>
                <w:sz w:val="22"/>
              </w:rPr>
              <w:t>6.</w:t>
            </w:r>
            <w:r w:rsidRPr="002045F5">
              <w:rPr>
                <w:color w:val="000000"/>
                <w:sz w:val="22"/>
              </w:rPr>
              <w:t xml:space="preserve"> </w:t>
            </w:r>
            <w:proofErr w:type="spellStart"/>
            <w:r w:rsidRPr="002045F5">
              <w:rPr>
                <w:color w:val="000000"/>
                <w:sz w:val="22"/>
              </w:rPr>
              <w:t>Проведення</w:t>
            </w:r>
            <w:proofErr w:type="spellEnd"/>
            <w:r w:rsidRPr="002045F5">
              <w:rPr>
                <w:color w:val="000000"/>
                <w:sz w:val="22"/>
              </w:rPr>
              <w:t xml:space="preserve"> </w:t>
            </w:r>
            <w:proofErr w:type="spellStart"/>
            <w:r w:rsidRPr="002045F5">
              <w:rPr>
                <w:color w:val="000000"/>
                <w:sz w:val="22"/>
              </w:rPr>
              <w:t>інформаційної</w:t>
            </w:r>
            <w:proofErr w:type="spellEnd"/>
            <w:r w:rsidRPr="002045F5">
              <w:rPr>
                <w:color w:val="000000"/>
                <w:sz w:val="22"/>
              </w:rPr>
              <w:t xml:space="preserve"> </w:t>
            </w:r>
            <w:proofErr w:type="gramStart"/>
            <w:r w:rsidRPr="002045F5">
              <w:rPr>
                <w:color w:val="000000"/>
                <w:sz w:val="22"/>
              </w:rPr>
              <w:t xml:space="preserve">та  </w:t>
            </w:r>
            <w:proofErr w:type="spellStart"/>
            <w:r w:rsidRPr="002045F5">
              <w:rPr>
                <w:color w:val="000000"/>
                <w:sz w:val="22"/>
              </w:rPr>
              <w:t>роз'яснювальної</w:t>
            </w:r>
            <w:proofErr w:type="spellEnd"/>
            <w:proofErr w:type="gramEnd"/>
            <w:r w:rsidRPr="002045F5">
              <w:rPr>
                <w:color w:val="000000"/>
                <w:sz w:val="22"/>
              </w:rPr>
              <w:t xml:space="preserve"> </w:t>
            </w:r>
            <w:proofErr w:type="spellStart"/>
            <w:r w:rsidRPr="002045F5">
              <w:rPr>
                <w:color w:val="000000"/>
                <w:sz w:val="22"/>
              </w:rPr>
              <w:t>роботи</w:t>
            </w:r>
            <w:proofErr w:type="spellEnd"/>
            <w:r w:rsidRPr="002045F5">
              <w:rPr>
                <w:color w:val="000000"/>
                <w:sz w:val="22"/>
              </w:rPr>
              <w:t xml:space="preserve"> </w:t>
            </w:r>
            <w:proofErr w:type="spellStart"/>
            <w:r w:rsidRPr="002045F5">
              <w:rPr>
                <w:color w:val="000000"/>
                <w:sz w:val="22"/>
              </w:rPr>
              <w:t>серед</w:t>
            </w:r>
            <w:proofErr w:type="spellEnd"/>
            <w:r w:rsidRPr="002045F5">
              <w:rPr>
                <w:color w:val="000000"/>
                <w:sz w:val="22"/>
              </w:rPr>
              <w:t xml:space="preserve"> </w:t>
            </w:r>
            <w:proofErr w:type="spellStart"/>
            <w:r w:rsidRPr="002045F5">
              <w:rPr>
                <w:color w:val="000000"/>
                <w:sz w:val="22"/>
              </w:rPr>
              <w:t>населення</w:t>
            </w:r>
            <w:proofErr w:type="spellEnd"/>
            <w:r w:rsidRPr="002045F5">
              <w:rPr>
                <w:color w:val="000000"/>
                <w:sz w:val="22"/>
              </w:rPr>
              <w:t xml:space="preserve"> села </w:t>
            </w:r>
            <w:proofErr w:type="spellStart"/>
            <w:r w:rsidRPr="002045F5">
              <w:rPr>
                <w:color w:val="000000"/>
                <w:sz w:val="22"/>
              </w:rPr>
              <w:t>щодо</w:t>
            </w:r>
            <w:proofErr w:type="spellEnd"/>
            <w:r w:rsidRPr="002045F5">
              <w:rPr>
                <w:color w:val="000000"/>
                <w:sz w:val="22"/>
              </w:rPr>
              <w:t xml:space="preserve"> </w:t>
            </w:r>
            <w:proofErr w:type="spellStart"/>
            <w:r w:rsidRPr="002045F5">
              <w:rPr>
                <w:color w:val="000000"/>
                <w:sz w:val="22"/>
              </w:rPr>
              <w:t>популяризації</w:t>
            </w:r>
            <w:proofErr w:type="spellEnd"/>
            <w:r w:rsidRPr="002045F5">
              <w:rPr>
                <w:color w:val="000000"/>
                <w:sz w:val="22"/>
              </w:rPr>
              <w:t xml:space="preserve"> занять спортом.</w:t>
            </w:r>
          </w:p>
          <w:p w:rsidR="001013F3" w:rsidRPr="002045F5" w:rsidRDefault="001013F3" w:rsidP="001013F3">
            <w:pPr>
              <w:rPr>
                <w:color w:val="000000"/>
                <w:sz w:val="22"/>
              </w:rPr>
            </w:pPr>
            <w:r w:rsidRPr="002045F5">
              <w:rPr>
                <w:color w:val="000000"/>
                <w:sz w:val="22"/>
              </w:rPr>
              <w:t xml:space="preserve"> </w:t>
            </w:r>
            <w:r w:rsidRPr="002045F5">
              <w:rPr>
                <w:b/>
                <w:color w:val="000000"/>
                <w:sz w:val="22"/>
              </w:rPr>
              <w:t>7.</w:t>
            </w:r>
            <w:r w:rsidRPr="002045F5">
              <w:rPr>
                <w:color w:val="000000"/>
                <w:sz w:val="22"/>
              </w:rPr>
              <w:t xml:space="preserve"> </w:t>
            </w:r>
            <w:proofErr w:type="spellStart"/>
            <w:r w:rsidRPr="002045F5">
              <w:rPr>
                <w:color w:val="000000"/>
                <w:sz w:val="22"/>
              </w:rPr>
              <w:t>Організація</w:t>
            </w:r>
            <w:proofErr w:type="spellEnd"/>
            <w:r w:rsidRPr="002045F5">
              <w:rPr>
                <w:color w:val="000000"/>
                <w:sz w:val="22"/>
              </w:rPr>
              <w:t xml:space="preserve"> </w:t>
            </w:r>
            <w:proofErr w:type="spellStart"/>
            <w:r w:rsidRPr="002045F5">
              <w:rPr>
                <w:color w:val="000000"/>
                <w:sz w:val="22"/>
              </w:rPr>
              <w:t>навчання</w:t>
            </w:r>
            <w:proofErr w:type="spellEnd"/>
            <w:r w:rsidRPr="002045F5">
              <w:rPr>
                <w:color w:val="000000"/>
                <w:sz w:val="22"/>
              </w:rPr>
              <w:t xml:space="preserve"> </w:t>
            </w:r>
            <w:proofErr w:type="spellStart"/>
            <w:r w:rsidRPr="002045F5">
              <w:rPr>
                <w:color w:val="000000"/>
                <w:sz w:val="22"/>
              </w:rPr>
              <w:t>педагогів</w:t>
            </w:r>
            <w:proofErr w:type="spellEnd"/>
            <w:r w:rsidRPr="002045F5">
              <w:rPr>
                <w:color w:val="000000"/>
                <w:sz w:val="22"/>
              </w:rPr>
              <w:t xml:space="preserve"> з метою </w:t>
            </w:r>
            <w:proofErr w:type="spellStart"/>
            <w:r w:rsidRPr="002045F5">
              <w:rPr>
                <w:color w:val="000000"/>
                <w:sz w:val="22"/>
              </w:rPr>
              <w:t>підвищення</w:t>
            </w:r>
            <w:proofErr w:type="spellEnd"/>
            <w:r w:rsidRPr="002045F5">
              <w:rPr>
                <w:color w:val="000000"/>
                <w:sz w:val="22"/>
              </w:rPr>
              <w:t xml:space="preserve"> </w:t>
            </w:r>
            <w:proofErr w:type="spellStart"/>
            <w:r w:rsidRPr="002045F5">
              <w:rPr>
                <w:color w:val="000000"/>
                <w:sz w:val="22"/>
              </w:rPr>
              <w:t>їх</w:t>
            </w:r>
            <w:proofErr w:type="spellEnd"/>
            <w:r w:rsidRPr="002045F5">
              <w:rPr>
                <w:color w:val="000000"/>
                <w:sz w:val="22"/>
              </w:rPr>
              <w:t xml:space="preserve"> </w:t>
            </w:r>
            <w:proofErr w:type="spellStart"/>
            <w:r w:rsidRPr="002045F5">
              <w:rPr>
                <w:color w:val="000000"/>
                <w:sz w:val="22"/>
              </w:rPr>
              <w:t>фахової</w:t>
            </w:r>
            <w:proofErr w:type="spellEnd"/>
            <w:r w:rsidRPr="002045F5">
              <w:rPr>
                <w:color w:val="000000"/>
                <w:sz w:val="22"/>
              </w:rPr>
              <w:t xml:space="preserve"> </w:t>
            </w:r>
            <w:proofErr w:type="spellStart"/>
            <w:r w:rsidRPr="002045F5">
              <w:rPr>
                <w:color w:val="000000"/>
                <w:sz w:val="22"/>
              </w:rPr>
              <w:t>майстерності</w:t>
            </w:r>
            <w:proofErr w:type="spellEnd"/>
            <w:r w:rsidRPr="002045F5">
              <w:rPr>
                <w:color w:val="000000"/>
                <w:sz w:val="22"/>
              </w:rPr>
              <w:t xml:space="preserve">. </w:t>
            </w:r>
          </w:p>
          <w:p w:rsidR="001013F3" w:rsidRPr="002045F5" w:rsidRDefault="001013F3" w:rsidP="001013F3">
            <w:pPr>
              <w:rPr>
                <w:color w:val="000000"/>
                <w:sz w:val="22"/>
              </w:rPr>
            </w:pPr>
            <w:r w:rsidRPr="002045F5">
              <w:rPr>
                <w:b/>
                <w:color w:val="000000"/>
                <w:sz w:val="22"/>
              </w:rPr>
              <w:t>8.</w:t>
            </w:r>
            <w:r w:rsidRPr="002045F5">
              <w:rPr>
                <w:color w:val="000000"/>
                <w:sz w:val="22"/>
              </w:rPr>
              <w:t xml:space="preserve"> </w:t>
            </w:r>
            <w:proofErr w:type="spellStart"/>
            <w:r w:rsidRPr="002045F5">
              <w:rPr>
                <w:color w:val="000000"/>
                <w:sz w:val="22"/>
              </w:rPr>
              <w:t>Проведення</w:t>
            </w:r>
            <w:proofErr w:type="spellEnd"/>
            <w:r w:rsidRPr="002045F5">
              <w:rPr>
                <w:color w:val="000000"/>
                <w:sz w:val="22"/>
              </w:rPr>
              <w:t xml:space="preserve"> </w:t>
            </w:r>
            <w:proofErr w:type="spellStart"/>
            <w:r w:rsidRPr="002045F5">
              <w:rPr>
                <w:color w:val="000000"/>
                <w:sz w:val="22"/>
              </w:rPr>
              <w:t>Кубків</w:t>
            </w:r>
            <w:proofErr w:type="spellEnd"/>
            <w:r w:rsidRPr="002045F5">
              <w:rPr>
                <w:color w:val="000000"/>
                <w:sz w:val="22"/>
              </w:rPr>
              <w:t xml:space="preserve"> ОТГ з волейболу, баскетболу, футболу. </w:t>
            </w:r>
          </w:p>
          <w:p w:rsidR="001013F3" w:rsidRPr="002045F5" w:rsidRDefault="001013F3" w:rsidP="001013F3">
            <w:pPr>
              <w:rPr>
                <w:color w:val="000000"/>
                <w:sz w:val="22"/>
              </w:rPr>
            </w:pPr>
            <w:r w:rsidRPr="002045F5">
              <w:rPr>
                <w:b/>
                <w:color w:val="000000"/>
                <w:sz w:val="22"/>
              </w:rPr>
              <w:t>9.</w:t>
            </w:r>
            <w:r w:rsidRPr="002045F5">
              <w:rPr>
                <w:color w:val="000000"/>
                <w:sz w:val="22"/>
              </w:rPr>
              <w:t xml:space="preserve"> </w:t>
            </w:r>
            <w:proofErr w:type="spellStart"/>
            <w:r w:rsidRPr="002045F5">
              <w:rPr>
                <w:color w:val="000000"/>
                <w:sz w:val="22"/>
              </w:rPr>
              <w:t>Оцінка</w:t>
            </w:r>
            <w:proofErr w:type="spellEnd"/>
            <w:r w:rsidRPr="002045F5">
              <w:rPr>
                <w:color w:val="000000"/>
                <w:sz w:val="22"/>
              </w:rPr>
              <w:t xml:space="preserve"> </w:t>
            </w:r>
            <w:proofErr w:type="spellStart"/>
            <w:r w:rsidRPr="002045F5">
              <w:rPr>
                <w:color w:val="000000"/>
                <w:sz w:val="22"/>
              </w:rPr>
              <w:t>результатів</w:t>
            </w:r>
            <w:proofErr w:type="spellEnd"/>
            <w:r w:rsidRPr="002045F5">
              <w:rPr>
                <w:color w:val="000000"/>
                <w:sz w:val="22"/>
              </w:rPr>
              <w:t xml:space="preserve"> </w:t>
            </w:r>
            <w:proofErr w:type="spellStart"/>
            <w:r w:rsidRPr="002045F5">
              <w:rPr>
                <w:color w:val="000000"/>
                <w:sz w:val="22"/>
              </w:rPr>
              <w:t>про</w:t>
            </w:r>
            <w:r w:rsidR="00103A49" w:rsidRPr="002045F5">
              <w:rPr>
                <w:color w:val="000000"/>
                <w:sz w:val="22"/>
              </w:rPr>
              <w:t>є</w:t>
            </w:r>
            <w:r w:rsidRPr="002045F5">
              <w:rPr>
                <w:color w:val="000000"/>
                <w:sz w:val="22"/>
              </w:rPr>
              <w:t>кту</w:t>
            </w:r>
            <w:proofErr w:type="spellEnd"/>
            <w:r w:rsidRPr="002045F5">
              <w:rPr>
                <w:color w:val="000000"/>
                <w:sz w:val="22"/>
              </w:rPr>
              <w:t xml:space="preserve"> </w:t>
            </w:r>
            <w:proofErr w:type="spellStart"/>
            <w:r w:rsidRPr="002045F5">
              <w:rPr>
                <w:color w:val="000000"/>
                <w:sz w:val="22"/>
              </w:rPr>
              <w:t>сільською</w:t>
            </w:r>
            <w:proofErr w:type="spellEnd"/>
            <w:r w:rsidRPr="002045F5">
              <w:rPr>
                <w:color w:val="000000"/>
                <w:sz w:val="22"/>
              </w:rPr>
              <w:t xml:space="preserve"> </w:t>
            </w:r>
            <w:proofErr w:type="spellStart"/>
            <w:r w:rsidRPr="002045F5">
              <w:rPr>
                <w:color w:val="000000"/>
                <w:sz w:val="22"/>
              </w:rPr>
              <w:t>владою</w:t>
            </w:r>
            <w:proofErr w:type="spellEnd"/>
            <w:r w:rsidRPr="002045F5">
              <w:rPr>
                <w:color w:val="000000"/>
                <w:sz w:val="22"/>
              </w:rPr>
              <w:t xml:space="preserve">, </w:t>
            </w:r>
            <w:proofErr w:type="spellStart"/>
            <w:r w:rsidRPr="002045F5">
              <w:rPr>
                <w:color w:val="000000"/>
                <w:sz w:val="22"/>
              </w:rPr>
              <w:t>виконавцями</w:t>
            </w:r>
            <w:proofErr w:type="spellEnd"/>
            <w:r w:rsidRPr="002045F5">
              <w:rPr>
                <w:color w:val="000000"/>
                <w:sz w:val="22"/>
              </w:rPr>
              <w:t xml:space="preserve">, партнерами та </w:t>
            </w:r>
            <w:proofErr w:type="spellStart"/>
            <w:r w:rsidRPr="002045F5">
              <w:rPr>
                <w:color w:val="000000"/>
                <w:sz w:val="22"/>
              </w:rPr>
              <w:t>його</w:t>
            </w:r>
            <w:proofErr w:type="spellEnd"/>
            <w:r w:rsidRPr="002045F5">
              <w:rPr>
                <w:color w:val="000000"/>
                <w:sz w:val="22"/>
              </w:rPr>
              <w:t xml:space="preserve"> </w:t>
            </w:r>
            <w:proofErr w:type="spellStart"/>
            <w:r w:rsidRPr="002045F5">
              <w:rPr>
                <w:color w:val="000000"/>
                <w:sz w:val="22"/>
              </w:rPr>
              <w:t>учасниками</w:t>
            </w:r>
            <w:proofErr w:type="spellEnd"/>
            <w:r w:rsidRPr="002045F5">
              <w:rPr>
                <w:color w:val="000000"/>
                <w:sz w:val="22"/>
              </w:rPr>
              <w:t>.</w:t>
            </w:r>
          </w:p>
          <w:p w:rsidR="001013F3" w:rsidRPr="002045F5" w:rsidRDefault="001013F3" w:rsidP="001013F3">
            <w:pPr>
              <w:rPr>
                <w:color w:val="000000"/>
                <w:sz w:val="22"/>
              </w:rPr>
            </w:pPr>
            <w:r w:rsidRPr="002045F5">
              <w:rPr>
                <w:b/>
                <w:color w:val="000000"/>
                <w:sz w:val="22"/>
              </w:rPr>
              <w:lastRenderedPageBreak/>
              <w:t>10</w:t>
            </w:r>
            <w:r w:rsidRPr="002045F5">
              <w:rPr>
                <w:color w:val="000000"/>
                <w:sz w:val="22"/>
              </w:rPr>
              <w:t xml:space="preserve">.Благоустрій та </w:t>
            </w:r>
            <w:proofErr w:type="spellStart"/>
            <w:r w:rsidRPr="002045F5">
              <w:rPr>
                <w:color w:val="000000"/>
                <w:sz w:val="22"/>
              </w:rPr>
              <w:t>озеленення</w:t>
            </w:r>
            <w:proofErr w:type="spellEnd"/>
            <w:r w:rsidRPr="002045F5">
              <w:rPr>
                <w:color w:val="000000"/>
                <w:sz w:val="22"/>
              </w:rPr>
              <w:t xml:space="preserve"> </w:t>
            </w:r>
            <w:proofErr w:type="spellStart"/>
            <w:r w:rsidRPr="002045F5">
              <w:rPr>
                <w:color w:val="000000"/>
                <w:sz w:val="22"/>
              </w:rPr>
              <w:t>прилеглої</w:t>
            </w:r>
            <w:proofErr w:type="spellEnd"/>
            <w:r w:rsidRPr="002045F5">
              <w:rPr>
                <w:color w:val="000000"/>
                <w:sz w:val="22"/>
              </w:rPr>
              <w:t xml:space="preserve"> </w:t>
            </w:r>
            <w:proofErr w:type="spellStart"/>
            <w:r w:rsidRPr="002045F5">
              <w:rPr>
                <w:color w:val="000000"/>
                <w:sz w:val="22"/>
              </w:rPr>
              <w:t>території</w:t>
            </w:r>
            <w:proofErr w:type="spellEnd"/>
            <w:r w:rsidRPr="002045F5">
              <w:rPr>
                <w:color w:val="000000"/>
                <w:sz w:val="22"/>
              </w:rPr>
              <w:t>.</w:t>
            </w:r>
          </w:p>
          <w:p w:rsidR="001013F3" w:rsidRPr="002045F5" w:rsidRDefault="001013F3" w:rsidP="001013F3">
            <w:pPr>
              <w:rPr>
                <w:color w:val="000000"/>
                <w:sz w:val="22"/>
              </w:rPr>
            </w:pPr>
            <w:r w:rsidRPr="002045F5">
              <w:rPr>
                <w:b/>
                <w:color w:val="000000"/>
                <w:sz w:val="22"/>
              </w:rPr>
              <w:t>11</w:t>
            </w:r>
            <w:r w:rsidRPr="002045F5">
              <w:rPr>
                <w:color w:val="000000"/>
                <w:sz w:val="22"/>
              </w:rPr>
              <w:t xml:space="preserve">.Введення </w:t>
            </w:r>
            <w:proofErr w:type="spellStart"/>
            <w:r w:rsidRPr="002045F5">
              <w:rPr>
                <w:color w:val="000000"/>
                <w:sz w:val="22"/>
              </w:rPr>
              <w:t>об’єкта</w:t>
            </w:r>
            <w:proofErr w:type="spellEnd"/>
            <w:r w:rsidRPr="002045F5">
              <w:rPr>
                <w:color w:val="000000"/>
                <w:sz w:val="22"/>
              </w:rPr>
              <w:t xml:space="preserve"> в </w:t>
            </w:r>
            <w:proofErr w:type="spellStart"/>
            <w:r w:rsidRPr="002045F5">
              <w:rPr>
                <w:color w:val="000000"/>
                <w:sz w:val="22"/>
              </w:rPr>
              <w:t>експлуатацію</w:t>
            </w:r>
            <w:proofErr w:type="spellEnd"/>
            <w:r w:rsidRPr="002045F5">
              <w:rPr>
                <w:color w:val="000000"/>
                <w:sz w:val="22"/>
              </w:rPr>
              <w:t>.</w:t>
            </w:r>
          </w:p>
        </w:tc>
      </w:tr>
      <w:tr w:rsidR="001013F3" w:rsidRPr="002045F5" w:rsidTr="00822744">
        <w:trPr>
          <w:trHeight w:val="360"/>
        </w:trPr>
        <w:tc>
          <w:tcPr>
            <w:tcW w:w="2978" w:type="dxa"/>
            <w:vMerge w:val="restart"/>
            <w:tcBorders>
              <w:right w:val="single" w:sz="4" w:space="0" w:color="auto"/>
            </w:tcBorders>
            <w:shd w:val="clear" w:color="auto" w:fill="C6D9F1" w:themeFill="text2" w:themeFillTint="33"/>
          </w:tcPr>
          <w:p w:rsidR="001013F3" w:rsidRPr="002045F5" w:rsidRDefault="001013F3" w:rsidP="001013F3">
            <w:pPr>
              <w:pStyle w:val="a7"/>
              <w:ind w:left="0"/>
              <w:rPr>
                <w:b/>
                <w:sz w:val="22"/>
              </w:rPr>
            </w:pPr>
            <w:proofErr w:type="spellStart"/>
            <w:r w:rsidRPr="002045F5">
              <w:rPr>
                <w:b/>
                <w:sz w:val="22"/>
              </w:rPr>
              <w:lastRenderedPageBreak/>
              <w:t>Орієнтовний</w:t>
            </w:r>
            <w:proofErr w:type="spellEnd"/>
            <w:r w:rsidRPr="002045F5">
              <w:rPr>
                <w:b/>
                <w:sz w:val="22"/>
              </w:rPr>
              <w:t xml:space="preserve"> </w:t>
            </w:r>
            <w:proofErr w:type="spellStart"/>
            <w:r w:rsidRPr="002045F5">
              <w:rPr>
                <w:b/>
                <w:sz w:val="22"/>
              </w:rPr>
              <w:t>обсяг</w:t>
            </w:r>
            <w:proofErr w:type="spellEnd"/>
            <w:r w:rsidRPr="002045F5">
              <w:rPr>
                <w:b/>
                <w:sz w:val="22"/>
              </w:rPr>
              <w:t xml:space="preserve"> та </w:t>
            </w:r>
            <w:proofErr w:type="spellStart"/>
            <w:r w:rsidRPr="002045F5">
              <w:rPr>
                <w:b/>
                <w:sz w:val="22"/>
              </w:rPr>
              <w:t>джерела</w:t>
            </w:r>
            <w:proofErr w:type="spellEnd"/>
            <w:r w:rsidRPr="002045F5">
              <w:rPr>
                <w:b/>
                <w:sz w:val="22"/>
              </w:rPr>
              <w:t xml:space="preserve"> </w:t>
            </w:r>
            <w:proofErr w:type="spellStart"/>
            <w:r w:rsidRPr="002045F5">
              <w:rPr>
                <w:b/>
                <w:sz w:val="22"/>
              </w:rPr>
              <w:t>фінансування</w:t>
            </w:r>
            <w:proofErr w:type="spellEnd"/>
            <w:r w:rsidRPr="002045F5">
              <w:rPr>
                <w:b/>
                <w:sz w:val="22"/>
              </w:rPr>
              <w:t xml:space="preserve">, тис. грн. </w:t>
            </w:r>
          </w:p>
          <w:p w:rsidR="001013F3" w:rsidRPr="002045F5" w:rsidRDefault="001013F3" w:rsidP="001013F3">
            <w:pPr>
              <w:pStyle w:val="a7"/>
              <w:ind w:left="0"/>
              <w:rPr>
                <w:b/>
                <w:sz w:val="22"/>
              </w:rPr>
            </w:pPr>
          </w:p>
        </w:tc>
        <w:tc>
          <w:tcPr>
            <w:tcW w:w="1333" w:type="dxa"/>
            <w:tcBorders>
              <w:left w:val="single" w:sz="4" w:space="0" w:color="auto"/>
              <w:bottom w:val="single" w:sz="4" w:space="0" w:color="auto"/>
              <w:right w:val="single" w:sz="4" w:space="0" w:color="auto"/>
            </w:tcBorders>
          </w:tcPr>
          <w:p w:rsidR="001013F3" w:rsidRPr="002045F5" w:rsidRDefault="001013F3" w:rsidP="001013F3">
            <w:pPr>
              <w:pStyle w:val="a7"/>
              <w:ind w:left="0"/>
              <w:jc w:val="center"/>
              <w:rPr>
                <w:b/>
                <w:sz w:val="22"/>
              </w:rPr>
            </w:pPr>
            <w:proofErr w:type="spellStart"/>
            <w:r w:rsidRPr="002045F5">
              <w:rPr>
                <w:b/>
                <w:sz w:val="22"/>
              </w:rPr>
              <w:t>Державний</w:t>
            </w:r>
            <w:proofErr w:type="spellEnd"/>
            <w:r w:rsidRPr="002045F5">
              <w:rPr>
                <w:b/>
                <w:sz w:val="22"/>
              </w:rPr>
              <w:t xml:space="preserve"> бюджет</w:t>
            </w:r>
          </w:p>
        </w:tc>
        <w:tc>
          <w:tcPr>
            <w:tcW w:w="1276" w:type="dxa"/>
            <w:tcBorders>
              <w:bottom w:val="single" w:sz="4" w:space="0" w:color="auto"/>
              <w:right w:val="single" w:sz="4" w:space="0" w:color="auto"/>
            </w:tcBorders>
          </w:tcPr>
          <w:p w:rsidR="001013F3" w:rsidRPr="002045F5" w:rsidRDefault="001013F3" w:rsidP="001013F3">
            <w:pPr>
              <w:pStyle w:val="a7"/>
              <w:ind w:left="0"/>
              <w:jc w:val="center"/>
              <w:rPr>
                <w:b/>
                <w:sz w:val="22"/>
              </w:rPr>
            </w:pPr>
            <w:proofErr w:type="spellStart"/>
            <w:r w:rsidRPr="002045F5">
              <w:rPr>
                <w:b/>
                <w:sz w:val="22"/>
              </w:rPr>
              <w:t>Місцевий</w:t>
            </w:r>
            <w:proofErr w:type="spellEnd"/>
            <w:r w:rsidRPr="002045F5">
              <w:rPr>
                <w:b/>
                <w:sz w:val="22"/>
              </w:rPr>
              <w:t xml:space="preserve"> бюджет</w:t>
            </w:r>
          </w:p>
        </w:tc>
        <w:tc>
          <w:tcPr>
            <w:tcW w:w="2929" w:type="dxa"/>
            <w:gridSpan w:val="4"/>
            <w:tcBorders>
              <w:left w:val="single" w:sz="4" w:space="0" w:color="auto"/>
              <w:bottom w:val="single" w:sz="4" w:space="0" w:color="auto"/>
              <w:right w:val="single" w:sz="4" w:space="0" w:color="auto"/>
            </w:tcBorders>
          </w:tcPr>
          <w:p w:rsidR="001013F3" w:rsidRPr="002045F5" w:rsidRDefault="001013F3" w:rsidP="001013F3">
            <w:pPr>
              <w:pStyle w:val="a7"/>
              <w:ind w:left="0"/>
              <w:jc w:val="center"/>
              <w:rPr>
                <w:b/>
                <w:sz w:val="22"/>
              </w:rPr>
            </w:pPr>
            <w:proofErr w:type="spellStart"/>
            <w:r w:rsidRPr="002045F5">
              <w:rPr>
                <w:b/>
                <w:sz w:val="22"/>
              </w:rPr>
              <w:t>Інші</w:t>
            </w:r>
            <w:proofErr w:type="spellEnd"/>
            <w:r w:rsidRPr="002045F5">
              <w:rPr>
                <w:b/>
                <w:sz w:val="22"/>
              </w:rPr>
              <w:t xml:space="preserve"> </w:t>
            </w:r>
            <w:proofErr w:type="spellStart"/>
            <w:r w:rsidRPr="002045F5">
              <w:rPr>
                <w:b/>
                <w:sz w:val="22"/>
              </w:rPr>
              <w:t>джерела</w:t>
            </w:r>
            <w:proofErr w:type="spellEnd"/>
          </w:p>
        </w:tc>
        <w:tc>
          <w:tcPr>
            <w:tcW w:w="1372" w:type="dxa"/>
            <w:tcBorders>
              <w:left w:val="single" w:sz="4" w:space="0" w:color="auto"/>
              <w:bottom w:val="single" w:sz="4" w:space="0" w:color="auto"/>
            </w:tcBorders>
          </w:tcPr>
          <w:p w:rsidR="001013F3" w:rsidRPr="002045F5" w:rsidRDefault="001013F3" w:rsidP="001013F3">
            <w:pPr>
              <w:pStyle w:val="a7"/>
              <w:ind w:left="0"/>
              <w:jc w:val="center"/>
              <w:rPr>
                <w:b/>
                <w:sz w:val="22"/>
              </w:rPr>
            </w:pPr>
            <w:proofErr w:type="spellStart"/>
            <w:r w:rsidRPr="002045F5">
              <w:rPr>
                <w:b/>
                <w:sz w:val="22"/>
              </w:rPr>
              <w:t>Всього</w:t>
            </w:r>
            <w:proofErr w:type="spellEnd"/>
          </w:p>
        </w:tc>
      </w:tr>
      <w:tr w:rsidR="001013F3" w:rsidRPr="002045F5" w:rsidTr="00822744">
        <w:trPr>
          <w:trHeight w:val="225"/>
        </w:trPr>
        <w:tc>
          <w:tcPr>
            <w:tcW w:w="2978" w:type="dxa"/>
            <w:vMerge/>
            <w:tcBorders>
              <w:right w:val="single" w:sz="4" w:space="0" w:color="auto"/>
            </w:tcBorders>
            <w:shd w:val="clear" w:color="auto" w:fill="C6D9F1" w:themeFill="text2" w:themeFillTint="33"/>
          </w:tcPr>
          <w:p w:rsidR="001013F3" w:rsidRPr="002045F5" w:rsidRDefault="001013F3" w:rsidP="001013F3">
            <w:pPr>
              <w:pStyle w:val="a7"/>
              <w:ind w:left="0"/>
              <w:rPr>
                <w:b/>
                <w:sz w:val="22"/>
              </w:rPr>
            </w:pPr>
          </w:p>
        </w:tc>
        <w:tc>
          <w:tcPr>
            <w:tcW w:w="1333" w:type="dxa"/>
            <w:vMerge w:val="restart"/>
            <w:tcBorders>
              <w:top w:val="single" w:sz="4" w:space="0" w:color="auto"/>
              <w:left w:val="single" w:sz="4" w:space="0" w:color="auto"/>
              <w:right w:val="single" w:sz="4" w:space="0" w:color="auto"/>
            </w:tcBorders>
          </w:tcPr>
          <w:p w:rsidR="001013F3" w:rsidRPr="002045F5" w:rsidRDefault="001013F3" w:rsidP="001013F3">
            <w:pPr>
              <w:pStyle w:val="a7"/>
              <w:ind w:left="0"/>
              <w:jc w:val="center"/>
              <w:rPr>
                <w:sz w:val="22"/>
              </w:rPr>
            </w:pPr>
            <w:r w:rsidRPr="002045F5">
              <w:rPr>
                <w:sz w:val="22"/>
              </w:rPr>
              <w:t>10 000,0</w:t>
            </w:r>
          </w:p>
        </w:tc>
        <w:tc>
          <w:tcPr>
            <w:tcW w:w="1276" w:type="dxa"/>
            <w:vMerge w:val="restart"/>
            <w:tcBorders>
              <w:top w:val="single" w:sz="4" w:space="0" w:color="auto"/>
              <w:right w:val="single" w:sz="4" w:space="0" w:color="auto"/>
            </w:tcBorders>
          </w:tcPr>
          <w:p w:rsidR="001013F3" w:rsidRPr="002045F5" w:rsidRDefault="001013F3" w:rsidP="001013F3">
            <w:pPr>
              <w:pStyle w:val="a7"/>
              <w:ind w:left="0"/>
              <w:jc w:val="center"/>
              <w:rPr>
                <w:b/>
                <w:sz w:val="22"/>
              </w:rPr>
            </w:pPr>
            <w:r w:rsidRPr="002045F5">
              <w:rPr>
                <w:b/>
                <w:sz w:val="22"/>
              </w:rPr>
              <w:t>-</w:t>
            </w:r>
          </w:p>
        </w:tc>
        <w:tc>
          <w:tcPr>
            <w:tcW w:w="1231" w:type="dxa"/>
            <w:gridSpan w:val="2"/>
            <w:tcBorders>
              <w:top w:val="single" w:sz="4" w:space="0" w:color="auto"/>
              <w:left w:val="single" w:sz="4" w:space="0" w:color="auto"/>
              <w:bottom w:val="single" w:sz="4" w:space="0" w:color="auto"/>
              <w:right w:val="single" w:sz="4" w:space="0" w:color="auto"/>
            </w:tcBorders>
          </w:tcPr>
          <w:p w:rsidR="001013F3" w:rsidRPr="002045F5" w:rsidRDefault="001013F3" w:rsidP="001013F3">
            <w:pPr>
              <w:pStyle w:val="a7"/>
              <w:ind w:left="0"/>
              <w:jc w:val="center"/>
              <w:rPr>
                <w:b/>
                <w:sz w:val="22"/>
              </w:rPr>
            </w:pPr>
            <w:proofErr w:type="spellStart"/>
            <w:r w:rsidRPr="002045F5">
              <w:rPr>
                <w:b/>
                <w:sz w:val="22"/>
              </w:rPr>
              <w:t>Обсяг</w:t>
            </w:r>
            <w:proofErr w:type="spellEnd"/>
          </w:p>
        </w:tc>
        <w:tc>
          <w:tcPr>
            <w:tcW w:w="1698" w:type="dxa"/>
            <w:gridSpan w:val="2"/>
            <w:tcBorders>
              <w:top w:val="single" w:sz="4" w:space="0" w:color="auto"/>
              <w:left w:val="single" w:sz="4" w:space="0" w:color="auto"/>
              <w:bottom w:val="single" w:sz="4" w:space="0" w:color="auto"/>
              <w:right w:val="single" w:sz="4" w:space="0" w:color="auto"/>
            </w:tcBorders>
          </w:tcPr>
          <w:p w:rsidR="001013F3" w:rsidRPr="002045F5" w:rsidRDefault="001013F3" w:rsidP="001013F3">
            <w:pPr>
              <w:pStyle w:val="a7"/>
              <w:ind w:left="0"/>
              <w:jc w:val="center"/>
              <w:rPr>
                <w:b/>
                <w:sz w:val="22"/>
              </w:rPr>
            </w:pPr>
            <w:proofErr w:type="spellStart"/>
            <w:r w:rsidRPr="002045F5">
              <w:rPr>
                <w:b/>
                <w:sz w:val="22"/>
              </w:rPr>
              <w:t>Назва</w:t>
            </w:r>
            <w:proofErr w:type="spellEnd"/>
            <w:r w:rsidRPr="002045F5">
              <w:rPr>
                <w:b/>
                <w:sz w:val="22"/>
              </w:rPr>
              <w:t xml:space="preserve"> </w:t>
            </w:r>
            <w:proofErr w:type="spellStart"/>
            <w:r w:rsidRPr="002045F5">
              <w:rPr>
                <w:b/>
                <w:sz w:val="22"/>
              </w:rPr>
              <w:t>джерела</w:t>
            </w:r>
            <w:proofErr w:type="spellEnd"/>
          </w:p>
        </w:tc>
        <w:tc>
          <w:tcPr>
            <w:tcW w:w="1372" w:type="dxa"/>
            <w:vMerge w:val="restart"/>
            <w:tcBorders>
              <w:top w:val="single" w:sz="4" w:space="0" w:color="auto"/>
              <w:left w:val="single" w:sz="4" w:space="0" w:color="auto"/>
            </w:tcBorders>
          </w:tcPr>
          <w:p w:rsidR="001013F3" w:rsidRPr="002045F5" w:rsidRDefault="001013F3" w:rsidP="001013F3">
            <w:pPr>
              <w:pStyle w:val="a7"/>
              <w:ind w:left="0"/>
              <w:rPr>
                <w:sz w:val="22"/>
              </w:rPr>
            </w:pPr>
            <w:r w:rsidRPr="002045F5">
              <w:rPr>
                <w:sz w:val="22"/>
              </w:rPr>
              <w:t>20 900 ,0</w:t>
            </w:r>
          </w:p>
        </w:tc>
      </w:tr>
      <w:tr w:rsidR="001013F3" w:rsidRPr="002045F5" w:rsidTr="00822744">
        <w:trPr>
          <w:trHeight w:val="300"/>
        </w:trPr>
        <w:tc>
          <w:tcPr>
            <w:tcW w:w="2978" w:type="dxa"/>
            <w:vMerge/>
            <w:tcBorders>
              <w:right w:val="single" w:sz="4" w:space="0" w:color="auto"/>
            </w:tcBorders>
            <w:shd w:val="clear" w:color="auto" w:fill="C6D9F1" w:themeFill="text2" w:themeFillTint="33"/>
          </w:tcPr>
          <w:p w:rsidR="001013F3" w:rsidRPr="002045F5" w:rsidRDefault="001013F3" w:rsidP="001013F3">
            <w:pPr>
              <w:pStyle w:val="a7"/>
              <w:ind w:left="0"/>
              <w:rPr>
                <w:b/>
                <w:sz w:val="22"/>
              </w:rPr>
            </w:pPr>
          </w:p>
        </w:tc>
        <w:tc>
          <w:tcPr>
            <w:tcW w:w="1333" w:type="dxa"/>
            <w:vMerge/>
            <w:tcBorders>
              <w:left w:val="single" w:sz="4" w:space="0" w:color="auto"/>
              <w:right w:val="single" w:sz="4" w:space="0" w:color="auto"/>
            </w:tcBorders>
          </w:tcPr>
          <w:p w:rsidR="001013F3" w:rsidRPr="002045F5" w:rsidRDefault="001013F3" w:rsidP="001013F3">
            <w:pPr>
              <w:pStyle w:val="a7"/>
              <w:ind w:left="0"/>
              <w:jc w:val="center"/>
              <w:rPr>
                <w:sz w:val="22"/>
              </w:rPr>
            </w:pPr>
          </w:p>
        </w:tc>
        <w:tc>
          <w:tcPr>
            <w:tcW w:w="1276" w:type="dxa"/>
            <w:vMerge/>
            <w:tcBorders>
              <w:right w:val="single" w:sz="4" w:space="0" w:color="auto"/>
            </w:tcBorders>
          </w:tcPr>
          <w:p w:rsidR="001013F3" w:rsidRPr="002045F5" w:rsidRDefault="001013F3" w:rsidP="001013F3">
            <w:pPr>
              <w:pStyle w:val="a7"/>
              <w:ind w:left="0"/>
              <w:jc w:val="center"/>
              <w:rPr>
                <w:b/>
                <w:sz w:val="22"/>
              </w:rPr>
            </w:pPr>
          </w:p>
        </w:tc>
        <w:tc>
          <w:tcPr>
            <w:tcW w:w="1231" w:type="dxa"/>
            <w:gridSpan w:val="2"/>
            <w:tcBorders>
              <w:top w:val="single" w:sz="4" w:space="0" w:color="auto"/>
              <w:left w:val="single" w:sz="4" w:space="0" w:color="auto"/>
              <w:right w:val="single" w:sz="4" w:space="0" w:color="auto"/>
            </w:tcBorders>
          </w:tcPr>
          <w:p w:rsidR="001013F3" w:rsidRPr="002045F5" w:rsidRDefault="001013F3" w:rsidP="001013F3">
            <w:pPr>
              <w:pStyle w:val="a7"/>
              <w:ind w:left="0"/>
              <w:jc w:val="center"/>
              <w:rPr>
                <w:sz w:val="22"/>
              </w:rPr>
            </w:pPr>
            <w:r w:rsidRPr="002045F5">
              <w:rPr>
                <w:sz w:val="22"/>
              </w:rPr>
              <w:t>10 900 ,0</w:t>
            </w:r>
          </w:p>
        </w:tc>
        <w:tc>
          <w:tcPr>
            <w:tcW w:w="1698" w:type="dxa"/>
            <w:gridSpan w:val="2"/>
            <w:tcBorders>
              <w:top w:val="single" w:sz="4" w:space="0" w:color="auto"/>
              <w:left w:val="single" w:sz="4" w:space="0" w:color="auto"/>
              <w:right w:val="single" w:sz="4" w:space="0" w:color="auto"/>
            </w:tcBorders>
          </w:tcPr>
          <w:p w:rsidR="001013F3" w:rsidRPr="002045F5" w:rsidRDefault="001013F3" w:rsidP="001013F3">
            <w:pPr>
              <w:pStyle w:val="a7"/>
              <w:ind w:left="0"/>
              <w:jc w:val="center"/>
              <w:rPr>
                <w:sz w:val="22"/>
              </w:rPr>
            </w:pPr>
            <w:proofErr w:type="spellStart"/>
            <w:r w:rsidRPr="002045F5">
              <w:rPr>
                <w:sz w:val="22"/>
              </w:rPr>
              <w:t>Міжнародні</w:t>
            </w:r>
            <w:proofErr w:type="spellEnd"/>
            <w:r w:rsidRPr="002045F5">
              <w:rPr>
                <w:sz w:val="22"/>
              </w:rPr>
              <w:t xml:space="preserve"> </w:t>
            </w:r>
            <w:proofErr w:type="spellStart"/>
            <w:r w:rsidRPr="002045F5">
              <w:rPr>
                <w:sz w:val="22"/>
              </w:rPr>
              <w:t>гранти</w:t>
            </w:r>
            <w:proofErr w:type="spellEnd"/>
            <w:r w:rsidRPr="002045F5">
              <w:rPr>
                <w:sz w:val="22"/>
              </w:rPr>
              <w:t>.</w:t>
            </w:r>
          </w:p>
        </w:tc>
        <w:tc>
          <w:tcPr>
            <w:tcW w:w="1372" w:type="dxa"/>
            <w:vMerge/>
            <w:tcBorders>
              <w:left w:val="single" w:sz="4" w:space="0" w:color="auto"/>
            </w:tcBorders>
          </w:tcPr>
          <w:p w:rsidR="001013F3" w:rsidRPr="002045F5" w:rsidRDefault="001013F3" w:rsidP="001013F3">
            <w:pPr>
              <w:pStyle w:val="a7"/>
              <w:ind w:left="0"/>
              <w:jc w:val="center"/>
              <w:rPr>
                <w:sz w:val="22"/>
              </w:rPr>
            </w:pPr>
          </w:p>
        </w:tc>
      </w:tr>
    </w:tbl>
    <w:p w:rsidR="001013F3" w:rsidRPr="002045F5" w:rsidRDefault="001013F3" w:rsidP="00E95FB1">
      <w:pPr>
        <w:rPr>
          <w:sz w:val="22"/>
        </w:rPr>
      </w:pPr>
    </w:p>
    <w:p w:rsidR="001013F3" w:rsidRPr="002045F5" w:rsidRDefault="001013F3" w:rsidP="00E95FB1">
      <w:pPr>
        <w:rPr>
          <w:sz w:val="22"/>
        </w:rPr>
      </w:pPr>
    </w:p>
    <w:tbl>
      <w:tblPr>
        <w:tblStyle w:val="af"/>
        <w:tblW w:w="0" w:type="auto"/>
        <w:tblInd w:w="-176" w:type="dxa"/>
        <w:tblLayout w:type="fixed"/>
        <w:tblLook w:val="04A0" w:firstRow="1" w:lastRow="0" w:firstColumn="1" w:lastColumn="0" w:noHBand="0" w:noVBand="1"/>
      </w:tblPr>
      <w:tblGrid>
        <w:gridCol w:w="2978"/>
        <w:gridCol w:w="1417"/>
        <w:gridCol w:w="1276"/>
        <w:gridCol w:w="992"/>
        <w:gridCol w:w="342"/>
        <w:gridCol w:w="1359"/>
        <w:gridCol w:w="96"/>
        <w:gridCol w:w="1428"/>
      </w:tblGrid>
      <w:tr w:rsidR="001013F3" w:rsidRPr="002045F5" w:rsidTr="00822744">
        <w:tc>
          <w:tcPr>
            <w:tcW w:w="2978" w:type="dxa"/>
            <w:shd w:val="clear" w:color="auto" w:fill="C6D9F1" w:themeFill="text2" w:themeFillTint="33"/>
          </w:tcPr>
          <w:p w:rsidR="001013F3" w:rsidRPr="002045F5" w:rsidRDefault="001013F3" w:rsidP="001013F3">
            <w:pPr>
              <w:pStyle w:val="a7"/>
              <w:ind w:left="0"/>
              <w:rPr>
                <w:b/>
                <w:sz w:val="22"/>
              </w:rPr>
            </w:pPr>
            <w:r w:rsidRPr="002045F5">
              <w:rPr>
                <w:b/>
                <w:sz w:val="22"/>
              </w:rPr>
              <w:t xml:space="preserve">Оперативна </w:t>
            </w:r>
            <w:proofErr w:type="spellStart"/>
            <w:r w:rsidRPr="002045F5">
              <w:rPr>
                <w:b/>
                <w:sz w:val="22"/>
              </w:rPr>
              <w:t>ціль</w:t>
            </w:r>
            <w:proofErr w:type="spellEnd"/>
            <w:r w:rsidRPr="002045F5">
              <w:rPr>
                <w:b/>
                <w:sz w:val="22"/>
              </w:rPr>
              <w:t>/</w:t>
            </w:r>
            <w:proofErr w:type="spellStart"/>
            <w:r w:rsidRPr="002045F5">
              <w:rPr>
                <w:b/>
                <w:sz w:val="22"/>
              </w:rPr>
              <w:t>завдання</w:t>
            </w:r>
            <w:proofErr w:type="spellEnd"/>
          </w:p>
        </w:tc>
        <w:tc>
          <w:tcPr>
            <w:tcW w:w="6910" w:type="dxa"/>
            <w:gridSpan w:val="7"/>
            <w:shd w:val="clear" w:color="auto" w:fill="auto"/>
          </w:tcPr>
          <w:p w:rsidR="001013F3" w:rsidRPr="002045F5" w:rsidRDefault="001013F3" w:rsidP="001013F3">
            <w:pPr>
              <w:pStyle w:val="a7"/>
              <w:ind w:left="0"/>
              <w:rPr>
                <w:sz w:val="22"/>
              </w:rPr>
            </w:pPr>
            <w:proofErr w:type="spellStart"/>
            <w:r w:rsidRPr="002045F5">
              <w:rPr>
                <w:sz w:val="22"/>
              </w:rPr>
              <w:t>Людський</w:t>
            </w:r>
            <w:proofErr w:type="spellEnd"/>
            <w:r w:rsidRPr="002045F5">
              <w:rPr>
                <w:sz w:val="22"/>
              </w:rPr>
              <w:t xml:space="preserve"> </w:t>
            </w:r>
            <w:proofErr w:type="spellStart"/>
            <w:r w:rsidRPr="002045F5">
              <w:rPr>
                <w:sz w:val="22"/>
              </w:rPr>
              <w:t>розвиток</w:t>
            </w:r>
            <w:proofErr w:type="spellEnd"/>
            <w:r w:rsidRPr="002045F5">
              <w:rPr>
                <w:sz w:val="22"/>
              </w:rPr>
              <w:t xml:space="preserve"> через </w:t>
            </w:r>
            <w:proofErr w:type="spellStart"/>
            <w:r w:rsidRPr="002045F5">
              <w:rPr>
                <w:sz w:val="22"/>
              </w:rPr>
              <w:t>інновації</w:t>
            </w:r>
            <w:proofErr w:type="spellEnd"/>
            <w:r w:rsidRPr="002045F5">
              <w:rPr>
                <w:sz w:val="22"/>
              </w:rPr>
              <w:t xml:space="preserve"> </w:t>
            </w:r>
            <w:proofErr w:type="spellStart"/>
            <w:r w:rsidRPr="002045F5">
              <w:rPr>
                <w:sz w:val="22"/>
              </w:rPr>
              <w:t>управління</w:t>
            </w:r>
            <w:proofErr w:type="spellEnd"/>
            <w:r w:rsidRPr="002045F5">
              <w:rPr>
                <w:sz w:val="22"/>
              </w:rPr>
              <w:t xml:space="preserve"> та </w:t>
            </w:r>
            <w:proofErr w:type="spellStart"/>
            <w:r w:rsidRPr="002045F5">
              <w:rPr>
                <w:sz w:val="22"/>
              </w:rPr>
              <w:t>довіру</w:t>
            </w:r>
            <w:proofErr w:type="spellEnd"/>
            <w:r w:rsidRPr="002045F5">
              <w:rPr>
                <w:sz w:val="22"/>
              </w:rPr>
              <w:t xml:space="preserve"> до </w:t>
            </w:r>
            <w:proofErr w:type="spellStart"/>
            <w:r w:rsidRPr="002045F5">
              <w:rPr>
                <w:sz w:val="22"/>
              </w:rPr>
              <w:t>влади</w:t>
            </w:r>
            <w:proofErr w:type="spellEnd"/>
            <w:r w:rsidRPr="002045F5">
              <w:rPr>
                <w:sz w:val="22"/>
              </w:rPr>
              <w:t xml:space="preserve">. </w:t>
            </w:r>
            <w:proofErr w:type="spellStart"/>
            <w:r w:rsidRPr="002045F5">
              <w:rPr>
                <w:sz w:val="22"/>
              </w:rPr>
              <w:t>Формування</w:t>
            </w:r>
            <w:proofErr w:type="spellEnd"/>
            <w:r w:rsidRPr="002045F5">
              <w:rPr>
                <w:sz w:val="22"/>
              </w:rPr>
              <w:t xml:space="preserve"> </w:t>
            </w:r>
            <w:proofErr w:type="spellStart"/>
            <w:r w:rsidRPr="002045F5">
              <w:rPr>
                <w:sz w:val="22"/>
              </w:rPr>
              <w:t>сучасного</w:t>
            </w:r>
            <w:proofErr w:type="spellEnd"/>
            <w:r w:rsidRPr="002045F5">
              <w:rPr>
                <w:sz w:val="22"/>
              </w:rPr>
              <w:t xml:space="preserve"> </w:t>
            </w:r>
            <w:proofErr w:type="spellStart"/>
            <w:r w:rsidRPr="002045F5">
              <w:rPr>
                <w:sz w:val="22"/>
              </w:rPr>
              <w:t>інклюзивного</w:t>
            </w:r>
            <w:proofErr w:type="spellEnd"/>
            <w:r w:rsidRPr="002045F5">
              <w:rPr>
                <w:sz w:val="22"/>
              </w:rPr>
              <w:t xml:space="preserve"> </w:t>
            </w:r>
            <w:proofErr w:type="spellStart"/>
            <w:r w:rsidRPr="002045F5">
              <w:rPr>
                <w:sz w:val="22"/>
              </w:rPr>
              <w:t>освітньо</w:t>
            </w:r>
            <w:proofErr w:type="spellEnd"/>
            <w:r w:rsidRPr="002045F5">
              <w:rPr>
                <w:sz w:val="22"/>
              </w:rPr>
              <w:t xml:space="preserve">-культурного та спортивного простору для </w:t>
            </w:r>
            <w:proofErr w:type="spellStart"/>
            <w:r w:rsidRPr="002045F5">
              <w:rPr>
                <w:sz w:val="22"/>
              </w:rPr>
              <w:t>розвитку</w:t>
            </w:r>
            <w:proofErr w:type="spellEnd"/>
            <w:r w:rsidRPr="002045F5">
              <w:rPr>
                <w:sz w:val="22"/>
              </w:rPr>
              <w:t>.</w:t>
            </w:r>
          </w:p>
        </w:tc>
      </w:tr>
      <w:tr w:rsidR="001013F3" w:rsidRPr="002045F5" w:rsidTr="00822744">
        <w:tc>
          <w:tcPr>
            <w:tcW w:w="2978" w:type="dxa"/>
            <w:shd w:val="clear" w:color="auto" w:fill="C6D9F1" w:themeFill="text2" w:themeFillTint="33"/>
          </w:tcPr>
          <w:p w:rsidR="001013F3" w:rsidRPr="002045F5" w:rsidRDefault="001013F3" w:rsidP="001013F3">
            <w:pPr>
              <w:pStyle w:val="a7"/>
              <w:ind w:left="0"/>
              <w:rPr>
                <w:b/>
                <w:sz w:val="22"/>
              </w:rPr>
            </w:pPr>
            <w:proofErr w:type="spellStart"/>
            <w:r w:rsidRPr="002045F5">
              <w:rPr>
                <w:b/>
                <w:sz w:val="22"/>
              </w:rPr>
              <w:t>Назва</w:t>
            </w:r>
            <w:proofErr w:type="spellEnd"/>
            <w:r w:rsidRPr="002045F5">
              <w:rPr>
                <w:b/>
                <w:sz w:val="22"/>
              </w:rPr>
              <w:t xml:space="preserve"> проекту:</w:t>
            </w:r>
          </w:p>
        </w:tc>
        <w:tc>
          <w:tcPr>
            <w:tcW w:w="6910" w:type="dxa"/>
            <w:gridSpan w:val="7"/>
          </w:tcPr>
          <w:p w:rsidR="001013F3" w:rsidRPr="002045F5" w:rsidRDefault="001013F3" w:rsidP="001013F3">
            <w:pPr>
              <w:rPr>
                <w:color w:val="000000"/>
                <w:sz w:val="22"/>
              </w:rPr>
            </w:pPr>
            <w:r w:rsidRPr="002045F5">
              <w:rPr>
                <w:color w:val="000000"/>
                <w:sz w:val="22"/>
              </w:rPr>
              <w:t xml:space="preserve"> </w:t>
            </w:r>
            <w:proofErr w:type="spellStart"/>
            <w:r w:rsidRPr="002045F5">
              <w:rPr>
                <w:color w:val="000000"/>
                <w:sz w:val="22"/>
              </w:rPr>
              <w:t>Капітальний</w:t>
            </w:r>
            <w:proofErr w:type="spellEnd"/>
            <w:r w:rsidRPr="002045F5">
              <w:rPr>
                <w:color w:val="000000"/>
                <w:sz w:val="22"/>
              </w:rPr>
              <w:t xml:space="preserve"> ремонт </w:t>
            </w:r>
            <w:proofErr w:type="spellStart"/>
            <w:r w:rsidRPr="002045F5">
              <w:rPr>
                <w:color w:val="000000"/>
                <w:sz w:val="22"/>
              </w:rPr>
              <w:t>будівлі</w:t>
            </w:r>
            <w:proofErr w:type="spellEnd"/>
            <w:r w:rsidRPr="002045F5">
              <w:rPr>
                <w:color w:val="000000"/>
                <w:sz w:val="22"/>
              </w:rPr>
              <w:t xml:space="preserve"> </w:t>
            </w:r>
            <w:proofErr w:type="spellStart"/>
            <w:r w:rsidRPr="002045F5">
              <w:rPr>
                <w:color w:val="000000"/>
                <w:sz w:val="22"/>
              </w:rPr>
              <w:t>Новоастраханського</w:t>
            </w:r>
            <w:proofErr w:type="spellEnd"/>
            <w:r w:rsidRPr="002045F5">
              <w:rPr>
                <w:color w:val="000000"/>
                <w:sz w:val="22"/>
              </w:rPr>
              <w:t xml:space="preserve"> </w:t>
            </w:r>
            <w:proofErr w:type="spellStart"/>
            <w:r w:rsidRPr="002045F5">
              <w:rPr>
                <w:color w:val="000000"/>
                <w:sz w:val="22"/>
              </w:rPr>
              <w:t>ліцею</w:t>
            </w:r>
            <w:proofErr w:type="spellEnd"/>
            <w:r w:rsidRPr="002045F5">
              <w:rPr>
                <w:color w:val="000000"/>
                <w:sz w:val="22"/>
              </w:rPr>
              <w:t xml:space="preserve"> </w:t>
            </w:r>
            <w:proofErr w:type="spellStart"/>
            <w:r w:rsidRPr="002045F5">
              <w:rPr>
                <w:color w:val="000000"/>
                <w:sz w:val="22"/>
              </w:rPr>
              <w:t>Сєвєродонецького</w:t>
            </w:r>
            <w:proofErr w:type="spellEnd"/>
            <w:r w:rsidRPr="002045F5">
              <w:rPr>
                <w:color w:val="000000"/>
                <w:sz w:val="22"/>
              </w:rPr>
              <w:t xml:space="preserve"> району </w:t>
            </w:r>
            <w:proofErr w:type="spellStart"/>
            <w:r w:rsidRPr="002045F5">
              <w:rPr>
                <w:color w:val="000000"/>
                <w:sz w:val="22"/>
              </w:rPr>
              <w:t>Луганської</w:t>
            </w:r>
            <w:proofErr w:type="spellEnd"/>
            <w:r w:rsidRPr="002045F5">
              <w:rPr>
                <w:color w:val="000000"/>
                <w:sz w:val="22"/>
              </w:rPr>
              <w:t xml:space="preserve"> </w:t>
            </w:r>
            <w:proofErr w:type="spellStart"/>
            <w:r w:rsidRPr="002045F5">
              <w:rPr>
                <w:color w:val="000000"/>
                <w:sz w:val="22"/>
              </w:rPr>
              <w:t>області</w:t>
            </w:r>
            <w:proofErr w:type="spellEnd"/>
            <w:r w:rsidRPr="002045F5">
              <w:rPr>
                <w:color w:val="000000"/>
                <w:sz w:val="22"/>
              </w:rPr>
              <w:t xml:space="preserve">, за </w:t>
            </w:r>
            <w:proofErr w:type="spellStart"/>
            <w:proofErr w:type="gramStart"/>
            <w:r w:rsidRPr="002045F5">
              <w:rPr>
                <w:color w:val="000000"/>
                <w:sz w:val="22"/>
              </w:rPr>
              <w:t>адресою</w:t>
            </w:r>
            <w:proofErr w:type="spellEnd"/>
            <w:r w:rsidRPr="002045F5">
              <w:rPr>
                <w:color w:val="000000"/>
                <w:sz w:val="22"/>
              </w:rPr>
              <w:t xml:space="preserve"> :</w:t>
            </w:r>
            <w:proofErr w:type="gramEnd"/>
            <w:r w:rsidRPr="002045F5">
              <w:rPr>
                <w:color w:val="000000"/>
                <w:sz w:val="22"/>
              </w:rPr>
              <w:t xml:space="preserve"> </w:t>
            </w:r>
            <w:proofErr w:type="spellStart"/>
            <w:r w:rsidRPr="002045F5">
              <w:rPr>
                <w:color w:val="000000"/>
                <w:sz w:val="22"/>
              </w:rPr>
              <w:t>вул</w:t>
            </w:r>
            <w:proofErr w:type="spellEnd"/>
            <w:r w:rsidRPr="002045F5">
              <w:rPr>
                <w:color w:val="000000"/>
                <w:sz w:val="22"/>
              </w:rPr>
              <w:t>. Центральна, буд.45</w:t>
            </w:r>
            <w:proofErr w:type="gramStart"/>
            <w:r w:rsidRPr="002045F5">
              <w:rPr>
                <w:color w:val="000000"/>
                <w:sz w:val="22"/>
              </w:rPr>
              <w:t>.,с.</w:t>
            </w:r>
            <w:proofErr w:type="gramEnd"/>
            <w:r w:rsidRPr="002045F5">
              <w:rPr>
                <w:color w:val="000000"/>
                <w:sz w:val="22"/>
              </w:rPr>
              <w:t xml:space="preserve"> Нова Астрахань, </w:t>
            </w:r>
            <w:proofErr w:type="spellStart"/>
            <w:r w:rsidRPr="002045F5">
              <w:rPr>
                <w:color w:val="000000"/>
                <w:sz w:val="22"/>
              </w:rPr>
              <w:t>Сєвєродонецького</w:t>
            </w:r>
            <w:proofErr w:type="spellEnd"/>
            <w:r w:rsidRPr="002045F5">
              <w:rPr>
                <w:color w:val="000000"/>
                <w:sz w:val="22"/>
              </w:rPr>
              <w:t xml:space="preserve"> району, </w:t>
            </w:r>
            <w:proofErr w:type="spellStart"/>
            <w:r w:rsidRPr="002045F5">
              <w:rPr>
                <w:color w:val="000000"/>
                <w:sz w:val="22"/>
              </w:rPr>
              <w:t>Луганської</w:t>
            </w:r>
            <w:proofErr w:type="spellEnd"/>
            <w:r w:rsidRPr="002045F5">
              <w:rPr>
                <w:color w:val="000000"/>
                <w:sz w:val="22"/>
              </w:rPr>
              <w:t xml:space="preserve"> </w:t>
            </w:r>
            <w:proofErr w:type="spellStart"/>
            <w:r w:rsidRPr="002045F5">
              <w:rPr>
                <w:color w:val="000000"/>
                <w:sz w:val="22"/>
              </w:rPr>
              <w:t>області</w:t>
            </w:r>
            <w:proofErr w:type="spellEnd"/>
          </w:p>
        </w:tc>
      </w:tr>
      <w:tr w:rsidR="001013F3" w:rsidRPr="002045F5" w:rsidTr="00822744">
        <w:tc>
          <w:tcPr>
            <w:tcW w:w="2978" w:type="dxa"/>
            <w:shd w:val="clear" w:color="auto" w:fill="C6D9F1" w:themeFill="text2" w:themeFillTint="33"/>
          </w:tcPr>
          <w:p w:rsidR="001013F3" w:rsidRPr="002045F5" w:rsidRDefault="001013F3" w:rsidP="001013F3">
            <w:pPr>
              <w:rPr>
                <w:b/>
                <w:sz w:val="22"/>
              </w:rPr>
            </w:pPr>
            <w:proofErr w:type="spellStart"/>
            <w:r w:rsidRPr="002045F5">
              <w:rPr>
                <w:b/>
                <w:sz w:val="22"/>
              </w:rPr>
              <w:t>Ціль</w:t>
            </w:r>
            <w:proofErr w:type="spellEnd"/>
            <w:r w:rsidRPr="002045F5">
              <w:rPr>
                <w:b/>
                <w:sz w:val="22"/>
              </w:rPr>
              <w:t xml:space="preserve"> проекту</w:t>
            </w:r>
          </w:p>
        </w:tc>
        <w:tc>
          <w:tcPr>
            <w:tcW w:w="6910" w:type="dxa"/>
            <w:gridSpan w:val="7"/>
          </w:tcPr>
          <w:p w:rsidR="001013F3" w:rsidRPr="002045F5" w:rsidRDefault="001013F3" w:rsidP="00713746">
            <w:pPr>
              <w:rPr>
                <w:sz w:val="22"/>
              </w:rPr>
            </w:pPr>
            <w:proofErr w:type="spellStart"/>
            <w:r w:rsidRPr="002045F5">
              <w:rPr>
                <w:color w:val="000000"/>
                <w:sz w:val="22"/>
              </w:rPr>
              <w:t>Ціль</w:t>
            </w:r>
            <w:proofErr w:type="spellEnd"/>
            <w:r w:rsidRPr="002045F5">
              <w:rPr>
                <w:color w:val="000000"/>
                <w:sz w:val="22"/>
              </w:rPr>
              <w:t xml:space="preserve"> </w:t>
            </w:r>
            <w:proofErr w:type="spellStart"/>
            <w:r w:rsidRPr="002045F5">
              <w:rPr>
                <w:color w:val="000000"/>
                <w:sz w:val="22"/>
              </w:rPr>
              <w:t>про</w:t>
            </w:r>
            <w:r w:rsidR="00713746" w:rsidRPr="002045F5">
              <w:rPr>
                <w:color w:val="000000"/>
                <w:sz w:val="22"/>
              </w:rPr>
              <w:t>є</w:t>
            </w:r>
            <w:r w:rsidRPr="002045F5">
              <w:rPr>
                <w:color w:val="000000"/>
                <w:sz w:val="22"/>
              </w:rPr>
              <w:t>кту</w:t>
            </w:r>
            <w:proofErr w:type="spellEnd"/>
            <w:r w:rsidRPr="002045F5">
              <w:rPr>
                <w:color w:val="000000"/>
                <w:sz w:val="22"/>
              </w:rPr>
              <w:t xml:space="preserve"> </w:t>
            </w:r>
            <w:proofErr w:type="spellStart"/>
            <w:r w:rsidRPr="002045F5">
              <w:rPr>
                <w:color w:val="000000"/>
                <w:sz w:val="22"/>
              </w:rPr>
              <w:t>полягає</w:t>
            </w:r>
            <w:proofErr w:type="spellEnd"/>
            <w:r w:rsidRPr="002045F5">
              <w:rPr>
                <w:color w:val="000000"/>
                <w:sz w:val="22"/>
              </w:rPr>
              <w:t xml:space="preserve"> в </w:t>
            </w:r>
            <w:proofErr w:type="spellStart"/>
            <w:r w:rsidRPr="002045F5">
              <w:rPr>
                <w:color w:val="000000"/>
                <w:sz w:val="22"/>
              </w:rPr>
              <w:t>створенні</w:t>
            </w:r>
            <w:proofErr w:type="spellEnd"/>
            <w:r w:rsidRPr="002045F5">
              <w:rPr>
                <w:color w:val="000000"/>
                <w:sz w:val="22"/>
              </w:rPr>
              <w:t xml:space="preserve"> </w:t>
            </w:r>
            <w:proofErr w:type="spellStart"/>
            <w:r w:rsidRPr="002045F5">
              <w:rPr>
                <w:color w:val="000000"/>
                <w:sz w:val="22"/>
              </w:rPr>
              <w:t>комфортних</w:t>
            </w:r>
            <w:proofErr w:type="spellEnd"/>
            <w:r w:rsidRPr="002045F5">
              <w:rPr>
                <w:color w:val="000000"/>
                <w:sz w:val="22"/>
              </w:rPr>
              <w:t xml:space="preserve"> умов для </w:t>
            </w:r>
            <w:proofErr w:type="spellStart"/>
            <w:r w:rsidRPr="002045F5">
              <w:rPr>
                <w:color w:val="000000"/>
                <w:sz w:val="22"/>
              </w:rPr>
              <w:t>навчання</w:t>
            </w:r>
            <w:proofErr w:type="spellEnd"/>
            <w:r w:rsidRPr="002045F5">
              <w:rPr>
                <w:color w:val="000000"/>
                <w:sz w:val="22"/>
              </w:rPr>
              <w:t xml:space="preserve"> і  </w:t>
            </w:r>
            <w:proofErr w:type="spellStart"/>
            <w:r w:rsidRPr="002045F5">
              <w:rPr>
                <w:color w:val="000000"/>
                <w:sz w:val="22"/>
              </w:rPr>
              <w:t>виховання</w:t>
            </w:r>
            <w:proofErr w:type="spellEnd"/>
            <w:r w:rsidRPr="002045F5">
              <w:rPr>
                <w:color w:val="000000"/>
                <w:sz w:val="22"/>
              </w:rPr>
              <w:t xml:space="preserve"> </w:t>
            </w:r>
            <w:proofErr w:type="spellStart"/>
            <w:r w:rsidRPr="002045F5">
              <w:rPr>
                <w:color w:val="000000"/>
                <w:sz w:val="22"/>
              </w:rPr>
              <w:t>дітей</w:t>
            </w:r>
            <w:proofErr w:type="spellEnd"/>
            <w:r w:rsidRPr="002045F5">
              <w:rPr>
                <w:color w:val="000000"/>
                <w:sz w:val="22"/>
              </w:rPr>
              <w:t xml:space="preserve"> з </w:t>
            </w:r>
            <w:proofErr w:type="spellStart"/>
            <w:r w:rsidRPr="002045F5">
              <w:rPr>
                <w:color w:val="000000"/>
                <w:sz w:val="22"/>
              </w:rPr>
              <w:t>урахуванням</w:t>
            </w:r>
            <w:proofErr w:type="spellEnd"/>
            <w:r w:rsidRPr="002045F5">
              <w:rPr>
                <w:color w:val="000000"/>
                <w:sz w:val="22"/>
              </w:rPr>
              <w:t xml:space="preserve"> </w:t>
            </w:r>
            <w:proofErr w:type="spellStart"/>
            <w:r w:rsidRPr="002045F5">
              <w:rPr>
                <w:color w:val="000000"/>
                <w:sz w:val="22"/>
              </w:rPr>
              <w:t>інклюзії</w:t>
            </w:r>
            <w:proofErr w:type="spellEnd"/>
            <w:r w:rsidRPr="002045F5">
              <w:rPr>
                <w:color w:val="000000"/>
                <w:sz w:val="22"/>
              </w:rPr>
              <w:t xml:space="preserve"> та </w:t>
            </w:r>
            <w:proofErr w:type="spellStart"/>
            <w:r w:rsidRPr="002045F5">
              <w:rPr>
                <w:color w:val="000000"/>
                <w:sz w:val="22"/>
              </w:rPr>
              <w:t>роботи</w:t>
            </w:r>
            <w:proofErr w:type="spellEnd"/>
            <w:r w:rsidRPr="002045F5">
              <w:rPr>
                <w:color w:val="000000"/>
                <w:sz w:val="22"/>
              </w:rPr>
              <w:t xml:space="preserve"> персоналу; в </w:t>
            </w:r>
            <w:proofErr w:type="spellStart"/>
            <w:r w:rsidRPr="002045F5">
              <w:rPr>
                <w:color w:val="000000"/>
                <w:sz w:val="22"/>
              </w:rPr>
              <w:t>економічному</w:t>
            </w:r>
            <w:proofErr w:type="spellEnd"/>
            <w:r w:rsidR="0091711E" w:rsidRPr="002045F5">
              <w:rPr>
                <w:color w:val="000000"/>
                <w:sz w:val="22"/>
              </w:rPr>
              <w:t>,</w:t>
            </w:r>
            <w:r w:rsidRPr="002045F5">
              <w:rPr>
                <w:color w:val="000000"/>
                <w:sz w:val="22"/>
              </w:rPr>
              <w:t xml:space="preserve"> </w:t>
            </w:r>
            <w:proofErr w:type="spellStart"/>
            <w:r w:rsidRPr="002045F5">
              <w:rPr>
                <w:color w:val="000000"/>
                <w:sz w:val="22"/>
              </w:rPr>
              <w:t>ефективному</w:t>
            </w:r>
            <w:proofErr w:type="spellEnd"/>
            <w:r w:rsidRPr="002045F5">
              <w:rPr>
                <w:color w:val="000000"/>
                <w:sz w:val="22"/>
              </w:rPr>
              <w:t xml:space="preserve"> </w:t>
            </w:r>
            <w:proofErr w:type="spellStart"/>
            <w:r w:rsidRPr="002045F5">
              <w:rPr>
                <w:color w:val="000000"/>
                <w:sz w:val="22"/>
              </w:rPr>
              <w:t>енергозабезпеченні</w:t>
            </w:r>
            <w:proofErr w:type="spellEnd"/>
            <w:r w:rsidRPr="002045F5">
              <w:rPr>
                <w:color w:val="000000"/>
                <w:sz w:val="22"/>
              </w:rPr>
              <w:t xml:space="preserve"> </w:t>
            </w:r>
            <w:proofErr w:type="spellStart"/>
            <w:r w:rsidRPr="002045F5">
              <w:rPr>
                <w:color w:val="000000"/>
                <w:sz w:val="22"/>
              </w:rPr>
              <w:t>будівлі</w:t>
            </w:r>
            <w:proofErr w:type="spellEnd"/>
            <w:r w:rsidRPr="002045F5">
              <w:rPr>
                <w:color w:val="000000"/>
                <w:sz w:val="22"/>
              </w:rPr>
              <w:t xml:space="preserve"> </w:t>
            </w:r>
            <w:proofErr w:type="spellStart"/>
            <w:r w:rsidRPr="002045F5">
              <w:rPr>
                <w:color w:val="000000"/>
                <w:sz w:val="22"/>
              </w:rPr>
              <w:t>школи</w:t>
            </w:r>
            <w:proofErr w:type="spellEnd"/>
            <w:r w:rsidRPr="002045F5">
              <w:rPr>
                <w:color w:val="000000"/>
                <w:sz w:val="22"/>
              </w:rPr>
              <w:t xml:space="preserve"> за умов </w:t>
            </w:r>
            <w:proofErr w:type="spellStart"/>
            <w:r w:rsidRPr="002045F5">
              <w:rPr>
                <w:color w:val="000000"/>
                <w:sz w:val="22"/>
              </w:rPr>
              <w:t>зменшення</w:t>
            </w:r>
            <w:proofErr w:type="spellEnd"/>
            <w:r w:rsidRPr="002045F5">
              <w:rPr>
                <w:color w:val="000000"/>
                <w:sz w:val="22"/>
              </w:rPr>
              <w:t xml:space="preserve"> </w:t>
            </w:r>
            <w:proofErr w:type="spellStart"/>
            <w:r w:rsidRPr="002045F5">
              <w:rPr>
                <w:color w:val="000000"/>
                <w:sz w:val="22"/>
              </w:rPr>
              <w:t>питомих</w:t>
            </w:r>
            <w:proofErr w:type="spellEnd"/>
            <w:r w:rsidRPr="002045F5">
              <w:rPr>
                <w:color w:val="000000"/>
                <w:sz w:val="22"/>
              </w:rPr>
              <w:t xml:space="preserve"> </w:t>
            </w:r>
            <w:proofErr w:type="spellStart"/>
            <w:r w:rsidRPr="002045F5">
              <w:rPr>
                <w:color w:val="000000"/>
                <w:sz w:val="22"/>
              </w:rPr>
              <w:t>витрат</w:t>
            </w:r>
            <w:proofErr w:type="spellEnd"/>
            <w:r w:rsidRPr="002045F5">
              <w:rPr>
                <w:color w:val="000000"/>
                <w:sz w:val="22"/>
              </w:rPr>
              <w:t xml:space="preserve"> </w:t>
            </w:r>
            <w:proofErr w:type="spellStart"/>
            <w:r w:rsidRPr="002045F5">
              <w:rPr>
                <w:color w:val="000000"/>
                <w:sz w:val="22"/>
              </w:rPr>
              <w:t>енергетичних</w:t>
            </w:r>
            <w:proofErr w:type="spellEnd"/>
            <w:r w:rsidRPr="002045F5">
              <w:rPr>
                <w:color w:val="000000"/>
                <w:sz w:val="22"/>
              </w:rPr>
              <w:t xml:space="preserve"> </w:t>
            </w:r>
            <w:proofErr w:type="spellStart"/>
            <w:r w:rsidRPr="002045F5">
              <w:rPr>
                <w:color w:val="000000"/>
                <w:sz w:val="22"/>
              </w:rPr>
              <w:t>носіїв</w:t>
            </w:r>
            <w:proofErr w:type="spellEnd"/>
            <w:r w:rsidRPr="002045F5">
              <w:rPr>
                <w:color w:val="000000"/>
                <w:sz w:val="22"/>
              </w:rPr>
              <w:t xml:space="preserve">; </w:t>
            </w:r>
            <w:proofErr w:type="spellStart"/>
            <w:r w:rsidRPr="002045F5">
              <w:rPr>
                <w:color w:val="000000"/>
                <w:sz w:val="22"/>
              </w:rPr>
              <w:t>зменшення</w:t>
            </w:r>
            <w:proofErr w:type="spellEnd"/>
            <w:r w:rsidRPr="002045F5">
              <w:rPr>
                <w:color w:val="000000"/>
                <w:sz w:val="22"/>
              </w:rPr>
              <w:t xml:space="preserve"> </w:t>
            </w:r>
            <w:proofErr w:type="spellStart"/>
            <w:r w:rsidRPr="002045F5">
              <w:rPr>
                <w:color w:val="000000"/>
                <w:sz w:val="22"/>
              </w:rPr>
              <w:t>бюджетних</w:t>
            </w:r>
            <w:proofErr w:type="spellEnd"/>
            <w:r w:rsidRPr="002045F5">
              <w:rPr>
                <w:color w:val="000000"/>
                <w:sz w:val="22"/>
              </w:rPr>
              <w:t xml:space="preserve"> </w:t>
            </w:r>
            <w:proofErr w:type="spellStart"/>
            <w:r w:rsidRPr="002045F5">
              <w:rPr>
                <w:color w:val="000000"/>
                <w:sz w:val="22"/>
              </w:rPr>
              <w:t>видатків</w:t>
            </w:r>
            <w:proofErr w:type="spellEnd"/>
            <w:r w:rsidRPr="002045F5">
              <w:rPr>
                <w:color w:val="000000"/>
                <w:sz w:val="22"/>
              </w:rPr>
              <w:t xml:space="preserve"> за </w:t>
            </w:r>
            <w:proofErr w:type="spellStart"/>
            <w:r w:rsidRPr="002045F5">
              <w:rPr>
                <w:color w:val="000000"/>
                <w:sz w:val="22"/>
              </w:rPr>
              <w:t>спожиті</w:t>
            </w:r>
            <w:proofErr w:type="spellEnd"/>
            <w:r w:rsidRPr="002045F5">
              <w:rPr>
                <w:color w:val="000000"/>
                <w:sz w:val="22"/>
              </w:rPr>
              <w:t xml:space="preserve"> </w:t>
            </w:r>
            <w:proofErr w:type="spellStart"/>
            <w:r w:rsidRPr="002045F5">
              <w:rPr>
                <w:color w:val="000000"/>
                <w:sz w:val="22"/>
              </w:rPr>
              <w:t>енерготеплоносії</w:t>
            </w:r>
            <w:proofErr w:type="spellEnd"/>
            <w:r w:rsidRPr="002045F5">
              <w:rPr>
                <w:color w:val="000000"/>
                <w:sz w:val="22"/>
              </w:rPr>
              <w:t xml:space="preserve">;  у </w:t>
            </w:r>
            <w:proofErr w:type="spellStart"/>
            <w:r w:rsidRPr="002045F5">
              <w:rPr>
                <w:color w:val="000000"/>
                <w:sz w:val="22"/>
              </w:rPr>
              <w:t>покращенні</w:t>
            </w:r>
            <w:proofErr w:type="spellEnd"/>
            <w:r w:rsidRPr="002045F5">
              <w:rPr>
                <w:color w:val="000000"/>
                <w:sz w:val="22"/>
              </w:rPr>
              <w:t xml:space="preserve"> </w:t>
            </w:r>
            <w:proofErr w:type="spellStart"/>
            <w:r w:rsidRPr="002045F5">
              <w:rPr>
                <w:color w:val="000000"/>
                <w:sz w:val="22"/>
              </w:rPr>
              <w:t>санітарно-гігієнічних</w:t>
            </w:r>
            <w:proofErr w:type="spellEnd"/>
            <w:r w:rsidRPr="002045F5">
              <w:rPr>
                <w:color w:val="000000"/>
                <w:sz w:val="22"/>
              </w:rPr>
              <w:t xml:space="preserve"> умов </w:t>
            </w:r>
            <w:proofErr w:type="spellStart"/>
            <w:r w:rsidRPr="002045F5">
              <w:rPr>
                <w:color w:val="000000"/>
                <w:sz w:val="22"/>
              </w:rPr>
              <w:t>перебування</w:t>
            </w:r>
            <w:proofErr w:type="spellEnd"/>
            <w:r w:rsidRPr="002045F5">
              <w:rPr>
                <w:color w:val="000000"/>
                <w:sz w:val="22"/>
              </w:rPr>
              <w:t xml:space="preserve"> </w:t>
            </w:r>
            <w:proofErr w:type="spellStart"/>
            <w:r w:rsidRPr="002045F5">
              <w:rPr>
                <w:color w:val="000000"/>
                <w:sz w:val="22"/>
              </w:rPr>
              <w:t>дітей</w:t>
            </w:r>
            <w:proofErr w:type="spellEnd"/>
            <w:r w:rsidRPr="002045F5">
              <w:rPr>
                <w:color w:val="000000"/>
                <w:sz w:val="22"/>
              </w:rPr>
              <w:t xml:space="preserve"> у </w:t>
            </w:r>
            <w:proofErr w:type="spellStart"/>
            <w:r w:rsidRPr="002045F5">
              <w:rPr>
                <w:color w:val="000000"/>
                <w:sz w:val="22"/>
              </w:rPr>
              <w:t>навчальному</w:t>
            </w:r>
            <w:proofErr w:type="spellEnd"/>
            <w:r w:rsidRPr="002045F5">
              <w:rPr>
                <w:color w:val="000000"/>
                <w:sz w:val="22"/>
              </w:rPr>
              <w:t xml:space="preserve"> </w:t>
            </w:r>
            <w:proofErr w:type="spellStart"/>
            <w:r w:rsidRPr="002045F5">
              <w:rPr>
                <w:color w:val="000000"/>
                <w:sz w:val="22"/>
              </w:rPr>
              <w:t>закладі</w:t>
            </w:r>
            <w:proofErr w:type="spellEnd"/>
            <w:r w:rsidRPr="002045F5">
              <w:rPr>
                <w:color w:val="000000"/>
                <w:sz w:val="22"/>
              </w:rPr>
              <w:t xml:space="preserve"> за </w:t>
            </w:r>
            <w:proofErr w:type="spellStart"/>
            <w:r w:rsidRPr="002045F5">
              <w:rPr>
                <w:color w:val="000000"/>
                <w:sz w:val="22"/>
              </w:rPr>
              <w:t>рахунок</w:t>
            </w:r>
            <w:proofErr w:type="spellEnd"/>
            <w:r w:rsidRPr="002045F5">
              <w:rPr>
                <w:color w:val="000000"/>
                <w:sz w:val="22"/>
              </w:rPr>
              <w:t xml:space="preserve"> </w:t>
            </w:r>
            <w:proofErr w:type="spellStart"/>
            <w:r w:rsidRPr="002045F5">
              <w:rPr>
                <w:color w:val="000000"/>
                <w:sz w:val="22"/>
              </w:rPr>
              <w:t>підвищення</w:t>
            </w:r>
            <w:proofErr w:type="spellEnd"/>
            <w:r w:rsidRPr="002045F5">
              <w:rPr>
                <w:color w:val="000000"/>
                <w:sz w:val="22"/>
              </w:rPr>
              <w:t xml:space="preserve"> </w:t>
            </w:r>
            <w:proofErr w:type="spellStart"/>
            <w:r w:rsidRPr="002045F5">
              <w:rPr>
                <w:color w:val="000000"/>
                <w:sz w:val="22"/>
              </w:rPr>
              <w:t>енергоефективності</w:t>
            </w:r>
            <w:proofErr w:type="spellEnd"/>
            <w:r w:rsidRPr="002045F5">
              <w:rPr>
                <w:color w:val="000000"/>
                <w:sz w:val="22"/>
              </w:rPr>
              <w:t xml:space="preserve"> </w:t>
            </w:r>
            <w:proofErr w:type="spellStart"/>
            <w:r w:rsidRPr="002045F5">
              <w:rPr>
                <w:color w:val="000000"/>
                <w:sz w:val="22"/>
              </w:rPr>
              <w:t>будівлі</w:t>
            </w:r>
            <w:proofErr w:type="spellEnd"/>
            <w:r w:rsidRPr="002045F5">
              <w:rPr>
                <w:color w:val="000000"/>
                <w:sz w:val="22"/>
              </w:rPr>
              <w:t xml:space="preserve">;  </w:t>
            </w:r>
            <w:proofErr w:type="spellStart"/>
            <w:r w:rsidRPr="002045F5">
              <w:rPr>
                <w:color w:val="000000"/>
                <w:sz w:val="22"/>
              </w:rPr>
              <w:t>покращення</w:t>
            </w:r>
            <w:proofErr w:type="spellEnd"/>
            <w:r w:rsidRPr="002045F5">
              <w:rPr>
                <w:color w:val="000000"/>
                <w:sz w:val="22"/>
              </w:rPr>
              <w:t xml:space="preserve"> </w:t>
            </w:r>
            <w:proofErr w:type="spellStart"/>
            <w:r w:rsidRPr="002045F5">
              <w:rPr>
                <w:color w:val="000000"/>
                <w:sz w:val="22"/>
              </w:rPr>
              <w:t>технічного</w:t>
            </w:r>
            <w:proofErr w:type="spellEnd"/>
            <w:r w:rsidRPr="002045F5">
              <w:rPr>
                <w:color w:val="000000"/>
                <w:sz w:val="22"/>
              </w:rPr>
              <w:t xml:space="preserve"> стану </w:t>
            </w:r>
            <w:proofErr w:type="spellStart"/>
            <w:r w:rsidRPr="002045F5">
              <w:rPr>
                <w:color w:val="000000"/>
                <w:sz w:val="22"/>
              </w:rPr>
              <w:t>будівлі</w:t>
            </w:r>
            <w:proofErr w:type="spellEnd"/>
            <w:r w:rsidRPr="002045F5">
              <w:rPr>
                <w:color w:val="000000"/>
                <w:sz w:val="22"/>
              </w:rPr>
              <w:t xml:space="preserve"> з </w:t>
            </w:r>
            <w:proofErr w:type="spellStart"/>
            <w:r w:rsidRPr="002045F5">
              <w:rPr>
                <w:color w:val="000000"/>
                <w:sz w:val="22"/>
              </w:rPr>
              <w:t>використанням</w:t>
            </w:r>
            <w:proofErr w:type="spellEnd"/>
            <w:r w:rsidRPr="002045F5">
              <w:rPr>
                <w:color w:val="000000"/>
                <w:sz w:val="22"/>
              </w:rPr>
              <w:t xml:space="preserve"> норм </w:t>
            </w:r>
            <w:proofErr w:type="spellStart"/>
            <w:r w:rsidRPr="002045F5">
              <w:rPr>
                <w:color w:val="000000"/>
                <w:sz w:val="22"/>
              </w:rPr>
              <w:t>протипожежної</w:t>
            </w:r>
            <w:proofErr w:type="spellEnd"/>
            <w:r w:rsidRPr="002045F5">
              <w:rPr>
                <w:color w:val="000000"/>
                <w:sz w:val="22"/>
              </w:rPr>
              <w:t xml:space="preserve"> </w:t>
            </w:r>
            <w:proofErr w:type="spellStart"/>
            <w:r w:rsidRPr="002045F5">
              <w:rPr>
                <w:color w:val="000000"/>
                <w:sz w:val="22"/>
              </w:rPr>
              <w:t>безпеки</w:t>
            </w:r>
            <w:proofErr w:type="spellEnd"/>
            <w:r w:rsidRPr="002045F5">
              <w:rPr>
                <w:color w:val="000000"/>
                <w:sz w:val="22"/>
              </w:rPr>
              <w:t xml:space="preserve">; </w:t>
            </w:r>
            <w:proofErr w:type="spellStart"/>
            <w:r w:rsidRPr="002045F5">
              <w:rPr>
                <w:color w:val="000000"/>
                <w:sz w:val="22"/>
              </w:rPr>
              <w:t>облаштування</w:t>
            </w:r>
            <w:proofErr w:type="spellEnd"/>
            <w:r w:rsidRPr="002045F5">
              <w:rPr>
                <w:color w:val="000000"/>
                <w:sz w:val="22"/>
              </w:rPr>
              <w:t xml:space="preserve"> </w:t>
            </w:r>
            <w:proofErr w:type="spellStart"/>
            <w:r w:rsidRPr="002045F5">
              <w:rPr>
                <w:color w:val="000000"/>
                <w:sz w:val="22"/>
              </w:rPr>
              <w:t>приміщень</w:t>
            </w:r>
            <w:proofErr w:type="spellEnd"/>
            <w:r w:rsidRPr="002045F5">
              <w:rPr>
                <w:color w:val="000000"/>
                <w:sz w:val="22"/>
              </w:rPr>
              <w:t xml:space="preserve"> з </w:t>
            </w:r>
            <w:proofErr w:type="spellStart"/>
            <w:r w:rsidRPr="002045F5">
              <w:rPr>
                <w:color w:val="000000"/>
                <w:sz w:val="22"/>
              </w:rPr>
              <w:t>урахуванням</w:t>
            </w:r>
            <w:proofErr w:type="spellEnd"/>
            <w:r w:rsidRPr="002045F5">
              <w:rPr>
                <w:color w:val="000000"/>
                <w:sz w:val="22"/>
              </w:rPr>
              <w:t xml:space="preserve"> </w:t>
            </w:r>
            <w:proofErr w:type="spellStart"/>
            <w:r w:rsidRPr="002045F5">
              <w:rPr>
                <w:color w:val="000000"/>
                <w:sz w:val="22"/>
              </w:rPr>
              <w:t>питань</w:t>
            </w:r>
            <w:proofErr w:type="spellEnd"/>
            <w:r w:rsidRPr="002045F5">
              <w:rPr>
                <w:color w:val="000000"/>
                <w:sz w:val="22"/>
              </w:rPr>
              <w:t xml:space="preserve"> </w:t>
            </w:r>
            <w:proofErr w:type="spellStart"/>
            <w:r w:rsidRPr="002045F5">
              <w:rPr>
                <w:color w:val="000000"/>
                <w:sz w:val="22"/>
              </w:rPr>
              <w:t>інклюзії</w:t>
            </w:r>
            <w:proofErr w:type="spellEnd"/>
            <w:r w:rsidRPr="002045F5">
              <w:rPr>
                <w:color w:val="000000"/>
                <w:sz w:val="22"/>
              </w:rPr>
              <w:t xml:space="preserve"> та </w:t>
            </w:r>
            <w:proofErr w:type="spellStart"/>
            <w:r w:rsidRPr="002045F5">
              <w:rPr>
                <w:color w:val="000000"/>
                <w:sz w:val="22"/>
              </w:rPr>
              <w:t>створенням</w:t>
            </w:r>
            <w:proofErr w:type="spellEnd"/>
            <w:r w:rsidRPr="002045F5">
              <w:rPr>
                <w:color w:val="000000"/>
                <w:sz w:val="22"/>
              </w:rPr>
              <w:t xml:space="preserve"> нового </w:t>
            </w:r>
            <w:proofErr w:type="spellStart"/>
            <w:r w:rsidRPr="002045F5">
              <w:rPr>
                <w:color w:val="000000"/>
                <w:sz w:val="22"/>
              </w:rPr>
              <w:t>освітнього</w:t>
            </w:r>
            <w:proofErr w:type="spellEnd"/>
            <w:r w:rsidRPr="002045F5">
              <w:rPr>
                <w:color w:val="000000"/>
                <w:sz w:val="22"/>
              </w:rPr>
              <w:t xml:space="preserve"> простору за стандартами </w:t>
            </w:r>
            <w:proofErr w:type="spellStart"/>
            <w:r w:rsidRPr="002045F5">
              <w:rPr>
                <w:color w:val="000000"/>
                <w:sz w:val="22"/>
              </w:rPr>
              <w:t>Нової</w:t>
            </w:r>
            <w:proofErr w:type="spellEnd"/>
            <w:r w:rsidRPr="002045F5">
              <w:rPr>
                <w:color w:val="000000"/>
                <w:sz w:val="22"/>
              </w:rPr>
              <w:t xml:space="preserve"> </w:t>
            </w:r>
            <w:proofErr w:type="spellStart"/>
            <w:r w:rsidRPr="002045F5">
              <w:rPr>
                <w:color w:val="000000"/>
                <w:sz w:val="22"/>
              </w:rPr>
              <w:t>української</w:t>
            </w:r>
            <w:proofErr w:type="spellEnd"/>
            <w:r w:rsidRPr="002045F5">
              <w:rPr>
                <w:color w:val="000000"/>
                <w:sz w:val="22"/>
              </w:rPr>
              <w:t xml:space="preserve"> </w:t>
            </w:r>
            <w:proofErr w:type="spellStart"/>
            <w:r w:rsidRPr="002045F5">
              <w:rPr>
                <w:color w:val="000000"/>
                <w:sz w:val="22"/>
              </w:rPr>
              <w:t>школи</w:t>
            </w:r>
            <w:proofErr w:type="spellEnd"/>
            <w:r w:rsidR="00FF6968" w:rsidRPr="002045F5">
              <w:rPr>
                <w:color w:val="000000"/>
                <w:sz w:val="22"/>
              </w:rPr>
              <w:t xml:space="preserve"> </w:t>
            </w:r>
            <w:r w:rsidRPr="002045F5">
              <w:rPr>
                <w:color w:val="000000"/>
                <w:sz w:val="22"/>
              </w:rPr>
              <w:t xml:space="preserve">(НУШ); </w:t>
            </w:r>
            <w:proofErr w:type="spellStart"/>
            <w:r w:rsidRPr="002045F5">
              <w:rPr>
                <w:color w:val="000000"/>
                <w:sz w:val="22"/>
              </w:rPr>
              <w:t>надання</w:t>
            </w:r>
            <w:proofErr w:type="spellEnd"/>
            <w:r w:rsidRPr="002045F5">
              <w:rPr>
                <w:color w:val="000000"/>
                <w:sz w:val="22"/>
              </w:rPr>
              <w:t xml:space="preserve"> широкого спектру </w:t>
            </w:r>
            <w:proofErr w:type="spellStart"/>
            <w:r w:rsidRPr="002045F5">
              <w:rPr>
                <w:color w:val="000000"/>
                <w:sz w:val="22"/>
              </w:rPr>
              <w:t>послуг</w:t>
            </w:r>
            <w:proofErr w:type="spellEnd"/>
            <w:r w:rsidRPr="002045F5">
              <w:rPr>
                <w:color w:val="000000"/>
                <w:sz w:val="22"/>
              </w:rPr>
              <w:t xml:space="preserve">, </w:t>
            </w:r>
            <w:proofErr w:type="spellStart"/>
            <w:r w:rsidRPr="002045F5">
              <w:rPr>
                <w:color w:val="000000"/>
                <w:sz w:val="22"/>
              </w:rPr>
              <w:t>пов’язаних</w:t>
            </w:r>
            <w:proofErr w:type="spellEnd"/>
            <w:r w:rsidRPr="002045F5">
              <w:rPr>
                <w:color w:val="000000"/>
                <w:sz w:val="22"/>
              </w:rPr>
              <w:t xml:space="preserve"> </w:t>
            </w:r>
            <w:proofErr w:type="spellStart"/>
            <w:r w:rsidRPr="002045F5">
              <w:rPr>
                <w:color w:val="000000"/>
                <w:sz w:val="22"/>
              </w:rPr>
              <w:t>із</w:t>
            </w:r>
            <w:proofErr w:type="spellEnd"/>
            <w:r w:rsidRPr="002045F5">
              <w:rPr>
                <w:color w:val="000000"/>
                <w:sz w:val="22"/>
              </w:rPr>
              <w:t xml:space="preserve"> </w:t>
            </w:r>
            <w:proofErr w:type="spellStart"/>
            <w:r w:rsidRPr="002045F5">
              <w:rPr>
                <w:color w:val="000000"/>
                <w:sz w:val="22"/>
              </w:rPr>
              <w:t>освітньою</w:t>
            </w:r>
            <w:proofErr w:type="spellEnd"/>
            <w:r w:rsidRPr="002045F5">
              <w:rPr>
                <w:color w:val="000000"/>
                <w:sz w:val="22"/>
              </w:rPr>
              <w:t xml:space="preserve"> </w:t>
            </w:r>
            <w:proofErr w:type="spellStart"/>
            <w:r w:rsidRPr="002045F5">
              <w:rPr>
                <w:color w:val="000000"/>
                <w:sz w:val="22"/>
              </w:rPr>
              <w:t>діяльністю</w:t>
            </w:r>
            <w:proofErr w:type="spellEnd"/>
            <w:r w:rsidRPr="002045F5">
              <w:rPr>
                <w:color w:val="000000"/>
                <w:sz w:val="22"/>
              </w:rPr>
              <w:t xml:space="preserve"> та </w:t>
            </w:r>
            <w:proofErr w:type="spellStart"/>
            <w:r w:rsidRPr="002045F5">
              <w:rPr>
                <w:color w:val="000000"/>
                <w:sz w:val="22"/>
              </w:rPr>
              <w:t>задоволення</w:t>
            </w:r>
            <w:proofErr w:type="spellEnd"/>
            <w:r w:rsidRPr="002045F5">
              <w:rPr>
                <w:color w:val="000000"/>
                <w:sz w:val="22"/>
              </w:rPr>
              <w:t xml:space="preserve"> потреб </w:t>
            </w:r>
            <w:proofErr w:type="spellStart"/>
            <w:r w:rsidRPr="002045F5">
              <w:rPr>
                <w:color w:val="000000"/>
                <w:sz w:val="22"/>
              </w:rPr>
              <w:t>мешканців</w:t>
            </w:r>
            <w:proofErr w:type="spellEnd"/>
            <w:r w:rsidRPr="002045F5">
              <w:rPr>
                <w:color w:val="000000"/>
                <w:sz w:val="22"/>
              </w:rPr>
              <w:t xml:space="preserve"> </w:t>
            </w:r>
            <w:proofErr w:type="spellStart"/>
            <w:r w:rsidRPr="002045F5">
              <w:rPr>
                <w:color w:val="000000"/>
                <w:sz w:val="22"/>
              </w:rPr>
              <w:t>Сєвєродонецької</w:t>
            </w:r>
            <w:proofErr w:type="spellEnd"/>
            <w:r w:rsidRPr="002045F5">
              <w:rPr>
                <w:color w:val="000000"/>
                <w:sz w:val="22"/>
              </w:rPr>
              <w:t xml:space="preserve"> </w:t>
            </w:r>
            <w:proofErr w:type="spellStart"/>
            <w:r w:rsidRPr="002045F5">
              <w:rPr>
                <w:color w:val="000000"/>
                <w:sz w:val="22"/>
              </w:rPr>
              <w:t>міської</w:t>
            </w:r>
            <w:proofErr w:type="spellEnd"/>
            <w:r w:rsidRPr="002045F5">
              <w:rPr>
                <w:color w:val="000000"/>
                <w:sz w:val="22"/>
              </w:rPr>
              <w:t xml:space="preserve"> </w:t>
            </w:r>
            <w:proofErr w:type="spellStart"/>
            <w:r w:rsidRPr="002045F5">
              <w:rPr>
                <w:color w:val="000000"/>
                <w:sz w:val="22"/>
              </w:rPr>
              <w:t>територіальної</w:t>
            </w:r>
            <w:proofErr w:type="spellEnd"/>
            <w:r w:rsidRPr="002045F5">
              <w:rPr>
                <w:color w:val="000000"/>
                <w:sz w:val="22"/>
              </w:rPr>
              <w:t xml:space="preserve"> </w:t>
            </w:r>
            <w:proofErr w:type="spellStart"/>
            <w:r w:rsidRPr="002045F5">
              <w:rPr>
                <w:color w:val="000000"/>
                <w:sz w:val="22"/>
              </w:rPr>
              <w:t>громади</w:t>
            </w:r>
            <w:proofErr w:type="spellEnd"/>
            <w:r w:rsidRPr="002045F5">
              <w:rPr>
                <w:color w:val="000000"/>
                <w:sz w:val="22"/>
              </w:rPr>
              <w:t xml:space="preserve"> у </w:t>
            </w:r>
            <w:proofErr w:type="spellStart"/>
            <w:r w:rsidRPr="002045F5">
              <w:rPr>
                <w:color w:val="000000"/>
                <w:sz w:val="22"/>
              </w:rPr>
              <w:t>необхідних</w:t>
            </w:r>
            <w:proofErr w:type="spellEnd"/>
            <w:r w:rsidRPr="002045F5">
              <w:rPr>
                <w:color w:val="000000"/>
                <w:sz w:val="22"/>
              </w:rPr>
              <w:t xml:space="preserve"> </w:t>
            </w:r>
            <w:proofErr w:type="spellStart"/>
            <w:r w:rsidRPr="002045F5">
              <w:rPr>
                <w:color w:val="000000"/>
                <w:sz w:val="22"/>
              </w:rPr>
              <w:t>послугах</w:t>
            </w:r>
            <w:proofErr w:type="spellEnd"/>
            <w:r w:rsidRPr="002045F5">
              <w:rPr>
                <w:color w:val="000000"/>
                <w:sz w:val="22"/>
              </w:rPr>
              <w:t>.</w:t>
            </w:r>
          </w:p>
        </w:tc>
      </w:tr>
      <w:tr w:rsidR="001013F3" w:rsidRPr="002045F5" w:rsidTr="00822744">
        <w:tc>
          <w:tcPr>
            <w:tcW w:w="2978" w:type="dxa"/>
            <w:shd w:val="clear" w:color="auto" w:fill="C6D9F1" w:themeFill="text2" w:themeFillTint="33"/>
          </w:tcPr>
          <w:p w:rsidR="001013F3" w:rsidRPr="002045F5" w:rsidRDefault="001013F3" w:rsidP="001013F3">
            <w:pPr>
              <w:pStyle w:val="a7"/>
              <w:ind w:left="0"/>
              <w:rPr>
                <w:b/>
                <w:sz w:val="22"/>
              </w:rPr>
            </w:pPr>
            <w:proofErr w:type="spellStart"/>
            <w:r w:rsidRPr="002045F5">
              <w:rPr>
                <w:b/>
                <w:sz w:val="22"/>
              </w:rPr>
              <w:t>Територія</w:t>
            </w:r>
            <w:proofErr w:type="spellEnd"/>
            <w:r w:rsidRPr="002045F5">
              <w:rPr>
                <w:b/>
                <w:sz w:val="22"/>
              </w:rPr>
              <w:t xml:space="preserve">, </w:t>
            </w:r>
            <w:proofErr w:type="gramStart"/>
            <w:r w:rsidRPr="002045F5">
              <w:rPr>
                <w:b/>
                <w:sz w:val="22"/>
              </w:rPr>
              <w:t>на яку</w:t>
            </w:r>
            <w:proofErr w:type="gramEnd"/>
            <w:r w:rsidRPr="002045F5">
              <w:rPr>
                <w:b/>
                <w:sz w:val="22"/>
              </w:rPr>
              <w:t xml:space="preserve"> </w:t>
            </w:r>
            <w:proofErr w:type="spellStart"/>
            <w:r w:rsidRPr="002045F5">
              <w:rPr>
                <w:b/>
                <w:sz w:val="22"/>
              </w:rPr>
              <w:t>матиме</w:t>
            </w:r>
            <w:proofErr w:type="spellEnd"/>
            <w:r w:rsidRPr="002045F5">
              <w:rPr>
                <w:b/>
                <w:sz w:val="22"/>
              </w:rPr>
              <w:t xml:space="preserve"> </w:t>
            </w:r>
            <w:proofErr w:type="spellStart"/>
            <w:r w:rsidRPr="002045F5">
              <w:rPr>
                <w:b/>
                <w:sz w:val="22"/>
              </w:rPr>
              <w:t>вплив</w:t>
            </w:r>
            <w:proofErr w:type="spellEnd"/>
            <w:r w:rsidRPr="002045F5">
              <w:rPr>
                <w:b/>
                <w:sz w:val="22"/>
              </w:rPr>
              <w:t xml:space="preserve"> </w:t>
            </w:r>
            <w:proofErr w:type="spellStart"/>
            <w:r w:rsidRPr="002045F5">
              <w:rPr>
                <w:b/>
                <w:sz w:val="22"/>
              </w:rPr>
              <w:t>реалізація</w:t>
            </w:r>
            <w:proofErr w:type="spellEnd"/>
            <w:r w:rsidRPr="002045F5">
              <w:rPr>
                <w:b/>
                <w:sz w:val="22"/>
              </w:rPr>
              <w:t xml:space="preserve"> проекту</w:t>
            </w:r>
          </w:p>
        </w:tc>
        <w:tc>
          <w:tcPr>
            <w:tcW w:w="6910" w:type="dxa"/>
            <w:gridSpan w:val="7"/>
          </w:tcPr>
          <w:p w:rsidR="001013F3" w:rsidRPr="002045F5" w:rsidRDefault="001013F3" w:rsidP="001013F3">
            <w:pPr>
              <w:pStyle w:val="a7"/>
              <w:ind w:left="0"/>
              <w:rPr>
                <w:sz w:val="22"/>
              </w:rPr>
            </w:pPr>
            <w:proofErr w:type="spellStart"/>
            <w:r w:rsidRPr="002045F5">
              <w:rPr>
                <w:sz w:val="22"/>
              </w:rPr>
              <w:t>Сєвєродонецька</w:t>
            </w:r>
            <w:proofErr w:type="spellEnd"/>
            <w:r w:rsidRPr="002045F5">
              <w:rPr>
                <w:sz w:val="22"/>
              </w:rPr>
              <w:t xml:space="preserve"> </w:t>
            </w:r>
            <w:proofErr w:type="spellStart"/>
            <w:r w:rsidRPr="002045F5">
              <w:rPr>
                <w:sz w:val="22"/>
              </w:rPr>
              <w:t>міська</w:t>
            </w:r>
            <w:proofErr w:type="spellEnd"/>
            <w:r w:rsidRPr="002045F5">
              <w:rPr>
                <w:sz w:val="22"/>
              </w:rPr>
              <w:t xml:space="preserve"> </w:t>
            </w:r>
            <w:proofErr w:type="spellStart"/>
            <w:r w:rsidRPr="002045F5">
              <w:rPr>
                <w:sz w:val="22"/>
              </w:rPr>
              <w:t>територіальна</w:t>
            </w:r>
            <w:proofErr w:type="spellEnd"/>
            <w:r w:rsidRPr="002045F5">
              <w:rPr>
                <w:sz w:val="22"/>
              </w:rPr>
              <w:t xml:space="preserve"> громада</w:t>
            </w:r>
          </w:p>
        </w:tc>
      </w:tr>
      <w:tr w:rsidR="001013F3" w:rsidRPr="002045F5" w:rsidTr="00822744">
        <w:tc>
          <w:tcPr>
            <w:tcW w:w="2978" w:type="dxa"/>
            <w:shd w:val="clear" w:color="auto" w:fill="C6D9F1" w:themeFill="text2" w:themeFillTint="33"/>
          </w:tcPr>
          <w:p w:rsidR="001013F3" w:rsidRPr="002045F5" w:rsidRDefault="001013F3" w:rsidP="001013F3">
            <w:pPr>
              <w:pStyle w:val="a7"/>
              <w:ind w:left="0"/>
              <w:rPr>
                <w:b/>
                <w:sz w:val="22"/>
              </w:rPr>
            </w:pPr>
            <w:proofErr w:type="spellStart"/>
            <w:r w:rsidRPr="002045F5">
              <w:rPr>
                <w:b/>
                <w:sz w:val="22"/>
              </w:rPr>
              <w:t>Чисельність</w:t>
            </w:r>
            <w:proofErr w:type="spellEnd"/>
            <w:r w:rsidRPr="002045F5">
              <w:rPr>
                <w:b/>
                <w:sz w:val="22"/>
              </w:rPr>
              <w:t xml:space="preserve"> </w:t>
            </w:r>
            <w:proofErr w:type="spellStart"/>
            <w:r w:rsidRPr="002045F5">
              <w:rPr>
                <w:b/>
                <w:sz w:val="22"/>
              </w:rPr>
              <w:t>населення</w:t>
            </w:r>
            <w:proofErr w:type="spellEnd"/>
            <w:r w:rsidRPr="002045F5">
              <w:rPr>
                <w:b/>
                <w:sz w:val="22"/>
              </w:rPr>
              <w:t xml:space="preserve">, на яке </w:t>
            </w:r>
            <w:proofErr w:type="spellStart"/>
            <w:r w:rsidRPr="002045F5">
              <w:rPr>
                <w:b/>
                <w:sz w:val="22"/>
              </w:rPr>
              <w:t>матиме</w:t>
            </w:r>
            <w:proofErr w:type="spellEnd"/>
            <w:r w:rsidRPr="002045F5">
              <w:rPr>
                <w:b/>
                <w:sz w:val="22"/>
              </w:rPr>
              <w:t xml:space="preserve"> </w:t>
            </w:r>
            <w:proofErr w:type="spellStart"/>
            <w:r w:rsidRPr="002045F5">
              <w:rPr>
                <w:b/>
                <w:sz w:val="22"/>
              </w:rPr>
              <w:t>вплив</w:t>
            </w:r>
            <w:proofErr w:type="spellEnd"/>
            <w:r w:rsidRPr="002045F5">
              <w:rPr>
                <w:b/>
                <w:sz w:val="22"/>
              </w:rPr>
              <w:t xml:space="preserve"> </w:t>
            </w:r>
            <w:proofErr w:type="spellStart"/>
            <w:r w:rsidRPr="002045F5">
              <w:rPr>
                <w:b/>
                <w:sz w:val="22"/>
              </w:rPr>
              <w:t>реалізація</w:t>
            </w:r>
            <w:proofErr w:type="spellEnd"/>
            <w:r w:rsidRPr="002045F5">
              <w:rPr>
                <w:b/>
                <w:sz w:val="22"/>
              </w:rPr>
              <w:t xml:space="preserve"> проекту</w:t>
            </w:r>
          </w:p>
        </w:tc>
        <w:tc>
          <w:tcPr>
            <w:tcW w:w="6910" w:type="dxa"/>
            <w:gridSpan w:val="7"/>
          </w:tcPr>
          <w:p w:rsidR="001013F3" w:rsidRPr="002045F5" w:rsidRDefault="001013F3" w:rsidP="001013F3">
            <w:pPr>
              <w:pStyle w:val="a7"/>
              <w:ind w:left="0"/>
              <w:rPr>
                <w:sz w:val="22"/>
              </w:rPr>
            </w:pPr>
            <w:r w:rsidRPr="002045F5">
              <w:rPr>
                <w:sz w:val="22"/>
              </w:rPr>
              <w:t xml:space="preserve"> 70 </w:t>
            </w:r>
            <w:proofErr w:type="gramStart"/>
            <w:r w:rsidRPr="002045F5">
              <w:rPr>
                <w:sz w:val="22"/>
              </w:rPr>
              <w:t xml:space="preserve">000  </w:t>
            </w:r>
            <w:proofErr w:type="spellStart"/>
            <w:r w:rsidRPr="002045F5">
              <w:rPr>
                <w:sz w:val="22"/>
              </w:rPr>
              <w:t>осіб</w:t>
            </w:r>
            <w:proofErr w:type="spellEnd"/>
            <w:proofErr w:type="gramEnd"/>
          </w:p>
        </w:tc>
      </w:tr>
      <w:tr w:rsidR="001013F3" w:rsidRPr="002045F5" w:rsidTr="00822744">
        <w:tc>
          <w:tcPr>
            <w:tcW w:w="2978" w:type="dxa"/>
            <w:shd w:val="clear" w:color="auto" w:fill="C6D9F1" w:themeFill="text2" w:themeFillTint="33"/>
          </w:tcPr>
          <w:p w:rsidR="001013F3" w:rsidRPr="002045F5" w:rsidRDefault="001013F3" w:rsidP="001013F3">
            <w:pPr>
              <w:rPr>
                <w:b/>
                <w:sz w:val="22"/>
              </w:rPr>
            </w:pPr>
            <w:proofErr w:type="spellStart"/>
            <w:r w:rsidRPr="002045F5">
              <w:rPr>
                <w:b/>
                <w:sz w:val="22"/>
              </w:rPr>
              <w:t>Опис</w:t>
            </w:r>
            <w:proofErr w:type="spellEnd"/>
            <w:r w:rsidRPr="002045F5">
              <w:rPr>
                <w:b/>
                <w:sz w:val="22"/>
              </w:rPr>
              <w:t xml:space="preserve"> </w:t>
            </w:r>
            <w:proofErr w:type="spellStart"/>
            <w:r w:rsidRPr="002045F5">
              <w:rPr>
                <w:b/>
                <w:sz w:val="22"/>
              </w:rPr>
              <w:t>проблеми</w:t>
            </w:r>
            <w:proofErr w:type="spellEnd"/>
            <w:r w:rsidRPr="002045F5">
              <w:rPr>
                <w:b/>
                <w:sz w:val="22"/>
              </w:rPr>
              <w:t xml:space="preserve">, на </w:t>
            </w:r>
            <w:proofErr w:type="spellStart"/>
            <w:r w:rsidRPr="002045F5">
              <w:rPr>
                <w:b/>
                <w:sz w:val="22"/>
              </w:rPr>
              <w:t>вирішення</w:t>
            </w:r>
            <w:proofErr w:type="spellEnd"/>
            <w:r w:rsidRPr="002045F5">
              <w:rPr>
                <w:b/>
                <w:sz w:val="22"/>
              </w:rPr>
              <w:t xml:space="preserve"> </w:t>
            </w:r>
            <w:proofErr w:type="spellStart"/>
            <w:proofErr w:type="gramStart"/>
            <w:r w:rsidRPr="002045F5">
              <w:rPr>
                <w:b/>
                <w:sz w:val="22"/>
              </w:rPr>
              <w:t>якої</w:t>
            </w:r>
            <w:proofErr w:type="spellEnd"/>
            <w:r w:rsidRPr="002045F5">
              <w:rPr>
                <w:b/>
                <w:sz w:val="22"/>
              </w:rPr>
              <w:t xml:space="preserve">  </w:t>
            </w:r>
            <w:proofErr w:type="spellStart"/>
            <w:r w:rsidRPr="002045F5">
              <w:rPr>
                <w:b/>
                <w:sz w:val="22"/>
              </w:rPr>
              <w:t>спрямований</w:t>
            </w:r>
            <w:proofErr w:type="spellEnd"/>
            <w:proofErr w:type="gramEnd"/>
            <w:r w:rsidRPr="002045F5">
              <w:rPr>
                <w:b/>
                <w:sz w:val="22"/>
              </w:rPr>
              <w:t xml:space="preserve"> проект</w:t>
            </w:r>
          </w:p>
        </w:tc>
        <w:tc>
          <w:tcPr>
            <w:tcW w:w="6910" w:type="dxa"/>
            <w:gridSpan w:val="7"/>
          </w:tcPr>
          <w:p w:rsidR="001013F3" w:rsidRPr="002045F5" w:rsidRDefault="001013F3" w:rsidP="001013F3">
            <w:pPr>
              <w:ind w:firstLine="708"/>
              <w:rPr>
                <w:color w:val="000000"/>
                <w:sz w:val="22"/>
              </w:rPr>
            </w:pPr>
            <w:r w:rsidRPr="002045F5">
              <w:rPr>
                <w:sz w:val="22"/>
              </w:rPr>
              <w:t xml:space="preserve">Через </w:t>
            </w:r>
            <w:proofErr w:type="spellStart"/>
            <w:r w:rsidRPr="002045F5">
              <w:rPr>
                <w:sz w:val="22"/>
              </w:rPr>
              <w:t>військову</w:t>
            </w:r>
            <w:proofErr w:type="spellEnd"/>
            <w:r w:rsidRPr="002045F5">
              <w:rPr>
                <w:sz w:val="22"/>
              </w:rPr>
              <w:t xml:space="preserve"> </w:t>
            </w:r>
            <w:proofErr w:type="spellStart"/>
            <w:r w:rsidRPr="002045F5">
              <w:rPr>
                <w:sz w:val="22"/>
              </w:rPr>
              <w:t>агресію</w:t>
            </w:r>
            <w:proofErr w:type="spellEnd"/>
            <w:r w:rsidRPr="002045F5">
              <w:rPr>
                <w:sz w:val="22"/>
              </w:rPr>
              <w:t xml:space="preserve"> РФ </w:t>
            </w:r>
            <w:proofErr w:type="spellStart"/>
            <w:r w:rsidRPr="002045F5">
              <w:rPr>
                <w:sz w:val="22"/>
              </w:rPr>
              <w:t>територія</w:t>
            </w:r>
            <w:proofErr w:type="spellEnd"/>
            <w:r w:rsidRPr="002045F5">
              <w:rPr>
                <w:sz w:val="22"/>
              </w:rPr>
              <w:t xml:space="preserve"> </w:t>
            </w:r>
            <w:proofErr w:type="spellStart"/>
            <w:r w:rsidRPr="002045F5">
              <w:rPr>
                <w:sz w:val="22"/>
              </w:rPr>
              <w:t>Сєвєродонецької</w:t>
            </w:r>
            <w:proofErr w:type="spellEnd"/>
            <w:r w:rsidRPr="002045F5">
              <w:rPr>
                <w:sz w:val="22"/>
              </w:rPr>
              <w:t xml:space="preserve"> </w:t>
            </w:r>
            <w:proofErr w:type="spellStart"/>
            <w:r w:rsidRPr="002045F5">
              <w:rPr>
                <w:sz w:val="22"/>
              </w:rPr>
              <w:t>міської</w:t>
            </w:r>
            <w:proofErr w:type="spellEnd"/>
            <w:r w:rsidRPr="002045F5">
              <w:rPr>
                <w:sz w:val="22"/>
              </w:rPr>
              <w:t xml:space="preserve"> </w:t>
            </w:r>
            <w:proofErr w:type="spellStart"/>
            <w:r w:rsidRPr="002045F5">
              <w:rPr>
                <w:sz w:val="22"/>
              </w:rPr>
              <w:t>територіальної</w:t>
            </w:r>
            <w:proofErr w:type="spellEnd"/>
            <w:r w:rsidRPr="002045F5">
              <w:rPr>
                <w:sz w:val="22"/>
              </w:rPr>
              <w:t xml:space="preserve"> </w:t>
            </w:r>
            <w:proofErr w:type="spellStart"/>
            <w:r w:rsidRPr="002045F5">
              <w:rPr>
                <w:sz w:val="22"/>
              </w:rPr>
              <w:t>громади</w:t>
            </w:r>
            <w:proofErr w:type="spellEnd"/>
            <w:r w:rsidRPr="002045F5">
              <w:rPr>
                <w:sz w:val="22"/>
              </w:rPr>
              <w:t xml:space="preserve"> </w:t>
            </w:r>
            <w:proofErr w:type="spellStart"/>
            <w:r w:rsidRPr="002045F5">
              <w:rPr>
                <w:sz w:val="22"/>
              </w:rPr>
              <w:t>зазнала</w:t>
            </w:r>
            <w:proofErr w:type="spellEnd"/>
            <w:r w:rsidRPr="002045F5">
              <w:rPr>
                <w:sz w:val="22"/>
              </w:rPr>
              <w:t xml:space="preserve"> </w:t>
            </w:r>
            <w:proofErr w:type="spellStart"/>
            <w:r w:rsidRPr="002045F5">
              <w:rPr>
                <w:sz w:val="22"/>
              </w:rPr>
              <w:t>значних</w:t>
            </w:r>
            <w:proofErr w:type="spellEnd"/>
            <w:r w:rsidRPr="002045F5">
              <w:rPr>
                <w:sz w:val="22"/>
              </w:rPr>
              <w:t xml:space="preserve"> </w:t>
            </w:r>
            <w:proofErr w:type="spellStart"/>
            <w:r w:rsidRPr="002045F5">
              <w:rPr>
                <w:sz w:val="22"/>
              </w:rPr>
              <w:t>пошкоджень</w:t>
            </w:r>
            <w:proofErr w:type="spellEnd"/>
            <w:r w:rsidRPr="002045F5">
              <w:rPr>
                <w:sz w:val="22"/>
              </w:rPr>
              <w:t xml:space="preserve">.  І </w:t>
            </w:r>
            <w:proofErr w:type="spellStart"/>
            <w:r w:rsidRPr="002045F5">
              <w:rPr>
                <w:sz w:val="22"/>
              </w:rPr>
              <w:t>б</w:t>
            </w:r>
            <w:r w:rsidRPr="002045F5">
              <w:rPr>
                <w:color w:val="000000"/>
                <w:sz w:val="22"/>
              </w:rPr>
              <w:t>удівля</w:t>
            </w:r>
            <w:proofErr w:type="spellEnd"/>
            <w:r w:rsidRPr="002045F5">
              <w:rPr>
                <w:color w:val="000000"/>
                <w:sz w:val="22"/>
              </w:rPr>
              <w:t xml:space="preserve"> </w:t>
            </w:r>
            <w:proofErr w:type="spellStart"/>
            <w:r w:rsidRPr="002045F5">
              <w:rPr>
                <w:color w:val="000000"/>
                <w:sz w:val="22"/>
              </w:rPr>
              <w:t>Новастраханського</w:t>
            </w:r>
            <w:proofErr w:type="spellEnd"/>
            <w:r w:rsidRPr="002045F5">
              <w:rPr>
                <w:color w:val="000000"/>
                <w:sz w:val="22"/>
              </w:rPr>
              <w:t xml:space="preserve"> </w:t>
            </w:r>
            <w:proofErr w:type="spellStart"/>
            <w:r w:rsidRPr="002045F5">
              <w:rPr>
                <w:color w:val="000000"/>
                <w:sz w:val="22"/>
              </w:rPr>
              <w:t>ліцею</w:t>
            </w:r>
            <w:proofErr w:type="spellEnd"/>
            <w:r w:rsidRPr="002045F5">
              <w:rPr>
                <w:color w:val="000000"/>
                <w:sz w:val="22"/>
              </w:rPr>
              <w:t xml:space="preserve"> </w:t>
            </w:r>
            <w:proofErr w:type="spellStart"/>
            <w:r w:rsidRPr="002045F5">
              <w:rPr>
                <w:color w:val="000000"/>
                <w:sz w:val="22"/>
              </w:rPr>
              <w:t>Сєвєродонецького</w:t>
            </w:r>
            <w:proofErr w:type="spellEnd"/>
            <w:r w:rsidRPr="002045F5">
              <w:rPr>
                <w:color w:val="000000"/>
                <w:sz w:val="22"/>
              </w:rPr>
              <w:t xml:space="preserve"> району </w:t>
            </w:r>
            <w:proofErr w:type="spellStart"/>
            <w:r w:rsidRPr="002045F5">
              <w:rPr>
                <w:color w:val="000000"/>
                <w:sz w:val="22"/>
              </w:rPr>
              <w:t>Луганської</w:t>
            </w:r>
            <w:proofErr w:type="spellEnd"/>
            <w:r w:rsidRPr="002045F5">
              <w:rPr>
                <w:color w:val="000000"/>
                <w:sz w:val="22"/>
              </w:rPr>
              <w:t xml:space="preserve"> </w:t>
            </w:r>
            <w:proofErr w:type="spellStart"/>
            <w:r w:rsidRPr="002045F5">
              <w:rPr>
                <w:color w:val="000000"/>
                <w:sz w:val="22"/>
              </w:rPr>
              <w:t>області</w:t>
            </w:r>
            <w:proofErr w:type="spellEnd"/>
            <w:r w:rsidRPr="002045F5">
              <w:rPr>
                <w:color w:val="000000"/>
                <w:sz w:val="22"/>
              </w:rPr>
              <w:t xml:space="preserve">, </w:t>
            </w:r>
            <w:proofErr w:type="spellStart"/>
            <w:r w:rsidRPr="002045F5">
              <w:rPr>
                <w:color w:val="000000"/>
                <w:sz w:val="22"/>
              </w:rPr>
              <w:t>вул</w:t>
            </w:r>
            <w:proofErr w:type="spellEnd"/>
            <w:r w:rsidRPr="002045F5">
              <w:rPr>
                <w:color w:val="000000"/>
                <w:sz w:val="22"/>
              </w:rPr>
              <w:t xml:space="preserve">. Центральна, буд. 45 </w:t>
            </w:r>
            <w:proofErr w:type="spellStart"/>
            <w:r w:rsidRPr="002045F5">
              <w:rPr>
                <w:color w:val="000000"/>
                <w:sz w:val="22"/>
              </w:rPr>
              <w:t>також</w:t>
            </w:r>
            <w:proofErr w:type="spellEnd"/>
            <w:r w:rsidRPr="002045F5">
              <w:rPr>
                <w:color w:val="000000"/>
                <w:sz w:val="22"/>
              </w:rPr>
              <w:t xml:space="preserve"> </w:t>
            </w:r>
            <w:proofErr w:type="spellStart"/>
            <w:r w:rsidRPr="002045F5">
              <w:rPr>
                <w:color w:val="000000"/>
                <w:sz w:val="22"/>
              </w:rPr>
              <w:t>зазнала</w:t>
            </w:r>
            <w:proofErr w:type="spellEnd"/>
            <w:r w:rsidRPr="002045F5">
              <w:rPr>
                <w:color w:val="000000"/>
                <w:sz w:val="22"/>
              </w:rPr>
              <w:t xml:space="preserve"> </w:t>
            </w:r>
            <w:proofErr w:type="spellStart"/>
            <w:r w:rsidRPr="002045F5">
              <w:rPr>
                <w:color w:val="000000"/>
                <w:sz w:val="22"/>
              </w:rPr>
              <w:t>пошкоджень</w:t>
            </w:r>
            <w:proofErr w:type="spellEnd"/>
            <w:r w:rsidRPr="002045F5">
              <w:rPr>
                <w:color w:val="000000"/>
                <w:sz w:val="22"/>
              </w:rPr>
              <w:t xml:space="preserve">, </w:t>
            </w:r>
            <w:proofErr w:type="spellStart"/>
            <w:r w:rsidRPr="002045F5">
              <w:rPr>
                <w:color w:val="000000"/>
                <w:sz w:val="22"/>
              </w:rPr>
              <w:t>що</w:t>
            </w:r>
            <w:proofErr w:type="spellEnd"/>
            <w:r w:rsidRPr="002045F5">
              <w:rPr>
                <w:color w:val="000000"/>
                <w:sz w:val="22"/>
              </w:rPr>
              <w:t xml:space="preserve"> </w:t>
            </w:r>
            <w:proofErr w:type="spellStart"/>
            <w:r w:rsidRPr="002045F5">
              <w:rPr>
                <w:color w:val="000000"/>
                <w:sz w:val="22"/>
              </w:rPr>
              <w:t>призвело</w:t>
            </w:r>
            <w:proofErr w:type="spellEnd"/>
            <w:r w:rsidRPr="002045F5">
              <w:rPr>
                <w:color w:val="000000"/>
                <w:sz w:val="22"/>
              </w:rPr>
              <w:t xml:space="preserve"> до </w:t>
            </w:r>
            <w:proofErr w:type="spellStart"/>
            <w:r w:rsidRPr="002045F5">
              <w:rPr>
                <w:color w:val="000000"/>
                <w:sz w:val="22"/>
              </w:rPr>
              <w:t>часткової</w:t>
            </w:r>
            <w:proofErr w:type="spellEnd"/>
            <w:r w:rsidRPr="002045F5">
              <w:rPr>
                <w:color w:val="000000"/>
                <w:sz w:val="22"/>
              </w:rPr>
              <w:t xml:space="preserve"> </w:t>
            </w:r>
            <w:proofErr w:type="spellStart"/>
            <w:r w:rsidRPr="002045F5">
              <w:rPr>
                <w:color w:val="000000"/>
                <w:sz w:val="22"/>
              </w:rPr>
              <w:t>руйнації</w:t>
            </w:r>
            <w:proofErr w:type="spellEnd"/>
            <w:r w:rsidRPr="002045F5">
              <w:rPr>
                <w:color w:val="000000"/>
                <w:sz w:val="22"/>
              </w:rPr>
              <w:t xml:space="preserve"> </w:t>
            </w:r>
            <w:proofErr w:type="spellStart"/>
            <w:r w:rsidRPr="002045F5">
              <w:rPr>
                <w:color w:val="000000"/>
                <w:sz w:val="22"/>
              </w:rPr>
              <w:t>інфраструктури</w:t>
            </w:r>
            <w:proofErr w:type="spellEnd"/>
            <w:r w:rsidRPr="002045F5">
              <w:rPr>
                <w:color w:val="000000"/>
                <w:sz w:val="22"/>
              </w:rPr>
              <w:t xml:space="preserve"> та </w:t>
            </w:r>
            <w:proofErr w:type="spellStart"/>
            <w:r w:rsidRPr="002045F5">
              <w:rPr>
                <w:color w:val="000000"/>
                <w:sz w:val="22"/>
              </w:rPr>
              <w:t>матеріально-технічної</w:t>
            </w:r>
            <w:proofErr w:type="spellEnd"/>
            <w:r w:rsidRPr="002045F5">
              <w:rPr>
                <w:color w:val="000000"/>
                <w:sz w:val="22"/>
              </w:rPr>
              <w:t xml:space="preserve"> </w:t>
            </w:r>
            <w:proofErr w:type="spellStart"/>
            <w:r w:rsidRPr="002045F5">
              <w:rPr>
                <w:color w:val="000000"/>
                <w:sz w:val="22"/>
              </w:rPr>
              <w:t>бази</w:t>
            </w:r>
            <w:proofErr w:type="spellEnd"/>
            <w:r w:rsidRPr="002045F5">
              <w:rPr>
                <w:color w:val="000000"/>
                <w:sz w:val="22"/>
              </w:rPr>
              <w:t xml:space="preserve"> закладу.  </w:t>
            </w:r>
            <w:proofErr w:type="spellStart"/>
            <w:r w:rsidRPr="002045F5">
              <w:rPr>
                <w:color w:val="000000"/>
                <w:sz w:val="22"/>
              </w:rPr>
              <w:t>Двері</w:t>
            </w:r>
            <w:proofErr w:type="spellEnd"/>
            <w:r w:rsidRPr="002045F5">
              <w:rPr>
                <w:color w:val="000000"/>
                <w:sz w:val="22"/>
              </w:rPr>
              <w:t xml:space="preserve">, </w:t>
            </w:r>
            <w:proofErr w:type="spellStart"/>
            <w:r w:rsidRPr="002045F5">
              <w:rPr>
                <w:color w:val="000000"/>
                <w:sz w:val="22"/>
              </w:rPr>
              <w:t>вікна</w:t>
            </w:r>
            <w:proofErr w:type="spellEnd"/>
            <w:r w:rsidRPr="002045F5">
              <w:rPr>
                <w:color w:val="000000"/>
                <w:sz w:val="22"/>
              </w:rPr>
              <w:t xml:space="preserve">, </w:t>
            </w:r>
            <w:proofErr w:type="spellStart"/>
            <w:r w:rsidRPr="002045F5">
              <w:rPr>
                <w:color w:val="000000"/>
                <w:sz w:val="22"/>
              </w:rPr>
              <w:t>підлога</w:t>
            </w:r>
            <w:proofErr w:type="spellEnd"/>
            <w:r w:rsidRPr="002045F5">
              <w:rPr>
                <w:color w:val="000000"/>
                <w:sz w:val="22"/>
              </w:rPr>
              <w:t xml:space="preserve">, </w:t>
            </w:r>
            <w:proofErr w:type="spellStart"/>
            <w:r w:rsidRPr="002045F5">
              <w:rPr>
                <w:color w:val="000000"/>
                <w:sz w:val="22"/>
              </w:rPr>
              <w:t>вимощення</w:t>
            </w:r>
            <w:proofErr w:type="spellEnd"/>
            <w:r w:rsidRPr="002045F5">
              <w:rPr>
                <w:color w:val="000000"/>
                <w:sz w:val="22"/>
              </w:rPr>
              <w:t xml:space="preserve">, система </w:t>
            </w:r>
            <w:proofErr w:type="spellStart"/>
            <w:r w:rsidRPr="002045F5">
              <w:rPr>
                <w:color w:val="000000"/>
                <w:sz w:val="22"/>
              </w:rPr>
              <w:t>вентиляції</w:t>
            </w:r>
            <w:proofErr w:type="spellEnd"/>
            <w:r w:rsidRPr="002045F5">
              <w:rPr>
                <w:color w:val="000000"/>
                <w:sz w:val="22"/>
              </w:rPr>
              <w:t xml:space="preserve"> та </w:t>
            </w:r>
            <w:proofErr w:type="spellStart"/>
            <w:r w:rsidRPr="002045F5">
              <w:rPr>
                <w:color w:val="000000"/>
                <w:sz w:val="22"/>
              </w:rPr>
              <w:t>опалення</w:t>
            </w:r>
            <w:proofErr w:type="spellEnd"/>
            <w:r w:rsidRPr="002045F5">
              <w:rPr>
                <w:color w:val="000000"/>
                <w:sz w:val="22"/>
              </w:rPr>
              <w:t xml:space="preserve"> - у </w:t>
            </w:r>
            <w:proofErr w:type="spellStart"/>
            <w:r w:rsidRPr="002045F5">
              <w:rPr>
                <w:color w:val="000000"/>
                <w:sz w:val="22"/>
              </w:rPr>
              <w:t>незадовільному</w:t>
            </w:r>
            <w:proofErr w:type="spellEnd"/>
            <w:r w:rsidRPr="002045F5">
              <w:rPr>
                <w:color w:val="000000"/>
                <w:sz w:val="22"/>
              </w:rPr>
              <w:t xml:space="preserve"> </w:t>
            </w:r>
            <w:proofErr w:type="spellStart"/>
            <w:r w:rsidRPr="002045F5">
              <w:rPr>
                <w:color w:val="000000"/>
                <w:sz w:val="22"/>
              </w:rPr>
              <w:t>стані</w:t>
            </w:r>
            <w:proofErr w:type="spellEnd"/>
            <w:r w:rsidRPr="002045F5">
              <w:rPr>
                <w:color w:val="000000"/>
                <w:sz w:val="22"/>
              </w:rPr>
              <w:t xml:space="preserve">. Система </w:t>
            </w:r>
            <w:proofErr w:type="spellStart"/>
            <w:r w:rsidRPr="002045F5">
              <w:rPr>
                <w:color w:val="000000"/>
                <w:sz w:val="22"/>
              </w:rPr>
              <w:t>освітлення</w:t>
            </w:r>
            <w:proofErr w:type="spellEnd"/>
            <w:r w:rsidRPr="002045F5">
              <w:rPr>
                <w:color w:val="000000"/>
                <w:sz w:val="22"/>
              </w:rPr>
              <w:t xml:space="preserve">, </w:t>
            </w:r>
            <w:proofErr w:type="spellStart"/>
            <w:r w:rsidRPr="002045F5">
              <w:rPr>
                <w:color w:val="000000"/>
                <w:sz w:val="22"/>
              </w:rPr>
              <w:t>каналізації</w:t>
            </w:r>
            <w:proofErr w:type="spellEnd"/>
            <w:r w:rsidRPr="002045F5">
              <w:rPr>
                <w:color w:val="000000"/>
                <w:sz w:val="22"/>
              </w:rPr>
              <w:t xml:space="preserve">, </w:t>
            </w:r>
            <w:proofErr w:type="spellStart"/>
            <w:r w:rsidRPr="002045F5">
              <w:rPr>
                <w:color w:val="000000"/>
                <w:sz w:val="22"/>
              </w:rPr>
              <w:t>внутрішніх</w:t>
            </w:r>
            <w:proofErr w:type="spellEnd"/>
            <w:r w:rsidRPr="002045F5">
              <w:rPr>
                <w:color w:val="000000"/>
                <w:sz w:val="22"/>
              </w:rPr>
              <w:t xml:space="preserve"> </w:t>
            </w:r>
            <w:proofErr w:type="spellStart"/>
            <w:r w:rsidRPr="002045F5">
              <w:rPr>
                <w:color w:val="000000"/>
                <w:sz w:val="22"/>
              </w:rPr>
              <w:t>водостоків</w:t>
            </w:r>
            <w:proofErr w:type="spellEnd"/>
            <w:r w:rsidRPr="002045F5">
              <w:rPr>
                <w:color w:val="000000"/>
                <w:sz w:val="22"/>
              </w:rPr>
              <w:t xml:space="preserve">, холодного </w:t>
            </w:r>
            <w:proofErr w:type="spellStart"/>
            <w:r w:rsidRPr="002045F5">
              <w:rPr>
                <w:color w:val="000000"/>
                <w:sz w:val="22"/>
              </w:rPr>
              <w:t>водопостачання</w:t>
            </w:r>
            <w:proofErr w:type="spellEnd"/>
            <w:r w:rsidRPr="002045F5">
              <w:rPr>
                <w:color w:val="000000"/>
                <w:sz w:val="22"/>
              </w:rPr>
              <w:t xml:space="preserve"> та </w:t>
            </w:r>
            <w:proofErr w:type="spellStart"/>
            <w:r w:rsidRPr="002045F5">
              <w:rPr>
                <w:color w:val="000000"/>
                <w:sz w:val="22"/>
              </w:rPr>
              <w:t>електрична</w:t>
            </w:r>
            <w:proofErr w:type="spellEnd"/>
            <w:r w:rsidRPr="002045F5">
              <w:rPr>
                <w:color w:val="000000"/>
                <w:sz w:val="22"/>
              </w:rPr>
              <w:t xml:space="preserve"> проводка </w:t>
            </w:r>
            <w:proofErr w:type="spellStart"/>
            <w:r w:rsidRPr="002045F5">
              <w:rPr>
                <w:color w:val="000000"/>
                <w:sz w:val="22"/>
              </w:rPr>
              <w:t>потребують</w:t>
            </w:r>
            <w:proofErr w:type="spellEnd"/>
            <w:r w:rsidRPr="002045F5">
              <w:rPr>
                <w:color w:val="000000"/>
                <w:sz w:val="22"/>
              </w:rPr>
              <w:t xml:space="preserve"> ремонту. </w:t>
            </w:r>
            <w:proofErr w:type="spellStart"/>
            <w:r w:rsidRPr="002045F5">
              <w:rPr>
                <w:color w:val="000000"/>
                <w:sz w:val="22"/>
              </w:rPr>
              <w:t>Покрівля</w:t>
            </w:r>
            <w:proofErr w:type="spellEnd"/>
            <w:r w:rsidRPr="002045F5">
              <w:rPr>
                <w:color w:val="000000"/>
                <w:sz w:val="22"/>
              </w:rPr>
              <w:t xml:space="preserve"> </w:t>
            </w:r>
            <w:proofErr w:type="spellStart"/>
            <w:r w:rsidRPr="002045F5">
              <w:rPr>
                <w:color w:val="000000"/>
                <w:sz w:val="22"/>
              </w:rPr>
              <w:t>має</w:t>
            </w:r>
            <w:proofErr w:type="spellEnd"/>
            <w:r w:rsidRPr="002045F5">
              <w:rPr>
                <w:color w:val="000000"/>
                <w:sz w:val="22"/>
              </w:rPr>
              <w:t xml:space="preserve"> </w:t>
            </w:r>
            <w:proofErr w:type="spellStart"/>
            <w:r w:rsidRPr="002045F5">
              <w:rPr>
                <w:color w:val="000000"/>
                <w:sz w:val="22"/>
              </w:rPr>
              <w:t>тріщини</w:t>
            </w:r>
            <w:proofErr w:type="spellEnd"/>
            <w:r w:rsidRPr="002045F5">
              <w:rPr>
                <w:color w:val="000000"/>
                <w:sz w:val="22"/>
              </w:rPr>
              <w:t xml:space="preserve"> та сколи</w:t>
            </w:r>
            <w:r w:rsidR="00512191" w:rsidRPr="002045F5">
              <w:rPr>
                <w:color w:val="000000"/>
                <w:sz w:val="22"/>
              </w:rPr>
              <w:t>,</w:t>
            </w:r>
            <w:r w:rsidRPr="002045F5">
              <w:rPr>
                <w:color w:val="000000"/>
                <w:sz w:val="22"/>
              </w:rPr>
              <w:t xml:space="preserve"> </w:t>
            </w:r>
            <w:proofErr w:type="spellStart"/>
            <w:r w:rsidRPr="002045F5">
              <w:rPr>
                <w:color w:val="000000"/>
                <w:sz w:val="22"/>
              </w:rPr>
              <w:t>внаслідок</w:t>
            </w:r>
            <w:proofErr w:type="spellEnd"/>
            <w:r w:rsidRPr="002045F5">
              <w:rPr>
                <w:color w:val="000000"/>
                <w:sz w:val="22"/>
              </w:rPr>
              <w:t xml:space="preserve"> </w:t>
            </w:r>
            <w:proofErr w:type="spellStart"/>
            <w:r w:rsidRPr="002045F5">
              <w:rPr>
                <w:color w:val="000000"/>
                <w:sz w:val="22"/>
              </w:rPr>
              <w:t>чого</w:t>
            </w:r>
            <w:proofErr w:type="spellEnd"/>
            <w:r w:rsidRPr="002045F5">
              <w:rPr>
                <w:color w:val="000000"/>
                <w:sz w:val="22"/>
              </w:rPr>
              <w:t xml:space="preserve"> </w:t>
            </w:r>
            <w:proofErr w:type="spellStart"/>
            <w:r w:rsidRPr="002045F5">
              <w:rPr>
                <w:color w:val="000000"/>
                <w:sz w:val="22"/>
              </w:rPr>
              <w:t>дах</w:t>
            </w:r>
            <w:proofErr w:type="spellEnd"/>
            <w:r w:rsidRPr="002045F5">
              <w:rPr>
                <w:color w:val="000000"/>
                <w:sz w:val="22"/>
              </w:rPr>
              <w:t xml:space="preserve"> </w:t>
            </w:r>
            <w:proofErr w:type="spellStart"/>
            <w:r w:rsidRPr="002045F5">
              <w:rPr>
                <w:color w:val="000000"/>
                <w:sz w:val="22"/>
              </w:rPr>
              <w:t>протікає</w:t>
            </w:r>
            <w:proofErr w:type="spellEnd"/>
            <w:r w:rsidRPr="002045F5">
              <w:rPr>
                <w:color w:val="000000"/>
                <w:sz w:val="22"/>
              </w:rPr>
              <w:t xml:space="preserve">. </w:t>
            </w:r>
            <w:proofErr w:type="spellStart"/>
            <w:r w:rsidRPr="002045F5">
              <w:rPr>
                <w:color w:val="000000"/>
                <w:sz w:val="22"/>
              </w:rPr>
              <w:t>Дах</w:t>
            </w:r>
            <w:proofErr w:type="spellEnd"/>
            <w:r w:rsidRPr="002045F5">
              <w:rPr>
                <w:color w:val="000000"/>
                <w:sz w:val="22"/>
              </w:rPr>
              <w:t xml:space="preserve"> горища </w:t>
            </w:r>
            <w:proofErr w:type="spellStart"/>
            <w:r w:rsidRPr="002045F5">
              <w:rPr>
                <w:color w:val="000000"/>
                <w:sz w:val="22"/>
              </w:rPr>
              <w:t>потребує</w:t>
            </w:r>
            <w:proofErr w:type="spellEnd"/>
            <w:r w:rsidRPr="002045F5">
              <w:rPr>
                <w:color w:val="000000"/>
                <w:sz w:val="22"/>
              </w:rPr>
              <w:t xml:space="preserve"> </w:t>
            </w:r>
            <w:proofErr w:type="spellStart"/>
            <w:r w:rsidRPr="002045F5">
              <w:rPr>
                <w:color w:val="000000"/>
                <w:sz w:val="22"/>
              </w:rPr>
              <w:t>утеплення</w:t>
            </w:r>
            <w:proofErr w:type="spellEnd"/>
            <w:r w:rsidRPr="002045F5">
              <w:rPr>
                <w:color w:val="000000"/>
                <w:sz w:val="22"/>
              </w:rPr>
              <w:t xml:space="preserve">. </w:t>
            </w:r>
            <w:proofErr w:type="spellStart"/>
            <w:r w:rsidRPr="002045F5">
              <w:rPr>
                <w:color w:val="000000"/>
                <w:sz w:val="22"/>
              </w:rPr>
              <w:t>Тріщини</w:t>
            </w:r>
            <w:proofErr w:type="spellEnd"/>
            <w:r w:rsidRPr="002045F5">
              <w:rPr>
                <w:color w:val="000000"/>
                <w:sz w:val="22"/>
              </w:rPr>
              <w:t xml:space="preserve"> в </w:t>
            </w:r>
            <w:proofErr w:type="spellStart"/>
            <w:r w:rsidRPr="002045F5">
              <w:rPr>
                <w:color w:val="000000"/>
                <w:sz w:val="22"/>
              </w:rPr>
              <w:t>будівлі</w:t>
            </w:r>
            <w:proofErr w:type="spellEnd"/>
            <w:r w:rsidRPr="002045F5">
              <w:rPr>
                <w:color w:val="000000"/>
                <w:sz w:val="22"/>
              </w:rPr>
              <w:t xml:space="preserve"> </w:t>
            </w:r>
            <w:proofErr w:type="spellStart"/>
            <w:r w:rsidRPr="002045F5">
              <w:rPr>
                <w:color w:val="000000"/>
                <w:sz w:val="22"/>
              </w:rPr>
              <w:t>ведуть</w:t>
            </w:r>
            <w:proofErr w:type="spellEnd"/>
            <w:r w:rsidRPr="002045F5">
              <w:rPr>
                <w:color w:val="000000"/>
                <w:sz w:val="22"/>
              </w:rPr>
              <w:t xml:space="preserve"> до </w:t>
            </w:r>
            <w:proofErr w:type="spellStart"/>
            <w:r w:rsidRPr="002045F5">
              <w:rPr>
                <w:color w:val="000000"/>
                <w:sz w:val="22"/>
              </w:rPr>
              <w:t>її</w:t>
            </w:r>
            <w:proofErr w:type="spellEnd"/>
            <w:r w:rsidRPr="002045F5">
              <w:rPr>
                <w:color w:val="000000"/>
                <w:sz w:val="22"/>
              </w:rPr>
              <w:t xml:space="preserve"> </w:t>
            </w:r>
            <w:proofErr w:type="spellStart"/>
            <w:r w:rsidRPr="002045F5">
              <w:rPr>
                <w:color w:val="000000"/>
                <w:sz w:val="22"/>
              </w:rPr>
              <w:t>руйнування</w:t>
            </w:r>
            <w:proofErr w:type="spellEnd"/>
            <w:r w:rsidRPr="002045F5">
              <w:rPr>
                <w:color w:val="000000"/>
                <w:sz w:val="22"/>
              </w:rPr>
              <w:t xml:space="preserve">. </w:t>
            </w:r>
            <w:proofErr w:type="spellStart"/>
            <w:r w:rsidRPr="002045F5">
              <w:rPr>
                <w:color w:val="000000"/>
                <w:sz w:val="22"/>
              </w:rPr>
              <w:t>Її</w:t>
            </w:r>
            <w:proofErr w:type="spellEnd"/>
            <w:r w:rsidRPr="002045F5">
              <w:rPr>
                <w:color w:val="000000"/>
                <w:sz w:val="22"/>
              </w:rPr>
              <w:t xml:space="preserve"> </w:t>
            </w:r>
            <w:proofErr w:type="spellStart"/>
            <w:r w:rsidRPr="002045F5">
              <w:rPr>
                <w:color w:val="000000"/>
                <w:sz w:val="22"/>
              </w:rPr>
              <w:t>масштаби</w:t>
            </w:r>
            <w:proofErr w:type="spellEnd"/>
            <w:r w:rsidRPr="002045F5">
              <w:rPr>
                <w:color w:val="000000"/>
                <w:sz w:val="22"/>
              </w:rPr>
              <w:t xml:space="preserve"> та </w:t>
            </w:r>
            <w:proofErr w:type="spellStart"/>
            <w:r w:rsidRPr="002045F5">
              <w:rPr>
                <w:color w:val="000000"/>
                <w:sz w:val="22"/>
              </w:rPr>
              <w:t>технічний</w:t>
            </w:r>
            <w:proofErr w:type="spellEnd"/>
            <w:r w:rsidRPr="002045F5">
              <w:rPr>
                <w:color w:val="000000"/>
                <w:sz w:val="22"/>
              </w:rPr>
              <w:t xml:space="preserve"> стан </w:t>
            </w:r>
            <w:proofErr w:type="spellStart"/>
            <w:r w:rsidRPr="002045F5">
              <w:rPr>
                <w:color w:val="000000"/>
                <w:sz w:val="22"/>
              </w:rPr>
              <w:t>можливо</w:t>
            </w:r>
            <w:proofErr w:type="spellEnd"/>
            <w:r w:rsidRPr="002045F5">
              <w:rPr>
                <w:color w:val="000000"/>
                <w:sz w:val="22"/>
              </w:rPr>
              <w:t xml:space="preserve"> </w:t>
            </w:r>
            <w:proofErr w:type="spellStart"/>
            <w:r w:rsidRPr="002045F5">
              <w:rPr>
                <w:color w:val="000000"/>
                <w:sz w:val="22"/>
              </w:rPr>
              <w:t>оцінити</w:t>
            </w:r>
            <w:proofErr w:type="spellEnd"/>
            <w:r w:rsidRPr="002045F5">
              <w:rPr>
                <w:color w:val="000000"/>
                <w:sz w:val="22"/>
              </w:rPr>
              <w:t xml:space="preserve"> </w:t>
            </w:r>
            <w:proofErr w:type="spellStart"/>
            <w:r w:rsidRPr="002045F5">
              <w:rPr>
                <w:color w:val="000000"/>
                <w:sz w:val="22"/>
              </w:rPr>
              <w:t>лише</w:t>
            </w:r>
            <w:proofErr w:type="spellEnd"/>
            <w:r w:rsidRPr="002045F5">
              <w:rPr>
                <w:color w:val="000000"/>
                <w:sz w:val="22"/>
              </w:rPr>
              <w:t xml:space="preserve"> в </w:t>
            </w:r>
            <w:proofErr w:type="spellStart"/>
            <w:r w:rsidRPr="002045F5">
              <w:rPr>
                <w:color w:val="000000"/>
                <w:sz w:val="22"/>
              </w:rPr>
              <w:t>результаті</w:t>
            </w:r>
            <w:proofErr w:type="spellEnd"/>
            <w:r w:rsidRPr="002045F5">
              <w:rPr>
                <w:color w:val="000000"/>
                <w:sz w:val="22"/>
              </w:rPr>
              <w:t xml:space="preserve"> </w:t>
            </w:r>
            <w:proofErr w:type="spellStart"/>
            <w:r w:rsidRPr="002045F5">
              <w:rPr>
                <w:color w:val="000000"/>
                <w:sz w:val="22"/>
              </w:rPr>
              <w:t>експертизи</w:t>
            </w:r>
            <w:proofErr w:type="spellEnd"/>
            <w:r w:rsidRPr="002045F5">
              <w:rPr>
                <w:color w:val="000000"/>
                <w:sz w:val="22"/>
              </w:rPr>
              <w:t xml:space="preserve"> </w:t>
            </w:r>
            <w:proofErr w:type="spellStart"/>
            <w:r w:rsidRPr="002045F5">
              <w:rPr>
                <w:color w:val="000000"/>
                <w:sz w:val="22"/>
              </w:rPr>
              <w:t>компетентними</w:t>
            </w:r>
            <w:proofErr w:type="spellEnd"/>
            <w:r w:rsidRPr="002045F5">
              <w:rPr>
                <w:color w:val="000000"/>
                <w:sz w:val="22"/>
              </w:rPr>
              <w:t xml:space="preserve"> </w:t>
            </w:r>
            <w:proofErr w:type="spellStart"/>
            <w:r w:rsidRPr="002045F5">
              <w:rPr>
                <w:color w:val="000000"/>
                <w:sz w:val="22"/>
              </w:rPr>
              <w:t>фахівцями</w:t>
            </w:r>
            <w:proofErr w:type="spellEnd"/>
            <w:r w:rsidRPr="002045F5">
              <w:rPr>
                <w:color w:val="000000"/>
                <w:sz w:val="22"/>
              </w:rPr>
              <w:t xml:space="preserve">. Для </w:t>
            </w:r>
            <w:proofErr w:type="spellStart"/>
            <w:r w:rsidRPr="002045F5">
              <w:rPr>
                <w:color w:val="000000"/>
                <w:sz w:val="22"/>
              </w:rPr>
              <w:t>відновлення</w:t>
            </w:r>
            <w:proofErr w:type="spellEnd"/>
            <w:r w:rsidRPr="002045F5">
              <w:rPr>
                <w:color w:val="000000"/>
                <w:sz w:val="22"/>
              </w:rPr>
              <w:t xml:space="preserve"> </w:t>
            </w:r>
            <w:proofErr w:type="spellStart"/>
            <w:r w:rsidRPr="002045F5">
              <w:rPr>
                <w:color w:val="000000"/>
                <w:sz w:val="22"/>
              </w:rPr>
              <w:t>функціонування</w:t>
            </w:r>
            <w:proofErr w:type="spellEnd"/>
            <w:r w:rsidRPr="002045F5">
              <w:rPr>
                <w:color w:val="000000"/>
                <w:sz w:val="22"/>
              </w:rPr>
              <w:t xml:space="preserve"> закладу </w:t>
            </w:r>
            <w:proofErr w:type="spellStart"/>
            <w:r w:rsidRPr="002045F5">
              <w:rPr>
                <w:color w:val="000000"/>
                <w:sz w:val="22"/>
              </w:rPr>
              <w:t>необхідне</w:t>
            </w:r>
            <w:proofErr w:type="spellEnd"/>
            <w:r w:rsidRPr="002045F5">
              <w:rPr>
                <w:color w:val="000000"/>
                <w:sz w:val="22"/>
              </w:rPr>
              <w:t xml:space="preserve"> </w:t>
            </w:r>
            <w:proofErr w:type="spellStart"/>
            <w:r w:rsidRPr="002045F5">
              <w:rPr>
                <w:color w:val="000000"/>
                <w:sz w:val="22"/>
              </w:rPr>
              <w:t>проведення</w:t>
            </w:r>
            <w:proofErr w:type="spellEnd"/>
            <w:r w:rsidRPr="002045F5">
              <w:rPr>
                <w:color w:val="000000"/>
                <w:sz w:val="22"/>
              </w:rPr>
              <w:t xml:space="preserve"> ремонтно-</w:t>
            </w:r>
            <w:proofErr w:type="spellStart"/>
            <w:r w:rsidRPr="002045F5">
              <w:rPr>
                <w:color w:val="000000"/>
                <w:sz w:val="22"/>
              </w:rPr>
              <w:t>будівельних</w:t>
            </w:r>
            <w:proofErr w:type="spellEnd"/>
            <w:r w:rsidRPr="002045F5">
              <w:rPr>
                <w:color w:val="000000"/>
                <w:sz w:val="22"/>
              </w:rPr>
              <w:t xml:space="preserve"> </w:t>
            </w:r>
            <w:proofErr w:type="spellStart"/>
            <w:r w:rsidRPr="002045F5">
              <w:rPr>
                <w:color w:val="000000"/>
                <w:sz w:val="22"/>
              </w:rPr>
              <w:t>робіт</w:t>
            </w:r>
            <w:proofErr w:type="spellEnd"/>
            <w:r w:rsidRPr="002045F5">
              <w:rPr>
                <w:color w:val="000000"/>
                <w:sz w:val="22"/>
              </w:rPr>
              <w:t xml:space="preserve"> </w:t>
            </w:r>
            <w:proofErr w:type="spellStart"/>
            <w:r w:rsidRPr="002045F5">
              <w:rPr>
                <w:color w:val="000000"/>
                <w:sz w:val="22"/>
              </w:rPr>
              <w:t>щодо</w:t>
            </w:r>
            <w:proofErr w:type="spellEnd"/>
            <w:r w:rsidRPr="002045F5">
              <w:rPr>
                <w:color w:val="000000"/>
                <w:sz w:val="22"/>
              </w:rPr>
              <w:t xml:space="preserve"> </w:t>
            </w:r>
            <w:proofErr w:type="spellStart"/>
            <w:r w:rsidRPr="002045F5">
              <w:rPr>
                <w:color w:val="000000"/>
                <w:sz w:val="22"/>
              </w:rPr>
              <w:t>усунення</w:t>
            </w:r>
            <w:proofErr w:type="spellEnd"/>
            <w:r w:rsidRPr="002045F5">
              <w:rPr>
                <w:color w:val="000000"/>
                <w:sz w:val="22"/>
              </w:rPr>
              <w:t xml:space="preserve"> </w:t>
            </w:r>
            <w:proofErr w:type="spellStart"/>
            <w:r w:rsidRPr="002045F5">
              <w:rPr>
                <w:color w:val="000000"/>
                <w:sz w:val="22"/>
              </w:rPr>
              <w:t>руйнувань</w:t>
            </w:r>
            <w:proofErr w:type="spellEnd"/>
            <w:r w:rsidRPr="002045F5">
              <w:rPr>
                <w:color w:val="000000"/>
                <w:sz w:val="22"/>
              </w:rPr>
              <w:t xml:space="preserve"> </w:t>
            </w:r>
            <w:proofErr w:type="spellStart"/>
            <w:r w:rsidRPr="002045F5">
              <w:rPr>
                <w:color w:val="000000"/>
                <w:sz w:val="22"/>
              </w:rPr>
              <w:t>будівлі</w:t>
            </w:r>
            <w:proofErr w:type="spellEnd"/>
            <w:r w:rsidRPr="002045F5">
              <w:rPr>
                <w:color w:val="000000"/>
                <w:sz w:val="22"/>
              </w:rPr>
              <w:t xml:space="preserve"> закладу. Температура </w:t>
            </w:r>
            <w:proofErr w:type="spellStart"/>
            <w:r w:rsidRPr="002045F5">
              <w:rPr>
                <w:color w:val="000000"/>
                <w:sz w:val="22"/>
              </w:rPr>
              <w:t>приміщення</w:t>
            </w:r>
            <w:proofErr w:type="spellEnd"/>
            <w:r w:rsidRPr="002045F5">
              <w:rPr>
                <w:color w:val="000000"/>
                <w:sz w:val="22"/>
              </w:rPr>
              <w:t xml:space="preserve"> в </w:t>
            </w:r>
            <w:proofErr w:type="spellStart"/>
            <w:r w:rsidRPr="002045F5">
              <w:rPr>
                <w:color w:val="000000"/>
                <w:sz w:val="22"/>
              </w:rPr>
              <w:t>опалювальний</w:t>
            </w:r>
            <w:proofErr w:type="spellEnd"/>
            <w:r w:rsidRPr="002045F5">
              <w:rPr>
                <w:color w:val="000000"/>
                <w:sz w:val="22"/>
              </w:rPr>
              <w:t xml:space="preserve"> </w:t>
            </w:r>
            <w:proofErr w:type="spellStart"/>
            <w:r w:rsidRPr="002045F5">
              <w:rPr>
                <w:color w:val="000000"/>
                <w:sz w:val="22"/>
              </w:rPr>
              <w:t>період</w:t>
            </w:r>
            <w:proofErr w:type="spellEnd"/>
            <w:r w:rsidRPr="002045F5">
              <w:rPr>
                <w:color w:val="000000"/>
                <w:sz w:val="22"/>
              </w:rPr>
              <w:t xml:space="preserve"> </w:t>
            </w:r>
            <w:proofErr w:type="spellStart"/>
            <w:r w:rsidRPr="002045F5">
              <w:rPr>
                <w:color w:val="000000"/>
                <w:sz w:val="22"/>
              </w:rPr>
              <w:t>складає</w:t>
            </w:r>
            <w:proofErr w:type="spellEnd"/>
            <w:r w:rsidRPr="002045F5">
              <w:rPr>
                <w:color w:val="000000"/>
                <w:sz w:val="22"/>
              </w:rPr>
              <w:t xml:space="preserve"> 13-17 </w:t>
            </w:r>
            <w:proofErr w:type="spellStart"/>
            <w:r w:rsidRPr="002045F5">
              <w:rPr>
                <w:color w:val="000000"/>
                <w:sz w:val="22"/>
              </w:rPr>
              <w:t>градусів</w:t>
            </w:r>
            <w:proofErr w:type="spellEnd"/>
            <w:r w:rsidRPr="002045F5">
              <w:rPr>
                <w:color w:val="000000"/>
                <w:sz w:val="22"/>
              </w:rPr>
              <w:t xml:space="preserve"> С. </w:t>
            </w:r>
            <w:proofErr w:type="spellStart"/>
            <w:r w:rsidRPr="002045F5">
              <w:rPr>
                <w:color w:val="000000"/>
                <w:sz w:val="22"/>
              </w:rPr>
              <w:t>Внутрішні</w:t>
            </w:r>
            <w:proofErr w:type="spellEnd"/>
            <w:r w:rsidRPr="002045F5">
              <w:rPr>
                <w:color w:val="000000"/>
                <w:sz w:val="22"/>
              </w:rPr>
              <w:t xml:space="preserve"> </w:t>
            </w:r>
            <w:proofErr w:type="spellStart"/>
            <w:r w:rsidRPr="002045F5">
              <w:rPr>
                <w:color w:val="000000"/>
                <w:sz w:val="22"/>
              </w:rPr>
              <w:t>приміщення</w:t>
            </w:r>
            <w:proofErr w:type="spellEnd"/>
            <w:r w:rsidRPr="002045F5">
              <w:rPr>
                <w:color w:val="000000"/>
                <w:sz w:val="22"/>
              </w:rPr>
              <w:t xml:space="preserve"> </w:t>
            </w:r>
            <w:proofErr w:type="spellStart"/>
            <w:r w:rsidRPr="002045F5">
              <w:rPr>
                <w:color w:val="000000"/>
                <w:sz w:val="22"/>
              </w:rPr>
              <w:t>потребують</w:t>
            </w:r>
            <w:proofErr w:type="spellEnd"/>
            <w:r w:rsidRPr="002045F5">
              <w:rPr>
                <w:color w:val="000000"/>
                <w:sz w:val="22"/>
              </w:rPr>
              <w:t xml:space="preserve"> </w:t>
            </w:r>
            <w:proofErr w:type="spellStart"/>
            <w:r w:rsidRPr="002045F5">
              <w:rPr>
                <w:color w:val="000000"/>
                <w:sz w:val="22"/>
              </w:rPr>
              <w:t>капітального</w:t>
            </w:r>
            <w:proofErr w:type="spellEnd"/>
            <w:r w:rsidRPr="002045F5">
              <w:rPr>
                <w:color w:val="000000"/>
                <w:sz w:val="22"/>
              </w:rPr>
              <w:t xml:space="preserve"> ремонту з </w:t>
            </w:r>
            <w:proofErr w:type="spellStart"/>
            <w:r w:rsidRPr="002045F5">
              <w:rPr>
                <w:color w:val="000000"/>
                <w:sz w:val="22"/>
              </w:rPr>
              <w:t>урахуванням</w:t>
            </w:r>
            <w:proofErr w:type="spellEnd"/>
            <w:r w:rsidRPr="002045F5">
              <w:rPr>
                <w:color w:val="000000"/>
                <w:sz w:val="22"/>
              </w:rPr>
              <w:t xml:space="preserve"> </w:t>
            </w:r>
            <w:proofErr w:type="spellStart"/>
            <w:r w:rsidRPr="002045F5">
              <w:rPr>
                <w:color w:val="000000"/>
                <w:sz w:val="22"/>
              </w:rPr>
              <w:t>питань</w:t>
            </w:r>
            <w:proofErr w:type="spellEnd"/>
            <w:r w:rsidRPr="002045F5">
              <w:rPr>
                <w:color w:val="000000"/>
                <w:sz w:val="22"/>
              </w:rPr>
              <w:t xml:space="preserve"> </w:t>
            </w:r>
            <w:proofErr w:type="spellStart"/>
            <w:r w:rsidRPr="002045F5">
              <w:rPr>
                <w:color w:val="000000"/>
                <w:sz w:val="22"/>
              </w:rPr>
              <w:t>інклюзії</w:t>
            </w:r>
            <w:proofErr w:type="spellEnd"/>
            <w:r w:rsidRPr="002045F5">
              <w:rPr>
                <w:color w:val="000000"/>
                <w:sz w:val="22"/>
              </w:rPr>
              <w:t xml:space="preserve"> та </w:t>
            </w:r>
            <w:proofErr w:type="spellStart"/>
            <w:r w:rsidRPr="002045F5">
              <w:rPr>
                <w:color w:val="000000"/>
                <w:sz w:val="22"/>
              </w:rPr>
              <w:t>створенням</w:t>
            </w:r>
            <w:proofErr w:type="spellEnd"/>
            <w:r w:rsidRPr="002045F5">
              <w:rPr>
                <w:color w:val="000000"/>
                <w:sz w:val="22"/>
              </w:rPr>
              <w:t xml:space="preserve"> нового </w:t>
            </w:r>
            <w:proofErr w:type="spellStart"/>
            <w:r w:rsidRPr="002045F5">
              <w:rPr>
                <w:color w:val="000000"/>
                <w:sz w:val="22"/>
              </w:rPr>
              <w:t>освітнього</w:t>
            </w:r>
            <w:proofErr w:type="spellEnd"/>
            <w:r w:rsidRPr="002045F5">
              <w:rPr>
                <w:color w:val="000000"/>
                <w:sz w:val="22"/>
              </w:rPr>
              <w:t xml:space="preserve"> простору за стандартами </w:t>
            </w:r>
            <w:proofErr w:type="spellStart"/>
            <w:r w:rsidRPr="002045F5">
              <w:rPr>
                <w:color w:val="000000"/>
                <w:sz w:val="22"/>
              </w:rPr>
              <w:t>Нової</w:t>
            </w:r>
            <w:proofErr w:type="spellEnd"/>
            <w:r w:rsidRPr="002045F5">
              <w:rPr>
                <w:color w:val="000000"/>
                <w:sz w:val="22"/>
              </w:rPr>
              <w:t xml:space="preserve"> </w:t>
            </w:r>
            <w:proofErr w:type="spellStart"/>
            <w:r w:rsidRPr="002045F5">
              <w:rPr>
                <w:color w:val="000000"/>
                <w:sz w:val="22"/>
              </w:rPr>
              <w:t>української</w:t>
            </w:r>
            <w:proofErr w:type="spellEnd"/>
            <w:r w:rsidRPr="002045F5">
              <w:rPr>
                <w:color w:val="000000"/>
                <w:sz w:val="22"/>
              </w:rPr>
              <w:t xml:space="preserve"> </w:t>
            </w:r>
            <w:proofErr w:type="spellStart"/>
            <w:r w:rsidRPr="002045F5">
              <w:rPr>
                <w:color w:val="000000"/>
                <w:sz w:val="22"/>
              </w:rPr>
              <w:t>школи</w:t>
            </w:r>
            <w:proofErr w:type="spellEnd"/>
            <w:r w:rsidRPr="002045F5">
              <w:rPr>
                <w:color w:val="000000"/>
                <w:sz w:val="22"/>
              </w:rPr>
              <w:t xml:space="preserve"> </w:t>
            </w:r>
            <w:r w:rsidRPr="002045F5">
              <w:rPr>
                <w:color w:val="000000"/>
                <w:sz w:val="22"/>
              </w:rPr>
              <w:lastRenderedPageBreak/>
              <w:t xml:space="preserve">(НУШ). </w:t>
            </w:r>
            <w:proofErr w:type="spellStart"/>
            <w:r w:rsidRPr="002045F5">
              <w:rPr>
                <w:sz w:val="22"/>
              </w:rPr>
              <w:t>Матеріально-технічна</w:t>
            </w:r>
            <w:proofErr w:type="spellEnd"/>
            <w:r w:rsidRPr="002045F5">
              <w:rPr>
                <w:sz w:val="22"/>
              </w:rPr>
              <w:t xml:space="preserve"> база </w:t>
            </w:r>
            <w:proofErr w:type="spellStart"/>
            <w:r w:rsidRPr="002045F5">
              <w:rPr>
                <w:sz w:val="22"/>
              </w:rPr>
              <w:t>ліцею</w:t>
            </w:r>
            <w:proofErr w:type="spellEnd"/>
            <w:r w:rsidRPr="002045F5">
              <w:rPr>
                <w:sz w:val="22"/>
              </w:rPr>
              <w:t xml:space="preserve"> </w:t>
            </w:r>
            <w:proofErr w:type="spellStart"/>
            <w:r w:rsidRPr="002045F5">
              <w:rPr>
                <w:sz w:val="22"/>
              </w:rPr>
              <w:t>була</w:t>
            </w:r>
            <w:proofErr w:type="spellEnd"/>
            <w:r w:rsidRPr="002045F5">
              <w:rPr>
                <w:sz w:val="22"/>
              </w:rPr>
              <w:t xml:space="preserve"> </w:t>
            </w:r>
            <w:proofErr w:type="spellStart"/>
            <w:r w:rsidRPr="002045F5">
              <w:rPr>
                <w:sz w:val="22"/>
              </w:rPr>
              <w:t>частково</w:t>
            </w:r>
            <w:proofErr w:type="spellEnd"/>
            <w:r w:rsidRPr="002045F5">
              <w:rPr>
                <w:sz w:val="22"/>
              </w:rPr>
              <w:t xml:space="preserve"> </w:t>
            </w:r>
            <w:proofErr w:type="spellStart"/>
            <w:r w:rsidRPr="002045F5">
              <w:rPr>
                <w:sz w:val="22"/>
              </w:rPr>
              <w:t>знищена</w:t>
            </w:r>
            <w:proofErr w:type="spellEnd"/>
            <w:r w:rsidRPr="002045F5">
              <w:rPr>
                <w:sz w:val="22"/>
              </w:rPr>
              <w:t xml:space="preserve"> </w:t>
            </w:r>
            <w:proofErr w:type="spellStart"/>
            <w:r w:rsidRPr="002045F5">
              <w:rPr>
                <w:sz w:val="22"/>
              </w:rPr>
              <w:t>або</w:t>
            </w:r>
            <w:proofErr w:type="spellEnd"/>
            <w:r w:rsidRPr="002045F5">
              <w:rPr>
                <w:sz w:val="22"/>
              </w:rPr>
              <w:t xml:space="preserve"> </w:t>
            </w:r>
            <w:proofErr w:type="spellStart"/>
            <w:r w:rsidRPr="002045F5">
              <w:rPr>
                <w:sz w:val="22"/>
              </w:rPr>
              <w:t>викрадена</w:t>
            </w:r>
            <w:proofErr w:type="spellEnd"/>
            <w:r w:rsidRPr="002045F5">
              <w:rPr>
                <w:sz w:val="22"/>
              </w:rPr>
              <w:t xml:space="preserve">. </w:t>
            </w:r>
          </w:p>
          <w:p w:rsidR="001013F3" w:rsidRPr="002045F5" w:rsidRDefault="001013F3" w:rsidP="001013F3">
            <w:pPr>
              <w:ind w:firstLine="708"/>
              <w:rPr>
                <w:color w:val="000000"/>
                <w:sz w:val="22"/>
              </w:rPr>
            </w:pPr>
            <w:proofErr w:type="spellStart"/>
            <w:proofErr w:type="gramStart"/>
            <w:r w:rsidRPr="002045F5">
              <w:rPr>
                <w:color w:val="000000"/>
                <w:sz w:val="22"/>
              </w:rPr>
              <w:t>Облаштування</w:t>
            </w:r>
            <w:proofErr w:type="spellEnd"/>
            <w:r w:rsidRPr="002045F5">
              <w:rPr>
                <w:color w:val="000000"/>
                <w:sz w:val="22"/>
              </w:rPr>
              <w:t xml:space="preserve">  та</w:t>
            </w:r>
            <w:proofErr w:type="gramEnd"/>
            <w:r w:rsidRPr="002045F5">
              <w:rPr>
                <w:color w:val="000000"/>
                <w:sz w:val="22"/>
              </w:rPr>
              <w:t xml:space="preserve"> </w:t>
            </w:r>
            <w:proofErr w:type="spellStart"/>
            <w:r w:rsidRPr="002045F5">
              <w:rPr>
                <w:color w:val="000000"/>
                <w:sz w:val="22"/>
              </w:rPr>
              <w:t>оснащення</w:t>
            </w:r>
            <w:proofErr w:type="spellEnd"/>
            <w:r w:rsidRPr="002045F5">
              <w:rPr>
                <w:color w:val="000000"/>
                <w:sz w:val="22"/>
              </w:rPr>
              <w:t xml:space="preserve"> </w:t>
            </w:r>
            <w:proofErr w:type="spellStart"/>
            <w:r w:rsidRPr="002045F5">
              <w:rPr>
                <w:color w:val="000000"/>
                <w:sz w:val="22"/>
              </w:rPr>
              <w:t>сучасного</w:t>
            </w:r>
            <w:proofErr w:type="spellEnd"/>
            <w:r w:rsidRPr="002045F5">
              <w:rPr>
                <w:color w:val="000000"/>
                <w:sz w:val="22"/>
              </w:rPr>
              <w:t xml:space="preserve"> </w:t>
            </w:r>
            <w:proofErr w:type="spellStart"/>
            <w:r w:rsidRPr="002045F5">
              <w:rPr>
                <w:color w:val="000000"/>
                <w:sz w:val="22"/>
              </w:rPr>
              <w:t>бомбосховища</w:t>
            </w:r>
            <w:proofErr w:type="spellEnd"/>
            <w:r w:rsidRPr="002045F5">
              <w:rPr>
                <w:color w:val="000000"/>
                <w:sz w:val="22"/>
              </w:rPr>
              <w:t xml:space="preserve">, яке буде </w:t>
            </w:r>
            <w:proofErr w:type="spellStart"/>
            <w:r w:rsidRPr="002045F5">
              <w:rPr>
                <w:color w:val="000000"/>
                <w:sz w:val="22"/>
              </w:rPr>
              <w:t>відповідати</w:t>
            </w:r>
            <w:proofErr w:type="spellEnd"/>
            <w:r w:rsidRPr="002045F5">
              <w:rPr>
                <w:color w:val="000000"/>
                <w:sz w:val="22"/>
              </w:rPr>
              <w:t xml:space="preserve"> нормам </w:t>
            </w:r>
            <w:proofErr w:type="spellStart"/>
            <w:r w:rsidRPr="002045F5">
              <w:rPr>
                <w:color w:val="000000"/>
                <w:sz w:val="22"/>
              </w:rPr>
              <w:t>безпеки</w:t>
            </w:r>
            <w:proofErr w:type="spellEnd"/>
            <w:r w:rsidRPr="002045F5">
              <w:rPr>
                <w:color w:val="000000"/>
                <w:sz w:val="22"/>
              </w:rPr>
              <w:t xml:space="preserve"> у </w:t>
            </w:r>
            <w:proofErr w:type="spellStart"/>
            <w:r w:rsidRPr="002045F5">
              <w:rPr>
                <w:color w:val="000000"/>
                <w:sz w:val="22"/>
              </w:rPr>
              <w:t>Новоастраханському</w:t>
            </w:r>
            <w:proofErr w:type="spellEnd"/>
            <w:r w:rsidRPr="002045F5">
              <w:rPr>
                <w:color w:val="000000"/>
                <w:sz w:val="22"/>
              </w:rPr>
              <w:t xml:space="preserve"> </w:t>
            </w:r>
            <w:proofErr w:type="spellStart"/>
            <w:r w:rsidRPr="002045F5">
              <w:rPr>
                <w:color w:val="000000"/>
                <w:sz w:val="22"/>
              </w:rPr>
              <w:t>ліцеї</w:t>
            </w:r>
            <w:proofErr w:type="spellEnd"/>
            <w:r w:rsidRPr="002045F5">
              <w:rPr>
                <w:color w:val="000000"/>
                <w:sz w:val="22"/>
              </w:rPr>
              <w:t xml:space="preserve">. </w:t>
            </w:r>
            <w:proofErr w:type="spellStart"/>
            <w:r w:rsidRPr="002045F5">
              <w:rPr>
                <w:color w:val="000000"/>
                <w:sz w:val="22"/>
              </w:rPr>
              <w:t>Освітлення</w:t>
            </w:r>
            <w:proofErr w:type="spellEnd"/>
            <w:r w:rsidRPr="002045F5">
              <w:rPr>
                <w:color w:val="000000"/>
                <w:sz w:val="22"/>
              </w:rPr>
              <w:t xml:space="preserve"> </w:t>
            </w:r>
            <w:proofErr w:type="spellStart"/>
            <w:r w:rsidRPr="002045F5">
              <w:rPr>
                <w:color w:val="000000"/>
                <w:sz w:val="22"/>
              </w:rPr>
              <w:t>школи</w:t>
            </w:r>
            <w:proofErr w:type="spellEnd"/>
            <w:r w:rsidRPr="002045F5">
              <w:rPr>
                <w:color w:val="000000"/>
                <w:sz w:val="22"/>
              </w:rPr>
              <w:t xml:space="preserve"> і </w:t>
            </w:r>
            <w:proofErr w:type="spellStart"/>
            <w:r w:rsidRPr="002045F5">
              <w:rPr>
                <w:color w:val="000000"/>
                <w:sz w:val="22"/>
              </w:rPr>
              <w:t>прилеглої</w:t>
            </w:r>
            <w:proofErr w:type="spellEnd"/>
            <w:r w:rsidRPr="002045F5">
              <w:rPr>
                <w:color w:val="000000"/>
                <w:sz w:val="22"/>
              </w:rPr>
              <w:t xml:space="preserve"> </w:t>
            </w:r>
            <w:proofErr w:type="spellStart"/>
            <w:r w:rsidRPr="002045F5">
              <w:rPr>
                <w:color w:val="000000"/>
                <w:sz w:val="22"/>
              </w:rPr>
              <w:t>території</w:t>
            </w:r>
            <w:proofErr w:type="spellEnd"/>
            <w:r w:rsidRPr="002045F5">
              <w:rPr>
                <w:color w:val="000000"/>
                <w:sz w:val="22"/>
              </w:rPr>
              <w:t xml:space="preserve"> </w:t>
            </w:r>
            <w:proofErr w:type="spellStart"/>
            <w:r w:rsidRPr="002045F5">
              <w:rPr>
                <w:color w:val="000000"/>
                <w:sz w:val="22"/>
              </w:rPr>
              <w:t>відсутнє</w:t>
            </w:r>
            <w:proofErr w:type="spellEnd"/>
            <w:r w:rsidRPr="002045F5">
              <w:rPr>
                <w:color w:val="000000"/>
                <w:sz w:val="22"/>
              </w:rPr>
              <w:t xml:space="preserve">. </w:t>
            </w:r>
            <w:proofErr w:type="spellStart"/>
            <w:r w:rsidRPr="002045F5">
              <w:rPr>
                <w:color w:val="000000"/>
                <w:sz w:val="22"/>
              </w:rPr>
              <w:t>Встановлення</w:t>
            </w:r>
            <w:proofErr w:type="spellEnd"/>
            <w:r w:rsidRPr="002045F5">
              <w:rPr>
                <w:color w:val="000000"/>
                <w:sz w:val="22"/>
              </w:rPr>
              <w:t xml:space="preserve"> </w:t>
            </w:r>
            <w:proofErr w:type="spellStart"/>
            <w:r w:rsidRPr="002045F5">
              <w:rPr>
                <w:color w:val="000000"/>
                <w:sz w:val="22"/>
              </w:rPr>
              <w:t>сучасної</w:t>
            </w:r>
            <w:proofErr w:type="spellEnd"/>
            <w:r w:rsidRPr="002045F5">
              <w:rPr>
                <w:color w:val="000000"/>
                <w:sz w:val="22"/>
              </w:rPr>
              <w:t xml:space="preserve"> </w:t>
            </w:r>
            <w:proofErr w:type="spellStart"/>
            <w:r w:rsidRPr="002045F5">
              <w:rPr>
                <w:color w:val="000000"/>
                <w:sz w:val="22"/>
              </w:rPr>
              <w:t>системи</w:t>
            </w:r>
            <w:proofErr w:type="spellEnd"/>
            <w:r w:rsidRPr="002045F5">
              <w:rPr>
                <w:color w:val="000000"/>
                <w:sz w:val="22"/>
              </w:rPr>
              <w:t xml:space="preserve"> </w:t>
            </w:r>
            <w:proofErr w:type="spellStart"/>
            <w:r w:rsidRPr="002045F5">
              <w:rPr>
                <w:color w:val="000000"/>
                <w:sz w:val="22"/>
              </w:rPr>
              <w:t>відеоспостереження</w:t>
            </w:r>
            <w:proofErr w:type="spellEnd"/>
            <w:r w:rsidRPr="002045F5">
              <w:rPr>
                <w:color w:val="000000"/>
                <w:sz w:val="22"/>
              </w:rPr>
              <w:t xml:space="preserve"> </w:t>
            </w:r>
            <w:proofErr w:type="spellStart"/>
            <w:r w:rsidRPr="002045F5">
              <w:rPr>
                <w:color w:val="000000"/>
                <w:sz w:val="22"/>
              </w:rPr>
              <w:t>посилить</w:t>
            </w:r>
            <w:proofErr w:type="spellEnd"/>
            <w:r w:rsidRPr="002045F5">
              <w:rPr>
                <w:color w:val="000000"/>
                <w:sz w:val="22"/>
              </w:rPr>
              <w:t xml:space="preserve"> </w:t>
            </w:r>
            <w:proofErr w:type="spellStart"/>
            <w:r w:rsidRPr="002045F5">
              <w:rPr>
                <w:color w:val="000000"/>
                <w:sz w:val="22"/>
              </w:rPr>
              <w:t>економію</w:t>
            </w:r>
            <w:proofErr w:type="spellEnd"/>
            <w:r w:rsidRPr="002045F5">
              <w:rPr>
                <w:color w:val="000000"/>
                <w:sz w:val="22"/>
              </w:rPr>
              <w:t xml:space="preserve"> </w:t>
            </w:r>
            <w:proofErr w:type="spellStart"/>
            <w:r w:rsidRPr="002045F5">
              <w:rPr>
                <w:color w:val="000000"/>
                <w:sz w:val="22"/>
              </w:rPr>
              <w:t>бюджетних</w:t>
            </w:r>
            <w:proofErr w:type="spellEnd"/>
            <w:r w:rsidRPr="002045F5">
              <w:rPr>
                <w:color w:val="000000"/>
                <w:sz w:val="22"/>
              </w:rPr>
              <w:t xml:space="preserve"> </w:t>
            </w:r>
            <w:proofErr w:type="spellStart"/>
            <w:proofErr w:type="gramStart"/>
            <w:r w:rsidRPr="002045F5">
              <w:rPr>
                <w:color w:val="000000"/>
                <w:sz w:val="22"/>
              </w:rPr>
              <w:t>коштів</w:t>
            </w:r>
            <w:proofErr w:type="spellEnd"/>
            <w:r w:rsidRPr="002045F5">
              <w:rPr>
                <w:color w:val="000000"/>
                <w:sz w:val="22"/>
              </w:rPr>
              <w:t xml:space="preserve"> .</w:t>
            </w:r>
            <w:proofErr w:type="gramEnd"/>
            <w:r w:rsidRPr="002045F5">
              <w:rPr>
                <w:color w:val="000000"/>
                <w:sz w:val="22"/>
              </w:rPr>
              <w:t xml:space="preserve"> </w:t>
            </w:r>
          </w:p>
          <w:p w:rsidR="001013F3" w:rsidRPr="002045F5" w:rsidRDefault="001013F3" w:rsidP="001013F3">
            <w:pPr>
              <w:ind w:firstLine="708"/>
              <w:rPr>
                <w:color w:val="000000"/>
                <w:sz w:val="22"/>
              </w:rPr>
            </w:pPr>
            <w:r w:rsidRPr="002045F5">
              <w:rPr>
                <w:color w:val="000000"/>
                <w:sz w:val="22"/>
              </w:rPr>
              <w:t xml:space="preserve">На </w:t>
            </w:r>
            <w:proofErr w:type="spellStart"/>
            <w:r w:rsidRPr="002045F5">
              <w:rPr>
                <w:color w:val="000000"/>
                <w:sz w:val="22"/>
              </w:rPr>
              <w:t>сьогоднішній</w:t>
            </w:r>
            <w:proofErr w:type="spellEnd"/>
            <w:r w:rsidRPr="002045F5">
              <w:rPr>
                <w:color w:val="000000"/>
                <w:sz w:val="22"/>
              </w:rPr>
              <w:t xml:space="preserve"> день </w:t>
            </w:r>
            <w:proofErr w:type="spellStart"/>
            <w:r w:rsidRPr="002045F5">
              <w:rPr>
                <w:color w:val="000000"/>
                <w:sz w:val="22"/>
              </w:rPr>
              <w:t>харчоблок</w:t>
            </w:r>
            <w:proofErr w:type="spellEnd"/>
            <w:r w:rsidRPr="002045F5">
              <w:rPr>
                <w:color w:val="000000"/>
                <w:sz w:val="22"/>
              </w:rPr>
              <w:t xml:space="preserve"> і </w:t>
            </w:r>
            <w:proofErr w:type="spellStart"/>
            <w:r w:rsidRPr="002045F5">
              <w:rPr>
                <w:color w:val="000000"/>
                <w:sz w:val="22"/>
              </w:rPr>
              <w:t>їдальня</w:t>
            </w:r>
            <w:proofErr w:type="spellEnd"/>
            <w:r w:rsidRPr="002045F5">
              <w:rPr>
                <w:color w:val="000000"/>
                <w:sz w:val="22"/>
              </w:rPr>
              <w:t xml:space="preserve"> </w:t>
            </w:r>
            <w:proofErr w:type="spellStart"/>
            <w:r w:rsidRPr="002045F5">
              <w:rPr>
                <w:color w:val="000000"/>
                <w:sz w:val="22"/>
              </w:rPr>
              <w:t>ліцею</w:t>
            </w:r>
            <w:proofErr w:type="spellEnd"/>
            <w:r w:rsidRPr="002045F5">
              <w:rPr>
                <w:color w:val="000000"/>
                <w:sz w:val="22"/>
              </w:rPr>
              <w:t xml:space="preserve"> </w:t>
            </w:r>
            <w:proofErr w:type="spellStart"/>
            <w:r w:rsidRPr="002045F5">
              <w:rPr>
                <w:color w:val="000000"/>
                <w:sz w:val="22"/>
              </w:rPr>
              <w:t>потребують</w:t>
            </w:r>
            <w:proofErr w:type="spellEnd"/>
            <w:r w:rsidRPr="002045F5">
              <w:rPr>
                <w:color w:val="000000"/>
                <w:sz w:val="22"/>
              </w:rPr>
              <w:t xml:space="preserve"> ремонту та </w:t>
            </w:r>
            <w:proofErr w:type="spellStart"/>
            <w:r w:rsidRPr="002045F5">
              <w:rPr>
                <w:color w:val="000000"/>
                <w:sz w:val="22"/>
              </w:rPr>
              <w:t>модернізації</w:t>
            </w:r>
            <w:proofErr w:type="spellEnd"/>
            <w:r w:rsidRPr="002045F5">
              <w:rPr>
                <w:color w:val="000000"/>
                <w:sz w:val="22"/>
              </w:rPr>
              <w:t xml:space="preserve">, </w:t>
            </w:r>
            <w:proofErr w:type="spellStart"/>
            <w:r w:rsidRPr="002045F5">
              <w:rPr>
                <w:color w:val="000000"/>
                <w:sz w:val="22"/>
              </w:rPr>
              <w:t>заміни</w:t>
            </w:r>
            <w:proofErr w:type="spellEnd"/>
            <w:r w:rsidRPr="002045F5">
              <w:rPr>
                <w:color w:val="000000"/>
                <w:sz w:val="22"/>
              </w:rPr>
              <w:t xml:space="preserve"> та </w:t>
            </w:r>
            <w:proofErr w:type="spellStart"/>
            <w:proofErr w:type="gramStart"/>
            <w:r w:rsidRPr="002045F5">
              <w:rPr>
                <w:color w:val="000000"/>
                <w:sz w:val="22"/>
              </w:rPr>
              <w:t>переоснащення</w:t>
            </w:r>
            <w:proofErr w:type="spellEnd"/>
            <w:r w:rsidRPr="002045F5">
              <w:rPr>
                <w:color w:val="000000"/>
                <w:sz w:val="22"/>
              </w:rPr>
              <w:t xml:space="preserve">  </w:t>
            </w:r>
            <w:proofErr w:type="spellStart"/>
            <w:r w:rsidRPr="002045F5">
              <w:rPr>
                <w:color w:val="000000"/>
                <w:sz w:val="22"/>
              </w:rPr>
              <w:t>технологічного</w:t>
            </w:r>
            <w:proofErr w:type="spellEnd"/>
            <w:proofErr w:type="gramEnd"/>
            <w:r w:rsidRPr="002045F5">
              <w:rPr>
                <w:color w:val="000000"/>
                <w:sz w:val="22"/>
              </w:rPr>
              <w:t xml:space="preserve"> </w:t>
            </w:r>
            <w:proofErr w:type="spellStart"/>
            <w:r w:rsidRPr="002045F5">
              <w:rPr>
                <w:color w:val="000000"/>
                <w:sz w:val="22"/>
              </w:rPr>
              <w:t>обладнання</w:t>
            </w:r>
            <w:proofErr w:type="spellEnd"/>
            <w:r w:rsidRPr="002045F5">
              <w:rPr>
                <w:color w:val="000000"/>
                <w:sz w:val="22"/>
              </w:rPr>
              <w:t xml:space="preserve">, яке б </w:t>
            </w:r>
            <w:proofErr w:type="spellStart"/>
            <w:r w:rsidRPr="002045F5">
              <w:rPr>
                <w:color w:val="000000"/>
                <w:sz w:val="22"/>
              </w:rPr>
              <w:t>відповідало</w:t>
            </w:r>
            <w:proofErr w:type="spellEnd"/>
            <w:r w:rsidRPr="002045F5">
              <w:rPr>
                <w:color w:val="000000"/>
                <w:sz w:val="22"/>
              </w:rPr>
              <w:t xml:space="preserve"> </w:t>
            </w:r>
            <w:proofErr w:type="spellStart"/>
            <w:r w:rsidRPr="002045F5">
              <w:rPr>
                <w:color w:val="000000"/>
                <w:sz w:val="22"/>
              </w:rPr>
              <w:t>сучасним</w:t>
            </w:r>
            <w:proofErr w:type="spellEnd"/>
            <w:r w:rsidRPr="002045F5">
              <w:rPr>
                <w:color w:val="000000"/>
                <w:sz w:val="22"/>
              </w:rPr>
              <w:t xml:space="preserve"> </w:t>
            </w:r>
            <w:proofErr w:type="spellStart"/>
            <w:r w:rsidRPr="002045F5">
              <w:rPr>
                <w:color w:val="000000"/>
                <w:sz w:val="22"/>
              </w:rPr>
              <w:t>вимогам</w:t>
            </w:r>
            <w:proofErr w:type="spellEnd"/>
            <w:r w:rsidRPr="002045F5">
              <w:rPr>
                <w:color w:val="000000"/>
                <w:sz w:val="22"/>
              </w:rPr>
              <w:t xml:space="preserve">. </w:t>
            </w:r>
            <w:proofErr w:type="spellStart"/>
            <w:r w:rsidRPr="002045F5">
              <w:rPr>
                <w:color w:val="000000"/>
                <w:sz w:val="22"/>
              </w:rPr>
              <w:t>Електропроводка</w:t>
            </w:r>
            <w:proofErr w:type="spellEnd"/>
            <w:r w:rsidRPr="002045F5">
              <w:rPr>
                <w:color w:val="000000"/>
                <w:sz w:val="22"/>
              </w:rPr>
              <w:t xml:space="preserve"> не </w:t>
            </w:r>
            <w:proofErr w:type="spellStart"/>
            <w:r w:rsidRPr="002045F5">
              <w:rPr>
                <w:color w:val="000000"/>
                <w:sz w:val="22"/>
              </w:rPr>
              <w:t>витримує</w:t>
            </w:r>
            <w:proofErr w:type="spellEnd"/>
            <w:r w:rsidRPr="002045F5">
              <w:rPr>
                <w:color w:val="000000"/>
                <w:sz w:val="22"/>
              </w:rPr>
              <w:t xml:space="preserve"> </w:t>
            </w:r>
            <w:proofErr w:type="spellStart"/>
            <w:r w:rsidRPr="002045F5">
              <w:rPr>
                <w:color w:val="000000"/>
                <w:sz w:val="22"/>
              </w:rPr>
              <w:t>напруги</w:t>
            </w:r>
            <w:proofErr w:type="spellEnd"/>
            <w:r w:rsidRPr="002045F5">
              <w:rPr>
                <w:color w:val="000000"/>
                <w:sz w:val="22"/>
              </w:rPr>
              <w:t xml:space="preserve"> і часто </w:t>
            </w:r>
            <w:proofErr w:type="spellStart"/>
            <w:r w:rsidRPr="002045F5">
              <w:rPr>
                <w:color w:val="000000"/>
                <w:sz w:val="22"/>
              </w:rPr>
              <w:t>виходить</w:t>
            </w:r>
            <w:proofErr w:type="spellEnd"/>
            <w:r w:rsidRPr="002045F5">
              <w:rPr>
                <w:color w:val="000000"/>
                <w:sz w:val="22"/>
              </w:rPr>
              <w:t xml:space="preserve"> з ладу. </w:t>
            </w:r>
            <w:proofErr w:type="spellStart"/>
            <w:r w:rsidRPr="002045F5">
              <w:rPr>
                <w:color w:val="000000"/>
                <w:sz w:val="22"/>
              </w:rPr>
              <w:t>Також</w:t>
            </w:r>
            <w:proofErr w:type="spellEnd"/>
            <w:r w:rsidRPr="002045F5">
              <w:rPr>
                <w:color w:val="000000"/>
                <w:sz w:val="22"/>
              </w:rPr>
              <w:t xml:space="preserve"> </w:t>
            </w:r>
            <w:proofErr w:type="spellStart"/>
            <w:proofErr w:type="gramStart"/>
            <w:r w:rsidRPr="002045F5">
              <w:rPr>
                <w:color w:val="000000"/>
                <w:sz w:val="22"/>
              </w:rPr>
              <w:t>незадовільний</w:t>
            </w:r>
            <w:proofErr w:type="spellEnd"/>
            <w:r w:rsidRPr="002045F5">
              <w:rPr>
                <w:color w:val="000000"/>
                <w:sz w:val="22"/>
              </w:rPr>
              <w:t xml:space="preserve">  стан</w:t>
            </w:r>
            <w:proofErr w:type="gramEnd"/>
            <w:r w:rsidRPr="002045F5">
              <w:rPr>
                <w:color w:val="000000"/>
                <w:sz w:val="22"/>
              </w:rPr>
              <w:t xml:space="preserve"> </w:t>
            </w:r>
            <w:proofErr w:type="spellStart"/>
            <w:r w:rsidRPr="002045F5">
              <w:rPr>
                <w:color w:val="000000"/>
                <w:sz w:val="22"/>
              </w:rPr>
              <w:t>сантехнічних</w:t>
            </w:r>
            <w:proofErr w:type="spellEnd"/>
            <w:r w:rsidRPr="002045F5">
              <w:rPr>
                <w:color w:val="000000"/>
                <w:sz w:val="22"/>
              </w:rPr>
              <w:t xml:space="preserve"> мереж: </w:t>
            </w:r>
            <w:proofErr w:type="spellStart"/>
            <w:r w:rsidRPr="002045F5">
              <w:rPr>
                <w:color w:val="000000"/>
                <w:sz w:val="22"/>
              </w:rPr>
              <w:t>каналізація</w:t>
            </w:r>
            <w:proofErr w:type="spellEnd"/>
            <w:r w:rsidRPr="002045F5">
              <w:rPr>
                <w:color w:val="000000"/>
                <w:sz w:val="22"/>
              </w:rPr>
              <w:t xml:space="preserve"> і труби </w:t>
            </w:r>
            <w:proofErr w:type="spellStart"/>
            <w:r w:rsidRPr="002045F5">
              <w:rPr>
                <w:color w:val="000000"/>
                <w:sz w:val="22"/>
              </w:rPr>
              <w:t>водовідведення</w:t>
            </w:r>
            <w:proofErr w:type="spellEnd"/>
            <w:r w:rsidRPr="002045F5">
              <w:rPr>
                <w:color w:val="000000"/>
                <w:sz w:val="22"/>
              </w:rPr>
              <w:t xml:space="preserve">  </w:t>
            </w:r>
            <w:proofErr w:type="spellStart"/>
            <w:r w:rsidRPr="002045F5">
              <w:rPr>
                <w:color w:val="000000"/>
                <w:sz w:val="22"/>
              </w:rPr>
              <w:t>протікають</w:t>
            </w:r>
            <w:proofErr w:type="spellEnd"/>
            <w:r w:rsidRPr="002045F5">
              <w:rPr>
                <w:color w:val="000000"/>
                <w:sz w:val="22"/>
              </w:rPr>
              <w:t xml:space="preserve">, </w:t>
            </w:r>
            <w:proofErr w:type="spellStart"/>
            <w:r w:rsidRPr="002045F5">
              <w:rPr>
                <w:color w:val="000000"/>
                <w:sz w:val="22"/>
              </w:rPr>
              <w:t>що</w:t>
            </w:r>
            <w:proofErr w:type="spellEnd"/>
            <w:r w:rsidRPr="002045F5">
              <w:rPr>
                <w:color w:val="000000"/>
                <w:sz w:val="22"/>
              </w:rPr>
              <w:t xml:space="preserve"> </w:t>
            </w:r>
            <w:proofErr w:type="spellStart"/>
            <w:r w:rsidRPr="002045F5">
              <w:rPr>
                <w:color w:val="000000"/>
                <w:sz w:val="22"/>
              </w:rPr>
              <w:t>спричиняє</w:t>
            </w:r>
            <w:proofErr w:type="spellEnd"/>
            <w:r w:rsidRPr="002045F5">
              <w:rPr>
                <w:color w:val="000000"/>
                <w:sz w:val="22"/>
              </w:rPr>
              <w:t xml:space="preserve"> </w:t>
            </w:r>
            <w:proofErr w:type="spellStart"/>
            <w:r w:rsidRPr="002045F5">
              <w:rPr>
                <w:color w:val="000000"/>
                <w:sz w:val="22"/>
              </w:rPr>
              <w:t>численні</w:t>
            </w:r>
            <w:proofErr w:type="spellEnd"/>
            <w:r w:rsidRPr="002045F5">
              <w:rPr>
                <w:color w:val="000000"/>
                <w:sz w:val="22"/>
              </w:rPr>
              <w:t xml:space="preserve"> </w:t>
            </w:r>
            <w:proofErr w:type="spellStart"/>
            <w:r w:rsidRPr="002045F5">
              <w:rPr>
                <w:color w:val="000000"/>
                <w:sz w:val="22"/>
              </w:rPr>
              <w:t>незручності</w:t>
            </w:r>
            <w:proofErr w:type="spellEnd"/>
            <w:r w:rsidRPr="002045F5">
              <w:rPr>
                <w:color w:val="000000"/>
                <w:sz w:val="22"/>
              </w:rPr>
              <w:t xml:space="preserve"> в </w:t>
            </w:r>
            <w:proofErr w:type="spellStart"/>
            <w:r w:rsidRPr="002045F5">
              <w:rPr>
                <w:color w:val="000000"/>
                <w:sz w:val="22"/>
              </w:rPr>
              <w:t>процесі</w:t>
            </w:r>
            <w:proofErr w:type="spellEnd"/>
            <w:r w:rsidRPr="002045F5">
              <w:rPr>
                <w:color w:val="000000"/>
                <w:sz w:val="22"/>
              </w:rPr>
              <w:t xml:space="preserve"> </w:t>
            </w:r>
            <w:proofErr w:type="spellStart"/>
            <w:r w:rsidRPr="002045F5">
              <w:rPr>
                <w:color w:val="000000"/>
                <w:sz w:val="22"/>
              </w:rPr>
              <w:t>роботи</w:t>
            </w:r>
            <w:proofErr w:type="spellEnd"/>
            <w:r w:rsidRPr="002045F5">
              <w:rPr>
                <w:color w:val="000000"/>
                <w:sz w:val="22"/>
              </w:rPr>
              <w:t xml:space="preserve"> на </w:t>
            </w:r>
            <w:proofErr w:type="spellStart"/>
            <w:r w:rsidRPr="002045F5">
              <w:rPr>
                <w:color w:val="000000"/>
                <w:sz w:val="22"/>
              </w:rPr>
              <w:t>кухні</w:t>
            </w:r>
            <w:proofErr w:type="spellEnd"/>
            <w:r w:rsidRPr="002045F5">
              <w:rPr>
                <w:color w:val="000000"/>
                <w:sz w:val="22"/>
              </w:rPr>
              <w:t xml:space="preserve">, а </w:t>
            </w:r>
            <w:proofErr w:type="spellStart"/>
            <w:r w:rsidRPr="002045F5">
              <w:rPr>
                <w:color w:val="000000"/>
                <w:sz w:val="22"/>
              </w:rPr>
              <w:t>також</w:t>
            </w:r>
            <w:proofErr w:type="spellEnd"/>
            <w:r w:rsidRPr="002045F5">
              <w:rPr>
                <w:color w:val="000000"/>
                <w:sz w:val="22"/>
              </w:rPr>
              <w:t xml:space="preserve"> є </w:t>
            </w:r>
            <w:proofErr w:type="spellStart"/>
            <w:r w:rsidRPr="002045F5">
              <w:rPr>
                <w:color w:val="000000"/>
                <w:sz w:val="22"/>
              </w:rPr>
              <w:t>неприпустимими</w:t>
            </w:r>
            <w:proofErr w:type="spellEnd"/>
            <w:r w:rsidRPr="002045F5">
              <w:rPr>
                <w:color w:val="000000"/>
                <w:sz w:val="22"/>
              </w:rPr>
              <w:t xml:space="preserve"> з боку </w:t>
            </w:r>
            <w:proofErr w:type="spellStart"/>
            <w:r w:rsidRPr="002045F5">
              <w:rPr>
                <w:color w:val="000000"/>
                <w:sz w:val="22"/>
              </w:rPr>
              <w:t>санітарних</w:t>
            </w:r>
            <w:proofErr w:type="spellEnd"/>
            <w:r w:rsidRPr="002045F5">
              <w:rPr>
                <w:color w:val="000000"/>
                <w:sz w:val="22"/>
              </w:rPr>
              <w:t xml:space="preserve"> норм. </w:t>
            </w:r>
            <w:proofErr w:type="spellStart"/>
            <w:r w:rsidRPr="002045F5">
              <w:rPr>
                <w:color w:val="000000"/>
                <w:sz w:val="22"/>
              </w:rPr>
              <w:t>Окремо</w:t>
            </w:r>
            <w:proofErr w:type="spellEnd"/>
            <w:r w:rsidRPr="002045F5">
              <w:rPr>
                <w:color w:val="000000"/>
                <w:sz w:val="22"/>
              </w:rPr>
              <w:t xml:space="preserve"> </w:t>
            </w:r>
            <w:proofErr w:type="spellStart"/>
            <w:r w:rsidRPr="002045F5">
              <w:rPr>
                <w:color w:val="000000"/>
                <w:sz w:val="22"/>
              </w:rPr>
              <w:t>необхідно</w:t>
            </w:r>
            <w:proofErr w:type="spellEnd"/>
            <w:r w:rsidRPr="002045F5">
              <w:rPr>
                <w:color w:val="000000"/>
                <w:sz w:val="22"/>
              </w:rPr>
              <w:t xml:space="preserve"> </w:t>
            </w:r>
            <w:proofErr w:type="spellStart"/>
            <w:r w:rsidRPr="002045F5">
              <w:rPr>
                <w:color w:val="000000"/>
                <w:sz w:val="22"/>
              </w:rPr>
              <w:t>відзначити</w:t>
            </w:r>
            <w:proofErr w:type="spellEnd"/>
            <w:r w:rsidRPr="002045F5">
              <w:rPr>
                <w:color w:val="000000"/>
                <w:sz w:val="22"/>
              </w:rPr>
              <w:t xml:space="preserve"> </w:t>
            </w:r>
            <w:proofErr w:type="spellStart"/>
            <w:r w:rsidRPr="002045F5">
              <w:rPr>
                <w:color w:val="000000"/>
                <w:sz w:val="22"/>
              </w:rPr>
              <w:t>витяжну</w:t>
            </w:r>
            <w:proofErr w:type="spellEnd"/>
            <w:r w:rsidRPr="002045F5">
              <w:rPr>
                <w:color w:val="000000"/>
                <w:sz w:val="22"/>
              </w:rPr>
              <w:t xml:space="preserve"> систему, вона </w:t>
            </w:r>
            <w:proofErr w:type="spellStart"/>
            <w:r w:rsidRPr="002045F5">
              <w:rPr>
                <w:color w:val="000000"/>
                <w:sz w:val="22"/>
              </w:rPr>
              <w:t>відсутня</w:t>
            </w:r>
            <w:proofErr w:type="spellEnd"/>
            <w:r w:rsidRPr="002045F5">
              <w:rPr>
                <w:color w:val="000000"/>
                <w:sz w:val="22"/>
              </w:rPr>
              <w:t xml:space="preserve">. А </w:t>
            </w:r>
            <w:proofErr w:type="spellStart"/>
            <w:r w:rsidRPr="002045F5">
              <w:rPr>
                <w:color w:val="000000"/>
                <w:sz w:val="22"/>
              </w:rPr>
              <w:t>саме</w:t>
            </w:r>
            <w:proofErr w:type="spellEnd"/>
            <w:r w:rsidRPr="002045F5">
              <w:rPr>
                <w:color w:val="000000"/>
                <w:sz w:val="22"/>
              </w:rPr>
              <w:t xml:space="preserve"> – на </w:t>
            </w:r>
            <w:proofErr w:type="spellStart"/>
            <w:r w:rsidRPr="002045F5">
              <w:rPr>
                <w:color w:val="000000"/>
                <w:sz w:val="22"/>
              </w:rPr>
              <w:t>харчоблоці</w:t>
            </w:r>
            <w:proofErr w:type="spellEnd"/>
            <w:r w:rsidRPr="002045F5">
              <w:rPr>
                <w:color w:val="000000"/>
                <w:sz w:val="22"/>
              </w:rPr>
              <w:t xml:space="preserve"> </w:t>
            </w:r>
            <w:proofErr w:type="spellStart"/>
            <w:r w:rsidRPr="002045F5">
              <w:rPr>
                <w:color w:val="000000"/>
                <w:sz w:val="22"/>
              </w:rPr>
              <w:t>постійна</w:t>
            </w:r>
            <w:proofErr w:type="spellEnd"/>
            <w:r w:rsidRPr="002045F5">
              <w:rPr>
                <w:color w:val="000000"/>
                <w:sz w:val="22"/>
              </w:rPr>
              <w:t xml:space="preserve"> </w:t>
            </w:r>
            <w:proofErr w:type="spellStart"/>
            <w:r w:rsidRPr="002045F5">
              <w:rPr>
                <w:color w:val="000000"/>
                <w:sz w:val="22"/>
              </w:rPr>
              <w:t>задуха</w:t>
            </w:r>
            <w:proofErr w:type="spellEnd"/>
            <w:r w:rsidRPr="002045F5">
              <w:rPr>
                <w:color w:val="000000"/>
                <w:sz w:val="22"/>
              </w:rPr>
              <w:t xml:space="preserve">, </w:t>
            </w:r>
            <w:proofErr w:type="spellStart"/>
            <w:r w:rsidRPr="002045F5">
              <w:rPr>
                <w:color w:val="000000"/>
                <w:sz w:val="22"/>
              </w:rPr>
              <w:t>повітря</w:t>
            </w:r>
            <w:proofErr w:type="spellEnd"/>
            <w:r w:rsidRPr="002045F5">
              <w:rPr>
                <w:color w:val="000000"/>
                <w:sz w:val="22"/>
              </w:rPr>
              <w:t xml:space="preserve"> </w:t>
            </w:r>
            <w:proofErr w:type="spellStart"/>
            <w:r w:rsidRPr="002045F5">
              <w:rPr>
                <w:color w:val="000000"/>
                <w:sz w:val="22"/>
              </w:rPr>
              <w:t>перенасичене</w:t>
            </w:r>
            <w:proofErr w:type="spellEnd"/>
            <w:r w:rsidRPr="002045F5">
              <w:rPr>
                <w:color w:val="000000"/>
                <w:sz w:val="22"/>
              </w:rPr>
              <w:t xml:space="preserve"> </w:t>
            </w:r>
            <w:proofErr w:type="spellStart"/>
            <w:r w:rsidRPr="002045F5">
              <w:rPr>
                <w:color w:val="000000"/>
                <w:sz w:val="22"/>
              </w:rPr>
              <w:t>випарами</w:t>
            </w:r>
            <w:proofErr w:type="spellEnd"/>
            <w:r w:rsidRPr="002045F5">
              <w:rPr>
                <w:color w:val="000000"/>
                <w:sz w:val="22"/>
              </w:rPr>
              <w:t xml:space="preserve">, </w:t>
            </w:r>
            <w:proofErr w:type="spellStart"/>
            <w:r w:rsidRPr="002045F5">
              <w:rPr>
                <w:color w:val="000000"/>
                <w:sz w:val="22"/>
              </w:rPr>
              <w:t>утвореними</w:t>
            </w:r>
            <w:proofErr w:type="spellEnd"/>
            <w:r w:rsidRPr="002045F5">
              <w:rPr>
                <w:color w:val="000000"/>
                <w:sz w:val="22"/>
              </w:rPr>
              <w:t xml:space="preserve"> в </w:t>
            </w:r>
            <w:proofErr w:type="spellStart"/>
            <w:r w:rsidRPr="002045F5">
              <w:rPr>
                <w:color w:val="000000"/>
                <w:sz w:val="22"/>
              </w:rPr>
              <w:t>процесі</w:t>
            </w:r>
            <w:proofErr w:type="spellEnd"/>
            <w:r w:rsidRPr="002045F5">
              <w:rPr>
                <w:color w:val="000000"/>
                <w:sz w:val="22"/>
              </w:rPr>
              <w:t xml:space="preserve"> </w:t>
            </w:r>
            <w:proofErr w:type="spellStart"/>
            <w:r w:rsidRPr="002045F5">
              <w:rPr>
                <w:color w:val="000000"/>
                <w:sz w:val="22"/>
              </w:rPr>
              <w:t>готування</w:t>
            </w:r>
            <w:proofErr w:type="spellEnd"/>
            <w:r w:rsidRPr="002045F5">
              <w:rPr>
                <w:color w:val="000000"/>
                <w:sz w:val="22"/>
              </w:rPr>
              <w:t xml:space="preserve"> </w:t>
            </w:r>
            <w:proofErr w:type="spellStart"/>
            <w:r w:rsidRPr="002045F5">
              <w:rPr>
                <w:color w:val="000000"/>
                <w:sz w:val="22"/>
              </w:rPr>
              <w:t>страв</w:t>
            </w:r>
            <w:proofErr w:type="spellEnd"/>
            <w:r w:rsidRPr="002045F5">
              <w:rPr>
                <w:color w:val="000000"/>
                <w:sz w:val="22"/>
              </w:rPr>
              <w:t xml:space="preserve">. З </w:t>
            </w:r>
            <w:proofErr w:type="spellStart"/>
            <w:r w:rsidRPr="002045F5">
              <w:rPr>
                <w:color w:val="000000"/>
                <w:sz w:val="22"/>
              </w:rPr>
              <w:t>огляду</w:t>
            </w:r>
            <w:proofErr w:type="spellEnd"/>
            <w:r w:rsidRPr="002045F5">
              <w:rPr>
                <w:color w:val="000000"/>
                <w:sz w:val="22"/>
              </w:rPr>
              <w:t xml:space="preserve"> на </w:t>
            </w:r>
            <w:proofErr w:type="spellStart"/>
            <w:r w:rsidRPr="002045F5">
              <w:rPr>
                <w:color w:val="000000"/>
                <w:sz w:val="22"/>
              </w:rPr>
              <w:t>це</w:t>
            </w:r>
            <w:proofErr w:type="spellEnd"/>
            <w:r w:rsidRPr="002045F5">
              <w:rPr>
                <w:color w:val="000000"/>
                <w:sz w:val="22"/>
              </w:rPr>
              <w:t xml:space="preserve"> </w:t>
            </w:r>
            <w:proofErr w:type="spellStart"/>
            <w:r w:rsidRPr="002045F5">
              <w:rPr>
                <w:color w:val="000000"/>
                <w:sz w:val="22"/>
              </w:rPr>
              <w:t>працівники</w:t>
            </w:r>
            <w:proofErr w:type="spellEnd"/>
            <w:r w:rsidRPr="002045F5">
              <w:rPr>
                <w:color w:val="000000"/>
                <w:sz w:val="22"/>
              </w:rPr>
              <w:t xml:space="preserve"> </w:t>
            </w:r>
            <w:proofErr w:type="spellStart"/>
            <w:r w:rsidRPr="002045F5">
              <w:rPr>
                <w:color w:val="000000"/>
                <w:sz w:val="22"/>
              </w:rPr>
              <w:t>змушені</w:t>
            </w:r>
            <w:proofErr w:type="spellEnd"/>
            <w:r w:rsidRPr="002045F5">
              <w:rPr>
                <w:color w:val="000000"/>
                <w:sz w:val="22"/>
              </w:rPr>
              <w:t xml:space="preserve"> </w:t>
            </w:r>
            <w:proofErr w:type="spellStart"/>
            <w:r w:rsidRPr="002045F5">
              <w:rPr>
                <w:color w:val="000000"/>
                <w:sz w:val="22"/>
              </w:rPr>
              <w:t>відкривати</w:t>
            </w:r>
            <w:proofErr w:type="spellEnd"/>
            <w:r w:rsidRPr="002045F5">
              <w:rPr>
                <w:color w:val="000000"/>
                <w:sz w:val="22"/>
              </w:rPr>
              <w:t xml:space="preserve"> </w:t>
            </w:r>
            <w:proofErr w:type="spellStart"/>
            <w:r w:rsidRPr="002045F5">
              <w:rPr>
                <w:color w:val="000000"/>
                <w:sz w:val="22"/>
              </w:rPr>
              <w:t>вікна</w:t>
            </w:r>
            <w:proofErr w:type="spellEnd"/>
            <w:r w:rsidRPr="002045F5">
              <w:rPr>
                <w:color w:val="000000"/>
                <w:sz w:val="22"/>
              </w:rPr>
              <w:t xml:space="preserve">, </w:t>
            </w:r>
            <w:proofErr w:type="spellStart"/>
            <w:r w:rsidRPr="002045F5">
              <w:rPr>
                <w:color w:val="000000"/>
                <w:sz w:val="22"/>
              </w:rPr>
              <w:t>двері</w:t>
            </w:r>
            <w:proofErr w:type="spellEnd"/>
            <w:r w:rsidRPr="002045F5">
              <w:rPr>
                <w:color w:val="000000"/>
                <w:sz w:val="22"/>
              </w:rPr>
              <w:t xml:space="preserve">, </w:t>
            </w:r>
            <w:proofErr w:type="spellStart"/>
            <w:r w:rsidRPr="002045F5">
              <w:rPr>
                <w:color w:val="000000"/>
                <w:sz w:val="22"/>
              </w:rPr>
              <w:t>щоб</w:t>
            </w:r>
            <w:proofErr w:type="spellEnd"/>
            <w:r w:rsidRPr="002045F5">
              <w:rPr>
                <w:color w:val="000000"/>
                <w:sz w:val="22"/>
              </w:rPr>
              <w:t xml:space="preserve"> </w:t>
            </w:r>
            <w:proofErr w:type="spellStart"/>
            <w:r w:rsidRPr="002045F5">
              <w:rPr>
                <w:color w:val="000000"/>
                <w:sz w:val="22"/>
              </w:rPr>
              <w:t>провітрити</w:t>
            </w:r>
            <w:proofErr w:type="spellEnd"/>
            <w:r w:rsidRPr="002045F5">
              <w:rPr>
                <w:color w:val="000000"/>
                <w:sz w:val="22"/>
              </w:rPr>
              <w:t xml:space="preserve"> </w:t>
            </w:r>
            <w:proofErr w:type="spellStart"/>
            <w:proofErr w:type="gramStart"/>
            <w:r w:rsidRPr="002045F5">
              <w:rPr>
                <w:color w:val="000000"/>
                <w:sz w:val="22"/>
              </w:rPr>
              <w:t>приміщення</w:t>
            </w:r>
            <w:proofErr w:type="spellEnd"/>
            <w:r w:rsidRPr="002045F5">
              <w:rPr>
                <w:color w:val="000000"/>
                <w:sz w:val="22"/>
              </w:rPr>
              <w:t>..</w:t>
            </w:r>
            <w:proofErr w:type="gramEnd"/>
          </w:p>
          <w:p w:rsidR="001013F3" w:rsidRPr="002045F5" w:rsidRDefault="001013F3" w:rsidP="00FF7149">
            <w:pPr>
              <w:pStyle w:val="13"/>
              <w:jc w:val="both"/>
              <w:rPr>
                <w:sz w:val="22"/>
                <w:lang w:val="uk-UA"/>
              </w:rPr>
            </w:pPr>
            <w:r w:rsidRPr="002045F5">
              <w:rPr>
                <w:sz w:val="22"/>
                <w:lang w:val="uk-UA"/>
              </w:rPr>
              <w:t xml:space="preserve">    Реалізація </w:t>
            </w:r>
            <w:proofErr w:type="spellStart"/>
            <w:r w:rsidRPr="002045F5">
              <w:rPr>
                <w:sz w:val="22"/>
                <w:lang w:val="uk-UA"/>
              </w:rPr>
              <w:t>про</w:t>
            </w:r>
            <w:r w:rsidR="00FF7149" w:rsidRPr="002045F5">
              <w:rPr>
                <w:sz w:val="22"/>
                <w:lang w:val="uk-UA"/>
              </w:rPr>
              <w:t>є</w:t>
            </w:r>
            <w:r w:rsidRPr="002045F5">
              <w:rPr>
                <w:sz w:val="22"/>
                <w:lang w:val="uk-UA"/>
              </w:rPr>
              <w:t>кту</w:t>
            </w:r>
            <w:proofErr w:type="spellEnd"/>
            <w:r w:rsidRPr="002045F5">
              <w:rPr>
                <w:sz w:val="22"/>
                <w:lang w:val="uk-UA"/>
              </w:rPr>
              <w:t xml:space="preserve"> значно посилить спроможність громади для подальшого розвитку та  підніме авторитет громади, рівень довіри громади та забезпечить  якісним  рівнем  життя  мешканців Сєвєродонецької міської територіальної громади .</w:t>
            </w:r>
          </w:p>
        </w:tc>
      </w:tr>
      <w:tr w:rsidR="001013F3" w:rsidRPr="002045F5" w:rsidTr="00822744">
        <w:tc>
          <w:tcPr>
            <w:tcW w:w="2978" w:type="dxa"/>
            <w:shd w:val="clear" w:color="auto" w:fill="C6D9F1" w:themeFill="text2" w:themeFillTint="33"/>
          </w:tcPr>
          <w:p w:rsidR="001013F3" w:rsidRPr="002045F5" w:rsidRDefault="001013F3" w:rsidP="001013F3">
            <w:pPr>
              <w:pStyle w:val="a7"/>
              <w:ind w:left="0"/>
              <w:rPr>
                <w:b/>
                <w:sz w:val="22"/>
              </w:rPr>
            </w:pPr>
            <w:proofErr w:type="spellStart"/>
            <w:r w:rsidRPr="002045F5">
              <w:rPr>
                <w:b/>
                <w:sz w:val="22"/>
              </w:rPr>
              <w:lastRenderedPageBreak/>
              <w:t>Очікувані</w:t>
            </w:r>
            <w:proofErr w:type="spellEnd"/>
            <w:r w:rsidRPr="002045F5">
              <w:rPr>
                <w:b/>
                <w:sz w:val="22"/>
              </w:rPr>
              <w:t xml:space="preserve"> </w:t>
            </w:r>
            <w:proofErr w:type="spellStart"/>
            <w:r w:rsidRPr="002045F5">
              <w:rPr>
                <w:b/>
                <w:sz w:val="22"/>
              </w:rPr>
              <w:t>якісні</w:t>
            </w:r>
            <w:proofErr w:type="spellEnd"/>
            <w:r w:rsidRPr="002045F5">
              <w:rPr>
                <w:b/>
                <w:sz w:val="22"/>
              </w:rPr>
              <w:t xml:space="preserve"> </w:t>
            </w:r>
            <w:proofErr w:type="spellStart"/>
            <w:r w:rsidRPr="002045F5">
              <w:rPr>
                <w:b/>
                <w:sz w:val="22"/>
              </w:rPr>
              <w:t>результати</w:t>
            </w:r>
            <w:proofErr w:type="spellEnd"/>
            <w:r w:rsidRPr="002045F5">
              <w:rPr>
                <w:b/>
                <w:sz w:val="22"/>
              </w:rPr>
              <w:t xml:space="preserve"> </w:t>
            </w:r>
            <w:proofErr w:type="spellStart"/>
            <w:r w:rsidRPr="002045F5">
              <w:rPr>
                <w:b/>
                <w:sz w:val="22"/>
              </w:rPr>
              <w:t>від</w:t>
            </w:r>
            <w:proofErr w:type="spellEnd"/>
            <w:r w:rsidRPr="002045F5">
              <w:rPr>
                <w:b/>
                <w:sz w:val="22"/>
              </w:rPr>
              <w:t xml:space="preserve"> </w:t>
            </w:r>
            <w:proofErr w:type="spellStart"/>
            <w:r w:rsidRPr="002045F5">
              <w:rPr>
                <w:b/>
                <w:sz w:val="22"/>
              </w:rPr>
              <w:t>реалізації</w:t>
            </w:r>
            <w:proofErr w:type="spellEnd"/>
            <w:r w:rsidRPr="002045F5">
              <w:rPr>
                <w:b/>
                <w:sz w:val="22"/>
              </w:rPr>
              <w:t xml:space="preserve"> проекту</w:t>
            </w:r>
          </w:p>
        </w:tc>
        <w:tc>
          <w:tcPr>
            <w:tcW w:w="6910" w:type="dxa"/>
            <w:gridSpan w:val="7"/>
          </w:tcPr>
          <w:p w:rsidR="001013F3" w:rsidRPr="002045F5" w:rsidRDefault="001013F3" w:rsidP="001013F3">
            <w:pPr>
              <w:rPr>
                <w:sz w:val="22"/>
              </w:rPr>
            </w:pPr>
            <w:r w:rsidRPr="002045F5">
              <w:rPr>
                <w:sz w:val="22"/>
              </w:rPr>
              <w:t xml:space="preserve">- </w:t>
            </w:r>
            <w:proofErr w:type="spellStart"/>
            <w:r w:rsidRPr="002045F5">
              <w:rPr>
                <w:sz w:val="22"/>
              </w:rPr>
              <w:t>забезпечення</w:t>
            </w:r>
            <w:proofErr w:type="spellEnd"/>
            <w:r w:rsidRPr="002045F5">
              <w:rPr>
                <w:sz w:val="22"/>
              </w:rPr>
              <w:t xml:space="preserve"> </w:t>
            </w:r>
            <w:proofErr w:type="spellStart"/>
            <w:r w:rsidRPr="002045F5">
              <w:rPr>
                <w:sz w:val="22"/>
              </w:rPr>
              <w:t>населення</w:t>
            </w:r>
            <w:proofErr w:type="spellEnd"/>
            <w:r w:rsidRPr="002045F5">
              <w:rPr>
                <w:sz w:val="22"/>
              </w:rPr>
              <w:t xml:space="preserve"> </w:t>
            </w:r>
            <w:proofErr w:type="spellStart"/>
            <w:r w:rsidRPr="002045F5">
              <w:rPr>
                <w:sz w:val="22"/>
              </w:rPr>
              <w:t>можливостями</w:t>
            </w:r>
            <w:proofErr w:type="spellEnd"/>
            <w:r w:rsidRPr="002045F5">
              <w:rPr>
                <w:sz w:val="22"/>
              </w:rPr>
              <w:t xml:space="preserve"> для </w:t>
            </w:r>
            <w:proofErr w:type="spellStart"/>
            <w:r w:rsidRPr="002045F5">
              <w:rPr>
                <w:sz w:val="22"/>
              </w:rPr>
              <w:t>реалізації</w:t>
            </w:r>
            <w:proofErr w:type="spellEnd"/>
            <w:r w:rsidRPr="002045F5">
              <w:rPr>
                <w:sz w:val="22"/>
              </w:rPr>
              <w:t xml:space="preserve"> </w:t>
            </w:r>
            <w:proofErr w:type="spellStart"/>
            <w:r w:rsidRPr="002045F5">
              <w:rPr>
                <w:sz w:val="22"/>
              </w:rPr>
              <w:t>його</w:t>
            </w:r>
            <w:proofErr w:type="spellEnd"/>
          </w:p>
          <w:p w:rsidR="001013F3" w:rsidRPr="002045F5" w:rsidRDefault="001013F3" w:rsidP="001013F3">
            <w:pPr>
              <w:rPr>
                <w:sz w:val="22"/>
              </w:rPr>
            </w:pPr>
            <w:proofErr w:type="spellStart"/>
            <w:r w:rsidRPr="002045F5">
              <w:rPr>
                <w:sz w:val="22"/>
              </w:rPr>
              <w:t>конституційних</w:t>
            </w:r>
            <w:proofErr w:type="spellEnd"/>
            <w:r w:rsidRPr="002045F5">
              <w:rPr>
                <w:sz w:val="22"/>
              </w:rPr>
              <w:t xml:space="preserve"> прав, </w:t>
            </w:r>
            <w:proofErr w:type="spellStart"/>
            <w:r w:rsidRPr="002045F5">
              <w:rPr>
                <w:sz w:val="22"/>
              </w:rPr>
              <w:t>пов’язаних</w:t>
            </w:r>
            <w:proofErr w:type="spellEnd"/>
            <w:r w:rsidRPr="002045F5">
              <w:rPr>
                <w:sz w:val="22"/>
              </w:rPr>
              <w:t xml:space="preserve"> </w:t>
            </w:r>
            <w:proofErr w:type="spellStart"/>
            <w:r w:rsidRPr="002045F5">
              <w:rPr>
                <w:sz w:val="22"/>
              </w:rPr>
              <w:t>із</w:t>
            </w:r>
            <w:proofErr w:type="spellEnd"/>
            <w:r w:rsidRPr="002045F5">
              <w:rPr>
                <w:sz w:val="22"/>
              </w:rPr>
              <w:t xml:space="preserve"> </w:t>
            </w:r>
            <w:proofErr w:type="spellStart"/>
            <w:r w:rsidRPr="002045F5">
              <w:rPr>
                <w:sz w:val="22"/>
              </w:rPr>
              <w:t>освітніми</w:t>
            </w:r>
            <w:proofErr w:type="spellEnd"/>
            <w:r w:rsidRPr="002045F5">
              <w:rPr>
                <w:sz w:val="22"/>
              </w:rPr>
              <w:t xml:space="preserve"> </w:t>
            </w:r>
            <w:proofErr w:type="spellStart"/>
            <w:r w:rsidRPr="002045F5">
              <w:rPr>
                <w:sz w:val="22"/>
              </w:rPr>
              <w:t>послугами</w:t>
            </w:r>
            <w:proofErr w:type="spellEnd"/>
            <w:r w:rsidRPr="002045F5">
              <w:rPr>
                <w:sz w:val="22"/>
              </w:rPr>
              <w:t>;</w:t>
            </w:r>
          </w:p>
          <w:p w:rsidR="001013F3" w:rsidRPr="002045F5" w:rsidRDefault="001013F3" w:rsidP="001013F3">
            <w:pPr>
              <w:rPr>
                <w:sz w:val="22"/>
              </w:rPr>
            </w:pPr>
            <w:r w:rsidRPr="002045F5">
              <w:rPr>
                <w:sz w:val="22"/>
              </w:rPr>
              <w:t xml:space="preserve">- </w:t>
            </w:r>
            <w:proofErr w:type="spellStart"/>
            <w:r w:rsidRPr="002045F5">
              <w:rPr>
                <w:sz w:val="22"/>
              </w:rPr>
              <w:t>надання</w:t>
            </w:r>
            <w:proofErr w:type="spellEnd"/>
            <w:r w:rsidRPr="002045F5">
              <w:rPr>
                <w:sz w:val="22"/>
              </w:rPr>
              <w:t xml:space="preserve"> широкого спектру </w:t>
            </w:r>
            <w:proofErr w:type="spellStart"/>
            <w:r w:rsidRPr="002045F5">
              <w:rPr>
                <w:sz w:val="22"/>
              </w:rPr>
              <w:t>послуг</w:t>
            </w:r>
            <w:proofErr w:type="spellEnd"/>
            <w:r w:rsidRPr="002045F5">
              <w:rPr>
                <w:sz w:val="22"/>
              </w:rPr>
              <w:t xml:space="preserve">, </w:t>
            </w:r>
            <w:proofErr w:type="spellStart"/>
            <w:r w:rsidRPr="002045F5">
              <w:rPr>
                <w:sz w:val="22"/>
              </w:rPr>
              <w:t>пов’язаних</w:t>
            </w:r>
            <w:proofErr w:type="spellEnd"/>
            <w:r w:rsidRPr="002045F5">
              <w:rPr>
                <w:sz w:val="22"/>
              </w:rPr>
              <w:t xml:space="preserve"> </w:t>
            </w:r>
            <w:proofErr w:type="spellStart"/>
            <w:r w:rsidRPr="002045F5">
              <w:rPr>
                <w:sz w:val="22"/>
              </w:rPr>
              <w:t>із</w:t>
            </w:r>
            <w:proofErr w:type="spellEnd"/>
            <w:r w:rsidRPr="002045F5">
              <w:rPr>
                <w:sz w:val="22"/>
              </w:rPr>
              <w:t xml:space="preserve"> </w:t>
            </w:r>
            <w:proofErr w:type="spellStart"/>
            <w:proofErr w:type="gramStart"/>
            <w:r w:rsidRPr="002045F5">
              <w:rPr>
                <w:sz w:val="22"/>
              </w:rPr>
              <w:t>освітніми</w:t>
            </w:r>
            <w:proofErr w:type="spellEnd"/>
            <w:r w:rsidRPr="002045F5">
              <w:rPr>
                <w:sz w:val="22"/>
              </w:rPr>
              <w:t xml:space="preserve">  </w:t>
            </w:r>
            <w:proofErr w:type="spellStart"/>
            <w:r w:rsidRPr="002045F5">
              <w:rPr>
                <w:sz w:val="22"/>
              </w:rPr>
              <w:t>послугами</w:t>
            </w:r>
            <w:proofErr w:type="spellEnd"/>
            <w:proofErr w:type="gramEnd"/>
            <w:r w:rsidRPr="002045F5">
              <w:rPr>
                <w:sz w:val="22"/>
              </w:rPr>
              <w:t>;</w:t>
            </w:r>
          </w:p>
          <w:p w:rsidR="001013F3" w:rsidRPr="002045F5" w:rsidRDefault="001013F3" w:rsidP="001013F3">
            <w:pPr>
              <w:rPr>
                <w:sz w:val="22"/>
              </w:rPr>
            </w:pPr>
            <w:r w:rsidRPr="002045F5">
              <w:rPr>
                <w:sz w:val="22"/>
              </w:rPr>
              <w:t xml:space="preserve">- </w:t>
            </w:r>
            <w:proofErr w:type="spellStart"/>
            <w:r w:rsidRPr="002045F5">
              <w:rPr>
                <w:sz w:val="22"/>
              </w:rPr>
              <w:t>вирішення</w:t>
            </w:r>
            <w:proofErr w:type="spellEnd"/>
            <w:r w:rsidRPr="002045F5">
              <w:rPr>
                <w:sz w:val="22"/>
              </w:rPr>
              <w:t xml:space="preserve"> ряду </w:t>
            </w:r>
            <w:proofErr w:type="spellStart"/>
            <w:r w:rsidRPr="002045F5">
              <w:rPr>
                <w:sz w:val="22"/>
              </w:rPr>
              <w:t>питань</w:t>
            </w:r>
            <w:proofErr w:type="spellEnd"/>
            <w:r w:rsidRPr="002045F5">
              <w:rPr>
                <w:sz w:val="22"/>
              </w:rPr>
              <w:t xml:space="preserve"> в межах </w:t>
            </w:r>
            <w:proofErr w:type="spellStart"/>
            <w:r w:rsidRPr="002045F5">
              <w:rPr>
                <w:sz w:val="22"/>
              </w:rPr>
              <w:t>статутної</w:t>
            </w:r>
            <w:proofErr w:type="spellEnd"/>
            <w:r w:rsidRPr="002045F5">
              <w:rPr>
                <w:sz w:val="22"/>
              </w:rPr>
              <w:t xml:space="preserve"> </w:t>
            </w:r>
            <w:proofErr w:type="spellStart"/>
            <w:r w:rsidRPr="002045F5">
              <w:rPr>
                <w:sz w:val="22"/>
              </w:rPr>
              <w:t>діяльності</w:t>
            </w:r>
            <w:proofErr w:type="spellEnd"/>
            <w:r w:rsidRPr="002045F5">
              <w:rPr>
                <w:sz w:val="22"/>
              </w:rPr>
              <w:t>,</w:t>
            </w:r>
          </w:p>
          <w:p w:rsidR="001013F3" w:rsidRPr="002045F5" w:rsidRDefault="001013F3" w:rsidP="001013F3">
            <w:pPr>
              <w:rPr>
                <w:sz w:val="22"/>
              </w:rPr>
            </w:pPr>
            <w:proofErr w:type="spellStart"/>
            <w:r w:rsidRPr="002045F5">
              <w:rPr>
                <w:sz w:val="22"/>
              </w:rPr>
              <w:t>пов’язаних</w:t>
            </w:r>
            <w:proofErr w:type="spellEnd"/>
            <w:r w:rsidRPr="002045F5">
              <w:rPr>
                <w:sz w:val="22"/>
              </w:rPr>
              <w:t xml:space="preserve"> </w:t>
            </w:r>
            <w:proofErr w:type="spellStart"/>
            <w:r w:rsidRPr="002045F5">
              <w:rPr>
                <w:sz w:val="22"/>
              </w:rPr>
              <w:t>із</w:t>
            </w:r>
            <w:proofErr w:type="spellEnd"/>
            <w:r w:rsidRPr="002045F5">
              <w:rPr>
                <w:sz w:val="22"/>
              </w:rPr>
              <w:t xml:space="preserve"> </w:t>
            </w:r>
            <w:proofErr w:type="spellStart"/>
            <w:r w:rsidRPr="002045F5">
              <w:rPr>
                <w:sz w:val="22"/>
              </w:rPr>
              <w:t>відбудовою</w:t>
            </w:r>
            <w:proofErr w:type="spellEnd"/>
            <w:r w:rsidRPr="002045F5">
              <w:rPr>
                <w:sz w:val="22"/>
              </w:rPr>
              <w:t xml:space="preserve"> та </w:t>
            </w:r>
            <w:proofErr w:type="spellStart"/>
            <w:r w:rsidRPr="002045F5">
              <w:rPr>
                <w:sz w:val="22"/>
              </w:rPr>
              <w:t>сталим</w:t>
            </w:r>
            <w:proofErr w:type="spellEnd"/>
            <w:r w:rsidRPr="002045F5">
              <w:rPr>
                <w:sz w:val="22"/>
              </w:rPr>
              <w:t xml:space="preserve"> </w:t>
            </w:r>
            <w:proofErr w:type="spellStart"/>
            <w:r w:rsidRPr="002045F5">
              <w:rPr>
                <w:sz w:val="22"/>
              </w:rPr>
              <w:t>розвитком</w:t>
            </w:r>
            <w:proofErr w:type="spellEnd"/>
            <w:r w:rsidRPr="002045F5">
              <w:rPr>
                <w:sz w:val="22"/>
              </w:rPr>
              <w:t xml:space="preserve"> </w:t>
            </w:r>
            <w:proofErr w:type="spellStart"/>
            <w:r w:rsidRPr="002045F5">
              <w:rPr>
                <w:sz w:val="22"/>
              </w:rPr>
              <w:t>громади</w:t>
            </w:r>
            <w:proofErr w:type="spellEnd"/>
            <w:r w:rsidRPr="002045F5">
              <w:rPr>
                <w:sz w:val="22"/>
              </w:rPr>
              <w:t>;</w:t>
            </w:r>
          </w:p>
          <w:p w:rsidR="001013F3" w:rsidRPr="002045F5" w:rsidRDefault="001013F3" w:rsidP="001013F3">
            <w:pPr>
              <w:rPr>
                <w:sz w:val="22"/>
              </w:rPr>
            </w:pPr>
            <w:r w:rsidRPr="002045F5">
              <w:rPr>
                <w:sz w:val="22"/>
              </w:rPr>
              <w:t>-</w:t>
            </w:r>
            <w:proofErr w:type="spellStart"/>
            <w:r w:rsidRPr="002045F5">
              <w:rPr>
                <w:sz w:val="22"/>
              </w:rPr>
              <w:t>задовільнення</w:t>
            </w:r>
            <w:proofErr w:type="spellEnd"/>
            <w:r w:rsidRPr="002045F5">
              <w:rPr>
                <w:sz w:val="22"/>
              </w:rPr>
              <w:t xml:space="preserve"> </w:t>
            </w:r>
            <w:proofErr w:type="spellStart"/>
            <w:r w:rsidRPr="002045F5">
              <w:rPr>
                <w:sz w:val="22"/>
              </w:rPr>
              <w:t>освітніх</w:t>
            </w:r>
            <w:proofErr w:type="spellEnd"/>
            <w:r w:rsidRPr="002045F5">
              <w:rPr>
                <w:sz w:val="22"/>
              </w:rPr>
              <w:t xml:space="preserve"> потреб </w:t>
            </w:r>
            <w:proofErr w:type="spellStart"/>
            <w:r w:rsidRPr="002045F5">
              <w:rPr>
                <w:sz w:val="22"/>
              </w:rPr>
              <w:t>громади</w:t>
            </w:r>
            <w:proofErr w:type="spellEnd"/>
            <w:r w:rsidRPr="002045F5">
              <w:rPr>
                <w:sz w:val="22"/>
              </w:rPr>
              <w:t xml:space="preserve"> для </w:t>
            </w:r>
            <w:proofErr w:type="spellStart"/>
            <w:r w:rsidRPr="002045F5">
              <w:rPr>
                <w:sz w:val="22"/>
              </w:rPr>
              <w:t>сталого</w:t>
            </w:r>
            <w:proofErr w:type="spellEnd"/>
            <w:r w:rsidRPr="002045F5">
              <w:rPr>
                <w:sz w:val="22"/>
              </w:rPr>
              <w:t xml:space="preserve"> </w:t>
            </w:r>
            <w:proofErr w:type="spellStart"/>
            <w:r w:rsidRPr="002045F5">
              <w:rPr>
                <w:sz w:val="22"/>
              </w:rPr>
              <w:t>розвитку</w:t>
            </w:r>
            <w:proofErr w:type="spellEnd"/>
            <w:r w:rsidRPr="002045F5">
              <w:rPr>
                <w:sz w:val="22"/>
              </w:rPr>
              <w:t xml:space="preserve"> </w:t>
            </w:r>
            <w:proofErr w:type="spellStart"/>
            <w:r w:rsidRPr="002045F5">
              <w:rPr>
                <w:sz w:val="22"/>
              </w:rPr>
              <w:t>громади</w:t>
            </w:r>
            <w:proofErr w:type="spellEnd"/>
            <w:r w:rsidRPr="002045F5">
              <w:rPr>
                <w:sz w:val="22"/>
              </w:rPr>
              <w:t>;</w:t>
            </w:r>
          </w:p>
          <w:p w:rsidR="001013F3" w:rsidRPr="002045F5" w:rsidRDefault="001013F3" w:rsidP="001013F3">
            <w:pPr>
              <w:rPr>
                <w:sz w:val="22"/>
              </w:rPr>
            </w:pPr>
            <w:r w:rsidRPr="002045F5">
              <w:rPr>
                <w:sz w:val="22"/>
              </w:rPr>
              <w:t xml:space="preserve">- </w:t>
            </w:r>
            <w:proofErr w:type="spellStart"/>
            <w:r w:rsidRPr="002045F5">
              <w:rPr>
                <w:sz w:val="22"/>
              </w:rPr>
              <w:t>створення</w:t>
            </w:r>
            <w:proofErr w:type="spellEnd"/>
            <w:r w:rsidRPr="002045F5">
              <w:rPr>
                <w:sz w:val="22"/>
              </w:rPr>
              <w:t xml:space="preserve"> </w:t>
            </w:r>
            <w:proofErr w:type="spellStart"/>
            <w:r w:rsidRPr="002045F5">
              <w:rPr>
                <w:sz w:val="22"/>
              </w:rPr>
              <w:t>нових</w:t>
            </w:r>
            <w:proofErr w:type="spellEnd"/>
            <w:r w:rsidRPr="002045F5">
              <w:rPr>
                <w:sz w:val="22"/>
              </w:rPr>
              <w:t xml:space="preserve"> </w:t>
            </w:r>
            <w:proofErr w:type="spellStart"/>
            <w:r w:rsidRPr="002045F5">
              <w:rPr>
                <w:sz w:val="22"/>
              </w:rPr>
              <w:t>робочих</w:t>
            </w:r>
            <w:proofErr w:type="spellEnd"/>
            <w:r w:rsidRPr="002045F5">
              <w:rPr>
                <w:sz w:val="22"/>
              </w:rPr>
              <w:t xml:space="preserve"> </w:t>
            </w:r>
            <w:proofErr w:type="spellStart"/>
            <w:r w:rsidRPr="002045F5">
              <w:rPr>
                <w:sz w:val="22"/>
              </w:rPr>
              <w:t>місць</w:t>
            </w:r>
            <w:proofErr w:type="spellEnd"/>
            <w:r w:rsidRPr="002045F5">
              <w:rPr>
                <w:sz w:val="22"/>
              </w:rPr>
              <w:t>;</w:t>
            </w:r>
          </w:p>
          <w:p w:rsidR="001013F3" w:rsidRPr="002045F5" w:rsidRDefault="001013F3" w:rsidP="001013F3">
            <w:pPr>
              <w:rPr>
                <w:sz w:val="22"/>
              </w:rPr>
            </w:pPr>
            <w:r w:rsidRPr="002045F5">
              <w:rPr>
                <w:sz w:val="22"/>
              </w:rPr>
              <w:t xml:space="preserve">- стимул до </w:t>
            </w:r>
            <w:proofErr w:type="spellStart"/>
            <w:r w:rsidRPr="002045F5">
              <w:rPr>
                <w:sz w:val="22"/>
              </w:rPr>
              <w:t>повернення</w:t>
            </w:r>
            <w:proofErr w:type="spellEnd"/>
            <w:r w:rsidRPr="002045F5">
              <w:rPr>
                <w:sz w:val="22"/>
              </w:rPr>
              <w:t xml:space="preserve"> ВПО до </w:t>
            </w:r>
            <w:proofErr w:type="spellStart"/>
            <w:r w:rsidRPr="002045F5">
              <w:rPr>
                <w:sz w:val="22"/>
              </w:rPr>
              <w:t>громади</w:t>
            </w:r>
            <w:proofErr w:type="spellEnd"/>
            <w:r w:rsidRPr="002045F5">
              <w:rPr>
                <w:sz w:val="22"/>
              </w:rPr>
              <w:t>.</w:t>
            </w:r>
          </w:p>
        </w:tc>
      </w:tr>
      <w:tr w:rsidR="001013F3" w:rsidRPr="002045F5" w:rsidTr="00822744">
        <w:trPr>
          <w:trHeight w:val="390"/>
        </w:trPr>
        <w:tc>
          <w:tcPr>
            <w:tcW w:w="2978" w:type="dxa"/>
            <w:vMerge w:val="restart"/>
            <w:shd w:val="clear" w:color="auto" w:fill="C6D9F1" w:themeFill="text2" w:themeFillTint="33"/>
          </w:tcPr>
          <w:p w:rsidR="001013F3" w:rsidRPr="002045F5" w:rsidRDefault="001013F3" w:rsidP="001013F3">
            <w:pPr>
              <w:pStyle w:val="a7"/>
              <w:ind w:left="0"/>
              <w:rPr>
                <w:b/>
                <w:sz w:val="22"/>
                <w:lang w:val="uk-UA"/>
              </w:rPr>
            </w:pPr>
            <w:r w:rsidRPr="002045F5">
              <w:rPr>
                <w:b/>
                <w:sz w:val="22"/>
                <w:lang w:val="uk-UA"/>
              </w:rPr>
              <w:t xml:space="preserve">Очікувані кількісні результати реалізації </w:t>
            </w:r>
            <w:proofErr w:type="spellStart"/>
            <w:r w:rsidRPr="002045F5">
              <w:rPr>
                <w:b/>
                <w:sz w:val="22"/>
                <w:lang w:val="uk-UA"/>
              </w:rPr>
              <w:t>проєкту</w:t>
            </w:r>
            <w:proofErr w:type="spellEnd"/>
            <w:r w:rsidRPr="002045F5">
              <w:rPr>
                <w:b/>
                <w:sz w:val="22"/>
                <w:lang w:val="uk-UA"/>
              </w:rPr>
              <w:t xml:space="preserve"> (індикатори)</w:t>
            </w:r>
          </w:p>
          <w:p w:rsidR="001013F3" w:rsidRPr="002045F5" w:rsidRDefault="001013F3" w:rsidP="001013F3">
            <w:pPr>
              <w:pStyle w:val="a7"/>
              <w:ind w:left="0"/>
              <w:rPr>
                <w:b/>
                <w:sz w:val="22"/>
                <w:lang w:val="uk-UA"/>
              </w:rPr>
            </w:pPr>
          </w:p>
        </w:tc>
        <w:tc>
          <w:tcPr>
            <w:tcW w:w="3685" w:type="dxa"/>
            <w:gridSpan w:val="3"/>
            <w:tcBorders>
              <w:bottom w:val="single" w:sz="4" w:space="0" w:color="auto"/>
              <w:right w:val="single" w:sz="4" w:space="0" w:color="auto"/>
            </w:tcBorders>
          </w:tcPr>
          <w:p w:rsidR="001013F3" w:rsidRPr="002045F5" w:rsidRDefault="001013F3" w:rsidP="001013F3">
            <w:pPr>
              <w:pStyle w:val="a7"/>
              <w:ind w:left="-108"/>
              <w:jc w:val="center"/>
              <w:rPr>
                <w:b/>
                <w:sz w:val="22"/>
              </w:rPr>
            </w:pPr>
            <w:proofErr w:type="spellStart"/>
            <w:r w:rsidRPr="002045F5">
              <w:rPr>
                <w:b/>
                <w:sz w:val="22"/>
              </w:rPr>
              <w:t>Найменування</w:t>
            </w:r>
            <w:proofErr w:type="spellEnd"/>
            <w:r w:rsidRPr="002045F5">
              <w:rPr>
                <w:b/>
                <w:sz w:val="22"/>
              </w:rPr>
              <w:t xml:space="preserve"> </w:t>
            </w:r>
            <w:proofErr w:type="spellStart"/>
            <w:r w:rsidRPr="002045F5">
              <w:rPr>
                <w:b/>
                <w:sz w:val="22"/>
              </w:rPr>
              <w:t>показника</w:t>
            </w:r>
            <w:proofErr w:type="spellEnd"/>
          </w:p>
        </w:tc>
        <w:tc>
          <w:tcPr>
            <w:tcW w:w="1701" w:type="dxa"/>
            <w:gridSpan w:val="2"/>
            <w:tcBorders>
              <w:left w:val="single" w:sz="4" w:space="0" w:color="auto"/>
              <w:bottom w:val="single" w:sz="4" w:space="0" w:color="auto"/>
              <w:right w:val="single" w:sz="4" w:space="0" w:color="auto"/>
            </w:tcBorders>
          </w:tcPr>
          <w:p w:rsidR="001013F3" w:rsidRPr="002045F5" w:rsidRDefault="001013F3" w:rsidP="001013F3">
            <w:pPr>
              <w:pStyle w:val="a7"/>
              <w:ind w:left="0"/>
              <w:jc w:val="center"/>
              <w:rPr>
                <w:b/>
                <w:sz w:val="22"/>
              </w:rPr>
            </w:pPr>
            <w:proofErr w:type="spellStart"/>
            <w:r w:rsidRPr="002045F5">
              <w:rPr>
                <w:b/>
                <w:sz w:val="22"/>
              </w:rPr>
              <w:t>Одиниця</w:t>
            </w:r>
            <w:proofErr w:type="spellEnd"/>
            <w:r w:rsidRPr="002045F5">
              <w:rPr>
                <w:b/>
                <w:sz w:val="22"/>
              </w:rPr>
              <w:t xml:space="preserve"> </w:t>
            </w:r>
            <w:proofErr w:type="spellStart"/>
            <w:r w:rsidRPr="002045F5">
              <w:rPr>
                <w:b/>
                <w:sz w:val="22"/>
              </w:rPr>
              <w:t>вимірювання</w:t>
            </w:r>
            <w:proofErr w:type="spellEnd"/>
          </w:p>
          <w:p w:rsidR="001013F3" w:rsidRPr="002045F5" w:rsidRDefault="001013F3" w:rsidP="001013F3">
            <w:pPr>
              <w:pStyle w:val="a7"/>
              <w:ind w:left="0"/>
              <w:rPr>
                <w:b/>
                <w:sz w:val="22"/>
              </w:rPr>
            </w:pPr>
          </w:p>
        </w:tc>
        <w:tc>
          <w:tcPr>
            <w:tcW w:w="1524" w:type="dxa"/>
            <w:gridSpan w:val="2"/>
            <w:tcBorders>
              <w:left w:val="single" w:sz="4" w:space="0" w:color="auto"/>
              <w:bottom w:val="single" w:sz="4" w:space="0" w:color="auto"/>
            </w:tcBorders>
          </w:tcPr>
          <w:p w:rsidR="001013F3" w:rsidRPr="002045F5" w:rsidRDefault="001013F3" w:rsidP="001013F3">
            <w:pPr>
              <w:pStyle w:val="a7"/>
              <w:ind w:left="0"/>
              <w:jc w:val="center"/>
              <w:rPr>
                <w:b/>
                <w:sz w:val="22"/>
              </w:rPr>
            </w:pPr>
            <w:proofErr w:type="spellStart"/>
            <w:r w:rsidRPr="002045F5">
              <w:rPr>
                <w:b/>
                <w:sz w:val="22"/>
              </w:rPr>
              <w:t>Прогнозне</w:t>
            </w:r>
            <w:proofErr w:type="spellEnd"/>
            <w:r w:rsidRPr="002045F5">
              <w:rPr>
                <w:b/>
                <w:sz w:val="22"/>
              </w:rPr>
              <w:t xml:space="preserve"> (</w:t>
            </w:r>
            <w:proofErr w:type="spellStart"/>
            <w:r w:rsidRPr="002045F5">
              <w:rPr>
                <w:b/>
                <w:sz w:val="22"/>
              </w:rPr>
              <w:t>цільове</w:t>
            </w:r>
            <w:proofErr w:type="spellEnd"/>
            <w:r w:rsidRPr="002045F5">
              <w:rPr>
                <w:b/>
                <w:sz w:val="22"/>
              </w:rPr>
              <w:t xml:space="preserve">) </w:t>
            </w:r>
            <w:proofErr w:type="spellStart"/>
            <w:r w:rsidRPr="002045F5">
              <w:rPr>
                <w:b/>
                <w:sz w:val="22"/>
              </w:rPr>
              <w:t>значення</w:t>
            </w:r>
            <w:proofErr w:type="spellEnd"/>
          </w:p>
        </w:tc>
      </w:tr>
      <w:tr w:rsidR="001013F3" w:rsidRPr="002045F5" w:rsidTr="00822744">
        <w:trPr>
          <w:trHeight w:val="585"/>
        </w:trPr>
        <w:tc>
          <w:tcPr>
            <w:tcW w:w="2978" w:type="dxa"/>
            <w:vMerge/>
            <w:shd w:val="clear" w:color="auto" w:fill="C6D9F1" w:themeFill="text2" w:themeFillTint="33"/>
          </w:tcPr>
          <w:p w:rsidR="001013F3" w:rsidRPr="002045F5" w:rsidRDefault="001013F3" w:rsidP="001013F3">
            <w:pPr>
              <w:pStyle w:val="a7"/>
              <w:ind w:left="0"/>
              <w:rPr>
                <w:b/>
                <w:sz w:val="22"/>
              </w:rPr>
            </w:pPr>
          </w:p>
        </w:tc>
        <w:tc>
          <w:tcPr>
            <w:tcW w:w="3685" w:type="dxa"/>
            <w:gridSpan w:val="3"/>
            <w:tcBorders>
              <w:top w:val="single" w:sz="4" w:space="0" w:color="auto"/>
              <w:bottom w:val="single" w:sz="4" w:space="0" w:color="auto"/>
              <w:right w:val="single" w:sz="4" w:space="0" w:color="auto"/>
            </w:tcBorders>
          </w:tcPr>
          <w:p w:rsidR="001013F3" w:rsidRPr="002045F5" w:rsidRDefault="001013F3" w:rsidP="001013F3">
            <w:pPr>
              <w:pStyle w:val="a7"/>
              <w:ind w:left="0"/>
              <w:rPr>
                <w:sz w:val="22"/>
              </w:rPr>
            </w:pPr>
            <w:proofErr w:type="spellStart"/>
            <w:r w:rsidRPr="002045F5">
              <w:rPr>
                <w:sz w:val="22"/>
              </w:rPr>
              <w:t>Економія</w:t>
            </w:r>
            <w:proofErr w:type="spellEnd"/>
            <w:r w:rsidRPr="002045F5">
              <w:rPr>
                <w:sz w:val="22"/>
              </w:rPr>
              <w:t xml:space="preserve"> </w:t>
            </w:r>
            <w:proofErr w:type="spellStart"/>
            <w:r w:rsidRPr="002045F5">
              <w:rPr>
                <w:sz w:val="22"/>
              </w:rPr>
              <w:t>коштів</w:t>
            </w:r>
            <w:proofErr w:type="spellEnd"/>
            <w:r w:rsidRPr="002045F5">
              <w:rPr>
                <w:sz w:val="22"/>
              </w:rPr>
              <w:t xml:space="preserve"> </w:t>
            </w:r>
            <w:proofErr w:type="spellStart"/>
            <w:r w:rsidRPr="002045F5">
              <w:rPr>
                <w:sz w:val="22"/>
              </w:rPr>
              <w:t>міського</w:t>
            </w:r>
            <w:proofErr w:type="spellEnd"/>
            <w:r w:rsidRPr="002045F5">
              <w:rPr>
                <w:sz w:val="22"/>
              </w:rPr>
              <w:t xml:space="preserve"> бюджету за </w:t>
            </w:r>
            <w:proofErr w:type="spellStart"/>
            <w:r w:rsidRPr="002045F5">
              <w:rPr>
                <w:sz w:val="22"/>
              </w:rPr>
              <w:t>рахунок</w:t>
            </w:r>
            <w:proofErr w:type="spellEnd"/>
            <w:r w:rsidRPr="002045F5">
              <w:rPr>
                <w:sz w:val="22"/>
              </w:rPr>
              <w:t xml:space="preserve"> </w:t>
            </w:r>
            <w:proofErr w:type="spellStart"/>
            <w:r w:rsidRPr="002045F5">
              <w:rPr>
                <w:sz w:val="22"/>
              </w:rPr>
              <w:t>зменшення</w:t>
            </w:r>
            <w:proofErr w:type="spellEnd"/>
            <w:r w:rsidRPr="002045F5">
              <w:rPr>
                <w:sz w:val="22"/>
              </w:rPr>
              <w:t xml:space="preserve"> </w:t>
            </w:r>
            <w:proofErr w:type="spellStart"/>
            <w:r w:rsidRPr="002045F5">
              <w:rPr>
                <w:sz w:val="22"/>
              </w:rPr>
              <w:t>вартості</w:t>
            </w:r>
            <w:proofErr w:type="spellEnd"/>
            <w:r w:rsidRPr="002045F5">
              <w:rPr>
                <w:sz w:val="22"/>
              </w:rPr>
              <w:t xml:space="preserve"> оплати </w:t>
            </w:r>
            <w:proofErr w:type="spellStart"/>
            <w:r w:rsidRPr="002045F5">
              <w:rPr>
                <w:sz w:val="22"/>
              </w:rPr>
              <w:t>комунальних</w:t>
            </w:r>
            <w:proofErr w:type="spellEnd"/>
            <w:r w:rsidRPr="002045F5">
              <w:rPr>
                <w:sz w:val="22"/>
              </w:rPr>
              <w:t xml:space="preserve"> </w:t>
            </w:r>
            <w:proofErr w:type="spellStart"/>
            <w:r w:rsidRPr="002045F5">
              <w:rPr>
                <w:sz w:val="22"/>
              </w:rPr>
              <w:t>послуг</w:t>
            </w:r>
            <w:proofErr w:type="spellEnd"/>
            <w:r w:rsidRPr="002045F5">
              <w:rPr>
                <w:sz w:val="22"/>
              </w:rPr>
              <w:t>.</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013F3" w:rsidRPr="002045F5" w:rsidRDefault="001013F3" w:rsidP="001013F3">
            <w:pPr>
              <w:pStyle w:val="a7"/>
              <w:ind w:left="0"/>
              <w:jc w:val="center"/>
              <w:rPr>
                <w:sz w:val="22"/>
              </w:rPr>
            </w:pPr>
            <w:r w:rsidRPr="002045F5">
              <w:rPr>
                <w:sz w:val="22"/>
              </w:rPr>
              <w:t>%</w:t>
            </w:r>
          </w:p>
        </w:tc>
        <w:tc>
          <w:tcPr>
            <w:tcW w:w="1524" w:type="dxa"/>
            <w:gridSpan w:val="2"/>
            <w:tcBorders>
              <w:top w:val="single" w:sz="4" w:space="0" w:color="auto"/>
              <w:left w:val="single" w:sz="4" w:space="0" w:color="auto"/>
              <w:bottom w:val="single" w:sz="4" w:space="0" w:color="auto"/>
            </w:tcBorders>
            <w:vAlign w:val="center"/>
          </w:tcPr>
          <w:p w:rsidR="001013F3" w:rsidRPr="002045F5" w:rsidRDefault="001013F3" w:rsidP="001013F3">
            <w:pPr>
              <w:pStyle w:val="a7"/>
              <w:ind w:left="0"/>
              <w:jc w:val="center"/>
              <w:rPr>
                <w:sz w:val="22"/>
              </w:rPr>
            </w:pPr>
            <w:r w:rsidRPr="002045F5">
              <w:rPr>
                <w:sz w:val="22"/>
              </w:rPr>
              <w:t>30</w:t>
            </w:r>
          </w:p>
        </w:tc>
      </w:tr>
      <w:tr w:rsidR="001013F3" w:rsidRPr="002045F5" w:rsidTr="00822744">
        <w:trPr>
          <w:trHeight w:val="585"/>
        </w:trPr>
        <w:tc>
          <w:tcPr>
            <w:tcW w:w="2978" w:type="dxa"/>
            <w:vMerge/>
            <w:shd w:val="clear" w:color="auto" w:fill="C6D9F1" w:themeFill="text2" w:themeFillTint="33"/>
          </w:tcPr>
          <w:p w:rsidR="001013F3" w:rsidRPr="002045F5" w:rsidRDefault="001013F3" w:rsidP="001013F3">
            <w:pPr>
              <w:pStyle w:val="a7"/>
              <w:ind w:left="0"/>
              <w:rPr>
                <w:b/>
                <w:sz w:val="22"/>
              </w:rPr>
            </w:pPr>
          </w:p>
        </w:tc>
        <w:tc>
          <w:tcPr>
            <w:tcW w:w="3685" w:type="dxa"/>
            <w:gridSpan w:val="3"/>
            <w:tcBorders>
              <w:top w:val="single" w:sz="4" w:space="0" w:color="auto"/>
              <w:bottom w:val="single" w:sz="4" w:space="0" w:color="auto"/>
              <w:right w:val="single" w:sz="4" w:space="0" w:color="auto"/>
            </w:tcBorders>
          </w:tcPr>
          <w:p w:rsidR="001013F3" w:rsidRPr="002045F5" w:rsidRDefault="001013F3" w:rsidP="001013F3">
            <w:pPr>
              <w:pStyle w:val="a7"/>
              <w:ind w:left="0"/>
              <w:rPr>
                <w:sz w:val="22"/>
                <w:vertAlign w:val="subscript"/>
              </w:rPr>
            </w:pPr>
            <w:proofErr w:type="spellStart"/>
            <w:r w:rsidRPr="002045F5">
              <w:rPr>
                <w:sz w:val="22"/>
              </w:rPr>
              <w:t>Підвищення</w:t>
            </w:r>
            <w:proofErr w:type="spellEnd"/>
            <w:r w:rsidRPr="002045F5">
              <w:rPr>
                <w:sz w:val="22"/>
              </w:rPr>
              <w:t xml:space="preserve"> </w:t>
            </w:r>
            <w:proofErr w:type="spellStart"/>
            <w:r w:rsidRPr="002045F5">
              <w:rPr>
                <w:sz w:val="22"/>
              </w:rPr>
              <w:t>температурних</w:t>
            </w:r>
            <w:proofErr w:type="spellEnd"/>
            <w:r w:rsidRPr="002045F5">
              <w:rPr>
                <w:sz w:val="22"/>
              </w:rPr>
              <w:t xml:space="preserve"> </w:t>
            </w:r>
            <w:proofErr w:type="spellStart"/>
            <w:r w:rsidRPr="002045F5">
              <w:rPr>
                <w:sz w:val="22"/>
              </w:rPr>
              <w:t>показників</w:t>
            </w:r>
            <w:proofErr w:type="spellEnd"/>
            <w:r w:rsidRPr="002045F5">
              <w:rPr>
                <w:sz w:val="22"/>
              </w:rPr>
              <w:t xml:space="preserve"> закладу в </w:t>
            </w:r>
            <w:proofErr w:type="spellStart"/>
            <w:r w:rsidRPr="002045F5">
              <w:rPr>
                <w:sz w:val="22"/>
              </w:rPr>
              <w:t>опалювальний</w:t>
            </w:r>
            <w:proofErr w:type="spellEnd"/>
            <w:r w:rsidRPr="002045F5">
              <w:rPr>
                <w:sz w:val="22"/>
              </w:rPr>
              <w:t xml:space="preserve"> </w:t>
            </w:r>
            <w:proofErr w:type="spellStart"/>
            <w:r w:rsidRPr="002045F5">
              <w:rPr>
                <w:sz w:val="22"/>
              </w:rPr>
              <w:t>період</w:t>
            </w:r>
            <w:proofErr w:type="spellEnd"/>
            <w:r w:rsidRPr="002045F5">
              <w:rPr>
                <w:sz w:val="22"/>
              </w:rPr>
              <w:t>.</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013F3" w:rsidRPr="002045F5" w:rsidRDefault="001013F3" w:rsidP="001013F3">
            <w:pPr>
              <w:pStyle w:val="a7"/>
              <w:ind w:left="0"/>
              <w:jc w:val="center"/>
              <w:rPr>
                <w:sz w:val="22"/>
              </w:rPr>
            </w:pPr>
            <w:proofErr w:type="spellStart"/>
            <w:r w:rsidRPr="002045F5">
              <w:rPr>
                <w:sz w:val="22"/>
              </w:rPr>
              <w:t>градуси</w:t>
            </w:r>
            <w:proofErr w:type="spellEnd"/>
          </w:p>
        </w:tc>
        <w:tc>
          <w:tcPr>
            <w:tcW w:w="1524" w:type="dxa"/>
            <w:gridSpan w:val="2"/>
            <w:tcBorders>
              <w:top w:val="single" w:sz="4" w:space="0" w:color="auto"/>
              <w:left w:val="single" w:sz="4" w:space="0" w:color="auto"/>
              <w:bottom w:val="single" w:sz="4" w:space="0" w:color="auto"/>
            </w:tcBorders>
            <w:vAlign w:val="center"/>
          </w:tcPr>
          <w:p w:rsidR="001013F3" w:rsidRPr="002045F5" w:rsidRDefault="001013F3" w:rsidP="001013F3">
            <w:pPr>
              <w:pStyle w:val="a7"/>
              <w:ind w:left="0"/>
              <w:jc w:val="center"/>
              <w:rPr>
                <w:sz w:val="22"/>
              </w:rPr>
            </w:pPr>
            <w:r w:rsidRPr="002045F5">
              <w:rPr>
                <w:sz w:val="22"/>
              </w:rPr>
              <w:t>20-25</w:t>
            </w:r>
          </w:p>
        </w:tc>
      </w:tr>
      <w:tr w:rsidR="001013F3" w:rsidRPr="002045F5" w:rsidTr="00822744">
        <w:trPr>
          <w:trHeight w:val="184"/>
        </w:trPr>
        <w:tc>
          <w:tcPr>
            <w:tcW w:w="2978" w:type="dxa"/>
            <w:vMerge/>
            <w:shd w:val="clear" w:color="auto" w:fill="C6D9F1" w:themeFill="text2" w:themeFillTint="33"/>
          </w:tcPr>
          <w:p w:rsidR="001013F3" w:rsidRPr="002045F5" w:rsidRDefault="001013F3" w:rsidP="001013F3">
            <w:pPr>
              <w:pStyle w:val="a7"/>
              <w:ind w:left="0"/>
              <w:rPr>
                <w:b/>
                <w:sz w:val="22"/>
              </w:rPr>
            </w:pPr>
          </w:p>
        </w:tc>
        <w:tc>
          <w:tcPr>
            <w:tcW w:w="3685" w:type="dxa"/>
            <w:gridSpan w:val="3"/>
            <w:tcBorders>
              <w:top w:val="single" w:sz="4" w:space="0" w:color="auto"/>
              <w:bottom w:val="single" w:sz="4" w:space="0" w:color="auto"/>
              <w:right w:val="single" w:sz="4" w:space="0" w:color="auto"/>
            </w:tcBorders>
          </w:tcPr>
          <w:p w:rsidR="001013F3" w:rsidRPr="002045F5" w:rsidRDefault="001013F3" w:rsidP="001013F3">
            <w:pPr>
              <w:pStyle w:val="a7"/>
              <w:ind w:left="0"/>
              <w:rPr>
                <w:sz w:val="22"/>
              </w:rPr>
            </w:pPr>
            <w:proofErr w:type="spellStart"/>
            <w:r w:rsidRPr="002045F5">
              <w:rPr>
                <w:sz w:val="22"/>
              </w:rPr>
              <w:t>Зменшення</w:t>
            </w:r>
            <w:proofErr w:type="spellEnd"/>
            <w:r w:rsidRPr="002045F5">
              <w:rPr>
                <w:sz w:val="22"/>
              </w:rPr>
              <w:t xml:space="preserve"> </w:t>
            </w:r>
            <w:proofErr w:type="spellStart"/>
            <w:r w:rsidRPr="002045F5">
              <w:rPr>
                <w:sz w:val="22"/>
              </w:rPr>
              <w:t>захворюваності</w:t>
            </w:r>
            <w:proofErr w:type="spellEnd"/>
            <w:r w:rsidRPr="002045F5">
              <w:rPr>
                <w:sz w:val="22"/>
              </w:rPr>
              <w:t xml:space="preserve"> </w:t>
            </w:r>
            <w:proofErr w:type="spellStart"/>
            <w:r w:rsidRPr="002045F5">
              <w:rPr>
                <w:sz w:val="22"/>
              </w:rPr>
              <w:t>учнів</w:t>
            </w:r>
            <w:proofErr w:type="spellEnd"/>
            <w:r w:rsidRPr="002045F5">
              <w:rPr>
                <w:sz w:val="22"/>
              </w:rPr>
              <w:t xml:space="preserve"> та </w:t>
            </w:r>
            <w:proofErr w:type="spellStart"/>
            <w:r w:rsidRPr="002045F5">
              <w:rPr>
                <w:sz w:val="22"/>
              </w:rPr>
              <w:t>кількість</w:t>
            </w:r>
            <w:proofErr w:type="spellEnd"/>
            <w:r w:rsidRPr="002045F5">
              <w:rPr>
                <w:sz w:val="22"/>
              </w:rPr>
              <w:t xml:space="preserve"> </w:t>
            </w:r>
            <w:proofErr w:type="spellStart"/>
            <w:r w:rsidRPr="002045F5">
              <w:rPr>
                <w:sz w:val="22"/>
              </w:rPr>
              <w:t>пропущених</w:t>
            </w:r>
            <w:proofErr w:type="spellEnd"/>
            <w:r w:rsidRPr="002045F5">
              <w:rPr>
                <w:sz w:val="22"/>
              </w:rPr>
              <w:t xml:space="preserve"> </w:t>
            </w:r>
            <w:proofErr w:type="spellStart"/>
            <w:r w:rsidRPr="002045F5">
              <w:rPr>
                <w:sz w:val="22"/>
              </w:rPr>
              <w:t>уроків</w:t>
            </w:r>
            <w:proofErr w:type="spellEnd"/>
            <w:r w:rsidRPr="002045F5">
              <w:rPr>
                <w:sz w:val="22"/>
              </w:rPr>
              <w:t xml:space="preserve"> за хворобою.</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013F3" w:rsidRPr="002045F5" w:rsidRDefault="001013F3" w:rsidP="001013F3">
            <w:pPr>
              <w:pStyle w:val="a7"/>
              <w:ind w:left="0"/>
              <w:jc w:val="center"/>
              <w:rPr>
                <w:sz w:val="22"/>
              </w:rPr>
            </w:pPr>
            <w:r w:rsidRPr="002045F5">
              <w:rPr>
                <w:sz w:val="22"/>
              </w:rPr>
              <w:t>%</w:t>
            </w:r>
          </w:p>
        </w:tc>
        <w:tc>
          <w:tcPr>
            <w:tcW w:w="1524" w:type="dxa"/>
            <w:gridSpan w:val="2"/>
            <w:tcBorders>
              <w:top w:val="single" w:sz="4" w:space="0" w:color="auto"/>
              <w:left w:val="single" w:sz="4" w:space="0" w:color="auto"/>
              <w:bottom w:val="single" w:sz="4" w:space="0" w:color="auto"/>
            </w:tcBorders>
            <w:vAlign w:val="center"/>
          </w:tcPr>
          <w:p w:rsidR="001013F3" w:rsidRPr="002045F5" w:rsidRDefault="001013F3" w:rsidP="001013F3">
            <w:pPr>
              <w:pStyle w:val="a7"/>
              <w:ind w:left="0"/>
              <w:jc w:val="center"/>
              <w:rPr>
                <w:sz w:val="22"/>
              </w:rPr>
            </w:pPr>
            <w:r w:rsidRPr="002045F5">
              <w:rPr>
                <w:sz w:val="22"/>
              </w:rPr>
              <w:t>35</w:t>
            </w:r>
          </w:p>
        </w:tc>
      </w:tr>
      <w:tr w:rsidR="001013F3" w:rsidRPr="002045F5" w:rsidTr="00822744">
        <w:trPr>
          <w:trHeight w:val="165"/>
        </w:trPr>
        <w:tc>
          <w:tcPr>
            <w:tcW w:w="2978" w:type="dxa"/>
            <w:vMerge/>
            <w:shd w:val="clear" w:color="auto" w:fill="C6D9F1" w:themeFill="text2" w:themeFillTint="33"/>
          </w:tcPr>
          <w:p w:rsidR="001013F3" w:rsidRPr="002045F5" w:rsidRDefault="001013F3" w:rsidP="001013F3">
            <w:pPr>
              <w:pStyle w:val="a7"/>
              <w:ind w:left="0"/>
              <w:rPr>
                <w:b/>
                <w:sz w:val="22"/>
              </w:rPr>
            </w:pPr>
          </w:p>
        </w:tc>
        <w:tc>
          <w:tcPr>
            <w:tcW w:w="3685" w:type="dxa"/>
            <w:gridSpan w:val="3"/>
            <w:tcBorders>
              <w:top w:val="single" w:sz="4" w:space="0" w:color="auto"/>
              <w:bottom w:val="single" w:sz="4" w:space="0" w:color="auto"/>
              <w:right w:val="single" w:sz="4" w:space="0" w:color="auto"/>
            </w:tcBorders>
          </w:tcPr>
          <w:p w:rsidR="001013F3" w:rsidRPr="002045F5" w:rsidRDefault="001013F3" w:rsidP="001013F3">
            <w:pPr>
              <w:pStyle w:val="a7"/>
              <w:ind w:left="0"/>
              <w:rPr>
                <w:sz w:val="22"/>
              </w:rPr>
            </w:pPr>
            <w:proofErr w:type="spellStart"/>
            <w:r w:rsidRPr="002045F5">
              <w:rPr>
                <w:sz w:val="22"/>
              </w:rPr>
              <w:t>Здорове</w:t>
            </w:r>
            <w:proofErr w:type="spellEnd"/>
            <w:r w:rsidRPr="002045F5">
              <w:rPr>
                <w:sz w:val="22"/>
              </w:rPr>
              <w:t xml:space="preserve"> </w:t>
            </w:r>
            <w:proofErr w:type="spellStart"/>
            <w:r w:rsidRPr="002045F5">
              <w:rPr>
                <w:sz w:val="22"/>
              </w:rPr>
              <w:t>харчування</w:t>
            </w:r>
            <w:proofErr w:type="spellEnd"/>
            <w:r w:rsidRPr="002045F5">
              <w:rPr>
                <w:sz w:val="22"/>
              </w:rPr>
              <w:t xml:space="preserve"> і </w:t>
            </w:r>
            <w:proofErr w:type="spellStart"/>
            <w:r w:rsidRPr="002045F5">
              <w:rPr>
                <w:sz w:val="22"/>
              </w:rPr>
              <w:t>збереження</w:t>
            </w:r>
            <w:proofErr w:type="spellEnd"/>
            <w:r w:rsidRPr="002045F5">
              <w:rPr>
                <w:sz w:val="22"/>
              </w:rPr>
              <w:t xml:space="preserve"> </w:t>
            </w:r>
            <w:proofErr w:type="spellStart"/>
            <w:r w:rsidRPr="002045F5">
              <w:rPr>
                <w:sz w:val="22"/>
              </w:rPr>
              <w:t>здоров’я</w:t>
            </w:r>
            <w:proofErr w:type="spellEnd"/>
            <w:r w:rsidRPr="002045F5">
              <w:rPr>
                <w:sz w:val="22"/>
              </w:rPr>
              <w:t xml:space="preserve"> </w:t>
            </w:r>
            <w:proofErr w:type="spellStart"/>
            <w:r w:rsidRPr="002045F5">
              <w:rPr>
                <w:sz w:val="22"/>
              </w:rPr>
              <w:t>учнів</w:t>
            </w:r>
            <w:proofErr w:type="spellEnd"/>
            <w:r w:rsidRPr="002045F5">
              <w:rPr>
                <w:sz w:val="22"/>
              </w:rPr>
              <w:t xml:space="preserve"> та </w:t>
            </w:r>
            <w:proofErr w:type="spellStart"/>
            <w:r w:rsidRPr="002045F5">
              <w:rPr>
                <w:sz w:val="22"/>
              </w:rPr>
              <w:t>дітей</w:t>
            </w:r>
            <w:proofErr w:type="spellEnd"/>
            <w:r w:rsidRPr="002045F5">
              <w:rPr>
                <w:sz w:val="22"/>
              </w:rPr>
              <w:t xml:space="preserve"> </w:t>
            </w:r>
            <w:proofErr w:type="spellStart"/>
            <w:r w:rsidRPr="002045F5">
              <w:rPr>
                <w:sz w:val="22"/>
              </w:rPr>
              <w:t>дошкільного</w:t>
            </w:r>
            <w:proofErr w:type="spellEnd"/>
            <w:r w:rsidRPr="002045F5">
              <w:rPr>
                <w:sz w:val="22"/>
              </w:rPr>
              <w:t xml:space="preserve"> </w:t>
            </w:r>
            <w:proofErr w:type="spellStart"/>
            <w:r w:rsidRPr="002045F5">
              <w:rPr>
                <w:sz w:val="22"/>
              </w:rPr>
              <w:t>підрозділу</w:t>
            </w:r>
            <w:proofErr w:type="spellEnd"/>
            <w:r w:rsidRPr="002045F5">
              <w:rPr>
                <w:sz w:val="22"/>
              </w:rPr>
              <w:t>.</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013F3" w:rsidRPr="002045F5" w:rsidRDefault="001013F3" w:rsidP="001013F3">
            <w:pPr>
              <w:pStyle w:val="a7"/>
              <w:ind w:left="0"/>
              <w:jc w:val="center"/>
              <w:rPr>
                <w:sz w:val="22"/>
              </w:rPr>
            </w:pPr>
            <w:proofErr w:type="spellStart"/>
            <w:r w:rsidRPr="002045F5">
              <w:rPr>
                <w:sz w:val="22"/>
              </w:rPr>
              <w:t>осіб</w:t>
            </w:r>
            <w:proofErr w:type="spellEnd"/>
          </w:p>
        </w:tc>
        <w:tc>
          <w:tcPr>
            <w:tcW w:w="1524" w:type="dxa"/>
            <w:gridSpan w:val="2"/>
            <w:tcBorders>
              <w:top w:val="single" w:sz="4" w:space="0" w:color="auto"/>
              <w:left w:val="single" w:sz="4" w:space="0" w:color="auto"/>
              <w:bottom w:val="single" w:sz="4" w:space="0" w:color="auto"/>
            </w:tcBorders>
            <w:vAlign w:val="center"/>
          </w:tcPr>
          <w:p w:rsidR="001013F3" w:rsidRPr="002045F5" w:rsidRDefault="001013F3" w:rsidP="001013F3">
            <w:pPr>
              <w:pStyle w:val="a7"/>
              <w:ind w:left="0"/>
              <w:jc w:val="center"/>
              <w:rPr>
                <w:sz w:val="22"/>
              </w:rPr>
            </w:pPr>
            <w:r w:rsidRPr="002045F5">
              <w:rPr>
                <w:sz w:val="22"/>
              </w:rPr>
              <w:t>355</w:t>
            </w:r>
          </w:p>
        </w:tc>
      </w:tr>
      <w:tr w:rsidR="001013F3" w:rsidRPr="002045F5" w:rsidTr="00822744">
        <w:trPr>
          <w:trHeight w:val="120"/>
        </w:trPr>
        <w:tc>
          <w:tcPr>
            <w:tcW w:w="2978" w:type="dxa"/>
            <w:vMerge/>
            <w:shd w:val="clear" w:color="auto" w:fill="C6D9F1" w:themeFill="text2" w:themeFillTint="33"/>
          </w:tcPr>
          <w:p w:rsidR="001013F3" w:rsidRPr="002045F5" w:rsidRDefault="001013F3" w:rsidP="001013F3">
            <w:pPr>
              <w:pStyle w:val="a7"/>
              <w:ind w:left="0"/>
              <w:rPr>
                <w:b/>
                <w:sz w:val="22"/>
              </w:rPr>
            </w:pPr>
          </w:p>
        </w:tc>
        <w:tc>
          <w:tcPr>
            <w:tcW w:w="3685" w:type="dxa"/>
            <w:gridSpan w:val="3"/>
            <w:tcBorders>
              <w:top w:val="single" w:sz="4" w:space="0" w:color="auto"/>
              <w:bottom w:val="single" w:sz="4" w:space="0" w:color="auto"/>
              <w:right w:val="single" w:sz="4" w:space="0" w:color="auto"/>
            </w:tcBorders>
          </w:tcPr>
          <w:p w:rsidR="001013F3" w:rsidRPr="002045F5" w:rsidRDefault="001013F3" w:rsidP="001013F3">
            <w:pPr>
              <w:pStyle w:val="a7"/>
              <w:ind w:left="0"/>
              <w:jc w:val="center"/>
              <w:rPr>
                <w:sz w:val="22"/>
              </w:rPr>
            </w:pPr>
            <w:proofErr w:type="spellStart"/>
            <w:r w:rsidRPr="002045F5">
              <w:rPr>
                <w:sz w:val="22"/>
              </w:rPr>
              <w:t>Підвищення</w:t>
            </w:r>
            <w:proofErr w:type="spellEnd"/>
            <w:r w:rsidRPr="002045F5">
              <w:rPr>
                <w:sz w:val="22"/>
              </w:rPr>
              <w:t xml:space="preserve"> </w:t>
            </w:r>
            <w:proofErr w:type="spellStart"/>
            <w:r w:rsidRPr="002045F5">
              <w:rPr>
                <w:sz w:val="22"/>
              </w:rPr>
              <w:t>терміну</w:t>
            </w:r>
            <w:proofErr w:type="spellEnd"/>
            <w:r w:rsidRPr="002045F5">
              <w:rPr>
                <w:sz w:val="22"/>
              </w:rPr>
              <w:t xml:space="preserve"> </w:t>
            </w:r>
            <w:proofErr w:type="spellStart"/>
            <w:r w:rsidRPr="002045F5">
              <w:rPr>
                <w:sz w:val="22"/>
              </w:rPr>
              <w:t>експлуатації</w:t>
            </w:r>
            <w:proofErr w:type="spellEnd"/>
            <w:r w:rsidRPr="002045F5">
              <w:rPr>
                <w:sz w:val="22"/>
              </w:rPr>
              <w:t xml:space="preserve"> </w:t>
            </w:r>
            <w:proofErr w:type="spellStart"/>
            <w:r w:rsidRPr="002045F5">
              <w:rPr>
                <w:sz w:val="22"/>
              </w:rPr>
              <w:t>будівлі</w:t>
            </w:r>
            <w:proofErr w:type="spellEnd"/>
            <w:r w:rsidRPr="002045F5">
              <w:rPr>
                <w:sz w:val="22"/>
              </w:rPr>
              <w:t xml:space="preserve">, </w:t>
            </w:r>
            <w:proofErr w:type="spellStart"/>
            <w:r w:rsidRPr="002045F5">
              <w:rPr>
                <w:sz w:val="22"/>
              </w:rPr>
              <w:t>покращення</w:t>
            </w:r>
            <w:proofErr w:type="spellEnd"/>
            <w:r w:rsidRPr="002045F5">
              <w:rPr>
                <w:sz w:val="22"/>
              </w:rPr>
              <w:t xml:space="preserve"> </w:t>
            </w:r>
            <w:proofErr w:type="spellStart"/>
            <w:r w:rsidRPr="002045F5">
              <w:rPr>
                <w:sz w:val="22"/>
              </w:rPr>
              <w:t>її</w:t>
            </w:r>
            <w:proofErr w:type="spellEnd"/>
            <w:r w:rsidRPr="002045F5">
              <w:rPr>
                <w:sz w:val="22"/>
              </w:rPr>
              <w:t xml:space="preserve"> </w:t>
            </w:r>
            <w:proofErr w:type="spellStart"/>
            <w:r w:rsidRPr="002045F5">
              <w:rPr>
                <w:sz w:val="22"/>
              </w:rPr>
              <w:t>естетичного</w:t>
            </w:r>
            <w:proofErr w:type="spellEnd"/>
            <w:r w:rsidRPr="002045F5">
              <w:rPr>
                <w:sz w:val="22"/>
              </w:rPr>
              <w:t xml:space="preserve"> </w:t>
            </w:r>
            <w:proofErr w:type="spellStart"/>
            <w:r w:rsidRPr="002045F5">
              <w:rPr>
                <w:sz w:val="22"/>
              </w:rPr>
              <w:t>вигляду</w:t>
            </w:r>
            <w:proofErr w:type="spellEnd"/>
            <w:r w:rsidRPr="002045F5">
              <w:rPr>
                <w:sz w:val="22"/>
              </w:rPr>
              <w:t>.</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013F3" w:rsidRPr="002045F5" w:rsidRDefault="001013F3" w:rsidP="001013F3">
            <w:pPr>
              <w:pStyle w:val="a7"/>
              <w:ind w:left="0"/>
              <w:jc w:val="center"/>
              <w:rPr>
                <w:sz w:val="22"/>
              </w:rPr>
            </w:pPr>
            <w:proofErr w:type="spellStart"/>
            <w:r w:rsidRPr="002045F5">
              <w:rPr>
                <w:sz w:val="22"/>
              </w:rPr>
              <w:t>одиниці</w:t>
            </w:r>
            <w:proofErr w:type="spellEnd"/>
          </w:p>
        </w:tc>
        <w:tc>
          <w:tcPr>
            <w:tcW w:w="1524" w:type="dxa"/>
            <w:gridSpan w:val="2"/>
            <w:tcBorders>
              <w:top w:val="single" w:sz="4" w:space="0" w:color="auto"/>
              <w:left w:val="single" w:sz="4" w:space="0" w:color="auto"/>
              <w:bottom w:val="single" w:sz="4" w:space="0" w:color="auto"/>
            </w:tcBorders>
            <w:vAlign w:val="center"/>
          </w:tcPr>
          <w:p w:rsidR="001013F3" w:rsidRPr="002045F5" w:rsidRDefault="001013F3" w:rsidP="001013F3">
            <w:pPr>
              <w:pStyle w:val="a7"/>
              <w:ind w:left="0"/>
              <w:jc w:val="center"/>
              <w:rPr>
                <w:sz w:val="22"/>
              </w:rPr>
            </w:pPr>
            <w:r w:rsidRPr="002045F5">
              <w:rPr>
                <w:sz w:val="22"/>
              </w:rPr>
              <w:t>2</w:t>
            </w:r>
          </w:p>
        </w:tc>
      </w:tr>
      <w:tr w:rsidR="001013F3" w:rsidRPr="002045F5" w:rsidTr="00822744">
        <w:tc>
          <w:tcPr>
            <w:tcW w:w="2978" w:type="dxa"/>
            <w:shd w:val="clear" w:color="auto" w:fill="C6D9F1" w:themeFill="text2" w:themeFillTint="33"/>
          </w:tcPr>
          <w:p w:rsidR="001013F3" w:rsidRPr="002045F5" w:rsidRDefault="001013F3" w:rsidP="001013F3">
            <w:pPr>
              <w:rPr>
                <w:b/>
                <w:sz w:val="22"/>
              </w:rPr>
            </w:pPr>
            <w:proofErr w:type="spellStart"/>
            <w:r w:rsidRPr="002045F5">
              <w:rPr>
                <w:b/>
                <w:sz w:val="22"/>
              </w:rPr>
              <w:t>Ключові</w:t>
            </w:r>
            <w:proofErr w:type="spellEnd"/>
            <w:r w:rsidRPr="002045F5">
              <w:rPr>
                <w:b/>
                <w:sz w:val="22"/>
              </w:rPr>
              <w:t xml:space="preserve"> заходи проекту: </w:t>
            </w:r>
          </w:p>
          <w:p w:rsidR="001013F3" w:rsidRPr="002045F5" w:rsidRDefault="001013F3" w:rsidP="001013F3">
            <w:pPr>
              <w:pStyle w:val="a7"/>
              <w:ind w:left="0"/>
              <w:rPr>
                <w:b/>
                <w:sz w:val="22"/>
              </w:rPr>
            </w:pPr>
          </w:p>
        </w:tc>
        <w:tc>
          <w:tcPr>
            <w:tcW w:w="6910" w:type="dxa"/>
            <w:gridSpan w:val="7"/>
          </w:tcPr>
          <w:p w:rsidR="001013F3" w:rsidRPr="002045F5" w:rsidRDefault="001013F3" w:rsidP="001013F3">
            <w:pPr>
              <w:rPr>
                <w:color w:val="000000"/>
                <w:sz w:val="22"/>
              </w:rPr>
            </w:pPr>
            <w:proofErr w:type="spellStart"/>
            <w:r w:rsidRPr="002045F5">
              <w:rPr>
                <w:color w:val="000000"/>
                <w:sz w:val="22"/>
              </w:rPr>
              <w:t>Робочим</w:t>
            </w:r>
            <w:proofErr w:type="spellEnd"/>
            <w:r w:rsidRPr="002045F5">
              <w:rPr>
                <w:color w:val="000000"/>
                <w:sz w:val="22"/>
              </w:rPr>
              <w:t xml:space="preserve"> </w:t>
            </w:r>
            <w:proofErr w:type="spellStart"/>
            <w:r w:rsidRPr="002045F5">
              <w:rPr>
                <w:color w:val="000000"/>
                <w:sz w:val="22"/>
              </w:rPr>
              <w:t>про</w:t>
            </w:r>
            <w:r w:rsidR="000566ED" w:rsidRPr="002045F5">
              <w:rPr>
                <w:color w:val="000000"/>
                <w:sz w:val="22"/>
              </w:rPr>
              <w:t>є</w:t>
            </w:r>
            <w:r w:rsidRPr="002045F5">
              <w:rPr>
                <w:color w:val="000000"/>
                <w:sz w:val="22"/>
              </w:rPr>
              <w:t>ктом</w:t>
            </w:r>
            <w:proofErr w:type="spellEnd"/>
            <w:r w:rsidRPr="002045F5">
              <w:rPr>
                <w:color w:val="000000"/>
                <w:sz w:val="22"/>
              </w:rPr>
              <w:t xml:space="preserve"> </w:t>
            </w:r>
            <w:proofErr w:type="spellStart"/>
            <w:r w:rsidRPr="002045F5">
              <w:rPr>
                <w:color w:val="000000"/>
                <w:sz w:val="22"/>
              </w:rPr>
              <w:t>передбачили</w:t>
            </w:r>
            <w:proofErr w:type="spellEnd"/>
            <w:r w:rsidRPr="002045F5">
              <w:rPr>
                <w:color w:val="000000"/>
                <w:sz w:val="22"/>
              </w:rPr>
              <w:t xml:space="preserve"> </w:t>
            </w:r>
            <w:proofErr w:type="spellStart"/>
            <w:r w:rsidRPr="002045F5">
              <w:rPr>
                <w:color w:val="000000"/>
                <w:sz w:val="22"/>
              </w:rPr>
              <w:t>виконати</w:t>
            </w:r>
            <w:proofErr w:type="spellEnd"/>
            <w:r w:rsidRPr="002045F5">
              <w:rPr>
                <w:color w:val="000000"/>
                <w:sz w:val="22"/>
              </w:rPr>
              <w:t xml:space="preserve"> </w:t>
            </w:r>
            <w:proofErr w:type="spellStart"/>
            <w:r w:rsidRPr="002045F5">
              <w:rPr>
                <w:color w:val="000000"/>
                <w:sz w:val="22"/>
              </w:rPr>
              <w:t>такі</w:t>
            </w:r>
            <w:proofErr w:type="spellEnd"/>
            <w:r w:rsidRPr="002045F5">
              <w:rPr>
                <w:color w:val="000000"/>
                <w:sz w:val="22"/>
              </w:rPr>
              <w:t xml:space="preserve"> </w:t>
            </w:r>
            <w:proofErr w:type="spellStart"/>
            <w:r w:rsidRPr="002045F5">
              <w:rPr>
                <w:color w:val="000000"/>
                <w:sz w:val="22"/>
              </w:rPr>
              <w:t>види</w:t>
            </w:r>
            <w:proofErr w:type="spellEnd"/>
            <w:r w:rsidRPr="002045F5">
              <w:rPr>
                <w:color w:val="000000"/>
                <w:sz w:val="22"/>
              </w:rPr>
              <w:t xml:space="preserve"> </w:t>
            </w:r>
            <w:proofErr w:type="spellStart"/>
            <w:proofErr w:type="gramStart"/>
            <w:r w:rsidRPr="002045F5">
              <w:rPr>
                <w:color w:val="000000"/>
                <w:sz w:val="22"/>
              </w:rPr>
              <w:t>роб</w:t>
            </w:r>
            <w:r w:rsidR="00376DB5" w:rsidRPr="002045F5">
              <w:rPr>
                <w:color w:val="000000"/>
                <w:sz w:val="22"/>
              </w:rPr>
              <w:t>і</w:t>
            </w:r>
            <w:r w:rsidRPr="002045F5">
              <w:rPr>
                <w:color w:val="000000"/>
                <w:sz w:val="22"/>
              </w:rPr>
              <w:t>т</w:t>
            </w:r>
            <w:proofErr w:type="spellEnd"/>
            <w:r w:rsidRPr="002045F5">
              <w:rPr>
                <w:color w:val="000000"/>
                <w:sz w:val="22"/>
              </w:rPr>
              <w:t xml:space="preserve">:   </w:t>
            </w:r>
            <w:proofErr w:type="gramEnd"/>
            <w:r w:rsidRPr="002045F5">
              <w:rPr>
                <w:color w:val="000000"/>
                <w:sz w:val="22"/>
              </w:rPr>
              <w:t xml:space="preserve">       </w:t>
            </w:r>
            <w:r w:rsidRPr="002045F5">
              <w:rPr>
                <w:b/>
                <w:color w:val="000000"/>
                <w:sz w:val="22"/>
              </w:rPr>
              <w:t>1</w:t>
            </w:r>
            <w:r w:rsidRPr="002045F5">
              <w:rPr>
                <w:color w:val="000000"/>
                <w:sz w:val="22"/>
              </w:rPr>
              <w:t xml:space="preserve">.Створення й </w:t>
            </w:r>
            <w:proofErr w:type="spellStart"/>
            <w:r w:rsidRPr="002045F5">
              <w:rPr>
                <w:color w:val="000000"/>
                <w:sz w:val="22"/>
              </w:rPr>
              <w:t>функціонування</w:t>
            </w:r>
            <w:proofErr w:type="spellEnd"/>
            <w:r w:rsidRPr="002045F5">
              <w:rPr>
                <w:color w:val="000000"/>
                <w:sz w:val="22"/>
              </w:rPr>
              <w:t xml:space="preserve"> </w:t>
            </w:r>
            <w:proofErr w:type="spellStart"/>
            <w:r w:rsidRPr="002045F5">
              <w:rPr>
                <w:color w:val="000000"/>
                <w:sz w:val="22"/>
              </w:rPr>
              <w:t>робочої</w:t>
            </w:r>
            <w:proofErr w:type="spellEnd"/>
            <w:r w:rsidRPr="002045F5">
              <w:rPr>
                <w:color w:val="000000"/>
                <w:sz w:val="22"/>
              </w:rPr>
              <w:t xml:space="preserve"> </w:t>
            </w:r>
            <w:proofErr w:type="spellStart"/>
            <w:r w:rsidRPr="002045F5">
              <w:rPr>
                <w:color w:val="000000"/>
                <w:sz w:val="22"/>
              </w:rPr>
              <w:t>групи</w:t>
            </w:r>
            <w:proofErr w:type="spellEnd"/>
            <w:r w:rsidRPr="002045F5">
              <w:rPr>
                <w:color w:val="000000"/>
                <w:sz w:val="22"/>
              </w:rPr>
              <w:t xml:space="preserve"> з </w:t>
            </w:r>
            <w:proofErr w:type="spellStart"/>
            <w:r w:rsidRPr="002045F5">
              <w:rPr>
                <w:color w:val="000000"/>
                <w:sz w:val="22"/>
              </w:rPr>
              <w:t>реалізації</w:t>
            </w:r>
            <w:proofErr w:type="spellEnd"/>
            <w:r w:rsidRPr="002045F5">
              <w:rPr>
                <w:color w:val="000000"/>
                <w:sz w:val="22"/>
              </w:rPr>
              <w:t xml:space="preserve"> </w:t>
            </w:r>
            <w:proofErr w:type="spellStart"/>
            <w:r w:rsidRPr="002045F5">
              <w:rPr>
                <w:color w:val="000000"/>
                <w:sz w:val="22"/>
              </w:rPr>
              <w:t>про</w:t>
            </w:r>
            <w:r w:rsidR="0082318E" w:rsidRPr="002045F5">
              <w:rPr>
                <w:color w:val="000000"/>
                <w:sz w:val="22"/>
              </w:rPr>
              <w:t>є</w:t>
            </w:r>
            <w:r w:rsidRPr="002045F5">
              <w:rPr>
                <w:color w:val="000000"/>
                <w:sz w:val="22"/>
              </w:rPr>
              <w:t>кту</w:t>
            </w:r>
            <w:proofErr w:type="spellEnd"/>
            <w:r w:rsidRPr="002045F5">
              <w:rPr>
                <w:color w:val="000000"/>
                <w:sz w:val="22"/>
              </w:rPr>
              <w:t>.</w:t>
            </w:r>
          </w:p>
          <w:p w:rsidR="001013F3" w:rsidRPr="002045F5" w:rsidRDefault="001013F3" w:rsidP="001013F3">
            <w:pPr>
              <w:rPr>
                <w:color w:val="000000"/>
                <w:sz w:val="22"/>
              </w:rPr>
            </w:pPr>
            <w:r w:rsidRPr="002045F5">
              <w:rPr>
                <w:b/>
                <w:color w:val="000000"/>
                <w:sz w:val="22"/>
              </w:rPr>
              <w:t>2.</w:t>
            </w:r>
            <w:r w:rsidRPr="002045F5">
              <w:rPr>
                <w:color w:val="000000"/>
                <w:sz w:val="22"/>
              </w:rPr>
              <w:t xml:space="preserve"> </w:t>
            </w:r>
            <w:proofErr w:type="spellStart"/>
            <w:r w:rsidRPr="002045F5">
              <w:rPr>
                <w:color w:val="000000"/>
                <w:sz w:val="22"/>
              </w:rPr>
              <w:t>Виготовлення</w:t>
            </w:r>
            <w:proofErr w:type="spellEnd"/>
            <w:r w:rsidRPr="002045F5">
              <w:rPr>
                <w:color w:val="000000"/>
                <w:sz w:val="22"/>
              </w:rPr>
              <w:t xml:space="preserve"> </w:t>
            </w:r>
            <w:proofErr w:type="spellStart"/>
            <w:r w:rsidRPr="002045F5">
              <w:rPr>
                <w:color w:val="000000"/>
                <w:sz w:val="22"/>
              </w:rPr>
              <w:t>про</w:t>
            </w:r>
            <w:r w:rsidR="0082318E" w:rsidRPr="002045F5">
              <w:rPr>
                <w:color w:val="000000"/>
                <w:sz w:val="22"/>
              </w:rPr>
              <w:t>є</w:t>
            </w:r>
            <w:r w:rsidRPr="002045F5">
              <w:rPr>
                <w:color w:val="000000"/>
                <w:sz w:val="22"/>
              </w:rPr>
              <w:t>ктно</w:t>
            </w:r>
            <w:proofErr w:type="spellEnd"/>
            <w:r w:rsidRPr="002045F5">
              <w:rPr>
                <w:color w:val="000000"/>
                <w:sz w:val="22"/>
              </w:rPr>
              <w:t xml:space="preserve"> - </w:t>
            </w:r>
            <w:proofErr w:type="spellStart"/>
            <w:r w:rsidRPr="002045F5">
              <w:rPr>
                <w:color w:val="000000"/>
                <w:sz w:val="22"/>
              </w:rPr>
              <w:t>кошторисної</w:t>
            </w:r>
            <w:proofErr w:type="spellEnd"/>
            <w:r w:rsidRPr="002045F5">
              <w:rPr>
                <w:color w:val="000000"/>
                <w:sz w:val="22"/>
              </w:rPr>
              <w:t xml:space="preserve"> </w:t>
            </w:r>
            <w:proofErr w:type="spellStart"/>
            <w:r w:rsidRPr="002045F5">
              <w:rPr>
                <w:color w:val="000000"/>
                <w:sz w:val="22"/>
              </w:rPr>
              <w:t>документації</w:t>
            </w:r>
            <w:proofErr w:type="spellEnd"/>
            <w:r w:rsidRPr="002045F5">
              <w:rPr>
                <w:color w:val="000000"/>
                <w:sz w:val="22"/>
              </w:rPr>
              <w:t xml:space="preserve"> для </w:t>
            </w:r>
            <w:proofErr w:type="spellStart"/>
            <w:r w:rsidRPr="002045F5">
              <w:rPr>
                <w:color w:val="000000"/>
                <w:sz w:val="22"/>
              </w:rPr>
              <w:t>здійснення</w:t>
            </w:r>
            <w:proofErr w:type="spellEnd"/>
            <w:r w:rsidRPr="002045F5">
              <w:rPr>
                <w:color w:val="000000"/>
                <w:sz w:val="22"/>
              </w:rPr>
              <w:t xml:space="preserve"> </w:t>
            </w:r>
            <w:proofErr w:type="spellStart"/>
            <w:r w:rsidRPr="002045F5">
              <w:rPr>
                <w:color w:val="000000"/>
                <w:sz w:val="22"/>
              </w:rPr>
              <w:t>будівельно</w:t>
            </w:r>
            <w:proofErr w:type="spellEnd"/>
            <w:r w:rsidRPr="002045F5">
              <w:rPr>
                <w:color w:val="000000"/>
                <w:sz w:val="22"/>
              </w:rPr>
              <w:t xml:space="preserve"> - </w:t>
            </w:r>
            <w:proofErr w:type="spellStart"/>
            <w:r w:rsidRPr="002045F5">
              <w:rPr>
                <w:color w:val="000000"/>
                <w:sz w:val="22"/>
              </w:rPr>
              <w:t>монтажних</w:t>
            </w:r>
            <w:proofErr w:type="spellEnd"/>
            <w:r w:rsidRPr="002045F5">
              <w:rPr>
                <w:color w:val="000000"/>
                <w:sz w:val="22"/>
              </w:rPr>
              <w:t xml:space="preserve"> </w:t>
            </w:r>
            <w:proofErr w:type="spellStart"/>
            <w:r w:rsidRPr="002045F5">
              <w:rPr>
                <w:color w:val="000000"/>
                <w:sz w:val="22"/>
              </w:rPr>
              <w:t>робіт</w:t>
            </w:r>
            <w:proofErr w:type="spellEnd"/>
            <w:r w:rsidRPr="002045F5">
              <w:rPr>
                <w:color w:val="000000"/>
                <w:sz w:val="22"/>
              </w:rPr>
              <w:t xml:space="preserve"> шляхом конкурсного </w:t>
            </w:r>
            <w:proofErr w:type="spellStart"/>
            <w:r w:rsidRPr="002045F5">
              <w:rPr>
                <w:color w:val="000000"/>
                <w:sz w:val="22"/>
              </w:rPr>
              <w:t>відбору</w:t>
            </w:r>
            <w:proofErr w:type="spellEnd"/>
            <w:r w:rsidRPr="002045F5">
              <w:rPr>
                <w:color w:val="000000"/>
                <w:sz w:val="22"/>
              </w:rPr>
              <w:t xml:space="preserve"> </w:t>
            </w:r>
            <w:proofErr w:type="spellStart"/>
            <w:r w:rsidRPr="002045F5">
              <w:rPr>
                <w:color w:val="000000"/>
                <w:sz w:val="22"/>
              </w:rPr>
              <w:t>розробника</w:t>
            </w:r>
            <w:proofErr w:type="spellEnd"/>
            <w:r w:rsidRPr="002045F5">
              <w:rPr>
                <w:color w:val="000000"/>
                <w:sz w:val="22"/>
              </w:rPr>
              <w:t xml:space="preserve"> </w:t>
            </w:r>
            <w:proofErr w:type="spellStart"/>
            <w:r w:rsidRPr="002045F5">
              <w:rPr>
                <w:color w:val="000000"/>
                <w:sz w:val="22"/>
              </w:rPr>
              <w:t>згідно</w:t>
            </w:r>
            <w:proofErr w:type="spellEnd"/>
            <w:r w:rsidRPr="002045F5">
              <w:rPr>
                <w:color w:val="000000"/>
                <w:sz w:val="22"/>
              </w:rPr>
              <w:t xml:space="preserve"> </w:t>
            </w:r>
            <w:proofErr w:type="spellStart"/>
            <w:r w:rsidRPr="002045F5">
              <w:rPr>
                <w:color w:val="000000"/>
                <w:sz w:val="22"/>
              </w:rPr>
              <w:t>законодавства</w:t>
            </w:r>
            <w:proofErr w:type="spellEnd"/>
            <w:r w:rsidRPr="002045F5">
              <w:rPr>
                <w:color w:val="000000"/>
                <w:sz w:val="22"/>
              </w:rPr>
              <w:t xml:space="preserve"> та </w:t>
            </w:r>
            <w:proofErr w:type="spellStart"/>
            <w:r w:rsidRPr="002045F5">
              <w:rPr>
                <w:color w:val="000000"/>
                <w:sz w:val="22"/>
              </w:rPr>
              <w:t>проведення</w:t>
            </w:r>
            <w:proofErr w:type="spellEnd"/>
            <w:r w:rsidRPr="002045F5">
              <w:rPr>
                <w:color w:val="000000"/>
                <w:sz w:val="22"/>
              </w:rPr>
              <w:t xml:space="preserve"> </w:t>
            </w:r>
            <w:proofErr w:type="spellStart"/>
            <w:r w:rsidRPr="002045F5">
              <w:rPr>
                <w:color w:val="000000"/>
                <w:sz w:val="22"/>
              </w:rPr>
              <w:t>експертної</w:t>
            </w:r>
            <w:proofErr w:type="spellEnd"/>
            <w:r w:rsidRPr="002045F5">
              <w:rPr>
                <w:color w:val="000000"/>
                <w:sz w:val="22"/>
              </w:rPr>
              <w:t xml:space="preserve"> </w:t>
            </w:r>
            <w:proofErr w:type="spellStart"/>
            <w:r w:rsidRPr="002045F5">
              <w:rPr>
                <w:color w:val="000000"/>
                <w:sz w:val="22"/>
              </w:rPr>
              <w:t>оцінки</w:t>
            </w:r>
            <w:proofErr w:type="spellEnd"/>
            <w:r w:rsidRPr="002045F5">
              <w:rPr>
                <w:color w:val="000000"/>
                <w:sz w:val="22"/>
              </w:rPr>
              <w:t xml:space="preserve"> </w:t>
            </w:r>
            <w:proofErr w:type="spellStart"/>
            <w:r w:rsidRPr="002045F5">
              <w:rPr>
                <w:color w:val="000000"/>
                <w:sz w:val="22"/>
              </w:rPr>
              <w:t>про</w:t>
            </w:r>
            <w:r w:rsidR="00860691" w:rsidRPr="002045F5">
              <w:rPr>
                <w:color w:val="000000"/>
                <w:sz w:val="22"/>
              </w:rPr>
              <w:t>є</w:t>
            </w:r>
            <w:r w:rsidRPr="002045F5">
              <w:rPr>
                <w:color w:val="000000"/>
                <w:sz w:val="22"/>
              </w:rPr>
              <w:t>кту</w:t>
            </w:r>
            <w:proofErr w:type="spellEnd"/>
            <w:r w:rsidRPr="002045F5">
              <w:rPr>
                <w:color w:val="000000"/>
                <w:sz w:val="22"/>
              </w:rPr>
              <w:t>.</w:t>
            </w:r>
          </w:p>
          <w:p w:rsidR="001013F3" w:rsidRPr="002045F5" w:rsidRDefault="001013F3" w:rsidP="001013F3">
            <w:pPr>
              <w:rPr>
                <w:color w:val="000000"/>
                <w:sz w:val="22"/>
              </w:rPr>
            </w:pPr>
            <w:r w:rsidRPr="002045F5">
              <w:rPr>
                <w:b/>
                <w:color w:val="000000"/>
                <w:sz w:val="22"/>
              </w:rPr>
              <w:lastRenderedPageBreak/>
              <w:t>3.</w:t>
            </w:r>
            <w:r w:rsidRPr="002045F5">
              <w:rPr>
                <w:color w:val="000000"/>
                <w:sz w:val="22"/>
              </w:rPr>
              <w:t xml:space="preserve"> </w:t>
            </w:r>
            <w:proofErr w:type="spellStart"/>
            <w:r w:rsidRPr="002045F5">
              <w:rPr>
                <w:color w:val="000000"/>
                <w:sz w:val="22"/>
              </w:rPr>
              <w:t>Проведення</w:t>
            </w:r>
            <w:proofErr w:type="spellEnd"/>
            <w:r w:rsidRPr="002045F5">
              <w:rPr>
                <w:color w:val="000000"/>
                <w:sz w:val="22"/>
              </w:rPr>
              <w:t xml:space="preserve"> </w:t>
            </w:r>
            <w:proofErr w:type="spellStart"/>
            <w:r w:rsidRPr="002045F5">
              <w:rPr>
                <w:color w:val="000000"/>
                <w:sz w:val="22"/>
              </w:rPr>
              <w:t>будівельно-монтажних</w:t>
            </w:r>
            <w:proofErr w:type="spellEnd"/>
            <w:r w:rsidRPr="002045F5">
              <w:rPr>
                <w:color w:val="000000"/>
                <w:sz w:val="22"/>
              </w:rPr>
              <w:t xml:space="preserve"> </w:t>
            </w:r>
            <w:proofErr w:type="spellStart"/>
            <w:r w:rsidRPr="002045F5">
              <w:rPr>
                <w:color w:val="000000"/>
                <w:sz w:val="22"/>
              </w:rPr>
              <w:t>робіт</w:t>
            </w:r>
            <w:proofErr w:type="spellEnd"/>
            <w:r w:rsidRPr="002045F5">
              <w:rPr>
                <w:color w:val="000000"/>
                <w:sz w:val="22"/>
              </w:rPr>
              <w:t xml:space="preserve"> з </w:t>
            </w:r>
            <w:proofErr w:type="spellStart"/>
            <w:r w:rsidRPr="002045F5">
              <w:rPr>
                <w:color w:val="000000"/>
                <w:sz w:val="22"/>
              </w:rPr>
              <w:t>використанням</w:t>
            </w:r>
            <w:proofErr w:type="spellEnd"/>
            <w:r w:rsidRPr="002045F5">
              <w:rPr>
                <w:color w:val="000000"/>
                <w:sz w:val="22"/>
              </w:rPr>
              <w:t xml:space="preserve"> </w:t>
            </w:r>
            <w:proofErr w:type="spellStart"/>
            <w:r w:rsidRPr="002045F5">
              <w:rPr>
                <w:color w:val="000000"/>
                <w:sz w:val="22"/>
              </w:rPr>
              <w:t>сучасних</w:t>
            </w:r>
            <w:proofErr w:type="spellEnd"/>
            <w:r w:rsidRPr="002045F5">
              <w:rPr>
                <w:color w:val="000000"/>
                <w:sz w:val="22"/>
              </w:rPr>
              <w:t xml:space="preserve"> </w:t>
            </w:r>
            <w:proofErr w:type="spellStart"/>
            <w:r w:rsidRPr="002045F5">
              <w:rPr>
                <w:color w:val="000000"/>
                <w:sz w:val="22"/>
              </w:rPr>
              <w:t>матеріалів</w:t>
            </w:r>
            <w:proofErr w:type="spellEnd"/>
            <w:r w:rsidRPr="002045F5">
              <w:rPr>
                <w:color w:val="000000"/>
                <w:sz w:val="22"/>
              </w:rPr>
              <w:t xml:space="preserve">, </w:t>
            </w:r>
            <w:proofErr w:type="spellStart"/>
            <w:r w:rsidRPr="002045F5">
              <w:rPr>
                <w:color w:val="000000"/>
                <w:sz w:val="22"/>
              </w:rPr>
              <w:t>обладнання</w:t>
            </w:r>
            <w:proofErr w:type="spellEnd"/>
            <w:r w:rsidRPr="002045F5">
              <w:rPr>
                <w:color w:val="000000"/>
                <w:sz w:val="22"/>
              </w:rPr>
              <w:t xml:space="preserve"> та </w:t>
            </w:r>
            <w:proofErr w:type="spellStart"/>
            <w:r w:rsidRPr="002045F5">
              <w:rPr>
                <w:color w:val="000000"/>
                <w:sz w:val="22"/>
              </w:rPr>
              <w:t>новітніх</w:t>
            </w:r>
            <w:proofErr w:type="spellEnd"/>
            <w:r w:rsidRPr="002045F5">
              <w:rPr>
                <w:color w:val="000000"/>
                <w:sz w:val="22"/>
              </w:rPr>
              <w:t xml:space="preserve"> </w:t>
            </w:r>
            <w:proofErr w:type="spellStart"/>
            <w:r w:rsidRPr="002045F5">
              <w:rPr>
                <w:color w:val="000000"/>
                <w:sz w:val="22"/>
              </w:rPr>
              <w:t>технологій</w:t>
            </w:r>
            <w:proofErr w:type="spellEnd"/>
            <w:r w:rsidRPr="002045F5">
              <w:rPr>
                <w:color w:val="000000"/>
                <w:sz w:val="22"/>
              </w:rPr>
              <w:t>.</w:t>
            </w:r>
          </w:p>
          <w:p w:rsidR="001013F3" w:rsidRPr="002045F5" w:rsidRDefault="001013F3" w:rsidP="001013F3">
            <w:pPr>
              <w:rPr>
                <w:color w:val="000000"/>
                <w:sz w:val="22"/>
              </w:rPr>
            </w:pPr>
            <w:r w:rsidRPr="002045F5">
              <w:rPr>
                <w:b/>
                <w:color w:val="000000"/>
                <w:sz w:val="22"/>
              </w:rPr>
              <w:t>4</w:t>
            </w:r>
            <w:r w:rsidRPr="002045F5">
              <w:rPr>
                <w:color w:val="000000"/>
                <w:sz w:val="22"/>
              </w:rPr>
              <w:t>.</w:t>
            </w:r>
            <w:r w:rsidR="005D57B5" w:rsidRPr="002045F5">
              <w:rPr>
                <w:color w:val="000000"/>
                <w:sz w:val="22"/>
              </w:rPr>
              <w:t xml:space="preserve"> </w:t>
            </w:r>
            <w:proofErr w:type="spellStart"/>
            <w:r w:rsidRPr="002045F5">
              <w:rPr>
                <w:color w:val="000000"/>
                <w:sz w:val="22"/>
              </w:rPr>
              <w:t>Заміна</w:t>
            </w:r>
            <w:proofErr w:type="spellEnd"/>
            <w:r w:rsidRPr="002045F5">
              <w:rPr>
                <w:color w:val="000000"/>
                <w:sz w:val="22"/>
              </w:rPr>
              <w:t xml:space="preserve"> та </w:t>
            </w:r>
            <w:proofErr w:type="spellStart"/>
            <w:r w:rsidRPr="002045F5">
              <w:rPr>
                <w:color w:val="000000"/>
                <w:sz w:val="22"/>
              </w:rPr>
              <w:t>утеплення</w:t>
            </w:r>
            <w:proofErr w:type="spellEnd"/>
            <w:r w:rsidRPr="002045F5">
              <w:rPr>
                <w:color w:val="000000"/>
                <w:sz w:val="22"/>
              </w:rPr>
              <w:t xml:space="preserve"> </w:t>
            </w:r>
            <w:proofErr w:type="spellStart"/>
            <w:r w:rsidRPr="002045F5">
              <w:rPr>
                <w:color w:val="000000"/>
                <w:sz w:val="22"/>
              </w:rPr>
              <w:t>покрівлі</w:t>
            </w:r>
            <w:proofErr w:type="spellEnd"/>
            <w:r w:rsidRPr="002045F5">
              <w:rPr>
                <w:color w:val="000000"/>
                <w:sz w:val="22"/>
              </w:rPr>
              <w:t xml:space="preserve">, </w:t>
            </w:r>
            <w:proofErr w:type="spellStart"/>
            <w:r w:rsidRPr="002045F5">
              <w:rPr>
                <w:color w:val="000000"/>
                <w:sz w:val="22"/>
              </w:rPr>
              <w:t>утеплення</w:t>
            </w:r>
            <w:proofErr w:type="spellEnd"/>
            <w:r w:rsidRPr="002045F5">
              <w:rPr>
                <w:color w:val="000000"/>
                <w:sz w:val="22"/>
              </w:rPr>
              <w:t xml:space="preserve"> фасаду та цоколю, </w:t>
            </w:r>
            <w:proofErr w:type="spellStart"/>
            <w:r w:rsidRPr="002045F5">
              <w:rPr>
                <w:color w:val="000000"/>
                <w:sz w:val="22"/>
              </w:rPr>
              <w:t>утеплення</w:t>
            </w:r>
            <w:proofErr w:type="spellEnd"/>
            <w:r w:rsidRPr="002045F5">
              <w:rPr>
                <w:color w:val="000000"/>
                <w:sz w:val="22"/>
              </w:rPr>
              <w:t xml:space="preserve"> </w:t>
            </w:r>
            <w:proofErr w:type="spellStart"/>
            <w:r w:rsidRPr="002045F5">
              <w:rPr>
                <w:color w:val="000000"/>
                <w:sz w:val="22"/>
              </w:rPr>
              <w:t>підвального</w:t>
            </w:r>
            <w:proofErr w:type="spellEnd"/>
            <w:r w:rsidRPr="002045F5">
              <w:rPr>
                <w:color w:val="000000"/>
                <w:sz w:val="22"/>
              </w:rPr>
              <w:t xml:space="preserve"> </w:t>
            </w:r>
            <w:proofErr w:type="spellStart"/>
            <w:r w:rsidRPr="002045F5">
              <w:rPr>
                <w:color w:val="000000"/>
                <w:sz w:val="22"/>
              </w:rPr>
              <w:t>приміщення</w:t>
            </w:r>
            <w:proofErr w:type="spellEnd"/>
            <w:r w:rsidRPr="002045F5">
              <w:rPr>
                <w:color w:val="000000"/>
                <w:sz w:val="22"/>
              </w:rPr>
              <w:t xml:space="preserve">, установка </w:t>
            </w:r>
            <w:proofErr w:type="spellStart"/>
            <w:proofErr w:type="gramStart"/>
            <w:r w:rsidRPr="002045F5">
              <w:rPr>
                <w:color w:val="000000"/>
                <w:sz w:val="22"/>
              </w:rPr>
              <w:t>енергозберігаючих</w:t>
            </w:r>
            <w:proofErr w:type="spellEnd"/>
            <w:r w:rsidRPr="002045F5">
              <w:rPr>
                <w:color w:val="000000"/>
                <w:sz w:val="22"/>
              </w:rPr>
              <w:t xml:space="preserve">  </w:t>
            </w:r>
            <w:proofErr w:type="spellStart"/>
            <w:r w:rsidRPr="002045F5">
              <w:rPr>
                <w:color w:val="000000"/>
                <w:sz w:val="22"/>
              </w:rPr>
              <w:t>металопластикових</w:t>
            </w:r>
            <w:proofErr w:type="spellEnd"/>
            <w:proofErr w:type="gramEnd"/>
            <w:r w:rsidRPr="002045F5">
              <w:rPr>
                <w:color w:val="000000"/>
                <w:sz w:val="22"/>
              </w:rPr>
              <w:t xml:space="preserve"> </w:t>
            </w:r>
            <w:proofErr w:type="spellStart"/>
            <w:r w:rsidRPr="002045F5">
              <w:rPr>
                <w:color w:val="000000"/>
                <w:sz w:val="22"/>
              </w:rPr>
              <w:t>вікон</w:t>
            </w:r>
            <w:proofErr w:type="spellEnd"/>
            <w:r w:rsidRPr="002045F5">
              <w:rPr>
                <w:color w:val="000000"/>
                <w:sz w:val="22"/>
              </w:rPr>
              <w:t xml:space="preserve">, </w:t>
            </w:r>
            <w:proofErr w:type="spellStart"/>
            <w:r w:rsidRPr="002045F5">
              <w:rPr>
                <w:color w:val="000000"/>
                <w:sz w:val="22"/>
              </w:rPr>
              <w:t>заміна</w:t>
            </w:r>
            <w:proofErr w:type="spellEnd"/>
            <w:r w:rsidRPr="002045F5">
              <w:rPr>
                <w:color w:val="000000"/>
                <w:sz w:val="22"/>
              </w:rPr>
              <w:t xml:space="preserve"> </w:t>
            </w:r>
            <w:proofErr w:type="spellStart"/>
            <w:r w:rsidRPr="002045F5">
              <w:rPr>
                <w:color w:val="000000"/>
                <w:sz w:val="22"/>
              </w:rPr>
              <w:t>зовнішніх</w:t>
            </w:r>
            <w:proofErr w:type="spellEnd"/>
            <w:r w:rsidRPr="002045F5">
              <w:rPr>
                <w:color w:val="000000"/>
                <w:sz w:val="22"/>
              </w:rPr>
              <w:t xml:space="preserve"> та </w:t>
            </w:r>
            <w:proofErr w:type="spellStart"/>
            <w:r w:rsidRPr="002045F5">
              <w:rPr>
                <w:color w:val="000000"/>
                <w:sz w:val="22"/>
              </w:rPr>
              <w:t>внутрішніх</w:t>
            </w:r>
            <w:proofErr w:type="spellEnd"/>
            <w:r w:rsidRPr="002045F5">
              <w:rPr>
                <w:color w:val="000000"/>
                <w:sz w:val="22"/>
              </w:rPr>
              <w:t xml:space="preserve"> </w:t>
            </w:r>
            <w:proofErr w:type="spellStart"/>
            <w:r w:rsidRPr="002045F5">
              <w:rPr>
                <w:color w:val="000000"/>
                <w:sz w:val="22"/>
              </w:rPr>
              <w:t>дверних</w:t>
            </w:r>
            <w:proofErr w:type="spellEnd"/>
            <w:r w:rsidRPr="002045F5">
              <w:rPr>
                <w:color w:val="000000"/>
                <w:sz w:val="22"/>
              </w:rPr>
              <w:t xml:space="preserve"> </w:t>
            </w:r>
            <w:proofErr w:type="spellStart"/>
            <w:r w:rsidRPr="002045F5">
              <w:rPr>
                <w:color w:val="000000"/>
                <w:sz w:val="22"/>
              </w:rPr>
              <w:t>блоків</w:t>
            </w:r>
            <w:proofErr w:type="spellEnd"/>
            <w:r w:rsidRPr="002045F5">
              <w:rPr>
                <w:color w:val="000000"/>
                <w:sz w:val="22"/>
              </w:rPr>
              <w:t>.</w:t>
            </w:r>
          </w:p>
          <w:p w:rsidR="001013F3" w:rsidRPr="002045F5" w:rsidRDefault="001013F3" w:rsidP="001013F3">
            <w:pPr>
              <w:rPr>
                <w:color w:val="000000"/>
                <w:sz w:val="22"/>
              </w:rPr>
            </w:pPr>
            <w:r w:rsidRPr="002045F5">
              <w:rPr>
                <w:b/>
                <w:color w:val="000000"/>
                <w:sz w:val="22"/>
              </w:rPr>
              <w:t xml:space="preserve">5. </w:t>
            </w:r>
            <w:proofErr w:type="spellStart"/>
            <w:r w:rsidRPr="002045F5">
              <w:rPr>
                <w:color w:val="000000"/>
                <w:sz w:val="22"/>
              </w:rPr>
              <w:t>Вимощення</w:t>
            </w:r>
            <w:proofErr w:type="spellEnd"/>
            <w:r w:rsidRPr="002045F5">
              <w:rPr>
                <w:color w:val="000000"/>
                <w:sz w:val="22"/>
              </w:rPr>
              <w:t xml:space="preserve"> </w:t>
            </w:r>
            <w:proofErr w:type="spellStart"/>
            <w:r w:rsidRPr="002045F5">
              <w:rPr>
                <w:color w:val="000000"/>
                <w:sz w:val="22"/>
              </w:rPr>
              <w:t>ганків</w:t>
            </w:r>
            <w:proofErr w:type="spellEnd"/>
            <w:r w:rsidRPr="002045F5">
              <w:rPr>
                <w:color w:val="000000"/>
                <w:sz w:val="22"/>
              </w:rPr>
              <w:t xml:space="preserve"> з </w:t>
            </w:r>
            <w:proofErr w:type="spellStart"/>
            <w:r w:rsidRPr="002045F5">
              <w:rPr>
                <w:color w:val="000000"/>
                <w:sz w:val="22"/>
              </w:rPr>
              <w:t>улаштуванням</w:t>
            </w:r>
            <w:proofErr w:type="spellEnd"/>
            <w:r w:rsidRPr="002045F5">
              <w:rPr>
                <w:color w:val="000000"/>
                <w:sz w:val="22"/>
              </w:rPr>
              <w:t xml:space="preserve"> пандусу.</w:t>
            </w:r>
          </w:p>
          <w:p w:rsidR="001013F3" w:rsidRPr="002045F5" w:rsidRDefault="001013F3" w:rsidP="001013F3">
            <w:pPr>
              <w:rPr>
                <w:color w:val="000000"/>
                <w:sz w:val="22"/>
              </w:rPr>
            </w:pPr>
            <w:r w:rsidRPr="002045F5">
              <w:rPr>
                <w:b/>
                <w:color w:val="000000"/>
                <w:sz w:val="22"/>
              </w:rPr>
              <w:t>6.</w:t>
            </w:r>
            <w:r w:rsidR="0058726B" w:rsidRPr="002045F5">
              <w:rPr>
                <w:b/>
                <w:color w:val="000000"/>
                <w:sz w:val="22"/>
              </w:rPr>
              <w:t xml:space="preserve"> </w:t>
            </w:r>
            <w:r w:rsidRPr="002045F5">
              <w:rPr>
                <w:color w:val="000000"/>
                <w:sz w:val="22"/>
              </w:rPr>
              <w:t xml:space="preserve">Ремонт </w:t>
            </w:r>
            <w:proofErr w:type="spellStart"/>
            <w:r w:rsidRPr="002045F5">
              <w:rPr>
                <w:color w:val="000000"/>
                <w:sz w:val="22"/>
              </w:rPr>
              <w:t>внутрішніх</w:t>
            </w:r>
            <w:proofErr w:type="spellEnd"/>
            <w:r w:rsidRPr="002045F5">
              <w:rPr>
                <w:color w:val="000000"/>
                <w:sz w:val="22"/>
              </w:rPr>
              <w:t xml:space="preserve"> </w:t>
            </w:r>
            <w:proofErr w:type="spellStart"/>
            <w:r w:rsidRPr="002045F5">
              <w:rPr>
                <w:color w:val="000000"/>
                <w:sz w:val="22"/>
              </w:rPr>
              <w:t>приміщень</w:t>
            </w:r>
            <w:proofErr w:type="spellEnd"/>
            <w:r w:rsidRPr="002045F5">
              <w:rPr>
                <w:color w:val="000000"/>
                <w:sz w:val="22"/>
              </w:rPr>
              <w:t xml:space="preserve"> </w:t>
            </w:r>
            <w:proofErr w:type="spellStart"/>
            <w:r w:rsidRPr="002045F5">
              <w:rPr>
                <w:color w:val="000000"/>
                <w:sz w:val="22"/>
              </w:rPr>
              <w:t>із</w:t>
            </w:r>
            <w:proofErr w:type="spellEnd"/>
            <w:r w:rsidRPr="002045F5">
              <w:rPr>
                <w:color w:val="000000"/>
                <w:sz w:val="22"/>
              </w:rPr>
              <w:t xml:space="preserve"> </w:t>
            </w:r>
            <w:proofErr w:type="spellStart"/>
            <w:r w:rsidRPr="002045F5">
              <w:rPr>
                <w:color w:val="000000"/>
                <w:sz w:val="22"/>
              </w:rPr>
              <w:t>створенням</w:t>
            </w:r>
            <w:proofErr w:type="spellEnd"/>
            <w:r w:rsidRPr="002045F5">
              <w:rPr>
                <w:color w:val="000000"/>
                <w:sz w:val="22"/>
              </w:rPr>
              <w:t xml:space="preserve"> нового </w:t>
            </w:r>
            <w:proofErr w:type="spellStart"/>
            <w:r w:rsidRPr="002045F5">
              <w:rPr>
                <w:color w:val="000000"/>
                <w:sz w:val="22"/>
              </w:rPr>
              <w:t>освітнього</w:t>
            </w:r>
            <w:proofErr w:type="spellEnd"/>
            <w:r w:rsidRPr="002045F5">
              <w:rPr>
                <w:color w:val="000000"/>
                <w:sz w:val="22"/>
              </w:rPr>
              <w:t xml:space="preserve"> простору за стандартами НУШ.</w:t>
            </w:r>
          </w:p>
          <w:p w:rsidR="001013F3" w:rsidRPr="002045F5" w:rsidRDefault="001013F3" w:rsidP="001013F3">
            <w:pPr>
              <w:rPr>
                <w:color w:val="000000"/>
                <w:sz w:val="22"/>
              </w:rPr>
            </w:pPr>
            <w:r w:rsidRPr="002045F5">
              <w:rPr>
                <w:b/>
                <w:color w:val="000000"/>
                <w:sz w:val="22"/>
              </w:rPr>
              <w:t>7.</w:t>
            </w:r>
            <w:r w:rsidRPr="002045F5">
              <w:rPr>
                <w:color w:val="000000"/>
                <w:sz w:val="22"/>
              </w:rPr>
              <w:t xml:space="preserve"> Ремонт </w:t>
            </w:r>
            <w:proofErr w:type="spellStart"/>
            <w:r w:rsidRPr="002045F5">
              <w:rPr>
                <w:color w:val="000000"/>
                <w:sz w:val="22"/>
              </w:rPr>
              <w:t>підлоги</w:t>
            </w:r>
            <w:proofErr w:type="spellEnd"/>
            <w:r w:rsidRPr="002045F5">
              <w:rPr>
                <w:color w:val="000000"/>
                <w:sz w:val="22"/>
              </w:rPr>
              <w:t xml:space="preserve"> в </w:t>
            </w:r>
            <w:proofErr w:type="spellStart"/>
            <w:r w:rsidRPr="002045F5">
              <w:rPr>
                <w:color w:val="000000"/>
                <w:sz w:val="22"/>
              </w:rPr>
              <w:t>усіх</w:t>
            </w:r>
            <w:proofErr w:type="spellEnd"/>
            <w:r w:rsidRPr="002045F5">
              <w:rPr>
                <w:color w:val="000000"/>
                <w:sz w:val="22"/>
              </w:rPr>
              <w:t xml:space="preserve"> </w:t>
            </w:r>
            <w:proofErr w:type="spellStart"/>
            <w:r w:rsidRPr="002045F5">
              <w:rPr>
                <w:color w:val="000000"/>
                <w:sz w:val="22"/>
              </w:rPr>
              <w:t>приміщеннях</w:t>
            </w:r>
            <w:proofErr w:type="spellEnd"/>
            <w:r w:rsidRPr="002045F5">
              <w:rPr>
                <w:color w:val="000000"/>
                <w:sz w:val="22"/>
              </w:rPr>
              <w:t xml:space="preserve">; </w:t>
            </w:r>
            <w:proofErr w:type="spellStart"/>
            <w:r w:rsidRPr="002045F5">
              <w:rPr>
                <w:color w:val="000000"/>
                <w:sz w:val="22"/>
              </w:rPr>
              <w:t>капітальний</w:t>
            </w:r>
            <w:proofErr w:type="spellEnd"/>
            <w:r w:rsidRPr="002045F5">
              <w:rPr>
                <w:color w:val="000000"/>
                <w:sz w:val="22"/>
              </w:rPr>
              <w:t xml:space="preserve"> ремонт </w:t>
            </w:r>
            <w:proofErr w:type="spellStart"/>
            <w:r w:rsidRPr="002045F5">
              <w:rPr>
                <w:color w:val="000000"/>
                <w:sz w:val="22"/>
              </w:rPr>
              <w:t>сходових</w:t>
            </w:r>
            <w:proofErr w:type="spellEnd"/>
            <w:r w:rsidRPr="002045F5">
              <w:rPr>
                <w:color w:val="000000"/>
                <w:sz w:val="22"/>
              </w:rPr>
              <w:t xml:space="preserve"> </w:t>
            </w:r>
            <w:proofErr w:type="spellStart"/>
            <w:r w:rsidRPr="002045F5">
              <w:rPr>
                <w:color w:val="000000"/>
                <w:sz w:val="22"/>
              </w:rPr>
              <w:t>клітин</w:t>
            </w:r>
            <w:proofErr w:type="spellEnd"/>
            <w:r w:rsidRPr="002045F5">
              <w:rPr>
                <w:color w:val="000000"/>
                <w:sz w:val="22"/>
              </w:rPr>
              <w:t xml:space="preserve"> та </w:t>
            </w:r>
            <w:proofErr w:type="spellStart"/>
            <w:r w:rsidRPr="002045F5">
              <w:rPr>
                <w:color w:val="000000"/>
                <w:sz w:val="22"/>
              </w:rPr>
              <w:t>усіх</w:t>
            </w:r>
            <w:proofErr w:type="spellEnd"/>
            <w:r w:rsidRPr="002045F5">
              <w:rPr>
                <w:color w:val="000000"/>
                <w:sz w:val="22"/>
              </w:rPr>
              <w:t xml:space="preserve"> </w:t>
            </w:r>
            <w:proofErr w:type="spellStart"/>
            <w:r w:rsidRPr="002045F5">
              <w:rPr>
                <w:color w:val="000000"/>
                <w:sz w:val="22"/>
              </w:rPr>
              <w:t>внутрішніх</w:t>
            </w:r>
            <w:proofErr w:type="spellEnd"/>
            <w:r w:rsidRPr="002045F5">
              <w:rPr>
                <w:color w:val="000000"/>
                <w:sz w:val="22"/>
              </w:rPr>
              <w:t xml:space="preserve"> мереж.</w:t>
            </w:r>
          </w:p>
          <w:p w:rsidR="003E783B" w:rsidRPr="002045F5" w:rsidRDefault="001013F3" w:rsidP="001013F3">
            <w:pPr>
              <w:rPr>
                <w:color w:val="000000"/>
                <w:sz w:val="22"/>
              </w:rPr>
            </w:pPr>
            <w:r w:rsidRPr="002045F5">
              <w:rPr>
                <w:b/>
                <w:color w:val="000000"/>
                <w:sz w:val="22"/>
              </w:rPr>
              <w:t>8</w:t>
            </w:r>
            <w:r w:rsidRPr="002045F5">
              <w:rPr>
                <w:color w:val="000000"/>
                <w:sz w:val="22"/>
              </w:rPr>
              <w:t>.</w:t>
            </w:r>
            <w:r w:rsidR="003E783B" w:rsidRPr="002045F5">
              <w:rPr>
                <w:color w:val="000000"/>
                <w:sz w:val="22"/>
              </w:rPr>
              <w:t xml:space="preserve"> </w:t>
            </w:r>
            <w:r w:rsidRPr="002045F5">
              <w:rPr>
                <w:color w:val="000000"/>
                <w:sz w:val="22"/>
              </w:rPr>
              <w:t xml:space="preserve">Установка </w:t>
            </w:r>
            <w:proofErr w:type="spellStart"/>
            <w:r w:rsidRPr="002045F5">
              <w:rPr>
                <w:color w:val="000000"/>
                <w:sz w:val="22"/>
              </w:rPr>
              <w:t>пожежної</w:t>
            </w:r>
            <w:proofErr w:type="spellEnd"/>
            <w:r w:rsidRPr="002045F5">
              <w:rPr>
                <w:color w:val="000000"/>
                <w:sz w:val="22"/>
              </w:rPr>
              <w:t xml:space="preserve"> </w:t>
            </w:r>
            <w:proofErr w:type="spellStart"/>
            <w:r w:rsidRPr="002045F5">
              <w:rPr>
                <w:color w:val="000000"/>
                <w:sz w:val="22"/>
              </w:rPr>
              <w:t>системи</w:t>
            </w:r>
            <w:proofErr w:type="spellEnd"/>
            <w:r w:rsidRPr="002045F5">
              <w:rPr>
                <w:color w:val="000000"/>
                <w:sz w:val="22"/>
              </w:rPr>
              <w:t xml:space="preserve"> та </w:t>
            </w:r>
            <w:proofErr w:type="spellStart"/>
            <w:r w:rsidRPr="002045F5">
              <w:rPr>
                <w:color w:val="000000"/>
                <w:sz w:val="22"/>
              </w:rPr>
              <w:t>сигналізації</w:t>
            </w:r>
            <w:proofErr w:type="spellEnd"/>
            <w:r w:rsidRPr="002045F5">
              <w:rPr>
                <w:color w:val="000000"/>
                <w:sz w:val="22"/>
              </w:rPr>
              <w:t xml:space="preserve">.   </w:t>
            </w:r>
          </w:p>
          <w:p w:rsidR="001013F3" w:rsidRPr="002045F5" w:rsidRDefault="001013F3" w:rsidP="001013F3">
            <w:pPr>
              <w:rPr>
                <w:color w:val="000000"/>
                <w:sz w:val="22"/>
              </w:rPr>
            </w:pPr>
            <w:r w:rsidRPr="002045F5">
              <w:rPr>
                <w:b/>
                <w:color w:val="000000"/>
                <w:sz w:val="22"/>
              </w:rPr>
              <w:t>9.</w:t>
            </w:r>
            <w:r w:rsidR="003E783B" w:rsidRPr="002045F5">
              <w:rPr>
                <w:b/>
                <w:color w:val="000000"/>
                <w:sz w:val="22"/>
              </w:rPr>
              <w:t xml:space="preserve"> </w:t>
            </w:r>
            <w:proofErr w:type="spellStart"/>
            <w:r w:rsidRPr="002045F5">
              <w:rPr>
                <w:color w:val="000000"/>
                <w:sz w:val="22"/>
              </w:rPr>
              <w:t>Електромонтажні</w:t>
            </w:r>
            <w:proofErr w:type="spellEnd"/>
            <w:r w:rsidRPr="002045F5">
              <w:rPr>
                <w:color w:val="000000"/>
                <w:sz w:val="22"/>
              </w:rPr>
              <w:t xml:space="preserve"> </w:t>
            </w:r>
            <w:proofErr w:type="spellStart"/>
            <w:r w:rsidRPr="002045F5">
              <w:rPr>
                <w:color w:val="000000"/>
                <w:sz w:val="22"/>
              </w:rPr>
              <w:t>роботи</w:t>
            </w:r>
            <w:proofErr w:type="spellEnd"/>
            <w:r w:rsidRPr="002045F5">
              <w:rPr>
                <w:color w:val="000000"/>
                <w:sz w:val="22"/>
              </w:rPr>
              <w:t>.</w:t>
            </w:r>
          </w:p>
          <w:p w:rsidR="001013F3" w:rsidRPr="002045F5" w:rsidRDefault="001013F3" w:rsidP="001013F3">
            <w:pPr>
              <w:rPr>
                <w:color w:val="000000"/>
                <w:sz w:val="22"/>
              </w:rPr>
            </w:pPr>
            <w:r w:rsidRPr="002045F5">
              <w:rPr>
                <w:b/>
                <w:color w:val="000000"/>
                <w:sz w:val="22"/>
              </w:rPr>
              <w:t>10.</w:t>
            </w:r>
            <w:r w:rsidRPr="002045F5">
              <w:rPr>
                <w:color w:val="000000"/>
                <w:sz w:val="22"/>
              </w:rPr>
              <w:t xml:space="preserve"> </w:t>
            </w:r>
            <w:proofErr w:type="spellStart"/>
            <w:r w:rsidRPr="002045F5">
              <w:rPr>
                <w:color w:val="000000"/>
                <w:sz w:val="22"/>
              </w:rPr>
              <w:t>Капітальний</w:t>
            </w:r>
            <w:proofErr w:type="spellEnd"/>
            <w:r w:rsidRPr="002045F5">
              <w:rPr>
                <w:color w:val="000000"/>
                <w:sz w:val="22"/>
              </w:rPr>
              <w:t xml:space="preserve"> ремонт </w:t>
            </w:r>
            <w:proofErr w:type="spellStart"/>
            <w:r w:rsidRPr="002045F5">
              <w:rPr>
                <w:color w:val="000000"/>
                <w:sz w:val="22"/>
              </w:rPr>
              <w:t>санвузлів</w:t>
            </w:r>
            <w:proofErr w:type="spellEnd"/>
            <w:r w:rsidRPr="002045F5">
              <w:rPr>
                <w:color w:val="000000"/>
                <w:sz w:val="22"/>
              </w:rPr>
              <w:t xml:space="preserve">, </w:t>
            </w:r>
            <w:proofErr w:type="spellStart"/>
            <w:r w:rsidRPr="002045F5">
              <w:rPr>
                <w:color w:val="000000"/>
                <w:sz w:val="22"/>
              </w:rPr>
              <w:t>їдальні</w:t>
            </w:r>
            <w:proofErr w:type="spellEnd"/>
            <w:r w:rsidRPr="002045F5">
              <w:rPr>
                <w:color w:val="000000"/>
                <w:sz w:val="22"/>
              </w:rPr>
              <w:t xml:space="preserve"> та </w:t>
            </w:r>
            <w:proofErr w:type="spellStart"/>
            <w:r w:rsidRPr="002045F5">
              <w:rPr>
                <w:color w:val="000000"/>
                <w:sz w:val="22"/>
              </w:rPr>
              <w:t>харчоблоку</w:t>
            </w:r>
            <w:proofErr w:type="spellEnd"/>
            <w:r w:rsidRPr="002045F5">
              <w:rPr>
                <w:color w:val="000000"/>
                <w:sz w:val="22"/>
              </w:rPr>
              <w:t xml:space="preserve">, </w:t>
            </w:r>
            <w:proofErr w:type="spellStart"/>
            <w:r w:rsidRPr="002045F5">
              <w:rPr>
                <w:color w:val="000000"/>
                <w:sz w:val="22"/>
              </w:rPr>
              <w:t>овочесховища</w:t>
            </w:r>
            <w:proofErr w:type="spellEnd"/>
            <w:r w:rsidRPr="002045F5">
              <w:rPr>
                <w:color w:val="000000"/>
                <w:sz w:val="22"/>
              </w:rPr>
              <w:t>.</w:t>
            </w:r>
          </w:p>
          <w:p w:rsidR="001013F3" w:rsidRPr="002045F5" w:rsidRDefault="001013F3" w:rsidP="001013F3">
            <w:pPr>
              <w:rPr>
                <w:color w:val="000000"/>
                <w:sz w:val="22"/>
              </w:rPr>
            </w:pPr>
            <w:r w:rsidRPr="002045F5">
              <w:rPr>
                <w:b/>
                <w:color w:val="000000"/>
                <w:sz w:val="22"/>
              </w:rPr>
              <w:t>11</w:t>
            </w:r>
            <w:r w:rsidRPr="002045F5">
              <w:rPr>
                <w:color w:val="000000"/>
                <w:sz w:val="22"/>
              </w:rPr>
              <w:t xml:space="preserve">.Капітальний ремонт </w:t>
            </w:r>
            <w:proofErr w:type="spellStart"/>
            <w:r w:rsidRPr="002045F5">
              <w:rPr>
                <w:color w:val="000000"/>
                <w:sz w:val="22"/>
              </w:rPr>
              <w:t>системи</w:t>
            </w:r>
            <w:proofErr w:type="spellEnd"/>
            <w:r w:rsidRPr="002045F5">
              <w:rPr>
                <w:color w:val="000000"/>
                <w:sz w:val="22"/>
              </w:rPr>
              <w:t xml:space="preserve"> </w:t>
            </w:r>
            <w:proofErr w:type="spellStart"/>
            <w:r w:rsidRPr="002045F5">
              <w:rPr>
                <w:color w:val="000000"/>
                <w:sz w:val="22"/>
              </w:rPr>
              <w:t>опалення</w:t>
            </w:r>
            <w:proofErr w:type="spellEnd"/>
            <w:r w:rsidRPr="002045F5">
              <w:rPr>
                <w:color w:val="000000"/>
                <w:sz w:val="22"/>
              </w:rPr>
              <w:t xml:space="preserve"> та </w:t>
            </w:r>
            <w:proofErr w:type="spellStart"/>
            <w:r w:rsidRPr="002045F5">
              <w:rPr>
                <w:color w:val="000000"/>
                <w:sz w:val="22"/>
              </w:rPr>
              <w:t>вентиляції</w:t>
            </w:r>
            <w:proofErr w:type="spellEnd"/>
            <w:r w:rsidRPr="002045F5">
              <w:rPr>
                <w:color w:val="000000"/>
                <w:sz w:val="22"/>
              </w:rPr>
              <w:t xml:space="preserve">; ремонт та </w:t>
            </w:r>
            <w:proofErr w:type="spellStart"/>
            <w:r w:rsidRPr="002045F5">
              <w:rPr>
                <w:color w:val="000000"/>
                <w:sz w:val="22"/>
              </w:rPr>
              <w:t>облаштування</w:t>
            </w:r>
            <w:proofErr w:type="spellEnd"/>
            <w:r w:rsidRPr="002045F5">
              <w:rPr>
                <w:color w:val="000000"/>
                <w:sz w:val="22"/>
              </w:rPr>
              <w:t xml:space="preserve"> </w:t>
            </w:r>
            <w:proofErr w:type="spellStart"/>
            <w:r w:rsidRPr="002045F5">
              <w:rPr>
                <w:color w:val="000000"/>
                <w:sz w:val="22"/>
              </w:rPr>
              <w:t>газової</w:t>
            </w:r>
            <w:proofErr w:type="spellEnd"/>
            <w:r w:rsidRPr="002045F5">
              <w:rPr>
                <w:color w:val="000000"/>
                <w:sz w:val="22"/>
              </w:rPr>
              <w:t xml:space="preserve"> </w:t>
            </w:r>
            <w:proofErr w:type="spellStart"/>
            <w:r w:rsidRPr="002045F5">
              <w:rPr>
                <w:color w:val="000000"/>
                <w:sz w:val="22"/>
              </w:rPr>
              <w:t>котельні</w:t>
            </w:r>
            <w:proofErr w:type="spellEnd"/>
            <w:r w:rsidRPr="002045F5">
              <w:rPr>
                <w:color w:val="000000"/>
                <w:sz w:val="22"/>
              </w:rPr>
              <w:t>.</w:t>
            </w:r>
          </w:p>
          <w:p w:rsidR="001013F3" w:rsidRPr="002045F5" w:rsidRDefault="001013F3" w:rsidP="001013F3">
            <w:pPr>
              <w:rPr>
                <w:color w:val="000000"/>
                <w:sz w:val="22"/>
              </w:rPr>
            </w:pPr>
            <w:r w:rsidRPr="002045F5">
              <w:rPr>
                <w:b/>
                <w:color w:val="000000"/>
                <w:sz w:val="22"/>
              </w:rPr>
              <w:t>12.</w:t>
            </w:r>
            <w:r w:rsidRPr="002045F5">
              <w:rPr>
                <w:color w:val="000000"/>
                <w:sz w:val="22"/>
              </w:rPr>
              <w:t xml:space="preserve">Капітальний ремонт </w:t>
            </w:r>
            <w:proofErr w:type="spellStart"/>
            <w:r w:rsidRPr="002045F5">
              <w:rPr>
                <w:color w:val="000000"/>
                <w:sz w:val="22"/>
              </w:rPr>
              <w:t>системи</w:t>
            </w:r>
            <w:proofErr w:type="spellEnd"/>
            <w:r w:rsidRPr="002045F5">
              <w:rPr>
                <w:color w:val="000000"/>
                <w:sz w:val="22"/>
              </w:rPr>
              <w:t xml:space="preserve"> </w:t>
            </w:r>
            <w:proofErr w:type="spellStart"/>
            <w:r w:rsidRPr="002045F5">
              <w:rPr>
                <w:color w:val="000000"/>
                <w:sz w:val="22"/>
              </w:rPr>
              <w:t>водопостачання</w:t>
            </w:r>
            <w:proofErr w:type="spellEnd"/>
            <w:r w:rsidRPr="002045F5">
              <w:rPr>
                <w:color w:val="000000"/>
                <w:sz w:val="22"/>
              </w:rPr>
              <w:t xml:space="preserve"> та </w:t>
            </w:r>
            <w:proofErr w:type="spellStart"/>
            <w:r w:rsidRPr="002045F5">
              <w:rPr>
                <w:color w:val="000000"/>
                <w:sz w:val="22"/>
              </w:rPr>
              <w:t>водовідведення</w:t>
            </w:r>
            <w:proofErr w:type="spellEnd"/>
            <w:r w:rsidRPr="002045F5">
              <w:rPr>
                <w:color w:val="000000"/>
                <w:sz w:val="22"/>
              </w:rPr>
              <w:t>.</w:t>
            </w:r>
          </w:p>
          <w:p w:rsidR="001013F3" w:rsidRPr="002045F5" w:rsidRDefault="001013F3" w:rsidP="001013F3">
            <w:pPr>
              <w:rPr>
                <w:color w:val="000000"/>
                <w:sz w:val="22"/>
              </w:rPr>
            </w:pPr>
            <w:r w:rsidRPr="002045F5">
              <w:rPr>
                <w:b/>
                <w:color w:val="000000"/>
                <w:sz w:val="22"/>
              </w:rPr>
              <w:t>13.</w:t>
            </w:r>
            <w:r w:rsidRPr="002045F5">
              <w:rPr>
                <w:color w:val="000000"/>
                <w:sz w:val="22"/>
              </w:rPr>
              <w:t xml:space="preserve"> </w:t>
            </w:r>
            <w:proofErr w:type="spellStart"/>
            <w:proofErr w:type="gramStart"/>
            <w:r w:rsidRPr="002045F5">
              <w:rPr>
                <w:color w:val="000000"/>
                <w:sz w:val="22"/>
              </w:rPr>
              <w:t>Облаштування</w:t>
            </w:r>
            <w:proofErr w:type="spellEnd"/>
            <w:r w:rsidRPr="002045F5">
              <w:rPr>
                <w:color w:val="000000"/>
                <w:sz w:val="22"/>
              </w:rPr>
              <w:t xml:space="preserve">  та</w:t>
            </w:r>
            <w:proofErr w:type="gramEnd"/>
            <w:r w:rsidRPr="002045F5">
              <w:rPr>
                <w:color w:val="000000"/>
                <w:sz w:val="22"/>
              </w:rPr>
              <w:t xml:space="preserve"> </w:t>
            </w:r>
            <w:proofErr w:type="spellStart"/>
            <w:r w:rsidRPr="002045F5">
              <w:rPr>
                <w:color w:val="000000"/>
                <w:sz w:val="22"/>
              </w:rPr>
              <w:t>оснащення</w:t>
            </w:r>
            <w:proofErr w:type="spellEnd"/>
            <w:r w:rsidRPr="002045F5">
              <w:rPr>
                <w:color w:val="000000"/>
                <w:sz w:val="22"/>
              </w:rPr>
              <w:t xml:space="preserve"> </w:t>
            </w:r>
            <w:proofErr w:type="spellStart"/>
            <w:r w:rsidRPr="002045F5">
              <w:rPr>
                <w:color w:val="000000"/>
                <w:sz w:val="22"/>
              </w:rPr>
              <w:t>сучасного</w:t>
            </w:r>
            <w:proofErr w:type="spellEnd"/>
            <w:r w:rsidRPr="002045F5">
              <w:rPr>
                <w:color w:val="000000"/>
                <w:sz w:val="22"/>
              </w:rPr>
              <w:t xml:space="preserve"> </w:t>
            </w:r>
            <w:proofErr w:type="spellStart"/>
            <w:r w:rsidRPr="002045F5">
              <w:rPr>
                <w:color w:val="000000"/>
                <w:sz w:val="22"/>
              </w:rPr>
              <w:t>бомбосховища</w:t>
            </w:r>
            <w:proofErr w:type="spellEnd"/>
            <w:r w:rsidRPr="002045F5">
              <w:rPr>
                <w:color w:val="000000"/>
                <w:sz w:val="22"/>
              </w:rPr>
              <w:t xml:space="preserve">, </w:t>
            </w:r>
            <w:proofErr w:type="spellStart"/>
            <w:r w:rsidRPr="002045F5">
              <w:rPr>
                <w:color w:val="000000"/>
                <w:sz w:val="22"/>
              </w:rPr>
              <w:t>книгосховища</w:t>
            </w:r>
            <w:proofErr w:type="spellEnd"/>
            <w:r w:rsidRPr="002045F5">
              <w:rPr>
                <w:color w:val="000000"/>
                <w:sz w:val="22"/>
              </w:rPr>
              <w:t xml:space="preserve"> та </w:t>
            </w:r>
            <w:proofErr w:type="spellStart"/>
            <w:r w:rsidRPr="002045F5">
              <w:rPr>
                <w:color w:val="000000"/>
                <w:sz w:val="22"/>
              </w:rPr>
              <w:t>підсобного</w:t>
            </w:r>
            <w:proofErr w:type="spellEnd"/>
            <w:r w:rsidRPr="002045F5">
              <w:rPr>
                <w:color w:val="000000"/>
                <w:sz w:val="22"/>
              </w:rPr>
              <w:t xml:space="preserve"> </w:t>
            </w:r>
            <w:proofErr w:type="spellStart"/>
            <w:r w:rsidRPr="002045F5">
              <w:rPr>
                <w:color w:val="000000"/>
                <w:sz w:val="22"/>
              </w:rPr>
              <w:t>приміщення</w:t>
            </w:r>
            <w:proofErr w:type="spellEnd"/>
            <w:r w:rsidRPr="002045F5">
              <w:rPr>
                <w:color w:val="000000"/>
                <w:sz w:val="22"/>
              </w:rPr>
              <w:t>.</w:t>
            </w:r>
          </w:p>
          <w:p w:rsidR="001013F3" w:rsidRPr="002045F5" w:rsidRDefault="001013F3" w:rsidP="001013F3">
            <w:pPr>
              <w:rPr>
                <w:color w:val="000000"/>
                <w:sz w:val="22"/>
              </w:rPr>
            </w:pPr>
            <w:r w:rsidRPr="002045F5">
              <w:rPr>
                <w:b/>
                <w:color w:val="000000"/>
                <w:sz w:val="22"/>
              </w:rPr>
              <w:t>14.</w:t>
            </w:r>
            <w:r w:rsidRPr="002045F5">
              <w:rPr>
                <w:color w:val="000000"/>
                <w:sz w:val="22"/>
              </w:rPr>
              <w:t xml:space="preserve">Оснащення </w:t>
            </w:r>
            <w:proofErr w:type="spellStart"/>
            <w:r w:rsidRPr="002045F5">
              <w:rPr>
                <w:color w:val="000000"/>
                <w:sz w:val="22"/>
              </w:rPr>
              <w:t>навчальних</w:t>
            </w:r>
            <w:proofErr w:type="spellEnd"/>
            <w:r w:rsidRPr="002045F5">
              <w:rPr>
                <w:color w:val="000000"/>
                <w:sz w:val="22"/>
              </w:rPr>
              <w:t xml:space="preserve"> та </w:t>
            </w:r>
            <w:proofErr w:type="spellStart"/>
            <w:r w:rsidRPr="002045F5">
              <w:rPr>
                <w:color w:val="000000"/>
                <w:sz w:val="22"/>
              </w:rPr>
              <w:t>адміністративних</w:t>
            </w:r>
            <w:proofErr w:type="spellEnd"/>
            <w:r w:rsidRPr="002045F5">
              <w:rPr>
                <w:color w:val="000000"/>
                <w:sz w:val="22"/>
              </w:rPr>
              <w:t xml:space="preserve"> </w:t>
            </w:r>
            <w:proofErr w:type="spellStart"/>
            <w:r w:rsidRPr="002045F5">
              <w:rPr>
                <w:color w:val="000000"/>
                <w:sz w:val="22"/>
              </w:rPr>
              <w:t>кабінетів</w:t>
            </w:r>
            <w:proofErr w:type="spellEnd"/>
            <w:r w:rsidRPr="002045F5">
              <w:rPr>
                <w:color w:val="000000"/>
                <w:sz w:val="22"/>
              </w:rPr>
              <w:t xml:space="preserve">, </w:t>
            </w:r>
            <w:proofErr w:type="spellStart"/>
            <w:r w:rsidRPr="002045F5">
              <w:rPr>
                <w:color w:val="000000"/>
                <w:sz w:val="22"/>
              </w:rPr>
              <w:t>кімнати</w:t>
            </w:r>
            <w:proofErr w:type="spellEnd"/>
            <w:r w:rsidRPr="002045F5">
              <w:rPr>
                <w:color w:val="000000"/>
                <w:sz w:val="22"/>
              </w:rPr>
              <w:t xml:space="preserve"> для </w:t>
            </w:r>
            <w:proofErr w:type="spellStart"/>
            <w:r w:rsidRPr="002045F5">
              <w:rPr>
                <w:color w:val="000000"/>
                <w:sz w:val="22"/>
              </w:rPr>
              <w:t>дітей</w:t>
            </w:r>
            <w:proofErr w:type="spellEnd"/>
            <w:r w:rsidRPr="002045F5">
              <w:rPr>
                <w:color w:val="000000"/>
                <w:sz w:val="22"/>
              </w:rPr>
              <w:t xml:space="preserve"> </w:t>
            </w:r>
            <w:proofErr w:type="spellStart"/>
            <w:r w:rsidRPr="002045F5">
              <w:rPr>
                <w:color w:val="000000"/>
                <w:sz w:val="22"/>
              </w:rPr>
              <w:t>дошкільного</w:t>
            </w:r>
            <w:proofErr w:type="spellEnd"/>
            <w:r w:rsidRPr="002045F5">
              <w:rPr>
                <w:color w:val="000000"/>
                <w:sz w:val="22"/>
              </w:rPr>
              <w:t xml:space="preserve"> </w:t>
            </w:r>
            <w:proofErr w:type="spellStart"/>
            <w:r w:rsidRPr="002045F5">
              <w:rPr>
                <w:color w:val="000000"/>
                <w:sz w:val="22"/>
              </w:rPr>
              <w:t>підрозділу</w:t>
            </w:r>
            <w:proofErr w:type="spellEnd"/>
            <w:r w:rsidRPr="002045F5">
              <w:rPr>
                <w:color w:val="000000"/>
                <w:sz w:val="22"/>
              </w:rPr>
              <w:t xml:space="preserve">, </w:t>
            </w:r>
            <w:proofErr w:type="spellStart"/>
            <w:r w:rsidRPr="002045F5">
              <w:rPr>
                <w:color w:val="000000"/>
                <w:sz w:val="22"/>
              </w:rPr>
              <w:t>бібліотеки</w:t>
            </w:r>
            <w:proofErr w:type="spellEnd"/>
            <w:r w:rsidRPr="002045F5">
              <w:rPr>
                <w:color w:val="000000"/>
                <w:sz w:val="22"/>
              </w:rPr>
              <w:t xml:space="preserve">, </w:t>
            </w:r>
            <w:proofErr w:type="spellStart"/>
            <w:r w:rsidRPr="002045F5">
              <w:rPr>
                <w:color w:val="000000"/>
                <w:sz w:val="22"/>
              </w:rPr>
              <w:t>актової</w:t>
            </w:r>
            <w:proofErr w:type="spellEnd"/>
            <w:r w:rsidRPr="002045F5">
              <w:rPr>
                <w:color w:val="000000"/>
                <w:sz w:val="22"/>
              </w:rPr>
              <w:t xml:space="preserve"> </w:t>
            </w:r>
            <w:proofErr w:type="spellStart"/>
            <w:r w:rsidRPr="002045F5">
              <w:rPr>
                <w:color w:val="000000"/>
                <w:sz w:val="22"/>
              </w:rPr>
              <w:t>зали</w:t>
            </w:r>
            <w:proofErr w:type="spellEnd"/>
            <w:r w:rsidRPr="002045F5">
              <w:rPr>
                <w:color w:val="000000"/>
                <w:sz w:val="22"/>
              </w:rPr>
              <w:t xml:space="preserve">, </w:t>
            </w:r>
            <w:proofErr w:type="spellStart"/>
            <w:r w:rsidRPr="002045F5">
              <w:rPr>
                <w:color w:val="000000"/>
                <w:sz w:val="22"/>
              </w:rPr>
              <w:t>технічними</w:t>
            </w:r>
            <w:proofErr w:type="spellEnd"/>
            <w:r w:rsidRPr="002045F5">
              <w:rPr>
                <w:color w:val="000000"/>
                <w:sz w:val="22"/>
              </w:rPr>
              <w:t xml:space="preserve"> </w:t>
            </w:r>
            <w:proofErr w:type="spellStart"/>
            <w:r w:rsidRPr="002045F5">
              <w:rPr>
                <w:color w:val="000000"/>
                <w:sz w:val="22"/>
              </w:rPr>
              <w:t>засобами</w:t>
            </w:r>
            <w:proofErr w:type="spellEnd"/>
            <w:r w:rsidRPr="002045F5">
              <w:rPr>
                <w:color w:val="000000"/>
                <w:sz w:val="22"/>
              </w:rPr>
              <w:t xml:space="preserve"> </w:t>
            </w:r>
            <w:proofErr w:type="spellStart"/>
            <w:r w:rsidRPr="002045F5">
              <w:rPr>
                <w:color w:val="000000"/>
                <w:sz w:val="22"/>
              </w:rPr>
              <w:t>навчання</w:t>
            </w:r>
            <w:proofErr w:type="spellEnd"/>
            <w:r w:rsidRPr="002045F5">
              <w:rPr>
                <w:color w:val="000000"/>
                <w:sz w:val="22"/>
              </w:rPr>
              <w:t xml:space="preserve"> і </w:t>
            </w:r>
            <w:proofErr w:type="spellStart"/>
            <w:r w:rsidRPr="002045F5">
              <w:rPr>
                <w:color w:val="000000"/>
                <w:sz w:val="22"/>
              </w:rPr>
              <w:t>комп'ютерною</w:t>
            </w:r>
            <w:proofErr w:type="spellEnd"/>
            <w:r w:rsidRPr="002045F5">
              <w:rPr>
                <w:color w:val="000000"/>
                <w:sz w:val="22"/>
              </w:rPr>
              <w:t xml:space="preserve"> </w:t>
            </w:r>
            <w:proofErr w:type="spellStart"/>
            <w:r w:rsidRPr="002045F5">
              <w:rPr>
                <w:color w:val="000000"/>
                <w:sz w:val="22"/>
              </w:rPr>
              <w:t>технікою</w:t>
            </w:r>
            <w:proofErr w:type="spellEnd"/>
            <w:r w:rsidRPr="002045F5">
              <w:rPr>
                <w:color w:val="000000"/>
                <w:sz w:val="22"/>
              </w:rPr>
              <w:t xml:space="preserve"> та </w:t>
            </w:r>
            <w:proofErr w:type="spellStart"/>
            <w:r w:rsidRPr="002045F5">
              <w:rPr>
                <w:color w:val="000000"/>
                <w:sz w:val="22"/>
              </w:rPr>
              <w:t>методичними</w:t>
            </w:r>
            <w:proofErr w:type="spellEnd"/>
            <w:r w:rsidRPr="002045F5">
              <w:rPr>
                <w:color w:val="000000"/>
                <w:sz w:val="22"/>
              </w:rPr>
              <w:t xml:space="preserve"> </w:t>
            </w:r>
            <w:proofErr w:type="spellStart"/>
            <w:r w:rsidRPr="002045F5">
              <w:rPr>
                <w:color w:val="000000"/>
                <w:sz w:val="22"/>
              </w:rPr>
              <w:t>матеріалами</w:t>
            </w:r>
            <w:proofErr w:type="spellEnd"/>
            <w:r w:rsidRPr="002045F5">
              <w:rPr>
                <w:color w:val="000000"/>
                <w:sz w:val="22"/>
              </w:rPr>
              <w:t xml:space="preserve">; </w:t>
            </w:r>
            <w:proofErr w:type="spellStart"/>
            <w:r w:rsidRPr="002045F5">
              <w:rPr>
                <w:color w:val="000000"/>
                <w:sz w:val="22"/>
              </w:rPr>
              <w:t>оснащення</w:t>
            </w:r>
            <w:proofErr w:type="spellEnd"/>
            <w:r w:rsidRPr="002045F5">
              <w:rPr>
                <w:color w:val="000000"/>
                <w:sz w:val="22"/>
              </w:rPr>
              <w:t xml:space="preserve"> </w:t>
            </w:r>
            <w:proofErr w:type="spellStart"/>
            <w:r w:rsidRPr="002045F5">
              <w:rPr>
                <w:color w:val="000000"/>
                <w:sz w:val="22"/>
              </w:rPr>
              <w:t>медичного</w:t>
            </w:r>
            <w:proofErr w:type="spellEnd"/>
            <w:r w:rsidRPr="002045F5">
              <w:rPr>
                <w:color w:val="000000"/>
                <w:sz w:val="22"/>
              </w:rPr>
              <w:t xml:space="preserve"> </w:t>
            </w:r>
            <w:proofErr w:type="spellStart"/>
            <w:r w:rsidRPr="002045F5">
              <w:rPr>
                <w:color w:val="000000"/>
                <w:sz w:val="22"/>
              </w:rPr>
              <w:t>кабінету</w:t>
            </w:r>
            <w:proofErr w:type="spellEnd"/>
            <w:r w:rsidRPr="002045F5">
              <w:rPr>
                <w:color w:val="000000"/>
                <w:sz w:val="22"/>
              </w:rPr>
              <w:t xml:space="preserve"> медикаментами, </w:t>
            </w:r>
            <w:proofErr w:type="spellStart"/>
            <w:r w:rsidRPr="002045F5">
              <w:rPr>
                <w:color w:val="000000"/>
                <w:sz w:val="22"/>
              </w:rPr>
              <w:t>медичними</w:t>
            </w:r>
            <w:proofErr w:type="spellEnd"/>
            <w:r w:rsidRPr="002045F5">
              <w:rPr>
                <w:color w:val="000000"/>
                <w:sz w:val="22"/>
              </w:rPr>
              <w:t xml:space="preserve"> </w:t>
            </w:r>
            <w:proofErr w:type="spellStart"/>
            <w:r w:rsidRPr="002045F5">
              <w:rPr>
                <w:color w:val="000000"/>
                <w:sz w:val="22"/>
              </w:rPr>
              <w:t>засобами</w:t>
            </w:r>
            <w:proofErr w:type="spellEnd"/>
            <w:r w:rsidRPr="002045F5">
              <w:rPr>
                <w:color w:val="000000"/>
                <w:sz w:val="22"/>
              </w:rPr>
              <w:t xml:space="preserve">, </w:t>
            </w:r>
            <w:proofErr w:type="spellStart"/>
            <w:r w:rsidRPr="002045F5">
              <w:rPr>
                <w:color w:val="000000"/>
                <w:sz w:val="22"/>
              </w:rPr>
              <w:t>інвентарем</w:t>
            </w:r>
            <w:proofErr w:type="spellEnd"/>
            <w:r w:rsidRPr="002045F5">
              <w:rPr>
                <w:color w:val="000000"/>
                <w:sz w:val="22"/>
              </w:rPr>
              <w:t xml:space="preserve">. </w:t>
            </w:r>
          </w:p>
          <w:p w:rsidR="001013F3" w:rsidRPr="002045F5" w:rsidRDefault="001013F3" w:rsidP="001013F3">
            <w:pPr>
              <w:rPr>
                <w:color w:val="000000"/>
                <w:sz w:val="22"/>
              </w:rPr>
            </w:pPr>
            <w:r w:rsidRPr="002045F5">
              <w:rPr>
                <w:b/>
                <w:color w:val="000000"/>
                <w:sz w:val="22"/>
              </w:rPr>
              <w:t>15</w:t>
            </w:r>
            <w:r w:rsidRPr="002045F5">
              <w:rPr>
                <w:color w:val="000000"/>
                <w:sz w:val="22"/>
              </w:rPr>
              <w:t xml:space="preserve">.Встановлення </w:t>
            </w:r>
            <w:proofErr w:type="spellStart"/>
            <w:r w:rsidRPr="002045F5">
              <w:rPr>
                <w:color w:val="000000"/>
                <w:sz w:val="22"/>
              </w:rPr>
              <w:t>сучасної</w:t>
            </w:r>
            <w:proofErr w:type="spellEnd"/>
            <w:r w:rsidRPr="002045F5">
              <w:rPr>
                <w:color w:val="000000"/>
                <w:sz w:val="22"/>
              </w:rPr>
              <w:t xml:space="preserve"> </w:t>
            </w:r>
            <w:proofErr w:type="spellStart"/>
            <w:r w:rsidRPr="002045F5">
              <w:rPr>
                <w:color w:val="000000"/>
                <w:sz w:val="22"/>
              </w:rPr>
              <w:t>системи</w:t>
            </w:r>
            <w:proofErr w:type="spellEnd"/>
            <w:r w:rsidRPr="002045F5">
              <w:rPr>
                <w:color w:val="000000"/>
                <w:sz w:val="22"/>
              </w:rPr>
              <w:t xml:space="preserve"> </w:t>
            </w:r>
            <w:proofErr w:type="spellStart"/>
            <w:r w:rsidRPr="002045F5">
              <w:rPr>
                <w:color w:val="000000"/>
                <w:sz w:val="22"/>
              </w:rPr>
              <w:t>відеоспостереження</w:t>
            </w:r>
            <w:proofErr w:type="spellEnd"/>
            <w:r w:rsidRPr="002045F5">
              <w:rPr>
                <w:color w:val="000000"/>
                <w:sz w:val="22"/>
              </w:rPr>
              <w:t xml:space="preserve"> та </w:t>
            </w:r>
            <w:proofErr w:type="spellStart"/>
            <w:r w:rsidRPr="002045F5">
              <w:rPr>
                <w:color w:val="000000"/>
                <w:sz w:val="22"/>
              </w:rPr>
              <w:t>освітлення</w:t>
            </w:r>
            <w:proofErr w:type="spellEnd"/>
            <w:r w:rsidRPr="002045F5">
              <w:rPr>
                <w:color w:val="000000"/>
                <w:sz w:val="22"/>
              </w:rPr>
              <w:t xml:space="preserve"> </w:t>
            </w:r>
            <w:proofErr w:type="spellStart"/>
            <w:r w:rsidRPr="002045F5">
              <w:rPr>
                <w:color w:val="000000"/>
                <w:sz w:val="22"/>
              </w:rPr>
              <w:t>школи</w:t>
            </w:r>
            <w:proofErr w:type="spellEnd"/>
            <w:r w:rsidRPr="002045F5">
              <w:rPr>
                <w:color w:val="000000"/>
                <w:sz w:val="22"/>
              </w:rPr>
              <w:t xml:space="preserve"> і </w:t>
            </w:r>
            <w:proofErr w:type="spellStart"/>
            <w:r w:rsidRPr="002045F5">
              <w:rPr>
                <w:color w:val="000000"/>
                <w:sz w:val="22"/>
              </w:rPr>
              <w:t>прилеглої</w:t>
            </w:r>
            <w:proofErr w:type="spellEnd"/>
            <w:r w:rsidRPr="002045F5">
              <w:rPr>
                <w:color w:val="000000"/>
                <w:sz w:val="22"/>
              </w:rPr>
              <w:t xml:space="preserve"> </w:t>
            </w:r>
            <w:proofErr w:type="spellStart"/>
            <w:proofErr w:type="gramStart"/>
            <w:r w:rsidRPr="002045F5">
              <w:rPr>
                <w:color w:val="000000"/>
                <w:sz w:val="22"/>
              </w:rPr>
              <w:t>території</w:t>
            </w:r>
            <w:proofErr w:type="spellEnd"/>
            <w:r w:rsidRPr="002045F5">
              <w:rPr>
                <w:color w:val="000000"/>
                <w:sz w:val="22"/>
              </w:rPr>
              <w:t xml:space="preserve">  .</w:t>
            </w:r>
            <w:proofErr w:type="gramEnd"/>
          </w:p>
          <w:p w:rsidR="001013F3" w:rsidRPr="002045F5" w:rsidRDefault="001013F3" w:rsidP="001013F3">
            <w:pPr>
              <w:rPr>
                <w:color w:val="000000"/>
                <w:sz w:val="22"/>
              </w:rPr>
            </w:pPr>
            <w:r w:rsidRPr="002045F5">
              <w:rPr>
                <w:b/>
                <w:color w:val="000000"/>
                <w:sz w:val="22"/>
              </w:rPr>
              <w:t>17.</w:t>
            </w:r>
            <w:r w:rsidRPr="002045F5">
              <w:rPr>
                <w:color w:val="000000"/>
                <w:sz w:val="22"/>
              </w:rPr>
              <w:t xml:space="preserve"> </w:t>
            </w:r>
            <w:proofErr w:type="spellStart"/>
            <w:r w:rsidRPr="002045F5">
              <w:rPr>
                <w:color w:val="000000"/>
                <w:sz w:val="22"/>
              </w:rPr>
              <w:t>Благоустрій</w:t>
            </w:r>
            <w:proofErr w:type="spellEnd"/>
            <w:r w:rsidRPr="002045F5">
              <w:rPr>
                <w:color w:val="000000"/>
                <w:sz w:val="22"/>
              </w:rPr>
              <w:t xml:space="preserve"> та </w:t>
            </w:r>
            <w:proofErr w:type="spellStart"/>
            <w:r w:rsidRPr="002045F5">
              <w:rPr>
                <w:color w:val="000000"/>
                <w:sz w:val="22"/>
              </w:rPr>
              <w:t>озеленення</w:t>
            </w:r>
            <w:proofErr w:type="spellEnd"/>
            <w:r w:rsidRPr="002045F5">
              <w:rPr>
                <w:color w:val="000000"/>
                <w:sz w:val="22"/>
              </w:rPr>
              <w:t xml:space="preserve"> </w:t>
            </w:r>
            <w:proofErr w:type="spellStart"/>
            <w:r w:rsidRPr="002045F5">
              <w:rPr>
                <w:color w:val="000000"/>
                <w:sz w:val="22"/>
              </w:rPr>
              <w:t>прилеглої</w:t>
            </w:r>
            <w:proofErr w:type="spellEnd"/>
            <w:r w:rsidRPr="002045F5">
              <w:rPr>
                <w:color w:val="000000"/>
                <w:sz w:val="22"/>
              </w:rPr>
              <w:t xml:space="preserve"> </w:t>
            </w:r>
            <w:proofErr w:type="spellStart"/>
            <w:r w:rsidRPr="002045F5">
              <w:rPr>
                <w:color w:val="000000"/>
                <w:sz w:val="22"/>
              </w:rPr>
              <w:t>території</w:t>
            </w:r>
            <w:proofErr w:type="spellEnd"/>
            <w:r w:rsidRPr="002045F5">
              <w:rPr>
                <w:color w:val="000000"/>
                <w:sz w:val="22"/>
              </w:rPr>
              <w:t>.</w:t>
            </w:r>
          </w:p>
          <w:p w:rsidR="001013F3" w:rsidRPr="002045F5" w:rsidRDefault="001013F3" w:rsidP="001013F3">
            <w:pPr>
              <w:rPr>
                <w:color w:val="000000"/>
                <w:sz w:val="22"/>
              </w:rPr>
            </w:pPr>
            <w:r w:rsidRPr="002045F5">
              <w:rPr>
                <w:b/>
                <w:color w:val="000000"/>
                <w:sz w:val="22"/>
              </w:rPr>
              <w:t>16.</w:t>
            </w:r>
            <w:r w:rsidRPr="002045F5">
              <w:rPr>
                <w:color w:val="000000"/>
                <w:sz w:val="22"/>
              </w:rPr>
              <w:t xml:space="preserve">Звітування про </w:t>
            </w:r>
            <w:proofErr w:type="spellStart"/>
            <w:r w:rsidRPr="002045F5">
              <w:rPr>
                <w:color w:val="000000"/>
                <w:sz w:val="22"/>
              </w:rPr>
              <w:t>хід</w:t>
            </w:r>
            <w:proofErr w:type="spellEnd"/>
            <w:r w:rsidRPr="002045F5">
              <w:rPr>
                <w:color w:val="000000"/>
                <w:sz w:val="22"/>
              </w:rPr>
              <w:t xml:space="preserve"> </w:t>
            </w:r>
            <w:proofErr w:type="spellStart"/>
            <w:r w:rsidRPr="002045F5">
              <w:rPr>
                <w:color w:val="000000"/>
                <w:sz w:val="22"/>
              </w:rPr>
              <w:t>реалізації</w:t>
            </w:r>
            <w:proofErr w:type="spellEnd"/>
            <w:r w:rsidRPr="002045F5">
              <w:rPr>
                <w:color w:val="000000"/>
                <w:sz w:val="22"/>
              </w:rPr>
              <w:t xml:space="preserve"> </w:t>
            </w:r>
            <w:proofErr w:type="spellStart"/>
            <w:r w:rsidRPr="002045F5">
              <w:rPr>
                <w:color w:val="000000"/>
                <w:sz w:val="22"/>
              </w:rPr>
              <w:t>про</w:t>
            </w:r>
            <w:r w:rsidR="0027067C" w:rsidRPr="002045F5">
              <w:rPr>
                <w:color w:val="000000"/>
                <w:sz w:val="22"/>
              </w:rPr>
              <w:t>є</w:t>
            </w:r>
            <w:r w:rsidRPr="002045F5">
              <w:rPr>
                <w:color w:val="000000"/>
                <w:sz w:val="22"/>
              </w:rPr>
              <w:t>кту</w:t>
            </w:r>
            <w:proofErr w:type="spellEnd"/>
            <w:r w:rsidRPr="002045F5">
              <w:rPr>
                <w:color w:val="000000"/>
                <w:sz w:val="22"/>
              </w:rPr>
              <w:t xml:space="preserve"> перед громадою та </w:t>
            </w:r>
            <w:proofErr w:type="spellStart"/>
            <w:r w:rsidRPr="002045F5">
              <w:rPr>
                <w:color w:val="000000"/>
                <w:sz w:val="22"/>
              </w:rPr>
              <w:t>інвестором</w:t>
            </w:r>
            <w:proofErr w:type="spellEnd"/>
            <w:r w:rsidRPr="002045F5">
              <w:rPr>
                <w:color w:val="000000"/>
                <w:sz w:val="22"/>
              </w:rPr>
              <w:t>.</w:t>
            </w:r>
          </w:p>
          <w:p w:rsidR="001013F3" w:rsidRPr="002045F5" w:rsidRDefault="001013F3" w:rsidP="001013F3">
            <w:pPr>
              <w:rPr>
                <w:sz w:val="22"/>
              </w:rPr>
            </w:pPr>
            <w:r w:rsidRPr="002045F5">
              <w:rPr>
                <w:b/>
                <w:color w:val="000000"/>
                <w:sz w:val="22"/>
              </w:rPr>
              <w:t>17.</w:t>
            </w:r>
            <w:r w:rsidRPr="002045F5">
              <w:rPr>
                <w:color w:val="000000"/>
                <w:sz w:val="22"/>
              </w:rPr>
              <w:t xml:space="preserve"> </w:t>
            </w:r>
            <w:proofErr w:type="spellStart"/>
            <w:r w:rsidRPr="002045F5">
              <w:rPr>
                <w:color w:val="000000"/>
                <w:sz w:val="22"/>
              </w:rPr>
              <w:t>Введення</w:t>
            </w:r>
            <w:proofErr w:type="spellEnd"/>
            <w:r w:rsidRPr="002045F5">
              <w:rPr>
                <w:color w:val="000000"/>
                <w:sz w:val="22"/>
              </w:rPr>
              <w:t xml:space="preserve"> </w:t>
            </w:r>
            <w:proofErr w:type="spellStart"/>
            <w:proofErr w:type="gramStart"/>
            <w:r w:rsidRPr="002045F5">
              <w:rPr>
                <w:color w:val="000000"/>
                <w:sz w:val="22"/>
              </w:rPr>
              <w:t>об’єкта</w:t>
            </w:r>
            <w:proofErr w:type="spellEnd"/>
            <w:r w:rsidRPr="002045F5">
              <w:rPr>
                <w:color w:val="000000"/>
                <w:sz w:val="22"/>
              </w:rPr>
              <w:t xml:space="preserve">  в</w:t>
            </w:r>
            <w:proofErr w:type="gramEnd"/>
            <w:r w:rsidRPr="002045F5">
              <w:rPr>
                <w:color w:val="000000"/>
                <w:sz w:val="22"/>
              </w:rPr>
              <w:t xml:space="preserve"> </w:t>
            </w:r>
            <w:proofErr w:type="spellStart"/>
            <w:r w:rsidRPr="002045F5">
              <w:rPr>
                <w:color w:val="000000"/>
                <w:sz w:val="22"/>
              </w:rPr>
              <w:t>експлуатацію</w:t>
            </w:r>
            <w:proofErr w:type="spellEnd"/>
            <w:r w:rsidRPr="002045F5">
              <w:rPr>
                <w:color w:val="000000"/>
                <w:sz w:val="22"/>
              </w:rPr>
              <w:t>.</w:t>
            </w:r>
          </w:p>
        </w:tc>
      </w:tr>
      <w:tr w:rsidR="001013F3" w:rsidRPr="002045F5" w:rsidTr="003E7A6B">
        <w:trPr>
          <w:trHeight w:val="360"/>
        </w:trPr>
        <w:tc>
          <w:tcPr>
            <w:tcW w:w="2978" w:type="dxa"/>
            <w:vMerge w:val="restart"/>
            <w:shd w:val="clear" w:color="auto" w:fill="C6D9F1" w:themeFill="text2" w:themeFillTint="33"/>
          </w:tcPr>
          <w:p w:rsidR="001013F3" w:rsidRPr="002045F5" w:rsidRDefault="001013F3" w:rsidP="001013F3">
            <w:pPr>
              <w:pStyle w:val="a7"/>
              <w:ind w:left="0"/>
              <w:rPr>
                <w:b/>
                <w:sz w:val="22"/>
              </w:rPr>
            </w:pPr>
            <w:proofErr w:type="spellStart"/>
            <w:r w:rsidRPr="002045F5">
              <w:rPr>
                <w:b/>
                <w:sz w:val="22"/>
              </w:rPr>
              <w:lastRenderedPageBreak/>
              <w:t>Орієнтовний</w:t>
            </w:r>
            <w:proofErr w:type="spellEnd"/>
            <w:r w:rsidRPr="002045F5">
              <w:rPr>
                <w:b/>
                <w:sz w:val="22"/>
              </w:rPr>
              <w:t xml:space="preserve"> </w:t>
            </w:r>
            <w:proofErr w:type="spellStart"/>
            <w:r w:rsidRPr="002045F5">
              <w:rPr>
                <w:b/>
                <w:sz w:val="22"/>
              </w:rPr>
              <w:t>обсяг</w:t>
            </w:r>
            <w:proofErr w:type="spellEnd"/>
            <w:r w:rsidRPr="002045F5">
              <w:rPr>
                <w:b/>
                <w:sz w:val="22"/>
              </w:rPr>
              <w:t xml:space="preserve"> та </w:t>
            </w:r>
            <w:proofErr w:type="spellStart"/>
            <w:r w:rsidRPr="002045F5">
              <w:rPr>
                <w:b/>
                <w:sz w:val="22"/>
              </w:rPr>
              <w:t>джерела</w:t>
            </w:r>
            <w:proofErr w:type="spellEnd"/>
            <w:r w:rsidRPr="002045F5">
              <w:rPr>
                <w:b/>
                <w:sz w:val="22"/>
              </w:rPr>
              <w:t xml:space="preserve"> </w:t>
            </w:r>
            <w:proofErr w:type="spellStart"/>
            <w:r w:rsidRPr="002045F5">
              <w:rPr>
                <w:b/>
                <w:sz w:val="22"/>
              </w:rPr>
              <w:t>фінансування</w:t>
            </w:r>
            <w:proofErr w:type="spellEnd"/>
            <w:r w:rsidRPr="002045F5">
              <w:rPr>
                <w:b/>
                <w:sz w:val="22"/>
              </w:rPr>
              <w:t xml:space="preserve">, тис. грн. </w:t>
            </w:r>
          </w:p>
          <w:p w:rsidR="001013F3" w:rsidRPr="002045F5" w:rsidRDefault="001013F3" w:rsidP="001013F3">
            <w:pPr>
              <w:pStyle w:val="a7"/>
              <w:ind w:left="0"/>
              <w:rPr>
                <w:b/>
                <w:sz w:val="22"/>
              </w:rPr>
            </w:pPr>
          </w:p>
        </w:tc>
        <w:tc>
          <w:tcPr>
            <w:tcW w:w="1417" w:type="dxa"/>
            <w:tcBorders>
              <w:bottom w:val="single" w:sz="4" w:space="0" w:color="auto"/>
              <w:right w:val="single" w:sz="4" w:space="0" w:color="auto"/>
            </w:tcBorders>
          </w:tcPr>
          <w:p w:rsidR="001013F3" w:rsidRPr="002045F5" w:rsidRDefault="001013F3" w:rsidP="001013F3">
            <w:pPr>
              <w:pStyle w:val="a7"/>
              <w:ind w:left="0"/>
              <w:jc w:val="center"/>
              <w:rPr>
                <w:b/>
                <w:sz w:val="22"/>
              </w:rPr>
            </w:pPr>
            <w:proofErr w:type="spellStart"/>
            <w:r w:rsidRPr="002045F5">
              <w:rPr>
                <w:b/>
                <w:sz w:val="22"/>
              </w:rPr>
              <w:t>Державний</w:t>
            </w:r>
            <w:proofErr w:type="spellEnd"/>
            <w:r w:rsidRPr="002045F5">
              <w:rPr>
                <w:b/>
                <w:sz w:val="22"/>
              </w:rPr>
              <w:t xml:space="preserve"> бюджет</w:t>
            </w:r>
          </w:p>
        </w:tc>
        <w:tc>
          <w:tcPr>
            <w:tcW w:w="1276" w:type="dxa"/>
            <w:tcBorders>
              <w:bottom w:val="single" w:sz="4" w:space="0" w:color="auto"/>
              <w:right w:val="single" w:sz="4" w:space="0" w:color="auto"/>
            </w:tcBorders>
          </w:tcPr>
          <w:p w:rsidR="001013F3" w:rsidRPr="002045F5" w:rsidRDefault="001013F3" w:rsidP="001013F3">
            <w:pPr>
              <w:pStyle w:val="a7"/>
              <w:ind w:left="0"/>
              <w:jc w:val="center"/>
              <w:rPr>
                <w:b/>
                <w:sz w:val="22"/>
              </w:rPr>
            </w:pPr>
            <w:proofErr w:type="spellStart"/>
            <w:r w:rsidRPr="002045F5">
              <w:rPr>
                <w:b/>
                <w:sz w:val="22"/>
              </w:rPr>
              <w:t>Місцевий</w:t>
            </w:r>
            <w:proofErr w:type="spellEnd"/>
            <w:r w:rsidRPr="002045F5">
              <w:rPr>
                <w:b/>
                <w:sz w:val="22"/>
              </w:rPr>
              <w:t xml:space="preserve"> бюджет</w:t>
            </w:r>
          </w:p>
        </w:tc>
        <w:tc>
          <w:tcPr>
            <w:tcW w:w="2789" w:type="dxa"/>
            <w:gridSpan w:val="4"/>
            <w:tcBorders>
              <w:left w:val="single" w:sz="4" w:space="0" w:color="auto"/>
              <w:bottom w:val="single" w:sz="4" w:space="0" w:color="auto"/>
              <w:right w:val="single" w:sz="4" w:space="0" w:color="auto"/>
            </w:tcBorders>
          </w:tcPr>
          <w:p w:rsidR="001013F3" w:rsidRPr="002045F5" w:rsidRDefault="001013F3" w:rsidP="001013F3">
            <w:pPr>
              <w:pStyle w:val="a7"/>
              <w:ind w:left="0"/>
              <w:jc w:val="center"/>
              <w:rPr>
                <w:b/>
                <w:sz w:val="22"/>
              </w:rPr>
            </w:pPr>
            <w:proofErr w:type="spellStart"/>
            <w:r w:rsidRPr="002045F5">
              <w:rPr>
                <w:b/>
                <w:sz w:val="22"/>
              </w:rPr>
              <w:t>Інші</w:t>
            </w:r>
            <w:proofErr w:type="spellEnd"/>
            <w:r w:rsidRPr="002045F5">
              <w:rPr>
                <w:b/>
                <w:sz w:val="22"/>
              </w:rPr>
              <w:t xml:space="preserve"> </w:t>
            </w:r>
            <w:proofErr w:type="spellStart"/>
            <w:r w:rsidRPr="002045F5">
              <w:rPr>
                <w:b/>
                <w:sz w:val="22"/>
              </w:rPr>
              <w:t>джерела</w:t>
            </w:r>
            <w:proofErr w:type="spellEnd"/>
          </w:p>
        </w:tc>
        <w:tc>
          <w:tcPr>
            <w:tcW w:w="1428" w:type="dxa"/>
            <w:tcBorders>
              <w:left w:val="single" w:sz="4" w:space="0" w:color="auto"/>
              <w:bottom w:val="single" w:sz="4" w:space="0" w:color="auto"/>
            </w:tcBorders>
          </w:tcPr>
          <w:p w:rsidR="001013F3" w:rsidRPr="002045F5" w:rsidRDefault="001013F3" w:rsidP="001013F3">
            <w:pPr>
              <w:pStyle w:val="a7"/>
              <w:ind w:left="0"/>
              <w:jc w:val="center"/>
              <w:rPr>
                <w:b/>
                <w:sz w:val="22"/>
              </w:rPr>
            </w:pPr>
            <w:proofErr w:type="spellStart"/>
            <w:r w:rsidRPr="002045F5">
              <w:rPr>
                <w:b/>
                <w:sz w:val="22"/>
              </w:rPr>
              <w:t>Всього</w:t>
            </w:r>
            <w:proofErr w:type="spellEnd"/>
          </w:p>
        </w:tc>
      </w:tr>
      <w:tr w:rsidR="001013F3" w:rsidRPr="002045F5" w:rsidTr="003E7A6B">
        <w:trPr>
          <w:trHeight w:val="225"/>
        </w:trPr>
        <w:tc>
          <w:tcPr>
            <w:tcW w:w="2978" w:type="dxa"/>
            <w:vMerge/>
            <w:shd w:val="clear" w:color="auto" w:fill="C6D9F1" w:themeFill="text2" w:themeFillTint="33"/>
          </w:tcPr>
          <w:p w:rsidR="001013F3" w:rsidRPr="002045F5" w:rsidRDefault="001013F3" w:rsidP="001013F3">
            <w:pPr>
              <w:pStyle w:val="a7"/>
              <w:ind w:left="0"/>
              <w:rPr>
                <w:b/>
                <w:sz w:val="22"/>
              </w:rPr>
            </w:pPr>
          </w:p>
        </w:tc>
        <w:tc>
          <w:tcPr>
            <w:tcW w:w="1417" w:type="dxa"/>
            <w:vMerge w:val="restart"/>
            <w:tcBorders>
              <w:top w:val="single" w:sz="4" w:space="0" w:color="auto"/>
              <w:right w:val="single" w:sz="4" w:space="0" w:color="auto"/>
            </w:tcBorders>
          </w:tcPr>
          <w:p w:rsidR="001013F3" w:rsidRPr="002045F5" w:rsidRDefault="001013F3" w:rsidP="001013F3">
            <w:pPr>
              <w:pStyle w:val="a7"/>
              <w:ind w:left="0"/>
              <w:jc w:val="center"/>
              <w:rPr>
                <w:sz w:val="22"/>
              </w:rPr>
            </w:pPr>
            <w:proofErr w:type="gramStart"/>
            <w:r w:rsidRPr="002045F5">
              <w:rPr>
                <w:sz w:val="22"/>
              </w:rPr>
              <w:t>30  000</w:t>
            </w:r>
            <w:proofErr w:type="gramEnd"/>
            <w:r w:rsidRPr="002045F5">
              <w:rPr>
                <w:sz w:val="22"/>
              </w:rPr>
              <w:t>,0</w:t>
            </w:r>
          </w:p>
        </w:tc>
        <w:tc>
          <w:tcPr>
            <w:tcW w:w="1276" w:type="dxa"/>
            <w:vMerge w:val="restart"/>
            <w:tcBorders>
              <w:top w:val="single" w:sz="4" w:space="0" w:color="auto"/>
              <w:right w:val="single" w:sz="4" w:space="0" w:color="auto"/>
            </w:tcBorders>
          </w:tcPr>
          <w:p w:rsidR="001013F3" w:rsidRPr="002045F5" w:rsidRDefault="001013F3" w:rsidP="001013F3">
            <w:pPr>
              <w:pStyle w:val="a7"/>
              <w:ind w:left="0"/>
              <w:jc w:val="center"/>
              <w:rPr>
                <w:b/>
                <w:sz w:val="22"/>
              </w:rPr>
            </w:pPr>
            <w:r w:rsidRPr="002045F5">
              <w:rPr>
                <w:b/>
                <w:sz w:val="22"/>
              </w:rPr>
              <w:t>-</w:t>
            </w:r>
          </w:p>
        </w:tc>
        <w:tc>
          <w:tcPr>
            <w:tcW w:w="1334" w:type="dxa"/>
            <w:gridSpan w:val="2"/>
            <w:tcBorders>
              <w:top w:val="single" w:sz="4" w:space="0" w:color="auto"/>
              <w:left w:val="single" w:sz="4" w:space="0" w:color="auto"/>
              <w:bottom w:val="single" w:sz="4" w:space="0" w:color="auto"/>
              <w:right w:val="single" w:sz="4" w:space="0" w:color="auto"/>
            </w:tcBorders>
          </w:tcPr>
          <w:p w:rsidR="001013F3" w:rsidRPr="002045F5" w:rsidRDefault="001013F3" w:rsidP="001013F3">
            <w:pPr>
              <w:pStyle w:val="a7"/>
              <w:ind w:left="0"/>
              <w:jc w:val="center"/>
              <w:rPr>
                <w:b/>
                <w:sz w:val="22"/>
              </w:rPr>
            </w:pPr>
            <w:proofErr w:type="spellStart"/>
            <w:r w:rsidRPr="002045F5">
              <w:rPr>
                <w:b/>
                <w:sz w:val="22"/>
              </w:rPr>
              <w:t>Обсяг</w:t>
            </w:r>
            <w:proofErr w:type="spellEnd"/>
          </w:p>
        </w:tc>
        <w:tc>
          <w:tcPr>
            <w:tcW w:w="1455" w:type="dxa"/>
            <w:gridSpan w:val="2"/>
            <w:tcBorders>
              <w:top w:val="single" w:sz="4" w:space="0" w:color="auto"/>
              <w:left w:val="single" w:sz="4" w:space="0" w:color="auto"/>
              <w:bottom w:val="single" w:sz="4" w:space="0" w:color="auto"/>
              <w:right w:val="single" w:sz="4" w:space="0" w:color="auto"/>
            </w:tcBorders>
          </w:tcPr>
          <w:p w:rsidR="001013F3" w:rsidRPr="002045F5" w:rsidRDefault="001013F3" w:rsidP="001013F3">
            <w:pPr>
              <w:pStyle w:val="a7"/>
              <w:ind w:left="0"/>
              <w:jc w:val="center"/>
              <w:rPr>
                <w:b/>
                <w:sz w:val="22"/>
              </w:rPr>
            </w:pPr>
            <w:proofErr w:type="spellStart"/>
            <w:r w:rsidRPr="002045F5">
              <w:rPr>
                <w:b/>
                <w:sz w:val="22"/>
              </w:rPr>
              <w:t>Назва</w:t>
            </w:r>
            <w:proofErr w:type="spellEnd"/>
            <w:r w:rsidRPr="002045F5">
              <w:rPr>
                <w:b/>
                <w:sz w:val="22"/>
              </w:rPr>
              <w:t xml:space="preserve"> </w:t>
            </w:r>
            <w:proofErr w:type="spellStart"/>
            <w:r w:rsidRPr="002045F5">
              <w:rPr>
                <w:b/>
                <w:sz w:val="22"/>
              </w:rPr>
              <w:t>джерела</w:t>
            </w:r>
            <w:proofErr w:type="spellEnd"/>
          </w:p>
        </w:tc>
        <w:tc>
          <w:tcPr>
            <w:tcW w:w="1428" w:type="dxa"/>
            <w:vMerge w:val="restart"/>
            <w:tcBorders>
              <w:top w:val="single" w:sz="4" w:space="0" w:color="auto"/>
              <w:left w:val="single" w:sz="4" w:space="0" w:color="auto"/>
            </w:tcBorders>
          </w:tcPr>
          <w:p w:rsidR="001013F3" w:rsidRPr="002045F5" w:rsidRDefault="001013F3" w:rsidP="001013F3">
            <w:pPr>
              <w:pStyle w:val="a7"/>
              <w:ind w:left="0"/>
              <w:rPr>
                <w:sz w:val="22"/>
              </w:rPr>
            </w:pPr>
            <w:r w:rsidRPr="002045F5">
              <w:rPr>
                <w:sz w:val="22"/>
              </w:rPr>
              <w:t>61 581, 153</w:t>
            </w:r>
          </w:p>
        </w:tc>
      </w:tr>
      <w:tr w:rsidR="001013F3" w:rsidRPr="002045F5" w:rsidTr="003E7A6B">
        <w:trPr>
          <w:trHeight w:val="300"/>
        </w:trPr>
        <w:tc>
          <w:tcPr>
            <w:tcW w:w="2978" w:type="dxa"/>
            <w:vMerge/>
            <w:shd w:val="clear" w:color="auto" w:fill="C6D9F1" w:themeFill="text2" w:themeFillTint="33"/>
          </w:tcPr>
          <w:p w:rsidR="001013F3" w:rsidRPr="002045F5" w:rsidRDefault="001013F3" w:rsidP="001013F3">
            <w:pPr>
              <w:pStyle w:val="a7"/>
              <w:ind w:left="0"/>
              <w:rPr>
                <w:b/>
                <w:sz w:val="22"/>
              </w:rPr>
            </w:pPr>
          </w:p>
        </w:tc>
        <w:tc>
          <w:tcPr>
            <w:tcW w:w="1417" w:type="dxa"/>
            <w:vMerge/>
            <w:tcBorders>
              <w:right w:val="single" w:sz="4" w:space="0" w:color="auto"/>
            </w:tcBorders>
          </w:tcPr>
          <w:p w:rsidR="001013F3" w:rsidRPr="002045F5" w:rsidRDefault="001013F3" w:rsidP="001013F3">
            <w:pPr>
              <w:pStyle w:val="a7"/>
              <w:ind w:left="0"/>
              <w:jc w:val="center"/>
              <w:rPr>
                <w:sz w:val="22"/>
              </w:rPr>
            </w:pPr>
          </w:p>
        </w:tc>
        <w:tc>
          <w:tcPr>
            <w:tcW w:w="1276" w:type="dxa"/>
            <w:vMerge/>
            <w:tcBorders>
              <w:right w:val="single" w:sz="4" w:space="0" w:color="auto"/>
            </w:tcBorders>
          </w:tcPr>
          <w:p w:rsidR="001013F3" w:rsidRPr="002045F5" w:rsidRDefault="001013F3" w:rsidP="001013F3">
            <w:pPr>
              <w:pStyle w:val="a7"/>
              <w:ind w:left="0"/>
              <w:jc w:val="center"/>
              <w:rPr>
                <w:b/>
                <w:sz w:val="22"/>
              </w:rPr>
            </w:pPr>
          </w:p>
        </w:tc>
        <w:tc>
          <w:tcPr>
            <w:tcW w:w="1334" w:type="dxa"/>
            <w:gridSpan w:val="2"/>
            <w:tcBorders>
              <w:top w:val="single" w:sz="4" w:space="0" w:color="auto"/>
              <w:left w:val="single" w:sz="4" w:space="0" w:color="auto"/>
              <w:right w:val="single" w:sz="4" w:space="0" w:color="auto"/>
            </w:tcBorders>
          </w:tcPr>
          <w:p w:rsidR="001013F3" w:rsidRPr="002045F5" w:rsidRDefault="001013F3" w:rsidP="001013F3">
            <w:pPr>
              <w:pStyle w:val="a7"/>
              <w:ind w:left="0"/>
              <w:jc w:val="center"/>
              <w:rPr>
                <w:sz w:val="22"/>
              </w:rPr>
            </w:pPr>
            <w:r w:rsidRPr="002045F5">
              <w:rPr>
                <w:sz w:val="22"/>
              </w:rPr>
              <w:t>31 581,153</w:t>
            </w:r>
          </w:p>
        </w:tc>
        <w:tc>
          <w:tcPr>
            <w:tcW w:w="1455" w:type="dxa"/>
            <w:gridSpan w:val="2"/>
            <w:tcBorders>
              <w:top w:val="single" w:sz="4" w:space="0" w:color="auto"/>
              <w:left w:val="single" w:sz="4" w:space="0" w:color="auto"/>
              <w:right w:val="single" w:sz="4" w:space="0" w:color="auto"/>
            </w:tcBorders>
          </w:tcPr>
          <w:p w:rsidR="001013F3" w:rsidRPr="002045F5" w:rsidRDefault="001013F3" w:rsidP="001013F3">
            <w:pPr>
              <w:pStyle w:val="a7"/>
              <w:ind w:left="0"/>
              <w:jc w:val="center"/>
              <w:rPr>
                <w:sz w:val="22"/>
              </w:rPr>
            </w:pPr>
            <w:proofErr w:type="spellStart"/>
            <w:r w:rsidRPr="002045F5">
              <w:rPr>
                <w:sz w:val="22"/>
              </w:rPr>
              <w:t>Міжнародні</w:t>
            </w:r>
            <w:proofErr w:type="spellEnd"/>
            <w:r w:rsidRPr="002045F5">
              <w:rPr>
                <w:sz w:val="22"/>
              </w:rPr>
              <w:t xml:space="preserve"> </w:t>
            </w:r>
            <w:proofErr w:type="spellStart"/>
            <w:r w:rsidRPr="002045F5">
              <w:rPr>
                <w:sz w:val="22"/>
              </w:rPr>
              <w:t>інвестиції</w:t>
            </w:r>
            <w:proofErr w:type="spellEnd"/>
          </w:p>
        </w:tc>
        <w:tc>
          <w:tcPr>
            <w:tcW w:w="1428" w:type="dxa"/>
            <w:vMerge/>
            <w:tcBorders>
              <w:left w:val="single" w:sz="4" w:space="0" w:color="auto"/>
            </w:tcBorders>
          </w:tcPr>
          <w:p w:rsidR="001013F3" w:rsidRPr="002045F5" w:rsidRDefault="001013F3" w:rsidP="001013F3">
            <w:pPr>
              <w:pStyle w:val="a7"/>
              <w:ind w:left="0"/>
              <w:jc w:val="center"/>
              <w:rPr>
                <w:sz w:val="22"/>
              </w:rPr>
            </w:pPr>
          </w:p>
        </w:tc>
      </w:tr>
    </w:tbl>
    <w:p w:rsidR="001013F3" w:rsidRPr="002045F5" w:rsidRDefault="001013F3" w:rsidP="00E95FB1">
      <w:pPr>
        <w:rPr>
          <w:sz w:val="22"/>
        </w:rPr>
      </w:pPr>
    </w:p>
    <w:p w:rsidR="001013F3" w:rsidRPr="002045F5" w:rsidRDefault="001013F3" w:rsidP="00E95FB1">
      <w:pPr>
        <w:rPr>
          <w:sz w:val="22"/>
        </w:rPr>
      </w:pPr>
    </w:p>
    <w:tbl>
      <w:tblPr>
        <w:tblStyle w:val="af"/>
        <w:tblW w:w="0" w:type="auto"/>
        <w:tblInd w:w="-176" w:type="dxa"/>
        <w:tblLayout w:type="fixed"/>
        <w:tblLook w:val="04A0" w:firstRow="1" w:lastRow="0" w:firstColumn="1" w:lastColumn="0" w:noHBand="0" w:noVBand="1"/>
      </w:tblPr>
      <w:tblGrid>
        <w:gridCol w:w="2978"/>
        <w:gridCol w:w="1358"/>
        <w:gridCol w:w="1334"/>
        <w:gridCol w:w="1104"/>
        <w:gridCol w:w="232"/>
        <w:gridCol w:w="1455"/>
        <w:gridCol w:w="1427"/>
      </w:tblGrid>
      <w:tr w:rsidR="001013F3" w:rsidRPr="002045F5" w:rsidTr="005B4D42">
        <w:tc>
          <w:tcPr>
            <w:tcW w:w="2978" w:type="dxa"/>
            <w:shd w:val="clear" w:color="auto" w:fill="C6D9F1" w:themeFill="text2" w:themeFillTint="33"/>
          </w:tcPr>
          <w:p w:rsidR="001013F3" w:rsidRPr="002045F5" w:rsidRDefault="001013F3" w:rsidP="001013F3">
            <w:pPr>
              <w:pStyle w:val="a7"/>
              <w:ind w:left="0"/>
              <w:rPr>
                <w:b/>
                <w:sz w:val="22"/>
              </w:rPr>
            </w:pPr>
            <w:r w:rsidRPr="002045F5">
              <w:rPr>
                <w:b/>
                <w:sz w:val="22"/>
              </w:rPr>
              <w:t xml:space="preserve">Оперативна </w:t>
            </w:r>
            <w:proofErr w:type="spellStart"/>
            <w:r w:rsidRPr="002045F5">
              <w:rPr>
                <w:b/>
                <w:sz w:val="22"/>
              </w:rPr>
              <w:t>ціль</w:t>
            </w:r>
            <w:proofErr w:type="spellEnd"/>
            <w:r w:rsidRPr="002045F5">
              <w:rPr>
                <w:b/>
                <w:sz w:val="22"/>
              </w:rPr>
              <w:t>/</w:t>
            </w:r>
            <w:proofErr w:type="spellStart"/>
            <w:r w:rsidRPr="002045F5">
              <w:rPr>
                <w:b/>
                <w:sz w:val="22"/>
              </w:rPr>
              <w:t>завдання</w:t>
            </w:r>
            <w:proofErr w:type="spellEnd"/>
          </w:p>
        </w:tc>
        <w:tc>
          <w:tcPr>
            <w:tcW w:w="6910" w:type="dxa"/>
            <w:gridSpan w:val="6"/>
            <w:shd w:val="clear" w:color="auto" w:fill="auto"/>
          </w:tcPr>
          <w:p w:rsidR="001013F3" w:rsidRPr="002045F5" w:rsidRDefault="001013F3" w:rsidP="001013F3">
            <w:pPr>
              <w:pStyle w:val="a7"/>
              <w:ind w:left="0"/>
              <w:rPr>
                <w:sz w:val="22"/>
              </w:rPr>
            </w:pPr>
            <w:proofErr w:type="spellStart"/>
            <w:r w:rsidRPr="002045F5">
              <w:rPr>
                <w:sz w:val="22"/>
              </w:rPr>
              <w:t>Людський</w:t>
            </w:r>
            <w:proofErr w:type="spellEnd"/>
            <w:r w:rsidRPr="002045F5">
              <w:rPr>
                <w:sz w:val="22"/>
              </w:rPr>
              <w:t xml:space="preserve"> </w:t>
            </w:r>
            <w:proofErr w:type="spellStart"/>
            <w:r w:rsidRPr="002045F5">
              <w:rPr>
                <w:sz w:val="22"/>
              </w:rPr>
              <w:t>розвиток</w:t>
            </w:r>
            <w:proofErr w:type="spellEnd"/>
            <w:r w:rsidRPr="002045F5">
              <w:rPr>
                <w:sz w:val="22"/>
              </w:rPr>
              <w:t xml:space="preserve"> через </w:t>
            </w:r>
            <w:proofErr w:type="spellStart"/>
            <w:r w:rsidRPr="002045F5">
              <w:rPr>
                <w:sz w:val="22"/>
              </w:rPr>
              <w:t>інновації</w:t>
            </w:r>
            <w:proofErr w:type="spellEnd"/>
            <w:r w:rsidRPr="002045F5">
              <w:rPr>
                <w:sz w:val="22"/>
              </w:rPr>
              <w:t xml:space="preserve"> </w:t>
            </w:r>
            <w:proofErr w:type="spellStart"/>
            <w:r w:rsidRPr="002045F5">
              <w:rPr>
                <w:sz w:val="22"/>
              </w:rPr>
              <w:t>управління</w:t>
            </w:r>
            <w:proofErr w:type="spellEnd"/>
            <w:r w:rsidRPr="002045F5">
              <w:rPr>
                <w:sz w:val="22"/>
              </w:rPr>
              <w:t xml:space="preserve"> та </w:t>
            </w:r>
            <w:proofErr w:type="spellStart"/>
            <w:r w:rsidRPr="002045F5">
              <w:rPr>
                <w:sz w:val="22"/>
              </w:rPr>
              <w:t>довіру</w:t>
            </w:r>
            <w:proofErr w:type="spellEnd"/>
            <w:r w:rsidRPr="002045F5">
              <w:rPr>
                <w:sz w:val="22"/>
              </w:rPr>
              <w:t xml:space="preserve"> до </w:t>
            </w:r>
            <w:proofErr w:type="spellStart"/>
            <w:r w:rsidRPr="002045F5">
              <w:rPr>
                <w:sz w:val="22"/>
              </w:rPr>
              <w:t>влади</w:t>
            </w:r>
            <w:proofErr w:type="spellEnd"/>
            <w:r w:rsidRPr="002045F5">
              <w:rPr>
                <w:sz w:val="22"/>
              </w:rPr>
              <w:t xml:space="preserve">. </w:t>
            </w:r>
            <w:proofErr w:type="spellStart"/>
            <w:r w:rsidRPr="002045F5">
              <w:rPr>
                <w:sz w:val="22"/>
              </w:rPr>
              <w:t>Формування</w:t>
            </w:r>
            <w:proofErr w:type="spellEnd"/>
            <w:r w:rsidRPr="002045F5">
              <w:rPr>
                <w:sz w:val="22"/>
              </w:rPr>
              <w:t xml:space="preserve"> </w:t>
            </w:r>
            <w:proofErr w:type="spellStart"/>
            <w:r w:rsidRPr="002045F5">
              <w:rPr>
                <w:sz w:val="22"/>
              </w:rPr>
              <w:t>сучасного</w:t>
            </w:r>
            <w:proofErr w:type="spellEnd"/>
            <w:r w:rsidRPr="002045F5">
              <w:rPr>
                <w:sz w:val="22"/>
              </w:rPr>
              <w:t xml:space="preserve"> </w:t>
            </w:r>
            <w:proofErr w:type="spellStart"/>
            <w:r w:rsidRPr="002045F5">
              <w:rPr>
                <w:sz w:val="22"/>
              </w:rPr>
              <w:t>інклюзивного</w:t>
            </w:r>
            <w:proofErr w:type="spellEnd"/>
            <w:r w:rsidRPr="002045F5">
              <w:rPr>
                <w:sz w:val="22"/>
              </w:rPr>
              <w:t xml:space="preserve"> </w:t>
            </w:r>
            <w:proofErr w:type="spellStart"/>
            <w:r w:rsidRPr="002045F5">
              <w:rPr>
                <w:sz w:val="22"/>
              </w:rPr>
              <w:t>освітньо</w:t>
            </w:r>
            <w:proofErr w:type="spellEnd"/>
            <w:r w:rsidRPr="002045F5">
              <w:rPr>
                <w:sz w:val="22"/>
              </w:rPr>
              <w:t xml:space="preserve">-культурного та спортивного простору для </w:t>
            </w:r>
            <w:proofErr w:type="spellStart"/>
            <w:r w:rsidRPr="002045F5">
              <w:rPr>
                <w:sz w:val="22"/>
              </w:rPr>
              <w:t>розвитку</w:t>
            </w:r>
            <w:proofErr w:type="spellEnd"/>
            <w:r w:rsidRPr="002045F5">
              <w:rPr>
                <w:sz w:val="22"/>
              </w:rPr>
              <w:t>.</w:t>
            </w:r>
          </w:p>
        </w:tc>
      </w:tr>
      <w:tr w:rsidR="001013F3" w:rsidRPr="002045F5" w:rsidTr="005B4D42">
        <w:tc>
          <w:tcPr>
            <w:tcW w:w="2978" w:type="dxa"/>
            <w:shd w:val="clear" w:color="auto" w:fill="C6D9F1" w:themeFill="text2" w:themeFillTint="33"/>
          </w:tcPr>
          <w:p w:rsidR="001013F3" w:rsidRPr="002045F5" w:rsidRDefault="001013F3" w:rsidP="001013F3">
            <w:pPr>
              <w:pStyle w:val="a7"/>
              <w:ind w:left="0"/>
              <w:rPr>
                <w:b/>
                <w:sz w:val="22"/>
              </w:rPr>
            </w:pPr>
            <w:proofErr w:type="spellStart"/>
            <w:r w:rsidRPr="002045F5">
              <w:rPr>
                <w:b/>
                <w:sz w:val="22"/>
              </w:rPr>
              <w:t>Назва</w:t>
            </w:r>
            <w:proofErr w:type="spellEnd"/>
            <w:r w:rsidRPr="002045F5">
              <w:rPr>
                <w:b/>
                <w:sz w:val="22"/>
              </w:rPr>
              <w:t xml:space="preserve"> проекту:</w:t>
            </w:r>
          </w:p>
        </w:tc>
        <w:tc>
          <w:tcPr>
            <w:tcW w:w="6910" w:type="dxa"/>
            <w:gridSpan w:val="6"/>
          </w:tcPr>
          <w:p w:rsidR="001013F3" w:rsidRPr="002045F5" w:rsidRDefault="001013F3" w:rsidP="001013F3">
            <w:pPr>
              <w:rPr>
                <w:sz w:val="22"/>
              </w:rPr>
            </w:pPr>
            <w:proofErr w:type="spellStart"/>
            <w:r w:rsidRPr="002045F5">
              <w:rPr>
                <w:sz w:val="22"/>
              </w:rPr>
              <w:t>Відновлення</w:t>
            </w:r>
            <w:proofErr w:type="spellEnd"/>
            <w:r w:rsidRPr="002045F5">
              <w:rPr>
                <w:sz w:val="22"/>
              </w:rPr>
              <w:t xml:space="preserve"> </w:t>
            </w:r>
            <w:proofErr w:type="spellStart"/>
            <w:r w:rsidRPr="002045F5">
              <w:rPr>
                <w:sz w:val="22"/>
              </w:rPr>
              <w:t>паркану</w:t>
            </w:r>
            <w:proofErr w:type="spellEnd"/>
            <w:r w:rsidRPr="002045F5">
              <w:rPr>
                <w:sz w:val="22"/>
              </w:rPr>
              <w:t xml:space="preserve"> та </w:t>
            </w:r>
            <w:proofErr w:type="spellStart"/>
            <w:r w:rsidRPr="002045F5">
              <w:rPr>
                <w:sz w:val="22"/>
              </w:rPr>
              <w:t>відновлення</w:t>
            </w:r>
            <w:proofErr w:type="spellEnd"/>
            <w:r w:rsidRPr="002045F5">
              <w:rPr>
                <w:sz w:val="22"/>
              </w:rPr>
              <w:t xml:space="preserve"> благоустрою </w:t>
            </w:r>
            <w:proofErr w:type="spellStart"/>
            <w:r w:rsidRPr="002045F5">
              <w:rPr>
                <w:sz w:val="22"/>
              </w:rPr>
              <w:t>території</w:t>
            </w:r>
            <w:proofErr w:type="spellEnd"/>
            <w:r w:rsidRPr="002045F5">
              <w:rPr>
                <w:sz w:val="22"/>
              </w:rPr>
              <w:t xml:space="preserve"> </w:t>
            </w:r>
            <w:proofErr w:type="spellStart"/>
            <w:r w:rsidRPr="002045F5">
              <w:rPr>
                <w:color w:val="000000"/>
                <w:sz w:val="22"/>
              </w:rPr>
              <w:t>Новоастраханського</w:t>
            </w:r>
            <w:proofErr w:type="spellEnd"/>
            <w:r w:rsidRPr="002045F5">
              <w:rPr>
                <w:color w:val="000000"/>
                <w:sz w:val="22"/>
              </w:rPr>
              <w:t xml:space="preserve"> </w:t>
            </w:r>
            <w:proofErr w:type="spellStart"/>
            <w:r w:rsidRPr="002045F5">
              <w:rPr>
                <w:color w:val="000000"/>
                <w:sz w:val="22"/>
              </w:rPr>
              <w:t>ліцею</w:t>
            </w:r>
            <w:proofErr w:type="spellEnd"/>
            <w:r w:rsidRPr="002045F5">
              <w:rPr>
                <w:color w:val="000000"/>
                <w:sz w:val="22"/>
              </w:rPr>
              <w:t xml:space="preserve"> </w:t>
            </w:r>
            <w:proofErr w:type="spellStart"/>
            <w:r w:rsidRPr="002045F5">
              <w:rPr>
                <w:color w:val="000000"/>
                <w:sz w:val="22"/>
              </w:rPr>
              <w:t>Сєвєродонецького</w:t>
            </w:r>
            <w:proofErr w:type="spellEnd"/>
            <w:r w:rsidRPr="002045F5">
              <w:rPr>
                <w:color w:val="000000"/>
                <w:sz w:val="22"/>
              </w:rPr>
              <w:t xml:space="preserve"> району </w:t>
            </w:r>
            <w:proofErr w:type="spellStart"/>
            <w:r w:rsidRPr="002045F5">
              <w:rPr>
                <w:color w:val="000000"/>
                <w:sz w:val="22"/>
              </w:rPr>
              <w:t>Луганської</w:t>
            </w:r>
            <w:proofErr w:type="spellEnd"/>
            <w:r w:rsidRPr="002045F5">
              <w:rPr>
                <w:color w:val="000000"/>
                <w:sz w:val="22"/>
              </w:rPr>
              <w:t xml:space="preserve"> </w:t>
            </w:r>
            <w:proofErr w:type="spellStart"/>
            <w:r w:rsidRPr="002045F5">
              <w:rPr>
                <w:color w:val="000000"/>
                <w:sz w:val="22"/>
              </w:rPr>
              <w:t>області</w:t>
            </w:r>
            <w:proofErr w:type="spellEnd"/>
            <w:r w:rsidRPr="002045F5">
              <w:rPr>
                <w:color w:val="000000"/>
                <w:sz w:val="22"/>
              </w:rPr>
              <w:t xml:space="preserve">, за </w:t>
            </w:r>
            <w:proofErr w:type="spellStart"/>
            <w:proofErr w:type="gramStart"/>
            <w:r w:rsidRPr="002045F5">
              <w:rPr>
                <w:color w:val="000000"/>
                <w:sz w:val="22"/>
              </w:rPr>
              <w:t>адресою</w:t>
            </w:r>
            <w:proofErr w:type="spellEnd"/>
            <w:r w:rsidRPr="002045F5">
              <w:rPr>
                <w:color w:val="000000"/>
                <w:sz w:val="22"/>
              </w:rPr>
              <w:t xml:space="preserve"> :</w:t>
            </w:r>
            <w:proofErr w:type="gramEnd"/>
            <w:r w:rsidRPr="002045F5">
              <w:rPr>
                <w:color w:val="000000"/>
                <w:sz w:val="22"/>
              </w:rPr>
              <w:t xml:space="preserve"> </w:t>
            </w:r>
            <w:proofErr w:type="spellStart"/>
            <w:r w:rsidRPr="002045F5">
              <w:rPr>
                <w:color w:val="000000"/>
                <w:sz w:val="22"/>
              </w:rPr>
              <w:t>вул</w:t>
            </w:r>
            <w:proofErr w:type="spellEnd"/>
            <w:r w:rsidRPr="002045F5">
              <w:rPr>
                <w:color w:val="000000"/>
                <w:sz w:val="22"/>
              </w:rPr>
              <w:t>. Центральна, буд.45</w:t>
            </w:r>
            <w:proofErr w:type="gramStart"/>
            <w:r w:rsidRPr="002045F5">
              <w:rPr>
                <w:color w:val="000000"/>
                <w:sz w:val="22"/>
              </w:rPr>
              <w:t>.,с.</w:t>
            </w:r>
            <w:proofErr w:type="gramEnd"/>
            <w:r w:rsidRPr="002045F5">
              <w:rPr>
                <w:color w:val="000000"/>
                <w:sz w:val="22"/>
              </w:rPr>
              <w:t xml:space="preserve"> Нова Астрахань, </w:t>
            </w:r>
            <w:proofErr w:type="spellStart"/>
            <w:r w:rsidRPr="002045F5">
              <w:rPr>
                <w:color w:val="000000"/>
                <w:sz w:val="22"/>
              </w:rPr>
              <w:t>Сєвєродонецького</w:t>
            </w:r>
            <w:proofErr w:type="spellEnd"/>
            <w:r w:rsidRPr="002045F5">
              <w:rPr>
                <w:color w:val="000000"/>
                <w:sz w:val="22"/>
              </w:rPr>
              <w:t xml:space="preserve"> району, </w:t>
            </w:r>
            <w:proofErr w:type="spellStart"/>
            <w:r w:rsidRPr="002045F5">
              <w:rPr>
                <w:color w:val="000000"/>
                <w:sz w:val="22"/>
              </w:rPr>
              <w:t>Луганської</w:t>
            </w:r>
            <w:proofErr w:type="spellEnd"/>
            <w:r w:rsidRPr="002045F5">
              <w:rPr>
                <w:color w:val="000000"/>
                <w:sz w:val="22"/>
              </w:rPr>
              <w:t xml:space="preserve"> </w:t>
            </w:r>
            <w:proofErr w:type="spellStart"/>
            <w:r w:rsidRPr="002045F5">
              <w:rPr>
                <w:color w:val="000000"/>
                <w:sz w:val="22"/>
              </w:rPr>
              <w:t>області</w:t>
            </w:r>
            <w:proofErr w:type="spellEnd"/>
            <w:r w:rsidRPr="002045F5">
              <w:rPr>
                <w:color w:val="000000"/>
                <w:sz w:val="22"/>
              </w:rPr>
              <w:t>.</w:t>
            </w:r>
          </w:p>
        </w:tc>
      </w:tr>
      <w:tr w:rsidR="001013F3" w:rsidRPr="002045F5" w:rsidTr="005B4D42">
        <w:tc>
          <w:tcPr>
            <w:tcW w:w="2978" w:type="dxa"/>
            <w:shd w:val="clear" w:color="auto" w:fill="C6D9F1" w:themeFill="text2" w:themeFillTint="33"/>
          </w:tcPr>
          <w:p w:rsidR="001013F3" w:rsidRPr="002045F5" w:rsidRDefault="001013F3" w:rsidP="001013F3">
            <w:pPr>
              <w:rPr>
                <w:b/>
                <w:sz w:val="22"/>
              </w:rPr>
            </w:pPr>
            <w:proofErr w:type="spellStart"/>
            <w:r w:rsidRPr="002045F5">
              <w:rPr>
                <w:b/>
                <w:sz w:val="22"/>
              </w:rPr>
              <w:t>Ціль</w:t>
            </w:r>
            <w:proofErr w:type="spellEnd"/>
            <w:r w:rsidRPr="002045F5">
              <w:rPr>
                <w:b/>
                <w:sz w:val="22"/>
              </w:rPr>
              <w:t xml:space="preserve"> проекту</w:t>
            </w:r>
          </w:p>
        </w:tc>
        <w:tc>
          <w:tcPr>
            <w:tcW w:w="6910" w:type="dxa"/>
            <w:gridSpan w:val="6"/>
          </w:tcPr>
          <w:p w:rsidR="001013F3" w:rsidRPr="002045F5" w:rsidRDefault="001013F3" w:rsidP="00F21320">
            <w:pPr>
              <w:rPr>
                <w:color w:val="000000"/>
                <w:sz w:val="22"/>
              </w:rPr>
            </w:pPr>
            <w:proofErr w:type="spellStart"/>
            <w:r w:rsidRPr="002045F5">
              <w:rPr>
                <w:color w:val="000000"/>
                <w:sz w:val="22"/>
              </w:rPr>
              <w:t>Створити</w:t>
            </w:r>
            <w:proofErr w:type="spellEnd"/>
            <w:r w:rsidRPr="002045F5">
              <w:rPr>
                <w:color w:val="000000"/>
                <w:sz w:val="22"/>
              </w:rPr>
              <w:t xml:space="preserve"> </w:t>
            </w:r>
            <w:proofErr w:type="spellStart"/>
            <w:r w:rsidRPr="002045F5">
              <w:rPr>
                <w:color w:val="000000"/>
                <w:sz w:val="22"/>
              </w:rPr>
              <w:t>безпечний</w:t>
            </w:r>
            <w:proofErr w:type="spellEnd"/>
            <w:r w:rsidRPr="002045F5">
              <w:rPr>
                <w:color w:val="000000"/>
                <w:sz w:val="22"/>
              </w:rPr>
              <w:t xml:space="preserve"> та </w:t>
            </w:r>
            <w:proofErr w:type="spellStart"/>
            <w:r w:rsidRPr="002045F5">
              <w:rPr>
                <w:color w:val="000000"/>
                <w:sz w:val="22"/>
              </w:rPr>
              <w:t>комфортний</w:t>
            </w:r>
            <w:proofErr w:type="spellEnd"/>
            <w:r w:rsidRPr="002045F5">
              <w:rPr>
                <w:color w:val="000000"/>
                <w:sz w:val="22"/>
              </w:rPr>
              <w:t xml:space="preserve"> </w:t>
            </w:r>
            <w:proofErr w:type="spellStart"/>
            <w:r w:rsidRPr="002045F5">
              <w:rPr>
                <w:color w:val="000000"/>
                <w:sz w:val="22"/>
              </w:rPr>
              <w:t>простір</w:t>
            </w:r>
            <w:proofErr w:type="spellEnd"/>
            <w:r w:rsidRPr="002045F5">
              <w:rPr>
                <w:color w:val="000000"/>
                <w:sz w:val="22"/>
              </w:rPr>
              <w:t xml:space="preserve"> для </w:t>
            </w:r>
            <w:proofErr w:type="spellStart"/>
            <w:r w:rsidRPr="002045F5">
              <w:rPr>
                <w:color w:val="000000"/>
                <w:sz w:val="22"/>
              </w:rPr>
              <w:t>учнів</w:t>
            </w:r>
            <w:proofErr w:type="spellEnd"/>
            <w:r w:rsidRPr="002045F5">
              <w:rPr>
                <w:color w:val="000000"/>
                <w:sz w:val="22"/>
              </w:rPr>
              <w:t xml:space="preserve">, </w:t>
            </w:r>
            <w:proofErr w:type="spellStart"/>
            <w:r w:rsidRPr="002045F5">
              <w:rPr>
                <w:color w:val="000000"/>
                <w:sz w:val="22"/>
              </w:rPr>
              <w:t>батьків</w:t>
            </w:r>
            <w:proofErr w:type="spellEnd"/>
            <w:r w:rsidRPr="002045F5">
              <w:rPr>
                <w:color w:val="000000"/>
                <w:sz w:val="22"/>
              </w:rPr>
              <w:t xml:space="preserve"> та </w:t>
            </w:r>
            <w:proofErr w:type="spellStart"/>
            <w:r w:rsidRPr="002045F5">
              <w:rPr>
                <w:color w:val="000000"/>
                <w:sz w:val="22"/>
              </w:rPr>
              <w:t>співробітників</w:t>
            </w:r>
            <w:proofErr w:type="spellEnd"/>
            <w:r w:rsidRPr="002045F5">
              <w:rPr>
                <w:color w:val="000000"/>
                <w:sz w:val="22"/>
              </w:rPr>
              <w:t xml:space="preserve"> </w:t>
            </w:r>
            <w:proofErr w:type="spellStart"/>
            <w:r w:rsidRPr="002045F5">
              <w:rPr>
                <w:color w:val="000000"/>
                <w:sz w:val="22"/>
              </w:rPr>
              <w:t>ліцею</w:t>
            </w:r>
            <w:proofErr w:type="spellEnd"/>
            <w:r w:rsidRPr="002045F5">
              <w:rPr>
                <w:color w:val="000000"/>
                <w:sz w:val="22"/>
              </w:rPr>
              <w:t xml:space="preserve"> </w:t>
            </w:r>
            <w:proofErr w:type="spellStart"/>
            <w:r w:rsidRPr="002045F5">
              <w:rPr>
                <w:color w:val="000000"/>
                <w:sz w:val="22"/>
              </w:rPr>
              <w:t>завдяки</w:t>
            </w:r>
            <w:proofErr w:type="spellEnd"/>
            <w:r w:rsidRPr="002045F5">
              <w:rPr>
                <w:color w:val="000000"/>
                <w:sz w:val="22"/>
              </w:rPr>
              <w:t xml:space="preserve"> </w:t>
            </w:r>
            <w:proofErr w:type="spellStart"/>
            <w:r w:rsidRPr="002045F5">
              <w:rPr>
                <w:color w:val="000000"/>
                <w:sz w:val="22"/>
              </w:rPr>
              <w:t>відновленню</w:t>
            </w:r>
            <w:proofErr w:type="spellEnd"/>
            <w:r w:rsidRPr="002045F5">
              <w:rPr>
                <w:color w:val="000000"/>
                <w:sz w:val="22"/>
              </w:rPr>
              <w:t xml:space="preserve"> </w:t>
            </w:r>
            <w:proofErr w:type="spellStart"/>
            <w:r w:rsidRPr="002045F5">
              <w:rPr>
                <w:color w:val="000000"/>
                <w:sz w:val="22"/>
              </w:rPr>
              <w:t>паркану</w:t>
            </w:r>
            <w:proofErr w:type="spellEnd"/>
            <w:r w:rsidRPr="002045F5">
              <w:rPr>
                <w:color w:val="000000"/>
                <w:sz w:val="22"/>
              </w:rPr>
              <w:t xml:space="preserve"> та </w:t>
            </w:r>
            <w:proofErr w:type="spellStart"/>
            <w:r w:rsidRPr="002045F5">
              <w:rPr>
                <w:color w:val="000000"/>
                <w:sz w:val="22"/>
              </w:rPr>
              <w:t>відновленню</w:t>
            </w:r>
            <w:proofErr w:type="spellEnd"/>
            <w:r w:rsidRPr="002045F5">
              <w:rPr>
                <w:color w:val="000000"/>
                <w:sz w:val="22"/>
              </w:rPr>
              <w:t xml:space="preserve"> благоустрою </w:t>
            </w:r>
            <w:proofErr w:type="spellStart"/>
            <w:r w:rsidRPr="002045F5">
              <w:rPr>
                <w:color w:val="000000"/>
                <w:sz w:val="22"/>
              </w:rPr>
              <w:t>території</w:t>
            </w:r>
            <w:proofErr w:type="spellEnd"/>
            <w:r w:rsidRPr="002045F5">
              <w:rPr>
                <w:color w:val="000000"/>
                <w:sz w:val="22"/>
              </w:rPr>
              <w:t xml:space="preserve">; </w:t>
            </w:r>
            <w:proofErr w:type="spellStart"/>
            <w:r w:rsidRPr="002045F5">
              <w:rPr>
                <w:color w:val="000000"/>
                <w:sz w:val="22"/>
              </w:rPr>
              <w:t>оновлення</w:t>
            </w:r>
            <w:proofErr w:type="spellEnd"/>
            <w:r w:rsidRPr="002045F5">
              <w:rPr>
                <w:color w:val="000000"/>
                <w:sz w:val="22"/>
              </w:rPr>
              <w:t xml:space="preserve"> </w:t>
            </w:r>
            <w:proofErr w:type="spellStart"/>
            <w:r w:rsidRPr="002045F5">
              <w:rPr>
                <w:color w:val="000000"/>
                <w:sz w:val="22"/>
              </w:rPr>
              <w:t>спортивних</w:t>
            </w:r>
            <w:proofErr w:type="spellEnd"/>
            <w:r w:rsidRPr="002045F5">
              <w:rPr>
                <w:color w:val="000000"/>
                <w:sz w:val="22"/>
              </w:rPr>
              <w:t xml:space="preserve"> </w:t>
            </w:r>
            <w:proofErr w:type="spellStart"/>
            <w:r w:rsidRPr="002045F5">
              <w:rPr>
                <w:color w:val="000000"/>
                <w:sz w:val="22"/>
              </w:rPr>
              <w:t>майданчиків</w:t>
            </w:r>
            <w:proofErr w:type="spellEnd"/>
            <w:r w:rsidRPr="002045F5">
              <w:rPr>
                <w:color w:val="000000"/>
                <w:sz w:val="22"/>
              </w:rPr>
              <w:t xml:space="preserve"> </w:t>
            </w:r>
            <w:proofErr w:type="spellStart"/>
            <w:r w:rsidRPr="002045F5">
              <w:rPr>
                <w:color w:val="000000"/>
                <w:sz w:val="22"/>
              </w:rPr>
              <w:t>безпечним</w:t>
            </w:r>
            <w:proofErr w:type="spellEnd"/>
            <w:r w:rsidRPr="002045F5">
              <w:rPr>
                <w:color w:val="000000"/>
                <w:sz w:val="22"/>
              </w:rPr>
              <w:t xml:space="preserve"> </w:t>
            </w:r>
            <w:proofErr w:type="spellStart"/>
            <w:r w:rsidRPr="002045F5">
              <w:rPr>
                <w:color w:val="000000"/>
                <w:sz w:val="22"/>
              </w:rPr>
              <w:t>обладнанням</w:t>
            </w:r>
            <w:proofErr w:type="spellEnd"/>
            <w:r w:rsidRPr="002045F5">
              <w:rPr>
                <w:color w:val="000000"/>
                <w:sz w:val="22"/>
              </w:rPr>
              <w:t xml:space="preserve"> для </w:t>
            </w:r>
            <w:proofErr w:type="spellStart"/>
            <w:r w:rsidRPr="002045F5">
              <w:rPr>
                <w:color w:val="000000"/>
                <w:sz w:val="22"/>
              </w:rPr>
              <w:t>фізичного</w:t>
            </w:r>
            <w:proofErr w:type="spellEnd"/>
            <w:r w:rsidRPr="002045F5">
              <w:rPr>
                <w:color w:val="000000"/>
                <w:sz w:val="22"/>
              </w:rPr>
              <w:t xml:space="preserve"> </w:t>
            </w:r>
            <w:proofErr w:type="spellStart"/>
            <w:r w:rsidRPr="002045F5">
              <w:rPr>
                <w:color w:val="000000"/>
                <w:sz w:val="22"/>
              </w:rPr>
              <w:t>розвитку</w:t>
            </w:r>
            <w:proofErr w:type="spellEnd"/>
            <w:r w:rsidRPr="002045F5">
              <w:rPr>
                <w:color w:val="000000"/>
                <w:sz w:val="22"/>
              </w:rPr>
              <w:t xml:space="preserve"> </w:t>
            </w:r>
            <w:proofErr w:type="spellStart"/>
            <w:r w:rsidRPr="002045F5">
              <w:rPr>
                <w:color w:val="000000"/>
                <w:sz w:val="22"/>
              </w:rPr>
              <w:t>дітей</w:t>
            </w:r>
            <w:proofErr w:type="spellEnd"/>
            <w:r w:rsidRPr="002045F5">
              <w:rPr>
                <w:color w:val="000000"/>
                <w:sz w:val="22"/>
              </w:rPr>
              <w:t xml:space="preserve">, </w:t>
            </w:r>
            <w:proofErr w:type="spellStart"/>
            <w:r w:rsidRPr="002045F5">
              <w:rPr>
                <w:color w:val="000000"/>
                <w:sz w:val="22"/>
              </w:rPr>
              <w:t>створення</w:t>
            </w:r>
            <w:proofErr w:type="spellEnd"/>
            <w:r w:rsidRPr="002045F5">
              <w:rPr>
                <w:color w:val="000000"/>
                <w:sz w:val="22"/>
              </w:rPr>
              <w:t xml:space="preserve"> </w:t>
            </w:r>
            <w:proofErr w:type="spellStart"/>
            <w:r w:rsidRPr="002045F5">
              <w:rPr>
                <w:color w:val="000000"/>
                <w:sz w:val="22"/>
              </w:rPr>
              <w:t>безпечних</w:t>
            </w:r>
            <w:proofErr w:type="spellEnd"/>
            <w:r w:rsidRPr="002045F5">
              <w:rPr>
                <w:color w:val="000000"/>
                <w:sz w:val="22"/>
              </w:rPr>
              <w:t xml:space="preserve"> умов </w:t>
            </w:r>
            <w:r w:rsidR="0095612C" w:rsidRPr="002045F5">
              <w:rPr>
                <w:color w:val="000000"/>
                <w:sz w:val="22"/>
              </w:rPr>
              <w:t xml:space="preserve">для </w:t>
            </w:r>
            <w:proofErr w:type="spellStart"/>
            <w:r w:rsidRPr="002045F5">
              <w:rPr>
                <w:color w:val="000000"/>
                <w:sz w:val="22"/>
              </w:rPr>
              <w:t>фізкультурних</w:t>
            </w:r>
            <w:proofErr w:type="spellEnd"/>
            <w:r w:rsidRPr="002045F5">
              <w:rPr>
                <w:color w:val="000000"/>
                <w:sz w:val="22"/>
              </w:rPr>
              <w:t xml:space="preserve"> занять та </w:t>
            </w:r>
            <w:proofErr w:type="spellStart"/>
            <w:r w:rsidRPr="002045F5">
              <w:rPr>
                <w:color w:val="000000"/>
                <w:sz w:val="22"/>
              </w:rPr>
              <w:t>уроків</w:t>
            </w:r>
            <w:proofErr w:type="spellEnd"/>
            <w:r w:rsidRPr="002045F5">
              <w:rPr>
                <w:color w:val="000000"/>
                <w:sz w:val="22"/>
              </w:rPr>
              <w:t xml:space="preserve">, </w:t>
            </w:r>
            <w:proofErr w:type="spellStart"/>
            <w:r w:rsidRPr="002045F5">
              <w:rPr>
                <w:color w:val="000000"/>
                <w:sz w:val="22"/>
              </w:rPr>
              <w:t>розвитку</w:t>
            </w:r>
            <w:proofErr w:type="spellEnd"/>
            <w:r w:rsidRPr="002045F5">
              <w:rPr>
                <w:color w:val="000000"/>
                <w:sz w:val="22"/>
              </w:rPr>
              <w:t xml:space="preserve"> </w:t>
            </w:r>
            <w:proofErr w:type="spellStart"/>
            <w:r w:rsidRPr="002045F5">
              <w:rPr>
                <w:color w:val="000000"/>
                <w:sz w:val="22"/>
              </w:rPr>
              <w:t>природних</w:t>
            </w:r>
            <w:proofErr w:type="spellEnd"/>
            <w:r w:rsidRPr="002045F5">
              <w:rPr>
                <w:color w:val="000000"/>
                <w:sz w:val="22"/>
              </w:rPr>
              <w:t xml:space="preserve"> </w:t>
            </w:r>
            <w:proofErr w:type="spellStart"/>
            <w:r w:rsidRPr="002045F5">
              <w:rPr>
                <w:color w:val="000000"/>
                <w:sz w:val="22"/>
              </w:rPr>
              <w:t>здібностей</w:t>
            </w:r>
            <w:proofErr w:type="spellEnd"/>
            <w:r w:rsidRPr="002045F5">
              <w:rPr>
                <w:color w:val="000000"/>
                <w:sz w:val="22"/>
              </w:rPr>
              <w:t xml:space="preserve"> </w:t>
            </w:r>
            <w:proofErr w:type="spellStart"/>
            <w:r w:rsidRPr="002045F5">
              <w:rPr>
                <w:color w:val="000000"/>
                <w:sz w:val="22"/>
              </w:rPr>
              <w:t>дітей</w:t>
            </w:r>
            <w:proofErr w:type="spellEnd"/>
            <w:r w:rsidRPr="002045F5">
              <w:rPr>
                <w:color w:val="000000"/>
                <w:sz w:val="22"/>
              </w:rPr>
              <w:t xml:space="preserve"> до спорту, </w:t>
            </w:r>
            <w:proofErr w:type="spellStart"/>
            <w:r w:rsidRPr="002045F5">
              <w:rPr>
                <w:color w:val="000000"/>
                <w:sz w:val="22"/>
              </w:rPr>
              <w:t>ефективної</w:t>
            </w:r>
            <w:proofErr w:type="spellEnd"/>
            <w:r w:rsidRPr="002045F5">
              <w:rPr>
                <w:color w:val="000000"/>
                <w:sz w:val="22"/>
              </w:rPr>
              <w:t xml:space="preserve"> </w:t>
            </w:r>
            <w:proofErr w:type="spellStart"/>
            <w:r w:rsidRPr="002045F5">
              <w:rPr>
                <w:color w:val="000000"/>
                <w:sz w:val="22"/>
              </w:rPr>
              <w:t>соціалізації</w:t>
            </w:r>
            <w:proofErr w:type="spellEnd"/>
            <w:r w:rsidRPr="002045F5">
              <w:rPr>
                <w:color w:val="000000"/>
                <w:sz w:val="22"/>
              </w:rPr>
              <w:t xml:space="preserve"> </w:t>
            </w:r>
            <w:proofErr w:type="spellStart"/>
            <w:r w:rsidRPr="002045F5">
              <w:rPr>
                <w:color w:val="000000"/>
                <w:sz w:val="22"/>
              </w:rPr>
              <w:t>дітей</w:t>
            </w:r>
            <w:proofErr w:type="spellEnd"/>
            <w:r w:rsidRPr="002045F5">
              <w:rPr>
                <w:color w:val="000000"/>
                <w:sz w:val="22"/>
              </w:rPr>
              <w:t xml:space="preserve"> з ООП; </w:t>
            </w:r>
            <w:proofErr w:type="spellStart"/>
            <w:r w:rsidRPr="002045F5">
              <w:rPr>
                <w:color w:val="000000"/>
                <w:sz w:val="22"/>
              </w:rPr>
              <w:t>облаштування</w:t>
            </w:r>
            <w:proofErr w:type="spellEnd"/>
            <w:r w:rsidRPr="002045F5">
              <w:rPr>
                <w:color w:val="000000"/>
                <w:sz w:val="22"/>
              </w:rPr>
              <w:t xml:space="preserve"> </w:t>
            </w:r>
            <w:proofErr w:type="spellStart"/>
            <w:r w:rsidRPr="002045F5">
              <w:rPr>
                <w:color w:val="000000"/>
                <w:sz w:val="22"/>
              </w:rPr>
              <w:t>майданчиків</w:t>
            </w:r>
            <w:proofErr w:type="spellEnd"/>
            <w:r w:rsidRPr="002045F5">
              <w:rPr>
                <w:color w:val="000000"/>
                <w:sz w:val="22"/>
              </w:rPr>
              <w:t xml:space="preserve"> для </w:t>
            </w:r>
            <w:proofErr w:type="spellStart"/>
            <w:r w:rsidRPr="002045F5">
              <w:rPr>
                <w:color w:val="000000"/>
                <w:sz w:val="22"/>
              </w:rPr>
              <w:t>розваг</w:t>
            </w:r>
            <w:proofErr w:type="spellEnd"/>
            <w:r w:rsidRPr="002045F5">
              <w:rPr>
                <w:color w:val="000000"/>
                <w:sz w:val="22"/>
              </w:rPr>
              <w:t xml:space="preserve"> </w:t>
            </w:r>
            <w:proofErr w:type="spellStart"/>
            <w:r w:rsidRPr="002045F5">
              <w:rPr>
                <w:color w:val="000000"/>
                <w:sz w:val="22"/>
              </w:rPr>
              <w:t>дітей</w:t>
            </w:r>
            <w:proofErr w:type="spellEnd"/>
            <w:r w:rsidRPr="002045F5">
              <w:rPr>
                <w:color w:val="000000"/>
                <w:sz w:val="22"/>
              </w:rPr>
              <w:t xml:space="preserve"> </w:t>
            </w:r>
            <w:proofErr w:type="spellStart"/>
            <w:r w:rsidRPr="002045F5">
              <w:rPr>
                <w:color w:val="000000"/>
                <w:sz w:val="22"/>
              </w:rPr>
              <w:t>дошкільного</w:t>
            </w:r>
            <w:proofErr w:type="spellEnd"/>
            <w:r w:rsidRPr="002045F5">
              <w:rPr>
                <w:color w:val="000000"/>
                <w:sz w:val="22"/>
              </w:rPr>
              <w:t xml:space="preserve"> </w:t>
            </w:r>
            <w:proofErr w:type="spellStart"/>
            <w:r w:rsidRPr="002045F5">
              <w:rPr>
                <w:color w:val="000000"/>
                <w:sz w:val="22"/>
              </w:rPr>
              <w:t>підрозділу</w:t>
            </w:r>
            <w:proofErr w:type="spellEnd"/>
            <w:r w:rsidRPr="002045F5">
              <w:rPr>
                <w:color w:val="000000"/>
                <w:sz w:val="22"/>
              </w:rPr>
              <w:t xml:space="preserve"> і </w:t>
            </w:r>
            <w:proofErr w:type="spellStart"/>
            <w:r w:rsidRPr="002045F5">
              <w:rPr>
                <w:color w:val="000000"/>
                <w:sz w:val="22"/>
              </w:rPr>
              <w:t>учнів</w:t>
            </w:r>
            <w:proofErr w:type="spellEnd"/>
            <w:r w:rsidRPr="002045F5">
              <w:rPr>
                <w:color w:val="000000"/>
                <w:sz w:val="22"/>
              </w:rPr>
              <w:t xml:space="preserve"> </w:t>
            </w:r>
            <w:proofErr w:type="spellStart"/>
            <w:r w:rsidRPr="002045F5">
              <w:rPr>
                <w:color w:val="000000"/>
                <w:sz w:val="22"/>
              </w:rPr>
              <w:t>початкових</w:t>
            </w:r>
            <w:proofErr w:type="spellEnd"/>
            <w:r w:rsidRPr="002045F5">
              <w:rPr>
                <w:color w:val="000000"/>
                <w:sz w:val="22"/>
              </w:rPr>
              <w:t xml:space="preserve"> </w:t>
            </w:r>
            <w:proofErr w:type="spellStart"/>
            <w:r w:rsidRPr="002045F5">
              <w:rPr>
                <w:color w:val="000000"/>
                <w:sz w:val="22"/>
              </w:rPr>
              <w:t>класів</w:t>
            </w:r>
            <w:proofErr w:type="spellEnd"/>
            <w:r w:rsidRPr="002045F5">
              <w:rPr>
                <w:color w:val="000000"/>
                <w:sz w:val="22"/>
              </w:rPr>
              <w:t xml:space="preserve"> на </w:t>
            </w:r>
            <w:proofErr w:type="spellStart"/>
            <w:r w:rsidRPr="002045F5">
              <w:rPr>
                <w:color w:val="000000"/>
                <w:sz w:val="22"/>
              </w:rPr>
              <w:t>шкільному</w:t>
            </w:r>
            <w:proofErr w:type="spellEnd"/>
            <w:r w:rsidRPr="002045F5">
              <w:rPr>
                <w:color w:val="000000"/>
                <w:sz w:val="22"/>
              </w:rPr>
              <w:t xml:space="preserve"> </w:t>
            </w:r>
            <w:proofErr w:type="spellStart"/>
            <w:proofErr w:type="gramStart"/>
            <w:r w:rsidRPr="002045F5">
              <w:rPr>
                <w:color w:val="000000"/>
                <w:sz w:val="22"/>
              </w:rPr>
              <w:t>подвір’ї</w:t>
            </w:r>
            <w:proofErr w:type="spellEnd"/>
            <w:r w:rsidRPr="002045F5">
              <w:rPr>
                <w:color w:val="000000"/>
                <w:sz w:val="22"/>
              </w:rPr>
              <w:t xml:space="preserve"> .</w:t>
            </w:r>
            <w:proofErr w:type="gramEnd"/>
            <w:r w:rsidRPr="002045F5">
              <w:rPr>
                <w:sz w:val="22"/>
              </w:rPr>
              <w:t xml:space="preserve"> </w:t>
            </w:r>
            <w:proofErr w:type="spellStart"/>
            <w:r w:rsidRPr="002045F5">
              <w:rPr>
                <w:sz w:val="22"/>
              </w:rPr>
              <w:t>Реалізація</w:t>
            </w:r>
            <w:proofErr w:type="spellEnd"/>
            <w:r w:rsidRPr="002045F5">
              <w:rPr>
                <w:sz w:val="22"/>
              </w:rPr>
              <w:t xml:space="preserve"> </w:t>
            </w:r>
            <w:proofErr w:type="spellStart"/>
            <w:r w:rsidRPr="002045F5">
              <w:rPr>
                <w:sz w:val="22"/>
              </w:rPr>
              <w:t>про</w:t>
            </w:r>
            <w:r w:rsidR="00F21320" w:rsidRPr="002045F5">
              <w:rPr>
                <w:sz w:val="22"/>
              </w:rPr>
              <w:t>є</w:t>
            </w:r>
            <w:r w:rsidRPr="002045F5">
              <w:rPr>
                <w:sz w:val="22"/>
              </w:rPr>
              <w:t>кту</w:t>
            </w:r>
            <w:proofErr w:type="spellEnd"/>
            <w:r w:rsidRPr="002045F5">
              <w:rPr>
                <w:sz w:val="22"/>
              </w:rPr>
              <w:t xml:space="preserve"> </w:t>
            </w:r>
            <w:proofErr w:type="spellStart"/>
            <w:r w:rsidRPr="002045F5">
              <w:rPr>
                <w:sz w:val="22"/>
              </w:rPr>
              <w:t>задовольнить</w:t>
            </w:r>
            <w:proofErr w:type="spellEnd"/>
            <w:r w:rsidRPr="002045F5">
              <w:rPr>
                <w:sz w:val="22"/>
              </w:rPr>
              <w:t xml:space="preserve"> </w:t>
            </w:r>
            <w:proofErr w:type="gramStart"/>
            <w:r w:rsidRPr="002045F5">
              <w:rPr>
                <w:sz w:val="22"/>
              </w:rPr>
              <w:t xml:space="preserve">потреби  </w:t>
            </w:r>
            <w:proofErr w:type="spellStart"/>
            <w:r w:rsidRPr="002045F5">
              <w:rPr>
                <w:sz w:val="22"/>
              </w:rPr>
              <w:t>мешканців</w:t>
            </w:r>
            <w:proofErr w:type="spellEnd"/>
            <w:proofErr w:type="gramEnd"/>
            <w:r w:rsidRPr="002045F5">
              <w:rPr>
                <w:sz w:val="22"/>
              </w:rPr>
              <w:t xml:space="preserve"> </w:t>
            </w:r>
            <w:proofErr w:type="spellStart"/>
            <w:r w:rsidRPr="002045F5">
              <w:rPr>
                <w:sz w:val="22"/>
              </w:rPr>
              <w:t>Сєвєродонецької</w:t>
            </w:r>
            <w:proofErr w:type="spellEnd"/>
            <w:r w:rsidRPr="002045F5">
              <w:rPr>
                <w:sz w:val="22"/>
              </w:rPr>
              <w:t xml:space="preserve"> </w:t>
            </w:r>
            <w:proofErr w:type="spellStart"/>
            <w:r w:rsidRPr="002045F5">
              <w:rPr>
                <w:sz w:val="22"/>
              </w:rPr>
              <w:t>міської</w:t>
            </w:r>
            <w:proofErr w:type="spellEnd"/>
            <w:r w:rsidRPr="002045F5">
              <w:rPr>
                <w:sz w:val="22"/>
              </w:rPr>
              <w:t xml:space="preserve"> </w:t>
            </w:r>
            <w:proofErr w:type="spellStart"/>
            <w:r w:rsidRPr="002045F5">
              <w:rPr>
                <w:sz w:val="22"/>
              </w:rPr>
              <w:t>територіальної</w:t>
            </w:r>
            <w:proofErr w:type="spellEnd"/>
            <w:r w:rsidRPr="002045F5">
              <w:rPr>
                <w:sz w:val="22"/>
              </w:rPr>
              <w:t xml:space="preserve"> </w:t>
            </w:r>
            <w:proofErr w:type="spellStart"/>
            <w:r w:rsidRPr="002045F5">
              <w:rPr>
                <w:sz w:val="22"/>
              </w:rPr>
              <w:t>громади</w:t>
            </w:r>
            <w:proofErr w:type="spellEnd"/>
            <w:r w:rsidRPr="002045F5">
              <w:rPr>
                <w:sz w:val="22"/>
              </w:rPr>
              <w:t>.</w:t>
            </w:r>
          </w:p>
        </w:tc>
      </w:tr>
      <w:tr w:rsidR="001013F3" w:rsidRPr="002045F5" w:rsidTr="005B4D42">
        <w:tc>
          <w:tcPr>
            <w:tcW w:w="2978" w:type="dxa"/>
            <w:shd w:val="clear" w:color="auto" w:fill="C6D9F1" w:themeFill="text2" w:themeFillTint="33"/>
          </w:tcPr>
          <w:p w:rsidR="001013F3" w:rsidRPr="002045F5" w:rsidRDefault="001013F3" w:rsidP="001013F3">
            <w:pPr>
              <w:pStyle w:val="a7"/>
              <w:ind w:left="0"/>
              <w:rPr>
                <w:b/>
                <w:sz w:val="22"/>
              </w:rPr>
            </w:pPr>
            <w:proofErr w:type="spellStart"/>
            <w:r w:rsidRPr="002045F5">
              <w:rPr>
                <w:b/>
                <w:sz w:val="22"/>
              </w:rPr>
              <w:lastRenderedPageBreak/>
              <w:t>Територія</w:t>
            </w:r>
            <w:proofErr w:type="spellEnd"/>
            <w:r w:rsidRPr="002045F5">
              <w:rPr>
                <w:b/>
                <w:sz w:val="22"/>
              </w:rPr>
              <w:t xml:space="preserve">, </w:t>
            </w:r>
            <w:proofErr w:type="gramStart"/>
            <w:r w:rsidRPr="002045F5">
              <w:rPr>
                <w:b/>
                <w:sz w:val="22"/>
              </w:rPr>
              <w:t>на яку</w:t>
            </w:r>
            <w:proofErr w:type="gramEnd"/>
            <w:r w:rsidRPr="002045F5">
              <w:rPr>
                <w:b/>
                <w:sz w:val="22"/>
              </w:rPr>
              <w:t xml:space="preserve"> </w:t>
            </w:r>
            <w:proofErr w:type="spellStart"/>
            <w:r w:rsidRPr="002045F5">
              <w:rPr>
                <w:b/>
                <w:sz w:val="22"/>
              </w:rPr>
              <w:t>матиме</w:t>
            </w:r>
            <w:proofErr w:type="spellEnd"/>
            <w:r w:rsidRPr="002045F5">
              <w:rPr>
                <w:b/>
                <w:sz w:val="22"/>
              </w:rPr>
              <w:t xml:space="preserve"> </w:t>
            </w:r>
            <w:proofErr w:type="spellStart"/>
            <w:r w:rsidRPr="002045F5">
              <w:rPr>
                <w:b/>
                <w:sz w:val="22"/>
              </w:rPr>
              <w:t>вплив</w:t>
            </w:r>
            <w:proofErr w:type="spellEnd"/>
            <w:r w:rsidRPr="002045F5">
              <w:rPr>
                <w:b/>
                <w:sz w:val="22"/>
              </w:rPr>
              <w:t xml:space="preserve"> </w:t>
            </w:r>
            <w:proofErr w:type="spellStart"/>
            <w:r w:rsidRPr="002045F5">
              <w:rPr>
                <w:b/>
                <w:sz w:val="22"/>
              </w:rPr>
              <w:t>реалізація</w:t>
            </w:r>
            <w:proofErr w:type="spellEnd"/>
            <w:r w:rsidRPr="002045F5">
              <w:rPr>
                <w:b/>
                <w:sz w:val="22"/>
              </w:rPr>
              <w:t xml:space="preserve"> проекту</w:t>
            </w:r>
          </w:p>
        </w:tc>
        <w:tc>
          <w:tcPr>
            <w:tcW w:w="6910" w:type="dxa"/>
            <w:gridSpan w:val="6"/>
          </w:tcPr>
          <w:p w:rsidR="001013F3" w:rsidRPr="002045F5" w:rsidRDefault="001013F3" w:rsidP="001013F3">
            <w:pPr>
              <w:pStyle w:val="a7"/>
              <w:ind w:left="0"/>
              <w:rPr>
                <w:sz w:val="22"/>
              </w:rPr>
            </w:pPr>
            <w:proofErr w:type="spellStart"/>
            <w:r w:rsidRPr="002045F5">
              <w:rPr>
                <w:sz w:val="22"/>
              </w:rPr>
              <w:t>Сєвєродонецька</w:t>
            </w:r>
            <w:proofErr w:type="spellEnd"/>
            <w:r w:rsidRPr="002045F5">
              <w:rPr>
                <w:sz w:val="22"/>
              </w:rPr>
              <w:t xml:space="preserve"> </w:t>
            </w:r>
            <w:proofErr w:type="spellStart"/>
            <w:r w:rsidRPr="002045F5">
              <w:rPr>
                <w:sz w:val="22"/>
              </w:rPr>
              <w:t>міська</w:t>
            </w:r>
            <w:proofErr w:type="spellEnd"/>
            <w:r w:rsidRPr="002045F5">
              <w:rPr>
                <w:sz w:val="22"/>
              </w:rPr>
              <w:t xml:space="preserve"> </w:t>
            </w:r>
            <w:proofErr w:type="spellStart"/>
            <w:r w:rsidRPr="002045F5">
              <w:rPr>
                <w:sz w:val="22"/>
              </w:rPr>
              <w:t>територіальна</w:t>
            </w:r>
            <w:proofErr w:type="spellEnd"/>
            <w:r w:rsidRPr="002045F5">
              <w:rPr>
                <w:sz w:val="22"/>
              </w:rPr>
              <w:t xml:space="preserve"> громада</w:t>
            </w:r>
          </w:p>
        </w:tc>
      </w:tr>
      <w:tr w:rsidR="001013F3" w:rsidRPr="002045F5" w:rsidTr="005B4D42">
        <w:tc>
          <w:tcPr>
            <w:tcW w:w="2978" w:type="dxa"/>
            <w:shd w:val="clear" w:color="auto" w:fill="C6D9F1" w:themeFill="text2" w:themeFillTint="33"/>
          </w:tcPr>
          <w:p w:rsidR="001013F3" w:rsidRPr="002045F5" w:rsidRDefault="001013F3" w:rsidP="001013F3">
            <w:pPr>
              <w:pStyle w:val="a7"/>
              <w:ind w:left="0"/>
              <w:rPr>
                <w:b/>
                <w:sz w:val="22"/>
              </w:rPr>
            </w:pPr>
            <w:proofErr w:type="spellStart"/>
            <w:r w:rsidRPr="002045F5">
              <w:rPr>
                <w:b/>
                <w:sz w:val="22"/>
              </w:rPr>
              <w:t>Чисельність</w:t>
            </w:r>
            <w:proofErr w:type="spellEnd"/>
            <w:r w:rsidRPr="002045F5">
              <w:rPr>
                <w:b/>
                <w:sz w:val="22"/>
              </w:rPr>
              <w:t xml:space="preserve"> </w:t>
            </w:r>
            <w:proofErr w:type="spellStart"/>
            <w:r w:rsidRPr="002045F5">
              <w:rPr>
                <w:b/>
                <w:sz w:val="22"/>
              </w:rPr>
              <w:t>населення</w:t>
            </w:r>
            <w:proofErr w:type="spellEnd"/>
            <w:r w:rsidRPr="002045F5">
              <w:rPr>
                <w:b/>
                <w:sz w:val="22"/>
              </w:rPr>
              <w:t xml:space="preserve">, на яке </w:t>
            </w:r>
            <w:proofErr w:type="spellStart"/>
            <w:r w:rsidRPr="002045F5">
              <w:rPr>
                <w:b/>
                <w:sz w:val="22"/>
              </w:rPr>
              <w:t>матиме</w:t>
            </w:r>
            <w:proofErr w:type="spellEnd"/>
            <w:r w:rsidRPr="002045F5">
              <w:rPr>
                <w:b/>
                <w:sz w:val="22"/>
              </w:rPr>
              <w:t xml:space="preserve"> </w:t>
            </w:r>
            <w:proofErr w:type="spellStart"/>
            <w:r w:rsidRPr="002045F5">
              <w:rPr>
                <w:b/>
                <w:sz w:val="22"/>
              </w:rPr>
              <w:t>вплив</w:t>
            </w:r>
            <w:proofErr w:type="spellEnd"/>
            <w:r w:rsidRPr="002045F5">
              <w:rPr>
                <w:b/>
                <w:sz w:val="22"/>
              </w:rPr>
              <w:t xml:space="preserve"> </w:t>
            </w:r>
            <w:proofErr w:type="spellStart"/>
            <w:r w:rsidRPr="002045F5">
              <w:rPr>
                <w:b/>
                <w:sz w:val="22"/>
              </w:rPr>
              <w:t>реалізація</w:t>
            </w:r>
            <w:proofErr w:type="spellEnd"/>
            <w:r w:rsidRPr="002045F5">
              <w:rPr>
                <w:b/>
                <w:sz w:val="22"/>
              </w:rPr>
              <w:t xml:space="preserve"> проекту</w:t>
            </w:r>
          </w:p>
        </w:tc>
        <w:tc>
          <w:tcPr>
            <w:tcW w:w="6910" w:type="dxa"/>
            <w:gridSpan w:val="6"/>
          </w:tcPr>
          <w:p w:rsidR="001013F3" w:rsidRPr="002045F5" w:rsidRDefault="001013F3" w:rsidP="001013F3">
            <w:pPr>
              <w:pStyle w:val="a7"/>
              <w:ind w:left="0"/>
              <w:rPr>
                <w:sz w:val="22"/>
              </w:rPr>
            </w:pPr>
            <w:r w:rsidRPr="002045F5">
              <w:rPr>
                <w:sz w:val="22"/>
              </w:rPr>
              <w:t xml:space="preserve"> 70 </w:t>
            </w:r>
            <w:proofErr w:type="gramStart"/>
            <w:r w:rsidRPr="002045F5">
              <w:rPr>
                <w:sz w:val="22"/>
              </w:rPr>
              <w:t xml:space="preserve">000  </w:t>
            </w:r>
            <w:proofErr w:type="spellStart"/>
            <w:r w:rsidRPr="002045F5">
              <w:rPr>
                <w:sz w:val="22"/>
              </w:rPr>
              <w:t>осіб</w:t>
            </w:r>
            <w:proofErr w:type="spellEnd"/>
            <w:proofErr w:type="gramEnd"/>
          </w:p>
        </w:tc>
      </w:tr>
      <w:tr w:rsidR="001013F3" w:rsidRPr="002045F5" w:rsidTr="005B4D42">
        <w:tc>
          <w:tcPr>
            <w:tcW w:w="2978" w:type="dxa"/>
            <w:shd w:val="clear" w:color="auto" w:fill="C6D9F1" w:themeFill="text2" w:themeFillTint="33"/>
          </w:tcPr>
          <w:p w:rsidR="001013F3" w:rsidRPr="002045F5" w:rsidRDefault="001013F3" w:rsidP="001013F3">
            <w:pPr>
              <w:rPr>
                <w:b/>
                <w:sz w:val="22"/>
              </w:rPr>
            </w:pPr>
            <w:proofErr w:type="spellStart"/>
            <w:r w:rsidRPr="002045F5">
              <w:rPr>
                <w:b/>
                <w:sz w:val="22"/>
              </w:rPr>
              <w:t>Опис</w:t>
            </w:r>
            <w:proofErr w:type="spellEnd"/>
            <w:r w:rsidRPr="002045F5">
              <w:rPr>
                <w:b/>
                <w:sz w:val="22"/>
              </w:rPr>
              <w:t xml:space="preserve"> </w:t>
            </w:r>
            <w:proofErr w:type="spellStart"/>
            <w:r w:rsidRPr="002045F5">
              <w:rPr>
                <w:b/>
                <w:sz w:val="22"/>
              </w:rPr>
              <w:t>проблеми</w:t>
            </w:r>
            <w:proofErr w:type="spellEnd"/>
            <w:r w:rsidRPr="002045F5">
              <w:rPr>
                <w:b/>
                <w:sz w:val="22"/>
              </w:rPr>
              <w:t xml:space="preserve">, на </w:t>
            </w:r>
            <w:proofErr w:type="spellStart"/>
            <w:r w:rsidRPr="002045F5">
              <w:rPr>
                <w:b/>
                <w:sz w:val="22"/>
              </w:rPr>
              <w:t>вирішення</w:t>
            </w:r>
            <w:proofErr w:type="spellEnd"/>
            <w:r w:rsidRPr="002045F5">
              <w:rPr>
                <w:b/>
                <w:sz w:val="22"/>
              </w:rPr>
              <w:t xml:space="preserve"> </w:t>
            </w:r>
            <w:proofErr w:type="spellStart"/>
            <w:proofErr w:type="gramStart"/>
            <w:r w:rsidRPr="002045F5">
              <w:rPr>
                <w:b/>
                <w:sz w:val="22"/>
              </w:rPr>
              <w:t>якої</w:t>
            </w:r>
            <w:proofErr w:type="spellEnd"/>
            <w:r w:rsidRPr="002045F5">
              <w:rPr>
                <w:b/>
                <w:sz w:val="22"/>
              </w:rPr>
              <w:t xml:space="preserve">  </w:t>
            </w:r>
            <w:proofErr w:type="spellStart"/>
            <w:r w:rsidRPr="002045F5">
              <w:rPr>
                <w:b/>
                <w:sz w:val="22"/>
              </w:rPr>
              <w:t>спрямований</w:t>
            </w:r>
            <w:proofErr w:type="spellEnd"/>
            <w:proofErr w:type="gramEnd"/>
            <w:r w:rsidRPr="002045F5">
              <w:rPr>
                <w:b/>
                <w:sz w:val="22"/>
              </w:rPr>
              <w:t xml:space="preserve"> проект</w:t>
            </w:r>
          </w:p>
        </w:tc>
        <w:tc>
          <w:tcPr>
            <w:tcW w:w="6910" w:type="dxa"/>
            <w:gridSpan w:val="6"/>
          </w:tcPr>
          <w:p w:rsidR="001013F3" w:rsidRPr="002045F5" w:rsidRDefault="001013F3" w:rsidP="001013F3">
            <w:pPr>
              <w:rPr>
                <w:color w:val="000000"/>
                <w:sz w:val="22"/>
              </w:rPr>
            </w:pPr>
            <w:proofErr w:type="spellStart"/>
            <w:r w:rsidRPr="002045F5">
              <w:rPr>
                <w:color w:val="000000"/>
                <w:sz w:val="22"/>
              </w:rPr>
              <w:t>Внаслідок</w:t>
            </w:r>
            <w:proofErr w:type="spellEnd"/>
            <w:r w:rsidRPr="002045F5">
              <w:rPr>
                <w:color w:val="000000"/>
                <w:sz w:val="22"/>
              </w:rPr>
              <w:t xml:space="preserve"> </w:t>
            </w:r>
            <w:proofErr w:type="spellStart"/>
            <w:r w:rsidRPr="002045F5">
              <w:rPr>
                <w:color w:val="000000"/>
                <w:sz w:val="22"/>
              </w:rPr>
              <w:t>російської</w:t>
            </w:r>
            <w:proofErr w:type="spellEnd"/>
            <w:r w:rsidRPr="002045F5">
              <w:rPr>
                <w:color w:val="000000"/>
                <w:sz w:val="22"/>
              </w:rPr>
              <w:t xml:space="preserve"> </w:t>
            </w:r>
            <w:proofErr w:type="spellStart"/>
            <w:r w:rsidRPr="002045F5">
              <w:rPr>
                <w:color w:val="000000"/>
                <w:sz w:val="22"/>
              </w:rPr>
              <w:t>збройної</w:t>
            </w:r>
            <w:proofErr w:type="spellEnd"/>
            <w:r w:rsidRPr="002045F5">
              <w:rPr>
                <w:color w:val="000000"/>
                <w:sz w:val="22"/>
              </w:rPr>
              <w:t xml:space="preserve"> </w:t>
            </w:r>
            <w:proofErr w:type="spellStart"/>
            <w:r w:rsidRPr="002045F5">
              <w:rPr>
                <w:color w:val="000000"/>
                <w:sz w:val="22"/>
              </w:rPr>
              <w:t>агресії</w:t>
            </w:r>
            <w:proofErr w:type="spellEnd"/>
            <w:r w:rsidRPr="002045F5">
              <w:rPr>
                <w:color w:val="000000"/>
                <w:sz w:val="22"/>
              </w:rPr>
              <w:t xml:space="preserve"> </w:t>
            </w:r>
            <w:proofErr w:type="spellStart"/>
            <w:r w:rsidRPr="002045F5">
              <w:rPr>
                <w:sz w:val="22"/>
              </w:rPr>
              <w:t>територія</w:t>
            </w:r>
            <w:proofErr w:type="spellEnd"/>
            <w:r w:rsidRPr="002045F5">
              <w:rPr>
                <w:sz w:val="22"/>
              </w:rPr>
              <w:t xml:space="preserve"> </w:t>
            </w:r>
            <w:proofErr w:type="spellStart"/>
            <w:r w:rsidRPr="002045F5">
              <w:rPr>
                <w:sz w:val="22"/>
              </w:rPr>
              <w:t>Сєвєродонецької</w:t>
            </w:r>
            <w:proofErr w:type="spellEnd"/>
            <w:r w:rsidRPr="002045F5">
              <w:rPr>
                <w:sz w:val="22"/>
              </w:rPr>
              <w:t xml:space="preserve"> </w:t>
            </w:r>
            <w:proofErr w:type="spellStart"/>
            <w:r w:rsidRPr="002045F5">
              <w:rPr>
                <w:sz w:val="22"/>
              </w:rPr>
              <w:t>міської</w:t>
            </w:r>
            <w:proofErr w:type="spellEnd"/>
            <w:r w:rsidRPr="002045F5">
              <w:rPr>
                <w:sz w:val="22"/>
              </w:rPr>
              <w:t xml:space="preserve"> </w:t>
            </w:r>
            <w:proofErr w:type="spellStart"/>
            <w:r w:rsidRPr="002045F5">
              <w:rPr>
                <w:sz w:val="22"/>
              </w:rPr>
              <w:t>територіальної</w:t>
            </w:r>
            <w:proofErr w:type="spellEnd"/>
            <w:r w:rsidRPr="002045F5">
              <w:rPr>
                <w:sz w:val="22"/>
              </w:rPr>
              <w:t xml:space="preserve"> </w:t>
            </w:r>
            <w:proofErr w:type="spellStart"/>
            <w:r w:rsidRPr="002045F5">
              <w:rPr>
                <w:sz w:val="22"/>
              </w:rPr>
              <w:t>громади</w:t>
            </w:r>
            <w:proofErr w:type="spellEnd"/>
            <w:r w:rsidRPr="002045F5">
              <w:rPr>
                <w:sz w:val="22"/>
              </w:rPr>
              <w:t xml:space="preserve"> </w:t>
            </w:r>
            <w:proofErr w:type="spellStart"/>
            <w:r w:rsidRPr="002045F5">
              <w:rPr>
                <w:sz w:val="22"/>
              </w:rPr>
              <w:t>зазнала</w:t>
            </w:r>
            <w:proofErr w:type="spellEnd"/>
            <w:r w:rsidRPr="002045F5">
              <w:rPr>
                <w:sz w:val="22"/>
              </w:rPr>
              <w:t xml:space="preserve"> </w:t>
            </w:r>
            <w:proofErr w:type="spellStart"/>
            <w:r w:rsidRPr="002045F5">
              <w:rPr>
                <w:sz w:val="22"/>
              </w:rPr>
              <w:t>значних</w:t>
            </w:r>
            <w:proofErr w:type="spellEnd"/>
            <w:r w:rsidRPr="002045F5">
              <w:rPr>
                <w:sz w:val="22"/>
              </w:rPr>
              <w:t xml:space="preserve"> </w:t>
            </w:r>
            <w:proofErr w:type="spellStart"/>
            <w:r w:rsidRPr="002045F5">
              <w:rPr>
                <w:sz w:val="22"/>
              </w:rPr>
              <w:t>пошкоджень</w:t>
            </w:r>
            <w:proofErr w:type="spellEnd"/>
            <w:r w:rsidRPr="002045F5">
              <w:rPr>
                <w:sz w:val="22"/>
              </w:rPr>
              <w:t>.</w:t>
            </w:r>
            <w:r w:rsidRPr="002045F5">
              <w:rPr>
                <w:color w:val="000000"/>
                <w:sz w:val="22"/>
              </w:rPr>
              <w:t xml:space="preserve"> Не </w:t>
            </w:r>
            <w:proofErr w:type="spellStart"/>
            <w:r w:rsidRPr="002045F5">
              <w:rPr>
                <w:color w:val="000000"/>
                <w:sz w:val="22"/>
              </w:rPr>
              <w:t>оминуло</w:t>
            </w:r>
            <w:proofErr w:type="spellEnd"/>
            <w:r w:rsidRPr="002045F5">
              <w:rPr>
                <w:color w:val="000000"/>
                <w:sz w:val="22"/>
              </w:rPr>
              <w:t xml:space="preserve"> </w:t>
            </w:r>
            <w:proofErr w:type="spellStart"/>
            <w:r w:rsidRPr="002045F5">
              <w:rPr>
                <w:color w:val="000000"/>
                <w:sz w:val="22"/>
              </w:rPr>
              <w:t>це</w:t>
            </w:r>
            <w:proofErr w:type="spellEnd"/>
            <w:r w:rsidRPr="002045F5">
              <w:rPr>
                <w:color w:val="000000"/>
                <w:sz w:val="22"/>
              </w:rPr>
              <w:t xml:space="preserve"> і </w:t>
            </w:r>
            <w:proofErr w:type="spellStart"/>
            <w:r w:rsidRPr="002045F5">
              <w:rPr>
                <w:color w:val="000000"/>
                <w:sz w:val="22"/>
              </w:rPr>
              <w:t>інфраструктуру</w:t>
            </w:r>
            <w:proofErr w:type="spellEnd"/>
            <w:r w:rsidRPr="002045F5">
              <w:rPr>
                <w:color w:val="000000"/>
                <w:sz w:val="22"/>
              </w:rPr>
              <w:t xml:space="preserve"> </w:t>
            </w:r>
            <w:proofErr w:type="spellStart"/>
            <w:r w:rsidRPr="002045F5">
              <w:rPr>
                <w:color w:val="000000"/>
                <w:sz w:val="22"/>
              </w:rPr>
              <w:t>дозвілля</w:t>
            </w:r>
            <w:proofErr w:type="spellEnd"/>
            <w:r w:rsidRPr="002045F5">
              <w:rPr>
                <w:color w:val="000000"/>
                <w:sz w:val="22"/>
              </w:rPr>
              <w:t xml:space="preserve"> та занять спортом </w:t>
            </w:r>
            <w:proofErr w:type="spellStart"/>
            <w:proofErr w:type="gramStart"/>
            <w:r w:rsidRPr="002045F5">
              <w:rPr>
                <w:color w:val="000000"/>
                <w:sz w:val="22"/>
              </w:rPr>
              <w:t>території</w:t>
            </w:r>
            <w:proofErr w:type="spellEnd"/>
            <w:r w:rsidRPr="002045F5">
              <w:rPr>
                <w:color w:val="000000"/>
                <w:sz w:val="22"/>
              </w:rPr>
              <w:t xml:space="preserve">  </w:t>
            </w:r>
            <w:proofErr w:type="spellStart"/>
            <w:r w:rsidRPr="002045F5">
              <w:rPr>
                <w:color w:val="000000"/>
                <w:sz w:val="22"/>
              </w:rPr>
              <w:t>Новоастраханського</w:t>
            </w:r>
            <w:proofErr w:type="spellEnd"/>
            <w:proofErr w:type="gramEnd"/>
            <w:r w:rsidRPr="002045F5">
              <w:rPr>
                <w:color w:val="000000"/>
                <w:sz w:val="22"/>
              </w:rPr>
              <w:t xml:space="preserve"> </w:t>
            </w:r>
            <w:proofErr w:type="spellStart"/>
            <w:r w:rsidRPr="002045F5">
              <w:rPr>
                <w:color w:val="000000"/>
                <w:sz w:val="22"/>
              </w:rPr>
              <w:t>ліцею</w:t>
            </w:r>
            <w:proofErr w:type="spellEnd"/>
            <w:r w:rsidRPr="002045F5">
              <w:rPr>
                <w:color w:val="000000"/>
                <w:sz w:val="22"/>
              </w:rPr>
              <w:t xml:space="preserve"> . Метою </w:t>
            </w:r>
            <w:proofErr w:type="spellStart"/>
            <w:r w:rsidRPr="002045F5">
              <w:rPr>
                <w:color w:val="000000"/>
                <w:sz w:val="22"/>
              </w:rPr>
              <w:t>даного</w:t>
            </w:r>
            <w:proofErr w:type="spellEnd"/>
            <w:r w:rsidRPr="002045F5">
              <w:rPr>
                <w:color w:val="000000"/>
                <w:sz w:val="22"/>
              </w:rPr>
              <w:t xml:space="preserve"> </w:t>
            </w:r>
            <w:proofErr w:type="spellStart"/>
            <w:r w:rsidRPr="002045F5">
              <w:rPr>
                <w:color w:val="000000"/>
                <w:sz w:val="22"/>
              </w:rPr>
              <w:t>про</w:t>
            </w:r>
            <w:r w:rsidR="00A24697" w:rsidRPr="002045F5">
              <w:rPr>
                <w:color w:val="000000"/>
                <w:sz w:val="22"/>
              </w:rPr>
              <w:t>є</w:t>
            </w:r>
            <w:r w:rsidRPr="002045F5">
              <w:rPr>
                <w:color w:val="000000"/>
                <w:sz w:val="22"/>
              </w:rPr>
              <w:t>кту</w:t>
            </w:r>
            <w:proofErr w:type="spellEnd"/>
            <w:r w:rsidRPr="002045F5">
              <w:rPr>
                <w:color w:val="000000"/>
                <w:sz w:val="22"/>
              </w:rPr>
              <w:t xml:space="preserve"> є </w:t>
            </w:r>
            <w:proofErr w:type="spellStart"/>
            <w:r w:rsidRPr="002045F5">
              <w:rPr>
                <w:color w:val="000000"/>
                <w:sz w:val="22"/>
              </w:rPr>
              <w:t>піклування</w:t>
            </w:r>
            <w:proofErr w:type="spellEnd"/>
            <w:r w:rsidRPr="002045F5">
              <w:rPr>
                <w:color w:val="000000"/>
                <w:sz w:val="22"/>
              </w:rPr>
              <w:t xml:space="preserve"> про </w:t>
            </w:r>
            <w:proofErr w:type="spellStart"/>
            <w:r w:rsidRPr="002045F5">
              <w:rPr>
                <w:color w:val="000000"/>
                <w:sz w:val="22"/>
              </w:rPr>
              <w:t>безпечне</w:t>
            </w:r>
            <w:proofErr w:type="spellEnd"/>
            <w:r w:rsidRPr="002045F5">
              <w:rPr>
                <w:color w:val="000000"/>
                <w:sz w:val="22"/>
              </w:rPr>
              <w:t xml:space="preserve"> </w:t>
            </w:r>
            <w:proofErr w:type="spellStart"/>
            <w:r w:rsidRPr="002045F5">
              <w:rPr>
                <w:color w:val="000000"/>
                <w:sz w:val="22"/>
              </w:rPr>
              <w:t>перебування</w:t>
            </w:r>
            <w:proofErr w:type="spellEnd"/>
            <w:r w:rsidRPr="002045F5">
              <w:rPr>
                <w:color w:val="000000"/>
                <w:sz w:val="22"/>
              </w:rPr>
              <w:t xml:space="preserve"> </w:t>
            </w:r>
            <w:proofErr w:type="spellStart"/>
            <w:r w:rsidRPr="002045F5">
              <w:rPr>
                <w:color w:val="000000"/>
                <w:sz w:val="22"/>
              </w:rPr>
              <w:t>дітей</w:t>
            </w:r>
            <w:proofErr w:type="spellEnd"/>
            <w:r w:rsidRPr="002045F5">
              <w:rPr>
                <w:color w:val="000000"/>
                <w:sz w:val="22"/>
              </w:rPr>
              <w:t xml:space="preserve"> у </w:t>
            </w:r>
            <w:proofErr w:type="spellStart"/>
            <w:r w:rsidRPr="002045F5">
              <w:rPr>
                <w:color w:val="000000"/>
                <w:sz w:val="22"/>
              </w:rPr>
              <w:t>навчальному</w:t>
            </w:r>
            <w:proofErr w:type="spellEnd"/>
            <w:r w:rsidRPr="002045F5">
              <w:rPr>
                <w:color w:val="000000"/>
                <w:sz w:val="22"/>
              </w:rPr>
              <w:t xml:space="preserve"> </w:t>
            </w:r>
            <w:proofErr w:type="spellStart"/>
            <w:r w:rsidRPr="002045F5">
              <w:rPr>
                <w:color w:val="000000"/>
                <w:sz w:val="22"/>
              </w:rPr>
              <w:t>закладі</w:t>
            </w:r>
            <w:proofErr w:type="spellEnd"/>
            <w:r w:rsidRPr="002045F5">
              <w:rPr>
                <w:color w:val="000000"/>
                <w:sz w:val="22"/>
              </w:rPr>
              <w:t xml:space="preserve">, а </w:t>
            </w:r>
            <w:proofErr w:type="spellStart"/>
            <w:r w:rsidRPr="002045F5">
              <w:rPr>
                <w:color w:val="000000"/>
                <w:sz w:val="22"/>
              </w:rPr>
              <w:t>також</w:t>
            </w:r>
            <w:proofErr w:type="spellEnd"/>
            <w:r w:rsidRPr="002045F5">
              <w:rPr>
                <w:color w:val="000000"/>
                <w:sz w:val="22"/>
              </w:rPr>
              <w:t xml:space="preserve"> </w:t>
            </w:r>
            <w:proofErr w:type="spellStart"/>
            <w:r w:rsidRPr="002045F5">
              <w:rPr>
                <w:color w:val="000000"/>
                <w:sz w:val="22"/>
              </w:rPr>
              <w:t>формування</w:t>
            </w:r>
            <w:proofErr w:type="spellEnd"/>
            <w:r w:rsidRPr="002045F5">
              <w:rPr>
                <w:color w:val="000000"/>
                <w:sz w:val="22"/>
              </w:rPr>
              <w:t xml:space="preserve"> здорового способу </w:t>
            </w:r>
            <w:proofErr w:type="spellStart"/>
            <w:r w:rsidRPr="002045F5">
              <w:rPr>
                <w:color w:val="000000"/>
                <w:sz w:val="22"/>
              </w:rPr>
              <w:t>життя</w:t>
            </w:r>
            <w:proofErr w:type="spellEnd"/>
            <w:r w:rsidRPr="002045F5">
              <w:rPr>
                <w:color w:val="000000"/>
                <w:sz w:val="22"/>
              </w:rPr>
              <w:t xml:space="preserve"> </w:t>
            </w:r>
            <w:proofErr w:type="spellStart"/>
            <w:r w:rsidRPr="002045F5">
              <w:rPr>
                <w:color w:val="000000"/>
                <w:sz w:val="22"/>
              </w:rPr>
              <w:t>дітей</w:t>
            </w:r>
            <w:proofErr w:type="spellEnd"/>
            <w:r w:rsidRPr="002045F5">
              <w:rPr>
                <w:color w:val="000000"/>
                <w:sz w:val="22"/>
              </w:rPr>
              <w:t xml:space="preserve">, </w:t>
            </w:r>
            <w:proofErr w:type="spellStart"/>
            <w:r w:rsidRPr="002045F5">
              <w:rPr>
                <w:color w:val="000000"/>
                <w:sz w:val="22"/>
              </w:rPr>
              <w:t>їх</w:t>
            </w:r>
            <w:proofErr w:type="spellEnd"/>
            <w:r w:rsidRPr="002045F5">
              <w:rPr>
                <w:color w:val="000000"/>
                <w:sz w:val="22"/>
              </w:rPr>
              <w:t xml:space="preserve"> </w:t>
            </w:r>
            <w:proofErr w:type="spellStart"/>
            <w:r w:rsidRPr="002045F5">
              <w:rPr>
                <w:color w:val="000000"/>
                <w:sz w:val="22"/>
              </w:rPr>
              <w:t>естетичне</w:t>
            </w:r>
            <w:proofErr w:type="spellEnd"/>
            <w:r w:rsidRPr="002045F5">
              <w:rPr>
                <w:color w:val="000000"/>
                <w:sz w:val="22"/>
              </w:rPr>
              <w:t xml:space="preserve"> та </w:t>
            </w:r>
            <w:proofErr w:type="spellStart"/>
            <w:r w:rsidRPr="002045F5">
              <w:rPr>
                <w:color w:val="000000"/>
                <w:sz w:val="22"/>
              </w:rPr>
              <w:t>екологічне</w:t>
            </w:r>
            <w:proofErr w:type="spellEnd"/>
            <w:r w:rsidRPr="002045F5">
              <w:rPr>
                <w:color w:val="000000"/>
                <w:sz w:val="22"/>
              </w:rPr>
              <w:t xml:space="preserve"> </w:t>
            </w:r>
            <w:proofErr w:type="spellStart"/>
            <w:r w:rsidRPr="002045F5">
              <w:rPr>
                <w:color w:val="000000"/>
                <w:sz w:val="22"/>
              </w:rPr>
              <w:t>виховання</w:t>
            </w:r>
            <w:proofErr w:type="spellEnd"/>
            <w:r w:rsidRPr="002045F5">
              <w:rPr>
                <w:color w:val="000000"/>
                <w:sz w:val="22"/>
              </w:rPr>
              <w:t xml:space="preserve">. На </w:t>
            </w:r>
            <w:proofErr w:type="spellStart"/>
            <w:r w:rsidRPr="002045F5">
              <w:rPr>
                <w:color w:val="000000"/>
                <w:sz w:val="22"/>
              </w:rPr>
              <w:t>сьогоднішній</w:t>
            </w:r>
            <w:proofErr w:type="spellEnd"/>
            <w:r w:rsidRPr="002045F5">
              <w:rPr>
                <w:color w:val="000000"/>
                <w:sz w:val="22"/>
              </w:rPr>
              <w:t xml:space="preserve"> день </w:t>
            </w:r>
            <w:proofErr w:type="spellStart"/>
            <w:r w:rsidRPr="002045F5">
              <w:rPr>
                <w:color w:val="000000"/>
                <w:sz w:val="22"/>
              </w:rPr>
              <w:t>територія</w:t>
            </w:r>
            <w:proofErr w:type="spellEnd"/>
            <w:r w:rsidRPr="002045F5">
              <w:rPr>
                <w:color w:val="000000"/>
                <w:sz w:val="22"/>
              </w:rPr>
              <w:t xml:space="preserve"> </w:t>
            </w:r>
            <w:proofErr w:type="spellStart"/>
            <w:r w:rsidRPr="002045F5">
              <w:rPr>
                <w:color w:val="000000"/>
                <w:sz w:val="22"/>
              </w:rPr>
              <w:t>школи</w:t>
            </w:r>
            <w:proofErr w:type="spellEnd"/>
            <w:r w:rsidRPr="002045F5">
              <w:rPr>
                <w:color w:val="000000"/>
                <w:sz w:val="22"/>
              </w:rPr>
              <w:t xml:space="preserve"> не </w:t>
            </w:r>
            <w:proofErr w:type="spellStart"/>
            <w:r w:rsidRPr="002045F5">
              <w:rPr>
                <w:color w:val="000000"/>
                <w:sz w:val="22"/>
              </w:rPr>
              <w:t>відповідає</w:t>
            </w:r>
            <w:proofErr w:type="spellEnd"/>
            <w:r w:rsidRPr="002045F5">
              <w:rPr>
                <w:color w:val="000000"/>
                <w:sz w:val="22"/>
              </w:rPr>
              <w:t xml:space="preserve"> </w:t>
            </w:r>
            <w:proofErr w:type="spellStart"/>
            <w:r w:rsidRPr="002045F5">
              <w:rPr>
                <w:color w:val="000000"/>
                <w:sz w:val="22"/>
              </w:rPr>
              <w:t>критеріям</w:t>
            </w:r>
            <w:proofErr w:type="spellEnd"/>
            <w:r w:rsidRPr="002045F5">
              <w:rPr>
                <w:color w:val="000000"/>
                <w:sz w:val="22"/>
              </w:rPr>
              <w:t xml:space="preserve"> </w:t>
            </w:r>
            <w:proofErr w:type="spellStart"/>
            <w:r w:rsidRPr="002045F5">
              <w:rPr>
                <w:color w:val="000000"/>
                <w:sz w:val="22"/>
              </w:rPr>
              <w:t>щодо</w:t>
            </w:r>
            <w:proofErr w:type="spellEnd"/>
            <w:r w:rsidRPr="002045F5">
              <w:rPr>
                <w:color w:val="000000"/>
                <w:sz w:val="22"/>
              </w:rPr>
              <w:t xml:space="preserve"> благоустрою </w:t>
            </w:r>
            <w:proofErr w:type="spellStart"/>
            <w:r w:rsidRPr="002045F5">
              <w:rPr>
                <w:color w:val="000000"/>
                <w:sz w:val="22"/>
              </w:rPr>
              <w:t>території</w:t>
            </w:r>
            <w:proofErr w:type="spellEnd"/>
            <w:r w:rsidRPr="002045F5">
              <w:rPr>
                <w:color w:val="000000"/>
                <w:sz w:val="22"/>
              </w:rPr>
              <w:t xml:space="preserve"> </w:t>
            </w:r>
            <w:proofErr w:type="spellStart"/>
            <w:r w:rsidRPr="002045F5">
              <w:rPr>
                <w:color w:val="000000"/>
                <w:sz w:val="22"/>
              </w:rPr>
              <w:t>сучасного</w:t>
            </w:r>
            <w:proofErr w:type="spellEnd"/>
            <w:r w:rsidRPr="002045F5">
              <w:rPr>
                <w:color w:val="000000"/>
                <w:sz w:val="22"/>
              </w:rPr>
              <w:t xml:space="preserve"> закладу </w:t>
            </w:r>
            <w:proofErr w:type="spellStart"/>
            <w:r w:rsidRPr="002045F5">
              <w:rPr>
                <w:color w:val="000000"/>
                <w:sz w:val="22"/>
              </w:rPr>
              <w:t>освіти</w:t>
            </w:r>
            <w:proofErr w:type="spellEnd"/>
            <w:r w:rsidRPr="002045F5">
              <w:rPr>
                <w:color w:val="000000"/>
                <w:sz w:val="22"/>
              </w:rPr>
              <w:t xml:space="preserve">. </w:t>
            </w:r>
            <w:proofErr w:type="gramStart"/>
            <w:r w:rsidRPr="002045F5">
              <w:rPr>
                <w:color w:val="000000"/>
                <w:sz w:val="22"/>
              </w:rPr>
              <w:t xml:space="preserve">Огорожа  </w:t>
            </w:r>
            <w:proofErr w:type="spellStart"/>
            <w:r w:rsidRPr="002045F5">
              <w:rPr>
                <w:color w:val="000000"/>
                <w:sz w:val="22"/>
              </w:rPr>
              <w:t>частково</w:t>
            </w:r>
            <w:proofErr w:type="spellEnd"/>
            <w:proofErr w:type="gramEnd"/>
            <w:r w:rsidRPr="002045F5">
              <w:rPr>
                <w:color w:val="000000"/>
                <w:sz w:val="22"/>
              </w:rPr>
              <w:t xml:space="preserve"> </w:t>
            </w:r>
            <w:proofErr w:type="spellStart"/>
            <w:r w:rsidRPr="002045F5">
              <w:rPr>
                <w:color w:val="000000"/>
                <w:sz w:val="22"/>
              </w:rPr>
              <w:t>зруйнована</w:t>
            </w:r>
            <w:proofErr w:type="spellEnd"/>
            <w:r w:rsidRPr="002045F5">
              <w:rPr>
                <w:color w:val="000000"/>
                <w:sz w:val="22"/>
              </w:rPr>
              <w:t xml:space="preserve">, </w:t>
            </w:r>
            <w:proofErr w:type="spellStart"/>
            <w:r w:rsidRPr="002045F5">
              <w:rPr>
                <w:color w:val="000000"/>
                <w:sz w:val="22"/>
              </w:rPr>
              <w:t>подекуди</w:t>
            </w:r>
            <w:proofErr w:type="spellEnd"/>
            <w:r w:rsidRPr="002045F5">
              <w:rPr>
                <w:color w:val="000000"/>
                <w:sz w:val="22"/>
              </w:rPr>
              <w:t xml:space="preserve"> </w:t>
            </w:r>
            <w:proofErr w:type="spellStart"/>
            <w:r w:rsidRPr="002045F5">
              <w:rPr>
                <w:color w:val="000000"/>
                <w:sz w:val="22"/>
              </w:rPr>
              <w:t>відсутні</w:t>
            </w:r>
            <w:proofErr w:type="spellEnd"/>
            <w:r w:rsidRPr="002045F5">
              <w:rPr>
                <w:color w:val="000000"/>
                <w:sz w:val="22"/>
              </w:rPr>
              <w:t xml:space="preserve"> </w:t>
            </w:r>
            <w:proofErr w:type="spellStart"/>
            <w:r w:rsidRPr="002045F5">
              <w:rPr>
                <w:color w:val="000000"/>
                <w:sz w:val="22"/>
              </w:rPr>
              <w:t>її</w:t>
            </w:r>
            <w:proofErr w:type="spellEnd"/>
            <w:r w:rsidRPr="002045F5">
              <w:rPr>
                <w:color w:val="000000"/>
                <w:sz w:val="22"/>
              </w:rPr>
              <w:t xml:space="preserve"> </w:t>
            </w:r>
            <w:proofErr w:type="spellStart"/>
            <w:r w:rsidRPr="002045F5">
              <w:rPr>
                <w:color w:val="000000"/>
                <w:sz w:val="22"/>
              </w:rPr>
              <w:t>частини</w:t>
            </w:r>
            <w:proofErr w:type="spellEnd"/>
            <w:r w:rsidRPr="002045F5">
              <w:rPr>
                <w:color w:val="000000"/>
                <w:sz w:val="22"/>
              </w:rPr>
              <w:t xml:space="preserve">. </w:t>
            </w:r>
            <w:proofErr w:type="spellStart"/>
            <w:r w:rsidRPr="002045F5">
              <w:rPr>
                <w:color w:val="000000"/>
                <w:sz w:val="22"/>
              </w:rPr>
              <w:t>Спортивні</w:t>
            </w:r>
            <w:proofErr w:type="spellEnd"/>
            <w:r w:rsidRPr="002045F5">
              <w:rPr>
                <w:color w:val="000000"/>
                <w:sz w:val="22"/>
              </w:rPr>
              <w:t xml:space="preserve"> </w:t>
            </w:r>
            <w:proofErr w:type="spellStart"/>
            <w:proofErr w:type="gramStart"/>
            <w:r w:rsidRPr="002045F5">
              <w:rPr>
                <w:color w:val="000000"/>
                <w:sz w:val="22"/>
              </w:rPr>
              <w:t>майданчики</w:t>
            </w:r>
            <w:proofErr w:type="spellEnd"/>
            <w:r w:rsidRPr="002045F5">
              <w:rPr>
                <w:color w:val="000000"/>
                <w:sz w:val="22"/>
              </w:rPr>
              <w:t xml:space="preserve">  </w:t>
            </w:r>
            <w:proofErr w:type="spellStart"/>
            <w:r w:rsidRPr="002045F5">
              <w:rPr>
                <w:color w:val="000000"/>
                <w:sz w:val="22"/>
              </w:rPr>
              <w:t>аварійно</w:t>
            </w:r>
            <w:proofErr w:type="spellEnd"/>
            <w:proofErr w:type="gramEnd"/>
            <w:r w:rsidRPr="002045F5">
              <w:rPr>
                <w:color w:val="000000"/>
                <w:sz w:val="22"/>
              </w:rPr>
              <w:t xml:space="preserve">  </w:t>
            </w:r>
            <w:proofErr w:type="spellStart"/>
            <w:r w:rsidRPr="002045F5">
              <w:rPr>
                <w:color w:val="000000"/>
                <w:sz w:val="22"/>
              </w:rPr>
              <w:t>небезпечні</w:t>
            </w:r>
            <w:proofErr w:type="spellEnd"/>
            <w:r w:rsidRPr="002045F5">
              <w:rPr>
                <w:color w:val="000000"/>
                <w:sz w:val="22"/>
              </w:rPr>
              <w:t xml:space="preserve"> для </w:t>
            </w:r>
            <w:proofErr w:type="spellStart"/>
            <w:r w:rsidRPr="002045F5">
              <w:rPr>
                <w:color w:val="000000"/>
                <w:sz w:val="22"/>
              </w:rPr>
              <w:t>життя</w:t>
            </w:r>
            <w:proofErr w:type="spellEnd"/>
            <w:r w:rsidRPr="002045F5">
              <w:rPr>
                <w:color w:val="000000"/>
                <w:sz w:val="22"/>
              </w:rPr>
              <w:t xml:space="preserve"> та </w:t>
            </w:r>
            <w:proofErr w:type="spellStart"/>
            <w:r w:rsidRPr="002045F5">
              <w:rPr>
                <w:color w:val="000000"/>
                <w:sz w:val="22"/>
              </w:rPr>
              <w:t>здоров’я</w:t>
            </w:r>
            <w:proofErr w:type="spellEnd"/>
            <w:r w:rsidRPr="002045F5">
              <w:rPr>
                <w:color w:val="000000"/>
                <w:sz w:val="22"/>
              </w:rPr>
              <w:t xml:space="preserve"> </w:t>
            </w:r>
            <w:proofErr w:type="spellStart"/>
            <w:r w:rsidRPr="002045F5">
              <w:rPr>
                <w:color w:val="000000"/>
                <w:sz w:val="22"/>
              </w:rPr>
              <w:t>дітей</w:t>
            </w:r>
            <w:proofErr w:type="spellEnd"/>
            <w:r w:rsidRPr="002045F5">
              <w:rPr>
                <w:color w:val="000000"/>
                <w:sz w:val="22"/>
              </w:rPr>
              <w:t xml:space="preserve">. </w:t>
            </w:r>
            <w:proofErr w:type="spellStart"/>
            <w:r w:rsidRPr="002045F5">
              <w:rPr>
                <w:color w:val="000000"/>
                <w:sz w:val="22"/>
              </w:rPr>
              <w:t>Відсутність</w:t>
            </w:r>
            <w:proofErr w:type="spellEnd"/>
            <w:r w:rsidRPr="002045F5">
              <w:rPr>
                <w:color w:val="000000"/>
                <w:sz w:val="22"/>
              </w:rPr>
              <w:t xml:space="preserve"> </w:t>
            </w:r>
            <w:proofErr w:type="spellStart"/>
            <w:r w:rsidRPr="002045F5">
              <w:rPr>
                <w:color w:val="000000"/>
                <w:sz w:val="22"/>
              </w:rPr>
              <w:t>дитячих</w:t>
            </w:r>
            <w:proofErr w:type="spellEnd"/>
            <w:r w:rsidRPr="002045F5">
              <w:rPr>
                <w:color w:val="000000"/>
                <w:sz w:val="22"/>
              </w:rPr>
              <w:t xml:space="preserve"> </w:t>
            </w:r>
            <w:proofErr w:type="spellStart"/>
            <w:r w:rsidRPr="002045F5">
              <w:rPr>
                <w:color w:val="000000"/>
                <w:sz w:val="22"/>
              </w:rPr>
              <w:t>майданчиків</w:t>
            </w:r>
            <w:proofErr w:type="spellEnd"/>
            <w:r w:rsidRPr="002045F5">
              <w:rPr>
                <w:color w:val="000000"/>
                <w:sz w:val="22"/>
              </w:rPr>
              <w:t xml:space="preserve"> для </w:t>
            </w:r>
            <w:proofErr w:type="spellStart"/>
            <w:r w:rsidRPr="002045F5">
              <w:rPr>
                <w:color w:val="000000"/>
                <w:sz w:val="22"/>
              </w:rPr>
              <w:t>молодших</w:t>
            </w:r>
            <w:proofErr w:type="spellEnd"/>
            <w:r w:rsidRPr="002045F5">
              <w:rPr>
                <w:color w:val="000000"/>
                <w:sz w:val="22"/>
              </w:rPr>
              <w:t xml:space="preserve"> </w:t>
            </w:r>
            <w:proofErr w:type="spellStart"/>
            <w:r w:rsidRPr="002045F5">
              <w:rPr>
                <w:color w:val="000000"/>
                <w:sz w:val="22"/>
              </w:rPr>
              <w:t>школярів</w:t>
            </w:r>
            <w:proofErr w:type="spellEnd"/>
            <w:r w:rsidRPr="002045F5">
              <w:rPr>
                <w:color w:val="000000"/>
                <w:sz w:val="22"/>
              </w:rPr>
              <w:t xml:space="preserve"> та </w:t>
            </w:r>
            <w:proofErr w:type="spellStart"/>
            <w:r w:rsidRPr="002045F5">
              <w:rPr>
                <w:color w:val="000000"/>
                <w:sz w:val="22"/>
              </w:rPr>
              <w:t>діточок</w:t>
            </w:r>
            <w:proofErr w:type="spellEnd"/>
            <w:r w:rsidRPr="002045F5">
              <w:rPr>
                <w:color w:val="000000"/>
                <w:sz w:val="22"/>
              </w:rPr>
              <w:t xml:space="preserve"> </w:t>
            </w:r>
            <w:proofErr w:type="spellStart"/>
            <w:r w:rsidRPr="002045F5">
              <w:rPr>
                <w:color w:val="000000"/>
                <w:sz w:val="22"/>
              </w:rPr>
              <w:t>дошкільного</w:t>
            </w:r>
            <w:proofErr w:type="spellEnd"/>
            <w:r w:rsidRPr="002045F5">
              <w:rPr>
                <w:color w:val="000000"/>
                <w:sz w:val="22"/>
              </w:rPr>
              <w:t xml:space="preserve"> </w:t>
            </w:r>
            <w:proofErr w:type="spellStart"/>
            <w:r w:rsidRPr="002045F5">
              <w:rPr>
                <w:color w:val="000000"/>
                <w:sz w:val="22"/>
              </w:rPr>
              <w:t>підрозділу</w:t>
            </w:r>
            <w:proofErr w:type="spellEnd"/>
            <w:r w:rsidRPr="002045F5">
              <w:rPr>
                <w:color w:val="000000"/>
                <w:sz w:val="22"/>
              </w:rPr>
              <w:t xml:space="preserve">. </w:t>
            </w:r>
            <w:proofErr w:type="spellStart"/>
            <w:r w:rsidRPr="002045F5">
              <w:rPr>
                <w:color w:val="000000"/>
                <w:sz w:val="22"/>
              </w:rPr>
              <w:t>Асфальтове</w:t>
            </w:r>
            <w:proofErr w:type="spellEnd"/>
            <w:r w:rsidRPr="002045F5">
              <w:rPr>
                <w:color w:val="000000"/>
                <w:sz w:val="22"/>
              </w:rPr>
              <w:t xml:space="preserve"> </w:t>
            </w:r>
            <w:proofErr w:type="spellStart"/>
            <w:r w:rsidRPr="002045F5">
              <w:rPr>
                <w:color w:val="000000"/>
                <w:sz w:val="22"/>
              </w:rPr>
              <w:t>покриття</w:t>
            </w:r>
            <w:proofErr w:type="spellEnd"/>
            <w:r w:rsidRPr="002045F5">
              <w:rPr>
                <w:color w:val="000000"/>
                <w:sz w:val="22"/>
              </w:rPr>
              <w:t xml:space="preserve"> </w:t>
            </w:r>
            <w:proofErr w:type="spellStart"/>
            <w:r w:rsidRPr="002045F5">
              <w:rPr>
                <w:color w:val="000000"/>
                <w:sz w:val="22"/>
              </w:rPr>
              <w:t>пішохідних</w:t>
            </w:r>
            <w:proofErr w:type="spellEnd"/>
            <w:r w:rsidRPr="002045F5">
              <w:rPr>
                <w:color w:val="000000"/>
                <w:sz w:val="22"/>
              </w:rPr>
              <w:t xml:space="preserve"> </w:t>
            </w:r>
            <w:proofErr w:type="spellStart"/>
            <w:r w:rsidRPr="002045F5">
              <w:rPr>
                <w:color w:val="000000"/>
                <w:sz w:val="22"/>
              </w:rPr>
              <w:t>доріжок</w:t>
            </w:r>
            <w:proofErr w:type="spellEnd"/>
            <w:r w:rsidRPr="002045F5">
              <w:rPr>
                <w:color w:val="000000"/>
                <w:sz w:val="22"/>
              </w:rPr>
              <w:t xml:space="preserve"> не в </w:t>
            </w:r>
            <w:proofErr w:type="spellStart"/>
            <w:r w:rsidRPr="002045F5">
              <w:rPr>
                <w:color w:val="000000"/>
                <w:sz w:val="22"/>
              </w:rPr>
              <w:t>належному</w:t>
            </w:r>
            <w:proofErr w:type="spellEnd"/>
            <w:r w:rsidRPr="002045F5">
              <w:rPr>
                <w:color w:val="000000"/>
                <w:sz w:val="22"/>
              </w:rPr>
              <w:t xml:space="preserve"> </w:t>
            </w:r>
            <w:proofErr w:type="spellStart"/>
            <w:r w:rsidRPr="002045F5">
              <w:rPr>
                <w:color w:val="000000"/>
                <w:sz w:val="22"/>
              </w:rPr>
              <w:t>стані</w:t>
            </w:r>
            <w:proofErr w:type="spellEnd"/>
            <w:r w:rsidRPr="002045F5">
              <w:rPr>
                <w:color w:val="000000"/>
                <w:sz w:val="22"/>
              </w:rPr>
              <w:t xml:space="preserve">, </w:t>
            </w:r>
            <w:proofErr w:type="spellStart"/>
            <w:r w:rsidRPr="002045F5">
              <w:rPr>
                <w:color w:val="000000"/>
                <w:sz w:val="22"/>
              </w:rPr>
              <w:t>деформоване</w:t>
            </w:r>
            <w:proofErr w:type="spellEnd"/>
            <w:r w:rsidRPr="002045F5">
              <w:rPr>
                <w:color w:val="000000"/>
                <w:sz w:val="22"/>
              </w:rPr>
              <w:t xml:space="preserve">, а </w:t>
            </w:r>
            <w:proofErr w:type="spellStart"/>
            <w:r w:rsidRPr="002045F5">
              <w:rPr>
                <w:color w:val="000000"/>
                <w:sz w:val="22"/>
              </w:rPr>
              <w:t>місцями</w:t>
            </w:r>
            <w:proofErr w:type="spellEnd"/>
            <w:r w:rsidRPr="002045F5">
              <w:rPr>
                <w:color w:val="000000"/>
                <w:sz w:val="22"/>
              </w:rPr>
              <w:t xml:space="preserve"> </w:t>
            </w:r>
            <w:proofErr w:type="spellStart"/>
            <w:r w:rsidRPr="002045F5">
              <w:rPr>
                <w:color w:val="000000"/>
                <w:sz w:val="22"/>
              </w:rPr>
              <w:t>зовсім</w:t>
            </w:r>
            <w:proofErr w:type="spellEnd"/>
            <w:r w:rsidRPr="002045F5">
              <w:rPr>
                <w:color w:val="000000"/>
                <w:sz w:val="22"/>
              </w:rPr>
              <w:t xml:space="preserve"> </w:t>
            </w:r>
            <w:proofErr w:type="spellStart"/>
            <w:r w:rsidRPr="002045F5">
              <w:rPr>
                <w:color w:val="000000"/>
                <w:sz w:val="22"/>
              </w:rPr>
              <w:t>відсутнє</w:t>
            </w:r>
            <w:proofErr w:type="spellEnd"/>
            <w:r w:rsidRPr="002045F5">
              <w:rPr>
                <w:color w:val="000000"/>
                <w:sz w:val="22"/>
              </w:rPr>
              <w:t xml:space="preserve">. </w:t>
            </w:r>
            <w:proofErr w:type="spellStart"/>
            <w:r w:rsidRPr="002045F5">
              <w:rPr>
                <w:color w:val="000000"/>
                <w:sz w:val="22"/>
              </w:rPr>
              <w:t>Паркувальних</w:t>
            </w:r>
            <w:proofErr w:type="spellEnd"/>
            <w:r w:rsidRPr="002045F5">
              <w:rPr>
                <w:color w:val="000000"/>
                <w:sz w:val="22"/>
              </w:rPr>
              <w:t xml:space="preserve"> </w:t>
            </w:r>
            <w:proofErr w:type="spellStart"/>
            <w:r w:rsidRPr="002045F5">
              <w:rPr>
                <w:color w:val="000000"/>
                <w:sz w:val="22"/>
              </w:rPr>
              <w:t>місць</w:t>
            </w:r>
            <w:proofErr w:type="spellEnd"/>
            <w:r w:rsidRPr="002045F5">
              <w:rPr>
                <w:color w:val="000000"/>
                <w:sz w:val="22"/>
              </w:rPr>
              <w:t xml:space="preserve"> для </w:t>
            </w:r>
            <w:proofErr w:type="spellStart"/>
            <w:r w:rsidRPr="002045F5">
              <w:rPr>
                <w:color w:val="000000"/>
                <w:sz w:val="22"/>
              </w:rPr>
              <w:t>батьків</w:t>
            </w:r>
            <w:proofErr w:type="spellEnd"/>
            <w:r w:rsidRPr="002045F5">
              <w:rPr>
                <w:color w:val="000000"/>
                <w:sz w:val="22"/>
              </w:rPr>
              <w:t xml:space="preserve"> </w:t>
            </w:r>
            <w:proofErr w:type="spellStart"/>
            <w:proofErr w:type="gramStart"/>
            <w:r w:rsidRPr="002045F5">
              <w:rPr>
                <w:color w:val="000000"/>
                <w:sz w:val="22"/>
              </w:rPr>
              <w:t>учнів</w:t>
            </w:r>
            <w:proofErr w:type="spellEnd"/>
            <w:r w:rsidRPr="002045F5">
              <w:rPr>
                <w:color w:val="000000"/>
                <w:sz w:val="22"/>
              </w:rPr>
              <w:t xml:space="preserve">  </w:t>
            </w:r>
            <w:proofErr w:type="spellStart"/>
            <w:r w:rsidRPr="002045F5">
              <w:rPr>
                <w:color w:val="000000"/>
                <w:sz w:val="22"/>
              </w:rPr>
              <w:t>немає</w:t>
            </w:r>
            <w:proofErr w:type="spellEnd"/>
            <w:proofErr w:type="gramEnd"/>
            <w:r w:rsidRPr="002045F5">
              <w:rPr>
                <w:color w:val="000000"/>
                <w:sz w:val="22"/>
              </w:rPr>
              <w:t xml:space="preserve">. </w:t>
            </w:r>
            <w:proofErr w:type="spellStart"/>
            <w:r w:rsidRPr="002045F5">
              <w:rPr>
                <w:color w:val="000000"/>
                <w:sz w:val="22"/>
              </w:rPr>
              <w:t>Облаштування</w:t>
            </w:r>
            <w:proofErr w:type="spellEnd"/>
            <w:r w:rsidRPr="002045F5">
              <w:rPr>
                <w:color w:val="000000"/>
                <w:sz w:val="22"/>
              </w:rPr>
              <w:t xml:space="preserve"> </w:t>
            </w:r>
            <w:proofErr w:type="spellStart"/>
            <w:r w:rsidRPr="002045F5">
              <w:rPr>
                <w:color w:val="000000"/>
                <w:sz w:val="22"/>
              </w:rPr>
              <w:t>шкільного</w:t>
            </w:r>
            <w:proofErr w:type="spellEnd"/>
            <w:r w:rsidRPr="002045F5">
              <w:rPr>
                <w:color w:val="000000"/>
                <w:sz w:val="22"/>
              </w:rPr>
              <w:t xml:space="preserve"> </w:t>
            </w:r>
            <w:proofErr w:type="spellStart"/>
            <w:r w:rsidRPr="002045F5">
              <w:rPr>
                <w:color w:val="000000"/>
                <w:sz w:val="22"/>
              </w:rPr>
              <w:t>подвір’я</w:t>
            </w:r>
            <w:proofErr w:type="spellEnd"/>
            <w:r w:rsidRPr="002045F5">
              <w:rPr>
                <w:color w:val="000000"/>
                <w:sz w:val="22"/>
              </w:rPr>
              <w:t xml:space="preserve"> є </w:t>
            </w:r>
            <w:proofErr w:type="spellStart"/>
            <w:r w:rsidRPr="002045F5">
              <w:rPr>
                <w:color w:val="000000"/>
                <w:sz w:val="22"/>
              </w:rPr>
              <w:t>необхідним</w:t>
            </w:r>
            <w:proofErr w:type="spellEnd"/>
            <w:r w:rsidRPr="002045F5">
              <w:rPr>
                <w:color w:val="000000"/>
                <w:sz w:val="22"/>
              </w:rPr>
              <w:t xml:space="preserve"> фактором для </w:t>
            </w:r>
            <w:proofErr w:type="spellStart"/>
            <w:r w:rsidRPr="002045F5">
              <w:rPr>
                <w:color w:val="000000"/>
                <w:sz w:val="22"/>
              </w:rPr>
              <w:t>створення</w:t>
            </w:r>
            <w:proofErr w:type="spellEnd"/>
            <w:r w:rsidRPr="002045F5">
              <w:rPr>
                <w:color w:val="000000"/>
                <w:sz w:val="22"/>
              </w:rPr>
              <w:t xml:space="preserve"> </w:t>
            </w:r>
            <w:proofErr w:type="spellStart"/>
            <w:r w:rsidRPr="002045F5">
              <w:rPr>
                <w:color w:val="000000"/>
                <w:sz w:val="22"/>
              </w:rPr>
              <w:t>безпечних</w:t>
            </w:r>
            <w:proofErr w:type="spellEnd"/>
            <w:r w:rsidRPr="002045F5">
              <w:rPr>
                <w:color w:val="000000"/>
                <w:sz w:val="22"/>
              </w:rPr>
              <w:t xml:space="preserve"> умов для занять </w:t>
            </w:r>
            <w:proofErr w:type="spellStart"/>
            <w:r w:rsidRPr="002045F5">
              <w:rPr>
                <w:color w:val="000000"/>
                <w:sz w:val="22"/>
              </w:rPr>
              <w:t>фізкультурою</w:t>
            </w:r>
            <w:proofErr w:type="spellEnd"/>
            <w:r w:rsidRPr="002045F5">
              <w:rPr>
                <w:color w:val="000000"/>
                <w:sz w:val="22"/>
              </w:rPr>
              <w:t xml:space="preserve"> та </w:t>
            </w:r>
            <w:proofErr w:type="spellStart"/>
            <w:r w:rsidRPr="002045F5">
              <w:rPr>
                <w:color w:val="000000"/>
                <w:sz w:val="22"/>
              </w:rPr>
              <w:t>рухливими</w:t>
            </w:r>
            <w:proofErr w:type="spellEnd"/>
            <w:r w:rsidRPr="002045F5">
              <w:rPr>
                <w:color w:val="000000"/>
                <w:sz w:val="22"/>
              </w:rPr>
              <w:t xml:space="preserve"> </w:t>
            </w:r>
            <w:proofErr w:type="spellStart"/>
            <w:r w:rsidRPr="002045F5">
              <w:rPr>
                <w:color w:val="000000"/>
                <w:sz w:val="22"/>
              </w:rPr>
              <w:t>іграми</w:t>
            </w:r>
            <w:proofErr w:type="spellEnd"/>
            <w:r w:rsidRPr="002045F5">
              <w:rPr>
                <w:color w:val="000000"/>
                <w:sz w:val="22"/>
              </w:rPr>
              <w:t xml:space="preserve"> </w:t>
            </w:r>
            <w:proofErr w:type="spellStart"/>
            <w:r w:rsidRPr="002045F5">
              <w:rPr>
                <w:color w:val="000000"/>
                <w:sz w:val="22"/>
              </w:rPr>
              <w:t>учн</w:t>
            </w:r>
            <w:r w:rsidR="00B72A29" w:rsidRPr="002045F5">
              <w:rPr>
                <w:color w:val="000000"/>
                <w:sz w:val="22"/>
              </w:rPr>
              <w:t>ів</w:t>
            </w:r>
            <w:proofErr w:type="spellEnd"/>
            <w:r w:rsidRPr="002045F5">
              <w:rPr>
                <w:color w:val="000000"/>
                <w:sz w:val="22"/>
              </w:rPr>
              <w:t xml:space="preserve"> та </w:t>
            </w:r>
            <w:proofErr w:type="spellStart"/>
            <w:r w:rsidRPr="002045F5">
              <w:rPr>
                <w:color w:val="000000"/>
                <w:sz w:val="22"/>
              </w:rPr>
              <w:t>діт</w:t>
            </w:r>
            <w:r w:rsidR="00B72A29" w:rsidRPr="002045F5">
              <w:rPr>
                <w:color w:val="000000"/>
                <w:sz w:val="22"/>
              </w:rPr>
              <w:t>ей</w:t>
            </w:r>
            <w:proofErr w:type="spellEnd"/>
            <w:r w:rsidRPr="002045F5">
              <w:rPr>
                <w:color w:val="000000"/>
                <w:sz w:val="22"/>
              </w:rPr>
              <w:t xml:space="preserve"> </w:t>
            </w:r>
            <w:proofErr w:type="spellStart"/>
            <w:r w:rsidRPr="002045F5">
              <w:rPr>
                <w:color w:val="000000"/>
                <w:sz w:val="22"/>
              </w:rPr>
              <w:t>дошкільного</w:t>
            </w:r>
            <w:proofErr w:type="spellEnd"/>
            <w:r w:rsidRPr="002045F5">
              <w:rPr>
                <w:color w:val="000000"/>
                <w:sz w:val="22"/>
              </w:rPr>
              <w:t xml:space="preserve"> </w:t>
            </w:r>
            <w:proofErr w:type="spellStart"/>
            <w:r w:rsidRPr="002045F5">
              <w:rPr>
                <w:color w:val="000000"/>
                <w:sz w:val="22"/>
              </w:rPr>
              <w:t>підрозділу</w:t>
            </w:r>
            <w:proofErr w:type="spellEnd"/>
            <w:r w:rsidRPr="002045F5">
              <w:rPr>
                <w:color w:val="000000"/>
                <w:sz w:val="22"/>
              </w:rPr>
              <w:t xml:space="preserve">. </w:t>
            </w:r>
            <w:proofErr w:type="spellStart"/>
            <w:r w:rsidRPr="002045F5">
              <w:rPr>
                <w:color w:val="000000"/>
                <w:sz w:val="22"/>
              </w:rPr>
              <w:t>Розташування</w:t>
            </w:r>
            <w:proofErr w:type="spellEnd"/>
            <w:r w:rsidRPr="002045F5">
              <w:rPr>
                <w:color w:val="000000"/>
                <w:sz w:val="22"/>
              </w:rPr>
              <w:t xml:space="preserve"> на </w:t>
            </w:r>
            <w:proofErr w:type="spellStart"/>
            <w:r w:rsidRPr="002045F5">
              <w:rPr>
                <w:color w:val="000000"/>
                <w:sz w:val="22"/>
              </w:rPr>
              <w:t>шкільному</w:t>
            </w:r>
            <w:proofErr w:type="spellEnd"/>
            <w:r w:rsidRPr="002045F5">
              <w:rPr>
                <w:color w:val="000000"/>
                <w:sz w:val="22"/>
              </w:rPr>
              <w:t xml:space="preserve"> </w:t>
            </w:r>
            <w:proofErr w:type="spellStart"/>
            <w:r w:rsidRPr="002045F5">
              <w:rPr>
                <w:color w:val="000000"/>
                <w:sz w:val="22"/>
              </w:rPr>
              <w:t>подвір’ї</w:t>
            </w:r>
            <w:proofErr w:type="spellEnd"/>
            <w:r w:rsidRPr="002045F5">
              <w:rPr>
                <w:color w:val="000000"/>
                <w:sz w:val="22"/>
              </w:rPr>
              <w:t xml:space="preserve"> </w:t>
            </w:r>
            <w:proofErr w:type="spellStart"/>
            <w:r w:rsidRPr="002045F5">
              <w:rPr>
                <w:color w:val="000000"/>
                <w:sz w:val="22"/>
              </w:rPr>
              <w:t>спортивних</w:t>
            </w:r>
            <w:proofErr w:type="spellEnd"/>
            <w:r w:rsidRPr="002045F5">
              <w:rPr>
                <w:color w:val="000000"/>
                <w:sz w:val="22"/>
              </w:rPr>
              <w:t xml:space="preserve"> та </w:t>
            </w:r>
            <w:proofErr w:type="spellStart"/>
            <w:r w:rsidRPr="002045F5">
              <w:rPr>
                <w:color w:val="000000"/>
                <w:sz w:val="22"/>
              </w:rPr>
              <w:t>ігрових</w:t>
            </w:r>
            <w:proofErr w:type="spellEnd"/>
            <w:r w:rsidRPr="002045F5">
              <w:rPr>
                <w:color w:val="000000"/>
                <w:sz w:val="22"/>
              </w:rPr>
              <w:t xml:space="preserve"> </w:t>
            </w:r>
            <w:proofErr w:type="spellStart"/>
            <w:r w:rsidRPr="002045F5">
              <w:rPr>
                <w:color w:val="000000"/>
                <w:sz w:val="22"/>
              </w:rPr>
              <w:t>майданчиків</w:t>
            </w:r>
            <w:proofErr w:type="spellEnd"/>
            <w:r w:rsidRPr="002045F5">
              <w:rPr>
                <w:color w:val="000000"/>
                <w:sz w:val="22"/>
              </w:rPr>
              <w:t xml:space="preserve"> </w:t>
            </w:r>
            <w:proofErr w:type="spellStart"/>
            <w:r w:rsidRPr="002045F5">
              <w:rPr>
                <w:color w:val="000000"/>
                <w:sz w:val="22"/>
              </w:rPr>
              <w:t>дасть</w:t>
            </w:r>
            <w:proofErr w:type="spellEnd"/>
            <w:r w:rsidRPr="002045F5">
              <w:rPr>
                <w:color w:val="000000"/>
                <w:sz w:val="22"/>
              </w:rPr>
              <w:t xml:space="preserve"> </w:t>
            </w:r>
            <w:proofErr w:type="spellStart"/>
            <w:r w:rsidRPr="002045F5">
              <w:rPr>
                <w:color w:val="000000"/>
                <w:sz w:val="22"/>
              </w:rPr>
              <w:t>змогу</w:t>
            </w:r>
            <w:proofErr w:type="spellEnd"/>
            <w:r w:rsidRPr="002045F5">
              <w:rPr>
                <w:color w:val="000000"/>
                <w:sz w:val="22"/>
              </w:rPr>
              <w:t xml:space="preserve"> </w:t>
            </w:r>
            <w:proofErr w:type="spellStart"/>
            <w:r w:rsidRPr="002045F5">
              <w:rPr>
                <w:color w:val="000000"/>
                <w:sz w:val="22"/>
              </w:rPr>
              <w:t>забезпечити</w:t>
            </w:r>
            <w:proofErr w:type="spellEnd"/>
            <w:r w:rsidRPr="002045F5">
              <w:rPr>
                <w:color w:val="000000"/>
                <w:sz w:val="22"/>
              </w:rPr>
              <w:t xml:space="preserve"> </w:t>
            </w:r>
            <w:proofErr w:type="spellStart"/>
            <w:r w:rsidRPr="002045F5">
              <w:rPr>
                <w:color w:val="000000"/>
                <w:sz w:val="22"/>
              </w:rPr>
              <w:t>дітям</w:t>
            </w:r>
            <w:proofErr w:type="spellEnd"/>
            <w:r w:rsidRPr="002045F5">
              <w:rPr>
                <w:color w:val="000000"/>
                <w:sz w:val="22"/>
              </w:rPr>
              <w:t xml:space="preserve"> </w:t>
            </w:r>
            <w:proofErr w:type="spellStart"/>
            <w:proofErr w:type="gramStart"/>
            <w:r w:rsidRPr="002045F5">
              <w:rPr>
                <w:color w:val="000000"/>
                <w:sz w:val="22"/>
              </w:rPr>
              <w:t>корисне</w:t>
            </w:r>
            <w:proofErr w:type="spellEnd"/>
            <w:r w:rsidRPr="002045F5">
              <w:rPr>
                <w:color w:val="000000"/>
                <w:sz w:val="22"/>
              </w:rPr>
              <w:t xml:space="preserve">  </w:t>
            </w:r>
            <w:proofErr w:type="spellStart"/>
            <w:r w:rsidRPr="002045F5">
              <w:rPr>
                <w:color w:val="000000"/>
                <w:sz w:val="22"/>
              </w:rPr>
              <w:t>дозвілля</w:t>
            </w:r>
            <w:proofErr w:type="spellEnd"/>
            <w:proofErr w:type="gramEnd"/>
            <w:r w:rsidRPr="002045F5">
              <w:rPr>
                <w:color w:val="000000"/>
                <w:sz w:val="22"/>
              </w:rPr>
              <w:t xml:space="preserve"> </w:t>
            </w:r>
            <w:proofErr w:type="spellStart"/>
            <w:r w:rsidRPr="002045F5">
              <w:rPr>
                <w:color w:val="000000"/>
                <w:sz w:val="22"/>
              </w:rPr>
              <w:t>під</w:t>
            </w:r>
            <w:proofErr w:type="spellEnd"/>
            <w:r w:rsidRPr="002045F5">
              <w:rPr>
                <w:color w:val="000000"/>
                <w:sz w:val="22"/>
              </w:rPr>
              <w:t xml:space="preserve"> час </w:t>
            </w:r>
            <w:proofErr w:type="spellStart"/>
            <w:r w:rsidRPr="002045F5">
              <w:rPr>
                <w:color w:val="000000"/>
                <w:sz w:val="22"/>
              </w:rPr>
              <w:t>перерв</w:t>
            </w:r>
            <w:proofErr w:type="spellEnd"/>
            <w:r w:rsidRPr="002045F5">
              <w:rPr>
                <w:color w:val="000000"/>
                <w:sz w:val="22"/>
              </w:rPr>
              <w:t xml:space="preserve"> та в </w:t>
            </w:r>
            <w:proofErr w:type="spellStart"/>
            <w:r w:rsidRPr="002045F5">
              <w:rPr>
                <w:color w:val="000000"/>
                <w:sz w:val="22"/>
              </w:rPr>
              <w:t>позаурочний</w:t>
            </w:r>
            <w:proofErr w:type="spellEnd"/>
            <w:r w:rsidRPr="002045F5">
              <w:rPr>
                <w:color w:val="000000"/>
                <w:sz w:val="22"/>
              </w:rPr>
              <w:t xml:space="preserve"> час</w:t>
            </w:r>
            <w:r w:rsidR="003C0250" w:rsidRPr="002045F5">
              <w:rPr>
                <w:color w:val="000000"/>
                <w:sz w:val="22"/>
              </w:rPr>
              <w:t>,</w:t>
            </w:r>
            <w:r w:rsidRPr="002045F5">
              <w:rPr>
                <w:color w:val="000000"/>
                <w:sz w:val="22"/>
              </w:rPr>
              <w:t xml:space="preserve"> </w:t>
            </w:r>
            <w:proofErr w:type="spellStart"/>
            <w:r w:rsidRPr="002045F5">
              <w:rPr>
                <w:color w:val="000000"/>
                <w:sz w:val="22"/>
              </w:rPr>
              <w:t>під</w:t>
            </w:r>
            <w:proofErr w:type="spellEnd"/>
            <w:r w:rsidRPr="002045F5">
              <w:rPr>
                <w:color w:val="000000"/>
                <w:sz w:val="22"/>
              </w:rPr>
              <w:t xml:space="preserve"> час занять </w:t>
            </w:r>
            <w:proofErr w:type="spellStart"/>
            <w:r w:rsidRPr="002045F5">
              <w:rPr>
                <w:color w:val="000000"/>
                <w:sz w:val="22"/>
              </w:rPr>
              <w:t>групи</w:t>
            </w:r>
            <w:proofErr w:type="spellEnd"/>
            <w:r w:rsidRPr="002045F5">
              <w:rPr>
                <w:color w:val="000000"/>
                <w:sz w:val="22"/>
              </w:rPr>
              <w:t xml:space="preserve"> </w:t>
            </w:r>
            <w:proofErr w:type="spellStart"/>
            <w:r w:rsidRPr="002045F5">
              <w:rPr>
                <w:color w:val="000000"/>
                <w:sz w:val="22"/>
              </w:rPr>
              <w:t>подовженого</w:t>
            </w:r>
            <w:proofErr w:type="spellEnd"/>
            <w:r w:rsidRPr="002045F5">
              <w:rPr>
                <w:color w:val="000000"/>
                <w:sz w:val="22"/>
              </w:rPr>
              <w:t xml:space="preserve"> дня, </w:t>
            </w:r>
            <w:proofErr w:type="spellStart"/>
            <w:r w:rsidRPr="002045F5">
              <w:rPr>
                <w:color w:val="000000"/>
                <w:sz w:val="22"/>
              </w:rPr>
              <w:t>допоможе</w:t>
            </w:r>
            <w:proofErr w:type="spellEnd"/>
            <w:r w:rsidRPr="002045F5">
              <w:rPr>
                <w:color w:val="000000"/>
                <w:sz w:val="22"/>
              </w:rPr>
              <w:t xml:space="preserve"> </w:t>
            </w:r>
            <w:proofErr w:type="spellStart"/>
            <w:r w:rsidRPr="002045F5">
              <w:rPr>
                <w:color w:val="000000"/>
                <w:sz w:val="22"/>
              </w:rPr>
              <w:t>ефективній</w:t>
            </w:r>
            <w:proofErr w:type="spellEnd"/>
            <w:r w:rsidRPr="002045F5">
              <w:rPr>
                <w:color w:val="000000"/>
                <w:sz w:val="22"/>
              </w:rPr>
              <w:t xml:space="preserve"> </w:t>
            </w:r>
            <w:proofErr w:type="spellStart"/>
            <w:r w:rsidRPr="002045F5">
              <w:rPr>
                <w:color w:val="000000"/>
                <w:sz w:val="22"/>
              </w:rPr>
              <w:t>соціалізації</w:t>
            </w:r>
            <w:proofErr w:type="spellEnd"/>
            <w:r w:rsidRPr="002045F5">
              <w:rPr>
                <w:color w:val="000000"/>
                <w:sz w:val="22"/>
              </w:rPr>
              <w:t xml:space="preserve"> </w:t>
            </w:r>
            <w:proofErr w:type="spellStart"/>
            <w:r w:rsidRPr="002045F5">
              <w:rPr>
                <w:color w:val="000000"/>
                <w:sz w:val="22"/>
              </w:rPr>
              <w:t>дітей</w:t>
            </w:r>
            <w:proofErr w:type="spellEnd"/>
            <w:r w:rsidRPr="002045F5">
              <w:rPr>
                <w:color w:val="000000"/>
                <w:sz w:val="22"/>
              </w:rPr>
              <w:t xml:space="preserve"> з ООП.</w:t>
            </w:r>
          </w:p>
          <w:p w:rsidR="001013F3" w:rsidRPr="002045F5" w:rsidRDefault="001013F3" w:rsidP="001013F3">
            <w:pPr>
              <w:pStyle w:val="13"/>
              <w:jc w:val="both"/>
              <w:rPr>
                <w:sz w:val="22"/>
                <w:lang w:val="uk-UA"/>
              </w:rPr>
            </w:pPr>
            <w:r w:rsidRPr="002045F5">
              <w:rPr>
                <w:rFonts w:eastAsia="Arial"/>
                <w:sz w:val="22"/>
                <w:lang w:val="uk-UA"/>
              </w:rPr>
              <w:t xml:space="preserve">         Мешканці громади потребують в отриманні якісних освітніх послуг, які відповідають нормам сучасності. </w:t>
            </w:r>
          </w:p>
        </w:tc>
      </w:tr>
      <w:tr w:rsidR="001013F3" w:rsidRPr="002045F5" w:rsidTr="005B4D42">
        <w:tc>
          <w:tcPr>
            <w:tcW w:w="2978" w:type="dxa"/>
            <w:shd w:val="clear" w:color="auto" w:fill="C6D9F1" w:themeFill="text2" w:themeFillTint="33"/>
          </w:tcPr>
          <w:p w:rsidR="001013F3" w:rsidRPr="002045F5" w:rsidRDefault="001013F3" w:rsidP="001013F3">
            <w:pPr>
              <w:pStyle w:val="a7"/>
              <w:ind w:left="0"/>
              <w:rPr>
                <w:b/>
                <w:sz w:val="22"/>
              </w:rPr>
            </w:pPr>
            <w:proofErr w:type="spellStart"/>
            <w:r w:rsidRPr="002045F5">
              <w:rPr>
                <w:b/>
                <w:sz w:val="22"/>
              </w:rPr>
              <w:t>Очікувані</w:t>
            </w:r>
            <w:proofErr w:type="spellEnd"/>
            <w:r w:rsidRPr="002045F5">
              <w:rPr>
                <w:b/>
                <w:sz w:val="22"/>
              </w:rPr>
              <w:t xml:space="preserve"> </w:t>
            </w:r>
            <w:proofErr w:type="spellStart"/>
            <w:r w:rsidRPr="002045F5">
              <w:rPr>
                <w:b/>
                <w:sz w:val="22"/>
              </w:rPr>
              <w:t>якісні</w:t>
            </w:r>
            <w:proofErr w:type="spellEnd"/>
            <w:r w:rsidRPr="002045F5">
              <w:rPr>
                <w:b/>
                <w:sz w:val="22"/>
              </w:rPr>
              <w:t xml:space="preserve"> </w:t>
            </w:r>
            <w:proofErr w:type="spellStart"/>
            <w:r w:rsidRPr="002045F5">
              <w:rPr>
                <w:b/>
                <w:sz w:val="22"/>
              </w:rPr>
              <w:t>результати</w:t>
            </w:r>
            <w:proofErr w:type="spellEnd"/>
            <w:r w:rsidRPr="002045F5">
              <w:rPr>
                <w:b/>
                <w:sz w:val="22"/>
              </w:rPr>
              <w:t xml:space="preserve"> </w:t>
            </w:r>
            <w:proofErr w:type="spellStart"/>
            <w:r w:rsidRPr="002045F5">
              <w:rPr>
                <w:b/>
                <w:sz w:val="22"/>
              </w:rPr>
              <w:t>від</w:t>
            </w:r>
            <w:proofErr w:type="spellEnd"/>
            <w:r w:rsidRPr="002045F5">
              <w:rPr>
                <w:b/>
                <w:sz w:val="22"/>
              </w:rPr>
              <w:t xml:space="preserve"> </w:t>
            </w:r>
            <w:proofErr w:type="spellStart"/>
            <w:r w:rsidRPr="002045F5">
              <w:rPr>
                <w:b/>
                <w:sz w:val="22"/>
              </w:rPr>
              <w:t>реалізації</w:t>
            </w:r>
            <w:proofErr w:type="spellEnd"/>
            <w:r w:rsidRPr="002045F5">
              <w:rPr>
                <w:b/>
                <w:sz w:val="22"/>
              </w:rPr>
              <w:t xml:space="preserve"> проекту</w:t>
            </w:r>
          </w:p>
        </w:tc>
        <w:tc>
          <w:tcPr>
            <w:tcW w:w="6910" w:type="dxa"/>
            <w:gridSpan w:val="6"/>
          </w:tcPr>
          <w:p w:rsidR="001013F3" w:rsidRPr="002045F5" w:rsidRDefault="001013F3" w:rsidP="001013F3">
            <w:pPr>
              <w:rPr>
                <w:color w:val="000000"/>
                <w:sz w:val="22"/>
              </w:rPr>
            </w:pPr>
            <w:proofErr w:type="spellStart"/>
            <w:r w:rsidRPr="002045F5">
              <w:rPr>
                <w:color w:val="000000"/>
                <w:sz w:val="22"/>
              </w:rPr>
              <w:t>Внаслідок</w:t>
            </w:r>
            <w:proofErr w:type="spellEnd"/>
            <w:r w:rsidRPr="002045F5">
              <w:rPr>
                <w:color w:val="000000"/>
                <w:sz w:val="22"/>
              </w:rPr>
              <w:t xml:space="preserve"> </w:t>
            </w:r>
            <w:proofErr w:type="spellStart"/>
            <w:r w:rsidR="00C85668" w:rsidRPr="002045F5">
              <w:rPr>
                <w:color w:val="000000"/>
                <w:sz w:val="22"/>
              </w:rPr>
              <w:t>реалізованого</w:t>
            </w:r>
            <w:proofErr w:type="spellEnd"/>
            <w:r w:rsidRPr="002045F5">
              <w:rPr>
                <w:color w:val="000000"/>
                <w:sz w:val="22"/>
              </w:rPr>
              <w:t xml:space="preserve"> </w:t>
            </w:r>
            <w:proofErr w:type="spellStart"/>
            <w:r w:rsidRPr="002045F5">
              <w:rPr>
                <w:color w:val="000000"/>
                <w:sz w:val="22"/>
              </w:rPr>
              <w:t>про</w:t>
            </w:r>
            <w:r w:rsidR="00C85668" w:rsidRPr="002045F5">
              <w:rPr>
                <w:color w:val="000000"/>
                <w:sz w:val="22"/>
              </w:rPr>
              <w:t>є</w:t>
            </w:r>
            <w:r w:rsidRPr="002045F5">
              <w:rPr>
                <w:color w:val="000000"/>
                <w:sz w:val="22"/>
              </w:rPr>
              <w:t>кту</w:t>
            </w:r>
            <w:proofErr w:type="spellEnd"/>
            <w:r w:rsidRPr="002045F5">
              <w:rPr>
                <w:color w:val="000000"/>
                <w:sz w:val="22"/>
              </w:rPr>
              <w:t xml:space="preserve"> </w:t>
            </w:r>
            <w:proofErr w:type="spellStart"/>
            <w:proofErr w:type="gramStart"/>
            <w:r w:rsidRPr="002045F5">
              <w:rPr>
                <w:color w:val="000000"/>
                <w:sz w:val="22"/>
              </w:rPr>
              <w:t>всі</w:t>
            </w:r>
            <w:proofErr w:type="spellEnd"/>
            <w:r w:rsidRPr="002045F5">
              <w:rPr>
                <w:color w:val="000000"/>
                <w:sz w:val="22"/>
              </w:rPr>
              <w:t xml:space="preserve">  </w:t>
            </w:r>
            <w:proofErr w:type="spellStart"/>
            <w:r w:rsidRPr="002045F5">
              <w:rPr>
                <w:color w:val="000000"/>
                <w:sz w:val="22"/>
              </w:rPr>
              <w:t>учасники</w:t>
            </w:r>
            <w:proofErr w:type="spellEnd"/>
            <w:proofErr w:type="gramEnd"/>
            <w:r w:rsidRPr="002045F5">
              <w:rPr>
                <w:color w:val="000000"/>
                <w:sz w:val="22"/>
              </w:rPr>
              <w:t xml:space="preserve"> </w:t>
            </w:r>
            <w:proofErr w:type="spellStart"/>
            <w:r w:rsidRPr="002045F5">
              <w:rPr>
                <w:color w:val="000000"/>
                <w:sz w:val="22"/>
              </w:rPr>
              <w:t>освітнього</w:t>
            </w:r>
            <w:proofErr w:type="spellEnd"/>
            <w:r w:rsidRPr="002045F5">
              <w:rPr>
                <w:color w:val="000000"/>
                <w:sz w:val="22"/>
              </w:rPr>
              <w:t xml:space="preserve">  </w:t>
            </w:r>
            <w:proofErr w:type="spellStart"/>
            <w:r w:rsidRPr="002045F5">
              <w:rPr>
                <w:color w:val="000000"/>
                <w:sz w:val="22"/>
              </w:rPr>
              <w:t>процесу</w:t>
            </w:r>
            <w:proofErr w:type="spellEnd"/>
            <w:r w:rsidRPr="002045F5">
              <w:rPr>
                <w:color w:val="000000"/>
                <w:sz w:val="22"/>
              </w:rPr>
              <w:t xml:space="preserve"> </w:t>
            </w:r>
            <w:proofErr w:type="spellStart"/>
            <w:r w:rsidRPr="002045F5">
              <w:rPr>
                <w:color w:val="000000"/>
                <w:sz w:val="22"/>
              </w:rPr>
              <w:t>зможуть</w:t>
            </w:r>
            <w:proofErr w:type="spellEnd"/>
            <w:r w:rsidRPr="002045F5">
              <w:rPr>
                <w:color w:val="000000"/>
                <w:sz w:val="22"/>
              </w:rPr>
              <w:t xml:space="preserve"> на одному </w:t>
            </w:r>
            <w:proofErr w:type="spellStart"/>
            <w:r w:rsidRPr="002045F5">
              <w:rPr>
                <w:color w:val="000000"/>
                <w:sz w:val="22"/>
              </w:rPr>
              <w:t>шкільному</w:t>
            </w:r>
            <w:proofErr w:type="spellEnd"/>
            <w:r w:rsidRPr="002045F5">
              <w:rPr>
                <w:color w:val="000000"/>
                <w:sz w:val="22"/>
              </w:rPr>
              <w:t xml:space="preserve"> </w:t>
            </w:r>
            <w:proofErr w:type="spellStart"/>
            <w:r w:rsidRPr="002045F5">
              <w:rPr>
                <w:color w:val="000000"/>
                <w:sz w:val="22"/>
              </w:rPr>
              <w:t>подвір'ї</w:t>
            </w:r>
            <w:proofErr w:type="spellEnd"/>
            <w:r w:rsidRPr="002045F5">
              <w:rPr>
                <w:color w:val="000000"/>
                <w:sz w:val="22"/>
              </w:rPr>
              <w:t xml:space="preserve"> </w:t>
            </w:r>
            <w:proofErr w:type="spellStart"/>
            <w:r w:rsidRPr="002045F5">
              <w:rPr>
                <w:color w:val="000000"/>
                <w:sz w:val="22"/>
              </w:rPr>
              <w:t>займатися</w:t>
            </w:r>
            <w:proofErr w:type="spellEnd"/>
            <w:r w:rsidRPr="002045F5">
              <w:rPr>
                <w:color w:val="000000"/>
                <w:sz w:val="22"/>
              </w:rPr>
              <w:t xml:space="preserve"> </w:t>
            </w:r>
            <w:proofErr w:type="spellStart"/>
            <w:r w:rsidRPr="002045F5">
              <w:rPr>
                <w:color w:val="000000"/>
                <w:sz w:val="22"/>
              </w:rPr>
              <w:t>рухливими</w:t>
            </w:r>
            <w:proofErr w:type="spellEnd"/>
            <w:r w:rsidRPr="002045F5">
              <w:rPr>
                <w:color w:val="000000"/>
                <w:sz w:val="22"/>
              </w:rPr>
              <w:t xml:space="preserve"> </w:t>
            </w:r>
            <w:proofErr w:type="spellStart"/>
            <w:r w:rsidRPr="002045F5">
              <w:rPr>
                <w:color w:val="000000"/>
                <w:sz w:val="22"/>
              </w:rPr>
              <w:t>іграми</w:t>
            </w:r>
            <w:proofErr w:type="spellEnd"/>
            <w:r w:rsidRPr="002045F5">
              <w:rPr>
                <w:color w:val="000000"/>
                <w:sz w:val="22"/>
              </w:rPr>
              <w:t xml:space="preserve">, </w:t>
            </w:r>
            <w:proofErr w:type="spellStart"/>
            <w:r w:rsidRPr="002045F5">
              <w:rPr>
                <w:color w:val="000000"/>
                <w:sz w:val="22"/>
              </w:rPr>
              <w:t>відпочивати</w:t>
            </w:r>
            <w:proofErr w:type="spellEnd"/>
            <w:r w:rsidRPr="002045F5">
              <w:rPr>
                <w:color w:val="000000"/>
                <w:sz w:val="22"/>
              </w:rPr>
              <w:t xml:space="preserve">, </w:t>
            </w:r>
            <w:proofErr w:type="spellStart"/>
            <w:r w:rsidRPr="002045F5">
              <w:rPr>
                <w:color w:val="000000"/>
                <w:sz w:val="22"/>
              </w:rPr>
              <w:t>займатися</w:t>
            </w:r>
            <w:proofErr w:type="spellEnd"/>
            <w:r w:rsidRPr="002045F5">
              <w:rPr>
                <w:color w:val="000000"/>
                <w:sz w:val="22"/>
              </w:rPr>
              <w:t xml:space="preserve"> </w:t>
            </w:r>
            <w:proofErr w:type="spellStart"/>
            <w:r w:rsidRPr="002045F5">
              <w:rPr>
                <w:color w:val="000000"/>
                <w:sz w:val="22"/>
              </w:rPr>
              <w:t>інтелектуальними</w:t>
            </w:r>
            <w:proofErr w:type="spellEnd"/>
            <w:r w:rsidRPr="002045F5">
              <w:rPr>
                <w:color w:val="000000"/>
                <w:sz w:val="22"/>
              </w:rPr>
              <w:t xml:space="preserve"> </w:t>
            </w:r>
            <w:proofErr w:type="spellStart"/>
            <w:r w:rsidRPr="002045F5">
              <w:rPr>
                <w:color w:val="000000"/>
                <w:sz w:val="22"/>
              </w:rPr>
              <w:t>іграми</w:t>
            </w:r>
            <w:proofErr w:type="spellEnd"/>
            <w:r w:rsidRPr="002045F5">
              <w:rPr>
                <w:color w:val="000000"/>
                <w:sz w:val="22"/>
              </w:rPr>
              <w:t xml:space="preserve">, </w:t>
            </w:r>
            <w:proofErr w:type="spellStart"/>
            <w:r w:rsidRPr="002045F5">
              <w:rPr>
                <w:color w:val="000000"/>
                <w:sz w:val="22"/>
              </w:rPr>
              <w:t>спілкуватись</w:t>
            </w:r>
            <w:proofErr w:type="spellEnd"/>
            <w:r w:rsidRPr="002045F5">
              <w:rPr>
                <w:color w:val="000000"/>
                <w:sz w:val="22"/>
              </w:rPr>
              <w:t xml:space="preserve"> у </w:t>
            </w:r>
            <w:proofErr w:type="spellStart"/>
            <w:r w:rsidRPr="002045F5">
              <w:rPr>
                <w:color w:val="000000"/>
                <w:sz w:val="22"/>
              </w:rPr>
              <w:t>шкільний</w:t>
            </w:r>
            <w:proofErr w:type="spellEnd"/>
            <w:r w:rsidRPr="002045F5">
              <w:rPr>
                <w:color w:val="000000"/>
                <w:sz w:val="22"/>
              </w:rPr>
              <w:t xml:space="preserve"> т</w:t>
            </w:r>
            <w:r w:rsidR="00DE1622" w:rsidRPr="002045F5">
              <w:rPr>
                <w:color w:val="000000"/>
                <w:sz w:val="22"/>
              </w:rPr>
              <w:t>а</w:t>
            </w:r>
            <w:r w:rsidRPr="002045F5">
              <w:rPr>
                <w:color w:val="000000"/>
                <w:sz w:val="22"/>
              </w:rPr>
              <w:t xml:space="preserve"> у </w:t>
            </w:r>
            <w:proofErr w:type="spellStart"/>
            <w:r w:rsidRPr="002045F5">
              <w:rPr>
                <w:color w:val="000000"/>
                <w:sz w:val="22"/>
              </w:rPr>
              <w:t>вільний</w:t>
            </w:r>
            <w:proofErr w:type="spellEnd"/>
            <w:r w:rsidRPr="002045F5">
              <w:rPr>
                <w:color w:val="000000"/>
                <w:sz w:val="22"/>
              </w:rPr>
              <w:t xml:space="preserve"> час. </w:t>
            </w:r>
            <w:proofErr w:type="spellStart"/>
            <w:proofErr w:type="gramStart"/>
            <w:r w:rsidRPr="002045F5">
              <w:rPr>
                <w:color w:val="000000"/>
                <w:sz w:val="22"/>
              </w:rPr>
              <w:t>Уразі</w:t>
            </w:r>
            <w:proofErr w:type="spellEnd"/>
            <w:r w:rsidRPr="002045F5">
              <w:rPr>
                <w:color w:val="000000"/>
                <w:sz w:val="22"/>
              </w:rPr>
              <w:t xml:space="preserve">  </w:t>
            </w:r>
            <w:proofErr w:type="spellStart"/>
            <w:r w:rsidRPr="002045F5">
              <w:rPr>
                <w:color w:val="000000"/>
                <w:sz w:val="22"/>
              </w:rPr>
              <w:t>реалізації</w:t>
            </w:r>
            <w:proofErr w:type="spellEnd"/>
            <w:proofErr w:type="gramEnd"/>
            <w:r w:rsidRPr="002045F5">
              <w:rPr>
                <w:color w:val="000000"/>
                <w:sz w:val="22"/>
              </w:rPr>
              <w:t xml:space="preserve"> </w:t>
            </w:r>
            <w:proofErr w:type="spellStart"/>
            <w:r w:rsidRPr="002045F5">
              <w:rPr>
                <w:color w:val="000000"/>
                <w:sz w:val="22"/>
              </w:rPr>
              <w:t>про</w:t>
            </w:r>
            <w:r w:rsidR="00DE1622" w:rsidRPr="002045F5">
              <w:rPr>
                <w:color w:val="000000"/>
                <w:sz w:val="22"/>
              </w:rPr>
              <w:t>є</w:t>
            </w:r>
            <w:r w:rsidRPr="002045F5">
              <w:rPr>
                <w:color w:val="000000"/>
                <w:sz w:val="22"/>
              </w:rPr>
              <w:t>кту</w:t>
            </w:r>
            <w:proofErr w:type="spellEnd"/>
            <w:r w:rsidRPr="002045F5">
              <w:rPr>
                <w:color w:val="000000"/>
                <w:sz w:val="22"/>
              </w:rPr>
              <w:t xml:space="preserve"> </w:t>
            </w:r>
            <w:proofErr w:type="spellStart"/>
            <w:r w:rsidRPr="002045F5">
              <w:rPr>
                <w:color w:val="000000"/>
                <w:sz w:val="22"/>
              </w:rPr>
              <w:t>очікуємо</w:t>
            </w:r>
            <w:proofErr w:type="spellEnd"/>
            <w:r w:rsidRPr="002045F5">
              <w:rPr>
                <w:color w:val="000000"/>
                <w:sz w:val="22"/>
              </w:rPr>
              <w:t xml:space="preserve"> таких </w:t>
            </w:r>
            <w:proofErr w:type="spellStart"/>
            <w:r w:rsidRPr="002045F5">
              <w:rPr>
                <w:color w:val="000000"/>
                <w:sz w:val="22"/>
              </w:rPr>
              <w:t>результатів</w:t>
            </w:r>
            <w:proofErr w:type="spellEnd"/>
            <w:r w:rsidRPr="002045F5">
              <w:rPr>
                <w:color w:val="000000"/>
                <w:sz w:val="22"/>
              </w:rPr>
              <w:t xml:space="preserve">: </w:t>
            </w:r>
          </w:p>
          <w:p w:rsidR="001013F3" w:rsidRPr="002045F5" w:rsidRDefault="001013F3" w:rsidP="001013F3">
            <w:pPr>
              <w:rPr>
                <w:color w:val="000000"/>
                <w:sz w:val="22"/>
              </w:rPr>
            </w:pPr>
            <w:r w:rsidRPr="002045F5">
              <w:rPr>
                <w:color w:val="000000"/>
                <w:sz w:val="22"/>
              </w:rPr>
              <w:t xml:space="preserve">- </w:t>
            </w:r>
            <w:proofErr w:type="spellStart"/>
            <w:r w:rsidRPr="002045F5">
              <w:rPr>
                <w:color w:val="000000"/>
                <w:sz w:val="22"/>
              </w:rPr>
              <w:t>збереження</w:t>
            </w:r>
            <w:proofErr w:type="spellEnd"/>
            <w:r w:rsidRPr="002045F5">
              <w:rPr>
                <w:color w:val="000000"/>
                <w:sz w:val="22"/>
              </w:rPr>
              <w:t xml:space="preserve"> та </w:t>
            </w:r>
            <w:proofErr w:type="spellStart"/>
            <w:r w:rsidRPr="002045F5">
              <w:rPr>
                <w:color w:val="000000"/>
                <w:sz w:val="22"/>
              </w:rPr>
              <w:t>покращення</w:t>
            </w:r>
            <w:proofErr w:type="spellEnd"/>
            <w:r w:rsidRPr="002045F5">
              <w:rPr>
                <w:color w:val="000000"/>
                <w:sz w:val="22"/>
              </w:rPr>
              <w:t xml:space="preserve"> </w:t>
            </w:r>
            <w:proofErr w:type="spellStart"/>
            <w:r w:rsidRPr="002045F5">
              <w:rPr>
                <w:color w:val="000000"/>
                <w:sz w:val="22"/>
              </w:rPr>
              <w:t>здоров'я</w:t>
            </w:r>
            <w:proofErr w:type="spellEnd"/>
            <w:r w:rsidRPr="002045F5">
              <w:rPr>
                <w:color w:val="000000"/>
                <w:sz w:val="22"/>
              </w:rPr>
              <w:t xml:space="preserve"> </w:t>
            </w:r>
            <w:proofErr w:type="gramStart"/>
            <w:r w:rsidRPr="002045F5">
              <w:rPr>
                <w:color w:val="000000"/>
                <w:sz w:val="22"/>
              </w:rPr>
              <w:t xml:space="preserve">і  </w:t>
            </w:r>
            <w:proofErr w:type="spellStart"/>
            <w:r w:rsidRPr="002045F5">
              <w:rPr>
                <w:color w:val="000000"/>
                <w:sz w:val="22"/>
              </w:rPr>
              <w:t>фізичного</w:t>
            </w:r>
            <w:proofErr w:type="spellEnd"/>
            <w:proofErr w:type="gramEnd"/>
            <w:r w:rsidRPr="002045F5">
              <w:rPr>
                <w:color w:val="000000"/>
                <w:sz w:val="22"/>
              </w:rPr>
              <w:t xml:space="preserve"> </w:t>
            </w:r>
            <w:proofErr w:type="spellStart"/>
            <w:r w:rsidRPr="002045F5">
              <w:rPr>
                <w:color w:val="000000"/>
                <w:sz w:val="22"/>
              </w:rPr>
              <w:t>розвитку</w:t>
            </w:r>
            <w:proofErr w:type="spellEnd"/>
            <w:r w:rsidRPr="002045F5">
              <w:rPr>
                <w:color w:val="000000"/>
                <w:sz w:val="22"/>
              </w:rPr>
              <w:t xml:space="preserve"> та </w:t>
            </w:r>
            <w:proofErr w:type="spellStart"/>
            <w:r w:rsidRPr="002045F5">
              <w:rPr>
                <w:color w:val="000000"/>
                <w:sz w:val="22"/>
              </w:rPr>
              <w:t>корисного</w:t>
            </w:r>
            <w:proofErr w:type="spellEnd"/>
            <w:r w:rsidRPr="002045F5">
              <w:rPr>
                <w:color w:val="000000"/>
                <w:sz w:val="22"/>
              </w:rPr>
              <w:t xml:space="preserve"> </w:t>
            </w:r>
            <w:proofErr w:type="spellStart"/>
            <w:r w:rsidRPr="002045F5">
              <w:rPr>
                <w:color w:val="000000"/>
                <w:sz w:val="22"/>
              </w:rPr>
              <w:t>проведення</w:t>
            </w:r>
            <w:proofErr w:type="spellEnd"/>
            <w:r w:rsidRPr="002045F5">
              <w:rPr>
                <w:color w:val="000000"/>
                <w:sz w:val="22"/>
              </w:rPr>
              <w:t xml:space="preserve"> </w:t>
            </w:r>
            <w:proofErr w:type="spellStart"/>
            <w:r w:rsidRPr="002045F5">
              <w:rPr>
                <w:color w:val="000000"/>
                <w:sz w:val="22"/>
              </w:rPr>
              <w:t>дозвілля</w:t>
            </w:r>
            <w:proofErr w:type="spellEnd"/>
            <w:r w:rsidRPr="002045F5">
              <w:rPr>
                <w:color w:val="000000"/>
                <w:sz w:val="22"/>
              </w:rPr>
              <w:t xml:space="preserve">  </w:t>
            </w:r>
            <w:proofErr w:type="spellStart"/>
            <w:r w:rsidRPr="002045F5">
              <w:rPr>
                <w:color w:val="000000"/>
                <w:sz w:val="22"/>
              </w:rPr>
              <w:t>всіх</w:t>
            </w:r>
            <w:proofErr w:type="spellEnd"/>
            <w:r w:rsidRPr="002045F5">
              <w:rPr>
                <w:color w:val="000000"/>
                <w:sz w:val="22"/>
              </w:rPr>
              <w:t xml:space="preserve"> </w:t>
            </w:r>
            <w:proofErr w:type="spellStart"/>
            <w:r w:rsidRPr="002045F5">
              <w:rPr>
                <w:color w:val="000000"/>
                <w:sz w:val="22"/>
              </w:rPr>
              <w:t>учасників</w:t>
            </w:r>
            <w:proofErr w:type="spellEnd"/>
            <w:r w:rsidRPr="002045F5">
              <w:rPr>
                <w:color w:val="000000"/>
                <w:sz w:val="22"/>
              </w:rPr>
              <w:t xml:space="preserve"> </w:t>
            </w:r>
            <w:proofErr w:type="spellStart"/>
            <w:r w:rsidRPr="002045F5">
              <w:rPr>
                <w:color w:val="000000"/>
                <w:sz w:val="22"/>
              </w:rPr>
              <w:t>освітнього</w:t>
            </w:r>
            <w:proofErr w:type="spellEnd"/>
            <w:r w:rsidRPr="002045F5">
              <w:rPr>
                <w:color w:val="000000"/>
                <w:sz w:val="22"/>
              </w:rPr>
              <w:t xml:space="preserve"> </w:t>
            </w:r>
            <w:proofErr w:type="spellStart"/>
            <w:r w:rsidRPr="002045F5">
              <w:rPr>
                <w:color w:val="000000"/>
                <w:sz w:val="22"/>
              </w:rPr>
              <w:t>процесу</w:t>
            </w:r>
            <w:proofErr w:type="spellEnd"/>
            <w:r w:rsidRPr="002045F5">
              <w:rPr>
                <w:color w:val="000000"/>
                <w:sz w:val="22"/>
              </w:rPr>
              <w:t xml:space="preserve">;  </w:t>
            </w:r>
          </w:p>
          <w:p w:rsidR="001013F3" w:rsidRPr="002045F5" w:rsidRDefault="001013F3" w:rsidP="001013F3">
            <w:pPr>
              <w:rPr>
                <w:color w:val="000000"/>
                <w:sz w:val="22"/>
              </w:rPr>
            </w:pPr>
            <w:r w:rsidRPr="002045F5">
              <w:rPr>
                <w:color w:val="000000"/>
                <w:sz w:val="22"/>
              </w:rPr>
              <w:t xml:space="preserve">-  </w:t>
            </w:r>
            <w:proofErr w:type="spellStart"/>
            <w:r w:rsidRPr="002045F5">
              <w:rPr>
                <w:color w:val="000000"/>
                <w:sz w:val="22"/>
              </w:rPr>
              <w:t>зайнятість</w:t>
            </w:r>
            <w:proofErr w:type="spellEnd"/>
            <w:r w:rsidRPr="002045F5">
              <w:rPr>
                <w:color w:val="000000"/>
                <w:sz w:val="22"/>
              </w:rPr>
              <w:t xml:space="preserve"> </w:t>
            </w:r>
            <w:proofErr w:type="spellStart"/>
            <w:r w:rsidRPr="002045F5">
              <w:rPr>
                <w:color w:val="000000"/>
                <w:sz w:val="22"/>
              </w:rPr>
              <w:t>дітей</w:t>
            </w:r>
            <w:proofErr w:type="spellEnd"/>
            <w:r w:rsidRPr="002045F5">
              <w:rPr>
                <w:color w:val="000000"/>
                <w:sz w:val="22"/>
              </w:rPr>
              <w:t xml:space="preserve"> у </w:t>
            </w:r>
            <w:proofErr w:type="spellStart"/>
            <w:r w:rsidRPr="002045F5">
              <w:rPr>
                <w:color w:val="000000"/>
                <w:sz w:val="22"/>
              </w:rPr>
              <w:t>позаурочний</w:t>
            </w:r>
            <w:proofErr w:type="spellEnd"/>
            <w:r w:rsidRPr="002045F5">
              <w:rPr>
                <w:color w:val="000000"/>
                <w:sz w:val="22"/>
              </w:rPr>
              <w:t xml:space="preserve"> час; </w:t>
            </w:r>
          </w:p>
          <w:p w:rsidR="001013F3" w:rsidRPr="002045F5" w:rsidRDefault="001013F3" w:rsidP="001013F3">
            <w:pPr>
              <w:rPr>
                <w:color w:val="000000"/>
                <w:sz w:val="22"/>
              </w:rPr>
            </w:pPr>
            <w:r w:rsidRPr="002045F5">
              <w:rPr>
                <w:color w:val="000000"/>
                <w:sz w:val="22"/>
              </w:rPr>
              <w:t xml:space="preserve">- </w:t>
            </w:r>
            <w:proofErr w:type="spellStart"/>
            <w:r w:rsidRPr="002045F5">
              <w:rPr>
                <w:color w:val="000000"/>
                <w:sz w:val="22"/>
              </w:rPr>
              <w:t>доступність</w:t>
            </w:r>
            <w:proofErr w:type="spellEnd"/>
            <w:r w:rsidRPr="002045F5">
              <w:rPr>
                <w:color w:val="000000"/>
                <w:sz w:val="22"/>
              </w:rPr>
              <w:t xml:space="preserve"> </w:t>
            </w:r>
            <w:proofErr w:type="spellStart"/>
            <w:r w:rsidRPr="002045F5">
              <w:rPr>
                <w:color w:val="000000"/>
                <w:sz w:val="22"/>
              </w:rPr>
              <w:t>дітям</w:t>
            </w:r>
            <w:proofErr w:type="spellEnd"/>
            <w:r w:rsidRPr="002045F5">
              <w:rPr>
                <w:color w:val="000000"/>
                <w:sz w:val="22"/>
              </w:rPr>
              <w:t xml:space="preserve"> з </w:t>
            </w:r>
            <w:proofErr w:type="spellStart"/>
            <w:r w:rsidRPr="002045F5">
              <w:rPr>
                <w:color w:val="000000"/>
                <w:sz w:val="22"/>
              </w:rPr>
              <w:t>особливими</w:t>
            </w:r>
            <w:proofErr w:type="spellEnd"/>
            <w:r w:rsidRPr="002045F5">
              <w:rPr>
                <w:color w:val="000000"/>
                <w:sz w:val="22"/>
              </w:rPr>
              <w:t xml:space="preserve"> потребами </w:t>
            </w:r>
            <w:proofErr w:type="spellStart"/>
            <w:r w:rsidRPr="002045F5">
              <w:rPr>
                <w:color w:val="000000"/>
                <w:sz w:val="22"/>
              </w:rPr>
              <w:t>займатись</w:t>
            </w:r>
            <w:proofErr w:type="spellEnd"/>
            <w:r w:rsidRPr="002045F5">
              <w:rPr>
                <w:color w:val="000000"/>
                <w:sz w:val="22"/>
              </w:rPr>
              <w:t xml:space="preserve"> </w:t>
            </w:r>
            <w:proofErr w:type="spellStart"/>
            <w:r w:rsidRPr="002045F5">
              <w:rPr>
                <w:color w:val="000000"/>
                <w:sz w:val="22"/>
              </w:rPr>
              <w:t>посиленими</w:t>
            </w:r>
            <w:proofErr w:type="spellEnd"/>
            <w:r w:rsidRPr="002045F5">
              <w:rPr>
                <w:color w:val="000000"/>
                <w:sz w:val="22"/>
              </w:rPr>
              <w:t xml:space="preserve"> видами спорту; </w:t>
            </w:r>
          </w:p>
          <w:p w:rsidR="001013F3" w:rsidRPr="002045F5" w:rsidRDefault="001013F3" w:rsidP="001013F3">
            <w:pPr>
              <w:rPr>
                <w:color w:val="000000"/>
                <w:sz w:val="22"/>
              </w:rPr>
            </w:pPr>
            <w:r w:rsidRPr="002045F5">
              <w:rPr>
                <w:color w:val="000000"/>
                <w:sz w:val="22"/>
              </w:rPr>
              <w:t xml:space="preserve">- </w:t>
            </w:r>
            <w:proofErr w:type="spellStart"/>
            <w:r w:rsidRPr="002045F5">
              <w:rPr>
                <w:color w:val="000000"/>
                <w:sz w:val="22"/>
              </w:rPr>
              <w:t>популяризація</w:t>
            </w:r>
            <w:proofErr w:type="spellEnd"/>
            <w:r w:rsidRPr="002045F5">
              <w:rPr>
                <w:color w:val="000000"/>
                <w:sz w:val="22"/>
              </w:rPr>
              <w:t xml:space="preserve"> здорового способу </w:t>
            </w:r>
            <w:proofErr w:type="spellStart"/>
            <w:r w:rsidRPr="002045F5">
              <w:rPr>
                <w:color w:val="000000"/>
                <w:sz w:val="22"/>
              </w:rPr>
              <w:t>життя</w:t>
            </w:r>
            <w:proofErr w:type="spellEnd"/>
            <w:r w:rsidRPr="002045F5">
              <w:rPr>
                <w:color w:val="000000"/>
                <w:sz w:val="22"/>
              </w:rPr>
              <w:t>;</w:t>
            </w:r>
          </w:p>
          <w:p w:rsidR="001013F3" w:rsidRPr="002045F5" w:rsidRDefault="001013F3" w:rsidP="001013F3">
            <w:pPr>
              <w:pStyle w:val="a7"/>
              <w:ind w:left="0"/>
              <w:rPr>
                <w:sz w:val="22"/>
              </w:rPr>
            </w:pPr>
            <w:r w:rsidRPr="002045F5">
              <w:rPr>
                <w:sz w:val="22"/>
              </w:rPr>
              <w:t xml:space="preserve">- </w:t>
            </w:r>
            <w:proofErr w:type="spellStart"/>
            <w:r w:rsidRPr="002045F5">
              <w:rPr>
                <w:sz w:val="22"/>
              </w:rPr>
              <w:t>забезпечення</w:t>
            </w:r>
            <w:proofErr w:type="spellEnd"/>
            <w:r w:rsidRPr="002045F5">
              <w:rPr>
                <w:sz w:val="22"/>
              </w:rPr>
              <w:t xml:space="preserve"> </w:t>
            </w:r>
            <w:proofErr w:type="spellStart"/>
            <w:r w:rsidRPr="002045F5">
              <w:rPr>
                <w:sz w:val="22"/>
              </w:rPr>
              <w:t>населення</w:t>
            </w:r>
            <w:proofErr w:type="spellEnd"/>
            <w:r w:rsidRPr="002045F5">
              <w:rPr>
                <w:sz w:val="22"/>
              </w:rPr>
              <w:t xml:space="preserve"> </w:t>
            </w:r>
            <w:proofErr w:type="spellStart"/>
            <w:r w:rsidRPr="002045F5">
              <w:rPr>
                <w:sz w:val="22"/>
              </w:rPr>
              <w:t>можливостями</w:t>
            </w:r>
            <w:proofErr w:type="spellEnd"/>
            <w:r w:rsidRPr="002045F5">
              <w:rPr>
                <w:sz w:val="22"/>
              </w:rPr>
              <w:t xml:space="preserve"> для </w:t>
            </w:r>
            <w:proofErr w:type="spellStart"/>
            <w:r w:rsidRPr="002045F5">
              <w:rPr>
                <w:sz w:val="22"/>
              </w:rPr>
              <w:t>реалізації</w:t>
            </w:r>
            <w:proofErr w:type="spellEnd"/>
            <w:r w:rsidRPr="002045F5">
              <w:rPr>
                <w:sz w:val="22"/>
              </w:rPr>
              <w:t xml:space="preserve"> </w:t>
            </w:r>
            <w:proofErr w:type="spellStart"/>
            <w:r w:rsidRPr="002045F5">
              <w:rPr>
                <w:sz w:val="22"/>
              </w:rPr>
              <w:t>його</w:t>
            </w:r>
            <w:proofErr w:type="spellEnd"/>
            <w:r w:rsidRPr="002045F5">
              <w:rPr>
                <w:sz w:val="22"/>
              </w:rPr>
              <w:t xml:space="preserve"> </w:t>
            </w:r>
            <w:proofErr w:type="spellStart"/>
            <w:r w:rsidRPr="002045F5">
              <w:rPr>
                <w:sz w:val="22"/>
              </w:rPr>
              <w:t>конституційних</w:t>
            </w:r>
            <w:proofErr w:type="spellEnd"/>
            <w:r w:rsidRPr="002045F5">
              <w:rPr>
                <w:sz w:val="22"/>
              </w:rPr>
              <w:t xml:space="preserve"> прав, </w:t>
            </w:r>
            <w:proofErr w:type="spellStart"/>
            <w:r w:rsidRPr="002045F5">
              <w:rPr>
                <w:sz w:val="22"/>
              </w:rPr>
              <w:t>пов’язаних</w:t>
            </w:r>
            <w:proofErr w:type="spellEnd"/>
            <w:r w:rsidRPr="002045F5">
              <w:rPr>
                <w:sz w:val="22"/>
              </w:rPr>
              <w:t xml:space="preserve"> </w:t>
            </w:r>
            <w:proofErr w:type="spellStart"/>
            <w:r w:rsidRPr="002045F5">
              <w:rPr>
                <w:sz w:val="22"/>
              </w:rPr>
              <w:t>із</w:t>
            </w:r>
            <w:proofErr w:type="spellEnd"/>
            <w:r w:rsidRPr="002045F5">
              <w:rPr>
                <w:sz w:val="22"/>
              </w:rPr>
              <w:t xml:space="preserve"> </w:t>
            </w:r>
            <w:proofErr w:type="spellStart"/>
            <w:r w:rsidRPr="002045F5">
              <w:rPr>
                <w:sz w:val="22"/>
              </w:rPr>
              <w:t>освітньою</w:t>
            </w:r>
            <w:proofErr w:type="spellEnd"/>
            <w:r w:rsidRPr="002045F5">
              <w:rPr>
                <w:sz w:val="22"/>
              </w:rPr>
              <w:t xml:space="preserve"> </w:t>
            </w:r>
            <w:proofErr w:type="spellStart"/>
            <w:r w:rsidRPr="002045F5">
              <w:rPr>
                <w:sz w:val="22"/>
              </w:rPr>
              <w:t>діяльністю</w:t>
            </w:r>
            <w:proofErr w:type="spellEnd"/>
            <w:r w:rsidRPr="002045F5">
              <w:rPr>
                <w:sz w:val="22"/>
              </w:rPr>
              <w:t>;</w:t>
            </w:r>
          </w:p>
          <w:p w:rsidR="001013F3" w:rsidRPr="002045F5" w:rsidRDefault="001013F3" w:rsidP="001013F3">
            <w:pPr>
              <w:pStyle w:val="a7"/>
              <w:ind w:left="0"/>
              <w:rPr>
                <w:sz w:val="22"/>
              </w:rPr>
            </w:pPr>
            <w:r w:rsidRPr="002045F5">
              <w:rPr>
                <w:sz w:val="22"/>
              </w:rPr>
              <w:t xml:space="preserve">- </w:t>
            </w:r>
            <w:proofErr w:type="spellStart"/>
            <w:r w:rsidRPr="002045F5">
              <w:rPr>
                <w:sz w:val="22"/>
              </w:rPr>
              <w:t>вирішення</w:t>
            </w:r>
            <w:proofErr w:type="spellEnd"/>
            <w:r w:rsidRPr="002045F5">
              <w:rPr>
                <w:sz w:val="22"/>
              </w:rPr>
              <w:t xml:space="preserve"> ряду </w:t>
            </w:r>
            <w:proofErr w:type="spellStart"/>
            <w:r w:rsidRPr="002045F5">
              <w:rPr>
                <w:sz w:val="22"/>
              </w:rPr>
              <w:t>питань</w:t>
            </w:r>
            <w:proofErr w:type="spellEnd"/>
            <w:r w:rsidRPr="002045F5">
              <w:rPr>
                <w:sz w:val="22"/>
              </w:rPr>
              <w:t xml:space="preserve"> в межах </w:t>
            </w:r>
            <w:proofErr w:type="spellStart"/>
            <w:r w:rsidRPr="002045F5">
              <w:rPr>
                <w:sz w:val="22"/>
              </w:rPr>
              <w:t>статутної</w:t>
            </w:r>
            <w:proofErr w:type="spellEnd"/>
            <w:r w:rsidRPr="002045F5">
              <w:rPr>
                <w:sz w:val="22"/>
              </w:rPr>
              <w:t xml:space="preserve"> </w:t>
            </w:r>
            <w:proofErr w:type="spellStart"/>
            <w:r w:rsidRPr="002045F5">
              <w:rPr>
                <w:sz w:val="22"/>
              </w:rPr>
              <w:t>діяльності</w:t>
            </w:r>
            <w:proofErr w:type="spellEnd"/>
            <w:r w:rsidRPr="002045F5">
              <w:rPr>
                <w:sz w:val="22"/>
              </w:rPr>
              <w:t xml:space="preserve">, </w:t>
            </w:r>
            <w:proofErr w:type="spellStart"/>
            <w:r w:rsidRPr="002045F5">
              <w:rPr>
                <w:sz w:val="22"/>
              </w:rPr>
              <w:t>пов’язаних</w:t>
            </w:r>
            <w:proofErr w:type="spellEnd"/>
            <w:r w:rsidRPr="002045F5">
              <w:rPr>
                <w:sz w:val="22"/>
              </w:rPr>
              <w:t xml:space="preserve"> </w:t>
            </w:r>
            <w:proofErr w:type="spellStart"/>
            <w:r w:rsidRPr="002045F5">
              <w:rPr>
                <w:sz w:val="22"/>
              </w:rPr>
              <w:t>із</w:t>
            </w:r>
            <w:proofErr w:type="spellEnd"/>
            <w:r w:rsidRPr="002045F5">
              <w:rPr>
                <w:sz w:val="22"/>
              </w:rPr>
              <w:t xml:space="preserve"> </w:t>
            </w:r>
            <w:proofErr w:type="spellStart"/>
            <w:r w:rsidRPr="002045F5">
              <w:rPr>
                <w:sz w:val="22"/>
              </w:rPr>
              <w:t>відбудовою</w:t>
            </w:r>
            <w:proofErr w:type="spellEnd"/>
            <w:r w:rsidRPr="002045F5">
              <w:rPr>
                <w:sz w:val="22"/>
              </w:rPr>
              <w:t xml:space="preserve"> та </w:t>
            </w:r>
            <w:proofErr w:type="spellStart"/>
            <w:r w:rsidRPr="002045F5">
              <w:rPr>
                <w:sz w:val="22"/>
              </w:rPr>
              <w:t>сталим</w:t>
            </w:r>
            <w:proofErr w:type="spellEnd"/>
            <w:r w:rsidRPr="002045F5">
              <w:rPr>
                <w:sz w:val="22"/>
              </w:rPr>
              <w:t xml:space="preserve"> </w:t>
            </w:r>
            <w:proofErr w:type="spellStart"/>
            <w:r w:rsidRPr="002045F5">
              <w:rPr>
                <w:sz w:val="22"/>
              </w:rPr>
              <w:t>розвитком</w:t>
            </w:r>
            <w:proofErr w:type="spellEnd"/>
            <w:r w:rsidRPr="002045F5">
              <w:rPr>
                <w:sz w:val="22"/>
              </w:rPr>
              <w:t xml:space="preserve"> </w:t>
            </w:r>
            <w:proofErr w:type="spellStart"/>
            <w:proofErr w:type="gramStart"/>
            <w:r w:rsidRPr="002045F5">
              <w:rPr>
                <w:sz w:val="22"/>
              </w:rPr>
              <w:t>Сєвєродонецької</w:t>
            </w:r>
            <w:proofErr w:type="spellEnd"/>
            <w:r w:rsidRPr="002045F5">
              <w:rPr>
                <w:sz w:val="22"/>
              </w:rPr>
              <w:t xml:space="preserve">  </w:t>
            </w:r>
            <w:proofErr w:type="spellStart"/>
            <w:r w:rsidRPr="002045F5">
              <w:rPr>
                <w:sz w:val="22"/>
              </w:rPr>
              <w:t>громади</w:t>
            </w:r>
            <w:proofErr w:type="spellEnd"/>
            <w:proofErr w:type="gramEnd"/>
            <w:r w:rsidRPr="002045F5">
              <w:rPr>
                <w:sz w:val="22"/>
              </w:rPr>
              <w:t>;</w:t>
            </w:r>
          </w:p>
          <w:p w:rsidR="001013F3" w:rsidRPr="002045F5" w:rsidRDefault="001013F3" w:rsidP="001013F3">
            <w:pPr>
              <w:pStyle w:val="a7"/>
              <w:ind w:left="0"/>
              <w:rPr>
                <w:sz w:val="22"/>
              </w:rPr>
            </w:pPr>
            <w:r w:rsidRPr="002045F5">
              <w:rPr>
                <w:sz w:val="22"/>
              </w:rPr>
              <w:t xml:space="preserve">- </w:t>
            </w:r>
            <w:proofErr w:type="spellStart"/>
            <w:r w:rsidRPr="002045F5">
              <w:rPr>
                <w:sz w:val="22"/>
              </w:rPr>
              <w:t>згуртування</w:t>
            </w:r>
            <w:proofErr w:type="spellEnd"/>
            <w:r w:rsidRPr="002045F5">
              <w:rPr>
                <w:sz w:val="22"/>
              </w:rPr>
              <w:t xml:space="preserve"> </w:t>
            </w:r>
            <w:proofErr w:type="spellStart"/>
            <w:r w:rsidRPr="002045F5">
              <w:rPr>
                <w:sz w:val="22"/>
              </w:rPr>
              <w:t>місцевої</w:t>
            </w:r>
            <w:proofErr w:type="spellEnd"/>
            <w:r w:rsidRPr="002045F5">
              <w:rPr>
                <w:sz w:val="22"/>
              </w:rPr>
              <w:t xml:space="preserve"> </w:t>
            </w:r>
            <w:proofErr w:type="spellStart"/>
            <w:r w:rsidRPr="002045F5">
              <w:rPr>
                <w:sz w:val="22"/>
              </w:rPr>
              <w:t>громади</w:t>
            </w:r>
            <w:proofErr w:type="spellEnd"/>
            <w:r w:rsidRPr="002045F5">
              <w:rPr>
                <w:sz w:val="22"/>
              </w:rPr>
              <w:t>;</w:t>
            </w:r>
          </w:p>
          <w:p w:rsidR="001013F3" w:rsidRPr="002045F5" w:rsidRDefault="001013F3" w:rsidP="001013F3">
            <w:pPr>
              <w:pStyle w:val="a7"/>
              <w:ind w:left="0"/>
              <w:rPr>
                <w:sz w:val="22"/>
              </w:rPr>
            </w:pPr>
            <w:r w:rsidRPr="002045F5">
              <w:rPr>
                <w:sz w:val="22"/>
              </w:rPr>
              <w:t xml:space="preserve">- </w:t>
            </w:r>
            <w:proofErr w:type="spellStart"/>
            <w:r w:rsidRPr="002045F5">
              <w:rPr>
                <w:sz w:val="22"/>
              </w:rPr>
              <w:t>створення</w:t>
            </w:r>
            <w:proofErr w:type="spellEnd"/>
            <w:r w:rsidRPr="002045F5">
              <w:rPr>
                <w:sz w:val="22"/>
              </w:rPr>
              <w:t xml:space="preserve"> </w:t>
            </w:r>
            <w:proofErr w:type="spellStart"/>
            <w:r w:rsidRPr="002045F5">
              <w:rPr>
                <w:sz w:val="22"/>
              </w:rPr>
              <w:t>нових</w:t>
            </w:r>
            <w:proofErr w:type="spellEnd"/>
            <w:r w:rsidRPr="002045F5">
              <w:rPr>
                <w:sz w:val="22"/>
              </w:rPr>
              <w:t xml:space="preserve"> </w:t>
            </w:r>
            <w:proofErr w:type="spellStart"/>
            <w:r w:rsidRPr="002045F5">
              <w:rPr>
                <w:sz w:val="22"/>
              </w:rPr>
              <w:t>робочих</w:t>
            </w:r>
            <w:proofErr w:type="spellEnd"/>
            <w:r w:rsidRPr="002045F5">
              <w:rPr>
                <w:sz w:val="22"/>
              </w:rPr>
              <w:t xml:space="preserve"> </w:t>
            </w:r>
            <w:proofErr w:type="spellStart"/>
            <w:r w:rsidRPr="002045F5">
              <w:rPr>
                <w:sz w:val="22"/>
              </w:rPr>
              <w:t>місць</w:t>
            </w:r>
            <w:proofErr w:type="spellEnd"/>
            <w:r w:rsidRPr="002045F5">
              <w:rPr>
                <w:sz w:val="22"/>
              </w:rPr>
              <w:t>;</w:t>
            </w:r>
          </w:p>
          <w:p w:rsidR="001013F3" w:rsidRPr="002045F5" w:rsidRDefault="001013F3" w:rsidP="001013F3">
            <w:pPr>
              <w:pStyle w:val="a7"/>
              <w:ind w:left="0"/>
              <w:rPr>
                <w:sz w:val="22"/>
              </w:rPr>
            </w:pPr>
            <w:r w:rsidRPr="002045F5">
              <w:rPr>
                <w:sz w:val="22"/>
              </w:rPr>
              <w:t xml:space="preserve">- стимул до </w:t>
            </w:r>
            <w:proofErr w:type="spellStart"/>
            <w:r w:rsidRPr="002045F5">
              <w:rPr>
                <w:sz w:val="22"/>
              </w:rPr>
              <w:t>повернення</w:t>
            </w:r>
            <w:proofErr w:type="spellEnd"/>
            <w:r w:rsidRPr="002045F5">
              <w:rPr>
                <w:sz w:val="22"/>
              </w:rPr>
              <w:t xml:space="preserve"> ВПО до </w:t>
            </w:r>
            <w:proofErr w:type="spellStart"/>
            <w:r w:rsidRPr="002045F5">
              <w:rPr>
                <w:sz w:val="22"/>
              </w:rPr>
              <w:t>громади</w:t>
            </w:r>
            <w:proofErr w:type="spellEnd"/>
            <w:r w:rsidRPr="002045F5">
              <w:rPr>
                <w:sz w:val="22"/>
              </w:rPr>
              <w:t>;</w:t>
            </w:r>
          </w:p>
        </w:tc>
      </w:tr>
      <w:tr w:rsidR="001013F3" w:rsidRPr="002045F5" w:rsidTr="005B4D42">
        <w:trPr>
          <w:trHeight w:val="390"/>
        </w:trPr>
        <w:tc>
          <w:tcPr>
            <w:tcW w:w="2978" w:type="dxa"/>
            <w:vMerge w:val="restart"/>
            <w:shd w:val="clear" w:color="auto" w:fill="C6D9F1" w:themeFill="text2" w:themeFillTint="33"/>
          </w:tcPr>
          <w:p w:rsidR="001013F3" w:rsidRPr="002045F5" w:rsidRDefault="001013F3" w:rsidP="001013F3">
            <w:pPr>
              <w:pStyle w:val="a7"/>
              <w:ind w:left="0"/>
              <w:rPr>
                <w:b/>
                <w:sz w:val="22"/>
                <w:lang w:val="uk-UA"/>
              </w:rPr>
            </w:pPr>
            <w:r w:rsidRPr="002045F5">
              <w:rPr>
                <w:b/>
                <w:sz w:val="22"/>
                <w:lang w:val="uk-UA"/>
              </w:rPr>
              <w:t xml:space="preserve">Очікувані кількісні результати реалізації </w:t>
            </w:r>
            <w:proofErr w:type="spellStart"/>
            <w:r w:rsidRPr="002045F5">
              <w:rPr>
                <w:b/>
                <w:sz w:val="22"/>
                <w:lang w:val="uk-UA"/>
              </w:rPr>
              <w:t>проєкту</w:t>
            </w:r>
            <w:proofErr w:type="spellEnd"/>
            <w:r w:rsidRPr="002045F5">
              <w:rPr>
                <w:b/>
                <w:sz w:val="22"/>
                <w:lang w:val="uk-UA"/>
              </w:rPr>
              <w:t xml:space="preserve"> (індикатори)</w:t>
            </w:r>
          </w:p>
          <w:p w:rsidR="001013F3" w:rsidRPr="002045F5" w:rsidRDefault="001013F3" w:rsidP="001013F3">
            <w:pPr>
              <w:pStyle w:val="a7"/>
              <w:ind w:left="0"/>
              <w:rPr>
                <w:b/>
                <w:sz w:val="22"/>
                <w:lang w:val="uk-UA"/>
              </w:rPr>
            </w:pPr>
          </w:p>
        </w:tc>
        <w:tc>
          <w:tcPr>
            <w:tcW w:w="3796" w:type="dxa"/>
            <w:gridSpan w:val="3"/>
            <w:tcBorders>
              <w:bottom w:val="single" w:sz="4" w:space="0" w:color="auto"/>
              <w:right w:val="single" w:sz="4" w:space="0" w:color="auto"/>
            </w:tcBorders>
          </w:tcPr>
          <w:p w:rsidR="001013F3" w:rsidRPr="002045F5" w:rsidRDefault="001013F3" w:rsidP="001013F3">
            <w:pPr>
              <w:pStyle w:val="a7"/>
              <w:ind w:left="-108"/>
              <w:jc w:val="center"/>
              <w:rPr>
                <w:b/>
                <w:sz w:val="22"/>
              </w:rPr>
            </w:pPr>
            <w:proofErr w:type="spellStart"/>
            <w:r w:rsidRPr="002045F5">
              <w:rPr>
                <w:b/>
                <w:sz w:val="22"/>
              </w:rPr>
              <w:t>Найменування</w:t>
            </w:r>
            <w:proofErr w:type="spellEnd"/>
            <w:r w:rsidRPr="002045F5">
              <w:rPr>
                <w:b/>
                <w:sz w:val="22"/>
              </w:rPr>
              <w:t xml:space="preserve"> </w:t>
            </w:r>
            <w:proofErr w:type="spellStart"/>
            <w:r w:rsidRPr="002045F5">
              <w:rPr>
                <w:b/>
                <w:sz w:val="22"/>
              </w:rPr>
              <w:t>показника</w:t>
            </w:r>
            <w:proofErr w:type="spellEnd"/>
          </w:p>
        </w:tc>
        <w:tc>
          <w:tcPr>
            <w:tcW w:w="1687" w:type="dxa"/>
            <w:gridSpan w:val="2"/>
            <w:tcBorders>
              <w:left w:val="single" w:sz="4" w:space="0" w:color="auto"/>
              <w:bottom w:val="single" w:sz="4" w:space="0" w:color="auto"/>
              <w:right w:val="single" w:sz="4" w:space="0" w:color="auto"/>
            </w:tcBorders>
          </w:tcPr>
          <w:p w:rsidR="001013F3" w:rsidRPr="002045F5" w:rsidRDefault="001013F3" w:rsidP="001013F3">
            <w:pPr>
              <w:pStyle w:val="a7"/>
              <w:ind w:left="0"/>
              <w:jc w:val="center"/>
              <w:rPr>
                <w:b/>
                <w:sz w:val="22"/>
              </w:rPr>
            </w:pPr>
            <w:proofErr w:type="spellStart"/>
            <w:r w:rsidRPr="002045F5">
              <w:rPr>
                <w:b/>
                <w:sz w:val="22"/>
              </w:rPr>
              <w:t>Одиниця</w:t>
            </w:r>
            <w:proofErr w:type="spellEnd"/>
            <w:r w:rsidRPr="002045F5">
              <w:rPr>
                <w:b/>
                <w:sz w:val="22"/>
              </w:rPr>
              <w:t xml:space="preserve"> </w:t>
            </w:r>
            <w:proofErr w:type="spellStart"/>
            <w:r w:rsidRPr="002045F5">
              <w:rPr>
                <w:b/>
                <w:sz w:val="22"/>
              </w:rPr>
              <w:t>вимірювання</w:t>
            </w:r>
            <w:proofErr w:type="spellEnd"/>
          </w:p>
          <w:p w:rsidR="001013F3" w:rsidRPr="002045F5" w:rsidRDefault="001013F3" w:rsidP="001013F3">
            <w:pPr>
              <w:pStyle w:val="a7"/>
              <w:ind w:left="0"/>
              <w:rPr>
                <w:b/>
                <w:sz w:val="22"/>
              </w:rPr>
            </w:pPr>
          </w:p>
        </w:tc>
        <w:tc>
          <w:tcPr>
            <w:tcW w:w="1427" w:type="dxa"/>
            <w:tcBorders>
              <w:left w:val="single" w:sz="4" w:space="0" w:color="auto"/>
              <w:bottom w:val="single" w:sz="4" w:space="0" w:color="auto"/>
            </w:tcBorders>
          </w:tcPr>
          <w:p w:rsidR="001013F3" w:rsidRPr="002045F5" w:rsidRDefault="001013F3" w:rsidP="001013F3">
            <w:pPr>
              <w:pStyle w:val="a7"/>
              <w:ind w:left="0"/>
              <w:jc w:val="center"/>
              <w:rPr>
                <w:b/>
                <w:sz w:val="22"/>
              </w:rPr>
            </w:pPr>
            <w:proofErr w:type="spellStart"/>
            <w:r w:rsidRPr="002045F5">
              <w:rPr>
                <w:b/>
                <w:sz w:val="22"/>
              </w:rPr>
              <w:t>Прогнозне</w:t>
            </w:r>
            <w:proofErr w:type="spellEnd"/>
            <w:r w:rsidRPr="002045F5">
              <w:rPr>
                <w:b/>
                <w:sz w:val="22"/>
              </w:rPr>
              <w:t xml:space="preserve"> (</w:t>
            </w:r>
            <w:proofErr w:type="spellStart"/>
            <w:r w:rsidRPr="002045F5">
              <w:rPr>
                <w:b/>
                <w:sz w:val="22"/>
              </w:rPr>
              <w:t>цільове</w:t>
            </w:r>
            <w:proofErr w:type="spellEnd"/>
            <w:r w:rsidRPr="002045F5">
              <w:rPr>
                <w:b/>
                <w:sz w:val="22"/>
              </w:rPr>
              <w:t xml:space="preserve">) </w:t>
            </w:r>
            <w:proofErr w:type="spellStart"/>
            <w:r w:rsidRPr="002045F5">
              <w:rPr>
                <w:b/>
                <w:sz w:val="22"/>
              </w:rPr>
              <w:t>значення</w:t>
            </w:r>
            <w:proofErr w:type="spellEnd"/>
          </w:p>
        </w:tc>
      </w:tr>
      <w:tr w:rsidR="001013F3" w:rsidRPr="002045F5" w:rsidTr="005B4D42">
        <w:trPr>
          <w:trHeight w:val="184"/>
        </w:trPr>
        <w:tc>
          <w:tcPr>
            <w:tcW w:w="2978" w:type="dxa"/>
            <w:vMerge/>
            <w:shd w:val="clear" w:color="auto" w:fill="C6D9F1" w:themeFill="text2" w:themeFillTint="33"/>
          </w:tcPr>
          <w:p w:rsidR="001013F3" w:rsidRPr="002045F5" w:rsidRDefault="001013F3" w:rsidP="001013F3">
            <w:pPr>
              <w:pStyle w:val="a7"/>
              <w:ind w:left="0"/>
              <w:rPr>
                <w:b/>
                <w:sz w:val="22"/>
              </w:rPr>
            </w:pPr>
          </w:p>
        </w:tc>
        <w:tc>
          <w:tcPr>
            <w:tcW w:w="3796" w:type="dxa"/>
            <w:gridSpan w:val="3"/>
            <w:tcBorders>
              <w:top w:val="single" w:sz="4" w:space="0" w:color="auto"/>
              <w:bottom w:val="single" w:sz="4" w:space="0" w:color="auto"/>
              <w:right w:val="single" w:sz="4" w:space="0" w:color="auto"/>
            </w:tcBorders>
          </w:tcPr>
          <w:p w:rsidR="001013F3" w:rsidRPr="002045F5" w:rsidRDefault="001013F3" w:rsidP="001013F3">
            <w:pPr>
              <w:pStyle w:val="a7"/>
              <w:ind w:left="0"/>
              <w:jc w:val="center"/>
              <w:rPr>
                <w:sz w:val="22"/>
              </w:rPr>
            </w:pPr>
            <w:proofErr w:type="spellStart"/>
            <w:r w:rsidRPr="002045F5">
              <w:rPr>
                <w:sz w:val="22"/>
              </w:rPr>
              <w:t>Залученість</w:t>
            </w:r>
            <w:proofErr w:type="spellEnd"/>
            <w:r w:rsidRPr="002045F5">
              <w:rPr>
                <w:sz w:val="22"/>
              </w:rPr>
              <w:t xml:space="preserve"> до занять спортом та </w:t>
            </w:r>
            <w:proofErr w:type="spellStart"/>
            <w:r w:rsidRPr="002045F5">
              <w:rPr>
                <w:sz w:val="22"/>
              </w:rPr>
              <w:t>фізичною</w:t>
            </w:r>
            <w:proofErr w:type="spellEnd"/>
            <w:r w:rsidRPr="002045F5">
              <w:rPr>
                <w:sz w:val="22"/>
              </w:rPr>
              <w:t xml:space="preserve"> культурою </w:t>
            </w:r>
            <w:proofErr w:type="spellStart"/>
            <w:r w:rsidRPr="002045F5">
              <w:rPr>
                <w:sz w:val="22"/>
              </w:rPr>
              <w:t>учнівської</w:t>
            </w:r>
            <w:proofErr w:type="spellEnd"/>
            <w:r w:rsidRPr="002045F5">
              <w:rPr>
                <w:sz w:val="22"/>
              </w:rPr>
              <w:t xml:space="preserve"> </w:t>
            </w:r>
            <w:proofErr w:type="spellStart"/>
            <w:r w:rsidRPr="002045F5">
              <w:rPr>
                <w:sz w:val="22"/>
              </w:rPr>
              <w:t>молоді</w:t>
            </w:r>
            <w:proofErr w:type="spellEnd"/>
            <w:r w:rsidRPr="002045F5">
              <w:rPr>
                <w:sz w:val="22"/>
              </w:rPr>
              <w:t xml:space="preserve">, в т.ч. особами з </w:t>
            </w:r>
            <w:proofErr w:type="spellStart"/>
            <w:r w:rsidRPr="002045F5">
              <w:rPr>
                <w:sz w:val="22"/>
              </w:rPr>
              <w:t>обмеженими</w:t>
            </w:r>
            <w:proofErr w:type="spellEnd"/>
            <w:r w:rsidRPr="002045F5">
              <w:rPr>
                <w:sz w:val="22"/>
              </w:rPr>
              <w:t xml:space="preserve"> </w:t>
            </w:r>
            <w:proofErr w:type="spellStart"/>
            <w:r w:rsidRPr="002045F5">
              <w:rPr>
                <w:sz w:val="22"/>
              </w:rPr>
              <w:t>фізичними</w:t>
            </w:r>
            <w:proofErr w:type="spellEnd"/>
            <w:r w:rsidRPr="002045F5">
              <w:rPr>
                <w:sz w:val="22"/>
              </w:rPr>
              <w:t xml:space="preserve"> </w:t>
            </w:r>
            <w:proofErr w:type="spellStart"/>
            <w:r w:rsidRPr="002045F5">
              <w:rPr>
                <w:sz w:val="22"/>
              </w:rPr>
              <w:t>можливостями</w:t>
            </w:r>
            <w:proofErr w:type="spellEnd"/>
            <w:r w:rsidRPr="002045F5">
              <w:rPr>
                <w:sz w:val="22"/>
              </w:rPr>
              <w:t>.</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1013F3" w:rsidRPr="002045F5" w:rsidRDefault="001013F3" w:rsidP="001013F3">
            <w:pPr>
              <w:pStyle w:val="a7"/>
              <w:ind w:left="0"/>
              <w:jc w:val="center"/>
              <w:rPr>
                <w:sz w:val="22"/>
              </w:rPr>
            </w:pPr>
            <w:proofErr w:type="spellStart"/>
            <w:r w:rsidRPr="002045F5">
              <w:rPr>
                <w:sz w:val="22"/>
              </w:rPr>
              <w:t>осіб</w:t>
            </w:r>
            <w:proofErr w:type="spellEnd"/>
          </w:p>
        </w:tc>
        <w:tc>
          <w:tcPr>
            <w:tcW w:w="1427" w:type="dxa"/>
            <w:tcBorders>
              <w:top w:val="single" w:sz="4" w:space="0" w:color="auto"/>
              <w:left w:val="single" w:sz="4" w:space="0" w:color="auto"/>
              <w:bottom w:val="single" w:sz="4" w:space="0" w:color="auto"/>
            </w:tcBorders>
          </w:tcPr>
          <w:p w:rsidR="001013F3" w:rsidRPr="002045F5" w:rsidRDefault="001013F3" w:rsidP="001013F3">
            <w:pPr>
              <w:pStyle w:val="a7"/>
              <w:ind w:left="0"/>
              <w:jc w:val="center"/>
              <w:rPr>
                <w:sz w:val="22"/>
              </w:rPr>
            </w:pPr>
            <w:r w:rsidRPr="002045F5">
              <w:rPr>
                <w:sz w:val="22"/>
              </w:rPr>
              <w:t>355</w:t>
            </w:r>
          </w:p>
        </w:tc>
      </w:tr>
      <w:tr w:rsidR="001013F3" w:rsidRPr="002045F5" w:rsidTr="005B4D42">
        <w:trPr>
          <w:trHeight w:val="165"/>
        </w:trPr>
        <w:tc>
          <w:tcPr>
            <w:tcW w:w="2978" w:type="dxa"/>
            <w:vMerge/>
            <w:shd w:val="clear" w:color="auto" w:fill="C6D9F1" w:themeFill="text2" w:themeFillTint="33"/>
          </w:tcPr>
          <w:p w:rsidR="001013F3" w:rsidRPr="002045F5" w:rsidRDefault="001013F3" w:rsidP="001013F3">
            <w:pPr>
              <w:pStyle w:val="a7"/>
              <w:ind w:left="0"/>
              <w:rPr>
                <w:b/>
                <w:sz w:val="22"/>
              </w:rPr>
            </w:pPr>
          </w:p>
        </w:tc>
        <w:tc>
          <w:tcPr>
            <w:tcW w:w="3796" w:type="dxa"/>
            <w:gridSpan w:val="3"/>
            <w:tcBorders>
              <w:top w:val="single" w:sz="4" w:space="0" w:color="auto"/>
              <w:bottom w:val="single" w:sz="4" w:space="0" w:color="auto"/>
              <w:right w:val="single" w:sz="4" w:space="0" w:color="auto"/>
            </w:tcBorders>
          </w:tcPr>
          <w:p w:rsidR="001013F3" w:rsidRPr="002045F5" w:rsidRDefault="001013F3" w:rsidP="001013F3">
            <w:pPr>
              <w:pStyle w:val="a7"/>
              <w:ind w:left="0"/>
              <w:jc w:val="center"/>
              <w:rPr>
                <w:sz w:val="22"/>
              </w:rPr>
            </w:pPr>
            <w:proofErr w:type="spellStart"/>
            <w:proofErr w:type="gramStart"/>
            <w:r w:rsidRPr="002045F5">
              <w:rPr>
                <w:sz w:val="22"/>
              </w:rPr>
              <w:t>Вирішення</w:t>
            </w:r>
            <w:proofErr w:type="spellEnd"/>
            <w:r w:rsidRPr="002045F5">
              <w:rPr>
                <w:sz w:val="22"/>
              </w:rPr>
              <w:t xml:space="preserve">  </w:t>
            </w:r>
            <w:proofErr w:type="spellStart"/>
            <w:r w:rsidRPr="002045F5">
              <w:rPr>
                <w:sz w:val="22"/>
              </w:rPr>
              <w:t>актуальної</w:t>
            </w:r>
            <w:proofErr w:type="spellEnd"/>
            <w:proofErr w:type="gramEnd"/>
            <w:r w:rsidRPr="002045F5">
              <w:rPr>
                <w:sz w:val="22"/>
              </w:rPr>
              <w:t xml:space="preserve"> </w:t>
            </w:r>
            <w:proofErr w:type="spellStart"/>
            <w:r w:rsidRPr="002045F5">
              <w:rPr>
                <w:sz w:val="22"/>
              </w:rPr>
              <w:t>проблеми</w:t>
            </w:r>
            <w:proofErr w:type="spellEnd"/>
            <w:r w:rsidRPr="002045F5">
              <w:rPr>
                <w:sz w:val="22"/>
              </w:rPr>
              <w:t xml:space="preserve"> </w:t>
            </w:r>
            <w:proofErr w:type="spellStart"/>
            <w:r w:rsidRPr="002045F5">
              <w:rPr>
                <w:sz w:val="22"/>
              </w:rPr>
              <w:t>зайнятості</w:t>
            </w:r>
            <w:proofErr w:type="spellEnd"/>
            <w:r w:rsidRPr="002045F5">
              <w:rPr>
                <w:sz w:val="22"/>
              </w:rPr>
              <w:t xml:space="preserve"> </w:t>
            </w:r>
            <w:proofErr w:type="spellStart"/>
            <w:r w:rsidRPr="002045F5">
              <w:rPr>
                <w:sz w:val="22"/>
              </w:rPr>
              <w:t>дітей</w:t>
            </w:r>
            <w:proofErr w:type="spellEnd"/>
            <w:r w:rsidRPr="002045F5">
              <w:rPr>
                <w:sz w:val="22"/>
              </w:rPr>
              <w:t xml:space="preserve"> та </w:t>
            </w:r>
            <w:proofErr w:type="spellStart"/>
            <w:r w:rsidRPr="002045F5">
              <w:rPr>
                <w:sz w:val="22"/>
              </w:rPr>
              <w:t>молоді</w:t>
            </w:r>
            <w:proofErr w:type="spellEnd"/>
            <w:r w:rsidRPr="002045F5">
              <w:rPr>
                <w:sz w:val="22"/>
              </w:rPr>
              <w:t xml:space="preserve"> </w:t>
            </w:r>
            <w:proofErr w:type="spellStart"/>
            <w:r w:rsidRPr="002045F5">
              <w:rPr>
                <w:sz w:val="22"/>
              </w:rPr>
              <w:t>громади</w:t>
            </w:r>
            <w:proofErr w:type="spellEnd"/>
            <w:r w:rsidRPr="002045F5">
              <w:rPr>
                <w:sz w:val="22"/>
              </w:rPr>
              <w:t xml:space="preserve"> в </w:t>
            </w:r>
            <w:proofErr w:type="spellStart"/>
            <w:r w:rsidRPr="002045F5">
              <w:rPr>
                <w:sz w:val="22"/>
              </w:rPr>
              <w:t>позаурочний</w:t>
            </w:r>
            <w:proofErr w:type="spellEnd"/>
            <w:r w:rsidRPr="002045F5">
              <w:rPr>
                <w:sz w:val="22"/>
              </w:rPr>
              <w:t xml:space="preserve"> час.</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1013F3" w:rsidRPr="002045F5" w:rsidRDefault="001013F3" w:rsidP="001013F3">
            <w:pPr>
              <w:pStyle w:val="a7"/>
              <w:ind w:left="0"/>
              <w:jc w:val="center"/>
              <w:rPr>
                <w:sz w:val="22"/>
              </w:rPr>
            </w:pPr>
            <w:proofErr w:type="spellStart"/>
            <w:r w:rsidRPr="002045F5">
              <w:rPr>
                <w:sz w:val="22"/>
              </w:rPr>
              <w:t>осіб</w:t>
            </w:r>
            <w:proofErr w:type="spellEnd"/>
          </w:p>
        </w:tc>
        <w:tc>
          <w:tcPr>
            <w:tcW w:w="1427" w:type="dxa"/>
            <w:tcBorders>
              <w:top w:val="single" w:sz="4" w:space="0" w:color="auto"/>
              <w:left w:val="single" w:sz="4" w:space="0" w:color="auto"/>
              <w:bottom w:val="single" w:sz="4" w:space="0" w:color="auto"/>
            </w:tcBorders>
          </w:tcPr>
          <w:p w:rsidR="001013F3" w:rsidRPr="002045F5" w:rsidRDefault="001013F3" w:rsidP="001013F3">
            <w:pPr>
              <w:pStyle w:val="a7"/>
              <w:ind w:left="0"/>
              <w:jc w:val="center"/>
              <w:rPr>
                <w:sz w:val="22"/>
              </w:rPr>
            </w:pPr>
            <w:r w:rsidRPr="002045F5">
              <w:rPr>
                <w:sz w:val="22"/>
              </w:rPr>
              <w:t>1200</w:t>
            </w:r>
          </w:p>
        </w:tc>
      </w:tr>
      <w:tr w:rsidR="001013F3" w:rsidRPr="002045F5" w:rsidTr="005B4D42">
        <w:trPr>
          <w:trHeight w:val="132"/>
        </w:trPr>
        <w:tc>
          <w:tcPr>
            <w:tcW w:w="2978" w:type="dxa"/>
            <w:vMerge/>
            <w:shd w:val="clear" w:color="auto" w:fill="C6D9F1" w:themeFill="text2" w:themeFillTint="33"/>
          </w:tcPr>
          <w:p w:rsidR="001013F3" w:rsidRPr="002045F5" w:rsidRDefault="001013F3" w:rsidP="001013F3">
            <w:pPr>
              <w:pStyle w:val="a7"/>
              <w:ind w:left="0"/>
              <w:rPr>
                <w:b/>
                <w:sz w:val="22"/>
              </w:rPr>
            </w:pPr>
          </w:p>
        </w:tc>
        <w:tc>
          <w:tcPr>
            <w:tcW w:w="3796" w:type="dxa"/>
            <w:gridSpan w:val="3"/>
            <w:tcBorders>
              <w:top w:val="single" w:sz="4" w:space="0" w:color="auto"/>
              <w:bottom w:val="single" w:sz="4" w:space="0" w:color="auto"/>
              <w:right w:val="single" w:sz="4" w:space="0" w:color="auto"/>
            </w:tcBorders>
          </w:tcPr>
          <w:p w:rsidR="001013F3" w:rsidRPr="002045F5" w:rsidRDefault="001013F3" w:rsidP="001013F3">
            <w:pPr>
              <w:pStyle w:val="a7"/>
              <w:ind w:left="0"/>
              <w:rPr>
                <w:sz w:val="22"/>
              </w:rPr>
            </w:pPr>
            <w:proofErr w:type="spellStart"/>
            <w:r w:rsidRPr="002045F5">
              <w:rPr>
                <w:sz w:val="22"/>
              </w:rPr>
              <w:t>Профілактика</w:t>
            </w:r>
            <w:proofErr w:type="spellEnd"/>
            <w:r w:rsidRPr="002045F5">
              <w:rPr>
                <w:sz w:val="22"/>
              </w:rPr>
              <w:t xml:space="preserve"> </w:t>
            </w:r>
            <w:proofErr w:type="spellStart"/>
            <w:r w:rsidRPr="002045F5">
              <w:rPr>
                <w:sz w:val="22"/>
              </w:rPr>
              <w:t>захворюваності</w:t>
            </w:r>
            <w:proofErr w:type="spellEnd"/>
            <w:r w:rsidRPr="002045F5">
              <w:rPr>
                <w:sz w:val="22"/>
              </w:rPr>
              <w:t xml:space="preserve"> </w:t>
            </w:r>
            <w:proofErr w:type="spellStart"/>
            <w:r w:rsidRPr="002045F5">
              <w:rPr>
                <w:sz w:val="22"/>
              </w:rPr>
              <w:t>дітей</w:t>
            </w:r>
            <w:proofErr w:type="spellEnd"/>
            <w:r w:rsidRPr="002045F5">
              <w:rPr>
                <w:sz w:val="22"/>
              </w:rPr>
              <w:t xml:space="preserve"> </w:t>
            </w:r>
            <w:proofErr w:type="spellStart"/>
            <w:r w:rsidRPr="002045F5">
              <w:rPr>
                <w:sz w:val="22"/>
              </w:rPr>
              <w:t>шкільного</w:t>
            </w:r>
            <w:proofErr w:type="spellEnd"/>
            <w:r w:rsidRPr="002045F5">
              <w:rPr>
                <w:sz w:val="22"/>
              </w:rPr>
              <w:t xml:space="preserve"> та </w:t>
            </w:r>
            <w:proofErr w:type="spellStart"/>
            <w:r w:rsidRPr="002045F5">
              <w:rPr>
                <w:sz w:val="22"/>
              </w:rPr>
              <w:t>дошкільного</w:t>
            </w:r>
            <w:proofErr w:type="spellEnd"/>
            <w:r w:rsidRPr="002045F5">
              <w:rPr>
                <w:sz w:val="22"/>
              </w:rPr>
              <w:t xml:space="preserve"> </w:t>
            </w:r>
            <w:proofErr w:type="spellStart"/>
            <w:r w:rsidRPr="002045F5">
              <w:rPr>
                <w:sz w:val="22"/>
              </w:rPr>
              <w:t>віку</w:t>
            </w:r>
            <w:proofErr w:type="spellEnd"/>
            <w:r w:rsidRPr="002045F5">
              <w:rPr>
                <w:sz w:val="22"/>
              </w:rPr>
              <w:t>.</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1013F3" w:rsidRPr="002045F5" w:rsidRDefault="001013F3" w:rsidP="001013F3">
            <w:pPr>
              <w:pStyle w:val="a7"/>
              <w:ind w:left="0"/>
              <w:jc w:val="center"/>
              <w:rPr>
                <w:sz w:val="22"/>
              </w:rPr>
            </w:pPr>
            <w:proofErr w:type="spellStart"/>
            <w:r w:rsidRPr="002045F5">
              <w:rPr>
                <w:sz w:val="22"/>
              </w:rPr>
              <w:t>осіб</w:t>
            </w:r>
            <w:proofErr w:type="spellEnd"/>
          </w:p>
        </w:tc>
        <w:tc>
          <w:tcPr>
            <w:tcW w:w="1427" w:type="dxa"/>
            <w:tcBorders>
              <w:top w:val="single" w:sz="4" w:space="0" w:color="auto"/>
              <w:left w:val="single" w:sz="4" w:space="0" w:color="auto"/>
              <w:bottom w:val="single" w:sz="4" w:space="0" w:color="auto"/>
            </w:tcBorders>
          </w:tcPr>
          <w:p w:rsidR="001013F3" w:rsidRPr="002045F5" w:rsidRDefault="001013F3" w:rsidP="001013F3">
            <w:pPr>
              <w:pStyle w:val="a7"/>
              <w:ind w:left="0"/>
              <w:jc w:val="center"/>
              <w:rPr>
                <w:sz w:val="22"/>
              </w:rPr>
            </w:pPr>
            <w:r w:rsidRPr="002045F5">
              <w:rPr>
                <w:sz w:val="22"/>
              </w:rPr>
              <w:t>355</w:t>
            </w:r>
          </w:p>
        </w:tc>
      </w:tr>
      <w:tr w:rsidR="001013F3" w:rsidRPr="002045F5" w:rsidTr="005B4D42">
        <w:tc>
          <w:tcPr>
            <w:tcW w:w="2978" w:type="dxa"/>
            <w:shd w:val="clear" w:color="auto" w:fill="C6D9F1" w:themeFill="text2" w:themeFillTint="33"/>
          </w:tcPr>
          <w:p w:rsidR="001013F3" w:rsidRPr="002045F5" w:rsidRDefault="001013F3" w:rsidP="001013F3">
            <w:pPr>
              <w:rPr>
                <w:b/>
                <w:sz w:val="22"/>
              </w:rPr>
            </w:pPr>
            <w:proofErr w:type="spellStart"/>
            <w:r w:rsidRPr="002045F5">
              <w:rPr>
                <w:b/>
                <w:sz w:val="22"/>
              </w:rPr>
              <w:t>Ключові</w:t>
            </w:r>
            <w:proofErr w:type="spellEnd"/>
            <w:r w:rsidRPr="002045F5">
              <w:rPr>
                <w:b/>
                <w:sz w:val="22"/>
              </w:rPr>
              <w:t xml:space="preserve"> заходи проекту: </w:t>
            </w:r>
          </w:p>
          <w:p w:rsidR="001013F3" w:rsidRPr="002045F5" w:rsidRDefault="001013F3" w:rsidP="001013F3">
            <w:pPr>
              <w:pStyle w:val="a7"/>
              <w:ind w:left="0"/>
              <w:rPr>
                <w:b/>
                <w:sz w:val="22"/>
              </w:rPr>
            </w:pPr>
          </w:p>
        </w:tc>
        <w:tc>
          <w:tcPr>
            <w:tcW w:w="6910" w:type="dxa"/>
            <w:gridSpan w:val="6"/>
          </w:tcPr>
          <w:p w:rsidR="001013F3" w:rsidRPr="002045F5" w:rsidRDefault="001013F3" w:rsidP="000303D7">
            <w:pPr>
              <w:pStyle w:val="a7"/>
              <w:numPr>
                <w:ilvl w:val="0"/>
                <w:numId w:val="121"/>
              </w:numPr>
              <w:rPr>
                <w:sz w:val="22"/>
              </w:rPr>
            </w:pPr>
            <w:proofErr w:type="spellStart"/>
            <w:r w:rsidRPr="002045F5">
              <w:rPr>
                <w:sz w:val="22"/>
              </w:rPr>
              <w:t>обстеження</w:t>
            </w:r>
            <w:proofErr w:type="spellEnd"/>
            <w:r w:rsidRPr="002045F5">
              <w:rPr>
                <w:sz w:val="22"/>
              </w:rPr>
              <w:t xml:space="preserve"> стану </w:t>
            </w:r>
            <w:proofErr w:type="spellStart"/>
            <w:r w:rsidRPr="002045F5">
              <w:rPr>
                <w:sz w:val="22"/>
              </w:rPr>
              <w:t>паркану</w:t>
            </w:r>
            <w:proofErr w:type="spellEnd"/>
            <w:r w:rsidRPr="002045F5">
              <w:rPr>
                <w:sz w:val="22"/>
              </w:rPr>
              <w:t xml:space="preserve"> та </w:t>
            </w:r>
            <w:proofErr w:type="spellStart"/>
            <w:r w:rsidRPr="002045F5">
              <w:rPr>
                <w:sz w:val="22"/>
              </w:rPr>
              <w:t>території</w:t>
            </w:r>
            <w:proofErr w:type="spellEnd"/>
            <w:r w:rsidRPr="002045F5">
              <w:rPr>
                <w:sz w:val="22"/>
              </w:rPr>
              <w:t xml:space="preserve"> </w:t>
            </w:r>
            <w:proofErr w:type="spellStart"/>
            <w:r w:rsidRPr="002045F5">
              <w:rPr>
                <w:sz w:val="22"/>
              </w:rPr>
              <w:t>школи</w:t>
            </w:r>
            <w:proofErr w:type="spellEnd"/>
            <w:r w:rsidRPr="002045F5">
              <w:rPr>
                <w:sz w:val="22"/>
              </w:rPr>
              <w:t>;</w:t>
            </w:r>
          </w:p>
          <w:p w:rsidR="001013F3" w:rsidRPr="002045F5" w:rsidRDefault="001013F3" w:rsidP="000303D7">
            <w:pPr>
              <w:pStyle w:val="a7"/>
              <w:numPr>
                <w:ilvl w:val="0"/>
                <w:numId w:val="121"/>
              </w:numPr>
              <w:rPr>
                <w:sz w:val="22"/>
              </w:rPr>
            </w:pPr>
            <w:proofErr w:type="spellStart"/>
            <w:r w:rsidRPr="002045F5">
              <w:rPr>
                <w:sz w:val="22"/>
              </w:rPr>
              <w:t>розробка</w:t>
            </w:r>
            <w:proofErr w:type="spellEnd"/>
            <w:r w:rsidRPr="002045F5">
              <w:rPr>
                <w:sz w:val="22"/>
              </w:rPr>
              <w:t xml:space="preserve"> </w:t>
            </w:r>
            <w:proofErr w:type="spellStart"/>
            <w:r w:rsidRPr="002045F5">
              <w:rPr>
                <w:sz w:val="22"/>
              </w:rPr>
              <w:t>про</w:t>
            </w:r>
            <w:r w:rsidR="00D22DDF" w:rsidRPr="002045F5">
              <w:rPr>
                <w:sz w:val="22"/>
              </w:rPr>
              <w:t>є</w:t>
            </w:r>
            <w:r w:rsidRPr="002045F5">
              <w:rPr>
                <w:sz w:val="22"/>
              </w:rPr>
              <w:t>ктно</w:t>
            </w:r>
            <w:proofErr w:type="spellEnd"/>
            <w:r w:rsidRPr="002045F5">
              <w:rPr>
                <w:sz w:val="22"/>
              </w:rPr>
              <w:t xml:space="preserve"> – </w:t>
            </w:r>
            <w:proofErr w:type="spellStart"/>
            <w:r w:rsidRPr="002045F5">
              <w:rPr>
                <w:sz w:val="22"/>
              </w:rPr>
              <w:t>кошторисної</w:t>
            </w:r>
            <w:proofErr w:type="spellEnd"/>
            <w:r w:rsidRPr="002045F5">
              <w:rPr>
                <w:sz w:val="22"/>
              </w:rPr>
              <w:t xml:space="preserve"> </w:t>
            </w:r>
            <w:proofErr w:type="spellStart"/>
            <w:r w:rsidRPr="002045F5">
              <w:rPr>
                <w:sz w:val="22"/>
              </w:rPr>
              <w:t>документації</w:t>
            </w:r>
            <w:proofErr w:type="spellEnd"/>
            <w:r w:rsidRPr="002045F5">
              <w:rPr>
                <w:sz w:val="22"/>
              </w:rPr>
              <w:t>;</w:t>
            </w:r>
          </w:p>
          <w:p w:rsidR="001013F3" w:rsidRPr="002045F5" w:rsidRDefault="001013F3" w:rsidP="000303D7">
            <w:pPr>
              <w:pStyle w:val="a7"/>
              <w:numPr>
                <w:ilvl w:val="0"/>
                <w:numId w:val="121"/>
              </w:numPr>
              <w:rPr>
                <w:color w:val="000000"/>
                <w:sz w:val="22"/>
              </w:rPr>
            </w:pPr>
            <w:proofErr w:type="spellStart"/>
            <w:r w:rsidRPr="002045F5">
              <w:rPr>
                <w:color w:val="000000"/>
                <w:sz w:val="22"/>
              </w:rPr>
              <w:t>оновлення</w:t>
            </w:r>
            <w:proofErr w:type="spellEnd"/>
            <w:r w:rsidRPr="002045F5">
              <w:rPr>
                <w:color w:val="000000"/>
                <w:sz w:val="22"/>
              </w:rPr>
              <w:t xml:space="preserve"> </w:t>
            </w:r>
            <w:proofErr w:type="spellStart"/>
            <w:r w:rsidRPr="002045F5">
              <w:rPr>
                <w:color w:val="000000"/>
                <w:sz w:val="22"/>
              </w:rPr>
              <w:t>огорожі</w:t>
            </w:r>
            <w:proofErr w:type="spellEnd"/>
            <w:r w:rsidRPr="002045F5">
              <w:rPr>
                <w:color w:val="000000"/>
                <w:sz w:val="22"/>
              </w:rPr>
              <w:t xml:space="preserve"> </w:t>
            </w:r>
            <w:proofErr w:type="spellStart"/>
            <w:r w:rsidRPr="002045F5">
              <w:rPr>
                <w:color w:val="000000"/>
                <w:sz w:val="22"/>
              </w:rPr>
              <w:t>території</w:t>
            </w:r>
            <w:proofErr w:type="spellEnd"/>
            <w:r w:rsidRPr="002045F5">
              <w:rPr>
                <w:color w:val="000000"/>
                <w:sz w:val="22"/>
              </w:rPr>
              <w:t xml:space="preserve"> </w:t>
            </w:r>
            <w:proofErr w:type="spellStart"/>
            <w:r w:rsidRPr="002045F5">
              <w:rPr>
                <w:color w:val="000000"/>
                <w:sz w:val="22"/>
              </w:rPr>
              <w:t>школи</w:t>
            </w:r>
            <w:proofErr w:type="spellEnd"/>
            <w:r w:rsidRPr="002045F5">
              <w:rPr>
                <w:color w:val="000000"/>
                <w:sz w:val="22"/>
              </w:rPr>
              <w:t xml:space="preserve"> по </w:t>
            </w:r>
            <w:proofErr w:type="gramStart"/>
            <w:r w:rsidRPr="002045F5">
              <w:rPr>
                <w:color w:val="000000"/>
                <w:sz w:val="22"/>
              </w:rPr>
              <w:t xml:space="preserve">периметру  </w:t>
            </w:r>
            <w:proofErr w:type="spellStart"/>
            <w:r w:rsidRPr="002045F5">
              <w:rPr>
                <w:color w:val="000000"/>
                <w:sz w:val="22"/>
              </w:rPr>
              <w:t>території</w:t>
            </w:r>
            <w:proofErr w:type="spellEnd"/>
            <w:proofErr w:type="gramEnd"/>
            <w:r w:rsidRPr="002045F5">
              <w:rPr>
                <w:color w:val="000000"/>
                <w:sz w:val="22"/>
              </w:rPr>
              <w:t>;</w:t>
            </w:r>
          </w:p>
          <w:p w:rsidR="001013F3" w:rsidRPr="002045F5" w:rsidRDefault="001013F3" w:rsidP="000303D7">
            <w:pPr>
              <w:pStyle w:val="a7"/>
              <w:numPr>
                <w:ilvl w:val="0"/>
                <w:numId w:val="121"/>
              </w:numPr>
              <w:rPr>
                <w:color w:val="000000"/>
                <w:sz w:val="22"/>
              </w:rPr>
            </w:pPr>
            <w:r w:rsidRPr="002045F5">
              <w:rPr>
                <w:color w:val="000000"/>
                <w:sz w:val="22"/>
              </w:rPr>
              <w:t xml:space="preserve"> демонтаж </w:t>
            </w:r>
            <w:proofErr w:type="spellStart"/>
            <w:r w:rsidRPr="002045F5">
              <w:rPr>
                <w:color w:val="000000"/>
                <w:sz w:val="22"/>
              </w:rPr>
              <w:t>старої</w:t>
            </w:r>
            <w:proofErr w:type="spellEnd"/>
            <w:r w:rsidRPr="002045F5">
              <w:rPr>
                <w:color w:val="000000"/>
                <w:sz w:val="22"/>
              </w:rPr>
              <w:t xml:space="preserve"> </w:t>
            </w:r>
            <w:proofErr w:type="spellStart"/>
            <w:r w:rsidRPr="002045F5">
              <w:rPr>
                <w:color w:val="000000"/>
                <w:sz w:val="22"/>
              </w:rPr>
              <w:t>огорожі</w:t>
            </w:r>
            <w:proofErr w:type="spellEnd"/>
            <w:r w:rsidRPr="002045F5">
              <w:rPr>
                <w:color w:val="000000"/>
                <w:sz w:val="22"/>
              </w:rPr>
              <w:t>;</w:t>
            </w:r>
          </w:p>
          <w:p w:rsidR="001013F3" w:rsidRPr="002045F5" w:rsidRDefault="001013F3" w:rsidP="000303D7">
            <w:pPr>
              <w:pStyle w:val="a7"/>
              <w:numPr>
                <w:ilvl w:val="0"/>
                <w:numId w:val="121"/>
              </w:numPr>
              <w:rPr>
                <w:color w:val="000000"/>
                <w:sz w:val="22"/>
              </w:rPr>
            </w:pPr>
            <w:r w:rsidRPr="002045F5">
              <w:rPr>
                <w:color w:val="000000"/>
                <w:sz w:val="22"/>
              </w:rPr>
              <w:t xml:space="preserve"> демонтаж </w:t>
            </w:r>
            <w:proofErr w:type="spellStart"/>
            <w:r w:rsidRPr="002045F5">
              <w:rPr>
                <w:color w:val="000000"/>
                <w:sz w:val="22"/>
              </w:rPr>
              <w:t>старих</w:t>
            </w:r>
            <w:proofErr w:type="spellEnd"/>
            <w:r w:rsidRPr="002045F5">
              <w:rPr>
                <w:color w:val="000000"/>
                <w:sz w:val="22"/>
              </w:rPr>
              <w:t xml:space="preserve"> </w:t>
            </w:r>
            <w:proofErr w:type="spellStart"/>
            <w:r w:rsidRPr="002045F5">
              <w:rPr>
                <w:color w:val="000000"/>
                <w:sz w:val="22"/>
              </w:rPr>
              <w:t>спортивних</w:t>
            </w:r>
            <w:proofErr w:type="spellEnd"/>
            <w:r w:rsidRPr="002045F5">
              <w:rPr>
                <w:color w:val="000000"/>
                <w:sz w:val="22"/>
              </w:rPr>
              <w:t xml:space="preserve"> </w:t>
            </w:r>
            <w:proofErr w:type="spellStart"/>
            <w:proofErr w:type="gramStart"/>
            <w:r w:rsidRPr="002045F5">
              <w:rPr>
                <w:color w:val="000000"/>
                <w:sz w:val="22"/>
              </w:rPr>
              <w:t>конструкцій</w:t>
            </w:r>
            <w:proofErr w:type="spellEnd"/>
            <w:r w:rsidRPr="002045F5">
              <w:rPr>
                <w:color w:val="000000"/>
                <w:sz w:val="22"/>
              </w:rPr>
              <w:t xml:space="preserve">  на</w:t>
            </w:r>
            <w:proofErr w:type="gramEnd"/>
            <w:r w:rsidRPr="002045F5">
              <w:rPr>
                <w:color w:val="000000"/>
                <w:sz w:val="22"/>
              </w:rPr>
              <w:t xml:space="preserve"> </w:t>
            </w:r>
            <w:proofErr w:type="spellStart"/>
            <w:r w:rsidRPr="002045F5">
              <w:rPr>
                <w:color w:val="000000"/>
                <w:sz w:val="22"/>
              </w:rPr>
              <w:t>спортивних</w:t>
            </w:r>
            <w:proofErr w:type="spellEnd"/>
            <w:r w:rsidRPr="002045F5">
              <w:rPr>
                <w:color w:val="000000"/>
                <w:sz w:val="22"/>
              </w:rPr>
              <w:t xml:space="preserve"> </w:t>
            </w:r>
            <w:proofErr w:type="spellStart"/>
            <w:r w:rsidRPr="002045F5">
              <w:rPr>
                <w:color w:val="000000"/>
                <w:sz w:val="22"/>
              </w:rPr>
              <w:t>майданчиках</w:t>
            </w:r>
            <w:proofErr w:type="spellEnd"/>
            <w:r w:rsidRPr="002045F5">
              <w:rPr>
                <w:color w:val="000000"/>
                <w:sz w:val="22"/>
              </w:rPr>
              <w:t>;</w:t>
            </w:r>
          </w:p>
          <w:p w:rsidR="001013F3" w:rsidRPr="002045F5" w:rsidRDefault="001013F3" w:rsidP="000303D7">
            <w:pPr>
              <w:pStyle w:val="a7"/>
              <w:numPr>
                <w:ilvl w:val="0"/>
                <w:numId w:val="121"/>
              </w:numPr>
              <w:rPr>
                <w:color w:val="000000"/>
                <w:sz w:val="22"/>
                <w:lang w:val="en-US"/>
              </w:rPr>
            </w:pPr>
            <w:r w:rsidRPr="002045F5">
              <w:rPr>
                <w:color w:val="000000"/>
                <w:sz w:val="22"/>
              </w:rPr>
              <w:t xml:space="preserve">демонтаж асфальтового </w:t>
            </w:r>
            <w:proofErr w:type="spellStart"/>
            <w:r w:rsidRPr="002045F5">
              <w:rPr>
                <w:color w:val="000000"/>
                <w:sz w:val="22"/>
              </w:rPr>
              <w:t>покриття</w:t>
            </w:r>
            <w:proofErr w:type="spellEnd"/>
            <w:r w:rsidRPr="002045F5">
              <w:rPr>
                <w:color w:val="000000"/>
                <w:sz w:val="22"/>
              </w:rPr>
              <w:t>;</w:t>
            </w:r>
          </w:p>
          <w:p w:rsidR="001013F3" w:rsidRPr="002045F5" w:rsidRDefault="001013F3" w:rsidP="000303D7">
            <w:pPr>
              <w:pStyle w:val="a7"/>
              <w:numPr>
                <w:ilvl w:val="0"/>
                <w:numId w:val="121"/>
              </w:numPr>
              <w:rPr>
                <w:color w:val="000000"/>
                <w:sz w:val="22"/>
              </w:rPr>
            </w:pPr>
            <w:r w:rsidRPr="002045F5">
              <w:rPr>
                <w:color w:val="000000"/>
                <w:sz w:val="22"/>
              </w:rPr>
              <w:t xml:space="preserve">укладка тротуарною </w:t>
            </w:r>
            <w:proofErr w:type="spellStart"/>
            <w:r w:rsidRPr="002045F5">
              <w:rPr>
                <w:color w:val="000000"/>
                <w:sz w:val="22"/>
              </w:rPr>
              <w:t>плиткою</w:t>
            </w:r>
            <w:proofErr w:type="spellEnd"/>
            <w:r w:rsidRPr="002045F5">
              <w:rPr>
                <w:color w:val="000000"/>
                <w:sz w:val="22"/>
              </w:rPr>
              <w:t xml:space="preserve"> </w:t>
            </w:r>
            <w:proofErr w:type="spellStart"/>
            <w:r w:rsidRPr="002045F5">
              <w:rPr>
                <w:color w:val="000000"/>
                <w:sz w:val="22"/>
              </w:rPr>
              <w:t>основних</w:t>
            </w:r>
            <w:proofErr w:type="spellEnd"/>
            <w:r w:rsidRPr="002045F5">
              <w:rPr>
                <w:color w:val="000000"/>
                <w:sz w:val="22"/>
              </w:rPr>
              <w:t xml:space="preserve"> </w:t>
            </w:r>
            <w:proofErr w:type="spellStart"/>
            <w:r w:rsidRPr="002045F5">
              <w:rPr>
                <w:color w:val="000000"/>
                <w:sz w:val="22"/>
              </w:rPr>
              <w:t>доріжок</w:t>
            </w:r>
            <w:proofErr w:type="spellEnd"/>
            <w:r w:rsidRPr="002045F5">
              <w:rPr>
                <w:color w:val="000000"/>
                <w:sz w:val="22"/>
              </w:rPr>
              <w:t xml:space="preserve">, </w:t>
            </w:r>
            <w:proofErr w:type="spellStart"/>
            <w:r w:rsidRPr="002045F5">
              <w:rPr>
                <w:color w:val="000000"/>
                <w:sz w:val="22"/>
              </w:rPr>
              <w:t>які</w:t>
            </w:r>
            <w:proofErr w:type="spellEnd"/>
            <w:r w:rsidRPr="002045F5">
              <w:rPr>
                <w:color w:val="000000"/>
                <w:sz w:val="22"/>
              </w:rPr>
              <w:t xml:space="preserve"> </w:t>
            </w:r>
            <w:proofErr w:type="spellStart"/>
            <w:r w:rsidRPr="002045F5">
              <w:rPr>
                <w:color w:val="000000"/>
                <w:sz w:val="22"/>
              </w:rPr>
              <w:t>ведуть</w:t>
            </w:r>
            <w:proofErr w:type="spellEnd"/>
            <w:r w:rsidRPr="002045F5">
              <w:rPr>
                <w:color w:val="000000"/>
                <w:sz w:val="22"/>
              </w:rPr>
              <w:t xml:space="preserve"> до </w:t>
            </w:r>
            <w:proofErr w:type="spellStart"/>
            <w:proofErr w:type="gramStart"/>
            <w:r w:rsidRPr="002045F5">
              <w:rPr>
                <w:color w:val="000000"/>
                <w:sz w:val="22"/>
              </w:rPr>
              <w:t>школи</w:t>
            </w:r>
            <w:proofErr w:type="spellEnd"/>
            <w:r w:rsidRPr="002045F5">
              <w:rPr>
                <w:color w:val="000000"/>
                <w:sz w:val="22"/>
              </w:rPr>
              <w:t xml:space="preserve"> ;</w:t>
            </w:r>
            <w:proofErr w:type="gramEnd"/>
            <w:r w:rsidRPr="002045F5">
              <w:rPr>
                <w:color w:val="000000"/>
                <w:sz w:val="22"/>
              </w:rPr>
              <w:t xml:space="preserve"> </w:t>
            </w:r>
          </w:p>
          <w:p w:rsidR="001013F3" w:rsidRPr="002045F5" w:rsidRDefault="001013F3" w:rsidP="000303D7">
            <w:pPr>
              <w:pStyle w:val="a7"/>
              <w:numPr>
                <w:ilvl w:val="0"/>
                <w:numId w:val="121"/>
              </w:numPr>
              <w:rPr>
                <w:color w:val="000000"/>
                <w:sz w:val="22"/>
              </w:rPr>
            </w:pPr>
            <w:r w:rsidRPr="002045F5">
              <w:rPr>
                <w:color w:val="000000"/>
                <w:sz w:val="22"/>
              </w:rPr>
              <w:t xml:space="preserve">укладка </w:t>
            </w:r>
            <w:proofErr w:type="spellStart"/>
            <w:r w:rsidRPr="002045F5">
              <w:rPr>
                <w:color w:val="000000"/>
                <w:sz w:val="22"/>
              </w:rPr>
              <w:t>гумового</w:t>
            </w:r>
            <w:proofErr w:type="spellEnd"/>
            <w:r w:rsidRPr="002045F5">
              <w:rPr>
                <w:color w:val="000000"/>
                <w:sz w:val="22"/>
              </w:rPr>
              <w:t xml:space="preserve"> </w:t>
            </w:r>
            <w:proofErr w:type="spellStart"/>
            <w:r w:rsidRPr="002045F5">
              <w:rPr>
                <w:color w:val="000000"/>
                <w:sz w:val="22"/>
              </w:rPr>
              <w:t>покриття</w:t>
            </w:r>
            <w:proofErr w:type="spellEnd"/>
            <w:r w:rsidRPr="002045F5">
              <w:rPr>
                <w:color w:val="000000"/>
                <w:sz w:val="22"/>
              </w:rPr>
              <w:t xml:space="preserve"> на </w:t>
            </w:r>
            <w:proofErr w:type="spellStart"/>
            <w:r w:rsidRPr="002045F5">
              <w:rPr>
                <w:color w:val="000000"/>
                <w:sz w:val="22"/>
              </w:rPr>
              <w:t>ігрових</w:t>
            </w:r>
            <w:proofErr w:type="spellEnd"/>
            <w:r w:rsidRPr="002045F5">
              <w:rPr>
                <w:color w:val="000000"/>
                <w:sz w:val="22"/>
              </w:rPr>
              <w:t xml:space="preserve"> і </w:t>
            </w:r>
            <w:proofErr w:type="spellStart"/>
            <w:r w:rsidRPr="002045F5">
              <w:rPr>
                <w:color w:val="000000"/>
                <w:sz w:val="22"/>
              </w:rPr>
              <w:t>спортивних</w:t>
            </w:r>
            <w:proofErr w:type="spellEnd"/>
            <w:r w:rsidRPr="002045F5">
              <w:rPr>
                <w:color w:val="000000"/>
                <w:sz w:val="22"/>
              </w:rPr>
              <w:t xml:space="preserve"> </w:t>
            </w:r>
            <w:proofErr w:type="spellStart"/>
            <w:r w:rsidRPr="002045F5">
              <w:rPr>
                <w:color w:val="000000"/>
                <w:sz w:val="22"/>
              </w:rPr>
              <w:t>майданчиках</w:t>
            </w:r>
            <w:proofErr w:type="spellEnd"/>
            <w:r w:rsidRPr="002045F5">
              <w:rPr>
                <w:color w:val="000000"/>
                <w:sz w:val="22"/>
              </w:rPr>
              <w:t>;</w:t>
            </w:r>
          </w:p>
          <w:p w:rsidR="001013F3" w:rsidRPr="002045F5" w:rsidRDefault="001013F3" w:rsidP="000303D7">
            <w:pPr>
              <w:pStyle w:val="a7"/>
              <w:numPr>
                <w:ilvl w:val="0"/>
                <w:numId w:val="121"/>
              </w:numPr>
              <w:rPr>
                <w:color w:val="000000"/>
                <w:sz w:val="22"/>
              </w:rPr>
            </w:pPr>
            <w:proofErr w:type="spellStart"/>
            <w:r w:rsidRPr="002045F5">
              <w:rPr>
                <w:color w:val="000000"/>
                <w:sz w:val="22"/>
              </w:rPr>
              <w:t>улаштування</w:t>
            </w:r>
            <w:proofErr w:type="spellEnd"/>
            <w:r w:rsidRPr="002045F5">
              <w:rPr>
                <w:color w:val="000000"/>
                <w:sz w:val="22"/>
              </w:rPr>
              <w:t xml:space="preserve"> футбольного поля;</w:t>
            </w:r>
          </w:p>
          <w:p w:rsidR="001013F3" w:rsidRPr="002045F5" w:rsidRDefault="001013F3" w:rsidP="000303D7">
            <w:pPr>
              <w:pStyle w:val="a7"/>
              <w:numPr>
                <w:ilvl w:val="0"/>
                <w:numId w:val="121"/>
              </w:numPr>
              <w:rPr>
                <w:color w:val="000000"/>
                <w:sz w:val="22"/>
                <w:lang w:val="en-US"/>
              </w:rPr>
            </w:pPr>
            <w:r w:rsidRPr="002045F5">
              <w:rPr>
                <w:color w:val="000000"/>
                <w:sz w:val="22"/>
              </w:rPr>
              <w:t xml:space="preserve"> </w:t>
            </w:r>
            <w:proofErr w:type="spellStart"/>
            <w:r w:rsidRPr="002045F5">
              <w:rPr>
                <w:color w:val="000000"/>
                <w:sz w:val="22"/>
              </w:rPr>
              <w:t>улаштування</w:t>
            </w:r>
            <w:proofErr w:type="spellEnd"/>
            <w:r w:rsidRPr="002045F5">
              <w:rPr>
                <w:color w:val="000000"/>
                <w:sz w:val="22"/>
              </w:rPr>
              <w:t xml:space="preserve"> волейбольного поля; </w:t>
            </w:r>
          </w:p>
          <w:p w:rsidR="001013F3" w:rsidRPr="002045F5" w:rsidRDefault="001013F3" w:rsidP="000303D7">
            <w:pPr>
              <w:pStyle w:val="a7"/>
              <w:numPr>
                <w:ilvl w:val="0"/>
                <w:numId w:val="121"/>
              </w:numPr>
              <w:rPr>
                <w:color w:val="000000"/>
                <w:sz w:val="22"/>
                <w:lang w:val="en-US"/>
              </w:rPr>
            </w:pPr>
            <w:proofErr w:type="spellStart"/>
            <w:r w:rsidRPr="002045F5">
              <w:rPr>
                <w:color w:val="000000"/>
                <w:sz w:val="22"/>
              </w:rPr>
              <w:t>улаштування</w:t>
            </w:r>
            <w:proofErr w:type="spellEnd"/>
            <w:r w:rsidRPr="002045F5">
              <w:rPr>
                <w:color w:val="000000"/>
                <w:sz w:val="22"/>
              </w:rPr>
              <w:t xml:space="preserve"> баскетбольного</w:t>
            </w:r>
            <w:r w:rsidR="0063060C" w:rsidRPr="002045F5">
              <w:rPr>
                <w:color w:val="000000"/>
                <w:sz w:val="22"/>
              </w:rPr>
              <w:t xml:space="preserve"> поля</w:t>
            </w:r>
            <w:r w:rsidRPr="002045F5">
              <w:rPr>
                <w:color w:val="000000"/>
                <w:sz w:val="22"/>
              </w:rPr>
              <w:t xml:space="preserve">; </w:t>
            </w:r>
          </w:p>
          <w:p w:rsidR="001013F3" w:rsidRPr="002045F5" w:rsidRDefault="001013F3" w:rsidP="000303D7">
            <w:pPr>
              <w:pStyle w:val="a7"/>
              <w:numPr>
                <w:ilvl w:val="0"/>
                <w:numId w:val="121"/>
              </w:numPr>
              <w:rPr>
                <w:color w:val="000000"/>
                <w:sz w:val="22"/>
                <w:lang w:val="en-US"/>
              </w:rPr>
            </w:pPr>
            <w:proofErr w:type="spellStart"/>
            <w:r w:rsidRPr="002045F5">
              <w:rPr>
                <w:color w:val="000000"/>
                <w:sz w:val="22"/>
              </w:rPr>
              <w:t>улаштування</w:t>
            </w:r>
            <w:proofErr w:type="spellEnd"/>
            <w:r w:rsidRPr="002045F5">
              <w:rPr>
                <w:color w:val="000000"/>
                <w:sz w:val="22"/>
              </w:rPr>
              <w:t xml:space="preserve"> </w:t>
            </w:r>
            <w:proofErr w:type="spellStart"/>
            <w:r w:rsidRPr="002045F5">
              <w:rPr>
                <w:color w:val="000000"/>
                <w:sz w:val="22"/>
              </w:rPr>
              <w:t>бігових</w:t>
            </w:r>
            <w:proofErr w:type="spellEnd"/>
            <w:r w:rsidRPr="002045F5">
              <w:rPr>
                <w:color w:val="000000"/>
                <w:sz w:val="22"/>
              </w:rPr>
              <w:t xml:space="preserve"> </w:t>
            </w:r>
            <w:proofErr w:type="spellStart"/>
            <w:r w:rsidRPr="002045F5">
              <w:rPr>
                <w:color w:val="000000"/>
                <w:sz w:val="22"/>
              </w:rPr>
              <w:t>доріжок</w:t>
            </w:r>
            <w:proofErr w:type="spellEnd"/>
            <w:r w:rsidRPr="002045F5">
              <w:rPr>
                <w:color w:val="000000"/>
                <w:sz w:val="22"/>
              </w:rPr>
              <w:t xml:space="preserve">; </w:t>
            </w:r>
          </w:p>
          <w:p w:rsidR="001013F3" w:rsidRPr="002045F5" w:rsidRDefault="001013F3" w:rsidP="000303D7">
            <w:pPr>
              <w:pStyle w:val="a7"/>
              <w:numPr>
                <w:ilvl w:val="0"/>
                <w:numId w:val="121"/>
              </w:numPr>
              <w:rPr>
                <w:color w:val="000000"/>
                <w:sz w:val="22"/>
              </w:rPr>
            </w:pPr>
            <w:proofErr w:type="spellStart"/>
            <w:r w:rsidRPr="002045F5">
              <w:rPr>
                <w:color w:val="000000"/>
                <w:sz w:val="22"/>
              </w:rPr>
              <w:t>улаштування</w:t>
            </w:r>
            <w:proofErr w:type="spellEnd"/>
            <w:r w:rsidRPr="002045F5">
              <w:rPr>
                <w:color w:val="000000"/>
                <w:sz w:val="22"/>
              </w:rPr>
              <w:t xml:space="preserve"> спортивного </w:t>
            </w:r>
            <w:proofErr w:type="spellStart"/>
            <w:r w:rsidRPr="002045F5">
              <w:rPr>
                <w:color w:val="000000"/>
                <w:sz w:val="22"/>
              </w:rPr>
              <w:t>майданчика</w:t>
            </w:r>
            <w:proofErr w:type="spellEnd"/>
            <w:r w:rsidRPr="002045F5">
              <w:rPr>
                <w:color w:val="000000"/>
                <w:sz w:val="22"/>
              </w:rPr>
              <w:t xml:space="preserve"> для </w:t>
            </w:r>
            <w:proofErr w:type="spellStart"/>
            <w:r w:rsidRPr="002045F5">
              <w:rPr>
                <w:color w:val="000000"/>
                <w:sz w:val="22"/>
              </w:rPr>
              <w:t>вуличних</w:t>
            </w:r>
            <w:proofErr w:type="spellEnd"/>
            <w:r w:rsidRPr="002045F5">
              <w:rPr>
                <w:color w:val="000000"/>
                <w:sz w:val="22"/>
              </w:rPr>
              <w:t xml:space="preserve"> </w:t>
            </w:r>
            <w:proofErr w:type="spellStart"/>
            <w:r w:rsidRPr="002045F5">
              <w:rPr>
                <w:color w:val="000000"/>
                <w:sz w:val="22"/>
              </w:rPr>
              <w:t>тренажерів</w:t>
            </w:r>
            <w:proofErr w:type="spellEnd"/>
            <w:r w:rsidRPr="002045F5">
              <w:rPr>
                <w:color w:val="000000"/>
                <w:sz w:val="22"/>
              </w:rPr>
              <w:t>;</w:t>
            </w:r>
          </w:p>
          <w:p w:rsidR="001013F3" w:rsidRPr="002045F5" w:rsidRDefault="001013F3" w:rsidP="000303D7">
            <w:pPr>
              <w:pStyle w:val="a7"/>
              <w:numPr>
                <w:ilvl w:val="0"/>
                <w:numId w:val="121"/>
              </w:numPr>
              <w:rPr>
                <w:color w:val="000000"/>
                <w:sz w:val="22"/>
              </w:rPr>
            </w:pPr>
            <w:r w:rsidRPr="002045F5">
              <w:rPr>
                <w:color w:val="000000"/>
                <w:sz w:val="22"/>
              </w:rPr>
              <w:t xml:space="preserve"> </w:t>
            </w:r>
            <w:proofErr w:type="spellStart"/>
            <w:r w:rsidRPr="002045F5">
              <w:rPr>
                <w:color w:val="000000"/>
                <w:sz w:val="22"/>
              </w:rPr>
              <w:t>улаштування</w:t>
            </w:r>
            <w:proofErr w:type="spellEnd"/>
            <w:r w:rsidRPr="002045F5">
              <w:rPr>
                <w:color w:val="000000"/>
                <w:sz w:val="22"/>
              </w:rPr>
              <w:t xml:space="preserve"> </w:t>
            </w:r>
            <w:proofErr w:type="spellStart"/>
            <w:r w:rsidRPr="002045F5">
              <w:rPr>
                <w:color w:val="000000"/>
                <w:sz w:val="22"/>
              </w:rPr>
              <w:t>майданчика</w:t>
            </w:r>
            <w:proofErr w:type="spellEnd"/>
            <w:r w:rsidRPr="002045F5">
              <w:rPr>
                <w:color w:val="000000"/>
                <w:sz w:val="22"/>
              </w:rPr>
              <w:t xml:space="preserve"> з тренажерами для </w:t>
            </w:r>
            <w:proofErr w:type="spellStart"/>
            <w:r w:rsidRPr="002045F5">
              <w:rPr>
                <w:color w:val="000000"/>
                <w:sz w:val="22"/>
              </w:rPr>
              <w:t>дітей</w:t>
            </w:r>
            <w:proofErr w:type="spellEnd"/>
            <w:r w:rsidRPr="002045F5">
              <w:rPr>
                <w:color w:val="000000"/>
                <w:sz w:val="22"/>
              </w:rPr>
              <w:t xml:space="preserve"> з ООП; </w:t>
            </w:r>
          </w:p>
          <w:p w:rsidR="001013F3" w:rsidRPr="002045F5" w:rsidRDefault="001013F3" w:rsidP="000303D7">
            <w:pPr>
              <w:pStyle w:val="a7"/>
              <w:numPr>
                <w:ilvl w:val="0"/>
                <w:numId w:val="121"/>
              </w:numPr>
              <w:rPr>
                <w:color w:val="000000"/>
                <w:sz w:val="22"/>
              </w:rPr>
            </w:pPr>
            <w:proofErr w:type="spellStart"/>
            <w:r w:rsidRPr="002045F5">
              <w:rPr>
                <w:color w:val="000000"/>
                <w:sz w:val="22"/>
              </w:rPr>
              <w:t>улаштування</w:t>
            </w:r>
            <w:proofErr w:type="spellEnd"/>
            <w:r w:rsidRPr="002045F5">
              <w:rPr>
                <w:color w:val="000000"/>
                <w:sz w:val="22"/>
              </w:rPr>
              <w:t xml:space="preserve"> </w:t>
            </w:r>
            <w:proofErr w:type="spellStart"/>
            <w:r w:rsidRPr="002045F5">
              <w:rPr>
                <w:color w:val="000000"/>
                <w:sz w:val="22"/>
              </w:rPr>
              <w:t>ігрового</w:t>
            </w:r>
            <w:proofErr w:type="spellEnd"/>
            <w:r w:rsidRPr="002045F5">
              <w:rPr>
                <w:color w:val="000000"/>
                <w:sz w:val="22"/>
              </w:rPr>
              <w:t xml:space="preserve"> </w:t>
            </w:r>
            <w:proofErr w:type="spellStart"/>
            <w:r w:rsidRPr="002045F5">
              <w:rPr>
                <w:color w:val="000000"/>
                <w:sz w:val="22"/>
              </w:rPr>
              <w:t>майданчику</w:t>
            </w:r>
            <w:proofErr w:type="spellEnd"/>
            <w:r w:rsidRPr="002045F5">
              <w:rPr>
                <w:color w:val="000000"/>
                <w:sz w:val="22"/>
              </w:rPr>
              <w:t xml:space="preserve"> для </w:t>
            </w:r>
            <w:proofErr w:type="spellStart"/>
            <w:r w:rsidRPr="002045F5">
              <w:rPr>
                <w:color w:val="000000"/>
                <w:sz w:val="22"/>
              </w:rPr>
              <w:t>молодших</w:t>
            </w:r>
            <w:proofErr w:type="spellEnd"/>
            <w:r w:rsidRPr="002045F5">
              <w:rPr>
                <w:color w:val="000000"/>
                <w:sz w:val="22"/>
              </w:rPr>
              <w:t xml:space="preserve"> </w:t>
            </w:r>
            <w:proofErr w:type="spellStart"/>
            <w:r w:rsidRPr="002045F5">
              <w:rPr>
                <w:color w:val="000000"/>
                <w:sz w:val="22"/>
              </w:rPr>
              <w:t>школярів</w:t>
            </w:r>
            <w:proofErr w:type="spellEnd"/>
            <w:r w:rsidRPr="002045F5">
              <w:rPr>
                <w:color w:val="000000"/>
                <w:sz w:val="22"/>
              </w:rPr>
              <w:t xml:space="preserve">, </w:t>
            </w:r>
            <w:proofErr w:type="spellStart"/>
            <w:r w:rsidRPr="002045F5">
              <w:rPr>
                <w:color w:val="000000"/>
                <w:sz w:val="22"/>
              </w:rPr>
              <w:t>учнів</w:t>
            </w:r>
            <w:proofErr w:type="spellEnd"/>
            <w:r w:rsidRPr="002045F5">
              <w:rPr>
                <w:color w:val="000000"/>
                <w:sz w:val="22"/>
              </w:rPr>
              <w:t xml:space="preserve"> </w:t>
            </w:r>
            <w:proofErr w:type="gramStart"/>
            <w:r w:rsidRPr="002045F5">
              <w:rPr>
                <w:color w:val="000000"/>
                <w:sz w:val="22"/>
              </w:rPr>
              <w:t>ГПД  та</w:t>
            </w:r>
            <w:proofErr w:type="gramEnd"/>
            <w:r w:rsidRPr="002045F5">
              <w:rPr>
                <w:color w:val="000000"/>
                <w:sz w:val="22"/>
              </w:rPr>
              <w:t xml:space="preserve"> </w:t>
            </w:r>
            <w:proofErr w:type="spellStart"/>
            <w:r w:rsidRPr="002045F5">
              <w:rPr>
                <w:color w:val="000000"/>
                <w:sz w:val="22"/>
              </w:rPr>
              <w:t>діточок</w:t>
            </w:r>
            <w:proofErr w:type="spellEnd"/>
            <w:r w:rsidRPr="002045F5">
              <w:rPr>
                <w:color w:val="000000"/>
                <w:sz w:val="22"/>
              </w:rPr>
              <w:t xml:space="preserve"> з </w:t>
            </w:r>
            <w:proofErr w:type="spellStart"/>
            <w:r w:rsidRPr="002045F5">
              <w:rPr>
                <w:color w:val="000000"/>
                <w:sz w:val="22"/>
              </w:rPr>
              <w:t>дошкільного</w:t>
            </w:r>
            <w:proofErr w:type="spellEnd"/>
            <w:r w:rsidRPr="002045F5">
              <w:rPr>
                <w:color w:val="000000"/>
                <w:sz w:val="22"/>
              </w:rPr>
              <w:t xml:space="preserve"> </w:t>
            </w:r>
            <w:proofErr w:type="spellStart"/>
            <w:r w:rsidRPr="002045F5">
              <w:rPr>
                <w:color w:val="000000"/>
                <w:sz w:val="22"/>
              </w:rPr>
              <w:t>підрозділу</w:t>
            </w:r>
            <w:proofErr w:type="spellEnd"/>
            <w:r w:rsidRPr="002045F5">
              <w:rPr>
                <w:color w:val="000000"/>
                <w:sz w:val="22"/>
              </w:rPr>
              <w:t xml:space="preserve">; </w:t>
            </w:r>
          </w:p>
          <w:p w:rsidR="001013F3" w:rsidRPr="002045F5" w:rsidRDefault="001013F3" w:rsidP="000303D7">
            <w:pPr>
              <w:pStyle w:val="a7"/>
              <w:numPr>
                <w:ilvl w:val="0"/>
                <w:numId w:val="121"/>
              </w:numPr>
              <w:rPr>
                <w:color w:val="000000"/>
                <w:sz w:val="22"/>
              </w:rPr>
            </w:pPr>
            <w:proofErr w:type="spellStart"/>
            <w:r w:rsidRPr="002045F5">
              <w:rPr>
                <w:color w:val="000000"/>
                <w:sz w:val="22"/>
              </w:rPr>
              <w:t>встановлення</w:t>
            </w:r>
            <w:proofErr w:type="spellEnd"/>
            <w:r w:rsidRPr="002045F5">
              <w:rPr>
                <w:color w:val="000000"/>
                <w:sz w:val="22"/>
              </w:rPr>
              <w:t xml:space="preserve"> стола для </w:t>
            </w:r>
            <w:proofErr w:type="spellStart"/>
            <w:r w:rsidRPr="002045F5">
              <w:rPr>
                <w:color w:val="000000"/>
                <w:sz w:val="22"/>
              </w:rPr>
              <w:t>настільного</w:t>
            </w:r>
            <w:proofErr w:type="spellEnd"/>
            <w:r w:rsidRPr="002045F5">
              <w:rPr>
                <w:color w:val="000000"/>
                <w:sz w:val="22"/>
              </w:rPr>
              <w:t xml:space="preserve"> </w:t>
            </w:r>
            <w:proofErr w:type="spellStart"/>
            <w:r w:rsidRPr="002045F5">
              <w:rPr>
                <w:color w:val="000000"/>
                <w:sz w:val="22"/>
              </w:rPr>
              <w:t>тенісу</w:t>
            </w:r>
            <w:proofErr w:type="spellEnd"/>
            <w:r w:rsidRPr="002045F5">
              <w:rPr>
                <w:color w:val="000000"/>
                <w:sz w:val="22"/>
              </w:rPr>
              <w:t xml:space="preserve">; </w:t>
            </w:r>
          </w:p>
          <w:p w:rsidR="001013F3" w:rsidRPr="002045F5" w:rsidRDefault="001013F3" w:rsidP="000303D7">
            <w:pPr>
              <w:pStyle w:val="a7"/>
              <w:numPr>
                <w:ilvl w:val="0"/>
                <w:numId w:val="121"/>
              </w:numPr>
              <w:rPr>
                <w:color w:val="000000"/>
                <w:sz w:val="22"/>
              </w:rPr>
            </w:pPr>
            <w:r w:rsidRPr="002045F5">
              <w:rPr>
                <w:color w:val="000000"/>
                <w:sz w:val="22"/>
              </w:rPr>
              <w:t xml:space="preserve">монтаж опор для </w:t>
            </w:r>
            <w:proofErr w:type="spellStart"/>
            <w:r w:rsidRPr="002045F5">
              <w:rPr>
                <w:color w:val="000000"/>
                <w:sz w:val="22"/>
              </w:rPr>
              <w:t>вуличного</w:t>
            </w:r>
            <w:proofErr w:type="spellEnd"/>
            <w:r w:rsidRPr="002045F5">
              <w:rPr>
                <w:color w:val="000000"/>
                <w:sz w:val="22"/>
              </w:rPr>
              <w:t xml:space="preserve"> </w:t>
            </w:r>
            <w:proofErr w:type="spellStart"/>
            <w:r w:rsidRPr="002045F5">
              <w:rPr>
                <w:color w:val="000000"/>
                <w:sz w:val="22"/>
              </w:rPr>
              <w:t>освітлення</w:t>
            </w:r>
            <w:proofErr w:type="spellEnd"/>
            <w:r w:rsidRPr="002045F5">
              <w:rPr>
                <w:color w:val="000000"/>
                <w:sz w:val="22"/>
              </w:rPr>
              <w:t xml:space="preserve">, </w:t>
            </w:r>
            <w:proofErr w:type="spellStart"/>
            <w:r w:rsidRPr="002045F5">
              <w:rPr>
                <w:color w:val="000000"/>
                <w:sz w:val="22"/>
              </w:rPr>
              <w:t>влаштування</w:t>
            </w:r>
            <w:proofErr w:type="spellEnd"/>
            <w:r w:rsidRPr="002045F5">
              <w:rPr>
                <w:color w:val="000000"/>
                <w:sz w:val="22"/>
              </w:rPr>
              <w:t xml:space="preserve"> </w:t>
            </w:r>
            <w:proofErr w:type="spellStart"/>
            <w:r w:rsidRPr="002045F5">
              <w:rPr>
                <w:color w:val="000000"/>
                <w:sz w:val="22"/>
              </w:rPr>
              <w:t>енергоекономного</w:t>
            </w:r>
            <w:proofErr w:type="spellEnd"/>
            <w:r w:rsidRPr="002045F5">
              <w:rPr>
                <w:color w:val="000000"/>
                <w:sz w:val="22"/>
              </w:rPr>
              <w:t xml:space="preserve"> </w:t>
            </w:r>
            <w:proofErr w:type="spellStart"/>
            <w:r w:rsidRPr="002045F5">
              <w:rPr>
                <w:color w:val="000000"/>
                <w:sz w:val="22"/>
              </w:rPr>
              <w:t>світлодіодного</w:t>
            </w:r>
            <w:proofErr w:type="spellEnd"/>
            <w:r w:rsidRPr="002045F5">
              <w:rPr>
                <w:color w:val="000000"/>
                <w:sz w:val="22"/>
              </w:rPr>
              <w:t xml:space="preserve"> </w:t>
            </w:r>
            <w:proofErr w:type="spellStart"/>
            <w:r w:rsidRPr="002045F5">
              <w:rPr>
                <w:color w:val="000000"/>
                <w:sz w:val="22"/>
              </w:rPr>
              <w:t>освітлення</w:t>
            </w:r>
            <w:proofErr w:type="spellEnd"/>
            <w:r w:rsidRPr="002045F5">
              <w:rPr>
                <w:color w:val="000000"/>
                <w:sz w:val="22"/>
              </w:rPr>
              <w:t>;</w:t>
            </w:r>
          </w:p>
          <w:p w:rsidR="001013F3" w:rsidRPr="002045F5" w:rsidRDefault="001013F3" w:rsidP="000303D7">
            <w:pPr>
              <w:pStyle w:val="a7"/>
              <w:numPr>
                <w:ilvl w:val="0"/>
                <w:numId w:val="121"/>
              </w:numPr>
              <w:rPr>
                <w:color w:val="000000"/>
                <w:sz w:val="22"/>
                <w:lang w:val="en-US"/>
              </w:rPr>
            </w:pPr>
            <w:r w:rsidRPr="002045F5">
              <w:rPr>
                <w:color w:val="000000"/>
                <w:sz w:val="22"/>
              </w:rPr>
              <w:t xml:space="preserve"> </w:t>
            </w:r>
            <w:proofErr w:type="spellStart"/>
            <w:r w:rsidRPr="002045F5">
              <w:rPr>
                <w:color w:val="000000"/>
                <w:sz w:val="22"/>
              </w:rPr>
              <w:t>озеленення</w:t>
            </w:r>
            <w:proofErr w:type="spellEnd"/>
            <w:r w:rsidRPr="002045F5">
              <w:rPr>
                <w:color w:val="000000"/>
                <w:sz w:val="22"/>
              </w:rPr>
              <w:t xml:space="preserve"> </w:t>
            </w:r>
            <w:proofErr w:type="spellStart"/>
            <w:r w:rsidRPr="002045F5">
              <w:rPr>
                <w:color w:val="000000"/>
                <w:sz w:val="22"/>
              </w:rPr>
              <w:t>території</w:t>
            </w:r>
            <w:proofErr w:type="spellEnd"/>
            <w:r w:rsidRPr="002045F5">
              <w:rPr>
                <w:color w:val="000000"/>
                <w:sz w:val="22"/>
              </w:rPr>
              <w:t xml:space="preserve">; </w:t>
            </w:r>
          </w:p>
          <w:p w:rsidR="001013F3" w:rsidRPr="002045F5" w:rsidRDefault="001013F3" w:rsidP="000303D7">
            <w:pPr>
              <w:pStyle w:val="a7"/>
              <w:numPr>
                <w:ilvl w:val="0"/>
                <w:numId w:val="121"/>
              </w:numPr>
              <w:rPr>
                <w:color w:val="000000"/>
                <w:sz w:val="22"/>
                <w:lang w:val="en-US"/>
              </w:rPr>
            </w:pPr>
            <w:r w:rsidRPr="002045F5">
              <w:rPr>
                <w:color w:val="000000"/>
                <w:sz w:val="22"/>
              </w:rPr>
              <w:t xml:space="preserve">прокладка </w:t>
            </w:r>
            <w:proofErr w:type="spellStart"/>
            <w:r w:rsidRPr="002045F5">
              <w:rPr>
                <w:color w:val="000000"/>
                <w:sz w:val="22"/>
              </w:rPr>
              <w:t>системи</w:t>
            </w:r>
            <w:proofErr w:type="spellEnd"/>
            <w:r w:rsidRPr="002045F5">
              <w:rPr>
                <w:color w:val="000000"/>
                <w:sz w:val="22"/>
              </w:rPr>
              <w:t xml:space="preserve"> полива; </w:t>
            </w:r>
          </w:p>
          <w:p w:rsidR="001013F3" w:rsidRPr="002045F5" w:rsidRDefault="001013F3" w:rsidP="000303D7">
            <w:pPr>
              <w:pStyle w:val="a7"/>
              <w:numPr>
                <w:ilvl w:val="0"/>
                <w:numId w:val="121"/>
              </w:numPr>
              <w:rPr>
                <w:color w:val="000000"/>
                <w:sz w:val="22"/>
                <w:lang w:val="en-US"/>
              </w:rPr>
            </w:pPr>
            <w:proofErr w:type="spellStart"/>
            <w:r w:rsidRPr="002045F5">
              <w:rPr>
                <w:color w:val="000000"/>
                <w:sz w:val="22"/>
              </w:rPr>
              <w:t>встановлення</w:t>
            </w:r>
            <w:proofErr w:type="spellEnd"/>
            <w:r w:rsidRPr="002045F5">
              <w:rPr>
                <w:color w:val="000000"/>
                <w:sz w:val="22"/>
              </w:rPr>
              <w:t xml:space="preserve"> лавок, </w:t>
            </w:r>
            <w:proofErr w:type="spellStart"/>
            <w:r w:rsidRPr="002045F5">
              <w:rPr>
                <w:color w:val="000000"/>
                <w:sz w:val="22"/>
              </w:rPr>
              <w:t>альтанок</w:t>
            </w:r>
            <w:proofErr w:type="spellEnd"/>
            <w:r w:rsidRPr="002045F5">
              <w:rPr>
                <w:color w:val="000000"/>
                <w:sz w:val="22"/>
              </w:rPr>
              <w:t xml:space="preserve">; </w:t>
            </w:r>
          </w:p>
          <w:p w:rsidR="001013F3" w:rsidRPr="002045F5" w:rsidRDefault="001013F3" w:rsidP="000303D7">
            <w:pPr>
              <w:pStyle w:val="a7"/>
              <w:numPr>
                <w:ilvl w:val="0"/>
                <w:numId w:val="121"/>
              </w:numPr>
              <w:rPr>
                <w:color w:val="000000"/>
                <w:sz w:val="22"/>
              </w:rPr>
            </w:pPr>
            <w:r w:rsidRPr="002045F5">
              <w:rPr>
                <w:color w:val="000000"/>
                <w:sz w:val="22"/>
              </w:rPr>
              <w:t xml:space="preserve"> </w:t>
            </w:r>
            <w:proofErr w:type="spellStart"/>
            <w:r w:rsidRPr="002045F5">
              <w:rPr>
                <w:color w:val="000000"/>
                <w:sz w:val="22"/>
              </w:rPr>
              <w:t>встановлення</w:t>
            </w:r>
            <w:proofErr w:type="spellEnd"/>
            <w:r w:rsidRPr="002045F5">
              <w:rPr>
                <w:color w:val="000000"/>
                <w:sz w:val="22"/>
              </w:rPr>
              <w:t xml:space="preserve"> </w:t>
            </w:r>
            <w:proofErr w:type="spellStart"/>
            <w:r w:rsidRPr="002045F5">
              <w:rPr>
                <w:color w:val="000000"/>
                <w:sz w:val="22"/>
              </w:rPr>
              <w:t>смітників</w:t>
            </w:r>
            <w:proofErr w:type="spellEnd"/>
            <w:r w:rsidRPr="002045F5">
              <w:rPr>
                <w:color w:val="000000"/>
                <w:sz w:val="22"/>
              </w:rPr>
              <w:t xml:space="preserve"> для </w:t>
            </w:r>
            <w:proofErr w:type="spellStart"/>
            <w:r w:rsidRPr="002045F5">
              <w:rPr>
                <w:color w:val="000000"/>
                <w:sz w:val="22"/>
              </w:rPr>
              <w:t>роздільного</w:t>
            </w:r>
            <w:proofErr w:type="spellEnd"/>
            <w:r w:rsidRPr="002045F5">
              <w:rPr>
                <w:color w:val="000000"/>
                <w:sz w:val="22"/>
              </w:rPr>
              <w:t xml:space="preserve"> </w:t>
            </w:r>
            <w:proofErr w:type="spellStart"/>
            <w:r w:rsidRPr="002045F5">
              <w:rPr>
                <w:color w:val="000000"/>
                <w:sz w:val="22"/>
              </w:rPr>
              <w:t>збору</w:t>
            </w:r>
            <w:proofErr w:type="spellEnd"/>
            <w:r w:rsidRPr="002045F5">
              <w:rPr>
                <w:color w:val="000000"/>
                <w:sz w:val="22"/>
              </w:rPr>
              <w:t xml:space="preserve"> </w:t>
            </w:r>
            <w:proofErr w:type="spellStart"/>
            <w:r w:rsidRPr="002045F5">
              <w:rPr>
                <w:color w:val="000000"/>
                <w:sz w:val="22"/>
              </w:rPr>
              <w:t>відходів</w:t>
            </w:r>
            <w:proofErr w:type="spellEnd"/>
            <w:r w:rsidRPr="002045F5">
              <w:rPr>
                <w:color w:val="000000"/>
                <w:sz w:val="22"/>
              </w:rPr>
              <w:t xml:space="preserve">; </w:t>
            </w:r>
          </w:p>
          <w:p w:rsidR="001013F3" w:rsidRPr="002045F5" w:rsidRDefault="001013F3" w:rsidP="000303D7">
            <w:pPr>
              <w:pStyle w:val="a7"/>
              <w:numPr>
                <w:ilvl w:val="0"/>
                <w:numId w:val="121"/>
              </w:numPr>
              <w:rPr>
                <w:color w:val="000000"/>
                <w:sz w:val="22"/>
              </w:rPr>
            </w:pPr>
            <w:r w:rsidRPr="002045F5">
              <w:rPr>
                <w:color w:val="000000"/>
                <w:sz w:val="22"/>
              </w:rPr>
              <w:t xml:space="preserve"> </w:t>
            </w:r>
            <w:proofErr w:type="spellStart"/>
            <w:r w:rsidRPr="002045F5">
              <w:rPr>
                <w:color w:val="000000"/>
                <w:sz w:val="22"/>
              </w:rPr>
              <w:t>відновлення</w:t>
            </w:r>
            <w:proofErr w:type="spellEnd"/>
            <w:r w:rsidRPr="002045F5">
              <w:rPr>
                <w:color w:val="000000"/>
                <w:sz w:val="22"/>
              </w:rPr>
              <w:t xml:space="preserve"> </w:t>
            </w:r>
            <w:proofErr w:type="spellStart"/>
            <w:r w:rsidRPr="002045F5">
              <w:rPr>
                <w:color w:val="000000"/>
                <w:sz w:val="22"/>
              </w:rPr>
              <w:t>під'їзних</w:t>
            </w:r>
            <w:proofErr w:type="spellEnd"/>
            <w:r w:rsidRPr="002045F5">
              <w:rPr>
                <w:color w:val="000000"/>
                <w:sz w:val="22"/>
              </w:rPr>
              <w:t xml:space="preserve"> </w:t>
            </w:r>
            <w:proofErr w:type="spellStart"/>
            <w:r w:rsidRPr="002045F5">
              <w:rPr>
                <w:color w:val="000000"/>
                <w:sz w:val="22"/>
              </w:rPr>
              <w:t>шляхів</w:t>
            </w:r>
            <w:proofErr w:type="spellEnd"/>
            <w:r w:rsidRPr="002045F5">
              <w:rPr>
                <w:color w:val="000000"/>
                <w:sz w:val="22"/>
              </w:rPr>
              <w:t xml:space="preserve"> </w:t>
            </w:r>
            <w:proofErr w:type="gramStart"/>
            <w:r w:rsidRPr="002045F5">
              <w:rPr>
                <w:color w:val="000000"/>
                <w:sz w:val="22"/>
              </w:rPr>
              <w:t>до закладу</w:t>
            </w:r>
            <w:proofErr w:type="gramEnd"/>
            <w:r w:rsidRPr="002045F5">
              <w:rPr>
                <w:color w:val="000000"/>
                <w:sz w:val="22"/>
              </w:rPr>
              <w:t xml:space="preserve">; </w:t>
            </w:r>
          </w:p>
          <w:p w:rsidR="001013F3" w:rsidRPr="002045F5" w:rsidRDefault="001013F3" w:rsidP="000303D7">
            <w:pPr>
              <w:pStyle w:val="a7"/>
              <w:numPr>
                <w:ilvl w:val="0"/>
                <w:numId w:val="121"/>
              </w:numPr>
              <w:rPr>
                <w:color w:val="000000"/>
                <w:sz w:val="22"/>
              </w:rPr>
            </w:pPr>
            <w:proofErr w:type="spellStart"/>
            <w:r w:rsidRPr="002045F5">
              <w:rPr>
                <w:color w:val="000000"/>
                <w:sz w:val="22"/>
              </w:rPr>
              <w:t>створення</w:t>
            </w:r>
            <w:proofErr w:type="spellEnd"/>
            <w:r w:rsidRPr="002045F5">
              <w:rPr>
                <w:color w:val="000000"/>
                <w:sz w:val="22"/>
              </w:rPr>
              <w:t xml:space="preserve"> 8 </w:t>
            </w:r>
            <w:proofErr w:type="spellStart"/>
            <w:r w:rsidRPr="002045F5">
              <w:rPr>
                <w:color w:val="000000"/>
                <w:sz w:val="22"/>
              </w:rPr>
              <w:t>паркувальних</w:t>
            </w:r>
            <w:proofErr w:type="spellEnd"/>
            <w:r w:rsidRPr="002045F5">
              <w:rPr>
                <w:color w:val="000000"/>
                <w:sz w:val="22"/>
              </w:rPr>
              <w:t xml:space="preserve"> </w:t>
            </w:r>
            <w:proofErr w:type="spellStart"/>
            <w:r w:rsidRPr="002045F5">
              <w:rPr>
                <w:color w:val="000000"/>
                <w:sz w:val="22"/>
              </w:rPr>
              <w:t>місць</w:t>
            </w:r>
            <w:proofErr w:type="spellEnd"/>
            <w:r w:rsidRPr="002045F5">
              <w:rPr>
                <w:color w:val="000000"/>
                <w:sz w:val="22"/>
              </w:rPr>
              <w:t xml:space="preserve"> для </w:t>
            </w:r>
            <w:proofErr w:type="spellStart"/>
            <w:r w:rsidRPr="002045F5">
              <w:rPr>
                <w:color w:val="000000"/>
                <w:sz w:val="22"/>
              </w:rPr>
              <w:t>батьків</w:t>
            </w:r>
            <w:proofErr w:type="spellEnd"/>
            <w:r w:rsidRPr="002045F5">
              <w:rPr>
                <w:color w:val="000000"/>
                <w:sz w:val="22"/>
              </w:rPr>
              <w:t xml:space="preserve"> </w:t>
            </w:r>
            <w:proofErr w:type="spellStart"/>
            <w:r w:rsidRPr="002045F5">
              <w:rPr>
                <w:color w:val="000000"/>
                <w:sz w:val="22"/>
              </w:rPr>
              <w:t>учнів</w:t>
            </w:r>
            <w:proofErr w:type="spellEnd"/>
            <w:r w:rsidRPr="002045F5">
              <w:rPr>
                <w:color w:val="000000"/>
                <w:sz w:val="22"/>
              </w:rPr>
              <w:t>;</w:t>
            </w:r>
          </w:p>
          <w:p w:rsidR="001013F3" w:rsidRPr="002045F5" w:rsidRDefault="001013F3" w:rsidP="000303D7">
            <w:pPr>
              <w:pStyle w:val="a7"/>
              <w:numPr>
                <w:ilvl w:val="0"/>
                <w:numId w:val="121"/>
              </w:numPr>
              <w:rPr>
                <w:color w:val="000000"/>
                <w:sz w:val="22"/>
                <w:lang w:val="en-US"/>
              </w:rPr>
            </w:pPr>
            <w:proofErr w:type="spellStart"/>
            <w:r w:rsidRPr="002045F5">
              <w:rPr>
                <w:color w:val="000000"/>
                <w:sz w:val="22"/>
              </w:rPr>
              <w:t>вивіз</w:t>
            </w:r>
            <w:proofErr w:type="spellEnd"/>
            <w:r w:rsidRPr="002045F5">
              <w:rPr>
                <w:color w:val="000000"/>
                <w:sz w:val="22"/>
              </w:rPr>
              <w:t xml:space="preserve"> </w:t>
            </w:r>
            <w:proofErr w:type="spellStart"/>
            <w:r w:rsidRPr="002045F5">
              <w:rPr>
                <w:color w:val="000000"/>
                <w:sz w:val="22"/>
              </w:rPr>
              <w:t>будівельного</w:t>
            </w:r>
            <w:proofErr w:type="spellEnd"/>
            <w:r w:rsidRPr="002045F5">
              <w:rPr>
                <w:color w:val="000000"/>
                <w:sz w:val="22"/>
              </w:rPr>
              <w:t xml:space="preserve"> </w:t>
            </w:r>
            <w:proofErr w:type="spellStart"/>
            <w:r w:rsidRPr="002045F5">
              <w:rPr>
                <w:color w:val="000000"/>
                <w:sz w:val="22"/>
              </w:rPr>
              <w:t>сміття</w:t>
            </w:r>
            <w:proofErr w:type="spellEnd"/>
            <w:r w:rsidRPr="002045F5">
              <w:rPr>
                <w:color w:val="000000"/>
                <w:sz w:val="22"/>
              </w:rPr>
              <w:t>;</w:t>
            </w:r>
          </w:p>
          <w:p w:rsidR="001013F3" w:rsidRPr="002045F5" w:rsidRDefault="001013F3" w:rsidP="001013F3">
            <w:pPr>
              <w:pStyle w:val="a7"/>
              <w:ind w:left="0"/>
              <w:rPr>
                <w:sz w:val="22"/>
              </w:rPr>
            </w:pPr>
            <w:r w:rsidRPr="002045F5">
              <w:rPr>
                <w:sz w:val="22"/>
              </w:rPr>
              <w:t xml:space="preserve">      -    </w:t>
            </w:r>
            <w:proofErr w:type="spellStart"/>
            <w:r w:rsidRPr="002045F5">
              <w:rPr>
                <w:sz w:val="22"/>
              </w:rPr>
              <w:t>придбання</w:t>
            </w:r>
            <w:proofErr w:type="spellEnd"/>
            <w:r w:rsidRPr="002045F5">
              <w:rPr>
                <w:sz w:val="22"/>
              </w:rPr>
              <w:t xml:space="preserve"> </w:t>
            </w:r>
            <w:proofErr w:type="spellStart"/>
            <w:r w:rsidRPr="002045F5">
              <w:rPr>
                <w:sz w:val="22"/>
              </w:rPr>
              <w:t>технологічного</w:t>
            </w:r>
            <w:proofErr w:type="spellEnd"/>
            <w:r w:rsidRPr="002045F5">
              <w:rPr>
                <w:sz w:val="22"/>
              </w:rPr>
              <w:t xml:space="preserve"> </w:t>
            </w:r>
            <w:proofErr w:type="spellStart"/>
            <w:r w:rsidRPr="002045F5">
              <w:rPr>
                <w:sz w:val="22"/>
              </w:rPr>
              <w:t>забезпечення</w:t>
            </w:r>
            <w:proofErr w:type="spellEnd"/>
            <w:r w:rsidRPr="002045F5">
              <w:rPr>
                <w:sz w:val="22"/>
              </w:rPr>
              <w:t>;</w:t>
            </w:r>
          </w:p>
          <w:p w:rsidR="001013F3" w:rsidRPr="002045F5" w:rsidRDefault="001013F3" w:rsidP="001013F3">
            <w:pPr>
              <w:pStyle w:val="a7"/>
              <w:ind w:left="0"/>
              <w:rPr>
                <w:sz w:val="22"/>
              </w:rPr>
            </w:pPr>
            <w:r w:rsidRPr="002045F5">
              <w:rPr>
                <w:sz w:val="22"/>
              </w:rPr>
              <w:t xml:space="preserve">      -  </w:t>
            </w:r>
            <w:proofErr w:type="spellStart"/>
            <w:r w:rsidRPr="002045F5">
              <w:rPr>
                <w:sz w:val="22"/>
              </w:rPr>
              <w:t>визначення</w:t>
            </w:r>
            <w:proofErr w:type="spellEnd"/>
            <w:r w:rsidRPr="002045F5">
              <w:rPr>
                <w:sz w:val="22"/>
              </w:rPr>
              <w:t xml:space="preserve"> </w:t>
            </w:r>
            <w:proofErr w:type="spellStart"/>
            <w:r w:rsidRPr="002045F5">
              <w:rPr>
                <w:sz w:val="22"/>
              </w:rPr>
              <w:t>кількості</w:t>
            </w:r>
            <w:proofErr w:type="spellEnd"/>
            <w:r w:rsidRPr="002045F5">
              <w:rPr>
                <w:sz w:val="22"/>
              </w:rPr>
              <w:t xml:space="preserve"> </w:t>
            </w:r>
            <w:proofErr w:type="spellStart"/>
            <w:r w:rsidRPr="002045F5">
              <w:rPr>
                <w:sz w:val="22"/>
              </w:rPr>
              <w:t>осіб</w:t>
            </w:r>
            <w:proofErr w:type="spellEnd"/>
            <w:r w:rsidRPr="002045F5">
              <w:rPr>
                <w:sz w:val="22"/>
              </w:rPr>
              <w:t xml:space="preserve">, </w:t>
            </w:r>
            <w:proofErr w:type="spellStart"/>
            <w:r w:rsidRPr="002045F5">
              <w:rPr>
                <w:sz w:val="22"/>
              </w:rPr>
              <w:t>які</w:t>
            </w:r>
            <w:proofErr w:type="spellEnd"/>
            <w:r w:rsidRPr="002045F5">
              <w:rPr>
                <w:sz w:val="22"/>
              </w:rPr>
              <w:t xml:space="preserve"> </w:t>
            </w:r>
            <w:proofErr w:type="spellStart"/>
            <w:r w:rsidRPr="002045F5">
              <w:rPr>
                <w:sz w:val="22"/>
              </w:rPr>
              <w:t>потребують</w:t>
            </w:r>
            <w:proofErr w:type="spellEnd"/>
            <w:r w:rsidRPr="002045F5">
              <w:rPr>
                <w:sz w:val="22"/>
              </w:rPr>
              <w:t xml:space="preserve"> </w:t>
            </w:r>
            <w:proofErr w:type="spellStart"/>
            <w:r w:rsidRPr="002045F5">
              <w:rPr>
                <w:sz w:val="22"/>
              </w:rPr>
              <w:t>отримання</w:t>
            </w:r>
            <w:proofErr w:type="spellEnd"/>
            <w:r w:rsidRPr="002045F5">
              <w:rPr>
                <w:sz w:val="22"/>
              </w:rPr>
              <w:t xml:space="preserve">        </w:t>
            </w:r>
            <w:proofErr w:type="spellStart"/>
            <w:r w:rsidRPr="002045F5">
              <w:rPr>
                <w:sz w:val="22"/>
              </w:rPr>
              <w:t>освітніх</w:t>
            </w:r>
            <w:proofErr w:type="spellEnd"/>
            <w:r w:rsidRPr="002045F5">
              <w:rPr>
                <w:sz w:val="22"/>
              </w:rPr>
              <w:t xml:space="preserve"> </w:t>
            </w:r>
            <w:proofErr w:type="spellStart"/>
            <w:r w:rsidRPr="002045F5">
              <w:rPr>
                <w:sz w:val="22"/>
              </w:rPr>
              <w:t>послуг</w:t>
            </w:r>
            <w:proofErr w:type="spellEnd"/>
            <w:r w:rsidRPr="002045F5">
              <w:rPr>
                <w:sz w:val="22"/>
              </w:rPr>
              <w:t>;</w:t>
            </w:r>
          </w:p>
          <w:p w:rsidR="001013F3" w:rsidRPr="002045F5" w:rsidRDefault="001013F3" w:rsidP="001013F3">
            <w:pPr>
              <w:pStyle w:val="a7"/>
              <w:ind w:left="0"/>
              <w:rPr>
                <w:sz w:val="22"/>
              </w:rPr>
            </w:pPr>
            <w:r w:rsidRPr="002045F5">
              <w:rPr>
                <w:sz w:val="22"/>
              </w:rPr>
              <w:t xml:space="preserve">      - </w:t>
            </w:r>
            <w:proofErr w:type="spellStart"/>
            <w:r w:rsidRPr="002045F5">
              <w:rPr>
                <w:sz w:val="22"/>
              </w:rPr>
              <w:t>організація</w:t>
            </w:r>
            <w:proofErr w:type="spellEnd"/>
            <w:r w:rsidRPr="002045F5">
              <w:rPr>
                <w:sz w:val="22"/>
              </w:rPr>
              <w:t xml:space="preserve"> та початок </w:t>
            </w:r>
            <w:proofErr w:type="spellStart"/>
            <w:r w:rsidRPr="002045F5">
              <w:rPr>
                <w:sz w:val="22"/>
              </w:rPr>
              <w:t>робочого</w:t>
            </w:r>
            <w:proofErr w:type="spellEnd"/>
            <w:r w:rsidRPr="002045F5">
              <w:rPr>
                <w:sz w:val="22"/>
              </w:rPr>
              <w:t xml:space="preserve"> </w:t>
            </w:r>
            <w:proofErr w:type="spellStart"/>
            <w:r w:rsidRPr="002045F5">
              <w:rPr>
                <w:sz w:val="22"/>
              </w:rPr>
              <w:t>процесу</w:t>
            </w:r>
            <w:proofErr w:type="spellEnd"/>
            <w:r w:rsidRPr="002045F5">
              <w:rPr>
                <w:sz w:val="22"/>
              </w:rPr>
              <w:t>.</w:t>
            </w:r>
          </w:p>
        </w:tc>
      </w:tr>
      <w:tr w:rsidR="001013F3" w:rsidRPr="002045F5" w:rsidTr="005B4D42">
        <w:trPr>
          <w:trHeight w:val="360"/>
        </w:trPr>
        <w:tc>
          <w:tcPr>
            <w:tcW w:w="2978" w:type="dxa"/>
            <w:vMerge w:val="restart"/>
            <w:shd w:val="clear" w:color="auto" w:fill="C6D9F1" w:themeFill="text2" w:themeFillTint="33"/>
          </w:tcPr>
          <w:p w:rsidR="001013F3" w:rsidRPr="002045F5" w:rsidRDefault="001013F3" w:rsidP="001013F3">
            <w:pPr>
              <w:pStyle w:val="a7"/>
              <w:ind w:left="0"/>
              <w:rPr>
                <w:b/>
                <w:sz w:val="22"/>
              </w:rPr>
            </w:pPr>
            <w:proofErr w:type="spellStart"/>
            <w:r w:rsidRPr="002045F5">
              <w:rPr>
                <w:b/>
                <w:sz w:val="22"/>
              </w:rPr>
              <w:t>Орієнтовний</w:t>
            </w:r>
            <w:proofErr w:type="spellEnd"/>
            <w:r w:rsidRPr="002045F5">
              <w:rPr>
                <w:b/>
                <w:sz w:val="22"/>
              </w:rPr>
              <w:t xml:space="preserve"> </w:t>
            </w:r>
            <w:proofErr w:type="spellStart"/>
            <w:r w:rsidRPr="002045F5">
              <w:rPr>
                <w:b/>
                <w:sz w:val="22"/>
              </w:rPr>
              <w:t>обсяг</w:t>
            </w:r>
            <w:proofErr w:type="spellEnd"/>
            <w:r w:rsidRPr="002045F5">
              <w:rPr>
                <w:b/>
                <w:sz w:val="22"/>
              </w:rPr>
              <w:t xml:space="preserve"> та </w:t>
            </w:r>
            <w:proofErr w:type="spellStart"/>
            <w:r w:rsidRPr="002045F5">
              <w:rPr>
                <w:b/>
                <w:sz w:val="22"/>
              </w:rPr>
              <w:t>джерела</w:t>
            </w:r>
            <w:proofErr w:type="spellEnd"/>
            <w:r w:rsidRPr="002045F5">
              <w:rPr>
                <w:b/>
                <w:sz w:val="22"/>
              </w:rPr>
              <w:t xml:space="preserve"> </w:t>
            </w:r>
            <w:proofErr w:type="spellStart"/>
            <w:r w:rsidRPr="002045F5">
              <w:rPr>
                <w:b/>
                <w:sz w:val="22"/>
              </w:rPr>
              <w:t>фінансування</w:t>
            </w:r>
            <w:proofErr w:type="spellEnd"/>
            <w:r w:rsidRPr="002045F5">
              <w:rPr>
                <w:b/>
                <w:sz w:val="22"/>
              </w:rPr>
              <w:t xml:space="preserve">, тис. грн. </w:t>
            </w:r>
          </w:p>
          <w:p w:rsidR="001013F3" w:rsidRPr="002045F5" w:rsidRDefault="001013F3" w:rsidP="001013F3">
            <w:pPr>
              <w:pStyle w:val="a7"/>
              <w:ind w:left="0"/>
              <w:rPr>
                <w:b/>
                <w:sz w:val="22"/>
              </w:rPr>
            </w:pPr>
          </w:p>
        </w:tc>
        <w:tc>
          <w:tcPr>
            <w:tcW w:w="1358" w:type="dxa"/>
            <w:tcBorders>
              <w:bottom w:val="single" w:sz="4" w:space="0" w:color="auto"/>
              <w:right w:val="single" w:sz="4" w:space="0" w:color="auto"/>
            </w:tcBorders>
          </w:tcPr>
          <w:p w:rsidR="001013F3" w:rsidRPr="002045F5" w:rsidRDefault="001013F3" w:rsidP="001013F3">
            <w:pPr>
              <w:pStyle w:val="a7"/>
              <w:ind w:left="0"/>
              <w:jc w:val="center"/>
              <w:rPr>
                <w:b/>
                <w:sz w:val="22"/>
              </w:rPr>
            </w:pPr>
            <w:proofErr w:type="spellStart"/>
            <w:r w:rsidRPr="002045F5">
              <w:rPr>
                <w:b/>
                <w:sz w:val="22"/>
              </w:rPr>
              <w:t>Державний</w:t>
            </w:r>
            <w:proofErr w:type="spellEnd"/>
            <w:r w:rsidRPr="002045F5">
              <w:rPr>
                <w:b/>
                <w:sz w:val="22"/>
              </w:rPr>
              <w:t xml:space="preserve"> бюджет</w:t>
            </w:r>
          </w:p>
        </w:tc>
        <w:tc>
          <w:tcPr>
            <w:tcW w:w="1334" w:type="dxa"/>
            <w:tcBorders>
              <w:bottom w:val="single" w:sz="4" w:space="0" w:color="auto"/>
              <w:right w:val="single" w:sz="4" w:space="0" w:color="auto"/>
            </w:tcBorders>
          </w:tcPr>
          <w:p w:rsidR="001013F3" w:rsidRPr="002045F5" w:rsidRDefault="001013F3" w:rsidP="001013F3">
            <w:pPr>
              <w:pStyle w:val="a7"/>
              <w:ind w:left="0"/>
              <w:jc w:val="center"/>
              <w:rPr>
                <w:b/>
                <w:sz w:val="22"/>
              </w:rPr>
            </w:pPr>
            <w:proofErr w:type="spellStart"/>
            <w:r w:rsidRPr="002045F5">
              <w:rPr>
                <w:b/>
                <w:sz w:val="22"/>
              </w:rPr>
              <w:t>Місцевий</w:t>
            </w:r>
            <w:proofErr w:type="spellEnd"/>
            <w:r w:rsidRPr="002045F5">
              <w:rPr>
                <w:b/>
                <w:sz w:val="22"/>
              </w:rPr>
              <w:t xml:space="preserve"> бюджет</w:t>
            </w:r>
          </w:p>
        </w:tc>
        <w:tc>
          <w:tcPr>
            <w:tcW w:w="2791" w:type="dxa"/>
            <w:gridSpan w:val="3"/>
            <w:tcBorders>
              <w:left w:val="single" w:sz="4" w:space="0" w:color="auto"/>
              <w:bottom w:val="single" w:sz="4" w:space="0" w:color="auto"/>
              <w:right w:val="single" w:sz="4" w:space="0" w:color="auto"/>
            </w:tcBorders>
          </w:tcPr>
          <w:p w:rsidR="001013F3" w:rsidRPr="002045F5" w:rsidRDefault="001013F3" w:rsidP="001013F3">
            <w:pPr>
              <w:pStyle w:val="a7"/>
              <w:ind w:left="0"/>
              <w:jc w:val="center"/>
              <w:rPr>
                <w:b/>
                <w:sz w:val="22"/>
              </w:rPr>
            </w:pPr>
            <w:proofErr w:type="spellStart"/>
            <w:r w:rsidRPr="002045F5">
              <w:rPr>
                <w:b/>
                <w:sz w:val="22"/>
              </w:rPr>
              <w:t>Інші</w:t>
            </w:r>
            <w:proofErr w:type="spellEnd"/>
            <w:r w:rsidRPr="002045F5">
              <w:rPr>
                <w:b/>
                <w:sz w:val="22"/>
              </w:rPr>
              <w:t xml:space="preserve"> </w:t>
            </w:r>
            <w:proofErr w:type="spellStart"/>
            <w:r w:rsidRPr="002045F5">
              <w:rPr>
                <w:b/>
                <w:sz w:val="22"/>
              </w:rPr>
              <w:t>джерела</w:t>
            </w:r>
            <w:proofErr w:type="spellEnd"/>
          </w:p>
        </w:tc>
        <w:tc>
          <w:tcPr>
            <w:tcW w:w="1427" w:type="dxa"/>
            <w:tcBorders>
              <w:left w:val="single" w:sz="4" w:space="0" w:color="auto"/>
              <w:bottom w:val="single" w:sz="4" w:space="0" w:color="auto"/>
            </w:tcBorders>
          </w:tcPr>
          <w:p w:rsidR="001013F3" w:rsidRPr="002045F5" w:rsidRDefault="001013F3" w:rsidP="001013F3">
            <w:pPr>
              <w:pStyle w:val="a7"/>
              <w:ind w:left="0"/>
              <w:jc w:val="center"/>
              <w:rPr>
                <w:b/>
                <w:sz w:val="22"/>
              </w:rPr>
            </w:pPr>
            <w:proofErr w:type="spellStart"/>
            <w:r w:rsidRPr="002045F5">
              <w:rPr>
                <w:b/>
                <w:sz w:val="22"/>
              </w:rPr>
              <w:t>Всього</w:t>
            </w:r>
            <w:proofErr w:type="spellEnd"/>
          </w:p>
        </w:tc>
      </w:tr>
      <w:tr w:rsidR="001013F3" w:rsidRPr="002045F5" w:rsidTr="005B4D42">
        <w:trPr>
          <w:trHeight w:val="225"/>
        </w:trPr>
        <w:tc>
          <w:tcPr>
            <w:tcW w:w="2978" w:type="dxa"/>
            <w:vMerge/>
            <w:shd w:val="clear" w:color="auto" w:fill="C6D9F1" w:themeFill="text2" w:themeFillTint="33"/>
          </w:tcPr>
          <w:p w:rsidR="001013F3" w:rsidRPr="002045F5" w:rsidRDefault="001013F3" w:rsidP="001013F3">
            <w:pPr>
              <w:pStyle w:val="a7"/>
              <w:ind w:left="0"/>
              <w:rPr>
                <w:b/>
                <w:sz w:val="22"/>
              </w:rPr>
            </w:pPr>
          </w:p>
        </w:tc>
        <w:tc>
          <w:tcPr>
            <w:tcW w:w="1358" w:type="dxa"/>
            <w:vMerge w:val="restart"/>
            <w:tcBorders>
              <w:top w:val="single" w:sz="4" w:space="0" w:color="auto"/>
              <w:right w:val="single" w:sz="4" w:space="0" w:color="auto"/>
            </w:tcBorders>
          </w:tcPr>
          <w:p w:rsidR="001013F3" w:rsidRPr="002045F5" w:rsidRDefault="001013F3" w:rsidP="001013F3">
            <w:pPr>
              <w:pStyle w:val="a7"/>
              <w:ind w:left="0"/>
              <w:jc w:val="center"/>
              <w:rPr>
                <w:sz w:val="22"/>
              </w:rPr>
            </w:pPr>
            <w:r w:rsidRPr="002045F5">
              <w:rPr>
                <w:sz w:val="22"/>
              </w:rPr>
              <w:t>9 000, 0</w:t>
            </w:r>
          </w:p>
        </w:tc>
        <w:tc>
          <w:tcPr>
            <w:tcW w:w="1334" w:type="dxa"/>
            <w:vMerge w:val="restart"/>
            <w:tcBorders>
              <w:top w:val="single" w:sz="4" w:space="0" w:color="auto"/>
              <w:right w:val="single" w:sz="4" w:space="0" w:color="auto"/>
            </w:tcBorders>
          </w:tcPr>
          <w:p w:rsidR="001013F3" w:rsidRPr="002045F5" w:rsidRDefault="001013F3" w:rsidP="001013F3">
            <w:pPr>
              <w:pStyle w:val="a7"/>
              <w:ind w:left="0"/>
              <w:jc w:val="center"/>
              <w:rPr>
                <w:b/>
                <w:sz w:val="22"/>
              </w:rPr>
            </w:pPr>
            <w:r w:rsidRPr="002045F5">
              <w:rPr>
                <w:b/>
                <w:sz w:val="22"/>
              </w:rPr>
              <w:t>-</w:t>
            </w:r>
          </w:p>
        </w:tc>
        <w:tc>
          <w:tcPr>
            <w:tcW w:w="1336" w:type="dxa"/>
            <w:gridSpan w:val="2"/>
            <w:tcBorders>
              <w:top w:val="single" w:sz="4" w:space="0" w:color="auto"/>
              <w:left w:val="single" w:sz="4" w:space="0" w:color="auto"/>
              <w:bottom w:val="single" w:sz="4" w:space="0" w:color="auto"/>
              <w:right w:val="single" w:sz="4" w:space="0" w:color="auto"/>
            </w:tcBorders>
          </w:tcPr>
          <w:p w:rsidR="001013F3" w:rsidRPr="002045F5" w:rsidRDefault="001013F3" w:rsidP="001013F3">
            <w:pPr>
              <w:pStyle w:val="a7"/>
              <w:ind w:left="0"/>
              <w:jc w:val="center"/>
              <w:rPr>
                <w:b/>
                <w:sz w:val="22"/>
              </w:rPr>
            </w:pPr>
            <w:proofErr w:type="spellStart"/>
            <w:r w:rsidRPr="002045F5">
              <w:rPr>
                <w:b/>
                <w:sz w:val="22"/>
              </w:rPr>
              <w:t>Обсяг</w:t>
            </w:r>
            <w:proofErr w:type="spellEnd"/>
          </w:p>
        </w:tc>
        <w:tc>
          <w:tcPr>
            <w:tcW w:w="1455" w:type="dxa"/>
            <w:tcBorders>
              <w:top w:val="single" w:sz="4" w:space="0" w:color="auto"/>
              <w:left w:val="single" w:sz="4" w:space="0" w:color="auto"/>
              <w:bottom w:val="single" w:sz="4" w:space="0" w:color="auto"/>
              <w:right w:val="single" w:sz="4" w:space="0" w:color="auto"/>
            </w:tcBorders>
          </w:tcPr>
          <w:p w:rsidR="001013F3" w:rsidRPr="002045F5" w:rsidRDefault="001013F3" w:rsidP="001013F3">
            <w:pPr>
              <w:pStyle w:val="a7"/>
              <w:ind w:left="0"/>
              <w:jc w:val="center"/>
              <w:rPr>
                <w:b/>
                <w:sz w:val="22"/>
              </w:rPr>
            </w:pPr>
            <w:proofErr w:type="spellStart"/>
            <w:r w:rsidRPr="002045F5">
              <w:rPr>
                <w:b/>
                <w:sz w:val="22"/>
              </w:rPr>
              <w:t>Назва</w:t>
            </w:r>
            <w:proofErr w:type="spellEnd"/>
            <w:r w:rsidRPr="002045F5">
              <w:rPr>
                <w:b/>
                <w:sz w:val="22"/>
              </w:rPr>
              <w:t xml:space="preserve"> </w:t>
            </w:r>
            <w:proofErr w:type="spellStart"/>
            <w:r w:rsidRPr="002045F5">
              <w:rPr>
                <w:b/>
                <w:sz w:val="22"/>
              </w:rPr>
              <w:t>джерела</w:t>
            </w:r>
            <w:proofErr w:type="spellEnd"/>
          </w:p>
        </w:tc>
        <w:tc>
          <w:tcPr>
            <w:tcW w:w="1427" w:type="dxa"/>
            <w:vMerge w:val="restart"/>
            <w:tcBorders>
              <w:top w:val="single" w:sz="4" w:space="0" w:color="auto"/>
              <w:left w:val="single" w:sz="4" w:space="0" w:color="auto"/>
            </w:tcBorders>
          </w:tcPr>
          <w:p w:rsidR="001013F3" w:rsidRPr="002045F5" w:rsidRDefault="001013F3" w:rsidP="001013F3">
            <w:pPr>
              <w:pStyle w:val="a7"/>
              <w:ind w:left="0"/>
              <w:rPr>
                <w:sz w:val="22"/>
              </w:rPr>
            </w:pPr>
            <w:proofErr w:type="gramStart"/>
            <w:r w:rsidRPr="002045F5">
              <w:rPr>
                <w:sz w:val="22"/>
              </w:rPr>
              <w:t>22  000</w:t>
            </w:r>
            <w:proofErr w:type="gramEnd"/>
            <w:r w:rsidRPr="002045F5">
              <w:rPr>
                <w:sz w:val="22"/>
              </w:rPr>
              <w:t>,0</w:t>
            </w:r>
          </w:p>
        </w:tc>
      </w:tr>
      <w:tr w:rsidR="001013F3" w:rsidRPr="002045F5" w:rsidTr="005B4D42">
        <w:trPr>
          <w:trHeight w:val="300"/>
        </w:trPr>
        <w:tc>
          <w:tcPr>
            <w:tcW w:w="2978" w:type="dxa"/>
            <w:vMerge/>
            <w:shd w:val="clear" w:color="auto" w:fill="C6D9F1" w:themeFill="text2" w:themeFillTint="33"/>
          </w:tcPr>
          <w:p w:rsidR="001013F3" w:rsidRPr="002045F5" w:rsidRDefault="001013F3" w:rsidP="001013F3">
            <w:pPr>
              <w:pStyle w:val="a7"/>
              <w:ind w:left="0"/>
              <w:rPr>
                <w:b/>
                <w:sz w:val="22"/>
              </w:rPr>
            </w:pPr>
          </w:p>
        </w:tc>
        <w:tc>
          <w:tcPr>
            <w:tcW w:w="1358" w:type="dxa"/>
            <w:vMerge/>
            <w:tcBorders>
              <w:right w:val="single" w:sz="4" w:space="0" w:color="auto"/>
            </w:tcBorders>
          </w:tcPr>
          <w:p w:rsidR="001013F3" w:rsidRPr="002045F5" w:rsidRDefault="001013F3" w:rsidP="001013F3">
            <w:pPr>
              <w:pStyle w:val="a7"/>
              <w:ind w:left="0"/>
              <w:jc w:val="center"/>
              <w:rPr>
                <w:sz w:val="22"/>
              </w:rPr>
            </w:pPr>
          </w:p>
        </w:tc>
        <w:tc>
          <w:tcPr>
            <w:tcW w:w="1334" w:type="dxa"/>
            <w:vMerge/>
            <w:tcBorders>
              <w:right w:val="single" w:sz="4" w:space="0" w:color="auto"/>
            </w:tcBorders>
          </w:tcPr>
          <w:p w:rsidR="001013F3" w:rsidRPr="002045F5" w:rsidRDefault="001013F3" w:rsidP="001013F3">
            <w:pPr>
              <w:pStyle w:val="a7"/>
              <w:ind w:left="0"/>
              <w:jc w:val="center"/>
              <w:rPr>
                <w:b/>
                <w:sz w:val="22"/>
              </w:rPr>
            </w:pPr>
          </w:p>
        </w:tc>
        <w:tc>
          <w:tcPr>
            <w:tcW w:w="1336" w:type="dxa"/>
            <w:gridSpan w:val="2"/>
            <w:tcBorders>
              <w:top w:val="single" w:sz="4" w:space="0" w:color="auto"/>
              <w:left w:val="single" w:sz="4" w:space="0" w:color="auto"/>
              <w:right w:val="single" w:sz="4" w:space="0" w:color="auto"/>
            </w:tcBorders>
          </w:tcPr>
          <w:p w:rsidR="001013F3" w:rsidRPr="002045F5" w:rsidRDefault="001013F3" w:rsidP="001013F3">
            <w:pPr>
              <w:pStyle w:val="a7"/>
              <w:ind w:left="0"/>
              <w:jc w:val="center"/>
              <w:rPr>
                <w:sz w:val="22"/>
              </w:rPr>
            </w:pPr>
            <w:r w:rsidRPr="002045F5">
              <w:rPr>
                <w:sz w:val="22"/>
              </w:rPr>
              <w:t>13 000,0</w:t>
            </w:r>
          </w:p>
        </w:tc>
        <w:tc>
          <w:tcPr>
            <w:tcW w:w="1455" w:type="dxa"/>
            <w:tcBorders>
              <w:top w:val="single" w:sz="4" w:space="0" w:color="auto"/>
              <w:left w:val="single" w:sz="4" w:space="0" w:color="auto"/>
              <w:right w:val="single" w:sz="4" w:space="0" w:color="auto"/>
            </w:tcBorders>
          </w:tcPr>
          <w:p w:rsidR="001013F3" w:rsidRPr="002045F5" w:rsidRDefault="001013F3" w:rsidP="001013F3">
            <w:pPr>
              <w:pStyle w:val="a7"/>
              <w:ind w:left="0"/>
              <w:jc w:val="center"/>
              <w:rPr>
                <w:sz w:val="22"/>
              </w:rPr>
            </w:pPr>
            <w:proofErr w:type="spellStart"/>
            <w:r w:rsidRPr="002045F5">
              <w:rPr>
                <w:sz w:val="22"/>
              </w:rPr>
              <w:t>Міжнародні</w:t>
            </w:r>
            <w:proofErr w:type="spellEnd"/>
            <w:r w:rsidRPr="002045F5">
              <w:rPr>
                <w:sz w:val="22"/>
              </w:rPr>
              <w:t xml:space="preserve"> </w:t>
            </w:r>
            <w:proofErr w:type="spellStart"/>
            <w:r w:rsidRPr="002045F5">
              <w:rPr>
                <w:sz w:val="22"/>
              </w:rPr>
              <w:t>інвестиції</w:t>
            </w:r>
            <w:proofErr w:type="spellEnd"/>
            <w:r w:rsidRPr="002045F5">
              <w:rPr>
                <w:sz w:val="22"/>
              </w:rPr>
              <w:t>.</w:t>
            </w:r>
          </w:p>
        </w:tc>
        <w:tc>
          <w:tcPr>
            <w:tcW w:w="1427" w:type="dxa"/>
            <w:vMerge/>
            <w:tcBorders>
              <w:left w:val="single" w:sz="4" w:space="0" w:color="auto"/>
            </w:tcBorders>
          </w:tcPr>
          <w:p w:rsidR="001013F3" w:rsidRPr="002045F5" w:rsidRDefault="001013F3" w:rsidP="001013F3">
            <w:pPr>
              <w:pStyle w:val="a7"/>
              <w:ind w:left="0"/>
              <w:jc w:val="center"/>
              <w:rPr>
                <w:sz w:val="22"/>
              </w:rPr>
            </w:pPr>
          </w:p>
        </w:tc>
      </w:tr>
    </w:tbl>
    <w:p w:rsidR="001013F3" w:rsidRPr="002045F5" w:rsidRDefault="001013F3" w:rsidP="00E95FB1">
      <w:pPr>
        <w:rPr>
          <w:sz w:val="22"/>
        </w:rPr>
      </w:pPr>
    </w:p>
    <w:p w:rsidR="00822744" w:rsidRPr="002045F5" w:rsidRDefault="00822744" w:rsidP="00E95FB1">
      <w:pPr>
        <w:rPr>
          <w:sz w:val="22"/>
        </w:rPr>
      </w:pPr>
    </w:p>
    <w:p w:rsidR="00DC01CA" w:rsidRPr="002045F5" w:rsidRDefault="00DC01CA" w:rsidP="00E95FB1">
      <w:pPr>
        <w:rPr>
          <w:sz w:val="22"/>
        </w:rPr>
      </w:pPr>
    </w:p>
    <w:tbl>
      <w:tblPr>
        <w:tblStyle w:val="af"/>
        <w:tblW w:w="0" w:type="auto"/>
        <w:tblInd w:w="-176" w:type="dxa"/>
        <w:tblLook w:val="04A0" w:firstRow="1" w:lastRow="0" w:firstColumn="1" w:lastColumn="0" w:noHBand="0" w:noVBand="1"/>
      </w:tblPr>
      <w:tblGrid>
        <w:gridCol w:w="2857"/>
        <w:gridCol w:w="1471"/>
        <w:gridCol w:w="1336"/>
        <w:gridCol w:w="667"/>
        <w:gridCol w:w="500"/>
        <w:gridCol w:w="1201"/>
        <w:gridCol w:w="242"/>
        <w:gridCol w:w="1388"/>
      </w:tblGrid>
      <w:tr w:rsidR="00822744" w:rsidRPr="002045F5" w:rsidTr="00822744">
        <w:tc>
          <w:tcPr>
            <w:tcW w:w="3006" w:type="dxa"/>
            <w:shd w:val="clear" w:color="auto" w:fill="C6D9F1" w:themeFill="text2" w:themeFillTint="33"/>
          </w:tcPr>
          <w:p w:rsidR="00822744" w:rsidRPr="002045F5" w:rsidRDefault="00822744" w:rsidP="00524DBF">
            <w:pPr>
              <w:pStyle w:val="a7"/>
              <w:ind w:left="0"/>
              <w:rPr>
                <w:b/>
                <w:sz w:val="22"/>
              </w:rPr>
            </w:pPr>
            <w:r w:rsidRPr="002045F5">
              <w:rPr>
                <w:b/>
                <w:sz w:val="22"/>
              </w:rPr>
              <w:t xml:space="preserve">Оперативна </w:t>
            </w:r>
            <w:proofErr w:type="spellStart"/>
            <w:r w:rsidRPr="002045F5">
              <w:rPr>
                <w:b/>
                <w:sz w:val="22"/>
              </w:rPr>
              <w:t>ціль</w:t>
            </w:r>
            <w:proofErr w:type="spellEnd"/>
            <w:r w:rsidRPr="002045F5">
              <w:rPr>
                <w:b/>
                <w:sz w:val="22"/>
              </w:rPr>
              <w:t>/</w:t>
            </w:r>
            <w:proofErr w:type="spellStart"/>
            <w:r w:rsidRPr="002045F5">
              <w:rPr>
                <w:b/>
                <w:sz w:val="22"/>
              </w:rPr>
              <w:t>завдання</w:t>
            </w:r>
            <w:proofErr w:type="spellEnd"/>
          </w:p>
        </w:tc>
        <w:tc>
          <w:tcPr>
            <w:tcW w:w="6882" w:type="dxa"/>
            <w:gridSpan w:val="7"/>
            <w:shd w:val="clear" w:color="auto" w:fill="auto"/>
          </w:tcPr>
          <w:p w:rsidR="00822744" w:rsidRPr="002045F5" w:rsidRDefault="00822744" w:rsidP="00524DBF">
            <w:pPr>
              <w:pStyle w:val="a7"/>
              <w:ind w:left="0"/>
              <w:rPr>
                <w:sz w:val="22"/>
              </w:rPr>
            </w:pPr>
            <w:proofErr w:type="spellStart"/>
            <w:r w:rsidRPr="002045F5">
              <w:rPr>
                <w:sz w:val="22"/>
              </w:rPr>
              <w:t>Людський</w:t>
            </w:r>
            <w:proofErr w:type="spellEnd"/>
            <w:r w:rsidRPr="002045F5">
              <w:rPr>
                <w:sz w:val="22"/>
              </w:rPr>
              <w:t xml:space="preserve"> </w:t>
            </w:r>
            <w:proofErr w:type="spellStart"/>
            <w:r w:rsidRPr="002045F5">
              <w:rPr>
                <w:sz w:val="22"/>
              </w:rPr>
              <w:t>розвиток</w:t>
            </w:r>
            <w:proofErr w:type="spellEnd"/>
            <w:r w:rsidRPr="002045F5">
              <w:rPr>
                <w:sz w:val="22"/>
              </w:rPr>
              <w:t xml:space="preserve"> через </w:t>
            </w:r>
            <w:proofErr w:type="spellStart"/>
            <w:r w:rsidRPr="002045F5">
              <w:rPr>
                <w:sz w:val="22"/>
              </w:rPr>
              <w:t>інновації</w:t>
            </w:r>
            <w:proofErr w:type="spellEnd"/>
            <w:r w:rsidRPr="002045F5">
              <w:rPr>
                <w:sz w:val="22"/>
              </w:rPr>
              <w:t xml:space="preserve"> </w:t>
            </w:r>
            <w:proofErr w:type="spellStart"/>
            <w:r w:rsidRPr="002045F5">
              <w:rPr>
                <w:sz w:val="22"/>
              </w:rPr>
              <w:t>управління</w:t>
            </w:r>
            <w:proofErr w:type="spellEnd"/>
            <w:r w:rsidRPr="002045F5">
              <w:rPr>
                <w:sz w:val="22"/>
              </w:rPr>
              <w:t xml:space="preserve"> та </w:t>
            </w:r>
            <w:proofErr w:type="spellStart"/>
            <w:r w:rsidRPr="002045F5">
              <w:rPr>
                <w:sz w:val="22"/>
              </w:rPr>
              <w:t>довіру</w:t>
            </w:r>
            <w:proofErr w:type="spellEnd"/>
            <w:r w:rsidRPr="002045F5">
              <w:rPr>
                <w:sz w:val="22"/>
              </w:rPr>
              <w:t xml:space="preserve"> до </w:t>
            </w:r>
            <w:proofErr w:type="spellStart"/>
            <w:r w:rsidRPr="002045F5">
              <w:rPr>
                <w:sz w:val="22"/>
              </w:rPr>
              <w:t>влади</w:t>
            </w:r>
            <w:proofErr w:type="spellEnd"/>
            <w:r w:rsidRPr="002045F5">
              <w:rPr>
                <w:sz w:val="22"/>
              </w:rPr>
              <w:t xml:space="preserve">. </w:t>
            </w:r>
            <w:proofErr w:type="spellStart"/>
            <w:r w:rsidRPr="002045F5">
              <w:rPr>
                <w:sz w:val="22"/>
              </w:rPr>
              <w:t>Формування</w:t>
            </w:r>
            <w:proofErr w:type="spellEnd"/>
            <w:r w:rsidRPr="002045F5">
              <w:rPr>
                <w:sz w:val="22"/>
              </w:rPr>
              <w:t xml:space="preserve"> </w:t>
            </w:r>
            <w:proofErr w:type="spellStart"/>
            <w:r w:rsidRPr="002045F5">
              <w:rPr>
                <w:sz w:val="22"/>
              </w:rPr>
              <w:t>сучасного</w:t>
            </w:r>
            <w:proofErr w:type="spellEnd"/>
            <w:r w:rsidRPr="002045F5">
              <w:rPr>
                <w:sz w:val="22"/>
              </w:rPr>
              <w:t xml:space="preserve"> </w:t>
            </w:r>
            <w:proofErr w:type="spellStart"/>
            <w:proofErr w:type="gramStart"/>
            <w:r w:rsidRPr="002045F5">
              <w:rPr>
                <w:sz w:val="22"/>
              </w:rPr>
              <w:t>інклюзивного</w:t>
            </w:r>
            <w:proofErr w:type="spellEnd"/>
            <w:r w:rsidRPr="002045F5">
              <w:rPr>
                <w:sz w:val="22"/>
              </w:rPr>
              <w:t xml:space="preserve">  </w:t>
            </w:r>
            <w:proofErr w:type="spellStart"/>
            <w:r w:rsidRPr="002045F5">
              <w:rPr>
                <w:sz w:val="22"/>
              </w:rPr>
              <w:t>освітньо</w:t>
            </w:r>
            <w:proofErr w:type="spellEnd"/>
            <w:proofErr w:type="gramEnd"/>
            <w:r w:rsidRPr="002045F5">
              <w:rPr>
                <w:sz w:val="22"/>
              </w:rPr>
              <w:t xml:space="preserve">-культурного та спортивного простору для </w:t>
            </w:r>
            <w:proofErr w:type="spellStart"/>
            <w:r w:rsidRPr="002045F5">
              <w:rPr>
                <w:sz w:val="22"/>
              </w:rPr>
              <w:t>розвитку</w:t>
            </w:r>
            <w:proofErr w:type="spellEnd"/>
            <w:r w:rsidRPr="002045F5">
              <w:rPr>
                <w:sz w:val="22"/>
              </w:rPr>
              <w:t>.</w:t>
            </w:r>
          </w:p>
        </w:tc>
      </w:tr>
      <w:tr w:rsidR="00822744" w:rsidRPr="002045F5" w:rsidTr="00822744">
        <w:tc>
          <w:tcPr>
            <w:tcW w:w="3006" w:type="dxa"/>
            <w:shd w:val="clear" w:color="auto" w:fill="C6D9F1" w:themeFill="text2" w:themeFillTint="33"/>
          </w:tcPr>
          <w:p w:rsidR="00822744" w:rsidRPr="002045F5" w:rsidRDefault="00822744" w:rsidP="00524DBF">
            <w:pPr>
              <w:pStyle w:val="a7"/>
              <w:ind w:left="0"/>
              <w:rPr>
                <w:b/>
                <w:sz w:val="22"/>
              </w:rPr>
            </w:pPr>
            <w:proofErr w:type="spellStart"/>
            <w:r w:rsidRPr="002045F5">
              <w:rPr>
                <w:b/>
                <w:sz w:val="22"/>
              </w:rPr>
              <w:t>Назва</w:t>
            </w:r>
            <w:proofErr w:type="spellEnd"/>
            <w:r w:rsidRPr="002045F5">
              <w:rPr>
                <w:b/>
                <w:sz w:val="22"/>
              </w:rPr>
              <w:t xml:space="preserve"> </w:t>
            </w:r>
            <w:proofErr w:type="spellStart"/>
            <w:r w:rsidRPr="002045F5">
              <w:rPr>
                <w:b/>
                <w:sz w:val="22"/>
              </w:rPr>
              <w:t>проєкту</w:t>
            </w:r>
            <w:proofErr w:type="spellEnd"/>
            <w:r w:rsidRPr="002045F5">
              <w:rPr>
                <w:b/>
                <w:sz w:val="22"/>
              </w:rPr>
              <w:t>:</w:t>
            </w:r>
          </w:p>
        </w:tc>
        <w:tc>
          <w:tcPr>
            <w:tcW w:w="6882" w:type="dxa"/>
            <w:gridSpan w:val="7"/>
          </w:tcPr>
          <w:p w:rsidR="00822744" w:rsidRPr="002045F5" w:rsidRDefault="00822744" w:rsidP="00524DBF">
            <w:pPr>
              <w:pStyle w:val="a7"/>
              <w:ind w:left="0"/>
              <w:rPr>
                <w:sz w:val="22"/>
              </w:rPr>
            </w:pPr>
            <w:proofErr w:type="spellStart"/>
            <w:r w:rsidRPr="002045F5">
              <w:rPr>
                <w:sz w:val="22"/>
              </w:rPr>
              <w:t>Проведення</w:t>
            </w:r>
            <w:proofErr w:type="spellEnd"/>
            <w:r w:rsidRPr="002045F5">
              <w:rPr>
                <w:sz w:val="22"/>
              </w:rPr>
              <w:t xml:space="preserve"> </w:t>
            </w:r>
            <w:proofErr w:type="spellStart"/>
            <w:r w:rsidRPr="002045F5">
              <w:rPr>
                <w:sz w:val="22"/>
              </w:rPr>
              <w:t>капітального</w:t>
            </w:r>
            <w:proofErr w:type="spellEnd"/>
            <w:r w:rsidRPr="002045F5">
              <w:rPr>
                <w:sz w:val="22"/>
              </w:rPr>
              <w:t xml:space="preserve"> ремонту, </w:t>
            </w:r>
            <w:proofErr w:type="spellStart"/>
            <w:r w:rsidRPr="002045F5">
              <w:rPr>
                <w:sz w:val="22"/>
              </w:rPr>
              <w:t>оснащення</w:t>
            </w:r>
            <w:proofErr w:type="spellEnd"/>
            <w:r w:rsidRPr="002045F5">
              <w:rPr>
                <w:sz w:val="22"/>
              </w:rPr>
              <w:t xml:space="preserve"> </w:t>
            </w:r>
            <w:proofErr w:type="spellStart"/>
            <w:r w:rsidRPr="002045F5">
              <w:rPr>
                <w:sz w:val="22"/>
              </w:rPr>
              <w:t>бомбосховища</w:t>
            </w:r>
            <w:proofErr w:type="spellEnd"/>
            <w:r w:rsidRPr="002045F5">
              <w:rPr>
                <w:sz w:val="22"/>
              </w:rPr>
              <w:t xml:space="preserve"> в </w:t>
            </w:r>
            <w:proofErr w:type="spellStart"/>
            <w:r w:rsidRPr="002045F5">
              <w:rPr>
                <w:sz w:val="22"/>
              </w:rPr>
              <w:t>Ліцеї</w:t>
            </w:r>
            <w:proofErr w:type="spellEnd"/>
            <w:r w:rsidRPr="002045F5">
              <w:rPr>
                <w:sz w:val="22"/>
              </w:rPr>
              <w:t xml:space="preserve"> </w:t>
            </w:r>
            <w:proofErr w:type="spellStart"/>
            <w:r w:rsidRPr="002045F5">
              <w:rPr>
                <w:sz w:val="22"/>
              </w:rPr>
              <w:t>багатопрофільному</w:t>
            </w:r>
            <w:proofErr w:type="spellEnd"/>
            <w:r w:rsidRPr="002045F5">
              <w:rPr>
                <w:sz w:val="22"/>
              </w:rPr>
              <w:t xml:space="preserve"> </w:t>
            </w:r>
            <w:proofErr w:type="spellStart"/>
            <w:r w:rsidRPr="002045F5">
              <w:rPr>
                <w:sz w:val="22"/>
              </w:rPr>
              <w:t>міста</w:t>
            </w:r>
            <w:proofErr w:type="spellEnd"/>
            <w:r w:rsidRPr="002045F5">
              <w:rPr>
                <w:sz w:val="22"/>
              </w:rPr>
              <w:t xml:space="preserve"> </w:t>
            </w:r>
            <w:proofErr w:type="spellStart"/>
            <w:r w:rsidRPr="002045F5">
              <w:rPr>
                <w:sz w:val="22"/>
              </w:rPr>
              <w:t>Сєвєродонецька</w:t>
            </w:r>
            <w:proofErr w:type="spellEnd"/>
            <w:r w:rsidRPr="002045F5">
              <w:rPr>
                <w:sz w:val="22"/>
              </w:rPr>
              <w:t xml:space="preserve"> </w:t>
            </w:r>
            <w:proofErr w:type="spellStart"/>
            <w:r w:rsidRPr="002045F5">
              <w:rPr>
                <w:sz w:val="22"/>
              </w:rPr>
              <w:t>Луганської</w:t>
            </w:r>
            <w:proofErr w:type="spellEnd"/>
            <w:r w:rsidRPr="002045F5">
              <w:rPr>
                <w:sz w:val="22"/>
              </w:rPr>
              <w:t xml:space="preserve"> </w:t>
            </w:r>
            <w:proofErr w:type="spellStart"/>
            <w:proofErr w:type="gramStart"/>
            <w:r w:rsidRPr="002045F5">
              <w:rPr>
                <w:sz w:val="22"/>
              </w:rPr>
              <w:t>області</w:t>
            </w:r>
            <w:proofErr w:type="spellEnd"/>
            <w:r w:rsidRPr="002045F5">
              <w:rPr>
                <w:sz w:val="22"/>
              </w:rPr>
              <w:t xml:space="preserve">,  </w:t>
            </w:r>
            <w:proofErr w:type="spellStart"/>
            <w:r w:rsidRPr="002045F5">
              <w:rPr>
                <w:sz w:val="22"/>
              </w:rPr>
              <w:t>вул</w:t>
            </w:r>
            <w:proofErr w:type="gramEnd"/>
            <w:r w:rsidRPr="002045F5">
              <w:rPr>
                <w:sz w:val="22"/>
              </w:rPr>
              <w:t>.Гагаріна</w:t>
            </w:r>
            <w:proofErr w:type="spellEnd"/>
            <w:r w:rsidRPr="002045F5">
              <w:rPr>
                <w:sz w:val="22"/>
              </w:rPr>
              <w:t xml:space="preserve">, буд. 97. </w:t>
            </w:r>
          </w:p>
        </w:tc>
      </w:tr>
      <w:tr w:rsidR="00822744" w:rsidRPr="002045F5" w:rsidTr="00822744">
        <w:tc>
          <w:tcPr>
            <w:tcW w:w="3006" w:type="dxa"/>
            <w:shd w:val="clear" w:color="auto" w:fill="C6D9F1" w:themeFill="text2" w:themeFillTint="33"/>
          </w:tcPr>
          <w:p w:rsidR="00822744" w:rsidRPr="002045F5" w:rsidRDefault="00822744" w:rsidP="00524DBF">
            <w:pPr>
              <w:rPr>
                <w:b/>
                <w:sz w:val="22"/>
              </w:rPr>
            </w:pPr>
            <w:proofErr w:type="spellStart"/>
            <w:r w:rsidRPr="002045F5">
              <w:rPr>
                <w:b/>
                <w:sz w:val="22"/>
              </w:rPr>
              <w:t>Ціль</w:t>
            </w:r>
            <w:proofErr w:type="spellEnd"/>
            <w:r w:rsidRPr="002045F5">
              <w:rPr>
                <w:b/>
                <w:sz w:val="22"/>
              </w:rPr>
              <w:t xml:space="preserve"> </w:t>
            </w:r>
            <w:proofErr w:type="spellStart"/>
            <w:r w:rsidRPr="002045F5">
              <w:rPr>
                <w:b/>
                <w:sz w:val="22"/>
              </w:rPr>
              <w:t>проєкту</w:t>
            </w:r>
            <w:proofErr w:type="spellEnd"/>
          </w:p>
        </w:tc>
        <w:tc>
          <w:tcPr>
            <w:tcW w:w="6882" w:type="dxa"/>
            <w:gridSpan w:val="7"/>
          </w:tcPr>
          <w:p w:rsidR="00822744" w:rsidRPr="002045F5" w:rsidRDefault="00822744" w:rsidP="00524DBF">
            <w:pPr>
              <w:pStyle w:val="a7"/>
              <w:ind w:left="0"/>
              <w:rPr>
                <w:sz w:val="22"/>
              </w:rPr>
            </w:pPr>
            <w:r w:rsidRPr="002045F5">
              <w:rPr>
                <w:sz w:val="22"/>
              </w:rPr>
              <w:t xml:space="preserve">Метою </w:t>
            </w:r>
            <w:proofErr w:type="spellStart"/>
            <w:r w:rsidRPr="002045F5">
              <w:rPr>
                <w:sz w:val="22"/>
              </w:rPr>
              <w:t>проєкту</w:t>
            </w:r>
            <w:proofErr w:type="spellEnd"/>
            <w:r w:rsidRPr="002045F5">
              <w:rPr>
                <w:sz w:val="22"/>
              </w:rPr>
              <w:t xml:space="preserve"> є </w:t>
            </w:r>
            <w:proofErr w:type="spellStart"/>
            <w:r w:rsidRPr="002045F5">
              <w:rPr>
                <w:sz w:val="22"/>
              </w:rPr>
              <w:t>створення</w:t>
            </w:r>
            <w:proofErr w:type="spellEnd"/>
            <w:r w:rsidRPr="002045F5">
              <w:rPr>
                <w:sz w:val="22"/>
              </w:rPr>
              <w:t xml:space="preserve"> </w:t>
            </w:r>
            <w:proofErr w:type="spellStart"/>
            <w:r w:rsidRPr="002045F5">
              <w:rPr>
                <w:sz w:val="22"/>
              </w:rPr>
              <w:t>належних</w:t>
            </w:r>
            <w:proofErr w:type="spellEnd"/>
            <w:r w:rsidRPr="002045F5">
              <w:rPr>
                <w:sz w:val="22"/>
              </w:rPr>
              <w:t xml:space="preserve"> умов для </w:t>
            </w:r>
            <w:proofErr w:type="spellStart"/>
            <w:r w:rsidRPr="002045F5">
              <w:rPr>
                <w:sz w:val="22"/>
              </w:rPr>
              <w:t>діяльності</w:t>
            </w:r>
            <w:proofErr w:type="spellEnd"/>
            <w:r w:rsidRPr="002045F5">
              <w:rPr>
                <w:sz w:val="22"/>
              </w:rPr>
              <w:t xml:space="preserve"> </w:t>
            </w:r>
            <w:proofErr w:type="spellStart"/>
            <w:r w:rsidRPr="002045F5">
              <w:rPr>
                <w:sz w:val="22"/>
              </w:rPr>
              <w:t>Ліцею</w:t>
            </w:r>
            <w:proofErr w:type="spellEnd"/>
            <w:r w:rsidRPr="002045F5">
              <w:rPr>
                <w:sz w:val="22"/>
              </w:rPr>
              <w:t xml:space="preserve"> </w:t>
            </w:r>
            <w:proofErr w:type="spellStart"/>
            <w:r w:rsidRPr="002045F5">
              <w:rPr>
                <w:sz w:val="22"/>
              </w:rPr>
              <w:t>багатопрофільного</w:t>
            </w:r>
            <w:proofErr w:type="spellEnd"/>
            <w:r w:rsidRPr="002045F5">
              <w:rPr>
                <w:sz w:val="22"/>
              </w:rPr>
              <w:t xml:space="preserve"> </w:t>
            </w:r>
            <w:proofErr w:type="spellStart"/>
            <w:r w:rsidRPr="002045F5">
              <w:rPr>
                <w:sz w:val="22"/>
              </w:rPr>
              <w:t>міста</w:t>
            </w:r>
            <w:proofErr w:type="spellEnd"/>
            <w:r w:rsidRPr="002045F5">
              <w:rPr>
                <w:sz w:val="22"/>
              </w:rPr>
              <w:t xml:space="preserve"> </w:t>
            </w:r>
            <w:proofErr w:type="spellStart"/>
            <w:r w:rsidRPr="002045F5">
              <w:rPr>
                <w:sz w:val="22"/>
              </w:rPr>
              <w:t>Сєвєродонецька</w:t>
            </w:r>
            <w:proofErr w:type="spellEnd"/>
            <w:r w:rsidRPr="002045F5">
              <w:rPr>
                <w:sz w:val="22"/>
              </w:rPr>
              <w:t xml:space="preserve"> </w:t>
            </w:r>
            <w:proofErr w:type="spellStart"/>
            <w:r w:rsidRPr="002045F5">
              <w:rPr>
                <w:sz w:val="22"/>
              </w:rPr>
              <w:t>Луганської</w:t>
            </w:r>
            <w:proofErr w:type="spellEnd"/>
            <w:r w:rsidRPr="002045F5">
              <w:rPr>
                <w:sz w:val="22"/>
              </w:rPr>
              <w:t xml:space="preserve"> </w:t>
            </w:r>
            <w:proofErr w:type="spellStart"/>
            <w:r w:rsidRPr="002045F5">
              <w:rPr>
                <w:sz w:val="22"/>
              </w:rPr>
              <w:t>області</w:t>
            </w:r>
            <w:proofErr w:type="spellEnd"/>
            <w:r w:rsidRPr="002045F5">
              <w:rPr>
                <w:sz w:val="22"/>
              </w:rPr>
              <w:t xml:space="preserve">, </w:t>
            </w:r>
            <w:proofErr w:type="spellStart"/>
            <w:r w:rsidRPr="002045F5">
              <w:rPr>
                <w:sz w:val="22"/>
              </w:rPr>
              <w:t>надання</w:t>
            </w:r>
            <w:proofErr w:type="spellEnd"/>
            <w:r w:rsidRPr="002045F5">
              <w:rPr>
                <w:sz w:val="22"/>
              </w:rPr>
              <w:t xml:space="preserve"> </w:t>
            </w:r>
            <w:proofErr w:type="spellStart"/>
            <w:r w:rsidRPr="002045F5">
              <w:rPr>
                <w:sz w:val="22"/>
              </w:rPr>
              <w:t>якісних</w:t>
            </w:r>
            <w:proofErr w:type="spellEnd"/>
            <w:r w:rsidRPr="002045F5">
              <w:rPr>
                <w:sz w:val="22"/>
              </w:rPr>
              <w:t xml:space="preserve"> </w:t>
            </w:r>
            <w:proofErr w:type="spellStart"/>
            <w:proofErr w:type="gramStart"/>
            <w:r w:rsidRPr="002045F5">
              <w:rPr>
                <w:sz w:val="22"/>
              </w:rPr>
              <w:t>послуг</w:t>
            </w:r>
            <w:proofErr w:type="spellEnd"/>
            <w:r w:rsidRPr="002045F5">
              <w:rPr>
                <w:sz w:val="22"/>
              </w:rPr>
              <w:t xml:space="preserve">,  </w:t>
            </w:r>
            <w:proofErr w:type="spellStart"/>
            <w:r w:rsidRPr="002045F5">
              <w:rPr>
                <w:sz w:val="22"/>
              </w:rPr>
              <w:t>запровадження</w:t>
            </w:r>
            <w:proofErr w:type="spellEnd"/>
            <w:proofErr w:type="gramEnd"/>
            <w:r w:rsidRPr="002045F5">
              <w:rPr>
                <w:sz w:val="22"/>
              </w:rPr>
              <w:t xml:space="preserve"> </w:t>
            </w:r>
            <w:proofErr w:type="spellStart"/>
            <w:r w:rsidRPr="002045F5">
              <w:rPr>
                <w:sz w:val="22"/>
              </w:rPr>
              <w:t>заходів</w:t>
            </w:r>
            <w:proofErr w:type="spellEnd"/>
            <w:r w:rsidRPr="002045F5">
              <w:rPr>
                <w:sz w:val="22"/>
              </w:rPr>
              <w:t xml:space="preserve"> </w:t>
            </w:r>
            <w:proofErr w:type="spellStart"/>
            <w:r w:rsidRPr="002045F5">
              <w:rPr>
                <w:sz w:val="22"/>
              </w:rPr>
              <w:t>енергоефективності</w:t>
            </w:r>
            <w:proofErr w:type="spellEnd"/>
            <w:r w:rsidRPr="002045F5">
              <w:rPr>
                <w:sz w:val="22"/>
              </w:rPr>
              <w:t xml:space="preserve"> та </w:t>
            </w:r>
            <w:proofErr w:type="spellStart"/>
            <w:r w:rsidRPr="002045F5">
              <w:rPr>
                <w:sz w:val="22"/>
              </w:rPr>
              <w:t>економія</w:t>
            </w:r>
            <w:proofErr w:type="spellEnd"/>
            <w:r w:rsidRPr="002045F5">
              <w:rPr>
                <w:sz w:val="22"/>
              </w:rPr>
              <w:t xml:space="preserve"> </w:t>
            </w:r>
            <w:proofErr w:type="spellStart"/>
            <w:r w:rsidRPr="002045F5">
              <w:rPr>
                <w:sz w:val="22"/>
              </w:rPr>
              <w:t>витрат</w:t>
            </w:r>
            <w:proofErr w:type="spellEnd"/>
            <w:r w:rsidRPr="002045F5">
              <w:rPr>
                <w:sz w:val="22"/>
              </w:rPr>
              <w:t xml:space="preserve"> на </w:t>
            </w:r>
            <w:proofErr w:type="spellStart"/>
            <w:r w:rsidRPr="002045F5">
              <w:rPr>
                <w:sz w:val="22"/>
              </w:rPr>
              <w:t>опалення</w:t>
            </w:r>
            <w:proofErr w:type="spellEnd"/>
            <w:r w:rsidRPr="002045F5">
              <w:rPr>
                <w:sz w:val="22"/>
              </w:rPr>
              <w:t xml:space="preserve">; </w:t>
            </w:r>
            <w:proofErr w:type="spellStart"/>
            <w:r w:rsidRPr="002045F5">
              <w:rPr>
                <w:sz w:val="22"/>
              </w:rPr>
              <w:t>покращення</w:t>
            </w:r>
            <w:proofErr w:type="spellEnd"/>
            <w:r w:rsidRPr="002045F5">
              <w:rPr>
                <w:sz w:val="22"/>
              </w:rPr>
              <w:t xml:space="preserve"> </w:t>
            </w:r>
            <w:proofErr w:type="spellStart"/>
            <w:r w:rsidRPr="002045F5">
              <w:rPr>
                <w:sz w:val="22"/>
              </w:rPr>
              <w:t>естетичного</w:t>
            </w:r>
            <w:proofErr w:type="spellEnd"/>
            <w:r w:rsidRPr="002045F5">
              <w:rPr>
                <w:sz w:val="22"/>
              </w:rPr>
              <w:t xml:space="preserve"> стану </w:t>
            </w:r>
            <w:proofErr w:type="spellStart"/>
            <w:r w:rsidRPr="002045F5">
              <w:rPr>
                <w:sz w:val="22"/>
              </w:rPr>
              <w:t>будівлі</w:t>
            </w:r>
            <w:proofErr w:type="spellEnd"/>
            <w:r w:rsidRPr="002045F5">
              <w:rPr>
                <w:sz w:val="22"/>
              </w:rPr>
              <w:t xml:space="preserve"> </w:t>
            </w:r>
            <w:r w:rsidRPr="002045F5">
              <w:rPr>
                <w:sz w:val="22"/>
              </w:rPr>
              <w:lastRenderedPageBreak/>
              <w:t xml:space="preserve">шляхом </w:t>
            </w:r>
            <w:proofErr w:type="spellStart"/>
            <w:r w:rsidRPr="002045F5">
              <w:rPr>
                <w:sz w:val="22"/>
              </w:rPr>
              <w:t>проведення</w:t>
            </w:r>
            <w:proofErr w:type="spellEnd"/>
            <w:r w:rsidRPr="002045F5">
              <w:rPr>
                <w:sz w:val="22"/>
              </w:rPr>
              <w:t xml:space="preserve"> </w:t>
            </w:r>
            <w:proofErr w:type="spellStart"/>
            <w:r w:rsidRPr="002045F5">
              <w:rPr>
                <w:sz w:val="22"/>
              </w:rPr>
              <w:t>капітального</w:t>
            </w:r>
            <w:proofErr w:type="spellEnd"/>
            <w:r w:rsidRPr="002045F5">
              <w:rPr>
                <w:sz w:val="22"/>
              </w:rPr>
              <w:t xml:space="preserve"> ремонту </w:t>
            </w:r>
            <w:proofErr w:type="spellStart"/>
            <w:r w:rsidRPr="002045F5">
              <w:rPr>
                <w:sz w:val="22"/>
              </w:rPr>
              <w:t>будівлі</w:t>
            </w:r>
            <w:proofErr w:type="spellEnd"/>
            <w:r w:rsidRPr="002045F5">
              <w:rPr>
                <w:sz w:val="22"/>
              </w:rPr>
              <w:t xml:space="preserve">  </w:t>
            </w:r>
            <w:proofErr w:type="spellStart"/>
            <w:r w:rsidRPr="002045F5">
              <w:rPr>
                <w:sz w:val="22"/>
              </w:rPr>
              <w:t>із</w:t>
            </w:r>
            <w:proofErr w:type="spellEnd"/>
            <w:r w:rsidRPr="002045F5">
              <w:rPr>
                <w:sz w:val="22"/>
              </w:rPr>
              <w:t xml:space="preserve"> </w:t>
            </w:r>
            <w:proofErr w:type="spellStart"/>
            <w:r w:rsidRPr="002045F5">
              <w:rPr>
                <w:sz w:val="22"/>
              </w:rPr>
              <w:t>запровадженням</w:t>
            </w:r>
            <w:proofErr w:type="spellEnd"/>
            <w:r w:rsidRPr="002045F5">
              <w:rPr>
                <w:sz w:val="22"/>
              </w:rPr>
              <w:t xml:space="preserve"> </w:t>
            </w:r>
            <w:proofErr w:type="spellStart"/>
            <w:r w:rsidRPr="002045F5">
              <w:rPr>
                <w:sz w:val="22"/>
              </w:rPr>
              <w:t>енергозберігаючих</w:t>
            </w:r>
            <w:proofErr w:type="spellEnd"/>
            <w:r w:rsidRPr="002045F5">
              <w:rPr>
                <w:sz w:val="22"/>
              </w:rPr>
              <w:t xml:space="preserve"> </w:t>
            </w:r>
            <w:proofErr w:type="spellStart"/>
            <w:r w:rsidRPr="002045F5">
              <w:rPr>
                <w:sz w:val="22"/>
              </w:rPr>
              <w:t>технологій</w:t>
            </w:r>
            <w:proofErr w:type="spellEnd"/>
            <w:r w:rsidRPr="002045F5">
              <w:rPr>
                <w:sz w:val="22"/>
              </w:rPr>
              <w:t xml:space="preserve">. </w:t>
            </w:r>
            <w:proofErr w:type="spellStart"/>
            <w:r w:rsidRPr="002045F5">
              <w:rPr>
                <w:sz w:val="22"/>
              </w:rPr>
              <w:t>Особливий</w:t>
            </w:r>
            <w:proofErr w:type="spellEnd"/>
            <w:r w:rsidRPr="002045F5">
              <w:rPr>
                <w:sz w:val="22"/>
              </w:rPr>
              <w:t xml:space="preserve"> акцент </w:t>
            </w:r>
            <w:proofErr w:type="spellStart"/>
            <w:r w:rsidRPr="002045F5">
              <w:rPr>
                <w:sz w:val="22"/>
              </w:rPr>
              <w:t>має</w:t>
            </w:r>
            <w:proofErr w:type="spellEnd"/>
            <w:r w:rsidRPr="002045F5">
              <w:rPr>
                <w:sz w:val="22"/>
              </w:rPr>
              <w:t xml:space="preserve"> </w:t>
            </w:r>
            <w:proofErr w:type="gramStart"/>
            <w:r w:rsidRPr="002045F5">
              <w:rPr>
                <w:sz w:val="22"/>
              </w:rPr>
              <w:t xml:space="preserve">бути  </w:t>
            </w:r>
            <w:proofErr w:type="spellStart"/>
            <w:r w:rsidRPr="002045F5">
              <w:rPr>
                <w:sz w:val="22"/>
              </w:rPr>
              <w:t>зроблений</w:t>
            </w:r>
            <w:proofErr w:type="spellEnd"/>
            <w:proofErr w:type="gramEnd"/>
            <w:r w:rsidRPr="002045F5">
              <w:rPr>
                <w:sz w:val="22"/>
              </w:rPr>
              <w:t xml:space="preserve"> на </w:t>
            </w:r>
            <w:proofErr w:type="spellStart"/>
            <w:r w:rsidRPr="002045F5">
              <w:rPr>
                <w:sz w:val="22"/>
              </w:rPr>
              <w:t>покращенні</w:t>
            </w:r>
            <w:proofErr w:type="spellEnd"/>
            <w:r w:rsidRPr="002045F5">
              <w:rPr>
                <w:sz w:val="22"/>
              </w:rPr>
              <w:t xml:space="preserve"> </w:t>
            </w:r>
            <w:proofErr w:type="spellStart"/>
            <w:r w:rsidRPr="002045F5">
              <w:rPr>
                <w:sz w:val="22"/>
              </w:rPr>
              <w:t>безпечності</w:t>
            </w:r>
            <w:proofErr w:type="spellEnd"/>
            <w:r w:rsidRPr="002045F5">
              <w:rPr>
                <w:sz w:val="22"/>
              </w:rPr>
              <w:t xml:space="preserve"> </w:t>
            </w:r>
            <w:proofErr w:type="spellStart"/>
            <w:r w:rsidRPr="002045F5">
              <w:rPr>
                <w:sz w:val="22"/>
              </w:rPr>
              <w:t>інфраструктури</w:t>
            </w:r>
            <w:proofErr w:type="spellEnd"/>
            <w:r w:rsidRPr="002045F5">
              <w:rPr>
                <w:sz w:val="22"/>
              </w:rPr>
              <w:t xml:space="preserve">, </w:t>
            </w:r>
            <w:proofErr w:type="spellStart"/>
            <w:r w:rsidRPr="002045F5">
              <w:rPr>
                <w:sz w:val="22"/>
              </w:rPr>
              <w:t>зокрема</w:t>
            </w:r>
            <w:proofErr w:type="spellEnd"/>
            <w:r w:rsidRPr="002045F5">
              <w:rPr>
                <w:sz w:val="22"/>
              </w:rPr>
              <w:t xml:space="preserve"> шляхом ремонту та </w:t>
            </w:r>
            <w:proofErr w:type="spellStart"/>
            <w:r w:rsidRPr="002045F5">
              <w:rPr>
                <w:sz w:val="22"/>
              </w:rPr>
              <w:t>необхідного</w:t>
            </w:r>
            <w:proofErr w:type="spellEnd"/>
            <w:r w:rsidRPr="002045F5">
              <w:rPr>
                <w:sz w:val="22"/>
              </w:rPr>
              <w:t xml:space="preserve"> </w:t>
            </w:r>
            <w:proofErr w:type="spellStart"/>
            <w:r w:rsidRPr="002045F5">
              <w:rPr>
                <w:sz w:val="22"/>
              </w:rPr>
              <w:t>оснащення</w:t>
            </w:r>
            <w:proofErr w:type="spellEnd"/>
            <w:r w:rsidRPr="002045F5">
              <w:rPr>
                <w:sz w:val="22"/>
              </w:rPr>
              <w:t xml:space="preserve"> </w:t>
            </w:r>
            <w:proofErr w:type="spellStart"/>
            <w:r w:rsidRPr="002045F5">
              <w:rPr>
                <w:sz w:val="22"/>
              </w:rPr>
              <w:t>бомбосховищ</w:t>
            </w:r>
            <w:proofErr w:type="spellEnd"/>
            <w:r w:rsidRPr="002045F5">
              <w:rPr>
                <w:sz w:val="22"/>
              </w:rPr>
              <w:t>.</w:t>
            </w:r>
          </w:p>
        </w:tc>
      </w:tr>
      <w:tr w:rsidR="00822744" w:rsidRPr="002045F5" w:rsidTr="00822744">
        <w:tc>
          <w:tcPr>
            <w:tcW w:w="3006" w:type="dxa"/>
            <w:shd w:val="clear" w:color="auto" w:fill="C6D9F1" w:themeFill="text2" w:themeFillTint="33"/>
          </w:tcPr>
          <w:p w:rsidR="00822744" w:rsidRPr="002045F5" w:rsidRDefault="00822744" w:rsidP="00524DBF">
            <w:pPr>
              <w:pStyle w:val="a7"/>
              <w:ind w:left="0"/>
              <w:rPr>
                <w:b/>
                <w:sz w:val="22"/>
              </w:rPr>
            </w:pPr>
            <w:proofErr w:type="spellStart"/>
            <w:r w:rsidRPr="002045F5">
              <w:rPr>
                <w:b/>
                <w:sz w:val="22"/>
              </w:rPr>
              <w:lastRenderedPageBreak/>
              <w:t>Територія</w:t>
            </w:r>
            <w:proofErr w:type="spellEnd"/>
            <w:r w:rsidRPr="002045F5">
              <w:rPr>
                <w:b/>
                <w:sz w:val="22"/>
              </w:rPr>
              <w:t xml:space="preserve">, </w:t>
            </w:r>
            <w:proofErr w:type="gramStart"/>
            <w:r w:rsidRPr="002045F5">
              <w:rPr>
                <w:b/>
                <w:sz w:val="22"/>
              </w:rPr>
              <w:t>на яку</w:t>
            </w:r>
            <w:proofErr w:type="gramEnd"/>
            <w:r w:rsidRPr="002045F5">
              <w:rPr>
                <w:b/>
                <w:sz w:val="22"/>
              </w:rPr>
              <w:t xml:space="preserve"> </w:t>
            </w:r>
            <w:proofErr w:type="spellStart"/>
            <w:r w:rsidRPr="002045F5">
              <w:rPr>
                <w:b/>
                <w:sz w:val="22"/>
              </w:rPr>
              <w:t>матиме</w:t>
            </w:r>
            <w:proofErr w:type="spellEnd"/>
            <w:r w:rsidRPr="002045F5">
              <w:rPr>
                <w:b/>
                <w:sz w:val="22"/>
              </w:rPr>
              <w:t xml:space="preserve"> </w:t>
            </w:r>
            <w:proofErr w:type="spellStart"/>
            <w:r w:rsidRPr="002045F5">
              <w:rPr>
                <w:b/>
                <w:sz w:val="22"/>
              </w:rPr>
              <w:t>вплив</w:t>
            </w:r>
            <w:proofErr w:type="spellEnd"/>
            <w:r w:rsidRPr="002045F5">
              <w:rPr>
                <w:b/>
                <w:sz w:val="22"/>
              </w:rPr>
              <w:t xml:space="preserve"> </w:t>
            </w:r>
            <w:proofErr w:type="spellStart"/>
            <w:r w:rsidRPr="002045F5">
              <w:rPr>
                <w:b/>
                <w:sz w:val="22"/>
              </w:rPr>
              <w:t>реалізація</w:t>
            </w:r>
            <w:proofErr w:type="spellEnd"/>
            <w:r w:rsidRPr="002045F5">
              <w:rPr>
                <w:b/>
                <w:sz w:val="22"/>
              </w:rPr>
              <w:t xml:space="preserve"> </w:t>
            </w:r>
            <w:proofErr w:type="spellStart"/>
            <w:r w:rsidRPr="002045F5">
              <w:rPr>
                <w:b/>
                <w:sz w:val="22"/>
              </w:rPr>
              <w:t>проєкту</w:t>
            </w:r>
            <w:proofErr w:type="spellEnd"/>
          </w:p>
        </w:tc>
        <w:tc>
          <w:tcPr>
            <w:tcW w:w="6882" w:type="dxa"/>
            <w:gridSpan w:val="7"/>
          </w:tcPr>
          <w:p w:rsidR="00822744" w:rsidRPr="002045F5" w:rsidRDefault="00822744" w:rsidP="00524DBF">
            <w:pPr>
              <w:pStyle w:val="a7"/>
              <w:ind w:left="0"/>
              <w:rPr>
                <w:sz w:val="22"/>
              </w:rPr>
            </w:pPr>
            <w:proofErr w:type="spellStart"/>
            <w:r w:rsidRPr="002045F5">
              <w:rPr>
                <w:sz w:val="22"/>
              </w:rPr>
              <w:t>Сєвєродонецька</w:t>
            </w:r>
            <w:proofErr w:type="spellEnd"/>
            <w:r w:rsidRPr="002045F5">
              <w:rPr>
                <w:sz w:val="22"/>
              </w:rPr>
              <w:t xml:space="preserve"> </w:t>
            </w:r>
            <w:proofErr w:type="spellStart"/>
            <w:r w:rsidRPr="002045F5">
              <w:rPr>
                <w:sz w:val="22"/>
              </w:rPr>
              <w:t>міська</w:t>
            </w:r>
            <w:proofErr w:type="spellEnd"/>
            <w:r w:rsidRPr="002045F5">
              <w:rPr>
                <w:sz w:val="22"/>
              </w:rPr>
              <w:t xml:space="preserve"> </w:t>
            </w:r>
            <w:proofErr w:type="spellStart"/>
            <w:r w:rsidRPr="002045F5">
              <w:rPr>
                <w:sz w:val="22"/>
              </w:rPr>
              <w:t>територіальна</w:t>
            </w:r>
            <w:proofErr w:type="spellEnd"/>
            <w:r w:rsidRPr="002045F5">
              <w:rPr>
                <w:sz w:val="22"/>
              </w:rPr>
              <w:t xml:space="preserve"> громада</w:t>
            </w:r>
          </w:p>
        </w:tc>
      </w:tr>
      <w:tr w:rsidR="00822744" w:rsidRPr="002045F5" w:rsidTr="00822744">
        <w:tc>
          <w:tcPr>
            <w:tcW w:w="3006" w:type="dxa"/>
            <w:shd w:val="clear" w:color="auto" w:fill="C6D9F1" w:themeFill="text2" w:themeFillTint="33"/>
          </w:tcPr>
          <w:p w:rsidR="00822744" w:rsidRPr="002045F5" w:rsidRDefault="00822744" w:rsidP="00524DBF">
            <w:pPr>
              <w:pStyle w:val="a7"/>
              <w:ind w:left="0"/>
              <w:rPr>
                <w:b/>
                <w:sz w:val="22"/>
              </w:rPr>
            </w:pPr>
            <w:proofErr w:type="spellStart"/>
            <w:r w:rsidRPr="002045F5">
              <w:rPr>
                <w:b/>
                <w:sz w:val="22"/>
              </w:rPr>
              <w:t>Чисельність</w:t>
            </w:r>
            <w:proofErr w:type="spellEnd"/>
            <w:r w:rsidRPr="002045F5">
              <w:rPr>
                <w:b/>
                <w:sz w:val="22"/>
              </w:rPr>
              <w:t xml:space="preserve"> </w:t>
            </w:r>
            <w:proofErr w:type="spellStart"/>
            <w:r w:rsidRPr="002045F5">
              <w:rPr>
                <w:b/>
                <w:sz w:val="22"/>
              </w:rPr>
              <w:t>населення</w:t>
            </w:r>
            <w:proofErr w:type="spellEnd"/>
            <w:r w:rsidRPr="002045F5">
              <w:rPr>
                <w:b/>
                <w:sz w:val="22"/>
              </w:rPr>
              <w:t xml:space="preserve">, на яке </w:t>
            </w:r>
            <w:proofErr w:type="spellStart"/>
            <w:r w:rsidRPr="002045F5">
              <w:rPr>
                <w:b/>
                <w:sz w:val="22"/>
              </w:rPr>
              <w:t>матиме</w:t>
            </w:r>
            <w:proofErr w:type="spellEnd"/>
            <w:r w:rsidRPr="002045F5">
              <w:rPr>
                <w:b/>
                <w:sz w:val="22"/>
              </w:rPr>
              <w:t xml:space="preserve"> </w:t>
            </w:r>
            <w:proofErr w:type="spellStart"/>
            <w:r w:rsidRPr="002045F5">
              <w:rPr>
                <w:b/>
                <w:sz w:val="22"/>
              </w:rPr>
              <w:t>вплив</w:t>
            </w:r>
            <w:proofErr w:type="spellEnd"/>
            <w:r w:rsidRPr="002045F5">
              <w:rPr>
                <w:b/>
                <w:sz w:val="22"/>
              </w:rPr>
              <w:t xml:space="preserve"> </w:t>
            </w:r>
            <w:proofErr w:type="spellStart"/>
            <w:r w:rsidRPr="002045F5">
              <w:rPr>
                <w:b/>
                <w:sz w:val="22"/>
              </w:rPr>
              <w:t>реалізація</w:t>
            </w:r>
            <w:proofErr w:type="spellEnd"/>
            <w:r w:rsidRPr="002045F5">
              <w:rPr>
                <w:b/>
                <w:sz w:val="22"/>
              </w:rPr>
              <w:t xml:space="preserve"> </w:t>
            </w:r>
            <w:proofErr w:type="spellStart"/>
            <w:r w:rsidRPr="002045F5">
              <w:rPr>
                <w:b/>
                <w:sz w:val="22"/>
              </w:rPr>
              <w:t>проєкту</w:t>
            </w:r>
            <w:proofErr w:type="spellEnd"/>
          </w:p>
        </w:tc>
        <w:tc>
          <w:tcPr>
            <w:tcW w:w="6882" w:type="dxa"/>
            <w:gridSpan w:val="7"/>
          </w:tcPr>
          <w:p w:rsidR="00822744" w:rsidRPr="002045F5" w:rsidRDefault="00822744" w:rsidP="00524DBF">
            <w:pPr>
              <w:pStyle w:val="a7"/>
              <w:ind w:left="0"/>
              <w:rPr>
                <w:sz w:val="22"/>
              </w:rPr>
            </w:pPr>
            <w:r w:rsidRPr="002045F5">
              <w:rPr>
                <w:sz w:val="22"/>
              </w:rPr>
              <w:t xml:space="preserve"> 70 000 </w:t>
            </w:r>
            <w:proofErr w:type="spellStart"/>
            <w:r w:rsidRPr="002045F5">
              <w:rPr>
                <w:sz w:val="22"/>
              </w:rPr>
              <w:t>осіб</w:t>
            </w:r>
            <w:proofErr w:type="spellEnd"/>
          </w:p>
        </w:tc>
      </w:tr>
      <w:tr w:rsidR="00822744" w:rsidRPr="002045F5" w:rsidTr="00822744">
        <w:tc>
          <w:tcPr>
            <w:tcW w:w="3006" w:type="dxa"/>
            <w:shd w:val="clear" w:color="auto" w:fill="C6D9F1" w:themeFill="text2" w:themeFillTint="33"/>
          </w:tcPr>
          <w:p w:rsidR="00822744" w:rsidRPr="002045F5" w:rsidRDefault="00822744" w:rsidP="00524DBF">
            <w:pPr>
              <w:rPr>
                <w:b/>
                <w:sz w:val="22"/>
              </w:rPr>
            </w:pPr>
            <w:proofErr w:type="spellStart"/>
            <w:r w:rsidRPr="002045F5">
              <w:rPr>
                <w:b/>
                <w:sz w:val="22"/>
              </w:rPr>
              <w:t>Опис</w:t>
            </w:r>
            <w:proofErr w:type="spellEnd"/>
            <w:r w:rsidRPr="002045F5">
              <w:rPr>
                <w:b/>
                <w:sz w:val="22"/>
              </w:rPr>
              <w:t xml:space="preserve"> </w:t>
            </w:r>
            <w:proofErr w:type="spellStart"/>
            <w:r w:rsidRPr="002045F5">
              <w:rPr>
                <w:b/>
                <w:sz w:val="22"/>
              </w:rPr>
              <w:t>проблеми</w:t>
            </w:r>
            <w:proofErr w:type="spellEnd"/>
            <w:r w:rsidRPr="002045F5">
              <w:rPr>
                <w:b/>
                <w:sz w:val="22"/>
              </w:rPr>
              <w:t xml:space="preserve">, на </w:t>
            </w:r>
            <w:proofErr w:type="spellStart"/>
            <w:r w:rsidRPr="002045F5">
              <w:rPr>
                <w:b/>
                <w:sz w:val="22"/>
              </w:rPr>
              <w:t>вирішення</w:t>
            </w:r>
            <w:proofErr w:type="spellEnd"/>
            <w:r w:rsidRPr="002045F5">
              <w:rPr>
                <w:b/>
                <w:sz w:val="22"/>
              </w:rPr>
              <w:t xml:space="preserve"> </w:t>
            </w:r>
            <w:proofErr w:type="spellStart"/>
            <w:proofErr w:type="gramStart"/>
            <w:r w:rsidRPr="002045F5">
              <w:rPr>
                <w:b/>
                <w:sz w:val="22"/>
              </w:rPr>
              <w:t>якої</w:t>
            </w:r>
            <w:proofErr w:type="spellEnd"/>
            <w:r w:rsidRPr="002045F5">
              <w:rPr>
                <w:b/>
                <w:sz w:val="22"/>
              </w:rPr>
              <w:t xml:space="preserve">  </w:t>
            </w:r>
            <w:proofErr w:type="spellStart"/>
            <w:r w:rsidRPr="002045F5">
              <w:rPr>
                <w:b/>
                <w:sz w:val="22"/>
              </w:rPr>
              <w:t>спрямований</w:t>
            </w:r>
            <w:proofErr w:type="spellEnd"/>
            <w:proofErr w:type="gramEnd"/>
            <w:r w:rsidRPr="002045F5">
              <w:rPr>
                <w:b/>
                <w:sz w:val="22"/>
              </w:rPr>
              <w:t xml:space="preserve"> </w:t>
            </w:r>
            <w:proofErr w:type="spellStart"/>
            <w:r w:rsidRPr="002045F5">
              <w:rPr>
                <w:b/>
                <w:sz w:val="22"/>
              </w:rPr>
              <w:t>проєкт</w:t>
            </w:r>
            <w:proofErr w:type="spellEnd"/>
          </w:p>
        </w:tc>
        <w:tc>
          <w:tcPr>
            <w:tcW w:w="6882" w:type="dxa"/>
            <w:gridSpan w:val="7"/>
          </w:tcPr>
          <w:p w:rsidR="00822744" w:rsidRPr="002045F5" w:rsidRDefault="00822744" w:rsidP="00524DBF">
            <w:pPr>
              <w:ind w:firstLine="708"/>
              <w:rPr>
                <w:sz w:val="22"/>
              </w:rPr>
            </w:pPr>
            <w:r w:rsidRPr="002045F5">
              <w:rPr>
                <w:sz w:val="22"/>
              </w:rPr>
              <w:t xml:space="preserve">Через </w:t>
            </w:r>
            <w:proofErr w:type="spellStart"/>
            <w:r w:rsidRPr="002045F5">
              <w:rPr>
                <w:sz w:val="22"/>
              </w:rPr>
              <w:t>військову</w:t>
            </w:r>
            <w:proofErr w:type="spellEnd"/>
            <w:r w:rsidRPr="002045F5">
              <w:rPr>
                <w:sz w:val="22"/>
              </w:rPr>
              <w:t xml:space="preserve"> </w:t>
            </w:r>
            <w:proofErr w:type="spellStart"/>
            <w:r w:rsidRPr="002045F5">
              <w:rPr>
                <w:sz w:val="22"/>
              </w:rPr>
              <w:t>агресію</w:t>
            </w:r>
            <w:proofErr w:type="spellEnd"/>
            <w:r w:rsidRPr="002045F5">
              <w:rPr>
                <w:sz w:val="22"/>
              </w:rPr>
              <w:t xml:space="preserve"> РФ </w:t>
            </w:r>
            <w:proofErr w:type="spellStart"/>
            <w:r w:rsidRPr="002045F5">
              <w:rPr>
                <w:sz w:val="22"/>
              </w:rPr>
              <w:t>територія</w:t>
            </w:r>
            <w:proofErr w:type="spellEnd"/>
            <w:r w:rsidRPr="002045F5">
              <w:rPr>
                <w:sz w:val="22"/>
              </w:rPr>
              <w:t xml:space="preserve"> </w:t>
            </w:r>
            <w:proofErr w:type="spellStart"/>
            <w:r w:rsidRPr="002045F5">
              <w:rPr>
                <w:sz w:val="22"/>
              </w:rPr>
              <w:t>Сєвєродонецької</w:t>
            </w:r>
            <w:proofErr w:type="spellEnd"/>
            <w:r w:rsidRPr="002045F5">
              <w:rPr>
                <w:sz w:val="22"/>
              </w:rPr>
              <w:t xml:space="preserve"> </w:t>
            </w:r>
            <w:proofErr w:type="spellStart"/>
            <w:r w:rsidRPr="002045F5">
              <w:rPr>
                <w:sz w:val="22"/>
              </w:rPr>
              <w:t>міської</w:t>
            </w:r>
            <w:proofErr w:type="spellEnd"/>
            <w:r w:rsidRPr="002045F5">
              <w:rPr>
                <w:sz w:val="22"/>
              </w:rPr>
              <w:t xml:space="preserve"> </w:t>
            </w:r>
            <w:proofErr w:type="spellStart"/>
            <w:r w:rsidRPr="002045F5">
              <w:rPr>
                <w:sz w:val="22"/>
              </w:rPr>
              <w:t>територіальної</w:t>
            </w:r>
            <w:proofErr w:type="spellEnd"/>
            <w:r w:rsidRPr="002045F5">
              <w:rPr>
                <w:sz w:val="22"/>
              </w:rPr>
              <w:t xml:space="preserve"> </w:t>
            </w:r>
            <w:proofErr w:type="spellStart"/>
            <w:r w:rsidRPr="002045F5">
              <w:rPr>
                <w:sz w:val="22"/>
              </w:rPr>
              <w:t>громади</w:t>
            </w:r>
            <w:proofErr w:type="spellEnd"/>
            <w:r w:rsidRPr="002045F5">
              <w:rPr>
                <w:sz w:val="22"/>
              </w:rPr>
              <w:t xml:space="preserve"> </w:t>
            </w:r>
            <w:proofErr w:type="spellStart"/>
            <w:r w:rsidRPr="002045F5">
              <w:rPr>
                <w:sz w:val="22"/>
              </w:rPr>
              <w:t>зазнала</w:t>
            </w:r>
            <w:proofErr w:type="spellEnd"/>
            <w:r w:rsidRPr="002045F5">
              <w:rPr>
                <w:sz w:val="22"/>
              </w:rPr>
              <w:t xml:space="preserve"> </w:t>
            </w:r>
            <w:proofErr w:type="spellStart"/>
            <w:r w:rsidRPr="002045F5">
              <w:rPr>
                <w:sz w:val="22"/>
              </w:rPr>
              <w:t>значних</w:t>
            </w:r>
            <w:proofErr w:type="spellEnd"/>
            <w:r w:rsidRPr="002045F5">
              <w:rPr>
                <w:sz w:val="22"/>
              </w:rPr>
              <w:t xml:space="preserve"> </w:t>
            </w:r>
            <w:proofErr w:type="spellStart"/>
            <w:r w:rsidRPr="002045F5">
              <w:rPr>
                <w:sz w:val="22"/>
              </w:rPr>
              <w:t>пошкоджень</w:t>
            </w:r>
            <w:proofErr w:type="spellEnd"/>
            <w:r w:rsidRPr="002045F5">
              <w:rPr>
                <w:sz w:val="22"/>
              </w:rPr>
              <w:t xml:space="preserve">. </w:t>
            </w:r>
            <w:proofErr w:type="spellStart"/>
            <w:r w:rsidRPr="002045F5">
              <w:rPr>
                <w:sz w:val="22"/>
              </w:rPr>
              <w:t>Будівля</w:t>
            </w:r>
            <w:proofErr w:type="spellEnd"/>
            <w:r w:rsidRPr="002045F5">
              <w:rPr>
                <w:sz w:val="22"/>
              </w:rPr>
              <w:t xml:space="preserve"> </w:t>
            </w:r>
            <w:proofErr w:type="spellStart"/>
            <w:r w:rsidRPr="002045F5">
              <w:rPr>
                <w:sz w:val="22"/>
              </w:rPr>
              <w:t>Ліцею</w:t>
            </w:r>
            <w:proofErr w:type="spellEnd"/>
            <w:r w:rsidRPr="002045F5">
              <w:rPr>
                <w:sz w:val="22"/>
              </w:rPr>
              <w:t xml:space="preserve"> </w:t>
            </w:r>
            <w:proofErr w:type="spellStart"/>
            <w:r w:rsidRPr="002045F5">
              <w:rPr>
                <w:sz w:val="22"/>
              </w:rPr>
              <w:t>також</w:t>
            </w:r>
            <w:proofErr w:type="spellEnd"/>
            <w:r w:rsidRPr="002045F5">
              <w:rPr>
                <w:sz w:val="22"/>
              </w:rPr>
              <w:t xml:space="preserve"> </w:t>
            </w:r>
            <w:proofErr w:type="spellStart"/>
            <w:r w:rsidRPr="002045F5">
              <w:rPr>
                <w:sz w:val="22"/>
              </w:rPr>
              <w:t>зазнала</w:t>
            </w:r>
            <w:proofErr w:type="spellEnd"/>
            <w:r w:rsidRPr="002045F5">
              <w:rPr>
                <w:sz w:val="22"/>
              </w:rPr>
              <w:t xml:space="preserve"> </w:t>
            </w:r>
            <w:proofErr w:type="spellStart"/>
            <w:r w:rsidRPr="002045F5">
              <w:rPr>
                <w:sz w:val="22"/>
              </w:rPr>
              <w:t>певних</w:t>
            </w:r>
            <w:proofErr w:type="spellEnd"/>
            <w:r w:rsidRPr="002045F5">
              <w:rPr>
                <w:sz w:val="22"/>
              </w:rPr>
              <w:t xml:space="preserve"> </w:t>
            </w:r>
            <w:proofErr w:type="spellStart"/>
            <w:r w:rsidRPr="002045F5">
              <w:rPr>
                <w:sz w:val="22"/>
              </w:rPr>
              <w:t>руйнувань</w:t>
            </w:r>
            <w:proofErr w:type="spellEnd"/>
            <w:r w:rsidRPr="002045F5">
              <w:rPr>
                <w:sz w:val="22"/>
              </w:rPr>
              <w:t xml:space="preserve">. Тому </w:t>
            </w:r>
            <w:proofErr w:type="spellStart"/>
            <w:r w:rsidRPr="002045F5">
              <w:rPr>
                <w:sz w:val="22"/>
              </w:rPr>
              <w:t>проведення</w:t>
            </w:r>
            <w:proofErr w:type="spellEnd"/>
            <w:r w:rsidRPr="002045F5">
              <w:rPr>
                <w:sz w:val="22"/>
              </w:rPr>
              <w:t xml:space="preserve"> </w:t>
            </w:r>
            <w:proofErr w:type="spellStart"/>
            <w:r w:rsidRPr="002045F5">
              <w:rPr>
                <w:sz w:val="22"/>
              </w:rPr>
              <w:t>капітального</w:t>
            </w:r>
            <w:proofErr w:type="spellEnd"/>
            <w:r w:rsidRPr="002045F5">
              <w:rPr>
                <w:sz w:val="22"/>
              </w:rPr>
              <w:t xml:space="preserve"> ремонту </w:t>
            </w:r>
            <w:proofErr w:type="spellStart"/>
            <w:r w:rsidRPr="002045F5">
              <w:rPr>
                <w:sz w:val="22"/>
              </w:rPr>
              <w:t>будівлі</w:t>
            </w:r>
            <w:proofErr w:type="spellEnd"/>
            <w:r w:rsidRPr="002045F5">
              <w:rPr>
                <w:sz w:val="22"/>
              </w:rPr>
              <w:t xml:space="preserve">, </w:t>
            </w:r>
            <w:proofErr w:type="spellStart"/>
            <w:r w:rsidRPr="002045F5">
              <w:rPr>
                <w:sz w:val="22"/>
              </w:rPr>
              <w:t>оснащення</w:t>
            </w:r>
            <w:proofErr w:type="spellEnd"/>
            <w:r w:rsidRPr="002045F5">
              <w:rPr>
                <w:sz w:val="22"/>
              </w:rPr>
              <w:t xml:space="preserve"> </w:t>
            </w:r>
            <w:proofErr w:type="spellStart"/>
            <w:r w:rsidRPr="002045F5">
              <w:rPr>
                <w:sz w:val="22"/>
              </w:rPr>
              <w:t>бомбосховищ</w:t>
            </w:r>
            <w:proofErr w:type="spellEnd"/>
            <w:r w:rsidRPr="002045F5">
              <w:rPr>
                <w:sz w:val="22"/>
              </w:rPr>
              <w:t xml:space="preserve">, </w:t>
            </w:r>
            <w:proofErr w:type="spellStart"/>
            <w:r w:rsidRPr="002045F5">
              <w:rPr>
                <w:sz w:val="22"/>
              </w:rPr>
              <w:t>запровадження</w:t>
            </w:r>
            <w:proofErr w:type="spellEnd"/>
            <w:r w:rsidRPr="002045F5">
              <w:rPr>
                <w:sz w:val="22"/>
              </w:rPr>
              <w:t xml:space="preserve"> </w:t>
            </w:r>
            <w:proofErr w:type="spellStart"/>
            <w:r w:rsidRPr="002045F5">
              <w:rPr>
                <w:sz w:val="22"/>
              </w:rPr>
              <w:t>заходів</w:t>
            </w:r>
            <w:proofErr w:type="spellEnd"/>
            <w:r w:rsidRPr="002045F5">
              <w:rPr>
                <w:sz w:val="22"/>
              </w:rPr>
              <w:t xml:space="preserve"> </w:t>
            </w:r>
            <w:proofErr w:type="spellStart"/>
            <w:r w:rsidRPr="002045F5">
              <w:rPr>
                <w:sz w:val="22"/>
              </w:rPr>
              <w:t>енергоефективності</w:t>
            </w:r>
            <w:proofErr w:type="spellEnd"/>
            <w:r w:rsidRPr="002045F5">
              <w:rPr>
                <w:sz w:val="22"/>
              </w:rPr>
              <w:t xml:space="preserve"> та </w:t>
            </w:r>
            <w:proofErr w:type="spellStart"/>
            <w:r w:rsidRPr="002045F5">
              <w:rPr>
                <w:sz w:val="22"/>
              </w:rPr>
              <w:t>економія</w:t>
            </w:r>
            <w:proofErr w:type="spellEnd"/>
            <w:r w:rsidRPr="002045F5">
              <w:rPr>
                <w:sz w:val="22"/>
              </w:rPr>
              <w:t xml:space="preserve"> </w:t>
            </w:r>
            <w:proofErr w:type="spellStart"/>
            <w:r w:rsidRPr="002045F5">
              <w:rPr>
                <w:sz w:val="22"/>
              </w:rPr>
              <w:t>витрат</w:t>
            </w:r>
            <w:proofErr w:type="spellEnd"/>
            <w:r w:rsidRPr="002045F5">
              <w:rPr>
                <w:sz w:val="22"/>
              </w:rPr>
              <w:t xml:space="preserve"> на </w:t>
            </w:r>
            <w:proofErr w:type="spellStart"/>
            <w:r w:rsidRPr="002045F5">
              <w:rPr>
                <w:sz w:val="22"/>
              </w:rPr>
              <w:t>опалення</w:t>
            </w:r>
            <w:proofErr w:type="spellEnd"/>
            <w:r w:rsidRPr="002045F5">
              <w:rPr>
                <w:sz w:val="22"/>
              </w:rPr>
              <w:t xml:space="preserve"> </w:t>
            </w:r>
            <w:proofErr w:type="spellStart"/>
            <w:r w:rsidRPr="002045F5">
              <w:rPr>
                <w:sz w:val="22"/>
              </w:rPr>
              <w:t>Ліцею</w:t>
            </w:r>
            <w:proofErr w:type="spellEnd"/>
            <w:r w:rsidRPr="002045F5">
              <w:rPr>
                <w:sz w:val="22"/>
              </w:rPr>
              <w:t xml:space="preserve"> </w:t>
            </w:r>
            <w:proofErr w:type="spellStart"/>
            <w:r w:rsidRPr="002045F5">
              <w:rPr>
                <w:sz w:val="22"/>
              </w:rPr>
              <w:t>багатопрофільного</w:t>
            </w:r>
            <w:proofErr w:type="spellEnd"/>
            <w:r w:rsidRPr="002045F5">
              <w:rPr>
                <w:sz w:val="22"/>
              </w:rPr>
              <w:t xml:space="preserve"> </w:t>
            </w:r>
            <w:proofErr w:type="spellStart"/>
            <w:r w:rsidRPr="002045F5">
              <w:rPr>
                <w:sz w:val="22"/>
              </w:rPr>
              <w:t>дасть</w:t>
            </w:r>
            <w:proofErr w:type="spellEnd"/>
            <w:r w:rsidRPr="002045F5">
              <w:rPr>
                <w:sz w:val="22"/>
              </w:rPr>
              <w:t xml:space="preserve"> </w:t>
            </w:r>
            <w:proofErr w:type="spellStart"/>
            <w:r w:rsidRPr="002045F5">
              <w:rPr>
                <w:sz w:val="22"/>
              </w:rPr>
              <w:t>можливість</w:t>
            </w:r>
            <w:proofErr w:type="spellEnd"/>
            <w:r w:rsidRPr="002045F5">
              <w:rPr>
                <w:sz w:val="22"/>
              </w:rPr>
              <w:t xml:space="preserve"> </w:t>
            </w:r>
            <w:proofErr w:type="spellStart"/>
            <w:r w:rsidRPr="002045F5">
              <w:rPr>
                <w:sz w:val="22"/>
              </w:rPr>
              <w:t>забезпечити</w:t>
            </w:r>
            <w:proofErr w:type="spellEnd"/>
            <w:r w:rsidRPr="002045F5">
              <w:rPr>
                <w:sz w:val="22"/>
              </w:rPr>
              <w:t xml:space="preserve"> </w:t>
            </w:r>
            <w:proofErr w:type="spellStart"/>
            <w:r w:rsidRPr="002045F5">
              <w:rPr>
                <w:sz w:val="22"/>
              </w:rPr>
              <w:t>належні</w:t>
            </w:r>
            <w:proofErr w:type="spellEnd"/>
            <w:r w:rsidRPr="002045F5">
              <w:rPr>
                <w:sz w:val="22"/>
              </w:rPr>
              <w:t xml:space="preserve"> </w:t>
            </w:r>
            <w:proofErr w:type="spellStart"/>
            <w:r w:rsidRPr="002045F5">
              <w:rPr>
                <w:sz w:val="22"/>
              </w:rPr>
              <w:t>умови</w:t>
            </w:r>
            <w:proofErr w:type="spellEnd"/>
            <w:r w:rsidRPr="002045F5">
              <w:rPr>
                <w:sz w:val="22"/>
              </w:rPr>
              <w:t xml:space="preserve"> для </w:t>
            </w:r>
            <w:proofErr w:type="spellStart"/>
            <w:r w:rsidRPr="002045F5">
              <w:rPr>
                <w:sz w:val="22"/>
              </w:rPr>
              <w:t>організації</w:t>
            </w:r>
            <w:proofErr w:type="spellEnd"/>
            <w:r w:rsidRPr="002045F5">
              <w:rPr>
                <w:sz w:val="22"/>
              </w:rPr>
              <w:t xml:space="preserve"> </w:t>
            </w:r>
            <w:proofErr w:type="spellStart"/>
            <w:r w:rsidRPr="002045F5">
              <w:rPr>
                <w:sz w:val="22"/>
              </w:rPr>
              <w:t>освітнього</w:t>
            </w:r>
            <w:proofErr w:type="spellEnd"/>
            <w:r w:rsidRPr="002045F5">
              <w:rPr>
                <w:sz w:val="22"/>
              </w:rPr>
              <w:t xml:space="preserve"> </w:t>
            </w:r>
            <w:proofErr w:type="spellStart"/>
            <w:r w:rsidRPr="002045F5">
              <w:rPr>
                <w:sz w:val="22"/>
              </w:rPr>
              <w:t>процесу</w:t>
            </w:r>
            <w:proofErr w:type="spellEnd"/>
            <w:r w:rsidRPr="002045F5">
              <w:rPr>
                <w:sz w:val="22"/>
              </w:rPr>
              <w:t>.</w:t>
            </w:r>
            <w:r w:rsidRPr="002045F5">
              <w:rPr>
                <w:rFonts w:eastAsia="Arial"/>
                <w:sz w:val="22"/>
              </w:rPr>
              <w:t xml:space="preserve"> </w:t>
            </w:r>
          </w:p>
        </w:tc>
      </w:tr>
      <w:tr w:rsidR="00822744" w:rsidRPr="002045F5" w:rsidTr="00822744">
        <w:tc>
          <w:tcPr>
            <w:tcW w:w="3006" w:type="dxa"/>
            <w:shd w:val="clear" w:color="auto" w:fill="C6D9F1" w:themeFill="text2" w:themeFillTint="33"/>
          </w:tcPr>
          <w:p w:rsidR="00822744" w:rsidRPr="002045F5" w:rsidRDefault="00822744" w:rsidP="00524DBF">
            <w:pPr>
              <w:pStyle w:val="a7"/>
              <w:ind w:left="0"/>
              <w:rPr>
                <w:b/>
                <w:sz w:val="22"/>
                <w:lang w:val="uk-UA"/>
              </w:rPr>
            </w:pPr>
            <w:r w:rsidRPr="002045F5">
              <w:rPr>
                <w:b/>
                <w:sz w:val="22"/>
                <w:lang w:val="uk-UA"/>
              </w:rPr>
              <w:t xml:space="preserve">Очікувані якісні результати від реалізації </w:t>
            </w:r>
            <w:proofErr w:type="spellStart"/>
            <w:r w:rsidRPr="002045F5">
              <w:rPr>
                <w:b/>
                <w:sz w:val="22"/>
                <w:lang w:val="uk-UA"/>
              </w:rPr>
              <w:t>проєкту</w:t>
            </w:r>
            <w:proofErr w:type="spellEnd"/>
          </w:p>
        </w:tc>
        <w:tc>
          <w:tcPr>
            <w:tcW w:w="6882" w:type="dxa"/>
            <w:gridSpan w:val="7"/>
          </w:tcPr>
          <w:p w:rsidR="00822744" w:rsidRPr="002045F5" w:rsidRDefault="00822744" w:rsidP="00524DBF">
            <w:pPr>
              <w:rPr>
                <w:sz w:val="22"/>
              </w:rPr>
            </w:pPr>
            <w:r w:rsidRPr="002045F5">
              <w:rPr>
                <w:sz w:val="22"/>
              </w:rPr>
              <w:t xml:space="preserve">- </w:t>
            </w:r>
            <w:proofErr w:type="spellStart"/>
            <w:r w:rsidRPr="002045F5">
              <w:rPr>
                <w:sz w:val="22"/>
              </w:rPr>
              <w:t>Створення</w:t>
            </w:r>
            <w:proofErr w:type="spellEnd"/>
            <w:r w:rsidRPr="002045F5">
              <w:rPr>
                <w:sz w:val="22"/>
              </w:rPr>
              <w:t xml:space="preserve"> </w:t>
            </w:r>
            <w:proofErr w:type="spellStart"/>
            <w:r w:rsidRPr="002045F5">
              <w:rPr>
                <w:sz w:val="22"/>
              </w:rPr>
              <w:t>безпечного</w:t>
            </w:r>
            <w:proofErr w:type="spellEnd"/>
            <w:r w:rsidRPr="002045F5">
              <w:rPr>
                <w:sz w:val="22"/>
              </w:rPr>
              <w:t xml:space="preserve"> комфортного простору для </w:t>
            </w:r>
            <w:proofErr w:type="spellStart"/>
            <w:r w:rsidRPr="002045F5">
              <w:rPr>
                <w:sz w:val="22"/>
              </w:rPr>
              <w:t>забезпечення</w:t>
            </w:r>
            <w:proofErr w:type="spellEnd"/>
            <w:r w:rsidRPr="002045F5">
              <w:rPr>
                <w:sz w:val="22"/>
              </w:rPr>
              <w:t xml:space="preserve"> </w:t>
            </w:r>
            <w:proofErr w:type="spellStart"/>
            <w:r w:rsidRPr="002045F5">
              <w:rPr>
                <w:sz w:val="22"/>
              </w:rPr>
              <w:t>населення</w:t>
            </w:r>
            <w:proofErr w:type="spellEnd"/>
            <w:r w:rsidRPr="002045F5">
              <w:rPr>
                <w:sz w:val="22"/>
              </w:rPr>
              <w:t xml:space="preserve"> </w:t>
            </w:r>
            <w:proofErr w:type="spellStart"/>
            <w:r w:rsidRPr="002045F5">
              <w:rPr>
                <w:sz w:val="22"/>
              </w:rPr>
              <w:t>можливостями</w:t>
            </w:r>
            <w:proofErr w:type="spellEnd"/>
            <w:r w:rsidRPr="002045F5">
              <w:rPr>
                <w:sz w:val="22"/>
              </w:rPr>
              <w:t xml:space="preserve"> для </w:t>
            </w:r>
            <w:proofErr w:type="spellStart"/>
            <w:r w:rsidRPr="002045F5">
              <w:rPr>
                <w:sz w:val="22"/>
              </w:rPr>
              <w:t>реалізації</w:t>
            </w:r>
            <w:proofErr w:type="spellEnd"/>
            <w:r w:rsidRPr="002045F5">
              <w:rPr>
                <w:sz w:val="22"/>
              </w:rPr>
              <w:t xml:space="preserve"> </w:t>
            </w:r>
            <w:proofErr w:type="spellStart"/>
            <w:r w:rsidRPr="002045F5">
              <w:rPr>
                <w:sz w:val="22"/>
              </w:rPr>
              <w:t>його</w:t>
            </w:r>
            <w:proofErr w:type="spellEnd"/>
            <w:r w:rsidRPr="002045F5">
              <w:rPr>
                <w:sz w:val="22"/>
              </w:rPr>
              <w:t xml:space="preserve"> </w:t>
            </w:r>
            <w:proofErr w:type="spellStart"/>
            <w:r w:rsidRPr="002045F5">
              <w:rPr>
                <w:sz w:val="22"/>
              </w:rPr>
              <w:t>конституційних</w:t>
            </w:r>
            <w:proofErr w:type="spellEnd"/>
            <w:r w:rsidRPr="002045F5">
              <w:rPr>
                <w:sz w:val="22"/>
              </w:rPr>
              <w:t xml:space="preserve"> прав, </w:t>
            </w:r>
            <w:proofErr w:type="spellStart"/>
            <w:r w:rsidRPr="002045F5">
              <w:rPr>
                <w:sz w:val="22"/>
              </w:rPr>
              <w:t>пов’язаних</w:t>
            </w:r>
            <w:proofErr w:type="spellEnd"/>
            <w:r w:rsidRPr="002045F5">
              <w:rPr>
                <w:sz w:val="22"/>
              </w:rPr>
              <w:t xml:space="preserve"> </w:t>
            </w:r>
            <w:proofErr w:type="spellStart"/>
            <w:r w:rsidRPr="002045F5">
              <w:rPr>
                <w:sz w:val="22"/>
              </w:rPr>
              <w:t>із</w:t>
            </w:r>
            <w:proofErr w:type="spellEnd"/>
            <w:r w:rsidRPr="002045F5">
              <w:rPr>
                <w:sz w:val="22"/>
              </w:rPr>
              <w:t xml:space="preserve"> </w:t>
            </w:r>
            <w:proofErr w:type="spellStart"/>
            <w:r w:rsidRPr="002045F5">
              <w:rPr>
                <w:sz w:val="22"/>
              </w:rPr>
              <w:t>освітою</w:t>
            </w:r>
            <w:proofErr w:type="spellEnd"/>
            <w:r w:rsidRPr="002045F5">
              <w:rPr>
                <w:sz w:val="22"/>
              </w:rPr>
              <w:t>.</w:t>
            </w:r>
          </w:p>
          <w:p w:rsidR="00822744" w:rsidRPr="002045F5" w:rsidRDefault="00822744" w:rsidP="00524DBF">
            <w:pPr>
              <w:pStyle w:val="a7"/>
              <w:ind w:left="0"/>
              <w:rPr>
                <w:sz w:val="22"/>
              </w:rPr>
            </w:pPr>
            <w:r w:rsidRPr="002045F5">
              <w:rPr>
                <w:sz w:val="22"/>
              </w:rPr>
              <w:t xml:space="preserve">- 350 </w:t>
            </w:r>
            <w:proofErr w:type="spellStart"/>
            <w:r w:rsidRPr="002045F5">
              <w:rPr>
                <w:sz w:val="22"/>
              </w:rPr>
              <w:t>учнів</w:t>
            </w:r>
            <w:proofErr w:type="spellEnd"/>
            <w:r w:rsidRPr="002045F5">
              <w:rPr>
                <w:sz w:val="22"/>
              </w:rPr>
              <w:t xml:space="preserve"> </w:t>
            </w:r>
            <w:proofErr w:type="spellStart"/>
            <w:r w:rsidRPr="002045F5">
              <w:rPr>
                <w:sz w:val="22"/>
              </w:rPr>
              <w:t>отримають</w:t>
            </w:r>
            <w:proofErr w:type="spellEnd"/>
            <w:r w:rsidRPr="002045F5">
              <w:rPr>
                <w:sz w:val="22"/>
              </w:rPr>
              <w:t xml:space="preserve"> </w:t>
            </w:r>
            <w:proofErr w:type="spellStart"/>
            <w:r w:rsidRPr="002045F5">
              <w:rPr>
                <w:sz w:val="22"/>
              </w:rPr>
              <w:t>можливість</w:t>
            </w:r>
            <w:proofErr w:type="spellEnd"/>
            <w:r w:rsidRPr="002045F5">
              <w:rPr>
                <w:sz w:val="22"/>
              </w:rPr>
              <w:t xml:space="preserve"> </w:t>
            </w:r>
            <w:proofErr w:type="spellStart"/>
            <w:r w:rsidRPr="002045F5">
              <w:rPr>
                <w:sz w:val="22"/>
              </w:rPr>
              <w:t>почати</w:t>
            </w:r>
            <w:proofErr w:type="spellEnd"/>
            <w:r w:rsidRPr="002045F5">
              <w:rPr>
                <w:sz w:val="22"/>
              </w:rPr>
              <w:t xml:space="preserve"> </w:t>
            </w:r>
            <w:proofErr w:type="spellStart"/>
            <w:r w:rsidRPr="002045F5">
              <w:rPr>
                <w:sz w:val="22"/>
              </w:rPr>
              <w:t>новий</w:t>
            </w:r>
            <w:proofErr w:type="spellEnd"/>
            <w:r w:rsidRPr="002045F5">
              <w:rPr>
                <w:sz w:val="22"/>
              </w:rPr>
              <w:t xml:space="preserve"> </w:t>
            </w:r>
            <w:proofErr w:type="spellStart"/>
            <w:r w:rsidRPr="002045F5">
              <w:rPr>
                <w:sz w:val="22"/>
              </w:rPr>
              <w:t>навчальний</w:t>
            </w:r>
            <w:proofErr w:type="spellEnd"/>
            <w:r w:rsidRPr="002045F5">
              <w:rPr>
                <w:sz w:val="22"/>
              </w:rPr>
              <w:t xml:space="preserve"> </w:t>
            </w:r>
            <w:proofErr w:type="spellStart"/>
            <w:r w:rsidRPr="002045F5">
              <w:rPr>
                <w:sz w:val="22"/>
              </w:rPr>
              <w:t>рік</w:t>
            </w:r>
            <w:proofErr w:type="spellEnd"/>
            <w:r w:rsidRPr="002045F5">
              <w:rPr>
                <w:sz w:val="22"/>
              </w:rPr>
              <w:t xml:space="preserve"> у </w:t>
            </w:r>
            <w:proofErr w:type="spellStart"/>
            <w:r w:rsidRPr="002045F5">
              <w:rPr>
                <w:sz w:val="22"/>
              </w:rPr>
              <w:t>гідних</w:t>
            </w:r>
            <w:proofErr w:type="spellEnd"/>
            <w:r w:rsidRPr="002045F5">
              <w:rPr>
                <w:sz w:val="22"/>
              </w:rPr>
              <w:t xml:space="preserve"> </w:t>
            </w:r>
            <w:proofErr w:type="spellStart"/>
            <w:r w:rsidRPr="002045F5">
              <w:rPr>
                <w:sz w:val="22"/>
              </w:rPr>
              <w:t>умовах</w:t>
            </w:r>
            <w:proofErr w:type="spellEnd"/>
            <w:r w:rsidRPr="002045F5">
              <w:rPr>
                <w:sz w:val="22"/>
              </w:rPr>
              <w:t>;</w:t>
            </w:r>
          </w:p>
          <w:p w:rsidR="00822744" w:rsidRPr="002045F5" w:rsidRDefault="00822744" w:rsidP="00524DBF">
            <w:pPr>
              <w:pStyle w:val="a7"/>
              <w:ind w:left="0"/>
              <w:rPr>
                <w:sz w:val="22"/>
              </w:rPr>
            </w:pPr>
            <w:r w:rsidRPr="002045F5">
              <w:rPr>
                <w:sz w:val="22"/>
              </w:rPr>
              <w:t xml:space="preserve">- </w:t>
            </w:r>
            <w:proofErr w:type="spellStart"/>
            <w:r w:rsidRPr="002045F5">
              <w:rPr>
                <w:sz w:val="22"/>
              </w:rPr>
              <w:t>покращення</w:t>
            </w:r>
            <w:proofErr w:type="spellEnd"/>
            <w:r w:rsidRPr="002045F5">
              <w:rPr>
                <w:sz w:val="22"/>
              </w:rPr>
              <w:t xml:space="preserve"> </w:t>
            </w:r>
            <w:proofErr w:type="spellStart"/>
            <w:r w:rsidRPr="002045F5">
              <w:rPr>
                <w:sz w:val="22"/>
              </w:rPr>
              <w:t>безпечності</w:t>
            </w:r>
            <w:proofErr w:type="spellEnd"/>
            <w:r w:rsidRPr="002045F5">
              <w:rPr>
                <w:sz w:val="22"/>
              </w:rPr>
              <w:t xml:space="preserve"> </w:t>
            </w:r>
            <w:proofErr w:type="spellStart"/>
            <w:r w:rsidRPr="002045F5">
              <w:rPr>
                <w:sz w:val="22"/>
              </w:rPr>
              <w:t>інфраструктури</w:t>
            </w:r>
            <w:proofErr w:type="spellEnd"/>
            <w:r w:rsidRPr="002045F5">
              <w:rPr>
                <w:sz w:val="22"/>
              </w:rPr>
              <w:t xml:space="preserve">, </w:t>
            </w:r>
            <w:proofErr w:type="spellStart"/>
            <w:r w:rsidRPr="002045F5">
              <w:rPr>
                <w:sz w:val="22"/>
              </w:rPr>
              <w:t>зокрема</w:t>
            </w:r>
            <w:proofErr w:type="spellEnd"/>
            <w:r w:rsidRPr="002045F5">
              <w:rPr>
                <w:sz w:val="22"/>
              </w:rPr>
              <w:t xml:space="preserve"> шляхом ремонту та </w:t>
            </w:r>
            <w:proofErr w:type="spellStart"/>
            <w:r w:rsidRPr="002045F5">
              <w:rPr>
                <w:sz w:val="22"/>
              </w:rPr>
              <w:t>необхідного</w:t>
            </w:r>
            <w:proofErr w:type="spellEnd"/>
            <w:r w:rsidRPr="002045F5">
              <w:rPr>
                <w:sz w:val="22"/>
              </w:rPr>
              <w:t xml:space="preserve"> </w:t>
            </w:r>
            <w:proofErr w:type="spellStart"/>
            <w:r w:rsidRPr="002045F5">
              <w:rPr>
                <w:sz w:val="22"/>
              </w:rPr>
              <w:t>оснащення</w:t>
            </w:r>
            <w:proofErr w:type="spellEnd"/>
            <w:r w:rsidRPr="002045F5">
              <w:rPr>
                <w:sz w:val="22"/>
              </w:rPr>
              <w:t xml:space="preserve"> </w:t>
            </w:r>
            <w:proofErr w:type="spellStart"/>
            <w:r w:rsidRPr="002045F5">
              <w:rPr>
                <w:sz w:val="22"/>
              </w:rPr>
              <w:t>бомбосховищ</w:t>
            </w:r>
            <w:proofErr w:type="spellEnd"/>
            <w:r w:rsidRPr="002045F5">
              <w:rPr>
                <w:sz w:val="22"/>
              </w:rPr>
              <w:t>.</w:t>
            </w:r>
          </w:p>
          <w:p w:rsidR="00822744" w:rsidRPr="002045F5" w:rsidRDefault="00822744" w:rsidP="00524DBF">
            <w:pPr>
              <w:pStyle w:val="a7"/>
              <w:ind w:left="0"/>
              <w:rPr>
                <w:sz w:val="22"/>
              </w:rPr>
            </w:pPr>
            <w:r w:rsidRPr="002045F5">
              <w:rPr>
                <w:sz w:val="22"/>
              </w:rPr>
              <w:t xml:space="preserve">- стимул до </w:t>
            </w:r>
            <w:proofErr w:type="spellStart"/>
            <w:r w:rsidRPr="002045F5">
              <w:rPr>
                <w:sz w:val="22"/>
              </w:rPr>
              <w:t>повернення</w:t>
            </w:r>
            <w:proofErr w:type="spellEnd"/>
            <w:r w:rsidRPr="002045F5">
              <w:rPr>
                <w:sz w:val="22"/>
              </w:rPr>
              <w:t xml:space="preserve"> ВПО до </w:t>
            </w:r>
            <w:proofErr w:type="spellStart"/>
            <w:r w:rsidRPr="002045F5">
              <w:rPr>
                <w:sz w:val="22"/>
              </w:rPr>
              <w:t>громади</w:t>
            </w:r>
            <w:proofErr w:type="spellEnd"/>
            <w:r w:rsidRPr="002045F5">
              <w:rPr>
                <w:sz w:val="22"/>
              </w:rPr>
              <w:t>.</w:t>
            </w:r>
          </w:p>
        </w:tc>
      </w:tr>
      <w:tr w:rsidR="00822744" w:rsidRPr="002045F5" w:rsidTr="00822744">
        <w:trPr>
          <w:trHeight w:val="390"/>
        </w:trPr>
        <w:tc>
          <w:tcPr>
            <w:tcW w:w="3006" w:type="dxa"/>
            <w:vMerge w:val="restart"/>
            <w:shd w:val="clear" w:color="auto" w:fill="C6D9F1" w:themeFill="text2" w:themeFillTint="33"/>
          </w:tcPr>
          <w:p w:rsidR="00822744" w:rsidRPr="002045F5" w:rsidRDefault="00822744" w:rsidP="00524DBF">
            <w:pPr>
              <w:pStyle w:val="a7"/>
              <w:ind w:left="0"/>
              <w:rPr>
                <w:b/>
                <w:sz w:val="22"/>
                <w:lang w:val="uk-UA"/>
              </w:rPr>
            </w:pPr>
            <w:r w:rsidRPr="002045F5">
              <w:rPr>
                <w:b/>
                <w:sz w:val="22"/>
                <w:lang w:val="uk-UA"/>
              </w:rPr>
              <w:t xml:space="preserve">Очікувані кількісні результати реалізації </w:t>
            </w:r>
            <w:proofErr w:type="spellStart"/>
            <w:r w:rsidRPr="002045F5">
              <w:rPr>
                <w:b/>
                <w:sz w:val="22"/>
                <w:lang w:val="uk-UA"/>
              </w:rPr>
              <w:t>проєкту</w:t>
            </w:r>
            <w:proofErr w:type="spellEnd"/>
            <w:r w:rsidRPr="002045F5">
              <w:rPr>
                <w:b/>
                <w:sz w:val="22"/>
                <w:lang w:val="uk-UA"/>
              </w:rPr>
              <w:t xml:space="preserve"> (індикатори)</w:t>
            </w:r>
          </w:p>
          <w:p w:rsidR="00822744" w:rsidRPr="002045F5" w:rsidRDefault="00822744" w:rsidP="00524DBF">
            <w:pPr>
              <w:pStyle w:val="a7"/>
              <w:ind w:left="0"/>
              <w:rPr>
                <w:b/>
                <w:sz w:val="22"/>
                <w:lang w:val="uk-UA"/>
              </w:rPr>
            </w:pPr>
          </w:p>
        </w:tc>
        <w:tc>
          <w:tcPr>
            <w:tcW w:w="3517" w:type="dxa"/>
            <w:gridSpan w:val="3"/>
            <w:tcBorders>
              <w:bottom w:val="single" w:sz="4" w:space="0" w:color="auto"/>
              <w:right w:val="single" w:sz="4" w:space="0" w:color="auto"/>
            </w:tcBorders>
          </w:tcPr>
          <w:p w:rsidR="00822744" w:rsidRPr="002045F5" w:rsidRDefault="00822744" w:rsidP="00524DBF">
            <w:pPr>
              <w:pStyle w:val="a7"/>
              <w:ind w:left="-108"/>
              <w:jc w:val="center"/>
              <w:rPr>
                <w:b/>
                <w:sz w:val="22"/>
              </w:rPr>
            </w:pPr>
            <w:proofErr w:type="spellStart"/>
            <w:r w:rsidRPr="002045F5">
              <w:rPr>
                <w:b/>
                <w:sz w:val="22"/>
              </w:rPr>
              <w:t>Найменування</w:t>
            </w:r>
            <w:proofErr w:type="spellEnd"/>
            <w:r w:rsidRPr="002045F5">
              <w:rPr>
                <w:b/>
                <w:sz w:val="22"/>
              </w:rPr>
              <w:t xml:space="preserve"> </w:t>
            </w:r>
            <w:proofErr w:type="spellStart"/>
            <w:r w:rsidRPr="002045F5">
              <w:rPr>
                <w:b/>
                <w:sz w:val="22"/>
              </w:rPr>
              <w:t>показника</w:t>
            </w:r>
            <w:proofErr w:type="spellEnd"/>
          </w:p>
        </w:tc>
        <w:tc>
          <w:tcPr>
            <w:tcW w:w="1701" w:type="dxa"/>
            <w:gridSpan w:val="2"/>
            <w:tcBorders>
              <w:left w:val="single" w:sz="4" w:space="0" w:color="auto"/>
              <w:bottom w:val="single" w:sz="4" w:space="0" w:color="auto"/>
              <w:right w:val="single" w:sz="4" w:space="0" w:color="auto"/>
            </w:tcBorders>
          </w:tcPr>
          <w:p w:rsidR="00822744" w:rsidRPr="002045F5" w:rsidRDefault="00822744" w:rsidP="00524DBF">
            <w:pPr>
              <w:pStyle w:val="a7"/>
              <w:ind w:left="0"/>
              <w:jc w:val="center"/>
              <w:rPr>
                <w:b/>
                <w:sz w:val="22"/>
              </w:rPr>
            </w:pPr>
            <w:proofErr w:type="spellStart"/>
            <w:r w:rsidRPr="002045F5">
              <w:rPr>
                <w:b/>
                <w:sz w:val="22"/>
              </w:rPr>
              <w:t>Одиниця</w:t>
            </w:r>
            <w:proofErr w:type="spellEnd"/>
            <w:r w:rsidRPr="002045F5">
              <w:rPr>
                <w:b/>
                <w:sz w:val="22"/>
              </w:rPr>
              <w:t xml:space="preserve"> </w:t>
            </w:r>
            <w:proofErr w:type="spellStart"/>
            <w:r w:rsidRPr="002045F5">
              <w:rPr>
                <w:b/>
                <w:sz w:val="22"/>
              </w:rPr>
              <w:t>вимірювання</w:t>
            </w:r>
            <w:proofErr w:type="spellEnd"/>
          </w:p>
          <w:p w:rsidR="00822744" w:rsidRPr="002045F5" w:rsidRDefault="00822744" w:rsidP="00524DBF">
            <w:pPr>
              <w:pStyle w:val="a7"/>
              <w:ind w:left="0"/>
              <w:rPr>
                <w:b/>
                <w:sz w:val="22"/>
              </w:rPr>
            </w:pPr>
          </w:p>
        </w:tc>
        <w:tc>
          <w:tcPr>
            <w:tcW w:w="1664" w:type="dxa"/>
            <w:gridSpan w:val="2"/>
            <w:tcBorders>
              <w:left w:val="single" w:sz="4" w:space="0" w:color="auto"/>
              <w:bottom w:val="single" w:sz="4" w:space="0" w:color="auto"/>
            </w:tcBorders>
          </w:tcPr>
          <w:p w:rsidR="00822744" w:rsidRPr="002045F5" w:rsidRDefault="00822744" w:rsidP="00524DBF">
            <w:pPr>
              <w:pStyle w:val="a7"/>
              <w:ind w:left="0"/>
              <w:jc w:val="center"/>
              <w:rPr>
                <w:b/>
                <w:sz w:val="22"/>
              </w:rPr>
            </w:pPr>
            <w:proofErr w:type="spellStart"/>
            <w:r w:rsidRPr="002045F5">
              <w:rPr>
                <w:b/>
                <w:sz w:val="22"/>
              </w:rPr>
              <w:t>Прогнозне</w:t>
            </w:r>
            <w:proofErr w:type="spellEnd"/>
            <w:r w:rsidRPr="002045F5">
              <w:rPr>
                <w:b/>
                <w:sz w:val="22"/>
              </w:rPr>
              <w:t xml:space="preserve"> (</w:t>
            </w:r>
            <w:proofErr w:type="spellStart"/>
            <w:r w:rsidRPr="002045F5">
              <w:rPr>
                <w:b/>
                <w:sz w:val="22"/>
              </w:rPr>
              <w:t>цільове</w:t>
            </w:r>
            <w:proofErr w:type="spellEnd"/>
            <w:r w:rsidRPr="002045F5">
              <w:rPr>
                <w:b/>
                <w:sz w:val="22"/>
              </w:rPr>
              <w:t xml:space="preserve">) </w:t>
            </w:r>
            <w:proofErr w:type="spellStart"/>
            <w:r w:rsidRPr="002045F5">
              <w:rPr>
                <w:b/>
                <w:sz w:val="22"/>
              </w:rPr>
              <w:t>значення</w:t>
            </w:r>
            <w:proofErr w:type="spellEnd"/>
          </w:p>
        </w:tc>
      </w:tr>
      <w:tr w:rsidR="00822744" w:rsidRPr="002045F5" w:rsidTr="00822744">
        <w:trPr>
          <w:trHeight w:val="585"/>
        </w:trPr>
        <w:tc>
          <w:tcPr>
            <w:tcW w:w="3006" w:type="dxa"/>
            <w:vMerge/>
            <w:shd w:val="clear" w:color="auto" w:fill="C6D9F1" w:themeFill="text2" w:themeFillTint="33"/>
          </w:tcPr>
          <w:p w:rsidR="00822744" w:rsidRPr="002045F5" w:rsidRDefault="00822744" w:rsidP="00524DBF">
            <w:pPr>
              <w:pStyle w:val="a7"/>
              <w:ind w:left="0"/>
              <w:rPr>
                <w:b/>
                <w:sz w:val="22"/>
              </w:rPr>
            </w:pPr>
          </w:p>
        </w:tc>
        <w:tc>
          <w:tcPr>
            <w:tcW w:w="3517" w:type="dxa"/>
            <w:gridSpan w:val="3"/>
            <w:tcBorders>
              <w:top w:val="single" w:sz="4" w:space="0" w:color="auto"/>
              <w:bottom w:val="single" w:sz="4" w:space="0" w:color="auto"/>
              <w:right w:val="single" w:sz="4" w:space="0" w:color="auto"/>
            </w:tcBorders>
          </w:tcPr>
          <w:p w:rsidR="00822744" w:rsidRPr="002045F5" w:rsidRDefault="00822744" w:rsidP="00524DBF">
            <w:pPr>
              <w:pStyle w:val="a7"/>
              <w:ind w:left="0"/>
              <w:jc w:val="center"/>
              <w:rPr>
                <w:sz w:val="22"/>
              </w:rPr>
            </w:pPr>
            <w:proofErr w:type="spellStart"/>
            <w:r w:rsidRPr="002045F5">
              <w:rPr>
                <w:sz w:val="22"/>
              </w:rPr>
              <w:t>Кількість</w:t>
            </w:r>
            <w:proofErr w:type="spellEnd"/>
            <w:r w:rsidRPr="002045F5">
              <w:rPr>
                <w:sz w:val="22"/>
              </w:rPr>
              <w:t xml:space="preserve"> </w:t>
            </w:r>
            <w:proofErr w:type="spellStart"/>
            <w:r w:rsidRPr="002045F5">
              <w:rPr>
                <w:sz w:val="22"/>
              </w:rPr>
              <w:t>фізичних</w:t>
            </w:r>
            <w:proofErr w:type="spellEnd"/>
            <w:r w:rsidRPr="002045F5">
              <w:rPr>
                <w:sz w:val="22"/>
              </w:rPr>
              <w:t xml:space="preserve"> </w:t>
            </w:r>
            <w:proofErr w:type="spellStart"/>
            <w:r w:rsidRPr="002045F5">
              <w:rPr>
                <w:sz w:val="22"/>
              </w:rPr>
              <w:t>осіб</w:t>
            </w:r>
            <w:proofErr w:type="spellEnd"/>
            <w:r w:rsidRPr="002045F5">
              <w:rPr>
                <w:sz w:val="22"/>
              </w:rPr>
              <w:t xml:space="preserve">, </w:t>
            </w:r>
            <w:proofErr w:type="spellStart"/>
            <w:r w:rsidRPr="002045F5">
              <w:rPr>
                <w:sz w:val="22"/>
              </w:rPr>
              <w:t>які</w:t>
            </w:r>
            <w:proofErr w:type="spellEnd"/>
            <w:r w:rsidRPr="002045F5">
              <w:rPr>
                <w:sz w:val="22"/>
              </w:rPr>
              <w:t xml:space="preserve"> </w:t>
            </w:r>
            <w:proofErr w:type="spellStart"/>
            <w:r w:rsidRPr="002045F5">
              <w:rPr>
                <w:sz w:val="22"/>
              </w:rPr>
              <w:t>звернулись</w:t>
            </w:r>
            <w:proofErr w:type="spellEnd"/>
            <w:r w:rsidRPr="002045F5">
              <w:rPr>
                <w:sz w:val="22"/>
              </w:rPr>
              <w:t xml:space="preserve"> за </w:t>
            </w:r>
            <w:proofErr w:type="spellStart"/>
            <w:r w:rsidRPr="002045F5">
              <w:rPr>
                <w:sz w:val="22"/>
              </w:rPr>
              <w:t>послугами</w:t>
            </w:r>
            <w:proofErr w:type="spellEnd"/>
            <w:r w:rsidRPr="002045F5">
              <w:rPr>
                <w:sz w:val="22"/>
              </w:rPr>
              <w:t xml:space="preserve"> </w:t>
            </w:r>
            <w:proofErr w:type="spellStart"/>
            <w:proofErr w:type="gramStart"/>
            <w:r w:rsidRPr="002045F5">
              <w:rPr>
                <w:sz w:val="22"/>
              </w:rPr>
              <w:t>протягом</w:t>
            </w:r>
            <w:proofErr w:type="spellEnd"/>
            <w:r w:rsidRPr="002045F5">
              <w:rPr>
                <w:sz w:val="22"/>
              </w:rPr>
              <w:t xml:space="preserve">  року</w:t>
            </w:r>
            <w:proofErr w:type="gramEnd"/>
          </w:p>
        </w:tc>
        <w:tc>
          <w:tcPr>
            <w:tcW w:w="1701" w:type="dxa"/>
            <w:gridSpan w:val="2"/>
            <w:tcBorders>
              <w:top w:val="single" w:sz="4" w:space="0" w:color="auto"/>
              <w:left w:val="single" w:sz="4" w:space="0" w:color="auto"/>
              <w:bottom w:val="single" w:sz="4" w:space="0" w:color="auto"/>
              <w:right w:val="single" w:sz="4" w:space="0" w:color="auto"/>
            </w:tcBorders>
            <w:vAlign w:val="center"/>
          </w:tcPr>
          <w:p w:rsidR="00822744" w:rsidRPr="002045F5" w:rsidRDefault="00822744" w:rsidP="00524DBF">
            <w:pPr>
              <w:pStyle w:val="a7"/>
              <w:ind w:left="0"/>
              <w:jc w:val="center"/>
              <w:rPr>
                <w:sz w:val="22"/>
              </w:rPr>
            </w:pPr>
            <w:proofErr w:type="spellStart"/>
            <w:r w:rsidRPr="002045F5">
              <w:rPr>
                <w:sz w:val="22"/>
              </w:rPr>
              <w:t>осіб</w:t>
            </w:r>
            <w:proofErr w:type="spellEnd"/>
          </w:p>
        </w:tc>
        <w:tc>
          <w:tcPr>
            <w:tcW w:w="1664" w:type="dxa"/>
            <w:gridSpan w:val="2"/>
            <w:tcBorders>
              <w:top w:val="single" w:sz="4" w:space="0" w:color="auto"/>
              <w:left w:val="single" w:sz="4" w:space="0" w:color="auto"/>
              <w:bottom w:val="single" w:sz="4" w:space="0" w:color="auto"/>
            </w:tcBorders>
          </w:tcPr>
          <w:p w:rsidR="00822744" w:rsidRPr="002045F5" w:rsidRDefault="00822744" w:rsidP="00524DBF">
            <w:pPr>
              <w:pStyle w:val="a7"/>
              <w:ind w:left="0"/>
              <w:jc w:val="center"/>
              <w:rPr>
                <w:sz w:val="22"/>
              </w:rPr>
            </w:pPr>
            <w:r w:rsidRPr="002045F5">
              <w:rPr>
                <w:sz w:val="22"/>
              </w:rPr>
              <w:t>1200</w:t>
            </w:r>
          </w:p>
        </w:tc>
      </w:tr>
      <w:tr w:rsidR="00822744" w:rsidRPr="002045F5" w:rsidTr="00822744">
        <w:trPr>
          <w:trHeight w:val="150"/>
        </w:trPr>
        <w:tc>
          <w:tcPr>
            <w:tcW w:w="3006" w:type="dxa"/>
            <w:vMerge/>
            <w:shd w:val="clear" w:color="auto" w:fill="C6D9F1" w:themeFill="text2" w:themeFillTint="33"/>
          </w:tcPr>
          <w:p w:rsidR="00822744" w:rsidRPr="002045F5" w:rsidRDefault="00822744" w:rsidP="00524DBF">
            <w:pPr>
              <w:pStyle w:val="a7"/>
              <w:ind w:left="0"/>
              <w:rPr>
                <w:b/>
                <w:sz w:val="22"/>
              </w:rPr>
            </w:pPr>
          </w:p>
        </w:tc>
        <w:tc>
          <w:tcPr>
            <w:tcW w:w="3517" w:type="dxa"/>
            <w:gridSpan w:val="3"/>
            <w:tcBorders>
              <w:top w:val="single" w:sz="4" w:space="0" w:color="auto"/>
              <w:right w:val="single" w:sz="4" w:space="0" w:color="auto"/>
            </w:tcBorders>
          </w:tcPr>
          <w:p w:rsidR="00822744" w:rsidRPr="002045F5" w:rsidRDefault="00822744" w:rsidP="00524DBF">
            <w:pPr>
              <w:pStyle w:val="a7"/>
              <w:ind w:left="0"/>
              <w:jc w:val="center"/>
              <w:rPr>
                <w:sz w:val="22"/>
              </w:rPr>
            </w:pPr>
            <w:proofErr w:type="spellStart"/>
            <w:r w:rsidRPr="002045F5">
              <w:rPr>
                <w:sz w:val="22"/>
              </w:rPr>
              <w:t>Термін</w:t>
            </w:r>
            <w:proofErr w:type="spellEnd"/>
            <w:r w:rsidRPr="002045F5">
              <w:rPr>
                <w:sz w:val="22"/>
              </w:rPr>
              <w:t xml:space="preserve"> </w:t>
            </w:r>
            <w:proofErr w:type="spellStart"/>
            <w:r w:rsidRPr="002045F5">
              <w:rPr>
                <w:sz w:val="22"/>
              </w:rPr>
              <w:t>надання</w:t>
            </w:r>
            <w:proofErr w:type="spellEnd"/>
            <w:r w:rsidRPr="002045F5">
              <w:rPr>
                <w:sz w:val="22"/>
              </w:rPr>
              <w:t xml:space="preserve"> </w:t>
            </w:r>
            <w:proofErr w:type="spellStart"/>
            <w:r w:rsidRPr="002045F5">
              <w:rPr>
                <w:sz w:val="22"/>
              </w:rPr>
              <w:t>послуги</w:t>
            </w:r>
            <w:proofErr w:type="spellEnd"/>
          </w:p>
        </w:tc>
        <w:tc>
          <w:tcPr>
            <w:tcW w:w="1701" w:type="dxa"/>
            <w:gridSpan w:val="2"/>
            <w:tcBorders>
              <w:top w:val="single" w:sz="4" w:space="0" w:color="auto"/>
              <w:left w:val="single" w:sz="4" w:space="0" w:color="auto"/>
              <w:right w:val="single" w:sz="4" w:space="0" w:color="auto"/>
            </w:tcBorders>
            <w:vAlign w:val="center"/>
          </w:tcPr>
          <w:p w:rsidR="00822744" w:rsidRPr="002045F5" w:rsidRDefault="00822744" w:rsidP="00524DBF">
            <w:pPr>
              <w:pStyle w:val="a7"/>
              <w:ind w:left="0"/>
              <w:jc w:val="center"/>
              <w:rPr>
                <w:sz w:val="22"/>
              </w:rPr>
            </w:pPr>
            <w:proofErr w:type="spellStart"/>
            <w:r w:rsidRPr="002045F5">
              <w:rPr>
                <w:sz w:val="22"/>
              </w:rPr>
              <w:t>місяць</w:t>
            </w:r>
            <w:proofErr w:type="spellEnd"/>
          </w:p>
        </w:tc>
        <w:tc>
          <w:tcPr>
            <w:tcW w:w="1664" w:type="dxa"/>
            <w:gridSpan w:val="2"/>
            <w:tcBorders>
              <w:top w:val="single" w:sz="4" w:space="0" w:color="auto"/>
              <w:left w:val="single" w:sz="4" w:space="0" w:color="auto"/>
            </w:tcBorders>
          </w:tcPr>
          <w:p w:rsidR="00822744" w:rsidRPr="002045F5" w:rsidRDefault="00822744" w:rsidP="00524DBF">
            <w:pPr>
              <w:pStyle w:val="a7"/>
              <w:ind w:left="0"/>
              <w:jc w:val="center"/>
              <w:rPr>
                <w:sz w:val="22"/>
              </w:rPr>
            </w:pPr>
            <w:r w:rsidRPr="002045F5">
              <w:rPr>
                <w:sz w:val="22"/>
                <w:lang w:val="en-US"/>
              </w:rPr>
              <w:t>12</w:t>
            </w:r>
            <w:r w:rsidRPr="002045F5">
              <w:rPr>
                <w:sz w:val="22"/>
              </w:rPr>
              <w:t xml:space="preserve"> </w:t>
            </w:r>
            <w:proofErr w:type="spellStart"/>
            <w:r w:rsidRPr="002045F5">
              <w:rPr>
                <w:sz w:val="22"/>
              </w:rPr>
              <w:t>місяців</w:t>
            </w:r>
            <w:proofErr w:type="spellEnd"/>
          </w:p>
        </w:tc>
      </w:tr>
      <w:tr w:rsidR="00822744" w:rsidRPr="002045F5" w:rsidTr="00822744">
        <w:trPr>
          <w:trHeight w:val="150"/>
        </w:trPr>
        <w:tc>
          <w:tcPr>
            <w:tcW w:w="3006" w:type="dxa"/>
            <w:shd w:val="clear" w:color="auto" w:fill="C6D9F1" w:themeFill="text2" w:themeFillTint="33"/>
          </w:tcPr>
          <w:p w:rsidR="00822744" w:rsidRPr="002045F5" w:rsidRDefault="00822744" w:rsidP="00524DBF">
            <w:pPr>
              <w:pStyle w:val="a7"/>
              <w:ind w:left="0"/>
              <w:rPr>
                <w:b/>
                <w:sz w:val="22"/>
              </w:rPr>
            </w:pPr>
          </w:p>
        </w:tc>
        <w:tc>
          <w:tcPr>
            <w:tcW w:w="3517" w:type="dxa"/>
            <w:gridSpan w:val="3"/>
            <w:tcBorders>
              <w:top w:val="single" w:sz="4" w:space="0" w:color="auto"/>
              <w:right w:val="single" w:sz="4" w:space="0" w:color="auto"/>
            </w:tcBorders>
          </w:tcPr>
          <w:p w:rsidR="00822744" w:rsidRPr="002045F5" w:rsidRDefault="00822744" w:rsidP="00AB25DA">
            <w:pPr>
              <w:pStyle w:val="a7"/>
              <w:ind w:left="0"/>
              <w:jc w:val="center"/>
              <w:rPr>
                <w:sz w:val="22"/>
              </w:rPr>
            </w:pPr>
            <w:proofErr w:type="spellStart"/>
            <w:r w:rsidRPr="002045F5">
              <w:rPr>
                <w:sz w:val="22"/>
              </w:rPr>
              <w:t>Кількість</w:t>
            </w:r>
            <w:proofErr w:type="spellEnd"/>
            <w:r w:rsidRPr="002045F5">
              <w:rPr>
                <w:sz w:val="22"/>
              </w:rPr>
              <w:t xml:space="preserve"> </w:t>
            </w:r>
            <w:proofErr w:type="spellStart"/>
            <w:r w:rsidRPr="002045F5">
              <w:rPr>
                <w:sz w:val="22"/>
              </w:rPr>
              <w:t>населених</w:t>
            </w:r>
            <w:proofErr w:type="spellEnd"/>
            <w:r w:rsidRPr="002045F5">
              <w:rPr>
                <w:sz w:val="22"/>
              </w:rPr>
              <w:t xml:space="preserve"> </w:t>
            </w:r>
            <w:proofErr w:type="spellStart"/>
            <w:r w:rsidRPr="002045F5">
              <w:rPr>
                <w:sz w:val="22"/>
              </w:rPr>
              <w:t>пунктів</w:t>
            </w:r>
            <w:proofErr w:type="spellEnd"/>
            <w:r w:rsidRPr="002045F5">
              <w:rPr>
                <w:sz w:val="22"/>
              </w:rPr>
              <w:t xml:space="preserve">, </w:t>
            </w:r>
            <w:proofErr w:type="spellStart"/>
            <w:r w:rsidRPr="002045F5">
              <w:rPr>
                <w:sz w:val="22"/>
              </w:rPr>
              <w:t>як</w:t>
            </w:r>
            <w:r w:rsidR="00AB25DA" w:rsidRPr="002045F5">
              <w:rPr>
                <w:sz w:val="22"/>
              </w:rPr>
              <w:t>і</w:t>
            </w:r>
            <w:proofErr w:type="spellEnd"/>
            <w:r w:rsidRPr="002045F5">
              <w:rPr>
                <w:sz w:val="22"/>
              </w:rPr>
              <w:t xml:space="preserve"> </w:t>
            </w:r>
            <w:proofErr w:type="spellStart"/>
            <w:r w:rsidRPr="002045F5">
              <w:rPr>
                <w:sz w:val="22"/>
              </w:rPr>
              <w:t>обслуговує</w:t>
            </w:r>
            <w:proofErr w:type="spellEnd"/>
            <w:r w:rsidRPr="002045F5">
              <w:rPr>
                <w:sz w:val="22"/>
              </w:rPr>
              <w:t xml:space="preserve"> заклад </w:t>
            </w:r>
            <w:proofErr w:type="spellStart"/>
            <w:r w:rsidRPr="002045F5">
              <w:rPr>
                <w:sz w:val="22"/>
              </w:rPr>
              <w:t>освіти</w:t>
            </w:r>
            <w:proofErr w:type="spellEnd"/>
          </w:p>
        </w:tc>
        <w:tc>
          <w:tcPr>
            <w:tcW w:w="1701" w:type="dxa"/>
            <w:gridSpan w:val="2"/>
            <w:tcBorders>
              <w:top w:val="single" w:sz="4" w:space="0" w:color="auto"/>
              <w:left w:val="single" w:sz="4" w:space="0" w:color="auto"/>
              <w:right w:val="single" w:sz="4" w:space="0" w:color="auto"/>
            </w:tcBorders>
            <w:vAlign w:val="center"/>
          </w:tcPr>
          <w:p w:rsidR="00822744" w:rsidRPr="002045F5" w:rsidRDefault="00822744" w:rsidP="00524DBF">
            <w:pPr>
              <w:pStyle w:val="a7"/>
              <w:ind w:left="0"/>
              <w:jc w:val="center"/>
              <w:rPr>
                <w:sz w:val="22"/>
              </w:rPr>
            </w:pPr>
            <w:proofErr w:type="spellStart"/>
            <w:r w:rsidRPr="002045F5">
              <w:rPr>
                <w:sz w:val="22"/>
              </w:rPr>
              <w:t>одиниць</w:t>
            </w:r>
            <w:proofErr w:type="spellEnd"/>
          </w:p>
        </w:tc>
        <w:tc>
          <w:tcPr>
            <w:tcW w:w="1664" w:type="dxa"/>
            <w:gridSpan w:val="2"/>
            <w:tcBorders>
              <w:top w:val="single" w:sz="4" w:space="0" w:color="auto"/>
              <w:left w:val="single" w:sz="4" w:space="0" w:color="auto"/>
            </w:tcBorders>
          </w:tcPr>
          <w:p w:rsidR="00822744" w:rsidRPr="002045F5" w:rsidRDefault="00822744" w:rsidP="00524DBF">
            <w:pPr>
              <w:pStyle w:val="a7"/>
              <w:ind w:left="0"/>
              <w:jc w:val="center"/>
              <w:rPr>
                <w:sz w:val="22"/>
              </w:rPr>
            </w:pPr>
            <w:r w:rsidRPr="002045F5">
              <w:rPr>
                <w:sz w:val="22"/>
              </w:rPr>
              <w:t>1</w:t>
            </w:r>
          </w:p>
        </w:tc>
      </w:tr>
      <w:tr w:rsidR="00822744" w:rsidRPr="002045F5" w:rsidTr="00822744">
        <w:tc>
          <w:tcPr>
            <w:tcW w:w="3006" w:type="dxa"/>
            <w:shd w:val="clear" w:color="auto" w:fill="C6D9F1" w:themeFill="text2" w:themeFillTint="33"/>
          </w:tcPr>
          <w:p w:rsidR="00822744" w:rsidRPr="002045F5" w:rsidRDefault="00822744" w:rsidP="00524DBF">
            <w:pPr>
              <w:rPr>
                <w:b/>
                <w:sz w:val="22"/>
              </w:rPr>
            </w:pPr>
            <w:proofErr w:type="spellStart"/>
            <w:r w:rsidRPr="002045F5">
              <w:rPr>
                <w:b/>
                <w:sz w:val="22"/>
              </w:rPr>
              <w:t>Ключові</w:t>
            </w:r>
            <w:proofErr w:type="spellEnd"/>
            <w:r w:rsidRPr="002045F5">
              <w:rPr>
                <w:b/>
                <w:sz w:val="22"/>
              </w:rPr>
              <w:t xml:space="preserve"> заходи </w:t>
            </w:r>
            <w:proofErr w:type="spellStart"/>
            <w:r w:rsidRPr="002045F5">
              <w:rPr>
                <w:b/>
                <w:sz w:val="22"/>
              </w:rPr>
              <w:t>проєкту</w:t>
            </w:r>
            <w:proofErr w:type="spellEnd"/>
            <w:r w:rsidRPr="002045F5">
              <w:rPr>
                <w:b/>
                <w:sz w:val="22"/>
              </w:rPr>
              <w:t xml:space="preserve">: </w:t>
            </w:r>
          </w:p>
          <w:p w:rsidR="00822744" w:rsidRPr="002045F5" w:rsidRDefault="00822744" w:rsidP="00524DBF">
            <w:pPr>
              <w:pStyle w:val="a7"/>
              <w:ind w:left="0"/>
              <w:rPr>
                <w:b/>
                <w:sz w:val="22"/>
              </w:rPr>
            </w:pPr>
          </w:p>
        </w:tc>
        <w:tc>
          <w:tcPr>
            <w:tcW w:w="6882" w:type="dxa"/>
            <w:gridSpan w:val="7"/>
          </w:tcPr>
          <w:p w:rsidR="00822744" w:rsidRPr="002045F5" w:rsidRDefault="00822744" w:rsidP="00524DBF">
            <w:pPr>
              <w:pStyle w:val="a7"/>
              <w:ind w:left="0"/>
              <w:rPr>
                <w:sz w:val="22"/>
              </w:rPr>
            </w:pPr>
            <w:r w:rsidRPr="002045F5">
              <w:rPr>
                <w:sz w:val="22"/>
              </w:rPr>
              <w:t xml:space="preserve">- </w:t>
            </w:r>
            <w:proofErr w:type="spellStart"/>
            <w:r w:rsidRPr="002045F5">
              <w:rPr>
                <w:sz w:val="22"/>
              </w:rPr>
              <w:t>обстеження</w:t>
            </w:r>
            <w:proofErr w:type="spellEnd"/>
            <w:r w:rsidRPr="002045F5">
              <w:rPr>
                <w:sz w:val="22"/>
              </w:rPr>
              <w:t xml:space="preserve"> стану </w:t>
            </w:r>
            <w:proofErr w:type="spellStart"/>
            <w:r w:rsidRPr="002045F5">
              <w:rPr>
                <w:sz w:val="22"/>
              </w:rPr>
              <w:t>будівлі</w:t>
            </w:r>
            <w:proofErr w:type="spellEnd"/>
            <w:r w:rsidRPr="002045F5">
              <w:rPr>
                <w:sz w:val="22"/>
              </w:rPr>
              <w:t>;</w:t>
            </w:r>
          </w:p>
          <w:p w:rsidR="00822744" w:rsidRPr="002045F5" w:rsidRDefault="00822744" w:rsidP="00524DBF">
            <w:pPr>
              <w:rPr>
                <w:sz w:val="22"/>
              </w:rPr>
            </w:pPr>
            <w:r w:rsidRPr="002045F5">
              <w:rPr>
                <w:sz w:val="22"/>
              </w:rPr>
              <w:t xml:space="preserve">- </w:t>
            </w:r>
            <w:proofErr w:type="spellStart"/>
            <w:r w:rsidRPr="002045F5">
              <w:rPr>
                <w:sz w:val="22"/>
              </w:rPr>
              <w:t>проведення</w:t>
            </w:r>
            <w:proofErr w:type="spellEnd"/>
            <w:r w:rsidRPr="002045F5">
              <w:rPr>
                <w:sz w:val="22"/>
              </w:rPr>
              <w:t xml:space="preserve"> </w:t>
            </w:r>
            <w:proofErr w:type="spellStart"/>
            <w:r w:rsidRPr="002045F5">
              <w:rPr>
                <w:sz w:val="22"/>
              </w:rPr>
              <w:t>експертизи</w:t>
            </w:r>
            <w:proofErr w:type="spellEnd"/>
            <w:r w:rsidRPr="002045F5">
              <w:rPr>
                <w:sz w:val="22"/>
              </w:rPr>
              <w:t xml:space="preserve"> </w:t>
            </w:r>
            <w:proofErr w:type="spellStart"/>
            <w:r w:rsidRPr="002045F5">
              <w:rPr>
                <w:sz w:val="22"/>
              </w:rPr>
              <w:t>проєкту</w:t>
            </w:r>
            <w:proofErr w:type="spellEnd"/>
            <w:r w:rsidRPr="002045F5">
              <w:rPr>
                <w:sz w:val="22"/>
              </w:rPr>
              <w:t xml:space="preserve"> </w:t>
            </w:r>
            <w:proofErr w:type="spellStart"/>
            <w:r w:rsidRPr="002045F5">
              <w:rPr>
                <w:sz w:val="22"/>
              </w:rPr>
              <w:t>відновлення</w:t>
            </w:r>
            <w:proofErr w:type="spellEnd"/>
            <w:r w:rsidRPr="002045F5">
              <w:rPr>
                <w:sz w:val="22"/>
              </w:rPr>
              <w:t>;</w:t>
            </w:r>
          </w:p>
          <w:p w:rsidR="00822744" w:rsidRPr="002045F5" w:rsidRDefault="00822744" w:rsidP="00524DBF">
            <w:pPr>
              <w:rPr>
                <w:sz w:val="22"/>
              </w:rPr>
            </w:pPr>
            <w:r w:rsidRPr="002045F5">
              <w:rPr>
                <w:sz w:val="22"/>
              </w:rPr>
              <w:t xml:space="preserve">- </w:t>
            </w:r>
            <w:proofErr w:type="spellStart"/>
            <w:r w:rsidRPr="002045F5">
              <w:rPr>
                <w:sz w:val="22"/>
              </w:rPr>
              <w:t>створення</w:t>
            </w:r>
            <w:proofErr w:type="spellEnd"/>
            <w:r w:rsidRPr="002045F5">
              <w:rPr>
                <w:sz w:val="22"/>
              </w:rPr>
              <w:t xml:space="preserve"> </w:t>
            </w:r>
            <w:proofErr w:type="spellStart"/>
            <w:r w:rsidRPr="002045F5">
              <w:rPr>
                <w:sz w:val="22"/>
              </w:rPr>
              <w:t>проєктно-кошторисної</w:t>
            </w:r>
            <w:proofErr w:type="spellEnd"/>
            <w:r w:rsidRPr="002045F5">
              <w:rPr>
                <w:sz w:val="22"/>
              </w:rPr>
              <w:t xml:space="preserve"> </w:t>
            </w:r>
            <w:proofErr w:type="spellStart"/>
            <w:r w:rsidRPr="002045F5">
              <w:rPr>
                <w:sz w:val="22"/>
              </w:rPr>
              <w:t>документації</w:t>
            </w:r>
            <w:proofErr w:type="spellEnd"/>
            <w:r w:rsidRPr="002045F5">
              <w:rPr>
                <w:sz w:val="22"/>
              </w:rPr>
              <w:t>;</w:t>
            </w:r>
          </w:p>
          <w:p w:rsidR="00822744" w:rsidRPr="002045F5" w:rsidRDefault="00822744" w:rsidP="00524DBF">
            <w:pPr>
              <w:rPr>
                <w:sz w:val="22"/>
              </w:rPr>
            </w:pPr>
            <w:r w:rsidRPr="002045F5">
              <w:rPr>
                <w:sz w:val="22"/>
              </w:rPr>
              <w:t xml:space="preserve">- </w:t>
            </w:r>
            <w:proofErr w:type="spellStart"/>
            <w:r w:rsidRPr="002045F5">
              <w:rPr>
                <w:sz w:val="22"/>
              </w:rPr>
              <w:t>звернення</w:t>
            </w:r>
            <w:proofErr w:type="spellEnd"/>
            <w:r w:rsidRPr="002045F5">
              <w:rPr>
                <w:sz w:val="22"/>
              </w:rPr>
              <w:t xml:space="preserve"> до </w:t>
            </w:r>
            <w:proofErr w:type="spellStart"/>
            <w:r w:rsidRPr="002045F5">
              <w:rPr>
                <w:sz w:val="22"/>
              </w:rPr>
              <w:t>експертної</w:t>
            </w:r>
            <w:proofErr w:type="spellEnd"/>
            <w:r w:rsidRPr="002045F5">
              <w:rPr>
                <w:sz w:val="22"/>
              </w:rPr>
              <w:t xml:space="preserve"> </w:t>
            </w:r>
            <w:proofErr w:type="spellStart"/>
            <w:r w:rsidRPr="002045F5">
              <w:rPr>
                <w:sz w:val="22"/>
              </w:rPr>
              <w:t>компанії</w:t>
            </w:r>
            <w:proofErr w:type="spellEnd"/>
            <w:r w:rsidRPr="002045F5">
              <w:rPr>
                <w:sz w:val="22"/>
              </w:rPr>
              <w:t xml:space="preserve"> і </w:t>
            </w:r>
            <w:proofErr w:type="spellStart"/>
            <w:r w:rsidRPr="002045F5">
              <w:rPr>
                <w:sz w:val="22"/>
              </w:rPr>
              <w:t>підписання</w:t>
            </w:r>
            <w:proofErr w:type="spellEnd"/>
            <w:r w:rsidRPr="002045F5">
              <w:rPr>
                <w:sz w:val="22"/>
              </w:rPr>
              <w:t xml:space="preserve"> договору; </w:t>
            </w:r>
          </w:p>
          <w:p w:rsidR="00822744" w:rsidRPr="002045F5" w:rsidRDefault="00822744" w:rsidP="00524DBF">
            <w:pPr>
              <w:rPr>
                <w:sz w:val="22"/>
              </w:rPr>
            </w:pPr>
            <w:r w:rsidRPr="002045F5">
              <w:rPr>
                <w:sz w:val="22"/>
              </w:rPr>
              <w:t xml:space="preserve">- </w:t>
            </w:r>
            <w:proofErr w:type="spellStart"/>
            <w:r w:rsidRPr="002045F5">
              <w:rPr>
                <w:sz w:val="22"/>
              </w:rPr>
              <w:t>проведення</w:t>
            </w:r>
            <w:proofErr w:type="spellEnd"/>
            <w:r w:rsidRPr="002045F5">
              <w:rPr>
                <w:sz w:val="22"/>
              </w:rPr>
              <w:t xml:space="preserve"> </w:t>
            </w:r>
            <w:proofErr w:type="spellStart"/>
            <w:r w:rsidRPr="002045F5">
              <w:rPr>
                <w:sz w:val="22"/>
              </w:rPr>
              <w:t>експертизи</w:t>
            </w:r>
            <w:proofErr w:type="spellEnd"/>
            <w:r w:rsidRPr="002045F5">
              <w:rPr>
                <w:sz w:val="22"/>
              </w:rPr>
              <w:t xml:space="preserve"> </w:t>
            </w:r>
            <w:proofErr w:type="spellStart"/>
            <w:r w:rsidRPr="002045F5">
              <w:rPr>
                <w:sz w:val="22"/>
              </w:rPr>
              <w:t>проєктної</w:t>
            </w:r>
            <w:proofErr w:type="spellEnd"/>
            <w:r w:rsidRPr="002045F5">
              <w:rPr>
                <w:sz w:val="22"/>
              </w:rPr>
              <w:t xml:space="preserve"> </w:t>
            </w:r>
            <w:proofErr w:type="spellStart"/>
            <w:r w:rsidRPr="002045F5">
              <w:rPr>
                <w:sz w:val="22"/>
              </w:rPr>
              <w:t>документації</w:t>
            </w:r>
            <w:proofErr w:type="spellEnd"/>
            <w:r w:rsidRPr="002045F5">
              <w:rPr>
                <w:sz w:val="22"/>
              </w:rPr>
              <w:t>;</w:t>
            </w:r>
          </w:p>
          <w:p w:rsidR="00822744" w:rsidRPr="002045F5" w:rsidRDefault="00822744" w:rsidP="00524DBF">
            <w:pPr>
              <w:rPr>
                <w:sz w:val="22"/>
              </w:rPr>
            </w:pPr>
            <w:r w:rsidRPr="002045F5">
              <w:rPr>
                <w:sz w:val="22"/>
              </w:rPr>
              <w:t xml:space="preserve">- </w:t>
            </w:r>
            <w:proofErr w:type="spellStart"/>
            <w:r w:rsidRPr="002045F5">
              <w:rPr>
                <w:sz w:val="22"/>
              </w:rPr>
              <w:t>усунення</w:t>
            </w:r>
            <w:proofErr w:type="spellEnd"/>
            <w:r w:rsidRPr="002045F5">
              <w:rPr>
                <w:sz w:val="22"/>
              </w:rPr>
              <w:t xml:space="preserve"> </w:t>
            </w:r>
            <w:proofErr w:type="spellStart"/>
            <w:r w:rsidRPr="002045F5">
              <w:rPr>
                <w:sz w:val="22"/>
              </w:rPr>
              <w:t>недоліків</w:t>
            </w:r>
            <w:proofErr w:type="spellEnd"/>
            <w:r w:rsidRPr="002045F5">
              <w:rPr>
                <w:sz w:val="22"/>
              </w:rPr>
              <w:t>;</w:t>
            </w:r>
          </w:p>
          <w:p w:rsidR="00822744" w:rsidRPr="002045F5" w:rsidRDefault="00822744" w:rsidP="00524DBF">
            <w:pPr>
              <w:rPr>
                <w:sz w:val="22"/>
              </w:rPr>
            </w:pPr>
            <w:r w:rsidRPr="002045F5">
              <w:rPr>
                <w:sz w:val="22"/>
              </w:rPr>
              <w:t xml:space="preserve">- </w:t>
            </w:r>
            <w:proofErr w:type="spellStart"/>
            <w:r w:rsidRPr="002045F5">
              <w:rPr>
                <w:sz w:val="22"/>
              </w:rPr>
              <w:t>отримання</w:t>
            </w:r>
            <w:proofErr w:type="spellEnd"/>
            <w:r w:rsidRPr="002045F5">
              <w:rPr>
                <w:sz w:val="22"/>
              </w:rPr>
              <w:t xml:space="preserve"> </w:t>
            </w:r>
            <w:proofErr w:type="spellStart"/>
            <w:r w:rsidRPr="002045F5">
              <w:rPr>
                <w:sz w:val="22"/>
              </w:rPr>
              <w:t>експертного</w:t>
            </w:r>
            <w:proofErr w:type="spellEnd"/>
            <w:r w:rsidRPr="002045F5">
              <w:rPr>
                <w:sz w:val="22"/>
              </w:rPr>
              <w:t xml:space="preserve"> </w:t>
            </w:r>
            <w:proofErr w:type="spellStart"/>
            <w:r w:rsidRPr="002045F5">
              <w:rPr>
                <w:sz w:val="22"/>
              </w:rPr>
              <w:t>звіту</w:t>
            </w:r>
            <w:proofErr w:type="spellEnd"/>
            <w:r w:rsidRPr="002045F5">
              <w:rPr>
                <w:sz w:val="22"/>
              </w:rPr>
              <w:t>;</w:t>
            </w:r>
          </w:p>
          <w:p w:rsidR="00822744" w:rsidRPr="002045F5" w:rsidRDefault="00822744" w:rsidP="00524DBF">
            <w:pPr>
              <w:rPr>
                <w:sz w:val="22"/>
              </w:rPr>
            </w:pPr>
            <w:r w:rsidRPr="002045F5">
              <w:rPr>
                <w:sz w:val="22"/>
              </w:rPr>
              <w:t xml:space="preserve">- </w:t>
            </w:r>
            <w:proofErr w:type="spellStart"/>
            <w:r w:rsidRPr="002045F5">
              <w:rPr>
                <w:sz w:val="22"/>
              </w:rPr>
              <w:t>вивчення</w:t>
            </w:r>
            <w:proofErr w:type="spellEnd"/>
            <w:r w:rsidRPr="002045F5">
              <w:rPr>
                <w:sz w:val="22"/>
              </w:rPr>
              <w:t xml:space="preserve"> </w:t>
            </w:r>
            <w:proofErr w:type="spellStart"/>
            <w:r w:rsidRPr="002045F5">
              <w:rPr>
                <w:sz w:val="22"/>
              </w:rPr>
              <w:t>будівельно-підрядної</w:t>
            </w:r>
            <w:proofErr w:type="spellEnd"/>
            <w:r w:rsidRPr="002045F5">
              <w:rPr>
                <w:sz w:val="22"/>
              </w:rPr>
              <w:t xml:space="preserve"> </w:t>
            </w:r>
            <w:proofErr w:type="spellStart"/>
            <w:r w:rsidRPr="002045F5">
              <w:rPr>
                <w:sz w:val="22"/>
              </w:rPr>
              <w:t>організації</w:t>
            </w:r>
            <w:proofErr w:type="spellEnd"/>
            <w:r w:rsidRPr="002045F5">
              <w:rPr>
                <w:sz w:val="22"/>
              </w:rPr>
              <w:t xml:space="preserve">, </w:t>
            </w:r>
            <w:proofErr w:type="spellStart"/>
            <w:r w:rsidRPr="002045F5">
              <w:rPr>
                <w:sz w:val="22"/>
              </w:rPr>
              <w:t>укладання</w:t>
            </w:r>
            <w:proofErr w:type="spellEnd"/>
            <w:r w:rsidRPr="002045F5">
              <w:rPr>
                <w:sz w:val="22"/>
              </w:rPr>
              <w:t xml:space="preserve"> угоди </w:t>
            </w:r>
            <w:proofErr w:type="spellStart"/>
            <w:r w:rsidRPr="002045F5">
              <w:rPr>
                <w:sz w:val="22"/>
              </w:rPr>
              <w:t>із</w:t>
            </w:r>
            <w:proofErr w:type="spellEnd"/>
            <w:r w:rsidRPr="002045F5">
              <w:rPr>
                <w:sz w:val="22"/>
              </w:rPr>
              <w:t xml:space="preserve"> </w:t>
            </w:r>
            <w:proofErr w:type="spellStart"/>
            <w:r w:rsidRPr="002045F5">
              <w:rPr>
                <w:sz w:val="22"/>
              </w:rPr>
              <w:t>організацією-підрядником</w:t>
            </w:r>
            <w:proofErr w:type="spellEnd"/>
            <w:r w:rsidRPr="002045F5">
              <w:rPr>
                <w:sz w:val="22"/>
              </w:rPr>
              <w:t xml:space="preserve"> та </w:t>
            </w:r>
            <w:proofErr w:type="spellStart"/>
            <w:r w:rsidRPr="002045F5">
              <w:rPr>
                <w:sz w:val="22"/>
              </w:rPr>
              <w:t>проведення</w:t>
            </w:r>
            <w:proofErr w:type="spellEnd"/>
            <w:r w:rsidRPr="002045F5">
              <w:rPr>
                <w:sz w:val="22"/>
              </w:rPr>
              <w:t xml:space="preserve"> </w:t>
            </w:r>
            <w:proofErr w:type="spellStart"/>
            <w:r w:rsidRPr="002045F5">
              <w:rPr>
                <w:sz w:val="22"/>
              </w:rPr>
              <w:t>підготовчих</w:t>
            </w:r>
            <w:proofErr w:type="spellEnd"/>
            <w:r w:rsidRPr="002045F5">
              <w:rPr>
                <w:sz w:val="22"/>
              </w:rPr>
              <w:t xml:space="preserve"> </w:t>
            </w:r>
            <w:proofErr w:type="spellStart"/>
            <w:r w:rsidRPr="002045F5">
              <w:rPr>
                <w:sz w:val="22"/>
              </w:rPr>
              <w:t>заходів</w:t>
            </w:r>
            <w:proofErr w:type="spellEnd"/>
            <w:r w:rsidRPr="002045F5">
              <w:rPr>
                <w:sz w:val="22"/>
              </w:rPr>
              <w:t xml:space="preserve"> по </w:t>
            </w:r>
            <w:proofErr w:type="spellStart"/>
            <w:r w:rsidRPr="002045F5">
              <w:rPr>
                <w:sz w:val="22"/>
              </w:rPr>
              <w:t>виконанню</w:t>
            </w:r>
            <w:proofErr w:type="spellEnd"/>
            <w:r w:rsidRPr="002045F5">
              <w:rPr>
                <w:sz w:val="22"/>
              </w:rPr>
              <w:t xml:space="preserve"> </w:t>
            </w:r>
            <w:proofErr w:type="spellStart"/>
            <w:r w:rsidRPr="002045F5">
              <w:rPr>
                <w:sz w:val="22"/>
              </w:rPr>
              <w:t>будівельних</w:t>
            </w:r>
            <w:proofErr w:type="spellEnd"/>
            <w:r w:rsidRPr="002045F5">
              <w:rPr>
                <w:sz w:val="22"/>
              </w:rPr>
              <w:t xml:space="preserve"> </w:t>
            </w:r>
            <w:proofErr w:type="spellStart"/>
            <w:r w:rsidRPr="002045F5">
              <w:rPr>
                <w:sz w:val="22"/>
              </w:rPr>
              <w:t>робіт</w:t>
            </w:r>
            <w:proofErr w:type="spellEnd"/>
            <w:r w:rsidRPr="002045F5">
              <w:rPr>
                <w:sz w:val="22"/>
              </w:rPr>
              <w:t>;</w:t>
            </w:r>
          </w:p>
          <w:p w:rsidR="00822744" w:rsidRPr="002045F5" w:rsidRDefault="00822744" w:rsidP="00524DBF">
            <w:pPr>
              <w:rPr>
                <w:sz w:val="22"/>
              </w:rPr>
            </w:pPr>
            <w:r w:rsidRPr="002045F5">
              <w:rPr>
                <w:sz w:val="22"/>
              </w:rPr>
              <w:t xml:space="preserve"> - </w:t>
            </w:r>
            <w:proofErr w:type="spellStart"/>
            <w:r w:rsidRPr="002045F5">
              <w:rPr>
                <w:sz w:val="22"/>
              </w:rPr>
              <w:t>проведення</w:t>
            </w:r>
            <w:proofErr w:type="spellEnd"/>
            <w:r w:rsidRPr="002045F5">
              <w:rPr>
                <w:sz w:val="22"/>
              </w:rPr>
              <w:t xml:space="preserve"> </w:t>
            </w:r>
            <w:proofErr w:type="spellStart"/>
            <w:r w:rsidRPr="002045F5">
              <w:rPr>
                <w:sz w:val="22"/>
              </w:rPr>
              <w:t>робіт</w:t>
            </w:r>
            <w:proofErr w:type="spellEnd"/>
            <w:r w:rsidRPr="002045F5">
              <w:rPr>
                <w:sz w:val="22"/>
              </w:rPr>
              <w:t xml:space="preserve"> з </w:t>
            </w:r>
            <w:proofErr w:type="spellStart"/>
            <w:r w:rsidRPr="002045F5">
              <w:rPr>
                <w:sz w:val="22"/>
              </w:rPr>
              <w:t>капітального</w:t>
            </w:r>
            <w:proofErr w:type="spellEnd"/>
            <w:r w:rsidRPr="002045F5">
              <w:rPr>
                <w:sz w:val="22"/>
              </w:rPr>
              <w:t xml:space="preserve"> ремонту; </w:t>
            </w:r>
          </w:p>
          <w:p w:rsidR="00822744" w:rsidRPr="002045F5" w:rsidRDefault="00822744" w:rsidP="00524DBF">
            <w:pPr>
              <w:rPr>
                <w:sz w:val="22"/>
              </w:rPr>
            </w:pPr>
            <w:r w:rsidRPr="002045F5">
              <w:rPr>
                <w:sz w:val="22"/>
              </w:rPr>
              <w:t xml:space="preserve">- </w:t>
            </w:r>
            <w:proofErr w:type="spellStart"/>
            <w:r w:rsidRPr="002045F5">
              <w:rPr>
                <w:sz w:val="22"/>
              </w:rPr>
              <w:t>організація</w:t>
            </w:r>
            <w:proofErr w:type="spellEnd"/>
            <w:r w:rsidRPr="002045F5">
              <w:rPr>
                <w:sz w:val="22"/>
              </w:rPr>
              <w:t xml:space="preserve"> та початок </w:t>
            </w:r>
            <w:proofErr w:type="spellStart"/>
            <w:r w:rsidRPr="002045F5">
              <w:rPr>
                <w:sz w:val="22"/>
              </w:rPr>
              <w:t>освітнього</w:t>
            </w:r>
            <w:proofErr w:type="spellEnd"/>
            <w:r w:rsidRPr="002045F5">
              <w:rPr>
                <w:sz w:val="22"/>
              </w:rPr>
              <w:t xml:space="preserve"> </w:t>
            </w:r>
            <w:proofErr w:type="spellStart"/>
            <w:r w:rsidRPr="002045F5">
              <w:rPr>
                <w:sz w:val="22"/>
              </w:rPr>
              <w:t>процесу</w:t>
            </w:r>
            <w:proofErr w:type="spellEnd"/>
            <w:r w:rsidRPr="002045F5">
              <w:rPr>
                <w:sz w:val="22"/>
              </w:rPr>
              <w:t>.</w:t>
            </w:r>
          </w:p>
        </w:tc>
      </w:tr>
      <w:tr w:rsidR="00822744" w:rsidRPr="002045F5" w:rsidTr="00822744">
        <w:trPr>
          <w:trHeight w:val="360"/>
        </w:trPr>
        <w:tc>
          <w:tcPr>
            <w:tcW w:w="3006" w:type="dxa"/>
            <w:vMerge w:val="restart"/>
            <w:shd w:val="clear" w:color="auto" w:fill="C6D9F1" w:themeFill="text2" w:themeFillTint="33"/>
          </w:tcPr>
          <w:p w:rsidR="00822744" w:rsidRPr="002045F5" w:rsidRDefault="00822744" w:rsidP="00524DBF">
            <w:pPr>
              <w:pStyle w:val="a7"/>
              <w:ind w:left="0"/>
              <w:rPr>
                <w:b/>
                <w:sz w:val="22"/>
              </w:rPr>
            </w:pPr>
            <w:proofErr w:type="spellStart"/>
            <w:r w:rsidRPr="002045F5">
              <w:rPr>
                <w:b/>
                <w:sz w:val="22"/>
              </w:rPr>
              <w:t>Орієнтовний</w:t>
            </w:r>
            <w:proofErr w:type="spellEnd"/>
            <w:r w:rsidRPr="002045F5">
              <w:rPr>
                <w:b/>
                <w:sz w:val="22"/>
              </w:rPr>
              <w:t xml:space="preserve"> </w:t>
            </w:r>
            <w:proofErr w:type="spellStart"/>
            <w:r w:rsidRPr="002045F5">
              <w:rPr>
                <w:b/>
                <w:sz w:val="22"/>
              </w:rPr>
              <w:t>обсяг</w:t>
            </w:r>
            <w:proofErr w:type="spellEnd"/>
            <w:r w:rsidRPr="002045F5">
              <w:rPr>
                <w:b/>
                <w:sz w:val="22"/>
              </w:rPr>
              <w:t xml:space="preserve"> та </w:t>
            </w:r>
            <w:proofErr w:type="spellStart"/>
            <w:r w:rsidRPr="002045F5">
              <w:rPr>
                <w:b/>
                <w:sz w:val="22"/>
              </w:rPr>
              <w:t>джерела</w:t>
            </w:r>
            <w:proofErr w:type="spellEnd"/>
            <w:r w:rsidRPr="002045F5">
              <w:rPr>
                <w:b/>
                <w:sz w:val="22"/>
              </w:rPr>
              <w:t xml:space="preserve"> </w:t>
            </w:r>
            <w:proofErr w:type="spellStart"/>
            <w:r w:rsidRPr="002045F5">
              <w:rPr>
                <w:b/>
                <w:sz w:val="22"/>
              </w:rPr>
              <w:t>фінансування</w:t>
            </w:r>
            <w:proofErr w:type="spellEnd"/>
            <w:r w:rsidRPr="002045F5">
              <w:rPr>
                <w:b/>
                <w:sz w:val="22"/>
              </w:rPr>
              <w:t xml:space="preserve">, тис. грн. </w:t>
            </w:r>
          </w:p>
          <w:p w:rsidR="00822744" w:rsidRPr="002045F5" w:rsidRDefault="00822744" w:rsidP="00524DBF">
            <w:pPr>
              <w:pStyle w:val="a7"/>
              <w:ind w:left="0"/>
              <w:rPr>
                <w:b/>
                <w:sz w:val="22"/>
              </w:rPr>
            </w:pPr>
          </w:p>
        </w:tc>
        <w:tc>
          <w:tcPr>
            <w:tcW w:w="1485" w:type="dxa"/>
            <w:tcBorders>
              <w:bottom w:val="single" w:sz="4" w:space="0" w:color="auto"/>
              <w:right w:val="single" w:sz="4" w:space="0" w:color="auto"/>
            </w:tcBorders>
          </w:tcPr>
          <w:p w:rsidR="00822744" w:rsidRPr="002045F5" w:rsidRDefault="00822744" w:rsidP="00524DBF">
            <w:pPr>
              <w:pStyle w:val="a7"/>
              <w:ind w:left="0"/>
              <w:jc w:val="center"/>
              <w:rPr>
                <w:b/>
                <w:sz w:val="22"/>
              </w:rPr>
            </w:pPr>
            <w:proofErr w:type="spellStart"/>
            <w:r w:rsidRPr="002045F5">
              <w:rPr>
                <w:b/>
                <w:sz w:val="22"/>
              </w:rPr>
              <w:t>Державний</w:t>
            </w:r>
            <w:proofErr w:type="spellEnd"/>
            <w:r w:rsidRPr="002045F5">
              <w:rPr>
                <w:b/>
                <w:sz w:val="22"/>
              </w:rPr>
              <w:t xml:space="preserve"> бюджет</w:t>
            </w:r>
          </w:p>
        </w:tc>
        <w:tc>
          <w:tcPr>
            <w:tcW w:w="1356" w:type="dxa"/>
            <w:tcBorders>
              <w:bottom w:val="single" w:sz="4" w:space="0" w:color="auto"/>
              <w:right w:val="single" w:sz="4" w:space="0" w:color="auto"/>
            </w:tcBorders>
          </w:tcPr>
          <w:p w:rsidR="00822744" w:rsidRPr="002045F5" w:rsidRDefault="00822744" w:rsidP="00524DBF">
            <w:pPr>
              <w:pStyle w:val="a7"/>
              <w:ind w:left="0"/>
              <w:jc w:val="center"/>
              <w:rPr>
                <w:b/>
                <w:sz w:val="22"/>
              </w:rPr>
            </w:pPr>
            <w:proofErr w:type="spellStart"/>
            <w:r w:rsidRPr="002045F5">
              <w:rPr>
                <w:b/>
                <w:sz w:val="22"/>
              </w:rPr>
              <w:t>Місцевий</w:t>
            </w:r>
            <w:proofErr w:type="spellEnd"/>
            <w:r w:rsidRPr="002045F5">
              <w:rPr>
                <w:b/>
                <w:sz w:val="22"/>
              </w:rPr>
              <w:t xml:space="preserve"> бюджет</w:t>
            </w:r>
          </w:p>
        </w:tc>
        <w:tc>
          <w:tcPr>
            <w:tcW w:w="2631" w:type="dxa"/>
            <w:gridSpan w:val="4"/>
            <w:tcBorders>
              <w:left w:val="single" w:sz="4" w:space="0" w:color="auto"/>
              <w:bottom w:val="single" w:sz="4" w:space="0" w:color="auto"/>
              <w:right w:val="single" w:sz="4" w:space="0" w:color="auto"/>
            </w:tcBorders>
          </w:tcPr>
          <w:p w:rsidR="00822744" w:rsidRPr="002045F5" w:rsidRDefault="00822744" w:rsidP="00524DBF">
            <w:pPr>
              <w:pStyle w:val="a7"/>
              <w:ind w:left="0"/>
              <w:jc w:val="center"/>
              <w:rPr>
                <w:b/>
                <w:sz w:val="22"/>
              </w:rPr>
            </w:pPr>
            <w:proofErr w:type="spellStart"/>
            <w:r w:rsidRPr="002045F5">
              <w:rPr>
                <w:b/>
                <w:sz w:val="22"/>
              </w:rPr>
              <w:t>Інші</w:t>
            </w:r>
            <w:proofErr w:type="spellEnd"/>
            <w:r w:rsidRPr="002045F5">
              <w:rPr>
                <w:b/>
                <w:sz w:val="22"/>
              </w:rPr>
              <w:t xml:space="preserve"> </w:t>
            </w:r>
            <w:proofErr w:type="spellStart"/>
            <w:r w:rsidRPr="002045F5">
              <w:rPr>
                <w:b/>
                <w:sz w:val="22"/>
              </w:rPr>
              <w:t>джерела</w:t>
            </w:r>
            <w:proofErr w:type="spellEnd"/>
          </w:p>
        </w:tc>
        <w:tc>
          <w:tcPr>
            <w:tcW w:w="1410" w:type="dxa"/>
            <w:tcBorders>
              <w:left w:val="single" w:sz="4" w:space="0" w:color="auto"/>
              <w:bottom w:val="single" w:sz="4" w:space="0" w:color="auto"/>
            </w:tcBorders>
          </w:tcPr>
          <w:p w:rsidR="00822744" w:rsidRPr="002045F5" w:rsidRDefault="00822744" w:rsidP="00524DBF">
            <w:pPr>
              <w:pStyle w:val="a7"/>
              <w:ind w:left="0"/>
              <w:jc w:val="center"/>
              <w:rPr>
                <w:b/>
                <w:sz w:val="22"/>
              </w:rPr>
            </w:pPr>
            <w:proofErr w:type="spellStart"/>
            <w:r w:rsidRPr="002045F5">
              <w:rPr>
                <w:b/>
                <w:sz w:val="22"/>
              </w:rPr>
              <w:t>Всього</w:t>
            </w:r>
            <w:proofErr w:type="spellEnd"/>
          </w:p>
        </w:tc>
      </w:tr>
      <w:tr w:rsidR="00822744" w:rsidRPr="002045F5" w:rsidTr="00822744">
        <w:trPr>
          <w:trHeight w:val="225"/>
        </w:trPr>
        <w:tc>
          <w:tcPr>
            <w:tcW w:w="3006" w:type="dxa"/>
            <w:vMerge/>
            <w:shd w:val="clear" w:color="auto" w:fill="C6D9F1" w:themeFill="text2" w:themeFillTint="33"/>
          </w:tcPr>
          <w:p w:rsidR="00822744" w:rsidRPr="002045F5" w:rsidRDefault="00822744" w:rsidP="00524DBF">
            <w:pPr>
              <w:pStyle w:val="a7"/>
              <w:ind w:left="0"/>
              <w:rPr>
                <w:b/>
                <w:sz w:val="22"/>
              </w:rPr>
            </w:pPr>
          </w:p>
        </w:tc>
        <w:tc>
          <w:tcPr>
            <w:tcW w:w="1485" w:type="dxa"/>
            <w:vMerge w:val="restart"/>
            <w:tcBorders>
              <w:top w:val="single" w:sz="4" w:space="0" w:color="auto"/>
              <w:right w:val="single" w:sz="4" w:space="0" w:color="auto"/>
            </w:tcBorders>
          </w:tcPr>
          <w:p w:rsidR="00822744" w:rsidRPr="002045F5" w:rsidRDefault="00822744" w:rsidP="00524DBF">
            <w:pPr>
              <w:pStyle w:val="a7"/>
              <w:ind w:left="0"/>
              <w:jc w:val="center"/>
              <w:rPr>
                <w:sz w:val="22"/>
                <w:lang w:val="en-US"/>
              </w:rPr>
            </w:pPr>
            <w:r w:rsidRPr="002045F5">
              <w:rPr>
                <w:sz w:val="22"/>
                <w:lang w:val="en-US"/>
              </w:rPr>
              <w:t>5 000.00</w:t>
            </w:r>
          </w:p>
        </w:tc>
        <w:tc>
          <w:tcPr>
            <w:tcW w:w="1356" w:type="dxa"/>
            <w:vMerge w:val="restart"/>
            <w:tcBorders>
              <w:top w:val="single" w:sz="4" w:space="0" w:color="auto"/>
              <w:right w:val="single" w:sz="4" w:space="0" w:color="auto"/>
            </w:tcBorders>
          </w:tcPr>
          <w:p w:rsidR="00822744" w:rsidRPr="002045F5" w:rsidRDefault="00822744" w:rsidP="00524DBF">
            <w:pPr>
              <w:pStyle w:val="a7"/>
              <w:ind w:left="0"/>
              <w:jc w:val="center"/>
              <w:rPr>
                <w:b/>
                <w:sz w:val="22"/>
              </w:rPr>
            </w:pPr>
            <w:r w:rsidRPr="002045F5">
              <w:rPr>
                <w:b/>
                <w:sz w:val="22"/>
              </w:rPr>
              <w:t>-</w:t>
            </w:r>
          </w:p>
        </w:tc>
        <w:tc>
          <w:tcPr>
            <w:tcW w:w="1176" w:type="dxa"/>
            <w:gridSpan w:val="2"/>
            <w:tcBorders>
              <w:top w:val="single" w:sz="4" w:space="0" w:color="auto"/>
              <w:left w:val="single" w:sz="4" w:space="0" w:color="auto"/>
              <w:bottom w:val="single" w:sz="4" w:space="0" w:color="auto"/>
              <w:right w:val="single" w:sz="4" w:space="0" w:color="auto"/>
            </w:tcBorders>
          </w:tcPr>
          <w:p w:rsidR="00822744" w:rsidRPr="002045F5" w:rsidRDefault="00822744" w:rsidP="00524DBF">
            <w:pPr>
              <w:pStyle w:val="a7"/>
              <w:ind w:left="0"/>
              <w:jc w:val="center"/>
              <w:rPr>
                <w:b/>
                <w:sz w:val="22"/>
              </w:rPr>
            </w:pPr>
            <w:proofErr w:type="spellStart"/>
            <w:r w:rsidRPr="002045F5">
              <w:rPr>
                <w:b/>
                <w:sz w:val="22"/>
              </w:rPr>
              <w:t>Обсяг</w:t>
            </w:r>
            <w:proofErr w:type="spellEnd"/>
          </w:p>
        </w:tc>
        <w:tc>
          <w:tcPr>
            <w:tcW w:w="1455" w:type="dxa"/>
            <w:gridSpan w:val="2"/>
            <w:tcBorders>
              <w:top w:val="single" w:sz="4" w:space="0" w:color="auto"/>
              <w:left w:val="single" w:sz="4" w:space="0" w:color="auto"/>
              <w:bottom w:val="single" w:sz="4" w:space="0" w:color="auto"/>
              <w:right w:val="single" w:sz="4" w:space="0" w:color="auto"/>
            </w:tcBorders>
          </w:tcPr>
          <w:p w:rsidR="00822744" w:rsidRPr="002045F5" w:rsidRDefault="00822744" w:rsidP="00524DBF">
            <w:pPr>
              <w:pStyle w:val="a7"/>
              <w:ind w:left="0"/>
              <w:jc w:val="center"/>
              <w:rPr>
                <w:b/>
                <w:sz w:val="22"/>
              </w:rPr>
            </w:pPr>
            <w:proofErr w:type="spellStart"/>
            <w:r w:rsidRPr="002045F5">
              <w:rPr>
                <w:b/>
                <w:sz w:val="22"/>
              </w:rPr>
              <w:t>Назва</w:t>
            </w:r>
            <w:proofErr w:type="spellEnd"/>
            <w:r w:rsidRPr="002045F5">
              <w:rPr>
                <w:b/>
                <w:sz w:val="22"/>
              </w:rPr>
              <w:t xml:space="preserve"> </w:t>
            </w:r>
            <w:proofErr w:type="spellStart"/>
            <w:r w:rsidRPr="002045F5">
              <w:rPr>
                <w:b/>
                <w:sz w:val="22"/>
              </w:rPr>
              <w:t>джерела</w:t>
            </w:r>
            <w:proofErr w:type="spellEnd"/>
          </w:p>
        </w:tc>
        <w:tc>
          <w:tcPr>
            <w:tcW w:w="1410" w:type="dxa"/>
            <w:vMerge w:val="restart"/>
            <w:tcBorders>
              <w:top w:val="single" w:sz="4" w:space="0" w:color="auto"/>
              <w:left w:val="single" w:sz="4" w:space="0" w:color="auto"/>
            </w:tcBorders>
          </w:tcPr>
          <w:p w:rsidR="00822744" w:rsidRPr="002045F5" w:rsidRDefault="00822744" w:rsidP="00524DBF">
            <w:pPr>
              <w:pStyle w:val="a7"/>
              <w:ind w:left="0"/>
              <w:rPr>
                <w:sz w:val="22"/>
              </w:rPr>
            </w:pPr>
            <w:r w:rsidRPr="002045F5">
              <w:rPr>
                <w:sz w:val="22"/>
              </w:rPr>
              <w:t xml:space="preserve">15 000,00 </w:t>
            </w:r>
          </w:p>
        </w:tc>
      </w:tr>
      <w:tr w:rsidR="00822744" w:rsidRPr="002045F5" w:rsidTr="00822744">
        <w:trPr>
          <w:trHeight w:val="300"/>
        </w:trPr>
        <w:tc>
          <w:tcPr>
            <w:tcW w:w="3006" w:type="dxa"/>
            <w:vMerge/>
            <w:shd w:val="clear" w:color="auto" w:fill="C6D9F1" w:themeFill="text2" w:themeFillTint="33"/>
          </w:tcPr>
          <w:p w:rsidR="00822744" w:rsidRPr="002045F5" w:rsidRDefault="00822744" w:rsidP="00524DBF">
            <w:pPr>
              <w:pStyle w:val="a7"/>
              <w:ind w:left="0"/>
              <w:rPr>
                <w:b/>
                <w:sz w:val="22"/>
              </w:rPr>
            </w:pPr>
          </w:p>
        </w:tc>
        <w:tc>
          <w:tcPr>
            <w:tcW w:w="1485" w:type="dxa"/>
            <w:vMerge/>
            <w:tcBorders>
              <w:right w:val="single" w:sz="4" w:space="0" w:color="auto"/>
            </w:tcBorders>
          </w:tcPr>
          <w:p w:rsidR="00822744" w:rsidRPr="002045F5" w:rsidRDefault="00822744" w:rsidP="00524DBF">
            <w:pPr>
              <w:pStyle w:val="a7"/>
              <w:ind w:left="0"/>
              <w:jc w:val="center"/>
              <w:rPr>
                <w:sz w:val="22"/>
              </w:rPr>
            </w:pPr>
          </w:p>
        </w:tc>
        <w:tc>
          <w:tcPr>
            <w:tcW w:w="1356" w:type="dxa"/>
            <w:vMerge/>
            <w:tcBorders>
              <w:right w:val="single" w:sz="4" w:space="0" w:color="auto"/>
            </w:tcBorders>
          </w:tcPr>
          <w:p w:rsidR="00822744" w:rsidRPr="002045F5" w:rsidRDefault="00822744" w:rsidP="00524DBF">
            <w:pPr>
              <w:pStyle w:val="a7"/>
              <w:ind w:left="0"/>
              <w:jc w:val="center"/>
              <w:rPr>
                <w:b/>
                <w:sz w:val="22"/>
              </w:rPr>
            </w:pPr>
          </w:p>
        </w:tc>
        <w:tc>
          <w:tcPr>
            <w:tcW w:w="1176" w:type="dxa"/>
            <w:gridSpan w:val="2"/>
            <w:tcBorders>
              <w:top w:val="single" w:sz="4" w:space="0" w:color="auto"/>
              <w:left w:val="single" w:sz="4" w:space="0" w:color="auto"/>
              <w:right w:val="single" w:sz="4" w:space="0" w:color="auto"/>
            </w:tcBorders>
          </w:tcPr>
          <w:p w:rsidR="00822744" w:rsidRPr="002045F5" w:rsidRDefault="00822744" w:rsidP="00524DBF">
            <w:pPr>
              <w:pStyle w:val="a7"/>
              <w:ind w:left="0"/>
              <w:rPr>
                <w:sz w:val="22"/>
              </w:rPr>
            </w:pPr>
            <w:r w:rsidRPr="002045F5">
              <w:rPr>
                <w:sz w:val="22"/>
              </w:rPr>
              <w:t>1</w:t>
            </w:r>
            <w:r w:rsidRPr="002045F5">
              <w:rPr>
                <w:sz w:val="22"/>
                <w:lang w:val="en-US"/>
              </w:rPr>
              <w:t>0</w:t>
            </w:r>
            <w:r w:rsidRPr="002045F5">
              <w:rPr>
                <w:sz w:val="22"/>
              </w:rPr>
              <w:t> 000,00</w:t>
            </w:r>
          </w:p>
        </w:tc>
        <w:tc>
          <w:tcPr>
            <w:tcW w:w="1455" w:type="dxa"/>
            <w:gridSpan w:val="2"/>
            <w:tcBorders>
              <w:top w:val="single" w:sz="4" w:space="0" w:color="auto"/>
              <w:left w:val="single" w:sz="4" w:space="0" w:color="auto"/>
              <w:right w:val="single" w:sz="4" w:space="0" w:color="auto"/>
            </w:tcBorders>
          </w:tcPr>
          <w:p w:rsidR="00822744" w:rsidRPr="002045F5" w:rsidRDefault="00822744" w:rsidP="00524DBF">
            <w:pPr>
              <w:pStyle w:val="a7"/>
              <w:ind w:left="0"/>
              <w:jc w:val="center"/>
              <w:rPr>
                <w:sz w:val="22"/>
              </w:rPr>
            </w:pPr>
            <w:proofErr w:type="spellStart"/>
            <w:r w:rsidRPr="002045F5">
              <w:rPr>
                <w:sz w:val="22"/>
              </w:rPr>
              <w:t>Міжнародні</w:t>
            </w:r>
            <w:proofErr w:type="spellEnd"/>
            <w:r w:rsidRPr="002045F5">
              <w:rPr>
                <w:sz w:val="22"/>
              </w:rPr>
              <w:t xml:space="preserve"> </w:t>
            </w:r>
            <w:proofErr w:type="spellStart"/>
            <w:r w:rsidRPr="002045F5">
              <w:rPr>
                <w:sz w:val="22"/>
              </w:rPr>
              <w:t>інвестиції</w:t>
            </w:r>
            <w:proofErr w:type="spellEnd"/>
            <w:r w:rsidRPr="002045F5">
              <w:rPr>
                <w:sz w:val="22"/>
              </w:rPr>
              <w:t xml:space="preserve">, </w:t>
            </w:r>
            <w:proofErr w:type="spellStart"/>
            <w:r w:rsidRPr="002045F5">
              <w:rPr>
                <w:sz w:val="22"/>
              </w:rPr>
              <w:t>кошти</w:t>
            </w:r>
            <w:proofErr w:type="spellEnd"/>
            <w:r w:rsidRPr="002045F5">
              <w:rPr>
                <w:sz w:val="22"/>
              </w:rPr>
              <w:t xml:space="preserve"> </w:t>
            </w:r>
            <w:proofErr w:type="spellStart"/>
            <w:r w:rsidRPr="002045F5">
              <w:rPr>
                <w:sz w:val="22"/>
              </w:rPr>
              <w:t>приватних</w:t>
            </w:r>
            <w:proofErr w:type="spellEnd"/>
            <w:r w:rsidRPr="002045F5">
              <w:rPr>
                <w:sz w:val="22"/>
              </w:rPr>
              <w:t xml:space="preserve"> </w:t>
            </w:r>
            <w:proofErr w:type="spellStart"/>
            <w:r w:rsidRPr="002045F5">
              <w:rPr>
                <w:sz w:val="22"/>
              </w:rPr>
              <w:t>осіб</w:t>
            </w:r>
            <w:proofErr w:type="spellEnd"/>
          </w:p>
        </w:tc>
        <w:tc>
          <w:tcPr>
            <w:tcW w:w="1410" w:type="dxa"/>
            <w:vMerge/>
            <w:tcBorders>
              <w:left w:val="single" w:sz="4" w:space="0" w:color="auto"/>
            </w:tcBorders>
          </w:tcPr>
          <w:p w:rsidR="00822744" w:rsidRPr="002045F5" w:rsidRDefault="00822744" w:rsidP="00524DBF">
            <w:pPr>
              <w:pStyle w:val="a7"/>
              <w:ind w:left="0"/>
              <w:jc w:val="center"/>
              <w:rPr>
                <w:sz w:val="22"/>
              </w:rPr>
            </w:pPr>
          </w:p>
        </w:tc>
      </w:tr>
    </w:tbl>
    <w:p w:rsidR="00822744" w:rsidRPr="002045F5" w:rsidRDefault="00822744" w:rsidP="00E95FB1">
      <w:pPr>
        <w:rPr>
          <w:sz w:val="22"/>
        </w:rPr>
      </w:pPr>
    </w:p>
    <w:p w:rsidR="00822744" w:rsidRPr="002045F5" w:rsidRDefault="00822744" w:rsidP="00E95FB1">
      <w:pPr>
        <w:rPr>
          <w:sz w:val="22"/>
        </w:rPr>
      </w:pPr>
    </w:p>
    <w:p w:rsidR="00822744" w:rsidRPr="002045F5" w:rsidRDefault="00822744" w:rsidP="00E95FB1">
      <w:pPr>
        <w:rPr>
          <w:sz w:val="22"/>
        </w:rPr>
      </w:pPr>
    </w:p>
    <w:tbl>
      <w:tblPr>
        <w:tblStyle w:val="af"/>
        <w:tblW w:w="0" w:type="auto"/>
        <w:tblInd w:w="-176" w:type="dxa"/>
        <w:tblLook w:val="04A0" w:firstRow="1" w:lastRow="0" w:firstColumn="1" w:lastColumn="0" w:noHBand="0" w:noVBand="1"/>
      </w:tblPr>
      <w:tblGrid>
        <w:gridCol w:w="2849"/>
        <w:gridCol w:w="1559"/>
        <w:gridCol w:w="1347"/>
        <w:gridCol w:w="420"/>
        <w:gridCol w:w="642"/>
        <w:gridCol w:w="1201"/>
        <w:gridCol w:w="244"/>
        <w:gridCol w:w="1400"/>
      </w:tblGrid>
      <w:tr w:rsidR="00822744" w:rsidRPr="002045F5" w:rsidTr="00822744">
        <w:tc>
          <w:tcPr>
            <w:tcW w:w="2978" w:type="dxa"/>
            <w:shd w:val="clear" w:color="auto" w:fill="C6D9F1" w:themeFill="text2" w:themeFillTint="33"/>
          </w:tcPr>
          <w:p w:rsidR="00822744" w:rsidRPr="002045F5" w:rsidRDefault="00822744" w:rsidP="00524DBF">
            <w:pPr>
              <w:pStyle w:val="a7"/>
              <w:ind w:left="0"/>
              <w:rPr>
                <w:b/>
                <w:sz w:val="22"/>
              </w:rPr>
            </w:pPr>
            <w:r w:rsidRPr="002045F5">
              <w:rPr>
                <w:b/>
                <w:sz w:val="22"/>
              </w:rPr>
              <w:t xml:space="preserve">Оперативна </w:t>
            </w:r>
            <w:proofErr w:type="spellStart"/>
            <w:r w:rsidRPr="002045F5">
              <w:rPr>
                <w:b/>
                <w:sz w:val="22"/>
              </w:rPr>
              <w:t>ціль</w:t>
            </w:r>
            <w:proofErr w:type="spellEnd"/>
            <w:r w:rsidRPr="002045F5">
              <w:rPr>
                <w:b/>
                <w:sz w:val="22"/>
              </w:rPr>
              <w:t>/</w:t>
            </w:r>
            <w:proofErr w:type="spellStart"/>
            <w:r w:rsidRPr="002045F5">
              <w:rPr>
                <w:b/>
                <w:sz w:val="22"/>
              </w:rPr>
              <w:t>завдання</w:t>
            </w:r>
            <w:proofErr w:type="spellEnd"/>
          </w:p>
        </w:tc>
        <w:tc>
          <w:tcPr>
            <w:tcW w:w="6910" w:type="dxa"/>
            <w:gridSpan w:val="7"/>
            <w:shd w:val="clear" w:color="auto" w:fill="auto"/>
          </w:tcPr>
          <w:p w:rsidR="00822744" w:rsidRPr="002045F5" w:rsidRDefault="00822744" w:rsidP="00524DBF">
            <w:pPr>
              <w:rPr>
                <w:sz w:val="22"/>
              </w:rPr>
            </w:pPr>
            <w:proofErr w:type="spellStart"/>
            <w:r w:rsidRPr="002045F5">
              <w:rPr>
                <w:sz w:val="22"/>
              </w:rPr>
              <w:t>Людський</w:t>
            </w:r>
            <w:proofErr w:type="spellEnd"/>
            <w:r w:rsidRPr="002045F5">
              <w:rPr>
                <w:sz w:val="22"/>
              </w:rPr>
              <w:t xml:space="preserve"> </w:t>
            </w:r>
            <w:proofErr w:type="spellStart"/>
            <w:r w:rsidRPr="002045F5">
              <w:rPr>
                <w:sz w:val="22"/>
              </w:rPr>
              <w:t>розвиток</w:t>
            </w:r>
            <w:proofErr w:type="spellEnd"/>
            <w:r w:rsidRPr="002045F5">
              <w:rPr>
                <w:sz w:val="22"/>
              </w:rPr>
              <w:t xml:space="preserve"> через </w:t>
            </w:r>
            <w:proofErr w:type="spellStart"/>
            <w:r w:rsidRPr="002045F5">
              <w:rPr>
                <w:sz w:val="22"/>
              </w:rPr>
              <w:t>інновації</w:t>
            </w:r>
            <w:proofErr w:type="spellEnd"/>
            <w:r w:rsidRPr="002045F5">
              <w:rPr>
                <w:sz w:val="22"/>
              </w:rPr>
              <w:t xml:space="preserve"> </w:t>
            </w:r>
            <w:proofErr w:type="spellStart"/>
            <w:r w:rsidRPr="002045F5">
              <w:rPr>
                <w:sz w:val="22"/>
              </w:rPr>
              <w:t>управління</w:t>
            </w:r>
            <w:proofErr w:type="spellEnd"/>
            <w:r w:rsidRPr="002045F5">
              <w:rPr>
                <w:sz w:val="22"/>
              </w:rPr>
              <w:t xml:space="preserve"> та </w:t>
            </w:r>
            <w:proofErr w:type="spellStart"/>
            <w:r w:rsidRPr="002045F5">
              <w:rPr>
                <w:sz w:val="22"/>
              </w:rPr>
              <w:t>довіру</w:t>
            </w:r>
            <w:proofErr w:type="spellEnd"/>
            <w:r w:rsidRPr="002045F5">
              <w:rPr>
                <w:sz w:val="22"/>
              </w:rPr>
              <w:t xml:space="preserve"> до </w:t>
            </w:r>
            <w:proofErr w:type="spellStart"/>
            <w:r w:rsidRPr="002045F5">
              <w:rPr>
                <w:sz w:val="22"/>
              </w:rPr>
              <w:t>влади</w:t>
            </w:r>
            <w:proofErr w:type="spellEnd"/>
            <w:r w:rsidRPr="002045F5">
              <w:rPr>
                <w:sz w:val="22"/>
              </w:rPr>
              <w:t xml:space="preserve">. </w:t>
            </w:r>
            <w:proofErr w:type="spellStart"/>
            <w:r w:rsidRPr="002045F5">
              <w:rPr>
                <w:sz w:val="22"/>
              </w:rPr>
              <w:t>Формування</w:t>
            </w:r>
            <w:proofErr w:type="spellEnd"/>
            <w:r w:rsidRPr="002045F5">
              <w:rPr>
                <w:sz w:val="22"/>
              </w:rPr>
              <w:t xml:space="preserve"> </w:t>
            </w:r>
            <w:proofErr w:type="spellStart"/>
            <w:r w:rsidRPr="002045F5">
              <w:rPr>
                <w:sz w:val="22"/>
              </w:rPr>
              <w:t>сучасного</w:t>
            </w:r>
            <w:proofErr w:type="spellEnd"/>
            <w:r w:rsidRPr="002045F5">
              <w:rPr>
                <w:sz w:val="22"/>
              </w:rPr>
              <w:t xml:space="preserve"> </w:t>
            </w:r>
            <w:proofErr w:type="spellStart"/>
            <w:proofErr w:type="gramStart"/>
            <w:r w:rsidRPr="002045F5">
              <w:rPr>
                <w:sz w:val="22"/>
              </w:rPr>
              <w:t>інклюзивного</w:t>
            </w:r>
            <w:proofErr w:type="spellEnd"/>
            <w:r w:rsidRPr="002045F5">
              <w:rPr>
                <w:sz w:val="22"/>
              </w:rPr>
              <w:t xml:space="preserve">  </w:t>
            </w:r>
            <w:proofErr w:type="spellStart"/>
            <w:r w:rsidRPr="002045F5">
              <w:rPr>
                <w:sz w:val="22"/>
              </w:rPr>
              <w:t>освітньо</w:t>
            </w:r>
            <w:proofErr w:type="spellEnd"/>
            <w:proofErr w:type="gramEnd"/>
            <w:r w:rsidRPr="002045F5">
              <w:rPr>
                <w:sz w:val="22"/>
              </w:rPr>
              <w:t xml:space="preserve">-культурного та спортивного простору для </w:t>
            </w:r>
            <w:proofErr w:type="spellStart"/>
            <w:r w:rsidRPr="002045F5">
              <w:rPr>
                <w:sz w:val="22"/>
              </w:rPr>
              <w:t>розвитку</w:t>
            </w:r>
            <w:proofErr w:type="spellEnd"/>
          </w:p>
        </w:tc>
      </w:tr>
      <w:tr w:rsidR="00822744" w:rsidRPr="002045F5" w:rsidTr="00822744">
        <w:tc>
          <w:tcPr>
            <w:tcW w:w="2978" w:type="dxa"/>
            <w:shd w:val="clear" w:color="auto" w:fill="C6D9F1" w:themeFill="text2" w:themeFillTint="33"/>
          </w:tcPr>
          <w:p w:rsidR="00822744" w:rsidRPr="002045F5" w:rsidRDefault="00822744" w:rsidP="00524DBF">
            <w:pPr>
              <w:pStyle w:val="a7"/>
              <w:ind w:left="0"/>
              <w:rPr>
                <w:b/>
                <w:sz w:val="22"/>
              </w:rPr>
            </w:pPr>
            <w:proofErr w:type="spellStart"/>
            <w:r w:rsidRPr="002045F5">
              <w:rPr>
                <w:b/>
                <w:sz w:val="22"/>
              </w:rPr>
              <w:t>Назва</w:t>
            </w:r>
            <w:proofErr w:type="spellEnd"/>
            <w:r w:rsidRPr="002045F5">
              <w:rPr>
                <w:b/>
                <w:sz w:val="22"/>
              </w:rPr>
              <w:t xml:space="preserve"> </w:t>
            </w:r>
            <w:proofErr w:type="spellStart"/>
            <w:r w:rsidRPr="002045F5">
              <w:rPr>
                <w:b/>
                <w:sz w:val="22"/>
              </w:rPr>
              <w:t>проєкту</w:t>
            </w:r>
            <w:proofErr w:type="spellEnd"/>
            <w:r w:rsidRPr="002045F5">
              <w:rPr>
                <w:b/>
                <w:sz w:val="22"/>
              </w:rPr>
              <w:t>:</w:t>
            </w:r>
          </w:p>
        </w:tc>
        <w:tc>
          <w:tcPr>
            <w:tcW w:w="6910" w:type="dxa"/>
            <w:gridSpan w:val="7"/>
          </w:tcPr>
          <w:p w:rsidR="00822744" w:rsidRPr="002045F5" w:rsidRDefault="00822744" w:rsidP="00524DBF">
            <w:pPr>
              <w:pStyle w:val="a7"/>
              <w:ind w:left="0"/>
              <w:rPr>
                <w:sz w:val="22"/>
              </w:rPr>
            </w:pPr>
            <w:proofErr w:type="spellStart"/>
            <w:r w:rsidRPr="002045F5">
              <w:rPr>
                <w:sz w:val="22"/>
              </w:rPr>
              <w:t>Відновлення</w:t>
            </w:r>
            <w:proofErr w:type="spellEnd"/>
            <w:r w:rsidRPr="002045F5">
              <w:rPr>
                <w:sz w:val="22"/>
              </w:rPr>
              <w:t xml:space="preserve"> </w:t>
            </w:r>
            <w:proofErr w:type="spellStart"/>
            <w:r w:rsidRPr="002045F5">
              <w:rPr>
                <w:sz w:val="22"/>
              </w:rPr>
              <w:t>матеріально-технічної</w:t>
            </w:r>
            <w:proofErr w:type="spellEnd"/>
            <w:r w:rsidRPr="002045F5">
              <w:rPr>
                <w:sz w:val="22"/>
              </w:rPr>
              <w:t xml:space="preserve"> </w:t>
            </w:r>
            <w:proofErr w:type="spellStart"/>
            <w:r w:rsidRPr="002045F5">
              <w:rPr>
                <w:sz w:val="22"/>
              </w:rPr>
              <w:t>бази</w:t>
            </w:r>
            <w:proofErr w:type="spellEnd"/>
            <w:r w:rsidRPr="002045F5">
              <w:rPr>
                <w:sz w:val="22"/>
              </w:rPr>
              <w:t xml:space="preserve"> </w:t>
            </w:r>
            <w:proofErr w:type="spellStart"/>
            <w:r w:rsidRPr="002045F5">
              <w:rPr>
                <w:sz w:val="22"/>
              </w:rPr>
              <w:t>Ліцею</w:t>
            </w:r>
            <w:proofErr w:type="spellEnd"/>
            <w:r w:rsidRPr="002045F5">
              <w:rPr>
                <w:sz w:val="22"/>
              </w:rPr>
              <w:t xml:space="preserve"> </w:t>
            </w:r>
            <w:proofErr w:type="spellStart"/>
            <w:r w:rsidRPr="002045F5">
              <w:rPr>
                <w:sz w:val="22"/>
              </w:rPr>
              <w:t>багатопрофільного</w:t>
            </w:r>
            <w:proofErr w:type="spellEnd"/>
            <w:r w:rsidRPr="002045F5">
              <w:rPr>
                <w:sz w:val="22"/>
              </w:rPr>
              <w:t xml:space="preserve"> </w:t>
            </w:r>
            <w:proofErr w:type="spellStart"/>
            <w:r w:rsidRPr="002045F5">
              <w:rPr>
                <w:sz w:val="22"/>
              </w:rPr>
              <w:t>міста</w:t>
            </w:r>
            <w:proofErr w:type="spellEnd"/>
            <w:r w:rsidRPr="002045F5">
              <w:rPr>
                <w:sz w:val="22"/>
              </w:rPr>
              <w:t xml:space="preserve"> </w:t>
            </w:r>
            <w:proofErr w:type="spellStart"/>
            <w:r w:rsidRPr="002045F5">
              <w:rPr>
                <w:sz w:val="22"/>
              </w:rPr>
              <w:t>Сєвєродонецька</w:t>
            </w:r>
            <w:proofErr w:type="spellEnd"/>
            <w:r w:rsidRPr="002045F5">
              <w:rPr>
                <w:sz w:val="22"/>
              </w:rPr>
              <w:t xml:space="preserve"> </w:t>
            </w:r>
            <w:proofErr w:type="spellStart"/>
            <w:r w:rsidRPr="002045F5">
              <w:rPr>
                <w:sz w:val="22"/>
              </w:rPr>
              <w:t>Луганської</w:t>
            </w:r>
            <w:proofErr w:type="spellEnd"/>
            <w:r w:rsidRPr="002045F5">
              <w:rPr>
                <w:sz w:val="22"/>
              </w:rPr>
              <w:t xml:space="preserve"> </w:t>
            </w:r>
            <w:proofErr w:type="spellStart"/>
            <w:proofErr w:type="gramStart"/>
            <w:r w:rsidRPr="002045F5">
              <w:rPr>
                <w:sz w:val="22"/>
              </w:rPr>
              <w:t>області</w:t>
            </w:r>
            <w:proofErr w:type="spellEnd"/>
            <w:r w:rsidRPr="002045F5">
              <w:rPr>
                <w:sz w:val="22"/>
              </w:rPr>
              <w:t xml:space="preserve">,  </w:t>
            </w:r>
            <w:proofErr w:type="spellStart"/>
            <w:r w:rsidRPr="002045F5">
              <w:rPr>
                <w:sz w:val="22"/>
              </w:rPr>
              <w:t>вул</w:t>
            </w:r>
            <w:proofErr w:type="gramEnd"/>
            <w:r w:rsidRPr="002045F5">
              <w:rPr>
                <w:sz w:val="22"/>
              </w:rPr>
              <w:t>.Гагаріна</w:t>
            </w:r>
            <w:proofErr w:type="spellEnd"/>
            <w:r w:rsidRPr="002045F5">
              <w:rPr>
                <w:sz w:val="22"/>
              </w:rPr>
              <w:t>, буд. 97.</w:t>
            </w:r>
          </w:p>
        </w:tc>
      </w:tr>
      <w:tr w:rsidR="00822744" w:rsidRPr="002045F5" w:rsidTr="00822744">
        <w:tc>
          <w:tcPr>
            <w:tcW w:w="2978" w:type="dxa"/>
            <w:shd w:val="clear" w:color="auto" w:fill="C6D9F1" w:themeFill="text2" w:themeFillTint="33"/>
          </w:tcPr>
          <w:p w:rsidR="00822744" w:rsidRPr="002045F5" w:rsidRDefault="00822744" w:rsidP="00524DBF">
            <w:pPr>
              <w:rPr>
                <w:b/>
                <w:sz w:val="22"/>
              </w:rPr>
            </w:pPr>
            <w:proofErr w:type="spellStart"/>
            <w:r w:rsidRPr="002045F5">
              <w:rPr>
                <w:b/>
                <w:sz w:val="22"/>
              </w:rPr>
              <w:t>Ціль</w:t>
            </w:r>
            <w:proofErr w:type="spellEnd"/>
            <w:r w:rsidRPr="002045F5">
              <w:rPr>
                <w:b/>
                <w:sz w:val="22"/>
              </w:rPr>
              <w:t xml:space="preserve"> </w:t>
            </w:r>
            <w:proofErr w:type="spellStart"/>
            <w:r w:rsidRPr="002045F5">
              <w:rPr>
                <w:b/>
                <w:sz w:val="22"/>
              </w:rPr>
              <w:t>проєкту</w:t>
            </w:r>
            <w:proofErr w:type="spellEnd"/>
          </w:p>
        </w:tc>
        <w:tc>
          <w:tcPr>
            <w:tcW w:w="6910" w:type="dxa"/>
            <w:gridSpan w:val="7"/>
            <w:tcBorders>
              <w:top w:val="single" w:sz="4" w:space="0" w:color="auto"/>
              <w:left w:val="single" w:sz="4" w:space="0" w:color="auto"/>
              <w:bottom w:val="single" w:sz="4" w:space="0" w:color="auto"/>
              <w:right w:val="single" w:sz="4" w:space="0" w:color="000000"/>
            </w:tcBorders>
            <w:shd w:val="clear" w:color="auto" w:fill="auto"/>
            <w:vAlign w:val="bottom"/>
          </w:tcPr>
          <w:p w:rsidR="00822744" w:rsidRPr="002045F5" w:rsidRDefault="00822744" w:rsidP="00524DBF">
            <w:pPr>
              <w:pStyle w:val="a7"/>
              <w:ind w:left="0"/>
              <w:rPr>
                <w:sz w:val="22"/>
              </w:rPr>
            </w:pPr>
            <w:proofErr w:type="spellStart"/>
            <w:r w:rsidRPr="002045F5">
              <w:rPr>
                <w:color w:val="000000"/>
                <w:sz w:val="22"/>
              </w:rPr>
              <w:t>Матеріально-технічна</w:t>
            </w:r>
            <w:proofErr w:type="spellEnd"/>
            <w:r w:rsidRPr="002045F5">
              <w:rPr>
                <w:color w:val="000000"/>
                <w:sz w:val="22"/>
              </w:rPr>
              <w:t xml:space="preserve"> база - </w:t>
            </w:r>
            <w:proofErr w:type="spellStart"/>
            <w:r w:rsidRPr="002045F5">
              <w:rPr>
                <w:color w:val="000000"/>
                <w:sz w:val="22"/>
              </w:rPr>
              <w:t>необхідна</w:t>
            </w:r>
            <w:proofErr w:type="spellEnd"/>
            <w:r w:rsidRPr="002045F5">
              <w:rPr>
                <w:color w:val="000000"/>
                <w:sz w:val="22"/>
              </w:rPr>
              <w:t xml:space="preserve"> </w:t>
            </w:r>
            <w:proofErr w:type="spellStart"/>
            <w:r w:rsidRPr="002045F5">
              <w:rPr>
                <w:color w:val="000000"/>
                <w:sz w:val="22"/>
              </w:rPr>
              <w:t>умова</w:t>
            </w:r>
            <w:proofErr w:type="spellEnd"/>
            <w:r w:rsidRPr="002045F5">
              <w:rPr>
                <w:color w:val="000000"/>
                <w:sz w:val="22"/>
              </w:rPr>
              <w:t xml:space="preserve"> </w:t>
            </w:r>
            <w:proofErr w:type="spellStart"/>
            <w:r w:rsidRPr="002045F5">
              <w:rPr>
                <w:color w:val="000000"/>
                <w:sz w:val="22"/>
              </w:rPr>
              <w:t>функціонування</w:t>
            </w:r>
            <w:proofErr w:type="spellEnd"/>
            <w:r w:rsidRPr="002045F5">
              <w:rPr>
                <w:color w:val="000000"/>
                <w:sz w:val="22"/>
              </w:rPr>
              <w:t xml:space="preserve"> </w:t>
            </w:r>
            <w:proofErr w:type="spellStart"/>
            <w:r w:rsidRPr="002045F5">
              <w:rPr>
                <w:color w:val="000000"/>
                <w:sz w:val="22"/>
              </w:rPr>
              <w:t>Ліцею</w:t>
            </w:r>
            <w:proofErr w:type="spellEnd"/>
            <w:r w:rsidRPr="002045F5">
              <w:rPr>
                <w:color w:val="000000"/>
                <w:sz w:val="22"/>
              </w:rPr>
              <w:t xml:space="preserve"> </w:t>
            </w:r>
            <w:proofErr w:type="spellStart"/>
            <w:r w:rsidRPr="002045F5">
              <w:rPr>
                <w:color w:val="000000"/>
                <w:sz w:val="22"/>
              </w:rPr>
              <w:t>багатопрофільного</w:t>
            </w:r>
            <w:proofErr w:type="spellEnd"/>
            <w:r w:rsidRPr="002045F5">
              <w:rPr>
                <w:color w:val="000000"/>
                <w:sz w:val="22"/>
              </w:rPr>
              <w:t xml:space="preserve">. </w:t>
            </w:r>
            <w:proofErr w:type="spellStart"/>
            <w:proofErr w:type="gramStart"/>
            <w:r w:rsidRPr="002045F5">
              <w:rPr>
                <w:color w:val="000000"/>
                <w:sz w:val="22"/>
              </w:rPr>
              <w:t>Відновлення</w:t>
            </w:r>
            <w:proofErr w:type="spellEnd"/>
            <w:r w:rsidRPr="002045F5">
              <w:rPr>
                <w:color w:val="000000"/>
                <w:sz w:val="22"/>
              </w:rPr>
              <w:t xml:space="preserve">  </w:t>
            </w:r>
            <w:proofErr w:type="spellStart"/>
            <w:r w:rsidRPr="002045F5">
              <w:rPr>
                <w:color w:val="000000"/>
                <w:sz w:val="22"/>
              </w:rPr>
              <w:t>матеріально</w:t>
            </w:r>
            <w:proofErr w:type="gramEnd"/>
            <w:r w:rsidRPr="002045F5">
              <w:rPr>
                <w:color w:val="000000"/>
                <w:sz w:val="22"/>
              </w:rPr>
              <w:t>-технічного</w:t>
            </w:r>
            <w:proofErr w:type="spellEnd"/>
            <w:r w:rsidRPr="002045F5">
              <w:rPr>
                <w:color w:val="000000"/>
                <w:sz w:val="22"/>
              </w:rPr>
              <w:t xml:space="preserve"> </w:t>
            </w:r>
            <w:proofErr w:type="spellStart"/>
            <w:r w:rsidRPr="002045F5">
              <w:rPr>
                <w:color w:val="000000"/>
                <w:sz w:val="22"/>
              </w:rPr>
              <w:t>забезпечення</w:t>
            </w:r>
            <w:proofErr w:type="spellEnd"/>
            <w:r w:rsidRPr="002045F5">
              <w:rPr>
                <w:color w:val="000000"/>
                <w:sz w:val="22"/>
              </w:rPr>
              <w:t xml:space="preserve"> закладу </w:t>
            </w:r>
            <w:proofErr w:type="spellStart"/>
            <w:r w:rsidRPr="002045F5">
              <w:rPr>
                <w:color w:val="000000"/>
                <w:sz w:val="22"/>
              </w:rPr>
              <w:t>освіти</w:t>
            </w:r>
            <w:proofErr w:type="spellEnd"/>
            <w:r w:rsidRPr="002045F5">
              <w:rPr>
                <w:color w:val="000000"/>
                <w:sz w:val="22"/>
              </w:rPr>
              <w:t xml:space="preserve"> </w:t>
            </w:r>
            <w:proofErr w:type="spellStart"/>
            <w:r w:rsidRPr="002045F5">
              <w:rPr>
                <w:color w:val="000000"/>
                <w:sz w:val="22"/>
              </w:rPr>
              <w:t>сучасним</w:t>
            </w:r>
            <w:proofErr w:type="spellEnd"/>
            <w:r w:rsidRPr="002045F5">
              <w:rPr>
                <w:color w:val="000000"/>
                <w:sz w:val="22"/>
              </w:rPr>
              <w:t xml:space="preserve"> </w:t>
            </w:r>
            <w:proofErr w:type="spellStart"/>
            <w:r w:rsidRPr="002045F5">
              <w:rPr>
                <w:color w:val="000000"/>
                <w:sz w:val="22"/>
              </w:rPr>
              <w:t>навчальним</w:t>
            </w:r>
            <w:proofErr w:type="spellEnd"/>
            <w:r w:rsidRPr="002045F5">
              <w:rPr>
                <w:color w:val="000000"/>
                <w:sz w:val="22"/>
              </w:rPr>
              <w:t xml:space="preserve"> і </w:t>
            </w:r>
            <w:proofErr w:type="spellStart"/>
            <w:r w:rsidRPr="002045F5">
              <w:rPr>
                <w:color w:val="000000"/>
                <w:sz w:val="22"/>
              </w:rPr>
              <w:t>спортивним</w:t>
            </w:r>
            <w:proofErr w:type="spellEnd"/>
            <w:r w:rsidRPr="002045F5">
              <w:rPr>
                <w:color w:val="000000"/>
                <w:sz w:val="22"/>
              </w:rPr>
              <w:t xml:space="preserve"> </w:t>
            </w:r>
            <w:proofErr w:type="spellStart"/>
            <w:r w:rsidRPr="002045F5">
              <w:rPr>
                <w:color w:val="000000"/>
                <w:sz w:val="22"/>
              </w:rPr>
              <w:t>обладнанням</w:t>
            </w:r>
            <w:proofErr w:type="spellEnd"/>
            <w:r w:rsidRPr="002045F5">
              <w:rPr>
                <w:color w:val="000000"/>
                <w:sz w:val="22"/>
              </w:rPr>
              <w:t xml:space="preserve">, </w:t>
            </w:r>
            <w:proofErr w:type="spellStart"/>
            <w:r w:rsidRPr="002045F5">
              <w:rPr>
                <w:color w:val="000000"/>
                <w:sz w:val="22"/>
              </w:rPr>
              <w:t>інформаційно-технічними</w:t>
            </w:r>
            <w:proofErr w:type="spellEnd"/>
            <w:r w:rsidRPr="002045F5">
              <w:rPr>
                <w:color w:val="000000"/>
                <w:sz w:val="22"/>
              </w:rPr>
              <w:t xml:space="preserve"> </w:t>
            </w:r>
            <w:proofErr w:type="spellStart"/>
            <w:r w:rsidRPr="002045F5">
              <w:rPr>
                <w:color w:val="000000"/>
                <w:sz w:val="22"/>
              </w:rPr>
              <w:t>засобами</w:t>
            </w:r>
            <w:proofErr w:type="spellEnd"/>
            <w:r w:rsidRPr="002045F5">
              <w:rPr>
                <w:color w:val="000000"/>
                <w:sz w:val="22"/>
              </w:rPr>
              <w:t xml:space="preserve"> </w:t>
            </w:r>
            <w:proofErr w:type="spellStart"/>
            <w:r w:rsidRPr="002045F5">
              <w:rPr>
                <w:color w:val="000000"/>
                <w:sz w:val="22"/>
              </w:rPr>
              <w:t>дасть</w:t>
            </w:r>
            <w:proofErr w:type="spellEnd"/>
            <w:r w:rsidRPr="002045F5">
              <w:rPr>
                <w:color w:val="000000"/>
                <w:sz w:val="22"/>
              </w:rPr>
              <w:t xml:space="preserve"> </w:t>
            </w:r>
            <w:proofErr w:type="spellStart"/>
            <w:r w:rsidRPr="002045F5">
              <w:rPr>
                <w:color w:val="000000"/>
                <w:sz w:val="22"/>
              </w:rPr>
              <w:t>можливість</w:t>
            </w:r>
            <w:proofErr w:type="spellEnd"/>
            <w:r w:rsidRPr="002045F5">
              <w:rPr>
                <w:color w:val="000000"/>
                <w:sz w:val="22"/>
              </w:rPr>
              <w:t xml:space="preserve"> </w:t>
            </w:r>
            <w:proofErr w:type="spellStart"/>
            <w:r w:rsidRPr="002045F5">
              <w:rPr>
                <w:color w:val="000000"/>
                <w:sz w:val="22"/>
              </w:rPr>
              <w:t>організувати</w:t>
            </w:r>
            <w:proofErr w:type="spellEnd"/>
            <w:r w:rsidRPr="002045F5">
              <w:rPr>
                <w:color w:val="000000"/>
                <w:sz w:val="22"/>
              </w:rPr>
              <w:t xml:space="preserve"> </w:t>
            </w:r>
            <w:proofErr w:type="spellStart"/>
            <w:r w:rsidRPr="002045F5">
              <w:rPr>
                <w:color w:val="000000"/>
                <w:sz w:val="22"/>
              </w:rPr>
              <w:t>освітню</w:t>
            </w:r>
            <w:proofErr w:type="spellEnd"/>
            <w:r w:rsidRPr="002045F5">
              <w:rPr>
                <w:color w:val="000000"/>
                <w:sz w:val="22"/>
              </w:rPr>
              <w:t xml:space="preserve"> </w:t>
            </w:r>
            <w:proofErr w:type="spellStart"/>
            <w:r w:rsidRPr="002045F5">
              <w:rPr>
                <w:color w:val="000000"/>
                <w:sz w:val="22"/>
              </w:rPr>
              <w:t>діяльність</w:t>
            </w:r>
            <w:proofErr w:type="spellEnd"/>
            <w:r w:rsidRPr="002045F5">
              <w:rPr>
                <w:color w:val="000000"/>
                <w:sz w:val="22"/>
              </w:rPr>
              <w:t xml:space="preserve">, </w:t>
            </w:r>
            <w:proofErr w:type="spellStart"/>
            <w:r w:rsidRPr="002045F5">
              <w:rPr>
                <w:color w:val="000000"/>
                <w:sz w:val="22"/>
              </w:rPr>
              <w:t>проводити</w:t>
            </w:r>
            <w:proofErr w:type="spellEnd"/>
            <w:r w:rsidRPr="002045F5">
              <w:rPr>
                <w:color w:val="000000"/>
                <w:sz w:val="22"/>
              </w:rPr>
              <w:t xml:space="preserve"> </w:t>
            </w:r>
            <w:proofErr w:type="spellStart"/>
            <w:r w:rsidRPr="002045F5">
              <w:rPr>
                <w:color w:val="000000"/>
                <w:sz w:val="22"/>
              </w:rPr>
              <w:t>культурні</w:t>
            </w:r>
            <w:proofErr w:type="spellEnd"/>
            <w:r w:rsidRPr="002045F5">
              <w:rPr>
                <w:color w:val="000000"/>
                <w:sz w:val="22"/>
              </w:rPr>
              <w:t>, спортивно-</w:t>
            </w:r>
            <w:proofErr w:type="spellStart"/>
            <w:r w:rsidRPr="002045F5">
              <w:rPr>
                <w:color w:val="000000"/>
                <w:sz w:val="22"/>
              </w:rPr>
              <w:t>оздоровчі</w:t>
            </w:r>
            <w:proofErr w:type="spellEnd"/>
            <w:r w:rsidRPr="002045F5">
              <w:rPr>
                <w:color w:val="000000"/>
                <w:sz w:val="22"/>
              </w:rPr>
              <w:t xml:space="preserve"> заходи.  Метою </w:t>
            </w:r>
            <w:proofErr w:type="spellStart"/>
            <w:r w:rsidRPr="002045F5">
              <w:rPr>
                <w:color w:val="000000"/>
                <w:sz w:val="22"/>
              </w:rPr>
              <w:t>проєкту</w:t>
            </w:r>
            <w:proofErr w:type="spellEnd"/>
            <w:r w:rsidRPr="002045F5">
              <w:rPr>
                <w:color w:val="000000"/>
                <w:sz w:val="22"/>
              </w:rPr>
              <w:t xml:space="preserve"> є </w:t>
            </w:r>
            <w:proofErr w:type="spellStart"/>
            <w:r w:rsidRPr="002045F5">
              <w:rPr>
                <w:color w:val="000000"/>
                <w:sz w:val="22"/>
              </w:rPr>
              <w:t>забезпечення</w:t>
            </w:r>
            <w:proofErr w:type="spellEnd"/>
            <w:r w:rsidRPr="002045F5">
              <w:rPr>
                <w:color w:val="000000"/>
                <w:sz w:val="22"/>
              </w:rPr>
              <w:t xml:space="preserve">, </w:t>
            </w:r>
            <w:proofErr w:type="spellStart"/>
            <w:r w:rsidRPr="002045F5">
              <w:rPr>
                <w:color w:val="000000"/>
                <w:sz w:val="22"/>
              </w:rPr>
              <w:t>оптимізація</w:t>
            </w:r>
            <w:proofErr w:type="spellEnd"/>
            <w:r w:rsidRPr="002045F5">
              <w:rPr>
                <w:color w:val="000000"/>
                <w:sz w:val="22"/>
              </w:rPr>
              <w:t xml:space="preserve"> та </w:t>
            </w:r>
            <w:proofErr w:type="spellStart"/>
            <w:r w:rsidRPr="002045F5">
              <w:rPr>
                <w:color w:val="000000"/>
                <w:sz w:val="22"/>
              </w:rPr>
              <w:t>покращення</w:t>
            </w:r>
            <w:proofErr w:type="spellEnd"/>
            <w:r w:rsidRPr="002045F5">
              <w:rPr>
                <w:color w:val="000000"/>
                <w:sz w:val="22"/>
              </w:rPr>
              <w:t xml:space="preserve"> </w:t>
            </w:r>
            <w:proofErr w:type="spellStart"/>
            <w:r w:rsidRPr="002045F5">
              <w:rPr>
                <w:color w:val="000000"/>
                <w:sz w:val="22"/>
              </w:rPr>
              <w:t>матеріально-технічної</w:t>
            </w:r>
            <w:proofErr w:type="spellEnd"/>
            <w:r w:rsidRPr="002045F5">
              <w:rPr>
                <w:color w:val="000000"/>
                <w:sz w:val="22"/>
              </w:rPr>
              <w:t xml:space="preserve"> </w:t>
            </w:r>
            <w:proofErr w:type="spellStart"/>
            <w:r w:rsidRPr="002045F5">
              <w:rPr>
                <w:color w:val="000000"/>
                <w:sz w:val="22"/>
              </w:rPr>
              <w:t>бази</w:t>
            </w:r>
            <w:proofErr w:type="spellEnd"/>
            <w:r w:rsidRPr="002045F5">
              <w:rPr>
                <w:color w:val="000000"/>
                <w:sz w:val="22"/>
              </w:rPr>
              <w:t xml:space="preserve">, </w:t>
            </w:r>
            <w:proofErr w:type="spellStart"/>
            <w:r w:rsidRPr="002045F5">
              <w:rPr>
                <w:color w:val="000000"/>
                <w:sz w:val="22"/>
              </w:rPr>
              <w:t>комп’ютеризація</w:t>
            </w:r>
            <w:proofErr w:type="spellEnd"/>
            <w:r w:rsidRPr="002045F5">
              <w:rPr>
                <w:color w:val="000000"/>
                <w:sz w:val="22"/>
              </w:rPr>
              <w:t xml:space="preserve"> та </w:t>
            </w:r>
            <w:proofErr w:type="spellStart"/>
            <w:r w:rsidRPr="002045F5">
              <w:rPr>
                <w:color w:val="000000"/>
                <w:sz w:val="22"/>
              </w:rPr>
              <w:t>інформатизація</w:t>
            </w:r>
            <w:proofErr w:type="spellEnd"/>
            <w:r w:rsidRPr="002045F5">
              <w:rPr>
                <w:color w:val="000000"/>
                <w:sz w:val="22"/>
              </w:rPr>
              <w:t xml:space="preserve"> закладу. </w:t>
            </w:r>
            <w:proofErr w:type="spellStart"/>
            <w:r w:rsidRPr="002045F5">
              <w:rPr>
                <w:color w:val="000000"/>
                <w:sz w:val="22"/>
              </w:rPr>
              <w:t>Створення</w:t>
            </w:r>
            <w:proofErr w:type="spellEnd"/>
            <w:r w:rsidRPr="002045F5">
              <w:rPr>
                <w:color w:val="000000"/>
                <w:sz w:val="22"/>
              </w:rPr>
              <w:t xml:space="preserve"> умов для </w:t>
            </w:r>
            <w:proofErr w:type="spellStart"/>
            <w:r w:rsidRPr="002045F5">
              <w:rPr>
                <w:color w:val="000000"/>
                <w:sz w:val="22"/>
              </w:rPr>
              <w:t>забезпечення</w:t>
            </w:r>
            <w:proofErr w:type="spellEnd"/>
            <w:r w:rsidRPr="002045F5">
              <w:rPr>
                <w:color w:val="000000"/>
                <w:sz w:val="22"/>
              </w:rPr>
              <w:t xml:space="preserve"> в </w:t>
            </w:r>
            <w:proofErr w:type="spellStart"/>
            <w:proofErr w:type="gramStart"/>
            <w:r w:rsidRPr="002045F5">
              <w:rPr>
                <w:color w:val="000000"/>
                <w:sz w:val="22"/>
              </w:rPr>
              <w:t>Ліцеї</w:t>
            </w:r>
            <w:proofErr w:type="spellEnd"/>
            <w:r w:rsidRPr="002045F5">
              <w:rPr>
                <w:color w:val="000000"/>
                <w:sz w:val="22"/>
              </w:rPr>
              <w:t xml:space="preserve">  </w:t>
            </w:r>
            <w:proofErr w:type="spellStart"/>
            <w:r w:rsidRPr="002045F5">
              <w:rPr>
                <w:color w:val="000000"/>
                <w:sz w:val="22"/>
              </w:rPr>
              <w:t>сучасної</w:t>
            </w:r>
            <w:proofErr w:type="spellEnd"/>
            <w:proofErr w:type="gramEnd"/>
            <w:r w:rsidRPr="002045F5">
              <w:rPr>
                <w:color w:val="000000"/>
                <w:sz w:val="22"/>
              </w:rPr>
              <w:t xml:space="preserve">, </w:t>
            </w:r>
            <w:proofErr w:type="spellStart"/>
            <w:r w:rsidRPr="002045F5">
              <w:rPr>
                <w:color w:val="000000"/>
                <w:sz w:val="22"/>
              </w:rPr>
              <w:t>доступної</w:t>
            </w:r>
            <w:proofErr w:type="spellEnd"/>
            <w:r w:rsidRPr="002045F5">
              <w:rPr>
                <w:color w:val="000000"/>
                <w:sz w:val="22"/>
              </w:rPr>
              <w:t xml:space="preserve"> та </w:t>
            </w:r>
            <w:proofErr w:type="spellStart"/>
            <w:r w:rsidRPr="002045F5">
              <w:rPr>
                <w:color w:val="000000"/>
                <w:sz w:val="22"/>
              </w:rPr>
              <w:t>якісної</w:t>
            </w:r>
            <w:proofErr w:type="spellEnd"/>
            <w:r w:rsidRPr="002045F5">
              <w:rPr>
                <w:color w:val="000000"/>
                <w:sz w:val="22"/>
              </w:rPr>
              <w:t xml:space="preserve"> </w:t>
            </w:r>
            <w:proofErr w:type="spellStart"/>
            <w:r w:rsidRPr="002045F5">
              <w:rPr>
                <w:color w:val="000000"/>
                <w:sz w:val="22"/>
              </w:rPr>
              <w:t>системи</w:t>
            </w:r>
            <w:proofErr w:type="spellEnd"/>
            <w:r w:rsidRPr="002045F5">
              <w:rPr>
                <w:color w:val="000000"/>
                <w:sz w:val="22"/>
              </w:rPr>
              <w:t xml:space="preserve"> </w:t>
            </w:r>
            <w:proofErr w:type="spellStart"/>
            <w:r w:rsidRPr="002045F5">
              <w:rPr>
                <w:color w:val="000000"/>
                <w:sz w:val="22"/>
              </w:rPr>
              <w:t>освіти</w:t>
            </w:r>
            <w:proofErr w:type="spellEnd"/>
            <w:r w:rsidRPr="002045F5">
              <w:rPr>
                <w:color w:val="000000"/>
                <w:sz w:val="22"/>
              </w:rPr>
              <w:t xml:space="preserve">, </w:t>
            </w:r>
            <w:proofErr w:type="spellStart"/>
            <w:r w:rsidRPr="002045F5">
              <w:rPr>
                <w:color w:val="000000"/>
                <w:sz w:val="22"/>
              </w:rPr>
              <w:t>відповідно</w:t>
            </w:r>
            <w:proofErr w:type="spellEnd"/>
            <w:r w:rsidRPr="002045F5">
              <w:rPr>
                <w:color w:val="000000"/>
                <w:sz w:val="22"/>
              </w:rPr>
              <w:t xml:space="preserve"> до </w:t>
            </w:r>
            <w:proofErr w:type="spellStart"/>
            <w:r w:rsidRPr="002045F5">
              <w:rPr>
                <w:color w:val="000000"/>
                <w:sz w:val="22"/>
              </w:rPr>
              <w:t>вимог</w:t>
            </w:r>
            <w:proofErr w:type="spellEnd"/>
            <w:r w:rsidRPr="002045F5">
              <w:rPr>
                <w:color w:val="000000"/>
                <w:sz w:val="22"/>
              </w:rPr>
              <w:t xml:space="preserve"> </w:t>
            </w:r>
            <w:proofErr w:type="spellStart"/>
            <w:r w:rsidRPr="002045F5">
              <w:rPr>
                <w:color w:val="000000"/>
                <w:sz w:val="22"/>
              </w:rPr>
              <w:t>суспільства</w:t>
            </w:r>
            <w:proofErr w:type="spellEnd"/>
            <w:r w:rsidRPr="002045F5">
              <w:rPr>
                <w:color w:val="000000"/>
                <w:sz w:val="22"/>
              </w:rPr>
              <w:t xml:space="preserve">, </w:t>
            </w:r>
            <w:proofErr w:type="spellStart"/>
            <w:r w:rsidRPr="002045F5">
              <w:rPr>
                <w:color w:val="000000"/>
                <w:sz w:val="22"/>
              </w:rPr>
              <w:t>запитів</w:t>
            </w:r>
            <w:proofErr w:type="spellEnd"/>
            <w:r w:rsidRPr="002045F5">
              <w:rPr>
                <w:color w:val="000000"/>
                <w:sz w:val="22"/>
              </w:rPr>
              <w:t xml:space="preserve"> </w:t>
            </w:r>
            <w:proofErr w:type="spellStart"/>
            <w:r w:rsidRPr="002045F5">
              <w:rPr>
                <w:color w:val="000000"/>
                <w:sz w:val="22"/>
              </w:rPr>
              <w:t>особистості</w:t>
            </w:r>
            <w:proofErr w:type="spellEnd"/>
            <w:r w:rsidRPr="002045F5">
              <w:rPr>
                <w:color w:val="000000"/>
                <w:sz w:val="22"/>
              </w:rPr>
              <w:t xml:space="preserve"> й потреб </w:t>
            </w:r>
            <w:proofErr w:type="spellStart"/>
            <w:r w:rsidRPr="002045F5">
              <w:rPr>
                <w:color w:val="000000"/>
                <w:sz w:val="22"/>
              </w:rPr>
              <w:t>держави</w:t>
            </w:r>
            <w:proofErr w:type="spellEnd"/>
            <w:r w:rsidRPr="002045F5">
              <w:rPr>
                <w:color w:val="000000"/>
                <w:sz w:val="22"/>
              </w:rPr>
              <w:t xml:space="preserve">; </w:t>
            </w:r>
            <w:proofErr w:type="spellStart"/>
            <w:r w:rsidRPr="002045F5">
              <w:rPr>
                <w:color w:val="000000"/>
                <w:sz w:val="22"/>
              </w:rPr>
              <w:t>забезпечення</w:t>
            </w:r>
            <w:proofErr w:type="spellEnd"/>
            <w:r w:rsidRPr="002045F5">
              <w:rPr>
                <w:color w:val="000000"/>
                <w:sz w:val="22"/>
              </w:rPr>
              <w:t xml:space="preserve"> </w:t>
            </w:r>
            <w:proofErr w:type="spellStart"/>
            <w:r w:rsidRPr="002045F5">
              <w:rPr>
                <w:color w:val="000000"/>
                <w:sz w:val="22"/>
              </w:rPr>
              <w:t>особистісного</w:t>
            </w:r>
            <w:proofErr w:type="spellEnd"/>
            <w:r w:rsidRPr="002045F5">
              <w:rPr>
                <w:color w:val="000000"/>
                <w:sz w:val="22"/>
              </w:rPr>
              <w:t xml:space="preserve"> </w:t>
            </w:r>
            <w:proofErr w:type="spellStart"/>
            <w:r w:rsidRPr="002045F5">
              <w:rPr>
                <w:color w:val="000000"/>
                <w:sz w:val="22"/>
              </w:rPr>
              <w:t>розвитку</w:t>
            </w:r>
            <w:proofErr w:type="spellEnd"/>
            <w:r w:rsidRPr="002045F5">
              <w:rPr>
                <w:color w:val="000000"/>
                <w:sz w:val="22"/>
              </w:rPr>
              <w:t xml:space="preserve"> </w:t>
            </w:r>
            <w:proofErr w:type="spellStart"/>
            <w:r w:rsidRPr="002045F5">
              <w:rPr>
                <w:color w:val="000000"/>
                <w:sz w:val="22"/>
              </w:rPr>
              <w:t>дитини</w:t>
            </w:r>
            <w:proofErr w:type="spellEnd"/>
            <w:r w:rsidRPr="002045F5">
              <w:rPr>
                <w:color w:val="000000"/>
                <w:sz w:val="22"/>
              </w:rPr>
              <w:t xml:space="preserve"> на </w:t>
            </w:r>
            <w:proofErr w:type="spellStart"/>
            <w:r w:rsidRPr="002045F5">
              <w:rPr>
                <w:color w:val="000000"/>
                <w:sz w:val="22"/>
              </w:rPr>
              <w:t>основі</w:t>
            </w:r>
            <w:proofErr w:type="spellEnd"/>
            <w:r w:rsidRPr="002045F5">
              <w:rPr>
                <w:color w:val="000000"/>
                <w:sz w:val="22"/>
              </w:rPr>
              <w:t xml:space="preserve"> </w:t>
            </w:r>
            <w:proofErr w:type="spellStart"/>
            <w:r w:rsidRPr="002045F5">
              <w:rPr>
                <w:color w:val="000000"/>
                <w:sz w:val="22"/>
              </w:rPr>
              <w:t>навчання</w:t>
            </w:r>
            <w:proofErr w:type="spellEnd"/>
            <w:r w:rsidRPr="002045F5">
              <w:rPr>
                <w:color w:val="000000"/>
                <w:sz w:val="22"/>
              </w:rPr>
              <w:t xml:space="preserve"> та </w:t>
            </w:r>
            <w:proofErr w:type="spellStart"/>
            <w:r w:rsidRPr="002045F5">
              <w:rPr>
                <w:color w:val="000000"/>
                <w:sz w:val="22"/>
              </w:rPr>
              <w:t>виховання</w:t>
            </w:r>
            <w:proofErr w:type="spellEnd"/>
            <w:r w:rsidRPr="002045F5">
              <w:rPr>
                <w:color w:val="000000"/>
                <w:sz w:val="22"/>
              </w:rPr>
              <w:t xml:space="preserve">; </w:t>
            </w:r>
            <w:proofErr w:type="spellStart"/>
            <w:r w:rsidRPr="002045F5">
              <w:rPr>
                <w:color w:val="000000"/>
                <w:sz w:val="22"/>
              </w:rPr>
              <w:t>забезпечення</w:t>
            </w:r>
            <w:proofErr w:type="spellEnd"/>
            <w:r w:rsidRPr="002045F5">
              <w:rPr>
                <w:color w:val="000000"/>
                <w:sz w:val="22"/>
              </w:rPr>
              <w:t xml:space="preserve"> </w:t>
            </w:r>
            <w:proofErr w:type="spellStart"/>
            <w:r w:rsidRPr="002045F5">
              <w:rPr>
                <w:color w:val="000000"/>
                <w:sz w:val="22"/>
              </w:rPr>
              <w:t>ефективного</w:t>
            </w:r>
            <w:proofErr w:type="spellEnd"/>
            <w:r w:rsidRPr="002045F5">
              <w:rPr>
                <w:color w:val="000000"/>
                <w:sz w:val="22"/>
              </w:rPr>
              <w:t xml:space="preserve"> </w:t>
            </w:r>
            <w:proofErr w:type="spellStart"/>
            <w:r w:rsidRPr="002045F5">
              <w:rPr>
                <w:color w:val="000000"/>
                <w:sz w:val="22"/>
              </w:rPr>
              <w:t>управління</w:t>
            </w:r>
            <w:proofErr w:type="spellEnd"/>
            <w:r w:rsidRPr="002045F5">
              <w:rPr>
                <w:color w:val="000000"/>
                <w:sz w:val="22"/>
              </w:rPr>
              <w:t xml:space="preserve"> </w:t>
            </w:r>
            <w:proofErr w:type="spellStart"/>
            <w:r w:rsidRPr="002045F5">
              <w:rPr>
                <w:color w:val="000000"/>
                <w:sz w:val="22"/>
              </w:rPr>
              <w:t>розвитком</w:t>
            </w:r>
            <w:proofErr w:type="spellEnd"/>
            <w:r w:rsidRPr="002045F5">
              <w:rPr>
                <w:color w:val="000000"/>
                <w:sz w:val="22"/>
              </w:rPr>
              <w:t xml:space="preserve"> </w:t>
            </w:r>
            <w:proofErr w:type="spellStart"/>
            <w:r w:rsidRPr="002045F5">
              <w:rPr>
                <w:color w:val="000000"/>
                <w:sz w:val="22"/>
              </w:rPr>
              <w:t>сучасного</w:t>
            </w:r>
            <w:proofErr w:type="spellEnd"/>
            <w:r w:rsidRPr="002045F5">
              <w:rPr>
                <w:color w:val="000000"/>
                <w:sz w:val="22"/>
              </w:rPr>
              <w:t xml:space="preserve"> </w:t>
            </w:r>
            <w:proofErr w:type="spellStart"/>
            <w:r w:rsidRPr="002045F5">
              <w:rPr>
                <w:color w:val="000000"/>
                <w:sz w:val="22"/>
              </w:rPr>
              <w:t>освітнього</w:t>
            </w:r>
            <w:proofErr w:type="spellEnd"/>
            <w:r w:rsidRPr="002045F5">
              <w:rPr>
                <w:color w:val="000000"/>
                <w:sz w:val="22"/>
              </w:rPr>
              <w:t xml:space="preserve"> закладу, </w:t>
            </w:r>
            <w:proofErr w:type="spellStart"/>
            <w:r w:rsidRPr="002045F5">
              <w:rPr>
                <w:color w:val="000000"/>
                <w:sz w:val="22"/>
              </w:rPr>
              <w:t>який</w:t>
            </w:r>
            <w:proofErr w:type="spellEnd"/>
            <w:r w:rsidRPr="002045F5">
              <w:rPr>
                <w:color w:val="000000"/>
                <w:sz w:val="22"/>
              </w:rPr>
              <w:t xml:space="preserve"> </w:t>
            </w:r>
            <w:proofErr w:type="spellStart"/>
            <w:r w:rsidRPr="002045F5">
              <w:rPr>
                <w:color w:val="000000"/>
                <w:sz w:val="22"/>
              </w:rPr>
              <w:t>здатний</w:t>
            </w:r>
            <w:proofErr w:type="spellEnd"/>
            <w:r w:rsidRPr="002045F5">
              <w:rPr>
                <w:color w:val="000000"/>
                <w:sz w:val="22"/>
              </w:rPr>
              <w:t xml:space="preserve"> </w:t>
            </w:r>
            <w:proofErr w:type="spellStart"/>
            <w:r w:rsidRPr="002045F5">
              <w:rPr>
                <w:color w:val="000000"/>
                <w:sz w:val="22"/>
              </w:rPr>
              <w:t>забезпечити</w:t>
            </w:r>
            <w:proofErr w:type="spellEnd"/>
            <w:r w:rsidRPr="002045F5">
              <w:rPr>
                <w:color w:val="000000"/>
                <w:sz w:val="22"/>
              </w:rPr>
              <w:t xml:space="preserve"> </w:t>
            </w:r>
            <w:proofErr w:type="spellStart"/>
            <w:r w:rsidRPr="002045F5">
              <w:rPr>
                <w:color w:val="000000"/>
                <w:sz w:val="22"/>
              </w:rPr>
              <w:t>ефективну</w:t>
            </w:r>
            <w:proofErr w:type="spellEnd"/>
            <w:r w:rsidRPr="002045F5">
              <w:rPr>
                <w:color w:val="000000"/>
                <w:sz w:val="22"/>
              </w:rPr>
              <w:t xml:space="preserve"> </w:t>
            </w:r>
            <w:proofErr w:type="spellStart"/>
            <w:r w:rsidRPr="002045F5">
              <w:rPr>
                <w:color w:val="000000"/>
                <w:sz w:val="22"/>
              </w:rPr>
              <w:t>інтеграцію</w:t>
            </w:r>
            <w:proofErr w:type="spellEnd"/>
            <w:r w:rsidRPr="002045F5">
              <w:rPr>
                <w:color w:val="000000"/>
                <w:sz w:val="22"/>
              </w:rPr>
              <w:t xml:space="preserve"> </w:t>
            </w:r>
            <w:proofErr w:type="spellStart"/>
            <w:r w:rsidRPr="002045F5">
              <w:rPr>
                <w:color w:val="000000"/>
                <w:sz w:val="22"/>
              </w:rPr>
              <w:t>випускників</w:t>
            </w:r>
            <w:proofErr w:type="spellEnd"/>
            <w:r w:rsidRPr="002045F5">
              <w:rPr>
                <w:color w:val="000000"/>
                <w:sz w:val="22"/>
              </w:rPr>
              <w:t xml:space="preserve"> у </w:t>
            </w:r>
            <w:proofErr w:type="spellStart"/>
            <w:r w:rsidRPr="002045F5">
              <w:rPr>
                <w:color w:val="000000"/>
                <w:sz w:val="22"/>
              </w:rPr>
              <w:t>сучасний</w:t>
            </w:r>
            <w:proofErr w:type="spellEnd"/>
            <w:r w:rsidRPr="002045F5">
              <w:rPr>
                <w:color w:val="000000"/>
                <w:sz w:val="22"/>
              </w:rPr>
              <w:t xml:space="preserve"> культурно-</w:t>
            </w:r>
            <w:proofErr w:type="spellStart"/>
            <w:r w:rsidRPr="002045F5">
              <w:rPr>
                <w:color w:val="000000"/>
                <w:sz w:val="22"/>
              </w:rPr>
              <w:t>освітній</w:t>
            </w:r>
            <w:proofErr w:type="spellEnd"/>
            <w:r w:rsidRPr="002045F5">
              <w:rPr>
                <w:color w:val="000000"/>
                <w:sz w:val="22"/>
              </w:rPr>
              <w:t xml:space="preserve"> </w:t>
            </w:r>
            <w:proofErr w:type="spellStart"/>
            <w:r w:rsidRPr="002045F5">
              <w:rPr>
                <w:color w:val="000000"/>
                <w:sz w:val="22"/>
              </w:rPr>
              <w:t>простір</w:t>
            </w:r>
            <w:proofErr w:type="spellEnd"/>
            <w:r w:rsidRPr="002045F5">
              <w:rPr>
                <w:color w:val="000000"/>
                <w:sz w:val="22"/>
              </w:rPr>
              <w:t xml:space="preserve"> </w:t>
            </w:r>
            <w:proofErr w:type="spellStart"/>
            <w:r w:rsidRPr="002045F5">
              <w:rPr>
                <w:color w:val="000000"/>
                <w:sz w:val="22"/>
              </w:rPr>
              <w:t>України</w:t>
            </w:r>
            <w:proofErr w:type="spellEnd"/>
            <w:r w:rsidRPr="002045F5">
              <w:rPr>
                <w:color w:val="000000"/>
                <w:sz w:val="22"/>
              </w:rPr>
              <w:t>.</w:t>
            </w:r>
          </w:p>
        </w:tc>
      </w:tr>
      <w:tr w:rsidR="00822744" w:rsidRPr="002045F5" w:rsidTr="00822744">
        <w:tc>
          <w:tcPr>
            <w:tcW w:w="2978" w:type="dxa"/>
            <w:shd w:val="clear" w:color="auto" w:fill="C6D9F1" w:themeFill="text2" w:themeFillTint="33"/>
          </w:tcPr>
          <w:p w:rsidR="00822744" w:rsidRPr="002045F5" w:rsidRDefault="00822744" w:rsidP="00524DBF">
            <w:pPr>
              <w:pStyle w:val="a7"/>
              <w:ind w:left="0"/>
              <w:rPr>
                <w:b/>
                <w:sz w:val="22"/>
              </w:rPr>
            </w:pPr>
            <w:proofErr w:type="spellStart"/>
            <w:r w:rsidRPr="002045F5">
              <w:rPr>
                <w:b/>
                <w:sz w:val="22"/>
              </w:rPr>
              <w:t>Територія</w:t>
            </w:r>
            <w:proofErr w:type="spellEnd"/>
            <w:r w:rsidRPr="002045F5">
              <w:rPr>
                <w:b/>
                <w:sz w:val="22"/>
              </w:rPr>
              <w:t xml:space="preserve">, </w:t>
            </w:r>
            <w:proofErr w:type="gramStart"/>
            <w:r w:rsidRPr="002045F5">
              <w:rPr>
                <w:b/>
                <w:sz w:val="22"/>
              </w:rPr>
              <w:t>на яку</w:t>
            </w:r>
            <w:proofErr w:type="gramEnd"/>
            <w:r w:rsidRPr="002045F5">
              <w:rPr>
                <w:b/>
                <w:sz w:val="22"/>
              </w:rPr>
              <w:t xml:space="preserve"> </w:t>
            </w:r>
            <w:proofErr w:type="spellStart"/>
            <w:r w:rsidRPr="002045F5">
              <w:rPr>
                <w:b/>
                <w:sz w:val="22"/>
              </w:rPr>
              <w:t>матиме</w:t>
            </w:r>
            <w:proofErr w:type="spellEnd"/>
            <w:r w:rsidRPr="002045F5">
              <w:rPr>
                <w:b/>
                <w:sz w:val="22"/>
              </w:rPr>
              <w:t xml:space="preserve"> </w:t>
            </w:r>
            <w:proofErr w:type="spellStart"/>
            <w:r w:rsidRPr="002045F5">
              <w:rPr>
                <w:b/>
                <w:sz w:val="22"/>
              </w:rPr>
              <w:t>вплив</w:t>
            </w:r>
            <w:proofErr w:type="spellEnd"/>
            <w:r w:rsidRPr="002045F5">
              <w:rPr>
                <w:b/>
                <w:sz w:val="22"/>
              </w:rPr>
              <w:t xml:space="preserve"> </w:t>
            </w:r>
            <w:proofErr w:type="spellStart"/>
            <w:r w:rsidRPr="002045F5">
              <w:rPr>
                <w:b/>
                <w:sz w:val="22"/>
              </w:rPr>
              <w:t>реалізація</w:t>
            </w:r>
            <w:proofErr w:type="spellEnd"/>
            <w:r w:rsidRPr="002045F5">
              <w:rPr>
                <w:b/>
                <w:sz w:val="22"/>
              </w:rPr>
              <w:t xml:space="preserve"> </w:t>
            </w:r>
            <w:proofErr w:type="spellStart"/>
            <w:r w:rsidRPr="002045F5">
              <w:rPr>
                <w:b/>
                <w:sz w:val="22"/>
              </w:rPr>
              <w:t>проєкту</w:t>
            </w:r>
            <w:proofErr w:type="spellEnd"/>
          </w:p>
        </w:tc>
        <w:tc>
          <w:tcPr>
            <w:tcW w:w="6910" w:type="dxa"/>
            <w:gridSpan w:val="7"/>
          </w:tcPr>
          <w:p w:rsidR="00822744" w:rsidRPr="002045F5" w:rsidRDefault="00822744" w:rsidP="00524DBF">
            <w:pPr>
              <w:pStyle w:val="a7"/>
              <w:ind w:left="0"/>
              <w:rPr>
                <w:sz w:val="22"/>
              </w:rPr>
            </w:pPr>
            <w:proofErr w:type="spellStart"/>
            <w:r w:rsidRPr="002045F5">
              <w:rPr>
                <w:sz w:val="22"/>
              </w:rPr>
              <w:t>Сєвєродонецька</w:t>
            </w:r>
            <w:proofErr w:type="spellEnd"/>
            <w:r w:rsidRPr="002045F5">
              <w:rPr>
                <w:sz w:val="22"/>
              </w:rPr>
              <w:t xml:space="preserve"> </w:t>
            </w:r>
            <w:proofErr w:type="spellStart"/>
            <w:r w:rsidRPr="002045F5">
              <w:rPr>
                <w:sz w:val="22"/>
              </w:rPr>
              <w:t>міська</w:t>
            </w:r>
            <w:proofErr w:type="spellEnd"/>
            <w:r w:rsidRPr="002045F5">
              <w:rPr>
                <w:sz w:val="22"/>
              </w:rPr>
              <w:t xml:space="preserve"> </w:t>
            </w:r>
            <w:proofErr w:type="spellStart"/>
            <w:r w:rsidRPr="002045F5">
              <w:rPr>
                <w:sz w:val="22"/>
              </w:rPr>
              <w:t>територіальна</w:t>
            </w:r>
            <w:proofErr w:type="spellEnd"/>
            <w:r w:rsidRPr="002045F5">
              <w:rPr>
                <w:sz w:val="22"/>
              </w:rPr>
              <w:t xml:space="preserve"> громада</w:t>
            </w:r>
          </w:p>
        </w:tc>
      </w:tr>
      <w:tr w:rsidR="00822744" w:rsidRPr="002045F5" w:rsidTr="00822744">
        <w:tc>
          <w:tcPr>
            <w:tcW w:w="2978" w:type="dxa"/>
            <w:shd w:val="clear" w:color="auto" w:fill="C6D9F1" w:themeFill="text2" w:themeFillTint="33"/>
          </w:tcPr>
          <w:p w:rsidR="00822744" w:rsidRPr="002045F5" w:rsidRDefault="00822744" w:rsidP="00524DBF">
            <w:pPr>
              <w:pStyle w:val="a7"/>
              <w:ind w:left="0"/>
              <w:rPr>
                <w:b/>
                <w:sz w:val="22"/>
              </w:rPr>
            </w:pPr>
            <w:proofErr w:type="spellStart"/>
            <w:r w:rsidRPr="002045F5">
              <w:rPr>
                <w:b/>
                <w:sz w:val="22"/>
              </w:rPr>
              <w:t>Чисельність</w:t>
            </w:r>
            <w:proofErr w:type="spellEnd"/>
            <w:r w:rsidRPr="002045F5">
              <w:rPr>
                <w:b/>
                <w:sz w:val="22"/>
              </w:rPr>
              <w:t xml:space="preserve"> </w:t>
            </w:r>
            <w:proofErr w:type="spellStart"/>
            <w:r w:rsidRPr="002045F5">
              <w:rPr>
                <w:b/>
                <w:sz w:val="22"/>
              </w:rPr>
              <w:t>населення</w:t>
            </w:r>
            <w:proofErr w:type="spellEnd"/>
            <w:r w:rsidRPr="002045F5">
              <w:rPr>
                <w:b/>
                <w:sz w:val="22"/>
              </w:rPr>
              <w:t xml:space="preserve">, на яке </w:t>
            </w:r>
            <w:proofErr w:type="spellStart"/>
            <w:r w:rsidRPr="002045F5">
              <w:rPr>
                <w:b/>
                <w:sz w:val="22"/>
              </w:rPr>
              <w:t>матиме</w:t>
            </w:r>
            <w:proofErr w:type="spellEnd"/>
            <w:r w:rsidRPr="002045F5">
              <w:rPr>
                <w:b/>
                <w:sz w:val="22"/>
              </w:rPr>
              <w:t xml:space="preserve"> </w:t>
            </w:r>
            <w:proofErr w:type="spellStart"/>
            <w:r w:rsidRPr="002045F5">
              <w:rPr>
                <w:b/>
                <w:sz w:val="22"/>
              </w:rPr>
              <w:t>вплив</w:t>
            </w:r>
            <w:proofErr w:type="spellEnd"/>
            <w:r w:rsidRPr="002045F5">
              <w:rPr>
                <w:b/>
                <w:sz w:val="22"/>
              </w:rPr>
              <w:t xml:space="preserve"> </w:t>
            </w:r>
            <w:proofErr w:type="spellStart"/>
            <w:r w:rsidRPr="002045F5">
              <w:rPr>
                <w:b/>
                <w:sz w:val="22"/>
              </w:rPr>
              <w:t>реалізація</w:t>
            </w:r>
            <w:proofErr w:type="spellEnd"/>
            <w:r w:rsidRPr="002045F5">
              <w:rPr>
                <w:b/>
                <w:sz w:val="22"/>
              </w:rPr>
              <w:t xml:space="preserve"> проекту</w:t>
            </w:r>
          </w:p>
        </w:tc>
        <w:tc>
          <w:tcPr>
            <w:tcW w:w="6910" w:type="dxa"/>
            <w:gridSpan w:val="7"/>
          </w:tcPr>
          <w:p w:rsidR="00822744" w:rsidRPr="002045F5" w:rsidRDefault="00822744" w:rsidP="00524DBF">
            <w:pPr>
              <w:pStyle w:val="a7"/>
              <w:ind w:left="0"/>
              <w:rPr>
                <w:sz w:val="22"/>
              </w:rPr>
            </w:pPr>
            <w:r w:rsidRPr="002045F5">
              <w:rPr>
                <w:sz w:val="22"/>
              </w:rPr>
              <w:t xml:space="preserve"> 70 000 </w:t>
            </w:r>
            <w:proofErr w:type="spellStart"/>
            <w:r w:rsidRPr="002045F5">
              <w:rPr>
                <w:sz w:val="22"/>
              </w:rPr>
              <w:t>осіб</w:t>
            </w:r>
            <w:proofErr w:type="spellEnd"/>
          </w:p>
        </w:tc>
      </w:tr>
      <w:tr w:rsidR="00822744" w:rsidRPr="002045F5" w:rsidTr="00822744">
        <w:tc>
          <w:tcPr>
            <w:tcW w:w="2978" w:type="dxa"/>
            <w:shd w:val="clear" w:color="auto" w:fill="C6D9F1" w:themeFill="text2" w:themeFillTint="33"/>
          </w:tcPr>
          <w:p w:rsidR="00822744" w:rsidRPr="002045F5" w:rsidRDefault="00822744" w:rsidP="00524DBF">
            <w:pPr>
              <w:rPr>
                <w:b/>
                <w:sz w:val="22"/>
              </w:rPr>
            </w:pPr>
            <w:proofErr w:type="spellStart"/>
            <w:r w:rsidRPr="002045F5">
              <w:rPr>
                <w:b/>
                <w:sz w:val="22"/>
              </w:rPr>
              <w:t>Опис</w:t>
            </w:r>
            <w:proofErr w:type="spellEnd"/>
            <w:r w:rsidRPr="002045F5">
              <w:rPr>
                <w:b/>
                <w:sz w:val="22"/>
              </w:rPr>
              <w:t xml:space="preserve"> </w:t>
            </w:r>
            <w:proofErr w:type="spellStart"/>
            <w:r w:rsidRPr="002045F5">
              <w:rPr>
                <w:b/>
                <w:sz w:val="22"/>
              </w:rPr>
              <w:t>проблеми</w:t>
            </w:r>
            <w:proofErr w:type="spellEnd"/>
            <w:r w:rsidRPr="002045F5">
              <w:rPr>
                <w:b/>
                <w:sz w:val="22"/>
              </w:rPr>
              <w:t xml:space="preserve">, на </w:t>
            </w:r>
            <w:proofErr w:type="spellStart"/>
            <w:r w:rsidRPr="002045F5">
              <w:rPr>
                <w:b/>
                <w:sz w:val="22"/>
              </w:rPr>
              <w:t>вирішення</w:t>
            </w:r>
            <w:proofErr w:type="spellEnd"/>
            <w:r w:rsidRPr="002045F5">
              <w:rPr>
                <w:b/>
                <w:sz w:val="22"/>
              </w:rPr>
              <w:t xml:space="preserve"> </w:t>
            </w:r>
            <w:proofErr w:type="spellStart"/>
            <w:proofErr w:type="gramStart"/>
            <w:r w:rsidRPr="002045F5">
              <w:rPr>
                <w:b/>
                <w:sz w:val="22"/>
              </w:rPr>
              <w:t>якої</w:t>
            </w:r>
            <w:proofErr w:type="spellEnd"/>
            <w:r w:rsidRPr="002045F5">
              <w:rPr>
                <w:b/>
                <w:sz w:val="22"/>
              </w:rPr>
              <w:t xml:space="preserve">  </w:t>
            </w:r>
            <w:proofErr w:type="spellStart"/>
            <w:r w:rsidRPr="002045F5">
              <w:rPr>
                <w:b/>
                <w:sz w:val="22"/>
              </w:rPr>
              <w:t>спрямований</w:t>
            </w:r>
            <w:proofErr w:type="spellEnd"/>
            <w:proofErr w:type="gramEnd"/>
            <w:r w:rsidRPr="002045F5">
              <w:rPr>
                <w:b/>
                <w:sz w:val="22"/>
              </w:rPr>
              <w:t xml:space="preserve"> </w:t>
            </w:r>
            <w:proofErr w:type="spellStart"/>
            <w:r w:rsidRPr="002045F5">
              <w:rPr>
                <w:b/>
                <w:sz w:val="22"/>
              </w:rPr>
              <w:t>проєкт</w:t>
            </w:r>
            <w:proofErr w:type="spellEnd"/>
          </w:p>
        </w:tc>
        <w:tc>
          <w:tcPr>
            <w:tcW w:w="6910" w:type="dxa"/>
            <w:gridSpan w:val="7"/>
          </w:tcPr>
          <w:p w:rsidR="00822744" w:rsidRPr="002045F5" w:rsidRDefault="00822744" w:rsidP="00524DBF">
            <w:pPr>
              <w:ind w:firstLine="708"/>
              <w:rPr>
                <w:sz w:val="22"/>
              </w:rPr>
            </w:pPr>
            <w:r w:rsidRPr="002045F5">
              <w:rPr>
                <w:sz w:val="22"/>
              </w:rPr>
              <w:t xml:space="preserve">Через </w:t>
            </w:r>
            <w:proofErr w:type="spellStart"/>
            <w:r w:rsidRPr="002045F5">
              <w:rPr>
                <w:sz w:val="22"/>
              </w:rPr>
              <w:t>військову</w:t>
            </w:r>
            <w:proofErr w:type="spellEnd"/>
            <w:r w:rsidRPr="002045F5">
              <w:rPr>
                <w:sz w:val="22"/>
              </w:rPr>
              <w:t xml:space="preserve"> </w:t>
            </w:r>
            <w:proofErr w:type="spellStart"/>
            <w:r w:rsidRPr="002045F5">
              <w:rPr>
                <w:sz w:val="22"/>
              </w:rPr>
              <w:t>агресію</w:t>
            </w:r>
            <w:proofErr w:type="spellEnd"/>
            <w:r w:rsidRPr="002045F5">
              <w:rPr>
                <w:sz w:val="22"/>
              </w:rPr>
              <w:t xml:space="preserve"> РФ </w:t>
            </w:r>
            <w:proofErr w:type="spellStart"/>
            <w:r w:rsidRPr="002045F5">
              <w:rPr>
                <w:sz w:val="22"/>
              </w:rPr>
              <w:t>територія</w:t>
            </w:r>
            <w:proofErr w:type="spellEnd"/>
            <w:r w:rsidRPr="002045F5">
              <w:rPr>
                <w:sz w:val="22"/>
              </w:rPr>
              <w:t xml:space="preserve"> </w:t>
            </w:r>
            <w:proofErr w:type="spellStart"/>
            <w:r w:rsidRPr="002045F5">
              <w:rPr>
                <w:sz w:val="22"/>
              </w:rPr>
              <w:t>Сєвєродонецької</w:t>
            </w:r>
            <w:proofErr w:type="spellEnd"/>
            <w:r w:rsidRPr="002045F5">
              <w:rPr>
                <w:sz w:val="22"/>
              </w:rPr>
              <w:t xml:space="preserve"> </w:t>
            </w:r>
            <w:proofErr w:type="spellStart"/>
            <w:r w:rsidRPr="002045F5">
              <w:rPr>
                <w:sz w:val="22"/>
              </w:rPr>
              <w:t>міської</w:t>
            </w:r>
            <w:proofErr w:type="spellEnd"/>
            <w:r w:rsidRPr="002045F5">
              <w:rPr>
                <w:sz w:val="22"/>
              </w:rPr>
              <w:t xml:space="preserve"> </w:t>
            </w:r>
            <w:proofErr w:type="spellStart"/>
            <w:r w:rsidRPr="002045F5">
              <w:rPr>
                <w:sz w:val="22"/>
              </w:rPr>
              <w:t>територіальної</w:t>
            </w:r>
            <w:proofErr w:type="spellEnd"/>
            <w:r w:rsidRPr="002045F5">
              <w:rPr>
                <w:sz w:val="22"/>
              </w:rPr>
              <w:t xml:space="preserve"> </w:t>
            </w:r>
            <w:proofErr w:type="spellStart"/>
            <w:r w:rsidRPr="002045F5">
              <w:rPr>
                <w:sz w:val="22"/>
              </w:rPr>
              <w:t>громади</w:t>
            </w:r>
            <w:proofErr w:type="spellEnd"/>
            <w:r w:rsidRPr="002045F5">
              <w:rPr>
                <w:sz w:val="22"/>
              </w:rPr>
              <w:t xml:space="preserve"> </w:t>
            </w:r>
            <w:proofErr w:type="spellStart"/>
            <w:r w:rsidRPr="002045F5">
              <w:rPr>
                <w:sz w:val="22"/>
              </w:rPr>
              <w:t>зазнала</w:t>
            </w:r>
            <w:proofErr w:type="spellEnd"/>
            <w:r w:rsidRPr="002045F5">
              <w:rPr>
                <w:sz w:val="22"/>
              </w:rPr>
              <w:t xml:space="preserve"> </w:t>
            </w:r>
            <w:proofErr w:type="spellStart"/>
            <w:r w:rsidRPr="002045F5">
              <w:rPr>
                <w:sz w:val="22"/>
              </w:rPr>
              <w:t>значних</w:t>
            </w:r>
            <w:proofErr w:type="spellEnd"/>
            <w:r w:rsidRPr="002045F5">
              <w:rPr>
                <w:sz w:val="22"/>
              </w:rPr>
              <w:t xml:space="preserve"> </w:t>
            </w:r>
            <w:proofErr w:type="spellStart"/>
            <w:r w:rsidRPr="002045F5">
              <w:rPr>
                <w:sz w:val="22"/>
              </w:rPr>
              <w:t>пошкоджень</w:t>
            </w:r>
            <w:proofErr w:type="spellEnd"/>
            <w:r w:rsidRPr="002045F5">
              <w:rPr>
                <w:sz w:val="22"/>
              </w:rPr>
              <w:t xml:space="preserve">. </w:t>
            </w:r>
            <w:proofErr w:type="spellStart"/>
            <w:r w:rsidRPr="002045F5">
              <w:rPr>
                <w:sz w:val="22"/>
              </w:rPr>
              <w:t>Уся</w:t>
            </w:r>
            <w:proofErr w:type="spellEnd"/>
            <w:r w:rsidRPr="002045F5">
              <w:rPr>
                <w:sz w:val="22"/>
              </w:rPr>
              <w:t xml:space="preserve"> </w:t>
            </w:r>
            <w:proofErr w:type="spellStart"/>
            <w:r w:rsidRPr="002045F5">
              <w:rPr>
                <w:sz w:val="22"/>
              </w:rPr>
              <w:t>матеріально-технічна</w:t>
            </w:r>
            <w:proofErr w:type="spellEnd"/>
            <w:r w:rsidRPr="002045F5">
              <w:rPr>
                <w:sz w:val="22"/>
              </w:rPr>
              <w:t xml:space="preserve"> база </w:t>
            </w:r>
            <w:proofErr w:type="spellStart"/>
            <w:r w:rsidRPr="002045F5">
              <w:rPr>
                <w:sz w:val="22"/>
              </w:rPr>
              <w:t>була</w:t>
            </w:r>
            <w:proofErr w:type="spellEnd"/>
            <w:r w:rsidRPr="002045F5">
              <w:rPr>
                <w:sz w:val="22"/>
              </w:rPr>
              <w:t xml:space="preserve"> </w:t>
            </w:r>
            <w:proofErr w:type="spellStart"/>
            <w:r w:rsidRPr="002045F5">
              <w:rPr>
                <w:sz w:val="22"/>
              </w:rPr>
              <w:t>знищена</w:t>
            </w:r>
            <w:proofErr w:type="spellEnd"/>
            <w:r w:rsidRPr="002045F5">
              <w:rPr>
                <w:sz w:val="22"/>
              </w:rPr>
              <w:t xml:space="preserve"> </w:t>
            </w:r>
            <w:proofErr w:type="spellStart"/>
            <w:r w:rsidRPr="002045F5">
              <w:rPr>
                <w:sz w:val="22"/>
              </w:rPr>
              <w:t>або</w:t>
            </w:r>
            <w:proofErr w:type="spellEnd"/>
            <w:r w:rsidRPr="002045F5">
              <w:rPr>
                <w:sz w:val="22"/>
              </w:rPr>
              <w:t xml:space="preserve"> </w:t>
            </w:r>
            <w:proofErr w:type="spellStart"/>
            <w:r w:rsidRPr="002045F5">
              <w:rPr>
                <w:sz w:val="22"/>
              </w:rPr>
              <w:t>розграбована</w:t>
            </w:r>
            <w:proofErr w:type="spellEnd"/>
            <w:r w:rsidRPr="002045F5">
              <w:rPr>
                <w:sz w:val="22"/>
              </w:rPr>
              <w:t xml:space="preserve">. Тому </w:t>
            </w:r>
            <w:proofErr w:type="spellStart"/>
            <w:r w:rsidRPr="002045F5">
              <w:rPr>
                <w:sz w:val="22"/>
              </w:rPr>
              <w:t>однією</w:t>
            </w:r>
            <w:proofErr w:type="spellEnd"/>
            <w:r w:rsidRPr="002045F5">
              <w:rPr>
                <w:sz w:val="22"/>
              </w:rPr>
              <w:t xml:space="preserve"> з умов комфортного </w:t>
            </w:r>
            <w:proofErr w:type="spellStart"/>
            <w:r w:rsidRPr="002045F5">
              <w:rPr>
                <w:sz w:val="22"/>
              </w:rPr>
              <w:t>перебування</w:t>
            </w:r>
            <w:proofErr w:type="spellEnd"/>
            <w:r w:rsidRPr="002045F5">
              <w:rPr>
                <w:sz w:val="22"/>
              </w:rPr>
              <w:t xml:space="preserve"> </w:t>
            </w:r>
            <w:proofErr w:type="spellStart"/>
            <w:r w:rsidRPr="002045F5">
              <w:rPr>
                <w:sz w:val="22"/>
              </w:rPr>
              <w:t>всіх</w:t>
            </w:r>
            <w:proofErr w:type="spellEnd"/>
            <w:r w:rsidRPr="002045F5">
              <w:rPr>
                <w:sz w:val="22"/>
              </w:rPr>
              <w:t xml:space="preserve"> </w:t>
            </w:r>
            <w:proofErr w:type="spellStart"/>
            <w:r w:rsidRPr="002045F5">
              <w:rPr>
                <w:sz w:val="22"/>
              </w:rPr>
              <w:t>учасників</w:t>
            </w:r>
            <w:proofErr w:type="spellEnd"/>
            <w:r w:rsidRPr="002045F5">
              <w:rPr>
                <w:sz w:val="22"/>
              </w:rPr>
              <w:t xml:space="preserve"> </w:t>
            </w:r>
            <w:proofErr w:type="spellStart"/>
            <w:r w:rsidRPr="002045F5">
              <w:rPr>
                <w:sz w:val="22"/>
              </w:rPr>
              <w:t>освітнього</w:t>
            </w:r>
            <w:proofErr w:type="spellEnd"/>
            <w:r w:rsidRPr="002045F5">
              <w:rPr>
                <w:sz w:val="22"/>
              </w:rPr>
              <w:t xml:space="preserve"> </w:t>
            </w:r>
            <w:proofErr w:type="spellStart"/>
            <w:r w:rsidRPr="002045F5">
              <w:rPr>
                <w:sz w:val="22"/>
              </w:rPr>
              <w:t>процесу</w:t>
            </w:r>
            <w:proofErr w:type="spellEnd"/>
            <w:r w:rsidRPr="002045F5">
              <w:rPr>
                <w:sz w:val="22"/>
              </w:rPr>
              <w:t xml:space="preserve"> є </w:t>
            </w:r>
            <w:proofErr w:type="spellStart"/>
            <w:r w:rsidRPr="002045F5">
              <w:rPr>
                <w:sz w:val="22"/>
              </w:rPr>
              <w:t>відновлення</w:t>
            </w:r>
            <w:proofErr w:type="spellEnd"/>
            <w:r w:rsidRPr="002045F5">
              <w:rPr>
                <w:sz w:val="22"/>
              </w:rPr>
              <w:t xml:space="preserve"> </w:t>
            </w:r>
            <w:proofErr w:type="spellStart"/>
            <w:r w:rsidRPr="002045F5">
              <w:rPr>
                <w:sz w:val="22"/>
              </w:rPr>
              <w:t>освітніх</w:t>
            </w:r>
            <w:proofErr w:type="spellEnd"/>
            <w:r w:rsidRPr="002045F5">
              <w:rPr>
                <w:sz w:val="22"/>
              </w:rPr>
              <w:t xml:space="preserve"> </w:t>
            </w:r>
            <w:proofErr w:type="spellStart"/>
            <w:r w:rsidRPr="002045F5">
              <w:rPr>
                <w:sz w:val="22"/>
              </w:rPr>
              <w:t>просторів</w:t>
            </w:r>
            <w:proofErr w:type="spellEnd"/>
            <w:r w:rsidRPr="002045F5">
              <w:rPr>
                <w:sz w:val="22"/>
              </w:rPr>
              <w:t xml:space="preserve"> у </w:t>
            </w:r>
            <w:proofErr w:type="spellStart"/>
            <w:r w:rsidRPr="002045F5">
              <w:rPr>
                <w:sz w:val="22"/>
              </w:rPr>
              <w:t>Ліцеї</w:t>
            </w:r>
            <w:proofErr w:type="spellEnd"/>
            <w:r w:rsidRPr="002045F5">
              <w:rPr>
                <w:sz w:val="22"/>
              </w:rPr>
              <w:t xml:space="preserve">.   </w:t>
            </w:r>
            <w:proofErr w:type="spellStart"/>
            <w:r w:rsidRPr="002045F5">
              <w:rPr>
                <w:sz w:val="22"/>
              </w:rPr>
              <w:t>Організаційно</w:t>
            </w:r>
            <w:proofErr w:type="spellEnd"/>
            <w:r w:rsidRPr="002045F5">
              <w:rPr>
                <w:sz w:val="22"/>
              </w:rPr>
              <w:t xml:space="preserve">-методичною </w:t>
            </w:r>
            <w:proofErr w:type="spellStart"/>
            <w:r w:rsidRPr="002045F5">
              <w:rPr>
                <w:sz w:val="22"/>
              </w:rPr>
              <w:t>умовою</w:t>
            </w:r>
            <w:proofErr w:type="spellEnd"/>
            <w:r w:rsidRPr="002045F5">
              <w:rPr>
                <w:sz w:val="22"/>
              </w:rPr>
              <w:t xml:space="preserve"> </w:t>
            </w:r>
            <w:proofErr w:type="spellStart"/>
            <w:proofErr w:type="gramStart"/>
            <w:r w:rsidRPr="002045F5">
              <w:rPr>
                <w:sz w:val="22"/>
              </w:rPr>
              <w:t>діяльності</w:t>
            </w:r>
            <w:proofErr w:type="spellEnd"/>
            <w:r w:rsidRPr="002045F5">
              <w:rPr>
                <w:sz w:val="22"/>
              </w:rPr>
              <w:t xml:space="preserve">  є</w:t>
            </w:r>
            <w:proofErr w:type="gramEnd"/>
            <w:r w:rsidRPr="002045F5">
              <w:rPr>
                <w:sz w:val="22"/>
              </w:rPr>
              <w:t xml:space="preserve"> </w:t>
            </w:r>
            <w:proofErr w:type="spellStart"/>
            <w:r w:rsidRPr="002045F5">
              <w:rPr>
                <w:sz w:val="22"/>
              </w:rPr>
              <w:t>наявність</w:t>
            </w:r>
            <w:proofErr w:type="spellEnd"/>
            <w:r w:rsidRPr="002045F5">
              <w:rPr>
                <w:sz w:val="22"/>
              </w:rPr>
              <w:t xml:space="preserve"> </w:t>
            </w:r>
            <w:proofErr w:type="spellStart"/>
            <w:r w:rsidRPr="002045F5">
              <w:rPr>
                <w:sz w:val="22"/>
              </w:rPr>
              <w:t>комп’ютерного</w:t>
            </w:r>
            <w:proofErr w:type="spellEnd"/>
            <w:r w:rsidRPr="002045F5">
              <w:rPr>
                <w:sz w:val="22"/>
              </w:rPr>
              <w:t xml:space="preserve"> </w:t>
            </w:r>
            <w:proofErr w:type="spellStart"/>
            <w:r w:rsidRPr="002045F5">
              <w:rPr>
                <w:sz w:val="22"/>
              </w:rPr>
              <w:t>оснащення</w:t>
            </w:r>
            <w:proofErr w:type="spellEnd"/>
            <w:r w:rsidRPr="002045F5">
              <w:rPr>
                <w:sz w:val="22"/>
              </w:rPr>
              <w:t xml:space="preserve"> </w:t>
            </w:r>
            <w:proofErr w:type="spellStart"/>
            <w:r w:rsidRPr="002045F5">
              <w:rPr>
                <w:sz w:val="22"/>
              </w:rPr>
              <w:t>із</w:t>
            </w:r>
            <w:proofErr w:type="spellEnd"/>
            <w:r w:rsidRPr="002045F5">
              <w:rPr>
                <w:sz w:val="22"/>
              </w:rPr>
              <w:t xml:space="preserve"> </w:t>
            </w:r>
            <w:proofErr w:type="spellStart"/>
            <w:r w:rsidRPr="002045F5">
              <w:rPr>
                <w:sz w:val="22"/>
              </w:rPr>
              <w:t>відповідною</w:t>
            </w:r>
            <w:proofErr w:type="spellEnd"/>
            <w:r w:rsidRPr="002045F5">
              <w:rPr>
                <w:sz w:val="22"/>
              </w:rPr>
              <w:t xml:space="preserve"> </w:t>
            </w:r>
            <w:proofErr w:type="spellStart"/>
            <w:r w:rsidRPr="002045F5">
              <w:rPr>
                <w:sz w:val="22"/>
              </w:rPr>
              <w:t>периферією</w:t>
            </w:r>
            <w:proofErr w:type="spellEnd"/>
            <w:r w:rsidRPr="002045F5">
              <w:rPr>
                <w:sz w:val="22"/>
              </w:rPr>
              <w:t xml:space="preserve">, </w:t>
            </w:r>
            <w:proofErr w:type="spellStart"/>
            <w:r w:rsidRPr="002045F5">
              <w:rPr>
                <w:sz w:val="22"/>
              </w:rPr>
              <w:t>мережі</w:t>
            </w:r>
            <w:proofErr w:type="spellEnd"/>
            <w:r w:rsidRPr="002045F5">
              <w:rPr>
                <w:sz w:val="22"/>
              </w:rPr>
              <w:t xml:space="preserve"> </w:t>
            </w:r>
            <w:proofErr w:type="spellStart"/>
            <w:r w:rsidRPr="002045F5">
              <w:rPr>
                <w:sz w:val="22"/>
              </w:rPr>
              <w:t>Internet</w:t>
            </w:r>
            <w:proofErr w:type="spellEnd"/>
            <w:r w:rsidRPr="002045F5">
              <w:rPr>
                <w:sz w:val="22"/>
              </w:rPr>
              <w:t xml:space="preserve"> </w:t>
            </w:r>
            <w:proofErr w:type="spellStart"/>
            <w:r w:rsidRPr="002045F5">
              <w:rPr>
                <w:sz w:val="22"/>
              </w:rPr>
              <w:t>із</w:t>
            </w:r>
            <w:proofErr w:type="spellEnd"/>
            <w:r w:rsidRPr="002045F5">
              <w:rPr>
                <w:sz w:val="22"/>
              </w:rPr>
              <w:t xml:space="preserve"> </w:t>
            </w:r>
            <w:proofErr w:type="spellStart"/>
            <w:r w:rsidRPr="002045F5">
              <w:rPr>
                <w:sz w:val="22"/>
              </w:rPr>
              <w:t>швидкісним</w:t>
            </w:r>
            <w:proofErr w:type="spellEnd"/>
            <w:r w:rsidRPr="002045F5">
              <w:rPr>
                <w:sz w:val="22"/>
              </w:rPr>
              <w:t xml:space="preserve"> </w:t>
            </w:r>
            <w:proofErr w:type="spellStart"/>
            <w:r w:rsidRPr="002045F5">
              <w:rPr>
                <w:sz w:val="22"/>
              </w:rPr>
              <w:t>необмеженим</w:t>
            </w:r>
            <w:proofErr w:type="spellEnd"/>
            <w:r w:rsidRPr="002045F5">
              <w:rPr>
                <w:sz w:val="22"/>
              </w:rPr>
              <w:t xml:space="preserve"> доступом для </w:t>
            </w:r>
            <w:proofErr w:type="spellStart"/>
            <w:r w:rsidRPr="002045F5">
              <w:rPr>
                <w:sz w:val="22"/>
              </w:rPr>
              <w:t>всіх</w:t>
            </w:r>
            <w:proofErr w:type="spellEnd"/>
            <w:r w:rsidRPr="002045F5">
              <w:rPr>
                <w:sz w:val="22"/>
              </w:rPr>
              <w:t xml:space="preserve"> </w:t>
            </w:r>
            <w:proofErr w:type="spellStart"/>
            <w:r w:rsidRPr="002045F5">
              <w:rPr>
                <w:sz w:val="22"/>
              </w:rPr>
              <w:t>учасників</w:t>
            </w:r>
            <w:proofErr w:type="spellEnd"/>
            <w:r w:rsidRPr="002045F5">
              <w:rPr>
                <w:sz w:val="22"/>
              </w:rPr>
              <w:t xml:space="preserve"> </w:t>
            </w:r>
            <w:proofErr w:type="spellStart"/>
            <w:r w:rsidRPr="002045F5">
              <w:rPr>
                <w:sz w:val="22"/>
              </w:rPr>
              <w:t>освітнього</w:t>
            </w:r>
            <w:proofErr w:type="spellEnd"/>
            <w:r w:rsidRPr="002045F5">
              <w:rPr>
                <w:sz w:val="22"/>
              </w:rPr>
              <w:t xml:space="preserve"> </w:t>
            </w:r>
            <w:proofErr w:type="spellStart"/>
            <w:r w:rsidRPr="002045F5">
              <w:rPr>
                <w:sz w:val="22"/>
              </w:rPr>
              <w:t>процесу</w:t>
            </w:r>
            <w:proofErr w:type="spellEnd"/>
            <w:r w:rsidRPr="002045F5">
              <w:rPr>
                <w:sz w:val="22"/>
              </w:rPr>
              <w:t xml:space="preserve">  та </w:t>
            </w:r>
            <w:proofErr w:type="spellStart"/>
            <w:r w:rsidRPr="002045F5">
              <w:rPr>
                <w:sz w:val="22"/>
              </w:rPr>
              <w:t>сучасного</w:t>
            </w:r>
            <w:proofErr w:type="spellEnd"/>
            <w:r w:rsidRPr="002045F5">
              <w:rPr>
                <w:sz w:val="22"/>
              </w:rPr>
              <w:t xml:space="preserve"> </w:t>
            </w:r>
            <w:proofErr w:type="spellStart"/>
            <w:r w:rsidRPr="002045F5">
              <w:rPr>
                <w:sz w:val="22"/>
              </w:rPr>
              <w:t>програмного</w:t>
            </w:r>
            <w:proofErr w:type="spellEnd"/>
            <w:r w:rsidRPr="002045F5">
              <w:rPr>
                <w:sz w:val="22"/>
              </w:rPr>
              <w:t xml:space="preserve"> </w:t>
            </w:r>
            <w:proofErr w:type="spellStart"/>
            <w:r w:rsidRPr="002045F5">
              <w:rPr>
                <w:sz w:val="22"/>
              </w:rPr>
              <w:t>забезпечення</w:t>
            </w:r>
            <w:proofErr w:type="spellEnd"/>
            <w:r w:rsidRPr="002045F5">
              <w:rPr>
                <w:sz w:val="22"/>
              </w:rPr>
              <w:t xml:space="preserve">, </w:t>
            </w:r>
            <w:proofErr w:type="spellStart"/>
            <w:r w:rsidRPr="002045F5">
              <w:rPr>
                <w:sz w:val="22"/>
              </w:rPr>
              <w:t>обладнання</w:t>
            </w:r>
            <w:proofErr w:type="spellEnd"/>
            <w:r w:rsidRPr="002045F5">
              <w:rPr>
                <w:sz w:val="22"/>
              </w:rPr>
              <w:t xml:space="preserve"> для </w:t>
            </w:r>
            <w:proofErr w:type="spellStart"/>
            <w:r w:rsidRPr="002045F5">
              <w:rPr>
                <w:sz w:val="22"/>
              </w:rPr>
              <w:t>забезпечення</w:t>
            </w:r>
            <w:proofErr w:type="spellEnd"/>
            <w:r w:rsidRPr="002045F5">
              <w:rPr>
                <w:sz w:val="22"/>
              </w:rPr>
              <w:t xml:space="preserve"> </w:t>
            </w:r>
            <w:proofErr w:type="spellStart"/>
            <w:r w:rsidRPr="002045F5">
              <w:rPr>
                <w:sz w:val="22"/>
              </w:rPr>
              <w:t>життєдіяльності</w:t>
            </w:r>
            <w:proofErr w:type="spellEnd"/>
            <w:r w:rsidRPr="002045F5">
              <w:rPr>
                <w:sz w:val="22"/>
              </w:rPr>
              <w:t xml:space="preserve"> закладу.</w:t>
            </w:r>
          </w:p>
          <w:p w:rsidR="00822744" w:rsidRPr="002045F5" w:rsidRDefault="00822744" w:rsidP="00524DBF">
            <w:pPr>
              <w:ind w:firstLine="708"/>
              <w:rPr>
                <w:sz w:val="22"/>
              </w:rPr>
            </w:pPr>
            <w:r w:rsidRPr="002045F5">
              <w:rPr>
                <w:sz w:val="22"/>
              </w:rPr>
              <w:t xml:space="preserve"> </w:t>
            </w:r>
            <w:proofErr w:type="spellStart"/>
            <w:r w:rsidRPr="002045F5">
              <w:rPr>
                <w:sz w:val="22"/>
              </w:rPr>
              <w:t>Іншими</w:t>
            </w:r>
            <w:proofErr w:type="spellEnd"/>
            <w:r w:rsidRPr="002045F5">
              <w:rPr>
                <w:sz w:val="22"/>
              </w:rPr>
              <w:t xml:space="preserve"> </w:t>
            </w:r>
            <w:proofErr w:type="spellStart"/>
            <w:r w:rsidRPr="002045F5">
              <w:rPr>
                <w:sz w:val="22"/>
              </w:rPr>
              <w:t>складовими</w:t>
            </w:r>
            <w:proofErr w:type="spellEnd"/>
            <w:r w:rsidRPr="002045F5">
              <w:rPr>
                <w:sz w:val="22"/>
              </w:rPr>
              <w:t xml:space="preserve"> </w:t>
            </w:r>
            <w:proofErr w:type="spellStart"/>
            <w:r w:rsidRPr="002045F5">
              <w:rPr>
                <w:sz w:val="22"/>
              </w:rPr>
              <w:t>матеріально-технічної</w:t>
            </w:r>
            <w:proofErr w:type="spellEnd"/>
            <w:r w:rsidRPr="002045F5">
              <w:rPr>
                <w:sz w:val="22"/>
              </w:rPr>
              <w:t xml:space="preserve"> </w:t>
            </w:r>
            <w:proofErr w:type="spellStart"/>
            <w:r w:rsidRPr="002045F5">
              <w:rPr>
                <w:sz w:val="22"/>
              </w:rPr>
              <w:t>бази</w:t>
            </w:r>
            <w:proofErr w:type="spellEnd"/>
            <w:r w:rsidRPr="002045F5">
              <w:rPr>
                <w:sz w:val="22"/>
              </w:rPr>
              <w:t xml:space="preserve"> </w:t>
            </w:r>
            <w:proofErr w:type="spellStart"/>
            <w:r w:rsidRPr="002045F5">
              <w:rPr>
                <w:sz w:val="22"/>
              </w:rPr>
              <w:t>мають</w:t>
            </w:r>
            <w:proofErr w:type="spellEnd"/>
            <w:r w:rsidRPr="002045F5">
              <w:rPr>
                <w:sz w:val="22"/>
              </w:rPr>
              <w:t xml:space="preserve"> бути: </w:t>
            </w:r>
            <w:proofErr w:type="spellStart"/>
            <w:r w:rsidRPr="002045F5">
              <w:rPr>
                <w:sz w:val="22"/>
              </w:rPr>
              <w:t>прикладне</w:t>
            </w:r>
            <w:proofErr w:type="spellEnd"/>
            <w:r w:rsidRPr="002045F5">
              <w:rPr>
                <w:sz w:val="22"/>
              </w:rPr>
              <w:t xml:space="preserve"> </w:t>
            </w:r>
            <w:proofErr w:type="spellStart"/>
            <w:r w:rsidRPr="002045F5">
              <w:rPr>
                <w:sz w:val="22"/>
              </w:rPr>
              <w:t>програмне</w:t>
            </w:r>
            <w:proofErr w:type="spellEnd"/>
            <w:r w:rsidRPr="002045F5">
              <w:rPr>
                <w:sz w:val="22"/>
              </w:rPr>
              <w:t xml:space="preserve"> </w:t>
            </w:r>
            <w:proofErr w:type="spellStart"/>
            <w:r w:rsidRPr="002045F5">
              <w:rPr>
                <w:sz w:val="22"/>
              </w:rPr>
              <w:t>забезпечення</w:t>
            </w:r>
            <w:proofErr w:type="spellEnd"/>
            <w:r w:rsidRPr="002045F5">
              <w:rPr>
                <w:sz w:val="22"/>
              </w:rPr>
              <w:t xml:space="preserve"> </w:t>
            </w:r>
            <w:proofErr w:type="spellStart"/>
            <w:r w:rsidRPr="002045F5">
              <w:rPr>
                <w:sz w:val="22"/>
              </w:rPr>
              <w:t>управлінської</w:t>
            </w:r>
            <w:proofErr w:type="spellEnd"/>
            <w:r w:rsidRPr="002045F5">
              <w:rPr>
                <w:sz w:val="22"/>
              </w:rPr>
              <w:t xml:space="preserve"> </w:t>
            </w:r>
            <w:proofErr w:type="spellStart"/>
            <w:r w:rsidRPr="002045F5">
              <w:rPr>
                <w:sz w:val="22"/>
              </w:rPr>
              <w:t>діяльності</w:t>
            </w:r>
            <w:proofErr w:type="spellEnd"/>
            <w:r w:rsidRPr="002045F5">
              <w:rPr>
                <w:sz w:val="22"/>
              </w:rPr>
              <w:t xml:space="preserve"> </w:t>
            </w:r>
            <w:proofErr w:type="spellStart"/>
            <w:r w:rsidRPr="002045F5">
              <w:rPr>
                <w:sz w:val="22"/>
              </w:rPr>
              <w:t>керівництва</w:t>
            </w:r>
            <w:proofErr w:type="spellEnd"/>
            <w:r w:rsidRPr="002045F5">
              <w:rPr>
                <w:sz w:val="22"/>
              </w:rPr>
              <w:t xml:space="preserve"> закладу </w:t>
            </w:r>
            <w:proofErr w:type="spellStart"/>
            <w:r w:rsidRPr="002045F5">
              <w:rPr>
                <w:sz w:val="22"/>
              </w:rPr>
              <w:t>освіти</w:t>
            </w:r>
            <w:proofErr w:type="spellEnd"/>
            <w:r w:rsidRPr="002045F5">
              <w:rPr>
                <w:sz w:val="22"/>
              </w:rPr>
              <w:t xml:space="preserve"> та </w:t>
            </w:r>
            <w:proofErr w:type="spellStart"/>
            <w:r w:rsidRPr="002045F5">
              <w:rPr>
                <w:sz w:val="22"/>
              </w:rPr>
              <w:t>різних</w:t>
            </w:r>
            <w:proofErr w:type="spellEnd"/>
            <w:r w:rsidRPr="002045F5">
              <w:rPr>
                <w:sz w:val="22"/>
              </w:rPr>
              <w:t xml:space="preserve"> </w:t>
            </w:r>
            <w:proofErr w:type="spellStart"/>
            <w:r w:rsidRPr="002045F5">
              <w:rPr>
                <w:sz w:val="22"/>
              </w:rPr>
              <w:t>напрямів</w:t>
            </w:r>
            <w:proofErr w:type="spellEnd"/>
            <w:r w:rsidRPr="002045F5">
              <w:rPr>
                <w:sz w:val="22"/>
              </w:rPr>
              <w:t xml:space="preserve"> </w:t>
            </w:r>
            <w:proofErr w:type="spellStart"/>
            <w:r w:rsidRPr="002045F5">
              <w:rPr>
                <w:sz w:val="22"/>
              </w:rPr>
              <w:t>освітнього</w:t>
            </w:r>
            <w:proofErr w:type="spellEnd"/>
            <w:r w:rsidRPr="002045F5">
              <w:rPr>
                <w:sz w:val="22"/>
              </w:rPr>
              <w:t xml:space="preserve"> </w:t>
            </w:r>
            <w:proofErr w:type="spellStart"/>
            <w:r w:rsidRPr="002045F5">
              <w:rPr>
                <w:sz w:val="22"/>
              </w:rPr>
              <w:t>процесу</w:t>
            </w:r>
            <w:proofErr w:type="spellEnd"/>
            <w:r w:rsidRPr="002045F5">
              <w:rPr>
                <w:sz w:val="22"/>
              </w:rPr>
              <w:t>.</w:t>
            </w:r>
          </w:p>
        </w:tc>
      </w:tr>
      <w:tr w:rsidR="00822744" w:rsidRPr="002045F5" w:rsidTr="00822744">
        <w:tc>
          <w:tcPr>
            <w:tcW w:w="2978" w:type="dxa"/>
            <w:shd w:val="clear" w:color="auto" w:fill="C6D9F1" w:themeFill="text2" w:themeFillTint="33"/>
          </w:tcPr>
          <w:p w:rsidR="00822744" w:rsidRPr="002045F5" w:rsidRDefault="00822744" w:rsidP="00524DBF">
            <w:pPr>
              <w:pStyle w:val="a7"/>
              <w:ind w:left="0"/>
              <w:rPr>
                <w:b/>
                <w:sz w:val="22"/>
                <w:lang w:val="uk-UA"/>
              </w:rPr>
            </w:pPr>
            <w:r w:rsidRPr="002045F5">
              <w:rPr>
                <w:b/>
                <w:sz w:val="22"/>
                <w:lang w:val="uk-UA"/>
              </w:rPr>
              <w:t xml:space="preserve">Очікувані якісні результати від реалізації </w:t>
            </w:r>
            <w:proofErr w:type="spellStart"/>
            <w:r w:rsidRPr="002045F5">
              <w:rPr>
                <w:b/>
                <w:sz w:val="22"/>
                <w:lang w:val="uk-UA"/>
              </w:rPr>
              <w:t>проєкту</w:t>
            </w:r>
            <w:proofErr w:type="spellEnd"/>
          </w:p>
        </w:tc>
        <w:tc>
          <w:tcPr>
            <w:tcW w:w="6910"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822744" w:rsidRPr="002045F5" w:rsidRDefault="00822744" w:rsidP="000303D7">
            <w:pPr>
              <w:pStyle w:val="a7"/>
              <w:numPr>
                <w:ilvl w:val="0"/>
                <w:numId w:val="122"/>
              </w:numPr>
              <w:ind w:left="0" w:firstLine="15"/>
              <w:jc w:val="left"/>
              <w:rPr>
                <w:sz w:val="22"/>
                <w:lang w:val="uk-UA"/>
              </w:rPr>
            </w:pPr>
            <w:r w:rsidRPr="002045F5">
              <w:rPr>
                <w:color w:val="000000"/>
                <w:sz w:val="22"/>
                <w:lang w:val="uk-UA"/>
              </w:rPr>
              <w:t>Забезпечення умов для здобуття сучасної, доступної та якісної освіти відповідно до вимог суспільства, запитів особистості й потреб держави. Підвищення рівня навчальних досягнень здобувачів освіти;</w:t>
            </w:r>
            <w:r w:rsidRPr="002045F5">
              <w:rPr>
                <w:color w:val="000000"/>
                <w:sz w:val="22"/>
                <w:lang w:val="uk-UA"/>
              </w:rPr>
              <w:br/>
              <w:t>- підвищення якості вихованості школярів та вихованців;</w:t>
            </w:r>
            <w:r w:rsidRPr="002045F5">
              <w:rPr>
                <w:color w:val="000000"/>
                <w:sz w:val="22"/>
                <w:lang w:val="uk-UA"/>
              </w:rPr>
              <w:br/>
              <w:t>- створення позитивного іміджу закладу в соціумі району, підвищення його конкурентоздатності;</w:t>
            </w:r>
            <w:r w:rsidRPr="002045F5">
              <w:rPr>
                <w:color w:val="000000"/>
                <w:sz w:val="22"/>
                <w:lang w:val="uk-UA"/>
              </w:rPr>
              <w:br/>
              <w:t>- забезпечення оптимальних умов для інтелектуального, соціального, морального та фізичного розвитку і саморозвитку здобувачів освіти.</w:t>
            </w:r>
          </w:p>
        </w:tc>
      </w:tr>
      <w:tr w:rsidR="00822744" w:rsidRPr="002045F5" w:rsidTr="00822744">
        <w:trPr>
          <w:trHeight w:val="390"/>
        </w:trPr>
        <w:tc>
          <w:tcPr>
            <w:tcW w:w="2978" w:type="dxa"/>
            <w:vMerge w:val="restart"/>
            <w:shd w:val="clear" w:color="auto" w:fill="C6D9F1" w:themeFill="text2" w:themeFillTint="33"/>
          </w:tcPr>
          <w:p w:rsidR="00822744" w:rsidRPr="002045F5" w:rsidRDefault="00822744" w:rsidP="00524DBF">
            <w:pPr>
              <w:pStyle w:val="a7"/>
              <w:ind w:left="0"/>
              <w:rPr>
                <w:b/>
                <w:sz w:val="22"/>
                <w:lang w:val="uk-UA"/>
              </w:rPr>
            </w:pPr>
            <w:r w:rsidRPr="002045F5">
              <w:rPr>
                <w:b/>
                <w:sz w:val="22"/>
                <w:lang w:val="uk-UA"/>
              </w:rPr>
              <w:t xml:space="preserve">Очікувані кількісні результати реалізації </w:t>
            </w:r>
            <w:proofErr w:type="spellStart"/>
            <w:r w:rsidRPr="002045F5">
              <w:rPr>
                <w:b/>
                <w:sz w:val="22"/>
                <w:lang w:val="uk-UA"/>
              </w:rPr>
              <w:t>проєкту</w:t>
            </w:r>
            <w:proofErr w:type="spellEnd"/>
            <w:r w:rsidRPr="002045F5">
              <w:rPr>
                <w:b/>
                <w:sz w:val="22"/>
                <w:lang w:val="uk-UA"/>
              </w:rPr>
              <w:t xml:space="preserve"> (індикатори)</w:t>
            </w:r>
          </w:p>
          <w:p w:rsidR="00822744" w:rsidRPr="002045F5" w:rsidRDefault="00822744" w:rsidP="00524DBF">
            <w:pPr>
              <w:pStyle w:val="a7"/>
              <w:ind w:left="0"/>
              <w:rPr>
                <w:b/>
                <w:sz w:val="22"/>
                <w:lang w:val="uk-UA"/>
              </w:rPr>
            </w:pPr>
          </w:p>
        </w:tc>
        <w:tc>
          <w:tcPr>
            <w:tcW w:w="3392" w:type="dxa"/>
            <w:gridSpan w:val="3"/>
            <w:tcBorders>
              <w:bottom w:val="single" w:sz="4" w:space="0" w:color="auto"/>
              <w:right w:val="single" w:sz="4" w:space="0" w:color="auto"/>
            </w:tcBorders>
          </w:tcPr>
          <w:p w:rsidR="00822744" w:rsidRPr="002045F5" w:rsidRDefault="00822744" w:rsidP="00524DBF">
            <w:pPr>
              <w:pStyle w:val="a7"/>
              <w:ind w:left="-108"/>
              <w:jc w:val="center"/>
              <w:rPr>
                <w:b/>
                <w:sz w:val="22"/>
              </w:rPr>
            </w:pPr>
            <w:proofErr w:type="spellStart"/>
            <w:r w:rsidRPr="002045F5">
              <w:rPr>
                <w:b/>
                <w:sz w:val="22"/>
              </w:rPr>
              <w:t>Найменування</w:t>
            </w:r>
            <w:proofErr w:type="spellEnd"/>
            <w:r w:rsidRPr="002045F5">
              <w:rPr>
                <w:b/>
                <w:sz w:val="22"/>
              </w:rPr>
              <w:t xml:space="preserve"> </w:t>
            </w:r>
            <w:proofErr w:type="spellStart"/>
            <w:r w:rsidRPr="002045F5">
              <w:rPr>
                <w:b/>
                <w:sz w:val="22"/>
              </w:rPr>
              <w:t>показника</w:t>
            </w:r>
            <w:proofErr w:type="spellEnd"/>
          </w:p>
        </w:tc>
        <w:tc>
          <w:tcPr>
            <w:tcW w:w="1843" w:type="dxa"/>
            <w:gridSpan w:val="2"/>
            <w:tcBorders>
              <w:left w:val="single" w:sz="4" w:space="0" w:color="auto"/>
              <w:bottom w:val="single" w:sz="4" w:space="0" w:color="auto"/>
              <w:right w:val="single" w:sz="4" w:space="0" w:color="auto"/>
            </w:tcBorders>
          </w:tcPr>
          <w:p w:rsidR="00822744" w:rsidRPr="002045F5" w:rsidRDefault="00822744" w:rsidP="00524DBF">
            <w:pPr>
              <w:pStyle w:val="a7"/>
              <w:ind w:left="0"/>
              <w:jc w:val="center"/>
              <w:rPr>
                <w:b/>
                <w:sz w:val="22"/>
              </w:rPr>
            </w:pPr>
            <w:proofErr w:type="spellStart"/>
            <w:r w:rsidRPr="002045F5">
              <w:rPr>
                <w:b/>
                <w:sz w:val="22"/>
              </w:rPr>
              <w:t>Одиниця</w:t>
            </w:r>
            <w:proofErr w:type="spellEnd"/>
            <w:r w:rsidRPr="002045F5">
              <w:rPr>
                <w:b/>
                <w:sz w:val="22"/>
              </w:rPr>
              <w:t xml:space="preserve"> </w:t>
            </w:r>
            <w:proofErr w:type="spellStart"/>
            <w:r w:rsidRPr="002045F5">
              <w:rPr>
                <w:b/>
                <w:sz w:val="22"/>
              </w:rPr>
              <w:t>вимірювання</w:t>
            </w:r>
            <w:proofErr w:type="spellEnd"/>
          </w:p>
          <w:p w:rsidR="00822744" w:rsidRPr="002045F5" w:rsidRDefault="00822744" w:rsidP="00524DBF">
            <w:pPr>
              <w:pStyle w:val="a7"/>
              <w:ind w:left="0"/>
              <w:rPr>
                <w:b/>
                <w:sz w:val="22"/>
              </w:rPr>
            </w:pPr>
          </w:p>
        </w:tc>
        <w:tc>
          <w:tcPr>
            <w:tcW w:w="1675" w:type="dxa"/>
            <w:gridSpan w:val="2"/>
            <w:tcBorders>
              <w:left w:val="single" w:sz="4" w:space="0" w:color="auto"/>
              <w:bottom w:val="single" w:sz="4" w:space="0" w:color="auto"/>
            </w:tcBorders>
          </w:tcPr>
          <w:p w:rsidR="00822744" w:rsidRPr="002045F5" w:rsidRDefault="00822744" w:rsidP="00524DBF">
            <w:pPr>
              <w:pStyle w:val="a7"/>
              <w:ind w:left="0"/>
              <w:jc w:val="center"/>
              <w:rPr>
                <w:b/>
                <w:sz w:val="22"/>
              </w:rPr>
            </w:pPr>
            <w:proofErr w:type="spellStart"/>
            <w:r w:rsidRPr="002045F5">
              <w:rPr>
                <w:b/>
                <w:sz w:val="22"/>
              </w:rPr>
              <w:t>Прогнозне</w:t>
            </w:r>
            <w:proofErr w:type="spellEnd"/>
            <w:r w:rsidRPr="002045F5">
              <w:rPr>
                <w:b/>
                <w:sz w:val="22"/>
              </w:rPr>
              <w:t xml:space="preserve"> (</w:t>
            </w:r>
            <w:proofErr w:type="spellStart"/>
            <w:r w:rsidRPr="002045F5">
              <w:rPr>
                <w:b/>
                <w:sz w:val="22"/>
              </w:rPr>
              <w:t>цільове</w:t>
            </w:r>
            <w:proofErr w:type="spellEnd"/>
            <w:r w:rsidRPr="002045F5">
              <w:rPr>
                <w:b/>
                <w:sz w:val="22"/>
              </w:rPr>
              <w:t xml:space="preserve">) </w:t>
            </w:r>
            <w:proofErr w:type="spellStart"/>
            <w:r w:rsidRPr="002045F5">
              <w:rPr>
                <w:b/>
                <w:sz w:val="22"/>
              </w:rPr>
              <w:t>значення</w:t>
            </w:r>
            <w:proofErr w:type="spellEnd"/>
          </w:p>
        </w:tc>
      </w:tr>
      <w:tr w:rsidR="00822744" w:rsidRPr="002045F5" w:rsidTr="00822744">
        <w:trPr>
          <w:trHeight w:val="585"/>
        </w:trPr>
        <w:tc>
          <w:tcPr>
            <w:tcW w:w="2978" w:type="dxa"/>
            <w:vMerge/>
            <w:shd w:val="clear" w:color="auto" w:fill="C6D9F1" w:themeFill="text2" w:themeFillTint="33"/>
          </w:tcPr>
          <w:p w:rsidR="00822744" w:rsidRPr="002045F5" w:rsidRDefault="00822744" w:rsidP="00524DBF">
            <w:pPr>
              <w:pStyle w:val="a7"/>
              <w:ind w:left="0"/>
              <w:rPr>
                <w:b/>
                <w:sz w:val="22"/>
              </w:rPr>
            </w:pPr>
          </w:p>
        </w:tc>
        <w:tc>
          <w:tcPr>
            <w:tcW w:w="3392" w:type="dxa"/>
            <w:gridSpan w:val="3"/>
            <w:tcBorders>
              <w:top w:val="single" w:sz="4" w:space="0" w:color="auto"/>
              <w:bottom w:val="single" w:sz="4" w:space="0" w:color="auto"/>
              <w:right w:val="single" w:sz="4" w:space="0" w:color="auto"/>
            </w:tcBorders>
          </w:tcPr>
          <w:p w:rsidR="00822744" w:rsidRPr="002045F5" w:rsidRDefault="00822744" w:rsidP="00524DBF">
            <w:pPr>
              <w:pStyle w:val="a7"/>
              <w:ind w:left="0"/>
              <w:jc w:val="center"/>
              <w:rPr>
                <w:sz w:val="22"/>
              </w:rPr>
            </w:pPr>
            <w:proofErr w:type="spellStart"/>
            <w:r w:rsidRPr="002045F5">
              <w:rPr>
                <w:sz w:val="22"/>
              </w:rPr>
              <w:t>Кількість</w:t>
            </w:r>
            <w:proofErr w:type="spellEnd"/>
            <w:r w:rsidRPr="002045F5">
              <w:rPr>
                <w:sz w:val="22"/>
              </w:rPr>
              <w:t xml:space="preserve"> </w:t>
            </w:r>
            <w:proofErr w:type="spellStart"/>
            <w:r w:rsidRPr="002045F5">
              <w:rPr>
                <w:sz w:val="22"/>
              </w:rPr>
              <w:t>фізичних</w:t>
            </w:r>
            <w:proofErr w:type="spellEnd"/>
            <w:r w:rsidRPr="002045F5">
              <w:rPr>
                <w:sz w:val="22"/>
              </w:rPr>
              <w:t xml:space="preserve"> </w:t>
            </w:r>
            <w:proofErr w:type="spellStart"/>
            <w:r w:rsidRPr="002045F5">
              <w:rPr>
                <w:sz w:val="22"/>
              </w:rPr>
              <w:t>осіб</w:t>
            </w:r>
            <w:proofErr w:type="spellEnd"/>
            <w:r w:rsidRPr="002045F5">
              <w:rPr>
                <w:sz w:val="22"/>
              </w:rPr>
              <w:t xml:space="preserve">, </w:t>
            </w:r>
            <w:proofErr w:type="spellStart"/>
            <w:r w:rsidRPr="002045F5">
              <w:rPr>
                <w:sz w:val="22"/>
              </w:rPr>
              <w:t>які</w:t>
            </w:r>
            <w:proofErr w:type="spellEnd"/>
            <w:r w:rsidRPr="002045F5">
              <w:rPr>
                <w:sz w:val="22"/>
              </w:rPr>
              <w:t xml:space="preserve"> </w:t>
            </w:r>
            <w:proofErr w:type="spellStart"/>
            <w:r w:rsidRPr="002045F5">
              <w:rPr>
                <w:sz w:val="22"/>
              </w:rPr>
              <w:t>звернулись</w:t>
            </w:r>
            <w:proofErr w:type="spellEnd"/>
            <w:r w:rsidRPr="002045F5">
              <w:rPr>
                <w:sz w:val="22"/>
              </w:rPr>
              <w:t xml:space="preserve"> за </w:t>
            </w:r>
            <w:proofErr w:type="spellStart"/>
            <w:r w:rsidRPr="002045F5">
              <w:rPr>
                <w:sz w:val="22"/>
              </w:rPr>
              <w:t>послугами</w:t>
            </w:r>
            <w:proofErr w:type="spellEnd"/>
            <w:r w:rsidRPr="002045F5">
              <w:rPr>
                <w:sz w:val="22"/>
              </w:rPr>
              <w:t xml:space="preserve"> </w:t>
            </w:r>
            <w:proofErr w:type="spellStart"/>
            <w:proofErr w:type="gramStart"/>
            <w:r w:rsidRPr="002045F5">
              <w:rPr>
                <w:sz w:val="22"/>
              </w:rPr>
              <w:t>протягом</w:t>
            </w:r>
            <w:proofErr w:type="spellEnd"/>
            <w:r w:rsidRPr="002045F5">
              <w:rPr>
                <w:sz w:val="22"/>
              </w:rPr>
              <w:t xml:space="preserve">  року</w:t>
            </w:r>
            <w:proofErr w:type="gramEnd"/>
          </w:p>
        </w:tc>
        <w:tc>
          <w:tcPr>
            <w:tcW w:w="1843" w:type="dxa"/>
            <w:gridSpan w:val="2"/>
            <w:tcBorders>
              <w:top w:val="single" w:sz="4" w:space="0" w:color="auto"/>
              <w:left w:val="single" w:sz="4" w:space="0" w:color="auto"/>
              <w:bottom w:val="single" w:sz="4" w:space="0" w:color="auto"/>
              <w:right w:val="single" w:sz="4" w:space="0" w:color="auto"/>
            </w:tcBorders>
            <w:vAlign w:val="center"/>
          </w:tcPr>
          <w:p w:rsidR="00822744" w:rsidRPr="002045F5" w:rsidRDefault="00822744" w:rsidP="00524DBF">
            <w:pPr>
              <w:pStyle w:val="a7"/>
              <w:ind w:left="0"/>
              <w:jc w:val="center"/>
              <w:rPr>
                <w:sz w:val="22"/>
              </w:rPr>
            </w:pPr>
            <w:proofErr w:type="spellStart"/>
            <w:r w:rsidRPr="002045F5">
              <w:rPr>
                <w:sz w:val="22"/>
              </w:rPr>
              <w:t>осіб</w:t>
            </w:r>
            <w:proofErr w:type="spellEnd"/>
          </w:p>
        </w:tc>
        <w:tc>
          <w:tcPr>
            <w:tcW w:w="1675" w:type="dxa"/>
            <w:gridSpan w:val="2"/>
            <w:tcBorders>
              <w:top w:val="single" w:sz="4" w:space="0" w:color="auto"/>
              <w:left w:val="single" w:sz="4" w:space="0" w:color="auto"/>
              <w:bottom w:val="single" w:sz="4" w:space="0" w:color="auto"/>
            </w:tcBorders>
          </w:tcPr>
          <w:p w:rsidR="00822744" w:rsidRPr="002045F5" w:rsidRDefault="00822744" w:rsidP="00524DBF">
            <w:pPr>
              <w:pStyle w:val="a7"/>
              <w:ind w:left="0"/>
              <w:jc w:val="center"/>
              <w:rPr>
                <w:sz w:val="22"/>
              </w:rPr>
            </w:pPr>
            <w:r w:rsidRPr="002045F5">
              <w:rPr>
                <w:sz w:val="22"/>
              </w:rPr>
              <w:t>1200</w:t>
            </w:r>
          </w:p>
        </w:tc>
      </w:tr>
      <w:tr w:rsidR="00822744" w:rsidRPr="002045F5" w:rsidTr="00822744">
        <w:trPr>
          <w:trHeight w:val="150"/>
        </w:trPr>
        <w:tc>
          <w:tcPr>
            <w:tcW w:w="2978" w:type="dxa"/>
            <w:vMerge/>
            <w:shd w:val="clear" w:color="auto" w:fill="C6D9F1" w:themeFill="text2" w:themeFillTint="33"/>
          </w:tcPr>
          <w:p w:rsidR="00822744" w:rsidRPr="002045F5" w:rsidRDefault="00822744" w:rsidP="00524DBF">
            <w:pPr>
              <w:pStyle w:val="a7"/>
              <w:ind w:left="0"/>
              <w:rPr>
                <w:b/>
                <w:sz w:val="22"/>
              </w:rPr>
            </w:pPr>
          </w:p>
        </w:tc>
        <w:tc>
          <w:tcPr>
            <w:tcW w:w="3392" w:type="dxa"/>
            <w:gridSpan w:val="3"/>
            <w:tcBorders>
              <w:top w:val="single" w:sz="4" w:space="0" w:color="auto"/>
              <w:right w:val="single" w:sz="4" w:space="0" w:color="auto"/>
            </w:tcBorders>
          </w:tcPr>
          <w:p w:rsidR="00822744" w:rsidRPr="002045F5" w:rsidRDefault="00822744" w:rsidP="00524DBF">
            <w:pPr>
              <w:pStyle w:val="a7"/>
              <w:ind w:left="0"/>
              <w:jc w:val="center"/>
              <w:rPr>
                <w:sz w:val="22"/>
              </w:rPr>
            </w:pPr>
            <w:proofErr w:type="spellStart"/>
            <w:r w:rsidRPr="002045F5">
              <w:rPr>
                <w:sz w:val="22"/>
              </w:rPr>
              <w:t>Термін</w:t>
            </w:r>
            <w:proofErr w:type="spellEnd"/>
            <w:r w:rsidRPr="002045F5">
              <w:rPr>
                <w:sz w:val="22"/>
              </w:rPr>
              <w:t xml:space="preserve"> </w:t>
            </w:r>
            <w:proofErr w:type="spellStart"/>
            <w:r w:rsidRPr="002045F5">
              <w:rPr>
                <w:sz w:val="22"/>
              </w:rPr>
              <w:t>надання</w:t>
            </w:r>
            <w:proofErr w:type="spellEnd"/>
            <w:r w:rsidRPr="002045F5">
              <w:rPr>
                <w:sz w:val="22"/>
              </w:rPr>
              <w:t xml:space="preserve"> </w:t>
            </w:r>
            <w:proofErr w:type="spellStart"/>
            <w:r w:rsidRPr="002045F5">
              <w:rPr>
                <w:sz w:val="22"/>
              </w:rPr>
              <w:t>послуги</w:t>
            </w:r>
            <w:proofErr w:type="spellEnd"/>
          </w:p>
        </w:tc>
        <w:tc>
          <w:tcPr>
            <w:tcW w:w="1843" w:type="dxa"/>
            <w:gridSpan w:val="2"/>
            <w:tcBorders>
              <w:top w:val="single" w:sz="4" w:space="0" w:color="auto"/>
              <w:left w:val="single" w:sz="4" w:space="0" w:color="auto"/>
              <w:right w:val="single" w:sz="4" w:space="0" w:color="auto"/>
            </w:tcBorders>
            <w:vAlign w:val="center"/>
          </w:tcPr>
          <w:p w:rsidR="00822744" w:rsidRPr="002045F5" w:rsidRDefault="00822744" w:rsidP="00524DBF">
            <w:pPr>
              <w:pStyle w:val="a7"/>
              <w:ind w:left="0"/>
              <w:jc w:val="center"/>
              <w:rPr>
                <w:sz w:val="22"/>
              </w:rPr>
            </w:pPr>
            <w:proofErr w:type="spellStart"/>
            <w:r w:rsidRPr="002045F5">
              <w:rPr>
                <w:sz w:val="22"/>
              </w:rPr>
              <w:t>місяць</w:t>
            </w:r>
            <w:proofErr w:type="spellEnd"/>
          </w:p>
        </w:tc>
        <w:tc>
          <w:tcPr>
            <w:tcW w:w="1675" w:type="dxa"/>
            <w:gridSpan w:val="2"/>
            <w:tcBorders>
              <w:top w:val="single" w:sz="4" w:space="0" w:color="auto"/>
              <w:left w:val="single" w:sz="4" w:space="0" w:color="auto"/>
            </w:tcBorders>
          </w:tcPr>
          <w:p w:rsidR="00822744" w:rsidRPr="002045F5" w:rsidRDefault="00822744" w:rsidP="00524DBF">
            <w:pPr>
              <w:pStyle w:val="a7"/>
              <w:ind w:left="0"/>
              <w:jc w:val="center"/>
              <w:rPr>
                <w:sz w:val="22"/>
              </w:rPr>
            </w:pPr>
            <w:r w:rsidRPr="002045F5">
              <w:rPr>
                <w:sz w:val="22"/>
              </w:rPr>
              <w:t xml:space="preserve">12 </w:t>
            </w:r>
            <w:proofErr w:type="spellStart"/>
            <w:r w:rsidRPr="002045F5">
              <w:rPr>
                <w:sz w:val="22"/>
              </w:rPr>
              <w:t>місяців</w:t>
            </w:r>
            <w:proofErr w:type="spellEnd"/>
          </w:p>
        </w:tc>
      </w:tr>
      <w:tr w:rsidR="00822744" w:rsidRPr="002045F5" w:rsidTr="00822744">
        <w:trPr>
          <w:trHeight w:val="150"/>
        </w:trPr>
        <w:tc>
          <w:tcPr>
            <w:tcW w:w="2978" w:type="dxa"/>
            <w:shd w:val="clear" w:color="auto" w:fill="C6D9F1" w:themeFill="text2" w:themeFillTint="33"/>
          </w:tcPr>
          <w:p w:rsidR="00822744" w:rsidRPr="002045F5" w:rsidRDefault="00822744" w:rsidP="00524DBF">
            <w:pPr>
              <w:pStyle w:val="a7"/>
              <w:ind w:left="0"/>
              <w:rPr>
                <w:b/>
                <w:sz w:val="22"/>
              </w:rPr>
            </w:pPr>
          </w:p>
        </w:tc>
        <w:tc>
          <w:tcPr>
            <w:tcW w:w="3392" w:type="dxa"/>
            <w:gridSpan w:val="3"/>
            <w:tcBorders>
              <w:top w:val="single" w:sz="4" w:space="0" w:color="auto"/>
              <w:right w:val="single" w:sz="4" w:space="0" w:color="auto"/>
            </w:tcBorders>
          </w:tcPr>
          <w:p w:rsidR="00822744" w:rsidRPr="002045F5" w:rsidRDefault="00822744" w:rsidP="0060658B">
            <w:pPr>
              <w:pStyle w:val="a7"/>
              <w:ind w:left="0"/>
              <w:jc w:val="center"/>
              <w:rPr>
                <w:sz w:val="22"/>
              </w:rPr>
            </w:pPr>
            <w:proofErr w:type="spellStart"/>
            <w:r w:rsidRPr="002045F5">
              <w:rPr>
                <w:sz w:val="22"/>
              </w:rPr>
              <w:t>Кількість</w:t>
            </w:r>
            <w:proofErr w:type="spellEnd"/>
            <w:r w:rsidRPr="002045F5">
              <w:rPr>
                <w:sz w:val="22"/>
              </w:rPr>
              <w:t xml:space="preserve"> </w:t>
            </w:r>
            <w:proofErr w:type="spellStart"/>
            <w:r w:rsidRPr="002045F5">
              <w:rPr>
                <w:sz w:val="22"/>
              </w:rPr>
              <w:t>населених</w:t>
            </w:r>
            <w:proofErr w:type="spellEnd"/>
            <w:r w:rsidRPr="002045F5">
              <w:rPr>
                <w:sz w:val="22"/>
              </w:rPr>
              <w:t xml:space="preserve"> </w:t>
            </w:r>
            <w:proofErr w:type="spellStart"/>
            <w:r w:rsidRPr="002045F5">
              <w:rPr>
                <w:sz w:val="22"/>
              </w:rPr>
              <w:t>пунктів</w:t>
            </w:r>
            <w:proofErr w:type="spellEnd"/>
            <w:r w:rsidRPr="002045F5">
              <w:rPr>
                <w:sz w:val="22"/>
              </w:rPr>
              <w:t xml:space="preserve">, </w:t>
            </w:r>
            <w:proofErr w:type="spellStart"/>
            <w:r w:rsidRPr="002045F5">
              <w:rPr>
                <w:sz w:val="22"/>
              </w:rPr>
              <w:t>як</w:t>
            </w:r>
            <w:r w:rsidR="0060658B" w:rsidRPr="002045F5">
              <w:rPr>
                <w:sz w:val="22"/>
              </w:rPr>
              <w:t>і</w:t>
            </w:r>
            <w:proofErr w:type="spellEnd"/>
            <w:r w:rsidRPr="002045F5">
              <w:rPr>
                <w:sz w:val="22"/>
              </w:rPr>
              <w:t xml:space="preserve"> </w:t>
            </w:r>
            <w:proofErr w:type="spellStart"/>
            <w:r w:rsidRPr="002045F5">
              <w:rPr>
                <w:sz w:val="22"/>
              </w:rPr>
              <w:t>обслуговує</w:t>
            </w:r>
            <w:proofErr w:type="spellEnd"/>
            <w:r w:rsidRPr="002045F5">
              <w:rPr>
                <w:sz w:val="22"/>
              </w:rPr>
              <w:t xml:space="preserve"> заклад </w:t>
            </w:r>
            <w:proofErr w:type="spellStart"/>
            <w:r w:rsidRPr="002045F5">
              <w:rPr>
                <w:sz w:val="22"/>
              </w:rPr>
              <w:t>освіти</w:t>
            </w:r>
            <w:proofErr w:type="spellEnd"/>
          </w:p>
        </w:tc>
        <w:tc>
          <w:tcPr>
            <w:tcW w:w="1843" w:type="dxa"/>
            <w:gridSpan w:val="2"/>
            <w:tcBorders>
              <w:top w:val="single" w:sz="4" w:space="0" w:color="auto"/>
              <w:left w:val="single" w:sz="4" w:space="0" w:color="auto"/>
              <w:right w:val="single" w:sz="4" w:space="0" w:color="auto"/>
            </w:tcBorders>
            <w:vAlign w:val="center"/>
          </w:tcPr>
          <w:p w:rsidR="00822744" w:rsidRPr="002045F5" w:rsidRDefault="00822744" w:rsidP="00524DBF">
            <w:pPr>
              <w:pStyle w:val="a7"/>
              <w:ind w:left="0"/>
              <w:jc w:val="center"/>
              <w:rPr>
                <w:sz w:val="22"/>
              </w:rPr>
            </w:pPr>
            <w:proofErr w:type="spellStart"/>
            <w:r w:rsidRPr="002045F5">
              <w:rPr>
                <w:sz w:val="22"/>
              </w:rPr>
              <w:t>одиниць</w:t>
            </w:r>
            <w:proofErr w:type="spellEnd"/>
          </w:p>
        </w:tc>
        <w:tc>
          <w:tcPr>
            <w:tcW w:w="1675" w:type="dxa"/>
            <w:gridSpan w:val="2"/>
            <w:tcBorders>
              <w:top w:val="single" w:sz="4" w:space="0" w:color="auto"/>
              <w:left w:val="single" w:sz="4" w:space="0" w:color="auto"/>
            </w:tcBorders>
          </w:tcPr>
          <w:p w:rsidR="00822744" w:rsidRPr="002045F5" w:rsidRDefault="00822744" w:rsidP="00524DBF">
            <w:pPr>
              <w:pStyle w:val="a7"/>
              <w:ind w:left="0"/>
              <w:jc w:val="center"/>
              <w:rPr>
                <w:sz w:val="22"/>
              </w:rPr>
            </w:pPr>
            <w:r w:rsidRPr="002045F5">
              <w:rPr>
                <w:sz w:val="22"/>
              </w:rPr>
              <w:t xml:space="preserve">1 </w:t>
            </w:r>
          </w:p>
        </w:tc>
      </w:tr>
      <w:tr w:rsidR="00822744" w:rsidRPr="002045F5" w:rsidTr="00822744">
        <w:tc>
          <w:tcPr>
            <w:tcW w:w="2978" w:type="dxa"/>
            <w:shd w:val="clear" w:color="auto" w:fill="C6D9F1" w:themeFill="text2" w:themeFillTint="33"/>
          </w:tcPr>
          <w:p w:rsidR="00822744" w:rsidRPr="002045F5" w:rsidRDefault="00822744" w:rsidP="00524DBF">
            <w:pPr>
              <w:rPr>
                <w:b/>
                <w:sz w:val="22"/>
              </w:rPr>
            </w:pPr>
            <w:proofErr w:type="spellStart"/>
            <w:r w:rsidRPr="002045F5">
              <w:rPr>
                <w:b/>
                <w:sz w:val="22"/>
              </w:rPr>
              <w:t>Ключові</w:t>
            </w:r>
            <w:proofErr w:type="spellEnd"/>
            <w:r w:rsidRPr="002045F5">
              <w:rPr>
                <w:b/>
                <w:sz w:val="22"/>
              </w:rPr>
              <w:t xml:space="preserve"> заходи </w:t>
            </w:r>
            <w:proofErr w:type="spellStart"/>
            <w:r w:rsidRPr="002045F5">
              <w:rPr>
                <w:b/>
                <w:sz w:val="22"/>
              </w:rPr>
              <w:t>проєкту</w:t>
            </w:r>
            <w:proofErr w:type="spellEnd"/>
            <w:r w:rsidRPr="002045F5">
              <w:rPr>
                <w:b/>
                <w:sz w:val="22"/>
              </w:rPr>
              <w:t xml:space="preserve">: </w:t>
            </w:r>
          </w:p>
          <w:p w:rsidR="00822744" w:rsidRPr="002045F5" w:rsidRDefault="00822744" w:rsidP="00524DBF">
            <w:pPr>
              <w:pStyle w:val="a7"/>
              <w:ind w:left="0"/>
              <w:rPr>
                <w:b/>
                <w:sz w:val="22"/>
              </w:rPr>
            </w:pPr>
          </w:p>
        </w:tc>
        <w:tc>
          <w:tcPr>
            <w:tcW w:w="6910"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822744" w:rsidRPr="002045F5" w:rsidRDefault="00822744" w:rsidP="000303D7">
            <w:pPr>
              <w:pStyle w:val="a7"/>
              <w:numPr>
                <w:ilvl w:val="0"/>
                <w:numId w:val="122"/>
              </w:numPr>
              <w:ind w:left="102" w:firstLine="15"/>
              <w:jc w:val="left"/>
              <w:rPr>
                <w:sz w:val="22"/>
              </w:rPr>
            </w:pPr>
            <w:proofErr w:type="spellStart"/>
            <w:r w:rsidRPr="002045F5">
              <w:rPr>
                <w:color w:val="000000"/>
                <w:sz w:val="22"/>
              </w:rPr>
              <w:t>Проведення</w:t>
            </w:r>
            <w:proofErr w:type="spellEnd"/>
            <w:r w:rsidRPr="002045F5">
              <w:rPr>
                <w:color w:val="000000"/>
                <w:sz w:val="22"/>
              </w:rPr>
              <w:t xml:space="preserve"> </w:t>
            </w:r>
            <w:proofErr w:type="spellStart"/>
            <w:r w:rsidRPr="002045F5">
              <w:rPr>
                <w:color w:val="000000"/>
                <w:sz w:val="22"/>
              </w:rPr>
              <w:t>експертизи</w:t>
            </w:r>
            <w:proofErr w:type="spellEnd"/>
            <w:r w:rsidRPr="002045F5">
              <w:rPr>
                <w:color w:val="000000"/>
                <w:sz w:val="22"/>
              </w:rPr>
              <w:t xml:space="preserve"> </w:t>
            </w:r>
            <w:proofErr w:type="spellStart"/>
            <w:r w:rsidRPr="002045F5">
              <w:rPr>
                <w:color w:val="000000"/>
                <w:sz w:val="22"/>
              </w:rPr>
              <w:t>проєкту</w:t>
            </w:r>
            <w:proofErr w:type="spellEnd"/>
            <w:r w:rsidRPr="002045F5">
              <w:rPr>
                <w:color w:val="000000"/>
                <w:sz w:val="22"/>
              </w:rPr>
              <w:t xml:space="preserve"> </w:t>
            </w:r>
            <w:proofErr w:type="spellStart"/>
            <w:r w:rsidRPr="002045F5">
              <w:rPr>
                <w:color w:val="000000"/>
                <w:sz w:val="22"/>
              </w:rPr>
              <w:t>відновлення</w:t>
            </w:r>
            <w:proofErr w:type="spellEnd"/>
            <w:r w:rsidRPr="002045F5">
              <w:rPr>
                <w:color w:val="000000"/>
                <w:sz w:val="22"/>
              </w:rPr>
              <w:t xml:space="preserve">; </w:t>
            </w:r>
          </w:p>
          <w:p w:rsidR="00822744" w:rsidRPr="002045F5" w:rsidRDefault="00822744" w:rsidP="000303D7">
            <w:pPr>
              <w:pStyle w:val="a7"/>
              <w:numPr>
                <w:ilvl w:val="0"/>
                <w:numId w:val="122"/>
              </w:numPr>
              <w:ind w:left="102" w:firstLine="15"/>
              <w:jc w:val="left"/>
              <w:rPr>
                <w:sz w:val="22"/>
              </w:rPr>
            </w:pPr>
            <w:proofErr w:type="spellStart"/>
            <w:r w:rsidRPr="002045F5">
              <w:rPr>
                <w:color w:val="000000"/>
                <w:sz w:val="22"/>
              </w:rPr>
              <w:t>звернення</w:t>
            </w:r>
            <w:proofErr w:type="spellEnd"/>
            <w:r w:rsidRPr="002045F5">
              <w:rPr>
                <w:color w:val="000000"/>
                <w:sz w:val="22"/>
              </w:rPr>
              <w:t xml:space="preserve"> до </w:t>
            </w:r>
            <w:proofErr w:type="spellStart"/>
            <w:r w:rsidRPr="002045F5">
              <w:rPr>
                <w:color w:val="000000"/>
                <w:sz w:val="22"/>
              </w:rPr>
              <w:t>експертної</w:t>
            </w:r>
            <w:proofErr w:type="spellEnd"/>
            <w:r w:rsidRPr="002045F5">
              <w:rPr>
                <w:color w:val="000000"/>
                <w:sz w:val="22"/>
              </w:rPr>
              <w:t xml:space="preserve"> </w:t>
            </w:r>
            <w:proofErr w:type="spellStart"/>
            <w:r w:rsidRPr="002045F5">
              <w:rPr>
                <w:color w:val="000000"/>
                <w:sz w:val="22"/>
              </w:rPr>
              <w:t>компанії</w:t>
            </w:r>
            <w:proofErr w:type="spellEnd"/>
            <w:r w:rsidRPr="002045F5">
              <w:rPr>
                <w:color w:val="000000"/>
                <w:sz w:val="22"/>
              </w:rPr>
              <w:t xml:space="preserve"> і </w:t>
            </w:r>
            <w:proofErr w:type="spellStart"/>
            <w:r w:rsidRPr="002045F5">
              <w:rPr>
                <w:color w:val="000000"/>
                <w:sz w:val="22"/>
              </w:rPr>
              <w:t>підписання</w:t>
            </w:r>
            <w:proofErr w:type="spellEnd"/>
            <w:r w:rsidRPr="002045F5">
              <w:rPr>
                <w:color w:val="000000"/>
                <w:sz w:val="22"/>
              </w:rPr>
              <w:t xml:space="preserve"> договору;</w:t>
            </w:r>
          </w:p>
          <w:p w:rsidR="00822744" w:rsidRPr="002045F5" w:rsidRDefault="00822744" w:rsidP="000303D7">
            <w:pPr>
              <w:pStyle w:val="a7"/>
              <w:numPr>
                <w:ilvl w:val="0"/>
                <w:numId w:val="122"/>
              </w:numPr>
              <w:ind w:left="102" w:firstLine="15"/>
              <w:jc w:val="left"/>
              <w:rPr>
                <w:sz w:val="22"/>
              </w:rPr>
            </w:pPr>
            <w:proofErr w:type="spellStart"/>
            <w:r w:rsidRPr="002045F5">
              <w:rPr>
                <w:color w:val="000000"/>
                <w:sz w:val="22"/>
              </w:rPr>
              <w:t>проведення</w:t>
            </w:r>
            <w:proofErr w:type="spellEnd"/>
            <w:r w:rsidRPr="002045F5">
              <w:rPr>
                <w:color w:val="000000"/>
                <w:sz w:val="22"/>
              </w:rPr>
              <w:t xml:space="preserve"> </w:t>
            </w:r>
            <w:proofErr w:type="spellStart"/>
            <w:r w:rsidRPr="002045F5">
              <w:rPr>
                <w:color w:val="000000"/>
                <w:sz w:val="22"/>
              </w:rPr>
              <w:t>експертизи</w:t>
            </w:r>
            <w:proofErr w:type="spellEnd"/>
            <w:r w:rsidRPr="002045F5">
              <w:rPr>
                <w:color w:val="000000"/>
                <w:sz w:val="22"/>
              </w:rPr>
              <w:t xml:space="preserve"> </w:t>
            </w:r>
            <w:proofErr w:type="spellStart"/>
            <w:r w:rsidRPr="002045F5">
              <w:rPr>
                <w:color w:val="000000"/>
                <w:sz w:val="22"/>
              </w:rPr>
              <w:t>прєктної</w:t>
            </w:r>
            <w:proofErr w:type="spellEnd"/>
            <w:r w:rsidRPr="002045F5">
              <w:rPr>
                <w:color w:val="000000"/>
                <w:sz w:val="22"/>
              </w:rPr>
              <w:t xml:space="preserve"> </w:t>
            </w:r>
            <w:proofErr w:type="spellStart"/>
            <w:r w:rsidRPr="002045F5">
              <w:rPr>
                <w:color w:val="000000"/>
                <w:sz w:val="22"/>
              </w:rPr>
              <w:t>документації</w:t>
            </w:r>
            <w:proofErr w:type="spellEnd"/>
            <w:r w:rsidRPr="002045F5">
              <w:rPr>
                <w:color w:val="000000"/>
                <w:sz w:val="22"/>
              </w:rPr>
              <w:t xml:space="preserve">; </w:t>
            </w:r>
          </w:p>
          <w:p w:rsidR="00822744" w:rsidRPr="002045F5" w:rsidRDefault="00822744" w:rsidP="000303D7">
            <w:pPr>
              <w:pStyle w:val="a7"/>
              <w:numPr>
                <w:ilvl w:val="0"/>
                <w:numId w:val="122"/>
              </w:numPr>
              <w:ind w:left="102" w:firstLine="15"/>
              <w:jc w:val="left"/>
              <w:rPr>
                <w:sz w:val="22"/>
              </w:rPr>
            </w:pPr>
            <w:proofErr w:type="spellStart"/>
            <w:r w:rsidRPr="002045F5">
              <w:rPr>
                <w:color w:val="000000"/>
                <w:sz w:val="22"/>
              </w:rPr>
              <w:t>отримання</w:t>
            </w:r>
            <w:proofErr w:type="spellEnd"/>
            <w:r w:rsidRPr="002045F5">
              <w:rPr>
                <w:color w:val="000000"/>
                <w:sz w:val="22"/>
              </w:rPr>
              <w:t xml:space="preserve"> </w:t>
            </w:r>
            <w:proofErr w:type="spellStart"/>
            <w:r w:rsidRPr="002045F5">
              <w:rPr>
                <w:color w:val="000000"/>
                <w:sz w:val="22"/>
              </w:rPr>
              <w:t>експертного</w:t>
            </w:r>
            <w:proofErr w:type="spellEnd"/>
            <w:r w:rsidRPr="002045F5">
              <w:rPr>
                <w:color w:val="000000"/>
                <w:sz w:val="22"/>
              </w:rPr>
              <w:t xml:space="preserve"> </w:t>
            </w:r>
            <w:proofErr w:type="spellStart"/>
            <w:r w:rsidRPr="002045F5">
              <w:rPr>
                <w:color w:val="000000"/>
                <w:sz w:val="22"/>
              </w:rPr>
              <w:t>звіту</w:t>
            </w:r>
            <w:proofErr w:type="spellEnd"/>
            <w:r w:rsidRPr="002045F5">
              <w:rPr>
                <w:color w:val="000000"/>
                <w:sz w:val="22"/>
              </w:rPr>
              <w:t>;</w:t>
            </w:r>
          </w:p>
          <w:p w:rsidR="00822744" w:rsidRPr="002045F5" w:rsidRDefault="00822744" w:rsidP="000303D7">
            <w:pPr>
              <w:pStyle w:val="a7"/>
              <w:numPr>
                <w:ilvl w:val="0"/>
                <w:numId w:val="122"/>
              </w:numPr>
              <w:ind w:left="102" w:firstLine="15"/>
              <w:jc w:val="left"/>
              <w:rPr>
                <w:sz w:val="22"/>
              </w:rPr>
            </w:pPr>
            <w:proofErr w:type="spellStart"/>
            <w:r w:rsidRPr="002045F5">
              <w:rPr>
                <w:sz w:val="22"/>
              </w:rPr>
              <w:t>організація</w:t>
            </w:r>
            <w:proofErr w:type="spellEnd"/>
            <w:r w:rsidRPr="002045F5">
              <w:rPr>
                <w:sz w:val="22"/>
              </w:rPr>
              <w:t xml:space="preserve"> та початок </w:t>
            </w:r>
            <w:proofErr w:type="spellStart"/>
            <w:r w:rsidRPr="002045F5">
              <w:rPr>
                <w:sz w:val="22"/>
              </w:rPr>
              <w:t>освітнього</w:t>
            </w:r>
            <w:proofErr w:type="spellEnd"/>
            <w:r w:rsidRPr="002045F5">
              <w:rPr>
                <w:sz w:val="22"/>
              </w:rPr>
              <w:t xml:space="preserve"> </w:t>
            </w:r>
            <w:proofErr w:type="spellStart"/>
            <w:r w:rsidRPr="002045F5">
              <w:rPr>
                <w:sz w:val="22"/>
              </w:rPr>
              <w:t>процесу</w:t>
            </w:r>
            <w:proofErr w:type="spellEnd"/>
            <w:r w:rsidRPr="002045F5">
              <w:rPr>
                <w:sz w:val="22"/>
              </w:rPr>
              <w:t>.</w:t>
            </w:r>
          </w:p>
        </w:tc>
      </w:tr>
      <w:tr w:rsidR="00822744" w:rsidRPr="002045F5" w:rsidTr="00822744">
        <w:trPr>
          <w:trHeight w:val="360"/>
        </w:trPr>
        <w:tc>
          <w:tcPr>
            <w:tcW w:w="2978" w:type="dxa"/>
            <w:vMerge w:val="restart"/>
            <w:shd w:val="clear" w:color="auto" w:fill="C6D9F1" w:themeFill="text2" w:themeFillTint="33"/>
          </w:tcPr>
          <w:p w:rsidR="00822744" w:rsidRPr="002045F5" w:rsidRDefault="00822744" w:rsidP="00524DBF">
            <w:pPr>
              <w:pStyle w:val="a7"/>
              <w:ind w:left="0"/>
              <w:rPr>
                <w:b/>
                <w:sz w:val="22"/>
              </w:rPr>
            </w:pPr>
            <w:proofErr w:type="spellStart"/>
            <w:r w:rsidRPr="002045F5">
              <w:rPr>
                <w:b/>
                <w:sz w:val="22"/>
              </w:rPr>
              <w:t>Орієнтовний</w:t>
            </w:r>
            <w:proofErr w:type="spellEnd"/>
            <w:r w:rsidRPr="002045F5">
              <w:rPr>
                <w:b/>
                <w:sz w:val="22"/>
              </w:rPr>
              <w:t xml:space="preserve"> </w:t>
            </w:r>
            <w:proofErr w:type="spellStart"/>
            <w:r w:rsidRPr="002045F5">
              <w:rPr>
                <w:b/>
                <w:sz w:val="22"/>
              </w:rPr>
              <w:t>обсяг</w:t>
            </w:r>
            <w:proofErr w:type="spellEnd"/>
            <w:r w:rsidRPr="002045F5">
              <w:rPr>
                <w:b/>
                <w:sz w:val="22"/>
              </w:rPr>
              <w:t xml:space="preserve"> та </w:t>
            </w:r>
            <w:proofErr w:type="spellStart"/>
            <w:r w:rsidRPr="002045F5">
              <w:rPr>
                <w:b/>
                <w:sz w:val="22"/>
              </w:rPr>
              <w:t>джерела</w:t>
            </w:r>
            <w:proofErr w:type="spellEnd"/>
            <w:r w:rsidRPr="002045F5">
              <w:rPr>
                <w:b/>
                <w:sz w:val="22"/>
              </w:rPr>
              <w:t xml:space="preserve"> </w:t>
            </w:r>
            <w:proofErr w:type="spellStart"/>
            <w:r w:rsidRPr="002045F5">
              <w:rPr>
                <w:b/>
                <w:sz w:val="22"/>
              </w:rPr>
              <w:t>фінансування</w:t>
            </w:r>
            <w:proofErr w:type="spellEnd"/>
            <w:r w:rsidRPr="002045F5">
              <w:rPr>
                <w:b/>
                <w:sz w:val="22"/>
              </w:rPr>
              <w:t xml:space="preserve">, тис. грн. </w:t>
            </w:r>
          </w:p>
          <w:p w:rsidR="00822744" w:rsidRPr="002045F5" w:rsidRDefault="00822744" w:rsidP="00524DBF">
            <w:pPr>
              <w:pStyle w:val="a7"/>
              <w:ind w:left="0"/>
              <w:rPr>
                <w:b/>
                <w:sz w:val="22"/>
              </w:rPr>
            </w:pPr>
          </w:p>
        </w:tc>
        <w:tc>
          <w:tcPr>
            <w:tcW w:w="1581" w:type="dxa"/>
            <w:tcBorders>
              <w:bottom w:val="single" w:sz="4" w:space="0" w:color="auto"/>
              <w:right w:val="single" w:sz="4" w:space="0" w:color="auto"/>
            </w:tcBorders>
          </w:tcPr>
          <w:p w:rsidR="00822744" w:rsidRPr="002045F5" w:rsidRDefault="00822744" w:rsidP="00524DBF">
            <w:pPr>
              <w:pStyle w:val="a7"/>
              <w:ind w:left="0"/>
              <w:jc w:val="center"/>
              <w:rPr>
                <w:b/>
                <w:sz w:val="22"/>
              </w:rPr>
            </w:pPr>
            <w:proofErr w:type="spellStart"/>
            <w:r w:rsidRPr="002045F5">
              <w:rPr>
                <w:b/>
                <w:sz w:val="22"/>
              </w:rPr>
              <w:t>Державний</w:t>
            </w:r>
            <w:proofErr w:type="spellEnd"/>
            <w:r w:rsidRPr="002045F5">
              <w:rPr>
                <w:b/>
                <w:sz w:val="22"/>
              </w:rPr>
              <w:t xml:space="preserve"> бюджет</w:t>
            </w:r>
          </w:p>
        </w:tc>
        <w:tc>
          <w:tcPr>
            <w:tcW w:w="1365" w:type="dxa"/>
            <w:tcBorders>
              <w:bottom w:val="single" w:sz="4" w:space="0" w:color="auto"/>
              <w:right w:val="single" w:sz="4" w:space="0" w:color="auto"/>
            </w:tcBorders>
          </w:tcPr>
          <w:p w:rsidR="00822744" w:rsidRPr="002045F5" w:rsidRDefault="00822744" w:rsidP="00524DBF">
            <w:pPr>
              <w:pStyle w:val="a7"/>
              <w:ind w:left="0"/>
              <w:jc w:val="center"/>
              <w:rPr>
                <w:b/>
                <w:sz w:val="22"/>
              </w:rPr>
            </w:pPr>
            <w:proofErr w:type="spellStart"/>
            <w:r w:rsidRPr="002045F5">
              <w:rPr>
                <w:b/>
                <w:sz w:val="22"/>
              </w:rPr>
              <w:t>Місцевий</w:t>
            </w:r>
            <w:proofErr w:type="spellEnd"/>
            <w:r w:rsidRPr="002045F5">
              <w:rPr>
                <w:b/>
                <w:sz w:val="22"/>
              </w:rPr>
              <w:t xml:space="preserve"> бюджет</w:t>
            </w:r>
          </w:p>
        </w:tc>
        <w:tc>
          <w:tcPr>
            <w:tcW w:w="2543" w:type="dxa"/>
            <w:gridSpan w:val="4"/>
            <w:tcBorders>
              <w:left w:val="single" w:sz="4" w:space="0" w:color="auto"/>
              <w:bottom w:val="single" w:sz="4" w:space="0" w:color="auto"/>
              <w:right w:val="single" w:sz="4" w:space="0" w:color="auto"/>
            </w:tcBorders>
          </w:tcPr>
          <w:p w:rsidR="00822744" w:rsidRPr="002045F5" w:rsidRDefault="00822744" w:rsidP="00524DBF">
            <w:pPr>
              <w:pStyle w:val="a7"/>
              <w:ind w:left="0"/>
              <w:jc w:val="center"/>
              <w:rPr>
                <w:b/>
                <w:sz w:val="22"/>
              </w:rPr>
            </w:pPr>
            <w:proofErr w:type="spellStart"/>
            <w:r w:rsidRPr="002045F5">
              <w:rPr>
                <w:b/>
                <w:sz w:val="22"/>
              </w:rPr>
              <w:t>Інші</w:t>
            </w:r>
            <w:proofErr w:type="spellEnd"/>
            <w:r w:rsidRPr="002045F5">
              <w:rPr>
                <w:b/>
                <w:sz w:val="22"/>
              </w:rPr>
              <w:t xml:space="preserve"> </w:t>
            </w:r>
            <w:proofErr w:type="spellStart"/>
            <w:r w:rsidRPr="002045F5">
              <w:rPr>
                <w:b/>
                <w:sz w:val="22"/>
              </w:rPr>
              <w:t>джерела</w:t>
            </w:r>
            <w:proofErr w:type="spellEnd"/>
          </w:p>
        </w:tc>
        <w:tc>
          <w:tcPr>
            <w:tcW w:w="1421" w:type="dxa"/>
            <w:tcBorders>
              <w:left w:val="single" w:sz="4" w:space="0" w:color="auto"/>
              <w:bottom w:val="single" w:sz="4" w:space="0" w:color="auto"/>
            </w:tcBorders>
          </w:tcPr>
          <w:p w:rsidR="00822744" w:rsidRPr="002045F5" w:rsidRDefault="00822744" w:rsidP="00524DBF">
            <w:pPr>
              <w:pStyle w:val="a7"/>
              <w:ind w:left="0"/>
              <w:jc w:val="center"/>
              <w:rPr>
                <w:b/>
                <w:sz w:val="22"/>
              </w:rPr>
            </w:pPr>
            <w:proofErr w:type="spellStart"/>
            <w:r w:rsidRPr="002045F5">
              <w:rPr>
                <w:b/>
                <w:sz w:val="22"/>
              </w:rPr>
              <w:t>Всього</w:t>
            </w:r>
            <w:proofErr w:type="spellEnd"/>
          </w:p>
        </w:tc>
      </w:tr>
      <w:tr w:rsidR="00822744" w:rsidRPr="002045F5" w:rsidTr="00822744">
        <w:trPr>
          <w:trHeight w:val="225"/>
        </w:trPr>
        <w:tc>
          <w:tcPr>
            <w:tcW w:w="2978" w:type="dxa"/>
            <w:vMerge/>
            <w:shd w:val="clear" w:color="auto" w:fill="C6D9F1" w:themeFill="text2" w:themeFillTint="33"/>
          </w:tcPr>
          <w:p w:rsidR="00822744" w:rsidRPr="002045F5" w:rsidRDefault="00822744" w:rsidP="00524DBF">
            <w:pPr>
              <w:pStyle w:val="a7"/>
              <w:ind w:left="0"/>
              <w:rPr>
                <w:b/>
                <w:sz w:val="22"/>
              </w:rPr>
            </w:pPr>
          </w:p>
        </w:tc>
        <w:tc>
          <w:tcPr>
            <w:tcW w:w="1581" w:type="dxa"/>
            <w:vMerge w:val="restart"/>
            <w:tcBorders>
              <w:top w:val="single" w:sz="4" w:space="0" w:color="auto"/>
              <w:right w:val="single" w:sz="4" w:space="0" w:color="auto"/>
            </w:tcBorders>
          </w:tcPr>
          <w:p w:rsidR="00822744" w:rsidRPr="002045F5" w:rsidRDefault="00822744" w:rsidP="00524DBF">
            <w:pPr>
              <w:pStyle w:val="a7"/>
              <w:ind w:left="0"/>
              <w:jc w:val="center"/>
              <w:rPr>
                <w:sz w:val="22"/>
              </w:rPr>
            </w:pPr>
            <w:r w:rsidRPr="002045F5">
              <w:rPr>
                <w:sz w:val="22"/>
              </w:rPr>
              <w:t>3 000,00</w:t>
            </w:r>
          </w:p>
        </w:tc>
        <w:tc>
          <w:tcPr>
            <w:tcW w:w="1365" w:type="dxa"/>
            <w:vMerge w:val="restart"/>
            <w:tcBorders>
              <w:top w:val="single" w:sz="4" w:space="0" w:color="auto"/>
              <w:right w:val="single" w:sz="4" w:space="0" w:color="auto"/>
            </w:tcBorders>
          </w:tcPr>
          <w:p w:rsidR="00822744" w:rsidRPr="002045F5" w:rsidRDefault="00822744" w:rsidP="00524DBF">
            <w:pPr>
              <w:pStyle w:val="a7"/>
              <w:ind w:left="0"/>
              <w:jc w:val="center"/>
              <w:rPr>
                <w:b/>
                <w:sz w:val="22"/>
              </w:rPr>
            </w:pPr>
            <w:r w:rsidRPr="002045F5">
              <w:rPr>
                <w:b/>
                <w:sz w:val="22"/>
              </w:rPr>
              <w:t>-</w:t>
            </w:r>
          </w:p>
        </w:tc>
        <w:tc>
          <w:tcPr>
            <w:tcW w:w="1088" w:type="dxa"/>
            <w:gridSpan w:val="2"/>
            <w:tcBorders>
              <w:top w:val="single" w:sz="4" w:space="0" w:color="auto"/>
              <w:left w:val="single" w:sz="4" w:space="0" w:color="auto"/>
              <w:bottom w:val="single" w:sz="4" w:space="0" w:color="auto"/>
              <w:right w:val="single" w:sz="4" w:space="0" w:color="auto"/>
            </w:tcBorders>
          </w:tcPr>
          <w:p w:rsidR="00822744" w:rsidRPr="002045F5" w:rsidRDefault="00822744" w:rsidP="00524DBF">
            <w:pPr>
              <w:pStyle w:val="a7"/>
              <w:ind w:left="0"/>
              <w:jc w:val="center"/>
              <w:rPr>
                <w:b/>
                <w:sz w:val="22"/>
              </w:rPr>
            </w:pPr>
            <w:proofErr w:type="spellStart"/>
            <w:r w:rsidRPr="002045F5">
              <w:rPr>
                <w:b/>
                <w:sz w:val="22"/>
              </w:rPr>
              <w:t>Обсяг</w:t>
            </w:r>
            <w:proofErr w:type="spellEnd"/>
          </w:p>
        </w:tc>
        <w:tc>
          <w:tcPr>
            <w:tcW w:w="1455" w:type="dxa"/>
            <w:gridSpan w:val="2"/>
            <w:tcBorders>
              <w:top w:val="single" w:sz="4" w:space="0" w:color="auto"/>
              <w:left w:val="single" w:sz="4" w:space="0" w:color="auto"/>
              <w:bottom w:val="single" w:sz="4" w:space="0" w:color="auto"/>
              <w:right w:val="single" w:sz="4" w:space="0" w:color="auto"/>
            </w:tcBorders>
          </w:tcPr>
          <w:p w:rsidR="00822744" w:rsidRPr="002045F5" w:rsidRDefault="00822744" w:rsidP="00524DBF">
            <w:pPr>
              <w:pStyle w:val="a7"/>
              <w:ind w:left="0"/>
              <w:jc w:val="center"/>
              <w:rPr>
                <w:b/>
                <w:sz w:val="22"/>
              </w:rPr>
            </w:pPr>
            <w:proofErr w:type="spellStart"/>
            <w:r w:rsidRPr="002045F5">
              <w:rPr>
                <w:b/>
                <w:sz w:val="22"/>
              </w:rPr>
              <w:t>Назва</w:t>
            </w:r>
            <w:proofErr w:type="spellEnd"/>
            <w:r w:rsidRPr="002045F5">
              <w:rPr>
                <w:b/>
                <w:sz w:val="22"/>
              </w:rPr>
              <w:t xml:space="preserve"> </w:t>
            </w:r>
            <w:proofErr w:type="spellStart"/>
            <w:r w:rsidRPr="002045F5">
              <w:rPr>
                <w:b/>
                <w:sz w:val="22"/>
              </w:rPr>
              <w:t>джерела</w:t>
            </w:r>
            <w:proofErr w:type="spellEnd"/>
          </w:p>
        </w:tc>
        <w:tc>
          <w:tcPr>
            <w:tcW w:w="1421" w:type="dxa"/>
            <w:vMerge w:val="restart"/>
            <w:tcBorders>
              <w:top w:val="single" w:sz="4" w:space="0" w:color="auto"/>
              <w:left w:val="single" w:sz="4" w:space="0" w:color="auto"/>
            </w:tcBorders>
          </w:tcPr>
          <w:p w:rsidR="00822744" w:rsidRPr="002045F5" w:rsidRDefault="00822744" w:rsidP="00524DBF">
            <w:pPr>
              <w:pStyle w:val="a7"/>
              <w:ind w:left="0"/>
              <w:rPr>
                <w:sz w:val="22"/>
              </w:rPr>
            </w:pPr>
            <w:r w:rsidRPr="002045F5">
              <w:rPr>
                <w:sz w:val="22"/>
              </w:rPr>
              <w:t xml:space="preserve">5 000,00 </w:t>
            </w:r>
          </w:p>
        </w:tc>
      </w:tr>
      <w:tr w:rsidR="00822744" w:rsidRPr="002045F5" w:rsidTr="00822744">
        <w:trPr>
          <w:trHeight w:val="300"/>
        </w:trPr>
        <w:tc>
          <w:tcPr>
            <w:tcW w:w="2978" w:type="dxa"/>
            <w:vMerge/>
            <w:shd w:val="clear" w:color="auto" w:fill="C6D9F1" w:themeFill="text2" w:themeFillTint="33"/>
          </w:tcPr>
          <w:p w:rsidR="00822744" w:rsidRPr="002045F5" w:rsidRDefault="00822744" w:rsidP="00524DBF">
            <w:pPr>
              <w:pStyle w:val="a7"/>
              <w:ind w:left="0"/>
              <w:rPr>
                <w:b/>
                <w:sz w:val="22"/>
              </w:rPr>
            </w:pPr>
          </w:p>
        </w:tc>
        <w:tc>
          <w:tcPr>
            <w:tcW w:w="1581" w:type="dxa"/>
            <w:vMerge/>
            <w:tcBorders>
              <w:right w:val="single" w:sz="4" w:space="0" w:color="auto"/>
            </w:tcBorders>
          </w:tcPr>
          <w:p w:rsidR="00822744" w:rsidRPr="002045F5" w:rsidRDefault="00822744" w:rsidP="00524DBF">
            <w:pPr>
              <w:pStyle w:val="a7"/>
              <w:ind w:left="0"/>
              <w:jc w:val="center"/>
              <w:rPr>
                <w:sz w:val="22"/>
              </w:rPr>
            </w:pPr>
          </w:p>
        </w:tc>
        <w:tc>
          <w:tcPr>
            <w:tcW w:w="1365" w:type="dxa"/>
            <w:vMerge/>
            <w:tcBorders>
              <w:right w:val="single" w:sz="4" w:space="0" w:color="auto"/>
            </w:tcBorders>
          </w:tcPr>
          <w:p w:rsidR="00822744" w:rsidRPr="002045F5" w:rsidRDefault="00822744" w:rsidP="00524DBF">
            <w:pPr>
              <w:pStyle w:val="a7"/>
              <w:ind w:left="0"/>
              <w:jc w:val="center"/>
              <w:rPr>
                <w:b/>
                <w:sz w:val="22"/>
              </w:rPr>
            </w:pPr>
          </w:p>
        </w:tc>
        <w:tc>
          <w:tcPr>
            <w:tcW w:w="1088" w:type="dxa"/>
            <w:gridSpan w:val="2"/>
            <w:tcBorders>
              <w:top w:val="single" w:sz="4" w:space="0" w:color="auto"/>
              <w:left w:val="single" w:sz="4" w:space="0" w:color="auto"/>
              <w:right w:val="single" w:sz="4" w:space="0" w:color="auto"/>
            </w:tcBorders>
          </w:tcPr>
          <w:p w:rsidR="00822744" w:rsidRPr="002045F5" w:rsidRDefault="00822744" w:rsidP="00524DBF">
            <w:pPr>
              <w:pStyle w:val="a7"/>
              <w:ind w:left="0"/>
              <w:rPr>
                <w:sz w:val="22"/>
              </w:rPr>
            </w:pPr>
            <w:r w:rsidRPr="002045F5">
              <w:rPr>
                <w:sz w:val="22"/>
              </w:rPr>
              <w:t>2 000,00</w:t>
            </w:r>
          </w:p>
        </w:tc>
        <w:tc>
          <w:tcPr>
            <w:tcW w:w="1455" w:type="dxa"/>
            <w:gridSpan w:val="2"/>
            <w:tcBorders>
              <w:top w:val="single" w:sz="4" w:space="0" w:color="auto"/>
              <w:left w:val="single" w:sz="4" w:space="0" w:color="auto"/>
              <w:right w:val="single" w:sz="4" w:space="0" w:color="auto"/>
            </w:tcBorders>
          </w:tcPr>
          <w:p w:rsidR="00822744" w:rsidRPr="002045F5" w:rsidRDefault="00822744" w:rsidP="00524DBF">
            <w:pPr>
              <w:pStyle w:val="a7"/>
              <w:ind w:left="0"/>
              <w:jc w:val="center"/>
              <w:rPr>
                <w:sz w:val="22"/>
              </w:rPr>
            </w:pPr>
            <w:proofErr w:type="spellStart"/>
            <w:r w:rsidRPr="002045F5">
              <w:rPr>
                <w:sz w:val="22"/>
              </w:rPr>
              <w:t>Міжнародні</w:t>
            </w:r>
            <w:proofErr w:type="spellEnd"/>
            <w:r w:rsidRPr="002045F5">
              <w:rPr>
                <w:sz w:val="22"/>
              </w:rPr>
              <w:t xml:space="preserve"> </w:t>
            </w:r>
            <w:proofErr w:type="spellStart"/>
            <w:r w:rsidRPr="002045F5">
              <w:rPr>
                <w:sz w:val="22"/>
              </w:rPr>
              <w:t>інвестиції</w:t>
            </w:r>
            <w:proofErr w:type="spellEnd"/>
            <w:r w:rsidRPr="002045F5">
              <w:rPr>
                <w:sz w:val="22"/>
              </w:rPr>
              <w:t xml:space="preserve">, </w:t>
            </w:r>
            <w:proofErr w:type="spellStart"/>
            <w:r w:rsidRPr="002045F5">
              <w:rPr>
                <w:sz w:val="22"/>
              </w:rPr>
              <w:t>кошти</w:t>
            </w:r>
            <w:proofErr w:type="spellEnd"/>
            <w:r w:rsidRPr="002045F5">
              <w:rPr>
                <w:sz w:val="22"/>
              </w:rPr>
              <w:t xml:space="preserve"> </w:t>
            </w:r>
            <w:proofErr w:type="spellStart"/>
            <w:r w:rsidRPr="002045F5">
              <w:rPr>
                <w:sz w:val="22"/>
              </w:rPr>
              <w:t>приватних</w:t>
            </w:r>
            <w:proofErr w:type="spellEnd"/>
            <w:r w:rsidRPr="002045F5">
              <w:rPr>
                <w:sz w:val="22"/>
              </w:rPr>
              <w:t xml:space="preserve"> </w:t>
            </w:r>
            <w:proofErr w:type="spellStart"/>
            <w:r w:rsidRPr="002045F5">
              <w:rPr>
                <w:sz w:val="22"/>
              </w:rPr>
              <w:t>осіб</w:t>
            </w:r>
            <w:proofErr w:type="spellEnd"/>
          </w:p>
        </w:tc>
        <w:tc>
          <w:tcPr>
            <w:tcW w:w="1421" w:type="dxa"/>
            <w:vMerge/>
            <w:tcBorders>
              <w:left w:val="single" w:sz="4" w:space="0" w:color="auto"/>
            </w:tcBorders>
          </w:tcPr>
          <w:p w:rsidR="00822744" w:rsidRPr="002045F5" w:rsidRDefault="00822744" w:rsidP="00524DBF">
            <w:pPr>
              <w:pStyle w:val="a7"/>
              <w:ind w:left="0"/>
              <w:jc w:val="center"/>
              <w:rPr>
                <w:sz w:val="22"/>
              </w:rPr>
            </w:pPr>
          </w:p>
        </w:tc>
      </w:tr>
    </w:tbl>
    <w:tbl>
      <w:tblPr>
        <w:tblStyle w:val="32"/>
        <w:tblW w:w="9923" w:type="dxa"/>
        <w:tblInd w:w="-176" w:type="dxa"/>
        <w:tblLook w:val="04A0" w:firstRow="1" w:lastRow="0" w:firstColumn="1" w:lastColumn="0" w:noHBand="0" w:noVBand="1"/>
      </w:tblPr>
      <w:tblGrid>
        <w:gridCol w:w="2836"/>
        <w:gridCol w:w="2016"/>
        <w:gridCol w:w="1375"/>
        <w:gridCol w:w="468"/>
        <w:gridCol w:w="408"/>
        <w:gridCol w:w="1455"/>
        <w:gridCol w:w="1365"/>
      </w:tblGrid>
      <w:tr w:rsidR="00822744" w:rsidRPr="002045F5" w:rsidTr="00670D96">
        <w:tc>
          <w:tcPr>
            <w:tcW w:w="2836" w:type="dxa"/>
            <w:shd w:val="clear" w:color="auto" w:fill="C6D9F1" w:themeFill="text2" w:themeFillTint="33"/>
          </w:tcPr>
          <w:p w:rsidR="00822744" w:rsidRPr="002045F5" w:rsidRDefault="00822744" w:rsidP="00524DBF">
            <w:pPr>
              <w:pStyle w:val="a7"/>
              <w:ind w:left="0"/>
              <w:rPr>
                <w:b/>
                <w:sz w:val="22"/>
              </w:rPr>
            </w:pPr>
            <w:r w:rsidRPr="002045F5">
              <w:rPr>
                <w:b/>
                <w:sz w:val="22"/>
              </w:rPr>
              <w:t xml:space="preserve">Оперативна </w:t>
            </w:r>
            <w:proofErr w:type="spellStart"/>
            <w:r w:rsidRPr="002045F5">
              <w:rPr>
                <w:b/>
                <w:sz w:val="22"/>
              </w:rPr>
              <w:t>ціль</w:t>
            </w:r>
            <w:proofErr w:type="spellEnd"/>
            <w:r w:rsidRPr="002045F5">
              <w:rPr>
                <w:b/>
                <w:sz w:val="22"/>
              </w:rPr>
              <w:t>/</w:t>
            </w:r>
            <w:proofErr w:type="spellStart"/>
            <w:r w:rsidRPr="002045F5">
              <w:rPr>
                <w:b/>
                <w:sz w:val="22"/>
              </w:rPr>
              <w:t>завдання</w:t>
            </w:r>
            <w:proofErr w:type="spellEnd"/>
          </w:p>
        </w:tc>
        <w:tc>
          <w:tcPr>
            <w:tcW w:w="7087" w:type="dxa"/>
            <w:gridSpan w:val="6"/>
            <w:shd w:val="clear" w:color="auto" w:fill="auto"/>
          </w:tcPr>
          <w:p w:rsidR="00822744" w:rsidRPr="002045F5" w:rsidRDefault="00822744" w:rsidP="00524DBF">
            <w:pPr>
              <w:pStyle w:val="a7"/>
              <w:ind w:left="0"/>
              <w:rPr>
                <w:sz w:val="22"/>
              </w:rPr>
            </w:pPr>
            <w:proofErr w:type="spellStart"/>
            <w:r w:rsidRPr="002045F5">
              <w:rPr>
                <w:sz w:val="22"/>
              </w:rPr>
              <w:t>Людський</w:t>
            </w:r>
            <w:proofErr w:type="spellEnd"/>
            <w:r w:rsidRPr="002045F5">
              <w:rPr>
                <w:sz w:val="22"/>
              </w:rPr>
              <w:t xml:space="preserve"> </w:t>
            </w:r>
            <w:proofErr w:type="spellStart"/>
            <w:r w:rsidRPr="002045F5">
              <w:rPr>
                <w:sz w:val="22"/>
              </w:rPr>
              <w:t>розвиток</w:t>
            </w:r>
            <w:proofErr w:type="spellEnd"/>
            <w:r w:rsidRPr="002045F5">
              <w:rPr>
                <w:sz w:val="22"/>
              </w:rPr>
              <w:t xml:space="preserve"> через </w:t>
            </w:r>
            <w:proofErr w:type="spellStart"/>
            <w:r w:rsidRPr="002045F5">
              <w:rPr>
                <w:sz w:val="22"/>
              </w:rPr>
              <w:t>інновації</w:t>
            </w:r>
            <w:proofErr w:type="spellEnd"/>
            <w:r w:rsidRPr="002045F5">
              <w:rPr>
                <w:sz w:val="22"/>
              </w:rPr>
              <w:t xml:space="preserve"> </w:t>
            </w:r>
            <w:proofErr w:type="spellStart"/>
            <w:r w:rsidRPr="002045F5">
              <w:rPr>
                <w:sz w:val="22"/>
              </w:rPr>
              <w:t>управління</w:t>
            </w:r>
            <w:proofErr w:type="spellEnd"/>
            <w:r w:rsidRPr="002045F5">
              <w:rPr>
                <w:sz w:val="22"/>
              </w:rPr>
              <w:t xml:space="preserve"> та </w:t>
            </w:r>
            <w:proofErr w:type="spellStart"/>
            <w:r w:rsidRPr="002045F5">
              <w:rPr>
                <w:sz w:val="22"/>
              </w:rPr>
              <w:t>довіру</w:t>
            </w:r>
            <w:proofErr w:type="spellEnd"/>
            <w:r w:rsidRPr="002045F5">
              <w:rPr>
                <w:sz w:val="22"/>
              </w:rPr>
              <w:t xml:space="preserve"> до </w:t>
            </w:r>
            <w:proofErr w:type="spellStart"/>
            <w:r w:rsidRPr="002045F5">
              <w:rPr>
                <w:sz w:val="22"/>
              </w:rPr>
              <w:t>влади</w:t>
            </w:r>
            <w:proofErr w:type="spellEnd"/>
            <w:r w:rsidRPr="002045F5">
              <w:rPr>
                <w:sz w:val="22"/>
              </w:rPr>
              <w:t xml:space="preserve">. </w:t>
            </w:r>
            <w:proofErr w:type="spellStart"/>
            <w:r w:rsidRPr="002045F5">
              <w:rPr>
                <w:sz w:val="22"/>
              </w:rPr>
              <w:t>Формування</w:t>
            </w:r>
            <w:proofErr w:type="spellEnd"/>
            <w:r w:rsidRPr="002045F5">
              <w:rPr>
                <w:sz w:val="22"/>
              </w:rPr>
              <w:t xml:space="preserve"> </w:t>
            </w:r>
            <w:proofErr w:type="spellStart"/>
            <w:r w:rsidRPr="002045F5">
              <w:rPr>
                <w:sz w:val="22"/>
              </w:rPr>
              <w:t>сучасного</w:t>
            </w:r>
            <w:proofErr w:type="spellEnd"/>
            <w:r w:rsidRPr="002045F5">
              <w:rPr>
                <w:sz w:val="22"/>
              </w:rPr>
              <w:t xml:space="preserve"> </w:t>
            </w:r>
            <w:proofErr w:type="spellStart"/>
            <w:proofErr w:type="gramStart"/>
            <w:r w:rsidRPr="002045F5">
              <w:rPr>
                <w:sz w:val="22"/>
              </w:rPr>
              <w:t>інклюзивного</w:t>
            </w:r>
            <w:proofErr w:type="spellEnd"/>
            <w:r w:rsidRPr="002045F5">
              <w:rPr>
                <w:sz w:val="22"/>
              </w:rPr>
              <w:t xml:space="preserve">  </w:t>
            </w:r>
            <w:proofErr w:type="spellStart"/>
            <w:r w:rsidRPr="002045F5">
              <w:rPr>
                <w:sz w:val="22"/>
              </w:rPr>
              <w:t>освітньо</w:t>
            </w:r>
            <w:proofErr w:type="spellEnd"/>
            <w:proofErr w:type="gramEnd"/>
            <w:r w:rsidRPr="002045F5">
              <w:rPr>
                <w:sz w:val="22"/>
              </w:rPr>
              <w:t xml:space="preserve">-культурного та спортивного простору для </w:t>
            </w:r>
            <w:proofErr w:type="spellStart"/>
            <w:r w:rsidRPr="002045F5">
              <w:rPr>
                <w:sz w:val="22"/>
              </w:rPr>
              <w:t>розвитку</w:t>
            </w:r>
            <w:proofErr w:type="spellEnd"/>
          </w:p>
        </w:tc>
      </w:tr>
      <w:tr w:rsidR="00822744" w:rsidRPr="002045F5" w:rsidTr="00670D96">
        <w:tc>
          <w:tcPr>
            <w:tcW w:w="2836" w:type="dxa"/>
            <w:shd w:val="clear" w:color="auto" w:fill="C6D9F1" w:themeFill="text2" w:themeFillTint="33"/>
          </w:tcPr>
          <w:p w:rsidR="00822744" w:rsidRPr="002045F5" w:rsidRDefault="00822744" w:rsidP="00524DBF">
            <w:pPr>
              <w:pStyle w:val="a7"/>
              <w:ind w:left="0"/>
              <w:rPr>
                <w:b/>
                <w:sz w:val="22"/>
              </w:rPr>
            </w:pPr>
            <w:proofErr w:type="spellStart"/>
            <w:r w:rsidRPr="002045F5">
              <w:rPr>
                <w:b/>
                <w:sz w:val="22"/>
              </w:rPr>
              <w:t>Назва</w:t>
            </w:r>
            <w:proofErr w:type="spellEnd"/>
            <w:r w:rsidRPr="002045F5">
              <w:rPr>
                <w:b/>
                <w:sz w:val="22"/>
              </w:rPr>
              <w:t xml:space="preserve"> </w:t>
            </w:r>
            <w:proofErr w:type="spellStart"/>
            <w:r w:rsidRPr="002045F5">
              <w:rPr>
                <w:b/>
                <w:sz w:val="22"/>
              </w:rPr>
              <w:t>проєкту</w:t>
            </w:r>
            <w:proofErr w:type="spellEnd"/>
            <w:r w:rsidRPr="002045F5">
              <w:rPr>
                <w:b/>
                <w:sz w:val="22"/>
              </w:rPr>
              <w:t>:</w:t>
            </w:r>
          </w:p>
        </w:tc>
        <w:tc>
          <w:tcPr>
            <w:tcW w:w="7087" w:type="dxa"/>
            <w:gridSpan w:val="6"/>
          </w:tcPr>
          <w:p w:rsidR="00822744" w:rsidRPr="002045F5" w:rsidRDefault="00822744" w:rsidP="00524DBF">
            <w:pPr>
              <w:pStyle w:val="a7"/>
              <w:ind w:left="0"/>
              <w:rPr>
                <w:sz w:val="22"/>
              </w:rPr>
            </w:pPr>
            <w:r w:rsidRPr="002045F5">
              <w:rPr>
                <w:rFonts w:eastAsia="san-serif"/>
                <w:sz w:val="22"/>
              </w:rPr>
              <w:t xml:space="preserve"> </w:t>
            </w:r>
            <w:proofErr w:type="spellStart"/>
            <w:r w:rsidRPr="002045F5">
              <w:rPr>
                <w:rFonts w:eastAsia="san-serif"/>
                <w:sz w:val="22"/>
              </w:rPr>
              <w:t>Встановлення</w:t>
            </w:r>
            <w:proofErr w:type="spellEnd"/>
            <w:r w:rsidRPr="002045F5">
              <w:rPr>
                <w:rFonts w:eastAsia="san-serif"/>
                <w:sz w:val="22"/>
              </w:rPr>
              <w:t xml:space="preserve"> </w:t>
            </w:r>
            <w:proofErr w:type="spellStart"/>
            <w:r w:rsidRPr="002045F5">
              <w:rPr>
                <w:rFonts w:eastAsia="san-serif"/>
                <w:sz w:val="22"/>
              </w:rPr>
              <w:t>системи</w:t>
            </w:r>
            <w:proofErr w:type="spellEnd"/>
            <w:r w:rsidRPr="002045F5">
              <w:rPr>
                <w:rFonts w:eastAsia="san-serif"/>
                <w:sz w:val="22"/>
              </w:rPr>
              <w:t xml:space="preserve"> </w:t>
            </w:r>
            <w:proofErr w:type="spellStart"/>
            <w:r w:rsidRPr="002045F5">
              <w:rPr>
                <w:rFonts w:eastAsia="san-serif"/>
                <w:sz w:val="22"/>
              </w:rPr>
              <w:t>опалення</w:t>
            </w:r>
            <w:proofErr w:type="spellEnd"/>
            <w:r w:rsidRPr="002045F5">
              <w:rPr>
                <w:rFonts w:eastAsia="san-serif"/>
                <w:sz w:val="22"/>
              </w:rPr>
              <w:t xml:space="preserve"> (ІТП) в </w:t>
            </w:r>
            <w:proofErr w:type="spellStart"/>
            <w:r w:rsidRPr="002045F5">
              <w:rPr>
                <w:rFonts w:eastAsia="san-serif"/>
                <w:sz w:val="22"/>
              </w:rPr>
              <w:t>Ліцеї</w:t>
            </w:r>
            <w:proofErr w:type="spellEnd"/>
            <w:r w:rsidRPr="002045F5">
              <w:rPr>
                <w:rFonts w:eastAsia="san-serif"/>
                <w:sz w:val="22"/>
              </w:rPr>
              <w:t xml:space="preserve"> </w:t>
            </w:r>
            <w:proofErr w:type="spellStart"/>
            <w:r w:rsidRPr="002045F5">
              <w:rPr>
                <w:rFonts w:eastAsia="san-serif"/>
                <w:sz w:val="22"/>
              </w:rPr>
              <w:t>багатопрофільному</w:t>
            </w:r>
            <w:proofErr w:type="spellEnd"/>
            <w:r w:rsidRPr="002045F5">
              <w:rPr>
                <w:rFonts w:eastAsia="san-serif"/>
                <w:sz w:val="22"/>
              </w:rPr>
              <w:t xml:space="preserve"> </w:t>
            </w:r>
            <w:proofErr w:type="spellStart"/>
            <w:r w:rsidRPr="002045F5">
              <w:rPr>
                <w:rFonts w:eastAsia="san-serif"/>
                <w:sz w:val="22"/>
              </w:rPr>
              <w:t>міста</w:t>
            </w:r>
            <w:proofErr w:type="spellEnd"/>
            <w:r w:rsidRPr="002045F5">
              <w:rPr>
                <w:rFonts w:eastAsia="san-serif"/>
                <w:sz w:val="22"/>
              </w:rPr>
              <w:t xml:space="preserve"> </w:t>
            </w:r>
            <w:proofErr w:type="spellStart"/>
            <w:r w:rsidRPr="002045F5">
              <w:rPr>
                <w:rFonts w:eastAsia="san-serif"/>
                <w:sz w:val="22"/>
              </w:rPr>
              <w:t>Сєвєродонецька</w:t>
            </w:r>
            <w:proofErr w:type="spellEnd"/>
            <w:r w:rsidRPr="002045F5">
              <w:rPr>
                <w:rFonts w:eastAsia="san-serif"/>
                <w:sz w:val="22"/>
              </w:rPr>
              <w:t xml:space="preserve"> </w:t>
            </w:r>
            <w:proofErr w:type="spellStart"/>
            <w:r w:rsidRPr="002045F5">
              <w:rPr>
                <w:rFonts w:eastAsia="san-serif"/>
                <w:sz w:val="22"/>
              </w:rPr>
              <w:t>Луганської</w:t>
            </w:r>
            <w:proofErr w:type="spellEnd"/>
            <w:r w:rsidRPr="002045F5">
              <w:rPr>
                <w:rFonts w:eastAsia="san-serif"/>
                <w:sz w:val="22"/>
              </w:rPr>
              <w:t xml:space="preserve"> </w:t>
            </w:r>
            <w:proofErr w:type="spellStart"/>
            <w:r w:rsidRPr="002045F5">
              <w:rPr>
                <w:rFonts w:eastAsia="san-serif"/>
                <w:sz w:val="22"/>
              </w:rPr>
              <w:t>області</w:t>
            </w:r>
            <w:proofErr w:type="spellEnd"/>
            <w:r w:rsidRPr="002045F5">
              <w:rPr>
                <w:rFonts w:eastAsia="san-serif"/>
                <w:sz w:val="22"/>
              </w:rPr>
              <w:t xml:space="preserve"> </w:t>
            </w:r>
            <w:proofErr w:type="spellStart"/>
            <w:r w:rsidRPr="002045F5">
              <w:rPr>
                <w:rFonts w:eastAsia="san-serif"/>
                <w:sz w:val="22"/>
              </w:rPr>
              <w:t>вулиця</w:t>
            </w:r>
            <w:proofErr w:type="spellEnd"/>
            <w:r w:rsidRPr="002045F5">
              <w:rPr>
                <w:rFonts w:eastAsia="san-serif"/>
                <w:sz w:val="22"/>
              </w:rPr>
              <w:t xml:space="preserve"> </w:t>
            </w:r>
            <w:proofErr w:type="spellStart"/>
            <w:r w:rsidRPr="002045F5">
              <w:rPr>
                <w:rFonts w:eastAsia="san-serif"/>
                <w:sz w:val="22"/>
              </w:rPr>
              <w:t>Гагаріна</w:t>
            </w:r>
            <w:proofErr w:type="spellEnd"/>
            <w:r w:rsidRPr="002045F5">
              <w:rPr>
                <w:rFonts w:eastAsia="san-serif"/>
                <w:sz w:val="22"/>
              </w:rPr>
              <w:t xml:space="preserve">, </w:t>
            </w:r>
            <w:proofErr w:type="spellStart"/>
            <w:r w:rsidRPr="002045F5">
              <w:rPr>
                <w:rFonts w:eastAsia="san-serif"/>
                <w:sz w:val="22"/>
              </w:rPr>
              <w:t>будинок</w:t>
            </w:r>
            <w:proofErr w:type="spellEnd"/>
            <w:r w:rsidRPr="002045F5">
              <w:rPr>
                <w:rFonts w:eastAsia="san-serif"/>
                <w:sz w:val="22"/>
              </w:rPr>
              <w:t xml:space="preserve"> 97</w:t>
            </w:r>
          </w:p>
        </w:tc>
      </w:tr>
      <w:tr w:rsidR="00822744" w:rsidRPr="002045F5" w:rsidTr="00670D96">
        <w:tc>
          <w:tcPr>
            <w:tcW w:w="2836" w:type="dxa"/>
            <w:shd w:val="clear" w:color="auto" w:fill="C6D9F1" w:themeFill="text2" w:themeFillTint="33"/>
          </w:tcPr>
          <w:p w:rsidR="00822744" w:rsidRPr="002045F5" w:rsidRDefault="00822744" w:rsidP="00524DBF">
            <w:pPr>
              <w:rPr>
                <w:b/>
                <w:sz w:val="22"/>
              </w:rPr>
            </w:pPr>
            <w:proofErr w:type="spellStart"/>
            <w:r w:rsidRPr="002045F5">
              <w:rPr>
                <w:b/>
                <w:sz w:val="22"/>
              </w:rPr>
              <w:t>Ціль</w:t>
            </w:r>
            <w:proofErr w:type="spellEnd"/>
            <w:r w:rsidRPr="002045F5">
              <w:rPr>
                <w:b/>
                <w:sz w:val="22"/>
              </w:rPr>
              <w:t xml:space="preserve"> </w:t>
            </w:r>
            <w:proofErr w:type="spellStart"/>
            <w:r w:rsidRPr="002045F5">
              <w:rPr>
                <w:b/>
                <w:sz w:val="22"/>
              </w:rPr>
              <w:t>проєкту</w:t>
            </w:r>
            <w:proofErr w:type="spellEnd"/>
          </w:p>
        </w:tc>
        <w:tc>
          <w:tcPr>
            <w:tcW w:w="7087" w:type="dxa"/>
            <w:gridSpan w:val="6"/>
          </w:tcPr>
          <w:p w:rsidR="00822744" w:rsidRPr="002045F5" w:rsidRDefault="00822744" w:rsidP="00524DBF">
            <w:pPr>
              <w:pStyle w:val="a7"/>
              <w:ind w:left="0"/>
              <w:rPr>
                <w:sz w:val="22"/>
              </w:rPr>
            </w:pPr>
            <w:r w:rsidRPr="002045F5">
              <w:rPr>
                <w:rFonts w:eastAsia="san-serif"/>
                <w:sz w:val="22"/>
              </w:rPr>
              <w:t xml:space="preserve">Мета </w:t>
            </w:r>
            <w:proofErr w:type="spellStart"/>
            <w:r w:rsidRPr="002045F5">
              <w:rPr>
                <w:rFonts w:eastAsia="san-serif"/>
                <w:sz w:val="22"/>
              </w:rPr>
              <w:t>проєкту</w:t>
            </w:r>
            <w:proofErr w:type="spellEnd"/>
            <w:r w:rsidRPr="002045F5">
              <w:rPr>
                <w:rFonts w:eastAsia="san-serif"/>
                <w:sz w:val="22"/>
              </w:rPr>
              <w:t xml:space="preserve"> «</w:t>
            </w:r>
            <w:proofErr w:type="spellStart"/>
            <w:r w:rsidRPr="002045F5">
              <w:rPr>
                <w:rFonts w:eastAsia="san-serif"/>
                <w:sz w:val="22"/>
              </w:rPr>
              <w:t>Встановлення</w:t>
            </w:r>
            <w:proofErr w:type="spellEnd"/>
            <w:r w:rsidRPr="002045F5">
              <w:rPr>
                <w:rFonts w:eastAsia="san-serif"/>
                <w:sz w:val="22"/>
              </w:rPr>
              <w:t xml:space="preserve"> </w:t>
            </w:r>
            <w:proofErr w:type="spellStart"/>
            <w:r w:rsidRPr="002045F5">
              <w:rPr>
                <w:rFonts w:eastAsia="san-serif"/>
                <w:sz w:val="22"/>
              </w:rPr>
              <w:t>системи</w:t>
            </w:r>
            <w:proofErr w:type="spellEnd"/>
            <w:r w:rsidRPr="002045F5">
              <w:rPr>
                <w:rFonts w:eastAsia="san-serif"/>
                <w:sz w:val="22"/>
              </w:rPr>
              <w:t xml:space="preserve"> </w:t>
            </w:r>
            <w:proofErr w:type="spellStart"/>
            <w:r w:rsidRPr="002045F5">
              <w:rPr>
                <w:rFonts w:eastAsia="san-serif"/>
                <w:sz w:val="22"/>
              </w:rPr>
              <w:t>опалення</w:t>
            </w:r>
            <w:proofErr w:type="spellEnd"/>
            <w:r w:rsidRPr="002045F5">
              <w:rPr>
                <w:rFonts w:eastAsia="san-serif"/>
                <w:sz w:val="22"/>
              </w:rPr>
              <w:t xml:space="preserve"> (ІТП) в </w:t>
            </w:r>
            <w:proofErr w:type="spellStart"/>
            <w:r w:rsidRPr="002045F5">
              <w:rPr>
                <w:rFonts w:eastAsia="san-serif"/>
                <w:sz w:val="22"/>
              </w:rPr>
              <w:t>Ліцеї</w:t>
            </w:r>
            <w:proofErr w:type="spellEnd"/>
            <w:r w:rsidRPr="002045F5">
              <w:rPr>
                <w:rFonts w:eastAsia="san-serif"/>
                <w:sz w:val="22"/>
              </w:rPr>
              <w:t xml:space="preserve"> </w:t>
            </w:r>
            <w:proofErr w:type="spellStart"/>
            <w:r w:rsidRPr="002045F5">
              <w:rPr>
                <w:rFonts w:eastAsia="san-serif"/>
                <w:sz w:val="22"/>
              </w:rPr>
              <w:t>багатопрофільному</w:t>
            </w:r>
            <w:proofErr w:type="spellEnd"/>
            <w:r w:rsidRPr="002045F5">
              <w:rPr>
                <w:rFonts w:eastAsia="san-serif"/>
                <w:sz w:val="22"/>
              </w:rPr>
              <w:t xml:space="preserve"> </w:t>
            </w:r>
            <w:proofErr w:type="spellStart"/>
            <w:r w:rsidRPr="002045F5">
              <w:rPr>
                <w:rFonts w:eastAsia="san-serif"/>
                <w:sz w:val="22"/>
              </w:rPr>
              <w:t>міста</w:t>
            </w:r>
            <w:proofErr w:type="spellEnd"/>
            <w:r w:rsidRPr="002045F5">
              <w:rPr>
                <w:rFonts w:eastAsia="san-serif"/>
                <w:sz w:val="22"/>
              </w:rPr>
              <w:t xml:space="preserve"> </w:t>
            </w:r>
            <w:proofErr w:type="spellStart"/>
            <w:r w:rsidRPr="002045F5">
              <w:rPr>
                <w:rFonts w:eastAsia="san-serif"/>
                <w:sz w:val="22"/>
              </w:rPr>
              <w:t>Сєвєродонецька</w:t>
            </w:r>
            <w:proofErr w:type="spellEnd"/>
            <w:r w:rsidRPr="002045F5">
              <w:rPr>
                <w:rFonts w:eastAsia="san-serif"/>
                <w:sz w:val="22"/>
              </w:rPr>
              <w:t xml:space="preserve"> </w:t>
            </w:r>
            <w:proofErr w:type="spellStart"/>
            <w:r w:rsidRPr="002045F5">
              <w:rPr>
                <w:rFonts w:eastAsia="san-serif"/>
                <w:sz w:val="22"/>
              </w:rPr>
              <w:t>Луганської</w:t>
            </w:r>
            <w:proofErr w:type="spellEnd"/>
            <w:r w:rsidRPr="002045F5">
              <w:rPr>
                <w:rFonts w:eastAsia="san-serif"/>
                <w:sz w:val="22"/>
              </w:rPr>
              <w:t xml:space="preserve"> </w:t>
            </w:r>
            <w:proofErr w:type="spellStart"/>
            <w:r w:rsidRPr="002045F5">
              <w:rPr>
                <w:rFonts w:eastAsia="san-serif"/>
                <w:sz w:val="22"/>
              </w:rPr>
              <w:t>області</w:t>
            </w:r>
            <w:proofErr w:type="spellEnd"/>
            <w:r w:rsidRPr="002045F5">
              <w:rPr>
                <w:rFonts w:eastAsia="san-serif"/>
                <w:sz w:val="22"/>
              </w:rPr>
              <w:t xml:space="preserve">” - </w:t>
            </w:r>
            <w:proofErr w:type="spellStart"/>
            <w:r w:rsidRPr="002045F5">
              <w:rPr>
                <w:rFonts w:eastAsia="san-serif"/>
                <w:sz w:val="22"/>
              </w:rPr>
              <w:t>скорочення</w:t>
            </w:r>
            <w:proofErr w:type="spellEnd"/>
            <w:r w:rsidRPr="002045F5">
              <w:rPr>
                <w:rFonts w:eastAsia="san-serif"/>
                <w:sz w:val="22"/>
              </w:rPr>
              <w:t xml:space="preserve"> </w:t>
            </w:r>
            <w:proofErr w:type="spellStart"/>
            <w:r w:rsidRPr="002045F5">
              <w:rPr>
                <w:rFonts w:eastAsia="san-serif"/>
                <w:sz w:val="22"/>
              </w:rPr>
              <w:t>питомих</w:t>
            </w:r>
            <w:proofErr w:type="spellEnd"/>
            <w:r w:rsidRPr="002045F5">
              <w:rPr>
                <w:rFonts w:eastAsia="san-serif"/>
                <w:sz w:val="22"/>
              </w:rPr>
              <w:t xml:space="preserve"> </w:t>
            </w:r>
            <w:proofErr w:type="spellStart"/>
            <w:r w:rsidRPr="002045F5">
              <w:rPr>
                <w:rFonts w:eastAsia="san-serif"/>
                <w:sz w:val="22"/>
              </w:rPr>
              <w:t>показників</w:t>
            </w:r>
            <w:proofErr w:type="spellEnd"/>
            <w:r w:rsidRPr="002045F5">
              <w:rPr>
                <w:rFonts w:eastAsia="san-serif"/>
                <w:sz w:val="22"/>
              </w:rPr>
              <w:t xml:space="preserve"> </w:t>
            </w:r>
            <w:proofErr w:type="spellStart"/>
            <w:r w:rsidRPr="002045F5">
              <w:rPr>
                <w:rFonts w:eastAsia="san-serif"/>
                <w:sz w:val="22"/>
              </w:rPr>
              <w:t>використання</w:t>
            </w:r>
            <w:proofErr w:type="spellEnd"/>
            <w:r w:rsidRPr="002045F5">
              <w:rPr>
                <w:rFonts w:eastAsia="san-serif"/>
                <w:sz w:val="22"/>
              </w:rPr>
              <w:t xml:space="preserve"> </w:t>
            </w:r>
            <w:proofErr w:type="spellStart"/>
            <w:r w:rsidRPr="002045F5">
              <w:rPr>
                <w:rFonts w:eastAsia="san-serif"/>
                <w:sz w:val="22"/>
              </w:rPr>
              <w:t>енергетичних</w:t>
            </w:r>
            <w:proofErr w:type="spellEnd"/>
            <w:r w:rsidRPr="002045F5">
              <w:rPr>
                <w:rFonts w:eastAsia="san-serif"/>
                <w:sz w:val="22"/>
              </w:rPr>
              <w:t xml:space="preserve"> і </w:t>
            </w:r>
            <w:proofErr w:type="spellStart"/>
            <w:r w:rsidRPr="002045F5">
              <w:rPr>
                <w:rFonts w:eastAsia="san-serif"/>
                <w:sz w:val="22"/>
              </w:rPr>
              <w:t>матеріальних</w:t>
            </w:r>
            <w:proofErr w:type="spellEnd"/>
            <w:r w:rsidRPr="002045F5">
              <w:rPr>
                <w:rFonts w:eastAsia="san-serif"/>
                <w:sz w:val="22"/>
              </w:rPr>
              <w:t xml:space="preserve"> </w:t>
            </w:r>
            <w:proofErr w:type="spellStart"/>
            <w:r w:rsidRPr="002045F5">
              <w:rPr>
                <w:rFonts w:eastAsia="san-serif"/>
                <w:sz w:val="22"/>
              </w:rPr>
              <w:t>ресурсів</w:t>
            </w:r>
            <w:proofErr w:type="spellEnd"/>
            <w:r w:rsidRPr="002045F5">
              <w:rPr>
                <w:rFonts w:eastAsia="san-serif"/>
                <w:sz w:val="22"/>
              </w:rPr>
              <w:t xml:space="preserve">, </w:t>
            </w:r>
            <w:proofErr w:type="spellStart"/>
            <w:r w:rsidRPr="002045F5">
              <w:rPr>
                <w:rFonts w:eastAsia="san-serif"/>
                <w:sz w:val="22"/>
              </w:rPr>
              <w:t>зокрема</w:t>
            </w:r>
            <w:proofErr w:type="spellEnd"/>
            <w:r w:rsidRPr="002045F5">
              <w:rPr>
                <w:rFonts w:eastAsia="san-serif"/>
                <w:sz w:val="22"/>
              </w:rPr>
              <w:t xml:space="preserve"> </w:t>
            </w:r>
            <w:proofErr w:type="spellStart"/>
            <w:r w:rsidRPr="002045F5">
              <w:rPr>
                <w:rFonts w:eastAsia="san-serif"/>
                <w:sz w:val="22"/>
              </w:rPr>
              <w:t>зменшення</w:t>
            </w:r>
            <w:proofErr w:type="spellEnd"/>
            <w:r w:rsidRPr="002045F5">
              <w:rPr>
                <w:rFonts w:eastAsia="san-serif"/>
                <w:sz w:val="22"/>
              </w:rPr>
              <w:t xml:space="preserve"> </w:t>
            </w:r>
            <w:proofErr w:type="spellStart"/>
            <w:r w:rsidRPr="002045F5">
              <w:rPr>
                <w:rFonts w:eastAsia="san-serif"/>
                <w:sz w:val="22"/>
              </w:rPr>
              <w:t>споживання</w:t>
            </w:r>
            <w:proofErr w:type="spellEnd"/>
            <w:r w:rsidRPr="002045F5">
              <w:rPr>
                <w:rFonts w:eastAsia="san-serif"/>
                <w:sz w:val="22"/>
              </w:rPr>
              <w:t xml:space="preserve"> </w:t>
            </w:r>
            <w:proofErr w:type="spellStart"/>
            <w:r w:rsidRPr="002045F5">
              <w:rPr>
                <w:rFonts w:eastAsia="san-serif"/>
                <w:sz w:val="22"/>
              </w:rPr>
              <w:t>теплової</w:t>
            </w:r>
            <w:proofErr w:type="spellEnd"/>
            <w:r w:rsidRPr="002045F5">
              <w:rPr>
                <w:rFonts w:eastAsia="san-serif"/>
                <w:sz w:val="22"/>
              </w:rPr>
              <w:t xml:space="preserve"> </w:t>
            </w:r>
            <w:proofErr w:type="spellStart"/>
            <w:r w:rsidRPr="002045F5">
              <w:rPr>
                <w:rFonts w:eastAsia="san-serif"/>
                <w:sz w:val="22"/>
              </w:rPr>
              <w:t>енергії</w:t>
            </w:r>
            <w:proofErr w:type="spellEnd"/>
            <w:r w:rsidRPr="002045F5">
              <w:rPr>
                <w:rFonts w:eastAsia="san-serif"/>
                <w:sz w:val="22"/>
              </w:rPr>
              <w:t xml:space="preserve"> з </w:t>
            </w:r>
            <w:proofErr w:type="spellStart"/>
            <w:r w:rsidRPr="002045F5">
              <w:rPr>
                <w:rFonts w:eastAsia="san-serif"/>
                <w:sz w:val="22"/>
              </w:rPr>
              <w:t>одночасним</w:t>
            </w:r>
            <w:proofErr w:type="spellEnd"/>
            <w:r w:rsidRPr="002045F5">
              <w:rPr>
                <w:rFonts w:eastAsia="san-serif"/>
                <w:sz w:val="22"/>
              </w:rPr>
              <w:t xml:space="preserve"> </w:t>
            </w:r>
            <w:proofErr w:type="spellStart"/>
            <w:r w:rsidRPr="002045F5">
              <w:rPr>
                <w:rFonts w:eastAsia="san-serif"/>
                <w:sz w:val="22"/>
              </w:rPr>
              <w:t>покращенням</w:t>
            </w:r>
            <w:proofErr w:type="spellEnd"/>
            <w:r w:rsidRPr="002045F5">
              <w:rPr>
                <w:rFonts w:eastAsia="san-serif"/>
                <w:sz w:val="22"/>
              </w:rPr>
              <w:t xml:space="preserve"> умов </w:t>
            </w:r>
            <w:proofErr w:type="spellStart"/>
            <w:r w:rsidRPr="002045F5">
              <w:rPr>
                <w:rFonts w:eastAsia="san-serif"/>
                <w:sz w:val="22"/>
              </w:rPr>
              <w:t>перебування</w:t>
            </w:r>
            <w:proofErr w:type="spellEnd"/>
            <w:r w:rsidRPr="002045F5">
              <w:rPr>
                <w:rFonts w:eastAsia="san-serif"/>
                <w:sz w:val="22"/>
              </w:rPr>
              <w:t xml:space="preserve"> </w:t>
            </w:r>
            <w:proofErr w:type="spellStart"/>
            <w:r w:rsidRPr="002045F5">
              <w:rPr>
                <w:rFonts w:eastAsia="san-serif"/>
                <w:sz w:val="22"/>
              </w:rPr>
              <w:t>відвідувачів</w:t>
            </w:r>
            <w:proofErr w:type="spellEnd"/>
            <w:r w:rsidRPr="002045F5">
              <w:rPr>
                <w:rFonts w:eastAsia="san-serif"/>
                <w:sz w:val="22"/>
              </w:rPr>
              <w:t xml:space="preserve"> шляхом </w:t>
            </w:r>
            <w:proofErr w:type="spellStart"/>
            <w:r w:rsidRPr="002045F5">
              <w:rPr>
                <w:rFonts w:eastAsia="san-serif"/>
                <w:sz w:val="22"/>
              </w:rPr>
              <w:t>модернізації</w:t>
            </w:r>
            <w:proofErr w:type="spellEnd"/>
            <w:r w:rsidRPr="002045F5">
              <w:rPr>
                <w:rFonts w:eastAsia="san-serif"/>
                <w:sz w:val="22"/>
              </w:rPr>
              <w:t xml:space="preserve"> </w:t>
            </w:r>
            <w:proofErr w:type="spellStart"/>
            <w:r w:rsidRPr="002045F5">
              <w:rPr>
                <w:rFonts w:eastAsia="san-serif"/>
                <w:sz w:val="22"/>
              </w:rPr>
              <w:t>системи</w:t>
            </w:r>
            <w:proofErr w:type="spellEnd"/>
            <w:r w:rsidRPr="002045F5">
              <w:rPr>
                <w:rFonts w:eastAsia="san-serif"/>
                <w:sz w:val="22"/>
              </w:rPr>
              <w:t xml:space="preserve"> </w:t>
            </w:r>
            <w:proofErr w:type="spellStart"/>
            <w:r w:rsidRPr="002045F5">
              <w:rPr>
                <w:rFonts w:eastAsia="san-serif"/>
                <w:sz w:val="22"/>
              </w:rPr>
              <w:t>опалення</w:t>
            </w:r>
            <w:proofErr w:type="spellEnd"/>
            <w:r w:rsidRPr="002045F5">
              <w:rPr>
                <w:rFonts w:eastAsia="san-serif"/>
                <w:sz w:val="22"/>
              </w:rPr>
              <w:t xml:space="preserve"> </w:t>
            </w:r>
            <w:proofErr w:type="spellStart"/>
            <w:r w:rsidRPr="002045F5">
              <w:rPr>
                <w:rFonts w:eastAsia="san-serif"/>
                <w:sz w:val="22"/>
              </w:rPr>
              <w:t>будівлі</w:t>
            </w:r>
            <w:proofErr w:type="spellEnd"/>
            <w:r w:rsidRPr="002045F5">
              <w:rPr>
                <w:rFonts w:eastAsia="san-serif"/>
                <w:sz w:val="22"/>
              </w:rPr>
              <w:t>.</w:t>
            </w:r>
          </w:p>
        </w:tc>
      </w:tr>
      <w:tr w:rsidR="00822744" w:rsidRPr="002045F5" w:rsidTr="00670D96">
        <w:tc>
          <w:tcPr>
            <w:tcW w:w="2836" w:type="dxa"/>
            <w:shd w:val="clear" w:color="auto" w:fill="C6D9F1" w:themeFill="text2" w:themeFillTint="33"/>
          </w:tcPr>
          <w:p w:rsidR="00822744" w:rsidRPr="002045F5" w:rsidRDefault="00822744" w:rsidP="00524DBF">
            <w:pPr>
              <w:pStyle w:val="a7"/>
              <w:ind w:left="0"/>
              <w:rPr>
                <w:b/>
                <w:sz w:val="22"/>
              </w:rPr>
            </w:pPr>
            <w:proofErr w:type="spellStart"/>
            <w:r w:rsidRPr="002045F5">
              <w:rPr>
                <w:b/>
                <w:sz w:val="22"/>
              </w:rPr>
              <w:t>Територія</w:t>
            </w:r>
            <w:proofErr w:type="spellEnd"/>
            <w:r w:rsidRPr="002045F5">
              <w:rPr>
                <w:b/>
                <w:sz w:val="22"/>
              </w:rPr>
              <w:t xml:space="preserve">, </w:t>
            </w:r>
            <w:proofErr w:type="gramStart"/>
            <w:r w:rsidRPr="002045F5">
              <w:rPr>
                <w:b/>
                <w:sz w:val="22"/>
              </w:rPr>
              <w:t>на яку</w:t>
            </w:r>
            <w:proofErr w:type="gramEnd"/>
            <w:r w:rsidRPr="002045F5">
              <w:rPr>
                <w:b/>
                <w:sz w:val="22"/>
              </w:rPr>
              <w:t xml:space="preserve"> </w:t>
            </w:r>
            <w:proofErr w:type="spellStart"/>
            <w:r w:rsidRPr="002045F5">
              <w:rPr>
                <w:b/>
                <w:sz w:val="22"/>
              </w:rPr>
              <w:t>матиме</w:t>
            </w:r>
            <w:proofErr w:type="spellEnd"/>
            <w:r w:rsidRPr="002045F5">
              <w:rPr>
                <w:b/>
                <w:sz w:val="22"/>
              </w:rPr>
              <w:t xml:space="preserve"> </w:t>
            </w:r>
            <w:proofErr w:type="spellStart"/>
            <w:r w:rsidRPr="002045F5">
              <w:rPr>
                <w:b/>
                <w:sz w:val="22"/>
              </w:rPr>
              <w:t>вплив</w:t>
            </w:r>
            <w:proofErr w:type="spellEnd"/>
            <w:r w:rsidRPr="002045F5">
              <w:rPr>
                <w:b/>
                <w:sz w:val="22"/>
              </w:rPr>
              <w:t xml:space="preserve"> </w:t>
            </w:r>
            <w:proofErr w:type="spellStart"/>
            <w:r w:rsidRPr="002045F5">
              <w:rPr>
                <w:b/>
                <w:sz w:val="22"/>
              </w:rPr>
              <w:t>реалізація</w:t>
            </w:r>
            <w:proofErr w:type="spellEnd"/>
            <w:r w:rsidRPr="002045F5">
              <w:rPr>
                <w:b/>
                <w:sz w:val="22"/>
              </w:rPr>
              <w:t xml:space="preserve"> </w:t>
            </w:r>
            <w:proofErr w:type="spellStart"/>
            <w:r w:rsidRPr="002045F5">
              <w:rPr>
                <w:b/>
                <w:sz w:val="22"/>
              </w:rPr>
              <w:t>проєкту</w:t>
            </w:r>
            <w:proofErr w:type="spellEnd"/>
          </w:p>
        </w:tc>
        <w:tc>
          <w:tcPr>
            <w:tcW w:w="7087" w:type="dxa"/>
            <w:gridSpan w:val="6"/>
          </w:tcPr>
          <w:p w:rsidR="00822744" w:rsidRPr="002045F5" w:rsidRDefault="00822744" w:rsidP="00524DBF">
            <w:pPr>
              <w:pStyle w:val="a7"/>
              <w:ind w:left="0"/>
              <w:rPr>
                <w:sz w:val="22"/>
              </w:rPr>
            </w:pPr>
            <w:proofErr w:type="spellStart"/>
            <w:r w:rsidRPr="002045F5">
              <w:rPr>
                <w:sz w:val="22"/>
              </w:rPr>
              <w:t>Сєвєродонецька</w:t>
            </w:r>
            <w:proofErr w:type="spellEnd"/>
            <w:r w:rsidRPr="002045F5">
              <w:rPr>
                <w:sz w:val="22"/>
              </w:rPr>
              <w:t xml:space="preserve"> </w:t>
            </w:r>
            <w:proofErr w:type="spellStart"/>
            <w:r w:rsidRPr="002045F5">
              <w:rPr>
                <w:sz w:val="22"/>
              </w:rPr>
              <w:t>міська</w:t>
            </w:r>
            <w:proofErr w:type="spellEnd"/>
            <w:r w:rsidRPr="002045F5">
              <w:rPr>
                <w:sz w:val="22"/>
              </w:rPr>
              <w:t xml:space="preserve"> </w:t>
            </w:r>
            <w:proofErr w:type="spellStart"/>
            <w:r w:rsidRPr="002045F5">
              <w:rPr>
                <w:sz w:val="22"/>
              </w:rPr>
              <w:t>територіальна</w:t>
            </w:r>
            <w:proofErr w:type="spellEnd"/>
            <w:r w:rsidRPr="002045F5">
              <w:rPr>
                <w:sz w:val="22"/>
              </w:rPr>
              <w:t xml:space="preserve"> громада</w:t>
            </w:r>
          </w:p>
        </w:tc>
      </w:tr>
      <w:tr w:rsidR="00822744" w:rsidRPr="002045F5" w:rsidTr="00670D96">
        <w:tc>
          <w:tcPr>
            <w:tcW w:w="2836" w:type="dxa"/>
            <w:shd w:val="clear" w:color="auto" w:fill="C6D9F1" w:themeFill="text2" w:themeFillTint="33"/>
          </w:tcPr>
          <w:p w:rsidR="00822744" w:rsidRPr="002045F5" w:rsidRDefault="00822744" w:rsidP="00524DBF">
            <w:pPr>
              <w:pStyle w:val="a7"/>
              <w:ind w:left="0"/>
              <w:rPr>
                <w:b/>
                <w:sz w:val="22"/>
              </w:rPr>
            </w:pPr>
            <w:proofErr w:type="spellStart"/>
            <w:r w:rsidRPr="002045F5">
              <w:rPr>
                <w:b/>
                <w:sz w:val="22"/>
              </w:rPr>
              <w:t>Чисельність</w:t>
            </w:r>
            <w:proofErr w:type="spellEnd"/>
            <w:r w:rsidRPr="002045F5">
              <w:rPr>
                <w:b/>
                <w:sz w:val="22"/>
              </w:rPr>
              <w:t xml:space="preserve"> </w:t>
            </w:r>
            <w:proofErr w:type="spellStart"/>
            <w:r w:rsidRPr="002045F5">
              <w:rPr>
                <w:b/>
                <w:sz w:val="22"/>
              </w:rPr>
              <w:t>населення</w:t>
            </w:r>
            <w:proofErr w:type="spellEnd"/>
            <w:r w:rsidRPr="002045F5">
              <w:rPr>
                <w:b/>
                <w:sz w:val="22"/>
              </w:rPr>
              <w:t xml:space="preserve">, на яке </w:t>
            </w:r>
            <w:proofErr w:type="spellStart"/>
            <w:r w:rsidRPr="002045F5">
              <w:rPr>
                <w:b/>
                <w:sz w:val="22"/>
              </w:rPr>
              <w:t>матиме</w:t>
            </w:r>
            <w:proofErr w:type="spellEnd"/>
            <w:r w:rsidRPr="002045F5">
              <w:rPr>
                <w:b/>
                <w:sz w:val="22"/>
              </w:rPr>
              <w:t xml:space="preserve"> </w:t>
            </w:r>
            <w:proofErr w:type="spellStart"/>
            <w:r w:rsidRPr="002045F5">
              <w:rPr>
                <w:b/>
                <w:sz w:val="22"/>
              </w:rPr>
              <w:t>вплив</w:t>
            </w:r>
            <w:proofErr w:type="spellEnd"/>
            <w:r w:rsidRPr="002045F5">
              <w:rPr>
                <w:b/>
                <w:sz w:val="22"/>
              </w:rPr>
              <w:t xml:space="preserve"> </w:t>
            </w:r>
            <w:proofErr w:type="spellStart"/>
            <w:r w:rsidRPr="002045F5">
              <w:rPr>
                <w:b/>
                <w:sz w:val="22"/>
              </w:rPr>
              <w:t>реалізація</w:t>
            </w:r>
            <w:proofErr w:type="spellEnd"/>
            <w:r w:rsidRPr="002045F5">
              <w:rPr>
                <w:b/>
                <w:sz w:val="22"/>
              </w:rPr>
              <w:t xml:space="preserve"> </w:t>
            </w:r>
            <w:proofErr w:type="spellStart"/>
            <w:r w:rsidRPr="002045F5">
              <w:rPr>
                <w:b/>
                <w:sz w:val="22"/>
              </w:rPr>
              <w:t>проєкту</w:t>
            </w:r>
            <w:proofErr w:type="spellEnd"/>
          </w:p>
        </w:tc>
        <w:tc>
          <w:tcPr>
            <w:tcW w:w="7087" w:type="dxa"/>
            <w:gridSpan w:val="6"/>
          </w:tcPr>
          <w:p w:rsidR="00822744" w:rsidRPr="002045F5" w:rsidRDefault="00822744" w:rsidP="00524DBF">
            <w:pPr>
              <w:pStyle w:val="a7"/>
              <w:ind w:left="0"/>
              <w:rPr>
                <w:sz w:val="22"/>
              </w:rPr>
            </w:pPr>
            <w:r w:rsidRPr="002045F5">
              <w:rPr>
                <w:sz w:val="22"/>
              </w:rPr>
              <w:t xml:space="preserve"> 70 </w:t>
            </w:r>
            <w:proofErr w:type="gramStart"/>
            <w:r w:rsidRPr="002045F5">
              <w:rPr>
                <w:sz w:val="22"/>
              </w:rPr>
              <w:t xml:space="preserve">000  </w:t>
            </w:r>
            <w:proofErr w:type="spellStart"/>
            <w:r w:rsidRPr="002045F5">
              <w:rPr>
                <w:sz w:val="22"/>
              </w:rPr>
              <w:t>осіб</w:t>
            </w:r>
            <w:proofErr w:type="spellEnd"/>
            <w:proofErr w:type="gramEnd"/>
          </w:p>
        </w:tc>
      </w:tr>
      <w:tr w:rsidR="00822744" w:rsidRPr="002045F5" w:rsidTr="00670D96">
        <w:tc>
          <w:tcPr>
            <w:tcW w:w="2836" w:type="dxa"/>
            <w:shd w:val="clear" w:color="auto" w:fill="C6D9F1" w:themeFill="text2" w:themeFillTint="33"/>
          </w:tcPr>
          <w:p w:rsidR="00822744" w:rsidRPr="002045F5" w:rsidRDefault="00822744" w:rsidP="00524DBF">
            <w:pPr>
              <w:rPr>
                <w:b/>
                <w:sz w:val="22"/>
              </w:rPr>
            </w:pPr>
            <w:proofErr w:type="spellStart"/>
            <w:r w:rsidRPr="002045F5">
              <w:rPr>
                <w:b/>
                <w:sz w:val="22"/>
              </w:rPr>
              <w:t>Опис</w:t>
            </w:r>
            <w:proofErr w:type="spellEnd"/>
            <w:r w:rsidRPr="002045F5">
              <w:rPr>
                <w:b/>
                <w:sz w:val="22"/>
              </w:rPr>
              <w:t xml:space="preserve"> </w:t>
            </w:r>
            <w:proofErr w:type="spellStart"/>
            <w:r w:rsidRPr="002045F5">
              <w:rPr>
                <w:b/>
                <w:sz w:val="22"/>
              </w:rPr>
              <w:t>проблеми</w:t>
            </w:r>
            <w:proofErr w:type="spellEnd"/>
            <w:r w:rsidRPr="002045F5">
              <w:rPr>
                <w:b/>
                <w:sz w:val="22"/>
              </w:rPr>
              <w:t xml:space="preserve">, на </w:t>
            </w:r>
            <w:proofErr w:type="spellStart"/>
            <w:r w:rsidRPr="002045F5">
              <w:rPr>
                <w:b/>
                <w:sz w:val="22"/>
              </w:rPr>
              <w:t>вирішення</w:t>
            </w:r>
            <w:proofErr w:type="spellEnd"/>
            <w:r w:rsidRPr="002045F5">
              <w:rPr>
                <w:b/>
                <w:sz w:val="22"/>
              </w:rPr>
              <w:t xml:space="preserve"> </w:t>
            </w:r>
            <w:proofErr w:type="spellStart"/>
            <w:proofErr w:type="gramStart"/>
            <w:r w:rsidRPr="002045F5">
              <w:rPr>
                <w:b/>
                <w:sz w:val="22"/>
              </w:rPr>
              <w:t>якої</w:t>
            </w:r>
            <w:proofErr w:type="spellEnd"/>
            <w:r w:rsidRPr="002045F5">
              <w:rPr>
                <w:b/>
                <w:sz w:val="22"/>
              </w:rPr>
              <w:t xml:space="preserve">  </w:t>
            </w:r>
            <w:proofErr w:type="spellStart"/>
            <w:r w:rsidRPr="002045F5">
              <w:rPr>
                <w:b/>
                <w:sz w:val="22"/>
              </w:rPr>
              <w:t>спрямований</w:t>
            </w:r>
            <w:proofErr w:type="spellEnd"/>
            <w:proofErr w:type="gramEnd"/>
            <w:r w:rsidRPr="002045F5">
              <w:rPr>
                <w:b/>
                <w:sz w:val="22"/>
              </w:rPr>
              <w:t xml:space="preserve"> </w:t>
            </w:r>
            <w:proofErr w:type="spellStart"/>
            <w:r w:rsidRPr="002045F5">
              <w:rPr>
                <w:b/>
                <w:sz w:val="22"/>
              </w:rPr>
              <w:t>проєкт</w:t>
            </w:r>
            <w:proofErr w:type="spellEnd"/>
          </w:p>
        </w:tc>
        <w:tc>
          <w:tcPr>
            <w:tcW w:w="7087" w:type="dxa"/>
            <w:gridSpan w:val="6"/>
          </w:tcPr>
          <w:p w:rsidR="00822744" w:rsidRPr="002045F5" w:rsidRDefault="00822744" w:rsidP="00524DBF">
            <w:pPr>
              <w:ind w:firstLine="708"/>
              <w:rPr>
                <w:sz w:val="22"/>
              </w:rPr>
            </w:pPr>
            <w:r w:rsidRPr="002045F5">
              <w:rPr>
                <w:sz w:val="22"/>
              </w:rPr>
              <w:t xml:space="preserve">Через </w:t>
            </w:r>
            <w:proofErr w:type="spellStart"/>
            <w:r w:rsidRPr="002045F5">
              <w:rPr>
                <w:sz w:val="22"/>
              </w:rPr>
              <w:t>військову</w:t>
            </w:r>
            <w:proofErr w:type="spellEnd"/>
            <w:r w:rsidRPr="002045F5">
              <w:rPr>
                <w:sz w:val="22"/>
              </w:rPr>
              <w:t xml:space="preserve"> </w:t>
            </w:r>
            <w:proofErr w:type="spellStart"/>
            <w:r w:rsidRPr="002045F5">
              <w:rPr>
                <w:sz w:val="22"/>
              </w:rPr>
              <w:t>агресію</w:t>
            </w:r>
            <w:proofErr w:type="spellEnd"/>
            <w:r w:rsidRPr="002045F5">
              <w:rPr>
                <w:sz w:val="22"/>
              </w:rPr>
              <w:t xml:space="preserve"> РФ </w:t>
            </w:r>
            <w:proofErr w:type="spellStart"/>
            <w:r w:rsidRPr="002045F5">
              <w:rPr>
                <w:sz w:val="22"/>
              </w:rPr>
              <w:t>територія</w:t>
            </w:r>
            <w:proofErr w:type="spellEnd"/>
            <w:r w:rsidRPr="002045F5">
              <w:rPr>
                <w:sz w:val="22"/>
              </w:rPr>
              <w:t xml:space="preserve"> </w:t>
            </w:r>
            <w:proofErr w:type="spellStart"/>
            <w:r w:rsidRPr="002045F5">
              <w:rPr>
                <w:sz w:val="22"/>
              </w:rPr>
              <w:t>Сєвєродонецької</w:t>
            </w:r>
            <w:proofErr w:type="spellEnd"/>
            <w:r w:rsidRPr="002045F5">
              <w:rPr>
                <w:sz w:val="22"/>
              </w:rPr>
              <w:t xml:space="preserve"> </w:t>
            </w:r>
            <w:proofErr w:type="spellStart"/>
            <w:r w:rsidRPr="002045F5">
              <w:rPr>
                <w:sz w:val="22"/>
              </w:rPr>
              <w:t>міської</w:t>
            </w:r>
            <w:proofErr w:type="spellEnd"/>
            <w:r w:rsidRPr="002045F5">
              <w:rPr>
                <w:sz w:val="22"/>
              </w:rPr>
              <w:t xml:space="preserve"> </w:t>
            </w:r>
            <w:proofErr w:type="spellStart"/>
            <w:r w:rsidRPr="002045F5">
              <w:rPr>
                <w:sz w:val="22"/>
              </w:rPr>
              <w:t>територіальної</w:t>
            </w:r>
            <w:proofErr w:type="spellEnd"/>
            <w:r w:rsidRPr="002045F5">
              <w:rPr>
                <w:sz w:val="22"/>
              </w:rPr>
              <w:t xml:space="preserve"> </w:t>
            </w:r>
            <w:proofErr w:type="spellStart"/>
            <w:r w:rsidRPr="002045F5">
              <w:rPr>
                <w:sz w:val="22"/>
              </w:rPr>
              <w:t>громади</w:t>
            </w:r>
            <w:proofErr w:type="spellEnd"/>
            <w:r w:rsidRPr="002045F5">
              <w:rPr>
                <w:sz w:val="22"/>
              </w:rPr>
              <w:t xml:space="preserve"> </w:t>
            </w:r>
            <w:proofErr w:type="spellStart"/>
            <w:r w:rsidRPr="002045F5">
              <w:rPr>
                <w:sz w:val="22"/>
              </w:rPr>
              <w:t>зазнала</w:t>
            </w:r>
            <w:proofErr w:type="spellEnd"/>
            <w:r w:rsidRPr="002045F5">
              <w:rPr>
                <w:sz w:val="22"/>
              </w:rPr>
              <w:t xml:space="preserve"> </w:t>
            </w:r>
            <w:proofErr w:type="spellStart"/>
            <w:r w:rsidRPr="002045F5">
              <w:rPr>
                <w:sz w:val="22"/>
              </w:rPr>
              <w:t>значних</w:t>
            </w:r>
            <w:proofErr w:type="spellEnd"/>
            <w:r w:rsidRPr="002045F5">
              <w:rPr>
                <w:sz w:val="22"/>
              </w:rPr>
              <w:t xml:space="preserve"> </w:t>
            </w:r>
            <w:proofErr w:type="spellStart"/>
            <w:r w:rsidRPr="002045F5">
              <w:rPr>
                <w:sz w:val="22"/>
              </w:rPr>
              <w:t>пошкоджень</w:t>
            </w:r>
            <w:proofErr w:type="spellEnd"/>
            <w:r w:rsidRPr="002045F5">
              <w:rPr>
                <w:sz w:val="22"/>
              </w:rPr>
              <w:t xml:space="preserve">. Не </w:t>
            </w:r>
            <w:proofErr w:type="spellStart"/>
            <w:r w:rsidRPr="002045F5">
              <w:rPr>
                <w:sz w:val="22"/>
              </w:rPr>
              <w:t>оминуло</w:t>
            </w:r>
            <w:proofErr w:type="spellEnd"/>
            <w:r w:rsidRPr="002045F5">
              <w:rPr>
                <w:sz w:val="22"/>
              </w:rPr>
              <w:t xml:space="preserve"> </w:t>
            </w:r>
            <w:proofErr w:type="spellStart"/>
            <w:r w:rsidRPr="002045F5">
              <w:rPr>
                <w:sz w:val="22"/>
              </w:rPr>
              <w:t>це</w:t>
            </w:r>
            <w:proofErr w:type="spellEnd"/>
            <w:r w:rsidRPr="002045F5">
              <w:rPr>
                <w:sz w:val="22"/>
              </w:rPr>
              <w:t xml:space="preserve"> і </w:t>
            </w:r>
            <w:proofErr w:type="spellStart"/>
            <w:r w:rsidRPr="002045F5">
              <w:rPr>
                <w:sz w:val="22"/>
              </w:rPr>
              <w:t>Ліцей</w:t>
            </w:r>
            <w:proofErr w:type="spellEnd"/>
            <w:r w:rsidRPr="002045F5">
              <w:rPr>
                <w:sz w:val="22"/>
              </w:rPr>
              <w:t xml:space="preserve"> </w:t>
            </w:r>
            <w:proofErr w:type="spellStart"/>
            <w:r w:rsidRPr="002045F5">
              <w:rPr>
                <w:sz w:val="22"/>
              </w:rPr>
              <w:t>багатопрофільний</w:t>
            </w:r>
            <w:proofErr w:type="spellEnd"/>
            <w:r w:rsidRPr="002045F5">
              <w:rPr>
                <w:sz w:val="22"/>
              </w:rPr>
              <w:t xml:space="preserve"> </w:t>
            </w:r>
            <w:proofErr w:type="spellStart"/>
            <w:r w:rsidRPr="002045F5">
              <w:rPr>
                <w:sz w:val="22"/>
              </w:rPr>
              <w:t>міста</w:t>
            </w:r>
            <w:proofErr w:type="spellEnd"/>
            <w:r w:rsidRPr="002045F5">
              <w:rPr>
                <w:sz w:val="22"/>
              </w:rPr>
              <w:t xml:space="preserve"> </w:t>
            </w:r>
            <w:proofErr w:type="spellStart"/>
            <w:r w:rsidRPr="002045F5">
              <w:rPr>
                <w:sz w:val="22"/>
              </w:rPr>
              <w:t>Сєвєроднецька</w:t>
            </w:r>
            <w:proofErr w:type="spellEnd"/>
            <w:r w:rsidRPr="002045F5">
              <w:rPr>
                <w:sz w:val="22"/>
              </w:rPr>
              <w:t xml:space="preserve"> </w:t>
            </w:r>
            <w:proofErr w:type="spellStart"/>
            <w:r w:rsidRPr="002045F5">
              <w:rPr>
                <w:sz w:val="22"/>
              </w:rPr>
              <w:t>Луганської</w:t>
            </w:r>
            <w:proofErr w:type="spellEnd"/>
            <w:r w:rsidRPr="002045F5">
              <w:rPr>
                <w:sz w:val="22"/>
              </w:rPr>
              <w:t xml:space="preserve"> </w:t>
            </w:r>
            <w:proofErr w:type="spellStart"/>
            <w:r w:rsidRPr="002045F5">
              <w:rPr>
                <w:sz w:val="22"/>
              </w:rPr>
              <w:t>області</w:t>
            </w:r>
            <w:proofErr w:type="spellEnd"/>
            <w:r w:rsidRPr="002045F5">
              <w:rPr>
                <w:sz w:val="22"/>
              </w:rPr>
              <w:t>.</w:t>
            </w:r>
          </w:p>
          <w:p w:rsidR="00822744" w:rsidRPr="002045F5" w:rsidRDefault="00822744" w:rsidP="00524DBF">
            <w:pPr>
              <w:ind w:firstLine="708"/>
              <w:rPr>
                <w:sz w:val="22"/>
              </w:rPr>
            </w:pPr>
            <w:r w:rsidRPr="002045F5">
              <w:rPr>
                <w:sz w:val="22"/>
              </w:rPr>
              <w:t xml:space="preserve">Система </w:t>
            </w:r>
            <w:proofErr w:type="spellStart"/>
            <w:r w:rsidRPr="002045F5">
              <w:rPr>
                <w:sz w:val="22"/>
              </w:rPr>
              <w:t>опалення</w:t>
            </w:r>
            <w:proofErr w:type="spellEnd"/>
            <w:r w:rsidRPr="002045F5">
              <w:rPr>
                <w:sz w:val="22"/>
              </w:rPr>
              <w:t xml:space="preserve"> </w:t>
            </w:r>
            <w:proofErr w:type="spellStart"/>
            <w:r w:rsidRPr="002045F5">
              <w:rPr>
                <w:sz w:val="22"/>
              </w:rPr>
              <w:t>Ліцею</w:t>
            </w:r>
            <w:proofErr w:type="spellEnd"/>
            <w:r w:rsidRPr="002045F5">
              <w:rPr>
                <w:sz w:val="22"/>
              </w:rPr>
              <w:t xml:space="preserve"> </w:t>
            </w:r>
            <w:proofErr w:type="spellStart"/>
            <w:r w:rsidRPr="002045F5">
              <w:rPr>
                <w:sz w:val="22"/>
              </w:rPr>
              <w:t>багатопрофільного</w:t>
            </w:r>
            <w:proofErr w:type="spellEnd"/>
            <w:r w:rsidRPr="002045F5">
              <w:rPr>
                <w:sz w:val="22"/>
              </w:rPr>
              <w:t xml:space="preserve"> </w:t>
            </w:r>
            <w:proofErr w:type="spellStart"/>
            <w:r w:rsidRPr="002045F5">
              <w:rPr>
                <w:sz w:val="22"/>
              </w:rPr>
              <w:t>зазнала</w:t>
            </w:r>
            <w:proofErr w:type="spellEnd"/>
            <w:r w:rsidRPr="002045F5">
              <w:rPr>
                <w:sz w:val="22"/>
              </w:rPr>
              <w:t xml:space="preserve"> </w:t>
            </w:r>
            <w:proofErr w:type="spellStart"/>
            <w:r w:rsidRPr="002045F5">
              <w:rPr>
                <w:sz w:val="22"/>
              </w:rPr>
              <w:t>значних</w:t>
            </w:r>
            <w:proofErr w:type="spellEnd"/>
            <w:r w:rsidRPr="002045F5">
              <w:rPr>
                <w:sz w:val="22"/>
              </w:rPr>
              <w:t xml:space="preserve"> </w:t>
            </w:r>
            <w:proofErr w:type="spellStart"/>
            <w:r w:rsidRPr="002045F5">
              <w:rPr>
                <w:sz w:val="22"/>
              </w:rPr>
              <w:t>руйнувань</w:t>
            </w:r>
            <w:proofErr w:type="spellEnd"/>
            <w:r w:rsidRPr="002045F5">
              <w:rPr>
                <w:sz w:val="22"/>
              </w:rPr>
              <w:t xml:space="preserve"> та </w:t>
            </w:r>
            <w:proofErr w:type="spellStart"/>
            <w:r w:rsidRPr="002045F5">
              <w:rPr>
                <w:sz w:val="22"/>
              </w:rPr>
              <w:t>пошкоджень</w:t>
            </w:r>
            <w:proofErr w:type="spellEnd"/>
            <w:r w:rsidRPr="002045F5">
              <w:rPr>
                <w:sz w:val="22"/>
              </w:rPr>
              <w:t xml:space="preserve"> через </w:t>
            </w:r>
            <w:proofErr w:type="spellStart"/>
            <w:r w:rsidRPr="002045F5">
              <w:rPr>
                <w:sz w:val="22"/>
              </w:rPr>
              <w:t>обстріли</w:t>
            </w:r>
            <w:proofErr w:type="spellEnd"/>
            <w:r w:rsidRPr="002045F5">
              <w:rPr>
                <w:sz w:val="22"/>
              </w:rPr>
              <w:t>.</w:t>
            </w:r>
          </w:p>
        </w:tc>
      </w:tr>
      <w:tr w:rsidR="00822744" w:rsidRPr="002045F5" w:rsidTr="00670D96">
        <w:tc>
          <w:tcPr>
            <w:tcW w:w="2836" w:type="dxa"/>
            <w:shd w:val="clear" w:color="auto" w:fill="C6D9F1" w:themeFill="text2" w:themeFillTint="33"/>
          </w:tcPr>
          <w:p w:rsidR="00822744" w:rsidRPr="002045F5" w:rsidRDefault="00822744" w:rsidP="00524DBF">
            <w:pPr>
              <w:pStyle w:val="a7"/>
              <w:ind w:left="0"/>
              <w:rPr>
                <w:b/>
                <w:sz w:val="22"/>
                <w:lang w:val="uk-UA"/>
              </w:rPr>
            </w:pPr>
            <w:r w:rsidRPr="002045F5">
              <w:rPr>
                <w:b/>
                <w:sz w:val="22"/>
                <w:lang w:val="uk-UA"/>
              </w:rPr>
              <w:t xml:space="preserve">Очікувані якісні результати від реалізації </w:t>
            </w:r>
            <w:proofErr w:type="spellStart"/>
            <w:r w:rsidRPr="002045F5">
              <w:rPr>
                <w:b/>
                <w:sz w:val="22"/>
                <w:lang w:val="uk-UA"/>
              </w:rPr>
              <w:t>проєкту</w:t>
            </w:r>
            <w:proofErr w:type="spellEnd"/>
          </w:p>
        </w:tc>
        <w:tc>
          <w:tcPr>
            <w:tcW w:w="7087" w:type="dxa"/>
            <w:gridSpan w:val="6"/>
          </w:tcPr>
          <w:p w:rsidR="00822744" w:rsidRPr="002045F5" w:rsidRDefault="00822744" w:rsidP="000303D7">
            <w:pPr>
              <w:pStyle w:val="a7"/>
              <w:numPr>
                <w:ilvl w:val="0"/>
                <w:numId w:val="123"/>
              </w:numPr>
              <w:jc w:val="left"/>
              <w:rPr>
                <w:sz w:val="22"/>
              </w:rPr>
            </w:pPr>
            <w:proofErr w:type="spellStart"/>
            <w:r w:rsidRPr="002045F5">
              <w:rPr>
                <w:sz w:val="22"/>
              </w:rPr>
              <w:t>Відновлення</w:t>
            </w:r>
            <w:proofErr w:type="spellEnd"/>
            <w:r w:rsidRPr="002045F5">
              <w:rPr>
                <w:sz w:val="22"/>
              </w:rPr>
              <w:t xml:space="preserve"> </w:t>
            </w:r>
            <w:proofErr w:type="spellStart"/>
            <w:r w:rsidRPr="002045F5">
              <w:rPr>
                <w:sz w:val="22"/>
              </w:rPr>
              <w:t>освітнього</w:t>
            </w:r>
            <w:proofErr w:type="spellEnd"/>
            <w:r w:rsidRPr="002045F5">
              <w:rPr>
                <w:sz w:val="22"/>
              </w:rPr>
              <w:t xml:space="preserve"> </w:t>
            </w:r>
            <w:proofErr w:type="spellStart"/>
            <w:r w:rsidRPr="002045F5">
              <w:rPr>
                <w:sz w:val="22"/>
              </w:rPr>
              <w:t>середовища</w:t>
            </w:r>
            <w:proofErr w:type="spellEnd"/>
            <w:r w:rsidRPr="002045F5">
              <w:rPr>
                <w:sz w:val="22"/>
              </w:rPr>
              <w:t xml:space="preserve">, контингенту </w:t>
            </w:r>
            <w:proofErr w:type="spellStart"/>
            <w:r w:rsidRPr="002045F5">
              <w:rPr>
                <w:sz w:val="22"/>
              </w:rPr>
              <w:t>учнів</w:t>
            </w:r>
            <w:proofErr w:type="spellEnd"/>
            <w:r w:rsidRPr="002045F5">
              <w:rPr>
                <w:sz w:val="22"/>
              </w:rPr>
              <w:t>;</w:t>
            </w:r>
          </w:p>
          <w:p w:rsidR="00822744" w:rsidRPr="002045F5" w:rsidRDefault="00822744" w:rsidP="000303D7">
            <w:pPr>
              <w:pStyle w:val="a7"/>
              <w:numPr>
                <w:ilvl w:val="0"/>
                <w:numId w:val="123"/>
              </w:numPr>
              <w:jc w:val="left"/>
              <w:rPr>
                <w:sz w:val="22"/>
              </w:rPr>
            </w:pPr>
            <w:proofErr w:type="spellStart"/>
            <w:r w:rsidRPr="002045F5">
              <w:rPr>
                <w:sz w:val="22"/>
              </w:rPr>
              <w:t>благоустрій</w:t>
            </w:r>
            <w:proofErr w:type="spellEnd"/>
            <w:r w:rsidRPr="002045F5">
              <w:rPr>
                <w:sz w:val="22"/>
              </w:rPr>
              <w:t xml:space="preserve"> </w:t>
            </w:r>
            <w:proofErr w:type="spellStart"/>
            <w:r w:rsidRPr="002045F5">
              <w:rPr>
                <w:sz w:val="22"/>
              </w:rPr>
              <w:t>мікрорайону</w:t>
            </w:r>
            <w:proofErr w:type="spellEnd"/>
            <w:r w:rsidRPr="002045F5">
              <w:rPr>
                <w:sz w:val="22"/>
              </w:rPr>
              <w:t xml:space="preserve"> </w:t>
            </w:r>
            <w:proofErr w:type="spellStart"/>
            <w:r w:rsidRPr="002045F5">
              <w:rPr>
                <w:sz w:val="22"/>
              </w:rPr>
              <w:t>Ліцею</w:t>
            </w:r>
            <w:proofErr w:type="spellEnd"/>
            <w:r w:rsidRPr="002045F5">
              <w:rPr>
                <w:sz w:val="22"/>
              </w:rPr>
              <w:t>;</w:t>
            </w:r>
          </w:p>
          <w:p w:rsidR="00822744" w:rsidRPr="002045F5" w:rsidRDefault="00822744" w:rsidP="000303D7">
            <w:pPr>
              <w:pStyle w:val="a7"/>
              <w:numPr>
                <w:ilvl w:val="0"/>
                <w:numId w:val="123"/>
              </w:numPr>
              <w:jc w:val="left"/>
              <w:rPr>
                <w:sz w:val="22"/>
              </w:rPr>
            </w:pPr>
            <w:r w:rsidRPr="002045F5">
              <w:rPr>
                <w:sz w:val="22"/>
              </w:rPr>
              <w:t xml:space="preserve"> </w:t>
            </w:r>
            <w:proofErr w:type="spellStart"/>
            <w:r w:rsidRPr="002045F5">
              <w:rPr>
                <w:sz w:val="22"/>
              </w:rPr>
              <w:t>перетворення</w:t>
            </w:r>
            <w:proofErr w:type="spellEnd"/>
            <w:r w:rsidRPr="002045F5">
              <w:rPr>
                <w:sz w:val="22"/>
              </w:rPr>
              <w:t xml:space="preserve"> закладу </w:t>
            </w:r>
            <w:proofErr w:type="spellStart"/>
            <w:r w:rsidRPr="002045F5">
              <w:rPr>
                <w:sz w:val="22"/>
              </w:rPr>
              <w:t>освіти</w:t>
            </w:r>
            <w:proofErr w:type="spellEnd"/>
            <w:r w:rsidRPr="002045F5">
              <w:rPr>
                <w:sz w:val="22"/>
              </w:rPr>
              <w:t xml:space="preserve"> на </w:t>
            </w:r>
            <w:proofErr w:type="spellStart"/>
            <w:r w:rsidRPr="002045F5">
              <w:rPr>
                <w:sz w:val="22"/>
              </w:rPr>
              <w:t>осередок</w:t>
            </w:r>
            <w:proofErr w:type="spellEnd"/>
            <w:r w:rsidRPr="002045F5">
              <w:rPr>
                <w:sz w:val="22"/>
              </w:rPr>
              <w:t xml:space="preserve"> </w:t>
            </w:r>
            <w:proofErr w:type="spellStart"/>
            <w:r w:rsidRPr="002045F5">
              <w:rPr>
                <w:sz w:val="22"/>
              </w:rPr>
              <w:t>соціальної</w:t>
            </w:r>
            <w:proofErr w:type="spellEnd"/>
            <w:r w:rsidRPr="002045F5">
              <w:rPr>
                <w:sz w:val="22"/>
              </w:rPr>
              <w:t xml:space="preserve"> </w:t>
            </w:r>
            <w:proofErr w:type="spellStart"/>
            <w:r w:rsidRPr="002045F5">
              <w:rPr>
                <w:sz w:val="22"/>
              </w:rPr>
              <w:t>згуртованості</w:t>
            </w:r>
            <w:proofErr w:type="spellEnd"/>
            <w:r w:rsidRPr="002045F5">
              <w:rPr>
                <w:sz w:val="22"/>
              </w:rPr>
              <w:t xml:space="preserve"> та </w:t>
            </w:r>
            <w:proofErr w:type="spellStart"/>
            <w:r w:rsidRPr="002045F5">
              <w:rPr>
                <w:sz w:val="22"/>
              </w:rPr>
              <w:t>стійкості</w:t>
            </w:r>
            <w:proofErr w:type="spellEnd"/>
            <w:r w:rsidRPr="002045F5">
              <w:rPr>
                <w:sz w:val="22"/>
              </w:rPr>
              <w:t xml:space="preserve"> в </w:t>
            </w:r>
            <w:proofErr w:type="spellStart"/>
            <w:r w:rsidRPr="002045F5">
              <w:rPr>
                <w:sz w:val="22"/>
              </w:rPr>
              <w:t>громаді</w:t>
            </w:r>
            <w:proofErr w:type="spellEnd"/>
            <w:r w:rsidRPr="002045F5">
              <w:rPr>
                <w:sz w:val="22"/>
              </w:rPr>
              <w:t xml:space="preserve">. </w:t>
            </w:r>
          </w:p>
        </w:tc>
      </w:tr>
      <w:tr w:rsidR="00822744" w:rsidRPr="002045F5" w:rsidTr="00670D96">
        <w:trPr>
          <w:trHeight w:val="390"/>
        </w:trPr>
        <w:tc>
          <w:tcPr>
            <w:tcW w:w="2836" w:type="dxa"/>
            <w:vMerge w:val="restart"/>
            <w:shd w:val="clear" w:color="auto" w:fill="C6D9F1" w:themeFill="text2" w:themeFillTint="33"/>
          </w:tcPr>
          <w:p w:rsidR="00822744" w:rsidRPr="002045F5" w:rsidRDefault="00822744" w:rsidP="00524DBF">
            <w:pPr>
              <w:pStyle w:val="a7"/>
              <w:ind w:left="0"/>
              <w:rPr>
                <w:b/>
                <w:sz w:val="22"/>
                <w:lang w:val="uk-UA"/>
              </w:rPr>
            </w:pPr>
            <w:r w:rsidRPr="002045F5">
              <w:rPr>
                <w:b/>
                <w:sz w:val="22"/>
                <w:lang w:val="uk-UA"/>
              </w:rPr>
              <w:t xml:space="preserve">Очікувані кількісні результати реалізації </w:t>
            </w:r>
            <w:proofErr w:type="spellStart"/>
            <w:r w:rsidRPr="002045F5">
              <w:rPr>
                <w:b/>
                <w:sz w:val="22"/>
                <w:lang w:val="uk-UA"/>
              </w:rPr>
              <w:t>проєкту</w:t>
            </w:r>
            <w:proofErr w:type="spellEnd"/>
            <w:r w:rsidRPr="002045F5">
              <w:rPr>
                <w:b/>
                <w:sz w:val="22"/>
                <w:lang w:val="uk-UA"/>
              </w:rPr>
              <w:t xml:space="preserve"> (індикатори)</w:t>
            </w:r>
          </w:p>
          <w:p w:rsidR="00822744" w:rsidRPr="002045F5" w:rsidRDefault="00822744" w:rsidP="00524DBF">
            <w:pPr>
              <w:pStyle w:val="a7"/>
              <w:ind w:left="0"/>
              <w:rPr>
                <w:b/>
                <w:sz w:val="22"/>
                <w:lang w:val="uk-UA"/>
              </w:rPr>
            </w:pPr>
          </w:p>
        </w:tc>
        <w:tc>
          <w:tcPr>
            <w:tcW w:w="3859" w:type="dxa"/>
            <w:gridSpan w:val="3"/>
            <w:tcBorders>
              <w:bottom w:val="single" w:sz="4" w:space="0" w:color="auto"/>
              <w:right w:val="single" w:sz="4" w:space="0" w:color="auto"/>
            </w:tcBorders>
          </w:tcPr>
          <w:p w:rsidR="00822744" w:rsidRPr="002045F5" w:rsidRDefault="00822744" w:rsidP="00524DBF">
            <w:pPr>
              <w:pStyle w:val="a7"/>
              <w:ind w:left="-108"/>
              <w:jc w:val="center"/>
              <w:rPr>
                <w:b/>
                <w:sz w:val="22"/>
              </w:rPr>
            </w:pPr>
            <w:proofErr w:type="spellStart"/>
            <w:r w:rsidRPr="002045F5">
              <w:rPr>
                <w:b/>
                <w:sz w:val="22"/>
              </w:rPr>
              <w:t>Найменування</w:t>
            </w:r>
            <w:proofErr w:type="spellEnd"/>
            <w:r w:rsidRPr="002045F5">
              <w:rPr>
                <w:b/>
                <w:sz w:val="22"/>
              </w:rPr>
              <w:t xml:space="preserve"> </w:t>
            </w:r>
            <w:proofErr w:type="spellStart"/>
            <w:r w:rsidRPr="002045F5">
              <w:rPr>
                <w:b/>
                <w:sz w:val="22"/>
              </w:rPr>
              <w:t>показника</w:t>
            </w:r>
            <w:proofErr w:type="spellEnd"/>
          </w:p>
        </w:tc>
        <w:tc>
          <w:tcPr>
            <w:tcW w:w="1863" w:type="dxa"/>
            <w:gridSpan w:val="2"/>
            <w:tcBorders>
              <w:left w:val="single" w:sz="4" w:space="0" w:color="auto"/>
              <w:bottom w:val="single" w:sz="4" w:space="0" w:color="auto"/>
              <w:right w:val="single" w:sz="4" w:space="0" w:color="auto"/>
            </w:tcBorders>
          </w:tcPr>
          <w:p w:rsidR="00822744" w:rsidRPr="002045F5" w:rsidRDefault="00822744" w:rsidP="00524DBF">
            <w:pPr>
              <w:pStyle w:val="a7"/>
              <w:ind w:left="0"/>
              <w:jc w:val="center"/>
              <w:rPr>
                <w:b/>
                <w:sz w:val="22"/>
              </w:rPr>
            </w:pPr>
            <w:proofErr w:type="spellStart"/>
            <w:r w:rsidRPr="002045F5">
              <w:rPr>
                <w:b/>
                <w:sz w:val="22"/>
              </w:rPr>
              <w:t>Одиниця</w:t>
            </w:r>
            <w:proofErr w:type="spellEnd"/>
            <w:r w:rsidRPr="002045F5">
              <w:rPr>
                <w:b/>
                <w:sz w:val="22"/>
              </w:rPr>
              <w:t xml:space="preserve"> </w:t>
            </w:r>
            <w:proofErr w:type="spellStart"/>
            <w:r w:rsidRPr="002045F5">
              <w:rPr>
                <w:b/>
                <w:sz w:val="22"/>
              </w:rPr>
              <w:t>вимірювання</w:t>
            </w:r>
            <w:proofErr w:type="spellEnd"/>
          </w:p>
          <w:p w:rsidR="00822744" w:rsidRPr="002045F5" w:rsidRDefault="00822744" w:rsidP="00524DBF">
            <w:pPr>
              <w:pStyle w:val="a7"/>
              <w:ind w:left="0"/>
              <w:rPr>
                <w:b/>
                <w:sz w:val="22"/>
              </w:rPr>
            </w:pPr>
          </w:p>
        </w:tc>
        <w:tc>
          <w:tcPr>
            <w:tcW w:w="1365" w:type="dxa"/>
            <w:tcBorders>
              <w:left w:val="single" w:sz="4" w:space="0" w:color="auto"/>
              <w:bottom w:val="single" w:sz="4" w:space="0" w:color="auto"/>
            </w:tcBorders>
          </w:tcPr>
          <w:p w:rsidR="00822744" w:rsidRPr="002045F5" w:rsidRDefault="00822744" w:rsidP="00524DBF">
            <w:pPr>
              <w:pStyle w:val="a7"/>
              <w:ind w:left="0"/>
              <w:jc w:val="center"/>
              <w:rPr>
                <w:b/>
                <w:sz w:val="22"/>
              </w:rPr>
            </w:pPr>
            <w:proofErr w:type="spellStart"/>
            <w:r w:rsidRPr="002045F5">
              <w:rPr>
                <w:b/>
                <w:sz w:val="22"/>
              </w:rPr>
              <w:t>Прогнозне</w:t>
            </w:r>
            <w:proofErr w:type="spellEnd"/>
            <w:r w:rsidRPr="002045F5">
              <w:rPr>
                <w:b/>
                <w:sz w:val="22"/>
              </w:rPr>
              <w:t xml:space="preserve"> (</w:t>
            </w:r>
            <w:proofErr w:type="spellStart"/>
            <w:r w:rsidRPr="002045F5">
              <w:rPr>
                <w:b/>
                <w:sz w:val="22"/>
              </w:rPr>
              <w:t>цільове</w:t>
            </w:r>
            <w:proofErr w:type="spellEnd"/>
            <w:r w:rsidRPr="002045F5">
              <w:rPr>
                <w:b/>
                <w:sz w:val="22"/>
              </w:rPr>
              <w:t xml:space="preserve">) </w:t>
            </w:r>
            <w:proofErr w:type="spellStart"/>
            <w:r w:rsidRPr="002045F5">
              <w:rPr>
                <w:b/>
                <w:sz w:val="22"/>
              </w:rPr>
              <w:t>значення</w:t>
            </w:r>
            <w:proofErr w:type="spellEnd"/>
          </w:p>
        </w:tc>
      </w:tr>
      <w:tr w:rsidR="00822744" w:rsidRPr="002045F5" w:rsidTr="00670D96">
        <w:trPr>
          <w:trHeight w:val="585"/>
        </w:trPr>
        <w:tc>
          <w:tcPr>
            <w:tcW w:w="2836" w:type="dxa"/>
            <w:vMerge/>
            <w:shd w:val="clear" w:color="auto" w:fill="C6D9F1" w:themeFill="text2" w:themeFillTint="33"/>
          </w:tcPr>
          <w:p w:rsidR="00822744" w:rsidRPr="002045F5" w:rsidRDefault="00822744" w:rsidP="00524DBF">
            <w:pPr>
              <w:pStyle w:val="a7"/>
              <w:ind w:left="0"/>
              <w:rPr>
                <w:b/>
                <w:sz w:val="22"/>
              </w:rPr>
            </w:pPr>
          </w:p>
        </w:tc>
        <w:tc>
          <w:tcPr>
            <w:tcW w:w="3859" w:type="dxa"/>
            <w:gridSpan w:val="3"/>
            <w:tcBorders>
              <w:top w:val="single" w:sz="4" w:space="0" w:color="auto"/>
              <w:bottom w:val="single" w:sz="4" w:space="0" w:color="auto"/>
              <w:right w:val="single" w:sz="4" w:space="0" w:color="auto"/>
            </w:tcBorders>
          </w:tcPr>
          <w:p w:rsidR="00822744" w:rsidRPr="002045F5" w:rsidRDefault="00822744" w:rsidP="00524DBF">
            <w:pPr>
              <w:pStyle w:val="a7"/>
              <w:ind w:left="0"/>
              <w:jc w:val="center"/>
              <w:rPr>
                <w:sz w:val="22"/>
              </w:rPr>
            </w:pPr>
            <w:proofErr w:type="spellStart"/>
            <w:r w:rsidRPr="002045F5">
              <w:rPr>
                <w:sz w:val="22"/>
              </w:rPr>
              <w:t>Кількість</w:t>
            </w:r>
            <w:proofErr w:type="spellEnd"/>
            <w:r w:rsidRPr="002045F5">
              <w:rPr>
                <w:sz w:val="22"/>
              </w:rPr>
              <w:t xml:space="preserve"> </w:t>
            </w:r>
            <w:proofErr w:type="spellStart"/>
            <w:r w:rsidRPr="002045F5">
              <w:rPr>
                <w:sz w:val="22"/>
              </w:rPr>
              <w:t>одержувачів</w:t>
            </w:r>
            <w:proofErr w:type="spellEnd"/>
            <w:r w:rsidRPr="002045F5">
              <w:rPr>
                <w:sz w:val="22"/>
              </w:rPr>
              <w:t xml:space="preserve"> </w:t>
            </w:r>
            <w:proofErr w:type="spellStart"/>
            <w:r w:rsidRPr="002045F5">
              <w:rPr>
                <w:sz w:val="22"/>
              </w:rPr>
              <w:t>освітніх</w:t>
            </w:r>
            <w:proofErr w:type="spellEnd"/>
            <w:r w:rsidRPr="002045F5">
              <w:rPr>
                <w:sz w:val="22"/>
              </w:rPr>
              <w:t xml:space="preserve"> </w:t>
            </w:r>
            <w:proofErr w:type="spellStart"/>
            <w:r w:rsidRPr="002045F5">
              <w:rPr>
                <w:sz w:val="22"/>
              </w:rPr>
              <w:t>послуг</w:t>
            </w:r>
            <w:proofErr w:type="spellEnd"/>
            <w:r w:rsidRPr="002045F5">
              <w:rPr>
                <w:sz w:val="22"/>
              </w:rPr>
              <w:t xml:space="preserve"> у ЗО</w:t>
            </w:r>
          </w:p>
        </w:tc>
        <w:tc>
          <w:tcPr>
            <w:tcW w:w="1863" w:type="dxa"/>
            <w:gridSpan w:val="2"/>
            <w:tcBorders>
              <w:top w:val="single" w:sz="4" w:space="0" w:color="auto"/>
              <w:left w:val="single" w:sz="4" w:space="0" w:color="auto"/>
              <w:bottom w:val="single" w:sz="4" w:space="0" w:color="auto"/>
              <w:right w:val="single" w:sz="4" w:space="0" w:color="auto"/>
            </w:tcBorders>
            <w:vAlign w:val="center"/>
          </w:tcPr>
          <w:p w:rsidR="00822744" w:rsidRPr="002045F5" w:rsidRDefault="00822744" w:rsidP="00524DBF">
            <w:pPr>
              <w:pStyle w:val="a7"/>
              <w:ind w:left="0"/>
              <w:jc w:val="center"/>
              <w:rPr>
                <w:sz w:val="22"/>
              </w:rPr>
            </w:pPr>
            <w:proofErr w:type="spellStart"/>
            <w:r w:rsidRPr="002045F5">
              <w:rPr>
                <w:sz w:val="22"/>
              </w:rPr>
              <w:t>осіб</w:t>
            </w:r>
            <w:proofErr w:type="spellEnd"/>
          </w:p>
        </w:tc>
        <w:tc>
          <w:tcPr>
            <w:tcW w:w="1365" w:type="dxa"/>
            <w:tcBorders>
              <w:top w:val="single" w:sz="4" w:space="0" w:color="auto"/>
              <w:left w:val="single" w:sz="4" w:space="0" w:color="auto"/>
              <w:bottom w:val="single" w:sz="4" w:space="0" w:color="auto"/>
            </w:tcBorders>
          </w:tcPr>
          <w:p w:rsidR="00822744" w:rsidRPr="002045F5" w:rsidRDefault="00822744" w:rsidP="00524DBF">
            <w:pPr>
              <w:pStyle w:val="a7"/>
              <w:ind w:left="0"/>
              <w:jc w:val="center"/>
              <w:rPr>
                <w:sz w:val="22"/>
              </w:rPr>
            </w:pPr>
            <w:r w:rsidRPr="002045F5">
              <w:rPr>
                <w:sz w:val="22"/>
              </w:rPr>
              <w:t xml:space="preserve">до 1500 </w:t>
            </w:r>
          </w:p>
        </w:tc>
      </w:tr>
      <w:tr w:rsidR="00822744" w:rsidRPr="002045F5" w:rsidTr="00670D96">
        <w:trPr>
          <w:trHeight w:val="150"/>
        </w:trPr>
        <w:tc>
          <w:tcPr>
            <w:tcW w:w="2836" w:type="dxa"/>
            <w:vMerge/>
            <w:shd w:val="clear" w:color="auto" w:fill="C6D9F1" w:themeFill="text2" w:themeFillTint="33"/>
          </w:tcPr>
          <w:p w:rsidR="00822744" w:rsidRPr="002045F5" w:rsidRDefault="00822744" w:rsidP="00524DBF">
            <w:pPr>
              <w:pStyle w:val="a7"/>
              <w:ind w:left="0"/>
              <w:rPr>
                <w:b/>
                <w:sz w:val="22"/>
              </w:rPr>
            </w:pPr>
          </w:p>
        </w:tc>
        <w:tc>
          <w:tcPr>
            <w:tcW w:w="3859" w:type="dxa"/>
            <w:gridSpan w:val="3"/>
            <w:tcBorders>
              <w:top w:val="single" w:sz="4" w:space="0" w:color="auto"/>
              <w:right w:val="single" w:sz="4" w:space="0" w:color="auto"/>
            </w:tcBorders>
          </w:tcPr>
          <w:p w:rsidR="00822744" w:rsidRPr="002045F5" w:rsidRDefault="00822744" w:rsidP="00524DBF">
            <w:pPr>
              <w:pStyle w:val="a7"/>
              <w:ind w:left="0"/>
              <w:jc w:val="center"/>
              <w:rPr>
                <w:sz w:val="22"/>
              </w:rPr>
            </w:pPr>
            <w:proofErr w:type="spellStart"/>
            <w:r w:rsidRPr="002045F5">
              <w:rPr>
                <w:sz w:val="22"/>
              </w:rPr>
              <w:t>Термін</w:t>
            </w:r>
            <w:proofErr w:type="spellEnd"/>
            <w:r w:rsidRPr="002045F5">
              <w:rPr>
                <w:sz w:val="22"/>
              </w:rPr>
              <w:t xml:space="preserve"> </w:t>
            </w:r>
            <w:proofErr w:type="spellStart"/>
            <w:r w:rsidRPr="002045F5">
              <w:rPr>
                <w:sz w:val="22"/>
              </w:rPr>
              <w:t>надання</w:t>
            </w:r>
            <w:proofErr w:type="spellEnd"/>
            <w:r w:rsidRPr="002045F5">
              <w:rPr>
                <w:sz w:val="22"/>
              </w:rPr>
              <w:t xml:space="preserve"> </w:t>
            </w:r>
            <w:proofErr w:type="spellStart"/>
            <w:r w:rsidRPr="002045F5">
              <w:rPr>
                <w:sz w:val="22"/>
              </w:rPr>
              <w:t>послуги</w:t>
            </w:r>
            <w:proofErr w:type="spellEnd"/>
          </w:p>
        </w:tc>
        <w:tc>
          <w:tcPr>
            <w:tcW w:w="1863" w:type="dxa"/>
            <w:gridSpan w:val="2"/>
            <w:tcBorders>
              <w:top w:val="single" w:sz="4" w:space="0" w:color="auto"/>
              <w:left w:val="single" w:sz="4" w:space="0" w:color="auto"/>
              <w:right w:val="single" w:sz="4" w:space="0" w:color="auto"/>
            </w:tcBorders>
            <w:vAlign w:val="center"/>
          </w:tcPr>
          <w:p w:rsidR="00822744" w:rsidRPr="002045F5" w:rsidRDefault="00822744" w:rsidP="00524DBF">
            <w:pPr>
              <w:pStyle w:val="a7"/>
              <w:ind w:left="0"/>
              <w:jc w:val="center"/>
              <w:rPr>
                <w:sz w:val="22"/>
              </w:rPr>
            </w:pPr>
            <w:proofErr w:type="spellStart"/>
            <w:r w:rsidRPr="002045F5">
              <w:rPr>
                <w:sz w:val="22"/>
              </w:rPr>
              <w:t>місяць</w:t>
            </w:r>
            <w:proofErr w:type="spellEnd"/>
          </w:p>
        </w:tc>
        <w:tc>
          <w:tcPr>
            <w:tcW w:w="1365" w:type="dxa"/>
            <w:tcBorders>
              <w:top w:val="single" w:sz="4" w:space="0" w:color="auto"/>
              <w:left w:val="single" w:sz="4" w:space="0" w:color="auto"/>
            </w:tcBorders>
          </w:tcPr>
          <w:p w:rsidR="00822744" w:rsidRPr="002045F5" w:rsidRDefault="00822744" w:rsidP="00524DBF">
            <w:pPr>
              <w:pStyle w:val="a7"/>
              <w:ind w:left="0"/>
              <w:jc w:val="center"/>
              <w:rPr>
                <w:sz w:val="22"/>
              </w:rPr>
            </w:pPr>
            <w:r w:rsidRPr="002045F5">
              <w:rPr>
                <w:sz w:val="22"/>
              </w:rPr>
              <w:t xml:space="preserve">12 </w:t>
            </w:r>
            <w:proofErr w:type="spellStart"/>
            <w:r w:rsidRPr="002045F5">
              <w:rPr>
                <w:sz w:val="22"/>
              </w:rPr>
              <w:t>місяців</w:t>
            </w:r>
            <w:proofErr w:type="spellEnd"/>
          </w:p>
        </w:tc>
      </w:tr>
      <w:tr w:rsidR="00822744" w:rsidRPr="002045F5" w:rsidTr="00670D96">
        <w:trPr>
          <w:trHeight w:val="150"/>
        </w:trPr>
        <w:tc>
          <w:tcPr>
            <w:tcW w:w="2836" w:type="dxa"/>
            <w:shd w:val="clear" w:color="auto" w:fill="C6D9F1" w:themeFill="text2" w:themeFillTint="33"/>
          </w:tcPr>
          <w:p w:rsidR="00822744" w:rsidRPr="002045F5" w:rsidRDefault="00822744" w:rsidP="00524DBF">
            <w:pPr>
              <w:pStyle w:val="a7"/>
              <w:ind w:left="0"/>
              <w:rPr>
                <w:b/>
                <w:sz w:val="22"/>
              </w:rPr>
            </w:pPr>
          </w:p>
        </w:tc>
        <w:tc>
          <w:tcPr>
            <w:tcW w:w="3859" w:type="dxa"/>
            <w:gridSpan w:val="3"/>
            <w:tcBorders>
              <w:top w:val="single" w:sz="4" w:space="0" w:color="auto"/>
              <w:right w:val="single" w:sz="4" w:space="0" w:color="auto"/>
            </w:tcBorders>
          </w:tcPr>
          <w:p w:rsidR="00822744" w:rsidRPr="002045F5" w:rsidRDefault="00822744" w:rsidP="00E94536">
            <w:pPr>
              <w:pStyle w:val="a7"/>
              <w:ind w:left="0"/>
              <w:jc w:val="center"/>
              <w:rPr>
                <w:sz w:val="22"/>
              </w:rPr>
            </w:pPr>
            <w:proofErr w:type="spellStart"/>
            <w:r w:rsidRPr="002045F5">
              <w:rPr>
                <w:sz w:val="22"/>
              </w:rPr>
              <w:t>Кількість</w:t>
            </w:r>
            <w:proofErr w:type="spellEnd"/>
            <w:r w:rsidRPr="002045F5">
              <w:rPr>
                <w:sz w:val="22"/>
              </w:rPr>
              <w:t xml:space="preserve"> </w:t>
            </w:r>
            <w:proofErr w:type="spellStart"/>
            <w:r w:rsidRPr="002045F5">
              <w:rPr>
                <w:sz w:val="22"/>
              </w:rPr>
              <w:t>населених</w:t>
            </w:r>
            <w:proofErr w:type="spellEnd"/>
            <w:r w:rsidRPr="002045F5">
              <w:rPr>
                <w:sz w:val="22"/>
              </w:rPr>
              <w:t xml:space="preserve"> </w:t>
            </w:r>
            <w:proofErr w:type="spellStart"/>
            <w:r w:rsidRPr="002045F5">
              <w:rPr>
                <w:sz w:val="22"/>
              </w:rPr>
              <w:t>пунктів</w:t>
            </w:r>
            <w:proofErr w:type="spellEnd"/>
            <w:r w:rsidRPr="002045F5">
              <w:rPr>
                <w:sz w:val="22"/>
              </w:rPr>
              <w:t xml:space="preserve">, </w:t>
            </w:r>
            <w:proofErr w:type="spellStart"/>
            <w:r w:rsidRPr="002045F5">
              <w:rPr>
                <w:sz w:val="22"/>
              </w:rPr>
              <w:t>як</w:t>
            </w:r>
            <w:r w:rsidR="00E94536" w:rsidRPr="002045F5">
              <w:rPr>
                <w:sz w:val="22"/>
              </w:rPr>
              <w:t>і</w:t>
            </w:r>
            <w:proofErr w:type="spellEnd"/>
            <w:r w:rsidRPr="002045F5">
              <w:rPr>
                <w:sz w:val="22"/>
              </w:rPr>
              <w:t xml:space="preserve"> </w:t>
            </w:r>
            <w:proofErr w:type="spellStart"/>
            <w:r w:rsidRPr="002045F5">
              <w:rPr>
                <w:sz w:val="22"/>
              </w:rPr>
              <w:t>обслуговує</w:t>
            </w:r>
            <w:proofErr w:type="spellEnd"/>
            <w:r w:rsidRPr="002045F5">
              <w:rPr>
                <w:sz w:val="22"/>
              </w:rPr>
              <w:t xml:space="preserve"> заклад </w:t>
            </w:r>
            <w:proofErr w:type="spellStart"/>
            <w:r w:rsidRPr="002045F5">
              <w:rPr>
                <w:sz w:val="22"/>
              </w:rPr>
              <w:t>освіти</w:t>
            </w:r>
            <w:proofErr w:type="spellEnd"/>
          </w:p>
        </w:tc>
        <w:tc>
          <w:tcPr>
            <w:tcW w:w="1863" w:type="dxa"/>
            <w:gridSpan w:val="2"/>
            <w:tcBorders>
              <w:top w:val="single" w:sz="4" w:space="0" w:color="auto"/>
              <w:left w:val="single" w:sz="4" w:space="0" w:color="auto"/>
              <w:right w:val="single" w:sz="4" w:space="0" w:color="auto"/>
            </w:tcBorders>
            <w:vAlign w:val="center"/>
          </w:tcPr>
          <w:p w:rsidR="00822744" w:rsidRPr="002045F5" w:rsidRDefault="00822744" w:rsidP="00524DBF">
            <w:pPr>
              <w:pStyle w:val="a7"/>
              <w:ind w:left="0"/>
              <w:jc w:val="center"/>
              <w:rPr>
                <w:sz w:val="22"/>
              </w:rPr>
            </w:pPr>
            <w:proofErr w:type="spellStart"/>
            <w:r w:rsidRPr="002045F5">
              <w:rPr>
                <w:sz w:val="22"/>
              </w:rPr>
              <w:t>одиниць</w:t>
            </w:r>
            <w:proofErr w:type="spellEnd"/>
          </w:p>
        </w:tc>
        <w:tc>
          <w:tcPr>
            <w:tcW w:w="1365" w:type="dxa"/>
            <w:tcBorders>
              <w:top w:val="single" w:sz="4" w:space="0" w:color="auto"/>
              <w:left w:val="single" w:sz="4" w:space="0" w:color="auto"/>
            </w:tcBorders>
          </w:tcPr>
          <w:p w:rsidR="00822744" w:rsidRPr="002045F5" w:rsidRDefault="00822744" w:rsidP="00524DBF">
            <w:pPr>
              <w:pStyle w:val="a7"/>
              <w:ind w:left="0"/>
              <w:jc w:val="center"/>
              <w:rPr>
                <w:sz w:val="22"/>
              </w:rPr>
            </w:pPr>
            <w:r w:rsidRPr="002045F5">
              <w:rPr>
                <w:sz w:val="22"/>
              </w:rPr>
              <w:t xml:space="preserve">1 </w:t>
            </w:r>
          </w:p>
          <w:p w:rsidR="00822744" w:rsidRPr="002045F5" w:rsidRDefault="00822744" w:rsidP="00524DBF">
            <w:pPr>
              <w:pStyle w:val="a7"/>
              <w:ind w:left="0"/>
              <w:jc w:val="center"/>
              <w:rPr>
                <w:sz w:val="22"/>
              </w:rPr>
            </w:pPr>
          </w:p>
        </w:tc>
      </w:tr>
      <w:tr w:rsidR="00822744" w:rsidRPr="002045F5" w:rsidTr="00670D96">
        <w:tc>
          <w:tcPr>
            <w:tcW w:w="2836" w:type="dxa"/>
            <w:shd w:val="clear" w:color="auto" w:fill="C6D9F1" w:themeFill="text2" w:themeFillTint="33"/>
          </w:tcPr>
          <w:p w:rsidR="00822744" w:rsidRPr="002045F5" w:rsidRDefault="00822744" w:rsidP="00524DBF">
            <w:pPr>
              <w:rPr>
                <w:b/>
                <w:sz w:val="22"/>
              </w:rPr>
            </w:pPr>
            <w:proofErr w:type="spellStart"/>
            <w:r w:rsidRPr="002045F5">
              <w:rPr>
                <w:b/>
                <w:sz w:val="22"/>
              </w:rPr>
              <w:t>Ключові</w:t>
            </w:r>
            <w:proofErr w:type="spellEnd"/>
            <w:r w:rsidRPr="002045F5">
              <w:rPr>
                <w:b/>
                <w:sz w:val="22"/>
              </w:rPr>
              <w:t xml:space="preserve"> заходи </w:t>
            </w:r>
            <w:proofErr w:type="spellStart"/>
            <w:r w:rsidRPr="002045F5">
              <w:rPr>
                <w:b/>
                <w:sz w:val="22"/>
              </w:rPr>
              <w:t>проєкту</w:t>
            </w:r>
            <w:proofErr w:type="spellEnd"/>
            <w:r w:rsidRPr="002045F5">
              <w:rPr>
                <w:b/>
                <w:sz w:val="22"/>
              </w:rPr>
              <w:t xml:space="preserve">: </w:t>
            </w:r>
          </w:p>
          <w:p w:rsidR="00822744" w:rsidRPr="002045F5" w:rsidRDefault="00822744" w:rsidP="00524DBF">
            <w:pPr>
              <w:pStyle w:val="a7"/>
              <w:ind w:left="0"/>
              <w:rPr>
                <w:b/>
                <w:sz w:val="22"/>
              </w:rPr>
            </w:pPr>
          </w:p>
        </w:tc>
        <w:tc>
          <w:tcPr>
            <w:tcW w:w="7087" w:type="dxa"/>
            <w:gridSpan w:val="6"/>
          </w:tcPr>
          <w:p w:rsidR="00822744" w:rsidRPr="002045F5" w:rsidRDefault="00822744" w:rsidP="00524DBF">
            <w:pPr>
              <w:pStyle w:val="a7"/>
              <w:ind w:left="0"/>
              <w:rPr>
                <w:sz w:val="22"/>
              </w:rPr>
            </w:pPr>
            <w:r w:rsidRPr="002045F5">
              <w:rPr>
                <w:sz w:val="22"/>
              </w:rPr>
              <w:t xml:space="preserve">І. </w:t>
            </w:r>
            <w:proofErr w:type="spellStart"/>
            <w:r w:rsidRPr="002045F5">
              <w:rPr>
                <w:sz w:val="22"/>
              </w:rPr>
              <w:t>Обстеження</w:t>
            </w:r>
            <w:proofErr w:type="spellEnd"/>
            <w:r w:rsidRPr="002045F5">
              <w:rPr>
                <w:sz w:val="22"/>
              </w:rPr>
              <w:t xml:space="preserve"> стану </w:t>
            </w:r>
            <w:proofErr w:type="spellStart"/>
            <w:r w:rsidRPr="002045F5">
              <w:rPr>
                <w:sz w:val="22"/>
              </w:rPr>
              <w:t>території</w:t>
            </w:r>
            <w:proofErr w:type="spellEnd"/>
            <w:r w:rsidRPr="002045F5">
              <w:rPr>
                <w:sz w:val="22"/>
              </w:rPr>
              <w:t>:</w:t>
            </w:r>
          </w:p>
          <w:p w:rsidR="00822744" w:rsidRPr="002045F5" w:rsidRDefault="00822744" w:rsidP="00524DBF">
            <w:pPr>
              <w:pStyle w:val="a7"/>
              <w:ind w:left="0"/>
              <w:rPr>
                <w:sz w:val="22"/>
              </w:rPr>
            </w:pPr>
            <w:r w:rsidRPr="002045F5">
              <w:rPr>
                <w:sz w:val="22"/>
              </w:rPr>
              <w:t>-</w:t>
            </w:r>
            <w:proofErr w:type="spellStart"/>
            <w:r w:rsidRPr="002045F5">
              <w:rPr>
                <w:sz w:val="22"/>
              </w:rPr>
              <w:t>виготовлення</w:t>
            </w:r>
            <w:proofErr w:type="spellEnd"/>
            <w:r w:rsidRPr="002045F5">
              <w:rPr>
                <w:sz w:val="22"/>
              </w:rPr>
              <w:t xml:space="preserve"> </w:t>
            </w:r>
            <w:proofErr w:type="spellStart"/>
            <w:r w:rsidRPr="002045F5">
              <w:rPr>
                <w:sz w:val="22"/>
              </w:rPr>
              <w:t>проєктно-кошторисної</w:t>
            </w:r>
            <w:proofErr w:type="spellEnd"/>
            <w:r w:rsidRPr="002045F5">
              <w:rPr>
                <w:sz w:val="22"/>
              </w:rPr>
              <w:t xml:space="preserve"> </w:t>
            </w:r>
            <w:proofErr w:type="spellStart"/>
            <w:r w:rsidRPr="002045F5">
              <w:rPr>
                <w:sz w:val="22"/>
              </w:rPr>
              <w:t>документації</w:t>
            </w:r>
            <w:proofErr w:type="spellEnd"/>
            <w:r w:rsidRPr="002045F5">
              <w:rPr>
                <w:sz w:val="22"/>
              </w:rPr>
              <w:t xml:space="preserve"> </w:t>
            </w:r>
            <w:proofErr w:type="spellStart"/>
            <w:r w:rsidRPr="002045F5">
              <w:rPr>
                <w:sz w:val="22"/>
              </w:rPr>
              <w:t>або</w:t>
            </w:r>
            <w:proofErr w:type="spellEnd"/>
            <w:r w:rsidRPr="002045F5">
              <w:rPr>
                <w:sz w:val="22"/>
              </w:rPr>
              <w:t xml:space="preserve"> </w:t>
            </w:r>
            <w:proofErr w:type="spellStart"/>
            <w:r w:rsidRPr="002045F5">
              <w:rPr>
                <w:sz w:val="22"/>
              </w:rPr>
              <w:t>послуги</w:t>
            </w:r>
            <w:proofErr w:type="spellEnd"/>
            <w:r w:rsidRPr="002045F5">
              <w:rPr>
                <w:sz w:val="22"/>
              </w:rPr>
              <w:t xml:space="preserve"> з </w:t>
            </w:r>
            <w:proofErr w:type="spellStart"/>
            <w:r w:rsidRPr="002045F5">
              <w:rPr>
                <w:sz w:val="22"/>
              </w:rPr>
              <w:t>інженерного</w:t>
            </w:r>
            <w:proofErr w:type="spellEnd"/>
            <w:r w:rsidRPr="002045F5">
              <w:rPr>
                <w:sz w:val="22"/>
              </w:rPr>
              <w:t xml:space="preserve"> </w:t>
            </w:r>
            <w:proofErr w:type="spellStart"/>
            <w:r w:rsidRPr="002045F5">
              <w:rPr>
                <w:sz w:val="22"/>
              </w:rPr>
              <w:t>проєктування</w:t>
            </w:r>
            <w:proofErr w:type="spellEnd"/>
            <w:r w:rsidRPr="002045F5">
              <w:rPr>
                <w:sz w:val="22"/>
              </w:rPr>
              <w:t>;</w:t>
            </w:r>
          </w:p>
          <w:p w:rsidR="00822744" w:rsidRPr="002045F5" w:rsidRDefault="00822744" w:rsidP="00524DBF">
            <w:pPr>
              <w:pStyle w:val="a7"/>
              <w:ind w:left="0"/>
              <w:rPr>
                <w:sz w:val="22"/>
              </w:rPr>
            </w:pPr>
            <w:r w:rsidRPr="002045F5">
              <w:rPr>
                <w:sz w:val="22"/>
              </w:rPr>
              <w:t xml:space="preserve">ІІ. </w:t>
            </w:r>
            <w:proofErr w:type="spellStart"/>
            <w:r w:rsidRPr="002045F5">
              <w:rPr>
                <w:sz w:val="22"/>
              </w:rPr>
              <w:t>Проведення</w:t>
            </w:r>
            <w:proofErr w:type="spellEnd"/>
            <w:r w:rsidRPr="002045F5">
              <w:rPr>
                <w:sz w:val="22"/>
              </w:rPr>
              <w:t xml:space="preserve"> </w:t>
            </w:r>
            <w:proofErr w:type="spellStart"/>
            <w:r w:rsidRPr="002045F5">
              <w:rPr>
                <w:sz w:val="22"/>
              </w:rPr>
              <w:t>експертизи</w:t>
            </w:r>
            <w:proofErr w:type="spellEnd"/>
            <w:r w:rsidRPr="002045F5">
              <w:rPr>
                <w:sz w:val="22"/>
              </w:rPr>
              <w:t xml:space="preserve"> </w:t>
            </w:r>
            <w:proofErr w:type="spellStart"/>
            <w:r w:rsidRPr="002045F5">
              <w:rPr>
                <w:sz w:val="22"/>
              </w:rPr>
              <w:t>проєкту</w:t>
            </w:r>
            <w:proofErr w:type="spellEnd"/>
            <w:r w:rsidRPr="002045F5">
              <w:rPr>
                <w:sz w:val="22"/>
              </w:rPr>
              <w:t xml:space="preserve"> </w:t>
            </w:r>
            <w:proofErr w:type="spellStart"/>
            <w:r w:rsidRPr="002045F5">
              <w:rPr>
                <w:sz w:val="22"/>
              </w:rPr>
              <w:t>відновлення</w:t>
            </w:r>
            <w:proofErr w:type="spellEnd"/>
            <w:r w:rsidRPr="002045F5">
              <w:rPr>
                <w:sz w:val="22"/>
              </w:rPr>
              <w:t>:</w:t>
            </w:r>
          </w:p>
          <w:p w:rsidR="00822744" w:rsidRPr="002045F5" w:rsidRDefault="00822744" w:rsidP="00524DBF">
            <w:pPr>
              <w:pStyle w:val="a7"/>
              <w:ind w:left="0"/>
              <w:rPr>
                <w:sz w:val="22"/>
              </w:rPr>
            </w:pPr>
            <w:r w:rsidRPr="002045F5">
              <w:rPr>
                <w:sz w:val="22"/>
              </w:rPr>
              <w:t>-</w:t>
            </w:r>
            <w:proofErr w:type="spellStart"/>
            <w:r w:rsidRPr="002045F5">
              <w:rPr>
                <w:sz w:val="22"/>
              </w:rPr>
              <w:t>звернення</w:t>
            </w:r>
            <w:proofErr w:type="spellEnd"/>
            <w:r w:rsidRPr="002045F5">
              <w:rPr>
                <w:sz w:val="22"/>
              </w:rPr>
              <w:t xml:space="preserve"> в </w:t>
            </w:r>
            <w:proofErr w:type="spellStart"/>
            <w:r w:rsidRPr="002045F5">
              <w:rPr>
                <w:sz w:val="22"/>
              </w:rPr>
              <w:t>експертну</w:t>
            </w:r>
            <w:proofErr w:type="spellEnd"/>
            <w:r w:rsidRPr="002045F5">
              <w:rPr>
                <w:sz w:val="22"/>
              </w:rPr>
              <w:t xml:space="preserve"> </w:t>
            </w:r>
            <w:proofErr w:type="spellStart"/>
            <w:r w:rsidRPr="002045F5">
              <w:rPr>
                <w:sz w:val="22"/>
              </w:rPr>
              <w:t>компанію</w:t>
            </w:r>
            <w:proofErr w:type="spellEnd"/>
            <w:r w:rsidRPr="002045F5">
              <w:rPr>
                <w:sz w:val="22"/>
              </w:rPr>
              <w:t xml:space="preserve"> і </w:t>
            </w:r>
            <w:proofErr w:type="spellStart"/>
            <w:r w:rsidRPr="002045F5">
              <w:rPr>
                <w:sz w:val="22"/>
              </w:rPr>
              <w:t>підписання</w:t>
            </w:r>
            <w:proofErr w:type="spellEnd"/>
            <w:r w:rsidRPr="002045F5">
              <w:rPr>
                <w:sz w:val="22"/>
              </w:rPr>
              <w:t xml:space="preserve"> договору:</w:t>
            </w:r>
          </w:p>
          <w:p w:rsidR="00822744" w:rsidRPr="002045F5" w:rsidRDefault="00822744" w:rsidP="00524DBF">
            <w:pPr>
              <w:pStyle w:val="a7"/>
              <w:ind w:left="0"/>
              <w:rPr>
                <w:sz w:val="22"/>
              </w:rPr>
            </w:pPr>
            <w:r w:rsidRPr="002045F5">
              <w:rPr>
                <w:sz w:val="22"/>
              </w:rPr>
              <w:lastRenderedPageBreak/>
              <w:t>-</w:t>
            </w:r>
            <w:proofErr w:type="spellStart"/>
            <w:r w:rsidRPr="002045F5">
              <w:rPr>
                <w:sz w:val="22"/>
              </w:rPr>
              <w:t>проведення</w:t>
            </w:r>
            <w:proofErr w:type="spellEnd"/>
            <w:r w:rsidRPr="002045F5">
              <w:rPr>
                <w:sz w:val="22"/>
              </w:rPr>
              <w:t xml:space="preserve"> </w:t>
            </w:r>
            <w:proofErr w:type="spellStart"/>
            <w:r w:rsidRPr="002045F5">
              <w:rPr>
                <w:sz w:val="22"/>
              </w:rPr>
              <w:t>експертизи</w:t>
            </w:r>
            <w:proofErr w:type="spellEnd"/>
            <w:r w:rsidRPr="002045F5">
              <w:rPr>
                <w:sz w:val="22"/>
              </w:rPr>
              <w:t xml:space="preserve"> </w:t>
            </w:r>
            <w:proofErr w:type="spellStart"/>
            <w:r w:rsidRPr="002045F5">
              <w:rPr>
                <w:sz w:val="22"/>
              </w:rPr>
              <w:t>проєктної</w:t>
            </w:r>
            <w:proofErr w:type="spellEnd"/>
            <w:r w:rsidRPr="002045F5">
              <w:rPr>
                <w:sz w:val="22"/>
              </w:rPr>
              <w:t xml:space="preserve"> </w:t>
            </w:r>
            <w:proofErr w:type="spellStart"/>
            <w:r w:rsidRPr="002045F5">
              <w:rPr>
                <w:sz w:val="22"/>
              </w:rPr>
              <w:t>документації</w:t>
            </w:r>
            <w:proofErr w:type="spellEnd"/>
            <w:r w:rsidRPr="002045F5">
              <w:rPr>
                <w:sz w:val="22"/>
              </w:rPr>
              <w:t>;</w:t>
            </w:r>
          </w:p>
          <w:p w:rsidR="00822744" w:rsidRPr="002045F5" w:rsidRDefault="00822744" w:rsidP="00524DBF">
            <w:pPr>
              <w:pStyle w:val="a7"/>
              <w:ind w:left="0"/>
              <w:rPr>
                <w:sz w:val="22"/>
              </w:rPr>
            </w:pPr>
            <w:r w:rsidRPr="002045F5">
              <w:rPr>
                <w:sz w:val="22"/>
              </w:rPr>
              <w:t xml:space="preserve"> -</w:t>
            </w:r>
            <w:proofErr w:type="spellStart"/>
            <w:r w:rsidRPr="002045F5">
              <w:rPr>
                <w:sz w:val="22"/>
              </w:rPr>
              <w:t>усунення</w:t>
            </w:r>
            <w:proofErr w:type="spellEnd"/>
            <w:r w:rsidRPr="002045F5">
              <w:rPr>
                <w:sz w:val="22"/>
              </w:rPr>
              <w:t xml:space="preserve"> </w:t>
            </w:r>
            <w:proofErr w:type="spellStart"/>
            <w:r w:rsidRPr="002045F5">
              <w:rPr>
                <w:sz w:val="22"/>
              </w:rPr>
              <w:t>недоліків</w:t>
            </w:r>
            <w:proofErr w:type="spellEnd"/>
            <w:r w:rsidRPr="002045F5">
              <w:rPr>
                <w:sz w:val="22"/>
              </w:rPr>
              <w:t xml:space="preserve">; </w:t>
            </w:r>
          </w:p>
          <w:p w:rsidR="00822744" w:rsidRPr="002045F5" w:rsidRDefault="00822744" w:rsidP="00524DBF">
            <w:pPr>
              <w:pStyle w:val="a7"/>
              <w:ind w:left="0"/>
              <w:rPr>
                <w:sz w:val="22"/>
              </w:rPr>
            </w:pPr>
            <w:r w:rsidRPr="002045F5">
              <w:rPr>
                <w:sz w:val="22"/>
              </w:rPr>
              <w:t>-</w:t>
            </w:r>
            <w:proofErr w:type="spellStart"/>
            <w:r w:rsidRPr="002045F5">
              <w:rPr>
                <w:sz w:val="22"/>
              </w:rPr>
              <w:t>отримання</w:t>
            </w:r>
            <w:proofErr w:type="spellEnd"/>
            <w:r w:rsidRPr="002045F5">
              <w:rPr>
                <w:sz w:val="22"/>
              </w:rPr>
              <w:t xml:space="preserve"> </w:t>
            </w:r>
            <w:proofErr w:type="spellStart"/>
            <w:r w:rsidRPr="002045F5">
              <w:rPr>
                <w:sz w:val="22"/>
              </w:rPr>
              <w:t>експертного</w:t>
            </w:r>
            <w:proofErr w:type="spellEnd"/>
            <w:r w:rsidRPr="002045F5">
              <w:rPr>
                <w:sz w:val="22"/>
              </w:rPr>
              <w:t xml:space="preserve"> </w:t>
            </w:r>
            <w:proofErr w:type="spellStart"/>
            <w:r w:rsidRPr="002045F5">
              <w:rPr>
                <w:sz w:val="22"/>
              </w:rPr>
              <w:t>звіту</w:t>
            </w:r>
            <w:proofErr w:type="spellEnd"/>
            <w:r w:rsidRPr="002045F5">
              <w:rPr>
                <w:sz w:val="22"/>
              </w:rPr>
              <w:t>.</w:t>
            </w:r>
          </w:p>
          <w:p w:rsidR="00822744" w:rsidRPr="002045F5" w:rsidRDefault="00822744" w:rsidP="00524DBF">
            <w:pPr>
              <w:pStyle w:val="a7"/>
              <w:ind w:left="0"/>
              <w:rPr>
                <w:sz w:val="22"/>
              </w:rPr>
            </w:pPr>
            <w:r w:rsidRPr="002045F5">
              <w:rPr>
                <w:sz w:val="22"/>
              </w:rPr>
              <w:t xml:space="preserve">ІІІ. </w:t>
            </w:r>
            <w:proofErr w:type="spellStart"/>
            <w:r w:rsidRPr="002045F5">
              <w:rPr>
                <w:sz w:val="22"/>
              </w:rPr>
              <w:t>Визначення</w:t>
            </w:r>
            <w:proofErr w:type="spellEnd"/>
            <w:r w:rsidRPr="002045F5">
              <w:rPr>
                <w:sz w:val="22"/>
              </w:rPr>
              <w:t xml:space="preserve"> </w:t>
            </w:r>
            <w:proofErr w:type="spellStart"/>
            <w:r w:rsidRPr="002045F5">
              <w:rPr>
                <w:sz w:val="22"/>
              </w:rPr>
              <w:t>будівельно-підрядної</w:t>
            </w:r>
            <w:proofErr w:type="spellEnd"/>
            <w:r w:rsidRPr="002045F5">
              <w:rPr>
                <w:sz w:val="22"/>
              </w:rPr>
              <w:t xml:space="preserve"> </w:t>
            </w:r>
            <w:proofErr w:type="spellStart"/>
            <w:r w:rsidRPr="002045F5">
              <w:rPr>
                <w:sz w:val="22"/>
              </w:rPr>
              <w:t>організації</w:t>
            </w:r>
            <w:proofErr w:type="spellEnd"/>
          </w:p>
          <w:p w:rsidR="00822744" w:rsidRPr="002045F5" w:rsidRDefault="00822744" w:rsidP="00524DBF">
            <w:pPr>
              <w:pStyle w:val="a7"/>
              <w:ind w:left="0"/>
              <w:rPr>
                <w:sz w:val="22"/>
              </w:rPr>
            </w:pPr>
            <w:r w:rsidRPr="002045F5">
              <w:rPr>
                <w:sz w:val="22"/>
              </w:rPr>
              <w:t>-</w:t>
            </w:r>
            <w:proofErr w:type="spellStart"/>
            <w:r w:rsidRPr="002045F5">
              <w:rPr>
                <w:sz w:val="22"/>
              </w:rPr>
              <w:t>укладання</w:t>
            </w:r>
            <w:proofErr w:type="spellEnd"/>
            <w:r w:rsidRPr="002045F5">
              <w:rPr>
                <w:sz w:val="22"/>
              </w:rPr>
              <w:t xml:space="preserve"> угоди </w:t>
            </w:r>
            <w:proofErr w:type="spellStart"/>
            <w:r w:rsidRPr="002045F5">
              <w:rPr>
                <w:sz w:val="22"/>
              </w:rPr>
              <w:t>із</w:t>
            </w:r>
            <w:proofErr w:type="spellEnd"/>
            <w:r w:rsidRPr="002045F5">
              <w:rPr>
                <w:sz w:val="22"/>
              </w:rPr>
              <w:t xml:space="preserve"> </w:t>
            </w:r>
            <w:proofErr w:type="spellStart"/>
            <w:r w:rsidRPr="002045F5">
              <w:rPr>
                <w:sz w:val="22"/>
              </w:rPr>
              <w:t>організацією-підрядником</w:t>
            </w:r>
            <w:proofErr w:type="spellEnd"/>
            <w:r w:rsidRPr="002045F5">
              <w:rPr>
                <w:sz w:val="22"/>
              </w:rPr>
              <w:t xml:space="preserve"> та </w:t>
            </w:r>
            <w:proofErr w:type="spellStart"/>
            <w:r w:rsidRPr="002045F5">
              <w:rPr>
                <w:sz w:val="22"/>
              </w:rPr>
              <w:t>проведення</w:t>
            </w:r>
            <w:proofErr w:type="spellEnd"/>
            <w:r w:rsidRPr="002045F5">
              <w:rPr>
                <w:sz w:val="22"/>
              </w:rPr>
              <w:t xml:space="preserve"> </w:t>
            </w:r>
            <w:proofErr w:type="spellStart"/>
            <w:r w:rsidRPr="002045F5">
              <w:rPr>
                <w:sz w:val="22"/>
              </w:rPr>
              <w:t>підготовчих</w:t>
            </w:r>
            <w:proofErr w:type="spellEnd"/>
            <w:r w:rsidRPr="002045F5">
              <w:rPr>
                <w:sz w:val="22"/>
              </w:rPr>
              <w:t xml:space="preserve"> </w:t>
            </w:r>
            <w:proofErr w:type="spellStart"/>
            <w:r w:rsidRPr="002045F5">
              <w:rPr>
                <w:sz w:val="22"/>
              </w:rPr>
              <w:t>заходів</w:t>
            </w:r>
            <w:proofErr w:type="spellEnd"/>
            <w:r w:rsidRPr="002045F5">
              <w:rPr>
                <w:sz w:val="22"/>
              </w:rPr>
              <w:t xml:space="preserve"> по </w:t>
            </w:r>
            <w:proofErr w:type="spellStart"/>
            <w:r w:rsidRPr="002045F5">
              <w:rPr>
                <w:sz w:val="22"/>
              </w:rPr>
              <w:t>виконанню</w:t>
            </w:r>
            <w:proofErr w:type="spellEnd"/>
            <w:r w:rsidRPr="002045F5">
              <w:rPr>
                <w:sz w:val="22"/>
              </w:rPr>
              <w:t xml:space="preserve"> </w:t>
            </w:r>
            <w:proofErr w:type="spellStart"/>
            <w:r w:rsidRPr="002045F5">
              <w:rPr>
                <w:sz w:val="22"/>
              </w:rPr>
              <w:t>будівельних</w:t>
            </w:r>
            <w:proofErr w:type="spellEnd"/>
            <w:r w:rsidRPr="002045F5">
              <w:rPr>
                <w:sz w:val="22"/>
              </w:rPr>
              <w:t xml:space="preserve"> </w:t>
            </w:r>
            <w:proofErr w:type="spellStart"/>
            <w:r w:rsidRPr="002045F5">
              <w:rPr>
                <w:sz w:val="22"/>
              </w:rPr>
              <w:t>робіт</w:t>
            </w:r>
            <w:proofErr w:type="spellEnd"/>
            <w:r w:rsidRPr="002045F5">
              <w:rPr>
                <w:sz w:val="22"/>
              </w:rPr>
              <w:t xml:space="preserve">. </w:t>
            </w:r>
          </w:p>
          <w:p w:rsidR="00822744" w:rsidRPr="002045F5" w:rsidRDefault="00822744" w:rsidP="00524DBF">
            <w:pPr>
              <w:pStyle w:val="a7"/>
              <w:ind w:left="0"/>
              <w:rPr>
                <w:rFonts w:eastAsia="san-serif"/>
                <w:color w:val="303030"/>
                <w:sz w:val="22"/>
              </w:rPr>
            </w:pPr>
            <w:r w:rsidRPr="002045F5">
              <w:rPr>
                <w:sz w:val="22"/>
                <w:lang w:val="en-US"/>
              </w:rPr>
              <w:t>IV</w:t>
            </w:r>
            <w:r w:rsidRPr="002045F5">
              <w:rPr>
                <w:sz w:val="22"/>
              </w:rPr>
              <w:t>.</w:t>
            </w:r>
            <w:proofErr w:type="spellStart"/>
            <w:r w:rsidRPr="002045F5">
              <w:rPr>
                <w:rFonts w:eastAsia="san-serif"/>
                <w:color w:val="303030"/>
                <w:sz w:val="22"/>
              </w:rPr>
              <w:t>Облаштування</w:t>
            </w:r>
            <w:proofErr w:type="spellEnd"/>
            <w:r w:rsidRPr="002045F5">
              <w:rPr>
                <w:rFonts w:eastAsia="san-serif"/>
                <w:color w:val="303030"/>
                <w:sz w:val="22"/>
              </w:rPr>
              <w:t xml:space="preserve"> </w:t>
            </w:r>
            <w:proofErr w:type="spellStart"/>
            <w:r w:rsidRPr="002045F5">
              <w:rPr>
                <w:rFonts w:eastAsia="san-serif"/>
                <w:color w:val="303030"/>
                <w:sz w:val="22"/>
              </w:rPr>
              <w:t>індивідуального</w:t>
            </w:r>
            <w:proofErr w:type="spellEnd"/>
            <w:r w:rsidRPr="002045F5">
              <w:rPr>
                <w:rFonts w:eastAsia="san-serif"/>
                <w:color w:val="303030"/>
                <w:sz w:val="22"/>
              </w:rPr>
              <w:t xml:space="preserve"> теплового пункту (ІТП):</w:t>
            </w:r>
            <w:r w:rsidRPr="002045F5">
              <w:rPr>
                <w:rFonts w:eastAsia="san-serif"/>
                <w:color w:val="303030"/>
                <w:sz w:val="22"/>
              </w:rPr>
              <w:br/>
              <w:t xml:space="preserve">- </w:t>
            </w:r>
            <w:proofErr w:type="spellStart"/>
            <w:r w:rsidRPr="002045F5">
              <w:rPr>
                <w:rFonts w:eastAsia="san-serif"/>
                <w:color w:val="303030"/>
                <w:sz w:val="22"/>
              </w:rPr>
              <w:t>промивка</w:t>
            </w:r>
            <w:proofErr w:type="spellEnd"/>
            <w:r w:rsidRPr="002045F5">
              <w:rPr>
                <w:rFonts w:eastAsia="san-serif"/>
                <w:color w:val="303030"/>
                <w:sz w:val="22"/>
              </w:rPr>
              <w:t xml:space="preserve"> </w:t>
            </w:r>
            <w:proofErr w:type="spellStart"/>
            <w:r w:rsidRPr="002045F5">
              <w:rPr>
                <w:rFonts w:eastAsia="san-serif"/>
                <w:color w:val="303030"/>
                <w:sz w:val="22"/>
              </w:rPr>
              <w:t>системи</w:t>
            </w:r>
            <w:proofErr w:type="spellEnd"/>
            <w:r w:rsidRPr="002045F5">
              <w:rPr>
                <w:rFonts w:eastAsia="san-serif"/>
                <w:color w:val="303030"/>
                <w:sz w:val="22"/>
              </w:rPr>
              <w:t xml:space="preserve"> </w:t>
            </w:r>
            <w:proofErr w:type="spellStart"/>
            <w:r w:rsidRPr="002045F5">
              <w:rPr>
                <w:rFonts w:eastAsia="san-serif"/>
                <w:color w:val="303030"/>
                <w:sz w:val="22"/>
              </w:rPr>
              <w:t>опалення</w:t>
            </w:r>
            <w:proofErr w:type="spellEnd"/>
            <w:r w:rsidRPr="002045F5">
              <w:rPr>
                <w:rFonts w:eastAsia="san-serif"/>
                <w:color w:val="303030"/>
                <w:sz w:val="22"/>
              </w:rPr>
              <w:t>;</w:t>
            </w:r>
          </w:p>
          <w:p w:rsidR="00822744" w:rsidRPr="002045F5" w:rsidRDefault="00822744" w:rsidP="00524DBF">
            <w:pPr>
              <w:pStyle w:val="a7"/>
              <w:ind w:left="0"/>
              <w:rPr>
                <w:rFonts w:eastAsia="san-serif"/>
                <w:color w:val="303030"/>
                <w:sz w:val="22"/>
              </w:rPr>
            </w:pPr>
            <w:r w:rsidRPr="002045F5">
              <w:rPr>
                <w:rFonts w:eastAsia="san-serif"/>
                <w:color w:val="303030"/>
                <w:sz w:val="22"/>
              </w:rPr>
              <w:t xml:space="preserve">- </w:t>
            </w:r>
            <w:proofErr w:type="spellStart"/>
            <w:r w:rsidRPr="002045F5">
              <w:rPr>
                <w:rFonts w:eastAsia="san-serif"/>
                <w:color w:val="303030"/>
                <w:sz w:val="22"/>
              </w:rPr>
              <w:t>встановлення</w:t>
            </w:r>
            <w:proofErr w:type="spellEnd"/>
            <w:r w:rsidRPr="002045F5">
              <w:rPr>
                <w:rFonts w:eastAsia="san-serif"/>
                <w:color w:val="303030"/>
                <w:sz w:val="22"/>
              </w:rPr>
              <w:t xml:space="preserve"> </w:t>
            </w:r>
            <w:proofErr w:type="spellStart"/>
            <w:r w:rsidRPr="002045F5">
              <w:rPr>
                <w:rFonts w:eastAsia="san-serif"/>
                <w:color w:val="303030"/>
                <w:sz w:val="22"/>
              </w:rPr>
              <w:t>тепловідбивних</w:t>
            </w:r>
            <w:proofErr w:type="spellEnd"/>
            <w:r w:rsidRPr="002045F5">
              <w:rPr>
                <w:rFonts w:eastAsia="san-serif"/>
                <w:color w:val="303030"/>
                <w:sz w:val="22"/>
              </w:rPr>
              <w:t xml:space="preserve"> </w:t>
            </w:r>
            <w:proofErr w:type="spellStart"/>
            <w:r w:rsidRPr="002045F5">
              <w:rPr>
                <w:rFonts w:eastAsia="san-serif"/>
                <w:color w:val="303030"/>
                <w:sz w:val="22"/>
              </w:rPr>
              <w:t>екранів</w:t>
            </w:r>
            <w:proofErr w:type="spellEnd"/>
            <w:r w:rsidRPr="002045F5">
              <w:rPr>
                <w:rFonts w:eastAsia="san-serif"/>
                <w:color w:val="303030"/>
                <w:sz w:val="22"/>
              </w:rPr>
              <w:t xml:space="preserve"> </w:t>
            </w:r>
            <w:proofErr w:type="spellStart"/>
            <w:r w:rsidRPr="002045F5">
              <w:rPr>
                <w:rFonts w:eastAsia="san-serif"/>
                <w:color w:val="303030"/>
                <w:sz w:val="22"/>
              </w:rPr>
              <w:t>між</w:t>
            </w:r>
            <w:proofErr w:type="spellEnd"/>
            <w:r w:rsidRPr="002045F5">
              <w:rPr>
                <w:rFonts w:eastAsia="san-serif"/>
                <w:color w:val="303030"/>
                <w:sz w:val="22"/>
              </w:rPr>
              <w:t xml:space="preserve"> </w:t>
            </w:r>
            <w:proofErr w:type="spellStart"/>
            <w:r w:rsidRPr="002045F5">
              <w:rPr>
                <w:rFonts w:eastAsia="san-serif"/>
                <w:color w:val="303030"/>
                <w:sz w:val="22"/>
              </w:rPr>
              <w:t>стінами</w:t>
            </w:r>
            <w:proofErr w:type="spellEnd"/>
            <w:r w:rsidRPr="002045F5">
              <w:rPr>
                <w:rFonts w:eastAsia="san-serif"/>
                <w:color w:val="303030"/>
                <w:sz w:val="22"/>
              </w:rPr>
              <w:t xml:space="preserve"> </w:t>
            </w:r>
            <w:proofErr w:type="spellStart"/>
            <w:r w:rsidRPr="002045F5">
              <w:rPr>
                <w:rFonts w:eastAsia="san-serif"/>
                <w:color w:val="303030"/>
                <w:sz w:val="22"/>
              </w:rPr>
              <w:t>приміщень</w:t>
            </w:r>
            <w:proofErr w:type="spellEnd"/>
            <w:r w:rsidRPr="002045F5">
              <w:rPr>
                <w:rFonts w:eastAsia="san-serif"/>
                <w:color w:val="303030"/>
                <w:sz w:val="22"/>
              </w:rPr>
              <w:t xml:space="preserve"> і </w:t>
            </w:r>
            <w:proofErr w:type="spellStart"/>
            <w:r w:rsidRPr="002045F5">
              <w:rPr>
                <w:rFonts w:eastAsia="san-serif"/>
                <w:color w:val="303030"/>
                <w:sz w:val="22"/>
              </w:rPr>
              <w:t>радіаторами</w:t>
            </w:r>
            <w:proofErr w:type="spellEnd"/>
            <w:r w:rsidRPr="002045F5">
              <w:rPr>
                <w:rFonts w:eastAsia="san-serif"/>
                <w:color w:val="303030"/>
                <w:sz w:val="22"/>
              </w:rPr>
              <w:t>;</w:t>
            </w:r>
          </w:p>
          <w:p w:rsidR="00822744" w:rsidRPr="002045F5" w:rsidRDefault="00822744" w:rsidP="00524DBF">
            <w:pPr>
              <w:rPr>
                <w:rFonts w:eastAsia="san-serif"/>
                <w:color w:val="303030"/>
                <w:sz w:val="22"/>
              </w:rPr>
            </w:pPr>
            <w:r w:rsidRPr="002045F5">
              <w:rPr>
                <w:rFonts w:eastAsia="san-serif"/>
                <w:color w:val="303030"/>
                <w:sz w:val="22"/>
              </w:rPr>
              <w:t xml:space="preserve">- </w:t>
            </w:r>
            <w:proofErr w:type="spellStart"/>
            <w:r w:rsidRPr="002045F5">
              <w:rPr>
                <w:rFonts w:eastAsia="san-serif"/>
                <w:color w:val="303030"/>
                <w:sz w:val="22"/>
              </w:rPr>
              <w:t>проведення</w:t>
            </w:r>
            <w:proofErr w:type="spellEnd"/>
            <w:r w:rsidRPr="002045F5">
              <w:rPr>
                <w:rFonts w:eastAsia="san-serif"/>
                <w:color w:val="303030"/>
                <w:sz w:val="22"/>
              </w:rPr>
              <w:t xml:space="preserve"> </w:t>
            </w:r>
            <w:proofErr w:type="spellStart"/>
            <w:r w:rsidRPr="002045F5">
              <w:rPr>
                <w:rFonts w:eastAsia="san-serif"/>
                <w:color w:val="303030"/>
                <w:sz w:val="22"/>
              </w:rPr>
              <w:t>робіт</w:t>
            </w:r>
            <w:proofErr w:type="spellEnd"/>
            <w:r w:rsidRPr="002045F5">
              <w:rPr>
                <w:rFonts w:eastAsia="san-serif"/>
                <w:color w:val="303030"/>
                <w:sz w:val="22"/>
              </w:rPr>
              <w:t xml:space="preserve"> з </w:t>
            </w:r>
            <w:proofErr w:type="spellStart"/>
            <w:r w:rsidRPr="002045F5">
              <w:rPr>
                <w:rFonts w:eastAsia="san-serif"/>
                <w:color w:val="303030"/>
                <w:sz w:val="22"/>
              </w:rPr>
              <w:t>термомодернізації</w:t>
            </w:r>
            <w:proofErr w:type="spellEnd"/>
            <w:r w:rsidRPr="002045F5">
              <w:rPr>
                <w:rFonts w:eastAsia="san-serif"/>
                <w:color w:val="303030"/>
                <w:sz w:val="22"/>
              </w:rPr>
              <w:t xml:space="preserve"> (</w:t>
            </w:r>
            <w:proofErr w:type="spellStart"/>
            <w:r w:rsidRPr="002045F5">
              <w:rPr>
                <w:rFonts w:eastAsia="san-serif"/>
                <w:color w:val="303030"/>
                <w:sz w:val="22"/>
              </w:rPr>
              <w:t>утеплення</w:t>
            </w:r>
            <w:proofErr w:type="spellEnd"/>
            <w:r w:rsidRPr="002045F5">
              <w:rPr>
                <w:rFonts w:eastAsia="san-serif"/>
                <w:color w:val="303030"/>
                <w:sz w:val="22"/>
              </w:rPr>
              <w:t xml:space="preserve"> </w:t>
            </w:r>
            <w:proofErr w:type="spellStart"/>
            <w:r w:rsidRPr="002045F5">
              <w:rPr>
                <w:rFonts w:eastAsia="san-serif"/>
                <w:color w:val="303030"/>
                <w:sz w:val="22"/>
              </w:rPr>
              <w:t>покрівлі</w:t>
            </w:r>
            <w:proofErr w:type="spellEnd"/>
            <w:r w:rsidRPr="002045F5">
              <w:rPr>
                <w:rFonts w:eastAsia="san-serif"/>
                <w:color w:val="303030"/>
                <w:sz w:val="22"/>
              </w:rPr>
              <w:t xml:space="preserve">, фасаду, </w:t>
            </w:r>
            <w:proofErr w:type="spellStart"/>
            <w:r w:rsidRPr="002045F5">
              <w:rPr>
                <w:rFonts w:eastAsia="san-serif"/>
                <w:color w:val="303030"/>
                <w:sz w:val="22"/>
              </w:rPr>
              <w:t>встановлення</w:t>
            </w:r>
            <w:proofErr w:type="spellEnd"/>
            <w:r w:rsidRPr="002045F5">
              <w:rPr>
                <w:rFonts w:eastAsia="san-serif"/>
                <w:color w:val="303030"/>
                <w:sz w:val="22"/>
              </w:rPr>
              <w:t xml:space="preserve"> </w:t>
            </w:r>
            <w:proofErr w:type="spellStart"/>
            <w:r w:rsidRPr="002045F5">
              <w:rPr>
                <w:rFonts w:eastAsia="san-serif"/>
                <w:color w:val="303030"/>
                <w:sz w:val="22"/>
              </w:rPr>
              <w:t>енергоефективних</w:t>
            </w:r>
            <w:proofErr w:type="spellEnd"/>
            <w:r w:rsidRPr="002045F5">
              <w:rPr>
                <w:rFonts w:eastAsia="san-serif"/>
                <w:color w:val="303030"/>
                <w:sz w:val="22"/>
              </w:rPr>
              <w:t xml:space="preserve"> </w:t>
            </w:r>
            <w:proofErr w:type="spellStart"/>
            <w:r w:rsidRPr="002045F5">
              <w:rPr>
                <w:rFonts w:eastAsia="san-serif"/>
                <w:color w:val="303030"/>
                <w:sz w:val="22"/>
              </w:rPr>
              <w:t>вікон</w:t>
            </w:r>
            <w:proofErr w:type="spellEnd"/>
            <w:r w:rsidRPr="002045F5">
              <w:rPr>
                <w:rFonts w:eastAsia="san-serif"/>
                <w:color w:val="303030"/>
                <w:sz w:val="22"/>
              </w:rPr>
              <w:t xml:space="preserve"> та дверей);</w:t>
            </w:r>
          </w:p>
          <w:p w:rsidR="00822744" w:rsidRPr="002045F5" w:rsidRDefault="00822744" w:rsidP="00524DBF">
            <w:pPr>
              <w:pStyle w:val="a7"/>
              <w:ind w:left="0"/>
              <w:rPr>
                <w:sz w:val="22"/>
              </w:rPr>
            </w:pPr>
            <w:r w:rsidRPr="002045F5">
              <w:rPr>
                <w:rFonts w:eastAsia="san-serif"/>
                <w:color w:val="303030"/>
                <w:sz w:val="22"/>
              </w:rPr>
              <w:t>-</w:t>
            </w:r>
            <w:proofErr w:type="spellStart"/>
            <w:r w:rsidRPr="002045F5">
              <w:rPr>
                <w:rFonts w:eastAsia="san-serif"/>
                <w:color w:val="303030"/>
                <w:sz w:val="22"/>
              </w:rPr>
              <w:t>в</w:t>
            </w:r>
            <w:r w:rsidRPr="002045F5">
              <w:rPr>
                <w:sz w:val="22"/>
              </w:rPr>
              <w:t>ведення</w:t>
            </w:r>
            <w:proofErr w:type="spellEnd"/>
            <w:r w:rsidRPr="002045F5">
              <w:rPr>
                <w:sz w:val="22"/>
              </w:rPr>
              <w:t xml:space="preserve"> </w:t>
            </w:r>
            <w:proofErr w:type="spellStart"/>
            <w:r w:rsidRPr="002045F5">
              <w:rPr>
                <w:sz w:val="22"/>
              </w:rPr>
              <w:t>об’єкту</w:t>
            </w:r>
            <w:proofErr w:type="spellEnd"/>
            <w:r w:rsidRPr="002045F5">
              <w:rPr>
                <w:sz w:val="22"/>
              </w:rPr>
              <w:t xml:space="preserve"> в </w:t>
            </w:r>
            <w:proofErr w:type="spellStart"/>
            <w:r w:rsidRPr="002045F5">
              <w:rPr>
                <w:sz w:val="22"/>
              </w:rPr>
              <w:t>експлуатацію</w:t>
            </w:r>
            <w:proofErr w:type="spellEnd"/>
            <w:r w:rsidRPr="002045F5">
              <w:rPr>
                <w:sz w:val="22"/>
              </w:rPr>
              <w:t>.</w:t>
            </w:r>
          </w:p>
          <w:p w:rsidR="00822744" w:rsidRPr="002045F5" w:rsidRDefault="00822744" w:rsidP="00524DBF">
            <w:pPr>
              <w:pStyle w:val="a7"/>
              <w:ind w:left="0"/>
              <w:rPr>
                <w:sz w:val="22"/>
              </w:rPr>
            </w:pPr>
            <w:r w:rsidRPr="002045F5">
              <w:rPr>
                <w:sz w:val="22"/>
                <w:lang w:val="en-US"/>
              </w:rPr>
              <w:t>V</w:t>
            </w:r>
            <w:r w:rsidRPr="002045F5">
              <w:rPr>
                <w:sz w:val="22"/>
              </w:rPr>
              <w:t xml:space="preserve">. </w:t>
            </w:r>
            <w:proofErr w:type="spellStart"/>
            <w:r w:rsidRPr="002045F5">
              <w:rPr>
                <w:sz w:val="22"/>
              </w:rPr>
              <w:t>Прозвітувати</w:t>
            </w:r>
            <w:proofErr w:type="spellEnd"/>
            <w:r w:rsidRPr="002045F5">
              <w:rPr>
                <w:sz w:val="22"/>
              </w:rPr>
              <w:t xml:space="preserve"> про </w:t>
            </w:r>
            <w:proofErr w:type="spellStart"/>
            <w:r w:rsidRPr="002045F5">
              <w:rPr>
                <w:sz w:val="22"/>
              </w:rPr>
              <w:t>реалізацію</w:t>
            </w:r>
            <w:proofErr w:type="spellEnd"/>
            <w:r w:rsidRPr="002045F5">
              <w:rPr>
                <w:sz w:val="22"/>
              </w:rPr>
              <w:t xml:space="preserve"> </w:t>
            </w:r>
            <w:proofErr w:type="spellStart"/>
            <w:r w:rsidRPr="002045F5">
              <w:rPr>
                <w:sz w:val="22"/>
              </w:rPr>
              <w:t>проєкту</w:t>
            </w:r>
            <w:proofErr w:type="spellEnd"/>
            <w:r w:rsidRPr="002045F5">
              <w:rPr>
                <w:sz w:val="22"/>
              </w:rPr>
              <w:t xml:space="preserve"> та </w:t>
            </w:r>
            <w:proofErr w:type="spellStart"/>
            <w:r w:rsidRPr="002045F5">
              <w:rPr>
                <w:sz w:val="22"/>
              </w:rPr>
              <w:t>досягнення</w:t>
            </w:r>
            <w:proofErr w:type="spellEnd"/>
            <w:r w:rsidRPr="002045F5">
              <w:rPr>
                <w:sz w:val="22"/>
              </w:rPr>
              <w:t xml:space="preserve"> </w:t>
            </w:r>
            <w:proofErr w:type="spellStart"/>
            <w:r w:rsidRPr="002045F5">
              <w:rPr>
                <w:sz w:val="22"/>
              </w:rPr>
              <w:t>його</w:t>
            </w:r>
            <w:proofErr w:type="spellEnd"/>
            <w:r w:rsidRPr="002045F5">
              <w:rPr>
                <w:sz w:val="22"/>
              </w:rPr>
              <w:t xml:space="preserve"> мети.</w:t>
            </w:r>
          </w:p>
        </w:tc>
      </w:tr>
      <w:tr w:rsidR="00822744" w:rsidRPr="002045F5" w:rsidTr="00670D96">
        <w:trPr>
          <w:trHeight w:val="360"/>
        </w:trPr>
        <w:tc>
          <w:tcPr>
            <w:tcW w:w="2836" w:type="dxa"/>
            <w:vMerge w:val="restart"/>
            <w:shd w:val="clear" w:color="auto" w:fill="C6D9F1" w:themeFill="text2" w:themeFillTint="33"/>
          </w:tcPr>
          <w:p w:rsidR="00822744" w:rsidRPr="002045F5" w:rsidRDefault="00822744" w:rsidP="00524DBF">
            <w:pPr>
              <w:pStyle w:val="a7"/>
              <w:ind w:left="0"/>
              <w:rPr>
                <w:b/>
                <w:sz w:val="22"/>
              </w:rPr>
            </w:pPr>
            <w:proofErr w:type="spellStart"/>
            <w:r w:rsidRPr="002045F5">
              <w:rPr>
                <w:b/>
                <w:sz w:val="22"/>
              </w:rPr>
              <w:lastRenderedPageBreak/>
              <w:t>Орієнтовний</w:t>
            </w:r>
            <w:proofErr w:type="spellEnd"/>
            <w:r w:rsidRPr="002045F5">
              <w:rPr>
                <w:b/>
                <w:sz w:val="22"/>
              </w:rPr>
              <w:t xml:space="preserve"> </w:t>
            </w:r>
            <w:proofErr w:type="spellStart"/>
            <w:r w:rsidRPr="002045F5">
              <w:rPr>
                <w:b/>
                <w:sz w:val="22"/>
              </w:rPr>
              <w:t>обсяг</w:t>
            </w:r>
            <w:proofErr w:type="spellEnd"/>
            <w:r w:rsidRPr="002045F5">
              <w:rPr>
                <w:b/>
                <w:sz w:val="22"/>
              </w:rPr>
              <w:t xml:space="preserve"> та </w:t>
            </w:r>
            <w:proofErr w:type="spellStart"/>
            <w:r w:rsidRPr="002045F5">
              <w:rPr>
                <w:b/>
                <w:sz w:val="22"/>
              </w:rPr>
              <w:t>джерела</w:t>
            </w:r>
            <w:proofErr w:type="spellEnd"/>
            <w:r w:rsidRPr="002045F5">
              <w:rPr>
                <w:b/>
                <w:sz w:val="22"/>
              </w:rPr>
              <w:t xml:space="preserve"> </w:t>
            </w:r>
            <w:proofErr w:type="spellStart"/>
            <w:r w:rsidRPr="002045F5">
              <w:rPr>
                <w:b/>
                <w:sz w:val="22"/>
              </w:rPr>
              <w:t>фінансування</w:t>
            </w:r>
            <w:proofErr w:type="spellEnd"/>
            <w:r w:rsidRPr="002045F5">
              <w:rPr>
                <w:b/>
                <w:sz w:val="22"/>
              </w:rPr>
              <w:t xml:space="preserve">, тис. грн. </w:t>
            </w:r>
          </w:p>
          <w:p w:rsidR="00822744" w:rsidRPr="002045F5" w:rsidRDefault="00822744" w:rsidP="00524DBF">
            <w:pPr>
              <w:pStyle w:val="a7"/>
              <w:ind w:left="0"/>
              <w:rPr>
                <w:b/>
                <w:sz w:val="22"/>
              </w:rPr>
            </w:pPr>
          </w:p>
        </w:tc>
        <w:tc>
          <w:tcPr>
            <w:tcW w:w="2016" w:type="dxa"/>
            <w:tcBorders>
              <w:bottom w:val="single" w:sz="4" w:space="0" w:color="auto"/>
              <w:right w:val="single" w:sz="4" w:space="0" w:color="auto"/>
            </w:tcBorders>
          </w:tcPr>
          <w:p w:rsidR="00822744" w:rsidRPr="002045F5" w:rsidRDefault="00822744" w:rsidP="00524DBF">
            <w:pPr>
              <w:pStyle w:val="a7"/>
              <w:ind w:left="0"/>
              <w:jc w:val="center"/>
              <w:rPr>
                <w:b/>
                <w:sz w:val="22"/>
              </w:rPr>
            </w:pPr>
            <w:proofErr w:type="spellStart"/>
            <w:r w:rsidRPr="002045F5">
              <w:rPr>
                <w:b/>
                <w:sz w:val="22"/>
              </w:rPr>
              <w:t>Державний</w:t>
            </w:r>
            <w:proofErr w:type="spellEnd"/>
            <w:r w:rsidRPr="002045F5">
              <w:rPr>
                <w:b/>
                <w:sz w:val="22"/>
              </w:rPr>
              <w:t xml:space="preserve"> бюджет</w:t>
            </w:r>
          </w:p>
        </w:tc>
        <w:tc>
          <w:tcPr>
            <w:tcW w:w="1375" w:type="dxa"/>
            <w:tcBorders>
              <w:bottom w:val="single" w:sz="4" w:space="0" w:color="auto"/>
              <w:right w:val="single" w:sz="4" w:space="0" w:color="auto"/>
            </w:tcBorders>
          </w:tcPr>
          <w:p w:rsidR="00822744" w:rsidRPr="002045F5" w:rsidRDefault="00822744" w:rsidP="00524DBF">
            <w:pPr>
              <w:pStyle w:val="a7"/>
              <w:ind w:left="0"/>
              <w:jc w:val="center"/>
              <w:rPr>
                <w:b/>
                <w:sz w:val="22"/>
              </w:rPr>
            </w:pPr>
            <w:proofErr w:type="spellStart"/>
            <w:r w:rsidRPr="002045F5">
              <w:rPr>
                <w:b/>
                <w:sz w:val="22"/>
              </w:rPr>
              <w:t>Місцевий</w:t>
            </w:r>
            <w:proofErr w:type="spellEnd"/>
            <w:r w:rsidRPr="002045F5">
              <w:rPr>
                <w:b/>
                <w:sz w:val="22"/>
              </w:rPr>
              <w:t xml:space="preserve"> бюджет</w:t>
            </w:r>
          </w:p>
        </w:tc>
        <w:tc>
          <w:tcPr>
            <w:tcW w:w="2331" w:type="dxa"/>
            <w:gridSpan w:val="3"/>
            <w:tcBorders>
              <w:left w:val="single" w:sz="4" w:space="0" w:color="auto"/>
              <w:bottom w:val="single" w:sz="4" w:space="0" w:color="auto"/>
              <w:right w:val="single" w:sz="4" w:space="0" w:color="auto"/>
            </w:tcBorders>
          </w:tcPr>
          <w:p w:rsidR="00822744" w:rsidRPr="002045F5" w:rsidRDefault="00822744" w:rsidP="00524DBF">
            <w:pPr>
              <w:pStyle w:val="a7"/>
              <w:ind w:left="0"/>
              <w:jc w:val="center"/>
              <w:rPr>
                <w:b/>
                <w:sz w:val="22"/>
              </w:rPr>
            </w:pPr>
            <w:proofErr w:type="spellStart"/>
            <w:r w:rsidRPr="002045F5">
              <w:rPr>
                <w:b/>
                <w:sz w:val="22"/>
              </w:rPr>
              <w:t>Інші</w:t>
            </w:r>
            <w:proofErr w:type="spellEnd"/>
            <w:r w:rsidRPr="002045F5">
              <w:rPr>
                <w:b/>
                <w:sz w:val="22"/>
              </w:rPr>
              <w:t xml:space="preserve"> </w:t>
            </w:r>
            <w:proofErr w:type="spellStart"/>
            <w:r w:rsidRPr="002045F5">
              <w:rPr>
                <w:b/>
                <w:sz w:val="22"/>
              </w:rPr>
              <w:t>джерела</w:t>
            </w:r>
            <w:proofErr w:type="spellEnd"/>
          </w:p>
        </w:tc>
        <w:tc>
          <w:tcPr>
            <w:tcW w:w="1365" w:type="dxa"/>
            <w:tcBorders>
              <w:left w:val="single" w:sz="4" w:space="0" w:color="auto"/>
              <w:bottom w:val="single" w:sz="4" w:space="0" w:color="auto"/>
            </w:tcBorders>
          </w:tcPr>
          <w:p w:rsidR="00822744" w:rsidRPr="002045F5" w:rsidRDefault="00822744" w:rsidP="00524DBF">
            <w:pPr>
              <w:pStyle w:val="a7"/>
              <w:ind w:left="0"/>
              <w:jc w:val="center"/>
              <w:rPr>
                <w:b/>
                <w:sz w:val="22"/>
              </w:rPr>
            </w:pPr>
            <w:proofErr w:type="spellStart"/>
            <w:r w:rsidRPr="002045F5">
              <w:rPr>
                <w:b/>
                <w:sz w:val="22"/>
              </w:rPr>
              <w:t>Всього</w:t>
            </w:r>
            <w:proofErr w:type="spellEnd"/>
          </w:p>
        </w:tc>
      </w:tr>
      <w:tr w:rsidR="00822744" w:rsidRPr="002045F5" w:rsidTr="00670D96">
        <w:trPr>
          <w:trHeight w:val="225"/>
        </w:trPr>
        <w:tc>
          <w:tcPr>
            <w:tcW w:w="2836" w:type="dxa"/>
            <w:vMerge/>
            <w:shd w:val="clear" w:color="auto" w:fill="C6D9F1" w:themeFill="text2" w:themeFillTint="33"/>
          </w:tcPr>
          <w:p w:rsidR="00822744" w:rsidRPr="002045F5" w:rsidRDefault="00822744" w:rsidP="00524DBF">
            <w:pPr>
              <w:pStyle w:val="a7"/>
              <w:ind w:left="0"/>
              <w:rPr>
                <w:b/>
                <w:sz w:val="22"/>
              </w:rPr>
            </w:pPr>
          </w:p>
        </w:tc>
        <w:tc>
          <w:tcPr>
            <w:tcW w:w="2016" w:type="dxa"/>
            <w:vMerge w:val="restart"/>
            <w:tcBorders>
              <w:top w:val="single" w:sz="4" w:space="0" w:color="auto"/>
              <w:right w:val="single" w:sz="4" w:space="0" w:color="auto"/>
            </w:tcBorders>
          </w:tcPr>
          <w:p w:rsidR="00822744" w:rsidRPr="002045F5" w:rsidRDefault="00822744" w:rsidP="00524DBF">
            <w:pPr>
              <w:pStyle w:val="a7"/>
              <w:ind w:left="0"/>
              <w:jc w:val="center"/>
              <w:rPr>
                <w:sz w:val="22"/>
              </w:rPr>
            </w:pPr>
            <w:r w:rsidRPr="002045F5">
              <w:rPr>
                <w:sz w:val="22"/>
              </w:rPr>
              <w:t>700,0</w:t>
            </w:r>
          </w:p>
        </w:tc>
        <w:tc>
          <w:tcPr>
            <w:tcW w:w="1375" w:type="dxa"/>
            <w:vMerge w:val="restart"/>
            <w:tcBorders>
              <w:top w:val="single" w:sz="4" w:space="0" w:color="auto"/>
              <w:right w:val="single" w:sz="4" w:space="0" w:color="auto"/>
            </w:tcBorders>
          </w:tcPr>
          <w:p w:rsidR="00822744" w:rsidRPr="002045F5" w:rsidRDefault="00822744" w:rsidP="00524DBF">
            <w:pPr>
              <w:pStyle w:val="a7"/>
              <w:ind w:left="0"/>
              <w:jc w:val="center"/>
              <w:rPr>
                <w:b/>
                <w:sz w:val="22"/>
              </w:rPr>
            </w:pPr>
            <w:r w:rsidRPr="002045F5">
              <w:rPr>
                <w:b/>
                <w:sz w:val="22"/>
              </w:rPr>
              <w:t>-</w:t>
            </w:r>
          </w:p>
        </w:tc>
        <w:tc>
          <w:tcPr>
            <w:tcW w:w="876" w:type="dxa"/>
            <w:gridSpan w:val="2"/>
            <w:tcBorders>
              <w:top w:val="single" w:sz="4" w:space="0" w:color="auto"/>
              <w:left w:val="single" w:sz="4" w:space="0" w:color="auto"/>
              <w:bottom w:val="single" w:sz="4" w:space="0" w:color="auto"/>
              <w:right w:val="single" w:sz="4" w:space="0" w:color="auto"/>
            </w:tcBorders>
          </w:tcPr>
          <w:p w:rsidR="00822744" w:rsidRPr="002045F5" w:rsidRDefault="00822744" w:rsidP="00524DBF">
            <w:pPr>
              <w:pStyle w:val="a7"/>
              <w:ind w:left="0"/>
              <w:jc w:val="center"/>
              <w:rPr>
                <w:b/>
                <w:sz w:val="22"/>
              </w:rPr>
            </w:pPr>
            <w:proofErr w:type="spellStart"/>
            <w:r w:rsidRPr="002045F5">
              <w:rPr>
                <w:b/>
                <w:sz w:val="22"/>
              </w:rPr>
              <w:t>Обсяг</w:t>
            </w:r>
            <w:proofErr w:type="spellEnd"/>
          </w:p>
        </w:tc>
        <w:tc>
          <w:tcPr>
            <w:tcW w:w="1455" w:type="dxa"/>
            <w:tcBorders>
              <w:top w:val="single" w:sz="4" w:space="0" w:color="auto"/>
              <w:left w:val="single" w:sz="4" w:space="0" w:color="auto"/>
              <w:bottom w:val="single" w:sz="4" w:space="0" w:color="auto"/>
              <w:right w:val="single" w:sz="4" w:space="0" w:color="auto"/>
            </w:tcBorders>
          </w:tcPr>
          <w:p w:rsidR="00822744" w:rsidRPr="002045F5" w:rsidRDefault="00822744" w:rsidP="00524DBF">
            <w:pPr>
              <w:pStyle w:val="a7"/>
              <w:ind w:left="0"/>
              <w:jc w:val="center"/>
              <w:rPr>
                <w:b/>
                <w:sz w:val="22"/>
              </w:rPr>
            </w:pPr>
            <w:proofErr w:type="spellStart"/>
            <w:r w:rsidRPr="002045F5">
              <w:rPr>
                <w:b/>
                <w:sz w:val="22"/>
              </w:rPr>
              <w:t>Назва</w:t>
            </w:r>
            <w:proofErr w:type="spellEnd"/>
            <w:r w:rsidRPr="002045F5">
              <w:rPr>
                <w:b/>
                <w:sz w:val="22"/>
              </w:rPr>
              <w:t xml:space="preserve"> </w:t>
            </w:r>
            <w:proofErr w:type="spellStart"/>
            <w:r w:rsidRPr="002045F5">
              <w:rPr>
                <w:b/>
                <w:sz w:val="22"/>
              </w:rPr>
              <w:t>джерела</w:t>
            </w:r>
            <w:proofErr w:type="spellEnd"/>
          </w:p>
        </w:tc>
        <w:tc>
          <w:tcPr>
            <w:tcW w:w="1365" w:type="dxa"/>
            <w:vMerge w:val="restart"/>
            <w:tcBorders>
              <w:top w:val="single" w:sz="4" w:space="0" w:color="auto"/>
              <w:left w:val="single" w:sz="4" w:space="0" w:color="auto"/>
            </w:tcBorders>
          </w:tcPr>
          <w:p w:rsidR="00822744" w:rsidRPr="002045F5" w:rsidRDefault="00822744" w:rsidP="00524DBF">
            <w:pPr>
              <w:pStyle w:val="a7"/>
              <w:ind w:left="0"/>
              <w:jc w:val="center"/>
              <w:rPr>
                <w:sz w:val="22"/>
              </w:rPr>
            </w:pPr>
            <w:r w:rsidRPr="002045F5">
              <w:rPr>
                <w:sz w:val="22"/>
              </w:rPr>
              <w:t>1000,0</w:t>
            </w:r>
          </w:p>
        </w:tc>
      </w:tr>
      <w:tr w:rsidR="00822744" w:rsidRPr="002045F5" w:rsidTr="00670D96">
        <w:trPr>
          <w:trHeight w:val="300"/>
        </w:trPr>
        <w:tc>
          <w:tcPr>
            <w:tcW w:w="2836" w:type="dxa"/>
            <w:vMerge/>
            <w:shd w:val="clear" w:color="auto" w:fill="C6D9F1" w:themeFill="text2" w:themeFillTint="33"/>
          </w:tcPr>
          <w:p w:rsidR="00822744" w:rsidRPr="002045F5" w:rsidRDefault="00822744" w:rsidP="00524DBF">
            <w:pPr>
              <w:pStyle w:val="a7"/>
              <w:ind w:left="0"/>
              <w:rPr>
                <w:b/>
                <w:sz w:val="22"/>
              </w:rPr>
            </w:pPr>
          </w:p>
        </w:tc>
        <w:tc>
          <w:tcPr>
            <w:tcW w:w="2016" w:type="dxa"/>
            <w:vMerge/>
            <w:tcBorders>
              <w:right w:val="single" w:sz="4" w:space="0" w:color="auto"/>
            </w:tcBorders>
          </w:tcPr>
          <w:p w:rsidR="00822744" w:rsidRPr="002045F5" w:rsidRDefault="00822744" w:rsidP="00524DBF">
            <w:pPr>
              <w:pStyle w:val="a7"/>
              <w:ind w:left="0"/>
              <w:jc w:val="center"/>
              <w:rPr>
                <w:sz w:val="22"/>
              </w:rPr>
            </w:pPr>
          </w:p>
        </w:tc>
        <w:tc>
          <w:tcPr>
            <w:tcW w:w="1375" w:type="dxa"/>
            <w:vMerge/>
            <w:tcBorders>
              <w:right w:val="single" w:sz="4" w:space="0" w:color="auto"/>
            </w:tcBorders>
          </w:tcPr>
          <w:p w:rsidR="00822744" w:rsidRPr="002045F5" w:rsidRDefault="00822744" w:rsidP="00524DBF">
            <w:pPr>
              <w:pStyle w:val="a7"/>
              <w:ind w:left="0"/>
              <w:jc w:val="center"/>
              <w:rPr>
                <w:b/>
                <w:sz w:val="22"/>
              </w:rPr>
            </w:pPr>
          </w:p>
        </w:tc>
        <w:tc>
          <w:tcPr>
            <w:tcW w:w="876" w:type="dxa"/>
            <w:gridSpan w:val="2"/>
            <w:tcBorders>
              <w:top w:val="single" w:sz="4" w:space="0" w:color="auto"/>
              <w:left w:val="single" w:sz="4" w:space="0" w:color="auto"/>
              <w:right w:val="single" w:sz="4" w:space="0" w:color="auto"/>
            </w:tcBorders>
          </w:tcPr>
          <w:p w:rsidR="00822744" w:rsidRPr="002045F5" w:rsidRDefault="00822744" w:rsidP="00524DBF">
            <w:pPr>
              <w:pStyle w:val="a7"/>
              <w:ind w:left="0"/>
              <w:jc w:val="center"/>
              <w:rPr>
                <w:b/>
                <w:sz w:val="22"/>
              </w:rPr>
            </w:pPr>
            <w:r w:rsidRPr="002045F5">
              <w:rPr>
                <w:sz w:val="22"/>
              </w:rPr>
              <w:t>300,0</w:t>
            </w:r>
          </w:p>
        </w:tc>
        <w:tc>
          <w:tcPr>
            <w:tcW w:w="1455" w:type="dxa"/>
            <w:tcBorders>
              <w:top w:val="single" w:sz="4" w:space="0" w:color="auto"/>
              <w:left w:val="single" w:sz="4" w:space="0" w:color="auto"/>
              <w:right w:val="single" w:sz="4" w:space="0" w:color="auto"/>
            </w:tcBorders>
          </w:tcPr>
          <w:p w:rsidR="00822744" w:rsidRPr="002045F5" w:rsidRDefault="00822744" w:rsidP="00524DBF">
            <w:pPr>
              <w:pStyle w:val="a7"/>
              <w:ind w:left="0"/>
              <w:jc w:val="center"/>
              <w:rPr>
                <w:sz w:val="22"/>
              </w:rPr>
            </w:pPr>
            <w:proofErr w:type="spellStart"/>
            <w:r w:rsidRPr="002045F5">
              <w:rPr>
                <w:sz w:val="22"/>
              </w:rPr>
              <w:t>Міжнародні</w:t>
            </w:r>
            <w:proofErr w:type="spellEnd"/>
            <w:r w:rsidRPr="002045F5">
              <w:rPr>
                <w:sz w:val="22"/>
              </w:rPr>
              <w:t xml:space="preserve"> </w:t>
            </w:r>
            <w:proofErr w:type="spellStart"/>
            <w:r w:rsidRPr="002045F5">
              <w:rPr>
                <w:sz w:val="22"/>
              </w:rPr>
              <w:t>інвестиції</w:t>
            </w:r>
            <w:proofErr w:type="spellEnd"/>
            <w:r w:rsidRPr="002045F5">
              <w:rPr>
                <w:sz w:val="22"/>
              </w:rPr>
              <w:t xml:space="preserve">, </w:t>
            </w:r>
            <w:proofErr w:type="spellStart"/>
            <w:r w:rsidRPr="002045F5">
              <w:rPr>
                <w:sz w:val="22"/>
              </w:rPr>
              <w:t>кошти</w:t>
            </w:r>
            <w:proofErr w:type="spellEnd"/>
            <w:r w:rsidRPr="002045F5">
              <w:rPr>
                <w:sz w:val="22"/>
              </w:rPr>
              <w:t xml:space="preserve"> </w:t>
            </w:r>
            <w:proofErr w:type="spellStart"/>
            <w:r w:rsidRPr="002045F5">
              <w:rPr>
                <w:sz w:val="22"/>
              </w:rPr>
              <w:t>приватних</w:t>
            </w:r>
            <w:proofErr w:type="spellEnd"/>
            <w:r w:rsidRPr="002045F5">
              <w:rPr>
                <w:sz w:val="22"/>
              </w:rPr>
              <w:t xml:space="preserve"> </w:t>
            </w:r>
            <w:proofErr w:type="spellStart"/>
            <w:r w:rsidRPr="002045F5">
              <w:rPr>
                <w:sz w:val="22"/>
              </w:rPr>
              <w:t>осіб</w:t>
            </w:r>
            <w:proofErr w:type="spellEnd"/>
          </w:p>
        </w:tc>
        <w:tc>
          <w:tcPr>
            <w:tcW w:w="1365" w:type="dxa"/>
            <w:vMerge/>
            <w:tcBorders>
              <w:left w:val="single" w:sz="4" w:space="0" w:color="auto"/>
            </w:tcBorders>
          </w:tcPr>
          <w:p w:rsidR="00822744" w:rsidRPr="002045F5" w:rsidRDefault="00822744" w:rsidP="00524DBF">
            <w:pPr>
              <w:pStyle w:val="a7"/>
              <w:ind w:left="0"/>
              <w:jc w:val="center"/>
              <w:rPr>
                <w:sz w:val="22"/>
              </w:rPr>
            </w:pPr>
          </w:p>
        </w:tc>
      </w:tr>
    </w:tbl>
    <w:p w:rsidR="00822744" w:rsidRPr="002045F5" w:rsidRDefault="00822744" w:rsidP="00E95FB1">
      <w:pPr>
        <w:rPr>
          <w:sz w:val="22"/>
        </w:rPr>
      </w:pPr>
    </w:p>
    <w:tbl>
      <w:tblPr>
        <w:tblStyle w:val="af"/>
        <w:tblW w:w="0" w:type="auto"/>
        <w:tblInd w:w="-176" w:type="dxa"/>
        <w:tblLook w:val="04A0" w:firstRow="1" w:lastRow="0" w:firstColumn="1" w:lastColumn="0" w:noHBand="0" w:noVBand="1"/>
      </w:tblPr>
      <w:tblGrid>
        <w:gridCol w:w="2722"/>
        <w:gridCol w:w="1819"/>
        <w:gridCol w:w="1288"/>
        <w:gridCol w:w="562"/>
        <w:gridCol w:w="302"/>
        <w:gridCol w:w="1473"/>
        <w:gridCol w:w="358"/>
        <w:gridCol w:w="1138"/>
      </w:tblGrid>
      <w:tr w:rsidR="00D65CFC" w:rsidRPr="002045F5" w:rsidTr="00524DBF">
        <w:tc>
          <w:tcPr>
            <w:tcW w:w="2836" w:type="dxa"/>
            <w:shd w:val="clear" w:color="auto" w:fill="C6D9F1" w:themeFill="text2" w:themeFillTint="33"/>
          </w:tcPr>
          <w:p w:rsidR="00D65CFC" w:rsidRPr="002045F5" w:rsidRDefault="00D65CFC" w:rsidP="00524DBF">
            <w:pPr>
              <w:pStyle w:val="a7"/>
              <w:ind w:left="0"/>
              <w:rPr>
                <w:b/>
                <w:color w:val="FF0000"/>
                <w:sz w:val="22"/>
              </w:rPr>
            </w:pPr>
            <w:r w:rsidRPr="002045F5">
              <w:rPr>
                <w:b/>
                <w:sz w:val="22"/>
              </w:rPr>
              <w:t xml:space="preserve">Оперативна </w:t>
            </w:r>
            <w:proofErr w:type="spellStart"/>
            <w:r w:rsidRPr="002045F5">
              <w:rPr>
                <w:b/>
                <w:sz w:val="22"/>
              </w:rPr>
              <w:t>ціль</w:t>
            </w:r>
            <w:proofErr w:type="spellEnd"/>
            <w:r w:rsidRPr="002045F5">
              <w:rPr>
                <w:b/>
                <w:sz w:val="22"/>
              </w:rPr>
              <w:t>/</w:t>
            </w:r>
            <w:proofErr w:type="spellStart"/>
            <w:r w:rsidRPr="002045F5">
              <w:rPr>
                <w:b/>
                <w:sz w:val="22"/>
              </w:rPr>
              <w:t>завдання</w:t>
            </w:r>
            <w:proofErr w:type="spellEnd"/>
          </w:p>
        </w:tc>
        <w:tc>
          <w:tcPr>
            <w:tcW w:w="7052" w:type="dxa"/>
            <w:gridSpan w:val="7"/>
            <w:shd w:val="clear" w:color="auto" w:fill="auto"/>
          </w:tcPr>
          <w:p w:rsidR="00D65CFC" w:rsidRPr="002045F5" w:rsidRDefault="00D65CFC" w:rsidP="00524DBF">
            <w:pPr>
              <w:pStyle w:val="a7"/>
              <w:ind w:left="0"/>
              <w:rPr>
                <w:color w:val="FF0000"/>
                <w:sz w:val="22"/>
              </w:rPr>
            </w:pPr>
            <w:proofErr w:type="spellStart"/>
            <w:r w:rsidRPr="002045F5">
              <w:rPr>
                <w:sz w:val="22"/>
              </w:rPr>
              <w:t>Людський</w:t>
            </w:r>
            <w:proofErr w:type="spellEnd"/>
            <w:r w:rsidRPr="002045F5">
              <w:rPr>
                <w:sz w:val="22"/>
              </w:rPr>
              <w:t xml:space="preserve"> </w:t>
            </w:r>
            <w:proofErr w:type="spellStart"/>
            <w:r w:rsidRPr="002045F5">
              <w:rPr>
                <w:sz w:val="22"/>
              </w:rPr>
              <w:t>розвиток</w:t>
            </w:r>
            <w:proofErr w:type="spellEnd"/>
            <w:r w:rsidRPr="002045F5">
              <w:rPr>
                <w:sz w:val="22"/>
              </w:rPr>
              <w:t xml:space="preserve"> через </w:t>
            </w:r>
            <w:proofErr w:type="spellStart"/>
            <w:r w:rsidRPr="002045F5">
              <w:rPr>
                <w:sz w:val="22"/>
              </w:rPr>
              <w:t>інновації</w:t>
            </w:r>
            <w:proofErr w:type="spellEnd"/>
            <w:r w:rsidRPr="002045F5">
              <w:rPr>
                <w:sz w:val="22"/>
              </w:rPr>
              <w:t xml:space="preserve"> </w:t>
            </w:r>
            <w:proofErr w:type="spellStart"/>
            <w:r w:rsidRPr="002045F5">
              <w:rPr>
                <w:sz w:val="22"/>
              </w:rPr>
              <w:t>управління</w:t>
            </w:r>
            <w:proofErr w:type="spellEnd"/>
            <w:r w:rsidRPr="002045F5">
              <w:rPr>
                <w:sz w:val="22"/>
              </w:rPr>
              <w:t xml:space="preserve"> та </w:t>
            </w:r>
            <w:proofErr w:type="spellStart"/>
            <w:r w:rsidRPr="002045F5">
              <w:rPr>
                <w:sz w:val="22"/>
              </w:rPr>
              <w:t>довіру</w:t>
            </w:r>
            <w:proofErr w:type="spellEnd"/>
            <w:r w:rsidRPr="002045F5">
              <w:rPr>
                <w:sz w:val="22"/>
              </w:rPr>
              <w:t xml:space="preserve"> до </w:t>
            </w:r>
            <w:proofErr w:type="spellStart"/>
            <w:r w:rsidRPr="002045F5">
              <w:rPr>
                <w:sz w:val="22"/>
              </w:rPr>
              <w:t>влади</w:t>
            </w:r>
            <w:proofErr w:type="spellEnd"/>
            <w:r w:rsidRPr="002045F5">
              <w:rPr>
                <w:sz w:val="22"/>
              </w:rPr>
              <w:t xml:space="preserve">. </w:t>
            </w:r>
            <w:proofErr w:type="spellStart"/>
            <w:r w:rsidRPr="002045F5">
              <w:rPr>
                <w:sz w:val="22"/>
              </w:rPr>
              <w:t>Формування</w:t>
            </w:r>
            <w:proofErr w:type="spellEnd"/>
            <w:r w:rsidRPr="002045F5">
              <w:rPr>
                <w:sz w:val="22"/>
              </w:rPr>
              <w:t xml:space="preserve"> </w:t>
            </w:r>
            <w:proofErr w:type="spellStart"/>
            <w:r w:rsidRPr="002045F5">
              <w:rPr>
                <w:sz w:val="22"/>
              </w:rPr>
              <w:t>сучасного</w:t>
            </w:r>
            <w:proofErr w:type="spellEnd"/>
            <w:r w:rsidRPr="002045F5">
              <w:rPr>
                <w:sz w:val="22"/>
              </w:rPr>
              <w:t xml:space="preserve"> </w:t>
            </w:r>
            <w:proofErr w:type="spellStart"/>
            <w:r w:rsidRPr="002045F5">
              <w:rPr>
                <w:sz w:val="22"/>
              </w:rPr>
              <w:t>інклюзивного</w:t>
            </w:r>
            <w:proofErr w:type="spellEnd"/>
            <w:r w:rsidRPr="002045F5">
              <w:rPr>
                <w:sz w:val="22"/>
              </w:rPr>
              <w:t xml:space="preserve"> </w:t>
            </w:r>
            <w:proofErr w:type="spellStart"/>
            <w:r w:rsidRPr="002045F5">
              <w:rPr>
                <w:sz w:val="22"/>
              </w:rPr>
              <w:t>освітньо</w:t>
            </w:r>
            <w:proofErr w:type="spellEnd"/>
            <w:r w:rsidRPr="002045F5">
              <w:rPr>
                <w:sz w:val="22"/>
              </w:rPr>
              <w:t xml:space="preserve">-культурного та спортивного простору для </w:t>
            </w:r>
            <w:proofErr w:type="spellStart"/>
            <w:r w:rsidRPr="002045F5">
              <w:rPr>
                <w:sz w:val="22"/>
              </w:rPr>
              <w:t>розвитку</w:t>
            </w:r>
            <w:proofErr w:type="spellEnd"/>
            <w:r w:rsidRPr="002045F5">
              <w:rPr>
                <w:sz w:val="22"/>
              </w:rPr>
              <w:t>.</w:t>
            </w:r>
          </w:p>
        </w:tc>
      </w:tr>
      <w:tr w:rsidR="00D65CFC" w:rsidRPr="002045F5" w:rsidTr="00524DBF">
        <w:tc>
          <w:tcPr>
            <w:tcW w:w="2836" w:type="dxa"/>
            <w:shd w:val="clear" w:color="auto" w:fill="C6D9F1" w:themeFill="text2" w:themeFillTint="33"/>
          </w:tcPr>
          <w:p w:rsidR="00D65CFC" w:rsidRPr="002045F5" w:rsidRDefault="00D65CFC" w:rsidP="00524DBF">
            <w:pPr>
              <w:pStyle w:val="a7"/>
              <w:ind w:left="0"/>
              <w:rPr>
                <w:b/>
                <w:sz w:val="22"/>
              </w:rPr>
            </w:pPr>
            <w:proofErr w:type="spellStart"/>
            <w:r w:rsidRPr="002045F5">
              <w:rPr>
                <w:b/>
                <w:sz w:val="22"/>
              </w:rPr>
              <w:t>Назва</w:t>
            </w:r>
            <w:proofErr w:type="spellEnd"/>
            <w:r w:rsidRPr="002045F5">
              <w:rPr>
                <w:b/>
                <w:sz w:val="22"/>
              </w:rPr>
              <w:t xml:space="preserve"> </w:t>
            </w:r>
            <w:proofErr w:type="spellStart"/>
            <w:r w:rsidRPr="002045F5">
              <w:rPr>
                <w:b/>
                <w:sz w:val="22"/>
              </w:rPr>
              <w:t>проєкту</w:t>
            </w:r>
            <w:proofErr w:type="spellEnd"/>
            <w:r w:rsidRPr="002045F5">
              <w:rPr>
                <w:b/>
                <w:sz w:val="22"/>
              </w:rPr>
              <w:t>:</w:t>
            </w:r>
          </w:p>
        </w:tc>
        <w:tc>
          <w:tcPr>
            <w:tcW w:w="7052" w:type="dxa"/>
            <w:gridSpan w:val="7"/>
          </w:tcPr>
          <w:p w:rsidR="00D65CFC" w:rsidRPr="002045F5" w:rsidRDefault="00D65CFC" w:rsidP="00524DBF">
            <w:pPr>
              <w:pStyle w:val="a7"/>
              <w:ind w:left="0"/>
              <w:rPr>
                <w:sz w:val="22"/>
              </w:rPr>
            </w:pPr>
            <w:proofErr w:type="spellStart"/>
            <w:r w:rsidRPr="002045F5">
              <w:rPr>
                <w:color w:val="000000"/>
                <w:sz w:val="22"/>
              </w:rPr>
              <w:t>Сучасний</w:t>
            </w:r>
            <w:proofErr w:type="spellEnd"/>
            <w:r w:rsidRPr="002045F5">
              <w:rPr>
                <w:color w:val="000000"/>
                <w:sz w:val="22"/>
              </w:rPr>
              <w:t xml:space="preserve"> </w:t>
            </w:r>
            <w:proofErr w:type="spellStart"/>
            <w:r w:rsidRPr="002045F5">
              <w:rPr>
                <w:color w:val="000000"/>
                <w:sz w:val="22"/>
              </w:rPr>
              <w:t>спортивний</w:t>
            </w:r>
            <w:proofErr w:type="spellEnd"/>
            <w:r w:rsidRPr="002045F5">
              <w:rPr>
                <w:color w:val="000000"/>
                <w:sz w:val="22"/>
              </w:rPr>
              <w:t xml:space="preserve"> </w:t>
            </w:r>
            <w:proofErr w:type="spellStart"/>
            <w:r w:rsidRPr="002045F5">
              <w:rPr>
                <w:color w:val="000000"/>
                <w:sz w:val="22"/>
              </w:rPr>
              <w:t>майданчик</w:t>
            </w:r>
            <w:proofErr w:type="spellEnd"/>
            <w:r w:rsidRPr="002045F5">
              <w:rPr>
                <w:color w:val="000000"/>
                <w:sz w:val="22"/>
              </w:rPr>
              <w:t xml:space="preserve"> у </w:t>
            </w:r>
            <w:proofErr w:type="spellStart"/>
            <w:r w:rsidRPr="002045F5">
              <w:rPr>
                <w:color w:val="000000"/>
                <w:sz w:val="22"/>
              </w:rPr>
              <w:t>Гімназії</w:t>
            </w:r>
            <w:proofErr w:type="spellEnd"/>
            <w:r w:rsidRPr="002045F5">
              <w:rPr>
                <w:color w:val="000000"/>
                <w:sz w:val="22"/>
              </w:rPr>
              <w:t xml:space="preserve"> №</w:t>
            </w:r>
            <w:proofErr w:type="gramStart"/>
            <w:r w:rsidRPr="002045F5">
              <w:rPr>
                <w:color w:val="000000"/>
                <w:sz w:val="22"/>
              </w:rPr>
              <w:t xml:space="preserve">11  </w:t>
            </w:r>
            <w:proofErr w:type="spellStart"/>
            <w:r w:rsidRPr="002045F5">
              <w:rPr>
                <w:color w:val="000000"/>
                <w:sz w:val="22"/>
              </w:rPr>
              <w:t>міста</w:t>
            </w:r>
            <w:proofErr w:type="spellEnd"/>
            <w:proofErr w:type="gramEnd"/>
            <w:r w:rsidRPr="002045F5">
              <w:rPr>
                <w:color w:val="000000"/>
                <w:sz w:val="22"/>
              </w:rPr>
              <w:t xml:space="preserve"> </w:t>
            </w:r>
            <w:proofErr w:type="spellStart"/>
            <w:r w:rsidRPr="002045F5">
              <w:rPr>
                <w:color w:val="000000"/>
                <w:sz w:val="22"/>
              </w:rPr>
              <w:t>Сєвєродонецька</w:t>
            </w:r>
            <w:proofErr w:type="spellEnd"/>
            <w:r w:rsidRPr="002045F5">
              <w:rPr>
                <w:color w:val="000000"/>
                <w:sz w:val="22"/>
              </w:rPr>
              <w:t xml:space="preserve"> </w:t>
            </w:r>
            <w:proofErr w:type="spellStart"/>
            <w:r w:rsidRPr="002045F5">
              <w:rPr>
                <w:color w:val="000000"/>
                <w:sz w:val="22"/>
              </w:rPr>
              <w:t>Луганської</w:t>
            </w:r>
            <w:proofErr w:type="spellEnd"/>
            <w:r w:rsidRPr="002045F5">
              <w:rPr>
                <w:color w:val="000000"/>
                <w:sz w:val="22"/>
              </w:rPr>
              <w:t xml:space="preserve"> </w:t>
            </w:r>
            <w:proofErr w:type="spellStart"/>
            <w:r w:rsidRPr="002045F5">
              <w:rPr>
                <w:color w:val="000000"/>
                <w:sz w:val="22"/>
              </w:rPr>
              <w:t>області</w:t>
            </w:r>
            <w:proofErr w:type="spellEnd"/>
            <w:r w:rsidRPr="002045F5">
              <w:rPr>
                <w:color w:val="000000"/>
                <w:sz w:val="22"/>
              </w:rPr>
              <w:t xml:space="preserve">  «За </w:t>
            </w:r>
            <w:proofErr w:type="spellStart"/>
            <w:r w:rsidRPr="002045F5">
              <w:rPr>
                <w:color w:val="000000"/>
                <w:sz w:val="22"/>
              </w:rPr>
              <w:t>здорове</w:t>
            </w:r>
            <w:proofErr w:type="spellEnd"/>
            <w:r w:rsidRPr="002045F5">
              <w:rPr>
                <w:color w:val="000000"/>
                <w:sz w:val="22"/>
              </w:rPr>
              <w:t xml:space="preserve"> </w:t>
            </w:r>
            <w:proofErr w:type="spellStart"/>
            <w:r w:rsidRPr="002045F5">
              <w:rPr>
                <w:color w:val="000000"/>
                <w:sz w:val="22"/>
              </w:rPr>
              <w:t>майбутнє</w:t>
            </w:r>
            <w:proofErr w:type="spellEnd"/>
            <w:r w:rsidRPr="002045F5">
              <w:rPr>
                <w:color w:val="000000"/>
                <w:sz w:val="22"/>
              </w:rPr>
              <w:t xml:space="preserve">», проспект </w:t>
            </w:r>
            <w:proofErr w:type="spellStart"/>
            <w:r w:rsidRPr="002045F5">
              <w:rPr>
                <w:color w:val="000000"/>
                <w:sz w:val="22"/>
              </w:rPr>
              <w:t>Гвардійський</w:t>
            </w:r>
            <w:proofErr w:type="spellEnd"/>
            <w:r w:rsidRPr="002045F5">
              <w:rPr>
                <w:color w:val="000000"/>
                <w:sz w:val="22"/>
              </w:rPr>
              <w:t xml:space="preserve">, </w:t>
            </w:r>
            <w:proofErr w:type="spellStart"/>
            <w:r w:rsidRPr="002045F5">
              <w:rPr>
                <w:color w:val="000000"/>
                <w:sz w:val="22"/>
              </w:rPr>
              <w:t>будинок</w:t>
            </w:r>
            <w:proofErr w:type="spellEnd"/>
            <w:r w:rsidRPr="002045F5">
              <w:rPr>
                <w:color w:val="000000"/>
                <w:sz w:val="22"/>
              </w:rPr>
              <w:t xml:space="preserve"> 25</w:t>
            </w:r>
          </w:p>
        </w:tc>
      </w:tr>
      <w:tr w:rsidR="00D65CFC" w:rsidRPr="002045F5" w:rsidTr="00524DBF">
        <w:tc>
          <w:tcPr>
            <w:tcW w:w="2836" w:type="dxa"/>
            <w:shd w:val="clear" w:color="auto" w:fill="C6D9F1" w:themeFill="text2" w:themeFillTint="33"/>
          </w:tcPr>
          <w:p w:rsidR="00D65CFC" w:rsidRPr="002045F5" w:rsidRDefault="00D65CFC" w:rsidP="00524DBF">
            <w:pPr>
              <w:rPr>
                <w:b/>
                <w:sz w:val="22"/>
              </w:rPr>
            </w:pPr>
            <w:proofErr w:type="spellStart"/>
            <w:r w:rsidRPr="002045F5">
              <w:rPr>
                <w:b/>
                <w:sz w:val="22"/>
              </w:rPr>
              <w:t>Ціль</w:t>
            </w:r>
            <w:proofErr w:type="spellEnd"/>
            <w:r w:rsidRPr="002045F5">
              <w:rPr>
                <w:b/>
                <w:sz w:val="22"/>
              </w:rPr>
              <w:t xml:space="preserve"> </w:t>
            </w:r>
            <w:proofErr w:type="spellStart"/>
            <w:r w:rsidRPr="002045F5">
              <w:rPr>
                <w:b/>
                <w:sz w:val="22"/>
              </w:rPr>
              <w:t>проєкту</w:t>
            </w:r>
            <w:proofErr w:type="spellEnd"/>
          </w:p>
        </w:tc>
        <w:tc>
          <w:tcPr>
            <w:tcW w:w="7052" w:type="dxa"/>
            <w:gridSpan w:val="7"/>
          </w:tcPr>
          <w:p w:rsidR="00D65CFC" w:rsidRPr="002045F5" w:rsidRDefault="00D65CFC" w:rsidP="00524DBF">
            <w:pPr>
              <w:pStyle w:val="a7"/>
              <w:ind w:left="0"/>
              <w:rPr>
                <w:sz w:val="22"/>
              </w:rPr>
            </w:pPr>
            <w:proofErr w:type="spellStart"/>
            <w:r w:rsidRPr="002045F5">
              <w:rPr>
                <w:sz w:val="22"/>
              </w:rPr>
              <w:t>Відновити</w:t>
            </w:r>
            <w:proofErr w:type="spellEnd"/>
            <w:r w:rsidRPr="002045F5">
              <w:rPr>
                <w:sz w:val="22"/>
              </w:rPr>
              <w:t xml:space="preserve"> та </w:t>
            </w:r>
            <w:proofErr w:type="spellStart"/>
            <w:r w:rsidRPr="002045F5">
              <w:rPr>
                <w:sz w:val="22"/>
              </w:rPr>
              <w:t>покращити</w:t>
            </w:r>
            <w:proofErr w:type="spellEnd"/>
            <w:r w:rsidRPr="002045F5">
              <w:rPr>
                <w:sz w:val="22"/>
              </w:rPr>
              <w:t xml:space="preserve"> роботу </w:t>
            </w:r>
            <w:proofErr w:type="spellStart"/>
            <w:r w:rsidRPr="002045F5">
              <w:rPr>
                <w:sz w:val="22"/>
              </w:rPr>
              <w:t>освітнього</w:t>
            </w:r>
            <w:proofErr w:type="spellEnd"/>
            <w:r w:rsidRPr="002045F5">
              <w:rPr>
                <w:sz w:val="22"/>
              </w:rPr>
              <w:t xml:space="preserve"> закладу для </w:t>
            </w:r>
            <w:proofErr w:type="spellStart"/>
            <w:r w:rsidRPr="002045F5">
              <w:rPr>
                <w:sz w:val="22"/>
              </w:rPr>
              <w:t>надання</w:t>
            </w:r>
            <w:proofErr w:type="spellEnd"/>
            <w:r w:rsidRPr="002045F5">
              <w:rPr>
                <w:sz w:val="22"/>
              </w:rPr>
              <w:t xml:space="preserve"> широкого спектру </w:t>
            </w:r>
            <w:proofErr w:type="spellStart"/>
            <w:r w:rsidRPr="002045F5">
              <w:rPr>
                <w:sz w:val="22"/>
              </w:rPr>
              <w:t>послуг</w:t>
            </w:r>
            <w:proofErr w:type="spellEnd"/>
            <w:r w:rsidRPr="002045F5">
              <w:rPr>
                <w:sz w:val="22"/>
              </w:rPr>
              <w:t xml:space="preserve">, </w:t>
            </w:r>
            <w:proofErr w:type="spellStart"/>
            <w:r w:rsidRPr="002045F5">
              <w:rPr>
                <w:sz w:val="22"/>
              </w:rPr>
              <w:t>пов’язаних</w:t>
            </w:r>
            <w:proofErr w:type="spellEnd"/>
            <w:r w:rsidRPr="002045F5">
              <w:rPr>
                <w:sz w:val="22"/>
              </w:rPr>
              <w:t xml:space="preserve"> </w:t>
            </w:r>
            <w:proofErr w:type="spellStart"/>
            <w:proofErr w:type="gramStart"/>
            <w:r w:rsidRPr="002045F5">
              <w:rPr>
                <w:sz w:val="22"/>
              </w:rPr>
              <w:t>із</w:t>
            </w:r>
            <w:proofErr w:type="spellEnd"/>
            <w:r w:rsidRPr="002045F5">
              <w:rPr>
                <w:sz w:val="22"/>
              </w:rPr>
              <w:t xml:space="preserve">  </w:t>
            </w:r>
            <w:proofErr w:type="spellStart"/>
            <w:r w:rsidRPr="002045F5">
              <w:rPr>
                <w:sz w:val="22"/>
              </w:rPr>
              <w:t>освітою</w:t>
            </w:r>
            <w:proofErr w:type="spellEnd"/>
            <w:proofErr w:type="gramEnd"/>
            <w:r w:rsidRPr="002045F5">
              <w:rPr>
                <w:sz w:val="22"/>
              </w:rPr>
              <w:t xml:space="preserve"> та </w:t>
            </w:r>
            <w:proofErr w:type="spellStart"/>
            <w:r w:rsidRPr="002045F5">
              <w:rPr>
                <w:sz w:val="22"/>
              </w:rPr>
              <w:t>задоволення</w:t>
            </w:r>
            <w:r w:rsidR="00854670" w:rsidRPr="002045F5">
              <w:rPr>
                <w:sz w:val="22"/>
              </w:rPr>
              <w:t>м</w:t>
            </w:r>
            <w:proofErr w:type="spellEnd"/>
            <w:r w:rsidRPr="002045F5">
              <w:rPr>
                <w:sz w:val="22"/>
              </w:rPr>
              <w:t xml:space="preserve"> потреб </w:t>
            </w:r>
            <w:proofErr w:type="spellStart"/>
            <w:r w:rsidRPr="002045F5">
              <w:rPr>
                <w:sz w:val="22"/>
              </w:rPr>
              <w:t>мешканців</w:t>
            </w:r>
            <w:proofErr w:type="spellEnd"/>
            <w:r w:rsidRPr="002045F5">
              <w:rPr>
                <w:sz w:val="22"/>
              </w:rPr>
              <w:t xml:space="preserve"> </w:t>
            </w:r>
            <w:proofErr w:type="spellStart"/>
            <w:r w:rsidRPr="002045F5">
              <w:rPr>
                <w:sz w:val="22"/>
              </w:rPr>
              <w:t>Сєвєродонецької</w:t>
            </w:r>
            <w:proofErr w:type="spellEnd"/>
            <w:r w:rsidRPr="002045F5">
              <w:rPr>
                <w:sz w:val="22"/>
              </w:rPr>
              <w:t xml:space="preserve"> </w:t>
            </w:r>
            <w:proofErr w:type="spellStart"/>
            <w:r w:rsidRPr="002045F5">
              <w:rPr>
                <w:sz w:val="22"/>
              </w:rPr>
              <w:t>міської</w:t>
            </w:r>
            <w:proofErr w:type="spellEnd"/>
            <w:r w:rsidRPr="002045F5">
              <w:rPr>
                <w:sz w:val="22"/>
              </w:rPr>
              <w:t xml:space="preserve"> </w:t>
            </w:r>
            <w:proofErr w:type="spellStart"/>
            <w:r w:rsidRPr="002045F5">
              <w:rPr>
                <w:sz w:val="22"/>
              </w:rPr>
              <w:t>територіальної</w:t>
            </w:r>
            <w:proofErr w:type="spellEnd"/>
            <w:r w:rsidRPr="002045F5">
              <w:rPr>
                <w:sz w:val="22"/>
              </w:rPr>
              <w:t xml:space="preserve"> </w:t>
            </w:r>
            <w:proofErr w:type="spellStart"/>
            <w:r w:rsidRPr="002045F5">
              <w:rPr>
                <w:sz w:val="22"/>
              </w:rPr>
              <w:t>громади</w:t>
            </w:r>
            <w:proofErr w:type="spellEnd"/>
            <w:r w:rsidRPr="002045F5">
              <w:rPr>
                <w:sz w:val="22"/>
              </w:rPr>
              <w:t xml:space="preserve"> в </w:t>
            </w:r>
            <w:proofErr w:type="spellStart"/>
            <w:r w:rsidRPr="002045F5">
              <w:rPr>
                <w:sz w:val="22"/>
              </w:rPr>
              <w:t>необхідних</w:t>
            </w:r>
            <w:proofErr w:type="spellEnd"/>
            <w:r w:rsidRPr="002045F5">
              <w:rPr>
                <w:sz w:val="22"/>
              </w:rPr>
              <w:t xml:space="preserve"> </w:t>
            </w:r>
            <w:proofErr w:type="spellStart"/>
            <w:r w:rsidRPr="002045F5">
              <w:rPr>
                <w:sz w:val="22"/>
              </w:rPr>
              <w:t>послугах</w:t>
            </w:r>
            <w:proofErr w:type="spellEnd"/>
            <w:r w:rsidRPr="002045F5">
              <w:rPr>
                <w:sz w:val="22"/>
              </w:rPr>
              <w:t xml:space="preserve">. </w:t>
            </w:r>
            <w:r w:rsidRPr="002045F5">
              <w:rPr>
                <w:color w:val="000000"/>
                <w:sz w:val="22"/>
              </w:rPr>
              <w:t xml:space="preserve">Основною метою </w:t>
            </w:r>
            <w:proofErr w:type="spellStart"/>
            <w:r w:rsidRPr="002045F5">
              <w:rPr>
                <w:color w:val="000000"/>
                <w:sz w:val="22"/>
              </w:rPr>
              <w:t>проєкту</w:t>
            </w:r>
            <w:proofErr w:type="spellEnd"/>
            <w:r w:rsidRPr="002045F5">
              <w:rPr>
                <w:color w:val="000000"/>
                <w:sz w:val="22"/>
              </w:rPr>
              <w:t xml:space="preserve"> є </w:t>
            </w:r>
            <w:proofErr w:type="spellStart"/>
            <w:r w:rsidRPr="002045F5">
              <w:rPr>
                <w:color w:val="000000"/>
                <w:sz w:val="22"/>
              </w:rPr>
              <w:t>будівництво</w:t>
            </w:r>
            <w:proofErr w:type="spellEnd"/>
            <w:r w:rsidRPr="002045F5">
              <w:rPr>
                <w:color w:val="000000"/>
                <w:sz w:val="22"/>
              </w:rPr>
              <w:t xml:space="preserve"> </w:t>
            </w:r>
            <w:proofErr w:type="spellStart"/>
            <w:r w:rsidRPr="002045F5">
              <w:rPr>
                <w:color w:val="000000"/>
                <w:sz w:val="22"/>
              </w:rPr>
              <w:t>сучасного</w:t>
            </w:r>
            <w:proofErr w:type="spellEnd"/>
            <w:r w:rsidRPr="002045F5">
              <w:rPr>
                <w:color w:val="000000"/>
                <w:sz w:val="22"/>
              </w:rPr>
              <w:t xml:space="preserve"> </w:t>
            </w:r>
            <w:proofErr w:type="spellStart"/>
            <w:r w:rsidRPr="002045F5">
              <w:rPr>
                <w:color w:val="000000"/>
                <w:sz w:val="22"/>
              </w:rPr>
              <w:t>мультифункціонального</w:t>
            </w:r>
            <w:proofErr w:type="spellEnd"/>
            <w:r w:rsidRPr="002045F5">
              <w:rPr>
                <w:color w:val="000000"/>
                <w:sz w:val="22"/>
              </w:rPr>
              <w:t xml:space="preserve"> спортивного </w:t>
            </w:r>
            <w:proofErr w:type="spellStart"/>
            <w:r w:rsidRPr="002045F5">
              <w:rPr>
                <w:color w:val="000000"/>
                <w:sz w:val="22"/>
              </w:rPr>
              <w:t>майданчика</w:t>
            </w:r>
            <w:proofErr w:type="spellEnd"/>
            <w:r w:rsidRPr="002045F5">
              <w:rPr>
                <w:color w:val="000000"/>
                <w:sz w:val="22"/>
              </w:rPr>
              <w:t xml:space="preserve">. </w:t>
            </w:r>
            <w:proofErr w:type="spellStart"/>
            <w:r w:rsidRPr="002045F5">
              <w:rPr>
                <w:color w:val="000000"/>
                <w:sz w:val="22"/>
              </w:rPr>
              <w:t>Він</w:t>
            </w:r>
            <w:proofErr w:type="spellEnd"/>
            <w:r w:rsidRPr="002045F5">
              <w:rPr>
                <w:color w:val="000000"/>
                <w:sz w:val="22"/>
              </w:rPr>
              <w:t xml:space="preserve"> </w:t>
            </w:r>
            <w:proofErr w:type="spellStart"/>
            <w:r w:rsidRPr="002045F5">
              <w:rPr>
                <w:color w:val="000000"/>
                <w:sz w:val="22"/>
              </w:rPr>
              <w:t>необхідний</w:t>
            </w:r>
            <w:proofErr w:type="spellEnd"/>
            <w:r w:rsidRPr="002045F5">
              <w:rPr>
                <w:color w:val="000000"/>
                <w:sz w:val="22"/>
              </w:rPr>
              <w:t xml:space="preserve"> для того, </w:t>
            </w:r>
            <w:proofErr w:type="spellStart"/>
            <w:r w:rsidRPr="002045F5">
              <w:rPr>
                <w:color w:val="000000"/>
                <w:sz w:val="22"/>
              </w:rPr>
              <w:t>щоб</w:t>
            </w:r>
            <w:proofErr w:type="spellEnd"/>
            <w:r w:rsidRPr="002045F5">
              <w:rPr>
                <w:color w:val="000000"/>
                <w:sz w:val="22"/>
              </w:rPr>
              <w:t xml:space="preserve"> </w:t>
            </w:r>
            <w:proofErr w:type="spellStart"/>
            <w:r w:rsidRPr="002045F5">
              <w:rPr>
                <w:color w:val="000000"/>
                <w:sz w:val="22"/>
              </w:rPr>
              <w:t>заохотити</w:t>
            </w:r>
            <w:proofErr w:type="spellEnd"/>
            <w:r w:rsidRPr="002045F5">
              <w:rPr>
                <w:color w:val="000000"/>
                <w:sz w:val="22"/>
              </w:rPr>
              <w:t xml:space="preserve"> </w:t>
            </w:r>
            <w:proofErr w:type="spellStart"/>
            <w:r w:rsidRPr="002045F5">
              <w:rPr>
                <w:color w:val="000000"/>
                <w:sz w:val="22"/>
              </w:rPr>
              <w:t>мешканців</w:t>
            </w:r>
            <w:proofErr w:type="spellEnd"/>
            <w:r w:rsidRPr="002045F5">
              <w:rPr>
                <w:color w:val="000000"/>
                <w:sz w:val="22"/>
              </w:rPr>
              <w:t xml:space="preserve"> </w:t>
            </w:r>
            <w:proofErr w:type="spellStart"/>
            <w:r w:rsidRPr="002045F5">
              <w:rPr>
                <w:color w:val="000000"/>
                <w:sz w:val="22"/>
              </w:rPr>
              <w:t>мікрорайону</w:t>
            </w:r>
            <w:proofErr w:type="spellEnd"/>
            <w:r w:rsidRPr="002045F5">
              <w:rPr>
                <w:color w:val="000000"/>
                <w:sz w:val="22"/>
              </w:rPr>
              <w:t xml:space="preserve"> до занять </w:t>
            </w:r>
            <w:proofErr w:type="spellStart"/>
            <w:r w:rsidRPr="002045F5">
              <w:rPr>
                <w:color w:val="000000"/>
                <w:sz w:val="22"/>
              </w:rPr>
              <w:t>фізкультурою</w:t>
            </w:r>
            <w:proofErr w:type="spellEnd"/>
            <w:r w:rsidRPr="002045F5">
              <w:rPr>
                <w:color w:val="000000"/>
                <w:sz w:val="22"/>
              </w:rPr>
              <w:t xml:space="preserve">, </w:t>
            </w:r>
            <w:proofErr w:type="spellStart"/>
            <w:r w:rsidRPr="002045F5">
              <w:rPr>
                <w:color w:val="000000"/>
                <w:sz w:val="22"/>
              </w:rPr>
              <w:t>щоб</w:t>
            </w:r>
            <w:proofErr w:type="spellEnd"/>
            <w:r w:rsidRPr="002045F5">
              <w:rPr>
                <w:color w:val="000000"/>
                <w:sz w:val="22"/>
              </w:rPr>
              <w:t xml:space="preserve"> </w:t>
            </w:r>
            <w:proofErr w:type="spellStart"/>
            <w:r w:rsidRPr="002045F5">
              <w:rPr>
                <w:color w:val="000000"/>
                <w:sz w:val="22"/>
              </w:rPr>
              <w:t>діти</w:t>
            </w:r>
            <w:proofErr w:type="spellEnd"/>
            <w:r w:rsidRPr="002045F5">
              <w:rPr>
                <w:color w:val="000000"/>
                <w:sz w:val="22"/>
              </w:rPr>
              <w:t xml:space="preserve"> </w:t>
            </w:r>
            <w:proofErr w:type="spellStart"/>
            <w:r w:rsidRPr="002045F5">
              <w:rPr>
                <w:color w:val="000000"/>
                <w:sz w:val="22"/>
              </w:rPr>
              <w:t>із</w:t>
            </w:r>
            <w:proofErr w:type="spellEnd"/>
            <w:r w:rsidRPr="002045F5">
              <w:rPr>
                <w:color w:val="000000"/>
                <w:sz w:val="22"/>
              </w:rPr>
              <w:t xml:space="preserve"> </w:t>
            </w:r>
            <w:proofErr w:type="spellStart"/>
            <w:r w:rsidRPr="002045F5">
              <w:rPr>
                <w:color w:val="000000"/>
                <w:sz w:val="22"/>
              </w:rPr>
              <w:t>задоволенням</w:t>
            </w:r>
            <w:proofErr w:type="spellEnd"/>
            <w:r w:rsidRPr="002045F5">
              <w:rPr>
                <w:color w:val="000000"/>
                <w:sz w:val="22"/>
              </w:rPr>
              <w:t xml:space="preserve"> </w:t>
            </w:r>
            <w:proofErr w:type="spellStart"/>
            <w:r w:rsidRPr="002045F5">
              <w:rPr>
                <w:color w:val="000000"/>
                <w:sz w:val="22"/>
              </w:rPr>
              <w:t>займалися</w:t>
            </w:r>
            <w:proofErr w:type="spellEnd"/>
            <w:r w:rsidRPr="002045F5">
              <w:rPr>
                <w:color w:val="000000"/>
                <w:sz w:val="22"/>
              </w:rPr>
              <w:t xml:space="preserve"> спортом, </w:t>
            </w:r>
            <w:proofErr w:type="spellStart"/>
            <w:r w:rsidRPr="002045F5">
              <w:rPr>
                <w:color w:val="000000"/>
                <w:sz w:val="22"/>
              </w:rPr>
              <w:t>підвищували</w:t>
            </w:r>
            <w:proofErr w:type="spellEnd"/>
            <w:r w:rsidRPr="002045F5">
              <w:rPr>
                <w:color w:val="000000"/>
                <w:sz w:val="22"/>
              </w:rPr>
              <w:t xml:space="preserve"> </w:t>
            </w:r>
            <w:proofErr w:type="spellStart"/>
            <w:r w:rsidRPr="002045F5">
              <w:rPr>
                <w:color w:val="000000"/>
                <w:sz w:val="22"/>
              </w:rPr>
              <w:t>рівень</w:t>
            </w:r>
            <w:proofErr w:type="spellEnd"/>
            <w:r w:rsidRPr="002045F5">
              <w:rPr>
                <w:color w:val="000000"/>
                <w:sz w:val="22"/>
              </w:rPr>
              <w:t xml:space="preserve"> </w:t>
            </w:r>
            <w:proofErr w:type="spellStart"/>
            <w:r w:rsidRPr="002045F5">
              <w:rPr>
                <w:color w:val="000000"/>
                <w:sz w:val="22"/>
              </w:rPr>
              <w:t>фізичної</w:t>
            </w:r>
            <w:proofErr w:type="spellEnd"/>
            <w:r w:rsidRPr="002045F5">
              <w:rPr>
                <w:color w:val="000000"/>
                <w:sz w:val="22"/>
              </w:rPr>
              <w:t xml:space="preserve"> </w:t>
            </w:r>
            <w:proofErr w:type="spellStart"/>
            <w:r w:rsidRPr="002045F5">
              <w:rPr>
                <w:color w:val="000000"/>
                <w:sz w:val="22"/>
              </w:rPr>
              <w:t>підготовки</w:t>
            </w:r>
            <w:proofErr w:type="spellEnd"/>
            <w:r w:rsidRPr="002045F5">
              <w:rPr>
                <w:color w:val="000000"/>
                <w:sz w:val="22"/>
              </w:rPr>
              <w:t xml:space="preserve">. Установка </w:t>
            </w:r>
            <w:proofErr w:type="spellStart"/>
            <w:r w:rsidRPr="002045F5">
              <w:rPr>
                <w:color w:val="000000"/>
                <w:sz w:val="22"/>
              </w:rPr>
              <w:t>майданчика</w:t>
            </w:r>
            <w:proofErr w:type="spellEnd"/>
            <w:r w:rsidRPr="002045F5">
              <w:rPr>
                <w:color w:val="000000"/>
                <w:sz w:val="22"/>
              </w:rPr>
              <w:t xml:space="preserve"> </w:t>
            </w:r>
            <w:proofErr w:type="spellStart"/>
            <w:r w:rsidRPr="002045F5">
              <w:rPr>
                <w:color w:val="000000"/>
                <w:sz w:val="22"/>
              </w:rPr>
              <w:t>вирішить</w:t>
            </w:r>
            <w:proofErr w:type="spellEnd"/>
            <w:r w:rsidRPr="002045F5">
              <w:rPr>
                <w:color w:val="000000"/>
                <w:sz w:val="22"/>
              </w:rPr>
              <w:t xml:space="preserve"> проблему </w:t>
            </w:r>
            <w:proofErr w:type="spellStart"/>
            <w:r w:rsidRPr="002045F5">
              <w:rPr>
                <w:color w:val="000000"/>
                <w:sz w:val="22"/>
              </w:rPr>
              <w:t>незайнятості</w:t>
            </w:r>
            <w:proofErr w:type="spellEnd"/>
            <w:r w:rsidRPr="002045F5">
              <w:rPr>
                <w:color w:val="000000"/>
                <w:sz w:val="22"/>
              </w:rPr>
              <w:t xml:space="preserve"> </w:t>
            </w:r>
            <w:proofErr w:type="spellStart"/>
            <w:r w:rsidRPr="002045F5">
              <w:rPr>
                <w:color w:val="000000"/>
                <w:sz w:val="22"/>
              </w:rPr>
              <w:t>учнів</w:t>
            </w:r>
            <w:proofErr w:type="spellEnd"/>
            <w:r w:rsidRPr="002045F5">
              <w:rPr>
                <w:color w:val="000000"/>
                <w:sz w:val="22"/>
              </w:rPr>
              <w:t xml:space="preserve"> та </w:t>
            </w:r>
            <w:proofErr w:type="spellStart"/>
            <w:r w:rsidRPr="002045F5">
              <w:rPr>
                <w:color w:val="000000"/>
                <w:sz w:val="22"/>
              </w:rPr>
              <w:t>молоді</w:t>
            </w:r>
            <w:proofErr w:type="spellEnd"/>
            <w:r w:rsidRPr="002045F5">
              <w:rPr>
                <w:color w:val="000000"/>
                <w:sz w:val="22"/>
              </w:rPr>
              <w:t xml:space="preserve"> в </w:t>
            </w:r>
            <w:proofErr w:type="spellStart"/>
            <w:r w:rsidRPr="002045F5">
              <w:rPr>
                <w:color w:val="000000"/>
                <w:sz w:val="22"/>
              </w:rPr>
              <w:t>позаурочний</w:t>
            </w:r>
            <w:proofErr w:type="spellEnd"/>
            <w:r w:rsidRPr="002045F5">
              <w:rPr>
                <w:color w:val="000000"/>
                <w:sz w:val="22"/>
              </w:rPr>
              <w:t xml:space="preserve"> час та </w:t>
            </w:r>
            <w:proofErr w:type="spellStart"/>
            <w:r w:rsidRPr="002045F5">
              <w:rPr>
                <w:color w:val="000000"/>
                <w:sz w:val="22"/>
              </w:rPr>
              <w:t>канікулярний</w:t>
            </w:r>
            <w:proofErr w:type="spellEnd"/>
            <w:r w:rsidRPr="002045F5">
              <w:rPr>
                <w:color w:val="000000"/>
                <w:sz w:val="22"/>
              </w:rPr>
              <w:t xml:space="preserve"> </w:t>
            </w:r>
            <w:proofErr w:type="spellStart"/>
            <w:r w:rsidRPr="002045F5">
              <w:rPr>
                <w:color w:val="000000"/>
                <w:sz w:val="22"/>
              </w:rPr>
              <w:t>період</w:t>
            </w:r>
            <w:proofErr w:type="spellEnd"/>
            <w:r w:rsidRPr="002045F5">
              <w:rPr>
                <w:color w:val="000000"/>
                <w:sz w:val="22"/>
              </w:rPr>
              <w:t>.</w:t>
            </w:r>
          </w:p>
        </w:tc>
      </w:tr>
      <w:tr w:rsidR="00D65CFC" w:rsidRPr="002045F5" w:rsidTr="00524DBF">
        <w:tc>
          <w:tcPr>
            <w:tcW w:w="2836" w:type="dxa"/>
            <w:shd w:val="clear" w:color="auto" w:fill="C6D9F1" w:themeFill="text2" w:themeFillTint="33"/>
          </w:tcPr>
          <w:p w:rsidR="00D65CFC" w:rsidRPr="002045F5" w:rsidRDefault="00D65CFC" w:rsidP="00524DBF">
            <w:pPr>
              <w:pStyle w:val="a7"/>
              <w:ind w:left="0"/>
              <w:rPr>
                <w:b/>
                <w:sz w:val="22"/>
              </w:rPr>
            </w:pPr>
            <w:proofErr w:type="spellStart"/>
            <w:r w:rsidRPr="002045F5">
              <w:rPr>
                <w:b/>
                <w:sz w:val="22"/>
              </w:rPr>
              <w:t>Територія</w:t>
            </w:r>
            <w:proofErr w:type="spellEnd"/>
            <w:r w:rsidRPr="002045F5">
              <w:rPr>
                <w:b/>
                <w:sz w:val="22"/>
              </w:rPr>
              <w:t xml:space="preserve">, </w:t>
            </w:r>
            <w:proofErr w:type="gramStart"/>
            <w:r w:rsidRPr="002045F5">
              <w:rPr>
                <w:b/>
                <w:sz w:val="22"/>
              </w:rPr>
              <w:t>на яку</w:t>
            </w:r>
            <w:proofErr w:type="gramEnd"/>
            <w:r w:rsidRPr="002045F5">
              <w:rPr>
                <w:b/>
                <w:sz w:val="22"/>
              </w:rPr>
              <w:t xml:space="preserve"> </w:t>
            </w:r>
            <w:proofErr w:type="spellStart"/>
            <w:r w:rsidRPr="002045F5">
              <w:rPr>
                <w:b/>
                <w:sz w:val="22"/>
              </w:rPr>
              <w:t>матиме</w:t>
            </w:r>
            <w:proofErr w:type="spellEnd"/>
            <w:r w:rsidRPr="002045F5">
              <w:rPr>
                <w:b/>
                <w:sz w:val="22"/>
              </w:rPr>
              <w:t xml:space="preserve"> </w:t>
            </w:r>
            <w:proofErr w:type="spellStart"/>
            <w:r w:rsidRPr="002045F5">
              <w:rPr>
                <w:b/>
                <w:sz w:val="22"/>
              </w:rPr>
              <w:t>вплив</w:t>
            </w:r>
            <w:proofErr w:type="spellEnd"/>
            <w:r w:rsidRPr="002045F5">
              <w:rPr>
                <w:b/>
                <w:sz w:val="22"/>
              </w:rPr>
              <w:t xml:space="preserve"> </w:t>
            </w:r>
            <w:proofErr w:type="spellStart"/>
            <w:r w:rsidRPr="002045F5">
              <w:rPr>
                <w:b/>
                <w:sz w:val="22"/>
              </w:rPr>
              <w:t>реалізація</w:t>
            </w:r>
            <w:proofErr w:type="spellEnd"/>
            <w:r w:rsidRPr="002045F5">
              <w:rPr>
                <w:b/>
                <w:sz w:val="22"/>
              </w:rPr>
              <w:t xml:space="preserve"> </w:t>
            </w:r>
            <w:proofErr w:type="spellStart"/>
            <w:r w:rsidRPr="002045F5">
              <w:rPr>
                <w:b/>
                <w:sz w:val="22"/>
              </w:rPr>
              <w:t>проєкту</w:t>
            </w:r>
            <w:proofErr w:type="spellEnd"/>
          </w:p>
        </w:tc>
        <w:tc>
          <w:tcPr>
            <w:tcW w:w="7052" w:type="dxa"/>
            <w:gridSpan w:val="7"/>
          </w:tcPr>
          <w:p w:rsidR="00D65CFC" w:rsidRPr="002045F5" w:rsidRDefault="00D65CFC" w:rsidP="00524DBF">
            <w:pPr>
              <w:pStyle w:val="a7"/>
              <w:ind w:left="0"/>
              <w:rPr>
                <w:sz w:val="22"/>
              </w:rPr>
            </w:pPr>
            <w:proofErr w:type="spellStart"/>
            <w:r w:rsidRPr="002045F5">
              <w:rPr>
                <w:sz w:val="22"/>
              </w:rPr>
              <w:t>Сєвєродонецька</w:t>
            </w:r>
            <w:proofErr w:type="spellEnd"/>
            <w:r w:rsidRPr="002045F5">
              <w:rPr>
                <w:sz w:val="22"/>
              </w:rPr>
              <w:t xml:space="preserve"> </w:t>
            </w:r>
            <w:proofErr w:type="spellStart"/>
            <w:r w:rsidRPr="002045F5">
              <w:rPr>
                <w:sz w:val="22"/>
              </w:rPr>
              <w:t>міська</w:t>
            </w:r>
            <w:proofErr w:type="spellEnd"/>
            <w:r w:rsidRPr="002045F5">
              <w:rPr>
                <w:sz w:val="22"/>
              </w:rPr>
              <w:t xml:space="preserve"> </w:t>
            </w:r>
            <w:proofErr w:type="spellStart"/>
            <w:r w:rsidRPr="002045F5">
              <w:rPr>
                <w:sz w:val="22"/>
              </w:rPr>
              <w:t>територіальна</w:t>
            </w:r>
            <w:proofErr w:type="spellEnd"/>
            <w:r w:rsidRPr="002045F5">
              <w:rPr>
                <w:sz w:val="22"/>
              </w:rPr>
              <w:t xml:space="preserve"> громада</w:t>
            </w:r>
          </w:p>
        </w:tc>
      </w:tr>
      <w:tr w:rsidR="00D65CFC" w:rsidRPr="002045F5" w:rsidTr="00524DBF">
        <w:tc>
          <w:tcPr>
            <w:tcW w:w="2836" w:type="dxa"/>
            <w:shd w:val="clear" w:color="auto" w:fill="C6D9F1" w:themeFill="text2" w:themeFillTint="33"/>
          </w:tcPr>
          <w:p w:rsidR="00D65CFC" w:rsidRPr="002045F5" w:rsidRDefault="00D65CFC" w:rsidP="00524DBF">
            <w:pPr>
              <w:pStyle w:val="a7"/>
              <w:ind w:left="0"/>
              <w:rPr>
                <w:b/>
                <w:sz w:val="22"/>
              </w:rPr>
            </w:pPr>
            <w:proofErr w:type="spellStart"/>
            <w:r w:rsidRPr="002045F5">
              <w:rPr>
                <w:b/>
                <w:sz w:val="22"/>
              </w:rPr>
              <w:t>Чисельність</w:t>
            </w:r>
            <w:proofErr w:type="spellEnd"/>
            <w:r w:rsidRPr="002045F5">
              <w:rPr>
                <w:b/>
                <w:sz w:val="22"/>
              </w:rPr>
              <w:t xml:space="preserve"> </w:t>
            </w:r>
            <w:proofErr w:type="spellStart"/>
            <w:r w:rsidRPr="002045F5">
              <w:rPr>
                <w:b/>
                <w:sz w:val="22"/>
              </w:rPr>
              <w:t>населення</w:t>
            </w:r>
            <w:proofErr w:type="spellEnd"/>
            <w:r w:rsidRPr="002045F5">
              <w:rPr>
                <w:b/>
                <w:sz w:val="22"/>
              </w:rPr>
              <w:t xml:space="preserve">, на яке </w:t>
            </w:r>
            <w:proofErr w:type="spellStart"/>
            <w:r w:rsidRPr="002045F5">
              <w:rPr>
                <w:b/>
                <w:sz w:val="22"/>
              </w:rPr>
              <w:t>матиме</w:t>
            </w:r>
            <w:proofErr w:type="spellEnd"/>
            <w:r w:rsidRPr="002045F5">
              <w:rPr>
                <w:b/>
                <w:sz w:val="22"/>
              </w:rPr>
              <w:t xml:space="preserve"> </w:t>
            </w:r>
            <w:proofErr w:type="spellStart"/>
            <w:r w:rsidRPr="002045F5">
              <w:rPr>
                <w:b/>
                <w:sz w:val="22"/>
              </w:rPr>
              <w:t>вплив</w:t>
            </w:r>
            <w:proofErr w:type="spellEnd"/>
            <w:r w:rsidRPr="002045F5">
              <w:rPr>
                <w:b/>
                <w:sz w:val="22"/>
              </w:rPr>
              <w:t xml:space="preserve"> </w:t>
            </w:r>
            <w:proofErr w:type="spellStart"/>
            <w:r w:rsidRPr="002045F5">
              <w:rPr>
                <w:b/>
                <w:sz w:val="22"/>
              </w:rPr>
              <w:t>реалізація</w:t>
            </w:r>
            <w:proofErr w:type="spellEnd"/>
            <w:r w:rsidRPr="002045F5">
              <w:rPr>
                <w:b/>
                <w:sz w:val="22"/>
              </w:rPr>
              <w:t xml:space="preserve"> </w:t>
            </w:r>
            <w:proofErr w:type="spellStart"/>
            <w:r w:rsidRPr="002045F5">
              <w:rPr>
                <w:b/>
                <w:sz w:val="22"/>
              </w:rPr>
              <w:t>проєкту</w:t>
            </w:r>
            <w:proofErr w:type="spellEnd"/>
          </w:p>
        </w:tc>
        <w:tc>
          <w:tcPr>
            <w:tcW w:w="7052" w:type="dxa"/>
            <w:gridSpan w:val="7"/>
          </w:tcPr>
          <w:p w:rsidR="00D65CFC" w:rsidRPr="002045F5" w:rsidRDefault="00D65CFC" w:rsidP="00524DBF">
            <w:pPr>
              <w:pStyle w:val="a7"/>
              <w:ind w:left="0"/>
              <w:rPr>
                <w:sz w:val="22"/>
              </w:rPr>
            </w:pPr>
            <w:r w:rsidRPr="002045F5">
              <w:rPr>
                <w:sz w:val="22"/>
              </w:rPr>
              <w:t xml:space="preserve"> 70 </w:t>
            </w:r>
            <w:proofErr w:type="gramStart"/>
            <w:r w:rsidRPr="002045F5">
              <w:rPr>
                <w:sz w:val="22"/>
              </w:rPr>
              <w:t xml:space="preserve">000  </w:t>
            </w:r>
            <w:proofErr w:type="spellStart"/>
            <w:r w:rsidRPr="002045F5">
              <w:rPr>
                <w:sz w:val="22"/>
              </w:rPr>
              <w:t>осіб</w:t>
            </w:r>
            <w:proofErr w:type="spellEnd"/>
            <w:proofErr w:type="gramEnd"/>
          </w:p>
        </w:tc>
      </w:tr>
      <w:tr w:rsidR="00D65CFC" w:rsidRPr="002045F5" w:rsidTr="00524DBF">
        <w:tc>
          <w:tcPr>
            <w:tcW w:w="2836" w:type="dxa"/>
            <w:shd w:val="clear" w:color="auto" w:fill="C6D9F1" w:themeFill="text2" w:themeFillTint="33"/>
          </w:tcPr>
          <w:p w:rsidR="00D65CFC" w:rsidRPr="002045F5" w:rsidRDefault="00D65CFC" w:rsidP="00524DBF">
            <w:pPr>
              <w:rPr>
                <w:b/>
                <w:sz w:val="22"/>
              </w:rPr>
            </w:pPr>
            <w:proofErr w:type="spellStart"/>
            <w:r w:rsidRPr="002045F5">
              <w:rPr>
                <w:b/>
                <w:sz w:val="22"/>
              </w:rPr>
              <w:t>Опис</w:t>
            </w:r>
            <w:proofErr w:type="spellEnd"/>
            <w:r w:rsidRPr="002045F5">
              <w:rPr>
                <w:b/>
                <w:sz w:val="22"/>
              </w:rPr>
              <w:t xml:space="preserve"> </w:t>
            </w:r>
            <w:proofErr w:type="spellStart"/>
            <w:r w:rsidRPr="002045F5">
              <w:rPr>
                <w:b/>
                <w:sz w:val="22"/>
              </w:rPr>
              <w:t>проблеми</w:t>
            </w:r>
            <w:proofErr w:type="spellEnd"/>
            <w:r w:rsidRPr="002045F5">
              <w:rPr>
                <w:b/>
                <w:sz w:val="22"/>
              </w:rPr>
              <w:t xml:space="preserve">, на </w:t>
            </w:r>
            <w:proofErr w:type="spellStart"/>
            <w:r w:rsidRPr="002045F5">
              <w:rPr>
                <w:b/>
                <w:sz w:val="22"/>
              </w:rPr>
              <w:t>вирішення</w:t>
            </w:r>
            <w:proofErr w:type="spellEnd"/>
            <w:r w:rsidRPr="002045F5">
              <w:rPr>
                <w:b/>
                <w:sz w:val="22"/>
              </w:rPr>
              <w:t xml:space="preserve"> </w:t>
            </w:r>
            <w:proofErr w:type="spellStart"/>
            <w:proofErr w:type="gramStart"/>
            <w:r w:rsidRPr="002045F5">
              <w:rPr>
                <w:b/>
                <w:sz w:val="22"/>
              </w:rPr>
              <w:t>якої</w:t>
            </w:r>
            <w:proofErr w:type="spellEnd"/>
            <w:r w:rsidRPr="002045F5">
              <w:rPr>
                <w:b/>
                <w:sz w:val="22"/>
              </w:rPr>
              <w:t xml:space="preserve">  </w:t>
            </w:r>
            <w:proofErr w:type="spellStart"/>
            <w:r w:rsidRPr="002045F5">
              <w:rPr>
                <w:b/>
                <w:sz w:val="22"/>
              </w:rPr>
              <w:t>спрямований</w:t>
            </w:r>
            <w:proofErr w:type="spellEnd"/>
            <w:proofErr w:type="gramEnd"/>
            <w:r w:rsidRPr="002045F5">
              <w:rPr>
                <w:b/>
                <w:sz w:val="22"/>
              </w:rPr>
              <w:t xml:space="preserve"> </w:t>
            </w:r>
            <w:proofErr w:type="spellStart"/>
            <w:r w:rsidRPr="002045F5">
              <w:rPr>
                <w:b/>
                <w:sz w:val="22"/>
              </w:rPr>
              <w:t>проєкт</w:t>
            </w:r>
            <w:proofErr w:type="spellEnd"/>
          </w:p>
        </w:tc>
        <w:tc>
          <w:tcPr>
            <w:tcW w:w="7052" w:type="dxa"/>
            <w:gridSpan w:val="7"/>
          </w:tcPr>
          <w:p w:rsidR="00D65CFC" w:rsidRPr="002045F5" w:rsidRDefault="00D65CFC" w:rsidP="00524DBF">
            <w:pPr>
              <w:ind w:firstLine="708"/>
              <w:rPr>
                <w:sz w:val="22"/>
              </w:rPr>
            </w:pPr>
            <w:r w:rsidRPr="002045F5">
              <w:rPr>
                <w:sz w:val="22"/>
              </w:rPr>
              <w:t xml:space="preserve">Через </w:t>
            </w:r>
            <w:proofErr w:type="spellStart"/>
            <w:r w:rsidRPr="002045F5">
              <w:rPr>
                <w:sz w:val="22"/>
              </w:rPr>
              <w:t>військову</w:t>
            </w:r>
            <w:proofErr w:type="spellEnd"/>
            <w:r w:rsidRPr="002045F5">
              <w:rPr>
                <w:sz w:val="22"/>
              </w:rPr>
              <w:t xml:space="preserve"> </w:t>
            </w:r>
            <w:proofErr w:type="spellStart"/>
            <w:r w:rsidRPr="002045F5">
              <w:rPr>
                <w:sz w:val="22"/>
              </w:rPr>
              <w:t>агресію</w:t>
            </w:r>
            <w:proofErr w:type="spellEnd"/>
            <w:r w:rsidRPr="002045F5">
              <w:rPr>
                <w:sz w:val="22"/>
              </w:rPr>
              <w:t xml:space="preserve"> РФ </w:t>
            </w:r>
            <w:proofErr w:type="spellStart"/>
            <w:r w:rsidRPr="002045F5">
              <w:rPr>
                <w:sz w:val="22"/>
              </w:rPr>
              <w:t>територія</w:t>
            </w:r>
            <w:proofErr w:type="spellEnd"/>
            <w:r w:rsidRPr="002045F5">
              <w:rPr>
                <w:sz w:val="22"/>
              </w:rPr>
              <w:t xml:space="preserve"> </w:t>
            </w:r>
            <w:proofErr w:type="spellStart"/>
            <w:r w:rsidRPr="002045F5">
              <w:rPr>
                <w:sz w:val="22"/>
              </w:rPr>
              <w:t>Сєвєродонецької</w:t>
            </w:r>
            <w:proofErr w:type="spellEnd"/>
            <w:r w:rsidRPr="002045F5">
              <w:rPr>
                <w:sz w:val="22"/>
              </w:rPr>
              <w:t xml:space="preserve"> </w:t>
            </w:r>
            <w:proofErr w:type="spellStart"/>
            <w:r w:rsidRPr="002045F5">
              <w:rPr>
                <w:sz w:val="22"/>
              </w:rPr>
              <w:t>міської</w:t>
            </w:r>
            <w:proofErr w:type="spellEnd"/>
            <w:r w:rsidRPr="002045F5">
              <w:rPr>
                <w:sz w:val="22"/>
              </w:rPr>
              <w:t xml:space="preserve"> </w:t>
            </w:r>
            <w:proofErr w:type="spellStart"/>
            <w:r w:rsidRPr="002045F5">
              <w:rPr>
                <w:sz w:val="22"/>
              </w:rPr>
              <w:t>територіальної</w:t>
            </w:r>
            <w:proofErr w:type="spellEnd"/>
            <w:r w:rsidRPr="002045F5">
              <w:rPr>
                <w:sz w:val="22"/>
              </w:rPr>
              <w:t xml:space="preserve"> </w:t>
            </w:r>
            <w:proofErr w:type="spellStart"/>
            <w:r w:rsidRPr="002045F5">
              <w:rPr>
                <w:sz w:val="22"/>
              </w:rPr>
              <w:t>громади</w:t>
            </w:r>
            <w:proofErr w:type="spellEnd"/>
            <w:r w:rsidRPr="002045F5">
              <w:rPr>
                <w:sz w:val="22"/>
              </w:rPr>
              <w:t xml:space="preserve"> </w:t>
            </w:r>
            <w:proofErr w:type="spellStart"/>
            <w:r w:rsidRPr="002045F5">
              <w:rPr>
                <w:sz w:val="22"/>
              </w:rPr>
              <w:t>зазнала</w:t>
            </w:r>
            <w:proofErr w:type="spellEnd"/>
            <w:r w:rsidRPr="002045F5">
              <w:rPr>
                <w:sz w:val="22"/>
              </w:rPr>
              <w:t xml:space="preserve"> </w:t>
            </w:r>
            <w:proofErr w:type="spellStart"/>
            <w:r w:rsidRPr="002045F5">
              <w:rPr>
                <w:sz w:val="22"/>
              </w:rPr>
              <w:t>значних</w:t>
            </w:r>
            <w:proofErr w:type="spellEnd"/>
            <w:r w:rsidRPr="002045F5">
              <w:rPr>
                <w:sz w:val="22"/>
              </w:rPr>
              <w:t xml:space="preserve"> </w:t>
            </w:r>
            <w:proofErr w:type="spellStart"/>
            <w:r w:rsidRPr="002045F5">
              <w:rPr>
                <w:sz w:val="22"/>
              </w:rPr>
              <w:t>пошкоджень</w:t>
            </w:r>
            <w:proofErr w:type="spellEnd"/>
            <w:r w:rsidRPr="002045F5">
              <w:rPr>
                <w:sz w:val="22"/>
              </w:rPr>
              <w:t xml:space="preserve">. Не </w:t>
            </w:r>
            <w:proofErr w:type="spellStart"/>
            <w:r w:rsidRPr="002045F5">
              <w:rPr>
                <w:sz w:val="22"/>
              </w:rPr>
              <w:t>оминуло</w:t>
            </w:r>
            <w:proofErr w:type="spellEnd"/>
            <w:r w:rsidRPr="002045F5">
              <w:rPr>
                <w:sz w:val="22"/>
              </w:rPr>
              <w:t xml:space="preserve"> це і </w:t>
            </w:r>
            <w:proofErr w:type="spellStart"/>
            <w:r w:rsidRPr="002045F5">
              <w:rPr>
                <w:sz w:val="22"/>
              </w:rPr>
              <w:t>Гімназію</w:t>
            </w:r>
            <w:proofErr w:type="spellEnd"/>
            <w:r w:rsidRPr="002045F5">
              <w:rPr>
                <w:sz w:val="22"/>
              </w:rPr>
              <w:t xml:space="preserve"> №</w:t>
            </w:r>
            <w:proofErr w:type="gramStart"/>
            <w:r w:rsidRPr="002045F5">
              <w:rPr>
                <w:sz w:val="22"/>
              </w:rPr>
              <w:t>11 .</w:t>
            </w:r>
            <w:proofErr w:type="gramEnd"/>
          </w:p>
          <w:p w:rsidR="00D65CFC" w:rsidRPr="002045F5" w:rsidRDefault="00D65CFC" w:rsidP="00524DBF">
            <w:pPr>
              <w:rPr>
                <w:sz w:val="22"/>
              </w:rPr>
            </w:pPr>
            <w:proofErr w:type="spellStart"/>
            <w:r w:rsidRPr="002045F5">
              <w:rPr>
                <w:sz w:val="22"/>
              </w:rPr>
              <w:t>Уся</w:t>
            </w:r>
            <w:proofErr w:type="spellEnd"/>
            <w:r w:rsidRPr="002045F5">
              <w:rPr>
                <w:sz w:val="22"/>
              </w:rPr>
              <w:t xml:space="preserve"> </w:t>
            </w:r>
            <w:proofErr w:type="spellStart"/>
            <w:r w:rsidRPr="002045F5">
              <w:rPr>
                <w:sz w:val="22"/>
              </w:rPr>
              <w:t>матеріально-технічна</w:t>
            </w:r>
            <w:proofErr w:type="spellEnd"/>
            <w:r w:rsidRPr="002045F5">
              <w:rPr>
                <w:sz w:val="22"/>
              </w:rPr>
              <w:t xml:space="preserve"> база </w:t>
            </w:r>
            <w:proofErr w:type="spellStart"/>
            <w:r w:rsidRPr="002045F5">
              <w:rPr>
                <w:sz w:val="22"/>
              </w:rPr>
              <w:t>освітнього</w:t>
            </w:r>
            <w:proofErr w:type="spellEnd"/>
            <w:r w:rsidRPr="002045F5">
              <w:rPr>
                <w:sz w:val="22"/>
              </w:rPr>
              <w:t xml:space="preserve"> закладу, </w:t>
            </w:r>
            <w:proofErr w:type="spellStart"/>
            <w:r w:rsidRPr="002045F5">
              <w:rPr>
                <w:sz w:val="22"/>
              </w:rPr>
              <w:t>зокрема</w:t>
            </w:r>
            <w:proofErr w:type="spellEnd"/>
            <w:r w:rsidRPr="002045F5">
              <w:rPr>
                <w:sz w:val="22"/>
              </w:rPr>
              <w:t>:</w:t>
            </w:r>
          </w:p>
          <w:p w:rsidR="00D65CFC" w:rsidRPr="002045F5" w:rsidRDefault="00D65CFC" w:rsidP="000303D7">
            <w:pPr>
              <w:pStyle w:val="13"/>
              <w:numPr>
                <w:ilvl w:val="0"/>
                <w:numId w:val="9"/>
              </w:numPr>
              <w:jc w:val="both"/>
              <w:rPr>
                <w:sz w:val="22"/>
                <w:lang w:val="uk-UA"/>
              </w:rPr>
            </w:pPr>
            <w:r w:rsidRPr="002045F5">
              <w:rPr>
                <w:sz w:val="22"/>
                <w:lang w:val="uk-UA"/>
              </w:rPr>
              <w:t>інвентар, спортивні споруди були знищені або викрадені.</w:t>
            </w:r>
          </w:p>
          <w:p w:rsidR="00D65CFC" w:rsidRPr="002045F5" w:rsidRDefault="00D65CFC" w:rsidP="00524DBF">
            <w:pPr>
              <w:pStyle w:val="13"/>
              <w:jc w:val="both"/>
              <w:rPr>
                <w:sz w:val="22"/>
              </w:rPr>
            </w:pPr>
            <w:r w:rsidRPr="002045F5">
              <w:rPr>
                <w:rFonts w:eastAsia="Arial"/>
                <w:sz w:val="22"/>
                <w:lang w:val="uk-UA"/>
              </w:rPr>
              <w:t xml:space="preserve">Для відбудови та сталого розвитку громади потрібне відновлення роботи мережі закладів освіти. Мешканці громади потребують в отриманні якісних освітніх послуг, які відповідають нормам сучасності.  </w:t>
            </w:r>
          </w:p>
        </w:tc>
      </w:tr>
      <w:tr w:rsidR="00D65CFC" w:rsidRPr="002045F5" w:rsidTr="00524DBF">
        <w:tc>
          <w:tcPr>
            <w:tcW w:w="2836" w:type="dxa"/>
            <w:shd w:val="clear" w:color="auto" w:fill="C6D9F1" w:themeFill="text2" w:themeFillTint="33"/>
          </w:tcPr>
          <w:p w:rsidR="00D65CFC" w:rsidRPr="002045F5" w:rsidRDefault="00D65CFC" w:rsidP="00524DBF">
            <w:pPr>
              <w:pStyle w:val="a7"/>
              <w:ind w:left="0"/>
              <w:rPr>
                <w:b/>
                <w:sz w:val="22"/>
                <w:lang w:val="uk-UA"/>
              </w:rPr>
            </w:pPr>
            <w:r w:rsidRPr="002045F5">
              <w:rPr>
                <w:b/>
                <w:sz w:val="22"/>
                <w:lang w:val="uk-UA"/>
              </w:rPr>
              <w:lastRenderedPageBreak/>
              <w:t xml:space="preserve">Очікувані якісні результати від реалізації </w:t>
            </w:r>
            <w:proofErr w:type="spellStart"/>
            <w:r w:rsidRPr="002045F5">
              <w:rPr>
                <w:b/>
                <w:sz w:val="22"/>
                <w:lang w:val="uk-UA"/>
              </w:rPr>
              <w:t>проєкту</w:t>
            </w:r>
            <w:proofErr w:type="spellEnd"/>
          </w:p>
        </w:tc>
        <w:tc>
          <w:tcPr>
            <w:tcW w:w="7052" w:type="dxa"/>
            <w:gridSpan w:val="7"/>
          </w:tcPr>
          <w:p w:rsidR="00D65CFC" w:rsidRPr="002045F5" w:rsidRDefault="00D65CFC" w:rsidP="00524DBF">
            <w:pPr>
              <w:pStyle w:val="a7"/>
              <w:ind w:left="0"/>
              <w:rPr>
                <w:sz w:val="22"/>
                <w:lang w:val="uk-UA"/>
              </w:rPr>
            </w:pPr>
            <w:r w:rsidRPr="002045F5">
              <w:rPr>
                <w:color w:val="000000"/>
                <w:sz w:val="22"/>
                <w:lang w:val="uk-UA"/>
              </w:rPr>
              <w:t xml:space="preserve">Установка майданчика  </w:t>
            </w:r>
            <w:proofErr w:type="spellStart"/>
            <w:r w:rsidRPr="002045F5">
              <w:rPr>
                <w:color w:val="000000"/>
                <w:sz w:val="22"/>
                <w:lang w:val="uk-UA"/>
              </w:rPr>
              <w:t>надасть</w:t>
            </w:r>
            <w:proofErr w:type="spellEnd"/>
            <w:r w:rsidRPr="002045F5">
              <w:rPr>
                <w:color w:val="000000"/>
                <w:sz w:val="22"/>
                <w:lang w:val="uk-UA"/>
              </w:rPr>
              <w:t xml:space="preserve"> Гімназії №11 сучасного естетичного вигляду; сприятиме підвищенню соціального іміджу закладу; дасть можливість громаді отримати територію сучасного комфортного дозвілля; зміцнить фізичне та духовне здоров’я мешканців мікрорайону та прилеглих територій; створить сприятливі умови для проведення уроків фізичної культури для учнів 1-9 класів.</w:t>
            </w:r>
          </w:p>
        </w:tc>
      </w:tr>
      <w:tr w:rsidR="00D65CFC" w:rsidRPr="002045F5" w:rsidTr="00524DBF">
        <w:trPr>
          <w:trHeight w:val="390"/>
        </w:trPr>
        <w:tc>
          <w:tcPr>
            <w:tcW w:w="2836" w:type="dxa"/>
            <w:vMerge w:val="restart"/>
            <w:shd w:val="clear" w:color="auto" w:fill="C6D9F1" w:themeFill="text2" w:themeFillTint="33"/>
          </w:tcPr>
          <w:p w:rsidR="00D65CFC" w:rsidRPr="002045F5" w:rsidRDefault="00D65CFC" w:rsidP="00524DBF">
            <w:pPr>
              <w:pStyle w:val="a7"/>
              <w:ind w:left="0"/>
              <w:rPr>
                <w:b/>
                <w:sz w:val="22"/>
                <w:lang w:val="uk-UA"/>
              </w:rPr>
            </w:pPr>
            <w:r w:rsidRPr="002045F5">
              <w:rPr>
                <w:b/>
                <w:sz w:val="22"/>
                <w:lang w:val="uk-UA"/>
              </w:rPr>
              <w:t xml:space="preserve">Очікувані кількісні результати реалізації </w:t>
            </w:r>
            <w:proofErr w:type="spellStart"/>
            <w:r w:rsidRPr="002045F5">
              <w:rPr>
                <w:b/>
                <w:sz w:val="22"/>
                <w:lang w:val="uk-UA"/>
              </w:rPr>
              <w:t>проєкту</w:t>
            </w:r>
            <w:proofErr w:type="spellEnd"/>
            <w:r w:rsidRPr="002045F5">
              <w:rPr>
                <w:b/>
                <w:sz w:val="22"/>
                <w:lang w:val="uk-UA"/>
              </w:rPr>
              <w:t xml:space="preserve"> (індикатори)</w:t>
            </w:r>
          </w:p>
          <w:p w:rsidR="00D65CFC" w:rsidRPr="002045F5" w:rsidRDefault="00D65CFC" w:rsidP="00524DBF">
            <w:pPr>
              <w:pStyle w:val="a7"/>
              <w:ind w:left="0"/>
              <w:rPr>
                <w:b/>
                <w:sz w:val="22"/>
                <w:lang w:val="uk-UA"/>
              </w:rPr>
            </w:pPr>
          </w:p>
        </w:tc>
        <w:tc>
          <w:tcPr>
            <w:tcW w:w="3735" w:type="dxa"/>
            <w:gridSpan w:val="3"/>
            <w:tcBorders>
              <w:bottom w:val="single" w:sz="4" w:space="0" w:color="auto"/>
              <w:right w:val="single" w:sz="4" w:space="0" w:color="auto"/>
            </w:tcBorders>
          </w:tcPr>
          <w:p w:rsidR="00D65CFC" w:rsidRPr="002045F5" w:rsidRDefault="00D65CFC" w:rsidP="00524DBF">
            <w:pPr>
              <w:pStyle w:val="a7"/>
              <w:ind w:left="-108"/>
              <w:jc w:val="center"/>
              <w:rPr>
                <w:b/>
                <w:sz w:val="22"/>
              </w:rPr>
            </w:pPr>
            <w:proofErr w:type="spellStart"/>
            <w:r w:rsidRPr="002045F5">
              <w:rPr>
                <w:b/>
                <w:sz w:val="22"/>
              </w:rPr>
              <w:t>Найменування</w:t>
            </w:r>
            <w:proofErr w:type="spellEnd"/>
            <w:r w:rsidRPr="002045F5">
              <w:rPr>
                <w:b/>
                <w:sz w:val="22"/>
              </w:rPr>
              <w:t xml:space="preserve"> </w:t>
            </w:r>
            <w:proofErr w:type="spellStart"/>
            <w:r w:rsidRPr="002045F5">
              <w:rPr>
                <w:b/>
                <w:sz w:val="22"/>
              </w:rPr>
              <w:t>показника</w:t>
            </w:r>
            <w:proofErr w:type="spellEnd"/>
          </w:p>
        </w:tc>
        <w:tc>
          <w:tcPr>
            <w:tcW w:w="1797" w:type="dxa"/>
            <w:gridSpan w:val="2"/>
            <w:tcBorders>
              <w:left w:val="single" w:sz="4" w:space="0" w:color="auto"/>
              <w:bottom w:val="single" w:sz="4" w:space="0" w:color="auto"/>
              <w:right w:val="single" w:sz="4" w:space="0" w:color="auto"/>
            </w:tcBorders>
          </w:tcPr>
          <w:p w:rsidR="00D65CFC" w:rsidRPr="002045F5" w:rsidRDefault="00D65CFC" w:rsidP="00524DBF">
            <w:pPr>
              <w:pStyle w:val="a7"/>
              <w:ind w:left="0"/>
              <w:jc w:val="center"/>
              <w:rPr>
                <w:b/>
                <w:sz w:val="22"/>
              </w:rPr>
            </w:pPr>
            <w:proofErr w:type="spellStart"/>
            <w:r w:rsidRPr="002045F5">
              <w:rPr>
                <w:b/>
                <w:sz w:val="22"/>
              </w:rPr>
              <w:t>Одиниця</w:t>
            </w:r>
            <w:proofErr w:type="spellEnd"/>
            <w:r w:rsidRPr="002045F5">
              <w:rPr>
                <w:b/>
                <w:sz w:val="22"/>
              </w:rPr>
              <w:t xml:space="preserve"> </w:t>
            </w:r>
            <w:proofErr w:type="spellStart"/>
            <w:r w:rsidRPr="002045F5">
              <w:rPr>
                <w:b/>
                <w:sz w:val="22"/>
              </w:rPr>
              <w:t>вимірювання</w:t>
            </w:r>
            <w:proofErr w:type="spellEnd"/>
          </w:p>
          <w:p w:rsidR="00D65CFC" w:rsidRPr="002045F5" w:rsidRDefault="00D65CFC" w:rsidP="00524DBF">
            <w:pPr>
              <w:pStyle w:val="a7"/>
              <w:ind w:left="0"/>
              <w:rPr>
                <w:b/>
                <w:sz w:val="22"/>
              </w:rPr>
            </w:pPr>
          </w:p>
        </w:tc>
        <w:tc>
          <w:tcPr>
            <w:tcW w:w="1520" w:type="dxa"/>
            <w:gridSpan w:val="2"/>
            <w:tcBorders>
              <w:left w:val="single" w:sz="4" w:space="0" w:color="auto"/>
              <w:bottom w:val="single" w:sz="4" w:space="0" w:color="auto"/>
            </w:tcBorders>
          </w:tcPr>
          <w:p w:rsidR="00D65CFC" w:rsidRPr="002045F5" w:rsidRDefault="00D65CFC" w:rsidP="00524DBF">
            <w:pPr>
              <w:pStyle w:val="a7"/>
              <w:ind w:left="0"/>
              <w:jc w:val="center"/>
              <w:rPr>
                <w:b/>
                <w:sz w:val="22"/>
              </w:rPr>
            </w:pPr>
            <w:proofErr w:type="spellStart"/>
            <w:r w:rsidRPr="002045F5">
              <w:rPr>
                <w:b/>
                <w:sz w:val="22"/>
              </w:rPr>
              <w:t>Прогнозне</w:t>
            </w:r>
            <w:proofErr w:type="spellEnd"/>
            <w:r w:rsidRPr="002045F5">
              <w:rPr>
                <w:b/>
                <w:sz w:val="22"/>
              </w:rPr>
              <w:t xml:space="preserve"> (</w:t>
            </w:r>
            <w:proofErr w:type="spellStart"/>
            <w:r w:rsidRPr="002045F5">
              <w:rPr>
                <w:b/>
                <w:sz w:val="22"/>
              </w:rPr>
              <w:t>цільове</w:t>
            </w:r>
            <w:proofErr w:type="spellEnd"/>
            <w:r w:rsidRPr="002045F5">
              <w:rPr>
                <w:b/>
                <w:sz w:val="22"/>
              </w:rPr>
              <w:t xml:space="preserve">) </w:t>
            </w:r>
            <w:proofErr w:type="spellStart"/>
            <w:r w:rsidRPr="002045F5">
              <w:rPr>
                <w:b/>
                <w:sz w:val="22"/>
              </w:rPr>
              <w:t>значення</w:t>
            </w:r>
            <w:proofErr w:type="spellEnd"/>
          </w:p>
        </w:tc>
      </w:tr>
      <w:tr w:rsidR="00D65CFC" w:rsidRPr="002045F5" w:rsidTr="00524DBF">
        <w:trPr>
          <w:trHeight w:val="184"/>
        </w:trPr>
        <w:tc>
          <w:tcPr>
            <w:tcW w:w="2836" w:type="dxa"/>
            <w:vMerge/>
            <w:shd w:val="clear" w:color="auto" w:fill="C6D9F1" w:themeFill="text2" w:themeFillTint="33"/>
          </w:tcPr>
          <w:p w:rsidR="00D65CFC" w:rsidRPr="002045F5" w:rsidRDefault="00D65CFC" w:rsidP="00524DBF">
            <w:pPr>
              <w:pStyle w:val="a7"/>
              <w:ind w:left="0"/>
              <w:rPr>
                <w:b/>
                <w:sz w:val="22"/>
              </w:rPr>
            </w:pPr>
          </w:p>
        </w:tc>
        <w:tc>
          <w:tcPr>
            <w:tcW w:w="3735" w:type="dxa"/>
            <w:gridSpan w:val="3"/>
            <w:tcBorders>
              <w:top w:val="single" w:sz="4" w:space="0" w:color="auto"/>
              <w:bottom w:val="single" w:sz="4" w:space="0" w:color="auto"/>
              <w:right w:val="single" w:sz="4" w:space="0" w:color="auto"/>
            </w:tcBorders>
          </w:tcPr>
          <w:p w:rsidR="00D65CFC" w:rsidRPr="002045F5" w:rsidRDefault="00D65CFC" w:rsidP="00524DBF">
            <w:pPr>
              <w:pStyle w:val="a7"/>
              <w:ind w:left="0"/>
              <w:jc w:val="center"/>
              <w:rPr>
                <w:sz w:val="22"/>
              </w:rPr>
            </w:pPr>
            <w:proofErr w:type="spellStart"/>
            <w:r w:rsidRPr="002045F5">
              <w:rPr>
                <w:sz w:val="22"/>
              </w:rPr>
              <w:t>Кількість</w:t>
            </w:r>
            <w:proofErr w:type="spellEnd"/>
            <w:r w:rsidRPr="002045F5">
              <w:rPr>
                <w:sz w:val="22"/>
              </w:rPr>
              <w:t xml:space="preserve"> </w:t>
            </w:r>
            <w:proofErr w:type="spellStart"/>
            <w:r w:rsidRPr="002045F5">
              <w:rPr>
                <w:sz w:val="22"/>
              </w:rPr>
              <w:t>фізичних</w:t>
            </w:r>
            <w:proofErr w:type="spellEnd"/>
            <w:r w:rsidRPr="002045F5">
              <w:rPr>
                <w:sz w:val="22"/>
              </w:rPr>
              <w:t xml:space="preserve"> </w:t>
            </w:r>
            <w:proofErr w:type="spellStart"/>
            <w:r w:rsidRPr="002045F5">
              <w:rPr>
                <w:sz w:val="22"/>
              </w:rPr>
              <w:t>осіб</w:t>
            </w:r>
            <w:proofErr w:type="spellEnd"/>
            <w:r w:rsidRPr="002045F5">
              <w:rPr>
                <w:sz w:val="22"/>
              </w:rPr>
              <w:t xml:space="preserve">, </w:t>
            </w:r>
            <w:proofErr w:type="spellStart"/>
            <w:r w:rsidRPr="002045F5">
              <w:rPr>
                <w:sz w:val="22"/>
              </w:rPr>
              <w:t>які</w:t>
            </w:r>
            <w:proofErr w:type="spellEnd"/>
            <w:r w:rsidRPr="002045F5">
              <w:rPr>
                <w:sz w:val="22"/>
              </w:rPr>
              <w:t xml:space="preserve"> </w:t>
            </w:r>
            <w:proofErr w:type="spellStart"/>
            <w:r w:rsidRPr="002045F5">
              <w:rPr>
                <w:sz w:val="22"/>
              </w:rPr>
              <w:t>звернулись</w:t>
            </w:r>
            <w:proofErr w:type="spellEnd"/>
            <w:r w:rsidRPr="002045F5">
              <w:rPr>
                <w:sz w:val="22"/>
              </w:rPr>
              <w:t xml:space="preserve"> за </w:t>
            </w:r>
            <w:proofErr w:type="spellStart"/>
            <w:r w:rsidRPr="002045F5">
              <w:rPr>
                <w:sz w:val="22"/>
              </w:rPr>
              <w:t>послугами</w:t>
            </w:r>
            <w:proofErr w:type="spellEnd"/>
            <w:r w:rsidRPr="002045F5">
              <w:rPr>
                <w:sz w:val="22"/>
              </w:rPr>
              <w:t xml:space="preserve"> </w:t>
            </w:r>
            <w:proofErr w:type="spellStart"/>
            <w:proofErr w:type="gramStart"/>
            <w:r w:rsidRPr="002045F5">
              <w:rPr>
                <w:sz w:val="22"/>
              </w:rPr>
              <w:t>протягом</w:t>
            </w:r>
            <w:proofErr w:type="spellEnd"/>
            <w:r w:rsidRPr="002045F5">
              <w:rPr>
                <w:sz w:val="22"/>
              </w:rPr>
              <w:t xml:space="preserve">  року</w:t>
            </w:r>
            <w:proofErr w:type="gramEnd"/>
          </w:p>
        </w:tc>
        <w:tc>
          <w:tcPr>
            <w:tcW w:w="1797" w:type="dxa"/>
            <w:gridSpan w:val="2"/>
            <w:tcBorders>
              <w:top w:val="single" w:sz="4" w:space="0" w:color="auto"/>
              <w:left w:val="single" w:sz="4" w:space="0" w:color="auto"/>
              <w:bottom w:val="single" w:sz="4" w:space="0" w:color="auto"/>
              <w:right w:val="single" w:sz="4" w:space="0" w:color="auto"/>
            </w:tcBorders>
            <w:vAlign w:val="bottom"/>
          </w:tcPr>
          <w:p w:rsidR="00D65CFC" w:rsidRPr="002045F5" w:rsidRDefault="00D65CFC" w:rsidP="00524DBF">
            <w:pPr>
              <w:pStyle w:val="a7"/>
              <w:ind w:left="0"/>
              <w:jc w:val="center"/>
              <w:rPr>
                <w:sz w:val="22"/>
              </w:rPr>
            </w:pPr>
            <w:proofErr w:type="spellStart"/>
            <w:r w:rsidRPr="002045F5">
              <w:rPr>
                <w:sz w:val="22"/>
              </w:rPr>
              <w:t>осіб</w:t>
            </w:r>
            <w:proofErr w:type="spellEnd"/>
          </w:p>
        </w:tc>
        <w:tc>
          <w:tcPr>
            <w:tcW w:w="1520" w:type="dxa"/>
            <w:gridSpan w:val="2"/>
            <w:tcBorders>
              <w:top w:val="single" w:sz="4" w:space="0" w:color="auto"/>
              <w:left w:val="single" w:sz="4" w:space="0" w:color="auto"/>
              <w:bottom w:val="single" w:sz="4" w:space="0" w:color="auto"/>
            </w:tcBorders>
            <w:vAlign w:val="bottom"/>
          </w:tcPr>
          <w:p w:rsidR="00D65CFC" w:rsidRPr="002045F5" w:rsidRDefault="00D65CFC" w:rsidP="00524DBF">
            <w:pPr>
              <w:pStyle w:val="a7"/>
              <w:ind w:left="0"/>
              <w:jc w:val="center"/>
              <w:rPr>
                <w:sz w:val="22"/>
              </w:rPr>
            </w:pPr>
            <w:r w:rsidRPr="002045F5">
              <w:rPr>
                <w:sz w:val="22"/>
              </w:rPr>
              <w:t>1000</w:t>
            </w:r>
          </w:p>
        </w:tc>
      </w:tr>
      <w:tr w:rsidR="00D65CFC" w:rsidRPr="002045F5" w:rsidTr="00524DBF">
        <w:trPr>
          <w:trHeight w:val="165"/>
        </w:trPr>
        <w:tc>
          <w:tcPr>
            <w:tcW w:w="2836" w:type="dxa"/>
            <w:vMerge/>
            <w:shd w:val="clear" w:color="auto" w:fill="C6D9F1" w:themeFill="text2" w:themeFillTint="33"/>
          </w:tcPr>
          <w:p w:rsidR="00D65CFC" w:rsidRPr="002045F5" w:rsidRDefault="00D65CFC" w:rsidP="00524DBF">
            <w:pPr>
              <w:pStyle w:val="a7"/>
              <w:ind w:left="0"/>
              <w:rPr>
                <w:b/>
                <w:sz w:val="22"/>
              </w:rPr>
            </w:pPr>
          </w:p>
        </w:tc>
        <w:tc>
          <w:tcPr>
            <w:tcW w:w="3735" w:type="dxa"/>
            <w:gridSpan w:val="3"/>
            <w:tcBorders>
              <w:top w:val="single" w:sz="4" w:space="0" w:color="auto"/>
              <w:bottom w:val="single" w:sz="4" w:space="0" w:color="auto"/>
              <w:right w:val="single" w:sz="4" w:space="0" w:color="auto"/>
            </w:tcBorders>
            <w:vAlign w:val="bottom"/>
          </w:tcPr>
          <w:p w:rsidR="00D65CFC" w:rsidRPr="002045F5" w:rsidRDefault="00D65CFC" w:rsidP="00524DBF">
            <w:pPr>
              <w:pStyle w:val="a7"/>
              <w:ind w:left="0"/>
              <w:jc w:val="center"/>
              <w:rPr>
                <w:color w:val="FF0000"/>
                <w:sz w:val="22"/>
              </w:rPr>
            </w:pPr>
            <w:proofErr w:type="spellStart"/>
            <w:r w:rsidRPr="002045F5">
              <w:rPr>
                <w:sz w:val="22"/>
              </w:rPr>
              <w:t>Термін</w:t>
            </w:r>
            <w:proofErr w:type="spellEnd"/>
            <w:r w:rsidRPr="002045F5">
              <w:rPr>
                <w:sz w:val="22"/>
              </w:rPr>
              <w:t xml:space="preserve"> </w:t>
            </w:r>
            <w:proofErr w:type="spellStart"/>
            <w:r w:rsidRPr="002045F5">
              <w:rPr>
                <w:sz w:val="22"/>
              </w:rPr>
              <w:t>надання</w:t>
            </w:r>
            <w:proofErr w:type="spellEnd"/>
            <w:r w:rsidRPr="002045F5">
              <w:rPr>
                <w:sz w:val="22"/>
              </w:rPr>
              <w:t xml:space="preserve"> </w:t>
            </w:r>
            <w:proofErr w:type="spellStart"/>
            <w:r w:rsidRPr="002045F5">
              <w:rPr>
                <w:sz w:val="22"/>
              </w:rPr>
              <w:t>послуги</w:t>
            </w:r>
            <w:proofErr w:type="spellEnd"/>
          </w:p>
        </w:tc>
        <w:tc>
          <w:tcPr>
            <w:tcW w:w="1797" w:type="dxa"/>
            <w:gridSpan w:val="2"/>
            <w:tcBorders>
              <w:top w:val="single" w:sz="4" w:space="0" w:color="auto"/>
              <w:left w:val="single" w:sz="4" w:space="0" w:color="auto"/>
              <w:bottom w:val="single" w:sz="4" w:space="0" w:color="auto"/>
              <w:right w:val="single" w:sz="4" w:space="0" w:color="auto"/>
            </w:tcBorders>
            <w:vAlign w:val="bottom"/>
          </w:tcPr>
          <w:p w:rsidR="00D65CFC" w:rsidRPr="002045F5" w:rsidRDefault="00D65CFC" w:rsidP="00524DBF">
            <w:pPr>
              <w:pStyle w:val="a7"/>
              <w:ind w:left="0"/>
              <w:jc w:val="center"/>
              <w:rPr>
                <w:sz w:val="22"/>
              </w:rPr>
            </w:pPr>
            <w:r w:rsidRPr="002045F5">
              <w:rPr>
                <w:sz w:val="22"/>
              </w:rPr>
              <w:t>день</w:t>
            </w:r>
          </w:p>
        </w:tc>
        <w:tc>
          <w:tcPr>
            <w:tcW w:w="1520" w:type="dxa"/>
            <w:gridSpan w:val="2"/>
            <w:tcBorders>
              <w:top w:val="single" w:sz="4" w:space="0" w:color="auto"/>
              <w:left w:val="single" w:sz="4" w:space="0" w:color="auto"/>
              <w:bottom w:val="single" w:sz="4" w:space="0" w:color="auto"/>
            </w:tcBorders>
            <w:vAlign w:val="bottom"/>
          </w:tcPr>
          <w:p w:rsidR="00D65CFC" w:rsidRPr="002045F5" w:rsidRDefault="00D65CFC" w:rsidP="00524DBF">
            <w:pPr>
              <w:pStyle w:val="a7"/>
              <w:ind w:left="0"/>
              <w:jc w:val="center"/>
              <w:rPr>
                <w:sz w:val="22"/>
              </w:rPr>
            </w:pPr>
            <w:r w:rsidRPr="002045F5">
              <w:rPr>
                <w:sz w:val="22"/>
              </w:rPr>
              <w:t>14</w:t>
            </w:r>
          </w:p>
        </w:tc>
      </w:tr>
      <w:tr w:rsidR="00D65CFC" w:rsidRPr="002045F5" w:rsidTr="00524DBF">
        <w:tc>
          <w:tcPr>
            <w:tcW w:w="2836" w:type="dxa"/>
            <w:shd w:val="clear" w:color="auto" w:fill="C6D9F1" w:themeFill="text2" w:themeFillTint="33"/>
          </w:tcPr>
          <w:p w:rsidR="00D65CFC" w:rsidRPr="002045F5" w:rsidRDefault="00D65CFC" w:rsidP="00524DBF">
            <w:pPr>
              <w:rPr>
                <w:b/>
                <w:sz w:val="22"/>
              </w:rPr>
            </w:pPr>
            <w:proofErr w:type="spellStart"/>
            <w:r w:rsidRPr="002045F5">
              <w:rPr>
                <w:b/>
                <w:sz w:val="22"/>
              </w:rPr>
              <w:t>Ключові</w:t>
            </w:r>
            <w:proofErr w:type="spellEnd"/>
            <w:r w:rsidRPr="002045F5">
              <w:rPr>
                <w:b/>
                <w:sz w:val="22"/>
              </w:rPr>
              <w:t xml:space="preserve"> заходи </w:t>
            </w:r>
            <w:proofErr w:type="spellStart"/>
            <w:r w:rsidRPr="002045F5">
              <w:rPr>
                <w:b/>
                <w:sz w:val="22"/>
              </w:rPr>
              <w:t>проєкту</w:t>
            </w:r>
            <w:proofErr w:type="spellEnd"/>
            <w:r w:rsidRPr="002045F5">
              <w:rPr>
                <w:b/>
                <w:sz w:val="22"/>
              </w:rPr>
              <w:t xml:space="preserve">: </w:t>
            </w:r>
          </w:p>
          <w:p w:rsidR="00D65CFC" w:rsidRPr="002045F5" w:rsidRDefault="00D65CFC" w:rsidP="00524DBF">
            <w:pPr>
              <w:pStyle w:val="a7"/>
              <w:ind w:left="0"/>
              <w:rPr>
                <w:b/>
                <w:sz w:val="22"/>
              </w:rPr>
            </w:pPr>
          </w:p>
        </w:tc>
        <w:tc>
          <w:tcPr>
            <w:tcW w:w="7052" w:type="dxa"/>
            <w:gridSpan w:val="7"/>
          </w:tcPr>
          <w:p w:rsidR="00D65CFC" w:rsidRPr="002045F5" w:rsidRDefault="00D65CFC" w:rsidP="00524DBF">
            <w:pPr>
              <w:pStyle w:val="a7"/>
              <w:ind w:left="0"/>
              <w:rPr>
                <w:sz w:val="22"/>
              </w:rPr>
            </w:pPr>
            <w:r w:rsidRPr="002045F5">
              <w:rPr>
                <w:sz w:val="22"/>
              </w:rPr>
              <w:t xml:space="preserve">- </w:t>
            </w:r>
            <w:proofErr w:type="spellStart"/>
            <w:r w:rsidRPr="002045F5">
              <w:rPr>
                <w:sz w:val="22"/>
              </w:rPr>
              <w:t>обстеження</w:t>
            </w:r>
            <w:proofErr w:type="spellEnd"/>
            <w:r w:rsidRPr="002045F5">
              <w:rPr>
                <w:sz w:val="22"/>
              </w:rPr>
              <w:t xml:space="preserve"> стану </w:t>
            </w:r>
            <w:proofErr w:type="spellStart"/>
            <w:r w:rsidRPr="002045F5">
              <w:rPr>
                <w:sz w:val="22"/>
              </w:rPr>
              <w:t>місцевості</w:t>
            </w:r>
            <w:proofErr w:type="spellEnd"/>
            <w:r w:rsidRPr="002045F5">
              <w:rPr>
                <w:sz w:val="22"/>
              </w:rPr>
              <w:t>;</w:t>
            </w:r>
          </w:p>
          <w:p w:rsidR="00D65CFC" w:rsidRPr="002045F5" w:rsidRDefault="00D65CFC" w:rsidP="00524DBF">
            <w:pPr>
              <w:pStyle w:val="a7"/>
              <w:ind w:left="0"/>
              <w:rPr>
                <w:sz w:val="22"/>
              </w:rPr>
            </w:pPr>
            <w:r w:rsidRPr="002045F5">
              <w:rPr>
                <w:sz w:val="22"/>
              </w:rPr>
              <w:t xml:space="preserve">- </w:t>
            </w:r>
            <w:proofErr w:type="spellStart"/>
            <w:r w:rsidRPr="002045F5">
              <w:rPr>
                <w:sz w:val="22"/>
              </w:rPr>
              <w:t>проведення</w:t>
            </w:r>
            <w:proofErr w:type="spellEnd"/>
            <w:r w:rsidRPr="002045F5">
              <w:rPr>
                <w:sz w:val="22"/>
              </w:rPr>
              <w:t xml:space="preserve"> </w:t>
            </w:r>
            <w:proofErr w:type="spellStart"/>
            <w:r w:rsidRPr="002045F5">
              <w:rPr>
                <w:sz w:val="22"/>
              </w:rPr>
              <w:t>інвентаризації</w:t>
            </w:r>
            <w:proofErr w:type="spellEnd"/>
            <w:r w:rsidRPr="002045F5">
              <w:rPr>
                <w:sz w:val="22"/>
              </w:rPr>
              <w:t xml:space="preserve"> </w:t>
            </w:r>
            <w:proofErr w:type="spellStart"/>
            <w:r w:rsidRPr="002045F5">
              <w:rPr>
                <w:sz w:val="22"/>
              </w:rPr>
              <w:t>основних</w:t>
            </w:r>
            <w:proofErr w:type="spellEnd"/>
            <w:r w:rsidRPr="002045F5">
              <w:rPr>
                <w:sz w:val="22"/>
              </w:rPr>
              <w:t xml:space="preserve"> </w:t>
            </w:r>
            <w:proofErr w:type="spellStart"/>
            <w:r w:rsidRPr="002045F5">
              <w:rPr>
                <w:sz w:val="22"/>
              </w:rPr>
              <w:t>засобів</w:t>
            </w:r>
            <w:proofErr w:type="spellEnd"/>
            <w:r w:rsidRPr="002045F5">
              <w:rPr>
                <w:sz w:val="22"/>
              </w:rPr>
              <w:t>;</w:t>
            </w:r>
          </w:p>
          <w:p w:rsidR="00D65CFC" w:rsidRPr="002045F5" w:rsidRDefault="00D65CFC" w:rsidP="00524DBF">
            <w:pPr>
              <w:pStyle w:val="a7"/>
              <w:ind w:left="0"/>
              <w:rPr>
                <w:sz w:val="22"/>
              </w:rPr>
            </w:pPr>
            <w:r w:rsidRPr="002045F5">
              <w:rPr>
                <w:sz w:val="22"/>
              </w:rPr>
              <w:t xml:space="preserve"> - </w:t>
            </w:r>
            <w:proofErr w:type="spellStart"/>
            <w:r w:rsidRPr="002045F5">
              <w:rPr>
                <w:sz w:val="22"/>
              </w:rPr>
              <w:t>придбання</w:t>
            </w:r>
            <w:proofErr w:type="spellEnd"/>
            <w:r w:rsidRPr="002045F5">
              <w:rPr>
                <w:sz w:val="22"/>
              </w:rPr>
              <w:t xml:space="preserve"> </w:t>
            </w:r>
            <w:proofErr w:type="spellStart"/>
            <w:r w:rsidRPr="002045F5">
              <w:rPr>
                <w:sz w:val="22"/>
              </w:rPr>
              <w:t>технічного</w:t>
            </w:r>
            <w:proofErr w:type="spellEnd"/>
            <w:r w:rsidRPr="002045F5">
              <w:rPr>
                <w:sz w:val="22"/>
              </w:rPr>
              <w:t xml:space="preserve"> </w:t>
            </w:r>
            <w:proofErr w:type="spellStart"/>
            <w:r w:rsidRPr="002045F5">
              <w:rPr>
                <w:sz w:val="22"/>
              </w:rPr>
              <w:t>забезпечення</w:t>
            </w:r>
            <w:proofErr w:type="spellEnd"/>
            <w:r w:rsidRPr="002045F5">
              <w:rPr>
                <w:sz w:val="22"/>
              </w:rPr>
              <w:t xml:space="preserve"> та спортивного </w:t>
            </w:r>
            <w:proofErr w:type="spellStart"/>
            <w:r w:rsidRPr="002045F5">
              <w:rPr>
                <w:sz w:val="22"/>
              </w:rPr>
              <w:t>інвентарю</w:t>
            </w:r>
            <w:proofErr w:type="spellEnd"/>
            <w:r w:rsidRPr="002045F5">
              <w:rPr>
                <w:sz w:val="22"/>
              </w:rPr>
              <w:t xml:space="preserve"> для </w:t>
            </w:r>
            <w:proofErr w:type="spellStart"/>
            <w:r w:rsidRPr="002045F5">
              <w:rPr>
                <w:sz w:val="22"/>
              </w:rPr>
              <w:t>майданчика</w:t>
            </w:r>
            <w:proofErr w:type="spellEnd"/>
            <w:r w:rsidRPr="002045F5">
              <w:rPr>
                <w:sz w:val="22"/>
              </w:rPr>
              <w:t>;</w:t>
            </w:r>
          </w:p>
          <w:p w:rsidR="00D65CFC" w:rsidRPr="002045F5" w:rsidRDefault="00D65CFC" w:rsidP="00524DBF">
            <w:pPr>
              <w:pStyle w:val="a7"/>
              <w:ind w:left="0"/>
              <w:rPr>
                <w:sz w:val="22"/>
              </w:rPr>
            </w:pPr>
            <w:r w:rsidRPr="002045F5">
              <w:rPr>
                <w:sz w:val="22"/>
              </w:rPr>
              <w:t xml:space="preserve">- </w:t>
            </w:r>
            <w:proofErr w:type="spellStart"/>
            <w:r w:rsidRPr="002045F5">
              <w:rPr>
                <w:sz w:val="22"/>
              </w:rPr>
              <w:t>визначення</w:t>
            </w:r>
            <w:proofErr w:type="spellEnd"/>
            <w:r w:rsidRPr="002045F5">
              <w:rPr>
                <w:sz w:val="22"/>
              </w:rPr>
              <w:t xml:space="preserve"> </w:t>
            </w:r>
            <w:proofErr w:type="spellStart"/>
            <w:r w:rsidRPr="002045F5">
              <w:rPr>
                <w:sz w:val="22"/>
              </w:rPr>
              <w:t>кількості</w:t>
            </w:r>
            <w:proofErr w:type="spellEnd"/>
            <w:r w:rsidRPr="002045F5">
              <w:rPr>
                <w:sz w:val="22"/>
              </w:rPr>
              <w:t xml:space="preserve"> </w:t>
            </w:r>
            <w:proofErr w:type="spellStart"/>
            <w:r w:rsidRPr="002045F5">
              <w:rPr>
                <w:sz w:val="22"/>
              </w:rPr>
              <w:t>осіб</w:t>
            </w:r>
            <w:proofErr w:type="spellEnd"/>
            <w:r w:rsidRPr="002045F5">
              <w:rPr>
                <w:sz w:val="22"/>
              </w:rPr>
              <w:t xml:space="preserve">, </w:t>
            </w:r>
            <w:proofErr w:type="spellStart"/>
            <w:r w:rsidRPr="002045F5">
              <w:rPr>
                <w:sz w:val="22"/>
              </w:rPr>
              <w:t>які</w:t>
            </w:r>
            <w:proofErr w:type="spellEnd"/>
            <w:r w:rsidRPr="002045F5">
              <w:rPr>
                <w:sz w:val="22"/>
              </w:rPr>
              <w:t xml:space="preserve"> </w:t>
            </w:r>
            <w:proofErr w:type="spellStart"/>
            <w:r w:rsidRPr="002045F5">
              <w:rPr>
                <w:sz w:val="22"/>
              </w:rPr>
              <w:t>потребують</w:t>
            </w:r>
            <w:proofErr w:type="spellEnd"/>
            <w:r w:rsidRPr="002045F5">
              <w:rPr>
                <w:sz w:val="22"/>
              </w:rPr>
              <w:t xml:space="preserve"> </w:t>
            </w:r>
            <w:proofErr w:type="spellStart"/>
            <w:r w:rsidRPr="002045F5">
              <w:rPr>
                <w:sz w:val="22"/>
              </w:rPr>
              <w:t>отримання</w:t>
            </w:r>
            <w:proofErr w:type="spellEnd"/>
            <w:r w:rsidRPr="002045F5">
              <w:rPr>
                <w:sz w:val="22"/>
              </w:rPr>
              <w:t xml:space="preserve"> </w:t>
            </w:r>
            <w:proofErr w:type="spellStart"/>
            <w:r w:rsidRPr="002045F5">
              <w:rPr>
                <w:sz w:val="22"/>
              </w:rPr>
              <w:t>соціальних</w:t>
            </w:r>
            <w:proofErr w:type="spellEnd"/>
            <w:r w:rsidRPr="002045F5">
              <w:rPr>
                <w:sz w:val="22"/>
              </w:rPr>
              <w:t xml:space="preserve">, </w:t>
            </w:r>
            <w:proofErr w:type="spellStart"/>
            <w:proofErr w:type="gramStart"/>
            <w:r w:rsidRPr="002045F5">
              <w:rPr>
                <w:sz w:val="22"/>
              </w:rPr>
              <w:t>освітніх</w:t>
            </w:r>
            <w:proofErr w:type="spellEnd"/>
            <w:r w:rsidRPr="002045F5">
              <w:rPr>
                <w:sz w:val="22"/>
              </w:rPr>
              <w:t>,  спортивно</w:t>
            </w:r>
            <w:proofErr w:type="gramEnd"/>
            <w:r w:rsidRPr="002045F5">
              <w:rPr>
                <w:sz w:val="22"/>
              </w:rPr>
              <w:t>-</w:t>
            </w:r>
            <w:proofErr w:type="spellStart"/>
            <w:r w:rsidRPr="002045F5">
              <w:rPr>
                <w:sz w:val="22"/>
              </w:rPr>
              <w:t>оздоровчих</w:t>
            </w:r>
            <w:proofErr w:type="spellEnd"/>
            <w:r w:rsidRPr="002045F5">
              <w:rPr>
                <w:sz w:val="22"/>
              </w:rPr>
              <w:t xml:space="preserve"> </w:t>
            </w:r>
            <w:proofErr w:type="spellStart"/>
            <w:r w:rsidRPr="002045F5">
              <w:rPr>
                <w:sz w:val="22"/>
              </w:rPr>
              <w:t>послуг</w:t>
            </w:r>
            <w:proofErr w:type="spellEnd"/>
            <w:r w:rsidRPr="002045F5">
              <w:rPr>
                <w:sz w:val="22"/>
              </w:rPr>
              <w:t>;</w:t>
            </w:r>
          </w:p>
          <w:p w:rsidR="00D65CFC" w:rsidRPr="002045F5" w:rsidRDefault="00D65CFC" w:rsidP="00524DBF">
            <w:pPr>
              <w:pStyle w:val="a7"/>
              <w:ind w:left="0"/>
              <w:rPr>
                <w:color w:val="FF0000"/>
                <w:sz w:val="22"/>
              </w:rPr>
            </w:pPr>
            <w:r w:rsidRPr="002045F5">
              <w:rPr>
                <w:sz w:val="22"/>
              </w:rPr>
              <w:t xml:space="preserve">- </w:t>
            </w:r>
            <w:proofErr w:type="spellStart"/>
            <w:r w:rsidRPr="002045F5">
              <w:rPr>
                <w:sz w:val="22"/>
              </w:rPr>
              <w:t>організація</w:t>
            </w:r>
            <w:proofErr w:type="spellEnd"/>
            <w:r w:rsidRPr="002045F5">
              <w:rPr>
                <w:sz w:val="22"/>
              </w:rPr>
              <w:t xml:space="preserve"> та початок </w:t>
            </w:r>
            <w:proofErr w:type="spellStart"/>
            <w:r w:rsidRPr="002045F5">
              <w:rPr>
                <w:sz w:val="22"/>
              </w:rPr>
              <w:t>робочого</w:t>
            </w:r>
            <w:proofErr w:type="spellEnd"/>
            <w:r w:rsidRPr="002045F5">
              <w:rPr>
                <w:sz w:val="22"/>
              </w:rPr>
              <w:t xml:space="preserve"> </w:t>
            </w:r>
            <w:proofErr w:type="spellStart"/>
            <w:r w:rsidRPr="002045F5">
              <w:rPr>
                <w:sz w:val="22"/>
              </w:rPr>
              <w:t>процесу</w:t>
            </w:r>
            <w:proofErr w:type="spellEnd"/>
            <w:r w:rsidRPr="002045F5">
              <w:rPr>
                <w:sz w:val="22"/>
              </w:rPr>
              <w:t>.</w:t>
            </w:r>
          </w:p>
        </w:tc>
      </w:tr>
      <w:tr w:rsidR="00D65CFC" w:rsidRPr="002045F5" w:rsidTr="00524DBF">
        <w:trPr>
          <w:trHeight w:val="360"/>
        </w:trPr>
        <w:tc>
          <w:tcPr>
            <w:tcW w:w="2836" w:type="dxa"/>
            <w:vMerge w:val="restart"/>
            <w:shd w:val="clear" w:color="auto" w:fill="C6D9F1" w:themeFill="text2" w:themeFillTint="33"/>
          </w:tcPr>
          <w:p w:rsidR="00D65CFC" w:rsidRPr="002045F5" w:rsidRDefault="00D65CFC" w:rsidP="00524DBF">
            <w:pPr>
              <w:pStyle w:val="a7"/>
              <w:ind w:left="0"/>
              <w:rPr>
                <w:b/>
                <w:sz w:val="22"/>
              </w:rPr>
            </w:pPr>
            <w:proofErr w:type="spellStart"/>
            <w:r w:rsidRPr="002045F5">
              <w:rPr>
                <w:b/>
                <w:sz w:val="22"/>
              </w:rPr>
              <w:t>Орієнтовний</w:t>
            </w:r>
            <w:proofErr w:type="spellEnd"/>
            <w:r w:rsidRPr="002045F5">
              <w:rPr>
                <w:b/>
                <w:sz w:val="22"/>
              </w:rPr>
              <w:t xml:space="preserve"> </w:t>
            </w:r>
            <w:proofErr w:type="spellStart"/>
            <w:r w:rsidRPr="002045F5">
              <w:rPr>
                <w:b/>
                <w:sz w:val="22"/>
              </w:rPr>
              <w:t>обсяг</w:t>
            </w:r>
            <w:proofErr w:type="spellEnd"/>
            <w:r w:rsidRPr="002045F5">
              <w:rPr>
                <w:b/>
                <w:sz w:val="22"/>
              </w:rPr>
              <w:t xml:space="preserve"> та </w:t>
            </w:r>
            <w:proofErr w:type="spellStart"/>
            <w:r w:rsidRPr="002045F5">
              <w:rPr>
                <w:b/>
                <w:sz w:val="22"/>
              </w:rPr>
              <w:t>джерела</w:t>
            </w:r>
            <w:proofErr w:type="spellEnd"/>
            <w:r w:rsidRPr="002045F5">
              <w:rPr>
                <w:b/>
                <w:sz w:val="22"/>
              </w:rPr>
              <w:t xml:space="preserve"> </w:t>
            </w:r>
            <w:proofErr w:type="spellStart"/>
            <w:r w:rsidRPr="002045F5">
              <w:rPr>
                <w:b/>
                <w:sz w:val="22"/>
              </w:rPr>
              <w:t>фінансування</w:t>
            </w:r>
            <w:proofErr w:type="spellEnd"/>
            <w:r w:rsidRPr="002045F5">
              <w:rPr>
                <w:b/>
                <w:sz w:val="22"/>
              </w:rPr>
              <w:t xml:space="preserve">, тис. грн. </w:t>
            </w:r>
          </w:p>
          <w:p w:rsidR="00D65CFC" w:rsidRPr="002045F5" w:rsidRDefault="00D65CFC" w:rsidP="00524DBF">
            <w:pPr>
              <w:pStyle w:val="a7"/>
              <w:ind w:left="0"/>
              <w:rPr>
                <w:b/>
                <w:sz w:val="22"/>
              </w:rPr>
            </w:pPr>
          </w:p>
        </w:tc>
        <w:tc>
          <w:tcPr>
            <w:tcW w:w="1869" w:type="dxa"/>
            <w:tcBorders>
              <w:bottom w:val="single" w:sz="4" w:space="0" w:color="auto"/>
              <w:right w:val="single" w:sz="4" w:space="0" w:color="auto"/>
            </w:tcBorders>
          </w:tcPr>
          <w:p w:rsidR="00D65CFC" w:rsidRPr="002045F5" w:rsidRDefault="00D65CFC" w:rsidP="00524DBF">
            <w:pPr>
              <w:pStyle w:val="a7"/>
              <w:ind w:left="0"/>
              <w:jc w:val="center"/>
              <w:rPr>
                <w:b/>
                <w:sz w:val="22"/>
              </w:rPr>
            </w:pPr>
            <w:proofErr w:type="spellStart"/>
            <w:r w:rsidRPr="002045F5">
              <w:rPr>
                <w:b/>
                <w:sz w:val="22"/>
              </w:rPr>
              <w:t>Державний</w:t>
            </w:r>
            <w:proofErr w:type="spellEnd"/>
            <w:r w:rsidRPr="002045F5">
              <w:rPr>
                <w:b/>
                <w:sz w:val="22"/>
              </w:rPr>
              <w:t xml:space="preserve"> бюджет</w:t>
            </w:r>
          </w:p>
        </w:tc>
        <w:tc>
          <w:tcPr>
            <w:tcW w:w="1299" w:type="dxa"/>
            <w:tcBorders>
              <w:bottom w:val="single" w:sz="4" w:space="0" w:color="auto"/>
              <w:right w:val="single" w:sz="4" w:space="0" w:color="auto"/>
            </w:tcBorders>
          </w:tcPr>
          <w:p w:rsidR="00D65CFC" w:rsidRPr="002045F5" w:rsidRDefault="00D65CFC" w:rsidP="00524DBF">
            <w:pPr>
              <w:pStyle w:val="a7"/>
              <w:ind w:left="0"/>
              <w:jc w:val="center"/>
              <w:rPr>
                <w:b/>
                <w:sz w:val="22"/>
              </w:rPr>
            </w:pPr>
            <w:proofErr w:type="spellStart"/>
            <w:r w:rsidRPr="002045F5">
              <w:rPr>
                <w:b/>
                <w:sz w:val="22"/>
              </w:rPr>
              <w:t>Місцевий</w:t>
            </w:r>
            <w:proofErr w:type="spellEnd"/>
            <w:r w:rsidRPr="002045F5">
              <w:rPr>
                <w:b/>
                <w:sz w:val="22"/>
              </w:rPr>
              <w:t xml:space="preserve"> бюджет</w:t>
            </w:r>
          </w:p>
        </w:tc>
        <w:tc>
          <w:tcPr>
            <w:tcW w:w="2742" w:type="dxa"/>
            <w:gridSpan w:val="4"/>
            <w:tcBorders>
              <w:left w:val="single" w:sz="4" w:space="0" w:color="auto"/>
              <w:bottom w:val="single" w:sz="4" w:space="0" w:color="auto"/>
              <w:right w:val="single" w:sz="4" w:space="0" w:color="auto"/>
            </w:tcBorders>
          </w:tcPr>
          <w:p w:rsidR="00D65CFC" w:rsidRPr="002045F5" w:rsidRDefault="00D65CFC" w:rsidP="00524DBF">
            <w:pPr>
              <w:pStyle w:val="a7"/>
              <w:ind w:left="0"/>
              <w:jc w:val="center"/>
              <w:rPr>
                <w:b/>
                <w:sz w:val="22"/>
              </w:rPr>
            </w:pPr>
            <w:proofErr w:type="spellStart"/>
            <w:r w:rsidRPr="002045F5">
              <w:rPr>
                <w:b/>
                <w:sz w:val="22"/>
              </w:rPr>
              <w:t>Інші</w:t>
            </w:r>
            <w:proofErr w:type="spellEnd"/>
            <w:r w:rsidRPr="002045F5">
              <w:rPr>
                <w:b/>
                <w:sz w:val="22"/>
              </w:rPr>
              <w:t xml:space="preserve"> </w:t>
            </w:r>
            <w:proofErr w:type="spellStart"/>
            <w:r w:rsidRPr="002045F5">
              <w:rPr>
                <w:b/>
                <w:sz w:val="22"/>
              </w:rPr>
              <w:t>джерела</w:t>
            </w:r>
            <w:proofErr w:type="spellEnd"/>
          </w:p>
        </w:tc>
        <w:tc>
          <w:tcPr>
            <w:tcW w:w="1142" w:type="dxa"/>
            <w:tcBorders>
              <w:left w:val="single" w:sz="4" w:space="0" w:color="auto"/>
              <w:bottom w:val="single" w:sz="4" w:space="0" w:color="auto"/>
            </w:tcBorders>
          </w:tcPr>
          <w:p w:rsidR="00D65CFC" w:rsidRPr="002045F5" w:rsidRDefault="00D65CFC" w:rsidP="00524DBF">
            <w:pPr>
              <w:pStyle w:val="a7"/>
              <w:ind w:left="0"/>
              <w:jc w:val="center"/>
              <w:rPr>
                <w:b/>
                <w:sz w:val="22"/>
              </w:rPr>
            </w:pPr>
            <w:proofErr w:type="spellStart"/>
            <w:r w:rsidRPr="002045F5">
              <w:rPr>
                <w:b/>
                <w:sz w:val="22"/>
              </w:rPr>
              <w:t>Всього</w:t>
            </w:r>
            <w:proofErr w:type="spellEnd"/>
          </w:p>
        </w:tc>
      </w:tr>
      <w:tr w:rsidR="00D65CFC" w:rsidRPr="002045F5" w:rsidTr="00524DBF">
        <w:trPr>
          <w:trHeight w:val="225"/>
        </w:trPr>
        <w:tc>
          <w:tcPr>
            <w:tcW w:w="2836" w:type="dxa"/>
            <w:vMerge/>
            <w:shd w:val="clear" w:color="auto" w:fill="C6D9F1" w:themeFill="text2" w:themeFillTint="33"/>
          </w:tcPr>
          <w:p w:rsidR="00D65CFC" w:rsidRPr="002045F5" w:rsidRDefault="00D65CFC" w:rsidP="00524DBF">
            <w:pPr>
              <w:pStyle w:val="a7"/>
              <w:ind w:left="0"/>
              <w:rPr>
                <w:b/>
                <w:sz w:val="22"/>
              </w:rPr>
            </w:pPr>
          </w:p>
        </w:tc>
        <w:tc>
          <w:tcPr>
            <w:tcW w:w="1869" w:type="dxa"/>
            <w:vMerge w:val="restart"/>
            <w:tcBorders>
              <w:top w:val="single" w:sz="4" w:space="0" w:color="auto"/>
              <w:right w:val="single" w:sz="4" w:space="0" w:color="auto"/>
            </w:tcBorders>
          </w:tcPr>
          <w:p w:rsidR="00D65CFC" w:rsidRPr="002045F5" w:rsidRDefault="00D65CFC" w:rsidP="00524DBF">
            <w:pPr>
              <w:pStyle w:val="a7"/>
              <w:ind w:left="0"/>
              <w:jc w:val="center"/>
              <w:rPr>
                <w:sz w:val="22"/>
              </w:rPr>
            </w:pPr>
            <w:r w:rsidRPr="002045F5">
              <w:rPr>
                <w:sz w:val="22"/>
              </w:rPr>
              <w:t>262,0</w:t>
            </w:r>
          </w:p>
        </w:tc>
        <w:tc>
          <w:tcPr>
            <w:tcW w:w="1299" w:type="dxa"/>
            <w:vMerge w:val="restart"/>
            <w:tcBorders>
              <w:top w:val="single" w:sz="4" w:space="0" w:color="auto"/>
              <w:right w:val="single" w:sz="4" w:space="0" w:color="auto"/>
            </w:tcBorders>
          </w:tcPr>
          <w:p w:rsidR="00D65CFC" w:rsidRPr="002045F5" w:rsidRDefault="00D65CFC" w:rsidP="00524DBF">
            <w:pPr>
              <w:pStyle w:val="a7"/>
              <w:ind w:left="0"/>
              <w:jc w:val="center"/>
              <w:rPr>
                <w:b/>
                <w:sz w:val="22"/>
              </w:rPr>
            </w:pPr>
            <w:r w:rsidRPr="002045F5">
              <w:rPr>
                <w:b/>
                <w:sz w:val="22"/>
              </w:rPr>
              <w:t>-</w:t>
            </w:r>
          </w:p>
        </w:tc>
        <w:tc>
          <w:tcPr>
            <w:tcW w:w="869" w:type="dxa"/>
            <w:gridSpan w:val="2"/>
            <w:tcBorders>
              <w:top w:val="single" w:sz="4" w:space="0" w:color="auto"/>
              <w:left w:val="single" w:sz="4" w:space="0" w:color="auto"/>
              <w:bottom w:val="single" w:sz="4" w:space="0" w:color="auto"/>
              <w:right w:val="single" w:sz="4" w:space="0" w:color="auto"/>
            </w:tcBorders>
          </w:tcPr>
          <w:p w:rsidR="00D65CFC" w:rsidRPr="002045F5" w:rsidRDefault="00D65CFC" w:rsidP="00524DBF">
            <w:pPr>
              <w:pStyle w:val="a7"/>
              <w:ind w:left="0"/>
              <w:jc w:val="center"/>
              <w:rPr>
                <w:b/>
                <w:sz w:val="22"/>
              </w:rPr>
            </w:pPr>
            <w:proofErr w:type="spellStart"/>
            <w:r w:rsidRPr="002045F5">
              <w:rPr>
                <w:b/>
                <w:sz w:val="22"/>
              </w:rPr>
              <w:t>Обсяг</w:t>
            </w:r>
            <w:proofErr w:type="spellEnd"/>
          </w:p>
        </w:tc>
        <w:tc>
          <w:tcPr>
            <w:tcW w:w="1873" w:type="dxa"/>
            <w:gridSpan w:val="2"/>
            <w:tcBorders>
              <w:top w:val="single" w:sz="4" w:space="0" w:color="auto"/>
              <w:left w:val="single" w:sz="4" w:space="0" w:color="auto"/>
              <w:bottom w:val="single" w:sz="4" w:space="0" w:color="auto"/>
              <w:right w:val="single" w:sz="4" w:space="0" w:color="auto"/>
            </w:tcBorders>
          </w:tcPr>
          <w:p w:rsidR="00D65CFC" w:rsidRPr="002045F5" w:rsidRDefault="00D65CFC" w:rsidP="00524DBF">
            <w:pPr>
              <w:pStyle w:val="a7"/>
              <w:ind w:left="0"/>
              <w:jc w:val="center"/>
              <w:rPr>
                <w:b/>
                <w:sz w:val="22"/>
              </w:rPr>
            </w:pPr>
            <w:proofErr w:type="spellStart"/>
            <w:r w:rsidRPr="002045F5">
              <w:rPr>
                <w:b/>
                <w:sz w:val="22"/>
              </w:rPr>
              <w:t>Назва</w:t>
            </w:r>
            <w:proofErr w:type="spellEnd"/>
            <w:r w:rsidRPr="002045F5">
              <w:rPr>
                <w:b/>
                <w:sz w:val="22"/>
              </w:rPr>
              <w:t xml:space="preserve"> </w:t>
            </w:r>
            <w:proofErr w:type="spellStart"/>
            <w:r w:rsidRPr="002045F5">
              <w:rPr>
                <w:b/>
                <w:sz w:val="22"/>
              </w:rPr>
              <w:t>джерела</w:t>
            </w:r>
            <w:proofErr w:type="spellEnd"/>
          </w:p>
        </w:tc>
        <w:tc>
          <w:tcPr>
            <w:tcW w:w="1142" w:type="dxa"/>
            <w:vMerge w:val="restart"/>
            <w:tcBorders>
              <w:top w:val="single" w:sz="4" w:space="0" w:color="auto"/>
              <w:left w:val="single" w:sz="4" w:space="0" w:color="auto"/>
            </w:tcBorders>
          </w:tcPr>
          <w:p w:rsidR="00D65CFC" w:rsidRPr="002045F5" w:rsidRDefault="00D65CFC" w:rsidP="00524DBF">
            <w:pPr>
              <w:pStyle w:val="a7"/>
              <w:ind w:left="0"/>
              <w:jc w:val="center"/>
              <w:rPr>
                <w:sz w:val="22"/>
              </w:rPr>
            </w:pPr>
            <w:r w:rsidRPr="002045F5">
              <w:rPr>
                <w:sz w:val="22"/>
              </w:rPr>
              <w:t>327,0</w:t>
            </w:r>
          </w:p>
        </w:tc>
      </w:tr>
      <w:tr w:rsidR="00D65CFC" w:rsidRPr="002045F5" w:rsidTr="00524DBF">
        <w:trPr>
          <w:trHeight w:val="300"/>
        </w:trPr>
        <w:tc>
          <w:tcPr>
            <w:tcW w:w="2836" w:type="dxa"/>
            <w:vMerge/>
            <w:shd w:val="clear" w:color="auto" w:fill="C6D9F1" w:themeFill="text2" w:themeFillTint="33"/>
          </w:tcPr>
          <w:p w:rsidR="00D65CFC" w:rsidRPr="002045F5" w:rsidRDefault="00D65CFC" w:rsidP="00524DBF">
            <w:pPr>
              <w:pStyle w:val="a7"/>
              <w:ind w:left="0"/>
              <w:rPr>
                <w:b/>
                <w:sz w:val="22"/>
              </w:rPr>
            </w:pPr>
          </w:p>
        </w:tc>
        <w:tc>
          <w:tcPr>
            <w:tcW w:w="1869" w:type="dxa"/>
            <w:vMerge/>
            <w:tcBorders>
              <w:right w:val="single" w:sz="4" w:space="0" w:color="auto"/>
            </w:tcBorders>
          </w:tcPr>
          <w:p w:rsidR="00D65CFC" w:rsidRPr="002045F5" w:rsidRDefault="00D65CFC" w:rsidP="00524DBF">
            <w:pPr>
              <w:pStyle w:val="a7"/>
              <w:ind w:left="0"/>
              <w:jc w:val="center"/>
              <w:rPr>
                <w:sz w:val="22"/>
              </w:rPr>
            </w:pPr>
          </w:p>
        </w:tc>
        <w:tc>
          <w:tcPr>
            <w:tcW w:w="1299" w:type="dxa"/>
            <w:vMerge/>
            <w:tcBorders>
              <w:right w:val="single" w:sz="4" w:space="0" w:color="auto"/>
            </w:tcBorders>
          </w:tcPr>
          <w:p w:rsidR="00D65CFC" w:rsidRPr="002045F5" w:rsidRDefault="00D65CFC" w:rsidP="00524DBF">
            <w:pPr>
              <w:pStyle w:val="a7"/>
              <w:ind w:left="0"/>
              <w:jc w:val="center"/>
              <w:rPr>
                <w:b/>
                <w:sz w:val="22"/>
              </w:rPr>
            </w:pPr>
          </w:p>
        </w:tc>
        <w:tc>
          <w:tcPr>
            <w:tcW w:w="869" w:type="dxa"/>
            <w:gridSpan w:val="2"/>
            <w:tcBorders>
              <w:top w:val="single" w:sz="4" w:space="0" w:color="auto"/>
              <w:left w:val="single" w:sz="4" w:space="0" w:color="auto"/>
              <w:right w:val="single" w:sz="4" w:space="0" w:color="auto"/>
            </w:tcBorders>
          </w:tcPr>
          <w:p w:rsidR="00D65CFC" w:rsidRPr="002045F5" w:rsidRDefault="00D65CFC" w:rsidP="00524DBF">
            <w:pPr>
              <w:pStyle w:val="a7"/>
              <w:ind w:left="0"/>
              <w:jc w:val="center"/>
              <w:rPr>
                <w:sz w:val="22"/>
              </w:rPr>
            </w:pPr>
            <w:r w:rsidRPr="002045F5">
              <w:rPr>
                <w:sz w:val="22"/>
              </w:rPr>
              <w:t>65,0</w:t>
            </w:r>
          </w:p>
        </w:tc>
        <w:tc>
          <w:tcPr>
            <w:tcW w:w="1873" w:type="dxa"/>
            <w:gridSpan w:val="2"/>
            <w:tcBorders>
              <w:top w:val="single" w:sz="4" w:space="0" w:color="auto"/>
              <w:left w:val="single" w:sz="4" w:space="0" w:color="auto"/>
              <w:right w:val="single" w:sz="4" w:space="0" w:color="auto"/>
            </w:tcBorders>
          </w:tcPr>
          <w:p w:rsidR="00D65CFC" w:rsidRPr="002045F5" w:rsidRDefault="00D65CFC" w:rsidP="00524DBF">
            <w:pPr>
              <w:pStyle w:val="a7"/>
              <w:ind w:left="0"/>
              <w:jc w:val="center"/>
              <w:rPr>
                <w:sz w:val="22"/>
              </w:rPr>
            </w:pPr>
            <w:proofErr w:type="spellStart"/>
            <w:r w:rsidRPr="002045F5">
              <w:rPr>
                <w:sz w:val="22"/>
              </w:rPr>
              <w:t>Міжнародні</w:t>
            </w:r>
            <w:proofErr w:type="spellEnd"/>
            <w:r w:rsidRPr="002045F5">
              <w:rPr>
                <w:sz w:val="22"/>
              </w:rPr>
              <w:t xml:space="preserve"> </w:t>
            </w:r>
            <w:proofErr w:type="spellStart"/>
            <w:r w:rsidRPr="002045F5">
              <w:rPr>
                <w:sz w:val="22"/>
              </w:rPr>
              <w:t>інвестиції</w:t>
            </w:r>
            <w:proofErr w:type="spellEnd"/>
            <w:r w:rsidRPr="002045F5">
              <w:rPr>
                <w:sz w:val="22"/>
              </w:rPr>
              <w:t xml:space="preserve">, </w:t>
            </w:r>
            <w:proofErr w:type="spellStart"/>
            <w:r w:rsidRPr="002045F5">
              <w:rPr>
                <w:sz w:val="22"/>
              </w:rPr>
              <w:t>кошти</w:t>
            </w:r>
            <w:proofErr w:type="spellEnd"/>
            <w:r w:rsidRPr="002045F5">
              <w:rPr>
                <w:sz w:val="22"/>
              </w:rPr>
              <w:t xml:space="preserve"> </w:t>
            </w:r>
            <w:proofErr w:type="spellStart"/>
            <w:r w:rsidRPr="002045F5">
              <w:rPr>
                <w:sz w:val="22"/>
              </w:rPr>
              <w:t>приватних</w:t>
            </w:r>
            <w:proofErr w:type="spellEnd"/>
            <w:r w:rsidRPr="002045F5">
              <w:rPr>
                <w:sz w:val="22"/>
              </w:rPr>
              <w:t xml:space="preserve"> </w:t>
            </w:r>
            <w:proofErr w:type="spellStart"/>
            <w:r w:rsidRPr="002045F5">
              <w:rPr>
                <w:sz w:val="22"/>
              </w:rPr>
              <w:t>осіб</w:t>
            </w:r>
            <w:proofErr w:type="spellEnd"/>
          </w:p>
        </w:tc>
        <w:tc>
          <w:tcPr>
            <w:tcW w:w="1142" w:type="dxa"/>
            <w:vMerge/>
            <w:tcBorders>
              <w:left w:val="single" w:sz="4" w:space="0" w:color="auto"/>
            </w:tcBorders>
          </w:tcPr>
          <w:p w:rsidR="00D65CFC" w:rsidRPr="002045F5" w:rsidRDefault="00D65CFC" w:rsidP="00524DBF">
            <w:pPr>
              <w:pStyle w:val="a7"/>
              <w:ind w:left="0"/>
              <w:jc w:val="center"/>
              <w:rPr>
                <w:sz w:val="22"/>
              </w:rPr>
            </w:pPr>
          </w:p>
        </w:tc>
      </w:tr>
    </w:tbl>
    <w:p w:rsidR="00822744" w:rsidRPr="002045F5" w:rsidRDefault="00822744" w:rsidP="00E95FB1">
      <w:pPr>
        <w:rPr>
          <w:sz w:val="22"/>
        </w:rPr>
      </w:pPr>
    </w:p>
    <w:p w:rsidR="00D65CFC" w:rsidRPr="002045F5" w:rsidRDefault="00D65CFC" w:rsidP="00E95FB1">
      <w:pPr>
        <w:rPr>
          <w:sz w:val="22"/>
          <w:lang w:val="ru-RU"/>
        </w:rPr>
      </w:pPr>
    </w:p>
    <w:p w:rsidR="00D65CFC" w:rsidRPr="002045F5" w:rsidRDefault="00D65CFC" w:rsidP="00E95FB1">
      <w:pPr>
        <w:rPr>
          <w:sz w:val="22"/>
          <w:lang w:val="ru-RU"/>
        </w:rPr>
      </w:pPr>
    </w:p>
    <w:tbl>
      <w:tblPr>
        <w:tblW w:w="100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9"/>
        <w:gridCol w:w="1521"/>
        <w:gridCol w:w="1550"/>
        <w:gridCol w:w="905"/>
        <w:gridCol w:w="562"/>
        <w:gridCol w:w="1139"/>
        <w:gridCol w:w="316"/>
        <w:gridCol w:w="1208"/>
      </w:tblGrid>
      <w:tr w:rsidR="00945EF0" w:rsidRPr="002045F5" w:rsidTr="00945EF0">
        <w:tc>
          <w:tcPr>
            <w:tcW w:w="282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r w:rsidRPr="002045F5">
              <w:rPr>
                <w:rFonts w:eastAsia="Calibri"/>
                <w:b/>
                <w:color w:val="000000"/>
                <w:sz w:val="22"/>
              </w:rPr>
              <w:t>Оперативна ціль/завдання</w:t>
            </w:r>
          </w:p>
        </w:tc>
        <w:tc>
          <w:tcPr>
            <w:tcW w:w="7201" w:type="dxa"/>
            <w:gridSpan w:val="7"/>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 xml:space="preserve">Людський розвиток через інновації управління та довіру до влади. Формування сучасного інклюзивного  </w:t>
            </w:r>
            <w:proofErr w:type="spellStart"/>
            <w:r w:rsidRPr="002045F5">
              <w:rPr>
                <w:sz w:val="22"/>
              </w:rPr>
              <w:t>освітньо</w:t>
            </w:r>
            <w:proofErr w:type="spellEnd"/>
            <w:r w:rsidRPr="002045F5">
              <w:rPr>
                <w:sz w:val="22"/>
              </w:rPr>
              <w:t>-культурного та спортивного простору для розвитку</w:t>
            </w:r>
          </w:p>
        </w:tc>
      </w:tr>
      <w:tr w:rsidR="00945EF0" w:rsidRPr="002045F5" w:rsidTr="00945EF0">
        <w:tc>
          <w:tcPr>
            <w:tcW w:w="282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r w:rsidRPr="002045F5">
              <w:rPr>
                <w:rFonts w:eastAsia="Calibri"/>
                <w:b/>
                <w:color w:val="000000"/>
                <w:sz w:val="22"/>
              </w:rPr>
              <w:t>Назва проекту:</w:t>
            </w:r>
          </w:p>
        </w:tc>
        <w:tc>
          <w:tcPr>
            <w:tcW w:w="7201" w:type="dxa"/>
            <w:gridSpan w:val="7"/>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 xml:space="preserve">Відновлення роботи шкільної  їдальні (харчоблоку та обідньої зали) Гімназії №6 міста Сєвєродонецька Луганської області. </w:t>
            </w:r>
          </w:p>
          <w:p w:rsidR="00945EF0" w:rsidRPr="002045F5" w:rsidRDefault="00945EF0" w:rsidP="001038B7">
            <w:pPr>
              <w:rPr>
                <w:sz w:val="22"/>
              </w:rPr>
            </w:pPr>
            <w:r w:rsidRPr="002045F5">
              <w:rPr>
                <w:sz w:val="22"/>
              </w:rPr>
              <w:t xml:space="preserve">вул. Маяковського, 9, м. Сєвєродонецьк, Сєвєродонецький р-н, Луганська обл. </w:t>
            </w:r>
          </w:p>
        </w:tc>
      </w:tr>
      <w:tr w:rsidR="00945EF0" w:rsidRPr="002045F5" w:rsidTr="00945EF0">
        <w:tc>
          <w:tcPr>
            <w:tcW w:w="282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r w:rsidRPr="002045F5">
              <w:rPr>
                <w:rFonts w:eastAsia="Calibri"/>
                <w:b/>
                <w:color w:val="000000"/>
                <w:sz w:val="22"/>
              </w:rPr>
              <w:t>Ціль проекту</w:t>
            </w:r>
          </w:p>
        </w:tc>
        <w:tc>
          <w:tcPr>
            <w:tcW w:w="7201" w:type="dxa"/>
            <w:gridSpan w:val="7"/>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Відновлення роботи шкільної їдальні (харчоблоку та обідньої зали) через проведення капітального ремонту й оснащення її приміщень сучасним обладнанням, запровадження принципів системи НАССР, що є невід’ємною складовою створення сучасного безпечного простору в закладі.</w:t>
            </w:r>
          </w:p>
        </w:tc>
      </w:tr>
      <w:tr w:rsidR="00945EF0" w:rsidRPr="002045F5" w:rsidTr="00945EF0">
        <w:tc>
          <w:tcPr>
            <w:tcW w:w="282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r w:rsidRPr="002045F5">
              <w:rPr>
                <w:rFonts w:eastAsia="Calibri"/>
                <w:b/>
                <w:color w:val="000000"/>
                <w:sz w:val="22"/>
              </w:rPr>
              <w:t>Територія, на яку матиме вплив реалізація проекту</w:t>
            </w:r>
          </w:p>
        </w:tc>
        <w:tc>
          <w:tcPr>
            <w:tcW w:w="7201" w:type="dxa"/>
            <w:gridSpan w:val="7"/>
            <w:tcBorders>
              <w:top w:val="single" w:sz="6" w:space="0" w:color="auto"/>
              <w:left w:val="single" w:sz="6" w:space="0" w:color="auto"/>
              <w:bottom w:val="single" w:sz="6" w:space="0" w:color="auto"/>
              <w:right w:val="single" w:sz="6" w:space="0" w:color="auto"/>
            </w:tcBorders>
            <w:shd w:val="clear" w:color="auto" w:fill="auto"/>
          </w:tcPr>
          <w:p w:rsidR="00945EF0" w:rsidRPr="002045F5" w:rsidRDefault="00945EF0" w:rsidP="001038B7">
            <w:pPr>
              <w:autoSpaceDE w:val="0"/>
              <w:autoSpaceDN w:val="0"/>
              <w:adjustRightInd w:val="0"/>
              <w:rPr>
                <w:rFonts w:eastAsia="Calibri"/>
                <w:sz w:val="22"/>
              </w:rPr>
            </w:pPr>
            <w:r w:rsidRPr="002045F5">
              <w:rPr>
                <w:rFonts w:eastAsia="Calibri"/>
                <w:sz w:val="22"/>
              </w:rPr>
              <w:t>Сєвєродонецька міська територіальна громада</w:t>
            </w:r>
          </w:p>
        </w:tc>
      </w:tr>
      <w:tr w:rsidR="00945EF0" w:rsidRPr="002045F5" w:rsidTr="00945EF0">
        <w:tc>
          <w:tcPr>
            <w:tcW w:w="282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r w:rsidRPr="002045F5">
              <w:rPr>
                <w:rFonts w:eastAsia="Calibri"/>
                <w:b/>
                <w:color w:val="000000"/>
                <w:sz w:val="22"/>
              </w:rPr>
              <w:t>Чисельність населення, на яке матиме вплив реалізація проекту</w:t>
            </w:r>
          </w:p>
        </w:tc>
        <w:tc>
          <w:tcPr>
            <w:tcW w:w="7201" w:type="dxa"/>
            <w:gridSpan w:val="7"/>
            <w:tcBorders>
              <w:top w:val="single" w:sz="6" w:space="0" w:color="auto"/>
              <w:left w:val="single" w:sz="6" w:space="0" w:color="auto"/>
              <w:bottom w:val="single" w:sz="6" w:space="0" w:color="auto"/>
              <w:right w:val="single" w:sz="6" w:space="0" w:color="auto"/>
            </w:tcBorders>
            <w:shd w:val="clear" w:color="auto" w:fill="auto"/>
          </w:tcPr>
          <w:p w:rsidR="00945EF0" w:rsidRPr="002045F5" w:rsidRDefault="00945EF0" w:rsidP="001038B7">
            <w:pPr>
              <w:autoSpaceDE w:val="0"/>
              <w:autoSpaceDN w:val="0"/>
              <w:adjustRightInd w:val="0"/>
              <w:rPr>
                <w:rFonts w:eastAsia="Calibri"/>
                <w:sz w:val="22"/>
              </w:rPr>
            </w:pPr>
            <w:r w:rsidRPr="002045F5">
              <w:rPr>
                <w:rFonts w:eastAsia="Calibri"/>
                <w:sz w:val="22"/>
              </w:rPr>
              <w:t>70 000 осіб</w:t>
            </w:r>
          </w:p>
        </w:tc>
      </w:tr>
      <w:tr w:rsidR="00945EF0" w:rsidRPr="002045F5" w:rsidTr="00945EF0">
        <w:tc>
          <w:tcPr>
            <w:tcW w:w="282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r w:rsidRPr="002045F5">
              <w:rPr>
                <w:rFonts w:eastAsia="Calibri"/>
                <w:b/>
                <w:color w:val="000000"/>
                <w:sz w:val="22"/>
              </w:rPr>
              <w:t>Опис проблеми, на вирішення якої спрямований проект</w:t>
            </w:r>
          </w:p>
        </w:tc>
        <w:tc>
          <w:tcPr>
            <w:tcW w:w="7201" w:type="dxa"/>
            <w:gridSpan w:val="7"/>
            <w:tcBorders>
              <w:top w:val="single" w:sz="6" w:space="0" w:color="auto"/>
              <w:left w:val="single" w:sz="6" w:space="0" w:color="auto"/>
              <w:bottom w:val="single" w:sz="6" w:space="0" w:color="auto"/>
              <w:right w:val="single" w:sz="6" w:space="0" w:color="auto"/>
            </w:tcBorders>
            <w:shd w:val="clear" w:color="auto" w:fill="auto"/>
          </w:tcPr>
          <w:p w:rsidR="00945EF0" w:rsidRPr="002045F5" w:rsidRDefault="00945EF0" w:rsidP="001038B7">
            <w:pPr>
              <w:autoSpaceDE w:val="0"/>
              <w:autoSpaceDN w:val="0"/>
              <w:adjustRightInd w:val="0"/>
              <w:rPr>
                <w:rFonts w:eastAsia="Calibri"/>
                <w:sz w:val="22"/>
              </w:rPr>
            </w:pPr>
            <w:r w:rsidRPr="002045F5">
              <w:rPr>
                <w:rFonts w:eastAsia="Calibri"/>
                <w:sz w:val="22"/>
              </w:rPr>
              <w:t xml:space="preserve">     На момент повномасштабного вторгнення </w:t>
            </w:r>
            <w:r w:rsidR="00D87705" w:rsidRPr="002045F5">
              <w:rPr>
                <w:rFonts w:eastAsia="Calibri"/>
                <w:sz w:val="22"/>
              </w:rPr>
              <w:t>РФ</w:t>
            </w:r>
            <w:r w:rsidRPr="002045F5">
              <w:rPr>
                <w:rFonts w:eastAsia="Calibri"/>
                <w:sz w:val="22"/>
              </w:rPr>
              <w:t xml:space="preserve"> на територію України Гімназія №6 міста Сєвєродонецька Луганської області потребувала капітального ремонту шкільної їдальні (харчоблоку та обідньої зали). Заклад було відкрито в 1970 році. За час існування школи на харчоблоці та в приміщенні обідньої зали не було зроблено капітального ремонту, що призвело до появи плісняви на східцях між першим і другим поверхом харчоблоку, деяке обладнання застаріло, обвалюється керамічна плитка, потребують заміни старі двері з </w:t>
            </w:r>
            <w:proofErr w:type="spellStart"/>
            <w:r w:rsidRPr="002045F5">
              <w:rPr>
                <w:rFonts w:eastAsia="Calibri"/>
                <w:sz w:val="22"/>
              </w:rPr>
              <w:t>тріщинами</w:t>
            </w:r>
            <w:proofErr w:type="spellEnd"/>
            <w:r w:rsidRPr="002045F5">
              <w:rPr>
                <w:rFonts w:eastAsia="Calibri"/>
                <w:sz w:val="22"/>
              </w:rPr>
              <w:t xml:space="preserve"> та </w:t>
            </w:r>
            <w:proofErr w:type="spellStart"/>
            <w:r w:rsidRPr="002045F5">
              <w:rPr>
                <w:rFonts w:eastAsia="Calibri"/>
                <w:sz w:val="22"/>
              </w:rPr>
              <w:t>облущенням</w:t>
            </w:r>
            <w:proofErr w:type="spellEnd"/>
            <w:r w:rsidRPr="002045F5">
              <w:rPr>
                <w:rFonts w:eastAsia="Calibri"/>
                <w:sz w:val="22"/>
              </w:rPr>
              <w:t xml:space="preserve">. Система  </w:t>
            </w:r>
            <w:r w:rsidRPr="002045F5">
              <w:rPr>
                <w:rFonts w:eastAsia="Calibri"/>
                <w:sz w:val="22"/>
              </w:rPr>
              <w:lastRenderedPageBreak/>
              <w:t>водопостачання, каналізація, витяжка також потребують реконструкції.  На момент початку воєнних дій частково було оновлено обладнання харчоблоку, замінено меблі в обідній залі. З початком війни частина обладнання зникла, була викрадена.</w:t>
            </w:r>
          </w:p>
          <w:p w:rsidR="00945EF0" w:rsidRPr="002045F5" w:rsidRDefault="00945EF0" w:rsidP="001038B7">
            <w:pPr>
              <w:autoSpaceDE w:val="0"/>
              <w:autoSpaceDN w:val="0"/>
              <w:adjustRightInd w:val="0"/>
              <w:rPr>
                <w:rFonts w:eastAsia="Calibri"/>
                <w:color w:val="FF0000"/>
                <w:sz w:val="22"/>
              </w:rPr>
            </w:pPr>
            <w:r w:rsidRPr="002045F5">
              <w:rPr>
                <w:rFonts w:eastAsia="Calibri"/>
                <w:sz w:val="22"/>
              </w:rPr>
              <w:t xml:space="preserve">     Отже, капітальний ремонт шкільної їдальні та оснащення новим обладнанням й меблями дозволить створити комфортні умови для організації харчування школярів та впровадження принципів системи НАССР.</w:t>
            </w:r>
          </w:p>
        </w:tc>
      </w:tr>
      <w:tr w:rsidR="00945EF0" w:rsidRPr="002045F5" w:rsidTr="00945EF0">
        <w:tc>
          <w:tcPr>
            <w:tcW w:w="282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r w:rsidRPr="002045F5">
              <w:rPr>
                <w:rFonts w:eastAsia="Calibri"/>
                <w:b/>
                <w:color w:val="000000"/>
                <w:sz w:val="22"/>
              </w:rPr>
              <w:lastRenderedPageBreak/>
              <w:t>Очікувані якісні результати від реалізації проекту</w:t>
            </w:r>
          </w:p>
        </w:tc>
        <w:tc>
          <w:tcPr>
            <w:tcW w:w="7201" w:type="dxa"/>
            <w:gridSpan w:val="7"/>
            <w:tcBorders>
              <w:top w:val="single" w:sz="6" w:space="0" w:color="auto"/>
              <w:left w:val="single" w:sz="6" w:space="0" w:color="auto"/>
              <w:bottom w:val="single" w:sz="6" w:space="0" w:color="auto"/>
              <w:right w:val="single" w:sz="6" w:space="0" w:color="auto"/>
            </w:tcBorders>
            <w:shd w:val="clear" w:color="auto" w:fill="auto"/>
          </w:tcPr>
          <w:p w:rsidR="00945EF0" w:rsidRPr="002045F5" w:rsidRDefault="00945EF0" w:rsidP="001038B7">
            <w:pPr>
              <w:autoSpaceDE w:val="0"/>
              <w:autoSpaceDN w:val="0"/>
              <w:adjustRightInd w:val="0"/>
              <w:rPr>
                <w:rFonts w:eastAsia="Calibri"/>
                <w:sz w:val="22"/>
              </w:rPr>
            </w:pPr>
            <w:r w:rsidRPr="002045F5">
              <w:rPr>
                <w:rFonts w:eastAsia="Calibri"/>
                <w:sz w:val="22"/>
              </w:rPr>
              <w:t xml:space="preserve">     Очікувані результати від </w:t>
            </w:r>
            <w:proofErr w:type="spellStart"/>
            <w:r w:rsidRPr="002045F5">
              <w:rPr>
                <w:rFonts w:eastAsia="Calibri"/>
                <w:sz w:val="22"/>
              </w:rPr>
              <w:t>проєкту</w:t>
            </w:r>
            <w:proofErr w:type="spellEnd"/>
            <w:r w:rsidRPr="002045F5">
              <w:rPr>
                <w:rFonts w:eastAsia="Calibri"/>
                <w:sz w:val="22"/>
              </w:rPr>
              <w:t>. Буде:</w:t>
            </w:r>
          </w:p>
          <w:p w:rsidR="00945EF0" w:rsidRPr="002045F5" w:rsidRDefault="00945EF0" w:rsidP="001038B7">
            <w:pPr>
              <w:autoSpaceDE w:val="0"/>
              <w:autoSpaceDN w:val="0"/>
              <w:adjustRightInd w:val="0"/>
              <w:rPr>
                <w:rFonts w:eastAsia="Calibri"/>
                <w:sz w:val="22"/>
              </w:rPr>
            </w:pPr>
            <w:r w:rsidRPr="002045F5">
              <w:rPr>
                <w:rFonts w:eastAsia="Calibri"/>
                <w:sz w:val="22"/>
              </w:rPr>
              <w:t xml:space="preserve">1. Проведено оцінку потреб щодо проведення капітального ремонту в шкільній їдальні та закупівлі обладнання, меблів для харчоблоку й обідньої зали та складено кошторис </w:t>
            </w:r>
            <w:proofErr w:type="spellStart"/>
            <w:r w:rsidRPr="002045F5">
              <w:rPr>
                <w:rFonts w:eastAsia="Calibri"/>
                <w:sz w:val="22"/>
              </w:rPr>
              <w:t>проєкту</w:t>
            </w:r>
            <w:proofErr w:type="spellEnd"/>
            <w:r w:rsidRPr="002045F5">
              <w:rPr>
                <w:rFonts w:eastAsia="Calibri"/>
                <w:sz w:val="22"/>
              </w:rPr>
              <w:t>.</w:t>
            </w:r>
          </w:p>
          <w:p w:rsidR="00945EF0" w:rsidRPr="002045F5" w:rsidRDefault="00945EF0" w:rsidP="001038B7">
            <w:pPr>
              <w:autoSpaceDE w:val="0"/>
              <w:autoSpaceDN w:val="0"/>
              <w:adjustRightInd w:val="0"/>
              <w:rPr>
                <w:rFonts w:eastAsia="Calibri"/>
                <w:sz w:val="22"/>
              </w:rPr>
            </w:pPr>
            <w:r w:rsidRPr="002045F5">
              <w:rPr>
                <w:rFonts w:eastAsia="Calibri"/>
                <w:sz w:val="22"/>
              </w:rPr>
              <w:t xml:space="preserve">2. Проведено рекламну кампанію </w:t>
            </w:r>
            <w:proofErr w:type="spellStart"/>
            <w:r w:rsidRPr="002045F5">
              <w:rPr>
                <w:rFonts w:eastAsia="Calibri"/>
                <w:sz w:val="22"/>
              </w:rPr>
              <w:t>проєкту</w:t>
            </w:r>
            <w:proofErr w:type="spellEnd"/>
            <w:r w:rsidRPr="002045F5">
              <w:rPr>
                <w:rFonts w:eastAsia="Calibri"/>
                <w:sz w:val="22"/>
              </w:rPr>
              <w:t xml:space="preserve"> «Шкільне харчування: нові підходи».</w:t>
            </w:r>
          </w:p>
          <w:p w:rsidR="00945EF0" w:rsidRPr="002045F5" w:rsidRDefault="00945EF0" w:rsidP="001038B7">
            <w:pPr>
              <w:autoSpaceDE w:val="0"/>
              <w:autoSpaceDN w:val="0"/>
              <w:adjustRightInd w:val="0"/>
              <w:rPr>
                <w:rFonts w:eastAsia="Calibri"/>
                <w:sz w:val="22"/>
              </w:rPr>
            </w:pPr>
            <w:r w:rsidRPr="002045F5">
              <w:rPr>
                <w:rFonts w:eastAsia="Calibri"/>
                <w:sz w:val="22"/>
              </w:rPr>
              <w:t xml:space="preserve">3. Зроблено капітальний ремонт (демонтаж старого </w:t>
            </w:r>
            <w:proofErr w:type="spellStart"/>
            <w:r w:rsidRPr="002045F5">
              <w:rPr>
                <w:rFonts w:eastAsia="Calibri"/>
                <w:sz w:val="22"/>
              </w:rPr>
              <w:t>кахеля</w:t>
            </w:r>
            <w:proofErr w:type="spellEnd"/>
            <w:r w:rsidRPr="002045F5">
              <w:rPr>
                <w:rFonts w:eastAsia="Calibri"/>
                <w:sz w:val="22"/>
              </w:rPr>
              <w:t>, повний ремонт стелі, стін та підлоги приміщень харчоблоку й обідньої зали, обробка стін від плісняви, демонтаж старої  та встановлення нової каналізації, а також системи холодного та гарячого водопостачання, заміна освітлення, демонтаж та встановлення нової витяжки, демонтаж та заміна дверей, капітальний ремонт душової кабіни, туалету).</w:t>
            </w:r>
          </w:p>
          <w:p w:rsidR="00945EF0" w:rsidRPr="002045F5" w:rsidRDefault="00945EF0" w:rsidP="001038B7">
            <w:pPr>
              <w:autoSpaceDE w:val="0"/>
              <w:autoSpaceDN w:val="0"/>
              <w:adjustRightInd w:val="0"/>
              <w:rPr>
                <w:rFonts w:eastAsia="Calibri"/>
                <w:sz w:val="22"/>
              </w:rPr>
            </w:pPr>
            <w:r w:rsidRPr="002045F5">
              <w:rPr>
                <w:rFonts w:eastAsia="Calibri"/>
                <w:sz w:val="22"/>
              </w:rPr>
              <w:t xml:space="preserve">4. Закуплено та встановлено нове обладнання та меблі. </w:t>
            </w:r>
          </w:p>
          <w:p w:rsidR="00945EF0" w:rsidRPr="002045F5" w:rsidRDefault="00945EF0" w:rsidP="001038B7">
            <w:pPr>
              <w:autoSpaceDE w:val="0"/>
              <w:autoSpaceDN w:val="0"/>
              <w:adjustRightInd w:val="0"/>
              <w:rPr>
                <w:rFonts w:eastAsia="Calibri"/>
                <w:color w:val="FF0000"/>
                <w:sz w:val="22"/>
              </w:rPr>
            </w:pPr>
            <w:r w:rsidRPr="002045F5">
              <w:rPr>
                <w:rFonts w:eastAsia="Calibri"/>
                <w:sz w:val="22"/>
              </w:rPr>
              <w:t xml:space="preserve">     Як результат: шкільна їдальня перетвориться на сучасні зони зберігання продуктів харчування, приготування та прийому їжі. Підвищиться якість надання послуг з харчування здобувачів освіти, покращено умови праці для робітників їдальні. Буде запроваджено систему ХАССР.</w:t>
            </w:r>
          </w:p>
        </w:tc>
      </w:tr>
      <w:tr w:rsidR="00945EF0" w:rsidRPr="002045F5" w:rsidTr="00945EF0">
        <w:tc>
          <w:tcPr>
            <w:tcW w:w="282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r w:rsidRPr="002045F5">
              <w:rPr>
                <w:rFonts w:eastAsia="Calibri"/>
                <w:b/>
                <w:color w:val="000000"/>
                <w:sz w:val="22"/>
              </w:rPr>
              <w:t>Очікувані кількісні результати від реалізації проекту  (індикатори)</w:t>
            </w:r>
          </w:p>
        </w:tc>
        <w:tc>
          <w:tcPr>
            <w:tcW w:w="3976" w:type="dxa"/>
            <w:gridSpan w:val="3"/>
            <w:tcBorders>
              <w:top w:val="single" w:sz="6" w:space="0" w:color="auto"/>
              <w:left w:val="single" w:sz="6" w:space="0" w:color="auto"/>
              <w:bottom w:val="single" w:sz="6" w:space="0" w:color="auto"/>
              <w:right w:val="single" w:sz="6"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sz w:val="22"/>
              </w:rPr>
              <w:t>Найменування показника</w:t>
            </w:r>
          </w:p>
        </w:tc>
        <w:tc>
          <w:tcPr>
            <w:tcW w:w="1701" w:type="dxa"/>
            <w:gridSpan w:val="2"/>
            <w:tcBorders>
              <w:top w:val="single" w:sz="6" w:space="0" w:color="auto"/>
              <w:left w:val="single" w:sz="6" w:space="0" w:color="auto"/>
              <w:bottom w:val="single" w:sz="6" w:space="0" w:color="auto"/>
              <w:right w:val="single" w:sz="6"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sz w:val="22"/>
              </w:rPr>
              <w:t>Одиниця вимірювання</w:t>
            </w:r>
          </w:p>
        </w:tc>
        <w:tc>
          <w:tcPr>
            <w:tcW w:w="1524" w:type="dxa"/>
            <w:gridSpan w:val="2"/>
            <w:tcBorders>
              <w:top w:val="single" w:sz="6" w:space="0" w:color="auto"/>
              <w:left w:val="single" w:sz="6" w:space="0" w:color="auto"/>
              <w:bottom w:val="single" w:sz="6" w:space="0" w:color="auto"/>
              <w:right w:val="single" w:sz="6"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sz w:val="22"/>
              </w:rPr>
              <w:t>Прогнозне (цільове) значення</w:t>
            </w:r>
          </w:p>
        </w:tc>
      </w:tr>
      <w:tr w:rsidR="00945EF0" w:rsidRPr="002045F5" w:rsidTr="00945EF0">
        <w:tc>
          <w:tcPr>
            <w:tcW w:w="282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p>
        </w:tc>
        <w:tc>
          <w:tcPr>
            <w:tcW w:w="3976" w:type="dxa"/>
            <w:gridSpan w:val="3"/>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 xml:space="preserve">Кількісний склад </w:t>
            </w:r>
            <w:proofErr w:type="spellStart"/>
            <w:r w:rsidRPr="002045F5">
              <w:rPr>
                <w:sz w:val="22"/>
              </w:rPr>
              <w:t>проєкту</w:t>
            </w:r>
            <w:proofErr w:type="spellEnd"/>
            <w:r w:rsidRPr="002045F5">
              <w:rPr>
                <w:sz w:val="22"/>
              </w:rPr>
              <w:t xml:space="preserve"> (команди </w:t>
            </w:r>
            <w:proofErr w:type="spellStart"/>
            <w:r w:rsidRPr="002045F5">
              <w:rPr>
                <w:sz w:val="22"/>
              </w:rPr>
              <w:t>проєкту</w:t>
            </w:r>
            <w:proofErr w:type="spellEnd"/>
            <w:r w:rsidRPr="002045F5">
              <w:rPr>
                <w:sz w:val="22"/>
              </w:rPr>
              <w:t>)</w:t>
            </w:r>
          </w:p>
        </w:tc>
        <w:tc>
          <w:tcPr>
            <w:tcW w:w="1701" w:type="dxa"/>
            <w:gridSpan w:val="2"/>
            <w:tcBorders>
              <w:top w:val="single" w:sz="4" w:space="0" w:color="auto"/>
              <w:left w:val="nil"/>
              <w:bottom w:val="single" w:sz="4" w:space="0" w:color="auto"/>
              <w:right w:val="single" w:sz="4" w:space="0" w:color="auto"/>
            </w:tcBorders>
            <w:shd w:val="clear" w:color="auto" w:fill="auto"/>
          </w:tcPr>
          <w:p w:rsidR="00945EF0" w:rsidRPr="002045F5" w:rsidRDefault="00945EF0" w:rsidP="001038B7">
            <w:pPr>
              <w:jc w:val="center"/>
              <w:rPr>
                <w:sz w:val="22"/>
              </w:rPr>
            </w:pPr>
            <w:r w:rsidRPr="002045F5">
              <w:rPr>
                <w:sz w:val="22"/>
              </w:rPr>
              <w:t>осіб</w:t>
            </w:r>
          </w:p>
        </w:tc>
        <w:tc>
          <w:tcPr>
            <w:tcW w:w="1524" w:type="dxa"/>
            <w:gridSpan w:val="2"/>
            <w:tcBorders>
              <w:top w:val="single" w:sz="4" w:space="0" w:color="auto"/>
              <w:left w:val="nil"/>
              <w:bottom w:val="single" w:sz="4" w:space="0" w:color="auto"/>
              <w:right w:val="single" w:sz="4" w:space="0" w:color="000000"/>
            </w:tcBorders>
            <w:shd w:val="clear" w:color="auto" w:fill="auto"/>
          </w:tcPr>
          <w:p w:rsidR="00945EF0" w:rsidRPr="002045F5" w:rsidRDefault="00945EF0" w:rsidP="001038B7">
            <w:pPr>
              <w:rPr>
                <w:sz w:val="22"/>
              </w:rPr>
            </w:pPr>
            <w:r w:rsidRPr="002045F5">
              <w:rPr>
                <w:sz w:val="22"/>
              </w:rPr>
              <w:t xml:space="preserve">20 </w:t>
            </w:r>
          </w:p>
          <w:p w:rsidR="00945EF0" w:rsidRPr="002045F5" w:rsidRDefault="00945EF0" w:rsidP="001038B7">
            <w:pPr>
              <w:rPr>
                <w:sz w:val="22"/>
              </w:rPr>
            </w:pPr>
          </w:p>
        </w:tc>
      </w:tr>
      <w:tr w:rsidR="00945EF0" w:rsidRPr="002045F5" w:rsidTr="00945EF0">
        <w:tc>
          <w:tcPr>
            <w:tcW w:w="282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p>
        </w:tc>
        <w:tc>
          <w:tcPr>
            <w:tcW w:w="3976" w:type="dxa"/>
            <w:gridSpan w:val="3"/>
            <w:tcBorders>
              <w:top w:val="nil"/>
              <w:left w:val="single" w:sz="4"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 xml:space="preserve">Круглі столи в межах рекламної кампанії (перший круглий стіл - представлення громаді </w:t>
            </w:r>
            <w:proofErr w:type="spellStart"/>
            <w:r w:rsidRPr="002045F5">
              <w:rPr>
                <w:sz w:val="22"/>
              </w:rPr>
              <w:t>проєкту</w:t>
            </w:r>
            <w:proofErr w:type="spellEnd"/>
            <w:r w:rsidRPr="002045F5">
              <w:rPr>
                <w:sz w:val="22"/>
              </w:rPr>
              <w:t xml:space="preserve">. Другий - підбиття підсумків </w:t>
            </w:r>
            <w:proofErr w:type="spellStart"/>
            <w:r w:rsidRPr="002045F5">
              <w:rPr>
                <w:sz w:val="22"/>
              </w:rPr>
              <w:t>проєкту</w:t>
            </w:r>
            <w:proofErr w:type="spellEnd"/>
            <w:r w:rsidRPr="002045F5">
              <w:rPr>
                <w:sz w:val="22"/>
              </w:rPr>
              <w:t>, нагородження активних учасників)</w:t>
            </w:r>
          </w:p>
        </w:tc>
        <w:tc>
          <w:tcPr>
            <w:tcW w:w="1701" w:type="dxa"/>
            <w:gridSpan w:val="2"/>
            <w:tcBorders>
              <w:top w:val="nil"/>
              <w:left w:val="nil"/>
              <w:bottom w:val="single" w:sz="4" w:space="0" w:color="auto"/>
              <w:right w:val="single" w:sz="4" w:space="0" w:color="auto"/>
            </w:tcBorders>
            <w:shd w:val="clear" w:color="auto" w:fill="auto"/>
          </w:tcPr>
          <w:p w:rsidR="00945EF0" w:rsidRPr="002045F5" w:rsidRDefault="00945EF0" w:rsidP="001038B7">
            <w:pPr>
              <w:jc w:val="center"/>
              <w:rPr>
                <w:sz w:val="22"/>
              </w:rPr>
            </w:pPr>
            <w:r w:rsidRPr="002045F5">
              <w:rPr>
                <w:sz w:val="22"/>
              </w:rPr>
              <w:t>одиниць</w:t>
            </w:r>
          </w:p>
        </w:tc>
        <w:tc>
          <w:tcPr>
            <w:tcW w:w="1524" w:type="dxa"/>
            <w:gridSpan w:val="2"/>
            <w:tcBorders>
              <w:top w:val="single" w:sz="4" w:space="0" w:color="auto"/>
              <w:left w:val="nil"/>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2</w:t>
            </w:r>
          </w:p>
          <w:p w:rsidR="00945EF0" w:rsidRPr="002045F5" w:rsidRDefault="00945EF0" w:rsidP="001038B7">
            <w:pPr>
              <w:rPr>
                <w:sz w:val="22"/>
              </w:rPr>
            </w:pPr>
          </w:p>
        </w:tc>
      </w:tr>
      <w:tr w:rsidR="00945EF0" w:rsidRPr="002045F5" w:rsidTr="00945EF0">
        <w:tc>
          <w:tcPr>
            <w:tcW w:w="282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p>
        </w:tc>
        <w:tc>
          <w:tcPr>
            <w:tcW w:w="3976" w:type="dxa"/>
            <w:gridSpan w:val="3"/>
            <w:tcBorders>
              <w:top w:val="nil"/>
              <w:left w:val="single" w:sz="4"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Кошторис</w:t>
            </w:r>
          </w:p>
        </w:tc>
        <w:tc>
          <w:tcPr>
            <w:tcW w:w="1701" w:type="dxa"/>
            <w:gridSpan w:val="2"/>
            <w:tcBorders>
              <w:top w:val="nil"/>
              <w:left w:val="nil"/>
              <w:bottom w:val="single" w:sz="4" w:space="0" w:color="auto"/>
              <w:right w:val="single" w:sz="4" w:space="0" w:color="auto"/>
            </w:tcBorders>
            <w:shd w:val="clear" w:color="auto" w:fill="auto"/>
          </w:tcPr>
          <w:p w:rsidR="00945EF0" w:rsidRPr="002045F5" w:rsidRDefault="00945EF0" w:rsidP="001038B7">
            <w:pPr>
              <w:jc w:val="center"/>
              <w:rPr>
                <w:sz w:val="22"/>
              </w:rPr>
            </w:pPr>
            <w:r w:rsidRPr="002045F5">
              <w:rPr>
                <w:sz w:val="22"/>
              </w:rPr>
              <w:t>одиниць</w:t>
            </w:r>
          </w:p>
        </w:tc>
        <w:tc>
          <w:tcPr>
            <w:tcW w:w="1524" w:type="dxa"/>
            <w:gridSpan w:val="2"/>
            <w:tcBorders>
              <w:top w:val="single" w:sz="4" w:space="0" w:color="auto"/>
              <w:left w:val="nil"/>
              <w:bottom w:val="single" w:sz="4" w:space="0" w:color="auto"/>
              <w:right w:val="single" w:sz="4" w:space="0" w:color="000000"/>
            </w:tcBorders>
            <w:shd w:val="clear" w:color="auto" w:fill="auto"/>
          </w:tcPr>
          <w:p w:rsidR="00945EF0" w:rsidRPr="002045F5" w:rsidRDefault="00945EF0" w:rsidP="001038B7">
            <w:pPr>
              <w:rPr>
                <w:sz w:val="22"/>
              </w:rPr>
            </w:pPr>
            <w:r w:rsidRPr="002045F5">
              <w:rPr>
                <w:sz w:val="22"/>
              </w:rPr>
              <w:t>1</w:t>
            </w:r>
          </w:p>
          <w:p w:rsidR="00945EF0" w:rsidRPr="002045F5" w:rsidRDefault="00945EF0" w:rsidP="001038B7">
            <w:pPr>
              <w:rPr>
                <w:sz w:val="22"/>
              </w:rPr>
            </w:pPr>
          </w:p>
        </w:tc>
      </w:tr>
      <w:tr w:rsidR="00945EF0" w:rsidRPr="002045F5" w:rsidTr="00945EF0">
        <w:tc>
          <w:tcPr>
            <w:tcW w:w="282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p>
        </w:tc>
        <w:tc>
          <w:tcPr>
            <w:tcW w:w="3976" w:type="dxa"/>
            <w:gridSpan w:val="3"/>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Матеріали для ремонту (найменування)</w:t>
            </w:r>
          </w:p>
        </w:tc>
        <w:tc>
          <w:tcPr>
            <w:tcW w:w="1701" w:type="dxa"/>
            <w:gridSpan w:val="2"/>
            <w:tcBorders>
              <w:top w:val="single" w:sz="4" w:space="0" w:color="auto"/>
              <w:left w:val="nil"/>
              <w:bottom w:val="single" w:sz="4" w:space="0" w:color="auto"/>
              <w:right w:val="single" w:sz="4" w:space="0" w:color="auto"/>
            </w:tcBorders>
            <w:shd w:val="clear" w:color="auto" w:fill="auto"/>
          </w:tcPr>
          <w:p w:rsidR="00945EF0" w:rsidRPr="002045F5" w:rsidRDefault="00945EF0" w:rsidP="001038B7">
            <w:pPr>
              <w:jc w:val="center"/>
              <w:rPr>
                <w:sz w:val="22"/>
              </w:rPr>
            </w:pPr>
            <w:r w:rsidRPr="002045F5">
              <w:rPr>
                <w:sz w:val="22"/>
              </w:rPr>
              <w:t>одиниць</w:t>
            </w:r>
          </w:p>
        </w:tc>
        <w:tc>
          <w:tcPr>
            <w:tcW w:w="1524" w:type="dxa"/>
            <w:gridSpan w:val="2"/>
            <w:tcBorders>
              <w:top w:val="single" w:sz="4" w:space="0" w:color="auto"/>
              <w:left w:val="nil"/>
              <w:bottom w:val="single" w:sz="4" w:space="0" w:color="auto"/>
              <w:right w:val="single" w:sz="4" w:space="0" w:color="000000"/>
            </w:tcBorders>
            <w:shd w:val="clear" w:color="auto" w:fill="auto"/>
          </w:tcPr>
          <w:p w:rsidR="00945EF0" w:rsidRPr="002045F5" w:rsidRDefault="00945EF0" w:rsidP="001038B7">
            <w:pPr>
              <w:rPr>
                <w:sz w:val="22"/>
              </w:rPr>
            </w:pPr>
            <w:r w:rsidRPr="002045F5">
              <w:rPr>
                <w:sz w:val="22"/>
              </w:rPr>
              <w:t>10</w:t>
            </w:r>
          </w:p>
        </w:tc>
      </w:tr>
      <w:tr w:rsidR="00945EF0" w:rsidRPr="002045F5" w:rsidTr="00945EF0">
        <w:tc>
          <w:tcPr>
            <w:tcW w:w="282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p>
        </w:tc>
        <w:tc>
          <w:tcPr>
            <w:tcW w:w="3976" w:type="dxa"/>
            <w:gridSpan w:val="3"/>
            <w:tcBorders>
              <w:top w:val="nil"/>
              <w:left w:val="single" w:sz="4"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 xml:space="preserve">Демонтаж старого обладнання, витяжки, </w:t>
            </w:r>
            <w:proofErr w:type="spellStart"/>
            <w:r w:rsidRPr="002045F5">
              <w:rPr>
                <w:sz w:val="22"/>
              </w:rPr>
              <w:t>кахелю</w:t>
            </w:r>
            <w:proofErr w:type="spellEnd"/>
            <w:r w:rsidRPr="002045F5">
              <w:rPr>
                <w:sz w:val="22"/>
              </w:rPr>
              <w:t>, системи водопостачання, каналізації, душової кабіни, туалету та встановлення нового</w:t>
            </w:r>
          </w:p>
        </w:tc>
        <w:tc>
          <w:tcPr>
            <w:tcW w:w="1701" w:type="dxa"/>
            <w:gridSpan w:val="2"/>
            <w:tcBorders>
              <w:top w:val="nil"/>
              <w:left w:val="nil"/>
              <w:bottom w:val="single" w:sz="4" w:space="0" w:color="auto"/>
              <w:right w:val="single" w:sz="4" w:space="0" w:color="auto"/>
            </w:tcBorders>
            <w:shd w:val="clear" w:color="auto" w:fill="auto"/>
          </w:tcPr>
          <w:p w:rsidR="00945EF0" w:rsidRPr="002045F5" w:rsidRDefault="00945EF0" w:rsidP="001038B7">
            <w:pPr>
              <w:jc w:val="center"/>
              <w:rPr>
                <w:sz w:val="22"/>
              </w:rPr>
            </w:pPr>
            <w:r w:rsidRPr="002045F5">
              <w:rPr>
                <w:sz w:val="22"/>
              </w:rPr>
              <w:t>одиниць</w:t>
            </w:r>
          </w:p>
        </w:tc>
        <w:tc>
          <w:tcPr>
            <w:tcW w:w="1524" w:type="dxa"/>
            <w:gridSpan w:val="2"/>
            <w:tcBorders>
              <w:top w:val="single" w:sz="4" w:space="0" w:color="auto"/>
              <w:left w:val="nil"/>
              <w:bottom w:val="single" w:sz="4" w:space="0" w:color="auto"/>
              <w:right w:val="single" w:sz="4" w:space="0" w:color="000000"/>
            </w:tcBorders>
            <w:shd w:val="clear" w:color="auto" w:fill="auto"/>
          </w:tcPr>
          <w:p w:rsidR="00945EF0" w:rsidRPr="002045F5" w:rsidRDefault="00945EF0" w:rsidP="001038B7">
            <w:pPr>
              <w:rPr>
                <w:sz w:val="22"/>
              </w:rPr>
            </w:pPr>
            <w:r w:rsidRPr="002045F5">
              <w:rPr>
                <w:sz w:val="22"/>
              </w:rPr>
              <w:t>7</w:t>
            </w:r>
          </w:p>
        </w:tc>
      </w:tr>
      <w:tr w:rsidR="00945EF0" w:rsidRPr="002045F5" w:rsidTr="00945EF0">
        <w:tc>
          <w:tcPr>
            <w:tcW w:w="282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p>
        </w:tc>
        <w:tc>
          <w:tcPr>
            <w:tcW w:w="3976" w:type="dxa"/>
            <w:gridSpan w:val="3"/>
            <w:tcBorders>
              <w:top w:val="nil"/>
              <w:left w:val="single" w:sz="4"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Закупівля та встановлення вентиляційного обладнання</w:t>
            </w:r>
          </w:p>
        </w:tc>
        <w:tc>
          <w:tcPr>
            <w:tcW w:w="1701" w:type="dxa"/>
            <w:gridSpan w:val="2"/>
            <w:tcBorders>
              <w:top w:val="nil"/>
              <w:left w:val="nil"/>
              <w:bottom w:val="single" w:sz="4" w:space="0" w:color="auto"/>
              <w:right w:val="single" w:sz="4" w:space="0" w:color="auto"/>
            </w:tcBorders>
            <w:shd w:val="clear" w:color="auto" w:fill="auto"/>
          </w:tcPr>
          <w:p w:rsidR="00945EF0" w:rsidRPr="002045F5" w:rsidRDefault="00945EF0" w:rsidP="001038B7">
            <w:pPr>
              <w:jc w:val="center"/>
              <w:rPr>
                <w:sz w:val="22"/>
              </w:rPr>
            </w:pPr>
            <w:r w:rsidRPr="002045F5">
              <w:rPr>
                <w:sz w:val="22"/>
              </w:rPr>
              <w:t>одиниць</w:t>
            </w:r>
          </w:p>
        </w:tc>
        <w:tc>
          <w:tcPr>
            <w:tcW w:w="1524" w:type="dxa"/>
            <w:gridSpan w:val="2"/>
            <w:tcBorders>
              <w:top w:val="single" w:sz="4" w:space="0" w:color="auto"/>
              <w:left w:val="nil"/>
              <w:bottom w:val="single" w:sz="4" w:space="0" w:color="auto"/>
              <w:right w:val="single" w:sz="4" w:space="0" w:color="000000"/>
            </w:tcBorders>
            <w:shd w:val="clear" w:color="auto" w:fill="auto"/>
          </w:tcPr>
          <w:p w:rsidR="00945EF0" w:rsidRPr="002045F5" w:rsidRDefault="00945EF0" w:rsidP="001038B7">
            <w:pPr>
              <w:rPr>
                <w:sz w:val="22"/>
              </w:rPr>
            </w:pPr>
            <w:r w:rsidRPr="002045F5">
              <w:rPr>
                <w:sz w:val="22"/>
              </w:rPr>
              <w:t>1</w:t>
            </w:r>
          </w:p>
        </w:tc>
      </w:tr>
      <w:tr w:rsidR="00945EF0" w:rsidRPr="002045F5" w:rsidTr="00945EF0">
        <w:tc>
          <w:tcPr>
            <w:tcW w:w="282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p>
        </w:tc>
        <w:tc>
          <w:tcPr>
            <w:tcW w:w="3976" w:type="dxa"/>
            <w:gridSpan w:val="3"/>
            <w:tcBorders>
              <w:top w:val="nil"/>
              <w:left w:val="single" w:sz="4"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Закупівля та встановлення обладнання для харчоблоку</w:t>
            </w:r>
          </w:p>
        </w:tc>
        <w:tc>
          <w:tcPr>
            <w:tcW w:w="1701" w:type="dxa"/>
            <w:gridSpan w:val="2"/>
            <w:tcBorders>
              <w:top w:val="nil"/>
              <w:left w:val="nil"/>
              <w:bottom w:val="single" w:sz="4" w:space="0" w:color="auto"/>
              <w:right w:val="single" w:sz="4" w:space="0" w:color="auto"/>
            </w:tcBorders>
            <w:shd w:val="clear" w:color="auto" w:fill="auto"/>
          </w:tcPr>
          <w:p w:rsidR="00945EF0" w:rsidRPr="002045F5" w:rsidRDefault="00945EF0" w:rsidP="001038B7">
            <w:pPr>
              <w:jc w:val="center"/>
              <w:rPr>
                <w:sz w:val="22"/>
              </w:rPr>
            </w:pPr>
            <w:r w:rsidRPr="002045F5">
              <w:rPr>
                <w:sz w:val="22"/>
              </w:rPr>
              <w:t>одиниць</w:t>
            </w:r>
          </w:p>
        </w:tc>
        <w:tc>
          <w:tcPr>
            <w:tcW w:w="1524" w:type="dxa"/>
            <w:gridSpan w:val="2"/>
            <w:tcBorders>
              <w:top w:val="single" w:sz="4" w:space="0" w:color="auto"/>
              <w:left w:val="nil"/>
              <w:bottom w:val="single" w:sz="4" w:space="0" w:color="auto"/>
              <w:right w:val="single" w:sz="4" w:space="0" w:color="000000"/>
            </w:tcBorders>
            <w:shd w:val="clear" w:color="auto" w:fill="auto"/>
          </w:tcPr>
          <w:p w:rsidR="00945EF0" w:rsidRPr="002045F5" w:rsidRDefault="00945EF0" w:rsidP="001038B7">
            <w:pPr>
              <w:rPr>
                <w:sz w:val="22"/>
              </w:rPr>
            </w:pPr>
            <w:r w:rsidRPr="002045F5">
              <w:rPr>
                <w:sz w:val="22"/>
              </w:rPr>
              <w:t>80</w:t>
            </w:r>
          </w:p>
        </w:tc>
      </w:tr>
      <w:tr w:rsidR="00945EF0" w:rsidRPr="002045F5" w:rsidTr="00945EF0">
        <w:tc>
          <w:tcPr>
            <w:tcW w:w="282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p>
        </w:tc>
        <w:tc>
          <w:tcPr>
            <w:tcW w:w="3976" w:type="dxa"/>
            <w:gridSpan w:val="3"/>
            <w:tcBorders>
              <w:top w:val="nil"/>
              <w:left w:val="single" w:sz="4"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Посуд для харчоблоку та обідньої зали</w:t>
            </w:r>
          </w:p>
        </w:tc>
        <w:tc>
          <w:tcPr>
            <w:tcW w:w="1701" w:type="dxa"/>
            <w:gridSpan w:val="2"/>
            <w:tcBorders>
              <w:top w:val="nil"/>
              <w:left w:val="nil"/>
              <w:bottom w:val="single" w:sz="4" w:space="0" w:color="auto"/>
              <w:right w:val="single" w:sz="4" w:space="0" w:color="auto"/>
            </w:tcBorders>
            <w:shd w:val="clear" w:color="auto" w:fill="auto"/>
          </w:tcPr>
          <w:p w:rsidR="00945EF0" w:rsidRPr="002045F5" w:rsidRDefault="00945EF0" w:rsidP="001038B7">
            <w:pPr>
              <w:jc w:val="center"/>
              <w:rPr>
                <w:sz w:val="22"/>
              </w:rPr>
            </w:pPr>
            <w:r w:rsidRPr="002045F5">
              <w:rPr>
                <w:sz w:val="22"/>
              </w:rPr>
              <w:t>одиниць</w:t>
            </w:r>
          </w:p>
        </w:tc>
        <w:tc>
          <w:tcPr>
            <w:tcW w:w="1524" w:type="dxa"/>
            <w:gridSpan w:val="2"/>
            <w:tcBorders>
              <w:top w:val="single" w:sz="4" w:space="0" w:color="auto"/>
              <w:left w:val="nil"/>
              <w:bottom w:val="single" w:sz="4" w:space="0" w:color="auto"/>
              <w:right w:val="single" w:sz="4" w:space="0" w:color="000000"/>
            </w:tcBorders>
            <w:shd w:val="clear" w:color="auto" w:fill="auto"/>
          </w:tcPr>
          <w:p w:rsidR="00945EF0" w:rsidRPr="002045F5" w:rsidRDefault="00945EF0" w:rsidP="001038B7">
            <w:pPr>
              <w:rPr>
                <w:sz w:val="22"/>
              </w:rPr>
            </w:pPr>
            <w:r w:rsidRPr="002045F5">
              <w:rPr>
                <w:sz w:val="22"/>
              </w:rPr>
              <w:t>2257</w:t>
            </w:r>
          </w:p>
        </w:tc>
      </w:tr>
      <w:tr w:rsidR="00945EF0" w:rsidRPr="002045F5" w:rsidTr="00945EF0">
        <w:tc>
          <w:tcPr>
            <w:tcW w:w="282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p>
        </w:tc>
        <w:tc>
          <w:tcPr>
            <w:tcW w:w="3976" w:type="dxa"/>
            <w:gridSpan w:val="3"/>
            <w:tcBorders>
              <w:top w:val="nil"/>
              <w:left w:val="single" w:sz="4"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Меблі для харчоблоку та обідньої зали</w:t>
            </w:r>
          </w:p>
        </w:tc>
        <w:tc>
          <w:tcPr>
            <w:tcW w:w="1701" w:type="dxa"/>
            <w:gridSpan w:val="2"/>
            <w:tcBorders>
              <w:top w:val="nil"/>
              <w:left w:val="nil"/>
              <w:bottom w:val="single" w:sz="4" w:space="0" w:color="auto"/>
              <w:right w:val="single" w:sz="4" w:space="0" w:color="auto"/>
            </w:tcBorders>
            <w:shd w:val="clear" w:color="auto" w:fill="auto"/>
          </w:tcPr>
          <w:p w:rsidR="00945EF0" w:rsidRPr="002045F5" w:rsidRDefault="00945EF0" w:rsidP="001038B7">
            <w:pPr>
              <w:jc w:val="center"/>
              <w:rPr>
                <w:sz w:val="22"/>
              </w:rPr>
            </w:pPr>
            <w:r w:rsidRPr="002045F5">
              <w:rPr>
                <w:sz w:val="22"/>
              </w:rPr>
              <w:t>одиниць</w:t>
            </w:r>
          </w:p>
        </w:tc>
        <w:tc>
          <w:tcPr>
            <w:tcW w:w="1524" w:type="dxa"/>
            <w:gridSpan w:val="2"/>
            <w:tcBorders>
              <w:top w:val="single" w:sz="4" w:space="0" w:color="auto"/>
              <w:left w:val="nil"/>
              <w:bottom w:val="single" w:sz="4" w:space="0" w:color="auto"/>
              <w:right w:val="single" w:sz="4" w:space="0" w:color="000000"/>
            </w:tcBorders>
            <w:shd w:val="clear" w:color="auto" w:fill="auto"/>
          </w:tcPr>
          <w:p w:rsidR="00945EF0" w:rsidRPr="002045F5" w:rsidRDefault="00945EF0" w:rsidP="001038B7">
            <w:pPr>
              <w:rPr>
                <w:sz w:val="22"/>
              </w:rPr>
            </w:pPr>
            <w:r w:rsidRPr="002045F5">
              <w:rPr>
                <w:sz w:val="22"/>
              </w:rPr>
              <w:t>88</w:t>
            </w:r>
          </w:p>
        </w:tc>
      </w:tr>
      <w:tr w:rsidR="00945EF0" w:rsidRPr="002045F5" w:rsidTr="00945EF0">
        <w:tc>
          <w:tcPr>
            <w:tcW w:w="282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sz w:val="22"/>
              </w:rPr>
            </w:pPr>
            <w:r w:rsidRPr="002045F5">
              <w:rPr>
                <w:rFonts w:eastAsia="Calibri"/>
                <w:b/>
                <w:sz w:val="22"/>
              </w:rPr>
              <w:t>Ключові заходи проекту:</w:t>
            </w:r>
          </w:p>
        </w:tc>
        <w:tc>
          <w:tcPr>
            <w:tcW w:w="7201" w:type="dxa"/>
            <w:gridSpan w:val="7"/>
            <w:tcBorders>
              <w:top w:val="single" w:sz="6" w:space="0" w:color="auto"/>
              <w:left w:val="single" w:sz="6" w:space="0" w:color="auto"/>
              <w:bottom w:val="single" w:sz="6" w:space="0" w:color="auto"/>
              <w:right w:val="single" w:sz="6" w:space="0" w:color="auto"/>
            </w:tcBorders>
            <w:shd w:val="clear" w:color="auto" w:fill="auto"/>
          </w:tcPr>
          <w:p w:rsidR="00945EF0" w:rsidRPr="002045F5" w:rsidRDefault="00945EF0" w:rsidP="001038B7">
            <w:pPr>
              <w:autoSpaceDE w:val="0"/>
              <w:autoSpaceDN w:val="0"/>
              <w:adjustRightInd w:val="0"/>
              <w:rPr>
                <w:rFonts w:eastAsia="Calibri"/>
                <w:sz w:val="22"/>
              </w:rPr>
            </w:pPr>
            <w:r w:rsidRPr="002045F5">
              <w:rPr>
                <w:rFonts w:eastAsia="Calibri"/>
                <w:sz w:val="22"/>
              </w:rPr>
              <w:t xml:space="preserve">1. Проведення рекламної кампанії </w:t>
            </w:r>
            <w:proofErr w:type="spellStart"/>
            <w:r w:rsidRPr="002045F5">
              <w:rPr>
                <w:rFonts w:eastAsia="Calibri"/>
                <w:sz w:val="22"/>
              </w:rPr>
              <w:t>проєкту</w:t>
            </w:r>
            <w:proofErr w:type="spellEnd"/>
            <w:r w:rsidRPr="002045F5">
              <w:rPr>
                <w:rFonts w:eastAsia="Calibri"/>
                <w:sz w:val="22"/>
              </w:rPr>
              <w:t xml:space="preserve"> "Просуваємо школу - оновлюємо життя" (виготовлення рекламних буклетів, розміщення реклами </w:t>
            </w:r>
            <w:proofErr w:type="spellStart"/>
            <w:r w:rsidRPr="002045F5">
              <w:rPr>
                <w:rFonts w:eastAsia="Calibri"/>
                <w:sz w:val="22"/>
              </w:rPr>
              <w:t>проєкту</w:t>
            </w:r>
            <w:proofErr w:type="spellEnd"/>
            <w:r w:rsidRPr="002045F5">
              <w:rPr>
                <w:rFonts w:eastAsia="Calibri"/>
                <w:sz w:val="22"/>
              </w:rPr>
              <w:t xml:space="preserve"> в мікрорайоні школи, створення презентації, проведення круглого столу).    </w:t>
            </w:r>
          </w:p>
          <w:p w:rsidR="00945EF0" w:rsidRPr="002045F5" w:rsidRDefault="00945EF0" w:rsidP="001038B7">
            <w:pPr>
              <w:autoSpaceDE w:val="0"/>
              <w:autoSpaceDN w:val="0"/>
              <w:adjustRightInd w:val="0"/>
              <w:rPr>
                <w:rFonts w:eastAsia="Calibri"/>
                <w:sz w:val="22"/>
              </w:rPr>
            </w:pPr>
            <w:r w:rsidRPr="002045F5">
              <w:rPr>
                <w:rFonts w:eastAsia="Calibri"/>
                <w:sz w:val="22"/>
              </w:rPr>
              <w:t xml:space="preserve">2. Проведення повторної оцінки потреб закладу, створення кошторису </w:t>
            </w:r>
            <w:proofErr w:type="spellStart"/>
            <w:r w:rsidRPr="002045F5">
              <w:rPr>
                <w:rFonts w:eastAsia="Calibri"/>
                <w:sz w:val="22"/>
              </w:rPr>
              <w:t>проєкту</w:t>
            </w:r>
            <w:proofErr w:type="spellEnd"/>
            <w:r w:rsidRPr="002045F5">
              <w:rPr>
                <w:rFonts w:eastAsia="Calibri"/>
                <w:sz w:val="22"/>
              </w:rPr>
              <w:t xml:space="preserve"> з уточненнями.    </w:t>
            </w:r>
          </w:p>
          <w:p w:rsidR="00945EF0" w:rsidRPr="002045F5" w:rsidRDefault="00945EF0" w:rsidP="001038B7">
            <w:pPr>
              <w:autoSpaceDE w:val="0"/>
              <w:autoSpaceDN w:val="0"/>
              <w:adjustRightInd w:val="0"/>
              <w:rPr>
                <w:rFonts w:eastAsia="Calibri"/>
                <w:sz w:val="22"/>
              </w:rPr>
            </w:pPr>
            <w:r w:rsidRPr="002045F5">
              <w:rPr>
                <w:rFonts w:eastAsia="Calibri"/>
                <w:sz w:val="22"/>
              </w:rPr>
              <w:t xml:space="preserve">3. Проведення </w:t>
            </w:r>
            <w:proofErr w:type="spellStart"/>
            <w:r w:rsidRPr="002045F5">
              <w:rPr>
                <w:rFonts w:eastAsia="Calibri"/>
                <w:sz w:val="22"/>
              </w:rPr>
              <w:t>закупівель</w:t>
            </w:r>
            <w:proofErr w:type="spellEnd"/>
            <w:r w:rsidRPr="002045F5">
              <w:rPr>
                <w:rFonts w:eastAsia="Calibri"/>
                <w:sz w:val="22"/>
              </w:rPr>
              <w:t xml:space="preserve"> </w:t>
            </w:r>
            <w:proofErr w:type="spellStart"/>
            <w:r w:rsidRPr="002045F5">
              <w:rPr>
                <w:rFonts w:eastAsia="Calibri"/>
                <w:sz w:val="22"/>
              </w:rPr>
              <w:t>проєкту</w:t>
            </w:r>
            <w:proofErr w:type="spellEnd"/>
            <w:r w:rsidRPr="002045F5">
              <w:rPr>
                <w:rFonts w:eastAsia="Calibri"/>
                <w:sz w:val="22"/>
              </w:rPr>
              <w:t xml:space="preserve"> через держзакупівлі </w:t>
            </w:r>
            <w:proofErr w:type="spellStart"/>
            <w:r w:rsidRPr="002045F5">
              <w:rPr>
                <w:rFonts w:eastAsia="Calibri"/>
                <w:sz w:val="22"/>
              </w:rPr>
              <w:t>Prozorro</w:t>
            </w:r>
            <w:proofErr w:type="spellEnd"/>
            <w:r w:rsidRPr="002045F5">
              <w:rPr>
                <w:rFonts w:eastAsia="Calibri"/>
                <w:sz w:val="22"/>
              </w:rPr>
              <w:t xml:space="preserve">. </w:t>
            </w:r>
          </w:p>
          <w:p w:rsidR="00945EF0" w:rsidRPr="002045F5" w:rsidRDefault="00945EF0" w:rsidP="001038B7">
            <w:pPr>
              <w:autoSpaceDE w:val="0"/>
              <w:autoSpaceDN w:val="0"/>
              <w:adjustRightInd w:val="0"/>
              <w:rPr>
                <w:rFonts w:eastAsia="Calibri"/>
                <w:sz w:val="22"/>
              </w:rPr>
            </w:pPr>
            <w:r w:rsidRPr="002045F5">
              <w:rPr>
                <w:rFonts w:eastAsia="Calibri"/>
                <w:sz w:val="22"/>
              </w:rPr>
              <w:lastRenderedPageBreak/>
              <w:t xml:space="preserve">4. Зроблено капітальний ремонт (повний ремонт стелі, стін та підлоги приміщень харчоблоку й обідньої зали, реконструкція каналізації, системи холодного та гарячого водопостачання, заміна освітлення, встановлення нової витяжки, заміна дверей, ремонт душової кабіни, туалету).    </w:t>
            </w:r>
          </w:p>
          <w:p w:rsidR="00945EF0" w:rsidRPr="002045F5" w:rsidRDefault="00945EF0" w:rsidP="001038B7">
            <w:pPr>
              <w:autoSpaceDE w:val="0"/>
              <w:autoSpaceDN w:val="0"/>
              <w:adjustRightInd w:val="0"/>
              <w:rPr>
                <w:rFonts w:eastAsia="Calibri"/>
                <w:sz w:val="22"/>
              </w:rPr>
            </w:pPr>
            <w:r w:rsidRPr="002045F5">
              <w:rPr>
                <w:rFonts w:eastAsia="Calibri"/>
                <w:sz w:val="22"/>
              </w:rPr>
              <w:t xml:space="preserve">4. Закуплено та встановлено нове обладнання, посуд й меблі.   </w:t>
            </w:r>
          </w:p>
        </w:tc>
      </w:tr>
      <w:tr w:rsidR="00945EF0" w:rsidRPr="002045F5" w:rsidTr="00945EF0">
        <w:tc>
          <w:tcPr>
            <w:tcW w:w="2829" w:type="dxa"/>
            <w:vMerge w:val="restart"/>
            <w:tcBorders>
              <w:top w:val="single" w:sz="6" w:space="0" w:color="auto"/>
              <w:left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sz w:val="22"/>
              </w:rPr>
            </w:pPr>
            <w:r w:rsidRPr="002045F5">
              <w:rPr>
                <w:rFonts w:eastAsia="Calibri"/>
                <w:b/>
                <w:color w:val="000000"/>
                <w:sz w:val="22"/>
              </w:rPr>
              <w:lastRenderedPageBreak/>
              <w:t>Орієнтовний обсяг та джерела фінансування тис. гривень</w:t>
            </w:r>
          </w:p>
        </w:tc>
        <w:tc>
          <w:tcPr>
            <w:tcW w:w="1521" w:type="dxa"/>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sz w:val="22"/>
              </w:rPr>
              <w:t>Державний бюджет</w:t>
            </w:r>
          </w:p>
        </w:tc>
        <w:tc>
          <w:tcPr>
            <w:tcW w:w="1550" w:type="dxa"/>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sz w:val="22"/>
              </w:rPr>
              <w:t>Місцевий бюджет</w:t>
            </w:r>
          </w:p>
        </w:tc>
        <w:tc>
          <w:tcPr>
            <w:tcW w:w="2922" w:type="dxa"/>
            <w:gridSpan w:val="4"/>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sz w:val="22"/>
              </w:rPr>
              <w:t>Інші джерела</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sz w:val="22"/>
              </w:rPr>
              <w:t>Всього</w:t>
            </w:r>
          </w:p>
        </w:tc>
      </w:tr>
      <w:tr w:rsidR="00945EF0" w:rsidRPr="002045F5" w:rsidTr="00945EF0">
        <w:tc>
          <w:tcPr>
            <w:tcW w:w="2829" w:type="dxa"/>
            <w:vMerge/>
            <w:tcBorders>
              <w:left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sz w:val="22"/>
              </w:rPr>
            </w:pPr>
          </w:p>
        </w:tc>
        <w:tc>
          <w:tcPr>
            <w:tcW w:w="1521" w:type="dxa"/>
            <w:vMerge w:val="restart"/>
            <w:tcBorders>
              <w:top w:val="single" w:sz="6" w:space="0" w:color="auto"/>
              <w:left w:val="single" w:sz="6" w:space="0" w:color="auto"/>
              <w:right w:val="single" w:sz="4" w:space="0" w:color="auto"/>
            </w:tcBorders>
            <w:shd w:val="clear" w:color="auto" w:fill="auto"/>
          </w:tcPr>
          <w:p w:rsidR="00945EF0" w:rsidRPr="002045F5" w:rsidRDefault="00945EF0" w:rsidP="001038B7">
            <w:pPr>
              <w:autoSpaceDE w:val="0"/>
              <w:autoSpaceDN w:val="0"/>
              <w:adjustRightInd w:val="0"/>
              <w:rPr>
                <w:rFonts w:eastAsia="Calibri"/>
                <w:sz w:val="22"/>
              </w:rPr>
            </w:pPr>
            <w:r w:rsidRPr="002045F5">
              <w:rPr>
                <w:rFonts w:eastAsia="Calibri"/>
                <w:sz w:val="22"/>
              </w:rPr>
              <w:t>2100,0</w:t>
            </w:r>
          </w:p>
        </w:tc>
        <w:tc>
          <w:tcPr>
            <w:tcW w:w="1550" w:type="dxa"/>
            <w:vMerge w:val="restart"/>
            <w:tcBorders>
              <w:top w:val="single" w:sz="6" w:space="0" w:color="auto"/>
              <w:left w:val="single" w:sz="4" w:space="0" w:color="auto"/>
              <w:right w:val="single" w:sz="4" w:space="0" w:color="auto"/>
            </w:tcBorders>
            <w:shd w:val="clear" w:color="auto" w:fill="auto"/>
          </w:tcPr>
          <w:p w:rsidR="00945EF0" w:rsidRPr="002045F5" w:rsidRDefault="00945EF0" w:rsidP="001038B7">
            <w:pPr>
              <w:autoSpaceDE w:val="0"/>
              <w:autoSpaceDN w:val="0"/>
              <w:adjustRightInd w:val="0"/>
              <w:rPr>
                <w:rFonts w:eastAsia="Calibri"/>
                <w:sz w:val="22"/>
              </w:rPr>
            </w:pPr>
            <w:r w:rsidRPr="002045F5">
              <w:rPr>
                <w:rFonts w:eastAsia="Calibri"/>
                <w:sz w:val="22"/>
              </w:rPr>
              <w:t>-</w:t>
            </w:r>
          </w:p>
        </w:tc>
        <w:tc>
          <w:tcPr>
            <w:tcW w:w="1467" w:type="dxa"/>
            <w:gridSpan w:val="2"/>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color w:val="000000"/>
                <w:sz w:val="22"/>
              </w:rPr>
              <w:t>Обсяг</w:t>
            </w:r>
          </w:p>
        </w:tc>
        <w:tc>
          <w:tcPr>
            <w:tcW w:w="1455" w:type="dxa"/>
            <w:gridSpan w:val="2"/>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sz w:val="22"/>
              </w:rPr>
              <w:t>Назва джерела</w:t>
            </w:r>
          </w:p>
        </w:tc>
        <w:tc>
          <w:tcPr>
            <w:tcW w:w="1208" w:type="dxa"/>
            <w:vMerge w:val="restart"/>
            <w:tcBorders>
              <w:top w:val="single" w:sz="4" w:space="0" w:color="auto"/>
              <w:left w:val="single" w:sz="4" w:space="0" w:color="auto"/>
              <w:right w:val="single" w:sz="4" w:space="0" w:color="auto"/>
            </w:tcBorders>
            <w:shd w:val="clear" w:color="auto" w:fill="auto"/>
          </w:tcPr>
          <w:p w:rsidR="00945EF0" w:rsidRPr="002045F5" w:rsidRDefault="00945EF0" w:rsidP="002156D4">
            <w:pPr>
              <w:autoSpaceDE w:val="0"/>
              <w:autoSpaceDN w:val="0"/>
              <w:adjustRightInd w:val="0"/>
              <w:jc w:val="center"/>
              <w:rPr>
                <w:rFonts w:eastAsia="Calibri"/>
                <w:sz w:val="22"/>
              </w:rPr>
            </w:pPr>
            <w:r w:rsidRPr="002045F5">
              <w:rPr>
                <w:rFonts w:eastAsia="Calibri"/>
                <w:sz w:val="22"/>
              </w:rPr>
              <w:t>3</w:t>
            </w:r>
            <w:r w:rsidR="002156D4" w:rsidRPr="002045F5">
              <w:rPr>
                <w:rFonts w:eastAsia="Calibri"/>
                <w:sz w:val="22"/>
              </w:rPr>
              <w:t> </w:t>
            </w:r>
            <w:r w:rsidRPr="002045F5">
              <w:rPr>
                <w:rFonts w:eastAsia="Calibri"/>
                <w:sz w:val="22"/>
              </w:rPr>
              <w:t>000</w:t>
            </w:r>
            <w:r w:rsidR="002156D4" w:rsidRPr="002045F5">
              <w:rPr>
                <w:rFonts w:eastAsia="Calibri"/>
                <w:sz w:val="22"/>
              </w:rPr>
              <w:t>,</w:t>
            </w:r>
            <w:r w:rsidR="002156D4" w:rsidRPr="002045F5">
              <w:rPr>
                <w:rFonts w:eastAsia="Calibri"/>
                <w:sz w:val="22"/>
                <w:lang w:val="en-US"/>
              </w:rPr>
              <w:t>0</w:t>
            </w:r>
          </w:p>
        </w:tc>
      </w:tr>
      <w:tr w:rsidR="00945EF0" w:rsidRPr="002045F5" w:rsidTr="00945EF0">
        <w:tc>
          <w:tcPr>
            <w:tcW w:w="2829" w:type="dxa"/>
            <w:vMerge/>
            <w:tcBorders>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sz w:val="22"/>
              </w:rPr>
            </w:pPr>
          </w:p>
        </w:tc>
        <w:tc>
          <w:tcPr>
            <w:tcW w:w="1521" w:type="dxa"/>
            <w:vMerge/>
            <w:tcBorders>
              <w:left w:val="single" w:sz="6" w:space="0" w:color="auto"/>
              <w:bottom w:val="single" w:sz="6" w:space="0" w:color="auto"/>
              <w:right w:val="single" w:sz="4" w:space="0" w:color="auto"/>
            </w:tcBorders>
            <w:shd w:val="clear" w:color="auto" w:fill="auto"/>
          </w:tcPr>
          <w:p w:rsidR="00945EF0" w:rsidRPr="002045F5" w:rsidRDefault="00945EF0" w:rsidP="001038B7">
            <w:pPr>
              <w:autoSpaceDE w:val="0"/>
              <w:autoSpaceDN w:val="0"/>
              <w:adjustRightInd w:val="0"/>
              <w:rPr>
                <w:rFonts w:eastAsia="Calibri"/>
                <w:sz w:val="22"/>
              </w:rPr>
            </w:pPr>
          </w:p>
        </w:tc>
        <w:tc>
          <w:tcPr>
            <w:tcW w:w="1550" w:type="dxa"/>
            <w:vMerge/>
            <w:tcBorders>
              <w:left w:val="single" w:sz="4" w:space="0" w:color="auto"/>
              <w:bottom w:val="single" w:sz="6" w:space="0" w:color="auto"/>
              <w:right w:val="single" w:sz="4" w:space="0" w:color="auto"/>
            </w:tcBorders>
            <w:shd w:val="clear" w:color="auto" w:fill="auto"/>
          </w:tcPr>
          <w:p w:rsidR="00945EF0" w:rsidRPr="002045F5" w:rsidRDefault="00945EF0" w:rsidP="001038B7">
            <w:pPr>
              <w:autoSpaceDE w:val="0"/>
              <w:autoSpaceDN w:val="0"/>
              <w:adjustRightInd w:val="0"/>
              <w:rPr>
                <w:rFonts w:eastAsia="Calibri"/>
                <w:sz w:val="22"/>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autoSpaceDE w:val="0"/>
              <w:autoSpaceDN w:val="0"/>
              <w:adjustRightInd w:val="0"/>
              <w:jc w:val="center"/>
              <w:rPr>
                <w:rFonts w:eastAsia="Calibri"/>
                <w:color w:val="000000"/>
                <w:sz w:val="22"/>
              </w:rPr>
            </w:pPr>
            <w:r w:rsidRPr="002045F5">
              <w:rPr>
                <w:rFonts w:eastAsia="Calibri"/>
                <w:sz w:val="22"/>
              </w:rPr>
              <w:t>900,0</w:t>
            </w:r>
          </w:p>
        </w:tc>
        <w:tc>
          <w:tcPr>
            <w:tcW w:w="1455" w:type="dxa"/>
            <w:gridSpan w:val="2"/>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autoSpaceDE w:val="0"/>
              <w:autoSpaceDN w:val="0"/>
              <w:adjustRightInd w:val="0"/>
              <w:rPr>
                <w:rFonts w:eastAsia="Calibri"/>
                <w:color w:val="000000"/>
                <w:sz w:val="22"/>
              </w:rPr>
            </w:pPr>
            <w:r w:rsidRPr="002045F5">
              <w:rPr>
                <w:rFonts w:eastAsia="Calibri"/>
                <w:sz w:val="22"/>
              </w:rPr>
              <w:t>Міжнародні інвестиції, кошти приватних осіб</w:t>
            </w:r>
          </w:p>
        </w:tc>
        <w:tc>
          <w:tcPr>
            <w:tcW w:w="1208" w:type="dxa"/>
            <w:vMerge/>
            <w:tcBorders>
              <w:left w:val="single" w:sz="4" w:space="0" w:color="auto"/>
              <w:bottom w:val="single" w:sz="6" w:space="0" w:color="auto"/>
              <w:right w:val="single" w:sz="4" w:space="0" w:color="auto"/>
            </w:tcBorders>
            <w:shd w:val="clear" w:color="auto" w:fill="auto"/>
          </w:tcPr>
          <w:p w:rsidR="00945EF0" w:rsidRPr="002045F5" w:rsidRDefault="00945EF0" w:rsidP="001038B7">
            <w:pPr>
              <w:autoSpaceDE w:val="0"/>
              <w:autoSpaceDN w:val="0"/>
              <w:adjustRightInd w:val="0"/>
              <w:rPr>
                <w:rFonts w:eastAsia="Calibri"/>
                <w:sz w:val="22"/>
              </w:rPr>
            </w:pPr>
          </w:p>
        </w:tc>
      </w:tr>
    </w:tbl>
    <w:p w:rsidR="00945EF0" w:rsidRPr="002045F5" w:rsidRDefault="00945EF0" w:rsidP="00E95FB1">
      <w:pPr>
        <w:rPr>
          <w:sz w:val="22"/>
        </w:rPr>
      </w:pPr>
    </w:p>
    <w:p w:rsidR="00945EF0" w:rsidRPr="002045F5" w:rsidRDefault="00945EF0" w:rsidP="00E95FB1">
      <w:pPr>
        <w:rPr>
          <w:sz w:val="22"/>
          <w:lang w:val="ru-RU"/>
        </w:rPr>
      </w:pPr>
    </w:p>
    <w:tbl>
      <w:tblPr>
        <w:tblW w:w="100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627"/>
        <w:gridCol w:w="1296"/>
        <w:gridCol w:w="48"/>
        <w:gridCol w:w="1453"/>
        <w:gridCol w:w="787"/>
        <w:gridCol w:w="668"/>
        <w:gridCol w:w="1315"/>
      </w:tblGrid>
      <w:tr w:rsidR="00945EF0" w:rsidRPr="002045F5" w:rsidTr="00945EF0">
        <w:tc>
          <w:tcPr>
            <w:tcW w:w="2836" w:type="dxa"/>
            <w:tcBorders>
              <w:top w:val="single" w:sz="6" w:space="0" w:color="auto"/>
              <w:left w:val="single" w:sz="6" w:space="0" w:color="auto"/>
              <w:bottom w:val="single" w:sz="4"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r w:rsidRPr="002045F5">
              <w:rPr>
                <w:rFonts w:eastAsia="Calibri"/>
                <w:b/>
                <w:color w:val="000000"/>
                <w:sz w:val="22"/>
              </w:rPr>
              <w:t>Оперативна ціль/завдання</w:t>
            </w:r>
          </w:p>
        </w:tc>
        <w:tc>
          <w:tcPr>
            <w:tcW w:w="7194" w:type="dxa"/>
            <w:gridSpan w:val="7"/>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 xml:space="preserve">Людський розвиток через інновації управління та довіру до влади. Формування сучасного інклюзивного  </w:t>
            </w:r>
            <w:proofErr w:type="spellStart"/>
            <w:r w:rsidRPr="002045F5">
              <w:rPr>
                <w:sz w:val="22"/>
              </w:rPr>
              <w:t>освітньо</w:t>
            </w:r>
            <w:proofErr w:type="spellEnd"/>
            <w:r w:rsidRPr="002045F5">
              <w:rPr>
                <w:sz w:val="22"/>
              </w:rPr>
              <w:t>-культурного та спортивного простору для розвитку</w:t>
            </w:r>
          </w:p>
        </w:tc>
      </w:tr>
      <w:tr w:rsidR="00945EF0" w:rsidRPr="002045F5" w:rsidTr="00945EF0">
        <w:tc>
          <w:tcPr>
            <w:tcW w:w="2836" w:type="dxa"/>
            <w:tcBorders>
              <w:top w:val="single" w:sz="6" w:space="0" w:color="auto"/>
              <w:left w:val="single" w:sz="6" w:space="0" w:color="auto"/>
              <w:bottom w:val="single" w:sz="4"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r w:rsidRPr="002045F5">
              <w:rPr>
                <w:rFonts w:eastAsia="Calibri"/>
                <w:b/>
                <w:color w:val="000000"/>
                <w:sz w:val="22"/>
              </w:rPr>
              <w:t>Назва проекту:</w:t>
            </w:r>
          </w:p>
        </w:tc>
        <w:tc>
          <w:tcPr>
            <w:tcW w:w="7194" w:type="dxa"/>
            <w:gridSpan w:val="7"/>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 xml:space="preserve">Відновлення та покращення території Гімназії №6 міста Сєвєродонецька Луганської області. </w:t>
            </w:r>
          </w:p>
          <w:p w:rsidR="00945EF0" w:rsidRPr="002045F5" w:rsidRDefault="00945EF0" w:rsidP="001038B7">
            <w:pPr>
              <w:rPr>
                <w:sz w:val="22"/>
              </w:rPr>
            </w:pPr>
            <w:r w:rsidRPr="002045F5">
              <w:rPr>
                <w:sz w:val="22"/>
              </w:rPr>
              <w:t>вул. Маяковського, 9, м. Сєвєродонецьк, Сєвєродонецький р-н, Луганська обл.</w:t>
            </w:r>
          </w:p>
        </w:tc>
      </w:tr>
      <w:tr w:rsidR="00945EF0" w:rsidRPr="002045F5" w:rsidTr="00945EF0">
        <w:tc>
          <w:tcPr>
            <w:tcW w:w="2836" w:type="dxa"/>
            <w:tcBorders>
              <w:top w:val="single" w:sz="6" w:space="0" w:color="auto"/>
              <w:left w:val="single" w:sz="6" w:space="0" w:color="auto"/>
              <w:bottom w:val="single" w:sz="4"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r w:rsidRPr="002045F5">
              <w:rPr>
                <w:rFonts w:eastAsia="Calibri"/>
                <w:b/>
                <w:color w:val="000000"/>
                <w:sz w:val="22"/>
              </w:rPr>
              <w:t>Ціль проекту</w:t>
            </w:r>
          </w:p>
        </w:tc>
        <w:tc>
          <w:tcPr>
            <w:tcW w:w="7194" w:type="dxa"/>
            <w:gridSpan w:val="7"/>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 xml:space="preserve">Реалізація </w:t>
            </w:r>
            <w:proofErr w:type="spellStart"/>
            <w:r w:rsidRPr="002045F5">
              <w:rPr>
                <w:sz w:val="22"/>
              </w:rPr>
              <w:t>проєкту</w:t>
            </w:r>
            <w:proofErr w:type="spellEnd"/>
            <w:r w:rsidRPr="002045F5">
              <w:rPr>
                <w:sz w:val="22"/>
              </w:rPr>
              <w:t xml:space="preserve"> ставить на меті  благоустрій території закладу для створення рівних можливостей щодо вільного й зручного доступу учасників освітнього процесу з різними інтересами, фізичними можливостями.</w:t>
            </w:r>
          </w:p>
        </w:tc>
      </w:tr>
      <w:tr w:rsidR="00945EF0" w:rsidRPr="002045F5" w:rsidTr="00945EF0">
        <w:tc>
          <w:tcPr>
            <w:tcW w:w="2836" w:type="dxa"/>
            <w:tcBorders>
              <w:top w:val="single" w:sz="6" w:space="0" w:color="auto"/>
              <w:left w:val="single" w:sz="6" w:space="0" w:color="auto"/>
              <w:bottom w:val="single" w:sz="4"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r w:rsidRPr="002045F5">
              <w:rPr>
                <w:rFonts w:eastAsia="Calibri"/>
                <w:b/>
                <w:color w:val="000000"/>
                <w:sz w:val="22"/>
              </w:rPr>
              <w:t>Територія, на яку матиме вплив реалізація проекту</w:t>
            </w:r>
          </w:p>
        </w:tc>
        <w:tc>
          <w:tcPr>
            <w:tcW w:w="7194" w:type="dxa"/>
            <w:gridSpan w:val="7"/>
            <w:tcBorders>
              <w:top w:val="single" w:sz="6" w:space="0" w:color="auto"/>
              <w:left w:val="single" w:sz="6" w:space="0" w:color="auto"/>
              <w:bottom w:val="single" w:sz="6" w:space="0" w:color="auto"/>
              <w:right w:val="single" w:sz="6" w:space="0" w:color="auto"/>
            </w:tcBorders>
            <w:shd w:val="clear" w:color="auto" w:fill="auto"/>
          </w:tcPr>
          <w:p w:rsidR="00945EF0" w:rsidRPr="002045F5" w:rsidRDefault="00945EF0" w:rsidP="001038B7">
            <w:pPr>
              <w:autoSpaceDE w:val="0"/>
              <w:autoSpaceDN w:val="0"/>
              <w:adjustRightInd w:val="0"/>
              <w:rPr>
                <w:rFonts w:eastAsia="Calibri"/>
                <w:sz w:val="22"/>
              </w:rPr>
            </w:pPr>
            <w:r w:rsidRPr="002045F5">
              <w:rPr>
                <w:rFonts w:eastAsia="Calibri"/>
                <w:sz w:val="22"/>
              </w:rPr>
              <w:t>Сєвєродонецька міська територіальна громада</w:t>
            </w:r>
          </w:p>
        </w:tc>
      </w:tr>
      <w:tr w:rsidR="00945EF0" w:rsidRPr="002045F5" w:rsidTr="00945EF0">
        <w:tc>
          <w:tcPr>
            <w:tcW w:w="2836" w:type="dxa"/>
            <w:tcBorders>
              <w:top w:val="single" w:sz="6" w:space="0" w:color="auto"/>
              <w:left w:val="single" w:sz="6" w:space="0" w:color="auto"/>
              <w:bottom w:val="single" w:sz="4"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r w:rsidRPr="002045F5">
              <w:rPr>
                <w:rFonts w:eastAsia="Calibri"/>
                <w:b/>
                <w:color w:val="000000"/>
                <w:sz w:val="22"/>
              </w:rPr>
              <w:t>Чисельність населення, на яке матиме вплив реалізація проекту</w:t>
            </w:r>
          </w:p>
        </w:tc>
        <w:tc>
          <w:tcPr>
            <w:tcW w:w="7194" w:type="dxa"/>
            <w:gridSpan w:val="7"/>
            <w:tcBorders>
              <w:top w:val="single" w:sz="6" w:space="0" w:color="auto"/>
              <w:left w:val="single" w:sz="6" w:space="0" w:color="auto"/>
              <w:bottom w:val="single" w:sz="6" w:space="0" w:color="auto"/>
              <w:right w:val="single" w:sz="6" w:space="0" w:color="auto"/>
            </w:tcBorders>
            <w:shd w:val="clear" w:color="auto" w:fill="auto"/>
          </w:tcPr>
          <w:p w:rsidR="00945EF0" w:rsidRPr="002045F5" w:rsidRDefault="00945EF0" w:rsidP="001038B7">
            <w:pPr>
              <w:autoSpaceDE w:val="0"/>
              <w:autoSpaceDN w:val="0"/>
              <w:adjustRightInd w:val="0"/>
              <w:rPr>
                <w:rFonts w:eastAsia="Calibri"/>
                <w:sz w:val="22"/>
              </w:rPr>
            </w:pPr>
            <w:r w:rsidRPr="002045F5">
              <w:rPr>
                <w:rFonts w:eastAsia="Calibri"/>
                <w:sz w:val="22"/>
              </w:rPr>
              <w:t>70 000 осіб</w:t>
            </w:r>
          </w:p>
        </w:tc>
      </w:tr>
      <w:tr w:rsidR="00945EF0" w:rsidRPr="002045F5" w:rsidTr="00945EF0">
        <w:tc>
          <w:tcPr>
            <w:tcW w:w="2836" w:type="dxa"/>
            <w:tcBorders>
              <w:top w:val="single" w:sz="6" w:space="0" w:color="auto"/>
              <w:left w:val="single" w:sz="6" w:space="0" w:color="auto"/>
              <w:bottom w:val="single" w:sz="4"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r w:rsidRPr="002045F5">
              <w:rPr>
                <w:rFonts w:eastAsia="Calibri"/>
                <w:b/>
                <w:color w:val="000000"/>
                <w:sz w:val="22"/>
              </w:rPr>
              <w:t>Опис проблеми, на вирішення якої спрямований проект</w:t>
            </w:r>
          </w:p>
        </w:tc>
        <w:tc>
          <w:tcPr>
            <w:tcW w:w="7194" w:type="dxa"/>
            <w:gridSpan w:val="7"/>
            <w:tcBorders>
              <w:top w:val="single" w:sz="6" w:space="0" w:color="auto"/>
              <w:left w:val="single" w:sz="6" w:space="0" w:color="auto"/>
              <w:bottom w:val="single" w:sz="6" w:space="0" w:color="auto"/>
              <w:right w:val="single" w:sz="6" w:space="0" w:color="auto"/>
            </w:tcBorders>
            <w:shd w:val="clear" w:color="auto" w:fill="auto"/>
          </w:tcPr>
          <w:p w:rsidR="00945EF0" w:rsidRPr="002045F5" w:rsidRDefault="00945EF0" w:rsidP="00D472AD">
            <w:pPr>
              <w:autoSpaceDE w:val="0"/>
              <w:autoSpaceDN w:val="0"/>
              <w:adjustRightInd w:val="0"/>
              <w:rPr>
                <w:rFonts w:eastAsia="Calibri"/>
                <w:sz w:val="22"/>
              </w:rPr>
            </w:pPr>
            <w:r w:rsidRPr="002045F5">
              <w:rPr>
                <w:rFonts w:eastAsia="Calibri"/>
                <w:sz w:val="22"/>
              </w:rPr>
              <w:t xml:space="preserve">     На території закладу до повномасштабного вторгнення </w:t>
            </w:r>
            <w:r w:rsidR="00CB10E7" w:rsidRPr="002045F5">
              <w:rPr>
                <w:rFonts w:eastAsia="Calibri"/>
                <w:sz w:val="22"/>
              </w:rPr>
              <w:t xml:space="preserve">РФ </w:t>
            </w:r>
            <w:r w:rsidRPr="002045F5">
              <w:rPr>
                <w:rFonts w:eastAsia="Calibri"/>
                <w:sz w:val="22"/>
              </w:rPr>
              <w:t>на Україну була розпочата робота щодо благоустрою шкільного подвір'я. А саме</w:t>
            </w:r>
            <w:r w:rsidR="00CB10E7" w:rsidRPr="002045F5">
              <w:rPr>
                <w:rFonts w:eastAsia="Calibri"/>
                <w:sz w:val="22"/>
              </w:rPr>
              <w:t>:</w:t>
            </w:r>
            <w:r w:rsidRPr="002045F5">
              <w:rPr>
                <w:rFonts w:eastAsia="Calibri"/>
                <w:sz w:val="22"/>
              </w:rPr>
              <w:t xml:space="preserve"> встановлено спортивний комплекс WORKOUT, облаштовано зону відпочинку для учнів 1-4 класів та вихованців ГПД "</w:t>
            </w:r>
            <w:proofErr w:type="spellStart"/>
            <w:r w:rsidRPr="002045F5">
              <w:rPr>
                <w:rFonts w:eastAsia="Calibri"/>
                <w:sz w:val="22"/>
              </w:rPr>
              <w:t>Граймісто</w:t>
            </w:r>
            <w:proofErr w:type="spellEnd"/>
            <w:r w:rsidRPr="002045F5">
              <w:rPr>
                <w:rFonts w:eastAsia="Calibri"/>
                <w:sz w:val="22"/>
              </w:rPr>
              <w:t xml:space="preserve">" (переможець громадського бюджету 2021 року). Але сьогодні в нас навчаються діти, які мають велосипеди, самокати, </w:t>
            </w:r>
            <w:proofErr w:type="spellStart"/>
            <w:r w:rsidRPr="002045F5">
              <w:rPr>
                <w:rFonts w:eastAsia="Calibri"/>
                <w:sz w:val="22"/>
              </w:rPr>
              <w:t>скейти</w:t>
            </w:r>
            <w:proofErr w:type="spellEnd"/>
            <w:r w:rsidRPr="002045F5">
              <w:rPr>
                <w:rFonts w:eastAsia="Calibri"/>
                <w:sz w:val="22"/>
              </w:rPr>
              <w:t xml:space="preserve"> й бажали б діставатися до закладу на своїх засобах пересування та змогу залишити їх у зручному місці</w:t>
            </w:r>
            <w:r w:rsidR="00D472AD" w:rsidRPr="002045F5">
              <w:rPr>
                <w:rFonts w:eastAsia="Calibri"/>
                <w:sz w:val="22"/>
              </w:rPr>
              <w:t>.</w:t>
            </w:r>
            <w:r w:rsidRPr="002045F5">
              <w:rPr>
                <w:rFonts w:eastAsia="Calibri"/>
                <w:sz w:val="22"/>
              </w:rPr>
              <w:t xml:space="preserve"> Крім того щоранку спортивний майданчик перетворювався на місце зустрічей любителів спорту: учнів, їхніх батьків, мешканців мікрорайону. У Гімназії № 6 щороку ми проводимо фестиваль творчості "</w:t>
            </w:r>
            <w:proofErr w:type="spellStart"/>
            <w:r w:rsidRPr="002045F5">
              <w:rPr>
                <w:rFonts w:eastAsia="Calibri"/>
                <w:sz w:val="22"/>
              </w:rPr>
              <w:t>Повір</w:t>
            </w:r>
            <w:proofErr w:type="spellEnd"/>
            <w:r w:rsidRPr="002045F5">
              <w:rPr>
                <w:rFonts w:eastAsia="Calibri"/>
                <w:sz w:val="22"/>
              </w:rPr>
              <w:t xml:space="preserve"> у себе" до Дня інваліда й запрошуємо дітей з різними фізичними можливостями, але пандус, який не відповідає сучасним вимогам, ускладнює відвідува</w:t>
            </w:r>
            <w:r w:rsidR="00D472AD" w:rsidRPr="002045F5">
              <w:rPr>
                <w:rFonts w:eastAsia="Calibri"/>
                <w:sz w:val="22"/>
              </w:rPr>
              <w:t>ння</w:t>
            </w:r>
            <w:r w:rsidRPr="002045F5">
              <w:rPr>
                <w:rFonts w:eastAsia="Calibri"/>
                <w:sz w:val="22"/>
              </w:rPr>
              <w:t xml:space="preserve"> наш</w:t>
            </w:r>
            <w:r w:rsidR="00D472AD" w:rsidRPr="002045F5">
              <w:rPr>
                <w:rFonts w:eastAsia="Calibri"/>
                <w:sz w:val="22"/>
              </w:rPr>
              <w:t>ої</w:t>
            </w:r>
            <w:r w:rsidRPr="002045F5">
              <w:rPr>
                <w:rFonts w:eastAsia="Calibri"/>
                <w:sz w:val="22"/>
              </w:rPr>
              <w:t xml:space="preserve"> школ</w:t>
            </w:r>
            <w:r w:rsidR="00D472AD" w:rsidRPr="002045F5">
              <w:rPr>
                <w:rFonts w:eastAsia="Calibri"/>
                <w:sz w:val="22"/>
              </w:rPr>
              <w:t>и</w:t>
            </w:r>
            <w:r w:rsidRPr="002045F5">
              <w:rPr>
                <w:rFonts w:eastAsia="Calibri"/>
                <w:sz w:val="22"/>
              </w:rPr>
              <w:t xml:space="preserve"> талановитим</w:t>
            </w:r>
            <w:r w:rsidR="00D472AD" w:rsidRPr="002045F5">
              <w:rPr>
                <w:rFonts w:eastAsia="Calibri"/>
                <w:sz w:val="22"/>
              </w:rPr>
              <w:t>и</w:t>
            </w:r>
            <w:r w:rsidRPr="002045F5">
              <w:rPr>
                <w:rFonts w:eastAsia="Calibri"/>
                <w:sz w:val="22"/>
              </w:rPr>
              <w:t xml:space="preserve"> діт</w:t>
            </w:r>
            <w:r w:rsidR="00D472AD" w:rsidRPr="002045F5">
              <w:rPr>
                <w:rFonts w:eastAsia="Calibri"/>
                <w:sz w:val="22"/>
              </w:rPr>
              <w:t>ь</w:t>
            </w:r>
            <w:r w:rsidRPr="002045F5">
              <w:rPr>
                <w:rFonts w:eastAsia="Calibri"/>
                <w:sz w:val="22"/>
              </w:rPr>
              <w:t>м</w:t>
            </w:r>
            <w:r w:rsidR="00D472AD" w:rsidRPr="002045F5">
              <w:rPr>
                <w:rFonts w:eastAsia="Calibri"/>
                <w:sz w:val="22"/>
              </w:rPr>
              <w:t>и</w:t>
            </w:r>
            <w:r w:rsidRPr="002045F5">
              <w:rPr>
                <w:rFonts w:eastAsia="Calibri"/>
                <w:sz w:val="22"/>
              </w:rPr>
              <w:t>. Потребує розширення й ігровий майданчик "</w:t>
            </w:r>
            <w:proofErr w:type="spellStart"/>
            <w:r w:rsidRPr="002045F5">
              <w:rPr>
                <w:rFonts w:eastAsia="Calibri"/>
                <w:sz w:val="22"/>
              </w:rPr>
              <w:t>Граймісто</w:t>
            </w:r>
            <w:proofErr w:type="spellEnd"/>
            <w:r w:rsidRPr="002045F5">
              <w:rPr>
                <w:rFonts w:eastAsia="Calibri"/>
                <w:sz w:val="22"/>
              </w:rPr>
              <w:t>". Тому шкільне подвір'я сьогодні потребує реконструкції: відновлення паркану, що зробить безпечнішим наш заклад, облаштування спортивного майданчика вуличним спортивним комплексом, ігрового майданчика "</w:t>
            </w:r>
            <w:proofErr w:type="spellStart"/>
            <w:r w:rsidRPr="002045F5">
              <w:rPr>
                <w:rFonts w:eastAsia="Calibri"/>
                <w:sz w:val="22"/>
              </w:rPr>
              <w:t>Граймісто</w:t>
            </w:r>
            <w:proofErr w:type="spellEnd"/>
            <w:r w:rsidRPr="002045F5">
              <w:rPr>
                <w:rFonts w:eastAsia="Calibri"/>
                <w:sz w:val="22"/>
              </w:rPr>
              <w:t xml:space="preserve">" додатковим обладнанням та літнім кінотеатром, встановлення </w:t>
            </w:r>
            <w:proofErr w:type="spellStart"/>
            <w:r w:rsidRPr="002045F5">
              <w:rPr>
                <w:rFonts w:eastAsia="Calibri"/>
                <w:sz w:val="22"/>
              </w:rPr>
              <w:t>велопарковки</w:t>
            </w:r>
            <w:proofErr w:type="spellEnd"/>
            <w:r w:rsidRPr="002045F5">
              <w:rPr>
                <w:rFonts w:eastAsia="Calibri"/>
                <w:sz w:val="22"/>
              </w:rPr>
              <w:t xml:space="preserve">, </w:t>
            </w:r>
            <w:proofErr w:type="spellStart"/>
            <w:r w:rsidRPr="002045F5">
              <w:rPr>
                <w:rFonts w:eastAsia="Calibri"/>
                <w:sz w:val="22"/>
              </w:rPr>
              <w:t>парковки</w:t>
            </w:r>
            <w:proofErr w:type="spellEnd"/>
            <w:r w:rsidRPr="002045F5">
              <w:rPr>
                <w:rFonts w:eastAsia="Calibri"/>
                <w:sz w:val="22"/>
              </w:rPr>
              <w:t xml:space="preserve"> для самокатів, </w:t>
            </w:r>
            <w:proofErr w:type="spellStart"/>
            <w:r w:rsidRPr="002045F5">
              <w:rPr>
                <w:rFonts w:eastAsia="Calibri"/>
                <w:sz w:val="22"/>
              </w:rPr>
              <w:t>стійки</w:t>
            </w:r>
            <w:proofErr w:type="spellEnd"/>
            <w:r w:rsidRPr="002045F5">
              <w:rPr>
                <w:rFonts w:eastAsia="Calibri"/>
                <w:sz w:val="22"/>
              </w:rPr>
              <w:t xml:space="preserve"> для </w:t>
            </w:r>
            <w:proofErr w:type="spellStart"/>
            <w:r w:rsidRPr="002045F5">
              <w:rPr>
                <w:rFonts w:eastAsia="Calibri"/>
                <w:sz w:val="22"/>
              </w:rPr>
              <w:t>скейтів</w:t>
            </w:r>
            <w:proofErr w:type="spellEnd"/>
            <w:r w:rsidRPr="002045F5">
              <w:rPr>
                <w:rFonts w:eastAsia="Calibri"/>
                <w:sz w:val="22"/>
              </w:rPr>
              <w:t>, ремонт центрального входу із встановленням нового пандусу.</w:t>
            </w:r>
          </w:p>
        </w:tc>
      </w:tr>
      <w:tr w:rsidR="00945EF0" w:rsidRPr="002045F5" w:rsidTr="00945EF0">
        <w:tc>
          <w:tcPr>
            <w:tcW w:w="2836" w:type="dxa"/>
            <w:tcBorders>
              <w:top w:val="single" w:sz="6" w:space="0" w:color="auto"/>
              <w:left w:val="single" w:sz="6" w:space="0" w:color="auto"/>
              <w:bottom w:val="single" w:sz="4"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r w:rsidRPr="002045F5">
              <w:rPr>
                <w:rFonts w:eastAsia="Calibri"/>
                <w:b/>
                <w:color w:val="000000"/>
                <w:sz w:val="22"/>
              </w:rPr>
              <w:t>Очікувані якісні результати від реалізації проекту</w:t>
            </w:r>
          </w:p>
        </w:tc>
        <w:tc>
          <w:tcPr>
            <w:tcW w:w="7194" w:type="dxa"/>
            <w:gridSpan w:val="7"/>
            <w:tcBorders>
              <w:top w:val="single" w:sz="6" w:space="0" w:color="auto"/>
              <w:left w:val="single" w:sz="6" w:space="0" w:color="auto"/>
              <w:bottom w:val="single" w:sz="4" w:space="0" w:color="auto"/>
              <w:right w:val="single" w:sz="6" w:space="0" w:color="auto"/>
            </w:tcBorders>
            <w:shd w:val="clear" w:color="auto" w:fill="auto"/>
          </w:tcPr>
          <w:p w:rsidR="00945EF0" w:rsidRPr="002045F5" w:rsidRDefault="00945EF0" w:rsidP="001038B7">
            <w:pPr>
              <w:autoSpaceDE w:val="0"/>
              <w:autoSpaceDN w:val="0"/>
              <w:adjustRightInd w:val="0"/>
              <w:rPr>
                <w:rFonts w:eastAsia="Calibri"/>
                <w:sz w:val="22"/>
              </w:rPr>
            </w:pPr>
            <w:r w:rsidRPr="002045F5">
              <w:rPr>
                <w:rFonts w:eastAsia="Calibri"/>
                <w:sz w:val="22"/>
              </w:rPr>
              <w:t xml:space="preserve">          Соціальний ефект:   </w:t>
            </w:r>
          </w:p>
          <w:p w:rsidR="00945EF0" w:rsidRPr="002045F5" w:rsidRDefault="00945EF0" w:rsidP="001038B7">
            <w:pPr>
              <w:autoSpaceDE w:val="0"/>
              <w:autoSpaceDN w:val="0"/>
              <w:adjustRightInd w:val="0"/>
              <w:rPr>
                <w:rFonts w:eastAsia="Calibri"/>
                <w:sz w:val="22"/>
              </w:rPr>
            </w:pPr>
            <w:r w:rsidRPr="002045F5">
              <w:rPr>
                <w:rFonts w:eastAsia="Calibri"/>
                <w:sz w:val="22"/>
              </w:rPr>
              <w:t>- створення умов для зручного доступу до закладу освіти;</w:t>
            </w:r>
          </w:p>
          <w:p w:rsidR="00945EF0" w:rsidRPr="002045F5" w:rsidRDefault="00945EF0" w:rsidP="001038B7">
            <w:pPr>
              <w:autoSpaceDE w:val="0"/>
              <w:autoSpaceDN w:val="0"/>
              <w:adjustRightInd w:val="0"/>
              <w:rPr>
                <w:rFonts w:eastAsia="Calibri"/>
                <w:sz w:val="22"/>
              </w:rPr>
            </w:pPr>
            <w:r w:rsidRPr="002045F5">
              <w:rPr>
                <w:rFonts w:eastAsia="Calibri"/>
                <w:sz w:val="22"/>
              </w:rPr>
              <w:lastRenderedPageBreak/>
              <w:t xml:space="preserve">- розвиток фізичних здібностей здобувачів освіти, батьків, мешканців мікрорайону;   </w:t>
            </w:r>
          </w:p>
          <w:p w:rsidR="00945EF0" w:rsidRPr="002045F5" w:rsidRDefault="00945EF0" w:rsidP="001038B7">
            <w:pPr>
              <w:autoSpaceDE w:val="0"/>
              <w:autoSpaceDN w:val="0"/>
              <w:adjustRightInd w:val="0"/>
              <w:rPr>
                <w:rFonts w:eastAsia="Calibri"/>
                <w:sz w:val="22"/>
              </w:rPr>
            </w:pPr>
            <w:r w:rsidRPr="002045F5">
              <w:rPr>
                <w:rFonts w:eastAsia="Calibri"/>
                <w:sz w:val="22"/>
              </w:rPr>
              <w:t xml:space="preserve">- повага та врахування інтересів осіб з інвалідністю; </w:t>
            </w:r>
          </w:p>
          <w:p w:rsidR="00945EF0" w:rsidRPr="002045F5" w:rsidRDefault="00945EF0" w:rsidP="001038B7">
            <w:pPr>
              <w:autoSpaceDE w:val="0"/>
              <w:autoSpaceDN w:val="0"/>
              <w:adjustRightInd w:val="0"/>
              <w:rPr>
                <w:rFonts w:eastAsia="Calibri"/>
                <w:sz w:val="22"/>
              </w:rPr>
            </w:pPr>
            <w:r w:rsidRPr="002045F5">
              <w:rPr>
                <w:rFonts w:eastAsia="Calibri"/>
                <w:sz w:val="22"/>
              </w:rPr>
              <w:t xml:space="preserve">- можливість розвиватися засобами гри; </w:t>
            </w:r>
          </w:p>
          <w:p w:rsidR="00945EF0" w:rsidRPr="002045F5" w:rsidRDefault="00945EF0" w:rsidP="001038B7">
            <w:pPr>
              <w:autoSpaceDE w:val="0"/>
              <w:autoSpaceDN w:val="0"/>
              <w:adjustRightInd w:val="0"/>
              <w:rPr>
                <w:rFonts w:eastAsia="Calibri"/>
                <w:sz w:val="22"/>
              </w:rPr>
            </w:pPr>
            <w:r w:rsidRPr="002045F5">
              <w:rPr>
                <w:rFonts w:eastAsia="Calibri"/>
                <w:sz w:val="22"/>
              </w:rPr>
              <w:t>- підвищення іміджу закладу.</w:t>
            </w:r>
          </w:p>
          <w:p w:rsidR="00945EF0" w:rsidRPr="002045F5" w:rsidRDefault="00945EF0" w:rsidP="001038B7">
            <w:pPr>
              <w:autoSpaceDE w:val="0"/>
              <w:autoSpaceDN w:val="0"/>
              <w:adjustRightInd w:val="0"/>
              <w:rPr>
                <w:rFonts w:eastAsia="Calibri"/>
                <w:color w:val="FF0000"/>
                <w:sz w:val="22"/>
              </w:rPr>
            </w:pPr>
          </w:p>
        </w:tc>
      </w:tr>
      <w:tr w:rsidR="00945EF0" w:rsidRPr="002045F5" w:rsidTr="00945EF0">
        <w:tc>
          <w:tcPr>
            <w:tcW w:w="2836" w:type="dxa"/>
            <w:vMerge w:val="restart"/>
            <w:tcBorders>
              <w:top w:val="single" w:sz="6" w:space="0" w:color="auto"/>
              <w:left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r w:rsidRPr="002045F5">
              <w:rPr>
                <w:rFonts w:eastAsia="Calibri"/>
                <w:b/>
                <w:color w:val="000000"/>
                <w:sz w:val="22"/>
              </w:rPr>
              <w:lastRenderedPageBreak/>
              <w:t>Очікувані кількісні результати від реалізації проекту  (індикатори)</w:t>
            </w:r>
          </w:p>
        </w:tc>
        <w:tc>
          <w:tcPr>
            <w:tcW w:w="2923" w:type="dxa"/>
            <w:gridSpan w:val="2"/>
            <w:tcBorders>
              <w:top w:val="single" w:sz="6" w:space="0" w:color="auto"/>
              <w:left w:val="single" w:sz="6" w:space="0" w:color="auto"/>
              <w:bottom w:val="single" w:sz="6" w:space="0" w:color="auto"/>
              <w:right w:val="single" w:sz="6"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sz w:val="22"/>
              </w:rPr>
              <w:t>Найменування показника</w:t>
            </w:r>
          </w:p>
        </w:tc>
        <w:tc>
          <w:tcPr>
            <w:tcW w:w="2288" w:type="dxa"/>
            <w:gridSpan w:val="3"/>
            <w:tcBorders>
              <w:top w:val="single" w:sz="6" w:space="0" w:color="auto"/>
              <w:left w:val="single" w:sz="6" w:space="0" w:color="auto"/>
              <w:bottom w:val="single" w:sz="6" w:space="0" w:color="auto"/>
              <w:right w:val="single" w:sz="6"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sz w:val="22"/>
              </w:rPr>
              <w:t>Одиниця вимірювання</w:t>
            </w:r>
          </w:p>
        </w:tc>
        <w:tc>
          <w:tcPr>
            <w:tcW w:w="1983" w:type="dxa"/>
            <w:gridSpan w:val="2"/>
            <w:tcBorders>
              <w:top w:val="single" w:sz="6" w:space="0" w:color="auto"/>
              <w:left w:val="single" w:sz="6" w:space="0" w:color="auto"/>
              <w:bottom w:val="single" w:sz="6" w:space="0" w:color="auto"/>
              <w:right w:val="single" w:sz="6"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sz w:val="22"/>
              </w:rPr>
              <w:t>Прогнозне (цільове) значення</w:t>
            </w:r>
          </w:p>
        </w:tc>
      </w:tr>
      <w:tr w:rsidR="00945EF0" w:rsidRPr="002045F5" w:rsidTr="00945EF0">
        <w:tc>
          <w:tcPr>
            <w:tcW w:w="2836" w:type="dxa"/>
            <w:vMerge/>
            <w:tcBorders>
              <w:left w:val="single" w:sz="6" w:space="0" w:color="auto"/>
              <w:right w:val="single" w:sz="6" w:space="0" w:color="auto"/>
            </w:tcBorders>
            <w:shd w:val="clear" w:color="auto" w:fill="C6D9F1" w:themeFill="text2" w:themeFillTint="33"/>
          </w:tcPr>
          <w:p w:rsidR="00945EF0" w:rsidRPr="002045F5" w:rsidRDefault="00945EF0" w:rsidP="001038B7">
            <w:pPr>
              <w:tabs>
                <w:tab w:val="left" w:pos="5290"/>
              </w:tabs>
              <w:jc w:val="center"/>
              <w:rPr>
                <w:b/>
                <w:sz w:val="22"/>
              </w:rPr>
            </w:pPr>
          </w:p>
        </w:tc>
        <w:tc>
          <w:tcPr>
            <w:tcW w:w="2923" w:type="dxa"/>
            <w:gridSpan w:val="2"/>
            <w:tcBorders>
              <w:top w:val="single" w:sz="4" w:space="0" w:color="auto"/>
              <w:left w:val="single" w:sz="6"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 xml:space="preserve">Кількісний склад </w:t>
            </w:r>
            <w:proofErr w:type="spellStart"/>
            <w:r w:rsidRPr="002045F5">
              <w:rPr>
                <w:sz w:val="22"/>
              </w:rPr>
              <w:t>проєкту</w:t>
            </w:r>
            <w:proofErr w:type="spellEnd"/>
          </w:p>
        </w:tc>
        <w:tc>
          <w:tcPr>
            <w:tcW w:w="2288" w:type="dxa"/>
            <w:gridSpan w:val="3"/>
            <w:tcBorders>
              <w:top w:val="single" w:sz="4" w:space="0" w:color="auto"/>
              <w:left w:val="nil"/>
              <w:bottom w:val="single" w:sz="4" w:space="0" w:color="auto"/>
              <w:right w:val="single" w:sz="4" w:space="0" w:color="auto"/>
            </w:tcBorders>
            <w:shd w:val="clear" w:color="auto" w:fill="auto"/>
            <w:vAlign w:val="center"/>
          </w:tcPr>
          <w:p w:rsidR="00945EF0" w:rsidRPr="002045F5" w:rsidRDefault="00945EF0" w:rsidP="001038B7">
            <w:pPr>
              <w:jc w:val="center"/>
              <w:rPr>
                <w:sz w:val="22"/>
              </w:rPr>
            </w:pPr>
            <w:r w:rsidRPr="002045F5">
              <w:rPr>
                <w:sz w:val="22"/>
              </w:rPr>
              <w:t>осіб</w:t>
            </w:r>
          </w:p>
        </w:tc>
        <w:tc>
          <w:tcPr>
            <w:tcW w:w="1983" w:type="dxa"/>
            <w:gridSpan w:val="2"/>
            <w:tcBorders>
              <w:top w:val="single" w:sz="4" w:space="0" w:color="auto"/>
              <w:left w:val="nil"/>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 xml:space="preserve">20 </w:t>
            </w:r>
          </w:p>
        </w:tc>
      </w:tr>
      <w:tr w:rsidR="00945EF0" w:rsidRPr="002045F5" w:rsidTr="00945EF0">
        <w:tc>
          <w:tcPr>
            <w:tcW w:w="2836" w:type="dxa"/>
            <w:vMerge/>
            <w:tcBorders>
              <w:left w:val="single" w:sz="6" w:space="0" w:color="auto"/>
              <w:right w:val="single" w:sz="6" w:space="0" w:color="auto"/>
            </w:tcBorders>
            <w:shd w:val="clear" w:color="auto" w:fill="C6D9F1" w:themeFill="text2" w:themeFillTint="33"/>
          </w:tcPr>
          <w:p w:rsidR="00945EF0" w:rsidRPr="002045F5" w:rsidRDefault="00945EF0" w:rsidP="001038B7">
            <w:pPr>
              <w:tabs>
                <w:tab w:val="left" w:pos="5290"/>
              </w:tabs>
              <w:jc w:val="center"/>
              <w:rPr>
                <w:b/>
                <w:sz w:val="22"/>
              </w:rPr>
            </w:pPr>
          </w:p>
        </w:tc>
        <w:tc>
          <w:tcPr>
            <w:tcW w:w="2923" w:type="dxa"/>
            <w:gridSpan w:val="2"/>
            <w:tcBorders>
              <w:top w:val="single" w:sz="4" w:space="0" w:color="auto"/>
              <w:left w:val="single" w:sz="6"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Круглі столи в межах рекламної кампанії</w:t>
            </w:r>
          </w:p>
        </w:tc>
        <w:tc>
          <w:tcPr>
            <w:tcW w:w="2288" w:type="dxa"/>
            <w:gridSpan w:val="3"/>
            <w:tcBorders>
              <w:top w:val="single" w:sz="4" w:space="0" w:color="auto"/>
              <w:left w:val="nil"/>
              <w:bottom w:val="single" w:sz="4" w:space="0" w:color="auto"/>
              <w:right w:val="single" w:sz="4" w:space="0" w:color="auto"/>
            </w:tcBorders>
            <w:shd w:val="clear" w:color="auto" w:fill="auto"/>
          </w:tcPr>
          <w:p w:rsidR="00945EF0" w:rsidRPr="002045F5" w:rsidRDefault="00945EF0" w:rsidP="001038B7">
            <w:pPr>
              <w:jc w:val="center"/>
              <w:rPr>
                <w:sz w:val="22"/>
              </w:rPr>
            </w:pPr>
            <w:r w:rsidRPr="002045F5">
              <w:rPr>
                <w:sz w:val="22"/>
              </w:rPr>
              <w:t>одиниць</w:t>
            </w:r>
          </w:p>
        </w:tc>
        <w:tc>
          <w:tcPr>
            <w:tcW w:w="1983" w:type="dxa"/>
            <w:gridSpan w:val="2"/>
            <w:tcBorders>
              <w:top w:val="single" w:sz="4" w:space="0" w:color="auto"/>
              <w:left w:val="nil"/>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2</w:t>
            </w:r>
          </w:p>
          <w:p w:rsidR="00945EF0" w:rsidRPr="002045F5" w:rsidRDefault="00945EF0" w:rsidP="001038B7">
            <w:pPr>
              <w:rPr>
                <w:sz w:val="22"/>
              </w:rPr>
            </w:pPr>
          </w:p>
        </w:tc>
      </w:tr>
      <w:tr w:rsidR="00945EF0" w:rsidRPr="002045F5" w:rsidTr="00945EF0">
        <w:tc>
          <w:tcPr>
            <w:tcW w:w="2836" w:type="dxa"/>
            <w:vMerge/>
            <w:tcBorders>
              <w:left w:val="single" w:sz="6" w:space="0" w:color="auto"/>
              <w:right w:val="single" w:sz="6" w:space="0" w:color="auto"/>
            </w:tcBorders>
            <w:shd w:val="clear" w:color="auto" w:fill="C6D9F1" w:themeFill="text2" w:themeFillTint="33"/>
          </w:tcPr>
          <w:p w:rsidR="00945EF0" w:rsidRPr="002045F5" w:rsidRDefault="00945EF0" w:rsidP="001038B7">
            <w:pPr>
              <w:tabs>
                <w:tab w:val="left" w:pos="5290"/>
              </w:tabs>
              <w:jc w:val="center"/>
              <w:rPr>
                <w:b/>
                <w:sz w:val="22"/>
              </w:rPr>
            </w:pPr>
          </w:p>
        </w:tc>
        <w:tc>
          <w:tcPr>
            <w:tcW w:w="2923" w:type="dxa"/>
            <w:gridSpan w:val="2"/>
            <w:tcBorders>
              <w:top w:val="single" w:sz="4" w:space="0" w:color="auto"/>
              <w:left w:val="single" w:sz="6"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Кошторис</w:t>
            </w:r>
          </w:p>
        </w:tc>
        <w:tc>
          <w:tcPr>
            <w:tcW w:w="2288" w:type="dxa"/>
            <w:gridSpan w:val="3"/>
            <w:tcBorders>
              <w:top w:val="single" w:sz="4" w:space="0" w:color="auto"/>
              <w:left w:val="nil"/>
              <w:bottom w:val="single" w:sz="4" w:space="0" w:color="auto"/>
              <w:right w:val="single" w:sz="4" w:space="0" w:color="auto"/>
            </w:tcBorders>
            <w:shd w:val="clear" w:color="auto" w:fill="auto"/>
          </w:tcPr>
          <w:p w:rsidR="00945EF0" w:rsidRPr="002045F5" w:rsidRDefault="00945EF0" w:rsidP="001038B7">
            <w:pPr>
              <w:jc w:val="center"/>
              <w:rPr>
                <w:sz w:val="22"/>
              </w:rPr>
            </w:pPr>
            <w:r w:rsidRPr="002045F5">
              <w:rPr>
                <w:sz w:val="22"/>
              </w:rPr>
              <w:t>одиниць</w:t>
            </w:r>
          </w:p>
        </w:tc>
        <w:tc>
          <w:tcPr>
            <w:tcW w:w="1983" w:type="dxa"/>
            <w:gridSpan w:val="2"/>
            <w:tcBorders>
              <w:top w:val="single" w:sz="4" w:space="0" w:color="auto"/>
              <w:left w:val="nil"/>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1</w:t>
            </w:r>
          </w:p>
          <w:p w:rsidR="00945EF0" w:rsidRPr="002045F5" w:rsidRDefault="00945EF0" w:rsidP="001038B7">
            <w:pPr>
              <w:rPr>
                <w:sz w:val="22"/>
              </w:rPr>
            </w:pPr>
          </w:p>
        </w:tc>
      </w:tr>
      <w:tr w:rsidR="00945EF0" w:rsidRPr="002045F5" w:rsidTr="00945EF0">
        <w:tc>
          <w:tcPr>
            <w:tcW w:w="2836" w:type="dxa"/>
            <w:vMerge/>
            <w:tcBorders>
              <w:left w:val="single" w:sz="6" w:space="0" w:color="auto"/>
              <w:right w:val="single" w:sz="6" w:space="0" w:color="auto"/>
            </w:tcBorders>
            <w:shd w:val="clear" w:color="auto" w:fill="C6D9F1" w:themeFill="text2" w:themeFillTint="33"/>
          </w:tcPr>
          <w:p w:rsidR="00945EF0" w:rsidRPr="002045F5" w:rsidRDefault="00945EF0" w:rsidP="001038B7">
            <w:pPr>
              <w:tabs>
                <w:tab w:val="left" w:pos="5290"/>
              </w:tabs>
              <w:jc w:val="center"/>
              <w:rPr>
                <w:b/>
                <w:sz w:val="22"/>
              </w:rPr>
            </w:pPr>
          </w:p>
        </w:tc>
        <w:tc>
          <w:tcPr>
            <w:tcW w:w="2923" w:type="dxa"/>
            <w:gridSpan w:val="2"/>
            <w:tcBorders>
              <w:top w:val="single" w:sz="4" w:space="0" w:color="auto"/>
              <w:left w:val="single" w:sz="6"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Демонтаж старого паркану та пандусу</w:t>
            </w:r>
          </w:p>
        </w:tc>
        <w:tc>
          <w:tcPr>
            <w:tcW w:w="2288" w:type="dxa"/>
            <w:gridSpan w:val="3"/>
            <w:tcBorders>
              <w:top w:val="single" w:sz="4" w:space="0" w:color="auto"/>
              <w:left w:val="nil"/>
              <w:bottom w:val="single" w:sz="4" w:space="0" w:color="auto"/>
              <w:right w:val="single" w:sz="4" w:space="0" w:color="auto"/>
            </w:tcBorders>
            <w:shd w:val="clear" w:color="auto" w:fill="auto"/>
          </w:tcPr>
          <w:p w:rsidR="00945EF0" w:rsidRPr="002045F5" w:rsidRDefault="00945EF0" w:rsidP="001038B7">
            <w:pPr>
              <w:jc w:val="center"/>
              <w:rPr>
                <w:sz w:val="22"/>
              </w:rPr>
            </w:pPr>
            <w:r w:rsidRPr="002045F5">
              <w:rPr>
                <w:sz w:val="22"/>
              </w:rPr>
              <w:t>одиниць</w:t>
            </w:r>
          </w:p>
        </w:tc>
        <w:tc>
          <w:tcPr>
            <w:tcW w:w="1983" w:type="dxa"/>
            <w:gridSpan w:val="2"/>
            <w:tcBorders>
              <w:top w:val="single" w:sz="4" w:space="0" w:color="auto"/>
              <w:left w:val="nil"/>
              <w:bottom w:val="single" w:sz="4" w:space="0" w:color="auto"/>
              <w:right w:val="single" w:sz="4" w:space="0" w:color="000000"/>
            </w:tcBorders>
            <w:shd w:val="clear" w:color="auto" w:fill="auto"/>
          </w:tcPr>
          <w:p w:rsidR="00945EF0" w:rsidRPr="002045F5" w:rsidRDefault="00945EF0" w:rsidP="001038B7">
            <w:pPr>
              <w:rPr>
                <w:sz w:val="22"/>
              </w:rPr>
            </w:pPr>
            <w:r w:rsidRPr="002045F5">
              <w:rPr>
                <w:sz w:val="22"/>
              </w:rPr>
              <w:t>2</w:t>
            </w:r>
          </w:p>
        </w:tc>
      </w:tr>
      <w:tr w:rsidR="00945EF0" w:rsidRPr="002045F5" w:rsidTr="00945EF0">
        <w:tc>
          <w:tcPr>
            <w:tcW w:w="2836" w:type="dxa"/>
            <w:vMerge/>
            <w:tcBorders>
              <w:left w:val="single" w:sz="6" w:space="0" w:color="auto"/>
              <w:right w:val="single" w:sz="6" w:space="0" w:color="auto"/>
            </w:tcBorders>
            <w:shd w:val="clear" w:color="auto" w:fill="C6D9F1" w:themeFill="text2" w:themeFillTint="33"/>
          </w:tcPr>
          <w:p w:rsidR="00945EF0" w:rsidRPr="002045F5" w:rsidRDefault="00945EF0" w:rsidP="001038B7">
            <w:pPr>
              <w:tabs>
                <w:tab w:val="left" w:pos="5290"/>
              </w:tabs>
              <w:jc w:val="center"/>
              <w:rPr>
                <w:b/>
                <w:sz w:val="22"/>
              </w:rPr>
            </w:pPr>
          </w:p>
        </w:tc>
        <w:tc>
          <w:tcPr>
            <w:tcW w:w="2923" w:type="dxa"/>
            <w:gridSpan w:val="2"/>
            <w:tcBorders>
              <w:top w:val="single" w:sz="4" w:space="0" w:color="auto"/>
              <w:left w:val="single" w:sz="6" w:space="0" w:color="auto"/>
              <w:bottom w:val="single" w:sz="4" w:space="0" w:color="auto"/>
              <w:right w:val="single" w:sz="4" w:space="0" w:color="auto"/>
            </w:tcBorders>
            <w:shd w:val="clear" w:color="auto" w:fill="auto"/>
          </w:tcPr>
          <w:p w:rsidR="00945EF0" w:rsidRPr="002045F5" w:rsidRDefault="00945EF0" w:rsidP="001038B7">
            <w:pPr>
              <w:rPr>
                <w:sz w:val="22"/>
                <w:lang w:val="en-US"/>
              </w:rPr>
            </w:pPr>
            <w:r w:rsidRPr="002045F5">
              <w:rPr>
                <w:sz w:val="22"/>
              </w:rPr>
              <w:t>Встановлення нового паркану</w:t>
            </w:r>
          </w:p>
        </w:tc>
        <w:tc>
          <w:tcPr>
            <w:tcW w:w="2288" w:type="dxa"/>
            <w:gridSpan w:val="3"/>
            <w:tcBorders>
              <w:top w:val="single" w:sz="4" w:space="0" w:color="auto"/>
              <w:left w:val="nil"/>
              <w:bottom w:val="single" w:sz="4" w:space="0" w:color="auto"/>
              <w:right w:val="single" w:sz="4" w:space="0" w:color="auto"/>
            </w:tcBorders>
            <w:shd w:val="clear" w:color="auto" w:fill="auto"/>
          </w:tcPr>
          <w:p w:rsidR="00945EF0" w:rsidRPr="002045F5" w:rsidRDefault="00945EF0" w:rsidP="001038B7">
            <w:pPr>
              <w:jc w:val="center"/>
              <w:rPr>
                <w:sz w:val="22"/>
              </w:rPr>
            </w:pPr>
            <w:r w:rsidRPr="002045F5">
              <w:rPr>
                <w:sz w:val="22"/>
              </w:rPr>
              <w:t>п/м</w:t>
            </w:r>
          </w:p>
        </w:tc>
        <w:tc>
          <w:tcPr>
            <w:tcW w:w="1983" w:type="dxa"/>
            <w:gridSpan w:val="2"/>
            <w:tcBorders>
              <w:top w:val="single" w:sz="4" w:space="0" w:color="auto"/>
              <w:left w:val="nil"/>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 xml:space="preserve">602,7 </w:t>
            </w:r>
          </w:p>
        </w:tc>
      </w:tr>
      <w:tr w:rsidR="00945EF0" w:rsidRPr="002045F5" w:rsidTr="00945EF0">
        <w:tc>
          <w:tcPr>
            <w:tcW w:w="2836" w:type="dxa"/>
            <w:vMerge/>
            <w:tcBorders>
              <w:left w:val="single" w:sz="6" w:space="0" w:color="auto"/>
              <w:right w:val="single" w:sz="6" w:space="0" w:color="auto"/>
            </w:tcBorders>
            <w:shd w:val="clear" w:color="auto" w:fill="C6D9F1" w:themeFill="text2" w:themeFillTint="33"/>
          </w:tcPr>
          <w:p w:rsidR="00945EF0" w:rsidRPr="002045F5" w:rsidRDefault="00945EF0" w:rsidP="001038B7">
            <w:pPr>
              <w:tabs>
                <w:tab w:val="left" w:pos="5290"/>
              </w:tabs>
              <w:jc w:val="center"/>
              <w:rPr>
                <w:b/>
                <w:sz w:val="22"/>
              </w:rPr>
            </w:pPr>
          </w:p>
        </w:tc>
        <w:tc>
          <w:tcPr>
            <w:tcW w:w="2923" w:type="dxa"/>
            <w:gridSpan w:val="2"/>
            <w:tcBorders>
              <w:top w:val="nil"/>
              <w:left w:val="single" w:sz="6"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 xml:space="preserve">Встановлення </w:t>
            </w:r>
            <w:proofErr w:type="spellStart"/>
            <w:r w:rsidRPr="002045F5">
              <w:rPr>
                <w:sz w:val="22"/>
              </w:rPr>
              <w:t>велопарковки</w:t>
            </w:r>
            <w:proofErr w:type="spellEnd"/>
          </w:p>
        </w:tc>
        <w:tc>
          <w:tcPr>
            <w:tcW w:w="2288" w:type="dxa"/>
            <w:gridSpan w:val="3"/>
            <w:tcBorders>
              <w:top w:val="nil"/>
              <w:left w:val="nil"/>
              <w:bottom w:val="single" w:sz="4" w:space="0" w:color="auto"/>
              <w:right w:val="single" w:sz="4" w:space="0" w:color="auto"/>
            </w:tcBorders>
            <w:shd w:val="clear" w:color="auto" w:fill="auto"/>
          </w:tcPr>
          <w:p w:rsidR="00945EF0" w:rsidRPr="002045F5" w:rsidRDefault="00945EF0" w:rsidP="001038B7">
            <w:pPr>
              <w:jc w:val="center"/>
              <w:rPr>
                <w:sz w:val="22"/>
              </w:rPr>
            </w:pPr>
            <w:r w:rsidRPr="002045F5">
              <w:rPr>
                <w:sz w:val="22"/>
              </w:rPr>
              <w:t>одиниць</w:t>
            </w:r>
          </w:p>
        </w:tc>
        <w:tc>
          <w:tcPr>
            <w:tcW w:w="1983" w:type="dxa"/>
            <w:gridSpan w:val="2"/>
            <w:tcBorders>
              <w:top w:val="single" w:sz="4" w:space="0" w:color="auto"/>
              <w:left w:val="nil"/>
              <w:bottom w:val="single" w:sz="4" w:space="0" w:color="auto"/>
              <w:right w:val="single" w:sz="4" w:space="0" w:color="000000"/>
            </w:tcBorders>
            <w:shd w:val="clear" w:color="auto" w:fill="auto"/>
          </w:tcPr>
          <w:p w:rsidR="00945EF0" w:rsidRPr="002045F5" w:rsidRDefault="00945EF0" w:rsidP="001038B7">
            <w:pPr>
              <w:rPr>
                <w:sz w:val="22"/>
              </w:rPr>
            </w:pPr>
            <w:r w:rsidRPr="002045F5">
              <w:rPr>
                <w:sz w:val="22"/>
              </w:rPr>
              <w:t>2</w:t>
            </w:r>
          </w:p>
        </w:tc>
      </w:tr>
      <w:tr w:rsidR="00945EF0" w:rsidRPr="002045F5" w:rsidTr="00945EF0">
        <w:tc>
          <w:tcPr>
            <w:tcW w:w="2836" w:type="dxa"/>
            <w:vMerge/>
            <w:tcBorders>
              <w:left w:val="single" w:sz="6" w:space="0" w:color="auto"/>
              <w:right w:val="single" w:sz="6" w:space="0" w:color="auto"/>
            </w:tcBorders>
            <w:shd w:val="clear" w:color="auto" w:fill="C6D9F1" w:themeFill="text2" w:themeFillTint="33"/>
          </w:tcPr>
          <w:p w:rsidR="00945EF0" w:rsidRPr="002045F5" w:rsidRDefault="00945EF0" w:rsidP="001038B7">
            <w:pPr>
              <w:tabs>
                <w:tab w:val="left" w:pos="5290"/>
              </w:tabs>
              <w:jc w:val="center"/>
              <w:rPr>
                <w:b/>
                <w:sz w:val="22"/>
              </w:rPr>
            </w:pPr>
          </w:p>
        </w:tc>
        <w:tc>
          <w:tcPr>
            <w:tcW w:w="2923" w:type="dxa"/>
            <w:gridSpan w:val="2"/>
            <w:tcBorders>
              <w:top w:val="nil"/>
              <w:left w:val="single" w:sz="6"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 xml:space="preserve">Встановлення </w:t>
            </w:r>
            <w:proofErr w:type="spellStart"/>
            <w:r w:rsidRPr="002045F5">
              <w:rPr>
                <w:sz w:val="22"/>
              </w:rPr>
              <w:t>парковки</w:t>
            </w:r>
            <w:proofErr w:type="spellEnd"/>
            <w:r w:rsidRPr="002045F5">
              <w:rPr>
                <w:sz w:val="22"/>
              </w:rPr>
              <w:t xml:space="preserve"> для </w:t>
            </w:r>
            <w:proofErr w:type="spellStart"/>
            <w:r w:rsidRPr="002045F5">
              <w:rPr>
                <w:sz w:val="22"/>
              </w:rPr>
              <w:t>скейтів</w:t>
            </w:r>
            <w:proofErr w:type="spellEnd"/>
          </w:p>
        </w:tc>
        <w:tc>
          <w:tcPr>
            <w:tcW w:w="2288" w:type="dxa"/>
            <w:gridSpan w:val="3"/>
            <w:tcBorders>
              <w:top w:val="nil"/>
              <w:left w:val="nil"/>
              <w:bottom w:val="single" w:sz="4" w:space="0" w:color="auto"/>
              <w:right w:val="single" w:sz="4" w:space="0" w:color="auto"/>
            </w:tcBorders>
            <w:shd w:val="clear" w:color="auto" w:fill="auto"/>
          </w:tcPr>
          <w:p w:rsidR="00945EF0" w:rsidRPr="002045F5" w:rsidRDefault="00945EF0" w:rsidP="001038B7">
            <w:pPr>
              <w:jc w:val="center"/>
              <w:rPr>
                <w:sz w:val="22"/>
              </w:rPr>
            </w:pPr>
            <w:r w:rsidRPr="002045F5">
              <w:rPr>
                <w:sz w:val="22"/>
              </w:rPr>
              <w:t>одиниць</w:t>
            </w:r>
          </w:p>
        </w:tc>
        <w:tc>
          <w:tcPr>
            <w:tcW w:w="1983" w:type="dxa"/>
            <w:gridSpan w:val="2"/>
            <w:tcBorders>
              <w:top w:val="single" w:sz="4" w:space="0" w:color="auto"/>
              <w:left w:val="nil"/>
              <w:bottom w:val="single" w:sz="4" w:space="0" w:color="auto"/>
              <w:right w:val="single" w:sz="4" w:space="0" w:color="000000"/>
            </w:tcBorders>
            <w:shd w:val="clear" w:color="auto" w:fill="auto"/>
          </w:tcPr>
          <w:p w:rsidR="00945EF0" w:rsidRPr="002045F5" w:rsidRDefault="00945EF0" w:rsidP="001038B7">
            <w:pPr>
              <w:rPr>
                <w:sz w:val="22"/>
              </w:rPr>
            </w:pPr>
            <w:r w:rsidRPr="002045F5">
              <w:rPr>
                <w:sz w:val="22"/>
              </w:rPr>
              <w:t>2</w:t>
            </w:r>
          </w:p>
        </w:tc>
      </w:tr>
      <w:tr w:rsidR="00945EF0" w:rsidRPr="002045F5" w:rsidTr="00945EF0">
        <w:tc>
          <w:tcPr>
            <w:tcW w:w="2836" w:type="dxa"/>
            <w:vMerge/>
            <w:tcBorders>
              <w:left w:val="single" w:sz="6" w:space="0" w:color="auto"/>
              <w:right w:val="single" w:sz="6" w:space="0" w:color="auto"/>
            </w:tcBorders>
            <w:shd w:val="clear" w:color="auto" w:fill="C6D9F1" w:themeFill="text2" w:themeFillTint="33"/>
          </w:tcPr>
          <w:p w:rsidR="00945EF0" w:rsidRPr="002045F5" w:rsidRDefault="00945EF0" w:rsidP="001038B7">
            <w:pPr>
              <w:tabs>
                <w:tab w:val="left" w:pos="5290"/>
              </w:tabs>
              <w:jc w:val="center"/>
              <w:rPr>
                <w:b/>
                <w:sz w:val="22"/>
              </w:rPr>
            </w:pPr>
          </w:p>
        </w:tc>
        <w:tc>
          <w:tcPr>
            <w:tcW w:w="2923" w:type="dxa"/>
            <w:gridSpan w:val="2"/>
            <w:tcBorders>
              <w:top w:val="nil"/>
              <w:left w:val="single" w:sz="6"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 xml:space="preserve">Встановлення </w:t>
            </w:r>
            <w:proofErr w:type="spellStart"/>
            <w:r w:rsidRPr="002045F5">
              <w:rPr>
                <w:sz w:val="22"/>
              </w:rPr>
              <w:t>стійки</w:t>
            </w:r>
            <w:proofErr w:type="spellEnd"/>
            <w:r w:rsidRPr="002045F5">
              <w:rPr>
                <w:sz w:val="22"/>
              </w:rPr>
              <w:t xml:space="preserve"> для </w:t>
            </w:r>
            <w:proofErr w:type="spellStart"/>
            <w:r w:rsidRPr="002045F5">
              <w:rPr>
                <w:sz w:val="22"/>
              </w:rPr>
              <w:t>скейтів</w:t>
            </w:r>
            <w:proofErr w:type="spellEnd"/>
          </w:p>
        </w:tc>
        <w:tc>
          <w:tcPr>
            <w:tcW w:w="2288" w:type="dxa"/>
            <w:gridSpan w:val="3"/>
            <w:tcBorders>
              <w:top w:val="nil"/>
              <w:left w:val="nil"/>
              <w:bottom w:val="single" w:sz="4" w:space="0" w:color="auto"/>
              <w:right w:val="single" w:sz="4" w:space="0" w:color="auto"/>
            </w:tcBorders>
            <w:shd w:val="clear" w:color="auto" w:fill="auto"/>
          </w:tcPr>
          <w:p w:rsidR="00945EF0" w:rsidRPr="002045F5" w:rsidRDefault="00945EF0" w:rsidP="001038B7">
            <w:pPr>
              <w:jc w:val="center"/>
              <w:rPr>
                <w:sz w:val="22"/>
              </w:rPr>
            </w:pPr>
            <w:r w:rsidRPr="002045F5">
              <w:rPr>
                <w:sz w:val="22"/>
              </w:rPr>
              <w:t>одиниць</w:t>
            </w:r>
          </w:p>
        </w:tc>
        <w:tc>
          <w:tcPr>
            <w:tcW w:w="1983" w:type="dxa"/>
            <w:gridSpan w:val="2"/>
            <w:tcBorders>
              <w:top w:val="single" w:sz="4" w:space="0" w:color="auto"/>
              <w:left w:val="nil"/>
              <w:bottom w:val="single" w:sz="4" w:space="0" w:color="auto"/>
              <w:right w:val="single" w:sz="4" w:space="0" w:color="000000"/>
            </w:tcBorders>
            <w:shd w:val="clear" w:color="auto" w:fill="auto"/>
          </w:tcPr>
          <w:p w:rsidR="00945EF0" w:rsidRPr="002045F5" w:rsidRDefault="00945EF0" w:rsidP="001038B7">
            <w:pPr>
              <w:rPr>
                <w:sz w:val="22"/>
              </w:rPr>
            </w:pPr>
            <w:r w:rsidRPr="002045F5">
              <w:rPr>
                <w:sz w:val="22"/>
              </w:rPr>
              <w:t>2</w:t>
            </w:r>
          </w:p>
        </w:tc>
      </w:tr>
      <w:tr w:rsidR="00945EF0" w:rsidRPr="002045F5" w:rsidTr="00945EF0">
        <w:tc>
          <w:tcPr>
            <w:tcW w:w="2836" w:type="dxa"/>
            <w:vMerge/>
            <w:tcBorders>
              <w:left w:val="single" w:sz="6" w:space="0" w:color="auto"/>
              <w:right w:val="single" w:sz="6" w:space="0" w:color="auto"/>
            </w:tcBorders>
            <w:shd w:val="clear" w:color="auto" w:fill="C6D9F1" w:themeFill="text2" w:themeFillTint="33"/>
          </w:tcPr>
          <w:p w:rsidR="00945EF0" w:rsidRPr="002045F5" w:rsidRDefault="00945EF0" w:rsidP="001038B7">
            <w:pPr>
              <w:tabs>
                <w:tab w:val="left" w:pos="5290"/>
              </w:tabs>
              <w:jc w:val="center"/>
              <w:rPr>
                <w:b/>
                <w:sz w:val="22"/>
              </w:rPr>
            </w:pPr>
          </w:p>
        </w:tc>
        <w:tc>
          <w:tcPr>
            <w:tcW w:w="2923" w:type="dxa"/>
            <w:gridSpan w:val="2"/>
            <w:tcBorders>
              <w:top w:val="nil"/>
              <w:left w:val="single" w:sz="6"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Встановлення нового пандусу</w:t>
            </w:r>
          </w:p>
        </w:tc>
        <w:tc>
          <w:tcPr>
            <w:tcW w:w="2288" w:type="dxa"/>
            <w:gridSpan w:val="3"/>
            <w:tcBorders>
              <w:top w:val="nil"/>
              <w:left w:val="nil"/>
              <w:bottom w:val="single" w:sz="4" w:space="0" w:color="auto"/>
              <w:right w:val="single" w:sz="4" w:space="0" w:color="auto"/>
            </w:tcBorders>
            <w:shd w:val="clear" w:color="auto" w:fill="auto"/>
          </w:tcPr>
          <w:p w:rsidR="00945EF0" w:rsidRPr="002045F5" w:rsidRDefault="00945EF0" w:rsidP="001038B7">
            <w:pPr>
              <w:jc w:val="center"/>
              <w:rPr>
                <w:sz w:val="22"/>
              </w:rPr>
            </w:pPr>
            <w:r w:rsidRPr="002045F5">
              <w:rPr>
                <w:sz w:val="22"/>
              </w:rPr>
              <w:t>одиниць</w:t>
            </w:r>
          </w:p>
        </w:tc>
        <w:tc>
          <w:tcPr>
            <w:tcW w:w="1983" w:type="dxa"/>
            <w:gridSpan w:val="2"/>
            <w:tcBorders>
              <w:top w:val="single" w:sz="4" w:space="0" w:color="auto"/>
              <w:left w:val="nil"/>
              <w:bottom w:val="single" w:sz="4" w:space="0" w:color="auto"/>
              <w:right w:val="single" w:sz="4" w:space="0" w:color="000000"/>
            </w:tcBorders>
            <w:shd w:val="clear" w:color="auto" w:fill="auto"/>
          </w:tcPr>
          <w:p w:rsidR="00945EF0" w:rsidRPr="002045F5" w:rsidRDefault="00945EF0" w:rsidP="001038B7">
            <w:pPr>
              <w:rPr>
                <w:sz w:val="22"/>
              </w:rPr>
            </w:pPr>
            <w:r w:rsidRPr="002045F5">
              <w:rPr>
                <w:sz w:val="22"/>
              </w:rPr>
              <w:t>1</w:t>
            </w:r>
          </w:p>
        </w:tc>
      </w:tr>
      <w:tr w:rsidR="00945EF0" w:rsidRPr="002045F5" w:rsidTr="00945EF0">
        <w:tc>
          <w:tcPr>
            <w:tcW w:w="2836" w:type="dxa"/>
            <w:vMerge/>
            <w:tcBorders>
              <w:left w:val="single" w:sz="6" w:space="0" w:color="auto"/>
              <w:right w:val="single" w:sz="6" w:space="0" w:color="auto"/>
            </w:tcBorders>
            <w:shd w:val="clear" w:color="auto" w:fill="C6D9F1" w:themeFill="text2" w:themeFillTint="33"/>
          </w:tcPr>
          <w:p w:rsidR="00945EF0" w:rsidRPr="002045F5" w:rsidRDefault="00945EF0" w:rsidP="001038B7">
            <w:pPr>
              <w:tabs>
                <w:tab w:val="left" w:pos="5290"/>
              </w:tabs>
              <w:jc w:val="center"/>
              <w:rPr>
                <w:b/>
                <w:sz w:val="22"/>
              </w:rPr>
            </w:pPr>
          </w:p>
        </w:tc>
        <w:tc>
          <w:tcPr>
            <w:tcW w:w="2923" w:type="dxa"/>
            <w:gridSpan w:val="2"/>
            <w:tcBorders>
              <w:top w:val="nil"/>
              <w:left w:val="single" w:sz="6"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Встановлення спортивного вуличного комплексу</w:t>
            </w:r>
          </w:p>
        </w:tc>
        <w:tc>
          <w:tcPr>
            <w:tcW w:w="2288" w:type="dxa"/>
            <w:gridSpan w:val="3"/>
            <w:tcBorders>
              <w:top w:val="nil"/>
              <w:left w:val="nil"/>
              <w:bottom w:val="single" w:sz="4" w:space="0" w:color="auto"/>
              <w:right w:val="single" w:sz="4" w:space="0" w:color="auto"/>
            </w:tcBorders>
            <w:shd w:val="clear" w:color="auto" w:fill="auto"/>
          </w:tcPr>
          <w:p w:rsidR="00945EF0" w:rsidRPr="002045F5" w:rsidRDefault="00945EF0" w:rsidP="001038B7">
            <w:pPr>
              <w:jc w:val="center"/>
              <w:rPr>
                <w:sz w:val="22"/>
              </w:rPr>
            </w:pPr>
            <w:r w:rsidRPr="002045F5">
              <w:rPr>
                <w:sz w:val="22"/>
              </w:rPr>
              <w:t>одиниць</w:t>
            </w:r>
          </w:p>
        </w:tc>
        <w:tc>
          <w:tcPr>
            <w:tcW w:w="1983" w:type="dxa"/>
            <w:gridSpan w:val="2"/>
            <w:tcBorders>
              <w:top w:val="single" w:sz="4" w:space="0" w:color="auto"/>
              <w:left w:val="nil"/>
              <w:bottom w:val="single" w:sz="4" w:space="0" w:color="auto"/>
              <w:right w:val="single" w:sz="4" w:space="0" w:color="000000"/>
            </w:tcBorders>
            <w:shd w:val="clear" w:color="auto" w:fill="auto"/>
          </w:tcPr>
          <w:p w:rsidR="00945EF0" w:rsidRPr="002045F5" w:rsidRDefault="00945EF0" w:rsidP="001038B7">
            <w:pPr>
              <w:rPr>
                <w:sz w:val="22"/>
              </w:rPr>
            </w:pPr>
            <w:r w:rsidRPr="002045F5">
              <w:rPr>
                <w:sz w:val="22"/>
              </w:rPr>
              <w:t>1</w:t>
            </w:r>
          </w:p>
        </w:tc>
      </w:tr>
      <w:tr w:rsidR="00945EF0" w:rsidRPr="002045F5" w:rsidTr="00945EF0">
        <w:tc>
          <w:tcPr>
            <w:tcW w:w="2836" w:type="dxa"/>
            <w:vMerge/>
            <w:tcBorders>
              <w:left w:val="single" w:sz="6" w:space="0" w:color="auto"/>
              <w:right w:val="single" w:sz="6" w:space="0" w:color="auto"/>
            </w:tcBorders>
            <w:shd w:val="clear" w:color="auto" w:fill="C6D9F1" w:themeFill="text2" w:themeFillTint="33"/>
          </w:tcPr>
          <w:p w:rsidR="00945EF0" w:rsidRPr="002045F5" w:rsidRDefault="00945EF0" w:rsidP="001038B7">
            <w:pPr>
              <w:tabs>
                <w:tab w:val="left" w:pos="5290"/>
              </w:tabs>
              <w:jc w:val="center"/>
              <w:rPr>
                <w:b/>
                <w:sz w:val="22"/>
              </w:rPr>
            </w:pPr>
          </w:p>
        </w:tc>
        <w:tc>
          <w:tcPr>
            <w:tcW w:w="2923" w:type="dxa"/>
            <w:gridSpan w:val="2"/>
            <w:tcBorders>
              <w:top w:val="nil"/>
              <w:left w:val="single" w:sz="6"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Ремонт центрального входу</w:t>
            </w:r>
          </w:p>
        </w:tc>
        <w:tc>
          <w:tcPr>
            <w:tcW w:w="2288" w:type="dxa"/>
            <w:gridSpan w:val="3"/>
            <w:tcBorders>
              <w:top w:val="nil"/>
              <w:left w:val="nil"/>
              <w:bottom w:val="single" w:sz="4" w:space="0" w:color="auto"/>
              <w:right w:val="single" w:sz="4" w:space="0" w:color="auto"/>
            </w:tcBorders>
            <w:shd w:val="clear" w:color="auto" w:fill="auto"/>
          </w:tcPr>
          <w:p w:rsidR="00945EF0" w:rsidRPr="002045F5" w:rsidRDefault="00945EF0" w:rsidP="001038B7">
            <w:pPr>
              <w:jc w:val="center"/>
              <w:rPr>
                <w:sz w:val="22"/>
              </w:rPr>
            </w:pPr>
            <w:r w:rsidRPr="002045F5">
              <w:rPr>
                <w:sz w:val="22"/>
              </w:rPr>
              <w:t>одиниць</w:t>
            </w:r>
          </w:p>
        </w:tc>
        <w:tc>
          <w:tcPr>
            <w:tcW w:w="1983" w:type="dxa"/>
            <w:gridSpan w:val="2"/>
            <w:tcBorders>
              <w:top w:val="single" w:sz="4" w:space="0" w:color="auto"/>
              <w:left w:val="nil"/>
              <w:bottom w:val="single" w:sz="4" w:space="0" w:color="auto"/>
              <w:right w:val="single" w:sz="4" w:space="0" w:color="000000"/>
            </w:tcBorders>
            <w:shd w:val="clear" w:color="auto" w:fill="auto"/>
          </w:tcPr>
          <w:p w:rsidR="00945EF0" w:rsidRPr="002045F5" w:rsidRDefault="00945EF0" w:rsidP="001038B7">
            <w:pPr>
              <w:rPr>
                <w:sz w:val="22"/>
              </w:rPr>
            </w:pPr>
            <w:r w:rsidRPr="002045F5">
              <w:rPr>
                <w:sz w:val="22"/>
              </w:rPr>
              <w:t>1</w:t>
            </w:r>
          </w:p>
        </w:tc>
      </w:tr>
      <w:tr w:rsidR="00945EF0" w:rsidRPr="002045F5" w:rsidTr="00945EF0">
        <w:tc>
          <w:tcPr>
            <w:tcW w:w="2836" w:type="dxa"/>
            <w:vMerge/>
            <w:tcBorders>
              <w:left w:val="single" w:sz="6" w:space="0" w:color="auto"/>
              <w:right w:val="single" w:sz="6" w:space="0" w:color="auto"/>
            </w:tcBorders>
            <w:shd w:val="clear" w:color="auto" w:fill="C6D9F1" w:themeFill="text2" w:themeFillTint="33"/>
          </w:tcPr>
          <w:p w:rsidR="00945EF0" w:rsidRPr="002045F5" w:rsidRDefault="00945EF0" w:rsidP="001038B7">
            <w:pPr>
              <w:tabs>
                <w:tab w:val="left" w:pos="5290"/>
              </w:tabs>
              <w:jc w:val="center"/>
              <w:rPr>
                <w:b/>
                <w:sz w:val="22"/>
              </w:rPr>
            </w:pPr>
          </w:p>
        </w:tc>
        <w:tc>
          <w:tcPr>
            <w:tcW w:w="2923" w:type="dxa"/>
            <w:gridSpan w:val="2"/>
            <w:tcBorders>
              <w:top w:val="nil"/>
              <w:left w:val="single" w:sz="6"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 xml:space="preserve">Встановлення гойдалок </w:t>
            </w:r>
          </w:p>
        </w:tc>
        <w:tc>
          <w:tcPr>
            <w:tcW w:w="2288" w:type="dxa"/>
            <w:gridSpan w:val="3"/>
            <w:tcBorders>
              <w:top w:val="nil"/>
              <w:left w:val="nil"/>
              <w:bottom w:val="single" w:sz="4" w:space="0" w:color="auto"/>
              <w:right w:val="single" w:sz="4" w:space="0" w:color="auto"/>
            </w:tcBorders>
            <w:shd w:val="clear" w:color="auto" w:fill="auto"/>
          </w:tcPr>
          <w:p w:rsidR="00945EF0" w:rsidRPr="002045F5" w:rsidRDefault="00945EF0" w:rsidP="001038B7">
            <w:pPr>
              <w:jc w:val="center"/>
              <w:rPr>
                <w:sz w:val="22"/>
              </w:rPr>
            </w:pPr>
            <w:r w:rsidRPr="002045F5">
              <w:rPr>
                <w:sz w:val="22"/>
              </w:rPr>
              <w:t>одиниць</w:t>
            </w:r>
          </w:p>
        </w:tc>
        <w:tc>
          <w:tcPr>
            <w:tcW w:w="1983" w:type="dxa"/>
            <w:gridSpan w:val="2"/>
            <w:tcBorders>
              <w:top w:val="single" w:sz="4" w:space="0" w:color="auto"/>
              <w:left w:val="nil"/>
              <w:bottom w:val="single" w:sz="4" w:space="0" w:color="auto"/>
              <w:right w:val="single" w:sz="4" w:space="0" w:color="000000"/>
            </w:tcBorders>
            <w:shd w:val="clear" w:color="auto" w:fill="auto"/>
          </w:tcPr>
          <w:p w:rsidR="00945EF0" w:rsidRPr="002045F5" w:rsidRDefault="00945EF0" w:rsidP="001038B7">
            <w:pPr>
              <w:rPr>
                <w:sz w:val="22"/>
              </w:rPr>
            </w:pPr>
            <w:r w:rsidRPr="002045F5">
              <w:rPr>
                <w:sz w:val="22"/>
              </w:rPr>
              <w:t>1</w:t>
            </w:r>
          </w:p>
        </w:tc>
      </w:tr>
      <w:tr w:rsidR="00945EF0" w:rsidRPr="002045F5" w:rsidTr="00945EF0">
        <w:tc>
          <w:tcPr>
            <w:tcW w:w="2836" w:type="dxa"/>
            <w:vMerge/>
            <w:tcBorders>
              <w:left w:val="single" w:sz="6" w:space="0" w:color="auto"/>
              <w:right w:val="single" w:sz="6" w:space="0" w:color="auto"/>
            </w:tcBorders>
            <w:shd w:val="clear" w:color="auto" w:fill="C6D9F1" w:themeFill="text2" w:themeFillTint="33"/>
          </w:tcPr>
          <w:p w:rsidR="00945EF0" w:rsidRPr="002045F5" w:rsidRDefault="00945EF0" w:rsidP="001038B7">
            <w:pPr>
              <w:tabs>
                <w:tab w:val="left" w:pos="5290"/>
              </w:tabs>
              <w:jc w:val="center"/>
              <w:rPr>
                <w:b/>
                <w:sz w:val="22"/>
              </w:rPr>
            </w:pPr>
          </w:p>
        </w:tc>
        <w:tc>
          <w:tcPr>
            <w:tcW w:w="2923" w:type="dxa"/>
            <w:gridSpan w:val="2"/>
            <w:tcBorders>
              <w:top w:val="nil"/>
              <w:left w:val="single" w:sz="6"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Встановлення бесідки (літнього кінотеатру)</w:t>
            </w:r>
          </w:p>
        </w:tc>
        <w:tc>
          <w:tcPr>
            <w:tcW w:w="2288" w:type="dxa"/>
            <w:gridSpan w:val="3"/>
            <w:tcBorders>
              <w:top w:val="nil"/>
              <w:left w:val="nil"/>
              <w:bottom w:val="single" w:sz="4" w:space="0" w:color="auto"/>
              <w:right w:val="single" w:sz="4" w:space="0" w:color="auto"/>
            </w:tcBorders>
            <w:shd w:val="clear" w:color="auto" w:fill="auto"/>
          </w:tcPr>
          <w:p w:rsidR="00945EF0" w:rsidRPr="002045F5" w:rsidRDefault="00945EF0" w:rsidP="001038B7">
            <w:pPr>
              <w:jc w:val="center"/>
              <w:rPr>
                <w:sz w:val="22"/>
              </w:rPr>
            </w:pPr>
            <w:r w:rsidRPr="002045F5">
              <w:rPr>
                <w:sz w:val="22"/>
              </w:rPr>
              <w:t>одиниць</w:t>
            </w:r>
          </w:p>
        </w:tc>
        <w:tc>
          <w:tcPr>
            <w:tcW w:w="1983" w:type="dxa"/>
            <w:gridSpan w:val="2"/>
            <w:tcBorders>
              <w:top w:val="single" w:sz="4" w:space="0" w:color="auto"/>
              <w:left w:val="nil"/>
              <w:bottom w:val="single" w:sz="4" w:space="0" w:color="auto"/>
              <w:right w:val="single" w:sz="4" w:space="0" w:color="000000"/>
            </w:tcBorders>
            <w:shd w:val="clear" w:color="auto" w:fill="auto"/>
          </w:tcPr>
          <w:p w:rsidR="00945EF0" w:rsidRPr="002045F5" w:rsidRDefault="00945EF0" w:rsidP="001038B7">
            <w:pPr>
              <w:rPr>
                <w:sz w:val="22"/>
              </w:rPr>
            </w:pPr>
            <w:r w:rsidRPr="002045F5">
              <w:rPr>
                <w:sz w:val="22"/>
              </w:rPr>
              <w:t>1</w:t>
            </w:r>
          </w:p>
        </w:tc>
      </w:tr>
      <w:tr w:rsidR="00945EF0" w:rsidRPr="002045F5" w:rsidTr="00945EF0">
        <w:tc>
          <w:tcPr>
            <w:tcW w:w="2836" w:type="dxa"/>
            <w:tcBorders>
              <w:top w:val="single" w:sz="6" w:space="0" w:color="auto"/>
              <w:left w:val="single" w:sz="6" w:space="0" w:color="auto"/>
              <w:bottom w:val="single" w:sz="4"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sz w:val="22"/>
              </w:rPr>
            </w:pPr>
            <w:r w:rsidRPr="002045F5">
              <w:rPr>
                <w:rFonts w:eastAsia="Calibri"/>
                <w:b/>
                <w:sz w:val="22"/>
              </w:rPr>
              <w:t>Ключові заходи проекту:</w:t>
            </w:r>
          </w:p>
        </w:tc>
        <w:tc>
          <w:tcPr>
            <w:tcW w:w="7194" w:type="dxa"/>
            <w:gridSpan w:val="7"/>
            <w:tcBorders>
              <w:top w:val="single" w:sz="6" w:space="0" w:color="auto"/>
              <w:left w:val="single" w:sz="6" w:space="0" w:color="auto"/>
              <w:bottom w:val="single" w:sz="6" w:space="0" w:color="auto"/>
              <w:right w:val="single" w:sz="6" w:space="0" w:color="auto"/>
            </w:tcBorders>
            <w:shd w:val="clear" w:color="auto" w:fill="auto"/>
          </w:tcPr>
          <w:p w:rsidR="00945EF0" w:rsidRPr="002045F5" w:rsidRDefault="00945EF0" w:rsidP="001038B7">
            <w:pPr>
              <w:autoSpaceDE w:val="0"/>
              <w:autoSpaceDN w:val="0"/>
              <w:adjustRightInd w:val="0"/>
              <w:rPr>
                <w:rFonts w:eastAsia="Calibri"/>
                <w:sz w:val="22"/>
              </w:rPr>
            </w:pPr>
            <w:r w:rsidRPr="002045F5">
              <w:rPr>
                <w:rFonts w:eastAsia="Calibri"/>
                <w:sz w:val="22"/>
              </w:rPr>
              <w:t xml:space="preserve">1. Оцінка потреб закладу, створення кошторису </w:t>
            </w:r>
            <w:proofErr w:type="spellStart"/>
            <w:r w:rsidRPr="002045F5">
              <w:rPr>
                <w:rFonts w:eastAsia="Calibri"/>
                <w:sz w:val="22"/>
              </w:rPr>
              <w:t>проєкту</w:t>
            </w:r>
            <w:proofErr w:type="spellEnd"/>
            <w:r w:rsidRPr="002045F5">
              <w:rPr>
                <w:rFonts w:eastAsia="Calibri"/>
                <w:sz w:val="22"/>
              </w:rPr>
              <w:t xml:space="preserve"> з уточненнями.  </w:t>
            </w:r>
          </w:p>
          <w:p w:rsidR="00945EF0" w:rsidRPr="002045F5" w:rsidRDefault="00945EF0" w:rsidP="001038B7">
            <w:pPr>
              <w:autoSpaceDE w:val="0"/>
              <w:autoSpaceDN w:val="0"/>
              <w:adjustRightInd w:val="0"/>
              <w:rPr>
                <w:rFonts w:eastAsia="Calibri"/>
                <w:sz w:val="22"/>
              </w:rPr>
            </w:pPr>
            <w:r w:rsidRPr="002045F5">
              <w:rPr>
                <w:rFonts w:eastAsia="Calibri"/>
                <w:sz w:val="22"/>
              </w:rPr>
              <w:t xml:space="preserve">2. Демонтаж старого паркану та пандусу.   </w:t>
            </w:r>
          </w:p>
          <w:p w:rsidR="00945EF0" w:rsidRPr="002045F5" w:rsidRDefault="00945EF0" w:rsidP="001038B7">
            <w:pPr>
              <w:autoSpaceDE w:val="0"/>
              <w:autoSpaceDN w:val="0"/>
              <w:adjustRightInd w:val="0"/>
              <w:rPr>
                <w:rFonts w:eastAsia="Calibri"/>
                <w:sz w:val="22"/>
              </w:rPr>
            </w:pPr>
            <w:r w:rsidRPr="002045F5">
              <w:rPr>
                <w:rFonts w:eastAsia="Calibri"/>
                <w:sz w:val="22"/>
              </w:rPr>
              <w:t xml:space="preserve">3. Проведення </w:t>
            </w:r>
            <w:proofErr w:type="spellStart"/>
            <w:r w:rsidRPr="002045F5">
              <w:rPr>
                <w:rFonts w:eastAsia="Calibri"/>
                <w:sz w:val="22"/>
              </w:rPr>
              <w:t>закупівель</w:t>
            </w:r>
            <w:proofErr w:type="spellEnd"/>
            <w:r w:rsidRPr="002045F5">
              <w:rPr>
                <w:rFonts w:eastAsia="Calibri"/>
                <w:sz w:val="22"/>
              </w:rPr>
              <w:t xml:space="preserve"> </w:t>
            </w:r>
            <w:proofErr w:type="spellStart"/>
            <w:r w:rsidRPr="002045F5">
              <w:rPr>
                <w:rFonts w:eastAsia="Calibri"/>
                <w:sz w:val="22"/>
              </w:rPr>
              <w:t>проєкту</w:t>
            </w:r>
            <w:proofErr w:type="spellEnd"/>
            <w:r w:rsidRPr="002045F5">
              <w:rPr>
                <w:rFonts w:eastAsia="Calibri"/>
                <w:sz w:val="22"/>
              </w:rPr>
              <w:t xml:space="preserve">.      </w:t>
            </w:r>
          </w:p>
          <w:p w:rsidR="00945EF0" w:rsidRPr="002045F5" w:rsidRDefault="00945EF0" w:rsidP="001038B7">
            <w:pPr>
              <w:autoSpaceDE w:val="0"/>
              <w:autoSpaceDN w:val="0"/>
              <w:adjustRightInd w:val="0"/>
              <w:rPr>
                <w:rFonts w:eastAsia="Calibri"/>
                <w:sz w:val="22"/>
              </w:rPr>
            </w:pPr>
            <w:r w:rsidRPr="002045F5">
              <w:rPr>
                <w:rFonts w:eastAsia="Calibri"/>
                <w:sz w:val="22"/>
              </w:rPr>
              <w:t xml:space="preserve">4. Заміна паркану.      </w:t>
            </w:r>
          </w:p>
          <w:p w:rsidR="00945EF0" w:rsidRPr="002045F5" w:rsidRDefault="00945EF0" w:rsidP="001038B7">
            <w:pPr>
              <w:autoSpaceDE w:val="0"/>
              <w:autoSpaceDN w:val="0"/>
              <w:adjustRightInd w:val="0"/>
              <w:rPr>
                <w:rFonts w:eastAsia="Calibri"/>
                <w:sz w:val="22"/>
              </w:rPr>
            </w:pPr>
            <w:r w:rsidRPr="002045F5">
              <w:rPr>
                <w:rFonts w:eastAsia="Calibri"/>
                <w:sz w:val="22"/>
              </w:rPr>
              <w:t xml:space="preserve">5. Ремонт центрального входу із заміною пандусу.  </w:t>
            </w:r>
          </w:p>
          <w:p w:rsidR="00945EF0" w:rsidRPr="002045F5" w:rsidRDefault="00945EF0" w:rsidP="001038B7">
            <w:pPr>
              <w:autoSpaceDE w:val="0"/>
              <w:autoSpaceDN w:val="0"/>
              <w:adjustRightInd w:val="0"/>
              <w:rPr>
                <w:rFonts w:eastAsia="Calibri"/>
                <w:sz w:val="22"/>
              </w:rPr>
            </w:pPr>
            <w:r w:rsidRPr="002045F5">
              <w:rPr>
                <w:rFonts w:eastAsia="Calibri"/>
                <w:sz w:val="22"/>
              </w:rPr>
              <w:t xml:space="preserve">6. Придбання та встановлення спортивного вуличного комплексу, </w:t>
            </w:r>
            <w:r w:rsidR="00737057" w:rsidRPr="002045F5">
              <w:rPr>
                <w:rFonts w:eastAsia="Calibri"/>
                <w:sz w:val="22"/>
              </w:rPr>
              <w:t>гойдалок</w:t>
            </w:r>
            <w:r w:rsidRPr="002045F5">
              <w:rPr>
                <w:rFonts w:eastAsia="Calibri"/>
                <w:sz w:val="22"/>
              </w:rPr>
              <w:t xml:space="preserve">, </w:t>
            </w:r>
            <w:r w:rsidR="00737057" w:rsidRPr="002045F5">
              <w:rPr>
                <w:rFonts w:eastAsia="Calibri"/>
                <w:sz w:val="22"/>
              </w:rPr>
              <w:t>альтанки</w:t>
            </w:r>
            <w:r w:rsidRPr="002045F5">
              <w:rPr>
                <w:rFonts w:eastAsia="Calibri"/>
                <w:sz w:val="22"/>
              </w:rPr>
              <w:t xml:space="preserve">, </w:t>
            </w:r>
            <w:proofErr w:type="spellStart"/>
            <w:r w:rsidRPr="002045F5">
              <w:rPr>
                <w:rFonts w:eastAsia="Calibri"/>
                <w:sz w:val="22"/>
              </w:rPr>
              <w:t>велопарковки</w:t>
            </w:r>
            <w:proofErr w:type="spellEnd"/>
            <w:r w:rsidRPr="002045F5">
              <w:rPr>
                <w:rFonts w:eastAsia="Calibri"/>
                <w:sz w:val="22"/>
              </w:rPr>
              <w:t xml:space="preserve">, </w:t>
            </w:r>
            <w:proofErr w:type="spellStart"/>
            <w:r w:rsidRPr="002045F5">
              <w:rPr>
                <w:rFonts w:eastAsia="Calibri"/>
                <w:sz w:val="22"/>
              </w:rPr>
              <w:t>парковки</w:t>
            </w:r>
            <w:proofErr w:type="spellEnd"/>
            <w:r w:rsidRPr="002045F5">
              <w:rPr>
                <w:rFonts w:eastAsia="Calibri"/>
                <w:sz w:val="22"/>
              </w:rPr>
              <w:t xml:space="preserve"> для самокатів, </w:t>
            </w:r>
            <w:proofErr w:type="spellStart"/>
            <w:r w:rsidRPr="002045F5">
              <w:rPr>
                <w:rFonts w:eastAsia="Calibri"/>
                <w:sz w:val="22"/>
              </w:rPr>
              <w:t>стійки</w:t>
            </w:r>
            <w:proofErr w:type="spellEnd"/>
            <w:r w:rsidRPr="002045F5">
              <w:rPr>
                <w:rFonts w:eastAsia="Calibri"/>
                <w:sz w:val="22"/>
              </w:rPr>
              <w:t xml:space="preserve"> для </w:t>
            </w:r>
            <w:proofErr w:type="spellStart"/>
            <w:r w:rsidRPr="002045F5">
              <w:rPr>
                <w:rFonts w:eastAsia="Calibri"/>
                <w:sz w:val="22"/>
              </w:rPr>
              <w:t>скейтів</w:t>
            </w:r>
            <w:proofErr w:type="spellEnd"/>
            <w:r w:rsidRPr="002045F5">
              <w:rPr>
                <w:rFonts w:eastAsia="Calibri"/>
                <w:sz w:val="22"/>
              </w:rPr>
              <w:t xml:space="preserve">.     </w:t>
            </w:r>
          </w:p>
          <w:p w:rsidR="00945EF0" w:rsidRPr="002045F5" w:rsidRDefault="00945EF0" w:rsidP="001038B7">
            <w:pPr>
              <w:autoSpaceDE w:val="0"/>
              <w:autoSpaceDN w:val="0"/>
              <w:adjustRightInd w:val="0"/>
              <w:rPr>
                <w:rFonts w:eastAsia="Calibri"/>
                <w:sz w:val="22"/>
              </w:rPr>
            </w:pPr>
            <w:r w:rsidRPr="002045F5">
              <w:rPr>
                <w:rFonts w:eastAsia="Calibri"/>
                <w:sz w:val="22"/>
              </w:rPr>
              <w:t xml:space="preserve">7. Проведення рекламної кампанії </w:t>
            </w:r>
            <w:proofErr w:type="spellStart"/>
            <w:r w:rsidRPr="002045F5">
              <w:rPr>
                <w:rFonts w:eastAsia="Calibri"/>
                <w:sz w:val="22"/>
              </w:rPr>
              <w:t>проєкту</w:t>
            </w:r>
            <w:proofErr w:type="spellEnd"/>
            <w:r w:rsidRPr="002045F5">
              <w:rPr>
                <w:rFonts w:eastAsia="Calibri"/>
                <w:sz w:val="22"/>
              </w:rPr>
              <w:t>.</w:t>
            </w:r>
          </w:p>
        </w:tc>
      </w:tr>
      <w:tr w:rsidR="00945EF0" w:rsidRPr="002045F5" w:rsidTr="00945EF0">
        <w:tc>
          <w:tcPr>
            <w:tcW w:w="2836" w:type="dxa"/>
            <w:vMerge w:val="restart"/>
            <w:tcBorders>
              <w:top w:val="single" w:sz="6" w:space="0" w:color="auto"/>
              <w:left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sz w:val="22"/>
              </w:rPr>
            </w:pPr>
            <w:r w:rsidRPr="002045F5">
              <w:rPr>
                <w:rFonts w:eastAsia="Calibri"/>
                <w:b/>
                <w:color w:val="000000"/>
                <w:sz w:val="22"/>
              </w:rPr>
              <w:t>Орієнтовний обсяг та джерела фінансування тис. гривень</w:t>
            </w:r>
          </w:p>
        </w:tc>
        <w:tc>
          <w:tcPr>
            <w:tcW w:w="1627" w:type="dxa"/>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sz w:val="22"/>
              </w:rPr>
              <w:t>Державний бюджет</w:t>
            </w:r>
          </w:p>
        </w:tc>
        <w:tc>
          <w:tcPr>
            <w:tcW w:w="1344" w:type="dxa"/>
            <w:gridSpan w:val="2"/>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sz w:val="22"/>
              </w:rPr>
              <w:t>Місцевий бюджет</w:t>
            </w:r>
          </w:p>
        </w:tc>
        <w:tc>
          <w:tcPr>
            <w:tcW w:w="2908" w:type="dxa"/>
            <w:gridSpan w:val="3"/>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sz w:val="22"/>
              </w:rPr>
              <w:t>Інші джерела</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sz w:val="22"/>
              </w:rPr>
              <w:t>Всього</w:t>
            </w:r>
          </w:p>
        </w:tc>
      </w:tr>
      <w:tr w:rsidR="00945EF0" w:rsidRPr="002045F5" w:rsidTr="00945EF0">
        <w:tc>
          <w:tcPr>
            <w:tcW w:w="2836" w:type="dxa"/>
            <w:vMerge/>
            <w:tcBorders>
              <w:left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sz w:val="22"/>
              </w:rPr>
            </w:pPr>
          </w:p>
        </w:tc>
        <w:tc>
          <w:tcPr>
            <w:tcW w:w="1627" w:type="dxa"/>
            <w:vMerge w:val="restart"/>
            <w:tcBorders>
              <w:top w:val="single" w:sz="4" w:space="0" w:color="auto"/>
              <w:left w:val="single" w:sz="4" w:space="0" w:color="auto"/>
              <w:right w:val="single" w:sz="4" w:space="0" w:color="auto"/>
            </w:tcBorders>
            <w:shd w:val="clear" w:color="auto" w:fill="auto"/>
          </w:tcPr>
          <w:p w:rsidR="00945EF0" w:rsidRPr="002045F5" w:rsidRDefault="00945EF0" w:rsidP="001038B7">
            <w:pPr>
              <w:autoSpaceDE w:val="0"/>
              <w:autoSpaceDN w:val="0"/>
              <w:adjustRightInd w:val="0"/>
              <w:rPr>
                <w:rFonts w:eastAsia="Calibri"/>
                <w:sz w:val="22"/>
              </w:rPr>
            </w:pPr>
            <w:r w:rsidRPr="002045F5">
              <w:rPr>
                <w:rFonts w:eastAsia="Calibri"/>
                <w:sz w:val="22"/>
              </w:rPr>
              <w:t>2 100,0</w:t>
            </w:r>
          </w:p>
        </w:tc>
        <w:tc>
          <w:tcPr>
            <w:tcW w:w="1344" w:type="dxa"/>
            <w:gridSpan w:val="2"/>
            <w:vMerge w:val="restart"/>
            <w:tcBorders>
              <w:top w:val="single" w:sz="4" w:space="0" w:color="auto"/>
              <w:left w:val="single" w:sz="4" w:space="0" w:color="auto"/>
              <w:right w:val="single" w:sz="4" w:space="0" w:color="auto"/>
            </w:tcBorders>
            <w:shd w:val="clear" w:color="auto" w:fill="auto"/>
          </w:tcPr>
          <w:p w:rsidR="00945EF0" w:rsidRPr="002045F5" w:rsidRDefault="00945EF0" w:rsidP="001038B7">
            <w:pPr>
              <w:autoSpaceDE w:val="0"/>
              <w:autoSpaceDN w:val="0"/>
              <w:adjustRightInd w:val="0"/>
              <w:rPr>
                <w:rFonts w:eastAsia="Calibri"/>
                <w:sz w:val="22"/>
              </w:rPr>
            </w:pPr>
            <w:r w:rsidRPr="002045F5">
              <w:rPr>
                <w:rFonts w:eastAsia="Calibri"/>
                <w:sz w:val="22"/>
              </w:rPr>
              <w:t>-</w:t>
            </w:r>
          </w:p>
        </w:tc>
        <w:tc>
          <w:tcPr>
            <w:tcW w:w="1453" w:type="dxa"/>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color w:val="000000"/>
                <w:sz w:val="22"/>
              </w:rPr>
              <w:t>Обсяг</w:t>
            </w:r>
          </w:p>
        </w:tc>
        <w:tc>
          <w:tcPr>
            <w:tcW w:w="1455" w:type="dxa"/>
            <w:gridSpan w:val="2"/>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color w:val="000000"/>
                <w:sz w:val="22"/>
              </w:rPr>
              <w:t>Назва джерела</w:t>
            </w:r>
          </w:p>
        </w:tc>
        <w:tc>
          <w:tcPr>
            <w:tcW w:w="1315" w:type="dxa"/>
            <w:vMerge w:val="restart"/>
            <w:tcBorders>
              <w:top w:val="single" w:sz="4" w:space="0" w:color="auto"/>
              <w:left w:val="single" w:sz="4" w:space="0" w:color="auto"/>
              <w:right w:val="single" w:sz="4" w:space="0" w:color="auto"/>
            </w:tcBorders>
            <w:shd w:val="clear" w:color="auto" w:fill="auto"/>
          </w:tcPr>
          <w:p w:rsidR="00945EF0" w:rsidRPr="002045F5" w:rsidRDefault="00945EF0" w:rsidP="001038B7">
            <w:pPr>
              <w:autoSpaceDE w:val="0"/>
              <w:autoSpaceDN w:val="0"/>
              <w:adjustRightInd w:val="0"/>
              <w:jc w:val="center"/>
              <w:rPr>
                <w:rFonts w:eastAsia="Calibri"/>
                <w:sz w:val="22"/>
              </w:rPr>
            </w:pPr>
            <w:r w:rsidRPr="002045F5">
              <w:rPr>
                <w:rFonts w:eastAsia="Calibri"/>
                <w:sz w:val="22"/>
              </w:rPr>
              <w:t>3 000,0</w:t>
            </w:r>
          </w:p>
        </w:tc>
      </w:tr>
      <w:tr w:rsidR="00945EF0" w:rsidRPr="002045F5" w:rsidTr="00945EF0">
        <w:tc>
          <w:tcPr>
            <w:tcW w:w="2836" w:type="dxa"/>
            <w:vMerge/>
            <w:tcBorders>
              <w:left w:val="single" w:sz="6" w:space="0" w:color="auto"/>
              <w:bottom w:val="single" w:sz="4"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sz w:val="22"/>
              </w:rPr>
            </w:pPr>
          </w:p>
        </w:tc>
        <w:tc>
          <w:tcPr>
            <w:tcW w:w="1627" w:type="dxa"/>
            <w:vMerge/>
            <w:tcBorders>
              <w:left w:val="single" w:sz="6" w:space="0" w:color="auto"/>
              <w:bottom w:val="single" w:sz="6" w:space="0" w:color="auto"/>
              <w:right w:val="single" w:sz="4" w:space="0" w:color="auto"/>
            </w:tcBorders>
            <w:shd w:val="clear" w:color="auto" w:fill="auto"/>
          </w:tcPr>
          <w:p w:rsidR="00945EF0" w:rsidRPr="002045F5" w:rsidRDefault="00945EF0" w:rsidP="001038B7">
            <w:pPr>
              <w:autoSpaceDE w:val="0"/>
              <w:autoSpaceDN w:val="0"/>
              <w:adjustRightInd w:val="0"/>
              <w:rPr>
                <w:rFonts w:eastAsia="Calibri"/>
                <w:sz w:val="22"/>
              </w:rPr>
            </w:pPr>
          </w:p>
        </w:tc>
        <w:tc>
          <w:tcPr>
            <w:tcW w:w="1344" w:type="dxa"/>
            <w:gridSpan w:val="2"/>
            <w:vMerge/>
            <w:tcBorders>
              <w:left w:val="single" w:sz="4" w:space="0" w:color="auto"/>
              <w:bottom w:val="single" w:sz="6" w:space="0" w:color="auto"/>
              <w:right w:val="single" w:sz="4" w:space="0" w:color="auto"/>
            </w:tcBorders>
            <w:shd w:val="clear" w:color="auto" w:fill="auto"/>
          </w:tcPr>
          <w:p w:rsidR="00945EF0" w:rsidRPr="002045F5" w:rsidRDefault="00945EF0" w:rsidP="001038B7">
            <w:pPr>
              <w:autoSpaceDE w:val="0"/>
              <w:autoSpaceDN w:val="0"/>
              <w:adjustRightInd w:val="0"/>
              <w:rPr>
                <w:rFonts w:eastAsia="Calibri"/>
                <w:sz w:val="22"/>
              </w:rPr>
            </w:pPr>
          </w:p>
        </w:tc>
        <w:tc>
          <w:tcPr>
            <w:tcW w:w="1453" w:type="dxa"/>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autoSpaceDE w:val="0"/>
              <w:autoSpaceDN w:val="0"/>
              <w:adjustRightInd w:val="0"/>
              <w:jc w:val="center"/>
              <w:rPr>
                <w:rFonts w:eastAsia="Calibri"/>
                <w:color w:val="000000"/>
                <w:sz w:val="22"/>
              </w:rPr>
            </w:pPr>
            <w:r w:rsidRPr="002045F5">
              <w:rPr>
                <w:rFonts w:eastAsia="Calibri"/>
                <w:sz w:val="22"/>
              </w:rPr>
              <w:t>900,0</w:t>
            </w:r>
          </w:p>
        </w:tc>
        <w:tc>
          <w:tcPr>
            <w:tcW w:w="1455" w:type="dxa"/>
            <w:gridSpan w:val="2"/>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autoSpaceDE w:val="0"/>
              <w:autoSpaceDN w:val="0"/>
              <w:adjustRightInd w:val="0"/>
              <w:rPr>
                <w:rFonts w:eastAsia="Calibri"/>
                <w:color w:val="000000"/>
                <w:sz w:val="22"/>
              </w:rPr>
            </w:pPr>
            <w:r w:rsidRPr="002045F5">
              <w:rPr>
                <w:rFonts w:eastAsia="Calibri"/>
                <w:sz w:val="22"/>
              </w:rPr>
              <w:t>Міжнародні інвестиції, кошти приватних осіб</w:t>
            </w:r>
          </w:p>
        </w:tc>
        <w:tc>
          <w:tcPr>
            <w:tcW w:w="1315" w:type="dxa"/>
            <w:vMerge/>
            <w:tcBorders>
              <w:left w:val="single" w:sz="4" w:space="0" w:color="auto"/>
              <w:bottom w:val="single" w:sz="6" w:space="0" w:color="auto"/>
              <w:right w:val="single" w:sz="4" w:space="0" w:color="auto"/>
            </w:tcBorders>
            <w:shd w:val="clear" w:color="auto" w:fill="auto"/>
          </w:tcPr>
          <w:p w:rsidR="00945EF0" w:rsidRPr="002045F5" w:rsidRDefault="00945EF0" w:rsidP="001038B7">
            <w:pPr>
              <w:autoSpaceDE w:val="0"/>
              <w:autoSpaceDN w:val="0"/>
              <w:adjustRightInd w:val="0"/>
              <w:rPr>
                <w:rFonts w:eastAsia="Calibri"/>
                <w:sz w:val="22"/>
              </w:rPr>
            </w:pPr>
          </w:p>
        </w:tc>
      </w:tr>
    </w:tbl>
    <w:p w:rsidR="00945EF0" w:rsidRPr="002045F5" w:rsidRDefault="00945EF0" w:rsidP="00E95FB1">
      <w:pPr>
        <w:rPr>
          <w:sz w:val="22"/>
        </w:rPr>
      </w:pPr>
    </w:p>
    <w:p w:rsidR="00945EF0" w:rsidRPr="002045F5" w:rsidRDefault="00945EF0" w:rsidP="00E95FB1">
      <w:pPr>
        <w:rPr>
          <w:sz w:val="22"/>
          <w:lang w:val="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2218"/>
        <w:gridCol w:w="732"/>
        <w:gridCol w:w="58"/>
        <w:gridCol w:w="743"/>
        <w:gridCol w:w="955"/>
        <w:gridCol w:w="60"/>
        <w:gridCol w:w="1113"/>
        <w:gridCol w:w="1208"/>
      </w:tblGrid>
      <w:tr w:rsidR="00945EF0" w:rsidRPr="002045F5" w:rsidTr="00945EF0">
        <w:tc>
          <w:tcPr>
            <w:tcW w:w="2836"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r w:rsidRPr="002045F5">
              <w:rPr>
                <w:rFonts w:eastAsia="Calibri"/>
                <w:b/>
                <w:color w:val="000000"/>
                <w:sz w:val="22"/>
              </w:rPr>
              <w:t>Оперативна ціль/завдання</w:t>
            </w:r>
          </w:p>
        </w:tc>
        <w:tc>
          <w:tcPr>
            <w:tcW w:w="7087" w:type="dxa"/>
            <w:gridSpan w:val="8"/>
            <w:tcBorders>
              <w:top w:val="single" w:sz="4" w:space="0" w:color="auto"/>
              <w:left w:val="single" w:sz="4" w:space="0" w:color="auto"/>
              <w:bottom w:val="single" w:sz="4" w:space="0" w:color="auto"/>
              <w:right w:val="single" w:sz="4" w:space="0" w:color="auto"/>
            </w:tcBorders>
            <w:shd w:val="clear" w:color="auto" w:fill="FFFFFF"/>
          </w:tcPr>
          <w:p w:rsidR="00945EF0" w:rsidRPr="002045F5" w:rsidRDefault="00945EF0" w:rsidP="001038B7">
            <w:pPr>
              <w:rPr>
                <w:sz w:val="22"/>
              </w:rPr>
            </w:pPr>
            <w:r w:rsidRPr="002045F5">
              <w:rPr>
                <w:sz w:val="22"/>
              </w:rPr>
              <w:t xml:space="preserve">Людський розвиток через інновації управління та довіру до влади. Формування сучасного інклюзивного  </w:t>
            </w:r>
            <w:proofErr w:type="spellStart"/>
            <w:r w:rsidRPr="002045F5">
              <w:rPr>
                <w:sz w:val="22"/>
              </w:rPr>
              <w:t>освітньо</w:t>
            </w:r>
            <w:proofErr w:type="spellEnd"/>
            <w:r w:rsidRPr="002045F5">
              <w:rPr>
                <w:sz w:val="22"/>
              </w:rPr>
              <w:t>-культурного та спортивного простору для розвитку</w:t>
            </w:r>
          </w:p>
        </w:tc>
      </w:tr>
      <w:tr w:rsidR="00945EF0" w:rsidRPr="002045F5" w:rsidTr="00945EF0">
        <w:tc>
          <w:tcPr>
            <w:tcW w:w="2836"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r w:rsidRPr="002045F5">
              <w:rPr>
                <w:rFonts w:eastAsia="Calibri"/>
                <w:b/>
                <w:color w:val="000000"/>
                <w:sz w:val="22"/>
              </w:rPr>
              <w:lastRenderedPageBreak/>
              <w:t>Назва проекту:</w:t>
            </w:r>
          </w:p>
        </w:tc>
        <w:tc>
          <w:tcPr>
            <w:tcW w:w="7087" w:type="dxa"/>
            <w:gridSpan w:val="8"/>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 xml:space="preserve">Відновлення вікон та дверей у пошкоджених приміщеннях Гімназії №6 міста Сєвєродонецька Луганської області. </w:t>
            </w:r>
          </w:p>
          <w:p w:rsidR="00945EF0" w:rsidRPr="002045F5" w:rsidRDefault="00945EF0" w:rsidP="001038B7">
            <w:pPr>
              <w:rPr>
                <w:color w:val="FF0000"/>
                <w:sz w:val="22"/>
              </w:rPr>
            </w:pPr>
            <w:r w:rsidRPr="002045F5">
              <w:rPr>
                <w:sz w:val="22"/>
              </w:rPr>
              <w:t>вул. Маяковського, 9, м. Сєвєродонецьк, Сєвєродонецький р-н, Луганська обл.</w:t>
            </w:r>
          </w:p>
        </w:tc>
      </w:tr>
      <w:tr w:rsidR="00945EF0" w:rsidRPr="002045F5" w:rsidTr="00945EF0">
        <w:tc>
          <w:tcPr>
            <w:tcW w:w="2836"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r w:rsidRPr="002045F5">
              <w:rPr>
                <w:rFonts w:eastAsia="Calibri"/>
                <w:b/>
                <w:color w:val="000000"/>
                <w:sz w:val="22"/>
              </w:rPr>
              <w:t>Ціль проекту</w:t>
            </w:r>
          </w:p>
        </w:tc>
        <w:tc>
          <w:tcPr>
            <w:tcW w:w="7087" w:type="dxa"/>
            <w:gridSpan w:val="8"/>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2764D">
            <w:pPr>
              <w:rPr>
                <w:sz w:val="22"/>
              </w:rPr>
            </w:pPr>
            <w:r w:rsidRPr="002045F5">
              <w:rPr>
                <w:sz w:val="22"/>
              </w:rPr>
              <w:t xml:space="preserve">Реалізація </w:t>
            </w:r>
            <w:proofErr w:type="spellStart"/>
            <w:r w:rsidRPr="002045F5">
              <w:rPr>
                <w:sz w:val="22"/>
              </w:rPr>
              <w:t>проєкту</w:t>
            </w:r>
            <w:proofErr w:type="spellEnd"/>
            <w:r w:rsidRPr="002045F5">
              <w:rPr>
                <w:sz w:val="22"/>
              </w:rPr>
              <w:t xml:space="preserve"> ставить на меті відновлення вікон у закладі та створення економічно ефективної </w:t>
            </w:r>
            <w:proofErr w:type="spellStart"/>
            <w:r w:rsidRPr="002045F5">
              <w:rPr>
                <w:sz w:val="22"/>
              </w:rPr>
              <w:t>енергозбережувальної</w:t>
            </w:r>
            <w:proofErr w:type="spellEnd"/>
            <w:r w:rsidRPr="002045F5">
              <w:rPr>
                <w:sz w:val="22"/>
              </w:rPr>
              <w:t xml:space="preserve">  школи після </w:t>
            </w:r>
            <w:proofErr w:type="spellStart"/>
            <w:r w:rsidRPr="002045F5">
              <w:rPr>
                <w:sz w:val="22"/>
              </w:rPr>
              <w:t>деокупації</w:t>
            </w:r>
            <w:proofErr w:type="spellEnd"/>
            <w:r w:rsidRPr="002045F5">
              <w:rPr>
                <w:sz w:val="22"/>
              </w:rPr>
              <w:t xml:space="preserve"> Сєвєродонецька за умов зменшення питомих витрат енергетичних носіїв, зменшення бюджетних видатків за спожиті </w:t>
            </w:r>
            <w:proofErr w:type="spellStart"/>
            <w:r w:rsidRPr="002045F5">
              <w:rPr>
                <w:sz w:val="22"/>
              </w:rPr>
              <w:t>енерго</w:t>
            </w:r>
            <w:proofErr w:type="spellEnd"/>
            <w:r w:rsidRPr="002045F5">
              <w:rPr>
                <w:sz w:val="22"/>
              </w:rPr>
              <w:t>-теплоносії, у покращенні санітарно-гігієнічних умов перебування дітей в освітньому закладі за рахунок підвищення енергоефективності будівлі, популяризації культури енергозбереження серед громади міста</w:t>
            </w:r>
            <w:r w:rsidRPr="002045F5">
              <w:rPr>
                <w:sz w:val="22"/>
              </w:rPr>
              <w:tab/>
            </w:r>
            <w:r w:rsidRPr="002045F5">
              <w:rPr>
                <w:sz w:val="22"/>
              </w:rPr>
              <w:tab/>
            </w:r>
            <w:r w:rsidRPr="002045F5">
              <w:rPr>
                <w:sz w:val="22"/>
              </w:rPr>
              <w:tab/>
            </w:r>
          </w:p>
        </w:tc>
      </w:tr>
      <w:tr w:rsidR="00945EF0" w:rsidRPr="002045F5" w:rsidTr="00945EF0">
        <w:tc>
          <w:tcPr>
            <w:tcW w:w="2836"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r w:rsidRPr="002045F5">
              <w:rPr>
                <w:rFonts w:eastAsia="Calibri"/>
                <w:b/>
                <w:color w:val="000000"/>
                <w:sz w:val="22"/>
              </w:rPr>
              <w:t>Територія, на яку матиме вплив реалізація проекту</w:t>
            </w:r>
          </w:p>
        </w:tc>
        <w:tc>
          <w:tcPr>
            <w:tcW w:w="7087" w:type="dxa"/>
            <w:gridSpan w:val="8"/>
            <w:tcBorders>
              <w:top w:val="single" w:sz="6" w:space="0" w:color="auto"/>
              <w:left w:val="single" w:sz="6" w:space="0" w:color="auto"/>
              <w:bottom w:val="single" w:sz="6" w:space="0" w:color="auto"/>
              <w:right w:val="single" w:sz="6" w:space="0" w:color="auto"/>
            </w:tcBorders>
            <w:shd w:val="clear" w:color="auto" w:fill="auto"/>
          </w:tcPr>
          <w:p w:rsidR="00945EF0" w:rsidRPr="002045F5" w:rsidRDefault="00945EF0" w:rsidP="001038B7">
            <w:pPr>
              <w:autoSpaceDE w:val="0"/>
              <w:autoSpaceDN w:val="0"/>
              <w:adjustRightInd w:val="0"/>
              <w:rPr>
                <w:rFonts w:eastAsia="Calibri"/>
                <w:sz w:val="22"/>
              </w:rPr>
            </w:pPr>
            <w:r w:rsidRPr="002045F5">
              <w:rPr>
                <w:rFonts w:eastAsia="Calibri"/>
                <w:sz w:val="22"/>
              </w:rPr>
              <w:t>Сєвєродонецька міська територіальна громада</w:t>
            </w:r>
          </w:p>
        </w:tc>
      </w:tr>
      <w:tr w:rsidR="00945EF0" w:rsidRPr="002045F5" w:rsidTr="00945EF0">
        <w:tc>
          <w:tcPr>
            <w:tcW w:w="2836"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r w:rsidRPr="002045F5">
              <w:rPr>
                <w:rFonts w:eastAsia="Calibri"/>
                <w:b/>
                <w:color w:val="000000"/>
                <w:sz w:val="22"/>
              </w:rPr>
              <w:t>Чисельність населення, на яке матиме вплив реалізація проекту</w:t>
            </w:r>
          </w:p>
        </w:tc>
        <w:tc>
          <w:tcPr>
            <w:tcW w:w="7087" w:type="dxa"/>
            <w:gridSpan w:val="8"/>
            <w:tcBorders>
              <w:top w:val="single" w:sz="6" w:space="0" w:color="auto"/>
              <w:left w:val="single" w:sz="6" w:space="0" w:color="auto"/>
              <w:bottom w:val="single" w:sz="6" w:space="0" w:color="auto"/>
              <w:right w:val="single" w:sz="6" w:space="0" w:color="auto"/>
            </w:tcBorders>
            <w:shd w:val="clear" w:color="auto" w:fill="auto"/>
          </w:tcPr>
          <w:p w:rsidR="00945EF0" w:rsidRPr="002045F5" w:rsidRDefault="00945EF0" w:rsidP="001038B7">
            <w:pPr>
              <w:autoSpaceDE w:val="0"/>
              <w:autoSpaceDN w:val="0"/>
              <w:adjustRightInd w:val="0"/>
              <w:rPr>
                <w:rFonts w:eastAsia="Calibri"/>
                <w:sz w:val="22"/>
              </w:rPr>
            </w:pPr>
            <w:r w:rsidRPr="002045F5">
              <w:rPr>
                <w:rFonts w:eastAsia="Calibri"/>
                <w:sz w:val="22"/>
              </w:rPr>
              <w:t>70 000 осіб</w:t>
            </w:r>
          </w:p>
        </w:tc>
      </w:tr>
      <w:tr w:rsidR="00945EF0" w:rsidRPr="002045F5" w:rsidTr="00945EF0">
        <w:tc>
          <w:tcPr>
            <w:tcW w:w="2836"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r w:rsidRPr="002045F5">
              <w:rPr>
                <w:rFonts w:eastAsia="Calibri"/>
                <w:b/>
                <w:color w:val="000000"/>
                <w:sz w:val="22"/>
              </w:rPr>
              <w:t>Опис проблеми, на вирішення якої спрямований проект</w:t>
            </w:r>
          </w:p>
        </w:tc>
        <w:tc>
          <w:tcPr>
            <w:tcW w:w="7087" w:type="dxa"/>
            <w:gridSpan w:val="8"/>
            <w:tcBorders>
              <w:top w:val="single" w:sz="6" w:space="0" w:color="auto"/>
              <w:left w:val="single" w:sz="6" w:space="0" w:color="auto"/>
              <w:bottom w:val="single" w:sz="6" w:space="0" w:color="auto"/>
              <w:right w:val="single" w:sz="6" w:space="0" w:color="auto"/>
            </w:tcBorders>
            <w:shd w:val="clear" w:color="auto" w:fill="auto"/>
          </w:tcPr>
          <w:p w:rsidR="00945EF0" w:rsidRPr="002045F5" w:rsidRDefault="00945EF0" w:rsidP="001038B7">
            <w:pPr>
              <w:autoSpaceDE w:val="0"/>
              <w:autoSpaceDN w:val="0"/>
              <w:adjustRightInd w:val="0"/>
              <w:rPr>
                <w:rFonts w:eastAsia="Calibri"/>
                <w:sz w:val="22"/>
              </w:rPr>
            </w:pPr>
            <w:r w:rsidRPr="002045F5">
              <w:rPr>
                <w:rFonts w:eastAsia="Calibri"/>
                <w:sz w:val="22"/>
              </w:rPr>
              <w:t xml:space="preserve">     Недотримання теплового режиму в навчальних кабінетах Гімназії №6 не дозволяє виконувати в повному обсязі державні програми з навчальних дисциплін, погіршує стан здоров'я як дітей, так і дорослих, тому пріоритетним напрямком роботи зі створення комфортних умов для перебування учнів у школі, досягнення потрібного рівня температури в будівлі необхідно здійснити не за рахунок збільшення енергоспоживання, а за рахунок підвищення енергоефективності будівель (установка металопластикових склопакетів в будівлі Гімназії № 6), формування в учнів та їхніх сім'ях культури енергозбереження та енергоспоживання, ефективного використання і заощадження енергії, підвищення обізнаності громадян з питань енергоефективності, енергетичної безпеки.</w:t>
            </w:r>
          </w:p>
        </w:tc>
      </w:tr>
      <w:tr w:rsidR="00945EF0" w:rsidRPr="002045F5" w:rsidTr="00945EF0">
        <w:tc>
          <w:tcPr>
            <w:tcW w:w="2836"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r w:rsidRPr="002045F5">
              <w:rPr>
                <w:rFonts w:eastAsia="Calibri"/>
                <w:b/>
                <w:color w:val="000000"/>
                <w:sz w:val="22"/>
              </w:rPr>
              <w:t>Очікувані якісні результати від реалізації проекту</w:t>
            </w:r>
          </w:p>
        </w:tc>
        <w:tc>
          <w:tcPr>
            <w:tcW w:w="7087" w:type="dxa"/>
            <w:gridSpan w:val="8"/>
            <w:tcBorders>
              <w:top w:val="single" w:sz="6" w:space="0" w:color="auto"/>
              <w:left w:val="single" w:sz="6" w:space="0" w:color="auto"/>
              <w:bottom w:val="single" w:sz="4" w:space="0" w:color="auto"/>
              <w:right w:val="single" w:sz="6" w:space="0" w:color="auto"/>
            </w:tcBorders>
            <w:shd w:val="clear" w:color="auto" w:fill="auto"/>
          </w:tcPr>
          <w:p w:rsidR="00945EF0" w:rsidRPr="002045F5" w:rsidRDefault="00945EF0" w:rsidP="001038B7">
            <w:pPr>
              <w:autoSpaceDE w:val="0"/>
              <w:autoSpaceDN w:val="0"/>
              <w:adjustRightInd w:val="0"/>
              <w:rPr>
                <w:rFonts w:eastAsia="Calibri"/>
                <w:sz w:val="22"/>
              </w:rPr>
            </w:pPr>
            <w:r w:rsidRPr="002045F5">
              <w:rPr>
                <w:rFonts w:eastAsia="Calibri"/>
                <w:sz w:val="22"/>
              </w:rPr>
              <w:t xml:space="preserve">     Буде проведено додаткову оцінку </w:t>
            </w:r>
            <w:proofErr w:type="spellStart"/>
            <w:r w:rsidRPr="002045F5">
              <w:rPr>
                <w:rFonts w:eastAsia="Calibri"/>
                <w:sz w:val="22"/>
              </w:rPr>
              <w:t>проєкту</w:t>
            </w:r>
            <w:proofErr w:type="spellEnd"/>
            <w:r w:rsidRPr="002045F5">
              <w:rPr>
                <w:rFonts w:eastAsia="Calibri"/>
                <w:sz w:val="22"/>
              </w:rPr>
              <w:t xml:space="preserve"> та складено кошторисну документацію. Підвищіться енергоефективність будівлі закладу</w:t>
            </w:r>
          </w:p>
          <w:p w:rsidR="00945EF0" w:rsidRPr="002045F5" w:rsidRDefault="00945EF0" w:rsidP="001038B7">
            <w:pPr>
              <w:autoSpaceDE w:val="0"/>
              <w:autoSpaceDN w:val="0"/>
              <w:adjustRightInd w:val="0"/>
              <w:rPr>
                <w:rFonts w:eastAsia="Calibri"/>
                <w:sz w:val="22"/>
              </w:rPr>
            </w:pPr>
            <w:r w:rsidRPr="002045F5">
              <w:rPr>
                <w:rFonts w:eastAsia="Calibri"/>
                <w:sz w:val="22"/>
              </w:rPr>
              <w:t xml:space="preserve">     Соціальний ефект:      </w:t>
            </w:r>
          </w:p>
          <w:p w:rsidR="00945EF0" w:rsidRPr="002045F5" w:rsidRDefault="00945EF0" w:rsidP="001038B7">
            <w:pPr>
              <w:autoSpaceDE w:val="0"/>
              <w:autoSpaceDN w:val="0"/>
              <w:adjustRightInd w:val="0"/>
              <w:rPr>
                <w:rFonts w:eastAsia="Calibri"/>
                <w:sz w:val="22"/>
              </w:rPr>
            </w:pPr>
            <w:r w:rsidRPr="002045F5">
              <w:rPr>
                <w:rFonts w:eastAsia="Calibri"/>
                <w:sz w:val="22"/>
              </w:rPr>
              <w:t xml:space="preserve">- поліпшення стану здоров'я здобувачів освіти та школярів за рахунок оптимізації температурного режиму приміщень, </w:t>
            </w:r>
          </w:p>
          <w:p w:rsidR="00945EF0" w:rsidRPr="002045F5" w:rsidRDefault="00945EF0" w:rsidP="001038B7">
            <w:pPr>
              <w:autoSpaceDE w:val="0"/>
              <w:autoSpaceDN w:val="0"/>
              <w:adjustRightInd w:val="0"/>
              <w:rPr>
                <w:rFonts w:eastAsia="Calibri"/>
                <w:sz w:val="22"/>
              </w:rPr>
            </w:pPr>
            <w:r w:rsidRPr="002045F5">
              <w:rPr>
                <w:rFonts w:eastAsia="Calibri"/>
                <w:sz w:val="22"/>
              </w:rPr>
              <w:t>- завдяки енергоефективній реновації школи зменшиться захворюваність учнів та кількість пропущених уроків за хворобою;</w:t>
            </w:r>
          </w:p>
          <w:p w:rsidR="00945EF0" w:rsidRPr="002045F5" w:rsidRDefault="00945EF0" w:rsidP="001038B7">
            <w:pPr>
              <w:autoSpaceDE w:val="0"/>
              <w:autoSpaceDN w:val="0"/>
              <w:adjustRightInd w:val="0"/>
              <w:rPr>
                <w:rFonts w:eastAsia="Calibri"/>
                <w:sz w:val="22"/>
              </w:rPr>
            </w:pPr>
            <w:r w:rsidRPr="002045F5">
              <w:rPr>
                <w:rFonts w:eastAsia="Calibri"/>
                <w:sz w:val="22"/>
              </w:rPr>
              <w:t xml:space="preserve">- підвищення обізнаності населення щодо енергоефективності; </w:t>
            </w:r>
          </w:p>
          <w:p w:rsidR="00945EF0" w:rsidRPr="002045F5" w:rsidRDefault="00945EF0" w:rsidP="001038B7">
            <w:pPr>
              <w:autoSpaceDE w:val="0"/>
              <w:autoSpaceDN w:val="0"/>
              <w:adjustRightInd w:val="0"/>
              <w:rPr>
                <w:rFonts w:eastAsia="Calibri"/>
                <w:color w:val="FF0000"/>
                <w:sz w:val="22"/>
              </w:rPr>
            </w:pPr>
            <w:r w:rsidRPr="002045F5">
              <w:rPr>
                <w:rFonts w:eastAsia="Calibri"/>
                <w:sz w:val="22"/>
              </w:rPr>
              <w:t>- проведення заходів для громади щодо економного енергоспоживання.</w:t>
            </w:r>
            <w:r w:rsidRPr="002045F5">
              <w:rPr>
                <w:rFonts w:eastAsia="Calibri"/>
                <w:color w:val="FF0000"/>
                <w:sz w:val="22"/>
              </w:rPr>
              <w:t xml:space="preserve">             </w:t>
            </w:r>
          </w:p>
        </w:tc>
      </w:tr>
      <w:tr w:rsidR="00945EF0" w:rsidRPr="002045F5" w:rsidTr="00945EF0">
        <w:tc>
          <w:tcPr>
            <w:tcW w:w="2836" w:type="dxa"/>
            <w:vMerge w:val="restart"/>
            <w:tcBorders>
              <w:top w:val="single" w:sz="6" w:space="0" w:color="auto"/>
              <w:left w:val="single" w:sz="6" w:space="0" w:color="auto"/>
              <w:right w:val="single" w:sz="4"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r w:rsidRPr="002045F5">
              <w:rPr>
                <w:rFonts w:eastAsia="Calibri"/>
                <w:b/>
                <w:color w:val="000000"/>
                <w:sz w:val="22"/>
              </w:rPr>
              <w:t>Очікувані кількісні результати від реалізації проекту  (індикатори)</w:t>
            </w:r>
          </w:p>
        </w:tc>
        <w:tc>
          <w:tcPr>
            <w:tcW w:w="3008" w:type="dxa"/>
            <w:gridSpan w:val="3"/>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sz w:val="22"/>
              </w:rPr>
              <w:t>Найменування показника</w:t>
            </w:r>
          </w:p>
        </w:tc>
        <w:tc>
          <w:tcPr>
            <w:tcW w:w="1758" w:type="dxa"/>
            <w:gridSpan w:val="3"/>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sz w:val="22"/>
              </w:rPr>
              <w:t>Одиниця вимірювання</w:t>
            </w:r>
          </w:p>
        </w:tc>
        <w:tc>
          <w:tcPr>
            <w:tcW w:w="2321" w:type="dxa"/>
            <w:gridSpan w:val="2"/>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sz w:val="22"/>
              </w:rPr>
              <w:t>Прогнозне (цільове) значення</w:t>
            </w:r>
          </w:p>
        </w:tc>
      </w:tr>
      <w:tr w:rsidR="00945EF0" w:rsidRPr="002045F5" w:rsidTr="00945EF0">
        <w:tc>
          <w:tcPr>
            <w:tcW w:w="2836" w:type="dxa"/>
            <w:vMerge/>
            <w:tcBorders>
              <w:left w:val="single" w:sz="6" w:space="0" w:color="auto"/>
              <w:right w:val="single" w:sz="4" w:space="0" w:color="auto"/>
            </w:tcBorders>
            <w:shd w:val="clear" w:color="auto" w:fill="C6D9F1" w:themeFill="text2" w:themeFillTint="33"/>
          </w:tcPr>
          <w:p w:rsidR="00945EF0" w:rsidRPr="002045F5" w:rsidRDefault="00945EF0" w:rsidP="001038B7">
            <w:pPr>
              <w:tabs>
                <w:tab w:val="left" w:pos="5290"/>
              </w:tabs>
              <w:jc w:val="center"/>
              <w:rPr>
                <w:b/>
                <w:sz w:val="22"/>
              </w:rPr>
            </w:pPr>
          </w:p>
        </w:tc>
        <w:tc>
          <w:tcPr>
            <w:tcW w:w="3008" w:type="dxa"/>
            <w:gridSpan w:val="3"/>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 xml:space="preserve">Кількісний склад </w:t>
            </w:r>
            <w:proofErr w:type="spellStart"/>
            <w:r w:rsidRPr="002045F5">
              <w:rPr>
                <w:sz w:val="22"/>
              </w:rPr>
              <w:t>проєкту</w:t>
            </w:r>
            <w:proofErr w:type="spellEnd"/>
          </w:p>
        </w:tc>
        <w:tc>
          <w:tcPr>
            <w:tcW w:w="1758" w:type="dxa"/>
            <w:gridSpan w:val="3"/>
            <w:tcBorders>
              <w:top w:val="single" w:sz="4" w:space="0" w:color="auto"/>
              <w:left w:val="nil"/>
              <w:bottom w:val="single" w:sz="4" w:space="0" w:color="auto"/>
              <w:right w:val="single" w:sz="4" w:space="0" w:color="auto"/>
            </w:tcBorders>
            <w:shd w:val="clear" w:color="auto" w:fill="auto"/>
            <w:vAlign w:val="center"/>
          </w:tcPr>
          <w:p w:rsidR="00945EF0" w:rsidRPr="002045F5" w:rsidRDefault="00945EF0" w:rsidP="001038B7">
            <w:pPr>
              <w:jc w:val="center"/>
              <w:rPr>
                <w:sz w:val="22"/>
              </w:rPr>
            </w:pPr>
            <w:r w:rsidRPr="002045F5">
              <w:rPr>
                <w:sz w:val="22"/>
              </w:rPr>
              <w:t>осіб</w:t>
            </w:r>
          </w:p>
        </w:tc>
        <w:tc>
          <w:tcPr>
            <w:tcW w:w="2321" w:type="dxa"/>
            <w:gridSpan w:val="2"/>
            <w:tcBorders>
              <w:top w:val="single" w:sz="4" w:space="0" w:color="auto"/>
              <w:left w:val="nil"/>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 xml:space="preserve">20 </w:t>
            </w:r>
          </w:p>
          <w:p w:rsidR="00945EF0" w:rsidRPr="002045F5" w:rsidRDefault="00945EF0" w:rsidP="001038B7">
            <w:pPr>
              <w:rPr>
                <w:sz w:val="22"/>
              </w:rPr>
            </w:pPr>
          </w:p>
        </w:tc>
      </w:tr>
      <w:tr w:rsidR="00945EF0" w:rsidRPr="002045F5" w:rsidTr="00945EF0">
        <w:tc>
          <w:tcPr>
            <w:tcW w:w="2836" w:type="dxa"/>
            <w:vMerge/>
            <w:tcBorders>
              <w:left w:val="single" w:sz="6" w:space="0" w:color="auto"/>
              <w:right w:val="single" w:sz="4" w:space="0" w:color="auto"/>
            </w:tcBorders>
            <w:shd w:val="clear" w:color="auto" w:fill="C6D9F1" w:themeFill="text2" w:themeFillTint="33"/>
          </w:tcPr>
          <w:p w:rsidR="00945EF0" w:rsidRPr="002045F5" w:rsidRDefault="00945EF0" w:rsidP="001038B7">
            <w:pPr>
              <w:tabs>
                <w:tab w:val="left" w:pos="5290"/>
              </w:tabs>
              <w:jc w:val="center"/>
              <w:rPr>
                <w:b/>
                <w:sz w:val="22"/>
              </w:rPr>
            </w:pPr>
          </w:p>
        </w:tc>
        <w:tc>
          <w:tcPr>
            <w:tcW w:w="2950" w:type="dxa"/>
            <w:gridSpan w:val="2"/>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Круглі столи в межах рекламної кампанії</w:t>
            </w:r>
          </w:p>
        </w:tc>
        <w:tc>
          <w:tcPr>
            <w:tcW w:w="1756" w:type="dxa"/>
            <w:gridSpan w:val="3"/>
            <w:tcBorders>
              <w:top w:val="single" w:sz="4" w:space="0" w:color="auto"/>
              <w:left w:val="nil"/>
              <w:bottom w:val="single" w:sz="4" w:space="0" w:color="auto"/>
              <w:right w:val="single" w:sz="4" w:space="0" w:color="auto"/>
            </w:tcBorders>
            <w:shd w:val="clear" w:color="auto" w:fill="auto"/>
          </w:tcPr>
          <w:p w:rsidR="00945EF0" w:rsidRPr="002045F5" w:rsidRDefault="00945EF0" w:rsidP="001038B7">
            <w:pPr>
              <w:jc w:val="center"/>
              <w:rPr>
                <w:sz w:val="22"/>
              </w:rPr>
            </w:pPr>
            <w:r w:rsidRPr="002045F5">
              <w:rPr>
                <w:sz w:val="22"/>
              </w:rPr>
              <w:t>одиниць</w:t>
            </w:r>
          </w:p>
        </w:tc>
        <w:tc>
          <w:tcPr>
            <w:tcW w:w="2381" w:type="dxa"/>
            <w:gridSpan w:val="3"/>
            <w:tcBorders>
              <w:top w:val="single" w:sz="4" w:space="0" w:color="auto"/>
              <w:left w:val="nil"/>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2</w:t>
            </w:r>
          </w:p>
          <w:p w:rsidR="00945EF0" w:rsidRPr="002045F5" w:rsidRDefault="00945EF0" w:rsidP="001038B7">
            <w:pPr>
              <w:rPr>
                <w:sz w:val="22"/>
              </w:rPr>
            </w:pPr>
          </w:p>
        </w:tc>
      </w:tr>
      <w:tr w:rsidR="00945EF0" w:rsidRPr="002045F5" w:rsidTr="00945EF0">
        <w:tc>
          <w:tcPr>
            <w:tcW w:w="2836" w:type="dxa"/>
            <w:vMerge/>
            <w:tcBorders>
              <w:left w:val="single" w:sz="6" w:space="0" w:color="auto"/>
              <w:right w:val="single" w:sz="4" w:space="0" w:color="auto"/>
            </w:tcBorders>
            <w:shd w:val="clear" w:color="auto" w:fill="C6D9F1" w:themeFill="text2" w:themeFillTint="33"/>
          </w:tcPr>
          <w:p w:rsidR="00945EF0" w:rsidRPr="002045F5" w:rsidRDefault="00945EF0" w:rsidP="001038B7">
            <w:pPr>
              <w:tabs>
                <w:tab w:val="left" w:pos="5290"/>
              </w:tabs>
              <w:jc w:val="center"/>
              <w:rPr>
                <w:b/>
                <w:sz w:val="22"/>
              </w:rPr>
            </w:pPr>
          </w:p>
        </w:tc>
        <w:tc>
          <w:tcPr>
            <w:tcW w:w="2950" w:type="dxa"/>
            <w:gridSpan w:val="2"/>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Кошторис</w:t>
            </w:r>
          </w:p>
        </w:tc>
        <w:tc>
          <w:tcPr>
            <w:tcW w:w="1756" w:type="dxa"/>
            <w:gridSpan w:val="3"/>
            <w:tcBorders>
              <w:top w:val="single" w:sz="4" w:space="0" w:color="auto"/>
              <w:left w:val="nil"/>
              <w:bottom w:val="single" w:sz="4" w:space="0" w:color="auto"/>
              <w:right w:val="single" w:sz="4" w:space="0" w:color="auto"/>
            </w:tcBorders>
            <w:shd w:val="clear" w:color="auto" w:fill="auto"/>
          </w:tcPr>
          <w:p w:rsidR="00945EF0" w:rsidRPr="002045F5" w:rsidRDefault="00945EF0" w:rsidP="001038B7">
            <w:pPr>
              <w:jc w:val="center"/>
              <w:rPr>
                <w:sz w:val="22"/>
              </w:rPr>
            </w:pPr>
            <w:r w:rsidRPr="002045F5">
              <w:rPr>
                <w:sz w:val="22"/>
              </w:rPr>
              <w:t>одиниць</w:t>
            </w:r>
          </w:p>
        </w:tc>
        <w:tc>
          <w:tcPr>
            <w:tcW w:w="2381" w:type="dxa"/>
            <w:gridSpan w:val="3"/>
            <w:tcBorders>
              <w:top w:val="single" w:sz="4" w:space="0" w:color="auto"/>
              <w:left w:val="nil"/>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1</w:t>
            </w:r>
          </w:p>
          <w:p w:rsidR="00945EF0" w:rsidRPr="002045F5" w:rsidRDefault="00945EF0" w:rsidP="001038B7">
            <w:pPr>
              <w:rPr>
                <w:sz w:val="22"/>
              </w:rPr>
            </w:pPr>
          </w:p>
        </w:tc>
      </w:tr>
      <w:tr w:rsidR="00945EF0" w:rsidRPr="002045F5" w:rsidTr="00945EF0">
        <w:tc>
          <w:tcPr>
            <w:tcW w:w="2836" w:type="dxa"/>
            <w:vMerge/>
            <w:tcBorders>
              <w:left w:val="single" w:sz="6" w:space="0" w:color="auto"/>
              <w:right w:val="single" w:sz="4" w:space="0" w:color="auto"/>
            </w:tcBorders>
            <w:shd w:val="clear" w:color="auto" w:fill="C6D9F1" w:themeFill="text2" w:themeFillTint="33"/>
          </w:tcPr>
          <w:p w:rsidR="00945EF0" w:rsidRPr="002045F5" w:rsidRDefault="00945EF0" w:rsidP="001038B7">
            <w:pPr>
              <w:tabs>
                <w:tab w:val="left" w:pos="5290"/>
              </w:tabs>
              <w:jc w:val="center"/>
              <w:rPr>
                <w:b/>
                <w:sz w:val="22"/>
              </w:rPr>
            </w:pPr>
          </w:p>
        </w:tc>
        <w:tc>
          <w:tcPr>
            <w:tcW w:w="29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45EF0" w:rsidRPr="002045F5" w:rsidRDefault="00945EF0" w:rsidP="001038B7">
            <w:pPr>
              <w:rPr>
                <w:sz w:val="22"/>
              </w:rPr>
            </w:pPr>
            <w:r w:rsidRPr="002045F5">
              <w:rPr>
                <w:sz w:val="22"/>
              </w:rPr>
              <w:t>Зниження обсягу споживання електроенергії на 8100 кВт*год/ (економічний ефект станом на 01.01.2015 р.)</w:t>
            </w:r>
          </w:p>
        </w:tc>
        <w:tc>
          <w:tcPr>
            <w:tcW w:w="1756" w:type="dxa"/>
            <w:gridSpan w:val="3"/>
            <w:tcBorders>
              <w:top w:val="single" w:sz="4" w:space="0" w:color="auto"/>
              <w:left w:val="nil"/>
              <w:bottom w:val="single" w:sz="4" w:space="0" w:color="auto"/>
              <w:right w:val="single" w:sz="4" w:space="0" w:color="auto"/>
            </w:tcBorders>
            <w:shd w:val="clear" w:color="auto" w:fill="auto"/>
          </w:tcPr>
          <w:p w:rsidR="00945EF0" w:rsidRPr="002045F5" w:rsidRDefault="00945EF0" w:rsidP="001038B7">
            <w:pPr>
              <w:jc w:val="center"/>
              <w:rPr>
                <w:sz w:val="22"/>
              </w:rPr>
            </w:pPr>
            <w:r w:rsidRPr="002045F5">
              <w:rPr>
                <w:sz w:val="22"/>
              </w:rPr>
              <w:t>грн</w:t>
            </w:r>
          </w:p>
        </w:tc>
        <w:tc>
          <w:tcPr>
            <w:tcW w:w="2381" w:type="dxa"/>
            <w:gridSpan w:val="3"/>
            <w:tcBorders>
              <w:top w:val="single" w:sz="4" w:space="0" w:color="auto"/>
              <w:left w:val="nil"/>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 xml:space="preserve">12841 </w:t>
            </w:r>
          </w:p>
        </w:tc>
      </w:tr>
      <w:tr w:rsidR="00945EF0" w:rsidRPr="002045F5" w:rsidTr="00945EF0">
        <w:tc>
          <w:tcPr>
            <w:tcW w:w="2836" w:type="dxa"/>
            <w:vMerge/>
            <w:tcBorders>
              <w:left w:val="single" w:sz="6" w:space="0" w:color="auto"/>
              <w:right w:val="single" w:sz="4" w:space="0" w:color="auto"/>
            </w:tcBorders>
            <w:shd w:val="clear" w:color="auto" w:fill="C6D9F1" w:themeFill="text2" w:themeFillTint="33"/>
          </w:tcPr>
          <w:p w:rsidR="00945EF0" w:rsidRPr="002045F5" w:rsidRDefault="00945EF0" w:rsidP="001038B7">
            <w:pPr>
              <w:tabs>
                <w:tab w:val="left" w:pos="5290"/>
              </w:tabs>
              <w:jc w:val="center"/>
              <w:rPr>
                <w:b/>
                <w:sz w:val="22"/>
              </w:rPr>
            </w:pPr>
          </w:p>
        </w:tc>
        <w:tc>
          <w:tcPr>
            <w:tcW w:w="2950" w:type="dxa"/>
            <w:gridSpan w:val="2"/>
            <w:tcBorders>
              <w:top w:val="nil"/>
              <w:left w:val="single" w:sz="4" w:space="0" w:color="auto"/>
              <w:bottom w:val="single" w:sz="4" w:space="0" w:color="auto"/>
              <w:right w:val="single" w:sz="4" w:space="0" w:color="auto"/>
            </w:tcBorders>
            <w:shd w:val="clear" w:color="auto" w:fill="auto"/>
            <w:vAlign w:val="center"/>
          </w:tcPr>
          <w:p w:rsidR="00945EF0" w:rsidRPr="002045F5" w:rsidRDefault="00945EF0" w:rsidP="001038B7">
            <w:pPr>
              <w:rPr>
                <w:sz w:val="22"/>
              </w:rPr>
            </w:pPr>
            <w:r w:rsidRPr="002045F5">
              <w:rPr>
                <w:sz w:val="22"/>
              </w:rPr>
              <w:t xml:space="preserve">Зниження обсягу споживання теплової енергії </w:t>
            </w:r>
          </w:p>
        </w:tc>
        <w:tc>
          <w:tcPr>
            <w:tcW w:w="1756" w:type="dxa"/>
            <w:gridSpan w:val="3"/>
            <w:tcBorders>
              <w:top w:val="nil"/>
              <w:left w:val="nil"/>
              <w:bottom w:val="single" w:sz="4" w:space="0" w:color="auto"/>
              <w:right w:val="single" w:sz="4" w:space="0" w:color="auto"/>
            </w:tcBorders>
            <w:shd w:val="clear" w:color="auto" w:fill="auto"/>
          </w:tcPr>
          <w:p w:rsidR="00945EF0" w:rsidRPr="002045F5" w:rsidRDefault="00945EF0" w:rsidP="001038B7">
            <w:pPr>
              <w:jc w:val="center"/>
              <w:rPr>
                <w:sz w:val="22"/>
              </w:rPr>
            </w:pPr>
            <w:proofErr w:type="spellStart"/>
            <w:r w:rsidRPr="002045F5">
              <w:rPr>
                <w:sz w:val="22"/>
              </w:rPr>
              <w:t>Гкал</w:t>
            </w:r>
            <w:proofErr w:type="spellEnd"/>
            <w:r w:rsidRPr="002045F5">
              <w:rPr>
                <w:sz w:val="22"/>
              </w:rPr>
              <w:t>/рік</w:t>
            </w:r>
          </w:p>
        </w:tc>
        <w:tc>
          <w:tcPr>
            <w:tcW w:w="2381" w:type="dxa"/>
            <w:gridSpan w:val="3"/>
            <w:tcBorders>
              <w:top w:val="single" w:sz="4" w:space="0" w:color="auto"/>
              <w:left w:val="nil"/>
              <w:bottom w:val="single" w:sz="4" w:space="0" w:color="auto"/>
              <w:right w:val="single" w:sz="4" w:space="0" w:color="000000"/>
            </w:tcBorders>
            <w:shd w:val="clear" w:color="auto" w:fill="auto"/>
          </w:tcPr>
          <w:p w:rsidR="00945EF0" w:rsidRPr="002045F5" w:rsidRDefault="00945EF0" w:rsidP="001038B7">
            <w:pPr>
              <w:rPr>
                <w:sz w:val="22"/>
              </w:rPr>
            </w:pPr>
            <w:r w:rsidRPr="002045F5">
              <w:rPr>
                <w:sz w:val="22"/>
              </w:rPr>
              <w:t xml:space="preserve">103,82 </w:t>
            </w:r>
          </w:p>
        </w:tc>
      </w:tr>
      <w:tr w:rsidR="00945EF0" w:rsidRPr="002045F5" w:rsidTr="00945EF0">
        <w:tc>
          <w:tcPr>
            <w:tcW w:w="2836" w:type="dxa"/>
            <w:vMerge/>
            <w:tcBorders>
              <w:left w:val="single" w:sz="6" w:space="0" w:color="auto"/>
              <w:right w:val="single" w:sz="4" w:space="0" w:color="auto"/>
            </w:tcBorders>
            <w:shd w:val="clear" w:color="auto" w:fill="C6D9F1" w:themeFill="text2" w:themeFillTint="33"/>
          </w:tcPr>
          <w:p w:rsidR="00945EF0" w:rsidRPr="002045F5" w:rsidRDefault="00945EF0" w:rsidP="001038B7">
            <w:pPr>
              <w:tabs>
                <w:tab w:val="left" w:pos="5290"/>
              </w:tabs>
              <w:jc w:val="center"/>
              <w:rPr>
                <w:b/>
                <w:sz w:val="22"/>
              </w:rPr>
            </w:pPr>
          </w:p>
        </w:tc>
        <w:tc>
          <w:tcPr>
            <w:tcW w:w="2950" w:type="dxa"/>
            <w:gridSpan w:val="2"/>
            <w:tcBorders>
              <w:top w:val="nil"/>
              <w:left w:val="single" w:sz="4"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Зменшення витрат місцевого бюджету на опалення (станом на 01.01.2015 року)</w:t>
            </w:r>
          </w:p>
        </w:tc>
        <w:tc>
          <w:tcPr>
            <w:tcW w:w="1756" w:type="dxa"/>
            <w:gridSpan w:val="3"/>
            <w:tcBorders>
              <w:top w:val="nil"/>
              <w:left w:val="nil"/>
              <w:bottom w:val="single" w:sz="4" w:space="0" w:color="auto"/>
              <w:right w:val="single" w:sz="4" w:space="0" w:color="auto"/>
            </w:tcBorders>
            <w:shd w:val="clear" w:color="auto" w:fill="auto"/>
          </w:tcPr>
          <w:p w:rsidR="00945EF0" w:rsidRPr="002045F5" w:rsidRDefault="00945EF0" w:rsidP="001038B7">
            <w:pPr>
              <w:jc w:val="center"/>
              <w:rPr>
                <w:sz w:val="22"/>
              </w:rPr>
            </w:pPr>
            <w:r w:rsidRPr="002045F5">
              <w:rPr>
                <w:sz w:val="22"/>
              </w:rPr>
              <w:t>грн/рік</w:t>
            </w:r>
          </w:p>
        </w:tc>
        <w:tc>
          <w:tcPr>
            <w:tcW w:w="2381" w:type="dxa"/>
            <w:gridSpan w:val="3"/>
            <w:tcBorders>
              <w:top w:val="single" w:sz="4" w:space="0" w:color="auto"/>
              <w:left w:val="nil"/>
              <w:bottom w:val="single" w:sz="4" w:space="0" w:color="auto"/>
              <w:right w:val="single" w:sz="4" w:space="0" w:color="000000"/>
            </w:tcBorders>
            <w:shd w:val="clear" w:color="auto" w:fill="auto"/>
          </w:tcPr>
          <w:p w:rsidR="00945EF0" w:rsidRPr="002045F5" w:rsidRDefault="00945EF0" w:rsidP="001038B7">
            <w:pPr>
              <w:rPr>
                <w:sz w:val="22"/>
              </w:rPr>
            </w:pPr>
            <w:r w:rsidRPr="002045F5">
              <w:rPr>
                <w:sz w:val="22"/>
              </w:rPr>
              <w:t xml:space="preserve">181,32 тис. </w:t>
            </w:r>
          </w:p>
        </w:tc>
      </w:tr>
      <w:tr w:rsidR="00945EF0" w:rsidRPr="002045F5" w:rsidTr="00945EF0">
        <w:tc>
          <w:tcPr>
            <w:tcW w:w="2836"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sz w:val="22"/>
              </w:rPr>
            </w:pPr>
            <w:r w:rsidRPr="002045F5">
              <w:rPr>
                <w:rFonts w:eastAsia="Calibri"/>
                <w:b/>
                <w:sz w:val="22"/>
              </w:rPr>
              <w:t>Ключові заходи проекту:</w:t>
            </w:r>
          </w:p>
        </w:tc>
        <w:tc>
          <w:tcPr>
            <w:tcW w:w="7087" w:type="dxa"/>
            <w:gridSpan w:val="8"/>
            <w:tcBorders>
              <w:top w:val="single" w:sz="6" w:space="0" w:color="auto"/>
              <w:left w:val="single" w:sz="6" w:space="0" w:color="auto"/>
              <w:bottom w:val="single" w:sz="6" w:space="0" w:color="auto"/>
              <w:right w:val="single" w:sz="6" w:space="0" w:color="auto"/>
            </w:tcBorders>
            <w:shd w:val="clear" w:color="auto" w:fill="auto"/>
          </w:tcPr>
          <w:p w:rsidR="00945EF0" w:rsidRPr="002045F5" w:rsidRDefault="00945EF0" w:rsidP="001038B7">
            <w:pPr>
              <w:autoSpaceDE w:val="0"/>
              <w:autoSpaceDN w:val="0"/>
              <w:adjustRightInd w:val="0"/>
              <w:rPr>
                <w:rFonts w:eastAsia="Calibri"/>
                <w:sz w:val="22"/>
              </w:rPr>
            </w:pPr>
            <w:r w:rsidRPr="002045F5">
              <w:rPr>
                <w:rFonts w:eastAsia="Calibri"/>
                <w:sz w:val="22"/>
              </w:rPr>
              <w:t xml:space="preserve">1. Буде проведено повторна оцінка потреб закладу, створення кошторису </w:t>
            </w:r>
            <w:proofErr w:type="spellStart"/>
            <w:r w:rsidRPr="002045F5">
              <w:rPr>
                <w:rFonts w:eastAsia="Calibri"/>
                <w:sz w:val="22"/>
              </w:rPr>
              <w:t>проєкту</w:t>
            </w:r>
            <w:proofErr w:type="spellEnd"/>
            <w:r w:rsidRPr="002045F5">
              <w:rPr>
                <w:rFonts w:eastAsia="Calibri"/>
                <w:sz w:val="22"/>
              </w:rPr>
              <w:t xml:space="preserve"> з уточненнями.  </w:t>
            </w:r>
          </w:p>
          <w:p w:rsidR="00945EF0" w:rsidRPr="002045F5" w:rsidRDefault="00945EF0" w:rsidP="001038B7">
            <w:pPr>
              <w:autoSpaceDE w:val="0"/>
              <w:autoSpaceDN w:val="0"/>
              <w:adjustRightInd w:val="0"/>
              <w:rPr>
                <w:rFonts w:eastAsia="Calibri"/>
                <w:sz w:val="22"/>
              </w:rPr>
            </w:pPr>
            <w:r w:rsidRPr="002045F5">
              <w:rPr>
                <w:rFonts w:eastAsia="Calibri"/>
                <w:sz w:val="22"/>
              </w:rPr>
              <w:t xml:space="preserve">2. Буде проведено закупівлі </w:t>
            </w:r>
            <w:proofErr w:type="spellStart"/>
            <w:r w:rsidRPr="002045F5">
              <w:rPr>
                <w:rFonts w:eastAsia="Calibri"/>
                <w:sz w:val="22"/>
              </w:rPr>
              <w:t>проєкту</w:t>
            </w:r>
            <w:proofErr w:type="spellEnd"/>
            <w:r w:rsidRPr="002045F5">
              <w:rPr>
                <w:rFonts w:eastAsia="Calibri"/>
                <w:sz w:val="22"/>
              </w:rPr>
              <w:t xml:space="preserve">.   </w:t>
            </w:r>
          </w:p>
          <w:p w:rsidR="00945EF0" w:rsidRPr="002045F5" w:rsidRDefault="00945EF0" w:rsidP="001038B7">
            <w:pPr>
              <w:autoSpaceDE w:val="0"/>
              <w:autoSpaceDN w:val="0"/>
              <w:adjustRightInd w:val="0"/>
              <w:rPr>
                <w:rFonts w:eastAsia="Calibri"/>
                <w:sz w:val="22"/>
              </w:rPr>
            </w:pPr>
            <w:r w:rsidRPr="002045F5">
              <w:rPr>
                <w:rFonts w:eastAsia="Calibri"/>
                <w:sz w:val="22"/>
              </w:rPr>
              <w:t xml:space="preserve">3. Буде замінено пошкоджені вікна та двері. </w:t>
            </w:r>
          </w:p>
          <w:p w:rsidR="00945EF0" w:rsidRPr="002045F5" w:rsidRDefault="00945EF0" w:rsidP="001038B7">
            <w:pPr>
              <w:autoSpaceDE w:val="0"/>
              <w:autoSpaceDN w:val="0"/>
              <w:adjustRightInd w:val="0"/>
              <w:rPr>
                <w:rFonts w:eastAsia="Calibri"/>
                <w:sz w:val="22"/>
              </w:rPr>
            </w:pPr>
            <w:r w:rsidRPr="002045F5">
              <w:rPr>
                <w:rFonts w:eastAsia="Calibri"/>
                <w:sz w:val="22"/>
              </w:rPr>
              <w:t xml:space="preserve">4. Буде проведено демонтаж та монтаж віконних та дверних укосів. </w:t>
            </w:r>
          </w:p>
          <w:p w:rsidR="00945EF0" w:rsidRPr="002045F5" w:rsidRDefault="00945EF0" w:rsidP="001038B7">
            <w:pPr>
              <w:autoSpaceDE w:val="0"/>
              <w:autoSpaceDN w:val="0"/>
              <w:adjustRightInd w:val="0"/>
              <w:rPr>
                <w:rFonts w:eastAsia="Calibri"/>
                <w:color w:val="FF0000"/>
                <w:sz w:val="22"/>
              </w:rPr>
            </w:pPr>
            <w:r w:rsidRPr="002045F5">
              <w:rPr>
                <w:rFonts w:eastAsia="Calibri"/>
                <w:sz w:val="22"/>
              </w:rPr>
              <w:t xml:space="preserve">5. Буде проведено рекламну кампанію </w:t>
            </w:r>
            <w:proofErr w:type="spellStart"/>
            <w:r w:rsidRPr="002045F5">
              <w:rPr>
                <w:rFonts w:eastAsia="Calibri"/>
                <w:sz w:val="22"/>
              </w:rPr>
              <w:t>проєкту</w:t>
            </w:r>
            <w:proofErr w:type="spellEnd"/>
            <w:r w:rsidRPr="002045F5">
              <w:rPr>
                <w:rFonts w:eastAsia="Calibri"/>
                <w:sz w:val="22"/>
              </w:rPr>
              <w:t>.</w:t>
            </w:r>
          </w:p>
        </w:tc>
      </w:tr>
      <w:tr w:rsidR="00945EF0" w:rsidRPr="002045F5" w:rsidTr="00945EF0">
        <w:tc>
          <w:tcPr>
            <w:tcW w:w="2836" w:type="dxa"/>
            <w:vMerge w:val="restart"/>
            <w:tcBorders>
              <w:top w:val="single" w:sz="4" w:space="0" w:color="auto"/>
              <w:left w:val="single" w:sz="4" w:space="0" w:color="auto"/>
              <w:right w:val="single" w:sz="4"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r w:rsidRPr="002045F5">
              <w:rPr>
                <w:rFonts w:eastAsia="Calibri"/>
                <w:b/>
                <w:color w:val="000000"/>
                <w:sz w:val="22"/>
              </w:rPr>
              <w:t>Орієнтовний обсяг та джерела фінансування тис. гривень</w:t>
            </w:r>
          </w:p>
        </w:tc>
        <w:tc>
          <w:tcPr>
            <w:tcW w:w="2218" w:type="dxa"/>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sz w:val="22"/>
              </w:rPr>
              <w:t>Державний бюджет</w:t>
            </w:r>
          </w:p>
        </w:tc>
        <w:tc>
          <w:tcPr>
            <w:tcW w:w="1533" w:type="dxa"/>
            <w:gridSpan w:val="3"/>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sz w:val="22"/>
              </w:rPr>
              <w:t>Місцевий бюджет</w:t>
            </w:r>
          </w:p>
        </w:tc>
        <w:tc>
          <w:tcPr>
            <w:tcW w:w="2128" w:type="dxa"/>
            <w:gridSpan w:val="3"/>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sz w:val="22"/>
              </w:rPr>
              <w:t>Інші джерела</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sz w:val="22"/>
              </w:rPr>
              <w:t>Всього</w:t>
            </w:r>
          </w:p>
        </w:tc>
      </w:tr>
      <w:tr w:rsidR="00945EF0" w:rsidRPr="002045F5" w:rsidTr="00945EF0">
        <w:tc>
          <w:tcPr>
            <w:tcW w:w="2836" w:type="dxa"/>
            <w:vMerge/>
            <w:tcBorders>
              <w:left w:val="single" w:sz="4" w:space="0" w:color="auto"/>
              <w:right w:val="single" w:sz="4" w:space="0" w:color="auto"/>
            </w:tcBorders>
            <w:shd w:val="clear" w:color="auto" w:fill="C6D9F1" w:themeFill="text2" w:themeFillTint="33"/>
          </w:tcPr>
          <w:p w:rsidR="00945EF0" w:rsidRPr="002045F5" w:rsidRDefault="00945EF0" w:rsidP="001038B7">
            <w:pPr>
              <w:tabs>
                <w:tab w:val="left" w:pos="5290"/>
              </w:tabs>
              <w:jc w:val="center"/>
              <w:rPr>
                <w:b/>
                <w:sz w:val="22"/>
              </w:rPr>
            </w:pPr>
          </w:p>
        </w:tc>
        <w:tc>
          <w:tcPr>
            <w:tcW w:w="2218" w:type="dxa"/>
            <w:vMerge w:val="restart"/>
            <w:tcBorders>
              <w:top w:val="single" w:sz="4" w:space="0" w:color="auto"/>
              <w:left w:val="single" w:sz="4" w:space="0" w:color="auto"/>
              <w:right w:val="single" w:sz="4" w:space="0" w:color="auto"/>
            </w:tcBorders>
            <w:shd w:val="clear" w:color="auto" w:fill="auto"/>
          </w:tcPr>
          <w:p w:rsidR="00945EF0" w:rsidRPr="002045F5" w:rsidRDefault="00945EF0" w:rsidP="001038B7">
            <w:pPr>
              <w:autoSpaceDE w:val="0"/>
              <w:autoSpaceDN w:val="0"/>
              <w:adjustRightInd w:val="0"/>
              <w:rPr>
                <w:rFonts w:eastAsia="Calibri"/>
                <w:sz w:val="22"/>
              </w:rPr>
            </w:pPr>
            <w:r w:rsidRPr="002045F5">
              <w:rPr>
                <w:rFonts w:eastAsia="Calibri"/>
                <w:sz w:val="22"/>
              </w:rPr>
              <w:t>3 000,0</w:t>
            </w:r>
          </w:p>
        </w:tc>
        <w:tc>
          <w:tcPr>
            <w:tcW w:w="1533" w:type="dxa"/>
            <w:gridSpan w:val="3"/>
            <w:vMerge w:val="restart"/>
            <w:tcBorders>
              <w:top w:val="single" w:sz="4" w:space="0" w:color="auto"/>
              <w:left w:val="single" w:sz="4" w:space="0" w:color="auto"/>
              <w:right w:val="single" w:sz="4" w:space="0" w:color="auto"/>
            </w:tcBorders>
            <w:shd w:val="clear" w:color="auto" w:fill="auto"/>
          </w:tcPr>
          <w:p w:rsidR="00945EF0" w:rsidRPr="002045F5" w:rsidRDefault="00945EF0" w:rsidP="001038B7">
            <w:pPr>
              <w:autoSpaceDE w:val="0"/>
              <w:autoSpaceDN w:val="0"/>
              <w:adjustRightInd w:val="0"/>
              <w:rPr>
                <w:rFonts w:eastAsia="Calibri"/>
                <w:sz w:val="22"/>
              </w:rPr>
            </w:pPr>
            <w:r w:rsidRPr="002045F5">
              <w:rPr>
                <w:rFonts w:eastAsia="Calibri"/>
                <w:sz w:val="22"/>
              </w:rPr>
              <w:t>-</w:t>
            </w:r>
          </w:p>
        </w:tc>
        <w:tc>
          <w:tcPr>
            <w:tcW w:w="1015" w:type="dxa"/>
            <w:gridSpan w:val="2"/>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color w:val="000000"/>
                <w:sz w:val="22"/>
              </w:rPr>
              <w:t>Обсяг</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color w:val="000000"/>
                <w:sz w:val="22"/>
              </w:rPr>
              <w:t>Назва джерела</w:t>
            </w:r>
          </w:p>
        </w:tc>
        <w:tc>
          <w:tcPr>
            <w:tcW w:w="1208" w:type="dxa"/>
            <w:vMerge w:val="restart"/>
            <w:tcBorders>
              <w:top w:val="single" w:sz="4" w:space="0" w:color="auto"/>
              <w:left w:val="single" w:sz="4" w:space="0" w:color="auto"/>
              <w:right w:val="single" w:sz="4" w:space="0" w:color="auto"/>
            </w:tcBorders>
            <w:shd w:val="clear" w:color="auto" w:fill="auto"/>
          </w:tcPr>
          <w:p w:rsidR="00945EF0" w:rsidRPr="002045F5" w:rsidRDefault="00945EF0" w:rsidP="001038B7">
            <w:pPr>
              <w:autoSpaceDE w:val="0"/>
              <w:autoSpaceDN w:val="0"/>
              <w:adjustRightInd w:val="0"/>
              <w:jc w:val="center"/>
              <w:rPr>
                <w:rFonts w:eastAsia="Calibri"/>
                <w:sz w:val="22"/>
              </w:rPr>
            </w:pPr>
            <w:r w:rsidRPr="002045F5">
              <w:rPr>
                <w:rFonts w:eastAsia="Calibri"/>
                <w:sz w:val="22"/>
              </w:rPr>
              <w:t>3 000,0</w:t>
            </w:r>
          </w:p>
        </w:tc>
      </w:tr>
      <w:tr w:rsidR="00945EF0" w:rsidRPr="002045F5" w:rsidTr="00945EF0">
        <w:tc>
          <w:tcPr>
            <w:tcW w:w="2836" w:type="dxa"/>
            <w:vMerge/>
            <w:tcBorders>
              <w:left w:val="single" w:sz="4" w:space="0" w:color="auto"/>
              <w:right w:val="single" w:sz="4" w:space="0" w:color="auto"/>
            </w:tcBorders>
            <w:shd w:val="clear" w:color="auto" w:fill="C6D9F1" w:themeFill="text2" w:themeFillTint="33"/>
          </w:tcPr>
          <w:p w:rsidR="00945EF0" w:rsidRPr="002045F5" w:rsidRDefault="00945EF0" w:rsidP="001038B7">
            <w:pPr>
              <w:tabs>
                <w:tab w:val="left" w:pos="5290"/>
              </w:tabs>
              <w:jc w:val="center"/>
              <w:rPr>
                <w:b/>
                <w:sz w:val="22"/>
              </w:rPr>
            </w:pPr>
          </w:p>
        </w:tc>
        <w:tc>
          <w:tcPr>
            <w:tcW w:w="2218" w:type="dxa"/>
            <w:vMerge/>
            <w:tcBorders>
              <w:left w:val="single" w:sz="4" w:space="0" w:color="auto"/>
              <w:right w:val="single" w:sz="4" w:space="0" w:color="auto"/>
            </w:tcBorders>
            <w:shd w:val="clear" w:color="auto" w:fill="auto"/>
          </w:tcPr>
          <w:p w:rsidR="00945EF0" w:rsidRPr="002045F5" w:rsidRDefault="00945EF0" w:rsidP="001038B7">
            <w:pPr>
              <w:tabs>
                <w:tab w:val="left" w:pos="5290"/>
              </w:tabs>
              <w:jc w:val="center"/>
              <w:rPr>
                <w:b/>
                <w:sz w:val="22"/>
              </w:rPr>
            </w:pPr>
          </w:p>
        </w:tc>
        <w:tc>
          <w:tcPr>
            <w:tcW w:w="1533" w:type="dxa"/>
            <w:gridSpan w:val="3"/>
            <w:vMerge/>
            <w:tcBorders>
              <w:left w:val="single" w:sz="4" w:space="0" w:color="auto"/>
              <w:right w:val="single" w:sz="4" w:space="0" w:color="auto"/>
            </w:tcBorders>
            <w:shd w:val="clear" w:color="auto" w:fill="auto"/>
          </w:tcPr>
          <w:p w:rsidR="00945EF0" w:rsidRPr="002045F5" w:rsidRDefault="00945EF0" w:rsidP="001038B7">
            <w:pPr>
              <w:tabs>
                <w:tab w:val="left" w:pos="5290"/>
              </w:tabs>
              <w:jc w:val="center"/>
              <w:rPr>
                <w:b/>
                <w:sz w:val="22"/>
              </w:rPr>
            </w:pPr>
          </w:p>
        </w:tc>
        <w:tc>
          <w:tcPr>
            <w:tcW w:w="1015" w:type="dxa"/>
            <w:gridSpan w:val="2"/>
            <w:tcBorders>
              <w:left w:val="single" w:sz="4" w:space="0" w:color="auto"/>
            </w:tcBorders>
            <w:shd w:val="clear" w:color="auto" w:fill="auto"/>
          </w:tcPr>
          <w:p w:rsidR="00945EF0" w:rsidRPr="002045F5" w:rsidRDefault="00945EF0" w:rsidP="001038B7">
            <w:pPr>
              <w:tabs>
                <w:tab w:val="left" w:pos="5290"/>
              </w:tabs>
              <w:jc w:val="center"/>
              <w:rPr>
                <w:b/>
                <w:sz w:val="22"/>
              </w:rPr>
            </w:pPr>
            <w:r w:rsidRPr="002045F5">
              <w:rPr>
                <w:b/>
                <w:sz w:val="22"/>
              </w:rPr>
              <w:t>-</w:t>
            </w:r>
          </w:p>
        </w:tc>
        <w:tc>
          <w:tcPr>
            <w:tcW w:w="1113" w:type="dxa"/>
            <w:tcBorders>
              <w:right w:val="single" w:sz="4" w:space="0" w:color="auto"/>
            </w:tcBorders>
            <w:shd w:val="clear" w:color="auto" w:fill="auto"/>
          </w:tcPr>
          <w:p w:rsidR="00945EF0" w:rsidRPr="002045F5" w:rsidRDefault="00945EF0" w:rsidP="001038B7">
            <w:pPr>
              <w:tabs>
                <w:tab w:val="left" w:pos="5290"/>
              </w:tabs>
              <w:jc w:val="center"/>
              <w:rPr>
                <w:b/>
                <w:sz w:val="22"/>
              </w:rPr>
            </w:pPr>
            <w:r w:rsidRPr="002045F5">
              <w:rPr>
                <w:b/>
                <w:sz w:val="22"/>
              </w:rPr>
              <w:t>-</w:t>
            </w:r>
          </w:p>
        </w:tc>
        <w:tc>
          <w:tcPr>
            <w:tcW w:w="1208" w:type="dxa"/>
            <w:vMerge/>
            <w:tcBorders>
              <w:left w:val="single" w:sz="4" w:space="0" w:color="auto"/>
              <w:right w:val="single" w:sz="4" w:space="0" w:color="auto"/>
            </w:tcBorders>
            <w:shd w:val="clear" w:color="auto" w:fill="auto"/>
          </w:tcPr>
          <w:p w:rsidR="00945EF0" w:rsidRPr="002045F5" w:rsidRDefault="00945EF0" w:rsidP="001038B7">
            <w:pPr>
              <w:tabs>
                <w:tab w:val="left" w:pos="5290"/>
              </w:tabs>
              <w:jc w:val="center"/>
              <w:rPr>
                <w:b/>
                <w:sz w:val="22"/>
              </w:rPr>
            </w:pPr>
          </w:p>
        </w:tc>
      </w:tr>
    </w:tbl>
    <w:p w:rsidR="00945EF0" w:rsidRPr="002045F5" w:rsidRDefault="00945EF0" w:rsidP="00E95FB1">
      <w:pPr>
        <w:rPr>
          <w:sz w:val="22"/>
          <w:lang w:val="ru-RU"/>
        </w:rPr>
      </w:pPr>
    </w:p>
    <w:p w:rsidR="00945EF0" w:rsidRPr="002045F5" w:rsidRDefault="00945EF0" w:rsidP="00E95FB1">
      <w:pPr>
        <w:rPr>
          <w:sz w:val="22"/>
          <w:lang w:val="ru-RU"/>
        </w:rPr>
      </w:pPr>
    </w:p>
    <w:p w:rsidR="00945EF0" w:rsidRPr="002045F5" w:rsidRDefault="00945EF0" w:rsidP="00E95FB1">
      <w:pPr>
        <w:rPr>
          <w:sz w:val="22"/>
          <w:lang w:val="ru-RU"/>
        </w:rPr>
      </w:pPr>
    </w:p>
    <w:tbl>
      <w:tblPr>
        <w:tblpPr w:leftFromText="180" w:rightFromText="180" w:vertAnchor="text" w:horzAnchor="page" w:tblpXSpec="center" w:tblpY="123"/>
        <w:tblW w:w="10803" w:type="dxa"/>
        <w:tblLayout w:type="fixed"/>
        <w:tblCellMar>
          <w:left w:w="30" w:type="dxa"/>
          <w:right w:w="30" w:type="dxa"/>
        </w:tblCellMar>
        <w:tblLook w:val="0000" w:firstRow="0" w:lastRow="0" w:firstColumn="0" w:lastColumn="0" w:noHBand="0" w:noVBand="0"/>
      </w:tblPr>
      <w:tblGrid>
        <w:gridCol w:w="881"/>
        <w:gridCol w:w="2835"/>
        <w:gridCol w:w="1049"/>
        <w:gridCol w:w="1474"/>
        <w:gridCol w:w="1474"/>
        <w:gridCol w:w="114"/>
        <w:gridCol w:w="1360"/>
        <w:gridCol w:w="199"/>
        <w:gridCol w:w="1417"/>
      </w:tblGrid>
      <w:tr w:rsidR="001E16DF" w:rsidRPr="002045F5" w:rsidTr="00670D96">
        <w:trPr>
          <w:trHeight w:val="65"/>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r w:rsidRPr="002045F5">
              <w:rPr>
                <w:rFonts w:eastAsia="Calibri"/>
                <w:b/>
                <w:color w:val="000000"/>
                <w:sz w:val="22"/>
              </w:rPr>
              <w:t>Оперативна ціль/завдання</w:t>
            </w:r>
          </w:p>
        </w:tc>
        <w:tc>
          <w:tcPr>
            <w:tcW w:w="7087" w:type="dxa"/>
            <w:gridSpan w:val="7"/>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rPr>
                <w:rFonts w:eastAsia="Calibri"/>
                <w:color w:val="000000"/>
                <w:sz w:val="22"/>
              </w:rPr>
            </w:pPr>
            <w:r w:rsidRPr="002045F5">
              <w:rPr>
                <w:sz w:val="22"/>
              </w:rPr>
              <w:t xml:space="preserve">Людський розвиток через інновації управління та довіру до влади. Формування сучасного інклюзивного  </w:t>
            </w:r>
            <w:proofErr w:type="spellStart"/>
            <w:r w:rsidRPr="002045F5">
              <w:rPr>
                <w:sz w:val="22"/>
              </w:rPr>
              <w:t>освітньо</w:t>
            </w:r>
            <w:proofErr w:type="spellEnd"/>
            <w:r w:rsidRPr="002045F5">
              <w:rPr>
                <w:sz w:val="22"/>
              </w:rPr>
              <w:t>-культурного та спортивного простору для розвитку</w:t>
            </w:r>
          </w:p>
        </w:tc>
      </w:tr>
      <w:tr w:rsidR="001E16DF" w:rsidRPr="002045F5" w:rsidTr="00670D96">
        <w:trPr>
          <w:trHeight w:val="290"/>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r w:rsidRPr="002045F5">
              <w:rPr>
                <w:rFonts w:eastAsia="Calibri"/>
                <w:b/>
                <w:color w:val="000000"/>
                <w:sz w:val="22"/>
              </w:rPr>
              <w:t>Назва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rPr>
                <w:rFonts w:eastAsia="Calibri"/>
                <w:sz w:val="22"/>
              </w:rPr>
            </w:pPr>
            <w:r w:rsidRPr="002045F5">
              <w:rPr>
                <w:sz w:val="22"/>
              </w:rPr>
              <w:t xml:space="preserve">Капітальний ремонт будівлі Сєвєродонецького міжшкільного ресурсного центру за </w:t>
            </w:r>
            <w:proofErr w:type="spellStart"/>
            <w:r w:rsidRPr="002045F5">
              <w:rPr>
                <w:sz w:val="22"/>
              </w:rPr>
              <w:t>адресою</w:t>
            </w:r>
            <w:proofErr w:type="spellEnd"/>
            <w:r w:rsidRPr="002045F5">
              <w:rPr>
                <w:sz w:val="22"/>
              </w:rPr>
              <w:t xml:space="preserve"> проспект Гвардійський</w:t>
            </w:r>
            <w:r w:rsidR="00371DC9" w:rsidRPr="002045F5">
              <w:rPr>
                <w:sz w:val="22"/>
              </w:rPr>
              <w:t>,</w:t>
            </w:r>
            <w:r w:rsidRPr="002045F5">
              <w:rPr>
                <w:sz w:val="22"/>
              </w:rPr>
              <w:t xml:space="preserve"> 22-б </w:t>
            </w:r>
          </w:p>
        </w:tc>
      </w:tr>
      <w:tr w:rsidR="001E16DF" w:rsidRPr="002045F5" w:rsidTr="00670D96">
        <w:trPr>
          <w:trHeight w:val="1074"/>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r w:rsidRPr="002045F5">
              <w:rPr>
                <w:rFonts w:eastAsia="Calibri"/>
                <w:b/>
                <w:color w:val="000000"/>
                <w:sz w:val="22"/>
              </w:rPr>
              <w:t>Ціль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rPr>
                <w:sz w:val="22"/>
              </w:rPr>
            </w:pPr>
            <w:r w:rsidRPr="002045F5">
              <w:rPr>
                <w:sz w:val="22"/>
              </w:rPr>
              <w:t xml:space="preserve">Створення безпечних сприятливих умов для здійснення освітньої діяльності; ресурсного забезпечення освітнього процесу в закладах освіти; </w:t>
            </w:r>
          </w:p>
          <w:p w:rsidR="001E16DF" w:rsidRPr="002045F5" w:rsidRDefault="001E16DF" w:rsidP="00524DBF">
            <w:pPr>
              <w:autoSpaceDE w:val="0"/>
              <w:autoSpaceDN w:val="0"/>
              <w:adjustRightInd w:val="0"/>
              <w:rPr>
                <w:sz w:val="22"/>
              </w:rPr>
            </w:pPr>
            <w:r w:rsidRPr="002045F5">
              <w:rPr>
                <w:sz w:val="22"/>
              </w:rPr>
              <w:t xml:space="preserve">забезпечення вивчення окремих предметів інваріантної та варіативної складових освітніх програм закладів освіти міста; для впровадження якісної </w:t>
            </w:r>
            <w:proofErr w:type="spellStart"/>
            <w:r w:rsidRPr="002045F5">
              <w:rPr>
                <w:sz w:val="22"/>
              </w:rPr>
              <w:t>освітньо</w:t>
            </w:r>
            <w:proofErr w:type="spellEnd"/>
            <w:r w:rsidRPr="002045F5">
              <w:rPr>
                <w:sz w:val="22"/>
              </w:rPr>
              <w:t xml:space="preserve">-виховної, культурно-просвітницької діяльності, </w:t>
            </w:r>
          </w:p>
          <w:p w:rsidR="001E16DF" w:rsidRPr="002045F5" w:rsidRDefault="001E16DF" w:rsidP="00524DBF">
            <w:pPr>
              <w:autoSpaceDE w:val="0"/>
              <w:autoSpaceDN w:val="0"/>
              <w:adjustRightInd w:val="0"/>
              <w:rPr>
                <w:sz w:val="22"/>
              </w:rPr>
            </w:pPr>
            <w:r w:rsidRPr="002045F5">
              <w:rPr>
                <w:sz w:val="22"/>
              </w:rPr>
              <w:t xml:space="preserve">збільшення та охоплення  позашкільною освітою дітей і молоді міста;  </w:t>
            </w:r>
          </w:p>
          <w:p w:rsidR="001E16DF" w:rsidRPr="002045F5" w:rsidRDefault="001E16DF" w:rsidP="00524DBF">
            <w:pPr>
              <w:autoSpaceDE w:val="0"/>
              <w:autoSpaceDN w:val="0"/>
              <w:adjustRightInd w:val="0"/>
              <w:rPr>
                <w:sz w:val="22"/>
              </w:rPr>
            </w:pPr>
            <w:r w:rsidRPr="002045F5">
              <w:rPr>
                <w:sz w:val="22"/>
              </w:rPr>
              <w:t xml:space="preserve">відповідність соціальної  інфраструктури  потребам Сєвєродонецької міської територіальної   громади; </w:t>
            </w:r>
          </w:p>
          <w:p w:rsidR="001E16DF" w:rsidRPr="002045F5" w:rsidRDefault="00B937F5" w:rsidP="00524DBF">
            <w:pPr>
              <w:autoSpaceDE w:val="0"/>
              <w:autoSpaceDN w:val="0"/>
              <w:adjustRightInd w:val="0"/>
              <w:rPr>
                <w:sz w:val="22"/>
              </w:rPr>
            </w:pPr>
            <w:r w:rsidRPr="002045F5">
              <w:rPr>
                <w:sz w:val="22"/>
              </w:rPr>
              <w:t>в</w:t>
            </w:r>
            <w:r w:rsidR="001E16DF" w:rsidRPr="002045F5">
              <w:rPr>
                <w:sz w:val="22"/>
              </w:rPr>
              <w:t xml:space="preserve">провадження ліцензійної освітньої діяльності у сфері професійної (професійно-технічної) освіти здобувачів освіти і дорослого населення та надання на договірній основі відповідні освітні послуги; </w:t>
            </w:r>
          </w:p>
          <w:p w:rsidR="001E16DF" w:rsidRPr="002045F5" w:rsidRDefault="001E16DF" w:rsidP="00524DBF">
            <w:pPr>
              <w:autoSpaceDE w:val="0"/>
              <w:autoSpaceDN w:val="0"/>
              <w:adjustRightInd w:val="0"/>
              <w:rPr>
                <w:sz w:val="22"/>
              </w:rPr>
            </w:pPr>
            <w:r w:rsidRPr="002045F5">
              <w:rPr>
                <w:sz w:val="22"/>
              </w:rPr>
              <w:t>забезпечення реалізації права на здобуття загальноосвітньої, позашкільної, профорієнтаційної, профільної, допрофесійної та професійної освіти; для формування соціальної, комунікативної, інформаційної, технічної компетенції здобувачів освіти та громадян на допрофесійному рівні, спрямування їх щодо майбутньої професійної діяльності, для задоволення потреб Сєвєродонецької міської територіальної громади;</w:t>
            </w:r>
          </w:p>
          <w:p w:rsidR="001E16DF" w:rsidRPr="002045F5" w:rsidRDefault="001E16DF" w:rsidP="00524DBF">
            <w:pPr>
              <w:autoSpaceDE w:val="0"/>
              <w:autoSpaceDN w:val="0"/>
              <w:adjustRightInd w:val="0"/>
              <w:rPr>
                <w:sz w:val="22"/>
              </w:rPr>
            </w:pPr>
            <w:r w:rsidRPr="002045F5">
              <w:rPr>
                <w:sz w:val="22"/>
              </w:rPr>
              <w:t xml:space="preserve">Капітальний ремонт будівлі, кабінетів, санвузлів, заміна системи  </w:t>
            </w:r>
            <w:proofErr w:type="spellStart"/>
            <w:r w:rsidRPr="002045F5">
              <w:rPr>
                <w:sz w:val="22"/>
              </w:rPr>
              <w:t>електро</w:t>
            </w:r>
            <w:proofErr w:type="spellEnd"/>
            <w:r w:rsidRPr="002045F5">
              <w:rPr>
                <w:sz w:val="22"/>
              </w:rPr>
              <w:t>-, тепло- , водопостачання та водовідведення;</w:t>
            </w:r>
          </w:p>
          <w:p w:rsidR="001E16DF" w:rsidRPr="002045F5" w:rsidRDefault="001E16DF" w:rsidP="00524DBF">
            <w:pPr>
              <w:autoSpaceDE w:val="0"/>
              <w:autoSpaceDN w:val="0"/>
              <w:adjustRightInd w:val="0"/>
              <w:rPr>
                <w:sz w:val="22"/>
              </w:rPr>
            </w:pPr>
            <w:r w:rsidRPr="002045F5">
              <w:rPr>
                <w:sz w:val="22"/>
              </w:rPr>
              <w:t>утеплення зовнішніх стін будівлі;</w:t>
            </w:r>
          </w:p>
          <w:p w:rsidR="001E16DF" w:rsidRPr="002045F5" w:rsidRDefault="001E16DF" w:rsidP="00524DBF">
            <w:pPr>
              <w:autoSpaceDE w:val="0"/>
              <w:autoSpaceDN w:val="0"/>
              <w:adjustRightInd w:val="0"/>
              <w:rPr>
                <w:sz w:val="22"/>
              </w:rPr>
            </w:pPr>
            <w:r w:rsidRPr="002045F5">
              <w:rPr>
                <w:sz w:val="22"/>
              </w:rPr>
              <w:t xml:space="preserve">побудова </w:t>
            </w:r>
            <w:proofErr w:type="spellStart"/>
            <w:r w:rsidRPr="002045F5">
              <w:rPr>
                <w:sz w:val="22"/>
              </w:rPr>
              <w:t>автомайданчика</w:t>
            </w:r>
            <w:proofErr w:type="spellEnd"/>
            <w:r w:rsidRPr="002045F5">
              <w:rPr>
                <w:sz w:val="22"/>
              </w:rPr>
              <w:t>, пандусу та укриття;</w:t>
            </w:r>
          </w:p>
          <w:p w:rsidR="001E16DF" w:rsidRPr="002045F5" w:rsidRDefault="001E16DF" w:rsidP="00524DBF">
            <w:pPr>
              <w:autoSpaceDE w:val="0"/>
              <w:autoSpaceDN w:val="0"/>
              <w:adjustRightInd w:val="0"/>
              <w:rPr>
                <w:sz w:val="22"/>
              </w:rPr>
            </w:pPr>
            <w:r w:rsidRPr="002045F5">
              <w:rPr>
                <w:sz w:val="22"/>
              </w:rPr>
              <w:t>заміна віконних та дверних блоків.</w:t>
            </w:r>
          </w:p>
        </w:tc>
      </w:tr>
      <w:tr w:rsidR="001E16DF" w:rsidRPr="002045F5" w:rsidTr="00670D96">
        <w:trPr>
          <w:trHeight w:val="290"/>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r w:rsidRPr="002045F5">
              <w:rPr>
                <w:rFonts w:eastAsia="Calibri"/>
                <w:b/>
                <w:color w:val="000000"/>
                <w:sz w:val="22"/>
              </w:rPr>
              <w:t>Територія, на яку матиме вплив реалізація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rPr>
                <w:rFonts w:eastAsia="Calibri"/>
                <w:color w:val="000000"/>
                <w:sz w:val="22"/>
              </w:rPr>
            </w:pPr>
            <w:r w:rsidRPr="002045F5">
              <w:rPr>
                <w:rFonts w:eastAsia="Calibri"/>
                <w:color w:val="000000"/>
                <w:sz w:val="22"/>
              </w:rPr>
              <w:t>Сєвєродонецька міська територіальна громада</w:t>
            </w:r>
          </w:p>
        </w:tc>
      </w:tr>
      <w:tr w:rsidR="001E16DF" w:rsidRPr="002045F5" w:rsidTr="00670D96">
        <w:trPr>
          <w:trHeight w:val="281"/>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r w:rsidRPr="002045F5">
              <w:rPr>
                <w:rFonts w:eastAsia="Calibri"/>
                <w:b/>
                <w:color w:val="000000"/>
                <w:sz w:val="22"/>
              </w:rPr>
              <w:t>Чисельність населення, на яке матиме вплив реалізація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rPr>
                <w:rFonts w:eastAsia="Calibri"/>
                <w:color w:val="000000"/>
                <w:sz w:val="22"/>
              </w:rPr>
            </w:pPr>
            <w:r w:rsidRPr="002045F5">
              <w:rPr>
                <w:sz w:val="22"/>
              </w:rPr>
              <w:t>70 000  осіб</w:t>
            </w:r>
          </w:p>
        </w:tc>
      </w:tr>
      <w:tr w:rsidR="001E16DF" w:rsidRPr="002045F5" w:rsidTr="00670D96">
        <w:trPr>
          <w:trHeight w:val="162"/>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sz w:val="22"/>
              </w:rPr>
            </w:pPr>
            <w:r w:rsidRPr="002045F5">
              <w:rPr>
                <w:rFonts w:eastAsia="Calibri"/>
                <w:b/>
                <w:sz w:val="22"/>
              </w:rPr>
              <w:t>Опис проблеми, на вирішення якої спрямований проект</w:t>
            </w:r>
          </w:p>
        </w:tc>
        <w:tc>
          <w:tcPr>
            <w:tcW w:w="7087" w:type="dxa"/>
            <w:gridSpan w:val="7"/>
            <w:tcBorders>
              <w:top w:val="single" w:sz="6" w:space="0" w:color="auto"/>
              <w:left w:val="single" w:sz="6" w:space="0" w:color="auto"/>
              <w:bottom w:val="single" w:sz="6" w:space="0" w:color="auto"/>
              <w:right w:val="single" w:sz="6" w:space="0" w:color="auto"/>
            </w:tcBorders>
          </w:tcPr>
          <w:p w:rsidR="001E16DF" w:rsidRPr="002045F5" w:rsidRDefault="001E16DF" w:rsidP="00524DBF">
            <w:pPr>
              <w:shd w:val="clear" w:color="auto" w:fill="FFFFFF"/>
              <w:rPr>
                <w:sz w:val="22"/>
              </w:rPr>
            </w:pPr>
            <w:r w:rsidRPr="002045F5">
              <w:rPr>
                <w:sz w:val="22"/>
              </w:rPr>
              <w:t xml:space="preserve">У зв’язку зі збройною агресією </w:t>
            </w:r>
            <w:r w:rsidR="004F48B8" w:rsidRPr="002045F5">
              <w:rPr>
                <w:sz w:val="22"/>
              </w:rPr>
              <w:t>РФ</w:t>
            </w:r>
            <w:r w:rsidRPr="002045F5">
              <w:rPr>
                <w:sz w:val="22"/>
              </w:rPr>
              <w:t xml:space="preserve"> будівля міжшкільного ресурсного центру зазнала </w:t>
            </w:r>
            <w:r w:rsidR="004F48B8" w:rsidRPr="002045F5">
              <w:rPr>
                <w:sz w:val="22"/>
              </w:rPr>
              <w:t>руйнувань.</w:t>
            </w:r>
            <w:r w:rsidRPr="002045F5">
              <w:rPr>
                <w:sz w:val="22"/>
              </w:rPr>
              <w:t xml:space="preserve"> </w:t>
            </w:r>
            <w:r w:rsidR="004F48B8" w:rsidRPr="002045F5">
              <w:rPr>
                <w:sz w:val="22"/>
              </w:rPr>
              <w:t>А</w:t>
            </w:r>
            <w:r w:rsidRPr="002045F5">
              <w:rPr>
                <w:sz w:val="22"/>
              </w:rPr>
              <w:t xml:space="preserve">би відновити освітній процес на належному рівні та створити безпечні та комфортні умови перебування здобувачів освіти у закладі є нагальна потреба провести капітальний ремонт будівлі Сєвєродонецького міжшкільного ресурсного центру, за </w:t>
            </w:r>
            <w:proofErr w:type="spellStart"/>
            <w:r w:rsidRPr="002045F5">
              <w:rPr>
                <w:sz w:val="22"/>
              </w:rPr>
              <w:t>адресою</w:t>
            </w:r>
            <w:proofErr w:type="spellEnd"/>
            <w:r w:rsidRPr="002045F5">
              <w:rPr>
                <w:sz w:val="22"/>
              </w:rPr>
              <w:t xml:space="preserve"> проспект </w:t>
            </w:r>
            <w:r w:rsidRPr="002045F5">
              <w:rPr>
                <w:sz w:val="22"/>
              </w:rPr>
              <w:lastRenderedPageBreak/>
              <w:t xml:space="preserve">Гвардійський 22-б  з урахуванням енергоефективності будівлі, побудувати сучасне укриття та </w:t>
            </w:r>
            <w:proofErr w:type="spellStart"/>
            <w:r w:rsidRPr="002045F5">
              <w:rPr>
                <w:sz w:val="22"/>
              </w:rPr>
              <w:t>автомайданчик</w:t>
            </w:r>
            <w:proofErr w:type="spellEnd"/>
            <w:r w:rsidRPr="002045F5">
              <w:rPr>
                <w:sz w:val="22"/>
              </w:rPr>
              <w:t xml:space="preserve"> для початкового водіння автомобіля.</w:t>
            </w:r>
          </w:p>
          <w:p w:rsidR="001E16DF" w:rsidRPr="002045F5" w:rsidRDefault="001E16DF" w:rsidP="00524DBF">
            <w:pPr>
              <w:shd w:val="clear" w:color="auto" w:fill="FFFFFF"/>
              <w:rPr>
                <w:sz w:val="22"/>
              </w:rPr>
            </w:pPr>
            <w:proofErr w:type="spellStart"/>
            <w:r w:rsidRPr="002045F5">
              <w:rPr>
                <w:sz w:val="22"/>
              </w:rPr>
              <w:t>Проєкт</w:t>
            </w:r>
            <w:proofErr w:type="spellEnd"/>
            <w:r w:rsidRPr="002045F5">
              <w:rPr>
                <w:sz w:val="22"/>
              </w:rPr>
              <w:t xml:space="preserve"> планується реалізувати шляхом підготовки </w:t>
            </w:r>
            <w:proofErr w:type="spellStart"/>
            <w:r w:rsidRPr="002045F5">
              <w:rPr>
                <w:sz w:val="22"/>
              </w:rPr>
              <w:t>проєктно</w:t>
            </w:r>
            <w:proofErr w:type="spellEnd"/>
            <w:r w:rsidRPr="002045F5">
              <w:rPr>
                <w:sz w:val="22"/>
              </w:rPr>
              <w:t>-кошторисної документації та отримання позитивного експертного звіту.</w:t>
            </w:r>
          </w:p>
          <w:p w:rsidR="001E16DF" w:rsidRPr="002045F5" w:rsidRDefault="001E16DF" w:rsidP="004F48B8">
            <w:pPr>
              <w:autoSpaceDE w:val="0"/>
              <w:autoSpaceDN w:val="0"/>
              <w:adjustRightInd w:val="0"/>
              <w:rPr>
                <w:rFonts w:eastAsia="Calibri"/>
                <w:color w:val="000000"/>
                <w:sz w:val="22"/>
              </w:rPr>
            </w:pPr>
            <w:r w:rsidRPr="002045F5">
              <w:rPr>
                <w:sz w:val="22"/>
              </w:rPr>
              <w:t xml:space="preserve">Згідно з кошторисною документацією будуть виконані будівельно-монтажні роботи. </w:t>
            </w:r>
            <w:proofErr w:type="spellStart"/>
            <w:r w:rsidRPr="002045F5">
              <w:rPr>
                <w:sz w:val="22"/>
              </w:rPr>
              <w:t>Проєктом</w:t>
            </w:r>
            <w:proofErr w:type="spellEnd"/>
            <w:r w:rsidRPr="002045F5">
              <w:rPr>
                <w:sz w:val="22"/>
              </w:rPr>
              <w:t xml:space="preserve"> передбачено капітальний ремонт навчальних кабінетів, актової зали, майстерень для занять ресурсної бази загальноосвітніх шкіл міста при вивченні окремих предметів освітньої програми та гуртків, будівництво </w:t>
            </w:r>
            <w:proofErr w:type="spellStart"/>
            <w:r w:rsidRPr="002045F5">
              <w:rPr>
                <w:sz w:val="22"/>
              </w:rPr>
              <w:t>автомайданчика</w:t>
            </w:r>
            <w:proofErr w:type="spellEnd"/>
            <w:r w:rsidRPr="002045F5">
              <w:rPr>
                <w:sz w:val="22"/>
              </w:rPr>
              <w:t xml:space="preserve">, облаштування кабінетів для педагогічного персоналу, санвузлів, створення умов для дітей з особливими освітніми потребами. Для захисту інтересів маломобільних верств населення при вході до закладу буде встановлено пандус з метою обслуговування та безперешкодного доступу до приміщень.  Також передбачається заміна віконних та дверних блоків, утеплення зовнішніх стін, перекриття енергозберігаючим теплоізоляційним матеріалом "ROCKWOOL", "SUPERROCK", встановлення тепловідбивної теплоізоляції між приладами опалення і зовнішньою стіною. Заплановано благоустрій території, ремонт мереж </w:t>
            </w:r>
            <w:proofErr w:type="spellStart"/>
            <w:r w:rsidRPr="002045F5">
              <w:rPr>
                <w:sz w:val="22"/>
              </w:rPr>
              <w:t>електро</w:t>
            </w:r>
            <w:proofErr w:type="spellEnd"/>
            <w:r w:rsidRPr="002045F5">
              <w:rPr>
                <w:sz w:val="22"/>
              </w:rPr>
              <w:t>-, тепло-, водопостачання та водовідведення, реконструкція зовнішнього освітлення. Для забезпечення безпечних умов для здійснення освітньої діяльності передбачено побудову укриття.</w:t>
            </w:r>
          </w:p>
        </w:tc>
      </w:tr>
      <w:tr w:rsidR="001E16DF" w:rsidRPr="002045F5" w:rsidTr="00670D96">
        <w:trPr>
          <w:trHeight w:val="862"/>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sz w:val="22"/>
              </w:rPr>
            </w:pPr>
            <w:r w:rsidRPr="002045F5">
              <w:rPr>
                <w:rFonts w:eastAsia="Calibri"/>
                <w:b/>
                <w:sz w:val="22"/>
              </w:rPr>
              <w:t>Очікувані якісні результати від реалізації проекту</w:t>
            </w:r>
          </w:p>
          <w:p w:rsidR="001E16DF" w:rsidRPr="002045F5" w:rsidRDefault="001E16DF" w:rsidP="00524DBF">
            <w:pPr>
              <w:autoSpaceDE w:val="0"/>
              <w:autoSpaceDN w:val="0"/>
              <w:adjustRightInd w:val="0"/>
              <w:rPr>
                <w:rFonts w:eastAsia="Calibri"/>
                <w:b/>
                <w:sz w:val="22"/>
              </w:rPr>
            </w:pPr>
          </w:p>
        </w:tc>
        <w:tc>
          <w:tcPr>
            <w:tcW w:w="7087" w:type="dxa"/>
            <w:gridSpan w:val="7"/>
            <w:tcBorders>
              <w:top w:val="single" w:sz="6" w:space="0" w:color="auto"/>
              <w:left w:val="single" w:sz="6" w:space="0" w:color="auto"/>
              <w:bottom w:val="single" w:sz="6" w:space="0" w:color="auto"/>
              <w:right w:val="single" w:sz="6" w:space="0" w:color="auto"/>
            </w:tcBorders>
          </w:tcPr>
          <w:p w:rsidR="001E16DF" w:rsidRPr="002045F5" w:rsidRDefault="001E16DF" w:rsidP="00524DBF">
            <w:pPr>
              <w:shd w:val="clear" w:color="auto" w:fill="FFFFFF"/>
              <w:rPr>
                <w:sz w:val="22"/>
              </w:rPr>
            </w:pPr>
            <w:r w:rsidRPr="002045F5">
              <w:rPr>
                <w:sz w:val="22"/>
              </w:rPr>
              <w:t>- забезпечення населення можливостями для реалізації його конституційних прав, пов’язаних із освітою;</w:t>
            </w:r>
          </w:p>
          <w:p w:rsidR="001E16DF" w:rsidRPr="002045F5" w:rsidRDefault="001E16DF" w:rsidP="00524DBF">
            <w:pPr>
              <w:shd w:val="clear" w:color="auto" w:fill="FFFFFF"/>
              <w:rPr>
                <w:sz w:val="22"/>
              </w:rPr>
            </w:pPr>
            <w:r w:rsidRPr="002045F5">
              <w:rPr>
                <w:sz w:val="22"/>
              </w:rPr>
              <w:t>- створення умов для повернення ВПО до громади;</w:t>
            </w:r>
          </w:p>
          <w:p w:rsidR="001E16DF" w:rsidRPr="002045F5" w:rsidRDefault="001E16DF" w:rsidP="00524DBF">
            <w:pPr>
              <w:shd w:val="clear" w:color="auto" w:fill="FFFFFF"/>
              <w:rPr>
                <w:sz w:val="22"/>
              </w:rPr>
            </w:pPr>
            <w:r w:rsidRPr="002045F5">
              <w:rPr>
                <w:color w:val="FF0000"/>
                <w:sz w:val="22"/>
              </w:rPr>
              <w:t xml:space="preserve">- </w:t>
            </w:r>
            <w:r w:rsidRPr="002045F5">
              <w:rPr>
                <w:sz w:val="22"/>
              </w:rPr>
              <w:t xml:space="preserve"> вирішення питань в межах статутної діяльності.</w:t>
            </w:r>
          </w:p>
        </w:tc>
      </w:tr>
      <w:tr w:rsidR="001E16DF" w:rsidRPr="002045F5" w:rsidTr="00670D96">
        <w:trPr>
          <w:trHeight w:val="581"/>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sz w:val="22"/>
              </w:rPr>
            </w:pPr>
            <w:r w:rsidRPr="002045F5">
              <w:rPr>
                <w:rFonts w:eastAsia="Calibri"/>
                <w:b/>
                <w:sz w:val="22"/>
              </w:rPr>
              <w:t>Очікувані кількісні результати від реалізації проекту  (індикатори)</w:t>
            </w:r>
          </w:p>
        </w:tc>
        <w:tc>
          <w:tcPr>
            <w:tcW w:w="4111" w:type="dxa"/>
            <w:gridSpan w:val="4"/>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jc w:val="center"/>
              <w:rPr>
                <w:rFonts w:eastAsia="Calibri"/>
                <w:b/>
                <w:color w:val="000000"/>
                <w:sz w:val="22"/>
              </w:rPr>
            </w:pPr>
            <w:r w:rsidRPr="002045F5">
              <w:rPr>
                <w:rFonts w:eastAsia="Calibri"/>
                <w:b/>
                <w:color w:val="000000"/>
                <w:sz w:val="22"/>
              </w:rPr>
              <w:t>Найменування показника</w:t>
            </w:r>
          </w:p>
        </w:tc>
        <w:tc>
          <w:tcPr>
            <w:tcW w:w="1559" w:type="dxa"/>
            <w:gridSpan w:val="2"/>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jc w:val="center"/>
              <w:rPr>
                <w:rFonts w:eastAsia="Calibri"/>
                <w:b/>
                <w:color w:val="000000"/>
                <w:sz w:val="22"/>
              </w:rPr>
            </w:pPr>
            <w:r w:rsidRPr="002045F5">
              <w:rPr>
                <w:rFonts w:eastAsia="Calibri"/>
                <w:b/>
                <w:color w:val="000000"/>
                <w:sz w:val="22"/>
              </w:rPr>
              <w:t>Одиниця вимірювання</w:t>
            </w:r>
          </w:p>
        </w:tc>
        <w:tc>
          <w:tcPr>
            <w:tcW w:w="1417" w:type="dxa"/>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jc w:val="center"/>
              <w:rPr>
                <w:rFonts w:eastAsia="Calibri"/>
                <w:b/>
                <w:color w:val="000000"/>
                <w:sz w:val="22"/>
              </w:rPr>
            </w:pPr>
            <w:r w:rsidRPr="002045F5">
              <w:rPr>
                <w:rFonts w:eastAsia="Calibri"/>
                <w:b/>
                <w:color w:val="000000"/>
                <w:sz w:val="22"/>
              </w:rPr>
              <w:t>Прогнозне (цільове) значення</w:t>
            </w:r>
          </w:p>
        </w:tc>
      </w:tr>
      <w:tr w:rsidR="001E16DF" w:rsidRPr="002045F5" w:rsidTr="00670D96">
        <w:trPr>
          <w:trHeight w:val="477"/>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sz w:val="22"/>
              </w:rPr>
            </w:pPr>
          </w:p>
        </w:tc>
        <w:tc>
          <w:tcPr>
            <w:tcW w:w="2835" w:type="dxa"/>
            <w:vMerge w:val="restart"/>
            <w:tcBorders>
              <w:top w:val="single" w:sz="6" w:space="0" w:color="auto"/>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sz w:val="22"/>
              </w:rPr>
            </w:pPr>
          </w:p>
        </w:tc>
        <w:tc>
          <w:tcPr>
            <w:tcW w:w="4111" w:type="dxa"/>
            <w:gridSpan w:val="4"/>
            <w:tcBorders>
              <w:top w:val="single" w:sz="6" w:space="0" w:color="auto"/>
              <w:left w:val="single" w:sz="6" w:space="0" w:color="auto"/>
              <w:right w:val="single" w:sz="6" w:space="0" w:color="auto"/>
            </w:tcBorders>
          </w:tcPr>
          <w:p w:rsidR="001E16DF" w:rsidRPr="002045F5" w:rsidRDefault="001E16DF" w:rsidP="00524DBF">
            <w:pPr>
              <w:autoSpaceDE w:val="0"/>
              <w:autoSpaceDN w:val="0"/>
              <w:adjustRightInd w:val="0"/>
              <w:rPr>
                <w:rFonts w:eastAsia="Calibri"/>
                <w:sz w:val="22"/>
              </w:rPr>
            </w:pPr>
            <w:r w:rsidRPr="002045F5">
              <w:rPr>
                <w:rFonts w:eastAsia="Calibri"/>
                <w:sz w:val="22"/>
              </w:rPr>
              <w:t>Навчальний корпус:</w:t>
            </w:r>
          </w:p>
          <w:p w:rsidR="001E16DF" w:rsidRPr="002045F5" w:rsidRDefault="001E16DF" w:rsidP="00524DBF">
            <w:pPr>
              <w:autoSpaceDE w:val="0"/>
              <w:autoSpaceDN w:val="0"/>
              <w:adjustRightInd w:val="0"/>
              <w:rPr>
                <w:rFonts w:eastAsia="Calibri"/>
                <w:sz w:val="22"/>
              </w:rPr>
            </w:pPr>
            <w:r w:rsidRPr="002045F5">
              <w:rPr>
                <w:rFonts w:eastAsia="Calibri"/>
                <w:sz w:val="22"/>
              </w:rPr>
              <w:t>капітальний ремонт даху</w:t>
            </w:r>
          </w:p>
        </w:tc>
        <w:tc>
          <w:tcPr>
            <w:tcW w:w="1559" w:type="dxa"/>
            <w:gridSpan w:val="2"/>
            <w:tcBorders>
              <w:top w:val="single" w:sz="6" w:space="0" w:color="auto"/>
              <w:left w:val="single" w:sz="6" w:space="0" w:color="auto"/>
              <w:right w:val="single" w:sz="6" w:space="0" w:color="auto"/>
            </w:tcBorders>
          </w:tcPr>
          <w:p w:rsidR="001E16DF" w:rsidRPr="002045F5" w:rsidRDefault="001E16DF" w:rsidP="00524DBF">
            <w:pPr>
              <w:autoSpaceDE w:val="0"/>
              <w:autoSpaceDN w:val="0"/>
              <w:adjustRightInd w:val="0"/>
              <w:jc w:val="center"/>
              <w:rPr>
                <w:sz w:val="22"/>
              </w:rPr>
            </w:pPr>
          </w:p>
          <w:p w:rsidR="001E16DF" w:rsidRPr="002045F5" w:rsidRDefault="001E16DF" w:rsidP="00524DBF">
            <w:pPr>
              <w:autoSpaceDE w:val="0"/>
              <w:autoSpaceDN w:val="0"/>
              <w:adjustRightInd w:val="0"/>
              <w:jc w:val="center"/>
              <w:rPr>
                <w:rFonts w:eastAsia="Calibri"/>
                <w:sz w:val="22"/>
              </w:rPr>
            </w:pPr>
            <w:r w:rsidRPr="002045F5">
              <w:rPr>
                <w:sz w:val="22"/>
              </w:rPr>
              <w:t>м</w:t>
            </w:r>
            <w:r w:rsidRPr="002045F5">
              <w:rPr>
                <w:sz w:val="22"/>
                <w:vertAlign w:val="superscript"/>
              </w:rPr>
              <w:t>2</w:t>
            </w:r>
          </w:p>
        </w:tc>
        <w:tc>
          <w:tcPr>
            <w:tcW w:w="1417" w:type="dxa"/>
            <w:tcBorders>
              <w:top w:val="single" w:sz="6" w:space="0" w:color="auto"/>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p>
          <w:p w:rsidR="001E16DF" w:rsidRPr="002045F5" w:rsidRDefault="001E16DF" w:rsidP="00524DBF">
            <w:pPr>
              <w:autoSpaceDE w:val="0"/>
              <w:autoSpaceDN w:val="0"/>
              <w:adjustRightInd w:val="0"/>
              <w:jc w:val="center"/>
              <w:rPr>
                <w:rFonts w:eastAsia="Calibri"/>
                <w:sz w:val="22"/>
              </w:rPr>
            </w:pPr>
            <w:r w:rsidRPr="002045F5">
              <w:rPr>
                <w:rFonts w:eastAsia="Calibri"/>
                <w:sz w:val="22"/>
              </w:rPr>
              <w:t>1290</w:t>
            </w:r>
          </w:p>
        </w:tc>
      </w:tr>
      <w:tr w:rsidR="001E16DF" w:rsidRPr="002045F5" w:rsidTr="00670D96">
        <w:trPr>
          <w:trHeight w:val="87"/>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sz w:val="22"/>
              </w:rPr>
            </w:pPr>
          </w:p>
        </w:tc>
        <w:tc>
          <w:tcPr>
            <w:tcW w:w="2835" w:type="dxa"/>
            <w:vMerge/>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sz w:val="22"/>
              </w:rPr>
            </w:pPr>
          </w:p>
        </w:tc>
        <w:tc>
          <w:tcPr>
            <w:tcW w:w="4111" w:type="dxa"/>
            <w:gridSpan w:val="4"/>
            <w:tcBorders>
              <w:left w:val="single" w:sz="6" w:space="0" w:color="auto"/>
              <w:right w:val="single" w:sz="6" w:space="0" w:color="auto"/>
            </w:tcBorders>
          </w:tcPr>
          <w:p w:rsidR="001E16DF" w:rsidRPr="002045F5" w:rsidRDefault="001E16DF" w:rsidP="00524DBF">
            <w:pPr>
              <w:autoSpaceDE w:val="0"/>
              <w:autoSpaceDN w:val="0"/>
              <w:adjustRightInd w:val="0"/>
              <w:rPr>
                <w:rFonts w:eastAsia="Calibri"/>
                <w:sz w:val="22"/>
              </w:rPr>
            </w:pPr>
            <w:r w:rsidRPr="002045F5">
              <w:rPr>
                <w:rFonts w:eastAsia="Calibri"/>
                <w:sz w:val="22"/>
              </w:rPr>
              <w:t xml:space="preserve">Заміна вікон </w:t>
            </w:r>
          </w:p>
        </w:tc>
        <w:tc>
          <w:tcPr>
            <w:tcW w:w="1559" w:type="dxa"/>
            <w:gridSpan w:val="2"/>
            <w:tcBorders>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r w:rsidRPr="002045F5">
              <w:rPr>
                <w:rFonts w:eastAsia="Calibri"/>
                <w:sz w:val="22"/>
              </w:rPr>
              <w:t>одиниць</w:t>
            </w:r>
          </w:p>
        </w:tc>
        <w:tc>
          <w:tcPr>
            <w:tcW w:w="1417" w:type="dxa"/>
            <w:tcBorders>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r w:rsidRPr="002045F5">
              <w:rPr>
                <w:rFonts w:eastAsia="Calibri"/>
                <w:sz w:val="22"/>
              </w:rPr>
              <w:t>124</w:t>
            </w:r>
          </w:p>
        </w:tc>
      </w:tr>
      <w:tr w:rsidR="001E16DF" w:rsidRPr="002045F5" w:rsidTr="00670D96">
        <w:trPr>
          <w:trHeight w:val="65"/>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sz w:val="22"/>
              </w:rPr>
            </w:pPr>
          </w:p>
        </w:tc>
        <w:tc>
          <w:tcPr>
            <w:tcW w:w="2835" w:type="dxa"/>
            <w:vMerge/>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sz w:val="22"/>
              </w:rPr>
            </w:pPr>
          </w:p>
        </w:tc>
        <w:tc>
          <w:tcPr>
            <w:tcW w:w="4111" w:type="dxa"/>
            <w:gridSpan w:val="4"/>
            <w:tcBorders>
              <w:left w:val="single" w:sz="6" w:space="0" w:color="auto"/>
              <w:right w:val="single" w:sz="6" w:space="0" w:color="auto"/>
            </w:tcBorders>
          </w:tcPr>
          <w:p w:rsidR="001E16DF" w:rsidRPr="002045F5" w:rsidRDefault="001E16DF" w:rsidP="00524DBF">
            <w:pPr>
              <w:autoSpaceDE w:val="0"/>
              <w:autoSpaceDN w:val="0"/>
              <w:adjustRightInd w:val="0"/>
              <w:rPr>
                <w:rFonts w:eastAsia="Calibri"/>
                <w:sz w:val="22"/>
              </w:rPr>
            </w:pPr>
            <w:r w:rsidRPr="002045F5">
              <w:rPr>
                <w:rFonts w:eastAsia="Calibri"/>
                <w:sz w:val="22"/>
              </w:rPr>
              <w:t>Капітальний ремонт туалетних кімнат:</w:t>
            </w:r>
          </w:p>
        </w:tc>
        <w:tc>
          <w:tcPr>
            <w:tcW w:w="1559" w:type="dxa"/>
            <w:gridSpan w:val="2"/>
            <w:tcBorders>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r w:rsidRPr="002045F5">
              <w:rPr>
                <w:rFonts w:eastAsia="Calibri"/>
                <w:sz w:val="22"/>
              </w:rPr>
              <w:t>одиниць</w:t>
            </w:r>
          </w:p>
        </w:tc>
        <w:tc>
          <w:tcPr>
            <w:tcW w:w="1417" w:type="dxa"/>
            <w:tcBorders>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r w:rsidRPr="002045F5">
              <w:rPr>
                <w:rFonts w:eastAsia="Calibri"/>
                <w:sz w:val="22"/>
              </w:rPr>
              <w:t>4</w:t>
            </w:r>
          </w:p>
        </w:tc>
      </w:tr>
      <w:tr w:rsidR="001E16DF" w:rsidRPr="002045F5" w:rsidTr="00670D96">
        <w:trPr>
          <w:trHeight w:val="127"/>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sz w:val="22"/>
              </w:rPr>
            </w:pPr>
          </w:p>
        </w:tc>
        <w:tc>
          <w:tcPr>
            <w:tcW w:w="2835" w:type="dxa"/>
            <w:vMerge/>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sz w:val="22"/>
              </w:rPr>
            </w:pPr>
          </w:p>
        </w:tc>
        <w:tc>
          <w:tcPr>
            <w:tcW w:w="4111" w:type="dxa"/>
            <w:gridSpan w:val="4"/>
            <w:tcBorders>
              <w:left w:val="single" w:sz="6" w:space="0" w:color="auto"/>
              <w:right w:val="single" w:sz="6" w:space="0" w:color="auto"/>
            </w:tcBorders>
          </w:tcPr>
          <w:p w:rsidR="001E16DF" w:rsidRPr="002045F5" w:rsidRDefault="001E16DF" w:rsidP="00524DBF">
            <w:pPr>
              <w:autoSpaceDE w:val="0"/>
              <w:autoSpaceDN w:val="0"/>
              <w:adjustRightInd w:val="0"/>
              <w:rPr>
                <w:rFonts w:eastAsia="Calibri"/>
                <w:sz w:val="22"/>
              </w:rPr>
            </w:pPr>
            <w:r w:rsidRPr="002045F5">
              <w:rPr>
                <w:rFonts w:eastAsia="Calibri"/>
                <w:sz w:val="22"/>
              </w:rPr>
              <w:t>Капітальний ремонт:</w:t>
            </w:r>
          </w:p>
        </w:tc>
        <w:tc>
          <w:tcPr>
            <w:tcW w:w="1559" w:type="dxa"/>
            <w:gridSpan w:val="2"/>
            <w:tcBorders>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p>
        </w:tc>
        <w:tc>
          <w:tcPr>
            <w:tcW w:w="1417" w:type="dxa"/>
            <w:tcBorders>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p>
        </w:tc>
      </w:tr>
      <w:tr w:rsidR="001E16DF" w:rsidRPr="002045F5" w:rsidTr="00670D96">
        <w:trPr>
          <w:trHeight w:val="206"/>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sz w:val="22"/>
              </w:rPr>
            </w:pPr>
          </w:p>
        </w:tc>
        <w:tc>
          <w:tcPr>
            <w:tcW w:w="2835" w:type="dxa"/>
            <w:vMerge/>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sz w:val="22"/>
              </w:rPr>
            </w:pPr>
          </w:p>
        </w:tc>
        <w:tc>
          <w:tcPr>
            <w:tcW w:w="4111" w:type="dxa"/>
            <w:gridSpan w:val="4"/>
            <w:tcBorders>
              <w:left w:val="single" w:sz="6" w:space="0" w:color="auto"/>
              <w:right w:val="single" w:sz="6" w:space="0" w:color="auto"/>
            </w:tcBorders>
          </w:tcPr>
          <w:p w:rsidR="001E16DF" w:rsidRPr="002045F5" w:rsidRDefault="001E16DF" w:rsidP="00524DBF">
            <w:pPr>
              <w:autoSpaceDE w:val="0"/>
              <w:autoSpaceDN w:val="0"/>
              <w:adjustRightInd w:val="0"/>
              <w:rPr>
                <w:rFonts w:eastAsia="Calibri"/>
                <w:sz w:val="22"/>
              </w:rPr>
            </w:pPr>
            <w:r w:rsidRPr="002045F5">
              <w:rPr>
                <w:sz w:val="22"/>
              </w:rPr>
              <w:t>кабінети</w:t>
            </w:r>
          </w:p>
        </w:tc>
        <w:tc>
          <w:tcPr>
            <w:tcW w:w="1559" w:type="dxa"/>
            <w:gridSpan w:val="2"/>
            <w:tcBorders>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r w:rsidRPr="002045F5">
              <w:rPr>
                <w:rFonts w:eastAsia="Calibri"/>
                <w:sz w:val="22"/>
              </w:rPr>
              <w:t>одиниць</w:t>
            </w:r>
          </w:p>
        </w:tc>
        <w:tc>
          <w:tcPr>
            <w:tcW w:w="1417" w:type="dxa"/>
            <w:tcBorders>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r w:rsidRPr="002045F5">
              <w:rPr>
                <w:rFonts w:eastAsia="Calibri"/>
                <w:sz w:val="22"/>
              </w:rPr>
              <w:t>27</w:t>
            </w:r>
          </w:p>
        </w:tc>
      </w:tr>
      <w:tr w:rsidR="001E16DF" w:rsidRPr="002045F5" w:rsidTr="00670D96">
        <w:trPr>
          <w:trHeight w:val="121"/>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sz w:val="22"/>
              </w:rPr>
            </w:pPr>
          </w:p>
        </w:tc>
        <w:tc>
          <w:tcPr>
            <w:tcW w:w="2835" w:type="dxa"/>
            <w:vMerge/>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sz w:val="22"/>
              </w:rPr>
            </w:pPr>
          </w:p>
        </w:tc>
        <w:tc>
          <w:tcPr>
            <w:tcW w:w="4111" w:type="dxa"/>
            <w:gridSpan w:val="4"/>
            <w:tcBorders>
              <w:left w:val="single" w:sz="6" w:space="0" w:color="auto"/>
              <w:right w:val="single" w:sz="6" w:space="0" w:color="auto"/>
            </w:tcBorders>
          </w:tcPr>
          <w:p w:rsidR="001E16DF" w:rsidRPr="002045F5" w:rsidRDefault="001E16DF" w:rsidP="00524DBF">
            <w:pPr>
              <w:autoSpaceDE w:val="0"/>
              <w:autoSpaceDN w:val="0"/>
              <w:adjustRightInd w:val="0"/>
              <w:rPr>
                <w:rFonts w:eastAsia="Calibri"/>
                <w:sz w:val="22"/>
              </w:rPr>
            </w:pPr>
            <w:r w:rsidRPr="002045F5">
              <w:rPr>
                <w:sz w:val="22"/>
              </w:rPr>
              <w:t>актова зала</w:t>
            </w:r>
          </w:p>
        </w:tc>
        <w:tc>
          <w:tcPr>
            <w:tcW w:w="1559" w:type="dxa"/>
            <w:gridSpan w:val="2"/>
            <w:tcBorders>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r w:rsidRPr="002045F5">
              <w:rPr>
                <w:rFonts w:eastAsia="Calibri"/>
                <w:sz w:val="22"/>
              </w:rPr>
              <w:t>одиниць</w:t>
            </w:r>
          </w:p>
        </w:tc>
        <w:tc>
          <w:tcPr>
            <w:tcW w:w="1417" w:type="dxa"/>
            <w:tcBorders>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r w:rsidRPr="002045F5">
              <w:rPr>
                <w:rFonts w:eastAsia="Calibri"/>
                <w:sz w:val="22"/>
              </w:rPr>
              <w:t>1</w:t>
            </w:r>
          </w:p>
        </w:tc>
      </w:tr>
      <w:tr w:rsidR="001E16DF" w:rsidRPr="002045F5" w:rsidTr="00670D96">
        <w:trPr>
          <w:trHeight w:val="214"/>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sz w:val="22"/>
              </w:rPr>
            </w:pPr>
          </w:p>
        </w:tc>
        <w:tc>
          <w:tcPr>
            <w:tcW w:w="2835" w:type="dxa"/>
            <w:vMerge/>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sz w:val="22"/>
              </w:rPr>
            </w:pPr>
          </w:p>
        </w:tc>
        <w:tc>
          <w:tcPr>
            <w:tcW w:w="4111" w:type="dxa"/>
            <w:gridSpan w:val="4"/>
            <w:tcBorders>
              <w:left w:val="single" w:sz="6" w:space="0" w:color="auto"/>
              <w:right w:val="single" w:sz="6" w:space="0" w:color="auto"/>
            </w:tcBorders>
          </w:tcPr>
          <w:p w:rsidR="001E16DF" w:rsidRPr="002045F5" w:rsidRDefault="001E16DF" w:rsidP="00524DBF">
            <w:pPr>
              <w:autoSpaceDE w:val="0"/>
              <w:autoSpaceDN w:val="0"/>
              <w:adjustRightInd w:val="0"/>
              <w:rPr>
                <w:rFonts w:eastAsia="Calibri"/>
                <w:sz w:val="22"/>
              </w:rPr>
            </w:pPr>
            <w:r w:rsidRPr="002045F5">
              <w:rPr>
                <w:sz w:val="22"/>
              </w:rPr>
              <w:t>майстерні</w:t>
            </w:r>
          </w:p>
        </w:tc>
        <w:tc>
          <w:tcPr>
            <w:tcW w:w="1559" w:type="dxa"/>
            <w:gridSpan w:val="2"/>
            <w:tcBorders>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r w:rsidRPr="002045F5">
              <w:rPr>
                <w:rFonts w:eastAsia="Calibri"/>
                <w:sz w:val="22"/>
              </w:rPr>
              <w:t>одиниць</w:t>
            </w:r>
          </w:p>
        </w:tc>
        <w:tc>
          <w:tcPr>
            <w:tcW w:w="1417" w:type="dxa"/>
            <w:tcBorders>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r w:rsidRPr="002045F5">
              <w:rPr>
                <w:rFonts w:eastAsia="Calibri"/>
                <w:sz w:val="22"/>
              </w:rPr>
              <w:t>2</w:t>
            </w:r>
          </w:p>
        </w:tc>
      </w:tr>
      <w:tr w:rsidR="001E16DF" w:rsidRPr="002045F5" w:rsidTr="00670D96">
        <w:trPr>
          <w:trHeight w:val="115"/>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sz w:val="22"/>
              </w:rPr>
            </w:pPr>
          </w:p>
        </w:tc>
        <w:tc>
          <w:tcPr>
            <w:tcW w:w="2835" w:type="dxa"/>
            <w:vMerge/>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sz w:val="22"/>
              </w:rPr>
            </w:pPr>
          </w:p>
        </w:tc>
        <w:tc>
          <w:tcPr>
            <w:tcW w:w="4111" w:type="dxa"/>
            <w:gridSpan w:val="4"/>
            <w:tcBorders>
              <w:left w:val="single" w:sz="6" w:space="0" w:color="auto"/>
              <w:right w:val="single" w:sz="6" w:space="0" w:color="auto"/>
            </w:tcBorders>
          </w:tcPr>
          <w:p w:rsidR="001E16DF" w:rsidRPr="002045F5" w:rsidRDefault="001E16DF" w:rsidP="00524DBF">
            <w:pPr>
              <w:autoSpaceDE w:val="0"/>
              <w:autoSpaceDN w:val="0"/>
              <w:adjustRightInd w:val="0"/>
              <w:rPr>
                <w:rFonts w:eastAsia="Calibri"/>
                <w:sz w:val="22"/>
              </w:rPr>
            </w:pPr>
            <w:r w:rsidRPr="002045F5">
              <w:rPr>
                <w:rFonts w:eastAsia="Calibri"/>
                <w:sz w:val="22"/>
              </w:rPr>
              <w:t>виходи</w:t>
            </w:r>
          </w:p>
        </w:tc>
        <w:tc>
          <w:tcPr>
            <w:tcW w:w="1559" w:type="dxa"/>
            <w:gridSpan w:val="2"/>
            <w:tcBorders>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r w:rsidRPr="002045F5">
              <w:rPr>
                <w:rFonts w:eastAsia="Calibri"/>
                <w:sz w:val="22"/>
              </w:rPr>
              <w:t>одиниць</w:t>
            </w:r>
          </w:p>
        </w:tc>
        <w:tc>
          <w:tcPr>
            <w:tcW w:w="1417" w:type="dxa"/>
            <w:tcBorders>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r w:rsidRPr="002045F5">
              <w:rPr>
                <w:rFonts w:eastAsia="Calibri"/>
                <w:sz w:val="22"/>
              </w:rPr>
              <w:t>9</w:t>
            </w:r>
          </w:p>
        </w:tc>
      </w:tr>
      <w:tr w:rsidR="001E16DF" w:rsidRPr="002045F5" w:rsidTr="00670D96">
        <w:trPr>
          <w:trHeight w:val="230"/>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sz w:val="22"/>
              </w:rPr>
            </w:pPr>
          </w:p>
        </w:tc>
        <w:tc>
          <w:tcPr>
            <w:tcW w:w="2835" w:type="dxa"/>
            <w:vMerge/>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sz w:val="22"/>
              </w:rPr>
            </w:pPr>
          </w:p>
        </w:tc>
        <w:tc>
          <w:tcPr>
            <w:tcW w:w="4111" w:type="dxa"/>
            <w:gridSpan w:val="4"/>
            <w:tcBorders>
              <w:left w:val="single" w:sz="6" w:space="0" w:color="auto"/>
              <w:right w:val="single" w:sz="6" w:space="0" w:color="auto"/>
            </w:tcBorders>
          </w:tcPr>
          <w:p w:rsidR="001E16DF" w:rsidRPr="002045F5" w:rsidRDefault="001E16DF" w:rsidP="00524DBF">
            <w:pPr>
              <w:autoSpaceDE w:val="0"/>
              <w:autoSpaceDN w:val="0"/>
              <w:adjustRightInd w:val="0"/>
              <w:rPr>
                <w:rFonts w:eastAsia="Calibri"/>
                <w:sz w:val="22"/>
              </w:rPr>
            </w:pPr>
            <w:r w:rsidRPr="002045F5">
              <w:rPr>
                <w:rFonts w:eastAsia="Calibri"/>
                <w:sz w:val="22"/>
              </w:rPr>
              <w:t>Побудова пандусу</w:t>
            </w:r>
          </w:p>
        </w:tc>
        <w:tc>
          <w:tcPr>
            <w:tcW w:w="1559" w:type="dxa"/>
            <w:gridSpan w:val="2"/>
            <w:tcBorders>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r w:rsidRPr="002045F5">
              <w:rPr>
                <w:rFonts w:eastAsia="Calibri"/>
                <w:sz w:val="22"/>
              </w:rPr>
              <w:t>одиниць</w:t>
            </w:r>
          </w:p>
        </w:tc>
        <w:tc>
          <w:tcPr>
            <w:tcW w:w="1417" w:type="dxa"/>
            <w:tcBorders>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r w:rsidRPr="002045F5">
              <w:rPr>
                <w:rFonts w:eastAsia="Calibri"/>
                <w:sz w:val="22"/>
              </w:rPr>
              <w:t>1</w:t>
            </w:r>
          </w:p>
        </w:tc>
      </w:tr>
      <w:tr w:rsidR="001E16DF" w:rsidRPr="002045F5" w:rsidTr="00670D96">
        <w:trPr>
          <w:trHeight w:val="131"/>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sz w:val="22"/>
              </w:rPr>
            </w:pPr>
          </w:p>
        </w:tc>
        <w:tc>
          <w:tcPr>
            <w:tcW w:w="2835" w:type="dxa"/>
            <w:vMerge/>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sz w:val="22"/>
              </w:rPr>
            </w:pPr>
          </w:p>
        </w:tc>
        <w:tc>
          <w:tcPr>
            <w:tcW w:w="4111" w:type="dxa"/>
            <w:gridSpan w:val="4"/>
            <w:tcBorders>
              <w:left w:val="single" w:sz="6" w:space="0" w:color="auto"/>
              <w:right w:val="single" w:sz="6" w:space="0" w:color="auto"/>
            </w:tcBorders>
          </w:tcPr>
          <w:p w:rsidR="001E16DF" w:rsidRPr="002045F5" w:rsidRDefault="001E16DF" w:rsidP="00524DBF">
            <w:pPr>
              <w:autoSpaceDE w:val="0"/>
              <w:autoSpaceDN w:val="0"/>
              <w:adjustRightInd w:val="0"/>
              <w:rPr>
                <w:rFonts w:eastAsia="Calibri"/>
                <w:sz w:val="22"/>
              </w:rPr>
            </w:pPr>
            <w:r w:rsidRPr="002045F5">
              <w:rPr>
                <w:rFonts w:eastAsia="Calibri"/>
                <w:sz w:val="22"/>
              </w:rPr>
              <w:t>Заміна двері</w:t>
            </w:r>
          </w:p>
        </w:tc>
        <w:tc>
          <w:tcPr>
            <w:tcW w:w="1559" w:type="dxa"/>
            <w:gridSpan w:val="2"/>
            <w:tcBorders>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r w:rsidRPr="002045F5">
              <w:rPr>
                <w:rFonts w:eastAsia="Calibri"/>
                <w:sz w:val="22"/>
              </w:rPr>
              <w:t>одиниць</w:t>
            </w:r>
          </w:p>
        </w:tc>
        <w:tc>
          <w:tcPr>
            <w:tcW w:w="1417" w:type="dxa"/>
            <w:tcBorders>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r w:rsidRPr="002045F5">
              <w:rPr>
                <w:rFonts w:eastAsia="Calibri"/>
                <w:sz w:val="22"/>
              </w:rPr>
              <w:t>87</w:t>
            </w:r>
          </w:p>
        </w:tc>
      </w:tr>
      <w:tr w:rsidR="001E16DF" w:rsidRPr="002045F5" w:rsidTr="00670D96">
        <w:trPr>
          <w:trHeight w:val="173"/>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sz w:val="22"/>
              </w:rPr>
            </w:pPr>
          </w:p>
        </w:tc>
        <w:tc>
          <w:tcPr>
            <w:tcW w:w="2835" w:type="dxa"/>
            <w:vMerge/>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sz w:val="22"/>
              </w:rPr>
            </w:pPr>
          </w:p>
        </w:tc>
        <w:tc>
          <w:tcPr>
            <w:tcW w:w="4111" w:type="dxa"/>
            <w:gridSpan w:val="4"/>
            <w:tcBorders>
              <w:left w:val="single" w:sz="6" w:space="0" w:color="auto"/>
              <w:right w:val="single" w:sz="6" w:space="0" w:color="auto"/>
            </w:tcBorders>
          </w:tcPr>
          <w:p w:rsidR="001E16DF" w:rsidRPr="002045F5" w:rsidRDefault="001E16DF" w:rsidP="00524DBF">
            <w:pPr>
              <w:autoSpaceDE w:val="0"/>
              <w:autoSpaceDN w:val="0"/>
              <w:adjustRightInd w:val="0"/>
              <w:rPr>
                <w:rFonts w:eastAsia="Calibri"/>
                <w:sz w:val="22"/>
              </w:rPr>
            </w:pPr>
            <w:r w:rsidRPr="002045F5">
              <w:rPr>
                <w:rFonts w:eastAsia="Calibri"/>
                <w:sz w:val="22"/>
              </w:rPr>
              <w:t>Капітальний ремонт системи опалення</w:t>
            </w:r>
          </w:p>
        </w:tc>
        <w:tc>
          <w:tcPr>
            <w:tcW w:w="1559" w:type="dxa"/>
            <w:gridSpan w:val="2"/>
            <w:tcBorders>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p>
        </w:tc>
        <w:tc>
          <w:tcPr>
            <w:tcW w:w="1417" w:type="dxa"/>
            <w:tcBorders>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p>
        </w:tc>
      </w:tr>
      <w:tr w:rsidR="001E16DF" w:rsidRPr="002045F5" w:rsidTr="00670D96">
        <w:trPr>
          <w:trHeight w:val="69"/>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sz w:val="22"/>
              </w:rPr>
            </w:pPr>
          </w:p>
        </w:tc>
        <w:tc>
          <w:tcPr>
            <w:tcW w:w="2835" w:type="dxa"/>
            <w:vMerge/>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sz w:val="22"/>
              </w:rPr>
            </w:pPr>
          </w:p>
        </w:tc>
        <w:tc>
          <w:tcPr>
            <w:tcW w:w="4111" w:type="dxa"/>
            <w:gridSpan w:val="4"/>
            <w:tcBorders>
              <w:left w:val="single" w:sz="6" w:space="0" w:color="auto"/>
              <w:right w:val="single" w:sz="6" w:space="0" w:color="auto"/>
            </w:tcBorders>
          </w:tcPr>
          <w:p w:rsidR="001E16DF" w:rsidRPr="002045F5" w:rsidRDefault="001E16DF" w:rsidP="00524DBF">
            <w:pPr>
              <w:autoSpaceDE w:val="0"/>
              <w:autoSpaceDN w:val="0"/>
              <w:adjustRightInd w:val="0"/>
              <w:rPr>
                <w:rFonts w:eastAsia="Calibri"/>
                <w:sz w:val="22"/>
              </w:rPr>
            </w:pPr>
            <w:proofErr w:type="spellStart"/>
            <w:r w:rsidRPr="002045F5">
              <w:rPr>
                <w:rFonts w:eastAsia="Calibri"/>
                <w:sz w:val="22"/>
              </w:rPr>
              <w:t>Автомайданчик</w:t>
            </w:r>
            <w:proofErr w:type="spellEnd"/>
            <w:r w:rsidRPr="002045F5">
              <w:rPr>
                <w:rFonts w:eastAsia="Calibri"/>
                <w:sz w:val="22"/>
              </w:rPr>
              <w:t>:</w:t>
            </w:r>
          </w:p>
        </w:tc>
        <w:tc>
          <w:tcPr>
            <w:tcW w:w="1559" w:type="dxa"/>
            <w:gridSpan w:val="2"/>
            <w:tcBorders>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p>
        </w:tc>
        <w:tc>
          <w:tcPr>
            <w:tcW w:w="1417" w:type="dxa"/>
            <w:tcBorders>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p>
        </w:tc>
      </w:tr>
      <w:tr w:rsidR="001E16DF" w:rsidRPr="002045F5" w:rsidTr="00670D96">
        <w:trPr>
          <w:trHeight w:val="163"/>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sz w:val="22"/>
              </w:rPr>
            </w:pPr>
          </w:p>
        </w:tc>
        <w:tc>
          <w:tcPr>
            <w:tcW w:w="2835" w:type="dxa"/>
            <w:vMerge/>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sz w:val="22"/>
              </w:rPr>
            </w:pPr>
          </w:p>
        </w:tc>
        <w:tc>
          <w:tcPr>
            <w:tcW w:w="4111" w:type="dxa"/>
            <w:gridSpan w:val="4"/>
            <w:tcBorders>
              <w:left w:val="single" w:sz="6" w:space="0" w:color="auto"/>
              <w:right w:val="single" w:sz="6" w:space="0" w:color="auto"/>
            </w:tcBorders>
          </w:tcPr>
          <w:p w:rsidR="001E16DF" w:rsidRPr="002045F5" w:rsidRDefault="001E16DF" w:rsidP="00524DBF">
            <w:pPr>
              <w:autoSpaceDE w:val="0"/>
              <w:autoSpaceDN w:val="0"/>
              <w:adjustRightInd w:val="0"/>
              <w:rPr>
                <w:rFonts w:eastAsia="Calibri"/>
                <w:sz w:val="22"/>
              </w:rPr>
            </w:pPr>
            <w:r w:rsidRPr="002045F5">
              <w:rPr>
                <w:rFonts w:eastAsia="Calibri"/>
                <w:sz w:val="22"/>
              </w:rPr>
              <w:t>асфальтне покриття</w:t>
            </w:r>
          </w:p>
        </w:tc>
        <w:tc>
          <w:tcPr>
            <w:tcW w:w="1559" w:type="dxa"/>
            <w:gridSpan w:val="2"/>
            <w:tcBorders>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r w:rsidRPr="002045F5">
              <w:rPr>
                <w:sz w:val="22"/>
              </w:rPr>
              <w:t>м</w:t>
            </w:r>
            <w:r w:rsidRPr="002045F5">
              <w:rPr>
                <w:sz w:val="22"/>
                <w:vertAlign w:val="superscript"/>
              </w:rPr>
              <w:t>2</w:t>
            </w:r>
          </w:p>
        </w:tc>
        <w:tc>
          <w:tcPr>
            <w:tcW w:w="1417" w:type="dxa"/>
            <w:tcBorders>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r w:rsidRPr="002045F5">
              <w:rPr>
                <w:rFonts w:eastAsia="Calibri"/>
                <w:sz w:val="22"/>
              </w:rPr>
              <w:t>600</w:t>
            </w:r>
          </w:p>
        </w:tc>
      </w:tr>
      <w:tr w:rsidR="001E16DF" w:rsidRPr="002045F5" w:rsidTr="00670D96">
        <w:trPr>
          <w:trHeight w:val="77"/>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sz w:val="22"/>
              </w:rPr>
            </w:pPr>
          </w:p>
        </w:tc>
        <w:tc>
          <w:tcPr>
            <w:tcW w:w="2835" w:type="dxa"/>
            <w:vMerge/>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sz w:val="22"/>
              </w:rPr>
            </w:pPr>
          </w:p>
        </w:tc>
        <w:tc>
          <w:tcPr>
            <w:tcW w:w="4111" w:type="dxa"/>
            <w:gridSpan w:val="4"/>
            <w:tcBorders>
              <w:left w:val="single" w:sz="6" w:space="0" w:color="auto"/>
              <w:right w:val="single" w:sz="6" w:space="0" w:color="auto"/>
            </w:tcBorders>
          </w:tcPr>
          <w:p w:rsidR="001E16DF" w:rsidRPr="002045F5" w:rsidRDefault="001E16DF" w:rsidP="00524DBF">
            <w:pPr>
              <w:autoSpaceDE w:val="0"/>
              <w:autoSpaceDN w:val="0"/>
              <w:adjustRightInd w:val="0"/>
              <w:rPr>
                <w:rFonts w:eastAsia="Calibri"/>
                <w:sz w:val="22"/>
              </w:rPr>
            </w:pPr>
            <w:r w:rsidRPr="002045F5">
              <w:rPr>
                <w:rFonts w:eastAsia="Calibri"/>
                <w:sz w:val="22"/>
              </w:rPr>
              <w:t>огорожа майданчика</w:t>
            </w:r>
          </w:p>
        </w:tc>
        <w:tc>
          <w:tcPr>
            <w:tcW w:w="1559" w:type="dxa"/>
            <w:gridSpan w:val="2"/>
            <w:tcBorders>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r w:rsidRPr="002045F5">
              <w:rPr>
                <w:sz w:val="22"/>
              </w:rPr>
              <w:t>м</w:t>
            </w:r>
          </w:p>
        </w:tc>
        <w:tc>
          <w:tcPr>
            <w:tcW w:w="1417" w:type="dxa"/>
            <w:tcBorders>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r w:rsidRPr="002045F5">
              <w:rPr>
                <w:rFonts w:eastAsia="Calibri"/>
                <w:sz w:val="22"/>
              </w:rPr>
              <w:t>500</w:t>
            </w:r>
          </w:p>
        </w:tc>
      </w:tr>
      <w:tr w:rsidR="001E16DF" w:rsidRPr="002045F5" w:rsidTr="00670D96">
        <w:trPr>
          <w:trHeight w:val="156"/>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sz w:val="22"/>
              </w:rPr>
            </w:pPr>
          </w:p>
        </w:tc>
        <w:tc>
          <w:tcPr>
            <w:tcW w:w="2835" w:type="dxa"/>
            <w:vMerge/>
            <w:tcBorders>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sz w:val="22"/>
              </w:rPr>
            </w:pPr>
          </w:p>
        </w:tc>
        <w:tc>
          <w:tcPr>
            <w:tcW w:w="4111" w:type="dxa"/>
            <w:gridSpan w:val="4"/>
            <w:tcBorders>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rPr>
                <w:rFonts w:eastAsia="Calibri"/>
                <w:sz w:val="22"/>
              </w:rPr>
            </w:pPr>
            <w:r w:rsidRPr="002045F5">
              <w:rPr>
                <w:rFonts w:eastAsia="Calibri"/>
                <w:sz w:val="22"/>
              </w:rPr>
              <w:t>Побудова укриття</w:t>
            </w:r>
          </w:p>
        </w:tc>
        <w:tc>
          <w:tcPr>
            <w:tcW w:w="1559" w:type="dxa"/>
            <w:gridSpan w:val="2"/>
            <w:tcBorders>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r w:rsidRPr="002045F5">
              <w:rPr>
                <w:rFonts w:eastAsia="Calibri"/>
                <w:sz w:val="22"/>
              </w:rPr>
              <w:t>одиниць</w:t>
            </w:r>
          </w:p>
        </w:tc>
        <w:tc>
          <w:tcPr>
            <w:tcW w:w="1417" w:type="dxa"/>
            <w:tcBorders>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r w:rsidRPr="002045F5">
              <w:rPr>
                <w:rFonts w:eastAsia="Calibri"/>
                <w:sz w:val="22"/>
              </w:rPr>
              <w:t>1</w:t>
            </w:r>
          </w:p>
        </w:tc>
      </w:tr>
      <w:tr w:rsidR="001E16DF" w:rsidRPr="002045F5" w:rsidTr="00670D96">
        <w:trPr>
          <w:trHeight w:val="342"/>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r w:rsidRPr="002045F5">
              <w:rPr>
                <w:rFonts w:eastAsia="Calibri"/>
                <w:b/>
                <w:color w:val="000000"/>
                <w:sz w:val="22"/>
              </w:rPr>
              <w:t>Ключові заходи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1E16DF" w:rsidRPr="002045F5" w:rsidRDefault="001E16DF" w:rsidP="00524DBF">
            <w:pPr>
              <w:shd w:val="clear" w:color="auto" w:fill="FFFFFF"/>
              <w:tabs>
                <w:tab w:val="left" w:pos="378"/>
              </w:tabs>
              <w:rPr>
                <w:sz w:val="22"/>
              </w:rPr>
            </w:pPr>
            <w:r w:rsidRPr="002045F5">
              <w:rPr>
                <w:sz w:val="22"/>
              </w:rPr>
              <w:t xml:space="preserve">1. Обстеження стану будівлі, підготовка </w:t>
            </w:r>
            <w:proofErr w:type="spellStart"/>
            <w:r w:rsidRPr="002045F5">
              <w:rPr>
                <w:sz w:val="22"/>
              </w:rPr>
              <w:t>проєктно</w:t>
            </w:r>
            <w:proofErr w:type="spellEnd"/>
            <w:r w:rsidRPr="002045F5">
              <w:rPr>
                <w:sz w:val="22"/>
              </w:rPr>
              <w:t>-кошторисної документації та отримання позитивного експертного звіту</w:t>
            </w:r>
          </w:p>
          <w:p w:rsidR="001E16DF" w:rsidRPr="002045F5" w:rsidRDefault="001E16DF" w:rsidP="00524DBF">
            <w:pPr>
              <w:shd w:val="clear" w:color="auto" w:fill="FFFFFF"/>
              <w:tabs>
                <w:tab w:val="left" w:pos="378"/>
              </w:tabs>
              <w:rPr>
                <w:sz w:val="22"/>
              </w:rPr>
            </w:pPr>
            <w:r w:rsidRPr="002045F5">
              <w:rPr>
                <w:sz w:val="22"/>
              </w:rPr>
              <w:t>2. Капітальний ремонт покрівлі;</w:t>
            </w:r>
          </w:p>
          <w:p w:rsidR="001E16DF" w:rsidRPr="002045F5" w:rsidRDefault="001E16DF" w:rsidP="00524DBF">
            <w:pPr>
              <w:shd w:val="clear" w:color="auto" w:fill="FFFFFF"/>
              <w:tabs>
                <w:tab w:val="left" w:pos="378"/>
              </w:tabs>
              <w:rPr>
                <w:sz w:val="22"/>
              </w:rPr>
            </w:pPr>
            <w:r w:rsidRPr="002045F5">
              <w:rPr>
                <w:sz w:val="22"/>
              </w:rPr>
              <w:t>3. Капітальний ремонт навчальних кабінетів;</w:t>
            </w:r>
          </w:p>
          <w:p w:rsidR="001E16DF" w:rsidRPr="002045F5" w:rsidRDefault="001E16DF" w:rsidP="00524DBF">
            <w:pPr>
              <w:shd w:val="clear" w:color="auto" w:fill="FFFFFF"/>
              <w:tabs>
                <w:tab w:val="left" w:pos="378"/>
              </w:tabs>
              <w:rPr>
                <w:sz w:val="22"/>
              </w:rPr>
            </w:pPr>
            <w:r w:rsidRPr="002045F5">
              <w:rPr>
                <w:sz w:val="22"/>
              </w:rPr>
              <w:t>4. Капітальний ремонт актової зали; майстерень;</w:t>
            </w:r>
          </w:p>
          <w:p w:rsidR="001E16DF" w:rsidRPr="002045F5" w:rsidRDefault="001E16DF" w:rsidP="00524DBF">
            <w:pPr>
              <w:shd w:val="clear" w:color="auto" w:fill="FFFFFF"/>
              <w:tabs>
                <w:tab w:val="left" w:pos="378"/>
              </w:tabs>
              <w:rPr>
                <w:sz w:val="22"/>
              </w:rPr>
            </w:pPr>
            <w:r w:rsidRPr="002045F5">
              <w:rPr>
                <w:sz w:val="22"/>
              </w:rPr>
              <w:t>5. Ремонт тротуарів;</w:t>
            </w:r>
          </w:p>
          <w:p w:rsidR="001E16DF" w:rsidRPr="002045F5" w:rsidRDefault="001E16DF" w:rsidP="00524DBF">
            <w:pPr>
              <w:shd w:val="clear" w:color="auto" w:fill="FFFFFF"/>
              <w:tabs>
                <w:tab w:val="left" w:pos="378"/>
              </w:tabs>
              <w:rPr>
                <w:sz w:val="22"/>
              </w:rPr>
            </w:pPr>
            <w:r w:rsidRPr="002045F5">
              <w:rPr>
                <w:sz w:val="22"/>
              </w:rPr>
              <w:t>6. Будівництво пандусу;</w:t>
            </w:r>
          </w:p>
          <w:p w:rsidR="001E16DF" w:rsidRPr="002045F5" w:rsidRDefault="001E16DF" w:rsidP="00524DBF">
            <w:pPr>
              <w:shd w:val="clear" w:color="auto" w:fill="FFFFFF"/>
              <w:tabs>
                <w:tab w:val="left" w:pos="378"/>
              </w:tabs>
              <w:rPr>
                <w:sz w:val="22"/>
              </w:rPr>
            </w:pPr>
            <w:r w:rsidRPr="002045F5">
              <w:rPr>
                <w:sz w:val="22"/>
              </w:rPr>
              <w:t>7. Капітальний ремонт санвузлів;</w:t>
            </w:r>
          </w:p>
          <w:p w:rsidR="001E16DF" w:rsidRPr="002045F5" w:rsidRDefault="001E16DF" w:rsidP="00524DBF">
            <w:pPr>
              <w:shd w:val="clear" w:color="auto" w:fill="FFFFFF"/>
              <w:tabs>
                <w:tab w:val="left" w:pos="378"/>
              </w:tabs>
              <w:rPr>
                <w:sz w:val="22"/>
              </w:rPr>
            </w:pPr>
            <w:r w:rsidRPr="002045F5">
              <w:rPr>
                <w:sz w:val="22"/>
              </w:rPr>
              <w:t xml:space="preserve">8. Капітальний ремонт </w:t>
            </w:r>
            <w:proofErr w:type="spellStart"/>
            <w:r w:rsidRPr="002045F5">
              <w:rPr>
                <w:sz w:val="22"/>
              </w:rPr>
              <w:t>електро</w:t>
            </w:r>
            <w:proofErr w:type="spellEnd"/>
            <w:r w:rsidRPr="002045F5">
              <w:rPr>
                <w:sz w:val="22"/>
              </w:rPr>
              <w:t>-, тепло-, водопостачання та водовідведення;</w:t>
            </w:r>
          </w:p>
          <w:p w:rsidR="001E16DF" w:rsidRPr="002045F5" w:rsidRDefault="001E16DF" w:rsidP="00524DBF">
            <w:pPr>
              <w:shd w:val="clear" w:color="auto" w:fill="FFFFFF"/>
              <w:tabs>
                <w:tab w:val="left" w:pos="378"/>
              </w:tabs>
              <w:rPr>
                <w:sz w:val="22"/>
              </w:rPr>
            </w:pPr>
            <w:r w:rsidRPr="002045F5">
              <w:rPr>
                <w:sz w:val="22"/>
              </w:rPr>
              <w:t>9. Утеплення зовнішніх стін будівлі;</w:t>
            </w:r>
          </w:p>
          <w:p w:rsidR="001E16DF" w:rsidRPr="002045F5" w:rsidRDefault="001E16DF" w:rsidP="00524DBF">
            <w:pPr>
              <w:shd w:val="clear" w:color="auto" w:fill="FFFFFF"/>
              <w:tabs>
                <w:tab w:val="left" w:pos="378"/>
              </w:tabs>
              <w:rPr>
                <w:sz w:val="22"/>
              </w:rPr>
            </w:pPr>
            <w:r w:rsidRPr="002045F5">
              <w:rPr>
                <w:sz w:val="22"/>
              </w:rPr>
              <w:lastRenderedPageBreak/>
              <w:t>10. Прокладання мережі Інтернет;</w:t>
            </w:r>
          </w:p>
          <w:p w:rsidR="001E16DF" w:rsidRPr="002045F5" w:rsidRDefault="001E16DF" w:rsidP="00524DBF">
            <w:pPr>
              <w:shd w:val="clear" w:color="auto" w:fill="FFFFFF"/>
              <w:tabs>
                <w:tab w:val="left" w:pos="378"/>
              </w:tabs>
              <w:rPr>
                <w:sz w:val="22"/>
              </w:rPr>
            </w:pPr>
            <w:r w:rsidRPr="002045F5">
              <w:rPr>
                <w:sz w:val="22"/>
              </w:rPr>
              <w:t>11. Заміна віконних та дверних блоків;</w:t>
            </w:r>
          </w:p>
          <w:p w:rsidR="001E16DF" w:rsidRPr="002045F5" w:rsidRDefault="001E16DF" w:rsidP="00524DBF">
            <w:pPr>
              <w:shd w:val="clear" w:color="auto" w:fill="FFFFFF"/>
              <w:tabs>
                <w:tab w:val="left" w:pos="378"/>
              </w:tabs>
              <w:rPr>
                <w:sz w:val="22"/>
              </w:rPr>
            </w:pPr>
            <w:r w:rsidRPr="002045F5">
              <w:rPr>
                <w:sz w:val="22"/>
              </w:rPr>
              <w:t xml:space="preserve">12. Будівництво </w:t>
            </w:r>
            <w:proofErr w:type="spellStart"/>
            <w:r w:rsidRPr="002045F5">
              <w:rPr>
                <w:sz w:val="22"/>
              </w:rPr>
              <w:t>автомайданчика</w:t>
            </w:r>
            <w:proofErr w:type="spellEnd"/>
            <w:r w:rsidRPr="002045F5">
              <w:rPr>
                <w:sz w:val="22"/>
              </w:rPr>
              <w:t>;</w:t>
            </w:r>
          </w:p>
          <w:p w:rsidR="001E16DF" w:rsidRPr="002045F5" w:rsidRDefault="001E16DF" w:rsidP="00524DBF">
            <w:pPr>
              <w:shd w:val="clear" w:color="auto" w:fill="FFFFFF"/>
              <w:tabs>
                <w:tab w:val="left" w:pos="378"/>
              </w:tabs>
              <w:rPr>
                <w:sz w:val="22"/>
              </w:rPr>
            </w:pPr>
            <w:r w:rsidRPr="002045F5">
              <w:rPr>
                <w:sz w:val="22"/>
              </w:rPr>
              <w:t>13. Будівництво укриття;</w:t>
            </w:r>
          </w:p>
          <w:p w:rsidR="001E16DF" w:rsidRPr="002045F5" w:rsidRDefault="001E16DF" w:rsidP="00524DBF">
            <w:pPr>
              <w:shd w:val="clear" w:color="auto" w:fill="FFFFFF"/>
              <w:tabs>
                <w:tab w:val="left" w:pos="378"/>
              </w:tabs>
              <w:rPr>
                <w:sz w:val="22"/>
              </w:rPr>
            </w:pPr>
            <w:r w:rsidRPr="002045F5">
              <w:rPr>
                <w:sz w:val="22"/>
              </w:rPr>
              <w:t>14. Облаштування сучасної системи охорони;</w:t>
            </w:r>
          </w:p>
          <w:p w:rsidR="001E16DF" w:rsidRPr="002045F5" w:rsidRDefault="001E16DF" w:rsidP="00524DBF">
            <w:pPr>
              <w:shd w:val="clear" w:color="auto" w:fill="FFFFFF"/>
              <w:tabs>
                <w:tab w:val="left" w:pos="378"/>
              </w:tabs>
              <w:rPr>
                <w:sz w:val="22"/>
              </w:rPr>
            </w:pPr>
            <w:r w:rsidRPr="002045F5">
              <w:rPr>
                <w:sz w:val="22"/>
              </w:rPr>
              <w:t>15. Облаштування протипожежної системи;</w:t>
            </w:r>
          </w:p>
          <w:p w:rsidR="001E16DF" w:rsidRPr="002045F5" w:rsidRDefault="001E16DF" w:rsidP="00524DBF">
            <w:pPr>
              <w:autoSpaceDE w:val="0"/>
              <w:autoSpaceDN w:val="0"/>
              <w:adjustRightInd w:val="0"/>
              <w:rPr>
                <w:sz w:val="22"/>
              </w:rPr>
            </w:pPr>
            <w:r w:rsidRPr="002045F5">
              <w:rPr>
                <w:sz w:val="22"/>
              </w:rPr>
              <w:t>16.Реконструкція зовнішнього освітлення.</w:t>
            </w:r>
          </w:p>
          <w:p w:rsidR="001E16DF" w:rsidRPr="002045F5" w:rsidRDefault="001E16DF" w:rsidP="00524DBF">
            <w:pPr>
              <w:autoSpaceDE w:val="0"/>
              <w:autoSpaceDN w:val="0"/>
              <w:adjustRightInd w:val="0"/>
              <w:rPr>
                <w:rFonts w:eastAsia="Calibri"/>
                <w:color w:val="FF0000"/>
                <w:sz w:val="22"/>
              </w:rPr>
            </w:pPr>
            <w:r w:rsidRPr="002045F5">
              <w:rPr>
                <w:rFonts w:eastAsia="Calibri"/>
                <w:sz w:val="22"/>
              </w:rPr>
              <w:t>17. Відновлення освітнього процесу</w:t>
            </w:r>
          </w:p>
        </w:tc>
      </w:tr>
      <w:tr w:rsidR="001E16DF" w:rsidRPr="002045F5" w:rsidTr="00670D96">
        <w:trPr>
          <w:trHeight w:val="217"/>
        </w:trPr>
        <w:tc>
          <w:tcPr>
            <w:tcW w:w="881" w:type="dxa"/>
            <w:vMerge w:val="restart"/>
            <w:tcBorders>
              <w:top w:val="nil"/>
              <w:left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vMerge w:val="restart"/>
            <w:tcBorders>
              <w:top w:val="single" w:sz="6" w:space="0" w:color="auto"/>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r w:rsidRPr="002045F5">
              <w:rPr>
                <w:rFonts w:eastAsia="Calibri"/>
                <w:b/>
                <w:color w:val="000000"/>
                <w:sz w:val="22"/>
              </w:rPr>
              <w:t>Орієнтовний обсяг та джерела фінансування тис. гривень</w:t>
            </w:r>
          </w:p>
        </w:tc>
        <w:tc>
          <w:tcPr>
            <w:tcW w:w="1049" w:type="dxa"/>
            <w:vMerge w:val="restart"/>
            <w:tcBorders>
              <w:top w:val="single" w:sz="6" w:space="0" w:color="auto"/>
              <w:left w:val="single" w:sz="6" w:space="0" w:color="auto"/>
              <w:right w:val="single" w:sz="6" w:space="0" w:color="auto"/>
            </w:tcBorders>
          </w:tcPr>
          <w:p w:rsidR="001E16DF" w:rsidRPr="002045F5" w:rsidRDefault="001E16DF" w:rsidP="00524DBF">
            <w:pPr>
              <w:shd w:val="clear" w:color="auto" w:fill="FFFFFF"/>
              <w:tabs>
                <w:tab w:val="left" w:pos="378"/>
              </w:tabs>
              <w:jc w:val="center"/>
              <w:rPr>
                <w:sz w:val="22"/>
              </w:rPr>
            </w:pPr>
            <w:r w:rsidRPr="002045F5">
              <w:rPr>
                <w:rFonts w:eastAsia="Calibri"/>
                <w:color w:val="000000"/>
                <w:sz w:val="22"/>
              </w:rPr>
              <w:t>державний бюджет</w:t>
            </w:r>
          </w:p>
        </w:tc>
        <w:tc>
          <w:tcPr>
            <w:tcW w:w="1474" w:type="dxa"/>
            <w:vMerge w:val="restart"/>
            <w:tcBorders>
              <w:top w:val="single" w:sz="6" w:space="0" w:color="auto"/>
              <w:left w:val="single" w:sz="6" w:space="0" w:color="auto"/>
              <w:right w:val="single" w:sz="6" w:space="0" w:color="auto"/>
            </w:tcBorders>
          </w:tcPr>
          <w:p w:rsidR="001E16DF" w:rsidRPr="002045F5" w:rsidRDefault="001E16DF" w:rsidP="00524DBF">
            <w:pPr>
              <w:shd w:val="clear" w:color="auto" w:fill="FFFFFF"/>
              <w:tabs>
                <w:tab w:val="left" w:pos="378"/>
              </w:tabs>
              <w:jc w:val="center"/>
              <w:rPr>
                <w:sz w:val="22"/>
              </w:rPr>
            </w:pPr>
            <w:r w:rsidRPr="002045F5">
              <w:rPr>
                <w:rFonts w:eastAsia="Calibri"/>
                <w:color w:val="000000"/>
                <w:sz w:val="22"/>
              </w:rPr>
              <w:t>Місцевий бюджет</w:t>
            </w:r>
          </w:p>
        </w:tc>
        <w:tc>
          <w:tcPr>
            <w:tcW w:w="2948" w:type="dxa"/>
            <w:gridSpan w:val="3"/>
            <w:tcBorders>
              <w:top w:val="single" w:sz="6" w:space="0" w:color="auto"/>
              <w:left w:val="single" w:sz="6" w:space="0" w:color="auto"/>
              <w:bottom w:val="single" w:sz="6" w:space="0" w:color="auto"/>
              <w:right w:val="single" w:sz="6" w:space="0" w:color="auto"/>
            </w:tcBorders>
          </w:tcPr>
          <w:p w:rsidR="001E16DF" w:rsidRPr="002045F5" w:rsidRDefault="001E16DF" w:rsidP="00524DBF">
            <w:pPr>
              <w:shd w:val="clear" w:color="auto" w:fill="FFFFFF"/>
              <w:tabs>
                <w:tab w:val="left" w:pos="378"/>
              </w:tabs>
              <w:jc w:val="center"/>
              <w:rPr>
                <w:sz w:val="22"/>
              </w:rPr>
            </w:pPr>
            <w:r w:rsidRPr="002045F5">
              <w:rPr>
                <w:rFonts w:eastAsia="Calibri"/>
                <w:color w:val="000000"/>
                <w:sz w:val="22"/>
              </w:rPr>
              <w:t>Інші джерела</w:t>
            </w:r>
          </w:p>
        </w:tc>
        <w:tc>
          <w:tcPr>
            <w:tcW w:w="1616" w:type="dxa"/>
            <w:gridSpan w:val="2"/>
            <w:vMerge w:val="restart"/>
            <w:tcBorders>
              <w:top w:val="single" w:sz="6" w:space="0" w:color="auto"/>
              <w:left w:val="single" w:sz="6" w:space="0" w:color="auto"/>
              <w:right w:val="single" w:sz="6" w:space="0" w:color="auto"/>
            </w:tcBorders>
          </w:tcPr>
          <w:p w:rsidR="001E16DF" w:rsidRPr="002045F5" w:rsidRDefault="001E16DF" w:rsidP="00524DBF">
            <w:pPr>
              <w:shd w:val="clear" w:color="auto" w:fill="FFFFFF"/>
              <w:tabs>
                <w:tab w:val="left" w:pos="378"/>
              </w:tabs>
              <w:jc w:val="center"/>
              <w:rPr>
                <w:sz w:val="22"/>
              </w:rPr>
            </w:pPr>
            <w:r w:rsidRPr="002045F5">
              <w:rPr>
                <w:rFonts w:eastAsia="Calibri"/>
                <w:sz w:val="22"/>
              </w:rPr>
              <w:t>Всього</w:t>
            </w:r>
          </w:p>
        </w:tc>
      </w:tr>
      <w:tr w:rsidR="001E16DF" w:rsidRPr="002045F5" w:rsidTr="00670D96">
        <w:trPr>
          <w:trHeight w:val="113"/>
        </w:trPr>
        <w:tc>
          <w:tcPr>
            <w:tcW w:w="881" w:type="dxa"/>
            <w:vMerge/>
            <w:tcBorders>
              <w:left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p>
        </w:tc>
        <w:tc>
          <w:tcPr>
            <w:tcW w:w="1049" w:type="dxa"/>
            <w:vMerge/>
            <w:tcBorders>
              <w:left w:val="single" w:sz="6" w:space="0" w:color="auto"/>
              <w:bottom w:val="single" w:sz="6" w:space="0" w:color="auto"/>
              <w:right w:val="single" w:sz="6" w:space="0" w:color="auto"/>
            </w:tcBorders>
          </w:tcPr>
          <w:p w:rsidR="001E16DF" w:rsidRPr="002045F5" w:rsidRDefault="001E16DF" w:rsidP="00524DBF">
            <w:pPr>
              <w:shd w:val="clear" w:color="auto" w:fill="FFFFFF"/>
              <w:tabs>
                <w:tab w:val="left" w:pos="378"/>
              </w:tabs>
              <w:rPr>
                <w:sz w:val="22"/>
              </w:rPr>
            </w:pPr>
          </w:p>
        </w:tc>
        <w:tc>
          <w:tcPr>
            <w:tcW w:w="1474" w:type="dxa"/>
            <w:vMerge/>
            <w:tcBorders>
              <w:left w:val="single" w:sz="6" w:space="0" w:color="auto"/>
              <w:bottom w:val="single" w:sz="6" w:space="0" w:color="auto"/>
              <w:right w:val="single" w:sz="6" w:space="0" w:color="auto"/>
            </w:tcBorders>
          </w:tcPr>
          <w:p w:rsidR="001E16DF" w:rsidRPr="002045F5" w:rsidRDefault="001E16DF" w:rsidP="00524DBF">
            <w:pPr>
              <w:shd w:val="clear" w:color="auto" w:fill="FFFFFF"/>
              <w:tabs>
                <w:tab w:val="left" w:pos="378"/>
              </w:tabs>
              <w:rPr>
                <w:sz w:val="22"/>
              </w:rPr>
            </w:pPr>
          </w:p>
        </w:tc>
        <w:tc>
          <w:tcPr>
            <w:tcW w:w="1474" w:type="dxa"/>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jc w:val="center"/>
              <w:rPr>
                <w:rFonts w:eastAsia="Calibri"/>
                <w:color w:val="000000"/>
                <w:sz w:val="22"/>
              </w:rPr>
            </w:pPr>
            <w:r w:rsidRPr="002045F5">
              <w:rPr>
                <w:rFonts w:eastAsia="Calibri"/>
                <w:color w:val="000000"/>
                <w:sz w:val="22"/>
              </w:rPr>
              <w:t>Обсяг</w:t>
            </w:r>
          </w:p>
        </w:tc>
        <w:tc>
          <w:tcPr>
            <w:tcW w:w="1474" w:type="dxa"/>
            <w:gridSpan w:val="2"/>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jc w:val="center"/>
              <w:rPr>
                <w:rFonts w:eastAsia="Calibri"/>
                <w:color w:val="000000"/>
                <w:sz w:val="22"/>
              </w:rPr>
            </w:pPr>
            <w:r w:rsidRPr="002045F5">
              <w:rPr>
                <w:rFonts w:eastAsia="Calibri"/>
                <w:color w:val="000000"/>
                <w:sz w:val="22"/>
              </w:rPr>
              <w:t>Назва джерела</w:t>
            </w:r>
          </w:p>
        </w:tc>
        <w:tc>
          <w:tcPr>
            <w:tcW w:w="1616" w:type="dxa"/>
            <w:gridSpan w:val="2"/>
            <w:vMerge/>
            <w:tcBorders>
              <w:left w:val="single" w:sz="6" w:space="0" w:color="auto"/>
              <w:bottom w:val="single" w:sz="6" w:space="0" w:color="auto"/>
              <w:right w:val="single" w:sz="6" w:space="0" w:color="auto"/>
            </w:tcBorders>
          </w:tcPr>
          <w:p w:rsidR="001E16DF" w:rsidRPr="002045F5" w:rsidRDefault="001E16DF" w:rsidP="00524DBF">
            <w:pPr>
              <w:shd w:val="clear" w:color="auto" w:fill="FFFFFF"/>
              <w:tabs>
                <w:tab w:val="left" w:pos="378"/>
              </w:tabs>
              <w:rPr>
                <w:sz w:val="22"/>
              </w:rPr>
            </w:pPr>
          </w:p>
        </w:tc>
      </w:tr>
      <w:tr w:rsidR="001E16DF" w:rsidRPr="002045F5" w:rsidTr="00670D96">
        <w:trPr>
          <w:trHeight w:val="113"/>
        </w:trPr>
        <w:tc>
          <w:tcPr>
            <w:tcW w:w="881" w:type="dxa"/>
            <w:vMerge/>
            <w:tcBorders>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vMerge/>
            <w:tcBorders>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p>
        </w:tc>
        <w:tc>
          <w:tcPr>
            <w:tcW w:w="1049" w:type="dxa"/>
            <w:tcBorders>
              <w:top w:val="single" w:sz="6" w:space="0" w:color="auto"/>
              <w:left w:val="single" w:sz="6" w:space="0" w:color="auto"/>
              <w:bottom w:val="single" w:sz="6" w:space="0" w:color="auto"/>
              <w:right w:val="single" w:sz="6" w:space="0" w:color="auto"/>
            </w:tcBorders>
          </w:tcPr>
          <w:p w:rsidR="001E16DF" w:rsidRPr="002045F5" w:rsidRDefault="001E16DF" w:rsidP="00524DBF">
            <w:pPr>
              <w:shd w:val="clear" w:color="auto" w:fill="FFFFFF"/>
              <w:tabs>
                <w:tab w:val="left" w:pos="378"/>
              </w:tabs>
              <w:jc w:val="center"/>
              <w:rPr>
                <w:sz w:val="22"/>
              </w:rPr>
            </w:pPr>
            <w:r w:rsidRPr="002045F5">
              <w:rPr>
                <w:sz w:val="22"/>
              </w:rPr>
              <w:t>50 000,0</w:t>
            </w:r>
          </w:p>
        </w:tc>
        <w:tc>
          <w:tcPr>
            <w:tcW w:w="1474" w:type="dxa"/>
            <w:tcBorders>
              <w:top w:val="single" w:sz="6" w:space="0" w:color="auto"/>
              <w:left w:val="single" w:sz="6" w:space="0" w:color="auto"/>
              <w:bottom w:val="single" w:sz="6" w:space="0" w:color="auto"/>
              <w:right w:val="single" w:sz="6" w:space="0" w:color="auto"/>
            </w:tcBorders>
          </w:tcPr>
          <w:p w:rsidR="001E16DF" w:rsidRPr="002045F5" w:rsidRDefault="001E16DF" w:rsidP="00524DBF">
            <w:pPr>
              <w:shd w:val="clear" w:color="auto" w:fill="FFFFFF"/>
              <w:tabs>
                <w:tab w:val="left" w:pos="378"/>
              </w:tabs>
              <w:rPr>
                <w:sz w:val="22"/>
              </w:rPr>
            </w:pPr>
          </w:p>
        </w:tc>
        <w:tc>
          <w:tcPr>
            <w:tcW w:w="1474" w:type="dxa"/>
            <w:tcBorders>
              <w:top w:val="single" w:sz="6" w:space="0" w:color="auto"/>
              <w:left w:val="single" w:sz="6" w:space="0" w:color="auto"/>
              <w:bottom w:val="single" w:sz="6" w:space="0" w:color="auto"/>
              <w:right w:val="single" w:sz="6" w:space="0" w:color="auto"/>
            </w:tcBorders>
          </w:tcPr>
          <w:p w:rsidR="001E16DF" w:rsidRPr="002045F5" w:rsidRDefault="001E16DF" w:rsidP="00524DBF">
            <w:pPr>
              <w:tabs>
                <w:tab w:val="left" w:pos="5290"/>
              </w:tabs>
              <w:jc w:val="center"/>
              <w:rPr>
                <w:sz w:val="22"/>
              </w:rPr>
            </w:pPr>
            <w:r w:rsidRPr="002045F5">
              <w:rPr>
                <w:sz w:val="22"/>
              </w:rPr>
              <w:t>8 988,9365</w:t>
            </w:r>
          </w:p>
        </w:tc>
        <w:tc>
          <w:tcPr>
            <w:tcW w:w="1474" w:type="dxa"/>
            <w:gridSpan w:val="2"/>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jc w:val="center"/>
              <w:rPr>
                <w:rFonts w:eastAsia="Calibri"/>
                <w:color w:val="000000"/>
                <w:sz w:val="22"/>
              </w:rPr>
            </w:pPr>
            <w:r w:rsidRPr="002045F5">
              <w:rPr>
                <w:rFonts w:eastAsia="Calibri"/>
                <w:color w:val="000000"/>
                <w:sz w:val="22"/>
              </w:rPr>
              <w:t>Міжнародні інвестиції</w:t>
            </w:r>
          </w:p>
        </w:tc>
        <w:tc>
          <w:tcPr>
            <w:tcW w:w="1616" w:type="dxa"/>
            <w:gridSpan w:val="2"/>
            <w:tcBorders>
              <w:top w:val="single" w:sz="6" w:space="0" w:color="auto"/>
              <w:left w:val="single" w:sz="6" w:space="0" w:color="auto"/>
              <w:bottom w:val="single" w:sz="6" w:space="0" w:color="auto"/>
              <w:right w:val="single" w:sz="6" w:space="0" w:color="auto"/>
            </w:tcBorders>
          </w:tcPr>
          <w:p w:rsidR="001E16DF" w:rsidRPr="002045F5" w:rsidRDefault="001E16DF" w:rsidP="00524DBF">
            <w:pPr>
              <w:shd w:val="clear" w:color="auto" w:fill="FFFFFF"/>
              <w:tabs>
                <w:tab w:val="left" w:pos="378"/>
              </w:tabs>
              <w:jc w:val="center"/>
              <w:rPr>
                <w:sz w:val="22"/>
              </w:rPr>
            </w:pPr>
            <w:r w:rsidRPr="002045F5">
              <w:rPr>
                <w:sz w:val="22"/>
              </w:rPr>
              <w:t>58 988,9365</w:t>
            </w:r>
          </w:p>
        </w:tc>
      </w:tr>
    </w:tbl>
    <w:p w:rsidR="001E16DF" w:rsidRPr="002045F5" w:rsidRDefault="001E16DF" w:rsidP="00E95FB1">
      <w:pPr>
        <w:rPr>
          <w:sz w:val="22"/>
        </w:rPr>
      </w:pPr>
    </w:p>
    <w:p w:rsidR="0066086F" w:rsidRPr="002045F5" w:rsidRDefault="0066086F" w:rsidP="00E95FB1">
      <w:pPr>
        <w:rPr>
          <w:sz w:val="22"/>
        </w:rPr>
      </w:pPr>
    </w:p>
    <w:p w:rsidR="001E16DF" w:rsidRPr="002045F5" w:rsidRDefault="001E16DF" w:rsidP="00E95FB1">
      <w:pPr>
        <w:rPr>
          <w:sz w:val="22"/>
        </w:rPr>
      </w:pPr>
    </w:p>
    <w:tbl>
      <w:tblPr>
        <w:tblpPr w:leftFromText="180" w:rightFromText="180" w:vertAnchor="text" w:horzAnchor="page" w:tblpXSpec="center" w:tblpY="123"/>
        <w:tblW w:w="10803" w:type="dxa"/>
        <w:tblLayout w:type="fixed"/>
        <w:tblCellMar>
          <w:left w:w="30" w:type="dxa"/>
          <w:right w:w="30" w:type="dxa"/>
        </w:tblCellMar>
        <w:tblLook w:val="0000" w:firstRow="0" w:lastRow="0" w:firstColumn="0" w:lastColumn="0" w:noHBand="0" w:noVBand="0"/>
      </w:tblPr>
      <w:tblGrid>
        <w:gridCol w:w="881"/>
        <w:gridCol w:w="2835"/>
        <w:gridCol w:w="1894"/>
        <w:gridCol w:w="1080"/>
        <w:gridCol w:w="570"/>
        <w:gridCol w:w="330"/>
        <w:gridCol w:w="1087"/>
        <w:gridCol w:w="533"/>
        <w:gridCol w:w="1593"/>
      </w:tblGrid>
      <w:tr w:rsidR="00670D96" w:rsidRPr="002045F5" w:rsidTr="00670D96">
        <w:trPr>
          <w:trHeight w:val="234"/>
        </w:trPr>
        <w:tc>
          <w:tcPr>
            <w:tcW w:w="881" w:type="dxa"/>
            <w:tcBorders>
              <w:top w:val="nil"/>
              <w:left w:val="nil"/>
              <w:bottom w:val="nil"/>
              <w:right w:val="nil"/>
            </w:tcBorders>
          </w:tcPr>
          <w:p w:rsidR="001E16DF" w:rsidRPr="002045F5" w:rsidRDefault="001E16DF" w:rsidP="00524DBF">
            <w:pPr>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r w:rsidRPr="002045F5">
              <w:rPr>
                <w:rFonts w:eastAsia="Calibri"/>
                <w:b/>
                <w:color w:val="000000"/>
                <w:sz w:val="22"/>
              </w:rPr>
              <w:t>Оперативна ціль/завдання</w:t>
            </w:r>
          </w:p>
        </w:tc>
        <w:tc>
          <w:tcPr>
            <w:tcW w:w="7087" w:type="dxa"/>
            <w:gridSpan w:val="7"/>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rPr>
                <w:rFonts w:eastAsia="Calibri"/>
                <w:color w:val="000000"/>
                <w:sz w:val="22"/>
              </w:rPr>
            </w:pPr>
            <w:r w:rsidRPr="002045F5">
              <w:rPr>
                <w:sz w:val="22"/>
              </w:rPr>
              <w:t xml:space="preserve">Людський розвиток через інновації управління та довіру до влади. Формування сучасного інклюзивного  </w:t>
            </w:r>
            <w:proofErr w:type="spellStart"/>
            <w:r w:rsidRPr="002045F5">
              <w:rPr>
                <w:sz w:val="22"/>
              </w:rPr>
              <w:t>освітньо</w:t>
            </w:r>
            <w:proofErr w:type="spellEnd"/>
            <w:r w:rsidRPr="002045F5">
              <w:rPr>
                <w:sz w:val="22"/>
              </w:rPr>
              <w:t>-культурного та спортивного простору для розвитку</w:t>
            </w:r>
          </w:p>
        </w:tc>
      </w:tr>
      <w:tr w:rsidR="00670D96" w:rsidRPr="002045F5" w:rsidTr="00670D96">
        <w:trPr>
          <w:trHeight w:val="278"/>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r w:rsidRPr="002045F5">
              <w:rPr>
                <w:rFonts w:eastAsia="Calibri"/>
                <w:b/>
                <w:color w:val="000000"/>
                <w:sz w:val="22"/>
              </w:rPr>
              <w:t>Назва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rPr>
                <w:rFonts w:eastAsia="Calibri"/>
                <w:color w:val="000000"/>
                <w:sz w:val="22"/>
              </w:rPr>
            </w:pPr>
            <w:r w:rsidRPr="002045F5">
              <w:rPr>
                <w:sz w:val="22"/>
              </w:rPr>
              <w:t xml:space="preserve">Оснащення центру професійної підготовки водіїв у Сєвєродонецькому міжшкільному ресурсному центрі за </w:t>
            </w:r>
            <w:proofErr w:type="spellStart"/>
            <w:r w:rsidRPr="002045F5">
              <w:rPr>
                <w:sz w:val="22"/>
              </w:rPr>
              <w:t>адресою</w:t>
            </w:r>
            <w:proofErr w:type="spellEnd"/>
            <w:r w:rsidRPr="002045F5">
              <w:rPr>
                <w:sz w:val="22"/>
              </w:rPr>
              <w:t xml:space="preserve"> проспект Центральний</w:t>
            </w:r>
            <w:r w:rsidR="00371DC9" w:rsidRPr="002045F5">
              <w:rPr>
                <w:sz w:val="22"/>
              </w:rPr>
              <w:t>,</w:t>
            </w:r>
            <w:r w:rsidRPr="002045F5">
              <w:rPr>
                <w:sz w:val="22"/>
              </w:rPr>
              <w:t xml:space="preserve"> 19</w:t>
            </w:r>
          </w:p>
        </w:tc>
      </w:tr>
      <w:tr w:rsidR="00670D96" w:rsidRPr="002045F5" w:rsidTr="00670D96">
        <w:trPr>
          <w:trHeight w:val="1028"/>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r w:rsidRPr="002045F5">
              <w:rPr>
                <w:rFonts w:eastAsia="Calibri"/>
                <w:b/>
                <w:color w:val="000000"/>
                <w:sz w:val="22"/>
              </w:rPr>
              <w:t>Ціль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1E16DF" w:rsidRPr="002045F5" w:rsidRDefault="001E16DF" w:rsidP="000303D7">
            <w:pPr>
              <w:pStyle w:val="a7"/>
              <w:numPr>
                <w:ilvl w:val="0"/>
                <w:numId w:val="124"/>
              </w:numPr>
              <w:ind w:left="213" w:hanging="142"/>
              <w:jc w:val="left"/>
              <w:rPr>
                <w:sz w:val="22"/>
              </w:rPr>
            </w:pPr>
            <w:r w:rsidRPr="002045F5">
              <w:rPr>
                <w:sz w:val="22"/>
              </w:rPr>
              <w:t>Оснащення кабінетів та боксів автосправи МРЦ</w:t>
            </w:r>
            <w:r w:rsidR="00A958F5" w:rsidRPr="002045F5">
              <w:rPr>
                <w:sz w:val="22"/>
              </w:rPr>
              <w:t>.</w:t>
            </w:r>
          </w:p>
          <w:p w:rsidR="001E16DF" w:rsidRPr="002045F5" w:rsidRDefault="001E16DF" w:rsidP="000303D7">
            <w:pPr>
              <w:pStyle w:val="a7"/>
              <w:numPr>
                <w:ilvl w:val="0"/>
                <w:numId w:val="124"/>
              </w:numPr>
              <w:ind w:left="213" w:hanging="142"/>
              <w:jc w:val="left"/>
              <w:rPr>
                <w:sz w:val="22"/>
              </w:rPr>
            </w:pPr>
            <w:r w:rsidRPr="002045F5">
              <w:rPr>
                <w:sz w:val="22"/>
              </w:rPr>
              <w:t>Створення та забезпечення умов для оволодіння професією «Водій».</w:t>
            </w:r>
          </w:p>
          <w:p w:rsidR="001E16DF" w:rsidRPr="002045F5" w:rsidRDefault="001E16DF" w:rsidP="000303D7">
            <w:pPr>
              <w:pStyle w:val="a7"/>
              <w:numPr>
                <w:ilvl w:val="0"/>
                <w:numId w:val="124"/>
              </w:numPr>
              <w:ind w:left="213" w:hanging="142"/>
              <w:jc w:val="left"/>
              <w:rPr>
                <w:sz w:val="22"/>
              </w:rPr>
            </w:pPr>
            <w:r w:rsidRPr="002045F5">
              <w:rPr>
                <w:sz w:val="22"/>
              </w:rPr>
              <w:t>Виховання у здобувачів освіти самостійності та відповідальності.</w:t>
            </w:r>
          </w:p>
          <w:p w:rsidR="001E16DF" w:rsidRPr="002045F5" w:rsidRDefault="001E16DF" w:rsidP="000303D7">
            <w:pPr>
              <w:pStyle w:val="a7"/>
              <w:numPr>
                <w:ilvl w:val="0"/>
                <w:numId w:val="124"/>
              </w:numPr>
              <w:ind w:left="213" w:hanging="142"/>
              <w:jc w:val="left"/>
              <w:rPr>
                <w:sz w:val="22"/>
              </w:rPr>
            </w:pPr>
            <w:r w:rsidRPr="002045F5">
              <w:rPr>
                <w:sz w:val="22"/>
              </w:rPr>
              <w:t>Забезпечення умов для професійного самовизначення.</w:t>
            </w:r>
          </w:p>
          <w:p w:rsidR="001E16DF" w:rsidRPr="002045F5" w:rsidRDefault="001E16DF" w:rsidP="000303D7">
            <w:pPr>
              <w:pStyle w:val="a7"/>
              <w:numPr>
                <w:ilvl w:val="0"/>
                <w:numId w:val="124"/>
              </w:numPr>
              <w:ind w:left="213" w:hanging="142"/>
              <w:jc w:val="left"/>
              <w:rPr>
                <w:sz w:val="22"/>
              </w:rPr>
            </w:pPr>
            <w:proofErr w:type="spellStart"/>
            <w:r w:rsidRPr="002045F5">
              <w:rPr>
                <w:sz w:val="22"/>
              </w:rPr>
              <w:t>Фомува</w:t>
            </w:r>
            <w:r w:rsidR="00A958F5" w:rsidRPr="002045F5">
              <w:rPr>
                <w:sz w:val="22"/>
              </w:rPr>
              <w:t>ння</w:t>
            </w:r>
            <w:proofErr w:type="spellEnd"/>
            <w:r w:rsidRPr="002045F5">
              <w:rPr>
                <w:sz w:val="22"/>
              </w:rPr>
              <w:t xml:space="preserve"> усвідомлення важливості безпечної поведінки на дорозі.</w:t>
            </w:r>
          </w:p>
          <w:p w:rsidR="001E16DF" w:rsidRPr="002045F5" w:rsidRDefault="001E16DF" w:rsidP="000303D7">
            <w:pPr>
              <w:pStyle w:val="a7"/>
              <w:numPr>
                <w:ilvl w:val="0"/>
                <w:numId w:val="124"/>
              </w:numPr>
              <w:ind w:left="213" w:hanging="142"/>
              <w:jc w:val="left"/>
              <w:rPr>
                <w:sz w:val="22"/>
              </w:rPr>
            </w:pPr>
            <w:r w:rsidRPr="002045F5">
              <w:rPr>
                <w:sz w:val="22"/>
              </w:rPr>
              <w:t>Під час навчання формувати такі компетентності, як уміння вчитися впродовж життя, спілкуватися державною мовою, соціальну та громадянську компетентність.</w:t>
            </w:r>
          </w:p>
          <w:p w:rsidR="001E16DF" w:rsidRPr="002045F5" w:rsidRDefault="001E16DF" w:rsidP="000303D7">
            <w:pPr>
              <w:pStyle w:val="a7"/>
              <w:numPr>
                <w:ilvl w:val="0"/>
                <w:numId w:val="124"/>
              </w:numPr>
              <w:ind w:left="213" w:hanging="142"/>
              <w:jc w:val="left"/>
              <w:rPr>
                <w:sz w:val="22"/>
              </w:rPr>
            </w:pPr>
            <w:r w:rsidRPr="002045F5">
              <w:rPr>
                <w:sz w:val="22"/>
              </w:rPr>
              <w:t>Забезпечення умов для життєвого і професійного самовизначення здобувачів освіти ліцеїв.</w:t>
            </w:r>
          </w:p>
        </w:tc>
      </w:tr>
      <w:tr w:rsidR="00670D96" w:rsidRPr="002045F5" w:rsidTr="00670D96">
        <w:trPr>
          <w:trHeight w:val="683"/>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r w:rsidRPr="002045F5">
              <w:rPr>
                <w:rFonts w:eastAsia="Calibri"/>
                <w:b/>
                <w:color w:val="000000"/>
                <w:sz w:val="22"/>
              </w:rPr>
              <w:t>Територія, на яку матиме вплив реалізація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rPr>
                <w:rFonts w:eastAsia="Calibri"/>
                <w:color w:val="000000"/>
                <w:sz w:val="22"/>
              </w:rPr>
            </w:pPr>
            <w:r w:rsidRPr="002045F5">
              <w:rPr>
                <w:rFonts w:eastAsia="Calibri"/>
                <w:color w:val="000000"/>
                <w:sz w:val="22"/>
              </w:rPr>
              <w:t>Сєвєродонецька міська територіальна громада</w:t>
            </w:r>
          </w:p>
        </w:tc>
      </w:tr>
      <w:tr w:rsidR="00670D96" w:rsidRPr="002045F5" w:rsidTr="00670D96">
        <w:trPr>
          <w:trHeight w:val="870"/>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r w:rsidRPr="002045F5">
              <w:rPr>
                <w:rFonts w:eastAsia="Calibri"/>
                <w:b/>
                <w:color w:val="000000"/>
                <w:sz w:val="22"/>
              </w:rPr>
              <w:t>Чисельність населення, на яке матиме вплив реалізація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rPr>
                <w:rFonts w:eastAsia="Calibri"/>
                <w:color w:val="000000"/>
                <w:sz w:val="22"/>
              </w:rPr>
            </w:pPr>
            <w:r w:rsidRPr="002045F5">
              <w:rPr>
                <w:sz w:val="22"/>
              </w:rPr>
              <w:t>70 000  осіб</w:t>
            </w:r>
          </w:p>
        </w:tc>
      </w:tr>
      <w:tr w:rsidR="00670D96" w:rsidRPr="002045F5" w:rsidTr="00670D96">
        <w:trPr>
          <w:trHeight w:val="2821"/>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r w:rsidRPr="002045F5">
              <w:rPr>
                <w:rFonts w:eastAsia="Calibri"/>
                <w:b/>
                <w:color w:val="000000"/>
                <w:sz w:val="22"/>
              </w:rPr>
              <w:t>Опис проблеми, на вирішення якої спрямований проект</w:t>
            </w:r>
          </w:p>
        </w:tc>
        <w:tc>
          <w:tcPr>
            <w:tcW w:w="7087" w:type="dxa"/>
            <w:gridSpan w:val="7"/>
            <w:tcBorders>
              <w:top w:val="single" w:sz="6" w:space="0" w:color="auto"/>
              <w:left w:val="single" w:sz="6" w:space="0" w:color="auto"/>
              <w:bottom w:val="single" w:sz="6" w:space="0" w:color="auto"/>
              <w:right w:val="single" w:sz="6" w:space="0" w:color="auto"/>
            </w:tcBorders>
          </w:tcPr>
          <w:p w:rsidR="001E16DF" w:rsidRPr="002045F5" w:rsidRDefault="001E16DF" w:rsidP="00524DBF">
            <w:pPr>
              <w:rPr>
                <w:sz w:val="22"/>
              </w:rPr>
            </w:pPr>
            <w:r w:rsidRPr="002045F5">
              <w:rPr>
                <w:sz w:val="22"/>
              </w:rPr>
              <w:t xml:space="preserve">Через військову агресію </w:t>
            </w:r>
            <w:r w:rsidR="00A958F5" w:rsidRPr="002045F5">
              <w:rPr>
                <w:sz w:val="22"/>
              </w:rPr>
              <w:t xml:space="preserve"> РФ </w:t>
            </w:r>
            <w:r w:rsidRPr="002045F5">
              <w:rPr>
                <w:sz w:val="22"/>
              </w:rPr>
              <w:t xml:space="preserve"> Сєвєродонецька міська територіальна громада зазнала значних пошкоджень. Матеріальна база Сєвєродонецького міжшкільного ресурсного центру за </w:t>
            </w:r>
            <w:proofErr w:type="spellStart"/>
            <w:r w:rsidRPr="002045F5">
              <w:rPr>
                <w:sz w:val="22"/>
              </w:rPr>
              <w:t>адресою</w:t>
            </w:r>
            <w:proofErr w:type="spellEnd"/>
            <w:r w:rsidRPr="002045F5">
              <w:rPr>
                <w:sz w:val="22"/>
              </w:rPr>
              <w:t xml:space="preserve"> проспект Центральний</w:t>
            </w:r>
            <w:r w:rsidR="00C97C5E" w:rsidRPr="002045F5">
              <w:rPr>
                <w:sz w:val="22"/>
              </w:rPr>
              <w:t>,</w:t>
            </w:r>
            <w:r w:rsidRPr="002045F5">
              <w:rPr>
                <w:sz w:val="22"/>
              </w:rPr>
              <w:t xml:space="preserve"> 19 знищена або розграбована. У нових повоєнних соціально-економічних умовах освіта сприятиме відродженню економіки держави та регіону, сприятиме реформуванню суспільства. Сьогодні в Україні більше 10 млн. осіб мають посвідчення водія, що становить майже третину активного населення країни. У майбутньому ця цифра буде тільки зростати.</w:t>
            </w:r>
          </w:p>
          <w:p w:rsidR="001E16DF" w:rsidRPr="002045F5" w:rsidRDefault="001E16DF" w:rsidP="00524DBF">
            <w:pPr>
              <w:shd w:val="clear" w:color="auto" w:fill="FFFFFF"/>
              <w:rPr>
                <w:sz w:val="22"/>
              </w:rPr>
            </w:pPr>
            <w:r w:rsidRPr="002045F5">
              <w:rPr>
                <w:sz w:val="22"/>
              </w:rPr>
              <w:t xml:space="preserve">Сєвєродонецький МРЦ більше сорока років займався підготовкою учнівської молоді за освітньою програмою «Водій автотранспортних засобів», центр має кадрове забезпечення, великий досвід з підготовки мешканців </w:t>
            </w:r>
            <w:proofErr w:type="spellStart"/>
            <w:r w:rsidRPr="002045F5">
              <w:rPr>
                <w:sz w:val="22"/>
              </w:rPr>
              <w:t>теріторіальної</w:t>
            </w:r>
            <w:proofErr w:type="spellEnd"/>
            <w:r w:rsidRPr="002045F5">
              <w:rPr>
                <w:sz w:val="22"/>
              </w:rPr>
              <w:t xml:space="preserve"> громади за професією. Крім того, здобувачі освіти ліцеїв мають під час здобуття повної загальної середньої освіти пройти навчання за професією «Водій автотранспортних засобів» и отримати теоретичні знання та практичні навички водія. МРЦ також забезпечить професійну підготовку та перепідготовку молоді міста за професією «Водій».</w:t>
            </w:r>
          </w:p>
          <w:p w:rsidR="001E16DF" w:rsidRPr="002045F5" w:rsidRDefault="001E16DF" w:rsidP="00524DBF">
            <w:pPr>
              <w:rPr>
                <w:sz w:val="22"/>
              </w:rPr>
            </w:pPr>
            <w:r w:rsidRPr="002045F5">
              <w:rPr>
                <w:sz w:val="22"/>
              </w:rPr>
              <w:lastRenderedPageBreak/>
              <w:t xml:space="preserve">у Сєвєродонецькому МРЦ є можливість створити умови для здобувачів освіти старшої профільної школи, молоді міста з оволодіння навиками керування транспортних засобів; розширити коло спілкування молоді; усунути негативну дію соціального та інформаційного чинників середовища; виховати здобувачів освіти більш самостійними і впевненими в своїх силах. </w:t>
            </w:r>
          </w:p>
          <w:p w:rsidR="001E16DF" w:rsidRPr="002045F5" w:rsidRDefault="001E16DF" w:rsidP="00524DBF">
            <w:pPr>
              <w:shd w:val="clear" w:color="auto" w:fill="FFFFFF"/>
              <w:rPr>
                <w:sz w:val="22"/>
              </w:rPr>
            </w:pPr>
            <w:r w:rsidRPr="002045F5">
              <w:rPr>
                <w:sz w:val="22"/>
              </w:rPr>
              <w:t xml:space="preserve">Для проходження навчання за професією «Водій автотранспортних засобів» у центрі та створення умов для успішної роботи педагогічного колективу необхідно відновити матеріальну базу, яка була знищена окупантами. </w:t>
            </w:r>
          </w:p>
          <w:p w:rsidR="001E16DF" w:rsidRPr="002045F5" w:rsidRDefault="001E16DF" w:rsidP="00524DBF">
            <w:pPr>
              <w:rPr>
                <w:sz w:val="22"/>
              </w:rPr>
            </w:pPr>
            <w:r w:rsidRPr="002045F5">
              <w:rPr>
                <w:sz w:val="22"/>
              </w:rPr>
              <w:t xml:space="preserve">Реалізація </w:t>
            </w:r>
            <w:proofErr w:type="spellStart"/>
            <w:r w:rsidRPr="002045F5">
              <w:rPr>
                <w:sz w:val="22"/>
              </w:rPr>
              <w:t>проєкту</w:t>
            </w:r>
            <w:proofErr w:type="spellEnd"/>
            <w:r w:rsidRPr="002045F5">
              <w:rPr>
                <w:sz w:val="22"/>
              </w:rPr>
              <w:t xml:space="preserve"> дозволить здобувачам освіти міста, молоді територіальної громади оволодіти такою необхідною професією</w:t>
            </w:r>
            <w:r w:rsidR="007B569B" w:rsidRPr="002045F5">
              <w:rPr>
                <w:sz w:val="22"/>
              </w:rPr>
              <w:t>.</w:t>
            </w:r>
            <w:r w:rsidRPr="002045F5">
              <w:rPr>
                <w:sz w:val="22"/>
              </w:rPr>
              <w:t xml:space="preserve"> </w:t>
            </w:r>
            <w:r w:rsidR="007B569B" w:rsidRPr="002045F5">
              <w:rPr>
                <w:sz w:val="22"/>
              </w:rPr>
              <w:t>Ц</w:t>
            </w:r>
            <w:r w:rsidRPr="002045F5">
              <w:rPr>
                <w:sz w:val="22"/>
              </w:rPr>
              <w:t>е в майбутньому дасть їм можливість започаткувати власну справу, залишитися працювати в місті, приносити користь громаді.</w:t>
            </w:r>
          </w:p>
          <w:p w:rsidR="001E16DF" w:rsidRPr="002045F5" w:rsidRDefault="001E16DF" w:rsidP="00524DBF">
            <w:pPr>
              <w:autoSpaceDE w:val="0"/>
              <w:autoSpaceDN w:val="0"/>
              <w:adjustRightInd w:val="0"/>
              <w:rPr>
                <w:rFonts w:eastAsia="Calibri"/>
                <w:color w:val="000000"/>
                <w:sz w:val="22"/>
              </w:rPr>
            </w:pPr>
            <w:r w:rsidRPr="002045F5">
              <w:rPr>
                <w:sz w:val="22"/>
              </w:rPr>
              <w:t xml:space="preserve">Для реалізації цілей необхідно придбати меблі, оргтехніку, проектор; автомобілі (з механічною та автоматичною коробкою передач), причеп з </w:t>
            </w:r>
            <w:proofErr w:type="spellStart"/>
            <w:r w:rsidRPr="002045F5">
              <w:rPr>
                <w:sz w:val="22"/>
              </w:rPr>
              <w:t>фаркопом</w:t>
            </w:r>
            <w:proofErr w:type="spellEnd"/>
            <w:r w:rsidRPr="002045F5">
              <w:rPr>
                <w:sz w:val="22"/>
              </w:rPr>
              <w:t xml:space="preserve">, плакати з ПДД, Дорожні знаки, ОБР, Медична допомога, Будова легкового автомобіля, Навички водія, Водіння в складних умовах; Планшети із схемами перехресть; оформити переобладнання автомобілів, пройти техогляд; </w:t>
            </w:r>
            <w:proofErr w:type="spellStart"/>
            <w:r w:rsidRPr="002045F5">
              <w:rPr>
                <w:sz w:val="22"/>
              </w:rPr>
              <w:t>отрамати</w:t>
            </w:r>
            <w:proofErr w:type="spellEnd"/>
            <w:r w:rsidRPr="002045F5">
              <w:rPr>
                <w:sz w:val="22"/>
              </w:rPr>
              <w:t xml:space="preserve"> ліцензію, обладнати майданчик початкового водіння.</w:t>
            </w:r>
          </w:p>
        </w:tc>
      </w:tr>
      <w:tr w:rsidR="00670D96" w:rsidRPr="002045F5" w:rsidTr="00670D96">
        <w:trPr>
          <w:trHeight w:val="3104"/>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r w:rsidRPr="002045F5">
              <w:rPr>
                <w:rFonts w:eastAsia="Calibri"/>
                <w:b/>
                <w:color w:val="000000"/>
                <w:sz w:val="22"/>
              </w:rPr>
              <w:t>Очікувані якісні результати від реалізації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1E16DF" w:rsidRPr="002045F5" w:rsidRDefault="001E16DF" w:rsidP="000303D7">
            <w:pPr>
              <w:pStyle w:val="a7"/>
              <w:numPr>
                <w:ilvl w:val="0"/>
                <w:numId w:val="125"/>
              </w:numPr>
              <w:ind w:left="284" w:hanging="284"/>
              <w:jc w:val="left"/>
              <w:rPr>
                <w:sz w:val="22"/>
              </w:rPr>
            </w:pPr>
            <w:r w:rsidRPr="002045F5">
              <w:rPr>
                <w:sz w:val="22"/>
              </w:rPr>
              <w:t>Створення сучасних кабінетів для теоретичної підготовки водіїв.</w:t>
            </w:r>
          </w:p>
          <w:p w:rsidR="001E16DF" w:rsidRPr="002045F5" w:rsidRDefault="001E16DF" w:rsidP="000303D7">
            <w:pPr>
              <w:pStyle w:val="a7"/>
              <w:numPr>
                <w:ilvl w:val="0"/>
                <w:numId w:val="125"/>
              </w:numPr>
              <w:ind w:left="284" w:hanging="284"/>
              <w:jc w:val="left"/>
              <w:rPr>
                <w:sz w:val="22"/>
              </w:rPr>
            </w:pPr>
            <w:r w:rsidRPr="002045F5">
              <w:rPr>
                <w:sz w:val="22"/>
              </w:rPr>
              <w:t>Оснащення та обладнання  боксів, освітнього процесу для практичної підготовки водіїв.</w:t>
            </w:r>
          </w:p>
          <w:p w:rsidR="001E16DF" w:rsidRPr="002045F5" w:rsidRDefault="001E16DF" w:rsidP="000303D7">
            <w:pPr>
              <w:pStyle w:val="a7"/>
              <w:numPr>
                <w:ilvl w:val="0"/>
                <w:numId w:val="125"/>
              </w:numPr>
              <w:ind w:left="284" w:hanging="284"/>
              <w:jc w:val="left"/>
              <w:rPr>
                <w:sz w:val="22"/>
              </w:rPr>
            </w:pPr>
            <w:r w:rsidRPr="002045F5">
              <w:rPr>
                <w:sz w:val="22"/>
              </w:rPr>
              <w:t>Розкриття творчого потенціалу дітей та молоді, відкриття нових талантів.</w:t>
            </w:r>
          </w:p>
          <w:p w:rsidR="001E16DF" w:rsidRPr="002045F5" w:rsidRDefault="001E16DF" w:rsidP="000303D7">
            <w:pPr>
              <w:pStyle w:val="a7"/>
              <w:numPr>
                <w:ilvl w:val="0"/>
                <w:numId w:val="125"/>
              </w:numPr>
              <w:ind w:left="284" w:hanging="284"/>
              <w:jc w:val="left"/>
              <w:rPr>
                <w:sz w:val="22"/>
              </w:rPr>
            </w:pPr>
            <w:r w:rsidRPr="002045F5">
              <w:rPr>
                <w:sz w:val="22"/>
              </w:rPr>
              <w:t>Розширюється коло спілкування здобувачів освіти.</w:t>
            </w:r>
          </w:p>
          <w:p w:rsidR="001E16DF" w:rsidRPr="002045F5" w:rsidRDefault="001E16DF" w:rsidP="000303D7">
            <w:pPr>
              <w:pStyle w:val="a7"/>
              <w:numPr>
                <w:ilvl w:val="0"/>
                <w:numId w:val="125"/>
              </w:numPr>
              <w:ind w:left="284" w:hanging="284"/>
              <w:jc w:val="left"/>
              <w:rPr>
                <w:sz w:val="22"/>
              </w:rPr>
            </w:pPr>
            <w:r w:rsidRPr="002045F5">
              <w:rPr>
                <w:sz w:val="22"/>
              </w:rPr>
              <w:t>Зробить здобувачів освіти більш самостійними і впевненими патріотами своєї територіальної громади, України.</w:t>
            </w:r>
          </w:p>
          <w:p w:rsidR="001E16DF" w:rsidRPr="002045F5" w:rsidRDefault="001E16DF" w:rsidP="000303D7">
            <w:pPr>
              <w:pStyle w:val="a7"/>
              <w:numPr>
                <w:ilvl w:val="0"/>
                <w:numId w:val="125"/>
              </w:numPr>
              <w:ind w:left="284" w:hanging="284"/>
              <w:jc w:val="left"/>
              <w:rPr>
                <w:sz w:val="22"/>
              </w:rPr>
            </w:pPr>
            <w:r w:rsidRPr="002045F5">
              <w:rPr>
                <w:sz w:val="22"/>
              </w:rPr>
              <w:t>Забезпечити навчальні кабінети сучасними технічними засобами навчання.</w:t>
            </w:r>
          </w:p>
        </w:tc>
      </w:tr>
      <w:tr w:rsidR="00670D96" w:rsidRPr="002045F5" w:rsidTr="00670D96">
        <w:trPr>
          <w:trHeight w:val="756"/>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vMerge w:val="restart"/>
            <w:tcBorders>
              <w:top w:val="single" w:sz="6" w:space="0" w:color="auto"/>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r w:rsidRPr="002045F5">
              <w:rPr>
                <w:rFonts w:eastAsia="Calibri"/>
                <w:b/>
                <w:color w:val="000000"/>
                <w:sz w:val="22"/>
              </w:rPr>
              <w:t>Очікувані кількісні результати від реалізації проекту  (індикатори)</w:t>
            </w:r>
          </w:p>
        </w:tc>
        <w:tc>
          <w:tcPr>
            <w:tcW w:w="3544" w:type="dxa"/>
            <w:gridSpan w:val="3"/>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jc w:val="center"/>
              <w:rPr>
                <w:rFonts w:eastAsia="Calibri"/>
                <w:b/>
                <w:color w:val="000000"/>
                <w:sz w:val="22"/>
              </w:rPr>
            </w:pPr>
            <w:r w:rsidRPr="002045F5">
              <w:rPr>
                <w:rFonts w:eastAsia="Calibri"/>
                <w:b/>
                <w:color w:val="000000"/>
                <w:sz w:val="22"/>
              </w:rPr>
              <w:t>Найменування показника</w:t>
            </w:r>
          </w:p>
        </w:tc>
        <w:tc>
          <w:tcPr>
            <w:tcW w:w="1417" w:type="dxa"/>
            <w:gridSpan w:val="2"/>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jc w:val="center"/>
              <w:rPr>
                <w:rFonts w:eastAsia="Calibri"/>
                <w:b/>
                <w:color w:val="000000"/>
                <w:sz w:val="22"/>
              </w:rPr>
            </w:pPr>
            <w:r w:rsidRPr="002045F5">
              <w:rPr>
                <w:rFonts w:eastAsia="Calibri"/>
                <w:b/>
                <w:color w:val="000000"/>
                <w:sz w:val="22"/>
              </w:rPr>
              <w:t>Одиниця вимірювання</w:t>
            </w:r>
          </w:p>
        </w:tc>
        <w:tc>
          <w:tcPr>
            <w:tcW w:w="2126" w:type="dxa"/>
            <w:gridSpan w:val="2"/>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jc w:val="center"/>
              <w:rPr>
                <w:rFonts w:eastAsia="Calibri"/>
                <w:b/>
                <w:color w:val="000000"/>
                <w:sz w:val="22"/>
              </w:rPr>
            </w:pPr>
            <w:r w:rsidRPr="002045F5">
              <w:rPr>
                <w:rFonts w:eastAsia="Calibri"/>
                <w:b/>
                <w:color w:val="000000"/>
                <w:sz w:val="22"/>
              </w:rPr>
              <w:t>Прогнозне (цільове) значення</w:t>
            </w:r>
          </w:p>
        </w:tc>
      </w:tr>
      <w:tr w:rsidR="00670D96" w:rsidRPr="002045F5" w:rsidTr="00670D96">
        <w:trPr>
          <w:trHeight w:val="278"/>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p>
        </w:tc>
        <w:tc>
          <w:tcPr>
            <w:tcW w:w="3544" w:type="dxa"/>
            <w:gridSpan w:val="3"/>
            <w:tcBorders>
              <w:top w:val="single" w:sz="6" w:space="0" w:color="auto"/>
              <w:left w:val="single" w:sz="6" w:space="0" w:color="auto"/>
              <w:right w:val="single" w:sz="6" w:space="0" w:color="auto"/>
            </w:tcBorders>
          </w:tcPr>
          <w:p w:rsidR="001E16DF" w:rsidRPr="002045F5" w:rsidRDefault="001E16DF" w:rsidP="00524DBF">
            <w:pPr>
              <w:autoSpaceDE w:val="0"/>
              <w:autoSpaceDN w:val="0"/>
              <w:adjustRightInd w:val="0"/>
              <w:spacing w:after="60"/>
              <w:rPr>
                <w:rFonts w:eastAsia="Calibri"/>
                <w:sz w:val="22"/>
              </w:rPr>
            </w:pPr>
            <w:r w:rsidRPr="002045F5">
              <w:rPr>
                <w:rFonts w:eastAsia="Calibri"/>
                <w:sz w:val="22"/>
              </w:rPr>
              <w:t>Меблі</w:t>
            </w:r>
          </w:p>
          <w:p w:rsidR="001E16DF" w:rsidRPr="002045F5" w:rsidRDefault="001E16DF" w:rsidP="00524DBF">
            <w:pPr>
              <w:autoSpaceDE w:val="0"/>
              <w:autoSpaceDN w:val="0"/>
              <w:adjustRightInd w:val="0"/>
              <w:spacing w:after="60"/>
              <w:rPr>
                <w:rFonts w:eastAsia="Calibri"/>
                <w:sz w:val="22"/>
              </w:rPr>
            </w:pPr>
            <w:r w:rsidRPr="002045F5">
              <w:rPr>
                <w:rFonts w:eastAsia="Calibri"/>
                <w:sz w:val="22"/>
              </w:rPr>
              <w:t xml:space="preserve">Автомобілі </w:t>
            </w:r>
          </w:p>
          <w:p w:rsidR="001E16DF" w:rsidRPr="002045F5" w:rsidRDefault="001E16DF" w:rsidP="00524DBF">
            <w:pPr>
              <w:autoSpaceDE w:val="0"/>
              <w:autoSpaceDN w:val="0"/>
              <w:adjustRightInd w:val="0"/>
              <w:spacing w:after="60"/>
              <w:rPr>
                <w:sz w:val="22"/>
              </w:rPr>
            </w:pPr>
            <w:r w:rsidRPr="002045F5">
              <w:rPr>
                <w:sz w:val="22"/>
              </w:rPr>
              <w:t>Обладнання автомобіля педалями для інструктора</w:t>
            </w:r>
          </w:p>
          <w:p w:rsidR="001E16DF" w:rsidRPr="002045F5" w:rsidRDefault="001E16DF" w:rsidP="00524DBF">
            <w:pPr>
              <w:autoSpaceDE w:val="0"/>
              <w:autoSpaceDN w:val="0"/>
              <w:adjustRightInd w:val="0"/>
              <w:spacing w:after="60"/>
              <w:rPr>
                <w:sz w:val="22"/>
              </w:rPr>
            </w:pPr>
            <w:r w:rsidRPr="002045F5">
              <w:rPr>
                <w:sz w:val="22"/>
              </w:rPr>
              <w:t xml:space="preserve">Пакет послуг </w:t>
            </w:r>
          </w:p>
          <w:p w:rsidR="001E16DF" w:rsidRPr="002045F5" w:rsidRDefault="001E16DF" w:rsidP="00524DBF">
            <w:pPr>
              <w:autoSpaceDE w:val="0"/>
              <w:autoSpaceDN w:val="0"/>
              <w:adjustRightInd w:val="0"/>
              <w:spacing w:after="60"/>
              <w:rPr>
                <w:sz w:val="22"/>
              </w:rPr>
            </w:pPr>
            <w:r w:rsidRPr="002045F5">
              <w:rPr>
                <w:sz w:val="22"/>
              </w:rPr>
              <w:t xml:space="preserve">Причіп з </w:t>
            </w:r>
            <w:proofErr w:type="spellStart"/>
            <w:r w:rsidRPr="002045F5">
              <w:rPr>
                <w:sz w:val="22"/>
              </w:rPr>
              <w:t>фаркопом</w:t>
            </w:r>
            <w:proofErr w:type="spellEnd"/>
          </w:p>
          <w:p w:rsidR="001E16DF" w:rsidRPr="002045F5" w:rsidRDefault="001E16DF" w:rsidP="00524DBF">
            <w:pPr>
              <w:autoSpaceDE w:val="0"/>
              <w:autoSpaceDN w:val="0"/>
              <w:adjustRightInd w:val="0"/>
              <w:spacing w:after="60"/>
              <w:rPr>
                <w:sz w:val="22"/>
              </w:rPr>
            </w:pPr>
            <w:r w:rsidRPr="002045F5">
              <w:rPr>
                <w:sz w:val="22"/>
              </w:rPr>
              <w:t>Технічний огляд автотранспортних засобів</w:t>
            </w:r>
          </w:p>
          <w:p w:rsidR="001E16DF" w:rsidRPr="002045F5" w:rsidRDefault="001E16DF" w:rsidP="00524DBF">
            <w:pPr>
              <w:autoSpaceDE w:val="0"/>
              <w:autoSpaceDN w:val="0"/>
              <w:adjustRightInd w:val="0"/>
              <w:spacing w:after="60"/>
              <w:rPr>
                <w:sz w:val="22"/>
              </w:rPr>
            </w:pPr>
            <w:r w:rsidRPr="002045F5">
              <w:rPr>
                <w:sz w:val="22"/>
              </w:rPr>
              <w:t>Страхування водіїв</w:t>
            </w:r>
          </w:p>
        </w:tc>
        <w:tc>
          <w:tcPr>
            <w:tcW w:w="1417" w:type="dxa"/>
            <w:gridSpan w:val="2"/>
            <w:tcBorders>
              <w:top w:val="single" w:sz="6" w:space="0" w:color="auto"/>
              <w:left w:val="single" w:sz="6" w:space="0" w:color="auto"/>
              <w:right w:val="single" w:sz="6" w:space="0" w:color="auto"/>
            </w:tcBorders>
          </w:tcPr>
          <w:p w:rsidR="001E16DF" w:rsidRPr="002045F5" w:rsidRDefault="001E16DF" w:rsidP="00524DBF">
            <w:pPr>
              <w:autoSpaceDE w:val="0"/>
              <w:autoSpaceDN w:val="0"/>
              <w:adjustRightInd w:val="0"/>
              <w:spacing w:after="60"/>
              <w:jc w:val="center"/>
              <w:rPr>
                <w:rFonts w:eastAsia="Calibri"/>
                <w:sz w:val="22"/>
              </w:rPr>
            </w:pPr>
            <w:r w:rsidRPr="002045F5">
              <w:rPr>
                <w:rFonts w:eastAsia="Calibri"/>
                <w:sz w:val="22"/>
              </w:rPr>
              <w:t>одиниць</w:t>
            </w:r>
          </w:p>
          <w:p w:rsidR="001E16DF" w:rsidRPr="002045F5" w:rsidRDefault="001E16DF" w:rsidP="00524DBF">
            <w:pPr>
              <w:autoSpaceDE w:val="0"/>
              <w:autoSpaceDN w:val="0"/>
              <w:adjustRightInd w:val="0"/>
              <w:spacing w:after="60"/>
              <w:jc w:val="center"/>
              <w:rPr>
                <w:rFonts w:eastAsia="Calibri"/>
                <w:sz w:val="22"/>
              </w:rPr>
            </w:pPr>
            <w:r w:rsidRPr="002045F5">
              <w:rPr>
                <w:rFonts w:eastAsia="Calibri"/>
                <w:sz w:val="22"/>
              </w:rPr>
              <w:t>одиниць</w:t>
            </w:r>
          </w:p>
          <w:p w:rsidR="001E16DF" w:rsidRPr="002045F5" w:rsidRDefault="001E16DF" w:rsidP="00524DBF">
            <w:pPr>
              <w:autoSpaceDE w:val="0"/>
              <w:autoSpaceDN w:val="0"/>
              <w:adjustRightInd w:val="0"/>
              <w:spacing w:after="60"/>
              <w:jc w:val="center"/>
              <w:rPr>
                <w:rFonts w:eastAsia="Calibri"/>
                <w:sz w:val="22"/>
              </w:rPr>
            </w:pPr>
          </w:p>
          <w:p w:rsidR="001E16DF" w:rsidRPr="002045F5" w:rsidRDefault="001E16DF" w:rsidP="00524DBF">
            <w:pPr>
              <w:autoSpaceDE w:val="0"/>
              <w:autoSpaceDN w:val="0"/>
              <w:adjustRightInd w:val="0"/>
              <w:spacing w:after="60"/>
              <w:jc w:val="center"/>
              <w:rPr>
                <w:rFonts w:eastAsia="Calibri"/>
                <w:sz w:val="22"/>
              </w:rPr>
            </w:pPr>
            <w:r w:rsidRPr="002045F5">
              <w:rPr>
                <w:rFonts w:eastAsia="Calibri"/>
                <w:sz w:val="22"/>
              </w:rPr>
              <w:t>одиниць</w:t>
            </w:r>
          </w:p>
          <w:p w:rsidR="001E16DF" w:rsidRPr="002045F5" w:rsidRDefault="001E16DF" w:rsidP="00524DBF">
            <w:pPr>
              <w:autoSpaceDE w:val="0"/>
              <w:autoSpaceDN w:val="0"/>
              <w:adjustRightInd w:val="0"/>
              <w:spacing w:after="60"/>
              <w:jc w:val="center"/>
              <w:rPr>
                <w:rFonts w:eastAsia="Calibri"/>
                <w:sz w:val="22"/>
              </w:rPr>
            </w:pPr>
            <w:r w:rsidRPr="002045F5">
              <w:rPr>
                <w:rFonts w:eastAsia="Calibri"/>
                <w:sz w:val="22"/>
              </w:rPr>
              <w:t>одиниць</w:t>
            </w:r>
          </w:p>
          <w:p w:rsidR="001E16DF" w:rsidRPr="002045F5" w:rsidRDefault="001E16DF" w:rsidP="00524DBF">
            <w:pPr>
              <w:autoSpaceDE w:val="0"/>
              <w:autoSpaceDN w:val="0"/>
              <w:adjustRightInd w:val="0"/>
              <w:spacing w:after="60"/>
              <w:jc w:val="center"/>
              <w:rPr>
                <w:rFonts w:eastAsia="Calibri"/>
                <w:sz w:val="22"/>
              </w:rPr>
            </w:pPr>
            <w:r w:rsidRPr="002045F5">
              <w:rPr>
                <w:rFonts w:eastAsia="Calibri"/>
                <w:sz w:val="22"/>
              </w:rPr>
              <w:t>одиниць</w:t>
            </w:r>
          </w:p>
          <w:p w:rsidR="001E16DF" w:rsidRPr="002045F5" w:rsidRDefault="001E16DF" w:rsidP="00524DBF">
            <w:pPr>
              <w:autoSpaceDE w:val="0"/>
              <w:autoSpaceDN w:val="0"/>
              <w:adjustRightInd w:val="0"/>
              <w:spacing w:after="60"/>
              <w:jc w:val="center"/>
              <w:rPr>
                <w:rFonts w:eastAsia="Calibri"/>
                <w:sz w:val="22"/>
              </w:rPr>
            </w:pPr>
            <w:r w:rsidRPr="002045F5">
              <w:rPr>
                <w:rFonts w:eastAsia="Calibri"/>
                <w:sz w:val="22"/>
              </w:rPr>
              <w:t>одиниць</w:t>
            </w:r>
          </w:p>
          <w:p w:rsidR="001E16DF" w:rsidRPr="002045F5" w:rsidRDefault="001E16DF" w:rsidP="00524DBF">
            <w:pPr>
              <w:autoSpaceDE w:val="0"/>
              <w:autoSpaceDN w:val="0"/>
              <w:adjustRightInd w:val="0"/>
              <w:spacing w:after="60"/>
              <w:jc w:val="center"/>
              <w:rPr>
                <w:rFonts w:eastAsia="Calibri"/>
                <w:sz w:val="22"/>
              </w:rPr>
            </w:pPr>
          </w:p>
          <w:p w:rsidR="001E16DF" w:rsidRPr="002045F5" w:rsidRDefault="001E16DF" w:rsidP="00524DBF">
            <w:pPr>
              <w:autoSpaceDE w:val="0"/>
              <w:autoSpaceDN w:val="0"/>
              <w:adjustRightInd w:val="0"/>
              <w:spacing w:after="60"/>
              <w:jc w:val="center"/>
              <w:rPr>
                <w:rFonts w:eastAsia="Calibri"/>
                <w:sz w:val="22"/>
              </w:rPr>
            </w:pPr>
            <w:r w:rsidRPr="002045F5">
              <w:rPr>
                <w:rFonts w:eastAsia="Calibri"/>
                <w:sz w:val="22"/>
              </w:rPr>
              <w:t>осіб</w:t>
            </w:r>
          </w:p>
        </w:tc>
        <w:tc>
          <w:tcPr>
            <w:tcW w:w="2126" w:type="dxa"/>
            <w:gridSpan w:val="2"/>
            <w:tcBorders>
              <w:top w:val="single" w:sz="6" w:space="0" w:color="auto"/>
              <w:left w:val="single" w:sz="6" w:space="0" w:color="auto"/>
              <w:right w:val="single" w:sz="6" w:space="0" w:color="auto"/>
            </w:tcBorders>
          </w:tcPr>
          <w:p w:rsidR="001E16DF" w:rsidRPr="002045F5" w:rsidRDefault="001E16DF" w:rsidP="00524DBF">
            <w:pPr>
              <w:autoSpaceDE w:val="0"/>
              <w:autoSpaceDN w:val="0"/>
              <w:adjustRightInd w:val="0"/>
              <w:spacing w:after="60"/>
              <w:jc w:val="center"/>
              <w:rPr>
                <w:rFonts w:eastAsia="Calibri"/>
                <w:sz w:val="22"/>
              </w:rPr>
            </w:pPr>
            <w:r w:rsidRPr="002045F5">
              <w:rPr>
                <w:rFonts w:eastAsia="Calibri"/>
                <w:sz w:val="22"/>
              </w:rPr>
              <w:t>100</w:t>
            </w:r>
          </w:p>
          <w:p w:rsidR="001E16DF" w:rsidRPr="002045F5" w:rsidRDefault="001E16DF" w:rsidP="00524DBF">
            <w:pPr>
              <w:autoSpaceDE w:val="0"/>
              <w:autoSpaceDN w:val="0"/>
              <w:adjustRightInd w:val="0"/>
              <w:spacing w:after="60"/>
              <w:jc w:val="center"/>
              <w:rPr>
                <w:rFonts w:eastAsia="Calibri"/>
                <w:sz w:val="22"/>
              </w:rPr>
            </w:pPr>
            <w:r w:rsidRPr="002045F5">
              <w:rPr>
                <w:rFonts w:eastAsia="Calibri"/>
                <w:sz w:val="22"/>
              </w:rPr>
              <w:t>4 (3 – механіка, 1- автомат)</w:t>
            </w:r>
          </w:p>
          <w:p w:rsidR="001E16DF" w:rsidRPr="002045F5" w:rsidRDefault="001E16DF" w:rsidP="00524DBF">
            <w:pPr>
              <w:autoSpaceDE w:val="0"/>
              <w:autoSpaceDN w:val="0"/>
              <w:adjustRightInd w:val="0"/>
              <w:spacing w:after="60"/>
              <w:jc w:val="center"/>
              <w:rPr>
                <w:rFonts w:eastAsia="Calibri"/>
                <w:sz w:val="22"/>
              </w:rPr>
            </w:pPr>
            <w:r w:rsidRPr="002045F5">
              <w:rPr>
                <w:rFonts w:eastAsia="Calibri"/>
                <w:sz w:val="22"/>
              </w:rPr>
              <w:t>4</w:t>
            </w:r>
          </w:p>
          <w:p w:rsidR="001E16DF" w:rsidRPr="002045F5" w:rsidRDefault="001E16DF" w:rsidP="00524DBF">
            <w:pPr>
              <w:autoSpaceDE w:val="0"/>
              <w:autoSpaceDN w:val="0"/>
              <w:adjustRightInd w:val="0"/>
              <w:spacing w:after="60"/>
              <w:jc w:val="center"/>
              <w:rPr>
                <w:rFonts w:eastAsia="Calibri"/>
                <w:sz w:val="22"/>
              </w:rPr>
            </w:pPr>
            <w:r w:rsidRPr="002045F5">
              <w:rPr>
                <w:rFonts w:eastAsia="Calibri"/>
                <w:sz w:val="22"/>
              </w:rPr>
              <w:t>20</w:t>
            </w:r>
          </w:p>
          <w:p w:rsidR="001E16DF" w:rsidRPr="002045F5" w:rsidRDefault="001E16DF" w:rsidP="00524DBF">
            <w:pPr>
              <w:autoSpaceDE w:val="0"/>
              <w:autoSpaceDN w:val="0"/>
              <w:adjustRightInd w:val="0"/>
              <w:spacing w:after="60"/>
              <w:jc w:val="center"/>
              <w:rPr>
                <w:rFonts w:eastAsia="Calibri"/>
                <w:sz w:val="22"/>
              </w:rPr>
            </w:pPr>
            <w:r w:rsidRPr="002045F5">
              <w:rPr>
                <w:rFonts w:eastAsia="Calibri"/>
                <w:sz w:val="22"/>
              </w:rPr>
              <w:t>1</w:t>
            </w:r>
          </w:p>
          <w:p w:rsidR="001E16DF" w:rsidRPr="002045F5" w:rsidRDefault="001E16DF" w:rsidP="00524DBF">
            <w:pPr>
              <w:autoSpaceDE w:val="0"/>
              <w:autoSpaceDN w:val="0"/>
              <w:adjustRightInd w:val="0"/>
              <w:spacing w:after="60"/>
              <w:jc w:val="center"/>
              <w:rPr>
                <w:rFonts w:eastAsia="Calibri"/>
                <w:sz w:val="22"/>
              </w:rPr>
            </w:pPr>
          </w:p>
          <w:p w:rsidR="001E16DF" w:rsidRPr="002045F5" w:rsidRDefault="001E16DF" w:rsidP="00524DBF">
            <w:pPr>
              <w:autoSpaceDE w:val="0"/>
              <w:autoSpaceDN w:val="0"/>
              <w:adjustRightInd w:val="0"/>
              <w:spacing w:after="60"/>
              <w:jc w:val="center"/>
              <w:rPr>
                <w:rFonts w:eastAsia="Calibri"/>
                <w:sz w:val="22"/>
              </w:rPr>
            </w:pPr>
            <w:r w:rsidRPr="002045F5">
              <w:rPr>
                <w:rFonts w:eastAsia="Calibri"/>
                <w:sz w:val="22"/>
              </w:rPr>
              <w:t>4</w:t>
            </w:r>
          </w:p>
          <w:p w:rsidR="001E16DF" w:rsidRPr="002045F5" w:rsidRDefault="001E16DF" w:rsidP="00524DBF">
            <w:pPr>
              <w:autoSpaceDE w:val="0"/>
              <w:autoSpaceDN w:val="0"/>
              <w:adjustRightInd w:val="0"/>
              <w:spacing w:after="60"/>
              <w:jc w:val="center"/>
              <w:rPr>
                <w:rFonts w:eastAsia="Calibri"/>
                <w:sz w:val="22"/>
              </w:rPr>
            </w:pPr>
          </w:p>
        </w:tc>
      </w:tr>
      <w:tr w:rsidR="00670D96" w:rsidRPr="002045F5" w:rsidTr="00670D96">
        <w:trPr>
          <w:trHeight w:val="278"/>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p>
        </w:tc>
        <w:tc>
          <w:tcPr>
            <w:tcW w:w="3544" w:type="dxa"/>
            <w:gridSpan w:val="3"/>
            <w:tcBorders>
              <w:left w:val="single" w:sz="6" w:space="0" w:color="auto"/>
              <w:right w:val="single" w:sz="6" w:space="0" w:color="auto"/>
            </w:tcBorders>
          </w:tcPr>
          <w:p w:rsidR="001E16DF" w:rsidRPr="002045F5" w:rsidRDefault="001E16DF" w:rsidP="00524DBF">
            <w:pPr>
              <w:autoSpaceDE w:val="0"/>
              <w:autoSpaceDN w:val="0"/>
              <w:adjustRightInd w:val="0"/>
              <w:spacing w:after="60"/>
              <w:rPr>
                <w:sz w:val="22"/>
              </w:rPr>
            </w:pPr>
            <w:r w:rsidRPr="002045F5">
              <w:rPr>
                <w:sz w:val="22"/>
              </w:rPr>
              <w:t>Оргтехніка та комп’ютерна техніка</w:t>
            </w:r>
          </w:p>
        </w:tc>
        <w:tc>
          <w:tcPr>
            <w:tcW w:w="1417" w:type="dxa"/>
            <w:gridSpan w:val="2"/>
            <w:tcBorders>
              <w:left w:val="single" w:sz="6" w:space="0" w:color="auto"/>
              <w:right w:val="single" w:sz="6" w:space="0" w:color="auto"/>
            </w:tcBorders>
          </w:tcPr>
          <w:p w:rsidR="001E16DF" w:rsidRPr="002045F5" w:rsidRDefault="001E16DF" w:rsidP="00524DBF">
            <w:pPr>
              <w:autoSpaceDE w:val="0"/>
              <w:autoSpaceDN w:val="0"/>
              <w:adjustRightInd w:val="0"/>
              <w:spacing w:after="60"/>
              <w:jc w:val="center"/>
              <w:rPr>
                <w:rFonts w:eastAsia="Calibri"/>
                <w:sz w:val="22"/>
              </w:rPr>
            </w:pPr>
            <w:r w:rsidRPr="002045F5">
              <w:rPr>
                <w:rFonts w:eastAsia="Calibri"/>
                <w:sz w:val="22"/>
              </w:rPr>
              <w:t>одиниць</w:t>
            </w:r>
          </w:p>
          <w:p w:rsidR="001E16DF" w:rsidRPr="002045F5" w:rsidRDefault="001E16DF" w:rsidP="00524DBF">
            <w:pPr>
              <w:autoSpaceDE w:val="0"/>
              <w:autoSpaceDN w:val="0"/>
              <w:adjustRightInd w:val="0"/>
              <w:spacing w:after="60"/>
              <w:jc w:val="center"/>
              <w:rPr>
                <w:color w:val="000000"/>
                <w:sz w:val="22"/>
              </w:rPr>
            </w:pPr>
          </w:p>
        </w:tc>
        <w:tc>
          <w:tcPr>
            <w:tcW w:w="2126" w:type="dxa"/>
            <w:gridSpan w:val="2"/>
            <w:tcBorders>
              <w:left w:val="single" w:sz="6" w:space="0" w:color="auto"/>
              <w:right w:val="single" w:sz="6" w:space="0" w:color="auto"/>
            </w:tcBorders>
          </w:tcPr>
          <w:p w:rsidR="001E16DF" w:rsidRPr="002045F5" w:rsidRDefault="001E16DF" w:rsidP="00524DBF">
            <w:pPr>
              <w:autoSpaceDE w:val="0"/>
              <w:autoSpaceDN w:val="0"/>
              <w:adjustRightInd w:val="0"/>
              <w:spacing w:after="60"/>
              <w:jc w:val="center"/>
              <w:rPr>
                <w:color w:val="000000"/>
                <w:sz w:val="22"/>
              </w:rPr>
            </w:pPr>
            <w:r w:rsidRPr="002045F5">
              <w:rPr>
                <w:color w:val="000000"/>
                <w:sz w:val="22"/>
              </w:rPr>
              <w:t>90</w:t>
            </w:r>
          </w:p>
        </w:tc>
      </w:tr>
      <w:tr w:rsidR="00670D96" w:rsidRPr="002045F5" w:rsidTr="00670D96">
        <w:trPr>
          <w:trHeight w:val="278"/>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p>
        </w:tc>
        <w:tc>
          <w:tcPr>
            <w:tcW w:w="3544" w:type="dxa"/>
            <w:gridSpan w:val="3"/>
            <w:tcBorders>
              <w:left w:val="single" w:sz="6" w:space="0" w:color="auto"/>
              <w:right w:val="single" w:sz="6" w:space="0" w:color="auto"/>
            </w:tcBorders>
          </w:tcPr>
          <w:p w:rsidR="001E16DF" w:rsidRPr="002045F5" w:rsidRDefault="001E16DF" w:rsidP="00524DBF">
            <w:pPr>
              <w:autoSpaceDE w:val="0"/>
              <w:autoSpaceDN w:val="0"/>
              <w:adjustRightInd w:val="0"/>
              <w:spacing w:after="60"/>
              <w:rPr>
                <w:sz w:val="22"/>
              </w:rPr>
            </w:pPr>
            <w:r w:rsidRPr="002045F5">
              <w:rPr>
                <w:sz w:val="22"/>
              </w:rPr>
              <w:t>Проектор</w:t>
            </w:r>
          </w:p>
        </w:tc>
        <w:tc>
          <w:tcPr>
            <w:tcW w:w="1417" w:type="dxa"/>
            <w:gridSpan w:val="2"/>
            <w:tcBorders>
              <w:left w:val="single" w:sz="6" w:space="0" w:color="auto"/>
              <w:right w:val="single" w:sz="6" w:space="0" w:color="auto"/>
            </w:tcBorders>
          </w:tcPr>
          <w:p w:rsidR="001E16DF" w:rsidRPr="002045F5" w:rsidRDefault="001E16DF" w:rsidP="00524DBF">
            <w:pPr>
              <w:autoSpaceDE w:val="0"/>
              <w:autoSpaceDN w:val="0"/>
              <w:adjustRightInd w:val="0"/>
              <w:spacing w:after="60"/>
              <w:jc w:val="center"/>
              <w:rPr>
                <w:rFonts w:eastAsia="Calibri"/>
                <w:sz w:val="22"/>
              </w:rPr>
            </w:pPr>
            <w:r w:rsidRPr="002045F5">
              <w:rPr>
                <w:rFonts w:eastAsia="Calibri"/>
                <w:sz w:val="22"/>
              </w:rPr>
              <w:t>одиниць</w:t>
            </w:r>
          </w:p>
          <w:p w:rsidR="001E16DF" w:rsidRPr="002045F5" w:rsidRDefault="001E16DF" w:rsidP="00524DBF">
            <w:pPr>
              <w:autoSpaceDE w:val="0"/>
              <w:autoSpaceDN w:val="0"/>
              <w:adjustRightInd w:val="0"/>
              <w:spacing w:after="60"/>
              <w:jc w:val="center"/>
              <w:rPr>
                <w:color w:val="000000"/>
                <w:sz w:val="22"/>
              </w:rPr>
            </w:pPr>
          </w:p>
        </w:tc>
        <w:tc>
          <w:tcPr>
            <w:tcW w:w="2126" w:type="dxa"/>
            <w:gridSpan w:val="2"/>
            <w:tcBorders>
              <w:left w:val="single" w:sz="6" w:space="0" w:color="auto"/>
              <w:right w:val="single" w:sz="6" w:space="0" w:color="auto"/>
            </w:tcBorders>
          </w:tcPr>
          <w:p w:rsidR="001E16DF" w:rsidRPr="002045F5" w:rsidRDefault="001E16DF" w:rsidP="00524DBF">
            <w:pPr>
              <w:autoSpaceDE w:val="0"/>
              <w:autoSpaceDN w:val="0"/>
              <w:adjustRightInd w:val="0"/>
              <w:spacing w:after="60"/>
              <w:jc w:val="center"/>
              <w:rPr>
                <w:color w:val="000000"/>
                <w:sz w:val="22"/>
              </w:rPr>
            </w:pPr>
            <w:r w:rsidRPr="002045F5">
              <w:rPr>
                <w:color w:val="000000"/>
                <w:sz w:val="22"/>
              </w:rPr>
              <w:t>3</w:t>
            </w:r>
          </w:p>
        </w:tc>
      </w:tr>
      <w:tr w:rsidR="00670D96" w:rsidRPr="002045F5" w:rsidTr="00670D96">
        <w:trPr>
          <w:trHeight w:val="278"/>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p>
        </w:tc>
        <w:tc>
          <w:tcPr>
            <w:tcW w:w="3544" w:type="dxa"/>
            <w:gridSpan w:val="3"/>
            <w:tcBorders>
              <w:left w:val="single" w:sz="6" w:space="0" w:color="auto"/>
              <w:right w:val="single" w:sz="6" w:space="0" w:color="auto"/>
            </w:tcBorders>
          </w:tcPr>
          <w:p w:rsidR="001E16DF" w:rsidRPr="002045F5" w:rsidRDefault="001E16DF" w:rsidP="00524DBF">
            <w:pPr>
              <w:autoSpaceDE w:val="0"/>
              <w:autoSpaceDN w:val="0"/>
              <w:adjustRightInd w:val="0"/>
              <w:spacing w:after="60"/>
              <w:rPr>
                <w:sz w:val="22"/>
              </w:rPr>
            </w:pPr>
            <w:r w:rsidRPr="002045F5">
              <w:rPr>
                <w:sz w:val="22"/>
              </w:rPr>
              <w:t>Екран для проектора настінний з механізмом повернення</w:t>
            </w:r>
          </w:p>
        </w:tc>
        <w:tc>
          <w:tcPr>
            <w:tcW w:w="1417" w:type="dxa"/>
            <w:gridSpan w:val="2"/>
            <w:tcBorders>
              <w:left w:val="single" w:sz="6" w:space="0" w:color="auto"/>
              <w:right w:val="single" w:sz="6" w:space="0" w:color="auto"/>
            </w:tcBorders>
          </w:tcPr>
          <w:p w:rsidR="001E16DF" w:rsidRPr="002045F5" w:rsidRDefault="001E16DF" w:rsidP="00524DBF">
            <w:pPr>
              <w:autoSpaceDE w:val="0"/>
              <w:autoSpaceDN w:val="0"/>
              <w:adjustRightInd w:val="0"/>
              <w:spacing w:after="60"/>
              <w:jc w:val="center"/>
              <w:rPr>
                <w:rFonts w:eastAsia="Calibri"/>
                <w:sz w:val="22"/>
              </w:rPr>
            </w:pPr>
            <w:r w:rsidRPr="002045F5">
              <w:rPr>
                <w:rFonts w:eastAsia="Calibri"/>
                <w:sz w:val="22"/>
              </w:rPr>
              <w:t>одиниць</w:t>
            </w:r>
          </w:p>
          <w:p w:rsidR="001E16DF" w:rsidRPr="002045F5" w:rsidRDefault="001E16DF" w:rsidP="00524DBF">
            <w:pPr>
              <w:autoSpaceDE w:val="0"/>
              <w:autoSpaceDN w:val="0"/>
              <w:adjustRightInd w:val="0"/>
              <w:spacing w:after="60"/>
              <w:jc w:val="center"/>
              <w:rPr>
                <w:color w:val="000000"/>
                <w:sz w:val="22"/>
              </w:rPr>
            </w:pPr>
          </w:p>
        </w:tc>
        <w:tc>
          <w:tcPr>
            <w:tcW w:w="2126" w:type="dxa"/>
            <w:gridSpan w:val="2"/>
            <w:tcBorders>
              <w:left w:val="single" w:sz="6" w:space="0" w:color="auto"/>
              <w:right w:val="single" w:sz="6" w:space="0" w:color="auto"/>
            </w:tcBorders>
          </w:tcPr>
          <w:p w:rsidR="001E16DF" w:rsidRPr="002045F5" w:rsidRDefault="001E16DF" w:rsidP="00524DBF">
            <w:pPr>
              <w:autoSpaceDE w:val="0"/>
              <w:autoSpaceDN w:val="0"/>
              <w:adjustRightInd w:val="0"/>
              <w:spacing w:after="60"/>
              <w:jc w:val="center"/>
              <w:rPr>
                <w:color w:val="000000"/>
                <w:sz w:val="22"/>
              </w:rPr>
            </w:pPr>
            <w:r w:rsidRPr="002045F5">
              <w:rPr>
                <w:color w:val="000000"/>
                <w:sz w:val="22"/>
              </w:rPr>
              <w:t>3</w:t>
            </w:r>
          </w:p>
        </w:tc>
      </w:tr>
      <w:tr w:rsidR="00670D96" w:rsidRPr="002045F5" w:rsidTr="00670D96">
        <w:trPr>
          <w:trHeight w:val="278"/>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p>
        </w:tc>
        <w:tc>
          <w:tcPr>
            <w:tcW w:w="3544" w:type="dxa"/>
            <w:gridSpan w:val="3"/>
            <w:tcBorders>
              <w:left w:val="single" w:sz="6" w:space="0" w:color="auto"/>
              <w:right w:val="single" w:sz="6" w:space="0" w:color="auto"/>
            </w:tcBorders>
          </w:tcPr>
          <w:p w:rsidR="001E16DF" w:rsidRPr="002045F5" w:rsidRDefault="001E16DF" w:rsidP="00524DBF">
            <w:pPr>
              <w:autoSpaceDE w:val="0"/>
              <w:autoSpaceDN w:val="0"/>
              <w:adjustRightInd w:val="0"/>
              <w:spacing w:after="60"/>
              <w:rPr>
                <w:sz w:val="22"/>
              </w:rPr>
            </w:pPr>
            <w:r w:rsidRPr="002045F5">
              <w:rPr>
                <w:sz w:val="22"/>
              </w:rPr>
              <w:t>Набір комплекту інструментів автомобільний</w:t>
            </w:r>
          </w:p>
        </w:tc>
        <w:tc>
          <w:tcPr>
            <w:tcW w:w="1417" w:type="dxa"/>
            <w:gridSpan w:val="2"/>
            <w:tcBorders>
              <w:left w:val="single" w:sz="6" w:space="0" w:color="auto"/>
              <w:right w:val="single" w:sz="6" w:space="0" w:color="auto"/>
            </w:tcBorders>
          </w:tcPr>
          <w:p w:rsidR="001E16DF" w:rsidRPr="002045F5" w:rsidRDefault="001E16DF" w:rsidP="00524DBF">
            <w:pPr>
              <w:autoSpaceDE w:val="0"/>
              <w:autoSpaceDN w:val="0"/>
              <w:adjustRightInd w:val="0"/>
              <w:spacing w:after="60"/>
              <w:jc w:val="center"/>
              <w:rPr>
                <w:rFonts w:eastAsia="Calibri"/>
                <w:sz w:val="22"/>
              </w:rPr>
            </w:pPr>
            <w:r w:rsidRPr="002045F5">
              <w:rPr>
                <w:rFonts w:eastAsia="Calibri"/>
                <w:sz w:val="22"/>
              </w:rPr>
              <w:t>одиниць</w:t>
            </w:r>
          </w:p>
          <w:p w:rsidR="001E16DF" w:rsidRPr="002045F5" w:rsidRDefault="001E16DF" w:rsidP="00524DBF">
            <w:pPr>
              <w:autoSpaceDE w:val="0"/>
              <w:autoSpaceDN w:val="0"/>
              <w:adjustRightInd w:val="0"/>
              <w:spacing w:after="60"/>
              <w:jc w:val="center"/>
              <w:rPr>
                <w:color w:val="000000"/>
                <w:sz w:val="22"/>
              </w:rPr>
            </w:pPr>
          </w:p>
        </w:tc>
        <w:tc>
          <w:tcPr>
            <w:tcW w:w="2126" w:type="dxa"/>
            <w:gridSpan w:val="2"/>
            <w:tcBorders>
              <w:left w:val="single" w:sz="6" w:space="0" w:color="auto"/>
              <w:right w:val="single" w:sz="6" w:space="0" w:color="auto"/>
            </w:tcBorders>
          </w:tcPr>
          <w:p w:rsidR="001E16DF" w:rsidRPr="002045F5" w:rsidRDefault="001E16DF" w:rsidP="00524DBF">
            <w:pPr>
              <w:autoSpaceDE w:val="0"/>
              <w:autoSpaceDN w:val="0"/>
              <w:adjustRightInd w:val="0"/>
              <w:spacing w:after="60"/>
              <w:jc w:val="center"/>
              <w:rPr>
                <w:color w:val="000000"/>
                <w:sz w:val="22"/>
              </w:rPr>
            </w:pPr>
            <w:r w:rsidRPr="002045F5">
              <w:rPr>
                <w:color w:val="000000"/>
                <w:sz w:val="22"/>
              </w:rPr>
              <w:t>4</w:t>
            </w:r>
          </w:p>
        </w:tc>
      </w:tr>
      <w:tr w:rsidR="00670D96" w:rsidRPr="002045F5" w:rsidTr="00670D96">
        <w:trPr>
          <w:trHeight w:val="278"/>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p>
        </w:tc>
        <w:tc>
          <w:tcPr>
            <w:tcW w:w="3544" w:type="dxa"/>
            <w:gridSpan w:val="3"/>
            <w:tcBorders>
              <w:left w:val="single" w:sz="6" w:space="0" w:color="auto"/>
              <w:right w:val="single" w:sz="6" w:space="0" w:color="auto"/>
            </w:tcBorders>
          </w:tcPr>
          <w:p w:rsidR="001E16DF" w:rsidRPr="002045F5" w:rsidRDefault="001E16DF" w:rsidP="00524DBF">
            <w:pPr>
              <w:autoSpaceDE w:val="0"/>
              <w:autoSpaceDN w:val="0"/>
              <w:adjustRightInd w:val="0"/>
              <w:spacing w:after="60"/>
              <w:rPr>
                <w:sz w:val="22"/>
              </w:rPr>
            </w:pPr>
            <w:r w:rsidRPr="002045F5">
              <w:rPr>
                <w:sz w:val="22"/>
              </w:rPr>
              <w:t>Комплекти плакатів, стендів</w:t>
            </w:r>
          </w:p>
        </w:tc>
        <w:tc>
          <w:tcPr>
            <w:tcW w:w="1417" w:type="dxa"/>
            <w:gridSpan w:val="2"/>
            <w:tcBorders>
              <w:left w:val="single" w:sz="6" w:space="0" w:color="auto"/>
              <w:right w:val="single" w:sz="6" w:space="0" w:color="auto"/>
            </w:tcBorders>
          </w:tcPr>
          <w:p w:rsidR="001E16DF" w:rsidRPr="002045F5" w:rsidRDefault="001E16DF" w:rsidP="00524DBF">
            <w:pPr>
              <w:autoSpaceDE w:val="0"/>
              <w:autoSpaceDN w:val="0"/>
              <w:adjustRightInd w:val="0"/>
              <w:spacing w:after="60"/>
              <w:jc w:val="center"/>
              <w:rPr>
                <w:rFonts w:eastAsia="Calibri"/>
                <w:sz w:val="22"/>
              </w:rPr>
            </w:pPr>
            <w:r w:rsidRPr="002045F5">
              <w:rPr>
                <w:rFonts w:eastAsia="Calibri"/>
                <w:sz w:val="22"/>
              </w:rPr>
              <w:t>одиниць</w:t>
            </w:r>
          </w:p>
          <w:p w:rsidR="001E16DF" w:rsidRPr="002045F5" w:rsidRDefault="001E16DF" w:rsidP="00524DBF">
            <w:pPr>
              <w:autoSpaceDE w:val="0"/>
              <w:autoSpaceDN w:val="0"/>
              <w:adjustRightInd w:val="0"/>
              <w:spacing w:after="60"/>
              <w:jc w:val="center"/>
              <w:rPr>
                <w:color w:val="000000"/>
                <w:sz w:val="22"/>
              </w:rPr>
            </w:pPr>
          </w:p>
        </w:tc>
        <w:tc>
          <w:tcPr>
            <w:tcW w:w="2126" w:type="dxa"/>
            <w:gridSpan w:val="2"/>
            <w:tcBorders>
              <w:left w:val="single" w:sz="6" w:space="0" w:color="auto"/>
              <w:right w:val="single" w:sz="6" w:space="0" w:color="auto"/>
            </w:tcBorders>
          </w:tcPr>
          <w:p w:rsidR="001E16DF" w:rsidRPr="002045F5" w:rsidRDefault="001E16DF" w:rsidP="00524DBF">
            <w:pPr>
              <w:autoSpaceDE w:val="0"/>
              <w:autoSpaceDN w:val="0"/>
              <w:adjustRightInd w:val="0"/>
              <w:spacing w:after="60"/>
              <w:jc w:val="center"/>
              <w:rPr>
                <w:color w:val="000000"/>
                <w:sz w:val="22"/>
              </w:rPr>
            </w:pPr>
            <w:r w:rsidRPr="002045F5">
              <w:rPr>
                <w:color w:val="000000"/>
                <w:sz w:val="22"/>
              </w:rPr>
              <w:t>10</w:t>
            </w:r>
          </w:p>
        </w:tc>
      </w:tr>
      <w:tr w:rsidR="00670D96" w:rsidRPr="002045F5" w:rsidTr="00670D96">
        <w:trPr>
          <w:trHeight w:val="278"/>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p>
        </w:tc>
        <w:tc>
          <w:tcPr>
            <w:tcW w:w="3544" w:type="dxa"/>
            <w:gridSpan w:val="3"/>
            <w:tcBorders>
              <w:left w:val="single" w:sz="6" w:space="0" w:color="auto"/>
              <w:right w:val="single" w:sz="6" w:space="0" w:color="auto"/>
            </w:tcBorders>
          </w:tcPr>
          <w:p w:rsidR="001E16DF" w:rsidRPr="002045F5" w:rsidRDefault="001E16DF" w:rsidP="00524DBF">
            <w:pPr>
              <w:autoSpaceDE w:val="0"/>
              <w:autoSpaceDN w:val="0"/>
              <w:adjustRightInd w:val="0"/>
              <w:spacing w:after="60"/>
              <w:rPr>
                <w:sz w:val="22"/>
              </w:rPr>
            </w:pPr>
            <w:proofErr w:type="spellStart"/>
            <w:r w:rsidRPr="002045F5">
              <w:rPr>
                <w:sz w:val="22"/>
              </w:rPr>
              <w:t>Обладнанння</w:t>
            </w:r>
            <w:proofErr w:type="spellEnd"/>
            <w:r w:rsidRPr="002045F5">
              <w:rPr>
                <w:sz w:val="22"/>
              </w:rPr>
              <w:t xml:space="preserve"> для автодрому</w:t>
            </w:r>
          </w:p>
        </w:tc>
        <w:tc>
          <w:tcPr>
            <w:tcW w:w="1417" w:type="dxa"/>
            <w:gridSpan w:val="2"/>
            <w:tcBorders>
              <w:left w:val="single" w:sz="6" w:space="0" w:color="auto"/>
              <w:right w:val="single" w:sz="6" w:space="0" w:color="auto"/>
            </w:tcBorders>
          </w:tcPr>
          <w:p w:rsidR="001E16DF" w:rsidRPr="002045F5" w:rsidRDefault="001E16DF" w:rsidP="00524DBF">
            <w:pPr>
              <w:autoSpaceDE w:val="0"/>
              <w:autoSpaceDN w:val="0"/>
              <w:adjustRightInd w:val="0"/>
              <w:spacing w:after="60"/>
              <w:jc w:val="center"/>
              <w:rPr>
                <w:color w:val="000000"/>
                <w:sz w:val="22"/>
              </w:rPr>
            </w:pPr>
            <w:r w:rsidRPr="002045F5">
              <w:rPr>
                <w:rFonts w:eastAsia="Calibri"/>
                <w:sz w:val="22"/>
              </w:rPr>
              <w:t>одиниць</w:t>
            </w:r>
          </w:p>
        </w:tc>
        <w:tc>
          <w:tcPr>
            <w:tcW w:w="2126" w:type="dxa"/>
            <w:gridSpan w:val="2"/>
            <w:tcBorders>
              <w:left w:val="single" w:sz="6" w:space="0" w:color="auto"/>
              <w:right w:val="single" w:sz="6" w:space="0" w:color="auto"/>
            </w:tcBorders>
          </w:tcPr>
          <w:p w:rsidR="001E16DF" w:rsidRPr="002045F5" w:rsidRDefault="001E16DF" w:rsidP="00524DBF">
            <w:pPr>
              <w:autoSpaceDE w:val="0"/>
              <w:autoSpaceDN w:val="0"/>
              <w:adjustRightInd w:val="0"/>
              <w:spacing w:after="60"/>
              <w:jc w:val="center"/>
              <w:rPr>
                <w:color w:val="000000"/>
                <w:sz w:val="22"/>
              </w:rPr>
            </w:pPr>
            <w:r w:rsidRPr="002045F5">
              <w:rPr>
                <w:color w:val="000000"/>
                <w:sz w:val="22"/>
              </w:rPr>
              <w:t>6</w:t>
            </w:r>
          </w:p>
        </w:tc>
      </w:tr>
      <w:tr w:rsidR="00670D96" w:rsidRPr="002045F5" w:rsidTr="00670D96">
        <w:trPr>
          <w:trHeight w:val="171"/>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r w:rsidRPr="002045F5">
              <w:rPr>
                <w:rFonts w:eastAsia="Calibri"/>
                <w:b/>
                <w:color w:val="000000"/>
                <w:sz w:val="22"/>
              </w:rPr>
              <w:t>Ключові заходи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rPr>
                <w:color w:val="000000"/>
                <w:sz w:val="22"/>
              </w:rPr>
            </w:pPr>
            <w:r w:rsidRPr="002045F5">
              <w:rPr>
                <w:color w:val="000000"/>
                <w:sz w:val="22"/>
              </w:rPr>
              <w:t>Визначення необхідного обладнання та вивчення цінових пропозицій.</w:t>
            </w:r>
          </w:p>
          <w:p w:rsidR="001E16DF" w:rsidRPr="002045F5" w:rsidRDefault="001E16DF" w:rsidP="00524DBF">
            <w:pPr>
              <w:autoSpaceDE w:val="0"/>
              <w:autoSpaceDN w:val="0"/>
              <w:adjustRightInd w:val="0"/>
              <w:rPr>
                <w:color w:val="000000"/>
                <w:sz w:val="22"/>
              </w:rPr>
            </w:pPr>
            <w:r w:rsidRPr="002045F5">
              <w:rPr>
                <w:color w:val="000000"/>
                <w:sz w:val="22"/>
              </w:rPr>
              <w:t xml:space="preserve">Розробка плану розміщення обладнання. </w:t>
            </w:r>
          </w:p>
          <w:p w:rsidR="001E16DF" w:rsidRPr="002045F5" w:rsidRDefault="001E16DF" w:rsidP="00524DBF">
            <w:pPr>
              <w:autoSpaceDE w:val="0"/>
              <w:autoSpaceDN w:val="0"/>
              <w:adjustRightInd w:val="0"/>
              <w:rPr>
                <w:color w:val="000000"/>
                <w:sz w:val="22"/>
              </w:rPr>
            </w:pPr>
            <w:r w:rsidRPr="002045F5">
              <w:rPr>
                <w:color w:val="000000"/>
                <w:sz w:val="22"/>
              </w:rPr>
              <w:t>Закупівля обладнання, матеріалів.</w:t>
            </w:r>
          </w:p>
          <w:p w:rsidR="001E16DF" w:rsidRPr="002045F5" w:rsidRDefault="001E16DF" w:rsidP="00524DBF">
            <w:pPr>
              <w:autoSpaceDE w:val="0"/>
              <w:autoSpaceDN w:val="0"/>
              <w:adjustRightInd w:val="0"/>
              <w:rPr>
                <w:color w:val="000000"/>
                <w:sz w:val="22"/>
              </w:rPr>
            </w:pPr>
            <w:r w:rsidRPr="002045F5">
              <w:rPr>
                <w:color w:val="000000"/>
                <w:sz w:val="22"/>
              </w:rPr>
              <w:t xml:space="preserve">Монтаж, установка обладнання. </w:t>
            </w:r>
          </w:p>
          <w:p w:rsidR="001E16DF" w:rsidRPr="002045F5" w:rsidRDefault="001E16DF" w:rsidP="00524DBF">
            <w:pPr>
              <w:autoSpaceDE w:val="0"/>
              <w:autoSpaceDN w:val="0"/>
              <w:adjustRightInd w:val="0"/>
              <w:rPr>
                <w:color w:val="000000"/>
                <w:sz w:val="22"/>
              </w:rPr>
            </w:pPr>
            <w:r w:rsidRPr="002045F5">
              <w:rPr>
                <w:color w:val="000000"/>
                <w:sz w:val="22"/>
              </w:rPr>
              <w:t>Переобладнання автомобілів, їх переоформлення, пройти техогляд.</w:t>
            </w:r>
          </w:p>
          <w:p w:rsidR="001E16DF" w:rsidRPr="002045F5" w:rsidRDefault="001E16DF" w:rsidP="00524DBF">
            <w:pPr>
              <w:autoSpaceDE w:val="0"/>
              <w:autoSpaceDN w:val="0"/>
              <w:adjustRightInd w:val="0"/>
              <w:rPr>
                <w:color w:val="000000"/>
                <w:sz w:val="22"/>
              </w:rPr>
            </w:pPr>
            <w:r w:rsidRPr="002045F5">
              <w:rPr>
                <w:color w:val="000000"/>
                <w:sz w:val="22"/>
              </w:rPr>
              <w:t>Отримання ліцензії, страхування водіїв та транспортних засобів.</w:t>
            </w:r>
          </w:p>
          <w:p w:rsidR="001E16DF" w:rsidRPr="002045F5" w:rsidRDefault="001E16DF" w:rsidP="00524DBF">
            <w:pPr>
              <w:autoSpaceDE w:val="0"/>
              <w:autoSpaceDN w:val="0"/>
              <w:adjustRightInd w:val="0"/>
              <w:rPr>
                <w:color w:val="000000"/>
                <w:sz w:val="22"/>
              </w:rPr>
            </w:pPr>
            <w:r w:rsidRPr="002045F5">
              <w:rPr>
                <w:color w:val="000000"/>
                <w:sz w:val="22"/>
              </w:rPr>
              <w:t>Обладнання майданчику початкового водіння.</w:t>
            </w:r>
          </w:p>
        </w:tc>
      </w:tr>
      <w:tr w:rsidR="00670D96" w:rsidRPr="002045F5" w:rsidTr="00670D96">
        <w:trPr>
          <w:trHeight w:val="305"/>
        </w:trPr>
        <w:tc>
          <w:tcPr>
            <w:tcW w:w="881" w:type="dxa"/>
            <w:vMerge w:val="restart"/>
            <w:tcBorders>
              <w:top w:val="nil"/>
              <w:left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vMerge w:val="restart"/>
            <w:tcBorders>
              <w:top w:val="single" w:sz="6" w:space="0" w:color="auto"/>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r w:rsidRPr="002045F5">
              <w:rPr>
                <w:rFonts w:eastAsia="Calibri"/>
                <w:b/>
                <w:color w:val="000000"/>
                <w:sz w:val="22"/>
              </w:rPr>
              <w:t>Орієнтовний обсяг та джерела фінансування тис. гривень</w:t>
            </w:r>
          </w:p>
        </w:tc>
        <w:tc>
          <w:tcPr>
            <w:tcW w:w="1894" w:type="dxa"/>
            <w:vMerge w:val="restart"/>
            <w:tcBorders>
              <w:top w:val="single" w:sz="6" w:space="0" w:color="auto"/>
              <w:left w:val="single" w:sz="6" w:space="0" w:color="auto"/>
              <w:right w:val="single" w:sz="6" w:space="0" w:color="auto"/>
            </w:tcBorders>
            <w:vAlign w:val="center"/>
          </w:tcPr>
          <w:p w:rsidR="001E16DF" w:rsidRPr="002045F5" w:rsidRDefault="001E16DF" w:rsidP="00524DBF">
            <w:pPr>
              <w:autoSpaceDE w:val="0"/>
              <w:autoSpaceDN w:val="0"/>
              <w:adjustRightInd w:val="0"/>
              <w:jc w:val="center"/>
              <w:rPr>
                <w:color w:val="000000"/>
                <w:sz w:val="22"/>
              </w:rPr>
            </w:pPr>
            <w:r w:rsidRPr="002045F5">
              <w:rPr>
                <w:color w:val="000000"/>
                <w:sz w:val="22"/>
              </w:rPr>
              <w:t>державний бюджет</w:t>
            </w:r>
          </w:p>
        </w:tc>
        <w:tc>
          <w:tcPr>
            <w:tcW w:w="1080" w:type="dxa"/>
            <w:vMerge w:val="restart"/>
            <w:tcBorders>
              <w:top w:val="single" w:sz="6" w:space="0" w:color="auto"/>
              <w:left w:val="single" w:sz="6" w:space="0" w:color="auto"/>
              <w:right w:val="single" w:sz="6" w:space="0" w:color="auto"/>
            </w:tcBorders>
            <w:vAlign w:val="center"/>
          </w:tcPr>
          <w:p w:rsidR="001E16DF" w:rsidRPr="002045F5" w:rsidRDefault="001E16DF" w:rsidP="00524DBF">
            <w:pPr>
              <w:autoSpaceDE w:val="0"/>
              <w:autoSpaceDN w:val="0"/>
              <w:adjustRightInd w:val="0"/>
              <w:jc w:val="center"/>
              <w:rPr>
                <w:color w:val="000000"/>
                <w:sz w:val="22"/>
              </w:rPr>
            </w:pPr>
            <w:r w:rsidRPr="002045F5">
              <w:rPr>
                <w:color w:val="000000"/>
                <w:sz w:val="22"/>
              </w:rPr>
              <w:t>Місцевий бюджет</w:t>
            </w:r>
          </w:p>
        </w:tc>
        <w:tc>
          <w:tcPr>
            <w:tcW w:w="2520" w:type="dxa"/>
            <w:gridSpan w:val="4"/>
            <w:tcBorders>
              <w:top w:val="single" w:sz="6" w:space="0" w:color="auto"/>
              <w:left w:val="single" w:sz="6" w:space="0" w:color="auto"/>
              <w:bottom w:val="single" w:sz="6" w:space="0" w:color="auto"/>
              <w:right w:val="single" w:sz="6" w:space="0" w:color="auto"/>
            </w:tcBorders>
            <w:vAlign w:val="center"/>
          </w:tcPr>
          <w:p w:rsidR="001E16DF" w:rsidRPr="002045F5" w:rsidRDefault="001E16DF" w:rsidP="00524DBF">
            <w:pPr>
              <w:autoSpaceDE w:val="0"/>
              <w:autoSpaceDN w:val="0"/>
              <w:adjustRightInd w:val="0"/>
              <w:jc w:val="center"/>
              <w:rPr>
                <w:color w:val="000000"/>
                <w:sz w:val="22"/>
              </w:rPr>
            </w:pPr>
            <w:r w:rsidRPr="002045F5">
              <w:rPr>
                <w:color w:val="000000"/>
                <w:sz w:val="22"/>
              </w:rPr>
              <w:t>Інші джерела</w:t>
            </w:r>
          </w:p>
        </w:tc>
        <w:tc>
          <w:tcPr>
            <w:tcW w:w="1593" w:type="dxa"/>
            <w:vMerge w:val="restart"/>
            <w:tcBorders>
              <w:top w:val="single" w:sz="6" w:space="0" w:color="auto"/>
              <w:left w:val="single" w:sz="6" w:space="0" w:color="auto"/>
              <w:right w:val="single" w:sz="6" w:space="0" w:color="auto"/>
            </w:tcBorders>
            <w:vAlign w:val="center"/>
          </w:tcPr>
          <w:p w:rsidR="001E16DF" w:rsidRPr="002045F5" w:rsidRDefault="001E16DF" w:rsidP="00524DBF">
            <w:pPr>
              <w:autoSpaceDE w:val="0"/>
              <w:autoSpaceDN w:val="0"/>
              <w:adjustRightInd w:val="0"/>
              <w:jc w:val="center"/>
              <w:rPr>
                <w:color w:val="000000"/>
                <w:sz w:val="22"/>
              </w:rPr>
            </w:pPr>
            <w:r w:rsidRPr="002045F5">
              <w:rPr>
                <w:color w:val="000000"/>
                <w:sz w:val="22"/>
              </w:rPr>
              <w:t>Всього</w:t>
            </w:r>
          </w:p>
          <w:p w:rsidR="001E16DF" w:rsidRPr="002045F5" w:rsidRDefault="001E16DF" w:rsidP="00524DBF">
            <w:pPr>
              <w:autoSpaceDE w:val="0"/>
              <w:autoSpaceDN w:val="0"/>
              <w:adjustRightInd w:val="0"/>
              <w:jc w:val="center"/>
              <w:rPr>
                <w:color w:val="000000"/>
                <w:sz w:val="22"/>
              </w:rPr>
            </w:pPr>
          </w:p>
        </w:tc>
      </w:tr>
      <w:tr w:rsidR="00670D96" w:rsidRPr="002045F5" w:rsidTr="00670D96">
        <w:trPr>
          <w:trHeight w:val="440"/>
        </w:trPr>
        <w:tc>
          <w:tcPr>
            <w:tcW w:w="881" w:type="dxa"/>
            <w:vMerge/>
            <w:tcBorders>
              <w:left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p>
        </w:tc>
        <w:tc>
          <w:tcPr>
            <w:tcW w:w="1894" w:type="dxa"/>
            <w:vMerge/>
            <w:tcBorders>
              <w:left w:val="single" w:sz="6" w:space="0" w:color="auto"/>
              <w:bottom w:val="single" w:sz="6" w:space="0" w:color="auto"/>
              <w:right w:val="single" w:sz="6" w:space="0" w:color="auto"/>
            </w:tcBorders>
          </w:tcPr>
          <w:p w:rsidR="001E16DF" w:rsidRPr="002045F5" w:rsidRDefault="001E16DF" w:rsidP="00524DBF">
            <w:pPr>
              <w:pStyle w:val="af5"/>
              <w:rPr>
                <w:sz w:val="22"/>
              </w:rPr>
            </w:pPr>
          </w:p>
        </w:tc>
        <w:tc>
          <w:tcPr>
            <w:tcW w:w="1080" w:type="dxa"/>
            <w:vMerge/>
            <w:tcBorders>
              <w:left w:val="single" w:sz="6" w:space="0" w:color="auto"/>
              <w:bottom w:val="single" w:sz="6" w:space="0" w:color="auto"/>
              <w:right w:val="single" w:sz="6" w:space="0" w:color="auto"/>
            </w:tcBorders>
          </w:tcPr>
          <w:p w:rsidR="001E16DF" w:rsidRPr="002045F5" w:rsidRDefault="001E16DF" w:rsidP="00524DBF">
            <w:pPr>
              <w:pStyle w:val="af5"/>
              <w:rPr>
                <w:sz w:val="22"/>
              </w:rPr>
            </w:pPr>
          </w:p>
        </w:tc>
        <w:tc>
          <w:tcPr>
            <w:tcW w:w="900" w:type="dxa"/>
            <w:gridSpan w:val="2"/>
            <w:tcBorders>
              <w:top w:val="single" w:sz="6" w:space="0" w:color="auto"/>
              <w:left w:val="single" w:sz="6" w:space="0" w:color="auto"/>
              <w:bottom w:val="single" w:sz="6" w:space="0" w:color="auto"/>
              <w:right w:val="single" w:sz="6" w:space="0" w:color="auto"/>
            </w:tcBorders>
            <w:vAlign w:val="center"/>
          </w:tcPr>
          <w:p w:rsidR="001E16DF" w:rsidRPr="002045F5" w:rsidRDefault="001E16DF" w:rsidP="00524DBF">
            <w:pPr>
              <w:pStyle w:val="af5"/>
              <w:jc w:val="center"/>
              <w:rPr>
                <w:sz w:val="22"/>
              </w:rPr>
            </w:pPr>
            <w:r w:rsidRPr="002045F5">
              <w:rPr>
                <w:rFonts w:eastAsia="Calibri"/>
                <w:color w:val="000000"/>
                <w:sz w:val="22"/>
              </w:rPr>
              <w:t>Обсяг</w:t>
            </w:r>
          </w:p>
        </w:tc>
        <w:tc>
          <w:tcPr>
            <w:tcW w:w="1620" w:type="dxa"/>
            <w:gridSpan w:val="2"/>
            <w:tcBorders>
              <w:top w:val="single" w:sz="6" w:space="0" w:color="auto"/>
              <w:left w:val="single" w:sz="6" w:space="0" w:color="auto"/>
              <w:bottom w:val="single" w:sz="6" w:space="0" w:color="auto"/>
              <w:right w:val="single" w:sz="6" w:space="0" w:color="auto"/>
            </w:tcBorders>
            <w:vAlign w:val="center"/>
          </w:tcPr>
          <w:p w:rsidR="001E16DF" w:rsidRPr="002045F5" w:rsidRDefault="001E16DF" w:rsidP="00524DBF">
            <w:pPr>
              <w:pStyle w:val="af5"/>
              <w:jc w:val="center"/>
              <w:rPr>
                <w:sz w:val="22"/>
              </w:rPr>
            </w:pPr>
            <w:r w:rsidRPr="002045F5">
              <w:rPr>
                <w:rFonts w:eastAsia="Calibri"/>
                <w:color w:val="000000"/>
                <w:sz w:val="22"/>
              </w:rPr>
              <w:t>Назва джерела</w:t>
            </w:r>
          </w:p>
        </w:tc>
        <w:tc>
          <w:tcPr>
            <w:tcW w:w="1593" w:type="dxa"/>
            <w:vMerge/>
            <w:tcBorders>
              <w:left w:val="single" w:sz="6" w:space="0" w:color="auto"/>
              <w:bottom w:val="single" w:sz="6" w:space="0" w:color="auto"/>
              <w:right w:val="single" w:sz="6" w:space="0" w:color="auto"/>
            </w:tcBorders>
          </w:tcPr>
          <w:p w:rsidR="001E16DF" w:rsidRPr="002045F5" w:rsidRDefault="001E16DF" w:rsidP="00524DBF">
            <w:pPr>
              <w:pStyle w:val="af5"/>
              <w:rPr>
                <w:sz w:val="22"/>
              </w:rPr>
            </w:pPr>
          </w:p>
        </w:tc>
      </w:tr>
      <w:tr w:rsidR="00670D96" w:rsidRPr="002045F5" w:rsidTr="00670D96">
        <w:trPr>
          <w:trHeight w:val="440"/>
        </w:trPr>
        <w:tc>
          <w:tcPr>
            <w:tcW w:w="881" w:type="dxa"/>
            <w:vMerge/>
            <w:tcBorders>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vMerge/>
            <w:tcBorders>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p>
        </w:tc>
        <w:tc>
          <w:tcPr>
            <w:tcW w:w="1894" w:type="dxa"/>
            <w:tcBorders>
              <w:top w:val="single" w:sz="6" w:space="0" w:color="auto"/>
              <w:left w:val="single" w:sz="6" w:space="0" w:color="auto"/>
              <w:bottom w:val="single" w:sz="6" w:space="0" w:color="auto"/>
              <w:right w:val="single" w:sz="6" w:space="0" w:color="auto"/>
            </w:tcBorders>
            <w:vAlign w:val="center"/>
          </w:tcPr>
          <w:p w:rsidR="001E16DF" w:rsidRPr="002045F5" w:rsidRDefault="001E16DF" w:rsidP="00524DBF">
            <w:pPr>
              <w:pStyle w:val="af5"/>
              <w:jc w:val="center"/>
              <w:rPr>
                <w:sz w:val="22"/>
              </w:rPr>
            </w:pPr>
            <w:r w:rsidRPr="002045F5">
              <w:rPr>
                <w:sz w:val="22"/>
              </w:rPr>
              <w:t>3000,000</w:t>
            </w:r>
          </w:p>
        </w:tc>
        <w:tc>
          <w:tcPr>
            <w:tcW w:w="1080" w:type="dxa"/>
            <w:tcBorders>
              <w:top w:val="single" w:sz="6" w:space="0" w:color="auto"/>
              <w:left w:val="single" w:sz="6" w:space="0" w:color="auto"/>
              <w:bottom w:val="single" w:sz="6" w:space="0" w:color="auto"/>
              <w:right w:val="single" w:sz="6" w:space="0" w:color="auto"/>
            </w:tcBorders>
            <w:vAlign w:val="center"/>
          </w:tcPr>
          <w:p w:rsidR="001E16DF" w:rsidRPr="002045F5" w:rsidRDefault="001E16DF" w:rsidP="00524DBF">
            <w:pPr>
              <w:pStyle w:val="af5"/>
              <w:jc w:val="center"/>
              <w:rPr>
                <w:sz w:val="22"/>
              </w:rPr>
            </w:pPr>
          </w:p>
        </w:tc>
        <w:tc>
          <w:tcPr>
            <w:tcW w:w="900" w:type="dxa"/>
            <w:gridSpan w:val="2"/>
            <w:tcBorders>
              <w:top w:val="single" w:sz="6" w:space="0" w:color="auto"/>
              <w:left w:val="single" w:sz="6" w:space="0" w:color="auto"/>
              <w:bottom w:val="single" w:sz="6" w:space="0" w:color="auto"/>
              <w:right w:val="single" w:sz="6" w:space="0" w:color="auto"/>
            </w:tcBorders>
            <w:vAlign w:val="center"/>
          </w:tcPr>
          <w:p w:rsidR="001E16DF" w:rsidRPr="002045F5" w:rsidRDefault="001E16DF" w:rsidP="00524DBF">
            <w:pPr>
              <w:autoSpaceDE w:val="0"/>
              <w:autoSpaceDN w:val="0"/>
              <w:adjustRightInd w:val="0"/>
              <w:jc w:val="center"/>
              <w:rPr>
                <w:rFonts w:eastAsia="Calibri"/>
                <w:color w:val="000000"/>
                <w:sz w:val="22"/>
              </w:rPr>
            </w:pPr>
            <w:r w:rsidRPr="002045F5">
              <w:rPr>
                <w:sz w:val="22"/>
              </w:rPr>
              <w:t>2580,930</w:t>
            </w:r>
          </w:p>
        </w:tc>
        <w:tc>
          <w:tcPr>
            <w:tcW w:w="1620" w:type="dxa"/>
            <w:gridSpan w:val="2"/>
            <w:tcBorders>
              <w:top w:val="single" w:sz="6" w:space="0" w:color="auto"/>
              <w:left w:val="single" w:sz="6" w:space="0" w:color="auto"/>
              <w:bottom w:val="single" w:sz="6" w:space="0" w:color="auto"/>
              <w:right w:val="single" w:sz="6" w:space="0" w:color="auto"/>
            </w:tcBorders>
            <w:vAlign w:val="center"/>
          </w:tcPr>
          <w:p w:rsidR="001E16DF" w:rsidRPr="002045F5" w:rsidRDefault="001E16DF" w:rsidP="00524DBF">
            <w:pPr>
              <w:autoSpaceDE w:val="0"/>
              <w:autoSpaceDN w:val="0"/>
              <w:adjustRightInd w:val="0"/>
              <w:jc w:val="center"/>
              <w:rPr>
                <w:rFonts w:eastAsia="Calibri"/>
                <w:color w:val="000000"/>
                <w:sz w:val="22"/>
              </w:rPr>
            </w:pPr>
            <w:r w:rsidRPr="002045F5">
              <w:rPr>
                <w:rFonts w:eastAsia="Calibri"/>
                <w:color w:val="000000"/>
                <w:sz w:val="22"/>
              </w:rPr>
              <w:t>Міжнародні інвестиції</w:t>
            </w:r>
          </w:p>
        </w:tc>
        <w:tc>
          <w:tcPr>
            <w:tcW w:w="1593" w:type="dxa"/>
            <w:tcBorders>
              <w:top w:val="single" w:sz="6" w:space="0" w:color="auto"/>
              <w:left w:val="single" w:sz="6" w:space="0" w:color="auto"/>
              <w:bottom w:val="single" w:sz="6" w:space="0" w:color="auto"/>
              <w:right w:val="single" w:sz="6" w:space="0" w:color="auto"/>
            </w:tcBorders>
            <w:vAlign w:val="center"/>
          </w:tcPr>
          <w:p w:rsidR="001E16DF" w:rsidRPr="002045F5" w:rsidRDefault="001E16DF" w:rsidP="00524DBF">
            <w:pPr>
              <w:pStyle w:val="af5"/>
              <w:jc w:val="center"/>
              <w:rPr>
                <w:sz w:val="22"/>
              </w:rPr>
            </w:pPr>
            <w:r w:rsidRPr="002045F5">
              <w:rPr>
                <w:sz w:val="22"/>
              </w:rPr>
              <w:t>5580,930</w:t>
            </w:r>
          </w:p>
        </w:tc>
      </w:tr>
    </w:tbl>
    <w:p w:rsidR="001E16DF" w:rsidRPr="002045F5" w:rsidRDefault="001E16DF" w:rsidP="00E95FB1">
      <w:pPr>
        <w:rPr>
          <w:sz w:val="22"/>
        </w:rPr>
      </w:pPr>
    </w:p>
    <w:tbl>
      <w:tblPr>
        <w:tblpPr w:leftFromText="180" w:rightFromText="180" w:vertAnchor="text" w:horzAnchor="page" w:tblpXSpec="center" w:tblpY="123"/>
        <w:tblW w:w="10803" w:type="dxa"/>
        <w:tblLayout w:type="fixed"/>
        <w:tblCellMar>
          <w:left w:w="30" w:type="dxa"/>
          <w:right w:w="30" w:type="dxa"/>
        </w:tblCellMar>
        <w:tblLook w:val="0000" w:firstRow="0" w:lastRow="0" w:firstColumn="0" w:lastColumn="0" w:noHBand="0" w:noVBand="0"/>
      </w:tblPr>
      <w:tblGrid>
        <w:gridCol w:w="881"/>
        <w:gridCol w:w="2835"/>
        <w:gridCol w:w="2126"/>
        <w:gridCol w:w="1286"/>
        <w:gridCol w:w="415"/>
        <w:gridCol w:w="587"/>
        <w:gridCol w:w="831"/>
        <w:gridCol w:w="429"/>
        <w:gridCol w:w="1413"/>
      </w:tblGrid>
      <w:tr w:rsidR="001E16DF" w:rsidRPr="002045F5" w:rsidTr="00670D96">
        <w:trPr>
          <w:trHeight w:val="245"/>
        </w:trPr>
        <w:tc>
          <w:tcPr>
            <w:tcW w:w="881" w:type="dxa"/>
            <w:tcBorders>
              <w:top w:val="nil"/>
              <w:left w:val="nil"/>
              <w:bottom w:val="nil"/>
              <w:right w:val="nil"/>
            </w:tcBorders>
          </w:tcPr>
          <w:p w:rsidR="001E16DF" w:rsidRPr="002045F5" w:rsidRDefault="001E16DF" w:rsidP="00524DBF">
            <w:pPr>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r w:rsidRPr="002045F5">
              <w:rPr>
                <w:rFonts w:eastAsia="Calibri"/>
                <w:b/>
                <w:color w:val="000000"/>
                <w:sz w:val="22"/>
              </w:rPr>
              <w:t>Оперативна ціль/завдання</w:t>
            </w:r>
          </w:p>
        </w:tc>
        <w:tc>
          <w:tcPr>
            <w:tcW w:w="7087" w:type="dxa"/>
            <w:gridSpan w:val="7"/>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rPr>
                <w:rFonts w:eastAsia="Calibri"/>
                <w:color w:val="000000"/>
                <w:sz w:val="22"/>
              </w:rPr>
            </w:pPr>
            <w:r w:rsidRPr="002045F5">
              <w:rPr>
                <w:sz w:val="22"/>
              </w:rPr>
              <w:t xml:space="preserve">Людський розвиток через інновації управління та довіру до влади. Формування сучасного інклюзивного  </w:t>
            </w:r>
            <w:proofErr w:type="spellStart"/>
            <w:r w:rsidRPr="002045F5">
              <w:rPr>
                <w:sz w:val="22"/>
              </w:rPr>
              <w:t>освітньо</w:t>
            </w:r>
            <w:proofErr w:type="spellEnd"/>
            <w:r w:rsidRPr="002045F5">
              <w:rPr>
                <w:sz w:val="22"/>
              </w:rPr>
              <w:t>-культурного та спортивного простору для розвитку</w:t>
            </w:r>
          </w:p>
        </w:tc>
      </w:tr>
      <w:tr w:rsidR="001E16DF" w:rsidRPr="002045F5" w:rsidTr="00670D96">
        <w:trPr>
          <w:trHeight w:val="290"/>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r w:rsidRPr="002045F5">
              <w:rPr>
                <w:rFonts w:eastAsia="Calibri"/>
                <w:b/>
                <w:color w:val="000000"/>
                <w:sz w:val="22"/>
              </w:rPr>
              <w:t>Назва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rPr>
                <w:rFonts w:eastAsia="Calibri"/>
                <w:color w:val="000000"/>
                <w:sz w:val="22"/>
              </w:rPr>
            </w:pPr>
            <w:r w:rsidRPr="002045F5">
              <w:rPr>
                <w:sz w:val="22"/>
              </w:rPr>
              <w:t xml:space="preserve">Центр STEM освіти на базі Сєвєродонецького міжшкільного ресурсного центру за </w:t>
            </w:r>
            <w:proofErr w:type="spellStart"/>
            <w:r w:rsidRPr="002045F5">
              <w:rPr>
                <w:sz w:val="22"/>
              </w:rPr>
              <w:t>адресою</w:t>
            </w:r>
            <w:proofErr w:type="spellEnd"/>
            <w:r w:rsidRPr="002045F5">
              <w:rPr>
                <w:sz w:val="22"/>
              </w:rPr>
              <w:t xml:space="preserve"> проспект Гвардійський</w:t>
            </w:r>
            <w:r w:rsidR="00371DC9" w:rsidRPr="002045F5">
              <w:rPr>
                <w:sz w:val="22"/>
              </w:rPr>
              <w:t>,</w:t>
            </w:r>
            <w:r w:rsidRPr="002045F5">
              <w:rPr>
                <w:sz w:val="22"/>
              </w:rPr>
              <w:t xml:space="preserve"> 22-б</w:t>
            </w:r>
          </w:p>
        </w:tc>
      </w:tr>
      <w:tr w:rsidR="001E16DF" w:rsidRPr="002045F5" w:rsidTr="00670D96">
        <w:trPr>
          <w:trHeight w:val="1074"/>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r w:rsidRPr="002045F5">
              <w:rPr>
                <w:rFonts w:eastAsia="Calibri"/>
                <w:b/>
                <w:color w:val="000000"/>
                <w:sz w:val="22"/>
              </w:rPr>
              <w:t>Ціль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1E16DF" w:rsidRPr="002045F5" w:rsidRDefault="001E16DF" w:rsidP="000303D7">
            <w:pPr>
              <w:pStyle w:val="a7"/>
              <w:numPr>
                <w:ilvl w:val="0"/>
                <w:numId w:val="124"/>
              </w:numPr>
              <w:ind w:left="213" w:hanging="142"/>
              <w:jc w:val="left"/>
              <w:rPr>
                <w:sz w:val="22"/>
              </w:rPr>
            </w:pPr>
            <w:r w:rsidRPr="002045F5">
              <w:rPr>
                <w:sz w:val="22"/>
              </w:rPr>
              <w:t xml:space="preserve">створення центру STEM освіти </w:t>
            </w:r>
            <w:r w:rsidR="00BE1FC1" w:rsidRPr="002045F5">
              <w:rPr>
                <w:sz w:val="22"/>
              </w:rPr>
              <w:t>;</w:t>
            </w:r>
          </w:p>
          <w:p w:rsidR="001E16DF" w:rsidRPr="002045F5" w:rsidRDefault="001E16DF" w:rsidP="000303D7">
            <w:pPr>
              <w:pStyle w:val="a7"/>
              <w:numPr>
                <w:ilvl w:val="0"/>
                <w:numId w:val="124"/>
              </w:numPr>
              <w:ind w:left="213" w:hanging="142"/>
              <w:jc w:val="left"/>
              <w:rPr>
                <w:sz w:val="22"/>
              </w:rPr>
            </w:pPr>
            <w:r w:rsidRPr="002045F5">
              <w:rPr>
                <w:sz w:val="22"/>
              </w:rPr>
              <w:t>формування навичок критичного мислення, креативних якостей, когнітивної гнучкості;</w:t>
            </w:r>
          </w:p>
          <w:p w:rsidR="001E16DF" w:rsidRPr="002045F5" w:rsidRDefault="001E16DF" w:rsidP="000303D7">
            <w:pPr>
              <w:pStyle w:val="a7"/>
              <w:numPr>
                <w:ilvl w:val="0"/>
                <w:numId w:val="124"/>
              </w:numPr>
              <w:ind w:left="213" w:hanging="142"/>
              <w:jc w:val="left"/>
              <w:rPr>
                <w:sz w:val="22"/>
              </w:rPr>
            </w:pPr>
            <w:r w:rsidRPr="002045F5">
              <w:rPr>
                <w:sz w:val="22"/>
              </w:rPr>
              <w:t>формування організаційних та комунікаційних здібностей;</w:t>
            </w:r>
          </w:p>
          <w:p w:rsidR="001E16DF" w:rsidRPr="002045F5" w:rsidRDefault="001E16DF" w:rsidP="000303D7">
            <w:pPr>
              <w:pStyle w:val="a7"/>
              <w:numPr>
                <w:ilvl w:val="0"/>
                <w:numId w:val="124"/>
              </w:numPr>
              <w:ind w:left="213" w:hanging="142"/>
              <w:jc w:val="left"/>
              <w:rPr>
                <w:sz w:val="22"/>
              </w:rPr>
            </w:pPr>
            <w:r w:rsidRPr="002045F5">
              <w:rPr>
                <w:sz w:val="22"/>
              </w:rPr>
              <w:t>вміння оцінювати проблеми та приймати рішення;</w:t>
            </w:r>
          </w:p>
          <w:p w:rsidR="001E16DF" w:rsidRPr="002045F5" w:rsidRDefault="001E16DF" w:rsidP="000303D7">
            <w:pPr>
              <w:pStyle w:val="a7"/>
              <w:numPr>
                <w:ilvl w:val="0"/>
                <w:numId w:val="124"/>
              </w:numPr>
              <w:ind w:left="213" w:hanging="142"/>
              <w:jc w:val="left"/>
              <w:rPr>
                <w:sz w:val="22"/>
              </w:rPr>
            </w:pPr>
            <w:r w:rsidRPr="002045F5">
              <w:rPr>
                <w:sz w:val="22"/>
              </w:rPr>
              <w:t>готовності до свідомого вибору та оволодіння майбутньою професією; фінансової грамотності;</w:t>
            </w:r>
          </w:p>
          <w:p w:rsidR="001E16DF" w:rsidRPr="002045F5" w:rsidRDefault="001E16DF" w:rsidP="000303D7">
            <w:pPr>
              <w:pStyle w:val="a7"/>
              <w:numPr>
                <w:ilvl w:val="0"/>
                <w:numId w:val="124"/>
              </w:numPr>
              <w:ind w:left="213" w:hanging="142"/>
              <w:jc w:val="left"/>
              <w:rPr>
                <w:sz w:val="22"/>
              </w:rPr>
            </w:pPr>
            <w:r w:rsidRPr="002045F5">
              <w:rPr>
                <w:sz w:val="22"/>
              </w:rPr>
              <w:t>цілісного наукового світогляду;</w:t>
            </w:r>
          </w:p>
          <w:p w:rsidR="001E16DF" w:rsidRPr="002045F5" w:rsidRDefault="001E16DF" w:rsidP="000303D7">
            <w:pPr>
              <w:pStyle w:val="a7"/>
              <w:numPr>
                <w:ilvl w:val="0"/>
                <w:numId w:val="124"/>
              </w:numPr>
              <w:ind w:left="213" w:hanging="142"/>
              <w:jc w:val="left"/>
              <w:rPr>
                <w:sz w:val="22"/>
              </w:rPr>
            </w:pPr>
            <w:r w:rsidRPr="002045F5">
              <w:rPr>
                <w:sz w:val="22"/>
              </w:rPr>
              <w:t>ціннісних орієнтирів;</w:t>
            </w:r>
          </w:p>
          <w:p w:rsidR="001E16DF" w:rsidRPr="002045F5" w:rsidRDefault="001E16DF" w:rsidP="000303D7">
            <w:pPr>
              <w:pStyle w:val="a7"/>
              <w:numPr>
                <w:ilvl w:val="0"/>
                <w:numId w:val="124"/>
              </w:numPr>
              <w:ind w:left="213" w:hanging="142"/>
              <w:jc w:val="left"/>
              <w:rPr>
                <w:sz w:val="22"/>
              </w:rPr>
            </w:pPr>
            <w:r w:rsidRPr="002045F5">
              <w:rPr>
                <w:sz w:val="22"/>
              </w:rPr>
              <w:t xml:space="preserve"> формування загальнокультурної, технологічної, комунікативної і соціальної компетентності; математичної та природничої грамотності; </w:t>
            </w:r>
          </w:p>
          <w:p w:rsidR="001E16DF" w:rsidRPr="002045F5" w:rsidRDefault="001E16DF" w:rsidP="000303D7">
            <w:pPr>
              <w:pStyle w:val="a7"/>
              <w:numPr>
                <w:ilvl w:val="0"/>
                <w:numId w:val="124"/>
              </w:numPr>
              <w:ind w:left="213" w:hanging="142"/>
              <w:jc w:val="left"/>
              <w:rPr>
                <w:sz w:val="22"/>
              </w:rPr>
            </w:pPr>
            <w:r w:rsidRPr="002045F5">
              <w:rPr>
                <w:sz w:val="22"/>
              </w:rPr>
              <w:t>всебічний розвиток особистості; оволодіння  засобами пізнавальної та практичної діяльності;</w:t>
            </w:r>
          </w:p>
          <w:p w:rsidR="001E16DF" w:rsidRPr="002045F5" w:rsidRDefault="001E16DF" w:rsidP="000303D7">
            <w:pPr>
              <w:pStyle w:val="a7"/>
              <w:numPr>
                <w:ilvl w:val="0"/>
                <w:numId w:val="124"/>
              </w:numPr>
              <w:ind w:left="213" w:hanging="142"/>
              <w:jc w:val="left"/>
              <w:rPr>
                <w:sz w:val="22"/>
              </w:rPr>
            </w:pPr>
            <w:r w:rsidRPr="002045F5">
              <w:rPr>
                <w:sz w:val="22"/>
              </w:rPr>
              <w:t xml:space="preserve">виховання особистості, яка прагне до здобуття освіти упродовж життя; </w:t>
            </w:r>
          </w:p>
          <w:p w:rsidR="001E16DF" w:rsidRPr="002045F5" w:rsidRDefault="001E16DF" w:rsidP="000303D7">
            <w:pPr>
              <w:pStyle w:val="a7"/>
              <w:numPr>
                <w:ilvl w:val="0"/>
                <w:numId w:val="124"/>
              </w:numPr>
              <w:ind w:left="213" w:hanging="142"/>
              <w:jc w:val="left"/>
              <w:rPr>
                <w:sz w:val="22"/>
              </w:rPr>
            </w:pPr>
            <w:r w:rsidRPr="002045F5">
              <w:rPr>
                <w:sz w:val="22"/>
              </w:rPr>
              <w:t>формування вмінь практичного і творчого застосування здобутих знань.</w:t>
            </w:r>
          </w:p>
        </w:tc>
      </w:tr>
      <w:tr w:rsidR="001E16DF" w:rsidRPr="002045F5" w:rsidTr="00670D96">
        <w:trPr>
          <w:trHeight w:val="290"/>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r w:rsidRPr="002045F5">
              <w:rPr>
                <w:rFonts w:eastAsia="Calibri"/>
                <w:b/>
                <w:color w:val="000000"/>
                <w:sz w:val="22"/>
              </w:rPr>
              <w:t>Територія, на яку матиме вплив реалізація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rPr>
                <w:rFonts w:eastAsia="Calibri"/>
                <w:color w:val="000000"/>
                <w:sz w:val="22"/>
              </w:rPr>
            </w:pPr>
            <w:r w:rsidRPr="002045F5">
              <w:rPr>
                <w:rFonts w:eastAsia="Calibri"/>
                <w:color w:val="000000"/>
                <w:sz w:val="22"/>
              </w:rPr>
              <w:t>Сєвєродонецька міська територіальна громада</w:t>
            </w:r>
          </w:p>
        </w:tc>
      </w:tr>
      <w:tr w:rsidR="001E16DF" w:rsidRPr="002045F5" w:rsidTr="00670D96">
        <w:trPr>
          <w:trHeight w:val="281"/>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r w:rsidRPr="002045F5">
              <w:rPr>
                <w:rFonts w:eastAsia="Calibri"/>
                <w:b/>
                <w:color w:val="000000"/>
                <w:sz w:val="22"/>
              </w:rPr>
              <w:t>Чисельність населення, на яке матиме вплив реалізація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rPr>
                <w:rFonts w:eastAsia="Calibri"/>
                <w:color w:val="000000"/>
                <w:sz w:val="22"/>
              </w:rPr>
            </w:pPr>
            <w:r w:rsidRPr="002045F5">
              <w:rPr>
                <w:sz w:val="22"/>
              </w:rPr>
              <w:t>70</w:t>
            </w:r>
            <w:r w:rsidRPr="002045F5">
              <w:rPr>
                <w:sz w:val="22"/>
                <w:lang w:val="en-US"/>
              </w:rPr>
              <w:t> </w:t>
            </w:r>
            <w:r w:rsidRPr="002045F5">
              <w:rPr>
                <w:sz w:val="22"/>
              </w:rPr>
              <w:t>000 осіб</w:t>
            </w:r>
          </w:p>
        </w:tc>
      </w:tr>
      <w:tr w:rsidR="001E16DF" w:rsidRPr="002045F5" w:rsidTr="00670D96">
        <w:trPr>
          <w:trHeight w:val="1223"/>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sz w:val="22"/>
              </w:rPr>
            </w:pPr>
            <w:r w:rsidRPr="002045F5">
              <w:rPr>
                <w:rFonts w:eastAsia="Calibri"/>
                <w:b/>
                <w:sz w:val="22"/>
              </w:rPr>
              <w:t>Опис проблеми, на вирішення якої спрямований проект</w:t>
            </w:r>
          </w:p>
        </w:tc>
        <w:tc>
          <w:tcPr>
            <w:tcW w:w="7087" w:type="dxa"/>
            <w:gridSpan w:val="7"/>
            <w:tcBorders>
              <w:top w:val="single" w:sz="6" w:space="0" w:color="auto"/>
              <w:left w:val="single" w:sz="6" w:space="0" w:color="auto"/>
              <w:bottom w:val="single" w:sz="6" w:space="0" w:color="auto"/>
              <w:right w:val="single" w:sz="6" w:space="0" w:color="auto"/>
            </w:tcBorders>
          </w:tcPr>
          <w:p w:rsidR="001E16DF" w:rsidRPr="002045F5" w:rsidRDefault="001E16DF" w:rsidP="00524DBF">
            <w:pPr>
              <w:rPr>
                <w:sz w:val="22"/>
              </w:rPr>
            </w:pPr>
            <w:r w:rsidRPr="002045F5">
              <w:rPr>
                <w:sz w:val="22"/>
              </w:rPr>
              <w:t xml:space="preserve">Важливими факторами розвитку економіки є наукоємні та високотехнологічні галузі. Фахівці цих галузей роблять вагомий внесок у виробництво внутрішнього валового продукту і саме їх дефіцит особливо відчутний в Україні і усьому світі. Основною причиною такого дефіциту є втрата популярності науково-технічних, інженерних професій і, як наслідок, зниження рівня </w:t>
            </w:r>
            <w:r w:rsidR="00A52546" w:rsidRPr="002045F5">
              <w:rPr>
                <w:sz w:val="22"/>
              </w:rPr>
              <w:t>зацікавленості</w:t>
            </w:r>
            <w:r w:rsidRPr="002045F5">
              <w:rPr>
                <w:sz w:val="22"/>
              </w:rPr>
              <w:t xml:space="preserve"> у вивченні предметів природничої, технологічної, математичної освітніх галузей у здобувачів освіти, про що свідчить, зокрема, негативна динаміка зменшення кількості випускників </w:t>
            </w:r>
            <w:proofErr w:type="spellStart"/>
            <w:r w:rsidRPr="002045F5">
              <w:rPr>
                <w:sz w:val="22"/>
              </w:rPr>
              <w:t>загальніх</w:t>
            </w:r>
            <w:proofErr w:type="spellEnd"/>
            <w:r w:rsidRPr="002045F5">
              <w:rPr>
                <w:sz w:val="22"/>
              </w:rPr>
              <w:t xml:space="preserve"> середніх закладів </w:t>
            </w:r>
            <w:r w:rsidR="00D706F1" w:rsidRPr="002045F5">
              <w:rPr>
                <w:sz w:val="22"/>
              </w:rPr>
              <w:t>о</w:t>
            </w:r>
            <w:r w:rsidRPr="002045F5">
              <w:rPr>
                <w:sz w:val="22"/>
              </w:rPr>
              <w:t xml:space="preserve">бирати </w:t>
            </w:r>
            <w:proofErr w:type="spellStart"/>
            <w:r w:rsidRPr="002045F5">
              <w:rPr>
                <w:sz w:val="22"/>
              </w:rPr>
              <w:t>спеціальністі</w:t>
            </w:r>
            <w:proofErr w:type="spellEnd"/>
            <w:r w:rsidRPr="002045F5">
              <w:rPr>
                <w:sz w:val="22"/>
              </w:rPr>
              <w:t xml:space="preserve">, основними </w:t>
            </w:r>
            <w:r w:rsidRPr="002045F5">
              <w:rPr>
                <w:sz w:val="22"/>
              </w:rPr>
              <w:lastRenderedPageBreak/>
              <w:t xml:space="preserve">предметами при навчанні є математика, фізика, хімія та біологія. Існує три основних підходи: розроблення ефективних і привабливих методів впровадження навчальних програм з навчальними методиками природничо-математичної освіти (STEM освіти); удосконалення підготовки педагогічних працівників та забезпечення їх професійного розвитку і стимулювання; стимулювання здобувачів освіти до обрання науково-технічної діяльності. </w:t>
            </w:r>
          </w:p>
          <w:p w:rsidR="001E16DF" w:rsidRPr="002045F5" w:rsidRDefault="001E16DF" w:rsidP="00524DBF">
            <w:pPr>
              <w:rPr>
                <w:sz w:val="22"/>
              </w:rPr>
            </w:pPr>
            <w:r w:rsidRPr="002045F5">
              <w:rPr>
                <w:sz w:val="22"/>
              </w:rPr>
              <w:t xml:space="preserve">STEM-центр – структурний підрозділ Сєвєродонецького МРЦ, утворений з метою забезпечення STEM-освіти для здобувачів освіти та зацікавлених осіб. Створення STEM-центру в МРЦ дає можливість створити інтегровані курси, відкрити гуртки робототехніки, 3D-моделювання, передбачає впровадження STEM-освіти в </w:t>
            </w:r>
            <w:proofErr w:type="spellStart"/>
            <w:r w:rsidRPr="002045F5">
              <w:rPr>
                <w:sz w:val="22"/>
              </w:rPr>
              <w:t>теріторіальній</w:t>
            </w:r>
            <w:proofErr w:type="spellEnd"/>
            <w:r w:rsidRPr="002045F5">
              <w:rPr>
                <w:sz w:val="22"/>
              </w:rPr>
              <w:t xml:space="preserve"> громаді, з метою впровадження ІT-технологій, профорієнтації та підготовки дітей до технологічно розвинутого суспільства. Створення STEM-центру відкриває широкі можливості керівникам гуртків та вчителям Сєвєродонецького МРЦ виховувати майбутніх винахідників, які будуть мислити стартапами і </w:t>
            </w:r>
            <w:proofErr w:type="spellStart"/>
            <w:r w:rsidRPr="002045F5">
              <w:rPr>
                <w:sz w:val="22"/>
              </w:rPr>
              <w:t>проєктами</w:t>
            </w:r>
            <w:proofErr w:type="spellEnd"/>
            <w:r w:rsidRPr="002045F5">
              <w:rPr>
                <w:sz w:val="22"/>
              </w:rPr>
              <w:t xml:space="preserve"> і не будуть боятися презентувати результати своїх здобутків. </w:t>
            </w:r>
          </w:p>
          <w:p w:rsidR="001E16DF" w:rsidRPr="002045F5" w:rsidRDefault="001E16DF" w:rsidP="00524DBF">
            <w:pPr>
              <w:autoSpaceDE w:val="0"/>
              <w:autoSpaceDN w:val="0"/>
              <w:adjustRightInd w:val="0"/>
              <w:rPr>
                <w:rFonts w:eastAsia="Calibri"/>
                <w:sz w:val="22"/>
              </w:rPr>
            </w:pPr>
            <w:r w:rsidRPr="002045F5">
              <w:rPr>
                <w:sz w:val="22"/>
              </w:rPr>
              <w:t>Для створення STEM-центру необхідно закупити та встановити набори робототехніки, програмовані електронні модулі, 3D-принтери, цифрові верстати, придбати унікальні навчально-методичні посібники; вирішити кадрове забезпечення STEM-центру.</w:t>
            </w:r>
          </w:p>
        </w:tc>
      </w:tr>
      <w:tr w:rsidR="001E16DF" w:rsidRPr="002045F5" w:rsidTr="00670D96">
        <w:trPr>
          <w:trHeight w:val="528"/>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sz w:val="22"/>
              </w:rPr>
            </w:pPr>
            <w:r w:rsidRPr="002045F5">
              <w:rPr>
                <w:rFonts w:eastAsia="Calibri"/>
                <w:b/>
                <w:sz w:val="22"/>
              </w:rPr>
              <w:t>Очікувані якісні результати від реалізації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1E16DF" w:rsidRPr="002045F5" w:rsidRDefault="001E16DF" w:rsidP="000303D7">
            <w:pPr>
              <w:pStyle w:val="a7"/>
              <w:numPr>
                <w:ilvl w:val="0"/>
                <w:numId w:val="126"/>
              </w:numPr>
              <w:ind w:left="213" w:hanging="213"/>
              <w:rPr>
                <w:sz w:val="22"/>
              </w:rPr>
            </w:pPr>
            <w:r w:rsidRPr="002045F5">
              <w:rPr>
                <w:sz w:val="22"/>
              </w:rPr>
              <w:t>Забезпечити навчальні кабінети сучасними технічними засобами навчання.</w:t>
            </w:r>
          </w:p>
          <w:p w:rsidR="001E16DF" w:rsidRPr="002045F5" w:rsidRDefault="001E16DF" w:rsidP="000303D7">
            <w:pPr>
              <w:pStyle w:val="a7"/>
              <w:numPr>
                <w:ilvl w:val="0"/>
                <w:numId w:val="126"/>
              </w:numPr>
              <w:ind w:left="213" w:hanging="213"/>
              <w:rPr>
                <w:sz w:val="22"/>
              </w:rPr>
            </w:pPr>
            <w:r w:rsidRPr="002045F5">
              <w:rPr>
                <w:sz w:val="22"/>
              </w:rPr>
              <w:t xml:space="preserve">Вирішити кадрове забезпечення STEM-центру. </w:t>
            </w:r>
          </w:p>
          <w:p w:rsidR="001E16DF" w:rsidRPr="002045F5" w:rsidRDefault="001E16DF" w:rsidP="000303D7">
            <w:pPr>
              <w:pStyle w:val="a7"/>
              <w:numPr>
                <w:ilvl w:val="0"/>
                <w:numId w:val="126"/>
              </w:numPr>
              <w:ind w:left="213" w:hanging="213"/>
              <w:rPr>
                <w:sz w:val="22"/>
              </w:rPr>
            </w:pPr>
            <w:r w:rsidRPr="002045F5">
              <w:rPr>
                <w:sz w:val="22"/>
              </w:rPr>
              <w:t>Забезпечити навчальними планами, програмами, дидактичним матеріалом, посібниками і необхідною літературою.</w:t>
            </w:r>
          </w:p>
          <w:p w:rsidR="001E16DF" w:rsidRPr="002045F5" w:rsidRDefault="001E16DF" w:rsidP="00524DBF">
            <w:pPr>
              <w:pStyle w:val="a7"/>
              <w:ind w:left="0"/>
              <w:rPr>
                <w:sz w:val="22"/>
              </w:rPr>
            </w:pPr>
            <w:r w:rsidRPr="002045F5">
              <w:rPr>
                <w:sz w:val="22"/>
              </w:rPr>
              <w:t>4.Установити співпрацю з ВНЗ міста, регіону, країни, підприємствами та установами, закладами освіти територіальної громади.</w:t>
            </w:r>
          </w:p>
        </w:tc>
      </w:tr>
      <w:tr w:rsidR="001E16DF" w:rsidRPr="002045F5" w:rsidTr="00670D96">
        <w:trPr>
          <w:trHeight w:val="581"/>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r w:rsidRPr="002045F5">
              <w:rPr>
                <w:rFonts w:eastAsia="Calibri"/>
                <w:b/>
                <w:color w:val="000000"/>
                <w:sz w:val="22"/>
              </w:rPr>
              <w:t>Очікувані кількісні результати від реалізації проекту  (індикатори)</w:t>
            </w:r>
          </w:p>
        </w:tc>
        <w:tc>
          <w:tcPr>
            <w:tcW w:w="3827" w:type="dxa"/>
            <w:gridSpan w:val="3"/>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jc w:val="center"/>
              <w:rPr>
                <w:rFonts w:eastAsia="Calibri"/>
                <w:b/>
                <w:color w:val="000000"/>
                <w:sz w:val="22"/>
              </w:rPr>
            </w:pPr>
            <w:r w:rsidRPr="002045F5">
              <w:rPr>
                <w:rFonts w:eastAsia="Calibri"/>
                <w:b/>
                <w:color w:val="000000"/>
                <w:sz w:val="22"/>
              </w:rPr>
              <w:t>Найменування показника</w:t>
            </w:r>
          </w:p>
        </w:tc>
        <w:tc>
          <w:tcPr>
            <w:tcW w:w="1418" w:type="dxa"/>
            <w:gridSpan w:val="2"/>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jc w:val="center"/>
              <w:rPr>
                <w:rFonts w:eastAsia="Calibri"/>
                <w:b/>
                <w:color w:val="000000"/>
                <w:sz w:val="22"/>
              </w:rPr>
            </w:pPr>
            <w:r w:rsidRPr="002045F5">
              <w:rPr>
                <w:rFonts w:eastAsia="Calibri"/>
                <w:b/>
                <w:color w:val="000000"/>
                <w:sz w:val="22"/>
              </w:rPr>
              <w:t>Одиниця вимірювання</w:t>
            </w:r>
          </w:p>
        </w:tc>
        <w:tc>
          <w:tcPr>
            <w:tcW w:w="1842" w:type="dxa"/>
            <w:gridSpan w:val="2"/>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jc w:val="center"/>
              <w:rPr>
                <w:rFonts w:eastAsia="Calibri"/>
                <w:b/>
                <w:color w:val="000000"/>
                <w:sz w:val="22"/>
              </w:rPr>
            </w:pPr>
            <w:r w:rsidRPr="002045F5">
              <w:rPr>
                <w:rFonts w:eastAsia="Calibri"/>
                <w:b/>
                <w:color w:val="000000"/>
                <w:sz w:val="22"/>
              </w:rPr>
              <w:t>Прогнозне (цільове) значення</w:t>
            </w:r>
          </w:p>
        </w:tc>
      </w:tr>
      <w:tr w:rsidR="001E16DF" w:rsidRPr="002045F5" w:rsidTr="00670D96">
        <w:trPr>
          <w:trHeight w:val="65"/>
        </w:trPr>
        <w:tc>
          <w:tcPr>
            <w:tcW w:w="881" w:type="dxa"/>
            <w:vMerge w:val="restart"/>
            <w:tcBorders>
              <w:top w:val="nil"/>
              <w:left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vMerge w:val="restart"/>
            <w:tcBorders>
              <w:top w:val="single" w:sz="6" w:space="0" w:color="auto"/>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p>
        </w:tc>
        <w:tc>
          <w:tcPr>
            <w:tcW w:w="3827" w:type="dxa"/>
            <w:gridSpan w:val="3"/>
            <w:tcBorders>
              <w:top w:val="single" w:sz="6" w:space="0" w:color="auto"/>
              <w:left w:val="single" w:sz="6" w:space="0" w:color="auto"/>
              <w:right w:val="single" w:sz="6" w:space="0" w:color="auto"/>
            </w:tcBorders>
          </w:tcPr>
          <w:p w:rsidR="001E16DF" w:rsidRPr="002045F5" w:rsidRDefault="001E16DF" w:rsidP="00524DBF">
            <w:pPr>
              <w:autoSpaceDE w:val="0"/>
              <w:autoSpaceDN w:val="0"/>
              <w:adjustRightInd w:val="0"/>
              <w:rPr>
                <w:sz w:val="22"/>
              </w:rPr>
            </w:pPr>
            <w:r w:rsidRPr="002045F5">
              <w:rPr>
                <w:sz w:val="22"/>
              </w:rPr>
              <w:t>Меблі</w:t>
            </w:r>
          </w:p>
        </w:tc>
        <w:tc>
          <w:tcPr>
            <w:tcW w:w="1418" w:type="dxa"/>
            <w:gridSpan w:val="2"/>
            <w:tcBorders>
              <w:top w:val="single" w:sz="6" w:space="0" w:color="auto"/>
              <w:left w:val="single" w:sz="6" w:space="0" w:color="auto"/>
              <w:right w:val="single" w:sz="6" w:space="0" w:color="auto"/>
            </w:tcBorders>
            <w:shd w:val="clear" w:color="auto" w:fill="auto"/>
          </w:tcPr>
          <w:p w:rsidR="001E16DF" w:rsidRPr="002045F5" w:rsidRDefault="001E16DF" w:rsidP="00524DBF">
            <w:pPr>
              <w:autoSpaceDE w:val="0"/>
              <w:autoSpaceDN w:val="0"/>
              <w:adjustRightInd w:val="0"/>
              <w:jc w:val="center"/>
              <w:rPr>
                <w:rFonts w:eastAsia="Calibri"/>
                <w:sz w:val="22"/>
              </w:rPr>
            </w:pPr>
            <w:r w:rsidRPr="002045F5">
              <w:rPr>
                <w:rFonts w:eastAsia="Calibri"/>
                <w:sz w:val="22"/>
              </w:rPr>
              <w:t>одиниць</w:t>
            </w:r>
          </w:p>
        </w:tc>
        <w:tc>
          <w:tcPr>
            <w:tcW w:w="1842" w:type="dxa"/>
            <w:gridSpan w:val="2"/>
            <w:tcBorders>
              <w:top w:val="single" w:sz="6" w:space="0" w:color="auto"/>
              <w:left w:val="single" w:sz="6" w:space="0" w:color="auto"/>
              <w:right w:val="single" w:sz="6" w:space="0" w:color="auto"/>
            </w:tcBorders>
            <w:shd w:val="clear" w:color="auto" w:fill="auto"/>
          </w:tcPr>
          <w:p w:rsidR="001E16DF" w:rsidRPr="002045F5" w:rsidRDefault="001E16DF" w:rsidP="00524DBF">
            <w:pPr>
              <w:autoSpaceDE w:val="0"/>
              <w:autoSpaceDN w:val="0"/>
              <w:adjustRightInd w:val="0"/>
              <w:jc w:val="center"/>
              <w:rPr>
                <w:sz w:val="22"/>
              </w:rPr>
            </w:pPr>
            <w:r w:rsidRPr="002045F5">
              <w:rPr>
                <w:sz w:val="22"/>
              </w:rPr>
              <w:t>100</w:t>
            </w:r>
          </w:p>
        </w:tc>
      </w:tr>
      <w:tr w:rsidR="001E16DF" w:rsidRPr="002045F5" w:rsidTr="00670D96">
        <w:trPr>
          <w:trHeight w:val="326"/>
        </w:trPr>
        <w:tc>
          <w:tcPr>
            <w:tcW w:w="881" w:type="dxa"/>
            <w:vMerge/>
            <w:tcBorders>
              <w:left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FF0000"/>
                <w:sz w:val="22"/>
              </w:rPr>
            </w:pPr>
          </w:p>
        </w:tc>
        <w:tc>
          <w:tcPr>
            <w:tcW w:w="3827" w:type="dxa"/>
            <w:gridSpan w:val="3"/>
            <w:tcBorders>
              <w:left w:val="single" w:sz="6" w:space="0" w:color="auto"/>
              <w:right w:val="single" w:sz="6" w:space="0" w:color="auto"/>
            </w:tcBorders>
          </w:tcPr>
          <w:p w:rsidR="001E16DF" w:rsidRPr="002045F5" w:rsidRDefault="001E16DF" w:rsidP="00524DBF">
            <w:pPr>
              <w:autoSpaceDE w:val="0"/>
              <w:autoSpaceDN w:val="0"/>
              <w:adjustRightInd w:val="0"/>
              <w:rPr>
                <w:sz w:val="22"/>
              </w:rPr>
            </w:pPr>
            <w:r w:rsidRPr="002045F5">
              <w:rPr>
                <w:sz w:val="22"/>
              </w:rPr>
              <w:t>Обладнання для STEM-центру (комплект)</w:t>
            </w:r>
          </w:p>
        </w:tc>
        <w:tc>
          <w:tcPr>
            <w:tcW w:w="1418" w:type="dxa"/>
            <w:gridSpan w:val="2"/>
            <w:tcBorders>
              <w:left w:val="single" w:sz="6" w:space="0" w:color="auto"/>
              <w:right w:val="single" w:sz="6" w:space="0" w:color="auto"/>
            </w:tcBorders>
            <w:shd w:val="clear" w:color="auto" w:fill="auto"/>
          </w:tcPr>
          <w:p w:rsidR="001E16DF" w:rsidRPr="002045F5" w:rsidRDefault="001E16DF" w:rsidP="00524DBF">
            <w:pPr>
              <w:autoSpaceDE w:val="0"/>
              <w:autoSpaceDN w:val="0"/>
              <w:adjustRightInd w:val="0"/>
              <w:jc w:val="center"/>
              <w:rPr>
                <w:color w:val="000000"/>
                <w:sz w:val="22"/>
              </w:rPr>
            </w:pPr>
          </w:p>
          <w:p w:rsidR="001E16DF" w:rsidRPr="002045F5" w:rsidRDefault="001E16DF" w:rsidP="00524DBF">
            <w:pPr>
              <w:autoSpaceDE w:val="0"/>
              <w:autoSpaceDN w:val="0"/>
              <w:adjustRightInd w:val="0"/>
              <w:jc w:val="center"/>
              <w:rPr>
                <w:color w:val="000000"/>
                <w:sz w:val="22"/>
              </w:rPr>
            </w:pPr>
            <w:r w:rsidRPr="002045F5">
              <w:rPr>
                <w:rFonts w:eastAsia="Calibri"/>
                <w:sz w:val="22"/>
              </w:rPr>
              <w:t>одиниць</w:t>
            </w:r>
          </w:p>
        </w:tc>
        <w:tc>
          <w:tcPr>
            <w:tcW w:w="1842" w:type="dxa"/>
            <w:gridSpan w:val="2"/>
            <w:tcBorders>
              <w:left w:val="single" w:sz="6" w:space="0" w:color="auto"/>
              <w:right w:val="single" w:sz="6" w:space="0" w:color="auto"/>
            </w:tcBorders>
            <w:shd w:val="clear" w:color="auto" w:fill="auto"/>
          </w:tcPr>
          <w:p w:rsidR="001E16DF" w:rsidRPr="002045F5" w:rsidRDefault="001E16DF" w:rsidP="00524DBF">
            <w:pPr>
              <w:autoSpaceDE w:val="0"/>
              <w:autoSpaceDN w:val="0"/>
              <w:adjustRightInd w:val="0"/>
              <w:jc w:val="center"/>
              <w:rPr>
                <w:sz w:val="22"/>
              </w:rPr>
            </w:pPr>
          </w:p>
          <w:p w:rsidR="001E16DF" w:rsidRPr="002045F5" w:rsidRDefault="001E16DF" w:rsidP="00524DBF">
            <w:pPr>
              <w:autoSpaceDE w:val="0"/>
              <w:autoSpaceDN w:val="0"/>
              <w:adjustRightInd w:val="0"/>
              <w:jc w:val="center"/>
              <w:rPr>
                <w:sz w:val="22"/>
              </w:rPr>
            </w:pPr>
            <w:r w:rsidRPr="002045F5">
              <w:rPr>
                <w:sz w:val="22"/>
              </w:rPr>
              <w:t>1</w:t>
            </w:r>
          </w:p>
        </w:tc>
      </w:tr>
      <w:tr w:rsidR="001E16DF" w:rsidRPr="002045F5" w:rsidTr="00670D96">
        <w:trPr>
          <w:trHeight w:val="80"/>
        </w:trPr>
        <w:tc>
          <w:tcPr>
            <w:tcW w:w="881" w:type="dxa"/>
            <w:tcBorders>
              <w:left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FF0000"/>
                <w:sz w:val="22"/>
              </w:rPr>
            </w:pPr>
          </w:p>
        </w:tc>
        <w:tc>
          <w:tcPr>
            <w:tcW w:w="3827" w:type="dxa"/>
            <w:gridSpan w:val="3"/>
            <w:tcBorders>
              <w:left w:val="single" w:sz="6" w:space="0" w:color="auto"/>
              <w:right w:val="single" w:sz="6" w:space="0" w:color="auto"/>
            </w:tcBorders>
          </w:tcPr>
          <w:p w:rsidR="001E16DF" w:rsidRPr="002045F5" w:rsidRDefault="001E16DF" w:rsidP="00524DBF">
            <w:pPr>
              <w:autoSpaceDE w:val="0"/>
              <w:autoSpaceDN w:val="0"/>
              <w:adjustRightInd w:val="0"/>
              <w:rPr>
                <w:sz w:val="22"/>
              </w:rPr>
            </w:pPr>
            <w:r w:rsidRPr="002045F5">
              <w:rPr>
                <w:sz w:val="22"/>
              </w:rPr>
              <w:t xml:space="preserve">Оргтехніка </w:t>
            </w:r>
          </w:p>
        </w:tc>
        <w:tc>
          <w:tcPr>
            <w:tcW w:w="1418" w:type="dxa"/>
            <w:gridSpan w:val="2"/>
            <w:tcBorders>
              <w:left w:val="single" w:sz="6" w:space="0" w:color="auto"/>
              <w:right w:val="single" w:sz="6" w:space="0" w:color="auto"/>
            </w:tcBorders>
            <w:shd w:val="clear" w:color="auto" w:fill="auto"/>
          </w:tcPr>
          <w:p w:rsidR="001E16DF" w:rsidRPr="002045F5" w:rsidRDefault="001E16DF" w:rsidP="00524DBF">
            <w:pPr>
              <w:autoSpaceDE w:val="0"/>
              <w:autoSpaceDN w:val="0"/>
              <w:adjustRightInd w:val="0"/>
              <w:jc w:val="center"/>
              <w:rPr>
                <w:color w:val="000000"/>
                <w:sz w:val="22"/>
              </w:rPr>
            </w:pPr>
            <w:r w:rsidRPr="002045F5">
              <w:rPr>
                <w:rFonts w:eastAsia="Calibri"/>
                <w:sz w:val="22"/>
              </w:rPr>
              <w:t>одиниць</w:t>
            </w:r>
          </w:p>
        </w:tc>
        <w:tc>
          <w:tcPr>
            <w:tcW w:w="1842" w:type="dxa"/>
            <w:gridSpan w:val="2"/>
            <w:tcBorders>
              <w:left w:val="single" w:sz="6" w:space="0" w:color="auto"/>
              <w:right w:val="single" w:sz="6" w:space="0" w:color="auto"/>
            </w:tcBorders>
            <w:shd w:val="clear" w:color="auto" w:fill="auto"/>
          </w:tcPr>
          <w:p w:rsidR="001E16DF" w:rsidRPr="002045F5" w:rsidRDefault="001E16DF" w:rsidP="00524DBF">
            <w:pPr>
              <w:autoSpaceDE w:val="0"/>
              <w:autoSpaceDN w:val="0"/>
              <w:adjustRightInd w:val="0"/>
              <w:jc w:val="center"/>
              <w:rPr>
                <w:sz w:val="22"/>
              </w:rPr>
            </w:pPr>
            <w:r w:rsidRPr="002045F5">
              <w:rPr>
                <w:sz w:val="22"/>
              </w:rPr>
              <w:t>8</w:t>
            </w:r>
          </w:p>
        </w:tc>
      </w:tr>
      <w:tr w:rsidR="001E16DF" w:rsidRPr="002045F5" w:rsidTr="00670D96">
        <w:trPr>
          <w:trHeight w:val="110"/>
        </w:trPr>
        <w:tc>
          <w:tcPr>
            <w:tcW w:w="881" w:type="dxa"/>
            <w:tcBorders>
              <w:left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FF0000"/>
                <w:sz w:val="22"/>
              </w:rPr>
            </w:pPr>
          </w:p>
        </w:tc>
        <w:tc>
          <w:tcPr>
            <w:tcW w:w="3827" w:type="dxa"/>
            <w:gridSpan w:val="3"/>
            <w:tcBorders>
              <w:left w:val="single" w:sz="6" w:space="0" w:color="auto"/>
              <w:right w:val="single" w:sz="6" w:space="0" w:color="auto"/>
            </w:tcBorders>
          </w:tcPr>
          <w:p w:rsidR="001E16DF" w:rsidRPr="002045F5" w:rsidRDefault="001E16DF" w:rsidP="00524DBF">
            <w:pPr>
              <w:autoSpaceDE w:val="0"/>
              <w:autoSpaceDN w:val="0"/>
              <w:adjustRightInd w:val="0"/>
              <w:rPr>
                <w:sz w:val="22"/>
              </w:rPr>
            </w:pPr>
            <w:r w:rsidRPr="002045F5">
              <w:rPr>
                <w:sz w:val="22"/>
              </w:rPr>
              <w:t>Комп</w:t>
            </w:r>
            <w:r w:rsidRPr="002045F5">
              <w:rPr>
                <w:sz w:val="22"/>
                <w:lang w:val="en-US"/>
              </w:rPr>
              <w:t>’</w:t>
            </w:r>
            <w:proofErr w:type="spellStart"/>
            <w:r w:rsidRPr="002045F5">
              <w:rPr>
                <w:sz w:val="22"/>
              </w:rPr>
              <w:t>ютерна</w:t>
            </w:r>
            <w:proofErr w:type="spellEnd"/>
            <w:r w:rsidRPr="002045F5">
              <w:rPr>
                <w:sz w:val="22"/>
              </w:rPr>
              <w:t xml:space="preserve"> техніка</w:t>
            </w:r>
          </w:p>
        </w:tc>
        <w:tc>
          <w:tcPr>
            <w:tcW w:w="1418" w:type="dxa"/>
            <w:gridSpan w:val="2"/>
            <w:tcBorders>
              <w:left w:val="single" w:sz="6" w:space="0" w:color="auto"/>
              <w:right w:val="single" w:sz="6" w:space="0" w:color="auto"/>
            </w:tcBorders>
            <w:shd w:val="clear" w:color="auto" w:fill="auto"/>
          </w:tcPr>
          <w:p w:rsidR="001E16DF" w:rsidRPr="002045F5" w:rsidRDefault="001E16DF" w:rsidP="00524DBF">
            <w:pPr>
              <w:autoSpaceDE w:val="0"/>
              <w:autoSpaceDN w:val="0"/>
              <w:adjustRightInd w:val="0"/>
              <w:jc w:val="center"/>
              <w:rPr>
                <w:color w:val="000000"/>
                <w:sz w:val="22"/>
              </w:rPr>
            </w:pPr>
            <w:r w:rsidRPr="002045F5">
              <w:rPr>
                <w:rFonts w:eastAsia="Calibri"/>
                <w:sz w:val="22"/>
              </w:rPr>
              <w:t>одиниць</w:t>
            </w:r>
          </w:p>
        </w:tc>
        <w:tc>
          <w:tcPr>
            <w:tcW w:w="1842" w:type="dxa"/>
            <w:gridSpan w:val="2"/>
            <w:tcBorders>
              <w:left w:val="single" w:sz="6" w:space="0" w:color="auto"/>
              <w:right w:val="single" w:sz="6" w:space="0" w:color="auto"/>
            </w:tcBorders>
            <w:shd w:val="clear" w:color="auto" w:fill="auto"/>
          </w:tcPr>
          <w:p w:rsidR="001E16DF" w:rsidRPr="002045F5" w:rsidRDefault="001E16DF" w:rsidP="00524DBF">
            <w:pPr>
              <w:autoSpaceDE w:val="0"/>
              <w:autoSpaceDN w:val="0"/>
              <w:adjustRightInd w:val="0"/>
              <w:jc w:val="center"/>
              <w:rPr>
                <w:sz w:val="22"/>
              </w:rPr>
            </w:pPr>
            <w:r w:rsidRPr="002045F5">
              <w:rPr>
                <w:sz w:val="22"/>
              </w:rPr>
              <w:t>30</w:t>
            </w:r>
          </w:p>
        </w:tc>
      </w:tr>
      <w:tr w:rsidR="001E16DF" w:rsidRPr="002045F5" w:rsidTr="00670D96">
        <w:trPr>
          <w:trHeight w:val="80"/>
        </w:trPr>
        <w:tc>
          <w:tcPr>
            <w:tcW w:w="881" w:type="dxa"/>
            <w:tcBorders>
              <w:left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FF0000"/>
                <w:sz w:val="22"/>
              </w:rPr>
            </w:pPr>
          </w:p>
        </w:tc>
        <w:tc>
          <w:tcPr>
            <w:tcW w:w="3827" w:type="dxa"/>
            <w:gridSpan w:val="3"/>
            <w:tcBorders>
              <w:left w:val="single" w:sz="6" w:space="0" w:color="auto"/>
              <w:right w:val="single" w:sz="6" w:space="0" w:color="auto"/>
            </w:tcBorders>
          </w:tcPr>
          <w:p w:rsidR="001E16DF" w:rsidRPr="002045F5" w:rsidRDefault="001E16DF" w:rsidP="00524DBF">
            <w:pPr>
              <w:autoSpaceDE w:val="0"/>
              <w:autoSpaceDN w:val="0"/>
              <w:adjustRightInd w:val="0"/>
              <w:rPr>
                <w:sz w:val="22"/>
              </w:rPr>
            </w:pPr>
            <w:r w:rsidRPr="002045F5">
              <w:rPr>
                <w:sz w:val="22"/>
              </w:rPr>
              <w:t xml:space="preserve">Проектор </w:t>
            </w:r>
          </w:p>
        </w:tc>
        <w:tc>
          <w:tcPr>
            <w:tcW w:w="1418" w:type="dxa"/>
            <w:gridSpan w:val="2"/>
            <w:tcBorders>
              <w:left w:val="single" w:sz="6" w:space="0" w:color="auto"/>
              <w:right w:val="single" w:sz="6" w:space="0" w:color="auto"/>
            </w:tcBorders>
            <w:shd w:val="clear" w:color="auto" w:fill="auto"/>
          </w:tcPr>
          <w:p w:rsidR="001E16DF" w:rsidRPr="002045F5" w:rsidRDefault="001E16DF" w:rsidP="00524DBF">
            <w:pPr>
              <w:autoSpaceDE w:val="0"/>
              <w:autoSpaceDN w:val="0"/>
              <w:adjustRightInd w:val="0"/>
              <w:jc w:val="center"/>
              <w:rPr>
                <w:color w:val="000000"/>
                <w:sz w:val="22"/>
              </w:rPr>
            </w:pPr>
            <w:r w:rsidRPr="002045F5">
              <w:rPr>
                <w:rFonts w:eastAsia="Calibri"/>
                <w:sz w:val="22"/>
              </w:rPr>
              <w:t>одиниць</w:t>
            </w:r>
          </w:p>
        </w:tc>
        <w:tc>
          <w:tcPr>
            <w:tcW w:w="1842" w:type="dxa"/>
            <w:gridSpan w:val="2"/>
            <w:tcBorders>
              <w:left w:val="single" w:sz="6" w:space="0" w:color="auto"/>
              <w:right w:val="single" w:sz="6" w:space="0" w:color="auto"/>
            </w:tcBorders>
            <w:shd w:val="clear" w:color="auto" w:fill="auto"/>
          </w:tcPr>
          <w:p w:rsidR="001E16DF" w:rsidRPr="002045F5" w:rsidRDefault="001E16DF" w:rsidP="00524DBF">
            <w:pPr>
              <w:autoSpaceDE w:val="0"/>
              <w:autoSpaceDN w:val="0"/>
              <w:adjustRightInd w:val="0"/>
              <w:jc w:val="center"/>
              <w:rPr>
                <w:sz w:val="22"/>
              </w:rPr>
            </w:pPr>
            <w:r w:rsidRPr="002045F5">
              <w:rPr>
                <w:sz w:val="22"/>
              </w:rPr>
              <w:t>1</w:t>
            </w:r>
          </w:p>
        </w:tc>
      </w:tr>
      <w:tr w:rsidR="001E16DF" w:rsidRPr="002045F5" w:rsidTr="00670D96">
        <w:trPr>
          <w:trHeight w:val="80"/>
        </w:trPr>
        <w:tc>
          <w:tcPr>
            <w:tcW w:w="881" w:type="dxa"/>
            <w:tcBorders>
              <w:left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FF0000"/>
                <w:sz w:val="22"/>
              </w:rPr>
            </w:pPr>
          </w:p>
        </w:tc>
        <w:tc>
          <w:tcPr>
            <w:tcW w:w="3827" w:type="dxa"/>
            <w:gridSpan w:val="3"/>
            <w:tcBorders>
              <w:left w:val="single" w:sz="6" w:space="0" w:color="auto"/>
              <w:right w:val="single" w:sz="6" w:space="0" w:color="auto"/>
            </w:tcBorders>
          </w:tcPr>
          <w:p w:rsidR="001E16DF" w:rsidRPr="002045F5" w:rsidRDefault="001E16DF" w:rsidP="00524DBF">
            <w:pPr>
              <w:autoSpaceDE w:val="0"/>
              <w:autoSpaceDN w:val="0"/>
              <w:adjustRightInd w:val="0"/>
              <w:rPr>
                <w:sz w:val="22"/>
              </w:rPr>
            </w:pPr>
            <w:r w:rsidRPr="002045F5">
              <w:rPr>
                <w:sz w:val="22"/>
              </w:rPr>
              <w:t>Екран  для проектора настінний з механізмом повернення</w:t>
            </w:r>
          </w:p>
        </w:tc>
        <w:tc>
          <w:tcPr>
            <w:tcW w:w="1418" w:type="dxa"/>
            <w:gridSpan w:val="2"/>
            <w:tcBorders>
              <w:left w:val="single" w:sz="6" w:space="0" w:color="auto"/>
              <w:right w:val="single" w:sz="6" w:space="0" w:color="auto"/>
            </w:tcBorders>
            <w:shd w:val="clear" w:color="auto" w:fill="auto"/>
          </w:tcPr>
          <w:p w:rsidR="001E16DF" w:rsidRPr="002045F5" w:rsidRDefault="001E16DF" w:rsidP="00524DBF">
            <w:pPr>
              <w:autoSpaceDE w:val="0"/>
              <w:autoSpaceDN w:val="0"/>
              <w:adjustRightInd w:val="0"/>
              <w:jc w:val="center"/>
              <w:rPr>
                <w:color w:val="000000"/>
                <w:sz w:val="22"/>
              </w:rPr>
            </w:pPr>
            <w:r w:rsidRPr="002045F5">
              <w:rPr>
                <w:rFonts w:eastAsia="Calibri"/>
                <w:sz w:val="22"/>
              </w:rPr>
              <w:t>одиниць</w:t>
            </w:r>
          </w:p>
        </w:tc>
        <w:tc>
          <w:tcPr>
            <w:tcW w:w="1842" w:type="dxa"/>
            <w:gridSpan w:val="2"/>
            <w:tcBorders>
              <w:left w:val="single" w:sz="6" w:space="0" w:color="auto"/>
              <w:right w:val="single" w:sz="6" w:space="0" w:color="auto"/>
            </w:tcBorders>
            <w:shd w:val="clear" w:color="auto" w:fill="auto"/>
          </w:tcPr>
          <w:p w:rsidR="001E16DF" w:rsidRPr="002045F5" w:rsidRDefault="001E16DF" w:rsidP="00524DBF">
            <w:pPr>
              <w:autoSpaceDE w:val="0"/>
              <w:autoSpaceDN w:val="0"/>
              <w:adjustRightInd w:val="0"/>
              <w:jc w:val="center"/>
              <w:rPr>
                <w:sz w:val="22"/>
              </w:rPr>
            </w:pPr>
            <w:r w:rsidRPr="002045F5">
              <w:rPr>
                <w:sz w:val="22"/>
              </w:rPr>
              <w:t>1</w:t>
            </w:r>
          </w:p>
        </w:tc>
      </w:tr>
      <w:tr w:rsidR="001E16DF" w:rsidRPr="002045F5" w:rsidTr="00670D96">
        <w:trPr>
          <w:trHeight w:val="954"/>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r w:rsidRPr="002045F5">
              <w:rPr>
                <w:rFonts w:eastAsia="Calibri"/>
                <w:b/>
                <w:color w:val="000000"/>
                <w:sz w:val="22"/>
              </w:rPr>
              <w:t>Ключові заходи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1E16DF" w:rsidRPr="002045F5" w:rsidRDefault="001E16DF" w:rsidP="000303D7">
            <w:pPr>
              <w:numPr>
                <w:ilvl w:val="0"/>
                <w:numId w:val="127"/>
              </w:numPr>
              <w:ind w:left="355" w:hanging="284"/>
              <w:jc w:val="left"/>
              <w:rPr>
                <w:sz w:val="22"/>
              </w:rPr>
            </w:pPr>
            <w:r w:rsidRPr="002045F5">
              <w:rPr>
                <w:sz w:val="22"/>
              </w:rPr>
              <w:t>Підготовка необхідної нормативно-правової документації для відкриття STEM- центру;</w:t>
            </w:r>
          </w:p>
          <w:p w:rsidR="001E16DF" w:rsidRPr="002045F5" w:rsidRDefault="001E16DF" w:rsidP="000303D7">
            <w:pPr>
              <w:numPr>
                <w:ilvl w:val="0"/>
                <w:numId w:val="127"/>
              </w:numPr>
              <w:ind w:left="355" w:hanging="284"/>
              <w:jc w:val="left"/>
              <w:rPr>
                <w:sz w:val="22"/>
              </w:rPr>
            </w:pPr>
            <w:r w:rsidRPr="002045F5">
              <w:rPr>
                <w:sz w:val="22"/>
              </w:rPr>
              <w:t>Підготовка навчально-матеріальної бази STEM-центру на базі Сєвєродонецького МРЦ;</w:t>
            </w:r>
          </w:p>
          <w:p w:rsidR="001E16DF" w:rsidRPr="002045F5" w:rsidRDefault="001E16DF" w:rsidP="000303D7">
            <w:pPr>
              <w:numPr>
                <w:ilvl w:val="0"/>
                <w:numId w:val="127"/>
              </w:numPr>
              <w:ind w:left="355" w:hanging="284"/>
              <w:jc w:val="left"/>
              <w:rPr>
                <w:sz w:val="22"/>
              </w:rPr>
            </w:pPr>
            <w:r w:rsidRPr="002045F5">
              <w:rPr>
                <w:sz w:val="22"/>
              </w:rPr>
              <w:t>Закупівля обладнання;</w:t>
            </w:r>
          </w:p>
          <w:p w:rsidR="001E16DF" w:rsidRPr="002045F5" w:rsidRDefault="001E16DF" w:rsidP="000303D7">
            <w:pPr>
              <w:numPr>
                <w:ilvl w:val="0"/>
                <w:numId w:val="127"/>
              </w:numPr>
              <w:ind w:left="355" w:hanging="284"/>
              <w:jc w:val="left"/>
              <w:rPr>
                <w:sz w:val="22"/>
              </w:rPr>
            </w:pPr>
            <w:r w:rsidRPr="002045F5">
              <w:rPr>
                <w:sz w:val="22"/>
              </w:rPr>
              <w:t>Кадрове забезпечення STEM-центру;</w:t>
            </w:r>
          </w:p>
          <w:p w:rsidR="001E16DF" w:rsidRPr="002045F5" w:rsidRDefault="001E16DF" w:rsidP="000303D7">
            <w:pPr>
              <w:numPr>
                <w:ilvl w:val="0"/>
                <w:numId w:val="127"/>
              </w:numPr>
              <w:ind w:left="355" w:hanging="284"/>
              <w:jc w:val="left"/>
              <w:rPr>
                <w:sz w:val="22"/>
              </w:rPr>
            </w:pPr>
            <w:r w:rsidRPr="002045F5">
              <w:rPr>
                <w:sz w:val="22"/>
              </w:rPr>
              <w:t>Укладення договорів на співпрацю.</w:t>
            </w:r>
          </w:p>
        </w:tc>
      </w:tr>
      <w:tr w:rsidR="001E16DF" w:rsidRPr="002045F5" w:rsidTr="00AC1CD2">
        <w:trPr>
          <w:trHeight w:val="317"/>
        </w:trPr>
        <w:tc>
          <w:tcPr>
            <w:tcW w:w="881" w:type="dxa"/>
            <w:vMerge w:val="restart"/>
            <w:tcBorders>
              <w:top w:val="nil"/>
              <w:left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vMerge w:val="restart"/>
            <w:tcBorders>
              <w:top w:val="single" w:sz="6" w:space="0" w:color="auto"/>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sz w:val="22"/>
              </w:rPr>
            </w:pPr>
            <w:r w:rsidRPr="002045F5">
              <w:rPr>
                <w:rFonts w:eastAsia="Calibri"/>
                <w:b/>
                <w:sz w:val="22"/>
              </w:rPr>
              <w:t>Орієнтовний обсяг та джерела фінансування тис. гривень</w:t>
            </w:r>
          </w:p>
        </w:tc>
        <w:tc>
          <w:tcPr>
            <w:tcW w:w="2126" w:type="dxa"/>
            <w:vMerge w:val="restart"/>
            <w:tcBorders>
              <w:top w:val="single" w:sz="6" w:space="0" w:color="auto"/>
              <w:left w:val="single" w:sz="6" w:space="0" w:color="auto"/>
              <w:right w:val="single" w:sz="6" w:space="0" w:color="auto"/>
            </w:tcBorders>
          </w:tcPr>
          <w:p w:rsidR="001E16DF" w:rsidRPr="002045F5" w:rsidRDefault="001E16DF" w:rsidP="00524DBF">
            <w:pPr>
              <w:rPr>
                <w:sz w:val="22"/>
              </w:rPr>
            </w:pPr>
            <w:r w:rsidRPr="002045F5">
              <w:rPr>
                <w:rFonts w:eastAsia="Calibri"/>
                <w:color w:val="000000"/>
                <w:sz w:val="22"/>
              </w:rPr>
              <w:t>державний бюджет</w:t>
            </w:r>
          </w:p>
        </w:tc>
        <w:tc>
          <w:tcPr>
            <w:tcW w:w="1286" w:type="dxa"/>
            <w:vMerge w:val="restart"/>
            <w:tcBorders>
              <w:top w:val="single" w:sz="6" w:space="0" w:color="auto"/>
              <w:left w:val="single" w:sz="6" w:space="0" w:color="auto"/>
              <w:right w:val="single" w:sz="6" w:space="0" w:color="auto"/>
            </w:tcBorders>
          </w:tcPr>
          <w:p w:rsidR="001E16DF" w:rsidRPr="002045F5" w:rsidRDefault="001E16DF" w:rsidP="00524DBF">
            <w:pPr>
              <w:rPr>
                <w:sz w:val="22"/>
              </w:rPr>
            </w:pPr>
            <w:r w:rsidRPr="002045F5">
              <w:rPr>
                <w:rFonts w:eastAsia="Calibri"/>
                <w:color w:val="000000"/>
                <w:sz w:val="22"/>
              </w:rPr>
              <w:t>Місцевий бюджет</w:t>
            </w:r>
          </w:p>
        </w:tc>
        <w:tc>
          <w:tcPr>
            <w:tcW w:w="2262" w:type="dxa"/>
            <w:gridSpan w:val="4"/>
            <w:tcBorders>
              <w:top w:val="single" w:sz="6" w:space="0" w:color="auto"/>
              <w:left w:val="single" w:sz="6" w:space="0" w:color="auto"/>
              <w:bottom w:val="single" w:sz="6" w:space="0" w:color="auto"/>
              <w:right w:val="single" w:sz="6" w:space="0" w:color="auto"/>
            </w:tcBorders>
          </w:tcPr>
          <w:p w:rsidR="001E16DF" w:rsidRPr="002045F5" w:rsidRDefault="001E16DF" w:rsidP="00524DBF">
            <w:pPr>
              <w:rPr>
                <w:sz w:val="22"/>
              </w:rPr>
            </w:pPr>
            <w:r w:rsidRPr="002045F5">
              <w:rPr>
                <w:rFonts w:eastAsia="Calibri"/>
                <w:color w:val="000000"/>
                <w:sz w:val="22"/>
              </w:rPr>
              <w:t>Інші джерела</w:t>
            </w:r>
          </w:p>
        </w:tc>
        <w:tc>
          <w:tcPr>
            <w:tcW w:w="1413" w:type="dxa"/>
            <w:vMerge w:val="restart"/>
            <w:tcBorders>
              <w:top w:val="single" w:sz="6" w:space="0" w:color="auto"/>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r w:rsidRPr="002045F5">
              <w:rPr>
                <w:rFonts w:eastAsia="Calibri"/>
                <w:sz w:val="22"/>
              </w:rPr>
              <w:t>Всього</w:t>
            </w:r>
          </w:p>
          <w:p w:rsidR="001E16DF" w:rsidRPr="002045F5" w:rsidRDefault="001E16DF" w:rsidP="00524DBF">
            <w:pPr>
              <w:autoSpaceDE w:val="0"/>
              <w:autoSpaceDN w:val="0"/>
              <w:adjustRightInd w:val="0"/>
              <w:jc w:val="center"/>
              <w:rPr>
                <w:rFonts w:eastAsia="Calibri"/>
                <w:color w:val="FF0000"/>
                <w:sz w:val="22"/>
              </w:rPr>
            </w:pPr>
          </w:p>
          <w:p w:rsidR="001E16DF" w:rsidRPr="002045F5" w:rsidRDefault="001E16DF" w:rsidP="00524DBF">
            <w:pPr>
              <w:rPr>
                <w:sz w:val="22"/>
              </w:rPr>
            </w:pPr>
          </w:p>
        </w:tc>
      </w:tr>
      <w:tr w:rsidR="001E16DF" w:rsidRPr="002045F5" w:rsidTr="00AC1CD2">
        <w:trPr>
          <w:trHeight w:val="317"/>
        </w:trPr>
        <w:tc>
          <w:tcPr>
            <w:tcW w:w="881" w:type="dxa"/>
            <w:vMerge/>
            <w:tcBorders>
              <w:left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p>
        </w:tc>
        <w:tc>
          <w:tcPr>
            <w:tcW w:w="2126" w:type="dxa"/>
            <w:vMerge/>
            <w:tcBorders>
              <w:left w:val="single" w:sz="6" w:space="0" w:color="auto"/>
              <w:bottom w:val="single" w:sz="6" w:space="0" w:color="auto"/>
              <w:right w:val="single" w:sz="6" w:space="0" w:color="auto"/>
            </w:tcBorders>
          </w:tcPr>
          <w:p w:rsidR="001E16DF" w:rsidRPr="002045F5" w:rsidRDefault="001E16DF" w:rsidP="00524DBF">
            <w:pPr>
              <w:rPr>
                <w:sz w:val="22"/>
              </w:rPr>
            </w:pPr>
          </w:p>
        </w:tc>
        <w:tc>
          <w:tcPr>
            <w:tcW w:w="1286" w:type="dxa"/>
            <w:vMerge/>
            <w:tcBorders>
              <w:left w:val="single" w:sz="6" w:space="0" w:color="auto"/>
              <w:bottom w:val="single" w:sz="6" w:space="0" w:color="auto"/>
              <w:right w:val="single" w:sz="6" w:space="0" w:color="auto"/>
            </w:tcBorders>
          </w:tcPr>
          <w:p w:rsidR="001E16DF" w:rsidRPr="002045F5" w:rsidRDefault="001E16DF" w:rsidP="00524DBF">
            <w:pPr>
              <w:rPr>
                <w:sz w:val="22"/>
              </w:rPr>
            </w:pPr>
          </w:p>
        </w:tc>
        <w:tc>
          <w:tcPr>
            <w:tcW w:w="1002" w:type="dxa"/>
            <w:gridSpan w:val="2"/>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jc w:val="right"/>
              <w:rPr>
                <w:rFonts w:eastAsia="Calibri"/>
                <w:color w:val="000000"/>
                <w:sz w:val="22"/>
              </w:rPr>
            </w:pPr>
            <w:r w:rsidRPr="002045F5">
              <w:rPr>
                <w:rFonts w:eastAsia="Calibri"/>
                <w:color w:val="000000"/>
                <w:sz w:val="22"/>
              </w:rPr>
              <w:t>Обсяг</w:t>
            </w:r>
          </w:p>
        </w:tc>
        <w:tc>
          <w:tcPr>
            <w:tcW w:w="1260" w:type="dxa"/>
            <w:gridSpan w:val="2"/>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jc w:val="right"/>
              <w:rPr>
                <w:rFonts w:eastAsia="Calibri"/>
                <w:color w:val="000000"/>
                <w:sz w:val="22"/>
              </w:rPr>
            </w:pPr>
            <w:r w:rsidRPr="002045F5">
              <w:rPr>
                <w:rFonts w:eastAsia="Calibri"/>
                <w:color w:val="000000"/>
                <w:sz w:val="22"/>
              </w:rPr>
              <w:t>Назва джерела</w:t>
            </w:r>
          </w:p>
        </w:tc>
        <w:tc>
          <w:tcPr>
            <w:tcW w:w="1413" w:type="dxa"/>
            <w:vMerge/>
            <w:tcBorders>
              <w:left w:val="single" w:sz="6" w:space="0" w:color="auto"/>
              <w:bottom w:val="single" w:sz="6" w:space="0" w:color="auto"/>
              <w:right w:val="single" w:sz="6" w:space="0" w:color="auto"/>
            </w:tcBorders>
          </w:tcPr>
          <w:p w:rsidR="001E16DF" w:rsidRPr="002045F5" w:rsidRDefault="001E16DF" w:rsidP="00524DBF">
            <w:pPr>
              <w:rPr>
                <w:sz w:val="22"/>
              </w:rPr>
            </w:pPr>
          </w:p>
        </w:tc>
      </w:tr>
      <w:tr w:rsidR="001E16DF" w:rsidRPr="002045F5" w:rsidTr="00AC1CD2">
        <w:trPr>
          <w:trHeight w:val="317"/>
        </w:trPr>
        <w:tc>
          <w:tcPr>
            <w:tcW w:w="881" w:type="dxa"/>
            <w:vMerge/>
            <w:tcBorders>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vMerge/>
            <w:tcBorders>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p>
        </w:tc>
        <w:tc>
          <w:tcPr>
            <w:tcW w:w="2126" w:type="dxa"/>
            <w:tcBorders>
              <w:top w:val="single" w:sz="6" w:space="0" w:color="auto"/>
              <w:left w:val="single" w:sz="6" w:space="0" w:color="auto"/>
              <w:bottom w:val="single" w:sz="6" w:space="0" w:color="auto"/>
              <w:right w:val="single" w:sz="6" w:space="0" w:color="auto"/>
            </w:tcBorders>
          </w:tcPr>
          <w:p w:rsidR="001E16DF" w:rsidRPr="002045F5" w:rsidRDefault="001E16DF" w:rsidP="00524DBF">
            <w:pPr>
              <w:tabs>
                <w:tab w:val="left" w:pos="5290"/>
              </w:tabs>
              <w:jc w:val="center"/>
              <w:rPr>
                <w:color w:val="FF0000"/>
                <w:sz w:val="22"/>
              </w:rPr>
            </w:pPr>
            <w:r w:rsidRPr="002045F5">
              <w:rPr>
                <w:sz w:val="22"/>
              </w:rPr>
              <w:t>2238,870</w:t>
            </w:r>
          </w:p>
          <w:p w:rsidR="001E16DF" w:rsidRPr="002045F5" w:rsidRDefault="001E16DF" w:rsidP="00524DBF">
            <w:pPr>
              <w:jc w:val="center"/>
              <w:rPr>
                <w:sz w:val="22"/>
              </w:rPr>
            </w:pPr>
          </w:p>
        </w:tc>
        <w:tc>
          <w:tcPr>
            <w:tcW w:w="1286" w:type="dxa"/>
            <w:tcBorders>
              <w:top w:val="single" w:sz="6" w:space="0" w:color="auto"/>
              <w:left w:val="single" w:sz="6" w:space="0" w:color="auto"/>
              <w:bottom w:val="single" w:sz="6" w:space="0" w:color="auto"/>
              <w:right w:val="single" w:sz="6" w:space="0" w:color="auto"/>
            </w:tcBorders>
          </w:tcPr>
          <w:p w:rsidR="001E16DF" w:rsidRPr="002045F5" w:rsidRDefault="001E16DF" w:rsidP="00524DBF">
            <w:pPr>
              <w:jc w:val="center"/>
              <w:rPr>
                <w:sz w:val="22"/>
              </w:rPr>
            </w:pPr>
          </w:p>
        </w:tc>
        <w:tc>
          <w:tcPr>
            <w:tcW w:w="1002" w:type="dxa"/>
            <w:gridSpan w:val="2"/>
            <w:tcBorders>
              <w:top w:val="single" w:sz="6" w:space="0" w:color="auto"/>
              <w:left w:val="single" w:sz="6" w:space="0" w:color="auto"/>
              <w:bottom w:val="single" w:sz="6" w:space="0" w:color="auto"/>
              <w:right w:val="single" w:sz="6" w:space="0" w:color="auto"/>
            </w:tcBorders>
          </w:tcPr>
          <w:p w:rsidR="001E16DF" w:rsidRPr="002045F5" w:rsidRDefault="001E16DF" w:rsidP="00524DBF">
            <w:pPr>
              <w:jc w:val="center"/>
              <w:rPr>
                <w:sz w:val="22"/>
              </w:rPr>
            </w:pPr>
            <w:r w:rsidRPr="002045F5">
              <w:rPr>
                <w:sz w:val="22"/>
              </w:rPr>
              <w:t>2200,00</w:t>
            </w:r>
          </w:p>
        </w:tc>
        <w:tc>
          <w:tcPr>
            <w:tcW w:w="1260" w:type="dxa"/>
            <w:gridSpan w:val="2"/>
            <w:tcBorders>
              <w:top w:val="single" w:sz="6" w:space="0" w:color="auto"/>
              <w:left w:val="single" w:sz="6" w:space="0" w:color="auto"/>
              <w:bottom w:val="single" w:sz="6" w:space="0" w:color="auto"/>
              <w:right w:val="single" w:sz="6" w:space="0" w:color="auto"/>
            </w:tcBorders>
          </w:tcPr>
          <w:p w:rsidR="001E16DF" w:rsidRPr="002045F5" w:rsidRDefault="001E16DF" w:rsidP="00524DBF">
            <w:pPr>
              <w:rPr>
                <w:sz w:val="22"/>
              </w:rPr>
            </w:pPr>
            <w:r w:rsidRPr="002045F5">
              <w:rPr>
                <w:rFonts w:eastAsia="Calibri"/>
                <w:color w:val="000000"/>
                <w:sz w:val="22"/>
              </w:rPr>
              <w:t>Міжнародні інвестиції</w:t>
            </w:r>
          </w:p>
        </w:tc>
        <w:tc>
          <w:tcPr>
            <w:tcW w:w="1413" w:type="dxa"/>
            <w:tcBorders>
              <w:top w:val="single" w:sz="6" w:space="0" w:color="auto"/>
              <w:left w:val="single" w:sz="6" w:space="0" w:color="auto"/>
              <w:bottom w:val="single" w:sz="6" w:space="0" w:color="auto"/>
              <w:right w:val="single" w:sz="6" w:space="0" w:color="auto"/>
            </w:tcBorders>
          </w:tcPr>
          <w:p w:rsidR="001E16DF" w:rsidRPr="002045F5" w:rsidRDefault="001E16DF" w:rsidP="00524DBF">
            <w:pPr>
              <w:rPr>
                <w:sz w:val="22"/>
              </w:rPr>
            </w:pPr>
            <w:r w:rsidRPr="002045F5">
              <w:rPr>
                <w:sz w:val="22"/>
              </w:rPr>
              <w:t>4438,870</w:t>
            </w:r>
          </w:p>
        </w:tc>
      </w:tr>
    </w:tbl>
    <w:p w:rsidR="00822744" w:rsidRPr="002045F5" w:rsidRDefault="00822744" w:rsidP="00E95FB1">
      <w:pPr>
        <w:rPr>
          <w:sz w:val="22"/>
        </w:rPr>
      </w:pPr>
    </w:p>
    <w:p w:rsidR="001E16DF" w:rsidRPr="002045F5" w:rsidRDefault="001E16DF" w:rsidP="00E95FB1">
      <w:pPr>
        <w:rPr>
          <w:sz w:val="22"/>
        </w:rPr>
      </w:pPr>
    </w:p>
    <w:tbl>
      <w:tblPr>
        <w:tblpPr w:leftFromText="180" w:rightFromText="180" w:vertAnchor="text" w:horzAnchor="page" w:tblpXSpec="center" w:tblpY="123"/>
        <w:tblW w:w="10803" w:type="dxa"/>
        <w:tblLayout w:type="fixed"/>
        <w:tblCellMar>
          <w:left w:w="30" w:type="dxa"/>
          <w:right w:w="30" w:type="dxa"/>
        </w:tblCellMar>
        <w:tblLook w:val="0000" w:firstRow="0" w:lastRow="0" w:firstColumn="0" w:lastColumn="0" w:noHBand="0" w:noVBand="0"/>
      </w:tblPr>
      <w:tblGrid>
        <w:gridCol w:w="881"/>
        <w:gridCol w:w="2835"/>
        <w:gridCol w:w="1502"/>
        <w:gridCol w:w="1361"/>
        <w:gridCol w:w="539"/>
        <w:gridCol w:w="822"/>
        <w:gridCol w:w="737"/>
        <w:gridCol w:w="624"/>
        <w:gridCol w:w="1502"/>
      </w:tblGrid>
      <w:tr w:rsidR="001D38F2" w:rsidRPr="002045F5" w:rsidTr="00670D96">
        <w:trPr>
          <w:trHeight w:val="65"/>
        </w:trPr>
        <w:tc>
          <w:tcPr>
            <w:tcW w:w="881" w:type="dxa"/>
            <w:tcBorders>
              <w:top w:val="nil"/>
              <w:left w:val="nil"/>
              <w:bottom w:val="nil"/>
              <w:right w:val="nil"/>
            </w:tcBorders>
          </w:tcPr>
          <w:p w:rsidR="001D38F2" w:rsidRPr="002045F5" w:rsidRDefault="001D38F2"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D38F2" w:rsidRPr="002045F5" w:rsidRDefault="001D38F2" w:rsidP="00524DBF">
            <w:pPr>
              <w:autoSpaceDE w:val="0"/>
              <w:autoSpaceDN w:val="0"/>
              <w:adjustRightInd w:val="0"/>
              <w:rPr>
                <w:rFonts w:eastAsia="Calibri"/>
                <w:b/>
                <w:color w:val="000000"/>
                <w:sz w:val="22"/>
              </w:rPr>
            </w:pPr>
            <w:r w:rsidRPr="002045F5">
              <w:rPr>
                <w:rFonts w:eastAsia="Calibri"/>
                <w:b/>
                <w:color w:val="000000"/>
                <w:sz w:val="22"/>
              </w:rPr>
              <w:t>Оперативна ціль/завдання</w:t>
            </w:r>
          </w:p>
        </w:tc>
        <w:tc>
          <w:tcPr>
            <w:tcW w:w="7087" w:type="dxa"/>
            <w:gridSpan w:val="7"/>
            <w:tcBorders>
              <w:top w:val="single" w:sz="6" w:space="0" w:color="auto"/>
              <w:left w:val="single" w:sz="6" w:space="0" w:color="auto"/>
              <w:bottom w:val="single" w:sz="6" w:space="0" w:color="auto"/>
              <w:right w:val="single" w:sz="6" w:space="0" w:color="auto"/>
            </w:tcBorders>
          </w:tcPr>
          <w:p w:rsidR="001D38F2" w:rsidRPr="002045F5" w:rsidRDefault="001D38F2" w:rsidP="00524DBF">
            <w:pPr>
              <w:autoSpaceDE w:val="0"/>
              <w:autoSpaceDN w:val="0"/>
              <w:adjustRightInd w:val="0"/>
              <w:rPr>
                <w:rFonts w:eastAsia="Calibri"/>
                <w:color w:val="000000"/>
                <w:sz w:val="22"/>
              </w:rPr>
            </w:pPr>
            <w:r w:rsidRPr="002045F5">
              <w:rPr>
                <w:sz w:val="22"/>
              </w:rPr>
              <w:t xml:space="preserve">Людський розвиток через інновації управління та довіру до влади. Формування сучасного інклюзивного  </w:t>
            </w:r>
            <w:proofErr w:type="spellStart"/>
            <w:r w:rsidRPr="002045F5">
              <w:rPr>
                <w:sz w:val="22"/>
              </w:rPr>
              <w:t>освітньо</w:t>
            </w:r>
            <w:proofErr w:type="spellEnd"/>
            <w:r w:rsidRPr="002045F5">
              <w:rPr>
                <w:sz w:val="22"/>
              </w:rPr>
              <w:t>-культурного та спортивного простору для розвитку</w:t>
            </w:r>
          </w:p>
        </w:tc>
      </w:tr>
      <w:tr w:rsidR="001D38F2" w:rsidRPr="002045F5" w:rsidTr="00670D96">
        <w:trPr>
          <w:trHeight w:val="463"/>
        </w:trPr>
        <w:tc>
          <w:tcPr>
            <w:tcW w:w="881" w:type="dxa"/>
            <w:tcBorders>
              <w:top w:val="nil"/>
              <w:left w:val="nil"/>
              <w:bottom w:val="nil"/>
              <w:right w:val="nil"/>
            </w:tcBorders>
          </w:tcPr>
          <w:p w:rsidR="001D38F2" w:rsidRPr="002045F5" w:rsidRDefault="001D38F2"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D38F2" w:rsidRPr="002045F5" w:rsidRDefault="001D38F2" w:rsidP="00524DBF">
            <w:pPr>
              <w:autoSpaceDE w:val="0"/>
              <w:autoSpaceDN w:val="0"/>
              <w:adjustRightInd w:val="0"/>
              <w:rPr>
                <w:rFonts w:eastAsia="Calibri"/>
                <w:b/>
                <w:color w:val="000000"/>
                <w:sz w:val="22"/>
              </w:rPr>
            </w:pPr>
            <w:r w:rsidRPr="002045F5">
              <w:rPr>
                <w:rFonts w:eastAsia="Calibri"/>
                <w:b/>
                <w:color w:val="000000"/>
                <w:sz w:val="22"/>
              </w:rPr>
              <w:t>Назва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1D38F2" w:rsidRPr="002045F5" w:rsidRDefault="001D38F2" w:rsidP="00524DBF">
            <w:pPr>
              <w:autoSpaceDE w:val="0"/>
              <w:autoSpaceDN w:val="0"/>
              <w:adjustRightInd w:val="0"/>
              <w:rPr>
                <w:rFonts w:eastAsia="Calibri"/>
                <w:color w:val="000000"/>
                <w:sz w:val="22"/>
              </w:rPr>
            </w:pPr>
            <w:r w:rsidRPr="002045F5">
              <w:rPr>
                <w:sz w:val="22"/>
              </w:rPr>
              <w:t xml:space="preserve">Відновлення діяльності Сєвєродонецького міжшкільного ресурсного центру за </w:t>
            </w:r>
            <w:proofErr w:type="spellStart"/>
            <w:r w:rsidRPr="002045F5">
              <w:rPr>
                <w:sz w:val="22"/>
              </w:rPr>
              <w:t>адресою</w:t>
            </w:r>
            <w:proofErr w:type="spellEnd"/>
            <w:r w:rsidRPr="002045F5">
              <w:rPr>
                <w:sz w:val="22"/>
              </w:rPr>
              <w:t xml:space="preserve"> проспект Гвардійський</w:t>
            </w:r>
            <w:r w:rsidR="00371DC9" w:rsidRPr="002045F5">
              <w:rPr>
                <w:sz w:val="22"/>
              </w:rPr>
              <w:t>,</w:t>
            </w:r>
            <w:r w:rsidRPr="002045F5">
              <w:rPr>
                <w:sz w:val="22"/>
              </w:rPr>
              <w:t xml:space="preserve"> 22-б </w:t>
            </w:r>
          </w:p>
        </w:tc>
      </w:tr>
      <w:tr w:rsidR="001D38F2" w:rsidRPr="002045F5" w:rsidTr="00670D96">
        <w:trPr>
          <w:trHeight w:val="6095"/>
        </w:trPr>
        <w:tc>
          <w:tcPr>
            <w:tcW w:w="881" w:type="dxa"/>
            <w:tcBorders>
              <w:top w:val="nil"/>
              <w:left w:val="nil"/>
              <w:bottom w:val="nil"/>
              <w:right w:val="nil"/>
            </w:tcBorders>
          </w:tcPr>
          <w:p w:rsidR="001D38F2" w:rsidRPr="002045F5" w:rsidRDefault="001D38F2"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D38F2" w:rsidRPr="002045F5" w:rsidRDefault="001D38F2" w:rsidP="00524DBF">
            <w:pPr>
              <w:autoSpaceDE w:val="0"/>
              <w:autoSpaceDN w:val="0"/>
              <w:adjustRightInd w:val="0"/>
              <w:rPr>
                <w:rFonts w:eastAsia="Calibri"/>
                <w:b/>
                <w:color w:val="000000"/>
                <w:sz w:val="22"/>
              </w:rPr>
            </w:pPr>
            <w:r w:rsidRPr="002045F5">
              <w:rPr>
                <w:rFonts w:eastAsia="Calibri"/>
                <w:b/>
                <w:color w:val="000000"/>
                <w:sz w:val="22"/>
              </w:rPr>
              <w:t>Ціль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1D38F2" w:rsidRPr="002045F5" w:rsidRDefault="001D38F2" w:rsidP="000303D7">
            <w:pPr>
              <w:pStyle w:val="a7"/>
              <w:numPr>
                <w:ilvl w:val="0"/>
                <w:numId w:val="124"/>
              </w:numPr>
              <w:spacing w:after="60"/>
              <w:ind w:left="216" w:hanging="142"/>
              <w:jc w:val="left"/>
              <w:rPr>
                <w:sz w:val="22"/>
              </w:rPr>
            </w:pPr>
            <w:r w:rsidRPr="002045F5">
              <w:rPr>
                <w:sz w:val="22"/>
              </w:rPr>
              <w:t xml:space="preserve">обладнання майстерень з технічної та обслуговуючої праці, технологій та  технічних гуртків дасть можливість учням займатися винахідницькою, </w:t>
            </w:r>
            <w:proofErr w:type="spellStart"/>
            <w:r w:rsidRPr="002045F5">
              <w:rPr>
                <w:sz w:val="22"/>
              </w:rPr>
              <w:t>про</w:t>
            </w:r>
            <w:r w:rsidR="00BB7FCA" w:rsidRPr="002045F5">
              <w:rPr>
                <w:sz w:val="22"/>
              </w:rPr>
              <w:t>є</w:t>
            </w:r>
            <w:r w:rsidRPr="002045F5">
              <w:rPr>
                <w:sz w:val="22"/>
              </w:rPr>
              <w:t>ктною</w:t>
            </w:r>
            <w:proofErr w:type="spellEnd"/>
            <w:r w:rsidRPr="002045F5">
              <w:rPr>
                <w:sz w:val="22"/>
              </w:rPr>
              <w:t xml:space="preserve"> та інноваційною діяльністю, проявляти навички творчої праці під час уроків та в позаурочний час;</w:t>
            </w:r>
          </w:p>
          <w:p w:rsidR="001D38F2" w:rsidRPr="002045F5" w:rsidRDefault="001D38F2" w:rsidP="000303D7">
            <w:pPr>
              <w:pStyle w:val="a7"/>
              <w:numPr>
                <w:ilvl w:val="0"/>
                <w:numId w:val="124"/>
              </w:numPr>
              <w:spacing w:after="60"/>
              <w:ind w:left="216" w:hanging="142"/>
              <w:jc w:val="left"/>
              <w:rPr>
                <w:sz w:val="22"/>
              </w:rPr>
            </w:pPr>
            <w:r w:rsidRPr="002045F5">
              <w:rPr>
                <w:sz w:val="22"/>
              </w:rPr>
              <w:t>створення належних умов для виховання учнів на рівні практичної діяльності для формування в них самостійності та відповідальності;</w:t>
            </w:r>
          </w:p>
          <w:p w:rsidR="001D38F2" w:rsidRPr="002045F5" w:rsidRDefault="001D38F2" w:rsidP="000303D7">
            <w:pPr>
              <w:pStyle w:val="a7"/>
              <w:numPr>
                <w:ilvl w:val="0"/>
                <w:numId w:val="124"/>
              </w:numPr>
              <w:spacing w:after="60"/>
              <w:ind w:left="216" w:hanging="142"/>
              <w:jc w:val="left"/>
              <w:rPr>
                <w:sz w:val="22"/>
              </w:rPr>
            </w:pPr>
            <w:r w:rsidRPr="002045F5">
              <w:rPr>
                <w:sz w:val="22"/>
              </w:rPr>
              <w:t xml:space="preserve">підвищення рівня освіти дітей шкільного віку, адже саме в цей період життя формується культура навчання, яка впливає на подальший розвиток особистості в усіх сферах діяльності і набуті навички будуть застосовані у подальшому житті; </w:t>
            </w:r>
          </w:p>
          <w:p w:rsidR="001D38F2" w:rsidRPr="002045F5" w:rsidRDefault="001D38F2" w:rsidP="000303D7">
            <w:pPr>
              <w:pStyle w:val="a7"/>
              <w:numPr>
                <w:ilvl w:val="0"/>
                <w:numId w:val="124"/>
              </w:numPr>
              <w:spacing w:after="60"/>
              <w:ind w:left="216" w:hanging="142"/>
              <w:jc w:val="left"/>
              <w:rPr>
                <w:sz w:val="22"/>
              </w:rPr>
            </w:pPr>
            <w:r w:rsidRPr="002045F5">
              <w:rPr>
                <w:sz w:val="22"/>
              </w:rPr>
              <w:t>забезпечення умов для професійного самовизначення, вироблення навичок творчої діяльності;</w:t>
            </w:r>
          </w:p>
          <w:p w:rsidR="001D38F2" w:rsidRPr="002045F5" w:rsidRDefault="001D38F2" w:rsidP="000303D7">
            <w:pPr>
              <w:pStyle w:val="a7"/>
              <w:numPr>
                <w:ilvl w:val="0"/>
                <w:numId w:val="124"/>
              </w:numPr>
              <w:spacing w:after="60"/>
              <w:ind w:left="216" w:hanging="142"/>
              <w:jc w:val="left"/>
              <w:rPr>
                <w:sz w:val="22"/>
              </w:rPr>
            </w:pPr>
            <w:r w:rsidRPr="002045F5">
              <w:rPr>
                <w:sz w:val="22"/>
              </w:rPr>
              <w:t>формування технічно та технологічно освіченої особистості, підготовленої до життя та активної трудової діяльності в умовах сучасного суспільства;</w:t>
            </w:r>
          </w:p>
          <w:p w:rsidR="001D38F2" w:rsidRPr="002045F5" w:rsidRDefault="001D38F2" w:rsidP="000303D7">
            <w:pPr>
              <w:pStyle w:val="a7"/>
              <w:numPr>
                <w:ilvl w:val="0"/>
                <w:numId w:val="124"/>
              </w:numPr>
              <w:spacing w:after="60"/>
              <w:ind w:left="216" w:hanging="142"/>
              <w:jc w:val="left"/>
              <w:rPr>
                <w:sz w:val="22"/>
              </w:rPr>
            </w:pPr>
            <w:r w:rsidRPr="002045F5">
              <w:rPr>
                <w:sz w:val="22"/>
              </w:rPr>
              <w:t>формування сучасного навчального закладу європейського рівня;</w:t>
            </w:r>
          </w:p>
          <w:p w:rsidR="001D38F2" w:rsidRPr="002045F5" w:rsidRDefault="001D38F2" w:rsidP="000303D7">
            <w:pPr>
              <w:pStyle w:val="a7"/>
              <w:numPr>
                <w:ilvl w:val="0"/>
                <w:numId w:val="124"/>
              </w:numPr>
              <w:spacing w:after="60"/>
              <w:ind w:left="216" w:hanging="142"/>
              <w:jc w:val="left"/>
              <w:rPr>
                <w:sz w:val="22"/>
              </w:rPr>
            </w:pPr>
            <w:r w:rsidRPr="002045F5">
              <w:rPr>
                <w:sz w:val="22"/>
              </w:rPr>
              <w:t xml:space="preserve">економія бюджетних коштів,  адже створюються умови для навчання здобувачів освіти одразу </w:t>
            </w:r>
            <w:r w:rsidR="00982800" w:rsidRPr="002045F5">
              <w:rPr>
                <w:sz w:val="22"/>
              </w:rPr>
              <w:t>в</w:t>
            </w:r>
            <w:r w:rsidRPr="002045F5">
              <w:rPr>
                <w:sz w:val="22"/>
              </w:rPr>
              <w:t xml:space="preserve"> кількох заклад</w:t>
            </w:r>
            <w:r w:rsidR="00982800" w:rsidRPr="002045F5">
              <w:rPr>
                <w:sz w:val="22"/>
              </w:rPr>
              <w:t>ах</w:t>
            </w:r>
            <w:r w:rsidRPr="002045F5">
              <w:rPr>
                <w:sz w:val="22"/>
              </w:rPr>
              <w:t xml:space="preserve"> загальної середньої освіти міста, проводити як шкільні так і позашкільні заняття;</w:t>
            </w:r>
          </w:p>
          <w:p w:rsidR="001D38F2" w:rsidRPr="002045F5" w:rsidRDefault="001D38F2" w:rsidP="000303D7">
            <w:pPr>
              <w:pStyle w:val="a7"/>
              <w:numPr>
                <w:ilvl w:val="0"/>
                <w:numId w:val="124"/>
              </w:numPr>
              <w:spacing w:after="60"/>
              <w:ind w:left="216" w:hanging="142"/>
              <w:jc w:val="left"/>
              <w:rPr>
                <w:sz w:val="22"/>
              </w:rPr>
            </w:pPr>
            <w:r w:rsidRPr="002045F5">
              <w:rPr>
                <w:sz w:val="22"/>
              </w:rPr>
              <w:t>формування вмінь практичного і творчого застосування здобутих знань, готовності до свідомого вибору та оволодіння майбутньою професією.</w:t>
            </w:r>
          </w:p>
        </w:tc>
      </w:tr>
      <w:tr w:rsidR="001D38F2" w:rsidRPr="002045F5" w:rsidTr="00670D96">
        <w:trPr>
          <w:trHeight w:val="370"/>
        </w:trPr>
        <w:tc>
          <w:tcPr>
            <w:tcW w:w="881" w:type="dxa"/>
            <w:tcBorders>
              <w:top w:val="nil"/>
              <w:left w:val="nil"/>
              <w:bottom w:val="nil"/>
              <w:right w:val="nil"/>
            </w:tcBorders>
          </w:tcPr>
          <w:p w:rsidR="001D38F2" w:rsidRPr="002045F5" w:rsidRDefault="001D38F2"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D38F2" w:rsidRPr="002045F5" w:rsidRDefault="001D38F2" w:rsidP="00524DBF">
            <w:pPr>
              <w:autoSpaceDE w:val="0"/>
              <w:autoSpaceDN w:val="0"/>
              <w:adjustRightInd w:val="0"/>
              <w:rPr>
                <w:rFonts w:eastAsia="Calibri"/>
                <w:b/>
                <w:color w:val="000000"/>
                <w:sz w:val="22"/>
              </w:rPr>
            </w:pPr>
            <w:r w:rsidRPr="002045F5">
              <w:rPr>
                <w:rFonts w:eastAsia="Calibri"/>
                <w:b/>
                <w:color w:val="000000"/>
                <w:sz w:val="22"/>
              </w:rPr>
              <w:t>Територія, на яку матиме вплив реалізація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1D38F2" w:rsidRPr="002045F5" w:rsidRDefault="001D38F2" w:rsidP="00524DBF">
            <w:pPr>
              <w:autoSpaceDE w:val="0"/>
              <w:autoSpaceDN w:val="0"/>
              <w:adjustRightInd w:val="0"/>
              <w:rPr>
                <w:rFonts w:eastAsia="Calibri"/>
                <w:color w:val="000000"/>
                <w:sz w:val="22"/>
              </w:rPr>
            </w:pPr>
            <w:r w:rsidRPr="002045F5">
              <w:rPr>
                <w:rFonts w:eastAsia="Calibri"/>
                <w:color w:val="000000"/>
                <w:sz w:val="22"/>
              </w:rPr>
              <w:t>Сєвєродонецька міська територіальна громада</w:t>
            </w:r>
          </w:p>
        </w:tc>
      </w:tr>
      <w:tr w:rsidR="001D38F2" w:rsidRPr="002045F5" w:rsidTr="00670D96">
        <w:trPr>
          <w:trHeight w:val="875"/>
        </w:trPr>
        <w:tc>
          <w:tcPr>
            <w:tcW w:w="881" w:type="dxa"/>
            <w:tcBorders>
              <w:top w:val="nil"/>
              <w:left w:val="nil"/>
              <w:bottom w:val="nil"/>
              <w:right w:val="nil"/>
            </w:tcBorders>
          </w:tcPr>
          <w:p w:rsidR="001D38F2" w:rsidRPr="002045F5" w:rsidRDefault="001D38F2"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D38F2" w:rsidRPr="002045F5" w:rsidRDefault="001D38F2" w:rsidP="00524DBF">
            <w:pPr>
              <w:autoSpaceDE w:val="0"/>
              <w:autoSpaceDN w:val="0"/>
              <w:adjustRightInd w:val="0"/>
              <w:rPr>
                <w:rFonts w:eastAsia="Calibri"/>
                <w:b/>
                <w:color w:val="000000"/>
                <w:sz w:val="22"/>
              </w:rPr>
            </w:pPr>
            <w:r w:rsidRPr="002045F5">
              <w:rPr>
                <w:rFonts w:eastAsia="Calibri"/>
                <w:b/>
                <w:color w:val="000000"/>
                <w:sz w:val="22"/>
              </w:rPr>
              <w:t>Чисельність населення, на яке матиме вплив реалізація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1D38F2" w:rsidRPr="002045F5" w:rsidRDefault="001D38F2" w:rsidP="00524DBF">
            <w:pPr>
              <w:autoSpaceDE w:val="0"/>
              <w:autoSpaceDN w:val="0"/>
              <w:adjustRightInd w:val="0"/>
              <w:rPr>
                <w:rFonts w:eastAsia="Calibri"/>
                <w:sz w:val="22"/>
              </w:rPr>
            </w:pPr>
            <w:r w:rsidRPr="002045F5">
              <w:rPr>
                <w:sz w:val="22"/>
              </w:rPr>
              <w:t>70 000 осіб</w:t>
            </w:r>
          </w:p>
        </w:tc>
      </w:tr>
      <w:tr w:rsidR="001D38F2" w:rsidRPr="002045F5" w:rsidTr="00670D96">
        <w:trPr>
          <w:trHeight w:val="165"/>
        </w:trPr>
        <w:tc>
          <w:tcPr>
            <w:tcW w:w="881" w:type="dxa"/>
            <w:tcBorders>
              <w:top w:val="nil"/>
              <w:left w:val="nil"/>
              <w:bottom w:val="nil"/>
              <w:right w:val="nil"/>
            </w:tcBorders>
          </w:tcPr>
          <w:p w:rsidR="001D38F2" w:rsidRPr="002045F5" w:rsidRDefault="001D38F2"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D38F2" w:rsidRPr="002045F5" w:rsidRDefault="001D38F2" w:rsidP="00524DBF">
            <w:pPr>
              <w:autoSpaceDE w:val="0"/>
              <w:autoSpaceDN w:val="0"/>
              <w:adjustRightInd w:val="0"/>
              <w:rPr>
                <w:rFonts w:eastAsia="Calibri"/>
                <w:b/>
                <w:sz w:val="22"/>
              </w:rPr>
            </w:pPr>
            <w:r w:rsidRPr="002045F5">
              <w:rPr>
                <w:rFonts w:eastAsia="Calibri"/>
                <w:b/>
                <w:sz w:val="22"/>
              </w:rPr>
              <w:t>Опис проблеми, на вирішення якої спрямований проект</w:t>
            </w:r>
          </w:p>
        </w:tc>
        <w:tc>
          <w:tcPr>
            <w:tcW w:w="7087" w:type="dxa"/>
            <w:gridSpan w:val="7"/>
            <w:tcBorders>
              <w:top w:val="single" w:sz="6" w:space="0" w:color="auto"/>
              <w:left w:val="single" w:sz="6" w:space="0" w:color="auto"/>
              <w:bottom w:val="single" w:sz="6" w:space="0" w:color="auto"/>
              <w:right w:val="single" w:sz="6" w:space="0" w:color="auto"/>
            </w:tcBorders>
          </w:tcPr>
          <w:p w:rsidR="001D38F2" w:rsidRPr="002045F5" w:rsidRDefault="001D38F2" w:rsidP="00524DBF">
            <w:pPr>
              <w:rPr>
                <w:sz w:val="22"/>
              </w:rPr>
            </w:pPr>
            <w:r w:rsidRPr="002045F5">
              <w:rPr>
                <w:sz w:val="22"/>
              </w:rPr>
              <w:t xml:space="preserve">Через військові дії </w:t>
            </w:r>
            <w:r w:rsidR="00CC2D31" w:rsidRPr="002045F5">
              <w:rPr>
                <w:sz w:val="22"/>
              </w:rPr>
              <w:t xml:space="preserve"> РФ </w:t>
            </w:r>
            <w:r w:rsidRPr="002045F5">
              <w:rPr>
                <w:sz w:val="22"/>
              </w:rPr>
              <w:t xml:space="preserve"> Сєвєродонецька міська територіальна громада зазнала значних пошкоджень. Матеріальна база Сєвєродонецького міжшкільного ресурсного центру за </w:t>
            </w:r>
            <w:proofErr w:type="spellStart"/>
            <w:r w:rsidRPr="002045F5">
              <w:rPr>
                <w:sz w:val="22"/>
              </w:rPr>
              <w:t>адресою</w:t>
            </w:r>
            <w:proofErr w:type="spellEnd"/>
            <w:r w:rsidRPr="002045F5">
              <w:rPr>
                <w:sz w:val="22"/>
              </w:rPr>
              <w:t xml:space="preserve"> проспект Гвардійський </w:t>
            </w:r>
            <w:proofErr w:type="spellStart"/>
            <w:r w:rsidRPr="002045F5">
              <w:rPr>
                <w:sz w:val="22"/>
              </w:rPr>
              <w:t>пр-кт</w:t>
            </w:r>
            <w:proofErr w:type="spellEnd"/>
            <w:r w:rsidR="00FD5A6C" w:rsidRPr="002045F5">
              <w:rPr>
                <w:sz w:val="22"/>
              </w:rPr>
              <w:t>,</w:t>
            </w:r>
            <w:r w:rsidRPr="002045F5">
              <w:rPr>
                <w:sz w:val="22"/>
              </w:rPr>
              <w:t xml:space="preserve"> 22-б зазнала величезних збитків, майно та обладнання було розграбовано, зіпсовано або знищено. У нових повоєнних соціально-економічних умовах освіта сприятиме відродженню економіки держави та регіону, реформуванню та переходу до інформаційного суспільства. </w:t>
            </w:r>
          </w:p>
          <w:p w:rsidR="001D38F2" w:rsidRPr="002045F5" w:rsidRDefault="001D38F2" w:rsidP="00524DBF">
            <w:pPr>
              <w:rPr>
                <w:sz w:val="22"/>
              </w:rPr>
            </w:pPr>
            <w:r w:rsidRPr="002045F5">
              <w:rPr>
                <w:sz w:val="22"/>
              </w:rPr>
              <w:t>Високоосвічена молодь – головний стратегічний резерв соціально-економічних реформ в місцевій  територіальній громаді.</w:t>
            </w:r>
          </w:p>
          <w:p w:rsidR="001D38F2" w:rsidRPr="002045F5" w:rsidRDefault="001D38F2" w:rsidP="00524DBF">
            <w:pPr>
              <w:rPr>
                <w:sz w:val="22"/>
              </w:rPr>
            </w:pPr>
            <w:r w:rsidRPr="002045F5">
              <w:rPr>
                <w:sz w:val="22"/>
              </w:rPr>
              <w:t>З урахуванням соціальної потреби суспільства та фінансової спроможності поетапно реалізується програма реформування всіх ланок освіти, здійснюються заходи щодо організаційно-методичного, матеріально-технічного та кадрового забезпечення закладів освіти, збереження кількості місць здобувачів освіти.</w:t>
            </w:r>
          </w:p>
          <w:p w:rsidR="001D38F2" w:rsidRPr="002045F5" w:rsidRDefault="001D38F2" w:rsidP="00524DBF">
            <w:pPr>
              <w:shd w:val="clear" w:color="auto" w:fill="FFFFFF"/>
              <w:rPr>
                <w:sz w:val="22"/>
              </w:rPr>
            </w:pPr>
            <w:r w:rsidRPr="002045F5">
              <w:rPr>
                <w:sz w:val="22"/>
              </w:rPr>
              <w:t xml:space="preserve">Багатьом закладам освіти в місті бракує ресурсів, обладнання, за допомогою якого здобувачі освіти змогли б отримувати більш якісну підготовку з трудового навчання на сучасному рівні. Міжшкільний ресурсний центр - це єдиний освітній простір, який створюється шляхом об’єднання в єдиний освітній майданчик, забезпечуючи якісне виконання освітніх програм закладами освіти. </w:t>
            </w:r>
          </w:p>
          <w:p w:rsidR="001D38F2" w:rsidRPr="002045F5" w:rsidRDefault="001D38F2" w:rsidP="00524DBF">
            <w:pPr>
              <w:rPr>
                <w:sz w:val="22"/>
              </w:rPr>
            </w:pPr>
            <w:r w:rsidRPr="002045F5">
              <w:rPr>
                <w:sz w:val="22"/>
              </w:rPr>
              <w:lastRenderedPageBreak/>
              <w:t xml:space="preserve">У Сєвєродонецькому МРЦ є </w:t>
            </w:r>
            <w:proofErr w:type="spellStart"/>
            <w:r w:rsidRPr="002045F5">
              <w:rPr>
                <w:sz w:val="22"/>
              </w:rPr>
              <w:t>можливость</w:t>
            </w:r>
            <w:proofErr w:type="spellEnd"/>
            <w:r w:rsidRPr="002045F5">
              <w:rPr>
                <w:sz w:val="22"/>
              </w:rPr>
              <w:t xml:space="preserve"> створити найкращі умови для здобувачів освіти громади, забезпечити освітній вибір учнів; розширити коло спілкування школярів; усунути негативну дію соціального та інформаційного чинників середовища; виховати здобувачів освіти більш самостійними і впевненими в своїх силах. Діти під керівництвом </w:t>
            </w:r>
            <w:r w:rsidR="00E035DC" w:rsidRPr="002045F5">
              <w:rPr>
                <w:sz w:val="22"/>
              </w:rPr>
              <w:t>в</w:t>
            </w:r>
            <w:r w:rsidRPr="002045F5">
              <w:rPr>
                <w:sz w:val="22"/>
              </w:rPr>
              <w:t>чителів, керівників гуртків навчаються працювати в майстернях, лабораторіях та на заняттях гуртків. Міжшкільний ресурсний центр створює умови для набуття досвіду роботи із різною технікою.</w:t>
            </w:r>
          </w:p>
          <w:p w:rsidR="001D38F2" w:rsidRPr="002045F5" w:rsidRDefault="001D38F2" w:rsidP="00524DBF">
            <w:pPr>
              <w:autoSpaceDE w:val="0"/>
              <w:autoSpaceDN w:val="0"/>
              <w:adjustRightInd w:val="0"/>
              <w:rPr>
                <w:sz w:val="22"/>
              </w:rPr>
            </w:pPr>
            <w:r w:rsidRPr="002045F5">
              <w:rPr>
                <w:sz w:val="22"/>
              </w:rPr>
              <w:t xml:space="preserve">Створення майстерні - справа нашого майбутнього. Робота над улюбленим заняттям відволікає від шкідливих звичок, виховує </w:t>
            </w:r>
            <w:r w:rsidR="001D675E" w:rsidRPr="002045F5">
              <w:rPr>
                <w:sz w:val="22"/>
              </w:rPr>
              <w:t>у</w:t>
            </w:r>
            <w:r w:rsidRPr="002045F5">
              <w:rPr>
                <w:sz w:val="22"/>
              </w:rPr>
              <w:t xml:space="preserve"> дітей посидючість, терпіння, навички на будь-якому напрямку творчості. </w:t>
            </w:r>
            <w:r w:rsidRPr="002045F5">
              <w:rPr>
                <w:sz w:val="22"/>
              </w:rPr>
              <w:br/>
              <w:t xml:space="preserve">Робота на сучасному обладнанні дасть можливість учням розвивати практичні навички, необхідні для життя в розвиненій європейській країні. </w:t>
            </w:r>
          </w:p>
          <w:p w:rsidR="001D38F2" w:rsidRPr="002045F5" w:rsidRDefault="001D38F2" w:rsidP="00524DBF">
            <w:pPr>
              <w:autoSpaceDE w:val="0"/>
              <w:autoSpaceDN w:val="0"/>
              <w:adjustRightInd w:val="0"/>
              <w:rPr>
                <w:sz w:val="22"/>
              </w:rPr>
            </w:pPr>
            <w:r w:rsidRPr="002045F5">
              <w:rPr>
                <w:sz w:val="22"/>
              </w:rPr>
              <w:t xml:space="preserve">Створені сучасні майстерні </w:t>
            </w:r>
            <w:proofErr w:type="spellStart"/>
            <w:r w:rsidRPr="002045F5">
              <w:rPr>
                <w:sz w:val="22"/>
              </w:rPr>
              <w:t>нададуть</w:t>
            </w:r>
            <w:proofErr w:type="spellEnd"/>
            <w:r w:rsidRPr="002045F5">
              <w:rPr>
                <w:sz w:val="22"/>
              </w:rPr>
              <w:t xml:space="preserve"> можливість учням займатися винахідницькою та </w:t>
            </w:r>
            <w:proofErr w:type="spellStart"/>
            <w:r w:rsidRPr="002045F5">
              <w:rPr>
                <w:sz w:val="22"/>
              </w:rPr>
              <w:t>про</w:t>
            </w:r>
            <w:r w:rsidR="00C50DB6" w:rsidRPr="002045F5">
              <w:rPr>
                <w:sz w:val="22"/>
              </w:rPr>
              <w:t>є</w:t>
            </w:r>
            <w:r w:rsidRPr="002045F5">
              <w:rPr>
                <w:sz w:val="22"/>
              </w:rPr>
              <w:t>ктною</w:t>
            </w:r>
            <w:proofErr w:type="spellEnd"/>
            <w:r w:rsidRPr="002045F5">
              <w:rPr>
                <w:sz w:val="22"/>
              </w:rPr>
              <w:t xml:space="preserve"> діяльністю, проявляти навички творчої праці під час уроків та в позаурочний час. </w:t>
            </w:r>
            <w:r w:rsidRPr="002045F5">
              <w:rPr>
                <w:sz w:val="22"/>
              </w:rPr>
              <w:br/>
              <w:t>За допомогою найновішого обладнання учні зможуть виготовляти та презентувати вироби, створені власними руками, а в майбутньому це дасть їм можливість започаткувати власну справу.</w:t>
            </w:r>
          </w:p>
          <w:p w:rsidR="001D38F2" w:rsidRPr="002045F5" w:rsidRDefault="001D38F2" w:rsidP="00524DBF">
            <w:pPr>
              <w:autoSpaceDE w:val="0"/>
              <w:autoSpaceDN w:val="0"/>
              <w:adjustRightInd w:val="0"/>
              <w:rPr>
                <w:sz w:val="22"/>
              </w:rPr>
            </w:pPr>
            <w:r w:rsidRPr="002045F5">
              <w:rPr>
                <w:sz w:val="22"/>
              </w:rPr>
              <w:t xml:space="preserve">На сьогоднішній день відчувається брак робітничих професій на ринку праці. Виконання різних видів робіт у сучасно обладнаній майстерні дасть можливість учням визначитись з улюбленою справою та зробити оптимальний вибір професії.  Для функціонування міжшкільного ресурсного центру, створення умов для успішної роботи педагогічного колективу необхідно оновити матеріальну базу.  </w:t>
            </w:r>
          </w:p>
          <w:p w:rsidR="001D38F2" w:rsidRPr="002045F5" w:rsidRDefault="001D38F2" w:rsidP="00524DBF">
            <w:pPr>
              <w:autoSpaceDE w:val="0"/>
              <w:autoSpaceDN w:val="0"/>
              <w:adjustRightInd w:val="0"/>
              <w:rPr>
                <w:rFonts w:eastAsia="Calibri"/>
                <w:sz w:val="22"/>
              </w:rPr>
            </w:pPr>
            <w:r w:rsidRPr="002045F5">
              <w:rPr>
                <w:sz w:val="22"/>
              </w:rPr>
              <w:t xml:space="preserve">Для створення майстерень необхідно закупити меблі, цифрові верстати з числовим програмним управлінням, вишивальні машини з комп’ютерним управлінням; оснастити кабінети комп’ютерною технікою та оргтехнікою; верстатами, швейними машинами та матеріалами; комплектами стендів для технічної та обслуговуючої праці; проектори, екрани для проекторів; токарні верстати по дереву та металу; набори інструменту для технічної праці;  набори інструменту для обслуговуючої праці; набори </w:t>
            </w:r>
            <w:proofErr w:type="spellStart"/>
            <w:r w:rsidRPr="002045F5">
              <w:rPr>
                <w:sz w:val="22"/>
              </w:rPr>
              <w:t>лего</w:t>
            </w:r>
            <w:proofErr w:type="spellEnd"/>
            <w:r w:rsidRPr="002045F5">
              <w:rPr>
                <w:sz w:val="22"/>
              </w:rPr>
              <w:t xml:space="preserve"> та робототехніки; тренувальні поля для навчальних занять з робототехніки; програмовані електронні модулі, 3D-принтери, електроінструменти для роботи на заняттях.</w:t>
            </w:r>
          </w:p>
        </w:tc>
      </w:tr>
      <w:tr w:rsidR="001D38F2" w:rsidRPr="002045F5" w:rsidTr="00670D96">
        <w:trPr>
          <w:trHeight w:val="528"/>
        </w:trPr>
        <w:tc>
          <w:tcPr>
            <w:tcW w:w="881" w:type="dxa"/>
            <w:tcBorders>
              <w:top w:val="nil"/>
              <w:left w:val="nil"/>
              <w:bottom w:val="nil"/>
              <w:right w:val="nil"/>
            </w:tcBorders>
          </w:tcPr>
          <w:p w:rsidR="001D38F2" w:rsidRPr="002045F5" w:rsidRDefault="001D38F2"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D38F2" w:rsidRPr="002045F5" w:rsidRDefault="001D38F2" w:rsidP="00524DBF">
            <w:pPr>
              <w:autoSpaceDE w:val="0"/>
              <w:autoSpaceDN w:val="0"/>
              <w:adjustRightInd w:val="0"/>
              <w:rPr>
                <w:rFonts w:eastAsia="Calibri"/>
                <w:b/>
                <w:color w:val="000000"/>
                <w:sz w:val="22"/>
              </w:rPr>
            </w:pPr>
            <w:r w:rsidRPr="002045F5">
              <w:rPr>
                <w:rFonts w:eastAsia="Calibri"/>
                <w:b/>
                <w:color w:val="000000"/>
                <w:sz w:val="22"/>
              </w:rPr>
              <w:t>Очікувані якісні результати від реалізації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1D38F2" w:rsidRPr="002045F5" w:rsidRDefault="001D38F2" w:rsidP="000303D7">
            <w:pPr>
              <w:pStyle w:val="a7"/>
              <w:numPr>
                <w:ilvl w:val="0"/>
                <w:numId w:val="125"/>
              </w:numPr>
              <w:ind w:left="284" w:hanging="284"/>
              <w:jc w:val="left"/>
              <w:rPr>
                <w:sz w:val="22"/>
              </w:rPr>
            </w:pPr>
            <w:r w:rsidRPr="002045F5">
              <w:rPr>
                <w:sz w:val="22"/>
              </w:rPr>
              <w:t>Створення сучасних майстерень для використання в освітньому процесі.</w:t>
            </w:r>
          </w:p>
          <w:p w:rsidR="001D38F2" w:rsidRPr="002045F5" w:rsidRDefault="001D38F2" w:rsidP="000303D7">
            <w:pPr>
              <w:pStyle w:val="a7"/>
              <w:numPr>
                <w:ilvl w:val="0"/>
                <w:numId w:val="125"/>
              </w:numPr>
              <w:ind w:left="284" w:hanging="284"/>
              <w:jc w:val="left"/>
              <w:rPr>
                <w:sz w:val="22"/>
              </w:rPr>
            </w:pPr>
            <w:r w:rsidRPr="002045F5">
              <w:rPr>
                <w:sz w:val="22"/>
              </w:rPr>
              <w:t xml:space="preserve">Розкриття творчого потенціалу дітей та молоді, відкриття нових талантів, </w:t>
            </w:r>
            <w:proofErr w:type="spellStart"/>
            <w:r w:rsidRPr="002045F5">
              <w:rPr>
                <w:sz w:val="22"/>
              </w:rPr>
              <w:t>популярізація</w:t>
            </w:r>
            <w:proofErr w:type="spellEnd"/>
            <w:r w:rsidRPr="002045F5">
              <w:rPr>
                <w:sz w:val="22"/>
              </w:rPr>
              <w:t xml:space="preserve"> творчих робіт, </w:t>
            </w:r>
            <w:proofErr w:type="spellStart"/>
            <w:r w:rsidRPr="002045F5">
              <w:rPr>
                <w:sz w:val="22"/>
              </w:rPr>
              <w:t>виготовленних</w:t>
            </w:r>
            <w:proofErr w:type="spellEnd"/>
            <w:r w:rsidRPr="002045F5">
              <w:rPr>
                <w:sz w:val="22"/>
              </w:rPr>
              <w:t xml:space="preserve"> своїми руками. </w:t>
            </w:r>
          </w:p>
          <w:p w:rsidR="001D38F2" w:rsidRPr="002045F5" w:rsidRDefault="001D38F2" w:rsidP="000303D7">
            <w:pPr>
              <w:pStyle w:val="a7"/>
              <w:numPr>
                <w:ilvl w:val="0"/>
                <w:numId w:val="125"/>
              </w:numPr>
              <w:ind w:left="284" w:hanging="284"/>
              <w:jc w:val="left"/>
              <w:rPr>
                <w:sz w:val="22"/>
              </w:rPr>
            </w:pPr>
            <w:r w:rsidRPr="002045F5">
              <w:rPr>
                <w:sz w:val="22"/>
              </w:rPr>
              <w:t>Облаштування майстерень дає можливість знайомити здобувачів освіти з сучасним обладнанням і різноманітними технологіями.</w:t>
            </w:r>
          </w:p>
          <w:p w:rsidR="001D38F2" w:rsidRPr="002045F5" w:rsidRDefault="001D38F2" w:rsidP="000303D7">
            <w:pPr>
              <w:pStyle w:val="a7"/>
              <w:numPr>
                <w:ilvl w:val="0"/>
                <w:numId w:val="125"/>
              </w:numPr>
              <w:ind w:left="358" w:hanging="284"/>
              <w:jc w:val="left"/>
              <w:rPr>
                <w:sz w:val="22"/>
              </w:rPr>
            </w:pPr>
            <w:r w:rsidRPr="002045F5">
              <w:rPr>
                <w:sz w:val="22"/>
              </w:rPr>
              <w:t>Розширюється коло спілкування.</w:t>
            </w:r>
          </w:p>
          <w:p w:rsidR="001D38F2" w:rsidRPr="002045F5" w:rsidRDefault="001D38F2" w:rsidP="000303D7">
            <w:pPr>
              <w:pStyle w:val="a7"/>
              <w:numPr>
                <w:ilvl w:val="0"/>
                <w:numId w:val="125"/>
              </w:numPr>
              <w:ind w:left="358" w:hanging="284"/>
              <w:jc w:val="left"/>
              <w:rPr>
                <w:sz w:val="22"/>
              </w:rPr>
            </w:pPr>
            <w:r w:rsidRPr="002045F5">
              <w:rPr>
                <w:sz w:val="22"/>
              </w:rPr>
              <w:t xml:space="preserve">Усувається негативна дія соціального та інформаційного чинників середовища.  </w:t>
            </w:r>
          </w:p>
          <w:p w:rsidR="001D38F2" w:rsidRPr="002045F5" w:rsidRDefault="001D38F2" w:rsidP="000303D7">
            <w:pPr>
              <w:pStyle w:val="a7"/>
              <w:numPr>
                <w:ilvl w:val="0"/>
                <w:numId w:val="125"/>
              </w:numPr>
              <w:ind w:left="358" w:hanging="284"/>
              <w:jc w:val="left"/>
              <w:rPr>
                <w:sz w:val="22"/>
              </w:rPr>
            </w:pPr>
            <w:r w:rsidRPr="002045F5">
              <w:rPr>
                <w:sz w:val="22"/>
              </w:rPr>
              <w:t>Зробить здобувачів освіти більш самостійними і впевненими патріотами своєї територіальної громади, України.</w:t>
            </w:r>
          </w:p>
          <w:p w:rsidR="001D38F2" w:rsidRPr="002045F5" w:rsidRDefault="001D38F2" w:rsidP="000303D7">
            <w:pPr>
              <w:pStyle w:val="a7"/>
              <w:numPr>
                <w:ilvl w:val="0"/>
                <w:numId w:val="125"/>
              </w:numPr>
              <w:ind w:left="358" w:hanging="284"/>
              <w:jc w:val="left"/>
              <w:rPr>
                <w:sz w:val="22"/>
              </w:rPr>
            </w:pPr>
            <w:r w:rsidRPr="002045F5">
              <w:rPr>
                <w:sz w:val="22"/>
              </w:rPr>
              <w:t>Забезпечить навчальні кабінети сучасними технічними засобами навчання.</w:t>
            </w:r>
          </w:p>
        </w:tc>
      </w:tr>
      <w:tr w:rsidR="001D38F2" w:rsidRPr="002045F5" w:rsidTr="00670D96">
        <w:trPr>
          <w:trHeight w:val="581"/>
        </w:trPr>
        <w:tc>
          <w:tcPr>
            <w:tcW w:w="881" w:type="dxa"/>
            <w:tcBorders>
              <w:top w:val="nil"/>
              <w:left w:val="nil"/>
              <w:bottom w:val="nil"/>
              <w:right w:val="nil"/>
            </w:tcBorders>
          </w:tcPr>
          <w:p w:rsidR="001D38F2" w:rsidRPr="002045F5" w:rsidRDefault="001D38F2"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D38F2" w:rsidRPr="002045F5" w:rsidRDefault="001D38F2" w:rsidP="00524DBF">
            <w:pPr>
              <w:autoSpaceDE w:val="0"/>
              <w:autoSpaceDN w:val="0"/>
              <w:adjustRightInd w:val="0"/>
              <w:rPr>
                <w:rFonts w:eastAsia="Calibri"/>
                <w:b/>
                <w:sz w:val="22"/>
              </w:rPr>
            </w:pPr>
            <w:r w:rsidRPr="002045F5">
              <w:rPr>
                <w:rFonts w:eastAsia="Calibri"/>
                <w:b/>
                <w:sz w:val="22"/>
              </w:rPr>
              <w:t>Очікувані кількісні результати від реалізації проекту  (індикатори)</w:t>
            </w:r>
          </w:p>
        </w:tc>
        <w:tc>
          <w:tcPr>
            <w:tcW w:w="3402" w:type="dxa"/>
            <w:gridSpan w:val="3"/>
            <w:tcBorders>
              <w:top w:val="single" w:sz="6" w:space="0" w:color="auto"/>
              <w:left w:val="single" w:sz="6" w:space="0" w:color="auto"/>
              <w:bottom w:val="single" w:sz="6" w:space="0" w:color="auto"/>
              <w:right w:val="single" w:sz="6" w:space="0" w:color="auto"/>
            </w:tcBorders>
          </w:tcPr>
          <w:p w:rsidR="001D38F2" w:rsidRPr="002045F5" w:rsidRDefault="001D38F2" w:rsidP="00524DBF">
            <w:pPr>
              <w:autoSpaceDE w:val="0"/>
              <w:autoSpaceDN w:val="0"/>
              <w:adjustRightInd w:val="0"/>
              <w:jc w:val="center"/>
              <w:rPr>
                <w:rFonts w:eastAsia="Calibri"/>
                <w:b/>
                <w:color w:val="000000"/>
                <w:sz w:val="22"/>
              </w:rPr>
            </w:pPr>
            <w:r w:rsidRPr="002045F5">
              <w:rPr>
                <w:rFonts w:eastAsia="Calibri"/>
                <w:b/>
                <w:color w:val="000000"/>
                <w:sz w:val="22"/>
              </w:rPr>
              <w:t>Найменування показника</w:t>
            </w:r>
          </w:p>
        </w:tc>
        <w:tc>
          <w:tcPr>
            <w:tcW w:w="1559" w:type="dxa"/>
            <w:gridSpan w:val="2"/>
            <w:tcBorders>
              <w:top w:val="single" w:sz="6" w:space="0" w:color="auto"/>
              <w:left w:val="single" w:sz="6" w:space="0" w:color="auto"/>
              <w:bottom w:val="single" w:sz="6" w:space="0" w:color="auto"/>
              <w:right w:val="single" w:sz="6" w:space="0" w:color="auto"/>
            </w:tcBorders>
          </w:tcPr>
          <w:p w:rsidR="001D38F2" w:rsidRPr="002045F5" w:rsidRDefault="001D38F2" w:rsidP="00524DBF">
            <w:pPr>
              <w:autoSpaceDE w:val="0"/>
              <w:autoSpaceDN w:val="0"/>
              <w:adjustRightInd w:val="0"/>
              <w:jc w:val="center"/>
              <w:rPr>
                <w:rFonts w:eastAsia="Calibri"/>
                <w:b/>
                <w:sz w:val="22"/>
              </w:rPr>
            </w:pPr>
            <w:r w:rsidRPr="002045F5">
              <w:rPr>
                <w:rFonts w:eastAsia="Calibri"/>
                <w:b/>
                <w:sz w:val="22"/>
              </w:rPr>
              <w:t>Одиниця вимірювання</w:t>
            </w:r>
          </w:p>
        </w:tc>
        <w:tc>
          <w:tcPr>
            <w:tcW w:w="2126" w:type="dxa"/>
            <w:gridSpan w:val="2"/>
            <w:tcBorders>
              <w:top w:val="single" w:sz="6" w:space="0" w:color="auto"/>
              <w:left w:val="single" w:sz="6" w:space="0" w:color="auto"/>
              <w:bottom w:val="single" w:sz="6" w:space="0" w:color="auto"/>
              <w:right w:val="single" w:sz="6" w:space="0" w:color="auto"/>
            </w:tcBorders>
          </w:tcPr>
          <w:p w:rsidR="001D38F2" w:rsidRPr="002045F5" w:rsidRDefault="001D38F2" w:rsidP="00524DBF">
            <w:pPr>
              <w:autoSpaceDE w:val="0"/>
              <w:autoSpaceDN w:val="0"/>
              <w:adjustRightInd w:val="0"/>
              <w:jc w:val="center"/>
              <w:rPr>
                <w:rFonts w:eastAsia="Calibri"/>
                <w:b/>
                <w:color w:val="000000"/>
                <w:sz w:val="22"/>
              </w:rPr>
            </w:pPr>
            <w:r w:rsidRPr="002045F5">
              <w:rPr>
                <w:rFonts w:eastAsia="Calibri"/>
                <w:b/>
                <w:color w:val="000000"/>
                <w:sz w:val="22"/>
              </w:rPr>
              <w:t>Прогнозне (цільове) значення</w:t>
            </w:r>
          </w:p>
        </w:tc>
      </w:tr>
      <w:tr w:rsidR="001D38F2" w:rsidRPr="002045F5" w:rsidTr="00670D96">
        <w:trPr>
          <w:trHeight w:val="290"/>
        </w:trPr>
        <w:tc>
          <w:tcPr>
            <w:tcW w:w="881" w:type="dxa"/>
            <w:tcBorders>
              <w:top w:val="nil"/>
              <w:left w:val="nil"/>
              <w:bottom w:val="nil"/>
              <w:right w:val="nil"/>
            </w:tcBorders>
          </w:tcPr>
          <w:p w:rsidR="001D38F2" w:rsidRPr="002045F5" w:rsidRDefault="001D38F2" w:rsidP="00524DBF">
            <w:pPr>
              <w:autoSpaceDE w:val="0"/>
              <w:autoSpaceDN w:val="0"/>
              <w:adjustRightInd w:val="0"/>
              <w:jc w:val="right"/>
              <w:rPr>
                <w:rFonts w:eastAsia="Calibri"/>
                <w:color w:val="000000"/>
                <w:sz w:val="22"/>
              </w:rPr>
            </w:pPr>
          </w:p>
        </w:tc>
        <w:tc>
          <w:tcPr>
            <w:tcW w:w="2835" w:type="dxa"/>
            <w:vMerge w:val="restart"/>
            <w:tcBorders>
              <w:top w:val="single" w:sz="6" w:space="0" w:color="auto"/>
              <w:left w:val="single" w:sz="6" w:space="0" w:color="auto"/>
              <w:right w:val="single" w:sz="6" w:space="0" w:color="auto"/>
            </w:tcBorders>
            <w:shd w:val="clear" w:color="00FFFF" w:fill="C6D9F1" w:themeFill="text2" w:themeFillTint="33"/>
          </w:tcPr>
          <w:p w:rsidR="001D38F2" w:rsidRPr="002045F5" w:rsidRDefault="001D38F2" w:rsidP="00524DBF">
            <w:pPr>
              <w:autoSpaceDE w:val="0"/>
              <w:autoSpaceDN w:val="0"/>
              <w:adjustRightInd w:val="0"/>
              <w:rPr>
                <w:rFonts w:eastAsia="Calibri"/>
                <w:b/>
                <w:color w:val="FF0000"/>
                <w:sz w:val="22"/>
              </w:rPr>
            </w:pPr>
          </w:p>
        </w:tc>
        <w:tc>
          <w:tcPr>
            <w:tcW w:w="3402" w:type="dxa"/>
            <w:gridSpan w:val="3"/>
            <w:tcBorders>
              <w:top w:val="single" w:sz="6" w:space="0" w:color="auto"/>
              <w:left w:val="single" w:sz="6" w:space="0" w:color="auto"/>
              <w:right w:val="single" w:sz="6" w:space="0" w:color="auto"/>
            </w:tcBorders>
          </w:tcPr>
          <w:p w:rsidR="001D38F2" w:rsidRPr="002045F5" w:rsidRDefault="001D38F2" w:rsidP="00524DBF">
            <w:pPr>
              <w:autoSpaceDE w:val="0"/>
              <w:autoSpaceDN w:val="0"/>
              <w:adjustRightInd w:val="0"/>
              <w:rPr>
                <w:sz w:val="22"/>
              </w:rPr>
            </w:pPr>
            <w:r w:rsidRPr="002045F5">
              <w:rPr>
                <w:sz w:val="22"/>
              </w:rPr>
              <w:t>Верстати та машини для майстерень</w:t>
            </w:r>
          </w:p>
          <w:p w:rsidR="001D38F2" w:rsidRPr="002045F5" w:rsidRDefault="001D38F2" w:rsidP="00524DBF">
            <w:pPr>
              <w:autoSpaceDE w:val="0"/>
              <w:autoSpaceDN w:val="0"/>
              <w:adjustRightInd w:val="0"/>
              <w:rPr>
                <w:sz w:val="22"/>
              </w:rPr>
            </w:pPr>
            <w:r w:rsidRPr="002045F5">
              <w:rPr>
                <w:sz w:val="22"/>
              </w:rPr>
              <w:t xml:space="preserve">Меблі </w:t>
            </w:r>
          </w:p>
        </w:tc>
        <w:tc>
          <w:tcPr>
            <w:tcW w:w="1559" w:type="dxa"/>
            <w:gridSpan w:val="2"/>
            <w:tcBorders>
              <w:top w:val="single" w:sz="6" w:space="0" w:color="auto"/>
              <w:left w:val="single" w:sz="6" w:space="0" w:color="auto"/>
              <w:right w:val="single" w:sz="6" w:space="0" w:color="auto"/>
            </w:tcBorders>
          </w:tcPr>
          <w:p w:rsidR="001D38F2" w:rsidRPr="002045F5" w:rsidRDefault="001D38F2" w:rsidP="00524DBF">
            <w:pPr>
              <w:autoSpaceDE w:val="0"/>
              <w:autoSpaceDN w:val="0"/>
              <w:adjustRightInd w:val="0"/>
              <w:jc w:val="center"/>
              <w:rPr>
                <w:rFonts w:eastAsia="Calibri"/>
                <w:sz w:val="22"/>
              </w:rPr>
            </w:pPr>
            <w:r w:rsidRPr="002045F5">
              <w:rPr>
                <w:rFonts w:eastAsia="Calibri"/>
                <w:sz w:val="22"/>
              </w:rPr>
              <w:t>одиниць</w:t>
            </w:r>
          </w:p>
          <w:p w:rsidR="001D38F2" w:rsidRPr="002045F5" w:rsidRDefault="001D38F2" w:rsidP="00524DBF">
            <w:pPr>
              <w:autoSpaceDE w:val="0"/>
              <w:autoSpaceDN w:val="0"/>
              <w:adjustRightInd w:val="0"/>
              <w:jc w:val="center"/>
              <w:rPr>
                <w:rFonts w:eastAsia="Calibri"/>
                <w:sz w:val="22"/>
              </w:rPr>
            </w:pPr>
            <w:r w:rsidRPr="002045F5">
              <w:rPr>
                <w:rFonts w:eastAsia="Calibri"/>
                <w:sz w:val="22"/>
              </w:rPr>
              <w:t>одиниць</w:t>
            </w:r>
          </w:p>
        </w:tc>
        <w:tc>
          <w:tcPr>
            <w:tcW w:w="2126" w:type="dxa"/>
            <w:gridSpan w:val="2"/>
            <w:tcBorders>
              <w:top w:val="single" w:sz="6" w:space="0" w:color="auto"/>
              <w:left w:val="single" w:sz="6" w:space="0" w:color="auto"/>
              <w:right w:val="single" w:sz="6" w:space="0" w:color="auto"/>
            </w:tcBorders>
          </w:tcPr>
          <w:p w:rsidR="001D38F2" w:rsidRPr="002045F5" w:rsidRDefault="001D38F2" w:rsidP="00524DBF">
            <w:pPr>
              <w:autoSpaceDE w:val="0"/>
              <w:autoSpaceDN w:val="0"/>
              <w:adjustRightInd w:val="0"/>
              <w:jc w:val="center"/>
              <w:rPr>
                <w:rFonts w:eastAsia="Calibri"/>
                <w:sz w:val="22"/>
              </w:rPr>
            </w:pPr>
            <w:r w:rsidRPr="002045F5">
              <w:rPr>
                <w:rFonts w:eastAsia="Calibri"/>
                <w:sz w:val="22"/>
              </w:rPr>
              <w:t>11</w:t>
            </w:r>
          </w:p>
          <w:p w:rsidR="001D38F2" w:rsidRPr="002045F5" w:rsidRDefault="001D38F2" w:rsidP="00524DBF">
            <w:pPr>
              <w:autoSpaceDE w:val="0"/>
              <w:autoSpaceDN w:val="0"/>
              <w:adjustRightInd w:val="0"/>
              <w:jc w:val="center"/>
              <w:rPr>
                <w:rFonts w:eastAsia="Calibri"/>
                <w:sz w:val="22"/>
              </w:rPr>
            </w:pPr>
          </w:p>
          <w:p w:rsidR="001D38F2" w:rsidRPr="002045F5" w:rsidRDefault="001D38F2" w:rsidP="00524DBF">
            <w:pPr>
              <w:autoSpaceDE w:val="0"/>
              <w:autoSpaceDN w:val="0"/>
              <w:adjustRightInd w:val="0"/>
              <w:jc w:val="center"/>
              <w:rPr>
                <w:rFonts w:eastAsia="Calibri"/>
                <w:sz w:val="22"/>
              </w:rPr>
            </w:pPr>
            <w:r w:rsidRPr="002045F5">
              <w:rPr>
                <w:rFonts w:eastAsia="Calibri"/>
                <w:sz w:val="22"/>
              </w:rPr>
              <w:t>200</w:t>
            </w:r>
          </w:p>
        </w:tc>
      </w:tr>
      <w:tr w:rsidR="001D38F2" w:rsidRPr="002045F5" w:rsidTr="00670D96">
        <w:trPr>
          <w:trHeight w:val="290"/>
        </w:trPr>
        <w:tc>
          <w:tcPr>
            <w:tcW w:w="881" w:type="dxa"/>
            <w:tcBorders>
              <w:top w:val="nil"/>
              <w:left w:val="nil"/>
              <w:bottom w:val="nil"/>
              <w:right w:val="nil"/>
            </w:tcBorders>
          </w:tcPr>
          <w:p w:rsidR="001D38F2" w:rsidRPr="002045F5" w:rsidRDefault="001D38F2" w:rsidP="00524DBF">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1D38F2" w:rsidRPr="002045F5" w:rsidRDefault="001D38F2" w:rsidP="00524DBF">
            <w:pPr>
              <w:autoSpaceDE w:val="0"/>
              <w:autoSpaceDN w:val="0"/>
              <w:adjustRightInd w:val="0"/>
              <w:rPr>
                <w:rFonts w:eastAsia="Calibri"/>
                <w:b/>
                <w:color w:val="FF0000"/>
                <w:sz w:val="22"/>
              </w:rPr>
            </w:pPr>
          </w:p>
        </w:tc>
        <w:tc>
          <w:tcPr>
            <w:tcW w:w="3402" w:type="dxa"/>
            <w:gridSpan w:val="3"/>
            <w:tcBorders>
              <w:left w:val="single" w:sz="6" w:space="0" w:color="auto"/>
              <w:right w:val="single" w:sz="6" w:space="0" w:color="auto"/>
            </w:tcBorders>
          </w:tcPr>
          <w:p w:rsidR="001D38F2" w:rsidRPr="002045F5" w:rsidRDefault="001D38F2" w:rsidP="00524DBF">
            <w:pPr>
              <w:autoSpaceDE w:val="0"/>
              <w:autoSpaceDN w:val="0"/>
              <w:adjustRightInd w:val="0"/>
              <w:rPr>
                <w:sz w:val="22"/>
              </w:rPr>
            </w:pPr>
            <w:r w:rsidRPr="002045F5">
              <w:rPr>
                <w:sz w:val="22"/>
              </w:rPr>
              <w:t>Оргтехніка</w:t>
            </w:r>
          </w:p>
        </w:tc>
        <w:tc>
          <w:tcPr>
            <w:tcW w:w="1559" w:type="dxa"/>
            <w:gridSpan w:val="2"/>
            <w:tcBorders>
              <w:left w:val="single" w:sz="6" w:space="0" w:color="auto"/>
              <w:right w:val="single" w:sz="6" w:space="0" w:color="auto"/>
            </w:tcBorders>
          </w:tcPr>
          <w:p w:rsidR="001D38F2" w:rsidRPr="002045F5" w:rsidRDefault="001D38F2" w:rsidP="00524DBF">
            <w:pPr>
              <w:jc w:val="center"/>
              <w:rPr>
                <w:sz w:val="22"/>
              </w:rPr>
            </w:pPr>
            <w:r w:rsidRPr="002045F5">
              <w:rPr>
                <w:rFonts w:eastAsia="Calibri"/>
                <w:sz w:val="22"/>
              </w:rPr>
              <w:t>одиниць</w:t>
            </w:r>
          </w:p>
        </w:tc>
        <w:tc>
          <w:tcPr>
            <w:tcW w:w="2126" w:type="dxa"/>
            <w:gridSpan w:val="2"/>
            <w:tcBorders>
              <w:left w:val="single" w:sz="6" w:space="0" w:color="auto"/>
              <w:right w:val="single" w:sz="6" w:space="0" w:color="auto"/>
            </w:tcBorders>
          </w:tcPr>
          <w:p w:rsidR="001D38F2" w:rsidRPr="002045F5" w:rsidRDefault="001D38F2" w:rsidP="00524DBF">
            <w:pPr>
              <w:autoSpaceDE w:val="0"/>
              <w:autoSpaceDN w:val="0"/>
              <w:adjustRightInd w:val="0"/>
              <w:jc w:val="center"/>
              <w:rPr>
                <w:rFonts w:eastAsia="Calibri"/>
                <w:sz w:val="22"/>
              </w:rPr>
            </w:pPr>
            <w:r w:rsidRPr="002045F5">
              <w:rPr>
                <w:rFonts w:eastAsia="Calibri"/>
                <w:sz w:val="22"/>
              </w:rPr>
              <w:t>40</w:t>
            </w:r>
          </w:p>
        </w:tc>
      </w:tr>
      <w:tr w:rsidR="001D38F2" w:rsidRPr="002045F5" w:rsidTr="00670D96">
        <w:trPr>
          <w:trHeight w:val="290"/>
        </w:trPr>
        <w:tc>
          <w:tcPr>
            <w:tcW w:w="881" w:type="dxa"/>
            <w:tcBorders>
              <w:top w:val="nil"/>
              <w:left w:val="nil"/>
              <w:bottom w:val="nil"/>
              <w:right w:val="nil"/>
            </w:tcBorders>
          </w:tcPr>
          <w:p w:rsidR="001D38F2" w:rsidRPr="002045F5" w:rsidRDefault="001D38F2" w:rsidP="00524DBF">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1D38F2" w:rsidRPr="002045F5" w:rsidRDefault="001D38F2" w:rsidP="00524DBF">
            <w:pPr>
              <w:autoSpaceDE w:val="0"/>
              <w:autoSpaceDN w:val="0"/>
              <w:adjustRightInd w:val="0"/>
              <w:rPr>
                <w:rFonts w:eastAsia="Calibri"/>
                <w:b/>
                <w:color w:val="FF0000"/>
                <w:sz w:val="22"/>
              </w:rPr>
            </w:pPr>
          </w:p>
        </w:tc>
        <w:tc>
          <w:tcPr>
            <w:tcW w:w="3402" w:type="dxa"/>
            <w:gridSpan w:val="3"/>
            <w:tcBorders>
              <w:left w:val="single" w:sz="6" w:space="0" w:color="auto"/>
              <w:right w:val="single" w:sz="6" w:space="0" w:color="auto"/>
            </w:tcBorders>
          </w:tcPr>
          <w:p w:rsidR="001D38F2" w:rsidRPr="002045F5" w:rsidRDefault="001D38F2" w:rsidP="00524DBF">
            <w:pPr>
              <w:autoSpaceDE w:val="0"/>
              <w:autoSpaceDN w:val="0"/>
              <w:adjustRightInd w:val="0"/>
              <w:rPr>
                <w:sz w:val="22"/>
              </w:rPr>
            </w:pPr>
            <w:r w:rsidRPr="002045F5">
              <w:rPr>
                <w:sz w:val="22"/>
              </w:rPr>
              <w:t>Комплект стендів "Технологія праці для хлопчиків"</w:t>
            </w:r>
          </w:p>
        </w:tc>
        <w:tc>
          <w:tcPr>
            <w:tcW w:w="1559" w:type="dxa"/>
            <w:gridSpan w:val="2"/>
            <w:tcBorders>
              <w:left w:val="single" w:sz="6" w:space="0" w:color="auto"/>
              <w:right w:val="single" w:sz="6" w:space="0" w:color="auto"/>
            </w:tcBorders>
          </w:tcPr>
          <w:p w:rsidR="001D38F2" w:rsidRPr="002045F5" w:rsidRDefault="001D38F2" w:rsidP="00524DBF">
            <w:pPr>
              <w:jc w:val="center"/>
              <w:rPr>
                <w:sz w:val="22"/>
              </w:rPr>
            </w:pPr>
            <w:r w:rsidRPr="002045F5">
              <w:rPr>
                <w:rFonts w:eastAsia="Calibri"/>
                <w:sz w:val="22"/>
              </w:rPr>
              <w:t>одиниць</w:t>
            </w:r>
            <w:r w:rsidRPr="002045F5">
              <w:rPr>
                <w:color w:val="000000"/>
                <w:sz w:val="22"/>
              </w:rPr>
              <w:t>.</w:t>
            </w:r>
          </w:p>
        </w:tc>
        <w:tc>
          <w:tcPr>
            <w:tcW w:w="2126" w:type="dxa"/>
            <w:gridSpan w:val="2"/>
            <w:tcBorders>
              <w:left w:val="single" w:sz="6" w:space="0" w:color="auto"/>
              <w:right w:val="single" w:sz="6" w:space="0" w:color="auto"/>
            </w:tcBorders>
          </w:tcPr>
          <w:p w:rsidR="001D38F2" w:rsidRPr="002045F5" w:rsidRDefault="001D38F2" w:rsidP="00524DBF">
            <w:pPr>
              <w:autoSpaceDE w:val="0"/>
              <w:autoSpaceDN w:val="0"/>
              <w:adjustRightInd w:val="0"/>
              <w:jc w:val="center"/>
              <w:rPr>
                <w:rFonts w:eastAsia="Calibri"/>
                <w:sz w:val="22"/>
              </w:rPr>
            </w:pPr>
            <w:r w:rsidRPr="002045F5">
              <w:rPr>
                <w:rFonts w:eastAsia="Calibri"/>
                <w:sz w:val="22"/>
              </w:rPr>
              <w:t>1</w:t>
            </w:r>
          </w:p>
        </w:tc>
      </w:tr>
      <w:tr w:rsidR="001D38F2" w:rsidRPr="002045F5" w:rsidTr="00670D96">
        <w:trPr>
          <w:trHeight w:val="290"/>
        </w:trPr>
        <w:tc>
          <w:tcPr>
            <w:tcW w:w="881" w:type="dxa"/>
            <w:tcBorders>
              <w:top w:val="nil"/>
              <w:left w:val="nil"/>
              <w:bottom w:val="nil"/>
              <w:right w:val="nil"/>
            </w:tcBorders>
          </w:tcPr>
          <w:p w:rsidR="001D38F2" w:rsidRPr="002045F5" w:rsidRDefault="001D38F2" w:rsidP="00524DBF">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1D38F2" w:rsidRPr="002045F5" w:rsidRDefault="001D38F2" w:rsidP="00524DBF">
            <w:pPr>
              <w:autoSpaceDE w:val="0"/>
              <w:autoSpaceDN w:val="0"/>
              <w:adjustRightInd w:val="0"/>
              <w:rPr>
                <w:rFonts w:eastAsia="Calibri"/>
                <w:b/>
                <w:color w:val="FF0000"/>
                <w:sz w:val="22"/>
              </w:rPr>
            </w:pPr>
          </w:p>
        </w:tc>
        <w:tc>
          <w:tcPr>
            <w:tcW w:w="3402" w:type="dxa"/>
            <w:gridSpan w:val="3"/>
            <w:tcBorders>
              <w:left w:val="single" w:sz="6" w:space="0" w:color="auto"/>
              <w:right w:val="single" w:sz="6" w:space="0" w:color="auto"/>
            </w:tcBorders>
          </w:tcPr>
          <w:p w:rsidR="001D38F2" w:rsidRPr="002045F5" w:rsidRDefault="001D38F2" w:rsidP="00524DBF">
            <w:pPr>
              <w:autoSpaceDE w:val="0"/>
              <w:autoSpaceDN w:val="0"/>
              <w:adjustRightInd w:val="0"/>
              <w:rPr>
                <w:sz w:val="22"/>
              </w:rPr>
            </w:pPr>
            <w:r w:rsidRPr="002045F5">
              <w:rPr>
                <w:sz w:val="22"/>
              </w:rPr>
              <w:t xml:space="preserve">Комплект стендів "Обслуговуючі види праці для </w:t>
            </w:r>
            <w:proofErr w:type="spellStart"/>
            <w:r w:rsidRPr="002045F5">
              <w:rPr>
                <w:sz w:val="22"/>
              </w:rPr>
              <w:t>дівчаток</w:t>
            </w:r>
            <w:proofErr w:type="spellEnd"/>
            <w:r w:rsidRPr="002045F5">
              <w:rPr>
                <w:sz w:val="22"/>
              </w:rPr>
              <w:t>"</w:t>
            </w:r>
            <w:hyperlink r:id="rId72" w:history="1"/>
            <w:r w:rsidRPr="002045F5">
              <w:rPr>
                <w:sz w:val="22"/>
              </w:rPr>
              <w:t xml:space="preserve"> </w:t>
            </w:r>
          </w:p>
        </w:tc>
        <w:tc>
          <w:tcPr>
            <w:tcW w:w="1559" w:type="dxa"/>
            <w:gridSpan w:val="2"/>
            <w:tcBorders>
              <w:left w:val="single" w:sz="6" w:space="0" w:color="auto"/>
              <w:right w:val="single" w:sz="6" w:space="0" w:color="auto"/>
            </w:tcBorders>
          </w:tcPr>
          <w:p w:rsidR="001D38F2" w:rsidRPr="002045F5" w:rsidRDefault="001D38F2" w:rsidP="00524DBF">
            <w:pPr>
              <w:jc w:val="center"/>
              <w:rPr>
                <w:sz w:val="22"/>
              </w:rPr>
            </w:pPr>
            <w:r w:rsidRPr="002045F5">
              <w:rPr>
                <w:rFonts w:eastAsia="Calibri"/>
                <w:sz w:val="22"/>
              </w:rPr>
              <w:t>одиниць</w:t>
            </w:r>
          </w:p>
        </w:tc>
        <w:tc>
          <w:tcPr>
            <w:tcW w:w="2126" w:type="dxa"/>
            <w:gridSpan w:val="2"/>
            <w:tcBorders>
              <w:left w:val="single" w:sz="6" w:space="0" w:color="auto"/>
              <w:right w:val="single" w:sz="6" w:space="0" w:color="auto"/>
            </w:tcBorders>
          </w:tcPr>
          <w:p w:rsidR="001D38F2" w:rsidRPr="002045F5" w:rsidRDefault="001D38F2" w:rsidP="00524DBF">
            <w:pPr>
              <w:autoSpaceDE w:val="0"/>
              <w:autoSpaceDN w:val="0"/>
              <w:adjustRightInd w:val="0"/>
              <w:jc w:val="center"/>
              <w:rPr>
                <w:rFonts w:eastAsia="Calibri"/>
                <w:sz w:val="22"/>
              </w:rPr>
            </w:pPr>
            <w:r w:rsidRPr="002045F5">
              <w:rPr>
                <w:rFonts w:eastAsia="Calibri"/>
                <w:sz w:val="22"/>
              </w:rPr>
              <w:t>1</w:t>
            </w:r>
          </w:p>
        </w:tc>
      </w:tr>
      <w:tr w:rsidR="001D38F2" w:rsidRPr="002045F5" w:rsidTr="00670D96">
        <w:trPr>
          <w:trHeight w:val="290"/>
        </w:trPr>
        <w:tc>
          <w:tcPr>
            <w:tcW w:w="881" w:type="dxa"/>
            <w:tcBorders>
              <w:top w:val="nil"/>
              <w:left w:val="nil"/>
              <w:bottom w:val="nil"/>
              <w:right w:val="nil"/>
            </w:tcBorders>
          </w:tcPr>
          <w:p w:rsidR="001D38F2" w:rsidRPr="002045F5" w:rsidRDefault="001D38F2" w:rsidP="00524DBF">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1D38F2" w:rsidRPr="002045F5" w:rsidRDefault="001D38F2" w:rsidP="00524DBF">
            <w:pPr>
              <w:autoSpaceDE w:val="0"/>
              <w:autoSpaceDN w:val="0"/>
              <w:adjustRightInd w:val="0"/>
              <w:rPr>
                <w:rFonts w:eastAsia="Calibri"/>
                <w:b/>
                <w:color w:val="FF0000"/>
                <w:sz w:val="22"/>
              </w:rPr>
            </w:pPr>
          </w:p>
        </w:tc>
        <w:tc>
          <w:tcPr>
            <w:tcW w:w="3402" w:type="dxa"/>
            <w:gridSpan w:val="3"/>
            <w:tcBorders>
              <w:left w:val="single" w:sz="6" w:space="0" w:color="auto"/>
              <w:right w:val="single" w:sz="6" w:space="0" w:color="auto"/>
            </w:tcBorders>
          </w:tcPr>
          <w:p w:rsidR="001D38F2" w:rsidRPr="002045F5" w:rsidRDefault="001D38F2" w:rsidP="00524DBF">
            <w:pPr>
              <w:autoSpaceDE w:val="0"/>
              <w:autoSpaceDN w:val="0"/>
              <w:adjustRightInd w:val="0"/>
              <w:rPr>
                <w:sz w:val="22"/>
              </w:rPr>
            </w:pPr>
            <w:r w:rsidRPr="002045F5">
              <w:rPr>
                <w:sz w:val="22"/>
              </w:rPr>
              <w:t>Швейна машина</w:t>
            </w:r>
          </w:p>
        </w:tc>
        <w:tc>
          <w:tcPr>
            <w:tcW w:w="1559" w:type="dxa"/>
            <w:gridSpan w:val="2"/>
            <w:tcBorders>
              <w:left w:val="single" w:sz="6" w:space="0" w:color="auto"/>
              <w:right w:val="single" w:sz="6" w:space="0" w:color="auto"/>
            </w:tcBorders>
          </w:tcPr>
          <w:p w:rsidR="001D38F2" w:rsidRPr="002045F5" w:rsidRDefault="001D38F2" w:rsidP="00524DBF">
            <w:pPr>
              <w:jc w:val="center"/>
              <w:rPr>
                <w:sz w:val="22"/>
              </w:rPr>
            </w:pPr>
            <w:r w:rsidRPr="002045F5">
              <w:rPr>
                <w:rFonts w:eastAsia="Calibri"/>
                <w:sz w:val="22"/>
              </w:rPr>
              <w:t>одиниць</w:t>
            </w:r>
          </w:p>
        </w:tc>
        <w:tc>
          <w:tcPr>
            <w:tcW w:w="2126" w:type="dxa"/>
            <w:gridSpan w:val="2"/>
            <w:tcBorders>
              <w:left w:val="single" w:sz="6" w:space="0" w:color="auto"/>
              <w:right w:val="single" w:sz="6" w:space="0" w:color="auto"/>
            </w:tcBorders>
          </w:tcPr>
          <w:p w:rsidR="001D38F2" w:rsidRPr="002045F5" w:rsidRDefault="001D38F2" w:rsidP="00524DBF">
            <w:pPr>
              <w:autoSpaceDE w:val="0"/>
              <w:autoSpaceDN w:val="0"/>
              <w:adjustRightInd w:val="0"/>
              <w:jc w:val="center"/>
              <w:rPr>
                <w:rFonts w:eastAsia="Calibri"/>
                <w:sz w:val="22"/>
              </w:rPr>
            </w:pPr>
            <w:r w:rsidRPr="002045F5">
              <w:rPr>
                <w:rFonts w:eastAsia="Calibri"/>
                <w:sz w:val="22"/>
              </w:rPr>
              <w:t>20</w:t>
            </w:r>
          </w:p>
        </w:tc>
      </w:tr>
      <w:tr w:rsidR="001D38F2" w:rsidRPr="002045F5" w:rsidTr="00670D96">
        <w:trPr>
          <w:trHeight w:val="290"/>
        </w:trPr>
        <w:tc>
          <w:tcPr>
            <w:tcW w:w="881" w:type="dxa"/>
            <w:tcBorders>
              <w:top w:val="nil"/>
              <w:left w:val="nil"/>
              <w:bottom w:val="nil"/>
              <w:right w:val="nil"/>
            </w:tcBorders>
          </w:tcPr>
          <w:p w:rsidR="001D38F2" w:rsidRPr="002045F5" w:rsidRDefault="001D38F2" w:rsidP="00524DBF">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1D38F2" w:rsidRPr="002045F5" w:rsidRDefault="001D38F2" w:rsidP="00524DBF">
            <w:pPr>
              <w:autoSpaceDE w:val="0"/>
              <w:autoSpaceDN w:val="0"/>
              <w:adjustRightInd w:val="0"/>
              <w:rPr>
                <w:rFonts w:eastAsia="Calibri"/>
                <w:b/>
                <w:color w:val="FF0000"/>
                <w:sz w:val="22"/>
              </w:rPr>
            </w:pPr>
          </w:p>
        </w:tc>
        <w:tc>
          <w:tcPr>
            <w:tcW w:w="3402" w:type="dxa"/>
            <w:gridSpan w:val="3"/>
            <w:tcBorders>
              <w:left w:val="single" w:sz="6" w:space="0" w:color="auto"/>
              <w:right w:val="single" w:sz="6" w:space="0" w:color="auto"/>
            </w:tcBorders>
          </w:tcPr>
          <w:p w:rsidR="001D38F2" w:rsidRPr="002045F5" w:rsidRDefault="001D38F2" w:rsidP="00524DBF">
            <w:pPr>
              <w:autoSpaceDE w:val="0"/>
              <w:autoSpaceDN w:val="0"/>
              <w:adjustRightInd w:val="0"/>
              <w:rPr>
                <w:rFonts w:eastAsia="Calibri"/>
                <w:sz w:val="22"/>
              </w:rPr>
            </w:pPr>
            <w:proofErr w:type="spellStart"/>
            <w:r w:rsidRPr="002045F5">
              <w:rPr>
                <w:sz w:val="22"/>
              </w:rPr>
              <w:t>Комлект</w:t>
            </w:r>
            <w:proofErr w:type="spellEnd"/>
            <w:r w:rsidRPr="002045F5">
              <w:rPr>
                <w:sz w:val="22"/>
              </w:rPr>
              <w:t xml:space="preserve"> для кроєння та шиття</w:t>
            </w:r>
          </w:p>
        </w:tc>
        <w:tc>
          <w:tcPr>
            <w:tcW w:w="1559" w:type="dxa"/>
            <w:gridSpan w:val="2"/>
            <w:tcBorders>
              <w:left w:val="single" w:sz="6" w:space="0" w:color="auto"/>
              <w:right w:val="single" w:sz="6" w:space="0" w:color="auto"/>
            </w:tcBorders>
          </w:tcPr>
          <w:p w:rsidR="001D38F2" w:rsidRPr="002045F5" w:rsidRDefault="001D38F2" w:rsidP="00524DBF">
            <w:pPr>
              <w:jc w:val="center"/>
              <w:rPr>
                <w:sz w:val="22"/>
              </w:rPr>
            </w:pPr>
            <w:r w:rsidRPr="002045F5">
              <w:rPr>
                <w:rFonts w:eastAsia="Calibri"/>
                <w:sz w:val="22"/>
              </w:rPr>
              <w:t>одиниць</w:t>
            </w:r>
          </w:p>
        </w:tc>
        <w:tc>
          <w:tcPr>
            <w:tcW w:w="2126" w:type="dxa"/>
            <w:gridSpan w:val="2"/>
            <w:tcBorders>
              <w:left w:val="single" w:sz="6" w:space="0" w:color="auto"/>
              <w:right w:val="single" w:sz="6" w:space="0" w:color="auto"/>
            </w:tcBorders>
          </w:tcPr>
          <w:p w:rsidR="001D38F2" w:rsidRPr="002045F5" w:rsidRDefault="001D38F2" w:rsidP="00524DBF">
            <w:pPr>
              <w:autoSpaceDE w:val="0"/>
              <w:autoSpaceDN w:val="0"/>
              <w:adjustRightInd w:val="0"/>
              <w:jc w:val="center"/>
              <w:rPr>
                <w:rFonts w:eastAsia="Calibri"/>
                <w:sz w:val="22"/>
              </w:rPr>
            </w:pPr>
            <w:r w:rsidRPr="002045F5">
              <w:rPr>
                <w:rFonts w:eastAsia="Calibri"/>
                <w:sz w:val="22"/>
              </w:rPr>
              <w:t>15</w:t>
            </w:r>
          </w:p>
        </w:tc>
      </w:tr>
      <w:tr w:rsidR="001D38F2" w:rsidRPr="002045F5" w:rsidTr="00670D96">
        <w:trPr>
          <w:trHeight w:val="290"/>
        </w:trPr>
        <w:tc>
          <w:tcPr>
            <w:tcW w:w="881" w:type="dxa"/>
            <w:tcBorders>
              <w:top w:val="nil"/>
              <w:left w:val="nil"/>
              <w:bottom w:val="nil"/>
              <w:right w:val="nil"/>
            </w:tcBorders>
          </w:tcPr>
          <w:p w:rsidR="001D38F2" w:rsidRPr="002045F5" w:rsidRDefault="001D38F2" w:rsidP="00524DBF">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1D38F2" w:rsidRPr="002045F5" w:rsidRDefault="001D38F2" w:rsidP="00524DBF">
            <w:pPr>
              <w:autoSpaceDE w:val="0"/>
              <w:autoSpaceDN w:val="0"/>
              <w:adjustRightInd w:val="0"/>
              <w:rPr>
                <w:rFonts w:eastAsia="Calibri"/>
                <w:b/>
                <w:color w:val="FF0000"/>
                <w:sz w:val="22"/>
              </w:rPr>
            </w:pPr>
          </w:p>
        </w:tc>
        <w:tc>
          <w:tcPr>
            <w:tcW w:w="3402" w:type="dxa"/>
            <w:gridSpan w:val="3"/>
            <w:tcBorders>
              <w:left w:val="single" w:sz="6" w:space="0" w:color="auto"/>
              <w:right w:val="single" w:sz="6" w:space="0" w:color="auto"/>
            </w:tcBorders>
          </w:tcPr>
          <w:p w:rsidR="001D38F2" w:rsidRPr="002045F5" w:rsidRDefault="001D38F2" w:rsidP="00524DBF">
            <w:pPr>
              <w:autoSpaceDE w:val="0"/>
              <w:autoSpaceDN w:val="0"/>
              <w:adjustRightInd w:val="0"/>
              <w:rPr>
                <w:sz w:val="22"/>
              </w:rPr>
            </w:pPr>
            <w:r w:rsidRPr="002045F5">
              <w:rPr>
                <w:sz w:val="22"/>
              </w:rPr>
              <w:t xml:space="preserve">Вініловий </w:t>
            </w:r>
            <w:proofErr w:type="spellStart"/>
            <w:r w:rsidRPr="002045F5">
              <w:rPr>
                <w:sz w:val="22"/>
              </w:rPr>
              <w:t>плоттер</w:t>
            </w:r>
            <w:proofErr w:type="spellEnd"/>
          </w:p>
        </w:tc>
        <w:tc>
          <w:tcPr>
            <w:tcW w:w="1559" w:type="dxa"/>
            <w:gridSpan w:val="2"/>
            <w:tcBorders>
              <w:left w:val="single" w:sz="6" w:space="0" w:color="auto"/>
              <w:right w:val="single" w:sz="6" w:space="0" w:color="auto"/>
            </w:tcBorders>
          </w:tcPr>
          <w:p w:rsidR="001D38F2" w:rsidRPr="002045F5" w:rsidRDefault="001D38F2" w:rsidP="00524DBF">
            <w:pPr>
              <w:jc w:val="center"/>
              <w:rPr>
                <w:sz w:val="22"/>
              </w:rPr>
            </w:pPr>
            <w:r w:rsidRPr="002045F5">
              <w:rPr>
                <w:rFonts w:eastAsia="Calibri"/>
                <w:sz w:val="22"/>
              </w:rPr>
              <w:t>одиниць</w:t>
            </w:r>
          </w:p>
        </w:tc>
        <w:tc>
          <w:tcPr>
            <w:tcW w:w="2126" w:type="dxa"/>
            <w:gridSpan w:val="2"/>
            <w:tcBorders>
              <w:left w:val="single" w:sz="6" w:space="0" w:color="auto"/>
              <w:right w:val="single" w:sz="6" w:space="0" w:color="auto"/>
            </w:tcBorders>
          </w:tcPr>
          <w:p w:rsidR="001D38F2" w:rsidRPr="002045F5" w:rsidRDefault="001D38F2" w:rsidP="00524DBF">
            <w:pPr>
              <w:autoSpaceDE w:val="0"/>
              <w:autoSpaceDN w:val="0"/>
              <w:adjustRightInd w:val="0"/>
              <w:jc w:val="center"/>
              <w:rPr>
                <w:rFonts w:eastAsia="Calibri"/>
                <w:sz w:val="22"/>
              </w:rPr>
            </w:pPr>
            <w:r w:rsidRPr="002045F5">
              <w:rPr>
                <w:rFonts w:eastAsia="Calibri"/>
                <w:sz w:val="22"/>
              </w:rPr>
              <w:t>1</w:t>
            </w:r>
          </w:p>
        </w:tc>
      </w:tr>
      <w:tr w:rsidR="001D38F2" w:rsidRPr="002045F5" w:rsidTr="00670D96">
        <w:trPr>
          <w:trHeight w:val="290"/>
        </w:trPr>
        <w:tc>
          <w:tcPr>
            <w:tcW w:w="881" w:type="dxa"/>
            <w:tcBorders>
              <w:top w:val="nil"/>
              <w:left w:val="nil"/>
              <w:bottom w:val="nil"/>
              <w:right w:val="nil"/>
            </w:tcBorders>
          </w:tcPr>
          <w:p w:rsidR="001D38F2" w:rsidRPr="002045F5" w:rsidRDefault="001D38F2" w:rsidP="00524DBF">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1D38F2" w:rsidRPr="002045F5" w:rsidRDefault="001D38F2" w:rsidP="00524DBF">
            <w:pPr>
              <w:autoSpaceDE w:val="0"/>
              <w:autoSpaceDN w:val="0"/>
              <w:adjustRightInd w:val="0"/>
              <w:rPr>
                <w:rFonts w:eastAsia="Calibri"/>
                <w:b/>
                <w:color w:val="FF0000"/>
                <w:sz w:val="22"/>
              </w:rPr>
            </w:pPr>
          </w:p>
        </w:tc>
        <w:tc>
          <w:tcPr>
            <w:tcW w:w="3402" w:type="dxa"/>
            <w:gridSpan w:val="3"/>
            <w:tcBorders>
              <w:left w:val="single" w:sz="6" w:space="0" w:color="auto"/>
              <w:right w:val="single" w:sz="6" w:space="0" w:color="auto"/>
            </w:tcBorders>
          </w:tcPr>
          <w:p w:rsidR="001D38F2" w:rsidRPr="002045F5" w:rsidRDefault="001D38F2" w:rsidP="00524DBF">
            <w:pPr>
              <w:autoSpaceDE w:val="0"/>
              <w:autoSpaceDN w:val="0"/>
              <w:adjustRightInd w:val="0"/>
              <w:rPr>
                <w:sz w:val="22"/>
              </w:rPr>
            </w:pPr>
            <w:r w:rsidRPr="002045F5">
              <w:rPr>
                <w:sz w:val="22"/>
              </w:rPr>
              <w:t>Праска електрична</w:t>
            </w:r>
          </w:p>
        </w:tc>
        <w:tc>
          <w:tcPr>
            <w:tcW w:w="1559" w:type="dxa"/>
            <w:gridSpan w:val="2"/>
            <w:tcBorders>
              <w:left w:val="single" w:sz="6" w:space="0" w:color="auto"/>
              <w:right w:val="single" w:sz="6" w:space="0" w:color="auto"/>
            </w:tcBorders>
          </w:tcPr>
          <w:p w:rsidR="001D38F2" w:rsidRPr="002045F5" w:rsidRDefault="001D38F2" w:rsidP="00524DBF">
            <w:pPr>
              <w:jc w:val="center"/>
              <w:rPr>
                <w:sz w:val="22"/>
              </w:rPr>
            </w:pPr>
            <w:r w:rsidRPr="002045F5">
              <w:rPr>
                <w:rFonts w:eastAsia="Calibri"/>
                <w:sz w:val="22"/>
              </w:rPr>
              <w:t>одиниць</w:t>
            </w:r>
          </w:p>
        </w:tc>
        <w:tc>
          <w:tcPr>
            <w:tcW w:w="2126" w:type="dxa"/>
            <w:gridSpan w:val="2"/>
            <w:tcBorders>
              <w:left w:val="single" w:sz="6" w:space="0" w:color="auto"/>
              <w:right w:val="single" w:sz="6" w:space="0" w:color="auto"/>
            </w:tcBorders>
          </w:tcPr>
          <w:p w:rsidR="001D38F2" w:rsidRPr="002045F5" w:rsidRDefault="001D38F2" w:rsidP="00524DBF">
            <w:pPr>
              <w:autoSpaceDE w:val="0"/>
              <w:autoSpaceDN w:val="0"/>
              <w:adjustRightInd w:val="0"/>
              <w:jc w:val="center"/>
              <w:rPr>
                <w:rFonts w:eastAsia="Calibri"/>
                <w:sz w:val="22"/>
              </w:rPr>
            </w:pPr>
            <w:r w:rsidRPr="002045F5">
              <w:rPr>
                <w:rFonts w:eastAsia="Calibri"/>
                <w:sz w:val="22"/>
              </w:rPr>
              <w:t>4</w:t>
            </w:r>
          </w:p>
        </w:tc>
      </w:tr>
      <w:tr w:rsidR="001D38F2" w:rsidRPr="002045F5" w:rsidTr="00670D96">
        <w:trPr>
          <w:trHeight w:val="290"/>
        </w:trPr>
        <w:tc>
          <w:tcPr>
            <w:tcW w:w="881" w:type="dxa"/>
            <w:tcBorders>
              <w:top w:val="nil"/>
              <w:left w:val="nil"/>
              <w:bottom w:val="nil"/>
              <w:right w:val="nil"/>
            </w:tcBorders>
          </w:tcPr>
          <w:p w:rsidR="001D38F2" w:rsidRPr="002045F5" w:rsidRDefault="001D38F2" w:rsidP="00524DBF">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1D38F2" w:rsidRPr="002045F5" w:rsidRDefault="001D38F2" w:rsidP="00524DBF">
            <w:pPr>
              <w:autoSpaceDE w:val="0"/>
              <w:autoSpaceDN w:val="0"/>
              <w:adjustRightInd w:val="0"/>
              <w:rPr>
                <w:rFonts w:eastAsia="Calibri"/>
                <w:b/>
                <w:color w:val="FF0000"/>
                <w:sz w:val="22"/>
              </w:rPr>
            </w:pPr>
          </w:p>
        </w:tc>
        <w:tc>
          <w:tcPr>
            <w:tcW w:w="3402" w:type="dxa"/>
            <w:gridSpan w:val="3"/>
            <w:tcBorders>
              <w:left w:val="single" w:sz="6" w:space="0" w:color="auto"/>
              <w:right w:val="single" w:sz="6" w:space="0" w:color="auto"/>
            </w:tcBorders>
          </w:tcPr>
          <w:p w:rsidR="001D38F2" w:rsidRPr="002045F5" w:rsidRDefault="001D38F2" w:rsidP="00524DBF">
            <w:pPr>
              <w:autoSpaceDE w:val="0"/>
              <w:autoSpaceDN w:val="0"/>
              <w:adjustRightInd w:val="0"/>
              <w:rPr>
                <w:sz w:val="22"/>
              </w:rPr>
            </w:pPr>
            <w:r w:rsidRPr="002045F5">
              <w:rPr>
                <w:sz w:val="22"/>
              </w:rPr>
              <w:t>Прасувальна дошка</w:t>
            </w:r>
          </w:p>
        </w:tc>
        <w:tc>
          <w:tcPr>
            <w:tcW w:w="1559" w:type="dxa"/>
            <w:gridSpan w:val="2"/>
            <w:tcBorders>
              <w:left w:val="single" w:sz="6" w:space="0" w:color="auto"/>
              <w:right w:val="single" w:sz="6" w:space="0" w:color="auto"/>
            </w:tcBorders>
          </w:tcPr>
          <w:p w:rsidR="001D38F2" w:rsidRPr="002045F5" w:rsidRDefault="001D38F2" w:rsidP="00524DBF">
            <w:pPr>
              <w:jc w:val="center"/>
              <w:rPr>
                <w:sz w:val="22"/>
              </w:rPr>
            </w:pPr>
            <w:r w:rsidRPr="002045F5">
              <w:rPr>
                <w:rFonts w:eastAsia="Calibri"/>
                <w:sz w:val="22"/>
              </w:rPr>
              <w:t>одиниць</w:t>
            </w:r>
          </w:p>
        </w:tc>
        <w:tc>
          <w:tcPr>
            <w:tcW w:w="2126" w:type="dxa"/>
            <w:gridSpan w:val="2"/>
            <w:tcBorders>
              <w:left w:val="single" w:sz="6" w:space="0" w:color="auto"/>
              <w:right w:val="single" w:sz="6" w:space="0" w:color="auto"/>
            </w:tcBorders>
          </w:tcPr>
          <w:p w:rsidR="001D38F2" w:rsidRPr="002045F5" w:rsidRDefault="001D38F2" w:rsidP="00524DBF">
            <w:pPr>
              <w:autoSpaceDE w:val="0"/>
              <w:autoSpaceDN w:val="0"/>
              <w:adjustRightInd w:val="0"/>
              <w:jc w:val="center"/>
              <w:rPr>
                <w:rFonts w:eastAsia="Calibri"/>
                <w:sz w:val="22"/>
              </w:rPr>
            </w:pPr>
            <w:r w:rsidRPr="002045F5">
              <w:rPr>
                <w:rFonts w:eastAsia="Calibri"/>
                <w:sz w:val="22"/>
              </w:rPr>
              <w:t>3</w:t>
            </w:r>
          </w:p>
        </w:tc>
      </w:tr>
      <w:tr w:rsidR="001D38F2" w:rsidRPr="002045F5" w:rsidTr="00670D96">
        <w:trPr>
          <w:trHeight w:val="290"/>
        </w:trPr>
        <w:tc>
          <w:tcPr>
            <w:tcW w:w="881" w:type="dxa"/>
            <w:tcBorders>
              <w:top w:val="nil"/>
              <w:left w:val="nil"/>
              <w:bottom w:val="nil"/>
              <w:right w:val="nil"/>
            </w:tcBorders>
          </w:tcPr>
          <w:p w:rsidR="001D38F2" w:rsidRPr="002045F5" w:rsidRDefault="001D38F2" w:rsidP="00524DBF">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1D38F2" w:rsidRPr="002045F5" w:rsidRDefault="001D38F2" w:rsidP="00524DBF">
            <w:pPr>
              <w:autoSpaceDE w:val="0"/>
              <w:autoSpaceDN w:val="0"/>
              <w:adjustRightInd w:val="0"/>
              <w:rPr>
                <w:rFonts w:eastAsia="Calibri"/>
                <w:b/>
                <w:color w:val="FF0000"/>
                <w:sz w:val="22"/>
              </w:rPr>
            </w:pPr>
          </w:p>
        </w:tc>
        <w:tc>
          <w:tcPr>
            <w:tcW w:w="3402" w:type="dxa"/>
            <w:gridSpan w:val="3"/>
            <w:tcBorders>
              <w:left w:val="single" w:sz="6" w:space="0" w:color="auto"/>
              <w:right w:val="single" w:sz="6" w:space="0" w:color="auto"/>
            </w:tcBorders>
          </w:tcPr>
          <w:p w:rsidR="001D38F2" w:rsidRPr="002045F5" w:rsidRDefault="001D38F2" w:rsidP="00524DBF">
            <w:pPr>
              <w:autoSpaceDE w:val="0"/>
              <w:autoSpaceDN w:val="0"/>
              <w:adjustRightInd w:val="0"/>
              <w:rPr>
                <w:sz w:val="22"/>
              </w:rPr>
            </w:pPr>
            <w:r w:rsidRPr="002045F5">
              <w:rPr>
                <w:sz w:val="22"/>
              </w:rPr>
              <w:t>Проектор</w:t>
            </w:r>
          </w:p>
        </w:tc>
        <w:tc>
          <w:tcPr>
            <w:tcW w:w="1559" w:type="dxa"/>
            <w:gridSpan w:val="2"/>
            <w:tcBorders>
              <w:left w:val="single" w:sz="6" w:space="0" w:color="auto"/>
              <w:right w:val="single" w:sz="6" w:space="0" w:color="auto"/>
            </w:tcBorders>
          </w:tcPr>
          <w:p w:rsidR="001D38F2" w:rsidRPr="002045F5" w:rsidRDefault="001D38F2" w:rsidP="00524DBF">
            <w:pPr>
              <w:jc w:val="center"/>
              <w:rPr>
                <w:sz w:val="22"/>
              </w:rPr>
            </w:pPr>
            <w:r w:rsidRPr="002045F5">
              <w:rPr>
                <w:rFonts w:eastAsia="Calibri"/>
                <w:sz w:val="22"/>
              </w:rPr>
              <w:t>одиниць</w:t>
            </w:r>
          </w:p>
        </w:tc>
        <w:tc>
          <w:tcPr>
            <w:tcW w:w="2126" w:type="dxa"/>
            <w:gridSpan w:val="2"/>
            <w:tcBorders>
              <w:left w:val="single" w:sz="6" w:space="0" w:color="auto"/>
              <w:right w:val="single" w:sz="6" w:space="0" w:color="auto"/>
            </w:tcBorders>
          </w:tcPr>
          <w:p w:rsidR="001D38F2" w:rsidRPr="002045F5" w:rsidRDefault="001D38F2" w:rsidP="00524DBF">
            <w:pPr>
              <w:autoSpaceDE w:val="0"/>
              <w:autoSpaceDN w:val="0"/>
              <w:adjustRightInd w:val="0"/>
              <w:jc w:val="center"/>
              <w:rPr>
                <w:rFonts w:eastAsia="Calibri"/>
                <w:sz w:val="22"/>
              </w:rPr>
            </w:pPr>
            <w:r w:rsidRPr="002045F5">
              <w:rPr>
                <w:rFonts w:eastAsia="Calibri"/>
                <w:sz w:val="22"/>
              </w:rPr>
              <w:t>3</w:t>
            </w:r>
          </w:p>
        </w:tc>
      </w:tr>
      <w:tr w:rsidR="001D38F2" w:rsidRPr="002045F5" w:rsidTr="00670D96">
        <w:trPr>
          <w:trHeight w:val="290"/>
        </w:trPr>
        <w:tc>
          <w:tcPr>
            <w:tcW w:w="881" w:type="dxa"/>
            <w:tcBorders>
              <w:top w:val="nil"/>
              <w:left w:val="nil"/>
              <w:bottom w:val="nil"/>
              <w:right w:val="nil"/>
            </w:tcBorders>
          </w:tcPr>
          <w:p w:rsidR="001D38F2" w:rsidRPr="002045F5" w:rsidRDefault="001D38F2" w:rsidP="00524DBF">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1D38F2" w:rsidRPr="002045F5" w:rsidRDefault="001D38F2" w:rsidP="00524DBF">
            <w:pPr>
              <w:autoSpaceDE w:val="0"/>
              <w:autoSpaceDN w:val="0"/>
              <w:adjustRightInd w:val="0"/>
              <w:rPr>
                <w:rFonts w:eastAsia="Calibri"/>
                <w:b/>
                <w:color w:val="FF0000"/>
                <w:sz w:val="22"/>
              </w:rPr>
            </w:pPr>
          </w:p>
        </w:tc>
        <w:tc>
          <w:tcPr>
            <w:tcW w:w="3402" w:type="dxa"/>
            <w:gridSpan w:val="3"/>
            <w:tcBorders>
              <w:left w:val="single" w:sz="6" w:space="0" w:color="auto"/>
              <w:right w:val="single" w:sz="6" w:space="0" w:color="auto"/>
            </w:tcBorders>
          </w:tcPr>
          <w:p w:rsidR="001D38F2" w:rsidRPr="002045F5" w:rsidRDefault="001D38F2" w:rsidP="00524DBF">
            <w:pPr>
              <w:autoSpaceDE w:val="0"/>
              <w:autoSpaceDN w:val="0"/>
              <w:adjustRightInd w:val="0"/>
              <w:rPr>
                <w:sz w:val="22"/>
              </w:rPr>
            </w:pPr>
            <w:r w:rsidRPr="002045F5">
              <w:rPr>
                <w:sz w:val="22"/>
              </w:rPr>
              <w:t>Екран для проектора настінний з механізмом повернення</w:t>
            </w:r>
          </w:p>
        </w:tc>
        <w:tc>
          <w:tcPr>
            <w:tcW w:w="1559" w:type="dxa"/>
            <w:gridSpan w:val="2"/>
            <w:tcBorders>
              <w:left w:val="single" w:sz="6" w:space="0" w:color="auto"/>
              <w:right w:val="single" w:sz="6" w:space="0" w:color="auto"/>
            </w:tcBorders>
          </w:tcPr>
          <w:p w:rsidR="001D38F2" w:rsidRPr="002045F5" w:rsidRDefault="001D38F2" w:rsidP="00524DBF">
            <w:pPr>
              <w:jc w:val="center"/>
              <w:rPr>
                <w:sz w:val="22"/>
              </w:rPr>
            </w:pPr>
            <w:r w:rsidRPr="002045F5">
              <w:rPr>
                <w:rFonts w:eastAsia="Calibri"/>
                <w:sz w:val="22"/>
              </w:rPr>
              <w:t>одиниць</w:t>
            </w:r>
          </w:p>
        </w:tc>
        <w:tc>
          <w:tcPr>
            <w:tcW w:w="2126" w:type="dxa"/>
            <w:gridSpan w:val="2"/>
            <w:tcBorders>
              <w:left w:val="single" w:sz="6" w:space="0" w:color="auto"/>
              <w:right w:val="single" w:sz="6" w:space="0" w:color="auto"/>
            </w:tcBorders>
          </w:tcPr>
          <w:p w:rsidR="001D38F2" w:rsidRPr="002045F5" w:rsidRDefault="001D38F2" w:rsidP="00524DBF">
            <w:pPr>
              <w:autoSpaceDE w:val="0"/>
              <w:autoSpaceDN w:val="0"/>
              <w:adjustRightInd w:val="0"/>
              <w:jc w:val="center"/>
              <w:rPr>
                <w:rFonts w:eastAsia="Calibri"/>
                <w:sz w:val="22"/>
              </w:rPr>
            </w:pPr>
            <w:r w:rsidRPr="002045F5">
              <w:rPr>
                <w:rFonts w:eastAsia="Calibri"/>
                <w:sz w:val="22"/>
              </w:rPr>
              <w:t>3</w:t>
            </w:r>
          </w:p>
        </w:tc>
      </w:tr>
      <w:tr w:rsidR="001D38F2" w:rsidRPr="002045F5" w:rsidTr="00670D96">
        <w:trPr>
          <w:trHeight w:val="226"/>
        </w:trPr>
        <w:tc>
          <w:tcPr>
            <w:tcW w:w="881" w:type="dxa"/>
            <w:tcBorders>
              <w:top w:val="nil"/>
              <w:left w:val="nil"/>
              <w:bottom w:val="nil"/>
              <w:right w:val="nil"/>
            </w:tcBorders>
          </w:tcPr>
          <w:p w:rsidR="001D38F2" w:rsidRPr="002045F5" w:rsidRDefault="001D38F2" w:rsidP="00524DBF">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1D38F2" w:rsidRPr="002045F5" w:rsidRDefault="001D38F2" w:rsidP="00524DBF">
            <w:pPr>
              <w:autoSpaceDE w:val="0"/>
              <w:autoSpaceDN w:val="0"/>
              <w:adjustRightInd w:val="0"/>
              <w:rPr>
                <w:rFonts w:eastAsia="Calibri"/>
                <w:b/>
                <w:color w:val="FF0000"/>
                <w:sz w:val="22"/>
              </w:rPr>
            </w:pPr>
          </w:p>
        </w:tc>
        <w:tc>
          <w:tcPr>
            <w:tcW w:w="3402" w:type="dxa"/>
            <w:gridSpan w:val="3"/>
            <w:tcBorders>
              <w:left w:val="single" w:sz="6" w:space="0" w:color="auto"/>
              <w:right w:val="single" w:sz="6" w:space="0" w:color="auto"/>
            </w:tcBorders>
          </w:tcPr>
          <w:p w:rsidR="001D38F2" w:rsidRPr="002045F5" w:rsidRDefault="001D38F2" w:rsidP="00046E27">
            <w:pPr>
              <w:rPr>
                <w:sz w:val="22"/>
              </w:rPr>
            </w:pPr>
            <w:r w:rsidRPr="002045F5">
              <w:rPr>
                <w:sz w:val="22"/>
              </w:rPr>
              <w:t>Інструменти для майстерні</w:t>
            </w:r>
          </w:p>
        </w:tc>
        <w:tc>
          <w:tcPr>
            <w:tcW w:w="1559" w:type="dxa"/>
            <w:gridSpan w:val="2"/>
            <w:tcBorders>
              <w:left w:val="single" w:sz="6" w:space="0" w:color="auto"/>
              <w:right w:val="single" w:sz="6" w:space="0" w:color="auto"/>
            </w:tcBorders>
          </w:tcPr>
          <w:p w:rsidR="001D38F2" w:rsidRPr="002045F5" w:rsidRDefault="001D38F2" w:rsidP="00524DBF">
            <w:pPr>
              <w:jc w:val="center"/>
              <w:rPr>
                <w:sz w:val="22"/>
              </w:rPr>
            </w:pPr>
            <w:r w:rsidRPr="002045F5">
              <w:rPr>
                <w:rFonts w:eastAsia="Calibri"/>
                <w:sz w:val="22"/>
              </w:rPr>
              <w:t>одиниць</w:t>
            </w:r>
          </w:p>
        </w:tc>
        <w:tc>
          <w:tcPr>
            <w:tcW w:w="2126" w:type="dxa"/>
            <w:gridSpan w:val="2"/>
            <w:tcBorders>
              <w:left w:val="single" w:sz="6" w:space="0" w:color="auto"/>
              <w:right w:val="single" w:sz="6" w:space="0" w:color="auto"/>
            </w:tcBorders>
          </w:tcPr>
          <w:p w:rsidR="001D38F2" w:rsidRPr="002045F5" w:rsidRDefault="001D38F2" w:rsidP="00524DBF">
            <w:pPr>
              <w:autoSpaceDE w:val="0"/>
              <w:autoSpaceDN w:val="0"/>
              <w:adjustRightInd w:val="0"/>
              <w:jc w:val="center"/>
              <w:rPr>
                <w:rFonts w:eastAsia="Calibri"/>
                <w:sz w:val="22"/>
              </w:rPr>
            </w:pPr>
            <w:r w:rsidRPr="002045F5">
              <w:rPr>
                <w:rFonts w:eastAsia="Calibri"/>
                <w:sz w:val="22"/>
              </w:rPr>
              <w:t>120</w:t>
            </w:r>
          </w:p>
        </w:tc>
      </w:tr>
      <w:tr w:rsidR="001D38F2" w:rsidRPr="002045F5" w:rsidTr="00670D96">
        <w:trPr>
          <w:trHeight w:val="290"/>
        </w:trPr>
        <w:tc>
          <w:tcPr>
            <w:tcW w:w="881" w:type="dxa"/>
            <w:tcBorders>
              <w:top w:val="nil"/>
              <w:left w:val="nil"/>
              <w:bottom w:val="nil"/>
              <w:right w:val="nil"/>
            </w:tcBorders>
          </w:tcPr>
          <w:p w:rsidR="001D38F2" w:rsidRPr="002045F5" w:rsidRDefault="001D38F2" w:rsidP="00524DBF">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1D38F2" w:rsidRPr="002045F5" w:rsidRDefault="001D38F2" w:rsidP="00524DBF">
            <w:pPr>
              <w:autoSpaceDE w:val="0"/>
              <w:autoSpaceDN w:val="0"/>
              <w:adjustRightInd w:val="0"/>
              <w:rPr>
                <w:rFonts w:eastAsia="Calibri"/>
                <w:b/>
                <w:color w:val="FF0000"/>
                <w:sz w:val="22"/>
              </w:rPr>
            </w:pPr>
          </w:p>
        </w:tc>
        <w:tc>
          <w:tcPr>
            <w:tcW w:w="3402" w:type="dxa"/>
            <w:gridSpan w:val="3"/>
            <w:tcBorders>
              <w:left w:val="single" w:sz="6" w:space="0" w:color="auto"/>
              <w:right w:val="single" w:sz="6" w:space="0" w:color="auto"/>
            </w:tcBorders>
          </w:tcPr>
          <w:p w:rsidR="001D38F2" w:rsidRPr="002045F5" w:rsidRDefault="001D38F2" w:rsidP="00524DBF">
            <w:pPr>
              <w:autoSpaceDE w:val="0"/>
              <w:autoSpaceDN w:val="0"/>
              <w:adjustRightInd w:val="0"/>
              <w:rPr>
                <w:sz w:val="22"/>
              </w:rPr>
            </w:pPr>
            <w:r w:rsidRPr="002045F5">
              <w:rPr>
                <w:sz w:val="22"/>
              </w:rPr>
              <w:t>Електроінструменти</w:t>
            </w:r>
          </w:p>
        </w:tc>
        <w:tc>
          <w:tcPr>
            <w:tcW w:w="1559" w:type="dxa"/>
            <w:gridSpan w:val="2"/>
            <w:tcBorders>
              <w:left w:val="single" w:sz="6" w:space="0" w:color="auto"/>
              <w:right w:val="single" w:sz="6" w:space="0" w:color="auto"/>
            </w:tcBorders>
          </w:tcPr>
          <w:p w:rsidR="001D38F2" w:rsidRPr="002045F5" w:rsidRDefault="001D38F2" w:rsidP="00524DBF">
            <w:pPr>
              <w:autoSpaceDE w:val="0"/>
              <w:autoSpaceDN w:val="0"/>
              <w:adjustRightInd w:val="0"/>
              <w:jc w:val="center"/>
              <w:rPr>
                <w:rFonts w:eastAsia="Calibri"/>
                <w:sz w:val="22"/>
              </w:rPr>
            </w:pPr>
            <w:r w:rsidRPr="002045F5">
              <w:rPr>
                <w:rFonts w:eastAsia="Calibri"/>
                <w:sz w:val="22"/>
              </w:rPr>
              <w:t>одиниць</w:t>
            </w:r>
          </w:p>
        </w:tc>
        <w:tc>
          <w:tcPr>
            <w:tcW w:w="2126" w:type="dxa"/>
            <w:gridSpan w:val="2"/>
            <w:tcBorders>
              <w:left w:val="single" w:sz="6" w:space="0" w:color="auto"/>
              <w:right w:val="single" w:sz="6" w:space="0" w:color="auto"/>
            </w:tcBorders>
          </w:tcPr>
          <w:p w:rsidR="001D38F2" w:rsidRPr="002045F5" w:rsidRDefault="001D38F2" w:rsidP="00524DBF">
            <w:pPr>
              <w:autoSpaceDE w:val="0"/>
              <w:autoSpaceDN w:val="0"/>
              <w:adjustRightInd w:val="0"/>
              <w:jc w:val="center"/>
              <w:rPr>
                <w:rFonts w:eastAsia="Calibri"/>
                <w:sz w:val="22"/>
              </w:rPr>
            </w:pPr>
            <w:r w:rsidRPr="002045F5">
              <w:rPr>
                <w:rFonts w:eastAsia="Calibri"/>
                <w:sz w:val="22"/>
              </w:rPr>
              <w:t>30</w:t>
            </w:r>
          </w:p>
        </w:tc>
      </w:tr>
      <w:tr w:rsidR="001D38F2" w:rsidRPr="002045F5" w:rsidTr="00670D96">
        <w:trPr>
          <w:trHeight w:val="162"/>
        </w:trPr>
        <w:tc>
          <w:tcPr>
            <w:tcW w:w="881" w:type="dxa"/>
            <w:tcBorders>
              <w:top w:val="nil"/>
              <w:left w:val="nil"/>
              <w:bottom w:val="nil"/>
              <w:right w:val="nil"/>
            </w:tcBorders>
          </w:tcPr>
          <w:p w:rsidR="001D38F2" w:rsidRPr="002045F5" w:rsidRDefault="001D38F2"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D38F2" w:rsidRPr="002045F5" w:rsidRDefault="001D38F2" w:rsidP="00524DBF">
            <w:pPr>
              <w:autoSpaceDE w:val="0"/>
              <w:autoSpaceDN w:val="0"/>
              <w:adjustRightInd w:val="0"/>
              <w:rPr>
                <w:rFonts w:eastAsia="Calibri"/>
                <w:b/>
                <w:color w:val="000000"/>
                <w:sz w:val="22"/>
              </w:rPr>
            </w:pPr>
            <w:r w:rsidRPr="002045F5">
              <w:rPr>
                <w:rFonts w:eastAsia="Calibri"/>
                <w:b/>
                <w:color w:val="000000"/>
                <w:sz w:val="22"/>
              </w:rPr>
              <w:t>Ключові заходи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1D38F2" w:rsidRPr="002045F5" w:rsidRDefault="001D38F2" w:rsidP="000303D7">
            <w:pPr>
              <w:pStyle w:val="af5"/>
              <w:numPr>
                <w:ilvl w:val="0"/>
                <w:numId w:val="128"/>
              </w:numPr>
              <w:tabs>
                <w:tab w:val="clear" w:pos="720"/>
                <w:tab w:val="num" w:pos="470"/>
              </w:tabs>
              <w:ind w:left="470"/>
              <w:rPr>
                <w:sz w:val="22"/>
              </w:rPr>
            </w:pPr>
            <w:r w:rsidRPr="002045F5">
              <w:rPr>
                <w:sz w:val="22"/>
              </w:rPr>
              <w:t>Визначення необхідного обладнання та вивчення цінових пропозицій.</w:t>
            </w:r>
          </w:p>
          <w:p w:rsidR="001D38F2" w:rsidRPr="002045F5" w:rsidRDefault="001D38F2" w:rsidP="000303D7">
            <w:pPr>
              <w:pStyle w:val="af5"/>
              <w:numPr>
                <w:ilvl w:val="0"/>
                <w:numId w:val="128"/>
              </w:numPr>
              <w:tabs>
                <w:tab w:val="clear" w:pos="720"/>
                <w:tab w:val="num" w:pos="470"/>
              </w:tabs>
              <w:ind w:left="470"/>
              <w:rPr>
                <w:sz w:val="22"/>
              </w:rPr>
            </w:pPr>
            <w:r w:rsidRPr="002045F5">
              <w:rPr>
                <w:sz w:val="22"/>
              </w:rPr>
              <w:t xml:space="preserve">Розробка плану розміщення обладнання. </w:t>
            </w:r>
          </w:p>
          <w:p w:rsidR="001D38F2" w:rsidRPr="002045F5" w:rsidRDefault="001D38F2" w:rsidP="000303D7">
            <w:pPr>
              <w:pStyle w:val="af5"/>
              <w:numPr>
                <w:ilvl w:val="0"/>
                <w:numId w:val="128"/>
              </w:numPr>
              <w:tabs>
                <w:tab w:val="clear" w:pos="720"/>
                <w:tab w:val="num" w:pos="470"/>
              </w:tabs>
              <w:ind w:left="470"/>
              <w:rPr>
                <w:sz w:val="22"/>
              </w:rPr>
            </w:pPr>
            <w:r w:rsidRPr="002045F5">
              <w:rPr>
                <w:sz w:val="22"/>
              </w:rPr>
              <w:t>Закупівля обладнання, матеріалів.</w:t>
            </w:r>
          </w:p>
          <w:p w:rsidR="001D38F2" w:rsidRPr="002045F5" w:rsidRDefault="001D38F2" w:rsidP="000303D7">
            <w:pPr>
              <w:pStyle w:val="af5"/>
              <w:numPr>
                <w:ilvl w:val="0"/>
                <w:numId w:val="128"/>
              </w:numPr>
              <w:tabs>
                <w:tab w:val="clear" w:pos="720"/>
                <w:tab w:val="num" w:pos="470"/>
              </w:tabs>
              <w:ind w:left="470"/>
              <w:rPr>
                <w:sz w:val="22"/>
              </w:rPr>
            </w:pPr>
            <w:r w:rsidRPr="002045F5">
              <w:rPr>
                <w:sz w:val="22"/>
              </w:rPr>
              <w:t>Монтаж, установка обладнання.</w:t>
            </w:r>
          </w:p>
        </w:tc>
      </w:tr>
      <w:tr w:rsidR="001D38F2" w:rsidRPr="002045F5" w:rsidTr="00670D96">
        <w:trPr>
          <w:trHeight w:val="92"/>
        </w:trPr>
        <w:tc>
          <w:tcPr>
            <w:tcW w:w="881" w:type="dxa"/>
            <w:vMerge w:val="restart"/>
            <w:tcBorders>
              <w:top w:val="nil"/>
              <w:left w:val="nil"/>
              <w:right w:val="nil"/>
            </w:tcBorders>
          </w:tcPr>
          <w:p w:rsidR="001D38F2" w:rsidRPr="002045F5" w:rsidRDefault="001D38F2" w:rsidP="00524DBF">
            <w:pPr>
              <w:autoSpaceDE w:val="0"/>
              <w:autoSpaceDN w:val="0"/>
              <w:adjustRightInd w:val="0"/>
              <w:jc w:val="right"/>
              <w:rPr>
                <w:rFonts w:eastAsia="Calibri"/>
                <w:color w:val="000000"/>
                <w:sz w:val="22"/>
              </w:rPr>
            </w:pPr>
          </w:p>
        </w:tc>
        <w:tc>
          <w:tcPr>
            <w:tcW w:w="2835" w:type="dxa"/>
            <w:vMerge w:val="restart"/>
            <w:tcBorders>
              <w:top w:val="single" w:sz="6" w:space="0" w:color="auto"/>
              <w:left w:val="single" w:sz="6" w:space="0" w:color="auto"/>
              <w:right w:val="single" w:sz="6" w:space="0" w:color="auto"/>
            </w:tcBorders>
            <w:shd w:val="clear" w:color="00FFFF" w:fill="C6D9F1" w:themeFill="text2" w:themeFillTint="33"/>
          </w:tcPr>
          <w:p w:rsidR="001D38F2" w:rsidRPr="002045F5" w:rsidRDefault="001D38F2" w:rsidP="00524DBF">
            <w:pPr>
              <w:autoSpaceDE w:val="0"/>
              <w:autoSpaceDN w:val="0"/>
              <w:adjustRightInd w:val="0"/>
              <w:rPr>
                <w:rFonts w:eastAsia="Calibri"/>
                <w:b/>
                <w:color w:val="000000"/>
                <w:sz w:val="22"/>
              </w:rPr>
            </w:pPr>
            <w:r w:rsidRPr="002045F5">
              <w:rPr>
                <w:rFonts w:eastAsia="Calibri"/>
                <w:b/>
                <w:color w:val="000000"/>
                <w:sz w:val="22"/>
              </w:rPr>
              <w:t>Орієнтовний обсяг та джерела фінансування тис. гривень</w:t>
            </w:r>
          </w:p>
        </w:tc>
        <w:tc>
          <w:tcPr>
            <w:tcW w:w="1502" w:type="dxa"/>
            <w:vMerge w:val="restart"/>
            <w:tcBorders>
              <w:top w:val="single" w:sz="6" w:space="0" w:color="auto"/>
              <w:left w:val="single" w:sz="6" w:space="0" w:color="auto"/>
              <w:right w:val="single" w:sz="6" w:space="0" w:color="auto"/>
            </w:tcBorders>
          </w:tcPr>
          <w:p w:rsidR="001D38F2" w:rsidRPr="002045F5" w:rsidRDefault="001D38F2" w:rsidP="00524DBF">
            <w:pPr>
              <w:pStyle w:val="af5"/>
              <w:jc w:val="center"/>
              <w:rPr>
                <w:sz w:val="22"/>
              </w:rPr>
            </w:pPr>
            <w:r w:rsidRPr="002045F5">
              <w:rPr>
                <w:rFonts w:eastAsia="Calibri"/>
                <w:color w:val="000000"/>
                <w:sz w:val="22"/>
              </w:rPr>
              <w:t>державний бюджет</w:t>
            </w:r>
          </w:p>
        </w:tc>
        <w:tc>
          <w:tcPr>
            <w:tcW w:w="1361" w:type="dxa"/>
            <w:vMerge w:val="restart"/>
            <w:tcBorders>
              <w:top w:val="single" w:sz="6" w:space="0" w:color="auto"/>
              <w:left w:val="single" w:sz="6" w:space="0" w:color="auto"/>
              <w:right w:val="single" w:sz="6" w:space="0" w:color="auto"/>
            </w:tcBorders>
          </w:tcPr>
          <w:p w:rsidR="001D38F2" w:rsidRPr="002045F5" w:rsidRDefault="001D38F2" w:rsidP="00524DBF">
            <w:pPr>
              <w:pStyle w:val="af5"/>
              <w:jc w:val="center"/>
              <w:rPr>
                <w:sz w:val="22"/>
              </w:rPr>
            </w:pPr>
            <w:r w:rsidRPr="002045F5">
              <w:rPr>
                <w:rFonts w:eastAsia="Calibri"/>
                <w:color w:val="000000"/>
                <w:sz w:val="22"/>
              </w:rPr>
              <w:t>Місцевий бюджет</w:t>
            </w:r>
          </w:p>
        </w:tc>
        <w:tc>
          <w:tcPr>
            <w:tcW w:w="2722" w:type="dxa"/>
            <w:gridSpan w:val="4"/>
            <w:tcBorders>
              <w:top w:val="single" w:sz="6" w:space="0" w:color="auto"/>
              <w:left w:val="single" w:sz="6" w:space="0" w:color="auto"/>
              <w:bottom w:val="single" w:sz="6" w:space="0" w:color="auto"/>
              <w:right w:val="single" w:sz="6" w:space="0" w:color="auto"/>
            </w:tcBorders>
          </w:tcPr>
          <w:p w:rsidR="001D38F2" w:rsidRPr="002045F5" w:rsidRDefault="001D38F2" w:rsidP="00524DBF">
            <w:pPr>
              <w:pStyle w:val="af5"/>
              <w:jc w:val="center"/>
              <w:rPr>
                <w:sz w:val="22"/>
              </w:rPr>
            </w:pPr>
            <w:r w:rsidRPr="002045F5">
              <w:rPr>
                <w:rFonts w:eastAsia="Calibri"/>
                <w:color w:val="000000"/>
                <w:sz w:val="22"/>
              </w:rPr>
              <w:t>Інші джерела</w:t>
            </w:r>
          </w:p>
        </w:tc>
        <w:tc>
          <w:tcPr>
            <w:tcW w:w="1502" w:type="dxa"/>
            <w:vMerge w:val="restart"/>
            <w:tcBorders>
              <w:top w:val="single" w:sz="6" w:space="0" w:color="auto"/>
              <w:left w:val="single" w:sz="6" w:space="0" w:color="auto"/>
              <w:right w:val="single" w:sz="6" w:space="0" w:color="auto"/>
            </w:tcBorders>
          </w:tcPr>
          <w:p w:rsidR="001D38F2" w:rsidRPr="002045F5" w:rsidRDefault="001D38F2" w:rsidP="00524DBF">
            <w:pPr>
              <w:autoSpaceDE w:val="0"/>
              <w:autoSpaceDN w:val="0"/>
              <w:adjustRightInd w:val="0"/>
              <w:jc w:val="center"/>
              <w:rPr>
                <w:rFonts w:eastAsia="Calibri"/>
                <w:sz w:val="22"/>
              </w:rPr>
            </w:pPr>
            <w:r w:rsidRPr="002045F5">
              <w:rPr>
                <w:rFonts w:eastAsia="Calibri"/>
                <w:sz w:val="22"/>
              </w:rPr>
              <w:t>Всього</w:t>
            </w:r>
          </w:p>
          <w:p w:rsidR="001D38F2" w:rsidRPr="002045F5" w:rsidRDefault="001D38F2" w:rsidP="00524DBF">
            <w:pPr>
              <w:pStyle w:val="af5"/>
              <w:jc w:val="center"/>
              <w:rPr>
                <w:sz w:val="22"/>
              </w:rPr>
            </w:pPr>
          </w:p>
        </w:tc>
      </w:tr>
      <w:tr w:rsidR="001D38F2" w:rsidRPr="002045F5" w:rsidTr="00670D96">
        <w:trPr>
          <w:trHeight w:val="90"/>
        </w:trPr>
        <w:tc>
          <w:tcPr>
            <w:tcW w:w="881" w:type="dxa"/>
            <w:vMerge/>
            <w:tcBorders>
              <w:left w:val="nil"/>
              <w:right w:val="nil"/>
            </w:tcBorders>
          </w:tcPr>
          <w:p w:rsidR="001D38F2" w:rsidRPr="002045F5" w:rsidRDefault="001D38F2" w:rsidP="00524DBF">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1D38F2" w:rsidRPr="002045F5" w:rsidRDefault="001D38F2" w:rsidP="00524DBF">
            <w:pPr>
              <w:autoSpaceDE w:val="0"/>
              <w:autoSpaceDN w:val="0"/>
              <w:adjustRightInd w:val="0"/>
              <w:rPr>
                <w:rFonts w:eastAsia="Calibri"/>
                <w:b/>
                <w:color w:val="000000"/>
                <w:sz w:val="22"/>
              </w:rPr>
            </w:pPr>
          </w:p>
        </w:tc>
        <w:tc>
          <w:tcPr>
            <w:tcW w:w="1502" w:type="dxa"/>
            <w:vMerge/>
            <w:tcBorders>
              <w:left w:val="single" w:sz="6" w:space="0" w:color="auto"/>
              <w:bottom w:val="single" w:sz="6" w:space="0" w:color="auto"/>
              <w:right w:val="single" w:sz="6" w:space="0" w:color="auto"/>
            </w:tcBorders>
          </w:tcPr>
          <w:p w:rsidR="001D38F2" w:rsidRPr="002045F5" w:rsidRDefault="001D38F2" w:rsidP="00524DBF">
            <w:pPr>
              <w:pStyle w:val="af5"/>
              <w:jc w:val="center"/>
              <w:rPr>
                <w:sz w:val="22"/>
              </w:rPr>
            </w:pPr>
          </w:p>
        </w:tc>
        <w:tc>
          <w:tcPr>
            <w:tcW w:w="1361" w:type="dxa"/>
            <w:vMerge/>
            <w:tcBorders>
              <w:left w:val="single" w:sz="6" w:space="0" w:color="auto"/>
              <w:bottom w:val="single" w:sz="6" w:space="0" w:color="auto"/>
              <w:right w:val="single" w:sz="6" w:space="0" w:color="auto"/>
            </w:tcBorders>
          </w:tcPr>
          <w:p w:rsidR="001D38F2" w:rsidRPr="002045F5" w:rsidRDefault="001D38F2" w:rsidP="00524DBF">
            <w:pPr>
              <w:pStyle w:val="af5"/>
              <w:jc w:val="center"/>
              <w:rPr>
                <w:sz w:val="22"/>
              </w:rPr>
            </w:pPr>
          </w:p>
        </w:tc>
        <w:tc>
          <w:tcPr>
            <w:tcW w:w="1361" w:type="dxa"/>
            <w:gridSpan w:val="2"/>
            <w:tcBorders>
              <w:top w:val="single" w:sz="6" w:space="0" w:color="auto"/>
              <w:left w:val="single" w:sz="6" w:space="0" w:color="auto"/>
              <w:bottom w:val="single" w:sz="6" w:space="0" w:color="auto"/>
              <w:right w:val="single" w:sz="6" w:space="0" w:color="auto"/>
            </w:tcBorders>
          </w:tcPr>
          <w:p w:rsidR="001D38F2" w:rsidRPr="002045F5" w:rsidRDefault="001D38F2" w:rsidP="00524DBF">
            <w:pPr>
              <w:autoSpaceDE w:val="0"/>
              <w:autoSpaceDN w:val="0"/>
              <w:adjustRightInd w:val="0"/>
              <w:jc w:val="center"/>
              <w:rPr>
                <w:rFonts w:eastAsia="Calibri"/>
                <w:color w:val="000000"/>
                <w:sz w:val="22"/>
              </w:rPr>
            </w:pPr>
            <w:r w:rsidRPr="002045F5">
              <w:rPr>
                <w:rFonts w:eastAsia="Calibri"/>
                <w:color w:val="000000"/>
                <w:sz w:val="22"/>
              </w:rPr>
              <w:t>Обсяг</w:t>
            </w:r>
          </w:p>
        </w:tc>
        <w:tc>
          <w:tcPr>
            <w:tcW w:w="1361" w:type="dxa"/>
            <w:gridSpan w:val="2"/>
            <w:tcBorders>
              <w:top w:val="single" w:sz="6" w:space="0" w:color="auto"/>
              <w:left w:val="single" w:sz="6" w:space="0" w:color="auto"/>
              <w:bottom w:val="single" w:sz="6" w:space="0" w:color="auto"/>
              <w:right w:val="single" w:sz="6" w:space="0" w:color="auto"/>
            </w:tcBorders>
          </w:tcPr>
          <w:p w:rsidR="001D38F2" w:rsidRPr="002045F5" w:rsidRDefault="001D38F2" w:rsidP="00524DBF">
            <w:pPr>
              <w:autoSpaceDE w:val="0"/>
              <w:autoSpaceDN w:val="0"/>
              <w:adjustRightInd w:val="0"/>
              <w:jc w:val="center"/>
              <w:rPr>
                <w:rFonts w:eastAsia="Calibri"/>
                <w:color w:val="000000"/>
                <w:sz w:val="22"/>
              </w:rPr>
            </w:pPr>
            <w:r w:rsidRPr="002045F5">
              <w:rPr>
                <w:rFonts w:eastAsia="Calibri"/>
                <w:color w:val="000000"/>
                <w:sz w:val="22"/>
              </w:rPr>
              <w:t>Назва джерела</w:t>
            </w:r>
          </w:p>
        </w:tc>
        <w:tc>
          <w:tcPr>
            <w:tcW w:w="1502" w:type="dxa"/>
            <w:vMerge/>
            <w:tcBorders>
              <w:left w:val="single" w:sz="6" w:space="0" w:color="auto"/>
              <w:bottom w:val="single" w:sz="6" w:space="0" w:color="auto"/>
              <w:right w:val="single" w:sz="6" w:space="0" w:color="auto"/>
            </w:tcBorders>
          </w:tcPr>
          <w:p w:rsidR="001D38F2" w:rsidRPr="002045F5" w:rsidRDefault="001D38F2" w:rsidP="00524DBF">
            <w:pPr>
              <w:pStyle w:val="af5"/>
              <w:jc w:val="center"/>
              <w:rPr>
                <w:sz w:val="22"/>
              </w:rPr>
            </w:pPr>
          </w:p>
        </w:tc>
      </w:tr>
      <w:tr w:rsidR="001D38F2" w:rsidRPr="002045F5" w:rsidTr="00670D96">
        <w:trPr>
          <w:trHeight w:val="90"/>
        </w:trPr>
        <w:tc>
          <w:tcPr>
            <w:tcW w:w="881" w:type="dxa"/>
            <w:vMerge/>
            <w:tcBorders>
              <w:left w:val="nil"/>
              <w:bottom w:val="nil"/>
              <w:right w:val="nil"/>
            </w:tcBorders>
          </w:tcPr>
          <w:p w:rsidR="001D38F2" w:rsidRPr="002045F5" w:rsidRDefault="001D38F2" w:rsidP="00524DBF">
            <w:pPr>
              <w:autoSpaceDE w:val="0"/>
              <w:autoSpaceDN w:val="0"/>
              <w:adjustRightInd w:val="0"/>
              <w:jc w:val="right"/>
              <w:rPr>
                <w:rFonts w:eastAsia="Calibri"/>
                <w:color w:val="000000"/>
                <w:sz w:val="22"/>
              </w:rPr>
            </w:pPr>
          </w:p>
        </w:tc>
        <w:tc>
          <w:tcPr>
            <w:tcW w:w="2835" w:type="dxa"/>
            <w:vMerge/>
            <w:tcBorders>
              <w:left w:val="single" w:sz="6" w:space="0" w:color="auto"/>
              <w:bottom w:val="single" w:sz="6" w:space="0" w:color="auto"/>
              <w:right w:val="single" w:sz="6" w:space="0" w:color="auto"/>
            </w:tcBorders>
            <w:shd w:val="clear" w:color="00FFFF" w:fill="C6D9F1" w:themeFill="text2" w:themeFillTint="33"/>
          </w:tcPr>
          <w:p w:rsidR="001D38F2" w:rsidRPr="002045F5" w:rsidRDefault="001D38F2" w:rsidP="00524DBF">
            <w:pPr>
              <w:autoSpaceDE w:val="0"/>
              <w:autoSpaceDN w:val="0"/>
              <w:adjustRightInd w:val="0"/>
              <w:rPr>
                <w:rFonts w:eastAsia="Calibri"/>
                <w:b/>
                <w:color w:val="000000"/>
                <w:sz w:val="22"/>
              </w:rPr>
            </w:pPr>
          </w:p>
        </w:tc>
        <w:tc>
          <w:tcPr>
            <w:tcW w:w="1502" w:type="dxa"/>
            <w:tcBorders>
              <w:top w:val="single" w:sz="6" w:space="0" w:color="auto"/>
              <w:left w:val="single" w:sz="6" w:space="0" w:color="auto"/>
              <w:bottom w:val="single" w:sz="6" w:space="0" w:color="auto"/>
              <w:right w:val="single" w:sz="6" w:space="0" w:color="auto"/>
            </w:tcBorders>
          </w:tcPr>
          <w:p w:rsidR="001D38F2" w:rsidRPr="002045F5" w:rsidRDefault="001D38F2" w:rsidP="00524DBF">
            <w:pPr>
              <w:pStyle w:val="af5"/>
              <w:jc w:val="center"/>
              <w:rPr>
                <w:sz w:val="22"/>
              </w:rPr>
            </w:pPr>
            <w:r w:rsidRPr="002045F5">
              <w:rPr>
                <w:sz w:val="22"/>
              </w:rPr>
              <w:t>6000,600</w:t>
            </w:r>
          </w:p>
        </w:tc>
        <w:tc>
          <w:tcPr>
            <w:tcW w:w="1361" w:type="dxa"/>
            <w:tcBorders>
              <w:top w:val="single" w:sz="6" w:space="0" w:color="auto"/>
              <w:left w:val="single" w:sz="6" w:space="0" w:color="auto"/>
              <w:bottom w:val="single" w:sz="6" w:space="0" w:color="auto"/>
              <w:right w:val="single" w:sz="6" w:space="0" w:color="auto"/>
            </w:tcBorders>
          </w:tcPr>
          <w:p w:rsidR="001D38F2" w:rsidRPr="002045F5" w:rsidRDefault="001D38F2" w:rsidP="00524DBF">
            <w:pPr>
              <w:pStyle w:val="af5"/>
              <w:jc w:val="center"/>
              <w:rPr>
                <w:sz w:val="22"/>
              </w:rPr>
            </w:pPr>
          </w:p>
        </w:tc>
        <w:tc>
          <w:tcPr>
            <w:tcW w:w="1361" w:type="dxa"/>
            <w:gridSpan w:val="2"/>
            <w:tcBorders>
              <w:top w:val="single" w:sz="6" w:space="0" w:color="auto"/>
              <w:left w:val="single" w:sz="6" w:space="0" w:color="auto"/>
              <w:bottom w:val="single" w:sz="6" w:space="0" w:color="auto"/>
              <w:right w:val="single" w:sz="6" w:space="0" w:color="auto"/>
            </w:tcBorders>
          </w:tcPr>
          <w:p w:rsidR="001D38F2" w:rsidRPr="002045F5" w:rsidRDefault="001D38F2" w:rsidP="00524DBF">
            <w:pPr>
              <w:autoSpaceDE w:val="0"/>
              <w:autoSpaceDN w:val="0"/>
              <w:adjustRightInd w:val="0"/>
              <w:jc w:val="center"/>
              <w:rPr>
                <w:rFonts w:eastAsia="Calibri"/>
                <w:color w:val="000000"/>
                <w:sz w:val="22"/>
              </w:rPr>
            </w:pPr>
            <w:r w:rsidRPr="002045F5">
              <w:rPr>
                <w:sz w:val="22"/>
              </w:rPr>
              <w:t>375,600</w:t>
            </w:r>
          </w:p>
        </w:tc>
        <w:tc>
          <w:tcPr>
            <w:tcW w:w="1361" w:type="dxa"/>
            <w:gridSpan w:val="2"/>
            <w:tcBorders>
              <w:top w:val="single" w:sz="6" w:space="0" w:color="auto"/>
              <w:left w:val="single" w:sz="6" w:space="0" w:color="auto"/>
              <w:bottom w:val="single" w:sz="6" w:space="0" w:color="auto"/>
              <w:right w:val="single" w:sz="6" w:space="0" w:color="auto"/>
            </w:tcBorders>
          </w:tcPr>
          <w:p w:rsidR="001D38F2" w:rsidRPr="002045F5" w:rsidRDefault="001D38F2" w:rsidP="00524DBF">
            <w:pPr>
              <w:autoSpaceDE w:val="0"/>
              <w:autoSpaceDN w:val="0"/>
              <w:adjustRightInd w:val="0"/>
              <w:jc w:val="center"/>
              <w:rPr>
                <w:rFonts w:eastAsia="Calibri"/>
                <w:color w:val="000000"/>
                <w:sz w:val="22"/>
              </w:rPr>
            </w:pPr>
            <w:r w:rsidRPr="002045F5">
              <w:rPr>
                <w:rFonts w:eastAsia="Calibri"/>
                <w:color w:val="000000"/>
                <w:sz w:val="22"/>
              </w:rPr>
              <w:t>Міжнародні  інвестиції</w:t>
            </w:r>
          </w:p>
        </w:tc>
        <w:tc>
          <w:tcPr>
            <w:tcW w:w="1502" w:type="dxa"/>
            <w:tcBorders>
              <w:top w:val="single" w:sz="6" w:space="0" w:color="auto"/>
              <w:left w:val="single" w:sz="6" w:space="0" w:color="auto"/>
              <w:bottom w:val="single" w:sz="6" w:space="0" w:color="auto"/>
              <w:right w:val="single" w:sz="6" w:space="0" w:color="auto"/>
            </w:tcBorders>
          </w:tcPr>
          <w:p w:rsidR="001D38F2" w:rsidRPr="002045F5" w:rsidRDefault="001D38F2" w:rsidP="0052327E">
            <w:pPr>
              <w:pStyle w:val="af5"/>
              <w:jc w:val="center"/>
              <w:rPr>
                <w:sz w:val="22"/>
              </w:rPr>
            </w:pPr>
            <w:r w:rsidRPr="002045F5">
              <w:rPr>
                <w:sz w:val="22"/>
              </w:rPr>
              <w:t>637</w:t>
            </w:r>
            <w:r w:rsidR="0052327E" w:rsidRPr="002045F5">
              <w:rPr>
                <w:sz w:val="22"/>
              </w:rPr>
              <w:t>6</w:t>
            </w:r>
            <w:r w:rsidRPr="002045F5">
              <w:rPr>
                <w:sz w:val="22"/>
              </w:rPr>
              <w:t>,</w:t>
            </w:r>
            <w:r w:rsidR="0052327E" w:rsidRPr="002045F5">
              <w:rPr>
                <w:sz w:val="22"/>
              </w:rPr>
              <w:t>2</w:t>
            </w:r>
            <w:r w:rsidRPr="002045F5">
              <w:rPr>
                <w:sz w:val="22"/>
              </w:rPr>
              <w:t>00</w:t>
            </w:r>
          </w:p>
        </w:tc>
      </w:tr>
    </w:tbl>
    <w:p w:rsidR="001D38F2" w:rsidRPr="002045F5" w:rsidRDefault="001D38F2" w:rsidP="00E95FB1">
      <w:pPr>
        <w:rPr>
          <w:sz w:val="22"/>
        </w:rPr>
      </w:pPr>
    </w:p>
    <w:p w:rsidR="001D38F2" w:rsidRPr="002045F5" w:rsidRDefault="001D38F2" w:rsidP="00E95FB1">
      <w:pPr>
        <w:rPr>
          <w:sz w:val="22"/>
        </w:rPr>
      </w:pPr>
    </w:p>
    <w:tbl>
      <w:tblPr>
        <w:tblpPr w:leftFromText="180" w:rightFromText="180" w:vertAnchor="text" w:horzAnchor="margin" w:tblpXSpec="center" w:tblpY="213"/>
        <w:tblW w:w="10042" w:type="dxa"/>
        <w:tblLayout w:type="fixed"/>
        <w:tblCellMar>
          <w:left w:w="30" w:type="dxa"/>
          <w:right w:w="30" w:type="dxa"/>
        </w:tblCellMar>
        <w:tblLook w:val="0000" w:firstRow="0" w:lastRow="0" w:firstColumn="0" w:lastColumn="0" w:noHBand="0" w:noVBand="0"/>
      </w:tblPr>
      <w:tblGrid>
        <w:gridCol w:w="2865"/>
        <w:gridCol w:w="1803"/>
        <w:gridCol w:w="1342"/>
        <w:gridCol w:w="573"/>
        <w:gridCol w:w="574"/>
        <w:gridCol w:w="1092"/>
        <w:gridCol w:w="639"/>
        <w:gridCol w:w="1154"/>
      </w:tblGrid>
      <w:tr w:rsidR="00BF26DA" w:rsidRPr="002045F5" w:rsidTr="00BF26DA">
        <w:trPr>
          <w:trHeight w:val="244"/>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BF26DA" w:rsidRPr="002045F5" w:rsidRDefault="00BF26DA" w:rsidP="00524DBF">
            <w:pPr>
              <w:autoSpaceDE w:val="0"/>
              <w:autoSpaceDN w:val="0"/>
              <w:adjustRightInd w:val="0"/>
              <w:rPr>
                <w:rFonts w:eastAsia="Calibri"/>
                <w:b/>
                <w:sz w:val="22"/>
              </w:rPr>
            </w:pPr>
            <w:r w:rsidRPr="002045F5">
              <w:rPr>
                <w:rFonts w:eastAsia="Calibri"/>
                <w:b/>
                <w:sz w:val="22"/>
              </w:rPr>
              <w:t>Оперативна ціль/завдання</w:t>
            </w:r>
          </w:p>
        </w:tc>
        <w:tc>
          <w:tcPr>
            <w:tcW w:w="7177" w:type="dxa"/>
            <w:gridSpan w:val="7"/>
            <w:tcBorders>
              <w:top w:val="single" w:sz="6" w:space="0" w:color="auto"/>
              <w:left w:val="single" w:sz="6" w:space="0" w:color="auto"/>
              <w:bottom w:val="single" w:sz="6" w:space="0" w:color="auto"/>
              <w:right w:val="single" w:sz="6" w:space="0" w:color="auto"/>
            </w:tcBorders>
          </w:tcPr>
          <w:p w:rsidR="00BF26DA" w:rsidRPr="002045F5" w:rsidRDefault="00BF26DA" w:rsidP="00524DBF">
            <w:pPr>
              <w:autoSpaceDE w:val="0"/>
              <w:autoSpaceDN w:val="0"/>
              <w:adjustRightInd w:val="0"/>
              <w:rPr>
                <w:rFonts w:eastAsia="Calibri"/>
                <w:sz w:val="22"/>
              </w:rPr>
            </w:pPr>
            <w:r w:rsidRPr="002045F5">
              <w:rPr>
                <w:sz w:val="22"/>
              </w:rPr>
              <w:t xml:space="preserve">Людський розвиток через інновації управління та довіру до влади. Формування сучасного інклюзивного  </w:t>
            </w:r>
            <w:proofErr w:type="spellStart"/>
            <w:r w:rsidRPr="002045F5">
              <w:rPr>
                <w:sz w:val="22"/>
              </w:rPr>
              <w:t>освітньо</w:t>
            </w:r>
            <w:proofErr w:type="spellEnd"/>
            <w:r w:rsidRPr="002045F5">
              <w:rPr>
                <w:sz w:val="22"/>
              </w:rPr>
              <w:t>-культурного та спортивного простору для розвитку</w:t>
            </w:r>
          </w:p>
        </w:tc>
      </w:tr>
      <w:tr w:rsidR="00BF26DA" w:rsidRPr="002045F5" w:rsidTr="00BF26DA">
        <w:trPr>
          <w:trHeight w:val="459"/>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BF26DA" w:rsidRPr="002045F5" w:rsidRDefault="00BF26DA" w:rsidP="00524DBF">
            <w:pPr>
              <w:autoSpaceDE w:val="0"/>
              <w:autoSpaceDN w:val="0"/>
              <w:adjustRightInd w:val="0"/>
              <w:rPr>
                <w:rFonts w:eastAsia="Calibri"/>
                <w:b/>
                <w:sz w:val="22"/>
              </w:rPr>
            </w:pPr>
            <w:r w:rsidRPr="002045F5">
              <w:rPr>
                <w:rFonts w:eastAsia="Calibri"/>
                <w:b/>
                <w:sz w:val="22"/>
              </w:rPr>
              <w:t>Назва проекту:</w:t>
            </w:r>
          </w:p>
        </w:tc>
        <w:tc>
          <w:tcPr>
            <w:tcW w:w="7177" w:type="dxa"/>
            <w:gridSpan w:val="7"/>
            <w:tcBorders>
              <w:top w:val="single" w:sz="6" w:space="0" w:color="auto"/>
              <w:left w:val="single" w:sz="6" w:space="0" w:color="auto"/>
              <w:bottom w:val="single" w:sz="6" w:space="0" w:color="auto"/>
              <w:right w:val="single" w:sz="6" w:space="0" w:color="auto"/>
            </w:tcBorders>
          </w:tcPr>
          <w:p w:rsidR="00BF26DA" w:rsidRPr="002045F5" w:rsidRDefault="00BF26DA" w:rsidP="00524DBF">
            <w:pPr>
              <w:autoSpaceDE w:val="0"/>
              <w:autoSpaceDN w:val="0"/>
              <w:adjustRightInd w:val="0"/>
              <w:rPr>
                <w:sz w:val="22"/>
              </w:rPr>
            </w:pPr>
            <w:r w:rsidRPr="002045F5">
              <w:rPr>
                <w:sz w:val="22"/>
              </w:rPr>
              <w:t xml:space="preserve">Капітальний ремонт будівлі Сєвєродонецького міжшкільного ресурсного центру за </w:t>
            </w:r>
            <w:proofErr w:type="spellStart"/>
            <w:r w:rsidRPr="002045F5">
              <w:rPr>
                <w:sz w:val="22"/>
              </w:rPr>
              <w:t>адресою</w:t>
            </w:r>
            <w:proofErr w:type="spellEnd"/>
            <w:r w:rsidRPr="002045F5">
              <w:rPr>
                <w:sz w:val="22"/>
              </w:rPr>
              <w:t xml:space="preserve"> проспект Центральний</w:t>
            </w:r>
            <w:r w:rsidR="005655C5" w:rsidRPr="002045F5">
              <w:rPr>
                <w:sz w:val="22"/>
              </w:rPr>
              <w:t>,</w:t>
            </w:r>
            <w:r w:rsidRPr="002045F5">
              <w:rPr>
                <w:sz w:val="22"/>
              </w:rPr>
              <w:t xml:space="preserve"> 19 </w:t>
            </w:r>
          </w:p>
        </w:tc>
      </w:tr>
      <w:tr w:rsidR="00BF26DA" w:rsidRPr="002045F5" w:rsidTr="00BF26DA">
        <w:trPr>
          <w:trHeight w:val="1069"/>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BF26DA" w:rsidRPr="002045F5" w:rsidRDefault="00BF26DA" w:rsidP="00524DBF">
            <w:pPr>
              <w:autoSpaceDE w:val="0"/>
              <w:autoSpaceDN w:val="0"/>
              <w:adjustRightInd w:val="0"/>
              <w:rPr>
                <w:rFonts w:eastAsia="Calibri"/>
                <w:b/>
                <w:sz w:val="22"/>
              </w:rPr>
            </w:pPr>
            <w:r w:rsidRPr="002045F5">
              <w:rPr>
                <w:rFonts w:eastAsia="Calibri"/>
                <w:b/>
                <w:sz w:val="22"/>
              </w:rPr>
              <w:t>Ціль проекту</w:t>
            </w:r>
          </w:p>
        </w:tc>
        <w:tc>
          <w:tcPr>
            <w:tcW w:w="7177" w:type="dxa"/>
            <w:gridSpan w:val="7"/>
            <w:tcBorders>
              <w:top w:val="single" w:sz="6" w:space="0" w:color="auto"/>
              <w:left w:val="single" w:sz="6" w:space="0" w:color="auto"/>
              <w:bottom w:val="single" w:sz="6" w:space="0" w:color="auto"/>
              <w:right w:val="single" w:sz="6" w:space="0" w:color="auto"/>
            </w:tcBorders>
          </w:tcPr>
          <w:p w:rsidR="00BF26DA" w:rsidRPr="002045F5" w:rsidRDefault="00BF26DA" w:rsidP="00524DBF">
            <w:pPr>
              <w:autoSpaceDE w:val="0"/>
              <w:autoSpaceDN w:val="0"/>
              <w:adjustRightInd w:val="0"/>
              <w:rPr>
                <w:sz w:val="22"/>
              </w:rPr>
            </w:pPr>
            <w:r w:rsidRPr="002045F5">
              <w:rPr>
                <w:sz w:val="22"/>
              </w:rPr>
              <w:t xml:space="preserve">Створення безпечних сприятливих умов для здійснення професійної підготовки здобувачів освіти і дорослого населення за професією </w:t>
            </w:r>
            <w:r w:rsidR="00AD292C" w:rsidRPr="002045F5">
              <w:rPr>
                <w:sz w:val="22"/>
              </w:rPr>
              <w:t>«В</w:t>
            </w:r>
            <w:r w:rsidRPr="002045F5">
              <w:rPr>
                <w:sz w:val="22"/>
              </w:rPr>
              <w:t>одій автотранспортних засобів</w:t>
            </w:r>
            <w:r w:rsidR="00AD292C" w:rsidRPr="002045F5">
              <w:rPr>
                <w:sz w:val="22"/>
              </w:rPr>
              <w:t>»</w:t>
            </w:r>
            <w:r w:rsidRPr="002045F5">
              <w:rPr>
                <w:sz w:val="22"/>
              </w:rPr>
              <w:t xml:space="preserve">; </w:t>
            </w:r>
          </w:p>
          <w:p w:rsidR="00BF26DA" w:rsidRPr="002045F5" w:rsidRDefault="00AD292C" w:rsidP="00524DBF">
            <w:pPr>
              <w:autoSpaceDE w:val="0"/>
              <w:autoSpaceDN w:val="0"/>
              <w:adjustRightInd w:val="0"/>
              <w:rPr>
                <w:sz w:val="22"/>
              </w:rPr>
            </w:pPr>
            <w:r w:rsidRPr="002045F5">
              <w:rPr>
                <w:sz w:val="22"/>
              </w:rPr>
              <w:t>в</w:t>
            </w:r>
            <w:r w:rsidR="00BF26DA" w:rsidRPr="002045F5">
              <w:rPr>
                <w:sz w:val="22"/>
              </w:rPr>
              <w:t>провадження ліцензійної освітньої діяльності у сфері професійної освіти здобувачів освіти і дорослого населення та надання на договірній основі відповідн</w:t>
            </w:r>
            <w:r w:rsidR="00344845" w:rsidRPr="002045F5">
              <w:rPr>
                <w:sz w:val="22"/>
              </w:rPr>
              <w:t>их</w:t>
            </w:r>
            <w:r w:rsidR="00BF26DA" w:rsidRPr="002045F5">
              <w:rPr>
                <w:sz w:val="22"/>
              </w:rPr>
              <w:t xml:space="preserve"> освітні</w:t>
            </w:r>
            <w:r w:rsidR="00344845" w:rsidRPr="002045F5">
              <w:rPr>
                <w:sz w:val="22"/>
              </w:rPr>
              <w:t>х</w:t>
            </w:r>
            <w:r w:rsidR="00BF26DA" w:rsidRPr="002045F5">
              <w:rPr>
                <w:sz w:val="22"/>
              </w:rPr>
              <w:t xml:space="preserve"> послуг за кошти фізичних або юридичних осіб; </w:t>
            </w:r>
          </w:p>
          <w:p w:rsidR="00BF26DA" w:rsidRPr="002045F5" w:rsidRDefault="00BF26DA" w:rsidP="00524DBF">
            <w:pPr>
              <w:autoSpaceDE w:val="0"/>
              <w:autoSpaceDN w:val="0"/>
              <w:adjustRightInd w:val="0"/>
              <w:rPr>
                <w:sz w:val="22"/>
              </w:rPr>
            </w:pPr>
            <w:r w:rsidRPr="002045F5">
              <w:rPr>
                <w:sz w:val="22"/>
              </w:rPr>
              <w:t>забезпечення реалізації права на здобуття загальноосвітньої, профорієнтаційної, профільної, допрофесійної та професійної освіти; для формування соціальної, комунікативної, інформаційної, технічної компетенції здобувачів освіти міста на допрофесійному рівні, спрямування їх щодо майбутньої професійної діяльності; для задоволення потреб Сєвєродонецької міської територіальної громади в профорієнтаційній, професійній, курсовій підготовці;</w:t>
            </w:r>
          </w:p>
          <w:p w:rsidR="00BF26DA" w:rsidRPr="002045F5" w:rsidRDefault="00BF26DA" w:rsidP="00524DBF">
            <w:pPr>
              <w:autoSpaceDE w:val="0"/>
              <w:autoSpaceDN w:val="0"/>
              <w:adjustRightInd w:val="0"/>
              <w:rPr>
                <w:sz w:val="22"/>
              </w:rPr>
            </w:pPr>
            <w:r w:rsidRPr="002045F5">
              <w:rPr>
                <w:sz w:val="22"/>
              </w:rPr>
              <w:t xml:space="preserve">капітальний ремонт будівлі, боксів, кабінетів, системи  </w:t>
            </w:r>
            <w:proofErr w:type="spellStart"/>
            <w:r w:rsidRPr="002045F5">
              <w:rPr>
                <w:sz w:val="22"/>
              </w:rPr>
              <w:t>електро</w:t>
            </w:r>
            <w:proofErr w:type="spellEnd"/>
            <w:r w:rsidRPr="002045F5">
              <w:rPr>
                <w:sz w:val="22"/>
              </w:rPr>
              <w:t>-, тепло- (заміна системи опалення), водопостачання та водовідведення;</w:t>
            </w:r>
          </w:p>
          <w:p w:rsidR="00BF26DA" w:rsidRPr="002045F5" w:rsidRDefault="00BF26DA" w:rsidP="00524DBF">
            <w:pPr>
              <w:autoSpaceDE w:val="0"/>
              <w:autoSpaceDN w:val="0"/>
              <w:adjustRightInd w:val="0"/>
              <w:rPr>
                <w:sz w:val="22"/>
              </w:rPr>
            </w:pPr>
            <w:r w:rsidRPr="002045F5">
              <w:rPr>
                <w:sz w:val="22"/>
              </w:rPr>
              <w:t>утеплення зовнішніх стін будівлі;</w:t>
            </w:r>
          </w:p>
          <w:p w:rsidR="00BF26DA" w:rsidRPr="002045F5" w:rsidRDefault="00BF26DA" w:rsidP="00524DBF">
            <w:pPr>
              <w:autoSpaceDE w:val="0"/>
              <w:autoSpaceDN w:val="0"/>
              <w:adjustRightInd w:val="0"/>
              <w:rPr>
                <w:rFonts w:eastAsia="Calibri"/>
                <w:sz w:val="22"/>
              </w:rPr>
            </w:pPr>
            <w:r w:rsidRPr="002045F5">
              <w:rPr>
                <w:sz w:val="22"/>
              </w:rPr>
              <w:t>заміна віконних та дверних блоків.</w:t>
            </w:r>
          </w:p>
        </w:tc>
      </w:tr>
      <w:tr w:rsidR="00BF26DA" w:rsidRPr="002045F5" w:rsidTr="00BF26DA">
        <w:trPr>
          <w:trHeight w:val="289"/>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BF26DA" w:rsidRPr="002045F5" w:rsidRDefault="00BF26DA" w:rsidP="00524DBF">
            <w:pPr>
              <w:autoSpaceDE w:val="0"/>
              <w:autoSpaceDN w:val="0"/>
              <w:adjustRightInd w:val="0"/>
              <w:rPr>
                <w:rFonts w:eastAsia="Calibri"/>
                <w:b/>
                <w:sz w:val="22"/>
              </w:rPr>
            </w:pPr>
            <w:r w:rsidRPr="002045F5">
              <w:rPr>
                <w:rFonts w:eastAsia="Calibri"/>
                <w:b/>
                <w:sz w:val="22"/>
              </w:rPr>
              <w:t>Територія, на яку матиме вплив реалізація проекту</w:t>
            </w:r>
          </w:p>
        </w:tc>
        <w:tc>
          <w:tcPr>
            <w:tcW w:w="7177" w:type="dxa"/>
            <w:gridSpan w:val="7"/>
            <w:tcBorders>
              <w:top w:val="single" w:sz="6" w:space="0" w:color="auto"/>
              <w:left w:val="single" w:sz="6" w:space="0" w:color="auto"/>
              <w:bottom w:val="single" w:sz="6" w:space="0" w:color="auto"/>
              <w:right w:val="single" w:sz="6" w:space="0" w:color="auto"/>
            </w:tcBorders>
          </w:tcPr>
          <w:p w:rsidR="00BF26DA" w:rsidRPr="002045F5" w:rsidRDefault="00BF26DA" w:rsidP="00524DBF">
            <w:pPr>
              <w:autoSpaceDE w:val="0"/>
              <w:autoSpaceDN w:val="0"/>
              <w:adjustRightInd w:val="0"/>
              <w:rPr>
                <w:rFonts w:eastAsia="Calibri"/>
                <w:sz w:val="22"/>
              </w:rPr>
            </w:pPr>
            <w:r w:rsidRPr="002045F5">
              <w:rPr>
                <w:rFonts w:eastAsia="Calibri"/>
                <w:sz w:val="22"/>
              </w:rPr>
              <w:t>Сєвєродонецька міська територіальна громада</w:t>
            </w:r>
          </w:p>
        </w:tc>
      </w:tr>
      <w:tr w:rsidR="00BF26DA" w:rsidRPr="002045F5" w:rsidTr="00BF26DA">
        <w:trPr>
          <w:trHeight w:val="280"/>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BF26DA" w:rsidRPr="002045F5" w:rsidRDefault="00BF26DA" w:rsidP="00524DBF">
            <w:pPr>
              <w:autoSpaceDE w:val="0"/>
              <w:autoSpaceDN w:val="0"/>
              <w:adjustRightInd w:val="0"/>
              <w:rPr>
                <w:rFonts w:eastAsia="Calibri"/>
                <w:b/>
                <w:sz w:val="22"/>
              </w:rPr>
            </w:pPr>
            <w:r w:rsidRPr="002045F5">
              <w:rPr>
                <w:rFonts w:eastAsia="Calibri"/>
                <w:b/>
                <w:sz w:val="22"/>
              </w:rPr>
              <w:t>Чисельність населення, на яке матиме вплив реалізація проекту</w:t>
            </w:r>
          </w:p>
        </w:tc>
        <w:tc>
          <w:tcPr>
            <w:tcW w:w="7177" w:type="dxa"/>
            <w:gridSpan w:val="7"/>
            <w:tcBorders>
              <w:top w:val="single" w:sz="6" w:space="0" w:color="auto"/>
              <w:left w:val="single" w:sz="6" w:space="0" w:color="auto"/>
              <w:bottom w:val="single" w:sz="6" w:space="0" w:color="auto"/>
              <w:right w:val="single" w:sz="6" w:space="0" w:color="auto"/>
            </w:tcBorders>
          </w:tcPr>
          <w:p w:rsidR="00BF26DA" w:rsidRPr="002045F5" w:rsidRDefault="00BF26DA" w:rsidP="00524DBF">
            <w:pPr>
              <w:autoSpaceDE w:val="0"/>
              <w:autoSpaceDN w:val="0"/>
              <w:adjustRightInd w:val="0"/>
              <w:rPr>
                <w:rFonts w:eastAsia="Calibri"/>
                <w:sz w:val="22"/>
              </w:rPr>
            </w:pPr>
            <w:r w:rsidRPr="002045F5">
              <w:rPr>
                <w:rFonts w:eastAsia="Calibri"/>
                <w:sz w:val="22"/>
              </w:rPr>
              <w:t>70 000 осіб</w:t>
            </w:r>
          </w:p>
        </w:tc>
      </w:tr>
      <w:tr w:rsidR="00BF26DA" w:rsidRPr="002045F5" w:rsidTr="00BF26DA">
        <w:trPr>
          <w:trHeight w:val="409"/>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BF26DA" w:rsidRPr="002045F5" w:rsidRDefault="00BF26DA" w:rsidP="00524DBF">
            <w:pPr>
              <w:autoSpaceDE w:val="0"/>
              <w:autoSpaceDN w:val="0"/>
              <w:adjustRightInd w:val="0"/>
              <w:rPr>
                <w:rFonts w:eastAsia="Calibri"/>
                <w:b/>
                <w:sz w:val="22"/>
              </w:rPr>
            </w:pPr>
            <w:r w:rsidRPr="002045F5">
              <w:rPr>
                <w:rFonts w:eastAsia="Calibri"/>
                <w:b/>
                <w:sz w:val="22"/>
              </w:rPr>
              <w:lastRenderedPageBreak/>
              <w:t>Опис проблеми, на вирішення якої спрямований проект</w:t>
            </w:r>
          </w:p>
        </w:tc>
        <w:tc>
          <w:tcPr>
            <w:tcW w:w="7177" w:type="dxa"/>
            <w:gridSpan w:val="7"/>
            <w:tcBorders>
              <w:top w:val="single" w:sz="6" w:space="0" w:color="auto"/>
              <w:left w:val="single" w:sz="6" w:space="0" w:color="auto"/>
              <w:bottom w:val="single" w:sz="6" w:space="0" w:color="auto"/>
              <w:right w:val="single" w:sz="6" w:space="0" w:color="auto"/>
            </w:tcBorders>
          </w:tcPr>
          <w:p w:rsidR="00BF26DA" w:rsidRPr="002045F5" w:rsidRDefault="00BF26DA" w:rsidP="00524DBF">
            <w:pPr>
              <w:shd w:val="clear" w:color="auto" w:fill="FFFFFF"/>
              <w:rPr>
                <w:sz w:val="22"/>
              </w:rPr>
            </w:pPr>
            <w:r w:rsidRPr="002045F5">
              <w:rPr>
                <w:sz w:val="22"/>
              </w:rPr>
              <w:t xml:space="preserve">Через воєнні дії </w:t>
            </w:r>
            <w:r w:rsidR="00DC6FB3" w:rsidRPr="002045F5">
              <w:rPr>
                <w:sz w:val="22"/>
              </w:rPr>
              <w:t xml:space="preserve"> РФ </w:t>
            </w:r>
            <w:r w:rsidRPr="002045F5">
              <w:rPr>
                <w:sz w:val="22"/>
              </w:rPr>
              <w:t xml:space="preserve"> навчальний корпус та бокси Сєвєродонецького міжшкільного ресурсного центру за </w:t>
            </w:r>
            <w:proofErr w:type="spellStart"/>
            <w:r w:rsidRPr="002045F5">
              <w:rPr>
                <w:sz w:val="22"/>
              </w:rPr>
              <w:t>адресою</w:t>
            </w:r>
            <w:proofErr w:type="spellEnd"/>
            <w:r w:rsidRPr="002045F5">
              <w:rPr>
                <w:sz w:val="22"/>
              </w:rPr>
              <w:t xml:space="preserve"> проспект Центральний</w:t>
            </w:r>
            <w:r w:rsidR="00CC3F3F" w:rsidRPr="002045F5">
              <w:rPr>
                <w:sz w:val="22"/>
              </w:rPr>
              <w:t>,</w:t>
            </w:r>
            <w:r w:rsidRPr="002045F5">
              <w:rPr>
                <w:sz w:val="22"/>
              </w:rPr>
              <w:t xml:space="preserve"> 19 частково пошкоджені. Для відновлення освітнього процесу необхідно </w:t>
            </w:r>
            <w:proofErr w:type="spellStart"/>
            <w:r w:rsidRPr="002045F5">
              <w:rPr>
                <w:sz w:val="22"/>
              </w:rPr>
              <w:t>капітально</w:t>
            </w:r>
            <w:proofErr w:type="spellEnd"/>
            <w:r w:rsidRPr="002045F5">
              <w:rPr>
                <w:sz w:val="22"/>
              </w:rPr>
              <w:t xml:space="preserve"> відремонтувати будівлю закладу з урахуванням енергоефективності. </w:t>
            </w:r>
          </w:p>
          <w:p w:rsidR="00BF26DA" w:rsidRPr="002045F5" w:rsidRDefault="00BF26DA" w:rsidP="00524DBF">
            <w:pPr>
              <w:shd w:val="clear" w:color="auto" w:fill="FFFFFF"/>
              <w:rPr>
                <w:sz w:val="22"/>
              </w:rPr>
            </w:pPr>
            <w:r w:rsidRPr="002045F5">
              <w:rPr>
                <w:sz w:val="22"/>
              </w:rPr>
              <w:t xml:space="preserve">Головна мета </w:t>
            </w:r>
            <w:proofErr w:type="spellStart"/>
            <w:r w:rsidRPr="002045F5">
              <w:rPr>
                <w:sz w:val="22"/>
              </w:rPr>
              <w:t>проєкту</w:t>
            </w:r>
            <w:proofErr w:type="spellEnd"/>
            <w:r w:rsidRPr="002045F5">
              <w:rPr>
                <w:sz w:val="22"/>
              </w:rPr>
              <w:t xml:space="preserve"> – створення комфортних безпечних умов перебування здобувачів освіти у закладі. </w:t>
            </w:r>
          </w:p>
          <w:p w:rsidR="00BF26DA" w:rsidRPr="002045F5" w:rsidRDefault="00BF26DA" w:rsidP="00971183">
            <w:pPr>
              <w:autoSpaceDE w:val="0"/>
              <w:autoSpaceDN w:val="0"/>
              <w:adjustRightInd w:val="0"/>
              <w:rPr>
                <w:rFonts w:eastAsia="Calibri"/>
                <w:sz w:val="22"/>
              </w:rPr>
            </w:pPr>
            <w:proofErr w:type="spellStart"/>
            <w:r w:rsidRPr="002045F5">
              <w:rPr>
                <w:sz w:val="22"/>
              </w:rPr>
              <w:t>Проєкт</w:t>
            </w:r>
            <w:proofErr w:type="spellEnd"/>
            <w:r w:rsidRPr="002045F5">
              <w:rPr>
                <w:sz w:val="22"/>
              </w:rPr>
              <w:t xml:space="preserve"> планується реалізувати шляхом підготовки </w:t>
            </w:r>
            <w:proofErr w:type="spellStart"/>
            <w:r w:rsidRPr="002045F5">
              <w:rPr>
                <w:sz w:val="22"/>
              </w:rPr>
              <w:t>проєктно</w:t>
            </w:r>
            <w:proofErr w:type="spellEnd"/>
            <w:r w:rsidRPr="002045F5">
              <w:rPr>
                <w:sz w:val="22"/>
              </w:rPr>
              <w:t xml:space="preserve">-кошторисної документації та отримання позитивного експертного звіту. Згідно з кошторисною документацією будуть виконані будівельно-монтажні роботи. </w:t>
            </w:r>
            <w:proofErr w:type="spellStart"/>
            <w:r w:rsidRPr="002045F5">
              <w:rPr>
                <w:sz w:val="22"/>
              </w:rPr>
              <w:t>Проєктом</w:t>
            </w:r>
            <w:proofErr w:type="spellEnd"/>
            <w:r w:rsidRPr="002045F5">
              <w:rPr>
                <w:sz w:val="22"/>
              </w:rPr>
              <w:t xml:space="preserve"> передбачено капітальний ремонт навчальних кабінетів, боксів, підлоги, каналізаційної системи, облаштування санвузлів, протипожежної системи, створення умов для дітей з особливими освітніми потребами. Для захисту інтересів маломобільних верств населення при вході до закладу буде встановлено пандус з метою обслуговування та безперешкодного доступу до приміщень. Також передбачається заміна віконних та дверних блоків, утеплення зовнішніх стін, перекриття енергозберігаючим теплоізоляційним матеріалом "ROCKWOOL", "SUPERROCK", встановлення тепловідбивної теплоізоляції між приладами опалення і зовнішньою стіною. Заплановано облаштування двору, капітальний ремонт мереж </w:t>
            </w:r>
            <w:proofErr w:type="spellStart"/>
            <w:r w:rsidRPr="002045F5">
              <w:rPr>
                <w:sz w:val="22"/>
              </w:rPr>
              <w:t>електро</w:t>
            </w:r>
            <w:proofErr w:type="spellEnd"/>
            <w:r w:rsidRPr="002045F5">
              <w:rPr>
                <w:sz w:val="22"/>
              </w:rPr>
              <w:t>-, тепло-, водопостачання та водовідведення, реконструкція зовнішнього освітлення.</w:t>
            </w:r>
          </w:p>
        </w:tc>
      </w:tr>
      <w:tr w:rsidR="00BF26DA" w:rsidRPr="002045F5" w:rsidTr="00BF26DA">
        <w:trPr>
          <w:trHeight w:val="660"/>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BF26DA" w:rsidRPr="002045F5" w:rsidRDefault="00BF26DA" w:rsidP="00524DBF">
            <w:pPr>
              <w:autoSpaceDE w:val="0"/>
              <w:autoSpaceDN w:val="0"/>
              <w:adjustRightInd w:val="0"/>
              <w:rPr>
                <w:rFonts w:eastAsia="Calibri"/>
                <w:b/>
                <w:sz w:val="22"/>
              </w:rPr>
            </w:pPr>
            <w:r w:rsidRPr="002045F5">
              <w:rPr>
                <w:rFonts w:eastAsia="Calibri"/>
                <w:b/>
                <w:sz w:val="22"/>
              </w:rPr>
              <w:t>Очікувані якісні результати від реалізації проекту</w:t>
            </w:r>
          </w:p>
          <w:p w:rsidR="00BF26DA" w:rsidRPr="002045F5" w:rsidRDefault="00BF26DA" w:rsidP="00524DBF">
            <w:pPr>
              <w:autoSpaceDE w:val="0"/>
              <w:autoSpaceDN w:val="0"/>
              <w:adjustRightInd w:val="0"/>
              <w:rPr>
                <w:rFonts w:eastAsia="Calibri"/>
                <w:b/>
                <w:sz w:val="22"/>
              </w:rPr>
            </w:pPr>
          </w:p>
        </w:tc>
        <w:tc>
          <w:tcPr>
            <w:tcW w:w="7177" w:type="dxa"/>
            <w:gridSpan w:val="7"/>
            <w:tcBorders>
              <w:top w:val="single" w:sz="6" w:space="0" w:color="auto"/>
              <w:left w:val="single" w:sz="6" w:space="0" w:color="auto"/>
              <w:bottom w:val="single" w:sz="6" w:space="0" w:color="auto"/>
              <w:right w:val="single" w:sz="6" w:space="0" w:color="auto"/>
            </w:tcBorders>
          </w:tcPr>
          <w:p w:rsidR="00BF26DA" w:rsidRPr="002045F5" w:rsidRDefault="00BF26DA" w:rsidP="000303D7">
            <w:pPr>
              <w:numPr>
                <w:ilvl w:val="0"/>
                <w:numId w:val="129"/>
              </w:numPr>
              <w:shd w:val="clear" w:color="auto" w:fill="FFFFFF"/>
              <w:ind w:left="236" w:hanging="236"/>
              <w:rPr>
                <w:sz w:val="22"/>
                <w:vertAlign w:val="superscript"/>
              </w:rPr>
            </w:pPr>
            <w:r w:rsidRPr="002045F5">
              <w:rPr>
                <w:sz w:val="22"/>
              </w:rPr>
              <w:t>Обстеження стану будівлі</w:t>
            </w:r>
          </w:p>
          <w:p w:rsidR="00BF26DA" w:rsidRPr="002045F5" w:rsidRDefault="00BF26DA" w:rsidP="000303D7">
            <w:pPr>
              <w:numPr>
                <w:ilvl w:val="0"/>
                <w:numId w:val="129"/>
              </w:numPr>
              <w:shd w:val="clear" w:color="auto" w:fill="FFFFFF"/>
              <w:ind w:left="236" w:hanging="236"/>
              <w:rPr>
                <w:sz w:val="22"/>
              </w:rPr>
            </w:pPr>
            <w:r w:rsidRPr="002045F5">
              <w:rPr>
                <w:sz w:val="22"/>
              </w:rPr>
              <w:t>Відновлення освітнього процесу</w:t>
            </w:r>
          </w:p>
          <w:p w:rsidR="00BF26DA" w:rsidRPr="002045F5" w:rsidRDefault="00BF26DA" w:rsidP="000303D7">
            <w:pPr>
              <w:numPr>
                <w:ilvl w:val="0"/>
                <w:numId w:val="129"/>
              </w:numPr>
              <w:shd w:val="clear" w:color="auto" w:fill="FFFFFF"/>
              <w:ind w:left="236" w:hanging="236"/>
              <w:rPr>
                <w:sz w:val="22"/>
              </w:rPr>
            </w:pPr>
            <w:r w:rsidRPr="002045F5">
              <w:rPr>
                <w:sz w:val="22"/>
              </w:rPr>
              <w:t>Надання освітніх послуг членам нашої громади</w:t>
            </w:r>
          </w:p>
        </w:tc>
      </w:tr>
      <w:tr w:rsidR="00BF26DA" w:rsidRPr="002045F5" w:rsidTr="00BF26DA">
        <w:trPr>
          <w:trHeight w:val="578"/>
        </w:trPr>
        <w:tc>
          <w:tcPr>
            <w:tcW w:w="2865" w:type="dxa"/>
            <w:vMerge w:val="restart"/>
            <w:tcBorders>
              <w:top w:val="single" w:sz="6" w:space="0" w:color="auto"/>
              <w:left w:val="single" w:sz="6" w:space="0" w:color="auto"/>
              <w:right w:val="single" w:sz="6" w:space="0" w:color="auto"/>
            </w:tcBorders>
            <w:shd w:val="clear" w:color="00FFFF" w:fill="C6D9F1" w:themeFill="text2" w:themeFillTint="33"/>
          </w:tcPr>
          <w:p w:rsidR="00BF26DA" w:rsidRPr="002045F5" w:rsidRDefault="00BF26DA" w:rsidP="00524DBF">
            <w:pPr>
              <w:autoSpaceDE w:val="0"/>
              <w:autoSpaceDN w:val="0"/>
              <w:adjustRightInd w:val="0"/>
              <w:rPr>
                <w:rFonts w:eastAsia="Calibri"/>
                <w:b/>
                <w:sz w:val="22"/>
              </w:rPr>
            </w:pPr>
            <w:r w:rsidRPr="002045F5">
              <w:rPr>
                <w:rFonts w:eastAsia="Calibri"/>
                <w:b/>
                <w:sz w:val="22"/>
              </w:rPr>
              <w:t>Очікувані кількісні результати від реалізації проекту  (індикатори)</w:t>
            </w:r>
          </w:p>
        </w:tc>
        <w:tc>
          <w:tcPr>
            <w:tcW w:w="3718" w:type="dxa"/>
            <w:gridSpan w:val="3"/>
            <w:tcBorders>
              <w:top w:val="single" w:sz="6" w:space="0" w:color="auto"/>
              <w:left w:val="single" w:sz="6" w:space="0" w:color="auto"/>
              <w:bottom w:val="single" w:sz="6" w:space="0" w:color="auto"/>
              <w:right w:val="single" w:sz="6" w:space="0" w:color="auto"/>
            </w:tcBorders>
          </w:tcPr>
          <w:p w:rsidR="00BF26DA" w:rsidRPr="002045F5" w:rsidRDefault="00BF26DA" w:rsidP="00524DBF">
            <w:pPr>
              <w:autoSpaceDE w:val="0"/>
              <w:autoSpaceDN w:val="0"/>
              <w:adjustRightInd w:val="0"/>
              <w:jc w:val="center"/>
              <w:rPr>
                <w:rFonts w:eastAsia="Calibri"/>
                <w:b/>
                <w:sz w:val="22"/>
              </w:rPr>
            </w:pPr>
            <w:r w:rsidRPr="002045F5">
              <w:rPr>
                <w:rFonts w:eastAsia="Calibri"/>
                <w:b/>
                <w:sz w:val="22"/>
              </w:rPr>
              <w:t>Найменування показника</w:t>
            </w:r>
          </w:p>
        </w:tc>
        <w:tc>
          <w:tcPr>
            <w:tcW w:w="1666" w:type="dxa"/>
            <w:gridSpan w:val="2"/>
            <w:tcBorders>
              <w:top w:val="single" w:sz="6" w:space="0" w:color="auto"/>
              <w:left w:val="single" w:sz="6" w:space="0" w:color="auto"/>
              <w:bottom w:val="single" w:sz="6" w:space="0" w:color="auto"/>
              <w:right w:val="single" w:sz="6" w:space="0" w:color="auto"/>
            </w:tcBorders>
          </w:tcPr>
          <w:p w:rsidR="00BF26DA" w:rsidRPr="002045F5" w:rsidRDefault="00BF26DA" w:rsidP="00524DBF">
            <w:pPr>
              <w:autoSpaceDE w:val="0"/>
              <w:autoSpaceDN w:val="0"/>
              <w:adjustRightInd w:val="0"/>
              <w:jc w:val="center"/>
              <w:rPr>
                <w:rFonts w:eastAsia="Calibri"/>
                <w:b/>
                <w:color w:val="000000"/>
                <w:sz w:val="22"/>
              </w:rPr>
            </w:pPr>
            <w:r w:rsidRPr="002045F5">
              <w:rPr>
                <w:rFonts w:eastAsia="Calibri"/>
                <w:b/>
                <w:color w:val="000000"/>
                <w:sz w:val="22"/>
              </w:rPr>
              <w:t>Одиниця вимірювання</w:t>
            </w:r>
          </w:p>
        </w:tc>
        <w:tc>
          <w:tcPr>
            <w:tcW w:w="1793" w:type="dxa"/>
            <w:gridSpan w:val="2"/>
            <w:tcBorders>
              <w:top w:val="single" w:sz="6" w:space="0" w:color="auto"/>
              <w:left w:val="single" w:sz="6" w:space="0" w:color="auto"/>
              <w:bottom w:val="single" w:sz="6" w:space="0" w:color="auto"/>
              <w:right w:val="single" w:sz="6" w:space="0" w:color="auto"/>
            </w:tcBorders>
          </w:tcPr>
          <w:p w:rsidR="00BF26DA" w:rsidRPr="002045F5" w:rsidRDefault="00BF26DA" w:rsidP="00524DBF">
            <w:pPr>
              <w:autoSpaceDE w:val="0"/>
              <w:autoSpaceDN w:val="0"/>
              <w:adjustRightInd w:val="0"/>
              <w:jc w:val="center"/>
              <w:rPr>
                <w:rFonts w:eastAsia="Calibri"/>
                <w:b/>
                <w:sz w:val="22"/>
              </w:rPr>
            </w:pPr>
            <w:r w:rsidRPr="002045F5">
              <w:rPr>
                <w:rFonts w:eastAsia="Calibri"/>
                <w:b/>
                <w:sz w:val="22"/>
              </w:rPr>
              <w:t>Прогнозне (цільове) значення</w:t>
            </w:r>
          </w:p>
        </w:tc>
      </w:tr>
      <w:tr w:rsidR="00BF26DA" w:rsidRPr="002045F5" w:rsidTr="00BF26DA">
        <w:trPr>
          <w:trHeight w:val="289"/>
        </w:trPr>
        <w:tc>
          <w:tcPr>
            <w:tcW w:w="2865" w:type="dxa"/>
            <w:vMerge/>
            <w:tcBorders>
              <w:left w:val="single" w:sz="6" w:space="0" w:color="auto"/>
              <w:right w:val="single" w:sz="6" w:space="0" w:color="auto"/>
            </w:tcBorders>
            <w:shd w:val="clear" w:color="00FFFF" w:fill="C6D9F1" w:themeFill="text2" w:themeFillTint="33"/>
          </w:tcPr>
          <w:p w:rsidR="00BF26DA" w:rsidRPr="002045F5" w:rsidRDefault="00BF26DA" w:rsidP="00524DBF">
            <w:pPr>
              <w:autoSpaceDE w:val="0"/>
              <w:autoSpaceDN w:val="0"/>
              <w:adjustRightInd w:val="0"/>
              <w:rPr>
                <w:rFonts w:eastAsia="Calibri"/>
                <w:b/>
                <w:sz w:val="22"/>
              </w:rPr>
            </w:pPr>
          </w:p>
        </w:tc>
        <w:tc>
          <w:tcPr>
            <w:tcW w:w="3718" w:type="dxa"/>
            <w:gridSpan w:val="3"/>
            <w:tcBorders>
              <w:top w:val="single" w:sz="6" w:space="0" w:color="auto"/>
              <w:left w:val="single" w:sz="6" w:space="0" w:color="auto"/>
              <w:right w:val="single" w:sz="6" w:space="0" w:color="auto"/>
            </w:tcBorders>
          </w:tcPr>
          <w:p w:rsidR="00BF26DA" w:rsidRPr="002045F5" w:rsidRDefault="00BF26DA" w:rsidP="00524DBF">
            <w:pPr>
              <w:autoSpaceDE w:val="0"/>
              <w:autoSpaceDN w:val="0"/>
              <w:adjustRightInd w:val="0"/>
              <w:rPr>
                <w:rFonts w:eastAsia="Calibri"/>
                <w:sz w:val="22"/>
              </w:rPr>
            </w:pPr>
            <w:r w:rsidRPr="002045F5">
              <w:rPr>
                <w:color w:val="000000"/>
                <w:sz w:val="22"/>
              </w:rPr>
              <w:t>Капітальний ремонт дах</w:t>
            </w:r>
            <w:r w:rsidR="00770B60" w:rsidRPr="002045F5">
              <w:rPr>
                <w:color w:val="000000"/>
                <w:sz w:val="22"/>
              </w:rPr>
              <w:t>у</w:t>
            </w:r>
            <w:r w:rsidRPr="002045F5">
              <w:rPr>
                <w:color w:val="000000"/>
                <w:sz w:val="22"/>
              </w:rPr>
              <w:t xml:space="preserve"> навчального корпусу</w:t>
            </w:r>
          </w:p>
        </w:tc>
        <w:tc>
          <w:tcPr>
            <w:tcW w:w="1666" w:type="dxa"/>
            <w:gridSpan w:val="2"/>
            <w:tcBorders>
              <w:top w:val="single" w:sz="6" w:space="0" w:color="auto"/>
              <w:left w:val="single" w:sz="6" w:space="0" w:color="auto"/>
              <w:right w:val="single" w:sz="6" w:space="0" w:color="auto"/>
            </w:tcBorders>
          </w:tcPr>
          <w:p w:rsidR="00BF26DA" w:rsidRPr="002045F5" w:rsidRDefault="00BF26DA" w:rsidP="00524DBF">
            <w:pPr>
              <w:autoSpaceDE w:val="0"/>
              <w:autoSpaceDN w:val="0"/>
              <w:adjustRightInd w:val="0"/>
              <w:jc w:val="center"/>
              <w:rPr>
                <w:color w:val="000000"/>
                <w:sz w:val="22"/>
              </w:rPr>
            </w:pPr>
            <w:proofErr w:type="spellStart"/>
            <w:r w:rsidRPr="002045F5">
              <w:rPr>
                <w:color w:val="000000"/>
                <w:sz w:val="22"/>
              </w:rPr>
              <w:t>кв.м</w:t>
            </w:r>
            <w:proofErr w:type="spellEnd"/>
          </w:p>
        </w:tc>
        <w:tc>
          <w:tcPr>
            <w:tcW w:w="1793" w:type="dxa"/>
            <w:gridSpan w:val="2"/>
            <w:tcBorders>
              <w:top w:val="single" w:sz="6" w:space="0" w:color="auto"/>
              <w:left w:val="single" w:sz="6" w:space="0" w:color="auto"/>
              <w:right w:val="single" w:sz="6" w:space="0" w:color="auto"/>
            </w:tcBorders>
          </w:tcPr>
          <w:p w:rsidR="00BF26DA" w:rsidRPr="002045F5" w:rsidRDefault="00BF26DA" w:rsidP="00524DBF">
            <w:pPr>
              <w:autoSpaceDE w:val="0"/>
              <w:autoSpaceDN w:val="0"/>
              <w:adjustRightInd w:val="0"/>
              <w:jc w:val="center"/>
              <w:rPr>
                <w:color w:val="000000"/>
                <w:sz w:val="22"/>
              </w:rPr>
            </w:pPr>
            <w:r w:rsidRPr="002045F5">
              <w:rPr>
                <w:color w:val="000000"/>
                <w:sz w:val="22"/>
              </w:rPr>
              <w:t>254,9</w:t>
            </w:r>
          </w:p>
        </w:tc>
      </w:tr>
      <w:tr w:rsidR="00BF26DA" w:rsidRPr="002045F5" w:rsidTr="00BF26DA">
        <w:trPr>
          <w:trHeight w:val="276"/>
        </w:trPr>
        <w:tc>
          <w:tcPr>
            <w:tcW w:w="2865" w:type="dxa"/>
            <w:vMerge/>
            <w:tcBorders>
              <w:left w:val="single" w:sz="6" w:space="0" w:color="auto"/>
              <w:right w:val="single" w:sz="6" w:space="0" w:color="auto"/>
            </w:tcBorders>
            <w:shd w:val="clear" w:color="00FFFF" w:fill="C6D9F1" w:themeFill="text2" w:themeFillTint="33"/>
          </w:tcPr>
          <w:p w:rsidR="00BF26DA" w:rsidRPr="002045F5" w:rsidRDefault="00BF26DA" w:rsidP="00524DBF">
            <w:pPr>
              <w:autoSpaceDE w:val="0"/>
              <w:autoSpaceDN w:val="0"/>
              <w:adjustRightInd w:val="0"/>
              <w:rPr>
                <w:rFonts w:eastAsia="Calibri"/>
                <w:b/>
                <w:sz w:val="22"/>
              </w:rPr>
            </w:pPr>
          </w:p>
        </w:tc>
        <w:tc>
          <w:tcPr>
            <w:tcW w:w="3718" w:type="dxa"/>
            <w:gridSpan w:val="3"/>
            <w:tcBorders>
              <w:left w:val="single" w:sz="6" w:space="0" w:color="auto"/>
              <w:right w:val="single" w:sz="6" w:space="0" w:color="auto"/>
            </w:tcBorders>
          </w:tcPr>
          <w:p w:rsidR="00BF26DA" w:rsidRPr="002045F5" w:rsidRDefault="00BF26DA" w:rsidP="00524DBF">
            <w:pPr>
              <w:autoSpaceDE w:val="0"/>
              <w:autoSpaceDN w:val="0"/>
              <w:adjustRightInd w:val="0"/>
              <w:rPr>
                <w:color w:val="000000"/>
                <w:sz w:val="22"/>
              </w:rPr>
            </w:pPr>
            <w:r w:rsidRPr="002045F5">
              <w:rPr>
                <w:color w:val="000000"/>
                <w:sz w:val="22"/>
              </w:rPr>
              <w:t>Капітальний ремонт дах</w:t>
            </w:r>
            <w:r w:rsidR="00770B60" w:rsidRPr="002045F5">
              <w:rPr>
                <w:color w:val="000000"/>
                <w:sz w:val="22"/>
              </w:rPr>
              <w:t>у</w:t>
            </w:r>
            <w:r w:rsidRPr="002045F5">
              <w:rPr>
                <w:color w:val="000000"/>
                <w:sz w:val="22"/>
              </w:rPr>
              <w:t xml:space="preserve"> гаражів</w:t>
            </w:r>
          </w:p>
        </w:tc>
        <w:tc>
          <w:tcPr>
            <w:tcW w:w="1666" w:type="dxa"/>
            <w:gridSpan w:val="2"/>
            <w:tcBorders>
              <w:left w:val="single" w:sz="6" w:space="0" w:color="auto"/>
              <w:right w:val="single" w:sz="6" w:space="0" w:color="auto"/>
            </w:tcBorders>
          </w:tcPr>
          <w:p w:rsidR="00BF26DA" w:rsidRPr="002045F5" w:rsidRDefault="00BF26DA" w:rsidP="00524DBF">
            <w:pPr>
              <w:autoSpaceDE w:val="0"/>
              <w:autoSpaceDN w:val="0"/>
              <w:adjustRightInd w:val="0"/>
              <w:jc w:val="center"/>
              <w:rPr>
                <w:color w:val="000000"/>
                <w:sz w:val="22"/>
              </w:rPr>
            </w:pPr>
            <w:proofErr w:type="spellStart"/>
            <w:r w:rsidRPr="002045F5">
              <w:rPr>
                <w:color w:val="000000"/>
                <w:sz w:val="22"/>
              </w:rPr>
              <w:t>кв.м</w:t>
            </w:r>
            <w:proofErr w:type="spellEnd"/>
          </w:p>
        </w:tc>
        <w:tc>
          <w:tcPr>
            <w:tcW w:w="1793" w:type="dxa"/>
            <w:gridSpan w:val="2"/>
            <w:tcBorders>
              <w:left w:val="single" w:sz="6" w:space="0" w:color="auto"/>
              <w:right w:val="single" w:sz="6" w:space="0" w:color="auto"/>
            </w:tcBorders>
          </w:tcPr>
          <w:p w:rsidR="00BF26DA" w:rsidRPr="002045F5" w:rsidRDefault="00BF26DA" w:rsidP="00524DBF">
            <w:pPr>
              <w:autoSpaceDE w:val="0"/>
              <w:autoSpaceDN w:val="0"/>
              <w:adjustRightInd w:val="0"/>
              <w:jc w:val="center"/>
              <w:rPr>
                <w:color w:val="000000"/>
                <w:sz w:val="22"/>
              </w:rPr>
            </w:pPr>
            <w:r w:rsidRPr="002045F5">
              <w:rPr>
                <w:color w:val="000000"/>
                <w:sz w:val="22"/>
              </w:rPr>
              <w:t>275,7</w:t>
            </w:r>
          </w:p>
        </w:tc>
      </w:tr>
      <w:tr w:rsidR="00BF26DA" w:rsidRPr="002045F5" w:rsidTr="00BF26DA">
        <w:trPr>
          <w:trHeight w:val="132"/>
        </w:trPr>
        <w:tc>
          <w:tcPr>
            <w:tcW w:w="2865" w:type="dxa"/>
            <w:vMerge/>
            <w:tcBorders>
              <w:left w:val="single" w:sz="6" w:space="0" w:color="auto"/>
              <w:right w:val="single" w:sz="6" w:space="0" w:color="auto"/>
            </w:tcBorders>
            <w:shd w:val="clear" w:color="00FFFF" w:fill="C6D9F1" w:themeFill="text2" w:themeFillTint="33"/>
          </w:tcPr>
          <w:p w:rsidR="00BF26DA" w:rsidRPr="002045F5" w:rsidRDefault="00BF26DA" w:rsidP="00524DBF">
            <w:pPr>
              <w:autoSpaceDE w:val="0"/>
              <w:autoSpaceDN w:val="0"/>
              <w:adjustRightInd w:val="0"/>
              <w:rPr>
                <w:rFonts w:eastAsia="Calibri"/>
                <w:b/>
                <w:sz w:val="22"/>
              </w:rPr>
            </w:pPr>
          </w:p>
        </w:tc>
        <w:tc>
          <w:tcPr>
            <w:tcW w:w="3718" w:type="dxa"/>
            <w:gridSpan w:val="3"/>
            <w:tcBorders>
              <w:left w:val="single" w:sz="6" w:space="0" w:color="auto"/>
              <w:right w:val="single" w:sz="6" w:space="0" w:color="auto"/>
            </w:tcBorders>
          </w:tcPr>
          <w:p w:rsidR="00BF26DA" w:rsidRPr="002045F5" w:rsidRDefault="00BF26DA" w:rsidP="00524DBF">
            <w:pPr>
              <w:autoSpaceDE w:val="0"/>
              <w:autoSpaceDN w:val="0"/>
              <w:adjustRightInd w:val="0"/>
              <w:rPr>
                <w:sz w:val="22"/>
              </w:rPr>
            </w:pPr>
            <w:r w:rsidRPr="002045F5">
              <w:rPr>
                <w:sz w:val="22"/>
              </w:rPr>
              <w:t>Заміна вікон</w:t>
            </w:r>
          </w:p>
        </w:tc>
        <w:tc>
          <w:tcPr>
            <w:tcW w:w="1666" w:type="dxa"/>
            <w:gridSpan w:val="2"/>
            <w:tcBorders>
              <w:left w:val="single" w:sz="6" w:space="0" w:color="auto"/>
              <w:right w:val="single" w:sz="6" w:space="0" w:color="auto"/>
            </w:tcBorders>
          </w:tcPr>
          <w:p w:rsidR="00BF26DA" w:rsidRPr="002045F5" w:rsidRDefault="00BF26DA" w:rsidP="00524DBF">
            <w:pPr>
              <w:autoSpaceDE w:val="0"/>
              <w:autoSpaceDN w:val="0"/>
              <w:adjustRightInd w:val="0"/>
              <w:jc w:val="center"/>
              <w:rPr>
                <w:color w:val="000000"/>
                <w:sz w:val="22"/>
              </w:rPr>
            </w:pPr>
            <w:r w:rsidRPr="002045F5">
              <w:rPr>
                <w:rFonts w:eastAsia="Calibri"/>
                <w:sz w:val="22"/>
              </w:rPr>
              <w:t>одиниць</w:t>
            </w:r>
          </w:p>
        </w:tc>
        <w:tc>
          <w:tcPr>
            <w:tcW w:w="1793" w:type="dxa"/>
            <w:gridSpan w:val="2"/>
            <w:tcBorders>
              <w:left w:val="single" w:sz="6" w:space="0" w:color="auto"/>
              <w:right w:val="single" w:sz="6" w:space="0" w:color="auto"/>
            </w:tcBorders>
          </w:tcPr>
          <w:p w:rsidR="00BF26DA" w:rsidRPr="002045F5" w:rsidRDefault="00BF26DA" w:rsidP="00524DBF">
            <w:pPr>
              <w:autoSpaceDE w:val="0"/>
              <w:autoSpaceDN w:val="0"/>
              <w:adjustRightInd w:val="0"/>
              <w:jc w:val="center"/>
              <w:rPr>
                <w:color w:val="000000"/>
                <w:sz w:val="22"/>
              </w:rPr>
            </w:pPr>
            <w:r w:rsidRPr="002045F5">
              <w:rPr>
                <w:color w:val="000000"/>
                <w:sz w:val="22"/>
              </w:rPr>
              <w:t>45</w:t>
            </w:r>
          </w:p>
        </w:tc>
      </w:tr>
      <w:tr w:rsidR="00BF26DA" w:rsidRPr="002045F5" w:rsidTr="00BF26DA">
        <w:trPr>
          <w:trHeight w:val="289"/>
        </w:trPr>
        <w:tc>
          <w:tcPr>
            <w:tcW w:w="2865" w:type="dxa"/>
            <w:vMerge/>
            <w:tcBorders>
              <w:left w:val="single" w:sz="6" w:space="0" w:color="auto"/>
              <w:right w:val="single" w:sz="6" w:space="0" w:color="auto"/>
            </w:tcBorders>
            <w:shd w:val="clear" w:color="00FFFF" w:fill="C6D9F1" w:themeFill="text2" w:themeFillTint="33"/>
          </w:tcPr>
          <w:p w:rsidR="00BF26DA" w:rsidRPr="002045F5" w:rsidRDefault="00BF26DA" w:rsidP="00524DBF">
            <w:pPr>
              <w:autoSpaceDE w:val="0"/>
              <w:autoSpaceDN w:val="0"/>
              <w:adjustRightInd w:val="0"/>
              <w:rPr>
                <w:rFonts w:eastAsia="Calibri"/>
                <w:b/>
                <w:sz w:val="22"/>
              </w:rPr>
            </w:pPr>
          </w:p>
        </w:tc>
        <w:tc>
          <w:tcPr>
            <w:tcW w:w="3718" w:type="dxa"/>
            <w:gridSpan w:val="3"/>
            <w:tcBorders>
              <w:left w:val="single" w:sz="6" w:space="0" w:color="auto"/>
              <w:right w:val="single" w:sz="6" w:space="0" w:color="auto"/>
            </w:tcBorders>
            <w:vAlign w:val="bottom"/>
          </w:tcPr>
          <w:p w:rsidR="00BF26DA" w:rsidRPr="002045F5" w:rsidRDefault="00BF26DA" w:rsidP="00524DBF">
            <w:pPr>
              <w:autoSpaceDE w:val="0"/>
              <w:autoSpaceDN w:val="0"/>
              <w:adjustRightInd w:val="0"/>
              <w:rPr>
                <w:sz w:val="22"/>
              </w:rPr>
            </w:pPr>
            <w:r w:rsidRPr="002045F5">
              <w:rPr>
                <w:sz w:val="22"/>
              </w:rPr>
              <w:t>Заміна дверей</w:t>
            </w:r>
          </w:p>
        </w:tc>
        <w:tc>
          <w:tcPr>
            <w:tcW w:w="1666" w:type="dxa"/>
            <w:gridSpan w:val="2"/>
            <w:tcBorders>
              <w:left w:val="single" w:sz="6" w:space="0" w:color="auto"/>
              <w:right w:val="single" w:sz="6" w:space="0" w:color="auto"/>
            </w:tcBorders>
          </w:tcPr>
          <w:p w:rsidR="00BF26DA" w:rsidRPr="002045F5" w:rsidRDefault="00BF26DA" w:rsidP="00524DBF">
            <w:pPr>
              <w:autoSpaceDE w:val="0"/>
              <w:autoSpaceDN w:val="0"/>
              <w:adjustRightInd w:val="0"/>
              <w:jc w:val="center"/>
              <w:rPr>
                <w:color w:val="000000"/>
                <w:sz w:val="22"/>
              </w:rPr>
            </w:pPr>
            <w:r w:rsidRPr="002045F5">
              <w:rPr>
                <w:rFonts w:eastAsia="Calibri"/>
                <w:sz w:val="22"/>
              </w:rPr>
              <w:t>одиниць</w:t>
            </w:r>
          </w:p>
        </w:tc>
        <w:tc>
          <w:tcPr>
            <w:tcW w:w="1793" w:type="dxa"/>
            <w:gridSpan w:val="2"/>
            <w:tcBorders>
              <w:left w:val="single" w:sz="6" w:space="0" w:color="auto"/>
              <w:right w:val="single" w:sz="6" w:space="0" w:color="auto"/>
            </w:tcBorders>
          </w:tcPr>
          <w:p w:rsidR="00BF26DA" w:rsidRPr="002045F5" w:rsidRDefault="00BF26DA" w:rsidP="00524DBF">
            <w:pPr>
              <w:autoSpaceDE w:val="0"/>
              <w:autoSpaceDN w:val="0"/>
              <w:adjustRightInd w:val="0"/>
              <w:jc w:val="center"/>
              <w:rPr>
                <w:color w:val="000000"/>
                <w:sz w:val="22"/>
              </w:rPr>
            </w:pPr>
            <w:r w:rsidRPr="002045F5">
              <w:rPr>
                <w:color w:val="000000"/>
                <w:sz w:val="22"/>
              </w:rPr>
              <w:t>15</w:t>
            </w:r>
          </w:p>
        </w:tc>
      </w:tr>
      <w:tr w:rsidR="00BF26DA" w:rsidRPr="002045F5" w:rsidTr="00BF26DA">
        <w:trPr>
          <w:trHeight w:val="289"/>
        </w:trPr>
        <w:tc>
          <w:tcPr>
            <w:tcW w:w="2865" w:type="dxa"/>
            <w:vMerge/>
            <w:tcBorders>
              <w:left w:val="single" w:sz="6" w:space="0" w:color="auto"/>
              <w:right w:val="single" w:sz="6" w:space="0" w:color="auto"/>
            </w:tcBorders>
            <w:shd w:val="clear" w:color="00FFFF" w:fill="C6D9F1" w:themeFill="text2" w:themeFillTint="33"/>
          </w:tcPr>
          <w:p w:rsidR="00BF26DA" w:rsidRPr="002045F5" w:rsidRDefault="00BF26DA" w:rsidP="00524DBF">
            <w:pPr>
              <w:autoSpaceDE w:val="0"/>
              <w:autoSpaceDN w:val="0"/>
              <w:adjustRightInd w:val="0"/>
              <w:rPr>
                <w:rFonts w:eastAsia="Calibri"/>
                <w:b/>
                <w:sz w:val="22"/>
              </w:rPr>
            </w:pPr>
          </w:p>
        </w:tc>
        <w:tc>
          <w:tcPr>
            <w:tcW w:w="3718" w:type="dxa"/>
            <w:gridSpan w:val="3"/>
            <w:tcBorders>
              <w:left w:val="single" w:sz="6" w:space="0" w:color="auto"/>
              <w:right w:val="single" w:sz="6" w:space="0" w:color="auto"/>
            </w:tcBorders>
          </w:tcPr>
          <w:p w:rsidR="00BF26DA" w:rsidRPr="002045F5" w:rsidRDefault="00BF26DA" w:rsidP="00524DBF">
            <w:pPr>
              <w:autoSpaceDE w:val="0"/>
              <w:autoSpaceDN w:val="0"/>
              <w:adjustRightInd w:val="0"/>
              <w:rPr>
                <w:color w:val="000000"/>
                <w:sz w:val="22"/>
              </w:rPr>
            </w:pPr>
            <w:r w:rsidRPr="002045F5">
              <w:rPr>
                <w:color w:val="000000"/>
                <w:sz w:val="22"/>
              </w:rPr>
              <w:t>Капітальний ремонт туалетних кімнат:</w:t>
            </w:r>
          </w:p>
        </w:tc>
        <w:tc>
          <w:tcPr>
            <w:tcW w:w="1666" w:type="dxa"/>
            <w:gridSpan w:val="2"/>
            <w:tcBorders>
              <w:left w:val="single" w:sz="6" w:space="0" w:color="auto"/>
              <w:right w:val="single" w:sz="6" w:space="0" w:color="auto"/>
            </w:tcBorders>
          </w:tcPr>
          <w:p w:rsidR="00BF26DA" w:rsidRPr="002045F5" w:rsidRDefault="00BF26DA" w:rsidP="00524DBF">
            <w:pPr>
              <w:autoSpaceDE w:val="0"/>
              <w:autoSpaceDN w:val="0"/>
              <w:adjustRightInd w:val="0"/>
              <w:jc w:val="center"/>
              <w:rPr>
                <w:color w:val="000000"/>
                <w:sz w:val="22"/>
              </w:rPr>
            </w:pPr>
          </w:p>
          <w:p w:rsidR="00BF26DA" w:rsidRPr="002045F5" w:rsidRDefault="00BF26DA" w:rsidP="00524DBF">
            <w:pPr>
              <w:autoSpaceDE w:val="0"/>
              <w:autoSpaceDN w:val="0"/>
              <w:adjustRightInd w:val="0"/>
              <w:jc w:val="center"/>
              <w:rPr>
                <w:color w:val="000000"/>
                <w:sz w:val="22"/>
              </w:rPr>
            </w:pPr>
            <w:r w:rsidRPr="002045F5">
              <w:rPr>
                <w:rFonts w:eastAsia="Calibri"/>
                <w:sz w:val="22"/>
              </w:rPr>
              <w:t>одиниць</w:t>
            </w:r>
          </w:p>
        </w:tc>
        <w:tc>
          <w:tcPr>
            <w:tcW w:w="1793" w:type="dxa"/>
            <w:gridSpan w:val="2"/>
            <w:tcBorders>
              <w:left w:val="single" w:sz="6" w:space="0" w:color="auto"/>
              <w:right w:val="single" w:sz="6" w:space="0" w:color="auto"/>
            </w:tcBorders>
          </w:tcPr>
          <w:p w:rsidR="00BF26DA" w:rsidRPr="002045F5" w:rsidRDefault="00BF26DA" w:rsidP="00524DBF">
            <w:pPr>
              <w:autoSpaceDE w:val="0"/>
              <w:autoSpaceDN w:val="0"/>
              <w:adjustRightInd w:val="0"/>
              <w:jc w:val="center"/>
              <w:rPr>
                <w:color w:val="000000"/>
                <w:sz w:val="22"/>
              </w:rPr>
            </w:pPr>
          </w:p>
          <w:p w:rsidR="00BF26DA" w:rsidRPr="002045F5" w:rsidRDefault="00BF26DA" w:rsidP="00524DBF">
            <w:pPr>
              <w:autoSpaceDE w:val="0"/>
              <w:autoSpaceDN w:val="0"/>
              <w:adjustRightInd w:val="0"/>
              <w:jc w:val="center"/>
              <w:rPr>
                <w:color w:val="000000"/>
                <w:sz w:val="22"/>
              </w:rPr>
            </w:pPr>
            <w:r w:rsidRPr="002045F5">
              <w:rPr>
                <w:color w:val="000000"/>
                <w:sz w:val="22"/>
              </w:rPr>
              <w:t>1</w:t>
            </w:r>
          </w:p>
        </w:tc>
      </w:tr>
      <w:tr w:rsidR="00BF26DA" w:rsidRPr="002045F5" w:rsidTr="00BF26DA">
        <w:trPr>
          <w:trHeight w:val="289"/>
        </w:trPr>
        <w:tc>
          <w:tcPr>
            <w:tcW w:w="2865" w:type="dxa"/>
            <w:vMerge/>
            <w:tcBorders>
              <w:left w:val="single" w:sz="6" w:space="0" w:color="auto"/>
              <w:right w:val="single" w:sz="6" w:space="0" w:color="auto"/>
            </w:tcBorders>
            <w:shd w:val="clear" w:color="00FFFF" w:fill="C6D9F1" w:themeFill="text2" w:themeFillTint="33"/>
          </w:tcPr>
          <w:p w:rsidR="00BF26DA" w:rsidRPr="002045F5" w:rsidRDefault="00BF26DA" w:rsidP="00524DBF">
            <w:pPr>
              <w:autoSpaceDE w:val="0"/>
              <w:autoSpaceDN w:val="0"/>
              <w:adjustRightInd w:val="0"/>
              <w:rPr>
                <w:rFonts w:eastAsia="Calibri"/>
                <w:b/>
                <w:sz w:val="22"/>
              </w:rPr>
            </w:pPr>
          </w:p>
        </w:tc>
        <w:tc>
          <w:tcPr>
            <w:tcW w:w="3718" w:type="dxa"/>
            <w:gridSpan w:val="3"/>
            <w:tcBorders>
              <w:left w:val="single" w:sz="6" w:space="0" w:color="auto"/>
              <w:right w:val="single" w:sz="6" w:space="0" w:color="auto"/>
            </w:tcBorders>
          </w:tcPr>
          <w:p w:rsidR="00BF26DA" w:rsidRPr="002045F5" w:rsidRDefault="00BF26DA" w:rsidP="00770B60">
            <w:pPr>
              <w:autoSpaceDE w:val="0"/>
              <w:autoSpaceDN w:val="0"/>
              <w:adjustRightInd w:val="0"/>
              <w:rPr>
                <w:rFonts w:eastAsia="Calibri"/>
                <w:sz w:val="22"/>
              </w:rPr>
            </w:pPr>
            <w:r w:rsidRPr="002045F5">
              <w:rPr>
                <w:color w:val="000000"/>
                <w:sz w:val="22"/>
              </w:rPr>
              <w:t>Капітальний ремонт кабінет</w:t>
            </w:r>
            <w:r w:rsidR="00770B60" w:rsidRPr="002045F5">
              <w:rPr>
                <w:color w:val="000000"/>
                <w:sz w:val="22"/>
              </w:rPr>
              <w:t>ів</w:t>
            </w:r>
          </w:p>
        </w:tc>
        <w:tc>
          <w:tcPr>
            <w:tcW w:w="1666" w:type="dxa"/>
            <w:gridSpan w:val="2"/>
            <w:tcBorders>
              <w:left w:val="single" w:sz="6" w:space="0" w:color="auto"/>
              <w:right w:val="single" w:sz="6" w:space="0" w:color="auto"/>
            </w:tcBorders>
          </w:tcPr>
          <w:p w:rsidR="00BF26DA" w:rsidRPr="002045F5" w:rsidRDefault="00BF26DA" w:rsidP="00524DBF">
            <w:pPr>
              <w:autoSpaceDE w:val="0"/>
              <w:autoSpaceDN w:val="0"/>
              <w:adjustRightInd w:val="0"/>
              <w:jc w:val="center"/>
              <w:rPr>
                <w:rFonts w:eastAsia="Calibri"/>
                <w:color w:val="000000"/>
                <w:sz w:val="22"/>
              </w:rPr>
            </w:pPr>
            <w:r w:rsidRPr="002045F5">
              <w:rPr>
                <w:rFonts w:eastAsia="Calibri"/>
                <w:sz w:val="22"/>
              </w:rPr>
              <w:t>одиниць</w:t>
            </w:r>
          </w:p>
        </w:tc>
        <w:tc>
          <w:tcPr>
            <w:tcW w:w="1793" w:type="dxa"/>
            <w:gridSpan w:val="2"/>
            <w:tcBorders>
              <w:left w:val="single" w:sz="6" w:space="0" w:color="auto"/>
              <w:right w:val="single" w:sz="6" w:space="0" w:color="auto"/>
            </w:tcBorders>
          </w:tcPr>
          <w:p w:rsidR="00BF26DA" w:rsidRPr="002045F5" w:rsidRDefault="00BF26DA" w:rsidP="00524DBF">
            <w:pPr>
              <w:autoSpaceDE w:val="0"/>
              <w:autoSpaceDN w:val="0"/>
              <w:adjustRightInd w:val="0"/>
              <w:jc w:val="center"/>
              <w:rPr>
                <w:rFonts w:eastAsia="Calibri"/>
                <w:color w:val="000000"/>
                <w:sz w:val="22"/>
              </w:rPr>
            </w:pPr>
            <w:r w:rsidRPr="002045F5">
              <w:rPr>
                <w:rFonts w:eastAsia="Calibri"/>
                <w:color w:val="000000"/>
                <w:sz w:val="22"/>
              </w:rPr>
              <w:t>8</w:t>
            </w:r>
          </w:p>
        </w:tc>
      </w:tr>
      <w:tr w:rsidR="00BF26DA" w:rsidRPr="002045F5" w:rsidTr="00BF26DA">
        <w:trPr>
          <w:trHeight w:val="289"/>
        </w:trPr>
        <w:tc>
          <w:tcPr>
            <w:tcW w:w="2865" w:type="dxa"/>
            <w:vMerge/>
            <w:tcBorders>
              <w:left w:val="single" w:sz="6" w:space="0" w:color="auto"/>
              <w:right w:val="single" w:sz="6" w:space="0" w:color="auto"/>
            </w:tcBorders>
            <w:shd w:val="clear" w:color="00FFFF" w:fill="C6D9F1" w:themeFill="text2" w:themeFillTint="33"/>
          </w:tcPr>
          <w:p w:rsidR="00BF26DA" w:rsidRPr="002045F5" w:rsidRDefault="00BF26DA" w:rsidP="00524DBF">
            <w:pPr>
              <w:autoSpaceDE w:val="0"/>
              <w:autoSpaceDN w:val="0"/>
              <w:adjustRightInd w:val="0"/>
              <w:rPr>
                <w:rFonts w:eastAsia="Calibri"/>
                <w:b/>
                <w:sz w:val="22"/>
              </w:rPr>
            </w:pPr>
          </w:p>
        </w:tc>
        <w:tc>
          <w:tcPr>
            <w:tcW w:w="3718" w:type="dxa"/>
            <w:gridSpan w:val="3"/>
            <w:tcBorders>
              <w:left w:val="single" w:sz="6" w:space="0" w:color="auto"/>
              <w:right w:val="single" w:sz="6" w:space="0" w:color="auto"/>
            </w:tcBorders>
          </w:tcPr>
          <w:p w:rsidR="00BF26DA" w:rsidRPr="002045F5" w:rsidRDefault="00BF26DA" w:rsidP="00524DBF">
            <w:pPr>
              <w:autoSpaceDE w:val="0"/>
              <w:autoSpaceDN w:val="0"/>
              <w:adjustRightInd w:val="0"/>
              <w:rPr>
                <w:color w:val="000000"/>
                <w:sz w:val="22"/>
              </w:rPr>
            </w:pPr>
            <w:r w:rsidRPr="002045F5">
              <w:rPr>
                <w:color w:val="000000"/>
                <w:sz w:val="22"/>
              </w:rPr>
              <w:t>Облаштування пандусу</w:t>
            </w:r>
          </w:p>
        </w:tc>
        <w:tc>
          <w:tcPr>
            <w:tcW w:w="1666" w:type="dxa"/>
            <w:gridSpan w:val="2"/>
            <w:tcBorders>
              <w:left w:val="single" w:sz="6" w:space="0" w:color="auto"/>
              <w:right w:val="single" w:sz="6" w:space="0" w:color="auto"/>
            </w:tcBorders>
          </w:tcPr>
          <w:p w:rsidR="00BF26DA" w:rsidRPr="002045F5" w:rsidRDefault="00BF26DA" w:rsidP="00524DBF">
            <w:pPr>
              <w:autoSpaceDE w:val="0"/>
              <w:autoSpaceDN w:val="0"/>
              <w:adjustRightInd w:val="0"/>
              <w:jc w:val="center"/>
              <w:rPr>
                <w:rFonts w:eastAsia="Calibri"/>
                <w:color w:val="000000"/>
                <w:sz w:val="22"/>
              </w:rPr>
            </w:pPr>
            <w:r w:rsidRPr="002045F5">
              <w:rPr>
                <w:rFonts w:eastAsia="Calibri"/>
                <w:sz w:val="22"/>
              </w:rPr>
              <w:t>одиниць</w:t>
            </w:r>
          </w:p>
        </w:tc>
        <w:tc>
          <w:tcPr>
            <w:tcW w:w="1793" w:type="dxa"/>
            <w:gridSpan w:val="2"/>
            <w:tcBorders>
              <w:left w:val="single" w:sz="6" w:space="0" w:color="auto"/>
              <w:right w:val="single" w:sz="6" w:space="0" w:color="auto"/>
            </w:tcBorders>
          </w:tcPr>
          <w:p w:rsidR="00BF26DA" w:rsidRPr="002045F5" w:rsidRDefault="00BF26DA" w:rsidP="00524DBF">
            <w:pPr>
              <w:autoSpaceDE w:val="0"/>
              <w:autoSpaceDN w:val="0"/>
              <w:adjustRightInd w:val="0"/>
              <w:jc w:val="center"/>
              <w:rPr>
                <w:rFonts w:eastAsia="Calibri"/>
                <w:color w:val="000000"/>
                <w:sz w:val="22"/>
              </w:rPr>
            </w:pPr>
            <w:r w:rsidRPr="002045F5">
              <w:rPr>
                <w:rFonts w:eastAsia="Calibri"/>
                <w:color w:val="000000"/>
                <w:sz w:val="22"/>
              </w:rPr>
              <w:t>1</w:t>
            </w:r>
          </w:p>
        </w:tc>
      </w:tr>
      <w:tr w:rsidR="00BF26DA" w:rsidRPr="002045F5" w:rsidTr="00BF26DA">
        <w:trPr>
          <w:trHeight w:val="48"/>
        </w:trPr>
        <w:tc>
          <w:tcPr>
            <w:tcW w:w="2865" w:type="dxa"/>
            <w:vMerge/>
            <w:tcBorders>
              <w:left w:val="single" w:sz="6" w:space="0" w:color="auto"/>
              <w:bottom w:val="single" w:sz="6" w:space="0" w:color="auto"/>
              <w:right w:val="single" w:sz="6" w:space="0" w:color="auto"/>
            </w:tcBorders>
            <w:shd w:val="clear" w:color="00FFFF" w:fill="C6D9F1" w:themeFill="text2" w:themeFillTint="33"/>
          </w:tcPr>
          <w:p w:rsidR="00BF26DA" w:rsidRPr="002045F5" w:rsidRDefault="00BF26DA" w:rsidP="00524DBF">
            <w:pPr>
              <w:autoSpaceDE w:val="0"/>
              <w:autoSpaceDN w:val="0"/>
              <w:adjustRightInd w:val="0"/>
              <w:rPr>
                <w:rFonts w:eastAsia="Calibri"/>
                <w:b/>
                <w:sz w:val="22"/>
              </w:rPr>
            </w:pPr>
          </w:p>
        </w:tc>
        <w:tc>
          <w:tcPr>
            <w:tcW w:w="3718" w:type="dxa"/>
            <w:gridSpan w:val="3"/>
            <w:tcBorders>
              <w:left w:val="single" w:sz="6" w:space="0" w:color="auto"/>
              <w:bottom w:val="single" w:sz="6" w:space="0" w:color="auto"/>
              <w:right w:val="single" w:sz="6" w:space="0" w:color="auto"/>
            </w:tcBorders>
          </w:tcPr>
          <w:p w:rsidR="00BF26DA" w:rsidRPr="002045F5" w:rsidRDefault="00BF26DA" w:rsidP="00524DBF">
            <w:pPr>
              <w:autoSpaceDE w:val="0"/>
              <w:autoSpaceDN w:val="0"/>
              <w:adjustRightInd w:val="0"/>
              <w:rPr>
                <w:color w:val="000000"/>
                <w:sz w:val="22"/>
              </w:rPr>
            </w:pPr>
          </w:p>
        </w:tc>
        <w:tc>
          <w:tcPr>
            <w:tcW w:w="1666" w:type="dxa"/>
            <w:gridSpan w:val="2"/>
            <w:tcBorders>
              <w:left w:val="single" w:sz="6" w:space="0" w:color="auto"/>
              <w:bottom w:val="single" w:sz="6" w:space="0" w:color="auto"/>
              <w:right w:val="single" w:sz="6" w:space="0" w:color="auto"/>
            </w:tcBorders>
          </w:tcPr>
          <w:p w:rsidR="00BF26DA" w:rsidRPr="002045F5" w:rsidRDefault="00BF26DA" w:rsidP="00524DBF">
            <w:pPr>
              <w:autoSpaceDE w:val="0"/>
              <w:autoSpaceDN w:val="0"/>
              <w:adjustRightInd w:val="0"/>
              <w:jc w:val="center"/>
              <w:rPr>
                <w:rFonts w:eastAsia="Calibri"/>
                <w:color w:val="000000"/>
                <w:sz w:val="22"/>
              </w:rPr>
            </w:pPr>
          </w:p>
        </w:tc>
        <w:tc>
          <w:tcPr>
            <w:tcW w:w="1793" w:type="dxa"/>
            <w:gridSpan w:val="2"/>
            <w:tcBorders>
              <w:left w:val="single" w:sz="6" w:space="0" w:color="auto"/>
              <w:bottom w:val="single" w:sz="6" w:space="0" w:color="auto"/>
              <w:right w:val="single" w:sz="6" w:space="0" w:color="auto"/>
            </w:tcBorders>
          </w:tcPr>
          <w:p w:rsidR="00BF26DA" w:rsidRPr="002045F5" w:rsidRDefault="00BF26DA" w:rsidP="00524DBF">
            <w:pPr>
              <w:autoSpaceDE w:val="0"/>
              <w:autoSpaceDN w:val="0"/>
              <w:adjustRightInd w:val="0"/>
              <w:rPr>
                <w:rFonts w:eastAsia="Calibri"/>
                <w:color w:val="000000"/>
                <w:sz w:val="22"/>
              </w:rPr>
            </w:pPr>
          </w:p>
        </w:tc>
      </w:tr>
      <w:tr w:rsidR="00BF26DA" w:rsidRPr="002045F5" w:rsidTr="00BC6371">
        <w:trPr>
          <w:trHeight w:val="694"/>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BF26DA" w:rsidRPr="002045F5" w:rsidRDefault="00BF26DA" w:rsidP="00524DBF">
            <w:pPr>
              <w:autoSpaceDE w:val="0"/>
              <w:autoSpaceDN w:val="0"/>
              <w:adjustRightInd w:val="0"/>
              <w:rPr>
                <w:rFonts w:eastAsia="Calibri"/>
                <w:b/>
                <w:color w:val="000000"/>
                <w:sz w:val="22"/>
              </w:rPr>
            </w:pPr>
            <w:r w:rsidRPr="002045F5">
              <w:rPr>
                <w:rFonts w:eastAsia="Calibri"/>
                <w:b/>
                <w:color w:val="000000"/>
                <w:sz w:val="22"/>
              </w:rPr>
              <w:t>Ключові заходи проекту:</w:t>
            </w:r>
          </w:p>
        </w:tc>
        <w:tc>
          <w:tcPr>
            <w:tcW w:w="7177" w:type="dxa"/>
            <w:gridSpan w:val="7"/>
            <w:tcBorders>
              <w:top w:val="single" w:sz="6" w:space="0" w:color="auto"/>
              <w:left w:val="single" w:sz="6" w:space="0" w:color="auto"/>
              <w:bottom w:val="single" w:sz="6" w:space="0" w:color="auto"/>
              <w:right w:val="single" w:sz="6" w:space="0" w:color="auto"/>
            </w:tcBorders>
          </w:tcPr>
          <w:p w:rsidR="00BF26DA" w:rsidRPr="002045F5" w:rsidRDefault="00BF26DA" w:rsidP="00524DBF">
            <w:pPr>
              <w:shd w:val="clear" w:color="auto" w:fill="FFFFFF"/>
              <w:tabs>
                <w:tab w:val="left" w:pos="378"/>
              </w:tabs>
              <w:rPr>
                <w:sz w:val="22"/>
              </w:rPr>
            </w:pPr>
            <w:r w:rsidRPr="002045F5">
              <w:rPr>
                <w:sz w:val="22"/>
              </w:rPr>
              <w:t xml:space="preserve">1. Обстеження стану будівлі та боксів, підготовка </w:t>
            </w:r>
            <w:proofErr w:type="spellStart"/>
            <w:r w:rsidRPr="002045F5">
              <w:rPr>
                <w:sz w:val="22"/>
              </w:rPr>
              <w:t>проєктно</w:t>
            </w:r>
            <w:proofErr w:type="spellEnd"/>
            <w:r w:rsidRPr="002045F5">
              <w:rPr>
                <w:sz w:val="22"/>
              </w:rPr>
              <w:t>-кошторисної документації та отримання позитивного експертного звіту;</w:t>
            </w:r>
          </w:p>
          <w:p w:rsidR="00BF26DA" w:rsidRPr="002045F5" w:rsidRDefault="00BF26DA" w:rsidP="00524DBF">
            <w:pPr>
              <w:shd w:val="clear" w:color="auto" w:fill="FFFFFF"/>
              <w:tabs>
                <w:tab w:val="left" w:pos="378"/>
              </w:tabs>
              <w:rPr>
                <w:sz w:val="22"/>
              </w:rPr>
            </w:pPr>
            <w:r w:rsidRPr="002045F5">
              <w:rPr>
                <w:sz w:val="22"/>
              </w:rPr>
              <w:t>2. Капітальний ремонт покрівлі навчального корпусу та покрівлі боксів;</w:t>
            </w:r>
          </w:p>
          <w:p w:rsidR="00BF26DA" w:rsidRPr="002045F5" w:rsidRDefault="00BF26DA" w:rsidP="00524DBF">
            <w:pPr>
              <w:shd w:val="clear" w:color="auto" w:fill="FFFFFF"/>
              <w:tabs>
                <w:tab w:val="left" w:pos="378"/>
              </w:tabs>
              <w:rPr>
                <w:sz w:val="22"/>
              </w:rPr>
            </w:pPr>
            <w:r w:rsidRPr="002045F5">
              <w:rPr>
                <w:sz w:val="22"/>
              </w:rPr>
              <w:t>3.Капітальний ремонт навчальних кабінетів, боксів, кабінетів для педагогічних працівників;</w:t>
            </w:r>
          </w:p>
          <w:p w:rsidR="00BF26DA" w:rsidRPr="002045F5" w:rsidRDefault="00BF26DA" w:rsidP="00524DBF">
            <w:pPr>
              <w:shd w:val="clear" w:color="auto" w:fill="FFFFFF"/>
              <w:rPr>
                <w:sz w:val="22"/>
              </w:rPr>
            </w:pPr>
            <w:r w:rsidRPr="002045F5">
              <w:rPr>
                <w:sz w:val="22"/>
              </w:rPr>
              <w:t>4. Капітальний ремонт санвузла;</w:t>
            </w:r>
          </w:p>
          <w:p w:rsidR="00BF26DA" w:rsidRPr="002045F5" w:rsidRDefault="00BF26DA" w:rsidP="00524DBF">
            <w:pPr>
              <w:shd w:val="clear" w:color="auto" w:fill="FFFFFF"/>
              <w:tabs>
                <w:tab w:val="left" w:pos="378"/>
              </w:tabs>
              <w:rPr>
                <w:sz w:val="22"/>
              </w:rPr>
            </w:pPr>
            <w:r w:rsidRPr="002045F5">
              <w:rPr>
                <w:sz w:val="22"/>
              </w:rPr>
              <w:t>5.Облаштування двору;</w:t>
            </w:r>
          </w:p>
          <w:p w:rsidR="00BF26DA" w:rsidRPr="002045F5" w:rsidRDefault="00BF26DA" w:rsidP="00524DBF">
            <w:pPr>
              <w:shd w:val="clear" w:color="auto" w:fill="FFFFFF"/>
              <w:tabs>
                <w:tab w:val="left" w:pos="378"/>
              </w:tabs>
              <w:rPr>
                <w:sz w:val="22"/>
              </w:rPr>
            </w:pPr>
            <w:r w:rsidRPr="002045F5">
              <w:rPr>
                <w:sz w:val="22"/>
              </w:rPr>
              <w:t>6.Будівництво пандусу;</w:t>
            </w:r>
          </w:p>
          <w:p w:rsidR="00BF26DA" w:rsidRPr="002045F5" w:rsidRDefault="00BF26DA" w:rsidP="00524DBF">
            <w:pPr>
              <w:shd w:val="clear" w:color="auto" w:fill="FFFFFF"/>
              <w:tabs>
                <w:tab w:val="left" w:pos="378"/>
              </w:tabs>
              <w:rPr>
                <w:sz w:val="22"/>
              </w:rPr>
            </w:pPr>
            <w:r w:rsidRPr="002045F5">
              <w:rPr>
                <w:sz w:val="22"/>
              </w:rPr>
              <w:t xml:space="preserve">7. Ремонт </w:t>
            </w:r>
            <w:proofErr w:type="spellStart"/>
            <w:r w:rsidRPr="002045F5">
              <w:rPr>
                <w:sz w:val="22"/>
              </w:rPr>
              <w:t>електро</w:t>
            </w:r>
            <w:proofErr w:type="spellEnd"/>
            <w:r w:rsidRPr="002045F5">
              <w:rPr>
                <w:sz w:val="22"/>
              </w:rPr>
              <w:t>-, тепло-, водопостачання та водовідведення;</w:t>
            </w:r>
          </w:p>
          <w:p w:rsidR="00BF26DA" w:rsidRPr="002045F5" w:rsidRDefault="00BF26DA" w:rsidP="00524DBF">
            <w:pPr>
              <w:shd w:val="clear" w:color="auto" w:fill="FFFFFF"/>
              <w:tabs>
                <w:tab w:val="left" w:pos="378"/>
              </w:tabs>
              <w:rPr>
                <w:sz w:val="22"/>
              </w:rPr>
            </w:pPr>
            <w:r w:rsidRPr="002045F5">
              <w:rPr>
                <w:sz w:val="22"/>
              </w:rPr>
              <w:t>8.Утеплення зовнішніх стін будівлі;</w:t>
            </w:r>
          </w:p>
          <w:p w:rsidR="00BF26DA" w:rsidRPr="002045F5" w:rsidRDefault="00BF26DA" w:rsidP="00524DBF">
            <w:pPr>
              <w:shd w:val="clear" w:color="auto" w:fill="FFFFFF"/>
              <w:tabs>
                <w:tab w:val="left" w:pos="378"/>
              </w:tabs>
              <w:rPr>
                <w:sz w:val="22"/>
              </w:rPr>
            </w:pPr>
            <w:r w:rsidRPr="002045F5">
              <w:rPr>
                <w:sz w:val="22"/>
              </w:rPr>
              <w:t>9.Прокладання мережі Інтернет;</w:t>
            </w:r>
          </w:p>
          <w:p w:rsidR="00BF26DA" w:rsidRPr="002045F5" w:rsidRDefault="00BF26DA" w:rsidP="00524DBF">
            <w:pPr>
              <w:shd w:val="clear" w:color="auto" w:fill="FFFFFF"/>
              <w:tabs>
                <w:tab w:val="left" w:pos="378"/>
              </w:tabs>
              <w:rPr>
                <w:sz w:val="22"/>
              </w:rPr>
            </w:pPr>
            <w:r w:rsidRPr="002045F5">
              <w:rPr>
                <w:sz w:val="22"/>
              </w:rPr>
              <w:t>10.Заміна віконних та дверних блоків;</w:t>
            </w:r>
          </w:p>
          <w:p w:rsidR="00BF26DA" w:rsidRPr="002045F5" w:rsidRDefault="00BF26DA" w:rsidP="00524DBF">
            <w:pPr>
              <w:shd w:val="clear" w:color="auto" w:fill="FFFFFF"/>
              <w:tabs>
                <w:tab w:val="left" w:pos="378"/>
              </w:tabs>
              <w:rPr>
                <w:sz w:val="22"/>
              </w:rPr>
            </w:pPr>
            <w:r w:rsidRPr="002045F5">
              <w:rPr>
                <w:sz w:val="22"/>
              </w:rPr>
              <w:t>11. Облаштування сучасної системи охорони;</w:t>
            </w:r>
          </w:p>
          <w:p w:rsidR="00BF26DA" w:rsidRPr="002045F5" w:rsidRDefault="00BF26DA" w:rsidP="00524DBF">
            <w:pPr>
              <w:shd w:val="clear" w:color="auto" w:fill="FFFFFF"/>
              <w:tabs>
                <w:tab w:val="left" w:pos="378"/>
              </w:tabs>
              <w:rPr>
                <w:sz w:val="22"/>
              </w:rPr>
            </w:pPr>
            <w:r w:rsidRPr="002045F5">
              <w:rPr>
                <w:sz w:val="22"/>
              </w:rPr>
              <w:t>12. Облаштування сучасної протипожежної системи;</w:t>
            </w:r>
          </w:p>
          <w:p w:rsidR="00BF26DA" w:rsidRPr="002045F5" w:rsidRDefault="00BF26DA" w:rsidP="00524DBF">
            <w:pPr>
              <w:autoSpaceDE w:val="0"/>
              <w:autoSpaceDN w:val="0"/>
              <w:adjustRightInd w:val="0"/>
              <w:rPr>
                <w:sz w:val="22"/>
              </w:rPr>
            </w:pPr>
            <w:r w:rsidRPr="002045F5">
              <w:rPr>
                <w:sz w:val="22"/>
              </w:rPr>
              <w:t>13.Реконструкція зовнішнього освітлення.</w:t>
            </w:r>
          </w:p>
          <w:p w:rsidR="00BF26DA" w:rsidRPr="002045F5" w:rsidRDefault="00BF26DA" w:rsidP="00524DBF">
            <w:pPr>
              <w:autoSpaceDE w:val="0"/>
              <w:autoSpaceDN w:val="0"/>
              <w:adjustRightInd w:val="0"/>
              <w:rPr>
                <w:sz w:val="22"/>
              </w:rPr>
            </w:pPr>
            <w:r w:rsidRPr="002045F5">
              <w:rPr>
                <w:sz w:val="22"/>
              </w:rPr>
              <w:t xml:space="preserve">14. </w:t>
            </w:r>
            <w:r w:rsidRPr="002045F5">
              <w:rPr>
                <w:rFonts w:eastAsia="Calibri"/>
                <w:sz w:val="22"/>
              </w:rPr>
              <w:t>Відновлення освітнього процесу</w:t>
            </w:r>
          </w:p>
        </w:tc>
      </w:tr>
      <w:tr w:rsidR="00BF26DA" w:rsidRPr="002045F5" w:rsidTr="00BF26DA">
        <w:trPr>
          <w:trHeight w:val="469"/>
        </w:trPr>
        <w:tc>
          <w:tcPr>
            <w:tcW w:w="2865" w:type="dxa"/>
            <w:vMerge w:val="restart"/>
            <w:tcBorders>
              <w:top w:val="single" w:sz="6" w:space="0" w:color="auto"/>
              <w:left w:val="single" w:sz="6" w:space="0" w:color="auto"/>
              <w:right w:val="single" w:sz="6" w:space="0" w:color="auto"/>
            </w:tcBorders>
            <w:shd w:val="clear" w:color="00FFFF" w:fill="C6D9F1" w:themeFill="text2" w:themeFillTint="33"/>
          </w:tcPr>
          <w:p w:rsidR="00BF26DA" w:rsidRPr="002045F5" w:rsidRDefault="00BF26DA" w:rsidP="00524DBF">
            <w:pPr>
              <w:autoSpaceDE w:val="0"/>
              <w:autoSpaceDN w:val="0"/>
              <w:adjustRightInd w:val="0"/>
              <w:rPr>
                <w:rFonts w:eastAsia="Calibri"/>
                <w:b/>
                <w:color w:val="000000"/>
                <w:sz w:val="22"/>
              </w:rPr>
            </w:pPr>
            <w:r w:rsidRPr="002045F5">
              <w:rPr>
                <w:rFonts w:eastAsia="Calibri"/>
                <w:b/>
                <w:sz w:val="22"/>
              </w:rPr>
              <w:lastRenderedPageBreak/>
              <w:t>Орієнтовний обсяг та джерела фінансування тис. гривень</w:t>
            </w:r>
          </w:p>
        </w:tc>
        <w:tc>
          <w:tcPr>
            <w:tcW w:w="1803" w:type="dxa"/>
            <w:vMerge w:val="restart"/>
            <w:tcBorders>
              <w:top w:val="single" w:sz="6" w:space="0" w:color="auto"/>
              <w:left w:val="single" w:sz="6" w:space="0" w:color="auto"/>
              <w:right w:val="single" w:sz="6" w:space="0" w:color="auto"/>
            </w:tcBorders>
          </w:tcPr>
          <w:p w:rsidR="00BF26DA" w:rsidRPr="002045F5" w:rsidRDefault="00BF26DA" w:rsidP="00524DBF">
            <w:pPr>
              <w:shd w:val="clear" w:color="auto" w:fill="FFFFFF"/>
              <w:tabs>
                <w:tab w:val="left" w:pos="378"/>
              </w:tabs>
              <w:jc w:val="center"/>
              <w:rPr>
                <w:sz w:val="22"/>
              </w:rPr>
            </w:pPr>
            <w:r w:rsidRPr="002045F5">
              <w:rPr>
                <w:rFonts w:eastAsia="Calibri"/>
                <w:sz w:val="22"/>
              </w:rPr>
              <w:t>державний бюджет</w:t>
            </w:r>
          </w:p>
        </w:tc>
        <w:tc>
          <w:tcPr>
            <w:tcW w:w="1342" w:type="dxa"/>
            <w:vMerge w:val="restart"/>
            <w:tcBorders>
              <w:top w:val="single" w:sz="6" w:space="0" w:color="auto"/>
              <w:left w:val="single" w:sz="6" w:space="0" w:color="auto"/>
              <w:right w:val="single" w:sz="6" w:space="0" w:color="auto"/>
            </w:tcBorders>
          </w:tcPr>
          <w:p w:rsidR="00BF26DA" w:rsidRPr="002045F5" w:rsidRDefault="00BF26DA" w:rsidP="00524DBF">
            <w:pPr>
              <w:shd w:val="clear" w:color="auto" w:fill="FFFFFF"/>
              <w:tabs>
                <w:tab w:val="left" w:pos="378"/>
              </w:tabs>
              <w:jc w:val="center"/>
              <w:rPr>
                <w:sz w:val="22"/>
              </w:rPr>
            </w:pPr>
            <w:r w:rsidRPr="002045F5">
              <w:rPr>
                <w:rFonts w:eastAsia="Calibri"/>
                <w:sz w:val="22"/>
              </w:rPr>
              <w:t>Місцевий бюджет</w:t>
            </w:r>
          </w:p>
        </w:tc>
        <w:tc>
          <w:tcPr>
            <w:tcW w:w="2878" w:type="dxa"/>
            <w:gridSpan w:val="4"/>
            <w:tcBorders>
              <w:top w:val="single" w:sz="6" w:space="0" w:color="auto"/>
              <w:left w:val="single" w:sz="6" w:space="0" w:color="auto"/>
              <w:bottom w:val="single" w:sz="6" w:space="0" w:color="auto"/>
              <w:right w:val="single" w:sz="6" w:space="0" w:color="auto"/>
            </w:tcBorders>
          </w:tcPr>
          <w:p w:rsidR="00BF26DA" w:rsidRPr="002045F5" w:rsidRDefault="00BF26DA" w:rsidP="00524DBF">
            <w:pPr>
              <w:shd w:val="clear" w:color="auto" w:fill="FFFFFF"/>
              <w:tabs>
                <w:tab w:val="left" w:pos="378"/>
              </w:tabs>
              <w:jc w:val="center"/>
              <w:rPr>
                <w:sz w:val="22"/>
              </w:rPr>
            </w:pPr>
            <w:r w:rsidRPr="002045F5">
              <w:rPr>
                <w:rFonts w:eastAsia="Calibri"/>
                <w:sz w:val="22"/>
              </w:rPr>
              <w:t>Інші джерела</w:t>
            </w:r>
          </w:p>
        </w:tc>
        <w:tc>
          <w:tcPr>
            <w:tcW w:w="1154" w:type="dxa"/>
            <w:vMerge w:val="restart"/>
            <w:tcBorders>
              <w:top w:val="single" w:sz="6" w:space="0" w:color="auto"/>
              <w:left w:val="single" w:sz="6" w:space="0" w:color="auto"/>
              <w:right w:val="single" w:sz="6" w:space="0" w:color="auto"/>
            </w:tcBorders>
          </w:tcPr>
          <w:p w:rsidR="00BF26DA" w:rsidRPr="002045F5" w:rsidRDefault="00BF26DA" w:rsidP="00524DBF">
            <w:pPr>
              <w:autoSpaceDE w:val="0"/>
              <w:autoSpaceDN w:val="0"/>
              <w:adjustRightInd w:val="0"/>
              <w:jc w:val="center"/>
              <w:rPr>
                <w:rFonts w:eastAsia="Calibri"/>
                <w:sz w:val="22"/>
              </w:rPr>
            </w:pPr>
            <w:r w:rsidRPr="002045F5">
              <w:rPr>
                <w:rFonts w:eastAsia="Calibri"/>
                <w:sz w:val="22"/>
              </w:rPr>
              <w:t>Всього</w:t>
            </w:r>
          </w:p>
          <w:p w:rsidR="00BF26DA" w:rsidRPr="002045F5" w:rsidRDefault="00BF26DA" w:rsidP="00524DBF">
            <w:pPr>
              <w:shd w:val="clear" w:color="auto" w:fill="FFFFFF"/>
              <w:tabs>
                <w:tab w:val="left" w:pos="378"/>
              </w:tabs>
              <w:rPr>
                <w:sz w:val="22"/>
              </w:rPr>
            </w:pPr>
          </w:p>
        </w:tc>
      </w:tr>
      <w:tr w:rsidR="00BF26DA" w:rsidRPr="002045F5" w:rsidTr="00BF26DA">
        <w:trPr>
          <w:trHeight w:val="352"/>
        </w:trPr>
        <w:tc>
          <w:tcPr>
            <w:tcW w:w="2865" w:type="dxa"/>
            <w:vMerge/>
            <w:tcBorders>
              <w:left w:val="single" w:sz="6" w:space="0" w:color="auto"/>
              <w:right w:val="single" w:sz="6" w:space="0" w:color="auto"/>
            </w:tcBorders>
            <w:shd w:val="clear" w:color="00FFFF" w:fill="C6D9F1" w:themeFill="text2" w:themeFillTint="33"/>
          </w:tcPr>
          <w:p w:rsidR="00BF26DA" w:rsidRPr="002045F5" w:rsidRDefault="00BF26DA" w:rsidP="00524DBF">
            <w:pPr>
              <w:autoSpaceDE w:val="0"/>
              <w:autoSpaceDN w:val="0"/>
              <w:adjustRightInd w:val="0"/>
              <w:rPr>
                <w:rFonts w:eastAsia="Calibri"/>
                <w:b/>
                <w:sz w:val="22"/>
              </w:rPr>
            </w:pPr>
          </w:p>
        </w:tc>
        <w:tc>
          <w:tcPr>
            <w:tcW w:w="1803" w:type="dxa"/>
            <w:vMerge/>
            <w:tcBorders>
              <w:left w:val="single" w:sz="6" w:space="0" w:color="auto"/>
              <w:bottom w:val="single" w:sz="6" w:space="0" w:color="auto"/>
              <w:right w:val="single" w:sz="6" w:space="0" w:color="auto"/>
            </w:tcBorders>
          </w:tcPr>
          <w:p w:rsidR="00BF26DA" w:rsidRPr="002045F5" w:rsidRDefault="00BF26DA" w:rsidP="00524DBF">
            <w:pPr>
              <w:shd w:val="clear" w:color="auto" w:fill="FFFFFF"/>
              <w:tabs>
                <w:tab w:val="left" w:pos="378"/>
              </w:tabs>
              <w:rPr>
                <w:sz w:val="22"/>
              </w:rPr>
            </w:pPr>
          </w:p>
        </w:tc>
        <w:tc>
          <w:tcPr>
            <w:tcW w:w="1342" w:type="dxa"/>
            <w:vMerge/>
            <w:tcBorders>
              <w:left w:val="single" w:sz="6" w:space="0" w:color="auto"/>
              <w:bottom w:val="single" w:sz="6" w:space="0" w:color="auto"/>
              <w:right w:val="single" w:sz="6" w:space="0" w:color="auto"/>
            </w:tcBorders>
          </w:tcPr>
          <w:p w:rsidR="00BF26DA" w:rsidRPr="002045F5" w:rsidRDefault="00BF26DA" w:rsidP="00524DBF">
            <w:pPr>
              <w:shd w:val="clear" w:color="auto" w:fill="FFFFFF"/>
              <w:tabs>
                <w:tab w:val="left" w:pos="378"/>
              </w:tabs>
              <w:rPr>
                <w:sz w:val="22"/>
              </w:rPr>
            </w:pPr>
          </w:p>
        </w:tc>
        <w:tc>
          <w:tcPr>
            <w:tcW w:w="1147" w:type="dxa"/>
            <w:gridSpan w:val="2"/>
            <w:tcBorders>
              <w:top w:val="single" w:sz="6" w:space="0" w:color="auto"/>
              <w:left w:val="single" w:sz="6" w:space="0" w:color="auto"/>
              <w:bottom w:val="single" w:sz="6" w:space="0" w:color="auto"/>
              <w:right w:val="single" w:sz="6" w:space="0" w:color="auto"/>
            </w:tcBorders>
          </w:tcPr>
          <w:p w:rsidR="00BF26DA" w:rsidRPr="002045F5" w:rsidRDefault="00BF26DA" w:rsidP="00524DBF">
            <w:pPr>
              <w:autoSpaceDE w:val="0"/>
              <w:autoSpaceDN w:val="0"/>
              <w:adjustRightInd w:val="0"/>
              <w:jc w:val="center"/>
              <w:rPr>
                <w:rFonts w:eastAsia="Calibri"/>
                <w:sz w:val="22"/>
              </w:rPr>
            </w:pPr>
            <w:r w:rsidRPr="002045F5">
              <w:rPr>
                <w:rFonts w:eastAsia="Calibri"/>
                <w:sz w:val="22"/>
              </w:rPr>
              <w:t>Обсяг</w:t>
            </w:r>
          </w:p>
        </w:tc>
        <w:tc>
          <w:tcPr>
            <w:tcW w:w="1731" w:type="dxa"/>
            <w:gridSpan w:val="2"/>
            <w:tcBorders>
              <w:top w:val="single" w:sz="6" w:space="0" w:color="auto"/>
              <w:left w:val="single" w:sz="6" w:space="0" w:color="auto"/>
              <w:bottom w:val="single" w:sz="6" w:space="0" w:color="auto"/>
              <w:right w:val="single" w:sz="6" w:space="0" w:color="auto"/>
            </w:tcBorders>
          </w:tcPr>
          <w:p w:rsidR="00BF26DA" w:rsidRPr="002045F5" w:rsidRDefault="00BF26DA" w:rsidP="00524DBF">
            <w:pPr>
              <w:autoSpaceDE w:val="0"/>
              <w:autoSpaceDN w:val="0"/>
              <w:adjustRightInd w:val="0"/>
              <w:jc w:val="center"/>
              <w:rPr>
                <w:rFonts w:eastAsia="Calibri"/>
                <w:sz w:val="22"/>
              </w:rPr>
            </w:pPr>
            <w:r w:rsidRPr="002045F5">
              <w:rPr>
                <w:rFonts w:eastAsia="Calibri"/>
                <w:sz w:val="22"/>
              </w:rPr>
              <w:t>Назва джерела</w:t>
            </w:r>
          </w:p>
        </w:tc>
        <w:tc>
          <w:tcPr>
            <w:tcW w:w="1154" w:type="dxa"/>
            <w:vMerge/>
            <w:tcBorders>
              <w:left w:val="single" w:sz="6" w:space="0" w:color="auto"/>
              <w:bottom w:val="single" w:sz="6" w:space="0" w:color="auto"/>
              <w:right w:val="single" w:sz="6" w:space="0" w:color="auto"/>
            </w:tcBorders>
          </w:tcPr>
          <w:p w:rsidR="00BF26DA" w:rsidRPr="002045F5" w:rsidRDefault="00BF26DA" w:rsidP="00524DBF">
            <w:pPr>
              <w:shd w:val="clear" w:color="auto" w:fill="FFFFFF"/>
              <w:tabs>
                <w:tab w:val="left" w:pos="378"/>
              </w:tabs>
              <w:rPr>
                <w:sz w:val="22"/>
              </w:rPr>
            </w:pPr>
          </w:p>
        </w:tc>
      </w:tr>
      <w:tr w:rsidR="00BF26DA" w:rsidRPr="002045F5" w:rsidTr="00BF26DA">
        <w:trPr>
          <w:trHeight w:val="348"/>
        </w:trPr>
        <w:tc>
          <w:tcPr>
            <w:tcW w:w="2865" w:type="dxa"/>
            <w:vMerge/>
            <w:tcBorders>
              <w:left w:val="single" w:sz="6" w:space="0" w:color="auto"/>
              <w:bottom w:val="single" w:sz="6" w:space="0" w:color="auto"/>
              <w:right w:val="single" w:sz="6" w:space="0" w:color="auto"/>
            </w:tcBorders>
            <w:shd w:val="clear" w:color="00FFFF" w:fill="C6D9F1" w:themeFill="text2" w:themeFillTint="33"/>
          </w:tcPr>
          <w:p w:rsidR="00BF26DA" w:rsidRPr="002045F5" w:rsidRDefault="00BF26DA" w:rsidP="00524DBF">
            <w:pPr>
              <w:autoSpaceDE w:val="0"/>
              <w:autoSpaceDN w:val="0"/>
              <w:adjustRightInd w:val="0"/>
              <w:rPr>
                <w:rFonts w:eastAsia="Calibri"/>
                <w:b/>
                <w:sz w:val="22"/>
              </w:rPr>
            </w:pPr>
          </w:p>
        </w:tc>
        <w:tc>
          <w:tcPr>
            <w:tcW w:w="1803" w:type="dxa"/>
            <w:tcBorders>
              <w:top w:val="single" w:sz="6" w:space="0" w:color="auto"/>
              <w:left w:val="single" w:sz="6" w:space="0" w:color="auto"/>
              <w:bottom w:val="single" w:sz="6" w:space="0" w:color="auto"/>
              <w:right w:val="single" w:sz="6" w:space="0" w:color="auto"/>
            </w:tcBorders>
          </w:tcPr>
          <w:p w:rsidR="00BF26DA" w:rsidRPr="002045F5" w:rsidRDefault="00BF26DA" w:rsidP="00524DBF">
            <w:pPr>
              <w:jc w:val="center"/>
              <w:rPr>
                <w:color w:val="FF0000"/>
                <w:sz w:val="22"/>
              </w:rPr>
            </w:pPr>
            <w:r w:rsidRPr="002045F5">
              <w:rPr>
                <w:sz w:val="22"/>
              </w:rPr>
              <w:t>2910,470</w:t>
            </w:r>
          </w:p>
          <w:p w:rsidR="00BF26DA" w:rsidRPr="002045F5" w:rsidRDefault="00BF26DA" w:rsidP="00524DBF">
            <w:pPr>
              <w:shd w:val="clear" w:color="auto" w:fill="FFFFFF"/>
              <w:tabs>
                <w:tab w:val="left" w:pos="378"/>
              </w:tabs>
              <w:jc w:val="center"/>
              <w:rPr>
                <w:b/>
                <w:sz w:val="22"/>
              </w:rPr>
            </w:pPr>
          </w:p>
        </w:tc>
        <w:tc>
          <w:tcPr>
            <w:tcW w:w="1342" w:type="dxa"/>
            <w:tcBorders>
              <w:top w:val="single" w:sz="6" w:space="0" w:color="auto"/>
              <w:left w:val="single" w:sz="6" w:space="0" w:color="auto"/>
              <w:bottom w:val="single" w:sz="6" w:space="0" w:color="auto"/>
              <w:right w:val="single" w:sz="6" w:space="0" w:color="auto"/>
            </w:tcBorders>
          </w:tcPr>
          <w:p w:rsidR="00BF26DA" w:rsidRPr="002045F5" w:rsidRDefault="00BF26DA" w:rsidP="00524DBF">
            <w:pPr>
              <w:shd w:val="clear" w:color="auto" w:fill="FFFFFF"/>
              <w:tabs>
                <w:tab w:val="left" w:pos="378"/>
              </w:tabs>
              <w:rPr>
                <w:sz w:val="22"/>
              </w:rPr>
            </w:pPr>
          </w:p>
        </w:tc>
        <w:tc>
          <w:tcPr>
            <w:tcW w:w="1147" w:type="dxa"/>
            <w:gridSpan w:val="2"/>
            <w:tcBorders>
              <w:top w:val="single" w:sz="6" w:space="0" w:color="auto"/>
              <w:left w:val="single" w:sz="6" w:space="0" w:color="auto"/>
              <w:bottom w:val="single" w:sz="6" w:space="0" w:color="auto"/>
              <w:right w:val="single" w:sz="6" w:space="0" w:color="auto"/>
            </w:tcBorders>
          </w:tcPr>
          <w:p w:rsidR="00BF26DA" w:rsidRPr="002045F5" w:rsidRDefault="00BF26DA" w:rsidP="00524DBF">
            <w:pPr>
              <w:shd w:val="clear" w:color="auto" w:fill="FFFFFF"/>
              <w:tabs>
                <w:tab w:val="left" w:pos="378"/>
              </w:tabs>
              <w:jc w:val="center"/>
              <w:rPr>
                <w:sz w:val="22"/>
              </w:rPr>
            </w:pPr>
            <w:r w:rsidRPr="002045F5">
              <w:rPr>
                <w:sz w:val="22"/>
              </w:rPr>
              <w:t>1500,470</w:t>
            </w:r>
          </w:p>
        </w:tc>
        <w:tc>
          <w:tcPr>
            <w:tcW w:w="1731" w:type="dxa"/>
            <w:gridSpan w:val="2"/>
            <w:tcBorders>
              <w:top w:val="single" w:sz="6" w:space="0" w:color="auto"/>
              <w:left w:val="single" w:sz="6" w:space="0" w:color="auto"/>
              <w:bottom w:val="single" w:sz="6" w:space="0" w:color="auto"/>
              <w:right w:val="single" w:sz="6" w:space="0" w:color="auto"/>
            </w:tcBorders>
          </w:tcPr>
          <w:p w:rsidR="00BF26DA" w:rsidRPr="002045F5" w:rsidRDefault="00BF26DA" w:rsidP="00524DBF">
            <w:pPr>
              <w:shd w:val="clear" w:color="auto" w:fill="FFFFFF"/>
              <w:tabs>
                <w:tab w:val="left" w:pos="378"/>
              </w:tabs>
              <w:rPr>
                <w:sz w:val="22"/>
              </w:rPr>
            </w:pPr>
            <w:r w:rsidRPr="002045F5">
              <w:rPr>
                <w:rFonts w:eastAsia="Calibri"/>
                <w:sz w:val="22"/>
              </w:rPr>
              <w:t>Міжнародні інвестиції</w:t>
            </w:r>
          </w:p>
        </w:tc>
        <w:tc>
          <w:tcPr>
            <w:tcW w:w="1154" w:type="dxa"/>
            <w:tcBorders>
              <w:top w:val="single" w:sz="6" w:space="0" w:color="auto"/>
              <w:left w:val="single" w:sz="6" w:space="0" w:color="auto"/>
              <w:bottom w:val="single" w:sz="6" w:space="0" w:color="auto"/>
              <w:right w:val="single" w:sz="6" w:space="0" w:color="auto"/>
            </w:tcBorders>
          </w:tcPr>
          <w:p w:rsidR="00BF26DA" w:rsidRPr="002045F5" w:rsidRDefault="00BF26DA" w:rsidP="00524DBF">
            <w:pPr>
              <w:shd w:val="clear" w:color="auto" w:fill="FFFFFF"/>
              <w:tabs>
                <w:tab w:val="left" w:pos="378"/>
              </w:tabs>
              <w:jc w:val="center"/>
              <w:rPr>
                <w:sz w:val="22"/>
              </w:rPr>
            </w:pPr>
            <w:r w:rsidRPr="002045F5">
              <w:rPr>
                <w:sz w:val="22"/>
              </w:rPr>
              <w:t>4410,94</w:t>
            </w:r>
          </w:p>
        </w:tc>
      </w:tr>
    </w:tbl>
    <w:p w:rsidR="001E16DF" w:rsidRPr="002045F5" w:rsidRDefault="001E16DF" w:rsidP="00E95FB1">
      <w:pPr>
        <w:rPr>
          <w:sz w:val="22"/>
        </w:rPr>
      </w:pPr>
    </w:p>
    <w:p w:rsidR="001E16DF" w:rsidRPr="002045F5" w:rsidRDefault="001E16DF" w:rsidP="00E95FB1">
      <w:pPr>
        <w:rPr>
          <w:sz w:val="22"/>
        </w:rPr>
      </w:pPr>
    </w:p>
    <w:tbl>
      <w:tblPr>
        <w:tblStyle w:val="af"/>
        <w:tblW w:w="9923" w:type="dxa"/>
        <w:tblInd w:w="-176" w:type="dxa"/>
        <w:tblLayout w:type="fixed"/>
        <w:tblLook w:val="04A0" w:firstRow="1" w:lastRow="0" w:firstColumn="1" w:lastColumn="0" w:noHBand="0" w:noVBand="1"/>
      </w:tblPr>
      <w:tblGrid>
        <w:gridCol w:w="2836"/>
        <w:gridCol w:w="1559"/>
        <w:gridCol w:w="1418"/>
        <w:gridCol w:w="850"/>
        <w:gridCol w:w="1701"/>
        <w:gridCol w:w="425"/>
        <w:gridCol w:w="1134"/>
      </w:tblGrid>
      <w:tr w:rsidR="00076FEB" w:rsidRPr="002045F5" w:rsidTr="00076FEB">
        <w:tc>
          <w:tcPr>
            <w:tcW w:w="2836" w:type="dxa"/>
            <w:shd w:val="clear" w:color="auto" w:fill="C6D9F1" w:themeFill="text2" w:themeFillTint="33"/>
          </w:tcPr>
          <w:p w:rsidR="00076FEB" w:rsidRPr="002045F5" w:rsidRDefault="00076FEB" w:rsidP="00524DBF">
            <w:pPr>
              <w:rPr>
                <w:b/>
                <w:color w:val="000000" w:themeColor="text1"/>
                <w:sz w:val="22"/>
                <w:lang w:val="uk-UA"/>
              </w:rPr>
            </w:pPr>
            <w:r w:rsidRPr="002045F5">
              <w:rPr>
                <w:b/>
                <w:color w:val="000000" w:themeColor="text1"/>
                <w:sz w:val="22"/>
                <w:lang w:val="uk-UA"/>
              </w:rPr>
              <w:t>Оперативна ціль/завдання</w:t>
            </w:r>
          </w:p>
        </w:tc>
        <w:tc>
          <w:tcPr>
            <w:tcW w:w="7087" w:type="dxa"/>
            <w:gridSpan w:val="6"/>
          </w:tcPr>
          <w:p w:rsidR="00076FEB" w:rsidRPr="002045F5" w:rsidRDefault="00076FEB" w:rsidP="00524DBF">
            <w:pPr>
              <w:rPr>
                <w:color w:val="000000" w:themeColor="text1"/>
                <w:sz w:val="22"/>
                <w:lang w:val="uk-UA"/>
              </w:rPr>
            </w:pPr>
            <w:r w:rsidRPr="002045F5">
              <w:rPr>
                <w:rStyle w:val="2055"/>
                <w:rFonts w:eastAsia="Arial"/>
                <w:color w:val="000000" w:themeColor="text1"/>
                <w:sz w:val="22"/>
                <w:lang w:val="uk-UA"/>
              </w:rPr>
              <w:t xml:space="preserve">Людський розвиток через інновації управління та довіру до влади. Формування сучасного інклюзивного  </w:t>
            </w:r>
            <w:proofErr w:type="spellStart"/>
            <w:r w:rsidRPr="002045F5">
              <w:rPr>
                <w:rStyle w:val="2055"/>
                <w:rFonts w:eastAsia="Arial"/>
                <w:color w:val="000000" w:themeColor="text1"/>
                <w:sz w:val="22"/>
                <w:lang w:val="uk-UA"/>
              </w:rPr>
              <w:t>освітньо</w:t>
            </w:r>
            <w:proofErr w:type="spellEnd"/>
            <w:r w:rsidRPr="002045F5">
              <w:rPr>
                <w:rStyle w:val="2055"/>
                <w:rFonts w:eastAsia="Arial"/>
                <w:color w:val="000000" w:themeColor="text1"/>
                <w:sz w:val="22"/>
                <w:lang w:val="uk-UA"/>
              </w:rPr>
              <w:t xml:space="preserve">-культурного та спортивного простору для розвитку. </w:t>
            </w:r>
          </w:p>
        </w:tc>
      </w:tr>
      <w:tr w:rsidR="00076FEB" w:rsidRPr="002045F5" w:rsidTr="00076FEB">
        <w:tc>
          <w:tcPr>
            <w:tcW w:w="2836" w:type="dxa"/>
            <w:shd w:val="clear" w:color="auto" w:fill="C6D9F1" w:themeFill="text2" w:themeFillTint="33"/>
          </w:tcPr>
          <w:p w:rsidR="00076FEB" w:rsidRPr="002045F5" w:rsidRDefault="00076FEB" w:rsidP="00524DBF">
            <w:pPr>
              <w:rPr>
                <w:b/>
                <w:sz w:val="22"/>
                <w:lang w:val="uk-UA"/>
              </w:rPr>
            </w:pPr>
            <w:r w:rsidRPr="002045F5">
              <w:rPr>
                <w:rFonts w:eastAsia="Calibri"/>
                <w:b/>
                <w:color w:val="000000"/>
                <w:sz w:val="22"/>
                <w:lang w:val="uk-UA"/>
              </w:rPr>
              <w:t>Назва проекту</w:t>
            </w:r>
          </w:p>
        </w:tc>
        <w:tc>
          <w:tcPr>
            <w:tcW w:w="7087" w:type="dxa"/>
            <w:gridSpan w:val="6"/>
          </w:tcPr>
          <w:p w:rsidR="00076FEB" w:rsidRPr="002045F5" w:rsidRDefault="00076FEB" w:rsidP="00524DBF">
            <w:pPr>
              <w:rPr>
                <w:sz w:val="22"/>
                <w:lang w:val="uk-UA"/>
              </w:rPr>
            </w:pPr>
            <w:r w:rsidRPr="002045F5">
              <w:rPr>
                <w:rFonts w:eastAsia="Calibri"/>
                <w:color w:val="000000" w:themeColor="text1"/>
                <w:sz w:val="22"/>
                <w:lang w:val="uk-UA"/>
              </w:rPr>
              <w:t xml:space="preserve">Відновлення діяльності </w:t>
            </w:r>
            <w:r w:rsidRPr="002045F5">
              <w:rPr>
                <w:rFonts w:eastAsia="Calibri"/>
                <w:sz w:val="22"/>
                <w:lang w:val="uk-UA"/>
              </w:rPr>
              <w:t>Комунальної установи «</w:t>
            </w:r>
            <w:proofErr w:type="spellStart"/>
            <w:r w:rsidRPr="002045F5">
              <w:rPr>
                <w:rFonts w:eastAsia="Calibri"/>
                <w:sz w:val="22"/>
                <w:lang w:val="uk-UA"/>
              </w:rPr>
              <w:t>Інклюзивно</w:t>
            </w:r>
            <w:proofErr w:type="spellEnd"/>
            <w:r w:rsidRPr="002045F5">
              <w:rPr>
                <w:rFonts w:eastAsia="Calibri"/>
                <w:sz w:val="22"/>
                <w:lang w:val="uk-UA"/>
              </w:rPr>
              <w:t xml:space="preserve">-ресурсний центр» Сєвєродонецької міської </w:t>
            </w:r>
            <w:r w:rsidRPr="002045F5">
              <w:rPr>
                <w:rFonts w:eastAsia="Calibri"/>
                <w:color w:val="000000" w:themeColor="text1"/>
                <w:sz w:val="22"/>
                <w:lang w:val="uk-UA"/>
              </w:rPr>
              <w:t>ради, місто Сєвєродонецьк, Вулиця  Гагаріна, будинок 113</w:t>
            </w:r>
          </w:p>
        </w:tc>
      </w:tr>
      <w:tr w:rsidR="00076FEB" w:rsidRPr="002045F5" w:rsidTr="00076FEB">
        <w:tc>
          <w:tcPr>
            <w:tcW w:w="2836" w:type="dxa"/>
            <w:shd w:val="clear" w:color="auto" w:fill="C6D9F1" w:themeFill="text2" w:themeFillTint="33"/>
          </w:tcPr>
          <w:p w:rsidR="00076FEB" w:rsidRPr="002045F5" w:rsidRDefault="00076FEB" w:rsidP="00524DBF">
            <w:pPr>
              <w:rPr>
                <w:b/>
                <w:sz w:val="22"/>
                <w:lang w:val="uk-UA"/>
              </w:rPr>
            </w:pPr>
            <w:r w:rsidRPr="002045F5">
              <w:rPr>
                <w:rFonts w:eastAsia="Calibri"/>
                <w:b/>
                <w:color w:val="000000"/>
                <w:sz w:val="22"/>
                <w:lang w:val="uk-UA"/>
              </w:rPr>
              <w:t>Ціль проекту</w:t>
            </w:r>
          </w:p>
        </w:tc>
        <w:tc>
          <w:tcPr>
            <w:tcW w:w="7087" w:type="dxa"/>
            <w:gridSpan w:val="6"/>
          </w:tcPr>
          <w:p w:rsidR="00076FEB" w:rsidRPr="002045F5" w:rsidRDefault="00076FEB" w:rsidP="00524DBF">
            <w:pPr>
              <w:pStyle w:val="2667"/>
              <w:tabs>
                <w:tab w:val="left" w:pos="356"/>
              </w:tabs>
              <w:spacing w:before="0" w:beforeAutospacing="0" w:after="0" w:afterAutospacing="0"/>
              <w:jc w:val="both"/>
              <w:rPr>
                <w:color w:val="000000"/>
                <w:sz w:val="22"/>
                <w:lang w:val="uk-UA"/>
              </w:rPr>
            </w:pPr>
            <w:r w:rsidRPr="002045F5">
              <w:rPr>
                <w:color w:val="000000"/>
                <w:sz w:val="22"/>
                <w:lang w:val="uk-UA"/>
              </w:rPr>
              <w:t xml:space="preserve">1. Відновити та покращити роботу </w:t>
            </w:r>
            <w:r w:rsidRPr="002045F5">
              <w:rPr>
                <w:rFonts w:eastAsia="Calibri"/>
                <w:sz w:val="22"/>
                <w:lang w:val="uk-UA"/>
              </w:rPr>
              <w:t>Комунальної установи «</w:t>
            </w:r>
            <w:proofErr w:type="spellStart"/>
            <w:r w:rsidRPr="002045F5">
              <w:rPr>
                <w:rFonts w:eastAsia="Calibri"/>
                <w:sz w:val="22"/>
                <w:lang w:val="uk-UA"/>
              </w:rPr>
              <w:t>Інклюзивно</w:t>
            </w:r>
            <w:proofErr w:type="spellEnd"/>
            <w:r w:rsidRPr="002045F5">
              <w:rPr>
                <w:rFonts w:eastAsia="Calibri"/>
                <w:sz w:val="22"/>
                <w:lang w:val="uk-UA"/>
              </w:rPr>
              <w:t xml:space="preserve">-ресурсний центр» Сєвєродонецької міської </w:t>
            </w:r>
            <w:r w:rsidRPr="002045F5">
              <w:rPr>
                <w:rFonts w:eastAsia="Calibri"/>
                <w:color w:val="000000" w:themeColor="text1"/>
                <w:sz w:val="22"/>
                <w:lang w:val="uk-UA"/>
              </w:rPr>
              <w:t>ради,</w:t>
            </w:r>
          </w:p>
          <w:p w:rsidR="00076FEB" w:rsidRPr="002045F5" w:rsidRDefault="00076FEB" w:rsidP="00524DBF">
            <w:pPr>
              <w:pStyle w:val="2667"/>
              <w:tabs>
                <w:tab w:val="left" w:pos="356"/>
              </w:tabs>
              <w:spacing w:before="0" w:beforeAutospacing="0" w:after="0" w:afterAutospacing="0"/>
              <w:jc w:val="both"/>
              <w:rPr>
                <w:color w:val="000000"/>
                <w:sz w:val="22"/>
                <w:lang w:val="uk-UA"/>
              </w:rPr>
            </w:pPr>
            <w:r w:rsidRPr="002045F5">
              <w:rPr>
                <w:color w:val="000000"/>
                <w:sz w:val="22"/>
                <w:lang w:val="uk-UA"/>
              </w:rPr>
              <w:t>1. Оновлення матеріально – технічної бази К</w:t>
            </w:r>
            <w:r w:rsidRPr="002045F5">
              <w:rPr>
                <w:sz w:val="22"/>
                <w:lang w:val="uk-UA"/>
              </w:rPr>
              <w:t>У «ІРЦ»</w:t>
            </w:r>
            <w:r w:rsidRPr="002045F5">
              <w:rPr>
                <w:color w:val="000000"/>
                <w:sz w:val="22"/>
                <w:lang w:val="uk-UA"/>
              </w:rPr>
              <w:t xml:space="preserve"> з метою надання якісних освітніх послуг.</w:t>
            </w:r>
          </w:p>
          <w:p w:rsidR="00076FEB" w:rsidRPr="002045F5" w:rsidRDefault="00076FEB" w:rsidP="00524DBF">
            <w:pPr>
              <w:pStyle w:val="2667"/>
              <w:tabs>
                <w:tab w:val="left" w:pos="356"/>
              </w:tabs>
              <w:spacing w:before="0" w:beforeAutospacing="0" w:after="0" w:afterAutospacing="0"/>
              <w:jc w:val="both"/>
              <w:rPr>
                <w:sz w:val="22"/>
                <w:lang w:val="uk-UA"/>
              </w:rPr>
            </w:pPr>
            <w:r w:rsidRPr="002045F5">
              <w:rPr>
                <w:sz w:val="22"/>
                <w:lang w:val="uk-UA"/>
              </w:rPr>
              <w:t>2. Проведення комплексної психолого-педагогічної оцінки розвитку дитини.</w:t>
            </w:r>
          </w:p>
          <w:p w:rsidR="00076FEB" w:rsidRPr="002045F5" w:rsidRDefault="00076FEB" w:rsidP="00524DBF">
            <w:pPr>
              <w:rPr>
                <w:sz w:val="22"/>
                <w:lang w:val="uk-UA"/>
              </w:rPr>
            </w:pPr>
            <w:r w:rsidRPr="002045F5">
              <w:rPr>
                <w:color w:val="000000" w:themeColor="text1"/>
                <w:sz w:val="22"/>
                <w:lang w:val="uk-UA"/>
              </w:rPr>
              <w:t>3. Надання психолого-педагогічних, корекційно</w:t>
            </w:r>
            <w:r w:rsidRPr="002045F5">
              <w:rPr>
                <w:sz w:val="22"/>
                <w:lang w:val="uk-UA"/>
              </w:rPr>
              <w:t>-розвивальних послуг дітям з особливими освітніми потребами та забезпечення їх системного кваліфікованого супроводу.</w:t>
            </w:r>
          </w:p>
          <w:p w:rsidR="00076FEB" w:rsidRPr="002045F5" w:rsidRDefault="00076FEB" w:rsidP="00524DBF">
            <w:pPr>
              <w:rPr>
                <w:color w:val="000000" w:themeColor="text1"/>
                <w:sz w:val="22"/>
                <w:lang w:val="uk-UA"/>
              </w:rPr>
            </w:pPr>
            <w:r w:rsidRPr="002045F5">
              <w:rPr>
                <w:color w:val="000000" w:themeColor="text1"/>
                <w:sz w:val="22"/>
                <w:lang w:val="uk-UA"/>
              </w:rPr>
              <w:t>4. Надання консультативної, психологічної допомоги батькам, іншим законним представникам осіб з особливими освітніми потребами у формуванні позитивної мотивації щодо розвитку таких дітей та підвищення обізнаності щодо організації їх навчання і виховання.</w:t>
            </w:r>
          </w:p>
          <w:p w:rsidR="00076FEB" w:rsidRPr="002045F5" w:rsidRDefault="00076FEB" w:rsidP="00524DBF">
            <w:pPr>
              <w:rPr>
                <w:sz w:val="22"/>
                <w:lang w:val="uk-UA"/>
              </w:rPr>
            </w:pPr>
            <w:r w:rsidRPr="002045F5">
              <w:rPr>
                <w:sz w:val="22"/>
                <w:lang w:val="uk-UA"/>
              </w:rPr>
              <w:t>5</w:t>
            </w:r>
            <w:r w:rsidRPr="002045F5">
              <w:rPr>
                <w:color w:val="000000" w:themeColor="text1"/>
                <w:sz w:val="22"/>
                <w:lang w:val="uk-UA"/>
              </w:rPr>
              <w:t xml:space="preserve">. Моніторинг динаміки розвитку </w:t>
            </w:r>
            <w:r w:rsidRPr="002045F5">
              <w:rPr>
                <w:sz w:val="22"/>
                <w:lang w:val="uk-UA"/>
              </w:rPr>
              <w:t>дітей з особливими освітніми потребами шляхом взаємодії з їх батьками (законними представниками) та закладами освіти, в яких вони навчаються;</w:t>
            </w:r>
          </w:p>
          <w:p w:rsidR="00076FEB" w:rsidRPr="002045F5" w:rsidRDefault="00076FEB" w:rsidP="00524DBF">
            <w:pPr>
              <w:rPr>
                <w:sz w:val="22"/>
                <w:lang w:val="uk-UA"/>
              </w:rPr>
            </w:pPr>
            <w:r w:rsidRPr="002045F5">
              <w:rPr>
                <w:sz w:val="22"/>
                <w:lang w:val="uk-UA"/>
              </w:rPr>
              <w:t>6. Організація інформаційно-просвітницької діяльності шляхом проведення конференцій, семінарів, засідань за круглим столом, тренінгів, майстер-класів з питань надання психолого-педагогічних та корекційно-</w:t>
            </w:r>
            <w:proofErr w:type="spellStart"/>
            <w:r w:rsidRPr="002045F5">
              <w:rPr>
                <w:sz w:val="22"/>
                <w:lang w:val="uk-UA"/>
              </w:rPr>
              <w:t>розвиткових</w:t>
            </w:r>
            <w:proofErr w:type="spellEnd"/>
            <w:r w:rsidRPr="002045F5">
              <w:rPr>
                <w:sz w:val="22"/>
                <w:lang w:val="uk-UA"/>
              </w:rPr>
              <w:t xml:space="preserve"> послуг дітям з особливими освітніми потребами.</w:t>
            </w:r>
          </w:p>
          <w:p w:rsidR="00076FEB" w:rsidRPr="002045F5" w:rsidRDefault="00076FEB" w:rsidP="00524DBF">
            <w:pPr>
              <w:rPr>
                <w:sz w:val="22"/>
                <w:lang w:val="uk-UA"/>
              </w:rPr>
            </w:pPr>
            <w:r w:rsidRPr="002045F5">
              <w:rPr>
                <w:sz w:val="22"/>
                <w:lang w:val="uk-UA"/>
              </w:rPr>
              <w:t>7. Задоволення потреб мешканців Сєвєродонецької міської територіальної громади у необхідних послугах.</w:t>
            </w:r>
          </w:p>
          <w:p w:rsidR="00076FEB" w:rsidRPr="002045F5" w:rsidRDefault="00076FEB" w:rsidP="00524DBF">
            <w:pPr>
              <w:rPr>
                <w:sz w:val="22"/>
                <w:lang w:val="uk-UA"/>
              </w:rPr>
            </w:pPr>
            <w:r w:rsidRPr="002045F5">
              <w:rPr>
                <w:sz w:val="22"/>
                <w:lang w:val="uk-UA"/>
              </w:rPr>
              <w:t>8. Надання психологічної підтримки дітям, які зазнали психологічної травми під час військових дій.</w:t>
            </w:r>
          </w:p>
        </w:tc>
      </w:tr>
      <w:tr w:rsidR="00076FEB" w:rsidRPr="002045F5" w:rsidTr="00076FEB">
        <w:tc>
          <w:tcPr>
            <w:tcW w:w="2836" w:type="dxa"/>
            <w:shd w:val="clear" w:color="auto" w:fill="C6D9F1" w:themeFill="text2" w:themeFillTint="33"/>
          </w:tcPr>
          <w:p w:rsidR="00076FEB" w:rsidRPr="002045F5" w:rsidRDefault="00076FEB" w:rsidP="00524DBF">
            <w:pPr>
              <w:rPr>
                <w:b/>
                <w:sz w:val="22"/>
                <w:lang w:val="uk-UA"/>
              </w:rPr>
            </w:pPr>
            <w:r w:rsidRPr="002045F5">
              <w:rPr>
                <w:rFonts w:eastAsia="Calibri"/>
                <w:b/>
                <w:color w:val="000000"/>
                <w:sz w:val="22"/>
                <w:lang w:val="uk-UA"/>
              </w:rPr>
              <w:t>Територія, на яку матиме вплив реалізація проекту</w:t>
            </w:r>
          </w:p>
        </w:tc>
        <w:tc>
          <w:tcPr>
            <w:tcW w:w="7087" w:type="dxa"/>
            <w:gridSpan w:val="6"/>
          </w:tcPr>
          <w:p w:rsidR="00076FEB" w:rsidRPr="002045F5" w:rsidRDefault="00076FEB" w:rsidP="00524DBF">
            <w:pPr>
              <w:rPr>
                <w:sz w:val="22"/>
                <w:lang w:val="uk-UA"/>
              </w:rPr>
            </w:pPr>
            <w:r w:rsidRPr="002045F5">
              <w:rPr>
                <w:rFonts w:eastAsia="Calibri"/>
                <w:color w:val="000000"/>
                <w:sz w:val="22"/>
                <w:lang w:val="uk-UA"/>
              </w:rPr>
              <w:t>Сєвєродонецька міська територіальна громада</w:t>
            </w:r>
          </w:p>
        </w:tc>
      </w:tr>
      <w:tr w:rsidR="00076FEB" w:rsidRPr="002045F5" w:rsidTr="00076FEB">
        <w:tc>
          <w:tcPr>
            <w:tcW w:w="2836" w:type="dxa"/>
            <w:shd w:val="clear" w:color="auto" w:fill="C6D9F1" w:themeFill="text2" w:themeFillTint="33"/>
          </w:tcPr>
          <w:p w:rsidR="00076FEB" w:rsidRPr="002045F5" w:rsidRDefault="00076FEB" w:rsidP="00524DBF">
            <w:pPr>
              <w:rPr>
                <w:b/>
                <w:color w:val="000000" w:themeColor="text1"/>
                <w:sz w:val="22"/>
                <w:lang w:val="uk-UA"/>
              </w:rPr>
            </w:pPr>
            <w:r w:rsidRPr="002045F5">
              <w:rPr>
                <w:b/>
                <w:color w:val="000000" w:themeColor="text1"/>
                <w:sz w:val="22"/>
                <w:lang w:val="uk-UA"/>
              </w:rPr>
              <w:t>Чисельність населення, на яке матиме вплив реалізація проекту</w:t>
            </w:r>
          </w:p>
          <w:p w:rsidR="00076FEB" w:rsidRPr="002045F5" w:rsidRDefault="00076FEB" w:rsidP="00524DBF">
            <w:pPr>
              <w:rPr>
                <w:b/>
                <w:sz w:val="22"/>
                <w:lang w:val="uk-UA"/>
              </w:rPr>
            </w:pPr>
          </w:p>
        </w:tc>
        <w:tc>
          <w:tcPr>
            <w:tcW w:w="7087" w:type="dxa"/>
            <w:gridSpan w:val="6"/>
          </w:tcPr>
          <w:p w:rsidR="00076FEB" w:rsidRPr="002045F5" w:rsidRDefault="00076FEB" w:rsidP="00524DBF">
            <w:pPr>
              <w:rPr>
                <w:sz w:val="22"/>
                <w:lang w:val="uk-UA"/>
              </w:rPr>
            </w:pPr>
            <w:r w:rsidRPr="002045F5">
              <w:rPr>
                <w:rStyle w:val="2055"/>
                <w:rFonts w:eastAsia="Arial"/>
                <w:color w:val="000000"/>
                <w:sz w:val="22"/>
                <w:lang w:val="uk-UA"/>
              </w:rPr>
              <w:t xml:space="preserve"> 70 000 осіб</w:t>
            </w:r>
          </w:p>
        </w:tc>
      </w:tr>
      <w:tr w:rsidR="00076FEB" w:rsidRPr="002045F5" w:rsidTr="00076FEB">
        <w:tc>
          <w:tcPr>
            <w:tcW w:w="2836" w:type="dxa"/>
            <w:shd w:val="clear" w:color="auto" w:fill="C6D9F1" w:themeFill="text2" w:themeFillTint="33"/>
          </w:tcPr>
          <w:p w:rsidR="00076FEB" w:rsidRPr="002045F5" w:rsidRDefault="00076FEB" w:rsidP="00524DBF">
            <w:pPr>
              <w:rPr>
                <w:b/>
                <w:sz w:val="22"/>
                <w:lang w:val="uk-UA"/>
              </w:rPr>
            </w:pPr>
            <w:r w:rsidRPr="002045F5">
              <w:rPr>
                <w:b/>
                <w:sz w:val="22"/>
                <w:lang w:val="uk-UA"/>
              </w:rPr>
              <w:t>Опис проблеми, на вирішення якої спрямований проект</w:t>
            </w:r>
          </w:p>
        </w:tc>
        <w:tc>
          <w:tcPr>
            <w:tcW w:w="7087" w:type="dxa"/>
            <w:gridSpan w:val="6"/>
          </w:tcPr>
          <w:p w:rsidR="00076FEB" w:rsidRPr="002045F5" w:rsidRDefault="00076FEB" w:rsidP="00524DBF">
            <w:pPr>
              <w:rPr>
                <w:sz w:val="22"/>
                <w:lang w:val="uk-UA"/>
              </w:rPr>
            </w:pPr>
            <w:r w:rsidRPr="002045F5">
              <w:rPr>
                <w:sz w:val="22"/>
                <w:lang w:val="uk-UA"/>
              </w:rPr>
              <w:t xml:space="preserve">У зв’язку з військовою агресією, бойовими діями на території України працівники КУ «ІРЦ» </w:t>
            </w:r>
            <w:r w:rsidRPr="002045F5">
              <w:rPr>
                <w:color w:val="000000" w:themeColor="text1"/>
                <w:sz w:val="22"/>
                <w:bdr w:val="none" w:sz="0" w:space="0" w:color="auto" w:frame="1"/>
                <w:lang w:val="uk-UA"/>
              </w:rPr>
              <w:t xml:space="preserve">втратили доступ до приміщень, </w:t>
            </w:r>
            <w:r w:rsidRPr="002045F5">
              <w:rPr>
                <w:color w:val="010101"/>
                <w:sz w:val="22"/>
                <w:bdr w:val="none" w:sz="0" w:space="0" w:color="auto" w:frame="1"/>
                <w:lang w:val="uk-UA"/>
              </w:rPr>
              <w:t>навчально-методичних посібників, спеціального обладнання</w:t>
            </w:r>
            <w:r w:rsidRPr="002045F5">
              <w:rPr>
                <w:i/>
                <w:color w:val="010101"/>
                <w:sz w:val="22"/>
                <w:bdr w:val="none" w:sz="0" w:space="0" w:color="auto" w:frame="1"/>
                <w:lang w:val="uk-UA"/>
              </w:rPr>
              <w:t xml:space="preserve">, </w:t>
            </w:r>
            <w:r w:rsidRPr="002045F5">
              <w:rPr>
                <w:color w:val="010101"/>
                <w:sz w:val="22"/>
                <w:bdr w:val="none" w:sz="0" w:space="0" w:color="auto" w:frame="1"/>
                <w:lang w:val="uk-UA"/>
              </w:rPr>
              <w:t xml:space="preserve">оргтехніки. </w:t>
            </w:r>
            <w:r w:rsidRPr="002045F5">
              <w:rPr>
                <w:rFonts w:eastAsia="Calibri"/>
                <w:color w:val="000000" w:themeColor="text1"/>
                <w:sz w:val="22"/>
                <w:lang w:val="uk-UA"/>
              </w:rPr>
              <w:t xml:space="preserve">Відновлення роботи КУ «ІРЦ» при </w:t>
            </w:r>
            <w:proofErr w:type="spellStart"/>
            <w:r w:rsidRPr="002045F5">
              <w:rPr>
                <w:rFonts w:eastAsia="Calibri"/>
                <w:color w:val="000000" w:themeColor="text1"/>
                <w:sz w:val="22"/>
                <w:lang w:val="uk-UA"/>
              </w:rPr>
              <w:t>деокупації</w:t>
            </w:r>
            <w:proofErr w:type="spellEnd"/>
            <w:r w:rsidRPr="002045F5">
              <w:rPr>
                <w:rFonts w:eastAsia="Calibri"/>
                <w:color w:val="000000" w:themeColor="text1"/>
                <w:sz w:val="22"/>
                <w:lang w:val="uk-UA"/>
              </w:rPr>
              <w:t xml:space="preserve"> </w:t>
            </w:r>
            <w:proofErr w:type="spellStart"/>
            <w:r w:rsidRPr="002045F5">
              <w:rPr>
                <w:rFonts w:eastAsia="Calibri"/>
                <w:color w:val="000000" w:themeColor="text1"/>
                <w:sz w:val="22"/>
                <w:lang w:val="uk-UA"/>
              </w:rPr>
              <w:t>м.Сєвєродонецьк</w:t>
            </w:r>
            <w:proofErr w:type="spellEnd"/>
            <w:r w:rsidRPr="002045F5">
              <w:rPr>
                <w:rFonts w:eastAsia="Calibri"/>
                <w:color w:val="000000" w:themeColor="text1"/>
                <w:sz w:val="22"/>
                <w:lang w:val="uk-UA"/>
              </w:rPr>
              <w:t xml:space="preserve"> є головною </w:t>
            </w:r>
            <w:r w:rsidRPr="002045F5">
              <w:rPr>
                <w:rFonts w:eastAsia="Calibri"/>
                <w:color w:val="000000" w:themeColor="text1"/>
                <w:sz w:val="22"/>
                <w:shd w:val="clear" w:color="auto" w:fill="FFFFFF"/>
                <w:lang w:val="uk-UA"/>
              </w:rPr>
              <w:t xml:space="preserve">метою для забезпечення права осіб з особливими освітніми потребами на здобуття дошкільної та загальної середньої освіти, в тому числі у закладах професійної (професійно-технічної), фахової </w:t>
            </w:r>
            <w:proofErr w:type="spellStart"/>
            <w:r w:rsidRPr="002045F5">
              <w:rPr>
                <w:rFonts w:eastAsia="Calibri"/>
                <w:color w:val="000000" w:themeColor="text1"/>
                <w:sz w:val="22"/>
                <w:shd w:val="clear" w:color="auto" w:fill="FFFFFF"/>
                <w:lang w:val="uk-UA"/>
              </w:rPr>
              <w:t>передвищої</w:t>
            </w:r>
            <w:proofErr w:type="spellEnd"/>
            <w:r w:rsidRPr="002045F5">
              <w:rPr>
                <w:rFonts w:eastAsia="Calibri"/>
                <w:color w:val="000000" w:themeColor="text1"/>
                <w:sz w:val="22"/>
                <w:shd w:val="clear" w:color="auto" w:fill="FFFFFF"/>
                <w:lang w:val="uk-UA"/>
              </w:rPr>
              <w:t xml:space="preserve"> освіти та інших закладах освіти, які забезпечують здобуття освіти шляхом проведення комплексної психолого-педагогічної оцінки розвитку особи та забезпечення їх системного кваліфікованого </w:t>
            </w:r>
            <w:r w:rsidRPr="002045F5">
              <w:rPr>
                <w:rFonts w:eastAsia="Calibri"/>
                <w:color w:val="000000" w:themeColor="text1"/>
                <w:sz w:val="22"/>
                <w:shd w:val="clear" w:color="auto" w:fill="FFFFFF"/>
                <w:lang w:val="uk-UA"/>
              </w:rPr>
              <w:lastRenderedPageBreak/>
              <w:t>супроводу. Надання послуг КУ «ІРЦ» , які відповідають нормам сучасності.</w:t>
            </w:r>
          </w:p>
        </w:tc>
      </w:tr>
      <w:tr w:rsidR="00076FEB" w:rsidRPr="002045F5" w:rsidTr="00076FEB">
        <w:tc>
          <w:tcPr>
            <w:tcW w:w="2836" w:type="dxa"/>
            <w:shd w:val="clear" w:color="auto" w:fill="C6D9F1" w:themeFill="text2" w:themeFillTint="33"/>
          </w:tcPr>
          <w:p w:rsidR="00076FEB" w:rsidRPr="002045F5" w:rsidRDefault="00076FEB" w:rsidP="00524DBF">
            <w:pPr>
              <w:rPr>
                <w:b/>
                <w:sz w:val="22"/>
                <w:lang w:val="uk-UA"/>
              </w:rPr>
            </w:pPr>
            <w:r w:rsidRPr="002045F5">
              <w:rPr>
                <w:b/>
                <w:sz w:val="22"/>
                <w:lang w:val="uk-UA"/>
              </w:rPr>
              <w:lastRenderedPageBreak/>
              <w:t>Очікувані якісні результати від реалізації проекту</w:t>
            </w:r>
          </w:p>
        </w:tc>
        <w:tc>
          <w:tcPr>
            <w:tcW w:w="7087" w:type="dxa"/>
            <w:gridSpan w:val="6"/>
          </w:tcPr>
          <w:p w:rsidR="00076FEB" w:rsidRPr="002045F5" w:rsidRDefault="00076FEB" w:rsidP="00524DBF">
            <w:pPr>
              <w:rPr>
                <w:sz w:val="22"/>
                <w:lang w:val="uk-UA"/>
              </w:rPr>
            </w:pPr>
            <w:r w:rsidRPr="002045F5">
              <w:rPr>
                <w:color w:val="000000" w:themeColor="text1"/>
                <w:sz w:val="22"/>
                <w:lang w:val="uk-UA"/>
              </w:rPr>
              <w:t>Відновлення</w:t>
            </w:r>
            <w:r w:rsidRPr="002045F5">
              <w:rPr>
                <w:color w:val="FF0000"/>
                <w:sz w:val="22"/>
                <w:lang w:val="uk-UA"/>
              </w:rPr>
              <w:t xml:space="preserve"> </w:t>
            </w:r>
            <w:r w:rsidRPr="002045F5">
              <w:rPr>
                <w:sz w:val="22"/>
                <w:lang w:val="uk-UA"/>
              </w:rPr>
              <w:t>роботи КУ «ІРЦ», спрямоване на реалізацію права на освіту осіб з особливими освітніми потребами  без дискримінації:</w:t>
            </w:r>
          </w:p>
          <w:p w:rsidR="00076FEB" w:rsidRPr="002045F5" w:rsidRDefault="00076FEB" w:rsidP="00524DBF">
            <w:pPr>
              <w:autoSpaceDE w:val="0"/>
              <w:autoSpaceDN w:val="0"/>
              <w:adjustRightInd w:val="0"/>
              <w:rPr>
                <w:color w:val="000000" w:themeColor="text1"/>
                <w:sz w:val="22"/>
                <w:lang w:val="uk-UA"/>
              </w:rPr>
            </w:pPr>
            <w:r w:rsidRPr="002045F5">
              <w:rPr>
                <w:sz w:val="22"/>
                <w:lang w:val="uk-UA"/>
              </w:rPr>
              <w:t xml:space="preserve">1. Діти з ООП навчаються у закладах загальної освіти та </w:t>
            </w:r>
            <w:r w:rsidRPr="002045F5">
              <w:rPr>
                <w:color w:val="000000" w:themeColor="text1"/>
                <w:sz w:val="22"/>
                <w:lang w:val="uk-UA"/>
              </w:rPr>
              <w:t>отримують необхідну додаткову підтримку в освітньому процесі.</w:t>
            </w:r>
          </w:p>
          <w:p w:rsidR="00076FEB" w:rsidRPr="002045F5" w:rsidRDefault="00076FEB" w:rsidP="00524DBF">
            <w:pPr>
              <w:autoSpaceDE w:val="0"/>
              <w:autoSpaceDN w:val="0"/>
              <w:adjustRightInd w:val="0"/>
              <w:rPr>
                <w:color w:val="000000" w:themeColor="text1"/>
                <w:sz w:val="22"/>
                <w:lang w:val="uk-UA"/>
              </w:rPr>
            </w:pPr>
            <w:r w:rsidRPr="002045F5">
              <w:rPr>
                <w:color w:val="000000" w:themeColor="text1"/>
                <w:sz w:val="22"/>
                <w:lang w:val="uk-UA"/>
              </w:rPr>
              <w:t>2. Індивідуальні особливості розвитку та потреби дітей є основою планування освітнього процесу.</w:t>
            </w:r>
          </w:p>
          <w:p w:rsidR="00076FEB" w:rsidRPr="002045F5" w:rsidRDefault="00076FEB" w:rsidP="00524DBF">
            <w:pPr>
              <w:autoSpaceDE w:val="0"/>
              <w:autoSpaceDN w:val="0"/>
              <w:adjustRightInd w:val="0"/>
              <w:rPr>
                <w:color w:val="000000" w:themeColor="text1"/>
                <w:sz w:val="22"/>
                <w:lang w:val="uk-UA"/>
              </w:rPr>
            </w:pPr>
            <w:r w:rsidRPr="002045F5">
              <w:rPr>
                <w:color w:val="000000" w:themeColor="text1"/>
                <w:sz w:val="22"/>
                <w:lang w:val="uk-UA"/>
              </w:rPr>
              <w:t>3. Освітні цілі визначаються в залежності від індивідуальних особливостей розвитку та потреб дитини.</w:t>
            </w:r>
          </w:p>
          <w:p w:rsidR="00076FEB" w:rsidRPr="002045F5" w:rsidRDefault="00076FEB" w:rsidP="00524DBF">
            <w:pPr>
              <w:autoSpaceDE w:val="0"/>
              <w:autoSpaceDN w:val="0"/>
              <w:adjustRightInd w:val="0"/>
              <w:rPr>
                <w:color w:val="000000" w:themeColor="text1"/>
                <w:sz w:val="22"/>
                <w:lang w:val="uk-UA"/>
              </w:rPr>
            </w:pPr>
            <w:r w:rsidRPr="002045F5">
              <w:rPr>
                <w:color w:val="000000" w:themeColor="text1"/>
                <w:sz w:val="22"/>
                <w:lang w:val="uk-UA"/>
              </w:rPr>
              <w:t>4. Для кожної дитини з ООП розробляється індивідуальна програма розвитку. За потреби розробляється індивідуальна навчальна програма та індивідуальний навчальний план.</w:t>
            </w:r>
          </w:p>
          <w:p w:rsidR="00076FEB" w:rsidRPr="002045F5" w:rsidRDefault="00076FEB" w:rsidP="00524DBF">
            <w:pPr>
              <w:autoSpaceDE w:val="0"/>
              <w:autoSpaceDN w:val="0"/>
              <w:adjustRightInd w:val="0"/>
              <w:rPr>
                <w:color w:val="000000" w:themeColor="text1"/>
                <w:sz w:val="22"/>
                <w:lang w:val="uk-UA"/>
              </w:rPr>
            </w:pPr>
            <w:r w:rsidRPr="002045F5">
              <w:rPr>
                <w:color w:val="000000" w:themeColor="text1"/>
                <w:sz w:val="22"/>
                <w:lang w:val="uk-UA"/>
              </w:rPr>
              <w:t>5. Критерії та методи оцінювання адаптуються відповідно до індивідуальних особливостей дитини.</w:t>
            </w:r>
          </w:p>
          <w:p w:rsidR="00076FEB" w:rsidRPr="002045F5" w:rsidRDefault="00076FEB" w:rsidP="00524DBF">
            <w:pPr>
              <w:autoSpaceDE w:val="0"/>
              <w:autoSpaceDN w:val="0"/>
              <w:adjustRightInd w:val="0"/>
              <w:rPr>
                <w:sz w:val="22"/>
                <w:lang w:val="uk-UA"/>
              </w:rPr>
            </w:pPr>
            <w:r w:rsidRPr="002045F5">
              <w:rPr>
                <w:color w:val="000000" w:themeColor="text1"/>
                <w:sz w:val="22"/>
                <w:lang w:val="uk-UA"/>
              </w:rPr>
              <w:t>6. Успішність дитини визначається на основі наявності прогресу у розвитку та навчанні.</w:t>
            </w:r>
          </w:p>
        </w:tc>
      </w:tr>
      <w:tr w:rsidR="00076FEB" w:rsidRPr="002045F5" w:rsidTr="00076FEB">
        <w:trPr>
          <w:trHeight w:val="624"/>
        </w:trPr>
        <w:tc>
          <w:tcPr>
            <w:tcW w:w="2836" w:type="dxa"/>
            <w:vMerge w:val="restart"/>
            <w:shd w:val="clear" w:color="auto" w:fill="C6D9F1" w:themeFill="text2" w:themeFillTint="33"/>
          </w:tcPr>
          <w:p w:rsidR="00076FEB" w:rsidRPr="002045F5" w:rsidRDefault="00076FEB" w:rsidP="00524DBF">
            <w:pPr>
              <w:rPr>
                <w:rStyle w:val="2055"/>
                <w:rFonts w:eastAsia="Arial"/>
                <w:b/>
                <w:color w:val="FF0000"/>
                <w:sz w:val="22"/>
                <w:lang w:val="uk-UA"/>
              </w:rPr>
            </w:pPr>
            <w:r w:rsidRPr="002045F5">
              <w:rPr>
                <w:rFonts w:eastAsia="Calibri"/>
                <w:b/>
                <w:color w:val="000000"/>
                <w:sz w:val="22"/>
                <w:lang w:val="uk-UA"/>
              </w:rPr>
              <w:t>Очікувані кількісні результати від реалізації проекту  (індикатори)</w:t>
            </w:r>
          </w:p>
        </w:tc>
        <w:tc>
          <w:tcPr>
            <w:tcW w:w="3827" w:type="dxa"/>
            <w:gridSpan w:val="3"/>
          </w:tcPr>
          <w:p w:rsidR="00076FEB" w:rsidRPr="002045F5" w:rsidRDefault="00076FEB" w:rsidP="00524DBF">
            <w:pPr>
              <w:rPr>
                <w:color w:val="FF0000"/>
                <w:sz w:val="22"/>
                <w:lang w:val="uk-UA"/>
              </w:rPr>
            </w:pPr>
            <w:r w:rsidRPr="002045F5">
              <w:rPr>
                <w:color w:val="000000" w:themeColor="text1"/>
                <w:sz w:val="22"/>
                <w:lang w:val="uk-UA"/>
              </w:rPr>
              <w:t>Найменування показника</w:t>
            </w:r>
          </w:p>
        </w:tc>
        <w:tc>
          <w:tcPr>
            <w:tcW w:w="1701" w:type="dxa"/>
          </w:tcPr>
          <w:p w:rsidR="00076FEB" w:rsidRPr="002045F5" w:rsidRDefault="00076FEB" w:rsidP="00524DBF">
            <w:pPr>
              <w:rPr>
                <w:color w:val="000000" w:themeColor="text1"/>
                <w:sz w:val="22"/>
                <w:lang w:val="uk-UA"/>
              </w:rPr>
            </w:pPr>
            <w:r w:rsidRPr="002045F5">
              <w:rPr>
                <w:color w:val="000000" w:themeColor="text1"/>
                <w:sz w:val="22"/>
                <w:lang w:val="uk-UA"/>
              </w:rPr>
              <w:t>Одиниця вимірювання</w:t>
            </w:r>
          </w:p>
        </w:tc>
        <w:tc>
          <w:tcPr>
            <w:tcW w:w="1559" w:type="dxa"/>
            <w:gridSpan w:val="2"/>
          </w:tcPr>
          <w:p w:rsidR="00076FEB" w:rsidRPr="002045F5" w:rsidRDefault="00076FEB" w:rsidP="00524DBF">
            <w:pPr>
              <w:rPr>
                <w:color w:val="000000" w:themeColor="text1"/>
                <w:sz w:val="22"/>
                <w:lang w:val="uk-UA"/>
              </w:rPr>
            </w:pPr>
            <w:r w:rsidRPr="002045F5">
              <w:rPr>
                <w:color w:val="000000" w:themeColor="text1"/>
                <w:sz w:val="22"/>
                <w:lang w:val="uk-UA"/>
              </w:rPr>
              <w:t>Прогнозне (цільове) значення</w:t>
            </w:r>
          </w:p>
        </w:tc>
      </w:tr>
      <w:tr w:rsidR="00076FEB" w:rsidRPr="002045F5" w:rsidTr="00076FEB">
        <w:trPr>
          <w:trHeight w:val="1777"/>
        </w:trPr>
        <w:tc>
          <w:tcPr>
            <w:tcW w:w="2836" w:type="dxa"/>
            <w:vMerge/>
            <w:shd w:val="clear" w:color="auto" w:fill="C6D9F1" w:themeFill="text2" w:themeFillTint="33"/>
          </w:tcPr>
          <w:p w:rsidR="00076FEB" w:rsidRPr="002045F5" w:rsidRDefault="00076FEB" w:rsidP="00524DBF">
            <w:pPr>
              <w:rPr>
                <w:rFonts w:eastAsia="Calibri"/>
                <w:b/>
                <w:color w:val="000000"/>
                <w:sz w:val="22"/>
                <w:lang w:val="uk-UA"/>
              </w:rPr>
            </w:pPr>
          </w:p>
        </w:tc>
        <w:tc>
          <w:tcPr>
            <w:tcW w:w="3827" w:type="dxa"/>
            <w:gridSpan w:val="3"/>
          </w:tcPr>
          <w:p w:rsidR="00076FEB" w:rsidRPr="002045F5" w:rsidRDefault="00076FEB" w:rsidP="00524DBF">
            <w:pPr>
              <w:rPr>
                <w:color w:val="000000" w:themeColor="text1"/>
                <w:sz w:val="22"/>
                <w:lang w:val="uk-UA"/>
              </w:rPr>
            </w:pPr>
            <w:r w:rsidRPr="002045F5">
              <w:rPr>
                <w:color w:val="000000" w:themeColor="text1"/>
                <w:sz w:val="22"/>
                <w:lang w:val="uk-UA"/>
              </w:rPr>
              <w:t xml:space="preserve">Кількість дітей </w:t>
            </w:r>
            <w:r w:rsidRPr="002045F5">
              <w:rPr>
                <w:sz w:val="22"/>
                <w:lang w:val="uk-UA"/>
              </w:rPr>
              <w:t xml:space="preserve">з особливими </w:t>
            </w:r>
            <w:r w:rsidRPr="002045F5">
              <w:rPr>
                <w:color w:val="000000" w:themeColor="text1"/>
                <w:sz w:val="22"/>
                <w:lang w:val="uk-UA"/>
              </w:rPr>
              <w:t xml:space="preserve">освітніми потребами, які </w:t>
            </w:r>
            <w:r w:rsidRPr="002045F5">
              <w:rPr>
                <w:color w:val="000000" w:themeColor="text1"/>
                <w:sz w:val="22"/>
                <w:shd w:val="clear" w:color="auto" w:fill="FFFFFF"/>
                <w:lang w:val="uk-UA"/>
              </w:rPr>
              <w:t xml:space="preserve"> потребують додаткової постійної чи тимчасової підтримки в освітньому процесі з метою забезпечення  їх права на освіту.</w:t>
            </w:r>
          </w:p>
        </w:tc>
        <w:tc>
          <w:tcPr>
            <w:tcW w:w="1701" w:type="dxa"/>
          </w:tcPr>
          <w:p w:rsidR="00076FEB" w:rsidRPr="002045F5" w:rsidRDefault="00076FEB" w:rsidP="00524DBF">
            <w:pPr>
              <w:rPr>
                <w:color w:val="000000" w:themeColor="text1"/>
                <w:sz w:val="22"/>
                <w:lang w:val="uk-UA"/>
              </w:rPr>
            </w:pPr>
            <w:r w:rsidRPr="002045F5">
              <w:rPr>
                <w:color w:val="000000" w:themeColor="text1"/>
                <w:sz w:val="22"/>
                <w:lang w:val="uk-UA"/>
              </w:rPr>
              <w:t>особа</w:t>
            </w:r>
          </w:p>
        </w:tc>
        <w:tc>
          <w:tcPr>
            <w:tcW w:w="1559" w:type="dxa"/>
            <w:gridSpan w:val="2"/>
          </w:tcPr>
          <w:p w:rsidR="00076FEB" w:rsidRPr="002045F5" w:rsidRDefault="00076FEB" w:rsidP="00524DBF">
            <w:pPr>
              <w:rPr>
                <w:color w:val="FF0000"/>
                <w:sz w:val="22"/>
                <w:lang w:val="uk-UA"/>
              </w:rPr>
            </w:pPr>
            <w:r w:rsidRPr="002045F5">
              <w:rPr>
                <w:color w:val="000000" w:themeColor="text1"/>
                <w:sz w:val="22"/>
                <w:lang w:val="uk-UA"/>
              </w:rPr>
              <w:t>1000</w:t>
            </w:r>
          </w:p>
        </w:tc>
      </w:tr>
      <w:tr w:rsidR="00076FEB" w:rsidRPr="002045F5" w:rsidTr="00076FEB">
        <w:trPr>
          <w:trHeight w:val="569"/>
        </w:trPr>
        <w:tc>
          <w:tcPr>
            <w:tcW w:w="2836" w:type="dxa"/>
            <w:shd w:val="clear" w:color="auto" w:fill="C6D9F1" w:themeFill="text2" w:themeFillTint="33"/>
          </w:tcPr>
          <w:p w:rsidR="00076FEB" w:rsidRPr="002045F5" w:rsidRDefault="00076FEB" w:rsidP="00524DBF">
            <w:pPr>
              <w:rPr>
                <w:rFonts w:eastAsia="Calibri"/>
                <w:b/>
                <w:color w:val="000000"/>
                <w:sz w:val="22"/>
              </w:rPr>
            </w:pPr>
          </w:p>
        </w:tc>
        <w:tc>
          <w:tcPr>
            <w:tcW w:w="3827" w:type="dxa"/>
            <w:gridSpan w:val="3"/>
          </w:tcPr>
          <w:p w:rsidR="00076FEB" w:rsidRPr="002045F5" w:rsidRDefault="00076FEB" w:rsidP="00524DBF">
            <w:pPr>
              <w:rPr>
                <w:color w:val="000000" w:themeColor="text1"/>
                <w:sz w:val="22"/>
                <w:lang w:val="uk-UA"/>
              </w:rPr>
            </w:pPr>
            <w:r w:rsidRPr="002045F5">
              <w:rPr>
                <w:color w:val="000000" w:themeColor="text1"/>
                <w:sz w:val="22"/>
                <w:shd w:val="clear" w:color="auto" w:fill="FFFFFF"/>
                <w:lang w:val="uk-UA"/>
              </w:rPr>
              <w:t>Кількість населених пунктів, які обслуговує заклад</w:t>
            </w:r>
          </w:p>
        </w:tc>
        <w:tc>
          <w:tcPr>
            <w:tcW w:w="1701" w:type="dxa"/>
          </w:tcPr>
          <w:p w:rsidR="00076FEB" w:rsidRPr="002045F5" w:rsidRDefault="00076FEB" w:rsidP="00524DBF">
            <w:pPr>
              <w:rPr>
                <w:color w:val="000000" w:themeColor="text1"/>
                <w:sz w:val="22"/>
                <w:lang w:val="uk-UA"/>
              </w:rPr>
            </w:pPr>
            <w:r w:rsidRPr="002045F5">
              <w:rPr>
                <w:color w:val="000000" w:themeColor="text1"/>
                <w:sz w:val="22"/>
                <w:lang w:val="uk-UA"/>
              </w:rPr>
              <w:t>одиниць</w:t>
            </w:r>
          </w:p>
        </w:tc>
        <w:tc>
          <w:tcPr>
            <w:tcW w:w="1559" w:type="dxa"/>
            <w:gridSpan w:val="2"/>
          </w:tcPr>
          <w:p w:rsidR="00076FEB" w:rsidRPr="002045F5" w:rsidRDefault="00076FEB" w:rsidP="00524DBF">
            <w:pPr>
              <w:rPr>
                <w:color w:val="FF0000"/>
                <w:sz w:val="22"/>
                <w:lang w:val="uk-UA"/>
              </w:rPr>
            </w:pPr>
            <w:r w:rsidRPr="002045F5">
              <w:rPr>
                <w:color w:val="000000" w:themeColor="text1"/>
                <w:sz w:val="22"/>
                <w:lang w:val="uk-UA"/>
              </w:rPr>
              <w:t xml:space="preserve">20 </w:t>
            </w:r>
          </w:p>
        </w:tc>
      </w:tr>
      <w:tr w:rsidR="00076FEB" w:rsidRPr="002045F5" w:rsidTr="00076FEB">
        <w:tc>
          <w:tcPr>
            <w:tcW w:w="2836" w:type="dxa"/>
            <w:shd w:val="clear" w:color="auto" w:fill="C6D9F1" w:themeFill="text2" w:themeFillTint="33"/>
          </w:tcPr>
          <w:p w:rsidR="00076FEB" w:rsidRPr="002045F5" w:rsidRDefault="00076FEB" w:rsidP="00524DBF">
            <w:pPr>
              <w:rPr>
                <w:b/>
                <w:sz w:val="22"/>
                <w:lang w:val="uk-UA"/>
              </w:rPr>
            </w:pPr>
            <w:r w:rsidRPr="002045F5">
              <w:rPr>
                <w:rFonts w:eastAsia="Calibri"/>
                <w:b/>
                <w:color w:val="000000"/>
                <w:sz w:val="22"/>
                <w:lang w:val="uk-UA"/>
              </w:rPr>
              <w:t>Ключові заходи проекту</w:t>
            </w:r>
          </w:p>
        </w:tc>
        <w:tc>
          <w:tcPr>
            <w:tcW w:w="7087" w:type="dxa"/>
            <w:gridSpan w:val="6"/>
          </w:tcPr>
          <w:p w:rsidR="00076FEB" w:rsidRPr="002045F5" w:rsidRDefault="00076FEB" w:rsidP="00524DBF">
            <w:pPr>
              <w:autoSpaceDE w:val="0"/>
              <w:autoSpaceDN w:val="0"/>
              <w:adjustRightInd w:val="0"/>
              <w:rPr>
                <w:color w:val="000000"/>
                <w:sz w:val="22"/>
                <w:lang w:val="uk-UA"/>
              </w:rPr>
            </w:pPr>
            <w:r w:rsidRPr="002045F5">
              <w:rPr>
                <w:color w:val="000000"/>
                <w:sz w:val="22"/>
                <w:lang w:val="uk-UA"/>
              </w:rPr>
              <w:t>1. Провести аудит пошкоджених приміщень КУ «ІРЦ», проведення інвентаризації основних засобів  КУ «ІРЦ».</w:t>
            </w:r>
          </w:p>
          <w:p w:rsidR="00076FEB" w:rsidRPr="002045F5" w:rsidRDefault="00076FEB" w:rsidP="00524DBF">
            <w:pPr>
              <w:autoSpaceDE w:val="0"/>
              <w:autoSpaceDN w:val="0"/>
              <w:adjustRightInd w:val="0"/>
              <w:rPr>
                <w:color w:val="000000"/>
                <w:sz w:val="22"/>
                <w:lang w:val="uk-UA"/>
              </w:rPr>
            </w:pPr>
            <w:r w:rsidRPr="002045F5">
              <w:rPr>
                <w:color w:val="000000"/>
                <w:sz w:val="22"/>
                <w:lang w:val="uk-UA"/>
              </w:rPr>
              <w:t>2. Придбання технічних засобів, підключення швидкісного інтернету.</w:t>
            </w:r>
          </w:p>
          <w:p w:rsidR="00076FEB" w:rsidRPr="002045F5" w:rsidRDefault="00076FEB" w:rsidP="00524DBF">
            <w:pPr>
              <w:autoSpaceDE w:val="0"/>
              <w:autoSpaceDN w:val="0"/>
              <w:adjustRightInd w:val="0"/>
              <w:rPr>
                <w:color w:val="000000"/>
                <w:sz w:val="22"/>
                <w:lang w:val="uk-UA"/>
              </w:rPr>
            </w:pPr>
            <w:r w:rsidRPr="002045F5">
              <w:rPr>
                <w:color w:val="000000"/>
                <w:sz w:val="22"/>
                <w:lang w:val="uk-UA"/>
              </w:rPr>
              <w:t>3. Придбання сенсорного та дидактичного обладнання.</w:t>
            </w:r>
          </w:p>
          <w:p w:rsidR="00076FEB" w:rsidRPr="002045F5" w:rsidRDefault="00076FEB" w:rsidP="00524DBF">
            <w:pPr>
              <w:autoSpaceDE w:val="0"/>
              <w:autoSpaceDN w:val="0"/>
              <w:adjustRightInd w:val="0"/>
              <w:rPr>
                <w:color w:val="000000"/>
                <w:sz w:val="22"/>
                <w:lang w:val="uk-UA"/>
              </w:rPr>
            </w:pPr>
            <w:r w:rsidRPr="002045F5">
              <w:rPr>
                <w:color w:val="000000"/>
                <w:sz w:val="22"/>
                <w:lang w:val="uk-UA"/>
              </w:rPr>
              <w:t>4. Придбання меблів, мультимедійного обладнання, канцелярських товарів.</w:t>
            </w:r>
          </w:p>
          <w:p w:rsidR="00076FEB" w:rsidRPr="002045F5" w:rsidRDefault="00076FEB" w:rsidP="00524DBF">
            <w:pPr>
              <w:autoSpaceDE w:val="0"/>
              <w:autoSpaceDN w:val="0"/>
              <w:adjustRightInd w:val="0"/>
              <w:rPr>
                <w:sz w:val="22"/>
                <w:lang w:val="uk-UA"/>
              </w:rPr>
            </w:pPr>
            <w:r w:rsidRPr="002045F5">
              <w:rPr>
                <w:sz w:val="22"/>
                <w:lang w:val="uk-UA"/>
              </w:rPr>
              <w:t>5. Кадрове забезпечення.</w:t>
            </w:r>
          </w:p>
          <w:p w:rsidR="00076FEB" w:rsidRPr="002045F5" w:rsidRDefault="00076FEB" w:rsidP="00524DBF">
            <w:pPr>
              <w:autoSpaceDE w:val="0"/>
              <w:autoSpaceDN w:val="0"/>
              <w:adjustRightInd w:val="0"/>
              <w:rPr>
                <w:sz w:val="22"/>
                <w:lang w:val="uk-UA"/>
              </w:rPr>
            </w:pPr>
            <w:r w:rsidRPr="002045F5">
              <w:rPr>
                <w:sz w:val="22"/>
                <w:lang w:val="uk-UA"/>
              </w:rPr>
              <w:t>6. Визначення кількості осіб, які потребують отримання освітніх послуг.</w:t>
            </w:r>
          </w:p>
          <w:p w:rsidR="00076FEB" w:rsidRPr="002045F5" w:rsidRDefault="00076FEB" w:rsidP="00524DBF">
            <w:pPr>
              <w:autoSpaceDE w:val="0"/>
              <w:autoSpaceDN w:val="0"/>
              <w:adjustRightInd w:val="0"/>
              <w:rPr>
                <w:sz w:val="22"/>
                <w:lang w:val="uk-UA"/>
              </w:rPr>
            </w:pPr>
            <w:r w:rsidRPr="002045F5">
              <w:rPr>
                <w:sz w:val="22"/>
                <w:lang w:val="uk-UA"/>
              </w:rPr>
              <w:t>7. Організація та початок робочого процесу.</w:t>
            </w:r>
          </w:p>
        </w:tc>
      </w:tr>
      <w:tr w:rsidR="00076FEB" w:rsidRPr="002045F5" w:rsidTr="00076FEB">
        <w:trPr>
          <w:trHeight w:val="300"/>
        </w:trPr>
        <w:tc>
          <w:tcPr>
            <w:tcW w:w="2836" w:type="dxa"/>
            <w:vMerge w:val="restart"/>
            <w:shd w:val="clear" w:color="auto" w:fill="C6D9F1" w:themeFill="text2" w:themeFillTint="33"/>
          </w:tcPr>
          <w:p w:rsidR="00076FEB" w:rsidRPr="002045F5" w:rsidRDefault="00076FEB" w:rsidP="00524DBF">
            <w:pPr>
              <w:rPr>
                <w:b/>
                <w:color w:val="FF0000"/>
                <w:sz w:val="22"/>
                <w:lang w:val="uk-UA"/>
              </w:rPr>
            </w:pPr>
            <w:r w:rsidRPr="002045F5">
              <w:rPr>
                <w:rStyle w:val="2055"/>
                <w:rFonts w:eastAsia="Arial"/>
                <w:b/>
                <w:sz w:val="22"/>
                <w:lang w:val="uk-UA"/>
              </w:rPr>
              <w:t>Орієнтовний обсяг та джерела фінансування, тис. грн.</w:t>
            </w:r>
          </w:p>
        </w:tc>
        <w:tc>
          <w:tcPr>
            <w:tcW w:w="1559" w:type="dxa"/>
          </w:tcPr>
          <w:p w:rsidR="00076FEB" w:rsidRPr="002045F5" w:rsidRDefault="00076FEB" w:rsidP="00524DBF">
            <w:pPr>
              <w:rPr>
                <w:sz w:val="22"/>
                <w:lang w:val="uk-UA"/>
              </w:rPr>
            </w:pPr>
            <w:r w:rsidRPr="002045F5">
              <w:rPr>
                <w:sz w:val="22"/>
                <w:lang w:val="uk-UA"/>
              </w:rPr>
              <w:t>Державний бюджет</w:t>
            </w:r>
          </w:p>
        </w:tc>
        <w:tc>
          <w:tcPr>
            <w:tcW w:w="1418" w:type="dxa"/>
          </w:tcPr>
          <w:p w:rsidR="00076FEB" w:rsidRPr="002045F5" w:rsidRDefault="00076FEB" w:rsidP="00524DBF">
            <w:pPr>
              <w:rPr>
                <w:sz w:val="22"/>
                <w:lang w:val="de-DE"/>
              </w:rPr>
            </w:pPr>
            <w:r w:rsidRPr="002045F5">
              <w:rPr>
                <w:sz w:val="22"/>
                <w:lang w:val="uk-UA"/>
              </w:rPr>
              <w:t>М</w:t>
            </w:r>
            <w:proofErr w:type="spellStart"/>
            <w:r w:rsidRPr="002045F5">
              <w:rPr>
                <w:sz w:val="22"/>
                <w:lang w:val="de-DE"/>
              </w:rPr>
              <w:t>ісцевий</w:t>
            </w:r>
            <w:proofErr w:type="spellEnd"/>
            <w:r w:rsidRPr="002045F5">
              <w:rPr>
                <w:sz w:val="22"/>
                <w:lang w:val="de-DE"/>
              </w:rPr>
              <w:t xml:space="preserve"> </w:t>
            </w:r>
            <w:proofErr w:type="spellStart"/>
            <w:r w:rsidRPr="002045F5">
              <w:rPr>
                <w:sz w:val="22"/>
                <w:lang w:val="de-DE"/>
              </w:rPr>
              <w:t>бюджет</w:t>
            </w:r>
            <w:proofErr w:type="spellEnd"/>
          </w:p>
        </w:tc>
        <w:tc>
          <w:tcPr>
            <w:tcW w:w="2976" w:type="dxa"/>
            <w:gridSpan w:val="3"/>
          </w:tcPr>
          <w:p w:rsidR="00076FEB" w:rsidRPr="002045F5" w:rsidRDefault="00076FEB" w:rsidP="00524DBF">
            <w:pPr>
              <w:jc w:val="center"/>
              <w:rPr>
                <w:sz w:val="22"/>
                <w:lang w:val="uk-UA"/>
              </w:rPr>
            </w:pPr>
            <w:r w:rsidRPr="002045F5">
              <w:rPr>
                <w:sz w:val="22"/>
                <w:lang w:val="uk-UA"/>
              </w:rPr>
              <w:t>Інші джерела</w:t>
            </w:r>
          </w:p>
        </w:tc>
        <w:tc>
          <w:tcPr>
            <w:tcW w:w="1134" w:type="dxa"/>
          </w:tcPr>
          <w:p w:rsidR="00076FEB" w:rsidRPr="002045F5" w:rsidRDefault="00076FEB" w:rsidP="00524DBF">
            <w:pPr>
              <w:rPr>
                <w:sz w:val="22"/>
                <w:lang w:val="uk-UA"/>
              </w:rPr>
            </w:pPr>
            <w:r w:rsidRPr="002045F5">
              <w:rPr>
                <w:sz w:val="22"/>
                <w:lang w:val="uk-UA"/>
              </w:rPr>
              <w:t>Всього</w:t>
            </w:r>
          </w:p>
        </w:tc>
      </w:tr>
      <w:tr w:rsidR="00076FEB" w:rsidRPr="002045F5" w:rsidTr="00076FEB">
        <w:trPr>
          <w:trHeight w:val="612"/>
        </w:trPr>
        <w:tc>
          <w:tcPr>
            <w:tcW w:w="2836" w:type="dxa"/>
            <w:vMerge/>
            <w:shd w:val="clear" w:color="auto" w:fill="C6D9F1" w:themeFill="text2" w:themeFillTint="33"/>
          </w:tcPr>
          <w:p w:rsidR="00076FEB" w:rsidRPr="002045F5" w:rsidRDefault="00076FEB" w:rsidP="00524DBF">
            <w:pPr>
              <w:rPr>
                <w:rStyle w:val="2055"/>
                <w:rFonts w:eastAsia="Arial"/>
                <w:color w:val="000000"/>
                <w:sz w:val="22"/>
                <w:lang w:val="uk-UA"/>
              </w:rPr>
            </w:pPr>
          </w:p>
        </w:tc>
        <w:tc>
          <w:tcPr>
            <w:tcW w:w="1559" w:type="dxa"/>
            <w:vMerge w:val="restart"/>
          </w:tcPr>
          <w:p w:rsidR="00076FEB" w:rsidRPr="002045F5" w:rsidRDefault="00076FEB" w:rsidP="00524DBF">
            <w:pPr>
              <w:rPr>
                <w:color w:val="000000" w:themeColor="text1"/>
                <w:sz w:val="22"/>
                <w:lang w:val="uk-UA"/>
              </w:rPr>
            </w:pPr>
          </w:p>
          <w:p w:rsidR="00076FEB" w:rsidRPr="002045F5" w:rsidRDefault="00076FEB" w:rsidP="00524DBF">
            <w:pPr>
              <w:rPr>
                <w:color w:val="000000" w:themeColor="text1"/>
                <w:sz w:val="22"/>
                <w:lang w:val="uk-UA"/>
              </w:rPr>
            </w:pPr>
          </w:p>
          <w:p w:rsidR="00076FEB" w:rsidRPr="002045F5" w:rsidRDefault="00076FEB" w:rsidP="00524DBF">
            <w:pPr>
              <w:rPr>
                <w:color w:val="000000" w:themeColor="text1"/>
                <w:sz w:val="22"/>
                <w:lang w:val="uk-UA"/>
              </w:rPr>
            </w:pPr>
          </w:p>
          <w:p w:rsidR="00076FEB" w:rsidRPr="002045F5" w:rsidRDefault="00076FEB" w:rsidP="00524DBF">
            <w:pPr>
              <w:rPr>
                <w:color w:val="000000" w:themeColor="text1"/>
                <w:sz w:val="22"/>
                <w:lang w:val="uk-UA"/>
              </w:rPr>
            </w:pPr>
          </w:p>
          <w:p w:rsidR="00076FEB" w:rsidRPr="002045F5" w:rsidRDefault="00076FEB" w:rsidP="00524DBF">
            <w:pPr>
              <w:rPr>
                <w:sz w:val="22"/>
                <w:lang w:val="uk-UA"/>
              </w:rPr>
            </w:pPr>
          </w:p>
        </w:tc>
        <w:tc>
          <w:tcPr>
            <w:tcW w:w="1418" w:type="dxa"/>
            <w:vMerge w:val="restart"/>
          </w:tcPr>
          <w:p w:rsidR="00076FEB" w:rsidRPr="002045F5" w:rsidRDefault="00076FEB" w:rsidP="00524DBF">
            <w:pPr>
              <w:rPr>
                <w:sz w:val="22"/>
                <w:lang w:val="uk-UA"/>
              </w:rPr>
            </w:pPr>
          </w:p>
        </w:tc>
        <w:tc>
          <w:tcPr>
            <w:tcW w:w="850" w:type="dxa"/>
          </w:tcPr>
          <w:p w:rsidR="00076FEB" w:rsidRPr="002045F5" w:rsidRDefault="00076FEB" w:rsidP="00524DBF">
            <w:pPr>
              <w:rPr>
                <w:sz w:val="22"/>
                <w:lang w:val="uk-UA"/>
              </w:rPr>
            </w:pPr>
            <w:r w:rsidRPr="002045F5">
              <w:rPr>
                <w:sz w:val="22"/>
                <w:lang w:val="uk-UA"/>
              </w:rPr>
              <w:t>Обсяг</w:t>
            </w:r>
          </w:p>
        </w:tc>
        <w:tc>
          <w:tcPr>
            <w:tcW w:w="2126" w:type="dxa"/>
            <w:gridSpan w:val="2"/>
          </w:tcPr>
          <w:p w:rsidR="00076FEB" w:rsidRPr="002045F5" w:rsidRDefault="00076FEB" w:rsidP="00524DBF">
            <w:pPr>
              <w:rPr>
                <w:sz w:val="22"/>
                <w:lang w:val="uk-UA"/>
              </w:rPr>
            </w:pPr>
            <w:r w:rsidRPr="002045F5">
              <w:rPr>
                <w:sz w:val="22"/>
                <w:lang w:val="uk-UA"/>
              </w:rPr>
              <w:t>Назва джерела</w:t>
            </w:r>
          </w:p>
        </w:tc>
        <w:tc>
          <w:tcPr>
            <w:tcW w:w="1134" w:type="dxa"/>
            <w:vMerge w:val="restart"/>
          </w:tcPr>
          <w:p w:rsidR="00076FEB" w:rsidRPr="002045F5" w:rsidRDefault="00076FEB" w:rsidP="00524DBF">
            <w:pPr>
              <w:rPr>
                <w:sz w:val="22"/>
                <w:lang w:val="uk-UA"/>
              </w:rPr>
            </w:pPr>
            <w:r w:rsidRPr="002045F5">
              <w:rPr>
                <w:sz w:val="22"/>
                <w:lang w:val="uk-UA"/>
              </w:rPr>
              <w:t>500,0</w:t>
            </w:r>
          </w:p>
        </w:tc>
      </w:tr>
      <w:tr w:rsidR="00076FEB" w:rsidRPr="002045F5" w:rsidTr="00076FEB">
        <w:trPr>
          <w:trHeight w:val="756"/>
        </w:trPr>
        <w:tc>
          <w:tcPr>
            <w:tcW w:w="2836" w:type="dxa"/>
            <w:vMerge/>
            <w:shd w:val="clear" w:color="auto" w:fill="C6D9F1" w:themeFill="text2" w:themeFillTint="33"/>
          </w:tcPr>
          <w:p w:rsidR="00076FEB" w:rsidRPr="002045F5" w:rsidRDefault="00076FEB" w:rsidP="00524DBF">
            <w:pPr>
              <w:rPr>
                <w:rStyle w:val="2055"/>
                <w:rFonts w:eastAsia="Arial"/>
                <w:color w:val="000000"/>
                <w:sz w:val="22"/>
                <w:lang w:val="uk-UA"/>
              </w:rPr>
            </w:pPr>
          </w:p>
        </w:tc>
        <w:tc>
          <w:tcPr>
            <w:tcW w:w="1559" w:type="dxa"/>
            <w:vMerge/>
          </w:tcPr>
          <w:p w:rsidR="00076FEB" w:rsidRPr="002045F5" w:rsidRDefault="00076FEB" w:rsidP="00524DBF">
            <w:pPr>
              <w:rPr>
                <w:color w:val="000000" w:themeColor="text1"/>
                <w:sz w:val="22"/>
                <w:lang w:val="uk-UA"/>
              </w:rPr>
            </w:pPr>
          </w:p>
        </w:tc>
        <w:tc>
          <w:tcPr>
            <w:tcW w:w="1418" w:type="dxa"/>
            <w:vMerge/>
          </w:tcPr>
          <w:p w:rsidR="00076FEB" w:rsidRPr="002045F5" w:rsidRDefault="00076FEB" w:rsidP="00524DBF">
            <w:pPr>
              <w:rPr>
                <w:sz w:val="22"/>
                <w:lang w:val="uk-UA"/>
              </w:rPr>
            </w:pPr>
          </w:p>
        </w:tc>
        <w:tc>
          <w:tcPr>
            <w:tcW w:w="850" w:type="dxa"/>
          </w:tcPr>
          <w:p w:rsidR="00076FEB" w:rsidRPr="002045F5" w:rsidRDefault="00076FEB" w:rsidP="00524DBF">
            <w:pPr>
              <w:rPr>
                <w:sz w:val="22"/>
                <w:lang w:val="uk-UA"/>
              </w:rPr>
            </w:pPr>
            <w:r w:rsidRPr="002045F5">
              <w:rPr>
                <w:sz w:val="22"/>
                <w:lang w:val="uk-UA"/>
              </w:rPr>
              <w:t>500,0</w:t>
            </w:r>
          </w:p>
        </w:tc>
        <w:tc>
          <w:tcPr>
            <w:tcW w:w="2126" w:type="dxa"/>
            <w:gridSpan w:val="2"/>
          </w:tcPr>
          <w:p w:rsidR="00076FEB" w:rsidRPr="002045F5" w:rsidRDefault="00076FEB" w:rsidP="00524DBF">
            <w:pPr>
              <w:rPr>
                <w:sz w:val="22"/>
                <w:lang w:val="uk-UA"/>
              </w:rPr>
            </w:pPr>
            <w:r w:rsidRPr="002045F5">
              <w:rPr>
                <w:sz w:val="22"/>
                <w:lang w:val="uk-UA"/>
              </w:rPr>
              <w:t>Міжнародні інвестиції, кошти приватних осіб</w:t>
            </w:r>
          </w:p>
        </w:tc>
        <w:tc>
          <w:tcPr>
            <w:tcW w:w="1134" w:type="dxa"/>
            <w:vMerge/>
          </w:tcPr>
          <w:p w:rsidR="00076FEB" w:rsidRPr="002045F5" w:rsidRDefault="00076FEB" w:rsidP="00524DBF">
            <w:pPr>
              <w:rPr>
                <w:sz w:val="22"/>
                <w:lang w:val="uk-UA"/>
              </w:rPr>
            </w:pPr>
          </w:p>
        </w:tc>
      </w:tr>
    </w:tbl>
    <w:p w:rsidR="003421EB" w:rsidRPr="002045F5" w:rsidRDefault="003421EB" w:rsidP="00E95FB1">
      <w:pPr>
        <w:rPr>
          <w:sz w:val="22"/>
          <w:lang w:val="ru-RU"/>
        </w:rPr>
      </w:pPr>
    </w:p>
    <w:p w:rsidR="00076FEB" w:rsidRPr="002045F5" w:rsidRDefault="00076FEB" w:rsidP="00E95FB1">
      <w:pPr>
        <w:rPr>
          <w:sz w:val="22"/>
        </w:rPr>
      </w:pPr>
    </w:p>
    <w:tbl>
      <w:tblPr>
        <w:tblW w:w="9923" w:type="dxa"/>
        <w:tblInd w:w="-254" w:type="dxa"/>
        <w:tblLayout w:type="fixed"/>
        <w:tblCellMar>
          <w:left w:w="30" w:type="dxa"/>
          <w:right w:w="30" w:type="dxa"/>
        </w:tblCellMar>
        <w:tblLook w:val="0000" w:firstRow="0" w:lastRow="0" w:firstColumn="0" w:lastColumn="0" w:noHBand="0" w:noVBand="0"/>
      </w:tblPr>
      <w:tblGrid>
        <w:gridCol w:w="28"/>
        <w:gridCol w:w="8"/>
        <w:gridCol w:w="44"/>
        <w:gridCol w:w="2760"/>
        <w:gridCol w:w="1272"/>
        <w:gridCol w:w="1134"/>
        <w:gridCol w:w="1417"/>
        <w:gridCol w:w="225"/>
        <w:gridCol w:w="1319"/>
        <w:gridCol w:w="212"/>
        <w:gridCol w:w="1471"/>
        <w:gridCol w:w="8"/>
        <w:gridCol w:w="25"/>
      </w:tblGrid>
      <w:tr w:rsidR="00076FEB" w:rsidRPr="002045F5" w:rsidTr="00076FEB">
        <w:trPr>
          <w:trHeight w:val="553"/>
        </w:trPr>
        <w:tc>
          <w:tcPr>
            <w:tcW w:w="80" w:type="dxa"/>
            <w:gridSpan w:val="3"/>
            <w:shd w:val="clear" w:color="auto" w:fill="auto"/>
          </w:tcPr>
          <w:p w:rsidR="00076FEB" w:rsidRPr="002045F5" w:rsidRDefault="00076FEB" w:rsidP="00524DBF">
            <w:pPr>
              <w:rPr>
                <w:rFonts w:eastAsia="Calibri"/>
                <w:color w:val="000000"/>
                <w:sz w:val="22"/>
              </w:rPr>
            </w:pPr>
          </w:p>
        </w:tc>
        <w:tc>
          <w:tcPr>
            <w:tcW w:w="2760" w:type="dxa"/>
            <w:tcBorders>
              <w:top w:val="single" w:sz="6" w:space="0" w:color="000000"/>
              <w:left w:val="single" w:sz="6" w:space="0" w:color="000000"/>
              <w:bottom w:val="single" w:sz="6" w:space="0" w:color="000000"/>
            </w:tcBorders>
            <w:shd w:val="clear" w:color="auto" w:fill="C6D9F1" w:themeFill="text2" w:themeFillTint="33"/>
          </w:tcPr>
          <w:p w:rsidR="00076FEB" w:rsidRPr="002045F5" w:rsidRDefault="00076FEB" w:rsidP="00524DBF">
            <w:pPr>
              <w:autoSpaceDE w:val="0"/>
              <w:rPr>
                <w:sz w:val="22"/>
              </w:rPr>
            </w:pPr>
            <w:r w:rsidRPr="002045F5">
              <w:rPr>
                <w:rFonts w:eastAsia="Calibri"/>
                <w:b/>
                <w:color w:val="000000"/>
                <w:sz w:val="22"/>
              </w:rPr>
              <w:t>Оперативна ціль/завдання</w:t>
            </w:r>
          </w:p>
        </w:tc>
        <w:tc>
          <w:tcPr>
            <w:tcW w:w="7083" w:type="dxa"/>
            <w:gridSpan w:val="9"/>
            <w:tcBorders>
              <w:top w:val="single" w:sz="6" w:space="0" w:color="000000"/>
              <w:left w:val="single" w:sz="6" w:space="0" w:color="000000"/>
              <w:bottom w:val="single" w:sz="6" w:space="0" w:color="000000"/>
              <w:right w:val="single" w:sz="6" w:space="0" w:color="000000"/>
            </w:tcBorders>
            <w:shd w:val="clear" w:color="auto" w:fill="auto"/>
          </w:tcPr>
          <w:p w:rsidR="00076FEB" w:rsidRPr="002045F5" w:rsidRDefault="00076FEB" w:rsidP="00524DBF">
            <w:pPr>
              <w:autoSpaceDE w:val="0"/>
              <w:rPr>
                <w:sz w:val="22"/>
              </w:rPr>
            </w:pPr>
            <w:r w:rsidRPr="002045F5">
              <w:rPr>
                <w:color w:val="222222"/>
                <w:sz w:val="22"/>
                <w:shd w:val="clear" w:color="auto" w:fill="FFFFFF"/>
              </w:rPr>
              <w:t xml:space="preserve">Людський розвиток через інновації управління та довіру до влади. Формування сучасного інклюзивного  </w:t>
            </w:r>
            <w:proofErr w:type="spellStart"/>
            <w:r w:rsidRPr="002045F5">
              <w:rPr>
                <w:color w:val="222222"/>
                <w:sz w:val="22"/>
                <w:shd w:val="clear" w:color="auto" w:fill="FFFFFF"/>
              </w:rPr>
              <w:t>освітньо</w:t>
            </w:r>
            <w:proofErr w:type="spellEnd"/>
            <w:r w:rsidRPr="002045F5">
              <w:rPr>
                <w:color w:val="222222"/>
                <w:sz w:val="22"/>
                <w:shd w:val="clear" w:color="auto" w:fill="FFFFFF"/>
              </w:rPr>
              <w:t xml:space="preserve"> - культурного та спортивного простору для розвитку</w:t>
            </w:r>
          </w:p>
        </w:tc>
      </w:tr>
      <w:tr w:rsidR="00076FEB" w:rsidRPr="002045F5" w:rsidTr="00076FEB">
        <w:trPr>
          <w:trHeight w:val="689"/>
        </w:trPr>
        <w:tc>
          <w:tcPr>
            <w:tcW w:w="80" w:type="dxa"/>
            <w:gridSpan w:val="3"/>
            <w:shd w:val="clear" w:color="auto" w:fill="auto"/>
          </w:tcPr>
          <w:p w:rsidR="00076FEB" w:rsidRPr="002045F5" w:rsidRDefault="00076FEB" w:rsidP="00524DBF">
            <w:pPr>
              <w:autoSpaceDE w:val="0"/>
              <w:snapToGrid w:val="0"/>
              <w:jc w:val="right"/>
              <w:rPr>
                <w:rFonts w:eastAsia="Calibri"/>
                <w:color w:val="000000"/>
                <w:sz w:val="22"/>
              </w:rPr>
            </w:pPr>
          </w:p>
        </w:tc>
        <w:tc>
          <w:tcPr>
            <w:tcW w:w="2760" w:type="dxa"/>
            <w:tcBorders>
              <w:top w:val="single" w:sz="6" w:space="0" w:color="000000"/>
              <w:left w:val="single" w:sz="6" w:space="0" w:color="000000"/>
              <w:bottom w:val="single" w:sz="6" w:space="0" w:color="000000"/>
            </w:tcBorders>
            <w:shd w:val="clear" w:color="auto" w:fill="C6D9F1" w:themeFill="text2" w:themeFillTint="33"/>
          </w:tcPr>
          <w:p w:rsidR="00076FEB" w:rsidRPr="002045F5" w:rsidRDefault="00076FEB" w:rsidP="00524DBF">
            <w:pPr>
              <w:autoSpaceDE w:val="0"/>
              <w:rPr>
                <w:sz w:val="22"/>
              </w:rPr>
            </w:pPr>
            <w:r w:rsidRPr="002045F5">
              <w:rPr>
                <w:rFonts w:eastAsia="Calibri"/>
                <w:b/>
                <w:color w:val="000000"/>
                <w:sz w:val="22"/>
              </w:rPr>
              <w:t>Назва проекту:</w:t>
            </w:r>
          </w:p>
        </w:tc>
        <w:tc>
          <w:tcPr>
            <w:tcW w:w="7083" w:type="dxa"/>
            <w:gridSpan w:val="9"/>
            <w:tcBorders>
              <w:top w:val="single" w:sz="6" w:space="0" w:color="000000"/>
              <w:left w:val="single" w:sz="6" w:space="0" w:color="000000"/>
              <w:bottom w:val="single" w:sz="6" w:space="0" w:color="000000"/>
              <w:right w:val="single" w:sz="6"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 xml:space="preserve">"Відновлення сучасного інтерактивного  навчального простору  на базі навчальних приміщень та чотирьох теплиць  Сєвєродонецького міського Центру еколого-натуралістичної творчості учнівської молоді   за адресами </w:t>
            </w:r>
            <w:r w:rsidRPr="002045F5">
              <w:rPr>
                <w:rFonts w:eastAsia="Calibri"/>
                <w:color w:val="000000"/>
                <w:sz w:val="22"/>
              </w:rPr>
              <w:lastRenderedPageBreak/>
              <w:t>вул. Курчатова</w:t>
            </w:r>
            <w:r w:rsidR="00E13866" w:rsidRPr="002045F5">
              <w:rPr>
                <w:rFonts w:eastAsia="Calibri"/>
                <w:color w:val="000000"/>
                <w:sz w:val="22"/>
              </w:rPr>
              <w:t>,</w:t>
            </w:r>
            <w:r w:rsidRPr="002045F5">
              <w:rPr>
                <w:rFonts w:eastAsia="Calibri"/>
                <w:color w:val="000000"/>
                <w:sz w:val="22"/>
              </w:rPr>
              <w:t xml:space="preserve"> 34,  вул. </w:t>
            </w:r>
            <w:proofErr w:type="spellStart"/>
            <w:r w:rsidRPr="002045F5">
              <w:rPr>
                <w:rFonts w:eastAsia="Calibri"/>
                <w:color w:val="000000"/>
                <w:sz w:val="22"/>
              </w:rPr>
              <w:t>Вілесова</w:t>
            </w:r>
            <w:proofErr w:type="spellEnd"/>
            <w:r w:rsidR="00E13866" w:rsidRPr="002045F5">
              <w:rPr>
                <w:rFonts w:eastAsia="Calibri"/>
                <w:color w:val="000000"/>
                <w:sz w:val="22"/>
              </w:rPr>
              <w:t>,</w:t>
            </w:r>
            <w:r w:rsidRPr="002045F5">
              <w:rPr>
                <w:rFonts w:eastAsia="Calibri"/>
                <w:color w:val="000000"/>
                <w:sz w:val="22"/>
              </w:rPr>
              <w:t xml:space="preserve"> 10, вул. Гагаріна</w:t>
            </w:r>
            <w:r w:rsidR="00E13866" w:rsidRPr="002045F5">
              <w:rPr>
                <w:rFonts w:eastAsia="Calibri"/>
                <w:color w:val="000000"/>
                <w:sz w:val="22"/>
              </w:rPr>
              <w:t>,</w:t>
            </w:r>
            <w:r w:rsidRPr="002045F5">
              <w:rPr>
                <w:rFonts w:eastAsia="Calibri"/>
                <w:color w:val="000000"/>
                <w:sz w:val="22"/>
              </w:rPr>
              <w:t xml:space="preserve"> 90, вул. Гагаріна</w:t>
            </w:r>
            <w:r w:rsidR="00E13866" w:rsidRPr="002045F5">
              <w:rPr>
                <w:rFonts w:eastAsia="Calibri"/>
                <w:color w:val="000000"/>
                <w:sz w:val="22"/>
              </w:rPr>
              <w:t>,</w:t>
            </w:r>
            <w:r w:rsidRPr="002045F5">
              <w:rPr>
                <w:rFonts w:eastAsia="Calibri"/>
                <w:color w:val="000000"/>
                <w:sz w:val="22"/>
              </w:rPr>
              <w:t xml:space="preserve"> 111, м. Сєвєродонецьк, Луганська область ".</w:t>
            </w:r>
          </w:p>
        </w:tc>
      </w:tr>
      <w:tr w:rsidR="00076FEB" w:rsidRPr="002045F5" w:rsidTr="00076FEB">
        <w:trPr>
          <w:trHeight w:val="1106"/>
        </w:trPr>
        <w:tc>
          <w:tcPr>
            <w:tcW w:w="80" w:type="dxa"/>
            <w:gridSpan w:val="3"/>
            <w:shd w:val="clear" w:color="auto" w:fill="auto"/>
          </w:tcPr>
          <w:p w:rsidR="00076FEB" w:rsidRPr="002045F5" w:rsidRDefault="00076FEB" w:rsidP="00524DBF">
            <w:pPr>
              <w:autoSpaceDE w:val="0"/>
              <w:snapToGrid w:val="0"/>
              <w:jc w:val="right"/>
              <w:rPr>
                <w:rFonts w:eastAsia="Calibri"/>
                <w:color w:val="000000"/>
                <w:sz w:val="22"/>
              </w:rPr>
            </w:pPr>
          </w:p>
        </w:tc>
        <w:tc>
          <w:tcPr>
            <w:tcW w:w="2760" w:type="dxa"/>
            <w:tcBorders>
              <w:top w:val="single" w:sz="6" w:space="0" w:color="000000"/>
              <w:left w:val="single" w:sz="6" w:space="0" w:color="000000"/>
              <w:bottom w:val="single" w:sz="6" w:space="0" w:color="000000"/>
            </w:tcBorders>
            <w:shd w:val="clear" w:color="auto" w:fill="C6D9F1" w:themeFill="text2" w:themeFillTint="33"/>
          </w:tcPr>
          <w:p w:rsidR="00076FEB" w:rsidRPr="002045F5" w:rsidRDefault="00076FEB" w:rsidP="00524DBF">
            <w:pPr>
              <w:autoSpaceDE w:val="0"/>
              <w:rPr>
                <w:sz w:val="22"/>
              </w:rPr>
            </w:pPr>
            <w:r w:rsidRPr="002045F5">
              <w:rPr>
                <w:rFonts w:eastAsia="Calibri"/>
                <w:b/>
                <w:color w:val="000000"/>
                <w:sz w:val="22"/>
              </w:rPr>
              <w:t>Ціль проекту</w:t>
            </w:r>
          </w:p>
        </w:tc>
        <w:tc>
          <w:tcPr>
            <w:tcW w:w="7083" w:type="dxa"/>
            <w:gridSpan w:val="9"/>
            <w:tcBorders>
              <w:top w:val="single" w:sz="6" w:space="0" w:color="000000"/>
              <w:left w:val="single" w:sz="6" w:space="0" w:color="000000"/>
              <w:bottom w:val="single" w:sz="6" w:space="0" w:color="000000"/>
              <w:right w:val="single" w:sz="6" w:space="0" w:color="000000"/>
            </w:tcBorders>
            <w:shd w:val="clear" w:color="auto" w:fill="auto"/>
          </w:tcPr>
          <w:p w:rsidR="00076FEB" w:rsidRPr="002045F5" w:rsidRDefault="00076FEB" w:rsidP="00B2726F">
            <w:pPr>
              <w:autoSpaceDE w:val="0"/>
              <w:rPr>
                <w:sz w:val="22"/>
              </w:rPr>
            </w:pPr>
            <w:r w:rsidRPr="002045F5">
              <w:rPr>
                <w:rFonts w:eastAsia="Calibri"/>
                <w:color w:val="000000"/>
                <w:sz w:val="22"/>
              </w:rPr>
              <w:t xml:space="preserve">Відновити  роботу навчальних приміщень та теплиць  Сєвєродонецького міського Центру еколого - натуралістичної творчості учнівської молоді  для надання широкого спектру послуг,  пов’язаних  з експериментально -дослідницькою та практичною діяльністю у теплицях, опануванням учнівською молоддю основ з лісівництва,  флористики та ландшафтного дизайну, посиленням їхньої </w:t>
            </w:r>
            <w:proofErr w:type="spellStart"/>
            <w:r w:rsidRPr="002045F5">
              <w:rPr>
                <w:rFonts w:eastAsia="Calibri"/>
                <w:color w:val="000000"/>
                <w:sz w:val="22"/>
              </w:rPr>
              <w:t>екосвідомості</w:t>
            </w:r>
            <w:proofErr w:type="spellEnd"/>
            <w:r w:rsidRPr="002045F5">
              <w:rPr>
                <w:rFonts w:eastAsia="Calibri"/>
                <w:color w:val="000000"/>
                <w:sz w:val="22"/>
              </w:rPr>
              <w:t xml:space="preserve"> шляхом проведення екологічних акцій, тематичних майстер-класів та зустрічей з майстрами, інтерактивних екскурсій та задоволення потреб мешканців  Сєвєродонецької міської територіальної громади у забезпеченні якісного рівня життя.  </w:t>
            </w:r>
          </w:p>
        </w:tc>
      </w:tr>
      <w:tr w:rsidR="00076FEB" w:rsidRPr="002045F5" w:rsidTr="00076FEB">
        <w:trPr>
          <w:trHeight w:val="289"/>
        </w:trPr>
        <w:tc>
          <w:tcPr>
            <w:tcW w:w="80" w:type="dxa"/>
            <w:gridSpan w:val="3"/>
            <w:shd w:val="clear" w:color="auto" w:fill="auto"/>
          </w:tcPr>
          <w:p w:rsidR="00076FEB" w:rsidRPr="002045F5" w:rsidRDefault="00076FEB" w:rsidP="00524DBF">
            <w:pPr>
              <w:autoSpaceDE w:val="0"/>
              <w:snapToGrid w:val="0"/>
              <w:jc w:val="right"/>
              <w:rPr>
                <w:rFonts w:eastAsia="Calibri"/>
                <w:color w:val="000000"/>
                <w:sz w:val="22"/>
              </w:rPr>
            </w:pPr>
          </w:p>
        </w:tc>
        <w:tc>
          <w:tcPr>
            <w:tcW w:w="2760" w:type="dxa"/>
            <w:tcBorders>
              <w:top w:val="single" w:sz="6" w:space="0" w:color="000000"/>
              <w:left w:val="single" w:sz="6" w:space="0" w:color="000000"/>
              <w:bottom w:val="single" w:sz="6" w:space="0" w:color="000000"/>
            </w:tcBorders>
            <w:shd w:val="clear" w:color="auto" w:fill="C6D9F1" w:themeFill="text2" w:themeFillTint="33"/>
          </w:tcPr>
          <w:p w:rsidR="00076FEB" w:rsidRPr="002045F5" w:rsidRDefault="00076FEB" w:rsidP="00524DBF">
            <w:pPr>
              <w:autoSpaceDE w:val="0"/>
              <w:rPr>
                <w:sz w:val="22"/>
              </w:rPr>
            </w:pPr>
            <w:r w:rsidRPr="002045F5">
              <w:rPr>
                <w:rFonts w:eastAsia="Calibri"/>
                <w:b/>
                <w:color w:val="000000"/>
                <w:sz w:val="22"/>
              </w:rPr>
              <w:t>Територія, на яку матиме вплив реалізація проекту</w:t>
            </w:r>
          </w:p>
        </w:tc>
        <w:tc>
          <w:tcPr>
            <w:tcW w:w="7083" w:type="dxa"/>
            <w:gridSpan w:val="9"/>
            <w:tcBorders>
              <w:top w:val="single" w:sz="6" w:space="0" w:color="000000"/>
              <w:left w:val="single" w:sz="6" w:space="0" w:color="000000"/>
              <w:bottom w:val="single" w:sz="6" w:space="0" w:color="000000"/>
              <w:right w:val="single" w:sz="6"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Сєвєродонецька міська територіальна громада</w:t>
            </w:r>
          </w:p>
        </w:tc>
      </w:tr>
      <w:tr w:rsidR="00076FEB" w:rsidRPr="002045F5" w:rsidTr="00076FEB">
        <w:trPr>
          <w:trHeight w:val="642"/>
        </w:trPr>
        <w:tc>
          <w:tcPr>
            <w:tcW w:w="80" w:type="dxa"/>
            <w:gridSpan w:val="3"/>
            <w:shd w:val="clear" w:color="auto" w:fill="auto"/>
          </w:tcPr>
          <w:p w:rsidR="00076FEB" w:rsidRPr="002045F5" w:rsidRDefault="00076FEB" w:rsidP="00524DBF">
            <w:pPr>
              <w:autoSpaceDE w:val="0"/>
              <w:snapToGrid w:val="0"/>
              <w:jc w:val="right"/>
              <w:rPr>
                <w:rFonts w:eastAsia="Calibri"/>
                <w:color w:val="000000"/>
                <w:sz w:val="22"/>
              </w:rPr>
            </w:pPr>
          </w:p>
        </w:tc>
        <w:tc>
          <w:tcPr>
            <w:tcW w:w="2760" w:type="dxa"/>
            <w:tcBorders>
              <w:top w:val="single" w:sz="6" w:space="0" w:color="000000"/>
              <w:left w:val="single" w:sz="6" w:space="0" w:color="000000"/>
              <w:bottom w:val="single" w:sz="6" w:space="0" w:color="000000"/>
            </w:tcBorders>
            <w:shd w:val="clear" w:color="auto" w:fill="C6D9F1" w:themeFill="text2" w:themeFillTint="33"/>
          </w:tcPr>
          <w:p w:rsidR="00076FEB" w:rsidRPr="002045F5" w:rsidRDefault="00076FEB" w:rsidP="00524DBF">
            <w:pPr>
              <w:autoSpaceDE w:val="0"/>
              <w:rPr>
                <w:sz w:val="22"/>
              </w:rPr>
            </w:pPr>
            <w:r w:rsidRPr="002045F5">
              <w:rPr>
                <w:rFonts w:eastAsia="Calibri"/>
                <w:b/>
                <w:color w:val="000000"/>
                <w:sz w:val="22"/>
              </w:rPr>
              <w:t>Чисельність населення, на яке матиме вплив реалізація проекту</w:t>
            </w:r>
          </w:p>
        </w:tc>
        <w:tc>
          <w:tcPr>
            <w:tcW w:w="7083" w:type="dxa"/>
            <w:gridSpan w:val="9"/>
            <w:tcBorders>
              <w:top w:val="single" w:sz="6" w:space="0" w:color="000000"/>
              <w:left w:val="single" w:sz="6" w:space="0" w:color="000000"/>
              <w:bottom w:val="single" w:sz="6" w:space="0" w:color="000000"/>
              <w:right w:val="single" w:sz="6"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70 000 осіб</w:t>
            </w:r>
          </w:p>
        </w:tc>
      </w:tr>
      <w:tr w:rsidR="00076FEB" w:rsidRPr="002045F5" w:rsidTr="00076FEB">
        <w:trPr>
          <w:trHeight w:val="1257"/>
        </w:trPr>
        <w:tc>
          <w:tcPr>
            <w:tcW w:w="80" w:type="dxa"/>
            <w:gridSpan w:val="3"/>
            <w:shd w:val="clear" w:color="auto" w:fill="auto"/>
          </w:tcPr>
          <w:p w:rsidR="00076FEB" w:rsidRPr="002045F5" w:rsidRDefault="00076FEB" w:rsidP="00524DBF">
            <w:pPr>
              <w:autoSpaceDE w:val="0"/>
              <w:snapToGrid w:val="0"/>
              <w:jc w:val="right"/>
              <w:rPr>
                <w:rFonts w:eastAsia="Calibri"/>
                <w:color w:val="000000"/>
                <w:sz w:val="22"/>
              </w:rPr>
            </w:pPr>
          </w:p>
        </w:tc>
        <w:tc>
          <w:tcPr>
            <w:tcW w:w="2760" w:type="dxa"/>
            <w:tcBorders>
              <w:top w:val="single" w:sz="6" w:space="0" w:color="000000"/>
              <w:left w:val="single" w:sz="6" w:space="0" w:color="000000"/>
              <w:bottom w:val="single" w:sz="6" w:space="0" w:color="000000"/>
            </w:tcBorders>
            <w:shd w:val="clear" w:color="auto" w:fill="C6D9F1" w:themeFill="text2" w:themeFillTint="33"/>
          </w:tcPr>
          <w:p w:rsidR="00076FEB" w:rsidRPr="002045F5" w:rsidRDefault="00076FEB" w:rsidP="00524DBF">
            <w:pPr>
              <w:autoSpaceDE w:val="0"/>
              <w:rPr>
                <w:sz w:val="22"/>
              </w:rPr>
            </w:pPr>
            <w:r w:rsidRPr="002045F5">
              <w:rPr>
                <w:rFonts w:eastAsia="Calibri"/>
                <w:b/>
                <w:color w:val="000000"/>
                <w:sz w:val="22"/>
              </w:rPr>
              <w:t>Опис проблеми, на вирішення якої спрямований проект</w:t>
            </w:r>
          </w:p>
        </w:tc>
        <w:tc>
          <w:tcPr>
            <w:tcW w:w="7083" w:type="dxa"/>
            <w:gridSpan w:val="9"/>
            <w:tcBorders>
              <w:top w:val="single" w:sz="6" w:space="0" w:color="000000"/>
              <w:left w:val="single" w:sz="6" w:space="0" w:color="000000"/>
              <w:bottom w:val="single" w:sz="6" w:space="0" w:color="000000"/>
              <w:right w:val="single" w:sz="6"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 xml:space="preserve">Через військову агресію РФ територія  Сєвєродонецької міської територіальної громади зазнала значних пошкоджень. Не оминуло це і  Сєвєродонецький  міський Центр еколого -натуралістичної творчості учнівської молоді.   </w:t>
            </w:r>
          </w:p>
          <w:p w:rsidR="00076FEB" w:rsidRPr="002045F5" w:rsidRDefault="00076FEB" w:rsidP="00524DBF">
            <w:pPr>
              <w:autoSpaceDE w:val="0"/>
              <w:rPr>
                <w:sz w:val="22"/>
              </w:rPr>
            </w:pPr>
            <w:r w:rsidRPr="002045F5">
              <w:rPr>
                <w:rFonts w:eastAsia="Calibri"/>
                <w:color w:val="000000"/>
                <w:sz w:val="22"/>
              </w:rPr>
              <w:t>Навчальні приміщення і теплиці  Центру мають ушкодження і руйнування, а саме :</w:t>
            </w:r>
          </w:p>
          <w:p w:rsidR="00076FEB" w:rsidRPr="002045F5" w:rsidRDefault="00076FEB" w:rsidP="00524DBF">
            <w:pPr>
              <w:autoSpaceDE w:val="0"/>
              <w:rPr>
                <w:sz w:val="22"/>
              </w:rPr>
            </w:pPr>
            <w:r w:rsidRPr="002045F5">
              <w:rPr>
                <w:rFonts w:eastAsia="Calibri"/>
                <w:color w:val="000000"/>
                <w:sz w:val="22"/>
              </w:rPr>
              <w:t>-  будівлі 4</w:t>
            </w:r>
            <w:r w:rsidR="009F436D" w:rsidRPr="002045F5">
              <w:rPr>
                <w:rFonts w:eastAsia="Calibri"/>
                <w:color w:val="000000"/>
                <w:sz w:val="22"/>
              </w:rPr>
              <w:t>-</w:t>
            </w:r>
            <w:r w:rsidRPr="002045F5">
              <w:rPr>
                <w:rFonts w:eastAsia="Calibri"/>
                <w:color w:val="000000"/>
                <w:sz w:val="22"/>
              </w:rPr>
              <w:t>х теплиць;</w:t>
            </w:r>
          </w:p>
          <w:p w:rsidR="00076FEB" w:rsidRPr="002045F5" w:rsidRDefault="00076FEB" w:rsidP="00524DBF">
            <w:pPr>
              <w:autoSpaceDE w:val="0"/>
              <w:rPr>
                <w:sz w:val="22"/>
              </w:rPr>
            </w:pPr>
            <w:r w:rsidRPr="002045F5">
              <w:rPr>
                <w:rFonts w:eastAsia="Calibri"/>
                <w:color w:val="000000"/>
                <w:sz w:val="22"/>
              </w:rPr>
              <w:t>- інвентар та матеріали для роботи в теплицях  викрадено;</w:t>
            </w:r>
          </w:p>
          <w:p w:rsidR="00076FEB" w:rsidRPr="002045F5" w:rsidRDefault="00076FEB" w:rsidP="00524DBF">
            <w:pPr>
              <w:autoSpaceDE w:val="0"/>
              <w:rPr>
                <w:sz w:val="22"/>
              </w:rPr>
            </w:pPr>
            <w:r w:rsidRPr="002045F5">
              <w:rPr>
                <w:rFonts w:eastAsia="Calibri"/>
                <w:color w:val="000000"/>
                <w:sz w:val="22"/>
              </w:rPr>
              <w:t>- оргтехніка (комп’ютери, принтери, монітори, сканер, фотоапарати)  викрадено;</w:t>
            </w:r>
          </w:p>
          <w:p w:rsidR="00076FEB" w:rsidRPr="002045F5" w:rsidRDefault="00076FEB" w:rsidP="00524DBF">
            <w:pPr>
              <w:autoSpaceDE w:val="0"/>
              <w:rPr>
                <w:sz w:val="22"/>
              </w:rPr>
            </w:pPr>
            <w:r w:rsidRPr="002045F5">
              <w:rPr>
                <w:rFonts w:eastAsia="Calibri"/>
                <w:color w:val="000000"/>
                <w:sz w:val="22"/>
              </w:rPr>
              <w:t>-  основні засоби (меблі, шафи, стільці) пошкоджено або викрадено.</w:t>
            </w:r>
          </w:p>
          <w:p w:rsidR="00076FEB" w:rsidRPr="002045F5" w:rsidRDefault="00076FEB" w:rsidP="009F436D">
            <w:pPr>
              <w:autoSpaceDE w:val="0"/>
              <w:rPr>
                <w:rFonts w:eastAsia="Calibri"/>
                <w:color w:val="000000"/>
                <w:sz w:val="22"/>
              </w:rPr>
            </w:pPr>
            <w:r w:rsidRPr="002045F5">
              <w:rPr>
                <w:rFonts w:eastAsia="Calibri"/>
                <w:color w:val="000000"/>
                <w:sz w:val="22"/>
              </w:rPr>
              <w:t>Для  відбудови та сталого розвитку громади,  оволодіння вихованцями знаннями про навколишнє середовище, формування екологічної культури особистості, набуття знань і досвіду розв’язання екологічних проблем  потрібна   відбудова приміщень теплиць  і  відновлення функціонування  закладу. Доступність відвідування такого  освітнього навчального простору сприятиме отриманню якісних освітніх послуг, які відповідають нормам сучасності та  потребам  мешканців  Сєвєродонецької міської територіальної громади.</w:t>
            </w:r>
          </w:p>
        </w:tc>
      </w:tr>
      <w:tr w:rsidR="00076FEB" w:rsidRPr="002045F5" w:rsidTr="00076FEB">
        <w:trPr>
          <w:trHeight w:val="1261"/>
        </w:trPr>
        <w:tc>
          <w:tcPr>
            <w:tcW w:w="80" w:type="dxa"/>
            <w:gridSpan w:val="3"/>
            <w:shd w:val="clear" w:color="auto" w:fill="auto"/>
          </w:tcPr>
          <w:p w:rsidR="00076FEB" w:rsidRPr="002045F5" w:rsidRDefault="00076FEB" w:rsidP="00524DBF">
            <w:pPr>
              <w:autoSpaceDE w:val="0"/>
              <w:snapToGrid w:val="0"/>
              <w:jc w:val="right"/>
              <w:rPr>
                <w:rFonts w:eastAsia="Calibri"/>
                <w:color w:val="000000"/>
                <w:sz w:val="22"/>
              </w:rPr>
            </w:pPr>
          </w:p>
        </w:tc>
        <w:tc>
          <w:tcPr>
            <w:tcW w:w="2760" w:type="dxa"/>
            <w:tcBorders>
              <w:top w:val="single" w:sz="6" w:space="0" w:color="000000"/>
              <w:left w:val="single" w:sz="6" w:space="0" w:color="000000"/>
              <w:bottom w:val="single" w:sz="6" w:space="0" w:color="000000"/>
            </w:tcBorders>
            <w:shd w:val="clear" w:color="auto" w:fill="C6D9F1" w:themeFill="text2" w:themeFillTint="33"/>
          </w:tcPr>
          <w:p w:rsidR="00076FEB" w:rsidRPr="002045F5" w:rsidRDefault="00076FEB" w:rsidP="00524DBF">
            <w:pPr>
              <w:autoSpaceDE w:val="0"/>
              <w:rPr>
                <w:sz w:val="22"/>
              </w:rPr>
            </w:pPr>
            <w:r w:rsidRPr="002045F5">
              <w:rPr>
                <w:rFonts w:eastAsia="Calibri"/>
                <w:b/>
                <w:color w:val="000000"/>
                <w:sz w:val="22"/>
              </w:rPr>
              <w:t>Очікувані якісні результати від реалізації проекту</w:t>
            </w:r>
          </w:p>
        </w:tc>
        <w:tc>
          <w:tcPr>
            <w:tcW w:w="7083" w:type="dxa"/>
            <w:gridSpan w:val="9"/>
            <w:tcBorders>
              <w:top w:val="single" w:sz="6" w:space="0" w:color="000000"/>
              <w:left w:val="single" w:sz="6" w:space="0" w:color="000000"/>
              <w:bottom w:val="single" w:sz="6" w:space="0" w:color="000000"/>
              <w:right w:val="single" w:sz="6" w:space="0" w:color="000000"/>
            </w:tcBorders>
            <w:shd w:val="clear" w:color="auto" w:fill="auto"/>
          </w:tcPr>
          <w:p w:rsidR="00076FEB" w:rsidRPr="002045F5" w:rsidRDefault="00076FEB" w:rsidP="00524DBF">
            <w:pPr>
              <w:autoSpaceDE w:val="0"/>
              <w:rPr>
                <w:sz w:val="22"/>
              </w:rPr>
            </w:pPr>
            <w:r w:rsidRPr="002045F5">
              <w:rPr>
                <w:rFonts w:eastAsia="Calibri"/>
                <w:sz w:val="22"/>
              </w:rPr>
              <w:t>- забезпечення населення можливостями для реалізації його</w:t>
            </w:r>
          </w:p>
          <w:p w:rsidR="00076FEB" w:rsidRPr="002045F5" w:rsidRDefault="00076FEB" w:rsidP="00524DBF">
            <w:pPr>
              <w:autoSpaceDE w:val="0"/>
              <w:rPr>
                <w:sz w:val="22"/>
              </w:rPr>
            </w:pPr>
            <w:r w:rsidRPr="002045F5">
              <w:rPr>
                <w:rFonts w:eastAsia="Calibri"/>
                <w:sz w:val="22"/>
              </w:rPr>
              <w:t>конституційних прав, пов’язаних із позашкільною освітою;</w:t>
            </w:r>
          </w:p>
          <w:p w:rsidR="00076FEB" w:rsidRPr="002045F5" w:rsidRDefault="00076FEB" w:rsidP="00524DBF">
            <w:pPr>
              <w:autoSpaceDE w:val="0"/>
              <w:rPr>
                <w:sz w:val="22"/>
              </w:rPr>
            </w:pPr>
            <w:r w:rsidRPr="002045F5">
              <w:rPr>
                <w:rFonts w:eastAsia="Calibri"/>
                <w:sz w:val="22"/>
              </w:rPr>
              <w:t xml:space="preserve">- надання широкого спектру послуг, пов’язаних із </w:t>
            </w:r>
            <w:r w:rsidRPr="002045F5">
              <w:rPr>
                <w:rFonts w:eastAsia="Calibri"/>
                <w:color w:val="000000"/>
                <w:sz w:val="22"/>
              </w:rPr>
              <w:t xml:space="preserve"> оволодінням вихованцями знаннями про навколишнє середовище, формування екологічної культури особистості, набуття знань і досвіду розв’язання екологічних проблем</w:t>
            </w:r>
            <w:r w:rsidRPr="002045F5">
              <w:rPr>
                <w:rFonts w:eastAsia="Calibri"/>
                <w:sz w:val="22"/>
              </w:rPr>
              <w:t>;</w:t>
            </w:r>
          </w:p>
          <w:p w:rsidR="00076FEB" w:rsidRPr="002045F5" w:rsidRDefault="00076FEB" w:rsidP="00524DBF">
            <w:pPr>
              <w:autoSpaceDE w:val="0"/>
              <w:rPr>
                <w:sz w:val="22"/>
              </w:rPr>
            </w:pPr>
            <w:r w:rsidRPr="002045F5">
              <w:rPr>
                <w:rFonts w:eastAsia="Calibri"/>
                <w:sz w:val="22"/>
              </w:rPr>
              <w:t>- вирішення ряду питань в межах статутної діяльності, пов’язаних із відбудовою та сталим розвитком громади;</w:t>
            </w:r>
          </w:p>
          <w:p w:rsidR="00076FEB" w:rsidRPr="002045F5" w:rsidRDefault="00076FEB" w:rsidP="00524DBF">
            <w:pPr>
              <w:autoSpaceDE w:val="0"/>
              <w:rPr>
                <w:rFonts w:eastAsia="Calibri"/>
                <w:color w:val="000000"/>
                <w:sz w:val="22"/>
              </w:rPr>
            </w:pPr>
            <w:r w:rsidRPr="002045F5">
              <w:rPr>
                <w:rFonts w:eastAsia="Calibri"/>
                <w:sz w:val="22"/>
              </w:rPr>
              <w:t>- стимул до повернення ВПО до громади.</w:t>
            </w:r>
          </w:p>
        </w:tc>
      </w:tr>
      <w:tr w:rsidR="00076FEB" w:rsidRPr="002045F5" w:rsidTr="00076FEB">
        <w:tblPrEx>
          <w:tblCellMar>
            <w:left w:w="0" w:type="dxa"/>
            <w:right w:w="0" w:type="dxa"/>
          </w:tblCellMar>
        </w:tblPrEx>
        <w:trPr>
          <w:trHeight w:val="579"/>
        </w:trPr>
        <w:tc>
          <w:tcPr>
            <w:tcW w:w="36" w:type="dxa"/>
            <w:gridSpan w:val="2"/>
            <w:shd w:val="clear" w:color="auto" w:fill="auto"/>
          </w:tcPr>
          <w:p w:rsidR="00076FEB" w:rsidRPr="002045F5" w:rsidRDefault="00076FEB" w:rsidP="00524DBF">
            <w:pPr>
              <w:autoSpaceDE w:val="0"/>
              <w:snapToGrid w:val="0"/>
              <w:jc w:val="right"/>
              <w:rPr>
                <w:rFonts w:eastAsia="Calibri"/>
                <w:color w:val="000000"/>
                <w:sz w:val="22"/>
              </w:rPr>
            </w:pPr>
          </w:p>
        </w:tc>
        <w:tc>
          <w:tcPr>
            <w:tcW w:w="2804" w:type="dxa"/>
            <w:gridSpan w:val="2"/>
            <w:tcBorders>
              <w:top w:val="single" w:sz="6" w:space="0" w:color="000000"/>
              <w:left w:val="single" w:sz="6" w:space="0" w:color="000000"/>
              <w:bottom w:val="single" w:sz="6" w:space="0" w:color="000000"/>
            </w:tcBorders>
            <w:shd w:val="clear" w:color="auto" w:fill="C6D9F1" w:themeFill="text2" w:themeFillTint="33"/>
          </w:tcPr>
          <w:p w:rsidR="00076FEB" w:rsidRPr="002045F5" w:rsidRDefault="00076FEB" w:rsidP="00524DBF">
            <w:pPr>
              <w:autoSpaceDE w:val="0"/>
              <w:rPr>
                <w:sz w:val="22"/>
              </w:rPr>
            </w:pPr>
            <w:r w:rsidRPr="002045F5">
              <w:rPr>
                <w:rFonts w:eastAsia="Calibri"/>
                <w:b/>
                <w:color w:val="000000"/>
                <w:sz w:val="22"/>
              </w:rPr>
              <w:t>Очікувані кількісні результати від реалізації проекту  (індикатори)</w:t>
            </w:r>
          </w:p>
        </w:tc>
        <w:tc>
          <w:tcPr>
            <w:tcW w:w="4048" w:type="dxa"/>
            <w:gridSpan w:val="4"/>
            <w:tcBorders>
              <w:top w:val="single" w:sz="6" w:space="0" w:color="000000"/>
              <w:left w:val="single" w:sz="6" w:space="0" w:color="000000"/>
              <w:bottom w:val="single" w:sz="6" w:space="0" w:color="000000"/>
            </w:tcBorders>
            <w:shd w:val="clear" w:color="auto" w:fill="auto"/>
          </w:tcPr>
          <w:p w:rsidR="00076FEB" w:rsidRPr="002045F5" w:rsidRDefault="00076FEB" w:rsidP="00524DBF">
            <w:pPr>
              <w:autoSpaceDE w:val="0"/>
              <w:rPr>
                <w:sz w:val="22"/>
              </w:rPr>
            </w:pPr>
            <w:r w:rsidRPr="002045F5">
              <w:rPr>
                <w:rFonts w:eastAsia="Calibri"/>
                <w:b/>
                <w:color w:val="000000"/>
                <w:sz w:val="22"/>
              </w:rPr>
              <w:t>Найменування показника</w:t>
            </w:r>
          </w:p>
        </w:tc>
        <w:tc>
          <w:tcPr>
            <w:tcW w:w="1319" w:type="dxa"/>
            <w:tcBorders>
              <w:top w:val="single" w:sz="6" w:space="0" w:color="000000"/>
              <w:left w:val="single" w:sz="6" w:space="0" w:color="000000"/>
              <w:bottom w:val="single" w:sz="6" w:space="0" w:color="000000"/>
            </w:tcBorders>
            <w:shd w:val="clear" w:color="auto" w:fill="auto"/>
          </w:tcPr>
          <w:p w:rsidR="00076FEB" w:rsidRPr="002045F5" w:rsidRDefault="00076FEB" w:rsidP="00524DBF">
            <w:pPr>
              <w:autoSpaceDE w:val="0"/>
              <w:rPr>
                <w:sz w:val="22"/>
              </w:rPr>
            </w:pPr>
            <w:r w:rsidRPr="002045F5">
              <w:rPr>
                <w:rFonts w:eastAsia="Calibri"/>
                <w:b/>
                <w:color w:val="000000"/>
                <w:sz w:val="22"/>
              </w:rPr>
              <w:t>Одиниця вимірювання</w:t>
            </w:r>
          </w:p>
        </w:tc>
        <w:tc>
          <w:tcPr>
            <w:tcW w:w="1683" w:type="dxa"/>
            <w:gridSpan w:val="2"/>
            <w:tcBorders>
              <w:top w:val="single" w:sz="6" w:space="0" w:color="000000"/>
              <w:left w:val="single" w:sz="6" w:space="0" w:color="000000"/>
              <w:bottom w:val="single" w:sz="6" w:space="0" w:color="000000"/>
            </w:tcBorders>
            <w:shd w:val="clear" w:color="auto" w:fill="auto"/>
          </w:tcPr>
          <w:p w:rsidR="00076FEB" w:rsidRPr="002045F5" w:rsidRDefault="00076FEB" w:rsidP="00524DBF">
            <w:pPr>
              <w:autoSpaceDE w:val="0"/>
              <w:rPr>
                <w:sz w:val="22"/>
              </w:rPr>
            </w:pPr>
            <w:r w:rsidRPr="002045F5">
              <w:rPr>
                <w:rFonts w:eastAsia="Calibri"/>
                <w:b/>
                <w:color w:val="000000"/>
                <w:sz w:val="22"/>
              </w:rPr>
              <w:t>Прогнозне (цільове) значення</w:t>
            </w:r>
          </w:p>
        </w:tc>
        <w:tc>
          <w:tcPr>
            <w:tcW w:w="33" w:type="dxa"/>
            <w:gridSpan w:val="2"/>
            <w:tcBorders>
              <w:left w:val="single" w:sz="6" w:space="0" w:color="000000"/>
            </w:tcBorders>
            <w:shd w:val="clear" w:color="auto" w:fill="auto"/>
          </w:tcPr>
          <w:p w:rsidR="00076FEB" w:rsidRPr="002045F5" w:rsidRDefault="00076FEB" w:rsidP="00524DBF">
            <w:pPr>
              <w:snapToGrid w:val="0"/>
              <w:rPr>
                <w:rFonts w:eastAsia="Calibri"/>
                <w:b/>
                <w:color w:val="000000"/>
                <w:sz w:val="22"/>
              </w:rPr>
            </w:pPr>
          </w:p>
        </w:tc>
      </w:tr>
      <w:tr w:rsidR="00076FEB" w:rsidRPr="002045F5" w:rsidTr="00076FEB">
        <w:tblPrEx>
          <w:tblCellMar>
            <w:left w:w="0" w:type="dxa"/>
            <w:right w:w="0" w:type="dxa"/>
          </w:tblCellMar>
        </w:tblPrEx>
        <w:trPr>
          <w:trHeight w:val="853"/>
        </w:trPr>
        <w:tc>
          <w:tcPr>
            <w:tcW w:w="36" w:type="dxa"/>
            <w:gridSpan w:val="2"/>
            <w:vMerge w:val="restart"/>
            <w:shd w:val="clear" w:color="auto" w:fill="auto"/>
          </w:tcPr>
          <w:p w:rsidR="00076FEB" w:rsidRPr="002045F5" w:rsidRDefault="00076FEB" w:rsidP="00524DBF">
            <w:pPr>
              <w:autoSpaceDE w:val="0"/>
              <w:jc w:val="right"/>
              <w:rPr>
                <w:sz w:val="22"/>
              </w:rPr>
            </w:pPr>
            <w:r w:rsidRPr="002045F5">
              <w:rPr>
                <w:rFonts w:eastAsia="Calibri"/>
                <w:color w:val="000000"/>
                <w:sz w:val="22"/>
              </w:rPr>
              <w:t xml:space="preserve"> </w:t>
            </w:r>
          </w:p>
        </w:tc>
        <w:tc>
          <w:tcPr>
            <w:tcW w:w="2804" w:type="dxa"/>
            <w:gridSpan w:val="2"/>
            <w:vMerge w:val="restart"/>
            <w:tcBorders>
              <w:top w:val="single" w:sz="6" w:space="0" w:color="000000"/>
              <w:left w:val="single" w:sz="6" w:space="0" w:color="000000"/>
              <w:bottom w:val="single" w:sz="6" w:space="0" w:color="000000"/>
            </w:tcBorders>
            <w:shd w:val="clear" w:color="auto" w:fill="C6D9F1" w:themeFill="text2" w:themeFillTint="33"/>
          </w:tcPr>
          <w:p w:rsidR="00076FEB" w:rsidRPr="002045F5" w:rsidRDefault="00076FEB" w:rsidP="00524DBF">
            <w:pPr>
              <w:autoSpaceDE w:val="0"/>
              <w:snapToGrid w:val="0"/>
              <w:rPr>
                <w:rFonts w:eastAsia="Calibri"/>
                <w:b/>
                <w:color w:val="000000"/>
                <w:sz w:val="22"/>
              </w:rPr>
            </w:pPr>
          </w:p>
        </w:tc>
        <w:tc>
          <w:tcPr>
            <w:tcW w:w="4048" w:type="dxa"/>
            <w:gridSpan w:val="4"/>
            <w:tcBorders>
              <w:top w:val="single" w:sz="6"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Теплиця- навчальне приміщення</w:t>
            </w:r>
          </w:p>
        </w:tc>
        <w:tc>
          <w:tcPr>
            <w:tcW w:w="1319" w:type="dxa"/>
            <w:tcBorders>
              <w:top w:val="single" w:sz="6"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одиниці</w:t>
            </w:r>
          </w:p>
        </w:tc>
        <w:tc>
          <w:tcPr>
            <w:tcW w:w="1683" w:type="dxa"/>
            <w:gridSpan w:val="2"/>
            <w:tcBorders>
              <w:top w:val="single" w:sz="6"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 xml:space="preserve">4 </w:t>
            </w:r>
          </w:p>
        </w:tc>
        <w:tc>
          <w:tcPr>
            <w:tcW w:w="33" w:type="dxa"/>
            <w:gridSpan w:val="2"/>
            <w:tcBorders>
              <w:left w:val="single" w:sz="6" w:space="0" w:color="000000"/>
            </w:tcBorders>
            <w:shd w:val="clear" w:color="auto" w:fill="auto"/>
          </w:tcPr>
          <w:p w:rsidR="00076FEB" w:rsidRPr="002045F5" w:rsidRDefault="00076FEB" w:rsidP="00524DBF">
            <w:pPr>
              <w:snapToGrid w:val="0"/>
              <w:rPr>
                <w:rFonts w:eastAsia="Calibri"/>
                <w:color w:val="000000"/>
                <w:sz w:val="22"/>
              </w:rPr>
            </w:pPr>
          </w:p>
        </w:tc>
      </w:tr>
      <w:tr w:rsidR="00076FEB" w:rsidRPr="002045F5" w:rsidTr="00076FEB">
        <w:tblPrEx>
          <w:tblCellMar>
            <w:left w:w="0" w:type="dxa"/>
            <w:right w:w="0" w:type="dxa"/>
          </w:tblCellMar>
        </w:tblPrEx>
        <w:trPr>
          <w:trHeight w:val="209"/>
        </w:trPr>
        <w:tc>
          <w:tcPr>
            <w:tcW w:w="36" w:type="dxa"/>
            <w:gridSpan w:val="2"/>
            <w:vMerge/>
            <w:shd w:val="clear" w:color="auto" w:fill="auto"/>
          </w:tcPr>
          <w:p w:rsidR="00076FEB" w:rsidRPr="002045F5" w:rsidRDefault="00076FEB" w:rsidP="00524DBF">
            <w:pPr>
              <w:autoSpaceDE w:val="0"/>
              <w:snapToGrid w:val="0"/>
              <w:jc w:val="right"/>
              <w:rPr>
                <w:rFonts w:eastAsia="Calibri"/>
                <w:color w:val="000000"/>
                <w:sz w:val="22"/>
              </w:rPr>
            </w:pPr>
          </w:p>
        </w:tc>
        <w:tc>
          <w:tcPr>
            <w:tcW w:w="2804" w:type="dxa"/>
            <w:gridSpan w:val="2"/>
            <w:vMerge/>
            <w:tcBorders>
              <w:top w:val="single" w:sz="6" w:space="0" w:color="000000"/>
              <w:left w:val="single" w:sz="6" w:space="0" w:color="000000"/>
              <w:bottom w:val="single" w:sz="6" w:space="0" w:color="000000"/>
            </w:tcBorders>
            <w:shd w:val="clear" w:color="auto" w:fill="C6D9F1" w:themeFill="text2" w:themeFillTint="33"/>
          </w:tcPr>
          <w:p w:rsidR="00076FEB" w:rsidRPr="002045F5" w:rsidRDefault="00076FEB" w:rsidP="00524DBF">
            <w:pPr>
              <w:autoSpaceDE w:val="0"/>
              <w:snapToGrid w:val="0"/>
              <w:rPr>
                <w:rFonts w:eastAsia="Calibri"/>
                <w:b/>
                <w:color w:val="000000"/>
                <w:sz w:val="22"/>
              </w:rPr>
            </w:pPr>
          </w:p>
        </w:tc>
        <w:tc>
          <w:tcPr>
            <w:tcW w:w="4048" w:type="dxa"/>
            <w:gridSpan w:val="4"/>
            <w:tcBorders>
              <w:top w:val="single" w:sz="4"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Вікна</w:t>
            </w:r>
          </w:p>
        </w:tc>
        <w:tc>
          <w:tcPr>
            <w:tcW w:w="1319" w:type="dxa"/>
            <w:tcBorders>
              <w:top w:val="single" w:sz="4"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одиниці</w:t>
            </w:r>
          </w:p>
        </w:tc>
        <w:tc>
          <w:tcPr>
            <w:tcW w:w="1683" w:type="dxa"/>
            <w:gridSpan w:val="2"/>
            <w:tcBorders>
              <w:top w:val="single" w:sz="4"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 xml:space="preserve">35 </w:t>
            </w:r>
          </w:p>
        </w:tc>
        <w:tc>
          <w:tcPr>
            <w:tcW w:w="33" w:type="dxa"/>
            <w:gridSpan w:val="2"/>
            <w:tcBorders>
              <w:left w:val="single" w:sz="6" w:space="0" w:color="000000"/>
            </w:tcBorders>
            <w:shd w:val="clear" w:color="auto" w:fill="auto"/>
          </w:tcPr>
          <w:p w:rsidR="00076FEB" w:rsidRPr="002045F5" w:rsidRDefault="00076FEB" w:rsidP="00524DBF">
            <w:pPr>
              <w:snapToGrid w:val="0"/>
              <w:rPr>
                <w:rFonts w:eastAsia="Calibri"/>
                <w:color w:val="000000"/>
                <w:sz w:val="22"/>
              </w:rPr>
            </w:pPr>
          </w:p>
        </w:tc>
      </w:tr>
      <w:tr w:rsidR="00076FEB" w:rsidRPr="002045F5" w:rsidTr="00076FEB">
        <w:tblPrEx>
          <w:tblCellMar>
            <w:left w:w="0" w:type="dxa"/>
            <w:right w:w="0" w:type="dxa"/>
          </w:tblCellMar>
        </w:tblPrEx>
        <w:trPr>
          <w:trHeight w:val="239"/>
        </w:trPr>
        <w:tc>
          <w:tcPr>
            <w:tcW w:w="36" w:type="dxa"/>
            <w:gridSpan w:val="2"/>
            <w:vMerge/>
            <w:shd w:val="clear" w:color="auto" w:fill="auto"/>
          </w:tcPr>
          <w:p w:rsidR="00076FEB" w:rsidRPr="002045F5" w:rsidRDefault="00076FEB" w:rsidP="00524DBF">
            <w:pPr>
              <w:autoSpaceDE w:val="0"/>
              <w:snapToGrid w:val="0"/>
              <w:jc w:val="right"/>
              <w:rPr>
                <w:rFonts w:eastAsia="Calibri"/>
                <w:color w:val="000000"/>
                <w:sz w:val="22"/>
              </w:rPr>
            </w:pPr>
          </w:p>
        </w:tc>
        <w:tc>
          <w:tcPr>
            <w:tcW w:w="2804" w:type="dxa"/>
            <w:gridSpan w:val="2"/>
            <w:vMerge/>
            <w:tcBorders>
              <w:top w:val="single" w:sz="6" w:space="0" w:color="000000"/>
              <w:left w:val="single" w:sz="6" w:space="0" w:color="000000"/>
              <w:bottom w:val="single" w:sz="6" w:space="0" w:color="000000"/>
            </w:tcBorders>
            <w:shd w:val="clear" w:color="auto" w:fill="C6D9F1" w:themeFill="text2" w:themeFillTint="33"/>
          </w:tcPr>
          <w:p w:rsidR="00076FEB" w:rsidRPr="002045F5" w:rsidRDefault="00076FEB" w:rsidP="00524DBF">
            <w:pPr>
              <w:autoSpaceDE w:val="0"/>
              <w:snapToGrid w:val="0"/>
              <w:rPr>
                <w:rFonts w:eastAsia="Calibri"/>
                <w:b/>
                <w:color w:val="000000"/>
                <w:sz w:val="22"/>
              </w:rPr>
            </w:pPr>
          </w:p>
        </w:tc>
        <w:tc>
          <w:tcPr>
            <w:tcW w:w="4048" w:type="dxa"/>
            <w:gridSpan w:val="4"/>
            <w:tcBorders>
              <w:top w:val="single" w:sz="4"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Батареї</w:t>
            </w:r>
          </w:p>
        </w:tc>
        <w:tc>
          <w:tcPr>
            <w:tcW w:w="1319" w:type="dxa"/>
            <w:tcBorders>
              <w:top w:val="single" w:sz="4"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одиниці</w:t>
            </w:r>
          </w:p>
        </w:tc>
        <w:tc>
          <w:tcPr>
            <w:tcW w:w="1683" w:type="dxa"/>
            <w:gridSpan w:val="2"/>
            <w:tcBorders>
              <w:top w:val="single" w:sz="4"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 xml:space="preserve">30 </w:t>
            </w:r>
          </w:p>
        </w:tc>
        <w:tc>
          <w:tcPr>
            <w:tcW w:w="33" w:type="dxa"/>
            <w:gridSpan w:val="2"/>
            <w:tcBorders>
              <w:left w:val="single" w:sz="6" w:space="0" w:color="000000"/>
            </w:tcBorders>
            <w:shd w:val="clear" w:color="auto" w:fill="auto"/>
          </w:tcPr>
          <w:p w:rsidR="00076FEB" w:rsidRPr="002045F5" w:rsidRDefault="00076FEB" w:rsidP="00524DBF">
            <w:pPr>
              <w:snapToGrid w:val="0"/>
              <w:rPr>
                <w:rFonts w:eastAsia="Calibri"/>
                <w:color w:val="000000"/>
                <w:sz w:val="22"/>
              </w:rPr>
            </w:pPr>
          </w:p>
        </w:tc>
      </w:tr>
      <w:tr w:rsidR="00076FEB" w:rsidRPr="002045F5" w:rsidTr="00076FEB">
        <w:tblPrEx>
          <w:tblCellMar>
            <w:left w:w="0" w:type="dxa"/>
            <w:right w:w="0" w:type="dxa"/>
          </w:tblCellMar>
        </w:tblPrEx>
        <w:trPr>
          <w:trHeight w:val="239"/>
        </w:trPr>
        <w:tc>
          <w:tcPr>
            <w:tcW w:w="36" w:type="dxa"/>
            <w:gridSpan w:val="2"/>
            <w:vMerge/>
            <w:shd w:val="clear" w:color="auto" w:fill="auto"/>
          </w:tcPr>
          <w:p w:rsidR="00076FEB" w:rsidRPr="002045F5" w:rsidRDefault="00076FEB" w:rsidP="00524DBF">
            <w:pPr>
              <w:autoSpaceDE w:val="0"/>
              <w:snapToGrid w:val="0"/>
              <w:jc w:val="right"/>
              <w:rPr>
                <w:rFonts w:eastAsia="Calibri"/>
                <w:color w:val="000000"/>
                <w:sz w:val="22"/>
              </w:rPr>
            </w:pPr>
          </w:p>
        </w:tc>
        <w:tc>
          <w:tcPr>
            <w:tcW w:w="2804" w:type="dxa"/>
            <w:gridSpan w:val="2"/>
            <w:vMerge/>
            <w:tcBorders>
              <w:top w:val="single" w:sz="6" w:space="0" w:color="000000"/>
              <w:left w:val="single" w:sz="6" w:space="0" w:color="000000"/>
              <w:bottom w:val="single" w:sz="6" w:space="0" w:color="000000"/>
            </w:tcBorders>
            <w:shd w:val="clear" w:color="auto" w:fill="C6D9F1" w:themeFill="text2" w:themeFillTint="33"/>
          </w:tcPr>
          <w:p w:rsidR="00076FEB" w:rsidRPr="002045F5" w:rsidRDefault="00076FEB" w:rsidP="00524DBF">
            <w:pPr>
              <w:autoSpaceDE w:val="0"/>
              <w:snapToGrid w:val="0"/>
              <w:rPr>
                <w:rFonts w:eastAsia="Calibri"/>
                <w:b/>
                <w:color w:val="000000"/>
                <w:sz w:val="22"/>
              </w:rPr>
            </w:pPr>
          </w:p>
        </w:tc>
        <w:tc>
          <w:tcPr>
            <w:tcW w:w="4048" w:type="dxa"/>
            <w:gridSpan w:val="4"/>
            <w:tcBorders>
              <w:top w:val="single" w:sz="4"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 xml:space="preserve">Матеріали для поточного ремонту </w:t>
            </w:r>
          </w:p>
        </w:tc>
        <w:tc>
          <w:tcPr>
            <w:tcW w:w="1319" w:type="dxa"/>
            <w:tcBorders>
              <w:top w:val="single" w:sz="4"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proofErr w:type="spellStart"/>
            <w:r w:rsidRPr="002045F5">
              <w:rPr>
                <w:rFonts w:eastAsia="Calibri"/>
                <w:color w:val="000000"/>
                <w:sz w:val="22"/>
              </w:rPr>
              <w:t>м.кв</w:t>
            </w:r>
            <w:proofErr w:type="spellEnd"/>
          </w:p>
        </w:tc>
        <w:tc>
          <w:tcPr>
            <w:tcW w:w="1683" w:type="dxa"/>
            <w:gridSpan w:val="2"/>
            <w:tcBorders>
              <w:top w:val="single" w:sz="4"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sz w:val="22"/>
              </w:rPr>
              <w:t xml:space="preserve">919.7 </w:t>
            </w:r>
          </w:p>
        </w:tc>
        <w:tc>
          <w:tcPr>
            <w:tcW w:w="33" w:type="dxa"/>
            <w:gridSpan w:val="2"/>
            <w:tcBorders>
              <w:left w:val="single" w:sz="6" w:space="0" w:color="000000"/>
            </w:tcBorders>
            <w:shd w:val="clear" w:color="auto" w:fill="auto"/>
          </w:tcPr>
          <w:p w:rsidR="00076FEB" w:rsidRPr="002045F5" w:rsidRDefault="00076FEB" w:rsidP="00524DBF">
            <w:pPr>
              <w:snapToGrid w:val="0"/>
              <w:rPr>
                <w:rFonts w:eastAsia="Calibri"/>
                <w:color w:val="000000"/>
                <w:sz w:val="22"/>
              </w:rPr>
            </w:pPr>
          </w:p>
        </w:tc>
      </w:tr>
      <w:tr w:rsidR="00076FEB" w:rsidRPr="002045F5" w:rsidTr="00076FEB">
        <w:tblPrEx>
          <w:tblCellMar>
            <w:left w:w="0" w:type="dxa"/>
            <w:right w:w="0" w:type="dxa"/>
          </w:tblCellMar>
        </w:tblPrEx>
        <w:trPr>
          <w:trHeight w:val="224"/>
        </w:trPr>
        <w:tc>
          <w:tcPr>
            <w:tcW w:w="36" w:type="dxa"/>
            <w:gridSpan w:val="2"/>
            <w:vMerge/>
            <w:shd w:val="clear" w:color="auto" w:fill="auto"/>
          </w:tcPr>
          <w:p w:rsidR="00076FEB" w:rsidRPr="002045F5" w:rsidRDefault="00076FEB" w:rsidP="00524DBF">
            <w:pPr>
              <w:autoSpaceDE w:val="0"/>
              <w:snapToGrid w:val="0"/>
              <w:jc w:val="right"/>
              <w:rPr>
                <w:rFonts w:eastAsia="Calibri"/>
                <w:color w:val="000000"/>
                <w:sz w:val="22"/>
              </w:rPr>
            </w:pPr>
          </w:p>
        </w:tc>
        <w:tc>
          <w:tcPr>
            <w:tcW w:w="2804" w:type="dxa"/>
            <w:gridSpan w:val="2"/>
            <w:vMerge/>
            <w:tcBorders>
              <w:top w:val="single" w:sz="6" w:space="0" w:color="000000"/>
              <w:left w:val="single" w:sz="6" w:space="0" w:color="000000"/>
              <w:bottom w:val="single" w:sz="6" w:space="0" w:color="000000"/>
            </w:tcBorders>
            <w:shd w:val="clear" w:color="auto" w:fill="C6D9F1" w:themeFill="text2" w:themeFillTint="33"/>
          </w:tcPr>
          <w:p w:rsidR="00076FEB" w:rsidRPr="002045F5" w:rsidRDefault="00076FEB" w:rsidP="00524DBF">
            <w:pPr>
              <w:autoSpaceDE w:val="0"/>
              <w:snapToGrid w:val="0"/>
              <w:rPr>
                <w:rFonts w:eastAsia="Calibri"/>
                <w:b/>
                <w:color w:val="000000"/>
                <w:sz w:val="22"/>
              </w:rPr>
            </w:pPr>
          </w:p>
        </w:tc>
        <w:tc>
          <w:tcPr>
            <w:tcW w:w="4048" w:type="dxa"/>
            <w:gridSpan w:val="4"/>
            <w:tcBorders>
              <w:top w:val="single" w:sz="4"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Комп’ютерне обладнання</w:t>
            </w:r>
          </w:p>
        </w:tc>
        <w:tc>
          <w:tcPr>
            <w:tcW w:w="1319" w:type="dxa"/>
            <w:tcBorders>
              <w:top w:val="single" w:sz="4"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одиниці</w:t>
            </w:r>
          </w:p>
        </w:tc>
        <w:tc>
          <w:tcPr>
            <w:tcW w:w="1683" w:type="dxa"/>
            <w:gridSpan w:val="2"/>
            <w:tcBorders>
              <w:top w:val="single" w:sz="4"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22</w:t>
            </w:r>
          </w:p>
        </w:tc>
        <w:tc>
          <w:tcPr>
            <w:tcW w:w="33" w:type="dxa"/>
            <w:gridSpan w:val="2"/>
            <w:tcBorders>
              <w:left w:val="single" w:sz="6" w:space="0" w:color="000000"/>
            </w:tcBorders>
            <w:shd w:val="clear" w:color="auto" w:fill="auto"/>
          </w:tcPr>
          <w:p w:rsidR="00076FEB" w:rsidRPr="002045F5" w:rsidRDefault="00076FEB" w:rsidP="00524DBF">
            <w:pPr>
              <w:snapToGrid w:val="0"/>
              <w:rPr>
                <w:rFonts w:eastAsia="Calibri"/>
                <w:color w:val="000000"/>
                <w:sz w:val="22"/>
              </w:rPr>
            </w:pPr>
          </w:p>
        </w:tc>
      </w:tr>
      <w:tr w:rsidR="00076FEB" w:rsidRPr="002045F5" w:rsidTr="00076FEB">
        <w:tblPrEx>
          <w:tblCellMar>
            <w:left w:w="0" w:type="dxa"/>
            <w:right w:w="0" w:type="dxa"/>
          </w:tblCellMar>
        </w:tblPrEx>
        <w:trPr>
          <w:trHeight w:val="224"/>
        </w:trPr>
        <w:tc>
          <w:tcPr>
            <w:tcW w:w="36" w:type="dxa"/>
            <w:gridSpan w:val="2"/>
            <w:vMerge/>
            <w:shd w:val="clear" w:color="auto" w:fill="auto"/>
          </w:tcPr>
          <w:p w:rsidR="00076FEB" w:rsidRPr="002045F5" w:rsidRDefault="00076FEB" w:rsidP="00524DBF">
            <w:pPr>
              <w:autoSpaceDE w:val="0"/>
              <w:snapToGrid w:val="0"/>
              <w:jc w:val="right"/>
              <w:rPr>
                <w:rFonts w:eastAsia="Calibri"/>
                <w:color w:val="000000"/>
                <w:sz w:val="22"/>
              </w:rPr>
            </w:pPr>
          </w:p>
        </w:tc>
        <w:tc>
          <w:tcPr>
            <w:tcW w:w="2804" w:type="dxa"/>
            <w:gridSpan w:val="2"/>
            <w:vMerge/>
            <w:tcBorders>
              <w:top w:val="single" w:sz="6" w:space="0" w:color="000000"/>
              <w:left w:val="single" w:sz="6" w:space="0" w:color="000000"/>
              <w:bottom w:val="single" w:sz="6" w:space="0" w:color="000000"/>
            </w:tcBorders>
            <w:shd w:val="clear" w:color="auto" w:fill="C6D9F1" w:themeFill="text2" w:themeFillTint="33"/>
          </w:tcPr>
          <w:p w:rsidR="00076FEB" w:rsidRPr="002045F5" w:rsidRDefault="00076FEB" w:rsidP="00524DBF">
            <w:pPr>
              <w:autoSpaceDE w:val="0"/>
              <w:snapToGrid w:val="0"/>
              <w:rPr>
                <w:rFonts w:eastAsia="Calibri"/>
                <w:b/>
                <w:color w:val="000000"/>
                <w:sz w:val="22"/>
              </w:rPr>
            </w:pPr>
          </w:p>
        </w:tc>
        <w:tc>
          <w:tcPr>
            <w:tcW w:w="4048" w:type="dxa"/>
            <w:gridSpan w:val="4"/>
            <w:tcBorders>
              <w:top w:val="single" w:sz="4"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Встановлення та налаштування операційної системи та програмного забезпечення на комп’ютерах</w:t>
            </w:r>
          </w:p>
        </w:tc>
        <w:tc>
          <w:tcPr>
            <w:tcW w:w="1319" w:type="dxa"/>
            <w:tcBorders>
              <w:top w:val="single" w:sz="4"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одиниці</w:t>
            </w:r>
          </w:p>
        </w:tc>
        <w:tc>
          <w:tcPr>
            <w:tcW w:w="1683" w:type="dxa"/>
            <w:gridSpan w:val="2"/>
            <w:tcBorders>
              <w:top w:val="single" w:sz="4"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sz w:val="22"/>
              </w:rPr>
              <w:t>22</w:t>
            </w:r>
          </w:p>
        </w:tc>
        <w:tc>
          <w:tcPr>
            <w:tcW w:w="33" w:type="dxa"/>
            <w:gridSpan w:val="2"/>
            <w:tcBorders>
              <w:left w:val="single" w:sz="6" w:space="0" w:color="000000"/>
            </w:tcBorders>
            <w:shd w:val="clear" w:color="auto" w:fill="auto"/>
          </w:tcPr>
          <w:p w:rsidR="00076FEB" w:rsidRPr="002045F5" w:rsidRDefault="00076FEB" w:rsidP="00524DBF">
            <w:pPr>
              <w:snapToGrid w:val="0"/>
              <w:rPr>
                <w:rFonts w:eastAsia="Calibri"/>
                <w:color w:val="000000"/>
                <w:sz w:val="22"/>
              </w:rPr>
            </w:pPr>
          </w:p>
        </w:tc>
      </w:tr>
      <w:tr w:rsidR="00076FEB" w:rsidRPr="002045F5" w:rsidTr="00076FEB">
        <w:tblPrEx>
          <w:tblCellMar>
            <w:left w:w="0" w:type="dxa"/>
            <w:right w:w="0" w:type="dxa"/>
          </w:tblCellMar>
        </w:tblPrEx>
        <w:trPr>
          <w:trHeight w:val="224"/>
        </w:trPr>
        <w:tc>
          <w:tcPr>
            <w:tcW w:w="36" w:type="dxa"/>
            <w:gridSpan w:val="2"/>
            <w:vMerge/>
            <w:shd w:val="clear" w:color="auto" w:fill="auto"/>
          </w:tcPr>
          <w:p w:rsidR="00076FEB" w:rsidRPr="002045F5" w:rsidRDefault="00076FEB" w:rsidP="00524DBF">
            <w:pPr>
              <w:autoSpaceDE w:val="0"/>
              <w:snapToGrid w:val="0"/>
              <w:jc w:val="right"/>
              <w:rPr>
                <w:rFonts w:eastAsia="Calibri"/>
                <w:color w:val="000000"/>
                <w:sz w:val="22"/>
              </w:rPr>
            </w:pPr>
          </w:p>
        </w:tc>
        <w:tc>
          <w:tcPr>
            <w:tcW w:w="2804" w:type="dxa"/>
            <w:gridSpan w:val="2"/>
            <w:vMerge/>
            <w:tcBorders>
              <w:top w:val="single" w:sz="6" w:space="0" w:color="000000"/>
              <w:left w:val="single" w:sz="6" w:space="0" w:color="000000"/>
              <w:bottom w:val="single" w:sz="6" w:space="0" w:color="000000"/>
            </w:tcBorders>
            <w:shd w:val="clear" w:color="auto" w:fill="C6D9F1" w:themeFill="text2" w:themeFillTint="33"/>
          </w:tcPr>
          <w:p w:rsidR="00076FEB" w:rsidRPr="002045F5" w:rsidRDefault="00076FEB" w:rsidP="00524DBF">
            <w:pPr>
              <w:autoSpaceDE w:val="0"/>
              <w:snapToGrid w:val="0"/>
              <w:rPr>
                <w:rFonts w:eastAsia="Calibri"/>
                <w:b/>
                <w:color w:val="000000"/>
                <w:sz w:val="22"/>
              </w:rPr>
            </w:pPr>
          </w:p>
        </w:tc>
        <w:tc>
          <w:tcPr>
            <w:tcW w:w="4048" w:type="dxa"/>
            <w:gridSpan w:val="4"/>
            <w:tcBorders>
              <w:top w:val="single" w:sz="4"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sz w:val="22"/>
              </w:rPr>
              <w:t>Меблі</w:t>
            </w:r>
          </w:p>
        </w:tc>
        <w:tc>
          <w:tcPr>
            <w:tcW w:w="1319" w:type="dxa"/>
            <w:tcBorders>
              <w:top w:val="single" w:sz="4"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одиниці</w:t>
            </w:r>
          </w:p>
        </w:tc>
        <w:tc>
          <w:tcPr>
            <w:tcW w:w="1683" w:type="dxa"/>
            <w:gridSpan w:val="2"/>
            <w:tcBorders>
              <w:top w:val="single" w:sz="4"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sz w:val="22"/>
              </w:rPr>
              <w:t xml:space="preserve">135 </w:t>
            </w:r>
          </w:p>
        </w:tc>
        <w:tc>
          <w:tcPr>
            <w:tcW w:w="33" w:type="dxa"/>
            <w:gridSpan w:val="2"/>
            <w:tcBorders>
              <w:left w:val="single" w:sz="6" w:space="0" w:color="000000"/>
            </w:tcBorders>
            <w:shd w:val="clear" w:color="auto" w:fill="auto"/>
          </w:tcPr>
          <w:p w:rsidR="00076FEB" w:rsidRPr="002045F5" w:rsidRDefault="00076FEB" w:rsidP="00524DBF">
            <w:pPr>
              <w:snapToGrid w:val="0"/>
              <w:rPr>
                <w:rFonts w:eastAsia="Calibri"/>
                <w:color w:val="000000"/>
                <w:sz w:val="22"/>
              </w:rPr>
            </w:pPr>
          </w:p>
        </w:tc>
      </w:tr>
      <w:tr w:rsidR="00076FEB" w:rsidRPr="002045F5" w:rsidTr="00076FEB">
        <w:tblPrEx>
          <w:tblCellMar>
            <w:left w:w="0" w:type="dxa"/>
            <w:right w:w="0" w:type="dxa"/>
          </w:tblCellMar>
        </w:tblPrEx>
        <w:trPr>
          <w:trHeight w:val="224"/>
        </w:trPr>
        <w:tc>
          <w:tcPr>
            <w:tcW w:w="36" w:type="dxa"/>
            <w:gridSpan w:val="2"/>
            <w:vMerge/>
            <w:shd w:val="clear" w:color="auto" w:fill="auto"/>
          </w:tcPr>
          <w:p w:rsidR="00076FEB" w:rsidRPr="002045F5" w:rsidRDefault="00076FEB" w:rsidP="00524DBF">
            <w:pPr>
              <w:autoSpaceDE w:val="0"/>
              <w:snapToGrid w:val="0"/>
              <w:jc w:val="right"/>
              <w:rPr>
                <w:rFonts w:eastAsia="Calibri"/>
                <w:color w:val="000000"/>
                <w:sz w:val="22"/>
              </w:rPr>
            </w:pPr>
          </w:p>
        </w:tc>
        <w:tc>
          <w:tcPr>
            <w:tcW w:w="2804" w:type="dxa"/>
            <w:gridSpan w:val="2"/>
            <w:vMerge/>
            <w:tcBorders>
              <w:top w:val="single" w:sz="6" w:space="0" w:color="000000"/>
              <w:left w:val="single" w:sz="6" w:space="0" w:color="000000"/>
              <w:bottom w:val="single" w:sz="6" w:space="0" w:color="000000"/>
            </w:tcBorders>
            <w:shd w:val="clear" w:color="auto" w:fill="C6D9F1" w:themeFill="text2" w:themeFillTint="33"/>
          </w:tcPr>
          <w:p w:rsidR="00076FEB" w:rsidRPr="002045F5" w:rsidRDefault="00076FEB" w:rsidP="00524DBF">
            <w:pPr>
              <w:autoSpaceDE w:val="0"/>
              <w:snapToGrid w:val="0"/>
              <w:rPr>
                <w:rFonts w:eastAsia="Calibri"/>
                <w:b/>
                <w:color w:val="000000"/>
                <w:sz w:val="22"/>
              </w:rPr>
            </w:pPr>
          </w:p>
        </w:tc>
        <w:tc>
          <w:tcPr>
            <w:tcW w:w="4048" w:type="dxa"/>
            <w:gridSpan w:val="4"/>
            <w:tcBorders>
              <w:top w:val="single" w:sz="4"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sz w:val="22"/>
              </w:rPr>
              <w:t>Медичні аптечки</w:t>
            </w:r>
          </w:p>
        </w:tc>
        <w:tc>
          <w:tcPr>
            <w:tcW w:w="1319" w:type="dxa"/>
            <w:tcBorders>
              <w:top w:val="single" w:sz="4"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одиниці</w:t>
            </w:r>
          </w:p>
        </w:tc>
        <w:tc>
          <w:tcPr>
            <w:tcW w:w="1683" w:type="dxa"/>
            <w:gridSpan w:val="2"/>
            <w:tcBorders>
              <w:top w:val="single" w:sz="4"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sz w:val="22"/>
              </w:rPr>
              <w:t xml:space="preserve">5 </w:t>
            </w:r>
          </w:p>
        </w:tc>
        <w:tc>
          <w:tcPr>
            <w:tcW w:w="33" w:type="dxa"/>
            <w:gridSpan w:val="2"/>
            <w:tcBorders>
              <w:left w:val="single" w:sz="6" w:space="0" w:color="000000"/>
            </w:tcBorders>
            <w:shd w:val="clear" w:color="auto" w:fill="auto"/>
          </w:tcPr>
          <w:p w:rsidR="00076FEB" w:rsidRPr="002045F5" w:rsidRDefault="00076FEB" w:rsidP="00524DBF">
            <w:pPr>
              <w:snapToGrid w:val="0"/>
              <w:rPr>
                <w:rFonts w:eastAsia="Calibri"/>
                <w:color w:val="000000"/>
                <w:sz w:val="22"/>
              </w:rPr>
            </w:pPr>
          </w:p>
        </w:tc>
      </w:tr>
      <w:tr w:rsidR="00076FEB" w:rsidRPr="002045F5" w:rsidTr="00076FEB">
        <w:tblPrEx>
          <w:tblCellMar>
            <w:left w:w="0" w:type="dxa"/>
            <w:right w:w="0" w:type="dxa"/>
          </w:tblCellMar>
        </w:tblPrEx>
        <w:trPr>
          <w:trHeight w:val="835"/>
        </w:trPr>
        <w:tc>
          <w:tcPr>
            <w:tcW w:w="36" w:type="dxa"/>
            <w:gridSpan w:val="2"/>
            <w:vMerge/>
            <w:shd w:val="clear" w:color="auto" w:fill="auto"/>
          </w:tcPr>
          <w:p w:rsidR="00076FEB" w:rsidRPr="002045F5" w:rsidRDefault="00076FEB" w:rsidP="00524DBF">
            <w:pPr>
              <w:autoSpaceDE w:val="0"/>
              <w:snapToGrid w:val="0"/>
              <w:jc w:val="right"/>
              <w:rPr>
                <w:rFonts w:eastAsia="Calibri"/>
                <w:color w:val="000000"/>
                <w:sz w:val="22"/>
              </w:rPr>
            </w:pPr>
          </w:p>
        </w:tc>
        <w:tc>
          <w:tcPr>
            <w:tcW w:w="2804" w:type="dxa"/>
            <w:gridSpan w:val="2"/>
            <w:vMerge/>
            <w:tcBorders>
              <w:top w:val="single" w:sz="6" w:space="0" w:color="000000"/>
              <w:left w:val="single" w:sz="6" w:space="0" w:color="000000"/>
              <w:bottom w:val="single" w:sz="6" w:space="0" w:color="000000"/>
            </w:tcBorders>
            <w:shd w:val="clear" w:color="auto" w:fill="C6D9F1" w:themeFill="text2" w:themeFillTint="33"/>
          </w:tcPr>
          <w:p w:rsidR="00076FEB" w:rsidRPr="002045F5" w:rsidRDefault="00076FEB" w:rsidP="00524DBF">
            <w:pPr>
              <w:autoSpaceDE w:val="0"/>
              <w:snapToGrid w:val="0"/>
              <w:rPr>
                <w:rFonts w:eastAsia="Calibri"/>
                <w:b/>
                <w:color w:val="000000"/>
                <w:sz w:val="22"/>
              </w:rPr>
            </w:pPr>
          </w:p>
        </w:tc>
        <w:tc>
          <w:tcPr>
            <w:tcW w:w="4048" w:type="dxa"/>
            <w:gridSpan w:val="4"/>
            <w:tcBorders>
              <w:top w:val="single" w:sz="4" w:space="0" w:color="000000"/>
              <w:left w:val="single" w:sz="6" w:space="0" w:color="000000"/>
              <w:bottom w:val="single" w:sz="4" w:space="0" w:color="000000"/>
            </w:tcBorders>
            <w:shd w:val="clear" w:color="auto" w:fill="auto"/>
          </w:tcPr>
          <w:p w:rsidR="00076FEB" w:rsidRPr="002045F5" w:rsidRDefault="00076FEB" w:rsidP="00524DBF">
            <w:pPr>
              <w:autoSpaceDE w:val="0"/>
              <w:rPr>
                <w:rFonts w:eastAsia="Calibri"/>
                <w:color w:val="000000"/>
                <w:sz w:val="22"/>
              </w:rPr>
            </w:pPr>
            <w:r w:rsidRPr="002045F5">
              <w:rPr>
                <w:rFonts w:eastAsia="Calibri"/>
                <w:color w:val="000000"/>
                <w:sz w:val="22"/>
              </w:rPr>
              <w:t>Кількість фізичних та юридичних осіб, які звернулись за послугами протягом року</w:t>
            </w:r>
          </w:p>
        </w:tc>
        <w:tc>
          <w:tcPr>
            <w:tcW w:w="1319" w:type="dxa"/>
            <w:tcBorders>
              <w:top w:val="single" w:sz="4" w:space="0" w:color="000000"/>
              <w:left w:val="single" w:sz="6" w:space="0" w:color="000000"/>
              <w:bottom w:val="single" w:sz="4" w:space="0" w:color="000000"/>
            </w:tcBorders>
            <w:shd w:val="clear" w:color="auto" w:fill="auto"/>
          </w:tcPr>
          <w:p w:rsidR="00076FEB" w:rsidRPr="002045F5" w:rsidRDefault="00076FEB" w:rsidP="00524DBF">
            <w:pPr>
              <w:autoSpaceDE w:val="0"/>
              <w:snapToGrid w:val="0"/>
              <w:rPr>
                <w:rFonts w:eastAsia="Calibri"/>
                <w:color w:val="000000"/>
                <w:sz w:val="22"/>
              </w:rPr>
            </w:pPr>
          </w:p>
          <w:p w:rsidR="00076FEB" w:rsidRPr="002045F5" w:rsidRDefault="00076FEB" w:rsidP="00524DBF">
            <w:pPr>
              <w:autoSpaceDE w:val="0"/>
              <w:rPr>
                <w:sz w:val="22"/>
              </w:rPr>
            </w:pPr>
            <w:r w:rsidRPr="002045F5">
              <w:rPr>
                <w:rFonts w:eastAsia="Calibri"/>
                <w:color w:val="000000"/>
                <w:sz w:val="22"/>
              </w:rPr>
              <w:t xml:space="preserve"> особи</w:t>
            </w:r>
          </w:p>
        </w:tc>
        <w:tc>
          <w:tcPr>
            <w:tcW w:w="1683" w:type="dxa"/>
            <w:gridSpan w:val="2"/>
            <w:tcBorders>
              <w:top w:val="single" w:sz="4" w:space="0" w:color="000000"/>
              <w:left w:val="single" w:sz="6" w:space="0" w:color="000000"/>
              <w:bottom w:val="single" w:sz="4" w:space="0" w:color="000000"/>
            </w:tcBorders>
            <w:shd w:val="clear" w:color="auto" w:fill="auto"/>
          </w:tcPr>
          <w:p w:rsidR="00076FEB" w:rsidRPr="002045F5" w:rsidRDefault="00076FEB" w:rsidP="00524DBF">
            <w:pPr>
              <w:autoSpaceDE w:val="0"/>
              <w:snapToGrid w:val="0"/>
              <w:rPr>
                <w:rFonts w:eastAsia="Calibri"/>
                <w:color w:val="000000"/>
                <w:sz w:val="22"/>
              </w:rPr>
            </w:pPr>
          </w:p>
          <w:p w:rsidR="00076FEB" w:rsidRPr="002045F5" w:rsidRDefault="00076FEB" w:rsidP="00524DBF">
            <w:pPr>
              <w:autoSpaceDE w:val="0"/>
              <w:rPr>
                <w:sz w:val="22"/>
              </w:rPr>
            </w:pPr>
            <w:r w:rsidRPr="002045F5">
              <w:rPr>
                <w:rFonts w:eastAsia="Calibri"/>
                <w:color w:val="000000"/>
                <w:sz w:val="22"/>
              </w:rPr>
              <w:t>1000</w:t>
            </w:r>
          </w:p>
        </w:tc>
        <w:tc>
          <w:tcPr>
            <w:tcW w:w="33" w:type="dxa"/>
            <w:gridSpan w:val="2"/>
            <w:tcBorders>
              <w:left w:val="single" w:sz="6" w:space="0" w:color="000000"/>
            </w:tcBorders>
            <w:shd w:val="clear" w:color="auto" w:fill="auto"/>
          </w:tcPr>
          <w:p w:rsidR="00076FEB" w:rsidRPr="002045F5" w:rsidRDefault="00076FEB" w:rsidP="00524DBF">
            <w:pPr>
              <w:snapToGrid w:val="0"/>
              <w:rPr>
                <w:rFonts w:eastAsia="Calibri"/>
                <w:color w:val="000000"/>
                <w:sz w:val="22"/>
              </w:rPr>
            </w:pPr>
          </w:p>
        </w:tc>
      </w:tr>
      <w:tr w:rsidR="00076FEB" w:rsidRPr="002045F5" w:rsidTr="00076FEB">
        <w:tblPrEx>
          <w:tblCellMar>
            <w:left w:w="0" w:type="dxa"/>
            <w:right w:w="0" w:type="dxa"/>
          </w:tblCellMar>
        </w:tblPrEx>
        <w:trPr>
          <w:trHeight w:val="764"/>
        </w:trPr>
        <w:tc>
          <w:tcPr>
            <w:tcW w:w="36" w:type="dxa"/>
            <w:gridSpan w:val="2"/>
            <w:vMerge/>
            <w:shd w:val="clear" w:color="auto" w:fill="auto"/>
          </w:tcPr>
          <w:p w:rsidR="00076FEB" w:rsidRPr="002045F5" w:rsidRDefault="00076FEB" w:rsidP="00524DBF">
            <w:pPr>
              <w:autoSpaceDE w:val="0"/>
              <w:snapToGrid w:val="0"/>
              <w:jc w:val="right"/>
              <w:rPr>
                <w:rFonts w:eastAsia="Calibri"/>
                <w:color w:val="000000"/>
                <w:sz w:val="22"/>
              </w:rPr>
            </w:pPr>
          </w:p>
        </w:tc>
        <w:tc>
          <w:tcPr>
            <w:tcW w:w="2804" w:type="dxa"/>
            <w:gridSpan w:val="2"/>
            <w:vMerge/>
            <w:tcBorders>
              <w:top w:val="single" w:sz="6" w:space="0" w:color="000000"/>
              <w:left w:val="single" w:sz="6" w:space="0" w:color="000000"/>
              <w:bottom w:val="single" w:sz="6" w:space="0" w:color="000000"/>
            </w:tcBorders>
            <w:shd w:val="clear" w:color="auto" w:fill="C6D9F1" w:themeFill="text2" w:themeFillTint="33"/>
          </w:tcPr>
          <w:p w:rsidR="00076FEB" w:rsidRPr="002045F5" w:rsidRDefault="00076FEB" w:rsidP="00524DBF">
            <w:pPr>
              <w:autoSpaceDE w:val="0"/>
              <w:snapToGrid w:val="0"/>
              <w:rPr>
                <w:rFonts w:eastAsia="Calibri"/>
                <w:b/>
                <w:color w:val="000000"/>
                <w:sz w:val="22"/>
              </w:rPr>
            </w:pPr>
          </w:p>
        </w:tc>
        <w:tc>
          <w:tcPr>
            <w:tcW w:w="4048" w:type="dxa"/>
            <w:gridSpan w:val="4"/>
            <w:tcBorders>
              <w:top w:val="single" w:sz="6"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Кількість видів та типів послуг</w:t>
            </w:r>
          </w:p>
          <w:p w:rsidR="00076FEB" w:rsidRPr="002045F5" w:rsidRDefault="00076FEB" w:rsidP="00524DBF">
            <w:pPr>
              <w:autoSpaceDE w:val="0"/>
              <w:rPr>
                <w:sz w:val="22"/>
              </w:rPr>
            </w:pPr>
            <w:r w:rsidRPr="002045F5">
              <w:rPr>
                <w:rFonts w:eastAsia="Calibri"/>
                <w:color w:val="000000"/>
                <w:sz w:val="22"/>
              </w:rPr>
              <w:t xml:space="preserve">Наданих протягом </w:t>
            </w:r>
            <w:proofErr w:type="spellStart"/>
            <w:r w:rsidRPr="002045F5">
              <w:rPr>
                <w:rFonts w:eastAsia="Calibri"/>
                <w:color w:val="000000"/>
                <w:sz w:val="22"/>
              </w:rPr>
              <w:t>одногоробочого</w:t>
            </w:r>
            <w:proofErr w:type="spellEnd"/>
            <w:r w:rsidRPr="002045F5">
              <w:rPr>
                <w:rFonts w:eastAsia="Calibri"/>
                <w:color w:val="000000"/>
                <w:sz w:val="22"/>
              </w:rPr>
              <w:t xml:space="preserve"> дня</w:t>
            </w:r>
          </w:p>
        </w:tc>
        <w:tc>
          <w:tcPr>
            <w:tcW w:w="1319" w:type="dxa"/>
            <w:tcBorders>
              <w:top w:val="single" w:sz="6"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одиниці</w:t>
            </w:r>
          </w:p>
        </w:tc>
        <w:tc>
          <w:tcPr>
            <w:tcW w:w="1683" w:type="dxa"/>
            <w:gridSpan w:val="2"/>
            <w:tcBorders>
              <w:top w:val="single" w:sz="6"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20</w:t>
            </w:r>
          </w:p>
        </w:tc>
        <w:tc>
          <w:tcPr>
            <w:tcW w:w="33" w:type="dxa"/>
            <w:gridSpan w:val="2"/>
            <w:tcBorders>
              <w:left w:val="single" w:sz="6" w:space="0" w:color="000000"/>
            </w:tcBorders>
            <w:shd w:val="clear" w:color="auto" w:fill="auto"/>
          </w:tcPr>
          <w:p w:rsidR="00076FEB" w:rsidRPr="002045F5" w:rsidRDefault="00076FEB" w:rsidP="00524DBF">
            <w:pPr>
              <w:snapToGrid w:val="0"/>
              <w:rPr>
                <w:rFonts w:eastAsia="Calibri"/>
                <w:color w:val="000000"/>
                <w:sz w:val="22"/>
              </w:rPr>
            </w:pPr>
          </w:p>
        </w:tc>
      </w:tr>
      <w:tr w:rsidR="00076FEB" w:rsidRPr="002045F5" w:rsidTr="00076FEB">
        <w:tblPrEx>
          <w:tblCellMar>
            <w:left w:w="0" w:type="dxa"/>
            <w:right w:w="0" w:type="dxa"/>
          </w:tblCellMar>
        </w:tblPrEx>
        <w:trPr>
          <w:trHeight w:val="917"/>
        </w:trPr>
        <w:tc>
          <w:tcPr>
            <w:tcW w:w="36" w:type="dxa"/>
            <w:gridSpan w:val="2"/>
            <w:vMerge/>
            <w:shd w:val="clear" w:color="auto" w:fill="auto"/>
          </w:tcPr>
          <w:p w:rsidR="00076FEB" w:rsidRPr="002045F5" w:rsidRDefault="00076FEB" w:rsidP="00524DBF">
            <w:pPr>
              <w:autoSpaceDE w:val="0"/>
              <w:snapToGrid w:val="0"/>
              <w:jc w:val="right"/>
              <w:rPr>
                <w:rFonts w:eastAsia="Calibri"/>
                <w:color w:val="000000"/>
                <w:sz w:val="22"/>
              </w:rPr>
            </w:pPr>
          </w:p>
        </w:tc>
        <w:tc>
          <w:tcPr>
            <w:tcW w:w="2804" w:type="dxa"/>
            <w:gridSpan w:val="2"/>
            <w:vMerge/>
            <w:tcBorders>
              <w:top w:val="single" w:sz="6" w:space="0" w:color="000000"/>
              <w:left w:val="single" w:sz="6" w:space="0" w:color="000000"/>
              <w:bottom w:val="single" w:sz="6" w:space="0" w:color="000000"/>
            </w:tcBorders>
            <w:shd w:val="clear" w:color="auto" w:fill="C6D9F1" w:themeFill="text2" w:themeFillTint="33"/>
          </w:tcPr>
          <w:p w:rsidR="00076FEB" w:rsidRPr="002045F5" w:rsidRDefault="00076FEB" w:rsidP="00524DBF">
            <w:pPr>
              <w:autoSpaceDE w:val="0"/>
              <w:snapToGrid w:val="0"/>
              <w:rPr>
                <w:rFonts w:eastAsia="Calibri"/>
                <w:b/>
                <w:color w:val="000000"/>
                <w:sz w:val="22"/>
              </w:rPr>
            </w:pPr>
          </w:p>
        </w:tc>
        <w:tc>
          <w:tcPr>
            <w:tcW w:w="4048" w:type="dxa"/>
            <w:gridSpan w:val="4"/>
            <w:vMerge w:val="restart"/>
            <w:tcBorders>
              <w:top w:val="single" w:sz="6"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 xml:space="preserve">Термін надання послуг </w:t>
            </w:r>
          </w:p>
        </w:tc>
        <w:tc>
          <w:tcPr>
            <w:tcW w:w="1319" w:type="dxa"/>
            <w:vMerge w:val="restart"/>
            <w:tcBorders>
              <w:top w:val="single" w:sz="6"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день</w:t>
            </w:r>
          </w:p>
        </w:tc>
        <w:tc>
          <w:tcPr>
            <w:tcW w:w="1683" w:type="dxa"/>
            <w:gridSpan w:val="2"/>
            <w:vMerge w:val="restart"/>
            <w:tcBorders>
              <w:top w:val="single" w:sz="6"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365</w:t>
            </w:r>
          </w:p>
        </w:tc>
        <w:tc>
          <w:tcPr>
            <w:tcW w:w="33" w:type="dxa"/>
            <w:gridSpan w:val="2"/>
            <w:tcBorders>
              <w:left w:val="single" w:sz="6" w:space="0" w:color="000000"/>
            </w:tcBorders>
            <w:shd w:val="clear" w:color="auto" w:fill="auto"/>
          </w:tcPr>
          <w:p w:rsidR="00076FEB" w:rsidRPr="002045F5" w:rsidRDefault="00076FEB" w:rsidP="00524DBF">
            <w:pPr>
              <w:snapToGrid w:val="0"/>
              <w:rPr>
                <w:rFonts w:eastAsia="Calibri"/>
                <w:color w:val="000000"/>
                <w:sz w:val="22"/>
              </w:rPr>
            </w:pPr>
          </w:p>
        </w:tc>
      </w:tr>
      <w:tr w:rsidR="00076FEB" w:rsidRPr="002045F5" w:rsidTr="00076FEB">
        <w:tblPrEx>
          <w:tblCellMar>
            <w:left w:w="0" w:type="dxa"/>
            <w:right w:w="0" w:type="dxa"/>
          </w:tblCellMar>
        </w:tblPrEx>
        <w:trPr>
          <w:trHeight w:val="29"/>
        </w:trPr>
        <w:tc>
          <w:tcPr>
            <w:tcW w:w="36" w:type="dxa"/>
            <w:gridSpan w:val="2"/>
            <w:vMerge/>
            <w:shd w:val="clear" w:color="auto" w:fill="auto"/>
          </w:tcPr>
          <w:p w:rsidR="00076FEB" w:rsidRPr="002045F5" w:rsidRDefault="00076FEB" w:rsidP="00524DBF">
            <w:pPr>
              <w:autoSpaceDE w:val="0"/>
              <w:snapToGrid w:val="0"/>
              <w:jc w:val="right"/>
              <w:rPr>
                <w:rFonts w:eastAsia="Calibri"/>
                <w:color w:val="000000"/>
                <w:sz w:val="22"/>
              </w:rPr>
            </w:pPr>
          </w:p>
        </w:tc>
        <w:tc>
          <w:tcPr>
            <w:tcW w:w="2804" w:type="dxa"/>
            <w:gridSpan w:val="2"/>
            <w:vMerge/>
            <w:tcBorders>
              <w:top w:val="single" w:sz="6" w:space="0" w:color="000000"/>
              <w:left w:val="single" w:sz="6" w:space="0" w:color="000000"/>
              <w:bottom w:val="single" w:sz="6" w:space="0" w:color="000000"/>
            </w:tcBorders>
            <w:shd w:val="clear" w:color="auto" w:fill="C6D9F1" w:themeFill="text2" w:themeFillTint="33"/>
          </w:tcPr>
          <w:p w:rsidR="00076FEB" w:rsidRPr="002045F5" w:rsidRDefault="00076FEB" w:rsidP="00524DBF">
            <w:pPr>
              <w:autoSpaceDE w:val="0"/>
              <w:snapToGrid w:val="0"/>
              <w:rPr>
                <w:rFonts w:eastAsia="Calibri"/>
                <w:b/>
                <w:color w:val="000000"/>
                <w:sz w:val="22"/>
              </w:rPr>
            </w:pPr>
          </w:p>
        </w:tc>
        <w:tc>
          <w:tcPr>
            <w:tcW w:w="4048" w:type="dxa"/>
            <w:gridSpan w:val="4"/>
            <w:vMerge/>
            <w:tcBorders>
              <w:top w:val="single" w:sz="6" w:space="0" w:color="000000"/>
              <w:left w:val="single" w:sz="6" w:space="0" w:color="000000"/>
              <w:bottom w:val="single" w:sz="4" w:space="0" w:color="000000"/>
            </w:tcBorders>
            <w:shd w:val="clear" w:color="auto" w:fill="auto"/>
          </w:tcPr>
          <w:p w:rsidR="00076FEB" w:rsidRPr="002045F5" w:rsidRDefault="00076FEB" w:rsidP="00524DBF">
            <w:pPr>
              <w:autoSpaceDE w:val="0"/>
              <w:rPr>
                <w:rFonts w:eastAsia="Calibri"/>
                <w:color w:val="000000"/>
                <w:sz w:val="22"/>
              </w:rPr>
            </w:pPr>
          </w:p>
        </w:tc>
        <w:tc>
          <w:tcPr>
            <w:tcW w:w="1319" w:type="dxa"/>
            <w:vMerge/>
            <w:tcBorders>
              <w:top w:val="single" w:sz="6" w:space="0" w:color="000000"/>
              <w:left w:val="single" w:sz="6" w:space="0" w:color="000000"/>
              <w:bottom w:val="single" w:sz="4" w:space="0" w:color="000000"/>
            </w:tcBorders>
            <w:shd w:val="clear" w:color="auto" w:fill="auto"/>
          </w:tcPr>
          <w:p w:rsidR="00076FEB" w:rsidRPr="002045F5" w:rsidRDefault="00076FEB" w:rsidP="00524DBF">
            <w:pPr>
              <w:autoSpaceDE w:val="0"/>
              <w:rPr>
                <w:rFonts w:eastAsia="Calibri"/>
                <w:color w:val="000000"/>
                <w:sz w:val="22"/>
              </w:rPr>
            </w:pPr>
          </w:p>
        </w:tc>
        <w:tc>
          <w:tcPr>
            <w:tcW w:w="1683" w:type="dxa"/>
            <w:gridSpan w:val="2"/>
            <w:vMerge/>
            <w:tcBorders>
              <w:top w:val="single" w:sz="6" w:space="0" w:color="000000"/>
              <w:left w:val="single" w:sz="6" w:space="0" w:color="000000"/>
              <w:bottom w:val="single" w:sz="4" w:space="0" w:color="000000"/>
            </w:tcBorders>
            <w:shd w:val="clear" w:color="auto" w:fill="auto"/>
          </w:tcPr>
          <w:p w:rsidR="00076FEB" w:rsidRPr="002045F5" w:rsidRDefault="00076FEB" w:rsidP="00524DBF">
            <w:pPr>
              <w:autoSpaceDE w:val="0"/>
              <w:rPr>
                <w:rFonts w:eastAsia="Calibri"/>
                <w:color w:val="000000"/>
                <w:sz w:val="22"/>
              </w:rPr>
            </w:pPr>
          </w:p>
        </w:tc>
        <w:tc>
          <w:tcPr>
            <w:tcW w:w="33" w:type="dxa"/>
            <w:gridSpan w:val="2"/>
            <w:tcBorders>
              <w:left w:val="single" w:sz="6" w:space="0" w:color="000000"/>
            </w:tcBorders>
            <w:shd w:val="clear" w:color="auto" w:fill="auto"/>
          </w:tcPr>
          <w:p w:rsidR="00076FEB" w:rsidRPr="002045F5" w:rsidRDefault="00076FEB" w:rsidP="00524DBF">
            <w:pPr>
              <w:snapToGrid w:val="0"/>
              <w:rPr>
                <w:rFonts w:eastAsia="Calibri"/>
                <w:color w:val="000000"/>
                <w:sz w:val="22"/>
              </w:rPr>
            </w:pPr>
          </w:p>
        </w:tc>
      </w:tr>
      <w:tr w:rsidR="00076FEB" w:rsidRPr="002045F5" w:rsidTr="00076FEB">
        <w:tblPrEx>
          <w:tblCellMar>
            <w:left w:w="0" w:type="dxa"/>
            <w:right w:w="0" w:type="dxa"/>
          </w:tblCellMar>
        </w:tblPrEx>
        <w:trPr>
          <w:trHeight w:val="544"/>
        </w:trPr>
        <w:tc>
          <w:tcPr>
            <w:tcW w:w="36" w:type="dxa"/>
            <w:gridSpan w:val="2"/>
            <w:vMerge/>
            <w:shd w:val="clear" w:color="auto" w:fill="auto"/>
          </w:tcPr>
          <w:p w:rsidR="00076FEB" w:rsidRPr="002045F5" w:rsidRDefault="00076FEB" w:rsidP="00524DBF">
            <w:pPr>
              <w:autoSpaceDE w:val="0"/>
              <w:snapToGrid w:val="0"/>
              <w:jc w:val="right"/>
              <w:rPr>
                <w:rFonts w:eastAsia="Calibri"/>
                <w:color w:val="000000"/>
                <w:sz w:val="22"/>
              </w:rPr>
            </w:pPr>
          </w:p>
        </w:tc>
        <w:tc>
          <w:tcPr>
            <w:tcW w:w="2804" w:type="dxa"/>
            <w:gridSpan w:val="2"/>
            <w:vMerge/>
            <w:tcBorders>
              <w:top w:val="single" w:sz="6" w:space="0" w:color="000000"/>
              <w:left w:val="single" w:sz="6" w:space="0" w:color="000000"/>
              <w:bottom w:val="single" w:sz="6" w:space="0" w:color="000000"/>
            </w:tcBorders>
            <w:shd w:val="clear" w:color="auto" w:fill="C6D9F1" w:themeFill="text2" w:themeFillTint="33"/>
          </w:tcPr>
          <w:p w:rsidR="00076FEB" w:rsidRPr="002045F5" w:rsidRDefault="00076FEB" w:rsidP="00524DBF">
            <w:pPr>
              <w:autoSpaceDE w:val="0"/>
              <w:snapToGrid w:val="0"/>
              <w:rPr>
                <w:rFonts w:eastAsia="Calibri"/>
                <w:b/>
                <w:color w:val="000000"/>
                <w:sz w:val="22"/>
              </w:rPr>
            </w:pPr>
          </w:p>
        </w:tc>
        <w:tc>
          <w:tcPr>
            <w:tcW w:w="4048" w:type="dxa"/>
            <w:gridSpan w:val="4"/>
            <w:tcBorders>
              <w:top w:val="single" w:sz="6"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Кількість населених пунктів, які</w:t>
            </w:r>
          </w:p>
          <w:p w:rsidR="00076FEB" w:rsidRPr="002045F5" w:rsidRDefault="00453A45" w:rsidP="00453A45">
            <w:pPr>
              <w:autoSpaceDE w:val="0"/>
              <w:rPr>
                <w:sz w:val="22"/>
              </w:rPr>
            </w:pPr>
            <w:r w:rsidRPr="002045F5">
              <w:rPr>
                <w:rFonts w:eastAsia="Calibri"/>
                <w:color w:val="000000"/>
                <w:sz w:val="22"/>
              </w:rPr>
              <w:t>о</w:t>
            </w:r>
            <w:r w:rsidR="00076FEB" w:rsidRPr="002045F5">
              <w:rPr>
                <w:rFonts w:eastAsia="Calibri"/>
                <w:color w:val="000000"/>
                <w:sz w:val="22"/>
              </w:rPr>
              <w:t>бслуговує Центр</w:t>
            </w:r>
          </w:p>
        </w:tc>
        <w:tc>
          <w:tcPr>
            <w:tcW w:w="1319" w:type="dxa"/>
            <w:tcBorders>
              <w:top w:val="single" w:sz="6"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одиниці</w:t>
            </w:r>
          </w:p>
        </w:tc>
        <w:tc>
          <w:tcPr>
            <w:tcW w:w="1683" w:type="dxa"/>
            <w:gridSpan w:val="2"/>
            <w:tcBorders>
              <w:top w:val="single" w:sz="6"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20</w:t>
            </w:r>
          </w:p>
        </w:tc>
        <w:tc>
          <w:tcPr>
            <w:tcW w:w="33" w:type="dxa"/>
            <w:gridSpan w:val="2"/>
            <w:tcBorders>
              <w:left w:val="single" w:sz="6" w:space="0" w:color="000000"/>
            </w:tcBorders>
            <w:shd w:val="clear" w:color="auto" w:fill="auto"/>
          </w:tcPr>
          <w:p w:rsidR="00076FEB" w:rsidRPr="002045F5" w:rsidRDefault="00076FEB" w:rsidP="00524DBF">
            <w:pPr>
              <w:snapToGrid w:val="0"/>
              <w:rPr>
                <w:rFonts w:eastAsia="Calibri"/>
                <w:color w:val="000000"/>
                <w:sz w:val="22"/>
              </w:rPr>
            </w:pPr>
          </w:p>
        </w:tc>
      </w:tr>
      <w:tr w:rsidR="00076FEB" w:rsidRPr="002045F5" w:rsidTr="00507D67">
        <w:trPr>
          <w:trHeight w:val="1679"/>
        </w:trPr>
        <w:tc>
          <w:tcPr>
            <w:tcW w:w="80" w:type="dxa"/>
            <w:gridSpan w:val="3"/>
            <w:shd w:val="clear" w:color="auto" w:fill="auto"/>
          </w:tcPr>
          <w:p w:rsidR="00076FEB" w:rsidRPr="002045F5" w:rsidRDefault="00076FEB" w:rsidP="00524DBF">
            <w:pPr>
              <w:autoSpaceDE w:val="0"/>
              <w:snapToGrid w:val="0"/>
              <w:jc w:val="right"/>
              <w:rPr>
                <w:rFonts w:eastAsia="Calibri"/>
                <w:color w:val="000000"/>
                <w:sz w:val="22"/>
              </w:rPr>
            </w:pPr>
          </w:p>
        </w:tc>
        <w:tc>
          <w:tcPr>
            <w:tcW w:w="2760" w:type="dxa"/>
            <w:tcBorders>
              <w:top w:val="single" w:sz="6" w:space="0" w:color="000000"/>
              <w:left w:val="single" w:sz="6" w:space="0" w:color="000000"/>
              <w:bottom w:val="single" w:sz="6" w:space="0" w:color="000000"/>
            </w:tcBorders>
            <w:shd w:val="clear" w:color="auto" w:fill="C6D9F1" w:themeFill="text2" w:themeFillTint="33"/>
          </w:tcPr>
          <w:p w:rsidR="00076FEB" w:rsidRPr="002045F5" w:rsidRDefault="00076FEB" w:rsidP="00524DBF">
            <w:pPr>
              <w:autoSpaceDE w:val="0"/>
              <w:rPr>
                <w:sz w:val="22"/>
              </w:rPr>
            </w:pPr>
            <w:r w:rsidRPr="002045F5">
              <w:rPr>
                <w:rFonts w:eastAsia="Calibri"/>
                <w:b/>
                <w:color w:val="000000"/>
                <w:sz w:val="22"/>
              </w:rPr>
              <w:t>Ключові заходи проекту:</w:t>
            </w:r>
          </w:p>
        </w:tc>
        <w:tc>
          <w:tcPr>
            <w:tcW w:w="7083" w:type="dxa"/>
            <w:gridSpan w:val="9"/>
            <w:tcBorders>
              <w:top w:val="single" w:sz="6" w:space="0" w:color="000000"/>
              <w:left w:val="single" w:sz="6" w:space="0" w:color="000000"/>
              <w:bottom w:val="single" w:sz="6" w:space="0" w:color="000000"/>
              <w:right w:val="single" w:sz="6"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 обстеження стану будівель;</w:t>
            </w:r>
          </w:p>
          <w:p w:rsidR="00076FEB" w:rsidRPr="002045F5" w:rsidRDefault="00076FEB" w:rsidP="00524DBF">
            <w:pPr>
              <w:autoSpaceDE w:val="0"/>
              <w:rPr>
                <w:sz w:val="22"/>
              </w:rPr>
            </w:pPr>
            <w:r w:rsidRPr="002045F5">
              <w:rPr>
                <w:rFonts w:eastAsia="Calibri"/>
                <w:color w:val="000000"/>
                <w:sz w:val="22"/>
              </w:rPr>
              <w:t>- проведення інвентаризації основних засобів;</w:t>
            </w:r>
          </w:p>
          <w:p w:rsidR="00076FEB" w:rsidRPr="002045F5" w:rsidRDefault="00076FEB" w:rsidP="00524DBF">
            <w:pPr>
              <w:autoSpaceDE w:val="0"/>
              <w:rPr>
                <w:sz w:val="22"/>
              </w:rPr>
            </w:pPr>
            <w:r w:rsidRPr="002045F5">
              <w:rPr>
                <w:rFonts w:eastAsia="Calibri"/>
                <w:color w:val="000000"/>
                <w:sz w:val="22"/>
              </w:rPr>
              <w:t>- придбання технічного забезпечення СМ ЦЕНТУМ;</w:t>
            </w:r>
          </w:p>
          <w:p w:rsidR="00076FEB" w:rsidRPr="002045F5" w:rsidRDefault="00076FEB" w:rsidP="00524DBF">
            <w:pPr>
              <w:autoSpaceDE w:val="0"/>
              <w:rPr>
                <w:sz w:val="22"/>
              </w:rPr>
            </w:pPr>
            <w:r w:rsidRPr="002045F5">
              <w:rPr>
                <w:rFonts w:eastAsia="Calibri"/>
                <w:color w:val="000000"/>
                <w:sz w:val="22"/>
              </w:rPr>
              <w:t xml:space="preserve"> - визначення кількості осіб, які потребують отримання освітніх послуг;</w:t>
            </w:r>
          </w:p>
          <w:p w:rsidR="00076FEB" w:rsidRPr="002045F5" w:rsidRDefault="00076FEB" w:rsidP="00524DBF">
            <w:pPr>
              <w:autoSpaceDE w:val="0"/>
              <w:rPr>
                <w:sz w:val="22"/>
              </w:rPr>
            </w:pPr>
            <w:r w:rsidRPr="002045F5">
              <w:rPr>
                <w:rFonts w:eastAsia="Calibri"/>
                <w:color w:val="000000"/>
                <w:sz w:val="22"/>
              </w:rPr>
              <w:t>- організація та початок робочого процесу;</w:t>
            </w:r>
          </w:p>
          <w:p w:rsidR="00076FEB" w:rsidRPr="002045F5" w:rsidRDefault="00076FEB" w:rsidP="00524DBF">
            <w:pPr>
              <w:autoSpaceDE w:val="0"/>
              <w:rPr>
                <w:sz w:val="22"/>
              </w:rPr>
            </w:pPr>
            <w:r w:rsidRPr="002045F5">
              <w:rPr>
                <w:rFonts w:eastAsia="Calibri"/>
                <w:color w:val="000000"/>
                <w:sz w:val="22"/>
              </w:rPr>
              <w:t>- проведення  майстер - класів з надання практичних навичок з флористики, лісівництва;</w:t>
            </w:r>
          </w:p>
          <w:p w:rsidR="00076FEB" w:rsidRPr="002045F5" w:rsidRDefault="00076FEB" w:rsidP="00524DBF">
            <w:pPr>
              <w:rPr>
                <w:sz w:val="22"/>
              </w:rPr>
            </w:pPr>
            <w:r w:rsidRPr="002045F5">
              <w:rPr>
                <w:rFonts w:eastAsia="Calibri"/>
                <w:color w:val="000000"/>
                <w:sz w:val="22"/>
              </w:rPr>
              <w:t xml:space="preserve">- проведення   </w:t>
            </w:r>
            <w:r w:rsidRPr="002045F5">
              <w:rPr>
                <w:sz w:val="22"/>
              </w:rPr>
              <w:t>еколого-освітніх заходів:</w:t>
            </w:r>
          </w:p>
          <w:p w:rsidR="00076FEB" w:rsidRPr="002045F5" w:rsidRDefault="00076FEB" w:rsidP="00524DBF">
            <w:pPr>
              <w:rPr>
                <w:sz w:val="22"/>
              </w:rPr>
            </w:pPr>
            <w:r w:rsidRPr="002045F5">
              <w:rPr>
                <w:sz w:val="22"/>
              </w:rPr>
              <w:t xml:space="preserve">-  (конкурсу команд екологічної просвіти «Земля – наш спільний дім»; </w:t>
            </w:r>
          </w:p>
          <w:p w:rsidR="00076FEB" w:rsidRPr="002045F5" w:rsidRDefault="00076FEB" w:rsidP="00524DBF">
            <w:pPr>
              <w:rPr>
                <w:sz w:val="22"/>
              </w:rPr>
            </w:pPr>
            <w:r w:rsidRPr="002045F5">
              <w:rPr>
                <w:sz w:val="22"/>
              </w:rPr>
              <w:t xml:space="preserve">- конкурсів- виставок з аранжування квітів та флористики: «Краса рідного краю», «Новорічна композиція», «Український сувенір»); </w:t>
            </w:r>
          </w:p>
          <w:p w:rsidR="00076FEB" w:rsidRPr="002045F5" w:rsidRDefault="00076FEB" w:rsidP="00524DBF">
            <w:pPr>
              <w:rPr>
                <w:rFonts w:eastAsia="Calibri"/>
                <w:color w:val="000000"/>
                <w:sz w:val="22"/>
              </w:rPr>
            </w:pPr>
            <w:r w:rsidRPr="002045F5">
              <w:rPr>
                <w:rFonts w:eastAsia="Calibri"/>
                <w:sz w:val="22"/>
              </w:rPr>
              <w:t xml:space="preserve"> </w:t>
            </w:r>
            <w:r w:rsidRPr="002045F5">
              <w:rPr>
                <w:sz w:val="22"/>
              </w:rPr>
              <w:t xml:space="preserve">-  виставки; вікторини; відзначення «екологічних» дат тощо із широким залученням місцевих громад. </w:t>
            </w:r>
          </w:p>
        </w:tc>
      </w:tr>
      <w:tr w:rsidR="00076FEB" w:rsidRPr="002045F5" w:rsidTr="00076FEB">
        <w:tblPrEx>
          <w:tblCellMar>
            <w:left w:w="0" w:type="dxa"/>
            <w:right w:w="0" w:type="dxa"/>
          </w:tblCellMar>
        </w:tblPrEx>
        <w:trPr>
          <w:trHeight w:val="598"/>
        </w:trPr>
        <w:tc>
          <w:tcPr>
            <w:tcW w:w="28" w:type="dxa"/>
            <w:vMerge w:val="restart"/>
            <w:tcBorders>
              <w:right w:val="single" w:sz="4" w:space="0" w:color="000000"/>
            </w:tcBorders>
            <w:shd w:val="clear" w:color="auto" w:fill="auto"/>
          </w:tcPr>
          <w:p w:rsidR="00076FEB" w:rsidRPr="002045F5" w:rsidRDefault="00076FEB" w:rsidP="00524DBF">
            <w:pPr>
              <w:autoSpaceDE w:val="0"/>
              <w:snapToGrid w:val="0"/>
              <w:jc w:val="right"/>
              <w:rPr>
                <w:rFonts w:eastAsia="Calibri"/>
                <w:color w:val="000000"/>
                <w:sz w:val="22"/>
              </w:rPr>
            </w:pPr>
          </w:p>
        </w:tc>
        <w:tc>
          <w:tcPr>
            <w:tcW w:w="2812" w:type="dxa"/>
            <w:gridSpan w:val="3"/>
            <w:vMerge w:val="restart"/>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076FEB" w:rsidRPr="002045F5" w:rsidRDefault="00076FEB" w:rsidP="00524DBF">
            <w:pPr>
              <w:autoSpaceDE w:val="0"/>
              <w:rPr>
                <w:sz w:val="22"/>
              </w:rPr>
            </w:pPr>
            <w:r w:rsidRPr="002045F5">
              <w:rPr>
                <w:rFonts w:eastAsia="Calibri"/>
                <w:b/>
                <w:color w:val="000000"/>
                <w:sz w:val="22"/>
              </w:rPr>
              <w:t>Орієнтовний обсяг та джерела фінансування тис. гривень</w:t>
            </w:r>
          </w:p>
        </w:tc>
        <w:tc>
          <w:tcPr>
            <w:tcW w:w="127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Державний бюджет</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Місцевий бюджет</w:t>
            </w:r>
          </w:p>
        </w:tc>
        <w:tc>
          <w:tcPr>
            <w:tcW w:w="3173" w:type="dxa"/>
            <w:gridSpan w:val="4"/>
            <w:tcBorders>
              <w:top w:val="single" w:sz="4" w:space="0" w:color="000000"/>
              <w:left w:val="single" w:sz="4" w:space="0" w:color="000000"/>
              <w:bottom w:val="single" w:sz="4" w:space="0" w:color="000000"/>
              <w:right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Інші джерела</w:t>
            </w:r>
          </w:p>
        </w:tc>
        <w:tc>
          <w:tcPr>
            <w:tcW w:w="1479" w:type="dxa"/>
            <w:gridSpan w:val="2"/>
            <w:tcBorders>
              <w:top w:val="single" w:sz="4" w:space="0" w:color="000000"/>
              <w:left w:val="single" w:sz="4" w:space="0" w:color="000000"/>
              <w:bottom w:val="single" w:sz="4" w:space="0" w:color="000000"/>
              <w:right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Всього</w:t>
            </w:r>
          </w:p>
        </w:tc>
        <w:tc>
          <w:tcPr>
            <w:tcW w:w="25" w:type="dxa"/>
            <w:tcBorders>
              <w:left w:val="single" w:sz="4" w:space="0" w:color="000000"/>
            </w:tcBorders>
            <w:shd w:val="clear" w:color="auto" w:fill="auto"/>
          </w:tcPr>
          <w:p w:rsidR="00076FEB" w:rsidRPr="002045F5" w:rsidRDefault="00076FEB" w:rsidP="00524DBF">
            <w:pPr>
              <w:snapToGrid w:val="0"/>
              <w:rPr>
                <w:rFonts w:eastAsia="Calibri"/>
                <w:color w:val="000000"/>
                <w:sz w:val="22"/>
              </w:rPr>
            </w:pPr>
          </w:p>
        </w:tc>
      </w:tr>
      <w:tr w:rsidR="00076FEB" w:rsidRPr="002045F5" w:rsidTr="00076FEB">
        <w:tblPrEx>
          <w:tblCellMar>
            <w:left w:w="0" w:type="dxa"/>
            <w:right w:w="0" w:type="dxa"/>
          </w:tblCellMar>
        </w:tblPrEx>
        <w:trPr>
          <w:trHeight w:val="349"/>
        </w:trPr>
        <w:tc>
          <w:tcPr>
            <w:tcW w:w="28" w:type="dxa"/>
            <w:vMerge/>
            <w:tcBorders>
              <w:right w:val="single" w:sz="4" w:space="0" w:color="000000"/>
            </w:tcBorders>
            <w:shd w:val="clear" w:color="auto" w:fill="auto"/>
          </w:tcPr>
          <w:p w:rsidR="00076FEB" w:rsidRPr="002045F5" w:rsidRDefault="00076FEB" w:rsidP="00524DBF">
            <w:pPr>
              <w:autoSpaceDE w:val="0"/>
              <w:snapToGrid w:val="0"/>
              <w:jc w:val="right"/>
              <w:rPr>
                <w:rFonts w:eastAsia="Calibri"/>
                <w:color w:val="000000"/>
                <w:sz w:val="22"/>
              </w:rPr>
            </w:pPr>
          </w:p>
        </w:tc>
        <w:tc>
          <w:tcPr>
            <w:tcW w:w="2812" w:type="dxa"/>
            <w:gridSpan w:val="3"/>
            <w:vMerge/>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076FEB" w:rsidRPr="002045F5" w:rsidRDefault="00076FEB" w:rsidP="00524DBF">
            <w:pPr>
              <w:autoSpaceDE w:val="0"/>
              <w:snapToGrid w:val="0"/>
              <w:rPr>
                <w:rFonts w:eastAsia="Calibri"/>
                <w:b/>
                <w:color w:val="000000"/>
                <w:sz w:val="22"/>
              </w:rPr>
            </w:pPr>
          </w:p>
        </w:tc>
        <w:tc>
          <w:tcPr>
            <w:tcW w:w="1272" w:type="dxa"/>
            <w:vMerge/>
            <w:tcBorders>
              <w:top w:val="single" w:sz="4" w:space="0" w:color="000000"/>
              <w:left w:val="single" w:sz="4" w:space="0" w:color="000000"/>
              <w:bottom w:val="single" w:sz="4" w:space="0" w:color="000000"/>
              <w:right w:val="single" w:sz="4" w:space="0" w:color="000000"/>
            </w:tcBorders>
            <w:shd w:val="clear" w:color="auto" w:fill="auto"/>
          </w:tcPr>
          <w:p w:rsidR="00076FEB" w:rsidRPr="002045F5" w:rsidRDefault="00076FEB" w:rsidP="00524DBF">
            <w:pPr>
              <w:autoSpaceDE w:val="0"/>
              <w:snapToGrid w:val="0"/>
              <w:rPr>
                <w:rFonts w:eastAsia="Calibri"/>
                <w:b/>
                <w:color w:val="000000"/>
                <w:sz w:val="22"/>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076FEB" w:rsidRPr="002045F5" w:rsidRDefault="00076FEB" w:rsidP="00524DBF">
            <w:pPr>
              <w:autoSpaceDE w:val="0"/>
              <w:snapToGrid w:val="0"/>
              <w:rPr>
                <w:rFonts w:eastAsia="Calibri"/>
                <w:b/>
                <w:color w:val="000000"/>
                <w:sz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76FEB" w:rsidRPr="002045F5" w:rsidRDefault="00076FEB" w:rsidP="00524DBF">
            <w:pPr>
              <w:autoSpaceDE w:val="0"/>
              <w:snapToGrid w:val="0"/>
              <w:rPr>
                <w:sz w:val="22"/>
              </w:rPr>
            </w:pPr>
            <w:r w:rsidRPr="002045F5">
              <w:rPr>
                <w:rFonts w:eastAsia="Calibri"/>
                <w:color w:val="000000"/>
                <w:sz w:val="22"/>
              </w:rPr>
              <w:t>Обсяг</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Pr>
          <w:p w:rsidR="00076FEB" w:rsidRPr="002045F5" w:rsidRDefault="00076FEB" w:rsidP="00524DBF">
            <w:pPr>
              <w:autoSpaceDE w:val="0"/>
              <w:snapToGrid w:val="0"/>
              <w:rPr>
                <w:sz w:val="22"/>
              </w:rPr>
            </w:pPr>
            <w:r w:rsidRPr="002045F5">
              <w:rPr>
                <w:rFonts w:eastAsia="Calibri"/>
                <w:color w:val="000000"/>
                <w:sz w:val="22"/>
              </w:rPr>
              <w:t>Назва джерела</w:t>
            </w:r>
          </w:p>
        </w:tc>
        <w:tc>
          <w:tcPr>
            <w:tcW w:w="1479" w:type="dxa"/>
            <w:gridSpan w:val="2"/>
            <w:tcBorders>
              <w:top w:val="single" w:sz="4" w:space="0" w:color="000000"/>
              <w:left w:val="single" w:sz="4" w:space="0" w:color="000000"/>
              <w:bottom w:val="single" w:sz="4" w:space="0" w:color="000000"/>
              <w:right w:val="single" w:sz="4" w:space="0" w:color="000000"/>
            </w:tcBorders>
            <w:shd w:val="clear" w:color="auto" w:fill="auto"/>
          </w:tcPr>
          <w:p w:rsidR="00076FEB" w:rsidRPr="002045F5" w:rsidRDefault="00076FEB" w:rsidP="00524DBF">
            <w:pPr>
              <w:autoSpaceDE w:val="0"/>
              <w:snapToGrid w:val="0"/>
              <w:rPr>
                <w:rFonts w:eastAsia="Calibri"/>
                <w:color w:val="000000"/>
                <w:sz w:val="22"/>
              </w:rPr>
            </w:pPr>
          </w:p>
        </w:tc>
        <w:tc>
          <w:tcPr>
            <w:tcW w:w="25" w:type="dxa"/>
            <w:tcBorders>
              <w:left w:val="single" w:sz="4" w:space="0" w:color="000000"/>
            </w:tcBorders>
            <w:shd w:val="clear" w:color="auto" w:fill="auto"/>
          </w:tcPr>
          <w:p w:rsidR="00076FEB" w:rsidRPr="002045F5" w:rsidRDefault="00076FEB" w:rsidP="00524DBF">
            <w:pPr>
              <w:snapToGrid w:val="0"/>
              <w:rPr>
                <w:rFonts w:eastAsia="Calibri"/>
                <w:color w:val="000000"/>
                <w:sz w:val="22"/>
              </w:rPr>
            </w:pPr>
          </w:p>
        </w:tc>
      </w:tr>
      <w:tr w:rsidR="00076FEB" w:rsidRPr="002045F5" w:rsidTr="00076FEB">
        <w:tblPrEx>
          <w:tblCellMar>
            <w:left w:w="0" w:type="dxa"/>
            <w:right w:w="0" w:type="dxa"/>
          </w:tblCellMar>
        </w:tblPrEx>
        <w:trPr>
          <w:trHeight w:val="1331"/>
        </w:trPr>
        <w:tc>
          <w:tcPr>
            <w:tcW w:w="28" w:type="dxa"/>
            <w:vMerge/>
            <w:tcBorders>
              <w:right w:val="single" w:sz="4" w:space="0" w:color="000000"/>
            </w:tcBorders>
            <w:shd w:val="clear" w:color="auto" w:fill="auto"/>
          </w:tcPr>
          <w:p w:rsidR="00076FEB" w:rsidRPr="002045F5" w:rsidRDefault="00076FEB" w:rsidP="00524DBF">
            <w:pPr>
              <w:autoSpaceDE w:val="0"/>
              <w:snapToGrid w:val="0"/>
              <w:jc w:val="right"/>
              <w:rPr>
                <w:rFonts w:eastAsia="Calibri"/>
                <w:color w:val="000000"/>
                <w:sz w:val="22"/>
              </w:rPr>
            </w:pPr>
          </w:p>
        </w:tc>
        <w:tc>
          <w:tcPr>
            <w:tcW w:w="2812" w:type="dxa"/>
            <w:gridSpan w:val="3"/>
            <w:vMerge/>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076FEB" w:rsidRPr="002045F5" w:rsidRDefault="00076FEB" w:rsidP="00524DBF">
            <w:pPr>
              <w:autoSpaceDE w:val="0"/>
              <w:snapToGrid w:val="0"/>
              <w:rPr>
                <w:rFonts w:eastAsia="Calibri"/>
                <w:b/>
                <w:color w:val="000000"/>
                <w:sz w:val="22"/>
              </w:rPr>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076FEB" w:rsidRPr="002045F5" w:rsidRDefault="00076FEB" w:rsidP="00524DBF">
            <w:pPr>
              <w:autoSpaceDE w:val="0"/>
              <w:rPr>
                <w:sz w:val="22"/>
              </w:rPr>
            </w:pPr>
            <w:r w:rsidRPr="002045F5">
              <w:rPr>
                <w:sz w:val="22"/>
              </w:rPr>
              <w:t>22216.955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76FEB" w:rsidRPr="002045F5" w:rsidRDefault="00076FEB" w:rsidP="00524DBF">
            <w:pPr>
              <w:autoSpaceDE w:val="0"/>
              <w:snapToGrid w:val="0"/>
              <w:rPr>
                <w:rFonts w:eastAsia="Calibri"/>
                <w:color w:val="000000"/>
                <w:sz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76FEB" w:rsidRPr="002045F5" w:rsidRDefault="00076FEB" w:rsidP="00524DBF">
            <w:pPr>
              <w:autoSpaceDE w:val="0"/>
              <w:snapToGrid w:val="0"/>
              <w:rPr>
                <w:rFonts w:eastAsia="Calibri"/>
                <w:color w:val="000000"/>
                <w:sz w:val="22"/>
              </w:rPr>
            </w:pP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Pr>
          <w:p w:rsidR="00076FEB" w:rsidRPr="002045F5" w:rsidRDefault="00076FEB" w:rsidP="00524DBF">
            <w:pPr>
              <w:autoSpaceDE w:val="0"/>
              <w:snapToGrid w:val="0"/>
              <w:rPr>
                <w:rFonts w:eastAsia="Calibri"/>
                <w:color w:val="000000"/>
                <w:sz w:val="22"/>
              </w:rPr>
            </w:pPr>
          </w:p>
        </w:tc>
        <w:tc>
          <w:tcPr>
            <w:tcW w:w="1479" w:type="dxa"/>
            <w:gridSpan w:val="2"/>
            <w:tcBorders>
              <w:top w:val="single" w:sz="4" w:space="0" w:color="000000"/>
              <w:left w:val="single" w:sz="4" w:space="0" w:color="000000"/>
              <w:bottom w:val="single" w:sz="4" w:space="0" w:color="000000"/>
              <w:right w:val="single" w:sz="4" w:space="0" w:color="000000"/>
            </w:tcBorders>
            <w:shd w:val="clear" w:color="auto" w:fill="auto"/>
          </w:tcPr>
          <w:p w:rsidR="00076FEB" w:rsidRPr="002045F5" w:rsidRDefault="00076FEB" w:rsidP="00524DBF">
            <w:pPr>
              <w:autoSpaceDE w:val="0"/>
              <w:rPr>
                <w:sz w:val="22"/>
              </w:rPr>
            </w:pPr>
            <w:r w:rsidRPr="002045F5">
              <w:rPr>
                <w:sz w:val="22"/>
              </w:rPr>
              <w:t>22216.955</w:t>
            </w:r>
          </w:p>
        </w:tc>
        <w:tc>
          <w:tcPr>
            <w:tcW w:w="25" w:type="dxa"/>
            <w:tcBorders>
              <w:left w:val="single" w:sz="4" w:space="0" w:color="000000"/>
            </w:tcBorders>
            <w:shd w:val="clear" w:color="auto" w:fill="auto"/>
          </w:tcPr>
          <w:p w:rsidR="00076FEB" w:rsidRPr="002045F5" w:rsidRDefault="00076FEB" w:rsidP="00524DBF">
            <w:pPr>
              <w:snapToGrid w:val="0"/>
              <w:rPr>
                <w:rFonts w:eastAsia="Calibri"/>
                <w:color w:val="000000"/>
                <w:sz w:val="22"/>
              </w:rPr>
            </w:pPr>
          </w:p>
        </w:tc>
      </w:tr>
    </w:tbl>
    <w:p w:rsidR="00076FEB" w:rsidRPr="002045F5" w:rsidRDefault="00076FEB" w:rsidP="00E95FB1">
      <w:pPr>
        <w:rPr>
          <w:sz w:val="22"/>
        </w:rPr>
      </w:pPr>
    </w:p>
    <w:p w:rsidR="003421EB" w:rsidRPr="002045F5" w:rsidRDefault="003421EB" w:rsidP="00E95FB1">
      <w:pPr>
        <w:rPr>
          <w:sz w:val="22"/>
        </w:rPr>
      </w:pPr>
    </w:p>
    <w:tbl>
      <w:tblPr>
        <w:tblpPr w:leftFromText="180" w:rightFromText="180" w:vertAnchor="text" w:horzAnchor="margin" w:tblpXSpec="center" w:tblpY="522"/>
        <w:tblW w:w="9789" w:type="dxa"/>
        <w:tblLayout w:type="fixed"/>
        <w:tblCellMar>
          <w:left w:w="30" w:type="dxa"/>
          <w:right w:w="30" w:type="dxa"/>
        </w:tblCellMar>
        <w:tblLook w:val="0000" w:firstRow="0" w:lastRow="0" w:firstColumn="0" w:lastColumn="0" w:noHBand="0" w:noVBand="0"/>
      </w:tblPr>
      <w:tblGrid>
        <w:gridCol w:w="80"/>
        <w:gridCol w:w="2644"/>
        <w:gridCol w:w="1349"/>
        <w:gridCol w:w="1115"/>
        <w:gridCol w:w="976"/>
        <w:gridCol w:w="745"/>
        <w:gridCol w:w="1534"/>
        <w:gridCol w:w="231"/>
        <w:gridCol w:w="1115"/>
      </w:tblGrid>
      <w:tr w:rsidR="00507D67" w:rsidRPr="002045F5" w:rsidTr="00507D67">
        <w:trPr>
          <w:trHeight w:val="549"/>
        </w:trPr>
        <w:tc>
          <w:tcPr>
            <w:tcW w:w="80" w:type="dxa"/>
            <w:tcBorders>
              <w:top w:val="nil"/>
              <w:left w:val="nil"/>
              <w:bottom w:val="nil"/>
              <w:right w:val="nil"/>
            </w:tcBorders>
          </w:tcPr>
          <w:p w:rsidR="00507D67" w:rsidRPr="002045F5" w:rsidRDefault="00507D67" w:rsidP="00507D67">
            <w:pPr>
              <w:rPr>
                <w:rFonts w:eastAsia="Calibri"/>
                <w:color w:val="000000"/>
                <w:sz w:val="22"/>
              </w:rPr>
            </w:pPr>
          </w:p>
        </w:tc>
        <w:tc>
          <w:tcPr>
            <w:tcW w:w="264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ind w:left="-80"/>
              <w:rPr>
                <w:rFonts w:eastAsia="Calibri"/>
                <w:b/>
                <w:color w:val="000000"/>
                <w:sz w:val="22"/>
              </w:rPr>
            </w:pPr>
            <w:r w:rsidRPr="002045F5">
              <w:rPr>
                <w:rFonts w:eastAsia="Calibri"/>
                <w:b/>
                <w:color w:val="000000"/>
                <w:sz w:val="22"/>
              </w:rPr>
              <w:t xml:space="preserve"> Оперативна ціль/завдання</w:t>
            </w:r>
          </w:p>
        </w:tc>
        <w:tc>
          <w:tcPr>
            <w:tcW w:w="7064" w:type="dxa"/>
            <w:gridSpan w:val="7"/>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color w:val="000000"/>
                <w:sz w:val="22"/>
                <w:shd w:val="clear" w:color="auto" w:fill="FFFFFF"/>
              </w:rPr>
              <w:t xml:space="preserve">Людський розвиток через інновації управління та довіру до влади. Формування сучасного інклюзивного </w:t>
            </w:r>
            <w:proofErr w:type="spellStart"/>
            <w:r w:rsidRPr="002045F5">
              <w:rPr>
                <w:color w:val="000000"/>
                <w:sz w:val="22"/>
                <w:shd w:val="clear" w:color="auto" w:fill="FFFFFF"/>
              </w:rPr>
              <w:t>освітньо</w:t>
            </w:r>
            <w:proofErr w:type="spellEnd"/>
            <w:r w:rsidRPr="002045F5">
              <w:rPr>
                <w:color w:val="000000"/>
                <w:sz w:val="22"/>
                <w:shd w:val="clear" w:color="auto" w:fill="FFFFFF"/>
              </w:rPr>
              <w:t>-культурного та спортивного простору для розвитку</w:t>
            </w:r>
          </w:p>
        </w:tc>
      </w:tr>
      <w:tr w:rsidR="00507D67" w:rsidRPr="002045F5" w:rsidTr="00507D67">
        <w:trPr>
          <w:trHeight w:val="290"/>
        </w:trPr>
        <w:tc>
          <w:tcPr>
            <w:tcW w:w="80" w:type="dxa"/>
            <w:tcBorders>
              <w:top w:val="nil"/>
              <w:left w:val="nil"/>
              <w:bottom w:val="nil"/>
              <w:right w:val="nil"/>
            </w:tcBorders>
          </w:tcPr>
          <w:p w:rsidR="00507D67" w:rsidRPr="002045F5" w:rsidRDefault="00507D67" w:rsidP="00507D67">
            <w:pPr>
              <w:autoSpaceDE w:val="0"/>
              <w:autoSpaceDN w:val="0"/>
              <w:adjustRightInd w:val="0"/>
              <w:jc w:val="right"/>
              <w:rPr>
                <w:rFonts w:eastAsia="Calibri"/>
                <w:color w:val="000000"/>
                <w:sz w:val="22"/>
              </w:rPr>
            </w:pPr>
          </w:p>
        </w:tc>
        <w:tc>
          <w:tcPr>
            <w:tcW w:w="264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rPr>
                <w:rFonts w:eastAsia="Calibri"/>
                <w:b/>
                <w:color w:val="000000"/>
                <w:sz w:val="22"/>
              </w:rPr>
            </w:pPr>
            <w:r w:rsidRPr="002045F5">
              <w:rPr>
                <w:rFonts w:eastAsia="Calibri"/>
                <w:b/>
                <w:color w:val="000000"/>
                <w:sz w:val="22"/>
              </w:rPr>
              <w:t xml:space="preserve">Назва </w:t>
            </w:r>
            <w:proofErr w:type="spellStart"/>
            <w:r w:rsidRPr="002045F5">
              <w:rPr>
                <w:rFonts w:eastAsia="Calibri"/>
                <w:b/>
                <w:color w:val="000000"/>
                <w:sz w:val="22"/>
              </w:rPr>
              <w:t>проєкту</w:t>
            </w:r>
            <w:proofErr w:type="spellEnd"/>
            <w:r w:rsidRPr="002045F5">
              <w:rPr>
                <w:rFonts w:eastAsia="Calibri"/>
                <w:b/>
                <w:color w:val="000000"/>
                <w:sz w:val="22"/>
              </w:rPr>
              <w:t>:</w:t>
            </w:r>
          </w:p>
        </w:tc>
        <w:tc>
          <w:tcPr>
            <w:tcW w:w="7064" w:type="dxa"/>
            <w:gridSpan w:val="7"/>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Капітальний ремонт будівлі Сєвєродонецького міського Центру дитячої та юнацької творчості, вулиця Гагаріна, будинок 101-Б, м. Сєвєродонецьк, Луганська область</w:t>
            </w:r>
          </w:p>
        </w:tc>
      </w:tr>
      <w:tr w:rsidR="00507D67" w:rsidRPr="002045F5" w:rsidTr="00507D67">
        <w:trPr>
          <w:trHeight w:val="1075"/>
        </w:trPr>
        <w:tc>
          <w:tcPr>
            <w:tcW w:w="80" w:type="dxa"/>
            <w:tcBorders>
              <w:top w:val="nil"/>
              <w:left w:val="nil"/>
              <w:bottom w:val="nil"/>
              <w:right w:val="nil"/>
            </w:tcBorders>
          </w:tcPr>
          <w:p w:rsidR="00507D67" w:rsidRPr="002045F5" w:rsidRDefault="00507D67" w:rsidP="00507D67">
            <w:pPr>
              <w:autoSpaceDE w:val="0"/>
              <w:autoSpaceDN w:val="0"/>
              <w:adjustRightInd w:val="0"/>
              <w:jc w:val="right"/>
              <w:rPr>
                <w:rFonts w:eastAsia="Calibri"/>
                <w:color w:val="000000"/>
                <w:sz w:val="22"/>
              </w:rPr>
            </w:pPr>
          </w:p>
        </w:tc>
        <w:tc>
          <w:tcPr>
            <w:tcW w:w="264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rPr>
                <w:rFonts w:eastAsia="Calibri"/>
                <w:b/>
                <w:color w:val="000000"/>
                <w:sz w:val="22"/>
              </w:rPr>
            </w:pPr>
            <w:r w:rsidRPr="002045F5">
              <w:rPr>
                <w:rFonts w:eastAsia="Calibri"/>
                <w:b/>
                <w:color w:val="000000"/>
                <w:sz w:val="22"/>
              </w:rPr>
              <w:t xml:space="preserve">Ціль </w:t>
            </w:r>
            <w:proofErr w:type="spellStart"/>
            <w:r w:rsidRPr="002045F5">
              <w:rPr>
                <w:rFonts w:eastAsia="Calibri"/>
                <w:b/>
                <w:color w:val="000000"/>
                <w:sz w:val="22"/>
              </w:rPr>
              <w:t>проєкту</w:t>
            </w:r>
            <w:proofErr w:type="spellEnd"/>
          </w:p>
        </w:tc>
        <w:tc>
          <w:tcPr>
            <w:tcW w:w="7064" w:type="dxa"/>
            <w:gridSpan w:val="7"/>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sz w:val="22"/>
              </w:rPr>
            </w:pPr>
            <w:r w:rsidRPr="002045F5">
              <w:rPr>
                <w:sz w:val="22"/>
              </w:rPr>
              <w:t xml:space="preserve">Ремонт будівлі та реконструкція території закладу. Створення безпечних сприятливих умов для впровадження якісної </w:t>
            </w:r>
            <w:proofErr w:type="spellStart"/>
            <w:r w:rsidRPr="002045F5">
              <w:rPr>
                <w:sz w:val="22"/>
              </w:rPr>
              <w:t>освітньо</w:t>
            </w:r>
            <w:proofErr w:type="spellEnd"/>
            <w:r w:rsidRPr="002045F5">
              <w:rPr>
                <w:sz w:val="22"/>
              </w:rPr>
              <w:t xml:space="preserve">-виховної, культурно-просвітницької та </w:t>
            </w:r>
            <w:proofErr w:type="spellStart"/>
            <w:r w:rsidRPr="002045F5">
              <w:rPr>
                <w:sz w:val="22"/>
              </w:rPr>
              <w:t>дозвіллєво</w:t>
            </w:r>
            <w:proofErr w:type="spellEnd"/>
            <w:r w:rsidRPr="002045F5">
              <w:rPr>
                <w:sz w:val="22"/>
              </w:rPr>
              <w:t xml:space="preserve">-оздоровчої  діяльності, збільшення та охоплення  позашкільною освітою дітей і молоді, батьків та </w:t>
            </w:r>
            <w:r w:rsidRPr="002045F5">
              <w:rPr>
                <w:sz w:val="22"/>
              </w:rPr>
              <w:lastRenderedPageBreak/>
              <w:t xml:space="preserve">громади;  відповідність соціальної  інфраструктури  потребам Сєвєродонецької міської територіальної   громади для проведення  сучасних змістовних </w:t>
            </w:r>
            <w:proofErr w:type="spellStart"/>
            <w:r w:rsidRPr="002045F5">
              <w:rPr>
                <w:sz w:val="22"/>
              </w:rPr>
              <w:t>освітньо</w:t>
            </w:r>
            <w:proofErr w:type="spellEnd"/>
            <w:r w:rsidRPr="002045F5">
              <w:rPr>
                <w:sz w:val="22"/>
              </w:rPr>
              <w:t xml:space="preserve">-виховних, культурно-просвітницьких, </w:t>
            </w:r>
            <w:proofErr w:type="spellStart"/>
            <w:r w:rsidRPr="002045F5">
              <w:rPr>
                <w:sz w:val="22"/>
              </w:rPr>
              <w:t>дозвіллєво</w:t>
            </w:r>
            <w:proofErr w:type="spellEnd"/>
            <w:r w:rsidRPr="002045F5">
              <w:rPr>
                <w:sz w:val="22"/>
              </w:rPr>
              <w:t>-оздоровчих та інформаційних заходів.</w:t>
            </w:r>
          </w:p>
        </w:tc>
      </w:tr>
      <w:tr w:rsidR="00507D67" w:rsidRPr="002045F5" w:rsidTr="00507D67">
        <w:trPr>
          <w:trHeight w:val="290"/>
        </w:trPr>
        <w:tc>
          <w:tcPr>
            <w:tcW w:w="80" w:type="dxa"/>
            <w:tcBorders>
              <w:top w:val="nil"/>
              <w:left w:val="nil"/>
              <w:bottom w:val="nil"/>
              <w:right w:val="nil"/>
            </w:tcBorders>
          </w:tcPr>
          <w:p w:rsidR="00507D67" w:rsidRPr="002045F5" w:rsidRDefault="00507D67" w:rsidP="00507D67">
            <w:pPr>
              <w:autoSpaceDE w:val="0"/>
              <w:autoSpaceDN w:val="0"/>
              <w:adjustRightInd w:val="0"/>
              <w:jc w:val="right"/>
              <w:rPr>
                <w:rFonts w:eastAsia="Calibri"/>
                <w:color w:val="000000"/>
                <w:sz w:val="22"/>
              </w:rPr>
            </w:pPr>
          </w:p>
        </w:tc>
        <w:tc>
          <w:tcPr>
            <w:tcW w:w="264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rPr>
                <w:rFonts w:eastAsia="Calibri"/>
                <w:b/>
                <w:color w:val="000000"/>
                <w:sz w:val="22"/>
              </w:rPr>
            </w:pPr>
            <w:r w:rsidRPr="002045F5">
              <w:rPr>
                <w:rFonts w:eastAsia="Calibri"/>
                <w:b/>
                <w:color w:val="000000"/>
                <w:sz w:val="22"/>
              </w:rPr>
              <w:t>Територія, на яку матиме вплив реалізація проекту</w:t>
            </w:r>
          </w:p>
        </w:tc>
        <w:tc>
          <w:tcPr>
            <w:tcW w:w="7064" w:type="dxa"/>
            <w:gridSpan w:val="7"/>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Сєвєродонецька міська територіальна громада</w:t>
            </w:r>
          </w:p>
        </w:tc>
      </w:tr>
      <w:tr w:rsidR="00507D67" w:rsidRPr="002045F5" w:rsidTr="00507D67">
        <w:trPr>
          <w:trHeight w:val="581"/>
        </w:trPr>
        <w:tc>
          <w:tcPr>
            <w:tcW w:w="80" w:type="dxa"/>
            <w:tcBorders>
              <w:top w:val="nil"/>
              <w:left w:val="nil"/>
              <w:bottom w:val="nil"/>
              <w:right w:val="nil"/>
            </w:tcBorders>
          </w:tcPr>
          <w:p w:rsidR="00507D67" w:rsidRPr="002045F5" w:rsidRDefault="00507D67" w:rsidP="00507D67">
            <w:pPr>
              <w:autoSpaceDE w:val="0"/>
              <w:autoSpaceDN w:val="0"/>
              <w:adjustRightInd w:val="0"/>
              <w:jc w:val="right"/>
              <w:rPr>
                <w:rFonts w:eastAsia="Calibri"/>
                <w:color w:val="000000"/>
                <w:sz w:val="22"/>
              </w:rPr>
            </w:pPr>
          </w:p>
        </w:tc>
        <w:tc>
          <w:tcPr>
            <w:tcW w:w="264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rPr>
                <w:rFonts w:eastAsia="Calibri"/>
                <w:b/>
                <w:color w:val="000000"/>
                <w:sz w:val="22"/>
              </w:rPr>
            </w:pPr>
            <w:r w:rsidRPr="002045F5">
              <w:rPr>
                <w:rFonts w:eastAsia="Calibri"/>
                <w:b/>
                <w:color w:val="000000"/>
                <w:sz w:val="22"/>
              </w:rPr>
              <w:t xml:space="preserve">Чисельність населення, на яке матиме вплив реалізація </w:t>
            </w:r>
            <w:proofErr w:type="spellStart"/>
            <w:r w:rsidRPr="002045F5">
              <w:rPr>
                <w:rFonts w:eastAsia="Calibri"/>
                <w:b/>
                <w:color w:val="000000"/>
                <w:sz w:val="22"/>
              </w:rPr>
              <w:t>проєкту</w:t>
            </w:r>
            <w:proofErr w:type="spellEnd"/>
          </w:p>
        </w:tc>
        <w:tc>
          <w:tcPr>
            <w:tcW w:w="7064" w:type="dxa"/>
            <w:gridSpan w:val="7"/>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70 000  осіб.</w:t>
            </w:r>
          </w:p>
        </w:tc>
      </w:tr>
      <w:tr w:rsidR="00507D67" w:rsidRPr="002045F5" w:rsidTr="00507D67">
        <w:trPr>
          <w:trHeight w:val="1224"/>
        </w:trPr>
        <w:tc>
          <w:tcPr>
            <w:tcW w:w="80" w:type="dxa"/>
            <w:tcBorders>
              <w:top w:val="nil"/>
              <w:left w:val="nil"/>
              <w:bottom w:val="nil"/>
              <w:right w:val="nil"/>
            </w:tcBorders>
          </w:tcPr>
          <w:p w:rsidR="00507D67" w:rsidRPr="002045F5" w:rsidRDefault="00507D67" w:rsidP="00507D67">
            <w:pPr>
              <w:autoSpaceDE w:val="0"/>
              <w:autoSpaceDN w:val="0"/>
              <w:adjustRightInd w:val="0"/>
              <w:jc w:val="right"/>
              <w:rPr>
                <w:rFonts w:eastAsia="Calibri"/>
                <w:color w:val="000000"/>
                <w:sz w:val="22"/>
              </w:rPr>
            </w:pPr>
          </w:p>
        </w:tc>
        <w:tc>
          <w:tcPr>
            <w:tcW w:w="264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rPr>
                <w:rFonts w:eastAsia="Calibri"/>
                <w:b/>
                <w:color w:val="000000"/>
                <w:sz w:val="22"/>
              </w:rPr>
            </w:pPr>
            <w:r w:rsidRPr="002045F5">
              <w:rPr>
                <w:rFonts w:eastAsia="Calibri"/>
                <w:b/>
                <w:color w:val="000000"/>
                <w:sz w:val="22"/>
              </w:rPr>
              <w:t>Опис проблеми, на вирішення якої спрямований проект</w:t>
            </w:r>
          </w:p>
          <w:p w:rsidR="00507D67" w:rsidRPr="002045F5" w:rsidRDefault="00507D67" w:rsidP="00507D67">
            <w:pPr>
              <w:autoSpaceDE w:val="0"/>
              <w:autoSpaceDN w:val="0"/>
              <w:adjustRightInd w:val="0"/>
              <w:rPr>
                <w:rFonts w:eastAsia="Calibri"/>
                <w:b/>
                <w:color w:val="000000"/>
                <w:sz w:val="22"/>
              </w:rPr>
            </w:pPr>
          </w:p>
          <w:p w:rsidR="00507D67" w:rsidRPr="002045F5" w:rsidRDefault="00507D67" w:rsidP="00507D67">
            <w:pPr>
              <w:autoSpaceDE w:val="0"/>
              <w:autoSpaceDN w:val="0"/>
              <w:adjustRightInd w:val="0"/>
              <w:rPr>
                <w:rFonts w:eastAsia="Calibri"/>
                <w:b/>
                <w:color w:val="FF0000"/>
                <w:sz w:val="22"/>
              </w:rPr>
            </w:pPr>
          </w:p>
        </w:tc>
        <w:tc>
          <w:tcPr>
            <w:tcW w:w="7064" w:type="dxa"/>
            <w:gridSpan w:val="7"/>
            <w:tcBorders>
              <w:top w:val="single" w:sz="6" w:space="0" w:color="auto"/>
              <w:left w:val="single" w:sz="6" w:space="0" w:color="auto"/>
              <w:bottom w:val="single" w:sz="6" w:space="0" w:color="auto"/>
              <w:right w:val="single" w:sz="6" w:space="0" w:color="auto"/>
            </w:tcBorders>
          </w:tcPr>
          <w:p w:rsidR="00507D67" w:rsidRPr="002045F5" w:rsidRDefault="00507D67" w:rsidP="00507D67">
            <w:pPr>
              <w:shd w:val="clear" w:color="auto" w:fill="FFFFFF"/>
              <w:rPr>
                <w:sz w:val="22"/>
              </w:rPr>
            </w:pPr>
            <w:r w:rsidRPr="002045F5">
              <w:rPr>
                <w:sz w:val="22"/>
              </w:rPr>
              <w:t xml:space="preserve">Сєвєродонецький міський Центр дитячої та юнацької творчості знаходиться у пристосованому приміщенні колишнього дитячого садка, який був введений в експлуатацію у 1975 році. У 2022 році під час  вторгнення </w:t>
            </w:r>
            <w:r w:rsidR="005B3AF2" w:rsidRPr="002045F5">
              <w:rPr>
                <w:sz w:val="22"/>
              </w:rPr>
              <w:t>РФ</w:t>
            </w:r>
            <w:r w:rsidRPr="002045F5">
              <w:rPr>
                <w:sz w:val="22"/>
              </w:rPr>
              <w:t xml:space="preserve"> в Україну та активних бойових дій будівля закладу частково зруйнована, пошкоджені тепло-, </w:t>
            </w:r>
            <w:proofErr w:type="spellStart"/>
            <w:r w:rsidRPr="002045F5">
              <w:rPr>
                <w:sz w:val="22"/>
              </w:rPr>
              <w:t>електро</w:t>
            </w:r>
            <w:proofErr w:type="spellEnd"/>
            <w:r w:rsidRPr="002045F5">
              <w:rPr>
                <w:sz w:val="22"/>
              </w:rPr>
              <w:t xml:space="preserve">- мережі, система водопостачання. </w:t>
            </w:r>
          </w:p>
          <w:p w:rsidR="00507D67" w:rsidRPr="002045F5" w:rsidRDefault="00507D67" w:rsidP="00507D67">
            <w:pPr>
              <w:shd w:val="clear" w:color="auto" w:fill="FFFFFF"/>
              <w:rPr>
                <w:rFonts w:eastAsia="Calibri"/>
                <w:color w:val="FF0000"/>
                <w:sz w:val="22"/>
              </w:rPr>
            </w:pPr>
            <w:r w:rsidRPr="002045F5">
              <w:rPr>
                <w:sz w:val="22"/>
              </w:rPr>
              <w:t>Створення комфортних умов перебування здобувачів освіти у закладі.</w:t>
            </w:r>
          </w:p>
        </w:tc>
      </w:tr>
      <w:tr w:rsidR="00507D67" w:rsidRPr="002045F5" w:rsidTr="00507D67">
        <w:trPr>
          <w:trHeight w:val="269"/>
        </w:trPr>
        <w:tc>
          <w:tcPr>
            <w:tcW w:w="80" w:type="dxa"/>
            <w:tcBorders>
              <w:top w:val="nil"/>
              <w:left w:val="nil"/>
              <w:bottom w:val="nil"/>
              <w:right w:val="nil"/>
            </w:tcBorders>
          </w:tcPr>
          <w:p w:rsidR="00507D67" w:rsidRPr="002045F5" w:rsidRDefault="00507D67" w:rsidP="00507D67">
            <w:pPr>
              <w:autoSpaceDE w:val="0"/>
              <w:autoSpaceDN w:val="0"/>
              <w:adjustRightInd w:val="0"/>
              <w:jc w:val="right"/>
              <w:rPr>
                <w:rFonts w:eastAsia="Calibri"/>
                <w:color w:val="000000"/>
                <w:sz w:val="22"/>
              </w:rPr>
            </w:pPr>
          </w:p>
        </w:tc>
        <w:tc>
          <w:tcPr>
            <w:tcW w:w="264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rPr>
                <w:rFonts w:eastAsia="Calibri"/>
                <w:b/>
                <w:color w:val="000000"/>
                <w:sz w:val="22"/>
              </w:rPr>
            </w:pPr>
            <w:r w:rsidRPr="002045F5">
              <w:rPr>
                <w:rFonts w:eastAsia="Calibri"/>
                <w:b/>
                <w:color w:val="000000"/>
                <w:sz w:val="22"/>
              </w:rPr>
              <w:t xml:space="preserve">Очікувані якісні результати від реалізації </w:t>
            </w:r>
            <w:proofErr w:type="spellStart"/>
            <w:r w:rsidRPr="002045F5">
              <w:rPr>
                <w:rFonts w:eastAsia="Calibri"/>
                <w:b/>
                <w:color w:val="000000"/>
                <w:sz w:val="22"/>
              </w:rPr>
              <w:t>проєкту</w:t>
            </w:r>
            <w:proofErr w:type="spellEnd"/>
          </w:p>
        </w:tc>
        <w:tc>
          <w:tcPr>
            <w:tcW w:w="7064" w:type="dxa"/>
            <w:gridSpan w:val="7"/>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sz w:val="22"/>
              </w:rPr>
            </w:pPr>
            <w:r w:rsidRPr="002045F5">
              <w:rPr>
                <w:rFonts w:eastAsia="Calibri"/>
                <w:sz w:val="22"/>
              </w:rPr>
              <w:t xml:space="preserve">Залучення вихованців (учнів, слухачів) до активної діяльності з </w:t>
            </w:r>
            <w:r w:rsidRPr="002045F5">
              <w:rPr>
                <w:rFonts w:eastAsia="Calibri"/>
                <w:sz w:val="22"/>
                <w:shd w:val="clear" w:color="auto" w:fill="FFFFFF"/>
              </w:rPr>
              <w:t>розвитку творчих здібностей, обдарувань та здобуття практичних навичок, оволодіння знаннями в сфері вітчизняної і світової культури та мистецтва</w:t>
            </w:r>
            <w:r w:rsidRPr="002045F5">
              <w:rPr>
                <w:rFonts w:eastAsia="Calibri"/>
                <w:sz w:val="22"/>
              </w:rPr>
              <w:t>,</w:t>
            </w:r>
            <w:r w:rsidRPr="002045F5">
              <w:rPr>
                <w:rFonts w:eastAsia="Calibri"/>
                <w:sz w:val="22"/>
                <w:shd w:val="clear" w:color="auto" w:fill="FFFFFF"/>
              </w:rPr>
              <w:t xml:space="preserve"> основ наук соціально-гуманітарного циклу, підготовка до активної професійної та громадської діяльності, організація змістовного дозвілля та відпочинку</w:t>
            </w:r>
            <w:r w:rsidRPr="002045F5">
              <w:rPr>
                <w:sz w:val="22"/>
              </w:rPr>
              <w:t>.</w:t>
            </w:r>
          </w:p>
          <w:p w:rsidR="00507D67" w:rsidRPr="002045F5" w:rsidRDefault="00507D67" w:rsidP="00507D67">
            <w:pPr>
              <w:autoSpaceDE w:val="0"/>
              <w:autoSpaceDN w:val="0"/>
              <w:adjustRightInd w:val="0"/>
              <w:rPr>
                <w:sz w:val="22"/>
              </w:rPr>
            </w:pPr>
            <w:r w:rsidRPr="002045F5">
              <w:rPr>
                <w:sz w:val="22"/>
              </w:rPr>
              <w:t>Надання широкого спектру освітніх послуг художньо-естетичного, гуманітарного, соціально-реабілітаційного напрямів позашкільної освіти.</w:t>
            </w:r>
          </w:p>
          <w:p w:rsidR="00507D67" w:rsidRPr="002045F5" w:rsidRDefault="00507D67" w:rsidP="00507D67">
            <w:pPr>
              <w:autoSpaceDE w:val="0"/>
              <w:autoSpaceDN w:val="0"/>
              <w:adjustRightInd w:val="0"/>
              <w:rPr>
                <w:sz w:val="22"/>
              </w:rPr>
            </w:pPr>
            <w:r w:rsidRPr="002045F5">
              <w:rPr>
                <w:sz w:val="22"/>
              </w:rPr>
              <w:t>Стимул до повернення ВПО до громади.</w:t>
            </w:r>
          </w:p>
        </w:tc>
      </w:tr>
      <w:tr w:rsidR="00507D67" w:rsidRPr="002045F5" w:rsidTr="00507D67">
        <w:trPr>
          <w:trHeight w:val="581"/>
        </w:trPr>
        <w:tc>
          <w:tcPr>
            <w:tcW w:w="80" w:type="dxa"/>
            <w:tcBorders>
              <w:top w:val="nil"/>
              <w:left w:val="nil"/>
              <w:bottom w:val="nil"/>
              <w:right w:val="nil"/>
            </w:tcBorders>
          </w:tcPr>
          <w:p w:rsidR="00507D67" w:rsidRPr="002045F5" w:rsidRDefault="00507D67" w:rsidP="00507D67">
            <w:pPr>
              <w:autoSpaceDE w:val="0"/>
              <w:autoSpaceDN w:val="0"/>
              <w:adjustRightInd w:val="0"/>
              <w:jc w:val="right"/>
              <w:rPr>
                <w:rFonts w:eastAsia="Calibri"/>
                <w:color w:val="000000"/>
                <w:sz w:val="22"/>
              </w:rPr>
            </w:pPr>
          </w:p>
        </w:tc>
        <w:tc>
          <w:tcPr>
            <w:tcW w:w="2644" w:type="dxa"/>
            <w:vMerge w:val="restart"/>
            <w:tcBorders>
              <w:top w:val="single" w:sz="6" w:space="0" w:color="auto"/>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rPr>
                <w:rFonts w:eastAsia="Calibri"/>
                <w:b/>
                <w:color w:val="000000"/>
                <w:sz w:val="22"/>
              </w:rPr>
            </w:pPr>
            <w:r w:rsidRPr="002045F5">
              <w:rPr>
                <w:rFonts w:eastAsia="Calibri"/>
                <w:b/>
                <w:color w:val="000000"/>
                <w:sz w:val="22"/>
              </w:rPr>
              <w:t xml:space="preserve">Очікувані кількісні результати від реалізації </w:t>
            </w:r>
            <w:proofErr w:type="spellStart"/>
            <w:r w:rsidRPr="002045F5">
              <w:rPr>
                <w:rFonts w:eastAsia="Calibri"/>
                <w:b/>
                <w:color w:val="000000"/>
                <w:sz w:val="22"/>
              </w:rPr>
              <w:t>проєкту</w:t>
            </w:r>
            <w:proofErr w:type="spellEnd"/>
            <w:r w:rsidRPr="002045F5">
              <w:rPr>
                <w:rFonts w:eastAsia="Calibri"/>
                <w:b/>
                <w:color w:val="000000"/>
                <w:sz w:val="22"/>
              </w:rPr>
              <w:t xml:space="preserve">  (індикатори)</w:t>
            </w:r>
          </w:p>
        </w:tc>
        <w:tc>
          <w:tcPr>
            <w:tcW w:w="4185" w:type="dxa"/>
            <w:gridSpan w:val="4"/>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b/>
                <w:color w:val="000000"/>
                <w:sz w:val="22"/>
              </w:rPr>
            </w:pPr>
            <w:r w:rsidRPr="002045F5">
              <w:rPr>
                <w:rFonts w:eastAsia="Calibri"/>
                <w:b/>
                <w:color w:val="000000"/>
                <w:sz w:val="22"/>
              </w:rPr>
              <w:t>Найменування показника</w:t>
            </w:r>
          </w:p>
        </w:tc>
        <w:tc>
          <w:tcPr>
            <w:tcW w:w="1534"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b/>
                <w:color w:val="000000"/>
                <w:sz w:val="22"/>
              </w:rPr>
            </w:pPr>
            <w:r w:rsidRPr="002045F5">
              <w:rPr>
                <w:rFonts w:eastAsia="Calibri"/>
                <w:b/>
                <w:color w:val="000000"/>
                <w:sz w:val="22"/>
              </w:rPr>
              <w:t>Одиниця вимірювання</w:t>
            </w:r>
          </w:p>
        </w:tc>
        <w:tc>
          <w:tcPr>
            <w:tcW w:w="1345" w:type="dxa"/>
            <w:gridSpan w:val="2"/>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b/>
                <w:color w:val="000000"/>
                <w:sz w:val="22"/>
              </w:rPr>
            </w:pPr>
            <w:r w:rsidRPr="002045F5">
              <w:rPr>
                <w:rFonts w:eastAsia="Calibri"/>
                <w:b/>
                <w:color w:val="000000"/>
                <w:sz w:val="22"/>
              </w:rPr>
              <w:t>Прогнозне (цільове) значення</w:t>
            </w:r>
          </w:p>
        </w:tc>
      </w:tr>
      <w:tr w:rsidR="00507D67" w:rsidRPr="002045F5" w:rsidTr="00507D67">
        <w:trPr>
          <w:trHeight w:val="581"/>
        </w:trPr>
        <w:tc>
          <w:tcPr>
            <w:tcW w:w="80" w:type="dxa"/>
            <w:tcBorders>
              <w:top w:val="nil"/>
              <w:left w:val="nil"/>
              <w:bottom w:val="nil"/>
              <w:right w:val="nil"/>
            </w:tcBorders>
          </w:tcPr>
          <w:p w:rsidR="00507D67" w:rsidRPr="002045F5" w:rsidRDefault="00507D67" w:rsidP="00507D67">
            <w:pPr>
              <w:autoSpaceDE w:val="0"/>
              <w:autoSpaceDN w:val="0"/>
              <w:adjustRightInd w:val="0"/>
              <w:jc w:val="right"/>
              <w:rPr>
                <w:rFonts w:eastAsia="Calibri"/>
                <w:color w:val="000000"/>
                <w:sz w:val="22"/>
              </w:rPr>
            </w:pPr>
          </w:p>
        </w:tc>
        <w:tc>
          <w:tcPr>
            <w:tcW w:w="2644" w:type="dxa"/>
            <w:vMerge/>
            <w:tcBorders>
              <w:top w:val="single" w:sz="6" w:space="0" w:color="auto"/>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rPr>
                <w:rFonts w:eastAsia="Calibri"/>
                <w:b/>
                <w:color w:val="000000"/>
                <w:sz w:val="22"/>
              </w:rPr>
            </w:pPr>
          </w:p>
        </w:tc>
        <w:tc>
          <w:tcPr>
            <w:tcW w:w="4185" w:type="dxa"/>
            <w:gridSpan w:val="4"/>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b/>
                <w:color w:val="000000"/>
                <w:sz w:val="22"/>
              </w:rPr>
            </w:pPr>
            <w:r w:rsidRPr="002045F5">
              <w:rPr>
                <w:sz w:val="22"/>
              </w:rPr>
              <w:t xml:space="preserve">Розробка </w:t>
            </w:r>
            <w:proofErr w:type="spellStart"/>
            <w:r w:rsidRPr="002045F5">
              <w:rPr>
                <w:sz w:val="22"/>
              </w:rPr>
              <w:t>проєктно</w:t>
            </w:r>
            <w:proofErr w:type="spellEnd"/>
            <w:r w:rsidRPr="002045F5">
              <w:rPr>
                <w:sz w:val="22"/>
              </w:rPr>
              <w:t>-кошторисної документації</w:t>
            </w:r>
          </w:p>
        </w:tc>
        <w:tc>
          <w:tcPr>
            <w:tcW w:w="1534"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b/>
                <w:color w:val="000000"/>
                <w:sz w:val="22"/>
              </w:rPr>
            </w:pPr>
            <w:r w:rsidRPr="002045F5">
              <w:rPr>
                <w:rFonts w:eastAsia="Calibri"/>
                <w:sz w:val="22"/>
              </w:rPr>
              <w:t>одиниць</w:t>
            </w:r>
          </w:p>
        </w:tc>
        <w:tc>
          <w:tcPr>
            <w:tcW w:w="1345" w:type="dxa"/>
            <w:gridSpan w:val="2"/>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b/>
                <w:color w:val="000000"/>
                <w:sz w:val="22"/>
              </w:rPr>
            </w:pPr>
            <w:r w:rsidRPr="002045F5">
              <w:rPr>
                <w:sz w:val="22"/>
              </w:rPr>
              <w:t>1</w:t>
            </w:r>
          </w:p>
        </w:tc>
      </w:tr>
      <w:tr w:rsidR="00507D67" w:rsidRPr="002045F5" w:rsidTr="00507D67">
        <w:trPr>
          <w:trHeight w:val="290"/>
        </w:trPr>
        <w:tc>
          <w:tcPr>
            <w:tcW w:w="80" w:type="dxa"/>
            <w:tcBorders>
              <w:top w:val="nil"/>
              <w:left w:val="nil"/>
              <w:bottom w:val="nil"/>
              <w:right w:val="nil"/>
            </w:tcBorders>
          </w:tcPr>
          <w:p w:rsidR="00507D67" w:rsidRPr="002045F5" w:rsidRDefault="00507D67" w:rsidP="00507D67">
            <w:pPr>
              <w:autoSpaceDE w:val="0"/>
              <w:autoSpaceDN w:val="0"/>
              <w:adjustRightInd w:val="0"/>
              <w:jc w:val="right"/>
              <w:rPr>
                <w:rFonts w:eastAsia="Calibri"/>
                <w:color w:val="000000"/>
                <w:sz w:val="22"/>
              </w:rPr>
            </w:pPr>
          </w:p>
        </w:tc>
        <w:tc>
          <w:tcPr>
            <w:tcW w:w="2644" w:type="dxa"/>
            <w:vMerge/>
            <w:tcBorders>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jc w:val="right"/>
              <w:rPr>
                <w:rFonts w:eastAsia="Calibri"/>
                <w:b/>
                <w:color w:val="000000"/>
                <w:sz w:val="22"/>
              </w:rPr>
            </w:pPr>
          </w:p>
        </w:tc>
        <w:tc>
          <w:tcPr>
            <w:tcW w:w="4185" w:type="dxa"/>
            <w:gridSpan w:val="4"/>
            <w:tcBorders>
              <w:top w:val="single" w:sz="6" w:space="0" w:color="auto"/>
              <w:left w:val="single" w:sz="6" w:space="0" w:color="auto"/>
              <w:bottom w:val="single" w:sz="6" w:space="0" w:color="auto"/>
              <w:right w:val="single" w:sz="6" w:space="0" w:color="auto"/>
            </w:tcBorders>
          </w:tcPr>
          <w:p w:rsidR="00507D67" w:rsidRPr="002045F5" w:rsidRDefault="00507D67" w:rsidP="00507D67">
            <w:pPr>
              <w:shd w:val="clear" w:color="auto" w:fill="FFFFFF"/>
              <w:spacing w:after="160" w:line="259" w:lineRule="auto"/>
              <w:rPr>
                <w:sz w:val="22"/>
                <w:vertAlign w:val="superscript"/>
              </w:rPr>
            </w:pPr>
            <w:r w:rsidRPr="002045F5">
              <w:rPr>
                <w:sz w:val="22"/>
              </w:rPr>
              <w:t>Капітальний ремонт покрівлі</w:t>
            </w:r>
          </w:p>
        </w:tc>
        <w:tc>
          <w:tcPr>
            <w:tcW w:w="1534"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м</w:t>
            </w:r>
            <w:r w:rsidRPr="002045F5">
              <w:rPr>
                <w:sz w:val="22"/>
                <w:vertAlign w:val="superscript"/>
              </w:rPr>
              <w:t>2</w:t>
            </w:r>
          </w:p>
        </w:tc>
        <w:tc>
          <w:tcPr>
            <w:tcW w:w="1345" w:type="dxa"/>
            <w:gridSpan w:val="2"/>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1265,6</w:t>
            </w:r>
          </w:p>
        </w:tc>
      </w:tr>
      <w:tr w:rsidR="00507D67" w:rsidRPr="002045F5" w:rsidTr="00507D67">
        <w:trPr>
          <w:trHeight w:val="290"/>
        </w:trPr>
        <w:tc>
          <w:tcPr>
            <w:tcW w:w="80" w:type="dxa"/>
            <w:tcBorders>
              <w:top w:val="nil"/>
              <w:left w:val="nil"/>
              <w:bottom w:val="nil"/>
              <w:right w:val="nil"/>
            </w:tcBorders>
          </w:tcPr>
          <w:p w:rsidR="00507D67" w:rsidRPr="002045F5" w:rsidRDefault="00507D67" w:rsidP="00507D67">
            <w:pPr>
              <w:autoSpaceDE w:val="0"/>
              <w:autoSpaceDN w:val="0"/>
              <w:adjustRightInd w:val="0"/>
              <w:jc w:val="right"/>
              <w:rPr>
                <w:rFonts w:eastAsia="Calibri"/>
                <w:color w:val="000000"/>
                <w:sz w:val="22"/>
              </w:rPr>
            </w:pPr>
          </w:p>
        </w:tc>
        <w:tc>
          <w:tcPr>
            <w:tcW w:w="2644" w:type="dxa"/>
            <w:vMerge/>
            <w:tcBorders>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jc w:val="right"/>
              <w:rPr>
                <w:rFonts w:eastAsia="Calibri"/>
                <w:b/>
                <w:color w:val="000000"/>
                <w:sz w:val="22"/>
              </w:rPr>
            </w:pPr>
          </w:p>
        </w:tc>
        <w:tc>
          <w:tcPr>
            <w:tcW w:w="4185" w:type="dxa"/>
            <w:gridSpan w:val="4"/>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 xml:space="preserve">Капітальний ремонт навчальних кабінетів  </w:t>
            </w:r>
          </w:p>
        </w:tc>
        <w:tc>
          <w:tcPr>
            <w:tcW w:w="1534"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sz w:val="22"/>
              </w:rPr>
              <w:t>одиниць</w:t>
            </w:r>
          </w:p>
        </w:tc>
        <w:tc>
          <w:tcPr>
            <w:tcW w:w="1345" w:type="dxa"/>
            <w:gridSpan w:val="2"/>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 xml:space="preserve">20 </w:t>
            </w:r>
          </w:p>
        </w:tc>
      </w:tr>
      <w:tr w:rsidR="00507D67" w:rsidRPr="002045F5" w:rsidTr="00507D67">
        <w:trPr>
          <w:trHeight w:val="290"/>
        </w:trPr>
        <w:tc>
          <w:tcPr>
            <w:tcW w:w="80" w:type="dxa"/>
            <w:tcBorders>
              <w:top w:val="nil"/>
              <w:left w:val="nil"/>
              <w:bottom w:val="nil"/>
              <w:right w:val="nil"/>
            </w:tcBorders>
          </w:tcPr>
          <w:p w:rsidR="00507D67" w:rsidRPr="002045F5" w:rsidRDefault="00507D67" w:rsidP="00507D67">
            <w:pPr>
              <w:autoSpaceDE w:val="0"/>
              <w:autoSpaceDN w:val="0"/>
              <w:adjustRightInd w:val="0"/>
              <w:jc w:val="right"/>
              <w:rPr>
                <w:rFonts w:eastAsia="Calibri"/>
                <w:color w:val="000000"/>
                <w:sz w:val="22"/>
              </w:rPr>
            </w:pPr>
          </w:p>
        </w:tc>
        <w:tc>
          <w:tcPr>
            <w:tcW w:w="2644" w:type="dxa"/>
            <w:vMerge/>
            <w:tcBorders>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jc w:val="right"/>
              <w:rPr>
                <w:rFonts w:eastAsia="Calibri"/>
                <w:b/>
                <w:color w:val="000000"/>
                <w:sz w:val="22"/>
              </w:rPr>
            </w:pPr>
          </w:p>
        </w:tc>
        <w:tc>
          <w:tcPr>
            <w:tcW w:w="4185" w:type="dxa"/>
            <w:gridSpan w:val="4"/>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Капітальний ремонт санвузлів та обладнання санвузла для дітей з обмеженими фізичними можливостями</w:t>
            </w:r>
          </w:p>
        </w:tc>
        <w:tc>
          <w:tcPr>
            <w:tcW w:w="1534"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sz w:val="22"/>
              </w:rPr>
              <w:t>одиниць</w:t>
            </w:r>
          </w:p>
        </w:tc>
        <w:tc>
          <w:tcPr>
            <w:tcW w:w="1345" w:type="dxa"/>
            <w:gridSpan w:val="2"/>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10</w:t>
            </w:r>
          </w:p>
        </w:tc>
      </w:tr>
      <w:tr w:rsidR="00507D67" w:rsidRPr="002045F5" w:rsidTr="00507D67">
        <w:trPr>
          <w:trHeight w:val="290"/>
        </w:trPr>
        <w:tc>
          <w:tcPr>
            <w:tcW w:w="80" w:type="dxa"/>
            <w:tcBorders>
              <w:top w:val="nil"/>
              <w:left w:val="nil"/>
              <w:bottom w:val="nil"/>
              <w:right w:val="nil"/>
            </w:tcBorders>
          </w:tcPr>
          <w:p w:rsidR="00507D67" w:rsidRPr="002045F5" w:rsidRDefault="00507D67" w:rsidP="00507D67">
            <w:pPr>
              <w:autoSpaceDE w:val="0"/>
              <w:autoSpaceDN w:val="0"/>
              <w:adjustRightInd w:val="0"/>
              <w:jc w:val="right"/>
              <w:rPr>
                <w:rFonts w:eastAsia="Calibri"/>
                <w:color w:val="000000"/>
                <w:sz w:val="22"/>
              </w:rPr>
            </w:pPr>
          </w:p>
        </w:tc>
        <w:tc>
          <w:tcPr>
            <w:tcW w:w="2644" w:type="dxa"/>
            <w:vMerge/>
            <w:tcBorders>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jc w:val="right"/>
              <w:rPr>
                <w:rFonts w:eastAsia="Calibri"/>
                <w:b/>
                <w:color w:val="000000"/>
                <w:sz w:val="22"/>
              </w:rPr>
            </w:pPr>
          </w:p>
        </w:tc>
        <w:tc>
          <w:tcPr>
            <w:tcW w:w="4185" w:type="dxa"/>
            <w:gridSpan w:val="4"/>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Ремонт тротуарів</w:t>
            </w:r>
          </w:p>
        </w:tc>
        <w:tc>
          <w:tcPr>
            <w:tcW w:w="1534"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м</w:t>
            </w:r>
            <w:r w:rsidRPr="002045F5">
              <w:rPr>
                <w:sz w:val="22"/>
                <w:vertAlign w:val="superscript"/>
              </w:rPr>
              <w:t>2</w:t>
            </w:r>
          </w:p>
        </w:tc>
        <w:tc>
          <w:tcPr>
            <w:tcW w:w="1345" w:type="dxa"/>
            <w:gridSpan w:val="2"/>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3000</w:t>
            </w:r>
          </w:p>
        </w:tc>
      </w:tr>
      <w:tr w:rsidR="00507D67" w:rsidRPr="002045F5" w:rsidTr="00507D67">
        <w:trPr>
          <w:trHeight w:val="290"/>
        </w:trPr>
        <w:tc>
          <w:tcPr>
            <w:tcW w:w="80" w:type="dxa"/>
            <w:tcBorders>
              <w:top w:val="nil"/>
              <w:left w:val="nil"/>
              <w:bottom w:val="nil"/>
              <w:right w:val="nil"/>
            </w:tcBorders>
          </w:tcPr>
          <w:p w:rsidR="00507D67" w:rsidRPr="002045F5" w:rsidRDefault="00507D67" w:rsidP="00507D67">
            <w:pPr>
              <w:autoSpaceDE w:val="0"/>
              <w:autoSpaceDN w:val="0"/>
              <w:adjustRightInd w:val="0"/>
              <w:jc w:val="right"/>
              <w:rPr>
                <w:rFonts w:eastAsia="Calibri"/>
                <w:color w:val="000000"/>
                <w:sz w:val="22"/>
              </w:rPr>
            </w:pPr>
          </w:p>
        </w:tc>
        <w:tc>
          <w:tcPr>
            <w:tcW w:w="2644" w:type="dxa"/>
            <w:vMerge/>
            <w:tcBorders>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jc w:val="right"/>
              <w:rPr>
                <w:rFonts w:eastAsia="Calibri"/>
                <w:b/>
                <w:color w:val="000000"/>
                <w:sz w:val="22"/>
              </w:rPr>
            </w:pPr>
          </w:p>
        </w:tc>
        <w:tc>
          <w:tcPr>
            <w:tcW w:w="4185" w:type="dxa"/>
            <w:gridSpan w:val="4"/>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Будівництво пандусу</w:t>
            </w:r>
          </w:p>
        </w:tc>
        <w:tc>
          <w:tcPr>
            <w:tcW w:w="1534"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sz w:val="22"/>
              </w:rPr>
              <w:t>одиниць</w:t>
            </w:r>
          </w:p>
        </w:tc>
        <w:tc>
          <w:tcPr>
            <w:tcW w:w="1345" w:type="dxa"/>
            <w:gridSpan w:val="2"/>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1</w:t>
            </w:r>
          </w:p>
        </w:tc>
      </w:tr>
      <w:tr w:rsidR="00507D67" w:rsidRPr="002045F5" w:rsidTr="00507D67">
        <w:trPr>
          <w:trHeight w:val="290"/>
        </w:trPr>
        <w:tc>
          <w:tcPr>
            <w:tcW w:w="80" w:type="dxa"/>
            <w:tcBorders>
              <w:top w:val="nil"/>
              <w:left w:val="nil"/>
              <w:bottom w:val="nil"/>
              <w:right w:val="nil"/>
            </w:tcBorders>
          </w:tcPr>
          <w:p w:rsidR="00507D67" w:rsidRPr="002045F5" w:rsidRDefault="00507D67" w:rsidP="00507D67">
            <w:pPr>
              <w:autoSpaceDE w:val="0"/>
              <w:autoSpaceDN w:val="0"/>
              <w:adjustRightInd w:val="0"/>
              <w:jc w:val="right"/>
              <w:rPr>
                <w:rFonts w:eastAsia="Calibri"/>
                <w:color w:val="000000"/>
                <w:sz w:val="22"/>
              </w:rPr>
            </w:pPr>
          </w:p>
        </w:tc>
        <w:tc>
          <w:tcPr>
            <w:tcW w:w="2644" w:type="dxa"/>
            <w:vMerge/>
            <w:tcBorders>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jc w:val="right"/>
              <w:rPr>
                <w:rFonts w:eastAsia="Calibri"/>
                <w:b/>
                <w:color w:val="000000"/>
                <w:sz w:val="22"/>
              </w:rPr>
            </w:pPr>
          </w:p>
        </w:tc>
        <w:tc>
          <w:tcPr>
            <w:tcW w:w="4185" w:type="dxa"/>
            <w:gridSpan w:val="4"/>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 xml:space="preserve">Капітальний ремонт ганку </w:t>
            </w:r>
          </w:p>
        </w:tc>
        <w:tc>
          <w:tcPr>
            <w:tcW w:w="1534"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sz w:val="22"/>
              </w:rPr>
              <w:t>одиниць</w:t>
            </w:r>
          </w:p>
        </w:tc>
        <w:tc>
          <w:tcPr>
            <w:tcW w:w="1345" w:type="dxa"/>
            <w:gridSpan w:val="2"/>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1</w:t>
            </w:r>
          </w:p>
        </w:tc>
      </w:tr>
      <w:tr w:rsidR="00507D67" w:rsidRPr="002045F5" w:rsidTr="00507D67">
        <w:trPr>
          <w:trHeight w:val="290"/>
        </w:trPr>
        <w:tc>
          <w:tcPr>
            <w:tcW w:w="80" w:type="dxa"/>
            <w:tcBorders>
              <w:top w:val="nil"/>
              <w:left w:val="nil"/>
              <w:bottom w:val="nil"/>
              <w:right w:val="nil"/>
            </w:tcBorders>
          </w:tcPr>
          <w:p w:rsidR="00507D67" w:rsidRPr="002045F5" w:rsidRDefault="00507D67" w:rsidP="00507D67">
            <w:pPr>
              <w:autoSpaceDE w:val="0"/>
              <w:autoSpaceDN w:val="0"/>
              <w:adjustRightInd w:val="0"/>
              <w:jc w:val="right"/>
              <w:rPr>
                <w:rFonts w:eastAsia="Calibri"/>
                <w:color w:val="000000"/>
                <w:sz w:val="22"/>
              </w:rPr>
            </w:pPr>
          </w:p>
        </w:tc>
        <w:tc>
          <w:tcPr>
            <w:tcW w:w="2644" w:type="dxa"/>
            <w:vMerge/>
            <w:tcBorders>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jc w:val="right"/>
              <w:rPr>
                <w:rFonts w:eastAsia="Calibri"/>
                <w:b/>
                <w:color w:val="000000"/>
                <w:sz w:val="22"/>
              </w:rPr>
            </w:pPr>
          </w:p>
        </w:tc>
        <w:tc>
          <w:tcPr>
            <w:tcW w:w="4185" w:type="dxa"/>
            <w:gridSpan w:val="4"/>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 xml:space="preserve">Утеплення зовнішніх стін будівлі </w:t>
            </w:r>
          </w:p>
        </w:tc>
        <w:tc>
          <w:tcPr>
            <w:tcW w:w="1534"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м</w:t>
            </w:r>
            <w:r w:rsidRPr="002045F5">
              <w:rPr>
                <w:sz w:val="22"/>
                <w:vertAlign w:val="superscript"/>
              </w:rPr>
              <w:t>2</w:t>
            </w:r>
          </w:p>
        </w:tc>
        <w:tc>
          <w:tcPr>
            <w:tcW w:w="1345" w:type="dxa"/>
            <w:gridSpan w:val="2"/>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1791,6</w:t>
            </w:r>
          </w:p>
        </w:tc>
      </w:tr>
      <w:tr w:rsidR="00507D67" w:rsidRPr="002045F5" w:rsidTr="00507D67">
        <w:trPr>
          <w:trHeight w:val="290"/>
        </w:trPr>
        <w:tc>
          <w:tcPr>
            <w:tcW w:w="80" w:type="dxa"/>
            <w:tcBorders>
              <w:top w:val="nil"/>
              <w:left w:val="nil"/>
              <w:bottom w:val="nil"/>
              <w:right w:val="nil"/>
            </w:tcBorders>
          </w:tcPr>
          <w:p w:rsidR="00507D67" w:rsidRPr="002045F5" w:rsidRDefault="00507D67" w:rsidP="00507D67">
            <w:pPr>
              <w:autoSpaceDE w:val="0"/>
              <w:autoSpaceDN w:val="0"/>
              <w:adjustRightInd w:val="0"/>
              <w:jc w:val="right"/>
              <w:rPr>
                <w:rFonts w:eastAsia="Calibri"/>
                <w:color w:val="000000"/>
                <w:sz w:val="22"/>
              </w:rPr>
            </w:pPr>
          </w:p>
        </w:tc>
        <w:tc>
          <w:tcPr>
            <w:tcW w:w="2644" w:type="dxa"/>
            <w:vMerge/>
            <w:tcBorders>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jc w:val="right"/>
              <w:rPr>
                <w:rFonts w:eastAsia="Calibri"/>
                <w:b/>
                <w:color w:val="000000"/>
                <w:sz w:val="22"/>
              </w:rPr>
            </w:pPr>
          </w:p>
        </w:tc>
        <w:tc>
          <w:tcPr>
            <w:tcW w:w="4185" w:type="dxa"/>
            <w:gridSpan w:val="4"/>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 xml:space="preserve">Зовнішнє оздоблення фасаду </w:t>
            </w:r>
          </w:p>
        </w:tc>
        <w:tc>
          <w:tcPr>
            <w:tcW w:w="1534"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м</w:t>
            </w:r>
            <w:r w:rsidRPr="002045F5">
              <w:rPr>
                <w:sz w:val="22"/>
                <w:vertAlign w:val="superscript"/>
              </w:rPr>
              <w:t>2</w:t>
            </w:r>
          </w:p>
        </w:tc>
        <w:tc>
          <w:tcPr>
            <w:tcW w:w="1345" w:type="dxa"/>
            <w:gridSpan w:val="2"/>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1791,6</w:t>
            </w:r>
          </w:p>
        </w:tc>
      </w:tr>
      <w:tr w:rsidR="00507D67" w:rsidRPr="002045F5" w:rsidTr="00507D67">
        <w:trPr>
          <w:trHeight w:val="290"/>
        </w:trPr>
        <w:tc>
          <w:tcPr>
            <w:tcW w:w="80" w:type="dxa"/>
            <w:tcBorders>
              <w:top w:val="nil"/>
              <w:left w:val="nil"/>
              <w:bottom w:val="nil"/>
              <w:right w:val="nil"/>
            </w:tcBorders>
          </w:tcPr>
          <w:p w:rsidR="00507D67" w:rsidRPr="002045F5" w:rsidRDefault="00507D67" w:rsidP="00507D67">
            <w:pPr>
              <w:autoSpaceDE w:val="0"/>
              <w:autoSpaceDN w:val="0"/>
              <w:adjustRightInd w:val="0"/>
              <w:jc w:val="right"/>
              <w:rPr>
                <w:rFonts w:eastAsia="Calibri"/>
                <w:color w:val="000000"/>
                <w:sz w:val="22"/>
              </w:rPr>
            </w:pPr>
          </w:p>
        </w:tc>
        <w:tc>
          <w:tcPr>
            <w:tcW w:w="2644" w:type="dxa"/>
            <w:vMerge/>
            <w:tcBorders>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jc w:val="right"/>
              <w:rPr>
                <w:rFonts w:eastAsia="Calibri"/>
                <w:b/>
                <w:color w:val="000000"/>
                <w:sz w:val="22"/>
              </w:rPr>
            </w:pPr>
          </w:p>
        </w:tc>
        <w:tc>
          <w:tcPr>
            <w:tcW w:w="4185" w:type="dxa"/>
            <w:gridSpan w:val="4"/>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 xml:space="preserve">Заміна віконних та дверних блоків </w:t>
            </w:r>
          </w:p>
        </w:tc>
        <w:tc>
          <w:tcPr>
            <w:tcW w:w="1534"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sz w:val="22"/>
              </w:rPr>
            </w:pPr>
            <w:r w:rsidRPr="002045F5">
              <w:rPr>
                <w:rFonts w:eastAsia="Calibri"/>
                <w:sz w:val="22"/>
              </w:rPr>
              <w:t>одиниць</w:t>
            </w:r>
          </w:p>
          <w:p w:rsidR="00507D67" w:rsidRPr="002045F5" w:rsidRDefault="00507D67" w:rsidP="00507D67">
            <w:pPr>
              <w:autoSpaceDE w:val="0"/>
              <w:autoSpaceDN w:val="0"/>
              <w:adjustRightInd w:val="0"/>
              <w:rPr>
                <w:rFonts w:eastAsia="Calibri"/>
                <w:sz w:val="22"/>
              </w:rPr>
            </w:pPr>
          </w:p>
          <w:p w:rsidR="00507D67" w:rsidRPr="002045F5" w:rsidRDefault="00507D67" w:rsidP="00507D67">
            <w:pPr>
              <w:autoSpaceDE w:val="0"/>
              <w:autoSpaceDN w:val="0"/>
              <w:adjustRightInd w:val="0"/>
              <w:rPr>
                <w:rFonts w:eastAsia="Calibri"/>
                <w:color w:val="000000"/>
                <w:sz w:val="22"/>
              </w:rPr>
            </w:pPr>
            <w:r w:rsidRPr="002045F5">
              <w:rPr>
                <w:rFonts w:eastAsia="Calibri"/>
                <w:sz w:val="22"/>
              </w:rPr>
              <w:t>одиниць</w:t>
            </w:r>
          </w:p>
        </w:tc>
        <w:tc>
          <w:tcPr>
            <w:tcW w:w="1345" w:type="dxa"/>
            <w:gridSpan w:val="2"/>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sz w:val="22"/>
              </w:rPr>
            </w:pPr>
            <w:r w:rsidRPr="002045F5">
              <w:rPr>
                <w:sz w:val="22"/>
              </w:rPr>
              <w:t>120</w:t>
            </w:r>
          </w:p>
          <w:p w:rsidR="00507D67" w:rsidRPr="002045F5" w:rsidRDefault="00507D67" w:rsidP="00507D67">
            <w:pPr>
              <w:autoSpaceDE w:val="0"/>
              <w:autoSpaceDN w:val="0"/>
              <w:adjustRightInd w:val="0"/>
              <w:rPr>
                <w:sz w:val="22"/>
              </w:rPr>
            </w:pPr>
          </w:p>
          <w:p w:rsidR="00507D67" w:rsidRPr="002045F5" w:rsidRDefault="00507D67" w:rsidP="00507D67">
            <w:pPr>
              <w:autoSpaceDE w:val="0"/>
              <w:autoSpaceDN w:val="0"/>
              <w:adjustRightInd w:val="0"/>
              <w:rPr>
                <w:rFonts w:eastAsia="Calibri"/>
                <w:color w:val="000000"/>
                <w:sz w:val="22"/>
              </w:rPr>
            </w:pPr>
            <w:r w:rsidRPr="002045F5">
              <w:rPr>
                <w:sz w:val="22"/>
              </w:rPr>
              <w:t>80</w:t>
            </w:r>
          </w:p>
        </w:tc>
      </w:tr>
      <w:tr w:rsidR="00507D67" w:rsidRPr="002045F5" w:rsidTr="00507D67">
        <w:trPr>
          <w:trHeight w:val="290"/>
        </w:trPr>
        <w:tc>
          <w:tcPr>
            <w:tcW w:w="80" w:type="dxa"/>
            <w:tcBorders>
              <w:top w:val="nil"/>
              <w:left w:val="nil"/>
              <w:bottom w:val="nil"/>
              <w:right w:val="nil"/>
            </w:tcBorders>
          </w:tcPr>
          <w:p w:rsidR="00507D67" w:rsidRPr="002045F5" w:rsidRDefault="00507D67" w:rsidP="00507D67">
            <w:pPr>
              <w:autoSpaceDE w:val="0"/>
              <w:autoSpaceDN w:val="0"/>
              <w:adjustRightInd w:val="0"/>
              <w:jc w:val="right"/>
              <w:rPr>
                <w:rFonts w:eastAsia="Calibri"/>
                <w:color w:val="000000"/>
                <w:sz w:val="22"/>
              </w:rPr>
            </w:pPr>
          </w:p>
        </w:tc>
        <w:tc>
          <w:tcPr>
            <w:tcW w:w="2644" w:type="dxa"/>
            <w:vMerge/>
            <w:tcBorders>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jc w:val="right"/>
              <w:rPr>
                <w:rFonts w:eastAsia="Calibri"/>
                <w:b/>
                <w:color w:val="000000"/>
                <w:sz w:val="22"/>
              </w:rPr>
            </w:pPr>
          </w:p>
        </w:tc>
        <w:tc>
          <w:tcPr>
            <w:tcW w:w="4185" w:type="dxa"/>
            <w:gridSpan w:val="4"/>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Реконструкція зовнішнього освітлення (прожектори)</w:t>
            </w:r>
          </w:p>
        </w:tc>
        <w:tc>
          <w:tcPr>
            <w:tcW w:w="1534"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sz w:val="22"/>
              </w:rPr>
              <w:t>одиниць</w:t>
            </w:r>
          </w:p>
        </w:tc>
        <w:tc>
          <w:tcPr>
            <w:tcW w:w="1345" w:type="dxa"/>
            <w:gridSpan w:val="2"/>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8</w:t>
            </w:r>
          </w:p>
        </w:tc>
      </w:tr>
      <w:tr w:rsidR="00507D67" w:rsidRPr="002045F5" w:rsidTr="00507D67">
        <w:trPr>
          <w:trHeight w:val="290"/>
        </w:trPr>
        <w:tc>
          <w:tcPr>
            <w:tcW w:w="80" w:type="dxa"/>
            <w:tcBorders>
              <w:top w:val="nil"/>
              <w:left w:val="nil"/>
              <w:bottom w:val="nil"/>
              <w:right w:val="nil"/>
            </w:tcBorders>
          </w:tcPr>
          <w:p w:rsidR="00507D67" w:rsidRPr="002045F5" w:rsidRDefault="00507D67" w:rsidP="00507D67">
            <w:pPr>
              <w:autoSpaceDE w:val="0"/>
              <w:autoSpaceDN w:val="0"/>
              <w:adjustRightInd w:val="0"/>
              <w:jc w:val="right"/>
              <w:rPr>
                <w:rFonts w:eastAsia="Calibri"/>
                <w:color w:val="000000"/>
                <w:sz w:val="22"/>
              </w:rPr>
            </w:pPr>
          </w:p>
        </w:tc>
        <w:tc>
          <w:tcPr>
            <w:tcW w:w="2644" w:type="dxa"/>
            <w:tcBorders>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jc w:val="right"/>
              <w:rPr>
                <w:rFonts w:eastAsia="Calibri"/>
                <w:b/>
                <w:color w:val="000000"/>
                <w:sz w:val="22"/>
              </w:rPr>
            </w:pPr>
          </w:p>
        </w:tc>
        <w:tc>
          <w:tcPr>
            <w:tcW w:w="4185" w:type="dxa"/>
            <w:gridSpan w:val="4"/>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Будівництво бомбосховища</w:t>
            </w:r>
            <w:r w:rsidRPr="002045F5">
              <w:rPr>
                <w:rFonts w:eastAsia="Calibri"/>
                <w:color w:val="000000"/>
                <w:sz w:val="22"/>
              </w:rPr>
              <w:tab/>
            </w:r>
          </w:p>
        </w:tc>
        <w:tc>
          <w:tcPr>
            <w:tcW w:w="1534"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vertAlign w:val="superscript"/>
              </w:rPr>
            </w:pPr>
            <w:r w:rsidRPr="002045F5">
              <w:rPr>
                <w:rFonts w:eastAsia="Calibri"/>
                <w:color w:val="000000"/>
                <w:sz w:val="22"/>
              </w:rPr>
              <w:t>м</w:t>
            </w:r>
            <w:r w:rsidRPr="002045F5">
              <w:rPr>
                <w:rFonts w:eastAsia="Calibri"/>
                <w:color w:val="000000"/>
                <w:sz w:val="22"/>
                <w:vertAlign w:val="superscript"/>
              </w:rPr>
              <w:t>2</w:t>
            </w:r>
          </w:p>
        </w:tc>
        <w:tc>
          <w:tcPr>
            <w:tcW w:w="1345" w:type="dxa"/>
            <w:gridSpan w:val="2"/>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sz w:val="22"/>
              </w:rPr>
            </w:pPr>
            <w:r w:rsidRPr="002045F5">
              <w:rPr>
                <w:rFonts w:eastAsia="Calibri"/>
                <w:color w:val="000000"/>
                <w:sz w:val="22"/>
              </w:rPr>
              <w:t>500</w:t>
            </w:r>
          </w:p>
        </w:tc>
      </w:tr>
      <w:tr w:rsidR="00507D67" w:rsidRPr="002045F5" w:rsidTr="00507D67">
        <w:trPr>
          <w:trHeight w:val="553"/>
        </w:trPr>
        <w:tc>
          <w:tcPr>
            <w:tcW w:w="80" w:type="dxa"/>
            <w:tcBorders>
              <w:top w:val="nil"/>
              <w:left w:val="nil"/>
              <w:bottom w:val="nil"/>
              <w:right w:val="nil"/>
            </w:tcBorders>
          </w:tcPr>
          <w:p w:rsidR="00507D67" w:rsidRPr="002045F5" w:rsidRDefault="00507D67" w:rsidP="00507D67">
            <w:pPr>
              <w:autoSpaceDE w:val="0"/>
              <w:autoSpaceDN w:val="0"/>
              <w:adjustRightInd w:val="0"/>
              <w:jc w:val="right"/>
              <w:rPr>
                <w:rFonts w:eastAsia="Calibri"/>
                <w:color w:val="000000"/>
                <w:sz w:val="22"/>
              </w:rPr>
            </w:pPr>
          </w:p>
        </w:tc>
        <w:tc>
          <w:tcPr>
            <w:tcW w:w="264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rPr>
                <w:rFonts w:eastAsia="Calibri"/>
                <w:b/>
                <w:color w:val="000000"/>
                <w:sz w:val="22"/>
              </w:rPr>
            </w:pPr>
            <w:r w:rsidRPr="002045F5">
              <w:rPr>
                <w:rFonts w:eastAsia="Calibri"/>
                <w:b/>
                <w:color w:val="000000"/>
                <w:sz w:val="22"/>
              </w:rPr>
              <w:t>Ключові заходи проекту:</w:t>
            </w:r>
          </w:p>
        </w:tc>
        <w:tc>
          <w:tcPr>
            <w:tcW w:w="7064" w:type="dxa"/>
            <w:gridSpan w:val="7"/>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1. Капітальний ремонт покрівлі;</w:t>
            </w:r>
          </w:p>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2.Капітальний ремонт навчальних кабінетів;</w:t>
            </w:r>
          </w:p>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3.Капітальний ремонт санвузлів та обладнання санвузла для дітей з обмеженими фізичними можливостями;</w:t>
            </w:r>
          </w:p>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4.Ремонт тротуарів;</w:t>
            </w:r>
          </w:p>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5.Будівництво пандусу;</w:t>
            </w:r>
          </w:p>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lastRenderedPageBreak/>
              <w:t>6.Капітальний ремонт ганку;</w:t>
            </w:r>
          </w:p>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 xml:space="preserve">7.Ремонт </w:t>
            </w:r>
            <w:proofErr w:type="spellStart"/>
            <w:r w:rsidRPr="002045F5">
              <w:rPr>
                <w:rFonts w:eastAsia="Calibri"/>
                <w:color w:val="000000"/>
                <w:sz w:val="22"/>
              </w:rPr>
              <w:t>електро</w:t>
            </w:r>
            <w:proofErr w:type="spellEnd"/>
            <w:r w:rsidRPr="002045F5">
              <w:rPr>
                <w:rFonts w:eastAsia="Calibri"/>
                <w:color w:val="000000"/>
                <w:sz w:val="22"/>
              </w:rPr>
              <w:t>-, тепло-, водопостачання та водовідведення;</w:t>
            </w:r>
          </w:p>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8.Утеплення зовнішніх стін будівлі;</w:t>
            </w:r>
          </w:p>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9.Зовнішнє оздоблення фасаду;</w:t>
            </w:r>
          </w:p>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10.Заміна віконних та дверних блоків;</w:t>
            </w:r>
          </w:p>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11.Реконструкція зовнішнього освітлення.</w:t>
            </w:r>
          </w:p>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 xml:space="preserve">12. Розробка </w:t>
            </w:r>
            <w:proofErr w:type="spellStart"/>
            <w:r w:rsidRPr="002045F5">
              <w:rPr>
                <w:rFonts w:eastAsia="Calibri"/>
                <w:color w:val="000000"/>
                <w:sz w:val="22"/>
              </w:rPr>
              <w:t>проєктно</w:t>
            </w:r>
            <w:proofErr w:type="spellEnd"/>
            <w:r w:rsidRPr="002045F5">
              <w:rPr>
                <w:rFonts w:eastAsia="Calibri"/>
                <w:color w:val="000000"/>
                <w:sz w:val="22"/>
              </w:rPr>
              <w:t>-кошторисної документації.</w:t>
            </w:r>
          </w:p>
        </w:tc>
      </w:tr>
      <w:tr w:rsidR="00507D67" w:rsidRPr="002045F5" w:rsidTr="00507D67">
        <w:trPr>
          <w:trHeight w:val="511"/>
        </w:trPr>
        <w:tc>
          <w:tcPr>
            <w:tcW w:w="80" w:type="dxa"/>
            <w:vMerge w:val="restart"/>
            <w:tcBorders>
              <w:top w:val="nil"/>
              <w:left w:val="nil"/>
              <w:right w:val="nil"/>
            </w:tcBorders>
          </w:tcPr>
          <w:p w:rsidR="00507D67" w:rsidRPr="002045F5" w:rsidRDefault="00507D67" w:rsidP="00507D67">
            <w:pPr>
              <w:autoSpaceDE w:val="0"/>
              <w:autoSpaceDN w:val="0"/>
              <w:adjustRightInd w:val="0"/>
              <w:jc w:val="right"/>
              <w:rPr>
                <w:rFonts w:eastAsia="Calibri"/>
                <w:color w:val="000000"/>
                <w:sz w:val="22"/>
              </w:rPr>
            </w:pPr>
          </w:p>
          <w:p w:rsidR="00507D67" w:rsidRPr="002045F5" w:rsidRDefault="00507D67" w:rsidP="00507D67">
            <w:pPr>
              <w:autoSpaceDE w:val="0"/>
              <w:autoSpaceDN w:val="0"/>
              <w:adjustRightInd w:val="0"/>
              <w:jc w:val="right"/>
              <w:rPr>
                <w:rFonts w:eastAsia="Calibri"/>
                <w:color w:val="000000"/>
                <w:sz w:val="22"/>
              </w:rPr>
            </w:pPr>
          </w:p>
          <w:p w:rsidR="00507D67" w:rsidRPr="002045F5" w:rsidRDefault="00507D67" w:rsidP="00507D67">
            <w:pPr>
              <w:autoSpaceDE w:val="0"/>
              <w:autoSpaceDN w:val="0"/>
              <w:adjustRightInd w:val="0"/>
              <w:jc w:val="right"/>
              <w:rPr>
                <w:rFonts w:eastAsia="Calibri"/>
                <w:color w:val="000000"/>
                <w:sz w:val="22"/>
              </w:rPr>
            </w:pPr>
          </w:p>
          <w:p w:rsidR="00507D67" w:rsidRPr="002045F5" w:rsidRDefault="00507D67" w:rsidP="00507D67">
            <w:pPr>
              <w:autoSpaceDE w:val="0"/>
              <w:autoSpaceDN w:val="0"/>
              <w:adjustRightInd w:val="0"/>
              <w:jc w:val="right"/>
              <w:rPr>
                <w:rFonts w:eastAsia="Calibri"/>
                <w:color w:val="000000"/>
                <w:sz w:val="22"/>
              </w:rPr>
            </w:pPr>
          </w:p>
          <w:p w:rsidR="00507D67" w:rsidRPr="002045F5" w:rsidRDefault="00507D67" w:rsidP="00507D67">
            <w:pPr>
              <w:autoSpaceDE w:val="0"/>
              <w:autoSpaceDN w:val="0"/>
              <w:adjustRightInd w:val="0"/>
              <w:jc w:val="right"/>
              <w:rPr>
                <w:rFonts w:eastAsia="Calibri"/>
                <w:color w:val="000000"/>
                <w:sz w:val="22"/>
              </w:rPr>
            </w:pPr>
          </w:p>
          <w:p w:rsidR="00507D67" w:rsidRPr="002045F5" w:rsidRDefault="00507D67" w:rsidP="00507D67">
            <w:pPr>
              <w:autoSpaceDE w:val="0"/>
              <w:autoSpaceDN w:val="0"/>
              <w:adjustRightInd w:val="0"/>
              <w:jc w:val="right"/>
              <w:rPr>
                <w:rFonts w:eastAsia="Calibri"/>
                <w:color w:val="000000"/>
                <w:sz w:val="22"/>
              </w:rPr>
            </w:pPr>
          </w:p>
        </w:tc>
        <w:tc>
          <w:tcPr>
            <w:tcW w:w="2644" w:type="dxa"/>
            <w:vMerge w:val="restart"/>
            <w:tcBorders>
              <w:top w:val="single" w:sz="6" w:space="0" w:color="auto"/>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rPr>
                <w:rFonts w:eastAsia="Calibri"/>
                <w:b/>
                <w:color w:val="000000"/>
                <w:sz w:val="22"/>
              </w:rPr>
            </w:pPr>
            <w:r w:rsidRPr="002045F5">
              <w:rPr>
                <w:rFonts w:eastAsia="Calibri"/>
                <w:b/>
                <w:color w:val="000000"/>
                <w:sz w:val="22"/>
              </w:rPr>
              <w:t>Орієнтовний обсяг та джерела фінансування</w:t>
            </w:r>
          </w:p>
          <w:p w:rsidR="00507D67" w:rsidRPr="002045F5" w:rsidRDefault="00507D67" w:rsidP="00507D67">
            <w:pPr>
              <w:autoSpaceDE w:val="0"/>
              <w:autoSpaceDN w:val="0"/>
              <w:adjustRightInd w:val="0"/>
              <w:rPr>
                <w:rFonts w:eastAsia="Calibri"/>
                <w:b/>
                <w:color w:val="000000"/>
                <w:sz w:val="22"/>
              </w:rPr>
            </w:pPr>
            <w:r w:rsidRPr="002045F5">
              <w:rPr>
                <w:rFonts w:eastAsia="Calibri"/>
                <w:b/>
                <w:color w:val="000000"/>
                <w:sz w:val="22"/>
              </w:rPr>
              <w:t xml:space="preserve"> тис. гривень</w:t>
            </w:r>
          </w:p>
        </w:tc>
        <w:tc>
          <w:tcPr>
            <w:tcW w:w="1349" w:type="dxa"/>
            <w:vMerge w:val="restart"/>
            <w:tcBorders>
              <w:top w:val="single" w:sz="6" w:space="0" w:color="auto"/>
              <w:left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b/>
                <w:color w:val="000000"/>
                <w:sz w:val="22"/>
              </w:rPr>
              <w:t>Державний бюджет</w:t>
            </w:r>
          </w:p>
        </w:tc>
        <w:tc>
          <w:tcPr>
            <w:tcW w:w="1115" w:type="dxa"/>
            <w:vMerge w:val="restart"/>
            <w:tcBorders>
              <w:top w:val="single" w:sz="6" w:space="0" w:color="auto"/>
              <w:left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b/>
                <w:color w:val="000000"/>
                <w:sz w:val="22"/>
              </w:rPr>
              <w:t>Місцевий бюджет</w:t>
            </w:r>
          </w:p>
        </w:tc>
        <w:tc>
          <w:tcPr>
            <w:tcW w:w="3485" w:type="dxa"/>
            <w:gridSpan w:val="4"/>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b/>
                <w:color w:val="000000"/>
                <w:sz w:val="22"/>
              </w:rPr>
              <w:t>Інші джерела</w:t>
            </w:r>
          </w:p>
        </w:tc>
        <w:tc>
          <w:tcPr>
            <w:tcW w:w="1115" w:type="dxa"/>
            <w:vMerge w:val="restart"/>
            <w:tcBorders>
              <w:top w:val="single" w:sz="6" w:space="0" w:color="auto"/>
              <w:left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b/>
                <w:color w:val="000000"/>
                <w:sz w:val="22"/>
              </w:rPr>
              <w:t>Всього</w:t>
            </w:r>
          </w:p>
        </w:tc>
      </w:tr>
      <w:tr w:rsidR="00507D67" w:rsidRPr="002045F5" w:rsidTr="00507D67">
        <w:trPr>
          <w:trHeight w:val="510"/>
        </w:trPr>
        <w:tc>
          <w:tcPr>
            <w:tcW w:w="80" w:type="dxa"/>
            <w:vMerge/>
            <w:tcBorders>
              <w:left w:val="nil"/>
              <w:right w:val="nil"/>
            </w:tcBorders>
          </w:tcPr>
          <w:p w:rsidR="00507D67" w:rsidRPr="002045F5" w:rsidRDefault="00507D67" w:rsidP="00507D67">
            <w:pPr>
              <w:autoSpaceDE w:val="0"/>
              <w:autoSpaceDN w:val="0"/>
              <w:adjustRightInd w:val="0"/>
              <w:jc w:val="right"/>
              <w:rPr>
                <w:rFonts w:eastAsia="Calibri"/>
                <w:color w:val="000000"/>
                <w:sz w:val="22"/>
              </w:rPr>
            </w:pPr>
          </w:p>
        </w:tc>
        <w:tc>
          <w:tcPr>
            <w:tcW w:w="2644" w:type="dxa"/>
            <w:vMerge/>
            <w:tcBorders>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rPr>
                <w:rFonts w:eastAsia="Calibri"/>
                <w:b/>
                <w:color w:val="000000"/>
                <w:sz w:val="22"/>
              </w:rPr>
            </w:pPr>
          </w:p>
        </w:tc>
        <w:tc>
          <w:tcPr>
            <w:tcW w:w="1349" w:type="dxa"/>
            <w:vMerge/>
            <w:tcBorders>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p>
        </w:tc>
        <w:tc>
          <w:tcPr>
            <w:tcW w:w="1115" w:type="dxa"/>
            <w:vMerge/>
            <w:tcBorders>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p>
        </w:tc>
        <w:tc>
          <w:tcPr>
            <w:tcW w:w="976"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b/>
                <w:color w:val="000000"/>
                <w:sz w:val="22"/>
              </w:rPr>
              <w:t>Обсяг</w:t>
            </w:r>
          </w:p>
        </w:tc>
        <w:tc>
          <w:tcPr>
            <w:tcW w:w="2510" w:type="dxa"/>
            <w:gridSpan w:val="3"/>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b/>
                <w:color w:val="000000"/>
                <w:sz w:val="22"/>
              </w:rPr>
              <w:t>Назва джерела</w:t>
            </w:r>
          </w:p>
        </w:tc>
        <w:tc>
          <w:tcPr>
            <w:tcW w:w="1115" w:type="dxa"/>
            <w:vMerge/>
            <w:tcBorders>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p>
        </w:tc>
      </w:tr>
      <w:tr w:rsidR="00507D67" w:rsidRPr="002045F5" w:rsidTr="00507D67">
        <w:trPr>
          <w:trHeight w:val="510"/>
        </w:trPr>
        <w:tc>
          <w:tcPr>
            <w:tcW w:w="80" w:type="dxa"/>
            <w:vMerge/>
            <w:tcBorders>
              <w:left w:val="nil"/>
              <w:bottom w:val="nil"/>
              <w:right w:val="nil"/>
            </w:tcBorders>
          </w:tcPr>
          <w:p w:rsidR="00507D67" w:rsidRPr="002045F5" w:rsidRDefault="00507D67" w:rsidP="00507D67">
            <w:pPr>
              <w:autoSpaceDE w:val="0"/>
              <w:autoSpaceDN w:val="0"/>
              <w:adjustRightInd w:val="0"/>
              <w:jc w:val="right"/>
              <w:rPr>
                <w:rFonts w:eastAsia="Calibri"/>
                <w:color w:val="000000"/>
                <w:sz w:val="22"/>
              </w:rPr>
            </w:pPr>
          </w:p>
        </w:tc>
        <w:tc>
          <w:tcPr>
            <w:tcW w:w="2644" w:type="dxa"/>
            <w:vMerge/>
            <w:tcBorders>
              <w:left w:val="single" w:sz="6" w:space="0" w:color="auto"/>
              <w:bottom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rPr>
                <w:rFonts w:eastAsia="Calibri"/>
                <w:b/>
                <w:color w:val="000000"/>
                <w:sz w:val="22"/>
              </w:rPr>
            </w:pPr>
          </w:p>
        </w:tc>
        <w:tc>
          <w:tcPr>
            <w:tcW w:w="1349"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20 000,0</w:t>
            </w:r>
          </w:p>
        </w:tc>
        <w:tc>
          <w:tcPr>
            <w:tcW w:w="1115"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p>
        </w:tc>
        <w:tc>
          <w:tcPr>
            <w:tcW w:w="976"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35 000,0</w:t>
            </w:r>
          </w:p>
        </w:tc>
        <w:tc>
          <w:tcPr>
            <w:tcW w:w="2510" w:type="dxa"/>
            <w:gridSpan w:val="3"/>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гранти, міжнародна технічна допомога, кошти міжнародних організацій, інші залучені кошти, не заборонені чинним законодавством</w:t>
            </w:r>
          </w:p>
        </w:tc>
        <w:tc>
          <w:tcPr>
            <w:tcW w:w="1115"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55 000,0</w:t>
            </w:r>
          </w:p>
        </w:tc>
      </w:tr>
    </w:tbl>
    <w:p w:rsidR="0051104F" w:rsidRPr="002045F5" w:rsidRDefault="0051104F" w:rsidP="00E95FB1">
      <w:pPr>
        <w:rPr>
          <w:sz w:val="22"/>
        </w:rPr>
      </w:pPr>
    </w:p>
    <w:p w:rsidR="00507D67" w:rsidRPr="002045F5" w:rsidRDefault="00507D67" w:rsidP="00E95FB1">
      <w:pPr>
        <w:rPr>
          <w:sz w:val="22"/>
        </w:rPr>
      </w:pPr>
    </w:p>
    <w:p w:rsidR="00507D67" w:rsidRPr="002045F5" w:rsidRDefault="00507D67" w:rsidP="00E95FB1">
      <w:pPr>
        <w:rPr>
          <w:sz w:val="22"/>
        </w:rPr>
      </w:pPr>
    </w:p>
    <w:p w:rsidR="00507D67" w:rsidRPr="002045F5" w:rsidRDefault="00507D67" w:rsidP="00E95FB1">
      <w:pPr>
        <w:rPr>
          <w:sz w:val="22"/>
        </w:rPr>
      </w:pPr>
    </w:p>
    <w:p w:rsidR="00507D67" w:rsidRPr="002045F5" w:rsidRDefault="00507D67" w:rsidP="00E95FB1">
      <w:pPr>
        <w:rPr>
          <w:sz w:val="22"/>
        </w:rPr>
      </w:pPr>
    </w:p>
    <w:p w:rsidR="00507D67" w:rsidRPr="002045F5" w:rsidRDefault="00507D67" w:rsidP="00E95FB1">
      <w:pPr>
        <w:rPr>
          <w:sz w:val="22"/>
        </w:rPr>
      </w:pPr>
    </w:p>
    <w:p w:rsidR="00507D67" w:rsidRPr="002045F5" w:rsidRDefault="00507D67" w:rsidP="00E95FB1">
      <w:pPr>
        <w:rPr>
          <w:sz w:val="22"/>
        </w:rPr>
      </w:pPr>
    </w:p>
    <w:p w:rsidR="00507D67" w:rsidRPr="002045F5" w:rsidRDefault="00507D67" w:rsidP="00E95FB1">
      <w:pPr>
        <w:rPr>
          <w:sz w:val="22"/>
        </w:rPr>
      </w:pPr>
    </w:p>
    <w:p w:rsidR="00507D67" w:rsidRPr="002045F5" w:rsidRDefault="00507D67" w:rsidP="00E95FB1">
      <w:pPr>
        <w:rPr>
          <w:sz w:val="22"/>
        </w:rPr>
      </w:pPr>
    </w:p>
    <w:p w:rsidR="00507D67" w:rsidRPr="002045F5" w:rsidRDefault="00507D67" w:rsidP="00E95FB1">
      <w:pPr>
        <w:rPr>
          <w:sz w:val="22"/>
        </w:rPr>
      </w:pPr>
    </w:p>
    <w:p w:rsidR="00507D67" w:rsidRPr="002045F5" w:rsidRDefault="00507D67" w:rsidP="00E95FB1">
      <w:pPr>
        <w:rPr>
          <w:sz w:val="22"/>
        </w:rPr>
      </w:pPr>
    </w:p>
    <w:tbl>
      <w:tblPr>
        <w:tblpPr w:leftFromText="180" w:rightFromText="180" w:vertAnchor="text" w:horzAnchor="margin" w:tblpXSpec="center" w:tblpY="168"/>
        <w:tblW w:w="9977" w:type="dxa"/>
        <w:tblLayout w:type="fixed"/>
        <w:tblCellMar>
          <w:left w:w="30" w:type="dxa"/>
          <w:right w:w="30" w:type="dxa"/>
        </w:tblCellMar>
        <w:tblLook w:val="0000" w:firstRow="0" w:lastRow="0" w:firstColumn="0" w:lastColumn="0" w:noHBand="0" w:noVBand="0"/>
      </w:tblPr>
      <w:tblGrid>
        <w:gridCol w:w="2977"/>
        <w:gridCol w:w="1306"/>
        <w:gridCol w:w="1276"/>
        <w:gridCol w:w="1134"/>
        <w:gridCol w:w="278"/>
        <w:gridCol w:w="1653"/>
        <w:gridCol w:w="337"/>
        <w:gridCol w:w="1016"/>
      </w:tblGrid>
      <w:tr w:rsidR="00507D67" w:rsidRPr="002045F5" w:rsidTr="00507D67">
        <w:trPr>
          <w:trHeight w:val="519"/>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rPr>
                <w:rFonts w:eastAsia="Calibri"/>
                <w:b/>
                <w:color w:val="000000"/>
                <w:sz w:val="22"/>
              </w:rPr>
            </w:pPr>
            <w:r w:rsidRPr="002045F5">
              <w:rPr>
                <w:rFonts w:eastAsia="Calibri"/>
                <w:b/>
                <w:color w:val="000000"/>
                <w:sz w:val="22"/>
              </w:rPr>
              <w:t>Оперативна ціль/завдання</w:t>
            </w:r>
          </w:p>
        </w:tc>
        <w:tc>
          <w:tcPr>
            <w:tcW w:w="7000" w:type="dxa"/>
            <w:gridSpan w:val="7"/>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color w:val="000000"/>
                <w:sz w:val="22"/>
                <w:shd w:val="clear" w:color="auto" w:fill="FFFFFF"/>
              </w:rPr>
              <w:t xml:space="preserve">Людський розвиток через інновації управління та довіру до влади. Формування сучасного інклюзивного </w:t>
            </w:r>
            <w:proofErr w:type="spellStart"/>
            <w:r w:rsidRPr="002045F5">
              <w:rPr>
                <w:color w:val="000000"/>
                <w:sz w:val="22"/>
                <w:shd w:val="clear" w:color="auto" w:fill="FFFFFF"/>
              </w:rPr>
              <w:t>освітньо</w:t>
            </w:r>
            <w:proofErr w:type="spellEnd"/>
            <w:r w:rsidRPr="002045F5">
              <w:rPr>
                <w:color w:val="000000"/>
                <w:sz w:val="22"/>
                <w:shd w:val="clear" w:color="auto" w:fill="FFFFFF"/>
              </w:rPr>
              <w:t>-культурного та спортивного простору для розвитку</w:t>
            </w:r>
          </w:p>
        </w:tc>
      </w:tr>
      <w:tr w:rsidR="00507D67" w:rsidRPr="002045F5" w:rsidTr="00507D67">
        <w:trPr>
          <w:trHeight w:val="274"/>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rPr>
                <w:rFonts w:eastAsia="Calibri"/>
                <w:b/>
                <w:color w:val="000000"/>
                <w:sz w:val="22"/>
              </w:rPr>
            </w:pPr>
            <w:r w:rsidRPr="002045F5">
              <w:rPr>
                <w:rFonts w:eastAsia="Calibri"/>
                <w:b/>
                <w:color w:val="000000"/>
                <w:sz w:val="22"/>
              </w:rPr>
              <w:t xml:space="preserve">Назва </w:t>
            </w:r>
            <w:proofErr w:type="spellStart"/>
            <w:r w:rsidRPr="002045F5">
              <w:rPr>
                <w:rFonts w:eastAsia="Calibri"/>
                <w:b/>
                <w:color w:val="000000"/>
                <w:sz w:val="22"/>
              </w:rPr>
              <w:t>проєкту</w:t>
            </w:r>
            <w:proofErr w:type="spellEnd"/>
            <w:r w:rsidRPr="002045F5">
              <w:rPr>
                <w:rFonts w:eastAsia="Calibri"/>
                <w:b/>
                <w:color w:val="000000"/>
                <w:sz w:val="22"/>
              </w:rPr>
              <w:t>:</w:t>
            </w:r>
          </w:p>
        </w:tc>
        <w:tc>
          <w:tcPr>
            <w:tcW w:w="7000" w:type="dxa"/>
            <w:gridSpan w:val="7"/>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Відновлення діяльності Сєвєродонецького міського Центру дитячої та юнацької творчості, вулиця Гагаріна</w:t>
            </w:r>
            <w:r w:rsidR="005B3AF2" w:rsidRPr="002045F5">
              <w:rPr>
                <w:sz w:val="22"/>
              </w:rPr>
              <w:t>,</w:t>
            </w:r>
            <w:r w:rsidRPr="002045F5">
              <w:rPr>
                <w:sz w:val="22"/>
              </w:rPr>
              <w:t xml:space="preserve"> 101-Б, м. Сєвєродонецьк, Луганська область</w:t>
            </w:r>
          </w:p>
        </w:tc>
      </w:tr>
      <w:tr w:rsidR="00507D67" w:rsidRPr="002045F5" w:rsidTr="00507D67">
        <w:trPr>
          <w:trHeight w:val="1016"/>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rPr>
                <w:rFonts w:eastAsia="Calibri"/>
                <w:b/>
                <w:color w:val="000000"/>
                <w:sz w:val="22"/>
              </w:rPr>
            </w:pPr>
            <w:r w:rsidRPr="002045F5">
              <w:rPr>
                <w:rFonts w:eastAsia="Calibri"/>
                <w:b/>
                <w:color w:val="000000"/>
                <w:sz w:val="22"/>
              </w:rPr>
              <w:t xml:space="preserve">Ціль </w:t>
            </w:r>
            <w:proofErr w:type="spellStart"/>
            <w:r w:rsidRPr="002045F5">
              <w:rPr>
                <w:rFonts w:eastAsia="Calibri"/>
                <w:b/>
                <w:color w:val="000000"/>
                <w:sz w:val="22"/>
              </w:rPr>
              <w:t>проєкту</w:t>
            </w:r>
            <w:proofErr w:type="spellEnd"/>
          </w:p>
        </w:tc>
        <w:tc>
          <w:tcPr>
            <w:tcW w:w="7000" w:type="dxa"/>
            <w:gridSpan w:val="7"/>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 xml:space="preserve">Оновлення матеріально-технічної бази закладу, яка дасть можливість створити у Сєвєродонецькій міській територіальній громаді  сприятливі умови для виховання дітей, молоді та громади через сформовану систему моральних цінностей, здобуття знань, умінь, навиків з позашкільної освіти; розвинути потенціал дітей та  молоді; пошук, підтримка та стимулювання </w:t>
            </w:r>
            <w:proofErr w:type="spellStart"/>
            <w:r w:rsidRPr="002045F5">
              <w:rPr>
                <w:sz w:val="22"/>
              </w:rPr>
              <w:t>інтелектуально</w:t>
            </w:r>
            <w:proofErr w:type="spellEnd"/>
            <w:r w:rsidRPr="002045F5">
              <w:rPr>
                <w:sz w:val="22"/>
              </w:rPr>
              <w:t xml:space="preserve"> обдарованих дітей та молоді, допрофесійної підготовки учнівської молоді; формування </w:t>
            </w:r>
            <w:proofErr w:type="spellStart"/>
            <w:r w:rsidRPr="002045F5">
              <w:rPr>
                <w:sz w:val="22"/>
              </w:rPr>
              <w:t>компетентностей</w:t>
            </w:r>
            <w:proofErr w:type="spellEnd"/>
            <w:r w:rsidRPr="002045F5">
              <w:rPr>
                <w:sz w:val="22"/>
              </w:rPr>
              <w:t xml:space="preserve"> у дітей та молоді; самореалізація творчої особистості в сучасному суспільстві; пізнання історії краю, звичаїв, традицій українського народу. Враховуючи багатофункціональність позашкільної освіти, її надання  може здійснюватися Сєверодонецьким міським Центром дитячої та юнацької творчості для різних верст</w:t>
            </w:r>
            <w:r w:rsidR="007D0780" w:rsidRPr="002045F5">
              <w:rPr>
                <w:sz w:val="22"/>
              </w:rPr>
              <w:t>в</w:t>
            </w:r>
            <w:r w:rsidRPr="002045F5">
              <w:rPr>
                <w:sz w:val="22"/>
              </w:rPr>
              <w:t xml:space="preserve"> населення.</w:t>
            </w:r>
          </w:p>
        </w:tc>
      </w:tr>
      <w:tr w:rsidR="00507D67" w:rsidRPr="002045F5" w:rsidTr="00507D67">
        <w:trPr>
          <w:trHeight w:val="274"/>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rPr>
                <w:rFonts w:eastAsia="Calibri"/>
                <w:b/>
                <w:color w:val="000000"/>
                <w:sz w:val="22"/>
              </w:rPr>
            </w:pPr>
            <w:r w:rsidRPr="002045F5">
              <w:rPr>
                <w:rFonts w:eastAsia="Calibri"/>
                <w:b/>
                <w:color w:val="000000"/>
                <w:sz w:val="22"/>
              </w:rPr>
              <w:t>Територія, на яку матиме вплив реалізація проекту</w:t>
            </w:r>
          </w:p>
        </w:tc>
        <w:tc>
          <w:tcPr>
            <w:tcW w:w="7000" w:type="dxa"/>
            <w:gridSpan w:val="7"/>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Сєвєродонецька міська територіальна громада</w:t>
            </w:r>
          </w:p>
        </w:tc>
      </w:tr>
      <w:tr w:rsidR="00507D67" w:rsidRPr="002045F5" w:rsidTr="00507D67">
        <w:trPr>
          <w:trHeight w:val="549"/>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rPr>
                <w:rFonts w:eastAsia="Calibri"/>
                <w:b/>
                <w:color w:val="000000"/>
                <w:sz w:val="22"/>
              </w:rPr>
            </w:pPr>
            <w:r w:rsidRPr="002045F5">
              <w:rPr>
                <w:rFonts w:eastAsia="Calibri"/>
                <w:b/>
                <w:color w:val="000000"/>
                <w:sz w:val="22"/>
              </w:rPr>
              <w:t xml:space="preserve">Чисельність населення, на яке матиме вплив реалізація </w:t>
            </w:r>
            <w:proofErr w:type="spellStart"/>
            <w:r w:rsidRPr="002045F5">
              <w:rPr>
                <w:rFonts w:eastAsia="Calibri"/>
                <w:b/>
                <w:color w:val="000000"/>
                <w:sz w:val="22"/>
              </w:rPr>
              <w:t>проєкту</w:t>
            </w:r>
            <w:proofErr w:type="spellEnd"/>
          </w:p>
        </w:tc>
        <w:tc>
          <w:tcPr>
            <w:tcW w:w="7000" w:type="dxa"/>
            <w:gridSpan w:val="7"/>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70 000  осіб.</w:t>
            </w:r>
          </w:p>
        </w:tc>
      </w:tr>
      <w:tr w:rsidR="00507D67" w:rsidRPr="002045F5" w:rsidTr="00507D67">
        <w:trPr>
          <w:trHeight w:val="1157"/>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rPr>
                <w:rFonts w:eastAsia="Calibri"/>
                <w:b/>
                <w:color w:val="000000"/>
                <w:sz w:val="22"/>
              </w:rPr>
            </w:pPr>
            <w:r w:rsidRPr="002045F5">
              <w:rPr>
                <w:rFonts w:eastAsia="Calibri"/>
                <w:b/>
                <w:color w:val="000000"/>
                <w:sz w:val="22"/>
              </w:rPr>
              <w:lastRenderedPageBreak/>
              <w:t xml:space="preserve">Опис проблеми, на вирішення якої спрямований </w:t>
            </w:r>
            <w:proofErr w:type="spellStart"/>
            <w:r w:rsidRPr="002045F5">
              <w:rPr>
                <w:rFonts w:eastAsia="Calibri"/>
                <w:b/>
                <w:color w:val="000000"/>
                <w:sz w:val="22"/>
              </w:rPr>
              <w:t>проєкт</w:t>
            </w:r>
            <w:proofErr w:type="spellEnd"/>
          </w:p>
        </w:tc>
        <w:tc>
          <w:tcPr>
            <w:tcW w:w="7000" w:type="dxa"/>
            <w:gridSpan w:val="7"/>
            <w:tcBorders>
              <w:top w:val="single" w:sz="6" w:space="0" w:color="auto"/>
              <w:left w:val="single" w:sz="6" w:space="0" w:color="auto"/>
              <w:bottom w:val="single" w:sz="6" w:space="0" w:color="auto"/>
              <w:right w:val="single" w:sz="6" w:space="0" w:color="auto"/>
            </w:tcBorders>
          </w:tcPr>
          <w:p w:rsidR="00507D67" w:rsidRPr="002045F5" w:rsidRDefault="00507D67" w:rsidP="00507D67">
            <w:pPr>
              <w:shd w:val="clear" w:color="auto" w:fill="FFFFFF"/>
              <w:rPr>
                <w:sz w:val="22"/>
              </w:rPr>
            </w:pPr>
            <w:r w:rsidRPr="002045F5">
              <w:rPr>
                <w:sz w:val="22"/>
              </w:rPr>
              <w:t xml:space="preserve">Сєвєродонецький міський Центр дитячої та юнацької творчості знаходиться у пристосованому приміщенні колишнього дитячого садка, який був введений в експлуатацію у 1975 році. У 2022 році під час  вторгнення </w:t>
            </w:r>
            <w:r w:rsidR="004F76D7" w:rsidRPr="002045F5">
              <w:rPr>
                <w:sz w:val="22"/>
              </w:rPr>
              <w:t xml:space="preserve"> РФ </w:t>
            </w:r>
            <w:r w:rsidRPr="002045F5">
              <w:rPr>
                <w:sz w:val="22"/>
              </w:rPr>
              <w:t xml:space="preserve">в Україну та активних бойових дій матеріально-технічна база закладу була повністю втрачена. </w:t>
            </w:r>
          </w:p>
          <w:p w:rsidR="00507D67" w:rsidRPr="002045F5" w:rsidRDefault="00507D67" w:rsidP="00507D67">
            <w:pPr>
              <w:autoSpaceDE w:val="0"/>
              <w:autoSpaceDN w:val="0"/>
              <w:adjustRightInd w:val="0"/>
              <w:rPr>
                <w:sz w:val="22"/>
              </w:rPr>
            </w:pPr>
            <w:r w:rsidRPr="002045F5">
              <w:rPr>
                <w:sz w:val="22"/>
              </w:rPr>
              <w:t>Оновити матеріально-технічну базу закладу, яка дасть змогу:</w:t>
            </w:r>
          </w:p>
          <w:p w:rsidR="00507D67" w:rsidRPr="002045F5" w:rsidRDefault="00507D67" w:rsidP="00507D67">
            <w:pPr>
              <w:autoSpaceDE w:val="0"/>
              <w:autoSpaceDN w:val="0"/>
              <w:adjustRightInd w:val="0"/>
              <w:rPr>
                <w:sz w:val="22"/>
              </w:rPr>
            </w:pPr>
            <w:r w:rsidRPr="002045F5">
              <w:rPr>
                <w:sz w:val="22"/>
              </w:rPr>
              <w:t xml:space="preserve">- удосконалити мережу  СМ ЦДЮТ з урахуванням  потреб  новоствореної громади, суспільних запитів і державних вимог; </w:t>
            </w:r>
          </w:p>
          <w:p w:rsidR="00507D67" w:rsidRPr="002045F5" w:rsidRDefault="00507D67" w:rsidP="00507D67">
            <w:pPr>
              <w:autoSpaceDE w:val="0"/>
              <w:autoSpaceDN w:val="0"/>
              <w:adjustRightInd w:val="0"/>
              <w:rPr>
                <w:sz w:val="22"/>
              </w:rPr>
            </w:pPr>
            <w:r w:rsidRPr="002045F5">
              <w:rPr>
                <w:sz w:val="22"/>
              </w:rPr>
              <w:t xml:space="preserve">- забезпечити реалізацію права кожного на  позашкільну освіту; </w:t>
            </w:r>
          </w:p>
          <w:p w:rsidR="00507D67" w:rsidRPr="002045F5" w:rsidRDefault="00507D67" w:rsidP="00507D67">
            <w:pPr>
              <w:autoSpaceDE w:val="0"/>
              <w:autoSpaceDN w:val="0"/>
              <w:adjustRightInd w:val="0"/>
              <w:rPr>
                <w:sz w:val="22"/>
              </w:rPr>
            </w:pPr>
            <w:r w:rsidRPr="002045F5">
              <w:rPr>
                <w:sz w:val="22"/>
              </w:rPr>
              <w:t xml:space="preserve">- створити цілісну розвивальну  систему цілеспрямованого, організованого, гнучкого, планомірного та систематичного </w:t>
            </w:r>
            <w:proofErr w:type="spellStart"/>
            <w:r w:rsidRPr="002045F5">
              <w:rPr>
                <w:sz w:val="22"/>
              </w:rPr>
              <w:t>освітньо</w:t>
            </w:r>
            <w:proofErr w:type="spellEnd"/>
            <w:r w:rsidRPr="002045F5">
              <w:rPr>
                <w:sz w:val="22"/>
              </w:rPr>
              <w:t xml:space="preserve">-виховного, культурно-просвітницького,  </w:t>
            </w:r>
            <w:proofErr w:type="spellStart"/>
            <w:r w:rsidRPr="002045F5">
              <w:rPr>
                <w:sz w:val="22"/>
              </w:rPr>
              <w:t>дозвіллєво</w:t>
            </w:r>
            <w:proofErr w:type="spellEnd"/>
            <w:r w:rsidRPr="002045F5">
              <w:rPr>
                <w:sz w:val="22"/>
              </w:rPr>
              <w:t xml:space="preserve">-оздоровчого процесу, який  передбачає не тільки організацію творчої праці педагогів, а й враховує психолого-педагогічні особливості сучасних здобувачів освіти, складність і неоднозначність їх внутрішнього світу, взаємодію і спільну діяльність, сприяє оволодінню знаннями  національно- патріотичного напряму, набуттю умінь та навичок, які надійно забезпечують активізацію та соціалізацію дитини, пізнання себе як особистості свого міста, регіону, України як держави; </w:t>
            </w:r>
          </w:p>
          <w:p w:rsidR="00507D67" w:rsidRPr="002045F5" w:rsidRDefault="00507D67" w:rsidP="00507D67">
            <w:pPr>
              <w:autoSpaceDE w:val="0"/>
              <w:autoSpaceDN w:val="0"/>
              <w:adjustRightInd w:val="0"/>
              <w:rPr>
                <w:sz w:val="22"/>
              </w:rPr>
            </w:pPr>
            <w:r w:rsidRPr="002045F5">
              <w:rPr>
                <w:sz w:val="22"/>
              </w:rPr>
              <w:t>- осучаснити зміст, форми, методи і засоби позашкільної освіти  відповідно до потреб Сєвєродонецької міської територіальної громади і сучасних викликів.</w:t>
            </w:r>
          </w:p>
        </w:tc>
      </w:tr>
      <w:tr w:rsidR="00507D67" w:rsidRPr="002045F5" w:rsidTr="00507D67">
        <w:trPr>
          <w:trHeight w:val="499"/>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rPr>
                <w:rFonts w:eastAsia="Calibri"/>
                <w:b/>
                <w:color w:val="000000"/>
                <w:sz w:val="22"/>
              </w:rPr>
            </w:pPr>
            <w:r w:rsidRPr="002045F5">
              <w:rPr>
                <w:rFonts w:eastAsia="Calibri"/>
                <w:b/>
                <w:color w:val="000000"/>
                <w:sz w:val="22"/>
              </w:rPr>
              <w:t xml:space="preserve">Очікувані якісні результати від реалізації </w:t>
            </w:r>
            <w:proofErr w:type="spellStart"/>
            <w:r w:rsidRPr="002045F5">
              <w:rPr>
                <w:rFonts w:eastAsia="Calibri"/>
                <w:b/>
                <w:color w:val="000000"/>
                <w:sz w:val="22"/>
              </w:rPr>
              <w:t>проєкту</w:t>
            </w:r>
            <w:proofErr w:type="spellEnd"/>
          </w:p>
        </w:tc>
        <w:tc>
          <w:tcPr>
            <w:tcW w:w="7000" w:type="dxa"/>
            <w:gridSpan w:val="7"/>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sz w:val="22"/>
              </w:rPr>
              <w:t xml:space="preserve">Створення якісного </w:t>
            </w:r>
            <w:proofErr w:type="spellStart"/>
            <w:r w:rsidRPr="002045F5">
              <w:rPr>
                <w:rFonts w:eastAsia="Calibri"/>
                <w:sz w:val="22"/>
              </w:rPr>
              <w:t>освітньо</w:t>
            </w:r>
            <w:proofErr w:type="spellEnd"/>
            <w:r w:rsidRPr="002045F5">
              <w:rPr>
                <w:rFonts w:eastAsia="Calibri"/>
                <w:sz w:val="22"/>
              </w:rPr>
              <w:t>-культурного простору в Сєвєродонецькій міській територіальній громаді за допомогою надання послуг у сфері позашкільної освіти.</w:t>
            </w:r>
            <w:r w:rsidRPr="002045F5">
              <w:rPr>
                <w:sz w:val="22"/>
              </w:rPr>
              <w:t xml:space="preserve"> Стимул до повернення ВПО до громади.</w:t>
            </w:r>
          </w:p>
        </w:tc>
      </w:tr>
      <w:tr w:rsidR="00507D67" w:rsidRPr="002045F5" w:rsidTr="00507D67">
        <w:trPr>
          <w:trHeight w:val="549"/>
        </w:trPr>
        <w:tc>
          <w:tcPr>
            <w:tcW w:w="2977" w:type="dxa"/>
            <w:vMerge w:val="restart"/>
            <w:tcBorders>
              <w:top w:val="single" w:sz="6" w:space="0" w:color="auto"/>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rPr>
                <w:rFonts w:eastAsia="Calibri"/>
                <w:b/>
                <w:color w:val="000000"/>
                <w:sz w:val="22"/>
              </w:rPr>
            </w:pPr>
            <w:r w:rsidRPr="002045F5">
              <w:rPr>
                <w:rFonts w:eastAsia="Calibri"/>
                <w:b/>
                <w:color w:val="000000"/>
                <w:sz w:val="22"/>
              </w:rPr>
              <w:t xml:space="preserve">Очікувані кількісні результати від реалізації </w:t>
            </w:r>
            <w:proofErr w:type="spellStart"/>
            <w:r w:rsidRPr="002045F5">
              <w:rPr>
                <w:rFonts w:eastAsia="Calibri"/>
                <w:b/>
                <w:color w:val="000000"/>
                <w:sz w:val="22"/>
              </w:rPr>
              <w:t>проєкту</w:t>
            </w:r>
            <w:proofErr w:type="spellEnd"/>
            <w:r w:rsidRPr="002045F5">
              <w:rPr>
                <w:rFonts w:eastAsia="Calibri"/>
                <w:b/>
                <w:color w:val="000000"/>
                <w:sz w:val="22"/>
              </w:rPr>
              <w:t xml:space="preserve">  (індикатори)</w:t>
            </w:r>
          </w:p>
        </w:tc>
        <w:tc>
          <w:tcPr>
            <w:tcW w:w="3994" w:type="dxa"/>
            <w:gridSpan w:val="4"/>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b/>
                <w:color w:val="000000"/>
                <w:sz w:val="22"/>
              </w:rPr>
            </w:pPr>
            <w:r w:rsidRPr="002045F5">
              <w:rPr>
                <w:rFonts w:eastAsia="Calibri"/>
                <w:b/>
                <w:color w:val="000000"/>
                <w:sz w:val="22"/>
              </w:rPr>
              <w:t>Найменування показника</w:t>
            </w:r>
          </w:p>
        </w:tc>
        <w:tc>
          <w:tcPr>
            <w:tcW w:w="1653"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b/>
                <w:color w:val="000000"/>
                <w:sz w:val="22"/>
              </w:rPr>
            </w:pPr>
            <w:r w:rsidRPr="002045F5">
              <w:rPr>
                <w:rFonts w:eastAsia="Calibri"/>
                <w:b/>
                <w:color w:val="000000"/>
                <w:sz w:val="22"/>
              </w:rPr>
              <w:t>Одиниця вимірювання</w:t>
            </w:r>
          </w:p>
        </w:tc>
        <w:tc>
          <w:tcPr>
            <w:tcW w:w="1353" w:type="dxa"/>
            <w:gridSpan w:val="2"/>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b/>
                <w:color w:val="000000"/>
                <w:sz w:val="22"/>
              </w:rPr>
            </w:pPr>
            <w:r w:rsidRPr="002045F5">
              <w:rPr>
                <w:rFonts w:eastAsia="Calibri"/>
                <w:b/>
                <w:color w:val="000000"/>
                <w:sz w:val="22"/>
              </w:rPr>
              <w:t>Прогнозне (цільове) значення</w:t>
            </w:r>
          </w:p>
        </w:tc>
      </w:tr>
      <w:tr w:rsidR="00507D67" w:rsidRPr="002045F5" w:rsidTr="00507D67">
        <w:trPr>
          <w:trHeight w:val="274"/>
        </w:trPr>
        <w:tc>
          <w:tcPr>
            <w:tcW w:w="2977" w:type="dxa"/>
            <w:vMerge/>
            <w:tcBorders>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jc w:val="right"/>
              <w:rPr>
                <w:rFonts w:eastAsia="Calibri"/>
                <w:b/>
                <w:color w:val="000000"/>
                <w:sz w:val="22"/>
              </w:rPr>
            </w:pPr>
          </w:p>
        </w:tc>
        <w:tc>
          <w:tcPr>
            <w:tcW w:w="3994" w:type="dxa"/>
            <w:gridSpan w:val="4"/>
            <w:tcBorders>
              <w:top w:val="single" w:sz="6" w:space="0" w:color="auto"/>
              <w:left w:val="single" w:sz="6" w:space="0" w:color="auto"/>
              <w:bottom w:val="single" w:sz="6" w:space="0" w:color="auto"/>
              <w:right w:val="single" w:sz="6" w:space="0" w:color="auto"/>
            </w:tcBorders>
          </w:tcPr>
          <w:p w:rsidR="00507D67" w:rsidRPr="002045F5" w:rsidRDefault="00507D67" w:rsidP="00507D67">
            <w:pPr>
              <w:shd w:val="clear" w:color="auto" w:fill="FFFFFF"/>
              <w:rPr>
                <w:sz w:val="22"/>
                <w:vertAlign w:val="superscript"/>
              </w:rPr>
            </w:pPr>
            <w:r w:rsidRPr="002045F5">
              <w:rPr>
                <w:sz w:val="22"/>
              </w:rPr>
              <w:t>Офісні меблі</w:t>
            </w:r>
          </w:p>
        </w:tc>
        <w:tc>
          <w:tcPr>
            <w:tcW w:w="1653"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sz w:val="22"/>
              </w:rPr>
              <w:t>одиниць</w:t>
            </w:r>
          </w:p>
        </w:tc>
        <w:tc>
          <w:tcPr>
            <w:tcW w:w="1353" w:type="dxa"/>
            <w:gridSpan w:val="2"/>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200</w:t>
            </w:r>
          </w:p>
        </w:tc>
      </w:tr>
      <w:tr w:rsidR="00507D67" w:rsidRPr="002045F5" w:rsidTr="00507D67">
        <w:trPr>
          <w:trHeight w:val="274"/>
        </w:trPr>
        <w:tc>
          <w:tcPr>
            <w:tcW w:w="2977" w:type="dxa"/>
            <w:vMerge/>
            <w:tcBorders>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jc w:val="right"/>
              <w:rPr>
                <w:rFonts w:eastAsia="Calibri"/>
                <w:b/>
                <w:color w:val="000000"/>
                <w:sz w:val="22"/>
              </w:rPr>
            </w:pPr>
          </w:p>
        </w:tc>
        <w:tc>
          <w:tcPr>
            <w:tcW w:w="3994" w:type="dxa"/>
            <w:gridSpan w:val="4"/>
            <w:tcBorders>
              <w:top w:val="single" w:sz="6" w:space="0" w:color="auto"/>
              <w:left w:val="single" w:sz="6" w:space="0" w:color="auto"/>
              <w:bottom w:val="single" w:sz="6" w:space="0" w:color="auto"/>
              <w:right w:val="single" w:sz="6" w:space="0" w:color="auto"/>
            </w:tcBorders>
          </w:tcPr>
          <w:p w:rsidR="00507D67" w:rsidRPr="002045F5" w:rsidRDefault="00507D67" w:rsidP="00507D67">
            <w:pPr>
              <w:shd w:val="clear" w:color="auto" w:fill="FFFFFF"/>
              <w:rPr>
                <w:sz w:val="22"/>
              </w:rPr>
            </w:pPr>
            <w:r w:rsidRPr="002045F5">
              <w:rPr>
                <w:sz w:val="22"/>
              </w:rPr>
              <w:t>Меблі для навчання</w:t>
            </w:r>
          </w:p>
        </w:tc>
        <w:tc>
          <w:tcPr>
            <w:tcW w:w="1653"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sz w:val="22"/>
              </w:rPr>
              <w:t>одиниць</w:t>
            </w:r>
          </w:p>
        </w:tc>
        <w:tc>
          <w:tcPr>
            <w:tcW w:w="1353" w:type="dxa"/>
            <w:gridSpan w:val="2"/>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600</w:t>
            </w:r>
          </w:p>
        </w:tc>
      </w:tr>
      <w:tr w:rsidR="00507D67" w:rsidRPr="002045F5" w:rsidTr="00507D67">
        <w:trPr>
          <w:trHeight w:val="274"/>
        </w:trPr>
        <w:tc>
          <w:tcPr>
            <w:tcW w:w="2977" w:type="dxa"/>
            <w:vMerge/>
            <w:tcBorders>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jc w:val="right"/>
              <w:rPr>
                <w:rFonts w:eastAsia="Calibri"/>
                <w:b/>
                <w:color w:val="000000"/>
                <w:sz w:val="22"/>
              </w:rPr>
            </w:pPr>
          </w:p>
        </w:tc>
        <w:tc>
          <w:tcPr>
            <w:tcW w:w="3994" w:type="dxa"/>
            <w:gridSpan w:val="4"/>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Ноутбуки</w:t>
            </w:r>
          </w:p>
        </w:tc>
        <w:tc>
          <w:tcPr>
            <w:tcW w:w="1653"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sz w:val="22"/>
              </w:rPr>
              <w:t>одиниць</w:t>
            </w:r>
          </w:p>
        </w:tc>
        <w:tc>
          <w:tcPr>
            <w:tcW w:w="1353" w:type="dxa"/>
            <w:gridSpan w:val="2"/>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20</w:t>
            </w:r>
          </w:p>
        </w:tc>
      </w:tr>
      <w:tr w:rsidR="00507D67" w:rsidRPr="002045F5" w:rsidTr="00507D67">
        <w:trPr>
          <w:trHeight w:val="274"/>
        </w:trPr>
        <w:tc>
          <w:tcPr>
            <w:tcW w:w="2977" w:type="dxa"/>
            <w:vMerge/>
            <w:tcBorders>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jc w:val="right"/>
              <w:rPr>
                <w:rFonts w:eastAsia="Calibri"/>
                <w:b/>
                <w:color w:val="000000"/>
                <w:sz w:val="22"/>
              </w:rPr>
            </w:pPr>
          </w:p>
        </w:tc>
        <w:tc>
          <w:tcPr>
            <w:tcW w:w="3994" w:type="dxa"/>
            <w:gridSpan w:val="4"/>
            <w:tcBorders>
              <w:top w:val="single" w:sz="6" w:space="0" w:color="auto"/>
              <w:left w:val="single" w:sz="6" w:space="0" w:color="auto"/>
              <w:bottom w:val="single" w:sz="6" w:space="0" w:color="auto"/>
              <w:right w:val="single" w:sz="6" w:space="0" w:color="auto"/>
            </w:tcBorders>
          </w:tcPr>
          <w:p w:rsidR="00507D67" w:rsidRPr="002045F5" w:rsidRDefault="00507D67" w:rsidP="004F76D7">
            <w:pPr>
              <w:autoSpaceDE w:val="0"/>
              <w:autoSpaceDN w:val="0"/>
              <w:adjustRightInd w:val="0"/>
              <w:jc w:val="left"/>
              <w:rPr>
                <w:rFonts w:eastAsia="Calibri"/>
                <w:color w:val="000000"/>
                <w:sz w:val="22"/>
              </w:rPr>
            </w:pPr>
            <w:r w:rsidRPr="002045F5">
              <w:rPr>
                <w:sz w:val="22"/>
              </w:rPr>
              <w:t xml:space="preserve">Офісна техніка (багатофункціональний пристрій, монітор, системний блок, широкоформатний </w:t>
            </w:r>
            <w:proofErr w:type="spellStart"/>
            <w:r w:rsidRPr="002045F5">
              <w:rPr>
                <w:sz w:val="22"/>
              </w:rPr>
              <w:t>ультракороткофокусний</w:t>
            </w:r>
            <w:proofErr w:type="spellEnd"/>
            <w:r w:rsidRPr="002045F5">
              <w:rPr>
                <w:sz w:val="22"/>
              </w:rPr>
              <w:t xml:space="preserve"> проектор, комп’ютерна фурнітура) </w:t>
            </w:r>
          </w:p>
        </w:tc>
        <w:tc>
          <w:tcPr>
            <w:tcW w:w="1653"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sz w:val="22"/>
              </w:rPr>
              <w:t>одиниць</w:t>
            </w:r>
          </w:p>
        </w:tc>
        <w:tc>
          <w:tcPr>
            <w:tcW w:w="1353" w:type="dxa"/>
            <w:gridSpan w:val="2"/>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30</w:t>
            </w:r>
          </w:p>
        </w:tc>
      </w:tr>
      <w:tr w:rsidR="00507D67" w:rsidRPr="002045F5" w:rsidTr="00507D67">
        <w:trPr>
          <w:trHeight w:val="274"/>
        </w:trPr>
        <w:tc>
          <w:tcPr>
            <w:tcW w:w="2977" w:type="dxa"/>
            <w:vMerge/>
            <w:tcBorders>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jc w:val="right"/>
              <w:rPr>
                <w:rFonts w:eastAsia="Calibri"/>
                <w:b/>
                <w:color w:val="000000"/>
                <w:sz w:val="22"/>
              </w:rPr>
            </w:pPr>
          </w:p>
        </w:tc>
        <w:tc>
          <w:tcPr>
            <w:tcW w:w="3994" w:type="dxa"/>
            <w:gridSpan w:val="4"/>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Інтерактивна дошка</w:t>
            </w:r>
          </w:p>
        </w:tc>
        <w:tc>
          <w:tcPr>
            <w:tcW w:w="1653"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sz w:val="22"/>
              </w:rPr>
              <w:t>одиниць</w:t>
            </w:r>
          </w:p>
        </w:tc>
        <w:tc>
          <w:tcPr>
            <w:tcW w:w="1353" w:type="dxa"/>
            <w:gridSpan w:val="2"/>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5</w:t>
            </w:r>
          </w:p>
        </w:tc>
      </w:tr>
      <w:tr w:rsidR="00507D67" w:rsidRPr="002045F5" w:rsidTr="00507D67">
        <w:trPr>
          <w:trHeight w:val="274"/>
        </w:trPr>
        <w:tc>
          <w:tcPr>
            <w:tcW w:w="2977" w:type="dxa"/>
            <w:vMerge/>
            <w:tcBorders>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jc w:val="right"/>
              <w:rPr>
                <w:rFonts w:eastAsia="Calibri"/>
                <w:b/>
                <w:color w:val="000000"/>
                <w:sz w:val="22"/>
              </w:rPr>
            </w:pPr>
          </w:p>
        </w:tc>
        <w:tc>
          <w:tcPr>
            <w:tcW w:w="3994" w:type="dxa"/>
            <w:gridSpan w:val="4"/>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Музичні інструменти та музично-акустичні пристрої (електронне піаніно, домри, труби, баян, мікшер, підсилювач)</w:t>
            </w:r>
          </w:p>
        </w:tc>
        <w:tc>
          <w:tcPr>
            <w:tcW w:w="1653"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sz w:val="22"/>
              </w:rPr>
              <w:t>одиниць</w:t>
            </w:r>
          </w:p>
        </w:tc>
        <w:tc>
          <w:tcPr>
            <w:tcW w:w="1353" w:type="dxa"/>
            <w:gridSpan w:val="2"/>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125</w:t>
            </w:r>
          </w:p>
        </w:tc>
      </w:tr>
      <w:tr w:rsidR="00507D67" w:rsidRPr="002045F5" w:rsidTr="00507D67">
        <w:trPr>
          <w:trHeight w:val="274"/>
        </w:trPr>
        <w:tc>
          <w:tcPr>
            <w:tcW w:w="2977" w:type="dxa"/>
            <w:vMerge/>
            <w:tcBorders>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jc w:val="right"/>
              <w:rPr>
                <w:rFonts w:eastAsia="Calibri"/>
                <w:b/>
                <w:color w:val="000000"/>
                <w:sz w:val="22"/>
              </w:rPr>
            </w:pPr>
          </w:p>
        </w:tc>
        <w:tc>
          <w:tcPr>
            <w:tcW w:w="3994" w:type="dxa"/>
            <w:gridSpan w:val="4"/>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color w:val="000000"/>
                <w:sz w:val="22"/>
              </w:rPr>
              <w:t>Фото-, відеоапаратура</w:t>
            </w:r>
          </w:p>
        </w:tc>
        <w:tc>
          <w:tcPr>
            <w:tcW w:w="1653"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sz w:val="22"/>
              </w:rPr>
              <w:t>одиниць</w:t>
            </w:r>
          </w:p>
        </w:tc>
        <w:tc>
          <w:tcPr>
            <w:tcW w:w="1353" w:type="dxa"/>
            <w:gridSpan w:val="2"/>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5</w:t>
            </w:r>
          </w:p>
        </w:tc>
      </w:tr>
      <w:tr w:rsidR="00507D67" w:rsidRPr="002045F5" w:rsidTr="00507D67">
        <w:trPr>
          <w:trHeight w:val="274"/>
        </w:trPr>
        <w:tc>
          <w:tcPr>
            <w:tcW w:w="2977" w:type="dxa"/>
            <w:vMerge/>
            <w:tcBorders>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jc w:val="right"/>
              <w:rPr>
                <w:rFonts w:eastAsia="Calibri"/>
                <w:b/>
                <w:color w:val="000000"/>
                <w:sz w:val="22"/>
              </w:rPr>
            </w:pPr>
          </w:p>
        </w:tc>
        <w:tc>
          <w:tcPr>
            <w:tcW w:w="3994" w:type="dxa"/>
            <w:gridSpan w:val="4"/>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color w:val="000000"/>
                <w:sz w:val="22"/>
              </w:rPr>
              <w:t xml:space="preserve">Мікрофони та </w:t>
            </w:r>
            <w:proofErr w:type="spellStart"/>
            <w:r w:rsidRPr="002045F5">
              <w:rPr>
                <w:color w:val="000000"/>
                <w:sz w:val="22"/>
              </w:rPr>
              <w:t>стійки</w:t>
            </w:r>
            <w:proofErr w:type="spellEnd"/>
          </w:p>
        </w:tc>
        <w:tc>
          <w:tcPr>
            <w:tcW w:w="1653"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sz w:val="22"/>
              </w:rPr>
              <w:t>одиниць</w:t>
            </w:r>
          </w:p>
        </w:tc>
        <w:tc>
          <w:tcPr>
            <w:tcW w:w="1353" w:type="dxa"/>
            <w:gridSpan w:val="2"/>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20</w:t>
            </w:r>
          </w:p>
        </w:tc>
      </w:tr>
      <w:tr w:rsidR="00507D67" w:rsidRPr="002045F5" w:rsidTr="00507D67">
        <w:trPr>
          <w:trHeight w:val="274"/>
        </w:trPr>
        <w:tc>
          <w:tcPr>
            <w:tcW w:w="2977" w:type="dxa"/>
            <w:tcBorders>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jc w:val="right"/>
              <w:rPr>
                <w:rFonts w:eastAsia="Calibri"/>
                <w:b/>
                <w:color w:val="000000"/>
                <w:sz w:val="22"/>
              </w:rPr>
            </w:pPr>
          </w:p>
        </w:tc>
        <w:tc>
          <w:tcPr>
            <w:tcW w:w="3994" w:type="dxa"/>
            <w:gridSpan w:val="4"/>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Спортивний інвентар</w:t>
            </w:r>
          </w:p>
        </w:tc>
        <w:tc>
          <w:tcPr>
            <w:tcW w:w="1653"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vertAlign w:val="superscript"/>
              </w:rPr>
            </w:pPr>
            <w:r w:rsidRPr="002045F5">
              <w:rPr>
                <w:rFonts w:eastAsia="Calibri"/>
                <w:sz w:val="22"/>
              </w:rPr>
              <w:t>одиниць</w:t>
            </w:r>
          </w:p>
        </w:tc>
        <w:tc>
          <w:tcPr>
            <w:tcW w:w="1353" w:type="dxa"/>
            <w:gridSpan w:val="2"/>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color w:val="000000"/>
                <w:sz w:val="22"/>
              </w:rPr>
            </w:pPr>
            <w:r w:rsidRPr="002045F5">
              <w:rPr>
                <w:color w:val="000000"/>
                <w:sz w:val="22"/>
              </w:rPr>
              <w:t>200</w:t>
            </w:r>
          </w:p>
        </w:tc>
      </w:tr>
      <w:tr w:rsidR="00507D67" w:rsidRPr="002045F5" w:rsidTr="00507D67">
        <w:trPr>
          <w:trHeight w:val="2087"/>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rPr>
                <w:rFonts w:eastAsia="Calibri"/>
                <w:b/>
                <w:color w:val="000000"/>
                <w:sz w:val="22"/>
              </w:rPr>
            </w:pPr>
            <w:r w:rsidRPr="002045F5">
              <w:rPr>
                <w:rFonts w:eastAsia="Calibri"/>
                <w:b/>
                <w:color w:val="000000"/>
                <w:sz w:val="22"/>
              </w:rPr>
              <w:t xml:space="preserve">Ключові заходи </w:t>
            </w:r>
            <w:proofErr w:type="spellStart"/>
            <w:r w:rsidRPr="002045F5">
              <w:rPr>
                <w:rFonts w:eastAsia="Calibri"/>
                <w:b/>
                <w:color w:val="000000"/>
                <w:sz w:val="22"/>
              </w:rPr>
              <w:t>проєкту</w:t>
            </w:r>
            <w:proofErr w:type="spellEnd"/>
            <w:r w:rsidRPr="002045F5">
              <w:rPr>
                <w:rFonts w:eastAsia="Calibri"/>
                <w:b/>
                <w:color w:val="000000"/>
                <w:sz w:val="22"/>
              </w:rPr>
              <w:t>:</w:t>
            </w:r>
          </w:p>
          <w:p w:rsidR="00507D67" w:rsidRPr="002045F5" w:rsidRDefault="00507D67" w:rsidP="00507D67">
            <w:pPr>
              <w:autoSpaceDE w:val="0"/>
              <w:autoSpaceDN w:val="0"/>
              <w:adjustRightInd w:val="0"/>
              <w:rPr>
                <w:rFonts w:eastAsia="Calibri"/>
                <w:b/>
                <w:color w:val="000000"/>
                <w:sz w:val="22"/>
              </w:rPr>
            </w:pPr>
          </w:p>
          <w:p w:rsidR="00507D67" w:rsidRPr="002045F5" w:rsidRDefault="00507D67" w:rsidP="00507D67">
            <w:pPr>
              <w:autoSpaceDE w:val="0"/>
              <w:autoSpaceDN w:val="0"/>
              <w:adjustRightInd w:val="0"/>
              <w:rPr>
                <w:rFonts w:eastAsia="Calibri"/>
                <w:b/>
                <w:color w:val="000000"/>
                <w:sz w:val="22"/>
              </w:rPr>
            </w:pPr>
          </w:p>
        </w:tc>
        <w:tc>
          <w:tcPr>
            <w:tcW w:w="7000" w:type="dxa"/>
            <w:gridSpan w:val="7"/>
            <w:tcBorders>
              <w:top w:val="single" w:sz="6" w:space="0" w:color="auto"/>
              <w:left w:val="single" w:sz="6" w:space="0" w:color="auto"/>
              <w:bottom w:val="single" w:sz="6" w:space="0" w:color="auto"/>
              <w:right w:val="single" w:sz="6" w:space="0" w:color="auto"/>
            </w:tcBorders>
          </w:tcPr>
          <w:p w:rsidR="00507D67" w:rsidRPr="002045F5" w:rsidRDefault="00507D67" w:rsidP="000303D7">
            <w:pPr>
              <w:numPr>
                <w:ilvl w:val="0"/>
                <w:numId w:val="130"/>
              </w:numPr>
              <w:autoSpaceDE w:val="0"/>
              <w:autoSpaceDN w:val="0"/>
              <w:adjustRightInd w:val="0"/>
              <w:jc w:val="left"/>
              <w:rPr>
                <w:rFonts w:eastAsia="Calibri"/>
                <w:sz w:val="22"/>
              </w:rPr>
            </w:pPr>
            <w:r w:rsidRPr="002045F5">
              <w:rPr>
                <w:rFonts w:eastAsia="Calibri"/>
                <w:sz w:val="22"/>
              </w:rPr>
              <w:t>Надання якісних послуг у сфері позашкільної освіти.</w:t>
            </w:r>
          </w:p>
          <w:p w:rsidR="00507D67" w:rsidRPr="002045F5" w:rsidRDefault="00507D67" w:rsidP="000303D7">
            <w:pPr>
              <w:numPr>
                <w:ilvl w:val="0"/>
                <w:numId w:val="130"/>
              </w:numPr>
              <w:autoSpaceDE w:val="0"/>
              <w:autoSpaceDN w:val="0"/>
              <w:adjustRightInd w:val="0"/>
              <w:jc w:val="left"/>
              <w:rPr>
                <w:rFonts w:eastAsia="Calibri"/>
                <w:sz w:val="22"/>
              </w:rPr>
            </w:pPr>
            <w:r w:rsidRPr="002045F5">
              <w:rPr>
                <w:rFonts w:eastAsia="Calibri"/>
                <w:sz w:val="22"/>
              </w:rPr>
              <w:t>Закуп</w:t>
            </w:r>
            <w:r w:rsidR="004F76D7" w:rsidRPr="002045F5">
              <w:rPr>
                <w:rFonts w:eastAsia="Calibri"/>
                <w:sz w:val="22"/>
              </w:rPr>
              <w:t>івля</w:t>
            </w:r>
            <w:r w:rsidRPr="002045F5">
              <w:rPr>
                <w:rFonts w:eastAsia="Calibri"/>
                <w:sz w:val="22"/>
              </w:rPr>
              <w:t xml:space="preserve"> обладнання, інвентаря для надання якісних освітніх послуг.</w:t>
            </w:r>
          </w:p>
          <w:p w:rsidR="00507D67" w:rsidRPr="002045F5" w:rsidRDefault="00507D67" w:rsidP="00F0240B">
            <w:pPr>
              <w:numPr>
                <w:ilvl w:val="0"/>
                <w:numId w:val="130"/>
              </w:numPr>
              <w:autoSpaceDE w:val="0"/>
              <w:autoSpaceDN w:val="0"/>
              <w:adjustRightInd w:val="0"/>
              <w:jc w:val="left"/>
              <w:rPr>
                <w:rFonts w:eastAsia="Calibri"/>
                <w:sz w:val="22"/>
              </w:rPr>
            </w:pPr>
            <w:r w:rsidRPr="002045F5">
              <w:rPr>
                <w:rFonts w:eastAsia="Calibri"/>
                <w:sz w:val="22"/>
              </w:rPr>
              <w:t xml:space="preserve">Оновлення матеріально-технічної бази закладу, що дасть можливість повноцінно відновити освітній процес у закладі (робота гуртків, студій, клубів та інших творчих об’єднань), а також реалізувати міські </w:t>
            </w:r>
            <w:proofErr w:type="spellStart"/>
            <w:r w:rsidRPr="002045F5">
              <w:rPr>
                <w:rFonts w:eastAsia="Calibri"/>
                <w:sz w:val="22"/>
              </w:rPr>
              <w:t>проєкти</w:t>
            </w:r>
            <w:proofErr w:type="spellEnd"/>
            <w:r w:rsidRPr="002045F5">
              <w:rPr>
                <w:rFonts w:eastAsia="Calibri"/>
                <w:sz w:val="22"/>
              </w:rPr>
              <w:t xml:space="preserve"> національно-патріотичного, художньо-естетичного, гуманітарного, соціально-реабілітаційного та спортивного напрямів роботи. </w:t>
            </w:r>
          </w:p>
        </w:tc>
      </w:tr>
      <w:tr w:rsidR="00507D67" w:rsidRPr="002045F5" w:rsidTr="00507D67">
        <w:trPr>
          <w:trHeight w:val="602"/>
        </w:trPr>
        <w:tc>
          <w:tcPr>
            <w:tcW w:w="2977" w:type="dxa"/>
            <w:vMerge w:val="restart"/>
            <w:tcBorders>
              <w:top w:val="single" w:sz="6" w:space="0" w:color="auto"/>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rPr>
                <w:rFonts w:eastAsia="Calibri"/>
                <w:b/>
                <w:color w:val="000000"/>
                <w:sz w:val="22"/>
              </w:rPr>
            </w:pPr>
            <w:r w:rsidRPr="002045F5">
              <w:rPr>
                <w:rFonts w:eastAsia="Calibri"/>
                <w:b/>
                <w:color w:val="000000"/>
                <w:sz w:val="22"/>
              </w:rPr>
              <w:t>Орієнтовний обсяг та джерела фінансування тис. гривень</w:t>
            </w:r>
          </w:p>
        </w:tc>
        <w:tc>
          <w:tcPr>
            <w:tcW w:w="1306" w:type="dxa"/>
            <w:vMerge w:val="restart"/>
            <w:tcBorders>
              <w:top w:val="single" w:sz="6" w:space="0" w:color="auto"/>
              <w:left w:val="single" w:sz="6" w:space="0" w:color="auto"/>
              <w:right w:val="single" w:sz="6" w:space="0" w:color="auto"/>
            </w:tcBorders>
          </w:tcPr>
          <w:p w:rsidR="00507D67" w:rsidRPr="002045F5" w:rsidRDefault="00507D67" w:rsidP="00507D67">
            <w:pPr>
              <w:autoSpaceDE w:val="0"/>
              <w:autoSpaceDN w:val="0"/>
              <w:adjustRightInd w:val="0"/>
              <w:rPr>
                <w:rFonts w:eastAsia="Calibri"/>
                <w:sz w:val="22"/>
              </w:rPr>
            </w:pPr>
            <w:r w:rsidRPr="002045F5">
              <w:rPr>
                <w:rFonts w:eastAsia="Calibri"/>
                <w:b/>
                <w:color w:val="000000"/>
                <w:sz w:val="22"/>
              </w:rPr>
              <w:t>Державний бюджет</w:t>
            </w:r>
          </w:p>
        </w:tc>
        <w:tc>
          <w:tcPr>
            <w:tcW w:w="1276" w:type="dxa"/>
            <w:vMerge w:val="restart"/>
            <w:tcBorders>
              <w:top w:val="single" w:sz="6" w:space="0" w:color="auto"/>
              <w:left w:val="single" w:sz="6" w:space="0" w:color="auto"/>
              <w:right w:val="single" w:sz="4" w:space="0" w:color="auto"/>
            </w:tcBorders>
          </w:tcPr>
          <w:p w:rsidR="00507D67" w:rsidRPr="002045F5" w:rsidRDefault="00507D67" w:rsidP="00507D67">
            <w:pPr>
              <w:autoSpaceDE w:val="0"/>
              <w:autoSpaceDN w:val="0"/>
              <w:adjustRightInd w:val="0"/>
              <w:rPr>
                <w:rFonts w:eastAsia="Calibri"/>
                <w:sz w:val="22"/>
              </w:rPr>
            </w:pPr>
            <w:r w:rsidRPr="002045F5">
              <w:rPr>
                <w:rFonts w:eastAsia="Calibri"/>
                <w:b/>
                <w:color w:val="000000"/>
                <w:sz w:val="22"/>
              </w:rPr>
              <w:t>Місцевий бюджет</w:t>
            </w:r>
          </w:p>
        </w:tc>
        <w:tc>
          <w:tcPr>
            <w:tcW w:w="3402" w:type="dxa"/>
            <w:gridSpan w:val="4"/>
            <w:tcBorders>
              <w:top w:val="single" w:sz="4" w:space="0" w:color="auto"/>
              <w:left w:val="single" w:sz="4" w:space="0" w:color="auto"/>
              <w:bottom w:val="single" w:sz="4" w:space="0" w:color="auto"/>
              <w:right w:val="single" w:sz="4" w:space="0" w:color="auto"/>
            </w:tcBorders>
          </w:tcPr>
          <w:p w:rsidR="00507D67" w:rsidRPr="002045F5" w:rsidRDefault="00507D67" w:rsidP="00507D67">
            <w:pPr>
              <w:autoSpaceDE w:val="0"/>
              <w:autoSpaceDN w:val="0"/>
              <w:adjustRightInd w:val="0"/>
              <w:jc w:val="center"/>
              <w:rPr>
                <w:rFonts w:eastAsia="Calibri"/>
                <w:b/>
                <w:color w:val="000000"/>
                <w:sz w:val="22"/>
              </w:rPr>
            </w:pPr>
            <w:r w:rsidRPr="002045F5">
              <w:rPr>
                <w:rFonts w:eastAsia="Calibri"/>
                <w:b/>
                <w:color w:val="000000"/>
                <w:sz w:val="22"/>
              </w:rPr>
              <w:t>Інші джерела</w:t>
            </w:r>
          </w:p>
          <w:p w:rsidR="00507D67" w:rsidRPr="002045F5" w:rsidRDefault="00507D67" w:rsidP="00507D67">
            <w:pPr>
              <w:autoSpaceDE w:val="0"/>
              <w:autoSpaceDN w:val="0"/>
              <w:adjustRightInd w:val="0"/>
              <w:ind w:left="720"/>
              <w:rPr>
                <w:rFonts w:eastAsia="Calibri"/>
                <w:sz w:val="22"/>
              </w:rPr>
            </w:pPr>
          </w:p>
        </w:tc>
        <w:tc>
          <w:tcPr>
            <w:tcW w:w="1016" w:type="dxa"/>
            <w:vMerge w:val="restart"/>
            <w:tcBorders>
              <w:top w:val="single" w:sz="4" w:space="0" w:color="auto"/>
              <w:left w:val="single" w:sz="4" w:space="0" w:color="auto"/>
              <w:right w:val="single" w:sz="4" w:space="0" w:color="auto"/>
            </w:tcBorders>
          </w:tcPr>
          <w:p w:rsidR="00507D67" w:rsidRPr="002045F5" w:rsidRDefault="00507D67" w:rsidP="00507D67">
            <w:pPr>
              <w:autoSpaceDE w:val="0"/>
              <w:autoSpaceDN w:val="0"/>
              <w:adjustRightInd w:val="0"/>
              <w:rPr>
                <w:rFonts w:eastAsia="Calibri"/>
                <w:sz w:val="22"/>
              </w:rPr>
            </w:pPr>
            <w:r w:rsidRPr="002045F5">
              <w:rPr>
                <w:rFonts w:eastAsia="Calibri"/>
                <w:b/>
                <w:color w:val="000000"/>
                <w:sz w:val="22"/>
              </w:rPr>
              <w:t>Всього</w:t>
            </w:r>
          </w:p>
        </w:tc>
      </w:tr>
      <w:tr w:rsidR="00507D67" w:rsidRPr="002045F5" w:rsidTr="00507D67">
        <w:trPr>
          <w:trHeight w:val="600"/>
        </w:trPr>
        <w:tc>
          <w:tcPr>
            <w:tcW w:w="2977" w:type="dxa"/>
            <w:vMerge/>
            <w:tcBorders>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rPr>
                <w:rFonts w:eastAsia="Calibri"/>
                <w:b/>
                <w:color w:val="000000"/>
                <w:sz w:val="22"/>
              </w:rPr>
            </w:pPr>
          </w:p>
        </w:tc>
        <w:tc>
          <w:tcPr>
            <w:tcW w:w="1306" w:type="dxa"/>
            <w:vMerge/>
            <w:tcBorders>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ind w:left="720"/>
              <w:rPr>
                <w:rFonts w:eastAsia="Calibri"/>
                <w:sz w:val="22"/>
              </w:rPr>
            </w:pPr>
          </w:p>
        </w:tc>
        <w:tc>
          <w:tcPr>
            <w:tcW w:w="1276" w:type="dxa"/>
            <w:vMerge/>
            <w:tcBorders>
              <w:left w:val="single" w:sz="6" w:space="0" w:color="auto"/>
              <w:bottom w:val="single" w:sz="6" w:space="0" w:color="auto"/>
              <w:right w:val="single" w:sz="4" w:space="0" w:color="auto"/>
            </w:tcBorders>
          </w:tcPr>
          <w:p w:rsidR="00507D67" w:rsidRPr="002045F5" w:rsidRDefault="00507D67" w:rsidP="00507D67">
            <w:pPr>
              <w:autoSpaceDE w:val="0"/>
              <w:autoSpaceDN w:val="0"/>
              <w:adjustRightInd w:val="0"/>
              <w:ind w:left="720"/>
              <w:rPr>
                <w:rFonts w:eastAsia="Calibri"/>
                <w:sz w:val="22"/>
              </w:rPr>
            </w:pPr>
          </w:p>
        </w:tc>
        <w:tc>
          <w:tcPr>
            <w:tcW w:w="1134" w:type="dxa"/>
            <w:tcBorders>
              <w:top w:val="single" w:sz="4" w:space="0" w:color="auto"/>
              <w:left w:val="single" w:sz="4" w:space="0" w:color="auto"/>
              <w:bottom w:val="single" w:sz="4" w:space="0" w:color="auto"/>
              <w:right w:val="single" w:sz="4" w:space="0" w:color="auto"/>
            </w:tcBorders>
          </w:tcPr>
          <w:p w:rsidR="00507D67" w:rsidRPr="002045F5" w:rsidRDefault="00507D67" w:rsidP="00507D67">
            <w:pPr>
              <w:autoSpaceDE w:val="0"/>
              <w:autoSpaceDN w:val="0"/>
              <w:adjustRightInd w:val="0"/>
              <w:rPr>
                <w:rFonts w:eastAsia="Calibri"/>
                <w:sz w:val="22"/>
              </w:rPr>
            </w:pPr>
            <w:r w:rsidRPr="002045F5">
              <w:rPr>
                <w:rFonts w:eastAsia="Calibri"/>
                <w:b/>
                <w:color w:val="000000"/>
                <w:sz w:val="22"/>
              </w:rPr>
              <w:t>Обсяг</w:t>
            </w:r>
          </w:p>
        </w:tc>
        <w:tc>
          <w:tcPr>
            <w:tcW w:w="2268" w:type="dxa"/>
            <w:gridSpan w:val="3"/>
            <w:tcBorders>
              <w:top w:val="single" w:sz="4" w:space="0" w:color="auto"/>
              <w:left w:val="single" w:sz="4" w:space="0" w:color="auto"/>
              <w:bottom w:val="single" w:sz="4" w:space="0" w:color="auto"/>
              <w:right w:val="single" w:sz="4" w:space="0" w:color="auto"/>
            </w:tcBorders>
          </w:tcPr>
          <w:p w:rsidR="00507D67" w:rsidRPr="002045F5" w:rsidRDefault="00507D67" w:rsidP="00507D67">
            <w:pPr>
              <w:autoSpaceDE w:val="0"/>
              <w:autoSpaceDN w:val="0"/>
              <w:adjustRightInd w:val="0"/>
              <w:rPr>
                <w:rFonts w:eastAsia="Calibri"/>
                <w:sz w:val="22"/>
              </w:rPr>
            </w:pPr>
            <w:r w:rsidRPr="002045F5">
              <w:rPr>
                <w:rFonts w:eastAsia="Calibri"/>
                <w:b/>
                <w:color w:val="000000"/>
                <w:sz w:val="22"/>
              </w:rPr>
              <w:t>Назва джерела</w:t>
            </w:r>
          </w:p>
        </w:tc>
        <w:tc>
          <w:tcPr>
            <w:tcW w:w="1016" w:type="dxa"/>
            <w:vMerge/>
            <w:tcBorders>
              <w:left w:val="single" w:sz="4" w:space="0" w:color="auto"/>
              <w:bottom w:val="single" w:sz="4" w:space="0" w:color="auto"/>
              <w:right w:val="single" w:sz="4" w:space="0" w:color="auto"/>
            </w:tcBorders>
          </w:tcPr>
          <w:p w:rsidR="00507D67" w:rsidRPr="002045F5" w:rsidRDefault="00507D67" w:rsidP="00507D67">
            <w:pPr>
              <w:autoSpaceDE w:val="0"/>
              <w:autoSpaceDN w:val="0"/>
              <w:adjustRightInd w:val="0"/>
              <w:ind w:left="720"/>
              <w:rPr>
                <w:rFonts w:eastAsia="Calibri"/>
                <w:sz w:val="22"/>
              </w:rPr>
            </w:pPr>
          </w:p>
        </w:tc>
      </w:tr>
      <w:tr w:rsidR="00507D67" w:rsidRPr="002045F5" w:rsidTr="00507D67">
        <w:trPr>
          <w:trHeight w:val="600"/>
        </w:trPr>
        <w:tc>
          <w:tcPr>
            <w:tcW w:w="2977" w:type="dxa"/>
            <w:vMerge/>
            <w:tcBorders>
              <w:left w:val="single" w:sz="6" w:space="0" w:color="auto"/>
              <w:bottom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rPr>
                <w:rFonts w:eastAsia="Calibri"/>
                <w:b/>
                <w:color w:val="000000"/>
                <w:sz w:val="22"/>
              </w:rPr>
            </w:pPr>
          </w:p>
        </w:tc>
        <w:tc>
          <w:tcPr>
            <w:tcW w:w="1306"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ind w:left="720"/>
              <w:rPr>
                <w:rFonts w:eastAsia="Calibri"/>
                <w:sz w:val="22"/>
              </w:rPr>
            </w:pPr>
          </w:p>
        </w:tc>
        <w:tc>
          <w:tcPr>
            <w:tcW w:w="1276"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ind w:left="720"/>
              <w:rPr>
                <w:rFonts w:eastAsia="Calibri"/>
                <w:sz w:val="22"/>
              </w:rPr>
            </w:pPr>
          </w:p>
        </w:tc>
        <w:tc>
          <w:tcPr>
            <w:tcW w:w="1134" w:type="dxa"/>
            <w:tcBorders>
              <w:top w:val="single" w:sz="4"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sz w:val="22"/>
              </w:rPr>
            </w:pPr>
            <w:r w:rsidRPr="002045F5">
              <w:rPr>
                <w:rFonts w:eastAsia="Calibri"/>
                <w:color w:val="000000"/>
                <w:sz w:val="22"/>
              </w:rPr>
              <w:t>25 000,0</w:t>
            </w:r>
          </w:p>
        </w:tc>
        <w:tc>
          <w:tcPr>
            <w:tcW w:w="2268" w:type="dxa"/>
            <w:gridSpan w:val="3"/>
            <w:tcBorders>
              <w:top w:val="single" w:sz="4"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гранти, міжнародна технічна допомога, кошти міжнародних організацій, інші залучені кошти, не заборонені чинним законодавством</w:t>
            </w:r>
          </w:p>
        </w:tc>
        <w:tc>
          <w:tcPr>
            <w:tcW w:w="1016" w:type="dxa"/>
            <w:tcBorders>
              <w:top w:val="single" w:sz="4"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sz w:val="22"/>
              </w:rPr>
            </w:pPr>
            <w:r w:rsidRPr="002045F5">
              <w:rPr>
                <w:rFonts w:eastAsia="Calibri"/>
                <w:color w:val="000000"/>
                <w:sz w:val="22"/>
              </w:rPr>
              <w:t>25 000,0</w:t>
            </w:r>
          </w:p>
        </w:tc>
      </w:tr>
    </w:tbl>
    <w:p w:rsidR="00507D67" w:rsidRPr="002045F5" w:rsidRDefault="00507D67" w:rsidP="00E95FB1">
      <w:pPr>
        <w:rPr>
          <w:sz w:val="22"/>
        </w:rPr>
      </w:pPr>
    </w:p>
    <w:p w:rsidR="00507D67" w:rsidRPr="002045F5" w:rsidRDefault="00507D67" w:rsidP="00E95FB1">
      <w:pPr>
        <w:rPr>
          <w:sz w:val="22"/>
        </w:rPr>
      </w:pPr>
    </w:p>
    <w:p w:rsidR="00507D67" w:rsidRPr="002045F5" w:rsidRDefault="00507D67" w:rsidP="00E95FB1">
      <w:pPr>
        <w:rPr>
          <w:sz w:val="22"/>
        </w:rPr>
      </w:pPr>
    </w:p>
    <w:p w:rsidR="00507D67" w:rsidRPr="002045F5" w:rsidRDefault="00507D67" w:rsidP="00E95FB1">
      <w:pPr>
        <w:rPr>
          <w:sz w:val="22"/>
        </w:rPr>
      </w:pPr>
    </w:p>
    <w:p w:rsidR="00507D67" w:rsidRPr="002045F5" w:rsidRDefault="00507D67" w:rsidP="00E95FB1">
      <w:pPr>
        <w:rPr>
          <w:sz w:val="22"/>
        </w:rPr>
      </w:pPr>
    </w:p>
    <w:p w:rsidR="00507D67" w:rsidRPr="002045F5" w:rsidRDefault="00507D67" w:rsidP="00E95FB1">
      <w:pPr>
        <w:rPr>
          <w:sz w:val="22"/>
        </w:rPr>
      </w:pPr>
    </w:p>
    <w:tbl>
      <w:tblPr>
        <w:tblpPr w:leftFromText="180" w:rightFromText="180" w:bottomFromText="160" w:vertAnchor="text" w:horzAnchor="margin" w:tblpXSpec="center" w:tblpY="288"/>
        <w:tblW w:w="9923" w:type="dxa"/>
        <w:tblLayout w:type="fixed"/>
        <w:tblCellMar>
          <w:left w:w="30" w:type="dxa"/>
          <w:right w:w="30" w:type="dxa"/>
        </w:tblCellMar>
        <w:tblLook w:val="04A0" w:firstRow="1" w:lastRow="0" w:firstColumn="1" w:lastColumn="0" w:noHBand="0" w:noVBand="1"/>
      </w:tblPr>
      <w:tblGrid>
        <w:gridCol w:w="2865"/>
        <w:gridCol w:w="1784"/>
        <w:gridCol w:w="1275"/>
        <w:gridCol w:w="812"/>
        <w:gridCol w:w="39"/>
        <w:gridCol w:w="1458"/>
        <w:gridCol w:w="651"/>
        <w:gridCol w:w="1039"/>
      </w:tblGrid>
      <w:tr w:rsidR="00283FCD" w:rsidRPr="002045F5" w:rsidTr="00283FCD">
        <w:trPr>
          <w:trHeight w:val="550"/>
        </w:trPr>
        <w:tc>
          <w:tcPr>
            <w:tcW w:w="2865"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283FCD" w:rsidRPr="002045F5" w:rsidRDefault="00283FCD" w:rsidP="00283FCD">
            <w:pPr>
              <w:autoSpaceDE w:val="0"/>
              <w:autoSpaceDN w:val="0"/>
              <w:adjustRightInd w:val="0"/>
              <w:spacing w:line="256" w:lineRule="auto"/>
              <w:rPr>
                <w:rFonts w:eastAsia="Calibri"/>
                <w:b/>
                <w:sz w:val="22"/>
              </w:rPr>
            </w:pPr>
            <w:r w:rsidRPr="002045F5">
              <w:rPr>
                <w:rFonts w:eastAsia="Calibri"/>
                <w:b/>
                <w:sz w:val="22"/>
              </w:rPr>
              <w:t>Оперативна ціль/завдання</w:t>
            </w:r>
          </w:p>
        </w:tc>
        <w:tc>
          <w:tcPr>
            <w:tcW w:w="7058" w:type="dxa"/>
            <w:gridSpan w:val="7"/>
            <w:tcBorders>
              <w:top w:val="single" w:sz="6" w:space="0" w:color="auto"/>
              <w:left w:val="single" w:sz="6" w:space="0" w:color="auto"/>
              <w:bottom w:val="single" w:sz="6" w:space="0" w:color="auto"/>
              <w:right w:val="single" w:sz="6" w:space="0" w:color="auto"/>
            </w:tcBorders>
            <w:hideMark/>
          </w:tcPr>
          <w:p w:rsidR="00283FCD" w:rsidRPr="002045F5" w:rsidRDefault="00283FCD" w:rsidP="00283FCD">
            <w:pPr>
              <w:autoSpaceDE w:val="0"/>
              <w:autoSpaceDN w:val="0"/>
              <w:adjustRightInd w:val="0"/>
              <w:spacing w:line="256" w:lineRule="auto"/>
              <w:rPr>
                <w:rFonts w:eastAsia="Calibri"/>
                <w:sz w:val="22"/>
              </w:rPr>
            </w:pPr>
            <w:r w:rsidRPr="002045F5">
              <w:rPr>
                <w:rFonts w:eastAsia="Calibri"/>
                <w:sz w:val="22"/>
              </w:rPr>
              <w:t xml:space="preserve">Людський розвиток через інновації управління та довіру до влади. Формування сучасного інклюзивного </w:t>
            </w:r>
            <w:proofErr w:type="spellStart"/>
            <w:r w:rsidRPr="002045F5">
              <w:rPr>
                <w:rFonts w:eastAsia="Calibri"/>
                <w:sz w:val="22"/>
              </w:rPr>
              <w:t>освітньо</w:t>
            </w:r>
            <w:proofErr w:type="spellEnd"/>
            <w:r w:rsidRPr="002045F5">
              <w:rPr>
                <w:rFonts w:eastAsia="Calibri"/>
                <w:sz w:val="22"/>
              </w:rPr>
              <w:t>-культурного та спортивного простору для розвитку</w:t>
            </w:r>
          </w:p>
        </w:tc>
      </w:tr>
      <w:tr w:rsidR="00283FCD" w:rsidRPr="002045F5" w:rsidTr="00283FCD">
        <w:trPr>
          <w:trHeight w:val="264"/>
        </w:trPr>
        <w:tc>
          <w:tcPr>
            <w:tcW w:w="2865"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283FCD" w:rsidRPr="002045F5" w:rsidRDefault="00283FCD" w:rsidP="00283FCD">
            <w:pPr>
              <w:autoSpaceDE w:val="0"/>
              <w:autoSpaceDN w:val="0"/>
              <w:adjustRightInd w:val="0"/>
              <w:spacing w:line="256" w:lineRule="auto"/>
              <w:rPr>
                <w:rFonts w:eastAsia="Calibri"/>
                <w:b/>
                <w:color w:val="000000"/>
                <w:sz w:val="22"/>
              </w:rPr>
            </w:pPr>
            <w:r w:rsidRPr="002045F5">
              <w:rPr>
                <w:rFonts w:eastAsia="Calibri"/>
                <w:b/>
                <w:color w:val="000000"/>
                <w:sz w:val="22"/>
              </w:rPr>
              <w:t>Назва проекту:</w:t>
            </w:r>
          </w:p>
        </w:tc>
        <w:tc>
          <w:tcPr>
            <w:tcW w:w="7058" w:type="dxa"/>
            <w:gridSpan w:val="7"/>
            <w:tcBorders>
              <w:top w:val="single" w:sz="6" w:space="0" w:color="auto"/>
              <w:left w:val="single" w:sz="6" w:space="0" w:color="auto"/>
              <w:bottom w:val="single" w:sz="6" w:space="0" w:color="auto"/>
              <w:right w:val="single" w:sz="6" w:space="0" w:color="auto"/>
            </w:tcBorders>
            <w:hideMark/>
          </w:tcPr>
          <w:p w:rsidR="00283FCD" w:rsidRPr="002045F5" w:rsidRDefault="00283FCD" w:rsidP="000410B6">
            <w:pPr>
              <w:autoSpaceDE w:val="0"/>
              <w:autoSpaceDN w:val="0"/>
              <w:adjustRightInd w:val="0"/>
              <w:spacing w:line="256" w:lineRule="auto"/>
              <w:rPr>
                <w:rFonts w:eastAsia="Calibri"/>
                <w:color w:val="FF0000"/>
                <w:sz w:val="22"/>
              </w:rPr>
            </w:pPr>
            <w:r w:rsidRPr="002045F5">
              <w:rPr>
                <w:sz w:val="22"/>
              </w:rPr>
              <w:t xml:space="preserve">Капітальний ремонт Сєвєродонецького міського Центру національно-патріотичного виховання, туризму та краєзнавства учнівської молоді, що знаходиться за </w:t>
            </w:r>
            <w:proofErr w:type="spellStart"/>
            <w:r w:rsidRPr="002045F5">
              <w:rPr>
                <w:sz w:val="22"/>
              </w:rPr>
              <w:t>адресою</w:t>
            </w:r>
            <w:proofErr w:type="spellEnd"/>
            <w:r w:rsidRPr="002045F5">
              <w:rPr>
                <w:sz w:val="22"/>
              </w:rPr>
              <w:t>: проспект Центральний</w:t>
            </w:r>
            <w:r w:rsidR="000410B6" w:rsidRPr="002045F5">
              <w:rPr>
                <w:sz w:val="22"/>
              </w:rPr>
              <w:t>,</w:t>
            </w:r>
            <w:r w:rsidRPr="002045F5">
              <w:rPr>
                <w:sz w:val="22"/>
              </w:rPr>
              <w:t xml:space="preserve"> 54-А  </w:t>
            </w:r>
          </w:p>
        </w:tc>
      </w:tr>
      <w:tr w:rsidR="00283FCD" w:rsidRPr="002045F5" w:rsidTr="00283FCD">
        <w:trPr>
          <w:trHeight w:val="977"/>
        </w:trPr>
        <w:tc>
          <w:tcPr>
            <w:tcW w:w="2865"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283FCD" w:rsidRPr="002045F5" w:rsidRDefault="00283FCD" w:rsidP="00283FCD">
            <w:pPr>
              <w:autoSpaceDE w:val="0"/>
              <w:autoSpaceDN w:val="0"/>
              <w:adjustRightInd w:val="0"/>
              <w:spacing w:line="256" w:lineRule="auto"/>
              <w:rPr>
                <w:rFonts w:eastAsia="Calibri"/>
                <w:b/>
                <w:color w:val="000000"/>
                <w:sz w:val="22"/>
              </w:rPr>
            </w:pPr>
            <w:r w:rsidRPr="002045F5">
              <w:rPr>
                <w:rFonts w:eastAsia="Calibri"/>
                <w:b/>
                <w:color w:val="000000"/>
                <w:sz w:val="22"/>
              </w:rPr>
              <w:t>Ціль проекту</w:t>
            </w:r>
          </w:p>
        </w:tc>
        <w:tc>
          <w:tcPr>
            <w:tcW w:w="7058" w:type="dxa"/>
            <w:gridSpan w:val="7"/>
            <w:tcBorders>
              <w:top w:val="single" w:sz="6" w:space="0" w:color="auto"/>
              <w:left w:val="single" w:sz="6" w:space="0" w:color="auto"/>
              <w:bottom w:val="single" w:sz="6" w:space="0" w:color="auto"/>
              <w:right w:val="single" w:sz="6" w:space="0" w:color="auto"/>
            </w:tcBorders>
            <w:hideMark/>
          </w:tcPr>
          <w:p w:rsidR="00283FCD" w:rsidRPr="002045F5" w:rsidRDefault="00283FCD" w:rsidP="00283FCD">
            <w:pPr>
              <w:autoSpaceDE w:val="0"/>
              <w:autoSpaceDN w:val="0"/>
              <w:adjustRightInd w:val="0"/>
              <w:spacing w:line="256" w:lineRule="auto"/>
              <w:rPr>
                <w:rFonts w:eastAsia="Calibri"/>
                <w:color w:val="000000"/>
                <w:sz w:val="22"/>
              </w:rPr>
            </w:pPr>
            <w:r w:rsidRPr="002045F5">
              <w:rPr>
                <w:sz w:val="22"/>
              </w:rPr>
              <w:t xml:space="preserve">Відновити та покращити роботу Сєвєродонецького міського Центру національно-патріотичного виховання, туризму та краєзнавства учнівської молоді для організації широкого спектру  </w:t>
            </w:r>
            <w:proofErr w:type="spellStart"/>
            <w:r w:rsidRPr="002045F5">
              <w:rPr>
                <w:sz w:val="22"/>
              </w:rPr>
              <w:t>освітньо</w:t>
            </w:r>
            <w:proofErr w:type="spellEnd"/>
            <w:r w:rsidRPr="002045F5">
              <w:rPr>
                <w:sz w:val="22"/>
              </w:rPr>
              <w:t>-виховної, національно-патріотичної, туристично-краєзнавчої, культурно-просвітницької та спортивно-оздоровчої  діяльності,  пов’язаної із задоволення потреб мешканців Сєвєродонецької міської територіальної громади у необхідних послугах  та забезпечення якісного рівня життя.</w:t>
            </w:r>
          </w:p>
        </w:tc>
      </w:tr>
      <w:tr w:rsidR="00283FCD" w:rsidRPr="002045F5" w:rsidTr="00283FCD">
        <w:trPr>
          <w:trHeight w:val="264"/>
        </w:trPr>
        <w:tc>
          <w:tcPr>
            <w:tcW w:w="2865"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283FCD" w:rsidRPr="002045F5" w:rsidRDefault="00283FCD" w:rsidP="00283FCD">
            <w:pPr>
              <w:autoSpaceDE w:val="0"/>
              <w:autoSpaceDN w:val="0"/>
              <w:adjustRightInd w:val="0"/>
              <w:spacing w:line="256" w:lineRule="auto"/>
              <w:rPr>
                <w:rFonts w:eastAsia="Calibri"/>
                <w:b/>
                <w:color w:val="000000"/>
                <w:sz w:val="22"/>
              </w:rPr>
            </w:pPr>
            <w:r w:rsidRPr="002045F5">
              <w:rPr>
                <w:rFonts w:eastAsia="Calibri"/>
                <w:b/>
                <w:color w:val="000000"/>
                <w:sz w:val="22"/>
              </w:rPr>
              <w:t>Територія, на яку матиме вплив реалізація проекту</w:t>
            </w:r>
          </w:p>
        </w:tc>
        <w:tc>
          <w:tcPr>
            <w:tcW w:w="7058" w:type="dxa"/>
            <w:gridSpan w:val="7"/>
            <w:tcBorders>
              <w:top w:val="single" w:sz="6" w:space="0" w:color="auto"/>
              <w:left w:val="single" w:sz="6" w:space="0" w:color="auto"/>
              <w:bottom w:val="single" w:sz="6" w:space="0" w:color="auto"/>
              <w:right w:val="single" w:sz="6" w:space="0" w:color="auto"/>
            </w:tcBorders>
            <w:hideMark/>
          </w:tcPr>
          <w:p w:rsidR="00283FCD" w:rsidRPr="002045F5" w:rsidRDefault="00283FCD" w:rsidP="00283FCD">
            <w:pPr>
              <w:autoSpaceDE w:val="0"/>
              <w:autoSpaceDN w:val="0"/>
              <w:adjustRightInd w:val="0"/>
              <w:spacing w:line="256" w:lineRule="auto"/>
              <w:rPr>
                <w:rFonts w:eastAsia="Calibri"/>
                <w:color w:val="000000"/>
                <w:sz w:val="22"/>
              </w:rPr>
            </w:pPr>
            <w:r w:rsidRPr="002045F5">
              <w:rPr>
                <w:rFonts w:eastAsia="Calibri"/>
                <w:color w:val="000000"/>
                <w:sz w:val="22"/>
              </w:rPr>
              <w:t>Сєвєродонецька міська територіальна громада</w:t>
            </w:r>
          </w:p>
        </w:tc>
      </w:tr>
      <w:tr w:rsidR="00283FCD" w:rsidRPr="002045F5" w:rsidTr="00283FCD">
        <w:trPr>
          <w:trHeight w:val="256"/>
        </w:trPr>
        <w:tc>
          <w:tcPr>
            <w:tcW w:w="2865"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283FCD" w:rsidRPr="002045F5" w:rsidRDefault="00283FCD" w:rsidP="00283FCD">
            <w:pPr>
              <w:autoSpaceDE w:val="0"/>
              <w:autoSpaceDN w:val="0"/>
              <w:adjustRightInd w:val="0"/>
              <w:spacing w:line="256" w:lineRule="auto"/>
              <w:rPr>
                <w:rFonts w:eastAsia="Calibri"/>
                <w:b/>
                <w:color w:val="000000"/>
                <w:sz w:val="22"/>
              </w:rPr>
            </w:pPr>
            <w:r w:rsidRPr="002045F5">
              <w:rPr>
                <w:rFonts w:eastAsia="Calibri"/>
                <w:b/>
                <w:color w:val="000000"/>
                <w:sz w:val="22"/>
              </w:rPr>
              <w:t>Чисельність населення, на яке матиме вплив реалізація проекту</w:t>
            </w:r>
          </w:p>
        </w:tc>
        <w:tc>
          <w:tcPr>
            <w:tcW w:w="7058" w:type="dxa"/>
            <w:gridSpan w:val="7"/>
            <w:tcBorders>
              <w:top w:val="single" w:sz="6" w:space="0" w:color="auto"/>
              <w:left w:val="single" w:sz="6" w:space="0" w:color="auto"/>
              <w:bottom w:val="single" w:sz="6" w:space="0" w:color="auto"/>
              <w:right w:val="single" w:sz="6" w:space="0" w:color="auto"/>
            </w:tcBorders>
            <w:hideMark/>
          </w:tcPr>
          <w:p w:rsidR="00283FCD" w:rsidRPr="002045F5" w:rsidRDefault="00283FCD" w:rsidP="00283FCD">
            <w:pPr>
              <w:autoSpaceDE w:val="0"/>
              <w:autoSpaceDN w:val="0"/>
              <w:adjustRightInd w:val="0"/>
              <w:spacing w:line="256" w:lineRule="auto"/>
              <w:rPr>
                <w:rFonts w:eastAsia="Calibri"/>
                <w:color w:val="000000"/>
                <w:sz w:val="22"/>
              </w:rPr>
            </w:pPr>
            <w:r w:rsidRPr="002045F5">
              <w:rPr>
                <w:sz w:val="22"/>
              </w:rPr>
              <w:t xml:space="preserve">70 000 осіб </w:t>
            </w:r>
          </w:p>
        </w:tc>
      </w:tr>
      <w:tr w:rsidR="00283FCD" w:rsidRPr="002045F5" w:rsidTr="00283FCD">
        <w:trPr>
          <w:trHeight w:val="1113"/>
        </w:trPr>
        <w:tc>
          <w:tcPr>
            <w:tcW w:w="2865"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283FCD" w:rsidRPr="002045F5" w:rsidRDefault="00283FCD" w:rsidP="00283FCD">
            <w:pPr>
              <w:autoSpaceDE w:val="0"/>
              <w:autoSpaceDN w:val="0"/>
              <w:adjustRightInd w:val="0"/>
              <w:spacing w:line="256" w:lineRule="auto"/>
              <w:rPr>
                <w:rFonts w:eastAsia="Calibri"/>
                <w:b/>
                <w:color w:val="000000"/>
                <w:sz w:val="22"/>
              </w:rPr>
            </w:pPr>
            <w:r w:rsidRPr="002045F5">
              <w:rPr>
                <w:rFonts w:eastAsia="Calibri"/>
                <w:b/>
                <w:color w:val="000000"/>
                <w:sz w:val="22"/>
              </w:rPr>
              <w:t>Опис проблеми, на вирішення якої спрямований проект</w:t>
            </w:r>
          </w:p>
        </w:tc>
        <w:tc>
          <w:tcPr>
            <w:tcW w:w="7058" w:type="dxa"/>
            <w:gridSpan w:val="7"/>
            <w:tcBorders>
              <w:top w:val="single" w:sz="6" w:space="0" w:color="auto"/>
              <w:left w:val="single" w:sz="6" w:space="0" w:color="auto"/>
              <w:bottom w:val="single" w:sz="6" w:space="0" w:color="auto"/>
              <w:right w:val="single" w:sz="6" w:space="0" w:color="auto"/>
            </w:tcBorders>
            <w:hideMark/>
          </w:tcPr>
          <w:p w:rsidR="00283FCD" w:rsidRPr="002045F5" w:rsidRDefault="00283FCD" w:rsidP="00283FCD">
            <w:pPr>
              <w:autoSpaceDE w:val="0"/>
              <w:autoSpaceDN w:val="0"/>
              <w:adjustRightInd w:val="0"/>
              <w:spacing w:line="256" w:lineRule="auto"/>
              <w:rPr>
                <w:rFonts w:eastAsia="Calibri"/>
                <w:color w:val="000000"/>
                <w:sz w:val="22"/>
              </w:rPr>
            </w:pPr>
            <w:r w:rsidRPr="002045F5">
              <w:rPr>
                <w:rFonts w:eastAsia="Calibri"/>
                <w:color w:val="000000"/>
                <w:sz w:val="22"/>
              </w:rPr>
              <w:t xml:space="preserve">У зв’язку з воєнними діями та окупацією міста Сєвєродонецька приміщення Центру зазнало часткового руйнування будівлі, території, огорожі та розкрадання майна. </w:t>
            </w:r>
          </w:p>
          <w:p w:rsidR="00283FCD" w:rsidRPr="002045F5" w:rsidRDefault="00283FCD" w:rsidP="00283FCD">
            <w:pPr>
              <w:autoSpaceDE w:val="0"/>
              <w:autoSpaceDN w:val="0"/>
              <w:adjustRightInd w:val="0"/>
              <w:spacing w:line="256" w:lineRule="auto"/>
              <w:rPr>
                <w:rFonts w:eastAsia="Calibri"/>
                <w:color w:val="000000"/>
                <w:sz w:val="22"/>
              </w:rPr>
            </w:pPr>
            <w:r w:rsidRPr="002045F5">
              <w:rPr>
                <w:rFonts w:eastAsia="Calibri"/>
                <w:color w:val="000000"/>
                <w:sz w:val="22"/>
              </w:rPr>
              <w:t>Вся матеріально-технічна база підприємства, зокрема:</w:t>
            </w:r>
          </w:p>
          <w:p w:rsidR="00283FCD" w:rsidRPr="002045F5" w:rsidRDefault="00283FCD" w:rsidP="000303D7">
            <w:pPr>
              <w:numPr>
                <w:ilvl w:val="0"/>
                <w:numId w:val="9"/>
              </w:numPr>
              <w:autoSpaceDE w:val="0"/>
              <w:autoSpaceDN w:val="0"/>
              <w:adjustRightInd w:val="0"/>
              <w:spacing w:line="256" w:lineRule="auto"/>
              <w:jc w:val="left"/>
              <w:rPr>
                <w:rFonts w:eastAsia="Calibri"/>
                <w:color w:val="000000"/>
                <w:sz w:val="22"/>
              </w:rPr>
            </w:pPr>
            <w:r w:rsidRPr="002045F5">
              <w:rPr>
                <w:rFonts w:eastAsia="Calibri"/>
                <w:color w:val="000000"/>
                <w:sz w:val="22"/>
              </w:rPr>
              <w:t>спортивне спорядження;</w:t>
            </w:r>
          </w:p>
          <w:p w:rsidR="00283FCD" w:rsidRPr="002045F5" w:rsidRDefault="00283FCD" w:rsidP="000303D7">
            <w:pPr>
              <w:numPr>
                <w:ilvl w:val="0"/>
                <w:numId w:val="9"/>
              </w:numPr>
              <w:autoSpaceDE w:val="0"/>
              <w:autoSpaceDN w:val="0"/>
              <w:adjustRightInd w:val="0"/>
              <w:spacing w:line="256" w:lineRule="auto"/>
              <w:jc w:val="left"/>
              <w:rPr>
                <w:rFonts w:eastAsia="Calibri"/>
                <w:color w:val="000000"/>
                <w:sz w:val="22"/>
              </w:rPr>
            </w:pPr>
            <w:r w:rsidRPr="002045F5">
              <w:rPr>
                <w:rFonts w:eastAsia="Calibri"/>
                <w:color w:val="000000"/>
                <w:sz w:val="22"/>
              </w:rPr>
              <w:t>комп’ютерна техніка із відповідним програмним забезпеченням;</w:t>
            </w:r>
          </w:p>
          <w:p w:rsidR="00283FCD" w:rsidRPr="002045F5" w:rsidRDefault="00283FCD" w:rsidP="000303D7">
            <w:pPr>
              <w:numPr>
                <w:ilvl w:val="0"/>
                <w:numId w:val="9"/>
              </w:numPr>
              <w:autoSpaceDE w:val="0"/>
              <w:autoSpaceDN w:val="0"/>
              <w:adjustRightInd w:val="0"/>
              <w:spacing w:line="256" w:lineRule="auto"/>
              <w:jc w:val="left"/>
              <w:rPr>
                <w:rFonts w:eastAsia="Calibri"/>
                <w:color w:val="000000"/>
                <w:sz w:val="22"/>
              </w:rPr>
            </w:pPr>
            <w:r w:rsidRPr="002045F5">
              <w:rPr>
                <w:rFonts w:eastAsia="Calibri"/>
                <w:color w:val="000000"/>
                <w:sz w:val="22"/>
              </w:rPr>
              <w:t xml:space="preserve">обладнання спеціалізованих кабінетів (тренажерна зала, </w:t>
            </w:r>
            <w:proofErr w:type="spellStart"/>
            <w:r w:rsidRPr="002045F5">
              <w:rPr>
                <w:rFonts w:eastAsia="Calibri"/>
                <w:color w:val="000000"/>
                <w:sz w:val="22"/>
              </w:rPr>
              <w:t>скеледром</w:t>
            </w:r>
            <w:proofErr w:type="spellEnd"/>
            <w:r w:rsidRPr="002045F5">
              <w:rPr>
                <w:rFonts w:eastAsia="Calibri"/>
                <w:color w:val="000000"/>
                <w:sz w:val="22"/>
              </w:rPr>
              <w:t>, приміщення музею «Історії міста» та «Берегиня»);</w:t>
            </w:r>
          </w:p>
          <w:p w:rsidR="00283FCD" w:rsidRPr="002045F5" w:rsidRDefault="00283FCD" w:rsidP="000303D7">
            <w:pPr>
              <w:numPr>
                <w:ilvl w:val="0"/>
                <w:numId w:val="9"/>
              </w:numPr>
              <w:autoSpaceDE w:val="0"/>
              <w:autoSpaceDN w:val="0"/>
              <w:adjustRightInd w:val="0"/>
              <w:spacing w:line="256" w:lineRule="auto"/>
              <w:jc w:val="left"/>
              <w:rPr>
                <w:rFonts w:eastAsia="Calibri"/>
                <w:color w:val="000000"/>
                <w:sz w:val="22"/>
              </w:rPr>
            </w:pPr>
            <w:r w:rsidRPr="002045F5">
              <w:rPr>
                <w:rFonts w:eastAsia="Calibri"/>
                <w:color w:val="000000"/>
                <w:sz w:val="22"/>
              </w:rPr>
              <w:t>інша оргтехніка (монітори, принтери, сканери тощо);</w:t>
            </w:r>
          </w:p>
          <w:p w:rsidR="00283FCD" w:rsidRPr="002045F5" w:rsidRDefault="00283FCD" w:rsidP="000303D7">
            <w:pPr>
              <w:numPr>
                <w:ilvl w:val="0"/>
                <w:numId w:val="9"/>
              </w:numPr>
              <w:autoSpaceDE w:val="0"/>
              <w:autoSpaceDN w:val="0"/>
              <w:adjustRightInd w:val="0"/>
              <w:spacing w:line="256" w:lineRule="auto"/>
              <w:jc w:val="left"/>
              <w:rPr>
                <w:rFonts w:eastAsia="Calibri"/>
                <w:color w:val="000000"/>
                <w:sz w:val="22"/>
              </w:rPr>
            </w:pPr>
            <w:r w:rsidRPr="002045F5">
              <w:rPr>
                <w:rFonts w:eastAsia="Calibri"/>
                <w:color w:val="000000"/>
                <w:sz w:val="22"/>
              </w:rPr>
              <w:t>основні засоби (офісні меблі, сейф тощо) були знищені або викрадені.</w:t>
            </w:r>
          </w:p>
          <w:p w:rsidR="00283FCD" w:rsidRPr="002045F5" w:rsidRDefault="00283FCD" w:rsidP="00B91E92">
            <w:pPr>
              <w:autoSpaceDE w:val="0"/>
              <w:autoSpaceDN w:val="0"/>
              <w:adjustRightInd w:val="0"/>
              <w:spacing w:line="256" w:lineRule="auto"/>
              <w:rPr>
                <w:rFonts w:eastAsia="Calibri"/>
                <w:color w:val="000000"/>
                <w:sz w:val="22"/>
              </w:rPr>
            </w:pPr>
            <w:r w:rsidRPr="002045F5">
              <w:rPr>
                <w:rFonts w:eastAsia="Calibri"/>
                <w:color w:val="000000"/>
                <w:sz w:val="22"/>
              </w:rPr>
              <w:t xml:space="preserve">            Для відбудови та сталого розвитку громади потрібне відновлення роботи Сєвєродонецького міського Центру національно-патріотичного виховання, туризму та краєзнавства учнівської молоді. Мешканці громади потребують в отриманні якісних освітніх, спортивно-оздоровчих, туристично-спортивних  послуг, які відповідають нормам сучасності.</w:t>
            </w:r>
          </w:p>
        </w:tc>
      </w:tr>
      <w:tr w:rsidR="00283FCD" w:rsidRPr="002045F5" w:rsidTr="00283FCD">
        <w:trPr>
          <w:trHeight w:val="529"/>
        </w:trPr>
        <w:tc>
          <w:tcPr>
            <w:tcW w:w="2865"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283FCD" w:rsidRPr="002045F5" w:rsidRDefault="00283FCD" w:rsidP="00283FCD">
            <w:pPr>
              <w:autoSpaceDE w:val="0"/>
              <w:autoSpaceDN w:val="0"/>
              <w:adjustRightInd w:val="0"/>
              <w:spacing w:line="256" w:lineRule="auto"/>
              <w:rPr>
                <w:rFonts w:eastAsia="Calibri"/>
                <w:b/>
                <w:color w:val="000000"/>
                <w:sz w:val="22"/>
              </w:rPr>
            </w:pPr>
            <w:r w:rsidRPr="002045F5">
              <w:rPr>
                <w:rFonts w:eastAsia="Calibri"/>
                <w:b/>
                <w:color w:val="000000"/>
                <w:sz w:val="22"/>
              </w:rPr>
              <w:lastRenderedPageBreak/>
              <w:t>Очікувані кількісні результати від реалізації проекту  (індикатори)</w:t>
            </w:r>
          </w:p>
        </w:tc>
        <w:tc>
          <w:tcPr>
            <w:tcW w:w="3871" w:type="dxa"/>
            <w:gridSpan w:val="3"/>
            <w:tcBorders>
              <w:top w:val="single" w:sz="6" w:space="0" w:color="auto"/>
              <w:left w:val="single" w:sz="6" w:space="0" w:color="auto"/>
              <w:bottom w:val="single" w:sz="6" w:space="0" w:color="auto"/>
              <w:right w:val="single" w:sz="6" w:space="0" w:color="auto"/>
            </w:tcBorders>
            <w:hideMark/>
          </w:tcPr>
          <w:p w:rsidR="00283FCD" w:rsidRPr="002045F5" w:rsidRDefault="00283FCD" w:rsidP="00283FCD">
            <w:pPr>
              <w:autoSpaceDE w:val="0"/>
              <w:autoSpaceDN w:val="0"/>
              <w:adjustRightInd w:val="0"/>
              <w:spacing w:line="256" w:lineRule="auto"/>
              <w:jc w:val="center"/>
              <w:rPr>
                <w:rFonts w:eastAsia="Calibri"/>
                <w:b/>
                <w:color w:val="000000"/>
                <w:sz w:val="22"/>
              </w:rPr>
            </w:pPr>
            <w:r w:rsidRPr="002045F5">
              <w:rPr>
                <w:rFonts w:eastAsia="Calibri"/>
                <w:b/>
                <w:color w:val="000000"/>
                <w:sz w:val="22"/>
              </w:rPr>
              <w:t>Найменування показника</w:t>
            </w:r>
          </w:p>
        </w:tc>
        <w:tc>
          <w:tcPr>
            <w:tcW w:w="1497" w:type="dxa"/>
            <w:gridSpan w:val="2"/>
            <w:tcBorders>
              <w:top w:val="single" w:sz="6" w:space="0" w:color="auto"/>
              <w:left w:val="single" w:sz="6" w:space="0" w:color="auto"/>
              <w:bottom w:val="single" w:sz="6" w:space="0" w:color="auto"/>
              <w:right w:val="single" w:sz="6" w:space="0" w:color="auto"/>
            </w:tcBorders>
            <w:hideMark/>
          </w:tcPr>
          <w:p w:rsidR="00283FCD" w:rsidRPr="002045F5" w:rsidRDefault="00283FCD" w:rsidP="00283FCD">
            <w:pPr>
              <w:autoSpaceDE w:val="0"/>
              <w:autoSpaceDN w:val="0"/>
              <w:adjustRightInd w:val="0"/>
              <w:spacing w:line="256" w:lineRule="auto"/>
              <w:jc w:val="center"/>
              <w:rPr>
                <w:rFonts w:eastAsia="Calibri"/>
                <w:b/>
                <w:color w:val="000000"/>
                <w:sz w:val="22"/>
              </w:rPr>
            </w:pPr>
            <w:r w:rsidRPr="002045F5">
              <w:rPr>
                <w:rFonts w:eastAsia="Calibri"/>
                <w:b/>
                <w:color w:val="000000"/>
                <w:sz w:val="22"/>
              </w:rPr>
              <w:t>Одиниця вимірювання</w:t>
            </w:r>
          </w:p>
        </w:tc>
        <w:tc>
          <w:tcPr>
            <w:tcW w:w="1690" w:type="dxa"/>
            <w:gridSpan w:val="2"/>
            <w:tcBorders>
              <w:top w:val="single" w:sz="6" w:space="0" w:color="auto"/>
              <w:left w:val="single" w:sz="6" w:space="0" w:color="auto"/>
              <w:bottom w:val="single" w:sz="6" w:space="0" w:color="auto"/>
              <w:right w:val="single" w:sz="6" w:space="0" w:color="auto"/>
            </w:tcBorders>
            <w:hideMark/>
          </w:tcPr>
          <w:p w:rsidR="00283FCD" w:rsidRPr="002045F5" w:rsidRDefault="00283FCD" w:rsidP="00283FCD">
            <w:pPr>
              <w:autoSpaceDE w:val="0"/>
              <w:autoSpaceDN w:val="0"/>
              <w:adjustRightInd w:val="0"/>
              <w:spacing w:line="256" w:lineRule="auto"/>
              <w:jc w:val="center"/>
              <w:rPr>
                <w:rFonts w:eastAsia="Calibri"/>
                <w:b/>
                <w:color w:val="000000"/>
                <w:sz w:val="22"/>
              </w:rPr>
            </w:pPr>
            <w:r w:rsidRPr="002045F5">
              <w:rPr>
                <w:rFonts w:eastAsia="Calibri"/>
                <w:b/>
                <w:color w:val="000000"/>
                <w:sz w:val="22"/>
              </w:rPr>
              <w:t>Прогнозне (цільове) значення</w:t>
            </w:r>
          </w:p>
        </w:tc>
      </w:tr>
      <w:tr w:rsidR="00283FCD" w:rsidRPr="002045F5" w:rsidTr="00283FCD">
        <w:trPr>
          <w:trHeight w:val="434"/>
        </w:trPr>
        <w:tc>
          <w:tcPr>
            <w:tcW w:w="2865"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283FCD" w:rsidRPr="002045F5" w:rsidRDefault="00283FCD" w:rsidP="00283FCD">
            <w:pPr>
              <w:autoSpaceDE w:val="0"/>
              <w:autoSpaceDN w:val="0"/>
              <w:adjustRightInd w:val="0"/>
              <w:spacing w:line="256" w:lineRule="auto"/>
              <w:jc w:val="right"/>
              <w:rPr>
                <w:rFonts w:eastAsia="Calibri"/>
                <w:b/>
                <w:color w:val="000000"/>
                <w:sz w:val="22"/>
              </w:rPr>
            </w:pPr>
          </w:p>
        </w:tc>
        <w:tc>
          <w:tcPr>
            <w:tcW w:w="3871" w:type="dxa"/>
            <w:gridSpan w:val="3"/>
            <w:tcBorders>
              <w:top w:val="single" w:sz="4" w:space="0" w:color="auto"/>
              <w:bottom w:val="single" w:sz="4" w:space="0" w:color="auto"/>
              <w:right w:val="single" w:sz="4"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Капітальний ремонт покрівлі</w:t>
            </w:r>
          </w:p>
        </w:tc>
        <w:tc>
          <w:tcPr>
            <w:tcW w:w="1497" w:type="dxa"/>
            <w:gridSpan w:val="2"/>
            <w:tcBorders>
              <w:top w:val="single" w:sz="4" w:space="0" w:color="auto"/>
              <w:left w:val="single" w:sz="4" w:space="0" w:color="auto"/>
              <w:bottom w:val="single" w:sz="4" w:space="0" w:color="auto"/>
              <w:right w:val="single" w:sz="4" w:space="0" w:color="auto"/>
            </w:tcBorders>
            <w:vAlign w:val="center"/>
            <w:hideMark/>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м</w:t>
            </w:r>
            <w:r w:rsidRPr="002045F5">
              <w:rPr>
                <w:sz w:val="22"/>
                <w:vertAlign w:val="superscript"/>
              </w:rPr>
              <w:t>2</w:t>
            </w:r>
          </w:p>
        </w:tc>
        <w:tc>
          <w:tcPr>
            <w:tcW w:w="1690" w:type="dxa"/>
            <w:gridSpan w:val="2"/>
            <w:tcBorders>
              <w:top w:val="single" w:sz="4" w:space="0" w:color="auto"/>
              <w:left w:val="single" w:sz="4" w:space="0" w:color="auto"/>
              <w:bottom w:val="single" w:sz="4" w:space="0" w:color="auto"/>
              <w:right w:val="single" w:sz="4"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1150</w:t>
            </w:r>
          </w:p>
        </w:tc>
      </w:tr>
      <w:tr w:rsidR="00283FCD" w:rsidRPr="002045F5" w:rsidTr="00283FCD">
        <w:trPr>
          <w:trHeight w:val="434"/>
        </w:trPr>
        <w:tc>
          <w:tcPr>
            <w:tcW w:w="2865" w:type="dxa"/>
            <w:vMerge w:val="restart"/>
            <w:tcBorders>
              <w:top w:val="single" w:sz="6" w:space="0" w:color="auto"/>
              <w:left w:val="single" w:sz="6" w:space="0" w:color="auto"/>
              <w:right w:val="single" w:sz="6" w:space="0" w:color="auto"/>
            </w:tcBorders>
            <w:shd w:val="clear" w:color="auto" w:fill="C6D9F1" w:themeFill="text2" w:themeFillTint="33"/>
          </w:tcPr>
          <w:p w:rsidR="00283FCD" w:rsidRPr="002045F5" w:rsidRDefault="00283FCD" w:rsidP="00283FCD">
            <w:pPr>
              <w:autoSpaceDE w:val="0"/>
              <w:autoSpaceDN w:val="0"/>
              <w:adjustRightInd w:val="0"/>
              <w:spacing w:line="256" w:lineRule="auto"/>
              <w:jc w:val="right"/>
              <w:rPr>
                <w:rFonts w:eastAsia="Calibri"/>
                <w:b/>
                <w:color w:val="000000"/>
                <w:sz w:val="22"/>
              </w:rPr>
            </w:pPr>
          </w:p>
        </w:tc>
        <w:tc>
          <w:tcPr>
            <w:tcW w:w="3871" w:type="dxa"/>
            <w:gridSpan w:val="3"/>
            <w:tcBorders>
              <w:top w:val="single" w:sz="4" w:space="0" w:color="auto"/>
              <w:bottom w:val="single" w:sz="4" w:space="0" w:color="auto"/>
              <w:right w:val="single" w:sz="4"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 xml:space="preserve">Капітальний ремонт навчальних кабінетів, кабінетів для педагогічних працівників; музеїв, тренажерної зали, </w:t>
            </w:r>
            <w:proofErr w:type="spellStart"/>
            <w:r w:rsidRPr="002045F5">
              <w:rPr>
                <w:sz w:val="22"/>
              </w:rPr>
              <w:t>скеледрому</w:t>
            </w:r>
            <w:proofErr w:type="spellEnd"/>
          </w:p>
        </w:tc>
        <w:tc>
          <w:tcPr>
            <w:tcW w:w="1497" w:type="dxa"/>
            <w:gridSpan w:val="2"/>
            <w:tcBorders>
              <w:top w:val="single" w:sz="4" w:space="0" w:color="auto"/>
              <w:left w:val="single" w:sz="4" w:space="0" w:color="auto"/>
              <w:bottom w:val="single" w:sz="4" w:space="0" w:color="auto"/>
              <w:right w:val="single" w:sz="4" w:space="0" w:color="auto"/>
            </w:tcBorders>
            <w:vAlign w:val="center"/>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одиниць</w:t>
            </w:r>
          </w:p>
        </w:tc>
        <w:tc>
          <w:tcPr>
            <w:tcW w:w="1690" w:type="dxa"/>
            <w:gridSpan w:val="2"/>
            <w:tcBorders>
              <w:top w:val="single" w:sz="4" w:space="0" w:color="auto"/>
              <w:left w:val="single" w:sz="4" w:space="0" w:color="auto"/>
              <w:bottom w:val="single" w:sz="4" w:space="0" w:color="auto"/>
              <w:right w:val="single" w:sz="4" w:space="0" w:color="auto"/>
            </w:tcBorders>
          </w:tcPr>
          <w:p w:rsidR="00283FCD" w:rsidRPr="002045F5" w:rsidRDefault="00283FCD" w:rsidP="00283FCD">
            <w:pPr>
              <w:autoSpaceDE w:val="0"/>
              <w:autoSpaceDN w:val="0"/>
              <w:adjustRightInd w:val="0"/>
              <w:spacing w:line="256" w:lineRule="auto"/>
              <w:jc w:val="center"/>
              <w:rPr>
                <w:sz w:val="22"/>
              </w:rPr>
            </w:pPr>
          </w:p>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20</w:t>
            </w:r>
          </w:p>
        </w:tc>
      </w:tr>
      <w:tr w:rsidR="00283FCD" w:rsidRPr="002045F5" w:rsidTr="00283FCD">
        <w:trPr>
          <w:trHeight w:val="434"/>
        </w:trPr>
        <w:tc>
          <w:tcPr>
            <w:tcW w:w="2865" w:type="dxa"/>
            <w:vMerge/>
            <w:tcBorders>
              <w:left w:val="single" w:sz="6" w:space="0" w:color="auto"/>
              <w:right w:val="single" w:sz="6" w:space="0" w:color="auto"/>
            </w:tcBorders>
            <w:shd w:val="clear" w:color="auto" w:fill="C6D9F1" w:themeFill="text2" w:themeFillTint="33"/>
          </w:tcPr>
          <w:p w:rsidR="00283FCD" w:rsidRPr="002045F5" w:rsidRDefault="00283FCD" w:rsidP="00283FCD">
            <w:pPr>
              <w:autoSpaceDE w:val="0"/>
              <w:autoSpaceDN w:val="0"/>
              <w:adjustRightInd w:val="0"/>
              <w:spacing w:line="256" w:lineRule="auto"/>
              <w:jc w:val="right"/>
              <w:rPr>
                <w:rFonts w:eastAsia="Calibri"/>
                <w:b/>
                <w:color w:val="000000"/>
                <w:sz w:val="22"/>
              </w:rPr>
            </w:pPr>
          </w:p>
        </w:tc>
        <w:tc>
          <w:tcPr>
            <w:tcW w:w="3871" w:type="dxa"/>
            <w:gridSpan w:val="3"/>
            <w:tcBorders>
              <w:top w:val="single" w:sz="4" w:space="0" w:color="auto"/>
              <w:bottom w:val="single" w:sz="4" w:space="0" w:color="auto"/>
              <w:right w:val="single" w:sz="4"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Капітальний ремонт санвузлів та обладнання санвузла для дітей з обмеженими фізичними можливостями</w:t>
            </w:r>
          </w:p>
        </w:tc>
        <w:tc>
          <w:tcPr>
            <w:tcW w:w="1497" w:type="dxa"/>
            <w:gridSpan w:val="2"/>
            <w:tcBorders>
              <w:top w:val="single" w:sz="4" w:space="0" w:color="auto"/>
              <w:left w:val="single" w:sz="4" w:space="0" w:color="auto"/>
              <w:bottom w:val="single" w:sz="4" w:space="0" w:color="auto"/>
              <w:right w:val="single" w:sz="4" w:space="0" w:color="auto"/>
            </w:tcBorders>
            <w:vAlign w:val="center"/>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одиниць</w:t>
            </w:r>
          </w:p>
        </w:tc>
        <w:tc>
          <w:tcPr>
            <w:tcW w:w="1690" w:type="dxa"/>
            <w:gridSpan w:val="2"/>
            <w:tcBorders>
              <w:top w:val="single" w:sz="4" w:space="0" w:color="auto"/>
              <w:left w:val="single" w:sz="4" w:space="0" w:color="auto"/>
              <w:bottom w:val="single" w:sz="4" w:space="0" w:color="auto"/>
              <w:right w:val="single" w:sz="4" w:space="0" w:color="auto"/>
            </w:tcBorders>
          </w:tcPr>
          <w:p w:rsidR="00283FCD" w:rsidRPr="002045F5" w:rsidRDefault="00283FCD" w:rsidP="00283FCD">
            <w:pPr>
              <w:autoSpaceDE w:val="0"/>
              <w:autoSpaceDN w:val="0"/>
              <w:adjustRightInd w:val="0"/>
              <w:spacing w:line="256" w:lineRule="auto"/>
              <w:jc w:val="center"/>
              <w:rPr>
                <w:sz w:val="22"/>
              </w:rPr>
            </w:pPr>
          </w:p>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5</w:t>
            </w:r>
          </w:p>
        </w:tc>
      </w:tr>
      <w:tr w:rsidR="00283FCD" w:rsidRPr="002045F5" w:rsidTr="00283FCD">
        <w:trPr>
          <w:trHeight w:val="434"/>
        </w:trPr>
        <w:tc>
          <w:tcPr>
            <w:tcW w:w="2865" w:type="dxa"/>
            <w:vMerge/>
            <w:tcBorders>
              <w:left w:val="single" w:sz="6" w:space="0" w:color="auto"/>
              <w:right w:val="single" w:sz="6" w:space="0" w:color="auto"/>
            </w:tcBorders>
            <w:shd w:val="clear" w:color="auto" w:fill="C6D9F1" w:themeFill="text2" w:themeFillTint="33"/>
          </w:tcPr>
          <w:p w:rsidR="00283FCD" w:rsidRPr="002045F5" w:rsidRDefault="00283FCD" w:rsidP="00283FCD">
            <w:pPr>
              <w:autoSpaceDE w:val="0"/>
              <w:autoSpaceDN w:val="0"/>
              <w:adjustRightInd w:val="0"/>
              <w:spacing w:line="256" w:lineRule="auto"/>
              <w:jc w:val="right"/>
              <w:rPr>
                <w:rFonts w:eastAsia="Calibri"/>
                <w:b/>
                <w:color w:val="000000"/>
                <w:sz w:val="22"/>
              </w:rPr>
            </w:pPr>
          </w:p>
        </w:tc>
        <w:tc>
          <w:tcPr>
            <w:tcW w:w="3871" w:type="dxa"/>
            <w:gridSpan w:val="3"/>
            <w:tcBorders>
              <w:top w:val="single" w:sz="4" w:space="0" w:color="auto"/>
              <w:right w:val="single" w:sz="4"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Ремонт тротуарів</w:t>
            </w:r>
          </w:p>
        </w:tc>
        <w:tc>
          <w:tcPr>
            <w:tcW w:w="1497" w:type="dxa"/>
            <w:gridSpan w:val="2"/>
            <w:tcBorders>
              <w:top w:val="single" w:sz="4" w:space="0" w:color="auto"/>
              <w:left w:val="single" w:sz="4" w:space="0" w:color="auto"/>
              <w:right w:val="single" w:sz="4" w:space="0" w:color="auto"/>
            </w:tcBorders>
            <w:vAlign w:val="center"/>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м</w:t>
            </w:r>
            <w:r w:rsidRPr="002045F5">
              <w:rPr>
                <w:sz w:val="22"/>
                <w:vertAlign w:val="superscript"/>
              </w:rPr>
              <w:t>2</w:t>
            </w:r>
          </w:p>
        </w:tc>
        <w:tc>
          <w:tcPr>
            <w:tcW w:w="1690" w:type="dxa"/>
            <w:gridSpan w:val="2"/>
            <w:tcBorders>
              <w:top w:val="single" w:sz="4" w:space="0" w:color="auto"/>
              <w:left w:val="single" w:sz="4" w:space="0" w:color="auto"/>
              <w:right w:val="single" w:sz="4"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3 000</w:t>
            </w:r>
          </w:p>
        </w:tc>
      </w:tr>
      <w:tr w:rsidR="00283FCD" w:rsidRPr="002045F5" w:rsidTr="00283FCD">
        <w:trPr>
          <w:trHeight w:val="434"/>
        </w:trPr>
        <w:tc>
          <w:tcPr>
            <w:tcW w:w="2865" w:type="dxa"/>
            <w:vMerge/>
            <w:tcBorders>
              <w:left w:val="single" w:sz="6" w:space="0" w:color="auto"/>
              <w:right w:val="single" w:sz="6" w:space="0" w:color="auto"/>
            </w:tcBorders>
            <w:shd w:val="clear" w:color="auto" w:fill="C6D9F1" w:themeFill="text2" w:themeFillTint="33"/>
          </w:tcPr>
          <w:p w:rsidR="00283FCD" w:rsidRPr="002045F5" w:rsidRDefault="00283FCD" w:rsidP="00283FCD">
            <w:pPr>
              <w:autoSpaceDE w:val="0"/>
              <w:autoSpaceDN w:val="0"/>
              <w:adjustRightInd w:val="0"/>
              <w:spacing w:line="256" w:lineRule="auto"/>
              <w:jc w:val="right"/>
              <w:rPr>
                <w:rFonts w:eastAsia="Calibri"/>
                <w:b/>
                <w:color w:val="000000"/>
                <w:sz w:val="22"/>
              </w:rPr>
            </w:pPr>
          </w:p>
        </w:tc>
        <w:tc>
          <w:tcPr>
            <w:tcW w:w="3871" w:type="dxa"/>
            <w:gridSpan w:val="3"/>
            <w:tcBorders>
              <w:top w:val="single" w:sz="4" w:space="0" w:color="auto"/>
              <w:right w:val="single" w:sz="4"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Капітальний ремонт ганку</w:t>
            </w:r>
          </w:p>
        </w:tc>
        <w:tc>
          <w:tcPr>
            <w:tcW w:w="1497" w:type="dxa"/>
            <w:gridSpan w:val="2"/>
            <w:tcBorders>
              <w:top w:val="single" w:sz="4" w:space="0" w:color="auto"/>
              <w:left w:val="single" w:sz="4" w:space="0" w:color="auto"/>
              <w:right w:val="single" w:sz="4" w:space="0" w:color="auto"/>
            </w:tcBorders>
            <w:vAlign w:val="center"/>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одиниць</w:t>
            </w:r>
          </w:p>
        </w:tc>
        <w:tc>
          <w:tcPr>
            <w:tcW w:w="1690" w:type="dxa"/>
            <w:gridSpan w:val="2"/>
            <w:tcBorders>
              <w:top w:val="single" w:sz="4" w:space="0" w:color="auto"/>
              <w:left w:val="single" w:sz="4" w:space="0" w:color="auto"/>
              <w:right w:val="single" w:sz="4"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1</w:t>
            </w:r>
          </w:p>
        </w:tc>
      </w:tr>
      <w:tr w:rsidR="00283FCD" w:rsidRPr="002045F5" w:rsidTr="00283FCD">
        <w:trPr>
          <w:trHeight w:val="434"/>
        </w:trPr>
        <w:tc>
          <w:tcPr>
            <w:tcW w:w="2865" w:type="dxa"/>
            <w:vMerge/>
            <w:tcBorders>
              <w:left w:val="single" w:sz="6" w:space="0" w:color="auto"/>
              <w:right w:val="single" w:sz="6" w:space="0" w:color="auto"/>
            </w:tcBorders>
            <w:shd w:val="clear" w:color="auto" w:fill="C6D9F1" w:themeFill="text2" w:themeFillTint="33"/>
          </w:tcPr>
          <w:p w:rsidR="00283FCD" w:rsidRPr="002045F5" w:rsidRDefault="00283FCD" w:rsidP="00283FCD">
            <w:pPr>
              <w:autoSpaceDE w:val="0"/>
              <w:autoSpaceDN w:val="0"/>
              <w:adjustRightInd w:val="0"/>
              <w:spacing w:line="256" w:lineRule="auto"/>
              <w:jc w:val="right"/>
              <w:rPr>
                <w:rFonts w:eastAsia="Calibri"/>
                <w:b/>
                <w:color w:val="000000"/>
                <w:sz w:val="22"/>
              </w:rPr>
            </w:pPr>
          </w:p>
        </w:tc>
        <w:tc>
          <w:tcPr>
            <w:tcW w:w="3871" w:type="dxa"/>
            <w:gridSpan w:val="3"/>
            <w:tcBorders>
              <w:top w:val="single" w:sz="4" w:space="0" w:color="auto"/>
              <w:right w:val="single" w:sz="4"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Ремонт пандусу та  встановлення підйомника на другий поверх</w:t>
            </w:r>
          </w:p>
        </w:tc>
        <w:tc>
          <w:tcPr>
            <w:tcW w:w="1497" w:type="dxa"/>
            <w:gridSpan w:val="2"/>
            <w:tcBorders>
              <w:top w:val="single" w:sz="4" w:space="0" w:color="auto"/>
              <w:left w:val="single" w:sz="4" w:space="0" w:color="auto"/>
              <w:right w:val="single" w:sz="4" w:space="0" w:color="auto"/>
            </w:tcBorders>
            <w:vAlign w:val="center"/>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 xml:space="preserve">одиниць </w:t>
            </w:r>
          </w:p>
        </w:tc>
        <w:tc>
          <w:tcPr>
            <w:tcW w:w="1690" w:type="dxa"/>
            <w:gridSpan w:val="2"/>
            <w:tcBorders>
              <w:top w:val="single" w:sz="4" w:space="0" w:color="auto"/>
              <w:left w:val="single" w:sz="4" w:space="0" w:color="auto"/>
              <w:right w:val="single" w:sz="4"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1</w:t>
            </w:r>
          </w:p>
        </w:tc>
      </w:tr>
      <w:tr w:rsidR="00283FCD" w:rsidRPr="002045F5" w:rsidTr="00283FCD">
        <w:trPr>
          <w:trHeight w:val="434"/>
        </w:trPr>
        <w:tc>
          <w:tcPr>
            <w:tcW w:w="2865" w:type="dxa"/>
            <w:vMerge/>
            <w:tcBorders>
              <w:left w:val="single" w:sz="6" w:space="0" w:color="auto"/>
              <w:right w:val="single" w:sz="6" w:space="0" w:color="auto"/>
            </w:tcBorders>
            <w:shd w:val="clear" w:color="auto" w:fill="C6D9F1" w:themeFill="text2" w:themeFillTint="33"/>
          </w:tcPr>
          <w:p w:rsidR="00283FCD" w:rsidRPr="002045F5" w:rsidRDefault="00283FCD" w:rsidP="00283FCD">
            <w:pPr>
              <w:autoSpaceDE w:val="0"/>
              <w:autoSpaceDN w:val="0"/>
              <w:adjustRightInd w:val="0"/>
              <w:spacing w:line="256" w:lineRule="auto"/>
              <w:jc w:val="right"/>
              <w:rPr>
                <w:rFonts w:eastAsia="Calibri"/>
                <w:b/>
                <w:color w:val="000000"/>
                <w:sz w:val="22"/>
              </w:rPr>
            </w:pPr>
          </w:p>
        </w:tc>
        <w:tc>
          <w:tcPr>
            <w:tcW w:w="3871" w:type="dxa"/>
            <w:gridSpan w:val="3"/>
            <w:tcBorders>
              <w:top w:val="single" w:sz="4" w:space="0" w:color="auto"/>
              <w:left w:val="single" w:sz="6" w:space="0" w:color="auto"/>
              <w:bottom w:val="single" w:sz="6" w:space="0" w:color="auto"/>
              <w:right w:val="single" w:sz="6" w:space="0" w:color="auto"/>
            </w:tcBorders>
          </w:tcPr>
          <w:p w:rsidR="00283FCD" w:rsidRPr="002045F5" w:rsidRDefault="00283FCD" w:rsidP="000833BC">
            <w:pPr>
              <w:autoSpaceDE w:val="0"/>
              <w:autoSpaceDN w:val="0"/>
              <w:adjustRightInd w:val="0"/>
              <w:spacing w:line="256" w:lineRule="auto"/>
              <w:jc w:val="center"/>
              <w:rPr>
                <w:rFonts w:eastAsia="Calibri"/>
                <w:color w:val="000000"/>
                <w:sz w:val="22"/>
              </w:rPr>
            </w:pPr>
            <w:r w:rsidRPr="002045F5">
              <w:rPr>
                <w:sz w:val="22"/>
              </w:rPr>
              <w:t>Ремонт електричної системи</w:t>
            </w:r>
          </w:p>
        </w:tc>
        <w:tc>
          <w:tcPr>
            <w:tcW w:w="1497" w:type="dxa"/>
            <w:gridSpan w:val="2"/>
            <w:tcBorders>
              <w:top w:val="single" w:sz="4" w:space="0" w:color="auto"/>
              <w:left w:val="single" w:sz="4" w:space="0" w:color="auto"/>
              <w:right w:val="single" w:sz="4" w:space="0" w:color="auto"/>
            </w:tcBorders>
            <w:vAlign w:val="center"/>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 xml:space="preserve">одиниць </w:t>
            </w:r>
          </w:p>
        </w:tc>
        <w:tc>
          <w:tcPr>
            <w:tcW w:w="1690" w:type="dxa"/>
            <w:gridSpan w:val="2"/>
            <w:tcBorders>
              <w:top w:val="single" w:sz="4" w:space="0" w:color="auto"/>
              <w:left w:val="single" w:sz="4" w:space="0" w:color="auto"/>
              <w:right w:val="single" w:sz="4"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1</w:t>
            </w:r>
          </w:p>
        </w:tc>
      </w:tr>
      <w:tr w:rsidR="00283FCD" w:rsidRPr="002045F5" w:rsidTr="00283FCD">
        <w:trPr>
          <w:trHeight w:val="434"/>
        </w:trPr>
        <w:tc>
          <w:tcPr>
            <w:tcW w:w="2865" w:type="dxa"/>
            <w:vMerge/>
            <w:tcBorders>
              <w:left w:val="single" w:sz="6" w:space="0" w:color="auto"/>
              <w:right w:val="single" w:sz="6" w:space="0" w:color="auto"/>
            </w:tcBorders>
            <w:shd w:val="clear" w:color="auto" w:fill="C6D9F1" w:themeFill="text2" w:themeFillTint="33"/>
          </w:tcPr>
          <w:p w:rsidR="00283FCD" w:rsidRPr="002045F5" w:rsidRDefault="00283FCD" w:rsidP="00283FCD">
            <w:pPr>
              <w:autoSpaceDE w:val="0"/>
              <w:autoSpaceDN w:val="0"/>
              <w:adjustRightInd w:val="0"/>
              <w:spacing w:line="256" w:lineRule="auto"/>
              <w:jc w:val="right"/>
              <w:rPr>
                <w:rFonts w:eastAsia="Calibri"/>
                <w:b/>
                <w:color w:val="000000"/>
                <w:sz w:val="22"/>
              </w:rPr>
            </w:pPr>
          </w:p>
        </w:tc>
        <w:tc>
          <w:tcPr>
            <w:tcW w:w="3871" w:type="dxa"/>
            <w:gridSpan w:val="3"/>
            <w:tcBorders>
              <w:top w:val="single" w:sz="6" w:space="0" w:color="auto"/>
              <w:left w:val="single" w:sz="6" w:space="0" w:color="auto"/>
              <w:bottom w:val="single" w:sz="6" w:space="0" w:color="auto"/>
              <w:right w:val="single" w:sz="6" w:space="0" w:color="auto"/>
            </w:tcBorders>
          </w:tcPr>
          <w:p w:rsidR="00283FCD" w:rsidRPr="002045F5" w:rsidRDefault="00283FCD" w:rsidP="000833BC">
            <w:pPr>
              <w:autoSpaceDE w:val="0"/>
              <w:autoSpaceDN w:val="0"/>
              <w:adjustRightInd w:val="0"/>
              <w:spacing w:line="256" w:lineRule="auto"/>
              <w:jc w:val="center"/>
              <w:rPr>
                <w:rFonts w:eastAsia="Calibri"/>
                <w:color w:val="000000"/>
                <w:sz w:val="22"/>
              </w:rPr>
            </w:pPr>
            <w:r w:rsidRPr="002045F5">
              <w:rPr>
                <w:sz w:val="22"/>
              </w:rPr>
              <w:t>Ремонт (заміна) системи опалення)</w:t>
            </w:r>
          </w:p>
        </w:tc>
        <w:tc>
          <w:tcPr>
            <w:tcW w:w="1497" w:type="dxa"/>
            <w:gridSpan w:val="2"/>
            <w:tcBorders>
              <w:top w:val="single" w:sz="4" w:space="0" w:color="auto"/>
              <w:left w:val="single" w:sz="4" w:space="0" w:color="auto"/>
              <w:right w:val="single" w:sz="4" w:space="0" w:color="auto"/>
            </w:tcBorders>
            <w:vAlign w:val="center"/>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 xml:space="preserve">одиниць </w:t>
            </w:r>
          </w:p>
        </w:tc>
        <w:tc>
          <w:tcPr>
            <w:tcW w:w="1690" w:type="dxa"/>
            <w:gridSpan w:val="2"/>
            <w:tcBorders>
              <w:top w:val="single" w:sz="4" w:space="0" w:color="auto"/>
              <w:left w:val="single" w:sz="4" w:space="0" w:color="auto"/>
              <w:right w:val="single" w:sz="4"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1</w:t>
            </w:r>
          </w:p>
        </w:tc>
      </w:tr>
      <w:tr w:rsidR="00283FCD" w:rsidRPr="002045F5" w:rsidTr="00283FCD">
        <w:trPr>
          <w:trHeight w:val="434"/>
        </w:trPr>
        <w:tc>
          <w:tcPr>
            <w:tcW w:w="2865" w:type="dxa"/>
            <w:vMerge/>
            <w:tcBorders>
              <w:left w:val="single" w:sz="6" w:space="0" w:color="auto"/>
              <w:right w:val="single" w:sz="6" w:space="0" w:color="auto"/>
            </w:tcBorders>
            <w:shd w:val="clear" w:color="auto" w:fill="C6D9F1" w:themeFill="text2" w:themeFillTint="33"/>
          </w:tcPr>
          <w:p w:rsidR="00283FCD" w:rsidRPr="002045F5" w:rsidRDefault="00283FCD" w:rsidP="00283FCD">
            <w:pPr>
              <w:autoSpaceDE w:val="0"/>
              <w:autoSpaceDN w:val="0"/>
              <w:adjustRightInd w:val="0"/>
              <w:spacing w:line="256" w:lineRule="auto"/>
              <w:jc w:val="right"/>
              <w:rPr>
                <w:rFonts w:eastAsia="Calibri"/>
                <w:b/>
                <w:color w:val="000000"/>
                <w:sz w:val="22"/>
              </w:rPr>
            </w:pPr>
          </w:p>
        </w:tc>
        <w:tc>
          <w:tcPr>
            <w:tcW w:w="3871" w:type="dxa"/>
            <w:gridSpan w:val="3"/>
            <w:tcBorders>
              <w:top w:val="single" w:sz="6" w:space="0" w:color="auto"/>
              <w:left w:val="single" w:sz="6" w:space="0" w:color="auto"/>
              <w:bottom w:val="single" w:sz="6" w:space="0" w:color="auto"/>
              <w:right w:val="single" w:sz="6" w:space="0" w:color="auto"/>
            </w:tcBorders>
          </w:tcPr>
          <w:p w:rsidR="00283FCD" w:rsidRPr="002045F5" w:rsidRDefault="00283FCD" w:rsidP="000833BC">
            <w:pPr>
              <w:autoSpaceDE w:val="0"/>
              <w:autoSpaceDN w:val="0"/>
              <w:adjustRightInd w:val="0"/>
              <w:spacing w:line="256" w:lineRule="auto"/>
              <w:jc w:val="center"/>
              <w:rPr>
                <w:rFonts w:eastAsia="Calibri"/>
                <w:color w:val="000000"/>
                <w:sz w:val="22"/>
              </w:rPr>
            </w:pPr>
            <w:r w:rsidRPr="002045F5">
              <w:rPr>
                <w:sz w:val="22"/>
              </w:rPr>
              <w:t>Ремонт системи водопостачання та водовідведення</w:t>
            </w:r>
          </w:p>
        </w:tc>
        <w:tc>
          <w:tcPr>
            <w:tcW w:w="1497" w:type="dxa"/>
            <w:gridSpan w:val="2"/>
            <w:tcBorders>
              <w:top w:val="single" w:sz="4" w:space="0" w:color="auto"/>
              <w:left w:val="single" w:sz="4" w:space="0" w:color="auto"/>
              <w:right w:val="single" w:sz="4" w:space="0" w:color="auto"/>
            </w:tcBorders>
            <w:vAlign w:val="center"/>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 xml:space="preserve">одиниць </w:t>
            </w:r>
          </w:p>
        </w:tc>
        <w:tc>
          <w:tcPr>
            <w:tcW w:w="1690" w:type="dxa"/>
            <w:gridSpan w:val="2"/>
            <w:tcBorders>
              <w:top w:val="single" w:sz="4" w:space="0" w:color="auto"/>
              <w:left w:val="single" w:sz="4" w:space="0" w:color="auto"/>
              <w:right w:val="single" w:sz="4"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1</w:t>
            </w:r>
          </w:p>
        </w:tc>
      </w:tr>
      <w:tr w:rsidR="00283FCD" w:rsidRPr="002045F5" w:rsidTr="00283FCD">
        <w:trPr>
          <w:trHeight w:val="434"/>
        </w:trPr>
        <w:tc>
          <w:tcPr>
            <w:tcW w:w="2865" w:type="dxa"/>
            <w:vMerge/>
            <w:tcBorders>
              <w:left w:val="single" w:sz="6" w:space="0" w:color="auto"/>
              <w:right w:val="single" w:sz="6" w:space="0" w:color="auto"/>
            </w:tcBorders>
            <w:shd w:val="clear" w:color="auto" w:fill="C6D9F1" w:themeFill="text2" w:themeFillTint="33"/>
          </w:tcPr>
          <w:p w:rsidR="00283FCD" w:rsidRPr="002045F5" w:rsidRDefault="00283FCD" w:rsidP="00283FCD">
            <w:pPr>
              <w:autoSpaceDE w:val="0"/>
              <w:autoSpaceDN w:val="0"/>
              <w:adjustRightInd w:val="0"/>
              <w:spacing w:line="256" w:lineRule="auto"/>
              <w:jc w:val="right"/>
              <w:rPr>
                <w:rFonts w:eastAsia="Calibri"/>
                <w:b/>
                <w:color w:val="000000"/>
                <w:sz w:val="22"/>
              </w:rPr>
            </w:pPr>
          </w:p>
        </w:tc>
        <w:tc>
          <w:tcPr>
            <w:tcW w:w="3871" w:type="dxa"/>
            <w:gridSpan w:val="3"/>
            <w:tcBorders>
              <w:top w:val="single" w:sz="6" w:space="0" w:color="auto"/>
              <w:left w:val="single" w:sz="6" w:space="0" w:color="auto"/>
              <w:bottom w:val="single" w:sz="6" w:space="0" w:color="auto"/>
              <w:right w:val="single" w:sz="6"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Заміна віконних  блоків</w:t>
            </w:r>
          </w:p>
        </w:tc>
        <w:tc>
          <w:tcPr>
            <w:tcW w:w="1497" w:type="dxa"/>
            <w:gridSpan w:val="2"/>
            <w:tcBorders>
              <w:top w:val="single" w:sz="6" w:space="0" w:color="auto"/>
              <w:left w:val="single" w:sz="6" w:space="0" w:color="auto"/>
              <w:bottom w:val="single" w:sz="6" w:space="0" w:color="auto"/>
              <w:right w:val="single" w:sz="6"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 xml:space="preserve">одиниць </w:t>
            </w:r>
          </w:p>
        </w:tc>
        <w:tc>
          <w:tcPr>
            <w:tcW w:w="1690" w:type="dxa"/>
            <w:gridSpan w:val="2"/>
            <w:tcBorders>
              <w:top w:val="single" w:sz="6" w:space="0" w:color="auto"/>
              <w:left w:val="single" w:sz="6" w:space="0" w:color="auto"/>
              <w:bottom w:val="single" w:sz="6" w:space="0" w:color="auto"/>
              <w:right w:val="single" w:sz="6"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144</w:t>
            </w:r>
          </w:p>
        </w:tc>
      </w:tr>
      <w:tr w:rsidR="00283FCD" w:rsidRPr="002045F5" w:rsidTr="00283FCD">
        <w:trPr>
          <w:trHeight w:val="434"/>
        </w:trPr>
        <w:tc>
          <w:tcPr>
            <w:tcW w:w="2865" w:type="dxa"/>
            <w:vMerge/>
            <w:tcBorders>
              <w:left w:val="single" w:sz="6" w:space="0" w:color="auto"/>
              <w:right w:val="single" w:sz="6" w:space="0" w:color="auto"/>
            </w:tcBorders>
            <w:shd w:val="clear" w:color="auto" w:fill="C6D9F1" w:themeFill="text2" w:themeFillTint="33"/>
          </w:tcPr>
          <w:p w:rsidR="00283FCD" w:rsidRPr="002045F5" w:rsidRDefault="00283FCD" w:rsidP="00283FCD">
            <w:pPr>
              <w:autoSpaceDE w:val="0"/>
              <w:autoSpaceDN w:val="0"/>
              <w:adjustRightInd w:val="0"/>
              <w:spacing w:line="256" w:lineRule="auto"/>
              <w:jc w:val="right"/>
              <w:rPr>
                <w:rFonts w:eastAsia="Calibri"/>
                <w:b/>
                <w:color w:val="000000"/>
                <w:sz w:val="22"/>
              </w:rPr>
            </w:pPr>
          </w:p>
        </w:tc>
        <w:tc>
          <w:tcPr>
            <w:tcW w:w="3871" w:type="dxa"/>
            <w:gridSpan w:val="3"/>
            <w:tcBorders>
              <w:top w:val="single" w:sz="6" w:space="0" w:color="auto"/>
              <w:left w:val="single" w:sz="6" w:space="0" w:color="auto"/>
              <w:bottom w:val="single" w:sz="6" w:space="0" w:color="auto"/>
              <w:right w:val="single" w:sz="6"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Заміна дверних блоків:</w:t>
            </w:r>
          </w:p>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-зовнішніх</w:t>
            </w:r>
          </w:p>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 внутрішніх</w:t>
            </w:r>
          </w:p>
        </w:tc>
        <w:tc>
          <w:tcPr>
            <w:tcW w:w="1497" w:type="dxa"/>
            <w:gridSpan w:val="2"/>
            <w:tcBorders>
              <w:top w:val="single" w:sz="6" w:space="0" w:color="auto"/>
              <w:left w:val="single" w:sz="6" w:space="0" w:color="auto"/>
              <w:bottom w:val="single" w:sz="6" w:space="0" w:color="auto"/>
              <w:right w:val="single" w:sz="6"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одиниць</w:t>
            </w:r>
          </w:p>
        </w:tc>
        <w:tc>
          <w:tcPr>
            <w:tcW w:w="1690" w:type="dxa"/>
            <w:gridSpan w:val="2"/>
            <w:tcBorders>
              <w:top w:val="single" w:sz="6" w:space="0" w:color="auto"/>
              <w:left w:val="single" w:sz="6" w:space="0" w:color="auto"/>
              <w:bottom w:val="single" w:sz="6" w:space="0" w:color="auto"/>
              <w:right w:val="single" w:sz="6"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p>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7</w:t>
            </w:r>
          </w:p>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144</w:t>
            </w:r>
          </w:p>
        </w:tc>
      </w:tr>
      <w:tr w:rsidR="00283FCD" w:rsidRPr="002045F5" w:rsidTr="00283FCD">
        <w:trPr>
          <w:trHeight w:val="434"/>
        </w:trPr>
        <w:tc>
          <w:tcPr>
            <w:tcW w:w="2865" w:type="dxa"/>
            <w:vMerge/>
            <w:tcBorders>
              <w:left w:val="single" w:sz="6" w:space="0" w:color="auto"/>
              <w:right w:val="single" w:sz="6" w:space="0" w:color="auto"/>
            </w:tcBorders>
            <w:shd w:val="clear" w:color="auto" w:fill="C6D9F1" w:themeFill="text2" w:themeFillTint="33"/>
          </w:tcPr>
          <w:p w:rsidR="00283FCD" w:rsidRPr="002045F5" w:rsidRDefault="00283FCD" w:rsidP="00283FCD">
            <w:pPr>
              <w:autoSpaceDE w:val="0"/>
              <w:autoSpaceDN w:val="0"/>
              <w:adjustRightInd w:val="0"/>
              <w:spacing w:line="256" w:lineRule="auto"/>
              <w:jc w:val="right"/>
              <w:rPr>
                <w:rFonts w:eastAsia="Calibri"/>
                <w:b/>
                <w:color w:val="000000"/>
                <w:sz w:val="22"/>
              </w:rPr>
            </w:pPr>
          </w:p>
        </w:tc>
        <w:tc>
          <w:tcPr>
            <w:tcW w:w="3871" w:type="dxa"/>
            <w:gridSpan w:val="3"/>
            <w:tcBorders>
              <w:top w:val="single" w:sz="6" w:space="0" w:color="auto"/>
              <w:left w:val="single" w:sz="6" w:space="0" w:color="auto"/>
              <w:bottom w:val="single" w:sz="6" w:space="0" w:color="auto"/>
              <w:right w:val="single" w:sz="6"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Реконструкція зовнішнього освітлення</w:t>
            </w:r>
          </w:p>
        </w:tc>
        <w:tc>
          <w:tcPr>
            <w:tcW w:w="1497" w:type="dxa"/>
            <w:gridSpan w:val="2"/>
            <w:tcBorders>
              <w:top w:val="single" w:sz="6" w:space="0" w:color="auto"/>
              <w:left w:val="single" w:sz="6" w:space="0" w:color="auto"/>
              <w:bottom w:val="single" w:sz="6" w:space="0" w:color="auto"/>
              <w:right w:val="single" w:sz="6"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одиниць</w:t>
            </w:r>
          </w:p>
        </w:tc>
        <w:tc>
          <w:tcPr>
            <w:tcW w:w="1690" w:type="dxa"/>
            <w:gridSpan w:val="2"/>
            <w:tcBorders>
              <w:top w:val="single" w:sz="6" w:space="0" w:color="auto"/>
              <w:left w:val="single" w:sz="6" w:space="0" w:color="auto"/>
              <w:bottom w:val="single" w:sz="6" w:space="0" w:color="auto"/>
              <w:right w:val="single" w:sz="6" w:space="0" w:color="auto"/>
            </w:tcBorders>
          </w:tcPr>
          <w:p w:rsidR="00283FCD" w:rsidRPr="002045F5" w:rsidRDefault="00283FCD" w:rsidP="00283FCD">
            <w:pPr>
              <w:autoSpaceDE w:val="0"/>
              <w:autoSpaceDN w:val="0"/>
              <w:adjustRightInd w:val="0"/>
              <w:spacing w:line="256" w:lineRule="auto"/>
              <w:jc w:val="right"/>
              <w:rPr>
                <w:rFonts w:eastAsia="Calibri"/>
                <w:color w:val="000000"/>
                <w:sz w:val="22"/>
              </w:rPr>
            </w:pPr>
          </w:p>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1</w:t>
            </w:r>
          </w:p>
        </w:tc>
      </w:tr>
      <w:tr w:rsidR="00283FCD" w:rsidRPr="002045F5" w:rsidTr="00283FCD">
        <w:trPr>
          <w:trHeight w:val="434"/>
        </w:trPr>
        <w:tc>
          <w:tcPr>
            <w:tcW w:w="2865" w:type="dxa"/>
            <w:vMerge/>
            <w:tcBorders>
              <w:left w:val="single" w:sz="6" w:space="0" w:color="auto"/>
              <w:right w:val="single" w:sz="6" w:space="0" w:color="auto"/>
            </w:tcBorders>
            <w:shd w:val="clear" w:color="auto" w:fill="C6D9F1" w:themeFill="text2" w:themeFillTint="33"/>
          </w:tcPr>
          <w:p w:rsidR="00283FCD" w:rsidRPr="002045F5" w:rsidRDefault="00283FCD" w:rsidP="00283FCD">
            <w:pPr>
              <w:autoSpaceDE w:val="0"/>
              <w:autoSpaceDN w:val="0"/>
              <w:adjustRightInd w:val="0"/>
              <w:spacing w:line="256" w:lineRule="auto"/>
              <w:jc w:val="right"/>
              <w:rPr>
                <w:rFonts w:eastAsia="Calibri"/>
                <w:b/>
                <w:color w:val="000000"/>
                <w:sz w:val="22"/>
              </w:rPr>
            </w:pPr>
          </w:p>
        </w:tc>
        <w:tc>
          <w:tcPr>
            <w:tcW w:w="3871" w:type="dxa"/>
            <w:gridSpan w:val="3"/>
            <w:tcBorders>
              <w:top w:val="single" w:sz="6" w:space="0" w:color="auto"/>
              <w:left w:val="single" w:sz="6" w:space="0" w:color="auto"/>
              <w:bottom w:val="single" w:sz="6" w:space="0" w:color="auto"/>
              <w:right w:val="single" w:sz="6"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Облаштування сучасної системи охорони</w:t>
            </w:r>
          </w:p>
        </w:tc>
        <w:tc>
          <w:tcPr>
            <w:tcW w:w="1497" w:type="dxa"/>
            <w:gridSpan w:val="2"/>
            <w:tcBorders>
              <w:top w:val="single" w:sz="6" w:space="0" w:color="auto"/>
              <w:left w:val="single" w:sz="6" w:space="0" w:color="auto"/>
              <w:bottom w:val="single" w:sz="6" w:space="0" w:color="auto"/>
              <w:right w:val="single" w:sz="6"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одиниць</w:t>
            </w:r>
          </w:p>
        </w:tc>
        <w:tc>
          <w:tcPr>
            <w:tcW w:w="1690" w:type="dxa"/>
            <w:gridSpan w:val="2"/>
            <w:tcBorders>
              <w:top w:val="single" w:sz="6" w:space="0" w:color="auto"/>
              <w:left w:val="single" w:sz="6" w:space="0" w:color="auto"/>
              <w:bottom w:val="single" w:sz="6" w:space="0" w:color="auto"/>
              <w:right w:val="single" w:sz="6"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 xml:space="preserve">1 </w:t>
            </w:r>
          </w:p>
        </w:tc>
      </w:tr>
      <w:tr w:rsidR="00283FCD" w:rsidRPr="002045F5" w:rsidTr="00283FCD">
        <w:trPr>
          <w:trHeight w:val="434"/>
        </w:trPr>
        <w:tc>
          <w:tcPr>
            <w:tcW w:w="2865" w:type="dxa"/>
            <w:vMerge/>
            <w:tcBorders>
              <w:left w:val="single" w:sz="6" w:space="0" w:color="auto"/>
              <w:bottom w:val="single" w:sz="6" w:space="0" w:color="auto"/>
              <w:right w:val="single" w:sz="6" w:space="0" w:color="auto"/>
            </w:tcBorders>
            <w:shd w:val="clear" w:color="auto" w:fill="C6D9F1" w:themeFill="text2" w:themeFillTint="33"/>
          </w:tcPr>
          <w:p w:rsidR="00283FCD" w:rsidRPr="002045F5" w:rsidRDefault="00283FCD" w:rsidP="00283FCD">
            <w:pPr>
              <w:autoSpaceDE w:val="0"/>
              <w:autoSpaceDN w:val="0"/>
              <w:adjustRightInd w:val="0"/>
              <w:spacing w:line="256" w:lineRule="auto"/>
              <w:jc w:val="right"/>
              <w:rPr>
                <w:rFonts w:eastAsia="Calibri"/>
                <w:b/>
                <w:color w:val="000000"/>
                <w:sz w:val="22"/>
              </w:rPr>
            </w:pPr>
          </w:p>
        </w:tc>
        <w:tc>
          <w:tcPr>
            <w:tcW w:w="3871" w:type="dxa"/>
            <w:gridSpan w:val="3"/>
            <w:tcBorders>
              <w:top w:val="single" w:sz="6" w:space="0" w:color="auto"/>
              <w:left w:val="single" w:sz="6" w:space="0" w:color="auto"/>
              <w:bottom w:val="single" w:sz="6" w:space="0" w:color="auto"/>
              <w:right w:val="single" w:sz="6"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 xml:space="preserve">Реконструкція огорожі </w:t>
            </w:r>
          </w:p>
        </w:tc>
        <w:tc>
          <w:tcPr>
            <w:tcW w:w="1497" w:type="dxa"/>
            <w:gridSpan w:val="2"/>
            <w:tcBorders>
              <w:top w:val="single" w:sz="6" w:space="0" w:color="auto"/>
              <w:left w:val="single" w:sz="6" w:space="0" w:color="auto"/>
              <w:bottom w:val="single" w:sz="6" w:space="0" w:color="auto"/>
              <w:right w:val="single" w:sz="6"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м</w:t>
            </w:r>
          </w:p>
          <w:p w:rsidR="00283FCD" w:rsidRPr="002045F5" w:rsidRDefault="00283FCD" w:rsidP="00283FCD">
            <w:pPr>
              <w:autoSpaceDE w:val="0"/>
              <w:autoSpaceDN w:val="0"/>
              <w:adjustRightInd w:val="0"/>
              <w:spacing w:line="256" w:lineRule="auto"/>
              <w:jc w:val="center"/>
              <w:rPr>
                <w:rFonts w:eastAsia="Calibri"/>
                <w:color w:val="000000"/>
                <w:sz w:val="22"/>
              </w:rPr>
            </w:pPr>
          </w:p>
        </w:tc>
        <w:tc>
          <w:tcPr>
            <w:tcW w:w="1690" w:type="dxa"/>
            <w:gridSpan w:val="2"/>
            <w:tcBorders>
              <w:top w:val="single" w:sz="6" w:space="0" w:color="auto"/>
              <w:left w:val="single" w:sz="6" w:space="0" w:color="auto"/>
              <w:bottom w:val="single" w:sz="6" w:space="0" w:color="auto"/>
              <w:right w:val="single" w:sz="6"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600</w:t>
            </w:r>
          </w:p>
        </w:tc>
      </w:tr>
      <w:tr w:rsidR="00283FCD" w:rsidRPr="002045F5" w:rsidTr="00283FCD">
        <w:trPr>
          <w:trHeight w:val="434"/>
        </w:trPr>
        <w:tc>
          <w:tcPr>
            <w:tcW w:w="2865" w:type="dxa"/>
            <w:tcBorders>
              <w:left w:val="single" w:sz="6" w:space="0" w:color="auto"/>
              <w:bottom w:val="single" w:sz="6" w:space="0" w:color="auto"/>
              <w:right w:val="single" w:sz="6" w:space="0" w:color="auto"/>
            </w:tcBorders>
            <w:shd w:val="clear" w:color="auto" w:fill="C6D9F1" w:themeFill="text2" w:themeFillTint="33"/>
          </w:tcPr>
          <w:p w:rsidR="00283FCD" w:rsidRPr="002045F5" w:rsidRDefault="00283FCD" w:rsidP="00283FCD">
            <w:pPr>
              <w:autoSpaceDE w:val="0"/>
              <w:autoSpaceDN w:val="0"/>
              <w:adjustRightInd w:val="0"/>
              <w:spacing w:line="256" w:lineRule="auto"/>
              <w:jc w:val="right"/>
              <w:rPr>
                <w:rFonts w:eastAsia="Calibri"/>
                <w:b/>
                <w:color w:val="000000"/>
                <w:sz w:val="22"/>
              </w:rPr>
            </w:pPr>
          </w:p>
        </w:tc>
        <w:tc>
          <w:tcPr>
            <w:tcW w:w="3871" w:type="dxa"/>
            <w:gridSpan w:val="3"/>
            <w:tcBorders>
              <w:top w:val="single" w:sz="6" w:space="0" w:color="auto"/>
              <w:left w:val="single" w:sz="6" w:space="0" w:color="auto"/>
              <w:bottom w:val="single" w:sz="6" w:space="0" w:color="auto"/>
              <w:right w:val="single" w:sz="6" w:space="0" w:color="auto"/>
            </w:tcBorders>
          </w:tcPr>
          <w:p w:rsidR="00283FCD" w:rsidRPr="002045F5" w:rsidRDefault="00283FCD" w:rsidP="00283FCD">
            <w:pPr>
              <w:autoSpaceDE w:val="0"/>
              <w:autoSpaceDN w:val="0"/>
              <w:adjustRightInd w:val="0"/>
              <w:spacing w:line="256" w:lineRule="auto"/>
              <w:rPr>
                <w:sz w:val="22"/>
              </w:rPr>
            </w:pPr>
            <w:r w:rsidRPr="002045F5">
              <w:rPr>
                <w:sz w:val="22"/>
              </w:rPr>
              <w:t>Утеплення зовнішніх стін будівлі</w:t>
            </w:r>
          </w:p>
        </w:tc>
        <w:tc>
          <w:tcPr>
            <w:tcW w:w="1497" w:type="dxa"/>
            <w:gridSpan w:val="2"/>
            <w:tcBorders>
              <w:top w:val="single" w:sz="6" w:space="0" w:color="auto"/>
              <w:left w:val="single" w:sz="6" w:space="0" w:color="auto"/>
              <w:bottom w:val="single" w:sz="6" w:space="0" w:color="auto"/>
              <w:right w:val="single" w:sz="6"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м</w:t>
            </w:r>
            <w:r w:rsidRPr="002045F5">
              <w:rPr>
                <w:sz w:val="22"/>
                <w:vertAlign w:val="superscript"/>
              </w:rPr>
              <w:t>2</w:t>
            </w:r>
          </w:p>
        </w:tc>
        <w:tc>
          <w:tcPr>
            <w:tcW w:w="1690" w:type="dxa"/>
            <w:gridSpan w:val="2"/>
            <w:tcBorders>
              <w:top w:val="single" w:sz="6" w:space="0" w:color="auto"/>
              <w:left w:val="single" w:sz="6" w:space="0" w:color="auto"/>
              <w:bottom w:val="single" w:sz="6" w:space="0" w:color="auto"/>
              <w:right w:val="single" w:sz="6"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1850</w:t>
            </w:r>
          </w:p>
        </w:tc>
      </w:tr>
      <w:tr w:rsidR="00283FCD" w:rsidRPr="002045F5" w:rsidTr="00283FCD">
        <w:trPr>
          <w:trHeight w:val="1092"/>
        </w:trPr>
        <w:tc>
          <w:tcPr>
            <w:tcW w:w="2865"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283FCD" w:rsidRPr="002045F5" w:rsidRDefault="00283FCD" w:rsidP="00283FCD">
            <w:pPr>
              <w:autoSpaceDE w:val="0"/>
              <w:autoSpaceDN w:val="0"/>
              <w:adjustRightInd w:val="0"/>
              <w:spacing w:line="256" w:lineRule="auto"/>
              <w:rPr>
                <w:rFonts w:eastAsia="Calibri"/>
                <w:b/>
                <w:color w:val="000000"/>
                <w:sz w:val="22"/>
              </w:rPr>
            </w:pPr>
            <w:r w:rsidRPr="002045F5">
              <w:rPr>
                <w:rFonts w:eastAsia="Calibri"/>
                <w:b/>
                <w:color w:val="000000"/>
                <w:sz w:val="22"/>
              </w:rPr>
              <w:t>Ключові заходи проекту:</w:t>
            </w:r>
          </w:p>
        </w:tc>
        <w:tc>
          <w:tcPr>
            <w:tcW w:w="7058" w:type="dxa"/>
            <w:gridSpan w:val="7"/>
            <w:tcBorders>
              <w:top w:val="single" w:sz="6" w:space="0" w:color="auto"/>
              <w:left w:val="single" w:sz="6" w:space="0" w:color="auto"/>
              <w:bottom w:val="single" w:sz="4" w:space="0" w:color="auto"/>
              <w:right w:val="single" w:sz="6" w:space="0" w:color="auto"/>
            </w:tcBorders>
            <w:hideMark/>
          </w:tcPr>
          <w:p w:rsidR="00283FCD" w:rsidRPr="002045F5" w:rsidRDefault="00283FCD" w:rsidP="000303D7">
            <w:pPr>
              <w:numPr>
                <w:ilvl w:val="0"/>
                <w:numId w:val="131"/>
              </w:numPr>
              <w:contextualSpacing/>
              <w:jc w:val="left"/>
              <w:rPr>
                <w:sz w:val="22"/>
              </w:rPr>
            </w:pPr>
            <w:r w:rsidRPr="002045F5">
              <w:rPr>
                <w:sz w:val="22"/>
              </w:rPr>
              <w:t>Обстеження стану будівлі;</w:t>
            </w:r>
          </w:p>
          <w:p w:rsidR="00283FCD" w:rsidRPr="002045F5" w:rsidRDefault="00283FCD" w:rsidP="000303D7">
            <w:pPr>
              <w:numPr>
                <w:ilvl w:val="0"/>
                <w:numId w:val="131"/>
              </w:numPr>
              <w:shd w:val="clear" w:color="auto" w:fill="FFFFFF"/>
              <w:spacing w:line="256" w:lineRule="auto"/>
              <w:contextualSpacing/>
              <w:rPr>
                <w:sz w:val="22"/>
                <w:vertAlign w:val="superscript"/>
              </w:rPr>
            </w:pPr>
            <w:r w:rsidRPr="002045F5">
              <w:rPr>
                <w:sz w:val="22"/>
              </w:rPr>
              <w:t xml:space="preserve">Підготовка </w:t>
            </w:r>
            <w:proofErr w:type="spellStart"/>
            <w:r w:rsidRPr="002045F5">
              <w:rPr>
                <w:sz w:val="22"/>
              </w:rPr>
              <w:t>проєктно</w:t>
            </w:r>
            <w:proofErr w:type="spellEnd"/>
            <w:r w:rsidRPr="002045F5">
              <w:rPr>
                <w:sz w:val="22"/>
              </w:rPr>
              <w:t>-кошторисної документації;</w:t>
            </w:r>
          </w:p>
          <w:p w:rsidR="002A69C7" w:rsidRPr="002045F5" w:rsidRDefault="002A69C7" w:rsidP="000303D7">
            <w:pPr>
              <w:numPr>
                <w:ilvl w:val="0"/>
                <w:numId w:val="131"/>
              </w:numPr>
              <w:shd w:val="clear" w:color="auto" w:fill="FFFFFF"/>
              <w:spacing w:line="256" w:lineRule="auto"/>
              <w:contextualSpacing/>
              <w:rPr>
                <w:sz w:val="22"/>
                <w:vertAlign w:val="superscript"/>
              </w:rPr>
            </w:pPr>
            <w:r w:rsidRPr="002045F5">
              <w:rPr>
                <w:sz w:val="22"/>
              </w:rPr>
              <w:t>Виконання капітального ремонту.</w:t>
            </w:r>
          </w:p>
          <w:p w:rsidR="00283FCD" w:rsidRPr="002045F5" w:rsidRDefault="00283FCD" w:rsidP="000303D7">
            <w:pPr>
              <w:numPr>
                <w:ilvl w:val="0"/>
                <w:numId w:val="131"/>
              </w:numPr>
              <w:contextualSpacing/>
              <w:jc w:val="left"/>
              <w:rPr>
                <w:sz w:val="22"/>
              </w:rPr>
            </w:pPr>
            <w:r w:rsidRPr="002045F5">
              <w:rPr>
                <w:sz w:val="22"/>
              </w:rPr>
              <w:t>Організація та початок робочого процесу.</w:t>
            </w:r>
          </w:p>
          <w:p w:rsidR="00283FCD" w:rsidRPr="002045F5" w:rsidRDefault="00283FCD" w:rsidP="002A69C7">
            <w:pPr>
              <w:pStyle w:val="a7"/>
              <w:shd w:val="clear" w:color="auto" w:fill="FFFFFF"/>
              <w:spacing w:line="256" w:lineRule="auto"/>
              <w:rPr>
                <w:rFonts w:eastAsia="Calibri"/>
                <w:color w:val="000000"/>
                <w:sz w:val="22"/>
              </w:rPr>
            </w:pPr>
          </w:p>
        </w:tc>
      </w:tr>
      <w:tr w:rsidR="00283FCD" w:rsidRPr="002045F5" w:rsidTr="00283FCD">
        <w:trPr>
          <w:trHeight w:val="620"/>
        </w:trPr>
        <w:tc>
          <w:tcPr>
            <w:tcW w:w="2865" w:type="dxa"/>
            <w:vMerge w:val="restart"/>
            <w:tcBorders>
              <w:top w:val="single" w:sz="6" w:space="0" w:color="auto"/>
              <w:left w:val="single" w:sz="6" w:space="0" w:color="auto"/>
              <w:bottom w:val="single" w:sz="6" w:space="0" w:color="auto"/>
              <w:right w:val="single" w:sz="4" w:space="0" w:color="auto"/>
            </w:tcBorders>
            <w:shd w:val="clear" w:color="auto" w:fill="C6D9F1" w:themeFill="text2" w:themeFillTint="33"/>
            <w:hideMark/>
          </w:tcPr>
          <w:p w:rsidR="00283FCD" w:rsidRPr="002045F5" w:rsidRDefault="00283FCD" w:rsidP="00283FCD">
            <w:pPr>
              <w:autoSpaceDE w:val="0"/>
              <w:autoSpaceDN w:val="0"/>
              <w:adjustRightInd w:val="0"/>
              <w:spacing w:line="256" w:lineRule="auto"/>
              <w:rPr>
                <w:rFonts w:eastAsia="Calibri"/>
                <w:b/>
                <w:color w:val="000000"/>
                <w:sz w:val="22"/>
              </w:rPr>
            </w:pPr>
            <w:r w:rsidRPr="002045F5">
              <w:rPr>
                <w:rFonts w:eastAsia="Calibri"/>
                <w:b/>
                <w:color w:val="000000"/>
                <w:sz w:val="22"/>
              </w:rPr>
              <w:t>Орієнтовний обсяг та джерела фінансування тис. гривень</w:t>
            </w:r>
          </w:p>
        </w:tc>
        <w:tc>
          <w:tcPr>
            <w:tcW w:w="1784" w:type="dxa"/>
            <w:vMerge w:val="restart"/>
            <w:tcBorders>
              <w:top w:val="single" w:sz="4" w:space="0" w:color="auto"/>
              <w:left w:val="single" w:sz="4" w:space="0" w:color="auto"/>
              <w:bottom w:val="single" w:sz="4" w:space="0" w:color="auto"/>
              <w:right w:val="single" w:sz="4" w:space="0" w:color="auto"/>
            </w:tcBorders>
            <w:hideMark/>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державний бюджет</w:t>
            </w:r>
          </w:p>
        </w:tc>
        <w:tc>
          <w:tcPr>
            <w:tcW w:w="1275" w:type="dxa"/>
            <w:vMerge w:val="restart"/>
            <w:tcBorders>
              <w:top w:val="single" w:sz="4" w:space="0" w:color="auto"/>
              <w:left w:val="single" w:sz="4" w:space="0" w:color="auto"/>
              <w:right w:val="single" w:sz="4" w:space="0" w:color="auto"/>
            </w:tcBorders>
            <w:hideMark/>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місцевий бюджет</w:t>
            </w:r>
          </w:p>
        </w:tc>
        <w:tc>
          <w:tcPr>
            <w:tcW w:w="2960" w:type="dxa"/>
            <w:gridSpan w:val="4"/>
            <w:tcBorders>
              <w:top w:val="single" w:sz="4" w:space="0" w:color="auto"/>
              <w:left w:val="single" w:sz="4" w:space="0" w:color="auto"/>
              <w:right w:val="single" w:sz="4" w:space="0" w:color="auto"/>
            </w:tcBorders>
            <w:hideMark/>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Інші джерела</w:t>
            </w:r>
          </w:p>
        </w:tc>
        <w:tc>
          <w:tcPr>
            <w:tcW w:w="1039" w:type="dxa"/>
            <w:vMerge w:val="restart"/>
            <w:tcBorders>
              <w:top w:val="single" w:sz="4" w:space="0" w:color="auto"/>
              <w:left w:val="single" w:sz="4" w:space="0" w:color="auto"/>
              <w:bottom w:val="single" w:sz="4" w:space="0" w:color="auto"/>
              <w:right w:val="single" w:sz="4" w:space="0" w:color="auto"/>
            </w:tcBorders>
            <w:vAlign w:val="center"/>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Всього</w:t>
            </w:r>
          </w:p>
          <w:p w:rsidR="00283FCD" w:rsidRPr="002045F5" w:rsidRDefault="00283FCD" w:rsidP="00283FCD">
            <w:pPr>
              <w:autoSpaceDE w:val="0"/>
              <w:autoSpaceDN w:val="0"/>
              <w:adjustRightInd w:val="0"/>
              <w:spacing w:line="256" w:lineRule="auto"/>
              <w:jc w:val="center"/>
              <w:rPr>
                <w:rFonts w:eastAsia="Calibri"/>
                <w:color w:val="000000"/>
                <w:sz w:val="22"/>
              </w:rPr>
            </w:pPr>
          </w:p>
          <w:p w:rsidR="00283FCD" w:rsidRPr="002045F5" w:rsidRDefault="00283FCD" w:rsidP="00283FCD">
            <w:pPr>
              <w:autoSpaceDE w:val="0"/>
              <w:autoSpaceDN w:val="0"/>
              <w:adjustRightInd w:val="0"/>
              <w:spacing w:line="256" w:lineRule="auto"/>
              <w:jc w:val="center"/>
              <w:rPr>
                <w:rFonts w:eastAsia="Calibri"/>
                <w:color w:val="000000"/>
                <w:sz w:val="22"/>
              </w:rPr>
            </w:pPr>
          </w:p>
        </w:tc>
      </w:tr>
      <w:tr w:rsidR="00283FCD" w:rsidRPr="002045F5" w:rsidTr="00283FCD">
        <w:trPr>
          <w:trHeight w:val="48"/>
        </w:trPr>
        <w:tc>
          <w:tcPr>
            <w:tcW w:w="2865" w:type="dxa"/>
            <w:vMerge/>
            <w:tcBorders>
              <w:top w:val="single" w:sz="6" w:space="0" w:color="auto"/>
              <w:left w:val="single" w:sz="6" w:space="0" w:color="auto"/>
              <w:bottom w:val="single" w:sz="6" w:space="0" w:color="auto"/>
              <w:right w:val="single" w:sz="4" w:space="0" w:color="auto"/>
            </w:tcBorders>
            <w:shd w:val="clear" w:color="auto" w:fill="C6D9F1" w:themeFill="text2" w:themeFillTint="33"/>
            <w:vAlign w:val="center"/>
            <w:hideMark/>
          </w:tcPr>
          <w:p w:rsidR="00283FCD" w:rsidRPr="002045F5" w:rsidRDefault="00283FCD" w:rsidP="00283FCD">
            <w:pPr>
              <w:spacing w:line="256" w:lineRule="auto"/>
              <w:rPr>
                <w:rFonts w:eastAsia="Calibri"/>
                <w:b/>
                <w:color w:val="000000"/>
                <w:sz w:val="22"/>
              </w:rPr>
            </w:pPr>
          </w:p>
        </w:tc>
        <w:tc>
          <w:tcPr>
            <w:tcW w:w="1784" w:type="dxa"/>
            <w:vMerge/>
            <w:tcBorders>
              <w:top w:val="single" w:sz="4" w:space="0" w:color="auto"/>
              <w:left w:val="single" w:sz="4" w:space="0" w:color="auto"/>
              <w:bottom w:val="single" w:sz="4" w:space="0" w:color="auto"/>
              <w:right w:val="single" w:sz="4" w:space="0" w:color="auto"/>
            </w:tcBorders>
            <w:vAlign w:val="center"/>
            <w:hideMark/>
          </w:tcPr>
          <w:p w:rsidR="00283FCD" w:rsidRPr="002045F5" w:rsidRDefault="00283FCD" w:rsidP="00283FCD">
            <w:pPr>
              <w:spacing w:line="256" w:lineRule="auto"/>
              <w:jc w:val="center"/>
              <w:rPr>
                <w:rFonts w:eastAsia="Calibri"/>
                <w:color w:val="000000"/>
                <w:sz w:val="22"/>
              </w:rPr>
            </w:pPr>
          </w:p>
        </w:tc>
        <w:tc>
          <w:tcPr>
            <w:tcW w:w="1275" w:type="dxa"/>
            <w:vMerge/>
            <w:tcBorders>
              <w:left w:val="single" w:sz="4" w:space="0" w:color="auto"/>
              <w:bottom w:val="single" w:sz="4" w:space="0" w:color="auto"/>
              <w:right w:val="single" w:sz="4"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p>
        </w:tc>
        <w:tc>
          <w:tcPr>
            <w:tcW w:w="851" w:type="dxa"/>
            <w:gridSpan w:val="2"/>
            <w:tcBorders>
              <w:top w:val="single" w:sz="4" w:space="0" w:color="auto"/>
              <w:left w:val="single" w:sz="4" w:space="0" w:color="auto"/>
              <w:bottom w:val="single" w:sz="4" w:space="0" w:color="auto"/>
              <w:right w:val="single" w:sz="4" w:space="0" w:color="auto"/>
            </w:tcBorders>
            <w:hideMark/>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Обсяг</w:t>
            </w:r>
          </w:p>
        </w:tc>
        <w:tc>
          <w:tcPr>
            <w:tcW w:w="2109" w:type="dxa"/>
            <w:gridSpan w:val="2"/>
            <w:tcBorders>
              <w:top w:val="single" w:sz="4" w:space="0" w:color="auto"/>
              <w:left w:val="single" w:sz="4" w:space="0" w:color="auto"/>
              <w:bottom w:val="single" w:sz="4" w:space="0" w:color="auto"/>
              <w:right w:val="single" w:sz="4" w:space="0" w:color="auto"/>
            </w:tcBorders>
            <w:hideMark/>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Назва    джерела</w:t>
            </w:r>
          </w:p>
        </w:tc>
        <w:tc>
          <w:tcPr>
            <w:tcW w:w="1039" w:type="dxa"/>
            <w:vMerge/>
            <w:tcBorders>
              <w:top w:val="single" w:sz="4" w:space="0" w:color="auto"/>
              <w:left w:val="single" w:sz="4" w:space="0" w:color="auto"/>
              <w:bottom w:val="single" w:sz="4" w:space="0" w:color="auto"/>
              <w:right w:val="single" w:sz="4" w:space="0" w:color="auto"/>
            </w:tcBorders>
            <w:vAlign w:val="center"/>
            <w:hideMark/>
          </w:tcPr>
          <w:p w:rsidR="00283FCD" w:rsidRPr="002045F5" w:rsidRDefault="00283FCD" w:rsidP="00283FCD">
            <w:pPr>
              <w:spacing w:line="256" w:lineRule="auto"/>
              <w:jc w:val="center"/>
              <w:rPr>
                <w:rFonts w:eastAsia="Calibri"/>
                <w:color w:val="000000"/>
                <w:sz w:val="22"/>
              </w:rPr>
            </w:pPr>
          </w:p>
        </w:tc>
      </w:tr>
      <w:tr w:rsidR="00283FCD" w:rsidRPr="002045F5" w:rsidTr="00283FCD">
        <w:trPr>
          <w:trHeight w:val="272"/>
        </w:trPr>
        <w:tc>
          <w:tcPr>
            <w:tcW w:w="2865" w:type="dxa"/>
            <w:vMerge/>
            <w:tcBorders>
              <w:top w:val="single" w:sz="6" w:space="0" w:color="auto"/>
              <w:left w:val="single" w:sz="6" w:space="0" w:color="auto"/>
              <w:bottom w:val="single" w:sz="6" w:space="0" w:color="auto"/>
              <w:right w:val="single" w:sz="4" w:space="0" w:color="auto"/>
            </w:tcBorders>
            <w:shd w:val="clear" w:color="auto" w:fill="C6D9F1" w:themeFill="text2" w:themeFillTint="33"/>
            <w:vAlign w:val="center"/>
            <w:hideMark/>
          </w:tcPr>
          <w:p w:rsidR="00283FCD" w:rsidRPr="002045F5" w:rsidRDefault="00283FCD" w:rsidP="00283FCD">
            <w:pPr>
              <w:spacing w:line="256" w:lineRule="auto"/>
              <w:rPr>
                <w:rFonts w:eastAsia="Calibri"/>
                <w:b/>
                <w:color w:val="000000"/>
                <w:sz w:val="22"/>
              </w:rPr>
            </w:pPr>
          </w:p>
        </w:tc>
        <w:tc>
          <w:tcPr>
            <w:tcW w:w="1784" w:type="dxa"/>
            <w:tcBorders>
              <w:top w:val="single" w:sz="4" w:space="0" w:color="auto"/>
              <w:left w:val="single" w:sz="4" w:space="0" w:color="auto"/>
              <w:bottom w:val="single" w:sz="4" w:space="0" w:color="auto"/>
              <w:right w:val="single" w:sz="4" w:space="0" w:color="auto"/>
            </w:tcBorders>
            <w:hideMark/>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26 162,0</w:t>
            </w:r>
          </w:p>
        </w:tc>
        <w:tc>
          <w:tcPr>
            <w:tcW w:w="1275" w:type="dxa"/>
            <w:tcBorders>
              <w:top w:val="single" w:sz="4" w:space="0" w:color="auto"/>
              <w:left w:val="single" w:sz="4" w:space="0" w:color="auto"/>
              <w:bottom w:val="single" w:sz="4" w:space="0" w:color="auto"/>
              <w:right w:val="single" w:sz="4"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p>
        </w:tc>
        <w:tc>
          <w:tcPr>
            <w:tcW w:w="851" w:type="dxa"/>
            <w:gridSpan w:val="2"/>
            <w:tcBorders>
              <w:top w:val="single" w:sz="4" w:space="0" w:color="auto"/>
              <w:left w:val="single" w:sz="4" w:space="0" w:color="auto"/>
              <w:bottom w:val="single" w:sz="4" w:space="0" w:color="auto"/>
              <w:right w:val="single" w:sz="4" w:space="0" w:color="auto"/>
            </w:tcBorders>
            <w:hideMark/>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3 033,0</w:t>
            </w:r>
          </w:p>
        </w:tc>
        <w:tc>
          <w:tcPr>
            <w:tcW w:w="2109" w:type="dxa"/>
            <w:gridSpan w:val="2"/>
            <w:tcBorders>
              <w:top w:val="single" w:sz="4" w:space="0" w:color="auto"/>
              <w:left w:val="single" w:sz="4" w:space="0" w:color="auto"/>
              <w:bottom w:val="single" w:sz="4" w:space="0" w:color="auto"/>
              <w:right w:val="single" w:sz="4" w:space="0" w:color="auto"/>
            </w:tcBorders>
            <w:hideMark/>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Гранти, громадський бюджет,</w:t>
            </w:r>
            <w:r w:rsidRPr="002045F5">
              <w:rPr>
                <w:b/>
                <w:color w:val="202122"/>
                <w:sz w:val="22"/>
                <w:shd w:val="clear" w:color="auto" w:fill="FFFFFF"/>
              </w:rPr>
              <w:t xml:space="preserve"> </w:t>
            </w:r>
            <w:proofErr w:type="spellStart"/>
            <w:r w:rsidRPr="002045F5">
              <w:rPr>
                <w:color w:val="202122"/>
                <w:sz w:val="22"/>
                <w:shd w:val="clear" w:color="auto" w:fill="FFFFFF"/>
              </w:rPr>
              <w:t>краудфа́ндинг</w:t>
            </w:r>
            <w:proofErr w:type="spellEnd"/>
          </w:p>
        </w:tc>
        <w:tc>
          <w:tcPr>
            <w:tcW w:w="1039" w:type="dxa"/>
            <w:tcBorders>
              <w:top w:val="single" w:sz="4" w:space="0" w:color="auto"/>
              <w:left w:val="single" w:sz="4" w:space="0" w:color="auto"/>
              <w:bottom w:val="single" w:sz="4" w:space="0" w:color="auto"/>
              <w:right w:val="single" w:sz="4" w:space="0" w:color="auto"/>
            </w:tcBorders>
            <w:hideMark/>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29 195 ,0</w:t>
            </w:r>
          </w:p>
        </w:tc>
      </w:tr>
    </w:tbl>
    <w:p w:rsidR="00507D67" w:rsidRPr="002045F5" w:rsidRDefault="00507D67" w:rsidP="00E95FB1">
      <w:pPr>
        <w:rPr>
          <w:sz w:val="22"/>
        </w:rPr>
      </w:pPr>
    </w:p>
    <w:p w:rsidR="00283FCD" w:rsidRPr="002045F5" w:rsidRDefault="00283FCD" w:rsidP="00E95FB1">
      <w:pPr>
        <w:rPr>
          <w:sz w:val="22"/>
        </w:rPr>
      </w:pPr>
    </w:p>
    <w:p w:rsidR="00283FCD" w:rsidRPr="002045F5" w:rsidRDefault="00283FCD" w:rsidP="00E95FB1">
      <w:pPr>
        <w:rPr>
          <w:sz w:val="22"/>
        </w:rPr>
      </w:pPr>
    </w:p>
    <w:p w:rsidR="00283FCD" w:rsidRPr="002045F5" w:rsidRDefault="00283FCD" w:rsidP="00E95FB1">
      <w:pPr>
        <w:rPr>
          <w:sz w:val="22"/>
        </w:rPr>
      </w:pPr>
    </w:p>
    <w:p w:rsidR="00283FCD" w:rsidRPr="002045F5" w:rsidRDefault="00283FCD" w:rsidP="00E95FB1">
      <w:pPr>
        <w:rPr>
          <w:sz w:val="22"/>
        </w:rPr>
      </w:pPr>
    </w:p>
    <w:p w:rsidR="00283FCD" w:rsidRPr="002045F5" w:rsidRDefault="00283FCD" w:rsidP="00E95FB1">
      <w:pPr>
        <w:rPr>
          <w:sz w:val="22"/>
        </w:rPr>
      </w:pPr>
    </w:p>
    <w:tbl>
      <w:tblPr>
        <w:tblpPr w:leftFromText="180" w:rightFromText="180" w:bottomFromText="160" w:vertAnchor="text" w:horzAnchor="margin" w:tblpX="-254" w:tblpY="123"/>
        <w:tblW w:w="9953" w:type="dxa"/>
        <w:tblLayout w:type="fixed"/>
        <w:tblCellMar>
          <w:left w:w="30" w:type="dxa"/>
          <w:right w:w="30" w:type="dxa"/>
        </w:tblCellMar>
        <w:tblLook w:val="04A0" w:firstRow="1" w:lastRow="0" w:firstColumn="1" w:lastColumn="0" w:noHBand="0" w:noVBand="1"/>
      </w:tblPr>
      <w:tblGrid>
        <w:gridCol w:w="3007"/>
        <w:gridCol w:w="1276"/>
        <w:gridCol w:w="1134"/>
        <w:gridCol w:w="1134"/>
        <w:gridCol w:w="142"/>
        <w:gridCol w:w="1559"/>
        <w:gridCol w:w="142"/>
        <w:gridCol w:w="1559"/>
      </w:tblGrid>
      <w:tr w:rsidR="00283FCD" w:rsidRPr="002045F5" w:rsidTr="00283FCD">
        <w:trPr>
          <w:trHeight w:val="559"/>
        </w:trPr>
        <w:tc>
          <w:tcPr>
            <w:tcW w:w="3007"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283FCD" w:rsidRPr="002045F5" w:rsidRDefault="00283FCD" w:rsidP="00283FCD">
            <w:pPr>
              <w:autoSpaceDE w:val="0"/>
              <w:autoSpaceDN w:val="0"/>
              <w:adjustRightInd w:val="0"/>
              <w:spacing w:line="256" w:lineRule="auto"/>
              <w:rPr>
                <w:rFonts w:eastAsia="Calibri"/>
                <w:b/>
                <w:sz w:val="22"/>
              </w:rPr>
            </w:pPr>
            <w:r w:rsidRPr="002045F5">
              <w:rPr>
                <w:rFonts w:eastAsia="Calibri"/>
                <w:b/>
                <w:sz w:val="22"/>
              </w:rPr>
              <w:lastRenderedPageBreak/>
              <w:t>Оперативна ціль/завдання</w:t>
            </w:r>
          </w:p>
        </w:tc>
        <w:tc>
          <w:tcPr>
            <w:tcW w:w="6946" w:type="dxa"/>
            <w:gridSpan w:val="7"/>
            <w:tcBorders>
              <w:top w:val="single" w:sz="6" w:space="0" w:color="auto"/>
              <w:left w:val="single" w:sz="6" w:space="0" w:color="auto"/>
              <w:bottom w:val="single" w:sz="6" w:space="0" w:color="auto"/>
              <w:right w:val="single" w:sz="6" w:space="0" w:color="auto"/>
            </w:tcBorders>
            <w:hideMark/>
          </w:tcPr>
          <w:p w:rsidR="00283FCD" w:rsidRPr="002045F5" w:rsidRDefault="00283FCD" w:rsidP="00283FCD">
            <w:pPr>
              <w:autoSpaceDE w:val="0"/>
              <w:autoSpaceDN w:val="0"/>
              <w:adjustRightInd w:val="0"/>
              <w:spacing w:line="256" w:lineRule="auto"/>
              <w:rPr>
                <w:rFonts w:eastAsia="Calibri"/>
                <w:sz w:val="22"/>
              </w:rPr>
            </w:pPr>
            <w:r w:rsidRPr="002045F5">
              <w:rPr>
                <w:rFonts w:eastAsia="Calibri"/>
                <w:sz w:val="22"/>
              </w:rPr>
              <w:t xml:space="preserve">Людський розвиток через інновації управління та довіру до влади. Формування сучасного інклюзивного </w:t>
            </w:r>
            <w:proofErr w:type="spellStart"/>
            <w:r w:rsidRPr="002045F5">
              <w:rPr>
                <w:rFonts w:eastAsia="Calibri"/>
                <w:sz w:val="22"/>
              </w:rPr>
              <w:t>освітньо</w:t>
            </w:r>
            <w:proofErr w:type="spellEnd"/>
            <w:r w:rsidRPr="002045F5">
              <w:rPr>
                <w:rFonts w:eastAsia="Calibri"/>
                <w:sz w:val="22"/>
              </w:rPr>
              <w:t>-культурного та спортивного простору для розвитку</w:t>
            </w:r>
          </w:p>
        </w:tc>
      </w:tr>
      <w:tr w:rsidR="00283FCD" w:rsidRPr="002045F5" w:rsidTr="00283FCD">
        <w:trPr>
          <w:trHeight w:val="268"/>
        </w:trPr>
        <w:tc>
          <w:tcPr>
            <w:tcW w:w="3007"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283FCD" w:rsidRPr="002045F5" w:rsidRDefault="00283FCD" w:rsidP="00283FCD">
            <w:pPr>
              <w:autoSpaceDE w:val="0"/>
              <w:autoSpaceDN w:val="0"/>
              <w:adjustRightInd w:val="0"/>
              <w:spacing w:line="256" w:lineRule="auto"/>
              <w:rPr>
                <w:rFonts w:eastAsia="Calibri"/>
                <w:b/>
                <w:color w:val="000000"/>
                <w:sz w:val="22"/>
              </w:rPr>
            </w:pPr>
            <w:r w:rsidRPr="002045F5">
              <w:rPr>
                <w:rFonts w:eastAsia="Calibri"/>
                <w:b/>
                <w:color w:val="000000"/>
                <w:sz w:val="22"/>
              </w:rPr>
              <w:t>Назва проекту:</w:t>
            </w:r>
          </w:p>
        </w:tc>
        <w:tc>
          <w:tcPr>
            <w:tcW w:w="6946" w:type="dxa"/>
            <w:gridSpan w:val="7"/>
            <w:tcBorders>
              <w:top w:val="single" w:sz="6" w:space="0" w:color="auto"/>
              <w:left w:val="single" w:sz="6" w:space="0" w:color="auto"/>
              <w:bottom w:val="single" w:sz="6" w:space="0" w:color="auto"/>
              <w:right w:val="single" w:sz="6" w:space="0" w:color="auto"/>
            </w:tcBorders>
            <w:hideMark/>
          </w:tcPr>
          <w:p w:rsidR="00283FCD" w:rsidRPr="002045F5" w:rsidRDefault="00283FCD" w:rsidP="006B0A3B">
            <w:pPr>
              <w:autoSpaceDE w:val="0"/>
              <w:autoSpaceDN w:val="0"/>
              <w:adjustRightInd w:val="0"/>
              <w:spacing w:line="256" w:lineRule="auto"/>
              <w:rPr>
                <w:rFonts w:eastAsia="Calibri"/>
                <w:color w:val="FF0000"/>
                <w:sz w:val="22"/>
              </w:rPr>
            </w:pPr>
            <w:r w:rsidRPr="002045F5">
              <w:rPr>
                <w:sz w:val="22"/>
              </w:rPr>
              <w:t xml:space="preserve">Відновлення діяльності  Сєвєродонецького міського Центру національно-патріотичного виховання, туризму та краєзнавства учнівської молоді, що знаходиться за </w:t>
            </w:r>
            <w:proofErr w:type="spellStart"/>
            <w:r w:rsidRPr="002045F5">
              <w:rPr>
                <w:sz w:val="22"/>
              </w:rPr>
              <w:t>адресою</w:t>
            </w:r>
            <w:proofErr w:type="spellEnd"/>
            <w:r w:rsidRPr="002045F5">
              <w:rPr>
                <w:sz w:val="22"/>
              </w:rPr>
              <w:t>: проспект Центральний</w:t>
            </w:r>
            <w:r w:rsidR="006B0A3B" w:rsidRPr="002045F5">
              <w:rPr>
                <w:sz w:val="22"/>
              </w:rPr>
              <w:t>,</w:t>
            </w:r>
            <w:r w:rsidRPr="002045F5">
              <w:rPr>
                <w:sz w:val="22"/>
              </w:rPr>
              <w:t xml:space="preserve"> 54-А  </w:t>
            </w:r>
          </w:p>
        </w:tc>
      </w:tr>
      <w:tr w:rsidR="00283FCD" w:rsidRPr="002045F5" w:rsidTr="00283FCD">
        <w:trPr>
          <w:trHeight w:val="994"/>
        </w:trPr>
        <w:tc>
          <w:tcPr>
            <w:tcW w:w="3007"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283FCD" w:rsidRPr="002045F5" w:rsidRDefault="00283FCD" w:rsidP="00283FCD">
            <w:pPr>
              <w:autoSpaceDE w:val="0"/>
              <w:autoSpaceDN w:val="0"/>
              <w:adjustRightInd w:val="0"/>
              <w:spacing w:line="256" w:lineRule="auto"/>
              <w:rPr>
                <w:rFonts w:eastAsia="Calibri"/>
                <w:b/>
                <w:color w:val="000000"/>
                <w:sz w:val="22"/>
              </w:rPr>
            </w:pPr>
            <w:r w:rsidRPr="002045F5">
              <w:rPr>
                <w:rFonts w:eastAsia="Calibri"/>
                <w:b/>
                <w:color w:val="000000"/>
                <w:sz w:val="22"/>
              </w:rPr>
              <w:t>Ціль проекту</w:t>
            </w:r>
          </w:p>
        </w:tc>
        <w:tc>
          <w:tcPr>
            <w:tcW w:w="6946" w:type="dxa"/>
            <w:gridSpan w:val="7"/>
            <w:tcBorders>
              <w:top w:val="single" w:sz="6" w:space="0" w:color="auto"/>
              <w:left w:val="single" w:sz="6" w:space="0" w:color="auto"/>
              <w:bottom w:val="single" w:sz="6" w:space="0" w:color="auto"/>
              <w:right w:val="single" w:sz="6" w:space="0" w:color="auto"/>
            </w:tcBorders>
            <w:hideMark/>
          </w:tcPr>
          <w:p w:rsidR="00283FCD" w:rsidRPr="002045F5" w:rsidRDefault="00283FCD" w:rsidP="00283FCD">
            <w:pPr>
              <w:autoSpaceDE w:val="0"/>
              <w:autoSpaceDN w:val="0"/>
              <w:adjustRightInd w:val="0"/>
              <w:spacing w:line="256" w:lineRule="auto"/>
              <w:rPr>
                <w:rFonts w:eastAsia="Calibri"/>
                <w:color w:val="000000"/>
                <w:sz w:val="22"/>
              </w:rPr>
            </w:pPr>
            <w:r w:rsidRPr="002045F5">
              <w:rPr>
                <w:sz w:val="22"/>
              </w:rPr>
              <w:t xml:space="preserve">Відновити та покращити роботу Сєвєродонецького міського Центру національно-патріотичного виховання, туризму та краєзнавства учнівської молоді для організації широкого спектру  </w:t>
            </w:r>
            <w:proofErr w:type="spellStart"/>
            <w:r w:rsidRPr="002045F5">
              <w:rPr>
                <w:sz w:val="22"/>
              </w:rPr>
              <w:t>освітньо</w:t>
            </w:r>
            <w:proofErr w:type="spellEnd"/>
            <w:r w:rsidRPr="002045F5">
              <w:rPr>
                <w:sz w:val="22"/>
              </w:rPr>
              <w:t>-виховної, національно-патріотичної, туристично-краєзнавчої, культурно-просвітницької та спортивно-оздоровчої  діяльності,  пов’язаної із задоволення потреб мешканців Сєвєродонецької міської територіальної громади у необхідних послугах  та забезпечення якісного рівня життя.</w:t>
            </w:r>
          </w:p>
        </w:tc>
      </w:tr>
      <w:tr w:rsidR="00283FCD" w:rsidRPr="002045F5" w:rsidTr="00283FCD">
        <w:trPr>
          <w:trHeight w:val="268"/>
        </w:trPr>
        <w:tc>
          <w:tcPr>
            <w:tcW w:w="3007"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283FCD" w:rsidRPr="002045F5" w:rsidRDefault="00283FCD" w:rsidP="00283FCD">
            <w:pPr>
              <w:autoSpaceDE w:val="0"/>
              <w:autoSpaceDN w:val="0"/>
              <w:adjustRightInd w:val="0"/>
              <w:spacing w:line="256" w:lineRule="auto"/>
              <w:rPr>
                <w:rFonts w:eastAsia="Calibri"/>
                <w:b/>
                <w:color w:val="000000"/>
                <w:sz w:val="22"/>
              </w:rPr>
            </w:pPr>
            <w:r w:rsidRPr="002045F5">
              <w:rPr>
                <w:rFonts w:eastAsia="Calibri"/>
                <w:b/>
                <w:color w:val="000000"/>
                <w:sz w:val="22"/>
              </w:rPr>
              <w:t>Територія, на яку матиме вплив реалізація проекту</w:t>
            </w:r>
          </w:p>
        </w:tc>
        <w:tc>
          <w:tcPr>
            <w:tcW w:w="6946" w:type="dxa"/>
            <w:gridSpan w:val="7"/>
            <w:tcBorders>
              <w:top w:val="single" w:sz="6" w:space="0" w:color="auto"/>
              <w:left w:val="single" w:sz="6" w:space="0" w:color="auto"/>
              <w:bottom w:val="single" w:sz="6" w:space="0" w:color="auto"/>
              <w:right w:val="single" w:sz="6" w:space="0" w:color="auto"/>
            </w:tcBorders>
            <w:hideMark/>
          </w:tcPr>
          <w:p w:rsidR="00283FCD" w:rsidRPr="002045F5" w:rsidRDefault="00283FCD" w:rsidP="00283FCD">
            <w:pPr>
              <w:autoSpaceDE w:val="0"/>
              <w:autoSpaceDN w:val="0"/>
              <w:adjustRightInd w:val="0"/>
              <w:spacing w:line="256" w:lineRule="auto"/>
              <w:rPr>
                <w:rFonts w:eastAsia="Calibri"/>
                <w:color w:val="000000"/>
                <w:sz w:val="22"/>
              </w:rPr>
            </w:pPr>
            <w:r w:rsidRPr="002045F5">
              <w:rPr>
                <w:rFonts w:eastAsia="Calibri"/>
                <w:color w:val="000000"/>
                <w:sz w:val="22"/>
              </w:rPr>
              <w:t>Сєвєродонецька міська територіальна громада</w:t>
            </w:r>
          </w:p>
        </w:tc>
      </w:tr>
      <w:tr w:rsidR="00283FCD" w:rsidRPr="002045F5" w:rsidTr="00283FCD">
        <w:trPr>
          <w:trHeight w:val="260"/>
        </w:trPr>
        <w:tc>
          <w:tcPr>
            <w:tcW w:w="3007"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283FCD" w:rsidRPr="002045F5" w:rsidRDefault="00283FCD" w:rsidP="00283FCD">
            <w:pPr>
              <w:autoSpaceDE w:val="0"/>
              <w:autoSpaceDN w:val="0"/>
              <w:adjustRightInd w:val="0"/>
              <w:spacing w:line="256" w:lineRule="auto"/>
              <w:rPr>
                <w:rFonts w:eastAsia="Calibri"/>
                <w:b/>
                <w:color w:val="000000"/>
                <w:sz w:val="22"/>
              </w:rPr>
            </w:pPr>
            <w:r w:rsidRPr="002045F5">
              <w:rPr>
                <w:rFonts w:eastAsia="Calibri"/>
                <w:b/>
                <w:color w:val="000000"/>
                <w:sz w:val="22"/>
              </w:rPr>
              <w:t>Чисельність населення, на яке матиме вплив реалізація проекту</w:t>
            </w:r>
          </w:p>
        </w:tc>
        <w:tc>
          <w:tcPr>
            <w:tcW w:w="6946" w:type="dxa"/>
            <w:gridSpan w:val="7"/>
            <w:tcBorders>
              <w:top w:val="single" w:sz="6" w:space="0" w:color="auto"/>
              <w:left w:val="single" w:sz="6" w:space="0" w:color="auto"/>
              <w:bottom w:val="single" w:sz="6" w:space="0" w:color="auto"/>
              <w:right w:val="single" w:sz="6" w:space="0" w:color="auto"/>
            </w:tcBorders>
            <w:hideMark/>
          </w:tcPr>
          <w:p w:rsidR="00283FCD" w:rsidRPr="002045F5" w:rsidRDefault="00283FCD" w:rsidP="00283FCD">
            <w:pPr>
              <w:autoSpaceDE w:val="0"/>
              <w:autoSpaceDN w:val="0"/>
              <w:adjustRightInd w:val="0"/>
              <w:spacing w:line="256" w:lineRule="auto"/>
              <w:rPr>
                <w:rFonts w:eastAsia="Calibri"/>
                <w:color w:val="000000"/>
                <w:sz w:val="22"/>
              </w:rPr>
            </w:pPr>
            <w:r w:rsidRPr="002045F5">
              <w:rPr>
                <w:sz w:val="22"/>
              </w:rPr>
              <w:t xml:space="preserve">70 000 осіб </w:t>
            </w:r>
          </w:p>
        </w:tc>
      </w:tr>
      <w:tr w:rsidR="00283FCD" w:rsidRPr="002045F5" w:rsidTr="00283FCD">
        <w:trPr>
          <w:trHeight w:val="1132"/>
        </w:trPr>
        <w:tc>
          <w:tcPr>
            <w:tcW w:w="3007"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283FCD" w:rsidRPr="002045F5" w:rsidRDefault="00283FCD" w:rsidP="00283FCD">
            <w:pPr>
              <w:autoSpaceDE w:val="0"/>
              <w:autoSpaceDN w:val="0"/>
              <w:adjustRightInd w:val="0"/>
              <w:spacing w:line="256" w:lineRule="auto"/>
              <w:rPr>
                <w:rFonts w:eastAsia="Calibri"/>
                <w:b/>
                <w:color w:val="000000"/>
                <w:sz w:val="22"/>
              </w:rPr>
            </w:pPr>
            <w:r w:rsidRPr="002045F5">
              <w:rPr>
                <w:rFonts w:eastAsia="Calibri"/>
                <w:b/>
                <w:color w:val="000000"/>
                <w:sz w:val="22"/>
              </w:rPr>
              <w:t>Опис проблеми, на вирішення якої спрямований проект</w:t>
            </w:r>
          </w:p>
        </w:tc>
        <w:tc>
          <w:tcPr>
            <w:tcW w:w="6946" w:type="dxa"/>
            <w:gridSpan w:val="7"/>
            <w:tcBorders>
              <w:top w:val="single" w:sz="6" w:space="0" w:color="auto"/>
              <w:left w:val="single" w:sz="6" w:space="0" w:color="auto"/>
              <w:bottom w:val="single" w:sz="6" w:space="0" w:color="auto"/>
              <w:right w:val="single" w:sz="6" w:space="0" w:color="auto"/>
            </w:tcBorders>
            <w:hideMark/>
          </w:tcPr>
          <w:p w:rsidR="00283FCD" w:rsidRPr="002045F5" w:rsidRDefault="00283FCD" w:rsidP="00283FCD">
            <w:pPr>
              <w:autoSpaceDE w:val="0"/>
              <w:autoSpaceDN w:val="0"/>
              <w:adjustRightInd w:val="0"/>
              <w:spacing w:line="256" w:lineRule="auto"/>
              <w:rPr>
                <w:rFonts w:eastAsia="Calibri"/>
                <w:color w:val="000000"/>
                <w:sz w:val="22"/>
              </w:rPr>
            </w:pPr>
            <w:r w:rsidRPr="002045F5">
              <w:rPr>
                <w:rFonts w:eastAsia="Calibri"/>
                <w:color w:val="000000"/>
                <w:sz w:val="22"/>
              </w:rPr>
              <w:t xml:space="preserve">У зв’язку з воєнними діями та окупацією міста Сєвєродонецька приміщення Центру зазнало часткового руйнування будівлі, території, огорожі та розкрадання майна. </w:t>
            </w:r>
          </w:p>
          <w:p w:rsidR="00283FCD" w:rsidRPr="002045F5" w:rsidRDefault="00283FCD" w:rsidP="00283FCD">
            <w:pPr>
              <w:autoSpaceDE w:val="0"/>
              <w:autoSpaceDN w:val="0"/>
              <w:adjustRightInd w:val="0"/>
              <w:spacing w:line="256" w:lineRule="auto"/>
              <w:rPr>
                <w:rFonts w:eastAsia="Calibri"/>
                <w:color w:val="000000"/>
                <w:sz w:val="22"/>
              </w:rPr>
            </w:pPr>
            <w:r w:rsidRPr="002045F5">
              <w:rPr>
                <w:rFonts w:eastAsia="Calibri"/>
                <w:color w:val="000000"/>
                <w:sz w:val="22"/>
              </w:rPr>
              <w:t>Вся матеріально-технічна база підприємства, зокрема:</w:t>
            </w:r>
          </w:p>
          <w:p w:rsidR="00283FCD" w:rsidRPr="002045F5" w:rsidRDefault="00283FCD" w:rsidP="000303D7">
            <w:pPr>
              <w:numPr>
                <w:ilvl w:val="0"/>
                <w:numId w:val="9"/>
              </w:numPr>
              <w:autoSpaceDE w:val="0"/>
              <w:autoSpaceDN w:val="0"/>
              <w:adjustRightInd w:val="0"/>
              <w:spacing w:line="256" w:lineRule="auto"/>
              <w:jc w:val="left"/>
              <w:rPr>
                <w:rFonts w:eastAsia="Calibri"/>
                <w:color w:val="000000"/>
                <w:sz w:val="22"/>
              </w:rPr>
            </w:pPr>
            <w:r w:rsidRPr="002045F5">
              <w:rPr>
                <w:rFonts w:eastAsia="Calibri"/>
                <w:color w:val="000000"/>
                <w:sz w:val="22"/>
              </w:rPr>
              <w:t>спортивне спорядження ;</w:t>
            </w:r>
          </w:p>
          <w:p w:rsidR="00283FCD" w:rsidRPr="002045F5" w:rsidRDefault="00283FCD" w:rsidP="000303D7">
            <w:pPr>
              <w:numPr>
                <w:ilvl w:val="0"/>
                <w:numId w:val="9"/>
              </w:numPr>
              <w:autoSpaceDE w:val="0"/>
              <w:autoSpaceDN w:val="0"/>
              <w:adjustRightInd w:val="0"/>
              <w:spacing w:line="256" w:lineRule="auto"/>
              <w:jc w:val="left"/>
              <w:rPr>
                <w:rFonts w:eastAsia="Calibri"/>
                <w:color w:val="000000"/>
                <w:sz w:val="22"/>
              </w:rPr>
            </w:pPr>
            <w:r w:rsidRPr="002045F5">
              <w:rPr>
                <w:rFonts w:eastAsia="Calibri"/>
                <w:color w:val="000000"/>
                <w:sz w:val="22"/>
              </w:rPr>
              <w:t>комп’ютерна техніка із відповідним програмним забезпеченням;</w:t>
            </w:r>
          </w:p>
          <w:p w:rsidR="00283FCD" w:rsidRPr="002045F5" w:rsidRDefault="00283FCD" w:rsidP="000303D7">
            <w:pPr>
              <w:numPr>
                <w:ilvl w:val="0"/>
                <w:numId w:val="9"/>
              </w:numPr>
              <w:autoSpaceDE w:val="0"/>
              <w:autoSpaceDN w:val="0"/>
              <w:adjustRightInd w:val="0"/>
              <w:spacing w:line="256" w:lineRule="auto"/>
              <w:jc w:val="left"/>
              <w:rPr>
                <w:rFonts w:eastAsia="Calibri"/>
                <w:color w:val="000000"/>
                <w:sz w:val="22"/>
              </w:rPr>
            </w:pPr>
            <w:r w:rsidRPr="002045F5">
              <w:rPr>
                <w:rFonts w:eastAsia="Calibri"/>
                <w:color w:val="000000"/>
                <w:sz w:val="22"/>
              </w:rPr>
              <w:t xml:space="preserve">обладнання спеціалізованих кабінетів (тренажерна зала, </w:t>
            </w:r>
            <w:proofErr w:type="spellStart"/>
            <w:r w:rsidRPr="002045F5">
              <w:rPr>
                <w:rFonts w:eastAsia="Calibri"/>
                <w:color w:val="000000"/>
                <w:sz w:val="22"/>
              </w:rPr>
              <w:t>скеледром</w:t>
            </w:r>
            <w:proofErr w:type="spellEnd"/>
            <w:r w:rsidRPr="002045F5">
              <w:rPr>
                <w:rFonts w:eastAsia="Calibri"/>
                <w:color w:val="000000"/>
                <w:sz w:val="22"/>
              </w:rPr>
              <w:t>, приміщення музею «Історії міста» та «Берегиня»);</w:t>
            </w:r>
          </w:p>
          <w:p w:rsidR="00283FCD" w:rsidRPr="002045F5" w:rsidRDefault="00283FCD" w:rsidP="000303D7">
            <w:pPr>
              <w:numPr>
                <w:ilvl w:val="0"/>
                <w:numId w:val="9"/>
              </w:numPr>
              <w:autoSpaceDE w:val="0"/>
              <w:autoSpaceDN w:val="0"/>
              <w:adjustRightInd w:val="0"/>
              <w:spacing w:line="256" w:lineRule="auto"/>
              <w:jc w:val="left"/>
              <w:rPr>
                <w:rFonts w:eastAsia="Calibri"/>
                <w:color w:val="000000"/>
                <w:sz w:val="22"/>
              </w:rPr>
            </w:pPr>
            <w:r w:rsidRPr="002045F5">
              <w:rPr>
                <w:rFonts w:eastAsia="Calibri"/>
                <w:color w:val="000000"/>
                <w:sz w:val="22"/>
              </w:rPr>
              <w:t>інша оргтехніка (монітори, принтери, сканери тощо);</w:t>
            </w:r>
          </w:p>
          <w:p w:rsidR="00283FCD" w:rsidRPr="002045F5" w:rsidRDefault="00283FCD" w:rsidP="000303D7">
            <w:pPr>
              <w:numPr>
                <w:ilvl w:val="0"/>
                <w:numId w:val="9"/>
              </w:numPr>
              <w:autoSpaceDE w:val="0"/>
              <w:autoSpaceDN w:val="0"/>
              <w:adjustRightInd w:val="0"/>
              <w:spacing w:line="256" w:lineRule="auto"/>
              <w:jc w:val="left"/>
              <w:rPr>
                <w:rFonts w:eastAsia="Calibri"/>
                <w:color w:val="000000"/>
                <w:sz w:val="22"/>
              </w:rPr>
            </w:pPr>
            <w:r w:rsidRPr="002045F5">
              <w:rPr>
                <w:rFonts w:eastAsia="Calibri"/>
                <w:color w:val="000000"/>
                <w:sz w:val="22"/>
              </w:rPr>
              <w:t>основні засоби (офісні меблі, сейф тощо) були знищені або викрадені.</w:t>
            </w:r>
          </w:p>
          <w:p w:rsidR="00283FCD" w:rsidRPr="002045F5" w:rsidRDefault="00283FCD" w:rsidP="00037F82">
            <w:pPr>
              <w:autoSpaceDE w:val="0"/>
              <w:autoSpaceDN w:val="0"/>
              <w:adjustRightInd w:val="0"/>
              <w:spacing w:line="256" w:lineRule="auto"/>
              <w:rPr>
                <w:rFonts w:eastAsia="Calibri"/>
                <w:color w:val="000000"/>
                <w:sz w:val="22"/>
              </w:rPr>
            </w:pPr>
            <w:r w:rsidRPr="002045F5">
              <w:rPr>
                <w:rFonts w:eastAsia="Calibri"/>
                <w:color w:val="000000"/>
                <w:sz w:val="22"/>
              </w:rPr>
              <w:t xml:space="preserve">            Для відбудови та сталого розвитку громади потрібне відновлення роботи Сєвєродонецького міського Центру національно-патріотичного виховання, туризму та краєзнавства учнівської молоді. Мешканці громади потребують в отриманні якісних освітніх, спортивно-оздоровчих, </w:t>
            </w:r>
            <w:proofErr w:type="spellStart"/>
            <w:r w:rsidRPr="002045F5">
              <w:rPr>
                <w:rFonts w:eastAsia="Calibri"/>
                <w:color w:val="000000"/>
                <w:sz w:val="22"/>
              </w:rPr>
              <w:t>туристсько</w:t>
            </w:r>
            <w:proofErr w:type="spellEnd"/>
            <w:r w:rsidRPr="002045F5">
              <w:rPr>
                <w:rFonts w:eastAsia="Calibri"/>
                <w:color w:val="000000"/>
                <w:sz w:val="22"/>
              </w:rPr>
              <w:t>-спортивних  послуг, які відповідають нормам сучасності.</w:t>
            </w:r>
          </w:p>
        </w:tc>
      </w:tr>
      <w:tr w:rsidR="00283FCD" w:rsidRPr="002045F5" w:rsidTr="00283FCD">
        <w:trPr>
          <w:trHeight w:val="489"/>
        </w:trPr>
        <w:tc>
          <w:tcPr>
            <w:tcW w:w="3007"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283FCD" w:rsidRPr="002045F5" w:rsidRDefault="00283FCD" w:rsidP="00283FCD">
            <w:pPr>
              <w:autoSpaceDE w:val="0"/>
              <w:autoSpaceDN w:val="0"/>
              <w:adjustRightInd w:val="0"/>
              <w:spacing w:line="256" w:lineRule="auto"/>
              <w:rPr>
                <w:rFonts w:eastAsia="Calibri"/>
                <w:b/>
                <w:color w:val="000000"/>
                <w:sz w:val="22"/>
              </w:rPr>
            </w:pPr>
            <w:r w:rsidRPr="002045F5">
              <w:rPr>
                <w:rFonts w:eastAsia="Calibri"/>
                <w:b/>
                <w:color w:val="000000"/>
                <w:sz w:val="22"/>
              </w:rPr>
              <w:t>Очікувані якісні результати від реалізації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283FCD" w:rsidRPr="002045F5" w:rsidRDefault="00283FCD" w:rsidP="00283FCD">
            <w:pPr>
              <w:shd w:val="clear" w:color="auto" w:fill="FFFFFF"/>
              <w:spacing w:line="256" w:lineRule="auto"/>
              <w:contextualSpacing/>
              <w:rPr>
                <w:sz w:val="22"/>
              </w:rPr>
            </w:pPr>
            <w:r w:rsidRPr="002045F5">
              <w:rPr>
                <w:sz w:val="22"/>
              </w:rPr>
              <w:t>Створення сучасного осередку національно- патріотичного, військово</w:t>
            </w:r>
            <w:r w:rsidR="00211FCA" w:rsidRPr="002045F5">
              <w:rPr>
                <w:sz w:val="22"/>
              </w:rPr>
              <w:t xml:space="preserve"> </w:t>
            </w:r>
            <w:r w:rsidRPr="002045F5">
              <w:rPr>
                <w:sz w:val="22"/>
              </w:rPr>
              <w:t>- спортивного, туристично-краєзнавчого виховання для дітей та студентської молоді Сєвєродонецької територіальної громади (з урахуванням інклюзії) на базі Сєвєродонецького міського Центру національно- патріотичного виховання, туризму та краєзнавства учнівської молоді;</w:t>
            </w:r>
          </w:p>
          <w:p w:rsidR="00283FCD" w:rsidRPr="002045F5" w:rsidRDefault="00283FCD" w:rsidP="00283FCD">
            <w:pPr>
              <w:shd w:val="clear" w:color="auto" w:fill="FFFFFF"/>
              <w:spacing w:line="256" w:lineRule="auto"/>
              <w:contextualSpacing/>
              <w:rPr>
                <w:sz w:val="22"/>
              </w:rPr>
            </w:pPr>
            <w:r w:rsidRPr="002045F5">
              <w:rPr>
                <w:sz w:val="22"/>
              </w:rPr>
              <w:t>- вирішення ряду питань в межах статутної діяльності, пов’язаних із відбудовою та сталим розвитком громади;</w:t>
            </w:r>
          </w:p>
          <w:p w:rsidR="00283FCD" w:rsidRPr="002045F5" w:rsidRDefault="00283FCD" w:rsidP="00283FCD">
            <w:pPr>
              <w:shd w:val="clear" w:color="auto" w:fill="FFFFFF"/>
              <w:spacing w:line="256" w:lineRule="auto"/>
              <w:contextualSpacing/>
              <w:rPr>
                <w:sz w:val="22"/>
              </w:rPr>
            </w:pPr>
            <w:r w:rsidRPr="002045F5">
              <w:rPr>
                <w:sz w:val="22"/>
              </w:rPr>
              <w:t>- створення нових робочих місць;</w:t>
            </w:r>
          </w:p>
          <w:p w:rsidR="00283FCD" w:rsidRPr="002045F5" w:rsidRDefault="00283FCD" w:rsidP="00283FCD">
            <w:pPr>
              <w:shd w:val="clear" w:color="auto" w:fill="FFFFFF"/>
              <w:spacing w:line="256" w:lineRule="auto"/>
              <w:contextualSpacing/>
              <w:rPr>
                <w:sz w:val="22"/>
              </w:rPr>
            </w:pPr>
            <w:r w:rsidRPr="002045F5">
              <w:rPr>
                <w:sz w:val="22"/>
              </w:rPr>
              <w:t>- стимул до повернення ВПО до громади.</w:t>
            </w:r>
          </w:p>
        </w:tc>
      </w:tr>
      <w:tr w:rsidR="00283FCD" w:rsidRPr="002045F5" w:rsidTr="00283FCD">
        <w:trPr>
          <w:trHeight w:val="538"/>
        </w:trPr>
        <w:tc>
          <w:tcPr>
            <w:tcW w:w="3007"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283FCD" w:rsidRPr="002045F5" w:rsidRDefault="00283FCD" w:rsidP="00283FCD">
            <w:pPr>
              <w:autoSpaceDE w:val="0"/>
              <w:autoSpaceDN w:val="0"/>
              <w:adjustRightInd w:val="0"/>
              <w:spacing w:line="256" w:lineRule="auto"/>
              <w:rPr>
                <w:rFonts w:eastAsia="Calibri"/>
                <w:b/>
                <w:color w:val="000000"/>
                <w:sz w:val="22"/>
              </w:rPr>
            </w:pPr>
            <w:r w:rsidRPr="002045F5">
              <w:rPr>
                <w:rFonts w:eastAsia="Calibri"/>
                <w:b/>
                <w:color w:val="000000"/>
                <w:sz w:val="22"/>
              </w:rPr>
              <w:t>Очікувані кількісні результати від реалізації проекту  (індикатори)</w:t>
            </w:r>
          </w:p>
        </w:tc>
        <w:tc>
          <w:tcPr>
            <w:tcW w:w="3686" w:type="dxa"/>
            <w:gridSpan w:val="4"/>
            <w:tcBorders>
              <w:top w:val="single" w:sz="6" w:space="0" w:color="auto"/>
              <w:left w:val="single" w:sz="6" w:space="0" w:color="auto"/>
              <w:bottom w:val="single" w:sz="6" w:space="0" w:color="auto"/>
              <w:right w:val="single" w:sz="6" w:space="0" w:color="auto"/>
            </w:tcBorders>
            <w:hideMark/>
          </w:tcPr>
          <w:p w:rsidR="00283FCD" w:rsidRPr="002045F5" w:rsidRDefault="00283FCD" w:rsidP="00283FCD">
            <w:pPr>
              <w:autoSpaceDE w:val="0"/>
              <w:autoSpaceDN w:val="0"/>
              <w:adjustRightInd w:val="0"/>
              <w:spacing w:line="256" w:lineRule="auto"/>
              <w:jc w:val="center"/>
              <w:rPr>
                <w:rFonts w:eastAsia="Calibri"/>
                <w:b/>
                <w:color w:val="000000"/>
                <w:sz w:val="22"/>
              </w:rPr>
            </w:pPr>
            <w:r w:rsidRPr="002045F5">
              <w:rPr>
                <w:rFonts w:eastAsia="Calibri"/>
                <w:b/>
                <w:color w:val="000000"/>
                <w:sz w:val="22"/>
              </w:rPr>
              <w:t>Найменування показника</w:t>
            </w:r>
          </w:p>
        </w:tc>
        <w:tc>
          <w:tcPr>
            <w:tcW w:w="1701" w:type="dxa"/>
            <w:gridSpan w:val="2"/>
            <w:tcBorders>
              <w:top w:val="single" w:sz="6" w:space="0" w:color="auto"/>
              <w:left w:val="single" w:sz="6" w:space="0" w:color="auto"/>
              <w:bottom w:val="single" w:sz="6" w:space="0" w:color="auto"/>
              <w:right w:val="single" w:sz="6" w:space="0" w:color="auto"/>
            </w:tcBorders>
            <w:hideMark/>
          </w:tcPr>
          <w:p w:rsidR="00283FCD" w:rsidRPr="002045F5" w:rsidRDefault="00283FCD" w:rsidP="00283FCD">
            <w:pPr>
              <w:autoSpaceDE w:val="0"/>
              <w:autoSpaceDN w:val="0"/>
              <w:adjustRightInd w:val="0"/>
              <w:spacing w:line="256" w:lineRule="auto"/>
              <w:jc w:val="center"/>
              <w:rPr>
                <w:rFonts w:eastAsia="Calibri"/>
                <w:b/>
                <w:color w:val="000000"/>
                <w:sz w:val="22"/>
              </w:rPr>
            </w:pPr>
            <w:r w:rsidRPr="002045F5">
              <w:rPr>
                <w:rFonts w:eastAsia="Calibri"/>
                <w:b/>
                <w:color w:val="000000"/>
                <w:sz w:val="22"/>
              </w:rPr>
              <w:t>Одиниця вимірювання</w:t>
            </w:r>
          </w:p>
        </w:tc>
        <w:tc>
          <w:tcPr>
            <w:tcW w:w="1559" w:type="dxa"/>
            <w:tcBorders>
              <w:top w:val="single" w:sz="6" w:space="0" w:color="auto"/>
              <w:left w:val="single" w:sz="6" w:space="0" w:color="auto"/>
              <w:bottom w:val="single" w:sz="6" w:space="0" w:color="auto"/>
              <w:right w:val="single" w:sz="6" w:space="0" w:color="auto"/>
            </w:tcBorders>
            <w:hideMark/>
          </w:tcPr>
          <w:p w:rsidR="00283FCD" w:rsidRPr="002045F5" w:rsidRDefault="00283FCD" w:rsidP="00283FCD">
            <w:pPr>
              <w:autoSpaceDE w:val="0"/>
              <w:autoSpaceDN w:val="0"/>
              <w:adjustRightInd w:val="0"/>
              <w:spacing w:line="256" w:lineRule="auto"/>
              <w:jc w:val="center"/>
              <w:rPr>
                <w:rFonts w:eastAsia="Calibri"/>
                <w:b/>
                <w:color w:val="000000"/>
                <w:sz w:val="22"/>
              </w:rPr>
            </w:pPr>
            <w:r w:rsidRPr="002045F5">
              <w:rPr>
                <w:rFonts w:eastAsia="Calibri"/>
                <w:b/>
                <w:color w:val="000000"/>
                <w:sz w:val="22"/>
              </w:rPr>
              <w:t>Прогнозне (цільове) значення</w:t>
            </w:r>
          </w:p>
        </w:tc>
      </w:tr>
      <w:tr w:rsidR="00283FCD" w:rsidRPr="002045F5" w:rsidTr="00283FCD">
        <w:trPr>
          <w:trHeight w:val="441"/>
        </w:trPr>
        <w:tc>
          <w:tcPr>
            <w:tcW w:w="3007"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283FCD" w:rsidRPr="002045F5" w:rsidRDefault="00283FCD" w:rsidP="00283FCD">
            <w:pPr>
              <w:autoSpaceDE w:val="0"/>
              <w:autoSpaceDN w:val="0"/>
              <w:adjustRightInd w:val="0"/>
              <w:spacing w:line="256" w:lineRule="auto"/>
              <w:jc w:val="right"/>
              <w:rPr>
                <w:rFonts w:eastAsia="Calibri"/>
                <w:b/>
                <w:color w:val="000000"/>
                <w:sz w:val="22"/>
              </w:rPr>
            </w:pPr>
          </w:p>
        </w:tc>
        <w:tc>
          <w:tcPr>
            <w:tcW w:w="3686" w:type="dxa"/>
            <w:gridSpan w:val="4"/>
            <w:tcBorders>
              <w:top w:val="single" w:sz="4" w:space="0" w:color="auto"/>
              <w:bottom w:val="single" w:sz="4" w:space="0" w:color="auto"/>
              <w:right w:val="single" w:sz="4" w:space="0" w:color="auto"/>
            </w:tcBorders>
          </w:tcPr>
          <w:p w:rsidR="00283FCD" w:rsidRPr="002045F5" w:rsidRDefault="00283FCD" w:rsidP="00211FCA">
            <w:pPr>
              <w:autoSpaceDE w:val="0"/>
              <w:autoSpaceDN w:val="0"/>
              <w:adjustRightInd w:val="0"/>
              <w:spacing w:line="256" w:lineRule="auto"/>
              <w:rPr>
                <w:rFonts w:eastAsia="Calibri"/>
                <w:color w:val="000000"/>
                <w:sz w:val="22"/>
              </w:rPr>
            </w:pPr>
            <w:r w:rsidRPr="002045F5">
              <w:rPr>
                <w:rFonts w:eastAsia="Calibri"/>
                <w:color w:val="000000"/>
                <w:sz w:val="22"/>
              </w:rPr>
              <w:t>Придбання спорядження для проведення занять гуртків спортивного</w:t>
            </w:r>
            <w:r w:rsidR="00211FCA" w:rsidRPr="002045F5">
              <w:rPr>
                <w:rFonts w:eastAsia="Calibri"/>
                <w:color w:val="000000"/>
                <w:sz w:val="22"/>
              </w:rPr>
              <w:t xml:space="preserve"> </w:t>
            </w:r>
            <w:r w:rsidRPr="002045F5">
              <w:rPr>
                <w:rFonts w:eastAsia="Calibri"/>
                <w:color w:val="000000"/>
                <w:sz w:val="22"/>
              </w:rPr>
              <w:t xml:space="preserve">туризму, участі у змаганнях та походах </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одиниць</w:t>
            </w:r>
          </w:p>
        </w:tc>
        <w:tc>
          <w:tcPr>
            <w:tcW w:w="1559" w:type="dxa"/>
            <w:tcBorders>
              <w:top w:val="single" w:sz="4" w:space="0" w:color="auto"/>
              <w:left w:val="single" w:sz="4" w:space="0" w:color="auto"/>
              <w:bottom w:val="single" w:sz="4" w:space="0" w:color="auto"/>
              <w:right w:val="single" w:sz="4" w:space="0" w:color="auto"/>
            </w:tcBorders>
          </w:tcPr>
          <w:p w:rsidR="00283FCD" w:rsidRPr="002045F5" w:rsidRDefault="00283FCD" w:rsidP="00283FCD">
            <w:pPr>
              <w:autoSpaceDE w:val="0"/>
              <w:autoSpaceDN w:val="0"/>
              <w:adjustRightInd w:val="0"/>
              <w:spacing w:line="256" w:lineRule="auto"/>
              <w:jc w:val="center"/>
              <w:rPr>
                <w:sz w:val="22"/>
              </w:rPr>
            </w:pPr>
          </w:p>
          <w:p w:rsidR="00283FCD" w:rsidRPr="002045F5" w:rsidRDefault="00283FCD" w:rsidP="00283FCD">
            <w:pPr>
              <w:autoSpaceDE w:val="0"/>
              <w:autoSpaceDN w:val="0"/>
              <w:adjustRightInd w:val="0"/>
              <w:spacing w:line="256" w:lineRule="auto"/>
              <w:jc w:val="center"/>
              <w:rPr>
                <w:sz w:val="22"/>
              </w:rPr>
            </w:pPr>
          </w:p>
          <w:p w:rsidR="00283FCD" w:rsidRPr="002045F5" w:rsidRDefault="00283FCD" w:rsidP="00283FCD">
            <w:pPr>
              <w:autoSpaceDE w:val="0"/>
              <w:autoSpaceDN w:val="0"/>
              <w:adjustRightInd w:val="0"/>
              <w:spacing w:line="256" w:lineRule="auto"/>
              <w:jc w:val="center"/>
              <w:rPr>
                <w:sz w:val="22"/>
              </w:rPr>
            </w:pPr>
          </w:p>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450</w:t>
            </w:r>
          </w:p>
        </w:tc>
      </w:tr>
      <w:tr w:rsidR="00283FCD" w:rsidRPr="002045F5" w:rsidTr="00283FCD">
        <w:trPr>
          <w:trHeight w:val="441"/>
        </w:trPr>
        <w:tc>
          <w:tcPr>
            <w:tcW w:w="3007" w:type="dxa"/>
            <w:vMerge w:val="restart"/>
            <w:tcBorders>
              <w:top w:val="single" w:sz="6" w:space="0" w:color="auto"/>
              <w:left w:val="single" w:sz="6" w:space="0" w:color="auto"/>
              <w:right w:val="single" w:sz="6" w:space="0" w:color="auto"/>
            </w:tcBorders>
            <w:shd w:val="clear" w:color="auto" w:fill="C6D9F1" w:themeFill="text2" w:themeFillTint="33"/>
          </w:tcPr>
          <w:p w:rsidR="00283FCD" w:rsidRPr="002045F5" w:rsidRDefault="00283FCD" w:rsidP="00283FCD">
            <w:pPr>
              <w:autoSpaceDE w:val="0"/>
              <w:autoSpaceDN w:val="0"/>
              <w:adjustRightInd w:val="0"/>
              <w:spacing w:line="256" w:lineRule="auto"/>
              <w:jc w:val="right"/>
              <w:rPr>
                <w:rFonts w:eastAsia="Calibri"/>
                <w:b/>
                <w:color w:val="000000"/>
                <w:sz w:val="22"/>
              </w:rPr>
            </w:pPr>
          </w:p>
        </w:tc>
        <w:tc>
          <w:tcPr>
            <w:tcW w:w="3686" w:type="dxa"/>
            <w:gridSpan w:val="4"/>
            <w:tcBorders>
              <w:top w:val="single" w:sz="4" w:space="0" w:color="auto"/>
              <w:bottom w:val="single" w:sz="4" w:space="0" w:color="auto"/>
              <w:right w:val="single" w:sz="4" w:space="0" w:color="auto"/>
            </w:tcBorders>
          </w:tcPr>
          <w:p w:rsidR="00283FCD" w:rsidRPr="002045F5" w:rsidRDefault="00283FCD" w:rsidP="00211FCA">
            <w:pPr>
              <w:autoSpaceDE w:val="0"/>
              <w:autoSpaceDN w:val="0"/>
              <w:adjustRightInd w:val="0"/>
              <w:spacing w:line="256" w:lineRule="auto"/>
              <w:rPr>
                <w:rFonts w:eastAsia="Calibri"/>
                <w:color w:val="000000"/>
                <w:sz w:val="22"/>
              </w:rPr>
            </w:pPr>
            <w:r w:rsidRPr="002045F5">
              <w:rPr>
                <w:rFonts w:eastAsia="Calibri"/>
                <w:color w:val="000000"/>
                <w:sz w:val="22"/>
              </w:rPr>
              <w:t>Придбання спорядження для проведення занять гуртків військово</w:t>
            </w:r>
            <w:r w:rsidR="00211FCA" w:rsidRPr="002045F5">
              <w:rPr>
                <w:rFonts w:eastAsia="Calibri"/>
                <w:color w:val="000000"/>
                <w:sz w:val="22"/>
              </w:rPr>
              <w:t xml:space="preserve"> </w:t>
            </w:r>
            <w:r w:rsidRPr="002045F5">
              <w:rPr>
                <w:rFonts w:eastAsia="Calibri"/>
                <w:color w:val="000000"/>
                <w:sz w:val="22"/>
              </w:rPr>
              <w:t>-</w:t>
            </w:r>
            <w:r w:rsidR="00211FCA" w:rsidRPr="002045F5">
              <w:rPr>
                <w:rFonts w:eastAsia="Calibri"/>
                <w:color w:val="000000"/>
                <w:sz w:val="22"/>
              </w:rPr>
              <w:t xml:space="preserve"> </w:t>
            </w:r>
            <w:r w:rsidRPr="002045F5">
              <w:rPr>
                <w:rFonts w:eastAsia="Calibri"/>
                <w:color w:val="000000"/>
                <w:sz w:val="22"/>
              </w:rPr>
              <w:t>патріотичного та скаутського напрямку</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одиниць</w:t>
            </w:r>
          </w:p>
        </w:tc>
        <w:tc>
          <w:tcPr>
            <w:tcW w:w="1559" w:type="dxa"/>
            <w:tcBorders>
              <w:top w:val="single" w:sz="4" w:space="0" w:color="auto"/>
              <w:left w:val="single" w:sz="4" w:space="0" w:color="auto"/>
              <w:bottom w:val="single" w:sz="4" w:space="0" w:color="auto"/>
              <w:right w:val="single" w:sz="4" w:space="0" w:color="auto"/>
            </w:tcBorders>
          </w:tcPr>
          <w:p w:rsidR="00283FCD" w:rsidRPr="002045F5" w:rsidRDefault="00283FCD" w:rsidP="00283FCD">
            <w:pPr>
              <w:autoSpaceDE w:val="0"/>
              <w:autoSpaceDN w:val="0"/>
              <w:adjustRightInd w:val="0"/>
              <w:spacing w:line="256" w:lineRule="auto"/>
              <w:jc w:val="center"/>
              <w:rPr>
                <w:sz w:val="22"/>
              </w:rPr>
            </w:pPr>
          </w:p>
          <w:p w:rsidR="00283FCD" w:rsidRPr="002045F5" w:rsidRDefault="00283FCD" w:rsidP="00283FCD">
            <w:pPr>
              <w:autoSpaceDE w:val="0"/>
              <w:autoSpaceDN w:val="0"/>
              <w:adjustRightInd w:val="0"/>
              <w:spacing w:line="256" w:lineRule="auto"/>
              <w:jc w:val="center"/>
              <w:rPr>
                <w:sz w:val="22"/>
              </w:rPr>
            </w:pPr>
          </w:p>
          <w:p w:rsidR="00283FCD" w:rsidRPr="002045F5" w:rsidRDefault="00283FCD" w:rsidP="00283FCD">
            <w:pPr>
              <w:autoSpaceDE w:val="0"/>
              <w:autoSpaceDN w:val="0"/>
              <w:adjustRightInd w:val="0"/>
              <w:spacing w:line="256" w:lineRule="auto"/>
              <w:jc w:val="center"/>
              <w:rPr>
                <w:sz w:val="22"/>
              </w:rPr>
            </w:pPr>
          </w:p>
          <w:p w:rsidR="00283FCD" w:rsidRPr="002045F5" w:rsidRDefault="00283FCD" w:rsidP="00283FCD">
            <w:pPr>
              <w:autoSpaceDE w:val="0"/>
              <w:autoSpaceDN w:val="0"/>
              <w:adjustRightInd w:val="0"/>
              <w:spacing w:line="256" w:lineRule="auto"/>
              <w:jc w:val="center"/>
              <w:rPr>
                <w:sz w:val="22"/>
              </w:rPr>
            </w:pPr>
            <w:r w:rsidRPr="002045F5">
              <w:rPr>
                <w:sz w:val="22"/>
              </w:rPr>
              <w:t>52</w:t>
            </w:r>
          </w:p>
          <w:p w:rsidR="00283FCD" w:rsidRPr="002045F5" w:rsidRDefault="00283FCD" w:rsidP="00283FCD">
            <w:pPr>
              <w:autoSpaceDE w:val="0"/>
              <w:autoSpaceDN w:val="0"/>
              <w:adjustRightInd w:val="0"/>
              <w:spacing w:line="256" w:lineRule="auto"/>
              <w:jc w:val="center"/>
              <w:rPr>
                <w:sz w:val="22"/>
              </w:rPr>
            </w:pPr>
          </w:p>
          <w:p w:rsidR="00283FCD" w:rsidRPr="002045F5" w:rsidRDefault="00283FCD" w:rsidP="00283FCD">
            <w:pPr>
              <w:autoSpaceDE w:val="0"/>
              <w:autoSpaceDN w:val="0"/>
              <w:adjustRightInd w:val="0"/>
              <w:spacing w:line="256" w:lineRule="auto"/>
              <w:rPr>
                <w:rFonts w:eastAsia="Calibri"/>
                <w:color w:val="000000"/>
                <w:sz w:val="22"/>
              </w:rPr>
            </w:pPr>
          </w:p>
        </w:tc>
      </w:tr>
      <w:tr w:rsidR="00283FCD" w:rsidRPr="002045F5" w:rsidTr="00283FCD">
        <w:trPr>
          <w:trHeight w:val="441"/>
        </w:trPr>
        <w:tc>
          <w:tcPr>
            <w:tcW w:w="3007" w:type="dxa"/>
            <w:vMerge/>
            <w:tcBorders>
              <w:left w:val="single" w:sz="6" w:space="0" w:color="auto"/>
              <w:right w:val="single" w:sz="6" w:space="0" w:color="auto"/>
            </w:tcBorders>
            <w:shd w:val="clear" w:color="auto" w:fill="C6D9F1" w:themeFill="text2" w:themeFillTint="33"/>
          </w:tcPr>
          <w:p w:rsidR="00283FCD" w:rsidRPr="002045F5" w:rsidRDefault="00283FCD" w:rsidP="00283FCD">
            <w:pPr>
              <w:autoSpaceDE w:val="0"/>
              <w:autoSpaceDN w:val="0"/>
              <w:adjustRightInd w:val="0"/>
              <w:spacing w:line="256" w:lineRule="auto"/>
              <w:jc w:val="right"/>
              <w:rPr>
                <w:rFonts w:eastAsia="Calibri"/>
                <w:b/>
                <w:color w:val="000000"/>
                <w:sz w:val="22"/>
              </w:rPr>
            </w:pPr>
          </w:p>
        </w:tc>
        <w:tc>
          <w:tcPr>
            <w:tcW w:w="3686" w:type="dxa"/>
            <w:gridSpan w:val="4"/>
            <w:tcBorders>
              <w:top w:val="single" w:sz="4" w:space="0" w:color="auto"/>
              <w:bottom w:val="single" w:sz="4" w:space="0" w:color="auto"/>
              <w:right w:val="single" w:sz="4" w:space="0" w:color="auto"/>
            </w:tcBorders>
          </w:tcPr>
          <w:p w:rsidR="00283FCD" w:rsidRPr="002045F5" w:rsidRDefault="00283FCD" w:rsidP="00211FCA">
            <w:pPr>
              <w:autoSpaceDE w:val="0"/>
              <w:autoSpaceDN w:val="0"/>
              <w:adjustRightInd w:val="0"/>
              <w:spacing w:line="256" w:lineRule="auto"/>
              <w:rPr>
                <w:rFonts w:eastAsia="Calibri"/>
                <w:color w:val="000000"/>
                <w:sz w:val="22"/>
              </w:rPr>
            </w:pPr>
            <w:r w:rsidRPr="002045F5">
              <w:rPr>
                <w:rFonts w:eastAsia="Calibri"/>
                <w:color w:val="000000"/>
                <w:sz w:val="22"/>
              </w:rPr>
              <w:t>Придбання спорядження для проведення походів,</w:t>
            </w:r>
            <w:r w:rsidR="00211FCA" w:rsidRPr="002045F5">
              <w:rPr>
                <w:rFonts w:eastAsia="Calibri"/>
                <w:color w:val="000000"/>
                <w:sz w:val="22"/>
              </w:rPr>
              <w:t xml:space="preserve"> </w:t>
            </w:r>
            <w:r w:rsidRPr="002045F5">
              <w:rPr>
                <w:rFonts w:eastAsia="Calibri"/>
                <w:color w:val="000000"/>
                <w:sz w:val="22"/>
              </w:rPr>
              <w:t>експедицій, таборових зборів участі у змаганнях, обладнання бівуаку</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одиниць</w:t>
            </w:r>
          </w:p>
        </w:tc>
        <w:tc>
          <w:tcPr>
            <w:tcW w:w="1559" w:type="dxa"/>
            <w:tcBorders>
              <w:top w:val="single" w:sz="4" w:space="0" w:color="auto"/>
              <w:left w:val="single" w:sz="4" w:space="0" w:color="auto"/>
              <w:bottom w:val="single" w:sz="4" w:space="0" w:color="auto"/>
              <w:right w:val="single" w:sz="4" w:space="0" w:color="auto"/>
            </w:tcBorders>
          </w:tcPr>
          <w:p w:rsidR="00283FCD" w:rsidRPr="002045F5" w:rsidRDefault="00283FCD" w:rsidP="00283FCD">
            <w:pPr>
              <w:autoSpaceDE w:val="0"/>
              <w:autoSpaceDN w:val="0"/>
              <w:adjustRightInd w:val="0"/>
              <w:spacing w:line="256" w:lineRule="auto"/>
              <w:jc w:val="center"/>
              <w:rPr>
                <w:sz w:val="22"/>
              </w:rPr>
            </w:pPr>
          </w:p>
          <w:p w:rsidR="00283FCD" w:rsidRPr="002045F5" w:rsidRDefault="00283FCD" w:rsidP="00283FCD">
            <w:pPr>
              <w:autoSpaceDE w:val="0"/>
              <w:autoSpaceDN w:val="0"/>
              <w:adjustRightInd w:val="0"/>
              <w:spacing w:line="256" w:lineRule="auto"/>
              <w:jc w:val="center"/>
              <w:rPr>
                <w:sz w:val="22"/>
              </w:rPr>
            </w:pPr>
          </w:p>
          <w:p w:rsidR="00283FCD" w:rsidRPr="002045F5" w:rsidRDefault="00283FCD" w:rsidP="00283FCD">
            <w:pPr>
              <w:autoSpaceDE w:val="0"/>
              <w:autoSpaceDN w:val="0"/>
              <w:adjustRightInd w:val="0"/>
              <w:spacing w:line="256" w:lineRule="auto"/>
              <w:jc w:val="center"/>
              <w:rPr>
                <w:sz w:val="22"/>
              </w:rPr>
            </w:pPr>
          </w:p>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185</w:t>
            </w:r>
          </w:p>
        </w:tc>
      </w:tr>
      <w:tr w:rsidR="00283FCD" w:rsidRPr="002045F5" w:rsidTr="00283FCD">
        <w:trPr>
          <w:trHeight w:val="441"/>
        </w:trPr>
        <w:tc>
          <w:tcPr>
            <w:tcW w:w="3007" w:type="dxa"/>
            <w:vMerge/>
            <w:tcBorders>
              <w:left w:val="single" w:sz="6" w:space="0" w:color="auto"/>
              <w:right w:val="single" w:sz="6" w:space="0" w:color="auto"/>
            </w:tcBorders>
            <w:shd w:val="clear" w:color="auto" w:fill="C6D9F1" w:themeFill="text2" w:themeFillTint="33"/>
          </w:tcPr>
          <w:p w:rsidR="00283FCD" w:rsidRPr="002045F5" w:rsidRDefault="00283FCD" w:rsidP="00283FCD">
            <w:pPr>
              <w:autoSpaceDE w:val="0"/>
              <w:autoSpaceDN w:val="0"/>
              <w:adjustRightInd w:val="0"/>
              <w:spacing w:line="256" w:lineRule="auto"/>
              <w:jc w:val="right"/>
              <w:rPr>
                <w:rFonts w:eastAsia="Calibri"/>
                <w:b/>
                <w:color w:val="000000"/>
                <w:sz w:val="22"/>
              </w:rPr>
            </w:pPr>
          </w:p>
        </w:tc>
        <w:tc>
          <w:tcPr>
            <w:tcW w:w="3686" w:type="dxa"/>
            <w:gridSpan w:val="4"/>
            <w:tcBorders>
              <w:top w:val="single" w:sz="4" w:space="0" w:color="auto"/>
              <w:right w:val="single" w:sz="4" w:space="0" w:color="auto"/>
            </w:tcBorders>
          </w:tcPr>
          <w:p w:rsidR="00283FCD" w:rsidRPr="002045F5" w:rsidRDefault="00283FCD" w:rsidP="00283FCD">
            <w:pPr>
              <w:autoSpaceDE w:val="0"/>
              <w:autoSpaceDN w:val="0"/>
              <w:adjustRightInd w:val="0"/>
              <w:spacing w:line="256" w:lineRule="auto"/>
              <w:rPr>
                <w:rFonts w:eastAsia="Calibri"/>
                <w:color w:val="000000"/>
                <w:sz w:val="22"/>
              </w:rPr>
            </w:pPr>
            <w:r w:rsidRPr="002045F5">
              <w:rPr>
                <w:rFonts w:eastAsia="Calibri"/>
                <w:color w:val="000000"/>
                <w:sz w:val="22"/>
              </w:rPr>
              <w:t>Придбання меблів для навчальних кабінетів, кабінетів директора приймальної, методичного кабінету, актової зали</w:t>
            </w:r>
          </w:p>
        </w:tc>
        <w:tc>
          <w:tcPr>
            <w:tcW w:w="1701" w:type="dxa"/>
            <w:gridSpan w:val="2"/>
            <w:tcBorders>
              <w:top w:val="single" w:sz="4" w:space="0" w:color="auto"/>
              <w:left w:val="single" w:sz="4" w:space="0" w:color="auto"/>
              <w:right w:val="single" w:sz="4" w:space="0" w:color="auto"/>
            </w:tcBorders>
            <w:vAlign w:val="center"/>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одиниць</w:t>
            </w:r>
          </w:p>
        </w:tc>
        <w:tc>
          <w:tcPr>
            <w:tcW w:w="1559" w:type="dxa"/>
            <w:tcBorders>
              <w:top w:val="single" w:sz="4" w:space="0" w:color="auto"/>
              <w:left w:val="single" w:sz="4" w:space="0" w:color="auto"/>
              <w:right w:val="single" w:sz="4" w:space="0" w:color="auto"/>
            </w:tcBorders>
          </w:tcPr>
          <w:p w:rsidR="00283FCD" w:rsidRPr="002045F5" w:rsidRDefault="00283FCD" w:rsidP="00283FCD">
            <w:pPr>
              <w:autoSpaceDE w:val="0"/>
              <w:autoSpaceDN w:val="0"/>
              <w:adjustRightInd w:val="0"/>
              <w:spacing w:line="256" w:lineRule="auto"/>
              <w:jc w:val="center"/>
              <w:rPr>
                <w:sz w:val="22"/>
              </w:rPr>
            </w:pPr>
          </w:p>
          <w:p w:rsidR="00283FCD" w:rsidRPr="002045F5" w:rsidRDefault="00283FCD" w:rsidP="00283FCD">
            <w:pPr>
              <w:autoSpaceDE w:val="0"/>
              <w:autoSpaceDN w:val="0"/>
              <w:adjustRightInd w:val="0"/>
              <w:spacing w:line="256" w:lineRule="auto"/>
              <w:jc w:val="center"/>
              <w:rPr>
                <w:sz w:val="22"/>
              </w:rPr>
            </w:pPr>
          </w:p>
          <w:p w:rsidR="00283FCD" w:rsidRPr="002045F5" w:rsidRDefault="00283FCD" w:rsidP="00283FCD">
            <w:pPr>
              <w:autoSpaceDE w:val="0"/>
              <w:autoSpaceDN w:val="0"/>
              <w:adjustRightInd w:val="0"/>
              <w:spacing w:line="256" w:lineRule="auto"/>
              <w:jc w:val="center"/>
              <w:rPr>
                <w:sz w:val="22"/>
              </w:rPr>
            </w:pPr>
          </w:p>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110</w:t>
            </w:r>
          </w:p>
        </w:tc>
      </w:tr>
      <w:tr w:rsidR="00283FCD" w:rsidRPr="002045F5" w:rsidTr="00283FCD">
        <w:trPr>
          <w:trHeight w:val="441"/>
        </w:trPr>
        <w:tc>
          <w:tcPr>
            <w:tcW w:w="3007" w:type="dxa"/>
            <w:vMerge/>
            <w:tcBorders>
              <w:left w:val="single" w:sz="6" w:space="0" w:color="auto"/>
              <w:right w:val="single" w:sz="6" w:space="0" w:color="auto"/>
            </w:tcBorders>
            <w:shd w:val="clear" w:color="auto" w:fill="C6D9F1" w:themeFill="text2" w:themeFillTint="33"/>
          </w:tcPr>
          <w:p w:rsidR="00283FCD" w:rsidRPr="002045F5" w:rsidRDefault="00283FCD" w:rsidP="00283FCD">
            <w:pPr>
              <w:autoSpaceDE w:val="0"/>
              <w:autoSpaceDN w:val="0"/>
              <w:adjustRightInd w:val="0"/>
              <w:spacing w:line="256" w:lineRule="auto"/>
              <w:jc w:val="right"/>
              <w:rPr>
                <w:rFonts w:eastAsia="Calibri"/>
                <w:b/>
                <w:color w:val="000000"/>
                <w:sz w:val="22"/>
              </w:rPr>
            </w:pPr>
          </w:p>
        </w:tc>
        <w:tc>
          <w:tcPr>
            <w:tcW w:w="3686" w:type="dxa"/>
            <w:gridSpan w:val="4"/>
            <w:tcBorders>
              <w:top w:val="single" w:sz="4" w:space="0" w:color="auto"/>
              <w:right w:val="single" w:sz="4" w:space="0" w:color="auto"/>
            </w:tcBorders>
          </w:tcPr>
          <w:p w:rsidR="00283FCD" w:rsidRPr="002045F5" w:rsidRDefault="00283FCD" w:rsidP="00283FCD">
            <w:pPr>
              <w:autoSpaceDE w:val="0"/>
              <w:autoSpaceDN w:val="0"/>
              <w:adjustRightInd w:val="0"/>
              <w:spacing w:line="256" w:lineRule="auto"/>
              <w:rPr>
                <w:rFonts w:eastAsia="Calibri"/>
                <w:color w:val="000000"/>
                <w:sz w:val="22"/>
              </w:rPr>
            </w:pPr>
            <w:r w:rsidRPr="002045F5">
              <w:rPr>
                <w:rFonts w:eastAsia="Calibri"/>
                <w:color w:val="000000"/>
                <w:sz w:val="22"/>
              </w:rPr>
              <w:t xml:space="preserve">Придбання сучасних тренажерів та </w:t>
            </w:r>
            <w:proofErr w:type="spellStart"/>
            <w:r w:rsidRPr="002045F5">
              <w:rPr>
                <w:rFonts w:eastAsia="Calibri"/>
                <w:color w:val="000000"/>
                <w:sz w:val="22"/>
              </w:rPr>
              <w:t>скеледрому</w:t>
            </w:r>
            <w:proofErr w:type="spellEnd"/>
          </w:p>
        </w:tc>
        <w:tc>
          <w:tcPr>
            <w:tcW w:w="1701" w:type="dxa"/>
            <w:gridSpan w:val="2"/>
            <w:tcBorders>
              <w:top w:val="single" w:sz="4" w:space="0" w:color="auto"/>
              <w:left w:val="single" w:sz="4" w:space="0" w:color="auto"/>
              <w:right w:val="single" w:sz="4" w:space="0" w:color="auto"/>
            </w:tcBorders>
            <w:vAlign w:val="center"/>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комплектів</w:t>
            </w:r>
          </w:p>
        </w:tc>
        <w:tc>
          <w:tcPr>
            <w:tcW w:w="1559" w:type="dxa"/>
            <w:tcBorders>
              <w:top w:val="single" w:sz="4" w:space="0" w:color="auto"/>
              <w:left w:val="single" w:sz="4" w:space="0" w:color="auto"/>
              <w:right w:val="single" w:sz="4" w:space="0" w:color="auto"/>
            </w:tcBorders>
          </w:tcPr>
          <w:p w:rsidR="00283FCD" w:rsidRPr="002045F5" w:rsidRDefault="00283FCD" w:rsidP="00283FCD">
            <w:pPr>
              <w:autoSpaceDE w:val="0"/>
              <w:autoSpaceDN w:val="0"/>
              <w:adjustRightInd w:val="0"/>
              <w:spacing w:line="256" w:lineRule="auto"/>
              <w:rPr>
                <w:rFonts w:eastAsia="Calibri"/>
                <w:color w:val="000000"/>
                <w:sz w:val="22"/>
              </w:rPr>
            </w:pPr>
            <w:r w:rsidRPr="002045F5">
              <w:rPr>
                <w:sz w:val="22"/>
              </w:rPr>
              <w:t xml:space="preserve">                            2</w:t>
            </w:r>
          </w:p>
        </w:tc>
      </w:tr>
      <w:tr w:rsidR="00283FCD" w:rsidRPr="002045F5" w:rsidTr="00283FCD">
        <w:trPr>
          <w:trHeight w:val="441"/>
        </w:trPr>
        <w:tc>
          <w:tcPr>
            <w:tcW w:w="3007" w:type="dxa"/>
            <w:vMerge/>
            <w:tcBorders>
              <w:left w:val="single" w:sz="6" w:space="0" w:color="auto"/>
              <w:right w:val="single" w:sz="6" w:space="0" w:color="auto"/>
            </w:tcBorders>
            <w:shd w:val="clear" w:color="auto" w:fill="C6D9F1" w:themeFill="text2" w:themeFillTint="33"/>
          </w:tcPr>
          <w:p w:rsidR="00283FCD" w:rsidRPr="002045F5" w:rsidRDefault="00283FCD" w:rsidP="00283FCD">
            <w:pPr>
              <w:autoSpaceDE w:val="0"/>
              <w:autoSpaceDN w:val="0"/>
              <w:adjustRightInd w:val="0"/>
              <w:spacing w:line="256" w:lineRule="auto"/>
              <w:jc w:val="right"/>
              <w:rPr>
                <w:rFonts w:eastAsia="Calibri"/>
                <w:b/>
                <w:color w:val="000000"/>
                <w:sz w:val="22"/>
              </w:rPr>
            </w:pPr>
          </w:p>
        </w:tc>
        <w:tc>
          <w:tcPr>
            <w:tcW w:w="3686" w:type="dxa"/>
            <w:gridSpan w:val="4"/>
            <w:tcBorders>
              <w:top w:val="single" w:sz="4" w:space="0" w:color="auto"/>
              <w:right w:val="single" w:sz="4" w:space="0" w:color="auto"/>
            </w:tcBorders>
          </w:tcPr>
          <w:p w:rsidR="00283FCD" w:rsidRPr="002045F5" w:rsidRDefault="00283FCD" w:rsidP="00283FCD">
            <w:pPr>
              <w:autoSpaceDE w:val="0"/>
              <w:autoSpaceDN w:val="0"/>
              <w:adjustRightInd w:val="0"/>
              <w:spacing w:line="256" w:lineRule="auto"/>
              <w:rPr>
                <w:rFonts w:eastAsia="Calibri"/>
                <w:color w:val="000000"/>
                <w:sz w:val="22"/>
              </w:rPr>
            </w:pPr>
            <w:r w:rsidRPr="002045F5">
              <w:rPr>
                <w:rFonts w:eastAsia="Calibri"/>
                <w:color w:val="000000"/>
                <w:sz w:val="22"/>
              </w:rPr>
              <w:t>Придбання стелажів та вітрин для музеїв «Берегиня» та «Музею історії міста»</w:t>
            </w:r>
          </w:p>
        </w:tc>
        <w:tc>
          <w:tcPr>
            <w:tcW w:w="1701" w:type="dxa"/>
            <w:gridSpan w:val="2"/>
            <w:tcBorders>
              <w:top w:val="single" w:sz="4" w:space="0" w:color="auto"/>
              <w:left w:val="single" w:sz="4" w:space="0" w:color="auto"/>
              <w:right w:val="single" w:sz="4" w:space="0" w:color="auto"/>
            </w:tcBorders>
            <w:vAlign w:val="center"/>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 xml:space="preserve">одиниць </w:t>
            </w:r>
          </w:p>
        </w:tc>
        <w:tc>
          <w:tcPr>
            <w:tcW w:w="1559" w:type="dxa"/>
            <w:tcBorders>
              <w:top w:val="single" w:sz="4" w:space="0" w:color="auto"/>
              <w:left w:val="single" w:sz="4" w:space="0" w:color="auto"/>
              <w:right w:val="single" w:sz="4" w:space="0" w:color="auto"/>
            </w:tcBorders>
          </w:tcPr>
          <w:p w:rsidR="00283FCD" w:rsidRPr="002045F5" w:rsidRDefault="00283FCD" w:rsidP="00283FCD">
            <w:pPr>
              <w:autoSpaceDE w:val="0"/>
              <w:autoSpaceDN w:val="0"/>
              <w:adjustRightInd w:val="0"/>
              <w:spacing w:line="256" w:lineRule="auto"/>
              <w:jc w:val="center"/>
              <w:rPr>
                <w:sz w:val="22"/>
              </w:rPr>
            </w:pPr>
          </w:p>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20</w:t>
            </w:r>
          </w:p>
        </w:tc>
      </w:tr>
      <w:tr w:rsidR="00283FCD" w:rsidRPr="002045F5" w:rsidTr="00283FCD">
        <w:trPr>
          <w:trHeight w:val="441"/>
        </w:trPr>
        <w:tc>
          <w:tcPr>
            <w:tcW w:w="3007" w:type="dxa"/>
            <w:vMerge/>
            <w:tcBorders>
              <w:left w:val="single" w:sz="6" w:space="0" w:color="auto"/>
              <w:right w:val="single" w:sz="6" w:space="0" w:color="auto"/>
            </w:tcBorders>
            <w:shd w:val="clear" w:color="auto" w:fill="C6D9F1" w:themeFill="text2" w:themeFillTint="33"/>
          </w:tcPr>
          <w:p w:rsidR="00283FCD" w:rsidRPr="002045F5" w:rsidRDefault="00283FCD" w:rsidP="00283FCD">
            <w:pPr>
              <w:autoSpaceDE w:val="0"/>
              <w:autoSpaceDN w:val="0"/>
              <w:adjustRightInd w:val="0"/>
              <w:spacing w:line="256" w:lineRule="auto"/>
              <w:jc w:val="right"/>
              <w:rPr>
                <w:rFonts w:eastAsia="Calibri"/>
                <w:b/>
                <w:color w:val="000000"/>
                <w:sz w:val="22"/>
              </w:rPr>
            </w:pPr>
          </w:p>
        </w:tc>
        <w:tc>
          <w:tcPr>
            <w:tcW w:w="3686" w:type="dxa"/>
            <w:gridSpan w:val="4"/>
            <w:tcBorders>
              <w:top w:val="single" w:sz="4" w:space="0" w:color="auto"/>
              <w:left w:val="single" w:sz="6" w:space="0" w:color="auto"/>
              <w:bottom w:val="single" w:sz="6" w:space="0" w:color="auto"/>
              <w:right w:val="single" w:sz="6" w:space="0" w:color="auto"/>
            </w:tcBorders>
          </w:tcPr>
          <w:p w:rsidR="00283FCD" w:rsidRPr="002045F5" w:rsidRDefault="00283FCD" w:rsidP="00283FCD">
            <w:pPr>
              <w:autoSpaceDE w:val="0"/>
              <w:autoSpaceDN w:val="0"/>
              <w:adjustRightInd w:val="0"/>
              <w:spacing w:line="256" w:lineRule="auto"/>
              <w:rPr>
                <w:rFonts w:eastAsia="Calibri"/>
                <w:color w:val="000000"/>
                <w:sz w:val="22"/>
              </w:rPr>
            </w:pPr>
            <w:r w:rsidRPr="002045F5">
              <w:rPr>
                <w:rFonts w:eastAsia="Calibri"/>
                <w:color w:val="000000"/>
                <w:sz w:val="22"/>
              </w:rPr>
              <w:t>Придбання оргтехніки</w:t>
            </w:r>
          </w:p>
        </w:tc>
        <w:tc>
          <w:tcPr>
            <w:tcW w:w="1701" w:type="dxa"/>
            <w:gridSpan w:val="2"/>
            <w:tcBorders>
              <w:top w:val="single" w:sz="4" w:space="0" w:color="auto"/>
              <w:left w:val="single" w:sz="4" w:space="0" w:color="auto"/>
              <w:right w:val="single" w:sz="4" w:space="0" w:color="auto"/>
            </w:tcBorders>
            <w:vAlign w:val="center"/>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 xml:space="preserve">одиниць </w:t>
            </w:r>
          </w:p>
        </w:tc>
        <w:tc>
          <w:tcPr>
            <w:tcW w:w="1559" w:type="dxa"/>
            <w:tcBorders>
              <w:top w:val="single" w:sz="4" w:space="0" w:color="auto"/>
              <w:left w:val="single" w:sz="4" w:space="0" w:color="auto"/>
              <w:right w:val="single" w:sz="4"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10</w:t>
            </w:r>
          </w:p>
        </w:tc>
      </w:tr>
      <w:tr w:rsidR="00283FCD" w:rsidRPr="002045F5" w:rsidTr="00283FCD">
        <w:trPr>
          <w:trHeight w:val="1464"/>
        </w:trPr>
        <w:tc>
          <w:tcPr>
            <w:tcW w:w="3007"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283FCD" w:rsidRPr="002045F5" w:rsidRDefault="00283FCD" w:rsidP="00283FCD">
            <w:pPr>
              <w:autoSpaceDE w:val="0"/>
              <w:autoSpaceDN w:val="0"/>
              <w:adjustRightInd w:val="0"/>
              <w:spacing w:line="256" w:lineRule="auto"/>
              <w:rPr>
                <w:rFonts w:eastAsia="Calibri"/>
                <w:b/>
                <w:color w:val="000000"/>
                <w:sz w:val="22"/>
              </w:rPr>
            </w:pPr>
            <w:r w:rsidRPr="002045F5">
              <w:rPr>
                <w:rFonts w:eastAsia="Calibri"/>
                <w:b/>
                <w:color w:val="000000"/>
                <w:sz w:val="22"/>
              </w:rPr>
              <w:t>Ключові заходи проекту:</w:t>
            </w:r>
          </w:p>
        </w:tc>
        <w:tc>
          <w:tcPr>
            <w:tcW w:w="6946" w:type="dxa"/>
            <w:gridSpan w:val="7"/>
            <w:tcBorders>
              <w:top w:val="single" w:sz="6" w:space="0" w:color="auto"/>
              <w:left w:val="single" w:sz="6" w:space="0" w:color="auto"/>
              <w:bottom w:val="single" w:sz="4" w:space="0" w:color="auto"/>
              <w:right w:val="single" w:sz="6" w:space="0" w:color="auto"/>
            </w:tcBorders>
            <w:hideMark/>
          </w:tcPr>
          <w:p w:rsidR="00283FCD" w:rsidRPr="002045F5" w:rsidRDefault="00283FCD" w:rsidP="000303D7">
            <w:pPr>
              <w:numPr>
                <w:ilvl w:val="0"/>
                <w:numId w:val="131"/>
              </w:numPr>
              <w:contextualSpacing/>
              <w:jc w:val="left"/>
              <w:rPr>
                <w:sz w:val="22"/>
              </w:rPr>
            </w:pPr>
            <w:r w:rsidRPr="002045F5">
              <w:rPr>
                <w:sz w:val="22"/>
              </w:rPr>
              <w:t>обстеження стану будівлі;</w:t>
            </w:r>
          </w:p>
          <w:p w:rsidR="00283FCD" w:rsidRPr="002045F5" w:rsidRDefault="00283FCD" w:rsidP="000303D7">
            <w:pPr>
              <w:pStyle w:val="a7"/>
              <w:numPr>
                <w:ilvl w:val="0"/>
                <w:numId w:val="131"/>
              </w:numPr>
              <w:shd w:val="clear" w:color="auto" w:fill="FFFFFF"/>
              <w:spacing w:line="256" w:lineRule="auto"/>
              <w:rPr>
                <w:rFonts w:eastAsia="Calibri"/>
                <w:color w:val="000000"/>
                <w:sz w:val="22"/>
              </w:rPr>
            </w:pPr>
            <w:r w:rsidRPr="002045F5">
              <w:rPr>
                <w:rFonts w:eastAsia="Calibri"/>
                <w:color w:val="000000"/>
                <w:sz w:val="22"/>
              </w:rPr>
              <w:t>проведення інвентаризації основних засобів;</w:t>
            </w:r>
          </w:p>
          <w:p w:rsidR="00283FCD" w:rsidRPr="002045F5" w:rsidRDefault="00283FCD" w:rsidP="000303D7">
            <w:pPr>
              <w:pStyle w:val="a7"/>
              <w:numPr>
                <w:ilvl w:val="0"/>
                <w:numId w:val="131"/>
              </w:numPr>
              <w:shd w:val="clear" w:color="auto" w:fill="FFFFFF"/>
              <w:spacing w:line="256" w:lineRule="auto"/>
              <w:rPr>
                <w:rFonts w:eastAsia="Calibri"/>
                <w:color w:val="000000"/>
                <w:sz w:val="22"/>
              </w:rPr>
            </w:pPr>
            <w:r w:rsidRPr="002045F5">
              <w:rPr>
                <w:rFonts w:eastAsia="Calibri"/>
                <w:color w:val="000000"/>
                <w:sz w:val="22"/>
              </w:rPr>
              <w:t>придбання матеріального забезпечення установи;</w:t>
            </w:r>
          </w:p>
          <w:p w:rsidR="00283FCD" w:rsidRPr="002045F5" w:rsidRDefault="00283FCD" w:rsidP="000303D7">
            <w:pPr>
              <w:pStyle w:val="a7"/>
              <w:numPr>
                <w:ilvl w:val="0"/>
                <w:numId w:val="131"/>
              </w:numPr>
              <w:shd w:val="clear" w:color="auto" w:fill="FFFFFF"/>
              <w:spacing w:line="256" w:lineRule="auto"/>
              <w:rPr>
                <w:rFonts w:eastAsia="Calibri"/>
                <w:color w:val="000000"/>
                <w:sz w:val="22"/>
              </w:rPr>
            </w:pPr>
            <w:r w:rsidRPr="002045F5">
              <w:rPr>
                <w:rFonts w:eastAsia="Calibri"/>
                <w:color w:val="000000"/>
                <w:sz w:val="22"/>
              </w:rPr>
              <w:t>визначення кількості осіб, які потребують отримання послуг;</w:t>
            </w:r>
          </w:p>
          <w:p w:rsidR="00283FCD" w:rsidRPr="002045F5" w:rsidRDefault="00283FCD" w:rsidP="000303D7">
            <w:pPr>
              <w:pStyle w:val="a7"/>
              <w:numPr>
                <w:ilvl w:val="0"/>
                <w:numId w:val="131"/>
              </w:numPr>
              <w:shd w:val="clear" w:color="auto" w:fill="FFFFFF"/>
              <w:spacing w:line="256" w:lineRule="auto"/>
              <w:rPr>
                <w:rFonts w:eastAsia="Calibri"/>
                <w:color w:val="000000"/>
                <w:sz w:val="22"/>
              </w:rPr>
            </w:pPr>
            <w:r w:rsidRPr="002045F5">
              <w:rPr>
                <w:rFonts w:eastAsia="Calibri"/>
                <w:color w:val="000000"/>
                <w:sz w:val="22"/>
              </w:rPr>
              <w:t>організація та початок робочого процесу.</w:t>
            </w:r>
          </w:p>
        </w:tc>
      </w:tr>
      <w:tr w:rsidR="00283FCD" w:rsidRPr="002045F5" w:rsidTr="00283FCD">
        <w:trPr>
          <w:trHeight w:val="625"/>
        </w:trPr>
        <w:tc>
          <w:tcPr>
            <w:tcW w:w="3007" w:type="dxa"/>
            <w:vMerge w:val="restart"/>
            <w:tcBorders>
              <w:top w:val="single" w:sz="6" w:space="0" w:color="auto"/>
              <w:left w:val="single" w:sz="6" w:space="0" w:color="auto"/>
              <w:bottom w:val="single" w:sz="6" w:space="0" w:color="auto"/>
              <w:right w:val="single" w:sz="4" w:space="0" w:color="auto"/>
            </w:tcBorders>
            <w:shd w:val="clear" w:color="auto" w:fill="C6D9F1" w:themeFill="text2" w:themeFillTint="33"/>
            <w:hideMark/>
          </w:tcPr>
          <w:p w:rsidR="00283FCD" w:rsidRPr="002045F5" w:rsidRDefault="00283FCD" w:rsidP="00283FCD">
            <w:pPr>
              <w:autoSpaceDE w:val="0"/>
              <w:autoSpaceDN w:val="0"/>
              <w:adjustRightInd w:val="0"/>
              <w:spacing w:line="256" w:lineRule="auto"/>
              <w:rPr>
                <w:rFonts w:eastAsia="Calibri"/>
                <w:b/>
                <w:color w:val="000000"/>
                <w:sz w:val="22"/>
              </w:rPr>
            </w:pPr>
            <w:r w:rsidRPr="002045F5">
              <w:rPr>
                <w:rFonts w:eastAsia="Calibri"/>
                <w:b/>
                <w:color w:val="000000"/>
                <w:sz w:val="22"/>
              </w:rPr>
              <w:t>Орієнтовний обсяг та джерела фінансування тис. гривень</w:t>
            </w:r>
          </w:p>
        </w:tc>
        <w:tc>
          <w:tcPr>
            <w:tcW w:w="1276" w:type="dxa"/>
            <w:vMerge w:val="restart"/>
            <w:tcBorders>
              <w:top w:val="single" w:sz="4" w:space="0" w:color="auto"/>
              <w:left w:val="single" w:sz="4" w:space="0" w:color="auto"/>
              <w:bottom w:val="single" w:sz="4" w:space="0" w:color="auto"/>
              <w:right w:val="single" w:sz="4" w:space="0" w:color="auto"/>
            </w:tcBorders>
            <w:hideMark/>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Державний бюджет</w:t>
            </w:r>
          </w:p>
        </w:tc>
        <w:tc>
          <w:tcPr>
            <w:tcW w:w="1134" w:type="dxa"/>
            <w:vMerge w:val="restart"/>
            <w:tcBorders>
              <w:top w:val="single" w:sz="4" w:space="0" w:color="auto"/>
              <w:left w:val="single" w:sz="4" w:space="0" w:color="auto"/>
              <w:right w:val="single" w:sz="4" w:space="0" w:color="auto"/>
            </w:tcBorders>
            <w:hideMark/>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Місцевий бюджет</w:t>
            </w:r>
          </w:p>
        </w:tc>
        <w:tc>
          <w:tcPr>
            <w:tcW w:w="2835" w:type="dxa"/>
            <w:gridSpan w:val="3"/>
            <w:tcBorders>
              <w:top w:val="single" w:sz="4" w:space="0" w:color="auto"/>
              <w:left w:val="single" w:sz="4" w:space="0" w:color="auto"/>
              <w:right w:val="single" w:sz="4" w:space="0" w:color="auto"/>
            </w:tcBorders>
            <w:hideMark/>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Інші джерела</w:t>
            </w:r>
          </w:p>
        </w:tc>
        <w:tc>
          <w:tcPr>
            <w:tcW w:w="1701" w:type="dxa"/>
            <w:gridSpan w:val="2"/>
            <w:vMerge w:val="restart"/>
            <w:tcBorders>
              <w:top w:val="single" w:sz="4" w:space="0" w:color="auto"/>
              <w:left w:val="single" w:sz="4" w:space="0" w:color="auto"/>
              <w:bottom w:val="single" w:sz="4" w:space="0" w:color="auto"/>
              <w:right w:val="single" w:sz="4" w:space="0" w:color="auto"/>
            </w:tcBorders>
            <w:vAlign w:val="center"/>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Всього</w:t>
            </w:r>
          </w:p>
          <w:p w:rsidR="00283FCD" w:rsidRPr="002045F5" w:rsidRDefault="00283FCD" w:rsidP="00283FCD">
            <w:pPr>
              <w:autoSpaceDE w:val="0"/>
              <w:autoSpaceDN w:val="0"/>
              <w:adjustRightInd w:val="0"/>
              <w:spacing w:line="256" w:lineRule="auto"/>
              <w:jc w:val="center"/>
              <w:rPr>
                <w:rFonts w:eastAsia="Calibri"/>
                <w:color w:val="000000"/>
                <w:sz w:val="22"/>
              </w:rPr>
            </w:pPr>
          </w:p>
          <w:p w:rsidR="00283FCD" w:rsidRPr="002045F5" w:rsidRDefault="00283FCD" w:rsidP="00283FCD">
            <w:pPr>
              <w:autoSpaceDE w:val="0"/>
              <w:autoSpaceDN w:val="0"/>
              <w:adjustRightInd w:val="0"/>
              <w:spacing w:line="256" w:lineRule="auto"/>
              <w:jc w:val="center"/>
              <w:rPr>
                <w:rFonts w:eastAsia="Calibri"/>
                <w:color w:val="000000"/>
                <w:sz w:val="22"/>
              </w:rPr>
            </w:pPr>
          </w:p>
        </w:tc>
      </w:tr>
      <w:tr w:rsidR="00283FCD" w:rsidRPr="002045F5" w:rsidTr="00283FCD">
        <w:trPr>
          <w:trHeight w:val="49"/>
        </w:trPr>
        <w:tc>
          <w:tcPr>
            <w:tcW w:w="3007" w:type="dxa"/>
            <w:vMerge/>
            <w:tcBorders>
              <w:top w:val="single" w:sz="6" w:space="0" w:color="auto"/>
              <w:left w:val="single" w:sz="6" w:space="0" w:color="auto"/>
              <w:bottom w:val="single" w:sz="6" w:space="0" w:color="auto"/>
              <w:right w:val="single" w:sz="4" w:space="0" w:color="auto"/>
            </w:tcBorders>
            <w:shd w:val="clear" w:color="auto" w:fill="C6D9F1" w:themeFill="text2" w:themeFillTint="33"/>
            <w:vAlign w:val="center"/>
            <w:hideMark/>
          </w:tcPr>
          <w:p w:rsidR="00283FCD" w:rsidRPr="002045F5" w:rsidRDefault="00283FCD" w:rsidP="00283FCD">
            <w:pPr>
              <w:spacing w:line="256" w:lineRule="auto"/>
              <w:rPr>
                <w:rFonts w:eastAsia="Calibri"/>
                <w:b/>
                <w:color w:val="000000"/>
                <w:sz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283FCD" w:rsidRPr="002045F5" w:rsidRDefault="00283FCD" w:rsidP="00283FCD">
            <w:pPr>
              <w:spacing w:line="256" w:lineRule="auto"/>
              <w:jc w:val="center"/>
              <w:rPr>
                <w:rFonts w:eastAsia="Calibri"/>
                <w:color w:val="000000"/>
                <w:sz w:val="22"/>
              </w:rPr>
            </w:pPr>
          </w:p>
        </w:tc>
        <w:tc>
          <w:tcPr>
            <w:tcW w:w="1134" w:type="dxa"/>
            <w:vMerge/>
            <w:tcBorders>
              <w:left w:val="single" w:sz="4" w:space="0" w:color="auto"/>
              <w:bottom w:val="single" w:sz="4" w:space="0" w:color="auto"/>
              <w:right w:val="single" w:sz="4"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p>
        </w:tc>
        <w:tc>
          <w:tcPr>
            <w:tcW w:w="1134" w:type="dxa"/>
            <w:tcBorders>
              <w:top w:val="single" w:sz="4" w:space="0" w:color="auto"/>
              <w:left w:val="single" w:sz="4" w:space="0" w:color="auto"/>
              <w:bottom w:val="single" w:sz="4" w:space="0" w:color="auto"/>
              <w:right w:val="single" w:sz="4" w:space="0" w:color="auto"/>
            </w:tcBorders>
            <w:hideMark/>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Обсяг</w:t>
            </w:r>
          </w:p>
        </w:tc>
        <w:tc>
          <w:tcPr>
            <w:tcW w:w="1701" w:type="dxa"/>
            <w:gridSpan w:val="2"/>
            <w:tcBorders>
              <w:top w:val="single" w:sz="4" w:space="0" w:color="auto"/>
              <w:left w:val="single" w:sz="4" w:space="0" w:color="auto"/>
              <w:bottom w:val="single" w:sz="4" w:space="0" w:color="auto"/>
              <w:right w:val="single" w:sz="4" w:space="0" w:color="auto"/>
            </w:tcBorders>
            <w:hideMark/>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Назва    джерела</w:t>
            </w: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283FCD" w:rsidRPr="002045F5" w:rsidRDefault="00283FCD" w:rsidP="00283FCD">
            <w:pPr>
              <w:spacing w:line="256" w:lineRule="auto"/>
              <w:jc w:val="center"/>
              <w:rPr>
                <w:rFonts w:eastAsia="Calibri"/>
                <w:color w:val="000000"/>
                <w:sz w:val="22"/>
              </w:rPr>
            </w:pPr>
          </w:p>
        </w:tc>
      </w:tr>
      <w:tr w:rsidR="00283FCD" w:rsidRPr="002045F5" w:rsidTr="00283FCD">
        <w:trPr>
          <w:trHeight w:val="277"/>
        </w:trPr>
        <w:tc>
          <w:tcPr>
            <w:tcW w:w="3007" w:type="dxa"/>
            <w:vMerge/>
            <w:tcBorders>
              <w:top w:val="single" w:sz="6" w:space="0" w:color="auto"/>
              <w:left w:val="single" w:sz="6" w:space="0" w:color="auto"/>
              <w:bottom w:val="single" w:sz="6" w:space="0" w:color="auto"/>
              <w:right w:val="single" w:sz="4" w:space="0" w:color="auto"/>
            </w:tcBorders>
            <w:shd w:val="clear" w:color="auto" w:fill="C6D9F1" w:themeFill="text2" w:themeFillTint="33"/>
            <w:vAlign w:val="center"/>
            <w:hideMark/>
          </w:tcPr>
          <w:p w:rsidR="00283FCD" w:rsidRPr="002045F5" w:rsidRDefault="00283FCD" w:rsidP="00283FCD">
            <w:pPr>
              <w:spacing w:line="256" w:lineRule="auto"/>
              <w:rPr>
                <w:rFonts w:eastAsia="Calibri"/>
                <w:b/>
                <w:color w:val="000000"/>
                <w:sz w:val="22"/>
              </w:rPr>
            </w:pPr>
          </w:p>
        </w:tc>
        <w:tc>
          <w:tcPr>
            <w:tcW w:w="1276" w:type="dxa"/>
            <w:tcBorders>
              <w:top w:val="single" w:sz="4" w:space="0" w:color="auto"/>
              <w:left w:val="single" w:sz="4" w:space="0" w:color="auto"/>
              <w:bottom w:val="single" w:sz="4" w:space="0" w:color="auto"/>
              <w:right w:val="single" w:sz="4" w:space="0" w:color="auto"/>
            </w:tcBorders>
            <w:hideMark/>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12 369,0</w:t>
            </w:r>
          </w:p>
        </w:tc>
        <w:tc>
          <w:tcPr>
            <w:tcW w:w="1134" w:type="dxa"/>
            <w:tcBorders>
              <w:top w:val="single" w:sz="4" w:space="0" w:color="auto"/>
              <w:left w:val="single" w:sz="4" w:space="0" w:color="auto"/>
              <w:bottom w:val="single" w:sz="4" w:space="0" w:color="auto"/>
              <w:right w:val="single" w:sz="4"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p>
        </w:tc>
        <w:tc>
          <w:tcPr>
            <w:tcW w:w="1134" w:type="dxa"/>
            <w:tcBorders>
              <w:top w:val="single" w:sz="4" w:space="0" w:color="auto"/>
              <w:left w:val="single" w:sz="4" w:space="0" w:color="auto"/>
              <w:bottom w:val="single" w:sz="4" w:space="0" w:color="auto"/>
              <w:right w:val="single" w:sz="4" w:space="0" w:color="auto"/>
            </w:tcBorders>
            <w:hideMark/>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3 000,0</w:t>
            </w:r>
          </w:p>
        </w:tc>
        <w:tc>
          <w:tcPr>
            <w:tcW w:w="1701" w:type="dxa"/>
            <w:gridSpan w:val="2"/>
            <w:tcBorders>
              <w:top w:val="single" w:sz="4" w:space="0" w:color="auto"/>
              <w:left w:val="single" w:sz="4" w:space="0" w:color="auto"/>
              <w:bottom w:val="single" w:sz="4" w:space="0" w:color="auto"/>
              <w:right w:val="single" w:sz="4" w:space="0" w:color="auto"/>
            </w:tcBorders>
            <w:hideMark/>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Гранти, громадський бюджет,</w:t>
            </w:r>
            <w:r w:rsidRPr="002045F5">
              <w:rPr>
                <w:b/>
                <w:color w:val="202122"/>
                <w:sz w:val="22"/>
                <w:shd w:val="clear" w:color="auto" w:fill="FFFFFF"/>
              </w:rPr>
              <w:t xml:space="preserve"> </w:t>
            </w:r>
            <w:proofErr w:type="spellStart"/>
            <w:r w:rsidRPr="002045F5">
              <w:rPr>
                <w:color w:val="202122"/>
                <w:sz w:val="22"/>
                <w:shd w:val="clear" w:color="auto" w:fill="FFFFFF"/>
              </w:rPr>
              <w:t>краудфа́ндинг</w:t>
            </w:r>
            <w:proofErr w:type="spellEnd"/>
          </w:p>
        </w:tc>
        <w:tc>
          <w:tcPr>
            <w:tcW w:w="1701" w:type="dxa"/>
            <w:gridSpan w:val="2"/>
            <w:tcBorders>
              <w:top w:val="single" w:sz="4" w:space="0" w:color="auto"/>
              <w:left w:val="single" w:sz="4" w:space="0" w:color="auto"/>
              <w:bottom w:val="single" w:sz="4" w:space="0" w:color="auto"/>
              <w:right w:val="single" w:sz="4" w:space="0" w:color="auto"/>
            </w:tcBorders>
            <w:hideMark/>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15 369,0</w:t>
            </w:r>
          </w:p>
        </w:tc>
      </w:tr>
    </w:tbl>
    <w:p w:rsidR="00283FCD" w:rsidRPr="002045F5" w:rsidRDefault="00283FCD" w:rsidP="00E95FB1">
      <w:pPr>
        <w:rPr>
          <w:sz w:val="22"/>
        </w:rPr>
      </w:pPr>
    </w:p>
    <w:p w:rsidR="00283FCD" w:rsidRPr="002045F5" w:rsidRDefault="00283FCD" w:rsidP="00E95FB1">
      <w:pPr>
        <w:rPr>
          <w:sz w:val="22"/>
        </w:rPr>
      </w:pPr>
    </w:p>
    <w:p w:rsidR="00283FCD" w:rsidRPr="002045F5" w:rsidRDefault="00283FCD" w:rsidP="00E95FB1">
      <w:pPr>
        <w:rPr>
          <w:sz w:val="22"/>
        </w:rPr>
      </w:pPr>
    </w:p>
    <w:tbl>
      <w:tblPr>
        <w:tblStyle w:val="af"/>
        <w:tblW w:w="0" w:type="auto"/>
        <w:tblInd w:w="-176" w:type="dxa"/>
        <w:tblLook w:val="04A0" w:firstRow="1" w:lastRow="0" w:firstColumn="1" w:lastColumn="0" w:noHBand="0" w:noVBand="1"/>
      </w:tblPr>
      <w:tblGrid>
        <w:gridCol w:w="2847"/>
        <w:gridCol w:w="1281"/>
        <w:gridCol w:w="1200"/>
        <w:gridCol w:w="818"/>
        <w:gridCol w:w="678"/>
        <w:gridCol w:w="1208"/>
        <w:gridCol w:w="1630"/>
      </w:tblGrid>
      <w:tr w:rsidR="00283FCD" w:rsidRPr="002045F5" w:rsidTr="001B3967">
        <w:tc>
          <w:tcPr>
            <w:tcW w:w="297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95FB1" w:rsidRPr="002045F5" w:rsidRDefault="00E95FB1" w:rsidP="001B3967">
            <w:pPr>
              <w:rPr>
                <w:b/>
                <w:sz w:val="22"/>
                <w:lang w:val="uk-UA"/>
              </w:rPr>
            </w:pPr>
            <w:r w:rsidRPr="002045F5">
              <w:rPr>
                <w:b/>
                <w:sz w:val="22"/>
                <w:lang w:val="uk-UA"/>
              </w:rPr>
              <w:t>Оперативна ціль/завдання</w:t>
            </w:r>
          </w:p>
        </w:tc>
        <w:tc>
          <w:tcPr>
            <w:tcW w:w="6543" w:type="dxa"/>
            <w:gridSpan w:val="6"/>
            <w:tcBorders>
              <w:top w:val="single" w:sz="4" w:space="0" w:color="auto"/>
              <w:left w:val="single" w:sz="4" w:space="0" w:color="auto"/>
              <w:bottom w:val="single" w:sz="4" w:space="0" w:color="auto"/>
              <w:right w:val="single" w:sz="4" w:space="0" w:color="auto"/>
            </w:tcBorders>
          </w:tcPr>
          <w:p w:rsidR="00E95FB1" w:rsidRPr="002045F5" w:rsidRDefault="007370BD" w:rsidP="001B3967">
            <w:pPr>
              <w:jc w:val="left"/>
              <w:rPr>
                <w:sz w:val="22"/>
                <w:lang w:val="uk-UA"/>
              </w:rPr>
            </w:pPr>
            <w:proofErr w:type="spellStart"/>
            <w:r w:rsidRPr="002045F5">
              <w:rPr>
                <w:rFonts w:eastAsia="Calibri"/>
                <w:sz w:val="22"/>
              </w:rPr>
              <w:t>Людський</w:t>
            </w:r>
            <w:proofErr w:type="spellEnd"/>
            <w:r w:rsidRPr="002045F5">
              <w:rPr>
                <w:rFonts w:eastAsia="Calibri"/>
                <w:sz w:val="22"/>
              </w:rPr>
              <w:t xml:space="preserve"> </w:t>
            </w:r>
            <w:proofErr w:type="spellStart"/>
            <w:r w:rsidRPr="002045F5">
              <w:rPr>
                <w:rFonts w:eastAsia="Calibri"/>
                <w:sz w:val="22"/>
              </w:rPr>
              <w:t>розвиток</w:t>
            </w:r>
            <w:proofErr w:type="spellEnd"/>
            <w:r w:rsidRPr="002045F5">
              <w:rPr>
                <w:rFonts w:eastAsia="Calibri"/>
                <w:sz w:val="22"/>
              </w:rPr>
              <w:t xml:space="preserve"> через </w:t>
            </w:r>
            <w:proofErr w:type="spellStart"/>
            <w:r w:rsidRPr="002045F5">
              <w:rPr>
                <w:rFonts w:eastAsia="Calibri"/>
                <w:sz w:val="22"/>
              </w:rPr>
              <w:t>інновації</w:t>
            </w:r>
            <w:proofErr w:type="spellEnd"/>
            <w:r w:rsidRPr="002045F5">
              <w:rPr>
                <w:rFonts w:eastAsia="Calibri"/>
                <w:sz w:val="22"/>
              </w:rPr>
              <w:t xml:space="preserve"> </w:t>
            </w:r>
            <w:proofErr w:type="spellStart"/>
            <w:r w:rsidRPr="002045F5">
              <w:rPr>
                <w:rFonts w:eastAsia="Calibri"/>
                <w:sz w:val="22"/>
              </w:rPr>
              <w:t>управління</w:t>
            </w:r>
            <w:proofErr w:type="spellEnd"/>
            <w:r w:rsidRPr="002045F5">
              <w:rPr>
                <w:rFonts w:eastAsia="Calibri"/>
                <w:sz w:val="22"/>
              </w:rPr>
              <w:t xml:space="preserve"> та </w:t>
            </w:r>
            <w:proofErr w:type="spellStart"/>
            <w:r w:rsidRPr="002045F5">
              <w:rPr>
                <w:rFonts w:eastAsia="Calibri"/>
                <w:sz w:val="22"/>
              </w:rPr>
              <w:t>довіру</w:t>
            </w:r>
            <w:proofErr w:type="spellEnd"/>
            <w:r w:rsidRPr="002045F5">
              <w:rPr>
                <w:rFonts w:eastAsia="Calibri"/>
                <w:sz w:val="22"/>
              </w:rPr>
              <w:t xml:space="preserve"> до </w:t>
            </w:r>
            <w:proofErr w:type="spellStart"/>
            <w:r w:rsidRPr="002045F5">
              <w:rPr>
                <w:rFonts w:eastAsia="Calibri"/>
                <w:sz w:val="22"/>
              </w:rPr>
              <w:t>влади</w:t>
            </w:r>
            <w:proofErr w:type="spellEnd"/>
            <w:r w:rsidRPr="002045F5">
              <w:rPr>
                <w:rFonts w:eastAsia="Calibri"/>
                <w:sz w:val="22"/>
              </w:rPr>
              <w:t xml:space="preserve">. </w:t>
            </w:r>
            <w:proofErr w:type="spellStart"/>
            <w:r w:rsidRPr="002045F5">
              <w:rPr>
                <w:rFonts w:eastAsia="Calibri"/>
                <w:sz w:val="22"/>
              </w:rPr>
              <w:t>Формування</w:t>
            </w:r>
            <w:proofErr w:type="spellEnd"/>
            <w:r w:rsidRPr="002045F5">
              <w:rPr>
                <w:rFonts w:eastAsia="Calibri"/>
                <w:sz w:val="22"/>
              </w:rPr>
              <w:t xml:space="preserve"> </w:t>
            </w:r>
            <w:proofErr w:type="spellStart"/>
            <w:r w:rsidRPr="002045F5">
              <w:rPr>
                <w:rFonts w:eastAsia="Calibri"/>
                <w:sz w:val="22"/>
              </w:rPr>
              <w:t>сучасного</w:t>
            </w:r>
            <w:proofErr w:type="spellEnd"/>
            <w:r w:rsidRPr="002045F5">
              <w:rPr>
                <w:rFonts w:eastAsia="Calibri"/>
                <w:sz w:val="22"/>
              </w:rPr>
              <w:t xml:space="preserve"> </w:t>
            </w:r>
            <w:proofErr w:type="spellStart"/>
            <w:r w:rsidRPr="002045F5">
              <w:rPr>
                <w:rFonts w:eastAsia="Calibri"/>
                <w:sz w:val="22"/>
              </w:rPr>
              <w:t>інклюзивного</w:t>
            </w:r>
            <w:proofErr w:type="spellEnd"/>
            <w:r w:rsidRPr="002045F5">
              <w:rPr>
                <w:rFonts w:eastAsia="Calibri"/>
                <w:sz w:val="22"/>
              </w:rPr>
              <w:t xml:space="preserve"> </w:t>
            </w:r>
            <w:proofErr w:type="spellStart"/>
            <w:r w:rsidRPr="002045F5">
              <w:rPr>
                <w:rFonts w:eastAsia="Calibri"/>
                <w:sz w:val="22"/>
              </w:rPr>
              <w:t>освітньо</w:t>
            </w:r>
            <w:proofErr w:type="spellEnd"/>
            <w:r w:rsidRPr="002045F5">
              <w:rPr>
                <w:rFonts w:eastAsia="Calibri"/>
                <w:sz w:val="22"/>
              </w:rPr>
              <w:t xml:space="preserve">-культурного та спортивного простору для </w:t>
            </w:r>
            <w:proofErr w:type="spellStart"/>
            <w:r w:rsidRPr="002045F5">
              <w:rPr>
                <w:rFonts w:eastAsia="Calibri"/>
                <w:sz w:val="22"/>
              </w:rPr>
              <w:t>розвитку</w:t>
            </w:r>
            <w:proofErr w:type="spellEnd"/>
          </w:p>
        </w:tc>
      </w:tr>
      <w:tr w:rsidR="00283FCD" w:rsidRPr="002045F5" w:rsidTr="001B3967">
        <w:tc>
          <w:tcPr>
            <w:tcW w:w="297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95FB1" w:rsidRPr="002045F5" w:rsidRDefault="00E95FB1" w:rsidP="001B3967">
            <w:pPr>
              <w:rPr>
                <w:b/>
                <w:sz w:val="22"/>
                <w:lang w:val="uk-UA"/>
              </w:rPr>
            </w:pPr>
            <w:r w:rsidRPr="002045F5">
              <w:rPr>
                <w:b/>
                <w:sz w:val="22"/>
                <w:lang w:val="uk-UA"/>
              </w:rPr>
              <w:t xml:space="preserve">Назва </w:t>
            </w:r>
            <w:proofErr w:type="spellStart"/>
            <w:r w:rsidRPr="002045F5">
              <w:rPr>
                <w:b/>
                <w:sz w:val="22"/>
                <w:lang w:val="uk-UA"/>
              </w:rPr>
              <w:t>проєкту</w:t>
            </w:r>
            <w:proofErr w:type="spellEnd"/>
            <w:r w:rsidRPr="002045F5">
              <w:rPr>
                <w:b/>
                <w:sz w:val="22"/>
                <w:lang w:val="uk-UA"/>
              </w:rPr>
              <w:t>:</w:t>
            </w:r>
          </w:p>
        </w:tc>
        <w:tc>
          <w:tcPr>
            <w:tcW w:w="6543" w:type="dxa"/>
            <w:gridSpan w:val="6"/>
            <w:tcBorders>
              <w:top w:val="single" w:sz="4" w:space="0" w:color="auto"/>
              <w:left w:val="single" w:sz="4" w:space="0" w:color="auto"/>
              <w:bottom w:val="single" w:sz="4" w:space="0" w:color="auto"/>
              <w:right w:val="single" w:sz="4" w:space="0" w:color="auto"/>
            </w:tcBorders>
            <w:hideMark/>
          </w:tcPr>
          <w:p w:rsidR="00E95FB1" w:rsidRPr="002045F5" w:rsidRDefault="00E95FB1" w:rsidP="006B49CD">
            <w:pPr>
              <w:jc w:val="left"/>
              <w:rPr>
                <w:sz w:val="22"/>
                <w:lang w:val="uk-UA"/>
              </w:rPr>
            </w:pPr>
            <w:r w:rsidRPr="002045F5">
              <w:rPr>
                <w:sz w:val="22"/>
                <w:lang w:val="uk-UA"/>
              </w:rPr>
              <w:t>Відновлення діяльності (розвитку) комунального закладу                       «Сєвєродонецький міський Центр соціальних служб»</w:t>
            </w:r>
          </w:p>
        </w:tc>
      </w:tr>
      <w:tr w:rsidR="00283FCD" w:rsidRPr="002045F5" w:rsidTr="001B3967">
        <w:tc>
          <w:tcPr>
            <w:tcW w:w="297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95FB1" w:rsidRPr="002045F5" w:rsidRDefault="00E95FB1" w:rsidP="001B3967">
            <w:pPr>
              <w:rPr>
                <w:b/>
                <w:sz w:val="22"/>
                <w:lang w:val="uk-UA"/>
              </w:rPr>
            </w:pPr>
            <w:r w:rsidRPr="002045F5">
              <w:rPr>
                <w:b/>
                <w:sz w:val="22"/>
                <w:lang w:val="uk-UA"/>
              </w:rPr>
              <w:t xml:space="preserve">Ціль </w:t>
            </w:r>
            <w:proofErr w:type="spellStart"/>
            <w:r w:rsidRPr="002045F5">
              <w:rPr>
                <w:b/>
                <w:sz w:val="22"/>
                <w:lang w:val="uk-UA"/>
              </w:rPr>
              <w:t>проєкту</w:t>
            </w:r>
            <w:proofErr w:type="spellEnd"/>
          </w:p>
        </w:tc>
        <w:tc>
          <w:tcPr>
            <w:tcW w:w="6543" w:type="dxa"/>
            <w:gridSpan w:val="6"/>
            <w:tcBorders>
              <w:top w:val="single" w:sz="4" w:space="0" w:color="auto"/>
              <w:left w:val="single" w:sz="4" w:space="0" w:color="auto"/>
              <w:bottom w:val="single" w:sz="4" w:space="0" w:color="auto"/>
              <w:right w:val="single" w:sz="4" w:space="0" w:color="auto"/>
            </w:tcBorders>
            <w:hideMark/>
          </w:tcPr>
          <w:p w:rsidR="00E95FB1" w:rsidRPr="002045F5" w:rsidRDefault="00E95FB1" w:rsidP="001B3967">
            <w:pPr>
              <w:rPr>
                <w:sz w:val="22"/>
                <w:lang w:val="uk-UA"/>
              </w:rPr>
            </w:pPr>
            <w:r w:rsidRPr="002045F5">
              <w:rPr>
                <w:sz w:val="22"/>
                <w:lang w:val="uk-UA"/>
              </w:rPr>
              <w:t xml:space="preserve">Відновити та покращити роботу Сєвєродонецького міського Центру соціальних служб на </w:t>
            </w:r>
            <w:proofErr w:type="spellStart"/>
            <w:r w:rsidRPr="002045F5">
              <w:rPr>
                <w:sz w:val="22"/>
                <w:lang w:val="uk-UA"/>
              </w:rPr>
              <w:t>деокупованій</w:t>
            </w:r>
            <w:proofErr w:type="spellEnd"/>
            <w:r w:rsidRPr="002045F5">
              <w:rPr>
                <w:sz w:val="22"/>
                <w:lang w:val="uk-UA"/>
              </w:rPr>
              <w:t xml:space="preserve"> території ТГ у сфері соціальної роботи з сім’ями, дітьми та молоддю, які належать до вразливих груп населення або перебувають в складних життєвих обставинах, та надати  комплекс якісних послуг відповідно до їх потреб.</w:t>
            </w:r>
          </w:p>
        </w:tc>
      </w:tr>
      <w:tr w:rsidR="00283FCD" w:rsidRPr="002045F5" w:rsidTr="001B3967">
        <w:tc>
          <w:tcPr>
            <w:tcW w:w="297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95FB1" w:rsidRPr="002045F5" w:rsidRDefault="00E95FB1" w:rsidP="001B3967">
            <w:pPr>
              <w:rPr>
                <w:b/>
                <w:sz w:val="22"/>
                <w:lang w:val="uk-UA"/>
              </w:rPr>
            </w:pPr>
            <w:r w:rsidRPr="002045F5">
              <w:rPr>
                <w:b/>
                <w:sz w:val="22"/>
                <w:lang w:val="uk-UA"/>
              </w:rPr>
              <w:lastRenderedPageBreak/>
              <w:t xml:space="preserve">Територія, на яку матиме вплив реалізація </w:t>
            </w:r>
            <w:proofErr w:type="spellStart"/>
            <w:r w:rsidRPr="002045F5">
              <w:rPr>
                <w:b/>
                <w:sz w:val="22"/>
                <w:lang w:val="uk-UA"/>
              </w:rPr>
              <w:t>проєкту</w:t>
            </w:r>
            <w:proofErr w:type="spellEnd"/>
          </w:p>
        </w:tc>
        <w:tc>
          <w:tcPr>
            <w:tcW w:w="6543" w:type="dxa"/>
            <w:gridSpan w:val="6"/>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rPr>
                <w:sz w:val="22"/>
                <w:lang w:val="uk-UA"/>
              </w:rPr>
            </w:pPr>
            <w:r w:rsidRPr="002045F5">
              <w:rPr>
                <w:sz w:val="22"/>
                <w:lang w:val="uk-UA"/>
              </w:rPr>
              <w:t xml:space="preserve">Сєвєродонецька міська територіальна громада </w:t>
            </w:r>
          </w:p>
        </w:tc>
      </w:tr>
      <w:tr w:rsidR="00283FCD" w:rsidRPr="002045F5" w:rsidTr="001B3967">
        <w:tc>
          <w:tcPr>
            <w:tcW w:w="297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95FB1" w:rsidRPr="002045F5" w:rsidRDefault="00E95FB1" w:rsidP="001B3967">
            <w:pPr>
              <w:rPr>
                <w:b/>
                <w:sz w:val="22"/>
                <w:lang w:val="uk-UA"/>
              </w:rPr>
            </w:pPr>
            <w:r w:rsidRPr="002045F5">
              <w:rPr>
                <w:b/>
                <w:sz w:val="22"/>
                <w:lang w:val="uk-UA"/>
              </w:rPr>
              <w:t xml:space="preserve">Чисельність населення на яке матиме вплив реалізація </w:t>
            </w:r>
            <w:proofErr w:type="spellStart"/>
            <w:r w:rsidRPr="002045F5">
              <w:rPr>
                <w:b/>
                <w:sz w:val="22"/>
                <w:lang w:val="uk-UA"/>
              </w:rPr>
              <w:t>проєкту</w:t>
            </w:r>
            <w:proofErr w:type="spellEnd"/>
          </w:p>
        </w:tc>
        <w:tc>
          <w:tcPr>
            <w:tcW w:w="6543" w:type="dxa"/>
            <w:gridSpan w:val="6"/>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rPr>
                <w:sz w:val="22"/>
                <w:lang w:val="uk-UA"/>
              </w:rPr>
            </w:pPr>
            <w:r w:rsidRPr="002045F5">
              <w:rPr>
                <w:sz w:val="22"/>
                <w:lang w:val="uk-UA"/>
              </w:rPr>
              <w:t xml:space="preserve">70 000 осіб </w:t>
            </w:r>
          </w:p>
        </w:tc>
      </w:tr>
      <w:tr w:rsidR="00283FCD" w:rsidRPr="002045F5" w:rsidTr="001B3967">
        <w:tc>
          <w:tcPr>
            <w:tcW w:w="297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95FB1" w:rsidRPr="002045F5" w:rsidRDefault="00E95FB1" w:rsidP="001B3967">
            <w:pPr>
              <w:rPr>
                <w:b/>
                <w:sz w:val="22"/>
                <w:lang w:val="uk-UA"/>
              </w:rPr>
            </w:pPr>
            <w:r w:rsidRPr="002045F5">
              <w:rPr>
                <w:b/>
                <w:sz w:val="22"/>
                <w:lang w:val="uk-UA"/>
              </w:rPr>
              <w:t xml:space="preserve">Опис проблеми, на вирішення якої спрямований </w:t>
            </w:r>
            <w:proofErr w:type="spellStart"/>
            <w:r w:rsidRPr="002045F5">
              <w:rPr>
                <w:b/>
                <w:sz w:val="22"/>
                <w:lang w:val="uk-UA"/>
              </w:rPr>
              <w:t>проєкт</w:t>
            </w:r>
            <w:proofErr w:type="spellEnd"/>
          </w:p>
        </w:tc>
        <w:tc>
          <w:tcPr>
            <w:tcW w:w="6543" w:type="dxa"/>
            <w:gridSpan w:val="6"/>
            <w:tcBorders>
              <w:top w:val="single" w:sz="4" w:space="0" w:color="auto"/>
              <w:left w:val="single" w:sz="4" w:space="0" w:color="auto"/>
              <w:bottom w:val="single" w:sz="4" w:space="0" w:color="auto"/>
              <w:right w:val="single" w:sz="4" w:space="0" w:color="auto"/>
            </w:tcBorders>
            <w:hideMark/>
          </w:tcPr>
          <w:p w:rsidR="00E95FB1" w:rsidRPr="002045F5" w:rsidRDefault="00E95FB1" w:rsidP="001B3967">
            <w:pPr>
              <w:rPr>
                <w:sz w:val="22"/>
                <w:lang w:val="uk-UA"/>
              </w:rPr>
            </w:pPr>
            <w:r w:rsidRPr="002045F5">
              <w:rPr>
                <w:sz w:val="22"/>
                <w:lang w:val="uk-UA"/>
              </w:rPr>
              <w:t xml:space="preserve">Через військову агресію РФ територія Сєвєродонецької міської територіальної громади зазнала значних пошкоджень. </w:t>
            </w:r>
          </w:p>
          <w:p w:rsidR="00E95FB1" w:rsidRPr="002045F5" w:rsidRDefault="00E95FB1" w:rsidP="001B3967">
            <w:pPr>
              <w:rPr>
                <w:sz w:val="22"/>
                <w:lang w:val="uk-UA"/>
              </w:rPr>
            </w:pPr>
            <w:r w:rsidRPr="002045F5">
              <w:rPr>
                <w:sz w:val="22"/>
                <w:lang w:val="uk-UA"/>
              </w:rPr>
              <w:t xml:space="preserve">Для відбудови та сталого розвитку громади потрібне відновлення роботи установи сфери соціального захисту населення, необхідного для відновлення діяльності закладу та його структурних підрозділів. Знайти, відремонтувати та обладнати нове приміщення для функціонування Центру. Відновити  та обладнати будівлю для функціонування «кризової кімнати» Денного центру соціально-психологічної допомоги особам, які постраждали від домашнього насильства та/або насильства за ознакою статі. </w:t>
            </w:r>
          </w:p>
        </w:tc>
      </w:tr>
      <w:tr w:rsidR="00283FCD" w:rsidRPr="002045F5" w:rsidTr="001B3967">
        <w:tc>
          <w:tcPr>
            <w:tcW w:w="297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95FB1" w:rsidRPr="002045F5" w:rsidRDefault="00E95FB1" w:rsidP="001B3967">
            <w:pPr>
              <w:rPr>
                <w:b/>
                <w:sz w:val="22"/>
                <w:lang w:val="uk-UA"/>
              </w:rPr>
            </w:pPr>
            <w:r w:rsidRPr="002045F5">
              <w:rPr>
                <w:b/>
                <w:sz w:val="22"/>
                <w:lang w:val="uk-UA"/>
              </w:rPr>
              <w:t xml:space="preserve">Очікувані якісні результати від реалізації </w:t>
            </w:r>
            <w:proofErr w:type="spellStart"/>
            <w:r w:rsidRPr="002045F5">
              <w:rPr>
                <w:b/>
                <w:sz w:val="22"/>
                <w:lang w:val="uk-UA"/>
              </w:rPr>
              <w:t>проєкту</w:t>
            </w:r>
            <w:proofErr w:type="spellEnd"/>
          </w:p>
        </w:tc>
        <w:tc>
          <w:tcPr>
            <w:tcW w:w="6543" w:type="dxa"/>
            <w:gridSpan w:val="6"/>
            <w:tcBorders>
              <w:top w:val="single" w:sz="4" w:space="0" w:color="auto"/>
              <w:left w:val="single" w:sz="4" w:space="0" w:color="auto"/>
              <w:bottom w:val="single" w:sz="4" w:space="0" w:color="auto"/>
              <w:right w:val="single" w:sz="4" w:space="0" w:color="auto"/>
            </w:tcBorders>
            <w:hideMark/>
          </w:tcPr>
          <w:p w:rsidR="00E95FB1" w:rsidRPr="002045F5" w:rsidRDefault="00E95FB1" w:rsidP="001B3967">
            <w:pPr>
              <w:rPr>
                <w:sz w:val="22"/>
                <w:lang w:val="uk-UA"/>
              </w:rPr>
            </w:pPr>
            <w:r w:rsidRPr="002045F5">
              <w:rPr>
                <w:sz w:val="22"/>
                <w:lang w:val="uk-UA"/>
              </w:rPr>
              <w:t>Забезпечення на відповідному рівні реалізації державної політики у сфері соціальної роботи з сім’ями, дітьми та молоддю, які належать до вразливих груп населення та/або перебувають в складних життєвих обставинах.</w:t>
            </w:r>
          </w:p>
          <w:p w:rsidR="00E95FB1" w:rsidRPr="002045F5" w:rsidRDefault="00E95FB1" w:rsidP="001B3967">
            <w:pPr>
              <w:rPr>
                <w:sz w:val="22"/>
                <w:lang w:val="uk-UA"/>
              </w:rPr>
            </w:pPr>
            <w:r w:rsidRPr="002045F5">
              <w:rPr>
                <w:sz w:val="22"/>
                <w:lang w:val="uk-UA"/>
              </w:rPr>
              <w:t>Надання широкого спектру соціальних послуг згідно державних стандартів відповідно до потреб населення.</w:t>
            </w:r>
          </w:p>
          <w:p w:rsidR="00E95FB1" w:rsidRPr="002045F5" w:rsidRDefault="00E95FB1" w:rsidP="001B3967">
            <w:pPr>
              <w:rPr>
                <w:sz w:val="22"/>
                <w:lang w:val="uk-UA"/>
              </w:rPr>
            </w:pPr>
            <w:r w:rsidRPr="002045F5">
              <w:rPr>
                <w:sz w:val="22"/>
                <w:lang w:val="uk-UA"/>
              </w:rPr>
              <w:t>Вирішення питань в межах положення про діяльність Центру, пов’язаних із відбудовою громади.</w:t>
            </w:r>
          </w:p>
        </w:tc>
      </w:tr>
      <w:tr w:rsidR="00283FCD" w:rsidRPr="002045F5" w:rsidTr="001B3967">
        <w:tc>
          <w:tcPr>
            <w:tcW w:w="297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95FB1" w:rsidRPr="002045F5" w:rsidRDefault="00E95FB1" w:rsidP="001B3967">
            <w:pPr>
              <w:rPr>
                <w:b/>
                <w:sz w:val="22"/>
                <w:lang w:val="uk-UA"/>
              </w:rPr>
            </w:pPr>
            <w:r w:rsidRPr="002045F5">
              <w:rPr>
                <w:b/>
                <w:sz w:val="22"/>
                <w:lang w:val="uk-UA"/>
              </w:rPr>
              <w:t xml:space="preserve">Очікувані кількісні результати реалізації </w:t>
            </w:r>
            <w:proofErr w:type="spellStart"/>
            <w:r w:rsidRPr="002045F5">
              <w:rPr>
                <w:b/>
                <w:sz w:val="22"/>
                <w:lang w:val="uk-UA"/>
              </w:rPr>
              <w:t>проєкту</w:t>
            </w:r>
            <w:proofErr w:type="spellEnd"/>
            <w:r w:rsidRPr="002045F5">
              <w:rPr>
                <w:b/>
                <w:sz w:val="22"/>
                <w:lang w:val="uk-UA"/>
              </w:rPr>
              <w:t xml:space="preserve"> (індикатори)</w:t>
            </w:r>
          </w:p>
        </w:tc>
        <w:tc>
          <w:tcPr>
            <w:tcW w:w="2976" w:type="dxa"/>
            <w:gridSpan w:val="3"/>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jc w:val="center"/>
              <w:rPr>
                <w:sz w:val="22"/>
                <w:lang w:val="uk-UA"/>
              </w:rPr>
            </w:pPr>
            <w:r w:rsidRPr="002045F5">
              <w:rPr>
                <w:sz w:val="22"/>
                <w:lang w:val="uk-UA"/>
              </w:rPr>
              <w:t>Найменування показника</w:t>
            </w:r>
          </w:p>
        </w:tc>
        <w:tc>
          <w:tcPr>
            <w:tcW w:w="1900" w:type="dxa"/>
            <w:gridSpan w:val="2"/>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jc w:val="center"/>
              <w:rPr>
                <w:sz w:val="22"/>
                <w:lang w:val="uk-UA"/>
              </w:rPr>
            </w:pPr>
            <w:r w:rsidRPr="002045F5">
              <w:rPr>
                <w:sz w:val="22"/>
                <w:lang w:val="uk-UA"/>
              </w:rPr>
              <w:t>Одиниця вимірювання</w:t>
            </w:r>
          </w:p>
        </w:tc>
        <w:tc>
          <w:tcPr>
            <w:tcW w:w="1667" w:type="dxa"/>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jc w:val="center"/>
              <w:rPr>
                <w:sz w:val="22"/>
                <w:lang w:val="uk-UA"/>
              </w:rPr>
            </w:pPr>
            <w:r w:rsidRPr="002045F5">
              <w:rPr>
                <w:sz w:val="22"/>
                <w:lang w:val="uk-UA"/>
              </w:rPr>
              <w:t>Прогнозне (цільове) значення</w:t>
            </w:r>
          </w:p>
        </w:tc>
      </w:tr>
      <w:tr w:rsidR="00283FCD" w:rsidRPr="002045F5" w:rsidTr="001B3967">
        <w:tc>
          <w:tcPr>
            <w:tcW w:w="297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E95FB1" w:rsidRPr="002045F5" w:rsidRDefault="00E95FB1" w:rsidP="001B3967">
            <w:pPr>
              <w:rPr>
                <w:b/>
                <w:sz w:val="22"/>
                <w:lang w:val="uk-UA"/>
              </w:rPr>
            </w:pPr>
          </w:p>
        </w:tc>
        <w:tc>
          <w:tcPr>
            <w:tcW w:w="2976" w:type="dxa"/>
            <w:gridSpan w:val="3"/>
            <w:tcBorders>
              <w:top w:val="single" w:sz="4" w:space="0" w:color="auto"/>
              <w:left w:val="single" w:sz="4" w:space="0" w:color="auto"/>
              <w:bottom w:val="single" w:sz="4" w:space="0" w:color="auto"/>
              <w:right w:val="single" w:sz="4" w:space="0" w:color="auto"/>
            </w:tcBorders>
            <w:hideMark/>
          </w:tcPr>
          <w:p w:rsidR="00E95FB1" w:rsidRPr="002045F5" w:rsidRDefault="00E95FB1" w:rsidP="001B3967">
            <w:pPr>
              <w:jc w:val="center"/>
              <w:rPr>
                <w:sz w:val="22"/>
                <w:lang w:val="uk-UA"/>
              </w:rPr>
            </w:pPr>
            <w:r w:rsidRPr="002045F5">
              <w:rPr>
                <w:sz w:val="22"/>
                <w:lang w:val="uk-UA"/>
              </w:rPr>
              <w:t>Кількість населення, яке звернулося за соціальними послугами</w:t>
            </w:r>
          </w:p>
        </w:tc>
        <w:tc>
          <w:tcPr>
            <w:tcW w:w="1900" w:type="dxa"/>
            <w:gridSpan w:val="2"/>
            <w:tcBorders>
              <w:top w:val="single" w:sz="4" w:space="0" w:color="auto"/>
              <w:left w:val="single" w:sz="4" w:space="0" w:color="auto"/>
              <w:bottom w:val="single" w:sz="4" w:space="0" w:color="auto"/>
              <w:right w:val="single" w:sz="4" w:space="0" w:color="auto"/>
            </w:tcBorders>
            <w:hideMark/>
          </w:tcPr>
          <w:p w:rsidR="00E95FB1" w:rsidRPr="002045F5" w:rsidRDefault="00E95FB1" w:rsidP="001B3967">
            <w:pPr>
              <w:jc w:val="center"/>
              <w:rPr>
                <w:sz w:val="22"/>
                <w:lang w:val="uk-UA"/>
              </w:rPr>
            </w:pPr>
            <w:r w:rsidRPr="002045F5">
              <w:rPr>
                <w:sz w:val="22"/>
                <w:lang w:val="uk-UA"/>
              </w:rPr>
              <w:t>осіб</w:t>
            </w:r>
          </w:p>
        </w:tc>
        <w:tc>
          <w:tcPr>
            <w:tcW w:w="1667" w:type="dxa"/>
            <w:tcBorders>
              <w:top w:val="single" w:sz="4" w:space="0" w:color="auto"/>
              <w:left w:val="single" w:sz="4" w:space="0" w:color="auto"/>
              <w:bottom w:val="single" w:sz="4" w:space="0" w:color="auto"/>
              <w:right w:val="single" w:sz="4" w:space="0" w:color="auto"/>
            </w:tcBorders>
            <w:hideMark/>
          </w:tcPr>
          <w:p w:rsidR="00E95FB1" w:rsidRPr="002045F5" w:rsidRDefault="00E95FB1" w:rsidP="001B3967">
            <w:pPr>
              <w:jc w:val="center"/>
              <w:rPr>
                <w:sz w:val="22"/>
                <w:lang w:val="uk-UA"/>
              </w:rPr>
            </w:pPr>
            <w:r w:rsidRPr="002045F5">
              <w:rPr>
                <w:sz w:val="22"/>
                <w:lang w:val="uk-UA"/>
              </w:rPr>
              <w:t xml:space="preserve">Орієнтовно 36000-38000 </w:t>
            </w:r>
          </w:p>
        </w:tc>
      </w:tr>
      <w:tr w:rsidR="00283FCD" w:rsidRPr="002045F5" w:rsidTr="001B3967">
        <w:tc>
          <w:tcPr>
            <w:tcW w:w="297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E95FB1" w:rsidRPr="002045F5" w:rsidRDefault="00E95FB1" w:rsidP="001B3967">
            <w:pPr>
              <w:rPr>
                <w:b/>
                <w:sz w:val="22"/>
                <w:lang w:val="uk-UA"/>
              </w:rPr>
            </w:pPr>
          </w:p>
        </w:tc>
        <w:tc>
          <w:tcPr>
            <w:tcW w:w="2976" w:type="dxa"/>
            <w:gridSpan w:val="3"/>
            <w:tcBorders>
              <w:top w:val="single" w:sz="4" w:space="0" w:color="auto"/>
              <w:left w:val="single" w:sz="4" w:space="0" w:color="auto"/>
              <w:bottom w:val="single" w:sz="4" w:space="0" w:color="auto"/>
              <w:right w:val="single" w:sz="4" w:space="0" w:color="auto"/>
            </w:tcBorders>
            <w:hideMark/>
          </w:tcPr>
          <w:p w:rsidR="00E95FB1" w:rsidRPr="002045F5" w:rsidRDefault="00E95FB1" w:rsidP="001B3967">
            <w:pPr>
              <w:jc w:val="center"/>
              <w:rPr>
                <w:sz w:val="22"/>
                <w:lang w:val="uk-UA"/>
              </w:rPr>
            </w:pPr>
            <w:r w:rsidRPr="002045F5">
              <w:rPr>
                <w:sz w:val="22"/>
                <w:lang w:val="uk-UA"/>
              </w:rPr>
              <w:t>Кількість видів соціальних послуг</w:t>
            </w:r>
          </w:p>
        </w:tc>
        <w:tc>
          <w:tcPr>
            <w:tcW w:w="1900" w:type="dxa"/>
            <w:gridSpan w:val="2"/>
            <w:tcBorders>
              <w:top w:val="single" w:sz="4" w:space="0" w:color="auto"/>
              <w:left w:val="single" w:sz="4" w:space="0" w:color="auto"/>
              <w:bottom w:val="single" w:sz="4" w:space="0" w:color="auto"/>
              <w:right w:val="single" w:sz="4" w:space="0" w:color="auto"/>
            </w:tcBorders>
            <w:hideMark/>
          </w:tcPr>
          <w:p w:rsidR="00E95FB1" w:rsidRPr="002045F5" w:rsidRDefault="00E95FB1" w:rsidP="001B3967">
            <w:pPr>
              <w:jc w:val="center"/>
              <w:rPr>
                <w:sz w:val="22"/>
                <w:lang w:val="uk-UA"/>
              </w:rPr>
            </w:pPr>
            <w:r w:rsidRPr="002045F5">
              <w:rPr>
                <w:sz w:val="22"/>
                <w:lang w:val="uk-UA"/>
              </w:rPr>
              <w:t>одиниць</w:t>
            </w:r>
          </w:p>
        </w:tc>
        <w:tc>
          <w:tcPr>
            <w:tcW w:w="1667" w:type="dxa"/>
            <w:tcBorders>
              <w:top w:val="single" w:sz="4" w:space="0" w:color="auto"/>
              <w:left w:val="single" w:sz="4" w:space="0" w:color="auto"/>
              <w:bottom w:val="single" w:sz="4" w:space="0" w:color="auto"/>
              <w:right w:val="single" w:sz="4" w:space="0" w:color="auto"/>
            </w:tcBorders>
            <w:hideMark/>
          </w:tcPr>
          <w:p w:rsidR="00E95FB1" w:rsidRPr="002045F5" w:rsidRDefault="00E95FB1" w:rsidP="001B3967">
            <w:pPr>
              <w:jc w:val="center"/>
              <w:rPr>
                <w:sz w:val="22"/>
                <w:lang w:val="uk-UA"/>
              </w:rPr>
            </w:pPr>
            <w:r w:rsidRPr="002045F5">
              <w:rPr>
                <w:sz w:val="22"/>
                <w:lang w:val="uk-UA"/>
              </w:rPr>
              <w:t>Відповідно до Положення</w:t>
            </w:r>
          </w:p>
        </w:tc>
      </w:tr>
      <w:tr w:rsidR="00283FCD" w:rsidRPr="002045F5" w:rsidTr="001B3967">
        <w:tc>
          <w:tcPr>
            <w:tcW w:w="297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95FB1" w:rsidRPr="002045F5" w:rsidRDefault="00E95FB1" w:rsidP="001B3967">
            <w:pPr>
              <w:rPr>
                <w:b/>
                <w:sz w:val="22"/>
                <w:lang w:val="uk-UA"/>
              </w:rPr>
            </w:pPr>
            <w:r w:rsidRPr="002045F5">
              <w:rPr>
                <w:b/>
                <w:sz w:val="22"/>
                <w:lang w:val="uk-UA"/>
              </w:rPr>
              <w:t xml:space="preserve">Ключові заходи </w:t>
            </w:r>
            <w:proofErr w:type="spellStart"/>
            <w:r w:rsidRPr="002045F5">
              <w:rPr>
                <w:b/>
                <w:sz w:val="22"/>
                <w:lang w:val="uk-UA"/>
              </w:rPr>
              <w:t>проєкту</w:t>
            </w:r>
            <w:proofErr w:type="spellEnd"/>
            <w:r w:rsidRPr="002045F5">
              <w:rPr>
                <w:b/>
                <w:sz w:val="22"/>
                <w:lang w:val="uk-UA"/>
              </w:rPr>
              <w:t>:</w:t>
            </w:r>
          </w:p>
        </w:tc>
        <w:tc>
          <w:tcPr>
            <w:tcW w:w="6543" w:type="dxa"/>
            <w:gridSpan w:val="6"/>
            <w:tcBorders>
              <w:top w:val="single" w:sz="4" w:space="0" w:color="auto"/>
              <w:left w:val="single" w:sz="4" w:space="0" w:color="auto"/>
              <w:bottom w:val="single" w:sz="4" w:space="0" w:color="auto"/>
              <w:right w:val="single" w:sz="4" w:space="0" w:color="auto"/>
            </w:tcBorders>
            <w:hideMark/>
          </w:tcPr>
          <w:p w:rsidR="00E95FB1" w:rsidRPr="002045F5" w:rsidRDefault="00E95FB1" w:rsidP="001B3967">
            <w:pPr>
              <w:rPr>
                <w:sz w:val="22"/>
                <w:lang w:val="uk-UA"/>
              </w:rPr>
            </w:pPr>
            <w:r w:rsidRPr="002045F5">
              <w:rPr>
                <w:sz w:val="22"/>
                <w:lang w:val="uk-UA"/>
              </w:rPr>
              <w:t>- Обстеження приміщення Центру.</w:t>
            </w:r>
          </w:p>
          <w:p w:rsidR="00E95FB1" w:rsidRPr="002045F5" w:rsidRDefault="00E95FB1" w:rsidP="001B3967">
            <w:pPr>
              <w:rPr>
                <w:sz w:val="22"/>
                <w:lang w:val="uk-UA"/>
              </w:rPr>
            </w:pPr>
            <w:r w:rsidRPr="002045F5">
              <w:rPr>
                <w:sz w:val="22"/>
                <w:lang w:val="uk-UA"/>
              </w:rPr>
              <w:t>- Визначення обсягу відновлювальних робіт.</w:t>
            </w:r>
          </w:p>
          <w:p w:rsidR="00E95FB1" w:rsidRPr="002045F5" w:rsidRDefault="00E95FB1" w:rsidP="001B3967">
            <w:pPr>
              <w:rPr>
                <w:sz w:val="22"/>
                <w:lang w:val="uk-UA"/>
              </w:rPr>
            </w:pPr>
            <w:r w:rsidRPr="002045F5">
              <w:rPr>
                <w:sz w:val="22"/>
                <w:lang w:val="uk-UA"/>
              </w:rPr>
              <w:t>- Визначення кількості осіб, які потребують отримання послуг.</w:t>
            </w:r>
          </w:p>
          <w:p w:rsidR="00E95FB1" w:rsidRPr="002045F5" w:rsidRDefault="00E95FB1" w:rsidP="001B3967">
            <w:pPr>
              <w:rPr>
                <w:sz w:val="22"/>
                <w:lang w:val="uk-UA"/>
              </w:rPr>
            </w:pPr>
            <w:r w:rsidRPr="002045F5">
              <w:rPr>
                <w:sz w:val="22"/>
                <w:lang w:val="uk-UA"/>
              </w:rPr>
              <w:t xml:space="preserve">- Оренда, ремонт та обладнання приміщення Центру. </w:t>
            </w:r>
          </w:p>
          <w:p w:rsidR="00E95FB1" w:rsidRPr="002045F5" w:rsidRDefault="00E95FB1" w:rsidP="001B3967">
            <w:pPr>
              <w:rPr>
                <w:sz w:val="22"/>
                <w:lang w:val="uk-UA"/>
              </w:rPr>
            </w:pPr>
            <w:r w:rsidRPr="002045F5">
              <w:rPr>
                <w:sz w:val="22"/>
                <w:lang w:val="uk-UA"/>
              </w:rPr>
              <w:t>- Укладення договорів.</w:t>
            </w:r>
          </w:p>
          <w:p w:rsidR="00E95FB1" w:rsidRPr="002045F5" w:rsidRDefault="00E95FB1" w:rsidP="001B3967">
            <w:pPr>
              <w:rPr>
                <w:sz w:val="22"/>
                <w:lang w:val="uk-UA"/>
              </w:rPr>
            </w:pPr>
            <w:r w:rsidRPr="002045F5">
              <w:rPr>
                <w:sz w:val="22"/>
                <w:lang w:val="uk-UA"/>
              </w:rPr>
              <w:t>- Відновлення,  ремонт, обладнання «кризової кімнати» при Денному центрі соціально-психологічної допомоги особам, які постраждали від домашнього насильства та/або насильства за ознакою статі;</w:t>
            </w:r>
          </w:p>
          <w:p w:rsidR="00E95FB1" w:rsidRPr="002045F5" w:rsidRDefault="00E95FB1" w:rsidP="001B3967">
            <w:pPr>
              <w:rPr>
                <w:sz w:val="22"/>
                <w:lang w:val="uk-UA"/>
              </w:rPr>
            </w:pPr>
            <w:r w:rsidRPr="002045F5">
              <w:rPr>
                <w:sz w:val="22"/>
                <w:lang w:val="uk-UA"/>
              </w:rPr>
              <w:t>- облаштування робочих місць працівників, приміщень Центру та «кризової кімнати»;</w:t>
            </w:r>
          </w:p>
          <w:p w:rsidR="00E95FB1" w:rsidRPr="002045F5" w:rsidRDefault="00E95FB1" w:rsidP="001B3967">
            <w:pPr>
              <w:rPr>
                <w:sz w:val="22"/>
                <w:lang w:val="uk-UA"/>
              </w:rPr>
            </w:pPr>
            <w:r w:rsidRPr="002045F5">
              <w:rPr>
                <w:sz w:val="22"/>
                <w:lang w:val="uk-UA"/>
              </w:rPr>
              <w:t>- відновлення виконання Центром соціальних служб повноважень у повному обсязі.</w:t>
            </w:r>
          </w:p>
        </w:tc>
      </w:tr>
      <w:tr w:rsidR="00283FCD" w:rsidRPr="002045F5" w:rsidTr="001B3967">
        <w:trPr>
          <w:trHeight w:val="285"/>
        </w:trPr>
        <w:tc>
          <w:tcPr>
            <w:tcW w:w="297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95FB1" w:rsidRPr="002045F5" w:rsidRDefault="00E95FB1" w:rsidP="001B3967">
            <w:pPr>
              <w:rPr>
                <w:b/>
                <w:sz w:val="22"/>
                <w:lang w:val="uk-UA"/>
              </w:rPr>
            </w:pPr>
            <w:r w:rsidRPr="002045F5">
              <w:rPr>
                <w:b/>
                <w:sz w:val="22"/>
                <w:lang w:val="uk-UA"/>
              </w:rPr>
              <w:t>Орієнтовний обсяг та джерела фінансування, тис. грн</w:t>
            </w:r>
          </w:p>
        </w:tc>
        <w:tc>
          <w:tcPr>
            <w:tcW w:w="911" w:type="dxa"/>
            <w:vMerge w:val="restart"/>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jc w:val="center"/>
              <w:rPr>
                <w:sz w:val="22"/>
                <w:lang w:val="uk-UA"/>
              </w:rPr>
            </w:pPr>
            <w:r w:rsidRPr="002045F5">
              <w:rPr>
                <w:sz w:val="22"/>
                <w:lang w:val="uk-UA"/>
              </w:rPr>
              <w:t>Державний бюджет</w:t>
            </w:r>
          </w:p>
        </w:tc>
        <w:tc>
          <w:tcPr>
            <w:tcW w:w="1208" w:type="dxa"/>
            <w:vMerge w:val="restart"/>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jc w:val="center"/>
              <w:rPr>
                <w:sz w:val="22"/>
                <w:lang w:val="uk-UA"/>
              </w:rPr>
            </w:pPr>
            <w:r w:rsidRPr="002045F5">
              <w:rPr>
                <w:sz w:val="22"/>
                <w:lang w:val="uk-UA"/>
              </w:rPr>
              <w:t>Місцевий бюджет</w:t>
            </w:r>
          </w:p>
        </w:tc>
        <w:tc>
          <w:tcPr>
            <w:tcW w:w="2757" w:type="dxa"/>
            <w:gridSpan w:val="3"/>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jc w:val="center"/>
              <w:rPr>
                <w:sz w:val="22"/>
                <w:lang w:val="uk-UA"/>
              </w:rPr>
            </w:pPr>
            <w:r w:rsidRPr="002045F5">
              <w:rPr>
                <w:sz w:val="22"/>
                <w:lang w:val="uk-UA"/>
              </w:rPr>
              <w:t>Інші джерела</w:t>
            </w:r>
          </w:p>
        </w:tc>
        <w:tc>
          <w:tcPr>
            <w:tcW w:w="1667" w:type="dxa"/>
            <w:vMerge w:val="restart"/>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jc w:val="center"/>
              <w:rPr>
                <w:sz w:val="22"/>
                <w:lang w:val="uk-UA"/>
              </w:rPr>
            </w:pPr>
            <w:r w:rsidRPr="002045F5">
              <w:rPr>
                <w:sz w:val="22"/>
                <w:lang w:val="uk-UA"/>
              </w:rPr>
              <w:t>Всього,</w:t>
            </w:r>
          </w:p>
          <w:p w:rsidR="00E95FB1" w:rsidRPr="002045F5" w:rsidRDefault="00E95FB1" w:rsidP="001B3967">
            <w:pPr>
              <w:jc w:val="center"/>
              <w:rPr>
                <w:sz w:val="22"/>
                <w:lang w:val="uk-UA"/>
              </w:rPr>
            </w:pPr>
            <w:r w:rsidRPr="002045F5">
              <w:rPr>
                <w:sz w:val="22"/>
                <w:lang w:val="uk-UA"/>
              </w:rPr>
              <w:t>тис. грн</w:t>
            </w:r>
          </w:p>
        </w:tc>
      </w:tr>
      <w:tr w:rsidR="00283FCD" w:rsidRPr="002045F5" w:rsidTr="001B3967">
        <w:trPr>
          <w:trHeight w:val="540"/>
        </w:trPr>
        <w:tc>
          <w:tcPr>
            <w:tcW w:w="297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E95FB1" w:rsidRPr="002045F5" w:rsidRDefault="00E95FB1" w:rsidP="001B3967">
            <w:pPr>
              <w:rPr>
                <w:b/>
                <w:sz w:val="22"/>
                <w:lang w:val="uk-UA"/>
              </w:rPr>
            </w:pPr>
          </w:p>
        </w:tc>
        <w:tc>
          <w:tcPr>
            <w:tcW w:w="911" w:type="dxa"/>
            <w:vMerge/>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rPr>
                <w:sz w:val="22"/>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rPr>
                <w:sz w:val="22"/>
                <w:lang w:val="uk-UA"/>
              </w:rPr>
            </w:pPr>
          </w:p>
        </w:tc>
        <w:tc>
          <w:tcPr>
            <w:tcW w:w="1546" w:type="dxa"/>
            <w:gridSpan w:val="2"/>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jc w:val="center"/>
              <w:rPr>
                <w:sz w:val="22"/>
                <w:lang w:val="uk-UA"/>
              </w:rPr>
            </w:pPr>
            <w:r w:rsidRPr="002045F5">
              <w:rPr>
                <w:sz w:val="22"/>
                <w:lang w:val="uk-UA"/>
              </w:rPr>
              <w:t>Обсяг,</w:t>
            </w:r>
          </w:p>
          <w:p w:rsidR="00E95FB1" w:rsidRPr="002045F5" w:rsidRDefault="00E95FB1" w:rsidP="001B3967">
            <w:pPr>
              <w:jc w:val="center"/>
              <w:rPr>
                <w:sz w:val="22"/>
                <w:lang w:val="uk-UA"/>
              </w:rPr>
            </w:pPr>
            <w:r w:rsidRPr="002045F5">
              <w:rPr>
                <w:sz w:val="22"/>
                <w:lang w:val="uk-UA"/>
              </w:rPr>
              <w:t>тис. грн</w:t>
            </w:r>
          </w:p>
        </w:tc>
        <w:tc>
          <w:tcPr>
            <w:tcW w:w="1211" w:type="dxa"/>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jc w:val="center"/>
              <w:rPr>
                <w:sz w:val="22"/>
                <w:lang w:val="uk-UA"/>
              </w:rPr>
            </w:pPr>
            <w:r w:rsidRPr="002045F5">
              <w:rPr>
                <w:sz w:val="22"/>
                <w:lang w:val="uk-UA"/>
              </w:rPr>
              <w:t>Назва джерела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rPr>
                <w:sz w:val="22"/>
                <w:lang w:val="uk-UA"/>
              </w:rPr>
            </w:pPr>
          </w:p>
        </w:tc>
      </w:tr>
      <w:tr w:rsidR="00283FCD" w:rsidRPr="002045F5" w:rsidTr="001B3967">
        <w:tc>
          <w:tcPr>
            <w:tcW w:w="297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E95FB1" w:rsidRPr="002045F5" w:rsidRDefault="00E95FB1" w:rsidP="001B3967">
            <w:pPr>
              <w:rPr>
                <w:b/>
                <w:sz w:val="22"/>
                <w:lang w:val="uk-UA"/>
              </w:rPr>
            </w:pPr>
          </w:p>
        </w:tc>
        <w:tc>
          <w:tcPr>
            <w:tcW w:w="911" w:type="dxa"/>
            <w:tcBorders>
              <w:top w:val="single" w:sz="4" w:space="0" w:color="auto"/>
              <w:left w:val="single" w:sz="4" w:space="0" w:color="auto"/>
              <w:bottom w:val="single" w:sz="4" w:space="0" w:color="auto"/>
              <w:right w:val="single" w:sz="4" w:space="0" w:color="auto"/>
            </w:tcBorders>
            <w:vAlign w:val="center"/>
            <w:hideMark/>
          </w:tcPr>
          <w:p w:rsidR="00E95FB1" w:rsidRPr="002045F5" w:rsidRDefault="009D2607" w:rsidP="001B3967">
            <w:pPr>
              <w:jc w:val="center"/>
              <w:rPr>
                <w:sz w:val="22"/>
                <w:lang w:val="uk-UA"/>
              </w:rPr>
            </w:pPr>
            <w:r w:rsidRPr="002045F5">
              <w:rPr>
                <w:sz w:val="22"/>
                <w:lang w:val="uk-UA"/>
              </w:rPr>
              <w:t>6158,489</w:t>
            </w:r>
          </w:p>
        </w:tc>
        <w:tc>
          <w:tcPr>
            <w:tcW w:w="1208" w:type="dxa"/>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jc w:val="center"/>
              <w:rPr>
                <w:sz w:val="22"/>
                <w:lang w:val="uk-UA"/>
              </w:rPr>
            </w:pPr>
            <w:r w:rsidRPr="002045F5">
              <w:rPr>
                <w:sz w:val="22"/>
                <w:lang w:val="uk-UA"/>
              </w:rPr>
              <w:t>-</w:t>
            </w:r>
          </w:p>
        </w:tc>
        <w:tc>
          <w:tcPr>
            <w:tcW w:w="1546" w:type="dxa"/>
            <w:gridSpan w:val="2"/>
            <w:tcBorders>
              <w:top w:val="single" w:sz="4" w:space="0" w:color="auto"/>
              <w:left w:val="single" w:sz="4" w:space="0" w:color="auto"/>
              <w:bottom w:val="single" w:sz="4" w:space="0" w:color="auto"/>
              <w:right w:val="single" w:sz="4" w:space="0" w:color="auto"/>
            </w:tcBorders>
            <w:vAlign w:val="center"/>
            <w:hideMark/>
          </w:tcPr>
          <w:p w:rsidR="00E95FB1" w:rsidRPr="002045F5" w:rsidRDefault="009D2607" w:rsidP="001B3967">
            <w:pPr>
              <w:jc w:val="center"/>
              <w:rPr>
                <w:sz w:val="22"/>
                <w:lang w:val="uk-UA"/>
              </w:rPr>
            </w:pPr>
            <w:r w:rsidRPr="002045F5">
              <w:rPr>
                <w:sz w:val="22"/>
                <w:lang w:val="uk-UA"/>
              </w:rPr>
              <w:t>2639,352</w:t>
            </w:r>
          </w:p>
        </w:tc>
        <w:tc>
          <w:tcPr>
            <w:tcW w:w="1211" w:type="dxa"/>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jc w:val="center"/>
              <w:rPr>
                <w:sz w:val="22"/>
                <w:lang w:val="uk-UA"/>
              </w:rPr>
            </w:pPr>
            <w:r w:rsidRPr="002045F5">
              <w:rPr>
                <w:sz w:val="22"/>
                <w:lang w:val="uk-UA"/>
              </w:rPr>
              <w:t>Іноземні інвестори</w:t>
            </w:r>
          </w:p>
        </w:tc>
        <w:tc>
          <w:tcPr>
            <w:tcW w:w="1667" w:type="dxa"/>
            <w:tcBorders>
              <w:top w:val="single" w:sz="4" w:space="0" w:color="auto"/>
              <w:left w:val="single" w:sz="4" w:space="0" w:color="auto"/>
              <w:bottom w:val="single" w:sz="4" w:space="0" w:color="auto"/>
              <w:right w:val="single" w:sz="4" w:space="0" w:color="auto"/>
            </w:tcBorders>
            <w:vAlign w:val="center"/>
            <w:hideMark/>
          </w:tcPr>
          <w:p w:rsidR="00E95FB1" w:rsidRPr="002045F5" w:rsidRDefault="009D2607" w:rsidP="001B3967">
            <w:pPr>
              <w:jc w:val="center"/>
              <w:rPr>
                <w:sz w:val="22"/>
                <w:lang w:val="uk-UA"/>
              </w:rPr>
            </w:pPr>
            <w:r w:rsidRPr="002045F5">
              <w:rPr>
                <w:sz w:val="22"/>
                <w:lang w:val="uk-UA"/>
              </w:rPr>
              <w:t>8797,841</w:t>
            </w:r>
          </w:p>
        </w:tc>
      </w:tr>
    </w:tbl>
    <w:p w:rsidR="00E95FB1" w:rsidRPr="002045F5" w:rsidRDefault="00E95FB1" w:rsidP="00E95FB1">
      <w:pPr>
        <w:rPr>
          <w:sz w:val="22"/>
        </w:rPr>
      </w:pPr>
    </w:p>
    <w:p w:rsidR="00E95FB1" w:rsidRPr="002045F5" w:rsidRDefault="00E95FB1" w:rsidP="00E95FB1">
      <w:pPr>
        <w:rPr>
          <w:sz w:val="22"/>
        </w:rPr>
      </w:pPr>
    </w:p>
    <w:tbl>
      <w:tblPr>
        <w:tblStyle w:val="af"/>
        <w:tblW w:w="0" w:type="auto"/>
        <w:tblInd w:w="-176" w:type="dxa"/>
        <w:tblLook w:val="04A0" w:firstRow="1" w:lastRow="0" w:firstColumn="1" w:lastColumn="0" w:noHBand="0" w:noVBand="1"/>
      </w:tblPr>
      <w:tblGrid>
        <w:gridCol w:w="2702"/>
        <w:gridCol w:w="1281"/>
        <w:gridCol w:w="1141"/>
        <w:gridCol w:w="416"/>
        <w:gridCol w:w="1051"/>
        <w:gridCol w:w="223"/>
        <w:gridCol w:w="971"/>
        <w:gridCol w:w="1877"/>
      </w:tblGrid>
      <w:tr w:rsidR="00E95FB1" w:rsidRPr="002045F5" w:rsidTr="001B3967">
        <w:tc>
          <w:tcPr>
            <w:tcW w:w="297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95FB1" w:rsidRPr="002045F5" w:rsidRDefault="00E95FB1" w:rsidP="001B3967">
            <w:pPr>
              <w:rPr>
                <w:b/>
                <w:sz w:val="22"/>
                <w:lang w:val="uk-UA"/>
              </w:rPr>
            </w:pPr>
            <w:r w:rsidRPr="002045F5">
              <w:rPr>
                <w:b/>
                <w:sz w:val="22"/>
                <w:lang w:val="uk-UA"/>
              </w:rPr>
              <w:t>Оперативна ціль/завдання</w:t>
            </w:r>
          </w:p>
        </w:tc>
        <w:tc>
          <w:tcPr>
            <w:tcW w:w="6769" w:type="dxa"/>
            <w:gridSpan w:val="7"/>
            <w:tcBorders>
              <w:top w:val="single" w:sz="4" w:space="0" w:color="auto"/>
              <w:left w:val="single" w:sz="4" w:space="0" w:color="auto"/>
              <w:bottom w:val="single" w:sz="4" w:space="0" w:color="auto"/>
              <w:right w:val="single" w:sz="4" w:space="0" w:color="auto"/>
            </w:tcBorders>
          </w:tcPr>
          <w:p w:rsidR="00E95FB1" w:rsidRPr="002045F5" w:rsidRDefault="000F335F" w:rsidP="001B3967">
            <w:pPr>
              <w:jc w:val="left"/>
              <w:rPr>
                <w:sz w:val="22"/>
                <w:lang w:val="uk-UA"/>
              </w:rPr>
            </w:pPr>
            <w:proofErr w:type="spellStart"/>
            <w:r w:rsidRPr="002045F5">
              <w:rPr>
                <w:sz w:val="22"/>
              </w:rPr>
              <w:t>Людський</w:t>
            </w:r>
            <w:proofErr w:type="spellEnd"/>
            <w:r w:rsidRPr="002045F5">
              <w:rPr>
                <w:sz w:val="22"/>
              </w:rPr>
              <w:t xml:space="preserve"> </w:t>
            </w:r>
            <w:proofErr w:type="spellStart"/>
            <w:r w:rsidRPr="002045F5">
              <w:rPr>
                <w:sz w:val="22"/>
              </w:rPr>
              <w:t>розвиток</w:t>
            </w:r>
            <w:proofErr w:type="spellEnd"/>
            <w:r w:rsidRPr="002045F5">
              <w:rPr>
                <w:sz w:val="22"/>
              </w:rPr>
              <w:t xml:space="preserve"> через </w:t>
            </w:r>
            <w:proofErr w:type="spellStart"/>
            <w:r w:rsidRPr="002045F5">
              <w:rPr>
                <w:sz w:val="22"/>
              </w:rPr>
              <w:t>інновації</w:t>
            </w:r>
            <w:proofErr w:type="spellEnd"/>
            <w:r w:rsidRPr="002045F5">
              <w:rPr>
                <w:sz w:val="22"/>
              </w:rPr>
              <w:t xml:space="preserve"> </w:t>
            </w:r>
            <w:proofErr w:type="spellStart"/>
            <w:r w:rsidRPr="002045F5">
              <w:rPr>
                <w:sz w:val="22"/>
              </w:rPr>
              <w:t>управління</w:t>
            </w:r>
            <w:proofErr w:type="spellEnd"/>
            <w:r w:rsidRPr="002045F5">
              <w:rPr>
                <w:sz w:val="22"/>
              </w:rPr>
              <w:t xml:space="preserve"> </w:t>
            </w:r>
            <w:proofErr w:type="gramStart"/>
            <w:r w:rsidRPr="002045F5">
              <w:rPr>
                <w:sz w:val="22"/>
              </w:rPr>
              <w:t xml:space="preserve">та  </w:t>
            </w:r>
            <w:proofErr w:type="spellStart"/>
            <w:r w:rsidRPr="002045F5">
              <w:rPr>
                <w:sz w:val="22"/>
              </w:rPr>
              <w:t>довіру</w:t>
            </w:r>
            <w:proofErr w:type="spellEnd"/>
            <w:proofErr w:type="gramEnd"/>
            <w:r w:rsidRPr="002045F5">
              <w:rPr>
                <w:sz w:val="22"/>
              </w:rPr>
              <w:t xml:space="preserve"> до </w:t>
            </w:r>
            <w:proofErr w:type="spellStart"/>
            <w:r w:rsidRPr="002045F5">
              <w:rPr>
                <w:sz w:val="22"/>
              </w:rPr>
              <w:t>влади</w:t>
            </w:r>
            <w:proofErr w:type="spellEnd"/>
            <w:r w:rsidRPr="002045F5">
              <w:rPr>
                <w:sz w:val="22"/>
              </w:rPr>
              <w:t xml:space="preserve">. </w:t>
            </w:r>
            <w:proofErr w:type="spellStart"/>
            <w:r w:rsidRPr="002045F5">
              <w:rPr>
                <w:sz w:val="22"/>
              </w:rPr>
              <w:t>Соціальна</w:t>
            </w:r>
            <w:proofErr w:type="spellEnd"/>
            <w:r w:rsidRPr="002045F5">
              <w:rPr>
                <w:sz w:val="22"/>
              </w:rPr>
              <w:t xml:space="preserve"> </w:t>
            </w:r>
            <w:proofErr w:type="spellStart"/>
            <w:r w:rsidRPr="002045F5">
              <w:rPr>
                <w:sz w:val="22"/>
              </w:rPr>
              <w:t>справедливість</w:t>
            </w:r>
            <w:proofErr w:type="spellEnd"/>
            <w:r w:rsidRPr="002045F5">
              <w:rPr>
                <w:sz w:val="22"/>
              </w:rPr>
              <w:t xml:space="preserve"> та </w:t>
            </w:r>
            <w:proofErr w:type="spellStart"/>
            <w:r w:rsidRPr="002045F5">
              <w:rPr>
                <w:sz w:val="22"/>
              </w:rPr>
              <w:t>захист</w:t>
            </w:r>
            <w:proofErr w:type="spellEnd"/>
            <w:r w:rsidRPr="002045F5">
              <w:rPr>
                <w:sz w:val="22"/>
              </w:rPr>
              <w:t xml:space="preserve">, </w:t>
            </w:r>
            <w:proofErr w:type="spellStart"/>
            <w:r w:rsidRPr="002045F5">
              <w:rPr>
                <w:sz w:val="22"/>
              </w:rPr>
              <w:t>забезпечення</w:t>
            </w:r>
            <w:proofErr w:type="spellEnd"/>
            <w:r w:rsidRPr="002045F5">
              <w:rPr>
                <w:sz w:val="22"/>
              </w:rPr>
              <w:t xml:space="preserve"> </w:t>
            </w:r>
            <w:proofErr w:type="spellStart"/>
            <w:r w:rsidRPr="002045F5">
              <w:rPr>
                <w:sz w:val="22"/>
              </w:rPr>
              <w:t>рівних</w:t>
            </w:r>
            <w:proofErr w:type="spellEnd"/>
            <w:r w:rsidRPr="002045F5">
              <w:rPr>
                <w:sz w:val="22"/>
              </w:rPr>
              <w:t xml:space="preserve"> прав та </w:t>
            </w:r>
            <w:proofErr w:type="spellStart"/>
            <w:r w:rsidRPr="002045F5">
              <w:rPr>
                <w:sz w:val="22"/>
              </w:rPr>
              <w:t>можливостей</w:t>
            </w:r>
            <w:proofErr w:type="spellEnd"/>
            <w:r w:rsidRPr="002045F5">
              <w:rPr>
                <w:sz w:val="22"/>
              </w:rPr>
              <w:t xml:space="preserve"> </w:t>
            </w:r>
            <w:proofErr w:type="spellStart"/>
            <w:r w:rsidRPr="002045F5">
              <w:rPr>
                <w:sz w:val="22"/>
              </w:rPr>
              <w:t>жінок</w:t>
            </w:r>
            <w:proofErr w:type="spellEnd"/>
            <w:r w:rsidRPr="002045F5">
              <w:rPr>
                <w:sz w:val="22"/>
              </w:rPr>
              <w:t xml:space="preserve"> і </w:t>
            </w:r>
            <w:proofErr w:type="spellStart"/>
            <w:r w:rsidRPr="002045F5">
              <w:rPr>
                <w:sz w:val="22"/>
              </w:rPr>
              <w:t>чоловіків</w:t>
            </w:r>
            <w:proofErr w:type="spellEnd"/>
          </w:p>
        </w:tc>
      </w:tr>
      <w:tr w:rsidR="00E95FB1" w:rsidRPr="002045F5" w:rsidTr="001B3967">
        <w:tc>
          <w:tcPr>
            <w:tcW w:w="297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95FB1" w:rsidRPr="002045F5" w:rsidRDefault="00E95FB1" w:rsidP="001B3967">
            <w:pPr>
              <w:rPr>
                <w:b/>
                <w:sz w:val="22"/>
                <w:lang w:val="uk-UA"/>
              </w:rPr>
            </w:pPr>
            <w:r w:rsidRPr="002045F5">
              <w:rPr>
                <w:b/>
                <w:sz w:val="22"/>
                <w:lang w:val="uk-UA"/>
              </w:rPr>
              <w:lastRenderedPageBreak/>
              <w:t xml:space="preserve">Назва </w:t>
            </w:r>
            <w:proofErr w:type="spellStart"/>
            <w:r w:rsidRPr="002045F5">
              <w:rPr>
                <w:b/>
                <w:sz w:val="22"/>
                <w:lang w:val="uk-UA"/>
              </w:rPr>
              <w:t>проєкту</w:t>
            </w:r>
            <w:proofErr w:type="spellEnd"/>
            <w:r w:rsidRPr="002045F5">
              <w:rPr>
                <w:b/>
                <w:sz w:val="22"/>
                <w:lang w:val="uk-UA"/>
              </w:rPr>
              <w:t>:</w:t>
            </w:r>
          </w:p>
        </w:tc>
        <w:tc>
          <w:tcPr>
            <w:tcW w:w="6769" w:type="dxa"/>
            <w:gridSpan w:val="7"/>
            <w:tcBorders>
              <w:top w:val="single" w:sz="4" w:space="0" w:color="auto"/>
              <w:left w:val="single" w:sz="4" w:space="0" w:color="auto"/>
              <w:bottom w:val="single" w:sz="4" w:space="0" w:color="auto"/>
              <w:right w:val="single" w:sz="4" w:space="0" w:color="auto"/>
            </w:tcBorders>
            <w:hideMark/>
          </w:tcPr>
          <w:p w:rsidR="00E95FB1" w:rsidRPr="002045F5" w:rsidRDefault="00E95FB1" w:rsidP="001B3967">
            <w:pPr>
              <w:rPr>
                <w:sz w:val="22"/>
                <w:lang w:val="uk-UA"/>
              </w:rPr>
            </w:pPr>
            <w:r w:rsidRPr="002045F5">
              <w:rPr>
                <w:sz w:val="22"/>
                <w:lang w:val="uk-UA"/>
              </w:rPr>
              <w:t>Відновлення діяльності (розвитку) Управління соціального захисту населення Сєвєродонецької міської військової адміністрації Сєвєродонецького району Луганської області</w:t>
            </w:r>
          </w:p>
        </w:tc>
      </w:tr>
      <w:tr w:rsidR="00E95FB1" w:rsidRPr="002045F5" w:rsidTr="001B3967">
        <w:tc>
          <w:tcPr>
            <w:tcW w:w="297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95FB1" w:rsidRPr="002045F5" w:rsidRDefault="00E95FB1" w:rsidP="001B3967">
            <w:pPr>
              <w:rPr>
                <w:b/>
                <w:sz w:val="22"/>
                <w:lang w:val="uk-UA"/>
              </w:rPr>
            </w:pPr>
            <w:r w:rsidRPr="002045F5">
              <w:rPr>
                <w:b/>
                <w:sz w:val="22"/>
                <w:lang w:val="uk-UA"/>
              </w:rPr>
              <w:t xml:space="preserve">Ціль </w:t>
            </w:r>
            <w:proofErr w:type="spellStart"/>
            <w:r w:rsidRPr="002045F5">
              <w:rPr>
                <w:b/>
                <w:sz w:val="22"/>
                <w:lang w:val="uk-UA"/>
              </w:rPr>
              <w:t>проєкту</w:t>
            </w:r>
            <w:proofErr w:type="spellEnd"/>
          </w:p>
        </w:tc>
        <w:tc>
          <w:tcPr>
            <w:tcW w:w="6769" w:type="dxa"/>
            <w:gridSpan w:val="7"/>
            <w:tcBorders>
              <w:top w:val="single" w:sz="4" w:space="0" w:color="auto"/>
              <w:left w:val="single" w:sz="4" w:space="0" w:color="auto"/>
              <w:bottom w:val="single" w:sz="4" w:space="0" w:color="auto"/>
              <w:right w:val="single" w:sz="4" w:space="0" w:color="auto"/>
            </w:tcBorders>
            <w:hideMark/>
          </w:tcPr>
          <w:p w:rsidR="00E95FB1" w:rsidRPr="002045F5" w:rsidRDefault="00E95FB1" w:rsidP="001B3967">
            <w:pPr>
              <w:rPr>
                <w:sz w:val="22"/>
                <w:lang w:val="uk-UA"/>
              </w:rPr>
            </w:pPr>
            <w:r w:rsidRPr="002045F5">
              <w:rPr>
                <w:sz w:val="22"/>
                <w:lang w:val="uk-UA"/>
              </w:rPr>
              <w:t>Відновити та покращити роботу Управління соціального захисту населення Сєвєродонецької міської військової адміністрації Сєвєродонецького району Луганської області у сфері соціального захисту населення</w:t>
            </w:r>
          </w:p>
        </w:tc>
      </w:tr>
      <w:tr w:rsidR="00E95FB1" w:rsidRPr="002045F5" w:rsidTr="001B3967">
        <w:tc>
          <w:tcPr>
            <w:tcW w:w="297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95FB1" w:rsidRPr="002045F5" w:rsidRDefault="00E95FB1" w:rsidP="001B3967">
            <w:pPr>
              <w:rPr>
                <w:b/>
                <w:sz w:val="22"/>
                <w:lang w:val="uk-UA"/>
              </w:rPr>
            </w:pPr>
            <w:r w:rsidRPr="002045F5">
              <w:rPr>
                <w:b/>
                <w:sz w:val="22"/>
                <w:lang w:val="uk-UA"/>
              </w:rPr>
              <w:t xml:space="preserve">Територія, на яку матиме вплив реалізація </w:t>
            </w:r>
            <w:proofErr w:type="spellStart"/>
            <w:r w:rsidRPr="002045F5">
              <w:rPr>
                <w:b/>
                <w:sz w:val="22"/>
                <w:lang w:val="uk-UA"/>
              </w:rPr>
              <w:t>проєкту</w:t>
            </w:r>
            <w:proofErr w:type="spellEnd"/>
          </w:p>
        </w:tc>
        <w:tc>
          <w:tcPr>
            <w:tcW w:w="6769" w:type="dxa"/>
            <w:gridSpan w:val="7"/>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rPr>
                <w:sz w:val="22"/>
                <w:lang w:val="uk-UA"/>
              </w:rPr>
            </w:pPr>
            <w:r w:rsidRPr="002045F5">
              <w:rPr>
                <w:sz w:val="22"/>
                <w:lang w:val="uk-UA"/>
              </w:rPr>
              <w:t>Сєвєродонецька міська територіальна громада</w:t>
            </w:r>
          </w:p>
        </w:tc>
      </w:tr>
      <w:tr w:rsidR="00E95FB1" w:rsidRPr="002045F5" w:rsidTr="001B3967">
        <w:tc>
          <w:tcPr>
            <w:tcW w:w="297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95FB1" w:rsidRPr="002045F5" w:rsidRDefault="00E95FB1" w:rsidP="001B3967">
            <w:pPr>
              <w:rPr>
                <w:b/>
                <w:sz w:val="22"/>
                <w:lang w:val="uk-UA"/>
              </w:rPr>
            </w:pPr>
            <w:r w:rsidRPr="002045F5">
              <w:rPr>
                <w:b/>
                <w:sz w:val="22"/>
                <w:lang w:val="uk-UA"/>
              </w:rPr>
              <w:t xml:space="preserve">Чисельність населення на яке матиме вплив реалізація </w:t>
            </w:r>
            <w:proofErr w:type="spellStart"/>
            <w:r w:rsidRPr="002045F5">
              <w:rPr>
                <w:b/>
                <w:sz w:val="22"/>
                <w:lang w:val="uk-UA"/>
              </w:rPr>
              <w:t>проєкту</w:t>
            </w:r>
            <w:proofErr w:type="spellEnd"/>
          </w:p>
        </w:tc>
        <w:tc>
          <w:tcPr>
            <w:tcW w:w="6769" w:type="dxa"/>
            <w:gridSpan w:val="7"/>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rPr>
                <w:sz w:val="22"/>
                <w:lang w:val="uk-UA"/>
              </w:rPr>
            </w:pPr>
            <w:r w:rsidRPr="002045F5">
              <w:rPr>
                <w:sz w:val="22"/>
                <w:lang w:val="uk-UA"/>
              </w:rPr>
              <w:t xml:space="preserve">70 000 осіб </w:t>
            </w:r>
          </w:p>
        </w:tc>
      </w:tr>
      <w:tr w:rsidR="00E95FB1" w:rsidRPr="002045F5" w:rsidTr="001B3967">
        <w:tc>
          <w:tcPr>
            <w:tcW w:w="297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95FB1" w:rsidRPr="002045F5" w:rsidRDefault="00E95FB1" w:rsidP="001B3967">
            <w:pPr>
              <w:rPr>
                <w:b/>
                <w:sz w:val="22"/>
                <w:lang w:val="uk-UA"/>
              </w:rPr>
            </w:pPr>
            <w:r w:rsidRPr="002045F5">
              <w:rPr>
                <w:b/>
                <w:sz w:val="22"/>
                <w:lang w:val="uk-UA"/>
              </w:rPr>
              <w:t xml:space="preserve">Опис проблеми, на вирішення якої спрямований </w:t>
            </w:r>
            <w:proofErr w:type="spellStart"/>
            <w:r w:rsidRPr="002045F5">
              <w:rPr>
                <w:b/>
                <w:sz w:val="22"/>
                <w:lang w:val="uk-UA"/>
              </w:rPr>
              <w:t>проєкт</w:t>
            </w:r>
            <w:proofErr w:type="spellEnd"/>
          </w:p>
        </w:tc>
        <w:tc>
          <w:tcPr>
            <w:tcW w:w="6769" w:type="dxa"/>
            <w:gridSpan w:val="7"/>
            <w:tcBorders>
              <w:top w:val="single" w:sz="4" w:space="0" w:color="auto"/>
              <w:left w:val="single" w:sz="4" w:space="0" w:color="auto"/>
              <w:bottom w:val="single" w:sz="4" w:space="0" w:color="auto"/>
              <w:right w:val="single" w:sz="4" w:space="0" w:color="auto"/>
            </w:tcBorders>
            <w:hideMark/>
          </w:tcPr>
          <w:p w:rsidR="00E95FB1" w:rsidRPr="002045F5" w:rsidRDefault="00E95FB1" w:rsidP="001B3967">
            <w:pPr>
              <w:widowControl w:val="0"/>
              <w:autoSpaceDE w:val="0"/>
              <w:autoSpaceDN w:val="0"/>
              <w:rPr>
                <w:sz w:val="22"/>
                <w:lang w:val="uk-UA"/>
              </w:rPr>
            </w:pPr>
            <w:r w:rsidRPr="002045F5">
              <w:rPr>
                <w:sz w:val="22"/>
                <w:lang w:val="uk-UA"/>
              </w:rPr>
              <w:t xml:space="preserve">Через військову агресію РФ територія Сєвєродонецької міської територіальної громади зазнала значних пошкоджень. </w:t>
            </w:r>
          </w:p>
          <w:p w:rsidR="00E95FB1" w:rsidRPr="002045F5" w:rsidRDefault="00E95FB1" w:rsidP="001B3967">
            <w:pPr>
              <w:rPr>
                <w:sz w:val="22"/>
                <w:lang w:val="uk-UA"/>
              </w:rPr>
            </w:pPr>
            <w:r w:rsidRPr="002045F5">
              <w:rPr>
                <w:sz w:val="22"/>
                <w:lang w:val="uk-UA"/>
              </w:rPr>
              <w:t>Для відбудови та сталого розвитку громади потрібне відновлення роботи установи сфери соціального захисту населення. Будівлі та споруд</w:t>
            </w:r>
            <w:r w:rsidR="00AC26FA" w:rsidRPr="002045F5">
              <w:rPr>
                <w:sz w:val="22"/>
                <w:lang w:val="uk-UA"/>
              </w:rPr>
              <w:t>и</w:t>
            </w:r>
            <w:r w:rsidRPr="002045F5">
              <w:rPr>
                <w:sz w:val="22"/>
                <w:lang w:val="uk-UA"/>
              </w:rPr>
              <w:t xml:space="preserve"> на території Управління соціального захисту населення Сєвєродонецької міської військової адміністрації Сєвєродонецького району Луганської області зазнали значних пошкоджень. Тому необхідно їх відновити для надання соціальних послуг населенню. </w:t>
            </w:r>
          </w:p>
        </w:tc>
      </w:tr>
      <w:tr w:rsidR="00E95FB1" w:rsidRPr="002045F5" w:rsidTr="001B3967">
        <w:tc>
          <w:tcPr>
            <w:tcW w:w="297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95FB1" w:rsidRPr="002045F5" w:rsidRDefault="00E95FB1" w:rsidP="001B3967">
            <w:pPr>
              <w:rPr>
                <w:b/>
                <w:sz w:val="22"/>
                <w:lang w:val="uk-UA"/>
              </w:rPr>
            </w:pPr>
            <w:r w:rsidRPr="002045F5">
              <w:rPr>
                <w:b/>
                <w:sz w:val="22"/>
                <w:lang w:val="uk-UA"/>
              </w:rPr>
              <w:t xml:space="preserve">Очікувані якісні результати від реалізації </w:t>
            </w:r>
            <w:proofErr w:type="spellStart"/>
            <w:r w:rsidRPr="002045F5">
              <w:rPr>
                <w:b/>
                <w:sz w:val="22"/>
                <w:lang w:val="uk-UA"/>
              </w:rPr>
              <w:t>проєкту</w:t>
            </w:r>
            <w:proofErr w:type="spellEnd"/>
          </w:p>
        </w:tc>
        <w:tc>
          <w:tcPr>
            <w:tcW w:w="6769" w:type="dxa"/>
            <w:gridSpan w:val="7"/>
            <w:tcBorders>
              <w:top w:val="single" w:sz="4" w:space="0" w:color="auto"/>
              <w:left w:val="single" w:sz="4" w:space="0" w:color="auto"/>
              <w:bottom w:val="single" w:sz="4" w:space="0" w:color="auto"/>
              <w:right w:val="single" w:sz="4" w:space="0" w:color="auto"/>
            </w:tcBorders>
            <w:hideMark/>
          </w:tcPr>
          <w:p w:rsidR="00E95FB1" w:rsidRPr="002045F5" w:rsidRDefault="00E95FB1" w:rsidP="001B3967">
            <w:pPr>
              <w:rPr>
                <w:sz w:val="22"/>
                <w:lang w:val="uk-UA"/>
              </w:rPr>
            </w:pPr>
            <w:r w:rsidRPr="002045F5">
              <w:rPr>
                <w:sz w:val="22"/>
                <w:lang w:val="uk-UA"/>
              </w:rPr>
              <w:t>Забезпечення на відповідному рівні реалізації державної політики у сфері соціального захисту населення, дітей, внутрішньо переміщених осіб, підтримки сімей, у тому числі сімей з дітьми, багатодітних, запобігання домашньому насильству, забезпечення рівності прав чоловіків та жінок, протидії торгівлі людьми, виконання програм і заходів у цій сфері.</w:t>
            </w:r>
          </w:p>
        </w:tc>
      </w:tr>
      <w:tr w:rsidR="00E95FB1" w:rsidRPr="002045F5" w:rsidTr="001B3967">
        <w:tc>
          <w:tcPr>
            <w:tcW w:w="297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95FB1" w:rsidRPr="002045F5" w:rsidRDefault="00E95FB1" w:rsidP="001B3967">
            <w:pPr>
              <w:rPr>
                <w:b/>
                <w:sz w:val="22"/>
                <w:lang w:val="uk-UA"/>
              </w:rPr>
            </w:pPr>
            <w:r w:rsidRPr="002045F5">
              <w:rPr>
                <w:b/>
                <w:sz w:val="22"/>
                <w:lang w:val="uk-UA"/>
              </w:rPr>
              <w:t xml:space="preserve">Очікувані кількісні результати реалізації </w:t>
            </w:r>
            <w:proofErr w:type="spellStart"/>
            <w:r w:rsidRPr="002045F5">
              <w:rPr>
                <w:b/>
                <w:sz w:val="22"/>
                <w:lang w:val="uk-UA"/>
              </w:rPr>
              <w:t>проєкту</w:t>
            </w:r>
            <w:proofErr w:type="spellEnd"/>
            <w:r w:rsidRPr="002045F5">
              <w:rPr>
                <w:b/>
                <w:sz w:val="22"/>
                <w:lang w:val="uk-UA"/>
              </w:rPr>
              <w:t xml:space="preserve"> (індикатори)</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jc w:val="center"/>
              <w:rPr>
                <w:sz w:val="22"/>
                <w:lang w:val="uk-UA"/>
              </w:rPr>
            </w:pPr>
            <w:r w:rsidRPr="002045F5">
              <w:rPr>
                <w:sz w:val="22"/>
                <w:lang w:val="uk-UA"/>
              </w:rPr>
              <w:t>Найменування показника</w:t>
            </w: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jc w:val="center"/>
              <w:rPr>
                <w:sz w:val="22"/>
                <w:lang w:val="uk-UA"/>
              </w:rPr>
            </w:pPr>
            <w:r w:rsidRPr="002045F5">
              <w:rPr>
                <w:sz w:val="22"/>
                <w:lang w:val="uk-UA"/>
              </w:rPr>
              <w:t>Одиниця вимірювання</w:t>
            </w:r>
          </w:p>
        </w:tc>
        <w:tc>
          <w:tcPr>
            <w:tcW w:w="2942" w:type="dxa"/>
            <w:gridSpan w:val="2"/>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jc w:val="center"/>
              <w:rPr>
                <w:sz w:val="22"/>
                <w:lang w:val="uk-UA"/>
              </w:rPr>
            </w:pPr>
            <w:r w:rsidRPr="002045F5">
              <w:rPr>
                <w:sz w:val="22"/>
                <w:lang w:val="uk-UA"/>
              </w:rPr>
              <w:t>Прогнозне (цільове) значення</w:t>
            </w:r>
          </w:p>
        </w:tc>
      </w:tr>
      <w:tr w:rsidR="00E95FB1" w:rsidRPr="002045F5" w:rsidTr="001B3967">
        <w:tc>
          <w:tcPr>
            <w:tcW w:w="297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E95FB1" w:rsidRPr="002045F5" w:rsidRDefault="00E95FB1" w:rsidP="001B3967">
            <w:pPr>
              <w:rPr>
                <w:b/>
                <w:sz w:val="22"/>
                <w:lang w:val="uk-UA"/>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E95FB1" w:rsidRPr="002045F5" w:rsidRDefault="00E95FB1" w:rsidP="001B3967">
            <w:pPr>
              <w:jc w:val="center"/>
              <w:rPr>
                <w:sz w:val="22"/>
                <w:lang w:val="uk-UA"/>
              </w:rPr>
            </w:pPr>
            <w:r w:rsidRPr="002045F5">
              <w:rPr>
                <w:sz w:val="22"/>
                <w:lang w:val="uk-UA"/>
              </w:rPr>
              <w:t>Кількість населення, яке звернулося за соціальними послугами</w:t>
            </w:r>
          </w:p>
        </w:tc>
        <w:tc>
          <w:tcPr>
            <w:tcW w:w="1701" w:type="dxa"/>
            <w:gridSpan w:val="3"/>
            <w:tcBorders>
              <w:top w:val="single" w:sz="4" w:space="0" w:color="auto"/>
              <w:left w:val="single" w:sz="4" w:space="0" w:color="auto"/>
              <w:bottom w:val="single" w:sz="4" w:space="0" w:color="auto"/>
              <w:right w:val="single" w:sz="4" w:space="0" w:color="auto"/>
            </w:tcBorders>
            <w:hideMark/>
          </w:tcPr>
          <w:p w:rsidR="00E95FB1" w:rsidRPr="002045F5" w:rsidRDefault="00E95FB1" w:rsidP="001B3967">
            <w:pPr>
              <w:jc w:val="center"/>
              <w:rPr>
                <w:sz w:val="22"/>
                <w:lang w:val="uk-UA"/>
              </w:rPr>
            </w:pPr>
            <w:r w:rsidRPr="002045F5">
              <w:rPr>
                <w:sz w:val="22"/>
                <w:lang w:val="uk-UA"/>
              </w:rPr>
              <w:t>особа</w:t>
            </w:r>
          </w:p>
        </w:tc>
        <w:tc>
          <w:tcPr>
            <w:tcW w:w="2942" w:type="dxa"/>
            <w:gridSpan w:val="2"/>
            <w:tcBorders>
              <w:top w:val="single" w:sz="4" w:space="0" w:color="auto"/>
              <w:left w:val="single" w:sz="4" w:space="0" w:color="auto"/>
              <w:bottom w:val="single" w:sz="4" w:space="0" w:color="auto"/>
              <w:right w:val="single" w:sz="4" w:space="0" w:color="auto"/>
            </w:tcBorders>
            <w:hideMark/>
          </w:tcPr>
          <w:p w:rsidR="00E95FB1" w:rsidRPr="002045F5" w:rsidRDefault="00E95FB1" w:rsidP="001B3967">
            <w:pPr>
              <w:jc w:val="center"/>
              <w:rPr>
                <w:sz w:val="22"/>
                <w:lang w:val="uk-UA"/>
              </w:rPr>
            </w:pPr>
            <w:r w:rsidRPr="002045F5">
              <w:rPr>
                <w:sz w:val="22"/>
                <w:lang w:val="uk-UA"/>
              </w:rPr>
              <w:t>Орієнтовно 38 710 осіб (30-40% від загальної чисельності населення станом на 24.02.2023 року за даними реєстру Сєвєродонецької міської територіальної громади)</w:t>
            </w:r>
          </w:p>
        </w:tc>
      </w:tr>
      <w:tr w:rsidR="00E95FB1" w:rsidRPr="002045F5" w:rsidTr="001B3967">
        <w:tc>
          <w:tcPr>
            <w:tcW w:w="297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E95FB1" w:rsidRPr="002045F5" w:rsidRDefault="00E95FB1" w:rsidP="001B3967">
            <w:pPr>
              <w:rPr>
                <w:b/>
                <w:sz w:val="22"/>
                <w:lang w:val="uk-UA"/>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E95FB1" w:rsidRPr="002045F5" w:rsidRDefault="00E95FB1" w:rsidP="001B3967">
            <w:pPr>
              <w:jc w:val="center"/>
              <w:rPr>
                <w:sz w:val="22"/>
                <w:lang w:val="uk-UA"/>
              </w:rPr>
            </w:pPr>
            <w:r w:rsidRPr="002045F5">
              <w:rPr>
                <w:sz w:val="22"/>
                <w:lang w:val="uk-UA"/>
              </w:rPr>
              <w:t>Кількість видів соціальних послуг</w:t>
            </w:r>
          </w:p>
        </w:tc>
        <w:tc>
          <w:tcPr>
            <w:tcW w:w="1701" w:type="dxa"/>
            <w:gridSpan w:val="3"/>
            <w:tcBorders>
              <w:top w:val="single" w:sz="4" w:space="0" w:color="auto"/>
              <w:left w:val="single" w:sz="4" w:space="0" w:color="auto"/>
              <w:bottom w:val="single" w:sz="4" w:space="0" w:color="auto"/>
              <w:right w:val="single" w:sz="4" w:space="0" w:color="auto"/>
            </w:tcBorders>
            <w:hideMark/>
          </w:tcPr>
          <w:p w:rsidR="00E95FB1" w:rsidRPr="002045F5" w:rsidRDefault="00E95FB1" w:rsidP="001B3967">
            <w:pPr>
              <w:jc w:val="center"/>
              <w:rPr>
                <w:sz w:val="22"/>
                <w:lang w:val="uk-UA"/>
              </w:rPr>
            </w:pPr>
            <w:r w:rsidRPr="002045F5">
              <w:rPr>
                <w:sz w:val="22"/>
                <w:lang w:val="uk-UA"/>
              </w:rPr>
              <w:t>одиниць</w:t>
            </w:r>
          </w:p>
        </w:tc>
        <w:tc>
          <w:tcPr>
            <w:tcW w:w="2942" w:type="dxa"/>
            <w:gridSpan w:val="2"/>
            <w:tcBorders>
              <w:top w:val="single" w:sz="4" w:space="0" w:color="auto"/>
              <w:left w:val="single" w:sz="4" w:space="0" w:color="auto"/>
              <w:bottom w:val="single" w:sz="4" w:space="0" w:color="auto"/>
              <w:right w:val="single" w:sz="4" w:space="0" w:color="auto"/>
            </w:tcBorders>
            <w:hideMark/>
          </w:tcPr>
          <w:p w:rsidR="00E95FB1" w:rsidRPr="002045F5" w:rsidRDefault="00E95FB1" w:rsidP="001B3967">
            <w:pPr>
              <w:jc w:val="center"/>
              <w:rPr>
                <w:sz w:val="22"/>
                <w:lang w:val="uk-UA"/>
              </w:rPr>
            </w:pPr>
            <w:r w:rsidRPr="002045F5">
              <w:rPr>
                <w:sz w:val="22"/>
                <w:lang w:val="uk-UA"/>
              </w:rPr>
              <w:t>Відповідно до Положення</w:t>
            </w:r>
          </w:p>
        </w:tc>
      </w:tr>
      <w:tr w:rsidR="00E95FB1" w:rsidRPr="002045F5" w:rsidTr="001B3967">
        <w:tc>
          <w:tcPr>
            <w:tcW w:w="297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95FB1" w:rsidRPr="002045F5" w:rsidRDefault="00E95FB1" w:rsidP="001B3967">
            <w:pPr>
              <w:rPr>
                <w:b/>
                <w:sz w:val="22"/>
                <w:lang w:val="uk-UA"/>
              </w:rPr>
            </w:pPr>
            <w:r w:rsidRPr="002045F5">
              <w:rPr>
                <w:b/>
                <w:sz w:val="22"/>
                <w:lang w:val="uk-UA"/>
              </w:rPr>
              <w:t xml:space="preserve">Ключові заходи </w:t>
            </w:r>
            <w:proofErr w:type="spellStart"/>
            <w:r w:rsidRPr="002045F5">
              <w:rPr>
                <w:b/>
                <w:sz w:val="22"/>
                <w:lang w:val="uk-UA"/>
              </w:rPr>
              <w:t>проєкту</w:t>
            </w:r>
            <w:proofErr w:type="spellEnd"/>
            <w:r w:rsidRPr="002045F5">
              <w:rPr>
                <w:b/>
                <w:sz w:val="22"/>
                <w:lang w:val="uk-UA"/>
              </w:rPr>
              <w:t>:</w:t>
            </w:r>
          </w:p>
        </w:tc>
        <w:tc>
          <w:tcPr>
            <w:tcW w:w="6769" w:type="dxa"/>
            <w:gridSpan w:val="7"/>
            <w:tcBorders>
              <w:top w:val="single" w:sz="4" w:space="0" w:color="auto"/>
              <w:left w:val="single" w:sz="4" w:space="0" w:color="auto"/>
              <w:bottom w:val="single" w:sz="4" w:space="0" w:color="auto"/>
              <w:right w:val="single" w:sz="4" w:space="0" w:color="auto"/>
            </w:tcBorders>
            <w:hideMark/>
          </w:tcPr>
          <w:p w:rsidR="00E95FB1" w:rsidRPr="002045F5" w:rsidRDefault="00E95FB1" w:rsidP="000303D7">
            <w:pPr>
              <w:pStyle w:val="a7"/>
              <w:numPr>
                <w:ilvl w:val="0"/>
                <w:numId w:val="63"/>
              </w:numPr>
              <w:ind w:left="136" w:hanging="142"/>
              <w:jc w:val="left"/>
              <w:rPr>
                <w:sz w:val="22"/>
                <w:lang w:val="uk-UA"/>
              </w:rPr>
            </w:pPr>
            <w:r w:rsidRPr="002045F5">
              <w:rPr>
                <w:sz w:val="22"/>
                <w:lang w:val="uk-UA"/>
              </w:rPr>
              <w:t>Проведення обстеження будівель та приміщень;</w:t>
            </w:r>
          </w:p>
          <w:p w:rsidR="00E95FB1" w:rsidRPr="002045F5" w:rsidRDefault="00E95FB1" w:rsidP="001B3967">
            <w:pPr>
              <w:rPr>
                <w:sz w:val="22"/>
                <w:lang w:val="uk-UA"/>
              </w:rPr>
            </w:pPr>
            <w:r w:rsidRPr="002045F5">
              <w:rPr>
                <w:sz w:val="22"/>
                <w:lang w:val="uk-UA"/>
              </w:rPr>
              <w:t>- відновлення пошкодженої (зруйнованої) будівлі та споруд на території управління;</w:t>
            </w:r>
          </w:p>
          <w:p w:rsidR="00E95FB1" w:rsidRPr="002045F5" w:rsidRDefault="00E95FB1" w:rsidP="001B3967">
            <w:pPr>
              <w:rPr>
                <w:sz w:val="22"/>
                <w:lang w:val="uk-UA"/>
              </w:rPr>
            </w:pPr>
            <w:r w:rsidRPr="002045F5">
              <w:rPr>
                <w:sz w:val="22"/>
                <w:lang w:val="uk-UA"/>
              </w:rPr>
              <w:t>- укладення договорів;</w:t>
            </w:r>
          </w:p>
          <w:p w:rsidR="00E95FB1" w:rsidRPr="002045F5" w:rsidRDefault="00E95FB1" w:rsidP="001B3967">
            <w:pPr>
              <w:rPr>
                <w:sz w:val="22"/>
                <w:lang w:val="uk-UA"/>
              </w:rPr>
            </w:pPr>
            <w:r w:rsidRPr="002045F5">
              <w:rPr>
                <w:sz w:val="22"/>
                <w:lang w:val="uk-UA"/>
              </w:rPr>
              <w:t>- закупівля меблів, офісної та комп’ютерної техніки;</w:t>
            </w:r>
          </w:p>
          <w:p w:rsidR="00E95FB1" w:rsidRPr="002045F5" w:rsidRDefault="00E95FB1" w:rsidP="001B3967">
            <w:pPr>
              <w:rPr>
                <w:sz w:val="22"/>
                <w:lang w:val="uk-UA"/>
              </w:rPr>
            </w:pPr>
            <w:r w:rsidRPr="002045F5">
              <w:rPr>
                <w:sz w:val="22"/>
                <w:lang w:val="uk-UA"/>
              </w:rPr>
              <w:t>- облаштування робочих місць працівників, приміщень та самої території управління;</w:t>
            </w:r>
          </w:p>
          <w:p w:rsidR="00E95FB1" w:rsidRPr="002045F5" w:rsidRDefault="00E95FB1" w:rsidP="001B3967">
            <w:pPr>
              <w:rPr>
                <w:sz w:val="22"/>
                <w:lang w:val="uk-UA"/>
              </w:rPr>
            </w:pPr>
            <w:r w:rsidRPr="002045F5">
              <w:rPr>
                <w:sz w:val="22"/>
                <w:lang w:val="uk-UA"/>
              </w:rPr>
              <w:t>- визначення кількості осіб, яким необхідно надати соціальну допомогу;</w:t>
            </w:r>
          </w:p>
          <w:p w:rsidR="00E95FB1" w:rsidRPr="002045F5" w:rsidRDefault="00E95FB1" w:rsidP="001B3967">
            <w:pPr>
              <w:rPr>
                <w:sz w:val="22"/>
                <w:lang w:val="uk-UA"/>
              </w:rPr>
            </w:pPr>
            <w:r w:rsidRPr="002045F5">
              <w:rPr>
                <w:sz w:val="22"/>
                <w:lang w:val="uk-UA"/>
              </w:rPr>
              <w:t>- відновлення виконання управлінням повноважень у повному обсязі.</w:t>
            </w:r>
          </w:p>
        </w:tc>
      </w:tr>
      <w:tr w:rsidR="00E95FB1" w:rsidRPr="002045F5" w:rsidTr="001B3967">
        <w:trPr>
          <w:trHeight w:val="285"/>
        </w:trPr>
        <w:tc>
          <w:tcPr>
            <w:tcW w:w="297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95FB1" w:rsidRPr="002045F5" w:rsidRDefault="00E95FB1" w:rsidP="001B3967">
            <w:pPr>
              <w:rPr>
                <w:b/>
                <w:sz w:val="22"/>
                <w:lang w:val="uk-UA"/>
              </w:rPr>
            </w:pPr>
            <w:r w:rsidRPr="002045F5">
              <w:rPr>
                <w:b/>
                <w:sz w:val="22"/>
                <w:lang w:val="uk-UA"/>
              </w:rPr>
              <w:t>Орієнтовний обсяг та джерела фінансування, тис. грн</w:t>
            </w:r>
          </w:p>
        </w:tc>
        <w:tc>
          <w:tcPr>
            <w:tcW w:w="881" w:type="dxa"/>
            <w:vMerge w:val="restart"/>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jc w:val="center"/>
              <w:rPr>
                <w:sz w:val="22"/>
                <w:lang w:val="uk-UA"/>
              </w:rPr>
            </w:pPr>
            <w:r w:rsidRPr="002045F5">
              <w:rPr>
                <w:sz w:val="22"/>
                <w:lang w:val="uk-UA"/>
              </w:rPr>
              <w:t>Державний бюджет</w:t>
            </w:r>
          </w:p>
        </w:tc>
        <w:tc>
          <w:tcPr>
            <w:tcW w:w="167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jc w:val="center"/>
              <w:rPr>
                <w:sz w:val="22"/>
                <w:lang w:val="uk-UA"/>
              </w:rPr>
            </w:pPr>
            <w:r w:rsidRPr="002045F5">
              <w:rPr>
                <w:sz w:val="22"/>
                <w:lang w:val="uk-UA"/>
              </w:rPr>
              <w:t>Місцевий бюджет</w:t>
            </w:r>
          </w:p>
        </w:tc>
        <w:tc>
          <w:tcPr>
            <w:tcW w:w="2264" w:type="dxa"/>
            <w:gridSpan w:val="3"/>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jc w:val="center"/>
              <w:rPr>
                <w:sz w:val="22"/>
                <w:lang w:val="uk-UA"/>
              </w:rPr>
            </w:pPr>
            <w:r w:rsidRPr="002045F5">
              <w:rPr>
                <w:sz w:val="22"/>
                <w:lang w:val="uk-UA"/>
              </w:rPr>
              <w:t>Інші джерела</w:t>
            </w:r>
          </w:p>
        </w:tc>
        <w:tc>
          <w:tcPr>
            <w:tcW w:w="1954" w:type="dxa"/>
            <w:vMerge w:val="restart"/>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jc w:val="center"/>
              <w:rPr>
                <w:sz w:val="22"/>
                <w:lang w:val="uk-UA"/>
              </w:rPr>
            </w:pPr>
            <w:r w:rsidRPr="002045F5">
              <w:rPr>
                <w:sz w:val="22"/>
                <w:lang w:val="uk-UA"/>
              </w:rPr>
              <w:t>Всього,</w:t>
            </w:r>
          </w:p>
          <w:p w:rsidR="00E95FB1" w:rsidRPr="002045F5" w:rsidRDefault="00E95FB1" w:rsidP="001B3967">
            <w:pPr>
              <w:jc w:val="center"/>
              <w:rPr>
                <w:sz w:val="22"/>
                <w:lang w:val="uk-UA"/>
              </w:rPr>
            </w:pPr>
            <w:r w:rsidRPr="002045F5">
              <w:rPr>
                <w:sz w:val="22"/>
                <w:lang w:val="uk-UA"/>
              </w:rPr>
              <w:t>тис. грн</w:t>
            </w:r>
          </w:p>
        </w:tc>
      </w:tr>
      <w:tr w:rsidR="00E95FB1" w:rsidRPr="002045F5" w:rsidTr="001B3967">
        <w:trPr>
          <w:trHeight w:val="540"/>
        </w:trPr>
        <w:tc>
          <w:tcPr>
            <w:tcW w:w="297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E95FB1" w:rsidRPr="002045F5" w:rsidRDefault="00E95FB1" w:rsidP="001B3967">
            <w:pPr>
              <w:rPr>
                <w:b/>
                <w:sz w:val="22"/>
                <w:lang w:val="uk-UA"/>
              </w:rPr>
            </w:pPr>
          </w:p>
        </w:tc>
        <w:tc>
          <w:tcPr>
            <w:tcW w:w="881" w:type="dxa"/>
            <w:vMerge/>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rPr>
                <w:sz w:val="22"/>
                <w:lang w:val="uk-UA"/>
              </w:rPr>
            </w:pPr>
          </w:p>
        </w:tc>
        <w:tc>
          <w:tcPr>
            <w:tcW w:w="1670" w:type="dxa"/>
            <w:gridSpan w:val="2"/>
            <w:vMerge/>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rPr>
                <w:sz w:val="22"/>
                <w:lang w:val="uk-UA"/>
              </w:rPr>
            </w:pPr>
          </w:p>
        </w:tc>
        <w:tc>
          <w:tcPr>
            <w:tcW w:w="1053" w:type="dxa"/>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jc w:val="center"/>
              <w:rPr>
                <w:sz w:val="22"/>
                <w:lang w:val="uk-UA"/>
              </w:rPr>
            </w:pPr>
            <w:r w:rsidRPr="002045F5">
              <w:rPr>
                <w:sz w:val="22"/>
                <w:lang w:val="uk-UA"/>
              </w:rPr>
              <w:t>Обсяг,</w:t>
            </w:r>
          </w:p>
          <w:p w:rsidR="00E95FB1" w:rsidRPr="002045F5" w:rsidRDefault="00E95FB1" w:rsidP="001B3967">
            <w:pPr>
              <w:jc w:val="center"/>
              <w:rPr>
                <w:sz w:val="22"/>
                <w:lang w:val="uk-UA"/>
              </w:rPr>
            </w:pPr>
            <w:r w:rsidRPr="002045F5">
              <w:rPr>
                <w:sz w:val="22"/>
                <w:lang w:val="uk-UA"/>
              </w:rPr>
              <w:t>тис. грн</w:t>
            </w:r>
          </w:p>
        </w:tc>
        <w:tc>
          <w:tcPr>
            <w:tcW w:w="1211" w:type="dxa"/>
            <w:gridSpan w:val="2"/>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jc w:val="center"/>
              <w:rPr>
                <w:sz w:val="22"/>
                <w:lang w:val="uk-UA"/>
              </w:rPr>
            </w:pPr>
            <w:r w:rsidRPr="002045F5">
              <w:rPr>
                <w:sz w:val="22"/>
                <w:lang w:val="uk-UA"/>
              </w:rPr>
              <w:t>Назва джерела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rPr>
                <w:sz w:val="22"/>
                <w:lang w:val="uk-UA"/>
              </w:rPr>
            </w:pPr>
          </w:p>
        </w:tc>
      </w:tr>
      <w:tr w:rsidR="00E95FB1" w:rsidRPr="002045F5" w:rsidTr="001B3967">
        <w:tc>
          <w:tcPr>
            <w:tcW w:w="297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E95FB1" w:rsidRPr="002045F5" w:rsidRDefault="00E95FB1" w:rsidP="001B3967">
            <w:pPr>
              <w:rPr>
                <w:b/>
                <w:sz w:val="22"/>
                <w:lang w:val="uk-UA"/>
              </w:rPr>
            </w:pPr>
          </w:p>
        </w:tc>
        <w:tc>
          <w:tcPr>
            <w:tcW w:w="881" w:type="dxa"/>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jc w:val="center"/>
              <w:rPr>
                <w:sz w:val="22"/>
                <w:lang w:val="uk-UA"/>
              </w:rPr>
            </w:pPr>
            <w:r w:rsidRPr="002045F5">
              <w:rPr>
                <w:sz w:val="22"/>
                <w:lang w:val="uk-UA"/>
              </w:rPr>
              <w:t>192662,64</w:t>
            </w:r>
          </w:p>
        </w:tc>
        <w:tc>
          <w:tcPr>
            <w:tcW w:w="1670" w:type="dxa"/>
            <w:gridSpan w:val="2"/>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jc w:val="center"/>
              <w:rPr>
                <w:sz w:val="22"/>
                <w:lang w:val="uk-UA"/>
              </w:rPr>
            </w:pPr>
            <w:r w:rsidRPr="002045F5">
              <w:rPr>
                <w:sz w:val="22"/>
                <w:lang w:val="uk-UA"/>
              </w:rPr>
              <w:t>-</w:t>
            </w:r>
          </w:p>
        </w:tc>
        <w:tc>
          <w:tcPr>
            <w:tcW w:w="1053" w:type="dxa"/>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jc w:val="center"/>
              <w:rPr>
                <w:sz w:val="22"/>
                <w:lang w:val="uk-UA"/>
              </w:rPr>
            </w:pPr>
            <w:r w:rsidRPr="002045F5">
              <w:rPr>
                <w:sz w:val="22"/>
                <w:lang w:val="uk-UA"/>
              </w:rPr>
              <w:t>82569,7</w:t>
            </w:r>
          </w:p>
        </w:tc>
        <w:tc>
          <w:tcPr>
            <w:tcW w:w="1211" w:type="dxa"/>
            <w:gridSpan w:val="2"/>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jc w:val="center"/>
              <w:rPr>
                <w:sz w:val="22"/>
                <w:lang w:val="uk-UA"/>
              </w:rPr>
            </w:pPr>
            <w:r w:rsidRPr="002045F5">
              <w:rPr>
                <w:sz w:val="22"/>
                <w:lang w:val="uk-UA"/>
              </w:rPr>
              <w:t>Іноземні інвестори</w:t>
            </w:r>
          </w:p>
        </w:tc>
        <w:tc>
          <w:tcPr>
            <w:tcW w:w="1954" w:type="dxa"/>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jc w:val="center"/>
              <w:rPr>
                <w:sz w:val="22"/>
                <w:lang w:val="uk-UA"/>
              </w:rPr>
            </w:pPr>
            <w:r w:rsidRPr="002045F5">
              <w:rPr>
                <w:sz w:val="22"/>
                <w:lang w:val="uk-UA"/>
              </w:rPr>
              <w:t>275232,34</w:t>
            </w:r>
          </w:p>
        </w:tc>
      </w:tr>
    </w:tbl>
    <w:p w:rsidR="00E95FB1" w:rsidRPr="002045F5" w:rsidRDefault="00E95FB1" w:rsidP="00E95FB1">
      <w:pPr>
        <w:rPr>
          <w:sz w:val="22"/>
        </w:rPr>
      </w:pPr>
    </w:p>
    <w:p w:rsidR="00E95FB1" w:rsidRPr="002045F5" w:rsidRDefault="00E95FB1" w:rsidP="00E95FB1">
      <w:pPr>
        <w:rPr>
          <w:sz w:val="22"/>
        </w:rPr>
      </w:pPr>
    </w:p>
    <w:tbl>
      <w:tblPr>
        <w:tblW w:w="99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6"/>
        <w:gridCol w:w="1559"/>
        <w:gridCol w:w="1418"/>
        <w:gridCol w:w="708"/>
        <w:gridCol w:w="567"/>
        <w:gridCol w:w="1276"/>
        <w:gridCol w:w="425"/>
        <w:gridCol w:w="1170"/>
      </w:tblGrid>
      <w:tr w:rsidR="00E95FB1" w:rsidRPr="002045F5" w:rsidTr="001B3967">
        <w:tc>
          <w:tcPr>
            <w:tcW w:w="2836" w:type="dxa"/>
            <w:shd w:val="clear" w:color="auto" w:fill="C6D9F1" w:themeFill="text2" w:themeFillTint="33"/>
          </w:tcPr>
          <w:p w:rsidR="00E95FB1" w:rsidRPr="002045F5" w:rsidRDefault="00E95FB1" w:rsidP="001B3967">
            <w:pPr>
              <w:rPr>
                <w:b/>
                <w:sz w:val="22"/>
              </w:rPr>
            </w:pPr>
            <w:r w:rsidRPr="002045F5">
              <w:rPr>
                <w:b/>
                <w:sz w:val="22"/>
              </w:rPr>
              <w:lastRenderedPageBreak/>
              <w:t>Оперативна ціль/завдання</w:t>
            </w:r>
          </w:p>
        </w:tc>
        <w:tc>
          <w:tcPr>
            <w:tcW w:w="7123" w:type="dxa"/>
            <w:gridSpan w:val="7"/>
            <w:shd w:val="clear" w:color="auto" w:fill="auto"/>
          </w:tcPr>
          <w:p w:rsidR="00E95FB1" w:rsidRPr="002045F5" w:rsidRDefault="000F335F" w:rsidP="001B3967">
            <w:pPr>
              <w:rPr>
                <w:sz w:val="22"/>
              </w:rPr>
            </w:pPr>
            <w:r w:rsidRPr="002045F5">
              <w:rPr>
                <w:sz w:val="22"/>
              </w:rPr>
              <w:t xml:space="preserve">Людський розвиток </w:t>
            </w:r>
            <w:r w:rsidR="00E95FB1" w:rsidRPr="002045F5">
              <w:rPr>
                <w:sz w:val="22"/>
              </w:rPr>
              <w:t>через інновації управління та  довіру до влади. Соціальна справедливість та захист, забезпечення рівних прав та можливостей жінок і чоловіків</w:t>
            </w:r>
          </w:p>
        </w:tc>
      </w:tr>
      <w:tr w:rsidR="00E95FB1" w:rsidRPr="002045F5" w:rsidTr="001B3967">
        <w:tc>
          <w:tcPr>
            <w:tcW w:w="2836" w:type="dxa"/>
            <w:shd w:val="clear" w:color="auto" w:fill="C6D9F1" w:themeFill="text2" w:themeFillTint="33"/>
          </w:tcPr>
          <w:p w:rsidR="00E95FB1" w:rsidRPr="002045F5" w:rsidRDefault="00E95FB1" w:rsidP="001B3967">
            <w:pPr>
              <w:rPr>
                <w:b/>
                <w:sz w:val="22"/>
              </w:rPr>
            </w:pPr>
            <w:r w:rsidRPr="002045F5">
              <w:rPr>
                <w:b/>
                <w:sz w:val="22"/>
              </w:rPr>
              <w:t>Назва проекту:</w:t>
            </w:r>
          </w:p>
        </w:tc>
        <w:tc>
          <w:tcPr>
            <w:tcW w:w="7123" w:type="dxa"/>
            <w:gridSpan w:val="7"/>
          </w:tcPr>
          <w:p w:rsidR="00E95FB1" w:rsidRPr="002045F5" w:rsidRDefault="00E95FB1" w:rsidP="001B3967">
            <w:pPr>
              <w:ind w:left="40"/>
              <w:rPr>
                <w:sz w:val="22"/>
              </w:rPr>
            </w:pPr>
            <w:r w:rsidRPr="002045F5">
              <w:rPr>
                <w:sz w:val="22"/>
              </w:rPr>
              <w:t xml:space="preserve">Відновлення діяльності та розвиток </w:t>
            </w:r>
            <w:r w:rsidR="008D2717" w:rsidRPr="002045F5">
              <w:rPr>
                <w:sz w:val="22"/>
              </w:rPr>
              <w:t>Центру комплексної реабілітації для дітей та осіб з інвалідністю Сєвєродонецької міської ради</w:t>
            </w:r>
          </w:p>
        </w:tc>
      </w:tr>
      <w:tr w:rsidR="00E95FB1" w:rsidRPr="002045F5" w:rsidTr="001B3967">
        <w:tc>
          <w:tcPr>
            <w:tcW w:w="2836" w:type="dxa"/>
            <w:shd w:val="clear" w:color="auto" w:fill="C6D9F1" w:themeFill="text2" w:themeFillTint="33"/>
          </w:tcPr>
          <w:p w:rsidR="00E95FB1" w:rsidRPr="002045F5" w:rsidRDefault="00E95FB1" w:rsidP="001B3967">
            <w:pPr>
              <w:rPr>
                <w:b/>
                <w:sz w:val="22"/>
              </w:rPr>
            </w:pPr>
            <w:r w:rsidRPr="002045F5">
              <w:rPr>
                <w:b/>
                <w:sz w:val="22"/>
              </w:rPr>
              <w:t>Ціль проекту</w:t>
            </w:r>
          </w:p>
        </w:tc>
        <w:tc>
          <w:tcPr>
            <w:tcW w:w="7123" w:type="dxa"/>
            <w:gridSpan w:val="7"/>
          </w:tcPr>
          <w:p w:rsidR="00E95FB1" w:rsidRPr="002045F5" w:rsidRDefault="00E95FB1" w:rsidP="001B3967">
            <w:pPr>
              <w:ind w:left="40"/>
              <w:rPr>
                <w:sz w:val="22"/>
              </w:rPr>
            </w:pPr>
            <w:r w:rsidRPr="002045F5">
              <w:rPr>
                <w:sz w:val="22"/>
              </w:rPr>
              <w:t>Відновити та покращити роботу комунальної установи Центр комплексної реабілітації для дітей та осіб з інвалідністю Сєвєродонецької міської ради для надання широкого спектру якісних реабілітаційних послуг дітям та особам з інвалідністю Сєвєродонецької міської територіальної громади</w:t>
            </w:r>
            <w:r w:rsidR="00394AE1" w:rsidRPr="002045F5">
              <w:rPr>
                <w:sz w:val="22"/>
              </w:rPr>
              <w:t>,</w:t>
            </w:r>
            <w:r w:rsidRPr="002045F5">
              <w:rPr>
                <w:sz w:val="22"/>
              </w:rPr>
              <w:t xml:space="preserve">  забезпечення якісного та достойного рівня життя, а також задля максимальної </w:t>
            </w:r>
            <w:proofErr w:type="spellStart"/>
            <w:r w:rsidRPr="002045F5">
              <w:rPr>
                <w:sz w:val="22"/>
              </w:rPr>
              <w:t>включеності</w:t>
            </w:r>
            <w:proofErr w:type="spellEnd"/>
            <w:r w:rsidRPr="002045F5">
              <w:rPr>
                <w:sz w:val="22"/>
              </w:rPr>
              <w:t xml:space="preserve"> в життя громади.</w:t>
            </w:r>
          </w:p>
        </w:tc>
      </w:tr>
      <w:tr w:rsidR="00E95FB1" w:rsidRPr="002045F5" w:rsidTr="001B3967">
        <w:tc>
          <w:tcPr>
            <w:tcW w:w="2836" w:type="dxa"/>
            <w:shd w:val="clear" w:color="auto" w:fill="C6D9F1" w:themeFill="text2" w:themeFillTint="33"/>
          </w:tcPr>
          <w:p w:rsidR="00E95FB1" w:rsidRPr="002045F5" w:rsidRDefault="00E95FB1" w:rsidP="001B3967">
            <w:pPr>
              <w:rPr>
                <w:b/>
                <w:sz w:val="22"/>
              </w:rPr>
            </w:pPr>
            <w:r w:rsidRPr="002045F5">
              <w:rPr>
                <w:b/>
                <w:sz w:val="22"/>
              </w:rPr>
              <w:t>Територія, на яку матиме вплив реалізація проекту</w:t>
            </w:r>
          </w:p>
        </w:tc>
        <w:tc>
          <w:tcPr>
            <w:tcW w:w="7123" w:type="dxa"/>
            <w:gridSpan w:val="7"/>
          </w:tcPr>
          <w:p w:rsidR="00E95FB1" w:rsidRPr="002045F5" w:rsidRDefault="00E95FB1" w:rsidP="001B3967">
            <w:pPr>
              <w:rPr>
                <w:sz w:val="22"/>
              </w:rPr>
            </w:pPr>
            <w:r w:rsidRPr="002045F5">
              <w:rPr>
                <w:sz w:val="22"/>
              </w:rPr>
              <w:t>Сєвєродонецька міська територіальна громада</w:t>
            </w:r>
          </w:p>
        </w:tc>
      </w:tr>
      <w:tr w:rsidR="00E95FB1" w:rsidRPr="002045F5" w:rsidTr="001B3967">
        <w:tc>
          <w:tcPr>
            <w:tcW w:w="2836" w:type="dxa"/>
            <w:shd w:val="clear" w:color="auto" w:fill="C6D9F1" w:themeFill="text2" w:themeFillTint="33"/>
          </w:tcPr>
          <w:p w:rsidR="00E95FB1" w:rsidRPr="002045F5" w:rsidRDefault="00E95FB1" w:rsidP="001B3967">
            <w:pPr>
              <w:rPr>
                <w:b/>
                <w:sz w:val="22"/>
              </w:rPr>
            </w:pPr>
            <w:r w:rsidRPr="002045F5">
              <w:rPr>
                <w:b/>
                <w:sz w:val="22"/>
              </w:rPr>
              <w:t>Чисельність населення, на яке матиме вплив реалізація проекту</w:t>
            </w:r>
          </w:p>
        </w:tc>
        <w:tc>
          <w:tcPr>
            <w:tcW w:w="7123" w:type="dxa"/>
            <w:gridSpan w:val="7"/>
          </w:tcPr>
          <w:p w:rsidR="00E95FB1" w:rsidRPr="002045F5" w:rsidRDefault="00E95FB1" w:rsidP="001B3967">
            <w:pPr>
              <w:rPr>
                <w:sz w:val="22"/>
              </w:rPr>
            </w:pPr>
            <w:r w:rsidRPr="002045F5">
              <w:rPr>
                <w:sz w:val="22"/>
              </w:rPr>
              <w:t>70 000 осіб</w:t>
            </w:r>
          </w:p>
          <w:p w:rsidR="00E95FB1" w:rsidRPr="002045F5" w:rsidRDefault="00E95FB1" w:rsidP="001B3967">
            <w:pPr>
              <w:rPr>
                <w:sz w:val="22"/>
              </w:rPr>
            </w:pPr>
          </w:p>
        </w:tc>
      </w:tr>
      <w:tr w:rsidR="00E95FB1" w:rsidRPr="002045F5" w:rsidTr="001B3967">
        <w:tc>
          <w:tcPr>
            <w:tcW w:w="2836" w:type="dxa"/>
            <w:shd w:val="clear" w:color="auto" w:fill="C6D9F1" w:themeFill="text2" w:themeFillTint="33"/>
          </w:tcPr>
          <w:p w:rsidR="00E95FB1" w:rsidRPr="002045F5" w:rsidRDefault="00E95FB1" w:rsidP="001B3967">
            <w:pPr>
              <w:rPr>
                <w:b/>
                <w:sz w:val="22"/>
              </w:rPr>
            </w:pPr>
            <w:r w:rsidRPr="002045F5">
              <w:rPr>
                <w:b/>
                <w:sz w:val="22"/>
              </w:rPr>
              <w:t>Опис проблеми, на вирішення якої  спрямований проект</w:t>
            </w:r>
          </w:p>
        </w:tc>
        <w:tc>
          <w:tcPr>
            <w:tcW w:w="7123" w:type="dxa"/>
            <w:gridSpan w:val="7"/>
          </w:tcPr>
          <w:p w:rsidR="00E95FB1" w:rsidRPr="002045F5" w:rsidRDefault="00E95FB1" w:rsidP="001B3967">
            <w:pPr>
              <w:rPr>
                <w:sz w:val="22"/>
              </w:rPr>
            </w:pPr>
            <w:r w:rsidRPr="002045F5">
              <w:rPr>
                <w:sz w:val="22"/>
              </w:rPr>
              <w:t xml:space="preserve">Через військову агресію РФ територія Сєвєродонецької міської територіальної громади зазнала значних пошкоджень. </w:t>
            </w:r>
          </w:p>
          <w:p w:rsidR="00E95FB1" w:rsidRPr="002045F5" w:rsidRDefault="00E95FB1" w:rsidP="001B3967">
            <w:pPr>
              <w:rPr>
                <w:sz w:val="22"/>
              </w:rPr>
            </w:pPr>
            <w:r w:rsidRPr="002045F5">
              <w:rPr>
                <w:sz w:val="22"/>
              </w:rPr>
              <w:t>Для відбудови та сталого розвитку громади потрібне відновлення роботи установи сфери соціального захисту населення, що надає реабілітаційні послуги дітям та особам з інвалідність і ризиком інвалідності. Понад 600 дітей та осіб з інвалідністю  Сєвєродонецької</w:t>
            </w:r>
            <w:r w:rsidR="00E10232" w:rsidRPr="002045F5">
              <w:rPr>
                <w:sz w:val="22"/>
              </w:rPr>
              <w:t xml:space="preserve"> громади</w:t>
            </w:r>
            <w:r w:rsidRPr="002045F5">
              <w:rPr>
                <w:sz w:val="22"/>
              </w:rPr>
              <w:t xml:space="preserve">  потребуватимуть якісної, доступної,  систематичної реабілітації за місцем проживання.</w:t>
            </w:r>
          </w:p>
        </w:tc>
      </w:tr>
      <w:tr w:rsidR="00E95FB1" w:rsidRPr="002045F5" w:rsidTr="001B3967">
        <w:tc>
          <w:tcPr>
            <w:tcW w:w="2836" w:type="dxa"/>
            <w:shd w:val="clear" w:color="auto" w:fill="C6D9F1" w:themeFill="text2" w:themeFillTint="33"/>
          </w:tcPr>
          <w:p w:rsidR="00E95FB1" w:rsidRPr="002045F5" w:rsidRDefault="00E95FB1" w:rsidP="001B3967">
            <w:pPr>
              <w:rPr>
                <w:b/>
                <w:sz w:val="22"/>
              </w:rPr>
            </w:pPr>
            <w:r w:rsidRPr="002045F5">
              <w:rPr>
                <w:b/>
                <w:sz w:val="22"/>
              </w:rPr>
              <w:t>Очікувані якісні результати від реалізації проекту</w:t>
            </w:r>
          </w:p>
        </w:tc>
        <w:tc>
          <w:tcPr>
            <w:tcW w:w="7123" w:type="dxa"/>
            <w:gridSpan w:val="7"/>
          </w:tcPr>
          <w:p w:rsidR="00E95FB1" w:rsidRPr="002045F5" w:rsidRDefault="00E95FB1" w:rsidP="000303D7">
            <w:pPr>
              <w:pStyle w:val="a7"/>
              <w:widowControl w:val="0"/>
              <w:numPr>
                <w:ilvl w:val="0"/>
                <w:numId w:val="64"/>
              </w:numPr>
              <w:autoSpaceDE w:val="0"/>
              <w:autoSpaceDN w:val="0"/>
              <w:adjustRightInd w:val="0"/>
              <w:spacing w:before="140"/>
              <w:contextualSpacing w:val="0"/>
              <w:rPr>
                <w:sz w:val="22"/>
              </w:rPr>
            </w:pPr>
            <w:r w:rsidRPr="002045F5">
              <w:rPr>
                <w:sz w:val="22"/>
              </w:rPr>
              <w:t>забезпечення населення можливостями для реалізації конституційних прав, пов’язаних із задоволенням потреб у реабілітації та соціалізації в громаді;</w:t>
            </w:r>
          </w:p>
          <w:p w:rsidR="00E95FB1" w:rsidRPr="002045F5" w:rsidRDefault="00E95FB1" w:rsidP="000303D7">
            <w:pPr>
              <w:pStyle w:val="a7"/>
              <w:widowControl w:val="0"/>
              <w:numPr>
                <w:ilvl w:val="0"/>
                <w:numId w:val="64"/>
              </w:numPr>
              <w:autoSpaceDE w:val="0"/>
              <w:autoSpaceDN w:val="0"/>
              <w:adjustRightInd w:val="0"/>
              <w:spacing w:before="140"/>
              <w:contextualSpacing w:val="0"/>
              <w:rPr>
                <w:sz w:val="22"/>
              </w:rPr>
            </w:pPr>
            <w:r w:rsidRPr="002045F5">
              <w:rPr>
                <w:sz w:val="22"/>
              </w:rPr>
              <w:t>надання широкого спектру соціальних та реабілітаційних комплексних послуг відповідно державної політики у сфері соціального захисту;</w:t>
            </w:r>
          </w:p>
          <w:p w:rsidR="00E95FB1" w:rsidRPr="002045F5" w:rsidRDefault="00E95FB1" w:rsidP="000303D7">
            <w:pPr>
              <w:pStyle w:val="a7"/>
              <w:widowControl w:val="0"/>
              <w:numPr>
                <w:ilvl w:val="0"/>
                <w:numId w:val="64"/>
              </w:numPr>
              <w:autoSpaceDE w:val="0"/>
              <w:autoSpaceDN w:val="0"/>
              <w:adjustRightInd w:val="0"/>
              <w:spacing w:before="140"/>
              <w:contextualSpacing w:val="0"/>
              <w:rPr>
                <w:sz w:val="22"/>
              </w:rPr>
            </w:pPr>
            <w:r w:rsidRPr="002045F5">
              <w:rPr>
                <w:sz w:val="22"/>
              </w:rPr>
              <w:t>вирішення ряду питань в межах статутної діяльності, пов’язаних із відбудовою та сталим розвитком громади;</w:t>
            </w:r>
          </w:p>
          <w:p w:rsidR="00E95FB1" w:rsidRPr="002045F5" w:rsidRDefault="00E95FB1" w:rsidP="000303D7">
            <w:pPr>
              <w:pStyle w:val="a7"/>
              <w:widowControl w:val="0"/>
              <w:numPr>
                <w:ilvl w:val="0"/>
                <w:numId w:val="64"/>
              </w:numPr>
              <w:autoSpaceDE w:val="0"/>
              <w:autoSpaceDN w:val="0"/>
              <w:adjustRightInd w:val="0"/>
              <w:spacing w:before="140"/>
              <w:contextualSpacing w:val="0"/>
              <w:rPr>
                <w:sz w:val="22"/>
              </w:rPr>
            </w:pPr>
            <w:r w:rsidRPr="002045F5">
              <w:rPr>
                <w:sz w:val="22"/>
              </w:rPr>
              <w:t>високий рівень якості реабілітаційних  послуг для мешканців громади;</w:t>
            </w:r>
          </w:p>
          <w:p w:rsidR="00227235" w:rsidRPr="002045F5" w:rsidRDefault="00E95FB1" w:rsidP="000303D7">
            <w:pPr>
              <w:pStyle w:val="a7"/>
              <w:widowControl w:val="0"/>
              <w:numPr>
                <w:ilvl w:val="0"/>
                <w:numId w:val="64"/>
              </w:numPr>
              <w:autoSpaceDE w:val="0"/>
              <w:autoSpaceDN w:val="0"/>
              <w:adjustRightInd w:val="0"/>
              <w:spacing w:before="140"/>
              <w:contextualSpacing w:val="0"/>
              <w:rPr>
                <w:sz w:val="22"/>
              </w:rPr>
            </w:pPr>
            <w:r w:rsidRPr="002045F5">
              <w:rPr>
                <w:sz w:val="22"/>
              </w:rPr>
              <w:t>надання реабілітаційних послуг в умовах, що максимально відповідають санітарним нормам та вимогам</w:t>
            </w:r>
            <w:r w:rsidR="00227235" w:rsidRPr="002045F5">
              <w:rPr>
                <w:sz w:val="22"/>
              </w:rPr>
              <w:t>,</w:t>
            </w:r>
            <w:r w:rsidRPr="002045F5">
              <w:rPr>
                <w:sz w:val="22"/>
              </w:rPr>
              <w:t xml:space="preserve"> пред’явленим до </w:t>
            </w:r>
            <w:proofErr w:type="spellStart"/>
            <w:r w:rsidRPr="002045F5">
              <w:rPr>
                <w:sz w:val="22"/>
              </w:rPr>
              <w:t>реабілітаційно</w:t>
            </w:r>
            <w:proofErr w:type="spellEnd"/>
            <w:r w:rsidRPr="002045F5">
              <w:rPr>
                <w:sz w:val="22"/>
              </w:rPr>
              <w:t xml:space="preserve"> - освітнього простору дітей з інвалідністю;</w:t>
            </w:r>
            <w:r w:rsidR="00227235" w:rsidRPr="002045F5">
              <w:rPr>
                <w:sz w:val="22"/>
              </w:rPr>
              <w:t xml:space="preserve"> </w:t>
            </w:r>
          </w:p>
          <w:p w:rsidR="00E95FB1" w:rsidRPr="002045F5" w:rsidRDefault="00E95FB1" w:rsidP="000303D7">
            <w:pPr>
              <w:pStyle w:val="a7"/>
              <w:widowControl w:val="0"/>
              <w:numPr>
                <w:ilvl w:val="0"/>
                <w:numId w:val="64"/>
              </w:numPr>
              <w:autoSpaceDE w:val="0"/>
              <w:autoSpaceDN w:val="0"/>
              <w:adjustRightInd w:val="0"/>
              <w:spacing w:before="140"/>
              <w:contextualSpacing w:val="0"/>
              <w:rPr>
                <w:sz w:val="22"/>
              </w:rPr>
            </w:pPr>
            <w:r w:rsidRPr="002045F5">
              <w:rPr>
                <w:sz w:val="22"/>
              </w:rPr>
              <w:t>створення нових робочих місць;</w:t>
            </w:r>
          </w:p>
          <w:p w:rsidR="00E95FB1" w:rsidRPr="002045F5" w:rsidRDefault="00E95FB1" w:rsidP="000303D7">
            <w:pPr>
              <w:pStyle w:val="a7"/>
              <w:widowControl w:val="0"/>
              <w:numPr>
                <w:ilvl w:val="0"/>
                <w:numId w:val="64"/>
              </w:numPr>
              <w:autoSpaceDE w:val="0"/>
              <w:autoSpaceDN w:val="0"/>
              <w:adjustRightInd w:val="0"/>
              <w:spacing w:before="140"/>
              <w:contextualSpacing w:val="0"/>
              <w:rPr>
                <w:sz w:val="22"/>
              </w:rPr>
            </w:pPr>
            <w:r w:rsidRPr="002045F5">
              <w:rPr>
                <w:sz w:val="22"/>
              </w:rPr>
              <w:t>стимул до повернення ВПО до громади.</w:t>
            </w:r>
          </w:p>
        </w:tc>
      </w:tr>
      <w:tr w:rsidR="00E95FB1" w:rsidRPr="002045F5" w:rsidTr="001B3967">
        <w:trPr>
          <w:trHeight w:val="390"/>
        </w:trPr>
        <w:tc>
          <w:tcPr>
            <w:tcW w:w="2836" w:type="dxa"/>
            <w:vMerge w:val="restart"/>
            <w:shd w:val="clear" w:color="auto" w:fill="C6D9F1" w:themeFill="text2" w:themeFillTint="33"/>
          </w:tcPr>
          <w:p w:rsidR="00E95FB1" w:rsidRPr="002045F5" w:rsidRDefault="00E95FB1" w:rsidP="001B3967">
            <w:pPr>
              <w:rPr>
                <w:b/>
                <w:sz w:val="22"/>
              </w:rPr>
            </w:pPr>
            <w:r w:rsidRPr="002045F5">
              <w:rPr>
                <w:b/>
                <w:sz w:val="22"/>
              </w:rPr>
              <w:t xml:space="preserve">Очікувані кількісні результати реалізації </w:t>
            </w:r>
            <w:proofErr w:type="spellStart"/>
            <w:r w:rsidRPr="002045F5">
              <w:rPr>
                <w:b/>
                <w:sz w:val="22"/>
              </w:rPr>
              <w:t>проєкту</w:t>
            </w:r>
            <w:proofErr w:type="spellEnd"/>
            <w:r w:rsidRPr="002045F5">
              <w:rPr>
                <w:b/>
                <w:sz w:val="22"/>
              </w:rPr>
              <w:t xml:space="preserve"> (індикатори)</w:t>
            </w:r>
          </w:p>
          <w:p w:rsidR="00E95FB1" w:rsidRPr="002045F5" w:rsidRDefault="00E95FB1" w:rsidP="001B3967">
            <w:pPr>
              <w:rPr>
                <w:b/>
                <w:sz w:val="22"/>
              </w:rPr>
            </w:pPr>
          </w:p>
        </w:tc>
        <w:tc>
          <w:tcPr>
            <w:tcW w:w="3685" w:type="dxa"/>
            <w:gridSpan w:val="3"/>
          </w:tcPr>
          <w:p w:rsidR="00E95FB1" w:rsidRPr="002045F5" w:rsidRDefault="00E95FB1" w:rsidP="001B3967">
            <w:pPr>
              <w:rPr>
                <w:sz w:val="22"/>
              </w:rPr>
            </w:pPr>
            <w:r w:rsidRPr="002045F5">
              <w:rPr>
                <w:sz w:val="22"/>
              </w:rPr>
              <w:t>Найменування показника</w:t>
            </w:r>
          </w:p>
        </w:tc>
        <w:tc>
          <w:tcPr>
            <w:tcW w:w="1843" w:type="dxa"/>
            <w:gridSpan w:val="2"/>
          </w:tcPr>
          <w:p w:rsidR="00E95FB1" w:rsidRPr="002045F5" w:rsidRDefault="00E95FB1" w:rsidP="001B3967">
            <w:pPr>
              <w:rPr>
                <w:sz w:val="22"/>
              </w:rPr>
            </w:pPr>
            <w:r w:rsidRPr="002045F5">
              <w:rPr>
                <w:sz w:val="22"/>
              </w:rPr>
              <w:t>Одиниця вимірювання</w:t>
            </w:r>
          </w:p>
          <w:p w:rsidR="00E95FB1" w:rsidRPr="002045F5" w:rsidRDefault="00E95FB1" w:rsidP="001B3967">
            <w:pPr>
              <w:rPr>
                <w:sz w:val="22"/>
              </w:rPr>
            </w:pPr>
          </w:p>
        </w:tc>
        <w:tc>
          <w:tcPr>
            <w:tcW w:w="1595" w:type="dxa"/>
            <w:gridSpan w:val="2"/>
          </w:tcPr>
          <w:p w:rsidR="00E95FB1" w:rsidRPr="002045F5" w:rsidRDefault="00E95FB1" w:rsidP="001B3967">
            <w:pPr>
              <w:rPr>
                <w:sz w:val="22"/>
              </w:rPr>
            </w:pPr>
            <w:r w:rsidRPr="002045F5">
              <w:rPr>
                <w:sz w:val="22"/>
              </w:rPr>
              <w:t>Прогнозне (цільове) значення</w:t>
            </w:r>
          </w:p>
        </w:tc>
      </w:tr>
      <w:tr w:rsidR="00E95FB1" w:rsidRPr="002045F5" w:rsidTr="001B3967">
        <w:trPr>
          <w:trHeight w:val="585"/>
        </w:trPr>
        <w:tc>
          <w:tcPr>
            <w:tcW w:w="2836" w:type="dxa"/>
            <w:vMerge/>
            <w:shd w:val="clear" w:color="auto" w:fill="C6D9F1" w:themeFill="text2" w:themeFillTint="33"/>
          </w:tcPr>
          <w:p w:rsidR="00E95FB1" w:rsidRPr="002045F5" w:rsidRDefault="00E95FB1" w:rsidP="001B3967">
            <w:pPr>
              <w:rPr>
                <w:b/>
                <w:sz w:val="22"/>
              </w:rPr>
            </w:pPr>
          </w:p>
        </w:tc>
        <w:tc>
          <w:tcPr>
            <w:tcW w:w="3685" w:type="dxa"/>
            <w:gridSpan w:val="3"/>
          </w:tcPr>
          <w:p w:rsidR="00E95FB1" w:rsidRPr="002045F5" w:rsidRDefault="00E95FB1" w:rsidP="002A3864">
            <w:pPr>
              <w:rPr>
                <w:sz w:val="22"/>
              </w:rPr>
            </w:pPr>
            <w:r w:rsidRPr="002045F5">
              <w:rPr>
                <w:sz w:val="22"/>
              </w:rPr>
              <w:t>Площа будівлі під надання реабілітаційних послуг</w:t>
            </w:r>
          </w:p>
        </w:tc>
        <w:tc>
          <w:tcPr>
            <w:tcW w:w="1843" w:type="dxa"/>
            <w:gridSpan w:val="2"/>
            <w:vAlign w:val="center"/>
          </w:tcPr>
          <w:p w:rsidR="00E95FB1" w:rsidRPr="002045F5" w:rsidRDefault="00E95FB1" w:rsidP="001B3967">
            <w:pPr>
              <w:jc w:val="left"/>
              <w:rPr>
                <w:sz w:val="22"/>
              </w:rPr>
            </w:pPr>
            <w:proofErr w:type="spellStart"/>
            <w:r w:rsidRPr="002045F5">
              <w:rPr>
                <w:sz w:val="22"/>
              </w:rPr>
              <w:t>м.кв</w:t>
            </w:r>
            <w:proofErr w:type="spellEnd"/>
            <w:r w:rsidRPr="002045F5">
              <w:rPr>
                <w:sz w:val="22"/>
              </w:rPr>
              <w:t>.</w:t>
            </w:r>
          </w:p>
        </w:tc>
        <w:tc>
          <w:tcPr>
            <w:tcW w:w="1595" w:type="dxa"/>
            <w:gridSpan w:val="2"/>
            <w:vAlign w:val="center"/>
          </w:tcPr>
          <w:p w:rsidR="00E95FB1" w:rsidRPr="002045F5" w:rsidRDefault="00E95FB1" w:rsidP="001B3967">
            <w:pPr>
              <w:jc w:val="left"/>
              <w:rPr>
                <w:sz w:val="22"/>
              </w:rPr>
            </w:pPr>
            <w:r w:rsidRPr="002045F5">
              <w:rPr>
                <w:sz w:val="22"/>
              </w:rPr>
              <w:t>3000</w:t>
            </w:r>
          </w:p>
        </w:tc>
      </w:tr>
      <w:tr w:rsidR="00E95FB1" w:rsidRPr="002045F5" w:rsidTr="001B3967">
        <w:trPr>
          <w:trHeight w:val="184"/>
        </w:trPr>
        <w:tc>
          <w:tcPr>
            <w:tcW w:w="2836" w:type="dxa"/>
            <w:vMerge/>
            <w:shd w:val="clear" w:color="auto" w:fill="C6D9F1" w:themeFill="text2" w:themeFillTint="33"/>
          </w:tcPr>
          <w:p w:rsidR="00E95FB1" w:rsidRPr="002045F5" w:rsidRDefault="00E95FB1" w:rsidP="001B3967">
            <w:pPr>
              <w:rPr>
                <w:b/>
                <w:sz w:val="22"/>
              </w:rPr>
            </w:pPr>
          </w:p>
        </w:tc>
        <w:tc>
          <w:tcPr>
            <w:tcW w:w="3685" w:type="dxa"/>
            <w:gridSpan w:val="3"/>
          </w:tcPr>
          <w:p w:rsidR="00E95FB1" w:rsidRPr="002045F5" w:rsidRDefault="00E95FB1" w:rsidP="002A3864">
            <w:pPr>
              <w:rPr>
                <w:sz w:val="22"/>
              </w:rPr>
            </w:pPr>
            <w:r w:rsidRPr="002045F5">
              <w:rPr>
                <w:sz w:val="22"/>
              </w:rPr>
              <w:t>Автомобіль для перевезення дітей з інвалідністю</w:t>
            </w:r>
          </w:p>
        </w:tc>
        <w:tc>
          <w:tcPr>
            <w:tcW w:w="1843" w:type="dxa"/>
            <w:gridSpan w:val="2"/>
            <w:vAlign w:val="center"/>
          </w:tcPr>
          <w:p w:rsidR="00E95FB1" w:rsidRPr="002045F5" w:rsidRDefault="00E95FB1" w:rsidP="001B3967">
            <w:pPr>
              <w:jc w:val="left"/>
              <w:rPr>
                <w:sz w:val="22"/>
              </w:rPr>
            </w:pPr>
            <w:r w:rsidRPr="002045F5">
              <w:rPr>
                <w:sz w:val="22"/>
              </w:rPr>
              <w:t>одиниць</w:t>
            </w:r>
          </w:p>
        </w:tc>
        <w:tc>
          <w:tcPr>
            <w:tcW w:w="1595" w:type="dxa"/>
            <w:gridSpan w:val="2"/>
            <w:vAlign w:val="center"/>
          </w:tcPr>
          <w:p w:rsidR="00E95FB1" w:rsidRPr="002045F5" w:rsidRDefault="00E95FB1" w:rsidP="001B3967">
            <w:pPr>
              <w:jc w:val="left"/>
              <w:rPr>
                <w:sz w:val="22"/>
              </w:rPr>
            </w:pPr>
            <w:r w:rsidRPr="002045F5">
              <w:rPr>
                <w:sz w:val="22"/>
              </w:rPr>
              <w:t>1</w:t>
            </w:r>
          </w:p>
        </w:tc>
      </w:tr>
      <w:tr w:rsidR="00E95FB1" w:rsidRPr="002045F5" w:rsidTr="001B3967">
        <w:trPr>
          <w:trHeight w:val="165"/>
        </w:trPr>
        <w:tc>
          <w:tcPr>
            <w:tcW w:w="2836" w:type="dxa"/>
            <w:vMerge/>
            <w:shd w:val="clear" w:color="auto" w:fill="C6D9F1" w:themeFill="text2" w:themeFillTint="33"/>
          </w:tcPr>
          <w:p w:rsidR="00E95FB1" w:rsidRPr="002045F5" w:rsidRDefault="00E95FB1" w:rsidP="001B3967">
            <w:pPr>
              <w:rPr>
                <w:b/>
                <w:sz w:val="22"/>
              </w:rPr>
            </w:pPr>
          </w:p>
        </w:tc>
        <w:tc>
          <w:tcPr>
            <w:tcW w:w="3685" w:type="dxa"/>
            <w:gridSpan w:val="3"/>
          </w:tcPr>
          <w:p w:rsidR="00E95FB1" w:rsidRPr="002045F5" w:rsidRDefault="00E95FB1" w:rsidP="002A3864">
            <w:pPr>
              <w:rPr>
                <w:sz w:val="22"/>
              </w:rPr>
            </w:pPr>
            <w:r w:rsidRPr="002045F5">
              <w:rPr>
                <w:sz w:val="22"/>
              </w:rPr>
              <w:t>Кількість видів послуг, які надає Центр</w:t>
            </w:r>
          </w:p>
        </w:tc>
        <w:tc>
          <w:tcPr>
            <w:tcW w:w="1843" w:type="dxa"/>
            <w:gridSpan w:val="2"/>
            <w:vAlign w:val="center"/>
          </w:tcPr>
          <w:p w:rsidR="00E95FB1" w:rsidRPr="002045F5" w:rsidRDefault="00E95FB1" w:rsidP="001B3967">
            <w:pPr>
              <w:jc w:val="left"/>
              <w:rPr>
                <w:sz w:val="22"/>
              </w:rPr>
            </w:pPr>
            <w:r w:rsidRPr="002045F5">
              <w:rPr>
                <w:sz w:val="22"/>
              </w:rPr>
              <w:t>одиниць</w:t>
            </w:r>
          </w:p>
        </w:tc>
        <w:tc>
          <w:tcPr>
            <w:tcW w:w="1595" w:type="dxa"/>
            <w:gridSpan w:val="2"/>
            <w:vAlign w:val="center"/>
          </w:tcPr>
          <w:p w:rsidR="00E95FB1" w:rsidRPr="002045F5" w:rsidRDefault="00E95FB1" w:rsidP="001B3967">
            <w:pPr>
              <w:jc w:val="left"/>
              <w:rPr>
                <w:sz w:val="22"/>
              </w:rPr>
            </w:pPr>
            <w:r w:rsidRPr="002045F5">
              <w:rPr>
                <w:sz w:val="22"/>
              </w:rPr>
              <w:t>14</w:t>
            </w:r>
          </w:p>
        </w:tc>
      </w:tr>
      <w:tr w:rsidR="00E95FB1" w:rsidRPr="002045F5" w:rsidTr="001B3967">
        <w:trPr>
          <w:trHeight w:val="150"/>
        </w:trPr>
        <w:tc>
          <w:tcPr>
            <w:tcW w:w="2836" w:type="dxa"/>
            <w:vMerge/>
            <w:shd w:val="clear" w:color="auto" w:fill="C6D9F1" w:themeFill="text2" w:themeFillTint="33"/>
          </w:tcPr>
          <w:p w:rsidR="00E95FB1" w:rsidRPr="002045F5" w:rsidRDefault="00E95FB1" w:rsidP="001B3967">
            <w:pPr>
              <w:rPr>
                <w:b/>
                <w:sz w:val="22"/>
              </w:rPr>
            </w:pPr>
          </w:p>
        </w:tc>
        <w:tc>
          <w:tcPr>
            <w:tcW w:w="3685" w:type="dxa"/>
            <w:gridSpan w:val="3"/>
          </w:tcPr>
          <w:p w:rsidR="00E95FB1" w:rsidRPr="002045F5" w:rsidRDefault="00E95FB1" w:rsidP="002A3864">
            <w:pPr>
              <w:rPr>
                <w:sz w:val="22"/>
              </w:rPr>
            </w:pPr>
            <w:r w:rsidRPr="002045F5">
              <w:rPr>
                <w:sz w:val="22"/>
              </w:rPr>
              <w:t>Кількість нових напрямів роботи/ відділень</w:t>
            </w:r>
          </w:p>
        </w:tc>
        <w:tc>
          <w:tcPr>
            <w:tcW w:w="1843" w:type="dxa"/>
            <w:gridSpan w:val="2"/>
            <w:vAlign w:val="center"/>
          </w:tcPr>
          <w:p w:rsidR="00E95FB1" w:rsidRPr="002045F5" w:rsidRDefault="00E95FB1" w:rsidP="001B3967">
            <w:pPr>
              <w:jc w:val="left"/>
              <w:rPr>
                <w:sz w:val="22"/>
              </w:rPr>
            </w:pPr>
            <w:r w:rsidRPr="002045F5">
              <w:rPr>
                <w:sz w:val="22"/>
              </w:rPr>
              <w:t>одиниць</w:t>
            </w:r>
          </w:p>
        </w:tc>
        <w:tc>
          <w:tcPr>
            <w:tcW w:w="1595" w:type="dxa"/>
            <w:gridSpan w:val="2"/>
            <w:vAlign w:val="center"/>
          </w:tcPr>
          <w:p w:rsidR="00E95FB1" w:rsidRPr="002045F5" w:rsidRDefault="00E95FB1" w:rsidP="001B3967">
            <w:pPr>
              <w:jc w:val="left"/>
              <w:rPr>
                <w:sz w:val="22"/>
              </w:rPr>
            </w:pPr>
            <w:r w:rsidRPr="002045F5">
              <w:rPr>
                <w:sz w:val="22"/>
              </w:rPr>
              <w:t>4</w:t>
            </w:r>
          </w:p>
        </w:tc>
      </w:tr>
      <w:tr w:rsidR="00E95FB1" w:rsidRPr="002045F5" w:rsidTr="001B3967">
        <w:trPr>
          <w:trHeight w:val="150"/>
        </w:trPr>
        <w:tc>
          <w:tcPr>
            <w:tcW w:w="2836" w:type="dxa"/>
            <w:shd w:val="clear" w:color="auto" w:fill="C6D9F1" w:themeFill="text2" w:themeFillTint="33"/>
          </w:tcPr>
          <w:p w:rsidR="00E95FB1" w:rsidRPr="002045F5" w:rsidRDefault="00E95FB1" w:rsidP="001B3967">
            <w:pPr>
              <w:rPr>
                <w:b/>
                <w:sz w:val="22"/>
              </w:rPr>
            </w:pPr>
          </w:p>
        </w:tc>
        <w:tc>
          <w:tcPr>
            <w:tcW w:w="3685" w:type="dxa"/>
            <w:gridSpan w:val="3"/>
          </w:tcPr>
          <w:p w:rsidR="00E95FB1" w:rsidRPr="002045F5" w:rsidRDefault="00E95FB1" w:rsidP="002A3864">
            <w:pPr>
              <w:rPr>
                <w:sz w:val="22"/>
              </w:rPr>
            </w:pPr>
            <w:r w:rsidRPr="002045F5">
              <w:rPr>
                <w:sz w:val="22"/>
              </w:rPr>
              <w:t>Кількість осіб, які отримали реабілітаційні послуги</w:t>
            </w:r>
          </w:p>
        </w:tc>
        <w:tc>
          <w:tcPr>
            <w:tcW w:w="1843" w:type="dxa"/>
            <w:gridSpan w:val="2"/>
            <w:vAlign w:val="center"/>
          </w:tcPr>
          <w:p w:rsidR="00E95FB1" w:rsidRPr="002045F5" w:rsidRDefault="00E95FB1" w:rsidP="001B3967">
            <w:pPr>
              <w:jc w:val="left"/>
              <w:rPr>
                <w:sz w:val="22"/>
              </w:rPr>
            </w:pPr>
            <w:r w:rsidRPr="002045F5">
              <w:rPr>
                <w:sz w:val="22"/>
              </w:rPr>
              <w:t>осіб</w:t>
            </w:r>
          </w:p>
        </w:tc>
        <w:tc>
          <w:tcPr>
            <w:tcW w:w="1595" w:type="dxa"/>
            <w:gridSpan w:val="2"/>
            <w:vAlign w:val="center"/>
          </w:tcPr>
          <w:p w:rsidR="00E95FB1" w:rsidRPr="002045F5" w:rsidRDefault="00E95FB1" w:rsidP="001B3967">
            <w:pPr>
              <w:jc w:val="left"/>
              <w:rPr>
                <w:sz w:val="22"/>
              </w:rPr>
            </w:pPr>
            <w:r w:rsidRPr="002045F5">
              <w:rPr>
                <w:sz w:val="22"/>
              </w:rPr>
              <w:t>600</w:t>
            </w:r>
          </w:p>
        </w:tc>
      </w:tr>
      <w:tr w:rsidR="00E95FB1" w:rsidRPr="002045F5" w:rsidTr="001B3967">
        <w:trPr>
          <w:trHeight w:val="150"/>
        </w:trPr>
        <w:tc>
          <w:tcPr>
            <w:tcW w:w="2836" w:type="dxa"/>
            <w:shd w:val="clear" w:color="auto" w:fill="C6D9F1" w:themeFill="text2" w:themeFillTint="33"/>
          </w:tcPr>
          <w:p w:rsidR="00E95FB1" w:rsidRPr="002045F5" w:rsidRDefault="00E95FB1" w:rsidP="001B3967">
            <w:pPr>
              <w:rPr>
                <w:b/>
                <w:sz w:val="22"/>
              </w:rPr>
            </w:pPr>
          </w:p>
        </w:tc>
        <w:tc>
          <w:tcPr>
            <w:tcW w:w="3685" w:type="dxa"/>
            <w:gridSpan w:val="3"/>
          </w:tcPr>
          <w:p w:rsidR="00E95FB1" w:rsidRPr="002045F5" w:rsidRDefault="00E95FB1" w:rsidP="001B3967">
            <w:pPr>
              <w:rPr>
                <w:sz w:val="22"/>
              </w:rPr>
            </w:pPr>
            <w:r w:rsidRPr="002045F5">
              <w:rPr>
                <w:sz w:val="22"/>
              </w:rPr>
              <w:t>Кількість придбаного специфічного обладнання;</w:t>
            </w:r>
          </w:p>
        </w:tc>
        <w:tc>
          <w:tcPr>
            <w:tcW w:w="1843" w:type="dxa"/>
            <w:gridSpan w:val="2"/>
            <w:vAlign w:val="center"/>
          </w:tcPr>
          <w:p w:rsidR="00E95FB1" w:rsidRPr="002045F5" w:rsidRDefault="00E95FB1" w:rsidP="001B3967">
            <w:pPr>
              <w:jc w:val="left"/>
              <w:rPr>
                <w:sz w:val="22"/>
              </w:rPr>
            </w:pPr>
            <w:r w:rsidRPr="002045F5">
              <w:rPr>
                <w:sz w:val="22"/>
              </w:rPr>
              <w:t>одиниць</w:t>
            </w:r>
          </w:p>
        </w:tc>
        <w:tc>
          <w:tcPr>
            <w:tcW w:w="1595" w:type="dxa"/>
            <w:gridSpan w:val="2"/>
            <w:vAlign w:val="center"/>
          </w:tcPr>
          <w:p w:rsidR="00E95FB1" w:rsidRPr="002045F5" w:rsidRDefault="00E95FB1" w:rsidP="001B3967">
            <w:pPr>
              <w:jc w:val="left"/>
              <w:rPr>
                <w:sz w:val="22"/>
              </w:rPr>
            </w:pPr>
            <w:r w:rsidRPr="002045F5">
              <w:rPr>
                <w:sz w:val="22"/>
              </w:rPr>
              <w:t>80</w:t>
            </w:r>
          </w:p>
        </w:tc>
      </w:tr>
      <w:tr w:rsidR="00E95FB1" w:rsidRPr="002045F5" w:rsidTr="001B3967">
        <w:trPr>
          <w:trHeight w:val="150"/>
        </w:trPr>
        <w:tc>
          <w:tcPr>
            <w:tcW w:w="2836" w:type="dxa"/>
            <w:shd w:val="clear" w:color="auto" w:fill="C6D9F1" w:themeFill="text2" w:themeFillTint="33"/>
          </w:tcPr>
          <w:p w:rsidR="00E95FB1" w:rsidRPr="002045F5" w:rsidRDefault="00E95FB1" w:rsidP="001B3967">
            <w:pPr>
              <w:rPr>
                <w:b/>
                <w:sz w:val="22"/>
              </w:rPr>
            </w:pPr>
          </w:p>
        </w:tc>
        <w:tc>
          <w:tcPr>
            <w:tcW w:w="3685" w:type="dxa"/>
            <w:gridSpan w:val="3"/>
          </w:tcPr>
          <w:p w:rsidR="00E95FB1" w:rsidRPr="002045F5" w:rsidRDefault="00E95FB1" w:rsidP="002A3864">
            <w:pPr>
              <w:rPr>
                <w:sz w:val="22"/>
              </w:rPr>
            </w:pPr>
            <w:r w:rsidRPr="002045F5">
              <w:rPr>
                <w:sz w:val="22"/>
              </w:rPr>
              <w:t>Кількість нових робочих місць, створених для ефективного функціонування Центру</w:t>
            </w:r>
          </w:p>
        </w:tc>
        <w:tc>
          <w:tcPr>
            <w:tcW w:w="1843" w:type="dxa"/>
            <w:gridSpan w:val="2"/>
            <w:vAlign w:val="center"/>
          </w:tcPr>
          <w:p w:rsidR="00E95FB1" w:rsidRPr="002045F5" w:rsidRDefault="00E95FB1" w:rsidP="001B3967">
            <w:pPr>
              <w:jc w:val="left"/>
              <w:rPr>
                <w:sz w:val="22"/>
              </w:rPr>
            </w:pPr>
            <w:r w:rsidRPr="002045F5">
              <w:rPr>
                <w:sz w:val="22"/>
              </w:rPr>
              <w:t>одиниць</w:t>
            </w:r>
          </w:p>
        </w:tc>
        <w:tc>
          <w:tcPr>
            <w:tcW w:w="1595" w:type="dxa"/>
            <w:gridSpan w:val="2"/>
            <w:vAlign w:val="center"/>
          </w:tcPr>
          <w:p w:rsidR="00E95FB1" w:rsidRPr="002045F5" w:rsidRDefault="00E95FB1" w:rsidP="001B3967">
            <w:pPr>
              <w:jc w:val="left"/>
              <w:rPr>
                <w:sz w:val="22"/>
              </w:rPr>
            </w:pPr>
            <w:r w:rsidRPr="002045F5">
              <w:rPr>
                <w:sz w:val="22"/>
              </w:rPr>
              <w:t>23</w:t>
            </w:r>
          </w:p>
        </w:tc>
      </w:tr>
      <w:tr w:rsidR="00E95FB1" w:rsidRPr="002045F5" w:rsidTr="001B3967">
        <w:trPr>
          <w:trHeight w:val="150"/>
        </w:trPr>
        <w:tc>
          <w:tcPr>
            <w:tcW w:w="2836" w:type="dxa"/>
            <w:shd w:val="clear" w:color="auto" w:fill="C6D9F1" w:themeFill="text2" w:themeFillTint="33"/>
          </w:tcPr>
          <w:p w:rsidR="00E95FB1" w:rsidRPr="002045F5" w:rsidRDefault="00E95FB1" w:rsidP="001B3967">
            <w:pPr>
              <w:rPr>
                <w:b/>
                <w:sz w:val="22"/>
              </w:rPr>
            </w:pPr>
          </w:p>
        </w:tc>
        <w:tc>
          <w:tcPr>
            <w:tcW w:w="3685" w:type="dxa"/>
            <w:gridSpan w:val="3"/>
          </w:tcPr>
          <w:p w:rsidR="00E95FB1" w:rsidRPr="002045F5" w:rsidRDefault="00E95FB1" w:rsidP="002A3864">
            <w:pPr>
              <w:rPr>
                <w:sz w:val="22"/>
              </w:rPr>
            </w:pPr>
            <w:r w:rsidRPr="002045F5">
              <w:rPr>
                <w:sz w:val="22"/>
              </w:rPr>
              <w:t>Середня вартість обслуговування 1 дитини в місяць</w:t>
            </w:r>
          </w:p>
        </w:tc>
        <w:tc>
          <w:tcPr>
            <w:tcW w:w="1843" w:type="dxa"/>
            <w:gridSpan w:val="2"/>
            <w:vAlign w:val="center"/>
          </w:tcPr>
          <w:p w:rsidR="00E95FB1" w:rsidRPr="002045F5" w:rsidRDefault="00E95FB1" w:rsidP="001B3967">
            <w:pPr>
              <w:jc w:val="left"/>
              <w:rPr>
                <w:sz w:val="22"/>
              </w:rPr>
            </w:pPr>
            <w:proofErr w:type="spellStart"/>
            <w:r w:rsidRPr="002045F5">
              <w:rPr>
                <w:sz w:val="22"/>
              </w:rPr>
              <w:t>Тис.грн</w:t>
            </w:r>
            <w:proofErr w:type="spellEnd"/>
          </w:p>
        </w:tc>
        <w:tc>
          <w:tcPr>
            <w:tcW w:w="1595" w:type="dxa"/>
            <w:gridSpan w:val="2"/>
            <w:vAlign w:val="center"/>
          </w:tcPr>
          <w:p w:rsidR="00E95FB1" w:rsidRPr="002045F5" w:rsidRDefault="00E95FB1" w:rsidP="001B3967">
            <w:pPr>
              <w:jc w:val="left"/>
              <w:rPr>
                <w:sz w:val="22"/>
              </w:rPr>
            </w:pPr>
            <w:r w:rsidRPr="002045F5">
              <w:rPr>
                <w:sz w:val="22"/>
              </w:rPr>
              <w:t>4,0</w:t>
            </w:r>
          </w:p>
        </w:tc>
      </w:tr>
      <w:tr w:rsidR="00E95FB1" w:rsidRPr="002045F5" w:rsidTr="001B3967">
        <w:trPr>
          <w:trHeight w:val="150"/>
        </w:trPr>
        <w:tc>
          <w:tcPr>
            <w:tcW w:w="2836" w:type="dxa"/>
            <w:shd w:val="clear" w:color="auto" w:fill="C6D9F1" w:themeFill="text2" w:themeFillTint="33"/>
          </w:tcPr>
          <w:p w:rsidR="00E95FB1" w:rsidRPr="002045F5" w:rsidRDefault="00E95FB1" w:rsidP="001B3967">
            <w:pPr>
              <w:rPr>
                <w:b/>
                <w:sz w:val="22"/>
              </w:rPr>
            </w:pPr>
          </w:p>
        </w:tc>
        <w:tc>
          <w:tcPr>
            <w:tcW w:w="3685" w:type="dxa"/>
            <w:gridSpan w:val="3"/>
          </w:tcPr>
          <w:p w:rsidR="00E95FB1" w:rsidRPr="002045F5" w:rsidRDefault="00E95FB1" w:rsidP="001B3967">
            <w:pPr>
              <w:rPr>
                <w:sz w:val="22"/>
              </w:rPr>
            </w:pPr>
            <w:r w:rsidRPr="002045F5">
              <w:rPr>
                <w:sz w:val="22"/>
              </w:rPr>
              <w:t>Середня кількість послуг наданих за місяць</w:t>
            </w:r>
          </w:p>
        </w:tc>
        <w:tc>
          <w:tcPr>
            <w:tcW w:w="1843" w:type="dxa"/>
            <w:gridSpan w:val="2"/>
            <w:vAlign w:val="center"/>
          </w:tcPr>
          <w:p w:rsidR="00E95FB1" w:rsidRPr="002045F5" w:rsidRDefault="00E95FB1" w:rsidP="001B3967">
            <w:pPr>
              <w:jc w:val="left"/>
              <w:rPr>
                <w:sz w:val="22"/>
              </w:rPr>
            </w:pPr>
            <w:r w:rsidRPr="002045F5">
              <w:rPr>
                <w:sz w:val="22"/>
              </w:rPr>
              <w:t>одиниць</w:t>
            </w:r>
          </w:p>
        </w:tc>
        <w:tc>
          <w:tcPr>
            <w:tcW w:w="1595" w:type="dxa"/>
            <w:gridSpan w:val="2"/>
            <w:vAlign w:val="center"/>
          </w:tcPr>
          <w:p w:rsidR="00E95FB1" w:rsidRPr="002045F5" w:rsidRDefault="00E95FB1" w:rsidP="001B3967">
            <w:pPr>
              <w:jc w:val="left"/>
              <w:rPr>
                <w:sz w:val="22"/>
              </w:rPr>
            </w:pPr>
            <w:r w:rsidRPr="002045F5">
              <w:rPr>
                <w:sz w:val="22"/>
              </w:rPr>
              <w:t>3800</w:t>
            </w:r>
          </w:p>
        </w:tc>
      </w:tr>
      <w:tr w:rsidR="00E95FB1" w:rsidRPr="002045F5" w:rsidTr="001B3967">
        <w:tc>
          <w:tcPr>
            <w:tcW w:w="2836" w:type="dxa"/>
            <w:shd w:val="clear" w:color="auto" w:fill="C6D9F1" w:themeFill="text2" w:themeFillTint="33"/>
          </w:tcPr>
          <w:p w:rsidR="00E95FB1" w:rsidRPr="002045F5" w:rsidRDefault="00E95FB1" w:rsidP="001B3967">
            <w:pPr>
              <w:rPr>
                <w:b/>
                <w:sz w:val="22"/>
              </w:rPr>
            </w:pPr>
            <w:r w:rsidRPr="002045F5">
              <w:rPr>
                <w:b/>
                <w:sz w:val="22"/>
              </w:rPr>
              <w:t xml:space="preserve">Ключові заходи проекту: </w:t>
            </w:r>
          </w:p>
          <w:p w:rsidR="00E95FB1" w:rsidRPr="002045F5" w:rsidRDefault="00E95FB1" w:rsidP="001B3967">
            <w:pPr>
              <w:rPr>
                <w:b/>
                <w:sz w:val="22"/>
              </w:rPr>
            </w:pPr>
          </w:p>
        </w:tc>
        <w:tc>
          <w:tcPr>
            <w:tcW w:w="7123" w:type="dxa"/>
            <w:gridSpan w:val="7"/>
          </w:tcPr>
          <w:p w:rsidR="00E95FB1" w:rsidRPr="002045F5" w:rsidRDefault="00E95FB1" w:rsidP="000303D7">
            <w:pPr>
              <w:pStyle w:val="a7"/>
              <w:numPr>
                <w:ilvl w:val="0"/>
                <w:numId w:val="65"/>
              </w:numPr>
              <w:jc w:val="left"/>
              <w:rPr>
                <w:sz w:val="22"/>
              </w:rPr>
            </w:pPr>
            <w:r w:rsidRPr="002045F5">
              <w:rPr>
                <w:sz w:val="22"/>
              </w:rPr>
              <w:t>Проведення обстеження будівель та приміщень.</w:t>
            </w:r>
          </w:p>
          <w:p w:rsidR="00E95FB1" w:rsidRPr="002045F5" w:rsidRDefault="00E95FB1" w:rsidP="000303D7">
            <w:pPr>
              <w:pStyle w:val="a7"/>
              <w:numPr>
                <w:ilvl w:val="0"/>
                <w:numId w:val="65"/>
              </w:numPr>
              <w:jc w:val="left"/>
              <w:rPr>
                <w:sz w:val="22"/>
              </w:rPr>
            </w:pPr>
            <w:r w:rsidRPr="002045F5">
              <w:rPr>
                <w:sz w:val="22"/>
              </w:rPr>
              <w:t>Укладення договорів.</w:t>
            </w:r>
          </w:p>
          <w:p w:rsidR="00E95FB1" w:rsidRPr="002045F5" w:rsidRDefault="00E95FB1" w:rsidP="000303D7">
            <w:pPr>
              <w:widowControl w:val="0"/>
              <w:numPr>
                <w:ilvl w:val="0"/>
                <w:numId w:val="65"/>
              </w:numPr>
              <w:autoSpaceDE w:val="0"/>
              <w:autoSpaceDN w:val="0"/>
              <w:adjustRightInd w:val="0"/>
              <w:rPr>
                <w:sz w:val="22"/>
              </w:rPr>
            </w:pPr>
            <w:r w:rsidRPr="002045F5">
              <w:rPr>
                <w:sz w:val="22"/>
              </w:rPr>
              <w:t xml:space="preserve">Складання </w:t>
            </w:r>
            <w:proofErr w:type="spellStart"/>
            <w:r w:rsidRPr="002045F5">
              <w:rPr>
                <w:sz w:val="22"/>
              </w:rPr>
              <w:t>проєктно</w:t>
            </w:r>
            <w:proofErr w:type="spellEnd"/>
            <w:r w:rsidRPr="002045F5">
              <w:rPr>
                <w:sz w:val="22"/>
              </w:rPr>
              <w:t>-кошторисної документації.</w:t>
            </w:r>
          </w:p>
          <w:p w:rsidR="00E95FB1" w:rsidRPr="002045F5" w:rsidRDefault="00E95FB1" w:rsidP="000303D7">
            <w:pPr>
              <w:widowControl w:val="0"/>
              <w:numPr>
                <w:ilvl w:val="0"/>
                <w:numId w:val="65"/>
              </w:numPr>
              <w:autoSpaceDE w:val="0"/>
              <w:autoSpaceDN w:val="0"/>
              <w:adjustRightInd w:val="0"/>
              <w:rPr>
                <w:sz w:val="22"/>
              </w:rPr>
            </w:pPr>
            <w:r w:rsidRPr="002045F5">
              <w:rPr>
                <w:sz w:val="22"/>
              </w:rPr>
              <w:t xml:space="preserve">Будівництво нової двоповерхової будівлі під Центр комплексної реабілітації для дітей та осіб з інвалідністю загальною площею 3000 </w:t>
            </w:r>
            <w:proofErr w:type="spellStart"/>
            <w:r w:rsidRPr="002045F5">
              <w:rPr>
                <w:sz w:val="22"/>
              </w:rPr>
              <w:t>кв.м</w:t>
            </w:r>
            <w:proofErr w:type="spellEnd"/>
            <w:r w:rsidRPr="002045F5">
              <w:rPr>
                <w:sz w:val="22"/>
              </w:rPr>
              <w:t xml:space="preserve">. з ігровим інклюзивним майданчиком та </w:t>
            </w:r>
            <w:proofErr w:type="spellStart"/>
            <w:r w:rsidRPr="002045F5">
              <w:rPr>
                <w:sz w:val="22"/>
              </w:rPr>
              <w:t>екотеплицею</w:t>
            </w:r>
            <w:proofErr w:type="spellEnd"/>
            <w:r w:rsidRPr="002045F5">
              <w:rPr>
                <w:sz w:val="22"/>
              </w:rPr>
              <w:t xml:space="preserve"> на території;</w:t>
            </w:r>
          </w:p>
          <w:p w:rsidR="00E95FB1" w:rsidRPr="002045F5" w:rsidRDefault="00E95FB1" w:rsidP="000303D7">
            <w:pPr>
              <w:widowControl w:val="0"/>
              <w:numPr>
                <w:ilvl w:val="0"/>
                <w:numId w:val="65"/>
              </w:numPr>
              <w:autoSpaceDE w:val="0"/>
              <w:autoSpaceDN w:val="0"/>
              <w:adjustRightInd w:val="0"/>
              <w:rPr>
                <w:sz w:val="22"/>
              </w:rPr>
            </w:pPr>
            <w:r w:rsidRPr="002045F5">
              <w:rPr>
                <w:sz w:val="22"/>
              </w:rPr>
              <w:t>Придбання матеріально – технічного обладнання;</w:t>
            </w:r>
          </w:p>
          <w:p w:rsidR="00E95FB1" w:rsidRPr="002045F5" w:rsidRDefault="00E95FB1" w:rsidP="000303D7">
            <w:pPr>
              <w:widowControl w:val="0"/>
              <w:numPr>
                <w:ilvl w:val="0"/>
                <w:numId w:val="65"/>
              </w:numPr>
              <w:autoSpaceDE w:val="0"/>
              <w:autoSpaceDN w:val="0"/>
              <w:adjustRightInd w:val="0"/>
              <w:rPr>
                <w:sz w:val="22"/>
              </w:rPr>
            </w:pPr>
            <w:r w:rsidRPr="002045F5">
              <w:rPr>
                <w:sz w:val="22"/>
              </w:rPr>
              <w:t>Визначення кількості осіб, яким необхідно надати соціальну допомогу</w:t>
            </w:r>
          </w:p>
          <w:p w:rsidR="00E95FB1" w:rsidRPr="002045F5" w:rsidRDefault="00E95FB1" w:rsidP="000303D7">
            <w:pPr>
              <w:widowControl w:val="0"/>
              <w:numPr>
                <w:ilvl w:val="0"/>
                <w:numId w:val="65"/>
              </w:numPr>
              <w:autoSpaceDE w:val="0"/>
              <w:autoSpaceDN w:val="0"/>
              <w:adjustRightInd w:val="0"/>
              <w:rPr>
                <w:sz w:val="22"/>
              </w:rPr>
            </w:pPr>
            <w:r w:rsidRPr="002045F5">
              <w:rPr>
                <w:sz w:val="22"/>
              </w:rPr>
              <w:t xml:space="preserve">Розширення напрямків роботи, запровадження послуг </w:t>
            </w:r>
            <w:r w:rsidR="00F11D1A" w:rsidRPr="002045F5">
              <w:rPr>
                <w:sz w:val="22"/>
              </w:rPr>
              <w:t>«</w:t>
            </w:r>
            <w:r w:rsidRPr="002045F5">
              <w:rPr>
                <w:sz w:val="22"/>
              </w:rPr>
              <w:t>денний догляд для дітей з інвалідністю</w:t>
            </w:r>
            <w:r w:rsidR="00F11D1A" w:rsidRPr="002045F5">
              <w:rPr>
                <w:sz w:val="22"/>
              </w:rPr>
              <w:t>»</w:t>
            </w:r>
            <w:r w:rsidRPr="002045F5">
              <w:rPr>
                <w:sz w:val="22"/>
              </w:rPr>
              <w:t xml:space="preserve">, </w:t>
            </w:r>
            <w:r w:rsidR="00F11D1A" w:rsidRPr="002045F5">
              <w:rPr>
                <w:sz w:val="22"/>
              </w:rPr>
              <w:t>«</w:t>
            </w:r>
            <w:r w:rsidRPr="002045F5">
              <w:rPr>
                <w:sz w:val="22"/>
              </w:rPr>
              <w:t>догляд вдома</w:t>
            </w:r>
            <w:r w:rsidR="00F11D1A" w:rsidRPr="002045F5">
              <w:rPr>
                <w:sz w:val="22"/>
              </w:rPr>
              <w:t>»</w:t>
            </w:r>
            <w:r w:rsidRPr="002045F5">
              <w:rPr>
                <w:sz w:val="22"/>
              </w:rPr>
              <w:t xml:space="preserve"> </w:t>
            </w:r>
            <w:r w:rsidR="00F11D1A" w:rsidRPr="002045F5">
              <w:rPr>
                <w:sz w:val="22"/>
              </w:rPr>
              <w:t>«</w:t>
            </w:r>
            <w:r w:rsidRPr="002045F5">
              <w:rPr>
                <w:sz w:val="22"/>
              </w:rPr>
              <w:t>трудові майстерні та тепличне господарство для підлітків та молоді з інвалідністю</w:t>
            </w:r>
            <w:r w:rsidR="00F11D1A" w:rsidRPr="002045F5">
              <w:rPr>
                <w:sz w:val="22"/>
              </w:rPr>
              <w:t>»</w:t>
            </w:r>
            <w:r w:rsidRPr="002045F5">
              <w:rPr>
                <w:sz w:val="22"/>
              </w:rPr>
              <w:t>;</w:t>
            </w:r>
          </w:p>
          <w:p w:rsidR="00E95FB1" w:rsidRPr="002045F5" w:rsidRDefault="00E95FB1" w:rsidP="000303D7">
            <w:pPr>
              <w:widowControl w:val="0"/>
              <w:numPr>
                <w:ilvl w:val="0"/>
                <w:numId w:val="65"/>
              </w:numPr>
              <w:autoSpaceDE w:val="0"/>
              <w:autoSpaceDN w:val="0"/>
              <w:adjustRightInd w:val="0"/>
              <w:rPr>
                <w:sz w:val="22"/>
              </w:rPr>
            </w:pPr>
            <w:r w:rsidRPr="002045F5">
              <w:rPr>
                <w:sz w:val="22"/>
              </w:rPr>
              <w:t xml:space="preserve">Надання послуги </w:t>
            </w:r>
            <w:r w:rsidR="00F11D1A" w:rsidRPr="002045F5">
              <w:rPr>
                <w:sz w:val="22"/>
              </w:rPr>
              <w:t>«</w:t>
            </w:r>
            <w:r w:rsidRPr="002045F5">
              <w:rPr>
                <w:sz w:val="22"/>
              </w:rPr>
              <w:t>транспортування для дітей з інвалідністю</w:t>
            </w:r>
            <w:r w:rsidR="00F11D1A" w:rsidRPr="002045F5">
              <w:rPr>
                <w:sz w:val="22"/>
              </w:rPr>
              <w:t>»</w:t>
            </w:r>
            <w:r w:rsidRPr="002045F5">
              <w:rPr>
                <w:sz w:val="22"/>
              </w:rPr>
              <w:t>;</w:t>
            </w:r>
          </w:p>
          <w:p w:rsidR="00E95FB1" w:rsidRPr="002045F5" w:rsidRDefault="00E95FB1" w:rsidP="000303D7">
            <w:pPr>
              <w:widowControl w:val="0"/>
              <w:numPr>
                <w:ilvl w:val="0"/>
                <w:numId w:val="65"/>
              </w:numPr>
              <w:autoSpaceDE w:val="0"/>
              <w:autoSpaceDN w:val="0"/>
              <w:adjustRightInd w:val="0"/>
              <w:rPr>
                <w:sz w:val="22"/>
              </w:rPr>
            </w:pPr>
            <w:r w:rsidRPr="002045F5">
              <w:rPr>
                <w:sz w:val="22"/>
              </w:rPr>
              <w:t>Збільшення штату фахівців Центру.</w:t>
            </w:r>
          </w:p>
        </w:tc>
      </w:tr>
      <w:tr w:rsidR="00E95FB1" w:rsidRPr="002045F5" w:rsidTr="001B3967">
        <w:trPr>
          <w:trHeight w:val="360"/>
        </w:trPr>
        <w:tc>
          <w:tcPr>
            <w:tcW w:w="2836" w:type="dxa"/>
            <w:vMerge w:val="restart"/>
            <w:shd w:val="clear" w:color="auto" w:fill="C6D9F1" w:themeFill="text2" w:themeFillTint="33"/>
          </w:tcPr>
          <w:p w:rsidR="00E95FB1" w:rsidRPr="002045F5" w:rsidRDefault="00E95FB1" w:rsidP="001B3967">
            <w:pPr>
              <w:rPr>
                <w:b/>
                <w:sz w:val="22"/>
              </w:rPr>
            </w:pPr>
            <w:r w:rsidRPr="002045F5">
              <w:rPr>
                <w:b/>
                <w:sz w:val="22"/>
              </w:rPr>
              <w:t xml:space="preserve">Орієнтовний обсяг та джерела фінансування, тис. грн. </w:t>
            </w:r>
          </w:p>
          <w:p w:rsidR="00E95FB1" w:rsidRPr="002045F5" w:rsidRDefault="00E95FB1" w:rsidP="001B3967">
            <w:pPr>
              <w:rPr>
                <w:b/>
                <w:sz w:val="22"/>
              </w:rPr>
            </w:pPr>
          </w:p>
        </w:tc>
        <w:tc>
          <w:tcPr>
            <w:tcW w:w="1559" w:type="dxa"/>
          </w:tcPr>
          <w:p w:rsidR="00E95FB1" w:rsidRPr="002045F5" w:rsidRDefault="00E95FB1" w:rsidP="001B3967">
            <w:pPr>
              <w:rPr>
                <w:sz w:val="22"/>
              </w:rPr>
            </w:pPr>
            <w:r w:rsidRPr="002045F5">
              <w:rPr>
                <w:sz w:val="22"/>
              </w:rPr>
              <w:t>Державний бюджет</w:t>
            </w:r>
          </w:p>
        </w:tc>
        <w:tc>
          <w:tcPr>
            <w:tcW w:w="1418" w:type="dxa"/>
          </w:tcPr>
          <w:p w:rsidR="00E95FB1" w:rsidRPr="002045F5" w:rsidRDefault="00E95FB1" w:rsidP="001B3967">
            <w:pPr>
              <w:rPr>
                <w:sz w:val="22"/>
              </w:rPr>
            </w:pPr>
            <w:r w:rsidRPr="002045F5">
              <w:rPr>
                <w:sz w:val="22"/>
              </w:rPr>
              <w:t>Місцевий бюджет</w:t>
            </w:r>
          </w:p>
        </w:tc>
        <w:tc>
          <w:tcPr>
            <w:tcW w:w="2976" w:type="dxa"/>
            <w:gridSpan w:val="4"/>
          </w:tcPr>
          <w:p w:rsidR="00E95FB1" w:rsidRPr="002045F5" w:rsidRDefault="00E95FB1" w:rsidP="001B3967">
            <w:pPr>
              <w:rPr>
                <w:sz w:val="22"/>
              </w:rPr>
            </w:pPr>
            <w:r w:rsidRPr="002045F5">
              <w:rPr>
                <w:sz w:val="22"/>
              </w:rPr>
              <w:t>Інші джерела</w:t>
            </w:r>
          </w:p>
        </w:tc>
        <w:tc>
          <w:tcPr>
            <w:tcW w:w="1170" w:type="dxa"/>
          </w:tcPr>
          <w:p w:rsidR="00E95FB1" w:rsidRPr="002045F5" w:rsidRDefault="00E95FB1" w:rsidP="001B3967">
            <w:pPr>
              <w:rPr>
                <w:sz w:val="22"/>
              </w:rPr>
            </w:pPr>
            <w:r w:rsidRPr="002045F5">
              <w:rPr>
                <w:sz w:val="22"/>
              </w:rPr>
              <w:t>Всього</w:t>
            </w:r>
          </w:p>
        </w:tc>
      </w:tr>
      <w:tr w:rsidR="00E95FB1" w:rsidRPr="002045F5" w:rsidTr="001B3967">
        <w:trPr>
          <w:trHeight w:val="225"/>
        </w:trPr>
        <w:tc>
          <w:tcPr>
            <w:tcW w:w="2836" w:type="dxa"/>
            <w:vMerge/>
            <w:shd w:val="clear" w:color="auto" w:fill="C6D9F1" w:themeFill="text2" w:themeFillTint="33"/>
          </w:tcPr>
          <w:p w:rsidR="00E95FB1" w:rsidRPr="002045F5" w:rsidRDefault="00E95FB1" w:rsidP="001B3967">
            <w:pPr>
              <w:rPr>
                <w:sz w:val="22"/>
              </w:rPr>
            </w:pPr>
          </w:p>
        </w:tc>
        <w:tc>
          <w:tcPr>
            <w:tcW w:w="1559" w:type="dxa"/>
            <w:vMerge w:val="restart"/>
          </w:tcPr>
          <w:p w:rsidR="00E95FB1" w:rsidRPr="002045F5" w:rsidRDefault="00E95FB1" w:rsidP="001B3967">
            <w:pPr>
              <w:rPr>
                <w:sz w:val="22"/>
              </w:rPr>
            </w:pPr>
          </w:p>
          <w:p w:rsidR="00E95FB1" w:rsidRPr="002045F5" w:rsidRDefault="002E083F" w:rsidP="001B3967">
            <w:pPr>
              <w:rPr>
                <w:sz w:val="22"/>
              </w:rPr>
            </w:pPr>
            <w:r w:rsidRPr="002045F5">
              <w:rPr>
                <w:sz w:val="22"/>
              </w:rPr>
              <w:t>93976,848</w:t>
            </w:r>
          </w:p>
        </w:tc>
        <w:tc>
          <w:tcPr>
            <w:tcW w:w="1418" w:type="dxa"/>
            <w:vMerge w:val="restart"/>
          </w:tcPr>
          <w:p w:rsidR="00E95FB1" w:rsidRPr="002045F5" w:rsidRDefault="00E95FB1" w:rsidP="001B3967">
            <w:pPr>
              <w:rPr>
                <w:sz w:val="22"/>
              </w:rPr>
            </w:pPr>
            <w:r w:rsidRPr="002045F5">
              <w:rPr>
                <w:sz w:val="22"/>
              </w:rPr>
              <w:t>-</w:t>
            </w:r>
          </w:p>
        </w:tc>
        <w:tc>
          <w:tcPr>
            <w:tcW w:w="1275" w:type="dxa"/>
            <w:gridSpan w:val="2"/>
          </w:tcPr>
          <w:p w:rsidR="00E95FB1" w:rsidRPr="002045F5" w:rsidRDefault="00E95FB1" w:rsidP="001B3967">
            <w:pPr>
              <w:rPr>
                <w:sz w:val="22"/>
              </w:rPr>
            </w:pPr>
            <w:r w:rsidRPr="002045F5">
              <w:rPr>
                <w:sz w:val="22"/>
              </w:rPr>
              <w:t>Обсяг</w:t>
            </w:r>
          </w:p>
        </w:tc>
        <w:tc>
          <w:tcPr>
            <w:tcW w:w="1701" w:type="dxa"/>
            <w:gridSpan w:val="2"/>
          </w:tcPr>
          <w:p w:rsidR="00E95FB1" w:rsidRPr="002045F5" w:rsidRDefault="00E95FB1" w:rsidP="001B3967">
            <w:pPr>
              <w:rPr>
                <w:sz w:val="22"/>
              </w:rPr>
            </w:pPr>
            <w:r w:rsidRPr="002045F5">
              <w:rPr>
                <w:sz w:val="22"/>
              </w:rPr>
              <w:t>Назва джерела</w:t>
            </w:r>
          </w:p>
        </w:tc>
        <w:tc>
          <w:tcPr>
            <w:tcW w:w="1170" w:type="dxa"/>
            <w:vMerge w:val="restart"/>
          </w:tcPr>
          <w:p w:rsidR="00E95FB1" w:rsidRPr="002045F5" w:rsidRDefault="00E95FB1" w:rsidP="001B3967">
            <w:pPr>
              <w:rPr>
                <w:sz w:val="22"/>
              </w:rPr>
            </w:pPr>
          </w:p>
          <w:p w:rsidR="00E95FB1" w:rsidRPr="002045F5" w:rsidRDefault="002E083F" w:rsidP="001B3967">
            <w:pPr>
              <w:rPr>
                <w:sz w:val="22"/>
              </w:rPr>
            </w:pPr>
            <w:r w:rsidRPr="002045F5">
              <w:rPr>
                <w:sz w:val="22"/>
              </w:rPr>
              <w:t>134252,64</w:t>
            </w:r>
          </w:p>
        </w:tc>
      </w:tr>
      <w:tr w:rsidR="00E95FB1" w:rsidRPr="002045F5" w:rsidTr="001B3967">
        <w:trPr>
          <w:trHeight w:val="300"/>
        </w:trPr>
        <w:tc>
          <w:tcPr>
            <w:tcW w:w="2836" w:type="dxa"/>
            <w:vMerge/>
            <w:shd w:val="clear" w:color="auto" w:fill="C6D9F1" w:themeFill="text2" w:themeFillTint="33"/>
          </w:tcPr>
          <w:p w:rsidR="00E95FB1" w:rsidRPr="002045F5" w:rsidRDefault="00E95FB1" w:rsidP="001B3967">
            <w:pPr>
              <w:rPr>
                <w:sz w:val="22"/>
              </w:rPr>
            </w:pPr>
          </w:p>
        </w:tc>
        <w:tc>
          <w:tcPr>
            <w:tcW w:w="1559" w:type="dxa"/>
            <w:vMerge/>
          </w:tcPr>
          <w:p w:rsidR="00E95FB1" w:rsidRPr="002045F5" w:rsidRDefault="00E95FB1" w:rsidP="001B3967">
            <w:pPr>
              <w:rPr>
                <w:sz w:val="22"/>
              </w:rPr>
            </w:pPr>
          </w:p>
        </w:tc>
        <w:tc>
          <w:tcPr>
            <w:tcW w:w="1418" w:type="dxa"/>
            <w:vMerge/>
          </w:tcPr>
          <w:p w:rsidR="00E95FB1" w:rsidRPr="002045F5" w:rsidRDefault="00E95FB1" w:rsidP="001B3967">
            <w:pPr>
              <w:rPr>
                <w:sz w:val="22"/>
              </w:rPr>
            </w:pPr>
          </w:p>
        </w:tc>
        <w:tc>
          <w:tcPr>
            <w:tcW w:w="1275" w:type="dxa"/>
            <w:gridSpan w:val="2"/>
          </w:tcPr>
          <w:p w:rsidR="00E95FB1" w:rsidRPr="002045F5" w:rsidRDefault="002E083F" w:rsidP="001B3967">
            <w:pPr>
              <w:rPr>
                <w:sz w:val="22"/>
              </w:rPr>
            </w:pPr>
            <w:r w:rsidRPr="002045F5">
              <w:rPr>
                <w:sz w:val="22"/>
              </w:rPr>
              <w:t>40275,792</w:t>
            </w:r>
          </w:p>
        </w:tc>
        <w:tc>
          <w:tcPr>
            <w:tcW w:w="1701" w:type="dxa"/>
            <w:gridSpan w:val="2"/>
          </w:tcPr>
          <w:p w:rsidR="00E95FB1" w:rsidRPr="002045F5" w:rsidRDefault="00E95FB1" w:rsidP="001B3967">
            <w:pPr>
              <w:rPr>
                <w:sz w:val="22"/>
              </w:rPr>
            </w:pPr>
            <w:r w:rsidRPr="002045F5">
              <w:rPr>
                <w:sz w:val="22"/>
              </w:rPr>
              <w:t>Міжнародні інвестиції, кошти приватних осіб</w:t>
            </w:r>
          </w:p>
        </w:tc>
        <w:tc>
          <w:tcPr>
            <w:tcW w:w="1170" w:type="dxa"/>
            <w:vMerge/>
          </w:tcPr>
          <w:p w:rsidR="00E95FB1" w:rsidRPr="002045F5" w:rsidRDefault="00E95FB1" w:rsidP="001B3967">
            <w:pPr>
              <w:rPr>
                <w:sz w:val="22"/>
              </w:rPr>
            </w:pPr>
          </w:p>
        </w:tc>
      </w:tr>
    </w:tbl>
    <w:p w:rsidR="00E95FB1" w:rsidRPr="002045F5" w:rsidRDefault="00E95FB1" w:rsidP="00E95FB1">
      <w:pPr>
        <w:rPr>
          <w:sz w:val="22"/>
        </w:rPr>
      </w:pPr>
    </w:p>
    <w:p w:rsidR="00E95FB1" w:rsidRPr="002045F5" w:rsidRDefault="00E95FB1" w:rsidP="00E95FB1">
      <w:pPr>
        <w:rPr>
          <w:sz w:val="22"/>
        </w:rPr>
      </w:pPr>
    </w:p>
    <w:tbl>
      <w:tblPr>
        <w:tblStyle w:val="11"/>
        <w:tblW w:w="0" w:type="auto"/>
        <w:tblInd w:w="-176" w:type="dxa"/>
        <w:tblLook w:val="04A0" w:firstRow="1" w:lastRow="0" w:firstColumn="1" w:lastColumn="0" w:noHBand="0" w:noVBand="1"/>
      </w:tblPr>
      <w:tblGrid>
        <w:gridCol w:w="2707"/>
        <w:gridCol w:w="1600"/>
        <w:gridCol w:w="1290"/>
        <w:gridCol w:w="598"/>
        <w:gridCol w:w="677"/>
        <w:gridCol w:w="1233"/>
        <w:gridCol w:w="262"/>
        <w:gridCol w:w="1295"/>
      </w:tblGrid>
      <w:tr w:rsidR="00E95FB1" w:rsidRPr="002045F5" w:rsidTr="001B3967">
        <w:tc>
          <w:tcPr>
            <w:tcW w:w="2836" w:type="dxa"/>
            <w:shd w:val="clear" w:color="auto" w:fill="C6D9F1" w:themeFill="text2" w:themeFillTint="33"/>
          </w:tcPr>
          <w:p w:rsidR="00E95FB1" w:rsidRPr="002045F5" w:rsidRDefault="00E95FB1" w:rsidP="001B3967">
            <w:pPr>
              <w:jc w:val="center"/>
              <w:rPr>
                <w:b/>
                <w:sz w:val="22"/>
                <w:lang w:val="uk-UA"/>
              </w:rPr>
            </w:pPr>
            <w:r w:rsidRPr="002045F5">
              <w:rPr>
                <w:b/>
                <w:sz w:val="22"/>
                <w:lang w:val="uk-UA"/>
              </w:rPr>
              <w:t>Оперативна ціль/</w:t>
            </w:r>
          </w:p>
          <w:p w:rsidR="00E95FB1" w:rsidRPr="002045F5" w:rsidRDefault="00E95FB1" w:rsidP="001B3967">
            <w:pPr>
              <w:jc w:val="center"/>
              <w:rPr>
                <w:b/>
                <w:sz w:val="22"/>
                <w:lang w:val="uk-UA"/>
              </w:rPr>
            </w:pPr>
            <w:r w:rsidRPr="002045F5">
              <w:rPr>
                <w:b/>
                <w:sz w:val="22"/>
                <w:lang w:val="uk-UA"/>
              </w:rPr>
              <w:t>завдання</w:t>
            </w:r>
          </w:p>
        </w:tc>
        <w:tc>
          <w:tcPr>
            <w:tcW w:w="7051" w:type="dxa"/>
            <w:gridSpan w:val="7"/>
          </w:tcPr>
          <w:p w:rsidR="00E95FB1" w:rsidRPr="002045F5" w:rsidRDefault="00F11D1A" w:rsidP="001B3967">
            <w:pPr>
              <w:rPr>
                <w:sz w:val="22"/>
                <w:lang w:val="uk-UA"/>
              </w:rPr>
            </w:pPr>
            <w:proofErr w:type="spellStart"/>
            <w:r w:rsidRPr="002045F5">
              <w:rPr>
                <w:sz w:val="22"/>
              </w:rPr>
              <w:t>Людський</w:t>
            </w:r>
            <w:proofErr w:type="spellEnd"/>
            <w:r w:rsidRPr="002045F5">
              <w:rPr>
                <w:sz w:val="22"/>
              </w:rPr>
              <w:t xml:space="preserve"> </w:t>
            </w:r>
            <w:proofErr w:type="spellStart"/>
            <w:r w:rsidRPr="002045F5">
              <w:rPr>
                <w:sz w:val="22"/>
              </w:rPr>
              <w:t>розвиток</w:t>
            </w:r>
            <w:proofErr w:type="spellEnd"/>
            <w:r w:rsidRPr="002045F5">
              <w:rPr>
                <w:sz w:val="22"/>
              </w:rPr>
              <w:t xml:space="preserve"> через </w:t>
            </w:r>
            <w:proofErr w:type="spellStart"/>
            <w:r w:rsidRPr="002045F5">
              <w:rPr>
                <w:sz w:val="22"/>
              </w:rPr>
              <w:t>інновації</w:t>
            </w:r>
            <w:proofErr w:type="spellEnd"/>
            <w:r w:rsidRPr="002045F5">
              <w:rPr>
                <w:sz w:val="22"/>
              </w:rPr>
              <w:t xml:space="preserve"> </w:t>
            </w:r>
            <w:proofErr w:type="spellStart"/>
            <w:r w:rsidRPr="002045F5">
              <w:rPr>
                <w:sz w:val="22"/>
              </w:rPr>
              <w:t>управління</w:t>
            </w:r>
            <w:proofErr w:type="spellEnd"/>
            <w:r w:rsidRPr="002045F5">
              <w:rPr>
                <w:sz w:val="22"/>
              </w:rPr>
              <w:t xml:space="preserve"> </w:t>
            </w:r>
            <w:proofErr w:type="gramStart"/>
            <w:r w:rsidRPr="002045F5">
              <w:rPr>
                <w:sz w:val="22"/>
              </w:rPr>
              <w:t xml:space="preserve">та  </w:t>
            </w:r>
            <w:proofErr w:type="spellStart"/>
            <w:r w:rsidRPr="002045F5">
              <w:rPr>
                <w:sz w:val="22"/>
              </w:rPr>
              <w:t>довіру</w:t>
            </w:r>
            <w:proofErr w:type="spellEnd"/>
            <w:proofErr w:type="gramEnd"/>
            <w:r w:rsidRPr="002045F5">
              <w:rPr>
                <w:sz w:val="22"/>
              </w:rPr>
              <w:t xml:space="preserve"> до </w:t>
            </w:r>
            <w:proofErr w:type="spellStart"/>
            <w:r w:rsidRPr="002045F5">
              <w:rPr>
                <w:sz w:val="22"/>
              </w:rPr>
              <w:t>влади</w:t>
            </w:r>
            <w:proofErr w:type="spellEnd"/>
            <w:r w:rsidRPr="002045F5">
              <w:rPr>
                <w:sz w:val="22"/>
              </w:rPr>
              <w:t xml:space="preserve">. </w:t>
            </w:r>
            <w:proofErr w:type="spellStart"/>
            <w:r w:rsidRPr="002045F5">
              <w:rPr>
                <w:sz w:val="22"/>
              </w:rPr>
              <w:t>Соціальна</w:t>
            </w:r>
            <w:proofErr w:type="spellEnd"/>
            <w:r w:rsidRPr="002045F5">
              <w:rPr>
                <w:sz w:val="22"/>
              </w:rPr>
              <w:t xml:space="preserve"> </w:t>
            </w:r>
            <w:proofErr w:type="spellStart"/>
            <w:r w:rsidRPr="002045F5">
              <w:rPr>
                <w:sz w:val="22"/>
              </w:rPr>
              <w:t>справедливість</w:t>
            </w:r>
            <w:proofErr w:type="spellEnd"/>
            <w:r w:rsidRPr="002045F5">
              <w:rPr>
                <w:sz w:val="22"/>
              </w:rPr>
              <w:t xml:space="preserve"> та </w:t>
            </w:r>
            <w:proofErr w:type="spellStart"/>
            <w:r w:rsidRPr="002045F5">
              <w:rPr>
                <w:sz w:val="22"/>
              </w:rPr>
              <w:t>захист</w:t>
            </w:r>
            <w:proofErr w:type="spellEnd"/>
            <w:r w:rsidRPr="002045F5">
              <w:rPr>
                <w:sz w:val="22"/>
              </w:rPr>
              <w:t xml:space="preserve">, </w:t>
            </w:r>
            <w:proofErr w:type="spellStart"/>
            <w:r w:rsidRPr="002045F5">
              <w:rPr>
                <w:sz w:val="22"/>
              </w:rPr>
              <w:t>забезпечення</w:t>
            </w:r>
            <w:proofErr w:type="spellEnd"/>
            <w:r w:rsidRPr="002045F5">
              <w:rPr>
                <w:sz w:val="22"/>
              </w:rPr>
              <w:t xml:space="preserve"> </w:t>
            </w:r>
            <w:proofErr w:type="spellStart"/>
            <w:r w:rsidRPr="002045F5">
              <w:rPr>
                <w:sz w:val="22"/>
              </w:rPr>
              <w:t>рівних</w:t>
            </w:r>
            <w:proofErr w:type="spellEnd"/>
            <w:r w:rsidRPr="002045F5">
              <w:rPr>
                <w:sz w:val="22"/>
              </w:rPr>
              <w:t xml:space="preserve"> прав та </w:t>
            </w:r>
            <w:proofErr w:type="spellStart"/>
            <w:r w:rsidRPr="002045F5">
              <w:rPr>
                <w:sz w:val="22"/>
              </w:rPr>
              <w:t>можливостей</w:t>
            </w:r>
            <w:proofErr w:type="spellEnd"/>
            <w:r w:rsidRPr="002045F5">
              <w:rPr>
                <w:sz w:val="22"/>
              </w:rPr>
              <w:t xml:space="preserve"> </w:t>
            </w:r>
            <w:proofErr w:type="spellStart"/>
            <w:r w:rsidRPr="002045F5">
              <w:rPr>
                <w:sz w:val="22"/>
              </w:rPr>
              <w:t>жінок</w:t>
            </w:r>
            <w:proofErr w:type="spellEnd"/>
            <w:r w:rsidRPr="002045F5">
              <w:rPr>
                <w:sz w:val="22"/>
              </w:rPr>
              <w:t xml:space="preserve"> і </w:t>
            </w:r>
            <w:proofErr w:type="spellStart"/>
            <w:r w:rsidRPr="002045F5">
              <w:rPr>
                <w:sz w:val="22"/>
              </w:rPr>
              <w:t>чоловіків</w:t>
            </w:r>
            <w:proofErr w:type="spellEnd"/>
          </w:p>
        </w:tc>
      </w:tr>
      <w:tr w:rsidR="00E95FB1" w:rsidRPr="002045F5" w:rsidTr="001B3967">
        <w:tc>
          <w:tcPr>
            <w:tcW w:w="2836" w:type="dxa"/>
            <w:shd w:val="clear" w:color="auto" w:fill="C6D9F1" w:themeFill="text2" w:themeFillTint="33"/>
          </w:tcPr>
          <w:p w:rsidR="00E95FB1" w:rsidRPr="002045F5" w:rsidRDefault="00E95FB1" w:rsidP="001B3967">
            <w:pPr>
              <w:jc w:val="center"/>
              <w:rPr>
                <w:b/>
                <w:sz w:val="22"/>
                <w:lang w:val="uk-UA"/>
              </w:rPr>
            </w:pPr>
            <w:r w:rsidRPr="002045F5">
              <w:rPr>
                <w:b/>
                <w:sz w:val="22"/>
                <w:lang w:val="uk-UA"/>
              </w:rPr>
              <w:t>Назва проекту</w:t>
            </w:r>
          </w:p>
        </w:tc>
        <w:tc>
          <w:tcPr>
            <w:tcW w:w="7051" w:type="dxa"/>
            <w:gridSpan w:val="7"/>
          </w:tcPr>
          <w:p w:rsidR="00E95FB1" w:rsidRPr="002045F5" w:rsidRDefault="00E95FB1" w:rsidP="001B3967">
            <w:pPr>
              <w:rPr>
                <w:sz w:val="22"/>
                <w:lang w:val="uk-UA"/>
              </w:rPr>
            </w:pPr>
            <w:r w:rsidRPr="002045F5">
              <w:rPr>
                <w:sz w:val="22"/>
                <w:lang w:val="uk-UA"/>
              </w:rPr>
              <w:t>Відновлення діяльності Територіального центру соціального обслуговування (надання соціальних послуг) Сєвєродонецької міської ради</w:t>
            </w:r>
          </w:p>
        </w:tc>
      </w:tr>
      <w:tr w:rsidR="00E95FB1" w:rsidRPr="002045F5" w:rsidTr="001B3967">
        <w:tc>
          <w:tcPr>
            <w:tcW w:w="2836" w:type="dxa"/>
            <w:shd w:val="clear" w:color="auto" w:fill="C6D9F1" w:themeFill="text2" w:themeFillTint="33"/>
          </w:tcPr>
          <w:p w:rsidR="00E95FB1" w:rsidRPr="002045F5" w:rsidRDefault="00E95FB1" w:rsidP="001B3967">
            <w:pPr>
              <w:jc w:val="center"/>
              <w:rPr>
                <w:b/>
                <w:sz w:val="22"/>
                <w:lang w:val="uk-UA"/>
              </w:rPr>
            </w:pPr>
            <w:r w:rsidRPr="002045F5">
              <w:rPr>
                <w:b/>
                <w:sz w:val="22"/>
                <w:lang w:val="uk-UA"/>
              </w:rPr>
              <w:t>Ціль проекту</w:t>
            </w:r>
          </w:p>
        </w:tc>
        <w:tc>
          <w:tcPr>
            <w:tcW w:w="7051" w:type="dxa"/>
            <w:gridSpan w:val="7"/>
          </w:tcPr>
          <w:p w:rsidR="00E95FB1" w:rsidRPr="002045F5" w:rsidRDefault="00E95FB1" w:rsidP="001B3967">
            <w:pPr>
              <w:rPr>
                <w:sz w:val="22"/>
                <w:lang w:val="uk-UA"/>
              </w:rPr>
            </w:pPr>
            <w:r w:rsidRPr="002045F5">
              <w:rPr>
                <w:sz w:val="22"/>
                <w:lang w:val="uk-UA"/>
              </w:rPr>
              <w:t xml:space="preserve">Відновити та покращити роботу Територіального центру з організації та надання соціальних послуг мешканцям Сєвєродонецької територіальної громади, особливо особам з інвалідністю та іншим маломобільним групам населення, які потребують сторонньої допомоги за місцем проживання, в умовах тимчасового або денного перебування. </w:t>
            </w:r>
          </w:p>
        </w:tc>
      </w:tr>
      <w:tr w:rsidR="00E95FB1" w:rsidRPr="002045F5" w:rsidTr="001B3967">
        <w:tc>
          <w:tcPr>
            <w:tcW w:w="2836" w:type="dxa"/>
            <w:shd w:val="clear" w:color="auto" w:fill="C6D9F1" w:themeFill="text2" w:themeFillTint="33"/>
          </w:tcPr>
          <w:p w:rsidR="00E95FB1" w:rsidRPr="002045F5" w:rsidRDefault="00E95FB1" w:rsidP="001B3967">
            <w:pPr>
              <w:jc w:val="center"/>
              <w:rPr>
                <w:b/>
                <w:sz w:val="22"/>
                <w:lang w:val="uk-UA"/>
              </w:rPr>
            </w:pPr>
            <w:r w:rsidRPr="002045F5">
              <w:rPr>
                <w:b/>
                <w:sz w:val="22"/>
                <w:lang w:val="uk-UA"/>
              </w:rPr>
              <w:t>Територія, на яку матиме вплив реалізація проекту</w:t>
            </w:r>
          </w:p>
        </w:tc>
        <w:tc>
          <w:tcPr>
            <w:tcW w:w="7051" w:type="dxa"/>
            <w:gridSpan w:val="7"/>
          </w:tcPr>
          <w:p w:rsidR="00E95FB1" w:rsidRPr="002045F5" w:rsidRDefault="00E95FB1" w:rsidP="001B3967">
            <w:pPr>
              <w:rPr>
                <w:sz w:val="22"/>
                <w:lang w:val="uk-UA"/>
              </w:rPr>
            </w:pPr>
            <w:r w:rsidRPr="002045F5">
              <w:rPr>
                <w:sz w:val="22"/>
                <w:lang w:val="uk-UA"/>
              </w:rPr>
              <w:t>Сєвєродонецька територіальна громада</w:t>
            </w:r>
          </w:p>
        </w:tc>
      </w:tr>
      <w:tr w:rsidR="00E95FB1" w:rsidRPr="002045F5" w:rsidTr="001B3967">
        <w:tc>
          <w:tcPr>
            <w:tcW w:w="2836" w:type="dxa"/>
            <w:shd w:val="clear" w:color="auto" w:fill="C6D9F1" w:themeFill="text2" w:themeFillTint="33"/>
          </w:tcPr>
          <w:p w:rsidR="00E95FB1" w:rsidRPr="002045F5" w:rsidRDefault="00E95FB1" w:rsidP="001B3967">
            <w:pPr>
              <w:jc w:val="center"/>
              <w:rPr>
                <w:b/>
                <w:sz w:val="22"/>
                <w:lang w:val="uk-UA"/>
              </w:rPr>
            </w:pPr>
            <w:r w:rsidRPr="002045F5">
              <w:rPr>
                <w:b/>
                <w:sz w:val="22"/>
                <w:lang w:val="uk-UA"/>
              </w:rPr>
              <w:t>Чисельність населення, на яку має вплив реалізація проекту</w:t>
            </w:r>
          </w:p>
        </w:tc>
        <w:tc>
          <w:tcPr>
            <w:tcW w:w="7051" w:type="dxa"/>
            <w:gridSpan w:val="7"/>
          </w:tcPr>
          <w:p w:rsidR="00E95FB1" w:rsidRPr="002045F5" w:rsidRDefault="00E95FB1" w:rsidP="001B3967">
            <w:pPr>
              <w:rPr>
                <w:sz w:val="22"/>
                <w:lang w:val="uk-UA"/>
              </w:rPr>
            </w:pPr>
            <w:r w:rsidRPr="002045F5">
              <w:rPr>
                <w:sz w:val="22"/>
                <w:lang w:val="uk-UA"/>
              </w:rPr>
              <w:t>70 000 осіб</w:t>
            </w:r>
          </w:p>
        </w:tc>
      </w:tr>
      <w:tr w:rsidR="00E95FB1" w:rsidRPr="002045F5" w:rsidTr="001B3967">
        <w:tc>
          <w:tcPr>
            <w:tcW w:w="2836" w:type="dxa"/>
            <w:shd w:val="clear" w:color="auto" w:fill="C6D9F1" w:themeFill="text2" w:themeFillTint="33"/>
          </w:tcPr>
          <w:p w:rsidR="00E95FB1" w:rsidRPr="002045F5" w:rsidRDefault="00E95FB1" w:rsidP="001B3967">
            <w:pPr>
              <w:jc w:val="center"/>
              <w:rPr>
                <w:b/>
                <w:sz w:val="22"/>
                <w:lang w:val="uk-UA"/>
              </w:rPr>
            </w:pPr>
            <w:r w:rsidRPr="002045F5">
              <w:rPr>
                <w:b/>
                <w:sz w:val="22"/>
                <w:lang w:val="uk-UA"/>
              </w:rPr>
              <w:t>Опис проблеми, на вирішення якої спрямовано проект</w:t>
            </w:r>
          </w:p>
        </w:tc>
        <w:tc>
          <w:tcPr>
            <w:tcW w:w="7051" w:type="dxa"/>
            <w:gridSpan w:val="7"/>
          </w:tcPr>
          <w:p w:rsidR="00E95FB1" w:rsidRPr="002045F5" w:rsidRDefault="00E95FB1" w:rsidP="001B3967">
            <w:pPr>
              <w:rPr>
                <w:sz w:val="22"/>
                <w:lang w:val="uk-UA"/>
              </w:rPr>
            </w:pPr>
            <w:r w:rsidRPr="002045F5">
              <w:rPr>
                <w:sz w:val="22"/>
                <w:lang w:val="uk-UA"/>
              </w:rPr>
              <w:t xml:space="preserve">    Через військову агресію РФ територія Сєвєродонецької територіальної громади зазнала значних пошкоджень.                          Не минуло це і Територіальний центр соціального обслуговування (надання соціальних послуг).</w:t>
            </w:r>
          </w:p>
          <w:p w:rsidR="00E95FB1" w:rsidRPr="002045F5" w:rsidRDefault="00E95FB1" w:rsidP="001B3967">
            <w:pPr>
              <w:rPr>
                <w:sz w:val="22"/>
                <w:lang w:val="uk-UA"/>
              </w:rPr>
            </w:pPr>
            <w:r w:rsidRPr="002045F5">
              <w:rPr>
                <w:sz w:val="22"/>
                <w:lang w:val="uk-UA"/>
              </w:rPr>
              <w:lastRenderedPageBreak/>
              <w:t xml:space="preserve">     Вся матеріально-технічна база  підприємства, зокрема:</w:t>
            </w:r>
          </w:p>
          <w:p w:rsidR="00E95FB1" w:rsidRPr="002045F5" w:rsidRDefault="00E95FB1" w:rsidP="000303D7">
            <w:pPr>
              <w:numPr>
                <w:ilvl w:val="0"/>
                <w:numId w:val="70"/>
              </w:numPr>
              <w:jc w:val="left"/>
              <w:rPr>
                <w:sz w:val="22"/>
                <w:lang w:val="uk-UA"/>
              </w:rPr>
            </w:pPr>
            <w:r w:rsidRPr="002045F5">
              <w:rPr>
                <w:sz w:val="22"/>
                <w:lang w:val="uk-UA"/>
              </w:rPr>
              <w:t>обчислювальна техніка з відповідним програмним забезпеченням;</w:t>
            </w:r>
          </w:p>
          <w:p w:rsidR="00E95FB1" w:rsidRPr="002045F5" w:rsidRDefault="00E95FB1" w:rsidP="000303D7">
            <w:pPr>
              <w:numPr>
                <w:ilvl w:val="0"/>
                <w:numId w:val="70"/>
              </w:numPr>
              <w:jc w:val="left"/>
              <w:rPr>
                <w:sz w:val="22"/>
                <w:lang w:val="uk-UA"/>
              </w:rPr>
            </w:pPr>
            <w:r w:rsidRPr="002045F5">
              <w:rPr>
                <w:sz w:val="22"/>
                <w:lang w:val="uk-UA"/>
              </w:rPr>
              <w:t>оргтехніка (монітори, принтери, сканери, шредери тощо)</w:t>
            </w:r>
          </w:p>
          <w:p w:rsidR="00E95FB1" w:rsidRPr="002045F5" w:rsidRDefault="00E95FB1" w:rsidP="000303D7">
            <w:pPr>
              <w:numPr>
                <w:ilvl w:val="0"/>
                <w:numId w:val="70"/>
              </w:numPr>
              <w:jc w:val="left"/>
              <w:rPr>
                <w:sz w:val="22"/>
                <w:lang w:val="uk-UA"/>
              </w:rPr>
            </w:pPr>
            <w:r w:rsidRPr="002045F5">
              <w:rPr>
                <w:sz w:val="22"/>
                <w:lang w:val="uk-UA"/>
              </w:rPr>
              <w:t>основні засоби (офісні меблі, сейф, службовий автомобіль тощо);</w:t>
            </w:r>
          </w:p>
          <w:p w:rsidR="00E95FB1" w:rsidRPr="002045F5" w:rsidRDefault="00E95FB1" w:rsidP="000303D7">
            <w:pPr>
              <w:numPr>
                <w:ilvl w:val="0"/>
                <w:numId w:val="70"/>
              </w:numPr>
              <w:jc w:val="left"/>
              <w:rPr>
                <w:sz w:val="22"/>
                <w:lang w:val="uk-UA"/>
              </w:rPr>
            </w:pPr>
            <w:r w:rsidRPr="002045F5">
              <w:rPr>
                <w:sz w:val="22"/>
                <w:lang w:val="uk-UA"/>
              </w:rPr>
              <w:t>інвалідні прилади (коляски, стоїки, милиці, палиці тощо) для роботи обмінного фонду;</w:t>
            </w:r>
          </w:p>
          <w:p w:rsidR="00E95FB1" w:rsidRPr="002045F5" w:rsidRDefault="00E95FB1" w:rsidP="000303D7">
            <w:pPr>
              <w:numPr>
                <w:ilvl w:val="0"/>
                <w:numId w:val="70"/>
              </w:numPr>
              <w:jc w:val="left"/>
              <w:rPr>
                <w:sz w:val="22"/>
                <w:lang w:val="uk-UA"/>
              </w:rPr>
            </w:pPr>
            <w:r w:rsidRPr="002045F5">
              <w:rPr>
                <w:sz w:val="22"/>
                <w:lang w:val="uk-UA"/>
              </w:rPr>
              <w:t>обладнання для надання реабілітаційних та профілактичних заходів (фізіотерапевтична апаратура, масажні столи та крісла, обладнання для ЛФК тощо) були знищені або викрадені.</w:t>
            </w:r>
          </w:p>
          <w:p w:rsidR="00E95FB1" w:rsidRPr="002045F5" w:rsidRDefault="00E95FB1" w:rsidP="001B3967">
            <w:pPr>
              <w:rPr>
                <w:sz w:val="22"/>
                <w:lang w:val="uk-UA"/>
              </w:rPr>
            </w:pPr>
            <w:r w:rsidRPr="002045F5">
              <w:rPr>
                <w:sz w:val="22"/>
                <w:lang w:val="uk-UA"/>
              </w:rPr>
              <w:t xml:space="preserve">     Мешканці громади потребують отримання соціальних послуг, які відповідають нормам законності, соціальної справедливості, дотримання державних стандартів соціальних послуг, етичних норм і правил.</w:t>
            </w:r>
          </w:p>
        </w:tc>
      </w:tr>
      <w:tr w:rsidR="00E95FB1" w:rsidRPr="002045F5" w:rsidTr="001B3967">
        <w:trPr>
          <w:trHeight w:val="509"/>
        </w:trPr>
        <w:tc>
          <w:tcPr>
            <w:tcW w:w="2836" w:type="dxa"/>
            <w:shd w:val="clear" w:color="auto" w:fill="C6D9F1" w:themeFill="text2" w:themeFillTint="33"/>
          </w:tcPr>
          <w:p w:rsidR="00E95FB1" w:rsidRPr="002045F5" w:rsidRDefault="00E95FB1" w:rsidP="001B3967">
            <w:pPr>
              <w:jc w:val="center"/>
              <w:rPr>
                <w:b/>
                <w:sz w:val="22"/>
                <w:lang w:val="uk-UA"/>
              </w:rPr>
            </w:pPr>
            <w:r w:rsidRPr="002045F5">
              <w:rPr>
                <w:b/>
                <w:sz w:val="22"/>
                <w:lang w:val="uk-UA"/>
              </w:rPr>
              <w:lastRenderedPageBreak/>
              <w:t>Очікувані якісні результати від реалізації проекту</w:t>
            </w:r>
          </w:p>
        </w:tc>
        <w:tc>
          <w:tcPr>
            <w:tcW w:w="7051" w:type="dxa"/>
            <w:gridSpan w:val="7"/>
          </w:tcPr>
          <w:p w:rsidR="00E95FB1" w:rsidRPr="002045F5" w:rsidRDefault="00E95FB1" w:rsidP="000303D7">
            <w:pPr>
              <w:numPr>
                <w:ilvl w:val="0"/>
                <w:numId w:val="70"/>
              </w:numPr>
              <w:jc w:val="left"/>
              <w:rPr>
                <w:sz w:val="22"/>
                <w:lang w:val="uk-UA"/>
              </w:rPr>
            </w:pPr>
            <w:r w:rsidRPr="002045F5">
              <w:rPr>
                <w:sz w:val="22"/>
                <w:lang w:val="uk-UA"/>
              </w:rPr>
              <w:t>забезпечення громадян похилого віку, осіб з інвалідністю та осіб, які перебувають у складних життєвих обставинах</w:t>
            </w:r>
            <w:r w:rsidR="007508F7" w:rsidRPr="002045F5">
              <w:rPr>
                <w:sz w:val="22"/>
                <w:lang w:val="uk-UA"/>
              </w:rPr>
              <w:t>,</w:t>
            </w:r>
            <w:r w:rsidRPr="002045F5">
              <w:rPr>
                <w:sz w:val="22"/>
                <w:lang w:val="uk-UA"/>
              </w:rPr>
              <w:t xml:space="preserve"> якісними соціальними послугами;</w:t>
            </w:r>
          </w:p>
          <w:p w:rsidR="00E95FB1" w:rsidRPr="002045F5" w:rsidRDefault="00E95FB1" w:rsidP="000303D7">
            <w:pPr>
              <w:numPr>
                <w:ilvl w:val="0"/>
                <w:numId w:val="70"/>
              </w:numPr>
              <w:jc w:val="left"/>
              <w:rPr>
                <w:sz w:val="22"/>
                <w:lang w:val="uk-UA"/>
              </w:rPr>
            </w:pPr>
            <w:r w:rsidRPr="002045F5">
              <w:rPr>
                <w:sz w:val="22"/>
                <w:lang w:val="uk-UA"/>
              </w:rPr>
              <w:t>максимальне забезпечення послугою «допомога вдома» потребуючих мешканців територіальної громади;</w:t>
            </w:r>
          </w:p>
          <w:p w:rsidR="00E95FB1" w:rsidRPr="002045F5" w:rsidRDefault="00E95FB1" w:rsidP="000303D7">
            <w:pPr>
              <w:numPr>
                <w:ilvl w:val="0"/>
                <w:numId w:val="70"/>
              </w:numPr>
              <w:jc w:val="left"/>
              <w:rPr>
                <w:sz w:val="22"/>
                <w:lang w:val="uk-UA"/>
              </w:rPr>
            </w:pPr>
            <w:r w:rsidRPr="002045F5">
              <w:rPr>
                <w:sz w:val="22"/>
                <w:lang w:val="uk-UA"/>
              </w:rPr>
              <w:t>вирішення ряду питань в межах статутної діяльності;</w:t>
            </w:r>
          </w:p>
          <w:p w:rsidR="00E95FB1" w:rsidRPr="002045F5" w:rsidRDefault="00E95FB1" w:rsidP="000303D7">
            <w:pPr>
              <w:numPr>
                <w:ilvl w:val="0"/>
                <w:numId w:val="70"/>
              </w:numPr>
              <w:jc w:val="left"/>
              <w:rPr>
                <w:sz w:val="22"/>
                <w:lang w:val="uk-UA"/>
              </w:rPr>
            </w:pPr>
            <w:r w:rsidRPr="002045F5">
              <w:rPr>
                <w:sz w:val="22"/>
                <w:lang w:val="uk-UA"/>
              </w:rPr>
              <w:t>створення нових робочих місць.</w:t>
            </w:r>
          </w:p>
        </w:tc>
      </w:tr>
      <w:tr w:rsidR="00E95FB1" w:rsidRPr="002045F5" w:rsidTr="001B3967">
        <w:trPr>
          <w:trHeight w:val="279"/>
        </w:trPr>
        <w:tc>
          <w:tcPr>
            <w:tcW w:w="2836" w:type="dxa"/>
            <w:vMerge w:val="restart"/>
            <w:shd w:val="clear" w:color="auto" w:fill="C6D9F1" w:themeFill="text2" w:themeFillTint="33"/>
          </w:tcPr>
          <w:p w:rsidR="00E95FB1" w:rsidRPr="002045F5" w:rsidRDefault="00E95FB1" w:rsidP="001B3967">
            <w:pPr>
              <w:jc w:val="center"/>
              <w:rPr>
                <w:b/>
                <w:sz w:val="22"/>
                <w:lang w:val="uk-UA"/>
              </w:rPr>
            </w:pPr>
            <w:r w:rsidRPr="002045F5">
              <w:rPr>
                <w:b/>
                <w:sz w:val="22"/>
                <w:lang w:val="uk-UA"/>
              </w:rPr>
              <w:t>Очікуванні кількісні результати реалізації проекту (індикатори)</w:t>
            </w:r>
          </w:p>
        </w:tc>
        <w:tc>
          <w:tcPr>
            <w:tcW w:w="3559" w:type="dxa"/>
            <w:gridSpan w:val="3"/>
            <w:tcBorders>
              <w:bottom w:val="single" w:sz="4" w:space="0" w:color="auto"/>
            </w:tcBorders>
            <w:vAlign w:val="center"/>
          </w:tcPr>
          <w:p w:rsidR="00E95FB1" w:rsidRPr="002045F5" w:rsidRDefault="00E95FB1" w:rsidP="001B3967">
            <w:pPr>
              <w:jc w:val="center"/>
              <w:rPr>
                <w:b/>
                <w:sz w:val="22"/>
                <w:lang w:val="uk-UA"/>
              </w:rPr>
            </w:pPr>
            <w:r w:rsidRPr="002045F5">
              <w:rPr>
                <w:b/>
                <w:sz w:val="22"/>
                <w:lang w:val="uk-UA"/>
              </w:rPr>
              <w:t>Найменування</w:t>
            </w:r>
          </w:p>
          <w:p w:rsidR="00E95FB1" w:rsidRPr="002045F5" w:rsidRDefault="00E95FB1" w:rsidP="001B3967">
            <w:pPr>
              <w:jc w:val="center"/>
              <w:rPr>
                <w:b/>
                <w:sz w:val="22"/>
                <w:lang w:val="uk-UA"/>
              </w:rPr>
            </w:pPr>
            <w:r w:rsidRPr="002045F5">
              <w:rPr>
                <w:b/>
                <w:sz w:val="22"/>
                <w:lang w:val="uk-UA"/>
              </w:rPr>
              <w:t>показника</w:t>
            </w:r>
          </w:p>
        </w:tc>
        <w:tc>
          <w:tcPr>
            <w:tcW w:w="1910" w:type="dxa"/>
            <w:gridSpan w:val="2"/>
            <w:tcBorders>
              <w:bottom w:val="single" w:sz="4" w:space="0" w:color="auto"/>
            </w:tcBorders>
            <w:vAlign w:val="center"/>
          </w:tcPr>
          <w:p w:rsidR="00E95FB1" w:rsidRPr="002045F5" w:rsidRDefault="00E95FB1" w:rsidP="001B3967">
            <w:pPr>
              <w:jc w:val="center"/>
              <w:rPr>
                <w:b/>
                <w:sz w:val="22"/>
                <w:lang w:val="uk-UA"/>
              </w:rPr>
            </w:pPr>
            <w:r w:rsidRPr="002045F5">
              <w:rPr>
                <w:b/>
                <w:sz w:val="22"/>
                <w:lang w:val="uk-UA"/>
              </w:rPr>
              <w:t>Одиниця</w:t>
            </w:r>
          </w:p>
          <w:p w:rsidR="00E95FB1" w:rsidRPr="002045F5" w:rsidRDefault="00E95FB1" w:rsidP="001B3967">
            <w:pPr>
              <w:jc w:val="center"/>
              <w:rPr>
                <w:b/>
                <w:sz w:val="22"/>
                <w:lang w:val="uk-UA"/>
              </w:rPr>
            </w:pPr>
            <w:r w:rsidRPr="002045F5">
              <w:rPr>
                <w:b/>
                <w:sz w:val="22"/>
                <w:lang w:val="uk-UA"/>
              </w:rPr>
              <w:t>вимірювання</w:t>
            </w:r>
          </w:p>
        </w:tc>
        <w:tc>
          <w:tcPr>
            <w:tcW w:w="1582" w:type="dxa"/>
            <w:gridSpan w:val="2"/>
            <w:tcBorders>
              <w:bottom w:val="single" w:sz="4" w:space="0" w:color="auto"/>
            </w:tcBorders>
            <w:vAlign w:val="center"/>
          </w:tcPr>
          <w:p w:rsidR="00E95FB1" w:rsidRPr="002045F5" w:rsidRDefault="00E95FB1" w:rsidP="001B3967">
            <w:pPr>
              <w:jc w:val="center"/>
              <w:rPr>
                <w:b/>
                <w:sz w:val="22"/>
                <w:lang w:val="uk-UA"/>
              </w:rPr>
            </w:pPr>
            <w:r w:rsidRPr="002045F5">
              <w:rPr>
                <w:b/>
                <w:sz w:val="22"/>
                <w:lang w:val="uk-UA"/>
              </w:rPr>
              <w:t>Прогнозне</w:t>
            </w:r>
          </w:p>
          <w:p w:rsidR="00E95FB1" w:rsidRPr="002045F5" w:rsidRDefault="00E95FB1" w:rsidP="001B3967">
            <w:pPr>
              <w:jc w:val="center"/>
              <w:rPr>
                <w:b/>
                <w:sz w:val="22"/>
                <w:lang w:val="uk-UA"/>
              </w:rPr>
            </w:pPr>
            <w:r w:rsidRPr="002045F5">
              <w:rPr>
                <w:b/>
                <w:sz w:val="22"/>
                <w:lang w:val="uk-UA"/>
              </w:rPr>
              <w:t>(цільове) значення</w:t>
            </w:r>
          </w:p>
        </w:tc>
      </w:tr>
      <w:tr w:rsidR="00E95FB1" w:rsidRPr="002045F5" w:rsidTr="001B3967">
        <w:trPr>
          <w:trHeight w:val="277"/>
        </w:trPr>
        <w:tc>
          <w:tcPr>
            <w:tcW w:w="2836" w:type="dxa"/>
            <w:vMerge/>
            <w:shd w:val="clear" w:color="auto" w:fill="C6D9F1" w:themeFill="text2" w:themeFillTint="33"/>
          </w:tcPr>
          <w:p w:rsidR="00E95FB1" w:rsidRPr="002045F5" w:rsidRDefault="00E95FB1" w:rsidP="001B3967">
            <w:pPr>
              <w:jc w:val="center"/>
              <w:rPr>
                <w:b/>
                <w:sz w:val="22"/>
                <w:lang w:val="uk-UA"/>
              </w:rPr>
            </w:pPr>
          </w:p>
        </w:tc>
        <w:tc>
          <w:tcPr>
            <w:tcW w:w="3559" w:type="dxa"/>
            <w:gridSpan w:val="3"/>
            <w:tcBorders>
              <w:bottom w:val="single" w:sz="4" w:space="0" w:color="auto"/>
            </w:tcBorders>
            <w:vAlign w:val="center"/>
          </w:tcPr>
          <w:p w:rsidR="00E95FB1" w:rsidRPr="002045F5" w:rsidRDefault="00E95FB1" w:rsidP="001B3967">
            <w:pPr>
              <w:jc w:val="center"/>
              <w:rPr>
                <w:sz w:val="22"/>
                <w:lang w:val="uk-UA"/>
              </w:rPr>
            </w:pPr>
            <w:r w:rsidRPr="002045F5">
              <w:rPr>
                <w:sz w:val="22"/>
                <w:lang w:val="uk-UA"/>
              </w:rPr>
              <w:t>Кількість осіб похилого віку, осіб з інвалідністю та осіб, які перебувають у складних життєвих обставинах, які можуть звернутись за соціальними послугами протягом року</w:t>
            </w:r>
          </w:p>
        </w:tc>
        <w:tc>
          <w:tcPr>
            <w:tcW w:w="1910" w:type="dxa"/>
            <w:gridSpan w:val="2"/>
            <w:tcBorders>
              <w:bottom w:val="single" w:sz="4" w:space="0" w:color="auto"/>
            </w:tcBorders>
            <w:vAlign w:val="center"/>
          </w:tcPr>
          <w:p w:rsidR="00E95FB1" w:rsidRPr="002045F5" w:rsidRDefault="00E95FB1" w:rsidP="001B3967">
            <w:pPr>
              <w:jc w:val="center"/>
              <w:rPr>
                <w:sz w:val="22"/>
                <w:lang w:val="uk-UA"/>
              </w:rPr>
            </w:pPr>
            <w:r w:rsidRPr="002045F5">
              <w:rPr>
                <w:sz w:val="22"/>
                <w:lang w:val="uk-UA"/>
              </w:rPr>
              <w:t>осіб</w:t>
            </w:r>
          </w:p>
        </w:tc>
        <w:tc>
          <w:tcPr>
            <w:tcW w:w="1582" w:type="dxa"/>
            <w:gridSpan w:val="2"/>
            <w:tcBorders>
              <w:bottom w:val="single" w:sz="4" w:space="0" w:color="auto"/>
            </w:tcBorders>
            <w:vAlign w:val="center"/>
          </w:tcPr>
          <w:p w:rsidR="00E95FB1" w:rsidRPr="002045F5" w:rsidRDefault="00E95FB1" w:rsidP="001B3967">
            <w:pPr>
              <w:jc w:val="center"/>
              <w:rPr>
                <w:sz w:val="22"/>
                <w:lang w:val="uk-UA"/>
              </w:rPr>
            </w:pPr>
            <w:r w:rsidRPr="002045F5">
              <w:rPr>
                <w:sz w:val="22"/>
                <w:lang w:val="uk-UA"/>
              </w:rPr>
              <w:t>5700</w:t>
            </w:r>
          </w:p>
        </w:tc>
      </w:tr>
      <w:tr w:rsidR="00E95FB1" w:rsidRPr="002045F5" w:rsidTr="001B3967">
        <w:trPr>
          <w:trHeight w:val="277"/>
        </w:trPr>
        <w:tc>
          <w:tcPr>
            <w:tcW w:w="2836" w:type="dxa"/>
            <w:vMerge/>
            <w:shd w:val="clear" w:color="auto" w:fill="C6D9F1" w:themeFill="text2" w:themeFillTint="33"/>
          </w:tcPr>
          <w:p w:rsidR="00E95FB1" w:rsidRPr="002045F5" w:rsidRDefault="00E95FB1" w:rsidP="001B3967">
            <w:pPr>
              <w:jc w:val="center"/>
              <w:rPr>
                <w:b/>
                <w:sz w:val="22"/>
                <w:lang w:val="uk-UA"/>
              </w:rPr>
            </w:pPr>
          </w:p>
        </w:tc>
        <w:tc>
          <w:tcPr>
            <w:tcW w:w="3559" w:type="dxa"/>
            <w:gridSpan w:val="3"/>
            <w:tcBorders>
              <w:bottom w:val="single" w:sz="4" w:space="0" w:color="auto"/>
            </w:tcBorders>
            <w:vAlign w:val="center"/>
          </w:tcPr>
          <w:p w:rsidR="00E95FB1" w:rsidRPr="002045F5" w:rsidRDefault="00E95FB1" w:rsidP="001B3967">
            <w:pPr>
              <w:jc w:val="center"/>
              <w:rPr>
                <w:sz w:val="22"/>
                <w:lang w:val="uk-UA"/>
              </w:rPr>
            </w:pPr>
            <w:r w:rsidRPr="002045F5">
              <w:rPr>
                <w:sz w:val="22"/>
                <w:lang w:val="uk-UA"/>
              </w:rPr>
              <w:t xml:space="preserve">Кількість видів соціальних послуг, які надаються </w:t>
            </w:r>
            <w:proofErr w:type="spellStart"/>
            <w:r w:rsidRPr="002045F5">
              <w:rPr>
                <w:sz w:val="22"/>
                <w:lang w:val="uk-UA"/>
              </w:rPr>
              <w:t>терцентром</w:t>
            </w:r>
            <w:proofErr w:type="spellEnd"/>
          </w:p>
        </w:tc>
        <w:tc>
          <w:tcPr>
            <w:tcW w:w="1910" w:type="dxa"/>
            <w:gridSpan w:val="2"/>
            <w:tcBorders>
              <w:bottom w:val="single" w:sz="4" w:space="0" w:color="auto"/>
            </w:tcBorders>
            <w:vAlign w:val="center"/>
          </w:tcPr>
          <w:p w:rsidR="00E95FB1" w:rsidRPr="002045F5" w:rsidRDefault="00E95FB1" w:rsidP="001B3967">
            <w:pPr>
              <w:jc w:val="center"/>
              <w:rPr>
                <w:sz w:val="22"/>
                <w:lang w:val="uk-UA"/>
              </w:rPr>
            </w:pPr>
            <w:r w:rsidRPr="002045F5">
              <w:rPr>
                <w:sz w:val="22"/>
                <w:lang w:val="uk-UA"/>
              </w:rPr>
              <w:t>одиниць</w:t>
            </w:r>
          </w:p>
        </w:tc>
        <w:tc>
          <w:tcPr>
            <w:tcW w:w="1582" w:type="dxa"/>
            <w:gridSpan w:val="2"/>
            <w:tcBorders>
              <w:bottom w:val="single" w:sz="4" w:space="0" w:color="auto"/>
            </w:tcBorders>
            <w:vAlign w:val="center"/>
          </w:tcPr>
          <w:p w:rsidR="00E95FB1" w:rsidRPr="002045F5" w:rsidRDefault="00E95FB1" w:rsidP="001B3967">
            <w:pPr>
              <w:jc w:val="center"/>
              <w:rPr>
                <w:sz w:val="22"/>
                <w:lang w:val="uk-UA"/>
              </w:rPr>
            </w:pPr>
            <w:r w:rsidRPr="002045F5">
              <w:rPr>
                <w:sz w:val="22"/>
                <w:lang w:val="uk-UA"/>
              </w:rPr>
              <w:t>15</w:t>
            </w:r>
          </w:p>
        </w:tc>
      </w:tr>
      <w:tr w:rsidR="00E95FB1" w:rsidRPr="002045F5" w:rsidTr="001B3967">
        <w:trPr>
          <w:trHeight w:val="277"/>
        </w:trPr>
        <w:tc>
          <w:tcPr>
            <w:tcW w:w="2836" w:type="dxa"/>
            <w:vMerge/>
            <w:tcBorders>
              <w:bottom w:val="single" w:sz="4" w:space="0" w:color="auto"/>
            </w:tcBorders>
            <w:shd w:val="clear" w:color="auto" w:fill="C6D9F1" w:themeFill="text2" w:themeFillTint="33"/>
          </w:tcPr>
          <w:p w:rsidR="00E95FB1" w:rsidRPr="002045F5" w:rsidRDefault="00E95FB1" w:rsidP="001B3967">
            <w:pPr>
              <w:jc w:val="center"/>
              <w:rPr>
                <w:b/>
                <w:sz w:val="22"/>
                <w:lang w:val="uk-UA"/>
              </w:rPr>
            </w:pPr>
          </w:p>
        </w:tc>
        <w:tc>
          <w:tcPr>
            <w:tcW w:w="3559" w:type="dxa"/>
            <w:gridSpan w:val="3"/>
            <w:tcBorders>
              <w:bottom w:val="single" w:sz="4" w:space="0" w:color="auto"/>
            </w:tcBorders>
            <w:vAlign w:val="center"/>
          </w:tcPr>
          <w:p w:rsidR="00E95FB1" w:rsidRPr="002045F5" w:rsidRDefault="00E95FB1" w:rsidP="001B3967">
            <w:pPr>
              <w:jc w:val="center"/>
              <w:rPr>
                <w:sz w:val="22"/>
                <w:lang w:val="uk-UA"/>
              </w:rPr>
            </w:pPr>
            <w:r w:rsidRPr="002045F5">
              <w:rPr>
                <w:sz w:val="22"/>
                <w:lang w:val="uk-UA"/>
              </w:rPr>
              <w:t xml:space="preserve">Кількість населених пунктів, які обслуговує </w:t>
            </w:r>
            <w:proofErr w:type="spellStart"/>
            <w:r w:rsidRPr="002045F5">
              <w:rPr>
                <w:sz w:val="22"/>
                <w:lang w:val="uk-UA"/>
              </w:rPr>
              <w:t>терцентр</w:t>
            </w:r>
            <w:proofErr w:type="spellEnd"/>
          </w:p>
        </w:tc>
        <w:tc>
          <w:tcPr>
            <w:tcW w:w="1910" w:type="dxa"/>
            <w:gridSpan w:val="2"/>
            <w:tcBorders>
              <w:bottom w:val="single" w:sz="4" w:space="0" w:color="auto"/>
            </w:tcBorders>
            <w:vAlign w:val="center"/>
          </w:tcPr>
          <w:p w:rsidR="00E95FB1" w:rsidRPr="002045F5" w:rsidRDefault="00E95FB1" w:rsidP="001B3967">
            <w:pPr>
              <w:jc w:val="center"/>
              <w:rPr>
                <w:sz w:val="22"/>
                <w:lang w:val="uk-UA"/>
              </w:rPr>
            </w:pPr>
            <w:r w:rsidRPr="002045F5">
              <w:rPr>
                <w:sz w:val="22"/>
                <w:lang w:val="uk-UA"/>
              </w:rPr>
              <w:t>одиниць</w:t>
            </w:r>
          </w:p>
        </w:tc>
        <w:tc>
          <w:tcPr>
            <w:tcW w:w="1582" w:type="dxa"/>
            <w:gridSpan w:val="2"/>
            <w:tcBorders>
              <w:bottom w:val="single" w:sz="4" w:space="0" w:color="auto"/>
            </w:tcBorders>
            <w:vAlign w:val="center"/>
          </w:tcPr>
          <w:p w:rsidR="00E95FB1" w:rsidRPr="002045F5" w:rsidRDefault="00E95FB1" w:rsidP="001B3967">
            <w:pPr>
              <w:jc w:val="center"/>
              <w:rPr>
                <w:sz w:val="22"/>
                <w:lang w:val="uk-UA"/>
              </w:rPr>
            </w:pPr>
            <w:r w:rsidRPr="002045F5">
              <w:rPr>
                <w:sz w:val="22"/>
                <w:lang w:val="uk-UA"/>
              </w:rPr>
              <w:t>9</w:t>
            </w:r>
          </w:p>
        </w:tc>
      </w:tr>
      <w:tr w:rsidR="00E95FB1" w:rsidRPr="002045F5" w:rsidTr="001B3967">
        <w:trPr>
          <w:trHeight w:val="525"/>
        </w:trPr>
        <w:tc>
          <w:tcPr>
            <w:tcW w:w="2836" w:type="dxa"/>
            <w:tcBorders>
              <w:bottom w:val="single" w:sz="4" w:space="0" w:color="auto"/>
            </w:tcBorders>
            <w:shd w:val="clear" w:color="auto" w:fill="C6D9F1" w:themeFill="text2" w:themeFillTint="33"/>
          </w:tcPr>
          <w:p w:rsidR="00E95FB1" w:rsidRPr="002045F5" w:rsidRDefault="00E95FB1" w:rsidP="001B3967">
            <w:pPr>
              <w:jc w:val="center"/>
              <w:rPr>
                <w:b/>
                <w:sz w:val="22"/>
                <w:lang w:val="uk-UA"/>
              </w:rPr>
            </w:pPr>
            <w:r w:rsidRPr="002045F5">
              <w:rPr>
                <w:b/>
                <w:sz w:val="22"/>
                <w:lang w:val="uk-UA"/>
              </w:rPr>
              <w:t>Ключові заходи проекту</w:t>
            </w:r>
          </w:p>
        </w:tc>
        <w:tc>
          <w:tcPr>
            <w:tcW w:w="7051" w:type="dxa"/>
            <w:gridSpan w:val="7"/>
            <w:tcBorders>
              <w:bottom w:val="single" w:sz="4" w:space="0" w:color="auto"/>
            </w:tcBorders>
          </w:tcPr>
          <w:p w:rsidR="00E95FB1" w:rsidRPr="002045F5" w:rsidRDefault="00E95FB1" w:rsidP="000303D7">
            <w:pPr>
              <w:numPr>
                <w:ilvl w:val="0"/>
                <w:numId w:val="70"/>
              </w:numPr>
              <w:jc w:val="left"/>
              <w:rPr>
                <w:sz w:val="22"/>
                <w:lang w:val="uk-UA"/>
              </w:rPr>
            </w:pPr>
            <w:r w:rsidRPr="002045F5">
              <w:rPr>
                <w:sz w:val="22"/>
                <w:lang w:val="uk-UA"/>
              </w:rPr>
              <w:t>обстеження стану будівлі;</w:t>
            </w:r>
          </w:p>
          <w:p w:rsidR="00E95FB1" w:rsidRPr="002045F5" w:rsidRDefault="00E95FB1" w:rsidP="000303D7">
            <w:pPr>
              <w:numPr>
                <w:ilvl w:val="0"/>
                <w:numId w:val="70"/>
              </w:numPr>
              <w:jc w:val="left"/>
              <w:rPr>
                <w:sz w:val="22"/>
                <w:lang w:val="uk-UA"/>
              </w:rPr>
            </w:pPr>
            <w:r w:rsidRPr="002045F5">
              <w:rPr>
                <w:sz w:val="22"/>
                <w:lang w:val="uk-UA"/>
              </w:rPr>
              <w:t>здійснення косметичного ( при необхідності капітального ) ремонту приміщень територіального центру;</w:t>
            </w:r>
          </w:p>
          <w:p w:rsidR="00E95FB1" w:rsidRPr="002045F5" w:rsidRDefault="00E95FB1" w:rsidP="000303D7">
            <w:pPr>
              <w:numPr>
                <w:ilvl w:val="0"/>
                <w:numId w:val="70"/>
              </w:numPr>
              <w:jc w:val="left"/>
              <w:rPr>
                <w:sz w:val="22"/>
                <w:lang w:val="uk-UA"/>
              </w:rPr>
            </w:pPr>
            <w:r w:rsidRPr="002045F5">
              <w:rPr>
                <w:sz w:val="22"/>
                <w:lang w:val="uk-UA"/>
              </w:rPr>
              <w:t>проведення інвентаризації основних засобів;</w:t>
            </w:r>
          </w:p>
          <w:p w:rsidR="00E95FB1" w:rsidRPr="002045F5" w:rsidRDefault="00E95FB1" w:rsidP="000303D7">
            <w:pPr>
              <w:numPr>
                <w:ilvl w:val="0"/>
                <w:numId w:val="70"/>
              </w:numPr>
              <w:jc w:val="left"/>
              <w:rPr>
                <w:sz w:val="22"/>
                <w:lang w:val="uk-UA"/>
              </w:rPr>
            </w:pPr>
            <w:r w:rsidRPr="002045F5">
              <w:rPr>
                <w:sz w:val="22"/>
                <w:lang w:val="uk-UA"/>
              </w:rPr>
              <w:t xml:space="preserve"> придбання технологічного забезпечення;</w:t>
            </w:r>
          </w:p>
          <w:p w:rsidR="00E95FB1" w:rsidRPr="002045F5" w:rsidRDefault="00E95FB1" w:rsidP="000303D7">
            <w:pPr>
              <w:numPr>
                <w:ilvl w:val="0"/>
                <w:numId w:val="70"/>
              </w:numPr>
              <w:jc w:val="left"/>
              <w:rPr>
                <w:sz w:val="22"/>
                <w:lang w:val="uk-UA"/>
              </w:rPr>
            </w:pPr>
            <w:r w:rsidRPr="002045F5">
              <w:rPr>
                <w:sz w:val="22"/>
                <w:lang w:val="uk-UA"/>
              </w:rPr>
              <w:t>визначення, в першу чергу, кількості осіб, які потребують отримання со</w:t>
            </w:r>
            <w:r w:rsidR="005C5F2C" w:rsidRPr="002045F5">
              <w:rPr>
                <w:sz w:val="22"/>
                <w:lang w:val="uk-UA"/>
              </w:rPr>
              <w:t>ціальної послуги «догляд вдома»;</w:t>
            </w:r>
          </w:p>
          <w:p w:rsidR="00E95FB1" w:rsidRPr="002045F5" w:rsidRDefault="00E95FB1" w:rsidP="000303D7">
            <w:pPr>
              <w:numPr>
                <w:ilvl w:val="0"/>
                <w:numId w:val="70"/>
              </w:numPr>
              <w:jc w:val="left"/>
              <w:rPr>
                <w:sz w:val="22"/>
                <w:lang w:val="uk-UA"/>
              </w:rPr>
            </w:pPr>
            <w:r w:rsidRPr="002045F5">
              <w:rPr>
                <w:sz w:val="22"/>
                <w:lang w:val="uk-UA"/>
              </w:rPr>
              <w:t>організація та початок робочого процесу.</w:t>
            </w:r>
          </w:p>
        </w:tc>
      </w:tr>
      <w:tr w:rsidR="00E95FB1" w:rsidRPr="002045F5" w:rsidTr="001B3967">
        <w:trPr>
          <w:trHeight w:val="810"/>
        </w:trPr>
        <w:tc>
          <w:tcPr>
            <w:tcW w:w="2836" w:type="dxa"/>
            <w:vMerge w:val="restart"/>
            <w:tcBorders>
              <w:bottom w:val="single" w:sz="4" w:space="0" w:color="auto"/>
            </w:tcBorders>
            <w:shd w:val="clear" w:color="auto" w:fill="C6D9F1" w:themeFill="text2" w:themeFillTint="33"/>
          </w:tcPr>
          <w:p w:rsidR="00E95FB1" w:rsidRPr="002045F5" w:rsidRDefault="00E95FB1" w:rsidP="001B3967">
            <w:pPr>
              <w:jc w:val="left"/>
              <w:rPr>
                <w:b/>
                <w:sz w:val="22"/>
                <w:lang w:val="uk-UA"/>
              </w:rPr>
            </w:pPr>
            <w:r w:rsidRPr="002045F5">
              <w:rPr>
                <w:b/>
                <w:sz w:val="22"/>
                <w:lang w:val="uk-UA"/>
              </w:rPr>
              <w:t xml:space="preserve">Орієнтовний обсяг та джерела    фінансування, </w:t>
            </w:r>
            <w:proofErr w:type="spellStart"/>
            <w:r w:rsidRPr="002045F5">
              <w:rPr>
                <w:b/>
                <w:sz w:val="22"/>
                <w:lang w:val="uk-UA"/>
              </w:rPr>
              <w:t>тис.грн</w:t>
            </w:r>
            <w:proofErr w:type="spellEnd"/>
            <w:r w:rsidRPr="002045F5">
              <w:rPr>
                <w:b/>
                <w:sz w:val="22"/>
                <w:lang w:val="uk-UA"/>
              </w:rPr>
              <w:t>.</w:t>
            </w:r>
          </w:p>
        </w:tc>
        <w:tc>
          <w:tcPr>
            <w:tcW w:w="1630" w:type="dxa"/>
            <w:tcBorders>
              <w:bottom w:val="single" w:sz="4" w:space="0" w:color="auto"/>
            </w:tcBorders>
            <w:vAlign w:val="center"/>
          </w:tcPr>
          <w:p w:rsidR="00E95FB1" w:rsidRPr="002045F5" w:rsidRDefault="00E95FB1" w:rsidP="001B3967">
            <w:pPr>
              <w:jc w:val="center"/>
              <w:rPr>
                <w:b/>
                <w:sz w:val="22"/>
                <w:lang w:val="uk-UA"/>
              </w:rPr>
            </w:pPr>
            <w:r w:rsidRPr="002045F5">
              <w:rPr>
                <w:b/>
                <w:sz w:val="22"/>
                <w:lang w:val="uk-UA"/>
              </w:rPr>
              <w:t>Державний</w:t>
            </w:r>
          </w:p>
          <w:p w:rsidR="00E95FB1" w:rsidRPr="002045F5" w:rsidRDefault="00E95FB1" w:rsidP="001B3967">
            <w:pPr>
              <w:jc w:val="center"/>
              <w:rPr>
                <w:b/>
                <w:sz w:val="22"/>
                <w:lang w:val="uk-UA"/>
              </w:rPr>
            </w:pPr>
            <w:r w:rsidRPr="002045F5">
              <w:rPr>
                <w:b/>
                <w:sz w:val="22"/>
                <w:lang w:val="uk-UA"/>
              </w:rPr>
              <w:t>бюджет</w:t>
            </w:r>
          </w:p>
        </w:tc>
        <w:tc>
          <w:tcPr>
            <w:tcW w:w="1303" w:type="dxa"/>
            <w:tcBorders>
              <w:bottom w:val="single" w:sz="4" w:space="0" w:color="auto"/>
            </w:tcBorders>
            <w:vAlign w:val="center"/>
          </w:tcPr>
          <w:p w:rsidR="00E95FB1" w:rsidRPr="002045F5" w:rsidRDefault="00E95FB1" w:rsidP="001B3967">
            <w:pPr>
              <w:jc w:val="center"/>
              <w:rPr>
                <w:b/>
                <w:sz w:val="22"/>
                <w:lang w:val="uk-UA"/>
              </w:rPr>
            </w:pPr>
            <w:r w:rsidRPr="002045F5">
              <w:rPr>
                <w:b/>
                <w:sz w:val="22"/>
                <w:lang w:val="uk-UA"/>
              </w:rPr>
              <w:t>Місцевий бюджет</w:t>
            </w:r>
          </w:p>
        </w:tc>
        <w:tc>
          <w:tcPr>
            <w:tcW w:w="2815" w:type="dxa"/>
            <w:gridSpan w:val="4"/>
            <w:tcBorders>
              <w:bottom w:val="single" w:sz="4" w:space="0" w:color="auto"/>
            </w:tcBorders>
            <w:vAlign w:val="center"/>
          </w:tcPr>
          <w:p w:rsidR="00E95FB1" w:rsidRPr="002045F5" w:rsidRDefault="00E95FB1" w:rsidP="001B3967">
            <w:pPr>
              <w:jc w:val="center"/>
              <w:rPr>
                <w:b/>
                <w:sz w:val="22"/>
                <w:lang w:val="uk-UA"/>
              </w:rPr>
            </w:pPr>
            <w:r w:rsidRPr="002045F5">
              <w:rPr>
                <w:b/>
                <w:sz w:val="22"/>
                <w:lang w:val="uk-UA"/>
              </w:rPr>
              <w:t>Інші джерела</w:t>
            </w:r>
          </w:p>
        </w:tc>
        <w:tc>
          <w:tcPr>
            <w:tcW w:w="1303" w:type="dxa"/>
            <w:tcBorders>
              <w:bottom w:val="single" w:sz="4" w:space="0" w:color="auto"/>
            </w:tcBorders>
            <w:vAlign w:val="center"/>
          </w:tcPr>
          <w:p w:rsidR="00E95FB1" w:rsidRPr="002045F5" w:rsidRDefault="00E95FB1" w:rsidP="001B3967">
            <w:pPr>
              <w:jc w:val="center"/>
              <w:rPr>
                <w:b/>
                <w:sz w:val="22"/>
                <w:lang w:val="uk-UA"/>
              </w:rPr>
            </w:pPr>
            <w:r w:rsidRPr="002045F5">
              <w:rPr>
                <w:b/>
                <w:sz w:val="22"/>
                <w:lang w:val="uk-UA"/>
              </w:rPr>
              <w:t>Всього</w:t>
            </w:r>
          </w:p>
        </w:tc>
      </w:tr>
      <w:tr w:rsidR="00E95FB1" w:rsidRPr="002045F5" w:rsidTr="001B3967">
        <w:trPr>
          <w:trHeight w:val="810"/>
        </w:trPr>
        <w:tc>
          <w:tcPr>
            <w:tcW w:w="2836" w:type="dxa"/>
            <w:vMerge/>
            <w:tcBorders>
              <w:bottom w:val="single" w:sz="4" w:space="0" w:color="auto"/>
            </w:tcBorders>
            <w:shd w:val="clear" w:color="auto" w:fill="C6D9F1" w:themeFill="text2" w:themeFillTint="33"/>
          </w:tcPr>
          <w:p w:rsidR="00E95FB1" w:rsidRPr="002045F5" w:rsidRDefault="00E95FB1" w:rsidP="001B3967">
            <w:pPr>
              <w:jc w:val="center"/>
              <w:rPr>
                <w:b/>
                <w:sz w:val="22"/>
                <w:lang w:val="uk-UA"/>
              </w:rPr>
            </w:pPr>
          </w:p>
        </w:tc>
        <w:tc>
          <w:tcPr>
            <w:tcW w:w="1630" w:type="dxa"/>
            <w:vMerge w:val="restart"/>
            <w:vAlign w:val="center"/>
          </w:tcPr>
          <w:p w:rsidR="00E95FB1" w:rsidRPr="002045F5" w:rsidRDefault="00E95FB1" w:rsidP="00317CC6">
            <w:pPr>
              <w:jc w:val="center"/>
              <w:rPr>
                <w:sz w:val="22"/>
                <w:lang w:val="uk-UA"/>
              </w:rPr>
            </w:pPr>
            <w:r w:rsidRPr="002045F5">
              <w:rPr>
                <w:sz w:val="22"/>
                <w:lang w:val="uk-UA"/>
              </w:rPr>
              <w:t>572</w:t>
            </w:r>
            <w:r w:rsidR="00317CC6" w:rsidRPr="002045F5">
              <w:rPr>
                <w:sz w:val="22"/>
                <w:lang w:val="uk-UA"/>
              </w:rPr>
              <w:t>8</w:t>
            </w:r>
            <w:r w:rsidRPr="002045F5">
              <w:rPr>
                <w:sz w:val="22"/>
                <w:lang w:val="uk-UA"/>
              </w:rPr>
              <w:t>,8</w:t>
            </w:r>
            <w:r w:rsidR="00317CC6" w:rsidRPr="002045F5">
              <w:rPr>
                <w:sz w:val="22"/>
                <w:lang w:val="uk-UA"/>
              </w:rPr>
              <w:t>9</w:t>
            </w:r>
          </w:p>
        </w:tc>
        <w:tc>
          <w:tcPr>
            <w:tcW w:w="1303" w:type="dxa"/>
            <w:vMerge w:val="restart"/>
            <w:vAlign w:val="center"/>
          </w:tcPr>
          <w:p w:rsidR="00E95FB1" w:rsidRPr="002045F5" w:rsidRDefault="00E95FB1" w:rsidP="001B3967">
            <w:pPr>
              <w:jc w:val="center"/>
              <w:rPr>
                <w:sz w:val="22"/>
                <w:lang w:val="uk-UA"/>
              </w:rPr>
            </w:pPr>
          </w:p>
        </w:tc>
        <w:tc>
          <w:tcPr>
            <w:tcW w:w="1303" w:type="dxa"/>
            <w:gridSpan w:val="2"/>
            <w:tcBorders>
              <w:bottom w:val="single" w:sz="4" w:space="0" w:color="auto"/>
            </w:tcBorders>
            <w:vAlign w:val="center"/>
          </w:tcPr>
          <w:p w:rsidR="00E95FB1" w:rsidRPr="002045F5" w:rsidRDefault="00E95FB1" w:rsidP="001B3967">
            <w:pPr>
              <w:jc w:val="center"/>
              <w:rPr>
                <w:b/>
                <w:sz w:val="22"/>
                <w:lang w:val="uk-UA"/>
              </w:rPr>
            </w:pPr>
            <w:r w:rsidRPr="002045F5">
              <w:rPr>
                <w:b/>
                <w:sz w:val="22"/>
                <w:lang w:val="uk-UA"/>
              </w:rPr>
              <w:t>Обсяг</w:t>
            </w:r>
          </w:p>
        </w:tc>
        <w:tc>
          <w:tcPr>
            <w:tcW w:w="1512" w:type="dxa"/>
            <w:gridSpan w:val="2"/>
            <w:tcBorders>
              <w:bottom w:val="single" w:sz="4" w:space="0" w:color="auto"/>
            </w:tcBorders>
            <w:vAlign w:val="center"/>
          </w:tcPr>
          <w:p w:rsidR="00E95FB1" w:rsidRPr="002045F5" w:rsidRDefault="00E95FB1" w:rsidP="001B3967">
            <w:pPr>
              <w:jc w:val="center"/>
              <w:rPr>
                <w:b/>
                <w:sz w:val="22"/>
                <w:lang w:val="uk-UA"/>
              </w:rPr>
            </w:pPr>
            <w:r w:rsidRPr="002045F5">
              <w:rPr>
                <w:b/>
                <w:sz w:val="22"/>
                <w:lang w:val="uk-UA"/>
              </w:rPr>
              <w:t>Назва</w:t>
            </w:r>
          </w:p>
          <w:p w:rsidR="00E95FB1" w:rsidRPr="002045F5" w:rsidRDefault="00E95FB1" w:rsidP="001B3967">
            <w:pPr>
              <w:jc w:val="center"/>
              <w:rPr>
                <w:b/>
                <w:sz w:val="22"/>
                <w:lang w:val="uk-UA"/>
              </w:rPr>
            </w:pPr>
            <w:r w:rsidRPr="002045F5">
              <w:rPr>
                <w:b/>
                <w:sz w:val="22"/>
                <w:lang w:val="uk-UA"/>
              </w:rPr>
              <w:t>джерела</w:t>
            </w:r>
          </w:p>
        </w:tc>
        <w:tc>
          <w:tcPr>
            <w:tcW w:w="1303" w:type="dxa"/>
            <w:vMerge w:val="restart"/>
            <w:vAlign w:val="center"/>
          </w:tcPr>
          <w:p w:rsidR="00E95FB1" w:rsidRPr="002045F5" w:rsidRDefault="00317CC6" w:rsidP="001B3967">
            <w:pPr>
              <w:jc w:val="center"/>
              <w:rPr>
                <w:sz w:val="22"/>
                <w:lang w:val="uk-UA"/>
              </w:rPr>
            </w:pPr>
            <w:r w:rsidRPr="002045F5">
              <w:rPr>
                <w:sz w:val="22"/>
                <w:lang w:val="uk-UA"/>
              </w:rPr>
              <w:t>8184,129</w:t>
            </w:r>
          </w:p>
        </w:tc>
      </w:tr>
      <w:tr w:rsidR="00E95FB1" w:rsidRPr="002045F5" w:rsidTr="001B3967">
        <w:trPr>
          <w:trHeight w:val="810"/>
        </w:trPr>
        <w:tc>
          <w:tcPr>
            <w:tcW w:w="2836" w:type="dxa"/>
            <w:vMerge/>
            <w:tcBorders>
              <w:bottom w:val="single" w:sz="4" w:space="0" w:color="auto"/>
            </w:tcBorders>
            <w:shd w:val="clear" w:color="auto" w:fill="C6D9F1" w:themeFill="text2" w:themeFillTint="33"/>
          </w:tcPr>
          <w:p w:rsidR="00E95FB1" w:rsidRPr="002045F5" w:rsidRDefault="00E95FB1" w:rsidP="001B3967">
            <w:pPr>
              <w:jc w:val="center"/>
              <w:rPr>
                <w:b/>
                <w:sz w:val="22"/>
                <w:lang w:val="uk-UA"/>
              </w:rPr>
            </w:pPr>
          </w:p>
        </w:tc>
        <w:tc>
          <w:tcPr>
            <w:tcW w:w="1630" w:type="dxa"/>
            <w:vMerge/>
            <w:tcBorders>
              <w:bottom w:val="single" w:sz="4" w:space="0" w:color="auto"/>
            </w:tcBorders>
          </w:tcPr>
          <w:p w:rsidR="00E95FB1" w:rsidRPr="002045F5" w:rsidRDefault="00E95FB1" w:rsidP="001B3967">
            <w:pPr>
              <w:rPr>
                <w:sz w:val="22"/>
                <w:lang w:val="uk-UA"/>
              </w:rPr>
            </w:pPr>
          </w:p>
        </w:tc>
        <w:tc>
          <w:tcPr>
            <w:tcW w:w="1303" w:type="dxa"/>
            <w:vMerge/>
            <w:tcBorders>
              <w:bottom w:val="single" w:sz="4" w:space="0" w:color="auto"/>
            </w:tcBorders>
          </w:tcPr>
          <w:p w:rsidR="00E95FB1" w:rsidRPr="002045F5" w:rsidRDefault="00E95FB1" w:rsidP="001B3967">
            <w:pPr>
              <w:rPr>
                <w:sz w:val="22"/>
                <w:lang w:val="uk-UA"/>
              </w:rPr>
            </w:pPr>
          </w:p>
        </w:tc>
        <w:tc>
          <w:tcPr>
            <w:tcW w:w="1303" w:type="dxa"/>
            <w:gridSpan w:val="2"/>
            <w:tcBorders>
              <w:bottom w:val="single" w:sz="4" w:space="0" w:color="auto"/>
            </w:tcBorders>
            <w:vAlign w:val="center"/>
          </w:tcPr>
          <w:p w:rsidR="00E95FB1" w:rsidRPr="002045F5" w:rsidRDefault="00317CC6" w:rsidP="001B3967">
            <w:pPr>
              <w:jc w:val="center"/>
              <w:rPr>
                <w:sz w:val="22"/>
                <w:lang w:val="uk-UA"/>
              </w:rPr>
            </w:pPr>
            <w:r w:rsidRPr="002045F5">
              <w:rPr>
                <w:sz w:val="22"/>
                <w:lang w:val="uk-UA"/>
              </w:rPr>
              <w:t>2455,239</w:t>
            </w:r>
          </w:p>
        </w:tc>
        <w:tc>
          <w:tcPr>
            <w:tcW w:w="1512" w:type="dxa"/>
            <w:gridSpan w:val="2"/>
            <w:tcBorders>
              <w:bottom w:val="single" w:sz="4" w:space="0" w:color="auto"/>
            </w:tcBorders>
            <w:vAlign w:val="center"/>
          </w:tcPr>
          <w:p w:rsidR="00E95FB1" w:rsidRPr="002045F5" w:rsidRDefault="00E95FB1" w:rsidP="001B3967">
            <w:pPr>
              <w:jc w:val="center"/>
              <w:rPr>
                <w:sz w:val="22"/>
                <w:lang w:val="uk-UA"/>
              </w:rPr>
            </w:pPr>
            <w:r w:rsidRPr="002045F5">
              <w:rPr>
                <w:sz w:val="22"/>
                <w:lang w:val="uk-UA"/>
              </w:rPr>
              <w:t>Міжнародні</w:t>
            </w:r>
          </w:p>
          <w:p w:rsidR="00E95FB1" w:rsidRPr="002045F5" w:rsidRDefault="00E95FB1" w:rsidP="001B3967">
            <w:pPr>
              <w:jc w:val="center"/>
              <w:rPr>
                <w:sz w:val="22"/>
                <w:lang w:val="uk-UA"/>
              </w:rPr>
            </w:pPr>
            <w:r w:rsidRPr="002045F5">
              <w:rPr>
                <w:sz w:val="22"/>
                <w:lang w:val="uk-UA"/>
              </w:rPr>
              <w:t>інвестиції,</w:t>
            </w:r>
          </w:p>
          <w:p w:rsidR="00E95FB1" w:rsidRPr="002045F5" w:rsidRDefault="00E95FB1" w:rsidP="001B3967">
            <w:pPr>
              <w:jc w:val="center"/>
              <w:rPr>
                <w:sz w:val="22"/>
                <w:lang w:val="uk-UA"/>
              </w:rPr>
            </w:pPr>
            <w:r w:rsidRPr="002045F5">
              <w:rPr>
                <w:sz w:val="22"/>
                <w:lang w:val="uk-UA"/>
              </w:rPr>
              <w:t>кошти приватних</w:t>
            </w:r>
          </w:p>
          <w:p w:rsidR="00E95FB1" w:rsidRPr="002045F5" w:rsidRDefault="00E95FB1" w:rsidP="001B3967">
            <w:pPr>
              <w:jc w:val="center"/>
              <w:rPr>
                <w:sz w:val="22"/>
                <w:lang w:val="uk-UA"/>
              </w:rPr>
            </w:pPr>
            <w:r w:rsidRPr="002045F5">
              <w:rPr>
                <w:sz w:val="22"/>
                <w:lang w:val="uk-UA"/>
              </w:rPr>
              <w:t>осіб</w:t>
            </w:r>
          </w:p>
        </w:tc>
        <w:tc>
          <w:tcPr>
            <w:tcW w:w="1303" w:type="dxa"/>
            <w:vMerge/>
            <w:tcBorders>
              <w:bottom w:val="single" w:sz="4" w:space="0" w:color="auto"/>
            </w:tcBorders>
          </w:tcPr>
          <w:p w:rsidR="00E95FB1" w:rsidRPr="002045F5" w:rsidRDefault="00E95FB1" w:rsidP="001B3967">
            <w:pPr>
              <w:rPr>
                <w:sz w:val="22"/>
                <w:lang w:val="uk-UA"/>
              </w:rPr>
            </w:pPr>
          </w:p>
        </w:tc>
      </w:tr>
    </w:tbl>
    <w:p w:rsidR="00E95FB1" w:rsidRPr="002045F5" w:rsidRDefault="00E95FB1" w:rsidP="00E95FB1">
      <w:pPr>
        <w:rPr>
          <w:sz w:val="22"/>
        </w:rPr>
      </w:pPr>
    </w:p>
    <w:p w:rsidR="00E95FB1" w:rsidRPr="002045F5" w:rsidRDefault="00E95FB1" w:rsidP="00E95FB1">
      <w:pPr>
        <w:rPr>
          <w:sz w:val="22"/>
        </w:rPr>
      </w:pPr>
    </w:p>
    <w:p w:rsidR="00E95FB1" w:rsidRPr="002045F5" w:rsidRDefault="00E95FB1" w:rsidP="00E95FB1">
      <w:pPr>
        <w:rPr>
          <w:sz w:val="22"/>
        </w:rPr>
      </w:pPr>
    </w:p>
    <w:tbl>
      <w:tblPr>
        <w:tblStyle w:val="af"/>
        <w:tblW w:w="9923" w:type="dxa"/>
        <w:tblInd w:w="-176" w:type="dxa"/>
        <w:tblLook w:val="04A0" w:firstRow="1" w:lastRow="0" w:firstColumn="1" w:lastColumn="0" w:noHBand="0" w:noVBand="1"/>
      </w:tblPr>
      <w:tblGrid>
        <w:gridCol w:w="2836"/>
        <w:gridCol w:w="1378"/>
        <w:gridCol w:w="1208"/>
        <w:gridCol w:w="1546"/>
        <w:gridCol w:w="1211"/>
        <w:gridCol w:w="1744"/>
      </w:tblGrid>
      <w:tr w:rsidR="005C3DE5" w:rsidRPr="005C3DE5" w:rsidTr="005C3DE5">
        <w:tc>
          <w:tcPr>
            <w:tcW w:w="283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C3DE5" w:rsidRDefault="005C3DE5" w:rsidP="00686726">
            <w:pPr>
              <w:rPr>
                <w:b/>
                <w:bCs/>
                <w:sz w:val="24"/>
                <w:szCs w:val="24"/>
              </w:rPr>
            </w:pPr>
            <w:r w:rsidRPr="005C3DE5">
              <w:rPr>
                <w:b/>
                <w:bCs/>
                <w:sz w:val="24"/>
                <w:szCs w:val="24"/>
              </w:rPr>
              <w:t xml:space="preserve">Оперативна </w:t>
            </w:r>
            <w:proofErr w:type="spellStart"/>
            <w:r w:rsidRPr="005C3DE5">
              <w:rPr>
                <w:b/>
                <w:bCs/>
                <w:sz w:val="24"/>
                <w:szCs w:val="24"/>
              </w:rPr>
              <w:t>ціль</w:t>
            </w:r>
            <w:proofErr w:type="spellEnd"/>
            <w:r w:rsidRPr="005C3DE5">
              <w:rPr>
                <w:b/>
                <w:bCs/>
                <w:sz w:val="24"/>
                <w:szCs w:val="24"/>
              </w:rPr>
              <w:t>/</w:t>
            </w:r>
            <w:proofErr w:type="spellStart"/>
            <w:r w:rsidRPr="005C3DE5">
              <w:rPr>
                <w:b/>
                <w:bCs/>
                <w:sz w:val="24"/>
                <w:szCs w:val="24"/>
              </w:rPr>
              <w:t>завдання</w:t>
            </w:r>
            <w:proofErr w:type="spellEnd"/>
          </w:p>
          <w:p w:rsidR="005C3DE5" w:rsidRPr="005C3DE5" w:rsidRDefault="005C3DE5" w:rsidP="00686726">
            <w:pPr>
              <w:rPr>
                <w:b/>
                <w:bCs/>
                <w:sz w:val="24"/>
                <w:szCs w:val="24"/>
              </w:rPr>
            </w:pPr>
          </w:p>
        </w:tc>
        <w:tc>
          <w:tcPr>
            <w:tcW w:w="7087" w:type="dxa"/>
            <w:gridSpan w:val="5"/>
            <w:tcBorders>
              <w:top w:val="single" w:sz="4" w:space="0" w:color="auto"/>
              <w:left w:val="single" w:sz="4" w:space="0" w:color="auto"/>
              <w:bottom w:val="single" w:sz="4" w:space="0" w:color="auto"/>
              <w:right w:val="single" w:sz="4" w:space="0" w:color="auto"/>
            </w:tcBorders>
          </w:tcPr>
          <w:p w:rsidR="005C3DE5" w:rsidRPr="005C3DE5" w:rsidRDefault="005C3DE5" w:rsidP="00686726">
            <w:pPr>
              <w:jc w:val="left"/>
              <w:rPr>
                <w:sz w:val="24"/>
                <w:szCs w:val="24"/>
              </w:rPr>
            </w:pPr>
            <w:r w:rsidRPr="005C3DE5">
              <w:rPr>
                <w:sz w:val="24"/>
                <w:szCs w:val="24"/>
              </w:rPr>
              <w:t xml:space="preserve">ЛЮДСЬКИЙ РОЗВИТОК через </w:t>
            </w:r>
            <w:proofErr w:type="spellStart"/>
            <w:r w:rsidRPr="005C3DE5">
              <w:rPr>
                <w:sz w:val="24"/>
                <w:szCs w:val="24"/>
              </w:rPr>
              <w:t>інновації</w:t>
            </w:r>
            <w:proofErr w:type="spellEnd"/>
            <w:r w:rsidRPr="005C3DE5">
              <w:rPr>
                <w:sz w:val="24"/>
                <w:szCs w:val="24"/>
              </w:rPr>
              <w:t xml:space="preserve"> </w:t>
            </w:r>
            <w:proofErr w:type="spellStart"/>
            <w:r w:rsidRPr="005C3DE5">
              <w:rPr>
                <w:sz w:val="24"/>
                <w:szCs w:val="24"/>
              </w:rPr>
              <w:t>управління</w:t>
            </w:r>
            <w:proofErr w:type="spellEnd"/>
            <w:r w:rsidRPr="005C3DE5">
              <w:rPr>
                <w:sz w:val="24"/>
                <w:szCs w:val="24"/>
              </w:rPr>
              <w:t xml:space="preserve"> та </w:t>
            </w:r>
            <w:proofErr w:type="spellStart"/>
            <w:r w:rsidRPr="005C3DE5">
              <w:rPr>
                <w:sz w:val="24"/>
                <w:szCs w:val="24"/>
              </w:rPr>
              <w:t>довіру</w:t>
            </w:r>
            <w:proofErr w:type="spellEnd"/>
            <w:r w:rsidRPr="005C3DE5">
              <w:rPr>
                <w:sz w:val="24"/>
                <w:szCs w:val="24"/>
              </w:rPr>
              <w:t xml:space="preserve"> до </w:t>
            </w:r>
            <w:proofErr w:type="spellStart"/>
            <w:r w:rsidRPr="005C3DE5">
              <w:rPr>
                <w:sz w:val="24"/>
                <w:szCs w:val="24"/>
              </w:rPr>
              <w:t>влади</w:t>
            </w:r>
            <w:proofErr w:type="spellEnd"/>
            <w:r w:rsidRPr="005C3DE5">
              <w:rPr>
                <w:sz w:val="24"/>
                <w:szCs w:val="24"/>
              </w:rPr>
              <w:t xml:space="preserve">. </w:t>
            </w:r>
            <w:proofErr w:type="spellStart"/>
            <w:r w:rsidRPr="005C3DE5">
              <w:rPr>
                <w:sz w:val="24"/>
                <w:szCs w:val="24"/>
              </w:rPr>
              <w:t>Соціальна</w:t>
            </w:r>
            <w:proofErr w:type="spellEnd"/>
            <w:r w:rsidRPr="005C3DE5">
              <w:rPr>
                <w:sz w:val="24"/>
                <w:szCs w:val="24"/>
              </w:rPr>
              <w:t xml:space="preserve"> </w:t>
            </w:r>
            <w:proofErr w:type="spellStart"/>
            <w:r w:rsidRPr="005C3DE5">
              <w:rPr>
                <w:sz w:val="24"/>
                <w:szCs w:val="24"/>
              </w:rPr>
              <w:t>справедливість</w:t>
            </w:r>
            <w:proofErr w:type="spellEnd"/>
            <w:r w:rsidRPr="005C3DE5">
              <w:rPr>
                <w:sz w:val="24"/>
                <w:szCs w:val="24"/>
              </w:rPr>
              <w:t xml:space="preserve"> та </w:t>
            </w:r>
            <w:proofErr w:type="spellStart"/>
            <w:r w:rsidRPr="005C3DE5">
              <w:rPr>
                <w:sz w:val="24"/>
                <w:szCs w:val="24"/>
              </w:rPr>
              <w:t>захист</w:t>
            </w:r>
            <w:proofErr w:type="spellEnd"/>
            <w:r w:rsidRPr="005C3DE5">
              <w:rPr>
                <w:sz w:val="24"/>
                <w:szCs w:val="24"/>
              </w:rPr>
              <w:t xml:space="preserve">, </w:t>
            </w:r>
            <w:proofErr w:type="spellStart"/>
            <w:r w:rsidRPr="005C3DE5">
              <w:rPr>
                <w:sz w:val="24"/>
                <w:szCs w:val="24"/>
              </w:rPr>
              <w:t>забезпечення</w:t>
            </w:r>
            <w:proofErr w:type="spellEnd"/>
            <w:r w:rsidRPr="005C3DE5">
              <w:rPr>
                <w:sz w:val="24"/>
                <w:szCs w:val="24"/>
              </w:rPr>
              <w:t xml:space="preserve"> </w:t>
            </w:r>
            <w:proofErr w:type="spellStart"/>
            <w:r w:rsidRPr="005C3DE5">
              <w:rPr>
                <w:sz w:val="24"/>
                <w:szCs w:val="24"/>
              </w:rPr>
              <w:t>рівних</w:t>
            </w:r>
            <w:proofErr w:type="spellEnd"/>
            <w:r w:rsidRPr="005C3DE5">
              <w:rPr>
                <w:sz w:val="24"/>
                <w:szCs w:val="24"/>
              </w:rPr>
              <w:t xml:space="preserve"> прав та </w:t>
            </w:r>
            <w:proofErr w:type="spellStart"/>
            <w:r w:rsidRPr="005C3DE5">
              <w:rPr>
                <w:sz w:val="24"/>
                <w:szCs w:val="24"/>
              </w:rPr>
              <w:t>можливостей</w:t>
            </w:r>
            <w:proofErr w:type="spellEnd"/>
            <w:r w:rsidRPr="005C3DE5">
              <w:rPr>
                <w:sz w:val="24"/>
                <w:szCs w:val="24"/>
              </w:rPr>
              <w:t xml:space="preserve"> </w:t>
            </w:r>
            <w:proofErr w:type="spellStart"/>
            <w:r w:rsidRPr="005C3DE5">
              <w:rPr>
                <w:sz w:val="24"/>
                <w:szCs w:val="24"/>
              </w:rPr>
              <w:t>жінок</w:t>
            </w:r>
            <w:proofErr w:type="spellEnd"/>
            <w:r w:rsidRPr="005C3DE5">
              <w:rPr>
                <w:sz w:val="24"/>
                <w:szCs w:val="24"/>
              </w:rPr>
              <w:t xml:space="preserve"> і </w:t>
            </w:r>
            <w:proofErr w:type="spellStart"/>
            <w:r w:rsidRPr="005C3DE5">
              <w:rPr>
                <w:sz w:val="24"/>
                <w:szCs w:val="24"/>
              </w:rPr>
              <w:t>чоловіків</w:t>
            </w:r>
            <w:proofErr w:type="spellEnd"/>
          </w:p>
        </w:tc>
      </w:tr>
      <w:tr w:rsidR="005C3DE5" w:rsidRPr="005C3DE5" w:rsidTr="005C3DE5">
        <w:tc>
          <w:tcPr>
            <w:tcW w:w="283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C3DE5" w:rsidRPr="005C3DE5" w:rsidRDefault="005C3DE5" w:rsidP="00686726">
            <w:pPr>
              <w:rPr>
                <w:b/>
                <w:bCs/>
                <w:sz w:val="24"/>
                <w:szCs w:val="24"/>
              </w:rPr>
            </w:pPr>
            <w:proofErr w:type="spellStart"/>
            <w:r w:rsidRPr="005C3DE5">
              <w:rPr>
                <w:b/>
                <w:bCs/>
                <w:sz w:val="24"/>
                <w:szCs w:val="24"/>
              </w:rPr>
              <w:t>Назва</w:t>
            </w:r>
            <w:proofErr w:type="spellEnd"/>
            <w:r w:rsidRPr="005C3DE5">
              <w:rPr>
                <w:b/>
                <w:bCs/>
                <w:sz w:val="24"/>
                <w:szCs w:val="24"/>
              </w:rPr>
              <w:t xml:space="preserve"> </w:t>
            </w:r>
            <w:proofErr w:type="spellStart"/>
            <w:r w:rsidRPr="005C3DE5">
              <w:rPr>
                <w:b/>
                <w:bCs/>
                <w:sz w:val="24"/>
                <w:szCs w:val="24"/>
              </w:rPr>
              <w:t>проєкту</w:t>
            </w:r>
            <w:proofErr w:type="spellEnd"/>
            <w:r w:rsidRPr="005C3DE5">
              <w:rPr>
                <w:b/>
                <w:bCs/>
                <w:sz w:val="24"/>
                <w:szCs w:val="24"/>
              </w:rPr>
              <w:t>:</w:t>
            </w:r>
          </w:p>
        </w:tc>
        <w:tc>
          <w:tcPr>
            <w:tcW w:w="7087" w:type="dxa"/>
            <w:gridSpan w:val="5"/>
            <w:tcBorders>
              <w:top w:val="single" w:sz="4" w:space="0" w:color="auto"/>
              <w:left w:val="single" w:sz="4" w:space="0" w:color="auto"/>
              <w:bottom w:val="single" w:sz="4" w:space="0" w:color="auto"/>
              <w:right w:val="single" w:sz="4" w:space="0" w:color="auto"/>
            </w:tcBorders>
            <w:hideMark/>
          </w:tcPr>
          <w:p w:rsidR="005C3DE5" w:rsidRPr="005C3DE5" w:rsidRDefault="005C3DE5" w:rsidP="00686726">
            <w:pPr>
              <w:rPr>
                <w:sz w:val="24"/>
                <w:szCs w:val="24"/>
              </w:rPr>
            </w:pPr>
            <w:proofErr w:type="spellStart"/>
            <w:r w:rsidRPr="005C3DE5">
              <w:rPr>
                <w:sz w:val="24"/>
                <w:szCs w:val="24"/>
              </w:rPr>
              <w:t>Відновлення</w:t>
            </w:r>
            <w:proofErr w:type="spellEnd"/>
            <w:r w:rsidRPr="005C3DE5">
              <w:rPr>
                <w:sz w:val="24"/>
                <w:szCs w:val="24"/>
              </w:rPr>
              <w:t xml:space="preserve"> </w:t>
            </w:r>
            <w:proofErr w:type="spellStart"/>
            <w:r w:rsidRPr="005C3DE5">
              <w:rPr>
                <w:sz w:val="24"/>
                <w:szCs w:val="24"/>
              </w:rPr>
              <w:t>діяльності</w:t>
            </w:r>
            <w:proofErr w:type="spellEnd"/>
            <w:r w:rsidRPr="005C3DE5">
              <w:rPr>
                <w:sz w:val="24"/>
                <w:szCs w:val="24"/>
              </w:rPr>
              <w:t xml:space="preserve"> (</w:t>
            </w:r>
            <w:proofErr w:type="spellStart"/>
            <w:r w:rsidRPr="005C3DE5">
              <w:rPr>
                <w:sz w:val="24"/>
                <w:szCs w:val="24"/>
              </w:rPr>
              <w:t>розвитку</w:t>
            </w:r>
            <w:proofErr w:type="spellEnd"/>
            <w:r w:rsidRPr="005C3DE5">
              <w:rPr>
                <w:sz w:val="24"/>
                <w:szCs w:val="24"/>
              </w:rPr>
              <w:t xml:space="preserve">) </w:t>
            </w:r>
            <w:proofErr w:type="spellStart"/>
            <w:r w:rsidRPr="005C3DE5">
              <w:rPr>
                <w:sz w:val="24"/>
                <w:szCs w:val="24"/>
              </w:rPr>
              <w:t>Ветеранського</w:t>
            </w:r>
            <w:proofErr w:type="spellEnd"/>
            <w:r w:rsidRPr="005C3DE5">
              <w:rPr>
                <w:sz w:val="24"/>
                <w:szCs w:val="24"/>
              </w:rPr>
              <w:t xml:space="preserve"> простору </w:t>
            </w:r>
            <w:proofErr w:type="spellStart"/>
            <w:r w:rsidRPr="005C3DE5">
              <w:rPr>
                <w:sz w:val="24"/>
                <w:szCs w:val="24"/>
              </w:rPr>
              <w:t>Управління</w:t>
            </w:r>
            <w:proofErr w:type="spellEnd"/>
            <w:r w:rsidRPr="005C3DE5">
              <w:rPr>
                <w:sz w:val="24"/>
                <w:szCs w:val="24"/>
              </w:rPr>
              <w:t xml:space="preserve"> </w:t>
            </w:r>
            <w:proofErr w:type="spellStart"/>
            <w:r w:rsidRPr="005C3DE5">
              <w:rPr>
                <w:sz w:val="24"/>
                <w:szCs w:val="24"/>
              </w:rPr>
              <w:t>соціального</w:t>
            </w:r>
            <w:proofErr w:type="spellEnd"/>
            <w:r w:rsidRPr="005C3DE5">
              <w:rPr>
                <w:sz w:val="24"/>
                <w:szCs w:val="24"/>
              </w:rPr>
              <w:t xml:space="preserve"> </w:t>
            </w:r>
            <w:proofErr w:type="spellStart"/>
            <w:r w:rsidRPr="005C3DE5">
              <w:rPr>
                <w:sz w:val="24"/>
                <w:szCs w:val="24"/>
              </w:rPr>
              <w:t>захисту</w:t>
            </w:r>
            <w:proofErr w:type="spellEnd"/>
            <w:r w:rsidRPr="005C3DE5">
              <w:rPr>
                <w:sz w:val="24"/>
                <w:szCs w:val="24"/>
              </w:rPr>
              <w:t xml:space="preserve"> </w:t>
            </w:r>
            <w:proofErr w:type="spellStart"/>
            <w:r w:rsidRPr="005C3DE5">
              <w:rPr>
                <w:sz w:val="24"/>
                <w:szCs w:val="24"/>
              </w:rPr>
              <w:t>населення</w:t>
            </w:r>
            <w:proofErr w:type="spellEnd"/>
            <w:r w:rsidRPr="005C3DE5">
              <w:rPr>
                <w:sz w:val="24"/>
                <w:szCs w:val="24"/>
              </w:rPr>
              <w:t xml:space="preserve"> </w:t>
            </w:r>
            <w:proofErr w:type="spellStart"/>
            <w:r w:rsidRPr="005C3DE5">
              <w:rPr>
                <w:sz w:val="24"/>
                <w:szCs w:val="24"/>
              </w:rPr>
              <w:t>Сєвєродонецької</w:t>
            </w:r>
            <w:proofErr w:type="spellEnd"/>
            <w:r w:rsidRPr="005C3DE5">
              <w:rPr>
                <w:sz w:val="24"/>
                <w:szCs w:val="24"/>
              </w:rPr>
              <w:t xml:space="preserve"> </w:t>
            </w:r>
            <w:proofErr w:type="spellStart"/>
            <w:r w:rsidRPr="005C3DE5">
              <w:rPr>
                <w:sz w:val="24"/>
                <w:szCs w:val="24"/>
              </w:rPr>
              <w:t>міської</w:t>
            </w:r>
            <w:proofErr w:type="spellEnd"/>
            <w:r w:rsidRPr="005C3DE5">
              <w:rPr>
                <w:sz w:val="24"/>
                <w:szCs w:val="24"/>
              </w:rPr>
              <w:t xml:space="preserve"> </w:t>
            </w:r>
            <w:proofErr w:type="spellStart"/>
            <w:r w:rsidRPr="005C3DE5">
              <w:rPr>
                <w:sz w:val="24"/>
                <w:szCs w:val="24"/>
              </w:rPr>
              <w:t>військової</w:t>
            </w:r>
            <w:proofErr w:type="spellEnd"/>
            <w:r w:rsidRPr="005C3DE5">
              <w:rPr>
                <w:sz w:val="24"/>
                <w:szCs w:val="24"/>
              </w:rPr>
              <w:t xml:space="preserve"> </w:t>
            </w:r>
            <w:proofErr w:type="spellStart"/>
            <w:r w:rsidRPr="005C3DE5">
              <w:rPr>
                <w:sz w:val="24"/>
                <w:szCs w:val="24"/>
              </w:rPr>
              <w:t>адміністрації</w:t>
            </w:r>
            <w:proofErr w:type="spellEnd"/>
            <w:r w:rsidRPr="005C3DE5">
              <w:rPr>
                <w:sz w:val="24"/>
                <w:szCs w:val="24"/>
              </w:rPr>
              <w:t xml:space="preserve"> </w:t>
            </w:r>
            <w:proofErr w:type="spellStart"/>
            <w:r w:rsidRPr="005C3DE5">
              <w:rPr>
                <w:sz w:val="24"/>
                <w:szCs w:val="24"/>
              </w:rPr>
              <w:t>Сєвєродонецького</w:t>
            </w:r>
            <w:proofErr w:type="spellEnd"/>
            <w:r w:rsidRPr="005C3DE5">
              <w:rPr>
                <w:sz w:val="24"/>
                <w:szCs w:val="24"/>
              </w:rPr>
              <w:t xml:space="preserve"> району </w:t>
            </w:r>
            <w:proofErr w:type="spellStart"/>
            <w:r w:rsidRPr="005C3DE5">
              <w:rPr>
                <w:sz w:val="24"/>
                <w:szCs w:val="24"/>
              </w:rPr>
              <w:t>Луганської</w:t>
            </w:r>
            <w:proofErr w:type="spellEnd"/>
            <w:r w:rsidRPr="005C3DE5">
              <w:rPr>
                <w:sz w:val="24"/>
                <w:szCs w:val="24"/>
              </w:rPr>
              <w:t xml:space="preserve"> </w:t>
            </w:r>
            <w:proofErr w:type="spellStart"/>
            <w:r w:rsidRPr="005C3DE5">
              <w:rPr>
                <w:sz w:val="24"/>
                <w:szCs w:val="24"/>
              </w:rPr>
              <w:t>області</w:t>
            </w:r>
            <w:proofErr w:type="spellEnd"/>
          </w:p>
        </w:tc>
      </w:tr>
      <w:tr w:rsidR="005C3DE5" w:rsidRPr="005C3DE5" w:rsidTr="005C3DE5">
        <w:tc>
          <w:tcPr>
            <w:tcW w:w="283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C3DE5" w:rsidRPr="005C3DE5" w:rsidRDefault="005C3DE5" w:rsidP="00686726">
            <w:pPr>
              <w:rPr>
                <w:b/>
                <w:bCs/>
                <w:sz w:val="24"/>
                <w:szCs w:val="24"/>
              </w:rPr>
            </w:pPr>
            <w:proofErr w:type="spellStart"/>
            <w:r w:rsidRPr="005C3DE5">
              <w:rPr>
                <w:b/>
                <w:bCs/>
                <w:sz w:val="24"/>
                <w:szCs w:val="24"/>
              </w:rPr>
              <w:t>Ціль</w:t>
            </w:r>
            <w:proofErr w:type="spellEnd"/>
            <w:r w:rsidRPr="005C3DE5">
              <w:rPr>
                <w:b/>
                <w:bCs/>
                <w:sz w:val="24"/>
                <w:szCs w:val="24"/>
              </w:rPr>
              <w:t xml:space="preserve"> </w:t>
            </w:r>
            <w:proofErr w:type="spellStart"/>
            <w:r w:rsidRPr="005C3DE5">
              <w:rPr>
                <w:b/>
                <w:bCs/>
                <w:sz w:val="24"/>
                <w:szCs w:val="24"/>
              </w:rPr>
              <w:t>проєкту</w:t>
            </w:r>
            <w:proofErr w:type="spellEnd"/>
          </w:p>
        </w:tc>
        <w:tc>
          <w:tcPr>
            <w:tcW w:w="7087" w:type="dxa"/>
            <w:gridSpan w:val="5"/>
            <w:tcBorders>
              <w:top w:val="single" w:sz="4" w:space="0" w:color="auto"/>
              <w:left w:val="single" w:sz="4" w:space="0" w:color="auto"/>
              <w:bottom w:val="single" w:sz="4" w:space="0" w:color="auto"/>
              <w:right w:val="single" w:sz="4" w:space="0" w:color="auto"/>
            </w:tcBorders>
            <w:hideMark/>
          </w:tcPr>
          <w:p w:rsidR="005C3DE5" w:rsidRPr="005C3DE5" w:rsidRDefault="005C3DE5" w:rsidP="00686726">
            <w:pPr>
              <w:rPr>
                <w:sz w:val="24"/>
                <w:szCs w:val="24"/>
              </w:rPr>
            </w:pPr>
            <w:proofErr w:type="spellStart"/>
            <w:r w:rsidRPr="005C3DE5">
              <w:rPr>
                <w:sz w:val="24"/>
                <w:szCs w:val="24"/>
              </w:rPr>
              <w:t>Відновити</w:t>
            </w:r>
            <w:proofErr w:type="spellEnd"/>
            <w:r w:rsidRPr="005C3DE5">
              <w:rPr>
                <w:sz w:val="24"/>
                <w:szCs w:val="24"/>
              </w:rPr>
              <w:t xml:space="preserve"> та </w:t>
            </w:r>
            <w:proofErr w:type="spellStart"/>
            <w:r w:rsidRPr="005C3DE5">
              <w:rPr>
                <w:sz w:val="24"/>
                <w:szCs w:val="24"/>
              </w:rPr>
              <w:t>покращити</w:t>
            </w:r>
            <w:proofErr w:type="spellEnd"/>
            <w:r w:rsidRPr="005C3DE5">
              <w:rPr>
                <w:sz w:val="24"/>
                <w:szCs w:val="24"/>
              </w:rPr>
              <w:t xml:space="preserve"> роботу </w:t>
            </w:r>
            <w:proofErr w:type="spellStart"/>
            <w:r w:rsidRPr="005C3DE5">
              <w:rPr>
                <w:sz w:val="24"/>
                <w:szCs w:val="24"/>
              </w:rPr>
              <w:t>Ветеранського</w:t>
            </w:r>
            <w:proofErr w:type="spellEnd"/>
            <w:r w:rsidRPr="005C3DE5">
              <w:rPr>
                <w:sz w:val="24"/>
                <w:szCs w:val="24"/>
              </w:rPr>
              <w:t xml:space="preserve"> простору </w:t>
            </w:r>
            <w:proofErr w:type="spellStart"/>
            <w:r w:rsidRPr="005C3DE5">
              <w:rPr>
                <w:sz w:val="24"/>
                <w:szCs w:val="24"/>
              </w:rPr>
              <w:t>Управління</w:t>
            </w:r>
            <w:proofErr w:type="spellEnd"/>
            <w:r w:rsidRPr="005C3DE5">
              <w:rPr>
                <w:sz w:val="24"/>
                <w:szCs w:val="24"/>
              </w:rPr>
              <w:t xml:space="preserve"> </w:t>
            </w:r>
            <w:proofErr w:type="spellStart"/>
            <w:r w:rsidRPr="005C3DE5">
              <w:rPr>
                <w:sz w:val="24"/>
                <w:szCs w:val="24"/>
              </w:rPr>
              <w:t>соціального</w:t>
            </w:r>
            <w:proofErr w:type="spellEnd"/>
            <w:r w:rsidRPr="005C3DE5">
              <w:rPr>
                <w:sz w:val="24"/>
                <w:szCs w:val="24"/>
              </w:rPr>
              <w:t xml:space="preserve"> </w:t>
            </w:r>
            <w:proofErr w:type="spellStart"/>
            <w:r w:rsidRPr="005C3DE5">
              <w:rPr>
                <w:sz w:val="24"/>
                <w:szCs w:val="24"/>
              </w:rPr>
              <w:t>захисту</w:t>
            </w:r>
            <w:proofErr w:type="spellEnd"/>
            <w:r w:rsidRPr="005C3DE5">
              <w:rPr>
                <w:sz w:val="24"/>
                <w:szCs w:val="24"/>
              </w:rPr>
              <w:t xml:space="preserve"> </w:t>
            </w:r>
            <w:proofErr w:type="spellStart"/>
            <w:r w:rsidRPr="005C3DE5">
              <w:rPr>
                <w:sz w:val="24"/>
                <w:szCs w:val="24"/>
              </w:rPr>
              <w:t>населення</w:t>
            </w:r>
            <w:proofErr w:type="spellEnd"/>
            <w:r w:rsidRPr="005C3DE5">
              <w:rPr>
                <w:sz w:val="24"/>
                <w:szCs w:val="24"/>
              </w:rPr>
              <w:t xml:space="preserve"> </w:t>
            </w:r>
            <w:proofErr w:type="spellStart"/>
            <w:r w:rsidRPr="005C3DE5">
              <w:rPr>
                <w:sz w:val="24"/>
                <w:szCs w:val="24"/>
              </w:rPr>
              <w:t>Сєвєродонецької</w:t>
            </w:r>
            <w:proofErr w:type="spellEnd"/>
            <w:r w:rsidRPr="005C3DE5">
              <w:rPr>
                <w:sz w:val="24"/>
                <w:szCs w:val="24"/>
              </w:rPr>
              <w:t xml:space="preserve"> </w:t>
            </w:r>
            <w:proofErr w:type="spellStart"/>
            <w:r w:rsidRPr="005C3DE5">
              <w:rPr>
                <w:sz w:val="24"/>
                <w:szCs w:val="24"/>
              </w:rPr>
              <w:t>міської</w:t>
            </w:r>
            <w:proofErr w:type="spellEnd"/>
            <w:r w:rsidRPr="005C3DE5">
              <w:rPr>
                <w:sz w:val="24"/>
                <w:szCs w:val="24"/>
              </w:rPr>
              <w:t xml:space="preserve"> </w:t>
            </w:r>
            <w:proofErr w:type="spellStart"/>
            <w:r w:rsidRPr="005C3DE5">
              <w:rPr>
                <w:sz w:val="24"/>
                <w:szCs w:val="24"/>
              </w:rPr>
              <w:t>військової</w:t>
            </w:r>
            <w:proofErr w:type="spellEnd"/>
            <w:r w:rsidRPr="005C3DE5">
              <w:rPr>
                <w:sz w:val="24"/>
                <w:szCs w:val="24"/>
              </w:rPr>
              <w:t xml:space="preserve"> </w:t>
            </w:r>
            <w:proofErr w:type="spellStart"/>
            <w:r w:rsidRPr="005C3DE5">
              <w:rPr>
                <w:sz w:val="24"/>
                <w:szCs w:val="24"/>
              </w:rPr>
              <w:t>адміністрації</w:t>
            </w:r>
            <w:proofErr w:type="spellEnd"/>
            <w:r w:rsidRPr="005C3DE5">
              <w:rPr>
                <w:sz w:val="24"/>
                <w:szCs w:val="24"/>
              </w:rPr>
              <w:t xml:space="preserve"> </w:t>
            </w:r>
            <w:proofErr w:type="spellStart"/>
            <w:r w:rsidRPr="005C3DE5">
              <w:rPr>
                <w:sz w:val="24"/>
                <w:szCs w:val="24"/>
              </w:rPr>
              <w:t>Сєвєродонецького</w:t>
            </w:r>
            <w:proofErr w:type="spellEnd"/>
            <w:r w:rsidRPr="005C3DE5">
              <w:rPr>
                <w:sz w:val="24"/>
                <w:szCs w:val="24"/>
              </w:rPr>
              <w:t xml:space="preserve"> району </w:t>
            </w:r>
            <w:proofErr w:type="spellStart"/>
            <w:r w:rsidRPr="005C3DE5">
              <w:rPr>
                <w:sz w:val="24"/>
                <w:szCs w:val="24"/>
              </w:rPr>
              <w:t>Луганської</w:t>
            </w:r>
            <w:proofErr w:type="spellEnd"/>
            <w:r w:rsidRPr="005C3DE5">
              <w:rPr>
                <w:sz w:val="24"/>
                <w:szCs w:val="24"/>
              </w:rPr>
              <w:t xml:space="preserve"> </w:t>
            </w:r>
            <w:proofErr w:type="spellStart"/>
            <w:r w:rsidRPr="005C3DE5">
              <w:rPr>
                <w:sz w:val="24"/>
                <w:szCs w:val="24"/>
              </w:rPr>
              <w:t>області</w:t>
            </w:r>
            <w:proofErr w:type="spellEnd"/>
            <w:r w:rsidRPr="005C3DE5">
              <w:rPr>
                <w:sz w:val="24"/>
                <w:szCs w:val="24"/>
              </w:rPr>
              <w:t xml:space="preserve"> у </w:t>
            </w:r>
            <w:proofErr w:type="spellStart"/>
            <w:r w:rsidRPr="005C3DE5">
              <w:rPr>
                <w:sz w:val="24"/>
                <w:szCs w:val="24"/>
              </w:rPr>
              <w:t>сфері</w:t>
            </w:r>
            <w:proofErr w:type="spellEnd"/>
            <w:r w:rsidRPr="005C3DE5">
              <w:rPr>
                <w:sz w:val="24"/>
                <w:szCs w:val="24"/>
              </w:rPr>
              <w:t xml:space="preserve"> </w:t>
            </w:r>
            <w:proofErr w:type="spellStart"/>
            <w:r w:rsidRPr="005C3DE5">
              <w:rPr>
                <w:sz w:val="24"/>
                <w:szCs w:val="24"/>
              </w:rPr>
              <w:t>соціального</w:t>
            </w:r>
            <w:proofErr w:type="spellEnd"/>
            <w:r w:rsidRPr="005C3DE5">
              <w:rPr>
                <w:sz w:val="24"/>
                <w:szCs w:val="24"/>
              </w:rPr>
              <w:t xml:space="preserve"> </w:t>
            </w:r>
            <w:proofErr w:type="spellStart"/>
            <w:r w:rsidRPr="005C3DE5">
              <w:rPr>
                <w:sz w:val="24"/>
                <w:szCs w:val="24"/>
              </w:rPr>
              <w:t>захисту</w:t>
            </w:r>
            <w:proofErr w:type="spellEnd"/>
            <w:r w:rsidRPr="005C3DE5">
              <w:rPr>
                <w:sz w:val="24"/>
                <w:szCs w:val="24"/>
              </w:rPr>
              <w:t xml:space="preserve"> </w:t>
            </w:r>
            <w:proofErr w:type="spellStart"/>
            <w:r w:rsidRPr="005C3DE5">
              <w:rPr>
                <w:sz w:val="24"/>
                <w:szCs w:val="24"/>
              </w:rPr>
              <w:t>соціальному</w:t>
            </w:r>
            <w:proofErr w:type="spellEnd"/>
            <w:r w:rsidRPr="005C3DE5">
              <w:rPr>
                <w:sz w:val="24"/>
                <w:szCs w:val="24"/>
              </w:rPr>
              <w:t xml:space="preserve"> </w:t>
            </w:r>
            <w:proofErr w:type="spellStart"/>
            <w:r w:rsidRPr="005C3DE5">
              <w:rPr>
                <w:sz w:val="24"/>
                <w:szCs w:val="24"/>
              </w:rPr>
              <w:t>захисту</w:t>
            </w:r>
            <w:proofErr w:type="spellEnd"/>
            <w:r w:rsidRPr="005C3DE5">
              <w:rPr>
                <w:sz w:val="24"/>
                <w:szCs w:val="24"/>
              </w:rPr>
              <w:t xml:space="preserve"> </w:t>
            </w:r>
            <w:proofErr w:type="spellStart"/>
            <w:r w:rsidRPr="005C3DE5">
              <w:rPr>
                <w:sz w:val="24"/>
                <w:szCs w:val="24"/>
              </w:rPr>
              <w:t>ветеранів</w:t>
            </w:r>
            <w:proofErr w:type="spellEnd"/>
            <w:r w:rsidRPr="005C3DE5">
              <w:rPr>
                <w:sz w:val="24"/>
                <w:szCs w:val="24"/>
              </w:rPr>
              <w:t xml:space="preserve"> та </w:t>
            </w:r>
            <w:proofErr w:type="spellStart"/>
            <w:r w:rsidRPr="005C3DE5">
              <w:rPr>
                <w:sz w:val="24"/>
                <w:szCs w:val="24"/>
              </w:rPr>
              <w:t>членів</w:t>
            </w:r>
            <w:proofErr w:type="spellEnd"/>
            <w:r w:rsidRPr="005C3DE5">
              <w:rPr>
                <w:sz w:val="24"/>
                <w:szCs w:val="24"/>
              </w:rPr>
              <w:t xml:space="preserve"> </w:t>
            </w:r>
            <w:proofErr w:type="spellStart"/>
            <w:r w:rsidRPr="005C3DE5">
              <w:rPr>
                <w:sz w:val="24"/>
                <w:szCs w:val="24"/>
              </w:rPr>
              <w:t>їх</w:t>
            </w:r>
            <w:proofErr w:type="spellEnd"/>
            <w:r w:rsidRPr="005C3DE5">
              <w:rPr>
                <w:sz w:val="24"/>
                <w:szCs w:val="24"/>
              </w:rPr>
              <w:t xml:space="preserve"> </w:t>
            </w:r>
            <w:proofErr w:type="spellStart"/>
            <w:r w:rsidRPr="005C3DE5">
              <w:rPr>
                <w:sz w:val="24"/>
                <w:szCs w:val="24"/>
              </w:rPr>
              <w:t>сімей</w:t>
            </w:r>
            <w:proofErr w:type="spellEnd"/>
          </w:p>
        </w:tc>
      </w:tr>
      <w:tr w:rsidR="005C3DE5" w:rsidRPr="005C3DE5" w:rsidTr="005C3DE5">
        <w:tc>
          <w:tcPr>
            <w:tcW w:w="283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C3DE5" w:rsidRPr="005C3DE5" w:rsidRDefault="005C3DE5" w:rsidP="00686726">
            <w:pPr>
              <w:rPr>
                <w:b/>
                <w:bCs/>
                <w:sz w:val="24"/>
                <w:szCs w:val="24"/>
              </w:rPr>
            </w:pPr>
            <w:proofErr w:type="spellStart"/>
            <w:r w:rsidRPr="005C3DE5">
              <w:rPr>
                <w:b/>
                <w:bCs/>
                <w:sz w:val="24"/>
                <w:szCs w:val="24"/>
              </w:rPr>
              <w:t>Територія</w:t>
            </w:r>
            <w:proofErr w:type="spellEnd"/>
            <w:r w:rsidRPr="005C3DE5">
              <w:rPr>
                <w:b/>
                <w:bCs/>
                <w:sz w:val="24"/>
                <w:szCs w:val="24"/>
              </w:rPr>
              <w:t xml:space="preserve">, </w:t>
            </w:r>
            <w:proofErr w:type="gramStart"/>
            <w:r w:rsidRPr="005C3DE5">
              <w:rPr>
                <w:b/>
                <w:bCs/>
                <w:sz w:val="24"/>
                <w:szCs w:val="24"/>
              </w:rPr>
              <w:t>на яку</w:t>
            </w:r>
            <w:proofErr w:type="gramEnd"/>
            <w:r w:rsidRPr="005C3DE5">
              <w:rPr>
                <w:b/>
                <w:bCs/>
                <w:sz w:val="24"/>
                <w:szCs w:val="24"/>
              </w:rPr>
              <w:t xml:space="preserve"> </w:t>
            </w:r>
            <w:proofErr w:type="spellStart"/>
            <w:r w:rsidRPr="005C3DE5">
              <w:rPr>
                <w:b/>
                <w:bCs/>
                <w:sz w:val="24"/>
                <w:szCs w:val="24"/>
              </w:rPr>
              <w:t>матиме</w:t>
            </w:r>
            <w:proofErr w:type="spellEnd"/>
            <w:r w:rsidRPr="005C3DE5">
              <w:rPr>
                <w:b/>
                <w:bCs/>
                <w:sz w:val="24"/>
                <w:szCs w:val="24"/>
              </w:rPr>
              <w:t xml:space="preserve"> </w:t>
            </w:r>
            <w:proofErr w:type="spellStart"/>
            <w:r w:rsidRPr="005C3DE5">
              <w:rPr>
                <w:b/>
                <w:bCs/>
                <w:sz w:val="24"/>
                <w:szCs w:val="24"/>
              </w:rPr>
              <w:t>вплив</w:t>
            </w:r>
            <w:proofErr w:type="spellEnd"/>
            <w:r w:rsidRPr="005C3DE5">
              <w:rPr>
                <w:b/>
                <w:bCs/>
                <w:sz w:val="24"/>
                <w:szCs w:val="24"/>
              </w:rPr>
              <w:t xml:space="preserve"> </w:t>
            </w:r>
            <w:proofErr w:type="spellStart"/>
            <w:r w:rsidRPr="005C3DE5">
              <w:rPr>
                <w:b/>
                <w:bCs/>
                <w:sz w:val="24"/>
                <w:szCs w:val="24"/>
              </w:rPr>
              <w:t>реалізація</w:t>
            </w:r>
            <w:proofErr w:type="spellEnd"/>
            <w:r w:rsidRPr="005C3DE5">
              <w:rPr>
                <w:b/>
                <w:bCs/>
                <w:sz w:val="24"/>
                <w:szCs w:val="24"/>
              </w:rPr>
              <w:t xml:space="preserve"> </w:t>
            </w:r>
            <w:proofErr w:type="spellStart"/>
            <w:r w:rsidRPr="005C3DE5">
              <w:rPr>
                <w:b/>
                <w:bCs/>
                <w:sz w:val="24"/>
                <w:szCs w:val="24"/>
              </w:rPr>
              <w:t>проєкту</w:t>
            </w:r>
            <w:proofErr w:type="spellEnd"/>
          </w:p>
        </w:tc>
        <w:tc>
          <w:tcPr>
            <w:tcW w:w="7087" w:type="dxa"/>
            <w:gridSpan w:val="5"/>
            <w:tcBorders>
              <w:top w:val="single" w:sz="4" w:space="0" w:color="auto"/>
              <w:left w:val="single" w:sz="4" w:space="0" w:color="auto"/>
              <w:bottom w:val="single" w:sz="4" w:space="0" w:color="auto"/>
              <w:right w:val="single" w:sz="4" w:space="0" w:color="auto"/>
            </w:tcBorders>
            <w:vAlign w:val="center"/>
            <w:hideMark/>
          </w:tcPr>
          <w:p w:rsidR="005C3DE5" w:rsidRPr="005C3DE5" w:rsidRDefault="005C3DE5" w:rsidP="00686726">
            <w:pPr>
              <w:rPr>
                <w:sz w:val="24"/>
                <w:szCs w:val="24"/>
              </w:rPr>
            </w:pPr>
            <w:proofErr w:type="spellStart"/>
            <w:r w:rsidRPr="005C3DE5">
              <w:rPr>
                <w:sz w:val="24"/>
                <w:szCs w:val="24"/>
              </w:rPr>
              <w:t>Сєвєродонецька</w:t>
            </w:r>
            <w:proofErr w:type="spellEnd"/>
            <w:r w:rsidRPr="005C3DE5">
              <w:rPr>
                <w:sz w:val="24"/>
                <w:szCs w:val="24"/>
              </w:rPr>
              <w:t xml:space="preserve"> </w:t>
            </w:r>
            <w:proofErr w:type="spellStart"/>
            <w:r w:rsidRPr="005C3DE5">
              <w:rPr>
                <w:sz w:val="24"/>
                <w:szCs w:val="24"/>
              </w:rPr>
              <w:t>міська</w:t>
            </w:r>
            <w:proofErr w:type="spellEnd"/>
            <w:r w:rsidRPr="005C3DE5">
              <w:rPr>
                <w:sz w:val="24"/>
                <w:szCs w:val="24"/>
              </w:rPr>
              <w:t xml:space="preserve"> </w:t>
            </w:r>
            <w:proofErr w:type="spellStart"/>
            <w:r w:rsidRPr="005C3DE5">
              <w:rPr>
                <w:sz w:val="24"/>
                <w:szCs w:val="24"/>
              </w:rPr>
              <w:t>територіальна</w:t>
            </w:r>
            <w:proofErr w:type="spellEnd"/>
            <w:r w:rsidRPr="005C3DE5">
              <w:rPr>
                <w:sz w:val="24"/>
                <w:szCs w:val="24"/>
              </w:rPr>
              <w:t xml:space="preserve"> громада</w:t>
            </w:r>
          </w:p>
        </w:tc>
      </w:tr>
      <w:tr w:rsidR="005C3DE5" w:rsidRPr="005C3DE5" w:rsidTr="005C3DE5">
        <w:tc>
          <w:tcPr>
            <w:tcW w:w="283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C3DE5" w:rsidRPr="005C3DE5" w:rsidRDefault="005C3DE5" w:rsidP="00686726">
            <w:pPr>
              <w:rPr>
                <w:b/>
                <w:bCs/>
                <w:sz w:val="24"/>
                <w:szCs w:val="24"/>
              </w:rPr>
            </w:pPr>
            <w:proofErr w:type="spellStart"/>
            <w:r w:rsidRPr="005C3DE5">
              <w:rPr>
                <w:b/>
                <w:bCs/>
                <w:sz w:val="24"/>
                <w:szCs w:val="24"/>
              </w:rPr>
              <w:t>Чисельність</w:t>
            </w:r>
            <w:proofErr w:type="spellEnd"/>
            <w:r w:rsidRPr="005C3DE5">
              <w:rPr>
                <w:b/>
                <w:bCs/>
                <w:sz w:val="24"/>
                <w:szCs w:val="24"/>
              </w:rPr>
              <w:t xml:space="preserve"> </w:t>
            </w:r>
            <w:proofErr w:type="spellStart"/>
            <w:r w:rsidRPr="005C3DE5">
              <w:rPr>
                <w:b/>
                <w:bCs/>
                <w:sz w:val="24"/>
                <w:szCs w:val="24"/>
              </w:rPr>
              <w:t>населення</w:t>
            </w:r>
            <w:proofErr w:type="spellEnd"/>
            <w:r w:rsidRPr="005C3DE5">
              <w:rPr>
                <w:b/>
                <w:bCs/>
                <w:sz w:val="24"/>
                <w:szCs w:val="24"/>
              </w:rPr>
              <w:t xml:space="preserve"> на яке </w:t>
            </w:r>
            <w:proofErr w:type="spellStart"/>
            <w:r w:rsidRPr="005C3DE5">
              <w:rPr>
                <w:b/>
                <w:bCs/>
                <w:sz w:val="24"/>
                <w:szCs w:val="24"/>
              </w:rPr>
              <w:t>матиме</w:t>
            </w:r>
            <w:proofErr w:type="spellEnd"/>
            <w:r w:rsidRPr="005C3DE5">
              <w:rPr>
                <w:b/>
                <w:bCs/>
                <w:sz w:val="24"/>
                <w:szCs w:val="24"/>
              </w:rPr>
              <w:t xml:space="preserve"> </w:t>
            </w:r>
            <w:proofErr w:type="spellStart"/>
            <w:r w:rsidRPr="005C3DE5">
              <w:rPr>
                <w:b/>
                <w:bCs/>
                <w:sz w:val="24"/>
                <w:szCs w:val="24"/>
              </w:rPr>
              <w:t>вплив</w:t>
            </w:r>
            <w:proofErr w:type="spellEnd"/>
            <w:r w:rsidRPr="005C3DE5">
              <w:rPr>
                <w:b/>
                <w:bCs/>
                <w:sz w:val="24"/>
                <w:szCs w:val="24"/>
              </w:rPr>
              <w:t xml:space="preserve"> </w:t>
            </w:r>
            <w:proofErr w:type="spellStart"/>
            <w:r w:rsidRPr="005C3DE5">
              <w:rPr>
                <w:b/>
                <w:bCs/>
                <w:sz w:val="24"/>
                <w:szCs w:val="24"/>
              </w:rPr>
              <w:t>реалізація</w:t>
            </w:r>
            <w:proofErr w:type="spellEnd"/>
            <w:r w:rsidRPr="005C3DE5">
              <w:rPr>
                <w:b/>
                <w:bCs/>
                <w:sz w:val="24"/>
                <w:szCs w:val="24"/>
              </w:rPr>
              <w:t xml:space="preserve"> </w:t>
            </w:r>
            <w:proofErr w:type="spellStart"/>
            <w:r w:rsidRPr="005C3DE5">
              <w:rPr>
                <w:b/>
                <w:bCs/>
                <w:sz w:val="24"/>
                <w:szCs w:val="24"/>
              </w:rPr>
              <w:t>проєкту</w:t>
            </w:r>
            <w:proofErr w:type="spellEnd"/>
          </w:p>
        </w:tc>
        <w:tc>
          <w:tcPr>
            <w:tcW w:w="7087" w:type="dxa"/>
            <w:gridSpan w:val="5"/>
            <w:tcBorders>
              <w:top w:val="single" w:sz="4" w:space="0" w:color="auto"/>
              <w:left w:val="single" w:sz="4" w:space="0" w:color="auto"/>
              <w:bottom w:val="single" w:sz="4" w:space="0" w:color="auto"/>
              <w:right w:val="single" w:sz="4" w:space="0" w:color="auto"/>
            </w:tcBorders>
            <w:vAlign w:val="center"/>
            <w:hideMark/>
          </w:tcPr>
          <w:p w:rsidR="005C3DE5" w:rsidRPr="005C3DE5" w:rsidRDefault="005C3DE5" w:rsidP="00686726">
            <w:pPr>
              <w:rPr>
                <w:sz w:val="24"/>
                <w:szCs w:val="24"/>
              </w:rPr>
            </w:pPr>
            <w:r w:rsidRPr="005C3DE5">
              <w:rPr>
                <w:sz w:val="24"/>
                <w:szCs w:val="24"/>
              </w:rPr>
              <w:t xml:space="preserve">10 000 </w:t>
            </w:r>
            <w:proofErr w:type="spellStart"/>
            <w:r w:rsidRPr="005C3DE5">
              <w:rPr>
                <w:sz w:val="24"/>
                <w:szCs w:val="24"/>
              </w:rPr>
              <w:t>осіб</w:t>
            </w:r>
            <w:proofErr w:type="spellEnd"/>
          </w:p>
        </w:tc>
      </w:tr>
      <w:tr w:rsidR="005C3DE5" w:rsidRPr="005C3DE5" w:rsidTr="005C3DE5">
        <w:tc>
          <w:tcPr>
            <w:tcW w:w="283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C3DE5" w:rsidRPr="005C3DE5" w:rsidRDefault="005C3DE5" w:rsidP="00686726">
            <w:pPr>
              <w:rPr>
                <w:b/>
                <w:bCs/>
                <w:sz w:val="24"/>
                <w:szCs w:val="24"/>
              </w:rPr>
            </w:pPr>
            <w:proofErr w:type="spellStart"/>
            <w:r w:rsidRPr="005C3DE5">
              <w:rPr>
                <w:b/>
                <w:bCs/>
                <w:sz w:val="24"/>
                <w:szCs w:val="24"/>
              </w:rPr>
              <w:t>Опис</w:t>
            </w:r>
            <w:proofErr w:type="spellEnd"/>
            <w:r w:rsidRPr="005C3DE5">
              <w:rPr>
                <w:b/>
                <w:bCs/>
                <w:sz w:val="24"/>
                <w:szCs w:val="24"/>
              </w:rPr>
              <w:t xml:space="preserve"> </w:t>
            </w:r>
            <w:proofErr w:type="spellStart"/>
            <w:r w:rsidRPr="005C3DE5">
              <w:rPr>
                <w:b/>
                <w:bCs/>
                <w:sz w:val="24"/>
                <w:szCs w:val="24"/>
              </w:rPr>
              <w:t>проблеми</w:t>
            </w:r>
            <w:proofErr w:type="spellEnd"/>
            <w:r w:rsidRPr="005C3DE5">
              <w:rPr>
                <w:b/>
                <w:bCs/>
                <w:sz w:val="24"/>
                <w:szCs w:val="24"/>
              </w:rPr>
              <w:t xml:space="preserve">, на </w:t>
            </w:r>
            <w:proofErr w:type="spellStart"/>
            <w:r w:rsidRPr="005C3DE5">
              <w:rPr>
                <w:b/>
                <w:bCs/>
                <w:sz w:val="24"/>
                <w:szCs w:val="24"/>
              </w:rPr>
              <w:t>вирішення</w:t>
            </w:r>
            <w:proofErr w:type="spellEnd"/>
            <w:r w:rsidRPr="005C3DE5">
              <w:rPr>
                <w:b/>
                <w:bCs/>
                <w:sz w:val="24"/>
                <w:szCs w:val="24"/>
              </w:rPr>
              <w:t xml:space="preserve"> </w:t>
            </w:r>
            <w:proofErr w:type="spellStart"/>
            <w:r w:rsidRPr="005C3DE5">
              <w:rPr>
                <w:b/>
                <w:bCs/>
                <w:sz w:val="24"/>
                <w:szCs w:val="24"/>
              </w:rPr>
              <w:t>якої</w:t>
            </w:r>
            <w:proofErr w:type="spellEnd"/>
            <w:r w:rsidRPr="005C3DE5">
              <w:rPr>
                <w:b/>
                <w:bCs/>
                <w:sz w:val="24"/>
                <w:szCs w:val="24"/>
              </w:rPr>
              <w:t xml:space="preserve"> </w:t>
            </w:r>
            <w:proofErr w:type="spellStart"/>
            <w:r w:rsidRPr="005C3DE5">
              <w:rPr>
                <w:b/>
                <w:bCs/>
                <w:sz w:val="24"/>
                <w:szCs w:val="24"/>
              </w:rPr>
              <w:t>спрямований</w:t>
            </w:r>
            <w:proofErr w:type="spellEnd"/>
            <w:r w:rsidRPr="005C3DE5">
              <w:rPr>
                <w:b/>
                <w:bCs/>
                <w:sz w:val="24"/>
                <w:szCs w:val="24"/>
              </w:rPr>
              <w:t xml:space="preserve"> </w:t>
            </w:r>
            <w:proofErr w:type="spellStart"/>
            <w:r w:rsidRPr="005C3DE5">
              <w:rPr>
                <w:b/>
                <w:bCs/>
                <w:sz w:val="24"/>
                <w:szCs w:val="24"/>
              </w:rPr>
              <w:t>проєкт</w:t>
            </w:r>
            <w:proofErr w:type="spellEnd"/>
          </w:p>
        </w:tc>
        <w:tc>
          <w:tcPr>
            <w:tcW w:w="7087" w:type="dxa"/>
            <w:gridSpan w:val="5"/>
            <w:tcBorders>
              <w:top w:val="single" w:sz="4" w:space="0" w:color="auto"/>
              <w:left w:val="single" w:sz="4" w:space="0" w:color="auto"/>
              <w:bottom w:val="single" w:sz="4" w:space="0" w:color="auto"/>
              <w:right w:val="single" w:sz="4" w:space="0" w:color="auto"/>
            </w:tcBorders>
            <w:hideMark/>
          </w:tcPr>
          <w:p w:rsidR="005C3DE5" w:rsidRPr="005C3DE5" w:rsidRDefault="005C3DE5" w:rsidP="00686726">
            <w:pPr>
              <w:widowControl w:val="0"/>
              <w:autoSpaceDE w:val="0"/>
              <w:autoSpaceDN w:val="0"/>
              <w:rPr>
                <w:sz w:val="24"/>
                <w:szCs w:val="24"/>
              </w:rPr>
            </w:pPr>
            <w:r w:rsidRPr="005C3DE5">
              <w:rPr>
                <w:sz w:val="24"/>
                <w:szCs w:val="24"/>
              </w:rPr>
              <w:t xml:space="preserve">Через </w:t>
            </w:r>
            <w:proofErr w:type="spellStart"/>
            <w:r w:rsidRPr="005C3DE5">
              <w:rPr>
                <w:sz w:val="24"/>
                <w:szCs w:val="24"/>
              </w:rPr>
              <w:t>військову</w:t>
            </w:r>
            <w:proofErr w:type="spellEnd"/>
            <w:r w:rsidRPr="005C3DE5">
              <w:rPr>
                <w:sz w:val="24"/>
                <w:szCs w:val="24"/>
              </w:rPr>
              <w:t xml:space="preserve"> </w:t>
            </w:r>
            <w:proofErr w:type="spellStart"/>
            <w:r w:rsidRPr="005C3DE5">
              <w:rPr>
                <w:sz w:val="24"/>
                <w:szCs w:val="24"/>
              </w:rPr>
              <w:t>агресію</w:t>
            </w:r>
            <w:proofErr w:type="spellEnd"/>
            <w:r w:rsidRPr="005C3DE5">
              <w:rPr>
                <w:sz w:val="24"/>
                <w:szCs w:val="24"/>
              </w:rPr>
              <w:t xml:space="preserve"> РФ </w:t>
            </w:r>
            <w:proofErr w:type="spellStart"/>
            <w:r w:rsidRPr="005C3DE5">
              <w:rPr>
                <w:sz w:val="24"/>
                <w:szCs w:val="24"/>
              </w:rPr>
              <w:t>територія</w:t>
            </w:r>
            <w:proofErr w:type="spellEnd"/>
            <w:r w:rsidRPr="005C3DE5">
              <w:rPr>
                <w:sz w:val="24"/>
                <w:szCs w:val="24"/>
              </w:rPr>
              <w:t xml:space="preserve"> </w:t>
            </w:r>
            <w:proofErr w:type="spellStart"/>
            <w:r w:rsidRPr="005C3DE5">
              <w:rPr>
                <w:sz w:val="24"/>
                <w:szCs w:val="24"/>
              </w:rPr>
              <w:t>Сєвєродонецької</w:t>
            </w:r>
            <w:proofErr w:type="spellEnd"/>
            <w:r w:rsidRPr="005C3DE5">
              <w:rPr>
                <w:sz w:val="24"/>
                <w:szCs w:val="24"/>
              </w:rPr>
              <w:t xml:space="preserve"> </w:t>
            </w:r>
            <w:proofErr w:type="spellStart"/>
            <w:r w:rsidRPr="005C3DE5">
              <w:rPr>
                <w:sz w:val="24"/>
                <w:szCs w:val="24"/>
              </w:rPr>
              <w:t>міської</w:t>
            </w:r>
            <w:proofErr w:type="spellEnd"/>
            <w:r w:rsidRPr="005C3DE5">
              <w:rPr>
                <w:sz w:val="24"/>
                <w:szCs w:val="24"/>
              </w:rPr>
              <w:t xml:space="preserve"> </w:t>
            </w:r>
            <w:proofErr w:type="spellStart"/>
            <w:r w:rsidRPr="005C3DE5">
              <w:rPr>
                <w:sz w:val="24"/>
                <w:szCs w:val="24"/>
              </w:rPr>
              <w:t>територіальної</w:t>
            </w:r>
            <w:proofErr w:type="spellEnd"/>
            <w:r w:rsidRPr="005C3DE5">
              <w:rPr>
                <w:sz w:val="24"/>
                <w:szCs w:val="24"/>
              </w:rPr>
              <w:t xml:space="preserve"> </w:t>
            </w:r>
            <w:proofErr w:type="spellStart"/>
            <w:r w:rsidRPr="005C3DE5">
              <w:rPr>
                <w:sz w:val="24"/>
                <w:szCs w:val="24"/>
              </w:rPr>
              <w:t>громади</w:t>
            </w:r>
            <w:proofErr w:type="spellEnd"/>
            <w:r w:rsidRPr="005C3DE5">
              <w:rPr>
                <w:sz w:val="24"/>
                <w:szCs w:val="24"/>
              </w:rPr>
              <w:t xml:space="preserve"> </w:t>
            </w:r>
            <w:proofErr w:type="spellStart"/>
            <w:r w:rsidRPr="005C3DE5">
              <w:rPr>
                <w:sz w:val="24"/>
                <w:szCs w:val="24"/>
              </w:rPr>
              <w:t>зазнала</w:t>
            </w:r>
            <w:proofErr w:type="spellEnd"/>
            <w:r w:rsidRPr="005C3DE5">
              <w:rPr>
                <w:sz w:val="24"/>
                <w:szCs w:val="24"/>
              </w:rPr>
              <w:t xml:space="preserve"> </w:t>
            </w:r>
            <w:proofErr w:type="spellStart"/>
            <w:r w:rsidRPr="005C3DE5">
              <w:rPr>
                <w:sz w:val="24"/>
                <w:szCs w:val="24"/>
              </w:rPr>
              <w:t>значних</w:t>
            </w:r>
            <w:proofErr w:type="spellEnd"/>
            <w:r w:rsidRPr="005C3DE5">
              <w:rPr>
                <w:sz w:val="24"/>
                <w:szCs w:val="24"/>
              </w:rPr>
              <w:t xml:space="preserve"> </w:t>
            </w:r>
            <w:proofErr w:type="spellStart"/>
            <w:r w:rsidRPr="005C3DE5">
              <w:rPr>
                <w:sz w:val="24"/>
                <w:szCs w:val="24"/>
              </w:rPr>
              <w:t>пошкоджень</w:t>
            </w:r>
            <w:proofErr w:type="spellEnd"/>
            <w:r w:rsidRPr="005C3DE5">
              <w:rPr>
                <w:sz w:val="24"/>
                <w:szCs w:val="24"/>
              </w:rPr>
              <w:t>.</w:t>
            </w:r>
          </w:p>
          <w:p w:rsidR="005C3DE5" w:rsidRPr="005C3DE5" w:rsidRDefault="005C3DE5" w:rsidP="00686726">
            <w:pPr>
              <w:rPr>
                <w:sz w:val="24"/>
                <w:szCs w:val="24"/>
              </w:rPr>
            </w:pPr>
            <w:r w:rsidRPr="005C3DE5">
              <w:rPr>
                <w:sz w:val="24"/>
                <w:szCs w:val="24"/>
              </w:rPr>
              <w:t xml:space="preserve">Для </w:t>
            </w:r>
            <w:proofErr w:type="spellStart"/>
            <w:r w:rsidRPr="005C3DE5">
              <w:rPr>
                <w:sz w:val="24"/>
                <w:szCs w:val="24"/>
              </w:rPr>
              <w:t>відбудови</w:t>
            </w:r>
            <w:proofErr w:type="spellEnd"/>
            <w:r w:rsidRPr="005C3DE5">
              <w:rPr>
                <w:sz w:val="24"/>
                <w:szCs w:val="24"/>
              </w:rPr>
              <w:t xml:space="preserve"> та </w:t>
            </w:r>
            <w:proofErr w:type="spellStart"/>
            <w:r w:rsidRPr="005C3DE5">
              <w:rPr>
                <w:sz w:val="24"/>
                <w:szCs w:val="24"/>
              </w:rPr>
              <w:t>сталого</w:t>
            </w:r>
            <w:proofErr w:type="spellEnd"/>
            <w:r w:rsidRPr="005C3DE5">
              <w:rPr>
                <w:sz w:val="24"/>
                <w:szCs w:val="24"/>
              </w:rPr>
              <w:t xml:space="preserve"> </w:t>
            </w:r>
            <w:proofErr w:type="spellStart"/>
            <w:r w:rsidRPr="005C3DE5">
              <w:rPr>
                <w:sz w:val="24"/>
                <w:szCs w:val="24"/>
              </w:rPr>
              <w:t>розвитку</w:t>
            </w:r>
            <w:proofErr w:type="spellEnd"/>
            <w:r w:rsidRPr="005C3DE5">
              <w:rPr>
                <w:sz w:val="24"/>
                <w:szCs w:val="24"/>
              </w:rPr>
              <w:t xml:space="preserve"> </w:t>
            </w:r>
            <w:proofErr w:type="spellStart"/>
            <w:r w:rsidRPr="005C3DE5">
              <w:rPr>
                <w:sz w:val="24"/>
                <w:szCs w:val="24"/>
              </w:rPr>
              <w:t>громади</w:t>
            </w:r>
            <w:proofErr w:type="spellEnd"/>
            <w:r w:rsidRPr="005C3DE5">
              <w:rPr>
                <w:sz w:val="24"/>
                <w:szCs w:val="24"/>
              </w:rPr>
              <w:t xml:space="preserve"> </w:t>
            </w:r>
            <w:proofErr w:type="spellStart"/>
            <w:r w:rsidRPr="005C3DE5">
              <w:rPr>
                <w:sz w:val="24"/>
                <w:szCs w:val="24"/>
              </w:rPr>
              <w:t>потрібне</w:t>
            </w:r>
            <w:proofErr w:type="spellEnd"/>
            <w:r w:rsidRPr="005C3DE5">
              <w:rPr>
                <w:sz w:val="24"/>
                <w:szCs w:val="24"/>
              </w:rPr>
              <w:t xml:space="preserve"> </w:t>
            </w:r>
            <w:proofErr w:type="spellStart"/>
            <w:r w:rsidRPr="005C3DE5">
              <w:rPr>
                <w:sz w:val="24"/>
                <w:szCs w:val="24"/>
              </w:rPr>
              <w:t>відновлення</w:t>
            </w:r>
            <w:proofErr w:type="spellEnd"/>
            <w:r w:rsidRPr="005C3DE5">
              <w:rPr>
                <w:sz w:val="24"/>
                <w:szCs w:val="24"/>
              </w:rPr>
              <w:t xml:space="preserve"> </w:t>
            </w:r>
            <w:proofErr w:type="spellStart"/>
            <w:r w:rsidRPr="005C3DE5">
              <w:rPr>
                <w:sz w:val="24"/>
                <w:szCs w:val="24"/>
              </w:rPr>
              <w:t>роботи</w:t>
            </w:r>
            <w:proofErr w:type="spellEnd"/>
            <w:r w:rsidRPr="005C3DE5">
              <w:rPr>
                <w:sz w:val="24"/>
                <w:szCs w:val="24"/>
              </w:rPr>
              <w:t xml:space="preserve"> установи </w:t>
            </w:r>
            <w:proofErr w:type="spellStart"/>
            <w:r w:rsidRPr="005C3DE5">
              <w:rPr>
                <w:sz w:val="24"/>
                <w:szCs w:val="24"/>
              </w:rPr>
              <w:t>сфери</w:t>
            </w:r>
            <w:proofErr w:type="spellEnd"/>
            <w:r w:rsidRPr="005C3DE5">
              <w:rPr>
                <w:sz w:val="24"/>
                <w:szCs w:val="24"/>
              </w:rPr>
              <w:t xml:space="preserve"> </w:t>
            </w:r>
            <w:proofErr w:type="spellStart"/>
            <w:r w:rsidRPr="005C3DE5">
              <w:rPr>
                <w:sz w:val="24"/>
                <w:szCs w:val="24"/>
              </w:rPr>
              <w:t>соціального</w:t>
            </w:r>
            <w:proofErr w:type="spellEnd"/>
            <w:r w:rsidRPr="005C3DE5">
              <w:rPr>
                <w:sz w:val="24"/>
                <w:szCs w:val="24"/>
              </w:rPr>
              <w:t xml:space="preserve"> </w:t>
            </w:r>
            <w:proofErr w:type="spellStart"/>
            <w:r w:rsidRPr="005C3DE5">
              <w:rPr>
                <w:sz w:val="24"/>
                <w:szCs w:val="24"/>
              </w:rPr>
              <w:t>захисту</w:t>
            </w:r>
            <w:proofErr w:type="spellEnd"/>
            <w:r w:rsidRPr="005C3DE5">
              <w:rPr>
                <w:sz w:val="24"/>
                <w:szCs w:val="24"/>
              </w:rPr>
              <w:t xml:space="preserve"> </w:t>
            </w:r>
            <w:proofErr w:type="spellStart"/>
            <w:r w:rsidRPr="005C3DE5">
              <w:rPr>
                <w:sz w:val="24"/>
                <w:szCs w:val="24"/>
              </w:rPr>
              <w:t>ветеранів</w:t>
            </w:r>
            <w:proofErr w:type="spellEnd"/>
            <w:r w:rsidRPr="005C3DE5">
              <w:rPr>
                <w:sz w:val="24"/>
                <w:szCs w:val="24"/>
              </w:rPr>
              <w:t xml:space="preserve"> та </w:t>
            </w:r>
            <w:proofErr w:type="spellStart"/>
            <w:r w:rsidRPr="005C3DE5">
              <w:rPr>
                <w:sz w:val="24"/>
                <w:szCs w:val="24"/>
              </w:rPr>
              <w:t>членів</w:t>
            </w:r>
            <w:proofErr w:type="spellEnd"/>
            <w:r w:rsidRPr="005C3DE5">
              <w:rPr>
                <w:sz w:val="24"/>
                <w:szCs w:val="24"/>
              </w:rPr>
              <w:t xml:space="preserve"> </w:t>
            </w:r>
            <w:proofErr w:type="spellStart"/>
            <w:r w:rsidRPr="005C3DE5">
              <w:rPr>
                <w:sz w:val="24"/>
                <w:szCs w:val="24"/>
              </w:rPr>
              <w:t>їх</w:t>
            </w:r>
            <w:proofErr w:type="spellEnd"/>
            <w:r w:rsidRPr="005C3DE5">
              <w:rPr>
                <w:sz w:val="24"/>
                <w:szCs w:val="24"/>
              </w:rPr>
              <w:t xml:space="preserve"> </w:t>
            </w:r>
            <w:proofErr w:type="spellStart"/>
            <w:r w:rsidRPr="005C3DE5">
              <w:rPr>
                <w:sz w:val="24"/>
                <w:szCs w:val="24"/>
              </w:rPr>
              <w:t>сімей</w:t>
            </w:r>
            <w:proofErr w:type="spellEnd"/>
            <w:r w:rsidRPr="005C3DE5">
              <w:rPr>
                <w:sz w:val="24"/>
                <w:szCs w:val="24"/>
              </w:rPr>
              <w:t xml:space="preserve">. На </w:t>
            </w:r>
            <w:proofErr w:type="spellStart"/>
            <w:r w:rsidRPr="005C3DE5">
              <w:rPr>
                <w:sz w:val="24"/>
                <w:szCs w:val="24"/>
              </w:rPr>
              <w:t>балансі</w:t>
            </w:r>
            <w:proofErr w:type="spellEnd"/>
            <w:r w:rsidRPr="005C3DE5">
              <w:rPr>
                <w:sz w:val="24"/>
                <w:szCs w:val="24"/>
              </w:rPr>
              <w:t xml:space="preserve"> </w:t>
            </w:r>
            <w:proofErr w:type="spellStart"/>
            <w:r w:rsidRPr="005C3DE5">
              <w:rPr>
                <w:sz w:val="24"/>
                <w:szCs w:val="24"/>
              </w:rPr>
              <w:t>Управління</w:t>
            </w:r>
            <w:proofErr w:type="spellEnd"/>
            <w:r w:rsidRPr="005C3DE5">
              <w:rPr>
                <w:sz w:val="24"/>
                <w:szCs w:val="24"/>
              </w:rPr>
              <w:t xml:space="preserve"> </w:t>
            </w:r>
            <w:proofErr w:type="spellStart"/>
            <w:r w:rsidRPr="005C3DE5">
              <w:rPr>
                <w:sz w:val="24"/>
                <w:szCs w:val="24"/>
              </w:rPr>
              <w:t>соціального</w:t>
            </w:r>
            <w:proofErr w:type="spellEnd"/>
            <w:r w:rsidRPr="005C3DE5">
              <w:rPr>
                <w:sz w:val="24"/>
                <w:szCs w:val="24"/>
              </w:rPr>
              <w:t xml:space="preserve"> </w:t>
            </w:r>
            <w:proofErr w:type="spellStart"/>
            <w:r w:rsidRPr="005C3DE5">
              <w:rPr>
                <w:sz w:val="24"/>
                <w:szCs w:val="24"/>
              </w:rPr>
              <w:t>захисту</w:t>
            </w:r>
            <w:proofErr w:type="spellEnd"/>
            <w:r w:rsidRPr="005C3DE5">
              <w:rPr>
                <w:sz w:val="24"/>
                <w:szCs w:val="24"/>
              </w:rPr>
              <w:t xml:space="preserve"> </w:t>
            </w:r>
            <w:proofErr w:type="spellStart"/>
            <w:r w:rsidRPr="005C3DE5">
              <w:rPr>
                <w:sz w:val="24"/>
                <w:szCs w:val="24"/>
              </w:rPr>
              <w:t>населення</w:t>
            </w:r>
            <w:proofErr w:type="spellEnd"/>
            <w:r w:rsidRPr="005C3DE5">
              <w:rPr>
                <w:sz w:val="24"/>
                <w:szCs w:val="24"/>
              </w:rPr>
              <w:t xml:space="preserve"> </w:t>
            </w:r>
            <w:proofErr w:type="spellStart"/>
            <w:r w:rsidRPr="005C3DE5">
              <w:rPr>
                <w:sz w:val="24"/>
                <w:szCs w:val="24"/>
              </w:rPr>
              <w:t>Сєвєродонецької</w:t>
            </w:r>
            <w:proofErr w:type="spellEnd"/>
            <w:r w:rsidRPr="005C3DE5">
              <w:rPr>
                <w:sz w:val="24"/>
                <w:szCs w:val="24"/>
              </w:rPr>
              <w:t xml:space="preserve"> </w:t>
            </w:r>
            <w:proofErr w:type="spellStart"/>
            <w:r w:rsidRPr="005C3DE5">
              <w:rPr>
                <w:sz w:val="24"/>
                <w:szCs w:val="24"/>
              </w:rPr>
              <w:t>міської</w:t>
            </w:r>
            <w:proofErr w:type="spellEnd"/>
            <w:r w:rsidRPr="005C3DE5">
              <w:rPr>
                <w:sz w:val="24"/>
                <w:szCs w:val="24"/>
              </w:rPr>
              <w:t xml:space="preserve"> </w:t>
            </w:r>
            <w:proofErr w:type="spellStart"/>
            <w:r w:rsidRPr="005C3DE5">
              <w:rPr>
                <w:sz w:val="24"/>
                <w:szCs w:val="24"/>
              </w:rPr>
              <w:t>військової</w:t>
            </w:r>
            <w:proofErr w:type="spellEnd"/>
            <w:r w:rsidRPr="005C3DE5">
              <w:rPr>
                <w:sz w:val="24"/>
                <w:szCs w:val="24"/>
              </w:rPr>
              <w:t xml:space="preserve"> </w:t>
            </w:r>
            <w:proofErr w:type="spellStart"/>
            <w:r w:rsidRPr="005C3DE5">
              <w:rPr>
                <w:sz w:val="24"/>
                <w:szCs w:val="24"/>
              </w:rPr>
              <w:t>адміністрації</w:t>
            </w:r>
            <w:proofErr w:type="spellEnd"/>
            <w:r w:rsidRPr="005C3DE5">
              <w:rPr>
                <w:sz w:val="24"/>
                <w:szCs w:val="24"/>
              </w:rPr>
              <w:t xml:space="preserve"> </w:t>
            </w:r>
            <w:proofErr w:type="spellStart"/>
            <w:r w:rsidRPr="005C3DE5">
              <w:rPr>
                <w:sz w:val="24"/>
                <w:szCs w:val="24"/>
              </w:rPr>
              <w:t>Сєвєродонецького</w:t>
            </w:r>
            <w:proofErr w:type="spellEnd"/>
            <w:r w:rsidRPr="005C3DE5">
              <w:rPr>
                <w:sz w:val="24"/>
                <w:szCs w:val="24"/>
              </w:rPr>
              <w:t xml:space="preserve"> району </w:t>
            </w:r>
            <w:proofErr w:type="spellStart"/>
            <w:r w:rsidRPr="005C3DE5">
              <w:rPr>
                <w:sz w:val="24"/>
                <w:szCs w:val="24"/>
              </w:rPr>
              <w:t>Луганської</w:t>
            </w:r>
            <w:proofErr w:type="spellEnd"/>
            <w:r w:rsidRPr="005C3DE5">
              <w:rPr>
                <w:sz w:val="24"/>
                <w:szCs w:val="24"/>
              </w:rPr>
              <w:t xml:space="preserve"> </w:t>
            </w:r>
            <w:proofErr w:type="spellStart"/>
            <w:r w:rsidRPr="005C3DE5">
              <w:rPr>
                <w:sz w:val="24"/>
                <w:szCs w:val="24"/>
              </w:rPr>
              <w:t>області</w:t>
            </w:r>
            <w:proofErr w:type="spellEnd"/>
            <w:r w:rsidRPr="005C3DE5">
              <w:rPr>
                <w:sz w:val="24"/>
                <w:szCs w:val="24"/>
              </w:rPr>
              <w:t xml:space="preserve"> </w:t>
            </w:r>
            <w:proofErr w:type="spellStart"/>
            <w:r w:rsidRPr="005C3DE5">
              <w:rPr>
                <w:sz w:val="24"/>
                <w:szCs w:val="24"/>
              </w:rPr>
              <w:t>обліковується</w:t>
            </w:r>
            <w:proofErr w:type="spellEnd"/>
            <w:r w:rsidRPr="005C3DE5">
              <w:rPr>
                <w:sz w:val="24"/>
                <w:szCs w:val="24"/>
              </w:rPr>
              <w:t xml:space="preserve"> </w:t>
            </w:r>
            <w:proofErr w:type="spellStart"/>
            <w:r w:rsidRPr="005C3DE5">
              <w:rPr>
                <w:sz w:val="24"/>
                <w:szCs w:val="24"/>
              </w:rPr>
              <w:t>нежитлове</w:t>
            </w:r>
            <w:proofErr w:type="spellEnd"/>
            <w:r w:rsidRPr="005C3DE5">
              <w:rPr>
                <w:sz w:val="24"/>
                <w:szCs w:val="24"/>
              </w:rPr>
              <w:t xml:space="preserve"> </w:t>
            </w:r>
            <w:proofErr w:type="spellStart"/>
            <w:r w:rsidRPr="005C3DE5">
              <w:rPr>
                <w:sz w:val="24"/>
                <w:szCs w:val="24"/>
              </w:rPr>
              <w:t>приміщення</w:t>
            </w:r>
            <w:proofErr w:type="spellEnd"/>
            <w:r w:rsidRPr="005C3DE5">
              <w:rPr>
                <w:sz w:val="24"/>
                <w:szCs w:val="24"/>
              </w:rPr>
              <w:t xml:space="preserve"> – </w:t>
            </w:r>
            <w:proofErr w:type="spellStart"/>
            <w:r w:rsidRPr="005C3DE5">
              <w:rPr>
                <w:sz w:val="24"/>
                <w:szCs w:val="24"/>
              </w:rPr>
              <w:t>Ветеранський</w:t>
            </w:r>
            <w:proofErr w:type="spellEnd"/>
            <w:r w:rsidRPr="005C3DE5">
              <w:rPr>
                <w:sz w:val="24"/>
                <w:szCs w:val="24"/>
              </w:rPr>
              <w:t xml:space="preserve"> </w:t>
            </w:r>
            <w:proofErr w:type="spellStart"/>
            <w:r w:rsidRPr="005C3DE5">
              <w:rPr>
                <w:sz w:val="24"/>
                <w:szCs w:val="24"/>
              </w:rPr>
              <w:t>простір</w:t>
            </w:r>
            <w:proofErr w:type="spellEnd"/>
            <w:r w:rsidRPr="005C3DE5">
              <w:rPr>
                <w:sz w:val="24"/>
                <w:szCs w:val="24"/>
              </w:rPr>
              <w:t xml:space="preserve">, яке </w:t>
            </w:r>
            <w:proofErr w:type="spellStart"/>
            <w:r w:rsidRPr="005C3DE5">
              <w:rPr>
                <w:sz w:val="24"/>
                <w:szCs w:val="24"/>
              </w:rPr>
              <w:t>потребує</w:t>
            </w:r>
            <w:proofErr w:type="spellEnd"/>
            <w:r w:rsidRPr="005C3DE5">
              <w:rPr>
                <w:sz w:val="24"/>
                <w:szCs w:val="24"/>
              </w:rPr>
              <w:t xml:space="preserve"> </w:t>
            </w:r>
            <w:proofErr w:type="spellStart"/>
            <w:r w:rsidRPr="005C3DE5">
              <w:rPr>
                <w:sz w:val="24"/>
                <w:szCs w:val="24"/>
              </w:rPr>
              <w:t>капітального</w:t>
            </w:r>
            <w:proofErr w:type="spellEnd"/>
            <w:r w:rsidRPr="005C3DE5">
              <w:rPr>
                <w:sz w:val="24"/>
                <w:szCs w:val="24"/>
              </w:rPr>
              <w:t xml:space="preserve"> ремонту. Тому </w:t>
            </w:r>
            <w:proofErr w:type="spellStart"/>
            <w:r w:rsidRPr="005C3DE5">
              <w:rPr>
                <w:sz w:val="24"/>
                <w:szCs w:val="24"/>
              </w:rPr>
              <w:t>необхідно</w:t>
            </w:r>
            <w:proofErr w:type="spellEnd"/>
            <w:r w:rsidRPr="005C3DE5">
              <w:rPr>
                <w:sz w:val="24"/>
                <w:szCs w:val="24"/>
              </w:rPr>
              <w:t xml:space="preserve"> </w:t>
            </w:r>
            <w:proofErr w:type="spellStart"/>
            <w:r w:rsidRPr="005C3DE5">
              <w:rPr>
                <w:sz w:val="24"/>
                <w:szCs w:val="24"/>
              </w:rPr>
              <w:t>його</w:t>
            </w:r>
            <w:proofErr w:type="spellEnd"/>
            <w:r w:rsidRPr="005C3DE5">
              <w:rPr>
                <w:sz w:val="24"/>
                <w:szCs w:val="24"/>
              </w:rPr>
              <w:t xml:space="preserve"> </w:t>
            </w:r>
            <w:proofErr w:type="spellStart"/>
            <w:r w:rsidRPr="005C3DE5">
              <w:rPr>
                <w:sz w:val="24"/>
                <w:szCs w:val="24"/>
              </w:rPr>
              <w:t>відновити</w:t>
            </w:r>
            <w:proofErr w:type="spellEnd"/>
            <w:r w:rsidRPr="005C3DE5">
              <w:rPr>
                <w:sz w:val="24"/>
                <w:szCs w:val="24"/>
              </w:rPr>
              <w:t xml:space="preserve"> для </w:t>
            </w:r>
            <w:proofErr w:type="spellStart"/>
            <w:r w:rsidRPr="005C3DE5">
              <w:rPr>
                <w:sz w:val="24"/>
                <w:szCs w:val="24"/>
              </w:rPr>
              <w:t>надання</w:t>
            </w:r>
            <w:proofErr w:type="spellEnd"/>
            <w:r w:rsidRPr="005C3DE5">
              <w:rPr>
                <w:sz w:val="24"/>
                <w:szCs w:val="24"/>
              </w:rPr>
              <w:t xml:space="preserve"> </w:t>
            </w:r>
            <w:proofErr w:type="spellStart"/>
            <w:r w:rsidRPr="005C3DE5">
              <w:rPr>
                <w:sz w:val="24"/>
                <w:szCs w:val="24"/>
              </w:rPr>
              <w:t>допомоги</w:t>
            </w:r>
            <w:proofErr w:type="spellEnd"/>
            <w:r w:rsidRPr="005C3DE5">
              <w:rPr>
                <w:sz w:val="24"/>
                <w:szCs w:val="24"/>
              </w:rPr>
              <w:t xml:space="preserve"> та </w:t>
            </w:r>
            <w:proofErr w:type="spellStart"/>
            <w:r w:rsidRPr="005C3DE5">
              <w:rPr>
                <w:sz w:val="24"/>
                <w:szCs w:val="24"/>
              </w:rPr>
              <w:t>соціальних</w:t>
            </w:r>
            <w:proofErr w:type="spellEnd"/>
            <w:r w:rsidRPr="005C3DE5">
              <w:rPr>
                <w:sz w:val="24"/>
                <w:szCs w:val="24"/>
              </w:rPr>
              <w:t xml:space="preserve"> </w:t>
            </w:r>
            <w:proofErr w:type="spellStart"/>
            <w:r w:rsidRPr="005C3DE5">
              <w:rPr>
                <w:sz w:val="24"/>
                <w:szCs w:val="24"/>
              </w:rPr>
              <w:t>послуг</w:t>
            </w:r>
            <w:proofErr w:type="spellEnd"/>
            <w:r w:rsidRPr="005C3DE5">
              <w:rPr>
                <w:sz w:val="24"/>
                <w:szCs w:val="24"/>
              </w:rPr>
              <w:t xml:space="preserve"> ветеранам та членам </w:t>
            </w:r>
            <w:proofErr w:type="spellStart"/>
            <w:r w:rsidRPr="005C3DE5">
              <w:rPr>
                <w:sz w:val="24"/>
                <w:szCs w:val="24"/>
              </w:rPr>
              <w:t>їх</w:t>
            </w:r>
            <w:proofErr w:type="spellEnd"/>
            <w:r w:rsidRPr="005C3DE5">
              <w:rPr>
                <w:sz w:val="24"/>
                <w:szCs w:val="24"/>
              </w:rPr>
              <w:t xml:space="preserve"> </w:t>
            </w:r>
            <w:proofErr w:type="spellStart"/>
            <w:r w:rsidRPr="005C3DE5">
              <w:rPr>
                <w:sz w:val="24"/>
                <w:szCs w:val="24"/>
              </w:rPr>
              <w:t>сімей</w:t>
            </w:r>
            <w:proofErr w:type="spellEnd"/>
            <w:r w:rsidRPr="005C3DE5">
              <w:rPr>
                <w:sz w:val="24"/>
                <w:szCs w:val="24"/>
              </w:rPr>
              <w:t xml:space="preserve">. </w:t>
            </w:r>
          </w:p>
        </w:tc>
      </w:tr>
      <w:tr w:rsidR="005C3DE5" w:rsidRPr="005C3DE5" w:rsidTr="005C3DE5">
        <w:tc>
          <w:tcPr>
            <w:tcW w:w="283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C3DE5" w:rsidRPr="005C3DE5" w:rsidRDefault="005C3DE5" w:rsidP="00686726">
            <w:pPr>
              <w:rPr>
                <w:b/>
                <w:bCs/>
                <w:sz w:val="24"/>
                <w:szCs w:val="24"/>
                <w:lang w:val="uk-UA"/>
              </w:rPr>
            </w:pPr>
            <w:r w:rsidRPr="005C3DE5">
              <w:rPr>
                <w:b/>
                <w:bCs/>
                <w:sz w:val="24"/>
                <w:szCs w:val="24"/>
                <w:lang w:val="uk-UA"/>
              </w:rPr>
              <w:t xml:space="preserve">Очікувані якісні результати від реалізації </w:t>
            </w:r>
            <w:proofErr w:type="spellStart"/>
            <w:r w:rsidRPr="005C3DE5">
              <w:rPr>
                <w:b/>
                <w:bCs/>
                <w:sz w:val="24"/>
                <w:szCs w:val="24"/>
                <w:lang w:val="uk-UA"/>
              </w:rPr>
              <w:t>проєкту</w:t>
            </w:r>
            <w:proofErr w:type="spellEnd"/>
          </w:p>
        </w:tc>
        <w:tc>
          <w:tcPr>
            <w:tcW w:w="7087" w:type="dxa"/>
            <w:gridSpan w:val="5"/>
            <w:tcBorders>
              <w:top w:val="single" w:sz="4" w:space="0" w:color="auto"/>
              <w:left w:val="single" w:sz="4" w:space="0" w:color="auto"/>
              <w:bottom w:val="single" w:sz="4" w:space="0" w:color="auto"/>
              <w:right w:val="single" w:sz="4" w:space="0" w:color="auto"/>
            </w:tcBorders>
            <w:hideMark/>
          </w:tcPr>
          <w:p w:rsidR="005C3DE5" w:rsidRPr="005C3DE5" w:rsidRDefault="005C3DE5" w:rsidP="00686726">
            <w:pPr>
              <w:rPr>
                <w:sz w:val="24"/>
                <w:szCs w:val="24"/>
                <w:lang w:val="uk-UA"/>
              </w:rPr>
            </w:pPr>
            <w:r w:rsidRPr="005C3DE5">
              <w:rPr>
                <w:sz w:val="24"/>
                <w:szCs w:val="24"/>
                <w:lang w:val="uk-UA"/>
              </w:rPr>
              <w:t>Забезпечення на відповідному рівні реалізації державної політики у сфері соціального захисту ветеранів та членів їх сімей, зокрема збереженню їх психічного здоров'я, отриманню освітніх послуг з метою підвищення конкурентоспроможності на ринку праці та продуктивної зайнятості, забезпеченню їх соціальної та професійної адаптації.</w:t>
            </w:r>
          </w:p>
        </w:tc>
      </w:tr>
      <w:tr w:rsidR="005C3DE5" w:rsidRPr="005C3DE5" w:rsidTr="005C3DE5">
        <w:tc>
          <w:tcPr>
            <w:tcW w:w="283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C3DE5" w:rsidRPr="005C3DE5" w:rsidRDefault="005C3DE5" w:rsidP="00686726">
            <w:pPr>
              <w:rPr>
                <w:b/>
                <w:bCs/>
                <w:sz w:val="24"/>
                <w:szCs w:val="24"/>
                <w:lang w:val="uk-UA"/>
              </w:rPr>
            </w:pPr>
            <w:r w:rsidRPr="005C3DE5">
              <w:rPr>
                <w:b/>
                <w:bCs/>
                <w:sz w:val="24"/>
                <w:szCs w:val="24"/>
                <w:lang w:val="uk-UA"/>
              </w:rPr>
              <w:t xml:space="preserve">Очікувані кількісні результати реалізації </w:t>
            </w:r>
            <w:proofErr w:type="spellStart"/>
            <w:r w:rsidRPr="005C3DE5">
              <w:rPr>
                <w:b/>
                <w:bCs/>
                <w:sz w:val="24"/>
                <w:szCs w:val="24"/>
                <w:lang w:val="uk-UA"/>
              </w:rPr>
              <w:t>проєкту</w:t>
            </w:r>
            <w:proofErr w:type="spellEnd"/>
            <w:r w:rsidRPr="005C3DE5">
              <w:rPr>
                <w:b/>
                <w:bCs/>
                <w:sz w:val="24"/>
                <w:szCs w:val="24"/>
                <w:lang w:val="uk-UA"/>
              </w:rPr>
              <w:t xml:space="preserve"> (індикатори)</w:t>
            </w:r>
          </w:p>
        </w:tc>
        <w:tc>
          <w:tcPr>
            <w:tcW w:w="2586" w:type="dxa"/>
            <w:gridSpan w:val="2"/>
            <w:tcBorders>
              <w:top w:val="single" w:sz="4" w:space="0" w:color="auto"/>
              <w:left w:val="single" w:sz="4" w:space="0" w:color="auto"/>
              <w:bottom w:val="single" w:sz="4" w:space="0" w:color="auto"/>
              <w:right w:val="single" w:sz="4" w:space="0" w:color="auto"/>
            </w:tcBorders>
            <w:vAlign w:val="center"/>
            <w:hideMark/>
          </w:tcPr>
          <w:p w:rsidR="005C3DE5" w:rsidRPr="005C3DE5" w:rsidRDefault="005C3DE5" w:rsidP="00686726">
            <w:pPr>
              <w:jc w:val="center"/>
              <w:rPr>
                <w:sz w:val="24"/>
                <w:szCs w:val="24"/>
              </w:rPr>
            </w:pPr>
            <w:proofErr w:type="spellStart"/>
            <w:r w:rsidRPr="005C3DE5">
              <w:rPr>
                <w:sz w:val="24"/>
                <w:szCs w:val="24"/>
              </w:rPr>
              <w:t>Найменування</w:t>
            </w:r>
            <w:proofErr w:type="spellEnd"/>
            <w:r w:rsidRPr="005C3DE5">
              <w:rPr>
                <w:sz w:val="24"/>
                <w:szCs w:val="24"/>
              </w:rPr>
              <w:t xml:space="preserve"> </w:t>
            </w:r>
            <w:proofErr w:type="spellStart"/>
            <w:r w:rsidRPr="005C3DE5">
              <w:rPr>
                <w:sz w:val="24"/>
                <w:szCs w:val="24"/>
              </w:rPr>
              <w:t>показника</w:t>
            </w:r>
            <w:proofErr w:type="spellEnd"/>
          </w:p>
        </w:tc>
        <w:tc>
          <w:tcPr>
            <w:tcW w:w="2757" w:type="dxa"/>
            <w:gridSpan w:val="2"/>
            <w:tcBorders>
              <w:top w:val="single" w:sz="4" w:space="0" w:color="auto"/>
              <w:left w:val="single" w:sz="4" w:space="0" w:color="auto"/>
              <w:bottom w:val="single" w:sz="4" w:space="0" w:color="auto"/>
              <w:right w:val="single" w:sz="4" w:space="0" w:color="auto"/>
            </w:tcBorders>
            <w:vAlign w:val="center"/>
            <w:hideMark/>
          </w:tcPr>
          <w:p w:rsidR="005C3DE5" w:rsidRPr="005C3DE5" w:rsidRDefault="005C3DE5" w:rsidP="00686726">
            <w:pPr>
              <w:jc w:val="center"/>
              <w:rPr>
                <w:sz w:val="24"/>
                <w:szCs w:val="24"/>
              </w:rPr>
            </w:pPr>
            <w:proofErr w:type="spellStart"/>
            <w:r w:rsidRPr="005C3DE5">
              <w:rPr>
                <w:sz w:val="24"/>
                <w:szCs w:val="24"/>
              </w:rPr>
              <w:t>Одиниця</w:t>
            </w:r>
            <w:proofErr w:type="spellEnd"/>
            <w:r w:rsidRPr="005C3DE5">
              <w:rPr>
                <w:sz w:val="24"/>
                <w:szCs w:val="24"/>
              </w:rPr>
              <w:t xml:space="preserve"> </w:t>
            </w:r>
            <w:proofErr w:type="spellStart"/>
            <w:r w:rsidRPr="005C3DE5">
              <w:rPr>
                <w:sz w:val="24"/>
                <w:szCs w:val="24"/>
              </w:rPr>
              <w:t>вимірювання</w:t>
            </w:r>
            <w:proofErr w:type="spellEnd"/>
          </w:p>
        </w:tc>
        <w:tc>
          <w:tcPr>
            <w:tcW w:w="1744" w:type="dxa"/>
            <w:tcBorders>
              <w:top w:val="single" w:sz="4" w:space="0" w:color="auto"/>
              <w:left w:val="single" w:sz="4" w:space="0" w:color="auto"/>
              <w:bottom w:val="single" w:sz="4" w:space="0" w:color="auto"/>
              <w:right w:val="single" w:sz="4" w:space="0" w:color="auto"/>
            </w:tcBorders>
            <w:vAlign w:val="center"/>
            <w:hideMark/>
          </w:tcPr>
          <w:p w:rsidR="005C3DE5" w:rsidRPr="005C3DE5" w:rsidRDefault="005C3DE5" w:rsidP="00686726">
            <w:pPr>
              <w:jc w:val="center"/>
              <w:rPr>
                <w:sz w:val="24"/>
                <w:szCs w:val="24"/>
              </w:rPr>
            </w:pPr>
            <w:proofErr w:type="spellStart"/>
            <w:r w:rsidRPr="005C3DE5">
              <w:rPr>
                <w:sz w:val="24"/>
                <w:szCs w:val="24"/>
              </w:rPr>
              <w:t>Прогнозне</w:t>
            </w:r>
            <w:proofErr w:type="spellEnd"/>
            <w:r w:rsidRPr="005C3DE5">
              <w:rPr>
                <w:sz w:val="24"/>
                <w:szCs w:val="24"/>
              </w:rPr>
              <w:t xml:space="preserve"> (</w:t>
            </w:r>
            <w:proofErr w:type="spellStart"/>
            <w:r w:rsidRPr="005C3DE5">
              <w:rPr>
                <w:sz w:val="24"/>
                <w:szCs w:val="24"/>
              </w:rPr>
              <w:t>цільове</w:t>
            </w:r>
            <w:proofErr w:type="spellEnd"/>
            <w:r w:rsidRPr="005C3DE5">
              <w:rPr>
                <w:sz w:val="24"/>
                <w:szCs w:val="24"/>
              </w:rPr>
              <w:t xml:space="preserve">) </w:t>
            </w:r>
            <w:proofErr w:type="spellStart"/>
            <w:r w:rsidRPr="005C3DE5">
              <w:rPr>
                <w:sz w:val="24"/>
                <w:szCs w:val="24"/>
              </w:rPr>
              <w:t>значення</w:t>
            </w:r>
            <w:proofErr w:type="spellEnd"/>
          </w:p>
        </w:tc>
      </w:tr>
      <w:tr w:rsidR="005C3DE5" w:rsidRPr="005C3DE5" w:rsidTr="005C3DE5">
        <w:tc>
          <w:tcPr>
            <w:tcW w:w="283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5C3DE5" w:rsidRPr="005C3DE5" w:rsidRDefault="005C3DE5" w:rsidP="00686726">
            <w:pPr>
              <w:rPr>
                <w:b/>
                <w:bCs/>
                <w:sz w:val="24"/>
                <w:szCs w:val="24"/>
              </w:rPr>
            </w:pPr>
          </w:p>
        </w:tc>
        <w:tc>
          <w:tcPr>
            <w:tcW w:w="2586" w:type="dxa"/>
            <w:gridSpan w:val="2"/>
            <w:tcBorders>
              <w:top w:val="single" w:sz="4" w:space="0" w:color="auto"/>
              <w:left w:val="single" w:sz="4" w:space="0" w:color="auto"/>
              <w:bottom w:val="single" w:sz="4" w:space="0" w:color="auto"/>
              <w:right w:val="single" w:sz="4" w:space="0" w:color="auto"/>
            </w:tcBorders>
            <w:hideMark/>
          </w:tcPr>
          <w:p w:rsidR="005C3DE5" w:rsidRPr="005C3DE5" w:rsidRDefault="005C3DE5" w:rsidP="00686726">
            <w:pPr>
              <w:jc w:val="center"/>
              <w:rPr>
                <w:sz w:val="24"/>
                <w:szCs w:val="24"/>
              </w:rPr>
            </w:pPr>
            <w:proofErr w:type="spellStart"/>
            <w:r w:rsidRPr="005C3DE5">
              <w:rPr>
                <w:sz w:val="24"/>
                <w:szCs w:val="24"/>
              </w:rPr>
              <w:t>Звернення</w:t>
            </w:r>
            <w:proofErr w:type="spellEnd"/>
            <w:r w:rsidRPr="005C3DE5">
              <w:rPr>
                <w:sz w:val="24"/>
                <w:szCs w:val="24"/>
              </w:rPr>
              <w:t xml:space="preserve"> за </w:t>
            </w:r>
            <w:proofErr w:type="spellStart"/>
            <w:r w:rsidRPr="005C3DE5">
              <w:rPr>
                <w:sz w:val="24"/>
                <w:szCs w:val="24"/>
              </w:rPr>
              <w:t>наданням</w:t>
            </w:r>
            <w:proofErr w:type="spellEnd"/>
            <w:r w:rsidRPr="005C3DE5">
              <w:rPr>
                <w:sz w:val="24"/>
                <w:szCs w:val="24"/>
              </w:rPr>
              <w:t xml:space="preserve"> </w:t>
            </w:r>
            <w:proofErr w:type="spellStart"/>
            <w:r w:rsidRPr="005C3DE5">
              <w:rPr>
                <w:sz w:val="24"/>
                <w:szCs w:val="24"/>
              </w:rPr>
              <w:t>допомоги</w:t>
            </w:r>
            <w:proofErr w:type="spellEnd"/>
            <w:r w:rsidRPr="005C3DE5">
              <w:rPr>
                <w:sz w:val="24"/>
                <w:szCs w:val="24"/>
              </w:rPr>
              <w:t xml:space="preserve"> та </w:t>
            </w:r>
            <w:proofErr w:type="spellStart"/>
            <w:r w:rsidRPr="005C3DE5">
              <w:rPr>
                <w:sz w:val="24"/>
                <w:szCs w:val="24"/>
              </w:rPr>
              <w:t>соціальних</w:t>
            </w:r>
            <w:proofErr w:type="spellEnd"/>
            <w:r w:rsidRPr="005C3DE5">
              <w:rPr>
                <w:sz w:val="24"/>
                <w:szCs w:val="24"/>
              </w:rPr>
              <w:t xml:space="preserve"> </w:t>
            </w:r>
            <w:proofErr w:type="spellStart"/>
            <w:r w:rsidRPr="005C3DE5">
              <w:rPr>
                <w:sz w:val="24"/>
                <w:szCs w:val="24"/>
              </w:rPr>
              <w:t>послуг</w:t>
            </w:r>
            <w:proofErr w:type="spellEnd"/>
          </w:p>
        </w:tc>
        <w:tc>
          <w:tcPr>
            <w:tcW w:w="2757" w:type="dxa"/>
            <w:gridSpan w:val="2"/>
            <w:tcBorders>
              <w:top w:val="single" w:sz="4" w:space="0" w:color="auto"/>
              <w:left w:val="single" w:sz="4" w:space="0" w:color="auto"/>
              <w:bottom w:val="single" w:sz="4" w:space="0" w:color="auto"/>
              <w:right w:val="single" w:sz="4" w:space="0" w:color="auto"/>
            </w:tcBorders>
            <w:hideMark/>
          </w:tcPr>
          <w:p w:rsidR="005C3DE5" w:rsidRPr="005C3DE5" w:rsidRDefault="005C3DE5" w:rsidP="00686726">
            <w:pPr>
              <w:jc w:val="center"/>
              <w:rPr>
                <w:sz w:val="24"/>
                <w:szCs w:val="24"/>
              </w:rPr>
            </w:pPr>
            <w:proofErr w:type="spellStart"/>
            <w:r w:rsidRPr="005C3DE5">
              <w:rPr>
                <w:sz w:val="24"/>
                <w:szCs w:val="24"/>
              </w:rPr>
              <w:t>одиниць</w:t>
            </w:r>
            <w:proofErr w:type="spellEnd"/>
          </w:p>
        </w:tc>
        <w:tc>
          <w:tcPr>
            <w:tcW w:w="1744" w:type="dxa"/>
            <w:tcBorders>
              <w:top w:val="single" w:sz="4" w:space="0" w:color="auto"/>
              <w:left w:val="single" w:sz="4" w:space="0" w:color="auto"/>
              <w:bottom w:val="single" w:sz="4" w:space="0" w:color="auto"/>
              <w:right w:val="single" w:sz="4" w:space="0" w:color="auto"/>
            </w:tcBorders>
            <w:hideMark/>
          </w:tcPr>
          <w:p w:rsidR="005C3DE5" w:rsidRPr="005C3DE5" w:rsidRDefault="005C3DE5" w:rsidP="00686726">
            <w:pPr>
              <w:jc w:val="center"/>
              <w:rPr>
                <w:sz w:val="24"/>
                <w:szCs w:val="24"/>
              </w:rPr>
            </w:pPr>
            <w:r w:rsidRPr="005C3DE5">
              <w:rPr>
                <w:sz w:val="24"/>
                <w:szCs w:val="24"/>
              </w:rPr>
              <w:t xml:space="preserve">1000 </w:t>
            </w:r>
          </w:p>
        </w:tc>
      </w:tr>
      <w:tr w:rsidR="005C3DE5" w:rsidRPr="005C3DE5" w:rsidTr="005C3DE5">
        <w:tc>
          <w:tcPr>
            <w:tcW w:w="283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5C3DE5" w:rsidRPr="005C3DE5" w:rsidRDefault="005C3DE5" w:rsidP="00686726">
            <w:pPr>
              <w:rPr>
                <w:b/>
                <w:bCs/>
                <w:sz w:val="24"/>
                <w:szCs w:val="24"/>
              </w:rPr>
            </w:pPr>
          </w:p>
        </w:tc>
        <w:tc>
          <w:tcPr>
            <w:tcW w:w="2586" w:type="dxa"/>
            <w:gridSpan w:val="2"/>
            <w:tcBorders>
              <w:top w:val="single" w:sz="4" w:space="0" w:color="auto"/>
              <w:left w:val="single" w:sz="4" w:space="0" w:color="auto"/>
              <w:bottom w:val="single" w:sz="4" w:space="0" w:color="auto"/>
              <w:right w:val="single" w:sz="4" w:space="0" w:color="auto"/>
            </w:tcBorders>
            <w:hideMark/>
          </w:tcPr>
          <w:p w:rsidR="005C3DE5" w:rsidRPr="005C3DE5" w:rsidRDefault="005C3DE5" w:rsidP="00686726">
            <w:pPr>
              <w:jc w:val="center"/>
              <w:rPr>
                <w:sz w:val="24"/>
                <w:szCs w:val="24"/>
              </w:rPr>
            </w:pPr>
            <w:proofErr w:type="spellStart"/>
            <w:r w:rsidRPr="005C3DE5">
              <w:rPr>
                <w:sz w:val="24"/>
                <w:szCs w:val="24"/>
              </w:rPr>
              <w:t>Кількість</w:t>
            </w:r>
            <w:proofErr w:type="spellEnd"/>
            <w:r w:rsidRPr="005C3DE5">
              <w:rPr>
                <w:sz w:val="24"/>
                <w:szCs w:val="24"/>
              </w:rPr>
              <w:t xml:space="preserve"> </w:t>
            </w:r>
            <w:proofErr w:type="spellStart"/>
            <w:r w:rsidRPr="005C3DE5">
              <w:rPr>
                <w:sz w:val="24"/>
                <w:szCs w:val="24"/>
              </w:rPr>
              <w:t>видів</w:t>
            </w:r>
            <w:proofErr w:type="spellEnd"/>
            <w:r w:rsidRPr="005C3DE5">
              <w:rPr>
                <w:sz w:val="24"/>
                <w:szCs w:val="24"/>
              </w:rPr>
              <w:t xml:space="preserve"> </w:t>
            </w:r>
            <w:proofErr w:type="spellStart"/>
            <w:r w:rsidRPr="005C3DE5">
              <w:rPr>
                <w:sz w:val="24"/>
                <w:szCs w:val="24"/>
              </w:rPr>
              <w:t>допомоги</w:t>
            </w:r>
            <w:proofErr w:type="spellEnd"/>
            <w:r w:rsidRPr="005C3DE5">
              <w:rPr>
                <w:sz w:val="24"/>
                <w:szCs w:val="24"/>
              </w:rPr>
              <w:t xml:space="preserve"> та </w:t>
            </w:r>
            <w:proofErr w:type="spellStart"/>
            <w:r w:rsidRPr="005C3DE5">
              <w:rPr>
                <w:sz w:val="24"/>
                <w:szCs w:val="24"/>
              </w:rPr>
              <w:t>соціальних</w:t>
            </w:r>
            <w:proofErr w:type="spellEnd"/>
            <w:r w:rsidRPr="005C3DE5">
              <w:rPr>
                <w:sz w:val="24"/>
                <w:szCs w:val="24"/>
              </w:rPr>
              <w:t xml:space="preserve"> </w:t>
            </w:r>
            <w:proofErr w:type="spellStart"/>
            <w:r w:rsidRPr="005C3DE5">
              <w:rPr>
                <w:sz w:val="24"/>
                <w:szCs w:val="24"/>
              </w:rPr>
              <w:t>послуг</w:t>
            </w:r>
            <w:proofErr w:type="spellEnd"/>
          </w:p>
        </w:tc>
        <w:tc>
          <w:tcPr>
            <w:tcW w:w="2757" w:type="dxa"/>
            <w:gridSpan w:val="2"/>
            <w:tcBorders>
              <w:top w:val="single" w:sz="4" w:space="0" w:color="auto"/>
              <w:left w:val="single" w:sz="4" w:space="0" w:color="auto"/>
              <w:bottom w:val="single" w:sz="4" w:space="0" w:color="auto"/>
              <w:right w:val="single" w:sz="4" w:space="0" w:color="auto"/>
            </w:tcBorders>
            <w:hideMark/>
          </w:tcPr>
          <w:p w:rsidR="005C3DE5" w:rsidRPr="005C3DE5" w:rsidRDefault="005C3DE5" w:rsidP="00686726">
            <w:pPr>
              <w:jc w:val="center"/>
              <w:rPr>
                <w:sz w:val="24"/>
                <w:szCs w:val="24"/>
              </w:rPr>
            </w:pPr>
            <w:proofErr w:type="spellStart"/>
            <w:r w:rsidRPr="005C3DE5">
              <w:rPr>
                <w:sz w:val="24"/>
                <w:szCs w:val="24"/>
              </w:rPr>
              <w:t>одиниць</w:t>
            </w:r>
            <w:proofErr w:type="spellEnd"/>
          </w:p>
        </w:tc>
        <w:tc>
          <w:tcPr>
            <w:tcW w:w="1744" w:type="dxa"/>
            <w:tcBorders>
              <w:top w:val="single" w:sz="4" w:space="0" w:color="auto"/>
              <w:left w:val="single" w:sz="4" w:space="0" w:color="auto"/>
              <w:bottom w:val="single" w:sz="4" w:space="0" w:color="auto"/>
              <w:right w:val="single" w:sz="4" w:space="0" w:color="auto"/>
            </w:tcBorders>
            <w:hideMark/>
          </w:tcPr>
          <w:p w:rsidR="005C3DE5" w:rsidRPr="005C3DE5" w:rsidRDefault="005C3DE5" w:rsidP="00686726">
            <w:pPr>
              <w:jc w:val="center"/>
              <w:rPr>
                <w:sz w:val="24"/>
                <w:szCs w:val="24"/>
              </w:rPr>
            </w:pPr>
            <w:r w:rsidRPr="005C3DE5">
              <w:rPr>
                <w:sz w:val="24"/>
                <w:szCs w:val="24"/>
              </w:rPr>
              <w:t>30</w:t>
            </w:r>
          </w:p>
        </w:tc>
      </w:tr>
      <w:tr w:rsidR="005C3DE5" w:rsidRPr="005C3DE5" w:rsidTr="005C3DE5">
        <w:tc>
          <w:tcPr>
            <w:tcW w:w="283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C3DE5" w:rsidRPr="005C3DE5" w:rsidRDefault="005C3DE5" w:rsidP="00686726">
            <w:pPr>
              <w:rPr>
                <w:b/>
                <w:bCs/>
                <w:sz w:val="24"/>
                <w:szCs w:val="24"/>
              </w:rPr>
            </w:pPr>
            <w:proofErr w:type="spellStart"/>
            <w:r w:rsidRPr="005C3DE5">
              <w:rPr>
                <w:b/>
                <w:bCs/>
                <w:sz w:val="24"/>
                <w:szCs w:val="24"/>
              </w:rPr>
              <w:t>Ключові</w:t>
            </w:r>
            <w:proofErr w:type="spellEnd"/>
            <w:r w:rsidRPr="005C3DE5">
              <w:rPr>
                <w:b/>
                <w:bCs/>
                <w:sz w:val="24"/>
                <w:szCs w:val="24"/>
              </w:rPr>
              <w:t xml:space="preserve"> заходи </w:t>
            </w:r>
            <w:proofErr w:type="spellStart"/>
            <w:r w:rsidRPr="005C3DE5">
              <w:rPr>
                <w:b/>
                <w:bCs/>
                <w:sz w:val="24"/>
                <w:szCs w:val="24"/>
              </w:rPr>
              <w:t>проєкту</w:t>
            </w:r>
            <w:proofErr w:type="spellEnd"/>
            <w:r w:rsidRPr="005C3DE5">
              <w:rPr>
                <w:b/>
                <w:bCs/>
                <w:sz w:val="24"/>
                <w:szCs w:val="24"/>
              </w:rPr>
              <w:t>:</w:t>
            </w:r>
          </w:p>
        </w:tc>
        <w:tc>
          <w:tcPr>
            <w:tcW w:w="7087" w:type="dxa"/>
            <w:gridSpan w:val="5"/>
            <w:tcBorders>
              <w:top w:val="single" w:sz="4" w:space="0" w:color="auto"/>
              <w:left w:val="single" w:sz="4" w:space="0" w:color="auto"/>
              <w:bottom w:val="single" w:sz="4" w:space="0" w:color="auto"/>
              <w:right w:val="single" w:sz="4" w:space="0" w:color="auto"/>
            </w:tcBorders>
            <w:hideMark/>
          </w:tcPr>
          <w:p w:rsidR="005C3DE5" w:rsidRPr="005C3DE5" w:rsidRDefault="005C3DE5" w:rsidP="005C3DE5">
            <w:pPr>
              <w:pStyle w:val="a7"/>
              <w:numPr>
                <w:ilvl w:val="0"/>
                <w:numId w:val="63"/>
              </w:numPr>
              <w:ind w:left="136" w:hanging="142"/>
              <w:jc w:val="left"/>
              <w:rPr>
                <w:sz w:val="24"/>
                <w:szCs w:val="24"/>
              </w:rPr>
            </w:pPr>
            <w:proofErr w:type="spellStart"/>
            <w:r w:rsidRPr="005C3DE5">
              <w:rPr>
                <w:sz w:val="24"/>
                <w:szCs w:val="24"/>
              </w:rPr>
              <w:t>Проведення</w:t>
            </w:r>
            <w:proofErr w:type="spellEnd"/>
            <w:r w:rsidRPr="005C3DE5">
              <w:rPr>
                <w:sz w:val="24"/>
                <w:szCs w:val="24"/>
              </w:rPr>
              <w:t xml:space="preserve"> </w:t>
            </w:r>
            <w:proofErr w:type="spellStart"/>
            <w:r w:rsidRPr="005C3DE5">
              <w:rPr>
                <w:sz w:val="24"/>
                <w:szCs w:val="24"/>
              </w:rPr>
              <w:t>обстеження</w:t>
            </w:r>
            <w:proofErr w:type="spellEnd"/>
            <w:r w:rsidRPr="005C3DE5">
              <w:rPr>
                <w:sz w:val="24"/>
                <w:szCs w:val="24"/>
              </w:rPr>
              <w:t xml:space="preserve"> </w:t>
            </w:r>
            <w:proofErr w:type="spellStart"/>
            <w:r w:rsidRPr="005C3DE5">
              <w:rPr>
                <w:sz w:val="24"/>
                <w:szCs w:val="24"/>
              </w:rPr>
              <w:t>приміщення</w:t>
            </w:r>
            <w:proofErr w:type="spellEnd"/>
            <w:r w:rsidRPr="005C3DE5">
              <w:rPr>
                <w:sz w:val="24"/>
                <w:szCs w:val="24"/>
              </w:rPr>
              <w:t>;</w:t>
            </w:r>
          </w:p>
          <w:p w:rsidR="005C3DE5" w:rsidRPr="005C3DE5" w:rsidRDefault="005C3DE5" w:rsidP="00686726">
            <w:pPr>
              <w:rPr>
                <w:sz w:val="24"/>
                <w:szCs w:val="24"/>
              </w:rPr>
            </w:pPr>
            <w:r w:rsidRPr="005C3DE5">
              <w:rPr>
                <w:sz w:val="24"/>
                <w:szCs w:val="24"/>
              </w:rPr>
              <w:t xml:space="preserve">- </w:t>
            </w:r>
            <w:proofErr w:type="spellStart"/>
            <w:r w:rsidRPr="005C3DE5">
              <w:rPr>
                <w:sz w:val="24"/>
                <w:szCs w:val="24"/>
              </w:rPr>
              <w:t>відновлення</w:t>
            </w:r>
            <w:proofErr w:type="spellEnd"/>
            <w:r w:rsidRPr="005C3DE5">
              <w:rPr>
                <w:sz w:val="24"/>
                <w:szCs w:val="24"/>
              </w:rPr>
              <w:t xml:space="preserve"> </w:t>
            </w:r>
            <w:proofErr w:type="spellStart"/>
            <w:r w:rsidRPr="005C3DE5">
              <w:rPr>
                <w:sz w:val="24"/>
                <w:szCs w:val="24"/>
              </w:rPr>
              <w:t>пошкодженого</w:t>
            </w:r>
            <w:proofErr w:type="spellEnd"/>
            <w:r w:rsidRPr="005C3DE5">
              <w:rPr>
                <w:sz w:val="24"/>
                <w:szCs w:val="24"/>
              </w:rPr>
              <w:t xml:space="preserve"> (</w:t>
            </w:r>
            <w:proofErr w:type="spellStart"/>
            <w:r w:rsidRPr="005C3DE5">
              <w:rPr>
                <w:sz w:val="24"/>
                <w:szCs w:val="24"/>
              </w:rPr>
              <w:t>зруйнованого</w:t>
            </w:r>
            <w:proofErr w:type="spellEnd"/>
            <w:r w:rsidRPr="005C3DE5">
              <w:rPr>
                <w:sz w:val="24"/>
                <w:szCs w:val="24"/>
              </w:rPr>
              <w:t xml:space="preserve">) </w:t>
            </w:r>
            <w:proofErr w:type="spellStart"/>
            <w:r w:rsidRPr="005C3DE5">
              <w:rPr>
                <w:sz w:val="24"/>
                <w:szCs w:val="24"/>
              </w:rPr>
              <w:t>приміщення</w:t>
            </w:r>
            <w:proofErr w:type="spellEnd"/>
            <w:r w:rsidRPr="005C3DE5">
              <w:rPr>
                <w:sz w:val="24"/>
                <w:szCs w:val="24"/>
              </w:rPr>
              <w:t xml:space="preserve"> </w:t>
            </w:r>
            <w:proofErr w:type="spellStart"/>
            <w:r w:rsidRPr="005C3DE5">
              <w:rPr>
                <w:sz w:val="24"/>
                <w:szCs w:val="24"/>
              </w:rPr>
              <w:t>Ветеранського</w:t>
            </w:r>
            <w:proofErr w:type="spellEnd"/>
            <w:r w:rsidRPr="005C3DE5">
              <w:rPr>
                <w:sz w:val="24"/>
                <w:szCs w:val="24"/>
              </w:rPr>
              <w:t xml:space="preserve"> простору </w:t>
            </w:r>
            <w:proofErr w:type="spellStart"/>
            <w:r w:rsidRPr="005C3DE5">
              <w:rPr>
                <w:sz w:val="24"/>
                <w:szCs w:val="24"/>
              </w:rPr>
              <w:t>управління</w:t>
            </w:r>
            <w:proofErr w:type="spellEnd"/>
            <w:r w:rsidRPr="005C3DE5">
              <w:rPr>
                <w:sz w:val="24"/>
                <w:szCs w:val="24"/>
              </w:rPr>
              <w:t>;</w:t>
            </w:r>
          </w:p>
          <w:p w:rsidR="005C3DE5" w:rsidRPr="005C3DE5" w:rsidRDefault="005C3DE5" w:rsidP="00686726">
            <w:pPr>
              <w:rPr>
                <w:sz w:val="24"/>
                <w:szCs w:val="24"/>
              </w:rPr>
            </w:pPr>
            <w:r w:rsidRPr="005C3DE5">
              <w:rPr>
                <w:sz w:val="24"/>
                <w:szCs w:val="24"/>
              </w:rPr>
              <w:t xml:space="preserve">- </w:t>
            </w:r>
            <w:proofErr w:type="spellStart"/>
            <w:r w:rsidRPr="005C3DE5">
              <w:rPr>
                <w:sz w:val="24"/>
                <w:szCs w:val="24"/>
              </w:rPr>
              <w:t>укладення</w:t>
            </w:r>
            <w:proofErr w:type="spellEnd"/>
            <w:r w:rsidRPr="005C3DE5">
              <w:rPr>
                <w:sz w:val="24"/>
                <w:szCs w:val="24"/>
              </w:rPr>
              <w:t xml:space="preserve"> </w:t>
            </w:r>
            <w:proofErr w:type="spellStart"/>
            <w:r w:rsidRPr="005C3DE5">
              <w:rPr>
                <w:sz w:val="24"/>
                <w:szCs w:val="24"/>
              </w:rPr>
              <w:t>договорів</w:t>
            </w:r>
            <w:proofErr w:type="spellEnd"/>
            <w:r w:rsidRPr="005C3DE5">
              <w:rPr>
                <w:sz w:val="24"/>
                <w:szCs w:val="24"/>
              </w:rPr>
              <w:t>;</w:t>
            </w:r>
          </w:p>
          <w:p w:rsidR="005C3DE5" w:rsidRPr="005C3DE5" w:rsidRDefault="005C3DE5" w:rsidP="00686726">
            <w:pPr>
              <w:rPr>
                <w:sz w:val="24"/>
                <w:szCs w:val="24"/>
              </w:rPr>
            </w:pPr>
            <w:r w:rsidRPr="005C3DE5">
              <w:rPr>
                <w:sz w:val="24"/>
                <w:szCs w:val="24"/>
              </w:rPr>
              <w:t xml:space="preserve">- </w:t>
            </w:r>
            <w:proofErr w:type="spellStart"/>
            <w:r w:rsidRPr="005C3DE5">
              <w:rPr>
                <w:sz w:val="24"/>
                <w:szCs w:val="24"/>
              </w:rPr>
              <w:t>закупівля</w:t>
            </w:r>
            <w:proofErr w:type="spellEnd"/>
            <w:r w:rsidRPr="005C3DE5">
              <w:rPr>
                <w:sz w:val="24"/>
                <w:szCs w:val="24"/>
              </w:rPr>
              <w:t xml:space="preserve"> </w:t>
            </w:r>
            <w:proofErr w:type="spellStart"/>
            <w:r w:rsidRPr="005C3DE5">
              <w:rPr>
                <w:sz w:val="24"/>
                <w:szCs w:val="24"/>
              </w:rPr>
              <w:t>меблів</w:t>
            </w:r>
            <w:proofErr w:type="spellEnd"/>
            <w:r w:rsidRPr="005C3DE5">
              <w:rPr>
                <w:sz w:val="24"/>
                <w:szCs w:val="24"/>
              </w:rPr>
              <w:t xml:space="preserve">, </w:t>
            </w:r>
            <w:proofErr w:type="spellStart"/>
            <w:r w:rsidRPr="005C3DE5">
              <w:rPr>
                <w:sz w:val="24"/>
                <w:szCs w:val="24"/>
              </w:rPr>
              <w:t>офісної</w:t>
            </w:r>
            <w:proofErr w:type="spellEnd"/>
            <w:r w:rsidRPr="005C3DE5">
              <w:rPr>
                <w:sz w:val="24"/>
                <w:szCs w:val="24"/>
              </w:rPr>
              <w:t xml:space="preserve"> та </w:t>
            </w:r>
            <w:proofErr w:type="spellStart"/>
            <w:r w:rsidRPr="005C3DE5">
              <w:rPr>
                <w:sz w:val="24"/>
                <w:szCs w:val="24"/>
              </w:rPr>
              <w:t>комп’ютерної</w:t>
            </w:r>
            <w:proofErr w:type="spellEnd"/>
            <w:r w:rsidRPr="005C3DE5">
              <w:rPr>
                <w:sz w:val="24"/>
                <w:szCs w:val="24"/>
              </w:rPr>
              <w:t xml:space="preserve"> </w:t>
            </w:r>
            <w:proofErr w:type="spellStart"/>
            <w:r w:rsidRPr="005C3DE5">
              <w:rPr>
                <w:sz w:val="24"/>
                <w:szCs w:val="24"/>
              </w:rPr>
              <w:t>техніки</w:t>
            </w:r>
            <w:proofErr w:type="spellEnd"/>
            <w:r w:rsidRPr="005C3DE5">
              <w:rPr>
                <w:sz w:val="24"/>
                <w:szCs w:val="24"/>
              </w:rPr>
              <w:t>;</w:t>
            </w:r>
          </w:p>
          <w:p w:rsidR="005C3DE5" w:rsidRPr="005C3DE5" w:rsidRDefault="005C3DE5" w:rsidP="00686726">
            <w:pPr>
              <w:rPr>
                <w:sz w:val="24"/>
                <w:szCs w:val="24"/>
              </w:rPr>
            </w:pPr>
            <w:r w:rsidRPr="005C3DE5">
              <w:rPr>
                <w:sz w:val="24"/>
                <w:szCs w:val="24"/>
              </w:rPr>
              <w:lastRenderedPageBreak/>
              <w:t xml:space="preserve">- </w:t>
            </w:r>
            <w:proofErr w:type="spellStart"/>
            <w:r w:rsidRPr="005C3DE5">
              <w:rPr>
                <w:sz w:val="24"/>
                <w:szCs w:val="24"/>
              </w:rPr>
              <w:t>облаштування</w:t>
            </w:r>
            <w:proofErr w:type="spellEnd"/>
            <w:r w:rsidRPr="005C3DE5">
              <w:rPr>
                <w:sz w:val="24"/>
                <w:szCs w:val="24"/>
              </w:rPr>
              <w:t xml:space="preserve"> </w:t>
            </w:r>
            <w:proofErr w:type="spellStart"/>
            <w:r w:rsidRPr="005C3DE5">
              <w:rPr>
                <w:sz w:val="24"/>
                <w:szCs w:val="24"/>
              </w:rPr>
              <w:t>робочих</w:t>
            </w:r>
            <w:proofErr w:type="spellEnd"/>
            <w:r w:rsidRPr="005C3DE5">
              <w:rPr>
                <w:sz w:val="24"/>
                <w:szCs w:val="24"/>
              </w:rPr>
              <w:t xml:space="preserve"> </w:t>
            </w:r>
            <w:proofErr w:type="spellStart"/>
            <w:r w:rsidRPr="005C3DE5">
              <w:rPr>
                <w:sz w:val="24"/>
                <w:szCs w:val="24"/>
              </w:rPr>
              <w:t>місць</w:t>
            </w:r>
            <w:proofErr w:type="spellEnd"/>
            <w:r w:rsidRPr="005C3DE5">
              <w:rPr>
                <w:sz w:val="24"/>
                <w:szCs w:val="24"/>
              </w:rPr>
              <w:t xml:space="preserve"> </w:t>
            </w:r>
            <w:proofErr w:type="spellStart"/>
            <w:r w:rsidRPr="005C3DE5">
              <w:rPr>
                <w:sz w:val="24"/>
                <w:szCs w:val="24"/>
              </w:rPr>
              <w:t>працівників</w:t>
            </w:r>
            <w:proofErr w:type="spellEnd"/>
            <w:r w:rsidRPr="005C3DE5">
              <w:rPr>
                <w:sz w:val="24"/>
                <w:szCs w:val="24"/>
              </w:rPr>
              <w:t xml:space="preserve"> та </w:t>
            </w:r>
            <w:proofErr w:type="spellStart"/>
            <w:r w:rsidRPr="005C3DE5">
              <w:rPr>
                <w:sz w:val="24"/>
                <w:szCs w:val="24"/>
              </w:rPr>
              <w:t>приміщень</w:t>
            </w:r>
            <w:proofErr w:type="spellEnd"/>
            <w:r w:rsidRPr="005C3DE5">
              <w:rPr>
                <w:sz w:val="24"/>
                <w:szCs w:val="24"/>
              </w:rPr>
              <w:t>;</w:t>
            </w:r>
          </w:p>
          <w:p w:rsidR="005C3DE5" w:rsidRPr="005C3DE5" w:rsidRDefault="005C3DE5" w:rsidP="00686726">
            <w:pPr>
              <w:rPr>
                <w:sz w:val="24"/>
                <w:szCs w:val="24"/>
              </w:rPr>
            </w:pPr>
            <w:r w:rsidRPr="005C3DE5">
              <w:rPr>
                <w:sz w:val="24"/>
                <w:szCs w:val="24"/>
              </w:rPr>
              <w:t xml:space="preserve">- </w:t>
            </w:r>
            <w:proofErr w:type="spellStart"/>
            <w:r w:rsidRPr="005C3DE5">
              <w:rPr>
                <w:sz w:val="24"/>
                <w:szCs w:val="24"/>
              </w:rPr>
              <w:t>визначення</w:t>
            </w:r>
            <w:proofErr w:type="spellEnd"/>
            <w:r w:rsidRPr="005C3DE5">
              <w:rPr>
                <w:sz w:val="24"/>
                <w:szCs w:val="24"/>
              </w:rPr>
              <w:t xml:space="preserve"> </w:t>
            </w:r>
            <w:proofErr w:type="spellStart"/>
            <w:r w:rsidRPr="005C3DE5">
              <w:rPr>
                <w:sz w:val="24"/>
                <w:szCs w:val="24"/>
              </w:rPr>
              <w:t>кількості</w:t>
            </w:r>
            <w:proofErr w:type="spellEnd"/>
            <w:r w:rsidRPr="005C3DE5">
              <w:rPr>
                <w:sz w:val="24"/>
                <w:szCs w:val="24"/>
              </w:rPr>
              <w:t xml:space="preserve"> </w:t>
            </w:r>
            <w:proofErr w:type="spellStart"/>
            <w:r w:rsidRPr="005C3DE5">
              <w:rPr>
                <w:sz w:val="24"/>
                <w:szCs w:val="24"/>
              </w:rPr>
              <w:t>осіб</w:t>
            </w:r>
            <w:proofErr w:type="spellEnd"/>
            <w:r w:rsidRPr="005C3DE5">
              <w:rPr>
                <w:sz w:val="24"/>
                <w:szCs w:val="24"/>
              </w:rPr>
              <w:t xml:space="preserve">, </w:t>
            </w:r>
            <w:proofErr w:type="spellStart"/>
            <w:r w:rsidRPr="005C3DE5">
              <w:rPr>
                <w:sz w:val="24"/>
                <w:szCs w:val="24"/>
              </w:rPr>
              <w:t>яким</w:t>
            </w:r>
            <w:proofErr w:type="spellEnd"/>
            <w:r w:rsidRPr="005C3DE5">
              <w:rPr>
                <w:sz w:val="24"/>
                <w:szCs w:val="24"/>
              </w:rPr>
              <w:t xml:space="preserve"> </w:t>
            </w:r>
            <w:proofErr w:type="spellStart"/>
            <w:r w:rsidRPr="005C3DE5">
              <w:rPr>
                <w:sz w:val="24"/>
                <w:szCs w:val="24"/>
              </w:rPr>
              <w:t>необхідно</w:t>
            </w:r>
            <w:proofErr w:type="spellEnd"/>
            <w:r w:rsidRPr="005C3DE5">
              <w:rPr>
                <w:sz w:val="24"/>
                <w:szCs w:val="24"/>
              </w:rPr>
              <w:t xml:space="preserve"> </w:t>
            </w:r>
            <w:proofErr w:type="spellStart"/>
            <w:r w:rsidRPr="005C3DE5">
              <w:rPr>
                <w:sz w:val="24"/>
                <w:szCs w:val="24"/>
              </w:rPr>
              <w:t>надати</w:t>
            </w:r>
            <w:proofErr w:type="spellEnd"/>
            <w:r w:rsidRPr="005C3DE5">
              <w:rPr>
                <w:sz w:val="24"/>
                <w:szCs w:val="24"/>
              </w:rPr>
              <w:t xml:space="preserve"> </w:t>
            </w:r>
            <w:proofErr w:type="spellStart"/>
            <w:r w:rsidRPr="005C3DE5">
              <w:rPr>
                <w:sz w:val="24"/>
                <w:szCs w:val="24"/>
              </w:rPr>
              <w:t>допомогу</w:t>
            </w:r>
            <w:proofErr w:type="spellEnd"/>
            <w:r w:rsidRPr="005C3DE5">
              <w:rPr>
                <w:sz w:val="24"/>
                <w:szCs w:val="24"/>
              </w:rPr>
              <w:t xml:space="preserve"> та </w:t>
            </w:r>
            <w:proofErr w:type="spellStart"/>
            <w:r w:rsidRPr="005C3DE5">
              <w:rPr>
                <w:sz w:val="24"/>
                <w:szCs w:val="24"/>
              </w:rPr>
              <w:t>соціальні</w:t>
            </w:r>
            <w:proofErr w:type="spellEnd"/>
            <w:r w:rsidRPr="005C3DE5">
              <w:rPr>
                <w:sz w:val="24"/>
                <w:szCs w:val="24"/>
              </w:rPr>
              <w:t xml:space="preserve"> </w:t>
            </w:r>
            <w:proofErr w:type="spellStart"/>
            <w:r w:rsidRPr="005C3DE5">
              <w:rPr>
                <w:sz w:val="24"/>
                <w:szCs w:val="24"/>
              </w:rPr>
              <w:t>послуги</w:t>
            </w:r>
            <w:proofErr w:type="spellEnd"/>
            <w:r w:rsidRPr="005C3DE5">
              <w:rPr>
                <w:sz w:val="24"/>
                <w:szCs w:val="24"/>
              </w:rPr>
              <w:t>;</w:t>
            </w:r>
          </w:p>
          <w:p w:rsidR="005C3DE5" w:rsidRPr="005C3DE5" w:rsidRDefault="005C3DE5" w:rsidP="00686726">
            <w:pPr>
              <w:rPr>
                <w:sz w:val="24"/>
                <w:szCs w:val="24"/>
              </w:rPr>
            </w:pPr>
            <w:r w:rsidRPr="005C3DE5">
              <w:rPr>
                <w:sz w:val="24"/>
                <w:szCs w:val="24"/>
              </w:rPr>
              <w:t xml:space="preserve">- </w:t>
            </w:r>
            <w:proofErr w:type="spellStart"/>
            <w:r w:rsidRPr="005C3DE5">
              <w:rPr>
                <w:sz w:val="24"/>
                <w:szCs w:val="24"/>
              </w:rPr>
              <w:t>відновлення</w:t>
            </w:r>
            <w:proofErr w:type="spellEnd"/>
            <w:r w:rsidRPr="005C3DE5">
              <w:rPr>
                <w:sz w:val="24"/>
                <w:szCs w:val="24"/>
              </w:rPr>
              <w:t xml:space="preserve"> </w:t>
            </w:r>
            <w:proofErr w:type="spellStart"/>
            <w:r w:rsidRPr="005C3DE5">
              <w:rPr>
                <w:sz w:val="24"/>
                <w:szCs w:val="24"/>
              </w:rPr>
              <w:t>роботи</w:t>
            </w:r>
            <w:proofErr w:type="spellEnd"/>
            <w:r w:rsidRPr="005C3DE5">
              <w:rPr>
                <w:sz w:val="24"/>
                <w:szCs w:val="24"/>
              </w:rPr>
              <w:t xml:space="preserve"> </w:t>
            </w:r>
            <w:proofErr w:type="spellStart"/>
            <w:r w:rsidRPr="005C3DE5">
              <w:rPr>
                <w:sz w:val="24"/>
                <w:szCs w:val="24"/>
              </w:rPr>
              <w:t>Ветеранського</w:t>
            </w:r>
            <w:proofErr w:type="spellEnd"/>
            <w:r w:rsidRPr="005C3DE5">
              <w:rPr>
                <w:sz w:val="24"/>
                <w:szCs w:val="24"/>
              </w:rPr>
              <w:t xml:space="preserve"> простору.</w:t>
            </w:r>
          </w:p>
        </w:tc>
      </w:tr>
      <w:tr w:rsidR="005C3DE5" w:rsidRPr="005C3DE5" w:rsidTr="005C3DE5">
        <w:trPr>
          <w:trHeight w:val="285"/>
        </w:trPr>
        <w:tc>
          <w:tcPr>
            <w:tcW w:w="283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C3DE5" w:rsidRPr="005C3DE5" w:rsidRDefault="005C3DE5" w:rsidP="00686726">
            <w:pPr>
              <w:rPr>
                <w:b/>
                <w:bCs/>
                <w:sz w:val="24"/>
                <w:szCs w:val="24"/>
              </w:rPr>
            </w:pPr>
            <w:proofErr w:type="spellStart"/>
            <w:r w:rsidRPr="005C3DE5">
              <w:rPr>
                <w:b/>
                <w:bCs/>
                <w:sz w:val="24"/>
                <w:szCs w:val="24"/>
              </w:rPr>
              <w:lastRenderedPageBreak/>
              <w:t>Орієнтовний</w:t>
            </w:r>
            <w:proofErr w:type="spellEnd"/>
            <w:r w:rsidRPr="005C3DE5">
              <w:rPr>
                <w:b/>
                <w:bCs/>
                <w:sz w:val="24"/>
                <w:szCs w:val="24"/>
              </w:rPr>
              <w:t xml:space="preserve"> </w:t>
            </w:r>
            <w:proofErr w:type="spellStart"/>
            <w:r w:rsidRPr="005C3DE5">
              <w:rPr>
                <w:b/>
                <w:bCs/>
                <w:sz w:val="24"/>
                <w:szCs w:val="24"/>
              </w:rPr>
              <w:t>обсяг</w:t>
            </w:r>
            <w:proofErr w:type="spellEnd"/>
            <w:r w:rsidRPr="005C3DE5">
              <w:rPr>
                <w:b/>
                <w:bCs/>
                <w:sz w:val="24"/>
                <w:szCs w:val="24"/>
              </w:rPr>
              <w:t xml:space="preserve"> та </w:t>
            </w:r>
            <w:proofErr w:type="spellStart"/>
            <w:r w:rsidRPr="005C3DE5">
              <w:rPr>
                <w:b/>
                <w:bCs/>
                <w:sz w:val="24"/>
                <w:szCs w:val="24"/>
              </w:rPr>
              <w:t>джерела</w:t>
            </w:r>
            <w:proofErr w:type="spellEnd"/>
            <w:r w:rsidRPr="005C3DE5">
              <w:rPr>
                <w:b/>
                <w:bCs/>
                <w:sz w:val="24"/>
                <w:szCs w:val="24"/>
              </w:rPr>
              <w:t xml:space="preserve"> </w:t>
            </w:r>
            <w:proofErr w:type="spellStart"/>
            <w:r w:rsidRPr="005C3DE5">
              <w:rPr>
                <w:b/>
                <w:bCs/>
                <w:sz w:val="24"/>
                <w:szCs w:val="24"/>
              </w:rPr>
              <w:t>фінансування</w:t>
            </w:r>
            <w:proofErr w:type="spellEnd"/>
            <w:r w:rsidRPr="005C3DE5">
              <w:rPr>
                <w:b/>
                <w:bCs/>
                <w:sz w:val="24"/>
                <w:szCs w:val="24"/>
              </w:rPr>
              <w:t xml:space="preserve">, тис. </w:t>
            </w:r>
            <w:proofErr w:type="spellStart"/>
            <w:r w:rsidRPr="005C3DE5">
              <w:rPr>
                <w:b/>
                <w:bCs/>
                <w:sz w:val="24"/>
                <w:szCs w:val="24"/>
              </w:rPr>
              <w:t>грн</w:t>
            </w:r>
            <w:proofErr w:type="spellEnd"/>
          </w:p>
        </w:tc>
        <w:tc>
          <w:tcPr>
            <w:tcW w:w="1378" w:type="dxa"/>
            <w:vMerge w:val="restart"/>
            <w:tcBorders>
              <w:top w:val="single" w:sz="4" w:space="0" w:color="auto"/>
              <w:left w:val="single" w:sz="4" w:space="0" w:color="auto"/>
              <w:bottom w:val="single" w:sz="4" w:space="0" w:color="auto"/>
              <w:right w:val="single" w:sz="4" w:space="0" w:color="auto"/>
            </w:tcBorders>
            <w:vAlign w:val="center"/>
            <w:hideMark/>
          </w:tcPr>
          <w:p w:rsidR="005C3DE5" w:rsidRPr="005C3DE5" w:rsidRDefault="005C3DE5" w:rsidP="00686726">
            <w:pPr>
              <w:jc w:val="center"/>
              <w:rPr>
                <w:sz w:val="24"/>
                <w:szCs w:val="24"/>
              </w:rPr>
            </w:pPr>
            <w:proofErr w:type="spellStart"/>
            <w:r w:rsidRPr="005C3DE5">
              <w:rPr>
                <w:sz w:val="24"/>
                <w:szCs w:val="24"/>
              </w:rPr>
              <w:t>Державний</w:t>
            </w:r>
            <w:proofErr w:type="spellEnd"/>
            <w:r w:rsidRPr="005C3DE5">
              <w:rPr>
                <w:sz w:val="24"/>
                <w:szCs w:val="24"/>
              </w:rPr>
              <w:t xml:space="preserve"> бюджет</w:t>
            </w:r>
          </w:p>
        </w:tc>
        <w:tc>
          <w:tcPr>
            <w:tcW w:w="1208" w:type="dxa"/>
            <w:vMerge w:val="restart"/>
            <w:tcBorders>
              <w:top w:val="single" w:sz="4" w:space="0" w:color="auto"/>
              <w:left w:val="single" w:sz="4" w:space="0" w:color="auto"/>
              <w:bottom w:val="single" w:sz="4" w:space="0" w:color="auto"/>
              <w:right w:val="single" w:sz="4" w:space="0" w:color="auto"/>
            </w:tcBorders>
            <w:vAlign w:val="center"/>
            <w:hideMark/>
          </w:tcPr>
          <w:p w:rsidR="005C3DE5" w:rsidRPr="005C3DE5" w:rsidRDefault="005C3DE5" w:rsidP="00686726">
            <w:pPr>
              <w:jc w:val="center"/>
              <w:rPr>
                <w:sz w:val="24"/>
                <w:szCs w:val="24"/>
              </w:rPr>
            </w:pPr>
            <w:proofErr w:type="spellStart"/>
            <w:r w:rsidRPr="005C3DE5">
              <w:rPr>
                <w:sz w:val="24"/>
                <w:szCs w:val="24"/>
              </w:rPr>
              <w:t>Місцевий</w:t>
            </w:r>
            <w:proofErr w:type="spellEnd"/>
            <w:r w:rsidRPr="005C3DE5">
              <w:rPr>
                <w:sz w:val="24"/>
                <w:szCs w:val="24"/>
              </w:rPr>
              <w:t xml:space="preserve"> бюджет</w:t>
            </w:r>
          </w:p>
        </w:tc>
        <w:tc>
          <w:tcPr>
            <w:tcW w:w="2757" w:type="dxa"/>
            <w:gridSpan w:val="2"/>
            <w:tcBorders>
              <w:top w:val="single" w:sz="4" w:space="0" w:color="auto"/>
              <w:left w:val="single" w:sz="4" w:space="0" w:color="auto"/>
              <w:bottom w:val="single" w:sz="4" w:space="0" w:color="auto"/>
              <w:right w:val="single" w:sz="4" w:space="0" w:color="auto"/>
            </w:tcBorders>
            <w:vAlign w:val="center"/>
            <w:hideMark/>
          </w:tcPr>
          <w:p w:rsidR="005C3DE5" w:rsidRPr="005C3DE5" w:rsidRDefault="005C3DE5" w:rsidP="00686726">
            <w:pPr>
              <w:jc w:val="center"/>
              <w:rPr>
                <w:sz w:val="24"/>
                <w:szCs w:val="24"/>
              </w:rPr>
            </w:pPr>
            <w:proofErr w:type="spellStart"/>
            <w:r w:rsidRPr="005C3DE5">
              <w:rPr>
                <w:sz w:val="24"/>
                <w:szCs w:val="24"/>
              </w:rPr>
              <w:t>Інші</w:t>
            </w:r>
            <w:proofErr w:type="spellEnd"/>
            <w:r w:rsidRPr="005C3DE5">
              <w:rPr>
                <w:sz w:val="24"/>
                <w:szCs w:val="24"/>
              </w:rPr>
              <w:t xml:space="preserve"> </w:t>
            </w:r>
            <w:proofErr w:type="spellStart"/>
            <w:r w:rsidRPr="005C3DE5">
              <w:rPr>
                <w:sz w:val="24"/>
                <w:szCs w:val="24"/>
              </w:rPr>
              <w:t>джерела</w:t>
            </w:r>
            <w:proofErr w:type="spellEnd"/>
          </w:p>
        </w:tc>
        <w:tc>
          <w:tcPr>
            <w:tcW w:w="1744" w:type="dxa"/>
            <w:vMerge w:val="restart"/>
            <w:tcBorders>
              <w:top w:val="single" w:sz="4" w:space="0" w:color="auto"/>
              <w:left w:val="single" w:sz="4" w:space="0" w:color="auto"/>
              <w:bottom w:val="single" w:sz="4" w:space="0" w:color="auto"/>
              <w:right w:val="single" w:sz="4" w:space="0" w:color="auto"/>
            </w:tcBorders>
            <w:vAlign w:val="center"/>
            <w:hideMark/>
          </w:tcPr>
          <w:p w:rsidR="005C3DE5" w:rsidRPr="005C3DE5" w:rsidRDefault="005C3DE5" w:rsidP="00686726">
            <w:pPr>
              <w:jc w:val="center"/>
              <w:rPr>
                <w:sz w:val="24"/>
                <w:szCs w:val="24"/>
              </w:rPr>
            </w:pPr>
            <w:proofErr w:type="spellStart"/>
            <w:r w:rsidRPr="005C3DE5">
              <w:rPr>
                <w:sz w:val="24"/>
                <w:szCs w:val="24"/>
              </w:rPr>
              <w:t>Всього</w:t>
            </w:r>
            <w:proofErr w:type="spellEnd"/>
            <w:r w:rsidRPr="005C3DE5">
              <w:rPr>
                <w:sz w:val="24"/>
                <w:szCs w:val="24"/>
              </w:rPr>
              <w:t>,</w:t>
            </w:r>
          </w:p>
          <w:p w:rsidR="005C3DE5" w:rsidRPr="005C3DE5" w:rsidRDefault="005C3DE5" w:rsidP="00686726">
            <w:pPr>
              <w:jc w:val="center"/>
              <w:rPr>
                <w:sz w:val="24"/>
                <w:szCs w:val="24"/>
              </w:rPr>
            </w:pPr>
            <w:r w:rsidRPr="005C3DE5">
              <w:rPr>
                <w:sz w:val="24"/>
                <w:szCs w:val="24"/>
              </w:rPr>
              <w:t xml:space="preserve">тис. </w:t>
            </w:r>
            <w:proofErr w:type="spellStart"/>
            <w:r w:rsidRPr="005C3DE5">
              <w:rPr>
                <w:sz w:val="24"/>
                <w:szCs w:val="24"/>
              </w:rPr>
              <w:t>грн</w:t>
            </w:r>
            <w:proofErr w:type="spellEnd"/>
          </w:p>
        </w:tc>
      </w:tr>
      <w:tr w:rsidR="005C3DE5" w:rsidRPr="005C3DE5" w:rsidTr="005C3DE5">
        <w:trPr>
          <w:trHeight w:val="540"/>
        </w:trPr>
        <w:tc>
          <w:tcPr>
            <w:tcW w:w="283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5C3DE5" w:rsidRPr="005C3DE5" w:rsidRDefault="005C3DE5" w:rsidP="00686726">
            <w:pPr>
              <w:rPr>
                <w:b/>
                <w:bCs/>
                <w:sz w:val="24"/>
                <w:szCs w:val="24"/>
              </w:rPr>
            </w:pPr>
          </w:p>
        </w:tc>
        <w:tc>
          <w:tcPr>
            <w:tcW w:w="1378" w:type="dxa"/>
            <w:vMerge/>
            <w:tcBorders>
              <w:top w:val="single" w:sz="4" w:space="0" w:color="auto"/>
              <w:left w:val="single" w:sz="4" w:space="0" w:color="auto"/>
              <w:bottom w:val="single" w:sz="4" w:space="0" w:color="auto"/>
              <w:right w:val="single" w:sz="4" w:space="0" w:color="auto"/>
            </w:tcBorders>
            <w:vAlign w:val="center"/>
            <w:hideMark/>
          </w:tcPr>
          <w:p w:rsidR="005C3DE5" w:rsidRPr="005C3DE5" w:rsidRDefault="005C3DE5" w:rsidP="00686726">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3DE5" w:rsidRPr="005C3DE5" w:rsidRDefault="005C3DE5" w:rsidP="00686726">
            <w:pPr>
              <w:rPr>
                <w:sz w:val="24"/>
                <w:szCs w:val="24"/>
              </w:rPr>
            </w:pPr>
          </w:p>
        </w:tc>
        <w:tc>
          <w:tcPr>
            <w:tcW w:w="1546" w:type="dxa"/>
            <w:tcBorders>
              <w:top w:val="single" w:sz="4" w:space="0" w:color="auto"/>
              <w:left w:val="single" w:sz="4" w:space="0" w:color="auto"/>
              <w:bottom w:val="single" w:sz="4" w:space="0" w:color="auto"/>
              <w:right w:val="single" w:sz="4" w:space="0" w:color="auto"/>
            </w:tcBorders>
            <w:vAlign w:val="center"/>
            <w:hideMark/>
          </w:tcPr>
          <w:p w:rsidR="005C3DE5" w:rsidRPr="005C3DE5" w:rsidRDefault="005C3DE5" w:rsidP="00686726">
            <w:pPr>
              <w:jc w:val="center"/>
              <w:rPr>
                <w:sz w:val="24"/>
                <w:szCs w:val="24"/>
              </w:rPr>
            </w:pPr>
            <w:proofErr w:type="spellStart"/>
            <w:r w:rsidRPr="005C3DE5">
              <w:rPr>
                <w:sz w:val="24"/>
                <w:szCs w:val="24"/>
              </w:rPr>
              <w:t>Обсяг</w:t>
            </w:r>
            <w:proofErr w:type="spellEnd"/>
            <w:r w:rsidRPr="005C3DE5">
              <w:rPr>
                <w:sz w:val="24"/>
                <w:szCs w:val="24"/>
              </w:rPr>
              <w:t>,</w:t>
            </w:r>
          </w:p>
          <w:p w:rsidR="005C3DE5" w:rsidRPr="005C3DE5" w:rsidRDefault="005C3DE5" w:rsidP="00686726">
            <w:pPr>
              <w:jc w:val="center"/>
              <w:rPr>
                <w:sz w:val="24"/>
                <w:szCs w:val="24"/>
              </w:rPr>
            </w:pPr>
            <w:r w:rsidRPr="005C3DE5">
              <w:rPr>
                <w:sz w:val="24"/>
                <w:szCs w:val="24"/>
              </w:rPr>
              <w:t xml:space="preserve">тис. </w:t>
            </w:r>
            <w:proofErr w:type="spellStart"/>
            <w:r w:rsidRPr="005C3DE5">
              <w:rPr>
                <w:sz w:val="24"/>
                <w:szCs w:val="24"/>
              </w:rPr>
              <w:t>грн</w:t>
            </w:r>
            <w:proofErr w:type="spellEnd"/>
          </w:p>
        </w:tc>
        <w:tc>
          <w:tcPr>
            <w:tcW w:w="1211" w:type="dxa"/>
            <w:tcBorders>
              <w:top w:val="single" w:sz="4" w:space="0" w:color="auto"/>
              <w:left w:val="single" w:sz="4" w:space="0" w:color="auto"/>
              <w:bottom w:val="single" w:sz="4" w:space="0" w:color="auto"/>
              <w:right w:val="single" w:sz="4" w:space="0" w:color="auto"/>
            </w:tcBorders>
            <w:vAlign w:val="center"/>
            <w:hideMark/>
          </w:tcPr>
          <w:p w:rsidR="005C3DE5" w:rsidRPr="005C3DE5" w:rsidRDefault="005C3DE5" w:rsidP="00686726">
            <w:pPr>
              <w:jc w:val="center"/>
              <w:rPr>
                <w:sz w:val="24"/>
                <w:szCs w:val="24"/>
              </w:rPr>
            </w:pPr>
            <w:proofErr w:type="spellStart"/>
            <w:r w:rsidRPr="005C3DE5">
              <w:rPr>
                <w:sz w:val="24"/>
                <w:szCs w:val="24"/>
              </w:rPr>
              <w:t>Назва</w:t>
            </w:r>
            <w:proofErr w:type="spellEnd"/>
            <w:r w:rsidRPr="005C3DE5">
              <w:rPr>
                <w:sz w:val="24"/>
                <w:szCs w:val="24"/>
              </w:rPr>
              <w:t xml:space="preserve"> </w:t>
            </w:r>
            <w:proofErr w:type="spellStart"/>
            <w:r w:rsidRPr="005C3DE5">
              <w:rPr>
                <w:sz w:val="24"/>
                <w:szCs w:val="24"/>
              </w:rPr>
              <w:t>джерела</w:t>
            </w:r>
            <w:proofErr w:type="spellEnd"/>
          </w:p>
        </w:tc>
        <w:tc>
          <w:tcPr>
            <w:tcW w:w="1744" w:type="dxa"/>
            <w:vMerge/>
            <w:tcBorders>
              <w:top w:val="single" w:sz="4" w:space="0" w:color="auto"/>
              <w:left w:val="single" w:sz="4" w:space="0" w:color="auto"/>
              <w:bottom w:val="single" w:sz="4" w:space="0" w:color="auto"/>
              <w:right w:val="single" w:sz="4" w:space="0" w:color="auto"/>
            </w:tcBorders>
            <w:vAlign w:val="center"/>
            <w:hideMark/>
          </w:tcPr>
          <w:p w:rsidR="005C3DE5" w:rsidRPr="005C3DE5" w:rsidRDefault="005C3DE5" w:rsidP="00686726">
            <w:pPr>
              <w:rPr>
                <w:sz w:val="24"/>
                <w:szCs w:val="24"/>
              </w:rPr>
            </w:pPr>
          </w:p>
        </w:tc>
      </w:tr>
      <w:tr w:rsidR="005C3DE5" w:rsidRPr="005C3DE5" w:rsidTr="005C3DE5">
        <w:tc>
          <w:tcPr>
            <w:tcW w:w="283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5C3DE5" w:rsidRPr="005C3DE5" w:rsidRDefault="005C3DE5" w:rsidP="00686726">
            <w:pPr>
              <w:rPr>
                <w:b/>
                <w:bCs/>
                <w:sz w:val="24"/>
                <w:szCs w:val="24"/>
              </w:rPr>
            </w:pPr>
          </w:p>
        </w:tc>
        <w:tc>
          <w:tcPr>
            <w:tcW w:w="1378" w:type="dxa"/>
            <w:tcBorders>
              <w:top w:val="single" w:sz="4" w:space="0" w:color="auto"/>
              <w:left w:val="single" w:sz="4" w:space="0" w:color="auto"/>
              <w:bottom w:val="single" w:sz="4" w:space="0" w:color="auto"/>
              <w:right w:val="single" w:sz="4" w:space="0" w:color="auto"/>
            </w:tcBorders>
            <w:vAlign w:val="center"/>
            <w:hideMark/>
          </w:tcPr>
          <w:p w:rsidR="005C3DE5" w:rsidRPr="005C3DE5" w:rsidRDefault="005C3DE5" w:rsidP="00686726">
            <w:pPr>
              <w:jc w:val="center"/>
              <w:rPr>
                <w:sz w:val="24"/>
                <w:szCs w:val="24"/>
              </w:rPr>
            </w:pPr>
            <w:r w:rsidRPr="005C3DE5">
              <w:rPr>
                <w:sz w:val="24"/>
                <w:szCs w:val="24"/>
              </w:rPr>
              <w:t>-</w:t>
            </w:r>
          </w:p>
        </w:tc>
        <w:tc>
          <w:tcPr>
            <w:tcW w:w="1208" w:type="dxa"/>
            <w:tcBorders>
              <w:top w:val="single" w:sz="4" w:space="0" w:color="auto"/>
              <w:left w:val="single" w:sz="4" w:space="0" w:color="auto"/>
              <w:bottom w:val="single" w:sz="4" w:space="0" w:color="auto"/>
              <w:right w:val="single" w:sz="4" w:space="0" w:color="auto"/>
            </w:tcBorders>
            <w:vAlign w:val="center"/>
            <w:hideMark/>
          </w:tcPr>
          <w:p w:rsidR="005C3DE5" w:rsidRPr="005C3DE5" w:rsidRDefault="005C3DE5" w:rsidP="00686726">
            <w:pPr>
              <w:jc w:val="center"/>
              <w:rPr>
                <w:sz w:val="24"/>
                <w:szCs w:val="24"/>
              </w:rPr>
            </w:pPr>
            <w:r w:rsidRPr="005C3DE5">
              <w:rPr>
                <w:sz w:val="24"/>
                <w:szCs w:val="24"/>
              </w:rPr>
              <w:t>-</w:t>
            </w:r>
          </w:p>
        </w:tc>
        <w:tc>
          <w:tcPr>
            <w:tcW w:w="1546" w:type="dxa"/>
            <w:tcBorders>
              <w:top w:val="single" w:sz="4" w:space="0" w:color="auto"/>
              <w:left w:val="single" w:sz="4" w:space="0" w:color="auto"/>
              <w:bottom w:val="single" w:sz="4" w:space="0" w:color="auto"/>
              <w:right w:val="single" w:sz="4" w:space="0" w:color="auto"/>
            </w:tcBorders>
            <w:vAlign w:val="center"/>
            <w:hideMark/>
          </w:tcPr>
          <w:p w:rsidR="005C3DE5" w:rsidRPr="005C3DE5" w:rsidRDefault="005C3DE5" w:rsidP="00686726">
            <w:pPr>
              <w:jc w:val="center"/>
              <w:rPr>
                <w:sz w:val="24"/>
                <w:szCs w:val="24"/>
              </w:rPr>
            </w:pPr>
            <w:r w:rsidRPr="005C3DE5">
              <w:rPr>
                <w:sz w:val="24"/>
                <w:szCs w:val="24"/>
              </w:rPr>
              <w:t>7500,256</w:t>
            </w:r>
          </w:p>
        </w:tc>
        <w:tc>
          <w:tcPr>
            <w:tcW w:w="1211" w:type="dxa"/>
            <w:tcBorders>
              <w:top w:val="single" w:sz="4" w:space="0" w:color="auto"/>
              <w:left w:val="single" w:sz="4" w:space="0" w:color="auto"/>
              <w:bottom w:val="single" w:sz="4" w:space="0" w:color="auto"/>
              <w:right w:val="single" w:sz="4" w:space="0" w:color="auto"/>
            </w:tcBorders>
            <w:vAlign w:val="center"/>
            <w:hideMark/>
          </w:tcPr>
          <w:p w:rsidR="005C3DE5" w:rsidRPr="005C3DE5" w:rsidRDefault="005C3DE5" w:rsidP="00686726">
            <w:pPr>
              <w:jc w:val="center"/>
              <w:rPr>
                <w:sz w:val="24"/>
                <w:szCs w:val="24"/>
              </w:rPr>
            </w:pPr>
            <w:proofErr w:type="spellStart"/>
            <w:r w:rsidRPr="005C3DE5">
              <w:rPr>
                <w:sz w:val="24"/>
                <w:szCs w:val="24"/>
              </w:rPr>
              <w:t>Іноземні</w:t>
            </w:r>
            <w:proofErr w:type="spellEnd"/>
            <w:r w:rsidRPr="005C3DE5">
              <w:rPr>
                <w:sz w:val="24"/>
                <w:szCs w:val="24"/>
              </w:rPr>
              <w:t xml:space="preserve"> </w:t>
            </w:r>
            <w:proofErr w:type="spellStart"/>
            <w:r w:rsidRPr="005C3DE5">
              <w:rPr>
                <w:sz w:val="24"/>
                <w:szCs w:val="24"/>
              </w:rPr>
              <w:t>інвестори</w:t>
            </w:r>
            <w:proofErr w:type="spellEnd"/>
          </w:p>
        </w:tc>
        <w:tc>
          <w:tcPr>
            <w:tcW w:w="1744" w:type="dxa"/>
            <w:tcBorders>
              <w:top w:val="single" w:sz="4" w:space="0" w:color="auto"/>
              <w:left w:val="single" w:sz="4" w:space="0" w:color="auto"/>
              <w:bottom w:val="single" w:sz="4" w:space="0" w:color="auto"/>
              <w:right w:val="single" w:sz="4" w:space="0" w:color="auto"/>
            </w:tcBorders>
            <w:vAlign w:val="center"/>
            <w:hideMark/>
          </w:tcPr>
          <w:p w:rsidR="005C3DE5" w:rsidRPr="005C3DE5" w:rsidRDefault="005C3DE5" w:rsidP="00686726">
            <w:pPr>
              <w:jc w:val="center"/>
              <w:rPr>
                <w:sz w:val="24"/>
                <w:szCs w:val="24"/>
              </w:rPr>
            </w:pPr>
            <w:r w:rsidRPr="005C3DE5">
              <w:rPr>
                <w:sz w:val="24"/>
                <w:szCs w:val="24"/>
              </w:rPr>
              <w:t>7500,256</w:t>
            </w:r>
          </w:p>
        </w:tc>
      </w:tr>
    </w:tbl>
    <w:p w:rsidR="005C3DE5" w:rsidRDefault="005C3DE5" w:rsidP="00E95FB1"/>
    <w:p w:rsidR="005C3DE5" w:rsidRPr="00E95FB1" w:rsidRDefault="005C3DE5" w:rsidP="00E95FB1"/>
    <w:p w:rsidR="00E95FB1" w:rsidRPr="002045F5" w:rsidRDefault="00E95FB1" w:rsidP="00E95FB1">
      <w:pPr>
        <w:rPr>
          <w:sz w:val="22"/>
        </w:rPr>
      </w:pPr>
    </w:p>
    <w:p w:rsidR="00E95FB1" w:rsidRPr="002045F5" w:rsidRDefault="00E95FB1" w:rsidP="00E95FB1">
      <w:pPr>
        <w:rPr>
          <w:sz w:val="22"/>
        </w:rPr>
      </w:pPr>
    </w:p>
    <w:tbl>
      <w:tblPr>
        <w:tblStyle w:val="af"/>
        <w:tblW w:w="9828" w:type="dxa"/>
        <w:tblInd w:w="-176" w:type="dxa"/>
        <w:tblLook w:val="04A0" w:firstRow="1" w:lastRow="0" w:firstColumn="1" w:lastColumn="0" w:noHBand="0" w:noVBand="1"/>
      </w:tblPr>
      <w:tblGrid>
        <w:gridCol w:w="2953"/>
        <w:gridCol w:w="1356"/>
        <w:gridCol w:w="1307"/>
        <w:gridCol w:w="350"/>
        <w:gridCol w:w="241"/>
        <w:gridCol w:w="752"/>
        <w:gridCol w:w="850"/>
        <w:gridCol w:w="605"/>
        <w:gridCol w:w="1414"/>
      </w:tblGrid>
      <w:tr w:rsidR="00E95FB1" w:rsidRPr="002045F5" w:rsidTr="001B3967">
        <w:tc>
          <w:tcPr>
            <w:tcW w:w="2978"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Оперативна ціль/завдання</w:t>
            </w:r>
          </w:p>
        </w:tc>
        <w:tc>
          <w:tcPr>
            <w:tcW w:w="6850" w:type="dxa"/>
            <w:gridSpan w:val="8"/>
            <w:shd w:val="clear" w:color="auto" w:fill="auto"/>
          </w:tcPr>
          <w:p w:rsidR="00E95FB1" w:rsidRPr="002045F5" w:rsidRDefault="005C5F2C" w:rsidP="005C5F2C">
            <w:pPr>
              <w:pStyle w:val="a7"/>
              <w:ind w:left="0"/>
              <w:rPr>
                <w:rFonts w:eastAsia="Arial"/>
                <w:sz w:val="22"/>
                <w:lang w:val="uk-UA"/>
              </w:rPr>
            </w:pPr>
            <w:r w:rsidRPr="002045F5">
              <w:rPr>
                <w:rFonts w:eastAsia="Arial"/>
                <w:sz w:val="22"/>
                <w:lang w:val="uk-UA"/>
              </w:rPr>
              <w:t>Людський розвиток</w:t>
            </w:r>
            <w:r w:rsidR="00E95FB1" w:rsidRPr="002045F5">
              <w:rPr>
                <w:rFonts w:eastAsia="Arial"/>
                <w:sz w:val="22"/>
                <w:lang w:val="uk-UA"/>
              </w:rPr>
              <w:t xml:space="preserve"> через інновації управління та довіру до влади</w:t>
            </w:r>
            <w:r w:rsidRPr="002045F5">
              <w:rPr>
                <w:rFonts w:eastAsia="Arial"/>
                <w:sz w:val="22"/>
                <w:lang w:val="uk-UA"/>
              </w:rPr>
              <w:t xml:space="preserve">. </w:t>
            </w:r>
            <w:r w:rsidR="00E95FB1" w:rsidRPr="002045F5">
              <w:rPr>
                <w:rFonts w:eastAsia="Arial"/>
                <w:sz w:val="22"/>
                <w:lang w:val="uk-UA"/>
              </w:rPr>
              <w:t xml:space="preserve">Формування сучасного інклюзивного </w:t>
            </w:r>
            <w:proofErr w:type="spellStart"/>
            <w:r w:rsidR="00E95FB1" w:rsidRPr="002045F5">
              <w:rPr>
                <w:rFonts w:eastAsia="Arial"/>
                <w:sz w:val="22"/>
                <w:lang w:val="uk-UA"/>
              </w:rPr>
              <w:t>освітньо</w:t>
            </w:r>
            <w:proofErr w:type="spellEnd"/>
            <w:r w:rsidR="00E95FB1" w:rsidRPr="002045F5">
              <w:rPr>
                <w:rFonts w:eastAsia="Arial"/>
                <w:sz w:val="22"/>
                <w:lang w:val="uk-UA"/>
              </w:rPr>
              <w:t xml:space="preserve"> – культурного та спортивного простору для розвитку</w:t>
            </w:r>
            <w:r w:rsidR="00E95FB1" w:rsidRPr="002045F5">
              <w:rPr>
                <w:b/>
                <w:sz w:val="22"/>
                <w:lang w:val="uk-UA"/>
              </w:rPr>
              <w:t xml:space="preserve"> </w:t>
            </w:r>
          </w:p>
        </w:tc>
      </w:tr>
      <w:tr w:rsidR="00E95FB1" w:rsidRPr="002045F5" w:rsidTr="001B3967">
        <w:tc>
          <w:tcPr>
            <w:tcW w:w="2978"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Назва проекту:</w:t>
            </w:r>
          </w:p>
        </w:tc>
        <w:tc>
          <w:tcPr>
            <w:tcW w:w="6850" w:type="dxa"/>
            <w:gridSpan w:val="8"/>
          </w:tcPr>
          <w:p w:rsidR="00E95FB1" w:rsidRPr="002045F5" w:rsidRDefault="00E95FB1" w:rsidP="001B3967">
            <w:pPr>
              <w:pStyle w:val="a7"/>
              <w:ind w:left="0"/>
              <w:rPr>
                <w:sz w:val="22"/>
                <w:lang w:val="uk-UA"/>
              </w:rPr>
            </w:pPr>
            <w:r w:rsidRPr="002045F5">
              <w:rPr>
                <w:sz w:val="22"/>
                <w:lang w:val="uk-UA"/>
              </w:rPr>
              <w:t>Відновлення діяльності Комунального Закладу «Борівська школа мистецтв»</w:t>
            </w:r>
          </w:p>
        </w:tc>
      </w:tr>
      <w:tr w:rsidR="00E95FB1" w:rsidRPr="002045F5" w:rsidTr="001B3967">
        <w:tc>
          <w:tcPr>
            <w:tcW w:w="2978" w:type="dxa"/>
            <w:shd w:val="clear" w:color="auto" w:fill="C6D9F1" w:themeFill="text2" w:themeFillTint="33"/>
          </w:tcPr>
          <w:p w:rsidR="00E95FB1" w:rsidRPr="002045F5" w:rsidRDefault="00E95FB1" w:rsidP="001B3967">
            <w:pPr>
              <w:rPr>
                <w:b/>
                <w:sz w:val="22"/>
                <w:lang w:val="uk-UA"/>
              </w:rPr>
            </w:pPr>
            <w:r w:rsidRPr="002045F5">
              <w:rPr>
                <w:b/>
                <w:sz w:val="22"/>
                <w:lang w:val="uk-UA"/>
              </w:rPr>
              <w:t>Ціль проекту</w:t>
            </w:r>
          </w:p>
        </w:tc>
        <w:tc>
          <w:tcPr>
            <w:tcW w:w="6850" w:type="dxa"/>
            <w:gridSpan w:val="8"/>
          </w:tcPr>
          <w:p w:rsidR="00E95FB1" w:rsidRPr="002045F5" w:rsidRDefault="00E95FB1" w:rsidP="00510617">
            <w:pPr>
              <w:pStyle w:val="a7"/>
              <w:ind w:left="0"/>
              <w:rPr>
                <w:sz w:val="22"/>
                <w:lang w:val="uk-UA"/>
              </w:rPr>
            </w:pPr>
            <w:r w:rsidRPr="002045F5">
              <w:rPr>
                <w:sz w:val="22"/>
                <w:lang w:val="uk-UA"/>
              </w:rPr>
              <w:t xml:space="preserve">Відновити та покращити роботу Комунального Закладу «Борівська школа мистецтв» для надання широкого спектру послуг, пов’язаних із якістю початкової мистецької освіти та задоволення потреб мешканців Сєвєродонецької міської територіальної громади у необхідних послугах (або створенні умов для реалізації індивідуальних освітніх траєкторій здобувачів в межах освітніх програм, набуття ними відповідних </w:t>
            </w:r>
            <w:proofErr w:type="spellStart"/>
            <w:r w:rsidRPr="002045F5">
              <w:rPr>
                <w:sz w:val="22"/>
                <w:lang w:val="uk-UA"/>
              </w:rPr>
              <w:t>компетентностей</w:t>
            </w:r>
            <w:proofErr w:type="spellEnd"/>
            <w:r w:rsidRPr="002045F5">
              <w:rPr>
                <w:sz w:val="22"/>
                <w:lang w:val="uk-UA"/>
              </w:rPr>
              <w:t>).</w:t>
            </w:r>
          </w:p>
        </w:tc>
      </w:tr>
      <w:tr w:rsidR="00E95FB1" w:rsidRPr="002045F5" w:rsidTr="001B3967">
        <w:tc>
          <w:tcPr>
            <w:tcW w:w="2978"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Територія, на яку матиме вплив реалізація проекту</w:t>
            </w:r>
          </w:p>
        </w:tc>
        <w:tc>
          <w:tcPr>
            <w:tcW w:w="6850" w:type="dxa"/>
            <w:gridSpan w:val="8"/>
          </w:tcPr>
          <w:p w:rsidR="00E95FB1" w:rsidRPr="002045F5" w:rsidRDefault="00E95FB1" w:rsidP="001B3967">
            <w:pPr>
              <w:pStyle w:val="a7"/>
              <w:ind w:left="0"/>
              <w:rPr>
                <w:sz w:val="22"/>
                <w:lang w:val="uk-UA"/>
              </w:rPr>
            </w:pPr>
            <w:r w:rsidRPr="002045F5">
              <w:rPr>
                <w:sz w:val="22"/>
                <w:lang w:val="uk-UA"/>
              </w:rPr>
              <w:t>Сєвєродонецька міська територіальна громада</w:t>
            </w:r>
          </w:p>
        </w:tc>
      </w:tr>
      <w:tr w:rsidR="00E95FB1" w:rsidRPr="002045F5" w:rsidTr="001B3967">
        <w:tc>
          <w:tcPr>
            <w:tcW w:w="2978"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Чисельність населення, на яке матиме вплив реалізація проекту</w:t>
            </w:r>
          </w:p>
        </w:tc>
        <w:tc>
          <w:tcPr>
            <w:tcW w:w="3225" w:type="dxa"/>
            <w:gridSpan w:val="4"/>
          </w:tcPr>
          <w:p w:rsidR="00E95FB1" w:rsidRPr="002045F5" w:rsidRDefault="00E95FB1" w:rsidP="001B3967">
            <w:pPr>
              <w:pStyle w:val="a7"/>
              <w:ind w:left="0"/>
              <w:rPr>
                <w:sz w:val="22"/>
                <w:lang w:val="uk-UA"/>
              </w:rPr>
            </w:pPr>
            <w:r w:rsidRPr="002045F5">
              <w:rPr>
                <w:sz w:val="22"/>
                <w:lang w:val="uk-UA"/>
              </w:rPr>
              <w:t>Смт Борівське – 5692 осіб</w:t>
            </w:r>
          </w:p>
          <w:p w:rsidR="00E95FB1" w:rsidRPr="002045F5" w:rsidRDefault="00E95FB1" w:rsidP="001B3967">
            <w:pPr>
              <w:pStyle w:val="a7"/>
              <w:ind w:left="0"/>
              <w:rPr>
                <w:sz w:val="22"/>
                <w:lang w:val="uk-UA"/>
              </w:rPr>
            </w:pPr>
            <w:r w:rsidRPr="002045F5">
              <w:rPr>
                <w:sz w:val="22"/>
                <w:lang w:val="uk-UA"/>
              </w:rPr>
              <w:t xml:space="preserve">Село </w:t>
            </w:r>
            <w:proofErr w:type="spellStart"/>
            <w:r w:rsidRPr="002045F5">
              <w:rPr>
                <w:sz w:val="22"/>
                <w:lang w:val="uk-UA"/>
              </w:rPr>
              <w:t>Осколонівка</w:t>
            </w:r>
            <w:proofErr w:type="spellEnd"/>
            <w:r w:rsidRPr="002045F5">
              <w:rPr>
                <w:sz w:val="22"/>
                <w:lang w:val="uk-UA"/>
              </w:rPr>
              <w:t xml:space="preserve"> – 23 особи</w:t>
            </w:r>
          </w:p>
          <w:p w:rsidR="00E95FB1" w:rsidRPr="002045F5" w:rsidRDefault="00E95FB1" w:rsidP="001B3967">
            <w:pPr>
              <w:pStyle w:val="a7"/>
              <w:ind w:left="0"/>
              <w:rPr>
                <w:sz w:val="22"/>
                <w:lang w:val="uk-UA"/>
              </w:rPr>
            </w:pPr>
            <w:r w:rsidRPr="002045F5">
              <w:rPr>
                <w:sz w:val="22"/>
                <w:lang w:val="uk-UA"/>
              </w:rPr>
              <w:t xml:space="preserve">Село </w:t>
            </w:r>
            <w:proofErr w:type="spellStart"/>
            <w:r w:rsidRPr="002045F5">
              <w:rPr>
                <w:sz w:val="22"/>
                <w:lang w:val="uk-UA"/>
              </w:rPr>
              <w:t>Боброво</w:t>
            </w:r>
            <w:proofErr w:type="spellEnd"/>
            <w:r w:rsidRPr="002045F5">
              <w:rPr>
                <w:sz w:val="22"/>
                <w:lang w:val="uk-UA"/>
              </w:rPr>
              <w:t xml:space="preserve"> – 242 особи</w:t>
            </w:r>
          </w:p>
          <w:p w:rsidR="00E95FB1" w:rsidRPr="002045F5" w:rsidRDefault="00E95FB1" w:rsidP="001B3967">
            <w:pPr>
              <w:pStyle w:val="a7"/>
              <w:ind w:left="0"/>
              <w:rPr>
                <w:sz w:val="22"/>
                <w:lang w:val="uk-UA"/>
              </w:rPr>
            </w:pPr>
            <w:r w:rsidRPr="002045F5">
              <w:rPr>
                <w:sz w:val="22"/>
                <w:lang w:val="uk-UA"/>
              </w:rPr>
              <w:t xml:space="preserve">Смт </w:t>
            </w:r>
            <w:proofErr w:type="spellStart"/>
            <w:r w:rsidRPr="002045F5">
              <w:rPr>
                <w:sz w:val="22"/>
                <w:lang w:val="uk-UA"/>
              </w:rPr>
              <w:t>Сиртіне</w:t>
            </w:r>
            <w:proofErr w:type="spellEnd"/>
            <w:r w:rsidRPr="002045F5">
              <w:rPr>
                <w:sz w:val="22"/>
                <w:lang w:val="uk-UA"/>
              </w:rPr>
              <w:t xml:space="preserve"> -1568 осіб.</w:t>
            </w:r>
          </w:p>
          <w:p w:rsidR="00E95FB1" w:rsidRPr="002045F5" w:rsidRDefault="00E95FB1" w:rsidP="001B3967">
            <w:pPr>
              <w:pStyle w:val="a7"/>
              <w:ind w:left="0"/>
              <w:rPr>
                <w:sz w:val="22"/>
                <w:lang w:val="uk-UA"/>
              </w:rPr>
            </w:pPr>
            <w:r w:rsidRPr="002045F5">
              <w:rPr>
                <w:sz w:val="22"/>
                <w:lang w:val="uk-UA"/>
              </w:rPr>
              <w:t xml:space="preserve">Смт </w:t>
            </w:r>
            <w:proofErr w:type="spellStart"/>
            <w:r w:rsidRPr="002045F5">
              <w:rPr>
                <w:sz w:val="22"/>
                <w:lang w:val="uk-UA"/>
              </w:rPr>
              <w:t>Метьолкіно</w:t>
            </w:r>
            <w:proofErr w:type="spellEnd"/>
            <w:r w:rsidRPr="002045F5">
              <w:rPr>
                <w:sz w:val="22"/>
                <w:lang w:val="uk-UA"/>
              </w:rPr>
              <w:t xml:space="preserve"> – 773 особи</w:t>
            </w:r>
          </w:p>
        </w:tc>
        <w:tc>
          <w:tcPr>
            <w:tcW w:w="3625" w:type="dxa"/>
            <w:gridSpan w:val="4"/>
          </w:tcPr>
          <w:p w:rsidR="00E95FB1" w:rsidRPr="002045F5" w:rsidRDefault="00E95FB1" w:rsidP="001B3967">
            <w:pPr>
              <w:pStyle w:val="a7"/>
              <w:ind w:left="0"/>
              <w:rPr>
                <w:sz w:val="22"/>
                <w:lang w:val="uk-UA"/>
              </w:rPr>
            </w:pPr>
            <w:r w:rsidRPr="002045F5">
              <w:rPr>
                <w:sz w:val="22"/>
                <w:lang w:val="uk-UA"/>
              </w:rPr>
              <w:t xml:space="preserve">                                                             </w:t>
            </w:r>
          </w:p>
          <w:p w:rsidR="00E95FB1" w:rsidRPr="002045F5" w:rsidRDefault="00E95FB1" w:rsidP="001B3967">
            <w:pPr>
              <w:pStyle w:val="a7"/>
              <w:ind w:left="0"/>
              <w:rPr>
                <w:sz w:val="22"/>
                <w:lang w:val="uk-UA"/>
              </w:rPr>
            </w:pPr>
          </w:p>
          <w:p w:rsidR="00E95FB1" w:rsidRPr="002045F5" w:rsidRDefault="00E95FB1" w:rsidP="001B3967">
            <w:pPr>
              <w:pStyle w:val="a7"/>
              <w:ind w:left="0"/>
              <w:rPr>
                <w:b/>
                <w:sz w:val="22"/>
                <w:lang w:val="uk-UA"/>
              </w:rPr>
            </w:pPr>
            <w:r w:rsidRPr="002045F5">
              <w:rPr>
                <w:b/>
                <w:sz w:val="22"/>
                <w:lang w:val="uk-UA"/>
              </w:rPr>
              <w:t>Разом – 8 298 осіб</w:t>
            </w:r>
          </w:p>
        </w:tc>
      </w:tr>
      <w:tr w:rsidR="00E95FB1" w:rsidRPr="002045F5" w:rsidTr="001B3967">
        <w:tc>
          <w:tcPr>
            <w:tcW w:w="2978" w:type="dxa"/>
            <w:shd w:val="clear" w:color="auto" w:fill="C6D9F1" w:themeFill="text2" w:themeFillTint="33"/>
          </w:tcPr>
          <w:p w:rsidR="00E95FB1" w:rsidRPr="002045F5" w:rsidRDefault="00E95FB1" w:rsidP="001B3967">
            <w:pPr>
              <w:rPr>
                <w:b/>
                <w:sz w:val="22"/>
                <w:lang w:val="uk-UA"/>
              </w:rPr>
            </w:pPr>
            <w:r w:rsidRPr="002045F5">
              <w:rPr>
                <w:b/>
                <w:sz w:val="22"/>
                <w:lang w:val="uk-UA"/>
              </w:rPr>
              <w:t>Опис проблеми, на вирішення якої  спрямований проект</w:t>
            </w:r>
          </w:p>
        </w:tc>
        <w:tc>
          <w:tcPr>
            <w:tcW w:w="6850" w:type="dxa"/>
            <w:gridSpan w:val="8"/>
          </w:tcPr>
          <w:p w:rsidR="00E95FB1" w:rsidRPr="002045F5" w:rsidRDefault="00E95FB1" w:rsidP="001B3967">
            <w:pPr>
              <w:ind w:firstLine="708"/>
              <w:rPr>
                <w:sz w:val="22"/>
                <w:lang w:val="uk-UA"/>
              </w:rPr>
            </w:pPr>
            <w:r w:rsidRPr="002045F5">
              <w:rPr>
                <w:sz w:val="22"/>
                <w:lang w:val="uk-UA"/>
              </w:rPr>
              <w:t>Через військову агресію РФ територія Сєвєродонецької міської територіальної громади зазнала значних пошкоджень. Не оминуло це і Комунальний Заклад  «Борівська школа мистецтв».</w:t>
            </w:r>
          </w:p>
          <w:p w:rsidR="00E95FB1" w:rsidRPr="002045F5" w:rsidRDefault="00E95FB1" w:rsidP="001B3967">
            <w:pPr>
              <w:ind w:firstLine="708"/>
              <w:rPr>
                <w:sz w:val="22"/>
                <w:lang w:val="uk-UA"/>
              </w:rPr>
            </w:pPr>
            <w:r w:rsidRPr="002045F5">
              <w:rPr>
                <w:sz w:val="22"/>
                <w:lang w:val="uk-UA"/>
              </w:rPr>
              <w:t>Вся матеріально-технічна база потребує забезпечення</w:t>
            </w:r>
            <w:r w:rsidR="0024584D" w:rsidRPr="002045F5">
              <w:rPr>
                <w:sz w:val="22"/>
                <w:lang w:val="uk-UA"/>
              </w:rPr>
              <w:t>,</w:t>
            </w:r>
            <w:r w:rsidRPr="002045F5">
              <w:rPr>
                <w:sz w:val="22"/>
                <w:lang w:val="uk-UA"/>
              </w:rPr>
              <w:t xml:space="preserve"> необхідного для діяльності закладу, зокрема:</w:t>
            </w:r>
          </w:p>
          <w:p w:rsidR="00E95FB1" w:rsidRPr="002045F5" w:rsidRDefault="00E95FB1" w:rsidP="000303D7">
            <w:pPr>
              <w:numPr>
                <w:ilvl w:val="0"/>
                <w:numId w:val="9"/>
              </w:numPr>
              <w:rPr>
                <w:sz w:val="22"/>
                <w:lang w:val="uk-UA"/>
              </w:rPr>
            </w:pPr>
            <w:r w:rsidRPr="002045F5">
              <w:rPr>
                <w:sz w:val="22"/>
                <w:lang w:val="uk-UA"/>
              </w:rPr>
              <w:t>обладнання (устаткування);</w:t>
            </w:r>
          </w:p>
          <w:p w:rsidR="00E95FB1" w:rsidRPr="002045F5" w:rsidRDefault="00E95FB1" w:rsidP="000303D7">
            <w:pPr>
              <w:numPr>
                <w:ilvl w:val="0"/>
                <w:numId w:val="9"/>
              </w:numPr>
              <w:rPr>
                <w:sz w:val="22"/>
                <w:lang w:val="uk-UA"/>
              </w:rPr>
            </w:pPr>
            <w:r w:rsidRPr="002045F5">
              <w:rPr>
                <w:sz w:val="22"/>
                <w:lang w:val="uk-UA"/>
              </w:rPr>
              <w:t>обчислювальна техніка із відповідним програмним забезпеченням;</w:t>
            </w:r>
          </w:p>
          <w:p w:rsidR="00E95FB1" w:rsidRPr="002045F5" w:rsidRDefault="00E95FB1" w:rsidP="000303D7">
            <w:pPr>
              <w:numPr>
                <w:ilvl w:val="0"/>
                <w:numId w:val="9"/>
              </w:numPr>
              <w:rPr>
                <w:sz w:val="22"/>
                <w:lang w:val="uk-UA"/>
              </w:rPr>
            </w:pPr>
            <w:r w:rsidRPr="002045F5">
              <w:rPr>
                <w:sz w:val="22"/>
                <w:lang w:val="uk-UA"/>
              </w:rPr>
              <w:t>інша оргтехніка (монітори, комп’ютери, принтери, сканери,</w:t>
            </w:r>
            <w:r w:rsidR="0024584D" w:rsidRPr="002045F5">
              <w:rPr>
                <w:sz w:val="22"/>
                <w:lang w:val="uk-UA"/>
              </w:rPr>
              <w:t xml:space="preserve"> </w:t>
            </w:r>
            <w:r w:rsidRPr="002045F5">
              <w:rPr>
                <w:sz w:val="22"/>
                <w:lang w:val="uk-UA"/>
              </w:rPr>
              <w:t>інтерактивні дошки);</w:t>
            </w:r>
          </w:p>
          <w:p w:rsidR="00E95FB1" w:rsidRPr="002045F5" w:rsidRDefault="00E95FB1" w:rsidP="000303D7">
            <w:pPr>
              <w:pStyle w:val="13"/>
              <w:numPr>
                <w:ilvl w:val="0"/>
                <w:numId w:val="9"/>
              </w:numPr>
              <w:jc w:val="both"/>
              <w:rPr>
                <w:sz w:val="22"/>
                <w:lang w:val="uk-UA"/>
              </w:rPr>
            </w:pPr>
            <w:r w:rsidRPr="002045F5">
              <w:rPr>
                <w:sz w:val="22"/>
                <w:lang w:val="uk-UA"/>
              </w:rPr>
              <w:t>основні засоби (офісні меблі, сейф, музичні інструменти, бібліотечний нотний фонд, концертне обладнання) були знищені або викрадені.</w:t>
            </w:r>
          </w:p>
          <w:p w:rsidR="00E95FB1" w:rsidRPr="002045F5" w:rsidRDefault="00E95FB1" w:rsidP="001B3967">
            <w:pPr>
              <w:pStyle w:val="13"/>
              <w:jc w:val="both"/>
              <w:rPr>
                <w:sz w:val="22"/>
                <w:lang w:val="uk-UA"/>
              </w:rPr>
            </w:pPr>
            <w:r w:rsidRPr="002045F5">
              <w:rPr>
                <w:rFonts w:eastAsia="Arial"/>
                <w:sz w:val="22"/>
                <w:lang w:val="uk-UA"/>
              </w:rPr>
              <w:t xml:space="preserve">            Для відбудови та сталого розвитку громади потрібне відновлення роботи мережі закладів позашкільної освіти, а саме </w:t>
            </w:r>
            <w:r w:rsidRPr="002045F5">
              <w:rPr>
                <w:sz w:val="22"/>
                <w:lang w:val="uk-UA"/>
              </w:rPr>
              <w:t xml:space="preserve">Комунального Закладу  «Борівська школа мистецтв». </w:t>
            </w:r>
            <w:r w:rsidRPr="002045F5">
              <w:rPr>
                <w:rFonts w:eastAsia="Arial"/>
                <w:sz w:val="22"/>
                <w:lang w:val="uk-UA"/>
              </w:rPr>
              <w:t xml:space="preserve">Мешканці громади потребують в отриманні якісних освітніх послуг, які відповідають нормам сучасності. </w:t>
            </w:r>
          </w:p>
        </w:tc>
      </w:tr>
      <w:tr w:rsidR="00E95FB1" w:rsidRPr="002045F5" w:rsidTr="001B3967">
        <w:tc>
          <w:tcPr>
            <w:tcW w:w="2978"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Очікувані якісні результати від реалізації проекту</w:t>
            </w:r>
          </w:p>
        </w:tc>
        <w:tc>
          <w:tcPr>
            <w:tcW w:w="6850" w:type="dxa"/>
            <w:gridSpan w:val="8"/>
          </w:tcPr>
          <w:p w:rsidR="00E95FB1" w:rsidRPr="002045F5" w:rsidRDefault="00E95FB1" w:rsidP="001B3967">
            <w:pPr>
              <w:pStyle w:val="af7"/>
              <w:rPr>
                <w:b/>
                <w:color w:val="000000" w:themeColor="text1"/>
                <w:sz w:val="22"/>
                <w:lang w:val="uk-UA"/>
              </w:rPr>
            </w:pPr>
            <w:r w:rsidRPr="002045F5">
              <w:rPr>
                <w:sz w:val="22"/>
                <w:lang w:val="uk-UA"/>
              </w:rPr>
              <w:t xml:space="preserve">- забезпечення населення можливостями для реалізації його конституційних прав, пов’язаних із </w:t>
            </w:r>
            <w:r w:rsidRPr="002045F5">
              <w:rPr>
                <w:rStyle w:val="10"/>
                <w:b w:val="0"/>
                <w:color w:val="000000" w:themeColor="text1"/>
                <w:sz w:val="22"/>
                <w:lang w:val="uk-UA"/>
              </w:rPr>
              <w:t>правом на позашкільну освіту</w:t>
            </w:r>
            <w:r w:rsidRPr="002045F5">
              <w:rPr>
                <w:b/>
                <w:sz w:val="22"/>
                <w:lang w:val="uk-UA"/>
              </w:rPr>
              <w:t>;</w:t>
            </w:r>
          </w:p>
          <w:p w:rsidR="00E95FB1" w:rsidRPr="002045F5" w:rsidRDefault="00E95FB1" w:rsidP="001B3967">
            <w:pPr>
              <w:pStyle w:val="a7"/>
              <w:ind w:left="0"/>
              <w:rPr>
                <w:b/>
                <w:sz w:val="22"/>
                <w:lang w:val="uk-UA"/>
              </w:rPr>
            </w:pPr>
            <w:r w:rsidRPr="002045F5">
              <w:rPr>
                <w:sz w:val="22"/>
                <w:lang w:val="uk-UA"/>
              </w:rPr>
              <w:t xml:space="preserve">- надання широкого спектру мистецьких послуг, пов’язаних із </w:t>
            </w:r>
            <w:r w:rsidRPr="002045F5">
              <w:rPr>
                <w:rStyle w:val="10"/>
                <w:b w:val="0"/>
                <w:color w:val="000000" w:themeColor="text1"/>
                <w:sz w:val="22"/>
                <w:lang w:val="uk-UA"/>
              </w:rPr>
              <w:t xml:space="preserve">можливостями доступу людини до духовних цінностей свого народу </w:t>
            </w:r>
            <w:r w:rsidRPr="002045F5">
              <w:rPr>
                <w:rStyle w:val="10"/>
                <w:b w:val="0"/>
                <w:color w:val="000000" w:themeColor="text1"/>
                <w:sz w:val="22"/>
                <w:lang w:val="uk-UA"/>
              </w:rPr>
              <w:lastRenderedPageBreak/>
              <w:t>(нації) та всього людства</w:t>
            </w:r>
            <w:r w:rsidRPr="002045F5">
              <w:rPr>
                <w:b/>
                <w:sz w:val="22"/>
                <w:lang w:val="uk-UA"/>
              </w:rPr>
              <w:t xml:space="preserve">; </w:t>
            </w:r>
            <w:r w:rsidRPr="002045F5">
              <w:rPr>
                <w:rStyle w:val="10"/>
                <w:b w:val="0"/>
                <w:color w:val="000000" w:themeColor="text1"/>
                <w:sz w:val="22"/>
                <w:lang w:val="uk-UA"/>
              </w:rPr>
              <w:t xml:space="preserve">розвитку української нації, її історичної свідомості, традицій і культури, а також розвитку етнічної, культурної, </w:t>
            </w:r>
            <w:proofErr w:type="spellStart"/>
            <w:r w:rsidRPr="002045F5">
              <w:rPr>
                <w:rStyle w:val="10"/>
                <w:b w:val="0"/>
                <w:color w:val="000000" w:themeColor="text1"/>
                <w:sz w:val="22"/>
                <w:lang w:val="uk-UA"/>
              </w:rPr>
              <w:t>мовної</w:t>
            </w:r>
            <w:proofErr w:type="spellEnd"/>
            <w:r w:rsidRPr="002045F5">
              <w:rPr>
                <w:rStyle w:val="10"/>
                <w:b w:val="0"/>
                <w:color w:val="000000" w:themeColor="text1"/>
                <w:sz w:val="22"/>
                <w:lang w:val="uk-UA"/>
              </w:rPr>
              <w:t xml:space="preserve"> та релігійної самобутності всіх корінних народів і національних меншин України</w:t>
            </w:r>
          </w:p>
          <w:p w:rsidR="00E95FB1" w:rsidRPr="002045F5" w:rsidRDefault="00E95FB1" w:rsidP="001B3967">
            <w:pPr>
              <w:pStyle w:val="a7"/>
              <w:ind w:left="0"/>
              <w:rPr>
                <w:sz w:val="22"/>
                <w:lang w:val="uk-UA"/>
              </w:rPr>
            </w:pPr>
            <w:r w:rsidRPr="002045F5">
              <w:rPr>
                <w:sz w:val="22"/>
                <w:lang w:val="uk-UA"/>
              </w:rPr>
              <w:t>- вирішення ряду питань в межах статутної діяльності, пов’язаних із відбудовою та сталим розвитком громади;</w:t>
            </w:r>
          </w:p>
          <w:p w:rsidR="00E95FB1" w:rsidRPr="002045F5" w:rsidRDefault="00E95FB1" w:rsidP="001B3967">
            <w:pPr>
              <w:widowControl w:val="0"/>
              <w:shd w:val="clear" w:color="auto" w:fill="FFFFFF"/>
              <w:suppressAutoHyphens/>
              <w:rPr>
                <w:sz w:val="22"/>
                <w:lang w:val="uk-UA"/>
              </w:rPr>
            </w:pPr>
            <w:r w:rsidRPr="002045F5">
              <w:rPr>
                <w:sz w:val="22"/>
                <w:lang w:val="uk-UA"/>
              </w:rPr>
              <w:t xml:space="preserve">- створення умов  для реалізації індивідуальних освітніх траєкторій здобувачів в межах освітніх програм, набуття ними відповідних </w:t>
            </w:r>
            <w:proofErr w:type="spellStart"/>
            <w:r w:rsidRPr="002045F5">
              <w:rPr>
                <w:sz w:val="22"/>
                <w:lang w:val="uk-UA"/>
              </w:rPr>
              <w:t>компетентностей</w:t>
            </w:r>
            <w:proofErr w:type="spellEnd"/>
            <w:r w:rsidRPr="002045F5">
              <w:rPr>
                <w:sz w:val="22"/>
                <w:lang w:val="uk-UA"/>
              </w:rPr>
              <w:t>;</w:t>
            </w:r>
          </w:p>
          <w:p w:rsidR="00E95FB1" w:rsidRPr="002045F5" w:rsidRDefault="00E95FB1" w:rsidP="001B3967">
            <w:pPr>
              <w:pStyle w:val="a7"/>
              <w:ind w:left="0"/>
              <w:rPr>
                <w:sz w:val="22"/>
                <w:lang w:val="uk-UA"/>
              </w:rPr>
            </w:pPr>
            <w:r w:rsidRPr="002045F5">
              <w:rPr>
                <w:sz w:val="22"/>
                <w:lang w:val="uk-UA"/>
              </w:rPr>
              <w:t>- стимул до повернення ВПО до громади;</w:t>
            </w:r>
          </w:p>
        </w:tc>
      </w:tr>
      <w:tr w:rsidR="00E95FB1" w:rsidRPr="002045F5" w:rsidTr="001B3967">
        <w:trPr>
          <w:trHeight w:val="390"/>
        </w:trPr>
        <w:tc>
          <w:tcPr>
            <w:tcW w:w="2978" w:type="dxa"/>
            <w:vMerge w:val="restart"/>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lastRenderedPageBreak/>
              <w:t xml:space="preserve">Очікувані кількісні результати реалізації </w:t>
            </w:r>
            <w:proofErr w:type="spellStart"/>
            <w:r w:rsidRPr="002045F5">
              <w:rPr>
                <w:b/>
                <w:sz w:val="22"/>
                <w:lang w:val="uk-UA"/>
              </w:rPr>
              <w:t>проєкту</w:t>
            </w:r>
            <w:proofErr w:type="spellEnd"/>
            <w:r w:rsidRPr="002045F5">
              <w:rPr>
                <w:b/>
                <w:sz w:val="22"/>
                <w:lang w:val="uk-UA"/>
              </w:rPr>
              <w:t xml:space="preserve"> (індикатори)</w:t>
            </w:r>
          </w:p>
          <w:p w:rsidR="00E95FB1" w:rsidRPr="002045F5" w:rsidRDefault="00E95FB1" w:rsidP="001B3967">
            <w:pPr>
              <w:pStyle w:val="a7"/>
              <w:ind w:left="0"/>
              <w:rPr>
                <w:b/>
                <w:sz w:val="22"/>
                <w:lang w:val="uk-UA"/>
              </w:rPr>
            </w:pPr>
          </w:p>
        </w:tc>
        <w:tc>
          <w:tcPr>
            <w:tcW w:w="2984" w:type="dxa"/>
            <w:gridSpan w:val="3"/>
            <w:tcBorders>
              <w:bottom w:val="single" w:sz="4" w:space="0" w:color="auto"/>
              <w:right w:val="single" w:sz="4" w:space="0" w:color="auto"/>
            </w:tcBorders>
          </w:tcPr>
          <w:p w:rsidR="00E95FB1" w:rsidRPr="002045F5" w:rsidRDefault="00E95FB1" w:rsidP="001B3967">
            <w:pPr>
              <w:pStyle w:val="a7"/>
              <w:ind w:left="-108"/>
              <w:jc w:val="center"/>
              <w:rPr>
                <w:b/>
                <w:sz w:val="22"/>
                <w:lang w:val="uk-UA"/>
              </w:rPr>
            </w:pPr>
            <w:r w:rsidRPr="002045F5">
              <w:rPr>
                <w:b/>
                <w:sz w:val="22"/>
                <w:lang w:val="uk-UA"/>
              </w:rPr>
              <w:t>Найменування показника</w:t>
            </w:r>
          </w:p>
        </w:tc>
        <w:tc>
          <w:tcPr>
            <w:tcW w:w="1843" w:type="dxa"/>
            <w:gridSpan w:val="3"/>
            <w:tcBorders>
              <w:left w:val="single" w:sz="4" w:space="0" w:color="auto"/>
              <w:bottom w:val="single" w:sz="4" w:space="0" w:color="auto"/>
              <w:right w:val="single" w:sz="4" w:space="0" w:color="auto"/>
            </w:tcBorders>
          </w:tcPr>
          <w:p w:rsidR="00E95FB1" w:rsidRPr="002045F5" w:rsidRDefault="00E95FB1" w:rsidP="001B3967">
            <w:pPr>
              <w:pStyle w:val="a7"/>
              <w:ind w:left="0"/>
              <w:jc w:val="center"/>
              <w:rPr>
                <w:b/>
                <w:sz w:val="22"/>
                <w:lang w:val="uk-UA"/>
              </w:rPr>
            </w:pPr>
            <w:r w:rsidRPr="002045F5">
              <w:rPr>
                <w:b/>
                <w:sz w:val="22"/>
                <w:lang w:val="uk-UA"/>
              </w:rPr>
              <w:t>Одиниця вимірювання</w:t>
            </w:r>
          </w:p>
          <w:p w:rsidR="00E95FB1" w:rsidRPr="002045F5" w:rsidRDefault="00E95FB1" w:rsidP="001B3967">
            <w:pPr>
              <w:pStyle w:val="a7"/>
              <w:ind w:left="0"/>
              <w:rPr>
                <w:b/>
                <w:sz w:val="22"/>
                <w:lang w:val="uk-UA"/>
              </w:rPr>
            </w:pPr>
          </w:p>
        </w:tc>
        <w:tc>
          <w:tcPr>
            <w:tcW w:w="2023" w:type="dxa"/>
            <w:gridSpan w:val="2"/>
            <w:tcBorders>
              <w:left w:val="single" w:sz="4" w:space="0" w:color="auto"/>
              <w:bottom w:val="single" w:sz="4" w:space="0" w:color="auto"/>
            </w:tcBorders>
          </w:tcPr>
          <w:p w:rsidR="00E95FB1" w:rsidRPr="002045F5" w:rsidRDefault="00E95FB1" w:rsidP="001B3967">
            <w:pPr>
              <w:pStyle w:val="a7"/>
              <w:ind w:left="0"/>
              <w:jc w:val="center"/>
              <w:rPr>
                <w:b/>
                <w:sz w:val="22"/>
                <w:lang w:val="uk-UA"/>
              </w:rPr>
            </w:pPr>
            <w:r w:rsidRPr="002045F5">
              <w:rPr>
                <w:b/>
                <w:sz w:val="22"/>
                <w:lang w:val="uk-UA"/>
              </w:rPr>
              <w:t>Прогнозне (цільове) значення</w:t>
            </w:r>
          </w:p>
        </w:tc>
      </w:tr>
      <w:tr w:rsidR="00E95FB1" w:rsidRPr="002045F5" w:rsidTr="001B3967">
        <w:trPr>
          <w:trHeight w:val="585"/>
        </w:trPr>
        <w:tc>
          <w:tcPr>
            <w:tcW w:w="2978" w:type="dxa"/>
            <w:vMerge/>
            <w:shd w:val="clear" w:color="auto" w:fill="C6D9F1" w:themeFill="text2" w:themeFillTint="33"/>
          </w:tcPr>
          <w:p w:rsidR="00E95FB1" w:rsidRPr="002045F5" w:rsidRDefault="00E95FB1" w:rsidP="001B3967">
            <w:pPr>
              <w:pStyle w:val="a7"/>
              <w:ind w:left="0"/>
              <w:rPr>
                <w:b/>
                <w:sz w:val="22"/>
                <w:lang w:val="uk-UA"/>
              </w:rPr>
            </w:pPr>
          </w:p>
        </w:tc>
        <w:tc>
          <w:tcPr>
            <w:tcW w:w="2984" w:type="dxa"/>
            <w:gridSpan w:val="3"/>
            <w:tcBorders>
              <w:top w:val="single" w:sz="4" w:space="0" w:color="auto"/>
              <w:bottom w:val="single" w:sz="4" w:space="0" w:color="auto"/>
              <w:right w:val="single" w:sz="4" w:space="0" w:color="auto"/>
            </w:tcBorders>
          </w:tcPr>
          <w:p w:rsidR="00E95FB1" w:rsidRPr="002045F5" w:rsidRDefault="00E95FB1" w:rsidP="001B3967">
            <w:pPr>
              <w:pStyle w:val="a7"/>
              <w:ind w:left="0"/>
              <w:jc w:val="center"/>
              <w:rPr>
                <w:sz w:val="22"/>
                <w:lang w:val="uk-UA"/>
              </w:rPr>
            </w:pPr>
            <w:r w:rsidRPr="002045F5">
              <w:rPr>
                <w:sz w:val="22"/>
                <w:lang w:val="uk-UA"/>
              </w:rPr>
              <w:t>Кількість учнів</w:t>
            </w:r>
            <w:r w:rsidR="00F073C2" w:rsidRPr="002045F5">
              <w:rPr>
                <w:sz w:val="22"/>
                <w:lang w:val="uk-UA"/>
              </w:rPr>
              <w:t>,</w:t>
            </w:r>
            <w:r w:rsidRPr="002045F5">
              <w:rPr>
                <w:sz w:val="22"/>
                <w:lang w:val="uk-UA"/>
              </w:rPr>
              <w:t xml:space="preserve"> які навчались протягом  року</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осіб</w:t>
            </w:r>
          </w:p>
        </w:tc>
        <w:tc>
          <w:tcPr>
            <w:tcW w:w="2023" w:type="dxa"/>
            <w:gridSpan w:val="2"/>
            <w:tcBorders>
              <w:top w:val="single" w:sz="4" w:space="0" w:color="auto"/>
              <w:left w:val="single" w:sz="4" w:space="0" w:color="auto"/>
              <w:bottom w:val="single" w:sz="4" w:space="0" w:color="auto"/>
            </w:tcBorders>
          </w:tcPr>
          <w:p w:rsidR="00E95FB1" w:rsidRPr="002045F5" w:rsidRDefault="00E95FB1" w:rsidP="001B3967">
            <w:pPr>
              <w:pStyle w:val="a7"/>
              <w:ind w:left="0"/>
              <w:jc w:val="center"/>
              <w:rPr>
                <w:sz w:val="22"/>
                <w:lang w:val="uk-UA"/>
              </w:rPr>
            </w:pPr>
          </w:p>
          <w:p w:rsidR="00E95FB1" w:rsidRPr="002045F5" w:rsidRDefault="00E95FB1" w:rsidP="001B3967">
            <w:pPr>
              <w:pStyle w:val="a7"/>
              <w:ind w:left="0"/>
              <w:jc w:val="center"/>
              <w:rPr>
                <w:sz w:val="22"/>
                <w:lang w:val="uk-UA"/>
              </w:rPr>
            </w:pPr>
            <w:r w:rsidRPr="002045F5">
              <w:rPr>
                <w:sz w:val="22"/>
                <w:lang w:val="uk-UA"/>
              </w:rPr>
              <w:t>86</w:t>
            </w:r>
          </w:p>
        </w:tc>
      </w:tr>
      <w:tr w:rsidR="00E95FB1" w:rsidRPr="002045F5" w:rsidTr="001B3967">
        <w:trPr>
          <w:trHeight w:val="184"/>
        </w:trPr>
        <w:tc>
          <w:tcPr>
            <w:tcW w:w="2978" w:type="dxa"/>
            <w:vMerge/>
            <w:shd w:val="clear" w:color="auto" w:fill="C6D9F1" w:themeFill="text2" w:themeFillTint="33"/>
          </w:tcPr>
          <w:p w:rsidR="00E95FB1" w:rsidRPr="002045F5" w:rsidRDefault="00E95FB1" w:rsidP="001B3967">
            <w:pPr>
              <w:pStyle w:val="a7"/>
              <w:ind w:left="0"/>
              <w:rPr>
                <w:b/>
                <w:sz w:val="22"/>
                <w:lang w:val="uk-UA"/>
              </w:rPr>
            </w:pPr>
          </w:p>
        </w:tc>
        <w:tc>
          <w:tcPr>
            <w:tcW w:w="2984" w:type="dxa"/>
            <w:gridSpan w:val="3"/>
            <w:tcBorders>
              <w:top w:val="single" w:sz="4" w:space="0" w:color="auto"/>
              <w:bottom w:val="single" w:sz="4" w:space="0" w:color="auto"/>
              <w:right w:val="single" w:sz="4" w:space="0" w:color="auto"/>
            </w:tcBorders>
          </w:tcPr>
          <w:p w:rsidR="00E95FB1" w:rsidRPr="002045F5" w:rsidRDefault="00E95FB1" w:rsidP="00F073C2">
            <w:pPr>
              <w:pStyle w:val="a7"/>
              <w:ind w:left="0"/>
              <w:jc w:val="center"/>
              <w:rPr>
                <w:sz w:val="22"/>
                <w:lang w:val="uk-UA"/>
              </w:rPr>
            </w:pPr>
            <w:r w:rsidRPr="002045F5">
              <w:rPr>
                <w:sz w:val="22"/>
                <w:lang w:val="uk-UA"/>
              </w:rPr>
              <w:t>Кількість фізичних осіб, які відвідували заходи протягом  року</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осіб</w:t>
            </w:r>
          </w:p>
        </w:tc>
        <w:tc>
          <w:tcPr>
            <w:tcW w:w="2023" w:type="dxa"/>
            <w:gridSpan w:val="2"/>
            <w:tcBorders>
              <w:top w:val="single" w:sz="4" w:space="0" w:color="auto"/>
              <w:left w:val="single" w:sz="4" w:space="0" w:color="auto"/>
              <w:bottom w:val="single" w:sz="4" w:space="0" w:color="auto"/>
            </w:tcBorders>
          </w:tcPr>
          <w:p w:rsidR="00E95FB1" w:rsidRPr="002045F5" w:rsidRDefault="00E95FB1" w:rsidP="001B3967">
            <w:pPr>
              <w:pStyle w:val="a7"/>
              <w:ind w:left="0"/>
              <w:jc w:val="center"/>
              <w:rPr>
                <w:sz w:val="22"/>
                <w:lang w:val="uk-UA"/>
              </w:rPr>
            </w:pPr>
          </w:p>
          <w:p w:rsidR="00E95FB1" w:rsidRPr="002045F5" w:rsidRDefault="00E95FB1" w:rsidP="001B3967">
            <w:pPr>
              <w:pStyle w:val="a7"/>
              <w:ind w:left="0"/>
              <w:jc w:val="center"/>
              <w:rPr>
                <w:sz w:val="22"/>
                <w:lang w:val="uk-UA"/>
              </w:rPr>
            </w:pPr>
          </w:p>
          <w:p w:rsidR="00E95FB1" w:rsidRPr="002045F5" w:rsidRDefault="00E95FB1" w:rsidP="001B3967">
            <w:pPr>
              <w:pStyle w:val="a7"/>
              <w:ind w:left="0"/>
              <w:jc w:val="center"/>
              <w:rPr>
                <w:sz w:val="22"/>
                <w:lang w:val="uk-UA"/>
              </w:rPr>
            </w:pPr>
            <w:r w:rsidRPr="002045F5">
              <w:rPr>
                <w:sz w:val="22"/>
                <w:lang w:val="uk-UA"/>
              </w:rPr>
              <w:t>12 447</w:t>
            </w:r>
          </w:p>
        </w:tc>
      </w:tr>
      <w:tr w:rsidR="00E95FB1" w:rsidRPr="002045F5" w:rsidTr="001B3967">
        <w:trPr>
          <w:trHeight w:val="184"/>
        </w:trPr>
        <w:tc>
          <w:tcPr>
            <w:tcW w:w="2978" w:type="dxa"/>
            <w:vMerge/>
            <w:shd w:val="clear" w:color="auto" w:fill="C6D9F1" w:themeFill="text2" w:themeFillTint="33"/>
          </w:tcPr>
          <w:p w:rsidR="00E95FB1" w:rsidRPr="002045F5" w:rsidRDefault="00E95FB1" w:rsidP="001B3967">
            <w:pPr>
              <w:pStyle w:val="a7"/>
              <w:ind w:left="0"/>
              <w:rPr>
                <w:b/>
                <w:sz w:val="22"/>
                <w:lang w:val="uk-UA"/>
              </w:rPr>
            </w:pPr>
          </w:p>
        </w:tc>
        <w:tc>
          <w:tcPr>
            <w:tcW w:w="2984" w:type="dxa"/>
            <w:gridSpan w:val="3"/>
            <w:tcBorders>
              <w:top w:val="single" w:sz="4" w:space="0" w:color="auto"/>
              <w:bottom w:val="single" w:sz="4" w:space="0" w:color="auto"/>
              <w:right w:val="single" w:sz="4" w:space="0" w:color="auto"/>
            </w:tcBorders>
          </w:tcPr>
          <w:p w:rsidR="00E95FB1" w:rsidRPr="002045F5" w:rsidRDefault="00E95FB1" w:rsidP="001B3967">
            <w:pPr>
              <w:pStyle w:val="a7"/>
              <w:ind w:left="0"/>
              <w:jc w:val="center"/>
              <w:rPr>
                <w:sz w:val="22"/>
                <w:lang w:val="uk-UA"/>
              </w:rPr>
            </w:pPr>
            <w:r w:rsidRPr="002045F5">
              <w:rPr>
                <w:sz w:val="22"/>
                <w:lang w:val="uk-UA"/>
              </w:rPr>
              <w:t>Кількість видів та типів послуг</w:t>
            </w:r>
            <w:r w:rsidR="00F073C2" w:rsidRPr="002045F5">
              <w:rPr>
                <w:sz w:val="22"/>
                <w:lang w:val="uk-UA"/>
              </w:rPr>
              <w:t>,</w:t>
            </w:r>
            <w:r w:rsidRPr="002045F5">
              <w:rPr>
                <w:sz w:val="22"/>
                <w:lang w:val="uk-UA"/>
              </w:rPr>
              <w:t xml:space="preserve"> наданих протягом одного робочого дня</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одиниць</w:t>
            </w:r>
          </w:p>
        </w:tc>
        <w:tc>
          <w:tcPr>
            <w:tcW w:w="2023" w:type="dxa"/>
            <w:gridSpan w:val="2"/>
            <w:tcBorders>
              <w:top w:val="single" w:sz="4" w:space="0" w:color="auto"/>
              <w:left w:val="single" w:sz="4" w:space="0" w:color="auto"/>
              <w:bottom w:val="single" w:sz="4" w:space="0" w:color="auto"/>
            </w:tcBorders>
          </w:tcPr>
          <w:p w:rsidR="00E95FB1" w:rsidRPr="002045F5" w:rsidRDefault="00E95FB1" w:rsidP="001B3967">
            <w:pPr>
              <w:pStyle w:val="a7"/>
              <w:ind w:left="0"/>
              <w:jc w:val="center"/>
              <w:rPr>
                <w:sz w:val="22"/>
                <w:lang w:val="uk-UA"/>
              </w:rPr>
            </w:pPr>
          </w:p>
          <w:p w:rsidR="00E95FB1" w:rsidRPr="002045F5" w:rsidRDefault="00E95FB1" w:rsidP="001B3967">
            <w:pPr>
              <w:pStyle w:val="a7"/>
              <w:ind w:left="0"/>
              <w:jc w:val="center"/>
              <w:rPr>
                <w:sz w:val="22"/>
                <w:lang w:val="uk-UA"/>
              </w:rPr>
            </w:pPr>
          </w:p>
          <w:p w:rsidR="00E95FB1" w:rsidRPr="002045F5" w:rsidRDefault="00E95FB1" w:rsidP="001B3967">
            <w:pPr>
              <w:pStyle w:val="a7"/>
              <w:ind w:left="0"/>
              <w:jc w:val="center"/>
              <w:rPr>
                <w:sz w:val="22"/>
                <w:lang w:val="uk-UA"/>
              </w:rPr>
            </w:pPr>
            <w:r w:rsidRPr="002045F5">
              <w:rPr>
                <w:sz w:val="22"/>
                <w:lang w:val="uk-UA"/>
              </w:rPr>
              <w:t>5</w:t>
            </w:r>
          </w:p>
        </w:tc>
      </w:tr>
      <w:tr w:rsidR="00E95FB1" w:rsidRPr="002045F5" w:rsidTr="001B3967">
        <w:trPr>
          <w:trHeight w:val="165"/>
        </w:trPr>
        <w:tc>
          <w:tcPr>
            <w:tcW w:w="2978" w:type="dxa"/>
            <w:vMerge/>
            <w:shd w:val="clear" w:color="auto" w:fill="C6D9F1" w:themeFill="text2" w:themeFillTint="33"/>
          </w:tcPr>
          <w:p w:rsidR="00E95FB1" w:rsidRPr="002045F5" w:rsidRDefault="00E95FB1" w:rsidP="001B3967">
            <w:pPr>
              <w:pStyle w:val="a7"/>
              <w:ind w:left="0"/>
              <w:rPr>
                <w:b/>
                <w:sz w:val="22"/>
                <w:lang w:val="uk-UA"/>
              </w:rPr>
            </w:pPr>
          </w:p>
        </w:tc>
        <w:tc>
          <w:tcPr>
            <w:tcW w:w="2984" w:type="dxa"/>
            <w:gridSpan w:val="3"/>
            <w:tcBorders>
              <w:top w:val="single" w:sz="4" w:space="0" w:color="auto"/>
              <w:bottom w:val="single" w:sz="4" w:space="0" w:color="auto"/>
              <w:right w:val="single" w:sz="4" w:space="0" w:color="auto"/>
            </w:tcBorders>
          </w:tcPr>
          <w:p w:rsidR="00E95FB1" w:rsidRPr="002045F5" w:rsidRDefault="00E95FB1" w:rsidP="001B3967">
            <w:pPr>
              <w:pStyle w:val="a7"/>
              <w:ind w:left="0"/>
              <w:jc w:val="center"/>
              <w:rPr>
                <w:sz w:val="22"/>
                <w:lang w:val="uk-UA"/>
              </w:rPr>
            </w:pPr>
            <w:r w:rsidRPr="002045F5">
              <w:rPr>
                <w:sz w:val="22"/>
                <w:lang w:val="uk-UA"/>
              </w:rPr>
              <w:t>Середня вартість послуг</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грн</w:t>
            </w:r>
          </w:p>
        </w:tc>
        <w:tc>
          <w:tcPr>
            <w:tcW w:w="2023" w:type="dxa"/>
            <w:gridSpan w:val="2"/>
            <w:tcBorders>
              <w:top w:val="single" w:sz="4" w:space="0" w:color="auto"/>
              <w:left w:val="single" w:sz="4" w:space="0" w:color="auto"/>
              <w:bottom w:val="single" w:sz="4" w:space="0" w:color="auto"/>
            </w:tcBorders>
          </w:tcPr>
          <w:p w:rsidR="00E95FB1" w:rsidRPr="002045F5" w:rsidRDefault="00E95FB1" w:rsidP="001B3967">
            <w:pPr>
              <w:pStyle w:val="a7"/>
              <w:ind w:left="0"/>
              <w:jc w:val="center"/>
              <w:rPr>
                <w:sz w:val="22"/>
                <w:lang w:val="uk-UA"/>
              </w:rPr>
            </w:pPr>
            <w:r w:rsidRPr="002045F5">
              <w:rPr>
                <w:sz w:val="22"/>
                <w:lang w:val="uk-UA"/>
              </w:rPr>
              <w:t>безкоштовно</w:t>
            </w:r>
          </w:p>
        </w:tc>
      </w:tr>
      <w:tr w:rsidR="00E95FB1" w:rsidRPr="002045F5" w:rsidTr="001B3967">
        <w:trPr>
          <w:trHeight w:val="150"/>
        </w:trPr>
        <w:tc>
          <w:tcPr>
            <w:tcW w:w="2978" w:type="dxa"/>
            <w:vMerge/>
            <w:shd w:val="clear" w:color="auto" w:fill="C6D9F1" w:themeFill="text2" w:themeFillTint="33"/>
          </w:tcPr>
          <w:p w:rsidR="00E95FB1" w:rsidRPr="002045F5" w:rsidRDefault="00E95FB1" w:rsidP="001B3967">
            <w:pPr>
              <w:pStyle w:val="a7"/>
              <w:ind w:left="0"/>
              <w:rPr>
                <w:b/>
                <w:sz w:val="22"/>
                <w:lang w:val="uk-UA"/>
              </w:rPr>
            </w:pPr>
          </w:p>
        </w:tc>
        <w:tc>
          <w:tcPr>
            <w:tcW w:w="2984" w:type="dxa"/>
            <w:gridSpan w:val="3"/>
            <w:tcBorders>
              <w:top w:val="single" w:sz="4" w:space="0" w:color="auto"/>
              <w:right w:val="single" w:sz="4" w:space="0" w:color="auto"/>
            </w:tcBorders>
          </w:tcPr>
          <w:p w:rsidR="00E95FB1" w:rsidRPr="002045F5" w:rsidRDefault="00E95FB1" w:rsidP="001B3967">
            <w:pPr>
              <w:pStyle w:val="a7"/>
              <w:ind w:left="0"/>
              <w:jc w:val="center"/>
              <w:rPr>
                <w:sz w:val="22"/>
                <w:lang w:val="uk-UA"/>
              </w:rPr>
            </w:pPr>
            <w:r w:rsidRPr="002045F5">
              <w:rPr>
                <w:sz w:val="22"/>
                <w:lang w:val="uk-UA"/>
              </w:rPr>
              <w:t>Термін надання послуги навчання</w:t>
            </w:r>
          </w:p>
        </w:tc>
        <w:tc>
          <w:tcPr>
            <w:tcW w:w="1843" w:type="dxa"/>
            <w:gridSpan w:val="3"/>
            <w:tcBorders>
              <w:top w:val="single" w:sz="4" w:space="0" w:color="auto"/>
              <w:left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років</w:t>
            </w:r>
          </w:p>
        </w:tc>
        <w:tc>
          <w:tcPr>
            <w:tcW w:w="2023" w:type="dxa"/>
            <w:gridSpan w:val="2"/>
            <w:tcBorders>
              <w:top w:val="single" w:sz="4" w:space="0" w:color="auto"/>
              <w:left w:val="single" w:sz="4" w:space="0" w:color="auto"/>
            </w:tcBorders>
          </w:tcPr>
          <w:p w:rsidR="00E95FB1" w:rsidRPr="002045F5" w:rsidRDefault="00E95FB1" w:rsidP="001B3967">
            <w:pPr>
              <w:pStyle w:val="a7"/>
              <w:ind w:left="0"/>
              <w:jc w:val="center"/>
              <w:rPr>
                <w:sz w:val="22"/>
                <w:lang w:val="uk-UA"/>
              </w:rPr>
            </w:pPr>
          </w:p>
          <w:p w:rsidR="00E95FB1" w:rsidRPr="002045F5" w:rsidRDefault="00E95FB1" w:rsidP="001B3967">
            <w:pPr>
              <w:pStyle w:val="a7"/>
              <w:ind w:left="0"/>
              <w:jc w:val="center"/>
              <w:rPr>
                <w:sz w:val="22"/>
                <w:lang w:val="uk-UA"/>
              </w:rPr>
            </w:pPr>
            <w:r w:rsidRPr="002045F5">
              <w:rPr>
                <w:sz w:val="22"/>
                <w:lang w:val="uk-UA"/>
              </w:rPr>
              <w:t>Від 4 до 11</w:t>
            </w:r>
          </w:p>
        </w:tc>
      </w:tr>
      <w:tr w:rsidR="00E95FB1" w:rsidRPr="002045F5" w:rsidTr="001B3967">
        <w:trPr>
          <w:trHeight w:val="150"/>
        </w:trPr>
        <w:tc>
          <w:tcPr>
            <w:tcW w:w="2978" w:type="dxa"/>
            <w:shd w:val="clear" w:color="auto" w:fill="C6D9F1" w:themeFill="text2" w:themeFillTint="33"/>
          </w:tcPr>
          <w:p w:rsidR="00E95FB1" w:rsidRPr="002045F5" w:rsidRDefault="00E95FB1" w:rsidP="001B3967">
            <w:pPr>
              <w:pStyle w:val="a7"/>
              <w:ind w:left="0"/>
              <w:rPr>
                <w:b/>
                <w:sz w:val="22"/>
                <w:lang w:val="uk-UA"/>
              </w:rPr>
            </w:pPr>
          </w:p>
        </w:tc>
        <w:tc>
          <w:tcPr>
            <w:tcW w:w="2984" w:type="dxa"/>
            <w:gridSpan w:val="3"/>
            <w:tcBorders>
              <w:top w:val="single" w:sz="4" w:space="0" w:color="auto"/>
              <w:right w:val="single" w:sz="4" w:space="0" w:color="auto"/>
            </w:tcBorders>
          </w:tcPr>
          <w:p w:rsidR="00E95FB1" w:rsidRPr="002045F5" w:rsidRDefault="00E95FB1" w:rsidP="00F073C2">
            <w:pPr>
              <w:pStyle w:val="a7"/>
              <w:ind w:left="0"/>
              <w:jc w:val="center"/>
              <w:rPr>
                <w:sz w:val="22"/>
                <w:lang w:val="uk-UA"/>
              </w:rPr>
            </w:pPr>
            <w:r w:rsidRPr="002045F5">
              <w:rPr>
                <w:sz w:val="22"/>
                <w:lang w:val="uk-UA"/>
              </w:rPr>
              <w:t>Кількість населених пунктів, як</w:t>
            </w:r>
            <w:r w:rsidR="00F073C2" w:rsidRPr="002045F5">
              <w:rPr>
                <w:sz w:val="22"/>
                <w:lang w:val="uk-UA"/>
              </w:rPr>
              <w:t>і</w:t>
            </w:r>
            <w:r w:rsidRPr="002045F5">
              <w:rPr>
                <w:sz w:val="22"/>
                <w:lang w:val="uk-UA"/>
              </w:rPr>
              <w:t xml:space="preserve"> обслуговує заклад</w:t>
            </w:r>
          </w:p>
        </w:tc>
        <w:tc>
          <w:tcPr>
            <w:tcW w:w="1843" w:type="dxa"/>
            <w:gridSpan w:val="3"/>
            <w:tcBorders>
              <w:top w:val="single" w:sz="4" w:space="0" w:color="auto"/>
              <w:left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одиниць</w:t>
            </w:r>
          </w:p>
        </w:tc>
        <w:tc>
          <w:tcPr>
            <w:tcW w:w="2023" w:type="dxa"/>
            <w:gridSpan w:val="2"/>
            <w:tcBorders>
              <w:top w:val="single" w:sz="4" w:space="0" w:color="auto"/>
              <w:left w:val="single" w:sz="4" w:space="0" w:color="auto"/>
            </w:tcBorders>
          </w:tcPr>
          <w:p w:rsidR="00E95FB1" w:rsidRPr="002045F5" w:rsidRDefault="00E95FB1" w:rsidP="001B3967">
            <w:pPr>
              <w:pStyle w:val="a7"/>
              <w:ind w:left="0"/>
              <w:jc w:val="center"/>
              <w:rPr>
                <w:sz w:val="22"/>
                <w:lang w:val="uk-UA"/>
              </w:rPr>
            </w:pPr>
          </w:p>
          <w:p w:rsidR="00E95FB1" w:rsidRPr="002045F5" w:rsidRDefault="00E95FB1" w:rsidP="001B3967">
            <w:pPr>
              <w:pStyle w:val="a7"/>
              <w:ind w:left="0"/>
              <w:jc w:val="center"/>
              <w:rPr>
                <w:sz w:val="22"/>
                <w:lang w:val="uk-UA"/>
              </w:rPr>
            </w:pPr>
          </w:p>
          <w:p w:rsidR="00E95FB1" w:rsidRPr="002045F5" w:rsidRDefault="00E95FB1" w:rsidP="001B3967">
            <w:pPr>
              <w:pStyle w:val="a7"/>
              <w:ind w:left="0"/>
              <w:jc w:val="center"/>
              <w:rPr>
                <w:sz w:val="22"/>
                <w:lang w:val="uk-UA"/>
              </w:rPr>
            </w:pPr>
            <w:r w:rsidRPr="002045F5">
              <w:rPr>
                <w:sz w:val="22"/>
                <w:lang w:val="uk-UA"/>
              </w:rPr>
              <w:t>5</w:t>
            </w:r>
          </w:p>
        </w:tc>
      </w:tr>
      <w:tr w:rsidR="00E95FB1" w:rsidRPr="002045F5" w:rsidTr="001B3967">
        <w:tc>
          <w:tcPr>
            <w:tcW w:w="2978" w:type="dxa"/>
            <w:shd w:val="clear" w:color="auto" w:fill="C6D9F1" w:themeFill="text2" w:themeFillTint="33"/>
          </w:tcPr>
          <w:p w:rsidR="00E95FB1" w:rsidRPr="002045F5" w:rsidRDefault="00E95FB1" w:rsidP="001B3967">
            <w:pPr>
              <w:rPr>
                <w:b/>
                <w:sz w:val="22"/>
                <w:lang w:val="uk-UA"/>
              </w:rPr>
            </w:pPr>
            <w:r w:rsidRPr="002045F5">
              <w:rPr>
                <w:b/>
                <w:sz w:val="22"/>
                <w:lang w:val="uk-UA"/>
              </w:rPr>
              <w:t xml:space="preserve">Ключові заходи проекту: </w:t>
            </w:r>
          </w:p>
          <w:p w:rsidR="00E95FB1" w:rsidRPr="002045F5" w:rsidRDefault="00E95FB1" w:rsidP="001B3967">
            <w:pPr>
              <w:pStyle w:val="a7"/>
              <w:ind w:left="0"/>
              <w:rPr>
                <w:b/>
                <w:sz w:val="22"/>
                <w:lang w:val="uk-UA"/>
              </w:rPr>
            </w:pPr>
          </w:p>
        </w:tc>
        <w:tc>
          <w:tcPr>
            <w:tcW w:w="6850" w:type="dxa"/>
            <w:gridSpan w:val="8"/>
          </w:tcPr>
          <w:p w:rsidR="00E95FB1" w:rsidRPr="002045F5" w:rsidRDefault="00E95FB1" w:rsidP="001B3967">
            <w:pPr>
              <w:pStyle w:val="a7"/>
              <w:ind w:left="0"/>
              <w:rPr>
                <w:sz w:val="22"/>
                <w:lang w:val="uk-UA"/>
              </w:rPr>
            </w:pPr>
            <w:r w:rsidRPr="002045F5">
              <w:rPr>
                <w:sz w:val="22"/>
                <w:lang w:val="uk-UA"/>
              </w:rPr>
              <w:t>- проведення інвентаризації основних засобів;</w:t>
            </w:r>
          </w:p>
          <w:p w:rsidR="00E95FB1" w:rsidRPr="002045F5" w:rsidRDefault="00E95FB1" w:rsidP="001B3967">
            <w:pPr>
              <w:pStyle w:val="a7"/>
              <w:ind w:left="0"/>
              <w:rPr>
                <w:sz w:val="22"/>
                <w:lang w:val="uk-UA"/>
              </w:rPr>
            </w:pPr>
            <w:r w:rsidRPr="002045F5">
              <w:rPr>
                <w:sz w:val="22"/>
                <w:lang w:val="uk-UA"/>
              </w:rPr>
              <w:t xml:space="preserve">- визначення кількості осіб, які потребують отримання мистецьких послуг; </w:t>
            </w:r>
          </w:p>
          <w:p w:rsidR="00E95FB1" w:rsidRPr="002045F5" w:rsidRDefault="00E95FB1" w:rsidP="001B3967">
            <w:pPr>
              <w:pStyle w:val="a7"/>
              <w:ind w:left="0"/>
              <w:rPr>
                <w:sz w:val="22"/>
                <w:lang w:val="uk-UA"/>
              </w:rPr>
            </w:pPr>
            <w:r w:rsidRPr="002045F5">
              <w:rPr>
                <w:sz w:val="22"/>
                <w:lang w:val="uk-UA"/>
              </w:rPr>
              <w:t>- придбання технічного забезпечення закладу;</w:t>
            </w:r>
          </w:p>
          <w:p w:rsidR="00E95FB1" w:rsidRPr="002045F5" w:rsidRDefault="00E95FB1" w:rsidP="001B3967">
            <w:pPr>
              <w:pStyle w:val="a7"/>
              <w:ind w:left="0"/>
              <w:rPr>
                <w:sz w:val="22"/>
                <w:lang w:val="uk-UA"/>
              </w:rPr>
            </w:pPr>
            <w:r w:rsidRPr="002045F5">
              <w:rPr>
                <w:sz w:val="22"/>
                <w:lang w:val="uk-UA"/>
              </w:rPr>
              <w:t>- придбання технологічного забезпечення;</w:t>
            </w:r>
          </w:p>
          <w:p w:rsidR="00E95FB1" w:rsidRPr="002045F5" w:rsidRDefault="00E95FB1" w:rsidP="001B3967">
            <w:pPr>
              <w:pStyle w:val="a7"/>
              <w:ind w:left="0"/>
              <w:rPr>
                <w:sz w:val="22"/>
                <w:lang w:val="uk-UA"/>
              </w:rPr>
            </w:pPr>
            <w:r w:rsidRPr="002045F5">
              <w:rPr>
                <w:sz w:val="22"/>
                <w:lang w:val="uk-UA"/>
              </w:rPr>
              <w:t>- придбання музично - інструментального забезпечення закладу;</w:t>
            </w:r>
          </w:p>
          <w:p w:rsidR="00E95FB1" w:rsidRPr="002045F5" w:rsidRDefault="00E95FB1" w:rsidP="001B3967">
            <w:pPr>
              <w:pStyle w:val="a7"/>
              <w:ind w:left="0"/>
              <w:rPr>
                <w:sz w:val="22"/>
                <w:lang w:val="uk-UA"/>
              </w:rPr>
            </w:pPr>
            <w:r w:rsidRPr="002045F5">
              <w:rPr>
                <w:sz w:val="22"/>
                <w:lang w:val="uk-UA"/>
              </w:rPr>
              <w:t>- організація та початок робочого процесу (навчання та проведення заходів).</w:t>
            </w:r>
          </w:p>
        </w:tc>
      </w:tr>
      <w:tr w:rsidR="00E95FB1" w:rsidRPr="002045F5" w:rsidTr="001B3967">
        <w:trPr>
          <w:trHeight w:val="360"/>
        </w:trPr>
        <w:tc>
          <w:tcPr>
            <w:tcW w:w="2978" w:type="dxa"/>
            <w:vMerge w:val="restart"/>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 xml:space="preserve">Орієнтовний обсяг та джерела фінансування, тис. грн. </w:t>
            </w:r>
          </w:p>
          <w:p w:rsidR="00E95FB1" w:rsidRPr="002045F5" w:rsidRDefault="00E95FB1" w:rsidP="001B3967">
            <w:pPr>
              <w:pStyle w:val="a7"/>
              <w:ind w:left="0"/>
              <w:rPr>
                <w:b/>
                <w:sz w:val="22"/>
                <w:lang w:val="uk-UA"/>
              </w:rPr>
            </w:pPr>
          </w:p>
        </w:tc>
        <w:tc>
          <w:tcPr>
            <w:tcW w:w="1319" w:type="dxa"/>
            <w:tcBorders>
              <w:bottom w:val="single" w:sz="4" w:space="0" w:color="auto"/>
              <w:right w:val="single" w:sz="4" w:space="0" w:color="auto"/>
            </w:tcBorders>
          </w:tcPr>
          <w:p w:rsidR="00E95FB1" w:rsidRPr="002045F5" w:rsidRDefault="00E95FB1" w:rsidP="001B3967">
            <w:pPr>
              <w:pStyle w:val="a7"/>
              <w:ind w:left="0"/>
              <w:jc w:val="center"/>
              <w:rPr>
                <w:b/>
                <w:sz w:val="22"/>
                <w:lang w:val="uk-UA"/>
              </w:rPr>
            </w:pPr>
            <w:r w:rsidRPr="002045F5">
              <w:rPr>
                <w:b/>
                <w:sz w:val="22"/>
                <w:lang w:val="uk-UA"/>
              </w:rPr>
              <w:t>Державний бюджет</w:t>
            </w:r>
          </w:p>
        </w:tc>
        <w:tc>
          <w:tcPr>
            <w:tcW w:w="1309" w:type="dxa"/>
            <w:tcBorders>
              <w:bottom w:val="single" w:sz="4" w:space="0" w:color="auto"/>
              <w:right w:val="single" w:sz="4" w:space="0" w:color="auto"/>
            </w:tcBorders>
          </w:tcPr>
          <w:p w:rsidR="00E95FB1" w:rsidRPr="002045F5" w:rsidRDefault="00E95FB1" w:rsidP="001B3967">
            <w:pPr>
              <w:pStyle w:val="a7"/>
              <w:ind w:left="0"/>
              <w:jc w:val="center"/>
              <w:rPr>
                <w:b/>
                <w:sz w:val="22"/>
                <w:lang w:val="uk-UA"/>
              </w:rPr>
            </w:pPr>
            <w:r w:rsidRPr="002045F5">
              <w:rPr>
                <w:b/>
                <w:sz w:val="22"/>
                <w:lang w:val="uk-UA"/>
              </w:rPr>
              <w:t>Місцевий бюджет</w:t>
            </w:r>
          </w:p>
        </w:tc>
        <w:tc>
          <w:tcPr>
            <w:tcW w:w="2806" w:type="dxa"/>
            <w:gridSpan w:val="5"/>
            <w:tcBorders>
              <w:left w:val="single" w:sz="4" w:space="0" w:color="auto"/>
              <w:bottom w:val="single" w:sz="4" w:space="0" w:color="auto"/>
              <w:right w:val="single" w:sz="4" w:space="0" w:color="auto"/>
            </w:tcBorders>
          </w:tcPr>
          <w:p w:rsidR="00E95FB1" w:rsidRPr="002045F5" w:rsidRDefault="00E95FB1" w:rsidP="001B3967">
            <w:pPr>
              <w:pStyle w:val="a7"/>
              <w:ind w:left="0"/>
              <w:jc w:val="center"/>
              <w:rPr>
                <w:b/>
                <w:sz w:val="22"/>
                <w:lang w:val="uk-UA"/>
              </w:rPr>
            </w:pPr>
            <w:r w:rsidRPr="002045F5">
              <w:rPr>
                <w:b/>
                <w:sz w:val="22"/>
                <w:lang w:val="uk-UA"/>
              </w:rPr>
              <w:t>Інші джерела</w:t>
            </w:r>
          </w:p>
        </w:tc>
        <w:tc>
          <w:tcPr>
            <w:tcW w:w="1416" w:type="dxa"/>
            <w:tcBorders>
              <w:left w:val="single" w:sz="4" w:space="0" w:color="auto"/>
              <w:bottom w:val="single" w:sz="4" w:space="0" w:color="auto"/>
            </w:tcBorders>
          </w:tcPr>
          <w:p w:rsidR="00E95FB1" w:rsidRPr="002045F5" w:rsidRDefault="00E95FB1" w:rsidP="001B3967">
            <w:pPr>
              <w:pStyle w:val="a7"/>
              <w:ind w:left="0"/>
              <w:jc w:val="center"/>
              <w:rPr>
                <w:b/>
                <w:sz w:val="22"/>
                <w:lang w:val="uk-UA"/>
              </w:rPr>
            </w:pPr>
            <w:r w:rsidRPr="002045F5">
              <w:rPr>
                <w:b/>
                <w:sz w:val="22"/>
                <w:lang w:val="uk-UA"/>
              </w:rPr>
              <w:t>Всього</w:t>
            </w:r>
          </w:p>
          <w:p w:rsidR="00E95FB1" w:rsidRPr="002045F5" w:rsidRDefault="00E95FB1" w:rsidP="001B3967">
            <w:pPr>
              <w:ind w:left="-79"/>
              <w:rPr>
                <w:b/>
                <w:sz w:val="22"/>
                <w:lang w:val="uk-UA"/>
              </w:rPr>
            </w:pPr>
            <w:r w:rsidRPr="002045F5">
              <w:rPr>
                <w:b/>
                <w:sz w:val="22"/>
                <w:lang w:val="uk-UA"/>
              </w:rPr>
              <w:t>тис. грн.</w:t>
            </w:r>
          </w:p>
          <w:p w:rsidR="00E95FB1" w:rsidRPr="002045F5" w:rsidRDefault="00E95FB1" w:rsidP="001B3967">
            <w:pPr>
              <w:pStyle w:val="a7"/>
              <w:ind w:left="0"/>
              <w:jc w:val="center"/>
              <w:rPr>
                <w:b/>
                <w:sz w:val="22"/>
                <w:lang w:val="uk-UA"/>
              </w:rPr>
            </w:pPr>
          </w:p>
        </w:tc>
      </w:tr>
      <w:tr w:rsidR="00E95FB1" w:rsidRPr="002045F5" w:rsidTr="001B3967">
        <w:trPr>
          <w:trHeight w:val="225"/>
        </w:trPr>
        <w:tc>
          <w:tcPr>
            <w:tcW w:w="2978" w:type="dxa"/>
            <w:vMerge/>
            <w:shd w:val="clear" w:color="auto" w:fill="C6D9F1" w:themeFill="text2" w:themeFillTint="33"/>
          </w:tcPr>
          <w:p w:rsidR="00E95FB1" w:rsidRPr="002045F5" w:rsidRDefault="00E95FB1" w:rsidP="001B3967">
            <w:pPr>
              <w:pStyle w:val="a7"/>
              <w:ind w:left="0"/>
              <w:rPr>
                <w:b/>
                <w:sz w:val="22"/>
                <w:lang w:val="uk-UA"/>
              </w:rPr>
            </w:pPr>
          </w:p>
        </w:tc>
        <w:tc>
          <w:tcPr>
            <w:tcW w:w="1319" w:type="dxa"/>
            <w:vMerge w:val="restart"/>
            <w:tcBorders>
              <w:top w:val="single" w:sz="4" w:space="0" w:color="auto"/>
              <w:right w:val="single" w:sz="4" w:space="0" w:color="auto"/>
            </w:tcBorders>
          </w:tcPr>
          <w:p w:rsidR="00E95FB1" w:rsidRPr="002045F5" w:rsidRDefault="002869DF" w:rsidP="001B3967">
            <w:pPr>
              <w:ind w:left="-79"/>
              <w:jc w:val="center"/>
              <w:rPr>
                <w:sz w:val="22"/>
              </w:rPr>
            </w:pPr>
            <w:r w:rsidRPr="002045F5">
              <w:rPr>
                <w:sz w:val="22"/>
              </w:rPr>
              <w:t>2160,699</w:t>
            </w:r>
          </w:p>
        </w:tc>
        <w:tc>
          <w:tcPr>
            <w:tcW w:w="1309" w:type="dxa"/>
            <w:vMerge w:val="restart"/>
            <w:tcBorders>
              <w:top w:val="single" w:sz="4" w:space="0" w:color="auto"/>
              <w:right w:val="single" w:sz="4" w:space="0" w:color="auto"/>
            </w:tcBorders>
          </w:tcPr>
          <w:p w:rsidR="00E95FB1" w:rsidRPr="002045F5" w:rsidRDefault="00E95FB1" w:rsidP="001B3967">
            <w:pPr>
              <w:pStyle w:val="a7"/>
              <w:ind w:left="0"/>
              <w:jc w:val="center"/>
              <w:rPr>
                <w:sz w:val="22"/>
                <w:lang w:val="uk-UA"/>
              </w:rPr>
            </w:pPr>
          </w:p>
        </w:tc>
        <w:tc>
          <w:tcPr>
            <w:tcW w:w="1349" w:type="dxa"/>
            <w:gridSpan w:val="3"/>
            <w:tcBorders>
              <w:top w:val="single" w:sz="4" w:space="0" w:color="auto"/>
              <w:left w:val="single" w:sz="4" w:space="0" w:color="auto"/>
              <w:bottom w:val="single" w:sz="4" w:space="0" w:color="auto"/>
              <w:right w:val="single" w:sz="4" w:space="0" w:color="auto"/>
            </w:tcBorders>
          </w:tcPr>
          <w:p w:rsidR="00E95FB1" w:rsidRPr="002045F5" w:rsidRDefault="00E95FB1" w:rsidP="001B3967">
            <w:pPr>
              <w:pStyle w:val="a7"/>
              <w:ind w:left="0"/>
              <w:jc w:val="center"/>
              <w:rPr>
                <w:sz w:val="22"/>
                <w:lang w:val="uk-UA"/>
              </w:rPr>
            </w:pPr>
            <w:r w:rsidRPr="002045F5">
              <w:rPr>
                <w:sz w:val="22"/>
                <w:lang w:val="uk-UA"/>
              </w:rPr>
              <w:t>Обсяг тис. грн.</w:t>
            </w:r>
          </w:p>
        </w:tc>
        <w:tc>
          <w:tcPr>
            <w:tcW w:w="1457" w:type="dxa"/>
            <w:gridSpan w:val="2"/>
            <w:tcBorders>
              <w:top w:val="single" w:sz="4" w:space="0" w:color="auto"/>
              <w:left w:val="single" w:sz="4" w:space="0" w:color="auto"/>
              <w:bottom w:val="single" w:sz="4" w:space="0" w:color="auto"/>
              <w:right w:val="single" w:sz="4" w:space="0" w:color="auto"/>
            </w:tcBorders>
          </w:tcPr>
          <w:p w:rsidR="00E95FB1" w:rsidRPr="002045F5" w:rsidRDefault="00E95FB1" w:rsidP="001B3967">
            <w:pPr>
              <w:pStyle w:val="a7"/>
              <w:ind w:left="0"/>
              <w:jc w:val="center"/>
              <w:rPr>
                <w:sz w:val="22"/>
                <w:lang w:val="uk-UA"/>
              </w:rPr>
            </w:pPr>
            <w:r w:rsidRPr="002045F5">
              <w:rPr>
                <w:sz w:val="22"/>
                <w:lang w:val="uk-UA"/>
              </w:rPr>
              <w:t>Назва джерела</w:t>
            </w:r>
          </w:p>
        </w:tc>
        <w:tc>
          <w:tcPr>
            <w:tcW w:w="1416" w:type="dxa"/>
            <w:vMerge w:val="restart"/>
            <w:tcBorders>
              <w:top w:val="single" w:sz="4" w:space="0" w:color="auto"/>
              <w:left w:val="single" w:sz="4" w:space="0" w:color="auto"/>
            </w:tcBorders>
          </w:tcPr>
          <w:p w:rsidR="00E95FB1" w:rsidRPr="002045F5" w:rsidRDefault="00E95FB1" w:rsidP="001B3967">
            <w:pPr>
              <w:pStyle w:val="a7"/>
              <w:ind w:left="0"/>
              <w:jc w:val="center"/>
              <w:rPr>
                <w:color w:val="FF0000"/>
                <w:sz w:val="22"/>
                <w:lang w:val="uk-UA"/>
              </w:rPr>
            </w:pPr>
            <w:r w:rsidRPr="002045F5">
              <w:rPr>
                <w:sz w:val="22"/>
                <w:lang w:val="uk-UA"/>
              </w:rPr>
              <w:t>3086,713</w:t>
            </w:r>
          </w:p>
        </w:tc>
      </w:tr>
      <w:tr w:rsidR="00E95FB1" w:rsidRPr="002045F5" w:rsidTr="001B3967">
        <w:trPr>
          <w:trHeight w:val="300"/>
        </w:trPr>
        <w:tc>
          <w:tcPr>
            <w:tcW w:w="2978" w:type="dxa"/>
            <w:vMerge/>
            <w:shd w:val="clear" w:color="auto" w:fill="C6D9F1" w:themeFill="text2" w:themeFillTint="33"/>
          </w:tcPr>
          <w:p w:rsidR="00E95FB1" w:rsidRPr="002045F5" w:rsidRDefault="00E95FB1" w:rsidP="001B3967">
            <w:pPr>
              <w:pStyle w:val="a7"/>
              <w:ind w:left="0"/>
              <w:rPr>
                <w:b/>
                <w:sz w:val="22"/>
                <w:lang w:val="uk-UA"/>
              </w:rPr>
            </w:pPr>
          </w:p>
        </w:tc>
        <w:tc>
          <w:tcPr>
            <w:tcW w:w="1319" w:type="dxa"/>
            <w:vMerge/>
            <w:tcBorders>
              <w:right w:val="single" w:sz="4" w:space="0" w:color="auto"/>
            </w:tcBorders>
          </w:tcPr>
          <w:p w:rsidR="00E95FB1" w:rsidRPr="002045F5" w:rsidRDefault="00E95FB1" w:rsidP="001B3967">
            <w:pPr>
              <w:pStyle w:val="a7"/>
              <w:ind w:left="0"/>
              <w:jc w:val="center"/>
              <w:rPr>
                <w:sz w:val="22"/>
                <w:lang w:val="uk-UA"/>
              </w:rPr>
            </w:pPr>
          </w:p>
        </w:tc>
        <w:tc>
          <w:tcPr>
            <w:tcW w:w="1309" w:type="dxa"/>
            <w:vMerge/>
            <w:tcBorders>
              <w:right w:val="single" w:sz="4" w:space="0" w:color="auto"/>
            </w:tcBorders>
          </w:tcPr>
          <w:p w:rsidR="00E95FB1" w:rsidRPr="002045F5" w:rsidRDefault="00E95FB1" w:rsidP="001B3967">
            <w:pPr>
              <w:pStyle w:val="a7"/>
              <w:ind w:left="0"/>
              <w:jc w:val="center"/>
              <w:rPr>
                <w:b/>
                <w:sz w:val="22"/>
                <w:lang w:val="uk-UA"/>
              </w:rPr>
            </w:pPr>
          </w:p>
        </w:tc>
        <w:tc>
          <w:tcPr>
            <w:tcW w:w="1349" w:type="dxa"/>
            <w:gridSpan w:val="3"/>
            <w:tcBorders>
              <w:top w:val="single" w:sz="4" w:space="0" w:color="auto"/>
              <w:left w:val="single" w:sz="4" w:space="0" w:color="auto"/>
              <w:right w:val="single" w:sz="4" w:space="0" w:color="auto"/>
            </w:tcBorders>
          </w:tcPr>
          <w:p w:rsidR="00E95FB1" w:rsidRPr="002045F5" w:rsidRDefault="002869DF" w:rsidP="001B3967">
            <w:pPr>
              <w:ind w:left="-79"/>
              <w:jc w:val="center"/>
              <w:rPr>
                <w:sz w:val="22"/>
              </w:rPr>
            </w:pPr>
            <w:r w:rsidRPr="002045F5">
              <w:rPr>
                <w:sz w:val="22"/>
              </w:rPr>
              <w:t>926,014</w:t>
            </w:r>
          </w:p>
        </w:tc>
        <w:tc>
          <w:tcPr>
            <w:tcW w:w="1457" w:type="dxa"/>
            <w:gridSpan w:val="2"/>
            <w:tcBorders>
              <w:top w:val="single" w:sz="4" w:space="0" w:color="auto"/>
              <w:left w:val="single" w:sz="4" w:space="0" w:color="auto"/>
              <w:right w:val="single" w:sz="4" w:space="0" w:color="auto"/>
            </w:tcBorders>
          </w:tcPr>
          <w:p w:rsidR="00E95FB1" w:rsidRPr="002045F5" w:rsidRDefault="00E95FB1" w:rsidP="001B3967">
            <w:pPr>
              <w:pStyle w:val="a7"/>
              <w:ind w:left="0"/>
              <w:jc w:val="center"/>
              <w:rPr>
                <w:sz w:val="22"/>
                <w:lang w:val="uk-UA"/>
              </w:rPr>
            </w:pPr>
            <w:r w:rsidRPr="002045F5">
              <w:rPr>
                <w:sz w:val="22"/>
                <w:lang w:val="uk-UA"/>
              </w:rPr>
              <w:t>Міжнародні інвестиції, кошти приватних осіб</w:t>
            </w:r>
          </w:p>
        </w:tc>
        <w:tc>
          <w:tcPr>
            <w:tcW w:w="1416" w:type="dxa"/>
            <w:vMerge/>
            <w:tcBorders>
              <w:left w:val="single" w:sz="4" w:space="0" w:color="auto"/>
            </w:tcBorders>
          </w:tcPr>
          <w:p w:rsidR="00E95FB1" w:rsidRPr="002045F5" w:rsidRDefault="00E95FB1" w:rsidP="001B3967">
            <w:pPr>
              <w:pStyle w:val="a7"/>
              <w:ind w:left="0"/>
              <w:jc w:val="center"/>
              <w:rPr>
                <w:sz w:val="22"/>
                <w:lang w:val="uk-UA"/>
              </w:rPr>
            </w:pPr>
          </w:p>
        </w:tc>
      </w:tr>
    </w:tbl>
    <w:p w:rsidR="00E95FB1" w:rsidRPr="002045F5" w:rsidRDefault="00E95FB1" w:rsidP="00E95FB1">
      <w:pPr>
        <w:rPr>
          <w:sz w:val="22"/>
        </w:rPr>
      </w:pPr>
    </w:p>
    <w:p w:rsidR="00E95FB1" w:rsidRPr="002045F5" w:rsidRDefault="00E95FB1" w:rsidP="00E95FB1">
      <w:pPr>
        <w:rPr>
          <w:sz w:val="22"/>
        </w:rPr>
      </w:pPr>
    </w:p>
    <w:tbl>
      <w:tblPr>
        <w:tblStyle w:val="af"/>
        <w:tblW w:w="9828" w:type="dxa"/>
        <w:tblInd w:w="-176" w:type="dxa"/>
        <w:tblLook w:val="04A0" w:firstRow="1" w:lastRow="0" w:firstColumn="1" w:lastColumn="0" w:noHBand="0" w:noVBand="1"/>
      </w:tblPr>
      <w:tblGrid>
        <w:gridCol w:w="2922"/>
        <w:gridCol w:w="1356"/>
        <w:gridCol w:w="1307"/>
        <w:gridCol w:w="949"/>
        <w:gridCol w:w="426"/>
        <w:gridCol w:w="1275"/>
        <w:gridCol w:w="177"/>
        <w:gridCol w:w="1416"/>
      </w:tblGrid>
      <w:tr w:rsidR="00E95FB1" w:rsidRPr="002045F5" w:rsidTr="001B3967">
        <w:tc>
          <w:tcPr>
            <w:tcW w:w="2978"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Оперативна ціль/завдання</w:t>
            </w:r>
          </w:p>
        </w:tc>
        <w:tc>
          <w:tcPr>
            <w:tcW w:w="6850" w:type="dxa"/>
            <w:gridSpan w:val="7"/>
            <w:shd w:val="clear" w:color="auto" w:fill="auto"/>
          </w:tcPr>
          <w:p w:rsidR="00E95FB1" w:rsidRPr="002045F5" w:rsidRDefault="00360D82" w:rsidP="001B3967">
            <w:pPr>
              <w:pStyle w:val="a7"/>
              <w:ind w:left="0"/>
              <w:rPr>
                <w:sz w:val="22"/>
                <w:lang w:val="uk-UA"/>
              </w:rPr>
            </w:pPr>
            <w:r w:rsidRPr="002045F5">
              <w:rPr>
                <w:rFonts w:eastAsia="Arial"/>
                <w:sz w:val="22"/>
                <w:lang w:val="uk-UA"/>
              </w:rPr>
              <w:t xml:space="preserve">Людський розвиток </w:t>
            </w:r>
            <w:r w:rsidR="00E95FB1" w:rsidRPr="002045F5">
              <w:rPr>
                <w:rFonts w:eastAsia="Arial"/>
                <w:sz w:val="22"/>
                <w:lang w:val="uk-UA"/>
              </w:rPr>
              <w:t>через інновації управління та довіру до влади</w:t>
            </w:r>
          </w:p>
          <w:p w:rsidR="00E95FB1" w:rsidRPr="002045F5" w:rsidRDefault="00E95FB1" w:rsidP="001B3967">
            <w:pPr>
              <w:tabs>
                <w:tab w:val="left" w:pos="442"/>
              </w:tabs>
              <w:rPr>
                <w:b/>
                <w:sz w:val="22"/>
                <w:lang w:val="uk-UA"/>
              </w:rPr>
            </w:pPr>
            <w:r w:rsidRPr="002045F5">
              <w:rPr>
                <w:rFonts w:eastAsia="Arial"/>
                <w:sz w:val="22"/>
                <w:lang w:val="uk-UA"/>
              </w:rPr>
              <w:t xml:space="preserve">Формування сучасного інклюзивного </w:t>
            </w:r>
            <w:proofErr w:type="spellStart"/>
            <w:r w:rsidRPr="002045F5">
              <w:rPr>
                <w:rFonts w:eastAsia="Arial"/>
                <w:sz w:val="22"/>
                <w:lang w:val="uk-UA"/>
              </w:rPr>
              <w:t>освітньо</w:t>
            </w:r>
            <w:proofErr w:type="spellEnd"/>
            <w:r w:rsidRPr="002045F5">
              <w:rPr>
                <w:rFonts w:eastAsia="Arial"/>
                <w:sz w:val="22"/>
                <w:lang w:val="uk-UA"/>
              </w:rPr>
              <w:t xml:space="preserve"> – культурного та спортивного простору для розвитку</w:t>
            </w:r>
            <w:r w:rsidRPr="002045F5">
              <w:rPr>
                <w:b/>
                <w:sz w:val="22"/>
                <w:lang w:val="uk-UA"/>
              </w:rPr>
              <w:t xml:space="preserve"> </w:t>
            </w:r>
          </w:p>
        </w:tc>
      </w:tr>
      <w:tr w:rsidR="00E95FB1" w:rsidRPr="002045F5" w:rsidTr="001B3967">
        <w:tc>
          <w:tcPr>
            <w:tcW w:w="2978"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Назва проекту:</w:t>
            </w:r>
          </w:p>
        </w:tc>
        <w:tc>
          <w:tcPr>
            <w:tcW w:w="6850" w:type="dxa"/>
            <w:gridSpan w:val="7"/>
          </w:tcPr>
          <w:p w:rsidR="00E95FB1" w:rsidRPr="002045F5" w:rsidRDefault="00E95FB1" w:rsidP="001B3967">
            <w:pPr>
              <w:pStyle w:val="a7"/>
              <w:ind w:left="0"/>
              <w:rPr>
                <w:sz w:val="22"/>
                <w:lang w:val="uk-UA"/>
              </w:rPr>
            </w:pPr>
            <w:r w:rsidRPr="002045F5">
              <w:rPr>
                <w:sz w:val="22"/>
                <w:lang w:val="uk-UA"/>
              </w:rPr>
              <w:t>Відновлення діяльності Комунального Закладу «Сєвєродонецька музична школа№1»</w:t>
            </w:r>
          </w:p>
        </w:tc>
      </w:tr>
      <w:tr w:rsidR="00E95FB1" w:rsidRPr="002045F5" w:rsidTr="001B3967">
        <w:tc>
          <w:tcPr>
            <w:tcW w:w="2978" w:type="dxa"/>
            <w:shd w:val="clear" w:color="auto" w:fill="C6D9F1" w:themeFill="text2" w:themeFillTint="33"/>
          </w:tcPr>
          <w:p w:rsidR="00E95FB1" w:rsidRPr="002045F5" w:rsidRDefault="00E95FB1" w:rsidP="001B3967">
            <w:pPr>
              <w:rPr>
                <w:b/>
                <w:sz w:val="22"/>
                <w:lang w:val="uk-UA"/>
              </w:rPr>
            </w:pPr>
            <w:r w:rsidRPr="002045F5">
              <w:rPr>
                <w:b/>
                <w:sz w:val="22"/>
                <w:lang w:val="uk-UA"/>
              </w:rPr>
              <w:t>Ціль проекту</w:t>
            </w:r>
          </w:p>
        </w:tc>
        <w:tc>
          <w:tcPr>
            <w:tcW w:w="6850" w:type="dxa"/>
            <w:gridSpan w:val="7"/>
          </w:tcPr>
          <w:p w:rsidR="00E95FB1" w:rsidRPr="002045F5" w:rsidRDefault="00E95FB1" w:rsidP="00660B25">
            <w:pPr>
              <w:pStyle w:val="a7"/>
              <w:ind w:left="0"/>
              <w:rPr>
                <w:sz w:val="22"/>
                <w:lang w:val="uk-UA"/>
              </w:rPr>
            </w:pPr>
            <w:r w:rsidRPr="002045F5">
              <w:rPr>
                <w:sz w:val="22"/>
                <w:lang w:val="uk-UA"/>
              </w:rPr>
              <w:t xml:space="preserve">Відновити та покращити роботу Комунального Закладу «Сєвєродонецька музична школа№1» для надання широкого спектру </w:t>
            </w:r>
            <w:r w:rsidRPr="002045F5">
              <w:rPr>
                <w:sz w:val="22"/>
                <w:lang w:val="uk-UA"/>
              </w:rPr>
              <w:lastRenderedPageBreak/>
              <w:t xml:space="preserve">послуг, пов’язаних із якістю початкової мистецької освіти та задоволення потреб мешканців Сєвєродонецької міської територіальної громади у необхідних послугах (або створенні умов для реалізації індивідуальних освітніх траєкторій здобувачів в межах освітніх програм, набуття ними відповідних </w:t>
            </w:r>
            <w:proofErr w:type="spellStart"/>
            <w:r w:rsidRPr="002045F5">
              <w:rPr>
                <w:sz w:val="22"/>
                <w:lang w:val="uk-UA"/>
              </w:rPr>
              <w:t>компетентностей</w:t>
            </w:r>
            <w:proofErr w:type="spellEnd"/>
            <w:r w:rsidRPr="002045F5">
              <w:rPr>
                <w:sz w:val="22"/>
                <w:lang w:val="uk-UA"/>
              </w:rPr>
              <w:t>).</w:t>
            </w:r>
          </w:p>
        </w:tc>
      </w:tr>
      <w:tr w:rsidR="00E95FB1" w:rsidRPr="002045F5" w:rsidTr="001B3967">
        <w:tc>
          <w:tcPr>
            <w:tcW w:w="2978"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lastRenderedPageBreak/>
              <w:t>Територія, на яку матиме вплив реалізація проекту</w:t>
            </w:r>
          </w:p>
        </w:tc>
        <w:tc>
          <w:tcPr>
            <w:tcW w:w="6850" w:type="dxa"/>
            <w:gridSpan w:val="7"/>
          </w:tcPr>
          <w:p w:rsidR="00E95FB1" w:rsidRPr="002045F5" w:rsidRDefault="00E95FB1" w:rsidP="001B3967">
            <w:pPr>
              <w:pStyle w:val="a7"/>
              <w:ind w:left="0"/>
              <w:rPr>
                <w:sz w:val="22"/>
                <w:lang w:val="uk-UA"/>
              </w:rPr>
            </w:pPr>
            <w:r w:rsidRPr="002045F5">
              <w:rPr>
                <w:sz w:val="22"/>
                <w:lang w:val="uk-UA"/>
              </w:rPr>
              <w:t>Сєвєродонецька міська територіальна громада</w:t>
            </w:r>
          </w:p>
        </w:tc>
      </w:tr>
      <w:tr w:rsidR="00E95FB1" w:rsidRPr="002045F5" w:rsidTr="001B3967">
        <w:tc>
          <w:tcPr>
            <w:tcW w:w="2978"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Чисельність населення, на яке матиме вплив реалізація проекту</w:t>
            </w:r>
          </w:p>
        </w:tc>
        <w:tc>
          <w:tcPr>
            <w:tcW w:w="6850" w:type="dxa"/>
            <w:gridSpan w:val="7"/>
          </w:tcPr>
          <w:p w:rsidR="00E95FB1" w:rsidRPr="002045F5" w:rsidRDefault="00E95FB1" w:rsidP="001B3967">
            <w:pPr>
              <w:pStyle w:val="a7"/>
              <w:ind w:left="0"/>
              <w:rPr>
                <w:sz w:val="22"/>
                <w:lang w:val="uk-UA"/>
              </w:rPr>
            </w:pPr>
          </w:p>
          <w:p w:rsidR="00E95FB1" w:rsidRPr="002045F5" w:rsidRDefault="00E95FB1" w:rsidP="001B3967">
            <w:pPr>
              <w:pStyle w:val="a7"/>
              <w:ind w:left="0"/>
              <w:rPr>
                <w:b/>
                <w:sz w:val="22"/>
                <w:lang w:val="uk-UA"/>
              </w:rPr>
            </w:pPr>
            <w:r w:rsidRPr="002045F5">
              <w:rPr>
                <w:sz w:val="22"/>
                <w:lang w:val="uk-UA"/>
              </w:rPr>
              <w:t>110 000</w:t>
            </w:r>
          </w:p>
        </w:tc>
      </w:tr>
      <w:tr w:rsidR="00E95FB1" w:rsidRPr="002045F5" w:rsidTr="001B3967">
        <w:tc>
          <w:tcPr>
            <w:tcW w:w="2978" w:type="dxa"/>
            <w:shd w:val="clear" w:color="auto" w:fill="C6D9F1" w:themeFill="text2" w:themeFillTint="33"/>
          </w:tcPr>
          <w:p w:rsidR="00E95FB1" w:rsidRPr="002045F5" w:rsidRDefault="00E95FB1" w:rsidP="001B3967">
            <w:pPr>
              <w:rPr>
                <w:b/>
                <w:sz w:val="22"/>
                <w:lang w:val="uk-UA"/>
              </w:rPr>
            </w:pPr>
            <w:r w:rsidRPr="002045F5">
              <w:rPr>
                <w:b/>
                <w:sz w:val="22"/>
                <w:lang w:val="uk-UA"/>
              </w:rPr>
              <w:t>Опис проблеми, на вирішення якої  спрямований проект</w:t>
            </w:r>
          </w:p>
        </w:tc>
        <w:tc>
          <w:tcPr>
            <w:tcW w:w="6850" w:type="dxa"/>
            <w:gridSpan w:val="7"/>
          </w:tcPr>
          <w:p w:rsidR="00E95FB1" w:rsidRPr="002045F5" w:rsidRDefault="00E95FB1" w:rsidP="001B3967">
            <w:pPr>
              <w:ind w:firstLine="708"/>
              <w:rPr>
                <w:sz w:val="22"/>
                <w:lang w:val="uk-UA"/>
              </w:rPr>
            </w:pPr>
            <w:r w:rsidRPr="002045F5">
              <w:rPr>
                <w:sz w:val="22"/>
                <w:lang w:val="uk-UA"/>
              </w:rPr>
              <w:t>Через військову агресію РФ територія Сєвєродонецької міської територіальної громади зазнала значних пошкоджень. Не оминуло це і Комунальний Заклад  «Сєвєродонецька музична школа№1».</w:t>
            </w:r>
          </w:p>
          <w:p w:rsidR="00E95FB1" w:rsidRPr="002045F5" w:rsidRDefault="00E95FB1" w:rsidP="001B3967">
            <w:pPr>
              <w:ind w:firstLine="708"/>
              <w:rPr>
                <w:sz w:val="22"/>
                <w:lang w:val="uk-UA"/>
              </w:rPr>
            </w:pPr>
            <w:r w:rsidRPr="002045F5">
              <w:rPr>
                <w:sz w:val="22"/>
                <w:lang w:val="uk-UA"/>
              </w:rPr>
              <w:t>Вся матеріально-технічна база потребує забезпечення</w:t>
            </w:r>
            <w:r w:rsidR="009D6CC6" w:rsidRPr="002045F5">
              <w:rPr>
                <w:sz w:val="22"/>
                <w:lang w:val="uk-UA"/>
              </w:rPr>
              <w:t>,</w:t>
            </w:r>
            <w:r w:rsidRPr="002045F5">
              <w:rPr>
                <w:sz w:val="22"/>
                <w:lang w:val="uk-UA"/>
              </w:rPr>
              <w:t xml:space="preserve"> необхідного для діяльності закладу, зокрема:</w:t>
            </w:r>
          </w:p>
          <w:p w:rsidR="00E95FB1" w:rsidRPr="002045F5" w:rsidRDefault="00E95FB1" w:rsidP="000303D7">
            <w:pPr>
              <w:numPr>
                <w:ilvl w:val="0"/>
                <w:numId w:val="9"/>
              </w:numPr>
              <w:rPr>
                <w:sz w:val="22"/>
                <w:lang w:val="uk-UA"/>
              </w:rPr>
            </w:pPr>
            <w:r w:rsidRPr="002045F5">
              <w:rPr>
                <w:sz w:val="22"/>
                <w:lang w:val="uk-UA"/>
              </w:rPr>
              <w:t>обладнання (устаткування);</w:t>
            </w:r>
          </w:p>
          <w:p w:rsidR="00E95FB1" w:rsidRPr="002045F5" w:rsidRDefault="00E95FB1" w:rsidP="000303D7">
            <w:pPr>
              <w:numPr>
                <w:ilvl w:val="0"/>
                <w:numId w:val="9"/>
              </w:numPr>
              <w:rPr>
                <w:sz w:val="22"/>
                <w:lang w:val="uk-UA"/>
              </w:rPr>
            </w:pPr>
            <w:r w:rsidRPr="002045F5">
              <w:rPr>
                <w:sz w:val="22"/>
                <w:lang w:val="uk-UA"/>
              </w:rPr>
              <w:t>обчислювальна техніка із відповідним програмним забезпеченням;</w:t>
            </w:r>
          </w:p>
          <w:p w:rsidR="00E95FB1" w:rsidRPr="002045F5" w:rsidRDefault="00E95FB1" w:rsidP="000303D7">
            <w:pPr>
              <w:numPr>
                <w:ilvl w:val="0"/>
                <w:numId w:val="9"/>
              </w:numPr>
              <w:rPr>
                <w:sz w:val="22"/>
                <w:lang w:val="uk-UA"/>
              </w:rPr>
            </w:pPr>
            <w:r w:rsidRPr="002045F5">
              <w:rPr>
                <w:sz w:val="22"/>
                <w:lang w:val="uk-UA"/>
              </w:rPr>
              <w:t>інша оргтехніка (монітори, комп’ютери, принтери, сканери,</w:t>
            </w:r>
            <w:r w:rsidR="009D6CC6" w:rsidRPr="002045F5">
              <w:rPr>
                <w:sz w:val="22"/>
                <w:lang w:val="uk-UA"/>
              </w:rPr>
              <w:t xml:space="preserve"> </w:t>
            </w:r>
            <w:r w:rsidRPr="002045F5">
              <w:rPr>
                <w:sz w:val="22"/>
                <w:lang w:val="uk-UA"/>
              </w:rPr>
              <w:t>інтерактивні дошки);</w:t>
            </w:r>
          </w:p>
          <w:p w:rsidR="00E95FB1" w:rsidRPr="002045F5" w:rsidRDefault="00E95FB1" w:rsidP="000303D7">
            <w:pPr>
              <w:pStyle w:val="13"/>
              <w:numPr>
                <w:ilvl w:val="0"/>
                <w:numId w:val="9"/>
              </w:numPr>
              <w:jc w:val="both"/>
              <w:rPr>
                <w:sz w:val="22"/>
                <w:lang w:val="uk-UA"/>
              </w:rPr>
            </w:pPr>
            <w:r w:rsidRPr="002045F5">
              <w:rPr>
                <w:sz w:val="22"/>
                <w:lang w:val="uk-UA"/>
              </w:rPr>
              <w:t>основні засоби (офісні меблі, сейф, музичні інструменти, бібліотечний нотний фонд, концертне обладнання) були знищені або викрадені.</w:t>
            </w:r>
          </w:p>
          <w:p w:rsidR="00E95FB1" w:rsidRPr="002045F5" w:rsidRDefault="00E95FB1" w:rsidP="001B3967">
            <w:pPr>
              <w:pStyle w:val="13"/>
              <w:jc w:val="both"/>
              <w:rPr>
                <w:sz w:val="22"/>
                <w:lang w:val="uk-UA"/>
              </w:rPr>
            </w:pPr>
            <w:r w:rsidRPr="002045F5">
              <w:rPr>
                <w:rFonts w:eastAsia="Arial"/>
                <w:sz w:val="22"/>
                <w:lang w:val="uk-UA"/>
              </w:rPr>
              <w:t xml:space="preserve">            Для відбудови та сталого розвитку громади потрібне відновлення роботи мережі закладів позашкільної освіти, а саме </w:t>
            </w:r>
            <w:r w:rsidRPr="002045F5">
              <w:rPr>
                <w:sz w:val="22"/>
                <w:lang w:val="uk-UA"/>
              </w:rPr>
              <w:t xml:space="preserve">Комунального Закладу  «Сєвєродонецька музична школа №1». </w:t>
            </w:r>
            <w:r w:rsidRPr="002045F5">
              <w:rPr>
                <w:rFonts w:eastAsia="Arial"/>
                <w:sz w:val="22"/>
                <w:lang w:val="uk-UA"/>
              </w:rPr>
              <w:t xml:space="preserve">Мешканці громади потребують в отриманні якісних освітніх послуг, які відповідають нормам сучасності. </w:t>
            </w:r>
          </w:p>
        </w:tc>
      </w:tr>
      <w:tr w:rsidR="00E95FB1" w:rsidRPr="002045F5" w:rsidTr="001B3967">
        <w:tc>
          <w:tcPr>
            <w:tcW w:w="2978"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Очікувані якісні результати від реалізації проекту</w:t>
            </w:r>
          </w:p>
        </w:tc>
        <w:tc>
          <w:tcPr>
            <w:tcW w:w="6850" w:type="dxa"/>
            <w:gridSpan w:val="7"/>
          </w:tcPr>
          <w:p w:rsidR="00E95FB1" w:rsidRPr="002045F5" w:rsidRDefault="00E95FB1" w:rsidP="001B3967">
            <w:pPr>
              <w:pStyle w:val="af7"/>
              <w:rPr>
                <w:b/>
                <w:color w:val="000000" w:themeColor="text1"/>
                <w:sz w:val="22"/>
                <w:lang w:val="uk-UA"/>
              </w:rPr>
            </w:pPr>
            <w:r w:rsidRPr="002045F5">
              <w:rPr>
                <w:sz w:val="22"/>
                <w:lang w:val="uk-UA"/>
              </w:rPr>
              <w:t xml:space="preserve">- забезпечення населення можливостями для реалізації його конституційних прав, пов'язаних  із </w:t>
            </w:r>
            <w:r w:rsidRPr="002045F5">
              <w:rPr>
                <w:rStyle w:val="10"/>
                <w:b w:val="0"/>
                <w:color w:val="000000" w:themeColor="text1"/>
                <w:sz w:val="22"/>
                <w:lang w:val="uk-UA"/>
              </w:rPr>
              <w:t>правом на позашкільну освіту</w:t>
            </w:r>
            <w:r w:rsidRPr="002045F5">
              <w:rPr>
                <w:b/>
                <w:sz w:val="22"/>
                <w:lang w:val="uk-UA"/>
              </w:rPr>
              <w:t>;</w:t>
            </w:r>
          </w:p>
          <w:p w:rsidR="00E95FB1" w:rsidRPr="002045F5" w:rsidRDefault="00E95FB1" w:rsidP="001B3967">
            <w:pPr>
              <w:pStyle w:val="a7"/>
              <w:ind w:left="0"/>
              <w:rPr>
                <w:b/>
                <w:sz w:val="22"/>
                <w:lang w:val="uk-UA"/>
              </w:rPr>
            </w:pPr>
            <w:r w:rsidRPr="002045F5">
              <w:rPr>
                <w:sz w:val="22"/>
                <w:lang w:val="uk-UA"/>
              </w:rPr>
              <w:t xml:space="preserve">- надання широкого спектру мистецьких послуг, пов’язаних із </w:t>
            </w:r>
            <w:r w:rsidRPr="002045F5">
              <w:rPr>
                <w:rStyle w:val="10"/>
                <w:b w:val="0"/>
                <w:color w:val="000000" w:themeColor="text1"/>
                <w:sz w:val="22"/>
                <w:lang w:val="uk-UA"/>
              </w:rPr>
              <w:t>можливостями доступу людини до духовних цінностей свого народу (нації) та всього людства</w:t>
            </w:r>
            <w:r w:rsidRPr="002045F5">
              <w:rPr>
                <w:b/>
                <w:sz w:val="22"/>
                <w:lang w:val="uk-UA"/>
              </w:rPr>
              <w:t xml:space="preserve">; </w:t>
            </w:r>
            <w:r w:rsidRPr="002045F5">
              <w:rPr>
                <w:rStyle w:val="10"/>
                <w:b w:val="0"/>
                <w:color w:val="000000" w:themeColor="text1"/>
                <w:sz w:val="22"/>
                <w:lang w:val="uk-UA"/>
              </w:rPr>
              <w:t xml:space="preserve">розвитку української нації, її історичної свідомості, традицій і культури, а також розвитку етнічної, культурної, </w:t>
            </w:r>
            <w:proofErr w:type="spellStart"/>
            <w:r w:rsidRPr="002045F5">
              <w:rPr>
                <w:rStyle w:val="10"/>
                <w:b w:val="0"/>
                <w:color w:val="000000" w:themeColor="text1"/>
                <w:sz w:val="22"/>
                <w:lang w:val="uk-UA"/>
              </w:rPr>
              <w:t>мовної</w:t>
            </w:r>
            <w:proofErr w:type="spellEnd"/>
            <w:r w:rsidRPr="002045F5">
              <w:rPr>
                <w:rStyle w:val="10"/>
                <w:b w:val="0"/>
                <w:color w:val="000000" w:themeColor="text1"/>
                <w:sz w:val="22"/>
                <w:lang w:val="uk-UA"/>
              </w:rPr>
              <w:t xml:space="preserve"> та релігійної самобутності всіх корінних народів і національних меншин України</w:t>
            </w:r>
          </w:p>
          <w:p w:rsidR="00E95FB1" w:rsidRPr="002045F5" w:rsidRDefault="00E95FB1" w:rsidP="001B3967">
            <w:pPr>
              <w:pStyle w:val="a7"/>
              <w:ind w:left="0"/>
              <w:rPr>
                <w:sz w:val="22"/>
                <w:lang w:val="uk-UA"/>
              </w:rPr>
            </w:pPr>
            <w:r w:rsidRPr="002045F5">
              <w:rPr>
                <w:sz w:val="22"/>
                <w:lang w:val="uk-UA"/>
              </w:rPr>
              <w:t>- вирішення ряду питань в межах статутної діяльності, пов’язаних із відбудовою та сталим розвитком громади;</w:t>
            </w:r>
          </w:p>
          <w:p w:rsidR="00E95FB1" w:rsidRPr="002045F5" w:rsidRDefault="00E95FB1" w:rsidP="001B3967">
            <w:pPr>
              <w:widowControl w:val="0"/>
              <w:shd w:val="clear" w:color="auto" w:fill="FFFFFF"/>
              <w:suppressAutoHyphens/>
              <w:rPr>
                <w:sz w:val="22"/>
                <w:lang w:val="uk-UA"/>
              </w:rPr>
            </w:pPr>
            <w:r w:rsidRPr="002045F5">
              <w:rPr>
                <w:sz w:val="22"/>
                <w:lang w:val="uk-UA"/>
              </w:rPr>
              <w:t xml:space="preserve">- створення умов для реалізації індивідуальних освітніх траєкторій здобувачів в межах освітніх програм, набуття ними відповідних </w:t>
            </w:r>
            <w:proofErr w:type="spellStart"/>
            <w:r w:rsidRPr="002045F5">
              <w:rPr>
                <w:sz w:val="22"/>
                <w:lang w:val="uk-UA"/>
              </w:rPr>
              <w:t>компетентностей</w:t>
            </w:r>
            <w:proofErr w:type="spellEnd"/>
            <w:r w:rsidRPr="002045F5">
              <w:rPr>
                <w:sz w:val="22"/>
                <w:lang w:val="uk-UA"/>
              </w:rPr>
              <w:t>;</w:t>
            </w:r>
          </w:p>
          <w:p w:rsidR="00E95FB1" w:rsidRPr="002045F5" w:rsidRDefault="00E95FB1" w:rsidP="001B3967">
            <w:pPr>
              <w:pStyle w:val="a7"/>
              <w:ind w:left="0"/>
              <w:rPr>
                <w:sz w:val="22"/>
                <w:lang w:val="uk-UA"/>
              </w:rPr>
            </w:pPr>
            <w:r w:rsidRPr="002045F5">
              <w:rPr>
                <w:sz w:val="22"/>
                <w:lang w:val="uk-UA"/>
              </w:rPr>
              <w:t>- стимул до повернення ВПО до громади.</w:t>
            </w:r>
          </w:p>
        </w:tc>
      </w:tr>
      <w:tr w:rsidR="00E95FB1" w:rsidRPr="002045F5" w:rsidTr="001B3967">
        <w:trPr>
          <w:trHeight w:val="390"/>
        </w:trPr>
        <w:tc>
          <w:tcPr>
            <w:tcW w:w="2978" w:type="dxa"/>
            <w:vMerge w:val="restart"/>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 xml:space="preserve">Очікувані кількісні результати реалізації </w:t>
            </w:r>
            <w:proofErr w:type="spellStart"/>
            <w:r w:rsidRPr="002045F5">
              <w:rPr>
                <w:b/>
                <w:sz w:val="22"/>
                <w:lang w:val="uk-UA"/>
              </w:rPr>
              <w:t>проєкту</w:t>
            </w:r>
            <w:proofErr w:type="spellEnd"/>
            <w:r w:rsidRPr="002045F5">
              <w:rPr>
                <w:b/>
                <w:sz w:val="22"/>
                <w:lang w:val="uk-UA"/>
              </w:rPr>
              <w:t xml:space="preserve"> (індикатори)</w:t>
            </w:r>
          </w:p>
          <w:p w:rsidR="00E95FB1" w:rsidRPr="002045F5" w:rsidRDefault="00E95FB1" w:rsidP="001B3967">
            <w:pPr>
              <w:pStyle w:val="a7"/>
              <w:ind w:left="0"/>
              <w:rPr>
                <w:b/>
                <w:sz w:val="22"/>
                <w:lang w:val="uk-UA"/>
              </w:rPr>
            </w:pPr>
          </w:p>
        </w:tc>
        <w:tc>
          <w:tcPr>
            <w:tcW w:w="3551" w:type="dxa"/>
            <w:gridSpan w:val="3"/>
            <w:tcBorders>
              <w:bottom w:val="single" w:sz="4" w:space="0" w:color="auto"/>
              <w:right w:val="single" w:sz="4" w:space="0" w:color="auto"/>
            </w:tcBorders>
          </w:tcPr>
          <w:p w:rsidR="00E95FB1" w:rsidRPr="002045F5" w:rsidRDefault="00E95FB1" w:rsidP="001B3967">
            <w:pPr>
              <w:pStyle w:val="a7"/>
              <w:ind w:left="-108"/>
              <w:jc w:val="center"/>
              <w:rPr>
                <w:b/>
                <w:sz w:val="22"/>
                <w:lang w:val="uk-UA"/>
              </w:rPr>
            </w:pPr>
            <w:r w:rsidRPr="002045F5">
              <w:rPr>
                <w:b/>
                <w:sz w:val="22"/>
                <w:lang w:val="uk-UA"/>
              </w:rPr>
              <w:t>Найменування показника</w:t>
            </w:r>
          </w:p>
        </w:tc>
        <w:tc>
          <w:tcPr>
            <w:tcW w:w="1701" w:type="dxa"/>
            <w:gridSpan w:val="2"/>
            <w:tcBorders>
              <w:left w:val="single" w:sz="4" w:space="0" w:color="auto"/>
              <w:bottom w:val="single" w:sz="4" w:space="0" w:color="auto"/>
              <w:right w:val="single" w:sz="4" w:space="0" w:color="auto"/>
            </w:tcBorders>
          </w:tcPr>
          <w:p w:rsidR="00E95FB1" w:rsidRPr="002045F5" w:rsidRDefault="00E95FB1" w:rsidP="001B3967">
            <w:pPr>
              <w:pStyle w:val="a7"/>
              <w:ind w:left="0"/>
              <w:jc w:val="center"/>
              <w:rPr>
                <w:b/>
                <w:sz w:val="22"/>
                <w:lang w:val="uk-UA"/>
              </w:rPr>
            </w:pPr>
            <w:r w:rsidRPr="002045F5">
              <w:rPr>
                <w:b/>
                <w:sz w:val="22"/>
                <w:lang w:val="uk-UA"/>
              </w:rPr>
              <w:t>Одиниця вимірювання</w:t>
            </w:r>
          </w:p>
          <w:p w:rsidR="00E95FB1" w:rsidRPr="002045F5" w:rsidRDefault="00E95FB1" w:rsidP="001B3967">
            <w:pPr>
              <w:pStyle w:val="a7"/>
              <w:ind w:left="0"/>
              <w:rPr>
                <w:b/>
                <w:sz w:val="22"/>
                <w:lang w:val="uk-UA"/>
              </w:rPr>
            </w:pPr>
          </w:p>
        </w:tc>
        <w:tc>
          <w:tcPr>
            <w:tcW w:w="1598" w:type="dxa"/>
            <w:gridSpan w:val="2"/>
            <w:tcBorders>
              <w:left w:val="single" w:sz="4" w:space="0" w:color="auto"/>
              <w:bottom w:val="single" w:sz="4" w:space="0" w:color="auto"/>
            </w:tcBorders>
          </w:tcPr>
          <w:p w:rsidR="00E95FB1" w:rsidRPr="002045F5" w:rsidRDefault="00E95FB1" w:rsidP="001B3967">
            <w:pPr>
              <w:pStyle w:val="a7"/>
              <w:ind w:left="0"/>
              <w:jc w:val="center"/>
              <w:rPr>
                <w:b/>
                <w:sz w:val="22"/>
                <w:lang w:val="uk-UA"/>
              </w:rPr>
            </w:pPr>
            <w:r w:rsidRPr="002045F5">
              <w:rPr>
                <w:b/>
                <w:sz w:val="22"/>
                <w:lang w:val="uk-UA"/>
              </w:rPr>
              <w:t>Прогнозне (цільове) значення</w:t>
            </w:r>
          </w:p>
        </w:tc>
      </w:tr>
      <w:tr w:rsidR="00E95FB1" w:rsidRPr="002045F5" w:rsidTr="001B3967">
        <w:trPr>
          <w:trHeight w:val="585"/>
        </w:trPr>
        <w:tc>
          <w:tcPr>
            <w:tcW w:w="2978" w:type="dxa"/>
            <w:vMerge/>
            <w:shd w:val="clear" w:color="auto" w:fill="C6D9F1" w:themeFill="text2" w:themeFillTint="33"/>
          </w:tcPr>
          <w:p w:rsidR="00E95FB1" w:rsidRPr="002045F5" w:rsidRDefault="00E95FB1" w:rsidP="001B3967">
            <w:pPr>
              <w:pStyle w:val="a7"/>
              <w:ind w:left="0"/>
              <w:rPr>
                <w:b/>
                <w:sz w:val="22"/>
                <w:lang w:val="uk-UA"/>
              </w:rPr>
            </w:pPr>
          </w:p>
        </w:tc>
        <w:tc>
          <w:tcPr>
            <w:tcW w:w="3551" w:type="dxa"/>
            <w:gridSpan w:val="3"/>
            <w:tcBorders>
              <w:top w:val="single" w:sz="4" w:space="0" w:color="auto"/>
              <w:bottom w:val="single" w:sz="4" w:space="0" w:color="auto"/>
              <w:right w:val="single" w:sz="4" w:space="0" w:color="auto"/>
            </w:tcBorders>
          </w:tcPr>
          <w:p w:rsidR="00E95FB1" w:rsidRPr="002045F5" w:rsidRDefault="00E95FB1" w:rsidP="001B3967">
            <w:pPr>
              <w:pStyle w:val="a7"/>
              <w:ind w:left="0"/>
              <w:jc w:val="center"/>
              <w:rPr>
                <w:sz w:val="22"/>
                <w:lang w:val="uk-UA"/>
              </w:rPr>
            </w:pPr>
            <w:r w:rsidRPr="002045F5">
              <w:rPr>
                <w:sz w:val="22"/>
                <w:lang w:val="uk-UA"/>
              </w:rPr>
              <w:t>Кількість учнів</w:t>
            </w:r>
            <w:r w:rsidR="00217F22" w:rsidRPr="002045F5">
              <w:rPr>
                <w:sz w:val="22"/>
                <w:lang w:val="uk-UA"/>
              </w:rPr>
              <w:t>,</w:t>
            </w:r>
            <w:r w:rsidRPr="002045F5">
              <w:rPr>
                <w:sz w:val="22"/>
                <w:lang w:val="uk-UA"/>
              </w:rPr>
              <w:t xml:space="preserve"> які навчались протягом  року</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осіб</w:t>
            </w:r>
          </w:p>
        </w:tc>
        <w:tc>
          <w:tcPr>
            <w:tcW w:w="1598" w:type="dxa"/>
            <w:gridSpan w:val="2"/>
            <w:tcBorders>
              <w:top w:val="single" w:sz="4" w:space="0" w:color="auto"/>
              <w:left w:val="single" w:sz="4" w:space="0" w:color="auto"/>
              <w:bottom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382</w:t>
            </w:r>
          </w:p>
        </w:tc>
      </w:tr>
      <w:tr w:rsidR="00E95FB1" w:rsidRPr="002045F5" w:rsidTr="001B3967">
        <w:trPr>
          <w:trHeight w:val="184"/>
        </w:trPr>
        <w:tc>
          <w:tcPr>
            <w:tcW w:w="2978" w:type="dxa"/>
            <w:vMerge/>
            <w:shd w:val="clear" w:color="auto" w:fill="C6D9F1" w:themeFill="text2" w:themeFillTint="33"/>
          </w:tcPr>
          <w:p w:rsidR="00E95FB1" w:rsidRPr="002045F5" w:rsidRDefault="00E95FB1" w:rsidP="001B3967">
            <w:pPr>
              <w:pStyle w:val="a7"/>
              <w:ind w:left="0"/>
              <w:rPr>
                <w:b/>
                <w:sz w:val="22"/>
                <w:lang w:val="uk-UA"/>
              </w:rPr>
            </w:pPr>
          </w:p>
        </w:tc>
        <w:tc>
          <w:tcPr>
            <w:tcW w:w="3551" w:type="dxa"/>
            <w:gridSpan w:val="3"/>
            <w:tcBorders>
              <w:top w:val="single" w:sz="4" w:space="0" w:color="auto"/>
              <w:bottom w:val="single" w:sz="4" w:space="0" w:color="auto"/>
              <w:right w:val="single" w:sz="4" w:space="0" w:color="auto"/>
            </w:tcBorders>
          </w:tcPr>
          <w:p w:rsidR="00E95FB1" w:rsidRPr="002045F5" w:rsidRDefault="00E95FB1" w:rsidP="00217F22">
            <w:pPr>
              <w:pStyle w:val="a7"/>
              <w:ind w:left="0"/>
              <w:jc w:val="center"/>
              <w:rPr>
                <w:sz w:val="22"/>
                <w:lang w:val="uk-UA"/>
              </w:rPr>
            </w:pPr>
            <w:r w:rsidRPr="002045F5">
              <w:rPr>
                <w:sz w:val="22"/>
                <w:lang w:val="uk-UA"/>
              </w:rPr>
              <w:t>Кількість фізичних осіб, які відвідували заходи протягом  року</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осіб</w:t>
            </w:r>
          </w:p>
        </w:tc>
        <w:tc>
          <w:tcPr>
            <w:tcW w:w="1598" w:type="dxa"/>
            <w:gridSpan w:val="2"/>
            <w:tcBorders>
              <w:top w:val="single" w:sz="4" w:space="0" w:color="auto"/>
              <w:left w:val="single" w:sz="4" w:space="0" w:color="auto"/>
              <w:bottom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37 520</w:t>
            </w:r>
          </w:p>
        </w:tc>
      </w:tr>
      <w:tr w:rsidR="00E95FB1" w:rsidRPr="002045F5" w:rsidTr="001B3967">
        <w:trPr>
          <w:trHeight w:val="184"/>
        </w:trPr>
        <w:tc>
          <w:tcPr>
            <w:tcW w:w="2978" w:type="dxa"/>
            <w:vMerge/>
            <w:shd w:val="clear" w:color="auto" w:fill="C6D9F1" w:themeFill="text2" w:themeFillTint="33"/>
          </w:tcPr>
          <w:p w:rsidR="00E95FB1" w:rsidRPr="002045F5" w:rsidRDefault="00E95FB1" w:rsidP="001B3967">
            <w:pPr>
              <w:pStyle w:val="a7"/>
              <w:ind w:left="0"/>
              <w:rPr>
                <w:b/>
                <w:sz w:val="22"/>
                <w:lang w:val="uk-UA"/>
              </w:rPr>
            </w:pPr>
          </w:p>
        </w:tc>
        <w:tc>
          <w:tcPr>
            <w:tcW w:w="3551" w:type="dxa"/>
            <w:gridSpan w:val="3"/>
            <w:tcBorders>
              <w:top w:val="single" w:sz="4" w:space="0" w:color="auto"/>
              <w:bottom w:val="single" w:sz="4" w:space="0" w:color="auto"/>
              <w:right w:val="single" w:sz="4" w:space="0" w:color="auto"/>
            </w:tcBorders>
          </w:tcPr>
          <w:p w:rsidR="00E95FB1" w:rsidRPr="002045F5" w:rsidRDefault="00E95FB1" w:rsidP="001B3967">
            <w:pPr>
              <w:pStyle w:val="a7"/>
              <w:ind w:left="0"/>
              <w:jc w:val="center"/>
              <w:rPr>
                <w:sz w:val="22"/>
                <w:lang w:val="uk-UA"/>
              </w:rPr>
            </w:pPr>
            <w:r w:rsidRPr="002045F5">
              <w:rPr>
                <w:sz w:val="22"/>
                <w:lang w:val="uk-UA"/>
              </w:rPr>
              <w:t>Кількість видів та типів послуг</w:t>
            </w:r>
            <w:r w:rsidR="00217F22" w:rsidRPr="002045F5">
              <w:rPr>
                <w:sz w:val="22"/>
                <w:lang w:val="uk-UA"/>
              </w:rPr>
              <w:t>,</w:t>
            </w:r>
            <w:r w:rsidRPr="002045F5">
              <w:rPr>
                <w:sz w:val="22"/>
                <w:lang w:val="uk-UA"/>
              </w:rPr>
              <w:t xml:space="preserve"> наданих протягом одного робочого дня</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одиниць</w:t>
            </w:r>
          </w:p>
        </w:tc>
        <w:tc>
          <w:tcPr>
            <w:tcW w:w="1598" w:type="dxa"/>
            <w:gridSpan w:val="2"/>
            <w:tcBorders>
              <w:top w:val="single" w:sz="4" w:space="0" w:color="auto"/>
              <w:left w:val="single" w:sz="4" w:space="0" w:color="auto"/>
              <w:bottom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5</w:t>
            </w:r>
          </w:p>
        </w:tc>
      </w:tr>
      <w:tr w:rsidR="00E95FB1" w:rsidRPr="002045F5" w:rsidTr="001B3967">
        <w:trPr>
          <w:trHeight w:val="165"/>
        </w:trPr>
        <w:tc>
          <w:tcPr>
            <w:tcW w:w="2978" w:type="dxa"/>
            <w:vMerge/>
            <w:shd w:val="clear" w:color="auto" w:fill="C6D9F1" w:themeFill="text2" w:themeFillTint="33"/>
          </w:tcPr>
          <w:p w:rsidR="00E95FB1" w:rsidRPr="002045F5" w:rsidRDefault="00E95FB1" w:rsidP="001B3967">
            <w:pPr>
              <w:pStyle w:val="a7"/>
              <w:ind w:left="0"/>
              <w:rPr>
                <w:b/>
                <w:sz w:val="22"/>
                <w:lang w:val="uk-UA"/>
              </w:rPr>
            </w:pPr>
          </w:p>
        </w:tc>
        <w:tc>
          <w:tcPr>
            <w:tcW w:w="3551" w:type="dxa"/>
            <w:gridSpan w:val="3"/>
            <w:tcBorders>
              <w:top w:val="single" w:sz="4" w:space="0" w:color="auto"/>
              <w:bottom w:val="single" w:sz="4" w:space="0" w:color="auto"/>
              <w:right w:val="single" w:sz="4" w:space="0" w:color="auto"/>
            </w:tcBorders>
          </w:tcPr>
          <w:p w:rsidR="00E95FB1" w:rsidRPr="002045F5" w:rsidRDefault="00E95FB1" w:rsidP="001B3967">
            <w:pPr>
              <w:pStyle w:val="a7"/>
              <w:ind w:left="0"/>
              <w:jc w:val="center"/>
              <w:rPr>
                <w:sz w:val="22"/>
                <w:lang w:val="uk-UA"/>
              </w:rPr>
            </w:pPr>
            <w:r w:rsidRPr="002045F5">
              <w:rPr>
                <w:sz w:val="22"/>
                <w:lang w:val="uk-UA"/>
              </w:rPr>
              <w:t>Середня вартість послуг</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грн</w:t>
            </w:r>
          </w:p>
        </w:tc>
        <w:tc>
          <w:tcPr>
            <w:tcW w:w="1598" w:type="dxa"/>
            <w:gridSpan w:val="2"/>
            <w:tcBorders>
              <w:top w:val="single" w:sz="4" w:space="0" w:color="auto"/>
              <w:left w:val="single" w:sz="4" w:space="0" w:color="auto"/>
              <w:bottom w:val="single" w:sz="4" w:space="0" w:color="auto"/>
            </w:tcBorders>
          </w:tcPr>
          <w:p w:rsidR="00E95FB1" w:rsidRPr="002045F5" w:rsidRDefault="00E95FB1" w:rsidP="001B3967">
            <w:pPr>
              <w:pStyle w:val="a7"/>
              <w:ind w:left="0"/>
              <w:jc w:val="center"/>
              <w:rPr>
                <w:sz w:val="22"/>
                <w:lang w:val="uk-UA"/>
              </w:rPr>
            </w:pPr>
            <w:r w:rsidRPr="002045F5">
              <w:rPr>
                <w:sz w:val="22"/>
                <w:lang w:val="uk-UA"/>
              </w:rPr>
              <w:t>безкоштовно</w:t>
            </w:r>
          </w:p>
        </w:tc>
      </w:tr>
      <w:tr w:rsidR="00E95FB1" w:rsidRPr="002045F5" w:rsidTr="001B3967">
        <w:trPr>
          <w:trHeight w:val="150"/>
        </w:trPr>
        <w:tc>
          <w:tcPr>
            <w:tcW w:w="2978" w:type="dxa"/>
            <w:vMerge/>
            <w:shd w:val="clear" w:color="auto" w:fill="C6D9F1" w:themeFill="text2" w:themeFillTint="33"/>
          </w:tcPr>
          <w:p w:rsidR="00E95FB1" w:rsidRPr="002045F5" w:rsidRDefault="00E95FB1" w:rsidP="001B3967">
            <w:pPr>
              <w:pStyle w:val="a7"/>
              <w:ind w:left="0"/>
              <w:rPr>
                <w:b/>
                <w:sz w:val="22"/>
                <w:lang w:val="uk-UA"/>
              </w:rPr>
            </w:pPr>
          </w:p>
        </w:tc>
        <w:tc>
          <w:tcPr>
            <w:tcW w:w="3551" w:type="dxa"/>
            <w:gridSpan w:val="3"/>
            <w:tcBorders>
              <w:top w:val="single" w:sz="4" w:space="0" w:color="auto"/>
              <w:right w:val="single" w:sz="4" w:space="0" w:color="auto"/>
            </w:tcBorders>
          </w:tcPr>
          <w:p w:rsidR="00E95FB1" w:rsidRPr="002045F5" w:rsidRDefault="00E95FB1" w:rsidP="001B3967">
            <w:pPr>
              <w:pStyle w:val="a7"/>
              <w:ind w:left="0"/>
              <w:jc w:val="center"/>
              <w:rPr>
                <w:sz w:val="22"/>
                <w:lang w:val="uk-UA"/>
              </w:rPr>
            </w:pPr>
            <w:r w:rsidRPr="002045F5">
              <w:rPr>
                <w:sz w:val="22"/>
                <w:lang w:val="uk-UA"/>
              </w:rPr>
              <w:t>Термін надання послуги навчання</w:t>
            </w:r>
          </w:p>
        </w:tc>
        <w:tc>
          <w:tcPr>
            <w:tcW w:w="1701" w:type="dxa"/>
            <w:gridSpan w:val="2"/>
            <w:tcBorders>
              <w:top w:val="single" w:sz="4" w:space="0" w:color="auto"/>
              <w:left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років</w:t>
            </w:r>
          </w:p>
        </w:tc>
        <w:tc>
          <w:tcPr>
            <w:tcW w:w="1598" w:type="dxa"/>
            <w:gridSpan w:val="2"/>
            <w:tcBorders>
              <w:top w:val="single" w:sz="4" w:space="0" w:color="auto"/>
              <w:left w:val="single" w:sz="4" w:space="0" w:color="auto"/>
            </w:tcBorders>
          </w:tcPr>
          <w:p w:rsidR="00E95FB1" w:rsidRPr="002045F5" w:rsidRDefault="00E95FB1" w:rsidP="001B3967">
            <w:pPr>
              <w:pStyle w:val="a7"/>
              <w:ind w:left="0"/>
              <w:jc w:val="center"/>
              <w:rPr>
                <w:sz w:val="22"/>
                <w:lang w:val="uk-UA"/>
              </w:rPr>
            </w:pPr>
            <w:r w:rsidRPr="002045F5">
              <w:rPr>
                <w:sz w:val="22"/>
                <w:lang w:val="uk-UA"/>
              </w:rPr>
              <w:t>Від 4 до 11</w:t>
            </w:r>
          </w:p>
        </w:tc>
      </w:tr>
      <w:tr w:rsidR="00E95FB1" w:rsidRPr="002045F5" w:rsidTr="001B3967">
        <w:trPr>
          <w:trHeight w:val="150"/>
        </w:trPr>
        <w:tc>
          <w:tcPr>
            <w:tcW w:w="2978" w:type="dxa"/>
            <w:shd w:val="clear" w:color="auto" w:fill="C6D9F1" w:themeFill="text2" w:themeFillTint="33"/>
          </w:tcPr>
          <w:p w:rsidR="00E95FB1" w:rsidRPr="002045F5" w:rsidRDefault="00E95FB1" w:rsidP="001B3967">
            <w:pPr>
              <w:pStyle w:val="a7"/>
              <w:ind w:left="0"/>
              <w:rPr>
                <w:b/>
                <w:sz w:val="22"/>
                <w:lang w:val="uk-UA"/>
              </w:rPr>
            </w:pPr>
          </w:p>
        </w:tc>
        <w:tc>
          <w:tcPr>
            <w:tcW w:w="3551" w:type="dxa"/>
            <w:gridSpan w:val="3"/>
            <w:tcBorders>
              <w:top w:val="single" w:sz="4" w:space="0" w:color="auto"/>
              <w:right w:val="single" w:sz="4" w:space="0" w:color="auto"/>
            </w:tcBorders>
          </w:tcPr>
          <w:p w:rsidR="00E95FB1" w:rsidRPr="002045F5" w:rsidRDefault="00E95FB1" w:rsidP="00217F22">
            <w:pPr>
              <w:pStyle w:val="a7"/>
              <w:ind w:left="0"/>
              <w:jc w:val="center"/>
              <w:rPr>
                <w:sz w:val="22"/>
                <w:lang w:val="uk-UA"/>
              </w:rPr>
            </w:pPr>
            <w:r w:rsidRPr="002045F5">
              <w:rPr>
                <w:sz w:val="22"/>
                <w:lang w:val="uk-UA"/>
              </w:rPr>
              <w:t>Кількість населених пунктів, як</w:t>
            </w:r>
            <w:r w:rsidR="00217F22" w:rsidRPr="002045F5">
              <w:rPr>
                <w:sz w:val="22"/>
                <w:lang w:val="uk-UA"/>
              </w:rPr>
              <w:t>і</w:t>
            </w:r>
            <w:r w:rsidRPr="002045F5">
              <w:rPr>
                <w:sz w:val="22"/>
                <w:lang w:val="uk-UA"/>
              </w:rPr>
              <w:t xml:space="preserve"> обслуговує заклад</w:t>
            </w:r>
          </w:p>
        </w:tc>
        <w:tc>
          <w:tcPr>
            <w:tcW w:w="1701" w:type="dxa"/>
            <w:gridSpan w:val="2"/>
            <w:tcBorders>
              <w:top w:val="single" w:sz="4" w:space="0" w:color="auto"/>
              <w:left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одиниць</w:t>
            </w:r>
          </w:p>
        </w:tc>
        <w:tc>
          <w:tcPr>
            <w:tcW w:w="1598" w:type="dxa"/>
            <w:gridSpan w:val="2"/>
            <w:tcBorders>
              <w:top w:val="single" w:sz="4" w:space="0" w:color="auto"/>
              <w:lef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20</w:t>
            </w:r>
          </w:p>
        </w:tc>
      </w:tr>
      <w:tr w:rsidR="00E95FB1" w:rsidRPr="002045F5" w:rsidTr="001B3967">
        <w:tc>
          <w:tcPr>
            <w:tcW w:w="2978" w:type="dxa"/>
            <w:shd w:val="clear" w:color="auto" w:fill="C6D9F1" w:themeFill="text2" w:themeFillTint="33"/>
          </w:tcPr>
          <w:p w:rsidR="00E95FB1" w:rsidRPr="002045F5" w:rsidRDefault="00E95FB1" w:rsidP="001B3967">
            <w:pPr>
              <w:rPr>
                <w:b/>
                <w:sz w:val="22"/>
                <w:lang w:val="uk-UA"/>
              </w:rPr>
            </w:pPr>
            <w:r w:rsidRPr="002045F5">
              <w:rPr>
                <w:b/>
                <w:sz w:val="22"/>
                <w:lang w:val="uk-UA"/>
              </w:rPr>
              <w:t xml:space="preserve">Ключові заходи проекту: </w:t>
            </w:r>
          </w:p>
          <w:p w:rsidR="00E95FB1" w:rsidRPr="002045F5" w:rsidRDefault="00E95FB1" w:rsidP="001B3967">
            <w:pPr>
              <w:pStyle w:val="a7"/>
              <w:ind w:left="0"/>
              <w:rPr>
                <w:b/>
                <w:sz w:val="22"/>
                <w:lang w:val="uk-UA"/>
              </w:rPr>
            </w:pPr>
          </w:p>
        </w:tc>
        <w:tc>
          <w:tcPr>
            <w:tcW w:w="6850" w:type="dxa"/>
            <w:gridSpan w:val="7"/>
          </w:tcPr>
          <w:p w:rsidR="00E95FB1" w:rsidRPr="002045F5" w:rsidRDefault="00E95FB1" w:rsidP="001B3967">
            <w:pPr>
              <w:pStyle w:val="a7"/>
              <w:ind w:left="0"/>
              <w:rPr>
                <w:sz w:val="22"/>
                <w:lang w:val="uk-UA"/>
              </w:rPr>
            </w:pPr>
            <w:r w:rsidRPr="002045F5">
              <w:rPr>
                <w:sz w:val="22"/>
                <w:lang w:val="uk-UA"/>
              </w:rPr>
              <w:t>- проведення інвентаризації основних засобів;</w:t>
            </w:r>
          </w:p>
          <w:p w:rsidR="00E95FB1" w:rsidRPr="002045F5" w:rsidRDefault="00E95FB1" w:rsidP="001B3967">
            <w:pPr>
              <w:pStyle w:val="a7"/>
              <w:ind w:left="0"/>
              <w:rPr>
                <w:sz w:val="22"/>
                <w:lang w:val="uk-UA"/>
              </w:rPr>
            </w:pPr>
            <w:r w:rsidRPr="002045F5">
              <w:rPr>
                <w:sz w:val="22"/>
                <w:lang w:val="uk-UA"/>
              </w:rPr>
              <w:t xml:space="preserve">- визначення кількості осіб, які потребують отримання мистецьких послуг; </w:t>
            </w:r>
          </w:p>
          <w:p w:rsidR="00E95FB1" w:rsidRPr="002045F5" w:rsidRDefault="00E95FB1" w:rsidP="001B3967">
            <w:pPr>
              <w:pStyle w:val="a7"/>
              <w:ind w:left="0"/>
              <w:rPr>
                <w:sz w:val="22"/>
                <w:lang w:val="uk-UA"/>
              </w:rPr>
            </w:pPr>
            <w:r w:rsidRPr="002045F5">
              <w:rPr>
                <w:sz w:val="22"/>
                <w:lang w:val="uk-UA"/>
              </w:rPr>
              <w:t>- придбання технічного забезпечення закладу;</w:t>
            </w:r>
          </w:p>
          <w:p w:rsidR="00E95FB1" w:rsidRPr="002045F5" w:rsidRDefault="00E95FB1" w:rsidP="001B3967">
            <w:pPr>
              <w:pStyle w:val="a7"/>
              <w:ind w:left="0"/>
              <w:rPr>
                <w:sz w:val="22"/>
                <w:lang w:val="uk-UA"/>
              </w:rPr>
            </w:pPr>
            <w:r w:rsidRPr="002045F5">
              <w:rPr>
                <w:sz w:val="22"/>
                <w:lang w:val="uk-UA"/>
              </w:rPr>
              <w:t>- придбання технологічного забезпечення;</w:t>
            </w:r>
          </w:p>
          <w:p w:rsidR="00E95FB1" w:rsidRPr="002045F5" w:rsidRDefault="00E95FB1" w:rsidP="001B3967">
            <w:pPr>
              <w:pStyle w:val="a7"/>
              <w:ind w:left="0"/>
              <w:rPr>
                <w:sz w:val="22"/>
                <w:lang w:val="uk-UA"/>
              </w:rPr>
            </w:pPr>
            <w:r w:rsidRPr="002045F5">
              <w:rPr>
                <w:sz w:val="22"/>
                <w:lang w:val="uk-UA"/>
              </w:rPr>
              <w:t>- придбання музично - інструментального забезпечення закладу;</w:t>
            </w:r>
          </w:p>
          <w:p w:rsidR="00E95FB1" w:rsidRPr="002045F5" w:rsidRDefault="00E95FB1" w:rsidP="001B3967">
            <w:pPr>
              <w:pStyle w:val="a7"/>
              <w:ind w:left="0"/>
              <w:rPr>
                <w:sz w:val="22"/>
                <w:lang w:val="uk-UA"/>
              </w:rPr>
            </w:pPr>
            <w:r w:rsidRPr="002045F5">
              <w:rPr>
                <w:sz w:val="22"/>
                <w:lang w:val="uk-UA"/>
              </w:rPr>
              <w:t>- організація та початок робочого процесу (навчання та проведення заходів).</w:t>
            </w:r>
          </w:p>
        </w:tc>
      </w:tr>
      <w:tr w:rsidR="00E95FB1" w:rsidRPr="002045F5" w:rsidTr="001B3967">
        <w:trPr>
          <w:trHeight w:val="360"/>
        </w:trPr>
        <w:tc>
          <w:tcPr>
            <w:tcW w:w="2978" w:type="dxa"/>
            <w:vMerge w:val="restart"/>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 xml:space="preserve">Орієнтовний обсяг та джерела фінансування, тис. грн. </w:t>
            </w:r>
          </w:p>
          <w:p w:rsidR="00E95FB1" w:rsidRPr="002045F5" w:rsidRDefault="00E95FB1" w:rsidP="001B3967">
            <w:pPr>
              <w:pStyle w:val="a7"/>
              <w:ind w:left="0"/>
              <w:rPr>
                <w:b/>
                <w:sz w:val="22"/>
                <w:lang w:val="uk-UA"/>
              </w:rPr>
            </w:pPr>
          </w:p>
        </w:tc>
        <w:tc>
          <w:tcPr>
            <w:tcW w:w="1271" w:type="dxa"/>
            <w:tcBorders>
              <w:bottom w:val="single" w:sz="4" w:space="0" w:color="auto"/>
              <w:right w:val="single" w:sz="4" w:space="0" w:color="auto"/>
            </w:tcBorders>
          </w:tcPr>
          <w:p w:rsidR="00E95FB1" w:rsidRPr="002045F5" w:rsidRDefault="00E95FB1" w:rsidP="001B3967">
            <w:pPr>
              <w:pStyle w:val="a7"/>
              <w:ind w:left="0"/>
              <w:jc w:val="center"/>
              <w:rPr>
                <w:b/>
                <w:sz w:val="22"/>
                <w:lang w:val="uk-UA"/>
              </w:rPr>
            </w:pPr>
            <w:r w:rsidRPr="002045F5">
              <w:rPr>
                <w:b/>
                <w:sz w:val="22"/>
                <w:lang w:val="uk-UA"/>
              </w:rPr>
              <w:t>Державний бюджет</w:t>
            </w:r>
          </w:p>
        </w:tc>
        <w:tc>
          <w:tcPr>
            <w:tcW w:w="1313" w:type="dxa"/>
            <w:tcBorders>
              <w:bottom w:val="single" w:sz="4" w:space="0" w:color="auto"/>
              <w:right w:val="single" w:sz="4" w:space="0" w:color="auto"/>
            </w:tcBorders>
          </w:tcPr>
          <w:p w:rsidR="00E95FB1" w:rsidRPr="002045F5" w:rsidRDefault="00E95FB1" w:rsidP="001B3967">
            <w:pPr>
              <w:pStyle w:val="a7"/>
              <w:ind w:left="0"/>
              <w:jc w:val="center"/>
              <w:rPr>
                <w:b/>
                <w:sz w:val="22"/>
                <w:lang w:val="uk-UA"/>
              </w:rPr>
            </w:pPr>
            <w:r w:rsidRPr="002045F5">
              <w:rPr>
                <w:b/>
                <w:sz w:val="22"/>
                <w:lang w:val="uk-UA"/>
              </w:rPr>
              <w:t>Місцевий бюджет</w:t>
            </w:r>
          </w:p>
        </w:tc>
        <w:tc>
          <w:tcPr>
            <w:tcW w:w="2850" w:type="dxa"/>
            <w:gridSpan w:val="4"/>
            <w:tcBorders>
              <w:left w:val="single" w:sz="4" w:space="0" w:color="auto"/>
              <w:bottom w:val="single" w:sz="4" w:space="0" w:color="auto"/>
              <w:right w:val="single" w:sz="4" w:space="0" w:color="auto"/>
            </w:tcBorders>
          </w:tcPr>
          <w:p w:rsidR="00E95FB1" w:rsidRPr="002045F5" w:rsidRDefault="00E95FB1" w:rsidP="001B3967">
            <w:pPr>
              <w:pStyle w:val="a7"/>
              <w:ind w:left="0"/>
              <w:jc w:val="center"/>
              <w:rPr>
                <w:b/>
                <w:sz w:val="22"/>
                <w:lang w:val="uk-UA"/>
              </w:rPr>
            </w:pPr>
            <w:r w:rsidRPr="002045F5">
              <w:rPr>
                <w:b/>
                <w:sz w:val="22"/>
                <w:lang w:val="uk-UA"/>
              </w:rPr>
              <w:t>Інші джерела</w:t>
            </w:r>
          </w:p>
        </w:tc>
        <w:tc>
          <w:tcPr>
            <w:tcW w:w="1416" w:type="dxa"/>
            <w:tcBorders>
              <w:left w:val="single" w:sz="4" w:space="0" w:color="auto"/>
              <w:bottom w:val="single" w:sz="4" w:space="0" w:color="auto"/>
            </w:tcBorders>
          </w:tcPr>
          <w:p w:rsidR="00E95FB1" w:rsidRPr="002045F5" w:rsidRDefault="00E95FB1" w:rsidP="001B3967">
            <w:pPr>
              <w:pStyle w:val="a7"/>
              <w:ind w:left="0"/>
              <w:jc w:val="center"/>
              <w:rPr>
                <w:b/>
                <w:sz w:val="22"/>
                <w:lang w:val="uk-UA"/>
              </w:rPr>
            </w:pPr>
            <w:r w:rsidRPr="002045F5">
              <w:rPr>
                <w:b/>
                <w:sz w:val="22"/>
                <w:lang w:val="uk-UA"/>
              </w:rPr>
              <w:t>Всього</w:t>
            </w:r>
          </w:p>
          <w:p w:rsidR="00E95FB1" w:rsidRPr="002045F5" w:rsidRDefault="00E95FB1" w:rsidP="001B3967">
            <w:pPr>
              <w:ind w:left="-79"/>
              <w:rPr>
                <w:b/>
                <w:sz w:val="22"/>
                <w:lang w:val="uk-UA"/>
              </w:rPr>
            </w:pPr>
            <w:r w:rsidRPr="002045F5">
              <w:rPr>
                <w:b/>
                <w:sz w:val="22"/>
                <w:lang w:val="uk-UA"/>
              </w:rPr>
              <w:t>тис. грн.</w:t>
            </w:r>
          </w:p>
          <w:p w:rsidR="00E95FB1" w:rsidRPr="002045F5" w:rsidRDefault="00E95FB1" w:rsidP="001B3967">
            <w:pPr>
              <w:pStyle w:val="a7"/>
              <w:ind w:left="0"/>
              <w:jc w:val="center"/>
              <w:rPr>
                <w:b/>
                <w:sz w:val="22"/>
                <w:lang w:val="uk-UA"/>
              </w:rPr>
            </w:pPr>
          </w:p>
        </w:tc>
      </w:tr>
      <w:tr w:rsidR="00E95FB1" w:rsidRPr="002045F5" w:rsidTr="001B3967">
        <w:trPr>
          <w:trHeight w:val="225"/>
        </w:trPr>
        <w:tc>
          <w:tcPr>
            <w:tcW w:w="2978" w:type="dxa"/>
            <w:vMerge/>
            <w:shd w:val="clear" w:color="auto" w:fill="C6D9F1" w:themeFill="text2" w:themeFillTint="33"/>
          </w:tcPr>
          <w:p w:rsidR="00E95FB1" w:rsidRPr="002045F5" w:rsidRDefault="00E95FB1" w:rsidP="001B3967">
            <w:pPr>
              <w:pStyle w:val="a7"/>
              <w:ind w:left="0"/>
              <w:rPr>
                <w:b/>
                <w:sz w:val="22"/>
                <w:lang w:val="uk-UA"/>
              </w:rPr>
            </w:pPr>
          </w:p>
        </w:tc>
        <w:tc>
          <w:tcPr>
            <w:tcW w:w="1271" w:type="dxa"/>
            <w:vMerge w:val="restart"/>
            <w:tcBorders>
              <w:top w:val="single" w:sz="4" w:space="0" w:color="auto"/>
              <w:right w:val="single" w:sz="4" w:space="0" w:color="auto"/>
            </w:tcBorders>
          </w:tcPr>
          <w:p w:rsidR="00E95FB1" w:rsidRPr="002045F5" w:rsidRDefault="00BA07C1" w:rsidP="001B3967">
            <w:pPr>
              <w:ind w:left="-79"/>
              <w:jc w:val="center"/>
              <w:rPr>
                <w:sz w:val="22"/>
              </w:rPr>
            </w:pPr>
            <w:r w:rsidRPr="002045F5">
              <w:rPr>
                <w:sz w:val="22"/>
              </w:rPr>
              <w:t>7235,814</w:t>
            </w:r>
          </w:p>
        </w:tc>
        <w:tc>
          <w:tcPr>
            <w:tcW w:w="1313" w:type="dxa"/>
            <w:vMerge w:val="restart"/>
            <w:tcBorders>
              <w:top w:val="single" w:sz="4" w:space="0" w:color="auto"/>
              <w:right w:val="single" w:sz="4" w:space="0" w:color="auto"/>
            </w:tcBorders>
          </w:tcPr>
          <w:p w:rsidR="00E95FB1" w:rsidRPr="002045F5" w:rsidRDefault="00E95FB1" w:rsidP="001B3967">
            <w:pPr>
              <w:pStyle w:val="a7"/>
              <w:ind w:left="0"/>
              <w:jc w:val="center"/>
              <w:rPr>
                <w:sz w:val="22"/>
                <w:lang w:val="uk-UA"/>
              </w:rPr>
            </w:pPr>
          </w:p>
        </w:tc>
        <w:tc>
          <w:tcPr>
            <w:tcW w:w="1393" w:type="dxa"/>
            <w:gridSpan w:val="2"/>
            <w:tcBorders>
              <w:top w:val="single" w:sz="4" w:space="0" w:color="auto"/>
              <w:left w:val="single" w:sz="4" w:space="0" w:color="auto"/>
              <w:bottom w:val="single" w:sz="4" w:space="0" w:color="auto"/>
              <w:right w:val="single" w:sz="4" w:space="0" w:color="auto"/>
            </w:tcBorders>
          </w:tcPr>
          <w:p w:rsidR="00E95FB1" w:rsidRPr="002045F5" w:rsidRDefault="00E95FB1" w:rsidP="001B3967">
            <w:pPr>
              <w:pStyle w:val="a7"/>
              <w:ind w:left="0"/>
              <w:jc w:val="center"/>
              <w:rPr>
                <w:sz w:val="22"/>
                <w:lang w:val="uk-UA"/>
              </w:rPr>
            </w:pPr>
            <w:r w:rsidRPr="002045F5">
              <w:rPr>
                <w:sz w:val="22"/>
                <w:lang w:val="uk-UA"/>
              </w:rPr>
              <w:t>Обсяг тис. грн.</w:t>
            </w:r>
          </w:p>
        </w:tc>
        <w:tc>
          <w:tcPr>
            <w:tcW w:w="1457" w:type="dxa"/>
            <w:gridSpan w:val="2"/>
            <w:tcBorders>
              <w:top w:val="single" w:sz="4" w:space="0" w:color="auto"/>
              <w:left w:val="single" w:sz="4" w:space="0" w:color="auto"/>
              <w:bottom w:val="single" w:sz="4" w:space="0" w:color="auto"/>
              <w:right w:val="single" w:sz="4" w:space="0" w:color="auto"/>
            </w:tcBorders>
          </w:tcPr>
          <w:p w:rsidR="00E95FB1" w:rsidRPr="002045F5" w:rsidRDefault="00E95FB1" w:rsidP="001B3967">
            <w:pPr>
              <w:pStyle w:val="a7"/>
              <w:ind w:left="0"/>
              <w:jc w:val="center"/>
              <w:rPr>
                <w:sz w:val="22"/>
                <w:lang w:val="uk-UA"/>
              </w:rPr>
            </w:pPr>
            <w:r w:rsidRPr="002045F5">
              <w:rPr>
                <w:sz w:val="22"/>
                <w:lang w:val="uk-UA"/>
              </w:rPr>
              <w:t>Назва джерела</w:t>
            </w:r>
          </w:p>
        </w:tc>
        <w:tc>
          <w:tcPr>
            <w:tcW w:w="1416" w:type="dxa"/>
            <w:vMerge w:val="restart"/>
            <w:tcBorders>
              <w:top w:val="single" w:sz="4" w:space="0" w:color="auto"/>
              <w:left w:val="single" w:sz="4" w:space="0" w:color="auto"/>
            </w:tcBorders>
          </w:tcPr>
          <w:p w:rsidR="00E95FB1" w:rsidRPr="002045F5" w:rsidRDefault="00BA07C1" w:rsidP="001B3967">
            <w:pPr>
              <w:pStyle w:val="a7"/>
              <w:ind w:left="0"/>
              <w:jc w:val="center"/>
              <w:rPr>
                <w:sz w:val="22"/>
                <w:lang w:val="uk-UA"/>
              </w:rPr>
            </w:pPr>
            <w:r w:rsidRPr="002045F5">
              <w:rPr>
                <w:sz w:val="22"/>
                <w:lang w:val="uk-UA"/>
              </w:rPr>
              <w:t>10336,877</w:t>
            </w:r>
          </w:p>
        </w:tc>
      </w:tr>
      <w:tr w:rsidR="00E95FB1" w:rsidRPr="002045F5" w:rsidTr="001B3967">
        <w:trPr>
          <w:trHeight w:val="300"/>
        </w:trPr>
        <w:tc>
          <w:tcPr>
            <w:tcW w:w="2978" w:type="dxa"/>
            <w:vMerge/>
            <w:shd w:val="clear" w:color="auto" w:fill="C6D9F1" w:themeFill="text2" w:themeFillTint="33"/>
          </w:tcPr>
          <w:p w:rsidR="00E95FB1" w:rsidRPr="002045F5" w:rsidRDefault="00E95FB1" w:rsidP="001B3967">
            <w:pPr>
              <w:pStyle w:val="a7"/>
              <w:ind w:left="0"/>
              <w:rPr>
                <w:b/>
                <w:sz w:val="22"/>
                <w:lang w:val="uk-UA"/>
              </w:rPr>
            </w:pPr>
          </w:p>
        </w:tc>
        <w:tc>
          <w:tcPr>
            <w:tcW w:w="1271" w:type="dxa"/>
            <w:vMerge/>
            <w:tcBorders>
              <w:right w:val="single" w:sz="4" w:space="0" w:color="auto"/>
            </w:tcBorders>
          </w:tcPr>
          <w:p w:rsidR="00E95FB1" w:rsidRPr="002045F5" w:rsidRDefault="00E95FB1" w:rsidP="001B3967">
            <w:pPr>
              <w:pStyle w:val="a7"/>
              <w:ind w:left="0"/>
              <w:jc w:val="center"/>
              <w:rPr>
                <w:sz w:val="22"/>
                <w:lang w:val="uk-UA"/>
              </w:rPr>
            </w:pPr>
          </w:p>
        </w:tc>
        <w:tc>
          <w:tcPr>
            <w:tcW w:w="1313" w:type="dxa"/>
            <w:vMerge/>
            <w:tcBorders>
              <w:right w:val="single" w:sz="4" w:space="0" w:color="auto"/>
            </w:tcBorders>
          </w:tcPr>
          <w:p w:rsidR="00E95FB1" w:rsidRPr="002045F5" w:rsidRDefault="00E95FB1" w:rsidP="001B3967">
            <w:pPr>
              <w:pStyle w:val="a7"/>
              <w:ind w:left="0"/>
              <w:jc w:val="center"/>
              <w:rPr>
                <w:b/>
                <w:sz w:val="22"/>
                <w:lang w:val="uk-UA"/>
              </w:rPr>
            </w:pPr>
          </w:p>
        </w:tc>
        <w:tc>
          <w:tcPr>
            <w:tcW w:w="1393" w:type="dxa"/>
            <w:gridSpan w:val="2"/>
            <w:tcBorders>
              <w:top w:val="single" w:sz="4" w:space="0" w:color="auto"/>
              <w:left w:val="single" w:sz="4" w:space="0" w:color="auto"/>
              <w:right w:val="single" w:sz="4" w:space="0" w:color="auto"/>
            </w:tcBorders>
          </w:tcPr>
          <w:p w:rsidR="00E95FB1" w:rsidRPr="002045F5" w:rsidRDefault="00BA07C1" w:rsidP="001B3967">
            <w:pPr>
              <w:ind w:left="-79"/>
              <w:jc w:val="center"/>
              <w:rPr>
                <w:sz w:val="22"/>
              </w:rPr>
            </w:pPr>
            <w:r w:rsidRPr="002045F5">
              <w:rPr>
                <w:sz w:val="22"/>
              </w:rPr>
              <w:t>3101,063</w:t>
            </w:r>
          </w:p>
        </w:tc>
        <w:tc>
          <w:tcPr>
            <w:tcW w:w="1457" w:type="dxa"/>
            <w:gridSpan w:val="2"/>
            <w:tcBorders>
              <w:top w:val="single" w:sz="4" w:space="0" w:color="auto"/>
              <w:left w:val="single" w:sz="4" w:space="0" w:color="auto"/>
              <w:right w:val="single" w:sz="4" w:space="0" w:color="auto"/>
            </w:tcBorders>
          </w:tcPr>
          <w:p w:rsidR="00E95FB1" w:rsidRPr="002045F5" w:rsidRDefault="00E95FB1" w:rsidP="001B3967">
            <w:pPr>
              <w:pStyle w:val="a7"/>
              <w:ind w:left="0"/>
              <w:jc w:val="center"/>
              <w:rPr>
                <w:sz w:val="22"/>
                <w:lang w:val="uk-UA"/>
              </w:rPr>
            </w:pPr>
            <w:r w:rsidRPr="002045F5">
              <w:rPr>
                <w:sz w:val="22"/>
                <w:lang w:val="uk-UA"/>
              </w:rPr>
              <w:t>Міжнародні інвестиції, кошти приватних осіб</w:t>
            </w:r>
          </w:p>
        </w:tc>
        <w:tc>
          <w:tcPr>
            <w:tcW w:w="1416" w:type="dxa"/>
            <w:vMerge/>
            <w:tcBorders>
              <w:left w:val="single" w:sz="4" w:space="0" w:color="auto"/>
            </w:tcBorders>
          </w:tcPr>
          <w:p w:rsidR="00E95FB1" w:rsidRPr="002045F5" w:rsidRDefault="00E95FB1" w:rsidP="001B3967">
            <w:pPr>
              <w:pStyle w:val="a7"/>
              <w:ind w:left="0"/>
              <w:jc w:val="center"/>
              <w:rPr>
                <w:sz w:val="22"/>
                <w:lang w:val="uk-UA"/>
              </w:rPr>
            </w:pPr>
          </w:p>
        </w:tc>
      </w:tr>
    </w:tbl>
    <w:p w:rsidR="00E95FB1" w:rsidRPr="002045F5" w:rsidRDefault="00E95FB1" w:rsidP="00E95FB1">
      <w:pPr>
        <w:rPr>
          <w:sz w:val="22"/>
        </w:rPr>
      </w:pPr>
    </w:p>
    <w:p w:rsidR="00E95FB1" w:rsidRPr="002045F5" w:rsidRDefault="00E95FB1" w:rsidP="00E95FB1">
      <w:pPr>
        <w:rPr>
          <w:sz w:val="22"/>
        </w:rPr>
      </w:pPr>
    </w:p>
    <w:tbl>
      <w:tblPr>
        <w:tblStyle w:val="af"/>
        <w:tblW w:w="9782" w:type="dxa"/>
        <w:tblInd w:w="-176" w:type="dxa"/>
        <w:tblLayout w:type="fixed"/>
        <w:tblLook w:val="04A0" w:firstRow="1" w:lastRow="0" w:firstColumn="1" w:lastColumn="0" w:noHBand="0" w:noVBand="1"/>
      </w:tblPr>
      <w:tblGrid>
        <w:gridCol w:w="2836"/>
        <w:gridCol w:w="1559"/>
        <w:gridCol w:w="1055"/>
        <w:gridCol w:w="221"/>
        <w:gridCol w:w="1222"/>
        <w:gridCol w:w="799"/>
        <w:gridCol w:w="684"/>
        <w:gridCol w:w="1406"/>
      </w:tblGrid>
      <w:tr w:rsidR="00E95FB1" w:rsidRPr="002045F5" w:rsidTr="001B3967">
        <w:tc>
          <w:tcPr>
            <w:tcW w:w="2836"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Оперативна ціль/завдання</w:t>
            </w:r>
          </w:p>
        </w:tc>
        <w:tc>
          <w:tcPr>
            <w:tcW w:w="6946" w:type="dxa"/>
            <w:gridSpan w:val="7"/>
            <w:shd w:val="clear" w:color="auto" w:fill="auto"/>
          </w:tcPr>
          <w:p w:rsidR="00E95FB1" w:rsidRPr="002045F5" w:rsidRDefault="002B1A7D" w:rsidP="002B1A7D">
            <w:pPr>
              <w:pStyle w:val="a7"/>
              <w:ind w:left="0"/>
              <w:rPr>
                <w:b/>
                <w:sz w:val="22"/>
                <w:lang w:val="uk-UA"/>
              </w:rPr>
            </w:pPr>
            <w:r w:rsidRPr="002045F5">
              <w:rPr>
                <w:rFonts w:eastAsia="Arial"/>
                <w:sz w:val="22"/>
                <w:lang w:val="uk-UA"/>
              </w:rPr>
              <w:t>Людський розвиток</w:t>
            </w:r>
            <w:r w:rsidR="00E95FB1" w:rsidRPr="002045F5">
              <w:rPr>
                <w:rFonts w:eastAsia="Arial"/>
                <w:sz w:val="22"/>
                <w:lang w:val="uk-UA"/>
              </w:rPr>
              <w:t xml:space="preserve"> через інновації управління та довіру до влади</w:t>
            </w:r>
            <w:r w:rsidRPr="002045F5">
              <w:rPr>
                <w:rFonts w:eastAsia="Arial"/>
                <w:sz w:val="22"/>
                <w:lang w:val="uk-UA"/>
              </w:rPr>
              <w:t xml:space="preserve">. </w:t>
            </w:r>
            <w:r w:rsidR="00E95FB1" w:rsidRPr="002045F5">
              <w:rPr>
                <w:rFonts w:eastAsia="Arial"/>
                <w:sz w:val="22"/>
                <w:lang w:val="uk-UA"/>
              </w:rPr>
              <w:t xml:space="preserve">Формування сучасного інклюзивного </w:t>
            </w:r>
            <w:proofErr w:type="spellStart"/>
            <w:r w:rsidR="00E95FB1" w:rsidRPr="002045F5">
              <w:rPr>
                <w:rFonts w:eastAsia="Arial"/>
                <w:sz w:val="22"/>
                <w:lang w:val="uk-UA"/>
              </w:rPr>
              <w:t>освітньо</w:t>
            </w:r>
            <w:proofErr w:type="spellEnd"/>
            <w:r w:rsidR="00E95FB1" w:rsidRPr="002045F5">
              <w:rPr>
                <w:rFonts w:eastAsia="Arial"/>
                <w:sz w:val="22"/>
                <w:lang w:val="uk-UA"/>
              </w:rPr>
              <w:t xml:space="preserve"> – культурного та спортивного простору для розвитку</w:t>
            </w:r>
            <w:r w:rsidR="00E95FB1" w:rsidRPr="002045F5">
              <w:rPr>
                <w:b/>
                <w:sz w:val="22"/>
                <w:lang w:val="uk-UA"/>
              </w:rPr>
              <w:t xml:space="preserve"> </w:t>
            </w:r>
            <w:r w:rsidR="00E95FB1" w:rsidRPr="002045F5">
              <w:rPr>
                <w:rFonts w:eastAsia="Arial"/>
                <w:color w:val="FF0000"/>
                <w:sz w:val="22"/>
                <w:lang w:val="uk-UA"/>
              </w:rPr>
              <w:t xml:space="preserve"> </w:t>
            </w:r>
          </w:p>
        </w:tc>
      </w:tr>
      <w:tr w:rsidR="00E95FB1" w:rsidRPr="002045F5" w:rsidTr="001B3967">
        <w:tc>
          <w:tcPr>
            <w:tcW w:w="2836"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Назва проекту:</w:t>
            </w:r>
          </w:p>
        </w:tc>
        <w:tc>
          <w:tcPr>
            <w:tcW w:w="6946" w:type="dxa"/>
            <w:gridSpan w:val="7"/>
          </w:tcPr>
          <w:p w:rsidR="00E95FB1" w:rsidRPr="002045F5" w:rsidRDefault="00E95FB1" w:rsidP="001B3967">
            <w:pPr>
              <w:pStyle w:val="a7"/>
              <w:ind w:left="0"/>
              <w:rPr>
                <w:sz w:val="22"/>
                <w:lang w:val="uk-UA"/>
              </w:rPr>
            </w:pPr>
            <w:r w:rsidRPr="002045F5">
              <w:rPr>
                <w:sz w:val="22"/>
                <w:lang w:val="uk-UA"/>
              </w:rPr>
              <w:t>Відновлення діяльності Комунального Закладу «Сєвєродонецька міська публічна бібліотека»</w:t>
            </w:r>
          </w:p>
        </w:tc>
      </w:tr>
      <w:tr w:rsidR="00E95FB1" w:rsidRPr="002045F5" w:rsidTr="001B3967">
        <w:tc>
          <w:tcPr>
            <w:tcW w:w="2836" w:type="dxa"/>
            <w:shd w:val="clear" w:color="auto" w:fill="C6D9F1" w:themeFill="text2" w:themeFillTint="33"/>
          </w:tcPr>
          <w:p w:rsidR="00E95FB1" w:rsidRPr="002045F5" w:rsidRDefault="00E95FB1" w:rsidP="001B3967">
            <w:pPr>
              <w:rPr>
                <w:b/>
                <w:sz w:val="22"/>
                <w:lang w:val="uk-UA"/>
              </w:rPr>
            </w:pPr>
            <w:r w:rsidRPr="002045F5">
              <w:rPr>
                <w:b/>
                <w:sz w:val="22"/>
                <w:lang w:val="uk-UA"/>
              </w:rPr>
              <w:t>Ціль проекту</w:t>
            </w:r>
          </w:p>
        </w:tc>
        <w:tc>
          <w:tcPr>
            <w:tcW w:w="6946" w:type="dxa"/>
            <w:gridSpan w:val="7"/>
          </w:tcPr>
          <w:p w:rsidR="00E95FB1" w:rsidRPr="002045F5" w:rsidRDefault="00E95FB1" w:rsidP="002B1A7D">
            <w:pPr>
              <w:pStyle w:val="a7"/>
              <w:ind w:left="0"/>
              <w:rPr>
                <w:sz w:val="22"/>
                <w:lang w:val="uk-UA"/>
              </w:rPr>
            </w:pPr>
            <w:r w:rsidRPr="002045F5">
              <w:rPr>
                <w:sz w:val="22"/>
                <w:lang w:val="uk-UA"/>
              </w:rPr>
              <w:t xml:space="preserve">Відновити та покращити роботу Комунального Закладу «Сєвєродонецька міська публічна бібліотека» для надання широкого спектру послуг, пов’язаних із якістю та задоволення потреб мешканців Сєвєродонецької міської територіальної громади у необхідних послугах (або створенні умов для реалізації індивідуальних програм, набуття ними відповідних </w:t>
            </w:r>
            <w:proofErr w:type="spellStart"/>
            <w:r w:rsidRPr="002045F5">
              <w:rPr>
                <w:sz w:val="22"/>
                <w:lang w:val="uk-UA"/>
              </w:rPr>
              <w:t>компетентностей</w:t>
            </w:r>
            <w:proofErr w:type="spellEnd"/>
            <w:r w:rsidRPr="002045F5">
              <w:rPr>
                <w:sz w:val="22"/>
                <w:lang w:val="uk-UA"/>
              </w:rPr>
              <w:t>).</w:t>
            </w:r>
          </w:p>
        </w:tc>
      </w:tr>
      <w:tr w:rsidR="00E95FB1" w:rsidRPr="002045F5" w:rsidTr="001B3967">
        <w:tc>
          <w:tcPr>
            <w:tcW w:w="2836"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Територія, на яку матиме вплив реалізація проекту</w:t>
            </w:r>
          </w:p>
        </w:tc>
        <w:tc>
          <w:tcPr>
            <w:tcW w:w="6946" w:type="dxa"/>
            <w:gridSpan w:val="7"/>
          </w:tcPr>
          <w:p w:rsidR="00E95FB1" w:rsidRPr="002045F5" w:rsidRDefault="00E95FB1" w:rsidP="001B3967">
            <w:pPr>
              <w:pStyle w:val="a7"/>
              <w:ind w:left="0"/>
              <w:rPr>
                <w:sz w:val="22"/>
                <w:lang w:val="uk-UA"/>
              </w:rPr>
            </w:pPr>
            <w:r w:rsidRPr="002045F5">
              <w:rPr>
                <w:sz w:val="22"/>
                <w:lang w:val="uk-UA"/>
              </w:rPr>
              <w:t>Сєвєродонецька міська територіальна громада</w:t>
            </w:r>
          </w:p>
        </w:tc>
      </w:tr>
      <w:tr w:rsidR="00E95FB1" w:rsidRPr="002045F5" w:rsidTr="001B3967">
        <w:tc>
          <w:tcPr>
            <w:tcW w:w="2836"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Чисельність населення, на яке матиме вплив реалізація проекту</w:t>
            </w:r>
          </w:p>
        </w:tc>
        <w:tc>
          <w:tcPr>
            <w:tcW w:w="6946" w:type="dxa"/>
            <w:gridSpan w:val="7"/>
          </w:tcPr>
          <w:p w:rsidR="00E95FB1" w:rsidRPr="002045F5" w:rsidRDefault="002B1A7D" w:rsidP="002B1A7D">
            <w:pPr>
              <w:pStyle w:val="a7"/>
              <w:ind w:left="0"/>
              <w:rPr>
                <w:b/>
                <w:sz w:val="22"/>
                <w:lang w:val="uk-UA"/>
              </w:rPr>
            </w:pPr>
            <w:r w:rsidRPr="002045F5">
              <w:rPr>
                <w:sz w:val="22"/>
                <w:lang w:val="uk-UA"/>
              </w:rPr>
              <w:t>70 000</w:t>
            </w:r>
          </w:p>
        </w:tc>
      </w:tr>
      <w:tr w:rsidR="00E95FB1" w:rsidRPr="002045F5" w:rsidTr="001B3967">
        <w:tc>
          <w:tcPr>
            <w:tcW w:w="2836" w:type="dxa"/>
            <w:shd w:val="clear" w:color="auto" w:fill="C6D9F1" w:themeFill="text2" w:themeFillTint="33"/>
          </w:tcPr>
          <w:p w:rsidR="00E95FB1" w:rsidRPr="002045F5" w:rsidRDefault="00E95FB1" w:rsidP="001B3967">
            <w:pPr>
              <w:rPr>
                <w:b/>
                <w:sz w:val="22"/>
                <w:lang w:val="uk-UA"/>
              </w:rPr>
            </w:pPr>
            <w:r w:rsidRPr="002045F5">
              <w:rPr>
                <w:b/>
                <w:sz w:val="22"/>
                <w:lang w:val="uk-UA"/>
              </w:rPr>
              <w:t>Опис проблеми, на вирішення якої  спрямований проект</w:t>
            </w:r>
          </w:p>
        </w:tc>
        <w:tc>
          <w:tcPr>
            <w:tcW w:w="6946" w:type="dxa"/>
            <w:gridSpan w:val="7"/>
          </w:tcPr>
          <w:p w:rsidR="00E95FB1" w:rsidRPr="002045F5" w:rsidRDefault="00E95FB1" w:rsidP="001B3967">
            <w:pPr>
              <w:ind w:firstLine="308"/>
              <w:rPr>
                <w:sz w:val="22"/>
                <w:lang w:val="uk-UA"/>
              </w:rPr>
            </w:pPr>
            <w:r w:rsidRPr="002045F5">
              <w:rPr>
                <w:sz w:val="22"/>
                <w:lang w:val="uk-UA"/>
              </w:rPr>
              <w:t>Через військову агресію РФ територія Сєвєродонецької міської територіальної громади зазнала значних пошкоджень. Не оминуло це і Комунальний Заклад  «Сєвєродонецька міська публічна бібліотека».</w:t>
            </w:r>
          </w:p>
          <w:p w:rsidR="00E95FB1" w:rsidRPr="002045F5" w:rsidRDefault="00E95FB1" w:rsidP="001B3967">
            <w:pPr>
              <w:ind w:firstLine="308"/>
              <w:rPr>
                <w:sz w:val="22"/>
                <w:lang w:val="uk-UA"/>
              </w:rPr>
            </w:pPr>
            <w:r w:rsidRPr="002045F5">
              <w:rPr>
                <w:sz w:val="22"/>
                <w:lang w:val="uk-UA"/>
              </w:rPr>
              <w:t>Вся матеріально-технічна база потребує забезпечення</w:t>
            </w:r>
            <w:r w:rsidR="002B1A7D" w:rsidRPr="002045F5">
              <w:rPr>
                <w:sz w:val="22"/>
                <w:lang w:val="uk-UA"/>
              </w:rPr>
              <w:t>,</w:t>
            </w:r>
            <w:r w:rsidRPr="002045F5">
              <w:rPr>
                <w:sz w:val="22"/>
                <w:lang w:val="uk-UA"/>
              </w:rPr>
              <w:t xml:space="preserve"> необхідного для діяльності закладу, зокрема:</w:t>
            </w:r>
          </w:p>
          <w:p w:rsidR="00E95FB1" w:rsidRPr="002045F5" w:rsidRDefault="00E95FB1" w:rsidP="000303D7">
            <w:pPr>
              <w:numPr>
                <w:ilvl w:val="0"/>
                <w:numId w:val="9"/>
              </w:numPr>
              <w:tabs>
                <w:tab w:val="clear" w:pos="1068"/>
                <w:tab w:val="left" w:pos="449"/>
              </w:tabs>
              <w:ind w:left="24" w:firstLine="284"/>
              <w:rPr>
                <w:sz w:val="22"/>
                <w:lang w:val="uk-UA"/>
              </w:rPr>
            </w:pPr>
            <w:r w:rsidRPr="002045F5">
              <w:rPr>
                <w:sz w:val="22"/>
                <w:lang w:val="uk-UA"/>
              </w:rPr>
              <w:t>обладнання (устаткування);</w:t>
            </w:r>
          </w:p>
          <w:p w:rsidR="00E95FB1" w:rsidRPr="002045F5" w:rsidRDefault="00E95FB1" w:rsidP="000303D7">
            <w:pPr>
              <w:numPr>
                <w:ilvl w:val="0"/>
                <w:numId w:val="9"/>
              </w:numPr>
              <w:tabs>
                <w:tab w:val="clear" w:pos="1068"/>
                <w:tab w:val="left" w:pos="449"/>
              </w:tabs>
              <w:ind w:left="24" w:firstLine="284"/>
              <w:rPr>
                <w:sz w:val="22"/>
                <w:lang w:val="uk-UA"/>
              </w:rPr>
            </w:pPr>
            <w:r w:rsidRPr="002045F5">
              <w:rPr>
                <w:sz w:val="22"/>
                <w:lang w:val="uk-UA"/>
              </w:rPr>
              <w:t>обчислювальна техніка із відповідним програмним забезпеченням;</w:t>
            </w:r>
          </w:p>
          <w:p w:rsidR="00E95FB1" w:rsidRPr="002045F5" w:rsidRDefault="00E95FB1" w:rsidP="000303D7">
            <w:pPr>
              <w:numPr>
                <w:ilvl w:val="0"/>
                <w:numId w:val="9"/>
              </w:numPr>
              <w:tabs>
                <w:tab w:val="clear" w:pos="1068"/>
                <w:tab w:val="left" w:pos="449"/>
              </w:tabs>
              <w:ind w:left="24" w:firstLine="284"/>
              <w:rPr>
                <w:sz w:val="22"/>
                <w:lang w:val="uk-UA"/>
              </w:rPr>
            </w:pPr>
            <w:r w:rsidRPr="002045F5">
              <w:rPr>
                <w:sz w:val="22"/>
                <w:lang w:val="uk-UA"/>
              </w:rPr>
              <w:t>інша оргтехніка (монітори, комп’ютери, принтери, сканери ,інтерактивні дошки та ін..);</w:t>
            </w:r>
          </w:p>
          <w:p w:rsidR="00E95FB1" w:rsidRPr="002045F5" w:rsidRDefault="00E95FB1" w:rsidP="000303D7">
            <w:pPr>
              <w:pStyle w:val="13"/>
              <w:numPr>
                <w:ilvl w:val="0"/>
                <w:numId w:val="9"/>
              </w:numPr>
              <w:tabs>
                <w:tab w:val="clear" w:pos="1068"/>
                <w:tab w:val="left" w:pos="449"/>
              </w:tabs>
              <w:ind w:left="24" w:firstLine="284"/>
              <w:jc w:val="both"/>
              <w:rPr>
                <w:sz w:val="22"/>
                <w:lang w:val="uk-UA"/>
              </w:rPr>
            </w:pPr>
            <w:r w:rsidRPr="002045F5">
              <w:rPr>
                <w:sz w:val="22"/>
                <w:lang w:val="uk-UA"/>
              </w:rPr>
              <w:t>основні засоби (офісні меблі, сейф, бібліотечний фонд, обладнання для проведення заходів) були знищені або викрадені.</w:t>
            </w:r>
          </w:p>
          <w:p w:rsidR="00E95FB1" w:rsidRPr="002045F5" w:rsidRDefault="00E95FB1" w:rsidP="001B3967">
            <w:pPr>
              <w:ind w:firstLine="308"/>
              <w:rPr>
                <w:sz w:val="22"/>
                <w:lang w:val="uk-UA"/>
              </w:rPr>
            </w:pPr>
            <w:r w:rsidRPr="002045F5">
              <w:rPr>
                <w:sz w:val="22"/>
                <w:lang w:val="uk-UA"/>
              </w:rPr>
              <w:t xml:space="preserve">    Для відбудови та сталого розвитку громади потрібне відновлення роботи мережі бібліотек, </w:t>
            </w:r>
            <w:proofErr w:type="spellStart"/>
            <w:r w:rsidRPr="002045F5">
              <w:rPr>
                <w:sz w:val="22"/>
                <w:lang w:val="uk-UA"/>
              </w:rPr>
              <w:t>медіатек</w:t>
            </w:r>
            <w:proofErr w:type="spellEnd"/>
            <w:r w:rsidRPr="002045F5">
              <w:rPr>
                <w:sz w:val="22"/>
                <w:lang w:val="uk-UA"/>
              </w:rPr>
              <w:t>, а саме Комунального Закладу  «Сєвєродонецька міська публічна бібліотека». Мешканці громади потребують в отриманні якісних послуг, які відповідають нормам сучасності.</w:t>
            </w:r>
            <w:r w:rsidRPr="002045F5">
              <w:rPr>
                <w:rFonts w:eastAsia="Arial"/>
                <w:sz w:val="22"/>
                <w:lang w:val="uk-UA"/>
              </w:rPr>
              <w:t xml:space="preserve"> </w:t>
            </w:r>
          </w:p>
        </w:tc>
      </w:tr>
      <w:tr w:rsidR="00E95FB1" w:rsidRPr="002045F5" w:rsidTr="001B3967">
        <w:tc>
          <w:tcPr>
            <w:tcW w:w="2836"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lastRenderedPageBreak/>
              <w:t>Очікувані якісні результати від реалізації проекту</w:t>
            </w:r>
          </w:p>
        </w:tc>
        <w:tc>
          <w:tcPr>
            <w:tcW w:w="6946" w:type="dxa"/>
            <w:gridSpan w:val="7"/>
          </w:tcPr>
          <w:p w:rsidR="00E95FB1" w:rsidRPr="002045F5" w:rsidRDefault="00E95FB1" w:rsidP="001B3967">
            <w:pPr>
              <w:pStyle w:val="af7"/>
              <w:rPr>
                <w:b/>
                <w:color w:val="000000" w:themeColor="text1"/>
                <w:sz w:val="22"/>
                <w:lang w:val="uk-UA"/>
              </w:rPr>
            </w:pPr>
            <w:r w:rsidRPr="002045F5">
              <w:rPr>
                <w:sz w:val="22"/>
                <w:lang w:val="uk-UA"/>
              </w:rPr>
              <w:t>- забезпечення населення можливостями для реалізації його конституційних прав;</w:t>
            </w:r>
          </w:p>
          <w:p w:rsidR="00E95FB1" w:rsidRPr="002045F5" w:rsidRDefault="00E95FB1" w:rsidP="001B3967">
            <w:pPr>
              <w:pStyle w:val="a7"/>
              <w:ind w:left="0"/>
              <w:rPr>
                <w:b/>
                <w:sz w:val="22"/>
                <w:lang w:val="uk-UA"/>
              </w:rPr>
            </w:pPr>
            <w:r w:rsidRPr="002045F5">
              <w:rPr>
                <w:b/>
                <w:sz w:val="22"/>
                <w:lang w:val="uk-UA"/>
              </w:rPr>
              <w:t xml:space="preserve">- </w:t>
            </w:r>
            <w:r w:rsidRPr="002045F5">
              <w:rPr>
                <w:sz w:val="22"/>
                <w:lang w:val="uk-UA"/>
              </w:rPr>
              <w:t>надання широкого спектру послуг, пов’язаних із</w:t>
            </w:r>
            <w:r w:rsidRPr="002045F5">
              <w:rPr>
                <w:b/>
                <w:sz w:val="22"/>
                <w:lang w:val="uk-UA"/>
              </w:rPr>
              <w:t xml:space="preserve"> </w:t>
            </w:r>
            <w:r w:rsidRPr="002045F5">
              <w:rPr>
                <w:rStyle w:val="10"/>
                <w:b w:val="0"/>
                <w:color w:val="000000" w:themeColor="text1"/>
                <w:sz w:val="22"/>
                <w:lang w:val="uk-UA"/>
              </w:rPr>
              <w:t>можливостями доступу людини до духовних цінностей свого народу (нації) та всього людства</w:t>
            </w:r>
            <w:r w:rsidRPr="002045F5">
              <w:rPr>
                <w:b/>
                <w:sz w:val="22"/>
                <w:lang w:val="uk-UA"/>
              </w:rPr>
              <w:t xml:space="preserve">; </w:t>
            </w:r>
            <w:r w:rsidRPr="002045F5">
              <w:rPr>
                <w:rStyle w:val="10"/>
                <w:b w:val="0"/>
                <w:color w:val="000000" w:themeColor="text1"/>
                <w:sz w:val="22"/>
                <w:lang w:val="uk-UA"/>
              </w:rPr>
              <w:t xml:space="preserve">розвитку української нації, її історичної свідомості, традицій і культури, а також розвитку етнічної, культурної, </w:t>
            </w:r>
            <w:proofErr w:type="spellStart"/>
            <w:r w:rsidRPr="002045F5">
              <w:rPr>
                <w:rStyle w:val="10"/>
                <w:b w:val="0"/>
                <w:color w:val="000000" w:themeColor="text1"/>
                <w:sz w:val="22"/>
                <w:lang w:val="uk-UA"/>
              </w:rPr>
              <w:t>мовної</w:t>
            </w:r>
            <w:proofErr w:type="spellEnd"/>
            <w:r w:rsidRPr="002045F5">
              <w:rPr>
                <w:rStyle w:val="10"/>
                <w:b w:val="0"/>
                <w:color w:val="000000" w:themeColor="text1"/>
                <w:sz w:val="22"/>
                <w:lang w:val="uk-UA"/>
              </w:rPr>
              <w:t xml:space="preserve"> та релігійної самобутності всіх корінних народів і національних меншин України;</w:t>
            </w:r>
          </w:p>
          <w:p w:rsidR="00E95FB1" w:rsidRPr="002045F5" w:rsidRDefault="00E95FB1" w:rsidP="001B3967">
            <w:pPr>
              <w:pStyle w:val="a7"/>
              <w:ind w:left="0"/>
              <w:rPr>
                <w:sz w:val="22"/>
                <w:lang w:val="uk-UA"/>
              </w:rPr>
            </w:pPr>
            <w:r w:rsidRPr="002045F5">
              <w:rPr>
                <w:sz w:val="22"/>
                <w:lang w:val="uk-UA"/>
              </w:rPr>
              <w:t>- вирішення ряду питань в межах статутної діяльності, пов’язаних із відбудовою та сталим розвитком громади;</w:t>
            </w:r>
          </w:p>
          <w:p w:rsidR="00E95FB1" w:rsidRPr="002045F5" w:rsidRDefault="00E95FB1" w:rsidP="001B3967">
            <w:pPr>
              <w:tabs>
                <w:tab w:val="left" w:pos="253"/>
              </w:tabs>
              <w:rPr>
                <w:sz w:val="22"/>
                <w:lang w:val="uk-UA"/>
              </w:rPr>
            </w:pPr>
            <w:r w:rsidRPr="002045F5">
              <w:rPr>
                <w:sz w:val="22"/>
                <w:lang w:val="uk-UA"/>
              </w:rPr>
              <w:t>- задоволення інформаційних потреб  користувачів;</w:t>
            </w:r>
          </w:p>
          <w:p w:rsidR="00E95FB1" w:rsidRPr="002045F5" w:rsidRDefault="00E95FB1" w:rsidP="001B3967">
            <w:pPr>
              <w:tabs>
                <w:tab w:val="left" w:pos="253"/>
              </w:tabs>
              <w:rPr>
                <w:sz w:val="22"/>
                <w:lang w:val="uk-UA"/>
              </w:rPr>
            </w:pPr>
            <w:r w:rsidRPr="002045F5">
              <w:rPr>
                <w:sz w:val="22"/>
                <w:lang w:val="uk-UA"/>
              </w:rPr>
              <w:t>- забезпечення доступу читачів до кращих зразків книжкової продукції. Збільшення книговидачі щорічно;</w:t>
            </w:r>
          </w:p>
          <w:p w:rsidR="00E95FB1" w:rsidRPr="002045F5" w:rsidRDefault="00E95FB1" w:rsidP="001B3967">
            <w:pPr>
              <w:tabs>
                <w:tab w:val="left" w:pos="253"/>
              </w:tabs>
              <w:rPr>
                <w:sz w:val="22"/>
                <w:lang w:val="uk-UA"/>
              </w:rPr>
            </w:pPr>
            <w:r w:rsidRPr="002045F5">
              <w:rPr>
                <w:sz w:val="22"/>
                <w:lang w:val="uk-UA"/>
              </w:rPr>
              <w:t>- створення комфортних умов для відвідувачів та робітників закладу;</w:t>
            </w:r>
          </w:p>
          <w:p w:rsidR="00E95FB1" w:rsidRPr="002045F5" w:rsidRDefault="00E95FB1" w:rsidP="001B3967">
            <w:pPr>
              <w:tabs>
                <w:tab w:val="left" w:pos="253"/>
              </w:tabs>
              <w:rPr>
                <w:sz w:val="22"/>
                <w:lang w:val="uk-UA"/>
              </w:rPr>
            </w:pPr>
            <w:r w:rsidRPr="002045F5">
              <w:rPr>
                <w:color w:val="000000"/>
                <w:sz w:val="22"/>
                <w:lang w:val="uk-UA"/>
              </w:rPr>
              <w:t>- зберігання бібліотечних фондів згідно встановлених норм</w:t>
            </w:r>
            <w:r w:rsidR="00ED0CE5" w:rsidRPr="002045F5">
              <w:rPr>
                <w:color w:val="000000"/>
                <w:sz w:val="22"/>
                <w:lang w:val="uk-UA"/>
              </w:rPr>
              <w:t>;</w:t>
            </w:r>
          </w:p>
          <w:p w:rsidR="00E95FB1" w:rsidRPr="002045F5" w:rsidRDefault="00E95FB1" w:rsidP="001B3967">
            <w:pPr>
              <w:tabs>
                <w:tab w:val="left" w:pos="253"/>
                <w:tab w:val="left" w:pos="395"/>
              </w:tabs>
              <w:rPr>
                <w:color w:val="000000"/>
                <w:sz w:val="22"/>
                <w:lang w:val="uk-UA"/>
              </w:rPr>
            </w:pPr>
            <w:r w:rsidRPr="002045F5">
              <w:rPr>
                <w:rFonts w:eastAsia="Calibri"/>
                <w:sz w:val="22"/>
                <w:lang w:val="uk-UA"/>
              </w:rPr>
              <w:t>- задоволення культурних потреб мешканців об’єднаної територіальної громади, поліпшення естетичного вигляду;</w:t>
            </w:r>
          </w:p>
          <w:p w:rsidR="00E95FB1" w:rsidRPr="002045F5" w:rsidRDefault="00E95FB1" w:rsidP="001B3967">
            <w:pPr>
              <w:pStyle w:val="a7"/>
              <w:ind w:left="0"/>
              <w:rPr>
                <w:sz w:val="22"/>
                <w:lang w:val="uk-UA"/>
              </w:rPr>
            </w:pPr>
            <w:r w:rsidRPr="002045F5">
              <w:rPr>
                <w:sz w:val="22"/>
                <w:lang w:val="uk-UA"/>
              </w:rPr>
              <w:t>- стимул до повернення ВПО до громади.</w:t>
            </w:r>
          </w:p>
        </w:tc>
      </w:tr>
      <w:tr w:rsidR="00E95FB1" w:rsidRPr="002045F5" w:rsidTr="001B3967">
        <w:trPr>
          <w:trHeight w:val="390"/>
        </w:trPr>
        <w:tc>
          <w:tcPr>
            <w:tcW w:w="2836" w:type="dxa"/>
            <w:vMerge w:val="restart"/>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 xml:space="preserve">Очікувані кількісні результати реалізації </w:t>
            </w:r>
            <w:proofErr w:type="spellStart"/>
            <w:r w:rsidRPr="002045F5">
              <w:rPr>
                <w:b/>
                <w:sz w:val="22"/>
                <w:lang w:val="uk-UA"/>
              </w:rPr>
              <w:t>проєкту</w:t>
            </w:r>
            <w:proofErr w:type="spellEnd"/>
            <w:r w:rsidRPr="002045F5">
              <w:rPr>
                <w:b/>
                <w:sz w:val="22"/>
                <w:lang w:val="uk-UA"/>
              </w:rPr>
              <w:t xml:space="preserve"> (індикатори)</w:t>
            </w:r>
          </w:p>
          <w:p w:rsidR="00E95FB1" w:rsidRPr="002045F5" w:rsidRDefault="00E95FB1" w:rsidP="001B3967">
            <w:pPr>
              <w:pStyle w:val="a7"/>
              <w:ind w:left="0"/>
              <w:rPr>
                <w:b/>
                <w:sz w:val="22"/>
                <w:lang w:val="uk-UA"/>
              </w:rPr>
            </w:pPr>
          </w:p>
        </w:tc>
        <w:tc>
          <w:tcPr>
            <w:tcW w:w="2614" w:type="dxa"/>
            <w:gridSpan w:val="2"/>
            <w:tcBorders>
              <w:bottom w:val="single" w:sz="4" w:space="0" w:color="auto"/>
              <w:right w:val="single" w:sz="4" w:space="0" w:color="auto"/>
            </w:tcBorders>
          </w:tcPr>
          <w:p w:rsidR="00E95FB1" w:rsidRPr="002045F5" w:rsidRDefault="00E95FB1" w:rsidP="001B3967">
            <w:pPr>
              <w:pStyle w:val="a7"/>
              <w:ind w:left="-108"/>
              <w:jc w:val="center"/>
              <w:rPr>
                <w:b/>
                <w:sz w:val="22"/>
                <w:lang w:val="uk-UA"/>
              </w:rPr>
            </w:pPr>
            <w:r w:rsidRPr="002045F5">
              <w:rPr>
                <w:b/>
                <w:sz w:val="22"/>
                <w:lang w:val="uk-UA"/>
              </w:rPr>
              <w:t>Найменування показника</w:t>
            </w:r>
          </w:p>
        </w:tc>
        <w:tc>
          <w:tcPr>
            <w:tcW w:w="2242" w:type="dxa"/>
            <w:gridSpan w:val="3"/>
            <w:tcBorders>
              <w:left w:val="single" w:sz="4" w:space="0" w:color="auto"/>
              <w:bottom w:val="single" w:sz="4" w:space="0" w:color="auto"/>
              <w:right w:val="single" w:sz="4" w:space="0" w:color="auto"/>
            </w:tcBorders>
          </w:tcPr>
          <w:p w:rsidR="00E95FB1" w:rsidRPr="002045F5" w:rsidRDefault="00E95FB1" w:rsidP="001B3967">
            <w:pPr>
              <w:pStyle w:val="a7"/>
              <w:ind w:left="0"/>
              <w:jc w:val="center"/>
              <w:rPr>
                <w:b/>
                <w:sz w:val="22"/>
                <w:lang w:val="uk-UA"/>
              </w:rPr>
            </w:pPr>
            <w:r w:rsidRPr="002045F5">
              <w:rPr>
                <w:b/>
                <w:sz w:val="22"/>
                <w:lang w:val="uk-UA"/>
              </w:rPr>
              <w:t>Одиниця вимірювання</w:t>
            </w:r>
          </w:p>
          <w:p w:rsidR="00E95FB1" w:rsidRPr="002045F5" w:rsidRDefault="00E95FB1" w:rsidP="001B3967">
            <w:pPr>
              <w:pStyle w:val="a7"/>
              <w:ind w:left="0"/>
              <w:rPr>
                <w:b/>
                <w:sz w:val="22"/>
                <w:lang w:val="uk-UA"/>
              </w:rPr>
            </w:pPr>
          </w:p>
        </w:tc>
        <w:tc>
          <w:tcPr>
            <w:tcW w:w="2090" w:type="dxa"/>
            <w:gridSpan w:val="2"/>
            <w:tcBorders>
              <w:left w:val="single" w:sz="4" w:space="0" w:color="auto"/>
              <w:bottom w:val="single" w:sz="4" w:space="0" w:color="auto"/>
            </w:tcBorders>
          </w:tcPr>
          <w:p w:rsidR="00E95FB1" w:rsidRPr="002045F5" w:rsidRDefault="00E95FB1" w:rsidP="001B3967">
            <w:pPr>
              <w:pStyle w:val="a7"/>
              <w:ind w:left="0"/>
              <w:jc w:val="center"/>
              <w:rPr>
                <w:b/>
                <w:sz w:val="22"/>
                <w:lang w:val="uk-UA"/>
              </w:rPr>
            </w:pPr>
            <w:r w:rsidRPr="002045F5">
              <w:rPr>
                <w:b/>
                <w:sz w:val="22"/>
                <w:lang w:val="uk-UA"/>
              </w:rPr>
              <w:t>Прогнозне (цільове) значення</w:t>
            </w:r>
          </w:p>
        </w:tc>
      </w:tr>
      <w:tr w:rsidR="00E95FB1" w:rsidRPr="002045F5" w:rsidTr="001B3967">
        <w:trPr>
          <w:trHeight w:val="1202"/>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2614" w:type="dxa"/>
            <w:gridSpan w:val="2"/>
            <w:tcBorders>
              <w:top w:val="single" w:sz="4" w:space="0" w:color="auto"/>
              <w:bottom w:val="single" w:sz="4" w:space="0" w:color="auto"/>
              <w:right w:val="single" w:sz="4" w:space="0" w:color="auto"/>
            </w:tcBorders>
          </w:tcPr>
          <w:p w:rsidR="00E95FB1" w:rsidRPr="002045F5" w:rsidRDefault="00E95FB1" w:rsidP="00ED0CE5">
            <w:pPr>
              <w:pStyle w:val="a7"/>
              <w:ind w:left="0"/>
              <w:rPr>
                <w:sz w:val="22"/>
                <w:lang w:val="uk-UA"/>
              </w:rPr>
            </w:pPr>
            <w:r w:rsidRPr="002045F5">
              <w:rPr>
                <w:sz w:val="22"/>
                <w:lang w:val="uk-UA"/>
              </w:rPr>
              <w:t>Кількість фізичних осіб (користувачів), які звернулись за послугами протягом  року</w:t>
            </w:r>
          </w:p>
        </w:tc>
        <w:tc>
          <w:tcPr>
            <w:tcW w:w="2242" w:type="dxa"/>
            <w:gridSpan w:val="3"/>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jc w:val="center"/>
              <w:rPr>
                <w:sz w:val="22"/>
                <w:lang w:val="uk-UA"/>
              </w:rPr>
            </w:pPr>
            <w:r w:rsidRPr="002045F5">
              <w:rPr>
                <w:rFonts w:eastAsia="Arial"/>
                <w:sz w:val="22"/>
                <w:lang w:val="uk-UA"/>
              </w:rPr>
              <w:t>осіб</w:t>
            </w:r>
          </w:p>
        </w:tc>
        <w:tc>
          <w:tcPr>
            <w:tcW w:w="2090" w:type="dxa"/>
            <w:gridSpan w:val="2"/>
            <w:tcBorders>
              <w:top w:val="single" w:sz="4" w:space="0" w:color="auto"/>
              <w:left w:val="single" w:sz="4" w:space="0" w:color="auto"/>
              <w:bottom w:val="single" w:sz="4" w:space="0" w:color="auto"/>
            </w:tcBorders>
            <w:vAlign w:val="center"/>
          </w:tcPr>
          <w:p w:rsidR="00E95FB1" w:rsidRPr="002045F5" w:rsidRDefault="00E95FB1" w:rsidP="001B3967">
            <w:pPr>
              <w:jc w:val="center"/>
              <w:rPr>
                <w:rFonts w:eastAsia="Arial"/>
                <w:sz w:val="22"/>
                <w:lang w:val="uk-UA"/>
              </w:rPr>
            </w:pPr>
            <w:r w:rsidRPr="002045F5">
              <w:rPr>
                <w:rFonts w:eastAsia="Arial"/>
                <w:sz w:val="22"/>
                <w:lang w:val="uk-UA"/>
              </w:rPr>
              <w:t>10812</w:t>
            </w:r>
          </w:p>
        </w:tc>
      </w:tr>
      <w:tr w:rsidR="00E95FB1" w:rsidRPr="002045F5" w:rsidTr="001B3967">
        <w:trPr>
          <w:trHeight w:val="184"/>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2614" w:type="dxa"/>
            <w:gridSpan w:val="2"/>
            <w:tcBorders>
              <w:top w:val="single" w:sz="4" w:space="0" w:color="auto"/>
              <w:bottom w:val="single" w:sz="4" w:space="0" w:color="auto"/>
              <w:right w:val="single" w:sz="4" w:space="0" w:color="auto"/>
            </w:tcBorders>
          </w:tcPr>
          <w:p w:rsidR="00E95FB1" w:rsidRPr="002045F5" w:rsidRDefault="00E95FB1" w:rsidP="001B3967">
            <w:pPr>
              <w:pStyle w:val="a7"/>
              <w:ind w:left="0"/>
              <w:rPr>
                <w:sz w:val="22"/>
                <w:lang w:val="uk-UA"/>
              </w:rPr>
            </w:pPr>
            <w:r w:rsidRPr="002045F5">
              <w:rPr>
                <w:sz w:val="22"/>
                <w:lang w:val="uk-UA"/>
              </w:rPr>
              <w:t>Кількість книговидань протягом  року</w:t>
            </w:r>
          </w:p>
        </w:tc>
        <w:tc>
          <w:tcPr>
            <w:tcW w:w="2242" w:type="dxa"/>
            <w:gridSpan w:val="3"/>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примірників</w:t>
            </w:r>
          </w:p>
        </w:tc>
        <w:tc>
          <w:tcPr>
            <w:tcW w:w="2090" w:type="dxa"/>
            <w:gridSpan w:val="2"/>
            <w:tcBorders>
              <w:top w:val="single" w:sz="4" w:space="0" w:color="auto"/>
              <w:left w:val="single" w:sz="4" w:space="0" w:color="auto"/>
              <w:bottom w:val="single" w:sz="4" w:space="0" w:color="auto"/>
            </w:tcBorders>
            <w:vAlign w:val="center"/>
          </w:tcPr>
          <w:p w:rsidR="00E95FB1" w:rsidRPr="002045F5" w:rsidRDefault="00E95FB1" w:rsidP="001B3967">
            <w:pPr>
              <w:jc w:val="center"/>
              <w:rPr>
                <w:sz w:val="22"/>
                <w:lang w:val="uk-UA"/>
              </w:rPr>
            </w:pPr>
            <w:r w:rsidRPr="002045F5">
              <w:rPr>
                <w:sz w:val="22"/>
                <w:lang w:val="uk-UA"/>
              </w:rPr>
              <w:t>218000</w:t>
            </w:r>
          </w:p>
        </w:tc>
      </w:tr>
      <w:tr w:rsidR="00E95FB1" w:rsidRPr="002045F5" w:rsidTr="001B3967">
        <w:trPr>
          <w:trHeight w:val="184"/>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2614" w:type="dxa"/>
            <w:gridSpan w:val="2"/>
            <w:tcBorders>
              <w:top w:val="single" w:sz="4" w:space="0" w:color="auto"/>
              <w:bottom w:val="single" w:sz="4" w:space="0" w:color="auto"/>
              <w:right w:val="single" w:sz="4" w:space="0" w:color="auto"/>
            </w:tcBorders>
          </w:tcPr>
          <w:p w:rsidR="00E95FB1" w:rsidRPr="002045F5" w:rsidRDefault="00E95FB1" w:rsidP="001B3967">
            <w:pPr>
              <w:pStyle w:val="a7"/>
              <w:ind w:left="0"/>
              <w:rPr>
                <w:sz w:val="22"/>
                <w:lang w:val="uk-UA"/>
              </w:rPr>
            </w:pPr>
            <w:r w:rsidRPr="002045F5">
              <w:rPr>
                <w:sz w:val="22"/>
                <w:lang w:val="uk-UA"/>
              </w:rPr>
              <w:t>Кількість відвідувань заходів  протягом  року</w:t>
            </w:r>
          </w:p>
        </w:tc>
        <w:tc>
          <w:tcPr>
            <w:tcW w:w="2242" w:type="dxa"/>
            <w:gridSpan w:val="3"/>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осіб</w:t>
            </w:r>
          </w:p>
        </w:tc>
        <w:tc>
          <w:tcPr>
            <w:tcW w:w="2090" w:type="dxa"/>
            <w:gridSpan w:val="2"/>
            <w:tcBorders>
              <w:top w:val="single" w:sz="4" w:space="0" w:color="auto"/>
              <w:left w:val="single" w:sz="4" w:space="0" w:color="auto"/>
              <w:bottom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67365</w:t>
            </w:r>
          </w:p>
        </w:tc>
      </w:tr>
      <w:tr w:rsidR="00E95FB1" w:rsidRPr="002045F5" w:rsidTr="001B3967">
        <w:trPr>
          <w:trHeight w:val="184"/>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2614" w:type="dxa"/>
            <w:gridSpan w:val="2"/>
            <w:tcBorders>
              <w:top w:val="single" w:sz="4" w:space="0" w:color="auto"/>
              <w:bottom w:val="single" w:sz="4" w:space="0" w:color="auto"/>
              <w:right w:val="single" w:sz="4" w:space="0" w:color="auto"/>
            </w:tcBorders>
          </w:tcPr>
          <w:p w:rsidR="00E95FB1" w:rsidRPr="002045F5" w:rsidRDefault="00E95FB1" w:rsidP="001B3967">
            <w:pPr>
              <w:pStyle w:val="a7"/>
              <w:ind w:left="0"/>
              <w:rPr>
                <w:sz w:val="22"/>
                <w:lang w:val="uk-UA"/>
              </w:rPr>
            </w:pPr>
            <w:r w:rsidRPr="002045F5">
              <w:rPr>
                <w:sz w:val="22"/>
                <w:lang w:val="uk-UA"/>
              </w:rPr>
              <w:t>Кількість заходів для користувачів</w:t>
            </w:r>
          </w:p>
        </w:tc>
        <w:tc>
          <w:tcPr>
            <w:tcW w:w="2242" w:type="dxa"/>
            <w:gridSpan w:val="3"/>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одиниць</w:t>
            </w:r>
          </w:p>
        </w:tc>
        <w:tc>
          <w:tcPr>
            <w:tcW w:w="2090" w:type="dxa"/>
            <w:gridSpan w:val="2"/>
            <w:tcBorders>
              <w:top w:val="single" w:sz="4" w:space="0" w:color="auto"/>
              <w:left w:val="single" w:sz="4" w:space="0" w:color="auto"/>
              <w:bottom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324</w:t>
            </w:r>
          </w:p>
        </w:tc>
      </w:tr>
      <w:tr w:rsidR="00E95FB1" w:rsidRPr="002045F5" w:rsidTr="001B3967">
        <w:trPr>
          <w:trHeight w:val="165"/>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2614" w:type="dxa"/>
            <w:gridSpan w:val="2"/>
            <w:tcBorders>
              <w:top w:val="single" w:sz="4" w:space="0" w:color="auto"/>
              <w:bottom w:val="single" w:sz="4" w:space="0" w:color="auto"/>
              <w:right w:val="single" w:sz="4" w:space="0" w:color="auto"/>
            </w:tcBorders>
          </w:tcPr>
          <w:p w:rsidR="00E95FB1" w:rsidRPr="002045F5" w:rsidRDefault="00E95FB1" w:rsidP="001B3967">
            <w:pPr>
              <w:pStyle w:val="a7"/>
              <w:ind w:left="0"/>
              <w:rPr>
                <w:sz w:val="22"/>
                <w:lang w:val="uk-UA"/>
              </w:rPr>
            </w:pPr>
            <w:r w:rsidRPr="002045F5">
              <w:rPr>
                <w:sz w:val="22"/>
                <w:lang w:val="uk-UA"/>
              </w:rPr>
              <w:t>Середня вартість послуг</w:t>
            </w:r>
          </w:p>
        </w:tc>
        <w:tc>
          <w:tcPr>
            <w:tcW w:w="2242" w:type="dxa"/>
            <w:gridSpan w:val="3"/>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грн</w:t>
            </w:r>
          </w:p>
        </w:tc>
        <w:tc>
          <w:tcPr>
            <w:tcW w:w="2090" w:type="dxa"/>
            <w:gridSpan w:val="2"/>
            <w:tcBorders>
              <w:top w:val="single" w:sz="4" w:space="0" w:color="auto"/>
              <w:left w:val="single" w:sz="4" w:space="0" w:color="auto"/>
              <w:bottom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безкоштовно</w:t>
            </w:r>
          </w:p>
        </w:tc>
      </w:tr>
      <w:tr w:rsidR="00E95FB1" w:rsidRPr="002045F5" w:rsidTr="001B3967">
        <w:trPr>
          <w:trHeight w:val="150"/>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2614" w:type="dxa"/>
            <w:gridSpan w:val="2"/>
            <w:tcBorders>
              <w:top w:val="single" w:sz="4" w:space="0" w:color="auto"/>
              <w:right w:val="single" w:sz="4" w:space="0" w:color="auto"/>
            </w:tcBorders>
          </w:tcPr>
          <w:p w:rsidR="00E95FB1" w:rsidRPr="002045F5" w:rsidRDefault="00E95FB1" w:rsidP="001B3967">
            <w:pPr>
              <w:pStyle w:val="a7"/>
              <w:ind w:left="0"/>
              <w:rPr>
                <w:sz w:val="22"/>
                <w:lang w:val="uk-UA"/>
              </w:rPr>
            </w:pPr>
            <w:r w:rsidRPr="002045F5">
              <w:rPr>
                <w:sz w:val="22"/>
                <w:lang w:val="uk-UA"/>
              </w:rPr>
              <w:t>Термін надання послуги</w:t>
            </w:r>
          </w:p>
        </w:tc>
        <w:tc>
          <w:tcPr>
            <w:tcW w:w="2242" w:type="dxa"/>
            <w:gridSpan w:val="3"/>
            <w:tcBorders>
              <w:top w:val="single" w:sz="4" w:space="0" w:color="auto"/>
              <w:left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років</w:t>
            </w:r>
          </w:p>
        </w:tc>
        <w:tc>
          <w:tcPr>
            <w:tcW w:w="2090" w:type="dxa"/>
            <w:gridSpan w:val="2"/>
            <w:tcBorders>
              <w:top w:val="single" w:sz="4" w:space="0" w:color="auto"/>
              <w:lef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Від 1 до 120</w:t>
            </w:r>
          </w:p>
        </w:tc>
      </w:tr>
      <w:tr w:rsidR="00E95FB1" w:rsidRPr="002045F5" w:rsidTr="001B3967">
        <w:trPr>
          <w:trHeight w:val="150"/>
        </w:trPr>
        <w:tc>
          <w:tcPr>
            <w:tcW w:w="2836" w:type="dxa"/>
            <w:shd w:val="clear" w:color="auto" w:fill="C6D9F1" w:themeFill="text2" w:themeFillTint="33"/>
          </w:tcPr>
          <w:p w:rsidR="00E95FB1" w:rsidRPr="002045F5" w:rsidRDefault="00E95FB1" w:rsidP="001B3967">
            <w:pPr>
              <w:pStyle w:val="a7"/>
              <w:ind w:left="0"/>
              <w:rPr>
                <w:b/>
                <w:sz w:val="22"/>
                <w:lang w:val="uk-UA"/>
              </w:rPr>
            </w:pPr>
          </w:p>
        </w:tc>
        <w:tc>
          <w:tcPr>
            <w:tcW w:w="2614" w:type="dxa"/>
            <w:gridSpan w:val="2"/>
            <w:tcBorders>
              <w:top w:val="single" w:sz="4" w:space="0" w:color="auto"/>
              <w:right w:val="single" w:sz="4" w:space="0" w:color="auto"/>
            </w:tcBorders>
          </w:tcPr>
          <w:p w:rsidR="00E95FB1" w:rsidRPr="002045F5" w:rsidRDefault="00E95FB1" w:rsidP="00ED0CE5">
            <w:pPr>
              <w:pStyle w:val="a7"/>
              <w:ind w:left="0"/>
              <w:rPr>
                <w:sz w:val="22"/>
                <w:lang w:val="uk-UA"/>
              </w:rPr>
            </w:pPr>
            <w:r w:rsidRPr="002045F5">
              <w:rPr>
                <w:sz w:val="22"/>
                <w:lang w:val="uk-UA"/>
              </w:rPr>
              <w:t>Кількість населених пунктів, як</w:t>
            </w:r>
            <w:r w:rsidR="00ED0CE5" w:rsidRPr="002045F5">
              <w:rPr>
                <w:sz w:val="22"/>
                <w:lang w:val="uk-UA"/>
              </w:rPr>
              <w:t>і</w:t>
            </w:r>
            <w:r w:rsidRPr="002045F5">
              <w:rPr>
                <w:sz w:val="22"/>
                <w:lang w:val="uk-UA"/>
              </w:rPr>
              <w:t xml:space="preserve"> обслуговує заклад</w:t>
            </w:r>
          </w:p>
        </w:tc>
        <w:tc>
          <w:tcPr>
            <w:tcW w:w="2242" w:type="dxa"/>
            <w:gridSpan w:val="3"/>
            <w:tcBorders>
              <w:top w:val="single" w:sz="4" w:space="0" w:color="auto"/>
              <w:left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одиниць</w:t>
            </w:r>
          </w:p>
        </w:tc>
        <w:tc>
          <w:tcPr>
            <w:tcW w:w="2090" w:type="dxa"/>
            <w:gridSpan w:val="2"/>
            <w:tcBorders>
              <w:top w:val="single" w:sz="4" w:space="0" w:color="auto"/>
              <w:lef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20</w:t>
            </w:r>
          </w:p>
        </w:tc>
      </w:tr>
      <w:tr w:rsidR="00E95FB1" w:rsidRPr="002045F5" w:rsidTr="001B3967">
        <w:tc>
          <w:tcPr>
            <w:tcW w:w="2836" w:type="dxa"/>
            <w:shd w:val="clear" w:color="auto" w:fill="C6D9F1" w:themeFill="text2" w:themeFillTint="33"/>
          </w:tcPr>
          <w:p w:rsidR="00E95FB1" w:rsidRPr="002045F5" w:rsidRDefault="00E95FB1" w:rsidP="001B3967">
            <w:pPr>
              <w:rPr>
                <w:b/>
                <w:sz w:val="22"/>
                <w:lang w:val="uk-UA"/>
              </w:rPr>
            </w:pPr>
            <w:r w:rsidRPr="002045F5">
              <w:rPr>
                <w:b/>
                <w:sz w:val="22"/>
                <w:lang w:val="uk-UA"/>
              </w:rPr>
              <w:t xml:space="preserve">Ключові заходи проекту: </w:t>
            </w:r>
          </w:p>
          <w:p w:rsidR="00E95FB1" w:rsidRPr="002045F5" w:rsidRDefault="00E95FB1" w:rsidP="001B3967">
            <w:pPr>
              <w:pStyle w:val="a7"/>
              <w:ind w:left="0"/>
              <w:rPr>
                <w:b/>
                <w:sz w:val="22"/>
                <w:lang w:val="uk-UA"/>
              </w:rPr>
            </w:pPr>
          </w:p>
        </w:tc>
        <w:tc>
          <w:tcPr>
            <w:tcW w:w="6946" w:type="dxa"/>
            <w:gridSpan w:val="7"/>
          </w:tcPr>
          <w:p w:rsidR="00E95FB1" w:rsidRPr="002045F5" w:rsidRDefault="00E95FB1" w:rsidP="001B3967">
            <w:pPr>
              <w:pStyle w:val="a7"/>
              <w:ind w:left="0"/>
              <w:rPr>
                <w:sz w:val="22"/>
                <w:lang w:val="uk-UA"/>
              </w:rPr>
            </w:pPr>
            <w:r w:rsidRPr="002045F5">
              <w:rPr>
                <w:sz w:val="22"/>
                <w:lang w:val="uk-UA"/>
              </w:rPr>
              <w:t>- проведення інвентаризації основних засобів;</w:t>
            </w:r>
          </w:p>
          <w:p w:rsidR="00E95FB1" w:rsidRPr="002045F5" w:rsidRDefault="00E95FB1" w:rsidP="001B3967">
            <w:pPr>
              <w:pStyle w:val="a7"/>
              <w:ind w:left="0"/>
              <w:rPr>
                <w:sz w:val="22"/>
                <w:lang w:val="uk-UA"/>
              </w:rPr>
            </w:pPr>
            <w:r w:rsidRPr="002045F5">
              <w:rPr>
                <w:sz w:val="22"/>
                <w:lang w:val="uk-UA"/>
              </w:rPr>
              <w:t xml:space="preserve">- визначення кількості осіб, які потребують отримання послуг; </w:t>
            </w:r>
          </w:p>
          <w:p w:rsidR="00E95FB1" w:rsidRPr="002045F5" w:rsidRDefault="00E95FB1" w:rsidP="001B3967">
            <w:pPr>
              <w:pStyle w:val="a7"/>
              <w:ind w:left="0"/>
              <w:rPr>
                <w:sz w:val="22"/>
                <w:lang w:val="uk-UA"/>
              </w:rPr>
            </w:pPr>
            <w:r w:rsidRPr="002045F5">
              <w:rPr>
                <w:sz w:val="22"/>
                <w:lang w:val="uk-UA"/>
              </w:rPr>
              <w:t>- придбання технічного забезпечення закладу;</w:t>
            </w:r>
          </w:p>
          <w:p w:rsidR="00E95FB1" w:rsidRPr="002045F5" w:rsidRDefault="00E95FB1" w:rsidP="001B3967">
            <w:pPr>
              <w:pStyle w:val="a7"/>
              <w:ind w:left="0"/>
              <w:rPr>
                <w:sz w:val="22"/>
                <w:lang w:val="uk-UA"/>
              </w:rPr>
            </w:pPr>
            <w:r w:rsidRPr="002045F5">
              <w:rPr>
                <w:sz w:val="22"/>
                <w:lang w:val="uk-UA"/>
              </w:rPr>
              <w:t>- придбання технологічного забезпечення;</w:t>
            </w:r>
          </w:p>
          <w:p w:rsidR="00E95FB1" w:rsidRPr="002045F5" w:rsidRDefault="00E95FB1" w:rsidP="001B3967">
            <w:pPr>
              <w:pStyle w:val="a7"/>
              <w:ind w:left="0"/>
              <w:rPr>
                <w:sz w:val="22"/>
                <w:lang w:val="uk-UA"/>
              </w:rPr>
            </w:pPr>
            <w:r w:rsidRPr="002045F5">
              <w:rPr>
                <w:sz w:val="22"/>
                <w:lang w:val="uk-UA"/>
              </w:rPr>
              <w:t>- оновлення книжкового фонду, фонду періодичних видань бібліотечного фонду;</w:t>
            </w:r>
          </w:p>
          <w:p w:rsidR="00E95FB1" w:rsidRPr="002045F5" w:rsidRDefault="00E95FB1" w:rsidP="001B3967">
            <w:pPr>
              <w:pStyle w:val="a7"/>
              <w:ind w:left="0"/>
              <w:rPr>
                <w:sz w:val="22"/>
                <w:lang w:val="uk-UA"/>
              </w:rPr>
            </w:pPr>
            <w:r w:rsidRPr="002045F5">
              <w:rPr>
                <w:sz w:val="22"/>
                <w:lang w:val="uk-UA"/>
              </w:rPr>
              <w:t>- організація та початок робочого процесу (книговидача та проведення заходів).</w:t>
            </w:r>
          </w:p>
        </w:tc>
      </w:tr>
      <w:tr w:rsidR="00E95FB1" w:rsidRPr="002045F5" w:rsidTr="002869DF">
        <w:trPr>
          <w:trHeight w:val="360"/>
        </w:trPr>
        <w:tc>
          <w:tcPr>
            <w:tcW w:w="2836" w:type="dxa"/>
            <w:vMerge w:val="restart"/>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 xml:space="preserve">Орієнтовний обсяг та джерела фінансування, тис. грн. </w:t>
            </w:r>
          </w:p>
          <w:p w:rsidR="00E95FB1" w:rsidRPr="002045F5" w:rsidRDefault="00E95FB1" w:rsidP="001B3967">
            <w:pPr>
              <w:pStyle w:val="a7"/>
              <w:ind w:left="0"/>
              <w:rPr>
                <w:b/>
                <w:sz w:val="22"/>
                <w:lang w:val="uk-UA"/>
              </w:rPr>
            </w:pPr>
          </w:p>
        </w:tc>
        <w:tc>
          <w:tcPr>
            <w:tcW w:w="1559" w:type="dxa"/>
            <w:tcBorders>
              <w:bottom w:val="single" w:sz="4" w:space="0" w:color="auto"/>
              <w:right w:val="single" w:sz="4" w:space="0" w:color="auto"/>
            </w:tcBorders>
          </w:tcPr>
          <w:p w:rsidR="00E95FB1" w:rsidRPr="002045F5" w:rsidRDefault="00E95FB1" w:rsidP="001B3967">
            <w:pPr>
              <w:pStyle w:val="a7"/>
              <w:ind w:left="0"/>
              <w:jc w:val="center"/>
              <w:rPr>
                <w:b/>
                <w:sz w:val="22"/>
                <w:lang w:val="uk-UA"/>
              </w:rPr>
            </w:pPr>
            <w:r w:rsidRPr="002045F5">
              <w:rPr>
                <w:b/>
                <w:sz w:val="22"/>
                <w:lang w:val="uk-UA"/>
              </w:rPr>
              <w:t>Державний бюджет</w:t>
            </w:r>
          </w:p>
        </w:tc>
        <w:tc>
          <w:tcPr>
            <w:tcW w:w="1276" w:type="dxa"/>
            <w:gridSpan w:val="2"/>
            <w:tcBorders>
              <w:bottom w:val="single" w:sz="4" w:space="0" w:color="auto"/>
              <w:right w:val="single" w:sz="4" w:space="0" w:color="auto"/>
            </w:tcBorders>
          </w:tcPr>
          <w:p w:rsidR="00E95FB1" w:rsidRPr="002045F5" w:rsidRDefault="00E95FB1" w:rsidP="001B3967">
            <w:pPr>
              <w:pStyle w:val="a7"/>
              <w:ind w:left="0"/>
              <w:jc w:val="center"/>
              <w:rPr>
                <w:b/>
                <w:sz w:val="22"/>
                <w:lang w:val="uk-UA"/>
              </w:rPr>
            </w:pPr>
            <w:r w:rsidRPr="002045F5">
              <w:rPr>
                <w:b/>
                <w:sz w:val="22"/>
                <w:lang w:val="uk-UA"/>
              </w:rPr>
              <w:t>Місцевий бюджет</w:t>
            </w:r>
          </w:p>
        </w:tc>
        <w:tc>
          <w:tcPr>
            <w:tcW w:w="2705" w:type="dxa"/>
            <w:gridSpan w:val="3"/>
            <w:tcBorders>
              <w:left w:val="single" w:sz="4" w:space="0" w:color="auto"/>
              <w:bottom w:val="single" w:sz="4" w:space="0" w:color="auto"/>
              <w:right w:val="single" w:sz="4" w:space="0" w:color="auto"/>
            </w:tcBorders>
          </w:tcPr>
          <w:p w:rsidR="00E95FB1" w:rsidRPr="002045F5" w:rsidRDefault="00E95FB1" w:rsidP="001B3967">
            <w:pPr>
              <w:pStyle w:val="a7"/>
              <w:ind w:left="0"/>
              <w:jc w:val="center"/>
              <w:rPr>
                <w:b/>
                <w:sz w:val="22"/>
                <w:lang w:val="uk-UA"/>
              </w:rPr>
            </w:pPr>
            <w:r w:rsidRPr="002045F5">
              <w:rPr>
                <w:b/>
                <w:sz w:val="22"/>
                <w:lang w:val="uk-UA"/>
              </w:rPr>
              <w:t>Інші джерела</w:t>
            </w:r>
          </w:p>
        </w:tc>
        <w:tc>
          <w:tcPr>
            <w:tcW w:w="1406" w:type="dxa"/>
            <w:tcBorders>
              <w:left w:val="single" w:sz="4" w:space="0" w:color="auto"/>
              <w:bottom w:val="single" w:sz="4" w:space="0" w:color="auto"/>
            </w:tcBorders>
          </w:tcPr>
          <w:p w:rsidR="00E95FB1" w:rsidRPr="002045F5" w:rsidRDefault="00E95FB1" w:rsidP="001B3967">
            <w:pPr>
              <w:pStyle w:val="a7"/>
              <w:ind w:left="0"/>
              <w:jc w:val="center"/>
              <w:rPr>
                <w:b/>
                <w:sz w:val="22"/>
                <w:lang w:val="uk-UA"/>
              </w:rPr>
            </w:pPr>
            <w:r w:rsidRPr="002045F5">
              <w:rPr>
                <w:b/>
                <w:sz w:val="22"/>
                <w:lang w:val="uk-UA"/>
              </w:rPr>
              <w:t>Всього</w:t>
            </w:r>
          </w:p>
          <w:p w:rsidR="00E95FB1" w:rsidRPr="002045F5" w:rsidRDefault="00E95FB1" w:rsidP="001B3967">
            <w:pPr>
              <w:ind w:left="-79"/>
              <w:rPr>
                <w:b/>
                <w:sz w:val="22"/>
                <w:lang w:val="uk-UA"/>
              </w:rPr>
            </w:pPr>
            <w:r w:rsidRPr="002045F5">
              <w:rPr>
                <w:b/>
                <w:sz w:val="22"/>
                <w:lang w:val="uk-UA"/>
              </w:rPr>
              <w:t>тис. грн.</w:t>
            </w:r>
          </w:p>
          <w:p w:rsidR="00E95FB1" w:rsidRPr="002045F5" w:rsidRDefault="00E95FB1" w:rsidP="001B3967">
            <w:pPr>
              <w:pStyle w:val="a7"/>
              <w:ind w:left="0"/>
              <w:jc w:val="center"/>
              <w:rPr>
                <w:b/>
                <w:sz w:val="22"/>
                <w:lang w:val="uk-UA"/>
              </w:rPr>
            </w:pPr>
          </w:p>
        </w:tc>
      </w:tr>
      <w:tr w:rsidR="00E95FB1" w:rsidRPr="002045F5" w:rsidTr="002869DF">
        <w:trPr>
          <w:trHeight w:val="225"/>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1559" w:type="dxa"/>
            <w:vMerge w:val="restart"/>
            <w:tcBorders>
              <w:top w:val="single" w:sz="4" w:space="0" w:color="auto"/>
              <w:right w:val="single" w:sz="4" w:space="0" w:color="auto"/>
            </w:tcBorders>
          </w:tcPr>
          <w:p w:rsidR="00E95FB1" w:rsidRPr="002045F5" w:rsidRDefault="002869DF" w:rsidP="001B3967">
            <w:pPr>
              <w:pStyle w:val="a7"/>
              <w:ind w:left="0"/>
              <w:jc w:val="center"/>
              <w:rPr>
                <w:sz w:val="22"/>
              </w:rPr>
            </w:pPr>
            <w:r w:rsidRPr="002045F5">
              <w:rPr>
                <w:sz w:val="22"/>
              </w:rPr>
              <w:t>53138,953</w:t>
            </w:r>
          </w:p>
        </w:tc>
        <w:tc>
          <w:tcPr>
            <w:tcW w:w="1276" w:type="dxa"/>
            <w:gridSpan w:val="2"/>
            <w:vMerge w:val="restart"/>
            <w:tcBorders>
              <w:top w:val="single" w:sz="4" w:space="0" w:color="auto"/>
              <w:right w:val="single" w:sz="4" w:space="0" w:color="auto"/>
            </w:tcBorders>
          </w:tcPr>
          <w:p w:rsidR="00E95FB1" w:rsidRPr="002045F5" w:rsidRDefault="00E95FB1" w:rsidP="001B3967">
            <w:pPr>
              <w:pStyle w:val="a7"/>
              <w:ind w:left="0"/>
              <w:jc w:val="center"/>
              <w:rPr>
                <w:sz w:val="22"/>
                <w:lang w:val="uk-UA"/>
              </w:rPr>
            </w:pPr>
          </w:p>
        </w:tc>
        <w:tc>
          <w:tcPr>
            <w:tcW w:w="1222" w:type="dxa"/>
            <w:tcBorders>
              <w:top w:val="single" w:sz="4" w:space="0" w:color="auto"/>
              <w:left w:val="single" w:sz="4" w:space="0" w:color="auto"/>
              <w:bottom w:val="single" w:sz="4" w:space="0" w:color="auto"/>
              <w:right w:val="single" w:sz="4" w:space="0" w:color="auto"/>
            </w:tcBorders>
          </w:tcPr>
          <w:p w:rsidR="00E95FB1" w:rsidRPr="002045F5" w:rsidRDefault="00E95FB1" w:rsidP="001B3967">
            <w:pPr>
              <w:pStyle w:val="a7"/>
              <w:ind w:left="0"/>
              <w:jc w:val="center"/>
              <w:rPr>
                <w:sz w:val="22"/>
                <w:lang w:val="uk-UA"/>
              </w:rPr>
            </w:pPr>
            <w:r w:rsidRPr="002045F5">
              <w:rPr>
                <w:sz w:val="22"/>
                <w:lang w:val="uk-UA"/>
              </w:rPr>
              <w:t>Обсяг тис. грн.</w:t>
            </w:r>
          </w:p>
        </w:tc>
        <w:tc>
          <w:tcPr>
            <w:tcW w:w="1483" w:type="dxa"/>
            <w:gridSpan w:val="2"/>
            <w:tcBorders>
              <w:top w:val="single" w:sz="4" w:space="0" w:color="auto"/>
              <w:left w:val="single" w:sz="4" w:space="0" w:color="auto"/>
              <w:bottom w:val="single" w:sz="4" w:space="0" w:color="auto"/>
              <w:right w:val="single" w:sz="4" w:space="0" w:color="auto"/>
            </w:tcBorders>
          </w:tcPr>
          <w:p w:rsidR="00E95FB1" w:rsidRPr="002045F5" w:rsidRDefault="00E95FB1" w:rsidP="001B3967">
            <w:pPr>
              <w:pStyle w:val="a7"/>
              <w:ind w:left="0"/>
              <w:jc w:val="center"/>
              <w:rPr>
                <w:sz w:val="22"/>
                <w:lang w:val="uk-UA"/>
              </w:rPr>
            </w:pPr>
            <w:r w:rsidRPr="002045F5">
              <w:rPr>
                <w:sz w:val="22"/>
                <w:lang w:val="uk-UA"/>
              </w:rPr>
              <w:t>Назва джерела</w:t>
            </w:r>
          </w:p>
        </w:tc>
        <w:tc>
          <w:tcPr>
            <w:tcW w:w="1406" w:type="dxa"/>
            <w:vMerge w:val="restart"/>
            <w:tcBorders>
              <w:top w:val="single" w:sz="4" w:space="0" w:color="auto"/>
              <w:left w:val="single" w:sz="4" w:space="0" w:color="auto"/>
            </w:tcBorders>
          </w:tcPr>
          <w:p w:rsidR="00E95FB1" w:rsidRPr="002045F5" w:rsidRDefault="00E95FB1" w:rsidP="002869DF">
            <w:pPr>
              <w:pStyle w:val="a7"/>
              <w:ind w:left="0"/>
              <w:jc w:val="center"/>
              <w:rPr>
                <w:sz w:val="22"/>
                <w:lang w:val="uk-UA"/>
              </w:rPr>
            </w:pPr>
            <w:r w:rsidRPr="002045F5">
              <w:rPr>
                <w:sz w:val="22"/>
                <w:lang w:val="uk-UA"/>
              </w:rPr>
              <w:t>75912,79</w:t>
            </w:r>
          </w:p>
        </w:tc>
      </w:tr>
      <w:tr w:rsidR="00E95FB1" w:rsidRPr="002045F5" w:rsidTr="002869DF">
        <w:trPr>
          <w:trHeight w:val="300"/>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1559" w:type="dxa"/>
            <w:vMerge/>
            <w:tcBorders>
              <w:right w:val="single" w:sz="4" w:space="0" w:color="auto"/>
            </w:tcBorders>
          </w:tcPr>
          <w:p w:rsidR="00E95FB1" w:rsidRPr="002045F5" w:rsidRDefault="00E95FB1" w:rsidP="001B3967">
            <w:pPr>
              <w:pStyle w:val="a7"/>
              <w:ind w:left="0"/>
              <w:jc w:val="center"/>
              <w:rPr>
                <w:sz w:val="22"/>
                <w:lang w:val="uk-UA"/>
              </w:rPr>
            </w:pPr>
          </w:p>
        </w:tc>
        <w:tc>
          <w:tcPr>
            <w:tcW w:w="1276" w:type="dxa"/>
            <w:gridSpan w:val="2"/>
            <w:vMerge/>
            <w:tcBorders>
              <w:right w:val="single" w:sz="4" w:space="0" w:color="auto"/>
            </w:tcBorders>
          </w:tcPr>
          <w:p w:rsidR="00E95FB1" w:rsidRPr="002045F5" w:rsidRDefault="00E95FB1" w:rsidP="001B3967">
            <w:pPr>
              <w:pStyle w:val="a7"/>
              <w:ind w:left="0"/>
              <w:jc w:val="center"/>
              <w:rPr>
                <w:b/>
                <w:sz w:val="22"/>
                <w:lang w:val="uk-UA"/>
              </w:rPr>
            </w:pPr>
          </w:p>
        </w:tc>
        <w:tc>
          <w:tcPr>
            <w:tcW w:w="1222" w:type="dxa"/>
            <w:tcBorders>
              <w:top w:val="single" w:sz="4" w:space="0" w:color="auto"/>
              <w:left w:val="single" w:sz="4" w:space="0" w:color="auto"/>
              <w:right w:val="single" w:sz="4" w:space="0" w:color="auto"/>
            </w:tcBorders>
          </w:tcPr>
          <w:p w:rsidR="00E95FB1" w:rsidRPr="002045F5" w:rsidRDefault="002869DF" w:rsidP="001B3967">
            <w:pPr>
              <w:ind w:left="-79"/>
              <w:rPr>
                <w:sz w:val="22"/>
              </w:rPr>
            </w:pPr>
            <w:r w:rsidRPr="002045F5">
              <w:rPr>
                <w:sz w:val="22"/>
              </w:rPr>
              <w:t>22773,837</w:t>
            </w:r>
          </w:p>
        </w:tc>
        <w:tc>
          <w:tcPr>
            <w:tcW w:w="1483" w:type="dxa"/>
            <w:gridSpan w:val="2"/>
            <w:tcBorders>
              <w:top w:val="single" w:sz="4" w:space="0" w:color="auto"/>
              <w:left w:val="single" w:sz="4" w:space="0" w:color="auto"/>
              <w:right w:val="single" w:sz="4" w:space="0" w:color="auto"/>
            </w:tcBorders>
          </w:tcPr>
          <w:p w:rsidR="00E95FB1" w:rsidRPr="002045F5" w:rsidRDefault="00E95FB1" w:rsidP="001B3967">
            <w:pPr>
              <w:pStyle w:val="a7"/>
              <w:ind w:left="0"/>
              <w:jc w:val="center"/>
              <w:rPr>
                <w:sz w:val="22"/>
                <w:lang w:val="uk-UA"/>
              </w:rPr>
            </w:pPr>
            <w:r w:rsidRPr="002045F5">
              <w:rPr>
                <w:sz w:val="22"/>
                <w:lang w:val="uk-UA"/>
              </w:rPr>
              <w:t>Міжнародні інвестиції, кошти приватних осіб</w:t>
            </w:r>
          </w:p>
        </w:tc>
        <w:tc>
          <w:tcPr>
            <w:tcW w:w="1406" w:type="dxa"/>
            <w:vMerge/>
            <w:tcBorders>
              <w:left w:val="single" w:sz="4" w:space="0" w:color="auto"/>
            </w:tcBorders>
          </w:tcPr>
          <w:p w:rsidR="00E95FB1" w:rsidRPr="002045F5" w:rsidRDefault="00E95FB1" w:rsidP="001B3967">
            <w:pPr>
              <w:pStyle w:val="a7"/>
              <w:ind w:left="0"/>
              <w:jc w:val="center"/>
              <w:rPr>
                <w:sz w:val="22"/>
                <w:lang w:val="uk-UA"/>
              </w:rPr>
            </w:pPr>
          </w:p>
        </w:tc>
      </w:tr>
    </w:tbl>
    <w:p w:rsidR="00E95FB1" w:rsidRPr="002045F5" w:rsidRDefault="00E95FB1" w:rsidP="00E95FB1">
      <w:pPr>
        <w:rPr>
          <w:sz w:val="22"/>
        </w:rPr>
      </w:pPr>
    </w:p>
    <w:p w:rsidR="00E95FB1" w:rsidRPr="002045F5" w:rsidRDefault="00E95FB1" w:rsidP="00E95FB1">
      <w:pPr>
        <w:rPr>
          <w:sz w:val="22"/>
        </w:rPr>
      </w:pPr>
    </w:p>
    <w:p w:rsidR="00E95FB1" w:rsidRPr="002045F5" w:rsidRDefault="00E95FB1" w:rsidP="00E95FB1">
      <w:pPr>
        <w:rPr>
          <w:sz w:val="22"/>
        </w:rPr>
      </w:pPr>
    </w:p>
    <w:p w:rsidR="00E95FB1" w:rsidRPr="002045F5" w:rsidRDefault="00E95FB1" w:rsidP="00E95FB1">
      <w:pPr>
        <w:rPr>
          <w:sz w:val="22"/>
        </w:rPr>
      </w:pPr>
    </w:p>
    <w:tbl>
      <w:tblPr>
        <w:tblStyle w:val="af"/>
        <w:tblW w:w="9782" w:type="dxa"/>
        <w:tblInd w:w="-176" w:type="dxa"/>
        <w:tblLayout w:type="fixed"/>
        <w:tblLook w:val="04A0" w:firstRow="1" w:lastRow="0" w:firstColumn="1" w:lastColumn="0" w:noHBand="0" w:noVBand="1"/>
      </w:tblPr>
      <w:tblGrid>
        <w:gridCol w:w="2836"/>
        <w:gridCol w:w="1559"/>
        <w:gridCol w:w="1321"/>
        <w:gridCol w:w="180"/>
        <w:gridCol w:w="1042"/>
        <w:gridCol w:w="763"/>
        <w:gridCol w:w="753"/>
        <w:gridCol w:w="1328"/>
      </w:tblGrid>
      <w:tr w:rsidR="00E95FB1" w:rsidRPr="002045F5" w:rsidTr="001B3967">
        <w:tc>
          <w:tcPr>
            <w:tcW w:w="2836"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Оперативна ціль/завдання</w:t>
            </w:r>
          </w:p>
        </w:tc>
        <w:tc>
          <w:tcPr>
            <w:tcW w:w="6946" w:type="dxa"/>
            <w:gridSpan w:val="7"/>
            <w:shd w:val="clear" w:color="auto" w:fill="auto"/>
          </w:tcPr>
          <w:p w:rsidR="00E95FB1" w:rsidRPr="002045F5" w:rsidRDefault="00F86F21" w:rsidP="00F86F21">
            <w:pPr>
              <w:pStyle w:val="a7"/>
              <w:ind w:left="0"/>
              <w:rPr>
                <w:b/>
                <w:sz w:val="22"/>
                <w:lang w:val="uk-UA"/>
              </w:rPr>
            </w:pPr>
            <w:r w:rsidRPr="002045F5">
              <w:rPr>
                <w:rFonts w:eastAsia="Arial"/>
                <w:sz w:val="22"/>
                <w:lang w:val="uk-UA"/>
              </w:rPr>
              <w:t xml:space="preserve">Людський розвиток </w:t>
            </w:r>
            <w:r w:rsidR="00E95FB1" w:rsidRPr="002045F5">
              <w:rPr>
                <w:rFonts w:eastAsia="Arial"/>
                <w:sz w:val="22"/>
                <w:lang w:val="uk-UA"/>
              </w:rPr>
              <w:t>через інновації управління та довіру до влади</w:t>
            </w:r>
            <w:r w:rsidRPr="002045F5">
              <w:rPr>
                <w:rFonts w:eastAsia="Arial"/>
                <w:sz w:val="22"/>
                <w:lang w:val="uk-UA"/>
              </w:rPr>
              <w:t xml:space="preserve">. </w:t>
            </w:r>
            <w:r w:rsidR="00E95FB1" w:rsidRPr="002045F5">
              <w:rPr>
                <w:rFonts w:eastAsia="Arial"/>
                <w:sz w:val="22"/>
                <w:lang w:val="uk-UA"/>
              </w:rPr>
              <w:t xml:space="preserve">Формування сучасного інклюзивного </w:t>
            </w:r>
            <w:proofErr w:type="spellStart"/>
            <w:r w:rsidR="00E95FB1" w:rsidRPr="002045F5">
              <w:rPr>
                <w:rFonts w:eastAsia="Arial"/>
                <w:sz w:val="22"/>
                <w:lang w:val="uk-UA"/>
              </w:rPr>
              <w:t>освітньо</w:t>
            </w:r>
            <w:proofErr w:type="spellEnd"/>
            <w:r w:rsidR="00E95FB1" w:rsidRPr="002045F5">
              <w:rPr>
                <w:rFonts w:eastAsia="Arial"/>
                <w:sz w:val="22"/>
                <w:lang w:val="uk-UA"/>
              </w:rPr>
              <w:t xml:space="preserve"> – культурного та спортивного простору для розвитку</w:t>
            </w:r>
            <w:r w:rsidR="00E95FB1" w:rsidRPr="002045F5">
              <w:rPr>
                <w:b/>
                <w:sz w:val="22"/>
                <w:lang w:val="uk-UA"/>
              </w:rPr>
              <w:t xml:space="preserve"> </w:t>
            </w:r>
          </w:p>
        </w:tc>
      </w:tr>
      <w:tr w:rsidR="00E95FB1" w:rsidRPr="002045F5" w:rsidTr="001B3967">
        <w:tc>
          <w:tcPr>
            <w:tcW w:w="2836"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Назва проекту:</w:t>
            </w:r>
          </w:p>
        </w:tc>
        <w:tc>
          <w:tcPr>
            <w:tcW w:w="6946" w:type="dxa"/>
            <w:gridSpan w:val="7"/>
          </w:tcPr>
          <w:p w:rsidR="00E95FB1" w:rsidRPr="002045F5" w:rsidRDefault="00E95FB1" w:rsidP="001B3967">
            <w:pPr>
              <w:pStyle w:val="a7"/>
              <w:ind w:left="0"/>
              <w:rPr>
                <w:sz w:val="22"/>
                <w:lang w:val="uk-UA"/>
              </w:rPr>
            </w:pPr>
            <w:r w:rsidRPr="002045F5">
              <w:rPr>
                <w:sz w:val="22"/>
                <w:lang w:val="uk-UA"/>
              </w:rPr>
              <w:t xml:space="preserve">Відновлення діяльності Комунального Закладу «Сєвєродонецька міська бібліотека для юнацтва ім. Й. Б. </w:t>
            </w:r>
            <w:proofErr w:type="spellStart"/>
            <w:r w:rsidRPr="002045F5">
              <w:rPr>
                <w:sz w:val="22"/>
                <w:lang w:val="uk-UA"/>
              </w:rPr>
              <w:t>Курлата</w:t>
            </w:r>
            <w:proofErr w:type="spellEnd"/>
            <w:r w:rsidRPr="002045F5">
              <w:rPr>
                <w:sz w:val="22"/>
                <w:lang w:val="uk-UA"/>
              </w:rPr>
              <w:t>»</w:t>
            </w:r>
          </w:p>
        </w:tc>
      </w:tr>
      <w:tr w:rsidR="00E95FB1" w:rsidRPr="002045F5" w:rsidTr="001B3967">
        <w:tc>
          <w:tcPr>
            <w:tcW w:w="2836" w:type="dxa"/>
            <w:shd w:val="clear" w:color="auto" w:fill="C6D9F1" w:themeFill="text2" w:themeFillTint="33"/>
          </w:tcPr>
          <w:p w:rsidR="00E95FB1" w:rsidRPr="002045F5" w:rsidRDefault="00E95FB1" w:rsidP="001B3967">
            <w:pPr>
              <w:rPr>
                <w:b/>
                <w:sz w:val="22"/>
                <w:lang w:val="uk-UA"/>
              </w:rPr>
            </w:pPr>
            <w:r w:rsidRPr="002045F5">
              <w:rPr>
                <w:b/>
                <w:sz w:val="22"/>
                <w:lang w:val="uk-UA"/>
              </w:rPr>
              <w:t>Ціль проекту</w:t>
            </w:r>
          </w:p>
        </w:tc>
        <w:tc>
          <w:tcPr>
            <w:tcW w:w="6946" w:type="dxa"/>
            <w:gridSpan w:val="7"/>
          </w:tcPr>
          <w:p w:rsidR="00E95FB1" w:rsidRPr="002045F5" w:rsidRDefault="00E95FB1" w:rsidP="00F86F21">
            <w:pPr>
              <w:pStyle w:val="a7"/>
              <w:ind w:left="0"/>
              <w:rPr>
                <w:sz w:val="22"/>
                <w:lang w:val="uk-UA"/>
              </w:rPr>
            </w:pPr>
            <w:r w:rsidRPr="002045F5">
              <w:rPr>
                <w:sz w:val="22"/>
                <w:lang w:val="uk-UA"/>
              </w:rPr>
              <w:t xml:space="preserve">Відновити та покращити роботу Комунального Закладу «Сєвєродонецька міська бібліотека для юнацтва ім. Й. Б. </w:t>
            </w:r>
            <w:proofErr w:type="spellStart"/>
            <w:r w:rsidRPr="002045F5">
              <w:rPr>
                <w:sz w:val="22"/>
                <w:lang w:val="uk-UA"/>
              </w:rPr>
              <w:t>Курлата</w:t>
            </w:r>
            <w:proofErr w:type="spellEnd"/>
            <w:r w:rsidRPr="002045F5">
              <w:rPr>
                <w:sz w:val="22"/>
                <w:lang w:val="uk-UA"/>
              </w:rPr>
              <w:t>» для надання широкого спектру послуг, пов’язаних із якістю та задоволення</w:t>
            </w:r>
            <w:r w:rsidR="00F86F21" w:rsidRPr="002045F5">
              <w:rPr>
                <w:sz w:val="22"/>
                <w:lang w:val="uk-UA"/>
              </w:rPr>
              <w:t>м</w:t>
            </w:r>
            <w:r w:rsidRPr="002045F5">
              <w:rPr>
                <w:sz w:val="22"/>
                <w:lang w:val="uk-UA"/>
              </w:rPr>
              <w:t xml:space="preserve"> потреб мешканців Сєвєродонецької міської територіальної громади у необхідних послугах (або створенні умов для реалізації індивідуальних програм, набуття ними відповідних </w:t>
            </w:r>
            <w:proofErr w:type="spellStart"/>
            <w:r w:rsidRPr="002045F5">
              <w:rPr>
                <w:sz w:val="22"/>
                <w:lang w:val="uk-UA"/>
              </w:rPr>
              <w:t>компетентностей</w:t>
            </w:r>
            <w:proofErr w:type="spellEnd"/>
            <w:r w:rsidRPr="002045F5">
              <w:rPr>
                <w:sz w:val="22"/>
                <w:lang w:val="uk-UA"/>
              </w:rPr>
              <w:t>).</w:t>
            </w:r>
          </w:p>
        </w:tc>
      </w:tr>
      <w:tr w:rsidR="00E95FB1" w:rsidRPr="002045F5" w:rsidTr="001B3967">
        <w:tc>
          <w:tcPr>
            <w:tcW w:w="2836"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Територія, на яку матиме вплив реалізація проекту</w:t>
            </w:r>
          </w:p>
        </w:tc>
        <w:tc>
          <w:tcPr>
            <w:tcW w:w="6946" w:type="dxa"/>
            <w:gridSpan w:val="7"/>
          </w:tcPr>
          <w:p w:rsidR="00E95FB1" w:rsidRPr="002045F5" w:rsidRDefault="00E95FB1" w:rsidP="001B3967">
            <w:pPr>
              <w:pStyle w:val="a7"/>
              <w:ind w:left="0"/>
              <w:rPr>
                <w:sz w:val="22"/>
                <w:lang w:val="uk-UA"/>
              </w:rPr>
            </w:pPr>
            <w:r w:rsidRPr="002045F5">
              <w:rPr>
                <w:sz w:val="22"/>
                <w:lang w:val="uk-UA"/>
              </w:rPr>
              <w:t>Сєвєродонецька міська територіальна громада</w:t>
            </w:r>
          </w:p>
        </w:tc>
      </w:tr>
      <w:tr w:rsidR="00E95FB1" w:rsidRPr="002045F5" w:rsidTr="001B3967">
        <w:tc>
          <w:tcPr>
            <w:tcW w:w="2836"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Чисельність населення, на яке матиме вплив реалізація проекту</w:t>
            </w:r>
          </w:p>
        </w:tc>
        <w:tc>
          <w:tcPr>
            <w:tcW w:w="6946" w:type="dxa"/>
            <w:gridSpan w:val="7"/>
          </w:tcPr>
          <w:p w:rsidR="00E95FB1" w:rsidRPr="002045F5" w:rsidRDefault="00660B25" w:rsidP="001B3967">
            <w:pPr>
              <w:pStyle w:val="a7"/>
              <w:ind w:left="0"/>
              <w:rPr>
                <w:sz w:val="22"/>
                <w:lang w:val="uk-UA"/>
              </w:rPr>
            </w:pPr>
            <w:r w:rsidRPr="002045F5">
              <w:rPr>
                <w:sz w:val="22"/>
                <w:lang w:val="uk-UA"/>
              </w:rPr>
              <w:t>70 000</w:t>
            </w:r>
          </w:p>
        </w:tc>
      </w:tr>
      <w:tr w:rsidR="00E95FB1" w:rsidRPr="002045F5" w:rsidTr="001B3967">
        <w:tc>
          <w:tcPr>
            <w:tcW w:w="2836" w:type="dxa"/>
            <w:shd w:val="clear" w:color="auto" w:fill="C6D9F1" w:themeFill="text2" w:themeFillTint="33"/>
          </w:tcPr>
          <w:p w:rsidR="00E95FB1" w:rsidRPr="002045F5" w:rsidRDefault="00E95FB1" w:rsidP="001B3967">
            <w:pPr>
              <w:rPr>
                <w:b/>
                <w:sz w:val="22"/>
                <w:lang w:val="uk-UA"/>
              </w:rPr>
            </w:pPr>
            <w:r w:rsidRPr="002045F5">
              <w:rPr>
                <w:b/>
                <w:sz w:val="22"/>
                <w:lang w:val="uk-UA"/>
              </w:rPr>
              <w:t>Опис проблеми, на вирішення якої  спрямований проект</w:t>
            </w:r>
          </w:p>
        </w:tc>
        <w:tc>
          <w:tcPr>
            <w:tcW w:w="6946" w:type="dxa"/>
            <w:gridSpan w:val="7"/>
          </w:tcPr>
          <w:p w:rsidR="00E95FB1" w:rsidRPr="002045F5" w:rsidRDefault="00E95FB1" w:rsidP="001B3967">
            <w:pPr>
              <w:ind w:firstLine="234"/>
              <w:rPr>
                <w:sz w:val="22"/>
                <w:lang w:val="uk-UA"/>
              </w:rPr>
            </w:pPr>
            <w:r w:rsidRPr="002045F5">
              <w:rPr>
                <w:sz w:val="22"/>
                <w:lang w:val="uk-UA"/>
              </w:rPr>
              <w:t xml:space="preserve">Через військову агресію РФ територія Сєвєродонецької міської територіальної громади зазнала значних пошкоджень. Не оминуло це і Комунальний Заклад  «Сєвєродонецька міська бібліотека для юнацтва ім. Й. Б. </w:t>
            </w:r>
            <w:proofErr w:type="spellStart"/>
            <w:r w:rsidRPr="002045F5">
              <w:rPr>
                <w:sz w:val="22"/>
                <w:lang w:val="uk-UA"/>
              </w:rPr>
              <w:t>Курлата</w:t>
            </w:r>
            <w:proofErr w:type="spellEnd"/>
            <w:r w:rsidRPr="002045F5">
              <w:rPr>
                <w:sz w:val="22"/>
                <w:lang w:val="uk-UA"/>
              </w:rPr>
              <w:t>».</w:t>
            </w:r>
          </w:p>
          <w:p w:rsidR="00E95FB1" w:rsidRPr="002045F5" w:rsidRDefault="00E95FB1" w:rsidP="001B3967">
            <w:pPr>
              <w:ind w:firstLine="234"/>
              <w:rPr>
                <w:sz w:val="22"/>
                <w:lang w:val="uk-UA"/>
              </w:rPr>
            </w:pPr>
            <w:r w:rsidRPr="002045F5">
              <w:rPr>
                <w:sz w:val="22"/>
                <w:lang w:val="uk-UA"/>
              </w:rPr>
              <w:t>Вся матеріально-технічна база потребує забезпечення</w:t>
            </w:r>
            <w:r w:rsidR="00560411" w:rsidRPr="002045F5">
              <w:rPr>
                <w:sz w:val="22"/>
                <w:lang w:val="uk-UA"/>
              </w:rPr>
              <w:t>,</w:t>
            </w:r>
            <w:r w:rsidRPr="002045F5">
              <w:rPr>
                <w:sz w:val="22"/>
                <w:lang w:val="uk-UA"/>
              </w:rPr>
              <w:t xml:space="preserve"> необхідного для діяльності закладу, зокрема:</w:t>
            </w:r>
          </w:p>
          <w:p w:rsidR="00E95FB1" w:rsidRPr="002045F5" w:rsidRDefault="00E95FB1" w:rsidP="000303D7">
            <w:pPr>
              <w:numPr>
                <w:ilvl w:val="0"/>
                <w:numId w:val="9"/>
              </w:numPr>
              <w:tabs>
                <w:tab w:val="clear" w:pos="1068"/>
                <w:tab w:val="num" w:pos="375"/>
              </w:tabs>
              <w:ind w:left="0" w:firstLine="234"/>
              <w:rPr>
                <w:sz w:val="22"/>
                <w:lang w:val="uk-UA"/>
              </w:rPr>
            </w:pPr>
            <w:r w:rsidRPr="002045F5">
              <w:rPr>
                <w:sz w:val="22"/>
                <w:lang w:val="uk-UA"/>
              </w:rPr>
              <w:t>обладнання (устаткування);</w:t>
            </w:r>
          </w:p>
          <w:p w:rsidR="00E95FB1" w:rsidRPr="002045F5" w:rsidRDefault="00E95FB1" w:rsidP="000303D7">
            <w:pPr>
              <w:numPr>
                <w:ilvl w:val="0"/>
                <w:numId w:val="9"/>
              </w:numPr>
              <w:tabs>
                <w:tab w:val="clear" w:pos="1068"/>
                <w:tab w:val="num" w:pos="375"/>
              </w:tabs>
              <w:ind w:left="0" w:firstLine="234"/>
              <w:rPr>
                <w:sz w:val="22"/>
                <w:lang w:val="uk-UA"/>
              </w:rPr>
            </w:pPr>
            <w:r w:rsidRPr="002045F5">
              <w:rPr>
                <w:sz w:val="22"/>
                <w:lang w:val="uk-UA"/>
              </w:rPr>
              <w:t>обчислювальна техніка із відповідним програмним забезпеченням;</w:t>
            </w:r>
          </w:p>
          <w:p w:rsidR="00E95FB1" w:rsidRPr="002045F5" w:rsidRDefault="00E95FB1" w:rsidP="000303D7">
            <w:pPr>
              <w:numPr>
                <w:ilvl w:val="0"/>
                <w:numId w:val="9"/>
              </w:numPr>
              <w:tabs>
                <w:tab w:val="clear" w:pos="1068"/>
                <w:tab w:val="num" w:pos="375"/>
              </w:tabs>
              <w:ind w:left="0" w:firstLine="234"/>
              <w:rPr>
                <w:sz w:val="22"/>
                <w:lang w:val="uk-UA"/>
              </w:rPr>
            </w:pPr>
            <w:r w:rsidRPr="002045F5">
              <w:rPr>
                <w:sz w:val="22"/>
                <w:lang w:val="uk-UA"/>
              </w:rPr>
              <w:t>інша оргтехніка (монітори, комп’ютери, принтери, сканери,</w:t>
            </w:r>
            <w:r w:rsidR="00560411" w:rsidRPr="002045F5">
              <w:rPr>
                <w:sz w:val="22"/>
                <w:lang w:val="uk-UA"/>
              </w:rPr>
              <w:t xml:space="preserve"> </w:t>
            </w:r>
            <w:r w:rsidRPr="002045F5">
              <w:rPr>
                <w:sz w:val="22"/>
                <w:lang w:val="uk-UA"/>
              </w:rPr>
              <w:t>інтерактивні дошки та ін.);</w:t>
            </w:r>
          </w:p>
          <w:p w:rsidR="00E95FB1" w:rsidRPr="002045F5" w:rsidRDefault="00E95FB1" w:rsidP="000303D7">
            <w:pPr>
              <w:pStyle w:val="13"/>
              <w:numPr>
                <w:ilvl w:val="0"/>
                <w:numId w:val="9"/>
              </w:numPr>
              <w:tabs>
                <w:tab w:val="clear" w:pos="1068"/>
                <w:tab w:val="num" w:pos="375"/>
              </w:tabs>
              <w:ind w:left="0" w:firstLine="234"/>
              <w:jc w:val="both"/>
              <w:rPr>
                <w:sz w:val="22"/>
                <w:lang w:val="uk-UA"/>
              </w:rPr>
            </w:pPr>
            <w:r w:rsidRPr="002045F5">
              <w:rPr>
                <w:sz w:val="22"/>
                <w:lang w:val="uk-UA"/>
              </w:rPr>
              <w:t>основні засоби (офісні меблі, сейф, бібліотечний фонд, обладнання для проведення заходів) були знищені або викрадені.</w:t>
            </w:r>
          </w:p>
          <w:p w:rsidR="00E95FB1" w:rsidRPr="002045F5" w:rsidRDefault="00E95FB1" w:rsidP="001B3967">
            <w:pPr>
              <w:pStyle w:val="13"/>
              <w:ind w:firstLine="234"/>
              <w:jc w:val="both"/>
              <w:rPr>
                <w:sz w:val="22"/>
                <w:lang w:val="uk-UA"/>
              </w:rPr>
            </w:pPr>
            <w:r w:rsidRPr="002045F5">
              <w:rPr>
                <w:rFonts w:eastAsia="Arial"/>
                <w:sz w:val="22"/>
                <w:lang w:val="uk-UA"/>
              </w:rPr>
              <w:t xml:space="preserve">Для відбудови та сталого розвитку громади потрібне відновлення роботи мережі </w:t>
            </w:r>
            <w:r w:rsidRPr="002045F5">
              <w:rPr>
                <w:sz w:val="22"/>
                <w:lang w:val="uk-UA"/>
              </w:rPr>
              <w:t xml:space="preserve">бібліотек, </w:t>
            </w:r>
            <w:proofErr w:type="spellStart"/>
            <w:r w:rsidRPr="002045F5">
              <w:rPr>
                <w:sz w:val="22"/>
                <w:lang w:val="uk-UA"/>
              </w:rPr>
              <w:t>медіатек</w:t>
            </w:r>
            <w:proofErr w:type="spellEnd"/>
            <w:r w:rsidRPr="002045F5">
              <w:rPr>
                <w:sz w:val="22"/>
                <w:lang w:val="uk-UA"/>
              </w:rPr>
              <w:t xml:space="preserve">, </w:t>
            </w:r>
            <w:r w:rsidRPr="002045F5">
              <w:rPr>
                <w:rFonts w:eastAsia="Arial"/>
                <w:sz w:val="22"/>
                <w:lang w:val="uk-UA"/>
              </w:rPr>
              <w:t xml:space="preserve">а саме </w:t>
            </w:r>
            <w:r w:rsidRPr="002045F5">
              <w:rPr>
                <w:sz w:val="22"/>
                <w:lang w:val="uk-UA"/>
              </w:rPr>
              <w:t xml:space="preserve">Комунального Закладу  «Сєвєродонецька міська бібліотека для юнацтва ім. Й. Б. </w:t>
            </w:r>
            <w:proofErr w:type="spellStart"/>
            <w:r w:rsidRPr="002045F5">
              <w:rPr>
                <w:sz w:val="22"/>
                <w:lang w:val="uk-UA"/>
              </w:rPr>
              <w:t>Курлата</w:t>
            </w:r>
            <w:proofErr w:type="spellEnd"/>
            <w:r w:rsidRPr="002045F5">
              <w:rPr>
                <w:sz w:val="22"/>
                <w:lang w:val="uk-UA"/>
              </w:rPr>
              <w:t xml:space="preserve">». </w:t>
            </w:r>
            <w:r w:rsidRPr="002045F5">
              <w:rPr>
                <w:rFonts w:eastAsia="Arial"/>
                <w:sz w:val="22"/>
                <w:lang w:val="uk-UA"/>
              </w:rPr>
              <w:t xml:space="preserve">Мешканці громади потребують в отриманні якісних послуг, які відповідають нормам сучасності. </w:t>
            </w:r>
          </w:p>
        </w:tc>
      </w:tr>
      <w:tr w:rsidR="00E95FB1" w:rsidRPr="002045F5" w:rsidTr="001B3967">
        <w:tc>
          <w:tcPr>
            <w:tcW w:w="2836"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Очікувані якісні результати від реалізації проекту</w:t>
            </w:r>
          </w:p>
        </w:tc>
        <w:tc>
          <w:tcPr>
            <w:tcW w:w="6946" w:type="dxa"/>
            <w:gridSpan w:val="7"/>
          </w:tcPr>
          <w:p w:rsidR="00E95FB1" w:rsidRPr="002045F5" w:rsidRDefault="00E95FB1" w:rsidP="001B3967">
            <w:pPr>
              <w:pStyle w:val="af7"/>
              <w:rPr>
                <w:color w:val="000000" w:themeColor="text1"/>
                <w:sz w:val="22"/>
                <w:lang w:val="uk-UA"/>
              </w:rPr>
            </w:pPr>
            <w:r w:rsidRPr="002045F5">
              <w:rPr>
                <w:sz w:val="22"/>
                <w:lang w:val="uk-UA"/>
              </w:rPr>
              <w:t>- забезпечення населення можливостями для реалізації його конституційних прав;</w:t>
            </w:r>
          </w:p>
          <w:p w:rsidR="00E95FB1" w:rsidRPr="002045F5" w:rsidRDefault="00E95FB1" w:rsidP="001B3967">
            <w:pPr>
              <w:pStyle w:val="a7"/>
              <w:ind w:left="0"/>
              <w:rPr>
                <w:b/>
                <w:sz w:val="22"/>
                <w:lang w:val="uk-UA"/>
              </w:rPr>
            </w:pPr>
            <w:r w:rsidRPr="002045F5">
              <w:rPr>
                <w:sz w:val="22"/>
                <w:lang w:val="uk-UA"/>
              </w:rPr>
              <w:t xml:space="preserve">- надання широкого спектру послуг, пов’язаних із </w:t>
            </w:r>
            <w:r w:rsidRPr="002045F5">
              <w:rPr>
                <w:rStyle w:val="10"/>
                <w:b w:val="0"/>
                <w:color w:val="000000" w:themeColor="text1"/>
                <w:sz w:val="22"/>
                <w:lang w:val="uk-UA"/>
              </w:rPr>
              <w:t>можливостями доступу людини до духовних цінностей свого народу (нації) та всього людства</w:t>
            </w:r>
            <w:r w:rsidRPr="002045F5">
              <w:rPr>
                <w:b/>
                <w:sz w:val="22"/>
                <w:lang w:val="uk-UA"/>
              </w:rPr>
              <w:t xml:space="preserve">; </w:t>
            </w:r>
            <w:r w:rsidRPr="002045F5">
              <w:rPr>
                <w:rStyle w:val="10"/>
                <w:b w:val="0"/>
                <w:color w:val="000000" w:themeColor="text1"/>
                <w:sz w:val="22"/>
                <w:lang w:val="uk-UA"/>
              </w:rPr>
              <w:t xml:space="preserve">розвитку української нації, її історичної свідомості, традицій і культури, а також розвитку етнічної, культурної, </w:t>
            </w:r>
            <w:proofErr w:type="spellStart"/>
            <w:r w:rsidRPr="002045F5">
              <w:rPr>
                <w:rStyle w:val="10"/>
                <w:b w:val="0"/>
                <w:color w:val="000000" w:themeColor="text1"/>
                <w:sz w:val="22"/>
                <w:lang w:val="uk-UA"/>
              </w:rPr>
              <w:t>мовної</w:t>
            </w:r>
            <w:proofErr w:type="spellEnd"/>
            <w:r w:rsidRPr="002045F5">
              <w:rPr>
                <w:rStyle w:val="10"/>
                <w:b w:val="0"/>
                <w:color w:val="000000" w:themeColor="text1"/>
                <w:sz w:val="22"/>
                <w:lang w:val="uk-UA"/>
              </w:rPr>
              <w:t xml:space="preserve"> та релігійної самобутності всіх корінних народів і національних меншин України;</w:t>
            </w:r>
          </w:p>
          <w:p w:rsidR="00E95FB1" w:rsidRPr="002045F5" w:rsidRDefault="00E95FB1" w:rsidP="001B3967">
            <w:pPr>
              <w:pStyle w:val="a7"/>
              <w:ind w:left="0"/>
              <w:rPr>
                <w:sz w:val="22"/>
                <w:lang w:val="uk-UA"/>
              </w:rPr>
            </w:pPr>
            <w:r w:rsidRPr="002045F5">
              <w:rPr>
                <w:sz w:val="22"/>
                <w:lang w:val="uk-UA"/>
              </w:rPr>
              <w:t>- вирішення ряду питань в межах статутної діяльності, пов’язаних із відбудовою та сталим розвитком громади;</w:t>
            </w:r>
          </w:p>
          <w:p w:rsidR="00E95FB1" w:rsidRPr="002045F5" w:rsidRDefault="00E95FB1" w:rsidP="001B3967">
            <w:pPr>
              <w:tabs>
                <w:tab w:val="left" w:pos="253"/>
              </w:tabs>
              <w:rPr>
                <w:sz w:val="22"/>
                <w:lang w:val="uk-UA"/>
              </w:rPr>
            </w:pPr>
            <w:r w:rsidRPr="002045F5">
              <w:rPr>
                <w:sz w:val="22"/>
                <w:lang w:val="uk-UA"/>
              </w:rPr>
              <w:t>- задоволення інформаційних потреб  користувачів;</w:t>
            </w:r>
          </w:p>
          <w:p w:rsidR="00E95FB1" w:rsidRPr="002045F5" w:rsidRDefault="00E95FB1" w:rsidP="001B3967">
            <w:pPr>
              <w:tabs>
                <w:tab w:val="left" w:pos="253"/>
              </w:tabs>
              <w:rPr>
                <w:sz w:val="22"/>
                <w:lang w:val="uk-UA"/>
              </w:rPr>
            </w:pPr>
            <w:r w:rsidRPr="002045F5">
              <w:rPr>
                <w:sz w:val="22"/>
                <w:lang w:val="uk-UA"/>
              </w:rPr>
              <w:t>- забезпечення доступу читачів до кращих зразків книжкової продукції. Збільшення книговидачі щорічно;</w:t>
            </w:r>
          </w:p>
          <w:p w:rsidR="00E95FB1" w:rsidRPr="002045F5" w:rsidRDefault="00E95FB1" w:rsidP="001B3967">
            <w:pPr>
              <w:tabs>
                <w:tab w:val="left" w:pos="253"/>
              </w:tabs>
              <w:rPr>
                <w:sz w:val="22"/>
                <w:lang w:val="uk-UA"/>
              </w:rPr>
            </w:pPr>
            <w:r w:rsidRPr="002045F5">
              <w:rPr>
                <w:sz w:val="22"/>
                <w:lang w:val="uk-UA"/>
              </w:rPr>
              <w:t>- створення комфортних умов для відвідувачів та робітників закладу;</w:t>
            </w:r>
          </w:p>
          <w:p w:rsidR="00E95FB1" w:rsidRPr="002045F5" w:rsidRDefault="00E95FB1" w:rsidP="001B3967">
            <w:pPr>
              <w:tabs>
                <w:tab w:val="left" w:pos="253"/>
              </w:tabs>
              <w:rPr>
                <w:sz w:val="22"/>
                <w:lang w:val="uk-UA"/>
              </w:rPr>
            </w:pPr>
            <w:r w:rsidRPr="002045F5">
              <w:rPr>
                <w:color w:val="000000"/>
                <w:sz w:val="22"/>
                <w:lang w:val="uk-UA"/>
              </w:rPr>
              <w:t>- зберігання бібліотечних фондів згідно встановлених норм</w:t>
            </w:r>
            <w:r w:rsidR="00560411" w:rsidRPr="002045F5">
              <w:rPr>
                <w:color w:val="000000"/>
                <w:sz w:val="22"/>
                <w:lang w:val="uk-UA"/>
              </w:rPr>
              <w:t>;</w:t>
            </w:r>
          </w:p>
          <w:p w:rsidR="00E95FB1" w:rsidRPr="002045F5" w:rsidRDefault="00E95FB1" w:rsidP="001B3967">
            <w:pPr>
              <w:tabs>
                <w:tab w:val="left" w:pos="253"/>
                <w:tab w:val="left" w:pos="395"/>
              </w:tabs>
              <w:rPr>
                <w:color w:val="000000"/>
                <w:sz w:val="22"/>
                <w:lang w:val="uk-UA"/>
              </w:rPr>
            </w:pPr>
            <w:r w:rsidRPr="002045F5">
              <w:rPr>
                <w:rFonts w:eastAsia="Calibri"/>
                <w:sz w:val="22"/>
                <w:lang w:val="uk-UA"/>
              </w:rPr>
              <w:t>- задоволення культурних потреб мешканців територіальної громади, поліпшення естетичного вигляду;</w:t>
            </w:r>
          </w:p>
          <w:p w:rsidR="00E95FB1" w:rsidRPr="002045F5" w:rsidRDefault="00E95FB1" w:rsidP="001B3967">
            <w:pPr>
              <w:pStyle w:val="a7"/>
              <w:ind w:left="0"/>
              <w:rPr>
                <w:sz w:val="22"/>
                <w:lang w:val="uk-UA"/>
              </w:rPr>
            </w:pPr>
            <w:r w:rsidRPr="002045F5">
              <w:rPr>
                <w:sz w:val="22"/>
                <w:lang w:val="uk-UA"/>
              </w:rPr>
              <w:t>- стимул до повернення ВПО до громади;</w:t>
            </w:r>
          </w:p>
          <w:p w:rsidR="00E95FB1" w:rsidRPr="002045F5" w:rsidRDefault="00E95FB1" w:rsidP="001B3967">
            <w:pPr>
              <w:pStyle w:val="a7"/>
              <w:ind w:left="0"/>
              <w:rPr>
                <w:sz w:val="22"/>
                <w:lang w:val="uk-UA"/>
              </w:rPr>
            </w:pPr>
          </w:p>
        </w:tc>
      </w:tr>
      <w:tr w:rsidR="00E95FB1" w:rsidRPr="002045F5" w:rsidTr="001B3967">
        <w:trPr>
          <w:trHeight w:val="390"/>
        </w:trPr>
        <w:tc>
          <w:tcPr>
            <w:tcW w:w="2836" w:type="dxa"/>
            <w:vMerge w:val="restart"/>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lastRenderedPageBreak/>
              <w:t xml:space="preserve">Очікувані кількісні результати реалізації </w:t>
            </w:r>
            <w:proofErr w:type="spellStart"/>
            <w:r w:rsidRPr="002045F5">
              <w:rPr>
                <w:b/>
                <w:sz w:val="22"/>
                <w:lang w:val="uk-UA"/>
              </w:rPr>
              <w:t>проєкту</w:t>
            </w:r>
            <w:proofErr w:type="spellEnd"/>
            <w:r w:rsidRPr="002045F5">
              <w:rPr>
                <w:b/>
                <w:sz w:val="22"/>
                <w:lang w:val="uk-UA"/>
              </w:rPr>
              <w:t xml:space="preserve"> (індикатори)</w:t>
            </w:r>
          </w:p>
          <w:p w:rsidR="00E95FB1" w:rsidRPr="002045F5" w:rsidRDefault="00E95FB1" w:rsidP="001B3967">
            <w:pPr>
              <w:pStyle w:val="a7"/>
              <w:ind w:left="0"/>
              <w:rPr>
                <w:b/>
                <w:sz w:val="22"/>
                <w:lang w:val="uk-UA"/>
              </w:rPr>
            </w:pPr>
          </w:p>
        </w:tc>
        <w:tc>
          <w:tcPr>
            <w:tcW w:w="3060" w:type="dxa"/>
            <w:gridSpan w:val="3"/>
            <w:tcBorders>
              <w:bottom w:val="single" w:sz="4" w:space="0" w:color="auto"/>
              <w:right w:val="single" w:sz="4" w:space="0" w:color="auto"/>
            </w:tcBorders>
          </w:tcPr>
          <w:p w:rsidR="00E95FB1" w:rsidRPr="002045F5" w:rsidRDefault="00E95FB1" w:rsidP="001B3967">
            <w:pPr>
              <w:pStyle w:val="a7"/>
              <w:ind w:left="-108"/>
              <w:jc w:val="center"/>
              <w:rPr>
                <w:b/>
                <w:sz w:val="22"/>
                <w:lang w:val="uk-UA"/>
              </w:rPr>
            </w:pPr>
            <w:r w:rsidRPr="002045F5">
              <w:rPr>
                <w:b/>
                <w:sz w:val="22"/>
                <w:lang w:val="uk-UA"/>
              </w:rPr>
              <w:t>Найменування показника</w:t>
            </w:r>
          </w:p>
        </w:tc>
        <w:tc>
          <w:tcPr>
            <w:tcW w:w="1805" w:type="dxa"/>
            <w:gridSpan w:val="2"/>
            <w:tcBorders>
              <w:left w:val="single" w:sz="4" w:space="0" w:color="auto"/>
              <w:bottom w:val="single" w:sz="4" w:space="0" w:color="auto"/>
              <w:right w:val="single" w:sz="4" w:space="0" w:color="auto"/>
            </w:tcBorders>
          </w:tcPr>
          <w:p w:rsidR="00E95FB1" w:rsidRPr="002045F5" w:rsidRDefault="00E95FB1" w:rsidP="001B3967">
            <w:pPr>
              <w:pStyle w:val="a7"/>
              <w:ind w:left="0"/>
              <w:jc w:val="center"/>
              <w:rPr>
                <w:b/>
                <w:sz w:val="22"/>
                <w:lang w:val="uk-UA"/>
              </w:rPr>
            </w:pPr>
            <w:r w:rsidRPr="002045F5">
              <w:rPr>
                <w:b/>
                <w:sz w:val="22"/>
                <w:lang w:val="uk-UA"/>
              </w:rPr>
              <w:t>Одиниця вимірювання</w:t>
            </w:r>
          </w:p>
          <w:p w:rsidR="00E95FB1" w:rsidRPr="002045F5" w:rsidRDefault="00E95FB1" w:rsidP="001B3967">
            <w:pPr>
              <w:pStyle w:val="a7"/>
              <w:ind w:left="0"/>
              <w:rPr>
                <w:b/>
                <w:sz w:val="22"/>
                <w:lang w:val="uk-UA"/>
              </w:rPr>
            </w:pPr>
          </w:p>
        </w:tc>
        <w:tc>
          <w:tcPr>
            <w:tcW w:w="2081" w:type="dxa"/>
            <w:gridSpan w:val="2"/>
            <w:tcBorders>
              <w:left w:val="single" w:sz="4" w:space="0" w:color="auto"/>
              <w:bottom w:val="single" w:sz="4" w:space="0" w:color="auto"/>
            </w:tcBorders>
          </w:tcPr>
          <w:p w:rsidR="00E95FB1" w:rsidRPr="002045F5" w:rsidRDefault="00E95FB1" w:rsidP="001B3967">
            <w:pPr>
              <w:pStyle w:val="a7"/>
              <w:ind w:left="0"/>
              <w:jc w:val="center"/>
              <w:rPr>
                <w:b/>
                <w:sz w:val="22"/>
                <w:lang w:val="uk-UA"/>
              </w:rPr>
            </w:pPr>
            <w:r w:rsidRPr="002045F5">
              <w:rPr>
                <w:b/>
                <w:sz w:val="22"/>
                <w:lang w:val="uk-UA"/>
              </w:rPr>
              <w:t>Прогнозне (цільове) значення</w:t>
            </w:r>
          </w:p>
        </w:tc>
      </w:tr>
      <w:tr w:rsidR="00E95FB1" w:rsidRPr="002045F5" w:rsidTr="001B3967">
        <w:trPr>
          <w:trHeight w:val="585"/>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3060" w:type="dxa"/>
            <w:gridSpan w:val="3"/>
            <w:tcBorders>
              <w:top w:val="single" w:sz="4" w:space="0" w:color="auto"/>
              <w:bottom w:val="single" w:sz="4" w:space="0" w:color="auto"/>
              <w:right w:val="single" w:sz="4" w:space="0" w:color="auto"/>
            </w:tcBorders>
          </w:tcPr>
          <w:p w:rsidR="00E95FB1" w:rsidRPr="002045F5" w:rsidRDefault="00E95FB1" w:rsidP="00560411">
            <w:pPr>
              <w:pStyle w:val="a7"/>
              <w:ind w:left="0"/>
              <w:rPr>
                <w:sz w:val="22"/>
                <w:lang w:val="uk-UA"/>
              </w:rPr>
            </w:pPr>
            <w:r w:rsidRPr="002045F5">
              <w:rPr>
                <w:sz w:val="22"/>
                <w:lang w:val="uk-UA"/>
              </w:rPr>
              <w:t>Кількість фізичних осіб (користувачів), які звернулись за послугами протягом  року</w:t>
            </w:r>
          </w:p>
        </w:tc>
        <w:tc>
          <w:tcPr>
            <w:tcW w:w="1805" w:type="dxa"/>
            <w:gridSpan w:val="2"/>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jc w:val="center"/>
              <w:rPr>
                <w:sz w:val="22"/>
                <w:lang w:val="uk-UA"/>
              </w:rPr>
            </w:pPr>
            <w:r w:rsidRPr="002045F5">
              <w:rPr>
                <w:rFonts w:eastAsia="Arial"/>
                <w:sz w:val="22"/>
                <w:lang w:val="uk-UA"/>
              </w:rPr>
              <w:t>осіб</w:t>
            </w:r>
          </w:p>
        </w:tc>
        <w:tc>
          <w:tcPr>
            <w:tcW w:w="2081" w:type="dxa"/>
            <w:gridSpan w:val="2"/>
            <w:tcBorders>
              <w:top w:val="single" w:sz="4" w:space="0" w:color="auto"/>
              <w:left w:val="single" w:sz="4" w:space="0" w:color="auto"/>
              <w:bottom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5616</w:t>
            </w:r>
          </w:p>
        </w:tc>
      </w:tr>
      <w:tr w:rsidR="00E95FB1" w:rsidRPr="002045F5" w:rsidTr="001B3967">
        <w:trPr>
          <w:trHeight w:val="585"/>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3060" w:type="dxa"/>
            <w:gridSpan w:val="3"/>
            <w:tcBorders>
              <w:top w:val="single" w:sz="4" w:space="0" w:color="auto"/>
              <w:bottom w:val="single" w:sz="4" w:space="0" w:color="auto"/>
              <w:right w:val="single" w:sz="4" w:space="0" w:color="auto"/>
            </w:tcBorders>
          </w:tcPr>
          <w:p w:rsidR="00E95FB1" w:rsidRPr="002045F5" w:rsidRDefault="00E95FB1" w:rsidP="001B3967">
            <w:pPr>
              <w:pStyle w:val="a7"/>
              <w:ind w:left="0"/>
              <w:rPr>
                <w:sz w:val="22"/>
                <w:lang w:val="uk-UA"/>
              </w:rPr>
            </w:pPr>
            <w:r w:rsidRPr="002045F5">
              <w:rPr>
                <w:sz w:val="22"/>
                <w:lang w:val="uk-UA"/>
              </w:rPr>
              <w:t>Кількість книговидань протягом  року</w:t>
            </w:r>
          </w:p>
        </w:tc>
        <w:tc>
          <w:tcPr>
            <w:tcW w:w="1805" w:type="dxa"/>
            <w:gridSpan w:val="2"/>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примірників</w:t>
            </w:r>
          </w:p>
        </w:tc>
        <w:tc>
          <w:tcPr>
            <w:tcW w:w="2081" w:type="dxa"/>
            <w:gridSpan w:val="2"/>
            <w:tcBorders>
              <w:top w:val="single" w:sz="4" w:space="0" w:color="auto"/>
              <w:left w:val="single" w:sz="4" w:space="0" w:color="auto"/>
              <w:bottom w:val="single" w:sz="4" w:space="0" w:color="auto"/>
            </w:tcBorders>
            <w:vAlign w:val="center"/>
          </w:tcPr>
          <w:p w:rsidR="00E95FB1" w:rsidRPr="002045F5" w:rsidRDefault="00E95FB1" w:rsidP="001B3967">
            <w:pPr>
              <w:jc w:val="center"/>
              <w:rPr>
                <w:sz w:val="22"/>
                <w:lang w:val="uk-UA"/>
              </w:rPr>
            </w:pPr>
            <w:r w:rsidRPr="002045F5">
              <w:rPr>
                <w:sz w:val="22"/>
                <w:lang w:val="uk-UA"/>
              </w:rPr>
              <w:t>111811</w:t>
            </w:r>
          </w:p>
        </w:tc>
      </w:tr>
      <w:tr w:rsidR="00E95FB1" w:rsidRPr="002045F5" w:rsidTr="001B3967">
        <w:trPr>
          <w:trHeight w:val="585"/>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3060" w:type="dxa"/>
            <w:gridSpan w:val="3"/>
            <w:tcBorders>
              <w:top w:val="single" w:sz="4" w:space="0" w:color="auto"/>
              <w:bottom w:val="single" w:sz="4" w:space="0" w:color="auto"/>
              <w:right w:val="single" w:sz="4" w:space="0" w:color="auto"/>
            </w:tcBorders>
          </w:tcPr>
          <w:p w:rsidR="00E95FB1" w:rsidRPr="002045F5" w:rsidRDefault="00E95FB1" w:rsidP="001B3967">
            <w:pPr>
              <w:pStyle w:val="a7"/>
              <w:ind w:left="0"/>
              <w:rPr>
                <w:sz w:val="22"/>
                <w:lang w:val="uk-UA"/>
              </w:rPr>
            </w:pPr>
            <w:r w:rsidRPr="002045F5">
              <w:rPr>
                <w:sz w:val="22"/>
                <w:lang w:val="uk-UA"/>
              </w:rPr>
              <w:t>Кількість відвідувань заходів  протягом  року</w:t>
            </w:r>
          </w:p>
        </w:tc>
        <w:tc>
          <w:tcPr>
            <w:tcW w:w="1805" w:type="dxa"/>
            <w:gridSpan w:val="2"/>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осіб</w:t>
            </w:r>
          </w:p>
        </w:tc>
        <w:tc>
          <w:tcPr>
            <w:tcW w:w="2081" w:type="dxa"/>
            <w:gridSpan w:val="2"/>
            <w:tcBorders>
              <w:top w:val="single" w:sz="4" w:space="0" w:color="auto"/>
              <w:left w:val="single" w:sz="4" w:space="0" w:color="auto"/>
              <w:bottom w:val="single" w:sz="4" w:space="0" w:color="auto"/>
            </w:tcBorders>
          </w:tcPr>
          <w:p w:rsidR="00E95FB1" w:rsidRPr="002045F5" w:rsidRDefault="00E95FB1" w:rsidP="001B3967">
            <w:pPr>
              <w:pStyle w:val="a7"/>
              <w:ind w:left="0"/>
              <w:jc w:val="center"/>
              <w:rPr>
                <w:sz w:val="22"/>
                <w:lang w:val="uk-UA"/>
              </w:rPr>
            </w:pPr>
          </w:p>
          <w:p w:rsidR="00E95FB1" w:rsidRPr="002045F5" w:rsidRDefault="00E95FB1" w:rsidP="001B3967">
            <w:pPr>
              <w:pStyle w:val="a7"/>
              <w:ind w:left="0"/>
              <w:jc w:val="center"/>
              <w:rPr>
                <w:sz w:val="22"/>
                <w:lang w:val="uk-UA"/>
              </w:rPr>
            </w:pPr>
            <w:r w:rsidRPr="002045F5">
              <w:rPr>
                <w:sz w:val="22"/>
                <w:lang w:val="uk-UA"/>
              </w:rPr>
              <w:t>45143</w:t>
            </w:r>
          </w:p>
        </w:tc>
      </w:tr>
      <w:tr w:rsidR="00E95FB1" w:rsidRPr="002045F5" w:rsidTr="001B3967">
        <w:trPr>
          <w:trHeight w:val="184"/>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3060" w:type="dxa"/>
            <w:gridSpan w:val="3"/>
            <w:tcBorders>
              <w:top w:val="single" w:sz="4" w:space="0" w:color="auto"/>
              <w:bottom w:val="single" w:sz="4" w:space="0" w:color="auto"/>
              <w:right w:val="single" w:sz="4" w:space="0" w:color="auto"/>
            </w:tcBorders>
          </w:tcPr>
          <w:p w:rsidR="00E95FB1" w:rsidRPr="002045F5" w:rsidRDefault="00E95FB1" w:rsidP="001B3967">
            <w:pPr>
              <w:pStyle w:val="a7"/>
              <w:ind w:left="0"/>
              <w:rPr>
                <w:sz w:val="22"/>
                <w:lang w:val="uk-UA"/>
              </w:rPr>
            </w:pPr>
            <w:r w:rsidRPr="002045F5">
              <w:rPr>
                <w:sz w:val="22"/>
                <w:lang w:val="uk-UA"/>
              </w:rPr>
              <w:t>Кількість заходів для користувачів</w:t>
            </w:r>
          </w:p>
        </w:tc>
        <w:tc>
          <w:tcPr>
            <w:tcW w:w="1805" w:type="dxa"/>
            <w:gridSpan w:val="2"/>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одиниць</w:t>
            </w:r>
          </w:p>
        </w:tc>
        <w:tc>
          <w:tcPr>
            <w:tcW w:w="2081" w:type="dxa"/>
            <w:gridSpan w:val="2"/>
            <w:tcBorders>
              <w:top w:val="single" w:sz="4" w:space="0" w:color="auto"/>
              <w:left w:val="single" w:sz="4" w:space="0" w:color="auto"/>
              <w:bottom w:val="single" w:sz="4" w:space="0" w:color="auto"/>
            </w:tcBorders>
          </w:tcPr>
          <w:p w:rsidR="00E95FB1" w:rsidRPr="002045F5" w:rsidRDefault="00E95FB1" w:rsidP="001B3967">
            <w:pPr>
              <w:pStyle w:val="a7"/>
              <w:ind w:left="0"/>
              <w:jc w:val="center"/>
              <w:rPr>
                <w:sz w:val="22"/>
                <w:lang w:val="uk-UA"/>
              </w:rPr>
            </w:pPr>
            <w:r w:rsidRPr="002045F5">
              <w:rPr>
                <w:sz w:val="22"/>
                <w:lang w:val="uk-UA"/>
              </w:rPr>
              <w:t>315</w:t>
            </w:r>
          </w:p>
        </w:tc>
      </w:tr>
      <w:tr w:rsidR="00E95FB1" w:rsidRPr="002045F5" w:rsidTr="001B3967">
        <w:trPr>
          <w:trHeight w:val="165"/>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3060" w:type="dxa"/>
            <w:gridSpan w:val="3"/>
            <w:tcBorders>
              <w:top w:val="single" w:sz="4" w:space="0" w:color="auto"/>
              <w:bottom w:val="single" w:sz="4" w:space="0" w:color="auto"/>
              <w:right w:val="single" w:sz="4" w:space="0" w:color="auto"/>
            </w:tcBorders>
          </w:tcPr>
          <w:p w:rsidR="00E95FB1" w:rsidRPr="002045F5" w:rsidRDefault="00E95FB1" w:rsidP="001B3967">
            <w:pPr>
              <w:pStyle w:val="a7"/>
              <w:ind w:left="0"/>
              <w:rPr>
                <w:sz w:val="22"/>
                <w:lang w:val="uk-UA"/>
              </w:rPr>
            </w:pPr>
            <w:r w:rsidRPr="002045F5">
              <w:rPr>
                <w:sz w:val="22"/>
                <w:lang w:val="uk-UA"/>
              </w:rPr>
              <w:t>Середня вартість послуг</w:t>
            </w:r>
          </w:p>
        </w:tc>
        <w:tc>
          <w:tcPr>
            <w:tcW w:w="1805" w:type="dxa"/>
            <w:gridSpan w:val="2"/>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грн</w:t>
            </w:r>
          </w:p>
        </w:tc>
        <w:tc>
          <w:tcPr>
            <w:tcW w:w="2081" w:type="dxa"/>
            <w:gridSpan w:val="2"/>
            <w:tcBorders>
              <w:top w:val="single" w:sz="4" w:space="0" w:color="auto"/>
              <w:left w:val="single" w:sz="4" w:space="0" w:color="auto"/>
              <w:bottom w:val="single" w:sz="4" w:space="0" w:color="auto"/>
            </w:tcBorders>
          </w:tcPr>
          <w:p w:rsidR="00E95FB1" w:rsidRPr="002045F5" w:rsidRDefault="00E95FB1" w:rsidP="001B3967">
            <w:pPr>
              <w:pStyle w:val="a7"/>
              <w:ind w:left="0"/>
              <w:jc w:val="center"/>
              <w:rPr>
                <w:sz w:val="22"/>
                <w:lang w:val="uk-UA"/>
              </w:rPr>
            </w:pPr>
            <w:r w:rsidRPr="002045F5">
              <w:rPr>
                <w:sz w:val="22"/>
                <w:lang w:val="uk-UA"/>
              </w:rPr>
              <w:t>безкоштовно</w:t>
            </w:r>
          </w:p>
        </w:tc>
      </w:tr>
      <w:tr w:rsidR="00E95FB1" w:rsidRPr="002045F5" w:rsidTr="001B3967">
        <w:trPr>
          <w:trHeight w:val="150"/>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3060" w:type="dxa"/>
            <w:gridSpan w:val="3"/>
            <w:tcBorders>
              <w:top w:val="single" w:sz="4" w:space="0" w:color="auto"/>
              <w:right w:val="single" w:sz="4" w:space="0" w:color="auto"/>
            </w:tcBorders>
          </w:tcPr>
          <w:p w:rsidR="00E95FB1" w:rsidRPr="002045F5" w:rsidRDefault="00E95FB1" w:rsidP="001B3967">
            <w:pPr>
              <w:pStyle w:val="a7"/>
              <w:ind w:left="0"/>
              <w:rPr>
                <w:sz w:val="22"/>
                <w:lang w:val="uk-UA"/>
              </w:rPr>
            </w:pPr>
            <w:r w:rsidRPr="002045F5">
              <w:rPr>
                <w:sz w:val="22"/>
                <w:lang w:val="uk-UA"/>
              </w:rPr>
              <w:t>Термін надання послуги</w:t>
            </w:r>
          </w:p>
        </w:tc>
        <w:tc>
          <w:tcPr>
            <w:tcW w:w="1805" w:type="dxa"/>
            <w:gridSpan w:val="2"/>
            <w:tcBorders>
              <w:top w:val="single" w:sz="4" w:space="0" w:color="auto"/>
              <w:left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років</w:t>
            </w:r>
          </w:p>
        </w:tc>
        <w:tc>
          <w:tcPr>
            <w:tcW w:w="2081" w:type="dxa"/>
            <w:gridSpan w:val="2"/>
            <w:tcBorders>
              <w:top w:val="single" w:sz="4" w:space="0" w:color="auto"/>
              <w:left w:val="single" w:sz="4" w:space="0" w:color="auto"/>
            </w:tcBorders>
          </w:tcPr>
          <w:p w:rsidR="00E95FB1" w:rsidRPr="002045F5" w:rsidRDefault="00E95FB1" w:rsidP="001B3967">
            <w:pPr>
              <w:pStyle w:val="a7"/>
              <w:ind w:left="0"/>
              <w:jc w:val="center"/>
              <w:rPr>
                <w:sz w:val="22"/>
                <w:lang w:val="uk-UA"/>
              </w:rPr>
            </w:pPr>
            <w:r w:rsidRPr="002045F5">
              <w:rPr>
                <w:sz w:val="22"/>
                <w:lang w:val="uk-UA"/>
              </w:rPr>
              <w:t>Від 1 до 120</w:t>
            </w:r>
          </w:p>
        </w:tc>
      </w:tr>
      <w:tr w:rsidR="00E95FB1" w:rsidRPr="002045F5" w:rsidTr="001B3967">
        <w:trPr>
          <w:trHeight w:val="150"/>
        </w:trPr>
        <w:tc>
          <w:tcPr>
            <w:tcW w:w="2836" w:type="dxa"/>
            <w:shd w:val="clear" w:color="auto" w:fill="C6D9F1" w:themeFill="text2" w:themeFillTint="33"/>
          </w:tcPr>
          <w:p w:rsidR="00E95FB1" w:rsidRPr="002045F5" w:rsidRDefault="00E95FB1" w:rsidP="001B3967">
            <w:pPr>
              <w:pStyle w:val="a7"/>
              <w:ind w:left="0"/>
              <w:rPr>
                <w:b/>
                <w:sz w:val="22"/>
                <w:lang w:val="uk-UA"/>
              </w:rPr>
            </w:pPr>
          </w:p>
        </w:tc>
        <w:tc>
          <w:tcPr>
            <w:tcW w:w="3060" w:type="dxa"/>
            <w:gridSpan w:val="3"/>
            <w:tcBorders>
              <w:top w:val="single" w:sz="4" w:space="0" w:color="auto"/>
              <w:right w:val="single" w:sz="4" w:space="0" w:color="auto"/>
            </w:tcBorders>
          </w:tcPr>
          <w:p w:rsidR="00E95FB1" w:rsidRPr="002045F5" w:rsidRDefault="00E95FB1" w:rsidP="00560411">
            <w:pPr>
              <w:pStyle w:val="a7"/>
              <w:ind w:left="0"/>
              <w:rPr>
                <w:sz w:val="22"/>
                <w:lang w:val="uk-UA"/>
              </w:rPr>
            </w:pPr>
            <w:r w:rsidRPr="002045F5">
              <w:rPr>
                <w:sz w:val="22"/>
                <w:lang w:val="uk-UA"/>
              </w:rPr>
              <w:t>Кількість населених пунктів, як</w:t>
            </w:r>
            <w:r w:rsidR="00560411" w:rsidRPr="002045F5">
              <w:rPr>
                <w:sz w:val="22"/>
                <w:lang w:val="uk-UA"/>
              </w:rPr>
              <w:t>і</w:t>
            </w:r>
            <w:r w:rsidRPr="002045F5">
              <w:rPr>
                <w:sz w:val="22"/>
                <w:lang w:val="uk-UA"/>
              </w:rPr>
              <w:t xml:space="preserve"> обслуговує заклад</w:t>
            </w:r>
          </w:p>
        </w:tc>
        <w:tc>
          <w:tcPr>
            <w:tcW w:w="1805" w:type="dxa"/>
            <w:gridSpan w:val="2"/>
            <w:tcBorders>
              <w:top w:val="single" w:sz="4" w:space="0" w:color="auto"/>
              <w:left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одиниць</w:t>
            </w:r>
          </w:p>
        </w:tc>
        <w:tc>
          <w:tcPr>
            <w:tcW w:w="2081" w:type="dxa"/>
            <w:gridSpan w:val="2"/>
            <w:tcBorders>
              <w:top w:val="single" w:sz="4" w:space="0" w:color="auto"/>
              <w:lef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20</w:t>
            </w:r>
          </w:p>
        </w:tc>
      </w:tr>
      <w:tr w:rsidR="00E95FB1" w:rsidRPr="002045F5" w:rsidTr="001B3967">
        <w:tc>
          <w:tcPr>
            <w:tcW w:w="2836" w:type="dxa"/>
            <w:shd w:val="clear" w:color="auto" w:fill="C6D9F1" w:themeFill="text2" w:themeFillTint="33"/>
          </w:tcPr>
          <w:p w:rsidR="00E95FB1" w:rsidRPr="002045F5" w:rsidRDefault="00E95FB1" w:rsidP="001B3967">
            <w:pPr>
              <w:rPr>
                <w:b/>
                <w:sz w:val="22"/>
                <w:lang w:val="uk-UA"/>
              </w:rPr>
            </w:pPr>
            <w:r w:rsidRPr="002045F5">
              <w:rPr>
                <w:b/>
                <w:sz w:val="22"/>
                <w:lang w:val="uk-UA"/>
              </w:rPr>
              <w:t xml:space="preserve">Ключові заходи проекту: </w:t>
            </w:r>
          </w:p>
          <w:p w:rsidR="00E95FB1" w:rsidRPr="002045F5" w:rsidRDefault="00E95FB1" w:rsidP="001B3967">
            <w:pPr>
              <w:pStyle w:val="a7"/>
              <w:ind w:left="0"/>
              <w:rPr>
                <w:b/>
                <w:sz w:val="22"/>
                <w:lang w:val="uk-UA"/>
              </w:rPr>
            </w:pPr>
          </w:p>
        </w:tc>
        <w:tc>
          <w:tcPr>
            <w:tcW w:w="6946" w:type="dxa"/>
            <w:gridSpan w:val="7"/>
          </w:tcPr>
          <w:p w:rsidR="00E95FB1" w:rsidRPr="002045F5" w:rsidRDefault="00E95FB1" w:rsidP="001B3967">
            <w:pPr>
              <w:pStyle w:val="a7"/>
              <w:ind w:left="0"/>
              <w:rPr>
                <w:sz w:val="22"/>
                <w:lang w:val="uk-UA"/>
              </w:rPr>
            </w:pPr>
            <w:r w:rsidRPr="002045F5">
              <w:rPr>
                <w:sz w:val="22"/>
                <w:lang w:val="uk-UA"/>
              </w:rPr>
              <w:t>- проведення інвентаризації основних засобів;</w:t>
            </w:r>
          </w:p>
          <w:p w:rsidR="00E95FB1" w:rsidRPr="002045F5" w:rsidRDefault="00E95FB1" w:rsidP="001B3967">
            <w:pPr>
              <w:pStyle w:val="a7"/>
              <w:ind w:left="0"/>
              <w:rPr>
                <w:sz w:val="22"/>
                <w:lang w:val="uk-UA"/>
              </w:rPr>
            </w:pPr>
            <w:r w:rsidRPr="002045F5">
              <w:rPr>
                <w:sz w:val="22"/>
                <w:lang w:val="uk-UA"/>
              </w:rPr>
              <w:t xml:space="preserve">- визначення кількості осіб, які потребують отримання послуг; </w:t>
            </w:r>
          </w:p>
          <w:p w:rsidR="00E95FB1" w:rsidRPr="002045F5" w:rsidRDefault="00E95FB1" w:rsidP="001B3967">
            <w:pPr>
              <w:pStyle w:val="a7"/>
              <w:ind w:left="0"/>
              <w:rPr>
                <w:sz w:val="22"/>
                <w:lang w:val="uk-UA"/>
              </w:rPr>
            </w:pPr>
            <w:r w:rsidRPr="002045F5">
              <w:rPr>
                <w:sz w:val="22"/>
                <w:lang w:val="uk-UA"/>
              </w:rPr>
              <w:t>- придбання технічного забезпечення закладу;</w:t>
            </w:r>
          </w:p>
          <w:p w:rsidR="00E95FB1" w:rsidRPr="002045F5" w:rsidRDefault="00E95FB1" w:rsidP="001B3967">
            <w:pPr>
              <w:pStyle w:val="a7"/>
              <w:ind w:left="0"/>
              <w:rPr>
                <w:sz w:val="22"/>
                <w:lang w:val="uk-UA"/>
              </w:rPr>
            </w:pPr>
            <w:r w:rsidRPr="002045F5">
              <w:rPr>
                <w:sz w:val="22"/>
                <w:lang w:val="uk-UA"/>
              </w:rPr>
              <w:t>- придбання технологічного забезпечення;</w:t>
            </w:r>
          </w:p>
          <w:p w:rsidR="00E95FB1" w:rsidRPr="002045F5" w:rsidRDefault="00E95FB1" w:rsidP="001B3967">
            <w:pPr>
              <w:pStyle w:val="a7"/>
              <w:ind w:left="0"/>
              <w:rPr>
                <w:sz w:val="22"/>
                <w:lang w:val="uk-UA"/>
              </w:rPr>
            </w:pPr>
            <w:r w:rsidRPr="002045F5">
              <w:rPr>
                <w:sz w:val="22"/>
                <w:lang w:val="uk-UA"/>
              </w:rPr>
              <w:t>- оновлення книжкового фонду, фонду періодичних видань бібліотечного фонду;</w:t>
            </w:r>
          </w:p>
          <w:p w:rsidR="00E95FB1" w:rsidRPr="002045F5" w:rsidRDefault="00E95FB1" w:rsidP="001B3967">
            <w:pPr>
              <w:pStyle w:val="a7"/>
              <w:ind w:left="0"/>
              <w:rPr>
                <w:sz w:val="22"/>
                <w:lang w:val="uk-UA"/>
              </w:rPr>
            </w:pPr>
            <w:r w:rsidRPr="002045F5">
              <w:rPr>
                <w:sz w:val="22"/>
                <w:lang w:val="uk-UA"/>
              </w:rPr>
              <w:t>- організація та початок робочого процесу (книговидача та проведення заходів).</w:t>
            </w:r>
          </w:p>
        </w:tc>
      </w:tr>
      <w:tr w:rsidR="00E95FB1" w:rsidRPr="002045F5" w:rsidTr="002869DF">
        <w:trPr>
          <w:trHeight w:val="360"/>
        </w:trPr>
        <w:tc>
          <w:tcPr>
            <w:tcW w:w="2836" w:type="dxa"/>
            <w:vMerge w:val="restart"/>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 xml:space="preserve">Орієнтовний обсяг та джерела фінансування, тис. грн. </w:t>
            </w:r>
          </w:p>
          <w:p w:rsidR="00E95FB1" w:rsidRPr="002045F5" w:rsidRDefault="00E95FB1" w:rsidP="001B3967">
            <w:pPr>
              <w:pStyle w:val="a7"/>
              <w:ind w:left="0"/>
              <w:rPr>
                <w:b/>
                <w:sz w:val="22"/>
                <w:lang w:val="uk-UA"/>
              </w:rPr>
            </w:pPr>
          </w:p>
        </w:tc>
        <w:tc>
          <w:tcPr>
            <w:tcW w:w="1559" w:type="dxa"/>
            <w:tcBorders>
              <w:bottom w:val="single" w:sz="4" w:space="0" w:color="auto"/>
              <w:right w:val="single" w:sz="4" w:space="0" w:color="auto"/>
            </w:tcBorders>
          </w:tcPr>
          <w:p w:rsidR="00E95FB1" w:rsidRPr="002045F5" w:rsidRDefault="00E95FB1" w:rsidP="001B3967">
            <w:pPr>
              <w:pStyle w:val="a7"/>
              <w:ind w:left="0"/>
              <w:jc w:val="center"/>
              <w:rPr>
                <w:b/>
                <w:sz w:val="22"/>
                <w:lang w:val="uk-UA"/>
              </w:rPr>
            </w:pPr>
            <w:r w:rsidRPr="002045F5">
              <w:rPr>
                <w:b/>
                <w:sz w:val="22"/>
                <w:lang w:val="uk-UA"/>
              </w:rPr>
              <w:t>Державний бюджет</w:t>
            </w:r>
          </w:p>
        </w:tc>
        <w:tc>
          <w:tcPr>
            <w:tcW w:w="1321" w:type="dxa"/>
            <w:tcBorders>
              <w:bottom w:val="single" w:sz="4" w:space="0" w:color="auto"/>
              <w:right w:val="single" w:sz="4" w:space="0" w:color="auto"/>
            </w:tcBorders>
          </w:tcPr>
          <w:p w:rsidR="00E95FB1" w:rsidRPr="002045F5" w:rsidRDefault="00E95FB1" w:rsidP="001B3967">
            <w:pPr>
              <w:pStyle w:val="a7"/>
              <w:ind w:left="0"/>
              <w:jc w:val="center"/>
              <w:rPr>
                <w:b/>
                <w:sz w:val="22"/>
                <w:lang w:val="uk-UA"/>
              </w:rPr>
            </w:pPr>
            <w:r w:rsidRPr="002045F5">
              <w:rPr>
                <w:b/>
                <w:sz w:val="22"/>
                <w:lang w:val="uk-UA"/>
              </w:rPr>
              <w:t>Місцевий бюджет</w:t>
            </w:r>
          </w:p>
        </w:tc>
        <w:tc>
          <w:tcPr>
            <w:tcW w:w="2738" w:type="dxa"/>
            <w:gridSpan w:val="4"/>
            <w:tcBorders>
              <w:left w:val="single" w:sz="4" w:space="0" w:color="auto"/>
              <w:bottom w:val="single" w:sz="4" w:space="0" w:color="auto"/>
              <w:right w:val="single" w:sz="4" w:space="0" w:color="auto"/>
            </w:tcBorders>
          </w:tcPr>
          <w:p w:rsidR="00E95FB1" w:rsidRPr="002045F5" w:rsidRDefault="00E95FB1" w:rsidP="001B3967">
            <w:pPr>
              <w:pStyle w:val="a7"/>
              <w:ind w:left="0"/>
              <w:jc w:val="center"/>
              <w:rPr>
                <w:b/>
                <w:sz w:val="22"/>
                <w:lang w:val="uk-UA"/>
              </w:rPr>
            </w:pPr>
            <w:r w:rsidRPr="002045F5">
              <w:rPr>
                <w:b/>
                <w:sz w:val="22"/>
                <w:lang w:val="uk-UA"/>
              </w:rPr>
              <w:t>Інші джерела</w:t>
            </w:r>
          </w:p>
        </w:tc>
        <w:tc>
          <w:tcPr>
            <w:tcW w:w="1328" w:type="dxa"/>
            <w:tcBorders>
              <w:left w:val="single" w:sz="4" w:space="0" w:color="auto"/>
              <w:bottom w:val="single" w:sz="4" w:space="0" w:color="auto"/>
            </w:tcBorders>
          </w:tcPr>
          <w:p w:rsidR="00E95FB1" w:rsidRPr="002045F5" w:rsidRDefault="00E95FB1" w:rsidP="001B3967">
            <w:pPr>
              <w:pStyle w:val="a7"/>
              <w:ind w:left="0"/>
              <w:jc w:val="center"/>
              <w:rPr>
                <w:b/>
                <w:sz w:val="22"/>
                <w:lang w:val="uk-UA"/>
              </w:rPr>
            </w:pPr>
            <w:r w:rsidRPr="002045F5">
              <w:rPr>
                <w:b/>
                <w:sz w:val="22"/>
                <w:lang w:val="uk-UA"/>
              </w:rPr>
              <w:t>Всього</w:t>
            </w:r>
          </w:p>
          <w:p w:rsidR="00E95FB1" w:rsidRPr="002045F5" w:rsidRDefault="00E95FB1" w:rsidP="001B3967">
            <w:pPr>
              <w:ind w:left="-79"/>
              <w:rPr>
                <w:b/>
                <w:sz w:val="22"/>
                <w:lang w:val="uk-UA"/>
              </w:rPr>
            </w:pPr>
            <w:r w:rsidRPr="002045F5">
              <w:rPr>
                <w:b/>
                <w:sz w:val="22"/>
                <w:lang w:val="uk-UA"/>
              </w:rPr>
              <w:t>тис. грн.</w:t>
            </w:r>
          </w:p>
          <w:p w:rsidR="00E95FB1" w:rsidRPr="002045F5" w:rsidRDefault="00E95FB1" w:rsidP="001B3967">
            <w:pPr>
              <w:pStyle w:val="a7"/>
              <w:ind w:left="0"/>
              <w:jc w:val="center"/>
              <w:rPr>
                <w:b/>
                <w:sz w:val="22"/>
                <w:lang w:val="uk-UA"/>
              </w:rPr>
            </w:pPr>
          </w:p>
        </w:tc>
      </w:tr>
      <w:tr w:rsidR="00E95FB1" w:rsidRPr="002045F5" w:rsidTr="002869DF">
        <w:trPr>
          <w:trHeight w:val="225"/>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1559" w:type="dxa"/>
            <w:vMerge w:val="restart"/>
            <w:tcBorders>
              <w:top w:val="single" w:sz="4" w:space="0" w:color="auto"/>
              <w:right w:val="single" w:sz="4" w:space="0" w:color="auto"/>
            </w:tcBorders>
          </w:tcPr>
          <w:p w:rsidR="00E95FB1" w:rsidRPr="002045F5" w:rsidRDefault="007A56D6" w:rsidP="001B3967">
            <w:pPr>
              <w:ind w:left="-79"/>
              <w:jc w:val="center"/>
              <w:rPr>
                <w:sz w:val="22"/>
              </w:rPr>
            </w:pPr>
            <w:r w:rsidRPr="002045F5">
              <w:rPr>
                <w:sz w:val="22"/>
              </w:rPr>
              <w:t>15175,465</w:t>
            </w:r>
          </w:p>
        </w:tc>
        <w:tc>
          <w:tcPr>
            <w:tcW w:w="1321" w:type="dxa"/>
            <w:vMerge w:val="restart"/>
            <w:tcBorders>
              <w:top w:val="single" w:sz="4" w:space="0" w:color="auto"/>
              <w:right w:val="single" w:sz="4" w:space="0" w:color="auto"/>
            </w:tcBorders>
          </w:tcPr>
          <w:p w:rsidR="00E95FB1" w:rsidRPr="002045F5" w:rsidRDefault="00E95FB1" w:rsidP="001B3967">
            <w:pPr>
              <w:pStyle w:val="a7"/>
              <w:ind w:left="0"/>
              <w:jc w:val="center"/>
              <w:rPr>
                <w:b/>
                <w:sz w:val="22"/>
                <w:lang w:val="uk-UA"/>
              </w:rPr>
            </w:pPr>
          </w:p>
        </w:tc>
        <w:tc>
          <w:tcPr>
            <w:tcW w:w="1222" w:type="dxa"/>
            <w:gridSpan w:val="2"/>
            <w:tcBorders>
              <w:top w:val="single" w:sz="4" w:space="0" w:color="auto"/>
              <w:left w:val="single" w:sz="4" w:space="0" w:color="auto"/>
              <w:bottom w:val="single" w:sz="4" w:space="0" w:color="auto"/>
              <w:right w:val="single" w:sz="4" w:space="0" w:color="auto"/>
            </w:tcBorders>
          </w:tcPr>
          <w:p w:rsidR="00E95FB1" w:rsidRPr="002045F5" w:rsidRDefault="00E95FB1" w:rsidP="001B3967">
            <w:pPr>
              <w:pStyle w:val="a7"/>
              <w:ind w:left="0"/>
              <w:jc w:val="center"/>
              <w:rPr>
                <w:b/>
                <w:sz w:val="22"/>
                <w:lang w:val="uk-UA"/>
              </w:rPr>
            </w:pPr>
            <w:r w:rsidRPr="002045F5">
              <w:rPr>
                <w:b/>
                <w:sz w:val="22"/>
                <w:lang w:val="uk-UA"/>
              </w:rPr>
              <w:t>Обсяг тис. грн.</w:t>
            </w:r>
          </w:p>
        </w:tc>
        <w:tc>
          <w:tcPr>
            <w:tcW w:w="1516" w:type="dxa"/>
            <w:gridSpan w:val="2"/>
            <w:tcBorders>
              <w:top w:val="single" w:sz="4" w:space="0" w:color="auto"/>
              <w:left w:val="single" w:sz="4" w:space="0" w:color="auto"/>
              <w:bottom w:val="single" w:sz="4" w:space="0" w:color="auto"/>
              <w:right w:val="single" w:sz="4" w:space="0" w:color="auto"/>
            </w:tcBorders>
          </w:tcPr>
          <w:p w:rsidR="00E95FB1" w:rsidRPr="002045F5" w:rsidRDefault="00E95FB1" w:rsidP="001B3967">
            <w:pPr>
              <w:pStyle w:val="a7"/>
              <w:ind w:left="0"/>
              <w:jc w:val="center"/>
              <w:rPr>
                <w:sz w:val="22"/>
                <w:lang w:val="uk-UA"/>
              </w:rPr>
            </w:pPr>
            <w:r w:rsidRPr="002045F5">
              <w:rPr>
                <w:sz w:val="22"/>
                <w:lang w:val="uk-UA"/>
              </w:rPr>
              <w:t>Назва джерела</w:t>
            </w:r>
          </w:p>
        </w:tc>
        <w:tc>
          <w:tcPr>
            <w:tcW w:w="1328" w:type="dxa"/>
            <w:vMerge w:val="restart"/>
            <w:tcBorders>
              <w:top w:val="single" w:sz="4" w:space="0" w:color="auto"/>
              <w:left w:val="single" w:sz="4" w:space="0" w:color="auto"/>
            </w:tcBorders>
          </w:tcPr>
          <w:p w:rsidR="00E95FB1" w:rsidRPr="002045F5" w:rsidRDefault="007A56D6" w:rsidP="001B3967">
            <w:pPr>
              <w:pStyle w:val="a7"/>
              <w:ind w:left="0"/>
              <w:jc w:val="center"/>
              <w:rPr>
                <w:sz w:val="22"/>
                <w:lang w:val="uk-UA"/>
              </w:rPr>
            </w:pPr>
            <w:r w:rsidRPr="002045F5">
              <w:rPr>
                <w:sz w:val="22"/>
                <w:lang w:val="uk-UA"/>
              </w:rPr>
              <w:t>21679,235</w:t>
            </w:r>
          </w:p>
        </w:tc>
      </w:tr>
      <w:tr w:rsidR="00E95FB1" w:rsidRPr="002045F5" w:rsidTr="002869DF">
        <w:trPr>
          <w:trHeight w:val="300"/>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1559" w:type="dxa"/>
            <w:vMerge/>
            <w:tcBorders>
              <w:right w:val="single" w:sz="4" w:space="0" w:color="auto"/>
            </w:tcBorders>
          </w:tcPr>
          <w:p w:rsidR="00E95FB1" w:rsidRPr="002045F5" w:rsidRDefault="00E95FB1" w:rsidP="001B3967">
            <w:pPr>
              <w:pStyle w:val="a7"/>
              <w:ind w:left="0"/>
              <w:jc w:val="center"/>
              <w:rPr>
                <w:sz w:val="22"/>
                <w:lang w:val="uk-UA"/>
              </w:rPr>
            </w:pPr>
          </w:p>
        </w:tc>
        <w:tc>
          <w:tcPr>
            <w:tcW w:w="1321" w:type="dxa"/>
            <w:vMerge/>
            <w:tcBorders>
              <w:right w:val="single" w:sz="4" w:space="0" w:color="auto"/>
            </w:tcBorders>
          </w:tcPr>
          <w:p w:rsidR="00E95FB1" w:rsidRPr="002045F5" w:rsidRDefault="00E95FB1" w:rsidP="001B3967">
            <w:pPr>
              <w:pStyle w:val="a7"/>
              <w:ind w:left="0"/>
              <w:jc w:val="center"/>
              <w:rPr>
                <w:b/>
                <w:sz w:val="22"/>
                <w:lang w:val="uk-UA"/>
              </w:rPr>
            </w:pPr>
          </w:p>
        </w:tc>
        <w:tc>
          <w:tcPr>
            <w:tcW w:w="1222" w:type="dxa"/>
            <w:gridSpan w:val="2"/>
            <w:tcBorders>
              <w:top w:val="single" w:sz="4" w:space="0" w:color="auto"/>
              <w:left w:val="single" w:sz="4" w:space="0" w:color="auto"/>
              <w:right w:val="single" w:sz="4" w:space="0" w:color="auto"/>
            </w:tcBorders>
          </w:tcPr>
          <w:p w:rsidR="00E95FB1" w:rsidRPr="002045F5" w:rsidRDefault="007A56D6" w:rsidP="001B3967">
            <w:pPr>
              <w:ind w:left="-79"/>
              <w:jc w:val="center"/>
              <w:rPr>
                <w:sz w:val="22"/>
              </w:rPr>
            </w:pPr>
            <w:r w:rsidRPr="002045F5">
              <w:rPr>
                <w:sz w:val="22"/>
              </w:rPr>
              <w:t>6503,77</w:t>
            </w:r>
          </w:p>
        </w:tc>
        <w:tc>
          <w:tcPr>
            <w:tcW w:w="1516" w:type="dxa"/>
            <w:gridSpan w:val="2"/>
            <w:tcBorders>
              <w:top w:val="single" w:sz="4" w:space="0" w:color="auto"/>
              <w:left w:val="single" w:sz="4" w:space="0" w:color="auto"/>
              <w:right w:val="single" w:sz="4" w:space="0" w:color="auto"/>
            </w:tcBorders>
          </w:tcPr>
          <w:p w:rsidR="00E95FB1" w:rsidRPr="002045F5" w:rsidRDefault="00E95FB1" w:rsidP="001B3967">
            <w:pPr>
              <w:pStyle w:val="a7"/>
              <w:ind w:left="0"/>
              <w:jc w:val="center"/>
              <w:rPr>
                <w:sz w:val="22"/>
                <w:lang w:val="uk-UA"/>
              </w:rPr>
            </w:pPr>
            <w:r w:rsidRPr="002045F5">
              <w:rPr>
                <w:sz w:val="22"/>
                <w:lang w:val="uk-UA"/>
              </w:rPr>
              <w:t>Міжнародні інвестиції, кошти приватних осіб</w:t>
            </w:r>
          </w:p>
        </w:tc>
        <w:tc>
          <w:tcPr>
            <w:tcW w:w="1328" w:type="dxa"/>
            <w:vMerge/>
            <w:tcBorders>
              <w:left w:val="single" w:sz="4" w:space="0" w:color="auto"/>
            </w:tcBorders>
          </w:tcPr>
          <w:p w:rsidR="00E95FB1" w:rsidRPr="002045F5" w:rsidRDefault="00E95FB1" w:rsidP="001B3967">
            <w:pPr>
              <w:pStyle w:val="a7"/>
              <w:ind w:left="0"/>
              <w:jc w:val="center"/>
              <w:rPr>
                <w:sz w:val="22"/>
                <w:lang w:val="uk-UA"/>
              </w:rPr>
            </w:pPr>
          </w:p>
        </w:tc>
      </w:tr>
    </w:tbl>
    <w:p w:rsidR="00E95FB1" w:rsidRPr="002045F5" w:rsidRDefault="00E95FB1" w:rsidP="00E95FB1">
      <w:pPr>
        <w:rPr>
          <w:sz w:val="22"/>
        </w:rPr>
      </w:pPr>
    </w:p>
    <w:p w:rsidR="00E95FB1" w:rsidRPr="002045F5" w:rsidRDefault="00E95FB1" w:rsidP="00E95FB1">
      <w:pPr>
        <w:rPr>
          <w:sz w:val="22"/>
        </w:rPr>
      </w:pPr>
    </w:p>
    <w:tbl>
      <w:tblPr>
        <w:tblStyle w:val="af"/>
        <w:tblW w:w="9933" w:type="dxa"/>
        <w:tblInd w:w="-176" w:type="dxa"/>
        <w:tblLayout w:type="fixed"/>
        <w:tblLook w:val="04A0" w:firstRow="1" w:lastRow="0" w:firstColumn="1" w:lastColumn="0" w:noHBand="0" w:noVBand="1"/>
      </w:tblPr>
      <w:tblGrid>
        <w:gridCol w:w="2836"/>
        <w:gridCol w:w="1559"/>
        <w:gridCol w:w="1276"/>
        <w:gridCol w:w="352"/>
        <w:gridCol w:w="928"/>
        <w:gridCol w:w="1150"/>
        <w:gridCol w:w="375"/>
        <w:gridCol w:w="1457"/>
      </w:tblGrid>
      <w:tr w:rsidR="00E95FB1" w:rsidRPr="002045F5" w:rsidTr="001B3967">
        <w:tc>
          <w:tcPr>
            <w:tcW w:w="2836"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Оперативна ціль/завдання</w:t>
            </w:r>
          </w:p>
          <w:p w:rsidR="00E95FB1" w:rsidRPr="002045F5" w:rsidRDefault="00E95FB1" w:rsidP="001B3967">
            <w:pPr>
              <w:pStyle w:val="a7"/>
              <w:ind w:left="0"/>
              <w:rPr>
                <w:b/>
                <w:sz w:val="22"/>
                <w:lang w:val="uk-UA"/>
              </w:rPr>
            </w:pPr>
          </w:p>
        </w:tc>
        <w:tc>
          <w:tcPr>
            <w:tcW w:w="7097" w:type="dxa"/>
            <w:gridSpan w:val="7"/>
            <w:shd w:val="clear" w:color="auto" w:fill="auto"/>
          </w:tcPr>
          <w:p w:rsidR="00E95FB1" w:rsidRPr="002045F5" w:rsidRDefault="00D10EBA" w:rsidP="001B3967">
            <w:pPr>
              <w:pStyle w:val="a7"/>
              <w:ind w:left="0"/>
              <w:rPr>
                <w:sz w:val="22"/>
                <w:lang w:val="uk-UA"/>
              </w:rPr>
            </w:pPr>
            <w:r w:rsidRPr="002045F5">
              <w:rPr>
                <w:rFonts w:eastAsia="Arial"/>
                <w:sz w:val="22"/>
                <w:lang w:val="uk-UA"/>
              </w:rPr>
              <w:t xml:space="preserve">Людський розвиток </w:t>
            </w:r>
            <w:r w:rsidR="00E95FB1" w:rsidRPr="002045F5">
              <w:rPr>
                <w:rFonts w:eastAsia="Arial"/>
                <w:sz w:val="22"/>
                <w:lang w:val="uk-UA"/>
              </w:rPr>
              <w:t>через інновації управління та довіру до влади</w:t>
            </w:r>
          </w:p>
          <w:p w:rsidR="00E95FB1" w:rsidRPr="002045F5" w:rsidRDefault="00E95FB1" w:rsidP="001B3967">
            <w:pPr>
              <w:tabs>
                <w:tab w:val="left" w:pos="442"/>
              </w:tabs>
              <w:rPr>
                <w:b/>
                <w:sz w:val="22"/>
                <w:lang w:val="uk-UA"/>
              </w:rPr>
            </w:pPr>
            <w:r w:rsidRPr="002045F5">
              <w:rPr>
                <w:rFonts w:eastAsia="Arial"/>
                <w:sz w:val="22"/>
                <w:lang w:val="uk-UA"/>
              </w:rPr>
              <w:t xml:space="preserve">Формування сучасного інклюзивного </w:t>
            </w:r>
            <w:proofErr w:type="spellStart"/>
            <w:r w:rsidRPr="002045F5">
              <w:rPr>
                <w:rFonts w:eastAsia="Arial"/>
                <w:sz w:val="22"/>
                <w:lang w:val="uk-UA"/>
              </w:rPr>
              <w:t>освітньо</w:t>
            </w:r>
            <w:proofErr w:type="spellEnd"/>
            <w:r w:rsidRPr="002045F5">
              <w:rPr>
                <w:rFonts w:eastAsia="Arial"/>
                <w:sz w:val="22"/>
                <w:lang w:val="uk-UA"/>
              </w:rPr>
              <w:t xml:space="preserve"> – культурного та спортивного простору для розвитку</w:t>
            </w:r>
            <w:r w:rsidRPr="002045F5">
              <w:rPr>
                <w:b/>
                <w:sz w:val="22"/>
                <w:lang w:val="uk-UA"/>
              </w:rPr>
              <w:t xml:space="preserve"> </w:t>
            </w:r>
          </w:p>
        </w:tc>
      </w:tr>
      <w:tr w:rsidR="00E95FB1" w:rsidRPr="002045F5" w:rsidTr="001B3967">
        <w:tc>
          <w:tcPr>
            <w:tcW w:w="2836"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Назва проекту:</w:t>
            </w:r>
          </w:p>
        </w:tc>
        <w:tc>
          <w:tcPr>
            <w:tcW w:w="7097" w:type="dxa"/>
            <w:gridSpan w:val="7"/>
          </w:tcPr>
          <w:p w:rsidR="00E95FB1" w:rsidRPr="002045F5" w:rsidRDefault="00E95FB1" w:rsidP="001B3967">
            <w:pPr>
              <w:pStyle w:val="a7"/>
              <w:ind w:left="0"/>
              <w:rPr>
                <w:sz w:val="22"/>
                <w:lang w:val="uk-UA"/>
              </w:rPr>
            </w:pPr>
            <w:r w:rsidRPr="002045F5">
              <w:rPr>
                <w:sz w:val="22"/>
                <w:lang w:val="uk-UA"/>
              </w:rPr>
              <w:t>Відновлення діяльності Комунального Закладу «Сєвєродонецька міська бібліотека для дітей»</w:t>
            </w:r>
          </w:p>
        </w:tc>
      </w:tr>
      <w:tr w:rsidR="00E95FB1" w:rsidRPr="002045F5" w:rsidTr="001B3967">
        <w:tc>
          <w:tcPr>
            <w:tcW w:w="2836" w:type="dxa"/>
            <w:shd w:val="clear" w:color="auto" w:fill="C6D9F1" w:themeFill="text2" w:themeFillTint="33"/>
          </w:tcPr>
          <w:p w:rsidR="00E95FB1" w:rsidRPr="002045F5" w:rsidRDefault="00E95FB1" w:rsidP="001B3967">
            <w:pPr>
              <w:rPr>
                <w:b/>
                <w:sz w:val="22"/>
                <w:lang w:val="uk-UA"/>
              </w:rPr>
            </w:pPr>
            <w:r w:rsidRPr="002045F5">
              <w:rPr>
                <w:b/>
                <w:sz w:val="22"/>
                <w:lang w:val="uk-UA"/>
              </w:rPr>
              <w:t>Ціль проекту</w:t>
            </w:r>
          </w:p>
        </w:tc>
        <w:tc>
          <w:tcPr>
            <w:tcW w:w="7097" w:type="dxa"/>
            <w:gridSpan w:val="7"/>
          </w:tcPr>
          <w:p w:rsidR="00E95FB1" w:rsidRPr="002045F5" w:rsidRDefault="00E95FB1" w:rsidP="00D10EBA">
            <w:pPr>
              <w:pStyle w:val="a7"/>
              <w:ind w:left="0"/>
              <w:rPr>
                <w:sz w:val="22"/>
                <w:lang w:val="uk-UA"/>
              </w:rPr>
            </w:pPr>
            <w:r w:rsidRPr="002045F5">
              <w:rPr>
                <w:sz w:val="22"/>
                <w:lang w:val="uk-UA"/>
              </w:rPr>
              <w:t xml:space="preserve">Відновити та покращити роботу Комунального Закладу «Сєвєродонецька міська бібліотека для дітей»  для надання широкого спектру послуг, пов’язаних із якістю та задоволення потреб мешканців Сєвєродонецької міської територіальної громади у необхідних послугах (або створенні умов для реалізації індивідуальних програм, набуття ними відповідних </w:t>
            </w:r>
            <w:proofErr w:type="spellStart"/>
            <w:r w:rsidRPr="002045F5">
              <w:rPr>
                <w:sz w:val="22"/>
                <w:lang w:val="uk-UA"/>
              </w:rPr>
              <w:t>компетентностей</w:t>
            </w:r>
            <w:proofErr w:type="spellEnd"/>
            <w:r w:rsidRPr="002045F5">
              <w:rPr>
                <w:sz w:val="22"/>
                <w:lang w:val="uk-UA"/>
              </w:rPr>
              <w:t>).</w:t>
            </w:r>
          </w:p>
        </w:tc>
      </w:tr>
      <w:tr w:rsidR="00E95FB1" w:rsidRPr="002045F5" w:rsidTr="001B3967">
        <w:tc>
          <w:tcPr>
            <w:tcW w:w="2836"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Територія, на яку матиме вплив реалізація проекту</w:t>
            </w:r>
          </w:p>
        </w:tc>
        <w:tc>
          <w:tcPr>
            <w:tcW w:w="7097" w:type="dxa"/>
            <w:gridSpan w:val="7"/>
          </w:tcPr>
          <w:p w:rsidR="00E95FB1" w:rsidRPr="002045F5" w:rsidRDefault="00E95FB1" w:rsidP="001B3967">
            <w:pPr>
              <w:pStyle w:val="a7"/>
              <w:ind w:left="0"/>
              <w:rPr>
                <w:sz w:val="22"/>
                <w:lang w:val="uk-UA"/>
              </w:rPr>
            </w:pPr>
            <w:r w:rsidRPr="002045F5">
              <w:rPr>
                <w:sz w:val="22"/>
                <w:lang w:val="uk-UA"/>
              </w:rPr>
              <w:t>Сєвєродонецька міська територіальна громада</w:t>
            </w:r>
          </w:p>
        </w:tc>
      </w:tr>
      <w:tr w:rsidR="00E95FB1" w:rsidRPr="002045F5" w:rsidTr="001B3967">
        <w:tc>
          <w:tcPr>
            <w:tcW w:w="2836"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Чисельність населення, на яке матиме вплив реалізація проекту</w:t>
            </w:r>
          </w:p>
        </w:tc>
        <w:tc>
          <w:tcPr>
            <w:tcW w:w="7097" w:type="dxa"/>
            <w:gridSpan w:val="7"/>
          </w:tcPr>
          <w:p w:rsidR="00E95FB1" w:rsidRPr="002045F5" w:rsidRDefault="00D10EBA" w:rsidP="001B3967">
            <w:pPr>
              <w:pStyle w:val="a7"/>
              <w:ind w:left="0"/>
              <w:rPr>
                <w:sz w:val="22"/>
                <w:lang w:val="uk-UA"/>
              </w:rPr>
            </w:pPr>
            <w:r w:rsidRPr="002045F5">
              <w:rPr>
                <w:sz w:val="22"/>
                <w:lang w:val="uk-UA"/>
              </w:rPr>
              <w:t>70 000</w:t>
            </w:r>
          </w:p>
        </w:tc>
      </w:tr>
      <w:tr w:rsidR="00E95FB1" w:rsidRPr="002045F5" w:rsidTr="001B3967">
        <w:tc>
          <w:tcPr>
            <w:tcW w:w="2836" w:type="dxa"/>
            <w:shd w:val="clear" w:color="auto" w:fill="C6D9F1" w:themeFill="text2" w:themeFillTint="33"/>
          </w:tcPr>
          <w:p w:rsidR="00E95FB1" w:rsidRPr="002045F5" w:rsidRDefault="00E95FB1" w:rsidP="001B3967">
            <w:pPr>
              <w:rPr>
                <w:b/>
                <w:sz w:val="22"/>
                <w:lang w:val="uk-UA"/>
              </w:rPr>
            </w:pPr>
            <w:r w:rsidRPr="002045F5">
              <w:rPr>
                <w:b/>
                <w:sz w:val="22"/>
                <w:lang w:val="uk-UA"/>
              </w:rPr>
              <w:lastRenderedPageBreak/>
              <w:t>Опис проблеми, на вирішення якої  спрямований проект</w:t>
            </w:r>
          </w:p>
        </w:tc>
        <w:tc>
          <w:tcPr>
            <w:tcW w:w="7097" w:type="dxa"/>
            <w:gridSpan w:val="7"/>
          </w:tcPr>
          <w:p w:rsidR="00E95FB1" w:rsidRPr="002045F5" w:rsidRDefault="00E95FB1" w:rsidP="001B3967">
            <w:pPr>
              <w:ind w:firstLine="255"/>
              <w:rPr>
                <w:sz w:val="22"/>
                <w:lang w:val="uk-UA"/>
              </w:rPr>
            </w:pPr>
            <w:r w:rsidRPr="002045F5">
              <w:rPr>
                <w:sz w:val="22"/>
                <w:lang w:val="uk-UA"/>
              </w:rPr>
              <w:t>Через військову агресію РФ територія Сєвєродонецької міської територіальної громади зазнала значних пошкоджень. Не оминуло це і Комунальний Заклад  «Сєвєродонецька міська бібліотека для дітей».</w:t>
            </w:r>
          </w:p>
          <w:p w:rsidR="00E95FB1" w:rsidRPr="002045F5" w:rsidRDefault="00E95FB1" w:rsidP="001B3967">
            <w:pPr>
              <w:ind w:firstLine="255"/>
              <w:rPr>
                <w:sz w:val="22"/>
                <w:lang w:val="uk-UA"/>
              </w:rPr>
            </w:pPr>
            <w:r w:rsidRPr="002045F5">
              <w:rPr>
                <w:sz w:val="22"/>
                <w:lang w:val="uk-UA"/>
              </w:rPr>
              <w:t>Вся матеріально-технічна база потребує забезпечення</w:t>
            </w:r>
            <w:r w:rsidR="00D10EBA" w:rsidRPr="002045F5">
              <w:rPr>
                <w:sz w:val="22"/>
                <w:lang w:val="uk-UA"/>
              </w:rPr>
              <w:t>,</w:t>
            </w:r>
            <w:r w:rsidRPr="002045F5">
              <w:rPr>
                <w:sz w:val="22"/>
                <w:lang w:val="uk-UA"/>
              </w:rPr>
              <w:t xml:space="preserve"> необхідного для діяльності закладу, зокрема:</w:t>
            </w:r>
          </w:p>
          <w:p w:rsidR="00E95FB1" w:rsidRPr="002045F5" w:rsidRDefault="00E95FB1" w:rsidP="000303D7">
            <w:pPr>
              <w:numPr>
                <w:ilvl w:val="0"/>
                <w:numId w:val="9"/>
              </w:numPr>
              <w:tabs>
                <w:tab w:val="clear" w:pos="1068"/>
                <w:tab w:val="num" w:pos="397"/>
              </w:tabs>
              <w:ind w:left="-28" w:firstLine="255"/>
              <w:rPr>
                <w:sz w:val="22"/>
                <w:lang w:val="uk-UA"/>
              </w:rPr>
            </w:pPr>
            <w:r w:rsidRPr="002045F5">
              <w:rPr>
                <w:sz w:val="22"/>
                <w:lang w:val="uk-UA"/>
              </w:rPr>
              <w:t>обладнання (устаткування);</w:t>
            </w:r>
          </w:p>
          <w:p w:rsidR="00E95FB1" w:rsidRPr="002045F5" w:rsidRDefault="00E95FB1" w:rsidP="000303D7">
            <w:pPr>
              <w:numPr>
                <w:ilvl w:val="0"/>
                <w:numId w:val="9"/>
              </w:numPr>
              <w:tabs>
                <w:tab w:val="clear" w:pos="1068"/>
                <w:tab w:val="num" w:pos="397"/>
              </w:tabs>
              <w:ind w:left="-28" w:firstLine="255"/>
              <w:rPr>
                <w:sz w:val="22"/>
                <w:lang w:val="uk-UA"/>
              </w:rPr>
            </w:pPr>
            <w:r w:rsidRPr="002045F5">
              <w:rPr>
                <w:sz w:val="22"/>
                <w:lang w:val="uk-UA"/>
              </w:rPr>
              <w:t>обчислювальна техніка із відповідним програмним забезпеченням;</w:t>
            </w:r>
          </w:p>
          <w:p w:rsidR="00E95FB1" w:rsidRPr="002045F5" w:rsidRDefault="00E95FB1" w:rsidP="000303D7">
            <w:pPr>
              <w:numPr>
                <w:ilvl w:val="0"/>
                <w:numId w:val="9"/>
              </w:numPr>
              <w:tabs>
                <w:tab w:val="clear" w:pos="1068"/>
                <w:tab w:val="num" w:pos="397"/>
              </w:tabs>
              <w:ind w:left="-28" w:firstLine="255"/>
              <w:rPr>
                <w:sz w:val="22"/>
                <w:lang w:val="uk-UA"/>
              </w:rPr>
            </w:pPr>
            <w:r w:rsidRPr="002045F5">
              <w:rPr>
                <w:sz w:val="22"/>
                <w:lang w:val="uk-UA"/>
              </w:rPr>
              <w:t>інша оргтехніка (монітори, комп’ютери, принтери, сканери,</w:t>
            </w:r>
            <w:r w:rsidR="00D10EBA" w:rsidRPr="002045F5">
              <w:rPr>
                <w:sz w:val="22"/>
                <w:lang w:val="uk-UA"/>
              </w:rPr>
              <w:t xml:space="preserve"> </w:t>
            </w:r>
            <w:r w:rsidRPr="002045F5">
              <w:rPr>
                <w:sz w:val="22"/>
                <w:lang w:val="uk-UA"/>
              </w:rPr>
              <w:t>інтерактивні дошки та ін.);</w:t>
            </w:r>
          </w:p>
          <w:p w:rsidR="00E95FB1" w:rsidRPr="002045F5" w:rsidRDefault="00E95FB1" w:rsidP="000303D7">
            <w:pPr>
              <w:pStyle w:val="13"/>
              <w:numPr>
                <w:ilvl w:val="0"/>
                <w:numId w:val="9"/>
              </w:numPr>
              <w:tabs>
                <w:tab w:val="clear" w:pos="1068"/>
                <w:tab w:val="num" w:pos="397"/>
              </w:tabs>
              <w:ind w:left="-28" w:firstLine="255"/>
              <w:jc w:val="both"/>
              <w:rPr>
                <w:sz w:val="22"/>
                <w:lang w:val="uk-UA"/>
              </w:rPr>
            </w:pPr>
            <w:r w:rsidRPr="002045F5">
              <w:rPr>
                <w:sz w:val="22"/>
                <w:lang w:val="uk-UA"/>
              </w:rPr>
              <w:t>основні засоби (офісні меблі, сейф, бібліотечний фонд, обладнання для проведення заходів) були знищені або викрадені.</w:t>
            </w:r>
          </w:p>
          <w:p w:rsidR="00E95FB1" w:rsidRPr="002045F5" w:rsidRDefault="00E95FB1" w:rsidP="001B3967">
            <w:pPr>
              <w:pStyle w:val="13"/>
              <w:jc w:val="both"/>
              <w:rPr>
                <w:sz w:val="22"/>
                <w:lang w:val="uk-UA"/>
              </w:rPr>
            </w:pPr>
            <w:r w:rsidRPr="002045F5">
              <w:rPr>
                <w:rFonts w:eastAsia="Arial"/>
                <w:sz w:val="22"/>
                <w:lang w:val="uk-UA"/>
              </w:rPr>
              <w:t xml:space="preserve">    Для відбудови та сталого розвитку громади потрібне відновлення роботи мережі</w:t>
            </w:r>
            <w:r w:rsidRPr="002045F5">
              <w:rPr>
                <w:sz w:val="22"/>
                <w:lang w:val="uk-UA"/>
              </w:rPr>
              <w:t xml:space="preserve"> бібліотек, </w:t>
            </w:r>
            <w:proofErr w:type="spellStart"/>
            <w:r w:rsidRPr="002045F5">
              <w:rPr>
                <w:sz w:val="22"/>
                <w:lang w:val="uk-UA"/>
              </w:rPr>
              <w:t>медіатек</w:t>
            </w:r>
            <w:proofErr w:type="spellEnd"/>
            <w:r w:rsidRPr="002045F5">
              <w:rPr>
                <w:sz w:val="22"/>
                <w:lang w:val="uk-UA"/>
              </w:rPr>
              <w:t>,</w:t>
            </w:r>
            <w:r w:rsidRPr="002045F5">
              <w:rPr>
                <w:rFonts w:eastAsia="Arial"/>
                <w:sz w:val="22"/>
                <w:lang w:val="uk-UA"/>
              </w:rPr>
              <w:t xml:space="preserve"> а саме </w:t>
            </w:r>
            <w:r w:rsidRPr="002045F5">
              <w:rPr>
                <w:sz w:val="22"/>
                <w:lang w:val="uk-UA"/>
              </w:rPr>
              <w:t xml:space="preserve">Комунального Закладу  «Сєвєродонецька міська бібліотека для дітей». </w:t>
            </w:r>
            <w:r w:rsidRPr="002045F5">
              <w:rPr>
                <w:rFonts w:eastAsia="Arial"/>
                <w:sz w:val="22"/>
                <w:lang w:val="uk-UA"/>
              </w:rPr>
              <w:t xml:space="preserve">Мешканці громади потребують в отриманні якісних послуг, які відповідають нормам сучасності. </w:t>
            </w:r>
          </w:p>
        </w:tc>
      </w:tr>
      <w:tr w:rsidR="00E95FB1" w:rsidRPr="002045F5" w:rsidTr="001B3967">
        <w:tc>
          <w:tcPr>
            <w:tcW w:w="2836"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Очікувані якісні результати від реалізації проекту</w:t>
            </w:r>
          </w:p>
        </w:tc>
        <w:tc>
          <w:tcPr>
            <w:tcW w:w="7097" w:type="dxa"/>
            <w:gridSpan w:val="7"/>
          </w:tcPr>
          <w:p w:rsidR="00E95FB1" w:rsidRPr="002045F5" w:rsidRDefault="00E95FB1" w:rsidP="001B3967">
            <w:pPr>
              <w:pStyle w:val="a7"/>
              <w:ind w:left="0"/>
              <w:rPr>
                <w:sz w:val="22"/>
                <w:lang w:val="uk-UA"/>
              </w:rPr>
            </w:pPr>
            <w:r w:rsidRPr="002045F5">
              <w:rPr>
                <w:sz w:val="22"/>
                <w:lang w:val="uk-UA"/>
              </w:rPr>
              <w:t>- забезпечення населення можливостями для реалізації його конституційних прав;</w:t>
            </w:r>
          </w:p>
          <w:p w:rsidR="00E95FB1" w:rsidRPr="002045F5" w:rsidRDefault="00E95FB1" w:rsidP="001B3967">
            <w:pPr>
              <w:pStyle w:val="a7"/>
              <w:ind w:left="0"/>
              <w:rPr>
                <w:sz w:val="22"/>
                <w:lang w:val="uk-UA"/>
              </w:rPr>
            </w:pPr>
            <w:r w:rsidRPr="002045F5">
              <w:rPr>
                <w:sz w:val="22"/>
                <w:lang w:val="uk-UA"/>
              </w:rPr>
              <w:t xml:space="preserve">- надання широкого спектру послуг, пов’язаних із можливостями доступу людини до духовних цінностей свого народу (нації) та всього людства; розвитку української нації, її історичної свідомості, традицій і культури, а також розвитку етнічної, культурної, </w:t>
            </w:r>
            <w:proofErr w:type="spellStart"/>
            <w:r w:rsidRPr="002045F5">
              <w:rPr>
                <w:sz w:val="22"/>
                <w:lang w:val="uk-UA"/>
              </w:rPr>
              <w:t>мовної</w:t>
            </w:r>
            <w:proofErr w:type="spellEnd"/>
            <w:r w:rsidRPr="002045F5">
              <w:rPr>
                <w:sz w:val="22"/>
                <w:lang w:val="uk-UA"/>
              </w:rPr>
              <w:t xml:space="preserve"> та релігійної самобутності всіх корінних народів і національних меншин України;</w:t>
            </w:r>
          </w:p>
          <w:p w:rsidR="00E95FB1" w:rsidRPr="002045F5" w:rsidRDefault="00E95FB1" w:rsidP="001B3967">
            <w:pPr>
              <w:pStyle w:val="a7"/>
              <w:ind w:left="0"/>
              <w:rPr>
                <w:sz w:val="22"/>
                <w:lang w:val="uk-UA"/>
              </w:rPr>
            </w:pPr>
            <w:r w:rsidRPr="002045F5">
              <w:rPr>
                <w:sz w:val="22"/>
                <w:lang w:val="uk-UA"/>
              </w:rPr>
              <w:t>- вирішення ряду питань в межах статутної діяльності, пов’язаних із відбудовою та сталим розвитком громади;</w:t>
            </w:r>
          </w:p>
          <w:p w:rsidR="00E95FB1" w:rsidRPr="002045F5" w:rsidRDefault="00E95FB1" w:rsidP="001B3967">
            <w:pPr>
              <w:tabs>
                <w:tab w:val="left" w:pos="253"/>
              </w:tabs>
              <w:rPr>
                <w:sz w:val="22"/>
                <w:lang w:val="uk-UA"/>
              </w:rPr>
            </w:pPr>
            <w:r w:rsidRPr="002045F5">
              <w:rPr>
                <w:sz w:val="22"/>
                <w:lang w:val="uk-UA"/>
              </w:rPr>
              <w:t>- задоволення інформаційних потреб  користувачів;</w:t>
            </w:r>
          </w:p>
          <w:p w:rsidR="00E95FB1" w:rsidRPr="002045F5" w:rsidRDefault="00E95FB1" w:rsidP="001B3967">
            <w:pPr>
              <w:tabs>
                <w:tab w:val="left" w:pos="253"/>
              </w:tabs>
              <w:rPr>
                <w:sz w:val="22"/>
                <w:lang w:val="uk-UA"/>
              </w:rPr>
            </w:pPr>
            <w:r w:rsidRPr="002045F5">
              <w:rPr>
                <w:sz w:val="22"/>
                <w:lang w:val="uk-UA"/>
              </w:rPr>
              <w:t>- забезпечення доступу читачів до кращих зразків книжкової продукції. Збільшення книговидачі щорічно;</w:t>
            </w:r>
          </w:p>
          <w:p w:rsidR="00E95FB1" w:rsidRPr="002045F5" w:rsidRDefault="00E95FB1" w:rsidP="001B3967">
            <w:pPr>
              <w:tabs>
                <w:tab w:val="left" w:pos="253"/>
              </w:tabs>
              <w:rPr>
                <w:sz w:val="22"/>
                <w:lang w:val="uk-UA"/>
              </w:rPr>
            </w:pPr>
            <w:r w:rsidRPr="002045F5">
              <w:rPr>
                <w:sz w:val="22"/>
                <w:lang w:val="uk-UA"/>
              </w:rPr>
              <w:t>- створення комфортних умов для відвідувачів та робітників закладу;</w:t>
            </w:r>
          </w:p>
          <w:p w:rsidR="00E95FB1" w:rsidRPr="002045F5" w:rsidRDefault="00E95FB1" w:rsidP="001B3967">
            <w:pPr>
              <w:tabs>
                <w:tab w:val="left" w:pos="253"/>
              </w:tabs>
              <w:rPr>
                <w:sz w:val="22"/>
                <w:lang w:val="uk-UA"/>
              </w:rPr>
            </w:pPr>
            <w:r w:rsidRPr="002045F5">
              <w:rPr>
                <w:color w:val="000000"/>
                <w:sz w:val="22"/>
                <w:lang w:val="uk-UA"/>
              </w:rPr>
              <w:t>- зберігання бібліотечних фондів згідно встановлених норм</w:t>
            </w:r>
            <w:r w:rsidR="00D359C8" w:rsidRPr="002045F5">
              <w:rPr>
                <w:color w:val="000000"/>
                <w:sz w:val="22"/>
                <w:lang w:val="uk-UA"/>
              </w:rPr>
              <w:t>;</w:t>
            </w:r>
          </w:p>
          <w:p w:rsidR="00E95FB1" w:rsidRPr="002045F5" w:rsidRDefault="00E95FB1" w:rsidP="001B3967">
            <w:pPr>
              <w:tabs>
                <w:tab w:val="left" w:pos="253"/>
                <w:tab w:val="left" w:pos="395"/>
              </w:tabs>
              <w:rPr>
                <w:color w:val="000000"/>
                <w:sz w:val="22"/>
                <w:lang w:val="uk-UA"/>
              </w:rPr>
            </w:pPr>
            <w:r w:rsidRPr="002045F5">
              <w:rPr>
                <w:rFonts w:eastAsia="Calibri"/>
                <w:sz w:val="22"/>
                <w:lang w:val="uk-UA"/>
              </w:rPr>
              <w:t>- задоволення культурних потреб мешканців територіальної громади, поліпшення естетичного вигляду;</w:t>
            </w:r>
          </w:p>
          <w:p w:rsidR="00E95FB1" w:rsidRPr="002045F5" w:rsidRDefault="00E95FB1" w:rsidP="001B3967">
            <w:pPr>
              <w:pStyle w:val="a7"/>
              <w:ind w:left="0"/>
              <w:rPr>
                <w:sz w:val="22"/>
                <w:lang w:val="uk-UA"/>
              </w:rPr>
            </w:pPr>
            <w:r w:rsidRPr="002045F5">
              <w:rPr>
                <w:sz w:val="22"/>
                <w:lang w:val="uk-UA"/>
              </w:rPr>
              <w:t>- стимул до повернення ВПО до громади;</w:t>
            </w:r>
          </w:p>
        </w:tc>
      </w:tr>
      <w:tr w:rsidR="00E95FB1" w:rsidRPr="002045F5" w:rsidTr="001B3967">
        <w:trPr>
          <w:trHeight w:val="390"/>
        </w:trPr>
        <w:tc>
          <w:tcPr>
            <w:tcW w:w="2836" w:type="dxa"/>
            <w:vMerge w:val="restart"/>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 xml:space="preserve">Очікувані кількісні результати реалізації </w:t>
            </w:r>
            <w:proofErr w:type="spellStart"/>
            <w:r w:rsidRPr="002045F5">
              <w:rPr>
                <w:b/>
                <w:sz w:val="22"/>
                <w:lang w:val="uk-UA"/>
              </w:rPr>
              <w:t>проєкту</w:t>
            </w:r>
            <w:proofErr w:type="spellEnd"/>
            <w:r w:rsidRPr="002045F5">
              <w:rPr>
                <w:b/>
                <w:sz w:val="22"/>
                <w:lang w:val="uk-UA"/>
              </w:rPr>
              <w:t xml:space="preserve"> (індикатори)</w:t>
            </w:r>
          </w:p>
          <w:p w:rsidR="00E95FB1" w:rsidRPr="002045F5" w:rsidRDefault="00E95FB1" w:rsidP="001B3967">
            <w:pPr>
              <w:pStyle w:val="a7"/>
              <w:ind w:left="0"/>
              <w:rPr>
                <w:b/>
                <w:sz w:val="22"/>
                <w:lang w:val="uk-UA"/>
              </w:rPr>
            </w:pPr>
          </w:p>
        </w:tc>
        <w:tc>
          <w:tcPr>
            <w:tcW w:w="3187" w:type="dxa"/>
            <w:gridSpan w:val="3"/>
            <w:tcBorders>
              <w:bottom w:val="single" w:sz="4" w:space="0" w:color="auto"/>
              <w:right w:val="single" w:sz="4" w:space="0" w:color="auto"/>
            </w:tcBorders>
          </w:tcPr>
          <w:p w:rsidR="00E95FB1" w:rsidRPr="002045F5" w:rsidRDefault="00E95FB1" w:rsidP="001B3967">
            <w:pPr>
              <w:pStyle w:val="a7"/>
              <w:ind w:left="-108"/>
              <w:jc w:val="center"/>
              <w:rPr>
                <w:b/>
                <w:sz w:val="22"/>
                <w:lang w:val="uk-UA"/>
              </w:rPr>
            </w:pPr>
            <w:r w:rsidRPr="002045F5">
              <w:rPr>
                <w:b/>
                <w:sz w:val="22"/>
                <w:lang w:val="uk-UA"/>
              </w:rPr>
              <w:t>Найменування показника</w:t>
            </w:r>
          </w:p>
        </w:tc>
        <w:tc>
          <w:tcPr>
            <w:tcW w:w="2078" w:type="dxa"/>
            <w:gridSpan w:val="2"/>
            <w:tcBorders>
              <w:left w:val="single" w:sz="4" w:space="0" w:color="auto"/>
              <w:bottom w:val="single" w:sz="4" w:space="0" w:color="auto"/>
              <w:right w:val="single" w:sz="4" w:space="0" w:color="auto"/>
            </w:tcBorders>
          </w:tcPr>
          <w:p w:rsidR="00E95FB1" w:rsidRPr="002045F5" w:rsidRDefault="00E95FB1" w:rsidP="001B3967">
            <w:pPr>
              <w:pStyle w:val="a7"/>
              <w:ind w:left="0"/>
              <w:jc w:val="center"/>
              <w:rPr>
                <w:b/>
                <w:sz w:val="22"/>
                <w:lang w:val="uk-UA"/>
              </w:rPr>
            </w:pPr>
            <w:r w:rsidRPr="002045F5">
              <w:rPr>
                <w:b/>
                <w:sz w:val="22"/>
                <w:lang w:val="uk-UA"/>
              </w:rPr>
              <w:t>Одиниця вимірювання</w:t>
            </w:r>
          </w:p>
          <w:p w:rsidR="00E95FB1" w:rsidRPr="002045F5" w:rsidRDefault="00E95FB1" w:rsidP="001B3967">
            <w:pPr>
              <w:pStyle w:val="a7"/>
              <w:ind w:left="0"/>
              <w:rPr>
                <w:b/>
                <w:sz w:val="22"/>
                <w:lang w:val="uk-UA"/>
              </w:rPr>
            </w:pPr>
          </w:p>
        </w:tc>
        <w:tc>
          <w:tcPr>
            <w:tcW w:w="1832" w:type="dxa"/>
            <w:gridSpan w:val="2"/>
            <w:tcBorders>
              <w:left w:val="single" w:sz="4" w:space="0" w:color="auto"/>
              <w:bottom w:val="single" w:sz="4" w:space="0" w:color="auto"/>
            </w:tcBorders>
          </w:tcPr>
          <w:p w:rsidR="00E95FB1" w:rsidRPr="002045F5" w:rsidRDefault="00E95FB1" w:rsidP="001B3967">
            <w:pPr>
              <w:pStyle w:val="a7"/>
              <w:ind w:left="0"/>
              <w:jc w:val="center"/>
              <w:rPr>
                <w:b/>
                <w:sz w:val="22"/>
                <w:lang w:val="uk-UA"/>
              </w:rPr>
            </w:pPr>
            <w:r w:rsidRPr="002045F5">
              <w:rPr>
                <w:b/>
                <w:sz w:val="22"/>
                <w:lang w:val="uk-UA"/>
              </w:rPr>
              <w:t>Прогнозне (цільове) значення</w:t>
            </w:r>
          </w:p>
        </w:tc>
      </w:tr>
      <w:tr w:rsidR="00E95FB1" w:rsidRPr="002045F5" w:rsidTr="001B3967">
        <w:trPr>
          <w:trHeight w:val="585"/>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3187" w:type="dxa"/>
            <w:gridSpan w:val="3"/>
            <w:tcBorders>
              <w:top w:val="single" w:sz="4" w:space="0" w:color="auto"/>
              <w:bottom w:val="single" w:sz="4" w:space="0" w:color="auto"/>
              <w:right w:val="single" w:sz="4" w:space="0" w:color="auto"/>
            </w:tcBorders>
          </w:tcPr>
          <w:p w:rsidR="00E95FB1" w:rsidRPr="002045F5" w:rsidRDefault="00E95FB1" w:rsidP="00D359C8">
            <w:pPr>
              <w:pStyle w:val="a7"/>
              <w:ind w:left="0"/>
              <w:rPr>
                <w:sz w:val="22"/>
                <w:lang w:val="uk-UA"/>
              </w:rPr>
            </w:pPr>
            <w:r w:rsidRPr="002045F5">
              <w:rPr>
                <w:sz w:val="22"/>
                <w:lang w:val="uk-UA"/>
              </w:rPr>
              <w:t>Кількість фізичних осіб (користувачів), які звернулись за послугами протягом  року</w:t>
            </w:r>
          </w:p>
        </w:tc>
        <w:tc>
          <w:tcPr>
            <w:tcW w:w="2078" w:type="dxa"/>
            <w:gridSpan w:val="2"/>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jc w:val="center"/>
              <w:rPr>
                <w:sz w:val="22"/>
                <w:lang w:val="uk-UA"/>
              </w:rPr>
            </w:pPr>
            <w:r w:rsidRPr="002045F5">
              <w:rPr>
                <w:rFonts w:eastAsia="Arial"/>
                <w:sz w:val="22"/>
                <w:lang w:val="uk-UA"/>
              </w:rPr>
              <w:t>осіб</w:t>
            </w:r>
          </w:p>
        </w:tc>
        <w:tc>
          <w:tcPr>
            <w:tcW w:w="1832" w:type="dxa"/>
            <w:gridSpan w:val="2"/>
            <w:tcBorders>
              <w:top w:val="single" w:sz="4" w:space="0" w:color="auto"/>
              <w:left w:val="single" w:sz="4" w:space="0" w:color="auto"/>
              <w:bottom w:val="single" w:sz="4" w:space="0" w:color="auto"/>
            </w:tcBorders>
            <w:vAlign w:val="center"/>
          </w:tcPr>
          <w:p w:rsidR="00E95FB1" w:rsidRPr="002045F5" w:rsidRDefault="00E95FB1" w:rsidP="001B3967">
            <w:pPr>
              <w:jc w:val="center"/>
              <w:rPr>
                <w:rFonts w:eastAsia="Arial"/>
                <w:sz w:val="22"/>
                <w:lang w:val="uk-UA"/>
              </w:rPr>
            </w:pPr>
            <w:r w:rsidRPr="002045F5">
              <w:rPr>
                <w:sz w:val="22"/>
                <w:lang w:val="uk-UA"/>
              </w:rPr>
              <w:t>7433</w:t>
            </w:r>
          </w:p>
        </w:tc>
      </w:tr>
      <w:tr w:rsidR="00E95FB1" w:rsidRPr="002045F5" w:rsidTr="001B3967">
        <w:trPr>
          <w:trHeight w:val="184"/>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3187" w:type="dxa"/>
            <w:gridSpan w:val="3"/>
            <w:tcBorders>
              <w:top w:val="single" w:sz="4" w:space="0" w:color="auto"/>
              <w:bottom w:val="single" w:sz="4" w:space="0" w:color="auto"/>
              <w:right w:val="single" w:sz="4" w:space="0" w:color="auto"/>
            </w:tcBorders>
          </w:tcPr>
          <w:p w:rsidR="00E95FB1" w:rsidRPr="002045F5" w:rsidRDefault="00E95FB1" w:rsidP="001B3967">
            <w:pPr>
              <w:pStyle w:val="a7"/>
              <w:ind w:left="0"/>
              <w:rPr>
                <w:sz w:val="22"/>
                <w:lang w:val="uk-UA"/>
              </w:rPr>
            </w:pPr>
            <w:r w:rsidRPr="002045F5">
              <w:rPr>
                <w:sz w:val="22"/>
                <w:lang w:val="uk-UA"/>
              </w:rPr>
              <w:t>Кількість книговидань протягом  року</w:t>
            </w:r>
          </w:p>
        </w:tc>
        <w:tc>
          <w:tcPr>
            <w:tcW w:w="2078" w:type="dxa"/>
            <w:gridSpan w:val="2"/>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примірників</w:t>
            </w:r>
          </w:p>
        </w:tc>
        <w:tc>
          <w:tcPr>
            <w:tcW w:w="1832" w:type="dxa"/>
            <w:gridSpan w:val="2"/>
            <w:tcBorders>
              <w:top w:val="single" w:sz="4" w:space="0" w:color="auto"/>
              <w:left w:val="single" w:sz="4" w:space="0" w:color="auto"/>
              <w:bottom w:val="single" w:sz="4" w:space="0" w:color="auto"/>
            </w:tcBorders>
            <w:vAlign w:val="center"/>
          </w:tcPr>
          <w:p w:rsidR="00E95FB1" w:rsidRPr="002045F5" w:rsidRDefault="00E95FB1" w:rsidP="001B3967">
            <w:pPr>
              <w:jc w:val="center"/>
              <w:rPr>
                <w:sz w:val="22"/>
                <w:lang w:val="uk-UA"/>
              </w:rPr>
            </w:pPr>
            <w:r w:rsidRPr="002045F5">
              <w:rPr>
                <w:sz w:val="22"/>
                <w:lang w:val="uk-UA"/>
              </w:rPr>
              <w:t>153864</w:t>
            </w:r>
          </w:p>
        </w:tc>
      </w:tr>
      <w:tr w:rsidR="00E95FB1" w:rsidRPr="002045F5" w:rsidTr="001B3967">
        <w:trPr>
          <w:trHeight w:val="184"/>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3187" w:type="dxa"/>
            <w:gridSpan w:val="3"/>
            <w:tcBorders>
              <w:top w:val="single" w:sz="4" w:space="0" w:color="auto"/>
              <w:bottom w:val="single" w:sz="4" w:space="0" w:color="auto"/>
              <w:right w:val="single" w:sz="4" w:space="0" w:color="auto"/>
            </w:tcBorders>
          </w:tcPr>
          <w:p w:rsidR="00E95FB1" w:rsidRPr="002045F5" w:rsidRDefault="00E95FB1" w:rsidP="001B3967">
            <w:pPr>
              <w:pStyle w:val="a7"/>
              <w:ind w:left="0"/>
              <w:rPr>
                <w:sz w:val="22"/>
                <w:lang w:val="uk-UA"/>
              </w:rPr>
            </w:pPr>
            <w:r w:rsidRPr="002045F5">
              <w:rPr>
                <w:sz w:val="22"/>
                <w:lang w:val="uk-UA"/>
              </w:rPr>
              <w:t>Кількість відвідувань заходів  протягом  року</w:t>
            </w:r>
          </w:p>
        </w:tc>
        <w:tc>
          <w:tcPr>
            <w:tcW w:w="2078" w:type="dxa"/>
            <w:gridSpan w:val="2"/>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осіб</w:t>
            </w:r>
          </w:p>
        </w:tc>
        <w:tc>
          <w:tcPr>
            <w:tcW w:w="1832" w:type="dxa"/>
            <w:gridSpan w:val="2"/>
            <w:tcBorders>
              <w:top w:val="single" w:sz="4" w:space="0" w:color="auto"/>
              <w:left w:val="single" w:sz="4" w:space="0" w:color="auto"/>
              <w:bottom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69509</w:t>
            </w:r>
          </w:p>
        </w:tc>
      </w:tr>
      <w:tr w:rsidR="00E95FB1" w:rsidRPr="002045F5" w:rsidTr="001B3967">
        <w:trPr>
          <w:trHeight w:val="184"/>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3187" w:type="dxa"/>
            <w:gridSpan w:val="3"/>
            <w:tcBorders>
              <w:top w:val="single" w:sz="4" w:space="0" w:color="auto"/>
              <w:bottom w:val="single" w:sz="4" w:space="0" w:color="auto"/>
              <w:right w:val="single" w:sz="4" w:space="0" w:color="auto"/>
            </w:tcBorders>
          </w:tcPr>
          <w:p w:rsidR="00E95FB1" w:rsidRPr="002045F5" w:rsidRDefault="00E95FB1" w:rsidP="001B3967">
            <w:pPr>
              <w:pStyle w:val="a7"/>
              <w:ind w:left="0"/>
              <w:rPr>
                <w:sz w:val="22"/>
                <w:lang w:val="uk-UA"/>
              </w:rPr>
            </w:pPr>
            <w:r w:rsidRPr="002045F5">
              <w:rPr>
                <w:sz w:val="22"/>
                <w:lang w:val="uk-UA"/>
              </w:rPr>
              <w:t>Кількість заходів для користувачів</w:t>
            </w:r>
          </w:p>
        </w:tc>
        <w:tc>
          <w:tcPr>
            <w:tcW w:w="2078" w:type="dxa"/>
            <w:gridSpan w:val="2"/>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одиниць</w:t>
            </w:r>
          </w:p>
        </w:tc>
        <w:tc>
          <w:tcPr>
            <w:tcW w:w="1832" w:type="dxa"/>
            <w:gridSpan w:val="2"/>
            <w:tcBorders>
              <w:top w:val="single" w:sz="4" w:space="0" w:color="auto"/>
              <w:left w:val="single" w:sz="4" w:space="0" w:color="auto"/>
              <w:bottom w:val="single" w:sz="4" w:space="0" w:color="auto"/>
            </w:tcBorders>
          </w:tcPr>
          <w:p w:rsidR="00E95FB1" w:rsidRPr="002045F5" w:rsidRDefault="00E95FB1" w:rsidP="001B3967">
            <w:pPr>
              <w:pStyle w:val="a7"/>
              <w:ind w:left="0"/>
              <w:jc w:val="center"/>
              <w:rPr>
                <w:sz w:val="22"/>
                <w:lang w:val="uk-UA"/>
              </w:rPr>
            </w:pPr>
            <w:r w:rsidRPr="002045F5">
              <w:rPr>
                <w:sz w:val="22"/>
                <w:lang w:val="uk-UA"/>
              </w:rPr>
              <w:t>693</w:t>
            </w:r>
          </w:p>
        </w:tc>
      </w:tr>
      <w:tr w:rsidR="00E95FB1" w:rsidRPr="002045F5" w:rsidTr="001B3967">
        <w:trPr>
          <w:trHeight w:val="165"/>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3187" w:type="dxa"/>
            <w:gridSpan w:val="3"/>
            <w:tcBorders>
              <w:top w:val="single" w:sz="4" w:space="0" w:color="auto"/>
              <w:bottom w:val="single" w:sz="4" w:space="0" w:color="auto"/>
              <w:right w:val="single" w:sz="4" w:space="0" w:color="auto"/>
            </w:tcBorders>
          </w:tcPr>
          <w:p w:rsidR="00E95FB1" w:rsidRPr="002045F5" w:rsidRDefault="00E95FB1" w:rsidP="001B3967">
            <w:pPr>
              <w:pStyle w:val="a7"/>
              <w:ind w:left="0"/>
              <w:rPr>
                <w:sz w:val="22"/>
                <w:lang w:val="uk-UA"/>
              </w:rPr>
            </w:pPr>
            <w:r w:rsidRPr="002045F5">
              <w:rPr>
                <w:sz w:val="22"/>
                <w:lang w:val="uk-UA"/>
              </w:rPr>
              <w:t>Середня вартість послуг</w:t>
            </w:r>
          </w:p>
        </w:tc>
        <w:tc>
          <w:tcPr>
            <w:tcW w:w="2078" w:type="dxa"/>
            <w:gridSpan w:val="2"/>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грн</w:t>
            </w:r>
          </w:p>
        </w:tc>
        <w:tc>
          <w:tcPr>
            <w:tcW w:w="1832" w:type="dxa"/>
            <w:gridSpan w:val="2"/>
            <w:tcBorders>
              <w:top w:val="single" w:sz="4" w:space="0" w:color="auto"/>
              <w:left w:val="single" w:sz="4" w:space="0" w:color="auto"/>
              <w:bottom w:val="single" w:sz="4" w:space="0" w:color="auto"/>
            </w:tcBorders>
          </w:tcPr>
          <w:p w:rsidR="00E95FB1" w:rsidRPr="002045F5" w:rsidRDefault="00E95FB1" w:rsidP="001B3967">
            <w:pPr>
              <w:pStyle w:val="a7"/>
              <w:ind w:left="0"/>
              <w:jc w:val="center"/>
              <w:rPr>
                <w:sz w:val="22"/>
                <w:lang w:val="uk-UA"/>
              </w:rPr>
            </w:pPr>
            <w:r w:rsidRPr="002045F5">
              <w:rPr>
                <w:sz w:val="22"/>
                <w:lang w:val="uk-UA"/>
              </w:rPr>
              <w:t>безкоштовно</w:t>
            </w:r>
          </w:p>
        </w:tc>
      </w:tr>
      <w:tr w:rsidR="00E95FB1" w:rsidRPr="002045F5" w:rsidTr="001B3967">
        <w:trPr>
          <w:trHeight w:val="150"/>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3187" w:type="dxa"/>
            <w:gridSpan w:val="3"/>
            <w:tcBorders>
              <w:top w:val="single" w:sz="4" w:space="0" w:color="auto"/>
              <w:right w:val="single" w:sz="4" w:space="0" w:color="auto"/>
            </w:tcBorders>
          </w:tcPr>
          <w:p w:rsidR="00E95FB1" w:rsidRPr="002045F5" w:rsidRDefault="00E95FB1" w:rsidP="001B3967">
            <w:pPr>
              <w:pStyle w:val="a7"/>
              <w:ind w:left="0"/>
              <w:rPr>
                <w:sz w:val="22"/>
                <w:lang w:val="uk-UA"/>
              </w:rPr>
            </w:pPr>
            <w:r w:rsidRPr="002045F5">
              <w:rPr>
                <w:sz w:val="22"/>
                <w:lang w:val="uk-UA"/>
              </w:rPr>
              <w:t>Термін надання послуги</w:t>
            </w:r>
          </w:p>
        </w:tc>
        <w:tc>
          <w:tcPr>
            <w:tcW w:w="2078" w:type="dxa"/>
            <w:gridSpan w:val="2"/>
            <w:tcBorders>
              <w:top w:val="single" w:sz="4" w:space="0" w:color="auto"/>
              <w:left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років</w:t>
            </w:r>
          </w:p>
        </w:tc>
        <w:tc>
          <w:tcPr>
            <w:tcW w:w="1832" w:type="dxa"/>
            <w:gridSpan w:val="2"/>
            <w:tcBorders>
              <w:top w:val="single" w:sz="4" w:space="0" w:color="auto"/>
              <w:left w:val="single" w:sz="4" w:space="0" w:color="auto"/>
            </w:tcBorders>
          </w:tcPr>
          <w:p w:rsidR="00E95FB1" w:rsidRPr="002045F5" w:rsidRDefault="00E95FB1" w:rsidP="001B3967">
            <w:pPr>
              <w:pStyle w:val="a7"/>
              <w:ind w:left="0"/>
              <w:jc w:val="center"/>
              <w:rPr>
                <w:sz w:val="22"/>
                <w:lang w:val="uk-UA"/>
              </w:rPr>
            </w:pPr>
            <w:r w:rsidRPr="002045F5">
              <w:rPr>
                <w:sz w:val="22"/>
                <w:lang w:val="uk-UA"/>
              </w:rPr>
              <w:t>Від 1 до 120</w:t>
            </w:r>
          </w:p>
        </w:tc>
      </w:tr>
      <w:tr w:rsidR="00E95FB1" w:rsidRPr="002045F5" w:rsidTr="001B3967">
        <w:trPr>
          <w:trHeight w:val="150"/>
        </w:trPr>
        <w:tc>
          <w:tcPr>
            <w:tcW w:w="2836" w:type="dxa"/>
            <w:shd w:val="clear" w:color="auto" w:fill="C6D9F1" w:themeFill="text2" w:themeFillTint="33"/>
          </w:tcPr>
          <w:p w:rsidR="00E95FB1" w:rsidRPr="002045F5" w:rsidRDefault="00E95FB1" w:rsidP="001B3967">
            <w:pPr>
              <w:pStyle w:val="a7"/>
              <w:ind w:left="0"/>
              <w:rPr>
                <w:b/>
                <w:sz w:val="22"/>
                <w:lang w:val="uk-UA"/>
              </w:rPr>
            </w:pPr>
          </w:p>
        </w:tc>
        <w:tc>
          <w:tcPr>
            <w:tcW w:w="3187" w:type="dxa"/>
            <w:gridSpan w:val="3"/>
            <w:tcBorders>
              <w:top w:val="single" w:sz="4" w:space="0" w:color="auto"/>
              <w:right w:val="single" w:sz="4" w:space="0" w:color="auto"/>
            </w:tcBorders>
          </w:tcPr>
          <w:p w:rsidR="00E95FB1" w:rsidRPr="002045F5" w:rsidRDefault="00E95FB1" w:rsidP="00D359C8">
            <w:pPr>
              <w:pStyle w:val="a7"/>
              <w:ind w:left="0"/>
              <w:rPr>
                <w:sz w:val="22"/>
                <w:lang w:val="uk-UA"/>
              </w:rPr>
            </w:pPr>
            <w:r w:rsidRPr="002045F5">
              <w:rPr>
                <w:sz w:val="22"/>
                <w:lang w:val="uk-UA"/>
              </w:rPr>
              <w:t>Кількість населених пунктів, як</w:t>
            </w:r>
            <w:r w:rsidR="00D359C8" w:rsidRPr="002045F5">
              <w:rPr>
                <w:sz w:val="22"/>
                <w:lang w:val="uk-UA"/>
              </w:rPr>
              <w:t>і</w:t>
            </w:r>
            <w:r w:rsidRPr="002045F5">
              <w:rPr>
                <w:sz w:val="22"/>
                <w:lang w:val="uk-UA"/>
              </w:rPr>
              <w:t xml:space="preserve"> обслуговує заклад</w:t>
            </w:r>
          </w:p>
        </w:tc>
        <w:tc>
          <w:tcPr>
            <w:tcW w:w="2078" w:type="dxa"/>
            <w:gridSpan w:val="2"/>
            <w:tcBorders>
              <w:top w:val="single" w:sz="4" w:space="0" w:color="auto"/>
              <w:left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одиниць</w:t>
            </w:r>
          </w:p>
        </w:tc>
        <w:tc>
          <w:tcPr>
            <w:tcW w:w="1832" w:type="dxa"/>
            <w:gridSpan w:val="2"/>
            <w:tcBorders>
              <w:top w:val="single" w:sz="4" w:space="0" w:color="auto"/>
              <w:lef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20</w:t>
            </w:r>
          </w:p>
        </w:tc>
      </w:tr>
      <w:tr w:rsidR="00E95FB1" w:rsidRPr="002045F5" w:rsidTr="001B3967">
        <w:tc>
          <w:tcPr>
            <w:tcW w:w="2836" w:type="dxa"/>
            <w:shd w:val="clear" w:color="auto" w:fill="C6D9F1" w:themeFill="text2" w:themeFillTint="33"/>
          </w:tcPr>
          <w:p w:rsidR="00E95FB1" w:rsidRPr="002045F5" w:rsidRDefault="00E95FB1" w:rsidP="001B3967">
            <w:pPr>
              <w:rPr>
                <w:b/>
                <w:sz w:val="22"/>
                <w:lang w:val="uk-UA"/>
              </w:rPr>
            </w:pPr>
            <w:r w:rsidRPr="002045F5">
              <w:rPr>
                <w:b/>
                <w:sz w:val="22"/>
                <w:lang w:val="uk-UA"/>
              </w:rPr>
              <w:t xml:space="preserve">Ключові заходи проекту: </w:t>
            </w:r>
          </w:p>
          <w:p w:rsidR="00E95FB1" w:rsidRPr="002045F5" w:rsidRDefault="00E95FB1" w:rsidP="001B3967">
            <w:pPr>
              <w:pStyle w:val="a7"/>
              <w:ind w:left="0"/>
              <w:rPr>
                <w:b/>
                <w:sz w:val="22"/>
                <w:lang w:val="uk-UA"/>
              </w:rPr>
            </w:pPr>
          </w:p>
        </w:tc>
        <w:tc>
          <w:tcPr>
            <w:tcW w:w="7097" w:type="dxa"/>
            <w:gridSpan w:val="7"/>
          </w:tcPr>
          <w:p w:rsidR="00E95FB1" w:rsidRPr="002045F5" w:rsidRDefault="00E95FB1" w:rsidP="001B3967">
            <w:pPr>
              <w:pStyle w:val="a7"/>
              <w:ind w:left="0"/>
              <w:rPr>
                <w:sz w:val="22"/>
                <w:lang w:val="uk-UA"/>
              </w:rPr>
            </w:pPr>
            <w:r w:rsidRPr="002045F5">
              <w:rPr>
                <w:sz w:val="22"/>
                <w:lang w:val="uk-UA"/>
              </w:rPr>
              <w:t>- проведення інвентаризації основних засобів;</w:t>
            </w:r>
          </w:p>
          <w:p w:rsidR="00E95FB1" w:rsidRPr="002045F5" w:rsidRDefault="00E95FB1" w:rsidP="001B3967">
            <w:pPr>
              <w:pStyle w:val="a7"/>
              <w:ind w:left="0"/>
              <w:rPr>
                <w:sz w:val="22"/>
                <w:lang w:val="uk-UA"/>
              </w:rPr>
            </w:pPr>
            <w:r w:rsidRPr="002045F5">
              <w:rPr>
                <w:sz w:val="22"/>
                <w:lang w:val="uk-UA"/>
              </w:rPr>
              <w:t xml:space="preserve">- визначення кількості осіб, які потребують отримання послуг; </w:t>
            </w:r>
          </w:p>
          <w:p w:rsidR="00E95FB1" w:rsidRPr="002045F5" w:rsidRDefault="00E95FB1" w:rsidP="001B3967">
            <w:pPr>
              <w:pStyle w:val="a7"/>
              <w:ind w:left="0"/>
              <w:rPr>
                <w:sz w:val="22"/>
                <w:lang w:val="uk-UA"/>
              </w:rPr>
            </w:pPr>
            <w:r w:rsidRPr="002045F5">
              <w:rPr>
                <w:sz w:val="22"/>
                <w:lang w:val="uk-UA"/>
              </w:rPr>
              <w:t>- придбання технічного забезпечення закладу;</w:t>
            </w:r>
          </w:p>
          <w:p w:rsidR="00E95FB1" w:rsidRPr="002045F5" w:rsidRDefault="00E95FB1" w:rsidP="001B3967">
            <w:pPr>
              <w:pStyle w:val="a7"/>
              <w:ind w:left="0"/>
              <w:rPr>
                <w:sz w:val="22"/>
                <w:lang w:val="uk-UA"/>
              </w:rPr>
            </w:pPr>
            <w:r w:rsidRPr="002045F5">
              <w:rPr>
                <w:sz w:val="22"/>
                <w:lang w:val="uk-UA"/>
              </w:rPr>
              <w:t>- придбання технологічного забезпечення;</w:t>
            </w:r>
          </w:p>
          <w:p w:rsidR="00E95FB1" w:rsidRPr="002045F5" w:rsidRDefault="00E95FB1" w:rsidP="001B3967">
            <w:pPr>
              <w:pStyle w:val="a7"/>
              <w:ind w:left="0"/>
              <w:rPr>
                <w:sz w:val="22"/>
                <w:lang w:val="uk-UA"/>
              </w:rPr>
            </w:pPr>
            <w:r w:rsidRPr="002045F5">
              <w:rPr>
                <w:sz w:val="22"/>
                <w:lang w:val="uk-UA"/>
              </w:rPr>
              <w:t>- оновлення книжкового фонду, фонду періодичних видань бібліотечного фонду;</w:t>
            </w:r>
          </w:p>
          <w:p w:rsidR="00E95FB1" w:rsidRPr="002045F5" w:rsidRDefault="00E95FB1" w:rsidP="001B3967">
            <w:pPr>
              <w:pStyle w:val="a7"/>
              <w:ind w:left="0"/>
              <w:rPr>
                <w:sz w:val="22"/>
                <w:lang w:val="uk-UA"/>
              </w:rPr>
            </w:pPr>
            <w:r w:rsidRPr="002045F5">
              <w:rPr>
                <w:sz w:val="22"/>
                <w:lang w:val="uk-UA"/>
              </w:rPr>
              <w:lastRenderedPageBreak/>
              <w:t>- організація та початок робочого процесу (книговидача та проведення заходів).</w:t>
            </w:r>
          </w:p>
        </w:tc>
      </w:tr>
      <w:tr w:rsidR="00E95FB1" w:rsidRPr="002045F5" w:rsidTr="002869DF">
        <w:trPr>
          <w:trHeight w:val="360"/>
        </w:trPr>
        <w:tc>
          <w:tcPr>
            <w:tcW w:w="2836" w:type="dxa"/>
            <w:vMerge w:val="restart"/>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lastRenderedPageBreak/>
              <w:t xml:space="preserve">Орієнтовний обсяг та джерела фінансування, тис. грн. </w:t>
            </w:r>
          </w:p>
          <w:p w:rsidR="00E95FB1" w:rsidRPr="002045F5" w:rsidRDefault="00E95FB1" w:rsidP="001B3967">
            <w:pPr>
              <w:pStyle w:val="a7"/>
              <w:ind w:left="0"/>
              <w:rPr>
                <w:b/>
                <w:sz w:val="22"/>
                <w:lang w:val="uk-UA"/>
              </w:rPr>
            </w:pPr>
          </w:p>
        </w:tc>
        <w:tc>
          <w:tcPr>
            <w:tcW w:w="1559" w:type="dxa"/>
            <w:tcBorders>
              <w:bottom w:val="single" w:sz="4" w:space="0" w:color="auto"/>
              <w:right w:val="single" w:sz="4" w:space="0" w:color="auto"/>
            </w:tcBorders>
          </w:tcPr>
          <w:p w:rsidR="00E95FB1" w:rsidRPr="002045F5" w:rsidRDefault="00E95FB1" w:rsidP="001B3967">
            <w:pPr>
              <w:pStyle w:val="a7"/>
              <w:ind w:left="0"/>
              <w:jc w:val="center"/>
              <w:rPr>
                <w:b/>
                <w:sz w:val="22"/>
                <w:lang w:val="uk-UA"/>
              </w:rPr>
            </w:pPr>
            <w:r w:rsidRPr="002045F5">
              <w:rPr>
                <w:b/>
                <w:sz w:val="22"/>
                <w:lang w:val="uk-UA"/>
              </w:rPr>
              <w:t>Державний бюджет</w:t>
            </w:r>
          </w:p>
        </w:tc>
        <w:tc>
          <w:tcPr>
            <w:tcW w:w="1276" w:type="dxa"/>
            <w:tcBorders>
              <w:bottom w:val="single" w:sz="4" w:space="0" w:color="auto"/>
              <w:right w:val="single" w:sz="4" w:space="0" w:color="auto"/>
            </w:tcBorders>
          </w:tcPr>
          <w:p w:rsidR="00E95FB1" w:rsidRPr="002045F5" w:rsidRDefault="00E95FB1" w:rsidP="001B3967">
            <w:pPr>
              <w:pStyle w:val="a7"/>
              <w:ind w:left="0"/>
              <w:jc w:val="center"/>
              <w:rPr>
                <w:b/>
                <w:sz w:val="22"/>
                <w:lang w:val="uk-UA"/>
              </w:rPr>
            </w:pPr>
            <w:r w:rsidRPr="002045F5">
              <w:rPr>
                <w:b/>
                <w:sz w:val="22"/>
                <w:lang w:val="uk-UA"/>
              </w:rPr>
              <w:t>Місцевий бюджет</w:t>
            </w:r>
          </w:p>
        </w:tc>
        <w:tc>
          <w:tcPr>
            <w:tcW w:w="2805" w:type="dxa"/>
            <w:gridSpan w:val="4"/>
            <w:tcBorders>
              <w:left w:val="single" w:sz="4" w:space="0" w:color="auto"/>
              <w:bottom w:val="single" w:sz="4" w:space="0" w:color="auto"/>
              <w:right w:val="single" w:sz="4" w:space="0" w:color="auto"/>
            </w:tcBorders>
          </w:tcPr>
          <w:p w:rsidR="00E95FB1" w:rsidRPr="002045F5" w:rsidRDefault="00E95FB1" w:rsidP="001B3967">
            <w:pPr>
              <w:pStyle w:val="a7"/>
              <w:ind w:left="0"/>
              <w:jc w:val="center"/>
              <w:rPr>
                <w:b/>
                <w:sz w:val="22"/>
                <w:lang w:val="uk-UA"/>
              </w:rPr>
            </w:pPr>
            <w:r w:rsidRPr="002045F5">
              <w:rPr>
                <w:b/>
                <w:sz w:val="22"/>
                <w:lang w:val="uk-UA"/>
              </w:rPr>
              <w:t>Інші джерела</w:t>
            </w:r>
          </w:p>
        </w:tc>
        <w:tc>
          <w:tcPr>
            <w:tcW w:w="1457" w:type="dxa"/>
            <w:tcBorders>
              <w:left w:val="single" w:sz="4" w:space="0" w:color="auto"/>
              <w:bottom w:val="single" w:sz="4" w:space="0" w:color="auto"/>
            </w:tcBorders>
          </w:tcPr>
          <w:p w:rsidR="00E95FB1" w:rsidRPr="002045F5" w:rsidRDefault="00E95FB1" w:rsidP="001B3967">
            <w:pPr>
              <w:pStyle w:val="a7"/>
              <w:ind w:left="0"/>
              <w:jc w:val="center"/>
              <w:rPr>
                <w:b/>
                <w:sz w:val="22"/>
                <w:lang w:val="uk-UA"/>
              </w:rPr>
            </w:pPr>
            <w:r w:rsidRPr="002045F5">
              <w:rPr>
                <w:b/>
                <w:sz w:val="22"/>
                <w:lang w:val="uk-UA"/>
              </w:rPr>
              <w:t>Всього</w:t>
            </w:r>
          </w:p>
          <w:p w:rsidR="00E95FB1" w:rsidRPr="002045F5" w:rsidRDefault="00E95FB1" w:rsidP="001B3967">
            <w:pPr>
              <w:ind w:left="-79"/>
              <w:rPr>
                <w:b/>
                <w:sz w:val="22"/>
                <w:lang w:val="uk-UA"/>
              </w:rPr>
            </w:pPr>
            <w:r w:rsidRPr="002045F5">
              <w:rPr>
                <w:b/>
                <w:sz w:val="22"/>
                <w:lang w:val="uk-UA"/>
              </w:rPr>
              <w:t>тис. грн.</w:t>
            </w:r>
          </w:p>
          <w:p w:rsidR="00E95FB1" w:rsidRPr="002045F5" w:rsidRDefault="00E95FB1" w:rsidP="001B3967">
            <w:pPr>
              <w:pStyle w:val="a7"/>
              <w:ind w:left="0"/>
              <w:jc w:val="center"/>
              <w:rPr>
                <w:b/>
                <w:sz w:val="22"/>
                <w:lang w:val="uk-UA"/>
              </w:rPr>
            </w:pPr>
          </w:p>
        </w:tc>
      </w:tr>
      <w:tr w:rsidR="00E95FB1" w:rsidRPr="002045F5" w:rsidTr="002869DF">
        <w:trPr>
          <w:trHeight w:val="225"/>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1559" w:type="dxa"/>
            <w:vMerge w:val="restart"/>
            <w:tcBorders>
              <w:top w:val="single" w:sz="4" w:space="0" w:color="auto"/>
              <w:right w:val="single" w:sz="4" w:space="0" w:color="auto"/>
            </w:tcBorders>
          </w:tcPr>
          <w:p w:rsidR="00D00F14" w:rsidRPr="002045F5" w:rsidRDefault="00D00F14" w:rsidP="00D00F14">
            <w:pPr>
              <w:ind w:left="-79"/>
              <w:jc w:val="center"/>
              <w:rPr>
                <w:sz w:val="22"/>
              </w:rPr>
            </w:pPr>
            <w:r w:rsidRPr="002045F5">
              <w:rPr>
                <w:sz w:val="22"/>
              </w:rPr>
              <w:t>13380,0</w:t>
            </w:r>
          </w:p>
        </w:tc>
        <w:tc>
          <w:tcPr>
            <w:tcW w:w="1276" w:type="dxa"/>
            <w:vMerge w:val="restart"/>
            <w:tcBorders>
              <w:top w:val="single" w:sz="4" w:space="0" w:color="auto"/>
              <w:right w:val="single" w:sz="4" w:space="0" w:color="auto"/>
            </w:tcBorders>
          </w:tcPr>
          <w:p w:rsidR="00E95FB1" w:rsidRPr="002045F5" w:rsidRDefault="00E95FB1" w:rsidP="001B3967">
            <w:pPr>
              <w:pStyle w:val="a7"/>
              <w:ind w:left="0"/>
              <w:jc w:val="center"/>
              <w:rPr>
                <w:sz w:val="22"/>
                <w:lang w:val="uk-UA"/>
              </w:rPr>
            </w:pPr>
          </w:p>
        </w:tc>
        <w:tc>
          <w:tcPr>
            <w:tcW w:w="1280" w:type="dxa"/>
            <w:gridSpan w:val="2"/>
            <w:tcBorders>
              <w:top w:val="single" w:sz="4" w:space="0" w:color="auto"/>
              <w:left w:val="single" w:sz="4" w:space="0" w:color="auto"/>
              <w:bottom w:val="single" w:sz="4" w:space="0" w:color="auto"/>
              <w:right w:val="single" w:sz="4" w:space="0" w:color="auto"/>
            </w:tcBorders>
          </w:tcPr>
          <w:p w:rsidR="00E95FB1" w:rsidRPr="002045F5" w:rsidRDefault="00E95FB1" w:rsidP="001B3967">
            <w:pPr>
              <w:pStyle w:val="a7"/>
              <w:ind w:left="0"/>
              <w:jc w:val="center"/>
              <w:rPr>
                <w:sz w:val="22"/>
                <w:lang w:val="uk-UA"/>
              </w:rPr>
            </w:pPr>
            <w:r w:rsidRPr="002045F5">
              <w:rPr>
                <w:sz w:val="22"/>
                <w:lang w:val="uk-UA"/>
              </w:rPr>
              <w:t>Обсяг тис. грн.</w:t>
            </w:r>
          </w:p>
        </w:tc>
        <w:tc>
          <w:tcPr>
            <w:tcW w:w="1525" w:type="dxa"/>
            <w:gridSpan w:val="2"/>
            <w:tcBorders>
              <w:top w:val="single" w:sz="4" w:space="0" w:color="auto"/>
              <w:left w:val="single" w:sz="4" w:space="0" w:color="auto"/>
              <w:bottom w:val="single" w:sz="4" w:space="0" w:color="auto"/>
              <w:right w:val="single" w:sz="4" w:space="0" w:color="auto"/>
            </w:tcBorders>
          </w:tcPr>
          <w:p w:rsidR="00E95FB1" w:rsidRPr="002045F5" w:rsidRDefault="00E95FB1" w:rsidP="001B3967">
            <w:pPr>
              <w:pStyle w:val="a7"/>
              <w:ind w:left="0"/>
              <w:jc w:val="center"/>
              <w:rPr>
                <w:sz w:val="22"/>
                <w:lang w:val="uk-UA"/>
              </w:rPr>
            </w:pPr>
            <w:r w:rsidRPr="002045F5">
              <w:rPr>
                <w:sz w:val="22"/>
                <w:lang w:val="uk-UA"/>
              </w:rPr>
              <w:t>Назва джерела</w:t>
            </w:r>
          </w:p>
        </w:tc>
        <w:tc>
          <w:tcPr>
            <w:tcW w:w="1457" w:type="dxa"/>
            <w:vMerge w:val="restart"/>
            <w:tcBorders>
              <w:top w:val="single" w:sz="4" w:space="0" w:color="auto"/>
              <w:left w:val="single" w:sz="4" w:space="0" w:color="auto"/>
            </w:tcBorders>
          </w:tcPr>
          <w:p w:rsidR="00E95FB1" w:rsidRPr="002045F5" w:rsidRDefault="00D00F14" w:rsidP="001B3967">
            <w:pPr>
              <w:pStyle w:val="a7"/>
              <w:ind w:left="0"/>
              <w:jc w:val="center"/>
              <w:rPr>
                <w:sz w:val="22"/>
                <w:lang w:val="uk-UA"/>
              </w:rPr>
            </w:pPr>
            <w:r w:rsidRPr="002045F5">
              <w:rPr>
                <w:sz w:val="22"/>
                <w:lang w:val="uk-UA"/>
              </w:rPr>
              <w:t>19114,285</w:t>
            </w:r>
            <w:r w:rsidR="00E95FB1" w:rsidRPr="002045F5">
              <w:rPr>
                <w:sz w:val="22"/>
                <w:lang w:val="uk-UA"/>
              </w:rPr>
              <w:t xml:space="preserve">     </w:t>
            </w:r>
          </w:p>
        </w:tc>
      </w:tr>
      <w:tr w:rsidR="00E95FB1" w:rsidRPr="002045F5" w:rsidTr="002869DF">
        <w:trPr>
          <w:trHeight w:val="300"/>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1559" w:type="dxa"/>
            <w:vMerge/>
            <w:tcBorders>
              <w:right w:val="single" w:sz="4" w:space="0" w:color="auto"/>
            </w:tcBorders>
          </w:tcPr>
          <w:p w:rsidR="00E95FB1" w:rsidRPr="002045F5" w:rsidRDefault="00E95FB1" w:rsidP="001B3967">
            <w:pPr>
              <w:pStyle w:val="a7"/>
              <w:ind w:left="0"/>
              <w:jc w:val="center"/>
              <w:rPr>
                <w:sz w:val="22"/>
                <w:lang w:val="uk-UA"/>
              </w:rPr>
            </w:pPr>
          </w:p>
        </w:tc>
        <w:tc>
          <w:tcPr>
            <w:tcW w:w="1276" w:type="dxa"/>
            <w:vMerge/>
            <w:tcBorders>
              <w:right w:val="single" w:sz="4" w:space="0" w:color="auto"/>
            </w:tcBorders>
          </w:tcPr>
          <w:p w:rsidR="00E95FB1" w:rsidRPr="002045F5" w:rsidRDefault="00E95FB1" w:rsidP="001B3967">
            <w:pPr>
              <w:pStyle w:val="a7"/>
              <w:ind w:left="0"/>
              <w:jc w:val="center"/>
              <w:rPr>
                <w:b/>
                <w:sz w:val="22"/>
                <w:lang w:val="uk-UA"/>
              </w:rPr>
            </w:pPr>
          </w:p>
        </w:tc>
        <w:tc>
          <w:tcPr>
            <w:tcW w:w="1280" w:type="dxa"/>
            <w:gridSpan w:val="2"/>
            <w:tcBorders>
              <w:top w:val="single" w:sz="4" w:space="0" w:color="auto"/>
              <w:left w:val="single" w:sz="4" w:space="0" w:color="auto"/>
              <w:right w:val="single" w:sz="4" w:space="0" w:color="auto"/>
            </w:tcBorders>
          </w:tcPr>
          <w:p w:rsidR="00E95FB1" w:rsidRPr="002045F5" w:rsidRDefault="00D00F14" w:rsidP="001B3967">
            <w:pPr>
              <w:ind w:left="-79"/>
              <w:jc w:val="center"/>
              <w:rPr>
                <w:sz w:val="22"/>
              </w:rPr>
            </w:pPr>
            <w:r w:rsidRPr="002045F5">
              <w:rPr>
                <w:sz w:val="22"/>
              </w:rPr>
              <w:t>5734,285</w:t>
            </w:r>
          </w:p>
        </w:tc>
        <w:tc>
          <w:tcPr>
            <w:tcW w:w="1525" w:type="dxa"/>
            <w:gridSpan w:val="2"/>
            <w:tcBorders>
              <w:top w:val="single" w:sz="4" w:space="0" w:color="auto"/>
              <w:left w:val="single" w:sz="4" w:space="0" w:color="auto"/>
              <w:right w:val="single" w:sz="4" w:space="0" w:color="auto"/>
            </w:tcBorders>
          </w:tcPr>
          <w:p w:rsidR="00E95FB1" w:rsidRPr="002045F5" w:rsidRDefault="00E95FB1" w:rsidP="001B3967">
            <w:pPr>
              <w:pStyle w:val="a7"/>
              <w:ind w:left="0"/>
              <w:jc w:val="center"/>
              <w:rPr>
                <w:sz w:val="22"/>
                <w:lang w:val="uk-UA"/>
              </w:rPr>
            </w:pPr>
            <w:r w:rsidRPr="002045F5">
              <w:rPr>
                <w:sz w:val="22"/>
                <w:lang w:val="uk-UA"/>
              </w:rPr>
              <w:t>Міжнародні інвестиції, кошти приватних осіб</w:t>
            </w:r>
          </w:p>
        </w:tc>
        <w:tc>
          <w:tcPr>
            <w:tcW w:w="1457" w:type="dxa"/>
            <w:vMerge/>
            <w:tcBorders>
              <w:left w:val="single" w:sz="4" w:space="0" w:color="auto"/>
            </w:tcBorders>
          </w:tcPr>
          <w:p w:rsidR="00E95FB1" w:rsidRPr="002045F5" w:rsidRDefault="00E95FB1" w:rsidP="001B3967">
            <w:pPr>
              <w:pStyle w:val="a7"/>
              <w:ind w:left="0"/>
              <w:jc w:val="center"/>
              <w:rPr>
                <w:sz w:val="22"/>
                <w:lang w:val="uk-UA"/>
              </w:rPr>
            </w:pPr>
          </w:p>
        </w:tc>
      </w:tr>
    </w:tbl>
    <w:p w:rsidR="00E95FB1" w:rsidRPr="002045F5" w:rsidRDefault="00E95FB1" w:rsidP="00E95FB1">
      <w:pPr>
        <w:rPr>
          <w:sz w:val="22"/>
        </w:rPr>
      </w:pPr>
    </w:p>
    <w:p w:rsidR="00E95FB1" w:rsidRPr="002045F5" w:rsidRDefault="00E95FB1" w:rsidP="00E95FB1">
      <w:pPr>
        <w:rPr>
          <w:sz w:val="22"/>
        </w:rPr>
      </w:pPr>
    </w:p>
    <w:p w:rsidR="00E95FB1" w:rsidRPr="002045F5" w:rsidRDefault="00E95FB1" w:rsidP="00E95FB1">
      <w:pPr>
        <w:rPr>
          <w:sz w:val="22"/>
        </w:rPr>
      </w:pPr>
    </w:p>
    <w:tbl>
      <w:tblPr>
        <w:tblStyle w:val="af"/>
        <w:tblW w:w="9923" w:type="dxa"/>
        <w:tblInd w:w="-176" w:type="dxa"/>
        <w:tblLook w:val="04A0" w:firstRow="1" w:lastRow="0" w:firstColumn="1" w:lastColumn="0" w:noHBand="0" w:noVBand="1"/>
      </w:tblPr>
      <w:tblGrid>
        <w:gridCol w:w="2813"/>
        <w:gridCol w:w="1356"/>
        <w:gridCol w:w="1318"/>
        <w:gridCol w:w="1039"/>
        <w:gridCol w:w="426"/>
        <w:gridCol w:w="1275"/>
        <w:gridCol w:w="180"/>
        <w:gridCol w:w="1516"/>
      </w:tblGrid>
      <w:tr w:rsidR="00E95FB1" w:rsidRPr="002045F5" w:rsidTr="001B3967">
        <w:tc>
          <w:tcPr>
            <w:tcW w:w="2836"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Оперативна ціль/завдання</w:t>
            </w:r>
          </w:p>
        </w:tc>
        <w:tc>
          <w:tcPr>
            <w:tcW w:w="7087" w:type="dxa"/>
            <w:gridSpan w:val="7"/>
            <w:shd w:val="clear" w:color="auto" w:fill="auto"/>
          </w:tcPr>
          <w:p w:rsidR="00E95FB1" w:rsidRPr="002045F5" w:rsidRDefault="00D359C8" w:rsidP="001B3967">
            <w:pPr>
              <w:pStyle w:val="a7"/>
              <w:ind w:left="0"/>
              <w:rPr>
                <w:sz w:val="22"/>
                <w:lang w:val="uk-UA"/>
              </w:rPr>
            </w:pPr>
            <w:r w:rsidRPr="002045F5">
              <w:rPr>
                <w:rFonts w:eastAsia="Arial"/>
                <w:sz w:val="22"/>
                <w:lang w:val="uk-UA"/>
              </w:rPr>
              <w:t xml:space="preserve">Людський розвиток </w:t>
            </w:r>
            <w:r w:rsidR="00E95FB1" w:rsidRPr="002045F5">
              <w:rPr>
                <w:rFonts w:eastAsia="Arial"/>
                <w:sz w:val="22"/>
                <w:lang w:val="uk-UA"/>
              </w:rPr>
              <w:t>через інновації управління та довіру до влади</w:t>
            </w:r>
          </w:p>
          <w:p w:rsidR="00E95FB1" w:rsidRPr="002045F5" w:rsidRDefault="00E95FB1" w:rsidP="001B3967">
            <w:pPr>
              <w:tabs>
                <w:tab w:val="left" w:pos="442"/>
              </w:tabs>
              <w:rPr>
                <w:b/>
                <w:sz w:val="22"/>
                <w:lang w:val="uk-UA"/>
              </w:rPr>
            </w:pPr>
            <w:r w:rsidRPr="002045F5">
              <w:rPr>
                <w:rFonts w:eastAsia="Arial"/>
                <w:sz w:val="22"/>
                <w:lang w:val="uk-UA"/>
              </w:rPr>
              <w:t xml:space="preserve">Формування сучасного інклюзивного </w:t>
            </w:r>
            <w:proofErr w:type="spellStart"/>
            <w:r w:rsidRPr="002045F5">
              <w:rPr>
                <w:rFonts w:eastAsia="Arial"/>
                <w:sz w:val="22"/>
                <w:lang w:val="uk-UA"/>
              </w:rPr>
              <w:t>освітньо</w:t>
            </w:r>
            <w:proofErr w:type="spellEnd"/>
            <w:r w:rsidRPr="002045F5">
              <w:rPr>
                <w:rFonts w:eastAsia="Arial"/>
                <w:sz w:val="22"/>
                <w:lang w:val="uk-UA"/>
              </w:rPr>
              <w:t xml:space="preserve"> – культурного та спортивного простору для розвитку</w:t>
            </w:r>
            <w:r w:rsidRPr="002045F5">
              <w:rPr>
                <w:b/>
                <w:sz w:val="22"/>
                <w:lang w:val="uk-UA"/>
              </w:rPr>
              <w:t xml:space="preserve"> </w:t>
            </w:r>
          </w:p>
        </w:tc>
      </w:tr>
      <w:tr w:rsidR="00E95FB1" w:rsidRPr="002045F5" w:rsidTr="001B3967">
        <w:tc>
          <w:tcPr>
            <w:tcW w:w="2836"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Назва проекту:</w:t>
            </w:r>
          </w:p>
        </w:tc>
        <w:tc>
          <w:tcPr>
            <w:tcW w:w="7087" w:type="dxa"/>
            <w:gridSpan w:val="7"/>
          </w:tcPr>
          <w:p w:rsidR="00E95FB1" w:rsidRPr="002045F5" w:rsidRDefault="00E95FB1" w:rsidP="001B3967">
            <w:pPr>
              <w:pStyle w:val="a7"/>
              <w:ind w:left="0"/>
              <w:rPr>
                <w:sz w:val="22"/>
                <w:lang w:val="uk-UA"/>
              </w:rPr>
            </w:pPr>
            <w:r w:rsidRPr="002045F5">
              <w:rPr>
                <w:sz w:val="22"/>
                <w:lang w:val="uk-UA"/>
              </w:rPr>
              <w:t>Відновлення діяльності Комунального Закладу «Сєвєродонецька музична школа</w:t>
            </w:r>
            <w:r w:rsidR="00D359C8" w:rsidRPr="002045F5">
              <w:rPr>
                <w:sz w:val="22"/>
                <w:lang w:val="uk-UA"/>
              </w:rPr>
              <w:t xml:space="preserve"> </w:t>
            </w:r>
            <w:r w:rsidRPr="002045F5">
              <w:rPr>
                <w:sz w:val="22"/>
                <w:lang w:val="uk-UA"/>
              </w:rPr>
              <w:t>№2»</w:t>
            </w:r>
          </w:p>
        </w:tc>
      </w:tr>
      <w:tr w:rsidR="00E95FB1" w:rsidRPr="002045F5" w:rsidTr="001B3967">
        <w:tc>
          <w:tcPr>
            <w:tcW w:w="2836" w:type="dxa"/>
            <w:shd w:val="clear" w:color="auto" w:fill="C6D9F1" w:themeFill="text2" w:themeFillTint="33"/>
          </w:tcPr>
          <w:p w:rsidR="00E95FB1" w:rsidRPr="002045F5" w:rsidRDefault="00E95FB1" w:rsidP="001B3967">
            <w:pPr>
              <w:rPr>
                <w:b/>
                <w:sz w:val="22"/>
                <w:lang w:val="uk-UA"/>
              </w:rPr>
            </w:pPr>
            <w:r w:rsidRPr="002045F5">
              <w:rPr>
                <w:b/>
                <w:sz w:val="22"/>
                <w:lang w:val="uk-UA"/>
              </w:rPr>
              <w:t>Ціль проекту</w:t>
            </w:r>
          </w:p>
        </w:tc>
        <w:tc>
          <w:tcPr>
            <w:tcW w:w="7087" w:type="dxa"/>
            <w:gridSpan w:val="7"/>
          </w:tcPr>
          <w:p w:rsidR="00E95FB1" w:rsidRPr="002045F5" w:rsidRDefault="00E95FB1" w:rsidP="00D359C8">
            <w:pPr>
              <w:pStyle w:val="a7"/>
              <w:ind w:left="0"/>
              <w:rPr>
                <w:sz w:val="22"/>
                <w:lang w:val="uk-UA"/>
              </w:rPr>
            </w:pPr>
            <w:r w:rsidRPr="002045F5">
              <w:rPr>
                <w:sz w:val="22"/>
                <w:lang w:val="uk-UA"/>
              </w:rPr>
              <w:t>Відновити та покращити роботу Комунального Закладу «Сєвєродонецька музична школа</w:t>
            </w:r>
            <w:r w:rsidR="00D359C8" w:rsidRPr="002045F5">
              <w:rPr>
                <w:sz w:val="22"/>
                <w:lang w:val="uk-UA"/>
              </w:rPr>
              <w:t xml:space="preserve"> </w:t>
            </w:r>
            <w:r w:rsidRPr="002045F5">
              <w:rPr>
                <w:sz w:val="22"/>
                <w:lang w:val="uk-UA"/>
              </w:rPr>
              <w:t>№2»</w:t>
            </w:r>
            <w:r w:rsidR="00D359C8" w:rsidRPr="002045F5">
              <w:rPr>
                <w:sz w:val="22"/>
                <w:lang w:val="uk-UA"/>
              </w:rPr>
              <w:t xml:space="preserve"> </w:t>
            </w:r>
            <w:r w:rsidRPr="002045F5">
              <w:rPr>
                <w:sz w:val="22"/>
                <w:lang w:val="uk-UA"/>
              </w:rPr>
              <w:t xml:space="preserve">для надання широкого спектру послуг, пов’язаних із якістю початкової мистецької освіти та задоволення потреб мешканців Сєвєродонецької міської територіальної громади у необхідних послугах (або створенні умов для реалізації індивідуальних освітніх траєкторій здобувачів в межах освітніх програм, набуття ними відповідних </w:t>
            </w:r>
            <w:proofErr w:type="spellStart"/>
            <w:r w:rsidRPr="002045F5">
              <w:rPr>
                <w:sz w:val="22"/>
                <w:lang w:val="uk-UA"/>
              </w:rPr>
              <w:t>компетентностей</w:t>
            </w:r>
            <w:proofErr w:type="spellEnd"/>
            <w:r w:rsidRPr="002045F5">
              <w:rPr>
                <w:sz w:val="22"/>
                <w:lang w:val="uk-UA"/>
              </w:rPr>
              <w:t>).</w:t>
            </w:r>
          </w:p>
        </w:tc>
      </w:tr>
      <w:tr w:rsidR="00E95FB1" w:rsidRPr="002045F5" w:rsidTr="001B3967">
        <w:tc>
          <w:tcPr>
            <w:tcW w:w="2836"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Територія, на яку матиме вплив реалізація проекту</w:t>
            </w:r>
          </w:p>
        </w:tc>
        <w:tc>
          <w:tcPr>
            <w:tcW w:w="7087" w:type="dxa"/>
            <w:gridSpan w:val="7"/>
          </w:tcPr>
          <w:p w:rsidR="00E95FB1" w:rsidRPr="002045F5" w:rsidRDefault="00E95FB1" w:rsidP="001B3967">
            <w:pPr>
              <w:pStyle w:val="a7"/>
              <w:ind w:left="0"/>
              <w:rPr>
                <w:sz w:val="22"/>
                <w:lang w:val="uk-UA"/>
              </w:rPr>
            </w:pPr>
            <w:r w:rsidRPr="002045F5">
              <w:rPr>
                <w:sz w:val="22"/>
                <w:lang w:val="uk-UA"/>
              </w:rPr>
              <w:t>Сєвєродонецька міська територіальна громада</w:t>
            </w:r>
          </w:p>
        </w:tc>
      </w:tr>
      <w:tr w:rsidR="00E95FB1" w:rsidRPr="002045F5" w:rsidTr="001B3967">
        <w:tc>
          <w:tcPr>
            <w:tcW w:w="2836"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Чисельність населення, на яке матиме вплив реалізація проекту</w:t>
            </w:r>
          </w:p>
        </w:tc>
        <w:tc>
          <w:tcPr>
            <w:tcW w:w="7087" w:type="dxa"/>
            <w:gridSpan w:val="7"/>
          </w:tcPr>
          <w:p w:rsidR="00E95FB1" w:rsidRPr="002045F5" w:rsidRDefault="00E95FB1" w:rsidP="001B3967">
            <w:pPr>
              <w:pStyle w:val="a7"/>
              <w:ind w:left="0"/>
              <w:rPr>
                <w:sz w:val="22"/>
                <w:lang w:val="uk-UA"/>
              </w:rPr>
            </w:pPr>
          </w:p>
          <w:p w:rsidR="00E95FB1" w:rsidRPr="002045F5" w:rsidRDefault="00D359C8" w:rsidP="001B3967">
            <w:pPr>
              <w:pStyle w:val="a7"/>
              <w:ind w:left="0"/>
              <w:rPr>
                <w:sz w:val="22"/>
                <w:lang w:val="uk-UA"/>
              </w:rPr>
            </w:pPr>
            <w:r w:rsidRPr="002045F5">
              <w:rPr>
                <w:sz w:val="22"/>
                <w:lang w:val="uk-UA"/>
              </w:rPr>
              <w:t>70 000</w:t>
            </w:r>
          </w:p>
        </w:tc>
      </w:tr>
      <w:tr w:rsidR="00E95FB1" w:rsidRPr="002045F5" w:rsidTr="001B3967">
        <w:tc>
          <w:tcPr>
            <w:tcW w:w="2836" w:type="dxa"/>
            <w:shd w:val="clear" w:color="auto" w:fill="C6D9F1" w:themeFill="text2" w:themeFillTint="33"/>
          </w:tcPr>
          <w:p w:rsidR="00E95FB1" w:rsidRPr="002045F5" w:rsidRDefault="00E95FB1" w:rsidP="001B3967">
            <w:pPr>
              <w:rPr>
                <w:b/>
                <w:sz w:val="22"/>
                <w:lang w:val="uk-UA"/>
              </w:rPr>
            </w:pPr>
            <w:r w:rsidRPr="002045F5">
              <w:rPr>
                <w:b/>
                <w:sz w:val="22"/>
                <w:lang w:val="uk-UA"/>
              </w:rPr>
              <w:t>Опис проблеми, на вирішення якої  спрямований проект</w:t>
            </w:r>
          </w:p>
        </w:tc>
        <w:tc>
          <w:tcPr>
            <w:tcW w:w="7087" w:type="dxa"/>
            <w:gridSpan w:val="7"/>
          </w:tcPr>
          <w:p w:rsidR="00E95FB1" w:rsidRPr="002045F5" w:rsidRDefault="00E95FB1" w:rsidP="001B3967">
            <w:pPr>
              <w:ind w:firstLine="708"/>
              <w:rPr>
                <w:sz w:val="22"/>
                <w:lang w:val="uk-UA"/>
              </w:rPr>
            </w:pPr>
            <w:r w:rsidRPr="002045F5">
              <w:rPr>
                <w:sz w:val="22"/>
                <w:lang w:val="uk-UA"/>
              </w:rPr>
              <w:t>Через військову агресію РФ територія Сєвєродонецької міської територіальної громади зазнала значних пошкоджень. Не оминуло це і Комунальний Заклад  «Сєвєродонецька музична школа №2».</w:t>
            </w:r>
          </w:p>
          <w:p w:rsidR="00E95FB1" w:rsidRPr="002045F5" w:rsidRDefault="00E95FB1" w:rsidP="001B3967">
            <w:pPr>
              <w:ind w:firstLine="708"/>
              <w:rPr>
                <w:sz w:val="22"/>
                <w:lang w:val="uk-UA"/>
              </w:rPr>
            </w:pPr>
            <w:r w:rsidRPr="002045F5">
              <w:rPr>
                <w:sz w:val="22"/>
                <w:lang w:val="uk-UA"/>
              </w:rPr>
              <w:t>Вся матеріально-технічна база потребує забезпечення</w:t>
            </w:r>
            <w:r w:rsidR="00D359C8" w:rsidRPr="002045F5">
              <w:rPr>
                <w:sz w:val="22"/>
                <w:lang w:val="uk-UA"/>
              </w:rPr>
              <w:t>,</w:t>
            </w:r>
            <w:r w:rsidRPr="002045F5">
              <w:rPr>
                <w:sz w:val="22"/>
                <w:lang w:val="uk-UA"/>
              </w:rPr>
              <w:t xml:space="preserve"> необхідного для діяльності закладу, зокрема:</w:t>
            </w:r>
          </w:p>
          <w:p w:rsidR="00E95FB1" w:rsidRPr="002045F5" w:rsidRDefault="00E95FB1" w:rsidP="000303D7">
            <w:pPr>
              <w:numPr>
                <w:ilvl w:val="0"/>
                <w:numId w:val="9"/>
              </w:numPr>
              <w:rPr>
                <w:sz w:val="22"/>
                <w:lang w:val="uk-UA"/>
              </w:rPr>
            </w:pPr>
            <w:r w:rsidRPr="002045F5">
              <w:rPr>
                <w:sz w:val="22"/>
                <w:lang w:val="uk-UA"/>
              </w:rPr>
              <w:t>обладнання (устаткування);</w:t>
            </w:r>
          </w:p>
          <w:p w:rsidR="00E95FB1" w:rsidRPr="002045F5" w:rsidRDefault="00E95FB1" w:rsidP="000303D7">
            <w:pPr>
              <w:numPr>
                <w:ilvl w:val="0"/>
                <w:numId w:val="9"/>
              </w:numPr>
              <w:rPr>
                <w:sz w:val="22"/>
                <w:lang w:val="uk-UA"/>
              </w:rPr>
            </w:pPr>
            <w:r w:rsidRPr="002045F5">
              <w:rPr>
                <w:sz w:val="22"/>
                <w:lang w:val="uk-UA"/>
              </w:rPr>
              <w:t>обчислювальна техніка із відповідним програмним забезпеченням;</w:t>
            </w:r>
          </w:p>
          <w:p w:rsidR="00E95FB1" w:rsidRPr="002045F5" w:rsidRDefault="00E95FB1" w:rsidP="000303D7">
            <w:pPr>
              <w:numPr>
                <w:ilvl w:val="0"/>
                <w:numId w:val="9"/>
              </w:numPr>
              <w:rPr>
                <w:sz w:val="22"/>
                <w:lang w:val="uk-UA"/>
              </w:rPr>
            </w:pPr>
            <w:r w:rsidRPr="002045F5">
              <w:rPr>
                <w:sz w:val="22"/>
                <w:lang w:val="uk-UA"/>
              </w:rPr>
              <w:t>інша оргтехніка (монітори, комп’ютери, принтери, сканери,</w:t>
            </w:r>
            <w:r w:rsidR="00D359C8" w:rsidRPr="002045F5">
              <w:rPr>
                <w:sz w:val="22"/>
                <w:lang w:val="uk-UA"/>
              </w:rPr>
              <w:t xml:space="preserve"> </w:t>
            </w:r>
            <w:r w:rsidRPr="002045F5">
              <w:rPr>
                <w:sz w:val="22"/>
                <w:lang w:val="uk-UA"/>
              </w:rPr>
              <w:t>інтерактивні дошки);</w:t>
            </w:r>
          </w:p>
          <w:p w:rsidR="00E95FB1" w:rsidRPr="002045F5" w:rsidRDefault="00E95FB1" w:rsidP="000303D7">
            <w:pPr>
              <w:pStyle w:val="13"/>
              <w:numPr>
                <w:ilvl w:val="0"/>
                <w:numId w:val="9"/>
              </w:numPr>
              <w:jc w:val="both"/>
              <w:rPr>
                <w:sz w:val="22"/>
                <w:lang w:val="uk-UA"/>
              </w:rPr>
            </w:pPr>
            <w:r w:rsidRPr="002045F5">
              <w:rPr>
                <w:sz w:val="22"/>
                <w:lang w:val="uk-UA"/>
              </w:rPr>
              <w:t>основні засоби (офісні меблі, сейф, музичні інструменти, бібліотечний нотний фонд, концертне обладнання) були знищені або викрадені.</w:t>
            </w:r>
          </w:p>
          <w:p w:rsidR="00E95FB1" w:rsidRPr="002045F5" w:rsidRDefault="00E95FB1" w:rsidP="001B3967">
            <w:pPr>
              <w:pStyle w:val="13"/>
              <w:jc w:val="both"/>
              <w:rPr>
                <w:sz w:val="22"/>
                <w:lang w:val="uk-UA"/>
              </w:rPr>
            </w:pPr>
            <w:r w:rsidRPr="002045F5">
              <w:rPr>
                <w:rFonts w:eastAsia="Arial"/>
                <w:sz w:val="22"/>
                <w:lang w:val="uk-UA"/>
              </w:rPr>
              <w:t xml:space="preserve">            Для відбудови та сталого розвитку громади потрібне відновлення роботи мережі закладів позашкільної освіти, а саме </w:t>
            </w:r>
            <w:r w:rsidRPr="002045F5">
              <w:rPr>
                <w:sz w:val="22"/>
                <w:lang w:val="uk-UA"/>
              </w:rPr>
              <w:t xml:space="preserve">Комунального Закладу «Сєвєродонецька музична школа №2». </w:t>
            </w:r>
            <w:r w:rsidRPr="002045F5">
              <w:rPr>
                <w:rFonts w:eastAsia="Arial"/>
                <w:sz w:val="22"/>
                <w:lang w:val="uk-UA"/>
              </w:rPr>
              <w:t xml:space="preserve">Мешканці громади потребують в отриманні якісних освітніх послуг, які відповідають нормам сучасності. </w:t>
            </w:r>
          </w:p>
        </w:tc>
      </w:tr>
      <w:tr w:rsidR="00E95FB1" w:rsidRPr="002045F5" w:rsidTr="001B3967">
        <w:tc>
          <w:tcPr>
            <w:tcW w:w="2836"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Очікувані якісні результати від реалізації проекту</w:t>
            </w:r>
          </w:p>
        </w:tc>
        <w:tc>
          <w:tcPr>
            <w:tcW w:w="7087" w:type="dxa"/>
            <w:gridSpan w:val="7"/>
          </w:tcPr>
          <w:p w:rsidR="00E95FB1" w:rsidRPr="002045F5" w:rsidRDefault="00E95FB1" w:rsidP="001B3967">
            <w:pPr>
              <w:pStyle w:val="31"/>
              <w:rPr>
                <w:rFonts w:ascii="Times New Roman" w:hAnsi="Times New Roman"/>
                <w:color w:val="000000" w:themeColor="text1"/>
                <w:sz w:val="22"/>
                <w:lang w:val="uk-UA"/>
              </w:rPr>
            </w:pPr>
            <w:r w:rsidRPr="002045F5">
              <w:rPr>
                <w:rFonts w:ascii="Times New Roman" w:hAnsi="Times New Roman"/>
                <w:sz w:val="22"/>
                <w:lang w:val="uk-UA"/>
              </w:rPr>
              <w:t xml:space="preserve">- забезпечення населення можливостями для реалізації його конституційних прав, пов’язаних із </w:t>
            </w:r>
            <w:r w:rsidRPr="002045F5">
              <w:rPr>
                <w:rStyle w:val="10"/>
                <w:b w:val="0"/>
                <w:color w:val="000000" w:themeColor="text1"/>
                <w:sz w:val="22"/>
                <w:lang w:val="uk-UA"/>
              </w:rPr>
              <w:t>правом на позашкільну освіту</w:t>
            </w:r>
            <w:r w:rsidRPr="002045F5">
              <w:rPr>
                <w:rFonts w:ascii="Times New Roman" w:hAnsi="Times New Roman"/>
                <w:sz w:val="22"/>
                <w:lang w:val="uk-UA"/>
              </w:rPr>
              <w:t>;</w:t>
            </w:r>
          </w:p>
          <w:p w:rsidR="00E95FB1" w:rsidRPr="002045F5" w:rsidRDefault="00E95FB1" w:rsidP="001B3967">
            <w:pPr>
              <w:pStyle w:val="31"/>
              <w:rPr>
                <w:rFonts w:ascii="Times New Roman" w:hAnsi="Times New Roman"/>
                <w:sz w:val="22"/>
                <w:lang w:val="uk-UA"/>
              </w:rPr>
            </w:pPr>
            <w:r w:rsidRPr="002045F5">
              <w:rPr>
                <w:rFonts w:ascii="Times New Roman" w:hAnsi="Times New Roman"/>
                <w:sz w:val="22"/>
                <w:lang w:val="uk-UA"/>
              </w:rPr>
              <w:t xml:space="preserve">- надання широкого спектру мистецьких послуг, пов’язаних із </w:t>
            </w:r>
            <w:r w:rsidRPr="002045F5">
              <w:rPr>
                <w:rStyle w:val="10"/>
                <w:b w:val="0"/>
                <w:color w:val="000000" w:themeColor="text1"/>
                <w:sz w:val="22"/>
                <w:lang w:val="uk-UA"/>
              </w:rPr>
              <w:t>можливостями доступу людини до духовних цінностей свого народу (нації) та всього людства</w:t>
            </w:r>
            <w:r w:rsidRPr="002045F5">
              <w:rPr>
                <w:rFonts w:ascii="Times New Roman" w:hAnsi="Times New Roman"/>
                <w:sz w:val="22"/>
                <w:lang w:val="uk-UA"/>
              </w:rPr>
              <w:t xml:space="preserve">; </w:t>
            </w:r>
            <w:r w:rsidRPr="002045F5">
              <w:rPr>
                <w:rStyle w:val="10"/>
                <w:b w:val="0"/>
                <w:color w:val="000000" w:themeColor="text1"/>
                <w:sz w:val="22"/>
                <w:lang w:val="uk-UA"/>
              </w:rPr>
              <w:t xml:space="preserve">розвитку української нації, її історичної </w:t>
            </w:r>
            <w:r w:rsidRPr="002045F5">
              <w:rPr>
                <w:rStyle w:val="10"/>
                <w:b w:val="0"/>
                <w:color w:val="000000" w:themeColor="text1"/>
                <w:sz w:val="22"/>
                <w:lang w:val="uk-UA"/>
              </w:rPr>
              <w:lastRenderedPageBreak/>
              <w:t xml:space="preserve">свідомості, традицій і культури, а також розвитку етнічної, культурної, </w:t>
            </w:r>
            <w:proofErr w:type="spellStart"/>
            <w:r w:rsidRPr="002045F5">
              <w:rPr>
                <w:rStyle w:val="10"/>
                <w:b w:val="0"/>
                <w:color w:val="000000" w:themeColor="text1"/>
                <w:sz w:val="22"/>
                <w:lang w:val="uk-UA"/>
              </w:rPr>
              <w:t>мовної</w:t>
            </w:r>
            <w:proofErr w:type="spellEnd"/>
            <w:r w:rsidRPr="002045F5">
              <w:rPr>
                <w:rStyle w:val="10"/>
                <w:b w:val="0"/>
                <w:color w:val="000000" w:themeColor="text1"/>
                <w:sz w:val="22"/>
                <w:lang w:val="uk-UA"/>
              </w:rPr>
              <w:t xml:space="preserve"> та релігійної самобутності всіх корінних народів і національних меншин України</w:t>
            </w:r>
            <w:r w:rsidR="00BD2666" w:rsidRPr="002045F5">
              <w:rPr>
                <w:rStyle w:val="10"/>
                <w:b w:val="0"/>
                <w:color w:val="000000" w:themeColor="text1"/>
                <w:sz w:val="22"/>
                <w:lang w:val="uk-UA"/>
              </w:rPr>
              <w:t>;</w:t>
            </w:r>
          </w:p>
          <w:p w:rsidR="00E95FB1" w:rsidRPr="002045F5" w:rsidRDefault="00E95FB1" w:rsidP="001B3967">
            <w:pPr>
              <w:pStyle w:val="31"/>
              <w:rPr>
                <w:rFonts w:ascii="Times New Roman" w:hAnsi="Times New Roman"/>
                <w:sz w:val="22"/>
                <w:lang w:val="uk-UA"/>
              </w:rPr>
            </w:pPr>
            <w:r w:rsidRPr="002045F5">
              <w:rPr>
                <w:rFonts w:ascii="Times New Roman" w:hAnsi="Times New Roman"/>
                <w:sz w:val="22"/>
                <w:lang w:val="uk-UA"/>
              </w:rPr>
              <w:t>- вирішення ряду питань в межах статутної діяльності, пов’язаних із відбудовою та сталим розвитком громади;</w:t>
            </w:r>
          </w:p>
          <w:p w:rsidR="00E95FB1" w:rsidRPr="002045F5" w:rsidRDefault="00E95FB1" w:rsidP="001B3967">
            <w:pPr>
              <w:pStyle w:val="31"/>
              <w:rPr>
                <w:rFonts w:ascii="Times New Roman" w:hAnsi="Times New Roman"/>
                <w:sz w:val="22"/>
                <w:lang w:val="uk-UA"/>
              </w:rPr>
            </w:pPr>
            <w:r w:rsidRPr="002045F5">
              <w:rPr>
                <w:rFonts w:ascii="Times New Roman" w:hAnsi="Times New Roman"/>
                <w:sz w:val="22"/>
                <w:lang w:val="uk-UA"/>
              </w:rPr>
              <w:t xml:space="preserve">- створення умов  для реалізації індивідуальних освітніх траєкторій здобувачів в межах освітніх програм, набуття ними відповідних </w:t>
            </w:r>
            <w:proofErr w:type="spellStart"/>
            <w:r w:rsidRPr="002045F5">
              <w:rPr>
                <w:rFonts w:ascii="Times New Roman" w:hAnsi="Times New Roman"/>
                <w:sz w:val="22"/>
                <w:lang w:val="uk-UA"/>
              </w:rPr>
              <w:t>компетентностей</w:t>
            </w:r>
            <w:proofErr w:type="spellEnd"/>
            <w:r w:rsidRPr="002045F5">
              <w:rPr>
                <w:rFonts w:ascii="Times New Roman" w:hAnsi="Times New Roman"/>
                <w:sz w:val="22"/>
                <w:lang w:val="uk-UA"/>
              </w:rPr>
              <w:t>;</w:t>
            </w:r>
          </w:p>
          <w:p w:rsidR="00E95FB1" w:rsidRPr="002045F5" w:rsidRDefault="00E95FB1" w:rsidP="001B3967">
            <w:pPr>
              <w:pStyle w:val="31"/>
              <w:rPr>
                <w:rFonts w:ascii="Times New Roman" w:hAnsi="Times New Roman"/>
                <w:sz w:val="22"/>
                <w:lang w:val="uk-UA"/>
              </w:rPr>
            </w:pPr>
            <w:r w:rsidRPr="002045F5">
              <w:rPr>
                <w:rFonts w:ascii="Times New Roman" w:hAnsi="Times New Roman"/>
                <w:sz w:val="22"/>
                <w:lang w:val="uk-UA"/>
              </w:rPr>
              <w:t>- стимул до повернення ВПО до громади.</w:t>
            </w:r>
          </w:p>
        </w:tc>
      </w:tr>
      <w:tr w:rsidR="00E95FB1" w:rsidRPr="002045F5" w:rsidTr="001B3967">
        <w:trPr>
          <w:trHeight w:val="390"/>
        </w:trPr>
        <w:tc>
          <w:tcPr>
            <w:tcW w:w="2836" w:type="dxa"/>
            <w:vMerge w:val="restart"/>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lastRenderedPageBreak/>
              <w:t xml:space="preserve">Очікувані кількісні результати реалізації </w:t>
            </w:r>
            <w:proofErr w:type="spellStart"/>
            <w:r w:rsidRPr="002045F5">
              <w:rPr>
                <w:b/>
                <w:sz w:val="22"/>
                <w:lang w:val="uk-UA"/>
              </w:rPr>
              <w:t>проєкту</w:t>
            </w:r>
            <w:proofErr w:type="spellEnd"/>
            <w:r w:rsidRPr="002045F5">
              <w:rPr>
                <w:b/>
                <w:sz w:val="22"/>
                <w:lang w:val="uk-UA"/>
              </w:rPr>
              <w:t xml:space="preserve"> (індикатори)</w:t>
            </w:r>
          </w:p>
          <w:p w:rsidR="00E95FB1" w:rsidRPr="002045F5" w:rsidRDefault="00E95FB1" w:rsidP="001B3967">
            <w:pPr>
              <w:pStyle w:val="a7"/>
              <w:ind w:left="0"/>
              <w:rPr>
                <w:b/>
                <w:sz w:val="22"/>
                <w:lang w:val="uk-UA"/>
              </w:rPr>
            </w:pPr>
          </w:p>
        </w:tc>
        <w:tc>
          <w:tcPr>
            <w:tcW w:w="3686" w:type="dxa"/>
            <w:gridSpan w:val="3"/>
            <w:tcBorders>
              <w:bottom w:val="single" w:sz="4" w:space="0" w:color="auto"/>
              <w:right w:val="single" w:sz="4" w:space="0" w:color="auto"/>
            </w:tcBorders>
          </w:tcPr>
          <w:p w:rsidR="00E95FB1" w:rsidRPr="002045F5" w:rsidRDefault="00E95FB1" w:rsidP="001B3967">
            <w:pPr>
              <w:pStyle w:val="a7"/>
              <w:ind w:left="-108"/>
              <w:jc w:val="center"/>
              <w:rPr>
                <w:b/>
                <w:sz w:val="22"/>
                <w:lang w:val="uk-UA"/>
              </w:rPr>
            </w:pPr>
            <w:r w:rsidRPr="002045F5">
              <w:rPr>
                <w:b/>
                <w:sz w:val="22"/>
                <w:lang w:val="uk-UA"/>
              </w:rPr>
              <w:t>Найменування показника</w:t>
            </w:r>
          </w:p>
        </w:tc>
        <w:tc>
          <w:tcPr>
            <w:tcW w:w="1701" w:type="dxa"/>
            <w:gridSpan w:val="2"/>
            <w:tcBorders>
              <w:left w:val="single" w:sz="4" w:space="0" w:color="auto"/>
              <w:bottom w:val="single" w:sz="4" w:space="0" w:color="auto"/>
              <w:right w:val="single" w:sz="4" w:space="0" w:color="auto"/>
            </w:tcBorders>
          </w:tcPr>
          <w:p w:rsidR="00E95FB1" w:rsidRPr="002045F5" w:rsidRDefault="00E95FB1" w:rsidP="001B3967">
            <w:pPr>
              <w:pStyle w:val="a7"/>
              <w:ind w:left="0"/>
              <w:jc w:val="center"/>
              <w:rPr>
                <w:b/>
                <w:sz w:val="22"/>
                <w:lang w:val="uk-UA"/>
              </w:rPr>
            </w:pPr>
            <w:r w:rsidRPr="002045F5">
              <w:rPr>
                <w:b/>
                <w:sz w:val="22"/>
                <w:lang w:val="uk-UA"/>
              </w:rPr>
              <w:t>Одиниця вимірювання</w:t>
            </w:r>
          </w:p>
          <w:p w:rsidR="00E95FB1" w:rsidRPr="002045F5" w:rsidRDefault="00E95FB1" w:rsidP="001B3967">
            <w:pPr>
              <w:pStyle w:val="a7"/>
              <w:ind w:left="0"/>
              <w:rPr>
                <w:b/>
                <w:sz w:val="22"/>
                <w:lang w:val="uk-UA"/>
              </w:rPr>
            </w:pPr>
          </w:p>
        </w:tc>
        <w:tc>
          <w:tcPr>
            <w:tcW w:w="1700" w:type="dxa"/>
            <w:gridSpan w:val="2"/>
            <w:tcBorders>
              <w:left w:val="single" w:sz="4" w:space="0" w:color="auto"/>
              <w:bottom w:val="single" w:sz="4" w:space="0" w:color="auto"/>
            </w:tcBorders>
          </w:tcPr>
          <w:p w:rsidR="00E95FB1" w:rsidRPr="002045F5" w:rsidRDefault="00E95FB1" w:rsidP="001B3967">
            <w:pPr>
              <w:pStyle w:val="a7"/>
              <w:ind w:left="0"/>
              <w:jc w:val="center"/>
              <w:rPr>
                <w:b/>
                <w:sz w:val="22"/>
                <w:lang w:val="uk-UA"/>
              </w:rPr>
            </w:pPr>
            <w:r w:rsidRPr="002045F5">
              <w:rPr>
                <w:b/>
                <w:sz w:val="22"/>
                <w:lang w:val="uk-UA"/>
              </w:rPr>
              <w:t>Прогнозне (цільове) значення</w:t>
            </w:r>
          </w:p>
        </w:tc>
      </w:tr>
      <w:tr w:rsidR="00E95FB1" w:rsidRPr="002045F5" w:rsidTr="001B3967">
        <w:trPr>
          <w:trHeight w:val="585"/>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3686" w:type="dxa"/>
            <w:gridSpan w:val="3"/>
            <w:tcBorders>
              <w:top w:val="single" w:sz="4" w:space="0" w:color="auto"/>
              <w:bottom w:val="single" w:sz="4" w:space="0" w:color="auto"/>
              <w:right w:val="single" w:sz="4" w:space="0" w:color="auto"/>
            </w:tcBorders>
          </w:tcPr>
          <w:p w:rsidR="00E95FB1" w:rsidRPr="002045F5" w:rsidRDefault="00E95FB1" w:rsidP="001B3967">
            <w:pPr>
              <w:pStyle w:val="a7"/>
              <w:ind w:left="0"/>
              <w:rPr>
                <w:sz w:val="22"/>
                <w:lang w:val="uk-UA"/>
              </w:rPr>
            </w:pPr>
            <w:r w:rsidRPr="002045F5">
              <w:rPr>
                <w:sz w:val="22"/>
                <w:lang w:val="uk-UA"/>
              </w:rPr>
              <w:t>Кількість учнів</w:t>
            </w:r>
            <w:r w:rsidR="00BD2666" w:rsidRPr="002045F5">
              <w:rPr>
                <w:sz w:val="22"/>
                <w:lang w:val="uk-UA"/>
              </w:rPr>
              <w:t>,</w:t>
            </w:r>
            <w:r w:rsidRPr="002045F5">
              <w:rPr>
                <w:sz w:val="22"/>
                <w:lang w:val="uk-UA"/>
              </w:rPr>
              <w:t xml:space="preserve"> які навчались протягом  року</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осіб</w:t>
            </w:r>
          </w:p>
        </w:tc>
        <w:tc>
          <w:tcPr>
            <w:tcW w:w="1700" w:type="dxa"/>
            <w:gridSpan w:val="2"/>
            <w:tcBorders>
              <w:top w:val="single" w:sz="4" w:space="0" w:color="auto"/>
              <w:left w:val="single" w:sz="4" w:space="0" w:color="auto"/>
              <w:bottom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307</w:t>
            </w:r>
          </w:p>
        </w:tc>
      </w:tr>
      <w:tr w:rsidR="00E95FB1" w:rsidRPr="002045F5" w:rsidTr="001B3967">
        <w:trPr>
          <w:trHeight w:val="184"/>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3686" w:type="dxa"/>
            <w:gridSpan w:val="3"/>
            <w:tcBorders>
              <w:top w:val="single" w:sz="4" w:space="0" w:color="auto"/>
              <w:bottom w:val="single" w:sz="4" w:space="0" w:color="auto"/>
              <w:right w:val="single" w:sz="4" w:space="0" w:color="auto"/>
            </w:tcBorders>
          </w:tcPr>
          <w:p w:rsidR="00E95FB1" w:rsidRPr="002045F5" w:rsidRDefault="00E95FB1" w:rsidP="00BD2666">
            <w:pPr>
              <w:pStyle w:val="a7"/>
              <w:ind w:left="0"/>
              <w:rPr>
                <w:sz w:val="22"/>
                <w:lang w:val="uk-UA"/>
              </w:rPr>
            </w:pPr>
            <w:r w:rsidRPr="002045F5">
              <w:rPr>
                <w:sz w:val="22"/>
                <w:lang w:val="uk-UA"/>
              </w:rPr>
              <w:t>Кількість фізичних осіб, які відвідували заходи протягом  року</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осіб</w:t>
            </w:r>
          </w:p>
        </w:tc>
        <w:tc>
          <w:tcPr>
            <w:tcW w:w="1700" w:type="dxa"/>
            <w:gridSpan w:val="2"/>
            <w:tcBorders>
              <w:top w:val="single" w:sz="4" w:space="0" w:color="auto"/>
              <w:left w:val="single" w:sz="4" w:space="0" w:color="auto"/>
              <w:bottom w:val="single" w:sz="4" w:space="0" w:color="auto"/>
            </w:tcBorders>
          </w:tcPr>
          <w:p w:rsidR="00E95FB1" w:rsidRPr="002045F5" w:rsidRDefault="00E95FB1" w:rsidP="001B3967">
            <w:pPr>
              <w:pStyle w:val="a7"/>
              <w:ind w:left="0"/>
              <w:rPr>
                <w:sz w:val="22"/>
                <w:lang w:val="uk-UA"/>
              </w:rPr>
            </w:pPr>
          </w:p>
          <w:p w:rsidR="00E95FB1" w:rsidRPr="002045F5" w:rsidRDefault="00E95FB1" w:rsidP="001B3967">
            <w:pPr>
              <w:pStyle w:val="a7"/>
              <w:ind w:left="0"/>
              <w:jc w:val="center"/>
              <w:rPr>
                <w:sz w:val="22"/>
                <w:lang w:val="uk-UA"/>
              </w:rPr>
            </w:pPr>
            <w:r w:rsidRPr="002045F5">
              <w:rPr>
                <w:sz w:val="22"/>
                <w:lang w:val="uk-UA"/>
              </w:rPr>
              <w:t>36 900</w:t>
            </w:r>
          </w:p>
        </w:tc>
      </w:tr>
      <w:tr w:rsidR="00E95FB1" w:rsidRPr="002045F5" w:rsidTr="001B3967">
        <w:trPr>
          <w:trHeight w:val="184"/>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3686" w:type="dxa"/>
            <w:gridSpan w:val="3"/>
            <w:tcBorders>
              <w:top w:val="single" w:sz="4" w:space="0" w:color="auto"/>
              <w:bottom w:val="single" w:sz="4" w:space="0" w:color="auto"/>
              <w:right w:val="single" w:sz="4" w:space="0" w:color="auto"/>
            </w:tcBorders>
          </w:tcPr>
          <w:p w:rsidR="00E95FB1" w:rsidRPr="002045F5" w:rsidRDefault="00E95FB1" w:rsidP="001B3967">
            <w:pPr>
              <w:pStyle w:val="a7"/>
              <w:ind w:left="0"/>
              <w:rPr>
                <w:sz w:val="22"/>
                <w:lang w:val="uk-UA"/>
              </w:rPr>
            </w:pPr>
            <w:r w:rsidRPr="002045F5">
              <w:rPr>
                <w:sz w:val="22"/>
                <w:lang w:val="uk-UA"/>
              </w:rPr>
              <w:t>Кількість видів та типів послуг</w:t>
            </w:r>
            <w:r w:rsidR="00BD2666" w:rsidRPr="002045F5">
              <w:rPr>
                <w:sz w:val="22"/>
                <w:lang w:val="uk-UA"/>
              </w:rPr>
              <w:t>,</w:t>
            </w:r>
            <w:r w:rsidRPr="002045F5">
              <w:rPr>
                <w:sz w:val="22"/>
                <w:lang w:val="uk-UA"/>
              </w:rPr>
              <w:t xml:space="preserve"> наданих протягом одного робочого дня</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одиниць</w:t>
            </w:r>
          </w:p>
        </w:tc>
        <w:tc>
          <w:tcPr>
            <w:tcW w:w="1700" w:type="dxa"/>
            <w:gridSpan w:val="2"/>
            <w:tcBorders>
              <w:top w:val="single" w:sz="4" w:space="0" w:color="auto"/>
              <w:left w:val="single" w:sz="4" w:space="0" w:color="auto"/>
              <w:bottom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5</w:t>
            </w:r>
          </w:p>
        </w:tc>
      </w:tr>
      <w:tr w:rsidR="00E95FB1" w:rsidRPr="002045F5" w:rsidTr="001B3967">
        <w:trPr>
          <w:trHeight w:val="165"/>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3686" w:type="dxa"/>
            <w:gridSpan w:val="3"/>
            <w:tcBorders>
              <w:top w:val="single" w:sz="4" w:space="0" w:color="auto"/>
              <w:bottom w:val="single" w:sz="4" w:space="0" w:color="auto"/>
              <w:right w:val="single" w:sz="4" w:space="0" w:color="auto"/>
            </w:tcBorders>
          </w:tcPr>
          <w:p w:rsidR="00E95FB1" w:rsidRPr="002045F5" w:rsidRDefault="00E95FB1" w:rsidP="001B3967">
            <w:pPr>
              <w:pStyle w:val="a7"/>
              <w:ind w:left="0"/>
              <w:rPr>
                <w:sz w:val="22"/>
                <w:lang w:val="uk-UA"/>
              </w:rPr>
            </w:pPr>
            <w:r w:rsidRPr="002045F5">
              <w:rPr>
                <w:sz w:val="22"/>
                <w:lang w:val="uk-UA"/>
              </w:rPr>
              <w:t>Середня вартість послуг</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грн</w:t>
            </w:r>
          </w:p>
        </w:tc>
        <w:tc>
          <w:tcPr>
            <w:tcW w:w="1700" w:type="dxa"/>
            <w:gridSpan w:val="2"/>
            <w:tcBorders>
              <w:top w:val="single" w:sz="4" w:space="0" w:color="auto"/>
              <w:left w:val="single" w:sz="4" w:space="0" w:color="auto"/>
              <w:bottom w:val="single" w:sz="4" w:space="0" w:color="auto"/>
            </w:tcBorders>
          </w:tcPr>
          <w:p w:rsidR="00E95FB1" w:rsidRPr="002045F5" w:rsidRDefault="00E95FB1" w:rsidP="001B3967">
            <w:pPr>
              <w:pStyle w:val="a7"/>
              <w:ind w:left="0"/>
              <w:jc w:val="center"/>
              <w:rPr>
                <w:sz w:val="22"/>
                <w:lang w:val="uk-UA"/>
              </w:rPr>
            </w:pPr>
            <w:r w:rsidRPr="002045F5">
              <w:rPr>
                <w:sz w:val="22"/>
                <w:lang w:val="uk-UA"/>
              </w:rPr>
              <w:t>безкоштовно</w:t>
            </w:r>
          </w:p>
        </w:tc>
      </w:tr>
      <w:tr w:rsidR="00E95FB1" w:rsidRPr="002045F5" w:rsidTr="001B3967">
        <w:trPr>
          <w:trHeight w:val="150"/>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3686" w:type="dxa"/>
            <w:gridSpan w:val="3"/>
            <w:tcBorders>
              <w:top w:val="single" w:sz="4" w:space="0" w:color="auto"/>
              <w:right w:val="single" w:sz="4" w:space="0" w:color="auto"/>
            </w:tcBorders>
          </w:tcPr>
          <w:p w:rsidR="00E95FB1" w:rsidRPr="002045F5" w:rsidRDefault="00E95FB1" w:rsidP="001B3967">
            <w:pPr>
              <w:pStyle w:val="a7"/>
              <w:ind w:left="0"/>
              <w:rPr>
                <w:sz w:val="22"/>
                <w:lang w:val="uk-UA"/>
              </w:rPr>
            </w:pPr>
            <w:r w:rsidRPr="002045F5">
              <w:rPr>
                <w:sz w:val="22"/>
                <w:lang w:val="uk-UA"/>
              </w:rPr>
              <w:t>Термін надання послуги</w:t>
            </w:r>
          </w:p>
        </w:tc>
        <w:tc>
          <w:tcPr>
            <w:tcW w:w="1701" w:type="dxa"/>
            <w:gridSpan w:val="2"/>
            <w:tcBorders>
              <w:top w:val="single" w:sz="4" w:space="0" w:color="auto"/>
              <w:left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років</w:t>
            </w:r>
          </w:p>
        </w:tc>
        <w:tc>
          <w:tcPr>
            <w:tcW w:w="1700" w:type="dxa"/>
            <w:gridSpan w:val="2"/>
            <w:tcBorders>
              <w:top w:val="single" w:sz="4" w:space="0" w:color="auto"/>
              <w:left w:val="single" w:sz="4" w:space="0" w:color="auto"/>
            </w:tcBorders>
          </w:tcPr>
          <w:p w:rsidR="00E95FB1" w:rsidRPr="002045F5" w:rsidRDefault="00E95FB1" w:rsidP="001B3967">
            <w:pPr>
              <w:pStyle w:val="a7"/>
              <w:ind w:left="0"/>
              <w:jc w:val="center"/>
              <w:rPr>
                <w:sz w:val="22"/>
                <w:lang w:val="uk-UA"/>
              </w:rPr>
            </w:pPr>
            <w:r w:rsidRPr="002045F5">
              <w:rPr>
                <w:sz w:val="22"/>
                <w:lang w:val="uk-UA"/>
              </w:rPr>
              <w:t>Від 4 до 11</w:t>
            </w:r>
          </w:p>
        </w:tc>
      </w:tr>
      <w:tr w:rsidR="00E95FB1" w:rsidRPr="002045F5" w:rsidTr="001B3967">
        <w:trPr>
          <w:trHeight w:val="150"/>
        </w:trPr>
        <w:tc>
          <w:tcPr>
            <w:tcW w:w="2836" w:type="dxa"/>
            <w:shd w:val="clear" w:color="auto" w:fill="C6D9F1" w:themeFill="text2" w:themeFillTint="33"/>
          </w:tcPr>
          <w:p w:rsidR="00E95FB1" w:rsidRPr="002045F5" w:rsidRDefault="00E95FB1" w:rsidP="001B3967">
            <w:pPr>
              <w:pStyle w:val="a7"/>
              <w:ind w:left="0"/>
              <w:rPr>
                <w:b/>
                <w:sz w:val="22"/>
                <w:lang w:val="uk-UA"/>
              </w:rPr>
            </w:pPr>
          </w:p>
        </w:tc>
        <w:tc>
          <w:tcPr>
            <w:tcW w:w="3686" w:type="dxa"/>
            <w:gridSpan w:val="3"/>
            <w:tcBorders>
              <w:top w:val="single" w:sz="4" w:space="0" w:color="auto"/>
              <w:right w:val="single" w:sz="4" w:space="0" w:color="auto"/>
            </w:tcBorders>
          </w:tcPr>
          <w:p w:rsidR="00E95FB1" w:rsidRPr="002045F5" w:rsidRDefault="00E95FB1" w:rsidP="00BD2666">
            <w:pPr>
              <w:pStyle w:val="a7"/>
              <w:ind w:left="0"/>
              <w:rPr>
                <w:sz w:val="22"/>
                <w:lang w:val="uk-UA"/>
              </w:rPr>
            </w:pPr>
            <w:r w:rsidRPr="002045F5">
              <w:rPr>
                <w:sz w:val="22"/>
                <w:lang w:val="uk-UA"/>
              </w:rPr>
              <w:t>Кількість населених пунктів, як</w:t>
            </w:r>
            <w:r w:rsidR="00BD2666" w:rsidRPr="002045F5">
              <w:rPr>
                <w:sz w:val="22"/>
                <w:lang w:val="uk-UA"/>
              </w:rPr>
              <w:t>і</w:t>
            </w:r>
            <w:r w:rsidRPr="002045F5">
              <w:rPr>
                <w:sz w:val="22"/>
                <w:lang w:val="uk-UA"/>
              </w:rPr>
              <w:t xml:space="preserve"> обслуговує заклад</w:t>
            </w:r>
          </w:p>
        </w:tc>
        <w:tc>
          <w:tcPr>
            <w:tcW w:w="1701" w:type="dxa"/>
            <w:gridSpan w:val="2"/>
            <w:tcBorders>
              <w:top w:val="single" w:sz="4" w:space="0" w:color="auto"/>
              <w:left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одиниць</w:t>
            </w:r>
          </w:p>
        </w:tc>
        <w:tc>
          <w:tcPr>
            <w:tcW w:w="1700" w:type="dxa"/>
            <w:gridSpan w:val="2"/>
            <w:tcBorders>
              <w:top w:val="single" w:sz="4" w:space="0" w:color="auto"/>
              <w:lef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20</w:t>
            </w:r>
          </w:p>
        </w:tc>
      </w:tr>
      <w:tr w:rsidR="00E95FB1" w:rsidRPr="002045F5" w:rsidTr="001B3967">
        <w:tc>
          <w:tcPr>
            <w:tcW w:w="2836" w:type="dxa"/>
            <w:shd w:val="clear" w:color="auto" w:fill="C6D9F1" w:themeFill="text2" w:themeFillTint="33"/>
          </w:tcPr>
          <w:p w:rsidR="00E95FB1" w:rsidRPr="002045F5" w:rsidRDefault="00E95FB1" w:rsidP="001B3967">
            <w:pPr>
              <w:rPr>
                <w:b/>
                <w:sz w:val="22"/>
                <w:lang w:val="uk-UA"/>
              </w:rPr>
            </w:pPr>
            <w:r w:rsidRPr="002045F5">
              <w:rPr>
                <w:b/>
                <w:sz w:val="22"/>
                <w:lang w:val="uk-UA"/>
              </w:rPr>
              <w:t xml:space="preserve">Ключові заходи проекту: </w:t>
            </w:r>
          </w:p>
          <w:p w:rsidR="00E95FB1" w:rsidRPr="002045F5" w:rsidRDefault="00E95FB1" w:rsidP="001B3967">
            <w:pPr>
              <w:pStyle w:val="a7"/>
              <w:ind w:left="0"/>
              <w:rPr>
                <w:b/>
                <w:sz w:val="22"/>
                <w:lang w:val="uk-UA"/>
              </w:rPr>
            </w:pPr>
          </w:p>
        </w:tc>
        <w:tc>
          <w:tcPr>
            <w:tcW w:w="7087" w:type="dxa"/>
            <w:gridSpan w:val="7"/>
          </w:tcPr>
          <w:p w:rsidR="00E95FB1" w:rsidRPr="002045F5" w:rsidRDefault="00E95FB1" w:rsidP="001B3967">
            <w:pPr>
              <w:pStyle w:val="a7"/>
              <w:ind w:left="0"/>
              <w:rPr>
                <w:sz w:val="22"/>
                <w:lang w:val="uk-UA"/>
              </w:rPr>
            </w:pPr>
            <w:r w:rsidRPr="002045F5">
              <w:rPr>
                <w:sz w:val="22"/>
                <w:lang w:val="uk-UA"/>
              </w:rPr>
              <w:t>- проведення інвентаризації основних засобів;</w:t>
            </w:r>
          </w:p>
          <w:p w:rsidR="00E95FB1" w:rsidRPr="002045F5" w:rsidRDefault="00E95FB1" w:rsidP="001B3967">
            <w:pPr>
              <w:pStyle w:val="a7"/>
              <w:ind w:left="0"/>
              <w:rPr>
                <w:sz w:val="22"/>
                <w:lang w:val="uk-UA"/>
              </w:rPr>
            </w:pPr>
            <w:r w:rsidRPr="002045F5">
              <w:rPr>
                <w:sz w:val="22"/>
                <w:lang w:val="uk-UA"/>
              </w:rPr>
              <w:t xml:space="preserve">- визначення кількості осіб, які потребують отримання мистецьких послуг; </w:t>
            </w:r>
          </w:p>
          <w:p w:rsidR="00E95FB1" w:rsidRPr="002045F5" w:rsidRDefault="00E95FB1" w:rsidP="001B3967">
            <w:pPr>
              <w:pStyle w:val="a7"/>
              <w:ind w:left="0"/>
              <w:rPr>
                <w:sz w:val="22"/>
                <w:lang w:val="uk-UA"/>
              </w:rPr>
            </w:pPr>
            <w:r w:rsidRPr="002045F5">
              <w:rPr>
                <w:sz w:val="22"/>
                <w:lang w:val="uk-UA"/>
              </w:rPr>
              <w:t>- придбання технічного забезпечення закладу;</w:t>
            </w:r>
          </w:p>
          <w:p w:rsidR="00E95FB1" w:rsidRPr="002045F5" w:rsidRDefault="00E95FB1" w:rsidP="001B3967">
            <w:pPr>
              <w:pStyle w:val="a7"/>
              <w:ind w:left="0"/>
              <w:rPr>
                <w:sz w:val="22"/>
                <w:lang w:val="uk-UA"/>
              </w:rPr>
            </w:pPr>
            <w:r w:rsidRPr="002045F5">
              <w:rPr>
                <w:sz w:val="22"/>
                <w:lang w:val="uk-UA"/>
              </w:rPr>
              <w:t>- придбання технологічного забезпечення;</w:t>
            </w:r>
          </w:p>
          <w:p w:rsidR="00E95FB1" w:rsidRPr="002045F5" w:rsidRDefault="00E95FB1" w:rsidP="001B3967">
            <w:pPr>
              <w:pStyle w:val="a7"/>
              <w:ind w:left="0"/>
              <w:rPr>
                <w:sz w:val="22"/>
                <w:lang w:val="uk-UA"/>
              </w:rPr>
            </w:pPr>
            <w:r w:rsidRPr="002045F5">
              <w:rPr>
                <w:sz w:val="22"/>
                <w:lang w:val="uk-UA"/>
              </w:rPr>
              <w:t>- придбання музично - інструментального забезпечення закладу;</w:t>
            </w:r>
          </w:p>
          <w:p w:rsidR="00E95FB1" w:rsidRPr="002045F5" w:rsidRDefault="00E95FB1" w:rsidP="001B3967">
            <w:pPr>
              <w:pStyle w:val="a7"/>
              <w:ind w:left="0"/>
              <w:rPr>
                <w:sz w:val="22"/>
                <w:lang w:val="uk-UA"/>
              </w:rPr>
            </w:pPr>
            <w:r w:rsidRPr="002045F5">
              <w:rPr>
                <w:sz w:val="22"/>
                <w:lang w:val="uk-UA"/>
              </w:rPr>
              <w:t>- організація та початок робочого процесу (навчання та проведення заходів).</w:t>
            </w:r>
          </w:p>
        </w:tc>
      </w:tr>
      <w:tr w:rsidR="00E95FB1" w:rsidRPr="002045F5" w:rsidTr="001B3967">
        <w:trPr>
          <w:trHeight w:val="360"/>
        </w:trPr>
        <w:tc>
          <w:tcPr>
            <w:tcW w:w="2836" w:type="dxa"/>
            <w:vMerge w:val="restart"/>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 xml:space="preserve">Орієнтовний обсяг та джерела фінансування, тис. грн. </w:t>
            </w:r>
          </w:p>
          <w:p w:rsidR="00E95FB1" w:rsidRPr="002045F5" w:rsidRDefault="00E95FB1" w:rsidP="001B3967">
            <w:pPr>
              <w:pStyle w:val="a7"/>
              <w:ind w:left="0"/>
              <w:rPr>
                <w:b/>
                <w:sz w:val="22"/>
                <w:lang w:val="uk-UA"/>
              </w:rPr>
            </w:pPr>
          </w:p>
        </w:tc>
        <w:tc>
          <w:tcPr>
            <w:tcW w:w="1316" w:type="dxa"/>
            <w:tcBorders>
              <w:bottom w:val="single" w:sz="4" w:space="0" w:color="auto"/>
              <w:right w:val="single" w:sz="4" w:space="0" w:color="auto"/>
            </w:tcBorders>
          </w:tcPr>
          <w:p w:rsidR="00E95FB1" w:rsidRPr="002045F5" w:rsidRDefault="00E95FB1" w:rsidP="001B3967">
            <w:pPr>
              <w:pStyle w:val="a7"/>
              <w:ind w:left="0"/>
              <w:jc w:val="center"/>
              <w:rPr>
                <w:b/>
                <w:sz w:val="22"/>
                <w:lang w:val="uk-UA"/>
              </w:rPr>
            </w:pPr>
            <w:r w:rsidRPr="002045F5">
              <w:rPr>
                <w:b/>
                <w:sz w:val="22"/>
                <w:lang w:val="uk-UA"/>
              </w:rPr>
              <w:t>Державний бюджет</w:t>
            </w:r>
          </w:p>
        </w:tc>
        <w:tc>
          <w:tcPr>
            <w:tcW w:w="1321" w:type="dxa"/>
            <w:tcBorders>
              <w:bottom w:val="single" w:sz="4" w:space="0" w:color="auto"/>
              <w:right w:val="single" w:sz="4" w:space="0" w:color="auto"/>
            </w:tcBorders>
          </w:tcPr>
          <w:p w:rsidR="00E95FB1" w:rsidRPr="002045F5" w:rsidRDefault="00E95FB1" w:rsidP="001B3967">
            <w:pPr>
              <w:pStyle w:val="a7"/>
              <w:ind w:left="0"/>
              <w:jc w:val="center"/>
              <w:rPr>
                <w:b/>
                <w:sz w:val="22"/>
                <w:lang w:val="uk-UA"/>
              </w:rPr>
            </w:pPr>
            <w:r w:rsidRPr="002045F5">
              <w:rPr>
                <w:b/>
                <w:sz w:val="22"/>
                <w:lang w:val="uk-UA"/>
              </w:rPr>
              <w:t>Місцевий бюджет</w:t>
            </w:r>
          </w:p>
        </w:tc>
        <w:tc>
          <w:tcPr>
            <w:tcW w:w="2932" w:type="dxa"/>
            <w:gridSpan w:val="4"/>
            <w:tcBorders>
              <w:left w:val="single" w:sz="4" w:space="0" w:color="auto"/>
              <w:bottom w:val="single" w:sz="4" w:space="0" w:color="auto"/>
              <w:right w:val="single" w:sz="4" w:space="0" w:color="auto"/>
            </w:tcBorders>
          </w:tcPr>
          <w:p w:rsidR="00E95FB1" w:rsidRPr="002045F5" w:rsidRDefault="00E95FB1" w:rsidP="001B3967">
            <w:pPr>
              <w:pStyle w:val="a7"/>
              <w:ind w:left="0"/>
              <w:jc w:val="center"/>
              <w:rPr>
                <w:b/>
                <w:sz w:val="22"/>
                <w:lang w:val="uk-UA"/>
              </w:rPr>
            </w:pPr>
            <w:r w:rsidRPr="002045F5">
              <w:rPr>
                <w:b/>
                <w:sz w:val="22"/>
                <w:lang w:val="uk-UA"/>
              </w:rPr>
              <w:t>Інші джерела</w:t>
            </w:r>
          </w:p>
        </w:tc>
        <w:tc>
          <w:tcPr>
            <w:tcW w:w="1518" w:type="dxa"/>
            <w:tcBorders>
              <w:left w:val="single" w:sz="4" w:space="0" w:color="auto"/>
              <w:bottom w:val="single" w:sz="4" w:space="0" w:color="auto"/>
            </w:tcBorders>
          </w:tcPr>
          <w:p w:rsidR="00E95FB1" w:rsidRPr="002045F5" w:rsidRDefault="00E95FB1" w:rsidP="001B3967">
            <w:pPr>
              <w:pStyle w:val="a7"/>
              <w:ind w:left="0"/>
              <w:jc w:val="center"/>
              <w:rPr>
                <w:b/>
                <w:sz w:val="22"/>
                <w:lang w:val="uk-UA"/>
              </w:rPr>
            </w:pPr>
            <w:r w:rsidRPr="002045F5">
              <w:rPr>
                <w:b/>
                <w:sz w:val="22"/>
                <w:lang w:val="uk-UA"/>
              </w:rPr>
              <w:t>Всього</w:t>
            </w:r>
          </w:p>
          <w:p w:rsidR="00E95FB1" w:rsidRPr="002045F5" w:rsidRDefault="00E95FB1" w:rsidP="001B3967">
            <w:pPr>
              <w:ind w:left="-79"/>
              <w:rPr>
                <w:b/>
                <w:sz w:val="22"/>
                <w:lang w:val="uk-UA"/>
              </w:rPr>
            </w:pPr>
            <w:r w:rsidRPr="002045F5">
              <w:rPr>
                <w:b/>
                <w:sz w:val="22"/>
                <w:lang w:val="uk-UA"/>
              </w:rPr>
              <w:t>тис. грн.</w:t>
            </w:r>
          </w:p>
          <w:p w:rsidR="00E95FB1" w:rsidRPr="002045F5" w:rsidRDefault="00E95FB1" w:rsidP="001B3967">
            <w:pPr>
              <w:pStyle w:val="a7"/>
              <w:ind w:left="0"/>
              <w:jc w:val="center"/>
              <w:rPr>
                <w:b/>
                <w:sz w:val="22"/>
                <w:lang w:val="uk-UA"/>
              </w:rPr>
            </w:pPr>
          </w:p>
        </w:tc>
      </w:tr>
      <w:tr w:rsidR="00E95FB1" w:rsidRPr="002045F5" w:rsidTr="001B3967">
        <w:trPr>
          <w:trHeight w:val="225"/>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1316" w:type="dxa"/>
            <w:vMerge w:val="restart"/>
            <w:tcBorders>
              <w:top w:val="single" w:sz="4" w:space="0" w:color="auto"/>
              <w:right w:val="single" w:sz="4" w:space="0" w:color="auto"/>
            </w:tcBorders>
          </w:tcPr>
          <w:p w:rsidR="00E95FB1" w:rsidRPr="002045F5" w:rsidRDefault="009D7658" w:rsidP="001B3967">
            <w:pPr>
              <w:ind w:left="-79"/>
              <w:rPr>
                <w:sz w:val="22"/>
              </w:rPr>
            </w:pPr>
            <w:r w:rsidRPr="002045F5">
              <w:rPr>
                <w:sz w:val="22"/>
              </w:rPr>
              <w:t>17825,2</w:t>
            </w:r>
          </w:p>
        </w:tc>
        <w:tc>
          <w:tcPr>
            <w:tcW w:w="1321" w:type="dxa"/>
            <w:vMerge w:val="restart"/>
            <w:tcBorders>
              <w:top w:val="single" w:sz="4" w:space="0" w:color="auto"/>
              <w:right w:val="single" w:sz="4" w:space="0" w:color="auto"/>
            </w:tcBorders>
          </w:tcPr>
          <w:p w:rsidR="00E95FB1" w:rsidRPr="002045F5" w:rsidRDefault="00E95FB1" w:rsidP="001B3967">
            <w:pPr>
              <w:pStyle w:val="a7"/>
              <w:ind w:left="0"/>
              <w:jc w:val="center"/>
              <w:rPr>
                <w:sz w:val="22"/>
                <w:lang w:val="uk-UA"/>
              </w:rPr>
            </w:pPr>
          </w:p>
        </w:tc>
        <w:tc>
          <w:tcPr>
            <w:tcW w:w="1475" w:type="dxa"/>
            <w:gridSpan w:val="2"/>
            <w:tcBorders>
              <w:top w:val="single" w:sz="4" w:space="0" w:color="auto"/>
              <w:left w:val="single" w:sz="4" w:space="0" w:color="auto"/>
              <w:bottom w:val="single" w:sz="4" w:space="0" w:color="auto"/>
              <w:right w:val="single" w:sz="4" w:space="0" w:color="auto"/>
            </w:tcBorders>
          </w:tcPr>
          <w:p w:rsidR="00E95FB1" w:rsidRPr="002045F5" w:rsidRDefault="00E95FB1" w:rsidP="001B3967">
            <w:pPr>
              <w:pStyle w:val="a7"/>
              <w:ind w:left="0"/>
              <w:jc w:val="center"/>
              <w:rPr>
                <w:sz w:val="22"/>
                <w:lang w:val="uk-UA"/>
              </w:rPr>
            </w:pPr>
            <w:r w:rsidRPr="002045F5">
              <w:rPr>
                <w:sz w:val="22"/>
                <w:lang w:val="uk-UA"/>
              </w:rPr>
              <w:t>Обсяг тис. грн.</w:t>
            </w:r>
          </w:p>
        </w:tc>
        <w:tc>
          <w:tcPr>
            <w:tcW w:w="1457" w:type="dxa"/>
            <w:gridSpan w:val="2"/>
            <w:tcBorders>
              <w:top w:val="single" w:sz="4" w:space="0" w:color="auto"/>
              <w:left w:val="single" w:sz="4" w:space="0" w:color="auto"/>
              <w:bottom w:val="single" w:sz="4" w:space="0" w:color="auto"/>
              <w:right w:val="single" w:sz="4" w:space="0" w:color="auto"/>
            </w:tcBorders>
          </w:tcPr>
          <w:p w:rsidR="00E95FB1" w:rsidRPr="002045F5" w:rsidRDefault="00E95FB1" w:rsidP="001B3967">
            <w:pPr>
              <w:pStyle w:val="a7"/>
              <w:ind w:left="0"/>
              <w:jc w:val="center"/>
              <w:rPr>
                <w:sz w:val="22"/>
                <w:lang w:val="uk-UA"/>
              </w:rPr>
            </w:pPr>
            <w:r w:rsidRPr="002045F5">
              <w:rPr>
                <w:sz w:val="22"/>
                <w:lang w:val="uk-UA"/>
              </w:rPr>
              <w:t>Назва джерела</w:t>
            </w:r>
          </w:p>
        </w:tc>
        <w:tc>
          <w:tcPr>
            <w:tcW w:w="1518" w:type="dxa"/>
            <w:vMerge w:val="restart"/>
            <w:tcBorders>
              <w:top w:val="single" w:sz="4" w:space="0" w:color="auto"/>
              <w:left w:val="single" w:sz="4" w:space="0" w:color="auto"/>
            </w:tcBorders>
          </w:tcPr>
          <w:p w:rsidR="00E95FB1" w:rsidRPr="002045F5" w:rsidRDefault="009D7658" w:rsidP="001B3967">
            <w:pPr>
              <w:pStyle w:val="a7"/>
              <w:ind w:left="0"/>
              <w:jc w:val="center"/>
              <w:rPr>
                <w:sz w:val="22"/>
                <w:lang w:val="uk-UA"/>
              </w:rPr>
            </w:pPr>
            <w:r w:rsidRPr="002045F5">
              <w:rPr>
                <w:sz w:val="22"/>
                <w:lang w:val="uk-UA"/>
              </w:rPr>
              <w:t>25464,571</w:t>
            </w:r>
          </w:p>
        </w:tc>
      </w:tr>
      <w:tr w:rsidR="00E95FB1" w:rsidRPr="002045F5" w:rsidTr="001B3967">
        <w:trPr>
          <w:trHeight w:val="300"/>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1316" w:type="dxa"/>
            <w:vMerge/>
            <w:tcBorders>
              <w:right w:val="single" w:sz="4" w:space="0" w:color="auto"/>
            </w:tcBorders>
          </w:tcPr>
          <w:p w:rsidR="00E95FB1" w:rsidRPr="002045F5" w:rsidRDefault="00E95FB1" w:rsidP="001B3967">
            <w:pPr>
              <w:pStyle w:val="a7"/>
              <w:ind w:left="0"/>
              <w:jc w:val="center"/>
              <w:rPr>
                <w:sz w:val="22"/>
                <w:lang w:val="uk-UA"/>
              </w:rPr>
            </w:pPr>
          </w:p>
        </w:tc>
        <w:tc>
          <w:tcPr>
            <w:tcW w:w="1321" w:type="dxa"/>
            <w:vMerge/>
            <w:tcBorders>
              <w:right w:val="single" w:sz="4" w:space="0" w:color="auto"/>
            </w:tcBorders>
          </w:tcPr>
          <w:p w:rsidR="00E95FB1" w:rsidRPr="002045F5" w:rsidRDefault="00E95FB1" w:rsidP="001B3967">
            <w:pPr>
              <w:pStyle w:val="a7"/>
              <w:ind w:left="0"/>
              <w:jc w:val="center"/>
              <w:rPr>
                <w:b/>
                <w:sz w:val="22"/>
                <w:lang w:val="uk-UA"/>
              </w:rPr>
            </w:pPr>
          </w:p>
        </w:tc>
        <w:tc>
          <w:tcPr>
            <w:tcW w:w="1475" w:type="dxa"/>
            <w:gridSpan w:val="2"/>
            <w:tcBorders>
              <w:top w:val="single" w:sz="4" w:space="0" w:color="auto"/>
              <w:left w:val="single" w:sz="4" w:space="0" w:color="auto"/>
              <w:right w:val="single" w:sz="4" w:space="0" w:color="auto"/>
            </w:tcBorders>
          </w:tcPr>
          <w:p w:rsidR="00E95FB1" w:rsidRPr="002045F5" w:rsidRDefault="009D7658" w:rsidP="001B3967">
            <w:pPr>
              <w:ind w:left="-79"/>
              <w:rPr>
                <w:sz w:val="22"/>
              </w:rPr>
            </w:pPr>
            <w:r w:rsidRPr="002045F5">
              <w:rPr>
                <w:sz w:val="22"/>
              </w:rPr>
              <w:t>7639,371</w:t>
            </w:r>
          </w:p>
        </w:tc>
        <w:tc>
          <w:tcPr>
            <w:tcW w:w="1457" w:type="dxa"/>
            <w:gridSpan w:val="2"/>
            <w:tcBorders>
              <w:top w:val="single" w:sz="4" w:space="0" w:color="auto"/>
              <w:left w:val="single" w:sz="4" w:space="0" w:color="auto"/>
              <w:right w:val="single" w:sz="4" w:space="0" w:color="auto"/>
            </w:tcBorders>
          </w:tcPr>
          <w:p w:rsidR="00E95FB1" w:rsidRPr="002045F5" w:rsidRDefault="00E95FB1" w:rsidP="001B3967">
            <w:pPr>
              <w:pStyle w:val="a7"/>
              <w:ind w:left="0"/>
              <w:jc w:val="center"/>
              <w:rPr>
                <w:sz w:val="22"/>
                <w:lang w:val="uk-UA"/>
              </w:rPr>
            </w:pPr>
            <w:r w:rsidRPr="002045F5">
              <w:rPr>
                <w:sz w:val="22"/>
                <w:lang w:val="uk-UA"/>
              </w:rPr>
              <w:t>Міжнародні інвестиції, кошти приватних осіб</w:t>
            </w:r>
          </w:p>
        </w:tc>
        <w:tc>
          <w:tcPr>
            <w:tcW w:w="1518" w:type="dxa"/>
            <w:vMerge/>
            <w:tcBorders>
              <w:left w:val="single" w:sz="4" w:space="0" w:color="auto"/>
            </w:tcBorders>
          </w:tcPr>
          <w:p w:rsidR="00E95FB1" w:rsidRPr="002045F5" w:rsidRDefault="00E95FB1" w:rsidP="001B3967">
            <w:pPr>
              <w:pStyle w:val="a7"/>
              <w:ind w:left="0"/>
              <w:jc w:val="center"/>
              <w:rPr>
                <w:sz w:val="22"/>
                <w:lang w:val="uk-UA"/>
              </w:rPr>
            </w:pPr>
          </w:p>
        </w:tc>
      </w:tr>
    </w:tbl>
    <w:p w:rsidR="00E95FB1" w:rsidRPr="002045F5" w:rsidRDefault="00E95FB1" w:rsidP="00E95FB1">
      <w:pPr>
        <w:rPr>
          <w:sz w:val="22"/>
        </w:rPr>
      </w:pPr>
    </w:p>
    <w:p w:rsidR="00E95FB1" w:rsidRPr="002045F5" w:rsidRDefault="00E95FB1" w:rsidP="00E95FB1">
      <w:pPr>
        <w:rPr>
          <w:sz w:val="22"/>
        </w:rPr>
      </w:pPr>
    </w:p>
    <w:p w:rsidR="00E95FB1" w:rsidRPr="002045F5" w:rsidRDefault="00E95FB1" w:rsidP="00E95FB1">
      <w:pPr>
        <w:rPr>
          <w:sz w:val="22"/>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1356"/>
        <w:gridCol w:w="1323"/>
        <w:gridCol w:w="929"/>
        <w:gridCol w:w="567"/>
        <w:gridCol w:w="1134"/>
        <w:gridCol w:w="318"/>
        <w:gridCol w:w="1511"/>
      </w:tblGrid>
      <w:tr w:rsidR="00E95FB1" w:rsidRPr="002045F5" w:rsidTr="001B3967">
        <w:tc>
          <w:tcPr>
            <w:tcW w:w="2836" w:type="dxa"/>
            <w:shd w:val="clear" w:color="auto" w:fill="C6D9F1" w:themeFill="text2" w:themeFillTint="33"/>
          </w:tcPr>
          <w:p w:rsidR="00E95FB1" w:rsidRPr="002045F5" w:rsidRDefault="00E95FB1" w:rsidP="001B3967">
            <w:pPr>
              <w:pStyle w:val="a7"/>
              <w:ind w:left="0"/>
              <w:rPr>
                <w:b/>
                <w:sz w:val="22"/>
              </w:rPr>
            </w:pPr>
            <w:r w:rsidRPr="002045F5">
              <w:rPr>
                <w:b/>
                <w:sz w:val="22"/>
              </w:rPr>
              <w:t>Оперативна ціль/завдання</w:t>
            </w:r>
          </w:p>
        </w:tc>
        <w:tc>
          <w:tcPr>
            <w:tcW w:w="7087" w:type="dxa"/>
            <w:gridSpan w:val="7"/>
            <w:shd w:val="clear" w:color="auto" w:fill="auto"/>
          </w:tcPr>
          <w:p w:rsidR="00E95FB1" w:rsidRPr="002045F5" w:rsidRDefault="00BD2666" w:rsidP="001B3967">
            <w:pPr>
              <w:pStyle w:val="a7"/>
              <w:ind w:left="0"/>
              <w:rPr>
                <w:sz w:val="22"/>
              </w:rPr>
            </w:pPr>
            <w:r w:rsidRPr="002045F5">
              <w:rPr>
                <w:rFonts w:eastAsia="Arial"/>
                <w:sz w:val="22"/>
              </w:rPr>
              <w:t xml:space="preserve">Людський розвиток </w:t>
            </w:r>
            <w:r w:rsidR="00E95FB1" w:rsidRPr="002045F5">
              <w:rPr>
                <w:rFonts w:eastAsia="Arial"/>
                <w:sz w:val="22"/>
              </w:rPr>
              <w:t>через інновації управління та довіру до влади</w:t>
            </w:r>
          </w:p>
          <w:p w:rsidR="00E95FB1" w:rsidRPr="002045F5" w:rsidRDefault="00E95FB1" w:rsidP="001B3967">
            <w:pPr>
              <w:tabs>
                <w:tab w:val="left" w:pos="442"/>
              </w:tabs>
              <w:rPr>
                <w:b/>
                <w:sz w:val="22"/>
              </w:rPr>
            </w:pPr>
            <w:r w:rsidRPr="002045F5">
              <w:rPr>
                <w:rFonts w:eastAsia="Arial"/>
                <w:sz w:val="22"/>
              </w:rPr>
              <w:t xml:space="preserve">Формування сучасного інклюзивного </w:t>
            </w:r>
            <w:proofErr w:type="spellStart"/>
            <w:r w:rsidRPr="002045F5">
              <w:rPr>
                <w:rFonts w:eastAsia="Arial"/>
                <w:sz w:val="22"/>
              </w:rPr>
              <w:t>освітньо</w:t>
            </w:r>
            <w:proofErr w:type="spellEnd"/>
            <w:r w:rsidRPr="002045F5">
              <w:rPr>
                <w:rFonts w:eastAsia="Arial"/>
                <w:sz w:val="22"/>
              </w:rPr>
              <w:t xml:space="preserve"> – культурного та спортивного простору для розвитку</w:t>
            </w:r>
            <w:r w:rsidRPr="002045F5">
              <w:rPr>
                <w:b/>
                <w:sz w:val="22"/>
              </w:rPr>
              <w:t xml:space="preserve"> </w:t>
            </w:r>
          </w:p>
        </w:tc>
      </w:tr>
      <w:tr w:rsidR="00E95FB1" w:rsidRPr="002045F5" w:rsidTr="001B3967">
        <w:tc>
          <w:tcPr>
            <w:tcW w:w="2836" w:type="dxa"/>
            <w:shd w:val="clear" w:color="auto" w:fill="C6D9F1" w:themeFill="text2" w:themeFillTint="33"/>
          </w:tcPr>
          <w:p w:rsidR="00E95FB1" w:rsidRPr="002045F5" w:rsidRDefault="00E95FB1" w:rsidP="001B3967">
            <w:pPr>
              <w:pStyle w:val="a7"/>
              <w:ind w:left="0"/>
              <w:rPr>
                <w:b/>
                <w:sz w:val="22"/>
              </w:rPr>
            </w:pPr>
            <w:r w:rsidRPr="002045F5">
              <w:rPr>
                <w:b/>
                <w:sz w:val="22"/>
              </w:rPr>
              <w:t>Назва проекту:</w:t>
            </w:r>
          </w:p>
        </w:tc>
        <w:tc>
          <w:tcPr>
            <w:tcW w:w="7087" w:type="dxa"/>
            <w:gridSpan w:val="7"/>
          </w:tcPr>
          <w:p w:rsidR="00E95FB1" w:rsidRPr="002045F5" w:rsidRDefault="00E95FB1" w:rsidP="001B3967">
            <w:pPr>
              <w:pStyle w:val="a7"/>
              <w:ind w:left="0"/>
              <w:rPr>
                <w:sz w:val="22"/>
              </w:rPr>
            </w:pPr>
            <w:r w:rsidRPr="002045F5">
              <w:rPr>
                <w:sz w:val="22"/>
              </w:rPr>
              <w:t>Відновлення діяльності Комунального Закладу «Сєвєродонецька художня школа»</w:t>
            </w:r>
          </w:p>
        </w:tc>
      </w:tr>
      <w:tr w:rsidR="00E95FB1" w:rsidRPr="002045F5" w:rsidTr="001B3967">
        <w:tc>
          <w:tcPr>
            <w:tcW w:w="2836" w:type="dxa"/>
            <w:shd w:val="clear" w:color="auto" w:fill="C6D9F1" w:themeFill="text2" w:themeFillTint="33"/>
          </w:tcPr>
          <w:p w:rsidR="00E95FB1" w:rsidRPr="002045F5" w:rsidRDefault="00E95FB1" w:rsidP="001B3967">
            <w:pPr>
              <w:rPr>
                <w:b/>
                <w:sz w:val="22"/>
              </w:rPr>
            </w:pPr>
            <w:r w:rsidRPr="002045F5">
              <w:rPr>
                <w:b/>
                <w:sz w:val="22"/>
              </w:rPr>
              <w:t>Ціль проекту</w:t>
            </w:r>
          </w:p>
        </w:tc>
        <w:tc>
          <w:tcPr>
            <w:tcW w:w="7087" w:type="dxa"/>
            <w:gridSpan w:val="7"/>
          </w:tcPr>
          <w:p w:rsidR="00E95FB1" w:rsidRPr="002045F5" w:rsidRDefault="00E95FB1" w:rsidP="00BD2666">
            <w:pPr>
              <w:pStyle w:val="a7"/>
              <w:ind w:left="0"/>
              <w:rPr>
                <w:sz w:val="22"/>
              </w:rPr>
            </w:pPr>
            <w:r w:rsidRPr="002045F5">
              <w:rPr>
                <w:sz w:val="22"/>
              </w:rPr>
              <w:t>Відновити та покращити роботу Комунального Закладу «Сєвєродонецька художня школа» для надання широкого спектру послуг, пов’язаних із якістю початкової мистецької освіти та задоволення</w:t>
            </w:r>
            <w:r w:rsidR="00BE727B" w:rsidRPr="002045F5">
              <w:rPr>
                <w:sz w:val="22"/>
              </w:rPr>
              <w:t>м</w:t>
            </w:r>
            <w:r w:rsidRPr="002045F5">
              <w:rPr>
                <w:sz w:val="22"/>
              </w:rPr>
              <w:t xml:space="preserve"> потреб мешканців Сєвєродонецької міської територіальної громади у необхідних послугах (або створенні умов для реалізації індивідуальних освітніх траєкторій </w:t>
            </w:r>
            <w:r w:rsidRPr="002045F5">
              <w:rPr>
                <w:sz w:val="22"/>
              </w:rPr>
              <w:lastRenderedPageBreak/>
              <w:t xml:space="preserve">здобувачів в межах освітніх програм, набуття ними відповідних </w:t>
            </w:r>
            <w:proofErr w:type="spellStart"/>
            <w:r w:rsidRPr="002045F5">
              <w:rPr>
                <w:sz w:val="22"/>
              </w:rPr>
              <w:t>компетентностей</w:t>
            </w:r>
            <w:proofErr w:type="spellEnd"/>
            <w:r w:rsidRPr="002045F5">
              <w:rPr>
                <w:sz w:val="22"/>
              </w:rPr>
              <w:t>).</w:t>
            </w:r>
          </w:p>
        </w:tc>
      </w:tr>
      <w:tr w:rsidR="00E95FB1" w:rsidRPr="002045F5" w:rsidTr="001B3967">
        <w:tc>
          <w:tcPr>
            <w:tcW w:w="2836" w:type="dxa"/>
            <w:shd w:val="clear" w:color="auto" w:fill="C6D9F1" w:themeFill="text2" w:themeFillTint="33"/>
          </w:tcPr>
          <w:p w:rsidR="00E95FB1" w:rsidRPr="002045F5" w:rsidRDefault="00E95FB1" w:rsidP="001B3967">
            <w:pPr>
              <w:pStyle w:val="a7"/>
              <w:ind w:left="0"/>
              <w:rPr>
                <w:b/>
                <w:sz w:val="22"/>
              </w:rPr>
            </w:pPr>
            <w:r w:rsidRPr="002045F5">
              <w:rPr>
                <w:b/>
                <w:sz w:val="22"/>
              </w:rPr>
              <w:lastRenderedPageBreak/>
              <w:t>Територія, на яку матиме вплив реалізація проекту</w:t>
            </w:r>
          </w:p>
        </w:tc>
        <w:tc>
          <w:tcPr>
            <w:tcW w:w="7087" w:type="dxa"/>
            <w:gridSpan w:val="7"/>
          </w:tcPr>
          <w:p w:rsidR="00E95FB1" w:rsidRPr="002045F5" w:rsidRDefault="00E95FB1" w:rsidP="001B3967">
            <w:pPr>
              <w:pStyle w:val="a7"/>
              <w:ind w:left="0"/>
              <w:rPr>
                <w:sz w:val="22"/>
              </w:rPr>
            </w:pPr>
            <w:r w:rsidRPr="002045F5">
              <w:rPr>
                <w:sz w:val="22"/>
              </w:rPr>
              <w:t>Сєвєродонецька міська територіальна громада</w:t>
            </w:r>
          </w:p>
        </w:tc>
      </w:tr>
      <w:tr w:rsidR="00E95FB1" w:rsidRPr="002045F5" w:rsidTr="001B3967">
        <w:tc>
          <w:tcPr>
            <w:tcW w:w="2836" w:type="dxa"/>
            <w:shd w:val="clear" w:color="auto" w:fill="C6D9F1" w:themeFill="text2" w:themeFillTint="33"/>
          </w:tcPr>
          <w:p w:rsidR="00E95FB1" w:rsidRPr="002045F5" w:rsidRDefault="00E95FB1" w:rsidP="001B3967">
            <w:pPr>
              <w:pStyle w:val="a7"/>
              <w:ind w:left="0"/>
              <w:rPr>
                <w:b/>
                <w:sz w:val="22"/>
              </w:rPr>
            </w:pPr>
            <w:r w:rsidRPr="002045F5">
              <w:rPr>
                <w:b/>
                <w:sz w:val="22"/>
              </w:rPr>
              <w:t>Чисельність населення, на яке матиме вплив реалізація проекту</w:t>
            </w:r>
          </w:p>
        </w:tc>
        <w:tc>
          <w:tcPr>
            <w:tcW w:w="7087" w:type="dxa"/>
            <w:gridSpan w:val="7"/>
          </w:tcPr>
          <w:p w:rsidR="00E95FB1" w:rsidRPr="002045F5" w:rsidRDefault="00E95FB1" w:rsidP="001B3967">
            <w:pPr>
              <w:pStyle w:val="a7"/>
              <w:ind w:left="0"/>
              <w:rPr>
                <w:sz w:val="22"/>
              </w:rPr>
            </w:pPr>
          </w:p>
          <w:p w:rsidR="00E95FB1" w:rsidRPr="002045F5" w:rsidRDefault="00E95FB1" w:rsidP="001B3967">
            <w:pPr>
              <w:pStyle w:val="a7"/>
              <w:ind w:left="0"/>
              <w:rPr>
                <w:b/>
                <w:sz w:val="22"/>
              </w:rPr>
            </w:pPr>
            <w:r w:rsidRPr="002045F5">
              <w:rPr>
                <w:sz w:val="22"/>
              </w:rPr>
              <w:t>110 000</w:t>
            </w:r>
          </w:p>
        </w:tc>
      </w:tr>
      <w:tr w:rsidR="00E95FB1" w:rsidRPr="002045F5" w:rsidTr="001B3967">
        <w:tc>
          <w:tcPr>
            <w:tcW w:w="2836" w:type="dxa"/>
            <w:shd w:val="clear" w:color="auto" w:fill="C6D9F1" w:themeFill="text2" w:themeFillTint="33"/>
          </w:tcPr>
          <w:p w:rsidR="00E95FB1" w:rsidRPr="002045F5" w:rsidRDefault="00E95FB1" w:rsidP="001B3967">
            <w:pPr>
              <w:rPr>
                <w:b/>
                <w:sz w:val="22"/>
              </w:rPr>
            </w:pPr>
            <w:r w:rsidRPr="002045F5">
              <w:rPr>
                <w:b/>
                <w:sz w:val="22"/>
              </w:rPr>
              <w:t>Опис проблеми, на вирішення якої  спрямований проект</w:t>
            </w:r>
          </w:p>
        </w:tc>
        <w:tc>
          <w:tcPr>
            <w:tcW w:w="7087" w:type="dxa"/>
            <w:gridSpan w:val="7"/>
          </w:tcPr>
          <w:p w:rsidR="00E95FB1" w:rsidRPr="002045F5" w:rsidRDefault="00E95FB1" w:rsidP="001B3967">
            <w:pPr>
              <w:ind w:firstLine="308"/>
              <w:rPr>
                <w:sz w:val="22"/>
              </w:rPr>
            </w:pPr>
            <w:r w:rsidRPr="002045F5">
              <w:rPr>
                <w:sz w:val="22"/>
              </w:rPr>
              <w:t>Через військову агресію РФ територія Сєвєродонецької міської територіальної громади зазнала значних пошкоджень. Не оминуло це і Комунальний Заклад  «Сєвєродонецька художня школа».</w:t>
            </w:r>
          </w:p>
          <w:p w:rsidR="00E95FB1" w:rsidRPr="002045F5" w:rsidRDefault="00E95FB1" w:rsidP="001B3967">
            <w:pPr>
              <w:ind w:firstLine="308"/>
              <w:rPr>
                <w:sz w:val="22"/>
              </w:rPr>
            </w:pPr>
            <w:r w:rsidRPr="002045F5">
              <w:rPr>
                <w:sz w:val="22"/>
              </w:rPr>
              <w:t>Вся матеріально-технічна база потребує забезпечення</w:t>
            </w:r>
            <w:r w:rsidR="00BD2666" w:rsidRPr="002045F5">
              <w:rPr>
                <w:sz w:val="22"/>
              </w:rPr>
              <w:t>,</w:t>
            </w:r>
            <w:r w:rsidRPr="002045F5">
              <w:rPr>
                <w:sz w:val="22"/>
              </w:rPr>
              <w:t xml:space="preserve"> необхідного для діяльності закладу, зокрема:</w:t>
            </w:r>
          </w:p>
          <w:p w:rsidR="00E95FB1" w:rsidRPr="002045F5" w:rsidRDefault="00E95FB1" w:rsidP="000303D7">
            <w:pPr>
              <w:numPr>
                <w:ilvl w:val="0"/>
                <w:numId w:val="9"/>
              </w:numPr>
              <w:tabs>
                <w:tab w:val="clear" w:pos="1068"/>
                <w:tab w:val="num" w:pos="591"/>
              </w:tabs>
              <w:ind w:left="24" w:firstLine="308"/>
              <w:rPr>
                <w:sz w:val="22"/>
              </w:rPr>
            </w:pPr>
            <w:r w:rsidRPr="002045F5">
              <w:rPr>
                <w:sz w:val="22"/>
              </w:rPr>
              <w:t>обладнання (устаткування);</w:t>
            </w:r>
          </w:p>
          <w:p w:rsidR="00E95FB1" w:rsidRPr="002045F5" w:rsidRDefault="00E95FB1" w:rsidP="000303D7">
            <w:pPr>
              <w:numPr>
                <w:ilvl w:val="0"/>
                <w:numId w:val="9"/>
              </w:numPr>
              <w:tabs>
                <w:tab w:val="clear" w:pos="1068"/>
                <w:tab w:val="num" w:pos="591"/>
              </w:tabs>
              <w:ind w:left="24" w:firstLine="308"/>
              <w:rPr>
                <w:sz w:val="22"/>
              </w:rPr>
            </w:pPr>
            <w:r w:rsidRPr="002045F5">
              <w:rPr>
                <w:sz w:val="22"/>
              </w:rPr>
              <w:t>обчислювальна техніка із відповідним програмним забезпеченням;</w:t>
            </w:r>
          </w:p>
          <w:p w:rsidR="00E95FB1" w:rsidRPr="002045F5" w:rsidRDefault="00E95FB1" w:rsidP="000303D7">
            <w:pPr>
              <w:numPr>
                <w:ilvl w:val="0"/>
                <w:numId w:val="9"/>
              </w:numPr>
              <w:tabs>
                <w:tab w:val="clear" w:pos="1068"/>
                <w:tab w:val="num" w:pos="591"/>
              </w:tabs>
              <w:ind w:left="24" w:firstLine="308"/>
              <w:rPr>
                <w:sz w:val="22"/>
              </w:rPr>
            </w:pPr>
            <w:r w:rsidRPr="002045F5">
              <w:rPr>
                <w:sz w:val="22"/>
              </w:rPr>
              <w:t>інша оргтехніка (монітори, комп’ютери, принтери, сканери,</w:t>
            </w:r>
            <w:r w:rsidR="00BD2666" w:rsidRPr="002045F5">
              <w:rPr>
                <w:sz w:val="22"/>
              </w:rPr>
              <w:t xml:space="preserve"> </w:t>
            </w:r>
            <w:r w:rsidRPr="002045F5">
              <w:rPr>
                <w:sz w:val="22"/>
              </w:rPr>
              <w:t>інтерактивні дошки);</w:t>
            </w:r>
          </w:p>
          <w:p w:rsidR="00E95FB1" w:rsidRPr="002045F5" w:rsidRDefault="00E95FB1" w:rsidP="000303D7">
            <w:pPr>
              <w:pStyle w:val="13"/>
              <w:numPr>
                <w:ilvl w:val="0"/>
                <w:numId w:val="9"/>
              </w:numPr>
              <w:tabs>
                <w:tab w:val="clear" w:pos="1068"/>
                <w:tab w:val="num" w:pos="591"/>
              </w:tabs>
              <w:ind w:left="24" w:firstLine="308"/>
              <w:jc w:val="both"/>
              <w:rPr>
                <w:sz w:val="22"/>
                <w:lang w:val="uk-UA"/>
              </w:rPr>
            </w:pPr>
            <w:r w:rsidRPr="002045F5">
              <w:rPr>
                <w:sz w:val="22"/>
                <w:lang w:val="uk-UA"/>
              </w:rPr>
              <w:t>основні засоби (офісні меблі, сейф, музичні інструменти, бібліотечний нотний фонд, концертне обладнання) були знищені або викрадені.</w:t>
            </w:r>
          </w:p>
          <w:p w:rsidR="00E95FB1" w:rsidRPr="002045F5" w:rsidRDefault="00E95FB1" w:rsidP="001B3967">
            <w:pPr>
              <w:pStyle w:val="13"/>
              <w:ind w:firstLine="308"/>
              <w:jc w:val="both"/>
              <w:rPr>
                <w:sz w:val="22"/>
                <w:lang w:val="uk-UA"/>
              </w:rPr>
            </w:pPr>
            <w:r w:rsidRPr="002045F5">
              <w:rPr>
                <w:rFonts w:eastAsia="Arial"/>
                <w:sz w:val="22"/>
                <w:lang w:val="uk-UA"/>
              </w:rPr>
              <w:t xml:space="preserve"> Для відбудови та сталого розвитку громади потрібне відновлення роботи мережі</w:t>
            </w:r>
            <w:r w:rsidRPr="002045F5">
              <w:rPr>
                <w:rFonts w:eastAsia="Arial"/>
                <w:color w:val="FF0000"/>
                <w:sz w:val="22"/>
                <w:lang w:val="uk-UA"/>
              </w:rPr>
              <w:t xml:space="preserve"> </w:t>
            </w:r>
            <w:r w:rsidRPr="002045F5">
              <w:rPr>
                <w:rFonts w:eastAsia="Arial"/>
                <w:sz w:val="22"/>
                <w:lang w:val="uk-UA"/>
              </w:rPr>
              <w:t xml:space="preserve">закладів позашкільної освіти, а саме </w:t>
            </w:r>
            <w:r w:rsidRPr="002045F5">
              <w:rPr>
                <w:sz w:val="22"/>
                <w:lang w:val="uk-UA"/>
              </w:rPr>
              <w:t xml:space="preserve">Комунального Закладу  «Сєвєродонецька художня школа». </w:t>
            </w:r>
            <w:r w:rsidRPr="002045F5">
              <w:rPr>
                <w:rFonts w:eastAsia="Arial"/>
                <w:sz w:val="22"/>
                <w:lang w:val="uk-UA"/>
              </w:rPr>
              <w:t xml:space="preserve">Мешканці громади потребують в отриманні якісних освітніх послуг, які відповідають нормам сучасності. </w:t>
            </w:r>
          </w:p>
        </w:tc>
      </w:tr>
      <w:tr w:rsidR="00E95FB1" w:rsidRPr="002045F5" w:rsidTr="001B3967">
        <w:tc>
          <w:tcPr>
            <w:tcW w:w="2836" w:type="dxa"/>
            <w:shd w:val="clear" w:color="auto" w:fill="C6D9F1" w:themeFill="text2" w:themeFillTint="33"/>
          </w:tcPr>
          <w:p w:rsidR="00E95FB1" w:rsidRPr="002045F5" w:rsidRDefault="00E95FB1" w:rsidP="001B3967">
            <w:pPr>
              <w:pStyle w:val="a7"/>
              <w:ind w:left="0"/>
              <w:rPr>
                <w:b/>
                <w:sz w:val="22"/>
              </w:rPr>
            </w:pPr>
            <w:r w:rsidRPr="002045F5">
              <w:rPr>
                <w:b/>
                <w:sz w:val="22"/>
              </w:rPr>
              <w:t>Очікувані якісні результати від реалізації проекту</w:t>
            </w:r>
          </w:p>
        </w:tc>
        <w:tc>
          <w:tcPr>
            <w:tcW w:w="7087" w:type="dxa"/>
            <w:gridSpan w:val="7"/>
          </w:tcPr>
          <w:p w:rsidR="00E95FB1" w:rsidRPr="002045F5" w:rsidRDefault="00E95FB1" w:rsidP="001B3967">
            <w:pPr>
              <w:pStyle w:val="af7"/>
              <w:rPr>
                <w:color w:val="000000" w:themeColor="text1"/>
                <w:sz w:val="22"/>
              </w:rPr>
            </w:pPr>
            <w:r w:rsidRPr="002045F5">
              <w:rPr>
                <w:sz w:val="22"/>
              </w:rPr>
              <w:t>- забезпечення населення можливостями для реалізації його конституційних прав, пов’язаних із</w:t>
            </w:r>
            <w:r w:rsidRPr="002045F5">
              <w:rPr>
                <w:b/>
                <w:sz w:val="22"/>
              </w:rPr>
              <w:t xml:space="preserve"> </w:t>
            </w:r>
            <w:r w:rsidRPr="002045F5">
              <w:rPr>
                <w:rStyle w:val="10"/>
                <w:b w:val="0"/>
                <w:color w:val="000000" w:themeColor="text1"/>
                <w:sz w:val="22"/>
              </w:rPr>
              <w:t>правом на позашкільну освіту</w:t>
            </w:r>
            <w:r w:rsidRPr="002045F5">
              <w:rPr>
                <w:sz w:val="22"/>
              </w:rPr>
              <w:t>;</w:t>
            </w:r>
          </w:p>
          <w:p w:rsidR="00E95FB1" w:rsidRPr="002045F5" w:rsidRDefault="00E95FB1" w:rsidP="001B3967">
            <w:pPr>
              <w:pStyle w:val="a7"/>
              <w:ind w:left="0"/>
              <w:rPr>
                <w:sz w:val="22"/>
              </w:rPr>
            </w:pPr>
            <w:r w:rsidRPr="002045F5">
              <w:rPr>
                <w:sz w:val="22"/>
              </w:rPr>
              <w:t xml:space="preserve">- надання широкого спектру мистецьких послуг, пов’язаних із </w:t>
            </w:r>
            <w:r w:rsidRPr="002045F5">
              <w:rPr>
                <w:rStyle w:val="10"/>
                <w:b w:val="0"/>
                <w:color w:val="000000" w:themeColor="text1"/>
                <w:sz w:val="22"/>
              </w:rPr>
              <w:t>можливостями доступу людини до духовних цінностей свого народу (нації) та всього людства</w:t>
            </w:r>
            <w:r w:rsidRPr="002045F5">
              <w:rPr>
                <w:sz w:val="22"/>
              </w:rPr>
              <w:t xml:space="preserve">; </w:t>
            </w:r>
            <w:r w:rsidRPr="002045F5">
              <w:rPr>
                <w:rStyle w:val="10"/>
                <w:b w:val="0"/>
                <w:color w:val="000000" w:themeColor="text1"/>
                <w:sz w:val="22"/>
              </w:rPr>
              <w:t xml:space="preserve">розвитку української нації, її історичної свідомості, традицій і культури, а також розвитку етнічної, культурної, </w:t>
            </w:r>
            <w:proofErr w:type="spellStart"/>
            <w:r w:rsidRPr="002045F5">
              <w:rPr>
                <w:rStyle w:val="10"/>
                <w:b w:val="0"/>
                <w:color w:val="000000" w:themeColor="text1"/>
                <w:sz w:val="22"/>
              </w:rPr>
              <w:t>мовної</w:t>
            </w:r>
            <w:proofErr w:type="spellEnd"/>
            <w:r w:rsidRPr="002045F5">
              <w:rPr>
                <w:rStyle w:val="10"/>
                <w:b w:val="0"/>
                <w:color w:val="000000" w:themeColor="text1"/>
                <w:sz w:val="22"/>
              </w:rPr>
              <w:t xml:space="preserve"> та релігійної самобутності всіх корінних народів і національних меншин України;</w:t>
            </w:r>
          </w:p>
          <w:p w:rsidR="00E95FB1" w:rsidRPr="002045F5" w:rsidRDefault="00E95FB1" w:rsidP="001B3967">
            <w:pPr>
              <w:pStyle w:val="a7"/>
              <w:ind w:left="0"/>
              <w:rPr>
                <w:sz w:val="22"/>
              </w:rPr>
            </w:pPr>
            <w:r w:rsidRPr="002045F5">
              <w:rPr>
                <w:sz w:val="22"/>
              </w:rPr>
              <w:t>- вирішення ряду питань в межах статутної діяльності, пов’язаних із відбудовою та сталим розвитком громади;</w:t>
            </w:r>
          </w:p>
          <w:p w:rsidR="00E95FB1" w:rsidRPr="002045F5" w:rsidRDefault="00E95FB1" w:rsidP="001B3967">
            <w:pPr>
              <w:widowControl w:val="0"/>
              <w:shd w:val="clear" w:color="auto" w:fill="FFFFFF"/>
              <w:suppressAutoHyphens/>
              <w:rPr>
                <w:sz w:val="22"/>
              </w:rPr>
            </w:pPr>
            <w:r w:rsidRPr="002045F5">
              <w:rPr>
                <w:sz w:val="22"/>
              </w:rPr>
              <w:t xml:space="preserve">- створення умов  для реалізації індивідуальних освітніх траєкторій здобувачів в межах освітніх програм, набуття ними відповідних </w:t>
            </w:r>
            <w:proofErr w:type="spellStart"/>
            <w:r w:rsidRPr="002045F5">
              <w:rPr>
                <w:sz w:val="22"/>
              </w:rPr>
              <w:t>компетентностей</w:t>
            </w:r>
            <w:proofErr w:type="spellEnd"/>
            <w:r w:rsidRPr="002045F5">
              <w:rPr>
                <w:sz w:val="22"/>
              </w:rPr>
              <w:t>;</w:t>
            </w:r>
          </w:p>
          <w:p w:rsidR="00E95FB1" w:rsidRPr="002045F5" w:rsidRDefault="00E95FB1" w:rsidP="001B3967">
            <w:pPr>
              <w:pStyle w:val="a7"/>
              <w:ind w:left="0"/>
              <w:rPr>
                <w:sz w:val="22"/>
              </w:rPr>
            </w:pPr>
            <w:r w:rsidRPr="002045F5">
              <w:rPr>
                <w:sz w:val="22"/>
              </w:rPr>
              <w:t>- стимул до повернення ВПО до громади.</w:t>
            </w:r>
          </w:p>
        </w:tc>
      </w:tr>
      <w:tr w:rsidR="00E95FB1" w:rsidRPr="002045F5" w:rsidTr="001B3967">
        <w:trPr>
          <w:trHeight w:val="390"/>
        </w:trPr>
        <w:tc>
          <w:tcPr>
            <w:tcW w:w="2836" w:type="dxa"/>
            <w:vMerge w:val="restart"/>
            <w:shd w:val="clear" w:color="auto" w:fill="C6D9F1" w:themeFill="text2" w:themeFillTint="33"/>
          </w:tcPr>
          <w:p w:rsidR="00E95FB1" w:rsidRPr="002045F5" w:rsidRDefault="00E95FB1" w:rsidP="001B3967">
            <w:pPr>
              <w:pStyle w:val="a7"/>
              <w:ind w:left="0"/>
              <w:rPr>
                <w:b/>
                <w:sz w:val="22"/>
              </w:rPr>
            </w:pPr>
            <w:r w:rsidRPr="002045F5">
              <w:rPr>
                <w:b/>
                <w:sz w:val="22"/>
              </w:rPr>
              <w:t xml:space="preserve">Очікувані кількісні результати реалізації </w:t>
            </w:r>
            <w:proofErr w:type="spellStart"/>
            <w:r w:rsidRPr="002045F5">
              <w:rPr>
                <w:b/>
                <w:sz w:val="22"/>
              </w:rPr>
              <w:t>проєкту</w:t>
            </w:r>
            <w:proofErr w:type="spellEnd"/>
            <w:r w:rsidRPr="002045F5">
              <w:rPr>
                <w:b/>
                <w:sz w:val="22"/>
              </w:rPr>
              <w:t xml:space="preserve"> (індикатори)</w:t>
            </w:r>
          </w:p>
          <w:p w:rsidR="00E95FB1" w:rsidRPr="002045F5" w:rsidRDefault="00E95FB1" w:rsidP="001B3967">
            <w:pPr>
              <w:pStyle w:val="a7"/>
              <w:ind w:left="0"/>
              <w:rPr>
                <w:b/>
                <w:sz w:val="22"/>
              </w:rPr>
            </w:pPr>
          </w:p>
        </w:tc>
        <w:tc>
          <w:tcPr>
            <w:tcW w:w="3545" w:type="dxa"/>
            <w:gridSpan w:val="3"/>
          </w:tcPr>
          <w:p w:rsidR="00E95FB1" w:rsidRPr="002045F5" w:rsidRDefault="00E95FB1" w:rsidP="001B3967">
            <w:pPr>
              <w:pStyle w:val="a7"/>
              <w:ind w:left="-108"/>
              <w:jc w:val="center"/>
              <w:rPr>
                <w:b/>
                <w:sz w:val="22"/>
              </w:rPr>
            </w:pPr>
            <w:r w:rsidRPr="002045F5">
              <w:rPr>
                <w:b/>
                <w:sz w:val="22"/>
              </w:rPr>
              <w:t>Найменування показника</w:t>
            </w:r>
          </w:p>
        </w:tc>
        <w:tc>
          <w:tcPr>
            <w:tcW w:w="1701" w:type="dxa"/>
            <w:gridSpan w:val="2"/>
          </w:tcPr>
          <w:p w:rsidR="00E95FB1" w:rsidRPr="002045F5" w:rsidRDefault="00E95FB1" w:rsidP="001B3967">
            <w:pPr>
              <w:pStyle w:val="a7"/>
              <w:ind w:left="0"/>
              <w:jc w:val="center"/>
              <w:rPr>
                <w:b/>
                <w:sz w:val="22"/>
              </w:rPr>
            </w:pPr>
            <w:r w:rsidRPr="002045F5">
              <w:rPr>
                <w:b/>
                <w:sz w:val="22"/>
              </w:rPr>
              <w:t>Одиниця вимірювання</w:t>
            </w:r>
          </w:p>
          <w:p w:rsidR="00E95FB1" w:rsidRPr="002045F5" w:rsidRDefault="00E95FB1" w:rsidP="001B3967">
            <w:pPr>
              <w:pStyle w:val="a7"/>
              <w:ind w:left="0"/>
              <w:rPr>
                <w:b/>
                <w:sz w:val="22"/>
              </w:rPr>
            </w:pPr>
          </w:p>
        </w:tc>
        <w:tc>
          <w:tcPr>
            <w:tcW w:w="1841" w:type="dxa"/>
            <w:gridSpan w:val="2"/>
          </w:tcPr>
          <w:p w:rsidR="00E95FB1" w:rsidRPr="002045F5" w:rsidRDefault="00E95FB1" w:rsidP="001B3967">
            <w:pPr>
              <w:pStyle w:val="a7"/>
              <w:ind w:left="0"/>
              <w:jc w:val="center"/>
              <w:rPr>
                <w:b/>
                <w:sz w:val="22"/>
              </w:rPr>
            </w:pPr>
            <w:r w:rsidRPr="002045F5">
              <w:rPr>
                <w:b/>
                <w:sz w:val="22"/>
              </w:rPr>
              <w:t>Прогнозне (цільове) значення</w:t>
            </w:r>
          </w:p>
        </w:tc>
      </w:tr>
      <w:tr w:rsidR="00E95FB1" w:rsidRPr="002045F5" w:rsidTr="001B3967">
        <w:trPr>
          <w:trHeight w:val="585"/>
        </w:trPr>
        <w:tc>
          <w:tcPr>
            <w:tcW w:w="2836" w:type="dxa"/>
            <w:vMerge/>
            <w:shd w:val="clear" w:color="auto" w:fill="C6D9F1" w:themeFill="text2" w:themeFillTint="33"/>
          </w:tcPr>
          <w:p w:rsidR="00E95FB1" w:rsidRPr="002045F5" w:rsidRDefault="00E95FB1" w:rsidP="001B3967">
            <w:pPr>
              <w:pStyle w:val="a7"/>
              <w:ind w:left="0"/>
              <w:rPr>
                <w:b/>
                <w:sz w:val="22"/>
              </w:rPr>
            </w:pPr>
          </w:p>
        </w:tc>
        <w:tc>
          <w:tcPr>
            <w:tcW w:w="3545" w:type="dxa"/>
            <w:gridSpan w:val="3"/>
          </w:tcPr>
          <w:p w:rsidR="00E95FB1" w:rsidRPr="002045F5" w:rsidRDefault="00E95FB1" w:rsidP="001B3967">
            <w:pPr>
              <w:pStyle w:val="a7"/>
              <w:ind w:left="0"/>
              <w:rPr>
                <w:sz w:val="22"/>
              </w:rPr>
            </w:pPr>
            <w:r w:rsidRPr="002045F5">
              <w:rPr>
                <w:sz w:val="22"/>
              </w:rPr>
              <w:t>Кількість учнів</w:t>
            </w:r>
            <w:r w:rsidR="003C6BED" w:rsidRPr="002045F5">
              <w:rPr>
                <w:sz w:val="22"/>
              </w:rPr>
              <w:t>,</w:t>
            </w:r>
            <w:r w:rsidRPr="002045F5">
              <w:rPr>
                <w:sz w:val="22"/>
              </w:rPr>
              <w:t xml:space="preserve"> які навчались протягом  року</w:t>
            </w:r>
          </w:p>
        </w:tc>
        <w:tc>
          <w:tcPr>
            <w:tcW w:w="1701" w:type="dxa"/>
            <w:gridSpan w:val="2"/>
            <w:vAlign w:val="center"/>
          </w:tcPr>
          <w:p w:rsidR="00E95FB1" w:rsidRPr="002045F5" w:rsidRDefault="00E95FB1" w:rsidP="001B3967">
            <w:pPr>
              <w:pStyle w:val="a7"/>
              <w:ind w:left="0"/>
              <w:jc w:val="center"/>
              <w:rPr>
                <w:sz w:val="22"/>
              </w:rPr>
            </w:pPr>
            <w:r w:rsidRPr="002045F5">
              <w:rPr>
                <w:sz w:val="22"/>
              </w:rPr>
              <w:t>осіб</w:t>
            </w:r>
          </w:p>
        </w:tc>
        <w:tc>
          <w:tcPr>
            <w:tcW w:w="1841" w:type="dxa"/>
            <w:gridSpan w:val="2"/>
            <w:vAlign w:val="center"/>
          </w:tcPr>
          <w:p w:rsidR="00E95FB1" w:rsidRPr="002045F5" w:rsidRDefault="00E95FB1" w:rsidP="001B3967">
            <w:pPr>
              <w:pStyle w:val="a7"/>
              <w:ind w:left="0"/>
              <w:jc w:val="center"/>
              <w:rPr>
                <w:sz w:val="22"/>
              </w:rPr>
            </w:pPr>
            <w:r w:rsidRPr="002045F5">
              <w:rPr>
                <w:sz w:val="22"/>
              </w:rPr>
              <w:t>269</w:t>
            </w:r>
          </w:p>
        </w:tc>
      </w:tr>
      <w:tr w:rsidR="00E95FB1" w:rsidRPr="002045F5" w:rsidTr="001B3967">
        <w:trPr>
          <w:trHeight w:val="184"/>
        </w:trPr>
        <w:tc>
          <w:tcPr>
            <w:tcW w:w="2836" w:type="dxa"/>
            <w:vMerge/>
            <w:shd w:val="clear" w:color="auto" w:fill="C6D9F1" w:themeFill="text2" w:themeFillTint="33"/>
          </w:tcPr>
          <w:p w:rsidR="00E95FB1" w:rsidRPr="002045F5" w:rsidRDefault="00E95FB1" w:rsidP="001B3967">
            <w:pPr>
              <w:pStyle w:val="a7"/>
              <w:ind w:left="0"/>
              <w:rPr>
                <w:b/>
                <w:sz w:val="22"/>
              </w:rPr>
            </w:pPr>
          </w:p>
        </w:tc>
        <w:tc>
          <w:tcPr>
            <w:tcW w:w="3545" w:type="dxa"/>
            <w:gridSpan w:val="3"/>
          </w:tcPr>
          <w:p w:rsidR="00E95FB1" w:rsidRPr="002045F5" w:rsidRDefault="00E95FB1" w:rsidP="003C6BED">
            <w:pPr>
              <w:pStyle w:val="a7"/>
              <w:ind w:left="0"/>
              <w:rPr>
                <w:sz w:val="22"/>
              </w:rPr>
            </w:pPr>
            <w:r w:rsidRPr="002045F5">
              <w:rPr>
                <w:sz w:val="22"/>
              </w:rPr>
              <w:t>Кількість фізичних осіб, які відвідували заходи протягом  року</w:t>
            </w:r>
          </w:p>
        </w:tc>
        <w:tc>
          <w:tcPr>
            <w:tcW w:w="1701" w:type="dxa"/>
            <w:gridSpan w:val="2"/>
            <w:vAlign w:val="center"/>
          </w:tcPr>
          <w:p w:rsidR="00E95FB1" w:rsidRPr="002045F5" w:rsidRDefault="00E95FB1" w:rsidP="001B3967">
            <w:pPr>
              <w:pStyle w:val="a7"/>
              <w:ind w:left="0"/>
              <w:jc w:val="center"/>
              <w:rPr>
                <w:sz w:val="22"/>
              </w:rPr>
            </w:pPr>
            <w:r w:rsidRPr="002045F5">
              <w:rPr>
                <w:sz w:val="22"/>
              </w:rPr>
              <w:t>осіб</w:t>
            </w:r>
          </w:p>
        </w:tc>
        <w:tc>
          <w:tcPr>
            <w:tcW w:w="1841" w:type="dxa"/>
            <w:gridSpan w:val="2"/>
            <w:vAlign w:val="center"/>
          </w:tcPr>
          <w:p w:rsidR="00E95FB1" w:rsidRPr="002045F5" w:rsidRDefault="00E95FB1" w:rsidP="001B3967">
            <w:pPr>
              <w:pStyle w:val="a7"/>
              <w:ind w:left="0"/>
              <w:jc w:val="center"/>
              <w:rPr>
                <w:sz w:val="22"/>
              </w:rPr>
            </w:pPr>
            <w:r w:rsidRPr="002045F5">
              <w:rPr>
                <w:sz w:val="22"/>
              </w:rPr>
              <w:t>21 110</w:t>
            </w:r>
          </w:p>
        </w:tc>
      </w:tr>
      <w:tr w:rsidR="00E95FB1" w:rsidRPr="002045F5" w:rsidTr="001B3967">
        <w:trPr>
          <w:trHeight w:val="184"/>
        </w:trPr>
        <w:tc>
          <w:tcPr>
            <w:tcW w:w="2836" w:type="dxa"/>
            <w:vMerge/>
            <w:shd w:val="clear" w:color="auto" w:fill="C6D9F1" w:themeFill="text2" w:themeFillTint="33"/>
          </w:tcPr>
          <w:p w:rsidR="00E95FB1" w:rsidRPr="002045F5" w:rsidRDefault="00E95FB1" w:rsidP="001B3967">
            <w:pPr>
              <w:pStyle w:val="a7"/>
              <w:ind w:left="0"/>
              <w:rPr>
                <w:b/>
                <w:sz w:val="22"/>
              </w:rPr>
            </w:pPr>
          </w:p>
        </w:tc>
        <w:tc>
          <w:tcPr>
            <w:tcW w:w="3545" w:type="dxa"/>
            <w:gridSpan w:val="3"/>
          </w:tcPr>
          <w:p w:rsidR="00E95FB1" w:rsidRPr="002045F5" w:rsidRDefault="00E95FB1" w:rsidP="001B3967">
            <w:pPr>
              <w:pStyle w:val="a7"/>
              <w:ind w:left="0"/>
              <w:rPr>
                <w:sz w:val="22"/>
              </w:rPr>
            </w:pPr>
            <w:r w:rsidRPr="002045F5">
              <w:rPr>
                <w:sz w:val="22"/>
              </w:rPr>
              <w:t>Кількість видів та типів послуг</w:t>
            </w:r>
            <w:r w:rsidR="003C6BED" w:rsidRPr="002045F5">
              <w:rPr>
                <w:sz w:val="22"/>
              </w:rPr>
              <w:t>,</w:t>
            </w:r>
            <w:r w:rsidRPr="002045F5">
              <w:rPr>
                <w:sz w:val="22"/>
              </w:rPr>
              <w:t xml:space="preserve"> наданих протягом одного робочого дня</w:t>
            </w:r>
          </w:p>
        </w:tc>
        <w:tc>
          <w:tcPr>
            <w:tcW w:w="1701" w:type="dxa"/>
            <w:gridSpan w:val="2"/>
            <w:vAlign w:val="center"/>
          </w:tcPr>
          <w:p w:rsidR="00E95FB1" w:rsidRPr="002045F5" w:rsidRDefault="00E95FB1" w:rsidP="001B3967">
            <w:pPr>
              <w:pStyle w:val="a7"/>
              <w:ind w:left="0"/>
              <w:jc w:val="center"/>
              <w:rPr>
                <w:sz w:val="22"/>
              </w:rPr>
            </w:pPr>
            <w:r w:rsidRPr="002045F5">
              <w:rPr>
                <w:sz w:val="22"/>
              </w:rPr>
              <w:t>одиниць</w:t>
            </w:r>
          </w:p>
        </w:tc>
        <w:tc>
          <w:tcPr>
            <w:tcW w:w="1841" w:type="dxa"/>
            <w:gridSpan w:val="2"/>
            <w:vAlign w:val="center"/>
          </w:tcPr>
          <w:p w:rsidR="00E95FB1" w:rsidRPr="002045F5" w:rsidRDefault="00E95FB1" w:rsidP="001B3967">
            <w:pPr>
              <w:pStyle w:val="a7"/>
              <w:tabs>
                <w:tab w:val="left" w:pos="435"/>
                <w:tab w:val="center" w:pos="765"/>
              </w:tabs>
              <w:ind w:left="0"/>
              <w:jc w:val="center"/>
              <w:rPr>
                <w:sz w:val="22"/>
              </w:rPr>
            </w:pPr>
            <w:r w:rsidRPr="002045F5">
              <w:rPr>
                <w:sz w:val="22"/>
              </w:rPr>
              <w:t>7</w:t>
            </w:r>
          </w:p>
        </w:tc>
      </w:tr>
      <w:tr w:rsidR="00E95FB1" w:rsidRPr="002045F5" w:rsidTr="001B3967">
        <w:trPr>
          <w:trHeight w:val="165"/>
        </w:trPr>
        <w:tc>
          <w:tcPr>
            <w:tcW w:w="2836" w:type="dxa"/>
            <w:vMerge/>
            <w:shd w:val="clear" w:color="auto" w:fill="C6D9F1" w:themeFill="text2" w:themeFillTint="33"/>
          </w:tcPr>
          <w:p w:rsidR="00E95FB1" w:rsidRPr="002045F5" w:rsidRDefault="00E95FB1" w:rsidP="001B3967">
            <w:pPr>
              <w:pStyle w:val="a7"/>
              <w:ind w:left="0"/>
              <w:rPr>
                <w:b/>
                <w:sz w:val="22"/>
              </w:rPr>
            </w:pPr>
          </w:p>
        </w:tc>
        <w:tc>
          <w:tcPr>
            <w:tcW w:w="3545" w:type="dxa"/>
            <w:gridSpan w:val="3"/>
          </w:tcPr>
          <w:p w:rsidR="00E95FB1" w:rsidRPr="002045F5" w:rsidRDefault="00E95FB1" w:rsidP="001B3967">
            <w:pPr>
              <w:pStyle w:val="a7"/>
              <w:ind w:left="0"/>
              <w:rPr>
                <w:sz w:val="22"/>
              </w:rPr>
            </w:pPr>
            <w:r w:rsidRPr="002045F5">
              <w:rPr>
                <w:sz w:val="22"/>
              </w:rPr>
              <w:t>Середня вартість послуг</w:t>
            </w:r>
          </w:p>
        </w:tc>
        <w:tc>
          <w:tcPr>
            <w:tcW w:w="1701" w:type="dxa"/>
            <w:gridSpan w:val="2"/>
            <w:vAlign w:val="center"/>
          </w:tcPr>
          <w:p w:rsidR="00E95FB1" w:rsidRPr="002045F5" w:rsidRDefault="00E95FB1" w:rsidP="001B3967">
            <w:pPr>
              <w:pStyle w:val="a7"/>
              <w:ind w:left="0"/>
              <w:jc w:val="center"/>
              <w:rPr>
                <w:sz w:val="22"/>
              </w:rPr>
            </w:pPr>
            <w:r w:rsidRPr="002045F5">
              <w:rPr>
                <w:sz w:val="22"/>
              </w:rPr>
              <w:t>грн</w:t>
            </w:r>
          </w:p>
        </w:tc>
        <w:tc>
          <w:tcPr>
            <w:tcW w:w="1841" w:type="dxa"/>
            <w:gridSpan w:val="2"/>
          </w:tcPr>
          <w:p w:rsidR="00E95FB1" w:rsidRPr="002045F5" w:rsidRDefault="00E95FB1" w:rsidP="001B3967">
            <w:pPr>
              <w:pStyle w:val="a7"/>
              <w:ind w:left="0"/>
              <w:jc w:val="center"/>
              <w:rPr>
                <w:sz w:val="22"/>
              </w:rPr>
            </w:pPr>
            <w:r w:rsidRPr="002045F5">
              <w:rPr>
                <w:sz w:val="22"/>
              </w:rPr>
              <w:t>безкоштовно</w:t>
            </w:r>
          </w:p>
        </w:tc>
      </w:tr>
      <w:tr w:rsidR="00E95FB1" w:rsidRPr="002045F5" w:rsidTr="001B3967">
        <w:trPr>
          <w:trHeight w:val="150"/>
        </w:trPr>
        <w:tc>
          <w:tcPr>
            <w:tcW w:w="2836" w:type="dxa"/>
            <w:vMerge/>
            <w:shd w:val="clear" w:color="auto" w:fill="C6D9F1" w:themeFill="text2" w:themeFillTint="33"/>
          </w:tcPr>
          <w:p w:rsidR="00E95FB1" w:rsidRPr="002045F5" w:rsidRDefault="00E95FB1" w:rsidP="001B3967">
            <w:pPr>
              <w:pStyle w:val="a7"/>
              <w:ind w:left="0"/>
              <w:rPr>
                <w:b/>
                <w:sz w:val="22"/>
              </w:rPr>
            </w:pPr>
          </w:p>
        </w:tc>
        <w:tc>
          <w:tcPr>
            <w:tcW w:w="3545" w:type="dxa"/>
            <w:gridSpan w:val="3"/>
          </w:tcPr>
          <w:p w:rsidR="00E95FB1" w:rsidRPr="002045F5" w:rsidRDefault="00E95FB1" w:rsidP="001B3967">
            <w:pPr>
              <w:pStyle w:val="a7"/>
              <w:ind w:left="0"/>
              <w:rPr>
                <w:sz w:val="22"/>
              </w:rPr>
            </w:pPr>
            <w:r w:rsidRPr="002045F5">
              <w:rPr>
                <w:sz w:val="22"/>
              </w:rPr>
              <w:t>Термін надання послуги навчання</w:t>
            </w:r>
          </w:p>
        </w:tc>
        <w:tc>
          <w:tcPr>
            <w:tcW w:w="1701" w:type="dxa"/>
            <w:gridSpan w:val="2"/>
            <w:vAlign w:val="center"/>
          </w:tcPr>
          <w:p w:rsidR="00E95FB1" w:rsidRPr="002045F5" w:rsidRDefault="00E95FB1" w:rsidP="001B3967">
            <w:pPr>
              <w:pStyle w:val="a7"/>
              <w:ind w:left="0"/>
              <w:jc w:val="center"/>
              <w:rPr>
                <w:sz w:val="22"/>
              </w:rPr>
            </w:pPr>
            <w:r w:rsidRPr="002045F5">
              <w:rPr>
                <w:sz w:val="22"/>
              </w:rPr>
              <w:t>років</w:t>
            </w:r>
          </w:p>
        </w:tc>
        <w:tc>
          <w:tcPr>
            <w:tcW w:w="1841" w:type="dxa"/>
            <w:gridSpan w:val="2"/>
          </w:tcPr>
          <w:p w:rsidR="00E95FB1" w:rsidRPr="002045F5" w:rsidRDefault="00E95FB1" w:rsidP="001B3967">
            <w:pPr>
              <w:pStyle w:val="a7"/>
              <w:ind w:left="0"/>
              <w:jc w:val="center"/>
              <w:rPr>
                <w:sz w:val="22"/>
              </w:rPr>
            </w:pPr>
            <w:r w:rsidRPr="002045F5">
              <w:rPr>
                <w:sz w:val="22"/>
              </w:rPr>
              <w:t>Від 4 до 11</w:t>
            </w:r>
          </w:p>
        </w:tc>
      </w:tr>
      <w:tr w:rsidR="00E95FB1" w:rsidRPr="002045F5" w:rsidTr="001B3967">
        <w:trPr>
          <w:trHeight w:val="150"/>
        </w:trPr>
        <w:tc>
          <w:tcPr>
            <w:tcW w:w="2836" w:type="dxa"/>
            <w:shd w:val="clear" w:color="auto" w:fill="C6D9F1" w:themeFill="text2" w:themeFillTint="33"/>
          </w:tcPr>
          <w:p w:rsidR="00E95FB1" w:rsidRPr="002045F5" w:rsidRDefault="00E95FB1" w:rsidP="001B3967">
            <w:pPr>
              <w:pStyle w:val="a7"/>
              <w:ind w:left="0"/>
              <w:rPr>
                <w:b/>
                <w:sz w:val="22"/>
              </w:rPr>
            </w:pPr>
          </w:p>
        </w:tc>
        <w:tc>
          <w:tcPr>
            <w:tcW w:w="3545" w:type="dxa"/>
            <w:gridSpan w:val="3"/>
          </w:tcPr>
          <w:p w:rsidR="00E95FB1" w:rsidRPr="002045F5" w:rsidRDefault="00E95FB1" w:rsidP="003C6BED">
            <w:pPr>
              <w:pStyle w:val="a7"/>
              <w:ind w:left="0"/>
              <w:rPr>
                <w:sz w:val="22"/>
              </w:rPr>
            </w:pPr>
            <w:r w:rsidRPr="002045F5">
              <w:rPr>
                <w:sz w:val="22"/>
              </w:rPr>
              <w:t>Кількість населених пунктів, як</w:t>
            </w:r>
            <w:r w:rsidR="003C6BED" w:rsidRPr="002045F5">
              <w:rPr>
                <w:sz w:val="22"/>
              </w:rPr>
              <w:t>і</w:t>
            </w:r>
            <w:r w:rsidRPr="002045F5">
              <w:rPr>
                <w:sz w:val="22"/>
              </w:rPr>
              <w:t xml:space="preserve"> обслуговує заклад</w:t>
            </w:r>
          </w:p>
        </w:tc>
        <w:tc>
          <w:tcPr>
            <w:tcW w:w="1701" w:type="dxa"/>
            <w:gridSpan w:val="2"/>
            <w:vAlign w:val="center"/>
          </w:tcPr>
          <w:p w:rsidR="00E95FB1" w:rsidRPr="002045F5" w:rsidRDefault="00E95FB1" w:rsidP="001B3967">
            <w:pPr>
              <w:pStyle w:val="a7"/>
              <w:ind w:left="0"/>
              <w:jc w:val="center"/>
              <w:rPr>
                <w:sz w:val="22"/>
              </w:rPr>
            </w:pPr>
            <w:r w:rsidRPr="002045F5">
              <w:rPr>
                <w:sz w:val="22"/>
              </w:rPr>
              <w:t>одиниць</w:t>
            </w:r>
          </w:p>
        </w:tc>
        <w:tc>
          <w:tcPr>
            <w:tcW w:w="1841" w:type="dxa"/>
            <w:gridSpan w:val="2"/>
            <w:vAlign w:val="center"/>
          </w:tcPr>
          <w:p w:rsidR="00E95FB1" w:rsidRPr="002045F5" w:rsidRDefault="00E95FB1" w:rsidP="001B3967">
            <w:pPr>
              <w:pStyle w:val="a7"/>
              <w:ind w:left="0"/>
              <w:jc w:val="center"/>
              <w:rPr>
                <w:sz w:val="22"/>
              </w:rPr>
            </w:pPr>
            <w:r w:rsidRPr="002045F5">
              <w:rPr>
                <w:sz w:val="22"/>
              </w:rPr>
              <w:t>20</w:t>
            </w:r>
          </w:p>
        </w:tc>
      </w:tr>
      <w:tr w:rsidR="00E95FB1" w:rsidRPr="002045F5" w:rsidTr="001B3967">
        <w:tc>
          <w:tcPr>
            <w:tcW w:w="2836" w:type="dxa"/>
            <w:shd w:val="clear" w:color="auto" w:fill="C6D9F1" w:themeFill="text2" w:themeFillTint="33"/>
          </w:tcPr>
          <w:p w:rsidR="00E95FB1" w:rsidRPr="002045F5" w:rsidRDefault="00E95FB1" w:rsidP="001B3967">
            <w:pPr>
              <w:rPr>
                <w:b/>
                <w:sz w:val="22"/>
              </w:rPr>
            </w:pPr>
            <w:r w:rsidRPr="002045F5">
              <w:rPr>
                <w:b/>
                <w:sz w:val="22"/>
              </w:rPr>
              <w:t xml:space="preserve">Ключові заходи проекту: </w:t>
            </w:r>
          </w:p>
          <w:p w:rsidR="00E95FB1" w:rsidRPr="002045F5" w:rsidRDefault="00E95FB1" w:rsidP="001B3967">
            <w:pPr>
              <w:pStyle w:val="a7"/>
              <w:ind w:left="0"/>
              <w:rPr>
                <w:b/>
                <w:sz w:val="22"/>
              </w:rPr>
            </w:pPr>
          </w:p>
        </w:tc>
        <w:tc>
          <w:tcPr>
            <w:tcW w:w="7087" w:type="dxa"/>
            <w:gridSpan w:val="7"/>
          </w:tcPr>
          <w:p w:rsidR="00E95FB1" w:rsidRPr="002045F5" w:rsidRDefault="00E95FB1" w:rsidP="001B3967">
            <w:pPr>
              <w:pStyle w:val="a7"/>
              <w:ind w:left="0"/>
              <w:rPr>
                <w:sz w:val="22"/>
              </w:rPr>
            </w:pPr>
            <w:r w:rsidRPr="002045F5">
              <w:rPr>
                <w:sz w:val="22"/>
              </w:rPr>
              <w:t>- проведення інвентаризації основних засобів;</w:t>
            </w:r>
          </w:p>
          <w:p w:rsidR="00E95FB1" w:rsidRPr="002045F5" w:rsidRDefault="00E95FB1" w:rsidP="001B3967">
            <w:pPr>
              <w:pStyle w:val="a7"/>
              <w:ind w:left="0"/>
              <w:rPr>
                <w:sz w:val="22"/>
              </w:rPr>
            </w:pPr>
            <w:r w:rsidRPr="002045F5">
              <w:rPr>
                <w:sz w:val="22"/>
              </w:rPr>
              <w:t xml:space="preserve">- визначення кількості осіб, які потребують отримання мистецьких послуг; </w:t>
            </w:r>
          </w:p>
          <w:p w:rsidR="00E95FB1" w:rsidRPr="002045F5" w:rsidRDefault="00E95FB1" w:rsidP="001B3967">
            <w:pPr>
              <w:pStyle w:val="a7"/>
              <w:ind w:left="0"/>
              <w:rPr>
                <w:sz w:val="22"/>
              </w:rPr>
            </w:pPr>
            <w:r w:rsidRPr="002045F5">
              <w:rPr>
                <w:sz w:val="22"/>
              </w:rPr>
              <w:lastRenderedPageBreak/>
              <w:t>- придбання технічного забезпечення закладу;</w:t>
            </w:r>
          </w:p>
          <w:p w:rsidR="00E95FB1" w:rsidRPr="002045F5" w:rsidRDefault="00E95FB1" w:rsidP="001B3967">
            <w:pPr>
              <w:pStyle w:val="a7"/>
              <w:ind w:left="0"/>
              <w:rPr>
                <w:sz w:val="22"/>
              </w:rPr>
            </w:pPr>
            <w:r w:rsidRPr="002045F5">
              <w:rPr>
                <w:sz w:val="22"/>
              </w:rPr>
              <w:t>- придбання технологічного забезпечення;</w:t>
            </w:r>
          </w:p>
          <w:p w:rsidR="00E95FB1" w:rsidRPr="002045F5" w:rsidRDefault="00E95FB1" w:rsidP="001B3967">
            <w:pPr>
              <w:pStyle w:val="a7"/>
              <w:ind w:left="0"/>
              <w:rPr>
                <w:sz w:val="22"/>
              </w:rPr>
            </w:pPr>
            <w:r w:rsidRPr="002045F5">
              <w:rPr>
                <w:sz w:val="22"/>
              </w:rPr>
              <w:t>- придбання художньо - інструментального забезпечення закладу;</w:t>
            </w:r>
          </w:p>
          <w:p w:rsidR="00E95FB1" w:rsidRPr="002045F5" w:rsidRDefault="00E95FB1" w:rsidP="001B3967">
            <w:pPr>
              <w:pStyle w:val="a7"/>
              <w:ind w:left="0"/>
              <w:rPr>
                <w:sz w:val="22"/>
              </w:rPr>
            </w:pPr>
            <w:r w:rsidRPr="002045F5">
              <w:rPr>
                <w:sz w:val="22"/>
              </w:rPr>
              <w:t>- організація та початок робочого процесу (навчання та проведення заходів).</w:t>
            </w:r>
          </w:p>
        </w:tc>
      </w:tr>
      <w:tr w:rsidR="00E95FB1" w:rsidRPr="002045F5" w:rsidTr="001B3967">
        <w:trPr>
          <w:trHeight w:val="360"/>
        </w:trPr>
        <w:tc>
          <w:tcPr>
            <w:tcW w:w="2836" w:type="dxa"/>
            <w:vMerge w:val="restart"/>
            <w:shd w:val="clear" w:color="auto" w:fill="C6D9F1" w:themeFill="text2" w:themeFillTint="33"/>
          </w:tcPr>
          <w:p w:rsidR="00E95FB1" w:rsidRPr="002045F5" w:rsidRDefault="00E95FB1" w:rsidP="001B3967">
            <w:pPr>
              <w:pStyle w:val="a7"/>
              <w:ind w:left="0"/>
              <w:rPr>
                <w:b/>
                <w:sz w:val="22"/>
              </w:rPr>
            </w:pPr>
            <w:r w:rsidRPr="002045F5">
              <w:rPr>
                <w:b/>
                <w:sz w:val="22"/>
              </w:rPr>
              <w:lastRenderedPageBreak/>
              <w:t xml:space="preserve">Орієнтовний обсяг та джерела фінансування, тис. грн. </w:t>
            </w:r>
          </w:p>
          <w:p w:rsidR="00E95FB1" w:rsidRPr="002045F5" w:rsidRDefault="00E95FB1" w:rsidP="001B3967">
            <w:pPr>
              <w:pStyle w:val="a7"/>
              <w:ind w:left="0"/>
              <w:rPr>
                <w:b/>
                <w:sz w:val="22"/>
              </w:rPr>
            </w:pPr>
          </w:p>
        </w:tc>
        <w:tc>
          <w:tcPr>
            <w:tcW w:w="1262" w:type="dxa"/>
          </w:tcPr>
          <w:p w:rsidR="00E95FB1" w:rsidRPr="002045F5" w:rsidRDefault="00E95FB1" w:rsidP="001B3967">
            <w:pPr>
              <w:pStyle w:val="a7"/>
              <w:ind w:left="0"/>
              <w:jc w:val="center"/>
              <w:rPr>
                <w:b/>
                <w:sz w:val="22"/>
              </w:rPr>
            </w:pPr>
            <w:r w:rsidRPr="002045F5">
              <w:rPr>
                <w:b/>
                <w:sz w:val="22"/>
              </w:rPr>
              <w:t>Державний бюджет</w:t>
            </w:r>
          </w:p>
        </w:tc>
        <w:tc>
          <w:tcPr>
            <w:tcW w:w="1330" w:type="dxa"/>
          </w:tcPr>
          <w:p w:rsidR="00E95FB1" w:rsidRPr="002045F5" w:rsidRDefault="00E95FB1" w:rsidP="001B3967">
            <w:pPr>
              <w:pStyle w:val="a7"/>
              <w:ind w:left="0"/>
              <w:jc w:val="center"/>
              <w:rPr>
                <w:b/>
                <w:sz w:val="22"/>
              </w:rPr>
            </w:pPr>
            <w:r w:rsidRPr="002045F5">
              <w:rPr>
                <w:b/>
                <w:sz w:val="22"/>
              </w:rPr>
              <w:t>Місцевий бюджет</w:t>
            </w:r>
          </w:p>
        </w:tc>
        <w:tc>
          <w:tcPr>
            <w:tcW w:w="2977" w:type="dxa"/>
            <w:gridSpan w:val="4"/>
          </w:tcPr>
          <w:p w:rsidR="00E95FB1" w:rsidRPr="002045F5" w:rsidRDefault="00E95FB1" w:rsidP="001B3967">
            <w:pPr>
              <w:pStyle w:val="a7"/>
              <w:ind w:left="0"/>
              <w:jc w:val="center"/>
              <w:rPr>
                <w:b/>
                <w:sz w:val="22"/>
              </w:rPr>
            </w:pPr>
            <w:r w:rsidRPr="002045F5">
              <w:rPr>
                <w:b/>
                <w:sz w:val="22"/>
              </w:rPr>
              <w:t>Інші джерела</w:t>
            </w:r>
          </w:p>
        </w:tc>
        <w:tc>
          <w:tcPr>
            <w:tcW w:w="1518" w:type="dxa"/>
          </w:tcPr>
          <w:p w:rsidR="00E95FB1" w:rsidRPr="002045F5" w:rsidRDefault="00E95FB1" w:rsidP="001B3967">
            <w:pPr>
              <w:pStyle w:val="a7"/>
              <w:ind w:left="0"/>
              <w:jc w:val="center"/>
              <w:rPr>
                <w:b/>
                <w:sz w:val="22"/>
              </w:rPr>
            </w:pPr>
            <w:r w:rsidRPr="002045F5">
              <w:rPr>
                <w:b/>
                <w:sz w:val="22"/>
              </w:rPr>
              <w:t>Всього</w:t>
            </w:r>
          </w:p>
          <w:p w:rsidR="00E95FB1" w:rsidRPr="002045F5" w:rsidRDefault="00E95FB1" w:rsidP="001B3967">
            <w:pPr>
              <w:ind w:left="-79"/>
              <w:rPr>
                <w:b/>
                <w:sz w:val="22"/>
              </w:rPr>
            </w:pPr>
            <w:r w:rsidRPr="002045F5">
              <w:rPr>
                <w:b/>
                <w:sz w:val="22"/>
              </w:rPr>
              <w:t>тис. грн.</w:t>
            </w:r>
          </w:p>
          <w:p w:rsidR="00E95FB1" w:rsidRPr="002045F5" w:rsidRDefault="00E95FB1" w:rsidP="001B3967">
            <w:pPr>
              <w:pStyle w:val="a7"/>
              <w:ind w:left="0"/>
              <w:jc w:val="center"/>
              <w:rPr>
                <w:b/>
                <w:sz w:val="22"/>
              </w:rPr>
            </w:pPr>
          </w:p>
        </w:tc>
      </w:tr>
      <w:tr w:rsidR="00E95FB1" w:rsidRPr="002045F5" w:rsidTr="001B3967">
        <w:trPr>
          <w:trHeight w:val="225"/>
        </w:trPr>
        <w:tc>
          <w:tcPr>
            <w:tcW w:w="2836" w:type="dxa"/>
            <w:vMerge/>
            <w:shd w:val="clear" w:color="auto" w:fill="C6D9F1" w:themeFill="text2" w:themeFillTint="33"/>
          </w:tcPr>
          <w:p w:rsidR="00E95FB1" w:rsidRPr="002045F5" w:rsidRDefault="00E95FB1" w:rsidP="001B3967">
            <w:pPr>
              <w:pStyle w:val="a7"/>
              <w:ind w:left="0"/>
              <w:rPr>
                <w:b/>
                <w:sz w:val="22"/>
              </w:rPr>
            </w:pPr>
          </w:p>
        </w:tc>
        <w:tc>
          <w:tcPr>
            <w:tcW w:w="1262" w:type="dxa"/>
            <w:vMerge w:val="restart"/>
          </w:tcPr>
          <w:p w:rsidR="00E95FB1" w:rsidRPr="002045F5" w:rsidRDefault="004D5365" w:rsidP="001B3967">
            <w:pPr>
              <w:pStyle w:val="a7"/>
              <w:ind w:left="0"/>
              <w:jc w:val="center"/>
              <w:rPr>
                <w:sz w:val="22"/>
                <w:lang w:val="ru-RU"/>
              </w:rPr>
            </w:pPr>
            <w:r w:rsidRPr="002045F5">
              <w:rPr>
                <w:sz w:val="22"/>
                <w:lang w:val="ru-RU"/>
              </w:rPr>
              <w:t>3324,147</w:t>
            </w:r>
          </w:p>
        </w:tc>
        <w:tc>
          <w:tcPr>
            <w:tcW w:w="1330" w:type="dxa"/>
            <w:vMerge w:val="restart"/>
          </w:tcPr>
          <w:p w:rsidR="00E95FB1" w:rsidRPr="002045F5" w:rsidRDefault="00E95FB1" w:rsidP="001B3967">
            <w:pPr>
              <w:pStyle w:val="a7"/>
              <w:ind w:left="0"/>
              <w:jc w:val="center"/>
              <w:rPr>
                <w:sz w:val="22"/>
              </w:rPr>
            </w:pPr>
          </w:p>
        </w:tc>
        <w:tc>
          <w:tcPr>
            <w:tcW w:w="1520" w:type="dxa"/>
            <w:gridSpan w:val="2"/>
          </w:tcPr>
          <w:p w:rsidR="00E95FB1" w:rsidRPr="002045F5" w:rsidRDefault="00E95FB1" w:rsidP="001B3967">
            <w:pPr>
              <w:pStyle w:val="a7"/>
              <w:ind w:left="0"/>
              <w:jc w:val="center"/>
              <w:rPr>
                <w:sz w:val="22"/>
              </w:rPr>
            </w:pPr>
            <w:r w:rsidRPr="002045F5">
              <w:rPr>
                <w:sz w:val="22"/>
              </w:rPr>
              <w:t>Обсяг тис. грн.</w:t>
            </w:r>
          </w:p>
        </w:tc>
        <w:tc>
          <w:tcPr>
            <w:tcW w:w="1457" w:type="dxa"/>
            <w:gridSpan w:val="2"/>
          </w:tcPr>
          <w:p w:rsidR="00E95FB1" w:rsidRPr="002045F5" w:rsidRDefault="00E95FB1" w:rsidP="001B3967">
            <w:pPr>
              <w:pStyle w:val="a7"/>
              <w:ind w:left="0"/>
              <w:jc w:val="center"/>
              <w:rPr>
                <w:sz w:val="22"/>
              </w:rPr>
            </w:pPr>
            <w:r w:rsidRPr="002045F5">
              <w:rPr>
                <w:sz w:val="22"/>
              </w:rPr>
              <w:t>Назва джерела</w:t>
            </w:r>
          </w:p>
        </w:tc>
        <w:tc>
          <w:tcPr>
            <w:tcW w:w="1518" w:type="dxa"/>
            <w:vMerge w:val="restart"/>
          </w:tcPr>
          <w:p w:rsidR="00E95FB1" w:rsidRPr="002045F5" w:rsidRDefault="004D5365" w:rsidP="001B3967">
            <w:pPr>
              <w:pStyle w:val="a7"/>
              <w:ind w:left="0"/>
              <w:jc w:val="center"/>
              <w:rPr>
                <w:color w:val="FF0000"/>
                <w:sz w:val="22"/>
              </w:rPr>
            </w:pPr>
            <w:r w:rsidRPr="002045F5">
              <w:rPr>
                <w:sz w:val="22"/>
              </w:rPr>
              <w:t>4748,781</w:t>
            </w:r>
          </w:p>
        </w:tc>
      </w:tr>
      <w:tr w:rsidR="00E95FB1" w:rsidRPr="002045F5" w:rsidTr="001B3967">
        <w:trPr>
          <w:trHeight w:val="300"/>
        </w:trPr>
        <w:tc>
          <w:tcPr>
            <w:tcW w:w="2836" w:type="dxa"/>
            <w:vMerge/>
            <w:shd w:val="clear" w:color="auto" w:fill="C6D9F1" w:themeFill="text2" w:themeFillTint="33"/>
          </w:tcPr>
          <w:p w:rsidR="00E95FB1" w:rsidRPr="002045F5" w:rsidRDefault="00E95FB1" w:rsidP="001B3967">
            <w:pPr>
              <w:pStyle w:val="a7"/>
              <w:ind w:left="0"/>
              <w:rPr>
                <w:b/>
                <w:sz w:val="22"/>
              </w:rPr>
            </w:pPr>
          </w:p>
        </w:tc>
        <w:tc>
          <w:tcPr>
            <w:tcW w:w="1262" w:type="dxa"/>
            <w:vMerge/>
          </w:tcPr>
          <w:p w:rsidR="00E95FB1" w:rsidRPr="002045F5" w:rsidRDefault="00E95FB1" w:rsidP="001B3967">
            <w:pPr>
              <w:pStyle w:val="a7"/>
              <w:ind w:left="0"/>
              <w:jc w:val="center"/>
              <w:rPr>
                <w:sz w:val="22"/>
              </w:rPr>
            </w:pPr>
          </w:p>
        </w:tc>
        <w:tc>
          <w:tcPr>
            <w:tcW w:w="1330" w:type="dxa"/>
            <w:vMerge/>
          </w:tcPr>
          <w:p w:rsidR="00E95FB1" w:rsidRPr="002045F5" w:rsidRDefault="00E95FB1" w:rsidP="001B3967">
            <w:pPr>
              <w:pStyle w:val="a7"/>
              <w:ind w:left="0"/>
              <w:jc w:val="center"/>
              <w:rPr>
                <w:sz w:val="22"/>
              </w:rPr>
            </w:pPr>
          </w:p>
        </w:tc>
        <w:tc>
          <w:tcPr>
            <w:tcW w:w="1520" w:type="dxa"/>
            <w:gridSpan w:val="2"/>
          </w:tcPr>
          <w:p w:rsidR="00E95FB1" w:rsidRPr="002045F5" w:rsidRDefault="004D5365" w:rsidP="001B3967">
            <w:pPr>
              <w:ind w:left="-79"/>
              <w:jc w:val="center"/>
              <w:rPr>
                <w:sz w:val="22"/>
                <w:lang w:val="ru-RU"/>
              </w:rPr>
            </w:pPr>
            <w:r w:rsidRPr="002045F5">
              <w:rPr>
                <w:sz w:val="22"/>
                <w:lang w:val="ru-RU"/>
              </w:rPr>
              <w:t>1424,634</w:t>
            </w:r>
          </w:p>
        </w:tc>
        <w:tc>
          <w:tcPr>
            <w:tcW w:w="1457" w:type="dxa"/>
            <w:gridSpan w:val="2"/>
          </w:tcPr>
          <w:p w:rsidR="00E95FB1" w:rsidRPr="002045F5" w:rsidRDefault="00E95FB1" w:rsidP="001B3967">
            <w:pPr>
              <w:pStyle w:val="a7"/>
              <w:ind w:left="0"/>
              <w:jc w:val="center"/>
              <w:rPr>
                <w:sz w:val="22"/>
              </w:rPr>
            </w:pPr>
            <w:r w:rsidRPr="002045F5">
              <w:rPr>
                <w:sz w:val="22"/>
              </w:rPr>
              <w:t>Міжнародні інвестиції, кошти приватних осіб</w:t>
            </w:r>
          </w:p>
        </w:tc>
        <w:tc>
          <w:tcPr>
            <w:tcW w:w="1518" w:type="dxa"/>
            <w:vMerge/>
          </w:tcPr>
          <w:p w:rsidR="00E95FB1" w:rsidRPr="002045F5" w:rsidRDefault="00E95FB1" w:rsidP="001B3967">
            <w:pPr>
              <w:pStyle w:val="a7"/>
              <w:ind w:left="0"/>
              <w:jc w:val="center"/>
              <w:rPr>
                <w:sz w:val="22"/>
              </w:rPr>
            </w:pPr>
          </w:p>
        </w:tc>
      </w:tr>
    </w:tbl>
    <w:p w:rsidR="00E95FB1" w:rsidRPr="002045F5" w:rsidRDefault="00E95FB1" w:rsidP="00E95FB1">
      <w:pPr>
        <w:rPr>
          <w:sz w:val="22"/>
        </w:rPr>
      </w:pPr>
    </w:p>
    <w:p w:rsidR="00E95FB1" w:rsidRPr="002045F5" w:rsidRDefault="00E95FB1" w:rsidP="00E95FB1">
      <w:pPr>
        <w:rPr>
          <w:sz w:val="22"/>
        </w:rPr>
      </w:pPr>
    </w:p>
    <w:p w:rsidR="00E95FB1" w:rsidRPr="00C86B34" w:rsidRDefault="00E95FB1" w:rsidP="00E95FB1">
      <w:pPr>
        <w:rPr>
          <w:sz w:val="22"/>
        </w:rPr>
      </w:pPr>
    </w:p>
    <w:tbl>
      <w:tblPr>
        <w:tblStyle w:val="af"/>
        <w:tblW w:w="9957" w:type="dxa"/>
        <w:tblInd w:w="-176" w:type="dxa"/>
        <w:tblLook w:val="04A0" w:firstRow="1" w:lastRow="0" w:firstColumn="1" w:lastColumn="0" w:noHBand="0" w:noVBand="1"/>
      </w:tblPr>
      <w:tblGrid>
        <w:gridCol w:w="2693"/>
        <w:gridCol w:w="1356"/>
        <w:gridCol w:w="1711"/>
        <w:gridCol w:w="483"/>
        <w:gridCol w:w="849"/>
        <w:gridCol w:w="994"/>
        <w:gridCol w:w="461"/>
        <w:gridCol w:w="1410"/>
      </w:tblGrid>
      <w:tr w:rsidR="00E95FB1" w:rsidRPr="00C86B34" w:rsidTr="001B3967">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95FB1" w:rsidRPr="00C86B34" w:rsidRDefault="00E95FB1" w:rsidP="001B3967">
            <w:pPr>
              <w:pStyle w:val="a7"/>
              <w:ind w:left="0"/>
              <w:rPr>
                <w:b/>
                <w:sz w:val="22"/>
                <w:lang w:val="uk-UA"/>
              </w:rPr>
            </w:pPr>
            <w:r w:rsidRPr="00C86B34">
              <w:rPr>
                <w:b/>
                <w:sz w:val="22"/>
                <w:lang w:val="uk-UA"/>
              </w:rPr>
              <w:t>Оперативна ціль/завдання</w:t>
            </w:r>
          </w:p>
        </w:tc>
        <w:tc>
          <w:tcPr>
            <w:tcW w:w="726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95FB1" w:rsidRPr="00C86B34" w:rsidRDefault="00DA50EC" w:rsidP="001B3967">
            <w:pPr>
              <w:pStyle w:val="a7"/>
              <w:ind w:left="0"/>
              <w:rPr>
                <w:sz w:val="22"/>
                <w:lang w:val="uk-UA"/>
              </w:rPr>
            </w:pPr>
            <w:r w:rsidRPr="00C86B34">
              <w:rPr>
                <w:rFonts w:eastAsia="Arial"/>
                <w:sz w:val="22"/>
                <w:lang w:val="uk-UA"/>
              </w:rPr>
              <w:t xml:space="preserve">Людський розвиток </w:t>
            </w:r>
            <w:r w:rsidR="00E95FB1" w:rsidRPr="00C86B34">
              <w:rPr>
                <w:rFonts w:eastAsia="Arial"/>
                <w:sz w:val="22"/>
                <w:lang w:val="uk-UA"/>
              </w:rPr>
              <w:t>через інновації управління та довіру до влади</w:t>
            </w:r>
          </w:p>
          <w:p w:rsidR="00E95FB1" w:rsidRPr="00C86B34" w:rsidRDefault="00E95FB1" w:rsidP="001B3967">
            <w:pPr>
              <w:pStyle w:val="a7"/>
              <w:ind w:left="0"/>
              <w:rPr>
                <w:sz w:val="22"/>
                <w:lang w:val="uk-UA"/>
              </w:rPr>
            </w:pPr>
            <w:r w:rsidRPr="00C86B34">
              <w:rPr>
                <w:rFonts w:eastAsia="Arial"/>
                <w:sz w:val="22"/>
                <w:lang w:val="uk-UA"/>
              </w:rPr>
              <w:t xml:space="preserve">Формування сучасного інклюзивного </w:t>
            </w:r>
            <w:proofErr w:type="spellStart"/>
            <w:r w:rsidRPr="00C86B34">
              <w:rPr>
                <w:rFonts w:eastAsia="Arial"/>
                <w:sz w:val="22"/>
                <w:lang w:val="uk-UA"/>
              </w:rPr>
              <w:t>освітньо</w:t>
            </w:r>
            <w:proofErr w:type="spellEnd"/>
            <w:r w:rsidRPr="00C86B34">
              <w:rPr>
                <w:rFonts w:eastAsia="Arial"/>
                <w:sz w:val="22"/>
                <w:lang w:val="uk-UA"/>
              </w:rPr>
              <w:t xml:space="preserve"> – культурного та спортивного простору для розвитку</w:t>
            </w:r>
          </w:p>
        </w:tc>
      </w:tr>
      <w:tr w:rsidR="00E95FB1" w:rsidRPr="00C86B34" w:rsidTr="001B3967">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95FB1" w:rsidRPr="00C86B34" w:rsidRDefault="00E95FB1" w:rsidP="001B3967">
            <w:pPr>
              <w:pStyle w:val="a7"/>
              <w:ind w:left="0"/>
              <w:rPr>
                <w:b/>
                <w:sz w:val="22"/>
                <w:lang w:val="uk-UA"/>
              </w:rPr>
            </w:pPr>
            <w:r w:rsidRPr="00C86B34">
              <w:rPr>
                <w:b/>
                <w:sz w:val="22"/>
                <w:lang w:val="uk-UA"/>
              </w:rPr>
              <w:t>Назва проекту:</w:t>
            </w:r>
          </w:p>
        </w:tc>
        <w:tc>
          <w:tcPr>
            <w:tcW w:w="726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5FB1" w:rsidRPr="00C86B34" w:rsidRDefault="00E95FB1" w:rsidP="001B3967">
            <w:pPr>
              <w:pStyle w:val="a7"/>
              <w:ind w:left="0"/>
              <w:rPr>
                <w:sz w:val="22"/>
                <w:lang w:val="uk-UA"/>
              </w:rPr>
            </w:pPr>
            <w:r w:rsidRPr="00C86B34">
              <w:rPr>
                <w:sz w:val="22"/>
                <w:lang w:val="uk-UA"/>
              </w:rPr>
              <w:t>Відновлення діяльності Комунального Закладу «Сєвєродонецька галерея мистецтв»</w:t>
            </w:r>
          </w:p>
        </w:tc>
      </w:tr>
      <w:tr w:rsidR="00E95FB1" w:rsidRPr="00C86B34" w:rsidTr="001B3967">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95FB1" w:rsidRPr="00C86B34" w:rsidRDefault="00E95FB1" w:rsidP="001B3967">
            <w:pPr>
              <w:rPr>
                <w:b/>
                <w:sz w:val="22"/>
                <w:lang w:val="uk-UA"/>
              </w:rPr>
            </w:pPr>
            <w:r w:rsidRPr="00C86B34">
              <w:rPr>
                <w:b/>
                <w:sz w:val="22"/>
                <w:lang w:val="uk-UA"/>
              </w:rPr>
              <w:t>Ціль проекту</w:t>
            </w:r>
          </w:p>
        </w:tc>
        <w:tc>
          <w:tcPr>
            <w:tcW w:w="726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5FB1" w:rsidRPr="00C86B34" w:rsidRDefault="00E95FB1" w:rsidP="00DA50EC">
            <w:pPr>
              <w:pStyle w:val="a7"/>
              <w:ind w:left="0"/>
              <w:rPr>
                <w:sz w:val="22"/>
                <w:lang w:val="uk-UA"/>
              </w:rPr>
            </w:pPr>
            <w:r w:rsidRPr="00C86B34">
              <w:rPr>
                <w:sz w:val="22"/>
                <w:lang w:val="uk-UA"/>
              </w:rPr>
              <w:t>Відновити та покращити роботу Комунального Закладу «Сєвєродонецька галерея мистецтв» для надання широкого спектру послуг, пов’язаних із якістю та задоволення</w:t>
            </w:r>
            <w:r w:rsidR="00DA50EC" w:rsidRPr="00C86B34">
              <w:rPr>
                <w:sz w:val="22"/>
                <w:lang w:val="uk-UA"/>
              </w:rPr>
              <w:t>м</w:t>
            </w:r>
            <w:r w:rsidRPr="00C86B34">
              <w:rPr>
                <w:sz w:val="22"/>
                <w:lang w:val="uk-UA"/>
              </w:rPr>
              <w:t xml:space="preserve"> потреб мешканців Сєвєродонецької міської територіальної громади у необхідних послугах (або створенні умов для реалізації індивідуальних програм, набуття ними відповідних </w:t>
            </w:r>
            <w:proofErr w:type="spellStart"/>
            <w:r w:rsidRPr="00C86B34">
              <w:rPr>
                <w:sz w:val="22"/>
                <w:lang w:val="uk-UA"/>
              </w:rPr>
              <w:t>компетентностей</w:t>
            </w:r>
            <w:proofErr w:type="spellEnd"/>
            <w:r w:rsidRPr="00C86B34">
              <w:rPr>
                <w:sz w:val="22"/>
                <w:lang w:val="uk-UA"/>
              </w:rPr>
              <w:t>).</w:t>
            </w:r>
          </w:p>
        </w:tc>
      </w:tr>
      <w:tr w:rsidR="00E95FB1" w:rsidRPr="00C86B34" w:rsidTr="001B3967">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95FB1" w:rsidRPr="00C86B34" w:rsidRDefault="00E95FB1" w:rsidP="001B3967">
            <w:pPr>
              <w:pStyle w:val="a7"/>
              <w:ind w:left="0"/>
              <w:rPr>
                <w:b/>
                <w:sz w:val="22"/>
                <w:lang w:val="uk-UA"/>
              </w:rPr>
            </w:pPr>
            <w:r w:rsidRPr="00C86B34">
              <w:rPr>
                <w:b/>
                <w:sz w:val="22"/>
                <w:lang w:val="uk-UA"/>
              </w:rPr>
              <w:t>Територія, на яку матиме вплив реалізація проекту</w:t>
            </w:r>
          </w:p>
        </w:tc>
        <w:tc>
          <w:tcPr>
            <w:tcW w:w="726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5FB1" w:rsidRPr="00C86B34" w:rsidRDefault="00E95FB1" w:rsidP="001B3967">
            <w:pPr>
              <w:pStyle w:val="a7"/>
              <w:ind w:left="0"/>
              <w:rPr>
                <w:sz w:val="22"/>
                <w:lang w:val="uk-UA"/>
              </w:rPr>
            </w:pPr>
            <w:r w:rsidRPr="00C86B34">
              <w:rPr>
                <w:sz w:val="22"/>
                <w:lang w:val="uk-UA"/>
              </w:rPr>
              <w:t>Сєвєродонецька міська територіальна громада</w:t>
            </w:r>
          </w:p>
        </w:tc>
      </w:tr>
      <w:tr w:rsidR="00E95FB1" w:rsidRPr="00C86B34" w:rsidTr="001B3967">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95FB1" w:rsidRPr="00C86B34" w:rsidRDefault="00E95FB1" w:rsidP="001B3967">
            <w:pPr>
              <w:pStyle w:val="a7"/>
              <w:ind w:left="0"/>
              <w:rPr>
                <w:b/>
                <w:sz w:val="22"/>
                <w:lang w:val="uk-UA"/>
              </w:rPr>
            </w:pPr>
            <w:r w:rsidRPr="00C86B34">
              <w:rPr>
                <w:b/>
                <w:sz w:val="22"/>
                <w:lang w:val="uk-UA"/>
              </w:rPr>
              <w:t>Чисельність населення, на яке матиме вплив реалізація проекту</w:t>
            </w:r>
          </w:p>
        </w:tc>
        <w:tc>
          <w:tcPr>
            <w:tcW w:w="726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5FB1" w:rsidRPr="00C86B34" w:rsidRDefault="00677FA3" w:rsidP="001B3967">
            <w:pPr>
              <w:pStyle w:val="a7"/>
              <w:ind w:left="0"/>
              <w:rPr>
                <w:b/>
                <w:sz w:val="22"/>
              </w:rPr>
            </w:pPr>
            <w:r w:rsidRPr="00C86B34">
              <w:rPr>
                <w:sz w:val="22"/>
              </w:rPr>
              <w:t>70 000</w:t>
            </w:r>
          </w:p>
        </w:tc>
      </w:tr>
      <w:tr w:rsidR="00E95FB1" w:rsidRPr="00C86B34" w:rsidTr="001B3967">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95FB1" w:rsidRPr="00C86B34" w:rsidRDefault="00E95FB1" w:rsidP="001B3967">
            <w:pPr>
              <w:rPr>
                <w:b/>
                <w:sz w:val="22"/>
                <w:lang w:val="uk-UA"/>
              </w:rPr>
            </w:pPr>
            <w:r w:rsidRPr="00C86B34">
              <w:rPr>
                <w:b/>
                <w:sz w:val="22"/>
                <w:lang w:val="uk-UA"/>
              </w:rPr>
              <w:t>Опис проблеми, на вирішення якої  спрямований проект</w:t>
            </w:r>
          </w:p>
        </w:tc>
        <w:tc>
          <w:tcPr>
            <w:tcW w:w="726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5FB1" w:rsidRPr="00C86B34" w:rsidRDefault="00E95FB1" w:rsidP="001B3967">
            <w:pPr>
              <w:ind w:firstLine="308"/>
              <w:rPr>
                <w:sz w:val="22"/>
                <w:lang w:val="uk-UA"/>
              </w:rPr>
            </w:pPr>
            <w:r w:rsidRPr="00C86B34">
              <w:rPr>
                <w:sz w:val="22"/>
                <w:lang w:val="uk-UA"/>
              </w:rPr>
              <w:t xml:space="preserve">Через військову агресію </w:t>
            </w:r>
            <w:r w:rsidR="00BE727B" w:rsidRPr="00C86B34">
              <w:rPr>
                <w:sz w:val="22"/>
                <w:lang w:val="uk-UA"/>
              </w:rPr>
              <w:t>РФ</w:t>
            </w:r>
            <w:r w:rsidRPr="00C86B34">
              <w:rPr>
                <w:sz w:val="22"/>
                <w:lang w:val="uk-UA"/>
              </w:rPr>
              <w:t xml:space="preserve"> територія Сєвєродонецької міської територіальної громади зазнала значних пошкоджень. Не оминуло це і Комунальний Заклад  «Сєвєродонецька галерея мистецтв».</w:t>
            </w:r>
          </w:p>
          <w:p w:rsidR="00E95FB1" w:rsidRPr="00C86B34" w:rsidRDefault="00E95FB1" w:rsidP="001B3967">
            <w:pPr>
              <w:ind w:firstLine="308"/>
              <w:rPr>
                <w:sz w:val="22"/>
                <w:lang w:val="uk-UA"/>
              </w:rPr>
            </w:pPr>
            <w:r w:rsidRPr="00C86B34">
              <w:rPr>
                <w:sz w:val="22"/>
                <w:lang w:val="uk-UA"/>
              </w:rPr>
              <w:t>Вся матеріально-технічна база потребує забезпечення</w:t>
            </w:r>
            <w:r w:rsidR="00BE727B" w:rsidRPr="00C86B34">
              <w:rPr>
                <w:sz w:val="22"/>
                <w:lang w:val="uk-UA"/>
              </w:rPr>
              <w:t>,</w:t>
            </w:r>
            <w:r w:rsidRPr="00C86B34">
              <w:rPr>
                <w:sz w:val="22"/>
                <w:lang w:val="uk-UA"/>
              </w:rPr>
              <w:t xml:space="preserve"> необхідного для діяльності закладу, зокрема:</w:t>
            </w:r>
          </w:p>
          <w:p w:rsidR="00E95FB1" w:rsidRPr="00C86B34" w:rsidRDefault="00E95FB1" w:rsidP="000303D7">
            <w:pPr>
              <w:numPr>
                <w:ilvl w:val="0"/>
                <w:numId w:val="26"/>
              </w:numPr>
              <w:tabs>
                <w:tab w:val="left" w:pos="449"/>
              </w:tabs>
              <w:ind w:left="24" w:firstLine="284"/>
              <w:rPr>
                <w:sz w:val="22"/>
                <w:lang w:val="uk-UA"/>
              </w:rPr>
            </w:pPr>
            <w:r w:rsidRPr="00C86B34">
              <w:rPr>
                <w:sz w:val="22"/>
                <w:lang w:val="uk-UA"/>
              </w:rPr>
              <w:t>обладнання (устаткування);</w:t>
            </w:r>
          </w:p>
          <w:p w:rsidR="00E95FB1" w:rsidRPr="00C86B34" w:rsidRDefault="00E95FB1" w:rsidP="000303D7">
            <w:pPr>
              <w:numPr>
                <w:ilvl w:val="0"/>
                <w:numId w:val="26"/>
              </w:numPr>
              <w:tabs>
                <w:tab w:val="left" w:pos="449"/>
              </w:tabs>
              <w:ind w:left="24" w:firstLine="284"/>
              <w:rPr>
                <w:sz w:val="22"/>
                <w:lang w:val="uk-UA"/>
              </w:rPr>
            </w:pPr>
            <w:r w:rsidRPr="00C86B34">
              <w:rPr>
                <w:sz w:val="22"/>
                <w:lang w:val="uk-UA"/>
              </w:rPr>
              <w:t>обчислювальна техніка із відповідним програмним забезпеченням;</w:t>
            </w:r>
          </w:p>
          <w:p w:rsidR="00E95FB1" w:rsidRPr="00C86B34" w:rsidRDefault="00E95FB1" w:rsidP="000303D7">
            <w:pPr>
              <w:numPr>
                <w:ilvl w:val="0"/>
                <w:numId w:val="26"/>
              </w:numPr>
              <w:tabs>
                <w:tab w:val="left" w:pos="449"/>
              </w:tabs>
              <w:ind w:left="24" w:firstLine="284"/>
              <w:rPr>
                <w:sz w:val="22"/>
                <w:lang w:val="uk-UA"/>
              </w:rPr>
            </w:pPr>
            <w:r w:rsidRPr="00C86B34">
              <w:rPr>
                <w:sz w:val="22"/>
                <w:lang w:val="uk-UA"/>
              </w:rPr>
              <w:t>інша оргтехніка (монітори, комп’ютери, принтери, сканери та ін.);</w:t>
            </w:r>
          </w:p>
          <w:p w:rsidR="00E95FB1" w:rsidRPr="00C86B34" w:rsidRDefault="00E95FB1" w:rsidP="000303D7">
            <w:pPr>
              <w:pStyle w:val="13"/>
              <w:numPr>
                <w:ilvl w:val="0"/>
                <w:numId w:val="26"/>
              </w:numPr>
              <w:tabs>
                <w:tab w:val="left" w:pos="449"/>
              </w:tabs>
              <w:ind w:left="24" w:firstLine="284"/>
              <w:jc w:val="both"/>
              <w:rPr>
                <w:sz w:val="22"/>
                <w:lang w:val="uk-UA"/>
              </w:rPr>
            </w:pPr>
            <w:r w:rsidRPr="00C86B34">
              <w:rPr>
                <w:sz w:val="22"/>
                <w:lang w:val="uk-UA"/>
              </w:rPr>
              <w:t>основні засоби (офісні меблі, сейф, обладнання для проведення заходів) були знищені або викрадені.</w:t>
            </w:r>
          </w:p>
          <w:p w:rsidR="00E95FB1" w:rsidRPr="00C86B34" w:rsidRDefault="00E95FB1" w:rsidP="001B3967">
            <w:pPr>
              <w:pStyle w:val="13"/>
              <w:jc w:val="both"/>
              <w:rPr>
                <w:sz w:val="22"/>
                <w:lang w:val="uk-UA"/>
              </w:rPr>
            </w:pPr>
            <w:r w:rsidRPr="00C86B34">
              <w:rPr>
                <w:rFonts w:eastAsia="Arial"/>
                <w:sz w:val="22"/>
                <w:lang w:val="uk-UA"/>
              </w:rPr>
              <w:t xml:space="preserve">    Для відбудови та сталого розвитку громади потрібне відновлення роботи мережі закладів культури, а саме </w:t>
            </w:r>
            <w:r w:rsidRPr="00C86B34">
              <w:rPr>
                <w:sz w:val="22"/>
                <w:lang w:val="uk-UA"/>
              </w:rPr>
              <w:t xml:space="preserve">Комунального Закладу  «Сєвєродонецька галерея мистецтв». </w:t>
            </w:r>
            <w:r w:rsidRPr="00C86B34">
              <w:rPr>
                <w:rFonts w:eastAsia="Arial"/>
                <w:sz w:val="22"/>
                <w:lang w:val="uk-UA"/>
              </w:rPr>
              <w:t xml:space="preserve">Мешканці громади потребують в отриманні якісних послуг, які відповідають нормам сучасності. </w:t>
            </w:r>
          </w:p>
        </w:tc>
      </w:tr>
      <w:tr w:rsidR="00E95FB1" w:rsidRPr="00C86B34" w:rsidTr="001B3967">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95FB1" w:rsidRPr="00C86B34" w:rsidRDefault="00E95FB1" w:rsidP="001B3967">
            <w:pPr>
              <w:pStyle w:val="a7"/>
              <w:ind w:left="0"/>
              <w:rPr>
                <w:b/>
                <w:sz w:val="22"/>
                <w:lang w:val="uk-UA"/>
              </w:rPr>
            </w:pPr>
            <w:r w:rsidRPr="00C86B34">
              <w:rPr>
                <w:b/>
                <w:sz w:val="22"/>
                <w:lang w:val="uk-UA"/>
              </w:rPr>
              <w:t>Очікувані якісні результати від реалізації проекту</w:t>
            </w:r>
          </w:p>
        </w:tc>
        <w:tc>
          <w:tcPr>
            <w:tcW w:w="726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5FB1" w:rsidRPr="00C86B34" w:rsidRDefault="00E95FB1" w:rsidP="001B3967">
            <w:pPr>
              <w:pStyle w:val="af7"/>
              <w:rPr>
                <w:color w:val="000000" w:themeColor="text1"/>
                <w:sz w:val="22"/>
                <w:lang w:val="uk-UA"/>
              </w:rPr>
            </w:pPr>
            <w:r w:rsidRPr="00C86B34">
              <w:rPr>
                <w:sz w:val="22"/>
                <w:lang w:val="uk-UA"/>
              </w:rPr>
              <w:t>- забезпечення населення можливостями для реалізації його конституційних прав;</w:t>
            </w:r>
          </w:p>
          <w:p w:rsidR="00E95FB1" w:rsidRPr="00C86B34" w:rsidRDefault="00E95FB1" w:rsidP="001B3967">
            <w:pPr>
              <w:pStyle w:val="a7"/>
              <w:ind w:left="0"/>
              <w:rPr>
                <w:sz w:val="22"/>
                <w:lang w:val="uk-UA"/>
              </w:rPr>
            </w:pPr>
            <w:r w:rsidRPr="00C86B34">
              <w:rPr>
                <w:sz w:val="22"/>
                <w:lang w:val="uk-UA"/>
              </w:rPr>
              <w:t xml:space="preserve">- надання широкого спектру послуг, пов’язаних із </w:t>
            </w:r>
            <w:r w:rsidRPr="00C86B34">
              <w:rPr>
                <w:rStyle w:val="10"/>
                <w:b w:val="0"/>
                <w:color w:val="000000" w:themeColor="text1"/>
                <w:sz w:val="22"/>
                <w:lang w:val="uk-UA"/>
              </w:rPr>
              <w:t>можливостями доступу людини до духовних цінностей свого народу (нації) та всього людства</w:t>
            </w:r>
            <w:r w:rsidRPr="00C86B34">
              <w:rPr>
                <w:sz w:val="22"/>
                <w:lang w:val="uk-UA"/>
              </w:rPr>
              <w:t xml:space="preserve">; </w:t>
            </w:r>
          </w:p>
          <w:p w:rsidR="00E95FB1" w:rsidRPr="00C86B34" w:rsidRDefault="00E95FB1" w:rsidP="001B3967">
            <w:pPr>
              <w:pStyle w:val="a7"/>
              <w:ind w:left="0"/>
              <w:rPr>
                <w:sz w:val="22"/>
                <w:lang w:val="uk-UA"/>
              </w:rPr>
            </w:pPr>
            <w:r w:rsidRPr="00C86B34">
              <w:rPr>
                <w:sz w:val="22"/>
                <w:lang w:val="uk-UA"/>
              </w:rPr>
              <w:lastRenderedPageBreak/>
              <w:t xml:space="preserve">- </w:t>
            </w:r>
            <w:r w:rsidRPr="00C86B34">
              <w:rPr>
                <w:rStyle w:val="10"/>
                <w:b w:val="0"/>
                <w:color w:val="000000" w:themeColor="text1"/>
                <w:sz w:val="22"/>
                <w:lang w:val="uk-UA"/>
              </w:rPr>
              <w:t xml:space="preserve">розвитку української нації, її історичної свідомості, традицій і культури, а також розвитку етнічної, культурної, </w:t>
            </w:r>
            <w:proofErr w:type="spellStart"/>
            <w:r w:rsidRPr="00C86B34">
              <w:rPr>
                <w:rStyle w:val="10"/>
                <w:b w:val="0"/>
                <w:color w:val="000000" w:themeColor="text1"/>
                <w:sz w:val="22"/>
                <w:lang w:val="uk-UA"/>
              </w:rPr>
              <w:t>мовної</w:t>
            </w:r>
            <w:proofErr w:type="spellEnd"/>
            <w:r w:rsidRPr="00C86B34">
              <w:rPr>
                <w:rStyle w:val="10"/>
                <w:b w:val="0"/>
                <w:color w:val="000000" w:themeColor="text1"/>
                <w:sz w:val="22"/>
                <w:lang w:val="uk-UA"/>
              </w:rPr>
              <w:t xml:space="preserve"> та релігійної самобутності всіх корінних народів і національних меншин України;</w:t>
            </w:r>
          </w:p>
          <w:p w:rsidR="00E95FB1" w:rsidRPr="00C86B34" w:rsidRDefault="00E95FB1" w:rsidP="001B3967">
            <w:pPr>
              <w:pStyle w:val="a7"/>
              <w:ind w:left="0"/>
              <w:rPr>
                <w:sz w:val="22"/>
                <w:lang w:val="uk-UA"/>
              </w:rPr>
            </w:pPr>
            <w:r w:rsidRPr="00C86B34">
              <w:rPr>
                <w:sz w:val="22"/>
                <w:lang w:val="uk-UA"/>
              </w:rPr>
              <w:t>- вирішення ряду питань в межах статутної діяльності, пов’язаних із відбудовою та сталим розвитком громади;</w:t>
            </w:r>
          </w:p>
          <w:p w:rsidR="00E95FB1" w:rsidRPr="00C86B34" w:rsidRDefault="00E95FB1" w:rsidP="001B3967">
            <w:pPr>
              <w:tabs>
                <w:tab w:val="left" w:pos="253"/>
              </w:tabs>
              <w:rPr>
                <w:sz w:val="22"/>
                <w:lang w:val="uk-UA"/>
              </w:rPr>
            </w:pPr>
            <w:r w:rsidRPr="00C86B34">
              <w:rPr>
                <w:sz w:val="22"/>
                <w:lang w:val="uk-UA"/>
              </w:rPr>
              <w:t>- задоволення інформаційних потреб  користувачів;</w:t>
            </w:r>
          </w:p>
          <w:p w:rsidR="00E95FB1" w:rsidRPr="00C86B34" w:rsidRDefault="00E95FB1" w:rsidP="001B3967">
            <w:pPr>
              <w:tabs>
                <w:tab w:val="left" w:pos="253"/>
              </w:tabs>
              <w:rPr>
                <w:sz w:val="22"/>
                <w:lang w:val="uk-UA"/>
              </w:rPr>
            </w:pPr>
            <w:r w:rsidRPr="00C86B34">
              <w:rPr>
                <w:sz w:val="22"/>
                <w:lang w:val="uk-UA"/>
              </w:rPr>
              <w:t>- створення комфортних умов для відвідувачів та робітників закладу;</w:t>
            </w:r>
          </w:p>
          <w:p w:rsidR="00E95FB1" w:rsidRPr="00C86B34" w:rsidRDefault="00E95FB1" w:rsidP="001B3967">
            <w:pPr>
              <w:tabs>
                <w:tab w:val="left" w:pos="253"/>
              </w:tabs>
              <w:rPr>
                <w:sz w:val="22"/>
                <w:lang w:val="uk-UA"/>
              </w:rPr>
            </w:pPr>
            <w:r w:rsidRPr="00C86B34">
              <w:rPr>
                <w:color w:val="000000"/>
                <w:sz w:val="22"/>
                <w:lang w:val="uk-UA"/>
              </w:rPr>
              <w:t>- зберігання виставкових фондів згідно встановлених норм</w:t>
            </w:r>
            <w:r w:rsidR="00BE727B" w:rsidRPr="00C86B34">
              <w:rPr>
                <w:color w:val="000000"/>
                <w:sz w:val="22"/>
                <w:lang w:val="uk-UA"/>
              </w:rPr>
              <w:t>;</w:t>
            </w:r>
          </w:p>
          <w:p w:rsidR="00E95FB1" w:rsidRPr="00C86B34" w:rsidRDefault="00E95FB1" w:rsidP="001B3967">
            <w:pPr>
              <w:tabs>
                <w:tab w:val="left" w:pos="253"/>
                <w:tab w:val="left" w:pos="395"/>
              </w:tabs>
              <w:rPr>
                <w:color w:val="000000"/>
                <w:sz w:val="22"/>
                <w:lang w:val="uk-UA"/>
              </w:rPr>
            </w:pPr>
            <w:r w:rsidRPr="00C86B34">
              <w:rPr>
                <w:rFonts w:eastAsia="Calibri"/>
                <w:sz w:val="22"/>
                <w:lang w:val="uk-UA"/>
              </w:rPr>
              <w:t>- задоволення культурних потреб мешканців територіальної громади, поліпшення естетичного вигляду;</w:t>
            </w:r>
          </w:p>
          <w:p w:rsidR="00E95FB1" w:rsidRPr="00C86B34" w:rsidRDefault="00E95FB1" w:rsidP="001B3967">
            <w:pPr>
              <w:pStyle w:val="a7"/>
              <w:ind w:left="0"/>
              <w:rPr>
                <w:sz w:val="22"/>
                <w:lang w:val="uk-UA"/>
              </w:rPr>
            </w:pPr>
            <w:r w:rsidRPr="00C86B34">
              <w:rPr>
                <w:sz w:val="22"/>
                <w:lang w:val="uk-UA"/>
              </w:rPr>
              <w:t>- стимул до повернення ВПО до громади.</w:t>
            </w:r>
          </w:p>
        </w:tc>
      </w:tr>
      <w:tr w:rsidR="00E95FB1" w:rsidRPr="00C86B34" w:rsidTr="001B3967">
        <w:trPr>
          <w:trHeight w:val="390"/>
        </w:trPr>
        <w:tc>
          <w:tcPr>
            <w:tcW w:w="26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lastRenderedPageBreak/>
              <w:t xml:space="preserve">Очікувані кількісні результати реалізації </w:t>
            </w:r>
            <w:proofErr w:type="spellStart"/>
            <w:r w:rsidRPr="00C86B34">
              <w:rPr>
                <w:b/>
                <w:sz w:val="22"/>
                <w:lang w:val="uk-UA"/>
              </w:rPr>
              <w:t>проєкту</w:t>
            </w:r>
            <w:proofErr w:type="spellEnd"/>
            <w:r w:rsidRPr="00C86B34">
              <w:rPr>
                <w:b/>
                <w:sz w:val="22"/>
                <w:lang w:val="uk-UA"/>
              </w:rPr>
              <w:t xml:space="preserve"> (індикатори)</w:t>
            </w:r>
          </w:p>
          <w:p w:rsidR="00E95FB1" w:rsidRPr="00C86B34" w:rsidRDefault="00E95FB1" w:rsidP="001B3967">
            <w:pPr>
              <w:pStyle w:val="a7"/>
              <w:ind w:left="0"/>
              <w:rPr>
                <w:b/>
                <w:sz w:val="22"/>
                <w:lang w:val="uk-UA"/>
              </w:rPr>
            </w:pPr>
          </w:p>
        </w:tc>
        <w:tc>
          <w:tcPr>
            <w:tcW w:w="3549" w:type="dxa"/>
            <w:gridSpan w:val="3"/>
            <w:tcBorders>
              <w:top w:val="single" w:sz="4" w:space="0" w:color="000000" w:themeColor="text1"/>
              <w:left w:val="single" w:sz="4" w:space="0" w:color="000000" w:themeColor="text1"/>
              <w:bottom w:val="single" w:sz="4" w:space="0" w:color="auto"/>
              <w:right w:val="single" w:sz="4" w:space="0" w:color="auto"/>
            </w:tcBorders>
            <w:hideMark/>
          </w:tcPr>
          <w:p w:rsidR="00E95FB1" w:rsidRPr="00C86B34" w:rsidRDefault="00E95FB1" w:rsidP="001B3967">
            <w:pPr>
              <w:pStyle w:val="a7"/>
              <w:ind w:left="-108"/>
              <w:jc w:val="center"/>
              <w:rPr>
                <w:b/>
                <w:sz w:val="22"/>
                <w:lang w:val="uk-UA"/>
              </w:rPr>
            </w:pPr>
            <w:r w:rsidRPr="00C86B34">
              <w:rPr>
                <w:b/>
                <w:sz w:val="22"/>
                <w:lang w:val="uk-UA"/>
              </w:rPr>
              <w:t>Найменування показника</w:t>
            </w:r>
          </w:p>
        </w:tc>
        <w:tc>
          <w:tcPr>
            <w:tcW w:w="1843" w:type="dxa"/>
            <w:gridSpan w:val="2"/>
            <w:tcBorders>
              <w:top w:val="single" w:sz="4" w:space="0" w:color="000000" w:themeColor="text1"/>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Одиниця вимірювання</w:t>
            </w:r>
          </w:p>
          <w:p w:rsidR="00E95FB1" w:rsidRPr="00C86B34" w:rsidRDefault="00E95FB1" w:rsidP="001B3967">
            <w:pPr>
              <w:pStyle w:val="a7"/>
              <w:ind w:left="0"/>
              <w:rPr>
                <w:b/>
                <w:sz w:val="22"/>
                <w:lang w:val="uk-UA"/>
              </w:rPr>
            </w:pPr>
          </w:p>
        </w:tc>
        <w:tc>
          <w:tcPr>
            <w:tcW w:w="1871" w:type="dxa"/>
            <w:gridSpan w:val="2"/>
            <w:tcBorders>
              <w:top w:val="single" w:sz="4" w:space="0" w:color="000000" w:themeColor="text1"/>
              <w:left w:val="single" w:sz="4" w:space="0" w:color="auto"/>
              <w:bottom w:val="single" w:sz="4" w:space="0" w:color="auto"/>
              <w:right w:val="single" w:sz="4" w:space="0" w:color="000000" w:themeColor="text1"/>
            </w:tcBorders>
            <w:hideMark/>
          </w:tcPr>
          <w:p w:rsidR="00E95FB1" w:rsidRPr="00C86B34" w:rsidRDefault="00E95FB1" w:rsidP="001B3967">
            <w:pPr>
              <w:pStyle w:val="a7"/>
              <w:ind w:left="0"/>
              <w:jc w:val="center"/>
              <w:rPr>
                <w:b/>
                <w:sz w:val="22"/>
                <w:lang w:val="uk-UA"/>
              </w:rPr>
            </w:pPr>
            <w:r w:rsidRPr="00C86B34">
              <w:rPr>
                <w:b/>
                <w:sz w:val="22"/>
                <w:lang w:val="uk-UA"/>
              </w:rPr>
              <w:t>Прогнозне (цільове) значення</w:t>
            </w:r>
          </w:p>
        </w:tc>
      </w:tr>
      <w:tr w:rsidR="00E95FB1" w:rsidRPr="00C86B34" w:rsidTr="001B3967">
        <w:trPr>
          <w:trHeight w:val="585"/>
        </w:trPr>
        <w:tc>
          <w:tcPr>
            <w:tcW w:w="26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5FB1" w:rsidRPr="00C86B34" w:rsidRDefault="00E95FB1" w:rsidP="001B3967">
            <w:pPr>
              <w:rPr>
                <w:b/>
                <w:sz w:val="22"/>
                <w:lang w:val="uk-UA"/>
              </w:rPr>
            </w:pPr>
          </w:p>
        </w:tc>
        <w:tc>
          <w:tcPr>
            <w:tcW w:w="3549" w:type="dxa"/>
            <w:gridSpan w:val="3"/>
            <w:tcBorders>
              <w:top w:val="single" w:sz="4" w:space="0" w:color="auto"/>
              <w:left w:val="single" w:sz="4" w:space="0" w:color="000000" w:themeColor="text1"/>
              <w:bottom w:val="single" w:sz="4" w:space="0" w:color="auto"/>
              <w:right w:val="single" w:sz="4" w:space="0" w:color="auto"/>
            </w:tcBorders>
            <w:hideMark/>
          </w:tcPr>
          <w:p w:rsidR="00E95FB1" w:rsidRPr="00C86B34" w:rsidRDefault="00E95FB1" w:rsidP="00E40911">
            <w:pPr>
              <w:pStyle w:val="a7"/>
              <w:ind w:left="0"/>
              <w:rPr>
                <w:sz w:val="22"/>
                <w:lang w:val="uk-UA"/>
              </w:rPr>
            </w:pPr>
            <w:r w:rsidRPr="00C86B34">
              <w:rPr>
                <w:sz w:val="22"/>
                <w:lang w:val="uk-UA"/>
              </w:rPr>
              <w:t xml:space="preserve">Кількість фізичних осіб (відвідувачів), які звернулись за послугами протягом  року </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E95FB1" w:rsidRPr="00C86B34" w:rsidRDefault="00E95FB1" w:rsidP="001B3967">
            <w:pPr>
              <w:jc w:val="center"/>
              <w:rPr>
                <w:sz w:val="22"/>
                <w:lang w:val="uk-UA"/>
              </w:rPr>
            </w:pPr>
            <w:r w:rsidRPr="00C86B34">
              <w:rPr>
                <w:rFonts w:eastAsia="Arial"/>
                <w:sz w:val="22"/>
                <w:lang w:val="uk-UA"/>
              </w:rPr>
              <w:t>осіб</w:t>
            </w:r>
          </w:p>
        </w:tc>
        <w:tc>
          <w:tcPr>
            <w:tcW w:w="1871" w:type="dxa"/>
            <w:gridSpan w:val="2"/>
            <w:tcBorders>
              <w:top w:val="single" w:sz="4" w:space="0" w:color="auto"/>
              <w:left w:val="single" w:sz="4" w:space="0" w:color="auto"/>
              <w:bottom w:val="single" w:sz="4" w:space="0" w:color="auto"/>
              <w:right w:val="single" w:sz="4" w:space="0" w:color="000000" w:themeColor="text1"/>
            </w:tcBorders>
            <w:vAlign w:val="center"/>
          </w:tcPr>
          <w:p w:rsidR="00E95FB1" w:rsidRPr="00C86B34" w:rsidRDefault="00E95FB1" w:rsidP="001B3967">
            <w:pPr>
              <w:pStyle w:val="a7"/>
              <w:ind w:left="0"/>
              <w:jc w:val="center"/>
              <w:rPr>
                <w:sz w:val="22"/>
                <w:lang w:val="uk-UA"/>
              </w:rPr>
            </w:pPr>
            <w:r w:rsidRPr="00C86B34">
              <w:rPr>
                <w:sz w:val="22"/>
                <w:lang w:val="uk-UA"/>
              </w:rPr>
              <w:t>14300</w:t>
            </w:r>
          </w:p>
        </w:tc>
      </w:tr>
      <w:tr w:rsidR="00E95FB1" w:rsidRPr="00C86B34" w:rsidTr="001B3967">
        <w:trPr>
          <w:trHeight w:val="184"/>
        </w:trPr>
        <w:tc>
          <w:tcPr>
            <w:tcW w:w="26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5FB1" w:rsidRPr="00C86B34" w:rsidRDefault="00E95FB1" w:rsidP="001B3967">
            <w:pPr>
              <w:rPr>
                <w:b/>
                <w:sz w:val="22"/>
                <w:lang w:val="uk-UA"/>
              </w:rPr>
            </w:pPr>
          </w:p>
        </w:tc>
        <w:tc>
          <w:tcPr>
            <w:tcW w:w="3549" w:type="dxa"/>
            <w:gridSpan w:val="3"/>
            <w:tcBorders>
              <w:top w:val="single" w:sz="4" w:space="0" w:color="auto"/>
              <w:left w:val="single" w:sz="4" w:space="0" w:color="000000" w:themeColor="text1"/>
              <w:bottom w:val="single" w:sz="4" w:space="0" w:color="auto"/>
              <w:right w:val="single" w:sz="4" w:space="0" w:color="auto"/>
            </w:tcBorders>
            <w:hideMark/>
          </w:tcPr>
          <w:p w:rsidR="00E95FB1" w:rsidRPr="00C86B34" w:rsidRDefault="00E95FB1" w:rsidP="001B3967">
            <w:pPr>
              <w:pStyle w:val="a7"/>
              <w:ind w:left="0"/>
              <w:rPr>
                <w:sz w:val="22"/>
                <w:lang w:val="uk-UA"/>
              </w:rPr>
            </w:pPr>
            <w:r w:rsidRPr="00C86B34">
              <w:rPr>
                <w:sz w:val="22"/>
                <w:lang w:val="uk-UA"/>
              </w:rPr>
              <w:t>Кількість відвідувань заходів  протягом  року</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E95FB1" w:rsidRPr="00C86B34" w:rsidRDefault="00E95FB1" w:rsidP="001B3967">
            <w:pPr>
              <w:pStyle w:val="a7"/>
              <w:ind w:left="0"/>
              <w:jc w:val="center"/>
              <w:rPr>
                <w:sz w:val="22"/>
                <w:lang w:val="uk-UA"/>
              </w:rPr>
            </w:pPr>
            <w:r w:rsidRPr="00C86B34">
              <w:rPr>
                <w:sz w:val="22"/>
                <w:lang w:val="uk-UA"/>
              </w:rPr>
              <w:t>осіб</w:t>
            </w:r>
          </w:p>
        </w:tc>
        <w:tc>
          <w:tcPr>
            <w:tcW w:w="1871" w:type="dxa"/>
            <w:gridSpan w:val="2"/>
            <w:tcBorders>
              <w:top w:val="single" w:sz="4" w:space="0" w:color="auto"/>
              <w:left w:val="single" w:sz="4" w:space="0" w:color="auto"/>
              <w:bottom w:val="single" w:sz="4" w:space="0" w:color="auto"/>
              <w:right w:val="single" w:sz="4" w:space="0" w:color="000000" w:themeColor="text1"/>
            </w:tcBorders>
            <w:vAlign w:val="center"/>
          </w:tcPr>
          <w:p w:rsidR="00E95FB1" w:rsidRPr="00C86B34" w:rsidRDefault="00E95FB1" w:rsidP="001B3967">
            <w:pPr>
              <w:pStyle w:val="a7"/>
              <w:ind w:left="0"/>
              <w:jc w:val="center"/>
              <w:rPr>
                <w:sz w:val="22"/>
                <w:lang w:val="uk-UA"/>
              </w:rPr>
            </w:pPr>
            <w:r w:rsidRPr="00C86B34">
              <w:rPr>
                <w:rFonts w:eastAsia="Calibri"/>
                <w:sz w:val="22"/>
                <w:lang w:val="uk-UA"/>
              </w:rPr>
              <w:t>27073</w:t>
            </w:r>
          </w:p>
        </w:tc>
      </w:tr>
      <w:tr w:rsidR="00E95FB1" w:rsidRPr="00C86B34" w:rsidTr="001B3967">
        <w:trPr>
          <w:trHeight w:val="184"/>
        </w:trPr>
        <w:tc>
          <w:tcPr>
            <w:tcW w:w="26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5FB1" w:rsidRPr="00C86B34" w:rsidRDefault="00E95FB1" w:rsidP="001B3967">
            <w:pPr>
              <w:rPr>
                <w:b/>
                <w:sz w:val="22"/>
                <w:lang w:val="uk-UA"/>
              </w:rPr>
            </w:pPr>
          </w:p>
        </w:tc>
        <w:tc>
          <w:tcPr>
            <w:tcW w:w="3549" w:type="dxa"/>
            <w:gridSpan w:val="3"/>
            <w:tcBorders>
              <w:top w:val="single" w:sz="4" w:space="0" w:color="auto"/>
              <w:left w:val="single" w:sz="4" w:space="0" w:color="000000" w:themeColor="text1"/>
              <w:bottom w:val="single" w:sz="4" w:space="0" w:color="auto"/>
              <w:right w:val="single" w:sz="4" w:space="0" w:color="auto"/>
            </w:tcBorders>
            <w:hideMark/>
          </w:tcPr>
          <w:p w:rsidR="00E95FB1" w:rsidRPr="00C86B34" w:rsidRDefault="00E95FB1" w:rsidP="001B3967">
            <w:pPr>
              <w:pStyle w:val="a7"/>
              <w:ind w:left="0"/>
              <w:rPr>
                <w:sz w:val="22"/>
                <w:lang w:val="uk-UA"/>
              </w:rPr>
            </w:pPr>
            <w:r w:rsidRPr="00C86B34">
              <w:rPr>
                <w:sz w:val="22"/>
                <w:lang w:val="uk-UA"/>
              </w:rPr>
              <w:t>Кількість заходів для користувачів</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E95FB1" w:rsidRPr="00C86B34" w:rsidRDefault="00E95FB1" w:rsidP="001B3967">
            <w:pPr>
              <w:pStyle w:val="a7"/>
              <w:ind w:left="0"/>
              <w:jc w:val="center"/>
              <w:rPr>
                <w:sz w:val="22"/>
                <w:lang w:val="uk-UA"/>
              </w:rPr>
            </w:pPr>
            <w:r w:rsidRPr="00C86B34">
              <w:rPr>
                <w:sz w:val="22"/>
                <w:lang w:val="uk-UA"/>
              </w:rPr>
              <w:t>одиниць</w:t>
            </w:r>
          </w:p>
        </w:tc>
        <w:tc>
          <w:tcPr>
            <w:tcW w:w="1871" w:type="dxa"/>
            <w:gridSpan w:val="2"/>
            <w:tcBorders>
              <w:top w:val="single" w:sz="4" w:space="0" w:color="auto"/>
              <w:left w:val="single" w:sz="4" w:space="0" w:color="auto"/>
              <w:bottom w:val="single" w:sz="4" w:space="0" w:color="auto"/>
              <w:right w:val="single" w:sz="4" w:space="0" w:color="000000" w:themeColor="text1"/>
            </w:tcBorders>
          </w:tcPr>
          <w:p w:rsidR="00E95FB1" w:rsidRPr="00C86B34" w:rsidRDefault="00E95FB1" w:rsidP="001B3967">
            <w:pPr>
              <w:pStyle w:val="a7"/>
              <w:ind w:left="0"/>
              <w:jc w:val="center"/>
              <w:rPr>
                <w:sz w:val="22"/>
                <w:lang w:val="uk-UA"/>
              </w:rPr>
            </w:pPr>
            <w:r w:rsidRPr="00C86B34">
              <w:rPr>
                <w:sz w:val="22"/>
                <w:lang w:val="uk-UA"/>
              </w:rPr>
              <w:t>241</w:t>
            </w:r>
          </w:p>
        </w:tc>
      </w:tr>
      <w:tr w:rsidR="00E95FB1" w:rsidRPr="00C86B34" w:rsidTr="001B3967">
        <w:trPr>
          <w:trHeight w:val="165"/>
        </w:trPr>
        <w:tc>
          <w:tcPr>
            <w:tcW w:w="26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5FB1" w:rsidRPr="00C86B34" w:rsidRDefault="00E95FB1" w:rsidP="001B3967">
            <w:pPr>
              <w:rPr>
                <w:b/>
                <w:sz w:val="22"/>
                <w:lang w:val="uk-UA"/>
              </w:rPr>
            </w:pPr>
          </w:p>
        </w:tc>
        <w:tc>
          <w:tcPr>
            <w:tcW w:w="3549" w:type="dxa"/>
            <w:gridSpan w:val="3"/>
            <w:tcBorders>
              <w:top w:val="single" w:sz="4" w:space="0" w:color="auto"/>
              <w:left w:val="single" w:sz="4" w:space="0" w:color="000000" w:themeColor="text1"/>
              <w:bottom w:val="single" w:sz="4" w:space="0" w:color="auto"/>
              <w:right w:val="single" w:sz="4" w:space="0" w:color="auto"/>
            </w:tcBorders>
            <w:hideMark/>
          </w:tcPr>
          <w:p w:rsidR="00E95FB1" w:rsidRPr="00C86B34" w:rsidRDefault="00E95FB1" w:rsidP="001B3967">
            <w:pPr>
              <w:pStyle w:val="a7"/>
              <w:ind w:left="0"/>
              <w:rPr>
                <w:sz w:val="22"/>
                <w:lang w:val="uk-UA"/>
              </w:rPr>
            </w:pPr>
            <w:r w:rsidRPr="00C86B34">
              <w:rPr>
                <w:sz w:val="22"/>
                <w:lang w:val="uk-UA"/>
              </w:rPr>
              <w:t>Середня вартість послуг</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E95FB1" w:rsidRPr="00C86B34" w:rsidRDefault="00E95FB1" w:rsidP="001B3967">
            <w:pPr>
              <w:pStyle w:val="a7"/>
              <w:ind w:left="0"/>
              <w:jc w:val="center"/>
              <w:rPr>
                <w:sz w:val="22"/>
                <w:lang w:val="uk-UA"/>
              </w:rPr>
            </w:pPr>
            <w:r w:rsidRPr="00C86B34">
              <w:rPr>
                <w:sz w:val="22"/>
                <w:lang w:val="uk-UA"/>
              </w:rPr>
              <w:t>грн</w:t>
            </w:r>
          </w:p>
        </w:tc>
        <w:tc>
          <w:tcPr>
            <w:tcW w:w="1871" w:type="dxa"/>
            <w:gridSpan w:val="2"/>
            <w:tcBorders>
              <w:top w:val="single" w:sz="4" w:space="0" w:color="auto"/>
              <w:left w:val="single" w:sz="4" w:space="0" w:color="auto"/>
              <w:bottom w:val="single" w:sz="4" w:space="0" w:color="auto"/>
              <w:right w:val="single" w:sz="4" w:space="0" w:color="000000" w:themeColor="text1"/>
            </w:tcBorders>
          </w:tcPr>
          <w:p w:rsidR="00E95FB1" w:rsidRPr="00C86B34" w:rsidRDefault="00E95FB1" w:rsidP="001B3967">
            <w:pPr>
              <w:pStyle w:val="a7"/>
              <w:ind w:left="0"/>
              <w:jc w:val="center"/>
              <w:rPr>
                <w:sz w:val="22"/>
                <w:lang w:val="uk-UA"/>
              </w:rPr>
            </w:pPr>
            <w:r w:rsidRPr="00C86B34">
              <w:rPr>
                <w:sz w:val="22"/>
                <w:lang w:val="uk-UA"/>
              </w:rPr>
              <w:t>безкоштовно</w:t>
            </w:r>
          </w:p>
        </w:tc>
      </w:tr>
      <w:tr w:rsidR="00E95FB1" w:rsidRPr="00C86B34" w:rsidTr="001B3967">
        <w:trPr>
          <w:trHeight w:val="150"/>
        </w:trPr>
        <w:tc>
          <w:tcPr>
            <w:tcW w:w="26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5FB1" w:rsidRPr="00C86B34" w:rsidRDefault="00E95FB1" w:rsidP="001B3967">
            <w:pPr>
              <w:rPr>
                <w:b/>
                <w:sz w:val="22"/>
                <w:lang w:val="uk-UA"/>
              </w:rPr>
            </w:pPr>
          </w:p>
        </w:tc>
        <w:tc>
          <w:tcPr>
            <w:tcW w:w="3549" w:type="dxa"/>
            <w:gridSpan w:val="3"/>
            <w:tcBorders>
              <w:top w:val="single" w:sz="4" w:space="0" w:color="auto"/>
              <w:left w:val="single" w:sz="4" w:space="0" w:color="000000" w:themeColor="text1"/>
              <w:bottom w:val="single" w:sz="4" w:space="0" w:color="000000" w:themeColor="text1"/>
              <w:right w:val="single" w:sz="4" w:space="0" w:color="auto"/>
            </w:tcBorders>
            <w:hideMark/>
          </w:tcPr>
          <w:p w:rsidR="00E95FB1" w:rsidRPr="00C86B34" w:rsidRDefault="00E95FB1" w:rsidP="001B3967">
            <w:pPr>
              <w:pStyle w:val="a7"/>
              <w:ind w:left="0"/>
              <w:rPr>
                <w:sz w:val="22"/>
                <w:lang w:val="uk-UA"/>
              </w:rPr>
            </w:pPr>
            <w:r w:rsidRPr="00C86B34">
              <w:rPr>
                <w:sz w:val="22"/>
                <w:lang w:val="uk-UA"/>
              </w:rPr>
              <w:t>Термін надання послуги</w:t>
            </w:r>
          </w:p>
        </w:tc>
        <w:tc>
          <w:tcPr>
            <w:tcW w:w="1843" w:type="dxa"/>
            <w:gridSpan w:val="2"/>
            <w:tcBorders>
              <w:top w:val="single" w:sz="4" w:space="0" w:color="auto"/>
              <w:left w:val="single" w:sz="4" w:space="0" w:color="auto"/>
              <w:bottom w:val="single" w:sz="4" w:space="0" w:color="000000" w:themeColor="text1"/>
              <w:right w:val="single" w:sz="4" w:space="0" w:color="auto"/>
            </w:tcBorders>
            <w:vAlign w:val="center"/>
            <w:hideMark/>
          </w:tcPr>
          <w:p w:rsidR="00E95FB1" w:rsidRPr="00C86B34" w:rsidRDefault="00E95FB1" w:rsidP="001B3967">
            <w:pPr>
              <w:pStyle w:val="a7"/>
              <w:ind w:left="0"/>
              <w:jc w:val="center"/>
              <w:rPr>
                <w:sz w:val="22"/>
                <w:lang w:val="uk-UA"/>
              </w:rPr>
            </w:pPr>
            <w:r w:rsidRPr="00C86B34">
              <w:rPr>
                <w:sz w:val="22"/>
                <w:lang w:val="uk-UA"/>
              </w:rPr>
              <w:t>років</w:t>
            </w:r>
          </w:p>
        </w:tc>
        <w:tc>
          <w:tcPr>
            <w:tcW w:w="1871" w:type="dxa"/>
            <w:gridSpan w:val="2"/>
            <w:tcBorders>
              <w:top w:val="single" w:sz="4" w:space="0" w:color="auto"/>
              <w:left w:val="single" w:sz="4" w:space="0" w:color="auto"/>
              <w:bottom w:val="single" w:sz="4" w:space="0" w:color="000000" w:themeColor="text1"/>
              <w:right w:val="single" w:sz="4" w:space="0" w:color="000000" w:themeColor="text1"/>
            </w:tcBorders>
          </w:tcPr>
          <w:p w:rsidR="00E95FB1" w:rsidRPr="00C86B34" w:rsidRDefault="00E95FB1" w:rsidP="001B3967">
            <w:pPr>
              <w:pStyle w:val="a7"/>
              <w:ind w:left="0"/>
              <w:jc w:val="center"/>
              <w:rPr>
                <w:sz w:val="22"/>
                <w:lang w:val="uk-UA"/>
              </w:rPr>
            </w:pPr>
            <w:r w:rsidRPr="00C86B34">
              <w:rPr>
                <w:sz w:val="22"/>
                <w:lang w:val="uk-UA"/>
              </w:rPr>
              <w:t>Від 1 до 120</w:t>
            </w:r>
          </w:p>
        </w:tc>
      </w:tr>
      <w:tr w:rsidR="00E95FB1" w:rsidRPr="00C86B34" w:rsidTr="001B3967">
        <w:trPr>
          <w:trHeight w:val="150"/>
        </w:trPr>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95FB1" w:rsidRPr="00C86B34" w:rsidRDefault="00E95FB1" w:rsidP="001B3967">
            <w:pPr>
              <w:pStyle w:val="a7"/>
              <w:ind w:left="0"/>
              <w:rPr>
                <w:b/>
                <w:sz w:val="22"/>
                <w:lang w:val="uk-UA"/>
              </w:rPr>
            </w:pPr>
          </w:p>
        </w:tc>
        <w:tc>
          <w:tcPr>
            <w:tcW w:w="3549" w:type="dxa"/>
            <w:gridSpan w:val="3"/>
            <w:tcBorders>
              <w:top w:val="single" w:sz="4" w:space="0" w:color="auto"/>
              <w:left w:val="single" w:sz="4" w:space="0" w:color="000000" w:themeColor="text1"/>
              <w:bottom w:val="single" w:sz="4" w:space="0" w:color="000000" w:themeColor="text1"/>
              <w:right w:val="single" w:sz="4" w:space="0" w:color="auto"/>
            </w:tcBorders>
            <w:hideMark/>
          </w:tcPr>
          <w:p w:rsidR="00E95FB1" w:rsidRPr="00C86B34" w:rsidRDefault="00E95FB1" w:rsidP="00BE727B">
            <w:pPr>
              <w:pStyle w:val="a7"/>
              <w:ind w:left="0"/>
              <w:rPr>
                <w:sz w:val="22"/>
                <w:lang w:val="uk-UA"/>
              </w:rPr>
            </w:pPr>
            <w:r w:rsidRPr="00C86B34">
              <w:rPr>
                <w:sz w:val="22"/>
                <w:lang w:val="uk-UA"/>
              </w:rPr>
              <w:t>Кількість населених пунктів, як</w:t>
            </w:r>
            <w:r w:rsidR="00BE727B" w:rsidRPr="00C86B34">
              <w:rPr>
                <w:sz w:val="22"/>
                <w:lang w:val="uk-UA"/>
              </w:rPr>
              <w:t>і</w:t>
            </w:r>
            <w:r w:rsidRPr="00C86B34">
              <w:rPr>
                <w:sz w:val="22"/>
                <w:lang w:val="uk-UA"/>
              </w:rPr>
              <w:t xml:space="preserve"> обслуговує заклад</w:t>
            </w:r>
          </w:p>
        </w:tc>
        <w:tc>
          <w:tcPr>
            <w:tcW w:w="1843" w:type="dxa"/>
            <w:gridSpan w:val="2"/>
            <w:tcBorders>
              <w:top w:val="single" w:sz="4" w:space="0" w:color="auto"/>
              <w:left w:val="single" w:sz="4" w:space="0" w:color="auto"/>
              <w:bottom w:val="single" w:sz="4" w:space="0" w:color="000000" w:themeColor="text1"/>
              <w:right w:val="single" w:sz="4" w:space="0" w:color="auto"/>
            </w:tcBorders>
            <w:vAlign w:val="center"/>
            <w:hideMark/>
          </w:tcPr>
          <w:p w:rsidR="00E95FB1" w:rsidRPr="00C86B34" w:rsidRDefault="00E95FB1" w:rsidP="001B3967">
            <w:pPr>
              <w:pStyle w:val="a7"/>
              <w:ind w:left="0"/>
              <w:jc w:val="center"/>
              <w:rPr>
                <w:sz w:val="22"/>
                <w:lang w:val="uk-UA"/>
              </w:rPr>
            </w:pPr>
            <w:r w:rsidRPr="00C86B34">
              <w:rPr>
                <w:sz w:val="22"/>
                <w:lang w:val="uk-UA"/>
              </w:rPr>
              <w:t>одиниць</w:t>
            </w:r>
          </w:p>
        </w:tc>
        <w:tc>
          <w:tcPr>
            <w:tcW w:w="1871" w:type="dxa"/>
            <w:gridSpan w:val="2"/>
            <w:tcBorders>
              <w:top w:val="single" w:sz="4" w:space="0" w:color="auto"/>
              <w:left w:val="single" w:sz="4" w:space="0" w:color="auto"/>
              <w:bottom w:val="single" w:sz="4" w:space="0" w:color="000000" w:themeColor="text1"/>
              <w:right w:val="single" w:sz="4" w:space="0" w:color="000000" w:themeColor="text1"/>
            </w:tcBorders>
            <w:vAlign w:val="center"/>
          </w:tcPr>
          <w:p w:rsidR="00E95FB1" w:rsidRPr="00C86B34" w:rsidRDefault="00E95FB1" w:rsidP="001B3967">
            <w:pPr>
              <w:pStyle w:val="a7"/>
              <w:ind w:left="0"/>
              <w:jc w:val="center"/>
              <w:rPr>
                <w:sz w:val="22"/>
                <w:lang w:val="uk-UA"/>
              </w:rPr>
            </w:pPr>
            <w:r w:rsidRPr="00C86B34">
              <w:rPr>
                <w:sz w:val="22"/>
                <w:lang w:val="uk-UA"/>
              </w:rPr>
              <w:t>20</w:t>
            </w:r>
          </w:p>
        </w:tc>
      </w:tr>
      <w:tr w:rsidR="00E95FB1" w:rsidRPr="00C86B34" w:rsidTr="001B3967">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95FB1" w:rsidRPr="00C86B34" w:rsidRDefault="00E95FB1" w:rsidP="001B3967">
            <w:pPr>
              <w:rPr>
                <w:b/>
                <w:sz w:val="22"/>
                <w:lang w:val="uk-UA"/>
              </w:rPr>
            </w:pPr>
            <w:r w:rsidRPr="00C86B34">
              <w:rPr>
                <w:b/>
                <w:sz w:val="22"/>
                <w:lang w:val="uk-UA"/>
              </w:rPr>
              <w:t xml:space="preserve">Ключові заходи проекту: </w:t>
            </w:r>
          </w:p>
          <w:p w:rsidR="00E95FB1" w:rsidRPr="00C86B34" w:rsidRDefault="00E95FB1" w:rsidP="001B3967">
            <w:pPr>
              <w:pStyle w:val="a7"/>
              <w:ind w:left="0"/>
              <w:rPr>
                <w:b/>
                <w:sz w:val="22"/>
                <w:lang w:val="uk-UA"/>
              </w:rPr>
            </w:pPr>
          </w:p>
        </w:tc>
        <w:tc>
          <w:tcPr>
            <w:tcW w:w="726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5FB1" w:rsidRPr="00C86B34" w:rsidRDefault="00E95FB1" w:rsidP="001B3967">
            <w:pPr>
              <w:pStyle w:val="a7"/>
              <w:ind w:left="0"/>
              <w:rPr>
                <w:sz w:val="22"/>
                <w:lang w:val="uk-UA"/>
              </w:rPr>
            </w:pPr>
            <w:r w:rsidRPr="00C86B34">
              <w:rPr>
                <w:sz w:val="22"/>
                <w:lang w:val="uk-UA"/>
              </w:rPr>
              <w:t>- проведення інвентаризації основних засобів;</w:t>
            </w:r>
          </w:p>
          <w:p w:rsidR="00E95FB1" w:rsidRPr="00C86B34" w:rsidRDefault="00E95FB1" w:rsidP="001B3967">
            <w:pPr>
              <w:pStyle w:val="a7"/>
              <w:ind w:left="0"/>
              <w:rPr>
                <w:sz w:val="22"/>
                <w:lang w:val="uk-UA"/>
              </w:rPr>
            </w:pPr>
            <w:r w:rsidRPr="00C86B34">
              <w:rPr>
                <w:sz w:val="22"/>
                <w:lang w:val="uk-UA"/>
              </w:rPr>
              <w:t xml:space="preserve">- визначення кількості осіб, які потребують отримання послуг; </w:t>
            </w:r>
          </w:p>
          <w:p w:rsidR="00E95FB1" w:rsidRPr="00C86B34" w:rsidRDefault="00E95FB1" w:rsidP="001B3967">
            <w:pPr>
              <w:pStyle w:val="a7"/>
              <w:ind w:left="0"/>
              <w:rPr>
                <w:sz w:val="22"/>
                <w:lang w:val="uk-UA"/>
              </w:rPr>
            </w:pPr>
            <w:r w:rsidRPr="00C86B34">
              <w:rPr>
                <w:sz w:val="22"/>
                <w:lang w:val="uk-UA"/>
              </w:rPr>
              <w:t>- придбання технічного забезпечення закладу;</w:t>
            </w:r>
          </w:p>
          <w:p w:rsidR="00E95FB1" w:rsidRPr="00C86B34" w:rsidRDefault="00E95FB1" w:rsidP="001B3967">
            <w:pPr>
              <w:pStyle w:val="a7"/>
              <w:ind w:left="0"/>
              <w:rPr>
                <w:sz w:val="22"/>
                <w:lang w:val="uk-UA"/>
              </w:rPr>
            </w:pPr>
            <w:r w:rsidRPr="00C86B34">
              <w:rPr>
                <w:sz w:val="22"/>
                <w:lang w:val="uk-UA"/>
              </w:rPr>
              <w:t>- придбання технологічного забезпечення;</w:t>
            </w:r>
          </w:p>
          <w:p w:rsidR="00E95FB1" w:rsidRPr="00C86B34" w:rsidRDefault="00E95FB1" w:rsidP="001B3967">
            <w:pPr>
              <w:pStyle w:val="a7"/>
              <w:ind w:left="0"/>
              <w:rPr>
                <w:sz w:val="22"/>
                <w:lang w:val="uk-UA"/>
              </w:rPr>
            </w:pPr>
            <w:r w:rsidRPr="00C86B34">
              <w:rPr>
                <w:sz w:val="22"/>
                <w:lang w:val="uk-UA"/>
              </w:rPr>
              <w:t>- оновлення книжкового фонду, фонду періодичних видань бібліотечного фонду;</w:t>
            </w:r>
          </w:p>
          <w:p w:rsidR="00E95FB1" w:rsidRPr="00C86B34" w:rsidRDefault="00E95FB1" w:rsidP="001B3967">
            <w:pPr>
              <w:pStyle w:val="a7"/>
              <w:ind w:left="0"/>
              <w:rPr>
                <w:sz w:val="22"/>
                <w:lang w:val="uk-UA"/>
              </w:rPr>
            </w:pPr>
            <w:r w:rsidRPr="00C86B34">
              <w:rPr>
                <w:sz w:val="22"/>
                <w:lang w:val="uk-UA"/>
              </w:rPr>
              <w:t>- організація та початок робочого процесу (книговидача та проведення заходів).</w:t>
            </w:r>
          </w:p>
        </w:tc>
      </w:tr>
      <w:tr w:rsidR="00E95FB1" w:rsidRPr="00C86B34" w:rsidTr="001B3967">
        <w:trPr>
          <w:trHeight w:val="360"/>
        </w:trPr>
        <w:tc>
          <w:tcPr>
            <w:tcW w:w="26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 xml:space="preserve">Орієнтовний обсяг та джерела фінансування, тис. грн. </w:t>
            </w:r>
          </w:p>
          <w:p w:rsidR="00E95FB1" w:rsidRPr="00C86B34" w:rsidRDefault="00E95FB1" w:rsidP="001B3967">
            <w:pPr>
              <w:pStyle w:val="a7"/>
              <w:ind w:left="0"/>
              <w:rPr>
                <w:b/>
                <w:sz w:val="22"/>
                <w:lang w:val="uk-UA"/>
              </w:rPr>
            </w:pPr>
          </w:p>
        </w:tc>
        <w:tc>
          <w:tcPr>
            <w:tcW w:w="1355" w:type="dxa"/>
            <w:tcBorders>
              <w:top w:val="single" w:sz="4" w:space="0" w:color="000000" w:themeColor="text1"/>
              <w:left w:val="single" w:sz="4" w:space="0" w:color="000000" w:themeColor="text1"/>
              <w:bottom w:val="single" w:sz="4" w:space="0" w:color="auto"/>
              <w:right w:val="single" w:sz="4" w:space="0" w:color="auto"/>
            </w:tcBorders>
            <w:hideMark/>
          </w:tcPr>
          <w:p w:rsidR="00E95FB1" w:rsidRPr="00C86B34" w:rsidRDefault="00E95FB1" w:rsidP="001B3967">
            <w:pPr>
              <w:pStyle w:val="a7"/>
              <w:ind w:left="0"/>
              <w:jc w:val="center"/>
              <w:rPr>
                <w:b/>
                <w:sz w:val="22"/>
                <w:lang w:val="uk-UA"/>
              </w:rPr>
            </w:pPr>
            <w:r w:rsidRPr="00C86B34">
              <w:rPr>
                <w:b/>
                <w:sz w:val="22"/>
                <w:lang w:val="uk-UA"/>
              </w:rPr>
              <w:t>Державний бюджет</w:t>
            </w:r>
          </w:p>
        </w:tc>
        <w:tc>
          <w:tcPr>
            <w:tcW w:w="1711" w:type="dxa"/>
            <w:tcBorders>
              <w:top w:val="single" w:sz="4" w:space="0" w:color="000000" w:themeColor="text1"/>
              <w:left w:val="single" w:sz="4" w:space="0" w:color="000000" w:themeColor="text1"/>
              <w:bottom w:val="single" w:sz="4" w:space="0" w:color="auto"/>
              <w:right w:val="single" w:sz="4" w:space="0" w:color="auto"/>
            </w:tcBorders>
            <w:hideMark/>
          </w:tcPr>
          <w:p w:rsidR="00E95FB1" w:rsidRPr="00C86B34" w:rsidRDefault="00E95FB1" w:rsidP="001B3967">
            <w:pPr>
              <w:pStyle w:val="a7"/>
              <w:ind w:left="0"/>
              <w:jc w:val="center"/>
              <w:rPr>
                <w:b/>
                <w:sz w:val="22"/>
                <w:lang w:val="uk-UA"/>
              </w:rPr>
            </w:pPr>
            <w:r w:rsidRPr="00C86B34">
              <w:rPr>
                <w:b/>
                <w:sz w:val="22"/>
                <w:lang w:val="uk-UA"/>
              </w:rPr>
              <w:t>Місцевий бюджет</w:t>
            </w:r>
          </w:p>
        </w:tc>
        <w:tc>
          <w:tcPr>
            <w:tcW w:w="2787" w:type="dxa"/>
            <w:gridSpan w:val="4"/>
            <w:tcBorders>
              <w:top w:val="single" w:sz="4" w:space="0" w:color="000000" w:themeColor="text1"/>
              <w:left w:val="single" w:sz="4" w:space="0" w:color="auto"/>
              <w:bottom w:val="single" w:sz="4" w:space="0" w:color="auto"/>
              <w:right w:val="single" w:sz="4" w:space="0" w:color="auto"/>
            </w:tcBorders>
            <w:hideMark/>
          </w:tcPr>
          <w:p w:rsidR="00E95FB1" w:rsidRPr="00C86B34" w:rsidRDefault="00E95FB1" w:rsidP="001B3967">
            <w:pPr>
              <w:pStyle w:val="a7"/>
              <w:ind w:left="0"/>
              <w:jc w:val="center"/>
              <w:rPr>
                <w:b/>
                <w:sz w:val="22"/>
                <w:lang w:val="uk-UA"/>
              </w:rPr>
            </w:pPr>
            <w:r w:rsidRPr="00C86B34">
              <w:rPr>
                <w:b/>
                <w:sz w:val="22"/>
                <w:lang w:val="uk-UA"/>
              </w:rPr>
              <w:t>Інші джерела</w:t>
            </w:r>
          </w:p>
        </w:tc>
        <w:tc>
          <w:tcPr>
            <w:tcW w:w="1410" w:type="dxa"/>
            <w:tcBorders>
              <w:top w:val="single" w:sz="4" w:space="0" w:color="000000" w:themeColor="text1"/>
              <w:left w:val="single" w:sz="4" w:space="0" w:color="auto"/>
              <w:bottom w:val="single" w:sz="4" w:space="0" w:color="auto"/>
              <w:right w:val="single" w:sz="4" w:space="0" w:color="000000" w:themeColor="text1"/>
            </w:tcBorders>
          </w:tcPr>
          <w:p w:rsidR="00E95FB1" w:rsidRPr="00C86B34" w:rsidRDefault="00E95FB1" w:rsidP="001B3967">
            <w:pPr>
              <w:pStyle w:val="a7"/>
              <w:ind w:left="0"/>
              <w:jc w:val="center"/>
              <w:rPr>
                <w:b/>
                <w:sz w:val="22"/>
                <w:lang w:val="uk-UA"/>
              </w:rPr>
            </w:pPr>
            <w:r w:rsidRPr="00C86B34">
              <w:rPr>
                <w:b/>
                <w:sz w:val="22"/>
                <w:lang w:val="uk-UA"/>
              </w:rPr>
              <w:t>Всього</w:t>
            </w:r>
          </w:p>
          <w:p w:rsidR="00E95FB1" w:rsidRPr="00C86B34" w:rsidRDefault="00E95FB1" w:rsidP="001B3967">
            <w:pPr>
              <w:ind w:left="-79"/>
              <w:rPr>
                <w:b/>
                <w:sz w:val="22"/>
                <w:lang w:val="uk-UA"/>
              </w:rPr>
            </w:pPr>
            <w:r w:rsidRPr="00C86B34">
              <w:rPr>
                <w:b/>
                <w:sz w:val="22"/>
                <w:lang w:val="uk-UA"/>
              </w:rPr>
              <w:t>тис. грн.</w:t>
            </w:r>
          </w:p>
          <w:p w:rsidR="00E95FB1" w:rsidRPr="00C86B34" w:rsidRDefault="00E95FB1" w:rsidP="001B3967">
            <w:pPr>
              <w:pStyle w:val="a7"/>
              <w:ind w:left="0"/>
              <w:jc w:val="center"/>
              <w:rPr>
                <w:b/>
                <w:sz w:val="22"/>
                <w:lang w:val="uk-UA"/>
              </w:rPr>
            </w:pPr>
          </w:p>
        </w:tc>
      </w:tr>
      <w:tr w:rsidR="00E95FB1" w:rsidRPr="00C86B34" w:rsidTr="001B3967">
        <w:trPr>
          <w:trHeight w:val="225"/>
        </w:trPr>
        <w:tc>
          <w:tcPr>
            <w:tcW w:w="26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5FB1" w:rsidRPr="00C86B34" w:rsidRDefault="00E95FB1" w:rsidP="001B3967">
            <w:pPr>
              <w:rPr>
                <w:b/>
                <w:sz w:val="22"/>
                <w:lang w:val="uk-UA"/>
              </w:rPr>
            </w:pPr>
          </w:p>
        </w:tc>
        <w:tc>
          <w:tcPr>
            <w:tcW w:w="1355" w:type="dxa"/>
            <w:vMerge w:val="restart"/>
            <w:tcBorders>
              <w:top w:val="single" w:sz="4" w:space="0" w:color="auto"/>
              <w:left w:val="single" w:sz="4" w:space="0" w:color="000000" w:themeColor="text1"/>
              <w:bottom w:val="single" w:sz="4" w:space="0" w:color="000000" w:themeColor="text1"/>
              <w:right w:val="single" w:sz="4" w:space="0" w:color="auto"/>
            </w:tcBorders>
          </w:tcPr>
          <w:p w:rsidR="00E95FB1" w:rsidRPr="00C86B34" w:rsidRDefault="00053A15" w:rsidP="001B3967">
            <w:pPr>
              <w:ind w:left="-79"/>
              <w:jc w:val="center"/>
              <w:rPr>
                <w:sz w:val="22"/>
              </w:rPr>
            </w:pPr>
            <w:r w:rsidRPr="00C86B34">
              <w:rPr>
                <w:sz w:val="22"/>
              </w:rPr>
              <w:t>1653,777</w:t>
            </w:r>
          </w:p>
        </w:tc>
        <w:tc>
          <w:tcPr>
            <w:tcW w:w="1711" w:type="dxa"/>
            <w:vMerge w:val="restart"/>
            <w:tcBorders>
              <w:top w:val="single" w:sz="4" w:space="0" w:color="auto"/>
              <w:left w:val="single" w:sz="4" w:space="0" w:color="000000" w:themeColor="text1"/>
              <w:bottom w:val="single" w:sz="4" w:space="0" w:color="000000" w:themeColor="text1"/>
              <w:right w:val="single" w:sz="4" w:space="0" w:color="auto"/>
            </w:tcBorders>
          </w:tcPr>
          <w:p w:rsidR="00E95FB1" w:rsidRPr="00C86B34" w:rsidRDefault="00E95FB1" w:rsidP="001B3967">
            <w:pPr>
              <w:pStyle w:val="a7"/>
              <w:ind w:left="0"/>
              <w:jc w:val="center"/>
              <w:rPr>
                <w:sz w:val="22"/>
                <w:lang w:val="uk-UA"/>
              </w:rPr>
            </w:pPr>
          </w:p>
        </w:tc>
        <w:tc>
          <w:tcPr>
            <w:tcW w:w="1332" w:type="dxa"/>
            <w:gridSpan w:val="2"/>
            <w:tcBorders>
              <w:top w:val="single" w:sz="4" w:space="0" w:color="auto"/>
              <w:left w:val="single" w:sz="4" w:space="0" w:color="auto"/>
              <w:bottom w:val="single" w:sz="4" w:space="0" w:color="auto"/>
              <w:right w:val="single" w:sz="4" w:space="0" w:color="auto"/>
            </w:tcBorders>
            <w:hideMark/>
          </w:tcPr>
          <w:p w:rsidR="00E95FB1" w:rsidRPr="00C86B34" w:rsidRDefault="00E95FB1" w:rsidP="001B3967">
            <w:pPr>
              <w:pStyle w:val="a7"/>
              <w:ind w:left="0"/>
              <w:jc w:val="center"/>
              <w:rPr>
                <w:sz w:val="22"/>
                <w:lang w:val="uk-UA"/>
              </w:rPr>
            </w:pPr>
            <w:r w:rsidRPr="00C86B34">
              <w:rPr>
                <w:sz w:val="22"/>
                <w:lang w:val="uk-UA"/>
              </w:rPr>
              <w:t>Обсяг тис. грн.</w:t>
            </w:r>
          </w:p>
        </w:tc>
        <w:tc>
          <w:tcPr>
            <w:tcW w:w="1455" w:type="dxa"/>
            <w:gridSpan w:val="2"/>
            <w:tcBorders>
              <w:top w:val="single" w:sz="4" w:space="0" w:color="auto"/>
              <w:left w:val="single" w:sz="4" w:space="0" w:color="auto"/>
              <w:bottom w:val="single" w:sz="4" w:space="0" w:color="auto"/>
              <w:right w:val="single" w:sz="4" w:space="0" w:color="auto"/>
            </w:tcBorders>
            <w:hideMark/>
          </w:tcPr>
          <w:p w:rsidR="00E95FB1" w:rsidRPr="00C86B34" w:rsidRDefault="00E95FB1" w:rsidP="001B3967">
            <w:pPr>
              <w:pStyle w:val="a7"/>
              <w:ind w:left="0"/>
              <w:jc w:val="center"/>
              <w:rPr>
                <w:sz w:val="22"/>
                <w:lang w:val="uk-UA"/>
              </w:rPr>
            </w:pPr>
            <w:r w:rsidRPr="00C86B34">
              <w:rPr>
                <w:sz w:val="22"/>
                <w:lang w:val="uk-UA"/>
              </w:rPr>
              <w:t>Назва джерела</w:t>
            </w:r>
          </w:p>
        </w:tc>
        <w:tc>
          <w:tcPr>
            <w:tcW w:w="1410" w:type="dxa"/>
            <w:vMerge w:val="restart"/>
            <w:tcBorders>
              <w:top w:val="single" w:sz="4" w:space="0" w:color="auto"/>
              <w:left w:val="single" w:sz="4" w:space="0" w:color="auto"/>
              <w:bottom w:val="single" w:sz="4" w:space="0" w:color="000000" w:themeColor="text1"/>
              <w:right w:val="single" w:sz="4" w:space="0" w:color="000000" w:themeColor="text1"/>
            </w:tcBorders>
            <w:hideMark/>
          </w:tcPr>
          <w:p w:rsidR="00E95FB1" w:rsidRPr="00C86B34" w:rsidRDefault="00E95FB1" w:rsidP="001B3967">
            <w:pPr>
              <w:pStyle w:val="a7"/>
              <w:ind w:left="0"/>
              <w:jc w:val="center"/>
              <w:rPr>
                <w:color w:val="FF0000"/>
                <w:sz w:val="22"/>
                <w:lang w:val="uk-UA"/>
              </w:rPr>
            </w:pPr>
            <w:r w:rsidRPr="00C86B34">
              <w:rPr>
                <w:sz w:val="22"/>
                <w:lang w:val="uk-UA"/>
              </w:rPr>
              <w:t>2 362,538</w:t>
            </w:r>
          </w:p>
        </w:tc>
      </w:tr>
      <w:tr w:rsidR="00E95FB1" w:rsidRPr="00C86B34" w:rsidTr="001B3967">
        <w:trPr>
          <w:trHeight w:val="300"/>
        </w:trPr>
        <w:tc>
          <w:tcPr>
            <w:tcW w:w="26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5FB1" w:rsidRPr="00C86B34" w:rsidRDefault="00E95FB1" w:rsidP="001B3967">
            <w:pPr>
              <w:rPr>
                <w:b/>
                <w:sz w:val="22"/>
                <w:lang w:val="uk-UA"/>
              </w:rPr>
            </w:pPr>
          </w:p>
        </w:tc>
        <w:tc>
          <w:tcPr>
            <w:tcW w:w="1355"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E95FB1" w:rsidRPr="00C86B34" w:rsidRDefault="00E95FB1" w:rsidP="001B3967">
            <w:pPr>
              <w:rPr>
                <w:sz w:val="22"/>
                <w:lang w:val="uk-UA"/>
              </w:rPr>
            </w:pPr>
          </w:p>
        </w:tc>
        <w:tc>
          <w:tcPr>
            <w:tcW w:w="0" w:type="auto"/>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E95FB1" w:rsidRPr="00C86B34" w:rsidRDefault="00E95FB1" w:rsidP="001B3967">
            <w:pPr>
              <w:rPr>
                <w:sz w:val="22"/>
                <w:lang w:val="uk-UA"/>
              </w:rPr>
            </w:pPr>
          </w:p>
        </w:tc>
        <w:tc>
          <w:tcPr>
            <w:tcW w:w="1332" w:type="dxa"/>
            <w:gridSpan w:val="2"/>
            <w:tcBorders>
              <w:top w:val="single" w:sz="4" w:space="0" w:color="auto"/>
              <w:left w:val="single" w:sz="4" w:space="0" w:color="auto"/>
              <w:bottom w:val="single" w:sz="4" w:space="0" w:color="000000" w:themeColor="text1"/>
              <w:right w:val="single" w:sz="4" w:space="0" w:color="auto"/>
            </w:tcBorders>
            <w:hideMark/>
          </w:tcPr>
          <w:p w:rsidR="00E95FB1" w:rsidRPr="00C86B34" w:rsidRDefault="00053A15" w:rsidP="001B3967">
            <w:pPr>
              <w:ind w:left="-79"/>
              <w:jc w:val="center"/>
              <w:rPr>
                <w:sz w:val="22"/>
              </w:rPr>
            </w:pPr>
            <w:r w:rsidRPr="00C86B34">
              <w:rPr>
                <w:sz w:val="22"/>
              </w:rPr>
              <w:t>708,761</w:t>
            </w:r>
          </w:p>
        </w:tc>
        <w:tc>
          <w:tcPr>
            <w:tcW w:w="1455" w:type="dxa"/>
            <w:gridSpan w:val="2"/>
            <w:tcBorders>
              <w:top w:val="single" w:sz="4" w:space="0" w:color="auto"/>
              <w:left w:val="single" w:sz="4" w:space="0" w:color="auto"/>
              <w:bottom w:val="single" w:sz="4" w:space="0" w:color="000000" w:themeColor="text1"/>
              <w:right w:val="single" w:sz="4" w:space="0" w:color="auto"/>
            </w:tcBorders>
            <w:hideMark/>
          </w:tcPr>
          <w:p w:rsidR="00E95FB1" w:rsidRPr="00C86B34" w:rsidRDefault="00E95FB1" w:rsidP="001B3967">
            <w:pPr>
              <w:pStyle w:val="a7"/>
              <w:ind w:left="0"/>
              <w:jc w:val="center"/>
              <w:rPr>
                <w:sz w:val="22"/>
                <w:lang w:val="uk-UA"/>
              </w:rPr>
            </w:pPr>
            <w:r w:rsidRPr="00C86B34">
              <w:rPr>
                <w:sz w:val="22"/>
                <w:lang w:val="uk-UA"/>
              </w:rPr>
              <w:t>Міжнародні інвестиції, кошти приватних осіб</w:t>
            </w:r>
          </w:p>
        </w:tc>
        <w:tc>
          <w:tcPr>
            <w:tcW w:w="0" w:type="auto"/>
            <w:vMerge/>
            <w:tcBorders>
              <w:top w:val="single" w:sz="4" w:space="0" w:color="auto"/>
              <w:left w:val="single" w:sz="4" w:space="0" w:color="auto"/>
              <w:bottom w:val="single" w:sz="4" w:space="0" w:color="000000" w:themeColor="text1"/>
              <w:right w:val="single" w:sz="4" w:space="0" w:color="000000" w:themeColor="text1"/>
            </w:tcBorders>
            <w:vAlign w:val="center"/>
            <w:hideMark/>
          </w:tcPr>
          <w:p w:rsidR="00E95FB1" w:rsidRPr="00C86B34" w:rsidRDefault="00E95FB1" w:rsidP="001B3967">
            <w:pPr>
              <w:rPr>
                <w:color w:val="FF0000"/>
                <w:sz w:val="22"/>
                <w:lang w:val="uk-UA"/>
              </w:rPr>
            </w:pPr>
          </w:p>
        </w:tc>
      </w:tr>
    </w:tbl>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tbl>
      <w:tblPr>
        <w:tblStyle w:val="af"/>
        <w:tblW w:w="9957" w:type="dxa"/>
        <w:tblInd w:w="-176" w:type="dxa"/>
        <w:tblLook w:val="04A0" w:firstRow="1" w:lastRow="0" w:firstColumn="1" w:lastColumn="0" w:noHBand="0" w:noVBand="1"/>
      </w:tblPr>
      <w:tblGrid>
        <w:gridCol w:w="2652"/>
        <w:gridCol w:w="1356"/>
        <w:gridCol w:w="1618"/>
        <w:gridCol w:w="620"/>
        <w:gridCol w:w="788"/>
        <w:gridCol w:w="1055"/>
        <w:gridCol w:w="396"/>
        <w:gridCol w:w="1472"/>
      </w:tblGrid>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Оперативна ціль/завдання</w:t>
            </w:r>
          </w:p>
        </w:tc>
        <w:tc>
          <w:tcPr>
            <w:tcW w:w="7263" w:type="dxa"/>
            <w:gridSpan w:val="7"/>
            <w:shd w:val="clear" w:color="auto" w:fill="auto"/>
          </w:tcPr>
          <w:p w:rsidR="00E95FB1" w:rsidRPr="00C86B34" w:rsidRDefault="00BE727B" w:rsidP="001B3967">
            <w:pPr>
              <w:pStyle w:val="a7"/>
              <w:ind w:left="0"/>
              <w:rPr>
                <w:sz w:val="22"/>
                <w:lang w:val="uk-UA"/>
              </w:rPr>
            </w:pPr>
            <w:r w:rsidRPr="00C86B34">
              <w:rPr>
                <w:rFonts w:eastAsia="Arial"/>
                <w:sz w:val="22"/>
                <w:lang w:val="uk-UA"/>
              </w:rPr>
              <w:t xml:space="preserve">Людський розвиток </w:t>
            </w:r>
            <w:r w:rsidR="00E95FB1" w:rsidRPr="00C86B34">
              <w:rPr>
                <w:rFonts w:eastAsia="Arial"/>
                <w:sz w:val="22"/>
                <w:lang w:val="uk-UA"/>
              </w:rPr>
              <w:t>через інновації управління та довіру до влади</w:t>
            </w:r>
          </w:p>
          <w:p w:rsidR="00E95FB1" w:rsidRPr="00C86B34" w:rsidRDefault="00E95FB1" w:rsidP="001B3967">
            <w:pPr>
              <w:pStyle w:val="a7"/>
              <w:ind w:left="0"/>
              <w:rPr>
                <w:b/>
                <w:sz w:val="22"/>
                <w:lang w:val="uk-UA"/>
              </w:rPr>
            </w:pPr>
            <w:r w:rsidRPr="00C86B34">
              <w:rPr>
                <w:rFonts w:eastAsia="Arial"/>
                <w:sz w:val="22"/>
                <w:lang w:val="uk-UA"/>
              </w:rPr>
              <w:t xml:space="preserve">Формування сучасного інклюзивного </w:t>
            </w:r>
            <w:proofErr w:type="spellStart"/>
            <w:r w:rsidRPr="00C86B34">
              <w:rPr>
                <w:rFonts w:eastAsia="Arial"/>
                <w:sz w:val="22"/>
                <w:lang w:val="uk-UA"/>
              </w:rPr>
              <w:t>освітньо</w:t>
            </w:r>
            <w:proofErr w:type="spellEnd"/>
            <w:r w:rsidRPr="00C86B34">
              <w:rPr>
                <w:rFonts w:eastAsia="Arial"/>
                <w:sz w:val="22"/>
                <w:lang w:val="uk-UA"/>
              </w:rPr>
              <w:t xml:space="preserve"> – культурного та спортивного простору для розвитку</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Назва проекту:</w:t>
            </w:r>
          </w:p>
        </w:tc>
        <w:tc>
          <w:tcPr>
            <w:tcW w:w="7263" w:type="dxa"/>
            <w:gridSpan w:val="7"/>
          </w:tcPr>
          <w:p w:rsidR="00E95FB1" w:rsidRPr="00C86B34" w:rsidRDefault="00E95FB1" w:rsidP="001B3967">
            <w:pPr>
              <w:pStyle w:val="a7"/>
              <w:ind w:left="0"/>
              <w:rPr>
                <w:sz w:val="22"/>
                <w:lang w:val="uk-UA"/>
              </w:rPr>
            </w:pPr>
            <w:r w:rsidRPr="00C86B34">
              <w:rPr>
                <w:sz w:val="22"/>
                <w:lang w:val="uk-UA"/>
              </w:rPr>
              <w:t>Відновлення діяльності Комунального Закладу «Сєвєродонецький міський Палац культури»</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Ціль проекту</w:t>
            </w:r>
          </w:p>
        </w:tc>
        <w:tc>
          <w:tcPr>
            <w:tcW w:w="7263" w:type="dxa"/>
            <w:gridSpan w:val="7"/>
          </w:tcPr>
          <w:p w:rsidR="00E95FB1" w:rsidRPr="00C86B34" w:rsidRDefault="00E95FB1" w:rsidP="00477332">
            <w:pPr>
              <w:pStyle w:val="a7"/>
              <w:ind w:left="0"/>
              <w:rPr>
                <w:sz w:val="22"/>
                <w:lang w:val="uk-UA"/>
              </w:rPr>
            </w:pPr>
            <w:r w:rsidRPr="00C86B34">
              <w:rPr>
                <w:sz w:val="22"/>
                <w:lang w:val="uk-UA"/>
              </w:rPr>
              <w:t>Відновити та покращити роботу Комунального Закладу «Сєвєродонецький міський Палац культури» для надання широкого спектру послуг, пов’язаних із якістю та задоволення</w:t>
            </w:r>
            <w:r w:rsidR="00477332" w:rsidRPr="00C86B34">
              <w:rPr>
                <w:sz w:val="22"/>
                <w:lang w:val="uk-UA"/>
              </w:rPr>
              <w:t>м</w:t>
            </w:r>
            <w:r w:rsidRPr="00C86B34">
              <w:rPr>
                <w:sz w:val="22"/>
                <w:lang w:val="uk-UA"/>
              </w:rPr>
              <w:t xml:space="preserve"> потреб мешканців Сєвєродонецької міської територіальної громади у необхідних послугах (або створенні умов </w:t>
            </w:r>
            <w:r w:rsidRPr="00C86B34">
              <w:rPr>
                <w:sz w:val="22"/>
                <w:lang w:val="uk-UA"/>
              </w:rPr>
              <w:lastRenderedPageBreak/>
              <w:t xml:space="preserve">для реалізації індивідуальних програм, набуття ними відповідних </w:t>
            </w:r>
            <w:proofErr w:type="spellStart"/>
            <w:r w:rsidRPr="00C86B34">
              <w:rPr>
                <w:sz w:val="22"/>
                <w:lang w:val="uk-UA"/>
              </w:rPr>
              <w:t>компетентностей</w:t>
            </w:r>
            <w:proofErr w:type="spellEnd"/>
            <w:r w:rsidRPr="00C86B34">
              <w:rPr>
                <w:sz w:val="22"/>
                <w:lang w:val="uk-UA"/>
              </w:rPr>
              <w:t>).</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lastRenderedPageBreak/>
              <w:t>Територія, на яку матиме вплив реалізація проекту</w:t>
            </w:r>
          </w:p>
        </w:tc>
        <w:tc>
          <w:tcPr>
            <w:tcW w:w="7263" w:type="dxa"/>
            <w:gridSpan w:val="7"/>
          </w:tcPr>
          <w:p w:rsidR="00E95FB1" w:rsidRPr="00C86B34" w:rsidRDefault="00E95FB1" w:rsidP="001B3967">
            <w:pPr>
              <w:pStyle w:val="a7"/>
              <w:ind w:left="0"/>
              <w:rPr>
                <w:sz w:val="22"/>
                <w:lang w:val="uk-UA"/>
              </w:rPr>
            </w:pPr>
            <w:r w:rsidRPr="00C86B34">
              <w:rPr>
                <w:sz w:val="22"/>
                <w:lang w:val="uk-UA"/>
              </w:rPr>
              <w:t>Сєвєродонецька міська територіальна громада</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Чисельність населення, на яке матиме вплив реалізація проекту</w:t>
            </w:r>
          </w:p>
        </w:tc>
        <w:tc>
          <w:tcPr>
            <w:tcW w:w="7263" w:type="dxa"/>
            <w:gridSpan w:val="7"/>
          </w:tcPr>
          <w:p w:rsidR="00E95FB1" w:rsidRPr="00C86B34" w:rsidRDefault="00AF7A71" w:rsidP="001B3967">
            <w:pPr>
              <w:pStyle w:val="a7"/>
              <w:ind w:left="0"/>
              <w:rPr>
                <w:sz w:val="22"/>
                <w:lang w:val="uk-UA"/>
              </w:rPr>
            </w:pPr>
            <w:r w:rsidRPr="00C86B34">
              <w:rPr>
                <w:sz w:val="22"/>
                <w:lang w:val="uk-UA"/>
              </w:rPr>
              <w:t>70 000</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Опис проблеми, на вирішення якої  спрямований проект</w:t>
            </w:r>
          </w:p>
        </w:tc>
        <w:tc>
          <w:tcPr>
            <w:tcW w:w="7263" w:type="dxa"/>
            <w:gridSpan w:val="7"/>
          </w:tcPr>
          <w:p w:rsidR="00E95FB1" w:rsidRPr="00C86B34" w:rsidRDefault="00E95FB1" w:rsidP="001B3967">
            <w:pPr>
              <w:ind w:firstLine="308"/>
              <w:rPr>
                <w:sz w:val="22"/>
                <w:lang w:val="uk-UA"/>
              </w:rPr>
            </w:pPr>
            <w:r w:rsidRPr="00C86B34">
              <w:rPr>
                <w:sz w:val="22"/>
                <w:lang w:val="uk-UA"/>
              </w:rPr>
              <w:t xml:space="preserve">Через військову агресію </w:t>
            </w:r>
            <w:r w:rsidR="00456FCA" w:rsidRPr="00C86B34">
              <w:rPr>
                <w:sz w:val="22"/>
                <w:lang w:val="uk-UA"/>
              </w:rPr>
              <w:t>РФ</w:t>
            </w:r>
            <w:r w:rsidRPr="00C86B34">
              <w:rPr>
                <w:sz w:val="22"/>
                <w:lang w:val="uk-UA"/>
              </w:rPr>
              <w:t xml:space="preserve"> територія Сєвєродонецької міської територіальної громади зазнала значних пошкоджень. Не оминуло це і Комунальний Заклад  «Сєвєродонецький міський Палац культури».</w:t>
            </w:r>
          </w:p>
          <w:p w:rsidR="00E95FB1" w:rsidRPr="00C86B34" w:rsidRDefault="00E95FB1" w:rsidP="001B3967">
            <w:pPr>
              <w:ind w:firstLine="308"/>
              <w:rPr>
                <w:sz w:val="22"/>
                <w:lang w:val="uk-UA"/>
              </w:rPr>
            </w:pPr>
            <w:r w:rsidRPr="00C86B34">
              <w:rPr>
                <w:sz w:val="22"/>
                <w:lang w:val="uk-UA"/>
              </w:rPr>
              <w:t>Вся матеріально-технічна база</w:t>
            </w:r>
            <w:r w:rsidR="00477332" w:rsidRPr="00C86B34">
              <w:rPr>
                <w:sz w:val="22"/>
              </w:rPr>
              <w:t xml:space="preserve"> </w:t>
            </w:r>
            <w:r w:rsidRPr="00C86B34">
              <w:rPr>
                <w:sz w:val="22"/>
                <w:lang w:val="uk-UA"/>
              </w:rPr>
              <w:t>потребує забезпечення</w:t>
            </w:r>
            <w:r w:rsidR="00477332" w:rsidRPr="00C86B34">
              <w:rPr>
                <w:sz w:val="22"/>
              </w:rPr>
              <w:t>,</w:t>
            </w:r>
            <w:r w:rsidRPr="00C86B34">
              <w:rPr>
                <w:sz w:val="22"/>
                <w:lang w:val="uk-UA"/>
              </w:rPr>
              <w:t xml:space="preserve"> необхідного для діяльності закладу, зокрема:</w:t>
            </w:r>
          </w:p>
          <w:p w:rsidR="00E95FB1" w:rsidRPr="00C86B34" w:rsidRDefault="00E95FB1" w:rsidP="000303D7">
            <w:pPr>
              <w:numPr>
                <w:ilvl w:val="0"/>
                <w:numId w:val="9"/>
              </w:numPr>
              <w:tabs>
                <w:tab w:val="clear" w:pos="1068"/>
                <w:tab w:val="left" w:pos="449"/>
              </w:tabs>
              <w:ind w:left="24" w:firstLine="284"/>
              <w:rPr>
                <w:sz w:val="22"/>
                <w:lang w:val="uk-UA"/>
              </w:rPr>
            </w:pPr>
            <w:r w:rsidRPr="00C86B34">
              <w:rPr>
                <w:sz w:val="22"/>
                <w:lang w:val="uk-UA"/>
              </w:rPr>
              <w:t>обладнання (устаткування);</w:t>
            </w:r>
          </w:p>
          <w:p w:rsidR="00E95FB1" w:rsidRPr="00C86B34" w:rsidRDefault="00E95FB1" w:rsidP="000303D7">
            <w:pPr>
              <w:numPr>
                <w:ilvl w:val="0"/>
                <w:numId w:val="9"/>
              </w:numPr>
              <w:tabs>
                <w:tab w:val="clear" w:pos="1068"/>
                <w:tab w:val="left" w:pos="449"/>
              </w:tabs>
              <w:ind w:left="24" w:firstLine="284"/>
              <w:rPr>
                <w:sz w:val="22"/>
                <w:lang w:val="uk-UA"/>
              </w:rPr>
            </w:pPr>
            <w:r w:rsidRPr="00C86B34">
              <w:rPr>
                <w:sz w:val="22"/>
                <w:lang w:val="uk-UA"/>
              </w:rPr>
              <w:t>обчислювальна техніка із відповідним програмним забезпеченням;</w:t>
            </w:r>
          </w:p>
          <w:p w:rsidR="00E95FB1" w:rsidRPr="00C86B34" w:rsidRDefault="00E95FB1" w:rsidP="000303D7">
            <w:pPr>
              <w:numPr>
                <w:ilvl w:val="0"/>
                <w:numId w:val="9"/>
              </w:numPr>
              <w:tabs>
                <w:tab w:val="clear" w:pos="1068"/>
                <w:tab w:val="left" w:pos="449"/>
              </w:tabs>
              <w:ind w:left="24" w:firstLine="284"/>
              <w:rPr>
                <w:sz w:val="22"/>
                <w:lang w:val="uk-UA"/>
              </w:rPr>
            </w:pPr>
            <w:r w:rsidRPr="00C86B34">
              <w:rPr>
                <w:sz w:val="22"/>
                <w:lang w:val="uk-UA"/>
              </w:rPr>
              <w:t>інша оргтехніка (монітори, комп’ютери, принтери, сканери та ін.);</w:t>
            </w:r>
          </w:p>
          <w:p w:rsidR="00E95FB1" w:rsidRPr="00C86B34" w:rsidRDefault="00E95FB1" w:rsidP="000303D7">
            <w:pPr>
              <w:pStyle w:val="13"/>
              <w:numPr>
                <w:ilvl w:val="0"/>
                <w:numId w:val="9"/>
              </w:numPr>
              <w:tabs>
                <w:tab w:val="clear" w:pos="1068"/>
                <w:tab w:val="left" w:pos="449"/>
              </w:tabs>
              <w:ind w:left="24" w:firstLine="284"/>
              <w:jc w:val="both"/>
              <w:rPr>
                <w:sz w:val="22"/>
                <w:lang w:val="uk-UA"/>
              </w:rPr>
            </w:pPr>
            <w:r w:rsidRPr="00C86B34">
              <w:rPr>
                <w:sz w:val="22"/>
                <w:lang w:val="uk-UA"/>
              </w:rPr>
              <w:t>основні засоби (офісні меблі, сейф, обладнання для проведення заходів) були знищені або викрадені.</w:t>
            </w:r>
          </w:p>
          <w:p w:rsidR="00E95FB1" w:rsidRPr="00C86B34" w:rsidRDefault="00E95FB1" w:rsidP="001B3967">
            <w:pPr>
              <w:pStyle w:val="13"/>
              <w:jc w:val="both"/>
              <w:rPr>
                <w:sz w:val="22"/>
                <w:lang w:val="uk-UA"/>
              </w:rPr>
            </w:pPr>
            <w:r w:rsidRPr="00C86B34">
              <w:rPr>
                <w:rFonts w:eastAsia="Arial"/>
                <w:sz w:val="22"/>
                <w:lang w:val="uk-UA"/>
              </w:rPr>
              <w:t xml:space="preserve">    Для відбудови та сталого розвитку громади потрібне відновлення роботи мережі</w:t>
            </w:r>
            <w:r w:rsidRPr="00C86B34">
              <w:rPr>
                <w:rFonts w:eastAsia="Arial"/>
                <w:color w:val="FF0000"/>
                <w:sz w:val="22"/>
                <w:lang w:val="uk-UA"/>
              </w:rPr>
              <w:t xml:space="preserve"> </w:t>
            </w:r>
            <w:r w:rsidRPr="00C86B34">
              <w:rPr>
                <w:rFonts w:eastAsia="Arial"/>
                <w:sz w:val="22"/>
                <w:lang w:val="uk-UA"/>
              </w:rPr>
              <w:t xml:space="preserve">закладів культури, а саме </w:t>
            </w:r>
            <w:r w:rsidRPr="00C86B34">
              <w:rPr>
                <w:sz w:val="22"/>
                <w:lang w:val="uk-UA"/>
              </w:rPr>
              <w:t xml:space="preserve">Комунального Закладу  «Сєвєродонецький міський Палац культури». </w:t>
            </w:r>
            <w:r w:rsidRPr="00C86B34">
              <w:rPr>
                <w:rFonts w:eastAsia="Arial"/>
                <w:sz w:val="22"/>
                <w:lang w:val="uk-UA"/>
              </w:rPr>
              <w:t xml:space="preserve">Мешканці громади потребують в отриманні якісних послуг, які відповідають нормам сучасності. </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Очікувані якісні результати від реалізації проекту</w:t>
            </w:r>
          </w:p>
        </w:tc>
        <w:tc>
          <w:tcPr>
            <w:tcW w:w="7263" w:type="dxa"/>
            <w:gridSpan w:val="7"/>
          </w:tcPr>
          <w:p w:rsidR="00E95FB1" w:rsidRPr="00C86B34" w:rsidRDefault="00E95FB1" w:rsidP="001B3967">
            <w:pPr>
              <w:pStyle w:val="31"/>
              <w:rPr>
                <w:rFonts w:ascii="Times New Roman" w:hAnsi="Times New Roman"/>
                <w:color w:val="000000" w:themeColor="text1"/>
                <w:sz w:val="22"/>
                <w:lang w:val="uk-UA"/>
              </w:rPr>
            </w:pPr>
            <w:r w:rsidRPr="00C86B34">
              <w:rPr>
                <w:rFonts w:ascii="Times New Roman" w:hAnsi="Times New Roman"/>
                <w:sz w:val="22"/>
                <w:lang w:val="uk-UA"/>
              </w:rPr>
              <w:t>- забезпечення населення можливостями для реалізації його конституційних прав;</w:t>
            </w:r>
          </w:p>
          <w:p w:rsidR="00E95FB1" w:rsidRPr="00C86B34" w:rsidRDefault="00E95FB1" w:rsidP="001B3967">
            <w:pPr>
              <w:pStyle w:val="31"/>
              <w:rPr>
                <w:rFonts w:ascii="Times New Roman" w:hAnsi="Times New Roman"/>
                <w:b/>
                <w:sz w:val="22"/>
                <w:lang w:val="uk-UA"/>
              </w:rPr>
            </w:pPr>
            <w:r w:rsidRPr="00C86B34">
              <w:rPr>
                <w:rFonts w:ascii="Times New Roman" w:hAnsi="Times New Roman"/>
                <w:sz w:val="22"/>
                <w:lang w:val="uk-UA"/>
              </w:rPr>
              <w:t>- надання широкого спектру послуг, пов’язаних із</w:t>
            </w:r>
            <w:r w:rsidRPr="00C86B34">
              <w:rPr>
                <w:rFonts w:ascii="Times New Roman" w:hAnsi="Times New Roman"/>
                <w:b/>
                <w:sz w:val="22"/>
                <w:lang w:val="uk-UA"/>
              </w:rPr>
              <w:t xml:space="preserve"> </w:t>
            </w:r>
            <w:r w:rsidRPr="00C86B34">
              <w:rPr>
                <w:rStyle w:val="10"/>
                <w:b w:val="0"/>
                <w:color w:val="000000" w:themeColor="text1"/>
                <w:sz w:val="22"/>
                <w:lang w:val="uk-UA"/>
              </w:rPr>
              <w:t>можливостями доступу людини до духовних цінностей свого народу (нації) та всього людства</w:t>
            </w:r>
            <w:r w:rsidRPr="00C86B34">
              <w:rPr>
                <w:rFonts w:ascii="Times New Roman" w:hAnsi="Times New Roman"/>
                <w:b/>
                <w:sz w:val="22"/>
                <w:lang w:val="uk-UA"/>
              </w:rPr>
              <w:t xml:space="preserve">; </w:t>
            </w:r>
          </w:p>
          <w:p w:rsidR="00E95FB1" w:rsidRPr="00C86B34" w:rsidRDefault="00E95FB1" w:rsidP="001B3967">
            <w:pPr>
              <w:pStyle w:val="31"/>
              <w:rPr>
                <w:rFonts w:ascii="Times New Roman" w:hAnsi="Times New Roman"/>
                <w:b/>
                <w:sz w:val="22"/>
                <w:lang w:val="uk-UA"/>
              </w:rPr>
            </w:pPr>
            <w:r w:rsidRPr="00C86B34">
              <w:rPr>
                <w:rFonts w:ascii="Times New Roman" w:hAnsi="Times New Roman"/>
                <w:b/>
                <w:sz w:val="22"/>
                <w:lang w:val="uk-UA"/>
              </w:rPr>
              <w:t xml:space="preserve">- </w:t>
            </w:r>
            <w:r w:rsidRPr="00C86B34">
              <w:rPr>
                <w:rStyle w:val="10"/>
                <w:b w:val="0"/>
                <w:color w:val="000000" w:themeColor="text1"/>
                <w:sz w:val="22"/>
                <w:lang w:val="uk-UA"/>
              </w:rPr>
              <w:t xml:space="preserve">розвитку української нації, її історичної свідомості, традицій і культури, а також розвитку етнічної, культурної, </w:t>
            </w:r>
            <w:proofErr w:type="spellStart"/>
            <w:r w:rsidRPr="00C86B34">
              <w:rPr>
                <w:rStyle w:val="10"/>
                <w:b w:val="0"/>
                <w:color w:val="000000" w:themeColor="text1"/>
                <w:sz w:val="22"/>
                <w:lang w:val="uk-UA"/>
              </w:rPr>
              <w:t>мовної</w:t>
            </w:r>
            <w:proofErr w:type="spellEnd"/>
            <w:r w:rsidRPr="00C86B34">
              <w:rPr>
                <w:rStyle w:val="10"/>
                <w:b w:val="0"/>
                <w:color w:val="000000" w:themeColor="text1"/>
                <w:sz w:val="22"/>
                <w:lang w:val="uk-UA"/>
              </w:rPr>
              <w:t xml:space="preserve"> та релігійної самобутності всіх корінних народів і національних меншин України;</w:t>
            </w:r>
          </w:p>
          <w:p w:rsidR="00E95FB1" w:rsidRPr="00C86B34" w:rsidRDefault="00E95FB1" w:rsidP="001B3967">
            <w:pPr>
              <w:pStyle w:val="31"/>
              <w:rPr>
                <w:rFonts w:ascii="Times New Roman" w:hAnsi="Times New Roman"/>
                <w:sz w:val="22"/>
                <w:lang w:val="uk-UA"/>
              </w:rPr>
            </w:pPr>
            <w:r w:rsidRPr="00C86B34">
              <w:rPr>
                <w:rFonts w:ascii="Times New Roman" w:hAnsi="Times New Roman"/>
                <w:sz w:val="22"/>
                <w:lang w:val="uk-UA"/>
              </w:rPr>
              <w:t>- вирішення ряду питань в межах статутної діяльності, пов’язаних із відбудовою та сталим розвитком громади;</w:t>
            </w:r>
          </w:p>
          <w:p w:rsidR="00E95FB1" w:rsidRPr="00C86B34" w:rsidRDefault="00E95FB1" w:rsidP="001B3967">
            <w:pPr>
              <w:pStyle w:val="31"/>
              <w:rPr>
                <w:rFonts w:ascii="Times New Roman" w:hAnsi="Times New Roman"/>
                <w:sz w:val="22"/>
                <w:lang w:val="uk-UA"/>
              </w:rPr>
            </w:pPr>
            <w:r w:rsidRPr="00C86B34">
              <w:rPr>
                <w:rFonts w:ascii="Times New Roman" w:hAnsi="Times New Roman"/>
                <w:sz w:val="22"/>
                <w:lang w:val="uk-UA"/>
              </w:rPr>
              <w:t>- задоволення інформаційних потреб  користувачів;</w:t>
            </w:r>
          </w:p>
          <w:p w:rsidR="00E95FB1" w:rsidRPr="00C86B34" w:rsidRDefault="00E95FB1" w:rsidP="001B3967">
            <w:pPr>
              <w:pStyle w:val="31"/>
              <w:rPr>
                <w:rFonts w:ascii="Times New Roman" w:hAnsi="Times New Roman"/>
                <w:sz w:val="22"/>
                <w:lang w:val="uk-UA"/>
              </w:rPr>
            </w:pPr>
            <w:r w:rsidRPr="00C86B34">
              <w:rPr>
                <w:rFonts w:ascii="Times New Roman" w:hAnsi="Times New Roman"/>
                <w:sz w:val="22"/>
                <w:lang w:val="uk-UA"/>
              </w:rPr>
              <w:t>- створення комфортних умов для відвідувачів та робітників закладу;</w:t>
            </w:r>
          </w:p>
          <w:p w:rsidR="00E95FB1" w:rsidRPr="00C86B34" w:rsidRDefault="00E95FB1" w:rsidP="001B3967">
            <w:pPr>
              <w:pStyle w:val="31"/>
              <w:rPr>
                <w:rFonts w:ascii="Times New Roman" w:hAnsi="Times New Roman"/>
                <w:sz w:val="22"/>
                <w:lang w:val="uk-UA"/>
              </w:rPr>
            </w:pPr>
            <w:r w:rsidRPr="00C86B34">
              <w:rPr>
                <w:rFonts w:ascii="Times New Roman" w:hAnsi="Times New Roman"/>
                <w:color w:val="000000"/>
                <w:sz w:val="22"/>
                <w:lang w:val="uk-UA"/>
              </w:rPr>
              <w:t>- зберігання виставкових фондів згідно встановлених норм</w:t>
            </w:r>
            <w:r w:rsidR="00360190" w:rsidRPr="00C86B34">
              <w:rPr>
                <w:rFonts w:ascii="Times New Roman" w:hAnsi="Times New Roman"/>
                <w:color w:val="000000"/>
                <w:sz w:val="22"/>
                <w:lang w:val="uk-UA"/>
              </w:rPr>
              <w:t>;</w:t>
            </w:r>
          </w:p>
          <w:p w:rsidR="00E95FB1" w:rsidRPr="00C86B34" w:rsidRDefault="00E95FB1" w:rsidP="001B3967">
            <w:pPr>
              <w:pStyle w:val="31"/>
              <w:rPr>
                <w:rFonts w:ascii="Times New Roman" w:hAnsi="Times New Roman"/>
                <w:color w:val="000000"/>
                <w:sz w:val="22"/>
                <w:lang w:val="uk-UA"/>
              </w:rPr>
            </w:pPr>
            <w:r w:rsidRPr="00C86B34">
              <w:rPr>
                <w:rFonts w:ascii="Times New Roman" w:hAnsi="Times New Roman"/>
                <w:sz w:val="22"/>
                <w:lang w:val="uk-UA"/>
              </w:rPr>
              <w:t>- задоволення культурних потреб мешканців територіальної громади, поліпшення естетичного вигляду;</w:t>
            </w:r>
          </w:p>
          <w:p w:rsidR="00E95FB1" w:rsidRPr="00C86B34" w:rsidRDefault="00E95FB1" w:rsidP="001B3967">
            <w:pPr>
              <w:pStyle w:val="31"/>
              <w:rPr>
                <w:rFonts w:ascii="Times New Roman" w:hAnsi="Times New Roman"/>
                <w:sz w:val="22"/>
                <w:lang w:val="uk-UA"/>
              </w:rPr>
            </w:pPr>
            <w:r w:rsidRPr="00C86B34">
              <w:rPr>
                <w:rFonts w:ascii="Times New Roman" w:hAnsi="Times New Roman"/>
                <w:sz w:val="22"/>
                <w:lang w:val="uk-UA"/>
              </w:rPr>
              <w:t>- стимул до повернення ВПО до громади.</w:t>
            </w:r>
          </w:p>
        </w:tc>
      </w:tr>
      <w:tr w:rsidR="00E95FB1" w:rsidRPr="00C86B34" w:rsidTr="001B3967">
        <w:trPr>
          <w:trHeight w:val="390"/>
        </w:trPr>
        <w:tc>
          <w:tcPr>
            <w:tcW w:w="2694" w:type="dxa"/>
            <w:vMerge w:val="restart"/>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 xml:space="preserve">Очікувані кількісні результати реалізації </w:t>
            </w:r>
            <w:proofErr w:type="spellStart"/>
            <w:r w:rsidRPr="00C86B34">
              <w:rPr>
                <w:b/>
                <w:sz w:val="22"/>
                <w:lang w:val="uk-UA"/>
              </w:rPr>
              <w:t>проєкту</w:t>
            </w:r>
            <w:proofErr w:type="spellEnd"/>
            <w:r w:rsidRPr="00C86B34">
              <w:rPr>
                <w:b/>
                <w:sz w:val="22"/>
                <w:lang w:val="uk-UA"/>
              </w:rPr>
              <w:t xml:space="preserve"> (індикатори)</w:t>
            </w:r>
          </w:p>
          <w:p w:rsidR="00E95FB1" w:rsidRPr="00C86B34" w:rsidRDefault="00E95FB1" w:rsidP="001B3967">
            <w:pPr>
              <w:pStyle w:val="a7"/>
              <w:ind w:left="0"/>
              <w:rPr>
                <w:b/>
                <w:sz w:val="22"/>
                <w:lang w:val="uk-UA"/>
              </w:rPr>
            </w:pPr>
          </w:p>
        </w:tc>
        <w:tc>
          <w:tcPr>
            <w:tcW w:w="3544" w:type="dxa"/>
            <w:gridSpan w:val="3"/>
            <w:tcBorders>
              <w:bottom w:val="single" w:sz="4" w:space="0" w:color="auto"/>
              <w:right w:val="single" w:sz="4" w:space="0" w:color="auto"/>
            </w:tcBorders>
          </w:tcPr>
          <w:p w:rsidR="00E95FB1" w:rsidRPr="00C86B34" w:rsidRDefault="00E95FB1" w:rsidP="001B3967">
            <w:pPr>
              <w:pStyle w:val="a7"/>
              <w:ind w:left="-108"/>
              <w:jc w:val="center"/>
              <w:rPr>
                <w:b/>
                <w:sz w:val="22"/>
                <w:lang w:val="uk-UA"/>
              </w:rPr>
            </w:pPr>
            <w:r w:rsidRPr="00C86B34">
              <w:rPr>
                <w:b/>
                <w:sz w:val="22"/>
                <w:lang w:val="uk-UA"/>
              </w:rPr>
              <w:t>Найменування показника</w:t>
            </w:r>
          </w:p>
        </w:tc>
        <w:tc>
          <w:tcPr>
            <w:tcW w:w="1843" w:type="dxa"/>
            <w:gridSpan w:val="2"/>
            <w:tcBorders>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Одиниця вимірювання</w:t>
            </w:r>
          </w:p>
          <w:p w:rsidR="00E95FB1" w:rsidRPr="00C86B34" w:rsidRDefault="00E95FB1" w:rsidP="001B3967">
            <w:pPr>
              <w:pStyle w:val="a7"/>
              <w:ind w:left="0"/>
              <w:rPr>
                <w:b/>
                <w:sz w:val="22"/>
                <w:lang w:val="uk-UA"/>
              </w:rPr>
            </w:pPr>
          </w:p>
        </w:tc>
        <w:tc>
          <w:tcPr>
            <w:tcW w:w="1876" w:type="dxa"/>
            <w:gridSpan w:val="2"/>
            <w:tcBorders>
              <w:left w:val="single" w:sz="4" w:space="0" w:color="auto"/>
              <w:bottom w:val="single" w:sz="4" w:space="0" w:color="auto"/>
            </w:tcBorders>
          </w:tcPr>
          <w:p w:rsidR="00E95FB1" w:rsidRPr="00C86B34" w:rsidRDefault="00E95FB1" w:rsidP="001B3967">
            <w:pPr>
              <w:pStyle w:val="a7"/>
              <w:ind w:left="0"/>
              <w:jc w:val="center"/>
              <w:rPr>
                <w:b/>
                <w:sz w:val="22"/>
                <w:lang w:val="uk-UA"/>
              </w:rPr>
            </w:pPr>
            <w:r w:rsidRPr="00C86B34">
              <w:rPr>
                <w:b/>
                <w:sz w:val="22"/>
                <w:lang w:val="uk-UA"/>
              </w:rPr>
              <w:t>Прогнозне (цільове) значення</w:t>
            </w:r>
          </w:p>
        </w:tc>
      </w:tr>
      <w:tr w:rsidR="00E95FB1" w:rsidRPr="00C86B34" w:rsidTr="001B3967">
        <w:trPr>
          <w:trHeight w:val="58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544" w:type="dxa"/>
            <w:gridSpan w:val="3"/>
            <w:tcBorders>
              <w:top w:val="single" w:sz="4" w:space="0" w:color="auto"/>
              <w:bottom w:val="single" w:sz="4" w:space="0" w:color="auto"/>
              <w:right w:val="single" w:sz="4" w:space="0" w:color="auto"/>
            </w:tcBorders>
          </w:tcPr>
          <w:p w:rsidR="00E95FB1" w:rsidRPr="00C86B34" w:rsidRDefault="00E95FB1" w:rsidP="00360190">
            <w:pPr>
              <w:pStyle w:val="a7"/>
              <w:ind w:left="0"/>
              <w:rPr>
                <w:sz w:val="22"/>
                <w:lang w:val="uk-UA"/>
              </w:rPr>
            </w:pPr>
            <w:r w:rsidRPr="00C86B34">
              <w:rPr>
                <w:sz w:val="22"/>
                <w:lang w:val="uk-UA"/>
              </w:rPr>
              <w:t xml:space="preserve">Кількість фізичних осіб (відвідувачів), які звернулись за послугами протягом  року </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jc w:val="center"/>
              <w:rPr>
                <w:sz w:val="22"/>
                <w:lang w:val="uk-UA"/>
              </w:rPr>
            </w:pPr>
            <w:r w:rsidRPr="00C86B34">
              <w:rPr>
                <w:rFonts w:eastAsia="Arial"/>
                <w:sz w:val="22"/>
                <w:lang w:val="uk-UA"/>
              </w:rPr>
              <w:t>осіб</w:t>
            </w:r>
          </w:p>
        </w:tc>
        <w:tc>
          <w:tcPr>
            <w:tcW w:w="1876"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rFonts w:eastAsia="Calibri"/>
                <w:sz w:val="22"/>
                <w:lang w:val="uk-UA"/>
              </w:rPr>
              <w:t>50759</w:t>
            </w:r>
          </w:p>
        </w:tc>
      </w:tr>
      <w:tr w:rsidR="00E95FB1" w:rsidRPr="00C86B34" w:rsidTr="001B3967">
        <w:trPr>
          <w:trHeight w:val="184"/>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544"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rPr>
                <w:sz w:val="22"/>
                <w:lang w:val="uk-UA"/>
              </w:rPr>
            </w:pPr>
            <w:r w:rsidRPr="00C86B34">
              <w:rPr>
                <w:sz w:val="22"/>
                <w:lang w:val="uk-UA"/>
              </w:rPr>
              <w:t>Кількість відвідувань заходів  протягом  року</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осіб</w:t>
            </w:r>
          </w:p>
        </w:tc>
        <w:tc>
          <w:tcPr>
            <w:tcW w:w="1876"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rFonts w:eastAsia="Calibri"/>
                <w:sz w:val="22"/>
                <w:lang w:val="uk-UA"/>
              </w:rPr>
              <w:t>167900</w:t>
            </w:r>
          </w:p>
        </w:tc>
      </w:tr>
      <w:tr w:rsidR="00E95FB1" w:rsidRPr="00C86B34" w:rsidTr="001B3967">
        <w:trPr>
          <w:trHeight w:val="184"/>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544"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rPr>
                <w:sz w:val="22"/>
                <w:lang w:val="uk-UA"/>
              </w:rPr>
            </w:pPr>
            <w:r w:rsidRPr="00C86B34">
              <w:rPr>
                <w:sz w:val="22"/>
                <w:lang w:val="uk-UA"/>
              </w:rPr>
              <w:t>Кількість заходів для користувачів</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876" w:type="dxa"/>
            <w:gridSpan w:val="2"/>
            <w:tcBorders>
              <w:top w:val="single" w:sz="4" w:space="0" w:color="auto"/>
              <w:left w:val="single" w:sz="4" w:space="0" w:color="auto"/>
              <w:bottom w:val="single" w:sz="4" w:space="0" w:color="auto"/>
            </w:tcBorders>
          </w:tcPr>
          <w:p w:rsidR="00E95FB1" w:rsidRPr="00C86B34" w:rsidRDefault="00E95FB1" w:rsidP="001B3967">
            <w:pPr>
              <w:pStyle w:val="a7"/>
              <w:ind w:left="0"/>
              <w:jc w:val="center"/>
              <w:rPr>
                <w:sz w:val="22"/>
                <w:lang w:val="uk-UA"/>
              </w:rPr>
            </w:pPr>
            <w:r w:rsidRPr="00C86B34">
              <w:rPr>
                <w:sz w:val="22"/>
                <w:lang w:val="uk-UA"/>
              </w:rPr>
              <w:t>407</w:t>
            </w:r>
          </w:p>
        </w:tc>
      </w:tr>
      <w:tr w:rsidR="00E95FB1" w:rsidRPr="00C86B34" w:rsidTr="001B3967">
        <w:trPr>
          <w:trHeight w:val="16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544"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rPr>
                <w:sz w:val="22"/>
                <w:lang w:val="uk-UA"/>
              </w:rPr>
            </w:pPr>
            <w:r w:rsidRPr="00C86B34">
              <w:rPr>
                <w:sz w:val="22"/>
                <w:lang w:val="uk-UA"/>
              </w:rPr>
              <w:t>Середня вартість послуг</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грн</w:t>
            </w:r>
          </w:p>
        </w:tc>
        <w:tc>
          <w:tcPr>
            <w:tcW w:w="1876" w:type="dxa"/>
            <w:gridSpan w:val="2"/>
            <w:tcBorders>
              <w:top w:val="single" w:sz="4" w:space="0" w:color="auto"/>
              <w:left w:val="single" w:sz="4" w:space="0" w:color="auto"/>
              <w:bottom w:val="single" w:sz="4" w:space="0" w:color="auto"/>
            </w:tcBorders>
          </w:tcPr>
          <w:p w:rsidR="00E95FB1" w:rsidRPr="00C86B34" w:rsidRDefault="00E95FB1" w:rsidP="001B3967">
            <w:pPr>
              <w:pStyle w:val="a7"/>
              <w:ind w:left="0"/>
              <w:jc w:val="center"/>
              <w:rPr>
                <w:sz w:val="22"/>
                <w:lang w:val="uk-UA"/>
              </w:rPr>
            </w:pPr>
            <w:r w:rsidRPr="00C86B34">
              <w:rPr>
                <w:sz w:val="22"/>
                <w:lang w:val="uk-UA"/>
              </w:rPr>
              <w:t>безкоштовно</w:t>
            </w:r>
          </w:p>
        </w:tc>
      </w:tr>
      <w:tr w:rsidR="00E95FB1" w:rsidRPr="00C86B34" w:rsidTr="001B3967">
        <w:trPr>
          <w:trHeight w:val="150"/>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544" w:type="dxa"/>
            <w:gridSpan w:val="3"/>
            <w:tcBorders>
              <w:top w:val="single" w:sz="4" w:space="0" w:color="auto"/>
              <w:right w:val="single" w:sz="4" w:space="0" w:color="auto"/>
            </w:tcBorders>
          </w:tcPr>
          <w:p w:rsidR="00E95FB1" w:rsidRPr="00C86B34" w:rsidRDefault="00E95FB1" w:rsidP="001B3967">
            <w:pPr>
              <w:pStyle w:val="a7"/>
              <w:ind w:left="0"/>
              <w:rPr>
                <w:sz w:val="22"/>
                <w:lang w:val="uk-UA"/>
              </w:rPr>
            </w:pPr>
            <w:r w:rsidRPr="00C86B34">
              <w:rPr>
                <w:sz w:val="22"/>
                <w:lang w:val="uk-UA"/>
              </w:rPr>
              <w:t>Термін надання послуги</w:t>
            </w:r>
          </w:p>
        </w:tc>
        <w:tc>
          <w:tcPr>
            <w:tcW w:w="1843" w:type="dxa"/>
            <w:gridSpan w:val="2"/>
            <w:tcBorders>
              <w:top w:val="single" w:sz="4" w:space="0" w:color="auto"/>
              <w:left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років</w:t>
            </w:r>
          </w:p>
        </w:tc>
        <w:tc>
          <w:tcPr>
            <w:tcW w:w="1876" w:type="dxa"/>
            <w:gridSpan w:val="2"/>
            <w:tcBorders>
              <w:top w:val="single" w:sz="4" w:space="0" w:color="auto"/>
              <w:left w:val="single" w:sz="4" w:space="0" w:color="auto"/>
            </w:tcBorders>
          </w:tcPr>
          <w:p w:rsidR="00E95FB1" w:rsidRPr="00C86B34" w:rsidRDefault="00E95FB1" w:rsidP="001B3967">
            <w:pPr>
              <w:pStyle w:val="a7"/>
              <w:ind w:left="0"/>
              <w:jc w:val="center"/>
              <w:rPr>
                <w:sz w:val="22"/>
                <w:lang w:val="uk-UA"/>
              </w:rPr>
            </w:pPr>
            <w:r w:rsidRPr="00C86B34">
              <w:rPr>
                <w:sz w:val="22"/>
                <w:lang w:val="uk-UA"/>
              </w:rPr>
              <w:t>Від 1 до 120</w:t>
            </w:r>
          </w:p>
        </w:tc>
      </w:tr>
      <w:tr w:rsidR="00E95FB1" w:rsidRPr="00C86B34" w:rsidTr="001B3967">
        <w:trPr>
          <w:trHeight w:val="150"/>
        </w:trPr>
        <w:tc>
          <w:tcPr>
            <w:tcW w:w="2694" w:type="dxa"/>
            <w:shd w:val="clear" w:color="auto" w:fill="C6D9F1" w:themeFill="text2" w:themeFillTint="33"/>
          </w:tcPr>
          <w:p w:rsidR="00E95FB1" w:rsidRPr="00C86B34" w:rsidRDefault="00E95FB1" w:rsidP="001B3967">
            <w:pPr>
              <w:pStyle w:val="a7"/>
              <w:ind w:left="0"/>
              <w:rPr>
                <w:b/>
                <w:sz w:val="22"/>
                <w:lang w:val="uk-UA"/>
              </w:rPr>
            </w:pPr>
          </w:p>
        </w:tc>
        <w:tc>
          <w:tcPr>
            <w:tcW w:w="3544" w:type="dxa"/>
            <w:gridSpan w:val="3"/>
            <w:tcBorders>
              <w:top w:val="single" w:sz="4" w:space="0" w:color="auto"/>
              <w:right w:val="single" w:sz="4" w:space="0" w:color="auto"/>
            </w:tcBorders>
          </w:tcPr>
          <w:p w:rsidR="00E95FB1" w:rsidRPr="00C86B34" w:rsidRDefault="00E95FB1" w:rsidP="00360190">
            <w:pPr>
              <w:pStyle w:val="a7"/>
              <w:ind w:left="0"/>
              <w:rPr>
                <w:sz w:val="22"/>
                <w:lang w:val="uk-UA"/>
              </w:rPr>
            </w:pPr>
            <w:r w:rsidRPr="00C86B34">
              <w:rPr>
                <w:sz w:val="22"/>
                <w:lang w:val="uk-UA"/>
              </w:rPr>
              <w:t>Кількість населених пунктів, як</w:t>
            </w:r>
            <w:r w:rsidR="00360190" w:rsidRPr="00C86B34">
              <w:rPr>
                <w:sz w:val="22"/>
                <w:lang w:val="uk-UA"/>
              </w:rPr>
              <w:t>і</w:t>
            </w:r>
            <w:r w:rsidRPr="00C86B34">
              <w:rPr>
                <w:sz w:val="22"/>
                <w:lang w:val="uk-UA"/>
              </w:rPr>
              <w:t xml:space="preserve"> обслуговує заклад</w:t>
            </w:r>
          </w:p>
        </w:tc>
        <w:tc>
          <w:tcPr>
            <w:tcW w:w="1843" w:type="dxa"/>
            <w:gridSpan w:val="2"/>
            <w:tcBorders>
              <w:top w:val="single" w:sz="4" w:space="0" w:color="auto"/>
              <w:left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876" w:type="dxa"/>
            <w:gridSpan w:val="2"/>
            <w:tcBorders>
              <w:top w:val="single" w:sz="4" w:space="0" w:color="auto"/>
              <w:lef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20</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 xml:space="preserve">Ключові заходи проекту: </w:t>
            </w:r>
          </w:p>
          <w:p w:rsidR="00E95FB1" w:rsidRPr="00C86B34" w:rsidRDefault="00E95FB1" w:rsidP="001B3967">
            <w:pPr>
              <w:pStyle w:val="a7"/>
              <w:ind w:left="0"/>
              <w:rPr>
                <w:b/>
                <w:sz w:val="22"/>
                <w:lang w:val="uk-UA"/>
              </w:rPr>
            </w:pPr>
          </w:p>
        </w:tc>
        <w:tc>
          <w:tcPr>
            <w:tcW w:w="7263" w:type="dxa"/>
            <w:gridSpan w:val="7"/>
          </w:tcPr>
          <w:p w:rsidR="00E95FB1" w:rsidRPr="00C86B34" w:rsidRDefault="00E95FB1" w:rsidP="001B3967">
            <w:pPr>
              <w:pStyle w:val="a7"/>
              <w:ind w:left="0"/>
              <w:rPr>
                <w:sz w:val="22"/>
                <w:lang w:val="uk-UA"/>
              </w:rPr>
            </w:pPr>
            <w:r w:rsidRPr="00C86B34">
              <w:rPr>
                <w:sz w:val="22"/>
                <w:lang w:val="uk-UA"/>
              </w:rPr>
              <w:t>- проведення інвентаризації основних засобів;</w:t>
            </w:r>
          </w:p>
          <w:p w:rsidR="00E95FB1" w:rsidRPr="00C86B34" w:rsidRDefault="00E95FB1" w:rsidP="001B3967">
            <w:pPr>
              <w:pStyle w:val="a7"/>
              <w:ind w:left="0"/>
              <w:rPr>
                <w:sz w:val="22"/>
                <w:lang w:val="uk-UA"/>
              </w:rPr>
            </w:pPr>
            <w:r w:rsidRPr="00C86B34">
              <w:rPr>
                <w:sz w:val="22"/>
                <w:lang w:val="uk-UA"/>
              </w:rPr>
              <w:t xml:space="preserve">- визначення кількості осіб, які потребують отримання послуг; </w:t>
            </w:r>
          </w:p>
          <w:p w:rsidR="00E95FB1" w:rsidRPr="00C86B34" w:rsidRDefault="00E95FB1" w:rsidP="001B3967">
            <w:pPr>
              <w:pStyle w:val="a7"/>
              <w:ind w:left="0"/>
              <w:rPr>
                <w:sz w:val="22"/>
                <w:lang w:val="uk-UA"/>
              </w:rPr>
            </w:pPr>
            <w:r w:rsidRPr="00C86B34">
              <w:rPr>
                <w:sz w:val="22"/>
                <w:lang w:val="uk-UA"/>
              </w:rPr>
              <w:t>- придбання технічного забезпечення закладу;</w:t>
            </w:r>
          </w:p>
          <w:p w:rsidR="00E95FB1" w:rsidRPr="00C86B34" w:rsidRDefault="00E95FB1" w:rsidP="001B3967">
            <w:pPr>
              <w:pStyle w:val="a7"/>
              <w:ind w:left="0"/>
              <w:rPr>
                <w:sz w:val="22"/>
                <w:lang w:val="uk-UA"/>
              </w:rPr>
            </w:pPr>
            <w:r w:rsidRPr="00C86B34">
              <w:rPr>
                <w:sz w:val="22"/>
                <w:lang w:val="uk-UA"/>
              </w:rPr>
              <w:t>- придбання технологічного забезпечення;</w:t>
            </w:r>
          </w:p>
          <w:p w:rsidR="00E95FB1" w:rsidRPr="00C86B34" w:rsidRDefault="00E95FB1" w:rsidP="001B3967">
            <w:pPr>
              <w:pStyle w:val="a7"/>
              <w:ind w:left="0"/>
              <w:rPr>
                <w:sz w:val="22"/>
                <w:lang w:val="uk-UA"/>
              </w:rPr>
            </w:pPr>
            <w:r w:rsidRPr="00C86B34">
              <w:rPr>
                <w:sz w:val="22"/>
                <w:lang w:val="uk-UA"/>
              </w:rPr>
              <w:lastRenderedPageBreak/>
              <w:t>- оновлення книжкового фонду, фонду періодичних видань бібліотечного фонду;</w:t>
            </w:r>
          </w:p>
          <w:p w:rsidR="00E95FB1" w:rsidRPr="00C86B34" w:rsidRDefault="00E95FB1" w:rsidP="001B3967">
            <w:pPr>
              <w:pStyle w:val="a7"/>
              <w:ind w:left="0"/>
              <w:rPr>
                <w:sz w:val="22"/>
                <w:lang w:val="uk-UA"/>
              </w:rPr>
            </w:pPr>
            <w:r w:rsidRPr="00C86B34">
              <w:rPr>
                <w:sz w:val="22"/>
                <w:lang w:val="uk-UA"/>
              </w:rPr>
              <w:t>- організація та початок робочого процесу (книговидача та проведення заходів).</w:t>
            </w:r>
          </w:p>
        </w:tc>
      </w:tr>
      <w:tr w:rsidR="00E95FB1" w:rsidRPr="00C86B34" w:rsidTr="001B3967">
        <w:trPr>
          <w:trHeight w:val="360"/>
        </w:trPr>
        <w:tc>
          <w:tcPr>
            <w:tcW w:w="2694" w:type="dxa"/>
            <w:vMerge w:val="restart"/>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lastRenderedPageBreak/>
              <w:t xml:space="preserve">Орієнтовний обсяг та джерела фінансування, тис. грн. </w:t>
            </w:r>
          </w:p>
          <w:p w:rsidR="00E95FB1" w:rsidRPr="00C86B34" w:rsidRDefault="00E95FB1" w:rsidP="001B3967">
            <w:pPr>
              <w:pStyle w:val="a7"/>
              <w:ind w:left="0"/>
              <w:rPr>
                <w:b/>
                <w:sz w:val="22"/>
                <w:lang w:val="uk-UA"/>
              </w:rPr>
            </w:pPr>
          </w:p>
        </w:tc>
        <w:tc>
          <w:tcPr>
            <w:tcW w:w="1270" w:type="dxa"/>
            <w:tcBorders>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Державний бюджет</w:t>
            </w:r>
          </w:p>
        </w:tc>
        <w:tc>
          <w:tcPr>
            <w:tcW w:w="1636" w:type="dxa"/>
            <w:tcBorders>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Місцевий бюджет</w:t>
            </w:r>
          </w:p>
        </w:tc>
        <w:tc>
          <w:tcPr>
            <w:tcW w:w="2881" w:type="dxa"/>
            <w:gridSpan w:val="4"/>
            <w:tcBorders>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Інші джерела</w:t>
            </w:r>
          </w:p>
        </w:tc>
        <w:tc>
          <w:tcPr>
            <w:tcW w:w="1476" w:type="dxa"/>
            <w:tcBorders>
              <w:left w:val="single" w:sz="4" w:space="0" w:color="auto"/>
              <w:bottom w:val="single" w:sz="4" w:space="0" w:color="auto"/>
            </w:tcBorders>
          </w:tcPr>
          <w:p w:rsidR="00E95FB1" w:rsidRPr="00C86B34" w:rsidRDefault="00E95FB1" w:rsidP="001B3967">
            <w:pPr>
              <w:pStyle w:val="a7"/>
              <w:ind w:left="0"/>
              <w:jc w:val="center"/>
              <w:rPr>
                <w:b/>
                <w:sz w:val="22"/>
                <w:lang w:val="uk-UA"/>
              </w:rPr>
            </w:pPr>
            <w:r w:rsidRPr="00C86B34">
              <w:rPr>
                <w:b/>
                <w:sz w:val="22"/>
                <w:lang w:val="uk-UA"/>
              </w:rPr>
              <w:t>Всього</w:t>
            </w:r>
          </w:p>
          <w:p w:rsidR="00E95FB1" w:rsidRPr="00C86B34" w:rsidRDefault="00E95FB1" w:rsidP="001B3967">
            <w:pPr>
              <w:ind w:left="-79"/>
              <w:rPr>
                <w:b/>
                <w:sz w:val="22"/>
                <w:lang w:val="uk-UA"/>
              </w:rPr>
            </w:pPr>
            <w:r w:rsidRPr="00C86B34">
              <w:rPr>
                <w:b/>
                <w:sz w:val="22"/>
                <w:lang w:val="uk-UA"/>
              </w:rPr>
              <w:t>тис. грн.</w:t>
            </w:r>
          </w:p>
          <w:p w:rsidR="00E95FB1" w:rsidRPr="00C86B34" w:rsidRDefault="00E95FB1" w:rsidP="001B3967">
            <w:pPr>
              <w:pStyle w:val="a7"/>
              <w:ind w:left="0"/>
              <w:jc w:val="center"/>
              <w:rPr>
                <w:b/>
                <w:sz w:val="22"/>
                <w:lang w:val="uk-UA"/>
              </w:rPr>
            </w:pPr>
          </w:p>
        </w:tc>
      </w:tr>
      <w:tr w:rsidR="00E95FB1" w:rsidRPr="00C86B34" w:rsidTr="001B3967">
        <w:trPr>
          <w:trHeight w:val="22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1270" w:type="dxa"/>
            <w:vMerge w:val="restart"/>
            <w:tcBorders>
              <w:top w:val="single" w:sz="4" w:space="0" w:color="auto"/>
              <w:right w:val="single" w:sz="4" w:space="0" w:color="auto"/>
            </w:tcBorders>
          </w:tcPr>
          <w:p w:rsidR="00E95FB1" w:rsidRPr="00C86B34" w:rsidRDefault="004E2B36" w:rsidP="001B3967">
            <w:pPr>
              <w:pStyle w:val="a7"/>
              <w:ind w:left="0"/>
              <w:jc w:val="center"/>
              <w:rPr>
                <w:sz w:val="22"/>
                <w:lang w:val="uk-UA"/>
              </w:rPr>
            </w:pPr>
            <w:r w:rsidRPr="00C86B34">
              <w:rPr>
                <w:sz w:val="22"/>
                <w:lang w:val="uk-UA"/>
              </w:rPr>
              <w:t>20952,332</w:t>
            </w:r>
          </w:p>
        </w:tc>
        <w:tc>
          <w:tcPr>
            <w:tcW w:w="1636" w:type="dxa"/>
            <w:vMerge w:val="restart"/>
            <w:tcBorders>
              <w:top w:val="single" w:sz="4" w:space="0" w:color="auto"/>
              <w:right w:val="single" w:sz="4" w:space="0" w:color="auto"/>
            </w:tcBorders>
          </w:tcPr>
          <w:p w:rsidR="00E95FB1" w:rsidRPr="00C86B34" w:rsidRDefault="00E95FB1" w:rsidP="001B3967">
            <w:pPr>
              <w:pStyle w:val="a7"/>
              <w:ind w:left="0"/>
              <w:jc w:val="center"/>
              <w:rPr>
                <w:b/>
                <w:sz w:val="22"/>
                <w:lang w:val="uk-UA"/>
              </w:rPr>
            </w:pPr>
          </w:p>
        </w:tc>
        <w:tc>
          <w:tcPr>
            <w:tcW w:w="1426" w:type="dxa"/>
            <w:gridSpan w:val="2"/>
            <w:tcBorders>
              <w:top w:val="single" w:sz="4" w:space="0" w:color="auto"/>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Обсяг тис. грн.</w:t>
            </w:r>
          </w:p>
        </w:tc>
        <w:tc>
          <w:tcPr>
            <w:tcW w:w="1455" w:type="dxa"/>
            <w:gridSpan w:val="2"/>
            <w:tcBorders>
              <w:top w:val="single" w:sz="4" w:space="0" w:color="auto"/>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Назва джерела</w:t>
            </w:r>
          </w:p>
        </w:tc>
        <w:tc>
          <w:tcPr>
            <w:tcW w:w="1476" w:type="dxa"/>
            <w:vMerge w:val="restart"/>
            <w:tcBorders>
              <w:top w:val="single" w:sz="4" w:space="0" w:color="auto"/>
              <w:left w:val="single" w:sz="4" w:space="0" w:color="auto"/>
            </w:tcBorders>
          </w:tcPr>
          <w:p w:rsidR="00E95FB1" w:rsidRPr="00C86B34" w:rsidRDefault="004E2B36" w:rsidP="001B3967">
            <w:pPr>
              <w:pStyle w:val="a7"/>
              <w:ind w:left="0"/>
              <w:jc w:val="center"/>
              <w:rPr>
                <w:color w:val="FF0000"/>
                <w:sz w:val="22"/>
                <w:lang w:val="uk-UA"/>
              </w:rPr>
            </w:pPr>
            <w:r w:rsidRPr="00C86B34">
              <w:rPr>
                <w:sz w:val="22"/>
                <w:lang w:val="uk-UA"/>
              </w:rPr>
              <w:t>29931,903</w:t>
            </w:r>
          </w:p>
        </w:tc>
      </w:tr>
      <w:tr w:rsidR="00E95FB1" w:rsidRPr="00C86B34" w:rsidTr="001B3967">
        <w:trPr>
          <w:trHeight w:val="300"/>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1270" w:type="dxa"/>
            <w:vMerge/>
            <w:tcBorders>
              <w:right w:val="single" w:sz="4" w:space="0" w:color="auto"/>
            </w:tcBorders>
          </w:tcPr>
          <w:p w:rsidR="00E95FB1" w:rsidRPr="00C86B34" w:rsidRDefault="00E95FB1" w:rsidP="001B3967">
            <w:pPr>
              <w:pStyle w:val="a7"/>
              <w:ind w:left="0"/>
              <w:jc w:val="center"/>
              <w:rPr>
                <w:sz w:val="22"/>
                <w:lang w:val="uk-UA"/>
              </w:rPr>
            </w:pPr>
          </w:p>
        </w:tc>
        <w:tc>
          <w:tcPr>
            <w:tcW w:w="1636" w:type="dxa"/>
            <w:vMerge/>
            <w:tcBorders>
              <w:right w:val="single" w:sz="4" w:space="0" w:color="auto"/>
            </w:tcBorders>
          </w:tcPr>
          <w:p w:rsidR="00E95FB1" w:rsidRPr="00C86B34" w:rsidRDefault="00E95FB1" w:rsidP="001B3967">
            <w:pPr>
              <w:pStyle w:val="a7"/>
              <w:ind w:left="0"/>
              <w:jc w:val="center"/>
              <w:rPr>
                <w:b/>
                <w:sz w:val="22"/>
                <w:lang w:val="uk-UA"/>
              </w:rPr>
            </w:pPr>
          </w:p>
        </w:tc>
        <w:tc>
          <w:tcPr>
            <w:tcW w:w="1426" w:type="dxa"/>
            <w:gridSpan w:val="2"/>
            <w:tcBorders>
              <w:top w:val="single" w:sz="4" w:space="0" w:color="auto"/>
              <w:left w:val="single" w:sz="4" w:space="0" w:color="auto"/>
              <w:right w:val="single" w:sz="4" w:space="0" w:color="auto"/>
            </w:tcBorders>
          </w:tcPr>
          <w:p w:rsidR="00E95FB1" w:rsidRPr="00C86B34" w:rsidRDefault="004E2B36" w:rsidP="001B3967">
            <w:pPr>
              <w:ind w:left="-79"/>
              <w:rPr>
                <w:sz w:val="22"/>
                <w:lang w:val="uk-UA"/>
              </w:rPr>
            </w:pPr>
            <w:r w:rsidRPr="00C86B34">
              <w:rPr>
                <w:sz w:val="22"/>
                <w:lang w:val="uk-UA"/>
              </w:rPr>
              <w:t>8979,571</w:t>
            </w:r>
          </w:p>
        </w:tc>
        <w:tc>
          <w:tcPr>
            <w:tcW w:w="1455" w:type="dxa"/>
            <w:gridSpan w:val="2"/>
            <w:tcBorders>
              <w:top w:val="single" w:sz="4" w:space="0" w:color="auto"/>
              <w:left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Міжнародні інвестиції, кошти приватних осіб</w:t>
            </w:r>
          </w:p>
        </w:tc>
        <w:tc>
          <w:tcPr>
            <w:tcW w:w="1476" w:type="dxa"/>
            <w:vMerge/>
            <w:tcBorders>
              <w:left w:val="single" w:sz="4" w:space="0" w:color="auto"/>
            </w:tcBorders>
          </w:tcPr>
          <w:p w:rsidR="00E95FB1" w:rsidRPr="00C86B34" w:rsidRDefault="00E95FB1" w:rsidP="001B3967">
            <w:pPr>
              <w:pStyle w:val="a7"/>
              <w:ind w:left="0"/>
              <w:jc w:val="center"/>
              <w:rPr>
                <w:sz w:val="22"/>
                <w:lang w:val="uk-UA"/>
              </w:rPr>
            </w:pPr>
          </w:p>
        </w:tc>
      </w:tr>
    </w:tbl>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tbl>
      <w:tblPr>
        <w:tblStyle w:val="af"/>
        <w:tblW w:w="0" w:type="auto"/>
        <w:tblInd w:w="-176" w:type="dxa"/>
        <w:tblLook w:val="04A0" w:firstRow="1" w:lastRow="0" w:firstColumn="1" w:lastColumn="0" w:noHBand="0" w:noVBand="1"/>
      </w:tblPr>
      <w:tblGrid>
        <w:gridCol w:w="2467"/>
        <w:gridCol w:w="2128"/>
        <w:gridCol w:w="1369"/>
        <w:gridCol w:w="409"/>
        <w:gridCol w:w="612"/>
        <w:gridCol w:w="1073"/>
        <w:gridCol w:w="139"/>
        <w:gridCol w:w="1465"/>
      </w:tblGrid>
      <w:tr w:rsidR="00E95FB1" w:rsidRPr="00C86B34" w:rsidTr="001B3967">
        <w:tc>
          <w:tcPr>
            <w:tcW w:w="2552"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Оперативна ціль/завдання</w:t>
            </w:r>
          </w:p>
        </w:tc>
        <w:tc>
          <w:tcPr>
            <w:tcW w:w="7336" w:type="dxa"/>
            <w:gridSpan w:val="7"/>
            <w:shd w:val="clear" w:color="auto" w:fill="auto"/>
          </w:tcPr>
          <w:p w:rsidR="00E95FB1" w:rsidRPr="00C86B34" w:rsidRDefault="005E4FB0" w:rsidP="001B3967">
            <w:pPr>
              <w:pStyle w:val="a7"/>
              <w:ind w:left="0"/>
              <w:rPr>
                <w:sz w:val="22"/>
                <w:lang w:val="uk-UA"/>
              </w:rPr>
            </w:pPr>
            <w:r w:rsidRPr="00C86B34">
              <w:rPr>
                <w:rFonts w:eastAsia="Arial"/>
                <w:sz w:val="22"/>
                <w:lang w:val="uk-UA"/>
              </w:rPr>
              <w:t>Людський розвиток</w:t>
            </w:r>
            <w:r w:rsidR="00E95FB1" w:rsidRPr="00C86B34">
              <w:rPr>
                <w:rFonts w:eastAsia="Arial"/>
                <w:sz w:val="22"/>
                <w:lang w:val="uk-UA"/>
              </w:rPr>
              <w:t xml:space="preserve"> через інновації управління та довіру до влади.</w:t>
            </w:r>
          </w:p>
          <w:p w:rsidR="00E95FB1" w:rsidRPr="00C86B34" w:rsidRDefault="00E95FB1" w:rsidP="001B3967">
            <w:pPr>
              <w:rPr>
                <w:rFonts w:eastAsia="Arial"/>
                <w:b/>
                <w:sz w:val="22"/>
                <w:lang w:val="uk-UA"/>
              </w:rPr>
            </w:pPr>
            <w:r w:rsidRPr="00C86B34">
              <w:rPr>
                <w:rFonts w:eastAsia="Arial"/>
                <w:sz w:val="22"/>
                <w:lang w:val="uk-UA"/>
              </w:rPr>
              <w:t xml:space="preserve">Формування сучасного інклюзивного </w:t>
            </w:r>
            <w:proofErr w:type="spellStart"/>
            <w:r w:rsidRPr="00C86B34">
              <w:rPr>
                <w:rFonts w:eastAsia="Arial"/>
                <w:sz w:val="22"/>
                <w:lang w:val="uk-UA"/>
              </w:rPr>
              <w:t>освітньо</w:t>
            </w:r>
            <w:proofErr w:type="spellEnd"/>
            <w:r w:rsidRPr="00C86B34">
              <w:rPr>
                <w:rFonts w:eastAsia="Arial"/>
                <w:sz w:val="22"/>
                <w:lang w:val="uk-UA"/>
              </w:rPr>
              <w:t xml:space="preserve"> – культурного та спортивного простору для розвитку</w:t>
            </w:r>
          </w:p>
        </w:tc>
      </w:tr>
      <w:tr w:rsidR="00E95FB1" w:rsidRPr="00C86B34" w:rsidTr="001B3967">
        <w:tc>
          <w:tcPr>
            <w:tcW w:w="2552"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Назва проекту:</w:t>
            </w:r>
          </w:p>
        </w:tc>
        <w:tc>
          <w:tcPr>
            <w:tcW w:w="7336" w:type="dxa"/>
            <w:gridSpan w:val="7"/>
          </w:tcPr>
          <w:p w:rsidR="00E95FB1" w:rsidRPr="00C86B34" w:rsidRDefault="00E95FB1" w:rsidP="001B3967">
            <w:pPr>
              <w:pStyle w:val="a7"/>
              <w:ind w:left="0"/>
              <w:rPr>
                <w:sz w:val="22"/>
                <w:lang w:val="uk-UA"/>
              </w:rPr>
            </w:pPr>
            <w:r w:rsidRPr="00C86B34">
              <w:rPr>
                <w:sz w:val="22"/>
                <w:lang w:val="uk-UA"/>
              </w:rPr>
              <w:t>Відновлення та відбудова будівель Комунального Закладу «Борівська школа мистецтв» Сєвєродонецької міської територіальної громади для задоволення потреб мешканців у отриманні послуг, гарантованих законодавством України</w:t>
            </w:r>
          </w:p>
        </w:tc>
      </w:tr>
      <w:tr w:rsidR="00E95FB1" w:rsidRPr="00C86B34" w:rsidTr="001B3967">
        <w:tc>
          <w:tcPr>
            <w:tcW w:w="2552" w:type="dxa"/>
            <w:shd w:val="clear" w:color="auto" w:fill="C6D9F1" w:themeFill="text2" w:themeFillTint="33"/>
          </w:tcPr>
          <w:p w:rsidR="00E95FB1" w:rsidRPr="00C86B34" w:rsidRDefault="00E95FB1" w:rsidP="001B3967">
            <w:pPr>
              <w:rPr>
                <w:b/>
                <w:sz w:val="22"/>
                <w:lang w:val="uk-UA"/>
              </w:rPr>
            </w:pPr>
            <w:r w:rsidRPr="00C86B34">
              <w:rPr>
                <w:b/>
                <w:sz w:val="22"/>
                <w:lang w:val="uk-UA"/>
              </w:rPr>
              <w:t>Ціль проекту</w:t>
            </w:r>
          </w:p>
        </w:tc>
        <w:tc>
          <w:tcPr>
            <w:tcW w:w="7336" w:type="dxa"/>
            <w:gridSpan w:val="7"/>
          </w:tcPr>
          <w:p w:rsidR="00E95FB1" w:rsidRPr="00C86B34" w:rsidRDefault="00E95FB1" w:rsidP="001B3967">
            <w:pPr>
              <w:pStyle w:val="a7"/>
              <w:ind w:left="0"/>
              <w:rPr>
                <w:sz w:val="22"/>
                <w:lang w:val="uk-UA"/>
              </w:rPr>
            </w:pPr>
            <w:r w:rsidRPr="00C86B34">
              <w:rPr>
                <w:sz w:val="22"/>
                <w:lang w:val="uk-UA"/>
              </w:rPr>
              <w:t>Відновити та відбудувати будівлі Комунального Закладу «Борівська школа мистецтв» Сєвєродонецької міської територіальної громади для задоволення потреб мешканців у отриманні послуг, гарантованих законодавством України</w:t>
            </w:r>
          </w:p>
        </w:tc>
      </w:tr>
      <w:tr w:rsidR="00E95FB1" w:rsidRPr="00C86B34" w:rsidTr="001B3967">
        <w:tc>
          <w:tcPr>
            <w:tcW w:w="2552"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Територія, на яку матиме вплив реалізація проекту</w:t>
            </w:r>
          </w:p>
        </w:tc>
        <w:tc>
          <w:tcPr>
            <w:tcW w:w="7336" w:type="dxa"/>
            <w:gridSpan w:val="7"/>
          </w:tcPr>
          <w:p w:rsidR="00E95FB1" w:rsidRPr="00C86B34" w:rsidRDefault="00E95FB1" w:rsidP="001B3967">
            <w:pPr>
              <w:pStyle w:val="a7"/>
              <w:ind w:left="0"/>
              <w:rPr>
                <w:sz w:val="22"/>
                <w:lang w:val="uk-UA"/>
              </w:rPr>
            </w:pPr>
            <w:r w:rsidRPr="00C86B34">
              <w:rPr>
                <w:sz w:val="22"/>
                <w:lang w:val="uk-UA"/>
              </w:rPr>
              <w:t>Сєвєродонецька міська територіальна громада</w:t>
            </w:r>
          </w:p>
        </w:tc>
      </w:tr>
      <w:tr w:rsidR="00E95FB1" w:rsidRPr="00C86B34" w:rsidTr="001B3967">
        <w:tc>
          <w:tcPr>
            <w:tcW w:w="2552"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Чисельність населення, на яке матиме вплив реалізація проекту</w:t>
            </w:r>
          </w:p>
        </w:tc>
        <w:tc>
          <w:tcPr>
            <w:tcW w:w="7336" w:type="dxa"/>
            <w:gridSpan w:val="7"/>
          </w:tcPr>
          <w:p w:rsidR="00E95FB1" w:rsidRPr="00C86B34" w:rsidRDefault="00E95FB1" w:rsidP="005E4FB0">
            <w:pPr>
              <w:pStyle w:val="a7"/>
              <w:ind w:left="0"/>
              <w:rPr>
                <w:sz w:val="22"/>
                <w:lang w:val="uk-UA"/>
              </w:rPr>
            </w:pPr>
            <w:r w:rsidRPr="00C86B34">
              <w:rPr>
                <w:sz w:val="22"/>
                <w:lang w:val="uk-UA"/>
              </w:rPr>
              <w:t xml:space="preserve">8 298 </w:t>
            </w:r>
          </w:p>
        </w:tc>
      </w:tr>
      <w:tr w:rsidR="00E95FB1" w:rsidRPr="00C86B34" w:rsidTr="001B3967">
        <w:tc>
          <w:tcPr>
            <w:tcW w:w="2552" w:type="dxa"/>
            <w:shd w:val="clear" w:color="auto" w:fill="C6D9F1" w:themeFill="text2" w:themeFillTint="33"/>
          </w:tcPr>
          <w:p w:rsidR="00E95FB1" w:rsidRPr="00C86B34" w:rsidRDefault="00E95FB1" w:rsidP="001B3967">
            <w:pPr>
              <w:rPr>
                <w:b/>
                <w:sz w:val="22"/>
                <w:lang w:val="uk-UA"/>
              </w:rPr>
            </w:pPr>
            <w:r w:rsidRPr="00C86B34">
              <w:rPr>
                <w:b/>
                <w:sz w:val="22"/>
                <w:lang w:val="uk-UA"/>
              </w:rPr>
              <w:t>Опис проблеми, на вирішення якої  спрямований проект</w:t>
            </w:r>
          </w:p>
        </w:tc>
        <w:tc>
          <w:tcPr>
            <w:tcW w:w="7336" w:type="dxa"/>
            <w:gridSpan w:val="7"/>
          </w:tcPr>
          <w:p w:rsidR="00E95FB1" w:rsidRPr="00C86B34" w:rsidRDefault="00E95FB1" w:rsidP="001B3967">
            <w:pPr>
              <w:ind w:firstLine="328"/>
              <w:rPr>
                <w:sz w:val="22"/>
                <w:lang w:val="uk-UA"/>
              </w:rPr>
            </w:pPr>
            <w:r w:rsidRPr="00C86B34">
              <w:rPr>
                <w:sz w:val="22"/>
                <w:lang w:val="uk-UA"/>
              </w:rPr>
              <w:t>Через військову агресію РФ територія Сєвєродонецької міської територіальної громади зазнала значних пошкоджень. Будівля Комунального Закладу «Борівська школа мистецтв»</w:t>
            </w:r>
            <w:r w:rsidR="005E4FB0" w:rsidRPr="00C86B34">
              <w:rPr>
                <w:sz w:val="22"/>
                <w:lang w:val="uk-UA"/>
              </w:rPr>
              <w:t>,</w:t>
            </w:r>
            <w:r w:rsidRPr="00C86B34">
              <w:rPr>
                <w:sz w:val="22"/>
                <w:lang w:val="uk-UA"/>
              </w:rPr>
              <w:t xml:space="preserve"> яка належить Сєвєродонецькій міській територіальній громаді, зруйнована. Для поновлення життєдіяльності громади та стимулювання повернення мешканців до громади необхідно забезпечити їх всіма необхідними послугами, гарантованими законодавством України.</w:t>
            </w:r>
          </w:p>
        </w:tc>
      </w:tr>
      <w:tr w:rsidR="00E95FB1" w:rsidRPr="00C86B34" w:rsidTr="001B3967">
        <w:tc>
          <w:tcPr>
            <w:tcW w:w="2552"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Очікувані якісні результати від реалізації проекту</w:t>
            </w:r>
          </w:p>
        </w:tc>
        <w:tc>
          <w:tcPr>
            <w:tcW w:w="7336" w:type="dxa"/>
            <w:gridSpan w:val="7"/>
          </w:tcPr>
          <w:p w:rsidR="00E95FB1" w:rsidRPr="00C86B34" w:rsidRDefault="00E95FB1" w:rsidP="000303D7">
            <w:pPr>
              <w:pStyle w:val="a7"/>
              <w:numPr>
                <w:ilvl w:val="0"/>
                <w:numId w:val="27"/>
              </w:numPr>
              <w:jc w:val="left"/>
              <w:rPr>
                <w:sz w:val="22"/>
                <w:lang w:val="uk-UA"/>
              </w:rPr>
            </w:pPr>
            <w:r w:rsidRPr="00C86B34">
              <w:rPr>
                <w:sz w:val="22"/>
                <w:lang w:val="uk-UA"/>
              </w:rPr>
              <w:t>Отримання мешканцями громади якісних послуг у сфері культури;</w:t>
            </w:r>
          </w:p>
          <w:p w:rsidR="00E95FB1" w:rsidRPr="00C86B34" w:rsidRDefault="005E4FB0" w:rsidP="000303D7">
            <w:pPr>
              <w:pStyle w:val="a7"/>
              <w:numPr>
                <w:ilvl w:val="0"/>
                <w:numId w:val="27"/>
              </w:numPr>
              <w:jc w:val="left"/>
              <w:rPr>
                <w:sz w:val="22"/>
                <w:lang w:val="uk-UA"/>
              </w:rPr>
            </w:pPr>
            <w:r w:rsidRPr="00C86B34">
              <w:rPr>
                <w:sz w:val="22"/>
                <w:lang w:val="uk-UA"/>
              </w:rPr>
              <w:t>м</w:t>
            </w:r>
            <w:r w:rsidR="00E95FB1" w:rsidRPr="00C86B34">
              <w:rPr>
                <w:sz w:val="22"/>
                <w:lang w:val="uk-UA"/>
              </w:rPr>
              <w:t>отивація мешканців громади до повернення у громаду;</w:t>
            </w:r>
          </w:p>
          <w:p w:rsidR="00E95FB1" w:rsidRPr="00C86B34" w:rsidRDefault="005E4FB0" w:rsidP="000303D7">
            <w:pPr>
              <w:pStyle w:val="a7"/>
              <w:numPr>
                <w:ilvl w:val="0"/>
                <w:numId w:val="27"/>
              </w:numPr>
              <w:jc w:val="left"/>
              <w:rPr>
                <w:sz w:val="22"/>
                <w:lang w:val="uk-UA"/>
              </w:rPr>
            </w:pPr>
            <w:r w:rsidRPr="00C86B34">
              <w:rPr>
                <w:sz w:val="22"/>
                <w:lang w:val="uk-UA"/>
              </w:rPr>
              <w:t>з</w:t>
            </w:r>
            <w:r w:rsidR="00E95FB1" w:rsidRPr="00C86B34">
              <w:rPr>
                <w:sz w:val="22"/>
                <w:lang w:val="uk-UA"/>
              </w:rPr>
              <w:t>ахист правових, культурних,</w:t>
            </w:r>
            <w:r w:rsidRPr="00C86B34">
              <w:rPr>
                <w:sz w:val="22"/>
                <w:lang w:val="uk-UA"/>
              </w:rPr>
              <w:t xml:space="preserve"> </w:t>
            </w:r>
            <w:r w:rsidR="00E95FB1" w:rsidRPr="00C86B34">
              <w:rPr>
                <w:sz w:val="22"/>
                <w:lang w:val="uk-UA"/>
              </w:rPr>
              <w:t>економічних та інших інтересів громадян;</w:t>
            </w:r>
          </w:p>
          <w:p w:rsidR="00E95FB1" w:rsidRPr="00C86B34" w:rsidRDefault="005E4FB0" w:rsidP="000303D7">
            <w:pPr>
              <w:pStyle w:val="a7"/>
              <w:numPr>
                <w:ilvl w:val="0"/>
                <w:numId w:val="27"/>
              </w:numPr>
              <w:jc w:val="left"/>
              <w:rPr>
                <w:sz w:val="22"/>
                <w:lang w:val="uk-UA"/>
              </w:rPr>
            </w:pPr>
            <w:r w:rsidRPr="00C86B34">
              <w:rPr>
                <w:sz w:val="22"/>
                <w:lang w:val="uk-UA"/>
              </w:rPr>
              <w:t>н</w:t>
            </w:r>
            <w:r w:rsidR="00E95FB1" w:rsidRPr="00C86B34">
              <w:rPr>
                <w:sz w:val="22"/>
                <w:lang w:val="uk-UA"/>
              </w:rPr>
              <w:t>адання юридичним та фізичним особам-підприємцям якісних послуг для впровадження ними своєї діяльності;</w:t>
            </w:r>
          </w:p>
          <w:p w:rsidR="00E95FB1" w:rsidRPr="00C86B34" w:rsidRDefault="005E4FB0" w:rsidP="000303D7">
            <w:pPr>
              <w:pStyle w:val="a7"/>
              <w:numPr>
                <w:ilvl w:val="0"/>
                <w:numId w:val="27"/>
              </w:numPr>
              <w:jc w:val="left"/>
              <w:rPr>
                <w:sz w:val="22"/>
                <w:lang w:val="uk-UA"/>
              </w:rPr>
            </w:pPr>
            <w:r w:rsidRPr="00C86B34">
              <w:rPr>
                <w:sz w:val="22"/>
                <w:lang w:val="uk-UA"/>
              </w:rPr>
              <w:t>с</w:t>
            </w:r>
            <w:r w:rsidR="00E95FB1" w:rsidRPr="00C86B34">
              <w:rPr>
                <w:sz w:val="22"/>
                <w:lang w:val="uk-UA"/>
              </w:rPr>
              <w:t>талий розвиток громади;</w:t>
            </w:r>
          </w:p>
          <w:p w:rsidR="00E95FB1" w:rsidRPr="00C86B34" w:rsidRDefault="005E4FB0" w:rsidP="000303D7">
            <w:pPr>
              <w:pStyle w:val="a7"/>
              <w:numPr>
                <w:ilvl w:val="0"/>
                <w:numId w:val="27"/>
              </w:numPr>
              <w:jc w:val="left"/>
              <w:rPr>
                <w:sz w:val="22"/>
                <w:lang w:val="uk-UA"/>
              </w:rPr>
            </w:pPr>
            <w:r w:rsidRPr="00C86B34">
              <w:rPr>
                <w:sz w:val="22"/>
                <w:lang w:val="uk-UA"/>
              </w:rPr>
              <w:t>і</w:t>
            </w:r>
            <w:r w:rsidR="00E95FB1" w:rsidRPr="00C86B34">
              <w:rPr>
                <w:sz w:val="22"/>
                <w:lang w:val="uk-UA"/>
              </w:rPr>
              <w:t>нвестиційна привабливість громади;</w:t>
            </w:r>
          </w:p>
          <w:p w:rsidR="00E95FB1" w:rsidRPr="00C86B34" w:rsidRDefault="005E4FB0" w:rsidP="005E4FB0">
            <w:pPr>
              <w:pStyle w:val="a7"/>
              <w:numPr>
                <w:ilvl w:val="0"/>
                <w:numId w:val="27"/>
              </w:numPr>
              <w:jc w:val="left"/>
              <w:rPr>
                <w:sz w:val="22"/>
                <w:lang w:val="uk-UA"/>
              </w:rPr>
            </w:pPr>
            <w:r w:rsidRPr="00C86B34">
              <w:rPr>
                <w:sz w:val="22"/>
                <w:lang w:val="uk-UA"/>
              </w:rPr>
              <w:t>к</w:t>
            </w:r>
            <w:r w:rsidR="00E95FB1" w:rsidRPr="00C86B34">
              <w:rPr>
                <w:sz w:val="22"/>
                <w:lang w:val="uk-UA"/>
              </w:rPr>
              <w:t>омфортне життя мешканців.</w:t>
            </w:r>
          </w:p>
        </w:tc>
      </w:tr>
      <w:tr w:rsidR="00E95FB1" w:rsidRPr="00C86B34" w:rsidTr="001B3967">
        <w:trPr>
          <w:trHeight w:val="390"/>
        </w:trPr>
        <w:tc>
          <w:tcPr>
            <w:tcW w:w="2552" w:type="dxa"/>
            <w:vMerge w:val="restart"/>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lastRenderedPageBreak/>
              <w:t xml:space="preserve">Очікувані кількісні результати реалізації </w:t>
            </w:r>
            <w:proofErr w:type="spellStart"/>
            <w:r w:rsidRPr="00C86B34">
              <w:rPr>
                <w:b/>
                <w:sz w:val="22"/>
                <w:lang w:val="uk-UA"/>
              </w:rPr>
              <w:t>проєкту</w:t>
            </w:r>
            <w:proofErr w:type="spellEnd"/>
            <w:r w:rsidRPr="00C86B34">
              <w:rPr>
                <w:b/>
                <w:sz w:val="22"/>
                <w:lang w:val="uk-UA"/>
              </w:rPr>
              <w:t xml:space="preserve"> (індикатори)</w:t>
            </w:r>
          </w:p>
          <w:p w:rsidR="00E95FB1" w:rsidRPr="00C86B34" w:rsidRDefault="00E95FB1" w:rsidP="001B3967">
            <w:pPr>
              <w:pStyle w:val="a7"/>
              <w:ind w:left="0"/>
              <w:rPr>
                <w:b/>
                <w:sz w:val="22"/>
                <w:lang w:val="uk-UA"/>
              </w:rPr>
            </w:pPr>
          </w:p>
        </w:tc>
        <w:tc>
          <w:tcPr>
            <w:tcW w:w="4019" w:type="dxa"/>
            <w:gridSpan w:val="3"/>
            <w:tcBorders>
              <w:bottom w:val="single" w:sz="4" w:space="0" w:color="auto"/>
              <w:right w:val="single" w:sz="4" w:space="0" w:color="auto"/>
            </w:tcBorders>
          </w:tcPr>
          <w:p w:rsidR="00E95FB1" w:rsidRPr="00C86B34" w:rsidRDefault="00E95FB1" w:rsidP="001B3967">
            <w:pPr>
              <w:pStyle w:val="a7"/>
              <w:ind w:left="-108"/>
              <w:jc w:val="center"/>
              <w:rPr>
                <w:b/>
                <w:sz w:val="22"/>
                <w:lang w:val="uk-UA"/>
              </w:rPr>
            </w:pPr>
            <w:r w:rsidRPr="00C86B34">
              <w:rPr>
                <w:b/>
                <w:sz w:val="22"/>
                <w:lang w:val="uk-UA"/>
              </w:rPr>
              <w:t>Найменування показника</w:t>
            </w:r>
          </w:p>
        </w:tc>
        <w:tc>
          <w:tcPr>
            <w:tcW w:w="1696" w:type="dxa"/>
            <w:gridSpan w:val="2"/>
            <w:tcBorders>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Одиниця вимірювання</w:t>
            </w:r>
          </w:p>
          <w:p w:rsidR="00E95FB1" w:rsidRPr="00C86B34" w:rsidRDefault="00E95FB1" w:rsidP="001B3967">
            <w:pPr>
              <w:pStyle w:val="a7"/>
              <w:ind w:left="0"/>
              <w:rPr>
                <w:b/>
                <w:sz w:val="22"/>
                <w:lang w:val="uk-UA"/>
              </w:rPr>
            </w:pPr>
          </w:p>
        </w:tc>
        <w:tc>
          <w:tcPr>
            <w:tcW w:w="1621" w:type="dxa"/>
            <w:gridSpan w:val="2"/>
            <w:tcBorders>
              <w:left w:val="single" w:sz="4" w:space="0" w:color="auto"/>
              <w:bottom w:val="single" w:sz="4" w:space="0" w:color="auto"/>
            </w:tcBorders>
          </w:tcPr>
          <w:p w:rsidR="00E95FB1" w:rsidRPr="00C86B34" w:rsidRDefault="00E95FB1" w:rsidP="001B3967">
            <w:pPr>
              <w:pStyle w:val="a7"/>
              <w:ind w:left="0"/>
              <w:jc w:val="center"/>
              <w:rPr>
                <w:b/>
                <w:sz w:val="22"/>
                <w:lang w:val="uk-UA"/>
              </w:rPr>
            </w:pPr>
            <w:r w:rsidRPr="00C86B34">
              <w:rPr>
                <w:b/>
                <w:sz w:val="22"/>
                <w:lang w:val="uk-UA"/>
              </w:rPr>
              <w:t>Прогнозне (цільове) значення</w:t>
            </w:r>
          </w:p>
        </w:tc>
      </w:tr>
      <w:tr w:rsidR="00E95FB1" w:rsidRPr="00C86B34" w:rsidTr="001B3967">
        <w:trPr>
          <w:trHeight w:val="585"/>
        </w:trPr>
        <w:tc>
          <w:tcPr>
            <w:tcW w:w="2552" w:type="dxa"/>
            <w:vMerge/>
            <w:shd w:val="clear" w:color="auto" w:fill="C6D9F1" w:themeFill="text2" w:themeFillTint="33"/>
          </w:tcPr>
          <w:p w:rsidR="00E95FB1" w:rsidRPr="00C86B34" w:rsidRDefault="00E95FB1" w:rsidP="001B3967">
            <w:pPr>
              <w:pStyle w:val="a7"/>
              <w:ind w:left="0"/>
              <w:rPr>
                <w:b/>
                <w:sz w:val="22"/>
                <w:lang w:val="uk-UA"/>
              </w:rPr>
            </w:pPr>
          </w:p>
        </w:tc>
        <w:tc>
          <w:tcPr>
            <w:tcW w:w="4019"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Кількість учнів</w:t>
            </w:r>
            <w:r w:rsidR="005E4FB0" w:rsidRPr="00C86B34">
              <w:rPr>
                <w:sz w:val="22"/>
                <w:lang w:val="uk-UA"/>
              </w:rPr>
              <w:t>,</w:t>
            </w:r>
            <w:r w:rsidRPr="00C86B34">
              <w:rPr>
                <w:sz w:val="22"/>
                <w:lang w:val="uk-UA"/>
              </w:rPr>
              <w:t xml:space="preserve"> які навчались протягом  року</w:t>
            </w:r>
          </w:p>
        </w:tc>
        <w:tc>
          <w:tcPr>
            <w:tcW w:w="1696"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осіб</w:t>
            </w:r>
          </w:p>
        </w:tc>
        <w:tc>
          <w:tcPr>
            <w:tcW w:w="1621"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86</w:t>
            </w:r>
          </w:p>
        </w:tc>
      </w:tr>
      <w:tr w:rsidR="00E95FB1" w:rsidRPr="00C86B34" w:rsidTr="001B3967">
        <w:trPr>
          <w:trHeight w:val="184"/>
        </w:trPr>
        <w:tc>
          <w:tcPr>
            <w:tcW w:w="2552" w:type="dxa"/>
            <w:vMerge/>
            <w:shd w:val="clear" w:color="auto" w:fill="C6D9F1" w:themeFill="text2" w:themeFillTint="33"/>
          </w:tcPr>
          <w:p w:rsidR="00E95FB1" w:rsidRPr="00C86B34" w:rsidRDefault="00E95FB1" w:rsidP="001B3967">
            <w:pPr>
              <w:pStyle w:val="a7"/>
              <w:ind w:left="0"/>
              <w:rPr>
                <w:b/>
                <w:sz w:val="22"/>
                <w:lang w:val="uk-UA"/>
              </w:rPr>
            </w:pPr>
          </w:p>
        </w:tc>
        <w:tc>
          <w:tcPr>
            <w:tcW w:w="4019" w:type="dxa"/>
            <w:gridSpan w:val="3"/>
            <w:tcBorders>
              <w:top w:val="single" w:sz="4" w:space="0" w:color="auto"/>
              <w:bottom w:val="single" w:sz="4" w:space="0" w:color="auto"/>
              <w:right w:val="single" w:sz="4" w:space="0" w:color="auto"/>
            </w:tcBorders>
          </w:tcPr>
          <w:p w:rsidR="00E95FB1" w:rsidRPr="00C86B34" w:rsidRDefault="00E95FB1" w:rsidP="005E4FB0">
            <w:pPr>
              <w:pStyle w:val="a7"/>
              <w:ind w:left="0"/>
              <w:jc w:val="center"/>
              <w:rPr>
                <w:sz w:val="22"/>
                <w:lang w:val="uk-UA"/>
              </w:rPr>
            </w:pPr>
            <w:r w:rsidRPr="00C86B34">
              <w:rPr>
                <w:sz w:val="22"/>
                <w:lang w:val="uk-UA"/>
              </w:rPr>
              <w:t>Кількість фізичних осіб, які відвідували заходи протягом  року</w:t>
            </w:r>
          </w:p>
        </w:tc>
        <w:tc>
          <w:tcPr>
            <w:tcW w:w="1696"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осіб</w:t>
            </w:r>
          </w:p>
        </w:tc>
        <w:tc>
          <w:tcPr>
            <w:tcW w:w="1621"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12 447</w:t>
            </w:r>
          </w:p>
        </w:tc>
      </w:tr>
      <w:tr w:rsidR="00E95FB1" w:rsidRPr="00C86B34" w:rsidTr="001B3967">
        <w:trPr>
          <w:trHeight w:val="165"/>
        </w:trPr>
        <w:tc>
          <w:tcPr>
            <w:tcW w:w="2552" w:type="dxa"/>
            <w:vMerge/>
            <w:shd w:val="clear" w:color="auto" w:fill="C6D9F1" w:themeFill="text2" w:themeFillTint="33"/>
          </w:tcPr>
          <w:p w:rsidR="00E95FB1" w:rsidRPr="00C86B34" w:rsidRDefault="00E95FB1" w:rsidP="001B3967">
            <w:pPr>
              <w:pStyle w:val="a7"/>
              <w:ind w:left="0"/>
              <w:rPr>
                <w:b/>
                <w:sz w:val="22"/>
                <w:lang w:val="uk-UA"/>
              </w:rPr>
            </w:pPr>
          </w:p>
        </w:tc>
        <w:tc>
          <w:tcPr>
            <w:tcW w:w="4019" w:type="dxa"/>
            <w:gridSpan w:val="3"/>
            <w:tcBorders>
              <w:top w:val="single" w:sz="4" w:space="0" w:color="auto"/>
              <w:bottom w:val="single" w:sz="4" w:space="0" w:color="auto"/>
              <w:right w:val="single" w:sz="4" w:space="0" w:color="auto"/>
            </w:tcBorders>
          </w:tcPr>
          <w:p w:rsidR="00E95FB1" w:rsidRPr="00C86B34" w:rsidRDefault="00E95FB1" w:rsidP="005E4FB0">
            <w:pPr>
              <w:pStyle w:val="a7"/>
              <w:ind w:left="0"/>
              <w:jc w:val="center"/>
              <w:rPr>
                <w:sz w:val="22"/>
                <w:lang w:val="uk-UA"/>
              </w:rPr>
            </w:pPr>
            <w:r w:rsidRPr="00C86B34">
              <w:rPr>
                <w:sz w:val="22"/>
                <w:lang w:val="uk-UA"/>
              </w:rPr>
              <w:t>Кількість видів та типів послуг</w:t>
            </w:r>
            <w:r w:rsidR="005E4FB0" w:rsidRPr="00C86B34">
              <w:rPr>
                <w:sz w:val="22"/>
                <w:lang w:val="uk-UA"/>
              </w:rPr>
              <w:t xml:space="preserve">, </w:t>
            </w:r>
            <w:r w:rsidRPr="00C86B34">
              <w:rPr>
                <w:sz w:val="22"/>
                <w:lang w:val="uk-UA"/>
              </w:rPr>
              <w:t>наданих протягом одного робочого дня</w:t>
            </w:r>
          </w:p>
        </w:tc>
        <w:tc>
          <w:tcPr>
            <w:tcW w:w="1696"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621"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5</w:t>
            </w:r>
          </w:p>
        </w:tc>
      </w:tr>
      <w:tr w:rsidR="00E95FB1" w:rsidRPr="00C86B34" w:rsidTr="001B3967">
        <w:trPr>
          <w:trHeight w:val="165"/>
        </w:trPr>
        <w:tc>
          <w:tcPr>
            <w:tcW w:w="2552" w:type="dxa"/>
            <w:vMerge/>
            <w:shd w:val="clear" w:color="auto" w:fill="C6D9F1" w:themeFill="text2" w:themeFillTint="33"/>
          </w:tcPr>
          <w:p w:rsidR="00E95FB1" w:rsidRPr="00C86B34" w:rsidRDefault="00E95FB1" w:rsidP="001B3967">
            <w:pPr>
              <w:pStyle w:val="a7"/>
              <w:ind w:left="0"/>
              <w:rPr>
                <w:b/>
                <w:sz w:val="22"/>
                <w:lang w:val="uk-UA"/>
              </w:rPr>
            </w:pPr>
          </w:p>
        </w:tc>
        <w:tc>
          <w:tcPr>
            <w:tcW w:w="4019"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Середня вартість послуг</w:t>
            </w:r>
          </w:p>
        </w:tc>
        <w:tc>
          <w:tcPr>
            <w:tcW w:w="1696"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грн</w:t>
            </w:r>
          </w:p>
        </w:tc>
        <w:tc>
          <w:tcPr>
            <w:tcW w:w="1621"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безкоштовно</w:t>
            </w:r>
          </w:p>
        </w:tc>
      </w:tr>
      <w:tr w:rsidR="00E95FB1" w:rsidRPr="00C86B34" w:rsidTr="001B3967">
        <w:trPr>
          <w:trHeight w:val="165"/>
        </w:trPr>
        <w:tc>
          <w:tcPr>
            <w:tcW w:w="2552" w:type="dxa"/>
            <w:shd w:val="clear" w:color="auto" w:fill="C6D9F1" w:themeFill="text2" w:themeFillTint="33"/>
          </w:tcPr>
          <w:p w:rsidR="00E95FB1" w:rsidRPr="00C86B34" w:rsidRDefault="00E95FB1" w:rsidP="001B3967">
            <w:pPr>
              <w:pStyle w:val="a7"/>
              <w:ind w:left="0"/>
              <w:rPr>
                <w:b/>
                <w:sz w:val="22"/>
                <w:lang w:val="uk-UA"/>
              </w:rPr>
            </w:pPr>
          </w:p>
        </w:tc>
        <w:tc>
          <w:tcPr>
            <w:tcW w:w="4019"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Термін надання послуги навчання</w:t>
            </w:r>
          </w:p>
        </w:tc>
        <w:tc>
          <w:tcPr>
            <w:tcW w:w="1696"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років</w:t>
            </w:r>
          </w:p>
        </w:tc>
        <w:tc>
          <w:tcPr>
            <w:tcW w:w="1621"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Від 4 до 11</w:t>
            </w:r>
          </w:p>
        </w:tc>
      </w:tr>
      <w:tr w:rsidR="00E95FB1" w:rsidRPr="00C86B34" w:rsidTr="001B3967">
        <w:trPr>
          <w:trHeight w:val="165"/>
        </w:trPr>
        <w:tc>
          <w:tcPr>
            <w:tcW w:w="2552" w:type="dxa"/>
            <w:shd w:val="clear" w:color="auto" w:fill="C6D9F1" w:themeFill="text2" w:themeFillTint="33"/>
          </w:tcPr>
          <w:p w:rsidR="00E95FB1" w:rsidRPr="00C86B34" w:rsidRDefault="00E95FB1" w:rsidP="001B3967">
            <w:pPr>
              <w:pStyle w:val="a7"/>
              <w:ind w:left="0"/>
              <w:rPr>
                <w:b/>
                <w:sz w:val="22"/>
                <w:lang w:val="uk-UA"/>
              </w:rPr>
            </w:pPr>
          </w:p>
        </w:tc>
        <w:tc>
          <w:tcPr>
            <w:tcW w:w="4019" w:type="dxa"/>
            <w:gridSpan w:val="3"/>
            <w:tcBorders>
              <w:top w:val="single" w:sz="4" w:space="0" w:color="auto"/>
              <w:bottom w:val="single" w:sz="4" w:space="0" w:color="auto"/>
              <w:right w:val="single" w:sz="4" w:space="0" w:color="auto"/>
            </w:tcBorders>
          </w:tcPr>
          <w:p w:rsidR="00E95FB1" w:rsidRPr="00C86B34" w:rsidRDefault="00E95FB1" w:rsidP="005E4FB0">
            <w:pPr>
              <w:pStyle w:val="a7"/>
              <w:ind w:left="0"/>
              <w:jc w:val="center"/>
              <w:rPr>
                <w:sz w:val="22"/>
                <w:lang w:val="uk-UA"/>
              </w:rPr>
            </w:pPr>
            <w:r w:rsidRPr="00C86B34">
              <w:rPr>
                <w:sz w:val="22"/>
                <w:lang w:val="uk-UA"/>
              </w:rPr>
              <w:t>Кількість населених пунктів, як</w:t>
            </w:r>
            <w:r w:rsidR="005E4FB0" w:rsidRPr="00C86B34">
              <w:rPr>
                <w:sz w:val="22"/>
                <w:lang w:val="uk-UA"/>
              </w:rPr>
              <w:t>і</w:t>
            </w:r>
            <w:r w:rsidRPr="00C86B34">
              <w:rPr>
                <w:sz w:val="22"/>
                <w:lang w:val="uk-UA"/>
              </w:rPr>
              <w:t xml:space="preserve"> обслуговує заклад</w:t>
            </w:r>
          </w:p>
        </w:tc>
        <w:tc>
          <w:tcPr>
            <w:tcW w:w="1696"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621"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5</w:t>
            </w:r>
          </w:p>
        </w:tc>
      </w:tr>
      <w:tr w:rsidR="00E95FB1" w:rsidRPr="00C86B34" w:rsidTr="001B3967">
        <w:tc>
          <w:tcPr>
            <w:tcW w:w="2552" w:type="dxa"/>
            <w:shd w:val="clear" w:color="auto" w:fill="C6D9F1" w:themeFill="text2" w:themeFillTint="33"/>
          </w:tcPr>
          <w:p w:rsidR="00E95FB1" w:rsidRPr="00C86B34" w:rsidRDefault="00E95FB1" w:rsidP="001B3967">
            <w:pPr>
              <w:rPr>
                <w:b/>
                <w:sz w:val="22"/>
                <w:lang w:val="uk-UA"/>
              </w:rPr>
            </w:pPr>
            <w:r w:rsidRPr="00C86B34">
              <w:rPr>
                <w:b/>
                <w:sz w:val="22"/>
                <w:lang w:val="uk-UA"/>
              </w:rPr>
              <w:t xml:space="preserve">Ключові заходи проекту: </w:t>
            </w:r>
          </w:p>
          <w:p w:rsidR="00E95FB1" w:rsidRPr="00C86B34" w:rsidRDefault="00E95FB1" w:rsidP="001B3967">
            <w:pPr>
              <w:pStyle w:val="a7"/>
              <w:ind w:left="0"/>
              <w:rPr>
                <w:b/>
                <w:sz w:val="22"/>
                <w:lang w:val="uk-UA"/>
              </w:rPr>
            </w:pPr>
          </w:p>
        </w:tc>
        <w:tc>
          <w:tcPr>
            <w:tcW w:w="7336" w:type="dxa"/>
            <w:gridSpan w:val="7"/>
          </w:tcPr>
          <w:p w:rsidR="00E95FB1" w:rsidRPr="00C86B34" w:rsidRDefault="00E95FB1" w:rsidP="001B3967">
            <w:pPr>
              <w:pStyle w:val="a7"/>
              <w:ind w:left="0"/>
              <w:rPr>
                <w:sz w:val="22"/>
                <w:lang w:val="uk-UA"/>
              </w:rPr>
            </w:pPr>
            <w:r w:rsidRPr="00C86B34">
              <w:rPr>
                <w:sz w:val="22"/>
                <w:lang w:val="uk-UA"/>
              </w:rPr>
              <w:t>- обстеження об’єкта нерухомості;</w:t>
            </w:r>
          </w:p>
          <w:p w:rsidR="00E95FB1" w:rsidRPr="00C86B34" w:rsidRDefault="00E95FB1" w:rsidP="001B3967">
            <w:pPr>
              <w:pStyle w:val="a7"/>
              <w:ind w:left="0"/>
              <w:rPr>
                <w:sz w:val="22"/>
                <w:lang w:val="uk-UA"/>
              </w:rPr>
            </w:pPr>
            <w:r w:rsidRPr="00C86B34">
              <w:rPr>
                <w:sz w:val="22"/>
                <w:lang w:val="uk-UA"/>
              </w:rPr>
              <w:t>- пошук інвестора;</w:t>
            </w:r>
          </w:p>
          <w:p w:rsidR="00E95FB1" w:rsidRPr="00C86B34" w:rsidRDefault="00E95FB1" w:rsidP="001B3967">
            <w:pPr>
              <w:pStyle w:val="a7"/>
              <w:ind w:left="0"/>
              <w:rPr>
                <w:sz w:val="22"/>
                <w:lang w:val="uk-UA"/>
              </w:rPr>
            </w:pPr>
            <w:r w:rsidRPr="00C86B34">
              <w:rPr>
                <w:sz w:val="22"/>
                <w:lang w:val="uk-UA"/>
              </w:rPr>
              <w:t xml:space="preserve">- розробка </w:t>
            </w:r>
            <w:proofErr w:type="spellStart"/>
            <w:r w:rsidRPr="00C86B34">
              <w:rPr>
                <w:sz w:val="22"/>
                <w:lang w:val="uk-UA"/>
              </w:rPr>
              <w:t>про</w:t>
            </w:r>
            <w:r w:rsidR="005E4FB0" w:rsidRPr="00C86B34">
              <w:rPr>
                <w:sz w:val="22"/>
                <w:lang w:val="uk-UA"/>
              </w:rPr>
              <w:t>є</w:t>
            </w:r>
            <w:r w:rsidRPr="00C86B34">
              <w:rPr>
                <w:sz w:val="22"/>
                <w:lang w:val="uk-UA"/>
              </w:rPr>
              <w:t>ктно</w:t>
            </w:r>
            <w:proofErr w:type="spellEnd"/>
            <w:r w:rsidRPr="00C86B34">
              <w:rPr>
                <w:sz w:val="22"/>
                <w:lang w:val="uk-UA"/>
              </w:rPr>
              <w:t>-кошторисної документації;</w:t>
            </w:r>
          </w:p>
          <w:p w:rsidR="00E95FB1" w:rsidRPr="00C86B34" w:rsidRDefault="00E95FB1" w:rsidP="001B3967">
            <w:pPr>
              <w:pStyle w:val="a7"/>
              <w:ind w:left="0"/>
              <w:rPr>
                <w:sz w:val="22"/>
                <w:lang w:val="uk-UA"/>
              </w:rPr>
            </w:pPr>
            <w:r w:rsidRPr="00C86B34">
              <w:rPr>
                <w:sz w:val="22"/>
                <w:lang w:val="uk-UA"/>
              </w:rPr>
              <w:t>- укладення договору про будівництво із підрядною організацією;</w:t>
            </w:r>
          </w:p>
          <w:p w:rsidR="00E95FB1" w:rsidRPr="00C86B34" w:rsidRDefault="00E95FB1" w:rsidP="001B3967">
            <w:pPr>
              <w:pStyle w:val="a7"/>
              <w:ind w:left="0"/>
              <w:rPr>
                <w:sz w:val="22"/>
                <w:lang w:val="uk-UA"/>
              </w:rPr>
            </w:pPr>
            <w:r w:rsidRPr="00C86B34">
              <w:rPr>
                <w:sz w:val="22"/>
                <w:lang w:val="uk-UA"/>
              </w:rPr>
              <w:t>- організація та початок робочого процесу.</w:t>
            </w:r>
          </w:p>
        </w:tc>
      </w:tr>
      <w:tr w:rsidR="00E95FB1" w:rsidRPr="00C86B34" w:rsidTr="001B3967">
        <w:trPr>
          <w:trHeight w:val="360"/>
        </w:trPr>
        <w:tc>
          <w:tcPr>
            <w:tcW w:w="2552" w:type="dxa"/>
            <w:vMerge w:val="restart"/>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 xml:space="preserve">Орієнтовний обсяг та джерела фінансування, тис. грн. </w:t>
            </w:r>
          </w:p>
          <w:p w:rsidR="00E95FB1" w:rsidRPr="00C86B34" w:rsidRDefault="00E95FB1" w:rsidP="001B3967">
            <w:pPr>
              <w:pStyle w:val="a7"/>
              <w:ind w:left="0"/>
              <w:rPr>
                <w:b/>
                <w:sz w:val="22"/>
                <w:lang w:val="uk-UA"/>
              </w:rPr>
            </w:pPr>
          </w:p>
        </w:tc>
        <w:tc>
          <w:tcPr>
            <w:tcW w:w="2209" w:type="dxa"/>
            <w:tcBorders>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Державний бюджет</w:t>
            </w:r>
          </w:p>
        </w:tc>
        <w:tc>
          <w:tcPr>
            <w:tcW w:w="1389" w:type="dxa"/>
            <w:tcBorders>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Місцевий бюджет</w:t>
            </w:r>
          </w:p>
          <w:p w:rsidR="00E95FB1" w:rsidRPr="00C86B34" w:rsidRDefault="00E95FB1" w:rsidP="001B3967">
            <w:pPr>
              <w:pStyle w:val="a7"/>
              <w:ind w:left="0"/>
              <w:jc w:val="center"/>
              <w:rPr>
                <w:b/>
                <w:sz w:val="22"/>
                <w:lang w:val="uk-UA"/>
              </w:rPr>
            </w:pPr>
            <w:proofErr w:type="spellStart"/>
            <w:r w:rsidRPr="00C86B34">
              <w:rPr>
                <w:b/>
                <w:sz w:val="22"/>
                <w:lang w:val="uk-UA"/>
              </w:rPr>
              <w:t>тис.грн</w:t>
            </w:r>
            <w:proofErr w:type="spellEnd"/>
          </w:p>
        </w:tc>
        <w:tc>
          <w:tcPr>
            <w:tcW w:w="2267" w:type="dxa"/>
            <w:gridSpan w:val="4"/>
            <w:tcBorders>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Інші джерела</w:t>
            </w:r>
          </w:p>
          <w:p w:rsidR="00E95FB1" w:rsidRPr="00C86B34" w:rsidRDefault="00E95FB1" w:rsidP="001B3967">
            <w:pPr>
              <w:pStyle w:val="a7"/>
              <w:ind w:left="0"/>
              <w:jc w:val="center"/>
              <w:rPr>
                <w:b/>
                <w:sz w:val="22"/>
                <w:lang w:val="uk-UA"/>
              </w:rPr>
            </w:pPr>
            <w:proofErr w:type="spellStart"/>
            <w:r w:rsidRPr="00C86B34">
              <w:rPr>
                <w:b/>
                <w:sz w:val="22"/>
                <w:lang w:val="uk-UA"/>
              </w:rPr>
              <w:t>тис.грн</w:t>
            </w:r>
            <w:proofErr w:type="spellEnd"/>
          </w:p>
        </w:tc>
        <w:tc>
          <w:tcPr>
            <w:tcW w:w="1471" w:type="dxa"/>
            <w:tcBorders>
              <w:left w:val="single" w:sz="4" w:space="0" w:color="auto"/>
              <w:bottom w:val="single" w:sz="4" w:space="0" w:color="auto"/>
            </w:tcBorders>
          </w:tcPr>
          <w:p w:rsidR="00E95FB1" w:rsidRPr="00C86B34" w:rsidRDefault="00E95FB1" w:rsidP="001B3967">
            <w:pPr>
              <w:pStyle w:val="a7"/>
              <w:ind w:left="0"/>
              <w:jc w:val="center"/>
              <w:rPr>
                <w:b/>
                <w:sz w:val="22"/>
                <w:lang w:val="uk-UA"/>
              </w:rPr>
            </w:pPr>
            <w:r w:rsidRPr="00C86B34">
              <w:rPr>
                <w:b/>
                <w:sz w:val="22"/>
                <w:lang w:val="uk-UA"/>
              </w:rPr>
              <w:t>Всього</w:t>
            </w:r>
          </w:p>
          <w:p w:rsidR="00E95FB1" w:rsidRPr="00C86B34" w:rsidRDefault="00E95FB1" w:rsidP="001B3967">
            <w:pPr>
              <w:pStyle w:val="a7"/>
              <w:ind w:left="0"/>
              <w:jc w:val="center"/>
              <w:rPr>
                <w:b/>
                <w:sz w:val="22"/>
                <w:lang w:val="uk-UA"/>
              </w:rPr>
            </w:pPr>
            <w:proofErr w:type="spellStart"/>
            <w:r w:rsidRPr="00C86B34">
              <w:rPr>
                <w:b/>
                <w:sz w:val="22"/>
                <w:lang w:val="uk-UA"/>
              </w:rPr>
              <w:t>тис.грн</w:t>
            </w:r>
            <w:proofErr w:type="spellEnd"/>
          </w:p>
        </w:tc>
      </w:tr>
      <w:tr w:rsidR="00E95FB1" w:rsidRPr="00C86B34" w:rsidTr="001B3967">
        <w:trPr>
          <w:trHeight w:val="225"/>
        </w:trPr>
        <w:tc>
          <w:tcPr>
            <w:tcW w:w="2552" w:type="dxa"/>
            <w:vMerge/>
            <w:shd w:val="clear" w:color="auto" w:fill="C6D9F1" w:themeFill="text2" w:themeFillTint="33"/>
          </w:tcPr>
          <w:p w:rsidR="00E95FB1" w:rsidRPr="00C86B34" w:rsidRDefault="00E95FB1" w:rsidP="001B3967">
            <w:pPr>
              <w:pStyle w:val="a7"/>
              <w:ind w:left="0"/>
              <w:rPr>
                <w:b/>
                <w:sz w:val="22"/>
                <w:lang w:val="uk-UA"/>
              </w:rPr>
            </w:pPr>
          </w:p>
        </w:tc>
        <w:tc>
          <w:tcPr>
            <w:tcW w:w="2209" w:type="dxa"/>
            <w:vMerge w:val="restart"/>
            <w:tcBorders>
              <w:top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290000,0</w:t>
            </w:r>
          </w:p>
        </w:tc>
        <w:tc>
          <w:tcPr>
            <w:tcW w:w="1389" w:type="dxa"/>
            <w:vMerge w:val="restart"/>
            <w:tcBorders>
              <w:top w:val="single" w:sz="4" w:space="0" w:color="auto"/>
              <w:right w:val="single" w:sz="4" w:space="0" w:color="auto"/>
            </w:tcBorders>
          </w:tcPr>
          <w:p w:rsidR="00E95FB1" w:rsidRPr="00C86B34" w:rsidRDefault="00E95FB1" w:rsidP="001B3967">
            <w:pPr>
              <w:pStyle w:val="a7"/>
              <w:ind w:left="0"/>
              <w:jc w:val="center"/>
              <w:rPr>
                <w:sz w:val="22"/>
                <w:lang w:val="uk-UA"/>
              </w:rPr>
            </w:pPr>
            <w:proofErr w:type="spellStart"/>
            <w:r w:rsidRPr="00C86B34">
              <w:rPr>
                <w:sz w:val="22"/>
                <w:lang w:val="uk-UA"/>
              </w:rPr>
              <w:t>Проєкт</w:t>
            </w:r>
            <w:proofErr w:type="spellEnd"/>
          </w:p>
          <w:p w:rsidR="00E95FB1" w:rsidRPr="00C86B34" w:rsidRDefault="00E95FB1" w:rsidP="001B3967">
            <w:pPr>
              <w:pStyle w:val="a7"/>
              <w:ind w:left="0"/>
              <w:jc w:val="center"/>
              <w:rPr>
                <w:sz w:val="22"/>
                <w:lang w:val="uk-UA"/>
              </w:rPr>
            </w:pPr>
            <w:r w:rsidRPr="00C86B34">
              <w:rPr>
                <w:sz w:val="22"/>
                <w:lang w:val="uk-UA"/>
              </w:rPr>
              <w:t>3000,0</w:t>
            </w:r>
          </w:p>
        </w:tc>
        <w:tc>
          <w:tcPr>
            <w:tcW w:w="1033" w:type="dxa"/>
            <w:gridSpan w:val="2"/>
            <w:tcBorders>
              <w:top w:val="single" w:sz="4" w:space="0" w:color="auto"/>
              <w:left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Обсяг</w:t>
            </w:r>
          </w:p>
          <w:p w:rsidR="00E95FB1" w:rsidRPr="00C86B34" w:rsidRDefault="00E95FB1" w:rsidP="001B3967">
            <w:pPr>
              <w:pStyle w:val="a7"/>
              <w:ind w:left="0"/>
              <w:jc w:val="center"/>
              <w:rPr>
                <w:sz w:val="22"/>
                <w:lang w:val="uk-UA"/>
              </w:rPr>
            </w:pPr>
            <w:proofErr w:type="spellStart"/>
            <w:r w:rsidRPr="00C86B34">
              <w:rPr>
                <w:sz w:val="22"/>
                <w:lang w:val="uk-UA"/>
              </w:rPr>
              <w:t>тис.грн</w:t>
            </w:r>
            <w:proofErr w:type="spellEnd"/>
          </w:p>
        </w:tc>
        <w:tc>
          <w:tcPr>
            <w:tcW w:w="1234" w:type="dxa"/>
            <w:gridSpan w:val="2"/>
            <w:tcBorders>
              <w:top w:val="single" w:sz="4" w:space="0" w:color="auto"/>
              <w:left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Назва джерела</w:t>
            </w:r>
          </w:p>
        </w:tc>
        <w:tc>
          <w:tcPr>
            <w:tcW w:w="1471" w:type="dxa"/>
            <w:vMerge w:val="restart"/>
            <w:tcBorders>
              <w:top w:val="single" w:sz="4" w:space="0" w:color="auto"/>
              <w:left w:val="single" w:sz="4" w:space="0" w:color="auto"/>
            </w:tcBorders>
          </w:tcPr>
          <w:p w:rsidR="00E95FB1" w:rsidRPr="00C86B34" w:rsidRDefault="00E95FB1" w:rsidP="001B3967">
            <w:pPr>
              <w:pStyle w:val="a7"/>
              <w:ind w:left="0"/>
              <w:jc w:val="center"/>
              <w:rPr>
                <w:sz w:val="22"/>
                <w:lang w:val="uk-UA"/>
              </w:rPr>
            </w:pPr>
            <w:r w:rsidRPr="00C86B34">
              <w:rPr>
                <w:sz w:val="22"/>
                <w:lang w:val="uk-UA"/>
              </w:rPr>
              <w:t>293000,00</w:t>
            </w:r>
          </w:p>
        </w:tc>
      </w:tr>
      <w:tr w:rsidR="00E95FB1" w:rsidRPr="00C86B34" w:rsidTr="001B3967">
        <w:trPr>
          <w:trHeight w:val="300"/>
        </w:trPr>
        <w:tc>
          <w:tcPr>
            <w:tcW w:w="2552" w:type="dxa"/>
            <w:vMerge/>
            <w:shd w:val="clear" w:color="auto" w:fill="C6D9F1" w:themeFill="text2" w:themeFillTint="33"/>
          </w:tcPr>
          <w:p w:rsidR="00E95FB1" w:rsidRPr="00C86B34" w:rsidRDefault="00E95FB1" w:rsidP="001B3967">
            <w:pPr>
              <w:pStyle w:val="a7"/>
              <w:ind w:left="0"/>
              <w:rPr>
                <w:b/>
                <w:sz w:val="22"/>
                <w:lang w:val="uk-UA"/>
              </w:rPr>
            </w:pPr>
          </w:p>
        </w:tc>
        <w:tc>
          <w:tcPr>
            <w:tcW w:w="2209" w:type="dxa"/>
            <w:vMerge/>
            <w:tcBorders>
              <w:right w:val="single" w:sz="4" w:space="0" w:color="auto"/>
            </w:tcBorders>
          </w:tcPr>
          <w:p w:rsidR="00E95FB1" w:rsidRPr="00C86B34" w:rsidRDefault="00E95FB1" w:rsidP="001B3967">
            <w:pPr>
              <w:pStyle w:val="a7"/>
              <w:ind w:left="0"/>
              <w:jc w:val="center"/>
              <w:rPr>
                <w:sz w:val="22"/>
                <w:lang w:val="uk-UA"/>
              </w:rPr>
            </w:pPr>
          </w:p>
        </w:tc>
        <w:tc>
          <w:tcPr>
            <w:tcW w:w="1389" w:type="dxa"/>
            <w:vMerge/>
            <w:tcBorders>
              <w:right w:val="single" w:sz="4" w:space="0" w:color="auto"/>
            </w:tcBorders>
          </w:tcPr>
          <w:p w:rsidR="00E95FB1" w:rsidRPr="00C86B34" w:rsidRDefault="00E95FB1" w:rsidP="001B3967">
            <w:pPr>
              <w:pStyle w:val="a7"/>
              <w:ind w:left="0"/>
              <w:jc w:val="center"/>
              <w:rPr>
                <w:b/>
                <w:sz w:val="22"/>
                <w:lang w:val="uk-UA"/>
              </w:rPr>
            </w:pPr>
          </w:p>
        </w:tc>
        <w:tc>
          <w:tcPr>
            <w:tcW w:w="1033" w:type="dxa"/>
            <w:gridSpan w:val="2"/>
            <w:tcBorders>
              <w:top w:val="single" w:sz="4" w:space="0" w:color="auto"/>
              <w:left w:val="single" w:sz="4" w:space="0" w:color="auto"/>
              <w:right w:val="single" w:sz="4" w:space="0" w:color="auto"/>
            </w:tcBorders>
          </w:tcPr>
          <w:p w:rsidR="00E95FB1" w:rsidRPr="00C86B34" w:rsidRDefault="00E95FB1" w:rsidP="001B3967">
            <w:pPr>
              <w:pStyle w:val="a7"/>
              <w:ind w:left="0"/>
              <w:jc w:val="center"/>
              <w:rPr>
                <w:b/>
                <w:sz w:val="22"/>
                <w:lang w:val="uk-UA"/>
              </w:rPr>
            </w:pPr>
          </w:p>
        </w:tc>
        <w:tc>
          <w:tcPr>
            <w:tcW w:w="1234" w:type="dxa"/>
            <w:gridSpan w:val="2"/>
            <w:tcBorders>
              <w:top w:val="single" w:sz="4" w:space="0" w:color="auto"/>
              <w:left w:val="single" w:sz="4" w:space="0" w:color="auto"/>
              <w:right w:val="single" w:sz="4" w:space="0" w:color="auto"/>
            </w:tcBorders>
          </w:tcPr>
          <w:p w:rsidR="00E95FB1" w:rsidRPr="00C86B34" w:rsidRDefault="00E95FB1" w:rsidP="001B3967">
            <w:pPr>
              <w:pStyle w:val="a7"/>
              <w:ind w:left="0"/>
              <w:jc w:val="center"/>
              <w:rPr>
                <w:sz w:val="22"/>
                <w:lang w:val="uk-UA"/>
              </w:rPr>
            </w:pPr>
          </w:p>
        </w:tc>
        <w:tc>
          <w:tcPr>
            <w:tcW w:w="1471" w:type="dxa"/>
            <w:vMerge/>
            <w:tcBorders>
              <w:left w:val="single" w:sz="4" w:space="0" w:color="auto"/>
            </w:tcBorders>
          </w:tcPr>
          <w:p w:rsidR="00E95FB1" w:rsidRPr="00C86B34" w:rsidRDefault="00E95FB1" w:rsidP="001B3967">
            <w:pPr>
              <w:pStyle w:val="a7"/>
              <w:ind w:left="0"/>
              <w:jc w:val="center"/>
              <w:rPr>
                <w:sz w:val="22"/>
                <w:lang w:val="uk-UA"/>
              </w:rPr>
            </w:pPr>
          </w:p>
        </w:tc>
      </w:tr>
    </w:tbl>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tbl>
      <w:tblPr>
        <w:tblStyle w:val="af"/>
        <w:tblW w:w="0" w:type="auto"/>
        <w:tblInd w:w="-176" w:type="dxa"/>
        <w:tblLayout w:type="fixed"/>
        <w:tblLook w:val="04A0" w:firstRow="1" w:lastRow="0" w:firstColumn="1" w:lastColumn="0" w:noHBand="0" w:noVBand="1"/>
      </w:tblPr>
      <w:tblGrid>
        <w:gridCol w:w="2694"/>
        <w:gridCol w:w="1975"/>
        <w:gridCol w:w="1380"/>
        <w:gridCol w:w="538"/>
        <w:gridCol w:w="516"/>
        <w:gridCol w:w="1171"/>
        <w:gridCol w:w="144"/>
        <w:gridCol w:w="1470"/>
      </w:tblGrid>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Оперативна ціль/завдання</w:t>
            </w:r>
          </w:p>
        </w:tc>
        <w:tc>
          <w:tcPr>
            <w:tcW w:w="7194" w:type="dxa"/>
            <w:gridSpan w:val="7"/>
            <w:shd w:val="clear" w:color="auto" w:fill="auto"/>
          </w:tcPr>
          <w:p w:rsidR="00E95FB1" w:rsidRPr="00C86B34" w:rsidRDefault="005E4FB0" w:rsidP="001B3967">
            <w:pPr>
              <w:pStyle w:val="a7"/>
              <w:ind w:left="0"/>
              <w:rPr>
                <w:sz w:val="22"/>
                <w:lang w:val="uk-UA"/>
              </w:rPr>
            </w:pPr>
            <w:r w:rsidRPr="00C86B34">
              <w:rPr>
                <w:rFonts w:eastAsia="Arial"/>
                <w:sz w:val="22"/>
                <w:lang w:val="uk-UA"/>
              </w:rPr>
              <w:t>Людський розвиток</w:t>
            </w:r>
            <w:r w:rsidR="00E95FB1" w:rsidRPr="00C86B34">
              <w:rPr>
                <w:rFonts w:eastAsia="Arial"/>
                <w:sz w:val="22"/>
                <w:lang w:val="uk-UA"/>
              </w:rPr>
              <w:t xml:space="preserve"> через інновації управління та довіру до влади.</w:t>
            </w:r>
          </w:p>
          <w:p w:rsidR="00E95FB1" w:rsidRPr="00C86B34" w:rsidRDefault="00E95FB1" w:rsidP="001B3967">
            <w:pPr>
              <w:rPr>
                <w:rFonts w:eastAsia="Arial"/>
                <w:b/>
                <w:sz w:val="22"/>
                <w:lang w:val="uk-UA"/>
              </w:rPr>
            </w:pPr>
            <w:r w:rsidRPr="00C86B34">
              <w:rPr>
                <w:rFonts w:eastAsia="Arial"/>
                <w:sz w:val="22"/>
                <w:lang w:val="uk-UA"/>
              </w:rPr>
              <w:t xml:space="preserve">Формування сучасного інклюзивного </w:t>
            </w:r>
            <w:proofErr w:type="spellStart"/>
            <w:r w:rsidRPr="00C86B34">
              <w:rPr>
                <w:rFonts w:eastAsia="Arial"/>
                <w:sz w:val="22"/>
                <w:lang w:val="uk-UA"/>
              </w:rPr>
              <w:t>освітньо</w:t>
            </w:r>
            <w:proofErr w:type="spellEnd"/>
            <w:r w:rsidRPr="00C86B34">
              <w:rPr>
                <w:rFonts w:eastAsia="Arial"/>
                <w:sz w:val="22"/>
                <w:lang w:val="uk-UA"/>
              </w:rPr>
              <w:t xml:space="preserve"> – культурного та спортивного простору для розвитку.</w:t>
            </w:r>
            <w:r w:rsidRPr="00C86B34">
              <w:rPr>
                <w:b/>
                <w:sz w:val="22"/>
                <w:lang w:val="uk-UA"/>
              </w:rPr>
              <w:t xml:space="preserve"> </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Назва проекту:</w:t>
            </w:r>
          </w:p>
        </w:tc>
        <w:tc>
          <w:tcPr>
            <w:tcW w:w="7194" w:type="dxa"/>
            <w:gridSpan w:val="7"/>
          </w:tcPr>
          <w:p w:rsidR="00E95FB1" w:rsidRPr="00C86B34" w:rsidRDefault="00E95FB1" w:rsidP="001B3967">
            <w:pPr>
              <w:pStyle w:val="a7"/>
              <w:ind w:left="0"/>
              <w:rPr>
                <w:sz w:val="22"/>
                <w:lang w:val="uk-UA"/>
              </w:rPr>
            </w:pPr>
            <w:r w:rsidRPr="00C86B34">
              <w:rPr>
                <w:sz w:val="22"/>
                <w:lang w:val="uk-UA"/>
              </w:rPr>
              <w:t>Відновлення та відбудова будівель Комунального Закладу «Сєвєродонецька музична школа</w:t>
            </w:r>
            <w:r w:rsidR="001956E9" w:rsidRPr="00C86B34">
              <w:rPr>
                <w:sz w:val="22"/>
                <w:lang w:val="uk-UA"/>
              </w:rPr>
              <w:t xml:space="preserve"> </w:t>
            </w:r>
            <w:r w:rsidRPr="00C86B34">
              <w:rPr>
                <w:sz w:val="22"/>
                <w:lang w:val="uk-UA"/>
              </w:rPr>
              <w:t>№1»</w:t>
            </w:r>
            <w:r w:rsidR="001956E9" w:rsidRPr="00C86B34">
              <w:rPr>
                <w:sz w:val="22"/>
                <w:lang w:val="uk-UA"/>
              </w:rPr>
              <w:t xml:space="preserve"> </w:t>
            </w:r>
            <w:r w:rsidRPr="00C86B34">
              <w:rPr>
                <w:sz w:val="22"/>
                <w:lang w:val="uk-UA"/>
              </w:rPr>
              <w:t>Сєвєродонецької міської територіальної громади для задоволення потреб мешканців у отриманні послуг, гарантованих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Ціль проекту</w:t>
            </w:r>
          </w:p>
        </w:tc>
        <w:tc>
          <w:tcPr>
            <w:tcW w:w="7194" w:type="dxa"/>
            <w:gridSpan w:val="7"/>
          </w:tcPr>
          <w:p w:rsidR="00E95FB1" w:rsidRPr="00C86B34" w:rsidRDefault="00E95FB1" w:rsidP="001B3967">
            <w:pPr>
              <w:pStyle w:val="a7"/>
              <w:ind w:left="0"/>
              <w:rPr>
                <w:sz w:val="22"/>
                <w:lang w:val="uk-UA"/>
              </w:rPr>
            </w:pPr>
            <w:r w:rsidRPr="00C86B34">
              <w:rPr>
                <w:sz w:val="22"/>
                <w:lang w:val="uk-UA"/>
              </w:rPr>
              <w:t>Відновити та відбудувати будівлі Комунального Закладу «Сєвєродонецька музична школа</w:t>
            </w:r>
            <w:r w:rsidR="001956E9" w:rsidRPr="00C86B34">
              <w:rPr>
                <w:sz w:val="22"/>
                <w:lang w:val="uk-UA"/>
              </w:rPr>
              <w:t xml:space="preserve"> </w:t>
            </w:r>
            <w:r w:rsidRPr="00C86B34">
              <w:rPr>
                <w:sz w:val="22"/>
                <w:lang w:val="uk-UA"/>
              </w:rPr>
              <w:t>№1» Сєвєродонецької міської територіальної громади для задоволення потреб мешканців у отриманні послуг, гарантованих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Територія, на яку матиме вплив реалізація проекту</w:t>
            </w:r>
          </w:p>
        </w:tc>
        <w:tc>
          <w:tcPr>
            <w:tcW w:w="7194" w:type="dxa"/>
            <w:gridSpan w:val="7"/>
          </w:tcPr>
          <w:p w:rsidR="00E95FB1" w:rsidRPr="00C86B34" w:rsidRDefault="00E95FB1" w:rsidP="001B3967">
            <w:pPr>
              <w:pStyle w:val="a7"/>
              <w:ind w:left="0"/>
              <w:rPr>
                <w:sz w:val="22"/>
                <w:lang w:val="uk-UA"/>
              </w:rPr>
            </w:pPr>
            <w:r w:rsidRPr="00C86B34">
              <w:rPr>
                <w:sz w:val="22"/>
                <w:lang w:val="uk-UA"/>
              </w:rPr>
              <w:t>Сєвєродонецька міська територіальна громада</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Чисельність населення, на яке матиме вплив реалізація проекту</w:t>
            </w:r>
          </w:p>
        </w:tc>
        <w:tc>
          <w:tcPr>
            <w:tcW w:w="7194" w:type="dxa"/>
            <w:gridSpan w:val="7"/>
          </w:tcPr>
          <w:p w:rsidR="00E95FB1" w:rsidRPr="00C86B34" w:rsidRDefault="001956E9" w:rsidP="001B3967">
            <w:pPr>
              <w:pStyle w:val="a7"/>
              <w:ind w:left="0"/>
              <w:rPr>
                <w:sz w:val="22"/>
                <w:lang w:val="uk-UA"/>
              </w:rPr>
            </w:pPr>
            <w:r w:rsidRPr="00C86B34">
              <w:rPr>
                <w:sz w:val="22"/>
                <w:lang w:val="uk-UA"/>
              </w:rPr>
              <w:t>70 000</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Опис проблеми, на вирішення якої  спрямований проект</w:t>
            </w:r>
          </w:p>
        </w:tc>
        <w:tc>
          <w:tcPr>
            <w:tcW w:w="7194" w:type="dxa"/>
            <w:gridSpan w:val="7"/>
          </w:tcPr>
          <w:p w:rsidR="00E95FB1" w:rsidRPr="00C86B34" w:rsidRDefault="00E95FB1" w:rsidP="001B3967">
            <w:pPr>
              <w:ind w:firstLine="328"/>
              <w:rPr>
                <w:sz w:val="22"/>
                <w:lang w:val="uk-UA"/>
              </w:rPr>
            </w:pPr>
            <w:r w:rsidRPr="00C86B34">
              <w:rPr>
                <w:sz w:val="22"/>
                <w:lang w:val="uk-UA"/>
              </w:rPr>
              <w:t>Через військову агресію РФ територія Сєвєродонецької міської територіальної громади зазнала значних пошкоджень. Будівля Комунального Закладу «Сєвєродонецька музична школа</w:t>
            </w:r>
            <w:r w:rsidR="001956E9" w:rsidRPr="00C86B34">
              <w:rPr>
                <w:sz w:val="22"/>
                <w:lang w:val="uk-UA"/>
              </w:rPr>
              <w:t xml:space="preserve"> </w:t>
            </w:r>
            <w:r w:rsidRPr="00C86B34">
              <w:rPr>
                <w:sz w:val="22"/>
                <w:lang w:val="uk-UA"/>
              </w:rPr>
              <w:t>№1»</w:t>
            </w:r>
            <w:r w:rsidR="001956E9" w:rsidRPr="00C86B34">
              <w:rPr>
                <w:sz w:val="22"/>
                <w:lang w:val="uk-UA"/>
              </w:rPr>
              <w:t>,</w:t>
            </w:r>
            <w:r w:rsidRPr="00C86B34">
              <w:rPr>
                <w:sz w:val="22"/>
                <w:lang w:val="uk-UA"/>
              </w:rPr>
              <w:t xml:space="preserve"> яка належить Сєвєродонецькій міській територіальній громаді, отримала значні пошкодження в результаті обстрілів. Для поновлення життєдіяльності громади та стимулювання повернення мешканців до громади необхідно забезпечити їх всіма необхідними послугами, гарантованими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lastRenderedPageBreak/>
              <w:t>Очікувані якісні результати від реалізації проекту</w:t>
            </w:r>
          </w:p>
        </w:tc>
        <w:tc>
          <w:tcPr>
            <w:tcW w:w="7194" w:type="dxa"/>
            <w:gridSpan w:val="7"/>
          </w:tcPr>
          <w:p w:rsidR="00E95FB1" w:rsidRPr="00C86B34" w:rsidRDefault="00E95FB1" w:rsidP="000303D7">
            <w:pPr>
              <w:pStyle w:val="a7"/>
              <w:numPr>
                <w:ilvl w:val="0"/>
                <w:numId w:val="27"/>
              </w:numPr>
              <w:jc w:val="left"/>
              <w:rPr>
                <w:sz w:val="22"/>
                <w:lang w:val="uk-UA"/>
              </w:rPr>
            </w:pPr>
            <w:r w:rsidRPr="00C86B34">
              <w:rPr>
                <w:sz w:val="22"/>
                <w:lang w:val="uk-UA"/>
              </w:rPr>
              <w:t>Отримання мешканцями громади якісних послуг у сфері культури та освіти;</w:t>
            </w:r>
          </w:p>
          <w:p w:rsidR="00E95FB1" w:rsidRPr="00C86B34" w:rsidRDefault="001956E9" w:rsidP="000303D7">
            <w:pPr>
              <w:pStyle w:val="a7"/>
              <w:numPr>
                <w:ilvl w:val="0"/>
                <w:numId w:val="27"/>
              </w:numPr>
              <w:jc w:val="left"/>
              <w:rPr>
                <w:sz w:val="22"/>
                <w:lang w:val="uk-UA"/>
              </w:rPr>
            </w:pPr>
            <w:r w:rsidRPr="00C86B34">
              <w:rPr>
                <w:sz w:val="22"/>
                <w:lang w:val="uk-UA"/>
              </w:rPr>
              <w:t>м</w:t>
            </w:r>
            <w:r w:rsidR="00E95FB1" w:rsidRPr="00C86B34">
              <w:rPr>
                <w:sz w:val="22"/>
                <w:lang w:val="uk-UA"/>
              </w:rPr>
              <w:t>отивація мешканців громади до повернення у громаду;</w:t>
            </w:r>
          </w:p>
          <w:p w:rsidR="00E95FB1" w:rsidRPr="00C86B34" w:rsidRDefault="001956E9" w:rsidP="000303D7">
            <w:pPr>
              <w:pStyle w:val="a7"/>
              <w:numPr>
                <w:ilvl w:val="0"/>
                <w:numId w:val="27"/>
              </w:numPr>
              <w:jc w:val="left"/>
              <w:rPr>
                <w:sz w:val="22"/>
                <w:lang w:val="uk-UA"/>
              </w:rPr>
            </w:pPr>
            <w:r w:rsidRPr="00C86B34">
              <w:rPr>
                <w:sz w:val="22"/>
                <w:lang w:val="uk-UA"/>
              </w:rPr>
              <w:t>з</w:t>
            </w:r>
            <w:r w:rsidR="00E95FB1" w:rsidRPr="00C86B34">
              <w:rPr>
                <w:sz w:val="22"/>
                <w:lang w:val="uk-UA"/>
              </w:rPr>
              <w:t xml:space="preserve">ахист правових, </w:t>
            </w:r>
            <w:proofErr w:type="spellStart"/>
            <w:r w:rsidR="00E95FB1" w:rsidRPr="00C86B34">
              <w:rPr>
                <w:sz w:val="22"/>
                <w:lang w:val="uk-UA"/>
              </w:rPr>
              <w:t>культурних,освітніх</w:t>
            </w:r>
            <w:proofErr w:type="spellEnd"/>
            <w:r w:rsidR="00E95FB1" w:rsidRPr="00C86B34">
              <w:rPr>
                <w:sz w:val="22"/>
                <w:lang w:val="uk-UA"/>
              </w:rPr>
              <w:t>,</w:t>
            </w:r>
            <w:r w:rsidRPr="00C86B34">
              <w:rPr>
                <w:sz w:val="22"/>
                <w:lang w:val="uk-UA"/>
              </w:rPr>
              <w:t xml:space="preserve"> </w:t>
            </w:r>
            <w:r w:rsidR="00E95FB1" w:rsidRPr="00C86B34">
              <w:rPr>
                <w:sz w:val="22"/>
                <w:lang w:val="uk-UA"/>
              </w:rPr>
              <w:t>економічних та інших інтересів громадян;</w:t>
            </w:r>
          </w:p>
          <w:p w:rsidR="00E95FB1" w:rsidRPr="00C86B34" w:rsidRDefault="001956E9" w:rsidP="000303D7">
            <w:pPr>
              <w:pStyle w:val="a7"/>
              <w:numPr>
                <w:ilvl w:val="0"/>
                <w:numId w:val="27"/>
              </w:numPr>
              <w:jc w:val="left"/>
              <w:rPr>
                <w:sz w:val="22"/>
                <w:lang w:val="uk-UA"/>
              </w:rPr>
            </w:pPr>
            <w:r w:rsidRPr="00C86B34">
              <w:rPr>
                <w:sz w:val="22"/>
                <w:lang w:val="uk-UA"/>
              </w:rPr>
              <w:t>н</w:t>
            </w:r>
            <w:r w:rsidR="00E95FB1" w:rsidRPr="00C86B34">
              <w:rPr>
                <w:sz w:val="22"/>
                <w:lang w:val="uk-UA"/>
              </w:rPr>
              <w:t>адання юридичним та фізичним особам-підприємцям якісних послуг для впровадження ними своєї діяльності;</w:t>
            </w:r>
          </w:p>
          <w:p w:rsidR="00E95FB1" w:rsidRPr="00C86B34" w:rsidRDefault="001956E9" w:rsidP="000303D7">
            <w:pPr>
              <w:pStyle w:val="a7"/>
              <w:numPr>
                <w:ilvl w:val="0"/>
                <w:numId w:val="27"/>
              </w:numPr>
              <w:jc w:val="left"/>
              <w:rPr>
                <w:sz w:val="22"/>
                <w:lang w:val="uk-UA"/>
              </w:rPr>
            </w:pPr>
            <w:r w:rsidRPr="00C86B34">
              <w:rPr>
                <w:sz w:val="22"/>
                <w:lang w:val="uk-UA"/>
              </w:rPr>
              <w:t>с</w:t>
            </w:r>
            <w:r w:rsidR="00E95FB1" w:rsidRPr="00C86B34">
              <w:rPr>
                <w:sz w:val="22"/>
                <w:lang w:val="uk-UA"/>
              </w:rPr>
              <w:t>талий розвиток громади;</w:t>
            </w:r>
          </w:p>
          <w:p w:rsidR="00E95FB1" w:rsidRPr="00C86B34" w:rsidRDefault="001956E9" w:rsidP="000303D7">
            <w:pPr>
              <w:pStyle w:val="a7"/>
              <w:numPr>
                <w:ilvl w:val="0"/>
                <w:numId w:val="27"/>
              </w:numPr>
              <w:jc w:val="left"/>
              <w:rPr>
                <w:sz w:val="22"/>
                <w:lang w:val="uk-UA"/>
              </w:rPr>
            </w:pPr>
            <w:r w:rsidRPr="00C86B34">
              <w:rPr>
                <w:sz w:val="22"/>
                <w:lang w:val="uk-UA"/>
              </w:rPr>
              <w:t>і</w:t>
            </w:r>
            <w:r w:rsidR="00E95FB1" w:rsidRPr="00C86B34">
              <w:rPr>
                <w:sz w:val="22"/>
                <w:lang w:val="uk-UA"/>
              </w:rPr>
              <w:t>нвестиційна привабливість громади;</w:t>
            </w:r>
          </w:p>
          <w:p w:rsidR="00E95FB1" w:rsidRPr="00C86B34" w:rsidRDefault="001956E9" w:rsidP="001956E9">
            <w:pPr>
              <w:pStyle w:val="a7"/>
              <w:numPr>
                <w:ilvl w:val="0"/>
                <w:numId w:val="27"/>
              </w:numPr>
              <w:jc w:val="left"/>
              <w:rPr>
                <w:sz w:val="22"/>
                <w:lang w:val="uk-UA"/>
              </w:rPr>
            </w:pPr>
            <w:r w:rsidRPr="00C86B34">
              <w:rPr>
                <w:sz w:val="22"/>
                <w:lang w:val="uk-UA"/>
              </w:rPr>
              <w:t>к</w:t>
            </w:r>
            <w:r w:rsidR="00E95FB1" w:rsidRPr="00C86B34">
              <w:rPr>
                <w:sz w:val="22"/>
                <w:lang w:val="uk-UA"/>
              </w:rPr>
              <w:t>омфортне життя мешканців.</w:t>
            </w:r>
          </w:p>
        </w:tc>
      </w:tr>
      <w:tr w:rsidR="00E95FB1" w:rsidRPr="00C86B34" w:rsidTr="001B3967">
        <w:trPr>
          <w:trHeight w:val="390"/>
        </w:trPr>
        <w:tc>
          <w:tcPr>
            <w:tcW w:w="2694" w:type="dxa"/>
            <w:vMerge w:val="restart"/>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 xml:space="preserve">Очікувані кількісні результати реалізації </w:t>
            </w:r>
            <w:proofErr w:type="spellStart"/>
            <w:r w:rsidRPr="00C86B34">
              <w:rPr>
                <w:b/>
                <w:sz w:val="22"/>
                <w:lang w:val="uk-UA"/>
              </w:rPr>
              <w:t>проєкту</w:t>
            </w:r>
            <w:proofErr w:type="spellEnd"/>
            <w:r w:rsidRPr="00C86B34">
              <w:rPr>
                <w:b/>
                <w:sz w:val="22"/>
                <w:lang w:val="uk-UA"/>
              </w:rPr>
              <w:t xml:space="preserve"> (індикатори)</w:t>
            </w:r>
          </w:p>
          <w:p w:rsidR="00E95FB1" w:rsidRPr="00C86B34" w:rsidRDefault="00E95FB1" w:rsidP="001B3967">
            <w:pPr>
              <w:pStyle w:val="a7"/>
              <w:ind w:left="0"/>
              <w:rPr>
                <w:b/>
                <w:sz w:val="22"/>
                <w:lang w:val="uk-UA"/>
              </w:rPr>
            </w:pPr>
          </w:p>
        </w:tc>
        <w:tc>
          <w:tcPr>
            <w:tcW w:w="3893" w:type="dxa"/>
            <w:gridSpan w:val="3"/>
            <w:tcBorders>
              <w:bottom w:val="single" w:sz="4" w:space="0" w:color="auto"/>
              <w:right w:val="single" w:sz="4" w:space="0" w:color="auto"/>
            </w:tcBorders>
          </w:tcPr>
          <w:p w:rsidR="00E95FB1" w:rsidRPr="00C86B34" w:rsidRDefault="00E95FB1" w:rsidP="001B3967">
            <w:pPr>
              <w:pStyle w:val="a7"/>
              <w:ind w:left="-108"/>
              <w:jc w:val="center"/>
              <w:rPr>
                <w:b/>
                <w:sz w:val="22"/>
                <w:lang w:val="uk-UA"/>
              </w:rPr>
            </w:pPr>
            <w:r w:rsidRPr="00C86B34">
              <w:rPr>
                <w:b/>
                <w:sz w:val="22"/>
                <w:lang w:val="uk-UA"/>
              </w:rPr>
              <w:t>Найменування показника</w:t>
            </w:r>
          </w:p>
        </w:tc>
        <w:tc>
          <w:tcPr>
            <w:tcW w:w="1687" w:type="dxa"/>
            <w:gridSpan w:val="2"/>
            <w:tcBorders>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Одиниця вимірювання</w:t>
            </w:r>
          </w:p>
          <w:p w:rsidR="00E95FB1" w:rsidRPr="00C86B34" w:rsidRDefault="00E95FB1" w:rsidP="001B3967">
            <w:pPr>
              <w:pStyle w:val="a7"/>
              <w:ind w:left="0"/>
              <w:rPr>
                <w:b/>
                <w:sz w:val="22"/>
                <w:lang w:val="uk-UA"/>
              </w:rPr>
            </w:pPr>
          </w:p>
        </w:tc>
        <w:tc>
          <w:tcPr>
            <w:tcW w:w="1614" w:type="dxa"/>
            <w:gridSpan w:val="2"/>
            <w:tcBorders>
              <w:left w:val="single" w:sz="4" w:space="0" w:color="auto"/>
              <w:bottom w:val="single" w:sz="4" w:space="0" w:color="auto"/>
            </w:tcBorders>
          </w:tcPr>
          <w:p w:rsidR="00E95FB1" w:rsidRPr="00C86B34" w:rsidRDefault="00E95FB1" w:rsidP="001B3967">
            <w:pPr>
              <w:pStyle w:val="a7"/>
              <w:ind w:left="0"/>
              <w:jc w:val="center"/>
              <w:rPr>
                <w:b/>
                <w:sz w:val="22"/>
                <w:lang w:val="uk-UA"/>
              </w:rPr>
            </w:pPr>
            <w:r w:rsidRPr="00C86B34">
              <w:rPr>
                <w:b/>
                <w:sz w:val="22"/>
                <w:lang w:val="uk-UA"/>
              </w:rPr>
              <w:t>Прогнозне (цільове) значення</w:t>
            </w:r>
          </w:p>
        </w:tc>
      </w:tr>
      <w:tr w:rsidR="00E95FB1" w:rsidRPr="00C86B34" w:rsidTr="001B3967">
        <w:trPr>
          <w:trHeight w:val="58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893"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Кількість учнів</w:t>
            </w:r>
            <w:r w:rsidR="001956E9" w:rsidRPr="00C86B34">
              <w:rPr>
                <w:sz w:val="22"/>
                <w:lang w:val="uk-UA"/>
              </w:rPr>
              <w:t>,</w:t>
            </w:r>
            <w:r w:rsidRPr="00C86B34">
              <w:rPr>
                <w:sz w:val="22"/>
                <w:lang w:val="uk-UA"/>
              </w:rPr>
              <w:t xml:space="preserve"> які навчались протягом  року</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осіб</w:t>
            </w:r>
          </w:p>
        </w:tc>
        <w:tc>
          <w:tcPr>
            <w:tcW w:w="1614" w:type="dxa"/>
            <w:gridSpan w:val="2"/>
            <w:tcBorders>
              <w:top w:val="single" w:sz="4" w:space="0" w:color="auto"/>
              <w:left w:val="single" w:sz="4" w:space="0" w:color="auto"/>
              <w:bottom w:val="single" w:sz="4" w:space="0" w:color="auto"/>
            </w:tcBorders>
          </w:tcPr>
          <w:p w:rsidR="00E95FB1" w:rsidRPr="00C86B34" w:rsidRDefault="00E95FB1" w:rsidP="001B3967">
            <w:pPr>
              <w:pStyle w:val="a7"/>
              <w:ind w:left="0"/>
              <w:jc w:val="center"/>
              <w:rPr>
                <w:sz w:val="22"/>
                <w:lang w:val="uk-UA"/>
              </w:rPr>
            </w:pPr>
            <w:r w:rsidRPr="00C86B34">
              <w:rPr>
                <w:sz w:val="22"/>
                <w:lang w:val="uk-UA"/>
              </w:rPr>
              <w:t>382</w:t>
            </w:r>
          </w:p>
        </w:tc>
      </w:tr>
      <w:tr w:rsidR="00E95FB1" w:rsidRPr="00C86B34" w:rsidTr="001B3967">
        <w:trPr>
          <w:trHeight w:val="184"/>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893"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Кількість фізичних та юридичних осіб, які відвідували заходи протягом  року</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осіб</w:t>
            </w:r>
          </w:p>
        </w:tc>
        <w:tc>
          <w:tcPr>
            <w:tcW w:w="1614" w:type="dxa"/>
            <w:gridSpan w:val="2"/>
            <w:tcBorders>
              <w:top w:val="single" w:sz="4" w:space="0" w:color="auto"/>
              <w:left w:val="single" w:sz="4" w:space="0" w:color="auto"/>
              <w:bottom w:val="single" w:sz="4" w:space="0" w:color="auto"/>
            </w:tcBorders>
          </w:tcPr>
          <w:p w:rsidR="00E95FB1" w:rsidRPr="00C86B34" w:rsidRDefault="00E95FB1" w:rsidP="001B3967">
            <w:pPr>
              <w:pStyle w:val="a7"/>
              <w:ind w:left="0"/>
              <w:jc w:val="center"/>
              <w:rPr>
                <w:sz w:val="22"/>
                <w:lang w:val="uk-UA"/>
              </w:rPr>
            </w:pPr>
            <w:r w:rsidRPr="00C86B34">
              <w:rPr>
                <w:sz w:val="22"/>
                <w:lang w:val="uk-UA"/>
              </w:rPr>
              <w:t>37 520</w:t>
            </w:r>
          </w:p>
        </w:tc>
      </w:tr>
      <w:tr w:rsidR="00E95FB1" w:rsidRPr="00C86B34" w:rsidTr="001B3967">
        <w:trPr>
          <w:trHeight w:val="16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893"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Кількість видів та типів послуг</w:t>
            </w:r>
            <w:r w:rsidR="001956E9" w:rsidRPr="00C86B34">
              <w:rPr>
                <w:sz w:val="22"/>
                <w:lang w:val="uk-UA"/>
              </w:rPr>
              <w:t>,</w:t>
            </w:r>
            <w:r w:rsidRPr="00C86B34">
              <w:rPr>
                <w:sz w:val="22"/>
                <w:lang w:val="uk-UA"/>
              </w:rPr>
              <w:t xml:space="preserve"> наданих протягом одного робочого дня</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614" w:type="dxa"/>
            <w:gridSpan w:val="2"/>
            <w:tcBorders>
              <w:top w:val="single" w:sz="4" w:space="0" w:color="auto"/>
              <w:left w:val="single" w:sz="4" w:space="0" w:color="auto"/>
              <w:bottom w:val="single" w:sz="4" w:space="0" w:color="auto"/>
            </w:tcBorders>
          </w:tcPr>
          <w:p w:rsidR="00E95FB1" w:rsidRPr="00C86B34" w:rsidRDefault="00E95FB1" w:rsidP="001B3967">
            <w:pPr>
              <w:pStyle w:val="a7"/>
              <w:ind w:left="0"/>
              <w:jc w:val="center"/>
              <w:rPr>
                <w:sz w:val="22"/>
                <w:lang w:val="uk-UA"/>
              </w:rPr>
            </w:pPr>
            <w:r w:rsidRPr="00C86B34">
              <w:rPr>
                <w:sz w:val="22"/>
                <w:lang w:val="uk-UA"/>
              </w:rPr>
              <w:t>5</w:t>
            </w:r>
          </w:p>
        </w:tc>
      </w:tr>
      <w:tr w:rsidR="00E95FB1" w:rsidRPr="00C86B34" w:rsidTr="001B3967">
        <w:trPr>
          <w:trHeight w:val="16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893"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Середня вартість послуг</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грн</w:t>
            </w:r>
          </w:p>
        </w:tc>
        <w:tc>
          <w:tcPr>
            <w:tcW w:w="1614" w:type="dxa"/>
            <w:gridSpan w:val="2"/>
            <w:tcBorders>
              <w:top w:val="single" w:sz="4" w:space="0" w:color="auto"/>
              <w:left w:val="single" w:sz="4" w:space="0" w:color="auto"/>
              <w:bottom w:val="single" w:sz="4" w:space="0" w:color="auto"/>
            </w:tcBorders>
          </w:tcPr>
          <w:p w:rsidR="00E95FB1" w:rsidRPr="00C86B34" w:rsidRDefault="00E95FB1" w:rsidP="001B3967">
            <w:pPr>
              <w:pStyle w:val="a7"/>
              <w:ind w:left="0"/>
              <w:jc w:val="center"/>
              <w:rPr>
                <w:sz w:val="22"/>
                <w:lang w:val="uk-UA"/>
              </w:rPr>
            </w:pPr>
            <w:r w:rsidRPr="00C86B34">
              <w:rPr>
                <w:sz w:val="22"/>
                <w:lang w:val="uk-UA"/>
              </w:rPr>
              <w:t>безкоштовно</w:t>
            </w:r>
          </w:p>
        </w:tc>
      </w:tr>
      <w:tr w:rsidR="00E95FB1" w:rsidRPr="00C86B34" w:rsidTr="001B3967">
        <w:trPr>
          <w:trHeight w:val="165"/>
        </w:trPr>
        <w:tc>
          <w:tcPr>
            <w:tcW w:w="2694" w:type="dxa"/>
            <w:shd w:val="clear" w:color="auto" w:fill="C6D9F1" w:themeFill="text2" w:themeFillTint="33"/>
          </w:tcPr>
          <w:p w:rsidR="00E95FB1" w:rsidRPr="00C86B34" w:rsidRDefault="00E95FB1" w:rsidP="001B3967">
            <w:pPr>
              <w:pStyle w:val="a7"/>
              <w:ind w:left="0"/>
              <w:rPr>
                <w:b/>
                <w:sz w:val="22"/>
                <w:lang w:val="uk-UA"/>
              </w:rPr>
            </w:pPr>
          </w:p>
        </w:tc>
        <w:tc>
          <w:tcPr>
            <w:tcW w:w="3893"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Термін надання послуги навчання</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років</w:t>
            </w:r>
          </w:p>
        </w:tc>
        <w:tc>
          <w:tcPr>
            <w:tcW w:w="1614" w:type="dxa"/>
            <w:gridSpan w:val="2"/>
            <w:tcBorders>
              <w:top w:val="single" w:sz="4" w:space="0" w:color="auto"/>
              <w:left w:val="single" w:sz="4" w:space="0" w:color="auto"/>
              <w:bottom w:val="single" w:sz="4" w:space="0" w:color="auto"/>
            </w:tcBorders>
          </w:tcPr>
          <w:p w:rsidR="00E95FB1" w:rsidRPr="00C86B34" w:rsidRDefault="00E95FB1" w:rsidP="001B3967">
            <w:pPr>
              <w:pStyle w:val="a7"/>
              <w:ind w:left="0"/>
              <w:jc w:val="center"/>
              <w:rPr>
                <w:sz w:val="22"/>
                <w:lang w:val="uk-UA"/>
              </w:rPr>
            </w:pPr>
            <w:r w:rsidRPr="00C86B34">
              <w:rPr>
                <w:sz w:val="22"/>
                <w:lang w:val="uk-UA"/>
              </w:rPr>
              <w:t>Від 4 до 11</w:t>
            </w:r>
          </w:p>
        </w:tc>
      </w:tr>
      <w:tr w:rsidR="00E95FB1" w:rsidRPr="00C86B34" w:rsidTr="001B3967">
        <w:trPr>
          <w:trHeight w:val="165"/>
        </w:trPr>
        <w:tc>
          <w:tcPr>
            <w:tcW w:w="2694" w:type="dxa"/>
            <w:shd w:val="clear" w:color="auto" w:fill="C6D9F1" w:themeFill="text2" w:themeFillTint="33"/>
          </w:tcPr>
          <w:p w:rsidR="00E95FB1" w:rsidRPr="00C86B34" w:rsidRDefault="00E95FB1" w:rsidP="001B3967">
            <w:pPr>
              <w:pStyle w:val="a7"/>
              <w:ind w:left="0"/>
              <w:rPr>
                <w:b/>
                <w:sz w:val="22"/>
                <w:lang w:val="uk-UA"/>
              </w:rPr>
            </w:pPr>
          </w:p>
        </w:tc>
        <w:tc>
          <w:tcPr>
            <w:tcW w:w="3893" w:type="dxa"/>
            <w:gridSpan w:val="3"/>
            <w:tcBorders>
              <w:top w:val="single" w:sz="4" w:space="0" w:color="auto"/>
              <w:bottom w:val="single" w:sz="4" w:space="0" w:color="auto"/>
              <w:right w:val="single" w:sz="4" w:space="0" w:color="auto"/>
            </w:tcBorders>
          </w:tcPr>
          <w:p w:rsidR="00E95FB1" w:rsidRPr="00C86B34" w:rsidRDefault="00E95FB1" w:rsidP="001956E9">
            <w:pPr>
              <w:pStyle w:val="a7"/>
              <w:ind w:left="0"/>
              <w:jc w:val="center"/>
              <w:rPr>
                <w:sz w:val="22"/>
                <w:lang w:val="uk-UA"/>
              </w:rPr>
            </w:pPr>
            <w:r w:rsidRPr="00C86B34">
              <w:rPr>
                <w:sz w:val="22"/>
                <w:lang w:val="uk-UA"/>
              </w:rPr>
              <w:t>Кількість населених пунктів, як</w:t>
            </w:r>
            <w:r w:rsidR="001956E9" w:rsidRPr="00C86B34">
              <w:rPr>
                <w:sz w:val="22"/>
                <w:lang w:val="uk-UA"/>
              </w:rPr>
              <w:t xml:space="preserve">і </w:t>
            </w:r>
            <w:r w:rsidRPr="00C86B34">
              <w:rPr>
                <w:sz w:val="22"/>
                <w:lang w:val="uk-UA"/>
              </w:rPr>
              <w:t>обслуговує заклад</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614" w:type="dxa"/>
            <w:gridSpan w:val="2"/>
            <w:tcBorders>
              <w:top w:val="single" w:sz="4" w:space="0" w:color="auto"/>
              <w:left w:val="single" w:sz="4" w:space="0" w:color="auto"/>
              <w:bottom w:val="single" w:sz="4" w:space="0" w:color="auto"/>
            </w:tcBorders>
          </w:tcPr>
          <w:p w:rsidR="00E95FB1" w:rsidRPr="00C86B34" w:rsidRDefault="00E95FB1" w:rsidP="001B3967">
            <w:pPr>
              <w:pStyle w:val="a7"/>
              <w:ind w:left="0"/>
              <w:jc w:val="center"/>
              <w:rPr>
                <w:sz w:val="22"/>
                <w:lang w:val="uk-UA"/>
              </w:rPr>
            </w:pPr>
            <w:r w:rsidRPr="00C86B34">
              <w:rPr>
                <w:sz w:val="22"/>
                <w:lang w:val="uk-UA"/>
              </w:rPr>
              <w:t>20</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 xml:space="preserve">Ключові заходи проекту: </w:t>
            </w:r>
          </w:p>
          <w:p w:rsidR="00E95FB1" w:rsidRPr="00C86B34" w:rsidRDefault="00E95FB1" w:rsidP="001B3967">
            <w:pPr>
              <w:pStyle w:val="a7"/>
              <w:ind w:left="0"/>
              <w:rPr>
                <w:b/>
                <w:sz w:val="22"/>
                <w:lang w:val="uk-UA"/>
              </w:rPr>
            </w:pPr>
          </w:p>
        </w:tc>
        <w:tc>
          <w:tcPr>
            <w:tcW w:w="7194" w:type="dxa"/>
            <w:gridSpan w:val="7"/>
          </w:tcPr>
          <w:p w:rsidR="00E95FB1" w:rsidRPr="00C86B34" w:rsidRDefault="00E95FB1" w:rsidP="001B3967">
            <w:pPr>
              <w:pStyle w:val="a7"/>
              <w:ind w:left="0"/>
              <w:rPr>
                <w:sz w:val="22"/>
                <w:lang w:val="uk-UA"/>
              </w:rPr>
            </w:pPr>
            <w:r w:rsidRPr="00C86B34">
              <w:rPr>
                <w:sz w:val="22"/>
                <w:lang w:val="uk-UA"/>
              </w:rPr>
              <w:t>- обстеження об’єкта нерухомості;</w:t>
            </w:r>
          </w:p>
          <w:p w:rsidR="00E95FB1" w:rsidRPr="00C86B34" w:rsidRDefault="00E95FB1" w:rsidP="001B3967">
            <w:pPr>
              <w:pStyle w:val="a7"/>
              <w:ind w:left="0"/>
              <w:rPr>
                <w:sz w:val="22"/>
                <w:lang w:val="uk-UA"/>
              </w:rPr>
            </w:pPr>
            <w:r w:rsidRPr="00C86B34">
              <w:rPr>
                <w:sz w:val="22"/>
                <w:lang w:val="uk-UA"/>
              </w:rPr>
              <w:t>- пошук інвестора;</w:t>
            </w:r>
          </w:p>
          <w:p w:rsidR="00E95FB1" w:rsidRPr="00C86B34" w:rsidRDefault="00E95FB1" w:rsidP="001B3967">
            <w:pPr>
              <w:pStyle w:val="a7"/>
              <w:ind w:left="0"/>
              <w:rPr>
                <w:sz w:val="22"/>
                <w:lang w:val="uk-UA"/>
              </w:rPr>
            </w:pPr>
            <w:r w:rsidRPr="00C86B34">
              <w:rPr>
                <w:sz w:val="22"/>
                <w:lang w:val="uk-UA"/>
              </w:rPr>
              <w:t xml:space="preserve">- розробка </w:t>
            </w:r>
            <w:proofErr w:type="spellStart"/>
            <w:r w:rsidRPr="00C86B34">
              <w:rPr>
                <w:sz w:val="22"/>
                <w:lang w:val="uk-UA"/>
              </w:rPr>
              <w:t>про</w:t>
            </w:r>
            <w:r w:rsidR="001956E9" w:rsidRPr="00C86B34">
              <w:rPr>
                <w:sz w:val="22"/>
                <w:lang w:val="uk-UA"/>
              </w:rPr>
              <w:t>є</w:t>
            </w:r>
            <w:r w:rsidRPr="00C86B34">
              <w:rPr>
                <w:sz w:val="22"/>
                <w:lang w:val="uk-UA"/>
              </w:rPr>
              <w:t>ктно</w:t>
            </w:r>
            <w:proofErr w:type="spellEnd"/>
            <w:r w:rsidRPr="00C86B34">
              <w:rPr>
                <w:sz w:val="22"/>
                <w:lang w:val="uk-UA"/>
              </w:rPr>
              <w:t>-кошторисної документації;</w:t>
            </w:r>
          </w:p>
          <w:p w:rsidR="00E95FB1" w:rsidRPr="00C86B34" w:rsidRDefault="00E95FB1" w:rsidP="001B3967">
            <w:pPr>
              <w:pStyle w:val="a7"/>
              <w:ind w:left="0"/>
              <w:rPr>
                <w:sz w:val="22"/>
                <w:lang w:val="uk-UA"/>
              </w:rPr>
            </w:pPr>
            <w:r w:rsidRPr="00C86B34">
              <w:rPr>
                <w:sz w:val="22"/>
                <w:lang w:val="uk-UA"/>
              </w:rPr>
              <w:t>- укладення договору про будівництво із підрядною організацією;</w:t>
            </w:r>
          </w:p>
          <w:p w:rsidR="00E95FB1" w:rsidRPr="00C86B34" w:rsidRDefault="00E95FB1" w:rsidP="001B3967">
            <w:pPr>
              <w:pStyle w:val="a7"/>
              <w:ind w:left="0"/>
              <w:rPr>
                <w:sz w:val="22"/>
                <w:lang w:val="uk-UA"/>
              </w:rPr>
            </w:pPr>
            <w:r w:rsidRPr="00C86B34">
              <w:rPr>
                <w:sz w:val="22"/>
                <w:lang w:val="uk-UA"/>
              </w:rPr>
              <w:t>- організація та початок робочого процесу.</w:t>
            </w:r>
          </w:p>
        </w:tc>
      </w:tr>
      <w:tr w:rsidR="00E95FB1" w:rsidRPr="00C86B34" w:rsidTr="001B3967">
        <w:trPr>
          <w:trHeight w:val="360"/>
        </w:trPr>
        <w:tc>
          <w:tcPr>
            <w:tcW w:w="2694" w:type="dxa"/>
            <w:vMerge w:val="restart"/>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 xml:space="preserve">Орієнтовний обсяг та джерела фінансування, тис. грн. </w:t>
            </w:r>
          </w:p>
          <w:p w:rsidR="00E95FB1" w:rsidRPr="00C86B34" w:rsidRDefault="00E95FB1" w:rsidP="001B3967">
            <w:pPr>
              <w:pStyle w:val="a7"/>
              <w:ind w:left="0"/>
              <w:rPr>
                <w:b/>
                <w:sz w:val="22"/>
                <w:lang w:val="uk-UA"/>
              </w:rPr>
            </w:pPr>
          </w:p>
        </w:tc>
        <w:tc>
          <w:tcPr>
            <w:tcW w:w="1975" w:type="dxa"/>
            <w:tcBorders>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Державний бюджет</w:t>
            </w:r>
          </w:p>
        </w:tc>
        <w:tc>
          <w:tcPr>
            <w:tcW w:w="1380" w:type="dxa"/>
            <w:tcBorders>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Місцевий бюджет</w:t>
            </w:r>
          </w:p>
          <w:p w:rsidR="00E95FB1" w:rsidRPr="00C86B34" w:rsidRDefault="00E95FB1" w:rsidP="001B3967">
            <w:pPr>
              <w:pStyle w:val="a7"/>
              <w:ind w:left="0"/>
              <w:jc w:val="center"/>
              <w:rPr>
                <w:b/>
                <w:sz w:val="22"/>
                <w:lang w:val="uk-UA"/>
              </w:rPr>
            </w:pPr>
            <w:proofErr w:type="spellStart"/>
            <w:r w:rsidRPr="00C86B34">
              <w:rPr>
                <w:b/>
                <w:sz w:val="22"/>
                <w:lang w:val="uk-UA"/>
              </w:rPr>
              <w:t>тис.грн</w:t>
            </w:r>
            <w:proofErr w:type="spellEnd"/>
          </w:p>
        </w:tc>
        <w:tc>
          <w:tcPr>
            <w:tcW w:w="2369" w:type="dxa"/>
            <w:gridSpan w:val="4"/>
            <w:tcBorders>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Інші джерела</w:t>
            </w:r>
          </w:p>
          <w:p w:rsidR="00E95FB1" w:rsidRPr="00C86B34" w:rsidRDefault="00E95FB1" w:rsidP="001B3967">
            <w:pPr>
              <w:pStyle w:val="a7"/>
              <w:ind w:left="0"/>
              <w:jc w:val="center"/>
              <w:rPr>
                <w:b/>
                <w:sz w:val="22"/>
                <w:lang w:val="uk-UA"/>
              </w:rPr>
            </w:pPr>
            <w:proofErr w:type="spellStart"/>
            <w:r w:rsidRPr="00C86B34">
              <w:rPr>
                <w:b/>
                <w:sz w:val="22"/>
                <w:lang w:val="uk-UA"/>
              </w:rPr>
              <w:t>тис.грн</w:t>
            </w:r>
            <w:proofErr w:type="spellEnd"/>
          </w:p>
        </w:tc>
        <w:tc>
          <w:tcPr>
            <w:tcW w:w="1470" w:type="dxa"/>
            <w:tcBorders>
              <w:left w:val="single" w:sz="4" w:space="0" w:color="auto"/>
              <w:bottom w:val="single" w:sz="4" w:space="0" w:color="auto"/>
            </w:tcBorders>
          </w:tcPr>
          <w:p w:rsidR="00E95FB1" w:rsidRPr="00C86B34" w:rsidRDefault="00E95FB1" w:rsidP="001B3967">
            <w:pPr>
              <w:pStyle w:val="a7"/>
              <w:ind w:left="0"/>
              <w:jc w:val="center"/>
              <w:rPr>
                <w:b/>
                <w:sz w:val="22"/>
                <w:lang w:val="uk-UA"/>
              </w:rPr>
            </w:pPr>
            <w:r w:rsidRPr="00C86B34">
              <w:rPr>
                <w:b/>
                <w:sz w:val="22"/>
                <w:lang w:val="uk-UA"/>
              </w:rPr>
              <w:t>Всього</w:t>
            </w:r>
          </w:p>
          <w:p w:rsidR="00E95FB1" w:rsidRPr="00C86B34" w:rsidRDefault="00E95FB1" w:rsidP="001B3967">
            <w:pPr>
              <w:pStyle w:val="a7"/>
              <w:ind w:left="0"/>
              <w:jc w:val="center"/>
              <w:rPr>
                <w:b/>
                <w:sz w:val="22"/>
                <w:lang w:val="uk-UA"/>
              </w:rPr>
            </w:pPr>
            <w:proofErr w:type="spellStart"/>
            <w:r w:rsidRPr="00C86B34">
              <w:rPr>
                <w:b/>
                <w:sz w:val="22"/>
                <w:lang w:val="uk-UA"/>
              </w:rPr>
              <w:t>тис.грн</w:t>
            </w:r>
            <w:proofErr w:type="spellEnd"/>
          </w:p>
        </w:tc>
      </w:tr>
      <w:tr w:rsidR="00E95FB1" w:rsidRPr="00C86B34" w:rsidTr="001B3967">
        <w:trPr>
          <w:trHeight w:val="22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1975" w:type="dxa"/>
            <w:vMerge w:val="restart"/>
            <w:tcBorders>
              <w:top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280000,0</w:t>
            </w:r>
          </w:p>
        </w:tc>
        <w:tc>
          <w:tcPr>
            <w:tcW w:w="1380" w:type="dxa"/>
            <w:vMerge w:val="restart"/>
            <w:tcBorders>
              <w:top w:val="single" w:sz="4" w:space="0" w:color="auto"/>
              <w:right w:val="single" w:sz="4" w:space="0" w:color="auto"/>
            </w:tcBorders>
          </w:tcPr>
          <w:p w:rsidR="00E95FB1" w:rsidRPr="00C86B34" w:rsidRDefault="00E95FB1" w:rsidP="001B3967">
            <w:pPr>
              <w:pStyle w:val="a7"/>
              <w:ind w:left="0"/>
              <w:jc w:val="center"/>
              <w:rPr>
                <w:sz w:val="22"/>
                <w:lang w:val="uk-UA"/>
              </w:rPr>
            </w:pPr>
            <w:proofErr w:type="spellStart"/>
            <w:r w:rsidRPr="00C86B34">
              <w:rPr>
                <w:sz w:val="22"/>
                <w:lang w:val="uk-UA"/>
              </w:rPr>
              <w:t>Проєкт</w:t>
            </w:r>
            <w:proofErr w:type="spellEnd"/>
          </w:p>
          <w:p w:rsidR="00E95FB1" w:rsidRPr="00C86B34" w:rsidRDefault="00E95FB1" w:rsidP="001B3967">
            <w:pPr>
              <w:pStyle w:val="a7"/>
              <w:ind w:left="0"/>
              <w:jc w:val="center"/>
              <w:rPr>
                <w:sz w:val="22"/>
                <w:lang w:val="uk-UA"/>
              </w:rPr>
            </w:pPr>
            <w:r w:rsidRPr="00C86B34">
              <w:rPr>
                <w:sz w:val="22"/>
                <w:lang w:val="uk-UA"/>
              </w:rPr>
              <w:t>3000,0</w:t>
            </w:r>
          </w:p>
        </w:tc>
        <w:tc>
          <w:tcPr>
            <w:tcW w:w="1054" w:type="dxa"/>
            <w:gridSpan w:val="2"/>
            <w:tcBorders>
              <w:top w:val="single" w:sz="4" w:space="0" w:color="auto"/>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Обсяг</w:t>
            </w:r>
          </w:p>
          <w:p w:rsidR="00E95FB1" w:rsidRPr="00C86B34" w:rsidRDefault="00E95FB1" w:rsidP="001B3967">
            <w:pPr>
              <w:pStyle w:val="a7"/>
              <w:ind w:left="0"/>
              <w:jc w:val="center"/>
              <w:rPr>
                <w:b/>
                <w:sz w:val="22"/>
                <w:lang w:val="uk-UA"/>
              </w:rPr>
            </w:pPr>
            <w:proofErr w:type="spellStart"/>
            <w:r w:rsidRPr="00C86B34">
              <w:rPr>
                <w:b/>
                <w:sz w:val="22"/>
                <w:lang w:val="uk-UA"/>
              </w:rPr>
              <w:t>тис.грн</w:t>
            </w:r>
            <w:proofErr w:type="spellEnd"/>
          </w:p>
        </w:tc>
        <w:tc>
          <w:tcPr>
            <w:tcW w:w="1315" w:type="dxa"/>
            <w:gridSpan w:val="2"/>
            <w:tcBorders>
              <w:top w:val="single" w:sz="4" w:space="0" w:color="auto"/>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Назва джерела</w:t>
            </w:r>
          </w:p>
        </w:tc>
        <w:tc>
          <w:tcPr>
            <w:tcW w:w="1470" w:type="dxa"/>
            <w:vMerge w:val="restart"/>
            <w:tcBorders>
              <w:top w:val="single" w:sz="4" w:space="0" w:color="auto"/>
              <w:left w:val="single" w:sz="4" w:space="0" w:color="auto"/>
            </w:tcBorders>
          </w:tcPr>
          <w:p w:rsidR="00E95FB1" w:rsidRPr="00C86B34" w:rsidRDefault="00E95FB1" w:rsidP="001B3967">
            <w:pPr>
              <w:pStyle w:val="a7"/>
              <w:ind w:left="0"/>
              <w:jc w:val="center"/>
              <w:rPr>
                <w:sz w:val="22"/>
                <w:lang w:val="uk-UA"/>
              </w:rPr>
            </w:pPr>
            <w:r w:rsidRPr="00C86B34">
              <w:rPr>
                <w:sz w:val="22"/>
                <w:lang w:val="uk-UA"/>
              </w:rPr>
              <w:t>283000,00</w:t>
            </w:r>
          </w:p>
        </w:tc>
      </w:tr>
      <w:tr w:rsidR="00E95FB1" w:rsidRPr="00C86B34" w:rsidTr="001B3967">
        <w:trPr>
          <w:trHeight w:val="300"/>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1975" w:type="dxa"/>
            <w:vMerge/>
            <w:tcBorders>
              <w:right w:val="single" w:sz="4" w:space="0" w:color="auto"/>
            </w:tcBorders>
          </w:tcPr>
          <w:p w:rsidR="00E95FB1" w:rsidRPr="00C86B34" w:rsidRDefault="00E95FB1" w:rsidP="001B3967">
            <w:pPr>
              <w:pStyle w:val="a7"/>
              <w:ind w:left="0"/>
              <w:jc w:val="center"/>
              <w:rPr>
                <w:sz w:val="22"/>
                <w:lang w:val="uk-UA"/>
              </w:rPr>
            </w:pPr>
          </w:p>
        </w:tc>
        <w:tc>
          <w:tcPr>
            <w:tcW w:w="1380" w:type="dxa"/>
            <w:vMerge/>
            <w:tcBorders>
              <w:right w:val="single" w:sz="4" w:space="0" w:color="auto"/>
            </w:tcBorders>
          </w:tcPr>
          <w:p w:rsidR="00E95FB1" w:rsidRPr="00C86B34" w:rsidRDefault="00E95FB1" w:rsidP="001B3967">
            <w:pPr>
              <w:pStyle w:val="a7"/>
              <w:ind w:left="0"/>
              <w:jc w:val="center"/>
              <w:rPr>
                <w:b/>
                <w:sz w:val="22"/>
                <w:lang w:val="uk-UA"/>
              </w:rPr>
            </w:pPr>
          </w:p>
        </w:tc>
        <w:tc>
          <w:tcPr>
            <w:tcW w:w="1054" w:type="dxa"/>
            <w:gridSpan w:val="2"/>
            <w:tcBorders>
              <w:top w:val="single" w:sz="4" w:space="0" w:color="auto"/>
              <w:left w:val="single" w:sz="4" w:space="0" w:color="auto"/>
              <w:right w:val="single" w:sz="4" w:space="0" w:color="auto"/>
            </w:tcBorders>
          </w:tcPr>
          <w:p w:rsidR="00E95FB1" w:rsidRPr="00C86B34" w:rsidRDefault="00E95FB1" w:rsidP="001B3967">
            <w:pPr>
              <w:pStyle w:val="a7"/>
              <w:ind w:left="0"/>
              <w:jc w:val="center"/>
              <w:rPr>
                <w:b/>
                <w:sz w:val="22"/>
                <w:lang w:val="uk-UA"/>
              </w:rPr>
            </w:pPr>
          </w:p>
        </w:tc>
        <w:tc>
          <w:tcPr>
            <w:tcW w:w="1315" w:type="dxa"/>
            <w:gridSpan w:val="2"/>
            <w:tcBorders>
              <w:top w:val="single" w:sz="4" w:space="0" w:color="auto"/>
              <w:left w:val="single" w:sz="4" w:space="0" w:color="auto"/>
              <w:right w:val="single" w:sz="4" w:space="0" w:color="auto"/>
            </w:tcBorders>
          </w:tcPr>
          <w:p w:rsidR="00E95FB1" w:rsidRPr="00C86B34" w:rsidRDefault="00E95FB1" w:rsidP="001B3967">
            <w:pPr>
              <w:pStyle w:val="a7"/>
              <w:ind w:left="0"/>
              <w:jc w:val="center"/>
              <w:rPr>
                <w:sz w:val="22"/>
                <w:lang w:val="uk-UA"/>
              </w:rPr>
            </w:pPr>
          </w:p>
        </w:tc>
        <w:tc>
          <w:tcPr>
            <w:tcW w:w="1470" w:type="dxa"/>
            <w:vMerge/>
            <w:tcBorders>
              <w:left w:val="single" w:sz="4" w:space="0" w:color="auto"/>
            </w:tcBorders>
          </w:tcPr>
          <w:p w:rsidR="00E95FB1" w:rsidRPr="00C86B34" w:rsidRDefault="00E95FB1" w:rsidP="001B3967">
            <w:pPr>
              <w:pStyle w:val="a7"/>
              <w:ind w:left="0"/>
              <w:jc w:val="center"/>
              <w:rPr>
                <w:sz w:val="22"/>
                <w:lang w:val="uk-UA"/>
              </w:rPr>
            </w:pPr>
          </w:p>
        </w:tc>
      </w:tr>
    </w:tbl>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tbl>
      <w:tblPr>
        <w:tblStyle w:val="af"/>
        <w:tblW w:w="0" w:type="auto"/>
        <w:tblInd w:w="-176" w:type="dxa"/>
        <w:tblLook w:val="04A0" w:firstRow="1" w:lastRow="0" w:firstColumn="1" w:lastColumn="0" w:noHBand="0" w:noVBand="1"/>
      </w:tblPr>
      <w:tblGrid>
        <w:gridCol w:w="2649"/>
        <w:gridCol w:w="1998"/>
        <w:gridCol w:w="1254"/>
        <w:gridCol w:w="390"/>
        <w:gridCol w:w="658"/>
        <w:gridCol w:w="1174"/>
        <w:gridCol w:w="52"/>
        <w:gridCol w:w="1487"/>
      </w:tblGrid>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Оперативна ціль/завдання</w:t>
            </w:r>
          </w:p>
        </w:tc>
        <w:tc>
          <w:tcPr>
            <w:tcW w:w="7194" w:type="dxa"/>
            <w:gridSpan w:val="7"/>
            <w:shd w:val="clear" w:color="auto" w:fill="auto"/>
          </w:tcPr>
          <w:p w:rsidR="00E95FB1" w:rsidRPr="00C86B34" w:rsidRDefault="001956E9" w:rsidP="001B3967">
            <w:pPr>
              <w:pStyle w:val="a7"/>
              <w:ind w:left="0"/>
              <w:rPr>
                <w:sz w:val="22"/>
                <w:lang w:val="uk-UA"/>
              </w:rPr>
            </w:pPr>
            <w:r w:rsidRPr="00C86B34">
              <w:rPr>
                <w:rFonts w:eastAsia="Arial"/>
                <w:sz w:val="22"/>
                <w:lang w:val="uk-UA"/>
              </w:rPr>
              <w:t xml:space="preserve">Людський розвиток </w:t>
            </w:r>
            <w:r w:rsidR="00E95FB1" w:rsidRPr="00C86B34">
              <w:rPr>
                <w:rFonts w:eastAsia="Arial"/>
                <w:sz w:val="22"/>
                <w:lang w:val="uk-UA"/>
              </w:rPr>
              <w:t>через інновації управління та довіру до влади.</w:t>
            </w:r>
          </w:p>
          <w:p w:rsidR="00E95FB1" w:rsidRPr="00C86B34" w:rsidRDefault="00E95FB1" w:rsidP="001B3967">
            <w:pPr>
              <w:rPr>
                <w:rFonts w:eastAsia="Arial"/>
                <w:b/>
                <w:sz w:val="22"/>
                <w:lang w:val="uk-UA"/>
              </w:rPr>
            </w:pPr>
            <w:r w:rsidRPr="00C86B34">
              <w:rPr>
                <w:rFonts w:eastAsia="Arial"/>
                <w:sz w:val="22"/>
                <w:lang w:val="uk-UA"/>
              </w:rPr>
              <w:t xml:space="preserve">Формування сучасного інклюзивного </w:t>
            </w:r>
            <w:proofErr w:type="spellStart"/>
            <w:r w:rsidRPr="00C86B34">
              <w:rPr>
                <w:rFonts w:eastAsia="Arial"/>
                <w:sz w:val="22"/>
                <w:lang w:val="uk-UA"/>
              </w:rPr>
              <w:t>освітньо</w:t>
            </w:r>
            <w:proofErr w:type="spellEnd"/>
            <w:r w:rsidRPr="00C86B34">
              <w:rPr>
                <w:rFonts w:eastAsia="Arial"/>
                <w:sz w:val="22"/>
                <w:lang w:val="uk-UA"/>
              </w:rPr>
              <w:t xml:space="preserve"> – культурного та спортивного простору для розвитку.</w:t>
            </w:r>
            <w:r w:rsidRPr="00C86B34">
              <w:rPr>
                <w:b/>
                <w:sz w:val="22"/>
                <w:lang w:val="uk-UA"/>
              </w:rPr>
              <w:t xml:space="preserve"> </w:t>
            </w:r>
            <w:r w:rsidRPr="00C86B34">
              <w:rPr>
                <w:rFonts w:eastAsia="Arial"/>
                <w:color w:val="FF0000"/>
                <w:sz w:val="22"/>
                <w:lang w:val="uk-UA"/>
              </w:rPr>
              <w:t xml:space="preserve"> </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Назва проекту:</w:t>
            </w:r>
          </w:p>
        </w:tc>
        <w:tc>
          <w:tcPr>
            <w:tcW w:w="7194" w:type="dxa"/>
            <w:gridSpan w:val="7"/>
          </w:tcPr>
          <w:p w:rsidR="00E95FB1" w:rsidRPr="00C86B34" w:rsidRDefault="00E95FB1" w:rsidP="001B3967">
            <w:pPr>
              <w:pStyle w:val="a7"/>
              <w:ind w:left="0"/>
              <w:rPr>
                <w:sz w:val="22"/>
                <w:lang w:val="uk-UA"/>
              </w:rPr>
            </w:pPr>
            <w:r w:rsidRPr="00C86B34">
              <w:rPr>
                <w:sz w:val="22"/>
                <w:lang w:val="uk-UA"/>
              </w:rPr>
              <w:t>Відновлення та відбудова будівель Комунального Закладу «Сєвєродонецька міська публічна бібліотека» з філіями Сєвєродонецької міської територіальної громади для задоволення потреб мешканців у отриманні послуг, гарантованих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Ціль проекту</w:t>
            </w:r>
          </w:p>
        </w:tc>
        <w:tc>
          <w:tcPr>
            <w:tcW w:w="7194" w:type="dxa"/>
            <w:gridSpan w:val="7"/>
          </w:tcPr>
          <w:p w:rsidR="00E95FB1" w:rsidRPr="00C86B34" w:rsidRDefault="00E95FB1" w:rsidP="001B3967">
            <w:pPr>
              <w:pStyle w:val="a7"/>
              <w:ind w:left="0"/>
              <w:rPr>
                <w:sz w:val="22"/>
                <w:lang w:val="uk-UA"/>
              </w:rPr>
            </w:pPr>
            <w:r w:rsidRPr="00C86B34">
              <w:rPr>
                <w:sz w:val="22"/>
                <w:lang w:val="uk-UA"/>
              </w:rPr>
              <w:t xml:space="preserve">Відновити та відбудувати будівлі Комунального Закладу «Сєвєродонецька міська публічна бібліотека» з філіями  Сєвєродонецької міської територіальної громади для задоволення </w:t>
            </w:r>
            <w:r w:rsidRPr="00C86B34">
              <w:rPr>
                <w:sz w:val="22"/>
                <w:lang w:val="uk-UA"/>
              </w:rPr>
              <w:lastRenderedPageBreak/>
              <w:t>потреб мешканців у отриманні послуг, гарантованих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lastRenderedPageBreak/>
              <w:t>Територія, на яку матиме вплив реалізація проекту</w:t>
            </w:r>
          </w:p>
        </w:tc>
        <w:tc>
          <w:tcPr>
            <w:tcW w:w="7194" w:type="dxa"/>
            <w:gridSpan w:val="7"/>
          </w:tcPr>
          <w:p w:rsidR="00E95FB1" w:rsidRPr="00C86B34" w:rsidRDefault="00E95FB1" w:rsidP="001B3967">
            <w:pPr>
              <w:pStyle w:val="a7"/>
              <w:ind w:left="0"/>
              <w:rPr>
                <w:sz w:val="22"/>
                <w:lang w:val="uk-UA"/>
              </w:rPr>
            </w:pPr>
            <w:r w:rsidRPr="00C86B34">
              <w:rPr>
                <w:sz w:val="22"/>
                <w:lang w:val="uk-UA"/>
              </w:rPr>
              <w:t>Сєвєродонецька міська територіальна громада</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Чисельність населення, на яке матиме вплив реалізація проекту</w:t>
            </w:r>
          </w:p>
        </w:tc>
        <w:tc>
          <w:tcPr>
            <w:tcW w:w="7194" w:type="dxa"/>
            <w:gridSpan w:val="7"/>
          </w:tcPr>
          <w:p w:rsidR="00E95FB1" w:rsidRPr="00C86B34" w:rsidRDefault="00861C72" w:rsidP="001B3967">
            <w:pPr>
              <w:pStyle w:val="a7"/>
              <w:ind w:left="0"/>
              <w:rPr>
                <w:sz w:val="22"/>
                <w:lang w:val="uk-UA"/>
              </w:rPr>
            </w:pPr>
            <w:r w:rsidRPr="00C86B34">
              <w:rPr>
                <w:sz w:val="22"/>
                <w:lang w:val="uk-UA"/>
              </w:rPr>
              <w:t>70 000</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Опис проблеми, на вирішення якої  спрямований проект</w:t>
            </w:r>
          </w:p>
        </w:tc>
        <w:tc>
          <w:tcPr>
            <w:tcW w:w="7194" w:type="dxa"/>
            <w:gridSpan w:val="7"/>
          </w:tcPr>
          <w:p w:rsidR="00E95FB1" w:rsidRPr="00C86B34" w:rsidRDefault="00E95FB1" w:rsidP="001B3967">
            <w:pPr>
              <w:ind w:firstLine="328"/>
              <w:rPr>
                <w:sz w:val="22"/>
                <w:lang w:val="uk-UA"/>
              </w:rPr>
            </w:pPr>
            <w:r w:rsidRPr="00C86B34">
              <w:rPr>
                <w:sz w:val="22"/>
                <w:lang w:val="uk-UA"/>
              </w:rPr>
              <w:t xml:space="preserve">Через військову агресію РФ територія Сєвєродонецької міської територіальної громади зазнала значних пошкоджень. Будівля Комунального Закладу «Сєвєродонецька міська публічна бібліотека» з філіями </w:t>
            </w:r>
          </w:p>
          <w:tbl>
            <w:tblPr>
              <w:tblStyle w:val="af"/>
              <w:tblW w:w="0" w:type="auto"/>
              <w:tblLook w:val="04A0" w:firstRow="1" w:lastRow="0" w:firstColumn="1" w:lastColumn="0" w:noHBand="0" w:noVBand="1"/>
            </w:tblPr>
            <w:tblGrid>
              <w:gridCol w:w="2145"/>
              <w:gridCol w:w="3264"/>
            </w:tblGrid>
            <w:tr w:rsidR="00E95FB1" w:rsidRPr="00C86B34" w:rsidTr="001B3967">
              <w:tc>
                <w:tcPr>
                  <w:tcW w:w="2145" w:type="dxa"/>
                </w:tcPr>
                <w:p w:rsidR="00E95FB1" w:rsidRPr="00C86B34" w:rsidRDefault="00E95FB1" w:rsidP="001B3967">
                  <w:pPr>
                    <w:rPr>
                      <w:color w:val="000000"/>
                      <w:sz w:val="22"/>
                      <w:lang w:val="uk-UA"/>
                    </w:rPr>
                  </w:pPr>
                  <w:r w:rsidRPr="00C86B34">
                    <w:rPr>
                      <w:color w:val="000000"/>
                      <w:sz w:val="22"/>
                      <w:lang w:val="uk-UA"/>
                    </w:rPr>
                    <w:t>Сєвєродонецьк</w:t>
                  </w:r>
                </w:p>
              </w:tc>
              <w:tc>
                <w:tcPr>
                  <w:tcW w:w="3264" w:type="dxa"/>
                </w:tcPr>
                <w:p w:rsidR="00E95FB1" w:rsidRPr="00C86B34" w:rsidRDefault="00E95FB1" w:rsidP="001B3967">
                  <w:pPr>
                    <w:rPr>
                      <w:color w:val="000000"/>
                      <w:sz w:val="22"/>
                      <w:lang w:val="uk-UA"/>
                    </w:rPr>
                  </w:pPr>
                  <w:proofErr w:type="spellStart"/>
                  <w:r w:rsidRPr="00C86B34">
                    <w:rPr>
                      <w:color w:val="000000"/>
                      <w:sz w:val="22"/>
                      <w:lang w:val="uk-UA"/>
                    </w:rPr>
                    <w:t>просп</w:t>
                  </w:r>
                  <w:proofErr w:type="spellEnd"/>
                  <w:r w:rsidRPr="00C86B34">
                    <w:rPr>
                      <w:color w:val="000000"/>
                      <w:sz w:val="22"/>
                      <w:lang w:val="uk-UA"/>
                    </w:rPr>
                    <w:t xml:space="preserve">. Центральний, буд. 54 </w:t>
                  </w:r>
                </w:p>
              </w:tc>
            </w:tr>
            <w:tr w:rsidR="00E95FB1" w:rsidRPr="00C86B34" w:rsidTr="001B3967">
              <w:tc>
                <w:tcPr>
                  <w:tcW w:w="2145" w:type="dxa"/>
                </w:tcPr>
                <w:p w:rsidR="00E95FB1" w:rsidRPr="00C86B34" w:rsidRDefault="00E95FB1" w:rsidP="001B3967">
                  <w:pPr>
                    <w:rPr>
                      <w:color w:val="000000"/>
                      <w:sz w:val="22"/>
                      <w:lang w:val="uk-UA"/>
                    </w:rPr>
                  </w:pPr>
                  <w:r w:rsidRPr="00C86B34">
                    <w:rPr>
                      <w:color w:val="000000"/>
                      <w:sz w:val="22"/>
                      <w:lang w:val="uk-UA"/>
                    </w:rPr>
                    <w:t>Борівське</w:t>
                  </w:r>
                </w:p>
              </w:tc>
              <w:tc>
                <w:tcPr>
                  <w:tcW w:w="3264" w:type="dxa"/>
                </w:tcPr>
                <w:p w:rsidR="00E95FB1" w:rsidRPr="00C86B34" w:rsidRDefault="00E95FB1" w:rsidP="001B3967">
                  <w:pPr>
                    <w:rPr>
                      <w:color w:val="000000"/>
                      <w:sz w:val="22"/>
                      <w:lang w:val="uk-UA"/>
                    </w:rPr>
                  </w:pPr>
                  <w:proofErr w:type="spellStart"/>
                  <w:r w:rsidRPr="00C86B34">
                    <w:rPr>
                      <w:color w:val="000000"/>
                      <w:sz w:val="22"/>
                      <w:lang w:val="uk-UA"/>
                    </w:rPr>
                    <w:t>вул.Червона</w:t>
                  </w:r>
                  <w:proofErr w:type="spellEnd"/>
                  <w:r w:rsidRPr="00C86B34">
                    <w:rPr>
                      <w:color w:val="000000"/>
                      <w:sz w:val="22"/>
                      <w:lang w:val="uk-UA"/>
                    </w:rPr>
                    <w:t>, буд. 14</w:t>
                  </w:r>
                </w:p>
              </w:tc>
            </w:tr>
            <w:tr w:rsidR="00E95FB1" w:rsidRPr="00C86B34" w:rsidTr="001B3967">
              <w:tc>
                <w:tcPr>
                  <w:tcW w:w="2145" w:type="dxa"/>
                </w:tcPr>
                <w:p w:rsidR="00E95FB1" w:rsidRPr="00C86B34" w:rsidRDefault="00E95FB1" w:rsidP="001B3967">
                  <w:pPr>
                    <w:rPr>
                      <w:color w:val="000000"/>
                      <w:sz w:val="22"/>
                      <w:lang w:val="uk-UA"/>
                    </w:rPr>
                  </w:pPr>
                  <w:r w:rsidRPr="00C86B34">
                    <w:rPr>
                      <w:color w:val="000000"/>
                      <w:sz w:val="22"/>
                      <w:lang w:val="uk-UA"/>
                    </w:rPr>
                    <w:t>Нова Астрахань</w:t>
                  </w:r>
                </w:p>
              </w:tc>
              <w:tc>
                <w:tcPr>
                  <w:tcW w:w="3264" w:type="dxa"/>
                </w:tcPr>
                <w:p w:rsidR="00E95FB1" w:rsidRPr="00C86B34" w:rsidRDefault="00E95FB1" w:rsidP="001B3967">
                  <w:pPr>
                    <w:rPr>
                      <w:color w:val="000000"/>
                      <w:sz w:val="22"/>
                      <w:lang w:val="uk-UA"/>
                    </w:rPr>
                  </w:pPr>
                  <w:r w:rsidRPr="00C86B34">
                    <w:rPr>
                      <w:color w:val="000000"/>
                      <w:sz w:val="22"/>
                      <w:lang w:val="uk-UA"/>
                    </w:rPr>
                    <w:t>вул. Центральна, буд. 38</w:t>
                  </w:r>
                </w:p>
              </w:tc>
            </w:tr>
            <w:tr w:rsidR="00E95FB1" w:rsidRPr="00C86B34" w:rsidTr="001B3967">
              <w:tc>
                <w:tcPr>
                  <w:tcW w:w="2145" w:type="dxa"/>
                </w:tcPr>
                <w:p w:rsidR="00E95FB1" w:rsidRPr="00C86B34" w:rsidRDefault="00E95FB1" w:rsidP="001B3967">
                  <w:pPr>
                    <w:rPr>
                      <w:color w:val="000000"/>
                      <w:sz w:val="22"/>
                      <w:lang w:val="uk-UA"/>
                    </w:rPr>
                  </w:pPr>
                  <w:proofErr w:type="spellStart"/>
                  <w:r w:rsidRPr="00C86B34">
                    <w:rPr>
                      <w:color w:val="000000"/>
                      <w:sz w:val="22"/>
                      <w:lang w:val="uk-UA"/>
                    </w:rPr>
                    <w:t>Єпіфанівка</w:t>
                  </w:r>
                  <w:proofErr w:type="spellEnd"/>
                </w:p>
              </w:tc>
              <w:tc>
                <w:tcPr>
                  <w:tcW w:w="3264" w:type="dxa"/>
                </w:tcPr>
                <w:p w:rsidR="00E95FB1" w:rsidRPr="00C86B34" w:rsidRDefault="00E95FB1" w:rsidP="001B3967">
                  <w:pPr>
                    <w:rPr>
                      <w:color w:val="000000"/>
                      <w:sz w:val="22"/>
                      <w:lang w:val="uk-UA"/>
                    </w:rPr>
                  </w:pPr>
                  <w:r w:rsidRPr="00C86B34">
                    <w:rPr>
                      <w:color w:val="000000"/>
                      <w:sz w:val="22"/>
                      <w:lang w:val="uk-UA"/>
                    </w:rPr>
                    <w:t>вул. Жданова, буд. 74</w:t>
                  </w:r>
                </w:p>
              </w:tc>
            </w:tr>
            <w:tr w:rsidR="00E95FB1" w:rsidRPr="00C86B34" w:rsidTr="001B3967">
              <w:tc>
                <w:tcPr>
                  <w:tcW w:w="2145" w:type="dxa"/>
                </w:tcPr>
                <w:p w:rsidR="00E95FB1" w:rsidRPr="00C86B34" w:rsidRDefault="00E95FB1" w:rsidP="001B3967">
                  <w:pPr>
                    <w:rPr>
                      <w:color w:val="000000"/>
                      <w:sz w:val="22"/>
                      <w:lang w:val="uk-UA"/>
                    </w:rPr>
                  </w:pPr>
                  <w:proofErr w:type="spellStart"/>
                  <w:r w:rsidRPr="00C86B34">
                    <w:rPr>
                      <w:color w:val="000000"/>
                      <w:sz w:val="22"/>
                      <w:lang w:val="uk-UA"/>
                    </w:rPr>
                    <w:t>Боровеньки</w:t>
                  </w:r>
                  <w:proofErr w:type="spellEnd"/>
                </w:p>
              </w:tc>
              <w:tc>
                <w:tcPr>
                  <w:tcW w:w="3264" w:type="dxa"/>
                </w:tcPr>
                <w:p w:rsidR="00E95FB1" w:rsidRPr="00C86B34" w:rsidRDefault="00E95FB1" w:rsidP="001B3967">
                  <w:pPr>
                    <w:rPr>
                      <w:color w:val="000000"/>
                      <w:sz w:val="22"/>
                      <w:lang w:val="uk-UA"/>
                    </w:rPr>
                  </w:pPr>
                  <w:r w:rsidRPr="00C86B34">
                    <w:rPr>
                      <w:color w:val="000000"/>
                      <w:sz w:val="22"/>
                      <w:lang w:val="uk-UA"/>
                    </w:rPr>
                    <w:t>вул. Миру, буд. 32 А</w:t>
                  </w:r>
                </w:p>
              </w:tc>
            </w:tr>
            <w:tr w:rsidR="00E95FB1" w:rsidRPr="00C86B34" w:rsidTr="001B3967">
              <w:tc>
                <w:tcPr>
                  <w:tcW w:w="2145" w:type="dxa"/>
                </w:tcPr>
                <w:p w:rsidR="00E95FB1" w:rsidRPr="00C86B34" w:rsidRDefault="00E95FB1" w:rsidP="001B3967">
                  <w:pPr>
                    <w:rPr>
                      <w:color w:val="000000"/>
                      <w:sz w:val="22"/>
                      <w:lang w:val="uk-UA"/>
                    </w:rPr>
                  </w:pPr>
                  <w:r w:rsidRPr="00C86B34">
                    <w:rPr>
                      <w:color w:val="000000"/>
                      <w:sz w:val="22"/>
                      <w:lang w:val="uk-UA"/>
                    </w:rPr>
                    <w:t>Чабанівка</w:t>
                  </w:r>
                </w:p>
              </w:tc>
              <w:tc>
                <w:tcPr>
                  <w:tcW w:w="3264" w:type="dxa"/>
                </w:tcPr>
                <w:p w:rsidR="00E95FB1" w:rsidRPr="00C86B34" w:rsidRDefault="00E95FB1" w:rsidP="001B3967">
                  <w:pPr>
                    <w:rPr>
                      <w:color w:val="000000"/>
                      <w:sz w:val="22"/>
                      <w:lang w:val="uk-UA"/>
                    </w:rPr>
                  </w:pPr>
                  <w:r w:rsidRPr="00C86B34">
                    <w:rPr>
                      <w:color w:val="000000"/>
                      <w:sz w:val="22"/>
                      <w:lang w:val="uk-UA"/>
                    </w:rPr>
                    <w:t>вул. Миру, буд. 40 А</w:t>
                  </w:r>
                </w:p>
              </w:tc>
            </w:tr>
            <w:tr w:rsidR="00E95FB1" w:rsidRPr="00C86B34" w:rsidTr="001B3967">
              <w:tc>
                <w:tcPr>
                  <w:tcW w:w="2145" w:type="dxa"/>
                </w:tcPr>
                <w:p w:rsidR="00E95FB1" w:rsidRPr="00C86B34" w:rsidRDefault="00E95FB1" w:rsidP="001B3967">
                  <w:pPr>
                    <w:rPr>
                      <w:color w:val="000000"/>
                      <w:sz w:val="22"/>
                      <w:lang w:val="uk-UA"/>
                    </w:rPr>
                  </w:pPr>
                  <w:proofErr w:type="spellStart"/>
                  <w:r w:rsidRPr="00C86B34">
                    <w:rPr>
                      <w:color w:val="000000"/>
                      <w:sz w:val="22"/>
                      <w:lang w:val="uk-UA"/>
                    </w:rPr>
                    <w:t>Смолянинове</w:t>
                  </w:r>
                  <w:proofErr w:type="spellEnd"/>
                </w:p>
              </w:tc>
              <w:tc>
                <w:tcPr>
                  <w:tcW w:w="3264" w:type="dxa"/>
                </w:tcPr>
                <w:p w:rsidR="00E95FB1" w:rsidRPr="00C86B34" w:rsidRDefault="00E95FB1" w:rsidP="001B3967">
                  <w:pPr>
                    <w:rPr>
                      <w:color w:val="000000"/>
                      <w:sz w:val="22"/>
                      <w:lang w:val="uk-UA"/>
                    </w:rPr>
                  </w:pPr>
                  <w:r w:rsidRPr="00C86B34">
                    <w:rPr>
                      <w:color w:val="000000"/>
                      <w:sz w:val="22"/>
                      <w:lang w:val="uk-UA"/>
                    </w:rPr>
                    <w:t>вул. Миру, буд. 96</w:t>
                  </w:r>
                </w:p>
              </w:tc>
            </w:tr>
          </w:tbl>
          <w:p w:rsidR="00E95FB1" w:rsidRPr="00C86B34" w:rsidRDefault="00E95FB1" w:rsidP="001B3967">
            <w:pPr>
              <w:ind w:firstLine="328"/>
              <w:rPr>
                <w:sz w:val="22"/>
                <w:lang w:val="uk-UA"/>
              </w:rPr>
            </w:pPr>
          </w:p>
          <w:p w:rsidR="00E95FB1" w:rsidRPr="00C86B34" w:rsidRDefault="00E95FB1" w:rsidP="001B3967">
            <w:pPr>
              <w:rPr>
                <w:sz w:val="22"/>
                <w:lang w:val="uk-UA"/>
              </w:rPr>
            </w:pPr>
            <w:r w:rsidRPr="00C86B34">
              <w:rPr>
                <w:sz w:val="22"/>
                <w:lang w:val="uk-UA"/>
              </w:rPr>
              <w:t>належать Сєвєродонецькій міській територіальній громаді, зруйновані</w:t>
            </w:r>
            <w:r w:rsidR="00861C72" w:rsidRPr="00C86B34">
              <w:rPr>
                <w:sz w:val="22"/>
                <w:lang w:val="uk-UA"/>
              </w:rPr>
              <w:t>,</w:t>
            </w:r>
            <w:r w:rsidRPr="00C86B34">
              <w:rPr>
                <w:sz w:val="22"/>
                <w:lang w:val="uk-UA"/>
              </w:rPr>
              <w:t xml:space="preserve"> як КЗ СМПБ або пошкоджені</w:t>
            </w:r>
            <w:r w:rsidR="00861C72" w:rsidRPr="00C86B34">
              <w:rPr>
                <w:sz w:val="22"/>
                <w:lang w:val="uk-UA"/>
              </w:rPr>
              <w:t>,</w:t>
            </w:r>
            <w:r w:rsidRPr="00C86B34">
              <w:rPr>
                <w:sz w:val="22"/>
                <w:lang w:val="uk-UA"/>
              </w:rPr>
              <w:t xml:space="preserve"> як філії в результаті обстрілів. Для поновлення життєдіяльності громади та стимулювання повернення мешканців до громади необхідно забезпечити їх всіма необхідними послугами, гарантованими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Очікувані якісні результати від реалізації проекту</w:t>
            </w:r>
          </w:p>
        </w:tc>
        <w:tc>
          <w:tcPr>
            <w:tcW w:w="7194" w:type="dxa"/>
            <w:gridSpan w:val="7"/>
          </w:tcPr>
          <w:p w:rsidR="00E95FB1" w:rsidRPr="00C86B34" w:rsidRDefault="00E95FB1" w:rsidP="000303D7">
            <w:pPr>
              <w:pStyle w:val="a7"/>
              <w:numPr>
                <w:ilvl w:val="0"/>
                <w:numId w:val="27"/>
              </w:numPr>
              <w:jc w:val="left"/>
              <w:rPr>
                <w:sz w:val="22"/>
                <w:lang w:val="uk-UA"/>
              </w:rPr>
            </w:pPr>
            <w:r w:rsidRPr="00C86B34">
              <w:rPr>
                <w:sz w:val="22"/>
                <w:lang w:val="uk-UA"/>
              </w:rPr>
              <w:t>Отримання мешканцями громади якісних послуг у сфері культури та бібліотечної діяльності;</w:t>
            </w:r>
          </w:p>
          <w:p w:rsidR="00E95FB1" w:rsidRPr="00C86B34" w:rsidRDefault="00861C72" w:rsidP="000303D7">
            <w:pPr>
              <w:pStyle w:val="a7"/>
              <w:numPr>
                <w:ilvl w:val="0"/>
                <w:numId w:val="27"/>
              </w:numPr>
              <w:jc w:val="left"/>
              <w:rPr>
                <w:sz w:val="22"/>
                <w:lang w:val="uk-UA"/>
              </w:rPr>
            </w:pPr>
            <w:r w:rsidRPr="00C86B34">
              <w:rPr>
                <w:sz w:val="22"/>
                <w:lang w:val="uk-UA"/>
              </w:rPr>
              <w:t>м</w:t>
            </w:r>
            <w:r w:rsidR="00E95FB1" w:rsidRPr="00C86B34">
              <w:rPr>
                <w:sz w:val="22"/>
                <w:lang w:val="uk-UA"/>
              </w:rPr>
              <w:t>отивація мешканців громади до повернення у громаду;</w:t>
            </w:r>
          </w:p>
          <w:p w:rsidR="00E95FB1" w:rsidRPr="00C86B34" w:rsidRDefault="00861C72" w:rsidP="000303D7">
            <w:pPr>
              <w:pStyle w:val="a7"/>
              <w:numPr>
                <w:ilvl w:val="0"/>
                <w:numId w:val="27"/>
              </w:numPr>
              <w:jc w:val="left"/>
              <w:rPr>
                <w:sz w:val="22"/>
                <w:lang w:val="uk-UA"/>
              </w:rPr>
            </w:pPr>
            <w:r w:rsidRPr="00C86B34">
              <w:rPr>
                <w:sz w:val="22"/>
                <w:lang w:val="uk-UA"/>
              </w:rPr>
              <w:t>з</w:t>
            </w:r>
            <w:r w:rsidR="00E95FB1" w:rsidRPr="00C86B34">
              <w:rPr>
                <w:sz w:val="22"/>
                <w:lang w:val="uk-UA"/>
              </w:rPr>
              <w:t>ахист правових, культурних,</w:t>
            </w:r>
            <w:r w:rsidRPr="00C86B34">
              <w:rPr>
                <w:sz w:val="22"/>
                <w:lang w:val="uk-UA"/>
              </w:rPr>
              <w:t xml:space="preserve"> </w:t>
            </w:r>
            <w:r w:rsidR="00E95FB1" w:rsidRPr="00C86B34">
              <w:rPr>
                <w:sz w:val="22"/>
                <w:lang w:val="uk-UA"/>
              </w:rPr>
              <w:t>освітніх,</w:t>
            </w:r>
            <w:r w:rsidRPr="00C86B34">
              <w:rPr>
                <w:sz w:val="22"/>
                <w:lang w:val="uk-UA"/>
              </w:rPr>
              <w:t xml:space="preserve"> </w:t>
            </w:r>
            <w:r w:rsidR="00E95FB1" w:rsidRPr="00C86B34">
              <w:rPr>
                <w:sz w:val="22"/>
                <w:lang w:val="uk-UA"/>
              </w:rPr>
              <w:t>економічних та інших інтересів громадян;</w:t>
            </w:r>
          </w:p>
          <w:p w:rsidR="00E95FB1" w:rsidRPr="00C86B34" w:rsidRDefault="00861C72" w:rsidP="000303D7">
            <w:pPr>
              <w:pStyle w:val="a7"/>
              <w:numPr>
                <w:ilvl w:val="0"/>
                <w:numId w:val="27"/>
              </w:numPr>
              <w:jc w:val="left"/>
              <w:rPr>
                <w:sz w:val="22"/>
                <w:lang w:val="uk-UA"/>
              </w:rPr>
            </w:pPr>
            <w:r w:rsidRPr="00C86B34">
              <w:rPr>
                <w:sz w:val="22"/>
                <w:lang w:val="uk-UA"/>
              </w:rPr>
              <w:t>н</w:t>
            </w:r>
            <w:r w:rsidR="00E95FB1" w:rsidRPr="00C86B34">
              <w:rPr>
                <w:sz w:val="22"/>
                <w:lang w:val="uk-UA"/>
              </w:rPr>
              <w:t>адання юридичним та фізичним особам-підприємцям якісних послуг для впровадження ними своєї діяльності;</w:t>
            </w:r>
          </w:p>
          <w:p w:rsidR="00E95FB1" w:rsidRPr="00C86B34" w:rsidRDefault="00861C72" w:rsidP="000303D7">
            <w:pPr>
              <w:pStyle w:val="a7"/>
              <w:numPr>
                <w:ilvl w:val="0"/>
                <w:numId w:val="27"/>
              </w:numPr>
              <w:jc w:val="left"/>
              <w:rPr>
                <w:sz w:val="22"/>
                <w:lang w:val="uk-UA"/>
              </w:rPr>
            </w:pPr>
            <w:r w:rsidRPr="00C86B34">
              <w:rPr>
                <w:sz w:val="22"/>
                <w:lang w:val="uk-UA"/>
              </w:rPr>
              <w:t>с</w:t>
            </w:r>
            <w:r w:rsidR="00E95FB1" w:rsidRPr="00C86B34">
              <w:rPr>
                <w:sz w:val="22"/>
                <w:lang w:val="uk-UA"/>
              </w:rPr>
              <w:t>талий розвиток громади;</w:t>
            </w:r>
          </w:p>
          <w:p w:rsidR="00E95FB1" w:rsidRPr="00C86B34" w:rsidRDefault="00861C72" w:rsidP="000303D7">
            <w:pPr>
              <w:pStyle w:val="a7"/>
              <w:numPr>
                <w:ilvl w:val="0"/>
                <w:numId w:val="27"/>
              </w:numPr>
              <w:jc w:val="left"/>
              <w:rPr>
                <w:sz w:val="22"/>
                <w:lang w:val="uk-UA"/>
              </w:rPr>
            </w:pPr>
            <w:r w:rsidRPr="00C86B34">
              <w:rPr>
                <w:sz w:val="22"/>
                <w:lang w:val="uk-UA"/>
              </w:rPr>
              <w:t>і</w:t>
            </w:r>
            <w:r w:rsidR="00E95FB1" w:rsidRPr="00C86B34">
              <w:rPr>
                <w:sz w:val="22"/>
                <w:lang w:val="uk-UA"/>
              </w:rPr>
              <w:t>нвестиційна привабливість громади;</w:t>
            </w:r>
          </w:p>
          <w:p w:rsidR="00E95FB1" w:rsidRPr="00C86B34" w:rsidRDefault="00861C72" w:rsidP="00861C72">
            <w:pPr>
              <w:pStyle w:val="a7"/>
              <w:numPr>
                <w:ilvl w:val="0"/>
                <w:numId w:val="27"/>
              </w:numPr>
              <w:jc w:val="left"/>
              <w:rPr>
                <w:sz w:val="22"/>
                <w:lang w:val="uk-UA"/>
              </w:rPr>
            </w:pPr>
            <w:r w:rsidRPr="00C86B34">
              <w:rPr>
                <w:sz w:val="22"/>
                <w:lang w:val="uk-UA"/>
              </w:rPr>
              <w:t>к</w:t>
            </w:r>
            <w:r w:rsidR="00E95FB1" w:rsidRPr="00C86B34">
              <w:rPr>
                <w:sz w:val="22"/>
                <w:lang w:val="uk-UA"/>
              </w:rPr>
              <w:t>омфортне життя мешканців.</w:t>
            </w:r>
          </w:p>
        </w:tc>
      </w:tr>
      <w:tr w:rsidR="00E95FB1" w:rsidRPr="00C86B34" w:rsidTr="001B3967">
        <w:trPr>
          <w:trHeight w:val="390"/>
        </w:trPr>
        <w:tc>
          <w:tcPr>
            <w:tcW w:w="2694" w:type="dxa"/>
            <w:vMerge w:val="restart"/>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 xml:space="preserve">Очікувані кількісні результати реалізації </w:t>
            </w:r>
            <w:proofErr w:type="spellStart"/>
            <w:r w:rsidRPr="00C86B34">
              <w:rPr>
                <w:b/>
                <w:sz w:val="22"/>
                <w:lang w:val="uk-UA"/>
              </w:rPr>
              <w:t>проєкту</w:t>
            </w:r>
            <w:proofErr w:type="spellEnd"/>
            <w:r w:rsidRPr="00C86B34">
              <w:rPr>
                <w:b/>
                <w:sz w:val="22"/>
                <w:lang w:val="uk-UA"/>
              </w:rPr>
              <w:t xml:space="preserve"> (індикатори)</w:t>
            </w:r>
          </w:p>
          <w:p w:rsidR="00E95FB1" w:rsidRPr="00C86B34" w:rsidRDefault="00E95FB1" w:rsidP="001B3967">
            <w:pPr>
              <w:pStyle w:val="a7"/>
              <w:ind w:left="0"/>
              <w:rPr>
                <w:b/>
                <w:sz w:val="22"/>
                <w:lang w:val="uk-UA"/>
              </w:rPr>
            </w:pPr>
          </w:p>
        </w:tc>
        <w:tc>
          <w:tcPr>
            <w:tcW w:w="3780" w:type="dxa"/>
            <w:gridSpan w:val="3"/>
            <w:tcBorders>
              <w:bottom w:val="single" w:sz="4" w:space="0" w:color="auto"/>
              <w:right w:val="single" w:sz="4" w:space="0" w:color="auto"/>
            </w:tcBorders>
          </w:tcPr>
          <w:p w:rsidR="00E95FB1" w:rsidRPr="00C86B34" w:rsidRDefault="00E95FB1" w:rsidP="001B3967">
            <w:pPr>
              <w:pStyle w:val="a7"/>
              <w:ind w:left="-108"/>
              <w:jc w:val="center"/>
              <w:rPr>
                <w:b/>
                <w:sz w:val="22"/>
                <w:lang w:val="uk-UA"/>
              </w:rPr>
            </w:pPr>
            <w:r w:rsidRPr="00C86B34">
              <w:rPr>
                <w:b/>
                <w:sz w:val="22"/>
                <w:lang w:val="uk-UA"/>
              </w:rPr>
              <w:t>Найменування показника</w:t>
            </w:r>
          </w:p>
        </w:tc>
        <w:tc>
          <w:tcPr>
            <w:tcW w:w="1858" w:type="dxa"/>
            <w:gridSpan w:val="2"/>
            <w:tcBorders>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Одиниця вимірювання</w:t>
            </w:r>
          </w:p>
          <w:p w:rsidR="00E95FB1" w:rsidRPr="00C86B34" w:rsidRDefault="00E95FB1" w:rsidP="001B3967">
            <w:pPr>
              <w:pStyle w:val="a7"/>
              <w:ind w:left="0"/>
              <w:rPr>
                <w:b/>
                <w:sz w:val="22"/>
                <w:lang w:val="uk-UA"/>
              </w:rPr>
            </w:pPr>
          </w:p>
        </w:tc>
        <w:tc>
          <w:tcPr>
            <w:tcW w:w="1556" w:type="dxa"/>
            <w:gridSpan w:val="2"/>
            <w:tcBorders>
              <w:left w:val="single" w:sz="4" w:space="0" w:color="auto"/>
              <w:bottom w:val="single" w:sz="4" w:space="0" w:color="auto"/>
            </w:tcBorders>
          </w:tcPr>
          <w:p w:rsidR="00E95FB1" w:rsidRPr="00C86B34" w:rsidRDefault="00E95FB1" w:rsidP="001B3967">
            <w:pPr>
              <w:pStyle w:val="a7"/>
              <w:ind w:left="0"/>
              <w:jc w:val="center"/>
              <w:rPr>
                <w:b/>
                <w:sz w:val="22"/>
                <w:lang w:val="uk-UA"/>
              </w:rPr>
            </w:pPr>
            <w:r w:rsidRPr="00C86B34">
              <w:rPr>
                <w:b/>
                <w:sz w:val="22"/>
                <w:lang w:val="uk-UA"/>
              </w:rPr>
              <w:t>Прогнозне (цільове) значення</w:t>
            </w:r>
          </w:p>
        </w:tc>
      </w:tr>
      <w:tr w:rsidR="00E95FB1" w:rsidRPr="00C86B34" w:rsidTr="001B3967">
        <w:trPr>
          <w:trHeight w:val="58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780"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rPr>
                <w:sz w:val="22"/>
                <w:lang w:val="uk-UA"/>
              </w:rPr>
            </w:pPr>
            <w:r w:rsidRPr="00C86B34">
              <w:rPr>
                <w:sz w:val="22"/>
                <w:lang w:val="uk-UA"/>
              </w:rPr>
              <w:t>Кількість фізичних та юридичних осіб (користувачів), які звернулись за послугами протягом  року</w:t>
            </w:r>
          </w:p>
        </w:tc>
        <w:tc>
          <w:tcPr>
            <w:tcW w:w="1858"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jc w:val="center"/>
              <w:rPr>
                <w:sz w:val="22"/>
                <w:lang w:val="uk-UA"/>
              </w:rPr>
            </w:pPr>
            <w:r w:rsidRPr="00C86B34">
              <w:rPr>
                <w:rFonts w:eastAsia="Arial"/>
                <w:sz w:val="22"/>
                <w:lang w:val="uk-UA"/>
              </w:rPr>
              <w:t>осіб</w:t>
            </w:r>
          </w:p>
        </w:tc>
        <w:tc>
          <w:tcPr>
            <w:tcW w:w="1556"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10812</w:t>
            </w:r>
          </w:p>
          <w:p w:rsidR="00E95FB1" w:rsidRPr="00C86B34" w:rsidRDefault="00E95FB1" w:rsidP="001B3967">
            <w:pPr>
              <w:pStyle w:val="a7"/>
              <w:ind w:left="0"/>
              <w:jc w:val="center"/>
              <w:rPr>
                <w:sz w:val="22"/>
                <w:lang w:val="uk-UA"/>
              </w:rPr>
            </w:pPr>
          </w:p>
          <w:p w:rsidR="00E95FB1" w:rsidRPr="00C86B34" w:rsidRDefault="00E95FB1" w:rsidP="001B3967">
            <w:pPr>
              <w:pStyle w:val="a7"/>
              <w:ind w:left="0"/>
              <w:jc w:val="center"/>
              <w:rPr>
                <w:sz w:val="22"/>
                <w:lang w:val="uk-UA"/>
              </w:rPr>
            </w:pPr>
          </w:p>
        </w:tc>
      </w:tr>
      <w:tr w:rsidR="00E95FB1" w:rsidRPr="00C86B34" w:rsidTr="001B3967">
        <w:trPr>
          <w:trHeight w:val="184"/>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780"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rPr>
                <w:sz w:val="22"/>
                <w:lang w:val="uk-UA"/>
              </w:rPr>
            </w:pPr>
            <w:r w:rsidRPr="00C86B34">
              <w:rPr>
                <w:sz w:val="22"/>
                <w:lang w:val="uk-UA"/>
              </w:rPr>
              <w:t>Кількість книговидань протягом  року</w:t>
            </w:r>
          </w:p>
        </w:tc>
        <w:tc>
          <w:tcPr>
            <w:tcW w:w="1858"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примірників</w:t>
            </w:r>
          </w:p>
        </w:tc>
        <w:tc>
          <w:tcPr>
            <w:tcW w:w="1556" w:type="dxa"/>
            <w:gridSpan w:val="2"/>
            <w:tcBorders>
              <w:top w:val="single" w:sz="4" w:space="0" w:color="auto"/>
              <w:left w:val="single" w:sz="4" w:space="0" w:color="auto"/>
              <w:bottom w:val="single" w:sz="4" w:space="0" w:color="auto"/>
            </w:tcBorders>
            <w:vAlign w:val="center"/>
          </w:tcPr>
          <w:p w:rsidR="00E95FB1" w:rsidRPr="00C86B34" w:rsidRDefault="00E95FB1" w:rsidP="001B3967">
            <w:pPr>
              <w:jc w:val="center"/>
              <w:rPr>
                <w:sz w:val="22"/>
                <w:lang w:val="uk-UA"/>
              </w:rPr>
            </w:pPr>
            <w:r w:rsidRPr="00C86B34">
              <w:rPr>
                <w:sz w:val="22"/>
                <w:lang w:val="uk-UA"/>
              </w:rPr>
              <w:t>218000</w:t>
            </w:r>
          </w:p>
        </w:tc>
      </w:tr>
      <w:tr w:rsidR="00E95FB1" w:rsidRPr="00C86B34" w:rsidTr="001B3967">
        <w:trPr>
          <w:trHeight w:val="16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780"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rPr>
                <w:sz w:val="22"/>
                <w:lang w:val="uk-UA"/>
              </w:rPr>
            </w:pPr>
            <w:r w:rsidRPr="00C86B34">
              <w:rPr>
                <w:sz w:val="22"/>
                <w:lang w:val="uk-UA"/>
              </w:rPr>
              <w:t>Кількість відвідувань заходів  протягом  року</w:t>
            </w:r>
          </w:p>
        </w:tc>
        <w:tc>
          <w:tcPr>
            <w:tcW w:w="1858"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осіб</w:t>
            </w:r>
          </w:p>
        </w:tc>
        <w:tc>
          <w:tcPr>
            <w:tcW w:w="1556"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67365</w:t>
            </w:r>
          </w:p>
        </w:tc>
      </w:tr>
      <w:tr w:rsidR="00E95FB1" w:rsidRPr="00C86B34" w:rsidTr="001B3967">
        <w:trPr>
          <w:trHeight w:val="16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780"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rPr>
                <w:sz w:val="22"/>
                <w:lang w:val="uk-UA"/>
              </w:rPr>
            </w:pPr>
            <w:r w:rsidRPr="00C86B34">
              <w:rPr>
                <w:sz w:val="22"/>
                <w:lang w:val="uk-UA"/>
              </w:rPr>
              <w:t>Кількість заходів для користувачів</w:t>
            </w:r>
          </w:p>
        </w:tc>
        <w:tc>
          <w:tcPr>
            <w:tcW w:w="1858"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556"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324</w:t>
            </w:r>
          </w:p>
        </w:tc>
      </w:tr>
      <w:tr w:rsidR="00E95FB1" w:rsidRPr="00C86B34" w:rsidTr="001B3967">
        <w:trPr>
          <w:trHeight w:val="165"/>
        </w:trPr>
        <w:tc>
          <w:tcPr>
            <w:tcW w:w="2694" w:type="dxa"/>
            <w:shd w:val="clear" w:color="auto" w:fill="C6D9F1" w:themeFill="text2" w:themeFillTint="33"/>
          </w:tcPr>
          <w:p w:rsidR="00E95FB1" w:rsidRPr="00C86B34" w:rsidRDefault="00E95FB1" w:rsidP="001B3967">
            <w:pPr>
              <w:pStyle w:val="a7"/>
              <w:ind w:left="0"/>
              <w:rPr>
                <w:b/>
                <w:sz w:val="22"/>
                <w:lang w:val="uk-UA"/>
              </w:rPr>
            </w:pPr>
          </w:p>
        </w:tc>
        <w:tc>
          <w:tcPr>
            <w:tcW w:w="3780"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Середня вартість послуг</w:t>
            </w:r>
          </w:p>
        </w:tc>
        <w:tc>
          <w:tcPr>
            <w:tcW w:w="1858"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грн</w:t>
            </w:r>
          </w:p>
        </w:tc>
        <w:tc>
          <w:tcPr>
            <w:tcW w:w="1556"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безкоштовно</w:t>
            </w:r>
          </w:p>
        </w:tc>
      </w:tr>
      <w:tr w:rsidR="00E95FB1" w:rsidRPr="00C86B34" w:rsidTr="001B3967">
        <w:trPr>
          <w:trHeight w:val="165"/>
        </w:trPr>
        <w:tc>
          <w:tcPr>
            <w:tcW w:w="2694" w:type="dxa"/>
            <w:shd w:val="clear" w:color="auto" w:fill="C6D9F1" w:themeFill="text2" w:themeFillTint="33"/>
          </w:tcPr>
          <w:p w:rsidR="00E95FB1" w:rsidRPr="00C86B34" w:rsidRDefault="00E95FB1" w:rsidP="001B3967">
            <w:pPr>
              <w:pStyle w:val="a7"/>
              <w:ind w:left="0"/>
              <w:rPr>
                <w:b/>
                <w:sz w:val="22"/>
                <w:lang w:val="uk-UA"/>
              </w:rPr>
            </w:pPr>
          </w:p>
        </w:tc>
        <w:tc>
          <w:tcPr>
            <w:tcW w:w="3780"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Термін надання послуги</w:t>
            </w:r>
          </w:p>
        </w:tc>
        <w:tc>
          <w:tcPr>
            <w:tcW w:w="1858"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років</w:t>
            </w:r>
          </w:p>
        </w:tc>
        <w:tc>
          <w:tcPr>
            <w:tcW w:w="1556"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Від 1 до 120</w:t>
            </w:r>
          </w:p>
        </w:tc>
      </w:tr>
      <w:tr w:rsidR="00E95FB1" w:rsidRPr="00C86B34" w:rsidTr="001B3967">
        <w:trPr>
          <w:trHeight w:val="165"/>
        </w:trPr>
        <w:tc>
          <w:tcPr>
            <w:tcW w:w="2694" w:type="dxa"/>
            <w:shd w:val="clear" w:color="auto" w:fill="C6D9F1" w:themeFill="text2" w:themeFillTint="33"/>
          </w:tcPr>
          <w:p w:rsidR="00E95FB1" w:rsidRPr="00C86B34" w:rsidRDefault="00E95FB1" w:rsidP="001B3967">
            <w:pPr>
              <w:pStyle w:val="a7"/>
              <w:ind w:left="0"/>
              <w:rPr>
                <w:b/>
                <w:sz w:val="22"/>
                <w:lang w:val="uk-UA"/>
              </w:rPr>
            </w:pPr>
          </w:p>
        </w:tc>
        <w:tc>
          <w:tcPr>
            <w:tcW w:w="3780" w:type="dxa"/>
            <w:gridSpan w:val="3"/>
            <w:tcBorders>
              <w:top w:val="single" w:sz="4" w:space="0" w:color="auto"/>
              <w:bottom w:val="single" w:sz="4" w:space="0" w:color="auto"/>
              <w:right w:val="single" w:sz="4" w:space="0" w:color="auto"/>
            </w:tcBorders>
          </w:tcPr>
          <w:p w:rsidR="00E95FB1" w:rsidRPr="00C86B34" w:rsidRDefault="00E95FB1" w:rsidP="00861C72">
            <w:pPr>
              <w:pStyle w:val="a7"/>
              <w:ind w:left="0"/>
              <w:jc w:val="center"/>
              <w:rPr>
                <w:sz w:val="22"/>
                <w:lang w:val="uk-UA"/>
              </w:rPr>
            </w:pPr>
            <w:r w:rsidRPr="00C86B34">
              <w:rPr>
                <w:sz w:val="22"/>
                <w:lang w:val="uk-UA"/>
              </w:rPr>
              <w:t>Кількість населених пунктів, як</w:t>
            </w:r>
            <w:r w:rsidR="00861C72" w:rsidRPr="00C86B34">
              <w:rPr>
                <w:sz w:val="22"/>
                <w:lang w:val="uk-UA"/>
              </w:rPr>
              <w:t>і</w:t>
            </w:r>
            <w:r w:rsidRPr="00C86B34">
              <w:rPr>
                <w:sz w:val="22"/>
                <w:lang w:val="uk-UA"/>
              </w:rPr>
              <w:t xml:space="preserve"> обслуговує заклад</w:t>
            </w:r>
          </w:p>
        </w:tc>
        <w:tc>
          <w:tcPr>
            <w:tcW w:w="1858"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556"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20</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 xml:space="preserve">Ключові заходи проекту: </w:t>
            </w:r>
          </w:p>
          <w:p w:rsidR="00E95FB1" w:rsidRPr="00C86B34" w:rsidRDefault="00E95FB1" w:rsidP="001B3967">
            <w:pPr>
              <w:pStyle w:val="a7"/>
              <w:ind w:left="0"/>
              <w:rPr>
                <w:b/>
                <w:sz w:val="22"/>
                <w:lang w:val="uk-UA"/>
              </w:rPr>
            </w:pPr>
          </w:p>
        </w:tc>
        <w:tc>
          <w:tcPr>
            <w:tcW w:w="7194" w:type="dxa"/>
            <w:gridSpan w:val="7"/>
          </w:tcPr>
          <w:p w:rsidR="00E95FB1" w:rsidRPr="00C86B34" w:rsidRDefault="00E95FB1" w:rsidP="001B3967">
            <w:pPr>
              <w:pStyle w:val="a7"/>
              <w:ind w:left="0"/>
              <w:rPr>
                <w:sz w:val="22"/>
                <w:lang w:val="uk-UA"/>
              </w:rPr>
            </w:pPr>
            <w:r w:rsidRPr="00C86B34">
              <w:rPr>
                <w:sz w:val="22"/>
                <w:lang w:val="uk-UA"/>
              </w:rPr>
              <w:t>- обстеження об’єкта нерухомості;</w:t>
            </w:r>
          </w:p>
          <w:p w:rsidR="00E95FB1" w:rsidRPr="00C86B34" w:rsidRDefault="00E95FB1" w:rsidP="001B3967">
            <w:pPr>
              <w:pStyle w:val="a7"/>
              <w:ind w:left="0"/>
              <w:rPr>
                <w:sz w:val="22"/>
                <w:lang w:val="uk-UA"/>
              </w:rPr>
            </w:pPr>
            <w:r w:rsidRPr="00C86B34">
              <w:rPr>
                <w:sz w:val="22"/>
                <w:lang w:val="uk-UA"/>
              </w:rPr>
              <w:t>- пошук інвестора;</w:t>
            </w:r>
          </w:p>
          <w:p w:rsidR="00E95FB1" w:rsidRPr="00C86B34" w:rsidRDefault="00E95FB1" w:rsidP="001B3967">
            <w:pPr>
              <w:pStyle w:val="a7"/>
              <w:ind w:left="0"/>
              <w:rPr>
                <w:sz w:val="22"/>
                <w:lang w:val="uk-UA"/>
              </w:rPr>
            </w:pPr>
            <w:r w:rsidRPr="00C86B34">
              <w:rPr>
                <w:sz w:val="22"/>
                <w:lang w:val="uk-UA"/>
              </w:rPr>
              <w:t xml:space="preserve">- розробка </w:t>
            </w:r>
            <w:proofErr w:type="spellStart"/>
            <w:r w:rsidRPr="00C86B34">
              <w:rPr>
                <w:sz w:val="22"/>
                <w:lang w:val="uk-UA"/>
              </w:rPr>
              <w:t>про</w:t>
            </w:r>
            <w:r w:rsidR="00DE533C" w:rsidRPr="00C86B34">
              <w:rPr>
                <w:sz w:val="22"/>
                <w:lang w:val="uk-UA"/>
              </w:rPr>
              <w:t>є</w:t>
            </w:r>
            <w:r w:rsidRPr="00C86B34">
              <w:rPr>
                <w:sz w:val="22"/>
                <w:lang w:val="uk-UA"/>
              </w:rPr>
              <w:t>ктно</w:t>
            </w:r>
            <w:proofErr w:type="spellEnd"/>
            <w:r w:rsidRPr="00C86B34">
              <w:rPr>
                <w:sz w:val="22"/>
                <w:lang w:val="uk-UA"/>
              </w:rPr>
              <w:t>-кошторисної документації;</w:t>
            </w:r>
          </w:p>
          <w:p w:rsidR="00E95FB1" w:rsidRPr="00C86B34" w:rsidRDefault="00E95FB1" w:rsidP="001B3967">
            <w:pPr>
              <w:pStyle w:val="a7"/>
              <w:ind w:left="0"/>
              <w:rPr>
                <w:sz w:val="22"/>
                <w:lang w:val="uk-UA"/>
              </w:rPr>
            </w:pPr>
            <w:r w:rsidRPr="00C86B34">
              <w:rPr>
                <w:sz w:val="22"/>
                <w:lang w:val="uk-UA"/>
              </w:rPr>
              <w:t>- укладення договору про будівництво із підрядною організацією;</w:t>
            </w:r>
          </w:p>
          <w:p w:rsidR="00E95FB1" w:rsidRPr="00C86B34" w:rsidRDefault="00E95FB1" w:rsidP="001B3967">
            <w:pPr>
              <w:pStyle w:val="a7"/>
              <w:ind w:left="0"/>
              <w:rPr>
                <w:sz w:val="22"/>
                <w:lang w:val="uk-UA"/>
              </w:rPr>
            </w:pPr>
            <w:r w:rsidRPr="00C86B34">
              <w:rPr>
                <w:sz w:val="22"/>
                <w:lang w:val="uk-UA"/>
              </w:rPr>
              <w:t>- організація та початок робочого процесу.</w:t>
            </w:r>
          </w:p>
        </w:tc>
      </w:tr>
      <w:tr w:rsidR="00E95FB1" w:rsidRPr="00C86B34" w:rsidTr="001B3967">
        <w:trPr>
          <w:trHeight w:val="360"/>
        </w:trPr>
        <w:tc>
          <w:tcPr>
            <w:tcW w:w="2694" w:type="dxa"/>
            <w:vMerge w:val="restart"/>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lastRenderedPageBreak/>
              <w:t>Орієнтовний обсяг та джерела фінансування, тис. грн.</w:t>
            </w:r>
          </w:p>
          <w:p w:rsidR="00E95FB1" w:rsidRPr="00C86B34" w:rsidRDefault="00E95FB1" w:rsidP="001B3967">
            <w:pPr>
              <w:pStyle w:val="a7"/>
              <w:ind w:left="0"/>
              <w:rPr>
                <w:b/>
                <w:sz w:val="22"/>
                <w:lang w:val="uk-UA"/>
              </w:rPr>
            </w:pPr>
          </w:p>
          <w:p w:rsidR="00E95FB1" w:rsidRPr="00C86B34" w:rsidRDefault="00E95FB1" w:rsidP="001B3967">
            <w:pPr>
              <w:pStyle w:val="a7"/>
              <w:ind w:left="0"/>
              <w:rPr>
                <w:b/>
                <w:sz w:val="22"/>
                <w:lang w:val="uk-UA"/>
              </w:rPr>
            </w:pPr>
          </w:p>
          <w:tbl>
            <w:tblPr>
              <w:tblStyle w:val="af"/>
              <w:tblW w:w="2156" w:type="dxa"/>
              <w:tblLook w:val="04A0" w:firstRow="1" w:lastRow="0" w:firstColumn="1" w:lastColumn="0" w:noHBand="0" w:noVBand="1"/>
            </w:tblPr>
            <w:tblGrid>
              <w:gridCol w:w="2156"/>
            </w:tblGrid>
            <w:tr w:rsidR="00E95FB1" w:rsidRPr="00C86B34" w:rsidTr="001B3967">
              <w:tc>
                <w:tcPr>
                  <w:tcW w:w="2156" w:type="dxa"/>
                </w:tcPr>
                <w:p w:rsidR="00E95FB1" w:rsidRPr="00C86B34" w:rsidRDefault="00E95FB1" w:rsidP="001B3967">
                  <w:pPr>
                    <w:rPr>
                      <w:color w:val="000000"/>
                      <w:sz w:val="22"/>
                      <w:lang w:val="uk-UA"/>
                    </w:rPr>
                  </w:pPr>
                  <w:r w:rsidRPr="00C86B34">
                    <w:rPr>
                      <w:color w:val="000000"/>
                      <w:sz w:val="22"/>
                      <w:lang w:val="uk-UA"/>
                    </w:rPr>
                    <w:t>Сєвєродонецьк</w:t>
                  </w:r>
                </w:p>
              </w:tc>
            </w:tr>
            <w:tr w:rsidR="00E95FB1" w:rsidRPr="00C86B34" w:rsidTr="001B3967">
              <w:tc>
                <w:tcPr>
                  <w:tcW w:w="2156" w:type="dxa"/>
                </w:tcPr>
                <w:p w:rsidR="00E95FB1" w:rsidRPr="00C86B34" w:rsidRDefault="00E95FB1" w:rsidP="001B3967">
                  <w:pPr>
                    <w:rPr>
                      <w:color w:val="000000"/>
                      <w:sz w:val="22"/>
                      <w:lang w:val="uk-UA"/>
                    </w:rPr>
                  </w:pPr>
                  <w:r w:rsidRPr="00C86B34">
                    <w:rPr>
                      <w:color w:val="000000"/>
                      <w:sz w:val="22"/>
                      <w:lang w:val="uk-UA"/>
                    </w:rPr>
                    <w:t>Борівське</w:t>
                  </w:r>
                </w:p>
              </w:tc>
            </w:tr>
            <w:tr w:rsidR="00E95FB1" w:rsidRPr="00C86B34" w:rsidTr="001B3967">
              <w:tc>
                <w:tcPr>
                  <w:tcW w:w="2156" w:type="dxa"/>
                </w:tcPr>
                <w:p w:rsidR="00E95FB1" w:rsidRPr="00C86B34" w:rsidRDefault="00E95FB1" w:rsidP="001B3967">
                  <w:pPr>
                    <w:rPr>
                      <w:color w:val="000000"/>
                      <w:sz w:val="22"/>
                      <w:lang w:val="uk-UA"/>
                    </w:rPr>
                  </w:pPr>
                  <w:r w:rsidRPr="00C86B34">
                    <w:rPr>
                      <w:color w:val="000000"/>
                      <w:sz w:val="22"/>
                      <w:lang w:val="uk-UA"/>
                    </w:rPr>
                    <w:t>Нова Астрахань</w:t>
                  </w:r>
                </w:p>
              </w:tc>
            </w:tr>
            <w:tr w:rsidR="00E95FB1" w:rsidRPr="00C86B34" w:rsidTr="001B3967">
              <w:tc>
                <w:tcPr>
                  <w:tcW w:w="2156" w:type="dxa"/>
                </w:tcPr>
                <w:p w:rsidR="00E95FB1" w:rsidRPr="00C86B34" w:rsidRDefault="00E95FB1" w:rsidP="001B3967">
                  <w:pPr>
                    <w:rPr>
                      <w:color w:val="000000"/>
                      <w:sz w:val="22"/>
                      <w:lang w:val="uk-UA"/>
                    </w:rPr>
                  </w:pPr>
                  <w:proofErr w:type="spellStart"/>
                  <w:r w:rsidRPr="00C86B34">
                    <w:rPr>
                      <w:color w:val="000000"/>
                      <w:sz w:val="22"/>
                      <w:lang w:val="uk-UA"/>
                    </w:rPr>
                    <w:t>Єпіфанівка</w:t>
                  </w:r>
                  <w:proofErr w:type="spellEnd"/>
                </w:p>
              </w:tc>
            </w:tr>
            <w:tr w:rsidR="00E95FB1" w:rsidRPr="00C86B34" w:rsidTr="001B3967">
              <w:tc>
                <w:tcPr>
                  <w:tcW w:w="2156" w:type="dxa"/>
                </w:tcPr>
                <w:p w:rsidR="00E95FB1" w:rsidRPr="00C86B34" w:rsidRDefault="00E95FB1" w:rsidP="001B3967">
                  <w:pPr>
                    <w:rPr>
                      <w:color w:val="000000"/>
                      <w:sz w:val="22"/>
                      <w:lang w:val="uk-UA"/>
                    </w:rPr>
                  </w:pPr>
                  <w:proofErr w:type="spellStart"/>
                  <w:r w:rsidRPr="00C86B34">
                    <w:rPr>
                      <w:color w:val="000000"/>
                      <w:sz w:val="22"/>
                      <w:lang w:val="uk-UA"/>
                    </w:rPr>
                    <w:t>Боровеньки</w:t>
                  </w:r>
                  <w:proofErr w:type="spellEnd"/>
                </w:p>
              </w:tc>
            </w:tr>
            <w:tr w:rsidR="00E95FB1" w:rsidRPr="00C86B34" w:rsidTr="001B3967">
              <w:tc>
                <w:tcPr>
                  <w:tcW w:w="2156" w:type="dxa"/>
                </w:tcPr>
                <w:p w:rsidR="00E95FB1" w:rsidRPr="00C86B34" w:rsidRDefault="00E95FB1" w:rsidP="001B3967">
                  <w:pPr>
                    <w:rPr>
                      <w:color w:val="000000"/>
                      <w:sz w:val="22"/>
                      <w:lang w:val="uk-UA"/>
                    </w:rPr>
                  </w:pPr>
                  <w:r w:rsidRPr="00C86B34">
                    <w:rPr>
                      <w:color w:val="000000"/>
                      <w:sz w:val="22"/>
                      <w:lang w:val="uk-UA"/>
                    </w:rPr>
                    <w:t>Чабанівка</w:t>
                  </w:r>
                </w:p>
              </w:tc>
            </w:tr>
            <w:tr w:rsidR="00E95FB1" w:rsidRPr="00C86B34" w:rsidTr="001B3967">
              <w:tc>
                <w:tcPr>
                  <w:tcW w:w="2156" w:type="dxa"/>
                </w:tcPr>
                <w:p w:rsidR="00E95FB1" w:rsidRPr="00C86B34" w:rsidRDefault="00E95FB1" w:rsidP="001B3967">
                  <w:pPr>
                    <w:rPr>
                      <w:color w:val="000000"/>
                      <w:sz w:val="22"/>
                      <w:lang w:val="uk-UA"/>
                    </w:rPr>
                  </w:pPr>
                  <w:proofErr w:type="spellStart"/>
                  <w:r w:rsidRPr="00C86B34">
                    <w:rPr>
                      <w:color w:val="000000"/>
                      <w:sz w:val="22"/>
                      <w:lang w:val="uk-UA"/>
                    </w:rPr>
                    <w:t>Смолянинове</w:t>
                  </w:r>
                  <w:proofErr w:type="spellEnd"/>
                </w:p>
              </w:tc>
            </w:tr>
          </w:tbl>
          <w:p w:rsidR="00E95FB1" w:rsidRPr="00C86B34" w:rsidRDefault="00E95FB1" w:rsidP="001B3967">
            <w:pPr>
              <w:pStyle w:val="a7"/>
              <w:ind w:left="0"/>
              <w:rPr>
                <w:b/>
                <w:sz w:val="22"/>
                <w:lang w:val="uk-UA"/>
              </w:rPr>
            </w:pPr>
          </w:p>
        </w:tc>
        <w:tc>
          <w:tcPr>
            <w:tcW w:w="2107" w:type="dxa"/>
            <w:tcBorders>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Державний бюджет</w:t>
            </w:r>
          </w:p>
        </w:tc>
        <w:tc>
          <w:tcPr>
            <w:tcW w:w="1267" w:type="dxa"/>
            <w:tcBorders>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Місцевий бюджет</w:t>
            </w:r>
          </w:p>
          <w:p w:rsidR="00E95FB1" w:rsidRPr="00C86B34" w:rsidRDefault="00E95FB1" w:rsidP="001B3967">
            <w:pPr>
              <w:pStyle w:val="a7"/>
              <w:ind w:left="0"/>
              <w:jc w:val="center"/>
              <w:rPr>
                <w:b/>
                <w:sz w:val="22"/>
                <w:lang w:val="uk-UA"/>
              </w:rPr>
            </w:pPr>
            <w:proofErr w:type="spellStart"/>
            <w:r w:rsidRPr="00C86B34">
              <w:rPr>
                <w:b/>
                <w:sz w:val="22"/>
                <w:lang w:val="uk-UA"/>
              </w:rPr>
              <w:t>тис.грн</w:t>
            </w:r>
            <w:proofErr w:type="spellEnd"/>
          </w:p>
        </w:tc>
        <w:tc>
          <w:tcPr>
            <w:tcW w:w="2322" w:type="dxa"/>
            <w:gridSpan w:val="4"/>
            <w:tcBorders>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Інші джерела</w:t>
            </w:r>
          </w:p>
          <w:p w:rsidR="00E95FB1" w:rsidRPr="00C86B34" w:rsidRDefault="00E95FB1" w:rsidP="001B3967">
            <w:pPr>
              <w:pStyle w:val="a7"/>
              <w:ind w:left="0"/>
              <w:jc w:val="center"/>
              <w:rPr>
                <w:b/>
                <w:sz w:val="22"/>
                <w:lang w:val="uk-UA"/>
              </w:rPr>
            </w:pPr>
            <w:proofErr w:type="spellStart"/>
            <w:r w:rsidRPr="00C86B34">
              <w:rPr>
                <w:b/>
                <w:sz w:val="22"/>
                <w:lang w:val="uk-UA"/>
              </w:rPr>
              <w:t>тис.грн</w:t>
            </w:r>
            <w:proofErr w:type="spellEnd"/>
          </w:p>
        </w:tc>
        <w:tc>
          <w:tcPr>
            <w:tcW w:w="1498" w:type="dxa"/>
            <w:tcBorders>
              <w:left w:val="single" w:sz="4" w:space="0" w:color="auto"/>
              <w:bottom w:val="single" w:sz="4" w:space="0" w:color="auto"/>
            </w:tcBorders>
          </w:tcPr>
          <w:p w:rsidR="00E95FB1" w:rsidRPr="00C86B34" w:rsidRDefault="00E95FB1" w:rsidP="001B3967">
            <w:pPr>
              <w:pStyle w:val="a7"/>
              <w:ind w:left="0"/>
              <w:jc w:val="center"/>
              <w:rPr>
                <w:b/>
                <w:sz w:val="22"/>
                <w:lang w:val="uk-UA"/>
              </w:rPr>
            </w:pPr>
            <w:r w:rsidRPr="00C86B34">
              <w:rPr>
                <w:b/>
                <w:sz w:val="22"/>
                <w:lang w:val="uk-UA"/>
              </w:rPr>
              <w:t>Всього</w:t>
            </w:r>
          </w:p>
          <w:p w:rsidR="00E95FB1" w:rsidRPr="00C86B34" w:rsidRDefault="00E95FB1" w:rsidP="001B3967">
            <w:pPr>
              <w:pStyle w:val="a7"/>
              <w:ind w:left="0"/>
              <w:jc w:val="center"/>
              <w:rPr>
                <w:b/>
                <w:sz w:val="22"/>
                <w:lang w:val="uk-UA"/>
              </w:rPr>
            </w:pPr>
            <w:proofErr w:type="spellStart"/>
            <w:r w:rsidRPr="00C86B34">
              <w:rPr>
                <w:b/>
                <w:sz w:val="22"/>
                <w:lang w:val="uk-UA"/>
              </w:rPr>
              <w:t>тис.грн</w:t>
            </w:r>
            <w:proofErr w:type="spellEnd"/>
          </w:p>
        </w:tc>
      </w:tr>
      <w:tr w:rsidR="00E95FB1" w:rsidRPr="00C86B34" w:rsidTr="001B3967">
        <w:trPr>
          <w:trHeight w:val="22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2107" w:type="dxa"/>
            <w:vMerge w:val="restart"/>
            <w:tcBorders>
              <w:top w:val="single" w:sz="4" w:space="0" w:color="auto"/>
              <w:right w:val="single" w:sz="4" w:space="0" w:color="auto"/>
            </w:tcBorders>
          </w:tcPr>
          <w:p w:rsidR="00E95FB1" w:rsidRPr="00C86B34" w:rsidRDefault="00E95FB1" w:rsidP="001B3967">
            <w:pPr>
              <w:pStyle w:val="a7"/>
              <w:ind w:left="0"/>
              <w:jc w:val="center"/>
              <w:rPr>
                <w:b/>
                <w:sz w:val="22"/>
                <w:lang w:val="uk-UA"/>
              </w:rPr>
            </w:pPr>
          </w:p>
          <w:p w:rsidR="00E95FB1" w:rsidRPr="00C86B34" w:rsidRDefault="00E95FB1" w:rsidP="001B3967">
            <w:pPr>
              <w:pStyle w:val="a7"/>
              <w:ind w:left="0"/>
              <w:jc w:val="center"/>
              <w:rPr>
                <w:b/>
                <w:sz w:val="22"/>
                <w:lang w:val="uk-UA"/>
              </w:rPr>
            </w:pPr>
          </w:p>
          <w:p w:rsidR="00E95FB1" w:rsidRPr="00C86B34" w:rsidRDefault="00E95FB1" w:rsidP="001B3967">
            <w:pPr>
              <w:pStyle w:val="a7"/>
              <w:ind w:left="0"/>
              <w:jc w:val="center"/>
              <w:rPr>
                <w:sz w:val="22"/>
                <w:lang w:val="uk-UA"/>
              </w:rPr>
            </w:pPr>
            <w:r w:rsidRPr="00C86B34">
              <w:rPr>
                <w:sz w:val="22"/>
                <w:lang w:val="uk-UA"/>
              </w:rPr>
              <w:t>101000,0</w:t>
            </w:r>
          </w:p>
          <w:p w:rsidR="00E95FB1" w:rsidRPr="00C86B34" w:rsidRDefault="00E95FB1" w:rsidP="001B3967">
            <w:pPr>
              <w:pStyle w:val="a7"/>
              <w:ind w:left="0"/>
              <w:jc w:val="center"/>
              <w:rPr>
                <w:sz w:val="22"/>
                <w:lang w:val="uk-UA"/>
              </w:rPr>
            </w:pPr>
            <w:r w:rsidRPr="00C86B34">
              <w:rPr>
                <w:sz w:val="22"/>
                <w:lang w:val="uk-UA"/>
              </w:rPr>
              <w:t>41000,00</w:t>
            </w:r>
          </w:p>
          <w:p w:rsidR="00E95FB1" w:rsidRPr="00C86B34" w:rsidRDefault="00E95FB1" w:rsidP="001B3967">
            <w:pPr>
              <w:pStyle w:val="a7"/>
              <w:ind w:left="0"/>
              <w:jc w:val="center"/>
              <w:rPr>
                <w:sz w:val="22"/>
                <w:lang w:val="uk-UA"/>
              </w:rPr>
            </w:pPr>
            <w:r w:rsidRPr="00C86B34">
              <w:rPr>
                <w:sz w:val="22"/>
                <w:lang w:val="uk-UA"/>
              </w:rPr>
              <w:t>10000,00</w:t>
            </w:r>
          </w:p>
          <w:p w:rsidR="00E95FB1" w:rsidRPr="00C86B34" w:rsidRDefault="00E95FB1" w:rsidP="001B3967">
            <w:pPr>
              <w:pStyle w:val="a7"/>
              <w:ind w:left="0"/>
              <w:jc w:val="center"/>
              <w:rPr>
                <w:sz w:val="22"/>
                <w:lang w:val="uk-UA"/>
              </w:rPr>
            </w:pPr>
            <w:r w:rsidRPr="00C86B34">
              <w:rPr>
                <w:sz w:val="22"/>
                <w:lang w:val="uk-UA"/>
              </w:rPr>
              <w:t>10000,00</w:t>
            </w:r>
          </w:p>
          <w:p w:rsidR="00E95FB1" w:rsidRPr="00C86B34" w:rsidRDefault="00E95FB1" w:rsidP="001B3967">
            <w:pPr>
              <w:pStyle w:val="a7"/>
              <w:ind w:left="0"/>
              <w:jc w:val="center"/>
              <w:rPr>
                <w:sz w:val="22"/>
                <w:lang w:val="uk-UA"/>
              </w:rPr>
            </w:pPr>
            <w:r w:rsidRPr="00C86B34">
              <w:rPr>
                <w:sz w:val="22"/>
                <w:lang w:val="uk-UA"/>
              </w:rPr>
              <w:t>10000,00</w:t>
            </w:r>
          </w:p>
          <w:p w:rsidR="00E95FB1" w:rsidRPr="00C86B34" w:rsidRDefault="00E95FB1" w:rsidP="001B3967">
            <w:pPr>
              <w:pStyle w:val="a7"/>
              <w:ind w:left="0"/>
              <w:jc w:val="center"/>
              <w:rPr>
                <w:sz w:val="22"/>
                <w:lang w:val="uk-UA"/>
              </w:rPr>
            </w:pPr>
            <w:r w:rsidRPr="00C86B34">
              <w:rPr>
                <w:sz w:val="22"/>
                <w:lang w:val="uk-UA"/>
              </w:rPr>
              <w:t>10000,00</w:t>
            </w:r>
          </w:p>
          <w:p w:rsidR="00E95FB1" w:rsidRPr="00C86B34" w:rsidRDefault="00E95FB1" w:rsidP="001B3967">
            <w:pPr>
              <w:pStyle w:val="a7"/>
              <w:ind w:left="0"/>
              <w:jc w:val="center"/>
              <w:rPr>
                <w:sz w:val="22"/>
                <w:lang w:val="uk-UA"/>
              </w:rPr>
            </w:pPr>
            <w:r w:rsidRPr="00C86B34">
              <w:rPr>
                <w:sz w:val="22"/>
                <w:lang w:val="uk-UA"/>
              </w:rPr>
              <w:t>10000,00</w:t>
            </w:r>
          </w:p>
          <w:p w:rsidR="00E95FB1" w:rsidRPr="00C86B34" w:rsidRDefault="00E95FB1" w:rsidP="001B3967">
            <w:pPr>
              <w:pStyle w:val="a7"/>
              <w:ind w:left="0"/>
              <w:jc w:val="center"/>
              <w:rPr>
                <w:b/>
                <w:sz w:val="22"/>
                <w:lang w:val="uk-UA"/>
              </w:rPr>
            </w:pPr>
            <w:r w:rsidRPr="00C86B34">
              <w:rPr>
                <w:sz w:val="22"/>
                <w:lang w:val="uk-UA"/>
              </w:rPr>
              <w:t>10000,00</w:t>
            </w:r>
          </w:p>
        </w:tc>
        <w:tc>
          <w:tcPr>
            <w:tcW w:w="1267" w:type="dxa"/>
            <w:vMerge w:val="restart"/>
            <w:tcBorders>
              <w:top w:val="single" w:sz="4" w:space="0" w:color="auto"/>
              <w:right w:val="single" w:sz="4" w:space="0" w:color="auto"/>
            </w:tcBorders>
          </w:tcPr>
          <w:p w:rsidR="00E95FB1" w:rsidRPr="00C86B34" w:rsidRDefault="00E95FB1" w:rsidP="001B3967">
            <w:pPr>
              <w:pStyle w:val="a7"/>
              <w:ind w:left="0"/>
              <w:jc w:val="center"/>
              <w:rPr>
                <w:b/>
                <w:sz w:val="22"/>
                <w:lang w:val="uk-UA"/>
              </w:rPr>
            </w:pPr>
            <w:proofErr w:type="spellStart"/>
            <w:r w:rsidRPr="00C86B34">
              <w:rPr>
                <w:b/>
                <w:sz w:val="22"/>
                <w:lang w:val="uk-UA"/>
              </w:rPr>
              <w:t>Проєкти</w:t>
            </w:r>
            <w:proofErr w:type="spellEnd"/>
          </w:p>
          <w:p w:rsidR="00E95FB1" w:rsidRPr="00C86B34" w:rsidRDefault="00E95FB1" w:rsidP="001B3967">
            <w:pPr>
              <w:pStyle w:val="a7"/>
              <w:ind w:left="0"/>
              <w:jc w:val="center"/>
              <w:rPr>
                <w:sz w:val="22"/>
                <w:lang w:val="uk-UA"/>
              </w:rPr>
            </w:pPr>
            <w:r w:rsidRPr="00C86B34">
              <w:rPr>
                <w:sz w:val="22"/>
                <w:lang w:val="uk-UA"/>
              </w:rPr>
              <w:t>5000,00</w:t>
            </w:r>
          </w:p>
          <w:p w:rsidR="00E95FB1" w:rsidRPr="00C86B34" w:rsidRDefault="00E95FB1" w:rsidP="001B3967">
            <w:pPr>
              <w:pStyle w:val="a7"/>
              <w:ind w:left="0"/>
              <w:jc w:val="center"/>
              <w:rPr>
                <w:sz w:val="22"/>
                <w:lang w:val="uk-UA"/>
              </w:rPr>
            </w:pPr>
          </w:p>
          <w:p w:rsidR="00E95FB1" w:rsidRPr="00C86B34" w:rsidRDefault="00E95FB1" w:rsidP="001B3967">
            <w:pPr>
              <w:pStyle w:val="a7"/>
              <w:ind w:left="0"/>
              <w:jc w:val="center"/>
              <w:rPr>
                <w:sz w:val="22"/>
                <w:lang w:val="uk-UA"/>
              </w:rPr>
            </w:pPr>
            <w:r w:rsidRPr="00C86B34">
              <w:rPr>
                <w:sz w:val="22"/>
                <w:lang w:val="uk-UA"/>
              </w:rPr>
              <w:t>2000,0</w:t>
            </w:r>
          </w:p>
          <w:p w:rsidR="00E95FB1" w:rsidRPr="00C86B34" w:rsidRDefault="00E95FB1" w:rsidP="001B3967">
            <w:pPr>
              <w:pStyle w:val="a7"/>
              <w:ind w:left="0"/>
              <w:jc w:val="center"/>
              <w:rPr>
                <w:sz w:val="22"/>
                <w:lang w:val="uk-UA"/>
              </w:rPr>
            </w:pPr>
            <w:r w:rsidRPr="00C86B34">
              <w:rPr>
                <w:sz w:val="22"/>
                <w:lang w:val="uk-UA"/>
              </w:rPr>
              <w:t>500,0</w:t>
            </w:r>
          </w:p>
          <w:p w:rsidR="00E95FB1" w:rsidRPr="00C86B34" w:rsidRDefault="00E95FB1" w:rsidP="001B3967">
            <w:pPr>
              <w:pStyle w:val="a7"/>
              <w:ind w:left="0"/>
              <w:jc w:val="center"/>
              <w:rPr>
                <w:sz w:val="22"/>
                <w:lang w:val="uk-UA"/>
              </w:rPr>
            </w:pPr>
            <w:r w:rsidRPr="00C86B34">
              <w:rPr>
                <w:sz w:val="22"/>
                <w:lang w:val="uk-UA"/>
              </w:rPr>
              <w:t>500,0</w:t>
            </w:r>
          </w:p>
          <w:p w:rsidR="00E95FB1" w:rsidRPr="00C86B34" w:rsidRDefault="00E95FB1" w:rsidP="001B3967">
            <w:pPr>
              <w:pStyle w:val="a7"/>
              <w:ind w:left="0"/>
              <w:jc w:val="center"/>
              <w:rPr>
                <w:sz w:val="22"/>
                <w:lang w:val="uk-UA"/>
              </w:rPr>
            </w:pPr>
            <w:r w:rsidRPr="00C86B34">
              <w:rPr>
                <w:sz w:val="22"/>
                <w:lang w:val="uk-UA"/>
              </w:rPr>
              <w:t>500,0</w:t>
            </w:r>
          </w:p>
          <w:p w:rsidR="00E95FB1" w:rsidRPr="00C86B34" w:rsidRDefault="00E95FB1" w:rsidP="001B3967">
            <w:pPr>
              <w:pStyle w:val="a7"/>
              <w:ind w:left="0"/>
              <w:jc w:val="center"/>
              <w:rPr>
                <w:sz w:val="22"/>
                <w:lang w:val="uk-UA"/>
              </w:rPr>
            </w:pPr>
            <w:r w:rsidRPr="00C86B34">
              <w:rPr>
                <w:sz w:val="22"/>
                <w:lang w:val="uk-UA"/>
              </w:rPr>
              <w:t>500,0</w:t>
            </w:r>
          </w:p>
          <w:p w:rsidR="00E95FB1" w:rsidRPr="00C86B34" w:rsidRDefault="00E95FB1" w:rsidP="001B3967">
            <w:pPr>
              <w:pStyle w:val="a7"/>
              <w:ind w:left="0"/>
              <w:jc w:val="center"/>
              <w:rPr>
                <w:sz w:val="22"/>
                <w:lang w:val="uk-UA"/>
              </w:rPr>
            </w:pPr>
            <w:r w:rsidRPr="00C86B34">
              <w:rPr>
                <w:sz w:val="22"/>
                <w:lang w:val="uk-UA"/>
              </w:rPr>
              <w:t>500,0</w:t>
            </w:r>
          </w:p>
          <w:p w:rsidR="00E95FB1" w:rsidRPr="00C86B34" w:rsidRDefault="00E95FB1" w:rsidP="001B3967">
            <w:pPr>
              <w:pStyle w:val="a7"/>
              <w:ind w:left="0"/>
              <w:jc w:val="center"/>
              <w:rPr>
                <w:sz w:val="22"/>
                <w:lang w:val="uk-UA"/>
              </w:rPr>
            </w:pPr>
            <w:r w:rsidRPr="00C86B34">
              <w:rPr>
                <w:sz w:val="22"/>
                <w:lang w:val="uk-UA"/>
              </w:rPr>
              <w:t>500,0</w:t>
            </w:r>
          </w:p>
        </w:tc>
        <w:tc>
          <w:tcPr>
            <w:tcW w:w="1064" w:type="dxa"/>
            <w:gridSpan w:val="2"/>
            <w:tcBorders>
              <w:top w:val="single" w:sz="4" w:space="0" w:color="auto"/>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Обсяг</w:t>
            </w:r>
          </w:p>
          <w:p w:rsidR="00E95FB1" w:rsidRPr="00C86B34" w:rsidRDefault="00E95FB1" w:rsidP="001B3967">
            <w:pPr>
              <w:pStyle w:val="a7"/>
              <w:ind w:left="0"/>
              <w:jc w:val="center"/>
              <w:rPr>
                <w:b/>
                <w:sz w:val="22"/>
                <w:lang w:val="uk-UA"/>
              </w:rPr>
            </w:pPr>
            <w:proofErr w:type="spellStart"/>
            <w:r w:rsidRPr="00C86B34">
              <w:rPr>
                <w:b/>
                <w:sz w:val="22"/>
                <w:lang w:val="uk-UA"/>
              </w:rPr>
              <w:t>тис.грн</w:t>
            </w:r>
            <w:proofErr w:type="spellEnd"/>
          </w:p>
        </w:tc>
        <w:tc>
          <w:tcPr>
            <w:tcW w:w="1258" w:type="dxa"/>
            <w:gridSpan w:val="2"/>
            <w:tcBorders>
              <w:top w:val="single" w:sz="4" w:space="0" w:color="auto"/>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Назва джерела</w:t>
            </w:r>
          </w:p>
        </w:tc>
        <w:tc>
          <w:tcPr>
            <w:tcW w:w="1498" w:type="dxa"/>
            <w:vMerge w:val="restart"/>
            <w:tcBorders>
              <w:top w:val="single" w:sz="4" w:space="0" w:color="auto"/>
              <w:left w:val="single" w:sz="4" w:space="0" w:color="auto"/>
            </w:tcBorders>
          </w:tcPr>
          <w:p w:rsidR="00E95FB1" w:rsidRPr="00C86B34" w:rsidRDefault="00E95FB1" w:rsidP="001B3967">
            <w:pPr>
              <w:pStyle w:val="a7"/>
              <w:ind w:left="0"/>
              <w:jc w:val="center"/>
              <w:rPr>
                <w:sz w:val="22"/>
                <w:lang w:val="uk-UA"/>
              </w:rPr>
            </w:pPr>
            <w:r w:rsidRPr="00C86B34">
              <w:rPr>
                <w:sz w:val="22"/>
                <w:lang w:val="uk-UA"/>
              </w:rPr>
              <w:t>106000,00</w:t>
            </w:r>
          </w:p>
        </w:tc>
      </w:tr>
      <w:tr w:rsidR="00E95FB1" w:rsidRPr="00C86B34" w:rsidTr="001B3967">
        <w:trPr>
          <w:trHeight w:val="300"/>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2107" w:type="dxa"/>
            <w:vMerge/>
            <w:tcBorders>
              <w:right w:val="single" w:sz="4" w:space="0" w:color="auto"/>
            </w:tcBorders>
          </w:tcPr>
          <w:p w:rsidR="00E95FB1" w:rsidRPr="00C86B34" w:rsidRDefault="00E95FB1" w:rsidP="001B3967">
            <w:pPr>
              <w:pStyle w:val="a7"/>
              <w:ind w:left="0"/>
              <w:jc w:val="center"/>
              <w:rPr>
                <w:sz w:val="22"/>
                <w:lang w:val="uk-UA"/>
              </w:rPr>
            </w:pPr>
          </w:p>
        </w:tc>
        <w:tc>
          <w:tcPr>
            <w:tcW w:w="1267" w:type="dxa"/>
            <w:vMerge/>
            <w:tcBorders>
              <w:right w:val="single" w:sz="4" w:space="0" w:color="auto"/>
            </w:tcBorders>
          </w:tcPr>
          <w:p w:rsidR="00E95FB1" w:rsidRPr="00C86B34" w:rsidRDefault="00E95FB1" w:rsidP="001B3967">
            <w:pPr>
              <w:pStyle w:val="a7"/>
              <w:ind w:left="0"/>
              <w:jc w:val="center"/>
              <w:rPr>
                <w:b/>
                <w:sz w:val="22"/>
                <w:lang w:val="uk-UA"/>
              </w:rPr>
            </w:pPr>
          </w:p>
        </w:tc>
        <w:tc>
          <w:tcPr>
            <w:tcW w:w="1064" w:type="dxa"/>
            <w:gridSpan w:val="2"/>
            <w:tcBorders>
              <w:top w:val="single" w:sz="4" w:space="0" w:color="auto"/>
              <w:left w:val="single" w:sz="4" w:space="0" w:color="auto"/>
              <w:right w:val="single" w:sz="4" w:space="0" w:color="auto"/>
            </w:tcBorders>
          </w:tcPr>
          <w:p w:rsidR="00E95FB1" w:rsidRPr="00C86B34" w:rsidRDefault="00E95FB1" w:rsidP="001B3967">
            <w:pPr>
              <w:pStyle w:val="a7"/>
              <w:ind w:left="0"/>
              <w:jc w:val="center"/>
              <w:rPr>
                <w:sz w:val="22"/>
                <w:lang w:val="uk-UA"/>
              </w:rPr>
            </w:pPr>
          </w:p>
        </w:tc>
        <w:tc>
          <w:tcPr>
            <w:tcW w:w="1258" w:type="dxa"/>
            <w:gridSpan w:val="2"/>
            <w:tcBorders>
              <w:top w:val="single" w:sz="4" w:space="0" w:color="auto"/>
              <w:left w:val="single" w:sz="4" w:space="0" w:color="auto"/>
              <w:right w:val="single" w:sz="4" w:space="0" w:color="auto"/>
            </w:tcBorders>
          </w:tcPr>
          <w:p w:rsidR="00E95FB1" w:rsidRPr="00C86B34" w:rsidRDefault="00E95FB1" w:rsidP="001B3967">
            <w:pPr>
              <w:pStyle w:val="a7"/>
              <w:ind w:left="0"/>
              <w:jc w:val="center"/>
              <w:rPr>
                <w:sz w:val="22"/>
                <w:lang w:val="uk-UA"/>
              </w:rPr>
            </w:pPr>
          </w:p>
        </w:tc>
        <w:tc>
          <w:tcPr>
            <w:tcW w:w="1498" w:type="dxa"/>
            <w:vMerge/>
            <w:tcBorders>
              <w:left w:val="single" w:sz="4" w:space="0" w:color="auto"/>
            </w:tcBorders>
          </w:tcPr>
          <w:p w:rsidR="00E95FB1" w:rsidRPr="00C86B34" w:rsidRDefault="00E95FB1" w:rsidP="001B3967">
            <w:pPr>
              <w:pStyle w:val="a7"/>
              <w:ind w:left="0"/>
              <w:jc w:val="center"/>
              <w:rPr>
                <w:sz w:val="22"/>
                <w:lang w:val="uk-UA"/>
              </w:rPr>
            </w:pPr>
          </w:p>
        </w:tc>
      </w:tr>
    </w:tbl>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tbl>
      <w:tblPr>
        <w:tblStyle w:val="af"/>
        <w:tblW w:w="0" w:type="auto"/>
        <w:tblInd w:w="-176" w:type="dxa"/>
        <w:tblLook w:val="04A0" w:firstRow="1" w:lastRow="0" w:firstColumn="1" w:lastColumn="0" w:noHBand="0" w:noVBand="1"/>
      </w:tblPr>
      <w:tblGrid>
        <w:gridCol w:w="2585"/>
        <w:gridCol w:w="1844"/>
        <w:gridCol w:w="1380"/>
        <w:gridCol w:w="643"/>
        <w:gridCol w:w="397"/>
        <w:gridCol w:w="1277"/>
        <w:gridCol w:w="65"/>
        <w:gridCol w:w="1471"/>
      </w:tblGrid>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Оперативна ціль/завдання</w:t>
            </w:r>
          </w:p>
        </w:tc>
        <w:tc>
          <w:tcPr>
            <w:tcW w:w="7194" w:type="dxa"/>
            <w:gridSpan w:val="7"/>
            <w:shd w:val="clear" w:color="auto" w:fill="auto"/>
          </w:tcPr>
          <w:p w:rsidR="00E95FB1" w:rsidRPr="00C86B34" w:rsidRDefault="00DE533C" w:rsidP="001B3967">
            <w:pPr>
              <w:pStyle w:val="a7"/>
              <w:ind w:left="0"/>
              <w:rPr>
                <w:sz w:val="22"/>
                <w:lang w:val="uk-UA"/>
              </w:rPr>
            </w:pPr>
            <w:r w:rsidRPr="00C86B34">
              <w:rPr>
                <w:rFonts w:eastAsia="Arial"/>
                <w:sz w:val="22"/>
                <w:lang w:val="uk-UA"/>
              </w:rPr>
              <w:t xml:space="preserve">Людський розвиток </w:t>
            </w:r>
            <w:r w:rsidR="00E95FB1" w:rsidRPr="00C86B34">
              <w:rPr>
                <w:rFonts w:eastAsia="Arial"/>
                <w:sz w:val="22"/>
                <w:lang w:val="uk-UA"/>
              </w:rPr>
              <w:t>через інновації управління та довіру до влади.</w:t>
            </w:r>
          </w:p>
          <w:p w:rsidR="00E95FB1" w:rsidRPr="00C86B34" w:rsidRDefault="00E95FB1" w:rsidP="001B3967">
            <w:pPr>
              <w:rPr>
                <w:rFonts w:eastAsia="Arial"/>
                <w:b/>
                <w:sz w:val="22"/>
                <w:lang w:val="uk-UA"/>
              </w:rPr>
            </w:pPr>
            <w:r w:rsidRPr="00C86B34">
              <w:rPr>
                <w:rFonts w:eastAsia="Arial"/>
                <w:sz w:val="22"/>
                <w:lang w:val="uk-UA"/>
              </w:rPr>
              <w:t xml:space="preserve">Формування сучасного інклюзивного </w:t>
            </w:r>
            <w:proofErr w:type="spellStart"/>
            <w:r w:rsidRPr="00C86B34">
              <w:rPr>
                <w:rFonts w:eastAsia="Arial"/>
                <w:sz w:val="22"/>
                <w:lang w:val="uk-UA"/>
              </w:rPr>
              <w:t>освітньо</w:t>
            </w:r>
            <w:proofErr w:type="spellEnd"/>
            <w:r w:rsidRPr="00C86B34">
              <w:rPr>
                <w:rFonts w:eastAsia="Arial"/>
                <w:sz w:val="22"/>
                <w:lang w:val="uk-UA"/>
              </w:rPr>
              <w:t xml:space="preserve"> – культурного та спортивного простору для розвитку.</w:t>
            </w:r>
            <w:r w:rsidRPr="00C86B34">
              <w:rPr>
                <w:b/>
                <w:sz w:val="22"/>
                <w:lang w:val="uk-UA"/>
              </w:rPr>
              <w:t xml:space="preserve"> </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Назва проекту:</w:t>
            </w:r>
          </w:p>
        </w:tc>
        <w:tc>
          <w:tcPr>
            <w:tcW w:w="7194" w:type="dxa"/>
            <w:gridSpan w:val="7"/>
          </w:tcPr>
          <w:p w:rsidR="00E95FB1" w:rsidRPr="00C86B34" w:rsidRDefault="00E95FB1" w:rsidP="001B3967">
            <w:pPr>
              <w:pStyle w:val="a7"/>
              <w:ind w:left="0"/>
              <w:rPr>
                <w:sz w:val="22"/>
                <w:lang w:val="uk-UA"/>
              </w:rPr>
            </w:pPr>
            <w:r w:rsidRPr="00C86B34">
              <w:rPr>
                <w:sz w:val="22"/>
                <w:lang w:val="uk-UA"/>
              </w:rPr>
              <w:t xml:space="preserve">Відновлення та відбудова будівель Комунального Закладу «Сєвєродонецька міська бібліотека для юнацтва ім. Й. Б. </w:t>
            </w:r>
            <w:proofErr w:type="spellStart"/>
            <w:r w:rsidRPr="00C86B34">
              <w:rPr>
                <w:sz w:val="22"/>
                <w:lang w:val="uk-UA"/>
              </w:rPr>
              <w:t>Курлата</w:t>
            </w:r>
            <w:proofErr w:type="spellEnd"/>
            <w:r w:rsidRPr="00C86B34">
              <w:rPr>
                <w:sz w:val="22"/>
                <w:lang w:val="uk-UA"/>
              </w:rPr>
              <w:t>» Сєвєродонецької міської територіальної громади для задоволення потреб мешканців у отриманні послуг, гарантованих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Ціль проекту</w:t>
            </w:r>
          </w:p>
        </w:tc>
        <w:tc>
          <w:tcPr>
            <w:tcW w:w="7194" w:type="dxa"/>
            <w:gridSpan w:val="7"/>
          </w:tcPr>
          <w:p w:rsidR="00E95FB1" w:rsidRPr="00C86B34" w:rsidRDefault="00E95FB1" w:rsidP="001B3967">
            <w:pPr>
              <w:pStyle w:val="a7"/>
              <w:ind w:left="0"/>
              <w:rPr>
                <w:sz w:val="22"/>
                <w:lang w:val="uk-UA"/>
              </w:rPr>
            </w:pPr>
            <w:r w:rsidRPr="00C86B34">
              <w:rPr>
                <w:sz w:val="22"/>
                <w:lang w:val="uk-UA"/>
              </w:rPr>
              <w:t xml:space="preserve">Відновити та відбудувати будівлі Комунального Закладу «Сєвєродонецька міська бібліотека для юнацтва ім. Й. Б. </w:t>
            </w:r>
            <w:proofErr w:type="spellStart"/>
            <w:r w:rsidRPr="00C86B34">
              <w:rPr>
                <w:sz w:val="22"/>
                <w:lang w:val="uk-UA"/>
              </w:rPr>
              <w:t>Курлата</w:t>
            </w:r>
            <w:proofErr w:type="spellEnd"/>
            <w:r w:rsidRPr="00C86B34">
              <w:rPr>
                <w:sz w:val="22"/>
                <w:lang w:val="uk-UA"/>
              </w:rPr>
              <w:t>» Сєвєродонецької міської територіальної громади для задоволення потреб мешканців у отриманні послуг, гарантованих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Територія, на яку матиме вплив реалізація проекту</w:t>
            </w:r>
          </w:p>
        </w:tc>
        <w:tc>
          <w:tcPr>
            <w:tcW w:w="7194" w:type="dxa"/>
            <w:gridSpan w:val="7"/>
          </w:tcPr>
          <w:p w:rsidR="00E95FB1" w:rsidRPr="00C86B34" w:rsidRDefault="00E95FB1" w:rsidP="001B3967">
            <w:pPr>
              <w:pStyle w:val="a7"/>
              <w:ind w:left="0"/>
              <w:rPr>
                <w:sz w:val="22"/>
                <w:lang w:val="uk-UA"/>
              </w:rPr>
            </w:pPr>
            <w:r w:rsidRPr="00C86B34">
              <w:rPr>
                <w:sz w:val="22"/>
                <w:lang w:val="uk-UA"/>
              </w:rPr>
              <w:t>Сєвєродонецька міська територіальна громада</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Чисельність населення, на яке матиме вплив реалізація проекту</w:t>
            </w:r>
          </w:p>
        </w:tc>
        <w:tc>
          <w:tcPr>
            <w:tcW w:w="7194" w:type="dxa"/>
            <w:gridSpan w:val="7"/>
          </w:tcPr>
          <w:p w:rsidR="00E95FB1" w:rsidRPr="00C86B34" w:rsidRDefault="00E33B3A" w:rsidP="001B3967">
            <w:pPr>
              <w:pStyle w:val="a7"/>
              <w:ind w:left="0"/>
              <w:rPr>
                <w:sz w:val="22"/>
                <w:lang w:val="uk-UA"/>
              </w:rPr>
            </w:pPr>
            <w:r w:rsidRPr="00C86B34">
              <w:rPr>
                <w:sz w:val="22"/>
                <w:lang w:val="uk-UA"/>
              </w:rPr>
              <w:t>70 000</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Опис проблеми, на вирішення якої  спрямований проект</w:t>
            </w:r>
          </w:p>
        </w:tc>
        <w:tc>
          <w:tcPr>
            <w:tcW w:w="7194" w:type="dxa"/>
            <w:gridSpan w:val="7"/>
          </w:tcPr>
          <w:p w:rsidR="00E95FB1" w:rsidRPr="00C86B34" w:rsidRDefault="00E95FB1" w:rsidP="001B3967">
            <w:pPr>
              <w:ind w:firstLine="328"/>
              <w:rPr>
                <w:sz w:val="22"/>
                <w:lang w:val="uk-UA"/>
              </w:rPr>
            </w:pPr>
            <w:r w:rsidRPr="00C86B34">
              <w:rPr>
                <w:sz w:val="22"/>
                <w:lang w:val="uk-UA"/>
              </w:rPr>
              <w:t xml:space="preserve">Через військову агресію РФ територія Сєвєродонецької міської територіальної громади зазнала значних пошкоджень. Будівля Комунального Закладу «Сєвєродонецька міська бібліотека для юнацтва ім. Й. Б. </w:t>
            </w:r>
            <w:proofErr w:type="spellStart"/>
            <w:r w:rsidRPr="00C86B34">
              <w:rPr>
                <w:sz w:val="22"/>
                <w:lang w:val="uk-UA"/>
              </w:rPr>
              <w:t>Курлата</w:t>
            </w:r>
            <w:proofErr w:type="spellEnd"/>
            <w:r w:rsidRPr="00C86B34">
              <w:rPr>
                <w:sz w:val="22"/>
                <w:lang w:val="uk-UA"/>
              </w:rPr>
              <w:t>» належить Сєвєродонецькій міській територіальній громаді, пошкоджена в результаті обстрілів. Для поновлення життєдіяльності громади та стимулювання повернення мешканців до громади необхідно забезпечити їх всіма необхідними послугами, гарантованими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Очікувані якісні результати від реалізації проекту</w:t>
            </w:r>
          </w:p>
        </w:tc>
        <w:tc>
          <w:tcPr>
            <w:tcW w:w="7194" w:type="dxa"/>
            <w:gridSpan w:val="7"/>
          </w:tcPr>
          <w:p w:rsidR="00E95FB1" w:rsidRPr="00C86B34" w:rsidRDefault="00E95FB1" w:rsidP="000303D7">
            <w:pPr>
              <w:pStyle w:val="a7"/>
              <w:numPr>
                <w:ilvl w:val="0"/>
                <w:numId w:val="27"/>
              </w:numPr>
              <w:jc w:val="left"/>
              <w:rPr>
                <w:sz w:val="22"/>
                <w:lang w:val="uk-UA"/>
              </w:rPr>
            </w:pPr>
            <w:r w:rsidRPr="00C86B34">
              <w:rPr>
                <w:sz w:val="22"/>
                <w:lang w:val="uk-UA"/>
              </w:rPr>
              <w:t>Отримання мешканцями громади якісних послуг у сфері культури та бібліотечної діяльності;</w:t>
            </w:r>
          </w:p>
          <w:p w:rsidR="00E95FB1" w:rsidRPr="00C86B34" w:rsidRDefault="00E33B3A" w:rsidP="000303D7">
            <w:pPr>
              <w:pStyle w:val="a7"/>
              <w:numPr>
                <w:ilvl w:val="0"/>
                <w:numId w:val="27"/>
              </w:numPr>
              <w:jc w:val="left"/>
              <w:rPr>
                <w:sz w:val="22"/>
                <w:lang w:val="uk-UA"/>
              </w:rPr>
            </w:pPr>
            <w:r w:rsidRPr="00C86B34">
              <w:rPr>
                <w:sz w:val="22"/>
                <w:lang w:val="uk-UA"/>
              </w:rPr>
              <w:t>м</w:t>
            </w:r>
            <w:r w:rsidR="00E95FB1" w:rsidRPr="00C86B34">
              <w:rPr>
                <w:sz w:val="22"/>
                <w:lang w:val="uk-UA"/>
              </w:rPr>
              <w:t>отивація мешканців громади до повернення у громаду;</w:t>
            </w:r>
          </w:p>
          <w:p w:rsidR="00E95FB1" w:rsidRPr="00C86B34" w:rsidRDefault="00E33B3A" w:rsidP="000303D7">
            <w:pPr>
              <w:pStyle w:val="a7"/>
              <w:numPr>
                <w:ilvl w:val="0"/>
                <w:numId w:val="27"/>
              </w:numPr>
              <w:jc w:val="left"/>
              <w:rPr>
                <w:sz w:val="22"/>
                <w:lang w:val="uk-UA"/>
              </w:rPr>
            </w:pPr>
            <w:r w:rsidRPr="00C86B34">
              <w:rPr>
                <w:sz w:val="22"/>
                <w:lang w:val="uk-UA"/>
              </w:rPr>
              <w:t>з</w:t>
            </w:r>
            <w:r w:rsidR="00E95FB1" w:rsidRPr="00C86B34">
              <w:rPr>
                <w:sz w:val="22"/>
                <w:lang w:val="uk-UA"/>
              </w:rPr>
              <w:t>ахист правових, культурних,</w:t>
            </w:r>
            <w:r w:rsidRPr="00C86B34">
              <w:rPr>
                <w:sz w:val="22"/>
                <w:lang w:val="uk-UA"/>
              </w:rPr>
              <w:t xml:space="preserve"> </w:t>
            </w:r>
            <w:r w:rsidR="00E95FB1" w:rsidRPr="00C86B34">
              <w:rPr>
                <w:sz w:val="22"/>
                <w:lang w:val="uk-UA"/>
              </w:rPr>
              <w:t>освітніх,</w:t>
            </w:r>
            <w:r w:rsidRPr="00C86B34">
              <w:rPr>
                <w:sz w:val="22"/>
                <w:lang w:val="uk-UA"/>
              </w:rPr>
              <w:t xml:space="preserve"> </w:t>
            </w:r>
            <w:r w:rsidR="00E95FB1" w:rsidRPr="00C86B34">
              <w:rPr>
                <w:sz w:val="22"/>
                <w:lang w:val="uk-UA"/>
              </w:rPr>
              <w:t>економічних та інших інтересів громадян;</w:t>
            </w:r>
          </w:p>
          <w:p w:rsidR="00E95FB1" w:rsidRPr="00C86B34" w:rsidRDefault="00E33B3A" w:rsidP="000303D7">
            <w:pPr>
              <w:pStyle w:val="a7"/>
              <w:numPr>
                <w:ilvl w:val="0"/>
                <w:numId w:val="27"/>
              </w:numPr>
              <w:jc w:val="left"/>
              <w:rPr>
                <w:sz w:val="22"/>
                <w:lang w:val="uk-UA"/>
              </w:rPr>
            </w:pPr>
            <w:r w:rsidRPr="00C86B34">
              <w:rPr>
                <w:sz w:val="22"/>
                <w:lang w:val="uk-UA"/>
              </w:rPr>
              <w:t>н</w:t>
            </w:r>
            <w:r w:rsidR="00E95FB1" w:rsidRPr="00C86B34">
              <w:rPr>
                <w:sz w:val="22"/>
                <w:lang w:val="uk-UA"/>
              </w:rPr>
              <w:t>адання юридичним та фізичним особам-підприємцям якісних послуг для впровадження ними своєї діяльності;</w:t>
            </w:r>
          </w:p>
          <w:p w:rsidR="00E95FB1" w:rsidRPr="00C86B34" w:rsidRDefault="00E33B3A" w:rsidP="000303D7">
            <w:pPr>
              <w:pStyle w:val="a7"/>
              <w:numPr>
                <w:ilvl w:val="0"/>
                <w:numId w:val="27"/>
              </w:numPr>
              <w:jc w:val="left"/>
              <w:rPr>
                <w:sz w:val="22"/>
                <w:lang w:val="uk-UA"/>
              </w:rPr>
            </w:pPr>
            <w:r w:rsidRPr="00C86B34">
              <w:rPr>
                <w:sz w:val="22"/>
                <w:lang w:val="uk-UA"/>
              </w:rPr>
              <w:t>с</w:t>
            </w:r>
            <w:r w:rsidR="00E95FB1" w:rsidRPr="00C86B34">
              <w:rPr>
                <w:sz w:val="22"/>
                <w:lang w:val="uk-UA"/>
              </w:rPr>
              <w:t>талий розвиток громади;</w:t>
            </w:r>
          </w:p>
          <w:p w:rsidR="00E95FB1" w:rsidRPr="00C86B34" w:rsidRDefault="00E33B3A" w:rsidP="000303D7">
            <w:pPr>
              <w:pStyle w:val="a7"/>
              <w:numPr>
                <w:ilvl w:val="0"/>
                <w:numId w:val="27"/>
              </w:numPr>
              <w:jc w:val="left"/>
              <w:rPr>
                <w:sz w:val="22"/>
                <w:lang w:val="uk-UA"/>
              </w:rPr>
            </w:pPr>
            <w:r w:rsidRPr="00C86B34">
              <w:rPr>
                <w:sz w:val="22"/>
                <w:lang w:val="uk-UA"/>
              </w:rPr>
              <w:t>і</w:t>
            </w:r>
            <w:r w:rsidR="00E95FB1" w:rsidRPr="00C86B34">
              <w:rPr>
                <w:sz w:val="22"/>
                <w:lang w:val="uk-UA"/>
              </w:rPr>
              <w:t>нвестиційна привабливість громади;</w:t>
            </w:r>
          </w:p>
          <w:p w:rsidR="00E95FB1" w:rsidRPr="00C86B34" w:rsidRDefault="00E33B3A" w:rsidP="00E33B3A">
            <w:pPr>
              <w:pStyle w:val="a7"/>
              <w:numPr>
                <w:ilvl w:val="0"/>
                <w:numId w:val="27"/>
              </w:numPr>
              <w:jc w:val="left"/>
              <w:rPr>
                <w:sz w:val="22"/>
                <w:lang w:val="uk-UA"/>
              </w:rPr>
            </w:pPr>
            <w:r w:rsidRPr="00C86B34">
              <w:rPr>
                <w:sz w:val="22"/>
                <w:lang w:val="uk-UA"/>
              </w:rPr>
              <w:t>к</w:t>
            </w:r>
            <w:r w:rsidR="00E95FB1" w:rsidRPr="00C86B34">
              <w:rPr>
                <w:sz w:val="22"/>
                <w:lang w:val="uk-UA"/>
              </w:rPr>
              <w:t>омфортне життя мешканців.</w:t>
            </w:r>
          </w:p>
        </w:tc>
      </w:tr>
      <w:tr w:rsidR="00E95FB1" w:rsidRPr="00C86B34" w:rsidTr="001B3967">
        <w:trPr>
          <w:trHeight w:val="390"/>
        </w:trPr>
        <w:tc>
          <w:tcPr>
            <w:tcW w:w="2694" w:type="dxa"/>
            <w:vMerge w:val="restart"/>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 xml:space="preserve">Очікувані кількісні результати реалізації </w:t>
            </w:r>
            <w:proofErr w:type="spellStart"/>
            <w:r w:rsidRPr="00C86B34">
              <w:rPr>
                <w:b/>
                <w:sz w:val="22"/>
                <w:lang w:val="uk-UA"/>
              </w:rPr>
              <w:t>проєкту</w:t>
            </w:r>
            <w:proofErr w:type="spellEnd"/>
            <w:r w:rsidRPr="00C86B34">
              <w:rPr>
                <w:b/>
                <w:sz w:val="22"/>
                <w:lang w:val="uk-UA"/>
              </w:rPr>
              <w:t xml:space="preserve"> (індикатори)</w:t>
            </w:r>
          </w:p>
          <w:p w:rsidR="00E95FB1" w:rsidRPr="00C86B34" w:rsidRDefault="00E95FB1" w:rsidP="001B3967">
            <w:pPr>
              <w:pStyle w:val="a7"/>
              <w:ind w:left="0"/>
              <w:rPr>
                <w:b/>
                <w:sz w:val="22"/>
                <w:lang w:val="uk-UA"/>
              </w:rPr>
            </w:pPr>
          </w:p>
        </w:tc>
        <w:tc>
          <w:tcPr>
            <w:tcW w:w="3959" w:type="dxa"/>
            <w:gridSpan w:val="3"/>
            <w:tcBorders>
              <w:bottom w:val="single" w:sz="4" w:space="0" w:color="auto"/>
              <w:right w:val="single" w:sz="4" w:space="0" w:color="auto"/>
            </w:tcBorders>
          </w:tcPr>
          <w:p w:rsidR="00E95FB1" w:rsidRPr="00C86B34" w:rsidRDefault="00E95FB1" w:rsidP="001B3967">
            <w:pPr>
              <w:pStyle w:val="a7"/>
              <w:ind w:left="-108"/>
              <w:jc w:val="center"/>
              <w:rPr>
                <w:b/>
                <w:sz w:val="22"/>
                <w:lang w:val="uk-UA"/>
              </w:rPr>
            </w:pPr>
            <w:r w:rsidRPr="00C86B34">
              <w:rPr>
                <w:b/>
                <w:sz w:val="22"/>
                <w:lang w:val="uk-UA"/>
              </w:rPr>
              <w:lastRenderedPageBreak/>
              <w:t>Найменування показника</w:t>
            </w:r>
          </w:p>
        </w:tc>
        <w:tc>
          <w:tcPr>
            <w:tcW w:w="1687" w:type="dxa"/>
            <w:gridSpan w:val="2"/>
            <w:tcBorders>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Одиниця вимірювання</w:t>
            </w:r>
          </w:p>
          <w:p w:rsidR="00E95FB1" w:rsidRPr="00C86B34" w:rsidRDefault="00E95FB1" w:rsidP="001B3967">
            <w:pPr>
              <w:pStyle w:val="a7"/>
              <w:ind w:left="0"/>
              <w:rPr>
                <w:b/>
                <w:sz w:val="22"/>
                <w:lang w:val="uk-UA"/>
              </w:rPr>
            </w:pPr>
          </w:p>
        </w:tc>
        <w:tc>
          <w:tcPr>
            <w:tcW w:w="1548" w:type="dxa"/>
            <w:gridSpan w:val="2"/>
            <w:tcBorders>
              <w:left w:val="single" w:sz="4" w:space="0" w:color="auto"/>
              <w:bottom w:val="single" w:sz="4" w:space="0" w:color="auto"/>
            </w:tcBorders>
          </w:tcPr>
          <w:p w:rsidR="00E95FB1" w:rsidRPr="00C86B34" w:rsidRDefault="00E95FB1" w:rsidP="001B3967">
            <w:pPr>
              <w:pStyle w:val="a7"/>
              <w:ind w:left="0"/>
              <w:jc w:val="center"/>
              <w:rPr>
                <w:b/>
                <w:sz w:val="22"/>
                <w:lang w:val="uk-UA"/>
              </w:rPr>
            </w:pPr>
            <w:r w:rsidRPr="00C86B34">
              <w:rPr>
                <w:b/>
                <w:sz w:val="22"/>
                <w:lang w:val="uk-UA"/>
              </w:rPr>
              <w:t>Прогнозне (цільове) значення</w:t>
            </w:r>
          </w:p>
        </w:tc>
      </w:tr>
      <w:tr w:rsidR="00E95FB1" w:rsidRPr="00C86B34" w:rsidTr="001B3967">
        <w:trPr>
          <w:trHeight w:val="58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959"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rPr>
                <w:sz w:val="22"/>
                <w:lang w:val="uk-UA"/>
              </w:rPr>
            </w:pPr>
            <w:r w:rsidRPr="00C86B34">
              <w:rPr>
                <w:sz w:val="22"/>
                <w:lang w:val="uk-UA"/>
              </w:rPr>
              <w:t>Кількість фізичних та юридичних осіб (користувачів), які звернулись за послугами протягом  року</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jc w:val="center"/>
              <w:rPr>
                <w:sz w:val="22"/>
                <w:lang w:val="uk-UA"/>
              </w:rPr>
            </w:pPr>
            <w:r w:rsidRPr="00C86B34">
              <w:rPr>
                <w:rFonts w:eastAsia="Arial"/>
                <w:sz w:val="22"/>
                <w:lang w:val="uk-UA"/>
              </w:rPr>
              <w:t>осіб</w:t>
            </w:r>
          </w:p>
        </w:tc>
        <w:tc>
          <w:tcPr>
            <w:tcW w:w="1548"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5616</w:t>
            </w:r>
          </w:p>
        </w:tc>
      </w:tr>
      <w:tr w:rsidR="00E95FB1" w:rsidRPr="00C86B34" w:rsidTr="001B3967">
        <w:trPr>
          <w:trHeight w:val="184"/>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959"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rPr>
                <w:sz w:val="22"/>
                <w:lang w:val="uk-UA"/>
              </w:rPr>
            </w:pPr>
            <w:r w:rsidRPr="00C86B34">
              <w:rPr>
                <w:sz w:val="22"/>
                <w:lang w:val="uk-UA"/>
              </w:rPr>
              <w:t>Кількість книговидань протягом  року</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примірників</w:t>
            </w:r>
          </w:p>
        </w:tc>
        <w:tc>
          <w:tcPr>
            <w:tcW w:w="1548" w:type="dxa"/>
            <w:gridSpan w:val="2"/>
            <w:tcBorders>
              <w:top w:val="single" w:sz="4" w:space="0" w:color="auto"/>
              <w:left w:val="single" w:sz="4" w:space="0" w:color="auto"/>
              <w:bottom w:val="single" w:sz="4" w:space="0" w:color="auto"/>
            </w:tcBorders>
            <w:vAlign w:val="center"/>
          </w:tcPr>
          <w:p w:rsidR="00E95FB1" w:rsidRPr="00C86B34" w:rsidRDefault="00E95FB1" w:rsidP="001B3967">
            <w:pPr>
              <w:jc w:val="center"/>
              <w:rPr>
                <w:sz w:val="22"/>
                <w:lang w:val="uk-UA"/>
              </w:rPr>
            </w:pPr>
            <w:r w:rsidRPr="00C86B34">
              <w:rPr>
                <w:sz w:val="22"/>
                <w:lang w:val="uk-UA"/>
              </w:rPr>
              <w:t>111811</w:t>
            </w:r>
          </w:p>
        </w:tc>
      </w:tr>
      <w:tr w:rsidR="00E95FB1" w:rsidRPr="00C86B34" w:rsidTr="001B3967">
        <w:trPr>
          <w:trHeight w:val="16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959"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rPr>
                <w:sz w:val="22"/>
                <w:lang w:val="uk-UA"/>
              </w:rPr>
            </w:pPr>
            <w:r w:rsidRPr="00C86B34">
              <w:rPr>
                <w:sz w:val="22"/>
                <w:lang w:val="uk-UA"/>
              </w:rPr>
              <w:t>Кількість відвідувань заходів  протягом  року</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осіб</w:t>
            </w:r>
          </w:p>
        </w:tc>
        <w:tc>
          <w:tcPr>
            <w:tcW w:w="1548"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45143</w:t>
            </w:r>
          </w:p>
        </w:tc>
      </w:tr>
      <w:tr w:rsidR="00E95FB1" w:rsidRPr="00C86B34" w:rsidTr="001B3967">
        <w:trPr>
          <w:trHeight w:val="16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959"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rPr>
                <w:sz w:val="22"/>
                <w:lang w:val="uk-UA"/>
              </w:rPr>
            </w:pPr>
            <w:r w:rsidRPr="00C86B34">
              <w:rPr>
                <w:sz w:val="22"/>
                <w:lang w:val="uk-UA"/>
              </w:rPr>
              <w:t>Кількість заходів для користувачів</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548"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315</w:t>
            </w:r>
          </w:p>
        </w:tc>
      </w:tr>
      <w:tr w:rsidR="00E95FB1" w:rsidRPr="00C86B34" w:rsidTr="001B3967">
        <w:trPr>
          <w:trHeight w:val="165"/>
        </w:trPr>
        <w:tc>
          <w:tcPr>
            <w:tcW w:w="2694" w:type="dxa"/>
            <w:shd w:val="clear" w:color="auto" w:fill="C6D9F1" w:themeFill="text2" w:themeFillTint="33"/>
          </w:tcPr>
          <w:p w:rsidR="00E95FB1" w:rsidRPr="00C86B34" w:rsidRDefault="00E95FB1" w:rsidP="001B3967">
            <w:pPr>
              <w:pStyle w:val="a7"/>
              <w:ind w:left="0"/>
              <w:rPr>
                <w:b/>
                <w:sz w:val="22"/>
                <w:lang w:val="uk-UA"/>
              </w:rPr>
            </w:pPr>
          </w:p>
        </w:tc>
        <w:tc>
          <w:tcPr>
            <w:tcW w:w="3959"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Середня вартість послуг</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грн</w:t>
            </w:r>
          </w:p>
        </w:tc>
        <w:tc>
          <w:tcPr>
            <w:tcW w:w="1548"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безкоштовно</w:t>
            </w:r>
          </w:p>
        </w:tc>
      </w:tr>
      <w:tr w:rsidR="00E95FB1" w:rsidRPr="00C86B34" w:rsidTr="001B3967">
        <w:trPr>
          <w:trHeight w:val="165"/>
        </w:trPr>
        <w:tc>
          <w:tcPr>
            <w:tcW w:w="2694" w:type="dxa"/>
            <w:shd w:val="clear" w:color="auto" w:fill="C6D9F1" w:themeFill="text2" w:themeFillTint="33"/>
          </w:tcPr>
          <w:p w:rsidR="00E95FB1" w:rsidRPr="00C86B34" w:rsidRDefault="00E95FB1" w:rsidP="001B3967">
            <w:pPr>
              <w:pStyle w:val="a7"/>
              <w:ind w:left="0"/>
              <w:rPr>
                <w:b/>
                <w:sz w:val="22"/>
                <w:lang w:val="uk-UA"/>
              </w:rPr>
            </w:pPr>
          </w:p>
        </w:tc>
        <w:tc>
          <w:tcPr>
            <w:tcW w:w="3959"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Термін надання послуги</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років</w:t>
            </w:r>
          </w:p>
        </w:tc>
        <w:tc>
          <w:tcPr>
            <w:tcW w:w="1548"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Від 1 до 120</w:t>
            </w:r>
          </w:p>
        </w:tc>
      </w:tr>
      <w:tr w:rsidR="00E95FB1" w:rsidRPr="00C86B34" w:rsidTr="001B3967">
        <w:trPr>
          <w:trHeight w:val="165"/>
        </w:trPr>
        <w:tc>
          <w:tcPr>
            <w:tcW w:w="2694" w:type="dxa"/>
            <w:shd w:val="clear" w:color="auto" w:fill="C6D9F1" w:themeFill="text2" w:themeFillTint="33"/>
          </w:tcPr>
          <w:p w:rsidR="00E95FB1" w:rsidRPr="00C86B34" w:rsidRDefault="00E95FB1" w:rsidP="001B3967">
            <w:pPr>
              <w:pStyle w:val="a7"/>
              <w:ind w:left="0"/>
              <w:rPr>
                <w:b/>
                <w:sz w:val="22"/>
                <w:lang w:val="uk-UA"/>
              </w:rPr>
            </w:pPr>
          </w:p>
        </w:tc>
        <w:tc>
          <w:tcPr>
            <w:tcW w:w="3959" w:type="dxa"/>
            <w:gridSpan w:val="3"/>
            <w:tcBorders>
              <w:top w:val="single" w:sz="4" w:space="0" w:color="auto"/>
              <w:bottom w:val="single" w:sz="4" w:space="0" w:color="auto"/>
              <w:right w:val="single" w:sz="4" w:space="0" w:color="auto"/>
            </w:tcBorders>
          </w:tcPr>
          <w:p w:rsidR="00E95FB1" w:rsidRPr="00C86B34" w:rsidRDefault="00E95FB1" w:rsidP="00E33B3A">
            <w:pPr>
              <w:pStyle w:val="a7"/>
              <w:ind w:left="0"/>
              <w:jc w:val="center"/>
              <w:rPr>
                <w:sz w:val="22"/>
                <w:lang w:val="uk-UA"/>
              </w:rPr>
            </w:pPr>
            <w:r w:rsidRPr="00C86B34">
              <w:rPr>
                <w:sz w:val="22"/>
                <w:lang w:val="uk-UA"/>
              </w:rPr>
              <w:t>Кількість населених пунктів, як</w:t>
            </w:r>
            <w:r w:rsidR="00E33B3A" w:rsidRPr="00C86B34">
              <w:rPr>
                <w:sz w:val="22"/>
                <w:lang w:val="uk-UA"/>
              </w:rPr>
              <w:t>і</w:t>
            </w:r>
            <w:r w:rsidRPr="00C86B34">
              <w:rPr>
                <w:sz w:val="22"/>
                <w:lang w:val="uk-UA"/>
              </w:rPr>
              <w:t xml:space="preserve"> обслуговує заклад</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548"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20</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 xml:space="preserve">Ключові заходи проекту: </w:t>
            </w:r>
          </w:p>
          <w:p w:rsidR="00E95FB1" w:rsidRPr="00C86B34" w:rsidRDefault="00E95FB1" w:rsidP="001B3967">
            <w:pPr>
              <w:pStyle w:val="a7"/>
              <w:ind w:left="0"/>
              <w:rPr>
                <w:b/>
                <w:sz w:val="22"/>
                <w:lang w:val="uk-UA"/>
              </w:rPr>
            </w:pPr>
          </w:p>
        </w:tc>
        <w:tc>
          <w:tcPr>
            <w:tcW w:w="7194" w:type="dxa"/>
            <w:gridSpan w:val="7"/>
          </w:tcPr>
          <w:p w:rsidR="00E95FB1" w:rsidRPr="00C86B34" w:rsidRDefault="00E95FB1" w:rsidP="001B3967">
            <w:pPr>
              <w:pStyle w:val="a7"/>
              <w:ind w:left="0"/>
              <w:rPr>
                <w:sz w:val="22"/>
                <w:lang w:val="uk-UA"/>
              </w:rPr>
            </w:pPr>
            <w:r w:rsidRPr="00C86B34">
              <w:rPr>
                <w:sz w:val="22"/>
                <w:lang w:val="uk-UA"/>
              </w:rPr>
              <w:t>- обстеження об’єкта нерухомості;</w:t>
            </w:r>
          </w:p>
          <w:p w:rsidR="00E95FB1" w:rsidRPr="00C86B34" w:rsidRDefault="00E95FB1" w:rsidP="001B3967">
            <w:pPr>
              <w:pStyle w:val="a7"/>
              <w:ind w:left="0"/>
              <w:rPr>
                <w:sz w:val="22"/>
                <w:lang w:val="uk-UA"/>
              </w:rPr>
            </w:pPr>
            <w:r w:rsidRPr="00C86B34">
              <w:rPr>
                <w:sz w:val="22"/>
                <w:lang w:val="uk-UA"/>
              </w:rPr>
              <w:t>- пошук інвестора;</w:t>
            </w:r>
          </w:p>
          <w:p w:rsidR="00E95FB1" w:rsidRPr="00C86B34" w:rsidRDefault="00E95FB1" w:rsidP="001B3967">
            <w:pPr>
              <w:pStyle w:val="a7"/>
              <w:ind w:left="0"/>
              <w:rPr>
                <w:sz w:val="22"/>
                <w:lang w:val="uk-UA"/>
              </w:rPr>
            </w:pPr>
            <w:r w:rsidRPr="00C86B34">
              <w:rPr>
                <w:sz w:val="22"/>
                <w:lang w:val="uk-UA"/>
              </w:rPr>
              <w:t xml:space="preserve">- розробка </w:t>
            </w:r>
            <w:proofErr w:type="spellStart"/>
            <w:r w:rsidRPr="00C86B34">
              <w:rPr>
                <w:sz w:val="22"/>
                <w:lang w:val="uk-UA"/>
              </w:rPr>
              <w:t>про</w:t>
            </w:r>
            <w:r w:rsidR="00E33B3A" w:rsidRPr="00C86B34">
              <w:rPr>
                <w:sz w:val="22"/>
                <w:lang w:val="uk-UA"/>
              </w:rPr>
              <w:t>є</w:t>
            </w:r>
            <w:r w:rsidRPr="00C86B34">
              <w:rPr>
                <w:sz w:val="22"/>
                <w:lang w:val="uk-UA"/>
              </w:rPr>
              <w:t>ктно</w:t>
            </w:r>
            <w:proofErr w:type="spellEnd"/>
            <w:r w:rsidRPr="00C86B34">
              <w:rPr>
                <w:sz w:val="22"/>
                <w:lang w:val="uk-UA"/>
              </w:rPr>
              <w:t>-кошторисної документації;</w:t>
            </w:r>
          </w:p>
          <w:p w:rsidR="00E95FB1" w:rsidRPr="00C86B34" w:rsidRDefault="00E95FB1" w:rsidP="001B3967">
            <w:pPr>
              <w:pStyle w:val="a7"/>
              <w:ind w:left="0"/>
              <w:rPr>
                <w:sz w:val="22"/>
                <w:lang w:val="uk-UA"/>
              </w:rPr>
            </w:pPr>
            <w:r w:rsidRPr="00C86B34">
              <w:rPr>
                <w:sz w:val="22"/>
                <w:lang w:val="uk-UA"/>
              </w:rPr>
              <w:t>- укладення договору про будівництво із підрядною організацією;</w:t>
            </w:r>
          </w:p>
          <w:p w:rsidR="00E95FB1" w:rsidRPr="00C86B34" w:rsidRDefault="00E95FB1" w:rsidP="001B3967">
            <w:pPr>
              <w:pStyle w:val="a7"/>
              <w:ind w:left="0"/>
              <w:rPr>
                <w:sz w:val="22"/>
                <w:lang w:val="uk-UA"/>
              </w:rPr>
            </w:pPr>
            <w:r w:rsidRPr="00C86B34">
              <w:rPr>
                <w:sz w:val="22"/>
                <w:lang w:val="uk-UA"/>
              </w:rPr>
              <w:t>- організація та початок робочого процесу.</w:t>
            </w:r>
          </w:p>
        </w:tc>
      </w:tr>
      <w:tr w:rsidR="00E95FB1" w:rsidRPr="00C86B34" w:rsidTr="001B3967">
        <w:trPr>
          <w:trHeight w:val="360"/>
        </w:trPr>
        <w:tc>
          <w:tcPr>
            <w:tcW w:w="2694" w:type="dxa"/>
            <w:vMerge w:val="restart"/>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Орієнтовний обсяг та джерела фінансування, тис. грн.</w:t>
            </w:r>
          </w:p>
          <w:p w:rsidR="00E95FB1" w:rsidRPr="00C86B34" w:rsidRDefault="00E95FB1" w:rsidP="001B3967">
            <w:pPr>
              <w:pStyle w:val="a7"/>
              <w:ind w:left="0"/>
              <w:rPr>
                <w:b/>
                <w:sz w:val="22"/>
                <w:lang w:val="uk-UA"/>
              </w:rPr>
            </w:pPr>
          </w:p>
          <w:p w:rsidR="00E95FB1" w:rsidRPr="00C86B34" w:rsidRDefault="00E95FB1" w:rsidP="001B3967">
            <w:pPr>
              <w:pStyle w:val="a7"/>
              <w:ind w:left="0"/>
              <w:rPr>
                <w:b/>
                <w:sz w:val="22"/>
                <w:lang w:val="uk-UA"/>
              </w:rPr>
            </w:pPr>
            <w:r w:rsidRPr="00C86B34">
              <w:rPr>
                <w:b/>
                <w:sz w:val="22"/>
                <w:lang w:val="uk-UA"/>
              </w:rPr>
              <w:t xml:space="preserve"> </w:t>
            </w:r>
          </w:p>
          <w:p w:rsidR="00E95FB1" w:rsidRPr="00C86B34" w:rsidRDefault="00E95FB1" w:rsidP="001B3967">
            <w:pPr>
              <w:pStyle w:val="a7"/>
              <w:ind w:left="0"/>
              <w:rPr>
                <w:b/>
                <w:sz w:val="22"/>
                <w:lang w:val="uk-UA"/>
              </w:rPr>
            </w:pPr>
          </w:p>
          <w:p w:rsidR="00E95FB1" w:rsidRPr="00C86B34" w:rsidRDefault="00E95FB1" w:rsidP="001B3967">
            <w:pPr>
              <w:pStyle w:val="a7"/>
              <w:ind w:left="0"/>
              <w:rPr>
                <w:b/>
                <w:sz w:val="22"/>
                <w:lang w:val="uk-UA"/>
              </w:rPr>
            </w:pPr>
          </w:p>
        </w:tc>
        <w:tc>
          <w:tcPr>
            <w:tcW w:w="1902" w:type="dxa"/>
            <w:tcBorders>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Державний бюджет</w:t>
            </w:r>
          </w:p>
        </w:tc>
        <w:tc>
          <w:tcPr>
            <w:tcW w:w="1404" w:type="dxa"/>
            <w:tcBorders>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Місцевий бюджет</w:t>
            </w:r>
          </w:p>
          <w:p w:rsidR="00E95FB1" w:rsidRPr="00C86B34" w:rsidRDefault="00E95FB1" w:rsidP="001B3967">
            <w:pPr>
              <w:pStyle w:val="a7"/>
              <w:ind w:left="0"/>
              <w:jc w:val="center"/>
              <w:rPr>
                <w:b/>
                <w:sz w:val="22"/>
                <w:lang w:val="uk-UA"/>
              </w:rPr>
            </w:pPr>
            <w:proofErr w:type="spellStart"/>
            <w:r w:rsidRPr="00C86B34">
              <w:rPr>
                <w:b/>
                <w:sz w:val="22"/>
                <w:lang w:val="uk-UA"/>
              </w:rPr>
              <w:t>тис.грн</w:t>
            </w:r>
            <w:proofErr w:type="spellEnd"/>
          </w:p>
        </w:tc>
        <w:tc>
          <w:tcPr>
            <w:tcW w:w="2410" w:type="dxa"/>
            <w:gridSpan w:val="4"/>
            <w:tcBorders>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Інші джерела</w:t>
            </w:r>
          </w:p>
          <w:p w:rsidR="00E95FB1" w:rsidRPr="00C86B34" w:rsidRDefault="00E95FB1" w:rsidP="001B3967">
            <w:pPr>
              <w:pStyle w:val="a7"/>
              <w:ind w:left="0"/>
              <w:jc w:val="center"/>
              <w:rPr>
                <w:b/>
                <w:sz w:val="22"/>
                <w:lang w:val="uk-UA"/>
              </w:rPr>
            </w:pPr>
            <w:proofErr w:type="spellStart"/>
            <w:r w:rsidRPr="00C86B34">
              <w:rPr>
                <w:b/>
                <w:sz w:val="22"/>
                <w:lang w:val="uk-UA"/>
              </w:rPr>
              <w:t>тис.грн</w:t>
            </w:r>
            <w:proofErr w:type="spellEnd"/>
          </w:p>
        </w:tc>
        <w:tc>
          <w:tcPr>
            <w:tcW w:w="1478" w:type="dxa"/>
            <w:tcBorders>
              <w:left w:val="single" w:sz="4" w:space="0" w:color="auto"/>
              <w:bottom w:val="single" w:sz="4" w:space="0" w:color="auto"/>
            </w:tcBorders>
          </w:tcPr>
          <w:p w:rsidR="00E95FB1" w:rsidRPr="00C86B34" w:rsidRDefault="00E95FB1" w:rsidP="001B3967">
            <w:pPr>
              <w:pStyle w:val="a7"/>
              <w:ind w:left="0"/>
              <w:jc w:val="center"/>
              <w:rPr>
                <w:b/>
                <w:sz w:val="22"/>
                <w:lang w:val="uk-UA"/>
              </w:rPr>
            </w:pPr>
            <w:r w:rsidRPr="00C86B34">
              <w:rPr>
                <w:b/>
                <w:sz w:val="22"/>
                <w:lang w:val="uk-UA"/>
              </w:rPr>
              <w:t>Всього</w:t>
            </w:r>
          </w:p>
          <w:p w:rsidR="00E95FB1" w:rsidRPr="00C86B34" w:rsidRDefault="00E95FB1" w:rsidP="001B3967">
            <w:pPr>
              <w:pStyle w:val="a7"/>
              <w:ind w:left="0"/>
              <w:jc w:val="center"/>
              <w:rPr>
                <w:b/>
                <w:sz w:val="22"/>
                <w:lang w:val="uk-UA"/>
              </w:rPr>
            </w:pPr>
            <w:proofErr w:type="spellStart"/>
            <w:r w:rsidRPr="00C86B34">
              <w:rPr>
                <w:b/>
                <w:sz w:val="22"/>
                <w:lang w:val="uk-UA"/>
              </w:rPr>
              <w:t>тис.грн</w:t>
            </w:r>
            <w:proofErr w:type="spellEnd"/>
          </w:p>
        </w:tc>
      </w:tr>
      <w:tr w:rsidR="00E95FB1" w:rsidRPr="00C86B34" w:rsidTr="001B3967">
        <w:trPr>
          <w:trHeight w:val="22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1902" w:type="dxa"/>
            <w:vMerge w:val="restart"/>
            <w:tcBorders>
              <w:top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25 000,0</w:t>
            </w:r>
          </w:p>
          <w:p w:rsidR="00E95FB1" w:rsidRPr="00C86B34" w:rsidRDefault="00E95FB1" w:rsidP="001B3967">
            <w:pPr>
              <w:pStyle w:val="a7"/>
              <w:ind w:left="0"/>
              <w:jc w:val="center"/>
              <w:rPr>
                <w:b/>
                <w:sz w:val="22"/>
                <w:lang w:val="uk-UA"/>
              </w:rPr>
            </w:pPr>
          </w:p>
        </w:tc>
        <w:tc>
          <w:tcPr>
            <w:tcW w:w="1404" w:type="dxa"/>
            <w:vMerge w:val="restart"/>
            <w:tcBorders>
              <w:top w:val="single" w:sz="4" w:space="0" w:color="auto"/>
              <w:right w:val="single" w:sz="4" w:space="0" w:color="auto"/>
            </w:tcBorders>
          </w:tcPr>
          <w:p w:rsidR="00E95FB1" w:rsidRPr="00C86B34" w:rsidRDefault="00E95FB1" w:rsidP="001B3967">
            <w:pPr>
              <w:pStyle w:val="a7"/>
              <w:ind w:left="0"/>
              <w:jc w:val="center"/>
              <w:rPr>
                <w:b/>
                <w:sz w:val="22"/>
                <w:lang w:val="uk-UA"/>
              </w:rPr>
            </w:pPr>
            <w:proofErr w:type="spellStart"/>
            <w:r w:rsidRPr="00C86B34">
              <w:rPr>
                <w:b/>
                <w:sz w:val="22"/>
                <w:lang w:val="uk-UA"/>
              </w:rPr>
              <w:t>Проєкт</w:t>
            </w:r>
            <w:proofErr w:type="spellEnd"/>
          </w:p>
          <w:p w:rsidR="00E95FB1" w:rsidRPr="00C86B34" w:rsidRDefault="00E95FB1" w:rsidP="001B3967">
            <w:pPr>
              <w:pStyle w:val="a7"/>
              <w:ind w:left="0"/>
              <w:jc w:val="center"/>
              <w:rPr>
                <w:sz w:val="22"/>
                <w:lang w:val="uk-UA"/>
              </w:rPr>
            </w:pPr>
            <w:r w:rsidRPr="00C86B34">
              <w:rPr>
                <w:sz w:val="22"/>
                <w:lang w:val="uk-UA"/>
              </w:rPr>
              <w:t>1000,00</w:t>
            </w:r>
          </w:p>
          <w:p w:rsidR="00E95FB1" w:rsidRPr="00C86B34" w:rsidRDefault="00E95FB1" w:rsidP="001B3967">
            <w:pPr>
              <w:pStyle w:val="a7"/>
              <w:ind w:left="0"/>
              <w:jc w:val="center"/>
              <w:rPr>
                <w:sz w:val="22"/>
                <w:lang w:val="uk-UA"/>
              </w:rPr>
            </w:pPr>
          </w:p>
          <w:p w:rsidR="00E95FB1" w:rsidRPr="00C86B34" w:rsidRDefault="00E95FB1" w:rsidP="001B3967">
            <w:pPr>
              <w:pStyle w:val="a7"/>
              <w:ind w:left="0"/>
              <w:jc w:val="center"/>
              <w:rPr>
                <w:sz w:val="22"/>
                <w:lang w:val="uk-UA"/>
              </w:rPr>
            </w:pPr>
          </w:p>
        </w:tc>
        <w:tc>
          <w:tcPr>
            <w:tcW w:w="1050" w:type="dxa"/>
            <w:gridSpan w:val="2"/>
            <w:tcBorders>
              <w:top w:val="single" w:sz="4" w:space="0" w:color="auto"/>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Обсяг</w:t>
            </w:r>
          </w:p>
          <w:p w:rsidR="00E95FB1" w:rsidRPr="00C86B34" w:rsidRDefault="00E95FB1" w:rsidP="001B3967">
            <w:pPr>
              <w:pStyle w:val="a7"/>
              <w:ind w:left="0"/>
              <w:jc w:val="center"/>
              <w:rPr>
                <w:b/>
                <w:sz w:val="22"/>
                <w:lang w:val="uk-UA"/>
              </w:rPr>
            </w:pPr>
            <w:proofErr w:type="spellStart"/>
            <w:r w:rsidRPr="00C86B34">
              <w:rPr>
                <w:b/>
                <w:sz w:val="22"/>
                <w:lang w:val="uk-UA"/>
              </w:rPr>
              <w:t>тис.грн</w:t>
            </w:r>
            <w:proofErr w:type="spellEnd"/>
          </w:p>
        </w:tc>
        <w:tc>
          <w:tcPr>
            <w:tcW w:w="1360" w:type="dxa"/>
            <w:gridSpan w:val="2"/>
            <w:tcBorders>
              <w:top w:val="single" w:sz="4" w:space="0" w:color="auto"/>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Назва джерела</w:t>
            </w:r>
          </w:p>
        </w:tc>
        <w:tc>
          <w:tcPr>
            <w:tcW w:w="1478" w:type="dxa"/>
            <w:vMerge w:val="restart"/>
            <w:tcBorders>
              <w:top w:val="single" w:sz="4" w:space="0" w:color="auto"/>
              <w:left w:val="single" w:sz="4" w:space="0" w:color="auto"/>
            </w:tcBorders>
          </w:tcPr>
          <w:p w:rsidR="00E95FB1" w:rsidRPr="00C86B34" w:rsidRDefault="00E95FB1" w:rsidP="001B3967">
            <w:pPr>
              <w:pStyle w:val="a7"/>
              <w:ind w:left="0"/>
              <w:jc w:val="center"/>
              <w:rPr>
                <w:sz w:val="22"/>
                <w:lang w:val="uk-UA"/>
              </w:rPr>
            </w:pPr>
            <w:r w:rsidRPr="00C86B34">
              <w:rPr>
                <w:sz w:val="22"/>
                <w:lang w:val="uk-UA"/>
              </w:rPr>
              <w:t>26 000,00</w:t>
            </w:r>
          </w:p>
        </w:tc>
      </w:tr>
      <w:tr w:rsidR="00E95FB1" w:rsidRPr="00C86B34" w:rsidTr="001B3967">
        <w:trPr>
          <w:trHeight w:val="300"/>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1902" w:type="dxa"/>
            <w:vMerge/>
            <w:tcBorders>
              <w:right w:val="single" w:sz="4" w:space="0" w:color="auto"/>
            </w:tcBorders>
          </w:tcPr>
          <w:p w:rsidR="00E95FB1" w:rsidRPr="00C86B34" w:rsidRDefault="00E95FB1" w:rsidP="001B3967">
            <w:pPr>
              <w:pStyle w:val="a7"/>
              <w:ind w:left="0"/>
              <w:jc w:val="center"/>
              <w:rPr>
                <w:sz w:val="22"/>
                <w:lang w:val="uk-UA"/>
              </w:rPr>
            </w:pPr>
          </w:p>
        </w:tc>
        <w:tc>
          <w:tcPr>
            <w:tcW w:w="1404" w:type="dxa"/>
            <w:vMerge/>
            <w:tcBorders>
              <w:right w:val="single" w:sz="4" w:space="0" w:color="auto"/>
            </w:tcBorders>
          </w:tcPr>
          <w:p w:rsidR="00E95FB1" w:rsidRPr="00C86B34" w:rsidRDefault="00E95FB1" w:rsidP="001B3967">
            <w:pPr>
              <w:pStyle w:val="a7"/>
              <w:ind w:left="0"/>
              <w:jc w:val="center"/>
              <w:rPr>
                <w:b/>
                <w:sz w:val="22"/>
                <w:lang w:val="uk-UA"/>
              </w:rPr>
            </w:pPr>
          </w:p>
        </w:tc>
        <w:tc>
          <w:tcPr>
            <w:tcW w:w="1050" w:type="dxa"/>
            <w:gridSpan w:val="2"/>
            <w:tcBorders>
              <w:top w:val="single" w:sz="4" w:space="0" w:color="auto"/>
              <w:left w:val="single" w:sz="4" w:space="0" w:color="auto"/>
              <w:right w:val="single" w:sz="4" w:space="0" w:color="auto"/>
            </w:tcBorders>
          </w:tcPr>
          <w:p w:rsidR="00E95FB1" w:rsidRPr="00C86B34" w:rsidRDefault="00E95FB1" w:rsidP="001B3967">
            <w:pPr>
              <w:pStyle w:val="a7"/>
              <w:ind w:left="0"/>
              <w:jc w:val="center"/>
              <w:rPr>
                <w:sz w:val="22"/>
                <w:lang w:val="uk-UA"/>
              </w:rPr>
            </w:pPr>
          </w:p>
        </w:tc>
        <w:tc>
          <w:tcPr>
            <w:tcW w:w="1360" w:type="dxa"/>
            <w:gridSpan w:val="2"/>
            <w:tcBorders>
              <w:top w:val="single" w:sz="4" w:space="0" w:color="auto"/>
              <w:left w:val="single" w:sz="4" w:space="0" w:color="auto"/>
              <w:right w:val="single" w:sz="4" w:space="0" w:color="auto"/>
            </w:tcBorders>
          </w:tcPr>
          <w:p w:rsidR="00E95FB1" w:rsidRPr="00C86B34" w:rsidRDefault="00E95FB1" w:rsidP="001B3967">
            <w:pPr>
              <w:pStyle w:val="a7"/>
              <w:ind w:left="0"/>
              <w:jc w:val="center"/>
              <w:rPr>
                <w:sz w:val="22"/>
                <w:lang w:val="uk-UA"/>
              </w:rPr>
            </w:pPr>
          </w:p>
        </w:tc>
        <w:tc>
          <w:tcPr>
            <w:tcW w:w="1478" w:type="dxa"/>
            <w:vMerge/>
            <w:tcBorders>
              <w:left w:val="single" w:sz="4" w:space="0" w:color="auto"/>
            </w:tcBorders>
          </w:tcPr>
          <w:p w:rsidR="00E95FB1" w:rsidRPr="00C86B34" w:rsidRDefault="00E95FB1" w:rsidP="001B3967">
            <w:pPr>
              <w:pStyle w:val="a7"/>
              <w:ind w:left="0"/>
              <w:jc w:val="center"/>
              <w:rPr>
                <w:sz w:val="22"/>
                <w:lang w:val="uk-UA"/>
              </w:rPr>
            </w:pPr>
          </w:p>
        </w:tc>
      </w:tr>
    </w:tbl>
    <w:p w:rsidR="00E95FB1" w:rsidRPr="00C86B34" w:rsidRDefault="00E95FB1" w:rsidP="00E95FB1">
      <w:pPr>
        <w:rPr>
          <w:sz w:val="22"/>
        </w:rPr>
      </w:pPr>
    </w:p>
    <w:p w:rsidR="00E95FB1" w:rsidRPr="00C86B34" w:rsidRDefault="00E95FB1" w:rsidP="00E95FB1">
      <w:pPr>
        <w:rPr>
          <w:sz w:val="22"/>
        </w:rPr>
      </w:pPr>
    </w:p>
    <w:tbl>
      <w:tblPr>
        <w:tblStyle w:val="af"/>
        <w:tblW w:w="0" w:type="auto"/>
        <w:tblInd w:w="-176" w:type="dxa"/>
        <w:tblLook w:val="04A0" w:firstRow="1" w:lastRow="0" w:firstColumn="1" w:lastColumn="0" w:noHBand="0" w:noVBand="1"/>
      </w:tblPr>
      <w:tblGrid>
        <w:gridCol w:w="2590"/>
        <w:gridCol w:w="1893"/>
        <w:gridCol w:w="1386"/>
        <w:gridCol w:w="524"/>
        <w:gridCol w:w="521"/>
        <w:gridCol w:w="1154"/>
        <w:gridCol w:w="128"/>
        <w:gridCol w:w="1466"/>
      </w:tblGrid>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Оперативна ціль/завдання</w:t>
            </w:r>
          </w:p>
        </w:tc>
        <w:tc>
          <w:tcPr>
            <w:tcW w:w="7194" w:type="dxa"/>
            <w:gridSpan w:val="7"/>
            <w:shd w:val="clear" w:color="auto" w:fill="auto"/>
          </w:tcPr>
          <w:p w:rsidR="00E95FB1" w:rsidRPr="00C86B34" w:rsidRDefault="00E33B3A" w:rsidP="001B3967">
            <w:pPr>
              <w:pStyle w:val="a7"/>
              <w:ind w:left="0"/>
              <w:rPr>
                <w:sz w:val="22"/>
                <w:lang w:val="uk-UA"/>
              </w:rPr>
            </w:pPr>
            <w:r w:rsidRPr="00C86B34">
              <w:rPr>
                <w:rFonts w:eastAsia="Arial"/>
                <w:sz w:val="22"/>
                <w:lang w:val="uk-UA"/>
              </w:rPr>
              <w:t xml:space="preserve">Людський розвиток </w:t>
            </w:r>
            <w:r w:rsidR="00E95FB1" w:rsidRPr="00C86B34">
              <w:rPr>
                <w:rFonts w:eastAsia="Arial"/>
                <w:sz w:val="22"/>
                <w:lang w:val="uk-UA"/>
              </w:rPr>
              <w:t>через інновації управління та довіру до влади</w:t>
            </w:r>
          </w:p>
          <w:p w:rsidR="00E95FB1" w:rsidRPr="00C86B34" w:rsidRDefault="00E95FB1" w:rsidP="001B3967">
            <w:pPr>
              <w:tabs>
                <w:tab w:val="left" w:pos="442"/>
              </w:tabs>
              <w:rPr>
                <w:rFonts w:eastAsia="Arial"/>
                <w:b/>
                <w:sz w:val="22"/>
                <w:lang w:val="uk-UA"/>
              </w:rPr>
            </w:pPr>
            <w:r w:rsidRPr="00C86B34">
              <w:rPr>
                <w:rFonts w:eastAsia="Arial"/>
                <w:sz w:val="22"/>
                <w:lang w:val="uk-UA"/>
              </w:rPr>
              <w:t xml:space="preserve">Формування сучасного інклюзивного </w:t>
            </w:r>
            <w:proofErr w:type="spellStart"/>
            <w:r w:rsidRPr="00C86B34">
              <w:rPr>
                <w:rFonts w:eastAsia="Arial"/>
                <w:sz w:val="22"/>
                <w:lang w:val="uk-UA"/>
              </w:rPr>
              <w:t>освітньо</w:t>
            </w:r>
            <w:proofErr w:type="spellEnd"/>
            <w:r w:rsidRPr="00C86B34">
              <w:rPr>
                <w:rFonts w:eastAsia="Arial"/>
                <w:sz w:val="22"/>
                <w:lang w:val="uk-UA"/>
              </w:rPr>
              <w:t xml:space="preserve"> – культурного та спортивного простору для розвитку</w:t>
            </w:r>
            <w:r w:rsidRPr="00C86B34">
              <w:rPr>
                <w:b/>
                <w:sz w:val="22"/>
                <w:lang w:val="uk-UA"/>
              </w:rPr>
              <w:t xml:space="preserve"> </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Назва проекту:</w:t>
            </w:r>
          </w:p>
        </w:tc>
        <w:tc>
          <w:tcPr>
            <w:tcW w:w="7194" w:type="dxa"/>
            <w:gridSpan w:val="7"/>
          </w:tcPr>
          <w:p w:rsidR="00E95FB1" w:rsidRPr="00C86B34" w:rsidRDefault="00E95FB1" w:rsidP="001B3967">
            <w:pPr>
              <w:pStyle w:val="a7"/>
              <w:ind w:left="0"/>
              <w:rPr>
                <w:sz w:val="22"/>
                <w:lang w:val="uk-UA"/>
              </w:rPr>
            </w:pPr>
            <w:r w:rsidRPr="00C86B34">
              <w:rPr>
                <w:sz w:val="22"/>
                <w:lang w:val="uk-UA"/>
              </w:rPr>
              <w:t>Відновлення та відбудова будівель Комунального Закладу «Сєвєродонецька міська бібліотека для дітей» (</w:t>
            </w:r>
            <w:r w:rsidRPr="00C86B34">
              <w:rPr>
                <w:color w:val="000000"/>
                <w:sz w:val="22"/>
                <w:lang w:val="uk-UA"/>
              </w:rPr>
              <w:t xml:space="preserve">вул. </w:t>
            </w:r>
            <w:proofErr w:type="spellStart"/>
            <w:r w:rsidRPr="00C86B34">
              <w:rPr>
                <w:color w:val="000000"/>
                <w:sz w:val="22"/>
                <w:lang w:val="uk-UA"/>
              </w:rPr>
              <w:t>Вілєсова</w:t>
            </w:r>
            <w:proofErr w:type="spellEnd"/>
            <w:r w:rsidRPr="00C86B34">
              <w:rPr>
                <w:color w:val="000000"/>
                <w:sz w:val="22"/>
                <w:lang w:val="uk-UA"/>
              </w:rPr>
              <w:t xml:space="preserve">, буд. 6) </w:t>
            </w:r>
            <w:r w:rsidRPr="00C86B34">
              <w:rPr>
                <w:sz w:val="22"/>
                <w:lang w:val="uk-UA"/>
              </w:rPr>
              <w:t xml:space="preserve">з філією в селище </w:t>
            </w:r>
            <w:proofErr w:type="spellStart"/>
            <w:r w:rsidRPr="00C86B34">
              <w:rPr>
                <w:sz w:val="22"/>
                <w:lang w:val="uk-UA"/>
              </w:rPr>
              <w:t>Сиротіне</w:t>
            </w:r>
            <w:proofErr w:type="spellEnd"/>
            <w:r w:rsidRPr="00C86B34">
              <w:rPr>
                <w:sz w:val="22"/>
                <w:lang w:val="uk-UA"/>
              </w:rPr>
              <w:t xml:space="preserve">  (</w:t>
            </w:r>
            <w:r w:rsidRPr="00C86B34">
              <w:rPr>
                <w:color w:val="000000"/>
                <w:sz w:val="22"/>
                <w:lang w:val="uk-UA"/>
              </w:rPr>
              <w:t xml:space="preserve">вул. Шкільна, буд. 32) </w:t>
            </w:r>
            <w:r w:rsidRPr="00C86B34">
              <w:rPr>
                <w:sz w:val="22"/>
                <w:lang w:val="uk-UA"/>
              </w:rPr>
              <w:t>Сєвєродонецької міської територіальної громади для задоволення потреб мешканців у отриманні послуг, гарантованих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Ціль проекту</w:t>
            </w:r>
          </w:p>
        </w:tc>
        <w:tc>
          <w:tcPr>
            <w:tcW w:w="7194" w:type="dxa"/>
            <w:gridSpan w:val="7"/>
          </w:tcPr>
          <w:p w:rsidR="00E95FB1" w:rsidRPr="00C86B34" w:rsidRDefault="00E95FB1" w:rsidP="001B3967">
            <w:pPr>
              <w:pStyle w:val="a7"/>
              <w:ind w:left="0"/>
              <w:rPr>
                <w:sz w:val="22"/>
                <w:lang w:val="uk-UA"/>
              </w:rPr>
            </w:pPr>
            <w:r w:rsidRPr="00C86B34">
              <w:rPr>
                <w:sz w:val="22"/>
                <w:lang w:val="uk-UA"/>
              </w:rPr>
              <w:t>Відновити та відбудувати будівлі Комунального Закладу «Сєвєродонецька міська бібліотека для дітей» (</w:t>
            </w:r>
            <w:r w:rsidRPr="00C86B34">
              <w:rPr>
                <w:color w:val="000000"/>
                <w:sz w:val="22"/>
                <w:lang w:val="uk-UA"/>
              </w:rPr>
              <w:t xml:space="preserve">вул. </w:t>
            </w:r>
            <w:proofErr w:type="spellStart"/>
            <w:r w:rsidRPr="00C86B34">
              <w:rPr>
                <w:color w:val="000000"/>
                <w:sz w:val="22"/>
                <w:lang w:val="uk-UA"/>
              </w:rPr>
              <w:t>Вілєсова</w:t>
            </w:r>
            <w:proofErr w:type="spellEnd"/>
            <w:r w:rsidRPr="00C86B34">
              <w:rPr>
                <w:color w:val="000000"/>
                <w:sz w:val="22"/>
                <w:lang w:val="uk-UA"/>
              </w:rPr>
              <w:t xml:space="preserve">, буд. 6) </w:t>
            </w:r>
            <w:r w:rsidRPr="00C86B34">
              <w:rPr>
                <w:sz w:val="22"/>
                <w:lang w:val="uk-UA"/>
              </w:rPr>
              <w:t xml:space="preserve">з філією в селище </w:t>
            </w:r>
            <w:proofErr w:type="spellStart"/>
            <w:r w:rsidRPr="00C86B34">
              <w:rPr>
                <w:sz w:val="22"/>
                <w:lang w:val="uk-UA"/>
              </w:rPr>
              <w:t>Сиротіне</w:t>
            </w:r>
            <w:proofErr w:type="spellEnd"/>
            <w:r w:rsidRPr="00C86B34">
              <w:rPr>
                <w:sz w:val="22"/>
                <w:lang w:val="uk-UA"/>
              </w:rPr>
              <w:t xml:space="preserve">  (</w:t>
            </w:r>
            <w:r w:rsidRPr="00C86B34">
              <w:rPr>
                <w:color w:val="000000"/>
                <w:sz w:val="22"/>
                <w:lang w:val="uk-UA"/>
              </w:rPr>
              <w:t xml:space="preserve">вул. Шкільна, буд. 32) </w:t>
            </w:r>
            <w:r w:rsidRPr="00C86B34">
              <w:rPr>
                <w:sz w:val="22"/>
                <w:lang w:val="uk-UA"/>
              </w:rPr>
              <w:t>Сєвєродонецької міської територіальної громади для задоволення потреб мешканців у отриманні послуг, гарантованих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Територія, на яку матиме вплив реалізація проекту</w:t>
            </w:r>
          </w:p>
        </w:tc>
        <w:tc>
          <w:tcPr>
            <w:tcW w:w="7194" w:type="dxa"/>
            <w:gridSpan w:val="7"/>
          </w:tcPr>
          <w:p w:rsidR="00E95FB1" w:rsidRPr="00C86B34" w:rsidRDefault="00E95FB1" w:rsidP="001B3967">
            <w:pPr>
              <w:pStyle w:val="a7"/>
              <w:ind w:left="0"/>
              <w:rPr>
                <w:sz w:val="22"/>
                <w:lang w:val="uk-UA"/>
              </w:rPr>
            </w:pPr>
            <w:r w:rsidRPr="00C86B34">
              <w:rPr>
                <w:sz w:val="22"/>
                <w:lang w:val="uk-UA"/>
              </w:rPr>
              <w:t>Сєвєродонецька міська територіальна громада</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Чисельність населення, на яке матиме вплив реалізація проекту</w:t>
            </w:r>
          </w:p>
        </w:tc>
        <w:tc>
          <w:tcPr>
            <w:tcW w:w="7194" w:type="dxa"/>
            <w:gridSpan w:val="7"/>
          </w:tcPr>
          <w:p w:rsidR="00E95FB1" w:rsidRPr="00C86B34" w:rsidRDefault="00972A49" w:rsidP="001B3967">
            <w:pPr>
              <w:pStyle w:val="a7"/>
              <w:ind w:left="0"/>
              <w:rPr>
                <w:sz w:val="22"/>
                <w:lang w:val="uk-UA"/>
              </w:rPr>
            </w:pPr>
            <w:r w:rsidRPr="00C86B34">
              <w:rPr>
                <w:sz w:val="22"/>
                <w:lang w:val="uk-UA"/>
              </w:rPr>
              <w:t>70 000</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Опис проблеми, на вирішення якої  спрямований проект</w:t>
            </w:r>
          </w:p>
        </w:tc>
        <w:tc>
          <w:tcPr>
            <w:tcW w:w="7194" w:type="dxa"/>
            <w:gridSpan w:val="7"/>
          </w:tcPr>
          <w:p w:rsidR="00E95FB1" w:rsidRPr="00C86B34" w:rsidRDefault="00E95FB1" w:rsidP="001B3967">
            <w:pPr>
              <w:ind w:firstLine="328"/>
              <w:rPr>
                <w:sz w:val="22"/>
                <w:lang w:val="uk-UA"/>
              </w:rPr>
            </w:pPr>
            <w:r w:rsidRPr="00C86B34">
              <w:rPr>
                <w:sz w:val="22"/>
                <w:lang w:val="uk-UA"/>
              </w:rPr>
              <w:t>Через військову агресію РФ територія Сєвєродонецької міської територіальної громади зазнала значних пошкоджень. Будівлі Комунального Закладу «Сєвєродонецька міська бібліотека для дітей» (</w:t>
            </w:r>
            <w:r w:rsidRPr="00C86B34">
              <w:rPr>
                <w:color w:val="000000"/>
                <w:sz w:val="22"/>
                <w:lang w:val="uk-UA"/>
              </w:rPr>
              <w:t xml:space="preserve">вул. </w:t>
            </w:r>
            <w:proofErr w:type="spellStart"/>
            <w:r w:rsidRPr="00C86B34">
              <w:rPr>
                <w:color w:val="000000"/>
                <w:sz w:val="22"/>
                <w:lang w:val="uk-UA"/>
              </w:rPr>
              <w:t>Вілєсова</w:t>
            </w:r>
            <w:proofErr w:type="spellEnd"/>
            <w:r w:rsidRPr="00C86B34">
              <w:rPr>
                <w:color w:val="000000"/>
                <w:sz w:val="22"/>
                <w:lang w:val="uk-UA"/>
              </w:rPr>
              <w:t xml:space="preserve">, буд. 6) </w:t>
            </w:r>
            <w:r w:rsidRPr="00C86B34">
              <w:rPr>
                <w:sz w:val="22"/>
                <w:lang w:val="uk-UA"/>
              </w:rPr>
              <w:t xml:space="preserve">з філією в селище </w:t>
            </w:r>
            <w:proofErr w:type="spellStart"/>
            <w:r w:rsidRPr="00C86B34">
              <w:rPr>
                <w:sz w:val="22"/>
                <w:lang w:val="uk-UA"/>
              </w:rPr>
              <w:t>Сиротіне</w:t>
            </w:r>
            <w:proofErr w:type="spellEnd"/>
            <w:r w:rsidRPr="00C86B34">
              <w:rPr>
                <w:sz w:val="22"/>
                <w:lang w:val="uk-UA"/>
              </w:rPr>
              <w:t xml:space="preserve">  (</w:t>
            </w:r>
            <w:r w:rsidRPr="00C86B34">
              <w:rPr>
                <w:color w:val="000000"/>
                <w:sz w:val="22"/>
                <w:lang w:val="uk-UA"/>
              </w:rPr>
              <w:t xml:space="preserve">вул. Шкільна, буд. 32) </w:t>
            </w:r>
            <w:r w:rsidRPr="00C86B34">
              <w:rPr>
                <w:sz w:val="22"/>
                <w:lang w:val="uk-UA"/>
              </w:rPr>
              <w:t>належать Сєвєродонецькій міській територіальній громаді, сильно пошкоджені в результаті обстрілів. Для поновлення життєдіяльності громади та стимулювання повернення мешканців до громади необхідно забезпечити їх всіма необхідними послугами, гарантованими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lastRenderedPageBreak/>
              <w:t>Очікувані якісні результати від реалізації проекту</w:t>
            </w:r>
          </w:p>
        </w:tc>
        <w:tc>
          <w:tcPr>
            <w:tcW w:w="7194" w:type="dxa"/>
            <w:gridSpan w:val="7"/>
          </w:tcPr>
          <w:p w:rsidR="00E95FB1" w:rsidRPr="00C86B34" w:rsidRDefault="00E95FB1" w:rsidP="000303D7">
            <w:pPr>
              <w:pStyle w:val="a7"/>
              <w:numPr>
                <w:ilvl w:val="0"/>
                <w:numId w:val="27"/>
              </w:numPr>
              <w:jc w:val="left"/>
              <w:rPr>
                <w:sz w:val="22"/>
                <w:lang w:val="uk-UA"/>
              </w:rPr>
            </w:pPr>
            <w:r w:rsidRPr="00C86B34">
              <w:rPr>
                <w:sz w:val="22"/>
                <w:lang w:val="uk-UA"/>
              </w:rPr>
              <w:t>Отримання мешканцями громади якісних послуг у сфері культури та бібліотечної діяльності;</w:t>
            </w:r>
          </w:p>
          <w:p w:rsidR="00E95FB1" w:rsidRPr="00C86B34" w:rsidRDefault="00972A49" w:rsidP="000303D7">
            <w:pPr>
              <w:pStyle w:val="a7"/>
              <w:numPr>
                <w:ilvl w:val="0"/>
                <w:numId w:val="27"/>
              </w:numPr>
              <w:jc w:val="left"/>
              <w:rPr>
                <w:sz w:val="22"/>
                <w:lang w:val="uk-UA"/>
              </w:rPr>
            </w:pPr>
            <w:r w:rsidRPr="00C86B34">
              <w:rPr>
                <w:sz w:val="22"/>
                <w:lang w:val="uk-UA"/>
              </w:rPr>
              <w:t>м</w:t>
            </w:r>
            <w:r w:rsidR="00E95FB1" w:rsidRPr="00C86B34">
              <w:rPr>
                <w:sz w:val="22"/>
                <w:lang w:val="uk-UA"/>
              </w:rPr>
              <w:t>отивація мешканців громади до повернення у громаду;</w:t>
            </w:r>
          </w:p>
          <w:p w:rsidR="00E95FB1" w:rsidRPr="00C86B34" w:rsidRDefault="00972A49" w:rsidP="000303D7">
            <w:pPr>
              <w:pStyle w:val="a7"/>
              <w:numPr>
                <w:ilvl w:val="0"/>
                <w:numId w:val="27"/>
              </w:numPr>
              <w:jc w:val="left"/>
              <w:rPr>
                <w:sz w:val="22"/>
                <w:lang w:val="uk-UA"/>
              </w:rPr>
            </w:pPr>
            <w:r w:rsidRPr="00C86B34">
              <w:rPr>
                <w:sz w:val="22"/>
                <w:lang w:val="uk-UA"/>
              </w:rPr>
              <w:t>з</w:t>
            </w:r>
            <w:r w:rsidR="00E95FB1" w:rsidRPr="00C86B34">
              <w:rPr>
                <w:sz w:val="22"/>
                <w:lang w:val="uk-UA"/>
              </w:rPr>
              <w:t>ахист правових, культурних,</w:t>
            </w:r>
            <w:r w:rsidRPr="00C86B34">
              <w:rPr>
                <w:sz w:val="22"/>
                <w:lang w:val="uk-UA"/>
              </w:rPr>
              <w:t xml:space="preserve"> </w:t>
            </w:r>
            <w:r w:rsidR="00E95FB1" w:rsidRPr="00C86B34">
              <w:rPr>
                <w:sz w:val="22"/>
                <w:lang w:val="uk-UA"/>
              </w:rPr>
              <w:t>освітніх,</w:t>
            </w:r>
            <w:r w:rsidRPr="00C86B34">
              <w:rPr>
                <w:sz w:val="22"/>
                <w:lang w:val="uk-UA"/>
              </w:rPr>
              <w:t xml:space="preserve"> </w:t>
            </w:r>
            <w:r w:rsidR="00E95FB1" w:rsidRPr="00C86B34">
              <w:rPr>
                <w:sz w:val="22"/>
                <w:lang w:val="uk-UA"/>
              </w:rPr>
              <w:t>економічних та інших інтересів громадян;</w:t>
            </w:r>
          </w:p>
          <w:p w:rsidR="00E95FB1" w:rsidRPr="00C86B34" w:rsidRDefault="00972A49" w:rsidP="000303D7">
            <w:pPr>
              <w:pStyle w:val="a7"/>
              <w:numPr>
                <w:ilvl w:val="0"/>
                <w:numId w:val="27"/>
              </w:numPr>
              <w:jc w:val="left"/>
              <w:rPr>
                <w:sz w:val="22"/>
                <w:lang w:val="uk-UA"/>
              </w:rPr>
            </w:pPr>
            <w:r w:rsidRPr="00C86B34">
              <w:rPr>
                <w:sz w:val="22"/>
                <w:lang w:val="uk-UA"/>
              </w:rPr>
              <w:t>н</w:t>
            </w:r>
            <w:r w:rsidR="00E95FB1" w:rsidRPr="00C86B34">
              <w:rPr>
                <w:sz w:val="22"/>
                <w:lang w:val="uk-UA"/>
              </w:rPr>
              <w:t>адання юридичним та фізичним особам-підприємцям якісних послуг для впровадження ними своєї діяльності;</w:t>
            </w:r>
          </w:p>
          <w:p w:rsidR="00E95FB1" w:rsidRPr="00C86B34" w:rsidRDefault="00972A49" w:rsidP="000303D7">
            <w:pPr>
              <w:pStyle w:val="a7"/>
              <w:numPr>
                <w:ilvl w:val="0"/>
                <w:numId w:val="27"/>
              </w:numPr>
              <w:jc w:val="left"/>
              <w:rPr>
                <w:sz w:val="22"/>
                <w:lang w:val="uk-UA"/>
              </w:rPr>
            </w:pPr>
            <w:r w:rsidRPr="00C86B34">
              <w:rPr>
                <w:sz w:val="22"/>
                <w:lang w:val="uk-UA"/>
              </w:rPr>
              <w:t>с</w:t>
            </w:r>
            <w:r w:rsidR="00E95FB1" w:rsidRPr="00C86B34">
              <w:rPr>
                <w:sz w:val="22"/>
                <w:lang w:val="uk-UA"/>
              </w:rPr>
              <w:t>талий розвиток громади;</w:t>
            </w:r>
          </w:p>
          <w:p w:rsidR="00E95FB1" w:rsidRPr="00C86B34" w:rsidRDefault="00972A49" w:rsidP="000303D7">
            <w:pPr>
              <w:pStyle w:val="a7"/>
              <w:numPr>
                <w:ilvl w:val="0"/>
                <w:numId w:val="27"/>
              </w:numPr>
              <w:jc w:val="left"/>
              <w:rPr>
                <w:sz w:val="22"/>
                <w:lang w:val="uk-UA"/>
              </w:rPr>
            </w:pPr>
            <w:r w:rsidRPr="00C86B34">
              <w:rPr>
                <w:sz w:val="22"/>
                <w:lang w:val="uk-UA"/>
              </w:rPr>
              <w:t>і</w:t>
            </w:r>
            <w:r w:rsidR="00E95FB1" w:rsidRPr="00C86B34">
              <w:rPr>
                <w:sz w:val="22"/>
                <w:lang w:val="uk-UA"/>
              </w:rPr>
              <w:t>нвестиційна привабливість громади;</w:t>
            </w:r>
          </w:p>
          <w:p w:rsidR="00E95FB1" w:rsidRPr="00C86B34" w:rsidRDefault="00972A49" w:rsidP="00972A49">
            <w:pPr>
              <w:pStyle w:val="a7"/>
              <w:numPr>
                <w:ilvl w:val="0"/>
                <w:numId w:val="27"/>
              </w:numPr>
              <w:jc w:val="left"/>
              <w:rPr>
                <w:sz w:val="22"/>
                <w:lang w:val="uk-UA"/>
              </w:rPr>
            </w:pPr>
            <w:r w:rsidRPr="00C86B34">
              <w:rPr>
                <w:sz w:val="22"/>
                <w:lang w:val="uk-UA"/>
              </w:rPr>
              <w:t>к</w:t>
            </w:r>
            <w:r w:rsidR="00E95FB1" w:rsidRPr="00C86B34">
              <w:rPr>
                <w:sz w:val="22"/>
                <w:lang w:val="uk-UA"/>
              </w:rPr>
              <w:t>омфортне життя мешканців.</w:t>
            </w:r>
          </w:p>
        </w:tc>
      </w:tr>
      <w:tr w:rsidR="00E95FB1" w:rsidRPr="00C86B34" w:rsidTr="001B3967">
        <w:trPr>
          <w:trHeight w:val="390"/>
        </w:trPr>
        <w:tc>
          <w:tcPr>
            <w:tcW w:w="2694" w:type="dxa"/>
            <w:vMerge w:val="restart"/>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 xml:space="preserve">Очікувані кількісні результати реалізації </w:t>
            </w:r>
            <w:proofErr w:type="spellStart"/>
            <w:r w:rsidRPr="00C86B34">
              <w:rPr>
                <w:b/>
                <w:sz w:val="22"/>
                <w:lang w:val="uk-UA"/>
              </w:rPr>
              <w:t>проєкту</w:t>
            </w:r>
            <w:proofErr w:type="spellEnd"/>
            <w:r w:rsidRPr="00C86B34">
              <w:rPr>
                <w:b/>
                <w:sz w:val="22"/>
                <w:lang w:val="uk-UA"/>
              </w:rPr>
              <w:t xml:space="preserve"> (індикатори)</w:t>
            </w:r>
          </w:p>
          <w:p w:rsidR="00E95FB1" w:rsidRPr="00C86B34" w:rsidRDefault="00E95FB1" w:rsidP="001B3967">
            <w:pPr>
              <w:pStyle w:val="a7"/>
              <w:ind w:left="0"/>
              <w:rPr>
                <w:b/>
                <w:sz w:val="22"/>
                <w:lang w:val="uk-UA"/>
              </w:rPr>
            </w:pPr>
          </w:p>
        </w:tc>
        <w:tc>
          <w:tcPr>
            <w:tcW w:w="3896" w:type="dxa"/>
            <w:gridSpan w:val="3"/>
            <w:tcBorders>
              <w:bottom w:val="single" w:sz="4" w:space="0" w:color="auto"/>
              <w:right w:val="single" w:sz="4" w:space="0" w:color="auto"/>
            </w:tcBorders>
          </w:tcPr>
          <w:p w:rsidR="00E95FB1" w:rsidRPr="00C86B34" w:rsidRDefault="00E95FB1" w:rsidP="001B3967">
            <w:pPr>
              <w:pStyle w:val="a7"/>
              <w:ind w:left="-108"/>
              <w:jc w:val="center"/>
              <w:rPr>
                <w:b/>
                <w:sz w:val="22"/>
                <w:lang w:val="uk-UA"/>
              </w:rPr>
            </w:pPr>
            <w:r w:rsidRPr="00C86B34">
              <w:rPr>
                <w:b/>
                <w:sz w:val="22"/>
                <w:lang w:val="uk-UA"/>
              </w:rPr>
              <w:t>Найменування показника</w:t>
            </w:r>
          </w:p>
        </w:tc>
        <w:tc>
          <w:tcPr>
            <w:tcW w:w="1687" w:type="dxa"/>
            <w:gridSpan w:val="2"/>
            <w:tcBorders>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Одиниця вимірювання</w:t>
            </w:r>
          </w:p>
          <w:p w:rsidR="00E95FB1" w:rsidRPr="00C86B34" w:rsidRDefault="00E95FB1" w:rsidP="001B3967">
            <w:pPr>
              <w:pStyle w:val="a7"/>
              <w:ind w:left="0"/>
              <w:rPr>
                <w:b/>
                <w:sz w:val="22"/>
                <w:lang w:val="uk-UA"/>
              </w:rPr>
            </w:pPr>
          </w:p>
        </w:tc>
        <w:tc>
          <w:tcPr>
            <w:tcW w:w="1611" w:type="dxa"/>
            <w:gridSpan w:val="2"/>
            <w:tcBorders>
              <w:left w:val="single" w:sz="4" w:space="0" w:color="auto"/>
              <w:bottom w:val="single" w:sz="4" w:space="0" w:color="auto"/>
            </w:tcBorders>
          </w:tcPr>
          <w:p w:rsidR="00E95FB1" w:rsidRPr="00C86B34" w:rsidRDefault="00E95FB1" w:rsidP="001B3967">
            <w:pPr>
              <w:pStyle w:val="a7"/>
              <w:ind w:left="0"/>
              <w:jc w:val="center"/>
              <w:rPr>
                <w:b/>
                <w:sz w:val="22"/>
                <w:lang w:val="uk-UA"/>
              </w:rPr>
            </w:pPr>
            <w:r w:rsidRPr="00C86B34">
              <w:rPr>
                <w:b/>
                <w:sz w:val="22"/>
                <w:lang w:val="uk-UA"/>
              </w:rPr>
              <w:t>Прогнозне (цільове) значення</w:t>
            </w:r>
          </w:p>
        </w:tc>
      </w:tr>
      <w:tr w:rsidR="00E95FB1" w:rsidRPr="00C86B34" w:rsidTr="001B3967">
        <w:trPr>
          <w:trHeight w:val="58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896"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rPr>
                <w:sz w:val="22"/>
                <w:lang w:val="uk-UA"/>
              </w:rPr>
            </w:pPr>
            <w:r w:rsidRPr="00C86B34">
              <w:rPr>
                <w:sz w:val="22"/>
                <w:lang w:val="uk-UA"/>
              </w:rPr>
              <w:t>Кількість фізичних та юридичних осіб (користувачів), які звернулись за послугами протягом  року</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jc w:val="center"/>
              <w:rPr>
                <w:sz w:val="22"/>
                <w:lang w:val="uk-UA"/>
              </w:rPr>
            </w:pPr>
            <w:r w:rsidRPr="00C86B34">
              <w:rPr>
                <w:rFonts w:eastAsia="Arial"/>
                <w:sz w:val="22"/>
                <w:lang w:val="uk-UA"/>
              </w:rPr>
              <w:t>осіб</w:t>
            </w:r>
          </w:p>
        </w:tc>
        <w:tc>
          <w:tcPr>
            <w:tcW w:w="1611" w:type="dxa"/>
            <w:gridSpan w:val="2"/>
            <w:tcBorders>
              <w:top w:val="single" w:sz="4" w:space="0" w:color="auto"/>
              <w:left w:val="single" w:sz="4" w:space="0" w:color="auto"/>
              <w:bottom w:val="single" w:sz="4" w:space="0" w:color="auto"/>
            </w:tcBorders>
            <w:vAlign w:val="center"/>
          </w:tcPr>
          <w:p w:rsidR="00E95FB1" w:rsidRPr="00C86B34" w:rsidRDefault="00E95FB1" w:rsidP="001B3967">
            <w:pPr>
              <w:jc w:val="center"/>
              <w:rPr>
                <w:rFonts w:eastAsia="Arial"/>
                <w:sz w:val="22"/>
                <w:lang w:val="uk-UA"/>
              </w:rPr>
            </w:pPr>
            <w:r w:rsidRPr="00C86B34">
              <w:rPr>
                <w:sz w:val="22"/>
                <w:lang w:val="uk-UA"/>
              </w:rPr>
              <w:t>7433</w:t>
            </w:r>
          </w:p>
        </w:tc>
      </w:tr>
      <w:tr w:rsidR="00E95FB1" w:rsidRPr="00C86B34" w:rsidTr="001B3967">
        <w:trPr>
          <w:trHeight w:val="184"/>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896"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rPr>
                <w:sz w:val="22"/>
                <w:lang w:val="uk-UA"/>
              </w:rPr>
            </w:pPr>
            <w:r w:rsidRPr="00C86B34">
              <w:rPr>
                <w:sz w:val="22"/>
                <w:lang w:val="uk-UA"/>
              </w:rPr>
              <w:t>Кількість книговидань протягом  року</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примірників</w:t>
            </w:r>
          </w:p>
        </w:tc>
        <w:tc>
          <w:tcPr>
            <w:tcW w:w="1611" w:type="dxa"/>
            <w:gridSpan w:val="2"/>
            <w:tcBorders>
              <w:top w:val="single" w:sz="4" w:space="0" w:color="auto"/>
              <w:left w:val="single" w:sz="4" w:space="0" w:color="auto"/>
              <w:bottom w:val="single" w:sz="4" w:space="0" w:color="auto"/>
            </w:tcBorders>
            <w:vAlign w:val="center"/>
          </w:tcPr>
          <w:p w:rsidR="00E95FB1" w:rsidRPr="00C86B34" w:rsidRDefault="00E95FB1" w:rsidP="001B3967">
            <w:pPr>
              <w:jc w:val="center"/>
              <w:rPr>
                <w:sz w:val="22"/>
                <w:lang w:val="uk-UA"/>
              </w:rPr>
            </w:pPr>
            <w:r w:rsidRPr="00C86B34">
              <w:rPr>
                <w:sz w:val="22"/>
                <w:lang w:val="uk-UA"/>
              </w:rPr>
              <w:t>153864</w:t>
            </w:r>
          </w:p>
        </w:tc>
      </w:tr>
      <w:tr w:rsidR="00E95FB1" w:rsidRPr="00C86B34" w:rsidTr="001B3967">
        <w:trPr>
          <w:trHeight w:val="16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896"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rPr>
                <w:sz w:val="22"/>
                <w:lang w:val="uk-UA"/>
              </w:rPr>
            </w:pPr>
            <w:r w:rsidRPr="00C86B34">
              <w:rPr>
                <w:sz w:val="22"/>
                <w:lang w:val="uk-UA"/>
              </w:rPr>
              <w:t>Кількість відвідувань заходів  протягом  року</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осіб</w:t>
            </w:r>
          </w:p>
        </w:tc>
        <w:tc>
          <w:tcPr>
            <w:tcW w:w="1611"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69509</w:t>
            </w:r>
          </w:p>
        </w:tc>
      </w:tr>
      <w:tr w:rsidR="00E95FB1" w:rsidRPr="00C86B34" w:rsidTr="001B3967">
        <w:trPr>
          <w:trHeight w:val="16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896"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rPr>
                <w:sz w:val="22"/>
                <w:lang w:val="uk-UA"/>
              </w:rPr>
            </w:pPr>
            <w:r w:rsidRPr="00C86B34">
              <w:rPr>
                <w:sz w:val="22"/>
                <w:lang w:val="uk-UA"/>
              </w:rPr>
              <w:t>Кількість заходів для користувачів</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611"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693</w:t>
            </w:r>
          </w:p>
        </w:tc>
      </w:tr>
      <w:tr w:rsidR="00E95FB1" w:rsidRPr="00C86B34" w:rsidTr="001B3967">
        <w:trPr>
          <w:trHeight w:val="165"/>
        </w:trPr>
        <w:tc>
          <w:tcPr>
            <w:tcW w:w="2694" w:type="dxa"/>
            <w:shd w:val="clear" w:color="auto" w:fill="C6D9F1" w:themeFill="text2" w:themeFillTint="33"/>
          </w:tcPr>
          <w:p w:rsidR="00E95FB1" w:rsidRPr="00C86B34" w:rsidRDefault="00E95FB1" w:rsidP="001B3967">
            <w:pPr>
              <w:pStyle w:val="a7"/>
              <w:ind w:left="0"/>
              <w:rPr>
                <w:b/>
                <w:sz w:val="22"/>
                <w:lang w:val="uk-UA"/>
              </w:rPr>
            </w:pPr>
          </w:p>
        </w:tc>
        <w:tc>
          <w:tcPr>
            <w:tcW w:w="3896"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Середня вартість послуг</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грн</w:t>
            </w:r>
          </w:p>
        </w:tc>
        <w:tc>
          <w:tcPr>
            <w:tcW w:w="1611"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безкоштовно</w:t>
            </w:r>
          </w:p>
        </w:tc>
      </w:tr>
      <w:tr w:rsidR="00E95FB1" w:rsidRPr="00C86B34" w:rsidTr="001B3967">
        <w:trPr>
          <w:trHeight w:val="165"/>
        </w:trPr>
        <w:tc>
          <w:tcPr>
            <w:tcW w:w="2694" w:type="dxa"/>
            <w:shd w:val="clear" w:color="auto" w:fill="C6D9F1" w:themeFill="text2" w:themeFillTint="33"/>
          </w:tcPr>
          <w:p w:rsidR="00E95FB1" w:rsidRPr="00C86B34" w:rsidRDefault="00E95FB1" w:rsidP="001B3967">
            <w:pPr>
              <w:pStyle w:val="a7"/>
              <w:ind w:left="0"/>
              <w:rPr>
                <w:b/>
                <w:sz w:val="22"/>
                <w:lang w:val="uk-UA"/>
              </w:rPr>
            </w:pPr>
          </w:p>
        </w:tc>
        <w:tc>
          <w:tcPr>
            <w:tcW w:w="3896"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Термін надання послуги</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років</w:t>
            </w:r>
          </w:p>
        </w:tc>
        <w:tc>
          <w:tcPr>
            <w:tcW w:w="1611"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Від 1 до 120</w:t>
            </w:r>
          </w:p>
        </w:tc>
      </w:tr>
      <w:tr w:rsidR="00E95FB1" w:rsidRPr="00C86B34" w:rsidTr="001B3967">
        <w:trPr>
          <w:trHeight w:val="165"/>
        </w:trPr>
        <w:tc>
          <w:tcPr>
            <w:tcW w:w="2694" w:type="dxa"/>
            <w:shd w:val="clear" w:color="auto" w:fill="C6D9F1" w:themeFill="text2" w:themeFillTint="33"/>
          </w:tcPr>
          <w:p w:rsidR="00E95FB1" w:rsidRPr="00C86B34" w:rsidRDefault="00E95FB1" w:rsidP="001B3967">
            <w:pPr>
              <w:pStyle w:val="a7"/>
              <w:ind w:left="0"/>
              <w:rPr>
                <w:b/>
                <w:sz w:val="22"/>
                <w:lang w:val="uk-UA"/>
              </w:rPr>
            </w:pPr>
          </w:p>
        </w:tc>
        <w:tc>
          <w:tcPr>
            <w:tcW w:w="3896" w:type="dxa"/>
            <w:gridSpan w:val="3"/>
            <w:tcBorders>
              <w:top w:val="single" w:sz="4" w:space="0" w:color="auto"/>
              <w:bottom w:val="single" w:sz="4" w:space="0" w:color="auto"/>
              <w:right w:val="single" w:sz="4" w:space="0" w:color="auto"/>
            </w:tcBorders>
          </w:tcPr>
          <w:p w:rsidR="00E95FB1" w:rsidRPr="00C86B34" w:rsidRDefault="00E95FB1" w:rsidP="00972A49">
            <w:pPr>
              <w:pStyle w:val="a7"/>
              <w:ind w:left="0"/>
              <w:jc w:val="center"/>
              <w:rPr>
                <w:sz w:val="22"/>
                <w:lang w:val="uk-UA"/>
              </w:rPr>
            </w:pPr>
            <w:r w:rsidRPr="00C86B34">
              <w:rPr>
                <w:sz w:val="22"/>
                <w:lang w:val="uk-UA"/>
              </w:rPr>
              <w:t>Кількість населених пунктів, як</w:t>
            </w:r>
            <w:r w:rsidR="00972A49" w:rsidRPr="00C86B34">
              <w:rPr>
                <w:sz w:val="22"/>
                <w:lang w:val="uk-UA"/>
              </w:rPr>
              <w:t>і</w:t>
            </w:r>
            <w:r w:rsidRPr="00C86B34">
              <w:rPr>
                <w:sz w:val="22"/>
                <w:lang w:val="uk-UA"/>
              </w:rPr>
              <w:t xml:space="preserve"> обслуговує заклад</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611"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20</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 xml:space="preserve">Ключові заходи проекту: </w:t>
            </w:r>
          </w:p>
          <w:p w:rsidR="00E95FB1" w:rsidRPr="00C86B34" w:rsidRDefault="00E95FB1" w:rsidP="001B3967">
            <w:pPr>
              <w:pStyle w:val="a7"/>
              <w:ind w:left="0"/>
              <w:rPr>
                <w:b/>
                <w:sz w:val="22"/>
                <w:lang w:val="uk-UA"/>
              </w:rPr>
            </w:pPr>
          </w:p>
        </w:tc>
        <w:tc>
          <w:tcPr>
            <w:tcW w:w="7194" w:type="dxa"/>
            <w:gridSpan w:val="7"/>
          </w:tcPr>
          <w:p w:rsidR="00E95FB1" w:rsidRPr="00C86B34" w:rsidRDefault="00E95FB1" w:rsidP="001B3967">
            <w:pPr>
              <w:pStyle w:val="a7"/>
              <w:ind w:left="0"/>
              <w:rPr>
                <w:sz w:val="22"/>
                <w:lang w:val="uk-UA"/>
              </w:rPr>
            </w:pPr>
            <w:r w:rsidRPr="00C86B34">
              <w:rPr>
                <w:sz w:val="22"/>
                <w:lang w:val="uk-UA"/>
              </w:rPr>
              <w:t>- обстеження об’єкта нерухомості;</w:t>
            </w:r>
          </w:p>
          <w:p w:rsidR="00E95FB1" w:rsidRPr="00C86B34" w:rsidRDefault="00E95FB1" w:rsidP="001B3967">
            <w:pPr>
              <w:pStyle w:val="a7"/>
              <w:ind w:left="0"/>
              <w:rPr>
                <w:sz w:val="22"/>
                <w:lang w:val="uk-UA"/>
              </w:rPr>
            </w:pPr>
            <w:r w:rsidRPr="00C86B34">
              <w:rPr>
                <w:sz w:val="22"/>
                <w:lang w:val="uk-UA"/>
              </w:rPr>
              <w:t>- пошук інвестора;</w:t>
            </w:r>
          </w:p>
          <w:p w:rsidR="00E95FB1" w:rsidRPr="00C86B34" w:rsidRDefault="00E95FB1" w:rsidP="001B3967">
            <w:pPr>
              <w:pStyle w:val="a7"/>
              <w:ind w:left="0"/>
              <w:rPr>
                <w:sz w:val="22"/>
                <w:lang w:val="uk-UA"/>
              </w:rPr>
            </w:pPr>
            <w:r w:rsidRPr="00C86B34">
              <w:rPr>
                <w:sz w:val="22"/>
                <w:lang w:val="uk-UA"/>
              </w:rPr>
              <w:t xml:space="preserve">- розробка </w:t>
            </w:r>
            <w:proofErr w:type="spellStart"/>
            <w:r w:rsidRPr="00C86B34">
              <w:rPr>
                <w:sz w:val="22"/>
                <w:lang w:val="uk-UA"/>
              </w:rPr>
              <w:t>про</w:t>
            </w:r>
            <w:r w:rsidR="00972A49" w:rsidRPr="00C86B34">
              <w:rPr>
                <w:sz w:val="22"/>
                <w:lang w:val="uk-UA"/>
              </w:rPr>
              <w:t>є</w:t>
            </w:r>
            <w:r w:rsidRPr="00C86B34">
              <w:rPr>
                <w:sz w:val="22"/>
                <w:lang w:val="uk-UA"/>
              </w:rPr>
              <w:t>ктно</w:t>
            </w:r>
            <w:proofErr w:type="spellEnd"/>
            <w:r w:rsidRPr="00C86B34">
              <w:rPr>
                <w:sz w:val="22"/>
                <w:lang w:val="uk-UA"/>
              </w:rPr>
              <w:t>-кошторисної документації;</w:t>
            </w:r>
          </w:p>
          <w:p w:rsidR="00E95FB1" w:rsidRPr="00C86B34" w:rsidRDefault="00E95FB1" w:rsidP="001B3967">
            <w:pPr>
              <w:pStyle w:val="a7"/>
              <w:ind w:left="0"/>
              <w:rPr>
                <w:sz w:val="22"/>
                <w:lang w:val="uk-UA"/>
              </w:rPr>
            </w:pPr>
            <w:r w:rsidRPr="00C86B34">
              <w:rPr>
                <w:sz w:val="22"/>
                <w:lang w:val="uk-UA"/>
              </w:rPr>
              <w:t>- укладення договору про будівництво із підрядною організацією;</w:t>
            </w:r>
          </w:p>
          <w:p w:rsidR="00E95FB1" w:rsidRPr="00C86B34" w:rsidRDefault="00E95FB1" w:rsidP="001B3967">
            <w:pPr>
              <w:pStyle w:val="a7"/>
              <w:ind w:left="0"/>
              <w:rPr>
                <w:sz w:val="22"/>
                <w:lang w:val="uk-UA"/>
              </w:rPr>
            </w:pPr>
            <w:r w:rsidRPr="00C86B34">
              <w:rPr>
                <w:sz w:val="22"/>
                <w:lang w:val="uk-UA"/>
              </w:rPr>
              <w:t>- організація та початок робочого процесу.</w:t>
            </w:r>
          </w:p>
        </w:tc>
      </w:tr>
      <w:tr w:rsidR="00E95FB1" w:rsidRPr="00C86B34" w:rsidTr="001B3967">
        <w:trPr>
          <w:trHeight w:val="360"/>
        </w:trPr>
        <w:tc>
          <w:tcPr>
            <w:tcW w:w="2694" w:type="dxa"/>
            <w:vMerge w:val="restart"/>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Орієнтовний обсяг та джерела фінансування, тис. грн.</w:t>
            </w:r>
          </w:p>
          <w:p w:rsidR="00E95FB1" w:rsidRPr="00C86B34" w:rsidRDefault="00E95FB1" w:rsidP="001B3967">
            <w:pPr>
              <w:pStyle w:val="a7"/>
              <w:ind w:left="0"/>
              <w:rPr>
                <w:b/>
                <w:sz w:val="22"/>
                <w:lang w:val="uk-UA"/>
              </w:rPr>
            </w:pPr>
          </w:p>
          <w:p w:rsidR="00E95FB1" w:rsidRPr="00C86B34" w:rsidRDefault="00E95FB1" w:rsidP="001B3967">
            <w:pPr>
              <w:pStyle w:val="a7"/>
              <w:ind w:left="0"/>
              <w:rPr>
                <w:b/>
                <w:sz w:val="22"/>
                <w:lang w:val="uk-UA"/>
              </w:rPr>
            </w:pPr>
            <w:r w:rsidRPr="00C86B34">
              <w:rPr>
                <w:b/>
                <w:sz w:val="22"/>
                <w:lang w:val="uk-UA"/>
              </w:rPr>
              <w:t xml:space="preserve"> </w:t>
            </w:r>
          </w:p>
          <w:p w:rsidR="00E95FB1" w:rsidRPr="00C86B34" w:rsidRDefault="00E95FB1" w:rsidP="001B3967">
            <w:pPr>
              <w:pStyle w:val="a7"/>
              <w:ind w:left="0"/>
              <w:rPr>
                <w:color w:val="000000"/>
                <w:sz w:val="22"/>
                <w:lang w:val="uk-UA"/>
              </w:rPr>
            </w:pPr>
            <w:r w:rsidRPr="00C86B34">
              <w:rPr>
                <w:color w:val="000000"/>
                <w:sz w:val="22"/>
                <w:lang w:val="uk-UA"/>
              </w:rPr>
              <w:t xml:space="preserve">Сєвєродонецьк вул. </w:t>
            </w:r>
            <w:proofErr w:type="spellStart"/>
            <w:r w:rsidRPr="00C86B34">
              <w:rPr>
                <w:color w:val="000000"/>
                <w:sz w:val="22"/>
                <w:lang w:val="uk-UA"/>
              </w:rPr>
              <w:t>Вілєсова</w:t>
            </w:r>
            <w:proofErr w:type="spellEnd"/>
            <w:r w:rsidRPr="00C86B34">
              <w:rPr>
                <w:color w:val="000000"/>
                <w:sz w:val="22"/>
                <w:lang w:val="uk-UA"/>
              </w:rPr>
              <w:t>, буд. 6</w:t>
            </w:r>
          </w:p>
          <w:p w:rsidR="00E95FB1" w:rsidRPr="00C86B34" w:rsidRDefault="00E95FB1" w:rsidP="001B3967">
            <w:pPr>
              <w:pStyle w:val="a7"/>
              <w:ind w:left="0"/>
              <w:rPr>
                <w:b/>
                <w:sz w:val="22"/>
                <w:lang w:val="uk-UA"/>
              </w:rPr>
            </w:pPr>
            <w:proofErr w:type="spellStart"/>
            <w:r w:rsidRPr="00C86B34">
              <w:rPr>
                <w:sz w:val="22"/>
                <w:lang w:val="uk-UA"/>
              </w:rPr>
              <w:t>Сиротіне</w:t>
            </w:r>
            <w:proofErr w:type="spellEnd"/>
            <w:r w:rsidRPr="00C86B34">
              <w:rPr>
                <w:sz w:val="22"/>
                <w:lang w:val="uk-UA"/>
              </w:rPr>
              <w:t xml:space="preserve">  </w:t>
            </w:r>
            <w:r w:rsidRPr="00C86B34">
              <w:rPr>
                <w:color w:val="000000"/>
                <w:sz w:val="22"/>
                <w:lang w:val="uk-UA"/>
              </w:rPr>
              <w:t>вул. Шкільна, буд. 32</w:t>
            </w:r>
          </w:p>
        </w:tc>
        <w:tc>
          <w:tcPr>
            <w:tcW w:w="1953" w:type="dxa"/>
            <w:tcBorders>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Державний бюджет</w:t>
            </w:r>
          </w:p>
        </w:tc>
        <w:tc>
          <w:tcPr>
            <w:tcW w:w="1409" w:type="dxa"/>
            <w:tcBorders>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Місцевий бюджет</w:t>
            </w:r>
          </w:p>
          <w:p w:rsidR="00E95FB1" w:rsidRPr="00C86B34" w:rsidRDefault="00E95FB1" w:rsidP="001B3967">
            <w:pPr>
              <w:pStyle w:val="a7"/>
              <w:ind w:left="0"/>
              <w:jc w:val="center"/>
              <w:rPr>
                <w:b/>
                <w:sz w:val="22"/>
                <w:lang w:val="uk-UA"/>
              </w:rPr>
            </w:pPr>
            <w:proofErr w:type="spellStart"/>
            <w:r w:rsidRPr="00C86B34">
              <w:rPr>
                <w:b/>
                <w:sz w:val="22"/>
                <w:lang w:val="uk-UA"/>
              </w:rPr>
              <w:t>тис.грн</w:t>
            </w:r>
            <w:proofErr w:type="spellEnd"/>
          </w:p>
        </w:tc>
        <w:tc>
          <w:tcPr>
            <w:tcW w:w="2358" w:type="dxa"/>
            <w:gridSpan w:val="4"/>
            <w:tcBorders>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Інші джерела</w:t>
            </w:r>
          </w:p>
          <w:p w:rsidR="00E95FB1" w:rsidRPr="00C86B34" w:rsidRDefault="00E95FB1" w:rsidP="001B3967">
            <w:pPr>
              <w:pStyle w:val="a7"/>
              <w:ind w:left="0"/>
              <w:jc w:val="center"/>
              <w:rPr>
                <w:b/>
                <w:sz w:val="22"/>
                <w:lang w:val="uk-UA"/>
              </w:rPr>
            </w:pPr>
            <w:proofErr w:type="spellStart"/>
            <w:r w:rsidRPr="00C86B34">
              <w:rPr>
                <w:b/>
                <w:sz w:val="22"/>
                <w:lang w:val="uk-UA"/>
              </w:rPr>
              <w:t>тис.грн</w:t>
            </w:r>
            <w:proofErr w:type="spellEnd"/>
          </w:p>
        </w:tc>
        <w:tc>
          <w:tcPr>
            <w:tcW w:w="1474" w:type="dxa"/>
            <w:tcBorders>
              <w:left w:val="single" w:sz="4" w:space="0" w:color="auto"/>
              <w:bottom w:val="single" w:sz="4" w:space="0" w:color="auto"/>
            </w:tcBorders>
          </w:tcPr>
          <w:p w:rsidR="00E95FB1" w:rsidRPr="00C86B34" w:rsidRDefault="00E95FB1" w:rsidP="001B3967">
            <w:pPr>
              <w:pStyle w:val="a7"/>
              <w:ind w:left="0"/>
              <w:jc w:val="center"/>
              <w:rPr>
                <w:b/>
                <w:sz w:val="22"/>
                <w:lang w:val="uk-UA"/>
              </w:rPr>
            </w:pPr>
            <w:r w:rsidRPr="00C86B34">
              <w:rPr>
                <w:b/>
                <w:sz w:val="22"/>
                <w:lang w:val="uk-UA"/>
              </w:rPr>
              <w:t>Всього</w:t>
            </w:r>
          </w:p>
          <w:p w:rsidR="00E95FB1" w:rsidRPr="00C86B34" w:rsidRDefault="00E95FB1" w:rsidP="001B3967">
            <w:pPr>
              <w:pStyle w:val="a7"/>
              <w:ind w:left="0"/>
              <w:jc w:val="center"/>
              <w:rPr>
                <w:b/>
                <w:sz w:val="22"/>
                <w:lang w:val="uk-UA"/>
              </w:rPr>
            </w:pPr>
            <w:proofErr w:type="spellStart"/>
            <w:r w:rsidRPr="00C86B34">
              <w:rPr>
                <w:b/>
                <w:sz w:val="22"/>
                <w:lang w:val="uk-UA"/>
              </w:rPr>
              <w:t>тис.грн</w:t>
            </w:r>
            <w:proofErr w:type="spellEnd"/>
          </w:p>
        </w:tc>
      </w:tr>
      <w:tr w:rsidR="00E95FB1" w:rsidRPr="00C86B34" w:rsidTr="001B3967">
        <w:trPr>
          <w:trHeight w:val="22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1953" w:type="dxa"/>
            <w:vMerge w:val="restart"/>
            <w:tcBorders>
              <w:top w:val="single" w:sz="4" w:space="0" w:color="auto"/>
              <w:right w:val="single" w:sz="4" w:space="0" w:color="auto"/>
            </w:tcBorders>
          </w:tcPr>
          <w:p w:rsidR="00E95FB1" w:rsidRPr="00C86B34" w:rsidRDefault="00E95FB1" w:rsidP="001B3967">
            <w:pPr>
              <w:pStyle w:val="a7"/>
              <w:ind w:left="0"/>
              <w:jc w:val="center"/>
              <w:rPr>
                <w:b/>
                <w:sz w:val="22"/>
                <w:lang w:val="uk-UA"/>
              </w:rPr>
            </w:pPr>
          </w:p>
          <w:p w:rsidR="00E95FB1" w:rsidRPr="00C86B34" w:rsidRDefault="00E95FB1" w:rsidP="001B3967">
            <w:pPr>
              <w:pStyle w:val="a7"/>
              <w:ind w:left="0"/>
              <w:jc w:val="center"/>
              <w:rPr>
                <w:sz w:val="22"/>
                <w:lang w:val="uk-UA"/>
              </w:rPr>
            </w:pPr>
          </w:p>
          <w:p w:rsidR="00E95FB1" w:rsidRPr="00C86B34" w:rsidRDefault="00E95FB1" w:rsidP="001B3967">
            <w:pPr>
              <w:pStyle w:val="a7"/>
              <w:ind w:left="0"/>
              <w:jc w:val="center"/>
              <w:rPr>
                <w:sz w:val="22"/>
                <w:lang w:val="uk-UA"/>
              </w:rPr>
            </w:pPr>
            <w:r w:rsidRPr="00C86B34">
              <w:rPr>
                <w:sz w:val="22"/>
                <w:lang w:val="uk-UA"/>
              </w:rPr>
              <w:t>190000,0</w:t>
            </w:r>
          </w:p>
          <w:p w:rsidR="00E95FB1" w:rsidRPr="00C86B34" w:rsidRDefault="00E95FB1" w:rsidP="001B3967">
            <w:pPr>
              <w:pStyle w:val="a7"/>
              <w:ind w:left="0"/>
              <w:jc w:val="center"/>
              <w:rPr>
                <w:sz w:val="22"/>
                <w:lang w:val="uk-UA"/>
              </w:rPr>
            </w:pPr>
            <w:r w:rsidRPr="00C86B34">
              <w:rPr>
                <w:sz w:val="22"/>
                <w:lang w:val="uk-UA"/>
              </w:rPr>
              <w:t>180000,0</w:t>
            </w:r>
          </w:p>
          <w:p w:rsidR="00E95FB1" w:rsidRPr="00C86B34" w:rsidRDefault="00E95FB1" w:rsidP="001B3967">
            <w:pPr>
              <w:pStyle w:val="a7"/>
              <w:ind w:left="0"/>
              <w:jc w:val="center"/>
              <w:rPr>
                <w:sz w:val="22"/>
                <w:lang w:val="uk-UA"/>
              </w:rPr>
            </w:pPr>
          </w:p>
          <w:p w:rsidR="00E95FB1" w:rsidRPr="00C86B34" w:rsidRDefault="00E95FB1" w:rsidP="001B3967">
            <w:pPr>
              <w:pStyle w:val="a7"/>
              <w:ind w:left="0"/>
              <w:jc w:val="center"/>
              <w:rPr>
                <w:b/>
                <w:sz w:val="22"/>
                <w:lang w:val="uk-UA"/>
              </w:rPr>
            </w:pPr>
            <w:r w:rsidRPr="00C86B34">
              <w:rPr>
                <w:sz w:val="22"/>
                <w:lang w:val="uk-UA"/>
              </w:rPr>
              <w:t>10000,0</w:t>
            </w:r>
          </w:p>
        </w:tc>
        <w:tc>
          <w:tcPr>
            <w:tcW w:w="1409" w:type="dxa"/>
            <w:vMerge w:val="restart"/>
            <w:tcBorders>
              <w:top w:val="single" w:sz="4" w:space="0" w:color="auto"/>
              <w:right w:val="single" w:sz="4" w:space="0" w:color="auto"/>
            </w:tcBorders>
          </w:tcPr>
          <w:p w:rsidR="00E95FB1" w:rsidRPr="00C86B34" w:rsidRDefault="00E95FB1" w:rsidP="001B3967">
            <w:pPr>
              <w:pStyle w:val="a7"/>
              <w:ind w:left="0"/>
              <w:jc w:val="center"/>
              <w:rPr>
                <w:sz w:val="22"/>
                <w:lang w:val="uk-UA"/>
              </w:rPr>
            </w:pPr>
            <w:proofErr w:type="spellStart"/>
            <w:r w:rsidRPr="00C86B34">
              <w:rPr>
                <w:sz w:val="22"/>
                <w:lang w:val="uk-UA"/>
              </w:rPr>
              <w:t>Проєкт</w:t>
            </w:r>
            <w:proofErr w:type="spellEnd"/>
          </w:p>
          <w:p w:rsidR="00E95FB1" w:rsidRPr="00C86B34" w:rsidRDefault="00E95FB1" w:rsidP="001B3967">
            <w:pPr>
              <w:pStyle w:val="a7"/>
              <w:ind w:left="0"/>
              <w:jc w:val="center"/>
              <w:rPr>
                <w:sz w:val="22"/>
                <w:lang w:val="uk-UA"/>
              </w:rPr>
            </w:pPr>
            <w:r w:rsidRPr="00C86B34">
              <w:rPr>
                <w:sz w:val="22"/>
                <w:lang w:val="uk-UA"/>
              </w:rPr>
              <w:t>2500,00</w:t>
            </w:r>
          </w:p>
          <w:p w:rsidR="00E95FB1" w:rsidRPr="00C86B34" w:rsidRDefault="00E95FB1" w:rsidP="001B3967">
            <w:pPr>
              <w:pStyle w:val="a7"/>
              <w:ind w:left="0"/>
              <w:jc w:val="center"/>
              <w:rPr>
                <w:sz w:val="22"/>
                <w:lang w:val="uk-UA"/>
              </w:rPr>
            </w:pPr>
          </w:p>
          <w:p w:rsidR="00E95FB1" w:rsidRPr="00C86B34" w:rsidRDefault="00E95FB1" w:rsidP="001B3967">
            <w:pPr>
              <w:pStyle w:val="a7"/>
              <w:ind w:left="0"/>
              <w:jc w:val="center"/>
              <w:rPr>
                <w:sz w:val="22"/>
                <w:lang w:val="uk-UA"/>
              </w:rPr>
            </w:pPr>
            <w:r w:rsidRPr="00C86B34">
              <w:rPr>
                <w:sz w:val="22"/>
                <w:lang w:val="uk-UA"/>
              </w:rPr>
              <w:t>2000,00</w:t>
            </w:r>
          </w:p>
          <w:p w:rsidR="00E95FB1" w:rsidRPr="00C86B34" w:rsidRDefault="00E95FB1" w:rsidP="001B3967">
            <w:pPr>
              <w:pStyle w:val="a7"/>
              <w:ind w:left="0"/>
              <w:jc w:val="center"/>
              <w:rPr>
                <w:sz w:val="22"/>
                <w:lang w:val="uk-UA"/>
              </w:rPr>
            </w:pPr>
          </w:p>
          <w:p w:rsidR="00E95FB1" w:rsidRPr="00C86B34" w:rsidRDefault="00E95FB1" w:rsidP="001B3967">
            <w:pPr>
              <w:pStyle w:val="a7"/>
              <w:ind w:left="0"/>
              <w:jc w:val="center"/>
              <w:rPr>
                <w:sz w:val="22"/>
                <w:lang w:val="uk-UA"/>
              </w:rPr>
            </w:pPr>
            <w:r w:rsidRPr="00C86B34">
              <w:rPr>
                <w:sz w:val="22"/>
                <w:lang w:val="uk-UA"/>
              </w:rPr>
              <w:t>500,00</w:t>
            </w:r>
          </w:p>
        </w:tc>
        <w:tc>
          <w:tcPr>
            <w:tcW w:w="1055" w:type="dxa"/>
            <w:gridSpan w:val="2"/>
            <w:tcBorders>
              <w:top w:val="single" w:sz="4" w:space="0" w:color="auto"/>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Обсяг</w:t>
            </w:r>
          </w:p>
          <w:p w:rsidR="00E95FB1" w:rsidRPr="00C86B34" w:rsidRDefault="00E95FB1" w:rsidP="001B3967">
            <w:pPr>
              <w:pStyle w:val="a7"/>
              <w:ind w:left="0"/>
              <w:jc w:val="center"/>
              <w:rPr>
                <w:b/>
                <w:sz w:val="22"/>
                <w:lang w:val="uk-UA"/>
              </w:rPr>
            </w:pPr>
            <w:proofErr w:type="spellStart"/>
            <w:r w:rsidRPr="00C86B34">
              <w:rPr>
                <w:b/>
                <w:sz w:val="22"/>
                <w:lang w:val="uk-UA"/>
              </w:rPr>
              <w:t>тис.грн</w:t>
            </w:r>
            <w:proofErr w:type="spellEnd"/>
          </w:p>
        </w:tc>
        <w:tc>
          <w:tcPr>
            <w:tcW w:w="1303" w:type="dxa"/>
            <w:gridSpan w:val="2"/>
            <w:tcBorders>
              <w:top w:val="single" w:sz="4" w:space="0" w:color="auto"/>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Назва джерела</w:t>
            </w:r>
          </w:p>
        </w:tc>
        <w:tc>
          <w:tcPr>
            <w:tcW w:w="1474" w:type="dxa"/>
            <w:vMerge w:val="restart"/>
            <w:tcBorders>
              <w:top w:val="single" w:sz="4" w:space="0" w:color="auto"/>
              <w:left w:val="single" w:sz="4" w:space="0" w:color="auto"/>
            </w:tcBorders>
          </w:tcPr>
          <w:p w:rsidR="00E95FB1" w:rsidRPr="00C86B34" w:rsidRDefault="00E95FB1" w:rsidP="001B3967">
            <w:pPr>
              <w:pStyle w:val="a7"/>
              <w:ind w:left="0"/>
              <w:jc w:val="center"/>
              <w:rPr>
                <w:sz w:val="22"/>
                <w:lang w:val="uk-UA"/>
              </w:rPr>
            </w:pPr>
            <w:r w:rsidRPr="00C86B34">
              <w:rPr>
                <w:sz w:val="22"/>
                <w:lang w:val="uk-UA"/>
              </w:rPr>
              <w:t>192 500,00</w:t>
            </w:r>
          </w:p>
        </w:tc>
      </w:tr>
      <w:tr w:rsidR="00E95FB1" w:rsidRPr="00C86B34" w:rsidTr="001B3967">
        <w:trPr>
          <w:trHeight w:val="300"/>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1953" w:type="dxa"/>
            <w:vMerge/>
            <w:tcBorders>
              <w:right w:val="single" w:sz="4" w:space="0" w:color="auto"/>
            </w:tcBorders>
          </w:tcPr>
          <w:p w:rsidR="00E95FB1" w:rsidRPr="00C86B34" w:rsidRDefault="00E95FB1" w:rsidP="001B3967">
            <w:pPr>
              <w:pStyle w:val="a7"/>
              <w:ind w:left="0"/>
              <w:jc w:val="center"/>
              <w:rPr>
                <w:sz w:val="22"/>
                <w:lang w:val="uk-UA"/>
              </w:rPr>
            </w:pPr>
          </w:p>
        </w:tc>
        <w:tc>
          <w:tcPr>
            <w:tcW w:w="1409" w:type="dxa"/>
            <w:vMerge/>
            <w:tcBorders>
              <w:right w:val="single" w:sz="4" w:space="0" w:color="auto"/>
            </w:tcBorders>
          </w:tcPr>
          <w:p w:rsidR="00E95FB1" w:rsidRPr="00C86B34" w:rsidRDefault="00E95FB1" w:rsidP="001B3967">
            <w:pPr>
              <w:pStyle w:val="a7"/>
              <w:ind w:left="0"/>
              <w:jc w:val="center"/>
              <w:rPr>
                <w:b/>
                <w:sz w:val="22"/>
                <w:lang w:val="uk-UA"/>
              </w:rPr>
            </w:pPr>
          </w:p>
        </w:tc>
        <w:tc>
          <w:tcPr>
            <w:tcW w:w="1055" w:type="dxa"/>
            <w:gridSpan w:val="2"/>
            <w:tcBorders>
              <w:top w:val="single" w:sz="4" w:space="0" w:color="auto"/>
              <w:left w:val="single" w:sz="4" w:space="0" w:color="auto"/>
              <w:right w:val="single" w:sz="4" w:space="0" w:color="auto"/>
            </w:tcBorders>
          </w:tcPr>
          <w:p w:rsidR="00E95FB1" w:rsidRPr="00C86B34" w:rsidRDefault="00E95FB1" w:rsidP="001B3967">
            <w:pPr>
              <w:pStyle w:val="a7"/>
              <w:ind w:left="0"/>
              <w:jc w:val="center"/>
              <w:rPr>
                <w:sz w:val="22"/>
                <w:lang w:val="uk-UA"/>
              </w:rPr>
            </w:pPr>
          </w:p>
        </w:tc>
        <w:tc>
          <w:tcPr>
            <w:tcW w:w="1303" w:type="dxa"/>
            <w:gridSpan w:val="2"/>
            <w:tcBorders>
              <w:top w:val="single" w:sz="4" w:space="0" w:color="auto"/>
              <w:left w:val="single" w:sz="4" w:space="0" w:color="auto"/>
              <w:right w:val="single" w:sz="4" w:space="0" w:color="auto"/>
            </w:tcBorders>
          </w:tcPr>
          <w:p w:rsidR="00E95FB1" w:rsidRPr="00C86B34" w:rsidRDefault="00E95FB1" w:rsidP="001B3967">
            <w:pPr>
              <w:pStyle w:val="a7"/>
              <w:ind w:left="0"/>
              <w:jc w:val="center"/>
              <w:rPr>
                <w:sz w:val="22"/>
                <w:lang w:val="uk-UA"/>
              </w:rPr>
            </w:pPr>
          </w:p>
        </w:tc>
        <w:tc>
          <w:tcPr>
            <w:tcW w:w="1474" w:type="dxa"/>
            <w:vMerge/>
            <w:tcBorders>
              <w:left w:val="single" w:sz="4" w:space="0" w:color="auto"/>
            </w:tcBorders>
          </w:tcPr>
          <w:p w:rsidR="00E95FB1" w:rsidRPr="00C86B34" w:rsidRDefault="00E95FB1" w:rsidP="001B3967">
            <w:pPr>
              <w:pStyle w:val="a7"/>
              <w:ind w:left="0"/>
              <w:jc w:val="center"/>
              <w:rPr>
                <w:sz w:val="22"/>
                <w:lang w:val="uk-UA"/>
              </w:rPr>
            </w:pPr>
          </w:p>
        </w:tc>
      </w:tr>
    </w:tbl>
    <w:p w:rsidR="00E95FB1" w:rsidRPr="00C86B34" w:rsidRDefault="00E95FB1" w:rsidP="00E95FB1">
      <w:pPr>
        <w:rPr>
          <w:sz w:val="22"/>
        </w:rPr>
      </w:pPr>
    </w:p>
    <w:p w:rsidR="00E95FB1" w:rsidRPr="00C86B34" w:rsidRDefault="00E95FB1" w:rsidP="00E95FB1">
      <w:pPr>
        <w:rPr>
          <w:sz w:val="22"/>
        </w:rPr>
      </w:pPr>
    </w:p>
    <w:tbl>
      <w:tblPr>
        <w:tblStyle w:val="af"/>
        <w:tblW w:w="0" w:type="auto"/>
        <w:tblInd w:w="-176" w:type="dxa"/>
        <w:tblLook w:val="04A0" w:firstRow="1" w:lastRow="0" w:firstColumn="1" w:lastColumn="0" w:noHBand="0" w:noVBand="1"/>
      </w:tblPr>
      <w:tblGrid>
        <w:gridCol w:w="2586"/>
        <w:gridCol w:w="1938"/>
        <w:gridCol w:w="1360"/>
        <w:gridCol w:w="531"/>
        <w:gridCol w:w="466"/>
        <w:gridCol w:w="1245"/>
        <w:gridCol w:w="1536"/>
      </w:tblGrid>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Оперативна ціль/завдання</w:t>
            </w:r>
          </w:p>
        </w:tc>
        <w:tc>
          <w:tcPr>
            <w:tcW w:w="7194" w:type="dxa"/>
            <w:gridSpan w:val="6"/>
            <w:shd w:val="clear" w:color="auto" w:fill="auto"/>
          </w:tcPr>
          <w:p w:rsidR="00E95FB1" w:rsidRPr="00C86B34" w:rsidRDefault="00972A49" w:rsidP="001B3967">
            <w:pPr>
              <w:pStyle w:val="a7"/>
              <w:ind w:left="0"/>
              <w:rPr>
                <w:sz w:val="22"/>
                <w:lang w:val="uk-UA"/>
              </w:rPr>
            </w:pPr>
            <w:r w:rsidRPr="00C86B34">
              <w:rPr>
                <w:rFonts w:eastAsia="Arial"/>
                <w:sz w:val="22"/>
                <w:lang w:val="uk-UA"/>
              </w:rPr>
              <w:t xml:space="preserve">Людський розвиток </w:t>
            </w:r>
            <w:r w:rsidR="00E95FB1" w:rsidRPr="00C86B34">
              <w:rPr>
                <w:rFonts w:eastAsia="Arial"/>
                <w:sz w:val="22"/>
                <w:lang w:val="uk-UA"/>
              </w:rPr>
              <w:t>через інновації управління та довіру до влади</w:t>
            </w:r>
          </w:p>
          <w:p w:rsidR="00E95FB1" w:rsidRPr="00C86B34" w:rsidRDefault="00E95FB1" w:rsidP="001B3967">
            <w:pPr>
              <w:tabs>
                <w:tab w:val="left" w:pos="442"/>
              </w:tabs>
              <w:rPr>
                <w:rFonts w:eastAsia="Arial"/>
                <w:b/>
                <w:sz w:val="22"/>
                <w:lang w:val="uk-UA"/>
              </w:rPr>
            </w:pPr>
            <w:r w:rsidRPr="00C86B34">
              <w:rPr>
                <w:rFonts w:eastAsia="Arial"/>
                <w:sz w:val="22"/>
                <w:lang w:val="uk-UA"/>
              </w:rPr>
              <w:t xml:space="preserve">Формування сучасного інклюзивного </w:t>
            </w:r>
            <w:proofErr w:type="spellStart"/>
            <w:r w:rsidRPr="00C86B34">
              <w:rPr>
                <w:rFonts w:eastAsia="Arial"/>
                <w:sz w:val="22"/>
                <w:lang w:val="uk-UA"/>
              </w:rPr>
              <w:t>освітньо</w:t>
            </w:r>
            <w:proofErr w:type="spellEnd"/>
            <w:r w:rsidRPr="00C86B34">
              <w:rPr>
                <w:rFonts w:eastAsia="Arial"/>
                <w:sz w:val="22"/>
                <w:lang w:val="uk-UA"/>
              </w:rPr>
              <w:t xml:space="preserve"> – культурного та спортивного простору для розвитку</w:t>
            </w:r>
            <w:r w:rsidRPr="00C86B34">
              <w:rPr>
                <w:b/>
                <w:sz w:val="22"/>
                <w:lang w:val="uk-UA"/>
              </w:rPr>
              <w:t xml:space="preserve"> </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Назва проекту:</w:t>
            </w:r>
          </w:p>
        </w:tc>
        <w:tc>
          <w:tcPr>
            <w:tcW w:w="7194" w:type="dxa"/>
            <w:gridSpan w:val="6"/>
          </w:tcPr>
          <w:p w:rsidR="00E95FB1" w:rsidRPr="00C86B34" w:rsidRDefault="00E95FB1" w:rsidP="001B3967">
            <w:pPr>
              <w:pStyle w:val="a7"/>
              <w:ind w:left="0"/>
              <w:rPr>
                <w:sz w:val="22"/>
                <w:lang w:val="uk-UA"/>
              </w:rPr>
            </w:pPr>
            <w:r w:rsidRPr="00C86B34">
              <w:rPr>
                <w:sz w:val="22"/>
                <w:lang w:val="uk-UA"/>
              </w:rPr>
              <w:t>Відновлення та відбудова будівель Комунального Закладу «Сєвєродонецька музична школа№2»</w:t>
            </w:r>
            <w:r w:rsidR="00BD06ED" w:rsidRPr="00C86B34">
              <w:rPr>
                <w:sz w:val="22"/>
                <w:lang w:val="uk-UA"/>
              </w:rPr>
              <w:t xml:space="preserve"> </w:t>
            </w:r>
            <w:r w:rsidRPr="00C86B34">
              <w:rPr>
                <w:sz w:val="22"/>
                <w:lang w:val="uk-UA"/>
              </w:rPr>
              <w:t>Сєвєродонецької міської територіальної громади для задоволення потреб мешканців у отриманні послуг, гарантованих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Ціль проекту</w:t>
            </w:r>
          </w:p>
        </w:tc>
        <w:tc>
          <w:tcPr>
            <w:tcW w:w="7194" w:type="dxa"/>
            <w:gridSpan w:val="6"/>
          </w:tcPr>
          <w:p w:rsidR="00E95FB1" w:rsidRPr="00C86B34" w:rsidRDefault="00E95FB1" w:rsidP="001B3967">
            <w:pPr>
              <w:pStyle w:val="a7"/>
              <w:ind w:left="0"/>
              <w:rPr>
                <w:sz w:val="22"/>
                <w:lang w:val="uk-UA"/>
              </w:rPr>
            </w:pPr>
            <w:r w:rsidRPr="00C86B34">
              <w:rPr>
                <w:sz w:val="22"/>
                <w:lang w:val="uk-UA"/>
              </w:rPr>
              <w:t>Відновити та відбудувати будівлі Комунального Закладу «Сєвєродонецька музична школа</w:t>
            </w:r>
            <w:r w:rsidR="00BD06ED" w:rsidRPr="00C86B34">
              <w:rPr>
                <w:sz w:val="22"/>
                <w:lang w:val="uk-UA"/>
              </w:rPr>
              <w:t xml:space="preserve"> </w:t>
            </w:r>
            <w:r w:rsidRPr="00C86B34">
              <w:rPr>
                <w:sz w:val="22"/>
                <w:lang w:val="uk-UA"/>
              </w:rPr>
              <w:t>№2» Сєвєродонецької міської територіальної громади для задоволення потреб мешканців у отриманні послуг, гарантованих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Територія, на яку матиме вплив реалізація проекту</w:t>
            </w:r>
          </w:p>
        </w:tc>
        <w:tc>
          <w:tcPr>
            <w:tcW w:w="7194" w:type="dxa"/>
            <w:gridSpan w:val="6"/>
          </w:tcPr>
          <w:p w:rsidR="00E95FB1" w:rsidRPr="00C86B34" w:rsidRDefault="00E95FB1" w:rsidP="001B3967">
            <w:pPr>
              <w:pStyle w:val="a7"/>
              <w:ind w:left="0"/>
              <w:rPr>
                <w:sz w:val="22"/>
                <w:lang w:val="uk-UA"/>
              </w:rPr>
            </w:pPr>
            <w:r w:rsidRPr="00C86B34">
              <w:rPr>
                <w:sz w:val="22"/>
                <w:lang w:val="uk-UA"/>
              </w:rPr>
              <w:t>Сєвєродонецька міська територіальна громада</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lastRenderedPageBreak/>
              <w:t>Чисельність населення, на яке матиме вплив реалізація проекту</w:t>
            </w:r>
          </w:p>
        </w:tc>
        <w:tc>
          <w:tcPr>
            <w:tcW w:w="7194" w:type="dxa"/>
            <w:gridSpan w:val="6"/>
          </w:tcPr>
          <w:p w:rsidR="00E95FB1" w:rsidRPr="00C86B34" w:rsidRDefault="00BD06ED" w:rsidP="001B3967">
            <w:pPr>
              <w:pStyle w:val="a7"/>
              <w:ind w:left="0"/>
              <w:rPr>
                <w:sz w:val="22"/>
                <w:lang w:val="uk-UA"/>
              </w:rPr>
            </w:pPr>
            <w:r w:rsidRPr="00C86B34">
              <w:rPr>
                <w:sz w:val="22"/>
                <w:lang w:val="uk-UA"/>
              </w:rPr>
              <w:t>70 000</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Опис проблеми, на вирішення якої  спрямований проект</w:t>
            </w:r>
          </w:p>
        </w:tc>
        <w:tc>
          <w:tcPr>
            <w:tcW w:w="7194" w:type="dxa"/>
            <w:gridSpan w:val="6"/>
          </w:tcPr>
          <w:p w:rsidR="00E95FB1" w:rsidRPr="00C86B34" w:rsidRDefault="00E95FB1" w:rsidP="001B3967">
            <w:pPr>
              <w:ind w:firstLine="328"/>
              <w:rPr>
                <w:sz w:val="22"/>
                <w:lang w:val="uk-UA"/>
              </w:rPr>
            </w:pPr>
            <w:r w:rsidRPr="00C86B34">
              <w:rPr>
                <w:sz w:val="22"/>
                <w:lang w:val="uk-UA"/>
              </w:rPr>
              <w:t>Через військову агресію РФ територія Сєвєродонецької міської територіальної громади зазнала значних пошкоджень. Будівля Комунального Закладу «Сєвєродонецька музична школа</w:t>
            </w:r>
            <w:r w:rsidR="00BD06ED" w:rsidRPr="00C86B34">
              <w:rPr>
                <w:sz w:val="22"/>
                <w:lang w:val="uk-UA"/>
              </w:rPr>
              <w:t xml:space="preserve"> </w:t>
            </w:r>
            <w:r w:rsidRPr="00C86B34">
              <w:rPr>
                <w:sz w:val="22"/>
                <w:lang w:val="uk-UA"/>
              </w:rPr>
              <w:t>№2» яка належить Сєвєродонецькій міській територіальній громаді, отримала значні пошкодження в результаті обстрілів. Для поновлення життєдіяльності громади та стимулювання повернення мешканців до громади необхідно забезпечити їх всіма необхідними послугами, гарантованими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Очікувані якісні результати від реалізації проекту</w:t>
            </w:r>
          </w:p>
        </w:tc>
        <w:tc>
          <w:tcPr>
            <w:tcW w:w="7194" w:type="dxa"/>
            <w:gridSpan w:val="6"/>
          </w:tcPr>
          <w:p w:rsidR="00E95FB1" w:rsidRPr="00C86B34" w:rsidRDefault="00E95FB1" w:rsidP="000303D7">
            <w:pPr>
              <w:pStyle w:val="a7"/>
              <w:numPr>
                <w:ilvl w:val="0"/>
                <w:numId w:val="27"/>
              </w:numPr>
              <w:jc w:val="left"/>
              <w:rPr>
                <w:sz w:val="22"/>
                <w:lang w:val="uk-UA"/>
              </w:rPr>
            </w:pPr>
            <w:r w:rsidRPr="00C86B34">
              <w:rPr>
                <w:sz w:val="22"/>
                <w:lang w:val="uk-UA"/>
              </w:rPr>
              <w:t>Отримання мешканцями громади якісних послуг у сфері культури та освіти;</w:t>
            </w:r>
          </w:p>
          <w:p w:rsidR="00E95FB1" w:rsidRPr="00C86B34" w:rsidRDefault="00BD06ED" w:rsidP="000303D7">
            <w:pPr>
              <w:pStyle w:val="a7"/>
              <w:numPr>
                <w:ilvl w:val="0"/>
                <w:numId w:val="27"/>
              </w:numPr>
              <w:jc w:val="left"/>
              <w:rPr>
                <w:sz w:val="22"/>
                <w:lang w:val="uk-UA"/>
              </w:rPr>
            </w:pPr>
            <w:r w:rsidRPr="00C86B34">
              <w:rPr>
                <w:sz w:val="22"/>
                <w:lang w:val="uk-UA"/>
              </w:rPr>
              <w:t>м</w:t>
            </w:r>
            <w:r w:rsidR="00E95FB1" w:rsidRPr="00C86B34">
              <w:rPr>
                <w:sz w:val="22"/>
                <w:lang w:val="uk-UA"/>
              </w:rPr>
              <w:t>отивація мешканців громади до повернення у громаду;</w:t>
            </w:r>
          </w:p>
          <w:p w:rsidR="00E95FB1" w:rsidRPr="00C86B34" w:rsidRDefault="00BD06ED" w:rsidP="000303D7">
            <w:pPr>
              <w:pStyle w:val="a7"/>
              <w:numPr>
                <w:ilvl w:val="0"/>
                <w:numId w:val="27"/>
              </w:numPr>
              <w:jc w:val="left"/>
              <w:rPr>
                <w:sz w:val="22"/>
                <w:lang w:val="uk-UA"/>
              </w:rPr>
            </w:pPr>
            <w:r w:rsidRPr="00C86B34">
              <w:rPr>
                <w:sz w:val="22"/>
                <w:lang w:val="uk-UA"/>
              </w:rPr>
              <w:t>з</w:t>
            </w:r>
            <w:r w:rsidR="00E95FB1" w:rsidRPr="00C86B34">
              <w:rPr>
                <w:sz w:val="22"/>
                <w:lang w:val="uk-UA"/>
              </w:rPr>
              <w:t>ахист правових, культурних,</w:t>
            </w:r>
            <w:r w:rsidRPr="00C86B34">
              <w:rPr>
                <w:sz w:val="22"/>
                <w:lang w:val="uk-UA"/>
              </w:rPr>
              <w:t xml:space="preserve"> </w:t>
            </w:r>
            <w:r w:rsidR="00E95FB1" w:rsidRPr="00C86B34">
              <w:rPr>
                <w:sz w:val="22"/>
                <w:lang w:val="uk-UA"/>
              </w:rPr>
              <w:t>освітніх,</w:t>
            </w:r>
            <w:r w:rsidRPr="00C86B34">
              <w:rPr>
                <w:sz w:val="22"/>
                <w:lang w:val="uk-UA"/>
              </w:rPr>
              <w:t xml:space="preserve"> </w:t>
            </w:r>
            <w:r w:rsidR="00E95FB1" w:rsidRPr="00C86B34">
              <w:rPr>
                <w:sz w:val="22"/>
                <w:lang w:val="uk-UA"/>
              </w:rPr>
              <w:t>економічних та інших інтересів громадян;</w:t>
            </w:r>
          </w:p>
          <w:p w:rsidR="00E95FB1" w:rsidRPr="00C86B34" w:rsidRDefault="00BD06ED" w:rsidP="000303D7">
            <w:pPr>
              <w:pStyle w:val="a7"/>
              <w:numPr>
                <w:ilvl w:val="0"/>
                <w:numId w:val="27"/>
              </w:numPr>
              <w:jc w:val="left"/>
              <w:rPr>
                <w:sz w:val="22"/>
                <w:lang w:val="uk-UA"/>
              </w:rPr>
            </w:pPr>
            <w:r w:rsidRPr="00C86B34">
              <w:rPr>
                <w:sz w:val="22"/>
                <w:lang w:val="uk-UA"/>
              </w:rPr>
              <w:t>н</w:t>
            </w:r>
            <w:r w:rsidR="00E95FB1" w:rsidRPr="00C86B34">
              <w:rPr>
                <w:sz w:val="22"/>
                <w:lang w:val="uk-UA"/>
              </w:rPr>
              <w:t>адання юридичним та фізичним особам-підприємцям якісних послуг для впровадження ними своєї діяльності;</w:t>
            </w:r>
          </w:p>
          <w:p w:rsidR="00E95FB1" w:rsidRPr="00C86B34" w:rsidRDefault="00BD06ED" w:rsidP="000303D7">
            <w:pPr>
              <w:pStyle w:val="a7"/>
              <w:numPr>
                <w:ilvl w:val="0"/>
                <w:numId w:val="27"/>
              </w:numPr>
              <w:jc w:val="left"/>
              <w:rPr>
                <w:sz w:val="22"/>
                <w:lang w:val="uk-UA"/>
              </w:rPr>
            </w:pPr>
            <w:r w:rsidRPr="00C86B34">
              <w:rPr>
                <w:sz w:val="22"/>
                <w:lang w:val="uk-UA"/>
              </w:rPr>
              <w:t>с</w:t>
            </w:r>
            <w:r w:rsidR="00E95FB1" w:rsidRPr="00C86B34">
              <w:rPr>
                <w:sz w:val="22"/>
                <w:lang w:val="uk-UA"/>
              </w:rPr>
              <w:t>талий розвиток громади;</w:t>
            </w:r>
          </w:p>
          <w:p w:rsidR="00E95FB1" w:rsidRPr="00C86B34" w:rsidRDefault="00BD06ED" w:rsidP="000303D7">
            <w:pPr>
              <w:pStyle w:val="a7"/>
              <w:numPr>
                <w:ilvl w:val="0"/>
                <w:numId w:val="27"/>
              </w:numPr>
              <w:jc w:val="left"/>
              <w:rPr>
                <w:sz w:val="22"/>
                <w:lang w:val="uk-UA"/>
              </w:rPr>
            </w:pPr>
            <w:proofErr w:type="spellStart"/>
            <w:r w:rsidRPr="00C86B34">
              <w:rPr>
                <w:sz w:val="22"/>
                <w:lang w:val="uk-UA"/>
              </w:rPr>
              <w:t>і</w:t>
            </w:r>
            <w:r w:rsidR="00E95FB1" w:rsidRPr="00C86B34">
              <w:rPr>
                <w:sz w:val="22"/>
                <w:lang w:val="uk-UA"/>
              </w:rPr>
              <w:t>вестиційна</w:t>
            </w:r>
            <w:proofErr w:type="spellEnd"/>
            <w:r w:rsidR="00E95FB1" w:rsidRPr="00C86B34">
              <w:rPr>
                <w:sz w:val="22"/>
                <w:lang w:val="uk-UA"/>
              </w:rPr>
              <w:t xml:space="preserve"> привабливість громади;</w:t>
            </w:r>
          </w:p>
          <w:p w:rsidR="00E95FB1" w:rsidRPr="00C86B34" w:rsidRDefault="00BD06ED" w:rsidP="00BD06ED">
            <w:pPr>
              <w:pStyle w:val="a7"/>
              <w:numPr>
                <w:ilvl w:val="0"/>
                <w:numId w:val="27"/>
              </w:numPr>
              <w:jc w:val="left"/>
              <w:rPr>
                <w:sz w:val="22"/>
                <w:lang w:val="uk-UA"/>
              </w:rPr>
            </w:pPr>
            <w:r w:rsidRPr="00C86B34">
              <w:rPr>
                <w:sz w:val="22"/>
                <w:lang w:val="uk-UA"/>
              </w:rPr>
              <w:t>к</w:t>
            </w:r>
            <w:r w:rsidR="00E95FB1" w:rsidRPr="00C86B34">
              <w:rPr>
                <w:sz w:val="22"/>
                <w:lang w:val="uk-UA"/>
              </w:rPr>
              <w:t>омфортне життя мешканців.</w:t>
            </w:r>
          </w:p>
        </w:tc>
      </w:tr>
      <w:tr w:rsidR="00E95FB1" w:rsidRPr="00C86B34" w:rsidTr="001B3967">
        <w:trPr>
          <w:trHeight w:val="390"/>
        </w:trPr>
        <w:tc>
          <w:tcPr>
            <w:tcW w:w="2694" w:type="dxa"/>
            <w:vMerge w:val="restart"/>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 xml:space="preserve">Очікувані кількісні результати реалізації </w:t>
            </w:r>
            <w:proofErr w:type="spellStart"/>
            <w:r w:rsidRPr="00C86B34">
              <w:rPr>
                <w:b/>
                <w:sz w:val="22"/>
                <w:lang w:val="uk-UA"/>
              </w:rPr>
              <w:t>проєкту</w:t>
            </w:r>
            <w:proofErr w:type="spellEnd"/>
            <w:r w:rsidRPr="00C86B34">
              <w:rPr>
                <w:b/>
                <w:sz w:val="22"/>
                <w:lang w:val="uk-UA"/>
              </w:rPr>
              <w:t xml:space="preserve"> (індикатори)</w:t>
            </w:r>
          </w:p>
          <w:p w:rsidR="00E95FB1" w:rsidRPr="00C86B34" w:rsidRDefault="00E95FB1" w:rsidP="001B3967">
            <w:pPr>
              <w:pStyle w:val="a7"/>
              <w:ind w:left="0"/>
              <w:rPr>
                <w:b/>
                <w:sz w:val="22"/>
                <w:lang w:val="uk-UA"/>
              </w:rPr>
            </w:pPr>
          </w:p>
        </w:tc>
        <w:tc>
          <w:tcPr>
            <w:tcW w:w="3924" w:type="dxa"/>
            <w:gridSpan w:val="3"/>
            <w:tcBorders>
              <w:bottom w:val="single" w:sz="4" w:space="0" w:color="auto"/>
              <w:right w:val="single" w:sz="4" w:space="0" w:color="auto"/>
            </w:tcBorders>
          </w:tcPr>
          <w:p w:rsidR="00E95FB1" w:rsidRPr="00C86B34" w:rsidRDefault="00E95FB1" w:rsidP="001B3967">
            <w:pPr>
              <w:pStyle w:val="a7"/>
              <w:ind w:left="-108"/>
              <w:jc w:val="center"/>
              <w:rPr>
                <w:b/>
                <w:sz w:val="22"/>
                <w:lang w:val="uk-UA"/>
              </w:rPr>
            </w:pPr>
            <w:r w:rsidRPr="00C86B34">
              <w:rPr>
                <w:b/>
                <w:sz w:val="22"/>
                <w:lang w:val="uk-UA"/>
              </w:rPr>
              <w:t>Найменування показника</w:t>
            </w:r>
          </w:p>
        </w:tc>
        <w:tc>
          <w:tcPr>
            <w:tcW w:w="1722" w:type="dxa"/>
            <w:gridSpan w:val="2"/>
            <w:tcBorders>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Одиниця вимірювання</w:t>
            </w:r>
          </w:p>
          <w:p w:rsidR="00E95FB1" w:rsidRPr="00C86B34" w:rsidRDefault="00E95FB1" w:rsidP="001B3967">
            <w:pPr>
              <w:pStyle w:val="a7"/>
              <w:ind w:left="0"/>
              <w:rPr>
                <w:b/>
                <w:sz w:val="22"/>
                <w:lang w:val="uk-UA"/>
              </w:rPr>
            </w:pPr>
          </w:p>
        </w:tc>
        <w:tc>
          <w:tcPr>
            <w:tcW w:w="1548" w:type="dxa"/>
            <w:tcBorders>
              <w:left w:val="single" w:sz="4" w:space="0" w:color="auto"/>
              <w:bottom w:val="single" w:sz="4" w:space="0" w:color="auto"/>
            </w:tcBorders>
          </w:tcPr>
          <w:p w:rsidR="00E95FB1" w:rsidRPr="00C86B34" w:rsidRDefault="00E95FB1" w:rsidP="001B3967">
            <w:pPr>
              <w:pStyle w:val="a7"/>
              <w:ind w:left="0"/>
              <w:jc w:val="center"/>
              <w:rPr>
                <w:b/>
                <w:sz w:val="22"/>
                <w:lang w:val="uk-UA"/>
              </w:rPr>
            </w:pPr>
            <w:r w:rsidRPr="00C86B34">
              <w:rPr>
                <w:b/>
                <w:sz w:val="22"/>
                <w:lang w:val="uk-UA"/>
              </w:rPr>
              <w:t>Прогнозне (цільове) значення</w:t>
            </w:r>
          </w:p>
        </w:tc>
      </w:tr>
      <w:tr w:rsidR="00E95FB1" w:rsidRPr="00C86B34" w:rsidTr="001B3967">
        <w:trPr>
          <w:trHeight w:val="58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924"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Кількість учнів</w:t>
            </w:r>
            <w:r w:rsidR="00BD06ED" w:rsidRPr="00C86B34">
              <w:rPr>
                <w:sz w:val="22"/>
                <w:lang w:val="uk-UA"/>
              </w:rPr>
              <w:t>,</w:t>
            </w:r>
            <w:r w:rsidRPr="00C86B34">
              <w:rPr>
                <w:sz w:val="22"/>
                <w:lang w:val="uk-UA"/>
              </w:rPr>
              <w:t xml:space="preserve"> які навчались протягом  року</w:t>
            </w:r>
          </w:p>
        </w:tc>
        <w:tc>
          <w:tcPr>
            <w:tcW w:w="1722"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осіб</w:t>
            </w:r>
          </w:p>
        </w:tc>
        <w:tc>
          <w:tcPr>
            <w:tcW w:w="1548" w:type="dxa"/>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307</w:t>
            </w:r>
          </w:p>
        </w:tc>
      </w:tr>
      <w:tr w:rsidR="00E95FB1" w:rsidRPr="00C86B34" w:rsidTr="001B3967">
        <w:trPr>
          <w:trHeight w:val="184"/>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924"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Кількість фізичних та юридичних осіб, які відвідували заходи протягом  року</w:t>
            </w:r>
          </w:p>
        </w:tc>
        <w:tc>
          <w:tcPr>
            <w:tcW w:w="1722"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осіб</w:t>
            </w:r>
          </w:p>
        </w:tc>
        <w:tc>
          <w:tcPr>
            <w:tcW w:w="1548" w:type="dxa"/>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36 900</w:t>
            </w:r>
          </w:p>
        </w:tc>
      </w:tr>
      <w:tr w:rsidR="00E95FB1" w:rsidRPr="00C86B34" w:rsidTr="001B3967">
        <w:trPr>
          <w:trHeight w:val="16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924"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Кількість видів та типів послуг наданих протягом одного робочого дня</w:t>
            </w:r>
          </w:p>
        </w:tc>
        <w:tc>
          <w:tcPr>
            <w:tcW w:w="1722"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548" w:type="dxa"/>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5</w:t>
            </w:r>
          </w:p>
        </w:tc>
      </w:tr>
      <w:tr w:rsidR="00E95FB1" w:rsidRPr="00C86B34" w:rsidTr="001B3967">
        <w:trPr>
          <w:trHeight w:val="16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924"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Середня вартість послуг</w:t>
            </w:r>
          </w:p>
        </w:tc>
        <w:tc>
          <w:tcPr>
            <w:tcW w:w="1722"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грн</w:t>
            </w:r>
          </w:p>
        </w:tc>
        <w:tc>
          <w:tcPr>
            <w:tcW w:w="1548" w:type="dxa"/>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безкоштовно</w:t>
            </w:r>
          </w:p>
        </w:tc>
      </w:tr>
      <w:tr w:rsidR="00E95FB1" w:rsidRPr="00C86B34" w:rsidTr="001B3967">
        <w:trPr>
          <w:trHeight w:val="165"/>
        </w:trPr>
        <w:tc>
          <w:tcPr>
            <w:tcW w:w="2694" w:type="dxa"/>
            <w:shd w:val="clear" w:color="auto" w:fill="C6D9F1" w:themeFill="text2" w:themeFillTint="33"/>
          </w:tcPr>
          <w:p w:rsidR="00E95FB1" w:rsidRPr="00C86B34" w:rsidRDefault="00E95FB1" w:rsidP="001B3967">
            <w:pPr>
              <w:pStyle w:val="a7"/>
              <w:ind w:left="0"/>
              <w:rPr>
                <w:b/>
                <w:sz w:val="22"/>
                <w:lang w:val="uk-UA"/>
              </w:rPr>
            </w:pPr>
          </w:p>
        </w:tc>
        <w:tc>
          <w:tcPr>
            <w:tcW w:w="3924"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Термін надання послуги навчання</w:t>
            </w:r>
          </w:p>
        </w:tc>
        <w:tc>
          <w:tcPr>
            <w:tcW w:w="1722"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років</w:t>
            </w:r>
          </w:p>
        </w:tc>
        <w:tc>
          <w:tcPr>
            <w:tcW w:w="1548" w:type="dxa"/>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Від 4 до 11</w:t>
            </w:r>
          </w:p>
        </w:tc>
      </w:tr>
      <w:tr w:rsidR="00E95FB1" w:rsidRPr="00C86B34" w:rsidTr="001B3967">
        <w:trPr>
          <w:trHeight w:val="165"/>
        </w:trPr>
        <w:tc>
          <w:tcPr>
            <w:tcW w:w="2694" w:type="dxa"/>
            <w:shd w:val="clear" w:color="auto" w:fill="C6D9F1" w:themeFill="text2" w:themeFillTint="33"/>
          </w:tcPr>
          <w:p w:rsidR="00E95FB1" w:rsidRPr="00C86B34" w:rsidRDefault="00E95FB1" w:rsidP="001B3967">
            <w:pPr>
              <w:pStyle w:val="a7"/>
              <w:ind w:left="0"/>
              <w:rPr>
                <w:b/>
                <w:sz w:val="22"/>
                <w:lang w:val="uk-UA"/>
              </w:rPr>
            </w:pPr>
          </w:p>
        </w:tc>
        <w:tc>
          <w:tcPr>
            <w:tcW w:w="3924" w:type="dxa"/>
            <w:gridSpan w:val="3"/>
            <w:tcBorders>
              <w:top w:val="single" w:sz="4" w:space="0" w:color="auto"/>
              <w:bottom w:val="single" w:sz="4" w:space="0" w:color="auto"/>
              <w:right w:val="single" w:sz="4" w:space="0" w:color="auto"/>
            </w:tcBorders>
          </w:tcPr>
          <w:p w:rsidR="00E95FB1" w:rsidRPr="00C86B34" w:rsidRDefault="00E95FB1" w:rsidP="00BD06ED">
            <w:pPr>
              <w:pStyle w:val="a7"/>
              <w:ind w:left="0"/>
              <w:jc w:val="center"/>
              <w:rPr>
                <w:sz w:val="22"/>
                <w:lang w:val="uk-UA"/>
              </w:rPr>
            </w:pPr>
            <w:r w:rsidRPr="00C86B34">
              <w:rPr>
                <w:sz w:val="22"/>
                <w:lang w:val="uk-UA"/>
              </w:rPr>
              <w:t>Кількість населених пунктів, як</w:t>
            </w:r>
            <w:r w:rsidR="00BD06ED" w:rsidRPr="00C86B34">
              <w:rPr>
                <w:sz w:val="22"/>
                <w:lang w:val="uk-UA"/>
              </w:rPr>
              <w:t>і</w:t>
            </w:r>
            <w:r w:rsidRPr="00C86B34">
              <w:rPr>
                <w:sz w:val="22"/>
                <w:lang w:val="uk-UA"/>
              </w:rPr>
              <w:t xml:space="preserve"> обслуговує заклад</w:t>
            </w:r>
          </w:p>
        </w:tc>
        <w:tc>
          <w:tcPr>
            <w:tcW w:w="1722"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548" w:type="dxa"/>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20</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 xml:space="preserve">Ключові заходи проекту: </w:t>
            </w:r>
          </w:p>
          <w:p w:rsidR="00E95FB1" w:rsidRPr="00C86B34" w:rsidRDefault="00E95FB1" w:rsidP="001B3967">
            <w:pPr>
              <w:pStyle w:val="a7"/>
              <w:ind w:left="0"/>
              <w:rPr>
                <w:b/>
                <w:sz w:val="22"/>
                <w:lang w:val="uk-UA"/>
              </w:rPr>
            </w:pPr>
          </w:p>
        </w:tc>
        <w:tc>
          <w:tcPr>
            <w:tcW w:w="7194" w:type="dxa"/>
            <w:gridSpan w:val="6"/>
          </w:tcPr>
          <w:p w:rsidR="00E95FB1" w:rsidRPr="00C86B34" w:rsidRDefault="00E95FB1" w:rsidP="001B3967">
            <w:pPr>
              <w:pStyle w:val="a7"/>
              <w:ind w:left="0"/>
              <w:rPr>
                <w:sz w:val="22"/>
                <w:lang w:val="uk-UA"/>
              </w:rPr>
            </w:pPr>
            <w:r w:rsidRPr="00C86B34">
              <w:rPr>
                <w:sz w:val="22"/>
                <w:lang w:val="uk-UA"/>
              </w:rPr>
              <w:t>- обстеження об’єкта нерухомості;</w:t>
            </w:r>
          </w:p>
          <w:p w:rsidR="00E95FB1" w:rsidRPr="00C86B34" w:rsidRDefault="00E95FB1" w:rsidP="001B3967">
            <w:pPr>
              <w:pStyle w:val="a7"/>
              <w:ind w:left="0"/>
              <w:rPr>
                <w:sz w:val="22"/>
                <w:lang w:val="uk-UA"/>
              </w:rPr>
            </w:pPr>
            <w:r w:rsidRPr="00C86B34">
              <w:rPr>
                <w:sz w:val="22"/>
                <w:lang w:val="uk-UA"/>
              </w:rPr>
              <w:t>- пошук інвестора;</w:t>
            </w:r>
          </w:p>
          <w:p w:rsidR="00E95FB1" w:rsidRPr="00C86B34" w:rsidRDefault="00E95FB1" w:rsidP="001B3967">
            <w:pPr>
              <w:pStyle w:val="a7"/>
              <w:ind w:left="0"/>
              <w:rPr>
                <w:sz w:val="22"/>
                <w:lang w:val="uk-UA"/>
              </w:rPr>
            </w:pPr>
            <w:r w:rsidRPr="00C86B34">
              <w:rPr>
                <w:sz w:val="22"/>
                <w:lang w:val="uk-UA"/>
              </w:rPr>
              <w:t xml:space="preserve">- розробка </w:t>
            </w:r>
            <w:proofErr w:type="spellStart"/>
            <w:r w:rsidRPr="00C86B34">
              <w:rPr>
                <w:sz w:val="22"/>
                <w:lang w:val="uk-UA"/>
              </w:rPr>
              <w:t>про</w:t>
            </w:r>
            <w:r w:rsidR="00BD06ED" w:rsidRPr="00C86B34">
              <w:rPr>
                <w:sz w:val="22"/>
                <w:lang w:val="uk-UA"/>
              </w:rPr>
              <w:t>є</w:t>
            </w:r>
            <w:r w:rsidRPr="00C86B34">
              <w:rPr>
                <w:sz w:val="22"/>
                <w:lang w:val="uk-UA"/>
              </w:rPr>
              <w:t>ктно</w:t>
            </w:r>
            <w:proofErr w:type="spellEnd"/>
            <w:r w:rsidRPr="00C86B34">
              <w:rPr>
                <w:sz w:val="22"/>
                <w:lang w:val="uk-UA"/>
              </w:rPr>
              <w:t>-кошторисної документації;</w:t>
            </w:r>
          </w:p>
          <w:p w:rsidR="00E95FB1" w:rsidRPr="00C86B34" w:rsidRDefault="00E95FB1" w:rsidP="001B3967">
            <w:pPr>
              <w:pStyle w:val="a7"/>
              <w:ind w:left="0"/>
              <w:rPr>
                <w:sz w:val="22"/>
                <w:lang w:val="uk-UA"/>
              </w:rPr>
            </w:pPr>
            <w:r w:rsidRPr="00C86B34">
              <w:rPr>
                <w:sz w:val="22"/>
                <w:lang w:val="uk-UA"/>
              </w:rPr>
              <w:t>- укладення договору про будівництво із підрядною організацією;</w:t>
            </w:r>
          </w:p>
          <w:p w:rsidR="00E95FB1" w:rsidRPr="00C86B34" w:rsidRDefault="00E95FB1" w:rsidP="001B3967">
            <w:pPr>
              <w:pStyle w:val="a7"/>
              <w:ind w:left="0"/>
              <w:rPr>
                <w:sz w:val="22"/>
                <w:lang w:val="uk-UA"/>
              </w:rPr>
            </w:pPr>
            <w:r w:rsidRPr="00C86B34">
              <w:rPr>
                <w:sz w:val="22"/>
                <w:lang w:val="uk-UA"/>
              </w:rPr>
              <w:t>- організація та початок робочого процесу.</w:t>
            </w:r>
          </w:p>
        </w:tc>
      </w:tr>
      <w:tr w:rsidR="00E95FB1" w:rsidRPr="00C86B34" w:rsidTr="001B3967">
        <w:trPr>
          <w:trHeight w:val="360"/>
        </w:trPr>
        <w:tc>
          <w:tcPr>
            <w:tcW w:w="2694" w:type="dxa"/>
            <w:vMerge w:val="restart"/>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 xml:space="preserve">Орієнтовний обсяг та джерела фінансування, тис. грн. </w:t>
            </w:r>
          </w:p>
          <w:p w:rsidR="00E95FB1" w:rsidRPr="00C86B34" w:rsidRDefault="00E95FB1" w:rsidP="001B3967">
            <w:pPr>
              <w:pStyle w:val="a7"/>
              <w:ind w:left="0"/>
              <w:rPr>
                <w:b/>
                <w:sz w:val="22"/>
                <w:lang w:val="uk-UA"/>
              </w:rPr>
            </w:pPr>
          </w:p>
        </w:tc>
        <w:tc>
          <w:tcPr>
            <w:tcW w:w="2005" w:type="dxa"/>
            <w:tcBorders>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Державний бюджет</w:t>
            </w:r>
          </w:p>
        </w:tc>
        <w:tc>
          <w:tcPr>
            <w:tcW w:w="1381" w:type="dxa"/>
            <w:tcBorders>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Місцевий бюджет</w:t>
            </w:r>
          </w:p>
          <w:p w:rsidR="00E95FB1" w:rsidRPr="00C86B34" w:rsidRDefault="00E95FB1" w:rsidP="001B3967">
            <w:pPr>
              <w:pStyle w:val="a7"/>
              <w:ind w:left="0"/>
              <w:jc w:val="center"/>
              <w:rPr>
                <w:b/>
                <w:sz w:val="22"/>
                <w:lang w:val="uk-UA"/>
              </w:rPr>
            </w:pPr>
            <w:proofErr w:type="spellStart"/>
            <w:r w:rsidRPr="00C86B34">
              <w:rPr>
                <w:b/>
                <w:sz w:val="22"/>
                <w:lang w:val="uk-UA"/>
              </w:rPr>
              <w:t>тис.грн</w:t>
            </w:r>
            <w:proofErr w:type="spellEnd"/>
          </w:p>
        </w:tc>
        <w:tc>
          <w:tcPr>
            <w:tcW w:w="2260" w:type="dxa"/>
            <w:gridSpan w:val="3"/>
            <w:tcBorders>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Інші джерела</w:t>
            </w:r>
          </w:p>
          <w:p w:rsidR="00E95FB1" w:rsidRPr="00C86B34" w:rsidRDefault="00E95FB1" w:rsidP="001B3967">
            <w:pPr>
              <w:pStyle w:val="a7"/>
              <w:ind w:left="0"/>
              <w:jc w:val="center"/>
              <w:rPr>
                <w:b/>
                <w:sz w:val="22"/>
                <w:lang w:val="uk-UA"/>
              </w:rPr>
            </w:pPr>
            <w:proofErr w:type="spellStart"/>
            <w:r w:rsidRPr="00C86B34">
              <w:rPr>
                <w:b/>
                <w:sz w:val="22"/>
                <w:lang w:val="uk-UA"/>
              </w:rPr>
              <w:t>тис.грн</w:t>
            </w:r>
            <w:proofErr w:type="spellEnd"/>
          </w:p>
        </w:tc>
        <w:tc>
          <w:tcPr>
            <w:tcW w:w="1548" w:type="dxa"/>
            <w:tcBorders>
              <w:left w:val="single" w:sz="4" w:space="0" w:color="auto"/>
              <w:bottom w:val="single" w:sz="4" w:space="0" w:color="auto"/>
            </w:tcBorders>
          </w:tcPr>
          <w:p w:rsidR="00E95FB1" w:rsidRPr="00C86B34" w:rsidRDefault="00E95FB1" w:rsidP="001B3967">
            <w:pPr>
              <w:pStyle w:val="a7"/>
              <w:ind w:left="0"/>
              <w:jc w:val="center"/>
              <w:rPr>
                <w:b/>
                <w:sz w:val="22"/>
                <w:lang w:val="uk-UA"/>
              </w:rPr>
            </w:pPr>
            <w:r w:rsidRPr="00C86B34">
              <w:rPr>
                <w:b/>
                <w:sz w:val="22"/>
                <w:lang w:val="uk-UA"/>
              </w:rPr>
              <w:t>Всього</w:t>
            </w:r>
          </w:p>
          <w:p w:rsidR="00E95FB1" w:rsidRPr="00C86B34" w:rsidRDefault="00E95FB1" w:rsidP="001B3967">
            <w:pPr>
              <w:pStyle w:val="a7"/>
              <w:ind w:left="0"/>
              <w:jc w:val="center"/>
              <w:rPr>
                <w:b/>
                <w:sz w:val="22"/>
                <w:lang w:val="uk-UA"/>
              </w:rPr>
            </w:pPr>
            <w:proofErr w:type="spellStart"/>
            <w:r w:rsidRPr="00C86B34">
              <w:rPr>
                <w:b/>
                <w:sz w:val="22"/>
                <w:lang w:val="uk-UA"/>
              </w:rPr>
              <w:t>тис.грн</w:t>
            </w:r>
            <w:proofErr w:type="spellEnd"/>
          </w:p>
        </w:tc>
      </w:tr>
      <w:tr w:rsidR="00E95FB1" w:rsidRPr="00C86B34" w:rsidTr="001B3967">
        <w:trPr>
          <w:trHeight w:val="22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2005" w:type="dxa"/>
            <w:vMerge w:val="restart"/>
            <w:tcBorders>
              <w:top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180000,0</w:t>
            </w:r>
          </w:p>
        </w:tc>
        <w:tc>
          <w:tcPr>
            <w:tcW w:w="1381" w:type="dxa"/>
            <w:vMerge w:val="restart"/>
            <w:tcBorders>
              <w:top w:val="single" w:sz="4" w:space="0" w:color="auto"/>
              <w:right w:val="single" w:sz="4" w:space="0" w:color="auto"/>
            </w:tcBorders>
          </w:tcPr>
          <w:p w:rsidR="00E95FB1" w:rsidRPr="00C86B34" w:rsidRDefault="00E95FB1" w:rsidP="001B3967">
            <w:pPr>
              <w:pStyle w:val="a7"/>
              <w:ind w:left="0"/>
              <w:jc w:val="center"/>
              <w:rPr>
                <w:sz w:val="22"/>
                <w:lang w:val="uk-UA"/>
              </w:rPr>
            </w:pPr>
            <w:proofErr w:type="spellStart"/>
            <w:r w:rsidRPr="00C86B34">
              <w:rPr>
                <w:sz w:val="22"/>
                <w:lang w:val="uk-UA"/>
              </w:rPr>
              <w:t>Проєкт</w:t>
            </w:r>
            <w:proofErr w:type="spellEnd"/>
          </w:p>
          <w:p w:rsidR="00E95FB1" w:rsidRPr="00C86B34" w:rsidRDefault="00E95FB1" w:rsidP="001B3967">
            <w:pPr>
              <w:pStyle w:val="a7"/>
              <w:ind w:left="0"/>
              <w:jc w:val="center"/>
              <w:rPr>
                <w:b/>
                <w:sz w:val="22"/>
                <w:lang w:val="uk-UA"/>
              </w:rPr>
            </w:pPr>
            <w:r w:rsidRPr="00C86B34">
              <w:rPr>
                <w:sz w:val="22"/>
                <w:lang w:val="uk-UA"/>
              </w:rPr>
              <w:t>1500,0</w:t>
            </w:r>
          </w:p>
        </w:tc>
        <w:tc>
          <w:tcPr>
            <w:tcW w:w="1008" w:type="dxa"/>
            <w:gridSpan w:val="2"/>
            <w:tcBorders>
              <w:top w:val="single" w:sz="4" w:space="0" w:color="auto"/>
              <w:left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Обсяг</w:t>
            </w:r>
          </w:p>
          <w:p w:rsidR="00E95FB1" w:rsidRPr="00C86B34" w:rsidRDefault="00E95FB1" w:rsidP="001B3967">
            <w:pPr>
              <w:pStyle w:val="a7"/>
              <w:ind w:left="0"/>
              <w:jc w:val="center"/>
              <w:rPr>
                <w:sz w:val="22"/>
                <w:lang w:val="uk-UA"/>
              </w:rPr>
            </w:pPr>
            <w:proofErr w:type="spellStart"/>
            <w:r w:rsidRPr="00C86B34">
              <w:rPr>
                <w:sz w:val="22"/>
                <w:lang w:val="uk-UA"/>
              </w:rPr>
              <w:t>тис.грн</w:t>
            </w:r>
            <w:proofErr w:type="spellEnd"/>
          </w:p>
        </w:tc>
        <w:tc>
          <w:tcPr>
            <w:tcW w:w="1252" w:type="dxa"/>
            <w:tcBorders>
              <w:top w:val="single" w:sz="4" w:space="0" w:color="auto"/>
              <w:left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Назва джерела</w:t>
            </w:r>
          </w:p>
        </w:tc>
        <w:tc>
          <w:tcPr>
            <w:tcW w:w="1548" w:type="dxa"/>
            <w:vMerge w:val="restart"/>
            <w:tcBorders>
              <w:top w:val="single" w:sz="4" w:space="0" w:color="auto"/>
              <w:left w:val="single" w:sz="4" w:space="0" w:color="auto"/>
            </w:tcBorders>
          </w:tcPr>
          <w:p w:rsidR="00E95FB1" w:rsidRPr="00C86B34" w:rsidRDefault="00E95FB1" w:rsidP="001B3967">
            <w:pPr>
              <w:pStyle w:val="a7"/>
              <w:ind w:left="0"/>
              <w:jc w:val="center"/>
              <w:rPr>
                <w:sz w:val="22"/>
                <w:lang w:val="uk-UA"/>
              </w:rPr>
            </w:pPr>
            <w:r w:rsidRPr="00C86B34">
              <w:rPr>
                <w:sz w:val="22"/>
                <w:lang w:val="uk-UA"/>
              </w:rPr>
              <w:t>181500,00</w:t>
            </w:r>
          </w:p>
        </w:tc>
      </w:tr>
      <w:tr w:rsidR="00E95FB1" w:rsidRPr="00C86B34" w:rsidTr="001B3967">
        <w:trPr>
          <w:trHeight w:val="300"/>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2005" w:type="dxa"/>
            <w:vMerge/>
            <w:tcBorders>
              <w:right w:val="single" w:sz="4" w:space="0" w:color="auto"/>
            </w:tcBorders>
          </w:tcPr>
          <w:p w:rsidR="00E95FB1" w:rsidRPr="00C86B34" w:rsidRDefault="00E95FB1" w:rsidP="001B3967">
            <w:pPr>
              <w:pStyle w:val="a7"/>
              <w:ind w:left="0"/>
              <w:jc w:val="center"/>
              <w:rPr>
                <w:sz w:val="22"/>
                <w:lang w:val="uk-UA"/>
              </w:rPr>
            </w:pPr>
          </w:p>
        </w:tc>
        <w:tc>
          <w:tcPr>
            <w:tcW w:w="1381" w:type="dxa"/>
            <w:vMerge/>
            <w:tcBorders>
              <w:right w:val="single" w:sz="4" w:space="0" w:color="auto"/>
            </w:tcBorders>
          </w:tcPr>
          <w:p w:rsidR="00E95FB1" w:rsidRPr="00C86B34" w:rsidRDefault="00E95FB1" w:rsidP="001B3967">
            <w:pPr>
              <w:pStyle w:val="a7"/>
              <w:ind w:left="0"/>
              <w:jc w:val="center"/>
              <w:rPr>
                <w:b/>
                <w:sz w:val="22"/>
                <w:lang w:val="uk-UA"/>
              </w:rPr>
            </w:pPr>
          </w:p>
        </w:tc>
        <w:tc>
          <w:tcPr>
            <w:tcW w:w="1008" w:type="dxa"/>
            <w:gridSpan w:val="2"/>
            <w:tcBorders>
              <w:top w:val="single" w:sz="4" w:space="0" w:color="auto"/>
              <w:left w:val="single" w:sz="4" w:space="0" w:color="auto"/>
              <w:right w:val="single" w:sz="4" w:space="0" w:color="auto"/>
            </w:tcBorders>
          </w:tcPr>
          <w:p w:rsidR="00E95FB1" w:rsidRPr="00C86B34" w:rsidRDefault="00E95FB1" w:rsidP="001B3967">
            <w:pPr>
              <w:pStyle w:val="a7"/>
              <w:ind w:left="0"/>
              <w:jc w:val="center"/>
              <w:rPr>
                <w:b/>
                <w:sz w:val="22"/>
                <w:lang w:val="uk-UA"/>
              </w:rPr>
            </w:pPr>
          </w:p>
        </w:tc>
        <w:tc>
          <w:tcPr>
            <w:tcW w:w="1252" w:type="dxa"/>
            <w:tcBorders>
              <w:top w:val="single" w:sz="4" w:space="0" w:color="auto"/>
              <w:left w:val="single" w:sz="4" w:space="0" w:color="auto"/>
              <w:right w:val="single" w:sz="4" w:space="0" w:color="auto"/>
            </w:tcBorders>
          </w:tcPr>
          <w:p w:rsidR="00E95FB1" w:rsidRPr="00C86B34" w:rsidRDefault="00E95FB1" w:rsidP="001B3967">
            <w:pPr>
              <w:pStyle w:val="a7"/>
              <w:ind w:left="0"/>
              <w:jc w:val="center"/>
              <w:rPr>
                <w:sz w:val="22"/>
                <w:lang w:val="uk-UA"/>
              </w:rPr>
            </w:pPr>
          </w:p>
        </w:tc>
        <w:tc>
          <w:tcPr>
            <w:tcW w:w="1548" w:type="dxa"/>
            <w:vMerge/>
            <w:tcBorders>
              <w:left w:val="single" w:sz="4" w:space="0" w:color="auto"/>
            </w:tcBorders>
          </w:tcPr>
          <w:p w:rsidR="00E95FB1" w:rsidRPr="00C86B34" w:rsidRDefault="00E95FB1" w:rsidP="001B3967">
            <w:pPr>
              <w:pStyle w:val="a7"/>
              <w:ind w:left="0"/>
              <w:jc w:val="center"/>
              <w:rPr>
                <w:sz w:val="22"/>
                <w:lang w:val="uk-UA"/>
              </w:rPr>
            </w:pPr>
          </w:p>
        </w:tc>
      </w:tr>
    </w:tbl>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tbl>
      <w:tblPr>
        <w:tblStyle w:val="af"/>
        <w:tblW w:w="0" w:type="auto"/>
        <w:tblInd w:w="-176" w:type="dxa"/>
        <w:tblLook w:val="04A0" w:firstRow="1" w:lastRow="0" w:firstColumn="1" w:lastColumn="0" w:noHBand="0" w:noVBand="1"/>
      </w:tblPr>
      <w:tblGrid>
        <w:gridCol w:w="2571"/>
        <w:gridCol w:w="1759"/>
        <w:gridCol w:w="1336"/>
        <w:gridCol w:w="695"/>
        <w:gridCol w:w="293"/>
        <w:gridCol w:w="1473"/>
        <w:gridCol w:w="1535"/>
      </w:tblGrid>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Оперативна ціль/завдання</w:t>
            </w:r>
          </w:p>
        </w:tc>
        <w:tc>
          <w:tcPr>
            <w:tcW w:w="7194" w:type="dxa"/>
            <w:gridSpan w:val="6"/>
            <w:shd w:val="clear" w:color="auto" w:fill="auto"/>
          </w:tcPr>
          <w:p w:rsidR="00E95FB1" w:rsidRPr="00C86B34" w:rsidRDefault="00BD06ED" w:rsidP="001B3967">
            <w:pPr>
              <w:pStyle w:val="a7"/>
              <w:ind w:left="0"/>
              <w:rPr>
                <w:sz w:val="22"/>
                <w:lang w:val="uk-UA"/>
              </w:rPr>
            </w:pPr>
            <w:r w:rsidRPr="00C86B34">
              <w:rPr>
                <w:rFonts w:eastAsia="Arial"/>
                <w:sz w:val="22"/>
                <w:lang w:val="uk-UA"/>
              </w:rPr>
              <w:t xml:space="preserve">Людський розвиток </w:t>
            </w:r>
            <w:r w:rsidR="00E95FB1" w:rsidRPr="00C86B34">
              <w:rPr>
                <w:rFonts w:eastAsia="Arial"/>
                <w:sz w:val="22"/>
                <w:lang w:val="uk-UA"/>
              </w:rPr>
              <w:t>через інновації управління та довіру до влади</w:t>
            </w:r>
          </w:p>
          <w:p w:rsidR="00E95FB1" w:rsidRPr="00C86B34" w:rsidRDefault="00E95FB1" w:rsidP="001B3967">
            <w:pPr>
              <w:tabs>
                <w:tab w:val="left" w:pos="442"/>
              </w:tabs>
              <w:rPr>
                <w:rFonts w:eastAsia="Arial"/>
                <w:b/>
                <w:sz w:val="22"/>
                <w:lang w:val="uk-UA"/>
              </w:rPr>
            </w:pPr>
            <w:r w:rsidRPr="00C86B34">
              <w:rPr>
                <w:rFonts w:eastAsia="Arial"/>
                <w:sz w:val="22"/>
                <w:lang w:val="uk-UA"/>
              </w:rPr>
              <w:lastRenderedPageBreak/>
              <w:t xml:space="preserve">Формування сучасного інклюзивного </w:t>
            </w:r>
            <w:proofErr w:type="spellStart"/>
            <w:r w:rsidRPr="00C86B34">
              <w:rPr>
                <w:rFonts w:eastAsia="Arial"/>
                <w:sz w:val="22"/>
                <w:lang w:val="uk-UA"/>
              </w:rPr>
              <w:t>освітньо</w:t>
            </w:r>
            <w:proofErr w:type="spellEnd"/>
            <w:r w:rsidRPr="00C86B34">
              <w:rPr>
                <w:rFonts w:eastAsia="Arial"/>
                <w:sz w:val="22"/>
                <w:lang w:val="uk-UA"/>
              </w:rPr>
              <w:t xml:space="preserve"> – культурного та спортивного простору для розвитку</w:t>
            </w:r>
            <w:r w:rsidRPr="00C86B34">
              <w:rPr>
                <w:b/>
                <w:sz w:val="22"/>
                <w:lang w:val="uk-UA"/>
              </w:rPr>
              <w:t xml:space="preserve"> </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lastRenderedPageBreak/>
              <w:t>Назва проекту:</w:t>
            </w:r>
          </w:p>
        </w:tc>
        <w:tc>
          <w:tcPr>
            <w:tcW w:w="7194" w:type="dxa"/>
            <w:gridSpan w:val="6"/>
          </w:tcPr>
          <w:p w:rsidR="00E95FB1" w:rsidRPr="00C86B34" w:rsidRDefault="00E95FB1" w:rsidP="001B3967">
            <w:pPr>
              <w:pStyle w:val="a7"/>
              <w:ind w:left="0"/>
              <w:rPr>
                <w:sz w:val="22"/>
                <w:lang w:val="uk-UA"/>
              </w:rPr>
            </w:pPr>
            <w:r w:rsidRPr="00C86B34">
              <w:rPr>
                <w:sz w:val="22"/>
                <w:lang w:val="uk-UA"/>
              </w:rPr>
              <w:t>Відновлення та відбудова будівель Комунального Закладу «Сєвєродонецька художня школа» Сєвєродонецької міської територіальної громади для задоволення потреб мешканців у отриманні послуг, гарантованих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Ціль проекту</w:t>
            </w:r>
          </w:p>
        </w:tc>
        <w:tc>
          <w:tcPr>
            <w:tcW w:w="7194" w:type="dxa"/>
            <w:gridSpan w:val="6"/>
          </w:tcPr>
          <w:p w:rsidR="00E95FB1" w:rsidRPr="00C86B34" w:rsidRDefault="00E95FB1" w:rsidP="001B3967">
            <w:pPr>
              <w:pStyle w:val="a7"/>
              <w:ind w:left="0"/>
              <w:rPr>
                <w:sz w:val="22"/>
                <w:lang w:val="uk-UA"/>
              </w:rPr>
            </w:pPr>
            <w:r w:rsidRPr="00C86B34">
              <w:rPr>
                <w:sz w:val="22"/>
                <w:lang w:val="uk-UA"/>
              </w:rPr>
              <w:t>Відновити та відбудувати будівлі Комунального Закладу «Сєвєродонецька художня школа»» Сєвєродонецької міської територіальної громади для задоволення потреб мешканців у отриманні послуг, гарантованих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Територія, на яку матиме вплив реалізація проекту</w:t>
            </w:r>
          </w:p>
        </w:tc>
        <w:tc>
          <w:tcPr>
            <w:tcW w:w="7194" w:type="dxa"/>
            <w:gridSpan w:val="6"/>
          </w:tcPr>
          <w:p w:rsidR="00E95FB1" w:rsidRPr="00C86B34" w:rsidRDefault="00E95FB1" w:rsidP="001B3967">
            <w:pPr>
              <w:pStyle w:val="a7"/>
              <w:ind w:left="0"/>
              <w:rPr>
                <w:sz w:val="22"/>
                <w:lang w:val="uk-UA"/>
              </w:rPr>
            </w:pPr>
            <w:r w:rsidRPr="00C86B34">
              <w:rPr>
                <w:sz w:val="22"/>
                <w:lang w:val="uk-UA"/>
              </w:rPr>
              <w:t>Сєвєродонецька міська територіальна громада</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Чисельність населення, на яке матиме вплив реалізація проекту</w:t>
            </w:r>
          </w:p>
        </w:tc>
        <w:tc>
          <w:tcPr>
            <w:tcW w:w="7194" w:type="dxa"/>
            <w:gridSpan w:val="6"/>
          </w:tcPr>
          <w:p w:rsidR="00E95FB1" w:rsidRPr="00C86B34" w:rsidRDefault="00BD06ED" w:rsidP="001B3967">
            <w:pPr>
              <w:pStyle w:val="a7"/>
              <w:ind w:left="0"/>
              <w:rPr>
                <w:sz w:val="22"/>
                <w:lang w:val="uk-UA"/>
              </w:rPr>
            </w:pPr>
            <w:r w:rsidRPr="00C86B34">
              <w:rPr>
                <w:sz w:val="22"/>
                <w:lang w:val="uk-UA"/>
              </w:rPr>
              <w:t>70 000</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Опис проблеми, на вирішення якої  спрямований проект</w:t>
            </w:r>
          </w:p>
        </w:tc>
        <w:tc>
          <w:tcPr>
            <w:tcW w:w="7194" w:type="dxa"/>
            <w:gridSpan w:val="6"/>
          </w:tcPr>
          <w:p w:rsidR="00E95FB1" w:rsidRPr="00C86B34" w:rsidRDefault="00E95FB1" w:rsidP="00BD06ED">
            <w:pPr>
              <w:ind w:firstLine="328"/>
              <w:rPr>
                <w:sz w:val="22"/>
                <w:lang w:val="uk-UA"/>
              </w:rPr>
            </w:pPr>
            <w:r w:rsidRPr="00C86B34">
              <w:rPr>
                <w:sz w:val="22"/>
                <w:lang w:val="uk-UA"/>
              </w:rPr>
              <w:t>Через військову агресію РФ територія Сєвєродонецької міської територіальної громади зазнала значних пошкоджень. Будівля Комунального Закладу «Сєвєродонецька художня школа»</w:t>
            </w:r>
            <w:r w:rsidR="00BD06ED" w:rsidRPr="00C86B34">
              <w:rPr>
                <w:sz w:val="22"/>
                <w:lang w:val="uk-UA"/>
              </w:rPr>
              <w:t>,</w:t>
            </w:r>
            <w:r w:rsidRPr="00C86B34">
              <w:rPr>
                <w:sz w:val="22"/>
                <w:lang w:val="uk-UA"/>
              </w:rPr>
              <w:t xml:space="preserve"> яка належить Сєвєродонецькій міській територіальній громаді, отримала значні пошкодження в результаті обстрілів. Для поновлення життєдіяльності громади та стимулювання повернення мешканців до громади необхідно забезпечити їх всіма необхідними послугами, гарантованими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Очікувані якісні результати від реалізації проекту</w:t>
            </w:r>
          </w:p>
        </w:tc>
        <w:tc>
          <w:tcPr>
            <w:tcW w:w="7194" w:type="dxa"/>
            <w:gridSpan w:val="6"/>
          </w:tcPr>
          <w:p w:rsidR="00E95FB1" w:rsidRPr="00C86B34" w:rsidRDefault="00E95FB1" w:rsidP="000303D7">
            <w:pPr>
              <w:pStyle w:val="a7"/>
              <w:numPr>
                <w:ilvl w:val="0"/>
                <w:numId w:val="27"/>
              </w:numPr>
              <w:jc w:val="left"/>
              <w:rPr>
                <w:sz w:val="22"/>
                <w:lang w:val="uk-UA"/>
              </w:rPr>
            </w:pPr>
            <w:r w:rsidRPr="00C86B34">
              <w:rPr>
                <w:sz w:val="22"/>
                <w:lang w:val="uk-UA"/>
              </w:rPr>
              <w:t>Отримання мешканцями громади якісних послуг у сфері культури та освіти;</w:t>
            </w:r>
          </w:p>
          <w:p w:rsidR="00E95FB1" w:rsidRPr="00C86B34" w:rsidRDefault="00BD06ED" w:rsidP="000303D7">
            <w:pPr>
              <w:pStyle w:val="a7"/>
              <w:numPr>
                <w:ilvl w:val="0"/>
                <w:numId w:val="27"/>
              </w:numPr>
              <w:jc w:val="left"/>
              <w:rPr>
                <w:sz w:val="22"/>
                <w:lang w:val="uk-UA"/>
              </w:rPr>
            </w:pPr>
            <w:r w:rsidRPr="00C86B34">
              <w:rPr>
                <w:sz w:val="22"/>
                <w:lang w:val="uk-UA"/>
              </w:rPr>
              <w:t>м</w:t>
            </w:r>
            <w:r w:rsidR="00E95FB1" w:rsidRPr="00C86B34">
              <w:rPr>
                <w:sz w:val="22"/>
                <w:lang w:val="uk-UA"/>
              </w:rPr>
              <w:t>отивація мешканців громади до повернення у громаду;</w:t>
            </w:r>
          </w:p>
          <w:p w:rsidR="00E95FB1" w:rsidRPr="00C86B34" w:rsidRDefault="00E95FB1" w:rsidP="000303D7">
            <w:pPr>
              <w:pStyle w:val="a7"/>
              <w:numPr>
                <w:ilvl w:val="0"/>
                <w:numId w:val="27"/>
              </w:numPr>
              <w:jc w:val="left"/>
              <w:rPr>
                <w:sz w:val="22"/>
                <w:lang w:val="uk-UA"/>
              </w:rPr>
            </w:pPr>
            <w:r w:rsidRPr="00C86B34">
              <w:rPr>
                <w:sz w:val="22"/>
                <w:lang w:val="uk-UA"/>
              </w:rPr>
              <w:t>Захист правових, культурних,</w:t>
            </w:r>
            <w:r w:rsidR="00BD06ED" w:rsidRPr="00C86B34">
              <w:rPr>
                <w:sz w:val="22"/>
                <w:lang w:val="uk-UA"/>
              </w:rPr>
              <w:t xml:space="preserve"> </w:t>
            </w:r>
            <w:r w:rsidRPr="00C86B34">
              <w:rPr>
                <w:sz w:val="22"/>
                <w:lang w:val="uk-UA"/>
              </w:rPr>
              <w:t>освітніх,</w:t>
            </w:r>
            <w:r w:rsidR="00BD06ED" w:rsidRPr="00C86B34">
              <w:rPr>
                <w:sz w:val="22"/>
                <w:lang w:val="uk-UA"/>
              </w:rPr>
              <w:t xml:space="preserve"> </w:t>
            </w:r>
            <w:r w:rsidRPr="00C86B34">
              <w:rPr>
                <w:sz w:val="22"/>
                <w:lang w:val="uk-UA"/>
              </w:rPr>
              <w:t>економічних та інших інтересів громадян;</w:t>
            </w:r>
          </w:p>
          <w:p w:rsidR="00E95FB1" w:rsidRPr="00C86B34" w:rsidRDefault="00BD06ED" w:rsidP="000303D7">
            <w:pPr>
              <w:pStyle w:val="a7"/>
              <w:numPr>
                <w:ilvl w:val="0"/>
                <w:numId w:val="27"/>
              </w:numPr>
              <w:jc w:val="left"/>
              <w:rPr>
                <w:sz w:val="22"/>
                <w:lang w:val="uk-UA"/>
              </w:rPr>
            </w:pPr>
            <w:r w:rsidRPr="00C86B34">
              <w:rPr>
                <w:sz w:val="22"/>
                <w:lang w:val="uk-UA"/>
              </w:rPr>
              <w:t>н</w:t>
            </w:r>
            <w:r w:rsidR="00E95FB1" w:rsidRPr="00C86B34">
              <w:rPr>
                <w:sz w:val="22"/>
                <w:lang w:val="uk-UA"/>
              </w:rPr>
              <w:t>адання юридичним та фізичним особам-підприємцям якісних послуг для впровадження ними своєї діяльності;</w:t>
            </w:r>
          </w:p>
          <w:p w:rsidR="00E95FB1" w:rsidRPr="00C86B34" w:rsidRDefault="00BD06ED" w:rsidP="000303D7">
            <w:pPr>
              <w:pStyle w:val="a7"/>
              <w:numPr>
                <w:ilvl w:val="0"/>
                <w:numId w:val="27"/>
              </w:numPr>
              <w:jc w:val="left"/>
              <w:rPr>
                <w:sz w:val="22"/>
                <w:lang w:val="uk-UA"/>
              </w:rPr>
            </w:pPr>
            <w:r w:rsidRPr="00C86B34">
              <w:rPr>
                <w:sz w:val="22"/>
                <w:lang w:val="uk-UA"/>
              </w:rPr>
              <w:t>с</w:t>
            </w:r>
            <w:r w:rsidR="00E95FB1" w:rsidRPr="00C86B34">
              <w:rPr>
                <w:sz w:val="22"/>
                <w:lang w:val="uk-UA"/>
              </w:rPr>
              <w:t>талий розвиток громади;</w:t>
            </w:r>
          </w:p>
          <w:p w:rsidR="00E95FB1" w:rsidRPr="00C86B34" w:rsidRDefault="00BD06ED" w:rsidP="000303D7">
            <w:pPr>
              <w:pStyle w:val="a7"/>
              <w:numPr>
                <w:ilvl w:val="0"/>
                <w:numId w:val="27"/>
              </w:numPr>
              <w:jc w:val="left"/>
              <w:rPr>
                <w:sz w:val="22"/>
                <w:lang w:val="uk-UA"/>
              </w:rPr>
            </w:pPr>
            <w:r w:rsidRPr="00C86B34">
              <w:rPr>
                <w:sz w:val="22"/>
                <w:lang w:val="uk-UA"/>
              </w:rPr>
              <w:t>і</w:t>
            </w:r>
            <w:r w:rsidR="00E95FB1" w:rsidRPr="00C86B34">
              <w:rPr>
                <w:sz w:val="22"/>
                <w:lang w:val="uk-UA"/>
              </w:rPr>
              <w:t>нвестиційна привабливість громади;</w:t>
            </w:r>
          </w:p>
          <w:p w:rsidR="00E95FB1" w:rsidRPr="00C86B34" w:rsidRDefault="00BD06ED" w:rsidP="00BD06ED">
            <w:pPr>
              <w:pStyle w:val="a7"/>
              <w:numPr>
                <w:ilvl w:val="0"/>
                <w:numId w:val="27"/>
              </w:numPr>
              <w:jc w:val="left"/>
              <w:rPr>
                <w:sz w:val="22"/>
                <w:lang w:val="uk-UA"/>
              </w:rPr>
            </w:pPr>
            <w:r w:rsidRPr="00C86B34">
              <w:rPr>
                <w:sz w:val="22"/>
                <w:lang w:val="uk-UA"/>
              </w:rPr>
              <w:t>к</w:t>
            </w:r>
            <w:r w:rsidR="00E95FB1" w:rsidRPr="00C86B34">
              <w:rPr>
                <w:sz w:val="22"/>
                <w:lang w:val="uk-UA"/>
              </w:rPr>
              <w:t>омфортне життя мешканців.</w:t>
            </w:r>
          </w:p>
        </w:tc>
      </w:tr>
      <w:tr w:rsidR="00E95FB1" w:rsidRPr="00C86B34" w:rsidTr="001B3967">
        <w:trPr>
          <w:trHeight w:val="390"/>
        </w:trPr>
        <w:tc>
          <w:tcPr>
            <w:tcW w:w="2694" w:type="dxa"/>
            <w:vMerge w:val="restart"/>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 xml:space="preserve">Очікувані кількісні результати реалізації </w:t>
            </w:r>
            <w:proofErr w:type="spellStart"/>
            <w:r w:rsidRPr="00C86B34">
              <w:rPr>
                <w:b/>
                <w:sz w:val="22"/>
                <w:lang w:val="uk-UA"/>
              </w:rPr>
              <w:t>проєкту</w:t>
            </w:r>
            <w:proofErr w:type="spellEnd"/>
            <w:r w:rsidRPr="00C86B34">
              <w:rPr>
                <w:b/>
                <w:sz w:val="22"/>
                <w:lang w:val="uk-UA"/>
              </w:rPr>
              <w:t xml:space="preserve"> (індикатори)</w:t>
            </w:r>
          </w:p>
          <w:p w:rsidR="00E95FB1" w:rsidRPr="00C86B34" w:rsidRDefault="00E95FB1" w:rsidP="001B3967">
            <w:pPr>
              <w:pStyle w:val="a7"/>
              <w:ind w:left="0"/>
              <w:rPr>
                <w:b/>
                <w:sz w:val="22"/>
                <w:lang w:val="uk-UA"/>
              </w:rPr>
            </w:pPr>
          </w:p>
        </w:tc>
        <w:tc>
          <w:tcPr>
            <w:tcW w:w="3868" w:type="dxa"/>
            <w:gridSpan w:val="3"/>
            <w:tcBorders>
              <w:bottom w:val="single" w:sz="4" w:space="0" w:color="auto"/>
              <w:right w:val="single" w:sz="4" w:space="0" w:color="auto"/>
            </w:tcBorders>
          </w:tcPr>
          <w:p w:rsidR="00E95FB1" w:rsidRPr="00C86B34" w:rsidRDefault="00E95FB1" w:rsidP="001B3967">
            <w:pPr>
              <w:pStyle w:val="a7"/>
              <w:ind w:left="-108"/>
              <w:jc w:val="center"/>
              <w:rPr>
                <w:b/>
                <w:sz w:val="22"/>
                <w:lang w:val="uk-UA"/>
              </w:rPr>
            </w:pPr>
            <w:r w:rsidRPr="00C86B34">
              <w:rPr>
                <w:b/>
                <w:sz w:val="22"/>
                <w:lang w:val="uk-UA"/>
              </w:rPr>
              <w:t>Найменування показника</w:t>
            </w:r>
          </w:p>
        </w:tc>
        <w:tc>
          <w:tcPr>
            <w:tcW w:w="1778" w:type="dxa"/>
            <w:gridSpan w:val="2"/>
            <w:tcBorders>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Одиниця вимірювання</w:t>
            </w:r>
          </w:p>
          <w:p w:rsidR="00E95FB1" w:rsidRPr="00C86B34" w:rsidRDefault="00E95FB1" w:rsidP="001B3967">
            <w:pPr>
              <w:pStyle w:val="a7"/>
              <w:ind w:left="0"/>
              <w:rPr>
                <w:b/>
                <w:sz w:val="22"/>
                <w:lang w:val="uk-UA"/>
              </w:rPr>
            </w:pPr>
          </w:p>
        </w:tc>
        <w:tc>
          <w:tcPr>
            <w:tcW w:w="1548" w:type="dxa"/>
            <w:tcBorders>
              <w:left w:val="single" w:sz="4" w:space="0" w:color="auto"/>
              <w:bottom w:val="single" w:sz="4" w:space="0" w:color="auto"/>
            </w:tcBorders>
          </w:tcPr>
          <w:p w:rsidR="00E95FB1" w:rsidRPr="00C86B34" w:rsidRDefault="00E95FB1" w:rsidP="001B3967">
            <w:pPr>
              <w:pStyle w:val="a7"/>
              <w:ind w:left="0"/>
              <w:jc w:val="center"/>
              <w:rPr>
                <w:b/>
                <w:sz w:val="22"/>
                <w:lang w:val="uk-UA"/>
              </w:rPr>
            </w:pPr>
            <w:r w:rsidRPr="00C86B34">
              <w:rPr>
                <w:b/>
                <w:sz w:val="22"/>
                <w:lang w:val="uk-UA"/>
              </w:rPr>
              <w:t>Прогнозне (цільове) значення</w:t>
            </w:r>
          </w:p>
        </w:tc>
      </w:tr>
      <w:tr w:rsidR="00E95FB1" w:rsidRPr="00C86B34" w:rsidTr="001B3967">
        <w:trPr>
          <w:trHeight w:val="58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868"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Кількість учнів</w:t>
            </w:r>
            <w:r w:rsidR="00BD06ED" w:rsidRPr="00C86B34">
              <w:rPr>
                <w:sz w:val="22"/>
                <w:lang w:val="uk-UA"/>
              </w:rPr>
              <w:t>,</w:t>
            </w:r>
            <w:r w:rsidRPr="00C86B34">
              <w:rPr>
                <w:sz w:val="22"/>
                <w:lang w:val="uk-UA"/>
              </w:rPr>
              <w:t xml:space="preserve"> які навчались протягом  року</w:t>
            </w:r>
          </w:p>
        </w:tc>
        <w:tc>
          <w:tcPr>
            <w:tcW w:w="1778"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осіб</w:t>
            </w:r>
          </w:p>
        </w:tc>
        <w:tc>
          <w:tcPr>
            <w:tcW w:w="1548" w:type="dxa"/>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269</w:t>
            </w:r>
          </w:p>
        </w:tc>
      </w:tr>
      <w:tr w:rsidR="00E95FB1" w:rsidRPr="00C86B34" w:rsidTr="001B3967">
        <w:trPr>
          <w:trHeight w:val="184"/>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868"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Кількість фізичних та юридичних осіб, які відвідували заходи протягом  року</w:t>
            </w:r>
          </w:p>
        </w:tc>
        <w:tc>
          <w:tcPr>
            <w:tcW w:w="1778"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осіб</w:t>
            </w:r>
          </w:p>
        </w:tc>
        <w:tc>
          <w:tcPr>
            <w:tcW w:w="1548" w:type="dxa"/>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21 110</w:t>
            </w:r>
          </w:p>
        </w:tc>
      </w:tr>
      <w:tr w:rsidR="00E95FB1" w:rsidRPr="00C86B34" w:rsidTr="001B3967">
        <w:trPr>
          <w:trHeight w:val="16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868"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Кількість видів та типів послуг</w:t>
            </w:r>
            <w:r w:rsidR="00BD06ED" w:rsidRPr="00C86B34">
              <w:rPr>
                <w:sz w:val="22"/>
                <w:lang w:val="uk-UA"/>
              </w:rPr>
              <w:t>,</w:t>
            </w:r>
            <w:r w:rsidRPr="00C86B34">
              <w:rPr>
                <w:sz w:val="22"/>
                <w:lang w:val="uk-UA"/>
              </w:rPr>
              <w:t xml:space="preserve"> наданих протягом одного робочого дня</w:t>
            </w:r>
          </w:p>
        </w:tc>
        <w:tc>
          <w:tcPr>
            <w:tcW w:w="1778"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548" w:type="dxa"/>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7</w:t>
            </w:r>
          </w:p>
        </w:tc>
      </w:tr>
      <w:tr w:rsidR="00E95FB1" w:rsidRPr="00C86B34" w:rsidTr="001B3967">
        <w:trPr>
          <w:trHeight w:val="16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868"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Середня вартість послуг</w:t>
            </w:r>
          </w:p>
        </w:tc>
        <w:tc>
          <w:tcPr>
            <w:tcW w:w="1778"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грн</w:t>
            </w:r>
          </w:p>
        </w:tc>
        <w:tc>
          <w:tcPr>
            <w:tcW w:w="1548" w:type="dxa"/>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безкоштовно</w:t>
            </w:r>
          </w:p>
        </w:tc>
      </w:tr>
      <w:tr w:rsidR="00E95FB1" w:rsidRPr="00C86B34" w:rsidTr="001B3967">
        <w:trPr>
          <w:trHeight w:val="165"/>
        </w:trPr>
        <w:tc>
          <w:tcPr>
            <w:tcW w:w="2694" w:type="dxa"/>
            <w:shd w:val="clear" w:color="auto" w:fill="C6D9F1" w:themeFill="text2" w:themeFillTint="33"/>
          </w:tcPr>
          <w:p w:rsidR="00E95FB1" w:rsidRPr="00C86B34" w:rsidRDefault="00E95FB1" w:rsidP="001B3967">
            <w:pPr>
              <w:pStyle w:val="a7"/>
              <w:ind w:left="0"/>
              <w:rPr>
                <w:b/>
                <w:sz w:val="22"/>
                <w:lang w:val="uk-UA"/>
              </w:rPr>
            </w:pPr>
          </w:p>
        </w:tc>
        <w:tc>
          <w:tcPr>
            <w:tcW w:w="3868"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Термін надання послуги навчання</w:t>
            </w:r>
          </w:p>
        </w:tc>
        <w:tc>
          <w:tcPr>
            <w:tcW w:w="1778"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років</w:t>
            </w:r>
          </w:p>
        </w:tc>
        <w:tc>
          <w:tcPr>
            <w:tcW w:w="1548" w:type="dxa"/>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Від 4 до 11</w:t>
            </w:r>
          </w:p>
        </w:tc>
      </w:tr>
      <w:tr w:rsidR="00E95FB1" w:rsidRPr="00C86B34" w:rsidTr="001B3967">
        <w:trPr>
          <w:trHeight w:val="165"/>
        </w:trPr>
        <w:tc>
          <w:tcPr>
            <w:tcW w:w="2694" w:type="dxa"/>
            <w:shd w:val="clear" w:color="auto" w:fill="C6D9F1" w:themeFill="text2" w:themeFillTint="33"/>
          </w:tcPr>
          <w:p w:rsidR="00E95FB1" w:rsidRPr="00C86B34" w:rsidRDefault="00E95FB1" w:rsidP="001B3967">
            <w:pPr>
              <w:pStyle w:val="a7"/>
              <w:ind w:left="0"/>
              <w:rPr>
                <w:b/>
                <w:sz w:val="22"/>
                <w:lang w:val="uk-UA"/>
              </w:rPr>
            </w:pPr>
          </w:p>
        </w:tc>
        <w:tc>
          <w:tcPr>
            <w:tcW w:w="3868" w:type="dxa"/>
            <w:gridSpan w:val="3"/>
            <w:tcBorders>
              <w:top w:val="single" w:sz="4" w:space="0" w:color="auto"/>
              <w:bottom w:val="single" w:sz="4" w:space="0" w:color="auto"/>
              <w:right w:val="single" w:sz="4" w:space="0" w:color="auto"/>
            </w:tcBorders>
          </w:tcPr>
          <w:p w:rsidR="00E95FB1" w:rsidRPr="00C86B34" w:rsidRDefault="00E95FB1" w:rsidP="00BD06ED">
            <w:pPr>
              <w:pStyle w:val="a7"/>
              <w:ind w:left="0"/>
              <w:jc w:val="center"/>
              <w:rPr>
                <w:sz w:val="22"/>
                <w:lang w:val="uk-UA"/>
              </w:rPr>
            </w:pPr>
            <w:r w:rsidRPr="00C86B34">
              <w:rPr>
                <w:sz w:val="22"/>
                <w:lang w:val="uk-UA"/>
              </w:rPr>
              <w:t>Кількість населених пунктів, як</w:t>
            </w:r>
            <w:r w:rsidR="00BD06ED" w:rsidRPr="00C86B34">
              <w:rPr>
                <w:sz w:val="22"/>
                <w:lang w:val="uk-UA"/>
              </w:rPr>
              <w:t>і</w:t>
            </w:r>
            <w:r w:rsidRPr="00C86B34">
              <w:rPr>
                <w:sz w:val="22"/>
                <w:lang w:val="uk-UA"/>
              </w:rPr>
              <w:t xml:space="preserve"> обслуговує заклад</w:t>
            </w:r>
          </w:p>
        </w:tc>
        <w:tc>
          <w:tcPr>
            <w:tcW w:w="1778"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548" w:type="dxa"/>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20</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 xml:space="preserve">Ключові заходи проекту: </w:t>
            </w:r>
          </w:p>
          <w:p w:rsidR="00E95FB1" w:rsidRPr="00C86B34" w:rsidRDefault="00E95FB1" w:rsidP="001B3967">
            <w:pPr>
              <w:pStyle w:val="a7"/>
              <w:ind w:left="0"/>
              <w:rPr>
                <w:b/>
                <w:sz w:val="22"/>
                <w:lang w:val="uk-UA"/>
              </w:rPr>
            </w:pPr>
          </w:p>
        </w:tc>
        <w:tc>
          <w:tcPr>
            <w:tcW w:w="7194" w:type="dxa"/>
            <w:gridSpan w:val="6"/>
          </w:tcPr>
          <w:p w:rsidR="00E95FB1" w:rsidRPr="00C86B34" w:rsidRDefault="00E95FB1" w:rsidP="001B3967">
            <w:pPr>
              <w:pStyle w:val="a7"/>
              <w:ind w:left="0"/>
              <w:rPr>
                <w:sz w:val="22"/>
                <w:lang w:val="uk-UA"/>
              </w:rPr>
            </w:pPr>
            <w:r w:rsidRPr="00C86B34">
              <w:rPr>
                <w:sz w:val="22"/>
                <w:lang w:val="uk-UA"/>
              </w:rPr>
              <w:t>- обстеження об’єкта нерухомості;</w:t>
            </w:r>
          </w:p>
          <w:p w:rsidR="00E95FB1" w:rsidRPr="00C86B34" w:rsidRDefault="00E95FB1" w:rsidP="001B3967">
            <w:pPr>
              <w:pStyle w:val="a7"/>
              <w:ind w:left="0"/>
              <w:rPr>
                <w:sz w:val="22"/>
                <w:lang w:val="uk-UA"/>
              </w:rPr>
            </w:pPr>
            <w:r w:rsidRPr="00C86B34">
              <w:rPr>
                <w:sz w:val="22"/>
                <w:lang w:val="uk-UA"/>
              </w:rPr>
              <w:t>- пошук інвестора;</w:t>
            </w:r>
          </w:p>
          <w:p w:rsidR="00E95FB1" w:rsidRPr="00C86B34" w:rsidRDefault="00E95FB1" w:rsidP="001B3967">
            <w:pPr>
              <w:pStyle w:val="a7"/>
              <w:ind w:left="0"/>
              <w:rPr>
                <w:sz w:val="22"/>
                <w:lang w:val="uk-UA"/>
              </w:rPr>
            </w:pPr>
            <w:r w:rsidRPr="00C86B34">
              <w:rPr>
                <w:sz w:val="22"/>
                <w:lang w:val="uk-UA"/>
              </w:rPr>
              <w:t xml:space="preserve">- розробка </w:t>
            </w:r>
            <w:proofErr w:type="spellStart"/>
            <w:r w:rsidRPr="00C86B34">
              <w:rPr>
                <w:sz w:val="22"/>
                <w:lang w:val="uk-UA"/>
              </w:rPr>
              <w:t>про</w:t>
            </w:r>
            <w:r w:rsidR="00BD06ED" w:rsidRPr="00C86B34">
              <w:rPr>
                <w:sz w:val="22"/>
                <w:lang w:val="uk-UA"/>
              </w:rPr>
              <w:t>є</w:t>
            </w:r>
            <w:r w:rsidRPr="00C86B34">
              <w:rPr>
                <w:sz w:val="22"/>
                <w:lang w:val="uk-UA"/>
              </w:rPr>
              <w:t>ктно</w:t>
            </w:r>
            <w:proofErr w:type="spellEnd"/>
            <w:r w:rsidRPr="00C86B34">
              <w:rPr>
                <w:sz w:val="22"/>
                <w:lang w:val="uk-UA"/>
              </w:rPr>
              <w:t>-кошторисної документації;</w:t>
            </w:r>
          </w:p>
          <w:p w:rsidR="00E95FB1" w:rsidRPr="00C86B34" w:rsidRDefault="00E95FB1" w:rsidP="001B3967">
            <w:pPr>
              <w:pStyle w:val="a7"/>
              <w:ind w:left="0"/>
              <w:rPr>
                <w:sz w:val="22"/>
                <w:lang w:val="uk-UA"/>
              </w:rPr>
            </w:pPr>
            <w:r w:rsidRPr="00C86B34">
              <w:rPr>
                <w:sz w:val="22"/>
                <w:lang w:val="uk-UA"/>
              </w:rPr>
              <w:t>- укладення договору про будівництво із підрядною організацією;</w:t>
            </w:r>
          </w:p>
          <w:p w:rsidR="00E95FB1" w:rsidRPr="00C86B34" w:rsidRDefault="00E95FB1" w:rsidP="001B3967">
            <w:pPr>
              <w:pStyle w:val="a7"/>
              <w:ind w:left="0"/>
              <w:rPr>
                <w:sz w:val="22"/>
                <w:lang w:val="uk-UA"/>
              </w:rPr>
            </w:pPr>
            <w:r w:rsidRPr="00C86B34">
              <w:rPr>
                <w:sz w:val="22"/>
                <w:lang w:val="uk-UA"/>
              </w:rPr>
              <w:t>- організація та початок робочого процесу.</w:t>
            </w:r>
          </w:p>
        </w:tc>
      </w:tr>
      <w:tr w:rsidR="00E95FB1" w:rsidRPr="00C86B34" w:rsidTr="001B3967">
        <w:trPr>
          <w:trHeight w:val="360"/>
        </w:trPr>
        <w:tc>
          <w:tcPr>
            <w:tcW w:w="2694" w:type="dxa"/>
            <w:vMerge w:val="restart"/>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lastRenderedPageBreak/>
              <w:t xml:space="preserve">Орієнтовний обсяг та джерела фінансування, тис. грн. </w:t>
            </w:r>
          </w:p>
          <w:p w:rsidR="00E95FB1" w:rsidRPr="00C86B34" w:rsidRDefault="00E95FB1" w:rsidP="001B3967">
            <w:pPr>
              <w:pStyle w:val="a7"/>
              <w:ind w:left="0"/>
              <w:rPr>
                <w:b/>
                <w:sz w:val="22"/>
                <w:lang w:val="uk-UA"/>
              </w:rPr>
            </w:pPr>
          </w:p>
        </w:tc>
        <w:tc>
          <w:tcPr>
            <w:tcW w:w="1813" w:type="dxa"/>
            <w:tcBorders>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Державний бюджет</w:t>
            </w:r>
          </w:p>
        </w:tc>
        <w:tc>
          <w:tcPr>
            <w:tcW w:w="1357" w:type="dxa"/>
            <w:tcBorders>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Місцевий бюджет</w:t>
            </w:r>
          </w:p>
          <w:p w:rsidR="00E95FB1" w:rsidRPr="00C86B34" w:rsidRDefault="00E95FB1" w:rsidP="001B3967">
            <w:pPr>
              <w:pStyle w:val="a7"/>
              <w:ind w:left="0"/>
              <w:jc w:val="center"/>
              <w:rPr>
                <w:b/>
                <w:sz w:val="22"/>
                <w:lang w:val="uk-UA"/>
              </w:rPr>
            </w:pPr>
            <w:proofErr w:type="spellStart"/>
            <w:r w:rsidRPr="00C86B34">
              <w:rPr>
                <w:b/>
                <w:sz w:val="22"/>
                <w:lang w:val="uk-UA"/>
              </w:rPr>
              <w:t>тис.грн</w:t>
            </w:r>
            <w:proofErr w:type="spellEnd"/>
          </w:p>
        </w:tc>
        <w:tc>
          <w:tcPr>
            <w:tcW w:w="2476" w:type="dxa"/>
            <w:gridSpan w:val="3"/>
            <w:tcBorders>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Інші джерела</w:t>
            </w:r>
          </w:p>
          <w:p w:rsidR="00E95FB1" w:rsidRPr="00C86B34" w:rsidRDefault="00E95FB1" w:rsidP="001B3967">
            <w:pPr>
              <w:pStyle w:val="a7"/>
              <w:ind w:left="0"/>
              <w:jc w:val="center"/>
              <w:rPr>
                <w:b/>
                <w:sz w:val="22"/>
                <w:lang w:val="uk-UA"/>
              </w:rPr>
            </w:pPr>
            <w:proofErr w:type="spellStart"/>
            <w:r w:rsidRPr="00C86B34">
              <w:rPr>
                <w:b/>
                <w:sz w:val="22"/>
                <w:lang w:val="uk-UA"/>
              </w:rPr>
              <w:t>тис.грн</w:t>
            </w:r>
            <w:proofErr w:type="spellEnd"/>
          </w:p>
        </w:tc>
        <w:tc>
          <w:tcPr>
            <w:tcW w:w="1548" w:type="dxa"/>
            <w:tcBorders>
              <w:left w:val="single" w:sz="4" w:space="0" w:color="auto"/>
              <w:bottom w:val="single" w:sz="4" w:space="0" w:color="auto"/>
            </w:tcBorders>
          </w:tcPr>
          <w:p w:rsidR="00E95FB1" w:rsidRPr="00C86B34" w:rsidRDefault="00E95FB1" w:rsidP="001B3967">
            <w:pPr>
              <w:pStyle w:val="a7"/>
              <w:ind w:left="0"/>
              <w:jc w:val="center"/>
              <w:rPr>
                <w:b/>
                <w:sz w:val="22"/>
                <w:lang w:val="uk-UA"/>
              </w:rPr>
            </w:pPr>
            <w:r w:rsidRPr="00C86B34">
              <w:rPr>
                <w:b/>
                <w:sz w:val="22"/>
                <w:lang w:val="uk-UA"/>
              </w:rPr>
              <w:t>Всього</w:t>
            </w:r>
          </w:p>
          <w:p w:rsidR="00E95FB1" w:rsidRPr="00C86B34" w:rsidRDefault="00E95FB1" w:rsidP="001B3967">
            <w:pPr>
              <w:pStyle w:val="a7"/>
              <w:ind w:left="0"/>
              <w:jc w:val="center"/>
              <w:rPr>
                <w:b/>
                <w:sz w:val="22"/>
                <w:lang w:val="uk-UA"/>
              </w:rPr>
            </w:pPr>
            <w:proofErr w:type="spellStart"/>
            <w:r w:rsidRPr="00C86B34">
              <w:rPr>
                <w:b/>
                <w:sz w:val="22"/>
                <w:lang w:val="uk-UA"/>
              </w:rPr>
              <w:t>тис.грн</w:t>
            </w:r>
            <w:proofErr w:type="spellEnd"/>
          </w:p>
        </w:tc>
      </w:tr>
      <w:tr w:rsidR="00E95FB1" w:rsidRPr="00C86B34" w:rsidTr="001B3967">
        <w:trPr>
          <w:trHeight w:val="22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1813" w:type="dxa"/>
            <w:vMerge w:val="restart"/>
            <w:tcBorders>
              <w:top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100000,0</w:t>
            </w:r>
          </w:p>
        </w:tc>
        <w:tc>
          <w:tcPr>
            <w:tcW w:w="1357" w:type="dxa"/>
            <w:vMerge w:val="restart"/>
            <w:tcBorders>
              <w:top w:val="single" w:sz="4" w:space="0" w:color="auto"/>
              <w:right w:val="single" w:sz="4" w:space="0" w:color="auto"/>
            </w:tcBorders>
          </w:tcPr>
          <w:p w:rsidR="00E95FB1" w:rsidRPr="00C86B34" w:rsidRDefault="00E95FB1" w:rsidP="001B3967">
            <w:pPr>
              <w:pStyle w:val="a7"/>
              <w:ind w:left="0"/>
              <w:jc w:val="center"/>
              <w:rPr>
                <w:sz w:val="22"/>
                <w:lang w:val="uk-UA"/>
              </w:rPr>
            </w:pPr>
            <w:proofErr w:type="spellStart"/>
            <w:r w:rsidRPr="00C86B34">
              <w:rPr>
                <w:sz w:val="22"/>
                <w:lang w:val="uk-UA"/>
              </w:rPr>
              <w:t>Проєкт</w:t>
            </w:r>
            <w:proofErr w:type="spellEnd"/>
          </w:p>
          <w:p w:rsidR="00E95FB1" w:rsidRPr="00C86B34" w:rsidRDefault="00E95FB1" w:rsidP="001B3967">
            <w:pPr>
              <w:pStyle w:val="a7"/>
              <w:ind w:left="0"/>
              <w:jc w:val="center"/>
              <w:rPr>
                <w:sz w:val="22"/>
                <w:lang w:val="uk-UA"/>
              </w:rPr>
            </w:pPr>
            <w:r w:rsidRPr="00C86B34">
              <w:rPr>
                <w:sz w:val="22"/>
                <w:lang w:val="uk-UA"/>
              </w:rPr>
              <w:t>1500,0</w:t>
            </w:r>
          </w:p>
        </w:tc>
        <w:tc>
          <w:tcPr>
            <w:tcW w:w="999" w:type="dxa"/>
            <w:gridSpan w:val="2"/>
            <w:tcBorders>
              <w:top w:val="single" w:sz="4" w:space="0" w:color="auto"/>
              <w:left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Обсяг</w:t>
            </w:r>
          </w:p>
          <w:p w:rsidR="00E95FB1" w:rsidRPr="00C86B34" w:rsidRDefault="00E95FB1" w:rsidP="001B3967">
            <w:pPr>
              <w:pStyle w:val="a7"/>
              <w:ind w:left="0"/>
              <w:jc w:val="center"/>
              <w:rPr>
                <w:sz w:val="22"/>
                <w:lang w:val="uk-UA"/>
              </w:rPr>
            </w:pPr>
            <w:proofErr w:type="spellStart"/>
            <w:r w:rsidRPr="00C86B34">
              <w:rPr>
                <w:sz w:val="22"/>
                <w:lang w:val="uk-UA"/>
              </w:rPr>
              <w:t>тис.грн</w:t>
            </w:r>
            <w:proofErr w:type="spellEnd"/>
          </w:p>
        </w:tc>
        <w:tc>
          <w:tcPr>
            <w:tcW w:w="1477" w:type="dxa"/>
            <w:tcBorders>
              <w:top w:val="single" w:sz="4" w:space="0" w:color="auto"/>
              <w:left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Назва джерела</w:t>
            </w:r>
          </w:p>
        </w:tc>
        <w:tc>
          <w:tcPr>
            <w:tcW w:w="1548" w:type="dxa"/>
            <w:vMerge w:val="restart"/>
            <w:tcBorders>
              <w:top w:val="single" w:sz="4" w:space="0" w:color="auto"/>
              <w:left w:val="single" w:sz="4" w:space="0" w:color="auto"/>
            </w:tcBorders>
          </w:tcPr>
          <w:p w:rsidR="00E95FB1" w:rsidRPr="00C86B34" w:rsidRDefault="00E95FB1" w:rsidP="001B3967">
            <w:pPr>
              <w:pStyle w:val="a7"/>
              <w:ind w:left="0"/>
              <w:jc w:val="center"/>
              <w:rPr>
                <w:sz w:val="22"/>
                <w:lang w:val="uk-UA"/>
              </w:rPr>
            </w:pPr>
            <w:r w:rsidRPr="00C86B34">
              <w:rPr>
                <w:sz w:val="22"/>
                <w:lang w:val="uk-UA"/>
              </w:rPr>
              <w:t>101500,00</w:t>
            </w:r>
          </w:p>
        </w:tc>
      </w:tr>
      <w:tr w:rsidR="00E95FB1" w:rsidRPr="00C86B34" w:rsidTr="001B3967">
        <w:trPr>
          <w:trHeight w:val="300"/>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1813" w:type="dxa"/>
            <w:vMerge/>
            <w:tcBorders>
              <w:right w:val="single" w:sz="4" w:space="0" w:color="auto"/>
            </w:tcBorders>
          </w:tcPr>
          <w:p w:rsidR="00E95FB1" w:rsidRPr="00C86B34" w:rsidRDefault="00E95FB1" w:rsidP="001B3967">
            <w:pPr>
              <w:pStyle w:val="a7"/>
              <w:ind w:left="0"/>
              <w:jc w:val="center"/>
              <w:rPr>
                <w:sz w:val="22"/>
                <w:lang w:val="uk-UA"/>
              </w:rPr>
            </w:pPr>
          </w:p>
        </w:tc>
        <w:tc>
          <w:tcPr>
            <w:tcW w:w="1357" w:type="dxa"/>
            <w:vMerge/>
            <w:tcBorders>
              <w:right w:val="single" w:sz="4" w:space="0" w:color="auto"/>
            </w:tcBorders>
          </w:tcPr>
          <w:p w:rsidR="00E95FB1" w:rsidRPr="00C86B34" w:rsidRDefault="00E95FB1" w:rsidP="001B3967">
            <w:pPr>
              <w:pStyle w:val="a7"/>
              <w:ind w:left="0"/>
              <w:jc w:val="center"/>
              <w:rPr>
                <w:b/>
                <w:sz w:val="22"/>
                <w:lang w:val="uk-UA"/>
              </w:rPr>
            </w:pPr>
          </w:p>
        </w:tc>
        <w:tc>
          <w:tcPr>
            <w:tcW w:w="999" w:type="dxa"/>
            <w:gridSpan w:val="2"/>
            <w:tcBorders>
              <w:top w:val="single" w:sz="4" w:space="0" w:color="auto"/>
              <w:left w:val="single" w:sz="4" w:space="0" w:color="auto"/>
              <w:right w:val="single" w:sz="4" w:space="0" w:color="auto"/>
            </w:tcBorders>
          </w:tcPr>
          <w:p w:rsidR="00E95FB1" w:rsidRPr="00C86B34" w:rsidRDefault="00E95FB1" w:rsidP="001B3967">
            <w:pPr>
              <w:pStyle w:val="a7"/>
              <w:ind w:left="0"/>
              <w:jc w:val="center"/>
              <w:rPr>
                <w:b/>
                <w:sz w:val="22"/>
                <w:lang w:val="uk-UA"/>
              </w:rPr>
            </w:pPr>
          </w:p>
        </w:tc>
        <w:tc>
          <w:tcPr>
            <w:tcW w:w="1477" w:type="dxa"/>
            <w:tcBorders>
              <w:top w:val="single" w:sz="4" w:space="0" w:color="auto"/>
              <w:left w:val="single" w:sz="4" w:space="0" w:color="auto"/>
              <w:right w:val="single" w:sz="4" w:space="0" w:color="auto"/>
            </w:tcBorders>
          </w:tcPr>
          <w:p w:rsidR="00E95FB1" w:rsidRPr="00C86B34" w:rsidRDefault="00E95FB1" w:rsidP="001B3967">
            <w:pPr>
              <w:pStyle w:val="a7"/>
              <w:ind w:left="0"/>
              <w:jc w:val="center"/>
              <w:rPr>
                <w:sz w:val="22"/>
                <w:lang w:val="uk-UA"/>
              </w:rPr>
            </w:pPr>
          </w:p>
        </w:tc>
        <w:tc>
          <w:tcPr>
            <w:tcW w:w="1548" w:type="dxa"/>
            <w:vMerge/>
            <w:tcBorders>
              <w:left w:val="single" w:sz="4" w:space="0" w:color="auto"/>
            </w:tcBorders>
          </w:tcPr>
          <w:p w:rsidR="00E95FB1" w:rsidRPr="00C86B34" w:rsidRDefault="00E95FB1" w:rsidP="001B3967">
            <w:pPr>
              <w:pStyle w:val="a7"/>
              <w:ind w:left="0"/>
              <w:jc w:val="center"/>
              <w:rPr>
                <w:sz w:val="22"/>
                <w:lang w:val="uk-UA"/>
              </w:rPr>
            </w:pPr>
          </w:p>
        </w:tc>
      </w:tr>
    </w:tbl>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tbl>
      <w:tblPr>
        <w:tblStyle w:val="af"/>
        <w:tblW w:w="0" w:type="auto"/>
        <w:tblInd w:w="-176" w:type="dxa"/>
        <w:tblLook w:val="04A0" w:firstRow="1" w:lastRow="0" w:firstColumn="1" w:lastColumn="0" w:noHBand="0" w:noVBand="1"/>
      </w:tblPr>
      <w:tblGrid>
        <w:gridCol w:w="2598"/>
        <w:gridCol w:w="1961"/>
        <w:gridCol w:w="1386"/>
        <w:gridCol w:w="429"/>
        <w:gridCol w:w="631"/>
        <w:gridCol w:w="1120"/>
        <w:gridCol w:w="72"/>
        <w:gridCol w:w="1465"/>
      </w:tblGrid>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Оперативна ціль/завдання</w:t>
            </w:r>
          </w:p>
        </w:tc>
        <w:tc>
          <w:tcPr>
            <w:tcW w:w="7194" w:type="dxa"/>
            <w:gridSpan w:val="7"/>
            <w:shd w:val="clear" w:color="auto" w:fill="auto"/>
          </w:tcPr>
          <w:p w:rsidR="00E95FB1" w:rsidRPr="00C86B34" w:rsidRDefault="00104653" w:rsidP="001B3967">
            <w:pPr>
              <w:pStyle w:val="a7"/>
              <w:ind w:left="0"/>
              <w:rPr>
                <w:sz w:val="22"/>
                <w:lang w:val="uk-UA"/>
              </w:rPr>
            </w:pPr>
            <w:r w:rsidRPr="00C86B34">
              <w:rPr>
                <w:rFonts w:eastAsia="Arial"/>
                <w:sz w:val="22"/>
                <w:lang w:val="uk-UA"/>
              </w:rPr>
              <w:t xml:space="preserve">Людський розвиток </w:t>
            </w:r>
            <w:r w:rsidR="00E95FB1" w:rsidRPr="00C86B34">
              <w:rPr>
                <w:rFonts w:eastAsia="Arial"/>
                <w:sz w:val="22"/>
                <w:lang w:val="uk-UA"/>
              </w:rPr>
              <w:t>через інновації управління та довіру до влади</w:t>
            </w:r>
          </w:p>
          <w:p w:rsidR="00E95FB1" w:rsidRPr="00C86B34" w:rsidRDefault="00E95FB1" w:rsidP="001B3967">
            <w:pPr>
              <w:pStyle w:val="a7"/>
              <w:ind w:left="0"/>
              <w:rPr>
                <w:rFonts w:eastAsia="Arial"/>
                <w:sz w:val="22"/>
                <w:lang w:val="uk-UA"/>
              </w:rPr>
            </w:pPr>
            <w:r w:rsidRPr="00C86B34">
              <w:rPr>
                <w:rFonts w:eastAsia="Arial"/>
                <w:sz w:val="22"/>
                <w:lang w:val="uk-UA"/>
              </w:rPr>
              <w:t xml:space="preserve">Формування сучасного інклюзивного </w:t>
            </w:r>
            <w:proofErr w:type="spellStart"/>
            <w:r w:rsidRPr="00C86B34">
              <w:rPr>
                <w:rFonts w:eastAsia="Arial"/>
                <w:sz w:val="22"/>
                <w:lang w:val="uk-UA"/>
              </w:rPr>
              <w:t>освітньо</w:t>
            </w:r>
            <w:proofErr w:type="spellEnd"/>
            <w:r w:rsidRPr="00C86B34">
              <w:rPr>
                <w:rFonts w:eastAsia="Arial"/>
                <w:sz w:val="22"/>
                <w:lang w:val="uk-UA"/>
              </w:rPr>
              <w:t xml:space="preserve"> – культурного та спортивного простору для розвитку</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Назва проекту:</w:t>
            </w:r>
          </w:p>
        </w:tc>
        <w:tc>
          <w:tcPr>
            <w:tcW w:w="7194" w:type="dxa"/>
            <w:gridSpan w:val="7"/>
          </w:tcPr>
          <w:p w:rsidR="00E95FB1" w:rsidRPr="00C86B34" w:rsidRDefault="00E95FB1" w:rsidP="001B3967">
            <w:pPr>
              <w:pStyle w:val="a7"/>
              <w:ind w:left="0"/>
              <w:rPr>
                <w:sz w:val="22"/>
                <w:lang w:val="uk-UA"/>
              </w:rPr>
            </w:pPr>
            <w:r w:rsidRPr="00C86B34">
              <w:rPr>
                <w:sz w:val="22"/>
                <w:lang w:val="uk-UA"/>
              </w:rPr>
              <w:t xml:space="preserve">Відновлення та відбудова будівель Комунального Закладу «Сєвєродонецька галерея мистецтв» </w:t>
            </w:r>
            <w:r w:rsidRPr="00C86B34">
              <w:rPr>
                <w:color w:val="000000"/>
                <w:sz w:val="22"/>
                <w:lang w:val="uk-UA"/>
              </w:rPr>
              <w:t xml:space="preserve">вул. Курчатова, буд. 17/275 з філією селище </w:t>
            </w:r>
            <w:proofErr w:type="spellStart"/>
            <w:r w:rsidRPr="00C86B34">
              <w:rPr>
                <w:color w:val="000000"/>
                <w:sz w:val="22"/>
                <w:lang w:val="uk-UA"/>
              </w:rPr>
              <w:t>Смолянинове</w:t>
            </w:r>
            <w:proofErr w:type="spellEnd"/>
            <w:r w:rsidR="00104653" w:rsidRPr="00C86B34">
              <w:rPr>
                <w:color w:val="000000"/>
                <w:sz w:val="22"/>
                <w:lang w:val="uk-UA"/>
              </w:rPr>
              <w:t>,</w:t>
            </w:r>
            <w:r w:rsidRPr="00C86B34">
              <w:rPr>
                <w:color w:val="000000"/>
                <w:sz w:val="22"/>
                <w:lang w:val="uk-UA"/>
              </w:rPr>
              <w:t xml:space="preserve">  вул. Миру </w:t>
            </w:r>
            <w:r w:rsidRPr="00C86B34">
              <w:rPr>
                <w:sz w:val="22"/>
                <w:lang w:val="uk-UA"/>
              </w:rPr>
              <w:t>Сєвєродонецької міської територіальної громади для задоволення потреб мешканців у отриманні послуг, гарантованих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Ціль проекту</w:t>
            </w:r>
          </w:p>
        </w:tc>
        <w:tc>
          <w:tcPr>
            <w:tcW w:w="7194" w:type="dxa"/>
            <w:gridSpan w:val="7"/>
          </w:tcPr>
          <w:p w:rsidR="00E95FB1" w:rsidRPr="00C86B34" w:rsidRDefault="00E95FB1" w:rsidP="001B3967">
            <w:pPr>
              <w:pStyle w:val="a7"/>
              <w:ind w:left="0"/>
              <w:rPr>
                <w:sz w:val="22"/>
                <w:lang w:val="uk-UA"/>
              </w:rPr>
            </w:pPr>
            <w:r w:rsidRPr="00C86B34">
              <w:rPr>
                <w:sz w:val="22"/>
                <w:lang w:val="uk-UA"/>
              </w:rPr>
              <w:t>Відновити та відбудувати будівлі Комунального Закладу «Сєвєродонецька галерея мистецтв»</w:t>
            </w:r>
            <w:r w:rsidRPr="00C86B34">
              <w:rPr>
                <w:color w:val="000000"/>
                <w:sz w:val="22"/>
                <w:lang w:val="uk-UA"/>
              </w:rPr>
              <w:t xml:space="preserve"> вул. Курчатова, буд. 17/275 з філією селище </w:t>
            </w:r>
            <w:proofErr w:type="spellStart"/>
            <w:r w:rsidRPr="00C86B34">
              <w:rPr>
                <w:color w:val="000000"/>
                <w:sz w:val="22"/>
                <w:lang w:val="uk-UA"/>
              </w:rPr>
              <w:t>Смолянинове</w:t>
            </w:r>
            <w:proofErr w:type="spellEnd"/>
            <w:r w:rsidR="00104653" w:rsidRPr="00C86B34">
              <w:rPr>
                <w:color w:val="000000"/>
                <w:sz w:val="22"/>
                <w:lang w:val="uk-UA"/>
              </w:rPr>
              <w:t>,</w:t>
            </w:r>
            <w:r w:rsidRPr="00C86B34">
              <w:rPr>
                <w:color w:val="000000"/>
                <w:sz w:val="22"/>
                <w:lang w:val="uk-UA"/>
              </w:rPr>
              <w:t xml:space="preserve">  вул.. Миру</w:t>
            </w:r>
            <w:r w:rsidRPr="00C86B34">
              <w:rPr>
                <w:sz w:val="22"/>
                <w:lang w:val="uk-UA"/>
              </w:rPr>
              <w:t xml:space="preserve"> Сєвєродонецької міської територіальної громади для задоволення потреб мешканців у отриманні послуг, гарантованих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Територія, на яку матиме вплив реалізація проекту</w:t>
            </w:r>
          </w:p>
        </w:tc>
        <w:tc>
          <w:tcPr>
            <w:tcW w:w="7194" w:type="dxa"/>
            <w:gridSpan w:val="7"/>
          </w:tcPr>
          <w:p w:rsidR="00E95FB1" w:rsidRPr="00C86B34" w:rsidRDefault="00E95FB1" w:rsidP="001B3967">
            <w:pPr>
              <w:pStyle w:val="a7"/>
              <w:ind w:left="0"/>
              <w:rPr>
                <w:sz w:val="22"/>
                <w:lang w:val="uk-UA"/>
              </w:rPr>
            </w:pPr>
            <w:r w:rsidRPr="00C86B34">
              <w:rPr>
                <w:sz w:val="22"/>
                <w:lang w:val="uk-UA"/>
              </w:rPr>
              <w:t>Сєвєродонецька міська територіальна громада</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Чисельність населення, на яке матиме вплив реалізація проекту</w:t>
            </w:r>
          </w:p>
        </w:tc>
        <w:tc>
          <w:tcPr>
            <w:tcW w:w="7194" w:type="dxa"/>
            <w:gridSpan w:val="7"/>
          </w:tcPr>
          <w:p w:rsidR="00E95FB1" w:rsidRPr="00C86B34" w:rsidRDefault="00AC7404" w:rsidP="001B3967">
            <w:pPr>
              <w:pStyle w:val="a7"/>
              <w:ind w:left="0"/>
              <w:rPr>
                <w:sz w:val="22"/>
                <w:lang w:val="uk-UA"/>
              </w:rPr>
            </w:pPr>
            <w:r w:rsidRPr="00C86B34">
              <w:rPr>
                <w:sz w:val="22"/>
                <w:lang w:val="uk-UA"/>
              </w:rPr>
              <w:t>70 000</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Опис проблеми, на вирішення якої  спрямований проект</w:t>
            </w:r>
          </w:p>
        </w:tc>
        <w:tc>
          <w:tcPr>
            <w:tcW w:w="7194" w:type="dxa"/>
            <w:gridSpan w:val="7"/>
          </w:tcPr>
          <w:p w:rsidR="00E95FB1" w:rsidRPr="00C86B34" w:rsidRDefault="00E95FB1" w:rsidP="00AC7404">
            <w:pPr>
              <w:ind w:firstLine="328"/>
              <w:rPr>
                <w:sz w:val="22"/>
                <w:lang w:val="uk-UA"/>
              </w:rPr>
            </w:pPr>
            <w:r w:rsidRPr="00C86B34">
              <w:rPr>
                <w:sz w:val="22"/>
                <w:lang w:val="uk-UA"/>
              </w:rPr>
              <w:t xml:space="preserve">Через військову агресію РФ територія Сєвєродонецької міської територіальної громади зазнала значних пошкоджень. Будівлі Комунального Закладу «Сєвєродонецька галерея мистецтв» </w:t>
            </w:r>
            <w:r w:rsidRPr="00C86B34">
              <w:rPr>
                <w:color w:val="000000"/>
                <w:sz w:val="22"/>
                <w:lang w:val="uk-UA"/>
              </w:rPr>
              <w:t xml:space="preserve">вул. Курчатова, буд. 17/275 з філією селище </w:t>
            </w:r>
            <w:proofErr w:type="spellStart"/>
            <w:r w:rsidRPr="00C86B34">
              <w:rPr>
                <w:color w:val="000000"/>
                <w:sz w:val="22"/>
                <w:lang w:val="uk-UA"/>
              </w:rPr>
              <w:t>Смолянинове</w:t>
            </w:r>
            <w:proofErr w:type="spellEnd"/>
            <w:r w:rsidR="00AC7404" w:rsidRPr="00C86B34">
              <w:rPr>
                <w:color w:val="000000"/>
                <w:sz w:val="22"/>
                <w:lang w:val="uk-UA"/>
              </w:rPr>
              <w:t>,</w:t>
            </w:r>
            <w:r w:rsidRPr="00C86B34">
              <w:rPr>
                <w:color w:val="000000"/>
                <w:sz w:val="22"/>
                <w:lang w:val="uk-UA"/>
              </w:rPr>
              <w:t xml:space="preserve">  вул. Миру </w:t>
            </w:r>
            <w:r w:rsidRPr="00C86B34">
              <w:rPr>
                <w:sz w:val="22"/>
                <w:lang w:val="uk-UA"/>
              </w:rPr>
              <w:t>належать Сєвєродонецькій міській територіальній громаді, пошкоджені в результаті обстрілів. Для поновлення життєдіяльності громади та стимулювання повернення мешканців до громади необхідно забезпечити їх всіма необхідними послугами, гарантованими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Очікувані якісні результати від реалізації проекту</w:t>
            </w:r>
          </w:p>
        </w:tc>
        <w:tc>
          <w:tcPr>
            <w:tcW w:w="7194" w:type="dxa"/>
            <w:gridSpan w:val="7"/>
          </w:tcPr>
          <w:p w:rsidR="00E95FB1" w:rsidRPr="00C86B34" w:rsidRDefault="00E95FB1" w:rsidP="000303D7">
            <w:pPr>
              <w:pStyle w:val="a7"/>
              <w:numPr>
                <w:ilvl w:val="0"/>
                <w:numId w:val="27"/>
              </w:numPr>
              <w:jc w:val="left"/>
              <w:rPr>
                <w:sz w:val="22"/>
                <w:lang w:val="uk-UA"/>
              </w:rPr>
            </w:pPr>
            <w:r w:rsidRPr="00C86B34">
              <w:rPr>
                <w:sz w:val="22"/>
                <w:lang w:val="uk-UA"/>
              </w:rPr>
              <w:t>Отримання мешканцями громади якісних послуг у сфері культури та музейної справи;</w:t>
            </w:r>
          </w:p>
          <w:p w:rsidR="00E95FB1" w:rsidRPr="00C86B34" w:rsidRDefault="00AC7404" w:rsidP="000303D7">
            <w:pPr>
              <w:pStyle w:val="a7"/>
              <w:numPr>
                <w:ilvl w:val="0"/>
                <w:numId w:val="27"/>
              </w:numPr>
              <w:jc w:val="left"/>
              <w:rPr>
                <w:sz w:val="22"/>
                <w:lang w:val="uk-UA"/>
              </w:rPr>
            </w:pPr>
            <w:r w:rsidRPr="00C86B34">
              <w:rPr>
                <w:sz w:val="22"/>
                <w:lang w:val="uk-UA"/>
              </w:rPr>
              <w:t>м</w:t>
            </w:r>
            <w:r w:rsidR="00E95FB1" w:rsidRPr="00C86B34">
              <w:rPr>
                <w:sz w:val="22"/>
                <w:lang w:val="uk-UA"/>
              </w:rPr>
              <w:t>отивація мешканців громади до повернення у громаду;</w:t>
            </w:r>
          </w:p>
          <w:p w:rsidR="00E95FB1" w:rsidRPr="00C86B34" w:rsidRDefault="00AC7404" w:rsidP="000303D7">
            <w:pPr>
              <w:pStyle w:val="a7"/>
              <w:numPr>
                <w:ilvl w:val="0"/>
                <w:numId w:val="27"/>
              </w:numPr>
              <w:jc w:val="left"/>
              <w:rPr>
                <w:sz w:val="22"/>
                <w:lang w:val="uk-UA"/>
              </w:rPr>
            </w:pPr>
            <w:r w:rsidRPr="00C86B34">
              <w:rPr>
                <w:sz w:val="22"/>
                <w:lang w:val="uk-UA"/>
              </w:rPr>
              <w:t>з</w:t>
            </w:r>
            <w:r w:rsidR="00E95FB1" w:rsidRPr="00C86B34">
              <w:rPr>
                <w:sz w:val="22"/>
                <w:lang w:val="uk-UA"/>
              </w:rPr>
              <w:t>ахист правових, культурних,</w:t>
            </w:r>
            <w:r w:rsidRPr="00C86B34">
              <w:rPr>
                <w:sz w:val="22"/>
                <w:lang w:val="uk-UA"/>
              </w:rPr>
              <w:t xml:space="preserve"> </w:t>
            </w:r>
            <w:r w:rsidR="00E95FB1" w:rsidRPr="00C86B34">
              <w:rPr>
                <w:sz w:val="22"/>
                <w:lang w:val="uk-UA"/>
              </w:rPr>
              <w:t>освітніх,</w:t>
            </w:r>
            <w:r w:rsidRPr="00C86B34">
              <w:rPr>
                <w:sz w:val="22"/>
                <w:lang w:val="uk-UA"/>
              </w:rPr>
              <w:t xml:space="preserve"> </w:t>
            </w:r>
            <w:r w:rsidR="00E95FB1" w:rsidRPr="00C86B34">
              <w:rPr>
                <w:sz w:val="22"/>
                <w:lang w:val="uk-UA"/>
              </w:rPr>
              <w:t>економічних та інших інтересів громадян;</w:t>
            </w:r>
          </w:p>
          <w:p w:rsidR="00E95FB1" w:rsidRPr="00C86B34" w:rsidRDefault="00AC7404" w:rsidP="000303D7">
            <w:pPr>
              <w:pStyle w:val="a7"/>
              <w:numPr>
                <w:ilvl w:val="0"/>
                <w:numId w:val="27"/>
              </w:numPr>
              <w:jc w:val="left"/>
              <w:rPr>
                <w:sz w:val="22"/>
                <w:lang w:val="uk-UA"/>
              </w:rPr>
            </w:pPr>
            <w:r w:rsidRPr="00C86B34">
              <w:rPr>
                <w:sz w:val="22"/>
                <w:lang w:val="uk-UA"/>
              </w:rPr>
              <w:t>н</w:t>
            </w:r>
            <w:r w:rsidR="00E95FB1" w:rsidRPr="00C86B34">
              <w:rPr>
                <w:sz w:val="22"/>
                <w:lang w:val="uk-UA"/>
              </w:rPr>
              <w:t>адання юридичним та фізичним особам-підприємцям якісних послуг для впровадження ними своєї діяльності;</w:t>
            </w:r>
          </w:p>
          <w:p w:rsidR="00E95FB1" w:rsidRPr="00C86B34" w:rsidRDefault="00AC7404" w:rsidP="000303D7">
            <w:pPr>
              <w:pStyle w:val="a7"/>
              <w:numPr>
                <w:ilvl w:val="0"/>
                <w:numId w:val="27"/>
              </w:numPr>
              <w:jc w:val="left"/>
              <w:rPr>
                <w:sz w:val="22"/>
                <w:lang w:val="uk-UA"/>
              </w:rPr>
            </w:pPr>
            <w:r w:rsidRPr="00C86B34">
              <w:rPr>
                <w:sz w:val="22"/>
                <w:lang w:val="uk-UA"/>
              </w:rPr>
              <w:t>с</w:t>
            </w:r>
            <w:r w:rsidR="00E95FB1" w:rsidRPr="00C86B34">
              <w:rPr>
                <w:sz w:val="22"/>
                <w:lang w:val="uk-UA"/>
              </w:rPr>
              <w:t>талий розвиток громади;</w:t>
            </w:r>
          </w:p>
          <w:p w:rsidR="00E95FB1" w:rsidRPr="00C86B34" w:rsidRDefault="00AC7404" w:rsidP="000303D7">
            <w:pPr>
              <w:pStyle w:val="a7"/>
              <w:numPr>
                <w:ilvl w:val="0"/>
                <w:numId w:val="27"/>
              </w:numPr>
              <w:jc w:val="left"/>
              <w:rPr>
                <w:sz w:val="22"/>
                <w:lang w:val="uk-UA"/>
              </w:rPr>
            </w:pPr>
            <w:r w:rsidRPr="00C86B34">
              <w:rPr>
                <w:sz w:val="22"/>
                <w:lang w:val="uk-UA"/>
              </w:rPr>
              <w:t>і</w:t>
            </w:r>
            <w:r w:rsidR="00E95FB1" w:rsidRPr="00C86B34">
              <w:rPr>
                <w:sz w:val="22"/>
                <w:lang w:val="uk-UA"/>
              </w:rPr>
              <w:t>нвестиційна привабливість громади;</w:t>
            </w:r>
          </w:p>
          <w:p w:rsidR="00E95FB1" w:rsidRPr="00C86B34" w:rsidRDefault="00AC7404" w:rsidP="00AC7404">
            <w:pPr>
              <w:pStyle w:val="a7"/>
              <w:numPr>
                <w:ilvl w:val="0"/>
                <w:numId w:val="27"/>
              </w:numPr>
              <w:jc w:val="left"/>
              <w:rPr>
                <w:sz w:val="22"/>
                <w:lang w:val="uk-UA"/>
              </w:rPr>
            </w:pPr>
            <w:r w:rsidRPr="00C86B34">
              <w:rPr>
                <w:sz w:val="22"/>
                <w:lang w:val="uk-UA"/>
              </w:rPr>
              <w:t>к</w:t>
            </w:r>
            <w:r w:rsidR="00E95FB1" w:rsidRPr="00C86B34">
              <w:rPr>
                <w:sz w:val="22"/>
                <w:lang w:val="uk-UA"/>
              </w:rPr>
              <w:t>омфортне життя мешканців.</w:t>
            </w:r>
          </w:p>
        </w:tc>
      </w:tr>
      <w:tr w:rsidR="00E95FB1" w:rsidRPr="00C86B34" w:rsidTr="001B3967">
        <w:trPr>
          <w:trHeight w:val="390"/>
        </w:trPr>
        <w:tc>
          <w:tcPr>
            <w:tcW w:w="2694" w:type="dxa"/>
            <w:vMerge w:val="restart"/>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 xml:space="preserve">Очікувані кількісні результати реалізації </w:t>
            </w:r>
            <w:proofErr w:type="spellStart"/>
            <w:r w:rsidRPr="00C86B34">
              <w:rPr>
                <w:b/>
                <w:sz w:val="22"/>
                <w:lang w:val="uk-UA"/>
              </w:rPr>
              <w:t>проєкту</w:t>
            </w:r>
            <w:proofErr w:type="spellEnd"/>
            <w:r w:rsidRPr="00C86B34">
              <w:rPr>
                <w:b/>
                <w:sz w:val="22"/>
                <w:lang w:val="uk-UA"/>
              </w:rPr>
              <w:t xml:space="preserve"> (індикатори)</w:t>
            </w:r>
          </w:p>
          <w:p w:rsidR="00E95FB1" w:rsidRPr="00C86B34" w:rsidRDefault="00E95FB1" w:rsidP="001B3967">
            <w:pPr>
              <w:pStyle w:val="a7"/>
              <w:ind w:left="0"/>
              <w:rPr>
                <w:b/>
                <w:sz w:val="22"/>
                <w:lang w:val="uk-UA"/>
              </w:rPr>
            </w:pPr>
          </w:p>
        </w:tc>
        <w:tc>
          <w:tcPr>
            <w:tcW w:w="3879" w:type="dxa"/>
            <w:gridSpan w:val="3"/>
            <w:tcBorders>
              <w:bottom w:val="single" w:sz="4" w:space="0" w:color="auto"/>
              <w:right w:val="single" w:sz="4" w:space="0" w:color="auto"/>
            </w:tcBorders>
          </w:tcPr>
          <w:p w:rsidR="00E95FB1" w:rsidRPr="00C86B34" w:rsidRDefault="00E95FB1" w:rsidP="001B3967">
            <w:pPr>
              <w:pStyle w:val="a7"/>
              <w:ind w:left="-108"/>
              <w:jc w:val="center"/>
              <w:rPr>
                <w:b/>
                <w:sz w:val="22"/>
                <w:lang w:val="uk-UA"/>
              </w:rPr>
            </w:pPr>
            <w:r w:rsidRPr="00C86B34">
              <w:rPr>
                <w:b/>
                <w:sz w:val="22"/>
                <w:lang w:val="uk-UA"/>
              </w:rPr>
              <w:t>Найменування показника</w:t>
            </w:r>
          </w:p>
        </w:tc>
        <w:tc>
          <w:tcPr>
            <w:tcW w:w="1767" w:type="dxa"/>
            <w:gridSpan w:val="2"/>
            <w:tcBorders>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Одиниця вимірювання</w:t>
            </w:r>
          </w:p>
          <w:p w:rsidR="00E95FB1" w:rsidRPr="00C86B34" w:rsidRDefault="00E95FB1" w:rsidP="001B3967">
            <w:pPr>
              <w:pStyle w:val="a7"/>
              <w:ind w:left="0"/>
              <w:rPr>
                <w:b/>
                <w:sz w:val="22"/>
                <w:lang w:val="uk-UA"/>
              </w:rPr>
            </w:pPr>
          </w:p>
        </w:tc>
        <w:tc>
          <w:tcPr>
            <w:tcW w:w="1548" w:type="dxa"/>
            <w:gridSpan w:val="2"/>
            <w:tcBorders>
              <w:left w:val="single" w:sz="4" w:space="0" w:color="auto"/>
              <w:bottom w:val="single" w:sz="4" w:space="0" w:color="auto"/>
            </w:tcBorders>
          </w:tcPr>
          <w:p w:rsidR="00E95FB1" w:rsidRPr="00C86B34" w:rsidRDefault="00E95FB1" w:rsidP="001B3967">
            <w:pPr>
              <w:pStyle w:val="a7"/>
              <w:ind w:left="0"/>
              <w:jc w:val="center"/>
              <w:rPr>
                <w:b/>
                <w:sz w:val="22"/>
                <w:lang w:val="uk-UA"/>
              </w:rPr>
            </w:pPr>
            <w:r w:rsidRPr="00C86B34">
              <w:rPr>
                <w:b/>
                <w:sz w:val="22"/>
                <w:lang w:val="uk-UA"/>
              </w:rPr>
              <w:t>Прогнозне (цільове) значення</w:t>
            </w:r>
          </w:p>
        </w:tc>
      </w:tr>
      <w:tr w:rsidR="00E95FB1" w:rsidRPr="00C86B34" w:rsidTr="001B3967">
        <w:trPr>
          <w:trHeight w:val="58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879"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rPr>
                <w:sz w:val="22"/>
                <w:lang w:val="uk-UA"/>
              </w:rPr>
            </w:pPr>
            <w:r w:rsidRPr="00C86B34">
              <w:rPr>
                <w:sz w:val="22"/>
                <w:lang w:val="uk-UA"/>
              </w:rPr>
              <w:t xml:space="preserve">Кількість фізичних та юридичних осіб (відвідувачів), які звернулись за </w:t>
            </w:r>
            <w:r w:rsidR="00AC7404" w:rsidRPr="00C86B34">
              <w:rPr>
                <w:sz w:val="22"/>
                <w:lang w:val="uk-UA"/>
              </w:rPr>
              <w:t xml:space="preserve">послугами протягом  року </w:t>
            </w:r>
          </w:p>
        </w:tc>
        <w:tc>
          <w:tcPr>
            <w:tcW w:w="1767"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jc w:val="center"/>
              <w:rPr>
                <w:sz w:val="22"/>
                <w:lang w:val="uk-UA"/>
              </w:rPr>
            </w:pPr>
            <w:r w:rsidRPr="00C86B34">
              <w:rPr>
                <w:rFonts w:eastAsia="Arial"/>
                <w:sz w:val="22"/>
                <w:lang w:val="uk-UA"/>
              </w:rPr>
              <w:t>осіб</w:t>
            </w:r>
          </w:p>
        </w:tc>
        <w:tc>
          <w:tcPr>
            <w:tcW w:w="1548"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14300</w:t>
            </w:r>
          </w:p>
        </w:tc>
      </w:tr>
      <w:tr w:rsidR="00E95FB1" w:rsidRPr="00C86B34" w:rsidTr="001B3967">
        <w:trPr>
          <w:trHeight w:val="184"/>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879"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rPr>
                <w:sz w:val="22"/>
                <w:lang w:val="uk-UA"/>
              </w:rPr>
            </w:pPr>
            <w:r w:rsidRPr="00C86B34">
              <w:rPr>
                <w:sz w:val="22"/>
                <w:lang w:val="uk-UA"/>
              </w:rPr>
              <w:t>Кількість відвідувань заходів  протягом  року</w:t>
            </w:r>
          </w:p>
        </w:tc>
        <w:tc>
          <w:tcPr>
            <w:tcW w:w="1767"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осіб</w:t>
            </w:r>
          </w:p>
        </w:tc>
        <w:tc>
          <w:tcPr>
            <w:tcW w:w="1548"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rFonts w:eastAsia="Calibri"/>
                <w:sz w:val="22"/>
                <w:lang w:val="uk-UA"/>
              </w:rPr>
              <w:t>27073</w:t>
            </w:r>
          </w:p>
        </w:tc>
      </w:tr>
      <w:tr w:rsidR="00E95FB1" w:rsidRPr="00C86B34" w:rsidTr="001B3967">
        <w:trPr>
          <w:trHeight w:val="16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879"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rPr>
                <w:sz w:val="22"/>
                <w:lang w:val="uk-UA"/>
              </w:rPr>
            </w:pPr>
            <w:r w:rsidRPr="00C86B34">
              <w:rPr>
                <w:sz w:val="22"/>
                <w:lang w:val="uk-UA"/>
              </w:rPr>
              <w:t>Кількість заходів для користувачів</w:t>
            </w:r>
          </w:p>
        </w:tc>
        <w:tc>
          <w:tcPr>
            <w:tcW w:w="1767"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548"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241</w:t>
            </w:r>
          </w:p>
        </w:tc>
      </w:tr>
      <w:tr w:rsidR="00E95FB1" w:rsidRPr="00C86B34" w:rsidTr="001B3967">
        <w:trPr>
          <w:trHeight w:val="16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879"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Середня вартість послуг</w:t>
            </w:r>
          </w:p>
        </w:tc>
        <w:tc>
          <w:tcPr>
            <w:tcW w:w="1767"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грн</w:t>
            </w:r>
          </w:p>
        </w:tc>
        <w:tc>
          <w:tcPr>
            <w:tcW w:w="1548"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безкоштовно</w:t>
            </w:r>
          </w:p>
        </w:tc>
      </w:tr>
      <w:tr w:rsidR="00E95FB1" w:rsidRPr="00C86B34" w:rsidTr="001B3967">
        <w:trPr>
          <w:trHeight w:val="165"/>
        </w:trPr>
        <w:tc>
          <w:tcPr>
            <w:tcW w:w="2694" w:type="dxa"/>
            <w:shd w:val="clear" w:color="auto" w:fill="C6D9F1" w:themeFill="text2" w:themeFillTint="33"/>
          </w:tcPr>
          <w:p w:rsidR="00E95FB1" w:rsidRPr="00C86B34" w:rsidRDefault="00E95FB1" w:rsidP="001B3967">
            <w:pPr>
              <w:pStyle w:val="a7"/>
              <w:ind w:left="0"/>
              <w:rPr>
                <w:b/>
                <w:sz w:val="22"/>
                <w:lang w:val="uk-UA"/>
              </w:rPr>
            </w:pPr>
          </w:p>
        </w:tc>
        <w:tc>
          <w:tcPr>
            <w:tcW w:w="3879"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Термін надання послуги</w:t>
            </w:r>
          </w:p>
        </w:tc>
        <w:tc>
          <w:tcPr>
            <w:tcW w:w="1767"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років</w:t>
            </w:r>
          </w:p>
        </w:tc>
        <w:tc>
          <w:tcPr>
            <w:tcW w:w="1548"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Від 1 до 120</w:t>
            </w:r>
          </w:p>
        </w:tc>
      </w:tr>
      <w:tr w:rsidR="00E95FB1" w:rsidRPr="00C86B34" w:rsidTr="001B3967">
        <w:trPr>
          <w:trHeight w:val="165"/>
        </w:trPr>
        <w:tc>
          <w:tcPr>
            <w:tcW w:w="2694" w:type="dxa"/>
            <w:shd w:val="clear" w:color="auto" w:fill="C6D9F1" w:themeFill="text2" w:themeFillTint="33"/>
          </w:tcPr>
          <w:p w:rsidR="00E95FB1" w:rsidRPr="00C86B34" w:rsidRDefault="00E95FB1" w:rsidP="001B3967">
            <w:pPr>
              <w:pStyle w:val="a7"/>
              <w:ind w:left="0"/>
              <w:rPr>
                <w:b/>
                <w:sz w:val="22"/>
                <w:lang w:val="uk-UA"/>
              </w:rPr>
            </w:pPr>
          </w:p>
        </w:tc>
        <w:tc>
          <w:tcPr>
            <w:tcW w:w="3879" w:type="dxa"/>
            <w:gridSpan w:val="3"/>
            <w:tcBorders>
              <w:top w:val="single" w:sz="4" w:space="0" w:color="auto"/>
              <w:bottom w:val="single" w:sz="4" w:space="0" w:color="auto"/>
              <w:right w:val="single" w:sz="4" w:space="0" w:color="auto"/>
            </w:tcBorders>
          </w:tcPr>
          <w:p w:rsidR="00E95FB1" w:rsidRPr="00C86B34" w:rsidRDefault="00E95FB1" w:rsidP="00AC7404">
            <w:pPr>
              <w:pStyle w:val="a7"/>
              <w:ind w:left="0"/>
              <w:jc w:val="center"/>
              <w:rPr>
                <w:sz w:val="22"/>
                <w:lang w:val="uk-UA"/>
              </w:rPr>
            </w:pPr>
            <w:r w:rsidRPr="00C86B34">
              <w:rPr>
                <w:sz w:val="22"/>
                <w:lang w:val="uk-UA"/>
              </w:rPr>
              <w:t>Кількість населених пунктів, як</w:t>
            </w:r>
            <w:r w:rsidR="00AC7404" w:rsidRPr="00C86B34">
              <w:rPr>
                <w:sz w:val="22"/>
                <w:lang w:val="uk-UA"/>
              </w:rPr>
              <w:t>і</w:t>
            </w:r>
            <w:r w:rsidRPr="00C86B34">
              <w:rPr>
                <w:sz w:val="22"/>
                <w:lang w:val="uk-UA"/>
              </w:rPr>
              <w:t xml:space="preserve"> обслуговує заклад</w:t>
            </w:r>
          </w:p>
        </w:tc>
        <w:tc>
          <w:tcPr>
            <w:tcW w:w="1767"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548"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20</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 xml:space="preserve">Ключові заходи проекту: </w:t>
            </w:r>
          </w:p>
          <w:p w:rsidR="00E95FB1" w:rsidRPr="00C86B34" w:rsidRDefault="00E95FB1" w:rsidP="001B3967">
            <w:pPr>
              <w:pStyle w:val="a7"/>
              <w:ind w:left="0"/>
              <w:rPr>
                <w:b/>
                <w:sz w:val="22"/>
                <w:lang w:val="uk-UA"/>
              </w:rPr>
            </w:pPr>
          </w:p>
        </w:tc>
        <w:tc>
          <w:tcPr>
            <w:tcW w:w="7194" w:type="dxa"/>
            <w:gridSpan w:val="7"/>
          </w:tcPr>
          <w:p w:rsidR="00E95FB1" w:rsidRPr="00C86B34" w:rsidRDefault="00E95FB1" w:rsidP="001B3967">
            <w:pPr>
              <w:pStyle w:val="a7"/>
              <w:ind w:left="0"/>
              <w:rPr>
                <w:sz w:val="22"/>
                <w:lang w:val="uk-UA"/>
              </w:rPr>
            </w:pPr>
            <w:r w:rsidRPr="00C86B34">
              <w:rPr>
                <w:sz w:val="22"/>
                <w:lang w:val="uk-UA"/>
              </w:rPr>
              <w:t>- обстеження об’єкта нерухомості;</w:t>
            </w:r>
          </w:p>
          <w:p w:rsidR="00E95FB1" w:rsidRPr="00C86B34" w:rsidRDefault="00E95FB1" w:rsidP="001B3967">
            <w:pPr>
              <w:pStyle w:val="a7"/>
              <w:ind w:left="0"/>
              <w:rPr>
                <w:sz w:val="22"/>
                <w:lang w:val="uk-UA"/>
              </w:rPr>
            </w:pPr>
            <w:r w:rsidRPr="00C86B34">
              <w:rPr>
                <w:sz w:val="22"/>
                <w:lang w:val="uk-UA"/>
              </w:rPr>
              <w:t>- пошук інвестора;</w:t>
            </w:r>
          </w:p>
          <w:p w:rsidR="00E95FB1" w:rsidRPr="00C86B34" w:rsidRDefault="00E95FB1" w:rsidP="001B3967">
            <w:pPr>
              <w:pStyle w:val="a7"/>
              <w:ind w:left="0"/>
              <w:rPr>
                <w:sz w:val="22"/>
                <w:lang w:val="uk-UA"/>
              </w:rPr>
            </w:pPr>
            <w:r w:rsidRPr="00C86B34">
              <w:rPr>
                <w:sz w:val="22"/>
                <w:lang w:val="uk-UA"/>
              </w:rPr>
              <w:t xml:space="preserve">- розробка </w:t>
            </w:r>
            <w:proofErr w:type="spellStart"/>
            <w:r w:rsidRPr="00C86B34">
              <w:rPr>
                <w:sz w:val="22"/>
                <w:lang w:val="uk-UA"/>
              </w:rPr>
              <w:t>про</w:t>
            </w:r>
            <w:r w:rsidR="00AC7404" w:rsidRPr="00C86B34">
              <w:rPr>
                <w:sz w:val="22"/>
                <w:lang w:val="uk-UA"/>
              </w:rPr>
              <w:t>є</w:t>
            </w:r>
            <w:r w:rsidRPr="00C86B34">
              <w:rPr>
                <w:sz w:val="22"/>
                <w:lang w:val="uk-UA"/>
              </w:rPr>
              <w:t>ктно</w:t>
            </w:r>
            <w:proofErr w:type="spellEnd"/>
            <w:r w:rsidRPr="00C86B34">
              <w:rPr>
                <w:sz w:val="22"/>
                <w:lang w:val="uk-UA"/>
              </w:rPr>
              <w:t>-кошторисної документації;</w:t>
            </w:r>
          </w:p>
          <w:p w:rsidR="00E95FB1" w:rsidRPr="00C86B34" w:rsidRDefault="00E95FB1" w:rsidP="001B3967">
            <w:pPr>
              <w:pStyle w:val="a7"/>
              <w:ind w:left="0"/>
              <w:rPr>
                <w:sz w:val="22"/>
                <w:lang w:val="uk-UA"/>
              </w:rPr>
            </w:pPr>
            <w:r w:rsidRPr="00C86B34">
              <w:rPr>
                <w:sz w:val="22"/>
                <w:lang w:val="uk-UA"/>
              </w:rPr>
              <w:t>- укладення договору про будівництво із підрядною організацією;</w:t>
            </w:r>
          </w:p>
          <w:p w:rsidR="00E95FB1" w:rsidRPr="00C86B34" w:rsidRDefault="00E95FB1" w:rsidP="001B3967">
            <w:pPr>
              <w:pStyle w:val="a7"/>
              <w:ind w:left="0"/>
              <w:rPr>
                <w:sz w:val="22"/>
                <w:lang w:val="uk-UA"/>
              </w:rPr>
            </w:pPr>
            <w:r w:rsidRPr="00C86B34">
              <w:rPr>
                <w:sz w:val="22"/>
                <w:lang w:val="uk-UA"/>
              </w:rPr>
              <w:t>- організація та початок робочого процесу.</w:t>
            </w:r>
          </w:p>
        </w:tc>
      </w:tr>
      <w:tr w:rsidR="00E95FB1" w:rsidRPr="00C86B34" w:rsidTr="001B3967">
        <w:trPr>
          <w:trHeight w:val="360"/>
        </w:trPr>
        <w:tc>
          <w:tcPr>
            <w:tcW w:w="2694" w:type="dxa"/>
            <w:vMerge w:val="restart"/>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Орієнтовний обсяг та джерела фінансування, тис. грн.</w:t>
            </w:r>
          </w:p>
          <w:p w:rsidR="00E95FB1" w:rsidRPr="00C86B34" w:rsidRDefault="00E95FB1" w:rsidP="001B3967">
            <w:pPr>
              <w:pStyle w:val="a7"/>
              <w:ind w:left="0"/>
              <w:rPr>
                <w:b/>
                <w:sz w:val="22"/>
                <w:lang w:val="uk-UA"/>
              </w:rPr>
            </w:pPr>
          </w:p>
          <w:p w:rsidR="00E95FB1" w:rsidRPr="00C86B34" w:rsidRDefault="00E95FB1" w:rsidP="001B3967">
            <w:pPr>
              <w:pStyle w:val="a7"/>
              <w:ind w:left="0"/>
              <w:rPr>
                <w:b/>
                <w:sz w:val="22"/>
                <w:lang w:val="uk-UA"/>
              </w:rPr>
            </w:pPr>
            <w:r w:rsidRPr="00C86B34">
              <w:rPr>
                <w:b/>
                <w:sz w:val="22"/>
                <w:lang w:val="uk-UA"/>
              </w:rPr>
              <w:t xml:space="preserve"> </w:t>
            </w:r>
          </w:p>
          <w:p w:rsidR="00E95FB1" w:rsidRPr="00C86B34" w:rsidRDefault="00E95FB1" w:rsidP="001B3967">
            <w:pPr>
              <w:pStyle w:val="a7"/>
              <w:ind w:left="0"/>
              <w:rPr>
                <w:color w:val="000000"/>
                <w:sz w:val="22"/>
                <w:lang w:val="uk-UA"/>
              </w:rPr>
            </w:pPr>
            <w:r w:rsidRPr="00C86B34">
              <w:rPr>
                <w:color w:val="000000"/>
                <w:sz w:val="22"/>
                <w:lang w:val="uk-UA"/>
              </w:rPr>
              <w:t>Сєвєродонецьк, вул. Курчатова, буд. 17/275</w:t>
            </w:r>
          </w:p>
          <w:p w:rsidR="00E95FB1" w:rsidRPr="00C86B34" w:rsidRDefault="00E95FB1" w:rsidP="001B3967">
            <w:pPr>
              <w:pStyle w:val="a7"/>
              <w:ind w:left="0"/>
              <w:rPr>
                <w:b/>
                <w:sz w:val="22"/>
                <w:lang w:val="uk-UA"/>
              </w:rPr>
            </w:pPr>
            <w:r w:rsidRPr="00C86B34">
              <w:rPr>
                <w:color w:val="000000"/>
                <w:sz w:val="22"/>
                <w:lang w:val="uk-UA"/>
              </w:rPr>
              <w:t xml:space="preserve">селище </w:t>
            </w:r>
            <w:proofErr w:type="spellStart"/>
            <w:r w:rsidRPr="00C86B34">
              <w:rPr>
                <w:color w:val="000000"/>
                <w:sz w:val="22"/>
                <w:lang w:val="uk-UA"/>
              </w:rPr>
              <w:t>Смолянинове</w:t>
            </w:r>
            <w:proofErr w:type="spellEnd"/>
            <w:r w:rsidRPr="00C86B34">
              <w:rPr>
                <w:color w:val="000000"/>
                <w:sz w:val="22"/>
                <w:lang w:val="uk-UA"/>
              </w:rPr>
              <w:t xml:space="preserve">  вул.. Миру</w:t>
            </w:r>
          </w:p>
        </w:tc>
        <w:tc>
          <w:tcPr>
            <w:tcW w:w="2025" w:type="dxa"/>
            <w:tcBorders>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Державний бюджет</w:t>
            </w:r>
          </w:p>
        </w:tc>
        <w:tc>
          <w:tcPr>
            <w:tcW w:w="1408" w:type="dxa"/>
            <w:tcBorders>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Місцевий бюджет</w:t>
            </w:r>
          </w:p>
          <w:p w:rsidR="00E95FB1" w:rsidRPr="00C86B34" w:rsidRDefault="00E95FB1" w:rsidP="001B3967">
            <w:pPr>
              <w:pStyle w:val="a7"/>
              <w:ind w:left="0"/>
              <w:jc w:val="center"/>
              <w:rPr>
                <w:b/>
                <w:sz w:val="22"/>
                <w:lang w:val="uk-UA"/>
              </w:rPr>
            </w:pPr>
            <w:proofErr w:type="spellStart"/>
            <w:r w:rsidRPr="00C86B34">
              <w:rPr>
                <w:b/>
                <w:sz w:val="22"/>
                <w:lang w:val="uk-UA"/>
              </w:rPr>
              <w:t>тис.грн</w:t>
            </w:r>
            <w:proofErr w:type="spellEnd"/>
          </w:p>
        </w:tc>
        <w:tc>
          <w:tcPr>
            <w:tcW w:w="2290" w:type="dxa"/>
            <w:gridSpan w:val="4"/>
            <w:tcBorders>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Інші джерела</w:t>
            </w:r>
          </w:p>
          <w:p w:rsidR="00E95FB1" w:rsidRPr="00C86B34" w:rsidRDefault="00E95FB1" w:rsidP="001B3967">
            <w:pPr>
              <w:pStyle w:val="a7"/>
              <w:ind w:left="0"/>
              <w:jc w:val="center"/>
              <w:rPr>
                <w:b/>
                <w:sz w:val="22"/>
                <w:lang w:val="uk-UA"/>
              </w:rPr>
            </w:pPr>
            <w:proofErr w:type="spellStart"/>
            <w:r w:rsidRPr="00C86B34">
              <w:rPr>
                <w:b/>
                <w:sz w:val="22"/>
                <w:lang w:val="uk-UA"/>
              </w:rPr>
              <w:t>тис.грн</w:t>
            </w:r>
            <w:proofErr w:type="spellEnd"/>
          </w:p>
        </w:tc>
        <w:tc>
          <w:tcPr>
            <w:tcW w:w="1471" w:type="dxa"/>
            <w:tcBorders>
              <w:left w:val="single" w:sz="4" w:space="0" w:color="auto"/>
              <w:bottom w:val="single" w:sz="4" w:space="0" w:color="auto"/>
            </w:tcBorders>
          </w:tcPr>
          <w:p w:rsidR="00E95FB1" w:rsidRPr="00C86B34" w:rsidRDefault="00E95FB1" w:rsidP="001B3967">
            <w:pPr>
              <w:pStyle w:val="a7"/>
              <w:ind w:left="0"/>
              <w:jc w:val="center"/>
              <w:rPr>
                <w:b/>
                <w:sz w:val="22"/>
                <w:lang w:val="uk-UA"/>
              </w:rPr>
            </w:pPr>
            <w:r w:rsidRPr="00C86B34">
              <w:rPr>
                <w:b/>
                <w:sz w:val="22"/>
                <w:lang w:val="uk-UA"/>
              </w:rPr>
              <w:t>Всього</w:t>
            </w:r>
          </w:p>
          <w:p w:rsidR="00E95FB1" w:rsidRPr="00C86B34" w:rsidRDefault="00E95FB1" w:rsidP="001B3967">
            <w:pPr>
              <w:pStyle w:val="a7"/>
              <w:ind w:left="0"/>
              <w:jc w:val="center"/>
              <w:rPr>
                <w:b/>
                <w:sz w:val="22"/>
                <w:lang w:val="uk-UA"/>
              </w:rPr>
            </w:pPr>
            <w:proofErr w:type="spellStart"/>
            <w:r w:rsidRPr="00C86B34">
              <w:rPr>
                <w:b/>
                <w:sz w:val="22"/>
                <w:lang w:val="uk-UA"/>
              </w:rPr>
              <w:t>тис.грн</w:t>
            </w:r>
            <w:proofErr w:type="spellEnd"/>
          </w:p>
        </w:tc>
      </w:tr>
      <w:tr w:rsidR="00E95FB1" w:rsidRPr="00C86B34" w:rsidTr="001B3967">
        <w:trPr>
          <w:trHeight w:val="22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2025" w:type="dxa"/>
            <w:vMerge w:val="restart"/>
            <w:tcBorders>
              <w:top w:val="single" w:sz="4" w:space="0" w:color="auto"/>
              <w:right w:val="single" w:sz="4" w:space="0" w:color="auto"/>
            </w:tcBorders>
          </w:tcPr>
          <w:p w:rsidR="00E95FB1" w:rsidRPr="00C86B34" w:rsidRDefault="00E95FB1" w:rsidP="001B3967">
            <w:pPr>
              <w:pStyle w:val="a7"/>
              <w:ind w:left="0"/>
              <w:jc w:val="center"/>
              <w:rPr>
                <w:b/>
                <w:sz w:val="22"/>
                <w:lang w:val="uk-UA"/>
              </w:rPr>
            </w:pPr>
          </w:p>
          <w:p w:rsidR="00E95FB1" w:rsidRPr="00C86B34" w:rsidRDefault="00E95FB1" w:rsidP="001B3967">
            <w:pPr>
              <w:pStyle w:val="a7"/>
              <w:ind w:left="0"/>
              <w:jc w:val="center"/>
              <w:rPr>
                <w:b/>
                <w:sz w:val="22"/>
                <w:lang w:val="uk-UA"/>
              </w:rPr>
            </w:pPr>
          </w:p>
          <w:p w:rsidR="00E95FB1" w:rsidRPr="00C86B34" w:rsidRDefault="00E95FB1" w:rsidP="001B3967">
            <w:pPr>
              <w:pStyle w:val="a7"/>
              <w:ind w:left="0"/>
              <w:jc w:val="center"/>
              <w:rPr>
                <w:sz w:val="22"/>
                <w:lang w:val="uk-UA"/>
              </w:rPr>
            </w:pPr>
            <w:r w:rsidRPr="00C86B34">
              <w:rPr>
                <w:sz w:val="22"/>
                <w:lang w:val="uk-UA"/>
              </w:rPr>
              <w:t>236 000,0</w:t>
            </w:r>
          </w:p>
          <w:p w:rsidR="00E95FB1" w:rsidRPr="00C86B34" w:rsidRDefault="00E95FB1" w:rsidP="001B3967">
            <w:pPr>
              <w:pStyle w:val="a7"/>
              <w:ind w:left="0"/>
              <w:jc w:val="center"/>
              <w:rPr>
                <w:sz w:val="22"/>
                <w:lang w:val="uk-UA"/>
              </w:rPr>
            </w:pPr>
            <w:r w:rsidRPr="00C86B34">
              <w:rPr>
                <w:sz w:val="22"/>
                <w:lang w:val="uk-UA"/>
              </w:rPr>
              <w:t>56000,00</w:t>
            </w:r>
          </w:p>
          <w:p w:rsidR="00E95FB1" w:rsidRPr="00C86B34" w:rsidRDefault="00E95FB1" w:rsidP="001B3967">
            <w:pPr>
              <w:pStyle w:val="a7"/>
              <w:ind w:left="0"/>
              <w:jc w:val="center"/>
              <w:rPr>
                <w:sz w:val="22"/>
                <w:lang w:val="uk-UA"/>
              </w:rPr>
            </w:pPr>
          </w:p>
          <w:p w:rsidR="00E95FB1" w:rsidRPr="00C86B34" w:rsidRDefault="00E95FB1" w:rsidP="001B3967">
            <w:pPr>
              <w:pStyle w:val="a7"/>
              <w:ind w:left="0"/>
              <w:jc w:val="center"/>
              <w:rPr>
                <w:b/>
                <w:sz w:val="22"/>
                <w:lang w:val="uk-UA"/>
              </w:rPr>
            </w:pPr>
            <w:r w:rsidRPr="00C86B34">
              <w:rPr>
                <w:sz w:val="22"/>
                <w:lang w:val="uk-UA"/>
              </w:rPr>
              <w:t>180000,00</w:t>
            </w:r>
          </w:p>
        </w:tc>
        <w:tc>
          <w:tcPr>
            <w:tcW w:w="1408" w:type="dxa"/>
            <w:vMerge w:val="restart"/>
            <w:tcBorders>
              <w:top w:val="single" w:sz="4" w:space="0" w:color="auto"/>
              <w:right w:val="single" w:sz="4" w:space="0" w:color="auto"/>
            </w:tcBorders>
          </w:tcPr>
          <w:p w:rsidR="00E95FB1" w:rsidRPr="00C86B34" w:rsidRDefault="00E95FB1" w:rsidP="001B3967">
            <w:pPr>
              <w:pStyle w:val="a7"/>
              <w:ind w:left="0"/>
              <w:jc w:val="center"/>
              <w:rPr>
                <w:sz w:val="22"/>
                <w:lang w:val="uk-UA"/>
              </w:rPr>
            </w:pPr>
            <w:proofErr w:type="spellStart"/>
            <w:r w:rsidRPr="00C86B34">
              <w:rPr>
                <w:sz w:val="22"/>
                <w:lang w:val="uk-UA"/>
              </w:rPr>
              <w:t>Проєкт</w:t>
            </w:r>
            <w:proofErr w:type="spellEnd"/>
          </w:p>
          <w:p w:rsidR="00E95FB1" w:rsidRPr="00C86B34" w:rsidRDefault="00E95FB1" w:rsidP="001B3967">
            <w:pPr>
              <w:pStyle w:val="a7"/>
              <w:ind w:left="0"/>
              <w:jc w:val="center"/>
              <w:rPr>
                <w:sz w:val="22"/>
                <w:lang w:val="uk-UA"/>
              </w:rPr>
            </w:pPr>
            <w:r w:rsidRPr="00C86B34">
              <w:rPr>
                <w:sz w:val="22"/>
                <w:lang w:val="uk-UA"/>
              </w:rPr>
              <w:t>3000,00</w:t>
            </w:r>
          </w:p>
          <w:p w:rsidR="00E95FB1" w:rsidRPr="00C86B34" w:rsidRDefault="00E95FB1" w:rsidP="001B3967">
            <w:pPr>
              <w:pStyle w:val="a7"/>
              <w:ind w:left="0"/>
              <w:jc w:val="center"/>
              <w:rPr>
                <w:sz w:val="22"/>
                <w:lang w:val="uk-UA"/>
              </w:rPr>
            </w:pPr>
          </w:p>
          <w:p w:rsidR="00E95FB1" w:rsidRPr="00C86B34" w:rsidRDefault="00E95FB1" w:rsidP="001B3967">
            <w:pPr>
              <w:pStyle w:val="a7"/>
              <w:ind w:left="0"/>
              <w:jc w:val="center"/>
              <w:rPr>
                <w:sz w:val="22"/>
                <w:lang w:val="uk-UA"/>
              </w:rPr>
            </w:pPr>
            <w:r w:rsidRPr="00C86B34">
              <w:rPr>
                <w:sz w:val="22"/>
                <w:lang w:val="uk-UA"/>
              </w:rPr>
              <w:t>1000,00</w:t>
            </w:r>
          </w:p>
          <w:p w:rsidR="00E95FB1" w:rsidRPr="00C86B34" w:rsidRDefault="00E95FB1" w:rsidP="001B3967">
            <w:pPr>
              <w:pStyle w:val="a7"/>
              <w:ind w:left="0"/>
              <w:jc w:val="center"/>
              <w:rPr>
                <w:sz w:val="22"/>
                <w:lang w:val="uk-UA"/>
              </w:rPr>
            </w:pPr>
          </w:p>
          <w:p w:rsidR="00E95FB1" w:rsidRPr="00C86B34" w:rsidRDefault="00E95FB1" w:rsidP="001B3967">
            <w:pPr>
              <w:pStyle w:val="a7"/>
              <w:ind w:left="0"/>
              <w:jc w:val="center"/>
              <w:rPr>
                <w:sz w:val="22"/>
                <w:lang w:val="uk-UA"/>
              </w:rPr>
            </w:pPr>
            <w:r w:rsidRPr="00C86B34">
              <w:rPr>
                <w:sz w:val="22"/>
                <w:lang w:val="uk-UA"/>
              </w:rPr>
              <w:t>2000,00</w:t>
            </w:r>
          </w:p>
          <w:p w:rsidR="00E95FB1" w:rsidRPr="00C86B34" w:rsidRDefault="00E95FB1" w:rsidP="001B3967">
            <w:pPr>
              <w:pStyle w:val="a7"/>
              <w:ind w:left="0"/>
              <w:rPr>
                <w:sz w:val="22"/>
                <w:lang w:val="uk-UA"/>
              </w:rPr>
            </w:pPr>
          </w:p>
        </w:tc>
        <w:tc>
          <w:tcPr>
            <w:tcW w:w="1077" w:type="dxa"/>
            <w:gridSpan w:val="2"/>
            <w:tcBorders>
              <w:top w:val="single" w:sz="4" w:space="0" w:color="auto"/>
              <w:left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Обсяг</w:t>
            </w:r>
          </w:p>
          <w:p w:rsidR="00E95FB1" w:rsidRPr="00C86B34" w:rsidRDefault="00E95FB1" w:rsidP="001B3967">
            <w:pPr>
              <w:pStyle w:val="a7"/>
              <w:ind w:left="0"/>
              <w:jc w:val="center"/>
              <w:rPr>
                <w:sz w:val="22"/>
                <w:lang w:val="uk-UA"/>
              </w:rPr>
            </w:pPr>
            <w:proofErr w:type="spellStart"/>
            <w:r w:rsidRPr="00C86B34">
              <w:rPr>
                <w:sz w:val="22"/>
                <w:lang w:val="uk-UA"/>
              </w:rPr>
              <w:t>тис.грн</w:t>
            </w:r>
            <w:proofErr w:type="spellEnd"/>
          </w:p>
        </w:tc>
        <w:tc>
          <w:tcPr>
            <w:tcW w:w="1213" w:type="dxa"/>
            <w:gridSpan w:val="2"/>
            <w:tcBorders>
              <w:top w:val="single" w:sz="4" w:space="0" w:color="auto"/>
              <w:left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Назва джерела</w:t>
            </w:r>
          </w:p>
        </w:tc>
        <w:tc>
          <w:tcPr>
            <w:tcW w:w="1471" w:type="dxa"/>
            <w:vMerge w:val="restart"/>
            <w:tcBorders>
              <w:top w:val="single" w:sz="4" w:space="0" w:color="auto"/>
              <w:left w:val="single" w:sz="4" w:space="0" w:color="auto"/>
            </w:tcBorders>
          </w:tcPr>
          <w:p w:rsidR="00E95FB1" w:rsidRPr="00C86B34" w:rsidRDefault="00E95FB1" w:rsidP="001B3967">
            <w:pPr>
              <w:pStyle w:val="a7"/>
              <w:ind w:left="0"/>
              <w:jc w:val="center"/>
              <w:rPr>
                <w:sz w:val="22"/>
                <w:lang w:val="uk-UA"/>
              </w:rPr>
            </w:pPr>
            <w:r w:rsidRPr="00C86B34">
              <w:rPr>
                <w:sz w:val="22"/>
                <w:lang w:val="uk-UA"/>
              </w:rPr>
              <w:t>239 000,00</w:t>
            </w:r>
          </w:p>
        </w:tc>
      </w:tr>
      <w:tr w:rsidR="00E95FB1" w:rsidRPr="00C86B34" w:rsidTr="001B3967">
        <w:trPr>
          <w:trHeight w:val="300"/>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2025" w:type="dxa"/>
            <w:vMerge/>
            <w:tcBorders>
              <w:right w:val="single" w:sz="4" w:space="0" w:color="auto"/>
            </w:tcBorders>
          </w:tcPr>
          <w:p w:rsidR="00E95FB1" w:rsidRPr="00C86B34" w:rsidRDefault="00E95FB1" w:rsidP="001B3967">
            <w:pPr>
              <w:pStyle w:val="a7"/>
              <w:ind w:left="0"/>
              <w:jc w:val="center"/>
              <w:rPr>
                <w:sz w:val="22"/>
                <w:lang w:val="uk-UA"/>
              </w:rPr>
            </w:pPr>
          </w:p>
        </w:tc>
        <w:tc>
          <w:tcPr>
            <w:tcW w:w="1408" w:type="dxa"/>
            <w:vMerge/>
            <w:tcBorders>
              <w:right w:val="single" w:sz="4" w:space="0" w:color="auto"/>
            </w:tcBorders>
          </w:tcPr>
          <w:p w:rsidR="00E95FB1" w:rsidRPr="00C86B34" w:rsidRDefault="00E95FB1" w:rsidP="001B3967">
            <w:pPr>
              <w:pStyle w:val="a7"/>
              <w:ind w:left="0"/>
              <w:jc w:val="center"/>
              <w:rPr>
                <w:b/>
                <w:sz w:val="22"/>
                <w:lang w:val="uk-UA"/>
              </w:rPr>
            </w:pPr>
          </w:p>
        </w:tc>
        <w:tc>
          <w:tcPr>
            <w:tcW w:w="1077" w:type="dxa"/>
            <w:gridSpan w:val="2"/>
            <w:tcBorders>
              <w:top w:val="single" w:sz="4" w:space="0" w:color="auto"/>
              <w:left w:val="single" w:sz="4" w:space="0" w:color="auto"/>
              <w:right w:val="single" w:sz="4" w:space="0" w:color="auto"/>
            </w:tcBorders>
          </w:tcPr>
          <w:p w:rsidR="00E95FB1" w:rsidRPr="00C86B34" w:rsidRDefault="00E95FB1" w:rsidP="001B3967">
            <w:pPr>
              <w:pStyle w:val="a7"/>
              <w:ind w:left="0"/>
              <w:jc w:val="center"/>
              <w:rPr>
                <w:sz w:val="22"/>
                <w:lang w:val="uk-UA"/>
              </w:rPr>
            </w:pPr>
          </w:p>
        </w:tc>
        <w:tc>
          <w:tcPr>
            <w:tcW w:w="1213" w:type="dxa"/>
            <w:gridSpan w:val="2"/>
            <w:tcBorders>
              <w:top w:val="single" w:sz="4" w:space="0" w:color="auto"/>
              <w:left w:val="single" w:sz="4" w:space="0" w:color="auto"/>
              <w:right w:val="single" w:sz="4" w:space="0" w:color="auto"/>
            </w:tcBorders>
          </w:tcPr>
          <w:p w:rsidR="00E95FB1" w:rsidRPr="00C86B34" w:rsidRDefault="00E95FB1" w:rsidP="001B3967">
            <w:pPr>
              <w:pStyle w:val="a7"/>
              <w:ind w:left="0"/>
              <w:jc w:val="center"/>
              <w:rPr>
                <w:sz w:val="22"/>
                <w:lang w:val="uk-UA"/>
              </w:rPr>
            </w:pPr>
          </w:p>
        </w:tc>
        <w:tc>
          <w:tcPr>
            <w:tcW w:w="1471" w:type="dxa"/>
            <w:vMerge/>
            <w:tcBorders>
              <w:left w:val="single" w:sz="4" w:space="0" w:color="auto"/>
            </w:tcBorders>
          </w:tcPr>
          <w:p w:rsidR="00E95FB1" w:rsidRPr="00C86B34" w:rsidRDefault="00E95FB1" w:rsidP="001B3967">
            <w:pPr>
              <w:pStyle w:val="a7"/>
              <w:ind w:left="0"/>
              <w:jc w:val="center"/>
              <w:rPr>
                <w:sz w:val="22"/>
                <w:lang w:val="uk-UA"/>
              </w:rPr>
            </w:pPr>
          </w:p>
        </w:tc>
      </w:tr>
    </w:tbl>
    <w:p w:rsidR="00E95FB1" w:rsidRPr="00C86B34" w:rsidRDefault="00E95FB1" w:rsidP="00E95FB1">
      <w:pPr>
        <w:rPr>
          <w:sz w:val="22"/>
        </w:rPr>
      </w:pPr>
    </w:p>
    <w:tbl>
      <w:tblPr>
        <w:tblStyle w:val="af"/>
        <w:tblW w:w="0" w:type="auto"/>
        <w:tblInd w:w="-176" w:type="dxa"/>
        <w:tblLayout w:type="fixed"/>
        <w:tblLook w:val="04A0" w:firstRow="1" w:lastRow="0" w:firstColumn="1" w:lastColumn="0" w:noHBand="0" w:noVBand="1"/>
      </w:tblPr>
      <w:tblGrid>
        <w:gridCol w:w="2694"/>
        <w:gridCol w:w="2205"/>
        <w:gridCol w:w="1257"/>
        <w:gridCol w:w="372"/>
        <w:gridCol w:w="587"/>
        <w:gridCol w:w="1107"/>
        <w:gridCol w:w="346"/>
        <w:gridCol w:w="1320"/>
      </w:tblGrid>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Оперативна ціль/завдання</w:t>
            </w:r>
          </w:p>
        </w:tc>
        <w:tc>
          <w:tcPr>
            <w:tcW w:w="7194" w:type="dxa"/>
            <w:gridSpan w:val="7"/>
            <w:shd w:val="clear" w:color="auto" w:fill="auto"/>
          </w:tcPr>
          <w:p w:rsidR="00E95FB1" w:rsidRPr="00C86B34" w:rsidRDefault="00AC7404" w:rsidP="001B3967">
            <w:pPr>
              <w:pStyle w:val="a7"/>
              <w:ind w:left="0"/>
              <w:rPr>
                <w:sz w:val="22"/>
                <w:lang w:val="uk-UA"/>
              </w:rPr>
            </w:pPr>
            <w:r w:rsidRPr="00C86B34">
              <w:rPr>
                <w:rFonts w:eastAsia="Arial"/>
                <w:sz w:val="22"/>
                <w:lang w:val="uk-UA"/>
              </w:rPr>
              <w:t xml:space="preserve">Людський розвиток </w:t>
            </w:r>
            <w:r w:rsidR="00E95FB1" w:rsidRPr="00C86B34">
              <w:rPr>
                <w:rFonts w:eastAsia="Arial"/>
                <w:sz w:val="22"/>
                <w:lang w:val="uk-UA"/>
              </w:rPr>
              <w:t>через інновації управління та довіру до влади</w:t>
            </w:r>
          </w:p>
          <w:p w:rsidR="00E95FB1" w:rsidRPr="00C86B34" w:rsidRDefault="00E95FB1" w:rsidP="001B3967">
            <w:pPr>
              <w:pStyle w:val="a7"/>
              <w:ind w:left="0"/>
              <w:rPr>
                <w:rFonts w:eastAsia="Arial"/>
                <w:b/>
                <w:sz w:val="22"/>
                <w:lang w:val="uk-UA"/>
              </w:rPr>
            </w:pPr>
            <w:r w:rsidRPr="00C86B34">
              <w:rPr>
                <w:rFonts w:eastAsia="Arial"/>
                <w:sz w:val="22"/>
                <w:lang w:val="uk-UA"/>
              </w:rPr>
              <w:t xml:space="preserve">Формування сучасного інклюзивного </w:t>
            </w:r>
            <w:proofErr w:type="spellStart"/>
            <w:r w:rsidRPr="00C86B34">
              <w:rPr>
                <w:rFonts w:eastAsia="Arial"/>
                <w:sz w:val="22"/>
                <w:lang w:val="uk-UA"/>
              </w:rPr>
              <w:t>освітньо</w:t>
            </w:r>
            <w:proofErr w:type="spellEnd"/>
            <w:r w:rsidRPr="00C86B34">
              <w:rPr>
                <w:rFonts w:eastAsia="Arial"/>
                <w:sz w:val="22"/>
                <w:lang w:val="uk-UA"/>
              </w:rPr>
              <w:t xml:space="preserve"> – культурного та спортивного простору для розвитку</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Назва проекту:</w:t>
            </w:r>
          </w:p>
        </w:tc>
        <w:tc>
          <w:tcPr>
            <w:tcW w:w="7194" w:type="dxa"/>
            <w:gridSpan w:val="7"/>
          </w:tcPr>
          <w:p w:rsidR="00E95FB1" w:rsidRPr="00C86B34" w:rsidRDefault="00E95FB1" w:rsidP="001B3967">
            <w:pPr>
              <w:pStyle w:val="a7"/>
              <w:ind w:left="0"/>
              <w:rPr>
                <w:color w:val="000000"/>
                <w:sz w:val="22"/>
                <w:lang w:val="uk-UA"/>
              </w:rPr>
            </w:pPr>
            <w:r w:rsidRPr="00C86B34">
              <w:rPr>
                <w:sz w:val="22"/>
                <w:lang w:val="uk-UA"/>
              </w:rPr>
              <w:t xml:space="preserve">Відновлення та відбудова будівель Комунального Закладу «Сєвєродонецький міський Палац культури» </w:t>
            </w:r>
            <w:r w:rsidRPr="00C86B34">
              <w:rPr>
                <w:color w:val="000000"/>
                <w:sz w:val="22"/>
                <w:lang w:val="uk-UA"/>
              </w:rPr>
              <w:t>з філіями</w:t>
            </w:r>
          </w:p>
          <w:p w:rsidR="00E95FB1" w:rsidRPr="00C86B34" w:rsidRDefault="00E95FB1" w:rsidP="001B3967">
            <w:pPr>
              <w:pStyle w:val="a7"/>
              <w:ind w:left="0"/>
              <w:rPr>
                <w:sz w:val="22"/>
                <w:lang w:val="uk-UA"/>
              </w:rPr>
            </w:pPr>
            <w:r w:rsidRPr="00C86B34">
              <w:rPr>
                <w:sz w:val="22"/>
                <w:lang w:val="uk-UA"/>
              </w:rPr>
              <w:t>Сєвєродонецької міської територіальної громади для задоволення потреб мешканців у отриманні послуг, гарантованих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Ціль проекту</w:t>
            </w:r>
          </w:p>
        </w:tc>
        <w:tc>
          <w:tcPr>
            <w:tcW w:w="7194" w:type="dxa"/>
            <w:gridSpan w:val="7"/>
          </w:tcPr>
          <w:p w:rsidR="00E95FB1" w:rsidRPr="00C86B34" w:rsidRDefault="00E95FB1" w:rsidP="001B3967">
            <w:pPr>
              <w:pStyle w:val="a7"/>
              <w:ind w:left="0"/>
              <w:rPr>
                <w:color w:val="000000"/>
                <w:sz w:val="22"/>
                <w:lang w:val="uk-UA"/>
              </w:rPr>
            </w:pPr>
            <w:r w:rsidRPr="00C86B34">
              <w:rPr>
                <w:sz w:val="22"/>
                <w:lang w:val="uk-UA"/>
              </w:rPr>
              <w:t xml:space="preserve">Відновити та відбудувати будівлі Комунального Закладу «Сєвєродонецький міський Палац культури </w:t>
            </w:r>
            <w:r w:rsidRPr="00C86B34">
              <w:rPr>
                <w:color w:val="000000"/>
                <w:sz w:val="22"/>
                <w:lang w:val="uk-UA"/>
              </w:rPr>
              <w:t>з філіями</w:t>
            </w:r>
          </w:p>
          <w:tbl>
            <w:tblPr>
              <w:tblStyle w:val="af"/>
              <w:tblW w:w="0" w:type="auto"/>
              <w:tblLayout w:type="fixed"/>
              <w:tblLook w:val="04A0" w:firstRow="1" w:lastRow="0" w:firstColumn="1" w:lastColumn="0" w:noHBand="0" w:noVBand="1"/>
            </w:tblPr>
            <w:tblGrid>
              <w:gridCol w:w="3302"/>
              <w:gridCol w:w="3303"/>
            </w:tblGrid>
            <w:tr w:rsidR="00E95FB1" w:rsidRPr="00C86B34" w:rsidTr="001B3967">
              <w:tc>
                <w:tcPr>
                  <w:tcW w:w="3302" w:type="dxa"/>
                </w:tcPr>
                <w:p w:rsidR="00E95FB1" w:rsidRPr="00C86B34" w:rsidRDefault="00E95FB1" w:rsidP="001B3967">
                  <w:pPr>
                    <w:rPr>
                      <w:color w:val="000000"/>
                      <w:sz w:val="22"/>
                      <w:lang w:val="uk-UA"/>
                    </w:rPr>
                  </w:pPr>
                  <w:r w:rsidRPr="00C86B34">
                    <w:rPr>
                      <w:color w:val="000000"/>
                      <w:sz w:val="22"/>
                      <w:lang w:val="uk-UA"/>
                    </w:rPr>
                    <w:t>Сєвєродонецьк</w:t>
                  </w:r>
                </w:p>
              </w:tc>
              <w:tc>
                <w:tcPr>
                  <w:tcW w:w="3303" w:type="dxa"/>
                </w:tcPr>
                <w:p w:rsidR="00E95FB1" w:rsidRPr="00C86B34" w:rsidRDefault="00E95FB1" w:rsidP="001B3967">
                  <w:pPr>
                    <w:rPr>
                      <w:color w:val="000000"/>
                      <w:sz w:val="22"/>
                      <w:lang w:val="uk-UA"/>
                    </w:rPr>
                  </w:pPr>
                  <w:proofErr w:type="spellStart"/>
                  <w:r w:rsidRPr="00C86B34">
                    <w:rPr>
                      <w:color w:val="000000"/>
                      <w:sz w:val="22"/>
                      <w:lang w:val="uk-UA"/>
                    </w:rPr>
                    <w:t>просп</w:t>
                  </w:r>
                  <w:proofErr w:type="spellEnd"/>
                  <w:r w:rsidRPr="00C86B34">
                    <w:rPr>
                      <w:color w:val="000000"/>
                      <w:sz w:val="22"/>
                      <w:lang w:val="uk-UA"/>
                    </w:rPr>
                    <w:t>. Хіміків, буд. 28</w:t>
                  </w:r>
                </w:p>
              </w:tc>
            </w:tr>
            <w:tr w:rsidR="00E95FB1" w:rsidRPr="00C86B34" w:rsidTr="001B3967">
              <w:tc>
                <w:tcPr>
                  <w:tcW w:w="3302" w:type="dxa"/>
                </w:tcPr>
                <w:p w:rsidR="00E95FB1" w:rsidRPr="00C86B34" w:rsidRDefault="00E95FB1" w:rsidP="001B3967">
                  <w:pPr>
                    <w:rPr>
                      <w:color w:val="000000"/>
                      <w:sz w:val="22"/>
                      <w:lang w:val="uk-UA"/>
                    </w:rPr>
                  </w:pPr>
                  <w:r w:rsidRPr="00C86B34">
                    <w:rPr>
                      <w:color w:val="000000"/>
                      <w:sz w:val="22"/>
                      <w:lang w:val="uk-UA"/>
                    </w:rPr>
                    <w:t>Борівське</w:t>
                  </w:r>
                </w:p>
              </w:tc>
              <w:tc>
                <w:tcPr>
                  <w:tcW w:w="3303" w:type="dxa"/>
                </w:tcPr>
                <w:p w:rsidR="00E95FB1" w:rsidRPr="00C86B34" w:rsidRDefault="00E95FB1" w:rsidP="001B3967">
                  <w:pPr>
                    <w:rPr>
                      <w:color w:val="000000"/>
                      <w:sz w:val="22"/>
                      <w:lang w:val="uk-UA"/>
                    </w:rPr>
                  </w:pPr>
                  <w:r w:rsidRPr="00C86B34">
                    <w:rPr>
                      <w:color w:val="000000"/>
                      <w:sz w:val="22"/>
                      <w:lang w:val="uk-UA"/>
                    </w:rPr>
                    <w:t>вул. Червона, буд. 11</w:t>
                  </w:r>
                </w:p>
              </w:tc>
            </w:tr>
            <w:tr w:rsidR="00E95FB1" w:rsidRPr="00C86B34" w:rsidTr="001B3967">
              <w:tc>
                <w:tcPr>
                  <w:tcW w:w="3302" w:type="dxa"/>
                </w:tcPr>
                <w:p w:rsidR="00E95FB1" w:rsidRPr="00C86B34" w:rsidRDefault="00E95FB1" w:rsidP="001B3967">
                  <w:pPr>
                    <w:rPr>
                      <w:color w:val="000000"/>
                      <w:sz w:val="22"/>
                      <w:lang w:val="uk-UA"/>
                    </w:rPr>
                  </w:pPr>
                  <w:proofErr w:type="spellStart"/>
                  <w:r w:rsidRPr="00C86B34">
                    <w:rPr>
                      <w:color w:val="000000"/>
                      <w:sz w:val="22"/>
                      <w:lang w:val="uk-UA"/>
                    </w:rPr>
                    <w:t>Сиротіне</w:t>
                  </w:r>
                  <w:proofErr w:type="spellEnd"/>
                </w:p>
              </w:tc>
              <w:tc>
                <w:tcPr>
                  <w:tcW w:w="3303" w:type="dxa"/>
                </w:tcPr>
                <w:p w:rsidR="00E95FB1" w:rsidRPr="00C86B34" w:rsidRDefault="00E95FB1" w:rsidP="001B3967">
                  <w:pPr>
                    <w:rPr>
                      <w:color w:val="000000"/>
                      <w:sz w:val="22"/>
                      <w:lang w:val="uk-UA"/>
                    </w:rPr>
                  </w:pPr>
                  <w:r w:rsidRPr="00C86B34">
                    <w:rPr>
                      <w:color w:val="000000"/>
                      <w:sz w:val="22"/>
                      <w:lang w:val="uk-UA"/>
                    </w:rPr>
                    <w:t>вул. Шкільна,  буд. 34</w:t>
                  </w:r>
                </w:p>
              </w:tc>
            </w:tr>
            <w:tr w:rsidR="00E95FB1" w:rsidRPr="00C86B34" w:rsidTr="001B3967">
              <w:tc>
                <w:tcPr>
                  <w:tcW w:w="3302" w:type="dxa"/>
                </w:tcPr>
                <w:p w:rsidR="00E95FB1" w:rsidRPr="00C86B34" w:rsidRDefault="00E95FB1" w:rsidP="001B3967">
                  <w:pPr>
                    <w:rPr>
                      <w:color w:val="000000"/>
                      <w:sz w:val="22"/>
                      <w:lang w:val="uk-UA"/>
                    </w:rPr>
                  </w:pPr>
                  <w:r w:rsidRPr="00C86B34">
                    <w:rPr>
                      <w:color w:val="000000"/>
                      <w:sz w:val="22"/>
                      <w:lang w:val="uk-UA"/>
                    </w:rPr>
                    <w:t>Нова Астрахань</w:t>
                  </w:r>
                </w:p>
              </w:tc>
              <w:tc>
                <w:tcPr>
                  <w:tcW w:w="3303" w:type="dxa"/>
                </w:tcPr>
                <w:p w:rsidR="00E95FB1" w:rsidRPr="00C86B34" w:rsidRDefault="00E95FB1" w:rsidP="001B3967">
                  <w:pPr>
                    <w:rPr>
                      <w:color w:val="000000"/>
                      <w:sz w:val="22"/>
                      <w:lang w:val="uk-UA"/>
                    </w:rPr>
                  </w:pPr>
                  <w:r w:rsidRPr="00C86B34">
                    <w:rPr>
                      <w:color w:val="000000"/>
                      <w:sz w:val="22"/>
                      <w:lang w:val="uk-UA"/>
                    </w:rPr>
                    <w:t>вул. Центральна,  буд. 53</w:t>
                  </w:r>
                </w:p>
              </w:tc>
            </w:tr>
            <w:tr w:rsidR="00E95FB1" w:rsidRPr="00C86B34" w:rsidTr="001B3967">
              <w:tc>
                <w:tcPr>
                  <w:tcW w:w="3302" w:type="dxa"/>
                </w:tcPr>
                <w:p w:rsidR="00E95FB1" w:rsidRPr="00C86B34" w:rsidRDefault="00E95FB1" w:rsidP="001B3967">
                  <w:pPr>
                    <w:rPr>
                      <w:color w:val="000000"/>
                      <w:sz w:val="22"/>
                      <w:lang w:val="uk-UA"/>
                    </w:rPr>
                  </w:pPr>
                  <w:proofErr w:type="spellStart"/>
                  <w:r w:rsidRPr="00C86B34">
                    <w:rPr>
                      <w:color w:val="000000"/>
                      <w:sz w:val="22"/>
                      <w:lang w:val="uk-UA"/>
                    </w:rPr>
                    <w:t>Єпіфанівка</w:t>
                  </w:r>
                  <w:proofErr w:type="spellEnd"/>
                </w:p>
              </w:tc>
              <w:tc>
                <w:tcPr>
                  <w:tcW w:w="3303" w:type="dxa"/>
                </w:tcPr>
                <w:p w:rsidR="00E95FB1" w:rsidRPr="00C86B34" w:rsidRDefault="00E95FB1" w:rsidP="001B3967">
                  <w:pPr>
                    <w:rPr>
                      <w:color w:val="000000"/>
                      <w:sz w:val="22"/>
                      <w:lang w:val="uk-UA"/>
                    </w:rPr>
                  </w:pPr>
                  <w:r w:rsidRPr="00C86B34">
                    <w:rPr>
                      <w:color w:val="000000"/>
                      <w:sz w:val="22"/>
                      <w:lang w:val="uk-UA"/>
                    </w:rPr>
                    <w:t>вул. Жданова,  буд. 74</w:t>
                  </w:r>
                </w:p>
              </w:tc>
            </w:tr>
            <w:tr w:rsidR="00E95FB1" w:rsidRPr="00C86B34" w:rsidTr="001B3967">
              <w:tc>
                <w:tcPr>
                  <w:tcW w:w="3302" w:type="dxa"/>
                </w:tcPr>
                <w:p w:rsidR="00E95FB1" w:rsidRPr="00C86B34" w:rsidRDefault="00E95FB1" w:rsidP="001B3967">
                  <w:pPr>
                    <w:rPr>
                      <w:color w:val="000000"/>
                      <w:sz w:val="22"/>
                      <w:lang w:val="uk-UA"/>
                    </w:rPr>
                  </w:pPr>
                  <w:proofErr w:type="spellStart"/>
                  <w:r w:rsidRPr="00C86B34">
                    <w:rPr>
                      <w:color w:val="000000"/>
                      <w:sz w:val="22"/>
                      <w:lang w:val="uk-UA"/>
                    </w:rPr>
                    <w:t>Боровеньки</w:t>
                  </w:r>
                  <w:proofErr w:type="spellEnd"/>
                </w:p>
              </w:tc>
              <w:tc>
                <w:tcPr>
                  <w:tcW w:w="3303" w:type="dxa"/>
                </w:tcPr>
                <w:p w:rsidR="00E95FB1" w:rsidRPr="00C86B34" w:rsidRDefault="00E95FB1" w:rsidP="001B3967">
                  <w:pPr>
                    <w:rPr>
                      <w:color w:val="000000"/>
                      <w:sz w:val="22"/>
                      <w:lang w:val="uk-UA"/>
                    </w:rPr>
                  </w:pPr>
                  <w:r w:rsidRPr="00C86B34">
                    <w:rPr>
                      <w:color w:val="000000"/>
                      <w:sz w:val="22"/>
                      <w:lang w:val="uk-UA"/>
                    </w:rPr>
                    <w:t xml:space="preserve">вул. </w:t>
                  </w:r>
                  <w:proofErr w:type="spellStart"/>
                  <w:r w:rsidRPr="00C86B34">
                    <w:rPr>
                      <w:color w:val="000000"/>
                      <w:sz w:val="22"/>
                      <w:lang w:val="uk-UA"/>
                    </w:rPr>
                    <w:t>Пісчана</w:t>
                  </w:r>
                  <w:proofErr w:type="spellEnd"/>
                  <w:r w:rsidRPr="00C86B34">
                    <w:rPr>
                      <w:color w:val="000000"/>
                      <w:sz w:val="22"/>
                      <w:lang w:val="uk-UA"/>
                    </w:rPr>
                    <w:t>,  буд. 1 А</w:t>
                  </w:r>
                </w:p>
              </w:tc>
            </w:tr>
          </w:tbl>
          <w:p w:rsidR="00E95FB1" w:rsidRPr="00C86B34" w:rsidRDefault="00E95FB1" w:rsidP="001B3967">
            <w:pPr>
              <w:pStyle w:val="a7"/>
              <w:ind w:left="0"/>
              <w:rPr>
                <w:sz w:val="22"/>
                <w:lang w:val="uk-UA"/>
              </w:rPr>
            </w:pPr>
            <w:r w:rsidRPr="00C86B34">
              <w:rPr>
                <w:sz w:val="22"/>
                <w:lang w:val="uk-UA"/>
              </w:rPr>
              <w:t>Сєвєродонецької міської територіальної громади для задоволення потреб мешканців у отриманні послуг, гарантованих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Територія, на яку матиме вплив реалізація проекту</w:t>
            </w:r>
          </w:p>
        </w:tc>
        <w:tc>
          <w:tcPr>
            <w:tcW w:w="7194" w:type="dxa"/>
            <w:gridSpan w:val="7"/>
          </w:tcPr>
          <w:p w:rsidR="00E95FB1" w:rsidRPr="00C86B34" w:rsidRDefault="00E95FB1" w:rsidP="001B3967">
            <w:pPr>
              <w:pStyle w:val="a7"/>
              <w:ind w:left="0"/>
              <w:rPr>
                <w:sz w:val="22"/>
                <w:lang w:val="uk-UA"/>
              </w:rPr>
            </w:pPr>
            <w:r w:rsidRPr="00C86B34">
              <w:rPr>
                <w:sz w:val="22"/>
                <w:lang w:val="uk-UA"/>
              </w:rPr>
              <w:t>Сєвєродонецька міська територіальна громада</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Чисельність населення, на яке матиме вплив реалізація проекту</w:t>
            </w:r>
          </w:p>
        </w:tc>
        <w:tc>
          <w:tcPr>
            <w:tcW w:w="7194" w:type="dxa"/>
            <w:gridSpan w:val="7"/>
          </w:tcPr>
          <w:p w:rsidR="00E95FB1" w:rsidRPr="00C86B34" w:rsidRDefault="00AC7404" w:rsidP="001B3967">
            <w:pPr>
              <w:pStyle w:val="a7"/>
              <w:ind w:left="0"/>
              <w:rPr>
                <w:sz w:val="22"/>
                <w:lang w:val="uk-UA"/>
              </w:rPr>
            </w:pPr>
            <w:r w:rsidRPr="00C86B34">
              <w:rPr>
                <w:sz w:val="22"/>
                <w:lang w:val="uk-UA"/>
              </w:rPr>
              <w:t>70 000</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Опис проблеми, на вирішення якої  спрямований проект</w:t>
            </w:r>
          </w:p>
        </w:tc>
        <w:tc>
          <w:tcPr>
            <w:tcW w:w="7194" w:type="dxa"/>
            <w:gridSpan w:val="7"/>
          </w:tcPr>
          <w:p w:rsidR="00E95FB1" w:rsidRPr="00C86B34" w:rsidRDefault="00E95FB1" w:rsidP="001B3967">
            <w:pPr>
              <w:ind w:firstLine="328"/>
              <w:rPr>
                <w:sz w:val="22"/>
                <w:lang w:val="uk-UA"/>
              </w:rPr>
            </w:pPr>
            <w:r w:rsidRPr="00C86B34">
              <w:rPr>
                <w:sz w:val="22"/>
                <w:lang w:val="uk-UA"/>
              </w:rPr>
              <w:t xml:space="preserve">Через військову агресію РФ територія Сєвєродонецької міської територіальної громади зазнала значних пошкоджень. Будівлі Комунального Закладу «Сєвєродонецький міський Палац культури» </w:t>
            </w:r>
            <w:r w:rsidRPr="00C86B34">
              <w:rPr>
                <w:color w:val="000000"/>
                <w:sz w:val="22"/>
                <w:lang w:val="uk-UA"/>
              </w:rPr>
              <w:t xml:space="preserve">з філіями </w:t>
            </w:r>
            <w:r w:rsidR="00AC7404" w:rsidRPr="00C86B34">
              <w:rPr>
                <w:color w:val="000000"/>
                <w:sz w:val="22"/>
                <w:lang w:val="uk-UA"/>
              </w:rPr>
              <w:t xml:space="preserve">в </w:t>
            </w:r>
            <w:r w:rsidRPr="00C86B34">
              <w:rPr>
                <w:color w:val="000000"/>
                <w:sz w:val="22"/>
                <w:lang w:val="uk-UA"/>
              </w:rPr>
              <w:t xml:space="preserve">селищах </w:t>
            </w:r>
            <w:r w:rsidRPr="00C86B34">
              <w:rPr>
                <w:sz w:val="22"/>
                <w:lang w:val="uk-UA"/>
              </w:rPr>
              <w:t>належать Сєвєродонецькій міській територіальній громаді, зруйновані та пошкоджені в результаті обстрілів. Для поновлення життєдіяльності громади та стимулювання повернення мешканців до громади необхідно забезпечити їх всіма необхідними послугами, гарантованими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Очікувані якісні результати від реалізації проекту</w:t>
            </w:r>
          </w:p>
        </w:tc>
        <w:tc>
          <w:tcPr>
            <w:tcW w:w="7194" w:type="dxa"/>
            <w:gridSpan w:val="7"/>
          </w:tcPr>
          <w:p w:rsidR="00E95FB1" w:rsidRPr="00C86B34" w:rsidRDefault="00E95FB1" w:rsidP="000303D7">
            <w:pPr>
              <w:pStyle w:val="a7"/>
              <w:numPr>
                <w:ilvl w:val="0"/>
                <w:numId w:val="27"/>
              </w:numPr>
              <w:jc w:val="left"/>
              <w:rPr>
                <w:sz w:val="22"/>
                <w:lang w:val="uk-UA"/>
              </w:rPr>
            </w:pPr>
            <w:r w:rsidRPr="00C86B34">
              <w:rPr>
                <w:sz w:val="22"/>
                <w:lang w:val="uk-UA"/>
              </w:rPr>
              <w:t>Отримання мешканцями громади якісних послуг у сфері культури та театральної та концертної діяльності;</w:t>
            </w:r>
          </w:p>
          <w:p w:rsidR="00E95FB1" w:rsidRPr="00C86B34" w:rsidRDefault="00AC7404" w:rsidP="000303D7">
            <w:pPr>
              <w:pStyle w:val="a7"/>
              <w:numPr>
                <w:ilvl w:val="0"/>
                <w:numId w:val="27"/>
              </w:numPr>
              <w:jc w:val="left"/>
              <w:rPr>
                <w:sz w:val="22"/>
                <w:lang w:val="uk-UA"/>
              </w:rPr>
            </w:pPr>
            <w:r w:rsidRPr="00C86B34">
              <w:rPr>
                <w:sz w:val="22"/>
                <w:lang w:val="uk-UA"/>
              </w:rPr>
              <w:t>м</w:t>
            </w:r>
            <w:r w:rsidR="00E95FB1" w:rsidRPr="00C86B34">
              <w:rPr>
                <w:sz w:val="22"/>
                <w:lang w:val="uk-UA"/>
              </w:rPr>
              <w:t>отивація мешканців громади до повернення у громаду;</w:t>
            </w:r>
          </w:p>
          <w:p w:rsidR="00E95FB1" w:rsidRPr="00C86B34" w:rsidRDefault="00AC7404" w:rsidP="000303D7">
            <w:pPr>
              <w:pStyle w:val="a7"/>
              <w:numPr>
                <w:ilvl w:val="0"/>
                <w:numId w:val="27"/>
              </w:numPr>
              <w:jc w:val="left"/>
              <w:rPr>
                <w:sz w:val="22"/>
                <w:lang w:val="uk-UA"/>
              </w:rPr>
            </w:pPr>
            <w:r w:rsidRPr="00C86B34">
              <w:rPr>
                <w:sz w:val="22"/>
                <w:lang w:val="uk-UA"/>
              </w:rPr>
              <w:lastRenderedPageBreak/>
              <w:t>з</w:t>
            </w:r>
            <w:r w:rsidR="00E95FB1" w:rsidRPr="00C86B34">
              <w:rPr>
                <w:sz w:val="22"/>
                <w:lang w:val="uk-UA"/>
              </w:rPr>
              <w:t>ахист правових, культурних,</w:t>
            </w:r>
            <w:r w:rsidRPr="00C86B34">
              <w:rPr>
                <w:sz w:val="22"/>
                <w:lang w:val="uk-UA"/>
              </w:rPr>
              <w:t xml:space="preserve"> </w:t>
            </w:r>
            <w:r w:rsidR="00E95FB1" w:rsidRPr="00C86B34">
              <w:rPr>
                <w:sz w:val="22"/>
                <w:lang w:val="uk-UA"/>
              </w:rPr>
              <w:t>освітніх,</w:t>
            </w:r>
            <w:r w:rsidRPr="00C86B34">
              <w:rPr>
                <w:sz w:val="22"/>
                <w:lang w:val="uk-UA"/>
              </w:rPr>
              <w:t xml:space="preserve"> </w:t>
            </w:r>
            <w:r w:rsidR="00E95FB1" w:rsidRPr="00C86B34">
              <w:rPr>
                <w:sz w:val="22"/>
                <w:lang w:val="uk-UA"/>
              </w:rPr>
              <w:t>економічних та інших інтересів громадян;</w:t>
            </w:r>
          </w:p>
          <w:p w:rsidR="00E95FB1" w:rsidRPr="00C86B34" w:rsidRDefault="00AC7404" w:rsidP="000303D7">
            <w:pPr>
              <w:pStyle w:val="a7"/>
              <w:numPr>
                <w:ilvl w:val="0"/>
                <w:numId w:val="27"/>
              </w:numPr>
              <w:jc w:val="left"/>
              <w:rPr>
                <w:sz w:val="22"/>
                <w:lang w:val="uk-UA"/>
              </w:rPr>
            </w:pPr>
            <w:r w:rsidRPr="00C86B34">
              <w:rPr>
                <w:sz w:val="22"/>
                <w:lang w:val="uk-UA"/>
              </w:rPr>
              <w:t>н</w:t>
            </w:r>
            <w:r w:rsidR="00E95FB1" w:rsidRPr="00C86B34">
              <w:rPr>
                <w:sz w:val="22"/>
                <w:lang w:val="uk-UA"/>
              </w:rPr>
              <w:t>адання юридичним та фізичним особам-підприємцям якісних послуг для впровадження ними своєї діяльності;</w:t>
            </w:r>
          </w:p>
          <w:p w:rsidR="00E95FB1" w:rsidRPr="00C86B34" w:rsidRDefault="00AC7404" w:rsidP="000303D7">
            <w:pPr>
              <w:pStyle w:val="a7"/>
              <w:numPr>
                <w:ilvl w:val="0"/>
                <w:numId w:val="27"/>
              </w:numPr>
              <w:jc w:val="left"/>
              <w:rPr>
                <w:sz w:val="22"/>
                <w:lang w:val="uk-UA"/>
              </w:rPr>
            </w:pPr>
            <w:r w:rsidRPr="00C86B34">
              <w:rPr>
                <w:sz w:val="22"/>
                <w:lang w:val="uk-UA"/>
              </w:rPr>
              <w:t>с</w:t>
            </w:r>
            <w:r w:rsidR="00E95FB1" w:rsidRPr="00C86B34">
              <w:rPr>
                <w:sz w:val="22"/>
                <w:lang w:val="uk-UA"/>
              </w:rPr>
              <w:t>талий розвиток громади;</w:t>
            </w:r>
          </w:p>
          <w:p w:rsidR="00E95FB1" w:rsidRPr="00C86B34" w:rsidRDefault="00AC7404" w:rsidP="000303D7">
            <w:pPr>
              <w:pStyle w:val="a7"/>
              <w:numPr>
                <w:ilvl w:val="0"/>
                <w:numId w:val="27"/>
              </w:numPr>
              <w:jc w:val="left"/>
              <w:rPr>
                <w:sz w:val="22"/>
                <w:lang w:val="uk-UA"/>
              </w:rPr>
            </w:pPr>
            <w:r w:rsidRPr="00C86B34">
              <w:rPr>
                <w:sz w:val="22"/>
                <w:lang w:val="uk-UA"/>
              </w:rPr>
              <w:t>і</w:t>
            </w:r>
            <w:r w:rsidR="00E95FB1" w:rsidRPr="00C86B34">
              <w:rPr>
                <w:sz w:val="22"/>
                <w:lang w:val="uk-UA"/>
              </w:rPr>
              <w:t>нвестиційна привабливість громади;</w:t>
            </w:r>
          </w:p>
          <w:p w:rsidR="00E95FB1" w:rsidRPr="00C86B34" w:rsidRDefault="00AC7404" w:rsidP="00AC7404">
            <w:pPr>
              <w:pStyle w:val="a7"/>
              <w:numPr>
                <w:ilvl w:val="0"/>
                <w:numId w:val="27"/>
              </w:numPr>
              <w:jc w:val="left"/>
              <w:rPr>
                <w:sz w:val="22"/>
                <w:lang w:val="uk-UA"/>
              </w:rPr>
            </w:pPr>
            <w:r w:rsidRPr="00C86B34">
              <w:rPr>
                <w:sz w:val="22"/>
                <w:lang w:val="uk-UA"/>
              </w:rPr>
              <w:t>к</w:t>
            </w:r>
            <w:r w:rsidR="00E95FB1" w:rsidRPr="00C86B34">
              <w:rPr>
                <w:sz w:val="22"/>
                <w:lang w:val="uk-UA"/>
              </w:rPr>
              <w:t>омфортне життя мешканців.</w:t>
            </w:r>
          </w:p>
        </w:tc>
      </w:tr>
      <w:tr w:rsidR="00E95FB1" w:rsidRPr="00C86B34" w:rsidTr="00AC7404">
        <w:trPr>
          <w:trHeight w:val="390"/>
        </w:trPr>
        <w:tc>
          <w:tcPr>
            <w:tcW w:w="2694" w:type="dxa"/>
            <w:vMerge w:val="restart"/>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lastRenderedPageBreak/>
              <w:t xml:space="preserve">Очікувані кількісні результати реалізації </w:t>
            </w:r>
            <w:proofErr w:type="spellStart"/>
            <w:r w:rsidRPr="00C86B34">
              <w:rPr>
                <w:b/>
                <w:sz w:val="22"/>
                <w:lang w:val="uk-UA"/>
              </w:rPr>
              <w:t>проєкту</w:t>
            </w:r>
            <w:proofErr w:type="spellEnd"/>
            <w:r w:rsidRPr="00C86B34">
              <w:rPr>
                <w:b/>
                <w:sz w:val="22"/>
                <w:lang w:val="uk-UA"/>
              </w:rPr>
              <w:t xml:space="preserve"> (індикатори)</w:t>
            </w:r>
          </w:p>
          <w:p w:rsidR="00E95FB1" w:rsidRPr="00C86B34" w:rsidRDefault="00E95FB1" w:rsidP="001B3967">
            <w:pPr>
              <w:pStyle w:val="a7"/>
              <w:ind w:left="0"/>
              <w:rPr>
                <w:b/>
                <w:sz w:val="22"/>
                <w:lang w:val="uk-UA"/>
              </w:rPr>
            </w:pPr>
          </w:p>
        </w:tc>
        <w:tc>
          <w:tcPr>
            <w:tcW w:w="3834" w:type="dxa"/>
            <w:gridSpan w:val="3"/>
            <w:tcBorders>
              <w:bottom w:val="single" w:sz="4" w:space="0" w:color="auto"/>
              <w:right w:val="single" w:sz="4" w:space="0" w:color="auto"/>
            </w:tcBorders>
          </w:tcPr>
          <w:p w:rsidR="00E95FB1" w:rsidRPr="00C86B34" w:rsidRDefault="00E95FB1" w:rsidP="001B3967">
            <w:pPr>
              <w:pStyle w:val="a7"/>
              <w:ind w:left="-108"/>
              <w:jc w:val="center"/>
              <w:rPr>
                <w:b/>
                <w:sz w:val="22"/>
                <w:lang w:val="uk-UA"/>
              </w:rPr>
            </w:pPr>
            <w:r w:rsidRPr="00C86B34">
              <w:rPr>
                <w:b/>
                <w:sz w:val="22"/>
                <w:lang w:val="uk-UA"/>
              </w:rPr>
              <w:t>Найменування показника</w:t>
            </w:r>
          </w:p>
        </w:tc>
        <w:tc>
          <w:tcPr>
            <w:tcW w:w="1694" w:type="dxa"/>
            <w:gridSpan w:val="2"/>
            <w:tcBorders>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Одиниця вимірювання</w:t>
            </w:r>
          </w:p>
          <w:p w:rsidR="00E95FB1" w:rsidRPr="00C86B34" w:rsidRDefault="00E95FB1" w:rsidP="001B3967">
            <w:pPr>
              <w:pStyle w:val="a7"/>
              <w:ind w:left="0"/>
              <w:rPr>
                <w:b/>
                <w:sz w:val="22"/>
                <w:lang w:val="uk-UA"/>
              </w:rPr>
            </w:pPr>
          </w:p>
        </w:tc>
        <w:tc>
          <w:tcPr>
            <w:tcW w:w="1666" w:type="dxa"/>
            <w:gridSpan w:val="2"/>
            <w:tcBorders>
              <w:left w:val="single" w:sz="4" w:space="0" w:color="auto"/>
              <w:bottom w:val="single" w:sz="4" w:space="0" w:color="auto"/>
            </w:tcBorders>
          </w:tcPr>
          <w:p w:rsidR="00E95FB1" w:rsidRPr="00C86B34" w:rsidRDefault="00E95FB1" w:rsidP="001B3967">
            <w:pPr>
              <w:pStyle w:val="a7"/>
              <w:ind w:left="0"/>
              <w:jc w:val="center"/>
              <w:rPr>
                <w:b/>
                <w:sz w:val="22"/>
                <w:lang w:val="uk-UA"/>
              </w:rPr>
            </w:pPr>
            <w:r w:rsidRPr="00C86B34">
              <w:rPr>
                <w:b/>
                <w:sz w:val="22"/>
                <w:lang w:val="uk-UA"/>
              </w:rPr>
              <w:t>Прогнозне (цільове) значення</w:t>
            </w:r>
          </w:p>
        </w:tc>
      </w:tr>
      <w:tr w:rsidR="00E95FB1" w:rsidRPr="00C86B34" w:rsidTr="00AC7404">
        <w:trPr>
          <w:trHeight w:val="58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834" w:type="dxa"/>
            <w:gridSpan w:val="3"/>
            <w:tcBorders>
              <w:top w:val="single" w:sz="4" w:space="0" w:color="auto"/>
              <w:bottom w:val="single" w:sz="4" w:space="0" w:color="auto"/>
              <w:right w:val="single" w:sz="4" w:space="0" w:color="auto"/>
            </w:tcBorders>
          </w:tcPr>
          <w:p w:rsidR="00E95FB1" w:rsidRPr="00C86B34" w:rsidRDefault="00E95FB1" w:rsidP="00AC7404">
            <w:pPr>
              <w:pStyle w:val="a7"/>
              <w:ind w:left="0"/>
              <w:rPr>
                <w:sz w:val="22"/>
                <w:lang w:val="uk-UA"/>
              </w:rPr>
            </w:pPr>
            <w:r w:rsidRPr="00C86B34">
              <w:rPr>
                <w:sz w:val="22"/>
                <w:lang w:val="uk-UA"/>
              </w:rPr>
              <w:t xml:space="preserve">Кількість фізичних та юридичних осіб (відвідувачів), які звернулись за послугами протягом  року </w:t>
            </w:r>
          </w:p>
        </w:tc>
        <w:tc>
          <w:tcPr>
            <w:tcW w:w="1694"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jc w:val="center"/>
              <w:rPr>
                <w:sz w:val="22"/>
                <w:lang w:val="uk-UA"/>
              </w:rPr>
            </w:pPr>
            <w:r w:rsidRPr="00C86B34">
              <w:rPr>
                <w:rFonts w:eastAsia="Arial"/>
                <w:sz w:val="22"/>
                <w:lang w:val="uk-UA"/>
              </w:rPr>
              <w:t>осіб</w:t>
            </w:r>
          </w:p>
        </w:tc>
        <w:tc>
          <w:tcPr>
            <w:tcW w:w="1666"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rFonts w:eastAsia="Calibri"/>
                <w:sz w:val="22"/>
                <w:lang w:val="uk-UA"/>
              </w:rPr>
              <w:t>50759</w:t>
            </w:r>
          </w:p>
        </w:tc>
      </w:tr>
      <w:tr w:rsidR="00E95FB1" w:rsidRPr="00C86B34" w:rsidTr="00AC7404">
        <w:trPr>
          <w:trHeight w:val="184"/>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834"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rPr>
                <w:sz w:val="22"/>
                <w:lang w:val="uk-UA"/>
              </w:rPr>
            </w:pPr>
            <w:r w:rsidRPr="00C86B34">
              <w:rPr>
                <w:sz w:val="22"/>
                <w:lang w:val="uk-UA"/>
              </w:rPr>
              <w:t>Кількість відвідувань заходів  протягом  року</w:t>
            </w:r>
          </w:p>
        </w:tc>
        <w:tc>
          <w:tcPr>
            <w:tcW w:w="1694"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осіб</w:t>
            </w:r>
          </w:p>
        </w:tc>
        <w:tc>
          <w:tcPr>
            <w:tcW w:w="1666"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rFonts w:eastAsia="Calibri"/>
                <w:sz w:val="22"/>
                <w:lang w:val="uk-UA"/>
              </w:rPr>
              <w:t>167900</w:t>
            </w:r>
          </w:p>
        </w:tc>
      </w:tr>
      <w:tr w:rsidR="00E95FB1" w:rsidRPr="00C86B34" w:rsidTr="00AC7404">
        <w:trPr>
          <w:trHeight w:val="16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834"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rPr>
                <w:sz w:val="22"/>
                <w:lang w:val="uk-UA"/>
              </w:rPr>
            </w:pPr>
            <w:r w:rsidRPr="00C86B34">
              <w:rPr>
                <w:sz w:val="22"/>
                <w:lang w:val="uk-UA"/>
              </w:rPr>
              <w:t>Кількість заходів для користувачів</w:t>
            </w:r>
          </w:p>
        </w:tc>
        <w:tc>
          <w:tcPr>
            <w:tcW w:w="1694"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666"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407</w:t>
            </w:r>
          </w:p>
        </w:tc>
      </w:tr>
      <w:tr w:rsidR="00E95FB1" w:rsidRPr="00C86B34" w:rsidTr="00AC7404">
        <w:trPr>
          <w:trHeight w:val="431"/>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834"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rPr>
                <w:sz w:val="22"/>
                <w:lang w:val="uk-UA"/>
              </w:rPr>
            </w:pPr>
            <w:r w:rsidRPr="00C86B34">
              <w:rPr>
                <w:sz w:val="22"/>
                <w:lang w:val="uk-UA"/>
              </w:rPr>
              <w:t>Середня вартість послуг</w:t>
            </w:r>
          </w:p>
        </w:tc>
        <w:tc>
          <w:tcPr>
            <w:tcW w:w="1694"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AC7404" w:rsidP="00AC7404">
            <w:pPr>
              <w:pStyle w:val="a7"/>
              <w:ind w:left="0"/>
              <w:jc w:val="center"/>
              <w:rPr>
                <w:sz w:val="22"/>
                <w:lang w:val="uk-UA"/>
              </w:rPr>
            </w:pPr>
            <w:r w:rsidRPr="00C86B34">
              <w:rPr>
                <w:sz w:val="22"/>
                <w:lang w:val="uk-UA"/>
              </w:rPr>
              <w:t>грн..</w:t>
            </w:r>
          </w:p>
        </w:tc>
        <w:tc>
          <w:tcPr>
            <w:tcW w:w="1666"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безкоштовно</w:t>
            </w:r>
          </w:p>
        </w:tc>
      </w:tr>
      <w:tr w:rsidR="00E95FB1" w:rsidRPr="00C86B34" w:rsidTr="00AC7404">
        <w:trPr>
          <w:trHeight w:val="165"/>
        </w:trPr>
        <w:tc>
          <w:tcPr>
            <w:tcW w:w="2694" w:type="dxa"/>
            <w:shd w:val="clear" w:color="auto" w:fill="C6D9F1" w:themeFill="text2" w:themeFillTint="33"/>
          </w:tcPr>
          <w:p w:rsidR="00E95FB1" w:rsidRPr="00C86B34" w:rsidRDefault="00E95FB1" w:rsidP="001B3967">
            <w:pPr>
              <w:pStyle w:val="a7"/>
              <w:ind w:left="0"/>
              <w:rPr>
                <w:b/>
                <w:sz w:val="22"/>
                <w:lang w:val="uk-UA"/>
              </w:rPr>
            </w:pPr>
          </w:p>
        </w:tc>
        <w:tc>
          <w:tcPr>
            <w:tcW w:w="3834"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rPr>
                <w:sz w:val="22"/>
                <w:lang w:val="uk-UA"/>
              </w:rPr>
            </w:pPr>
            <w:r w:rsidRPr="00C86B34">
              <w:rPr>
                <w:sz w:val="22"/>
                <w:lang w:val="uk-UA"/>
              </w:rPr>
              <w:t>Термін надання послуги</w:t>
            </w:r>
          </w:p>
        </w:tc>
        <w:tc>
          <w:tcPr>
            <w:tcW w:w="1694"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років</w:t>
            </w:r>
          </w:p>
        </w:tc>
        <w:tc>
          <w:tcPr>
            <w:tcW w:w="1666"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Від 1 до 120</w:t>
            </w:r>
          </w:p>
        </w:tc>
      </w:tr>
      <w:tr w:rsidR="00E95FB1" w:rsidRPr="00C86B34" w:rsidTr="00AC7404">
        <w:trPr>
          <w:trHeight w:val="165"/>
        </w:trPr>
        <w:tc>
          <w:tcPr>
            <w:tcW w:w="2694" w:type="dxa"/>
            <w:shd w:val="clear" w:color="auto" w:fill="C6D9F1" w:themeFill="text2" w:themeFillTint="33"/>
          </w:tcPr>
          <w:p w:rsidR="00E95FB1" w:rsidRPr="00C86B34" w:rsidRDefault="00E95FB1" w:rsidP="001B3967">
            <w:pPr>
              <w:pStyle w:val="a7"/>
              <w:ind w:left="0"/>
              <w:rPr>
                <w:b/>
                <w:sz w:val="22"/>
                <w:lang w:val="uk-UA"/>
              </w:rPr>
            </w:pPr>
          </w:p>
        </w:tc>
        <w:tc>
          <w:tcPr>
            <w:tcW w:w="3834"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rPr>
                <w:sz w:val="22"/>
                <w:lang w:val="uk-UA"/>
              </w:rPr>
            </w:pPr>
            <w:r w:rsidRPr="00C86B34">
              <w:rPr>
                <w:sz w:val="22"/>
                <w:lang w:val="uk-UA"/>
              </w:rPr>
              <w:t>Кількість населених пунктів, яке обслуговує заклад</w:t>
            </w:r>
          </w:p>
        </w:tc>
        <w:tc>
          <w:tcPr>
            <w:tcW w:w="1694"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666"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20</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 xml:space="preserve">Ключові заходи проекту: </w:t>
            </w:r>
          </w:p>
          <w:p w:rsidR="00E95FB1" w:rsidRPr="00C86B34" w:rsidRDefault="00E95FB1" w:rsidP="001B3967">
            <w:pPr>
              <w:pStyle w:val="a7"/>
              <w:ind w:left="0"/>
              <w:rPr>
                <w:b/>
                <w:sz w:val="22"/>
                <w:lang w:val="uk-UA"/>
              </w:rPr>
            </w:pPr>
          </w:p>
        </w:tc>
        <w:tc>
          <w:tcPr>
            <w:tcW w:w="7194" w:type="dxa"/>
            <w:gridSpan w:val="7"/>
          </w:tcPr>
          <w:p w:rsidR="00E95FB1" w:rsidRPr="00C86B34" w:rsidRDefault="00E95FB1" w:rsidP="001B3967">
            <w:pPr>
              <w:pStyle w:val="a7"/>
              <w:ind w:left="0"/>
              <w:rPr>
                <w:sz w:val="22"/>
                <w:lang w:val="uk-UA"/>
              </w:rPr>
            </w:pPr>
            <w:r w:rsidRPr="00C86B34">
              <w:rPr>
                <w:sz w:val="22"/>
                <w:lang w:val="uk-UA"/>
              </w:rPr>
              <w:t>- обстеження об’єкта нерухомості;</w:t>
            </w:r>
          </w:p>
          <w:p w:rsidR="00E95FB1" w:rsidRPr="00C86B34" w:rsidRDefault="00E95FB1" w:rsidP="001B3967">
            <w:pPr>
              <w:pStyle w:val="a7"/>
              <w:ind w:left="0"/>
              <w:rPr>
                <w:sz w:val="22"/>
                <w:lang w:val="uk-UA"/>
              </w:rPr>
            </w:pPr>
            <w:r w:rsidRPr="00C86B34">
              <w:rPr>
                <w:sz w:val="22"/>
                <w:lang w:val="uk-UA"/>
              </w:rPr>
              <w:t>- пошук інвестора;</w:t>
            </w:r>
          </w:p>
          <w:p w:rsidR="00E95FB1" w:rsidRPr="00C86B34" w:rsidRDefault="00E95FB1" w:rsidP="001B3967">
            <w:pPr>
              <w:pStyle w:val="a7"/>
              <w:ind w:left="0"/>
              <w:rPr>
                <w:sz w:val="22"/>
                <w:lang w:val="uk-UA"/>
              </w:rPr>
            </w:pPr>
            <w:r w:rsidRPr="00C86B34">
              <w:rPr>
                <w:sz w:val="22"/>
                <w:lang w:val="uk-UA"/>
              </w:rPr>
              <w:t xml:space="preserve">- розробка </w:t>
            </w:r>
            <w:proofErr w:type="spellStart"/>
            <w:r w:rsidRPr="00C86B34">
              <w:rPr>
                <w:sz w:val="22"/>
                <w:lang w:val="uk-UA"/>
              </w:rPr>
              <w:t>про</w:t>
            </w:r>
            <w:r w:rsidR="00AC7404" w:rsidRPr="00C86B34">
              <w:rPr>
                <w:sz w:val="22"/>
                <w:lang w:val="uk-UA"/>
              </w:rPr>
              <w:t>є</w:t>
            </w:r>
            <w:r w:rsidRPr="00C86B34">
              <w:rPr>
                <w:sz w:val="22"/>
                <w:lang w:val="uk-UA"/>
              </w:rPr>
              <w:t>ктно</w:t>
            </w:r>
            <w:proofErr w:type="spellEnd"/>
            <w:r w:rsidRPr="00C86B34">
              <w:rPr>
                <w:sz w:val="22"/>
                <w:lang w:val="uk-UA"/>
              </w:rPr>
              <w:t>-кошторисної документації;</w:t>
            </w:r>
          </w:p>
          <w:p w:rsidR="00E95FB1" w:rsidRPr="00C86B34" w:rsidRDefault="00E95FB1" w:rsidP="001B3967">
            <w:pPr>
              <w:pStyle w:val="a7"/>
              <w:ind w:left="0"/>
              <w:rPr>
                <w:sz w:val="22"/>
                <w:lang w:val="uk-UA"/>
              </w:rPr>
            </w:pPr>
            <w:r w:rsidRPr="00C86B34">
              <w:rPr>
                <w:sz w:val="22"/>
                <w:lang w:val="uk-UA"/>
              </w:rPr>
              <w:t>- укладення договору про будівництво із підрядною організацією;</w:t>
            </w:r>
          </w:p>
          <w:p w:rsidR="00E95FB1" w:rsidRPr="00C86B34" w:rsidRDefault="00E95FB1" w:rsidP="001B3967">
            <w:pPr>
              <w:pStyle w:val="a7"/>
              <w:ind w:left="0"/>
              <w:rPr>
                <w:sz w:val="22"/>
                <w:lang w:val="uk-UA"/>
              </w:rPr>
            </w:pPr>
            <w:r w:rsidRPr="00C86B34">
              <w:rPr>
                <w:sz w:val="22"/>
                <w:lang w:val="uk-UA"/>
              </w:rPr>
              <w:t>- організація та початок робочого процесу.</w:t>
            </w:r>
          </w:p>
        </w:tc>
      </w:tr>
      <w:tr w:rsidR="00E95FB1" w:rsidRPr="00C86B34" w:rsidTr="001B3967">
        <w:trPr>
          <w:trHeight w:val="360"/>
        </w:trPr>
        <w:tc>
          <w:tcPr>
            <w:tcW w:w="2694" w:type="dxa"/>
            <w:vMerge w:val="restart"/>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Орієнтовний обсяг та джерела фінансування, тис. грн.</w:t>
            </w:r>
          </w:p>
          <w:p w:rsidR="00E95FB1" w:rsidRPr="00C86B34" w:rsidRDefault="00E95FB1" w:rsidP="001B3967">
            <w:pPr>
              <w:pStyle w:val="a7"/>
              <w:ind w:left="0"/>
              <w:rPr>
                <w:b/>
                <w:sz w:val="22"/>
                <w:lang w:val="uk-UA"/>
              </w:rPr>
            </w:pPr>
          </w:p>
          <w:p w:rsidR="00E95FB1" w:rsidRPr="00C86B34" w:rsidRDefault="00E95FB1" w:rsidP="001B3967">
            <w:pPr>
              <w:pStyle w:val="a7"/>
              <w:ind w:left="0"/>
              <w:rPr>
                <w:b/>
                <w:sz w:val="22"/>
                <w:lang w:val="uk-UA"/>
              </w:rPr>
            </w:pPr>
            <w:r w:rsidRPr="00C86B34">
              <w:rPr>
                <w:b/>
                <w:sz w:val="22"/>
                <w:lang w:val="uk-UA"/>
              </w:rPr>
              <w:t xml:space="preserve"> </w:t>
            </w:r>
          </w:p>
          <w:tbl>
            <w:tblPr>
              <w:tblStyle w:val="af"/>
              <w:tblW w:w="0" w:type="auto"/>
              <w:tblLayout w:type="fixed"/>
              <w:tblLook w:val="04A0" w:firstRow="1" w:lastRow="0" w:firstColumn="1" w:lastColumn="0" w:noHBand="0" w:noVBand="1"/>
            </w:tblPr>
            <w:tblGrid>
              <w:gridCol w:w="3302"/>
              <w:gridCol w:w="3303"/>
            </w:tblGrid>
            <w:tr w:rsidR="00E95FB1" w:rsidRPr="00C86B34" w:rsidTr="001B3967">
              <w:tc>
                <w:tcPr>
                  <w:tcW w:w="3302" w:type="dxa"/>
                </w:tcPr>
                <w:p w:rsidR="00E95FB1" w:rsidRPr="00C86B34" w:rsidRDefault="00E95FB1" w:rsidP="001B3967">
                  <w:pPr>
                    <w:rPr>
                      <w:color w:val="000000"/>
                      <w:sz w:val="22"/>
                      <w:lang w:val="uk-UA"/>
                    </w:rPr>
                  </w:pPr>
                  <w:r w:rsidRPr="00C86B34">
                    <w:rPr>
                      <w:color w:val="000000"/>
                      <w:sz w:val="22"/>
                      <w:lang w:val="uk-UA"/>
                    </w:rPr>
                    <w:t>Сєвєродонецьк</w:t>
                  </w:r>
                </w:p>
              </w:tc>
              <w:tc>
                <w:tcPr>
                  <w:tcW w:w="3303" w:type="dxa"/>
                </w:tcPr>
                <w:p w:rsidR="00E95FB1" w:rsidRPr="00C86B34" w:rsidRDefault="00E95FB1" w:rsidP="001B3967">
                  <w:pPr>
                    <w:rPr>
                      <w:color w:val="000000"/>
                      <w:sz w:val="22"/>
                      <w:lang w:val="uk-UA"/>
                    </w:rPr>
                  </w:pPr>
                  <w:proofErr w:type="spellStart"/>
                  <w:r w:rsidRPr="00C86B34">
                    <w:rPr>
                      <w:color w:val="000000"/>
                      <w:sz w:val="22"/>
                      <w:lang w:val="uk-UA"/>
                    </w:rPr>
                    <w:t>просп</w:t>
                  </w:r>
                  <w:proofErr w:type="spellEnd"/>
                  <w:r w:rsidRPr="00C86B34">
                    <w:rPr>
                      <w:color w:val="000000"/>
                      <w:sz w:val="22"/>
                      <w:lang w:val="uk-UA"/>
                    </w:rPr>
                    <w:t>. Хіміків, буд. 28</w:t>
                  </w:r>
                </w:p>
              </w:tc>
            </w:tr>
            <w:tr w:rsidR="00E95FB1" w:rsidRPr="00C86B34" w:rsidTr="001B3967">
              <w:tc>
                <w:tcPr>
                  <w:tcW w:w="3302" w:type="dxa"/>
                </w:tcPr>
                <w:p w:rsidR="00E95FB1" w:rsidRPr="00C86B34" w:rsidRDefault="00E95FB1" w:rsidP="001B3967">
                  <w:pPr>
                    <w:rPr>
                      <w:color w:val="000000"/>
                      <w:sz w:val="22"/>
                      <w:lang w:val="uk-UA"/>
                    </w:rPr>
                  </w:pPr>
                  <w:r w:rsidRPr="00C86B34">
                    <w:rPr>
                      <w:color w:val="000000"/>
                      <w:sz w:val="22"/>
                      <w:lang w:val="uk-UA"/>
                    </w:rPr>
                    <w:t>Борівське</w:t>
                  </w:r>
                </w:p>
              </w:tc>
              <w:tc>
                <w:tcPr>
                  <w:tcW w:w="3303" w:type="dxa"/>
                </w:tcPr>
                <w:p w:rsidR="00E95FB1" w:rsidRPr="00C86B34" w:rsidRDefault="00E95FB1" w:rsidP="001B3967">
                  <w:pPr>
                    <w:rPr>
                      <w:color w:val="000000"/>
                      <w:sz w:val="22"/>
                      <w:lang w:val="uk-UA"/>
                    </w:rPr>
                  </w:pPr>
                  <w:r w:rsidRPr="00C86B34">
                    <w:rPr>
                      <w:color w:val="000000"/>
                      <w:sz w:val="22"/>
                      <w:lang w:val="uk-UA"/>
                    </w:rPr>
                    <w:t>вул. Червона, буд. 11</w:t>
                  </w:r>
                </w:p>
              </w:tc>
            </w:tr>
            <w:tr w:rsidR="00E95FB1" w:rsidRPr="00C86B34" w:rsidTr="001B3967">
              <w:tc>
                <w:tcPr>
                  <w:tcW w:w="3302" w:type="dxa"/>
                </w:tcPr>
                <w:p w:rsidR="00E95FB1" w:rsidRPr="00C86B34" w:rsidRDefault="00E95FB1" w:rsidP="001B3967">
                  <w:pPr>
                    <w:rPr>
                      <w:color w:val="000000"/>
                      <w:sz w:val="22"/>
                      <w:lang w:val="uk-UA"/>
                    </w:rPr>
                  </w:pPr>
                  <w:proofErr w:type="spellStart"/>
                  <w:r w:rsidRPr="00C86B34">
                    <w:rPr>
                      <w:color w:val="000000"/>
                      <w:sz w:val="22"/>
                      <w:lang w:val="uk-UA"/>
                    </w:rPr>
                    <w:t>Сиротіне</w:t>
                  </w:r>
                  <w:proofErr w:type="spellEnd"/>
                </w:p>
              </w:tc>
              <w:tc>
                <w:tcPr>
                  <w:tcW w:w="3303" w:type="dxa"/>
                </w:tcPr>
                <w:p w:rsidR="00E95FB1" w:rsidRPr="00C86B34" w:rsidRDefault="00E95FB1" w:rsidP="001B3967">
                  <w:pPr>
                    <w:rPr>
                      <w:color w:val="000000"/>
                      <w:sz w:val="22"/>
                      <w:lang w:val="uk-UA"/>
                    </w:rPr>
                  </w:pPr>
                  <w:r w:rsidRPr="00C86B34">
                    <w:rPr>
                      <w:color w:val="000000"/>
                      <w:sz w:val="22"/>
                      <w:lang w:val="uk-UA"/>
                    </w:rPr>
                    <w:t>вул. Шкільна,  буд. 34</w:t>
                  </w:r>
                </w:p>
              </w:tc>
            </w:tr>
            <w:tr w:rsidR="00E95FB1" w:rsidRPr="00C86B34" w:rsidTr="001B3967">
              <w:tc>
                <w:tcPr>
                  <w:tcW w:w="3302" w:type="dxa"/>
                </w:tcPr>
                <w:p w:rsidR="00E95FB1" w:rsidRPr="00C86B34" w:rsidRDefault="00E95FB1" w:rsidP="001B3967">
                  <w:pPr>
                    <w:rPr>
                      <w:color w:val="000000"/>
                      <w:sz w:val="22"/>
                      <w:lang w:val="uk-UA"/>
                    </w:rPr>
                  </w:pPr>
                  <w:r w:rsidRPr="00C86B34">
                    <w:rPr>
                      <w:color w:val="000000"/>
                      <w:sz w:val="22"/>
                      <w:lang w:val="uk-UA"/>
                    </w:rPr>
                    <w:t>Нова Астрахань</w:t>
                  </w:r>
                </w:p>
              </w:tc>
              <w:tc>
                <w:tcPr>
                  <w:tcW w:w="3303" w:type="dxa"/>
                </w:tcPr>
                <w:p w:rsidR="00E95FB1" w:rsidRPr="00C86B34" w:rsidRDefault="00E95FB1" w:rsidP="001B3967">
                  <w:pPr>
                    <w:rPr>
                      <w:color w:val="000000"/>
                      <w:sz w:val="22"/>
                      <w:lang w:val="uk-UA"/>
                    </w:rPr>
                  </w:pPr>
                  <w:r w:rsidRPr="00C86B34">
                    <w:rPr>
                      <w:color w:val="000000"/>
                      <w:sz w:val="22"/>
                      <w:lang w:val="uk-UA"/>
                    </w:rPr>
                    <w:t>вул. Центральна,  буд. 53</w:t>
                  </w:r>
                </w:p>
              </w:tc>
            </w:tr>
            <w:tr w:rsidR="00E95FB1" w:rsidRPr="00C86B34" w:rsidTr="001B3967">
              <w:tc>
                <w:tcPr>
                  <w:tcW w:w="3302" w:type="dxa"/>
                </w:tcPr>
                <w:p w:rsidR="00E95FB1" w:rsidRPr="00C86B34" w:rsidRDefault="00E95FB1" w:rsidP="001B3967">
                  <w:pPr>
                    <w:rPr>
                      <w:color w:val="000000"/>
                      <w:sz w:val="22"/>
                      <w:lang w:val="uk-UA"/>
                    </w:rPr>
                  </w:pPr>
                  <w:proofErr w:type="spellStart"/>
                  <w:r w:rsidRPr="00C86B34">
                    <w:rPr>
                      <w:color w:val="000000"/>
                      <w:sz w:val="22"/>
                      <w:lang w:val="uk-UA"/>
                    </w:rPr>
                    <w:t>Єпіфанівка</w:t>
                  </w:r>
                  <w:proofErr w:type="spellEnd"/>
                </w:p>
              </w:tc>
              <w:tc>
                <w:tcPr>
                  <w:tcW w:w="3303" w:type="dxa"/>
                </w:tcPr>
                <w:p w:rsidR="00E95FB1" w:rsidRPr="00C86B34" w:rsidRDefault="00E95FB1" w:rsidP="001B3967">
                  <w:pPr>
                    <w:rPr>
                      <w:color w:val="000000"/>
                      <w:sz w:val="22"/>
                      <w:lang w:val="uk-UA"/>
                    </w:rPr>
                  </w:pPr>
                  <w:r w:rsidRPr="00C86B34">
                    <w:rPr>
                      <w:color w:val="000000"/>
                      <w:sz w:val="22"/>
                      <w:lang w:val="uk-UA"/>
                    </w:rPr>
                    <w:t>вул. Жданова,  буд. 74</w:t>
                  </w:r>
                </w:p>
              </w:tc>
            </w:tr>
            <w:tr w:rsidR="00E95FB1" w:rsidRPr="00C86B34" w:rsidTr="001B3967">
              <w:tc>
                <w:tcPr>
                  <w:tcW w:w="3302" w:type="dxa"/>
                </w:tcPr>
                <w:p w:rsidR="00E95FB1" w:rsidRPr="00C86B34" w:rsidRDefault="00E95FB1" w:rsidP="001B3967">
                  <w:pPr>
                    <w:rPr>
                      <w:color w:val="000000"/>
                      <w:sz w:val="22"/>
                      <w:lang w:val="uk-UA"/>
                    </w:rPr>
                  </w:pPr>
                  <w:proofErr w:type="spellStart"/>
                  <w:r w:rsidRPr="00C86B34">
                    <w:rPr>
                      <w:color w:val="000000"/>
                      <w:sz w:val="22"/>
                      <w:lang w:val="uk-UA"/>
                    </w:rPr>
                    <w:t>Боровеньки</w:t>
                  </w:r>
                  <w:proofErr w:type="spellEnd"/>
                </w:p>
              </w:tc>
              <w:tc>
                <w:tcPr>
                  <w:tcW w:w="3303" w:type="dxa"/>
                </w:tcPr>
                <w:p w:rsidR="00E95FB1" w:rsidRPr="00C86B34" w:rsidRDefault="00E95FB1" w:rsidP="001B3967">
                  <w:pPr>
                    <w:rPr>
                      <w:color w:val="000000"/>
                      <w:sz w:val="22"/>
                      <w:lang w:val="uk-UA"/>
                    </w:rPr>
                  </w:pPr>
                  <w:r w:rsidRPr="00C86B34">
                    <w:rPr>
                      <w:color w:val="000000"/>
                      <w:sz w:val="22"/>
                      <w:lang w:val="uk-UA"/>
                    </w:rPr>
                    <w:t xml:space="preserve">вул. </w:t>
                  </w:r>
                  <w:proofErr w:type="spellStart"/>
                  <w:r w:rsidRPr="00C86B34">
                    <w:rPr>
                      <w:color w:val="000000"/>
                      <w:sz w:val="22"/>
                      <w:lang w:val="uk-UA"/>
                    </w:rPr>
                    <w:t>Пісчана</w:t>
                  </w:r>
                  <w:proofErr w:type="spellEnd"/>
                  <w:r w:rsidRPr="00C86B34">
                    <w:rPr>
                      <w:color w:val="000000"/>
                      <w:sz w:val="22"/>
                      <w:lang w:val="uk-UA"/>
                    </w:rPr>
                    <w:t>,  буд. 1 А</w:t>
                  </w:r>
                </w:p>
              </w:tc>
            </w:tr>
          </w:tbl>
          <w:p w:rsidR="00E95FB1" w:rsidRPr="00C86B34" w:rsidRDefault="00E95FB1" w:rsidP="001B3967">
            <w:pPr>
              <w:pStyle w:val="a7"/>
              <w:ind w:left="0"/>
              <w:rPr>
                <w:b/>
                <w:sz w:val="22"/>
                <w:lang w:val="uk-UA"/>
              </w:rPr>
            </w:pPr>
          </w:p>
        </w:tc>
        <w:tc>
          <w:tcPr>
            <w:tcW w:w="2205" w:type="dxa"/>
            <w:tcBorders>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Державний бюджет</w:t>
            </w:r>
          </w:p>
        </w:tc>
        <w:tc>
          <w:tcPr>
            <w:tcW w:w="1257" w:type="dxa"/>
            <w:tcBorders>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Місцевий бюджет</w:t>
            </w:r>
          </w:p>
          <w:p w:rsidR="00E95FB1" w:rsidRPr="00C86B34" w:rsidRDefault="00E95FB1" w:rsidP="001B3967">
            <w:pPr>
              <w:pStyle w:val="a7"/>
              <w:ind w:left="0"/>
              <w:jc w:val="center"/>
              <w:rPr>
                <w:b/>
                <w:sz w:val="22"/>
                <w:lang w:val="uk-UA"/>
              </w:rPr>
            </w:pPr>
            <w:proofErr w:type="spellStart"/>
            <w:r w:rsidRPr="00C86B34">
              <w:rPr>
                <w:b/>
                <w:sz w:val="22"/>
                <w:lang w:val="uk-UA"/>
              </w:rPr>
              <w:t>тис.грн</w:t>
            </w:r>
            <w:proofErr w:type="spellEnd"/>
          </w:p>
        </w:tc>
        <w:tc>
          <w:tcPr>
            <w:tcW w:w="2412" w:type="dxa"/>
            <w:gridSpan w:val="4"/>
            <w:tcBorders>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Інші джерела</w:t>
            </w:r>
          </w:p>
          <w:p w:rsidR="00E95FB1" w:rsidRPr="00C86B34" w:rsidRDefault="00E95FB1" w:rsidP="001B3967">
            <w:pPr>
              <w:pStyle w:val="a7"/>
              <w:ind w:left="0"/>
              <w:jc w:val="center"/>
              <w:rPr>
                <w:b/>
                <w:sz w:val="22"/>
                <w:lang w:val="uk-UA"/>
              </w:rPr>
            </w:pPr>
            <w:proofErr w:type="spellStart"/>
            <w:r w:rsidRPr="00C86B34">
              <w:rPr>
                <w:b/>
                <w:sz w:val="22"/>
                <w:lang w:val="uk-UA"/>
              </w:rPr>
              <w:t>тис.грн</w:t>
            </w:r>
            <w:proofErr w:type="spellEnd"/>
          </w:p>
        </w:tc>
        <w:tc>
          <w:tcPr>
            <w:tcW w:w="1320" w:type="dxa"/>
            <w:tcBorders>
              <w:left w:val="single" w:sz="4" w:space="0" w:color="auto"/>
              <w:bottom w:val="single" w:sz="4" w:space="0" w:color="auto"/>
            </w:tcBorders>
          </w:tcPr>
          <w:p w:rsidR="00E95FB1" w:rsidRPr="00C86B34" w:rsidRDefault="00E95FB1" w:rsidP="001B3967">
            <w:pPr>
              <w:pStyle w:val="a7"/>
              <w:ind w:left="0"/>
              <w:jc w:val="center"/>
              <w:rPr>
                <w:b/>
                <w:sz w:val="22"/>
                <w:lang w:val="uk-UA"/>
              </w:rPr>
            </w:pPr>
            <w:r w:rsidRPr="00C86B34">
              <w:rPr>
                <w:b/>
                <w:sz w:val="22"/>
                <w:lang w:val="uk-UA"/>
              </w:rPr>
              <w:t>Всього</w:t>
            </w:r>
          </w:p>
          <w:p w:rsidR="00E95FB1" w:rsidRPr="00C86B34" w:rsidRDefault="00E95FB1" w:rsidP="001B3967">
            <w:pPr>
              <w:pStyle w:val="a7"/>
              <w:ind w:left="0"/>
              <w:jc w:val="center"/>
              <w:rPr>
                <w:b/>
                <w:sz w:val="22"/>
                <w:lang w:val="uk-UA"/>
              </w:rPr>
            </w:pPr>
            <w:proofErr w:type="spellStart"/>
            <w:r w:rsidRPr="00C86B34">
              <w:rPr>
                <w:b/>
                <w:sz w:val="22"/>
                <w:lang w:val="uk-UA"/>
              </w:rPr>
              <w:t>тис.грн</w:t>
            </w:r>
            <w:proofErr w:type="spellEnd"/>
          </w:p>
        </w:tc>
      </w:tr>
      <w:tr w:rsidR="00E95FB1" w:rsidRPr="00C86B34" w:rsidTr="001B3967">
        <w:trPr>
          <w:trHeight w:val="22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2205" w:type="dxa"/>
            <w:vMerge w:val="restart"/>
            <w:tcBorders>
              <w:top w:val="single" w:sz="4" w:space="0" w:color="auto"/>
              <w:right w:val="single" w:sz="4" w:space="0" w:color="auto"/>
            </w:tcBorders>
          </w:tcPr>
          <w:p w:rsidR="00E95FB1" w:rsidRPr="00C86B34" w:rsidRDefault="00E95FB1" w:rsidP="001B3967">
            <w:pPr>
              <w:pStyle w:val="a7"/>
              <w:ind w:left="0"/>
              <w:jc w:val="center"/>
              <w:rPr>
                <w:sz w:val="22"/>
                <w:lang w:val="uk-UA"/>
              </w:rPr>
            </w:pPr>
          </w:p>
          <w:p w:rsidR="00E95FB1" w:rsidRPr="00C86B34" w:rsidRDefault="00E95FB1" w:rsidP="001B3967">
            <w:pPr>
              <w:pStyle w:val="a7"/>
              <w:ind w:left="0"/>
              <w:jc w:val="center"/>
              <w:rPr>
                <w:sz w:val="22"/>
                <w:lang w:val="uk-UA"/>
              </w:rPr>
            </w:pPr>
          </w:p>
          <w:p w:rsidR="00E95FB1" w:rsidRPr="00C86B34" w:rsidRDefault="00E95FB1" w:rsidP="001B3967">
            <w:pPr>
              <w:pStyle w:val="a7"/>
              <w:ind w:left="0"/>
              <w:jc w:val="center"/>
              <w:rPr>
                <w:sz w:val="22"/>
                <w:lang w:val="uk-UA"/>
              </w:rPr>
            </w:pPr>
            <w:r w:rsidRPr="00C86B34">
              <w:rPr>
                <w:sz w:val="22"/>
                <w:lang w:val="uk-UA"/>
              </w:rPr>
              <w:t>825 000,0</w:t>
            </w:r>
          </w:p>
          <w:p w:rsidR="00E95FB1" w:rsidRPr="00C86B34" w:rsidRDefault="00E95FB1" w:rsidP="001B3967">
            <w:pPr>
              <w:pStyle w:val="a7"/>
              <w:ind w:left="0"/>
              <w:jc w:val="center"/>
              <w:rPr>
                <w:sz w:val="22"/>
                <w:lang w:val="uk-UA"/>
              </w:rPr>
            </w:pPr>
            <w:r w:rsidRPr="00C86B34">
              <w:rPr>
                <w:sz w:val="22"/>
                <w:lang w:val="uk-UA"/>
              </w:rPr>
              <w:t>496000,00</w:t>
            </w:r>
          </w:p>
          <w:p w:rsidR="00E95FB1" w:rsidRPr="00C86B34" w:rsidRDefault="00E95FB1" w:rsidP="001B3967">
            <w:pPr>
              <w:pStyle w:val="a7"/>
              <w:ind w:left="0"/>
              <w:jc w:val="center"/>
              <w:rPr>
                <w:sz w:val="22"/>
                <w:lang w:val="uk-UA"/>
              </w:rPr>
            </w:pPr>
            <w:r w:rsidRPr="00C86B34">
              <w:rPr>
                <w:sz w:val="22"/>
                <w:lang w:val="uk-UA"/>
              </w:rPr>
              <w:t>93000,00</w:t>
            </w:r>
          </w:p>
          <w:p w:rsidR="00E95FB1" w:rsidRPr="00C86B34" w:rsidRDefault="00E95FB1" w:rsidP="001B3967">
            <w:pPr>
              <w:pStyle w:val="a7"/>
              <w:ind w:left="0"/>
              <w:jc w:val="center"/>
              <w:rPr>
                <w:sz w:val="22"/>
                <w:lang w:val="uk-UA"/>
              </w:rPr>
            </w:pPr>
            <w:r w:rsidRPr="00C86B34">
              <w:rPr>
                <w:sz w:val="22"/>
                <w:lang w:val="uk-UA"/>
              </w:rPr>
              <w:t>25000,00</w:t>
            </w:r>
          </w:p>
          <w:p w:rsidR="00E95FB1" w:rsidRPr="00C86B34" w:rsidRDefault="00E95FB1" w:rsidP="001B3967">
            <w:pPr>
              <w:pStyle w:val="a7"/>
              <w:ind w:left="0"/>
              <w:jc w:val="center"/>
              <w:rPr>
                <w:sz w:val="22"/>
                <w:lang w:val="uk-UA"/>
              </w:rPr>
            </w:pPr>
            <w:r w:rsidRPr="00C86B34">
              <w:rPr>
                <w:sz w:val="22"/>
                <w:lang w:val="uk-UA"/>
              </w:rPr>
              <w:t>93000,00</w:t>
            </w:r>
          </w:p>
          <w:p w:rsidR="00E95FB1" w:rsidRPr="00C86B34" w:rsidRDefault="00E95FB1" w:rsidP="001B3967">
            <w:pPr>
              <w:pStyle w:val="a7"/>
              <w:ind w:left="0"/>
              <w:jc w:val="center"/>
              <w:rPr>
                <w:sz w:val="22"/>
                <w:lang w:val="uk-UA"/>
              </w:rPr>
            </w:pPr>
            <w:r w:rsidRPr="00C86B34">
              <w:rPr>
                <w:sz w:val="22"/>
                <w:lang w:val="uk-UA"/>
              </w:rPr>
              <w:t>25000,00</w:t>
            </w:r>
          </w:p>
          <w:p w:rsidR="00E95FB1" w:rsidRPr="00C86B34" w:rsidRDefault="00E95FB1" w:rsidP="001B3967">
            <w:pPr>
              <w:pStyle w:val="a7"/>
              <w:ind w:left="0"/>
              <w:jc w:val="center"/>
              <w:rPr>
                <w:sz w:val="22"/>
                <w:lang w:val="uk-UA"/>
              </w:rPr>
            </w:pPr>
            <w:r w:rsidRPr="00C86B34">
              <w:rPr>
                <w:sz w:val="22"/>
                <w:lang w:val="uk-UA"/>
              </w:rPr>
              <w:t>93000,00</w:t>
            </w:r>
          </w:p>
        </w:tc>
        <w:tc>
          <w:tcPr>
            <w:tcW w:w="1257" w:type="dxa"/>
            <w:vMerge w:val="restart"/>
            <w:tcBorders>
              <w:top w:val="single" w:sz="4" w:space="0" w:color="auto"/>
              <w:right w:val="single" w:sz="4" w:space="0" w:color="auto"/>
            </w:tcBorders>
          </w:tcPr>
          <w:p w:rsidR="00E95FB1" w:rsidRPr="00C86B34" w:rsidRDefault="00E95FB1" w:rsidP="001B3967">
            <w:pPr>
              <w:pStyle w:val="a7"/>
              <w:ind w:left="0"/>
              <w:jc w:val="center"/>
              <w:rPr>
                <w:sz w:val="22"/>
                <w:lang w:val="uk-UA"/>
              </w:rPr>
            </w:pPr>
            <w:proofErr w:type="spellStart"/>
            <w:r w:rsidRPr="00C86B34">
              <w:rPr>
                <w:sz w:val="22"/>
                <w:lang w:val="uk-UA"/>
              </w:rPr>
              <w:t>Проєкти</w:t>
            </w:r>
            <w:proofErr w:type="spellEnd"/>
          </w:p>
          <w:p w:rsidR="00E95FB1" w:rsidRPr="00C86B34" w:rsidRDefault="00E95FB1" w:rsidP="001B3967">
            <w:pPr>
              <w:pStyle w:val="a7"/>
              <w:ind w:left="0"/>
              <w:jc w:val="center"/>
              <w:rPr>
                <w:sz w:val="22"/>
                <w:lang w:val="uk-UA"/>
              </w:rPr>
            </w:pPr>
            <w:r w:rsidRPr="00C86B34">
              <w:rPr>
                <w:sz w:val="22"/>
                <w:lang w:val="uk-UA"/>
              </w:rPr>
              <w:t>10500,00</w:t>
            </w:r>
          </w:p>
          <w:p w:rsidR="00E95FB1" w:rsidRPr="00C86B34" w:rsidRDefault="00E95FB1" w:rsidP="001B3967">
            <w:pPr>
              <w:pStyle w:val="a7"/>
              <w:ind w:left="0"/>
              <w:jc w:val="center"/>
              <w:rPr>
                <w:color w:val="202124"/>
                <w:sz w:val="22"/>
                <w:shd w:val="clear" w:color="auto" w:fill="FFFFFF"/>
                <w:lang w:val="uk-UA"/>
              </w:rPr>
            </w:pPr>
            <w:r w:rsidRPr="00C86B34">
              <w:rPr>
                <w:color w:val="202124"/>
                <w:sz w:val="22"/>
                <w:shd w:val="clear" w:color="auto" w:fill="FFFFFF"/>
                <w:lang w:val="uk-UA"/>
              </w:rPr>
              <w:t>4 000,00</w:t>
            </w:r>
          </w:p>
          <w:p w:rsidR="00E95FB1" w:rsidRPr="00C86B34" w:rsidRDefault="00E95FB1" w:rsidP="001B3967">
            <w:pPr>
              <w:pStyle w:val="a7"/>
              <w:ind w:left="0"/>
              <w:jc w:val="center"/>
              <w:rPr>
                <w:sz w:val="22"/>
                <w:lang w:val="uk-UA"/>
              </w:rPr>
            </w:pPr>
            <w:r w:rsidRPr="00C86B34">
              <w:rPr>
                <w:sz w:val="22"/>
                <w:lang w:val="uk-UA"/>
              </w:rPr>
              <w:t>1500,00</w:t>
            </w:r>
          </w:p>
          <w:p w:rsidR="00E95FB1" w:rsidRPr="00C86B34" w:rsidRDefault="00E95FB1" w:rsidP="001B3967">
            <w:pPr>
              <w:pStyle w:val="a7"/>
              <w:ind w:left="0"/>
              <w:jc w:val="center"/>
              <w:rPr>
                <w:sz w:val="22"/>
                <w:lang w:val="uk-UA"/>
              </w:rPr>
            </w:pPr>
            <w:r w:rsidRPr="00C86B34">
              <w:rPr>
                <w:sz w:val="22"/>
                <w:lang w:val="uk-UA"/>
              </w:rPr>
              <w:t>1000,00</w:t>
            </w:r>
          </w:p>
          <w:p w:rsidR="00E95FB1" w:rsidRPr="00C86B34" w:rsidRDefault="00E95FB1" w:rsidP="001B3967">
            <w:pPr>
              <w:pStyle w:val="a7"/>
              <w:ind w:left="0"/>
              <w:jc w:val="center"/>
              <w:rPr>
                <w:sz w:val="22"/>
                <w:lang w:val="uk-UA"/>
              </w:rPr>
            </w:pPr>
            <w:r w:rsidRPr="00C86B34">
              <w:rPr>
                <w:sz w:val="22"/>
                <w:lang w:val="uk-UA"/>
              </w:rPr>
              <w:t>1500,00</w:t>
            </w:r>
          </w:p>
          <w:p w:rsidR="00E95FB1" w:rsidRPr="00C86B34" w:rsidRDefault="00E95FB1" w:rsidP="001B3967">
            <w:pPr>
              <w:pStyle w:val="a7"/>
              <w:ind w:left="0"/>
              <w:jc w:val="center"/>
              <w:rPr>
                <w:sz w:val="22"/>
                <w:lang w:val="uk-UA"/>
              </w:rPr>
            </w:pPr>
            <w:r w:rsidRPr="00C86B34">
              <w:rPr>
                <w:sz w:val="22"/>
                <w:lang w:val="uk-UA"/>
              </w:rPr>
              <w:t>1000,00</w:t>
            </w:r>
          </w:p>
          <w:p w:rsidR="00E95FB1" w:rsidRPr="00C86B34" w:rsidRDefault="00E95FB1" w:rsidP="001B3967">
            <w:pPr>
              <w:pStyle w:val="a7"/>
              <w:ind w:left="0"/>
              <w:jc w:val="center"/>
              <w:rPr>
                <w:sz w:val="22"/>
                <w:lang w:val="uk-UA"/>
              </w:rPr>
            </w:pPr>
            <w:r w:rsidRPr="00C86B34">
              <w:rPr>
                <w:sz w:val="22"/>
                <w:lang w:val="uk-UA"/>
              </w:rPr>
              <w:t>1500,00</w:t>
            </w:r>
          </w:p>
          <w:p w:rsidR="00E95FB1" w:rsidRPr="00C86B34" w:rsidRDefault="00E95FB1" w:rsidP="001B3967">
            <w:pPr>
              <w:pStyle w:val="a7"/>
              <w:ind w:left="0"/>
              <w:rPr>
                <w:sz w:val="22"/>
                <w:lang w:val="uk-UA"/>
              </w:rPr>
            </w:pPr>
          </w:p>
        </w:tc>
        <w:tc>
          <w:tcPr>
            <w:tcW w:w="959" w:type="dxa"/>
            <w:gridSpan w:val="2"/>
            <w:tcBorders>
              <w:top w:val="single" w:sz="4" w:space="0" w:color="auto"/>
              <w:left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Обсяг</w:t>
            </w:r>
          </w:p>
          <w:p w:rsidR="00E95FB1" w:rsidRPr="00C86B34" w:rsidRDefault="00E95FB1" w:rsidP="001B3967">
            <w:pPr>
              <w:pStyle w:val="a7"/>
              <w:ind w:left="0"/>
              <w:jc w:val="center"/>
              <w:rPr>
                <w:sz w:val="22"/>
                <w:lang w:val="uk-UA"/>
              </w:rPr>
            </w:pPr>
            <w:proofErr w:type="spellStart"/>
            <w:r w:rsidRPr="00C86B34">
              <w:rPr>
                <w:sz w:val="22"/>
                <w:lang w:val="uk-UA"/>
              </w:rPr>
              <w:t>тис.грн</w:t>
            </w:r>
            <w:proofErr w:type="spellEnd"/>
          </w:p>
        </w:tc>
        <w:tc>
          <w:tcPr>
            <w:tcW w:w="1453" w:type="dxa"/>
            <w:gridSpan w:val="2"/>
            <w:tcBorders>
              <w:top w:val="single" w:sz="4" w:space="0" w:color="auto"/>
              <w:left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Назва джерела</w:t>
            </w:r>
          </w:p>
        </w:tc>
        <w:tc>
          <w:tcPr>
            <w:tcW w:w="1320" w:type="dxa"/>
            <w:vMerge w:val="restart"/>
            <w:tcBorders>
              <w:top w:val="single" w:sz="4" w:space="0" w:color="auto"/>
              <w:left w:val="single" w:sz="4" w:space="0" w:color="auto"/>
            </w:tcBorders>
          </w:tcPr>
          <w:p w:rsidR="00E95FB1" w:rsidRPr="00C86B34" w:rsidRDefault="00E95FB1" w:rsidP="001B3967">
            <w:pPr>
              <w:pStyle w:val="a7"/>
              <w:ind w:left="0"/>
              <w:jc w:val="center"/>
              <w:rPr>
                <w:sz w:val="22"/>
                <w:lang w:val="uk-UA"/>
              </w:rPr>
            </w:pPr>
            <w:r w:rsidRPr="00C86B34">
              <w:rPr>
                <w:sz w:val="22"/>
                <w:lang w:val="uk-UA"/>
              </w:rPr>
              <w:t>835 500,00</w:t>
            </w:r>
          </w:p>
        </w:tc>
      </w:tr>
      <w:tr w:rsidR="00E95FB1" w:rsidRPr="00C86B34" w:rsidTr="001B3967">
        <w:trPr>
          <w:trHeight w:val="300"/>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2205" w:type="dxa"/>
            <w:vMerge/>
            <w:tcBorders>
              <w:right w:val="single" w:sz="4" w:space="0" w:color="auto"/>
            </w:tcBorders>
          </w:tcPr>
          <w:p w:rsidR="00E95FB1" w:rsidRPr="00C86B34" w:rsidRDefault="00E95FB1" w:rsidP="001B3967">
            <w:pPr>
              <w:pStyle w:val="a7"/>
              <w:ind w:left="0"/>
              <w:jc w:val="center"/>
              <w:rPr>
                <w:sz w:val="22"/>
                <w:lang w:val="uk-UA"/>
              </w:rPr>
            </w:pPr>
          </w:p>
        </w:tc>
        <w:tc>
          <w:tcPr>
            <w:tcW w:w="1257" w:type="dxa"/>
            <w:vMerge/>
            <w:tcBorders>
              <w:right w:val="single" w:sz="4" w:space="0" w:color="auto"/>
            </w:tcBorders>
          </w:tcPr>
          <w:p w:rsidR="00E95FB1" w:rsidRPr="00C86B34" w:rsidRDefault="00E95FB1" w:rsidP="001B3967">
            <w:pPr>
              <w:pStyle w:val="a7"/>
              <w:ind w:left="0"/>
              <w:jc w:val="center"/>
              <w:rPr>
                <w:b/>
                <w:sz w:val="22"/>
                <w:lang w:val="uk-UA"/>
              </w:rPr>
            </w:pPr>
          </w:p>
        </w:tc>
        <w:tc>
          <w:tcPr>
            <w:tcW w:w="959" w:type="dxa"/>
            <w:gridSpan w:val="2"/>
            <w:tcBorders>
              <w:top w:val="single" w:sz="4" w:space="0" w:color="auto"/>
              <w:left w:val="single" w:sz="4" w:space="0" w:color="auto"/>
              <w:right w:val="single" w:sz="4" w:space="0" w:color="auto"/>
            </w:tcBorders>
          </w:tcPr>
          <w:p w:rsidR="00E95FB1" w:rsidRPr="00C86B34" w:rsidRDefault="00E95FB1" w:rsidP="001B3967">
            <w:pPr>
              <w:pStyle w:val="a7"/>
              <w:ind w:left="0"/>
              <w:jc w:val="center"/>
              <w:rPr>
                <w:sz w:val="22"/>
                <w:lang w:val="uk-UA"/>
              </w:rPr>
            </w:pPr>
          </w:p>
        </w:tc>
        <w:tc>
          <w:tcPr>
            <w:tcW w:w="1453" w:type="dxa"/>
            <w:gridSpan w:val="2"/>
            <w:tcBorders>
              <w:top w:val="single" w:sz="4" w:space="0" w:color="auto"/>
              <w:left w:val="single" w:sz="4" w:space="0" w:color="auto"/>
              <w:right w:val="single" w:sz="4" w:space="0" w:color="auto"/>
            </w:tcBorders>
          </w:tcPr>
          <w:p w:rsidR="00E95FB1" w:rsidRPr="00C86B34" w:rsidRDefault="00E95FB1" w:rsidP="001B3967">
            <w:pPr>
              <w:pStyle w:val="a7"/>
              <w:ind w:left="0"/>
              <w:jc w:val="center"/>
              <w:rPr>
                <w:sz w:val="22"/>
                <w:lang w:val="uk-UA"/>
              </w:rPr>
            </w:pPr>
          </w:p>
        </w:tc>
        <w:tc>
          <w:tcPr>
            <w:tcW w:w="1320" w:type="dxa"/>
            <w:vMerge/>
            <w:tcBorders>
              <w:left w:val="single" w:sz="4" w:space="0" w:color="auto"/>
            </w:tcBorders>
          </w:tcPr>
          <w:p w:rsidR="00E95FB1" w:rsidRPr="00C86B34" w:rsidRDefault="00E95FB1" w:rsidP="001B3967">
            <w:pPr>
              <w:pStyle w:val="a7"/>
              <w:ind w:left="0"/>
              <w:jc w:val="center"/>
              <w:rPr>
                <w:sz w:val="22"/>
                <w:lang w:val="uk-UA"/>
              </w:rPr>
            </w:pPr>
          </w:p>
        </w:tc>
      </w:tr>
    </w:tbl>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tbl>
      <w:tblPr>
        <w:tblStyle w:val="af"/>
        <w:tblW w:w="0" w:type="auto"/>
        <w:tblInd w:w="-176" w:type="dxa"/>
        <w:tblLook w:val="04A0" w:firstRow="1" w:lastRow="0" w:firstColumn="1" w:lastColumn="0" w:noHBand="0" w:noVBand="1"/>
      </w:tblPr>
      <w:tblGrid>
        <w:gridCol w:w="2595"/>
        <w:gridCol w:w="1933"/>
        <w:gridCol w:w="1362"/>
        <w:gridCol w:w="409"/>
        <w:gridCol w:w="626"/>
        <w:gridCol w:w="1199"/>
        <w:gridCol w:w="65"/>
        <w:gridCol w:w="1473"/>
      </w:tblGrid>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Оперативна ціль/завдання</w:t>
            </w:r>
          </w:p>
        </w:tc>
        <w:tc>
          <w:tcPr>
            <w:tcW w:w="7194" w:type="dxa"/>
            <w:gridSpan w:val="7"/>
            <w:shd w:val="clear" w:color="auto" w:fill="auto"/>
          </w:tcPr>
          <w:p w:rsidR="00E95FB1" w:rsidRPr="00C86B34" w:rsidRDefault="00AC7404" w:rsidP="001B3967">
            <w:pPr>
              <w:pStyle w:val="a7"/>
              <w:ind w:left="0"/>
              <w:rPr>
                <w:sz w:val="22"/>
                <w:lang w:val="uk-UA"/>
              </w:rPr>
            </w:pPr>
            <w:r w:rsidRPr="00C86B34">
              <w:rPr>
                <w:rFonts w:eastAsia="Arial"/>
                <w:sz w:val="22"/>
                <w:lang w:val="uk-UA"/>
              </w:rPr>
              <w:t xml:space="preserve">Людський розвиток </w:t>
            </w:r>
            <w:r w:rsidR="00E95FB1" w:rsidRPr="00C86B34">
              <w:rPr>
                <w:rFonts w:eastAsia="Arial"/>
                <w:sz w:val="22"/>
                <w:lang w:val="uk-UA"/>
              </w:rPr>
              <w:t>через інновації управління та довіру до влади.</w:t>
            </w:r>
          </w:p>
          <w:p w:rsidR="00E95FB1" w:rsidRPr="00C86B34" w:rsidRDefault="00E95FB1" w:rsidP="001B3967">
            <w:pPr>
              <w:rPr>
                <w:rFonts w:eastAsia="Arial"/>
                <w:b/>
                <w:sz w:val="22"/>
                <w:lang w:val="uk-UA"/>
              </w:rPr>
            </w:pPr>
            <w:r w:rsidRPr="00C86B34">
              <w:rPr>
                <w:rFonts w:eastAsia="Arial"/>
                <w:sz w:val="22"/>
                <w:lang w:val="uk-UA"/>
              </w:rPr>
              <w:t xml:space="preserve">Формування сучасного інклюзивного </w:t>
            </w:r>
            <w:proofErr w:type="spellStart"/>
            <w:r w:rsidRPr="00C86B34">
              <w:rPr>
                <w:rFonts w:eastAsia="Arial"/>
                <w:sz w:val="22"/>
                <w:lang w:val="uk-UA"/>
              </w:rPr>
              <w:t>освітньо</w:t>
            </w:r>
            <w:proofErr w:type="spellEnd"/>
            <w:r w:rsidRPr="00C86B34">
              <w:rPr>
                <w:rFonts w:eastAsia="Arial"/>
                <w:sz w:val="22"/>
                <w:lang w:val="uk-UA"/>
              </w:rPr>
              <w:t xml:space="preserve"> – культурного та спортивного простору для розвитку.</w:t>
            </w:r>
            <w:r w:rsidRPr="00C86B34">
              <w:rPr>
                <w:b/>
                <w:sz w:val="22"/>
                <w:lang w:val="uk-UA"/>
              </w:rPr>
              <w:t xml:space="preserve"> </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Назва проекту:</w:t>
            </w:r>
          </w:p>
        </w:tc>
        <w:tc>
          <w:tcPr>
            <w:tcW w:w="7194" w:type="dxa"/>
            <w:gridSpan w:val="7"/>
          </w:tcPr>
          <w:p w:rsidR="00E95FB1" w:rsidRPr="00C86B34" w:rsidRDefault="00E95FB1" w:rsidP="001B3967">
            <w:pPr>
              <w:pStyle w:val="a7"/>
              <w:ind w:left="0"/>
              <w:rPr>
                <w:sz w:val="22"/>
                <w:lang w:val="uk-UA"/>
              </w:rPr>
            </w:pPr>
            <w:r w:rsidRPr="00C86B34">
              <w:rPr>
                <w:sz w:val="22"/>
                <w:lang w:val="uk-UA"/>
              </w:rPr>
              <w:t>Відновлення та відбудова будівель Відділу культури Сєвєродонецької міської військової адміністрації Сєвєродонецької міської територіальної громади для задоволення потреб мешканців у отриманні послуг, гарантованих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Ціль проекту</w:t>
            </w:r>
          </w:p>
        </w:tc>
        <w:tc>
          <w:tcPr>
            <w:tcW w:w="7194" w:type="dxa"/>
            <w:gridSpan w:val="7"/>
          </w:tcPr>
          <w:p w:rsidR="00E95FB1" w:rsidRPr="00C86B34" w:rsidRDefault="00E95FB1" w:rsidP="001B3967">
            <w:pPr>
              <w:pStyle w:val="a7"/>
              <w:ind w:left="0"/>
              <w:rPr>
                <w:sz w:val="22"/>
                <w:lang w:val="uk-UA"/>
              </w:rPr>
            </w:pPr>
            <w:r w:rsidRPr="00C86B34">
              <w:rPr>
                <w:sz w:val="22"/>
                <w:lang w:val="uk-UA"/>
              </w:rPr>
              <w:t>Відновити та відбудувати будівлі Відділу культури Сєвєродонецької міської військової адміністрації Сєвєродонецької міської територіальної громади для задоволення потреб мешканців у отриманні послуг, гарантованих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Територія, на яку матиме вплив реалізація проекту</w:t>
            </w:r>
          </w:p>
        </w:tc>
        <w:tc>
          <w:tcPr>
            <w:tcW w:w="7194" w:type="dxa"/>
            <w:gridSpan w:val="7"/>
          </w:tcPr>
          <w:p w:rsidR="00E95FB1" w:rsidRPr="00C86B34" w:rsidRDefault="00E95FB1" w:rsidP="001B3967">
            <w:pPr>
              <w:pStyle w:val="a7"/>
              <w:ind w:left="0"/>
              <w:rPr>
                <w:sz w:val="22"/>
                <w:lang w:val="uk-UA"/>
              </w:rPr>
            </w:pPr>
            <w:r w:rsidRPr="00C86B34">
              <w:rPr>
                <w:sz w:val="22"/>
                <w:lang w:val="uk-UA"/>
              </w:rPr>
              <w:t>Сєвєродонецька міська територіальна громада</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lastRenderedPageBreak/>
              <w:t>Чисельність населення, на яке матиме вплив реалізація проекту</w:t>
            </w:r>
          </w:p>
        </w:tc>
        <w:tc>
          <w:tcPr>
            <w:tcW w:w="7194" w:type="dxa"/>
            <w:gridSpan w:val="7"/>
          </w:tcPr>
          <w:p w:rsidR="00E95FB1" w:rsidRPr="00C86B34" w:rsidRDefault="00AC7404" w:rsidP="001B3967">
            <w:pPr>
              <w:pStyle w:val="a7"/>
              <w:ind w:left="0"/>
              <w:rPr>
                <w:sz w:val="22"/>
                <w:lang w:val="uk-UA"/>
              </w:rPr>
            </w:pPr>
            <w:r w:rsidRPr="00C86B34">
              <w:rPr>
                <w:sz w:val="22"/>
                <w:lang w:val="uk-UA"/>
              </w:rPr>
              <w:t>70 000</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Опис проблеми, на вирішення якої  спрямований проект</w:t>
            </w:r>
          </w:p>
        </w:tc>
        <w:tc>
          <w:tcPr>
            <w:tcW w:w="7194" w:type="dxa"/>
            <w:gridSpan w:val="7"/>
          </w:tcPr>
          <w:p w:rsidR="00E95FB1" w:rsidRPr="00C86B34" w:rsidRDefault="00E95FB1" w:rsidP="001B3967">
            <w:pPr>
              <w:ind w:firstLine="328"/>
              <w:rPr>
                <w:sz w:val="22"/>
                <w:lang w:val="uk-UA"/>
              </w:rPr>
            </w:pPr>
            <w:r w:rsidRPr="00C86B34">
              <w:rPr>
                <w:sz w:val="22"/>
                <w:lang w:val="uk-UA"/>
              </w:rPr>
              <w:t>Через військову агресію РФ територія Сєвєродонецької міської територіальної громади зазнала значних пошкоджень. Будівля Відділу культури Сєвєродонецької міської військової адміністрації</w:t>
            </w:r>
            <w:r w:rsidR="00F925CB" w:rsidRPr="00C86B34">
              <w:rPr>
                <w:sz w:val="22"/>
                <w:lang w:val="uk-UA"/>
              </w:rPr>
              <w:t>,</w:t>
            </w:r>
            <w:r w:rsidRPr="00C86B34">
              <w:rPr>
                <w:sz w:val="22"/>
                <w:lang w:val="uk-UA"/>
              </w:rPr>
              <w:t xml:space="preserve"> яка належить Сєвєродонецькій міській територіальній громаді, пошкоджена. Для поновлення життєдіяльності громади та стимулювання повернення мешканців до громади необхідно забезпечити їх всіма необхідними послугами, гарантованими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Очікувані якісні результати від реалізації проекту</w:t>
            </w:r>
          </w:p>
        </w:tc>
        <w:tc>
          <w:tcPr>
            <w:tcW w:w="7194" w:type="dxa"/>
            <w:gridSpan w:val="7"/>
          </w:tcPr>
          <w:p w:rsidR="00E95FB1" w:rsidRPr="00C86B34" w:rsidRDefault="00E95FB1" w:rsidP="000303D7">
            <w:pPr>
              <w:pStyle w:val="a7"/>
              <w:numPr>
                <w:ilvl w:val="0"/>
                <w:numId w:val="27"/>
              </w:numPr>
              <w:jc w:val="left"/>
              <w:rPr>
                <w:sz w:val="22"/>
                <w:lang w:val="uk-UA"/>
              </w:rPr>
            </w:pPr>
            <w:r w:rsidRPr="00C86B34">
              <w:rPr>
                <w:sz w:val="22"/>
                <w:lang w:val="uk-UA"/>
              </w:rPr>
              <w:t>Отримання мешканцями громади якісних послуг у сфері культури;</w:t>
            </w:r>
          </w:p>
          <w:p w:rsidR="00E95FB1" w:rsidRPr="00C86B34" w:rsidRDefault="00F925CB" w:rsidP="000303D7">
            <w:pPr>
              <w:pStyle w:val="a7"/>
              <w:numPr>
                <w:ilvl w:val="0"/>
                <w:numId w:val="27"/>
              </w:numPr>
              <w:jc w:val="left"/>
              <w:rPr>
                <w:sz w:val="22"/>
                <w:lang w:val="uk-UA"/>
              </w:rPr>
            </w:pPr>
            <w:r w:rsidRPr="00C86B34">
              <w:rPr>
                <w:sz w:val="22"/>
                <w:lang w:val="uk-UA"/>
              </w:rPr>
              <w:t>м</w:t>
            </w:r>
            <w:r w:rsidR="00E95FB1" w:rsidRPr="00C86B34">
              <w:rPr>
                <w:sz w:val="22"/>
                <w:lang w:val="uk-UA"/>
              </w:rPr>
              <w:t>отивація мешканців громади до повернення у громаду;</w:t>
            </w:r>
          </w:p>
          <w:p w:rsidR="00E95FB1" w:rsidRPr="00C86B34" w:rsidRDefault="00F925CB" w:rsidP="000303D7">
            <w:pPr>
              <w:pStyle w:val="a7"/>
              <w:numPr>
                <w:ilvl w:val="0"/>
                <w:numId w:val="27"/>
              </w:numPr>
              <w:jc w:val="left"/>
              <w:rPr>
                <w:sz w:val="22"/>
                <w:lang w:val="uk-UA"/>
              </w:rPr>
            </w:pPr>
            <w:r w:rsidRPr="00C86B34">
              <w:rPr>
                <w:sz w:val="22"/>
                <w:lang w:val="uk-UA"/>
              </w:rPr>
              <w:t>з</w:t>
            </w:r>
            <w:r w:rsidR="00E95FB1" w:rsidRPr="00C86B34">
              <w:rPr>
                <w:sz w:val="22"/>
                <w:lang w:val="uk-UA"/>
              </w:rPr>
              <w:t xml:space="preserve">ахист правових, </w:t>
            </w:r>
            <w:proofErr w:type="spellStart"/>
            <w:r w:rsidR="00E95FB1" w:rsidRPr="00C86B34">
              <w:rPr>
                <w:sz w:val="22"/>
                <w:lang w:val="uk-UA"/>
              </w:rPr>
              <w:t>культурних,економічних</w:t>
            </w:r>
            <w:proofErr w:type="spellEnd"/>
            <w:r w:rsidR="00E95FB1" w:rsidRPr="00C86B34">
              <w:rPr>
                <w:sz w:val="22"/>
                <w:lang w:val="uk-UA"/>
              </w:rPr>
              <w:t xml:space="preserve"> та інших інтересів громадян;</w:t>
            </w:r>
          </w:p>
          <w:p w:rsidR="00E95FB1" w:rsidRPr="00C86B34" w:rsidRDefault="00F925CB" w:rsidP="000303D7">
            <w:pPr>
              <w:pStyle w:val="a7"/>
              <w:numPr>
                <w:ilvl w:val="0"/>
                <w:numId w:val="27"/>
              </w:numPr>
              <w:jc w:val="left"/>
              <w:rPr>
                <w:sz w:val="22"/>
                <w:lang w:val="uk-UA"/>
              </w:rPr>
            </w:pPr>
            <w:r w:rsidRPr="00C86B34">
              <w:rPr>
                <w:sz w:val="22"/>
                <w:lang w:val="uk-UA"/>
              </w:rPr>
              <w:t>н</w:t>
            </w:r>
            <w:r w:rsidR="00E95FB1" w:rsidRPr="00C86B34">
              <w:rPr>
                <w:sz w:val="22"/>
                <w:lang w:val="uk-UA"/>
              </w:rPr>
              <w:t>адання юридичним та фізичним особам-підприємцям якісних послуг для впровадження ними своєї діяльності;</w:t>
            </w:r>
          </w:p>
          <w:p w:rsidR="00E95FB1" w:rsidRPr="00C86B34" w:rsidRDefault="00F925CB" w:rsidP="000303D7">
            <w:pPr>
              <w:pStyle w:val="a7"/>
              <w:numPr>
                <w:ilvl w:val="0"/>
                <w:numId w:val="27"/>
              </w:numPr>
              <w:jc w:val="left"/>
              <w:rPr>
                <w:sz w:val="22"/>
                <w:lang w:val="uk-UA"/>
              </w:rPr>
            </w:pPr>
            <w:r w:rsidRPr="00C86B34">
              <w:rPr>
                <w:sz w:val="22"/>
                <w:lang w:val="uk-UA"/>
              </w:rPr>
              <w:t>с</w:t>
            </w:r>
            <w:r w:rsidR="00E95FB1" w:rsidRPr="00C86B34">
              <w:rPr>
                <w:sz w:val="22"/>
                <w:lang w:val="uk-UA"/>
              </w:rPr>
              <w:t>талий розвиток громади;</w:t>
            </w:r>
          </w:p>
          <w:p w:rsidR="00E95FB1" w:rsidRPr="00C86B34" w:rsidRDefault="00F925CB" w:rsidP="000303D7">
            <w:pPr>
              <w:pStyle w:val="a7"/>
              <w:numPr>
                <w:ilvl w:val="0"/>
                <w:numId w:val="27"/>
              </w:numPr>
              <w:jc w:val="left"/>
              <w:rPr>
                <w:sz w:val="22"/>
                <w:lang w:val="uk-UA"/>
              </w:rPr>
            </w:pPr>
            <w:r w:rsidRPr="00C86B34">
              <w:rPr>
                <w:sz w:val="22"/>
                <w:lang w:val="uk-UA"/>
              </w:rPr>
              <w:t>і</w:t>
            </w:r>
            <w:r w:rsidR="00E95FB1" w:rsidRPr="00C86B34">
              <w:rPr>
                <w:sz w:val="22"/>
                <w:lang w:val="uk-UA"/>
              </w:rPr>
              <w:t>нвестиційна привабливість громади;</w:t>
            </w:r>
          </w:p>
          <w:p w:rsidR="00E95FB1" w:rsidRPr="00C86B34" w:rsidRDefault="00F925CB" w:rsidP="00F925CB">
            <w:pPr>
              <w:pStyle w:val="a7"/>
              <w:numPr>
                <w:ilvl w:val="0"/>
                <w:numId w:val="27"/>
              </w:numPr>
              <w:jc w:val="left"/>
              <w:rPr>
                <w:sz w:val="22"/>
                <w:lang w:val="uk-UA"/>
              </w:rPr>
            </w:pPr>
            <w:r w:rsidRPr="00C86B34">
              <w:rPr>
                <w:sz w:val="22"/>
                <w:lang w:val="uk-UA"/>
              </w:rPr>
              <w:t>к</w:t>
            </w:r>
            <w:r w:rsidR="00E95FB1" w:rsidRPr="00C86B34">
              <w:rPr>
                <w:sz w:val="22"/>
                <w:lang w:val="uk-UA"/>
              </w:rPr>
              <w:t>омфортне життя мешканців.</w:t>
            </w:r>
          </w:p>
        </w:tc>
      </w:tr>
      <w:tr w:rsidR="00E95FB1" w:rsidRPr="00C86B34" w:rsidTr="001B3967">
        <w:trPr>
          <w:trHeight w:val="390"/>
        </w:trPr>
        <w:tc>
          <w:tcPr>
            <w:tcW w:w="2694" w:type="dxa"/>
            <w:vMerge w:val="restart"/>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 xml:space="preserve">Очікувані кількісні результати реалізації </w:t>
            </w:r>
            <w:proofErr w:type="spellStart"/>
            <w:r w:rsidRPr="00C86B34">
              <w:rPr>
                <w:b/>
                <w:sz w:val="22"/>
                <w:lang w:val="uk-UA"/>
              </w:rPr>
              <w:t>проєкту</w:t>
            </w:r>
            <w:proofErr w:type="spellEnd"/>
            <w:r w:rsidRPr="00C86B34">
              <w:rPr>
                <w:b/>
                <w:sz w:val="22"/>
                <w:lang w:val="uk-UA"/>
              </w:rPr>
              <w:t xml:space="preserve"> (індикатори)</w:t>
            </w:r>
          </w:p>
          <w:p w:rsidR="00E95FB1" w:rsidRPr="00C86B34" w:rsidRDefault="00E95FB1" w:rsidP="001B3967">
            <w:pPr>
              <w:pStyle w:val="a7"/>
              <w:ind w:left="0"/>
              <w:rPr>
                <w:b/>
                <w:sz w:val="22"/>
                <w:lang w:val="uk-UA"/>
              </w:rPr>
            </w:pPr>
          </w:p>
        </w:tc>
        <w:tc>
          <w:tcPr>
            <w:tcW w:w="3797" w:type="dxa"/>
            <w:gridSpan w:val="3"/>
            <w:tcBorders>
              <w:bottom w:val="single" w:sz="4" w:space="0" w:color="auto"/>
              <w:right w:val="single" w:sz="4" w:space="0" w:color="auto"/>
            </w:tcBorders>
          </w:tcPr>
          <w:p w:rsidR="00E95FB1" w:rsidRPr="00C86B34" w:rsidRDefault="00E95FB1" w:rsidP="001B3967">
            <w:pPr>
              <w:pStyle w:val="a7"/>
              <w:ind w:left="-108"/>
              <w:jc w:val="center"/>
              <w:rPr>
                <w:b/>
                <w:sz w:val="22"/>
                <w:lang w:val="uk-UA"/>
              </w:rPr>
            </w:pPr>
            <w:r w:rsidRPr="00C86B34">
              <w:rPr>
                <w:b/>
                <w:sz w:val="22"/>
                <w:lang w:val="uk-UA"/>
              </w:rPr>
              <w:t>Найменування показника</w:t>
            </w:r>
          </w:p>
        </w:tc>
        <w:tc>
          <w:tcPr>
            <w:tcW w:w="1849" w:type="dxa"/>
            <w:gridSpan w:val="2"/>
            <w:tcBorders>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Одиниця вимірювання</w:t>
            </w:r>
          </w:p>
          <w:p w:rsidR="00E95FB1" w:rsidRPr="00C86B34" w:rsidRDefault="00E95FB1" w:rsidP="001B3967">
            <w:pPr>
              <w:pStyle w:val="a7"/>
              <w:ind w:left="0"/>
              <w:rPr>
                <w:b/>
                <w:sz w:val="22"/>
                <w:lang w:val="uk-UA"/>
              </w:rPr>
            </w:pPr>
          </w:p>
        </w:tc>
        <w:tc>
          <w:tcPr>
            <w:tcW w:w="1548" w:type="dxa"/>
            <w:gridSpan w:val="2"/>
            <w:tcBorders>
              <w:left w:val="single" w:sz="4" w:space="0" w:color="auto"/>
              <w:bottom w:val="single" w:sz="4" w:space="0" w:color="auto"/>
            </w:tcBorders>
          </w:tcPr>
          <w:p w:rsidR="00E95FB1" w:rsidRPr="00C86B34" w:rsidRDefault="00E95FB1" w:rsidP="001B3967">
            <w:pPr>
              <w:pStyle w:val="a7"/>
              <w:ind w:left="0"/>
              <w:jc w:val="center"/>
              <w:rPr>
                <w:b/>
                <w:sz w:val="22"/>
                <w:lang w:val="uk-UA"/>
              </w:rPr>
            </w:pPr>
            <w:r w:rsidRPr="00C86B34">
              <w:rPr>
                <w:b/>
                <w:sz w:val="22"/>
                <w:lang w:val="uk-UA"/>
              </w:rPr>
              <w:t>Прогнозне (цільове) значення</w:t>
            </w:r>
          </w:p>
        </w:tc>
      </w:tr>
      <w:tr w:rsidR="00E95FB1" w:rsidRPr="00C86B34" w:rsidTr="001B3967">
        <w:trPr>
          <w:trHeight w:val="58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797"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Кількість великих заходів</w:t>
            </w:r>
            <w:r w:rsidR="00F925CB" w:rsidRPr="00C86B34">
              <w:rPr>
                <w:sz w:val="22"/>
                <w:lang w:val="uk-UA"/>
              </w:rPr>
              <w:t>,</w:t>
            </w:r>
            <w:r w:rsidRPr="00C86B34">
              <w:rPr>
                <w:sz w:val="22"/>
                <w:lang w:val="uk-UA"/>
              </w:rPr>
              <w:t xml:space="preserve"> які проведені протягом  року</w:t>
            </w:r>
          </w:p>
        </w:tc>
        <w:tc>
          <w:tcPr>
            <w:tcW w:w="1849"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548"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44</w:t>
            </w:r>
          </w:p>
        </w:tc>
      </w:tr>
      <w:tr w:rsidR="00E95FB1" w:rsidRPr="00C86B34" w:rsidTr="001B3967">
        <w:trPr>
          <w:trHeight w:val="184"/>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797"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Кількість фізичних та юридичних осіб, які відвідували заходи протягом  року</w:t>
            </w:r>
          </w:p>
        </w:tc>
        <w:tc>
          <w:tcPr>
            <w:tcW w:w="1849"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осіб</w:t>
            </w:r>
          </w:p>
        </w:tc>
        <w:tc>
          <w:tcPr>
            <w:tcW w:w="1548"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341700,0</w:t>
            </w:r>
          </w:p>
        </w:tc>
      </w:tr>
      <w:tr w:rsidR="00E95FB1" w:rsidRPr="00C86B34" w:rsidTr="001B3967">
        <w:trPr>
          <w:trHeight w:val="16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797"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Кількість закладів</w:t>
            </w:r>
            <w:r w:rsidR="00F925CB" w:rsidRPr="00C86B34">
              <w:rPr>
                <w:sz w:val="22"/>
                <w:lang w:val="uk-UA"/>
              </w:rPr>
              <w:t>,</w:t>
            </w:r>
            <w:r w:rsidRPr="00C86B34">
              <w:rPr>
                <w:sz w:val="22"/>
                <w:lang w:val="uk-UA"/>
              </w:rPr>
              <w:t xml:space="preserve"> які знаходяться в підпорядкуванні відділу протягом одного робочого дня</w:t>
            </w:r>
          </w:p>
        </w:tc>
        <w:tc>
          <w:tcPr>
            <w:tcW w:w="1849"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548"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9</w:t>
            </w:r>
          </w:p>
        </w:tc>
      </w:tr>
      <w:tr w:rsidR="00E95FB1" w:rsidRPr="00C86B34" w:rsidTr="001B3967">
        <w:trPr>
          <w:trHeight w:val="16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797"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Кількість закладів з філіями</w:t>
            </w:r>
            <w:r w:rsidR="00F925CB" w:rsidRPr="00C86B34">
              <w:rPr>
                <w:sz w:val="22"/>
                <w:lang w:val="uk-UA"/>
              </w:rPr>
              <w:t>,</w:t>
            </w:r>
            <w:r w:rsidRPr="00C86B34">
              <w:rPr>
                <w:sz w:val="22"/>
                <w:lang w:val="uk-UA"/>
              </w:rPr>
              <w:t xml:space="preserve"> які знаходяться в підпорядкуванні відділу</w:t>
            </w:r>
          </w:p>
        </w:tc>
        <w:tc>
          <w:tcPr>
            <w:tcW w:w="1849"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548"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p>
          <w:p w:rsidR="00E95FB1" w:rsidRPr="00C86B34" w:rsidRDefault="00E95FB1" w:rsidP="001B3967">
            <w:pPr>
              <w:pStyle w:val="a7"/>
              <w:ind w:left="0"/>
              <w:jc w:val="center"/>
              <w:rPr>
                <w:sz w:val="22"/>
                <w:lang w:val="uk-UA"/>
              </w:rPr>
            </w:pPr>
            <w:r w:rsidRPr="00C86B34">
              <w:rPr>
                <w:sz w:val="22"/>
                <w:lang w:val="uk-UA"/>
              </w:rPr>
              <w:t>22</w:t>
            </w:r>
          </w:p>
        </w:tc>
      </w:tr>
      <w:tr w:rsidR="00E95FB1" w:rsidRPr="00C86B34" w:rsidTr="001B3967">
        <w:trPr>
          <w:trHeight w:val="16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797"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Середня вартість послуг</w:t>
            </w:r>
          </w:p>
        </w:tc>
        <w:tc>
          <w:tcPr>
            <w:tcW w:w="1849"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грн</w:t>
            </w:r>
          </w:p>
        </w:tc>
        <w:tc>
          <w:tcPr>
            <w:tcW w:w="1548"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безкоштовно</w:t>
            </w:r>
          </w:p>
        </w:tc>
      </w:tr>
      <w:tr w:rsidR="00E95FB1" w:rsidRPr="00C86B34" w:rsidTr="001B3967">
        <w:trPr>
          <w:trHeight w:val="165"/>
        </w:trPr>
        <w:tc>
          <w:tcPr>
            <w:tcW w:w="2694" w:type="dxa"/>
            <w:shd w:val="clear" w:color="auto" w:fill="C6D9F1" w:themeFill="text2" w:themeFillTint="33"/>
          </w:tcPr>
          <w:p w:rsidR="00E95FB1" w:rsidRPr="00C86B34" w:rsidRDefault="00E95FB1" w:rsidP="001B3967">
            <w:pPr>
              <w:pStyle w:val="a7"/>
              <w:ind w:left="0"/>
              <w:rPr>
                <w:b/>
                <w:sz w:val="22"/>
                <w:lang w:val="uk-UA"/>
              </w:rPr>
            </w:pPr>
          </w:p>
        </w:tc>
        <w:tc>
          <w:tcPr>
            <w:tcW w:w="3797" w:type="dxa"/>
            <w:gridSpan w:val="3"/>
            <w:tcBorders>
              <w:top w:val="single" w:sz="4" w:space="0" w:color="auto"/>
              <w:bottom w:val="single" w:sz="4" w:space="0" w:color="auto"/>
              <w:right w:val="single" w:sz="4" w:space="0" w:color="auto"/>
            </w:tcBorders>
          </w:tcPr>
          <w:p w:rsidR="00E95FB1" w:rsidRPr="00C86B34" w:rsidRDefault="00E95FB1" w:rsidP="00F925CB">
            <w:pPr>
              <w:pStyle w:val="a7"/>
              <w:ind w:left="0"/>
              <w:jc w:val="center"/>
              <w:rPr>
                <w:sz w:val="22"/>
                <w:lang w:val="uk-UA"/>
              </w:rPr>
            </w:pPr>
            <w:r w:rsidRPr="00C86B34">
              <w:rPr>
                <w:sz w:val="22"/>
                <w:lang w:val="uk-UA"/>
              </w:rPr>
              <w:t>Кількість населених пунктів, як</w:t>
            </w:r>
            <w:r w:rsidR="00F925CB" w:rsidRPr="00C86B34">
              <w:rPr>
                <w:sz w:val="22"/>
                <w:lang w:val="uk-UA"/>
              </w:rPr>
              <w:t>і</w:t>
            </w:r>
            <w:r w:rsidRPr="00C86B34">
              <w:rPr>
                <w:sz w:val="22"/>
                <w:lang w:val="uk-UA"/>
              </w:rPr>
              <w:t xml:space="preserve"> обслуговує заклад</w:t>
            </w:r>
          </w:p>
        </w:tc>
        <w:tc>
          <w:tcPr>
            <w:tcW w:w="1849"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548"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20</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 xml:space="preserve">Ключові заходи проекту: </w:t>
            </w:r>
          </w:p>
          <w:p w:rsidR="00E95FB1" w:rsidRPr="00C86B34" w:rsidRDefault="00E95FB1" w:rsidP="001B3967">
            <w:pPr>
              <w:pStyle w:val="a7"/>
              <w:ind w:left="0"/>
              <w:rPr>
                <w:b/>
                <w:sz w:val="22"/>
                <w:lang w:val="uk-UA"/>
              </w:rPr>
            </w:pPr>
          </w:p>
        </w:tc>
        <w:tc>
          <w:tcPr>
            <w:tcW w:w="7194" w:type="dxa"/>
            <w:gridSpan w:val="7"/>
          </w:tcPr>
          <w:p w:rsidR="00E95FB1" w:rsidRPr="00C86B34" w:rsidRDefault="00E95FB1" w:rsidP="001B3967">
            <w:pPr>
              <w:pStyle w:val="a7"/>
              <w:ind w:left="0"/>
              <w:rPr>
                <w:sz w:val="22"/>
                <w:lang w:val="uk-UA"/>
              </w:rPr>
            </w:pPr>
            <w:r w:rsidRPr="00C86B34">
              <w:rPr>
                <w:sz w:val="22"/>
                <w:lang w:val="uk-UA"/>
              </w:rPr>
              <w:t>- обстеження об’єкта нерухомості;</w:t>
            </w:r>
          </w:p>
          <w:p w:rsidR="00E95FB1" w:rsidRPr="00C86B34" w:rsidRDefault="00E95FB1" w:rsidP="001B3967">
            <w:pPr>
              <w:pStyle w:val="a7"/>
              <w:ind w:left="0"/>
              <w:rPr>
                <w:sz w:val="22"/>
                <w:lang w:val="uk-UA"/>
              </w:rPr>
            </w:pPr>
            <w:r w:rsidRPr="00C86B34">
              <w:rPr>
                <w:sz w:val="22"/>
                <w:lang w:val="uk-UA"/>
              </w:rPr>
              <w:t>- пошук інвестора;</w:t>
            </w:r>
          </w:p>
          <w:p w:rsidR="00E95FB1" w:rsidRPr="00C86B34" w:rsidRDefault="00E95FB1" w:rsidP="001B3967">
            <w:pPr>
              <w:pStyle w:val="a7"/>
              <w:ind w:left="0"/>
              <w:rPr>
                <w:sz w:val="22"/>
                <w:lang w:val="uk-UA"/>
              </w:rPr>
            </w:pPr>
            <w:r w:rsidRPr="00C86B34">
              <w:rPr>
                <w:sz w:val="22"/>
                <w:lang w:val="uk-UA"/>
              </w:rPr>
              <w:t xml:space="preserve">- розробка </w:t>
            </w:r>
            <w:proofErr w:type="spellStart"/>
            <w:r w:rsidRPr="00C86B34">
              <w:rPr>
                <w:sz w:val="22"/>
                <w:lang w:val="uk-UA"/>
              </w:rPr>
              <w:t>про</w:t>
            </w:r>
            <w:r w:rsidR="00F925CB" w:rsidRPr="00C86B34">
              <w:rPr>
                <w:sz w:val="22"/>
                <w:lang w:val="uk-UA"/>
              </w:rPr>
              <w:t>є</w:t>
            </w:r>
            <w:r w:rsidRPr="00C86B34">
              <w:rPr>
                <w:sz w:val="22"/>
                <w:lang w:val="uk-UA"/>
              </w:rPr>
              <w:t>ктно</w:t>
            </w:r>
            <w:proofErr w:type="spellEnd"/>
            <w:r w:rsidRPr="00C86B34">
              <w:rPr>
                <w:sz w:val="22"/>
                <w:lang w:val="uk-UA"/>
              </w:rPr>
              <w:t>-кошторисної документації;</w:t>
            </w:r>
          </w:p>
          <w:p w:rsidR="00E95FB1" w:rsidRPr="00C86B34" w:rsidRDefault="00E95FB1" w:rsidP="001B3967">
            <w:pPr>
              <w:pStyle w:val="a7"/>
              <w:ind w:left="0"/>
              <w:rPr>
                <w:sz w:val="22"/>
                <w:lang w:val="uk-UA"/>
              </w:rPr>
            </w:pPr>
            <w:r w:rsidRPr="00C86B34">
              <w:rPr>
                <w:sz w:val="22"/>
                <w:lang w:val="uk-UA"/>
              </w:rPr>
              <w:t>- укладення договору про будівництво із підрядною організацією;</w:t>
            </w:r>
          </w:p>
          <w:p w:rsidR="00E95FB1" w:rsidRPr="00C86B34" w:rsidRDefault="00E95FB1" w:rsidP="001B3967">
            <w:pPr>
              <w:pStyle w:val="a7"/>
              <w:ind w:left="0"/>
              <w:rPr>
                <w:sz w:val="22"/>
                <w:lang w:val="uk-UA"/>
              </w:rPr>
            </w:pPr>
            <w:r w:rsidRPr="00C86B34">
              <w:rPr>
                <w:sz w:val="22"/>
                <w:lang w:val="uk-UA"/>
              </w:rPr>
              <w:t>- організація та початок робочого процесу.</w:t>
            </w:r>
          </w:p>
        </w:tc>
      </w:tr>
      <w:tr w:rsidR="00E95FB1" w:rsidRPr="00C86B34" w:rsidTr="001B3967">
        <w:trPr>
          <w:trHeight w:val="360"/>
        </w:trPr>
        <w:tc>
          <w:tcPr>
            <w:tcW w:w="2694" w:type="dxa"/>
            <w:vMerge w:val="restart"/>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 xml:space="preserve">Орієнтовний обсяг та джерела фінансування, тис. грн. </w:t>
            </w:r>
          </w:p>
          <w:p w:rsidR="00E95FB1" w:rsidRPr="00C86B34" w:rsidRDefault="00E95FB1" w:rsidP="001B3967">
            <w:pPr>
              <w:pStyle w:val="a7"/>
              <w:ind w:left="0"/>
              <w:rPr>
                <w:b/>
                <w:sz w:val="22"/>
                <w:lang w:val="uk-UA"/>
              </w:rPr>
            </w:pPr>
          </w:p>
        </w:tc>
        <w:tc>
          <w:tcPr>
            <w:tcW w:w="1993" w:type="dxa"/>
            <w:tcBorders>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Державний бюджет</w:t>
            </w:r>
          </w:p>
        </w:tc>
        <w:tc>
          <w:tcPr>
            <w:tcW w:w="1381" w:type="dxa"/>
            <w:tcBorders>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Місцевий бюджет</w:t>
            </w:r>
          </w:p>
          <w:p w:rsidR="00E95FB1" w:rsidRPr="00C86B34" w:rsidRDefault="00E95FB1" w:rsidP="001B3967">
            <w:pPr>
              <w:pStyle w:val="a7"/>
              <w:ind w:left="0"/>
              <w:jc w:val="center"/>
              <w:rPr>
                <w:b/>
                <w:sz w:val="22"/>
                <w:lang w:val="uk-UA"/>
              </w:rPr>
            </w:pPr>
            <w:proofErr w:type="spellStart"/>
            <w:r w:rsidRPr="00C86B34">
              <w:rPr>
                <w:b/>
                <w:sz w:val="22"/>
                <w:lang w:val="uk-UA"/>
              </w:rPr>
              <w:t>тис.грн</w:t>
            </w:r>
            <w:proofErr w:type="spellEnd"/>
          </w:p>
        </w:tc>
        <w:tc>
          <w:tcPr>
            <w:tcW w:w="2341" w:type="dxa"/>
            <w:gridSpan w:val="4"/>
            <w:tcBorders>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Інші джерела</w:t>
            </w:r>
          </w:p>
          <w:p w:rsidR="00E95FB1" w:rsidRPr="00C86B34" w:rsidRDefault="00E95FB1" w:rsidP="001B3967">
            <w:pPr>
              <w:pStyle w:val="a7"/>
              <w:ind w:left="0"/>
              <w:jc w:val="center"/>
              <w:rPr>
                <w:b/>
                <w:sz w:val="22"/>
                <w:lang w:val="uk-UA"/>
              </w:rPr>
            </w:pPr>
            <w:proofErr w:type="spellStart"/>
            <w:r w:rsidRPr="00C86B34">
              <w:rPr>
                <w:b/>
                <w:sz w:val="22"/>
                <w:lang w:val="uk-UA"/>
              </w:rPr>
              <w:t>тис.грн</w:t>
            </w:r>
            <w:proofErr w:type="spellEnd"/>
          </w:p>
        </w:tc>
        <w:tc>
          <w:tcPr>
            <w:tcW w:w="1479" w:type="dxa"/>
            <w:tcBorders>
              <w:left w:val="single" w:sz="4" w:space="0" w:color="auto"/>
              <w:bottom w:val="single" w:sz="4" w:space="0" w:color="auto"/>
            </w:tcBorders>
          </w:tcPr>
          <w:p w:rsidR="00E95FB1" w:rsidRPr="00C86B34" w:rsidRDefault="00E95FB1" w:rsidP="001B3967">
            <w:pPr>
              <w:pStyle w:val="a7"/>
              <w:ind w:left="0"/>
              <w:jc w:val="center"/>
              <w:rPr>
                <w:b/>
                <w:sz w:val="22"/>
                <w:lang w:val="uk-UA"/>
              </w:rPr>
            </w:pPr>
            <w:r w:rsidRPr="00C86B34">
              <w:rPr>
                <w:b/>
                <w:sz w:val="22"/>
                <w:lang w:val="uk-UA"/>
              </w:rPr>
              <w:t>Всього</w:t>
            </w:r>
          </w:p>
          <w:p w:rsidR="00E95FB1" w:rsidRPr="00C86B34" w:rsidRDefault="00E95FB1" w:rsidP="001B3967">
            <w:pPr>
              <w:pStyle w:val="a7"/>
              <w:ind w:left="0"/>
              <w:jc w:val="center"/>
              <w:rPr>
                <w:b/>
                <w:sz w:val="22"/>
                <w:lang w:val="uk-UA"/>
              </w:rPr>
            </w:pPr>
            <w:proofErr w:type="spellStart"/>
            <w:r w:rsidRPr="00C86B34">
              <w:rPr>
                <w:b/>
                <w:sz w:val="22"/>
                <w:lang w:val="uk-UA"/>
              </w:rPr>
              <w:t>тис.грн</w:t>
            </w:r>
            <w:proofErr w:type="spellEnd"/>
          </w:p>
        </w:tc>
      </w:tr>
      <w:tr w:rsidR="00E95FB1" w:rsidRPr="00C86B34" w:rsidTr="001B3967">
        <w:trPr>
          <w:trHeight w:val="22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1993" w:type="dxa"/>
            <w:vMerge w:val="restart"/>
            <w:tcBorders>
              <w:top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10000,0</w:t>
            </w:r>
          </w:p>
        </w:tc>
        <w:tc>
          <w:tcPr>
            <w:tcW w:w="1381" w:type="dxa"/>
            <w:vMerge w:val="restart"/>
            <w:tcBorders>
              <w:top w:val="single" w:sz="4" w:space="0" w:color="auto"/>
              <w:right w:val="single" w:sz="4" w:space="0" w:color="auto"/>
            </w:tcBorders>
          </w:tcPr>
          <w:p w:rsidR="00E95FB1" w:rsidRPr="00C86B34" w:rsidRDefault="00E95FB1" w:rsidP="001B3967">
            <w:pPr>
              <w:pStyle w:val="a7"/>
              <w:ind w:left="0"/>
              <w:jc w:val="center"/>
              <w:rPr>
                <w:sz w:val="22"/>
                <w:lang w:val="uk-UA"/>
              </w:rPr>
            </w:pPr>
            <w:proofErr w:type="spellStart"/>
            <w:r w:rsidRPr="00C86B34">
              <w:rPr>
                <w:sz w:val="22"/>
                <w:lang w:val="uk-UA"/>
              </w:rPr>
              <w:t>Проєкт</w:t>
            </w:r>
            <w:proofErr w:type="spellEnd"/>
          </w:p>
          <w:p w:rsidR="00E95FB1" w:rsidRPr="00C86B34" w:rsidRDefault="00E95FB1" w:rsidP="001B3967">
            <w:pPr>
              <w:pStyle w:val="a7"/>
              <w:ind w:left="0"/>
              <w:jc w:val="center"/>
              <w:rPr>
                <w:sz w:val="22"/>
                <w:lang w:val="uk-UA"/>
              </w:rPr>
            </w:pPr>
            <w:r w:rsidRPr="00C86B34">
              <w:rPr>
                <w:sz w:val="22"/>
                <w:lang w:val="uk-UA"/>
              </w:rPr>
              <w:t>50</w:t>
            </w:r>
            <w:r w:rsidR="00D5751C" w:rsidRPr="00C86B34">
              <w:rPr>
                <w:sz w:val="22"/>
              </w:rPr>
              <w:t>0</w:t>
            </w:r>
            <w:r w:rsidRPr="00C86B34">
              <w:rPr>
                <w:sz w:val="22"/>
                <w:lang w:val="uk-UA"/>
              </w:rPr>
              <w:t>0,0</w:t>
            </w:r>
          </w:p>
        </w:tc>
        <w:tc>
          <w:tcPr>
            <w:tcW w:w="1049" w:type="dxa"/>
            <w:gridSpan w:val="2"/>
            <w:tcBorders>
              <w:top w:val="single" w:sz="4" w:space="0" w:color="auto"/>
              <w:left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Обсяг</w:t>
            </w:r>
          </w:p>
          <w:p w:rsidR="00E95FB1" w:rsidRPr="00C86B34" w:rsidRDefault="00E95FB1" w:rsidP="001B3967">
            <w:pPr>
              <w:pStyle w:val="a7"/>
              <w:ind w:left="0"/>
              <w:jc w:val="center"/>
              <w:rPr>
                <w:sz w:val="22"/>
                <w:lang w:val="uk-UA"/>
              </w:rPr>
            </w:pPr>
            <w:proofErr w:type="spellStart"/>
            <w:r w:rsidRPr="00C86B34">
              <w:rPr>
                <w:sz w:val="22"/>
                <w:lang w:val="uk-UA"/>
              </w:rPr>
              <w:t>тис.грн</w:t>
            </w:r>
            <w:proofErr w:type="spellEnd"/>
          </w:p>
        </w:tc>
        <w:tc>
          <w:tcPr>
            <w:tcW w:w="1292" w:type="dxa"/>
            <w:gridSpan w:val="2"/>
            <w:tcBorders>
              <w:top w:val="single" w:sz="4" w:space="0" w:color="auto"/>
              <w:left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Назва джерела</w:t>
            </w:r>
          </w:p>
        </w:tc>
        <w:tc>
          <w:tcPr>
            <w:tcW w:w="1479" w:type="dxa"/>
            <w:vMerge w:val="restart"/>
            <w:tcBorders>
              <w:top w:val="single" w:sz="4" w:space="0" w:color="auto"/>
              <w:left w:val="single" w:sz="4" w:space="0" w:color="auto"/>
            </w:tcBorders>
          </w:tcPr>
          <w:p w:rsidR="00E95FB1" w:rsidRPr="00C86B34" w:rsidRDefault="00E95FB1" w:rsidP="001B3967">
            <w:pPr>
              <w:pStyle w:val="a7"/>
              <w:ind w:left="0"/>
              <w:jc w:val="center"/>
              <w:rPr>
                <w:sz w:val="22"/>
                <w:lang w:val="uk-UA"/>
              </w:rPr>
            </w:pPr>
            <w:r w:rsidRPr="00C86B34">
              <w:rPr>
                <w:sz w:val="22"/>
                <w:lang w:val="uk-UA"/>
              </w:rPr>
              <w:t>15000,00</w:t>
            </w:r>
          </w:p>
        </w:tc>
      </w:tr>
      <w:tr w:rsidR="00E95FB1" w:rsidRPr="00C86B34" w:rsidTr="001B3967">
        <w:trPr>
          <w:trHeight w:val="300"/>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1993" w:type="dxa"/>
            <w:vMerge/>
            <w:tcBorders>
              <w:right w:val="single" w:sz="4" w:space="0" w:color="auto"/>
            </w:tcBorders>
          </w:tcPr>
          <w:p w:rsidR="00E95FB1" w:rsidRPr="00C86B34" w:rsidRDefault="00E95FB1" w:rsidP="001B3967">
            <w:pPr>
              <w:pStyle w:val="a7"/>
              <w:ind w:left="0"/>
              <w:jc w:val="center"/>
              <w:rPr>
                <w:sz w:val="22"/>
                <w:lang w:val="uk-UA"/>
              </w:rPr>
            </w:pPr>
          </w:p>
        </w:tc>
        <w:tc>
          <w:tcPr>
            <w:tcW w:w="1381" w:type="dxa"/>
            <w:vMerge/>
            <w:tcBorders>
              <w:right w:val="single" w:sz="4" w:space="0" w:color="auto"/>
            </w:tcBorders>
          </w:tcPr>
          <w:p w:rsidR="00E95FB1" w:rsidRPr="00C86B34" w:rsidRDefault="00E95FB1" w:rsidP="001B3967">
            <w:pPr>
              <w:pStyle w:val="a7"/>
              <w:ind w:left="0"/>
              <w:jc w:val="center"/>
              <w:rPr>
                <w:b/>
                <w:sz w:val="22"/>
                <w:lang w:val="uk-UA"/>
              </w:rPr>
            </w:pPr>
          </w:p>
        </w:tc>
        <w:tc>
          <w:tcPr>
            <w:tcW w:w="1049" w:type="dxa"/>
            <w:gridSpan w:val="2"/>
            <w:tcBorders>
              <w:top w:val="single" w:sz="4" w:space="0" w:color="auto"/>
              <w:left w:val="single" w:sz="4" w:space="0" w:color="auto"/>
              <w:right w:val="single" w:sz="4" w:space="0" w:color="auto"/>
            </w:tcBorders>
          </w:tcPr>
          <w:p w:rsidR="00E95FB1" w:rsidRPr="00C86B34" w:rsidRDefault="00E95FB1" w:rsidP="001B3967">
            <w:pPr>
              <w:pStyle w:val="a7"/>
              <w:ind w:left="0"/>
              <w:jc w:val="center"/>
              <w:rPr>
                <w:b/>
                <w:sz w:val="22"/>
                <w:lang w:val="uk-UA"/>
              </w:rPr>
            </w:pPr>
          </w:p>
        </w:tc>
        <w:tc>
          <w:tcPr>
            <w:tcW w:w="1292" w:type="dxa"/>
            <w:gridSpan w:val="2"/>
            <w:tcBorders>
              <w:top w:val="single" w:sz="4" w:space="0" w:color="auto"/>
              <w:left w:val="single" w:sz="4" w:space="0" w:color="auto"/>
              <w:right w:val="single" w:sz="4" w:space="0" w:color="auto"/>
            </w:tcBorders>
          </w:tcPr>
          <w:p w:rsidR="00E95FB1" w:rsidRPr="00C86B34" w:rsidRDefault="00E95FB1" w:rsidP="001B3967">
            <w:pPr>
              <w:pStyle w:val="a7"/>
              <w:ind w:left="0"/>
              <w:jc w:val="center"/>
              <w:rPr>
                <w:sz w:val="22"/>
                <w:lang w:val="uk-UA"/>
              </w:rPr>
            </w:pPr>
          </w:p>
        </w:tc>
        <w:tc>
          <w:tcPr>
            <w:tcW w:w="1479" w:type="dxa"/>
            <w:vMerge/>
            <w:tcBorders>
              <w:left w:val="single" w:sz="4" w:space="0" w:color="auto"/>
            </w:tcBorders>
          </w:tcPr>
          <w:p w:rsidR="00E95FB1" w:rsidRPr="00C86B34" w:rsidRDefault="00E95FB1" w:rsidP="001B3967">
            <w:pPr>
              <w:pStyle w:val="a7"/>
              <w:ind w:left="0"/>
              <w:jc w:val="center"/>
              <w:rPr>
                <w:sz w:val="22"/>
                <w:lang w:val="uk-UA"/>
              </w:rPr>
            </w:pPr>
          </w:p>
        </w:tc>
      </w:tr>
    </w:tbl>
    <w:p w:rsidR="00E95FB1" w:rsidRPr="00C86B34" w:rsidRDefault="00E95FB1" w:rsidP="00E95FB1">
      <w:pPr>
        <w:rPr>
          <w:sz w:val="22"/>
        </w:rPr>
      </w:pPr>
    </w:p>
    <w:p w:rsidR="00E95FB1" w:rsidRPr="00C86B34" w:rsidRDefault="00E95FB1" w:rsidP="00E95FB1">
      <w:pPr>
        <w:rPr>
          <w:sz w:val="22"/>
        </w:rPr>
      </w:pPr>
    </w:p>
    <w:tbl>
      <w:tblPr>
        <w:tblStyle w:val="af"/>
        <w:tblW w:w="0" w:type="auto"/>
        <w:tblInd w:w="-176" w:type="dxa"/>
        <w:tblLook w:val="04A0" w:firstRow="1" w:lastRow="0" w:firstColumn="1" w:lastColumn="0" w:noHBand="0" w:noVBand="1"/>
      </w:tblPr>
      <w:tblGrid>
        <w:gridCol w:w="2566"/>
        <w:gridCol w:w="1725"/>
        <w:gridCol w:w="1331"/>
        <w:gridCol w:w="773"/>
        <w:gridCol w:w="334"/>
        <w:gridCol w:w="1472"/>
        <w:gridCol w:w="1461"/>
      </w:tblGrid>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Оперативна ціль/завдання</w:t>
            </w:r>
          </w:p>
        </w:tc>
        <w:tc>
          <w:tcPr>
            <w:tcW w:w="7194" w:type="dxa"/>
            <w:gridSpan w:val="6"/>
            <w:shd w:val="clear" w:color="auto" w:fill="auto"/>
          </w:tcPr>
          <w:p w:rsidR="00E95FB1" w:rsidRPr="00C86B34" w:rsidRDefault="00F925CB" w:rsidP="001B3967">
            <w:pPr>
              <w:pStyle w:val="a7"/>
              <w:ind w:left="0"/>
              <w:rPr>
                <w:sz w:val="22"/>
                <w:lang w:val="uk-UA"/>
              </w:rPr>
            </w:pPr>
            <w:r w:rsidRPr="00C86B34">
              <w:rPr>
                <w:rFonts w:eastAsia="Arial"/>
                <w:sz w:val="22"/>
                <w:lang w:val="uk-UA"/>
              </w:rPr>
              <w:t xml:space="preserve">Людський розвиток </w:t>
            </w:r>
            <w:r w:rsidR="00E95FB1" w:rsidRPr="00C86B34">
              <w:rPr>
                <w:rFonts w:eastAsia="Arial"/>
                <w:sz w:val="22"/>
                <w:lang w:val="uk-UA"/>
              </w:rPr>
              <w:t>через інновації управління та довіру до влади.</w:t>
            </w:r>
          </w:p>
          <w:p w:rsidR="00E95FB1" w:rsidRPr="00C86B34" w:rsidRDefault="00E95FB1" w:rsidP="001B3967">
            <w:pPr>
              <w:rPr>
                <w:rFonts w:eastAsia="Arial"/>
                <w:b/>
                <w:sz w:val="22"/>
                <w:lang w:val="uk-UA"/>
              </w:rPr>
            </w:pPr>
            <w:r w:rsidRPr="00C86B34">
              <w:rPr>
                <w:rFonts w:eastAsia="Arial"/>
                <w:sz w:val="22"/>
                <w:lang w:val="uk-UA"/>
              </w:rPr>
              <w:t xml:space="preserve">Формування сучасного інклюзивного </w:t>
            </w:r>
            <w:proofErr w:type="spellStart"/>
            <w:r w:rsidRPr="00C86B34">
              <w:rPr>
                <w:rFonts w:eastAsia="Arial"/>
                <w:sz w:val="22"/>
                <w:lang w:val="uk-UA"/>
              </w:rPr>
              <w:t>освітньо</w:t>
            </w:r>
            <w:proofErr w:type="spellEnd"/>
            <w:r w:rsidRPr="00C86B34">
              <w:rPr>
                <w:rFonts w:eastAsia="Arial"/>
                <w:sz w:val="22"/>
                <w:lang w:val="uk-UA"/>
              </w:rPr>
              <w:t xml:space="preserve"> – культурного та спортивного простору для розвитку.</w:t>
            </w:r>
            <w:r w:rsidRPr="00C86B34">
              <w:rPr>
                <w:b/>
                <w:sz w:val="22"/>
                <w:lang w:val="uk-UA"/>
              </w:rPr>
              <w:t xml:space="preserve"> </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lastRenderedPageBreak/>
              <w:t>Назва проекту:</w:t>
            </w:r>
          </w:p>
        </w:tc>
        <w:tc>
          <w:tcPr>
            <w:tcW w:w="7194" w:type="dxa"/>
            <w:gridSpan w:val="6"/>
          </w:tcPr>
          <w:p w:rsidR="00E95FB1" w:rsidRPr="00C86B34" w:rsidRDefault="00E95FB1" w:rsidP="001B3967">
            <w:pPr>
              <w:pStyle w:val="af7"/>
              <w:rPr>
                <w:sz w:val="22"/>
                <w:lang w:val="uk-UA"/>
              </w:rPr>
            </w:pPr>
            <w:r w:rsidRPr="00C86B34">
              <w:rPr>
                <w:sz w:val="22"/>
                <w:lang w:val="uk-UA"/>
              </w:rPr>
              <w:t>Створення та відбудова будівель Музею ПАМ`ЯТІ під відкритим небом (вулиця Партизанська та прилеглий район з повністю зруйнованими будівлями) Сєвєродонецької міської територіальної громади для задоволення потреб мешканців у отриманні послуг, гарантованих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Ціль проекту</w:t>
            </w:r>
          </w:p>
        </w:tc>
        <w:tc>
          <w:tcPr>
            <w:tcW w:w="7194" w:type="dxa"/>
            <w:gridSpan w:val="6"/>
          </w:tcPr>
          <w:p w:rsidR="00E95FB1" w:rsidRPr="00C86B34" w:rsidRDefault="00E95FB1" w:rsidP="001B3967">
            <w:pPr>
              <w:pStyle w:val="a7"/>
              <w:ind w:left="0"/>
              <w:rPr>
                <w:sz w:val="22"/>
                <w:lang w:val="uk-UA"/>
              </w:rPr>
            </w:pPr>
            <w:r w:rsidRPr="00C86B34">
              <w:rPr>
                <w:sz w:val="22"/>
                <w:lang w:val="uk-UA"/>
              </w:rPr>
              <w:t>Створення та відбудова будівель Музею ПАМ`ЯТІ під відкритим небом (вулиця Партизанська та прилеглий район з повністю зруйнованими будівлями) Сєвєродонецької міської територіальної громади для задоволення потреб мешканців у отриманні послуг, гарантованих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Територія, на яку матиме вплив реалізація проекту</w:t>
            </w:r>
          </w:p>
        </w:tc>
        <w:tc>
          <w:tcPr>
            <w:tcW w:w="7194" w:type="dxa"/>
            <w:gridSpan w:val="6"/>
          </w:tcPr>
          <w:p w:rsidR="00E95FB1" w:rsidRPr="00C86B34" w:rsidRDefault="00E95FB1" w:rsidP="001B3967">
            <w:pPr>
              <w:pStyle w:val="a7"/>
              <w:ind w:left="0"/>
              <w:rPr>
                <w:sz w:val="22"/>
                <w:lang w:val="uk-UA"/>
              </w:rPr>
            </w:pPr>
            <w:r w:rsidRPr="00C86B34">
              <w:rPr>
                <w:sz w:val="22"/>
                <w:lang w:val="uk-UA"/>
              </w:rPr>
              <w:t>Сєвєродонецька міська територіальна громада</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Чисельність населення, на яке матиме вплив реалізація проекту</w:t>
            </w:r>
          </w:p>
        </w:tc>
        <w:tc>
          <w:tcPr>
            <w:tcW w:w="7194" w:type="dxa"/>
            <w:gridSpan w:val="6"/>
          </w:tcPr>
          <w:p w:rsidR="00E95FB1" w:rsidRPr="00C86B34" w:rsidRDefault="005E5C92" w:rsidP="001B3967">
            <w:pPr>
              <w:pStyle w:val="a7"/>
              <w:ind w:left="0"/>
              <w:rPr>
                <w:sz w:val="22"/>
                <w:lang w:val="uk-UA"/>
              </w:rPr>
            </w:pPr>
            <w:r w:rsidRPr="00C86B34">
              <w:rPr>
                <w:sz w:val="22"/>
                <w:lang w:val="uk-UA"/>
              </w:rPr>
              <w:t>70 000</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Опис проблеми, на вирішення якої  спрямований проект</w:t>
            </w:r>
          </w:p>
        </w:tc>
        <w:tc>
          <w:tcPr>
            <w:tcW w:w="7194" w:type="dxa"/>
            <w:gridSpan w:val="6"/>
          </w:tcPr>
          <w:p w:rsidR="00E95FB1" w:rsidRPr="00C86B34" w:rsidRDefault="00E95FB1" w:rsidP="001B3967">
            <w:pPr>
              <w:ind w:firstLine="328"/>
              <w:rPr>
                <w:sz w:val="22"/>
                <w:lang w:val="uk-UA"/>
              </w:rPr>
            </w:pPr>
            <w:r w:rsidRPr="00C86B34">
              <w:rPr>
                <w:sz w:val="22"/>
                <w:lang w:val="uk-UA"/>
              </w:rPr>
              <w:t>Через військову агресію РФ територія Сєвєродонецької міської територіальної громади зазнала значних пошкоджень</w:t>
            </w:r>
            <w:r w:rsidR="005E5C92" w:rsidRPr="00C86B34">
              <w:rPr>
                <w:sz w:val="22"/>
                <w:lang w:val="uk-UA"/>
              </w:rPr>
              <w:t>.</w:t>
            </w:r>
          </w:p>
          <w:p w:rsidR="00E95FB1" w:rsidRPr="00C86B34" w:rsidRDefault="005E5C92" w:rsidP="001B3967">
            <w:pPr>
              <w:rPr>
                <w:sz w:val="22"/>
                <w:lang w:val="uk-UA"/>
              </w:rPr>
            </w:pPr>
            <w:r w:rsidRPr="00C86B34">
              <w:rPr>
                <w:sz w:val="22"/>
                <w:lang w:val="uk-UA"/>
              </w:rPr>
              <w:t>В</w:t>
            </w:r>
            <w:r w:rsidR="00E95FB1" w:rsidRPr="00C86B34">
              <w:rPr>
                <w:sz w:val="22"/>
                <w:lang w:val="uk-UA"/>
              </w:rPr>
              <w:t>улиця Партизанська та прилеглий район з повністю зруйнованими будівлями</w:t>
            </w:r>
            <w:r w:rsidRPr="00C86B34">
              <w:rPr>
                <w:sz w:val="22"/>
                <w:lang w:val="uk-UA"/>
              </w:rPr>
              <w:t>,</w:t>
            </w:r>
            <w:r w:rsidR="00E95FB1" w:rsidRPr="00C86B34">
              <w:rPr>
                <w:sz w:val="22"/>
                <w:lang w:val="uk-UA"/>
              </w:rPr>
              <w:t xml:space="preserve"> тому ми пропонуємо відкриття на місці зруйнованих вулиць відкрити музей під відкритим небом «Музей ПАМ`ЯТІ».</w:t>
            </w:r>
          </w:p>
          <w:p w:rsidR="00E95FB1" w:rsidRPr="00C86B34" w:rsidRDefault="00E95FB1" w:rsidP="001B3967">
            <w:pPr>
              <w:ind w:firstLine="383"/>
              <w:rPr>
                <w:sz w:val="22"/>
                <w:lang w:val="uk-UA"/>
              </w:rPr>
            </w:pPr>
            <w:r w:rsidRPr="00C86B34">
              <w:rPr>
                <w:sz w:val="22"/>
                <w:lang w:val="uk-UA"/>
              </w:rPr>
              <w:t>Ми повинні зберігати й показувати майбутнім поколінням все жахіття, яке відбувалось, для того</w:t>
            </w:r>
            <w:r w:rsidR="005E5C92" w:rsidRPr="00C86B34">
              <w:rPr>
                <w:sz w:val="22"/>
                <w:lang w:val="uk-UA"/>
              </w:rPr>
              <w:t>,</w:t>
            </w:r>
            <w:r w:rsidRPr="00C86B34">
              <w:rPr>
                <w:sz w:val="22"/>
                <w:lang w:val="uk-UA"/>
              </w:rPr>
              <w:t xml:space="preserve"> щоб це більш ніколи не повторювалось.</w:t>
            </w:r>
          </w:p>
          <w:p w:rsidR="00E95FB1" w:rsidRPr="00C86B34" w:rsidRDefault="00E95FB1" w:rsidP="001B3967">
            <w:pPr>
              <w:ind w:firstLine="383"/>
              <w:rPr>
                <w:sz w:val="22"/>
                <w:lang w:val="uk-UA"/>
              </w:rPr>
            </w:pPr>
            <w:r w:rsidRPr="00C86B34">
              <w:rPr>
                <w:sz w:val="22"/>
                <w:lang w:val="uk-UA"/>
              </w:rPr>
              <w:t>Для поновлення життєдіяльності громади та стимулювання повернення мешканців до громади необхідно забезпечити їх всіма необхідними послугами, гарантованими законодавством України.</w:t>
            </w:r>
          </w:p>
          <w:p w:rsidR="00E95FB1" w:rsidRPr="00C86B34" w:rsidRDefault="00E95FB1" w:rsidP="001B3967">
            <w:pPr>
              <w:ind w:firstLine="383"/>
              <w:rPr>
                <w:sz w:val="22"/>
                <w:lang w:val="uk-UA"/>
              </w:rPr>
            </w:pPr>
            <w:r w:rsidRPr="00C86B34">
              <w:rPr>
                <w:sz w:val="22"/>
                <w:lang w:val="uk-UA"/>
              </w:rPr>
              <w:t>«Музей ПАМ`ЯТІ» буде цікавий для туристів з інших країн світу.</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Очікувані якісні результати від реалізації проекту</w:t>
            </w:r>
          </w:p>
        </w:tc>
        <w:tc>
          <w:tcPr>
            <w:tcW w:w="7194" w:type="dxa"/>
            <w:gridSpan w:val="6"/>
          </w:tcPr>
          <w:p w:rsidR="00E95FB1" w:rsidRPr="00C86B34" w:rsidRDefault="00E95FB1" w:rsidP="000303D7">
            <w:pPr>
              <w:pStyle w:val="a7"/>
              <w:numPr>
                <w:ilvl w:val="0"/>
                <w:numId w:val="27"/>
              </w:numPr>
              <w:jc w:val="left"/>
              <w:rPr>
                <w:sz w:val="22"/>
                <w:lang w:val="uk-UA"/>
              </w:rPr>
            </w:pPr>
            <w:r w:rsidRPr="00C86B34">
              <w:rPr>
                <w:sz w:val="22"/>
                <w:lang w:val="uk-UA"/>
              </w:rPr>
              <w:t>Отримання мешканцями громади якісних послуг у сфері культури;</w:t>
            </w:r>
          </w:p>
          <w:p w:rsidR="00E95FB1" w:rsidRPr="00C86B34" w:rsidRDefault="005E5C92" w:rsidP="000303D7">
            <w:pPr>
              <w:pStyle w:val="a7"/>
              <w:numPr>
                <w:ilvl w:val="0"/>
                <w:numId w:val="27"/>
              </w:numPr>
              <w:jc w:val="left"/>
              <w:rPr>
                <w:sz w:val="22"/>
                <w:lang w:val="uk-UA"/>
              </w:rPr>
            </w:pPr>
            <w:r w:rsidRPr="00C86B34">
              <w:rPr>
                <w:sz w:val="22"/>
                <w:lang w:val="uk-UA"/>
              </w:rPr>
              <w:t>м</w:t>
            </w:r>
            <w:r w:rsidR="00E95FB1" w:rsidRPr="00C86B34">
              <w:rPr>
                <w:sz w:val="22"/>
                <w:lang w:val="uk-UA"/>
              </w:rPr>
              <w:t>отивація мешканців громади до повернення у громаду;</w:t>
            </w:r>
          </w:p>
          <w:p w:rsidR="00E95FB1" w:rsidRPr="00C86B34" w:rsidRDefault="005E5C92" w:rsidP="000303D7">
            <w:pPr>
              <w:pStyle w:val="a7"/>
              <w:numPr>
                <w:ilvl w:val="0"/>
                <w:numId w:val="27"/>
              </w:numPr>
              <w:jc w:val="left"/>
              <w:rPr>
                <w:sz w:val="22"/>
                <w:lang w:val="uk-UA"/>
              </w:rPr>
            </w:pPr>
            <w:r w:rsidRPr="00C86B34">
              <w:rPr>
                <w:sz w:val="22"/>
                <w:lang w:val="uk-UA"/>
              </w:rPr>
              <w:t>з</w:t>
            </w:r>
            <w:r w:rsidR="00E95FB1" w:rsidRPr="00C86B34">
              <w:rPr>
                <w:sz w:val="22"/>
                <w:lang w:val="uk-UA"/>
              </w:rPr>
              <w:t xml:space="preserve">ахист правових, </w:t>
            </w:r>
            <w:proofErr w:type="spellStart"/>
            <w:r w:rsidR="00E95FB1" w:rsidRPr="00C86B34">
              <w:rPr>
                <w:sz w:val="22"/>
                <w:lang w:val="uk-UA"/>
              </w:rPr>
              <w:t>культурних,економічних</w:t>
            </w:r>
            <w:proofErr w:type="spellEnd"/>
            <w:r w:rsidR="00E95FB1" w:rsidRPr="00C86B34">
              <w:rPr>
                <w:sz w:val="22"/>
                <w:lang w:val="uk-UA"/>
              </w:rPr>
              <w:t xml:space="preserve"> та інших інтересів громадян;</w:t>
            </w:r>
          </w:p>
          <w:p w:rsidR="00E95FB1" w:rsidRPr="00C86B34" w:rsidRDefault="005E5C92" w:rsidP="000303D7">
            <w:pPr>
              <w:pStyle w:val="a7"/>
              <w:numPr>
                <w:ilvl w:val="0"/>
                <w:numId w:val="27"/>
              </w:numPr>
              <w:jc w:val="left"/>
              <w:rPr>
                <w:sz w:val="22"/>
                <w:lang w:val="uk-UA"/>
              </w:rPr>
            </w:pPr>
            <w:r w:rsidRPr="00C86B34">
              <w:rPr>
                <w:sz w:val="22"/>
                <w:lang w:val="uk-UA"/>
              </w:rPr>
              <w:t>н</w:t>
            </w:r>
            <w:r w:rsidR="00E95FB1" w:rsidRPr="00C86B34">
              <w:rPr>
                <w:sz w:val="22"/>
                <w:lang w:val="uk-UA"/>
              </w:rPr>
              <w:t>адання юридичним та фізичним особам-підприємцям якісних послуг для впровадження ними своєї діяльності;</w:t>
            </w:r>
          </w:p>
          <w:p w:rsidR="00E95FB1" w:rsidRPr="00C86B34" w:rsidRDefault="005E5C92" w:rsidP="000303D7">
            <w:pPr>
              <w:pStyle w:val="a7"/>
              <w:numPr>
                <w:ilvl w:val="0"/>
                <w:numId w:val="27"/>
              </w:numPr>
              <w:jc w:val="left"/>
              <w:rPr>
                <w:sz w:val="22"/>
                <w:lang w:val="uk-UA"/>
              </w:rPr>
            </w:pPr>
            <w:r w:rsidRPr="00C86B34">
              <w:rPr>
                <w:sz w:val="22"/>
                <w:lang w:val="uk-UA"/>
              </w:rPr>
              <w:t>с</w:t>
            </w:r>
            <w:r w:rsidR="00E95FB1" w:rsidRPr="00C86B34">
              <w:rPr>
                <w:sz w:val="22"/>
                <w:lang w:val="uk-UA"/>
              </w:rPr>
              <w:t>талий розвиток громади;</w:t>
            </w:r>
          </w:p>
          <w:p w:rsidR="00E95FB1" w:rsidRPr="00C86B34" w:rsidRDefault="005E5C92" w:rsidP="000303D7">
            <w:pPr>
              <w:pStyle w:val="a7"/>
              <w:numPr>
                <w:ilvl w:val="0"/>
                <w:numId w:val="27"/>
              </w:numPr>
              <w:jc w:val="left"/>
              <w:rPr>
                <w:sz w:val="22"/>
                <w:lang w:val="uk-UA"/>
              </w:rPr>
            </w:pPr>
            <w:r w:rsidRPr="00C86B34">
              <w:rPr>
                <w:sz w:val="22"/>
                <w:lang w:val="uk-UA"/>
              </w:rPr>
              <w:t>і</w:t>
            </w:r>
            <w:r w:rsidR="00E95FB1" w:rsidRPr="00C86B34">
              <w:rPr>
                <w:sz w:val="22"/>
                <w:lang w:val="uk-UA"/>
              </w:rPr>
              <w:t>нвестиційна привабливість громади;</w:t>
            </w:r>
          </w:p>
          <w:p w:rsidR="00E95FB1" w:rsidRPr="00C86B34" w:rsidRDefault="005E5C92" w:rsidP="005E5C92">
            <w:pPr>
              <w:pStyle w:val="a7"/>
              <w:numPr>
                <w:ilvl w:val="0"/>
                <w:numId w:val="27"/>
              </w:numPr>
              <w:jc w:val="left"/>
              <w:rPr>
                <w:sz w:val="22"/>
                <w:lang w:val="uk-UA"/>
              </w:rPr>
            </w:pPr>
            <w:r w:rsidRPr="00C86B34">
              <w:rPr>
                <w:sz w:val="22"/>
                <w:lang w:val="uk-UA"/>
              </w:rPr>
              <w:t>к</w:t>
            </w:r>
            <w:r w:rsidR="00E95FB1" w:rsidRPr="00C86B34">
              <w:rPr>
                <w:sz w:val="22"/>
                <w:lang w:val="uk-UA"/>
              </w:rPr>
              <w:t>омфортне життя мешканців.</w:t>
            </w:r>
          </w:p>
        </w:tc>
      </w:tr>
      <w:tr w:rsidR="00E95FB1" w:rsidRPr="00C86B34" w:rsidTr="001B3967">
        <w:trPr>
          <w:trHeight w:val="390"/>
        </w:trPr>
        <w:tc>
          <w:tcPr>
            <w:tcW w:w="2694" w:type="dxa"/>
            <w:vMerge w:val="restart"/>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 xml:space="preserve">Очікувані кількісні результати реалізації </w:t>
            </w:r>
            <w:proofErr w:type="spellStart"/>
            <w:r w:rsidRPr="00C86B34">
              <w:rPr>
                <w:b/>
                <w:sz w:val="22"/>
                <w:lang w:val="uk-UA"/>
              </w:rPr>
              <w:t>проєкту</w:t>
            </w:r>
            <w:proofErr w:type="spellEnd"/>
            <w:r w:rsidRPr="00C86B34">
              <w:rPr>
                <w:b/>
                <w:sz w:val="22"/>
                <w:lang w:val="uk-UA"/>
              </w:rPr>
              <w:t xml:space="preserve"> (індикатори)</w:t>
            </w:r>
          </w:p>
          <w:p w:rsidR="00E95FB1" w:rsidRPr="00C86B34" w:rsidRDefault="00E95FB1" w:rsidP="001B3967">
            <w:pPr>
              <w:pStyle w:val="a7"/>
              <w:ind w:left="0"/>
              <w:rPr>
                <w:b/>
                <w:sz w:val="22"/>
                <w:lang w:val="uk-UA"/>
              </w:rPr>
            </w:pPr>
          </w:p>
        </w:tc>
        <w:tc>
          <w:tcPr>
            <w:tcW w:w="3904" w:type="dxa"/>
            <w:gridSpan w:val="3"/>
            <w:tcBorders>
              <w:bottom w:val="single" w:sz="4" w:space="0" w:color="auto"/>
              <w:right w:val="single" w:sz="4" w:space="0" w:color="auto"/>
            </w:tcBorders>
          </w:tcPr>
          <w:p w:rsidR="00E95FB1" w:rsidRPr="00C86B34" w:rsidRDefault="00E95FB1" w:rsidP="001B3967">
            <w:pPr>
              <w:pStyle w:val="a7"/>
              <w:ind w:left="-108"/>
              <w:jc w:val="center"/>
              <w:rPr>
                <w:b/>
                <w:sz w:val="22"/>
                <w:lang w:val="uk-UA"/>
              </w:rPr>
            </w:pPr>
            <w:r w:rsidRPr="00C86B34">
              <w:rPr>
                <w:b/>
                <w:sz w:val="22"/>
                <w:lang w:val="uk-UA"/>
              </w:rPr>
              <w:t>Найменування показника</w:t>
            </w:r>
          </w:p>
        </w:tc>
        <w:tc>
          <w:tcPr>
            <w:tcW w:w="1816" w:type="dxa"/>
            <w:gridSpan w:val="2"/>
            <w:tcBorders>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Одиниця вимірювання</w:t>
            </w:r>
          </w:p>
          <w:p w:rsidR="00E95FB1" w:rsidRPr="00C86B34" w:rsidRDefault="00E95FB1" w:rsidP="001B3967">
            <w:pPr>
              <w:pStyle w:val="a7"/>
              <w:ind w:left="0"/>
              <w:rPr>
                <w:b/>
                <w:sz w:val="22"/>
                <w:lang w:val="uk-UA"/>
              </w:rPr>
            </w:pPr>
          </w:p>
        </w:tc>
        <w:tc>
          <w:tcPr>
            <w:tcW w:w="1474" w:type="dxa"/>
            <w:tcBorders>
              <w:left w:val="single" w:sz="4" w:space="0" w:color="auto"/>
              <w:bottom w:val="single" w:sz="4" w:space="0" w:color="auto"/>
            </w:tcBorders>
          </w:tcPr>
          <w:p w:rsidR="00E95FB1" w:rsidRPr="00C86B34" w:rsidRDefault="00E95FB1" w:rsidP="001B3967">
            <w:pPr>
              <w:pStyle w:val="a7"/>
              <w:ind w:left="0"/>
              <w:jc w:val="center"/>
              <w:rPr>
                <w:b/>
                <w:sz w:val="22"/>
                <w:lang w:val="uk-UA"/>
              </w:rPr>
            </w:pPr>
            <w:r w:rsidRPr="00C86B34">
              <w:rPr>
                <w:b/>
                <w:sz w:val="22"/>
                <w:lang w:val="uk-UA"/>
              </w:rPr>
              <w:t>Прогнозне (цільове) значення</w:t>
            </w:r>
          </w:p>
        </w:tc>
      </w:tr>
      <w:tr w:rsidR="00E95FB1" w:rsidRPr="00C86B34" w:rsidTr="001B3967">
        <w:trPr>
          <w:trHeight w:val="58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904"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 xml:space="preserve">Кількість </w:t>
            </w:r>
            <w:r w:rsidRPr="00C86B34">
              <w:rPr>
                <w:color w:val="202124"/>
                <w:sz w:val="22"/>
                <w:shd w:val="clear" w:color="auto" w:fill="FFFFFF"/>
                <w:lang w:val="uk-UA"/>
              </w:rPr>
              <w:t>країн-держав</w:t>
            </w:r>
            <w:r w:rsidR="00040AEF" w:rsidRPr="00C86B34">
              <w:rPr>
                <w:color w:val="202124"/>
                <w:sz w:val="22"/>
                <w:shd w:val="clear" w:color="auto" w:fill="FFFFFF"/>
                <w:lang w:val="uk-UA"/>
              </w:rPr>
              <w:t>,</w:t>
            </w:r>
            <w:r w:rsidRPr="00C86B34">
              <w:rPr>
                <w:sz w:val="22"/>
                <w:lang w:val="uk-UA"/>
              </w:rPr>
              <w:t xml:space="preserve"> які будуть зацікавлені</w:t>
            </w:r>
          </w:p>
        </w:tc>
        <w:tc>
          <w:tcPr>
            <w:tcW w:w="1816"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474" w:type="dxa"/>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195</w:t>
            </w:r>
          </w:p>
        </w:tc>
      </w:tr>
      <w:tr w:rsidR="00E95FB1" w:rsidRPr="00C86B34" w:rsidTr="001B3967">
        <w:trPr>
          <w:trHeight w:val="184"/>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904"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Кількість фізичних та юридичних осіб, які відвідують музей протягом  року</w:t>
            </w:r>
          </w:p>
        </w:tc>
        <w:tc>
          <w:tcPr>
            <w:tcW w:w="1816"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осіб</w:t>
            </w:r>
          </w:p>
        </w:tc>
        <w:tc>
          <w:tcPr>
            <w:tcW w:w="1474" w:type="dxa"/>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245000,0</w:t>
            </w:r>
          </w:p>
        </w:tc>
      </w:tr>
      <w:tr w:rsidR="00E95FB1" w:rsidRPr="00C86B34" w:rsidTr="001B3967">
        <w:trPr>
          <w:trHeight w:val="16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904"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Середня вартість послуг</w:t>
            </w:r>
          </w:p>
        </w:tc>
        <w:tc>
          <w:tcPr>
            <w:tcW w:w="1816"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грн</w:t>
            </w:r>
          </w:p>
        </w:tc>
        <w:tc>
          <w:tcPr>
            <w:tcW w:w="1474" w:type="dxa"/>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Буде додатково розрахована</w:t>
            </w:r>
          </w:p>
        </w:tc>
      </w:tr>
      <w:tr w:rsidR="00E95FB1" w:rsidRPr="00C86B34" w:rsidTr="001B3967">
        <w:trPr>
          <w:trHeight w:val="165"/>
        </w:trPr>
        <w:tc>
          <w:tcPr>
            <w:tcW w:w="2694" w:type="dxa"/>
            <w:shd w:val="clear" w:color="auto" w:fill="C6D9F1" w:themeFill="text2" w:themeFillTint="33"/>
          </w:tcPr>
          <w:p w:rsidR="00E95FB1" w:rsidRPr="00C86B34" w:rsidRDefault="00E95FB1" w:rsidP="001B3967">
            <w:pPr>
              <w:pStyle w:val="a7"/>
              <w:ind w:left="0"/>
              <w:rPr>
                <w:b/>
                <w:sz w:val="22"/>
                <w:lang w:val="uk-UA"/>
              </w:rPr>
            </w:pPr>
          </w:p>
        </w:tc>
        <w:tc>
          <w:tcPr>
            <w:tcW w:w="3904"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Кількість населених пунктів, яке обслуговує заклад</w:t>
            </w:r>
          </w:p>
        </w:tc>
        <w:tc>
          <w:tcPr>
            <w:tcW w:w="1816"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474" w:type="dxa"/>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20</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 xml:space="preserve">Ключові заходи проекту: </w:t>
            </w:r>
          </w:p>
          <w:p w:rsidR="00E95FB1" w:rsidRPr="00C86B34" w:rsidRDefault="00E95FB1" w:rsidP="001B3967">
            <w:pPr>
              <w:pStyle w:val="a7"/>
              <w:ind w:left="0"/>
              <w:rPr>
                <w:b/>
                <w:sz w:val="22"/>
                <w:lang w:val="uk-UA"/>
              </w:rPr>
            </w:pPr>
          </w:p>
        </w:tc>
        <w:tc>
          <w:tcPr>
            <w:tcW w:w="7194" w:type="dxa"/>
            <w:gridSpan w:val="6"/>
          </w:tcPr>
          <w:p w:rsidR="00E95FB1" w:rsidRPr="00C86B34" w:rsidRDefault="00E95FB1" w:rsidP="001B3967">
            <w:pPr>
              <w:pStyle w:val="a7"/>
              <w:ind w:left="0"/>
              <w:rPr>
                <w:sz w:val="22"/>
                <w:lang w:val="uk-UA"/>
              </w:rPr>
            </w:pPr>
            <w:r w:rsidRPr="00C86B34">
              <w:rPr>
                <w:sz w:val="22"/>
                <w:lang w:val="uk-UA"/>
              </w:rPr>
              <w:t>- обстеження об’єкта нерухомості;</w:t>
            </w:r>
          </w:p>
          <w:p w:rsidR="00E95FB1" w:rsidRPr="00C86B34" w:rsidRDefault="00E95FB1" w:rsidP="001B3967">
            <w:pPr>
              <w:pStyle w:val="a7"/>
              <w:ind w:left="0"/>
              <w:rPr>
                <w:sz w:val="22"/>
                <w:lang w:val="uk-UA"/>
              </w:rPr>
            </w:pPr>
            <w:r w:rsidRPr="00C86B34">
              <w:rPr>
                <w:sz w:val="22"/>
                <w:lang w:val="uk-UA"/>
              </w:rPr>
              <w:t>- пошук інвестора;</w:t>
            </w:r>
          </w:p>
          <w:p w:rsidR="00E95FB1" w:rsidRPr="00C86B34" w:rsidRDefault="00E95FB1" w:rsidP="001B3967">
            <w:pPr>
              <w:pStyle w:val="a7"/>
              <w:ind w:left="0"/>
              <w:rPr>
                <w:sz w:val="22"/>
                <w:lang w:val="uk-UA"/>
              </w:rPr>
            </w:pPr>
            <w:r w:rsidRPr="00C86B34">
              <w:rPr>
                <w:sz w:val="22"/>
                <w:lang w:val="uk-UA"/>
              </w:rPr>
              <w:t>- розробка проектно-кошторисної документації;</w:t>
            </w:r>
          </w:p>
          <w:p w:rsidR="00E95FB1" w:rsidRPr="00C86B34" w:rsidRDefault="00E95FB1" w:rsidP="001B3967">
            <w:pPr>
              <w:pStyle w:val="a7"/>
              <w:ind w:left="0"/>
              <w:rPr>
                <w:sz w:val="22"/>
                <w:lang w:val="uk-UA"/>
              </w:rPr>
            </w:pPr>
            <w:r w:rsidRPr="00C86B34">
              <w:rPr>
                <w:sz w:val="22"/>
                <w:lang w:val="uk-UA"/>
              </w:rPr>
              <w:lastRenderedPageBreak/>
              <w:t>- укладення договору про будівництво із підрядною організацією;</w:t>
            </w:r>
          </w:p>
          <w:p w:rsidR="00E95FB1" w:rsidRPr="00C86B34" w:rsidRDefault="00E95FB1" w:rsidP="001B3967">
            <w:pPr>
              <w:pStyle w:val="a7"/>
              <w:ind w:left="0"/>
              <w:rPr>
                <w:sz w:val="22"/>
                <w:lang w:val="uk-UA"/>
              </w:rPr>
            </w:pPr>
            <w:r w:rsidRPr="00C86B34">
              <w:rPr>
                <w:sz w:val="22"/>
                <w:lang w:val="uk-UA"/>
              </w:rPr>
              <w:t>- організація та початок робочого процесу.</w:t>
            </w:r>
          </w:p>
        </w:tc>
      </w:tr>
      <w:tr w:rsidR="00E95FB1" w:rsidRPr="00C86B34" w:rsidTr="001B3967">
        <w:trPr>
          <w:trHeight w:val="360"/>
        </w:trPr>
        <w:tc>
          <w:tcPr>
            <w:tcW w:w="2694" w:type="dxa"/>
            <w:vMerge w:val="restart"/>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lastRenderedPageBreak/>
              <w:t xml:space="preserve">Орієнтовний обсяг та джерела фінансування, тис. грн. </w:t>
            </w:r>
          </w:p>
          <w:p w:rsidR="00E95FB1" w:rsidRPr="00C86B34" w:rsidRDefault="00E95FB1" w:rsidP="001B3967">
            <w:pPr>
              <w:pStyle w:val="a7"/>
              <w:ind w:left="0"/>
              <w:rPr>
                <w:b/>
                <w:sz w:val="22"/>
                <w:lang w:val="uk-UA"/>
              </w:rPr>
            </w:pPr>
          </w:p>
        </w:tc>
        <w:tc>
          <w:tcPr>
            <w:tcW w:w="1776" w:type="dxa"/>
            <w:tcBorders>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Державний бюджет</w:t>
            </w:r>
          </w:p>
        </w:tc>
        <w:tc>
          <w:tcPr>
            <w:tcW w:w="1352" w:type="dxa"/>
            <w:tcBorders>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Місцевий бюджет</w:t>
            </w:r>
          </w:p>
          <w:p w:rsidR="00E95FB1" w:rsidRPr="00C86B34" w:rsidRDefault="00E95FB1" w:rsidP="001B3967">
            <w:pPr>
              <w:pStyle w:val="a7"/>
              <w:ind w:left="0"/>
              <w:jc w:val="center"/>
              <w:rPr>
                <w:b/>
                <w:sz w:val="22"/>
                <w:lang w:val="uk-UA"/>
              </w:rPr>
            </w:pPr>
            <w:proofErr w:type="spellStart"/>
            <w:r w:rsidRPr="00C86B34">
              <w:rPr>
                <w:b/>
                <w:sz w:val="22"/>
                <w:lang w:val="uk-UA"/>
              </w:rPr>
              <w:t>тис.грн</w:t>
            </w:r>
            <w:proofErr w:type="spellEnd"/>
          </w:p>
        </w:tc>
        <w:tc>
          <w:tcPr>
            <w:tcW w:w="2592" w:type="dxa"/>
            <w:gridSpan w:val="3"/>
            <w:tcBorders>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Інші джерела</w:t>
            </w:r>
          </w:p>
          <w:p w:rsidR="00E95FB1" w:rsidRPr="00C86B34" w:rsidRDefault="00E95FB1" w:rsidP="001B3967">
            <w:pPr>
              <w:pStyle w:val="a7"/>
              <w:ind w:left="0"/>
              <w:jc w:val="center"/>
              <w:rPr>
                <w:b/>
                <w:sz w:val="22"/>
                <w:lang w:val="uk-UA"/>
              </w:rPr>
            </w:pPr>
            <w:proofErr w:type="spellStart"/>
            <w:r w:rsidRPr="00C86B34">
              <w:rPr>
                <w:b/>
                <w:sz w:val="22"/>
                <w:lang w:val="uk-UA"/>
              </w:rPr>
              <w:t>тис.грн</w:t>
            </w:r>
            <w:proofErr w:type="spellEnd"/>
          </w:p>
        </w:tc>
        <w:tc>
          <w:tcPr>
            <w:tcW w:w="1474" w:type="dxa"/>
            <w:tcBorders>
              <w:left w:val="single" w:sz="4" w:space="0" w:color="auto"/>
              <w:bottom w:val="single" w:sz="4" w:space="0" w:color="auto"/>
            </w:tcBorders>
          </w:tcPr>
          <w:p w:rsidR="00E95FB1" w:rsidRPr="00C86B34" w:rsidRDefault="00E95FB1" w:rsidP="001B3967">
            <w:pPr>
              <w:pStyle w:val="a7"/>
              <w:ind w:left="0"/>
              <w:jc w:val="center"/>
              <w:rPr>
                <w:b/>
                <w:sz w:val="22"/>
                <w:lang w:val="uk-UA"/>
              </w:rPr>
            </w:pPr>
            <w:r w:rsidRPr="00C86B34">
              <w:rPr>
                <w:b/>
                <w:sz w:val="22"/>
                <w:lang w:val="uk-UA"/>
              </w:rPr>
              <w:t>Всього</w:t>
            </w:r>
          </w:p>
          <w:p w:rsidR="00E95FB1" w:rsidRPr="00C86B34" w:rsidRDefault="00E95FB1" w:rsidP="001B3967">
            <w:pPr>
              <w:pStyle w:val="a7"/>
              <w:ind w:left="0"/>
              <w:jc w:val="center"/>
              <w:rPr>
                <w:b/>
                <w:sz w:val="22"/>
                <w:lang w:val="uk-UA"/>
              </w:rPr>
            </w:pPr>
            <w:proofErr w:type="spellStart"/>
            <w:r w:rsidRPr="00C86B34">
              <w:rPr>
                <w:b/>
                <w:sz w:val="22"/>
                <w:lang w:val="uk-UA"/>
              </w:rPr>
              <w:t>тис.грн</w:t>
            </w:r>
            <w:proofErr w:type="spellEnd"/>
          </w:p>
        </w:tc>
      </w:tr>
      <w:tr w:rsidR="00E95FB1" w:rsidRPr="00C86B34" w:rsidTr="001B3967">
        <w:trPr>
          <w:trHeight w:val="22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1776" w:type="dxa"/>
            <w:vMerge w:val="restart"/>
            <w:tcBorders>
              <w:top w:val="single" w:sz="4" w:space="0" w:color="auto"/>
              <w:right w:val="single" w:sz="4" w:space="0" w:color="auto"/>
            </w:tcBorders>
          </w:tcPr>
          <w:p w:rsidR="00E95FB1" w:rsidRPr="00C86B34" w:rsidRDefault="00E95FB1" w:rsidP="001B3967">
            <w:pPr>
              <w:pStyle w:val="a7"/>
              <w:ind w:left="0"/>
              <w:jc w:val="center"/>
              <w:rPr>
                <w:b/>
                <w:sz w:val="22"/>
                <w:lang w:val="uk-UA"/>
              </w:rPr>
            </w:pPr>
          </w:p>
        </w:tc>
        <w:tc>
          <w:tcPr>
            <w:tcW w:w="1352" w:type="dxa"/>
            <w:vMerge w:val="restart"/>
            <w:tcBorders>
              <w:top w:val="single" w:sz="4" w:space="0" w:color="auto"/>
              <w:right w:val="single" w:sz="4" w:space="0" w:color="auto"/>
            </w:tcBorders>
          </w:tcPr>
          <w:p w:rsidR="00E95FB1" w:rsidRPr="00C86B34" w:rsidRDefault="00E95FB1" w:rsidP="001B3967">
            <w:pPr>
              <w:pStyle w:val="a7"/>
              <w:ind w:left="0"/>
              <w:jc w:val="center"/>
              <w:rPr>
                <w:sz w:val="22"/>
                <w:lang w:val="uk-UA"/>
              </w:rPr>
            </w:pPr>
            <w:proofErr w:type="spellStart"/>
            <w:r w:rsidRPr="00C86B34">
              <w:rPr>
                <w:sz w:val="22"/>
                <w:lang w:val="uk-UA"/>
              </w:rPr>
              <w:t>Проєкт</w:t>
            </w:r>
            <w:proofErr w:type="spellEnd"/>
          </w:p>
          <w:p w:rsidR="00E95FB1" w:rsidRPr="00C86B34" w:rsidRDefault="00E95FB1" w:rsidP="001B3967">
            <w:pPr>
              <w:pStyle w:val="a7"/>
              <w:ind w:left="0"/>
              <w:jc w:val="center"/>
              <w:rPr>
                <w:sz w:val="22"/>
                <w:lang w:val="uk-UA"/>
              </w:rPr>
            </w:pPr>
            <w:r w:rsidRPr="00C86B34">
              <w:rPr>
                <w:sz w:val="22"/>
                <w:lang w:val="uk-UA"/>
              </w:rPr>
              <w:t>2000,0</w:t>
            </w:r>
          </w:p>
        </w:tc>
        <w:tc>
          <w:tcPr>
            <w:tcW w:w="1116" w:type="dxa"/>
            <w:gridSpan w:val="2"/>
            <w:tcBorders>
              <w:top w:val="single" w:sz="4" w:space="0" w:color="auto"/>
              <w:left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Обсяг</w:t>
            </w:r>
          </w:p>
          <w:p w:rsidR="00E95FB1" w:rsidRPr="00C86B34" w:rsidRDefault="00E95FB1" w:rsidP="001B3967">
            <w:pPr>
              <w:pStyle w:val="a7"/>
              <w:ind w:left="0"/>
              <w:jc w:val="center"/>
              <w:rPr>
                <w:sz w:val="22"/>
                <w:lang w:val="uk-UA"/>
              </w:rPr>
            </w:pPr>
            <w:proofErr w:type="spellStart"/>
            <w:r w:rsidRPr="00C86B34">
              <w:rPr>
                <w:sz w:val="22"/>
                <w:lang w:val="uk-UA"/>
              </w:rPr>
              <w:t>тис.грн</w:t>
            </w:r>
            <w:proofErr w:type="spellEnd"/>
          </w:p>
        </w:tc>
        <w:tc>
          <w:tcPr>
            <w:tcW w:w="1476" w:type="dxa"/>
            <w:tcBorders>
              <w:top w:val="single" w:sz="4" w:space="0" w:color="auto"/>
              <w:left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Назва джерела</w:t>
            </w:r>
          </w:p>
        </w:tc>
        <w:tc>
          <w:tcPr>
            <w:tcW w:w="1474" w:type="dxa"/>
            <w:vMerge w:val="restart"/>
            <w:tcBorders>
              <w:top w:val="single" w:sz="4" w:space="0" w:color="auto"/>
              <w:left w:val="single" w:sz="4" w:space="0" w:color="auto"/>
            </w:tcBorders>
          </w:tcPr>
          <w:p w:rsidR="00E95FB1" w:rsidRPr="00C86B34" w:rsidRDefault="00E95FB1" w:rsidP="001B3967">
            <w:pPr>
              <w:pStyle w:val="a7"/>
              <w:ind w:left="0"/>
              <w:jc w:val="center"/>
              <w:rPr>
                <w:sz w:val="22"/>
                <w:lang w:val="uk-UA"/>
              </w:rPr>
            </w:pPr>
            <w:r w:rsidRPr="00C86B34">
              <w:rPr>
                <w:sz w:val="22"/>
                <w:lang w:val="uk-UA"/>
              </w:rPr>
              <w:t>382000,00</w:t>
            </w:r>
          </w:p>
        </w:tc>
      </w:tr>
      <w:tr w:rsidR="00E95FB1" w:rsidRPr="00C86B34" w:rsidTr="001B3967">
        <w:trPr>
          <w:trHeight w:val="300"/>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1776" w:type="dxa"/>
            <w:vMerge/>
            <w:tcBorders>
              <w:right w:val="single" w:sz="4" w:space="0" w:color="auto"/>
            </w:tcBorders>
          </w:tcPr>
          <w:p w:rsidR="00E95FB1" w:rsidRPr="00C86B34" w:rsidRDefault="00E95FB1" w:rsidP="001B3967">
            <w:pPr>
              <w:pStyle w:val="a7"/>
              <w:ind w:left="0"/>
              <w:jc w:val="center"/>
              <w:rPr>
                <w:sz w:val="22"/>
                <w:lang w:val="uk-UA"/>
              </w:rPr>
            </w:pPr>
          </w:p>
        </w:tc>
        <w:tc>
          <w:tcPr>
            <w:tcW w:w="1352" w:type="dxa"/>
            <w:vMerge/>
            <w:tcBorders>
              <w:right w:val="single" w:sz="4" w:space="0" w:color="auto"/>
            </w:tcBorders>
          </w:tcPr>
          <w:p w:rsidR="00E95FB1" w:rsidRPr="00C86B34" w:rsidRDefault="00E95FB1" w:rsidP="001B3967">
            <w:pPr>
              <w:pStyle w:val="a7"/>
              <w:ind w:left="0"/>
              <w:jc w:val="center"/>
              <w:rPr>
                <w:b/>
                <w:sz w:val="22"/>
                <w:lang w:val="uk-UA"/>
              </w:rPr>
            </w:pPr>
          </w:p>
        </w:tc>
        <w:tc>
          <w:tcPr>
            <w:tcW w:w="1116" w:type="dxa"/>
            <w:gridSpan w:val="2"/>
            <w:tcBorders>
              <w:top w:val="single" w:sz="4" w:space="0" w:color="auto"/>
              <w:left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380000,0</w:t>
            </w:r>
          </w:p>
        </w:tc>
        <w:tc>
          <w:tcPr>
            <w:tcW w:w="1476" w:type="dxa"/>
            <w:tcBorders>
              <w:top w:val="single" w:sz="4" w:space="0" w:color="auto"/>
              <w:left w:val="single" w:sz="4" w:space="0" w:color="auto"/>
              <w:right w:val="single" w:sz="4" w:space="0" w:color="auto"/>
            </w:tcBorders>
          </w:tcPr>
          <w:p w:rsidR="00E95FB1" w:rsidRPr="00C86B34" w:rsidRDefault="00E95FB1" w:rsidP="001B3967">
            <w:pPr>
              <w:pStyle w:val="a7"/>
              <w:ind w:left="0"/>
              <w:jc w:val="center"/>
              <w:rPr>
                <w:sz w:val="22"/>
                <w:lang w:val="uk-UA"/>
              </w:rPr>
            </w:pPr>
          </w:p>
        </w:tc>
        <w:tc>
          <w:tcPr>
            <w:tcW w:w="1474" w:type="dxa"/>
            <w:vMerge/>
            <w:tcBorders>
              <w:left w:val="single" w:sz="4" w:space="0" w:color="auto"/>
            </w:tcBorders>
          </w:tcPr>
          <w:p w:rsidR="00E95FB1" w:rsidRPr="00C86B34" w:rsidRDefault="00E95FB1" w:rsidP="001B3967">
            <w:pPr>
              <w:pStyle w:val="a7"/>
              <w:ind w:left="0"/>
              <w:jc w:val="center"/>
              <w:rPr>
                <w:sz w:val="22"/>
                <w:lang w:val="uk-UA"/>
              </w:rPr>
            </w:pPr>
          </w:p>
        </w:tc>
      </w:tr>
    </w:tbl>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tbl>
      <w:tblPr>
        <w:tblpPr w:leftFromText="180" w:rightFromText="180" w:vertAnchor="text" w:horzAnchor="page" w:tblpX="1397" w:tblpY="123"/>
        <w:tblW w:w="9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724"/>
        <w:gridCol w:w="1933"/>
        <w:gridCol w:w="1254"/>
        <w:gridCol w:w="640"/>
        <w:gridCol w:w="614"/>
        <w:gridCol w:w="662"/>
        <w:gridCol w:w="592"/>
        <w:gridCol w:w="1495"/>
      </w:tblGrid>
      <w:tr w:rsidR="00E95FB1" w:rsidRPr="00C86B34" w:rsidTr="001B3967">
        <w:trPr>
          <w:trHeight w:val="268"/>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220406"/>
                <w:sz w:val="22"/>
              </w:rPr>
            </w:pPr>
            <w:r w:rsidRPr="00C86B34">
              <w:rPr>
                <w:rFonts w:eastAsia="Calibri"/>
                <w:b/>
                <w:color w:val="220406"/>
                <w:sz w:val="22"/>
              </w:rPr>
              <w:t>Оперативна ціль/завдання</w:t>
            </w:r>
          </w:p>
        </w:tc>
        <w:tc>
          <w:tcPr>
            <w:tcW w:w="7190" w:type="dxa"/>
            <w:gridSpan w:val="7"/>
          </w:tcPr>
          <w:p w:rsidR="00E95FB1" w:rsidRPr="00C86B34" w:rsidRDefault="00141BE2" w:rsidP="001B3967">
            <w:pPr>
              <w:pStyle w:val="a7"/>
              <w:ind w:left="0"/>
              <w:rPr>
                <w:sz w:val="22"/>
              </w:rPr>
            </w:pPr>
            <w:r w:rsidRPr="00C86B34">
              <w:rPr>
                <w:rFonts w:eastAsia="Arial"/>
                <w:sz w:val="22"/>
              </w:rPr>
              <w:t xml:space="preserve">Людський розвиток </w:t>
            </w:r>
            <w:r w:rsidR="00E95FB1" w:rsidRPr="00C86B34">
              <w:rPr>
                <w:rFonts w:eastAsia="Arial"/>
                <w:sz w:val="22"/>
              </w:rPr>
              <w:t xml:space="preserve">через інновації управління та довіру до влади. Формування сучасного інклюзивного </w:t>
            </w:r>
            <w:proofErr w:type="spellStart"/>
            <w:r w:rsidR="00E95FB1" w:rsidRPr="00C86B34">
              <w:rPr>
                <w:rFonts w:eastAsia="Arial"/>
                <w:sz w:val="22"/>
              </w:rPr>
              <w:t>освітньо</w:t>
            </w:r>
            <w:proofErr w:type="spellEnd"/>
            <w:r w:rsidR="00E95FB1" w:rsidRPr="00C86B34">
              <w:rPr>
                <w:rFonts w:eastAsia="Arial"/>
                <w:sz w:val="22"/>
              </w:rPr>
              <w:t xml:space="preserve"> – культурного та спортивного простору для розвитку</w:t>
            </w:r>
          </w:p>
        </w:tc>
      </w:tr>
      <w:tr w:rsidR="00E95FB1" w:rsidRPr="00C86B34" w:rsidTr="001B3967">
        <w:trPr>
          <w:trHeight w:val="289"/>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220406"/>
                <w:sz w:val="22"/>
              </w:rPr>
            </w:pPr>
            <w:r w:rsidRPr="00C86B34">
              <w:rPr>
                <w:rFonts w:eastAsia="Calibri"/>
                <w:b/>
                <w:color w:val="220406"/>
                <w:sz w:val="22"/>
              </w:rPr>
              <w:t>Назва проекту:</w:t>
            </w:r>
          </w:p>
        </w:tc>
        <w:tc>
          <w:tcPr>
            <w:tcW w:w="7190" w:type="dxa"/>
            <w:gridSpan w:val="7"/>
          </w:tcPr>
          <w:p w:rsidR="00E95FB1" w:rsidRPr="00C86B34" w:rsidRDefault="00E95FB1" w:rsidP="001B3967">
            <w:pPr>
              <w:autoSpaceDE w:val="0"/>
              <w:autoSpaceDN w:val="0"/>
              <w:adjustRightInd w:val="0"/>
              <w:ind w:left="49" w:right="116"/>
              <w:rPr>
                <w:rFonts w:eastAsia="Calibri"/>
                <w:color w:val="000000"/>
                <w:sz w:val="22"/>
              </w:rPr>
            </w:pPr>
            <w:r w:rsidRPr="00C86B34">
              <w:rPr>
                <w:rFonts w:eastAsia="Calibri"/>
                <w:color w:val="000000"/>
                <w:sz w:val="22"/>
              </w:rPr>
              <w:t>Капітальний ремонт  КДЮСШ</w:t>
            </w:r>
            <w:r w:rsidR="00141BE2" w:rsidRPr="00C86B34">
              <w:rPr>
                <w:rFonts w:eastAsia="Calibri"/>
                <w:color w:val="000000"/>
                <w:sz w:val="22"/>
              </w:rPr>
              <w:t xml:space="preserve"> </w:t>
            </w:r>
            <w:r w:rsidRPr="00C86B34">
              <w:rPr>
                <w:rFonts w:eastAsia="Calibri"/>
                <w:color w:val="000000"/>
                <w:sz w:val="22"/>
              </w:rPr>
              <w:t xml:space="preserve">1 міста Сєвєродонецьк Луганської області за </w:t>
            </w:r>
            <w:proofErr w:type="spellStart"/>
            <w:r w:rsidRPr="00C86B34">
              <w:rPr>
                <w:rFonts w:eastAsia="Calibri"/>
                <w:color w:val="000000"/>
                <w:sz w:val="22"/>
              </w:rPr>
              <w:t>адресою</w:t>
            </w:r>
            <w:proofErr w:type="spellEnd"/>
            <w:r w:rsidRPr="00C86B34">
              <w:rPr>
                <w:rFonts w:eastAsia="Calibri"/>
                <w:color w:val="000000"/>
                <w:sz w:val="22"/>
              </w:rPr>
              <w:t>: вул. Федоренка, 33.</w:t>
            </w:r>
          </w:p>
        </w:tc>
      </w:tr>
      <w:tr w:rsidR="00E95FB1" w:rsidRPr="00C86B34" w:rsidTr="001B3967">
        <w:trPr>
          <w:trHeight w:val="344"/>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220406"/>
                <w:sz w:val="22"/>
              </w:rPr>
            </w:pPr>
            <w:r w:rsidRPr="00C86B34">
              <w:rPr>
                <w:rFonts w:eastAsia="Calibri"/>
                <w:b/>
                <w:color w:val="220406"/>
                <w:sz w:val="22"/>
              </w:rPr>
              <w:t>Ціль проекту</w:t>
            </w:r>
          </w:p>
        </w:tc>
        <w:tc>
          <w:tcPr>
            <w:tcW w:w="7190" w:type="dxa"/>
            <w:gridSpan w:val="7"/>
            <w:vAlign w:val="center"/>
          </w:tcPr>
          <w:p w:rsidR="00E95FB1" w:rsidRPr="00C86B34" w:rsidRDefault="00E95FB1" w:rsidP="001B3967">
            <w:pPr>
              <w:autoSpaceDE w:val="0"/>
              <w:autoSpaceDN w:val="0"/>
              <w:adjustRightInd w:val="0"/>
              <w:ind w:left="49" w:right="116"/>
              <w:rPr>
                <w:rFonts w:eastAsia="Calibri"/>
                <w:color w:val="000000"/>
                <w:sz w:val="22"/>
              </w:rPr>
            </w:pPr>
            <w:r w:rsidRPr="00C86B34">
              <w:rPr>
                <w:sz w:val="22"/>
              </w:rPr>
              <w:t xml:space="preserve">Створення безпечних та комфортних умов для заняття фізкультурою та спортом мешканцям громади, у т. ч. особами з особливими потребами,  покращення здоров’я жителів громади шляхом проведення реабілітаційних заходів, метою яких є відновлення фізичного та психічного здоров'я людини, порушених  внаслідок військового вторгнення </w:t>
            </w:r>
            <w:r w:rsidR="00141BE2" w:rsidRPr="00C86B34">
              <w:rPr>
                <w:sz w:val="22"/>
              </w:rPr>
              <w:t>РФ</w:t>
            </w:r>
            <w:r w:rsidRPr="00C86B34">
              <w:rPr>
                <w:sz w:val="22"/>
              </w:rPr>
              <w:t xml:space="preserve"> на територію України, формування здорового способу життя, популяризація фізичної культури та спорту.</w:t>
            </w:r>
          </w:p>
        </w:tc>
      </w:tr>
      <w:tr w:rsidR="00E95FB1" w:rsidRPr="00C86B34" w:rsidTr="001B3967">
        <w:trPr>
          <w:trHeight w:val="289"/>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220406"/>
                <w:sz w:val="22"/>
              </w:rPr>
            </w:pPr>
            <w:r w:rsidRPr="00C86B34">
              <w:rPr>
                <w:rFonts w:eastAsia="Calibri"/>
                <w:b/>
                <w:color w:val="220406"/>
                <w:sz w:val="22"/>
              </w:rPr>
              <w:t>Територія, на яку матиме вплив реалізація проекту</w:t>
            </w:r>
          </w:p>
        </w:tc>
        <w:tc>
          <w:tcPr>
            <w:tcW w:w="7190" w:type="dxa"/>
            <w:gridSpan w:val="7"/>
            <w:vAlign w:val="center"/>
          </w:tcPr>
          <w:p w:rsidR="00E95FB1" w:rsidRPr="00C86B34" w:rsidRDefault="00E95FB1" w:rsidP="001B3967">
            <w:pPr>
              <w:autoSpaceDE w:val="0"/>
              <w:autoSpaceDN w:val="0"/>
              <w:adjustRightInd w:val="0"/>
              <w:ind w:left="49" w:right="116" w:hanging="5"/>
              <w:rPr>
                <w:rFonts w:eastAsia="Calibri"/>
                <w:color w:val="000000"/>
                <w:sz w:val="22"/>
              </w:rPr>
            </w:pPr>
            <w:r w:rsidRPr="00C86B34">
              <w:rPr>
                <w:rFonts w:eastAsia="Calibri"/>
                <w:color w:val="000000"/>
                <w:sz w:val="22"/>
              </w:rPr>
              <w:t>Сєвєродонецька міська територіальна громада.</w:t>
            </w:r>
          </w:p>
        </w:tc>
      </w:tr>
      <w:tr w:rsidR="00E95FB1" w:rsidRPr="00C86B34" w:rsidTr="001B3967">
        <w:trPr>
          <w:trHeight w:val="579"/>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220406"/>
                <w:sz w:val="22"/>
              </w:rPr>
            </w:pPr>
            <w:r w:rsidRPr="00C86B34">
              <w:rPr>
                <w:rFonts w:eastAsia="Calibri"/>
                <w:b/>
                <w:color w:val="220406"/>
                <w:sz w:val="22"/>
              </w:rPr>
              <w:t>Чисельність населення, на яке матиме вплив реалізація проекту</w:t>
            </w:r>
          </w:p>
        </w:tc>
        <w:tc>
          <w:tcPr>
            <w:tcW w:w="7190" w:type="dxa"/>
            <w:gridSpan w:val="7"/>
            <w:vAlign w:val="center"/>
          </w:tcPr>
          <w:p w:rsidR="00E95FB1" w:rsidRPr="00C86B34" w:rsidRDefault="00141BE2" w:rsidP="00141BE2">
            <w:pPr>
              <w:autoSpaceDE w:val="0"/>
              <w:autoSpaceDN w:val="0"/>
              <w:adjustRightInd w:val="0"/>
              <w:ind w:left="49" w:right="116" w:hanging="5"/>
              <w:rPr>
                <w:rFonts w:eastAsia="Calibri"/>
                <w:color w:val="000000"/>
                <w:sz w:val="22"/>
              </w:rPr>
            </w:pPr>
            <w:r w:rsidRPr="00C86B34">
              <w:rPr>
                <w:rFonts w:eastAsia="BatangChe"/>
                <w:sz w:val="22"/>
              </w:rPr>
              <w:t>70 000</w:t>
            </w:r>
            <w:r w:rsidR="00E95FB1" w:rsidRPr="00C86B34">
              <w:rPr>
                <w:rFonts w:eastAsia="BatangChe"/>
                <w:sz w:val="22"/>
              </w:rPr>
              <w:t xml:space="preserve"> </w:t>
            </w:r>
          </w:p>
        </w:tc>
      </w:tr>
      <w:tr w:rsidR="00E95FB1" w:rsidRPr="00C86B34" w:rsidTr="001B3967">
        <w:trPr>
          <w:trHeight w:val="312"/>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220406"/>
                <w:sz w:val="22"/>
              </w:rPr>
            </w:pPr>
            <w:r w:rsidRPr="00C86B34">
              <w:rPr>
                <w:rFonts w:eastAsia="Calibri"/>
                <w:b/>
                <w:color w:val="220406"/>
                <w:sz w:val="22"/>
              </w:rPr>
              <w:t>Опис проблеми, на вирішення якої спрямований проект</w:t>
            </w:r>
          </w:p>
        </w:tc>
        <w:tc>
          <w:tcPr>
            <w:tcW w:w="7190" w:type="dxa"/>
            <w:gridSpan w:val="7"/>
          </w:tcPr>
          <w:p w:rsidR="00E95FB1" w:rsidRPr="00C86B34" w:rsidRDefault="00E95FB1" w:rsidP="001B3967">
            <w:pPr>
              <w:ind w:left="44"/>
              <w:rPr>
                <w:color w:val="000000"/>
                <w:spacing w:val="2"/>
                <w:sz w:val="22"/>
                <w:shd w:val="clear" w:color="auto" w:fill="FFFFFF"/>
              </w:rPr>
            </w:pPr>
            <w:r w:rsidRPr="00C86B34">
              <w:rPr>
                <w:color w:val="000000"/>
                <w:spacing w:val="2"/>
                <w:sz w:val="22"/>
                <w:shd w:val="clear" w:color="auto" w:fill="FFFFFF"/>
              </w:rPr>
              <w:t>Залучення широких верств населення до занять фізичною культурою, стан його здоров'я та успіхи на міжнародних змаганнях є безперечним доказом життєздатності та духовної сили будь-якої нації. Для того</w:t>
            </w:r>
            <w:r w:rsidR="00141BE2" w:rsidRPr="00C86B34">
              <w:rPr>
                <w:color w:val="000000"/>
                <w:spacing w:val="2"/>
                <w:sz w:val="22"/>
                <w:shd w:val="clear" w:color="auto" w:fill="FFFFFF"/>
              </w:rPr>
              <w:t>,</w:t>
            </w:r>
            <w:r w:rsidRPr="00C86B34">
              <w:rPr>
                <w:color w:val="000000"/>
                <w:spacing w:val="2"/>
                <w:sz w:val="22"/>
                <w:shd w:val="clear" w:color="auto" w:fill="FFFFFF"/>
              </w:rPr>
              <w:t xml:space="preserve"> щоб у широких мас з'яви</w:t>
            </w:r>
            <w:r w:rsidR="00141BE2" w:rsidRPr="00C86B34">
              <w:rPr>
                <w:color w:val="000000"/>
                <w:spacing w:val="2"/>
                <w:sz w:val="22"/>
                <w:shd w:val="clear" w:color="auto" w:fill="FFFFFF"/>
              </w:rPr>
              <w:t>лась</w:t>
            </w:r>
            <w:r w:rsidRPr="00C86B34">
              <w:rPr>
                <w:color w:val="000000"/>
                <w:spacing w:val="2"/>
                <w:sz w:val="22"/>
                <w:shd w:val="clear" w:color="auto" w:fill="FFFFFF"/>
              </w:rPr>
              <w:t xml:space="preserve"> </w:t>
            </w:r>
            <w:r w:rsidR="00141BE2" w:rsidRPr="00C86B34">
              <w:rPr>
                <w:color w:val="000000"/>
                <w:spacing w:val="2"/>
                <w:sz w:val="22"/>
                <w:shd w:val="clear" w:color="auto" w:fill="FFFFFF"/>
              </w:rPr>
              <w:t>зацікавленість</w:t>
            </w:r>
            <w:r w:rsidRPr="00C86B34">
              <w:rPr>
                <w:color w:val="000000"/>
                <w:spacing w:val="2"/>
                <w:sz w:val="22"/>
                <w:shd w:val="clear" w:color="auto" w:fill="FFFFFF"/>
              </w:rPr>
              <w:t xml:space="preserve"> до заняття фізичною культурою і спортом</w:t>
            </w:r>
            <w:r w:rsidR="00141BE2" w:rsidRPr="00C86B34">
              <w:rPr>
                <w:color w:val="000000"/>
                <w:spacing w:val="2"/>
                <w:sz w:val="22"/>
                <w:shd w:val="clear" w:color="auto" w:fill="FFFFFF"/>
              </w:rPr>
              <w:t>,</w:t>
            </w:r>
            <w:r w:rsidRPr="00C86B34">
              <w:rPr>
                <w:color w:val="000000"/>
                <w:spacing w:val="2"/>
                <w:sz w:val="22"/>
                <w:shd w:val="clear" w:color="auto" w:fill="FFFFFF"/>
              </w:rPr>
              <w:t xml:space="preserve"> необхідно мати відповідну інфраструктуру.</w:t>
            </w:r>
          </w:p>
          <w:p w:rsidR="00E95FB1" w:rsidRPr="00C86B34" w:rsidRDefault="00E95FB1" w:rsidP="001B3967">
            <w:pPr>
              <w:ind w:left="44"/>
              <w:rPr>
                <w:sz w:val="22"/>
              </w:rPr>
            </w:pPr>
            <w:r w:rsidRPr="00C86B34">
              <w:rPr>
                <w:rFonts w:eastAsia="Calibri"/>
                <w:sz w:val="22"/>
              </w:rPr>
              <w:t>Внаслідок ведення активних бойових дій на території Сєвєродонецької міської територіальної громади спорткомплекс КДЮСШ 1, як і в</w:t>
            </w:r>
            <w:r w:rsidRPr="00C86B34">
              <w:rPr>
                <w:sz w:val="22"/>
              </w:rPr>
              <w:t>елика кількість інфраструктури міста</w:t>
            </w:r>
            <w:r w:rsidR="00915EF3" w:rsidRPr="00C86B34">
              <w:rPr>
                <w:sz w:val="22"/>
              </w:rPr>
              <w:t>,</w:t>
            </w:r>
            <w:r w:rsidRPr="00C86B34">
              <w:rPr>
                <w:sz w:val="22"/>
              </w:rPr>
              <w:t xml:space="preserve"> зазнали пошкоджень та руйнувань.</w:t>
            </w:r>
          </w:p>
          <w:p w:rsidR="00E95FB1" w:rsidRPr="00C86B34" w:rsidRDefault="00E95FB1" w:rsidP="001B3967">
            <w:pPr>
              <w:ind w:left="44"/>
              <w:rPr>
                <w:sz w:val="22"/>
              </w:rPr>
            </w:pPr>
            <w:r w:rsidRPr="00C86B34">
              <w:rPr>
                <w:sz w:val="22"/>
              </w:rPr>
              <w:t xml:space="preserve">Після </w:t>
            </w:r>
            <w:proofErr w:type="spellStart"/>
            <w:r w:rsidRPr="00C86B34">
              <w:rPr>
                <w:sz w:val="22"/>
              </w:rPr>
              <w:t>деокупації</w:t>
            </w:r>
            <w:proofErr w:type="spellEnd"/>
            <w:r w:rsidRPr="00C86B34">
              <w:rPr>
                <w:sz w:val="22"/>
              </w:rPr>
              <w:t xml:space="preserve"> території та початком відбудови міста постане питання щодо реабілітації мешканців громади як в фізичному</w:t>
            </w:r>
            <w:r w:rsidR="00915EF3" w:rsidRPr="00C86B34">
              <w:rPr>
                <w:sz w:val="22"/>
              </w:rPr>
              <w:t>,</w:t>
            </w:r>
            <w:r w:rsidRPr="00C86B34">
              <w:rPr>
                <w:sz w:val="22"/>
              </w:rPr>
              <w:t xml:space="preserve"> так і в психологічному плані., залучення молодого покоління до здорового способу життя та отримання ними корисних навичок та звичок. </w:t>
            </w:r>
          </w:p>
          <w:p w:rsidR="00E95FB1" w:rsidRPr="00C86B34" w:rsidRDefault="00E95FB1" w:rsidP="001B3967">
            <w:pPr>
              <w:ind w:left="44"/>
              <w:rPr>
                <w:sz w:val="22"/>
              </w:rPr>
            </w:pPr>
            <w:r w:rsidRPr="00C86B34">
              <w:rPr>
                <w:sz w:val="22"/>
              </w:rPr>
              <w:t xml:space="preserve">Одним з напрямків згуртовування населення може бути спорт. Але для цього необхідно мати відповідну інфраструктуру. </w:t>
            </w:r>
          </w:p>
          <w:p w:rsidR="00E95FB1" w:rsidRPr="00C86B34" w:rsidRDefault="00E95FB1" w:rsidP="001B3967">
            <w:pPr>
              <w:ind w:left="44"/>
              <w:rPr>
                <w:sz w:val="22"/>
              </w:rPr>
            </w:pPr>
            <w:r w:rsidRPr="00C86B34">
              <w:rPr>
                <w:sz w:val="22"/>
              </w:rPr>
              <w:t xml:space="preserve">Реалізація </w:t>
            </w:r>
            <w:proofErr w:type="spellStart"/>
            <w:r w:rsidRPr="00C86B34">
              <w:rPr>
                <w:sz w:val="22"/>
              </w:rPr>
              <w:t>проєкту</w:t>
            </w:r>
            <w:proofErr w:type="spellEnd"/>
            <w:r w:rsidRPr="00C86B34">
              <w:rPr>
                <w:sz w:val="22"/>
              </w:rPr>
              <w:t xml:space="preserve"> «К</w:t>
            </w:r>
            <w:r w:rsidRPr="00C86B34">
              <w:rPr>
                <w:rFonts w:eastAsia="Calibri"/>
                <w:color w:val="000000"/>
                <w:sz w:val="22"/>
              </w:rPr>
              <w:t>апітальний ремонт  КДЮСШ</w:t>
            </w:r>
            <w:r w:rsidR="00915EF3" w:rsidRPr="00C86B34">
              <w:rPr>
                <w:rFonts w:eastAsia="Calibri"/>
                <w:color w:val="000000"/>
                <w:sz w:val="22"/>
              </w:rPr>
              <w:t xml:space="preserve"> </w:t>
            </w:r>
            <w:r w:rsidRPr="00C86B34">
              <w:rPr>
                <w:rFonts w:eastAsia="Calibri"/>
                <w:color w:val="000000"/>
                <w:sz w:val="22"/>
              </w:rPr>
              <w:t xml:space="preserve">1 міста Сєвєродонецьк Луганської області за </w:t>
            </w:r>
            <w:proofErr w:type="spellStart"/>
            <w:r w:rsidRPr="00C86B34">
              <w:rPr>
                <w:rFonts w:eastAsia="Calibri"/>
                <w:color w:val="000000"/>
                <w:sz w:val="22"/>
              </w:rPr>
              <w:t>адресою</w:t>
            </w:r>
            <w:proofErr w:type="spellEnd"/>
            <w:r w:rsidRPr="00C86B34">
              <w:rPr>
                <w:rFonts w:eastAsia="Calibri"/>
                <w:color w:val="000000"/>
                <w:sz w:val="22"/>
              </w:rPr>
              <w:t xml:space="preserve">: вул. Федоренка, 33» дозволить створити безпечні та комфортні умови для залучення широких верств населення до здорового способу життя, </w:t>
            </w:r>
            <w:proofErr w:type="spellStart"/>
            <w:r w:rsidRPr="00C86B34">
              <w:rPr>
                <w:rFonts w:eastAsia="Calibri"/>
                <w:color w:val="000000"/>
                <w:sz w:val="22"/>
              </w:rPr>
              <w:t>надасть</w:t>
            </w:r>
            <w:proofErr w:type="spellEnd"/>
            <w:r w:rsidRPr="00C86B34">
              <w:rPr>
                <w:rFonts w:eastAsia="Calibri"/>
                <w:color w:val="000000"/>
                <w:sz w:val="22"/>
              </w:rPr>
              <w:t xml:space="preserve"> можливість розвивати здібності як молодого покоління так і дорослого.    </w:t>
            </w:r>
          </w:p>
        </w:tc>
      </w:tr>
      <w:tr w:rsidR="00E95FB1" w:rsidRPr="00C86B34" w:rsidTr="001B3967">
        <w:trPr>
          <w:trHeight w:val="526"/>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Очікувані якісні результати від реалізації проекту</w:t>
            </w:r>
          </w:p>
        </w:tc>
        <w:tc>
          <w:tcPr>
            <w:tcW w:w="7190" w:type="dxa"/>
            <w:gridSpan w:val="7"/>
          </w:tcPr>
          <w:p w:rsidR="00E95FB1" w:rsidRPr="00C86B34" w:rsidRDefault="00E95FB1" w:rsidP="000303D7">
            <w:pPr>
              <w:numPr>
                <w:ilvl w:val="0"/>
                <w:numId w:val="29"/>
              </w:numPr>
              <w:ind w:left="469" w:hanging="283"/>
              <w:rPr>
                <w:rFonts w:eastAsia="Arial"/>
                <w:sz w:val="22"/>
              </w:rPr>
            </w:pPr>
            <w:r w:rsidRPr="00C86B34">
              <w:rPr>
                <w:rFonts w:eastAsia="Arial"/>
                <w:sz w:val="22"/>
              </w:rPr>
              <w:t xml:space="preserve">створено </w:t>
            </w:r>
            <w:r w:rsidRPr="00C86B34">
              <w:rPr>
                <w:sz w:val="22"/>
              </w:rPr>
              <w:t>безпечні та комфортні умови для занять фізичною культурою та спортом мешканцям громади, у т. ч. особами з особливими потребами;</w:t>
            </w:r>
          </w:p>
          <w:p w:rsidR="00E95FB1" w:rsidRPr="00C86B34" w:rsidRDefault="00E95FB1" w:rsidP="000303D7">
            <w:pPr>
              <w:numPr>
                <w:ilvl w:val="0"/>
                <w:numId w:val="29"/>
              </w:numPr>
              <w:ind w:left="469" w:hanging="283"/>
              <w:rPr>
                <w:rFonts w:eastAsia="Arial"/>
                <w:sz w:val="22"/>
              </w:rPr>
            </w:pPr>
            <w:r w:rsidRPr="00C86B34">
              <w:rPr>
                <w:rFonts w:eastAsia="Arial"/>
                <w:sz w:val="22"/>
              </w:rPr>
              <w:t>розвиток в громаді видів спорту – теніс настільний, скелелазіння, бокс, кікбоксинг;</w:t>
            </w:r>
          </w:p>
          <w:p w:rsidR="00E95FB1" w:rsidRPr="00C86B34" w:rsidRDefault="00E95FB1" w:rsidP="000303D7">
            <w:pPr>
              <w:numPr>
                <w:ilvl w:val="0"/>
                <w:numId w:val="29"/>
              </w:numPr>
              <w:ind w:left="469" w:hanging="283"/>
              <w:rPr>
                <w:rFonts w:eastAsia="Arial"/>
                <w:sz w:val="22"/>
              </w:rPr>
            </w:pPr>
            <w:r w:rsidRPr="00C86B34">
              <w:rPr>
                <w:rFonts w:eastAsia="Arial"/>
                <w:sz w:val="22"/>
              </w:rPr>
              <w:lastRenderedPageBreak/>
              <w:t>проведення занять з фізичної культури та спорту в гральній та тренажерній залах;</w:t>
            </w:r>
          </w:p>
          <w:p w:rsidR="00E95FB1" w:rsidRPr="00C86B34" w:rsidRDefault="00E95FB1" w:rsidP="000303D7">
            <w:pPr>
              <w:numPr>
                <w:ilvl w:val="0"/>
                <w:numId w:val="29"/>
              </w:numPr>
              <w:ind w:left="469" w:hanging="283"/>
              <w:rPr>
                <w:rFonts w:eastAsia="Arial"/>
                <w:sz w:val="22"/>
              </w:rPr>
            </w:pPr>
            <w:r w:rsidRPr="00C86B34">
              <w:rPr>
                <w:sz w:val="22"/>
              </w:rPr>
              <w:t>проведення різного рівня різноманітних змагань.</w:t>
            </w:r>
          </w:p>
          <w:p w:rsidR="00E95FB1" w:rsidRPr="00C86B34" w:rsidRDefault="00E95FB1" w:rsidP="000303D7">
            <w:pPr>
              <w:numPr>
                <w:ilvl w:val="0"/>
                <w:numId w:val="29"/>
              </w:numPr>
              <w:ind w:left="469" w:hanging="283"/>
              <w:rPr>
                <w:rFonts w:eastAsia="Arial"/>
                <w:sz w:val="22"/>
              </w:rPr>
            </w:pPr>
            <w:r w:rsidRPr="00C86B34">
              <w:rPr>
                <w:sz w:val="22"/>
              </w:rPr>
              <w:t>об’єднання громадян за інтересами при занятті спортом;</w:t>
            </w:r>
          </w:p>
          <w:p w:rsidR="00E95FB1" w:rsidRPr="00C86B34" w:rsidRDefault="00E95FB1" w:rsidP="000303D7">
            <w:pPr>
              <w:numPr>
                <w:ilvl w:val="0"/>
                <w:numId w:val="29"/>
              </w:numPr>
              <w:ind w:left="469" w:hanging="283"/>
              <w:rPr>
                <w:rFonts w:eastAsia="Arial"/>
                <w:sz w:val="22"/>
              </w:rPr>
            </w:pPr>
            <w:r w:rsidRPr="00C86B34">
              <w:rPr>
                <w:sz w:val="22"/>
              </w:rPr>
              <w:t>відновлення фізичного та психічного здоров'я людини;</w:t>
            </w:r>
          </w:p>
          <w:p w:rsidR="00E95FB1" w:rsidRPr="00C86B34" w:rsidRDefault="00E95FB1" w:rsidP="000303D7">
            <w:pPr>
              <w:numPr>
                <w:ilvl w:val="0"/>
                <w:numId w:val="29"/>
              </w:numPr>
              <w:ind w:left="469" w:hanging="283"/>
              <w:rPr>
                <w:rFonts w:eastAsia="Calibri"/>
                <w:color w:val="000000"/>
                <w:sz w:val="22"/>
              </w:rPr>
            </w:pPr>
            <w:r w:rsidRPr="00C86B34">
              <w:rPr>
                <w:rFonts w:eastAsia="Arial"/>
                <w:sz w:val="22"/>
              </w:rPr>
              <w:t>збільшиться привабливість міста.</w:t>
            </w:r>
          </w:p>
        </w:tc>
      </w:tr>
      <w:tr w:rsidR="00E95FB1" w:rsidRPr="00C86B34" w:rsidTr="001B3967">
        <w:trPr>
          <w:trHeight w:val="579"/>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lastRenderedPageBreak/>
              <w:t>Очікувані кількісні результати від реалізації проекту  (індикатори)</w:t>
            </w:r>
          </w:p>
        </w:tc>
        <w:tc>
          <w:tcPr>
            <w:tcW w:w="3827" w:type="dxa"/>
            <w:gridSpan w:val="3"/>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Найменування показника</w:t>
            </w:r>
          </w:p>
        </w:tc>
        <w:tc>
          <w:tcPr>
            <w:tcW w:w="1276"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Одиниця вимірювання</w:t>
            </w:r>
          </w:p>
        </w:tc>
        <w:tc>
          <w:tcPr>
            <w:tcW w:w="2087"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Прогнозне (цільове) значення</w:t>
            </w:r>
          </w:p>
        </w:tc>
      </w:tr>
      <w:tr w:rsidR="00E95FB1" w:rsidRPr="00C86B34" w:rsidTr="001B3967">
        <w:trPr>
          <w:trHeight w:val="289"/>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827" w:type="dxa"/>
            <w:gridSpan w:val="3"/>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Кількість відремонтованих спортивних залів</w:t>
            </w:r>
          </w:p>
        </w:tc>
        <w:tc>
          <w:tcPr>
            <w:tcW w:w="1276" w:type="dxa"/>
            <w:gridSpan w:val="2"/>
          </w:tcPr>
          <w:p w:rsidR="00E95FB1" w:rsidRPr="00C86B34" w:rsidRDefault="00915EF3" w:rsidP="001B3967">
            <w:pPr>
              <w:autoSpaceDE w:val="0"/>
              <w:autoSpaceDN w:val="0"/>
              <w:adjustRightInd w:val="0"/>
              <w:jc w:val="center"/>
              <w:rPr>
                <w:rFonts w:eastAsia="Calibri"/>
                <w:color w:val="000000"/>
                <w:sz w:val="22"/>
              </w:rPr>
            </w:pPr>
            <w:r w:rsidRPr="00C86B34">
              <w:rPr>
                <w:rFonts w:eastAsia="Calibri"/>
                <w:color w:val="000000"/>
                <w:sz w:val="22"/>
              </w:rPr>
              <w:t>одиниць</w:t>
            </w:r>
          </w:p>
        </w:tc>
        <w:tc>
          <w:tcPr>
            <w:tcW w:w="2087"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5</w:t>
            </w:r>
          </w:p>
        </w:tc>
      </w:tr>
      <w:tr w:rsidR="00E95FB1" w:rsidRPr="00C86B34" w:rsidTr="001B3967">
        <w:trPr>
          <w:trHeight w:val="289"/>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827" w:type="dxa"/>
            <w:gridSpan w:val="3"/>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кількість учнів-спортсменів</w:t>
            </w:r>
          </w:p>
        </w:tc>
        <w:tc>
          <w:tcPr>
            <w:tcW w:w="1276"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осіб/день</w:t>
            </w:r>
          </w:p>
        </w:tc>
        <w:tc>
          <w:tcPr>
            <w:tcW w:w="2087"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300</w:t>
            </w:r>
          </w:p>
        </w:tc>
      </w:tr>
      <w:tr w:rsidR="00E95FB1" w:rsidRPr="00C86B34" w:rsidTr="001B3967">
        <w:trPr>
          <w:trHeight w:val="388"/>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827" w:type="dxa"/>
            <w:gridSpan w:val="3"/>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кількість дорослих отримувачів послуг</w:t>
            </w:r>
          </w:p>
        </w:tc>
        <w:tc>
          <w:tcPr>
            <w:tcW w:w="1276"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осіб/день</w:t>
            </w:r>
          </w:p>
        </w:tc>
        <w:tc>
          <w:tcPr>
            <w:tcW w:w="2087"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500</w:t>
            </w:r>
          </w:p>
        </w:tc>
      </w:tr>
      <w:tr w:rsidR="00E95FB1" w:rsidRPr="00C86B34" w:rsidTr="001B3967">
        <w:trPr>
          <w:trHeight w:val="198"/>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Ключові заходи проекту:</w:t>
            </w:r>
          </w:p>
        </w:tc>
        <w:tc>
          <w:tcPr>
            <w:tcW w:w="7190" w:type="dxa"/>
            <w:gridSpan w:val="7"/>
          </w:tcPr>
          <w:p w:rsidR="00E95FB1" w:rsidRPr="00C86B34" w:rsidRDefault="00E95FB1" w:rsidP="000303D7">
            <w:pPr>
              <w:pStyle w:val="afc"/>
              <w:numPr>
                <w:ilvl w:val="0"/>
                <w:numId w:val="28"/>
              </w:numPr>
              <w:spacing w:line="240" w:lineRule="auto"/>
              <w:ind w:left="469" w:hanging="283"/>
              <w:rPr>
                <w:rFonts w:ascii="Times New Roman" w:hAnsi="Times New Roman"/>
                <w:sz w:val="22"/>
              </w:rPr>
            </w:pPr>
            <w:r w:rsidRPr="00C86B34">
              <w:rPr>
                <w:rFonts w:ascii="Times New Roman" w:hAnsi="Times New Roman"/>
                <w:sz w:val="22"/>
              </w:rPr>
              <w:t>оцінка спеціально створеною комісією завданих будівлі руйнувань (пошкоджень);</w:t>
            </w:r>
          </w:p>
          <w:p w:rsidR="00E95FB1" w:rsidRPr="00C86B34" w:rsidRDefault="00E95FB1" w:rsidP="000303D7">
            <w:pPr>
              <w:pStyle w:val="afc"/>
              <w:numPr>
                <w:ilvl w:val="0"/>
                <w:numId w:val="28"/>
              </w:numPr>
              <w:spacing w:line="240" w:lineRule="auto"/>
              <w:ind w:left="469" w:hanging="283"/>
              <w:rPr>
                <w:rFonts w:ascii="Times New Roman" w:hAnsi="Times New Roman"/>
                <w:sz w:val="22"/>
              </w:rPr>
            </w:pPr>
            <w:r w:rsidRPr="00C86B34">
              <w:rPr>
                <w:rFonts w:ascii="Times New Roman" w:hAnsi="Times New Roman"/>
                <w:sz w:val="22"/>
              </w:rPr>
              <w:t xml:space="preserve">виготовлення </w:t>
            </w:r>
            <w:proofErr w:type="spellStart"/>
            <w:r w:rsidRPr="00C86B34">
              <w:rPr>
                <w:rFonts w:ascii="Times New Roman" w:hAnsi="Times New Roman"/>
                <w:sz w:val="22"/>
              </w:rPr>
              <w:t>проєктно</w:t>
            </w:r>
            <w:proofErr w:type="spellEnd"/>
            <w:r w:rsidRPr="00C86B34">
              <w:rPr>
                <w:rFonts w:ascii="Times New Roman" w:hAnsi="Times New Roman"/>
                <w:sz w:val="22"/>
              </w:rPr>
              <w:t>—кошторисної документації;</w:t>
            </w:r>
          </w:p>
          <w:p w:rsidR="00E95FB1" w:rsidRPr="00C86B34" w:rsidRDefault="00E95FB1" w:rsidP="000303D7">
            <w:pPr>
              <w:pStyle w:val="afc"/>
              <w:numPr>
                <w:ilvl w:val="0"/>
                <w:numId w:val="28"/>
              </w:numPr>
              <w:spacing w:line="240" w:lineRule="auto"/>
              <w:ind w:left="469" w:hanging="283"/>
              <w:rPr>
                <w:rFonts w:ascii="Times New Roman" w:hAnsi="Times New Roman"/>
                <w:sz w:val="22"/>
              </w:rPr>
            </w:pPr>
            <w:r w:rsidRPr="00C86B34">
              <w:rPr>
                <w:rFonts w:ascii="Times New Roman" w:hAnsi="Times New Roman"/>
                <w:color w:val="000000"/>
                <w:sz w:val="22"/>
              </w:rPr>
              <w:t>визначення підрядної організації для проведення будівельних робіт;</w:t>
            </w:r>
          </w:p>
          <w:p w:rsidR="00E95FB1" w:rsidRPr="00C86B34" w:rsidRDefault="00E95FB1" w:rsidP="000303D7">
            <w:pPr>
              <w:pStyle w:val="afc"/>
              <w:numPr>
                <w:ilvl w:val="0"/>
                <w:numId w:val="28"/>
              </w:numPr>
              <w:spacing w:line="240" w:lineRule="auto"/>
              <w:ind w:left="469" w:hanging="283"/>
              <w:rPr>
                <w:rFonts w:ascii="Times New Roman" w:hAnsi="Times New Roman"/>
                <w:sz w:val="22"/>
              </w:rPr>
            </w:pPr>
            <w:r w:rsidRPr="00C86B34">
              <w:rPr>
                <w:rFonts w:ascii="Times New Roman" w:hAnsi="Times New Roman"/>
                <w:color w:val="000000"/>
                <w:sz w:val="22"/>
              </w:rPr>
              <w:t>виконання будівельних робіт:</w:t>
            </w:r>
          </w:p>
          <w:p w:rsidR="00E95FB1" w:rsidRPr="00C86B34" w:rsidRDefault="00E95FB1" w:rsidP="001B3967">
            <w:pPr>
              <w:ind w:left="186" w:firstLine="567"/>
              <w:rPr>
                <w:sz w:val="22"/>
              </w:rPr>
            </w:pPr>
            <w:r w:rsidRPr="00C86B34">
              <w:rPr>
                <w:sz w:val="22"/>
              </w:rPr>
              <w:t>ремонт даху;</w:t>
            </w:r>
          </w:p>
          <w:p w:rsidR="00E95FB1" w:rsidRPr="00C86B34" w:rsidRDefault="00E95FB1" w:rsidP="001B3967">
            <w:pPr>
              <w:ind w:left="186" w:firstLine="567"/>
              <w:rPr>
                <w:sz w:val="22"/>
              </w:rPr>
            </w:pPr>
            <w:r w:rsidRPr="00C86B34">
              <w:rPr>
                <w:sz w:val="22"/>
              </w:rPr>
              <w:t>заміна пошкоджених вікон;</w:t>
            </w:r>
          </w:p>
          <w:p w:rsidR="00E95FB1" w:rsidRPr="00C86B34" w:rsidRDefault="00E95FB1" w:rsidP="001B3967">
            <w:pPr>
              <w:ind w:left="186" w:firstLine="567"/>
              <w:rPr>
                <w:b/>
                <w:sz w:val="22"/>
              </w:rPr>
            </w:pPr>
            <w:r w:rsidRPr="00C86B34">
              <w:rPr>
                <w:sz w:val="22"/>
              </w:rPr>
              <w:t>відновлення котельної для будівель на вул. Федоренка, 33 та вул. Федоренка, 33а;</w:t>
            </w:r>
          </w:p>
          <w:p w:rsidR="00E95FB1" w:rsidRPr="00C86B34" w:rsidRDefault="00E95FB1" w:rsidP="001B3967">
            <w:pPr>
              <w:ind w:left="186" w:firstLine="567"/>
              <w:rPr>
                <w:sz w:val="22"/>
              </w:rPr>
            </w:pPr>
            <w:r w:rsidRPr="00C86B34">
              <w:rPr>
                <w:sz w:val="22"/>
              </w:rPr>
              <w:t>модернізація системи опалення та інженерних мереж;</w:t>
            </w:r>
          </w:p>
          <w:p w:rsidR="00E95FB1" w:rsidRPr="00C86B34" w:rsidRDefault="00E95FB1" w:rsidP="001B3967">
            <w:pPr>
              <w:ind w:left="186" w:firstLine="567"/>
              <w:rPr>
                <w:sz w:val="22"/>
              </w:rPr>
            </w:pPr>
            <w:r w:rsidRPr="00C86B34">
              <w:rPr>
                <w:sz w:val="22"/>
              </w:rPr>
              <w:t xml:space="preserve">облаштування системи </w:t>
            </w:r>
            <w:proofErr w:type="spellStart"/>
            <w:r w:rsidRPr="00C86B34">
              <w:rPr>
                <w:sz w:val="22"/>
              </w:rPr>
              <w:t>відеонагляду</w:t>
            </w:r>
            <w:proofErr w:type="spellEnd"/>
            <w:r w:rsidRPr="00C86B34">
              <w:rPr>
                <w:sz w:val="22"/>
              </w:rPr>
              <w:t xml:space="preserve"> та відеоспостереження;</w:t>
            </w:r>
          </w:p>
          <w:p w:rsidR="00E95FB1" w:rsidRPr="00C86B34" w:rsidRDefault="00E95FB1" w:rsidP="001B3967">
            <w:pPr>
              <w:ind w:left="186" w:firstLine="567"/>
              <w:rPr>
                <w:sz w:val="22"/>
              </w:rPr>
            </w:pPr>
            <w:r w:rsidRPr="00C86B34">
              <w:rPr>
                <w:sz w:val="22"/>
              </w:rPr>
              <w:t>капітальний ремонт залів</w:t>
            </w:r>
            <w:r w:rsidRPr="00C86B34">
              <w:rPr>
                <w:b/>
                <w:i/>
                <w:sz w:val="22"/>
              </w:rPr>
              <w:t xml:space="preserve"> </w:t>
            </w:r>
            <w:r w:rsidRPr="00C86B34">
              <w:rPr>
                <w:sz w:val="22"/>
              </w:rPr>
              <w:t>з заміною підлогового покриття;</w:t>
            </w:r>
          </w:p>
          <w:p w:rsidR="00E95FB1" w:rsidRPr="00C86B34" w:rsidRDefault="00E95FB1" w:rsidP="001B3967">
            <w:pPr>
              <w:ind w:left="186" w:firstLine="567"/>
              <w:rPr>
                <w:sz w:val="22"/>
              </w:rPr>
            </w:pPr>
            <w:r w:rsidRPr="00C86B34">
              <w:rPr>
                <w:sz w:val="22"/>
              </w:rPr>
              <w:t>облаштування  системи рекуперації повітря;</w:t>
            </w:r>
          </w:p>
          <w:p w:rsidR="00E95FB1" w:rsidRPr="00C86B34" w:rsidRDefault="00E95FB1" w:rsidP="001B3967">
            <w:pPr>
              <w:ind w:left="186" w:firstLine="567"/>
              <w:rPr>
                <w:sz w:val="22"/>
              </w:rPr>
            </w:pPr>
            <w:r w:rsidRPr="00C86B34">
              <w:rPr>
                <w:sz w:val="22"/>
              </w:rPr>
              <w:t>капітальний ремонт приміщень (адміністративні та господарчі приміщення, коридори, сходи);</w:t>
            </w:r>
          </w:p>
          <w:p w:rsidR="00E95FB1" w:rsidRPr="00C86B34" w:rsidRDefault="00E95FB1" w:rsidP="001B3967">
            <w:pPr>
              <w:ind w:left="186" w:firstLine="567"/>
              <w:rPr>
                <w:sz w:val="22"/>
              </w:rPr>
            </w:pPr>
            <w:r w:rsidRPr="00C86B34">
              <w:rPr>
                <w:sz w:val="22"/>
              </w:rPr>
              <w:t xml:space="preserve">встановлення </w:t>
            </w:r>
            <w:proofErr w:type="spellStart"/>
            <w:r w:rsidRPr="00C86B34">
              <w:rPr>
                <w:sz w:val="22"/>
              </w:rPr>
              <w:t>скеледрому</w:t>
            </w:r>
            <w:proofErr w:type="spellEnd"/>
            <w:r w:rsidRPr="00C86B34">
              <w:rPr>
                <w:sz w:val="22"/>
              </w:rPr>
              <w:t>;</w:t>
            </w:r>
          </w:p>
          <w:p w:rsidR="00E95FB1" w:rsidRPr="00C86B34" w:rsidRDefault="00E95FB1" w:rsidP="001B3967">
            <w:pPr>
              <w:ind w:left="186" w:firstLine="567"/>
              <w:rPr>
                <w:sz w:val="22"/>
              </w:rPr>
            </w:pPr>
            <w:r w:rsidRPr="00C86B34">
              <w:rPr>
                <w:sz w:val="22"/>
              </w:rPr>
              <w:t>капітальний ремонт залів (боксу, кікбоксінгу, тренажерної зали) з заміною підлогового покриття;</w:t>
            </w:r>
          </w:p>
          <w:p w:rsidR="00E95FB1" w:rsidRPr="00C86B34" w:rsidRDefault="00E95FB1" w:rsidP="001B3967">
            <w:pPr>
              <w:ind w:left="186" w:firstLine="567"/>
              <w:rPr>
                <w:sz w:val="22"/>
              </w:rPr>
            </w:pPr>
            <w:r w:rsidRPr="00C86B34">
              <w:rPr>
                <w:sz w:val="22"/>
              </w:rPr>
              <w:t>облаштування  системи рекуперації повітря;</w:t>
            </w:r>
          </w:p>
          <w:p w:rsidR="00E95FB1" w:rsidRPr="00C86B34" w:rsidRDefault="00E95FB1" w:rsidP="001B3967">
            <w:pPr>
              <w:ind w:left="186" w:firstLine="567"/>
              <w:rPr>
                <w:sz w:val="22"/>
              </w:rPr>
            </w:pPr>
            <w:r w:rsidRPr="00C86B34">
              <w:rPr>
                <w:sz w:val="22"/>
              </w:rPr>
              <w:t>реконструкція центрального входу будівлі;</w:t>
            </w:r>
          </w:p>
          <w:p w:rsidR="00E95FB1" w:rsidRPr="00C86B34" w:rsidRDefault="00E95FB1" w:rsidP="001B3967">
            <w:pPr>
              <w:ind w:left="186" w:firstLine="567"/>
              <w:rPr>
                <w:sz w:val="22"/>
              </w:rPr>
            </w:pPr>
            <w:r w:rsidRPr="00C86B34">
              <w:rPr>
                <w:sz w:val="22"/>
              </w:rPr>
              <w:t>облаштування доступу осіб з інвалідністю до тренажерної зали, роздягальнь, туалетів, душових;</w:t>
            </w:r>
          </w:p>
          <w:p w:rsidR="00E95FB1" w:rsidRPr="00C86B34" w:rsidRDefault="00E95FB1" w:rsidP="001B3967">
            <w:pPr>
              <w:ind w:left="186" w:firstLine="567"/>
              <w:rPr>
                <w:sz w:val="22"/>
              </w:rPr>
            </w:pPr>
            <w:proofErr w:type="spellStart"/>
            <w:r w:rsidRPr="00C86B34">
              <w:rPr>
                <w:sz w:val="22"/>
              </w:rPr>
              <w:t>термомодернізація</w:t>
            </w:r>
            <w:proofErr w:type="spellEnd"/>
            <w:r w:rsidRPr="00C86B34">
              <w:rPr>
                <w:sz w:val="22"/>
              </w:rPr>
              <w:t xml:space="preserve"> (утеплення ) будівлі;</w:t>
            </w:r>
          </w:p>
          <w:p w:rsidR="00E95FB1" w:rsidRPr="00C86B34" w:rsidRDefault="00E95FB1" w:rsidP="001B3967">
            <w:pPr>
              <w:ind w:left="186" w:firstLine="567"/>
              <w:rPr>
                <w:sz w:val="22"/>
              </w:rPr>
            </w:pPr>
            <w:r w:rsidRPr="00C86B34">
              <w:rPr>
                <w:sz w:val="22"/>
              </w:rPr>
              <w:t xml:space="preserve">встановлення </w:t>
            </w:r>
            <w:proofErr w:type="spellStart"/>
            <w:r w:rsidRPr="00C86B34">
              <w:rPr>
                <w:sz w:val="22"/>
              </w:rPr>
              <w:t>геліосистеми</w:t>
            </w:r>
            <w:proofErr w:type="spellEnd"/>
            <w:r w:rsidRPr="00C86B34">
              <w:rPr>
                <w:sz w:val="22"/>
              </w:rPr>
              <w:t xml:space="preserve"> (для підігріву води);</w:t>
            </w:r>
          </w:p>
          <w:p w:rsidR="00E95FB1" w:rsidRPr="00C86B34" w:rsidRDefault="00E95FB1" w:rsidP="001B3967">
            <w:pPr>
              <w:ind w:left="186" w:firstLine="567"/>
              <w:rPr>
                <w:sz w:val="22"/>
              </w:rPr>
            </w:pPr>
            <w:r w:rsidRPr="00C86B34">
              <w:rPr>
                <w:sz w:val="22"/>
              </w:rPr>
              <w:t>встановлення сонячні батареї;</w:t>
            </w:r>
          </w:p>
          <w:p w:rsidR="00E95FB1" w:rsidRPr="00C86B34" w:rsidRDefault="00E95FB1" w:rsidP="001B3967">
            <w:pPr>
              <w:ind w:left="186" w:firstLine="567"/>
              <w:rPr>
                <w:rFonts w:eastAsia="Calibri"/>
                <w:color w:val="000000"/>
                <w:sz w:val="22"/>
              </w:rPr>
            </w:pPr>
            <w:r w:rsidRPr="00C86B34">
              <w:rPr>
                <w:sz w:val="22"/>
              </w:rPr>
              <w:t>благоустрій  прилеглої території;</w:t>
            </w:r>
          </w:p>
          <w:p w:rsidR="00E95FB1" w:rsidRPr="00C86B34" w:rsidRDefault="00E95FB1" w:rsidP="000303D7">
            <w:pPr>
              <w:numPr>
                <w:ilvl w:val="1"/>
                <w:numId w:val="31"/>
              </w:numPr>
              <w:ind w:left="469" w:hanging="283"/>
              <w:rPr>
                <w:sz w:val="22"/>
              </w:rPr>
            </w:pPr>
            <w:r w:rsidRPr="00C86B34">
              <w:rPr>
                <w:rFonts w:eastAsia="Calibri"/>
                <w:color w:val="000000"/>
                <w:sz w:val="22"/>
              </w:rPr>
              <w:t>придбання обладнання та матеріалів:</w:t>
            </w:r>
            <w:r w:rsidRPr="00C86B34">
              <w:rPr>
                <w:sz w:val="22"/>
              </w:rPr>
              <w:t xml:space="preserve"> </w:t>
            </w:r>
          </w:p>
          <w:p w:rsidR="00E95FB1" w:rsidRPr="00C86B34" w:rsidRDefault="00E95FB1" w:rsidP="001B3967">
            <w:pPr>
              <w:ind w:left="818" w:hanging="65"/>
              <w:rPr>
                <w:sz w:val="22"/>
              </w:rPr>
            </w:pPr>
            <w:r w:rsidRPr="00C86B34">
              <w:rPr>
                <w:sz w:val="22"/>
              </w:rPr>
              <w:t>придбання офісної техніки, меблів, господарчого інвентарю;</w:t>
            </w:r>
          </w:p>
          <w:p w:rsidR="00E95FB1" w:rsidRPr="00C86B34" w:rsidRDefault="00E95FB1" w:rsidP="001B3967">
            <w:pPr>
              <w:ind w:left="818" w:hanging="65"/>
              <w:rPr>
                <w:sz w:val="22"/>
              </w:rPr>
            </w:pPr>
            <w:r w:rsidRPr="00C86B34">
              <w:rPr>
                <w:sz w:val="22"/>
              </w:rPr>
              <w:t>придбання необхідного знаряддя для ведення тренувального процесу;</w:t>
            </w:r>
          </w:p>
          <w:p w:rsidR="00E95FB1" w:rsidRPr="00C86B34" w:rsidRDefault="00E95FB1" w:rsidP="001B3967">
            <w:pPr>
              <w:ind w:left="818" w:hanging="65"/>
              <w:rPr>
                <w:sz w:val="22"/>
              </w:rPr>
            </w:pPr>
            <w:r w:rsidRPr="00C86B34">
              <w:rPr>
                <w:sz w:val="22"/>
              </w:rPr>
              <w:t>придбання боксерського рингу, боксерських груш та мішків;</w:t>
            </w:r>
          </w:p>
          <w:p w:rsidR="00E95FB1" w:rsidRPr="00C86B34" w:rsidRDefault="00E95FB1" w:rsidP="001B3967">
            <w:pPr>
              <w:ind w:left="818" w:hanging="65"/>
              <w:rPr>
                <w:sz w:val="22"/>
              </w:rPr>
            </w:pPr>
            <w:r w:rsidRPr="00C86B34">
              <w:rPr>
                <w:sz w:val="22"/>
              </w:rPr>
              <w:t>придбання нових тренажерів;</w:t>
            </w:r>
          </w:p>
          <w:p w:rsidR="00E95FB1" w:rsidRPr="00C86B34" w:rsidRDefault="00E95FB1" w:rsidP="000303D7">
            <w:pPr>
              <w:pStyle w:val="a7"/>
              <w:numPr>
                <w:ilvl w:val="0"/>
                <w:numId w:val="30"/>
              </w:numPr>
              <w:ind w:left="469" w:hanging="327"/>
              <w:contextualSpacing w:val="0"/>
              <w:jc w:val="left"/>
              <w:rPr>
                <w:color w:val="000000"/>
                <w:sz w:val="22"/>
              </w:rPr>
            </w:pPr>
            <w:r w:rsidRPr="00C86B34">
              <w:rPr>
                <w:rFonts w:eastAsia="Calibri"/>
                <w:color w:val="000000"/>
                <w:sz w:val="22"/>
              </w:rPr>
              <w:t>введення споруди в експлуатацію та її експлуатація за призначенням</w:t>
            </w:r>
          </w:p>
        </w:tc>
      </w:tr>
      <w:tr w:rsidR="00E95FB1" w:rsidRPr="00C86B34" w:rsidTr="001B3967">
        <w:trPr>
          <w:trHeight w:val="198"/>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Орієнтовний обсяг та джерела фінансування тис. гривень</w:t>
            </w:r>
          </w:p>
        </w:tc>
        <w:tc>
          <w:tcPr>
            <w:tcW w:w="1933"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Державний бюджет</w:t>
            </w:r>
          </w:p>
        </w:tc>
        <w:tc>
          <w:tcPr>
            <w:tcW w:w="1254"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Місцевий бюджет</w:t>
            </w:r>
          </w:p>
        </w:tc>
        <w:tc>
          <w:tcPr>
            <w:tcW w:w="2508" w:type="dxa"/>
            <w:gridSpan w:val="4"/>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Інші джерела</w:t>
            </w:r>
          </w:p>
        </w:tc>
        <w:tc>
          <w:tcPr>
            <w:tcW w:w="1495"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Всього</w:t>
            </w:r>
          </w:p>
        </w:tc>
      </w:tr>
      <w:tr w:rsidR="00E95FB1" w:rsidRPr="00C86B34" w:rsidTr="001B3967">
        <w:trPr>
          <w:trHeight w:val="198"/>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1933"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254"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254"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Обсяг</w:t>
            </w:r>
          </w:p>
        </w:tc>
        <w:tc>
          <w:tcPr>
            <w:tcW w:w="1254"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Назва джерела</w:t>
            </w:r>
          </w:p>
        </w:tc>
        <w:tc>
          <w:tcPr>
            <w:tcW w:w="1495" w:type="dxa"/>
            <w:vMerge/>
            <w:vAlign w:val="center"/>
          </w:tcPr>
          <w:p w:rsidR="00E95FB1" w:rsidRPr="00C86B34" w:rsidRDefault="00E95FB1" w:rsidP="001B3967">
            <w:pPr>
              <w:autoSpaceDE w:val="0"/>
              <w:autoSpaceDN w:val="0"/>
              <w:adjustRightInd w:val="0"/>
              <w:jc w:val="center"/>
              <w:rPr>
                <w:rFonts w:eastAsia="Calibri"/>
                <w:b/>
                <w:color w:val="000000"/>
                <w:sz w:val="22"/>
              </w:rPr>
            </w:pPr>
          </w:p>
        </w:tc>
      </w:tr>
      <w:tr w:rsidR="00E95FB1" w:rsidRPr="00C86B34" w:rsidTr="001B3967">
        <w:trPr>
          <w:trHeight w:val="198"/>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1933"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50 000,0</w:t>
            </w:r>
          </w:p>
        </w:tc>
        <w:tc>
          <w:tcPr>
            <w:tcW w:w="1254" w:type="dxa"/>
          </w:tcPr>
          <w:p w:rsidR="00E95FB1" w:rsidRPr="00C86B34" w:rsidRDefault="00E95FB1" w:rsidP="001B3967">
            <w:pPr>
              <w:autoSpaceDE w:val="0"/>
              <w:autoSpaceDN w:val="0"/>
              <w:adjustRightInd w:val="0"/>
              <w:jc w:val="center"/>
              <w:rPr>
                <w:rFonts w:eastAsia="Calibri"/>
                <w:color w:val="000000"/>
                <w:sz w:val="22"/>
              </w:rPr>
            </w:pPr>
          </w:p>
        </w:tc>
        <w:tc>
          <w:tcPr>
            <w:tcW w:w="1254" w:type="dxa"/>
            <w:gridSpan w:val="2"/>
          </w:tcPr>
          <w:p w:rsidR="00E95FB1" w:rsidRPr="00C86B34" w:rsidRDefault="00E95FB1" w:rsidP="001B3967">
            <w:pPr>
              <w:autoSpaceDE w:val="0"/>
              <w:autoSpaceDN w:val="0"/>
              <w:adjustRightInd w:val="0"/>
              <w:jc w:val="center"/>
              <w:rPr>
                <w:rFonts w:eastAsia="Calibri"/>
                <w:color w:val="000000"/>
                <w:sz w:val="22"/>
              </w:rPr>
            </w:pPr>
          </w:p>
        </w:tc>
        <w:tc>
          <w:tcPr>
            <w:tcW w:w="1254" w:type="dxa"/>
            <w:gridSpan w:val="2"/>
          </w:tcPr>
          <w:p w:rsidR="00E95FB1" w:rsidRPr="00C86B34" w:rsidRDefault="00E95FB1" w:rsidP="001B3967">
            <w:pPr>
              <w:autoSpaceDE w:val="0"/>
              <w:autoSpaceDN w:val="0"/>
              <w:adjustRightInd w:val="0"/>
              <w:jc w:val="center"/>
              <w:rPr>
                <w:rFonts w:eastAsia="Calibri"/>
                <w:color w:val="000000"/>
                <w:sz w:val="22"/>
              </w:rPr>
            </w:pPr>
          </w:p>
        </w:tc>
        <w:tc>
          <w:tcPr>
            <w:tcW w:w="1495"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 xml:space="preserve">50 000,0 </w:t>
            </w:r>
          </w:p>
        </w:tc>
      </w:tr>
      <w:tr w:rsidR="00E95FB1" w:rsidRPr="00C86B34" w:rsidTr="001B3967">
        <w:trPr>
          <w:trHeight w:val="198"/>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b/>
                <w:sz w:val="22"/>
              </w:rPr>
              <w:t xml:space="preserve">Ключові потенційні учасники </w:t>
            </w:r>
            <w:proofErr w:type="spellStart"/>
            <w:r w:rsidRPr="00C86B34">
              <w:rPr>
                <w:b/>
                <w:sz w:val="22"/>
              </w:rPr>
              <w:t>проєкту</w:t>
            </w:r>
            <w:proofErr w:type="spellEnd"/>
          </w:p>
        </w:tc>
        <w:tc>
          <w:tcPr>
            <w:tcW w:w="7190" w:type="dxa"/>
            <w:gridSpan w:val="7"/>
          </w:tcPr>
          <w:p w:rsidR="00E95FB1" w:rsidRPr="00C86B34" w:rsidRDefault="00E95FB1" w:rsidP="001B3967">
            <w:pPr>
              <w:ind w:left="753" w:hanging="567"/>
              <w:rPr>
                <w:sz w:val="22"/>
              </w:rPr>
            </w:pPr>
            <w:r w:rsidRPr="00C86B34">
              <w:rPr>
                <w:sz w:val="22"/>
              </w:rPr>
              <w:t xml:space="preserve">1. </w:t>
            </w:r>
            <w:r w:rsidR="009272BC" w:rsidRPr="00C86B34">
              <w:rPr>
                <w:sz w:val="22"/>
              </w:rPr>
              <w:t>Міська в</w:t>
            </w:r>
            <w:r w:rsidRPr="00C86B34">
              <w:rPr>
                <w:sz w:val="22"/>
              </w:rPr>
              <w:t>ійськов</w:t>
            </w:r>
            <w:r w:rsidR="009272BC" w:rsidRPr="00C86B34">
              <w:rPr>
                <w:sz w:val="22"/>
              </w:rPr>
              <w:t>а</w:t>
            </w:r>
            <w:r w:rsidRPr="00C86B34">
              <w:rPr>
                <w:sz w:val="22"/>
              </w:rPr>
              <w:t xml:space="preserve"> адміністрація міста. </w:t>
            </w:r>
          </w:p>
          <w:p w:rsidR="00E95FB1" w:rsidRPr="00C86B34" w:rsidRDefault="00E95FB1" w:rsidP="001B3967">
            <w:pPr>
              <w:tabs>
                <w:tab w:val="left" w:pos="720"/>
              </w:tabs>
              <w:ind w:left="753" w:hanging="567"/>
              <w:rPr>
                <w:sz w:val="22"/>
              </w:rPr>
            </w:pPr>
            <w:r w:rsidRPr="00C86B34">
              <w:rPr>
                <w:sz w:val="22"/>
              </w:rPr>
              <w:t>2. Відділ капітального будівництва військово-цивільної адміністрації міста.</w:t>
            </w:r>
          </w:p>
          <w:p w:rsidR="00E95FB1" w:rsidRPr="00C86B34" w:rsidRDefault="00E95FB1" w:rsidP="001B3967">
            <w:pPr>
              <w:tabs>
                <w:tab w:val="left" w:pos="720"/>
              </w:tabs>
              <w:ind w:left="753" w:hanging="567"/>
              <w:rPr>
                <w:sz w:val="22"/>
              </w:rPr>
            </w:pPr>
            <w:r w:rsidRPr="00C86B34">
              <w:rPr>
                <w:sz w:val="22"/>
              </w:rPr>
              <w:lastRenderedPageBreak/>
              <w:t>3. Підрядна організація - переможець тендеру, виконавець будівельно-монтажних робіт.</w:t>
            </w:r>
          </w:p>
          <w:p w:rsidR="00E95FB1" w:rsidRPr="00C86B34" w:rsidRDefault="00E95FB1" w:rsidP="001B3967">
            <w:pPr>
              <w:tabs>
                <w:tab w:val="left" w:pos="720"/>
              </w:tabs>
              <w:ind w:left="753" w:hanging="567"/>
              <w:rPr>
                <w:sz w:val="22"/>
              </w:rPr>
            </w:pPr>
            <w:r w:rsidRPr="00C86B34">
              <w:rPr>
                <w:sz w:val="22"/>
              </w:rPr>
              <w:t>4. Обласна державна адміністрація.</w:t>
            </w:r>
          </w:p>
          <w:p w:rsidR="00E95FB1" w:rsidRPr="00C86B34" w:rsidRDefault="00E95FB1" w:rsidP="001B3967">
            <w:pPr>
              <w:autoSpaceDE w:val="0"/>
              <w:autoSpaceDN w:val="0"/>
              <w:adjustRightInd w:val="0"/>
              <w:ind w:left="753" w:hanging="567"/>
              <w:rPr>
                <w:rFonts w:eastAsia="Calibri"/>
                <w:color w:val="000000"/>
                <w:sz w:val="22"/>
              </w:rPr>
            </w:pPr>
            <w:r w:rsidRPr="00C86B34">
              <w:rPr>
                <w:sz w:val="22"/>
              </w:rPr>
              <w:t>5. Інвестори та меценати спортивної галузі.</w:t>
            </w:r>
          </w:p>
        </w:tc>
      </w:tr>
    </w:tbl>
    <w:p w:rsidR="00E95FB1" w:rsidRPr="00C86B34" w:rsidRDefault="00E95FB1" w:rsidP="00E95FB1">
      <w:pPr>
        <w:rPr>
          <w:sz w:val="22"/>
        </w:rPr>
      </w:pPr>
    </w:p>
    <w:tbl>
      <w:tblPr>
        <w:tblpPr w:leftFromText="180" w:rightFromText="180" w:vertAnchor="text" w:horzAnchor="page" w:tblpX="1397" w:tblpY="123"/>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724"/>
        <w:gridCol w:w="1810"/>
        <w:gridCol w:w="1219"/>
        <w:gridCol w:w="514"/>
        <w:gridCol w:w="705"/>
        <w:gridCol w:w="1138"/>
        <w:gridCol w:w="81"/>
        <w:gridCol w:w="1453"/>
      </w:tblGrid>
      <w:tr w:rsidR="00E95FB1" w:rsidRPr="00C86B34" w:rsidTr="001B3967">
        <w:trPr>
          <w:trHeight w:val="534"/>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Оперативна ціль/завдання</w:t>
            </w:r>
          </w:p>
        </w:tc>
        <w:tc>
          <w:tcPr>
            <w:tcW w:w="6920" w:type="dxa"/>
            <w:gridSpan w:val="7"/>
          </w:tcPr>
          <w:p w:rsidR="00E95FB1" w:rsidRPr="00C86B34" w:rsidRDefault="009272BC" w:rsidP="001B3967">
            <w:pPr>
              <w:pStyle w:val="a7"/>
              <w:ind w:left="0"/>
              <w:rPr>
                <w:sz w:val="22"/>
              </w:rPr>
            </w:pPr>
            <w:r w:rsidRPr="00C86B34">
              <w:rPr>
                <w:rFonts w:eastAsia="Arial"/>
                <w:sz w:val="22"/>
              </w:rPr>
              <w:t xml:space="preserve">Людський розвиток </w:t>
            </w:r>
            <w:r w:rsidR="00E95FB1" w:rsidRPr="00C86B34">
              <w:rPr>
                <w:rFonts w:eastAsia="Arial"/>
                <w:sz w:val="22"/>
              </w:rPr>
              <w:t xml:space="preserve">через інновації управління та довіру до влади. Формування сучасного інклюзивного </w:t>
            </w:r>
            <w:proofErr w:type="spellStart"/>
            <w:r w:rsidR="00E95FB1" w:rsidRPr="00C86B34">
              <w:rPr>
                <w:rFonts w:eastAsia="Arial"/>
                <w:sz w:val="22"/>
              </w:rPr>
              <w:t>освітньо</w:t>
            </w:r>
            <w:proofErr w:type="spellEnd"/>
            <w:r w:rsidR="00E95FB1" w:rsidRPr="00C86B34">
              <w:rPr>
                <w:rFonts w:eastAsia="Arial"/>
                <w:sz w:val="22"/>
              </w:rPr>
              <w:t xml:space="preserve"> – культурного та спортивного простору для розвитку</w:t>
            </w:r>
          </w:p>
        </w:tc>
      </w:tr>
      <w:tr w:rsidR="00E95FB1" w:rsidRPr="00C86B34" w:rsidTr="001B3967">
        <w:trPr>
          <w:trHeight w:val="276"/>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Назва проекту:</w:t>
            </w:r>
          </w:p>
        </w:tc>
        <w:tc>
          <w:tcPr>
            <w:tcW w:w="6920" w:type="dxa"/>
            <w:gridSpan w:val="7"/>
          </w:tcPr>
          <w:p w:rsidR="00E95FB1" w:rsidRPr="00C86B34" w:rsidRDefault="00E95FB1" w:rsidP="001B3967">
            <w:pPr>
              <w:autoSpaceDE w:val="0"/>
              <w:autoSpaceDN w:val="0"/>
              <w:adjustRightInd w:val="0"/>
              <w:ind w:left="49" w:right="116"/>
              <w:rPr>
                <w:rFonts w:eastAsia="Calibri"/>
                <w:color w:val="000000"/>
                <w:sz w:val="22"/>
              </w:rPr>
            </w:pPr>
            <w:r w:rsidRPr="00C86B34">
              <w:rPr>
                <w:rFonts w:eastAsia="Arial"/>
                <w:sz w:val="22"/>
              </w:rPr>
              <w:t>Капітальний ремонт тенісних кортів КДЮСШ</w:t>
            </w:r>
            <w:r w:rsidR="00AA0E04" w:rsidRPr="00C86B34">
              <w:rPr>
                <w:rFonts w:eastAsia="Arial"/>
                <w:sz w:val="22"/>
              </w:rPr>
              <w:t xml:space="preserve"> </w:t>
            </w:r>
            <w:r w:rsidRPr="00C86B34">
              <w:rPr>
                <w:sz w:val="22"/>
              </w:rPr>
              <w:t xml:space="preserve">1 </w:t>
            </w:r>
            <w:r w:rsidRPr="00C86B34">
              <w:rPr>
                <w:rFonts w:eastAsia="Calibri"/>
                <w:color w:val="000000"/>
                <w:sz w:val="22"/>
              </w:rPr>
              <w:t xml:space="preserve"> міста Сєвєродонецьк Луганської області</w:t>
            </w:r>
            <w:r w:rsidRPr="00C86B34">
              <w:rPr>
                <w:rFonts w:eastAsia="Arial"/>
                <w:sz w:val="22"/>
              </w:rPr>
              <w:t xml:space="preserve"> за </w:t>
            </w:r>
            <w:proofErr w:type="spellStart"/>
            <w:r w:rsidRPr="00C86B34">
              <w:rPr>
                <w:rFonts w:eastAsia="Arial"/>
                <w:sz w:val="22"/>
              </w:rPr>
              <w:t>адресою</w:t>
            </w:r>
            <w:proofErr w:type="spellEnd"/>
            <w:r w:rsidRPr="00C86B34">
              <w:rPr>
                <w:rFonts w:eastAsia="Arial"/>
                <w:sz w:val="22"/>
              </w:rPr>
              <w:t>: вул. Федоренка, 33а</w:t>
            </w:r>
          </w:p>
        </w:tc>
      </w:tr>
      <w:tr w:rsidR="00E95FB1" w:rsidRPr="00C86B34" w:rsidTr="001B3967">
        <w:trPr>
          <w:trHeight w:val="328"/>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Ціль проекту</w:t>
            </w:r>
          </w:p>
        </w:tc>
        <w:tc>
          <w:tcPr>
            <w:tcW w:w="6920" w:type="dxa"/>
            <w:gridSpan w:val="7"/>
            <w:vAlign w:val="center"/>
          </w:tcPr>
          <w:p w:rsidR="00E95FB1" w:rsidRPr="00C86B34" w:rsidRDefault="00E95FB1" w:rsidP="001B3967">
            <w:pPr>
              <w:autoSpaceDE w:val="0"/>
              <w:autoSpaceDN w:val="0"/>
              <w:adjustRightInd w:val="0"/>
              <w:ind w:left="49" w:right="116"/>
              <w:rPr>
                <w:rFonts w:eastAsia="Calibri"/>
                <w:color w:val="000000"/>
                <w:sz w:val="22"/>
              </w:rPr>
            </w:pPr>
            <w:r w:rsidRPr="00C86B34">
              <w:rPr>
                <w:sz w:val="22"/>
              </w:rPr>
              <w:t xml:space="preserve">Створення безпечних та комфортних умов для заняття фізкультурою та спортом мешканцям громади, у т. ч. особами з особливими потребами,  покращення здоров’я жителів громади шляхом проведення реабілітаційних заходів, метою яких є відновлення фізичного та психічного здоров'я людини, порушених  внаслідок військового вторгнення </w:t>
            </w:r>
            <w:r w:rsidR="00AA0E04" w:rsidRPr="00C86B34">
              <w:rPr>
                <w:sz w:val="22"/>
              </w:rPr>
              <w:t>РФ</w:t>
            </w:r>
            <w:r w:rsidRPr="00C86B34">
              <w:rPr>
                <w:sz w:val="22"/>
              </w:rPr>
              <w:t xml:space="preserve"> на територію України, формування здорового способу життя, популяризація фізичної культури та спорту.</w:t>
            </w:r>
          </w:p>
        </w:tc>
      </w:tr>
      <w:tr w:rsidR="00E95FB1" w:rsidRPr="00C86B34" w:rsidTr="001B3967">
        <w:trPr>
          <w:trHeight w:val="276"/>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Територія, на яку матиме вплив реалізація проекту</w:t>
            </w:r>
          </w:p>
        </w:tc>
        <w:tc>
          <w:tcPr>
            <w:tcW w:w="6920" w:type="dxa"/>
            <w:gridSpan w:val="7"/>
            <w:vAlign w:val="center"/>
          </w:tcPr>
          <w:p w:rsidR="00E95FB1" w:rsidRPr="00C86B34" w:rsidRDefault="00E95FB1" w:rsidP="001B3967">
            <w:pPr>
              <w:autoSpaceDE w:val="0"/>
              <w:autoSpaceDN w:val="0"/>
              <w:adjustRightInd w:val="0"/>
              <w:ind w:left="49" w:right="116"/>
              <w:rPr>
                <w:rFonts w:eastAsia="Calibri"/>
                <w:color w:val="000000"/>
                <w:sz w:val="22"/>
              </w:rPr>
            </w:pPr>
            <w:r w:rsidRPr="00C86B34">
              <w:rPr>
                <w:rFonts w:eastAsia="Calibri"/>
                <w:color w:val="000000"/>
                <w:sz w:val="22"/>
              </w:rPr>
              <w:t>Сєвєродонецька міська територіальна громада.</w:t>
            </w:r>
          </w:p>
        </w:tc>
      </w:tr>
      <w:tr w:rsidR="00E95FB1" w:rsidRPr="00C86B34" w:rsidTr="001B3967">
        <w:trPr>
          <w:trHeight w:val="553"/>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Чисельність населення, на яке матиме вплив реалізація проекту</w:t>
            </w:r>
          </w:p>
        </w:tc>
        <w:tc>
          <w:tcPr>
            <w:tcW w:w="6920" w:type="dxa"/>
            <w:gridSpan w:val="7"/>
            <w:vAlign w:val="center"/>
          </w:tcPr>
          <w:p w:rsidR="00E95FB1" w:rsidRPr="00C86B34" w:rsidRDefault="00AA0E04" w:rsidP="001B3967">
            <w:pPr>
              <w:autoSpaceDE w:val="0"/>
              <w:autoSpaceDN w:val="0"/>
              <w:adjustRightInd w:val="0"/>
              <w:rPr>
                <w:rFonts w:eastAsia="@Malgun Gothic"/>
                <w:sz w:val="22"/>
              </w:rPr>
            </w:pPr>
            <w:r w:rsidRPr="00C86B34">
              <w:rPr>
                <w:rFonts w:eastAsia="BatangChe"/>
                <w:sz w:val="22"/>
              </w:rPr>
              <w:t>70 000</w:t>
            </w:r>
          </w:p>
        </w:tc>
      </w:tr>
      <w:tr w:rsidR="00E95FB1" w:rsidRPr="00C86B34" w:rsidTr="001B3967">
        <w:trPr>
          <w:trHeight w:val="298"/>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Опис проблеми, на вирішення якої спрямований проект</w:t>
            </w:r>
          </w:p>
        </w:tc>
        <w:tc>
          <w:tcPr>
            <w:tcW w:w="6920" w:type="dxa"/>
            <w:gridSpan w:val="7"/>
          </w:tcPr>
          <w:p w:rsidR="00E95FB1" w:rsidRPr="00C86B34" w:rsidRDefault="00E95FB1" w:rsidP="001B3967">
            <w:pPr>
              <w:ind w:left="44"/>
              <w:rPr>
                <w:color w:val="000000"/>
                <w:spacing w:val="2"/>
                <w:sz w:val="22"/>
                <w:shd w:val="clear" w:color="auto" w:fill="FFFFFF"/>
              </w:rPr>
            </w:pPr>
            <w:r w:rsidRPr="00C86B34">
              <w:rPr>
                <w:color w:val="000000"/>
                <w:spacing w:val="2"/>
                <w:sz w:val="22"/>
                <w:shd w:val="clear" w:color="auto" w:fill="FFFFFF"/>
              </w:rPr>
              <w:t>Залучення широких верств населення до занять фізичною культурою, стан його здоров'я та успіхи на міжнародних змаганнях є безперечним доказом життєздатності та духовної сили будь-якої нації. Для того</w:t>
            </w:r>
            <w:r w:rsidR="002C7006" w:rsidRPr="00C86B34">
              <w:rPr>
                <w:color w:val="000000"/>
                <w:spacing w:val="2"/>
                <w:sz w:val="22"/>
                <w:shd w:val="clear" w:color="auto" w:fill="FFFFFF"/>
              </w:rPr>
              <w:t>,</w:t>
            </w:r>
            <w:r w:rsidRPr="00C86B34">
              <w:rPr>
                <w:color w:val="000000"/>
                <w:spacing w:val="2"/>
                <w:sz w:val="22"/>
                <w:shd w:val="clear" w:color="auto" w:fill="FFFFFF"/>
              </w:rPr>
              <w:t xml:space="preserve"> щоб у широких мас з'явився інтерес до заняття фізичною культурою і спортом</w:t>
            </w:r>
            <w:r w:rsidR="002C7006" w:rsidRPr="00C86B34">
              <w:rPr>
                <w:color w:val="000000"/>
                <w:spacing w:val="2"/>
                <w:sz w:val="22"/>
                <w:shd w:val="clear" w:color="auto" w:fill="FFFFFF"/>
              </w:rPr>
              <w:t>,</w:t>
            </w:r>
            <w:r w:rsidRPr="00C86B34">
              <w:rPr>
                <w:color w:val="000000"/>
                <w:spacing w:val="2"/>
                <w:sz w:val="22"/>
                <w:shd w:val="clear" w:color="auto" w:fill="FFFFFF"/>
              </w:rPr>
              <w:t xml:space="preserve"> необхідно мати відповідну інфраструктуру.</w:t>
            </w:r>
          </w:p>
          <w:p w:rsidR="00E95FB1" w:rsidRPr="00C86B34" w:rsidRDefault="00E95FB1" w:rsidP="001B3967">
            <w:pPr>
              <w:ind w:left="44"/>
              <w:rPr>
                <w:sz w:val="22"/>
              </w:rPr>
            </w:pPr>
            <w:r w:rsidRPr="00C86B34">
              <w:rPr>
                <w:rFonts w:eastAsia="Calibri"/>
                <w:sz w:val="22"/>
              </w:rPr>
              <w:t>Внаслідок ведення активних бойових дій на території Сєвєродонецької міської територіальної громади тенісні корти КДЮСШ 1, як і в</w:t>
            </w:r>
            <w:r w:rsidRPr="00C86B34">
              <w:rPr>
                <w:sz w:val="22"/>
              </w:rPr>
              <w:t>елика кількість інфраструктури міста</w:t>
            </w:r>
            <w:r w:rsidR="002C7006" w:rsidRPr="00C86B34">
              <w:rPr>
                <w:sz w:val="22"/>
              </w:rPr>
              <w:t>,</w:t>
            </w:r>
            <w:r w:rsidRPr="00C86B34">
              <w:rPr>
                <w:sz w:val="22"/>
              </w:rPr>
              <w:t xml:space="preserve"> зазнали пошкоджень та руйнувань.</w:t>
            </w:r>
          </w:p>
          <w:p w:rsidR="00E95FB1" w:rsidRPr="00C86B34" w:rsidRDefault="00E95FB1" w:rsidP="001B3967">
            <w:pPr>
              <w:ind w:left="44"/>
              <w:rPr>
                <w:sz w:val="22"/>
              </w:rPr>
            </w:pPr>
            <w:r w:rsidRPr="00C86B34">
              <w:rPr>
                <w:sz w:val="22"/>
              </w:rPr>
              <w:t xml:space="preserve">Після </w:t>
            </w:r>
            <w:proofErr w:type="spellStart"/>
            <w:r w:rsidRPr="00C86B34">
              <w:rPr>
                <w:sz w:val="22"/>
              </w:rPr>
              <w:t>деокупації</w:t>
            </w:r>
            <w:proofErr w:type="spellEnd"/>
            <w:r w:rsidRPr="00C86B34">
              <w:rPr>
                <w:sz w:val="22"/>
              </w:rPr>
              <w:t xml:space="preserve"> території та початком відбудови міста постане питання щодо реабілітації мешканців громади як в фізичному</w:t>
            </w:r>
            <w:r w:rsidR="002C7006" w:rsidRPr="00C86B34">
              <w:rPr>
                <w:sz w:val="22"/>
              </w:rPr>
              <w:t>,</w:t>
            </w:r>
            <w:r w:rsidRPr="00C86B34">
              <w:rPr>
                <w:sz w:val="22"/>
              </w:rPr>
              <w:t xml:space="preserve"> так і в психологічному плані, залучення молодого покоління до здорового способу життя та отримання ними корисних навичок та звичок. </w:t>
            </w:r>
          </w:p>
          <w:p w:rsidR="00E95FB1" w:rsidRPr="00C86B34" w:rsidRDefault="00E95FB1" w:rsidP="001B3967">
            <w:pPr>
              <w:ind w:left="44"/>
              <w:rPr>
                <w:sz w:val="22"/>
              </w:rPr>
            </w:pPr>
            <w:r w:rsidRPr="00C86B34">
              <w:rPr>
                <w:sz w:val="22"/>
              </w:rPr>
              <w:t xml:space="preserve">Одним з напрямків згуртовування населення може бути спорт. Але для цього необхідно мати відповідну інфраструктуру. </w:t>
            </w:r>
          </w:p>
          <w:p w:rsidR="00E95FB1" w:rsidRPr="00C86B34" w:rsidRDefault="00E95FB1" w:rsidP="001B3967">
            <w:pPr>
              <w:ind w:left="44"/>
              <w:rPr>
                <w:rFonts w:eastAsia="Calibri"/>
                <w:color w:val="000000"/>
                <w:sz w:val="22"/>
              </w:rPr>
            </w:pPr>
            <w:r w:rsidRPr="00C86B34">
              <w:rPr>
                <w:rFonts w:eastAsia="Calibri"/>
                <w:color w:val="000000"/>
                <w:sz w:val="22"/>
              </w:rPr>
              <w:t>Тенісні корти КДЮСШ</w:t>
            </w:r>
            <w:r w:rsidR="002C7006" w:rsidRPr="00C86B34">
              <w:rPr>
                <w:rFonts w:eastAsia="Calibri"/>
                <w:color w:val="000000"/>
                <w:sz w:val="22"/>
              </w:rPr>
              <w:t xml:space="preserve"> </w:t>
            </w:r>
            <w:r w:rsidRPr="00C86B34">
              <w:rPr>
                <w:rFonts w:eastAsia="Calibri"/>
                <w:color w:val="000000"/>
                <w:sz w:val="22"/>
              </w:rPr>
              <w:t xml:space="preserve">1 – є унікальною спортивною спорудою не тільки в Луганській області, а й в  Україні. Вони побудовані ще у 60-ті роки минулого сторіччя та потребують модернізації. Дерев’яне покриття – чи не єдине покриття, яке залишилось в Україні. </w:t>
            </w:r>
          </w:p>
          <w:p w:rsidR="00E95FB1" w:rsidRPr="00C86B34" w:rsidRDefault="00E95FB1" w:rsidP="001B3967">
            <w:pPr>
              <w:ind w:left="44"/>
              <w:rPr>
                <w:rFonts w:eastAsia="Calibri"/>
                <w:color w:val="000000"/>
                <w:sz w:val="22"/>
              </w:rPr>
            </w:pPr>
            <w:r w:rsidRPr="00C86B34">
              <w:rPr>
                <w:rFonts w:eastAsia="Calibri"/>
                <w:color w:val="000000"/>
                <w:sz w:val="22"/>
              </w:rPr>
              <w:t>З розвитком технологій спортивна галузь не стоїть на місці. Всі змагання з тенісу проходять на сучасних покриттях. Для того</w:t>
            </w:r>
            <w:r w:rsidR="002C7006" w:rsidRPr="00C86B34">
              <w:rPr>
                <w:rFonts w:eastAsia="Calibri"/>
                <w:color w:val="000000"/>
                <w:sz w:val="22"/>
              </w:rPr>
              <w:t>,</w:t>
            </w:r>
            <w:r w:rsidRPr="00C86B34">
              <w:rPr>
                <w:rFonts w:eastAsia="Calibri"/>
                <w:color w:val="000000"/>
                <w:sz w:val="22"/>
              </w:rPr>
              <w:t xml:space="preserve"> щоб бути конкурентоспроможними та  створити сучасні умови вихованцям КДЮСШ, необхідна р</w:t>
            </w:r>
            <w:r w:rsidRPr="00C86B34">
              <w:rPr>
                <w:sz w:val="22"/>
              </w:rPr>
              <w:t xml:space="preserve">еалізація </w:t>
            </w:r>
            <w:proofErr w:type="spellStart"/>
            <w:r w:rsidRPr="00C86B34">
              <w:rPr>
                <w:sz w:val="22"/>
              </w:rPr>
              <w:t>проєкту</w:t>
            </w:r>
            <w:proofErr w:type="spellEnd"/>
            <w:r w:rsidRPr="00C86B34">
              <w:rPr>
                <w:sz w:val="22"/>
              </w:rPr>
              <w:t xml:space="preserve"> «К</w:t>
            </w:r>
            <w:r w:rsidRPr="00C86B34">
              <w:rPr>
                <w:rFonts w:eastAsia="Calibri"/>
                <w:color w:val="000000"/>
                <w:sz w:val="22"/>
              </w:rPr>
              <w:t>апітальний ремонт тенісних кортів КДЮСШ</w:t>
            </w:r>
            <w:r w:rsidR="002C7006" w:rsidRPr="00C86B34">
              <w:rPr>
                <w:rFonts w:eastAsia="Calibri"/>
                <w:color w:val="000000"/>
                <w:sz w:val="22"/>
              </w:rPr>
              <w:t xml:space="preserve"> </w:t>
            </w:r>
            <w:r w:rsidRPr="00C86B34">
              <w:rPr>
                <w:rFonts w:eastAsia="Calibri"/>
                <w:color w:val="000000"/>
                <w:sz w:val="22"/>
              </w:rPr>
              <w:t xml:space="preserve">1 міста Сєвєродонецьк Луганської області за </w:t>
            </w:r>
            <w:proofErr w:type="spellStart"/>
            <w:r w:rsidRPr="00C86B34">
              <w:rPr>
                <w:rFonts w:eastAsia="Calibri"/>
                <w:color w:val="000000"/>
                <w:sz w:val="22"/>
              </w:rPr>
              <w:t>адресою</w:t>
            </w:r>
            <w:proofErr w:type="spellEnd"/>
            <w:r w:rsidRPr="00C86B34">
              <w:rPr>
                <w:rFonts w:eastAsia="Calibri"/>
                <w:color w:val="000000"/>
                <w:sz w:val="22"/>
              </w:rPr>
              <w:t>: вул. Федоренка, 33а».</w:t>
            </w:r>
          </w:p>
          <w:p w:rsidR="00E95FB1" w:rsidRPr="00C86B34" w:rsidRDefault="00E95FB1" w:rsidP="001B3967">
            <w:pPr>
              <w:ind w:left="44"/>
              <w:rPr>
                <w:rFonts w:eastAsia="Calibri"/>
                <w:color w:val="000000"/>
                <w:sz w:val="22"/>
              </w:rPr>
            </w:pPr>
            <w:r w:rsidRPr="00C86B34">
              <w:rPr>
                <w:rFonts w:eastAsia="Calibri"/>
                <w:color w:val="000000"/>
                <w:sz w:val="22"/>
              </w:rPr>
              <w:t xml:space="preserve">Реалізація </w:t>
            </w:r>
            <w:proofErr w:type="spellStart"/>
            <w:r w:rsidRPr="00C86B34">
              <w:rPr>
                <w:rFonts w:eastAsia="Calibri"/>
                <w:color w:val="000000"/>
                <w:sz w:val="22"/>
              </w:rPr>
              <w:t>проєкту</w:t>
            </w:r>
            <w:proofErr w:type="spellEnd"/>
            <w:r w:rsidRPr="00C86B34">
              <w:rPr>
                <w:rFonts w:eastAsia="Calibri"/>
                <w:color w:val="000000"/>
                <w:sz w:val="22"/>
              </w:rPr>
              <w:t xml:space="preserve"> дозволить створити безпечні та комфортні умови для залучення широких верств населення до здорового способу життя, </w:t>
            </w:r>
            <w:proofErr w:type="spellStart"/>
            <w:r w:rsidRPr="00C86B34">
              <w:rPr>
                <w:rFonts w:eastAsia="Calibri"/>
                <w:color w:val="000000"/>
                <w:sz w:val="22"/>
              </w:rPr>
              <w:t>надасть</w:t>
            </w:r>
            <w:proofErr w:type="spellEnd"/>
            <w:r w:rsidRPr="00C86B34">
              <w:rPr>
                <w:rFonts w:eastAsia="Calibri"/>
                <w:color w:val="000000"/>
                <w:sz w:val="22"/>
              </w:rPr>
              <w:t xml:space="preserve"> можливість розвивати здібності як молодого покоління</w:t>
            </w:r>
            <w:r w:rsidR="002C7006" w:rsidRPr="00C86B34">
              <w:rPr>
                <w:rFonts w:eastAsia="Calibri"/>
                <w:color w:val="000000"/>
                <w:sz w:val="22"/>
              </w:rPr>
              <w:t>,</w:t>
            </w:r>
            <w:r w:rsidRPr="00C86B34">
              <w:rPr>
                <w:rFonts w:eastAsia="Calibri"/>
                <w:color w:val="000000"/>
                <w:sz w:val="22"/>
              </w:rPr>
              <w:t xml:space="preserve"> так і дорослого.</w:t>
            </w:r>
          </w:p>
          <w:p w:rsidR="00E95FB1" w:rsidRPr="00C86B34" w:rsidRDefault="00E95FB1" w:rsidP="002C7006">
            <w:pPr>
              <w:ind w:left="44"/>
              <w:rPr>
                <w:rFonts w:eastAsia="Calibri"/>
                <w:color w:val="000000"/>
                <w:sz w:val="22"/>
              </w:rPr>
            </w:pPr>
            <w:r w:rsidRPr="00C86B34">
              <w:rPr>
                <w:sz w:val="22"/>
              </w:rPr>
              <w:t xml:space="preserve">Результати </w:t>
            </w:r>
            <w:proofErr w:type="spellStart"/>
            <w:r w:rsidRPr="00C86B34">
              <w:rPr>
                <w:sz w:val="22"/>
              </w:rPr>
              <w:t>проєкту</w:t>
            </w:r>
            <w:proofErr w:type="spellEnd"/>
            <w:r w:rsidRPr="00C86B34">
              <w:rPr>
                <w:sz w:val="22"/>
              </w:rPr>
              <w:t xml:space="preserve"> будуть сталими і корисними для мешканців територіальної громади. </w:t>
            </w:r>
            <w:proofErr w:type="spellStart"/>
            <w:r w:rsidRPr="00C86B34">
              <w:rPr>
                <w:sz w:val="22"/>
              </w:rPr>
              <w:t>Проєкт</w:t>
            </w:r>
            <w:proofErr w:type="spellEnd"/>
            <w:r w:rsidRPr="00C86B34">
              <w:rPr>
                <w:sz w:val="22"/>
              </w:rPr>
              <w:t xml:space="preserve"> є іміджевий для міста Сєвєродонецьк як адміністративного центру Луганської області та має великі перспективи для розвитку.</w:t>
            </w:r>
          </w:p>
        </w:tc>
      </w:tr>
      <w:tr w:rsidR="00E95FB1" w:rsidRPr="00C86B34" w:rsidTr="001B3967">
        <w:trPr>
          <w:trHeight w:val="503"/>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lastRenderedPageBreak/>
              <w:t>Очікувані якісні результати від реалізації проекту</w:t>
            </w:r>
          </w:p>
        </w:tc>
        <w:tc>
          <w:tcPr>
            <w:tcW w:w="6920" w:type="dxa"/>
            <w:gridSpan w:val="7"/>
          </w:tcPr>
          <w:p w:rsidR="00E95FB1" w:rsidRPr="00C86B34" w:rsidRDefault="00E95FB1" w:rsidP="000303D7">
            <w:pPr>
              <w:numPr>
                <w:ilvl w:val="0"/>
                <w:numId w:val="32"/>
              </w:numPr>
              <w:ind w:left="469" w:hanging="283"/>
              <w:rPr>
                <w:rFonts w:eastAsia="Arial"/>
                <w:sz w:val="22"/>
              </w:rPr>
            </w:pPr>
            <w:r w:rsidRPr="00C86B34">
              <w:rPr>
                <w:rFonts w:eastAsia="Arial"/>
                <w:sz w:val="22"/>
              </w:rPr>
              <w:t xml:space="preserve">створено </w:t>
            </w:r>
            <w:r w:rsidRPr="00C86B34">
              <w:rPr>
                <w:sz w:val="22"/>
              </w:rPr>
              <w:t>безпечні та комфортні умови для занять фізичною культурою та спортом мешканцям громади, у т. ч. особами з особливими потребами;</w:t>
            </w:r>
          </w:p>
          <w:p w:rsidR="00E95FB1" w:rsidRPr="00C86B34" w:rsidRDefault="00E95FB1" w:rsidP="000303D7">
            <w:pPr>
              <w:numPr>
                <w:ilvl w:val="0"/>
                <w:numId w:val="32"/>
              </w:numPr>
              <w:ind w:left="469" w:hanging="283"/>
              <w:rPr>
                <w:rFonts w:eastAsia="Arial"/>
                <w:sz w:val="22"/>
              </w:rPr>
            </w:pPr>
            <w:r w:rsidRPr="00C86B34">
              <w:rPr>
                <w:rFonts w:eastAsia="Arial"/>
                <w:sz w:val="22"/>
              </w:rPr>
              <w:t>розвиток тенісу в громаді;</w:t>
            </w:r>
          </w:p>
          <w:p w:rsidR="00E95FB1" w:rsidRPr="00C86B34" w:rsidRDefault="00E95FB1" w:rsidP="000303D7">
            <w:pPr>
              <w:numPr>
                <w:ilvl w:val="0"/>
                <w:numId w:val="32"/>
              </w:numPr>
              <w:ind w:left="469" w:hanging="283"/>
              <w:rPr>
                <w:rFonts w:eastAsia="Arial"/>
                <w:sz w:val="22"/>
              </w:rPr>
            </w:pPr>
            <w:r w:rsidRPr="00C86B34">
              <w:rPr>
                <w:sz w:val="22"/>
              </w:rPr>
              <w:t>проведення змагань від міського рівня до Всеукраїнських</w:t>
            </w:r>
            <w:r w:rsidR="002C7006" w:rsidRPr="00C86B34">
              <w:rPr>
                <w:sz w:val="22"/>
              </w:rPr>
              <w:t>;</w:t>
            </w:r>
          </w:p>
          <w:p w:rsidR="00E95FB1" w:rsidRPr="00C86B34" w:rsidRDefault="00E95FB1" w:rsidP="000303D7">
            <w:pPr>
              <w:numPr>
                <w:ilvl w:val="0"/>
                <w:numId w:val="32"/>
              </w:numPr>
              <w:ind w:left="469" w:hanging="283"/>
              <w:rPr>
                <w:rFonts w:eastAsia="Arial"/>
                <w:sz w:val="22"/>
              </w:rPr>
            </w:pPr>
            <w:r w:rsidRPr="00C86B34">
              <w:rPr>
                <w:sz w:val="22"/>
              </w:rPr>
              <w:t>об’єднання громадян за інтересами при занятті спортом;</w:t>
            </w:r>
          </w:p>
          <w:p w:rsidR="00E95FB1" w:rsidRPr="00C86B34" w:rsidRDefault="00E95FB1" w:rsidP="000303D7">
            <w:pPr>
              <w:numPr>
                <w:ilvl w:val="0"/>
                <w:numId w:val="32"/>
              </w:numPr>
              <w:ind w:left="469" w:hanging="283"/>
              <w:rPr>
                <w:rFonts w:eastAsia="Arial"/>
                <w:sz w:val="22"/>
              </w:rPr>
            </w:pPr>
            <w:r w:rsidRPr="00C86B34">
              <w:rPr>
                <w:sz w:val="22"/>
              </w:rPr>
              <w:t>відновлення фізичного та психічного здоров'я людини;</w:t>
            </w:r>
          </w:p>
          <w:p w:rsidR="00E95FB1" w:rsidRPr="00C86B34" w:rsidRDefault="00E95FB1" w:rsidP="000303D7">
            <w:pPr>
              <w:numPr>
                <w:ilvl w:val="0"/>
                <w:numId w:val="32"/>
              </w:numPr>
              <w:autoSpaceDE w:val="0"/>
              <w:autoSpaceDN w:val="0"/>
              <w:adjustRightInd w:val="0"/>
              <w:ind w:left="469" w:right="116" w:hanging="283"/>
              <w:rPr>
                <w:rFonts w:eastAsia="Calibri"/>
                <w:color w:val="000000"/>
                <w:sz w:val="22"/>
              </w:rPr>
            </w:pPr>
            <w:r w:rsidRPr="00C86B34">
              <w:rPr>
                <w:rFonts w:eastAsia="Arial"/>
                <w:sz w:val="22"/>
              </w:rPr>
              <w:t>збільшиться привабливість міста.</w:t>
            </w:r>
          </w:p>
        </w:tc>
      </w:tr>
      <w:tr w:rsidR="00E95FB1" w:rsidRPr="00C86B34" w:rsidTr="001B3967">
        <w:trPr>
          <w:trHeight w:val="553"/>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Очікувані кількісні результати від реалізації проекту  (індикатори)</w:t>
            </w:r>
          </w:p>
        </w:tc>
        <w:tc>
          <w:tcPr>
            <w:tcW w:w="3543" w:type="dxa"/>
            <w:gridSpan w:val="3"/>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Найменування показника</w:t>
            </w:r>
          </w:p>
        </w:tc>
        <w:tc>
          <w:tcPr>
            <w:tcW w:w="1843"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Одиниця вимірювання</w:t>
            </w:r>
          </w:p>
        </w:tc>
        <w:tc>
          <w:tcPr>
            <w:tcW w:w="1534"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Прогнозне (цільове) значення</w:t>
            </w:r>
          </w:p>
        </w:tc>
      </w:tr>
      <w:tr w:rsidR="00E95FB1" w:rsidRPr="00C86B34" w:rsidTr="001B3967">
        <w:trPr>
          <w:trHeight w:val="276"/>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543" w:type="dxa"/>
            <w:gridSpan w:val="3"/>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кількість учнів-спортсменів</w:t>
            </w:r>
          </w:p>
        </w:tc>
        <w:tc>
          <w:tcPr>
            <w:tcW w:w="1843"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осіб/день</w:t>
            </w:r>
          </w:p>
        </w:tc>
        <w:tc>
          <w:tcPr>
            <w:tcW w:w="1534"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300</w:t>
            </w:r>
          </w:p>
        </w:tc>
      </w:tr>
      <w:tr w:rsidR="00E95FB1" w:rsidRPr="00C86B34" w:rsidTr="001B3967">
        <w:trPr>
          <w:trHeight w:val="270"/>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543" w:type="dxa"/>
            <w:gridSpan w:val="3"/>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кількість дорослих отримувачів послуг</w:t>
            </w:r>
          </w:p>
        </w:tc>
        <w:tc>
          <w:tcPr>
            <w:tcW w:w="1843"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осіб/день</w:t>
            </w:r>
          </w:p>
        </w:tc>
        <w:tc>
          <w:tcPr>
            <w:tcW w:w="1534"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100</w:t>
            </w:r>
          </w:p>
        </w:tc>
      </w:tr>
      <w:tr w:rsidR="00E95FB1" w:rsidRPr="00C86B34" w:rsidTr="001B3967">
        <w:trPr>
          <w:trHeight w:val="267"/>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543" w:type="dxa"/>
            <w:gridSpan w:val="3"/>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Кількість кортів з сучасним покриттям</w:t>
            </w:r>
          </w:p>
        </w:tc>
        <w:tc>
          <w:tcPr>
            <w:tcW w:w="1843" w:type="dxa"/>
            <w:gridSpan w:val="2"/>
          </w:tcPr>
          <w:p w:rsidR="00E95FB1" w:rsidRPr="00C86B34" w:rsidRDefault="002C7006" w:rsidP="001B3967">
            <w:pPr>
              <w:autoSpaceDE w:val="0"/>
              <w:autoSpaceDN w:val="0"/>
              <w:adjustRightInd w:val="0"/>
              <w:jc w:val="center"/>
              <w:rPr>
                <w:rFonts w:eastAsia="Calibri"/>
                <w:color w:val="000000"/>
                <w:sz w:val="22"/>
              </w:rPr>
            </w:pPr>
            <w:r w:rsidRPr="00C86B34">
              <w:rPr>
                <w:rFonts w:eastAsia="Calibri"/>
                <w:color w:val="000000"/>
                <w:sz w:val="22"/>
              </w:rPr>
              <w:t>одиниць</w:t>
            </w:r>
          </w:p>
        </w:tc>
        <w:tc>
          <w:tcPr>
            <w:tcW w:w="1534"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3</w:t>
            </w:r>
          </w:p>
        </w:tc>
      </w:tr>
      <w:tr w:rsidR="00E95FB1" w:rsidRPr="00C86B34" w:rsidTr="001B3967">
        <w:trPr>
          <w:trHeight w:val="189"/>
        </w:trPr>
        <w:tc>
          <w:tcPr>
            <w:tcW w:w="2724" w:type="dxa"/>
            <w:tcBorders>
              <w:bottom w:val="single" w:sz="4" w:space="0" w:color="auto"/>
            </w:tcBorders>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Ключові заходи проекту:</w:t>
            </w:r>
          </w:p>
        </w:tc>
        <w:tc>
          <w:tcPr>
            <w:tcW w:w="6920" w:type="dxa"/>
            <w:gridSpan w:val="7"/>
          </w:tcPr>
          <w:p w:rsidR="00E95FB1" w:rsidRPr="00C86B34" w:rsidRDefault="00E95FB1" w:rsidP="000303D7">
            <w:pPr>
              <w:numPr>
                <w:ilvl w:val="0"/>
                <w:numId w:val="33"/>
              </w:numPr>
              <w:autoSpaceDE w:val="0"/>
              <w:autoSpaceDN w:val="0"/>
              <w:adjustRightInd w:val="0"/>
              <w:ind w:right="112"/>
              <w:rPr>
                <w:rFonts w:eastAsia="Calibri"/>
                <w:sz w:val="22"/>
              </w:rPr>
            </w:pPr>
            <w:r w:rsidRPr="00C86B34">
              <w:rPr>
                <w:rFonts w:eastAsia="Calibri"/>
                <w:sz w:val="22"/>
              </w:rPr>
              <w:t>оцінка фахівцями завданих будівлі пошкоджень та матеріальних збитків;</w:t>
            </w:r>
          </w:p>
          <w:p w:rsidR="00E95FB1" w:rsidRPr="00C86B34" w:rsidRDefault="00E95FB1" w:rsidP="000303D7">
            <w:pPr>
              <w:pStyle w:val="afc"/>
              <w:numPr>
                <w:ilvl w:val="0"/>
                <w:numId w:val="33"/>
              </w:numPr>
              <w:spacing w:line="240" w:lineRule="auto"/>
              <w:rPr>
                <w:rFonts w:ascii="Times New Roman" w:hAnsi="Times New Roman"/>
                <w:sz w:val="22"/>
              </w:rPr>
            </w:pPr>
            <w:r w:rsidRPr="00C86B34">
              <w:rPr>
                <w:rFonts w:ascii="Times New Roman" w:hAnsi="Times New Roman"/>
                <w:sz w:val="22"/>
              </w:rPr>
              <w:t xml:space="preserve">виготовлення </w:t>
            </w:r>
            <w:proofErr w:type="spellStart"/>
            <w:r w:rsidRPr="00C86B34">
              <w:rPr>
                <w:rFonts w:ascii="Times New Roman" w:hAnsi="Times New Roman"/>
                <w:sz w:val="22"/>
              </w:rPr>
              <w:t>проєктно</w:t>
            </w:r>
            <w:proofErr w:type="spellEnd"/>
            <w:r w:rsidRPr="00C86B34">
              <w:rPr>
                <w:rFonts w:ascii="Times New Roman" w:hAnsi="Times New Roman"/>
                <w:sz w:val="22"/>
              </w:rPr>
              <w:t>—кошторисної документації;</w:t>
            </w:r>
          </w:p>
          <w:p w:rsidR="00E95FB1" w:rsidRPr="00C86B34" w:rsidRDefault="00E95FB1" w:rsidP="000303D7">
            <w:pPr>
              <w:pStyle w:val="afc"/>
              <w:numPr>
                <w:ilvl w:val="0"/>
                <w:numId w:val="33"/>
              </w:numPr>
              <w:spacing w:line="240" w:lineRule="auto"/>
              <w:rPr>
                <w:rFonts w:ascii="Times New Roman" w:hAnsi="Times New Roman"/>
                <w:sz w:val="22"/>
              </w:rPr>
            </w:pPr>
            <w:r w:rsidRPr="00C86B34">
              <w:rPr>
                <w:rFonts w:ascii="Times New Roman" w:hAnsi="Times New Roman"/>
                <w:color w:val="000000"/>
                <w:sz w:val="22"/>
              </w:rPr>
              <w:t>визначення підрядної організації для проведення будівельних робіт;</w:t>
            </w:r>
          </w:p>
          <w:p w:rsidR="00E95FB1" w:rsidRPr="00C86B34" w:rsidRDefault="00E95FB1" w:rsidP="000303D7">
            <w:pPr>
              <w:pStyle w:val="afc"/>
              <w:numPr>
                <w:ilvl w:val="0"/>
                <w:numId w:val="33"/>
              </w:numPr>
              <w:spacing w:line="240" w:lineRule="auto"/>
              <w:rPr>
                <w:rFonts w:ascii="Times New Roman" w:hAnsi="Times New Roman"/>
                <w:sz w:val="22"/>
              </w:rPr>
            </w:pPr>
            <w:r w:rsidRPr="00C86B34">
              <w:rPr>
                <w:rFonts w:ascii="Times New Roman" w:hAnsi="Times New Roman"/>
                <w:color w:val="000000"/>
                <w:sz w:val="22"/>
              </w:rPr>
              <w:t>виконання будівельних робіт:</w:t>
            </w:r>
          </w:p>
          <w:p w:rsidR="00E95FB1" w:rsidRPr="00C86B34" w:rsidRDefault="00E95FB1" w:rsidP="001B3967">
            <w:pPr>
              <w:ind w:left="44" w:firstLine="753"/>
              <w:rPr>
                <w:sz w:val="22"/>
              </w:rPr>
            </w:pPr>
            <w:r w:rsidRPr="00C86B34">
              <w:rPr>
                <w:sz w:val="22"/>
              </w:rPr>
              <w:t>капітальний ремонт даху (з утепленням);</w:t>
            </w:r>
          </w:p>
          <w:p w:rsidR="00E95FB1" w:rsidRPr="00C86B34" w:rsidRDefault="00E95FB1" w:rsidP="001B3967">
            <w:pPr>
              <w:ind w:left="44" w:firstLine="753"/>
              <w:rPr>
                <w:sz w:val="22"/>
              </w:rPr>
            </w:pPr>
            <w:r w:rsidRPr="00C86B34">
              <w:rPr>
                <w:sz w:val="22"/>
              </w:rPr>
              <w:t xml:space="preserve">облаштування на даху системи сонячних </w:t>
            </w:r>
            <w:proofErr w:type="spellStart"/>
            <w:r w:rsidRPr="00C86B34">
              <w:rPr>
                <w:sz w:val="22"/>
              </w:rPr>
              <w:t>батарей</w:t>
            </w:r>
            <w:proofErr w:type="spellEnd"/>
            <w:r w:rsidRPr="00C86B34">
              <w:rPr>
                <w:sz w:val="22"/>
              </w:rPr>
              <w:t>;</w:t>
            </w:r>
          </w:p>
          <w:p w:rsidR="00E95FB1" w:rsidRPr="00C86B34" w:rsidRDefault="00E95FB1" w:rsidP="001B3967">
            <w:pPr>
              <w:ind w:left="44" w:firstLine="753"/>
              <w:rPr>
                <w:sz w:val="22"/>
              </w:rPr>
            </w:pPr>
            <w:r w:rsidRPr="00C86B34">
              <w:rPr>
                <w:sz w:val="22"/>
              </w:rPr>
              <w:t>заміна пошкоджених вікон;</w:t>
            </w:r>
          </w:p>
          <w:p w:rsidR="00E95FB1" w:rsidRPr="00C86B34" w:rsidRDefault="00E95FB1" w:rsidP="001B3967">
            <w:pPr>
              <w:ind w:left="44" w:firstLine="753"/>
              <w:rPr>
                <w:sz w:val="22"/>
              </w:rPr>
            </w:pPr>
            <w:proofErr w:type="spellStart"/>
            <w:r w:rsidRPr="00C86B34">
              <w:rPr>
                <w:sz w:val="22"/>
              </w:rPr>
              <w:t>термомодернізація</w:t>
            </w:r>
            <w:proofErr w:type="spellEnd"/>
            <w:r w:rsidRPr="00C86B34">
              <w:rPr>
                <w:sz w:val="22"/>
              </w:rPr>
              <w:t xml:space="preserve"> будівлі;</w:t>
            </w:r>
          </w:p>
          <w:p w:rsidR="00E95FB1" w:rsidRPr="00C86B34" w:rsidRDefault="00E95FB1" w:rsidP="001B3967">
            <w:pPr>
              <w:ind w:left="44" w:firstLine="753"/>
              <w:rPr>
                <w:sz w:val="22"/>
              </w:rPr>
            </w:pPr>
            <w:r w:rsidRPr="00C86B34">
              <w:rPr>
                <w:sz w:val="22"/>
              </w:rPr>
              <w:t>реконструкція інженерних мереж;</w:t>
            </w:r>
          </w:p>
          <w:p w:rsidR="00E95FB1" w:rsidRPr="00C86B34" w:rsidRDefault="00E95FB1" w:rsidP="001B3967">
            <w:pPr>
              <w:ind w:left="44" w:firstLine="753"/>
              <w:rPr>
                <w:sz w:val="22"/>
              </w:rPr>
            </w:pPr>
            <w:r w:rsidRPr="00C86B34">
              <w:rPr>
                <w:sz w:val="22"/>
              </w:rPr>
              <w:t xml:space="preserve">капітальний ремонт зала тенісних кортів з заміною підлогового покриття на </w:t>
            </w:r>
            <w:proofErr w:type="spellStart"/>
            <w:r w:rsidRPr="00C86B34">
              <w:rPr>
                <w:sz w:val="22"/>
              </w:rPr>
              <w:t>Terafleх</w:t>
            </w:r>
            <w:proofErr w:type="spellEnd"/>
            <w:r w:rsidRPr="00C86B34">
              <w:rPr>
                <w:sz w:val="22"/>
              </w:rPr>
              <w:t>;</w:t>
            </w:r>
          </w:p>
          <w:p w:rsidR="00E95FB1" w:rsidRPr="00C86B34" w:rsidRDefault="00E95FB1" w:rsidP="001B3967">
            <w:pPr>
              <w:ind w:left="44" w:firstLine="753"/>
              <w:rPr>
                <w:sz w:val="22"/>
              </w:rPr>
            </w:pPr>
            <w:r w:rsidRPr="00C86B34">
              <w:rPr>
                <w:sz w:val="22"/>
              </w:rPr>
              <w:t>капітальний ремонт сумісних приміщень (роздягальні, коридор, адміністративні та господарчі приміщення);</w:t>
            </w:r>
          </w:p>
          <w:p w:rsidR="00E95FB1" w:rsidRPr="00C86B34" w:rsidRDefault="00E95FB1" w:rsidP="001B3967">
            <w:pPr>
              <w:ind w:left="44" w:firstLine="753"/>
              <w:rPr>
                <w:sz w:val="22"/>
              </w:rPr>
            </w:pPr>
            <w:r w:rsidRPr="00C86B34">
              <w:rPr>
                <w:sz w:val="22"/>
              </w:rPr>
              <w:t>благоустрій прилеглої території;</w:t>
            </w:r>
          </w:p>
          <w:p w:rsidR="00E95FB1" w:rsidRPr="00C86B34" w:rsidRDefault="00E95FB1" w:rsidP="001B3967">
            <w:pPr>
              <w:ind w:left="44" w:firstLine="753"/>
              <w:rPr>
                <w:sz w:val="22"/>
              </w:rPr>
            </w:pPr>
            <w:r w:rsidRPr="00C86B34">
              <w:rPr>
                <w:sz w:val="22"/>
              </w:rPr>
              <w:t>встановлення системи кондиціювання;</w:t>
            </w:r>
          </w:p>
          <w:p w:rsidR="00E95FB1" w:rsidRPr="00C86B34" w:rsidRDefault="00E95FB1" w:rsidP="001B3967">
            <w:pPr>
              <w:ind w:left="44" w:firstLine="753"/>
              <w:rPr>
                <w:sz w:val="22"/>
              </w:rPr>
            </w:pPr>
            <w:r w:rsidRPr="00C86B34">
              <w:rPr>
                <w:sz w:val="22"/>
              </w:rPr>
              <w:t>облаштування доступу осіб з інвалідністю до роздягальнь, туалетів, душових;</w:t>
            </w:r>
          </w:p>
          <w:p w:rsidR="00E95FB1" w:rsidRPr="00C86B34" w:rsidRDefault="00E95FB1" w:rsidP="001B3967">
            <w:pPr>
              <w:ind w:left="44" w:firstLine="753"/>
              <w:rPr>
                <w:sz w:val="22"/>
              </w:rPr>
            </w:pPr>
            <w:r w:rsidRPr="00C86B34">
              <w:rPr>
                <w:sz w:val="22"/>
              </w:rPr>
              <w:t xml:space="preserve">встановлення </w:t>
            </w:r>
            <w:proofErr w:type="spellStart"/>
            <w:r w:rsidRPr="00C86B34">
              <w:rPr>
                <w:sz w:val="22"/>
              </w:rPr>
              <w:t>геліосистеми</w:t>
            </w:r>
            <w:proofErr w:type="spellEnd"/>
            <w:r w:rsidRPr="00C86B34">
              <w:rPr>
                <w:sz w:val="22"/>
              </w:rPr>
              <w:t xml:space="preserve"> (для підігріву води);</w:t>
            </w:r>
          </w:p>
          <w:p w:rsidR="00E95FB1" w:rsidRPr="00C86B34" w:rsidRDefault="00E95FB1" w:rsidP="001B3967">
            <w:pPr>
              <w:ind w:left="44" w:firstLine="753"/>
              <w:rPr>
                <w:sz w:val="22"/>
              </w:rPr>
            </w:pPr>
            <w:r w:rsidRPr="00C86B34">
              <w:rPr>
                <w:sz w:val="22"/>
              </w:rPr>
              <w:t xml:space="preserve">облаштування системи </w:t>
            </w:r>
            <w:proofErr w:type="spellStart"/>
            <w:r w:rsidRPr="00C86B34">
              <w:rPr>
                <w:sz w:val="22"/>
              </w:rPr>
              <w:t>відеонагляду</w:t>
            </w:r>
            <w:proofErr w:type="spellEnd"/>
            <w:r w:rsidRPr="00C86B34">
              <w:rPr>
                <w:sz w:val="22"/>
              </w:rPr>
              <w:t xml:space="preserve">  та відеоспостереження;</w:t>
            </w:r>
          </w:p>
          <w:p w:rsidR="00E95FB1" w:rsidRPr="00C86B34" w:rsidRDefault="00E95FB1" w:rsidP="000303D7">
            <w:pPr>
              <w:numPr>
                <w:ilvl w:val="0"/>
                <w:numId w:val="34"/>
              </w:numPr>
              <w:rPr>
                <w:sz w:val="22"/>
              </w:rPr>
            </w:pPr>
            <w:r w:rsidRPr="00C86B34">
              <w:rPr>
                <w:sz w:val="22"/>
              </w:rPr>
              <w:t>придбання необхідного знаряддя для ведення тренувального процесу.</w:t>
            </w:r>
          </w:p>
          <w:p w:rsidR="00E95FB1" w:rsidRPr="00C86B34" w:rsidRDefault="00E95FB1" w:rsidP="000303D7">
            <w:pPr>
              <w:numPr>
                <w:ilvl w:val="0"/>
                <w:numId w:val="34"/>
              </w:numPr>
              <w:rPr>
                <w:sz w:val="22"/>
              </w:rPr>
            </w:pPr>
            <w:r w:rsidRPr="00C86B34">
              <w:rPr>
                <w:rFonts w:eastAsia="Calibri"/>
                <w:color w:val="000000"/>
                <w:sz w:val="22"/>
              </w:rPr>
              <w:t>введення споруди в експлуатацію та її експлуатація за призначенням</w:t>
            </w:r>
          </w:p>
        </w:tc>
      </w:tr>
      <w:tr w:rsidR="00E95FB1" w:rsidRPr="00C86B34" w:rsidTr="001B3967">
        <w:trPr>
          <w:trHeight w:val="189"/>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Орієнтовний обсяг та джерела фінансування тис. гривень</w:t>
            </w:r>
          </w:p>
        </w:tc>
        <w:tc>
          <w:tcPr>
            <w:tcW w:w="1810"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Державний бюджет</w:t>
            </w:r>
          </w:p>
        </w:tc>
        <w:tc>
          <w:tcPr>
            <w:tcW w:w="1219"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Місцевий бюджет</w:t>
            </w:r>
          </w:p>
        </w:tc>
        <w:tc>
          <w:tcPr>
            <w:tcW w:w="2438" w:type="dxa"/>
            <w:gridSpan w:val="4"/>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Інші джерела</w:t>
            </w:r>
          </w:p>
        </w:tc>
        <w:tc>
          <w:tcPr>
            <w:tcW w:w="1453"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Всього</w:t>
            </w:r>
          </w:p>
        </w:tc>
      </w:tr>
      <w:tr w:rsidR="00E95FB1" w:rsidRPr="00C86B34" w:rsidTr="001B3967">
        <w:trPr>
          <w:trHeight w:val="189"/>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1810"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219"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219"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Обсяг</w:t>
            </w:r>
          </w:p>
        </w:tc>
        <w:tc>
          <w:tcPr>
            <w:tcW w:w="1219"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Назва джерела</w:t>
            </w:r>
          </w:p>
        </w:tc>
        <w:tc>
          <w:tcPr>
            <w:tcW w:w="1453" w:type="dxa"/>
            <w:vMerge/>
            <w:vAlign w:val="center"/>
          </w:tcPr>
          <w:p w:rsidR="00E95FB1" w:rsidRPr="00C86B34" w:rsidRDefault="00E95FB1" w:rsidP="001B3967">
            <w:pPr>
              <w:autoSpaceDE w:val="0"/>
              <w:autoSpaceDN w:val="0"/>
              <w:adjustRightInd w:val="0"/>
              <w:jc w:val="center"/>
              <w:rPr>
                <w:rFonts w:eastAsia="Calibri"/>
                <w:b/>
                <w:color w:val="000000"/>
                <w:sz w:val="22"/>
              </w:rPr>
            </w:pPr>
          </w:p>
        </w:tc>
      </w:tr>
      <w:tr w:rsidR="00E95FB1" w:rsidRPr="00C86B34" w:rsidTr="001B3967">
        <w:trPr>
          <w:trHeight w:val="189"/>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1810"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45 000,0</w:t>
            </w:r>
          </w:p>
        </w:tc>
        <w:tc>
          <w:tcPr>
            <w:tcW w:w="1219" w:type="dxa"/>
          </w:tcPr>
          <w:p w:rsidR="00E95FB1" w:rsidRPr="00C86B34" w:rsidRDefault="00E95FB1" w:rsidP="001B3967">
            <w:pPr>
              <w:autoSpaceDE w:val="0"/>
              <w:autoSpaceDN w:val="0"/>
              <w:adjustRightInd w:val="0"/>
              <w:jc w:val="center"/>
              <w:rPr>
                <w:rFonts w:eastAsia="Calibri"/>
                <w:color w:val="000000"/>
                <w:sz w:val="22"/>
              </w:rPr>
            </w:pPr>
          </w:p>
        </w:tc>
        <w:tc>
          <w:tcPr>
            <w:tcW w:w="1219" w:type="dxa"/>
            <w:gridSpan w:val="2"/>
          </w:tcPr>
          <w:p w:rsidR="00E95FB1" w:rsidRPr="00C86B34" w:rsidRDefault="00E95FB1" w:rsidP="001B3967">
            <w:pPr>
              <w:autoSpaceDE w:val="0"/>
              <w:autoSpaceDN w:val="0"/>
              <w:adjustRightInd w:val="0"/>
              <w:jc w:val="center"/>
              <w:rPr>
                <w:rFonts w:eastAsia="Calibri"/>
                <w:color w:val="000000"/>
                <w:sz w:val="22"/>
              </w:rPr>
            </w:pPr>
          </w:p>
        </w:tc>
        <w:tc>
          <w:tcPr>
            <w:tcW w:w="1219" w:type="dxa"/>
            <w:gridSpan w:val="2"/>
          </w:tcPr>
          <w:p w:rsidR="00E95FB1" w:rsidRPr="00C86B34" w:rsidRDefault="00E95FB1" w:rsidP="001B3967">
            <w:pPr>
              <w:autoSpaceDE w:val="0"/>
              <w:autoSpaceDN w:val="0"/>
              <w:adjustRightInd w:val="0"/>
              <w:jc w:val="center"/>
              <w:rPr>
                <w:rFonts w:eastAsia="Calibri"/>
                <w:color w:val="000000"/>
                <w:sz w:val="22"/>
              </w:rPr>
            </w:pPr>
          </w:p>
        </w:tc>
        <w:tc>
          <w:tcPr>
            <w:tcW w:w="1453"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45000,0</w:t>
            </w:r>
          </w:p>
        </w:tc>
      </w:tr>
      <w:tr w:rsidR="00E95FB1" w:rsidRPr="00C86B34" w:rsidTr="001B3967">
        <w:trPr>
          <w:trHeight w:val="189"/>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b/>
                <w:sz w:val="22"/>
              </w:rPr>
              <w:t xml:space="preserve">Ключові потенційні учасники </w:t>
            </w:r>
            <w:proofErr w:type="spellStart"/>
            <w:r w:rsidRPr="00C86B34">
              <w:rPr>
                <w:b/>
                <w:sz w:val="22"/>
              </w:rPr>
              <w:t>проєкту</w:t>
            </w:r>
            <w:proofErr w:type="spellEnd"/>
          </w:p>
        </w:tc>
        <w:tc>
          <w:tcPr>
            <w:tcW w:w="6920" w:type="dxa"/>
            <w:gridSpan w:val="7"/>
          </w:tcPr>
          <w:p w:rsidR="00E95FB1" w:rsidRPr="00C86B34" w:rsidRDefault="00E95FB1" w:rsidP="001B3967">
            <w:pPr>
              <w:ind w:left="753" w:hanging="567"/>
              <w:rPr>
                <w:sz w:val="22"/>
              </w:rPr>
            </w:pPr>
            <w:r w:rsidRPr="00C86B34">
              <w:rPr>
                <w:sz w:val="22"/>
              </w:rPr>
              <w:t xml:space="preserve">1. </w:t>
            </w:r>
            <w:r w:rsidR="009D3B7C" w:rsidRPr="00C86B34">
              <w:rPr>
                <w:sz w:val="22"/>
              </w:rPr>
              <w:t>Міська в</w:t>
            </w:r>
            <w:r w:rsidRPr="00C86B34">
              <w:rPr>
                <w:sz w:val="22"/>
              </w:rPr>
              <w:t>ійськов</w:t>
            </w:r>
            <w:r w:rsidR="009D3B7C" w:rsidRPr="00C86B34">
              <w:rPr>
                <w:sz w:val="22"/>
              </w:rPr>
              <w:t>а</w:t>
            </w:r>
            <w:r w:rsidRPr="00C86B34">
              <w:rPr>
                <w:sz w:val="22"/>
              </w:rPr>
              <w:t xml:space="preserve"> адміністрація міста. </w:t>
            </w:r>
          </w:p>
          <w:p w:rsidR="00E95FB1" w:rsidRPr="00C86B34" w:rsidRDefault="00E95FB1" w:rsidP="001B3967">
            <w:pPr>
              <w:tabs>
                <w:tab w:val="left" w:pos="720"/>
              </w:tabs>
              <w:ind w:left="753" w:hanging="567"/>
              <w:rPr>
                <w:sz w:val="22"/>
              </w:rPr>
            </w:pPr>
            <w:r w:rsidRPr="00C86B34">
              <w:rPr>
                <w:sz w:val="22"/>
              </w:rPr>
              <w:t xml:space="preserve">2. Відділ капітального будівництва </w:t>
            </w:r>
            <w:r w:rsidR="009D3B7C" w:rsidRPr="00C86B34">
              <w:rPr>
                <w:sz w:val="22"/>
              </w:rPr>
              <w:t xml:space="preserve">міської </w:t>
            </w:r>
            <w:r w:rsidRPr="00C86B34">
              <w:rPr>
                <w:sz w:val="22"/>
              </w:rPr>
              <w:t>військової адміністрації міста.</w:t>
            </w:r>
          </w:p>
          <w:p w:rsidR="00E95FB1" w:rsidRPr="00C86B34" w:rsidRDefault="00E95FB1" w:rsidP="001B3967">
            <w:pPr>
              <w:tabs>
                <w:tab w:val="left" w:pos="720"/>
              </w:tabs>
              <w:ind w:left="753" w:hanging="567"/>
              <w:rPr>
                <w:sz w:val="22"/>
              </w:rPr>
            </w:pPr>
            <w:r w:rsidRPr="00C86B34">
              <w:rPr>
                <w:sz w:val="22"/>
              </w:rPr>
              <w:t>3. Підрядна організація - переможець тендеру, виконавець будівельно-монтажних робіт.</w:t>
            </w:r>
          </w:p>
          <w:p w:rsidR="00E95FB1" w:rsidRPr="00C86B34" w:rsidRDefault="00E95FB1" w:rsidP="001B3967">
            <w:pPr>
              <w:tabs>
                <w:tab w:val="left" w:pos="720"/>
              </w:tabs>
              <w:ind w:left="753" w:hanging="567"/>
              <w:rPr>
                <w:sz w:val="22"/>
              </w:rPr>
            </w:pPr>
            <w:r w:rsidRPr="00C86B34">
              <w:rPr>
                <w:sz w:val="22"/>
              </w:rPr>
              <w:t>4. Обласна державна адміністрація.</w:t>
            </w:r>
          </w:p>
          <w:p w:rsidR="00E95FB1" w:rsidRPr="00C86B34" w:rsidRDefault="00E95FB1" w:rsidP="001B3967">
            <w:pPr>
              <w:autoSpaceDE w:val="0"/>
              <w:autoSpaceDN w:val="0"/>
              <w:adjustRightInd w:val="0"/>
              <w:ind w:left="753" w:hanging="567"/>
              <w:rPr>
                <w:rFonts w:eastAsia="Calibri"/>
                <w:color w:val="000000"/>
                <w:sz w:val="22"/>
              </w:rPr>
            </w:pPr>
            <w:r w:rsidRPr="00C86B34">
              <w:rPr>
                <w:sz w:val="22"/>
              </w:rPr>
              <w:t>5. Інвестори та меценати спортивної галузі</w:t>
            </w:r>
          </w:p>
        </w:tc>
      </w:tr>
    </w:tbl>
    <w:p w:rsidR="00E95FB1" w:rsidRPr="00C86B34" w:rsidRDefault="00E95FB1" w:rsidP="00E95FB1">
      <w:pPr>
        <w:rPr>
          <w:sz w:val="22"/>
        </w:rPr>
      </w:pPr>
    </w:p>
    <w:p w:rsidR="00E95FB1" w:rsidRPr="00C86B34" w:rsidRDefault="00E95FB1" w:rsidP="00E95FB1">
      <w:pPr>
        <w:rPr>
          <w:sz w:val="22"/>
        </w:rPr>
      </w:pPr>
    </w:p>
    <w:tbl>
      <w:tblPr>
        <w:tblpPr w:leftFromText="180" w:rightFromText="180" w:vertAnchor="text" w:horzAnchor="page" w:tblpX="1397" w:tblpY="123"/>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724"/>
        <w:gridCol w:w="1275"/>
        <w:gridCol w:w="1772"/>
        <w:gridCol w:w="780"/>
        <w:gridCol w:w="567"/>
        <w:gridCol w:w="992"/>
        <w:gridCol w:w="107"/>
        <w:gridCol w:w="1457"/>
      </w:tblGrid>
      <w:tr w:rsidR="00E95FB1" w:rsidRPr="00C86B34" w:rsidTr="001B3967">
        <w:trPr>
          <w:trHeight w:val="266"/>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lastRenderedPageBreak/>
              <w:t>Оперативна ціль/завдання</w:t>
            </w:r>
          </w:p>
        </w:tc>
        <w:tc>
          <w:tcPr>
            <w:tcW w:w="6950" w:type="dxa"/>
            <w:gridSpan w:val="7"/>
          </w:tcPr>
          <w:p w:rsidR="00E95FB1" w:rsidRPr="00C86B34" w:rsidRDefault="009D3B7C" w:rsidP="001B3967">
            <w:pPr>
              <w:pStyle w:val="a7"/>
              <w:ind w:left="0"/>
              <w:rPr>
                <w:sz w:val="22"/>
              </w:rPr>
            </w:pPr>
            <w:r w:rsidRPr="00C86B34">
              <w:rPr>
                <w:rFonts w:eastAsia="Arial"/>
                <w:sz w:val="22"/>
              </w:rPr>
              <w:t xml:space="preserve">Людський розвиток </w:t>
            </w:r>
            <w:r w:rsidR="00E95FB1" w:rsidRPr="00C86B34">
              <w:rPr>
                <w:rFonts w:eastAsia="Arial"/>
                <w:sz w:val="22"/>
              </w:rPr>
              <w:t xml:space="preserve">через інновації управління та довіру до влади. Формування сучасного інклюзивного </w:t>
            </w:r>
            <w:proofErr w:type="spellStart"/>
            <w:r w:rsidR="00E95FB1" w:rsidRPr="00C86B34">
              <w:rPr>
                <w:rFonts w:eastAsia="Arial"/>
                <w:sz w:val="22"/>
              </w:rPr>
              <w:t>освітньо</w:t>
            </w:r>
            <w:proofErr w:type="spellEnd"/>
            <w:r w:rsidR="00E95FB1" w:rsidRPr="00C86B34">
              <w:rPr>
                <w:rFonts w:eastAsia="Arial"/>
                <w:sz w:val="22"/>
              </w:rPr>
              <w:t xml:space="preserve"> – культурного та спортивного простору для розвитку</w:t>
            </w:r>
          </w:p>
        </w:tc>
      </w:tr>
      <w:tr w:rsidR="00E95FB1" w:rsidRPr="00C86B34" w:rsidTr="001B3967">
        <w:trPr>
          <w:trHeight w:val="287"/>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Назва проекту:</w:t>
            </w:r>
          </w:p>
        </w:tc>
        <w:tc>
          <w:tcPr>
            <w:tcW w:w="6950" w:type="dxa"/>
            <w:gridSpan w:val="7"/>
          </w:tcPr>
          <w:p w:rsidR="00E95FB1" w:rsidRPr="00C86B34" w:rsidRDefault="00E95FB1" w:rsidP="001B3967">
            <w:pPr>
              <w:autoSpaceDE w:val="0"/>
              <w:autoSpaceDN w:val="0"/>
              <w:adjustRightInd w:val="0"/>
              <w:ind w:left="49" w:right="116"/>
              <w:rPr>
                <w:rFonts w:eastAsia="Calibri"/>
                <w:color w:val="000000"/>
                <w:sz w:val="22"/>
              </w:rPr>
            </w:pPr>
            <w:r w:rsidRPr="00C86B34">
              <w:rPr>
                <w:rFonts w:eastAsia="Calibri"/>
                <w:color w:val="000000"/>
                <w:sz w:val="22"/>
              </w:rPr>
              <w:t xml:space="preserve">Капітальний ремонт  КДЮСШ 1 міста Сєвєродонецьк Луганської області за </w:t>
            </w:r>
            <w:proofErr w:type="spellStart"/>
            <w:r w:rsidRPr="00C86B34">
              <w:rPr>
                <w:rFonts w:eastAsia="Calibri"/>
                <w:color w:val="000000"/>
                <w:sz w:val="22"/>
              </w:rPr>
              <w:t>адресою</w:t>
            </w:r>
            <w:proofErr w:type="spellEnd"/>
            <w:r w:rsidRPr="00C86B34">
              <w:rPr>
                <w:rFonts w:eastAsia="Calibri"/>
                <w:color w:val="000000"/>
                <w:sz w:val="22"/>
              </w:rPr>
              <w:t>: вул. </w:t>
            </w:r>
            <w:proofErr w:type="spellStart"/>
            <w:r w:rsidRPr="00C86B34">
              <w:rPr>
                <w:rFonts w:eastAsia="Calibri"/>
                <w:color w:val="000000"/>
                <w:sz w:val="22"/>
              </w:rPr>
              <w:t>Вілєсова</w:t>
            </w:r>
            <w:proofErr w:type="spellEnd"/>
            <w:r w:rsidRPr="00C86B34">
              <w:rPr>
                <w:rFonts w:eastAsia="Calibri"/>
                <w:color w:val="000000"/>
                <w:sz w:val="22"/>
              </w:rPr>
              <w:t>, 4а.</w:t>
            </w:r>
          </w:p>
        </w:tc>
      </w:tr>
      <w:tr w:rsidR="00E95FB1" w:rsidRPr="00C86B34" w:rsidTr="001B3967">
        <w:trPr>
          <w:trHeight w:val="342"/>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Ціль проекту</w:t>
            </w:r>
          </w:p>
        </w:tc>
        <w:tc>
          <w:tcPr>
            <w:tcW w:w="6950" w:type="dxa"/>
            <w:gridSpan w:val="7"/>
            <w:vAlign w:val="center"/>
          </w:tcPr>
          <w:p w:rsidR="00E95FB1" w:rsidRPr="00C86B34" w:rsidRDefault="00E95FB1" w:rsidP="001B3967">
            <w:pPr>
              <w:autoSpaceDE w:val="0"/>
              <w:autoSpaceDN w:val="0"/>
              <w:adjustRightInd w:val="0"/>
              <w:ind w:left="49" w:right="116"/>
              <w:rPr>
                <w:rFonts w:eastAsia="Calibri"/>
                <w:color w:val="000000"/>
                <w:sz w:val="22"/>
              </w:rPr>
            </w:pPr>
            <w:r w:rsidRPr="00C86B34">
              <w:rPr>
                <w:sz w:val="22"/>
              </w:rPr>
              <w:t xml:space="preserve">Створення безпечних та комфортних умов для заняття фізкультурою та спортом мешканцям громади, у т. ч. особами з особливими потребами,  покращення здоров’я жителів громади шляхом проведення реабілітаційних заходів, метою яких є відновлення фізичного та психічного здоров'я людини, порушених  внаслідок військового вторгнення </w:t>
            </w:r>
            <w:r w:rsidR="00B34183" w:rsidRPr="00C86B34">
              <w:rPr>
                <w:sz w:val="22"/>
              </w:rPr>
              <w:t>РФ</w:t>
            </w:r>
            <w:r w:rsidRPr="00C86B34">
              <w:rPr>
                <w:sz w:val="22"/>
              </w:rPr>
              <w:t xml:space="preserve"> на територію України, формування здорового способу життя, популяризація фізичної культури та спорту.</w:t>
            </w:r>
          </w:p>
        </w:tc>
      </w:tr>
      <w:tr w:rsidR="00E95FB1" w:rsidRPr="00C86B34" w:rsidTr="001B3967">
        <w:trPr>
          <w:trHeight w:val="287"/>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Територія, на яку матиме вплив реалізація проекту</w:t>
            </w:r>
          </w:p>
        </w:tc>
        <w:tc>
          <w:tcPr>
            <w:tcW w:w="6950" w:type="dxa"/>
            <w:gridSpan w:val="7"/>
            <w:vAlign w:val="center"/>
          </w:tcPr>
          <w:p w:rsidR="00E95FB1" w:rsidRPr="00C86B34" w:rsidRDefault="00E95FB1" w:rsidP="001B3967">
            <w:pPr>
              <w:autoSpaceDE w:val="0"/>
              <w:autoSpaceDN w:val="0"/>
              <w:adjustRightInd w:val="0"/>
              <w:ind w:left="49" w:right="116"/>
              <w:rPr>
                <w:rFonts w:eastAsia="Calibri"/>
                <w:color w:val="000000"/>
                <w:sz w:val="22"/>
              </w:rPr>
            </w:pPr>
            <w:r w:rsidRPr="00C86B34">
              <w:rPr>
                <w:rFonts w:eastAsia="Calibri"/>
                <w:color w:val="000000"/>
                <w:sz w:val="22"/>
              </w:rPr>
              <w:t>Сєвєродонецька міська територіальна громада.</w:t>
            </w:r>
          </w:p>
        </w:tc>
      </w:tr>
      <w:tr w:rsidR="00E95FB1" w:rsidRPr="00C86B34" w:rsidTr="001B3967">
        <w:trPr>
          <w:trHeight w:val="575"/>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Чисельність населення, на яке матиме вплив реалізація проекту</w:t>
            </w:r>
          </w:p>
        </w:tc>
        <w:tc>
          <w:tcPr>
            <w:tcW w:w="6950" w:type="dxa"/>
            <w:gridSpan w:val="7"/>
            <w:vAlign w:val="center"/>
          </w:tcPr>
          <w:p w:rsidR="00E95FB1" w:rsidRPr="00C86B34" w:rsidRDefault="00B34183" w:rsidP="001B3967">
            <w:pPr>
              <w:autoSpaceDE w:val="0"/>
              <w:autoSpaceDN w:val="0"/>
              <w:adjustRightInd w:val="0"/>
              <w:rPr>
                <w:rFonts w:eastAsia="@Malgun Gothic"/>
                <w:sz w:val="22"/>
              </w:rPr>
            </w:pPr>
            <w:r w:rsidRPr="00C86B34">
              <w:rPr>
                <w:rFonts w:eastAsia="BatangChe"/>
                <w:sz w:val="22"/>
              </w:rPr>
              <w:t>70 0000</w:t>
            </w:r>
            <w:r w:rsidR="00E95FB1" w:rsidRPr="00C86B34">
              <w:rPr>
                <w:rFonts w:eastAsia="BatangChe"/>
                <w:sz w:val="22"/>
              </w:rPr>
              <w:t xml:space="preserve"> </w:t>
            </w:r>
          </w:p>
        </w:tc>
      </w:tr>
      <w:tr w:rsidR="00E95FB1" w:rsidRPr="00C86B34" w:rsidTr="001B3967">
        <w:trPr>
          <w:trHeight w:val="310"/>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Опис проблеми, на вирішення якої спрямований проект</w:t>
            </w:r>
          </w:p>
        </w:tc>
        <w:tc>
          <w:tcPr>
            <w:tcW w:w="6950" w:type="dxa"/>
            <w:gridSpan w:val="7"/>
          </w:tcPr>
          <w:p w:rsidR="00E95FB1" w:rsidRPr="00C86B34" w:rsidRDefault="00E95FB1" w:rsidP="001B3967">
            <w:pPr>
              <w:ind w:left="44"/>
              <w:rPr>
                <w:color w:val="000000"/>
                <w:spacing w:val="2"/>
                <w:sz w:val="22"/>
                <w:shd w:val="clear" w:color="auto" w:fill="FFFFFF"/>
              </w:rPr>
            </w:pPr>
            <w:r w:rsidRPr="00C86B34">
              <w:rPr>
                <w:color w:val="000000"/>
                <w:spacing w:val="2"/>
                <w:sz w:val="22"/>
                <w:shd w:val="clear" w:color="auto" w:fill="FFFFFF"/>
              </w:rPr>
              <w:t>Залучення широких верств населення до занять фізичною культурою, стан його здоров'я та успіхи на міжнародних змаганнях є безперечним доказом життєздатності та духовної сили будь-якої нації. Для того</w:t>
            </w:r>
            <w:r w:rsidR="006B6DC7" w:rsidRPr="00C86B34">
              <w:rPr>
                <w:color w:val="000000"/>
                <w:spacing w:val="2"/>
                <w:sz w:val="22"/>
                <w:shd w:val="clear" w:color="auto" w:fill="FFFFFF"/>
              </w:rPr>
              <w:t>,</w:t>
            </w:r>
            <w:r w:rsidRPr="00C86B34">
              <w:rPr>
                <w:color w:val="000000"/>
                <w:spacing w:val="2"/>
                <w:sz w:val="22"/>
                <w:shd w:val="clear" w:color="auto" w:fill="FFFFFF"/>
              </w:rPr>
              <w:t xml:space="preserve"> щоб у широких мас з'явився інтерес до заняття фізичною культурою і спортом</w:t>
            </w:r>
            <w:r w:rsidR="006B6DC7" w:rsidRPr="00C86B34">
              <w:rPr>
                <w:color w:val="000000"/>
                <w:spacing w:val="2"/>
                <w:sz w:val="22"/>
                <w:shd w:val="clear" w:color="auto" w:fill="FFFFFF"/>
              </w:rPr>
              <w:t>,</w:t>
            </w:r>
            <w:r w:rsidRPr="00C86B34">
              <w:rPr>
                <w:color w:val="000000"/>
                <w:spacing w:val="2"/>
                <w:sz w:val="22"/>
                <w:shd w:val="clear" w:color="auto" w:fill="FFFFFF"/>
              </w:rPr>
              <w:t xml:space="preserve"> необхідно мати відповідну інфраструктуру.</w:t>
            </w:r>
          </w:p>
          <w:p w:rsidR="00E95FB1" w:rsidRPr="00C86B34" w:rsidRDefault="00E95FB1" w:rsidP="001B3967">
            <w:pPr>
              <w:ind w:left="44"/>
              <w:rPr>
                <w:sz w:val="22"/>
              </w:rPr>
            </w:pPr>
            <w:r w:rsidRPr="00C86B34">
              <w:rPr>
                <w:rFonts w:eastAsia="Calibri"/>
                <w:sz w:val="22"/>
              </w:rPr>
              <w:t xml:space="preserve">Внаслідок ведення активних бойових дій на території Сєвєродонецької міської територіальної громади тенісні корти КДЮСШ 1 по вул. </w:t>
            </w:r>
            <w:proofErr w:type="spellStart"/>
            <w:r w:rsidRPr="00C86B34">
              <w:rPr>
                <w:rFonts w:eastAsia="Calibri"/>
                <w:sz w:val="22"/>
              </w:rPr>
              <w:t>Вілесова</w:t>
            </w:r>
            <w:proofErr w:type="spellEnd"/>
            <w:r w:rsidR="006B6DC7" w:rsidRPr="00C86B34">
              <w:rPr>
                <w:rFonts w:eastAsia="Calibri"/>
                <w:sz w:val="22"/>
              </w:rPr>
              <w:t>,</w:t>
            </w:r>
            <w:r w:rsidRPr="00C86B34">
              <w:rPr>
                <w:rFonts w:eastAsia="Calibri"/>
                <w:sz w:val="22"/>
              </w:rPr>
              <w:t xml:space="preserve"> 4а, як і в</w:t>
            </w:r>
            <w:r w:rsidRPr="00C86B34">
              <w:rPr>
                <w:sz w:val="22"/>
              </w:rPr>
              <w:t>елика кількість інфраструктури міста</w:t>
            </w:r>
            <w:r w:rsidR="006B6DC7" w:rsidRPr="00C86B34">
              <w:rPr>
                <w:sz w:val="22"/>
              </w:rPr>
              <w:t>,</w:t>
            </w:r>
            <w:r w:rsidRPr="00C86B34">
              <w:rPr>
                <w:sz w:val="22"/>
              </w:rPr>
              <w:t xml:space="preserve"> зазнали пошкоджень та руйнувань.</w:t>
            </w:r>
          </w:p>
          <w:p w:rsidR="00E95FB1" w:rsidRPr="00C86B34" w:rsidRDefault="00E95FB1" w:rsidP="001B3967">
            <w:pPr>
              <w:ind w:left="44"/>
              <w:rPr>
                <w:sz w:val="22"/>
              </w:rPr>
            </w:pPr>
            <w:r w:rsidRPr="00C86B34">
              <w:rPr>
                <w:sz w:val="22"/>
              </w:rPr>
              <w:t xml:space="preserve">Після </w:t>
            </w:r>
            <w:proofErr w:type="spellStart"/>
            <w:r w:rsidRPr="00C86B34">
              <w:rPr>
                <w:sz w:val="22"/>
              </w:rPr>
              <w:t>деокупації</w:t>
            </w:r>
            <w:proofErr w:type="spellEnd"/>
            <w:r w:rsidRPr="00C86B34">
              <w:rPr>
                <w:sz w:val="22"/>
              </w:rPr>
              <w:t xml:space="preserve"> території та початком відбудови міста постане питання щодо реабілітації мешканців громади як в фізичному</w:t>
            </w:r>
            <w:r w:rsidR="006B6DC7" w:rsidRPr="00C86B34">
              <w:rPr>
                <w:sz w:val="22"/>
              </w:rPr>
              <w:t>,</w:t>
            </w:r>
            <w:r w:rsidRPr="00C86B34">
              <w:rPr>
                <w:sz w:val="22"/>
              </w:rPr>
              <w:t xml:space="preserve"> так і в психологічному плані, залучення молодого покоління до здорового способу життя та отримання ними корисних навичок та звичок. </w:t>
            </w:r>
          </w:p>
          <w:p w:rsidR="00E95FB1" w:rsidRPr="00C86B34" w:rsidRDefault="00E95FB1" w:rsidP="001B3967">
            <w:pPr>
              <w:ind w:left="44"/>
              <w:rPr>
                <w:sz w:val="22"/>
              </w:rPr>
            </w:pPr>
            <w:r w:rsidRPr="00C86B34">
              <w:rPr>
                <w:sz w:val="22"/>
              </w:rPr>
              <w:t xml:space="preserve">Одним з напрямків згуртовування населення може бути спорт. Але для цього необхідно мати відповідну інфраструктуру. </w:t>
            </w:r>
          </w:p>
          <w:p w:rsidR="00E95FB1" w:rsidRPr="00C86B34" w:rsidRDefault="00E95FB1" w:rsidP="001B3967">
            <w:pPr>
              <w:ind w:left="44"/>
              <w:rPr>
                <w:rFonts w:eastAsia="Calibri"/>
                <w:color w:val="000000"/>
                <w:sz w:val="22"/>
              </w:rPr>
            </w:pPr>
            <w:r w:rsidRPr="00C86B34">
              <w:rPr>
                <w:rFonts w:eastAsia="Calibri"/>
                <w:color w:val="000000"/>
                <w:sz w:val="22"/>
              </w:rPr>
              <w:t xml:space="preserve">Реалізація </w:t>
            </w:r>
            <w:proofErr w:type="spellStart"/>
            <w:r w:rsidRPr="00C86B34">
              <w:rPr>
                <w:rFonts w:eastAsia="Calibri"/>
                <w:color w:val="000000"/>
                <w:sz w:val="22"/>
              </w:rPr>
              <w:t>проєкту</w:t>
            </w:r>
            <w:proofErr w:type="spellEnd"/>
            <w:r w:rsidRPr="00C86B34">
              <w:rPr>
                <w:rFonts w:eastAsia="Calibri"/>
                <w:color w:val="000000"/>
                <w:sz w:val="22"/>
              </w:rPr>
              <w:t xml:space="preserve"> дозволить створити безпечні та комфортні умови для залучення широких верств населення до здорового способу життя, </w:t>
            </w:r>
            <w:proofErr w:type="spellStart"/>
            <w:r w:rsidRPr="00C86B34">
              <w:rPr>
                <w:rFonts w:eastAsia="Calibri"/>
                <w:color w:val="000000"/>
                <w:sz w:val="22"/>
              </w:rPr>
              <w:t>надасть</w:t>
            </w:r>
            <w:proofErr w:type="spellEnd"/>
            <w:r w:rsidRPr="00C86B34">
              <w:rPr>
                <w:rFonts w:eastAsia="Calibri"/>
                <w:color w:val="000000"/>
                <w:sz w:val="22"/>
              </w:rPr>
              <w:t xml:space="preserve"> можливість розвивати здібності як молодого покоління</w:t>
            </w:r>
            <w:r w:rsidR="006B6DC7" w:rsidRPr="00C86B34">
              <w:rPr>
                <w:rFonts w:eastAsia="Calibri"/>
                <w:color w:val="000000"/>
                <w:sz w:val="22"/>
              </w:rPr>
              <w:t>,</w:t>
            </w:r>
            <w:r w:rsidRPr="00C86B34">
              <w:rPr>
                <w:rFonts w:eastAsia="Calibri"/>
                <w:color w:val="000000"/>
                <w:sz w:val="22"/>
              </w:rPr>
              <w:t xml:space="preserve"> так і дорослого.</w:t>
            </w:r>
          </w:p>
          <w:p w:rsidR="00E95FB1" w:rsidRPr="00C86B34" w:rsidRDefault="00E95FB1" w:rsidP="006B6DC7">
            <w:pPr>
              <w:ind w:left="44"/>
              <w:rPr>
                <w:rFonts w:eastAsia="Calibri"/>
                <w:color w:val="000000"/>
                <w:sz w:val="22"/>
              </w:rPr>
            </w:pPr>
            <w:r w:rsidRPr="00C86B34">
              <w:rPr>
                <w:sz w:val="22"/>
              </w:rPr>
              <w:t xml:space="preserve">Результати </w:t>
            </w:r>
            <w:proofErr w:type="spellStart"/>
            <w:r w:rsidRPr="00C86B34">
              <w:rPr>
                <w:sz w:val="22"/>
              </w:rPr>
              <w:t>проєкту</w:t>
            </w:r>
            <w:proofErr w:type="spellEnd"/>
            <w:r w:rsidRPr="00C86B34">
              <w:rPr>
                <w:sz w:val="22"/>
              </w:rPr>
              <w:t xml:space="preserve"> будуть сталими і корисними для мешканців територіальної громади. </w:t>
            </w:r>
            <w:proofErr w:type="spellStart"/>
            <w:r w:rsidRPr="00C86B34">
              <w:rPr>
                <w:sz w:val="22"/>
              </w:rPr>
              <w:t>Проєкт</w:t>
            </w:r>
            <w:proofErr w:type="spellEnd"/>
            <w:r w:rsidRPr="00C86B34">
              <w:rPr>
                <w:sz w:val="22"/>
              </w:rPr>
              <w:t xml:space="preserve"> є іміджевий для міста Сєвєродонецьк як адміністративного центру Луганської області та має великі перспективи для розвитку.</w:t>
            </w:r>
          </w:p>
        </w:tc>
      </w:tr>
      <w:tr w:rsidR="00E95FB1" w:rsidRPr="00C86B34" w:rsidTr="001B3967">
        <w:trPr>
          <w:trHeight w:val="523"/>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Очікувані якісні результати від реалізації проекту</w:t>
            </w:r>
          </w:p>
        </w:tc>
        <w:tc>
          <w:tcPr>
            <w:tcW w:w="6950" w:type="dxa"/>
            <w:gridSpan w:val="7"/>
          </w:tcPr>
          <w:p w:rsidR="00E95FB1" w:rsidRPr="00C86B34" w:rsidRDefault="00E95FB1" w:rsidP="000303D7">
            <w:pPr>
              <w:numPr>
                <w:ilvl w:val="0"/>
                <w:numId w:val="35"/>
              </w:numPr>
              <w:rPr>
                <w:rFonts w:eastAsia="Arial"/>
                <w:sz w:val="22"/>
              </w:rPr>
            </w:pPr>
            <w:r w:rsidRPr="00C86B34">
              <w:rPr>
                <w:rFonts w:eastAsia="Arial"/>
                <w:sz w:val="22"/>
              </w:rPr>
              <w:t xml:space="preserve">створено </w:t>
            </w:r>
            <w:r w:rsidRPr="00C86B34">
              <w:rPr>
                <w:sz w:val="22"/>
              </w:rPr>
              <w:t>безпечні та комфортні умови для занять фізичною культурою та спортом мешканцям громади, у т. ч. особами з особливими потребами;</w:t>
            </w:r>
          </w:p>
          <w:p w:rsidR="00E95FB1" w:rsidRPr="00C86B34" w:rsidRDefault="00E95FB1" w:rsidP="000303D7">
            <w:pPr>
              <w:numPr>
                <w:ilvl w:val="0"/>
                <w:numId w:val="35"/>
              </w:numPr>
              <w:rPr>
                <w:rFonts w:eastAsia="Arial"/>
                <w:sz w:val="22"/>
              </w:rPr>
            </w:pPr>
            <w:r w:rsidRPr="00C86B34">
              <w:rPr>
                <w:rFonts w:eastAsia="Arial"/>
                <w:sz w:val="22"/>
              </w:rPr>
              <w:t>розвиток тенісу в громаді;</w:t>
            </w:r>
          </w:p>
          <w:p w:rsidR="00E95FB1" w:rsidRPr="00C86B34" w:rsidRDefault="00E95FB1" w:rsidP="000303D7">
            <w:pPr>
              <w:numPr>
                <w:ilvl w:val="0"/>
                <w:numId w:val="35"/>
              </w:numPr>
              <w:rPr>
                <w:rFonts w:eastAsia="Arial"/>
                <w:sz w:val="22"/>
              </w:rPr>
            </w:pPr>
            <w:r w:rsidRPr="00C86B34">
              <w:rPr>
                <w:sz w:val="22"/>
              </w:rPr>
              <w:t>проведення змагань від міського рівня до Всеукраїнських.</w:t>
            </w:r>
          </w:p>
          <w:p w:rsidR="00E95FB1" w:rsidRPr="00C86B34" w:rsidRDefault="00E95FB1" w:rsidP="000303D7">
            <w:pPr>
              <w:numPr>
                <w:ilvl w:val="0"/>
                <w:numId w:val="35"/>
              </w:numPr>
              <w:rPr>
                <w:rFonts w:eastAsia="Arial"/>
                <w:sz w:val="22"/>
              </w:rPr>
            </w:pPr>
            <w:r w:rsidRPr="00C86B34">
              <w:rPr>
                <w:sz w:val="22"/>
              </w:rPr>
              <w:t>об’єднання громадян за інтересами при занятті спортом;</w:t>
            </w:r>
          </w:p>
          <w:p w:rsidR="00E95FB1" w:rsidRPr="00C86B34" w:rsidRDefault="00E95FB1" w:rsidP="000303D7">
            <w:pPr>
              <w:numPr>
                <w:ilvl w:val="0"/>
                <w:numId w:val="35"/>
              </w:numPr>
              <w:rPr>
                <w:rFonts w:eastAsia="Arial"/>
                <w:sz w:val="22"/>
              </w:rPr>
            </w:pPr>
            <w:r w:rsidRPr="00C86B34">
              <w:rPr>
                <w:sz w:val="22"/>
              </w:rPr>
              <w:t>відновлення фізичного та психічного здоров'я людини;</w:t>
            </w:r>
          </w:p>
          <w:p w:rsidR="00E95FB1" w:rsidRPr="00C86B34" w:rsidRDefault="00E95FB1" w:rsidP="000303D7">
            <w:pPr>
              <w:numPr>
                <w:ilvl w:val="0"/>
                <w:numId w:val="35"/>
              </w:numPr>
              <w:rPr>
                <w:rFonts w:eastAsia="Arial"/>
                <w:sz w:val="22"/>
              </w:rPr>
            </w:pPr>
            <w:r w:rsidRPr="00C86B34">
              <w:rPr>
                <w:rFonts w:eastAsia="Arial"/>
                <w:sz w:val="22"/>
              </w:rPr>
              <w:t>збільшиться привабливість міста.</w:t>
            </w:r>
          </w:p>
        </w:tc>
      </w:tr>
      <w:tr w:rsidR="00E95FB1" w:rsidRPr="00C86B34" w:rsidTr="001B3967">
        <w:trPr>
          <w:trHeight w:val="575"/>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Очікувані кількісні результати від реалізації проекту  (індикатори)</w:t>
            </w:r>
          </w:p>
        </w:tc>
        <w:tc>
          <w:tcPr>
            <w:tcW w:w="3827" w:type="dxa"/>
            <w:gridSpan w:val="3"/>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Найменування показника</w:t>
            </w:r>
          </w:p>
        </w:tc>
        <w:tc>
          <w:tcPr>
            <w:tcW w:w="1559"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Одиниця вимірювання</w:t>
            </w:r>
          </w:p>
        </w:tc>
        <w:tc>
          <w:tcPr>
            <w:tcW w:w="1564"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Прогнозне (цільове) значення</w:t>
            </w:r>
          </w:p>
        </w:tc>
      </w:tr>
      <w:tr w:rsidR="00E95FB1" w:rsidRPr="00C86B34" w:rsidTr="001B3967">
        <w:trPr>
          <w:trHeight w:val="287"/>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827" w:type="dxa"/>
            <w:gridSpan w:val="3"/>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кількість учнів-спортсменів</w:t>
            </w:r>
          </w:p>
        </w:tc>
        <w:tc>
          <w:tcPr>
            <w:tcW w:w="1559"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осіб/день</w:t>
            </w:r>
          </w:p>
        </w:tc>
        <w:tc>
          <w:tcPr>
            <w:tcW w:w="1564"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200</w:t>
            </w:r>
          </w:p>
        </w:tc>
      </w:tr>
      <w:tr w:rsidR="00E95FB1" w:rsidRPr="00C86B34" w:rsidTr="001B3967">
        <w:trPr>
          <w:trHeight w:val="284"/>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827" w:type="dxa"/>
            <w:gridSpan w:val="3"/>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кількість дорослих отримувачів послуг</w:t>
            </w:r>
          </w:p>
        </w:tc>
        <w:tc>
          <w:tcPr>
            <w:tcW w:w="1559"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осіб/день</w:t>
            </w:r>
          </w:p>
        </w:tc>
        <w:tc>
          <w:tcPr>
            <w:tcW w:w="1564"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100</w:t>
            </w:r>
          </w:p>
        </w:tc>
      </w:tr>
      <w:tr w:rsidR="00E95FB1" w:rsidRPr="00C86B34" w:rsidTr="001B3967">
        <w:trPr>
          <w:trHeight w:val="284"/>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827" w:type="dxa"/>
            <w:gridSpan w:val="3"/>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Кількість критих тенісних кортів</w:t>
            </w:r>
          </w:p>
        </w:tc>
        <w:tc>
          <w:tcPr>
            <w:tcW w:w="1559" w:type="dxa"/>
            <w:gridSpan w:val="2"/>
          </w:tcPr>
          <w:p w:rsidR="00E95FB1" w:rsidRPr="00C86B34" w:rsidRDefault="006B6DC7" w:rsidP="001B3967">
            <w:pPr>
              <w:autoSpaceDE w:val="0"/>
              <w:autoSpaceDN w:val="0"/>
              <w:adjustRightInd w:val="0"/>
              <w:jc w:val="center"/>
              <w:rPr>
                <w:rFonts w:eastAsia="Calibri"/>
                <w:color w:val="000000"/>
                <w:sz w:val="22"/>
              </w:rPr>
            </w:pPr>
            <w:r w:rsidRPr="00C86B34">
              <w:rPr>
                <w:rFonts w:eastAsia="Calibri"/>
                <w:color w:val="000000"/>
                <w:sz w:val="22"/>
              </w:rPr>
              <w:t>одиниць</w:t>
            </w:r>
          </w:p>
        </w:tc>
        <w:tc>
          <w:tcPr>
            <w:tcW w:w="1564"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2</w:t>
            </w:r>
          </w:p>
        </w:tc>
      </w:tr>
      <w:tr w:rsidR="00E95FB1" w:rsidRPr="00C86B34" w:rsidTr="001B3967">
        <w:trPr>
          <w:trHeight w:val="284"/>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827" w:type="dxa"/>
            <w:gridSpan w:val="3"/>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Кількість відкритих тенісних кортів</w:t>
            </w:r>
          </w:p>
        </w:tc>
        <w:tc>
          <w:tcPr>
            <w:tcW w:w="1559" w:type="dxa"/>
            <w:gridSpan w:val="2"/>
          </w:tcPr>
          <w:p w:rsidR="00E95FB1" w:rsidRPr="00C86B34" w:rsidRDefault="006B6DC7" w:rsidP="001B3967">
            <w:pPr>
              <w:autoSpaceDE w:val="0"/>
              <w:autoSpaceDN w:val="0"/>
              <w:adjustRightInd w:val="0"/>
              <w:jc w:val="center"/>
              <w:rPr>
                <w:rFonts w:eastAsia="Calibri"/>
                <w:color w:val="000000"/>
                <w:sz w:val="22"/>
              </w:rPr>
            </w:pPr>
            <w:r w:rsidRPr="00C86B34">
              <w:rPr>
                <w:rFonts w:eastAsia="Calibri"/>
                <w:color w:val="000000"/>
                <w:sz w:val="22"/>
              </w:rPr>
              <w:t>одиниць</w:t>
            </w:r>
          </w:p>
        </w:tc>
        <w:tc>
          <w:tcPr>
            <w:tcW w:w="1564"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3</w:t>
            </w:r>
          </w:p>
        </w:tc>
      </w:tr>
      <w:tr w:rsidR="00E95FB1" w:rsidRPr="00C86B34" w:rsidTr="001B3967">
        <w:trPr>
          <w:trHeight w:val="197"/>
        </w:trPr>
        <w:tc>
          <w:tcPr>
            <w:tcW w:w="2724" w:type="dxa"/>
            <w:tcBorders>
              <w:bottom w:val="single" w:sz="4" w:space="0" w:color="auto"/>
            </w:tcBorders>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Ключові заходи проекту:</w:t>
            </w:r>
          </w:p>
        </w:tc>
        <w:tc>
          <w:tcPr>
            <w:tcW w:w="6950" w:type="dxa"/>
            <w:gridSpan w:val="7"/>
          </w:tcPr>
          <w:p w:rsidR="00E95FB1" w:rsidRPr="00C86B34" w:rsidRDefault="00E95FB1" w:rsidP="000303D7">
            <w:pPr>
              <w:numPr>
                <w:ilvl w:val="0"/>
                <w:numId w:val="36"/>
              </w:numPr>
              <w:autoSpaceDE w:val="0"/>
              <w:autoSpaceDN w:val="0"/>
              <w:adjustRightInd w:val="0"/>
              <w:ind w:right="112"/>
              <w:rPr>
                <w:rFonts w:eastAsia="Calibri"/>
                <w:sz w:val="22"/>
              </w:rPr>
            </w:pPr>
            <w:r w:rsidRPr="00C86B34">
              <w:rPr>
                <w:rFonts w:eastAsia="Calibri"/>
                <w:sz w:val="22"/>
              </w:rPr>
              <w:t>оцінка фахівцями завданих будівлі пошкоджень та матеріальних збитків;</w:t>
            </w:r>
          </w:p>
          <w:p w:rsidR="00E95FB1" w:rsidRPr="00C86B34" w:rsidRDefault="00E95FB1" w:rsidP="000303D7">
            <w:pPr>
              <w:pStyle w:val="afc"/>
              <w:numPr>
                <w:ilvl w:val="0"/>
                <w:numId w:val="36"/>
              </w:numPr>
              <w:spacing w:line="240" w:lineRule="auto"/>
              <w:rPr>
                <w:rFonts w:ascii="Times New Roman" w:hAnsi="Times New Roman"/>
                <w:sz w:val="22"/>
              </w:rPr>
            </w:pPr>
            <w:r w:rsidRPr="00C86B34">
              <w:rPr>
                <w:rFonts w:ascii="Times New Roman" w:hAnsi="Times New Roman"/>
                <w:sz w:val="22"/>
              </w:rPr>
              <w:t xml:space="preserve">виготовлення </w:t>
            </w:r>
            <w:proofErr w:type="spellStart"/>
            <w:r w:rsidRPr="00C86B34">
              <w:rPr>
                <w:rFonts w:ascii="Times New Roman" w:hAnsi="Times New Roman"/>
                <w:sz w:val="22"/>
              </w:rPr>
              <w:t>проєктно</w:t>
            </w:r>
            <w:proofErr w:type="spellEnd"/>
            <w:r w:rsidRPr="00C86B34">
              <w:rPr>
                <w:rFonts w:ascii="Times New Roman" w:hAnsi="Times New Roman"/>
                <w:sz w:val="22"/>
              </w:rPr>
              <w:t>—кошторисної документації;</w:t>
            </w:r>
          </w:p>
          <w:p w:rsidR="00E95FB1" w:rsidRPr="00C86B34" w:rsidRDefault="00E95FB1" w:rsidP="000303D7">
            <w:pPr>
              <w:pStyle w:val="afc"/>
              <w:numPr>
                <w:ilvl w:val="0"/>
                <w:numId w:val="36"/>
              </w:numPr>
              <w:spacing w:line="240" w:lineRule="auto"/>
              <w:rPr>
                <w:rFonts w:ascii="Times New Roman" w:hAnsi="Times New Roman"/>
                <w:sz w:val="22"/>
              </w:rPr>
            </w:pPr>
            <w:r w:rsidRPr="00C86B34">
              <w:rPr>
                <w:rFonts w:ascii="Times New Roman" w:hAnsi="Times New Roman"/>
                <w:color w:val="000000"/>
                <w:sz w:val="22"/>
              </w:rPr>
              <w:t>визначення підрядної організації для проведення будівельних робіт;</w:t>
            </w:r>
          </w:p>
          <w:p w:rsidR="00E95FB1" w:rsidRPr="00C86B34" w:rsidRDefault="00E95FB1" w:rsidP="000303D7">
            <w:pPr>
              <w:pStyle w:val="afc"/>
              <w:numPr>
                <w:ilvl w:val="0"/>
                <w:numId w:val="36"/>
              </w:numPr>
              <w:spacing w:line="240" w:lineRule="auto"/>
              <w:rPr>
                <w:rFonts w:ascii="Times New Roman" w:hAnsi="Times New Roman"/>
                <w:sz w:val="22"/>
              </w:rPr>
            </w:pPr>
            <w:r w:rsidRPr="00C86B34">
              <w:rPr>
                <w:rFonts w:ascii="Times New Roman" w:hAnsi="Times New Roman"/>
                <w:color w:val="000000"/>
                <w:sz w:val="22"/>
              </w:rPr>
              <w:t>виконання будівельних робіт:</w:t>
            </w:r>
          </w:p>
          <w:p w:rsidR="00E95FB1" w:rsidRPr="00C86B34" w:rsidRDefault="00E95FB1" w:rsidP="001B3967">
            <w:pPr>
              <w:ind w:left="88" w:firstLine="1090"/>
              <w:rPr>
                <w:sz w:val="22"/>
              </w:rPr>
            </w:pPr>
            <w:bookmarkStart w:id="54" w:name="OLE_LINK1"/>
            <w:r w:rsidRPr="00C86B34">
              <w:rPr>
                <w:sz w:val="22"/>
              </w:rPr>
              <w:t>реконструкція будівлі (заміна несучих балок)</w:t>
            </w:r>
            <w:bookmarkEnd w:id="54"/>
            <w:r w:rsidRPr="00C86B34">
              <w:rPr>
                <w:sz w:val="22"/>
              </w:rPr>
              <w:t>;</w:t>
            </w:r>
          </w:p>
          <w:p w:rsidR="00E95FB1" w:rsidRPr="00C86B34" w:rsidRDefault="00E95FB1" w:rsidP="001B3967">
            <w:pPr>
              <w:ind w:left="88" w:firstLine="1090"/>
              <w:rPr>
                <w:sz w:val="22"/>
              </w:rPr>
            </w:pPr>
            <w:r w:rsidRPr="00C86B34">
              <w:rPr>
                <w:sz w:val="22"/>
              </w:rPr>
              <w:t>капітальний ремонт даху (з утепленням);</w:t>
            </w:r>
          </w:p>
          <w:p w:rsidR="00E95FB1" w:rsidRPr="00C86B34" w:rsidRDefault="00E95FB1" w:rsidP="001B3967">
            <w:pPr>
              <w:ind w:left="88" w:firstLine="1090"/>
              <w:rPr>
                <w:sz w:val="22"/>
              </w:rPr>
            </w:pPr>
            <w:proofErr w:type="spellStart"/>
            <w:r w:rsidRPr="00C86B34">
              <w:rPr>
                <w:sz w:val="22"/>
              </w:rPr>
              <w:t>термомодернізація</w:t>
            </w:r>
            <w:proofErr w:type="spellEnd"/>
            <w:r w:rsidRPr="00C86B34">
              <w:rPr>
                <w:sz w:val="22"/>
              </w:rPr>
              <w:t xml:space="preserve"> будівлі;</w:t>
            </w:r>
          </w:p>
          <w:p w:rsidR="00E95FB1" w:rsidRPr="00C86B34" w:rsidRDefault="00E95FB1" w:rsidP="001B3967">
            <w:pPr>
              <w:ind w:left="88" w:firstLine="1090"/>
              <w:rPr>
                <w:sz w:val="22"/>
              </w:rPr>
            </w:pPr>
            <w:r w:rsidRPr="00C86B34">
              <w:rPr>
                <w:sz w:val="22"/>
              </w:rPr>
              <w:t xml:space="preserve">встановлення на даху сонячних </w:t>
            </w:r>
            <w:proofErr w:type="spellStart"/>
            <w:r w:rsidRPr="00C86B34">
              <w:rPr>
                <w:sz w:val="22"/>
              </w:rPr>
              <w:t>батарей</w:t>
            </w:r>
            <w:proofErr w:type="spellEnd"/>
            <w:r w:rsidRPr="00C86B34">
              <w:rPr>
                <w:sz w:val="22"/>
              </w:rPr>
              <w:t xml:space="preserve"> та </w:t>
            </w:r>
            <w:proofErr w:type="spellStart"/>
            <w:r w:rsidRPr="00C86B34">
              <w:rPr>
                <w:sz w:val="22"/>
              </w:rPr>
              <w:t>геліосистеми</w:t>
            </w:r>
            <w:proofErr w:type="spellEnd"/>
            <w:r w:rsidRPr="00C86B34">
              <w:rPr>
                <w:sz w:val="22"/>
              </w:rPr>
              <w:t>;</w:t>
            </w:r>
          </w:p>
          <w:p w:rsidR="00E95FB1" w:rsidRPr="00C86B34" w:rsidRDefault="00E95FB1" w:rsidP="001B3967">
            <w:pPr>
              <w:ind w:left="88" w:firstLine="1090"/>
              <w:rPr>
                <w:sz w:val="22"/>
              </w:rPr>
            </w:pPr>
            <w:bookmarkStart w:id="55" w:name="OLE_LINK2"/>
            <w:r w:rsidRPr="00C86B34">
              <w:rPr>
                <w:sz w:val="22"/>
              </w:rPr>
              <w:t>облаштування системи рекуперації повітря</w:t>
            </w:r>
            <w:bookmarkEnd w:id="55"/>
            <w:r w:rsidRPr="00C86B34">
              <w:rPr>
                <w:sz w:val="22"/>
              </w:rPr>
              <w:t>;</w:t>
            </w:r>
          </w:p>
          <w:p w:rsidR="00E95FB1" w:rsidRPr="00C86B34" w:rsidRDefault="00E95FB1" w:rsidP="001B3967">
            <w:pPr>
              <w:ind w:left="88" w:firstLine="1090"/>
              <w:rPr>
                <w:sz w:val="22"/>
              </w:rPr>
            </w:pPr>
            <w:r w:rsidRPr="00C86B34">
              <w:rPr>
                <w:sz w:val="22"/>
              </w:rPr>
              <w:t>реконструкція інженерних мереж;</w:t>
            </w:r>
          </w:p>
          <w:p w:rsidR="00E95FB1" w:rsidRPr="00C86B34" w:rsidRDefault="00E95FB1" w:rsidP="001B3967">
            <w:pPr>
              <w:ind w:left="88" w:firstLine="1090"/>
              <w:rPr>
                <w:sz w:val="22"/>
              </w:rPr>
            </w:pPr>
            <w:r w:rsidRPr="00C86B34">
              <w:rPr>
                <w:sz w:val="22"/>
              </w:rPr>
              <w:t xml:space="preserve">капітальний ремонт зали тенісних кортів з заміною підлогового покриття на </w:t>
            </w:r>
            <w:proofErr w:type="spellStart"/>
            <w:r w:rsidRPr="00C86B34">
              <w:rPr>
                <w:sz w:val="22"/>
              </w:rPr>
              <w:t>Terafleх</w:t>
            </w:r>
            <w:proofErr w:type="spellEnd"/>
            <w:r w:rsidRPr="00C86B34">
              <w:rPr>
                <w:sz w:val="22"/>
              </w:rPr>
              <w:t>;</w:t>
            </w:r>
          </w:p>
          <w:p w:rsidR="00E95FB1" w:rsidRPr="00C86B34" w:rsidRDefault="00E95FB1" w:rsidP="001B3967">
            <w:pPr>
              <w:ind w:left="88" w:firstLine="1090"/>
              <w:rPr>
                <w:sz w:val="22"/>
              </w:rPr>
            </w:pPr>
            <w:r w:rsidRPr="00C86B34">
              <w:rPr>
                <w:sz w:val="22"/>
              </w:rPr>
              <w:t>капітальний ремонт сумісних приміщень (роздягальні, коридор, адміністративні та господарчі приміщення);</w:t>
            </w:r>
          </w:p>
          <w:p w:rsidR="00E95FB1" w:rsidRPr="00C86B34" w:rsidRDefault="00E95FB1" w:rsidP="001B3967">
            <w:pPr>
              <w:ind w:left="88" w:firstLine="1090"/>
              <w:rPr>
                <w:sz w:val="22"/>
              </w:rPr>
            </w:pPr>
            <w:r w:rsidRPr="00C86B34">
              <w:rPr>
                <w:sz w:val="22"/>
              </w:rPr>
              <w:t>облаштування доступу осіб з інвалідністю до роздягальнь, туалетів, душових;</w:t>
            </w:r>
          </w:p>
          <w:p w:rsidR="00E95FB1" w:rsidRPr="00C86B34" w:rsidRDefault="00E95FB1" w:rsidP="001B3967">
            <w:pPr>
              <w:ind w:firstLine="1090"/>
              <w:rPr>
                <w:sz w:val="22"/>
              </w:rPr>
            </w:pPr>
            <w:r w:rsidRPr="00C86B34">
              <w:rPr>
                <w:sz w:val="22"/>
              </w:rPr>
              <w:t xml:space="preserve">облаштування системи </w:t>
            </w:r>
            <w:proofErr w:type="spellStart"/>
            <w:r w:rsidRPr="00C86B34">
              <w:rPr>
                <w:sz w:val="22"/>
              </w:rPr>
              <w:t>відеонагляду</w:t>
            </w:r>
            <w:proofErr w:type="spellEnd"/>
            <w:r w:rsidRPr="00C86B34">
              <w:rPr>
                <w:sz w:val="22"/>
              </w:rPr>
              <w:t xml:space="preserve">  та відеоспостереження;</w:t>
            </w:r>
          </w:p>
          <w:p w:rsidR="00E95FB1" w:rsidRPr="00C86B34" w:rsidRDefault="00E95FB1" w:rsidP="001B3967">
            <w:pPr>
              <w:ind w:left="88" w:firstLine="1090"/>
              <w:rPr>
                <w:rFonts w:eastAsia="Calibri"/>
                <w:color w:val="000000"/>
                <w:sz w:val="22"/>
              </w:rPr>
            </w:pPr>
            <w:r w:rsidRPr="00C86B34">
              <w:rPr>
                <w:sz w:val="22"/>
              </w:rPr>
              <w:t>благоустрій  прилеглої території;</w:t>
            </w:r>
            <w:r w:rsidRPr="00C86B34">
              <w:rPr>
                <w:rFonts w:eastAsia="Calibri"/>
                <w:color w:val="000000"/>
                <w:sz w:val="22"/>
              </w:rPr>
              <w:t xml:space="preserve"> </w:t>
            </w:r>
          </w:p>
          <w:p w:rsidR="00E95FB1" w:rsidRPr="00C86B34" w:rsidRDefault="00E95FB1" w:rsidP="001B3967">
            <w:pPr>
              <w:ind w:left="88" w:firstLine="1090"/>
              <w:rPr>
                <w:sz w:val="22"/>
              </w:rPr>
            </w:pPr>
            <w:r w:rsidRPr="00C86B34">
              <w:rPr>
                <w:sz w:val="22"/>
              </w:rPr>
              <w:t>відновлення огорожі;</w:t>
            </w:r>
          </w:p>
          <w:p w:rsidR="00E95FB1" w:rsidRPr="00C86B34" w:rsidRDefault="00E95FB1" w:rsidP="001B3967">
            <w:pPr>
              <w:ind w:left="88" w:firstLine="1090"/>
              <w:rPr>
                <w:sz w:val="22"/>
              </w:rPr>
            </w:pPr>
            <w:r w:rsidRPr="00C86B34">
              <w:rPr>
                <w:sz w:val="22"/>
              </w:rPr>
              <w:t>реконструкція ґрунтового покриття вуличних кортів;</w:t>
            </w:r>
          </w:p>
          <w:p w:rsidR="00E95FB1" w:rsidRPr="00C86B34" w:rsidRDefault="00E95FB1" w:rsidP="000303D7">
            <w:pPr>
              <w:numPr>
                <w:ilvl w:val="0"/>
                <w:numId w:val="37"/>
              </w:numPr>
              <w:rPr>
                <w:sz w:val="22"/>
              </w:rPr>
            </w:pPr>
            <w:r w:rsidRPr="00C86B34">
              <w:rPr>
                <w:sz w:val="22"/>
              </w:rPr>
              <w:t>придбання необхідного знаряддя для ведення тренувального процесу;</w:t>
            </w:r>
          </w:p>
          <w:p w:rsidR="00E95FB1" w:rsidRPr="00C86B34" w:rsidRDefault="00E95FB1" w:rsidP="000303D7">
            <w:pPr>
              <w:numPr>
                <w:ilvl w:val="0"/>
                <w:numId w:val="37"/>
              </w:numPr>
              <w:rPr>
                <w:rFonts w:eastAsia="Calibri"/>
                <w:color w:val="000000"/>
                <w:sz w:val="22"/>
              </w:rPr>
            </w:pPr>
            <w:r w:rsidRPr="00C86B34">
              <w:rPr>
                <w:rFonts w:eastAsia="Calibri"/>
                <w:color w:val="000000"/>
                <w:sz w:val="22"/>
              </w:rPr>
              <w:t>введення споруди в експлуатацію та її експлуатація за призначенням</w:t>
            </w:r>
          </w:p>
        </w:tc>
      </w:tr>
      <w:tr w:rsidR="00E95FB1" w:rsidRPr="00C86B34" w:rsidTr="001B3967">
        <w:trPr>
          <w:trHeight w:val="197"/>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Орієнтовний обсяг та джерела фінансування тис. гривень</w:t>
            </w:r>
          </w:p>
        </w:tc>
        <w:tc>
          <w:tcPr>
            <w:tcW w:w="1275"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Державний бюджет</w:t>
            </w:r>
          </w:p>
        </w:tc>
        <w:tc>
          <w:tcPr>
            <w:tcW w:w="1772"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Місцевий бюджет</w:t>
            </w:r>
          </w:p>
        </w:tc>
        <w:tc>
          <w:tcPr>
            <w:tcW w:w="2446" w:type="dxa"/>
            <w:gridSpan w:val="4"/>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Інші джерела</w:t>
            </w:r>
          </w:p>
        </w:tc>
        <w:tc>
          <w:tcPr>
            <w:tcW w:w="1457"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Всього</w:t>
            </w:r>
          </w:p>
        </w:tc>
      </w:tr>
      <w:tr w:rsidR="00E95FB1" w:rsidRPr="00C86B34" w:rsidTr="001B3967">
        <w:trPr>
          <w:trHeight w:val="197"/>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1275"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772"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347"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Обсяг</w:t>
            </w:r>
          </w:p>
        </w:tc>
        <w:tc>
          <w:tcPr>
            <w:tcW w:w="1099"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Назва джерела</w:t>
            </w:r>
          </w:p>
        </w:tc>
        <w:tc>
          <w:tcPr>
            <w:tcW w:w="1457" w:type="dxa"/>
            <w:vMerge/>
            <w:vAlign w:val="center"/>
          </w:tcPr>
          <w:p w:rsidR="00E95FB1" w:rsidRPr="00C86B34" w:rsidRDefault="00E95FB1" w:rsidP="001B3967">
            <w:pPr>
              <w:autoSpaceDE w:val="0"/>
              <w:autoSpaceDN w:val="0"/>
              <w:adjustRightInd w:val="0"/>
              <w:jc w:val="center"/>
              <w:rPr>
                <w:rFonts w:eastAsia="Calibri"/>
                <w:b/>
                <w:color w:val="000000"/>
                <w:sz w:val="22"/>
              </w:rPr>
            </w:pPr>
          </w:p>
        </w:tc>
      </w:tr>
      <w:tr w:rsidR="00E95FB1" w:rsidRPr="00C86B34" w:rsidTr="001B3967">
        <w:trPr>
          <w:trHeight w:val="197"/>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1275"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35 000,0</w:t>
            </w:r>
          </w:p>
        </w:tc>
        <w:tc>
          <w:tcPr>
            <w:tcW w:w="1772" w:type="dxa"/>
          </w:tcPr>
          <w:p w:rsidR="00E95FB1" w:rsidRPr="00C86B34" w:rsidRDefault="00E95FB1" w:rsidP="001B3967">
            <w:pPr>
              <w:autoSpaceDE w:val="0"/>
              <w:autoSpaceDN w:val="0"/>
              <w:adjustRightInd w:val="0"/>
              <w:jc w:val="center"/>
              <w:rPr>
                <w:rFonts w:eastAsia="Calibri"/>
                <w:color w:val="000000"/>
                <w:sz w:val="22"/>
              </w:rPr>
            </w:pPr>
          </w:p>
        </w:tc>
        <w:tc>
          <w:tcPr>
            <w:tcW w:w="1347" w:type="dxa"/>
            <w:gridSpan w:val="2"/>
          </w:tcPr>
          <w:p w:rsidR="00E95FB1" w:rsidRPr="00C86B34" w:rsidRDefault="00E95FB1" w:rsidP="001B3967">
            <w:pPr>
              <w:autoSpaceDE w:val="0"/>
              <w:autoSpaceDN w:val="0"/>
              <w:adjustRightInd w:val="0"/>
              <w:jc w:val="center"/>
              <w:rPr>
                <w:rFonts w:eastAsia="Calibri"/>
                <w:color w:val="000000"/>
                <w:sz w:val="22"/>
              </w:rPr>
            </w:pPr>
          </w:p>
        </w:tc>
        <w:tc>
          <w:tcPr>
            <w:tcW w:w="1099" w:type="dxa"/>
            <w:gridSpan w:val="2"/>
          </w:tcPr>
          <w:p w:rsidR="00E95FB1" w:rsidRPr="00C86B34" w:rsidRDefault="00E95FB1" w:rsidP="001B3967">
            <w:pPr>
              <w:autoSpaceDE w:val="0"/>
              <w:autoSpaceDN w:val="0"/>
              <w:adjustRightInd w:val="0"/>
              <w:jc w:val="center"/>
              <w:rPr>
                <w:rFonts w:eastAsia="Calibri"/>
                <w:color w:val="000000"/>
                <w:sz w:val="22"/>
              </w:rPr>
            </w:pPr>
          </w:p>
        </w:tc>
        <w:tc>
          <w:tcPr>
            <w:tcW w:w="1457"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35 000,0</w:t>
            </w:r>
          </w:p>
        </w:tc>
      </w:tr>
      <w:tr w:rsidR="00E95FB1" w:rsidRPr="00C86B34" w:rsidTr="001B3967">
        <w:trPr>
          <w:trHeight w:val="197"/>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b/>
                <w:sz w:val="22"/>
              </w:rPr>
              <w:t xml:space="preserve">Ключові потенційні учасники </w:t>
            </w:r>
            <w:proofErr w:type="spellStart"/>
            <w:r w:rsidRPr="00C86B34">
              <w:rPr>
                <w:b/>
                <w:sz w:val="22"/>
              </w:rPr>
              <w:t>проєкту</w:t>
            </w:r>
            <w:proofErr w:type="spellEnd"/>
          </w:p>
        </w:tc>
        <w:tc>
          <w:tcPr>
            <w:tcW w:w="6950" w:type="dxa"/>
            <w:gridSpan w:val="7"/>
          </w:tcPr>
          <w:p w:rsidR="00E95FB1" w:rsidRPr="00C86B34" w:rsidRDefault="00E95FB1" w:rsidP="001B3967">
            <w:pPr>
              <w:ind w:left="753" w:hanging="567"/>
              <w:rPr>
                <w:sz w:val="22"/>
              </w:rPr>
            </w:pPr>
            <w:r w:rsidRPr="00C86B34">
              <w:rPr>
                <w:sz w:val="22"/>
              </w:rPr>
              <w:t xml:space="preserve">1. </w:t>
            </w:r>
            <w:r w:rsidR="00AB0414" w:rsidRPr="00C86B34">
              <w:rPr>
                <w:sz w:val="22"/>
              </w:rPr>
              <w:t>Міська в</w:t>
            </w:r>
            <w:r w:rsidRPr="00C86B34">
              <w:rPr>
                <w:sz w:val="22"/>
              </w:rPr>
              <w:t xml:space="preserve">ійськова адміністрація міста. </w:t>
            </w:r>
          </w:p>
          <w:p w:rsidR="00E95FB1" w:rsidRPr="00C86B34" w:rsidRDefault="00E95FB1" w:rsidP="001B3967">
            <w:pPr>
              <w:tabs>
                <w:tab w:val="left" w:pos="720"/>
              </w:tabs>
              <w:ind w:left="753" w:hanging="567"/>
              <w:rPr>
                <w:sz w:val="22"/>
              </w:rPr>
            </w:pPr>
            <w:r w:rsidRPr="00C86B34">
              <w:rPr>
                <w:sz w:val="22"/>
              </w:rPr>
              <w:t>2. Відділ капітального будівництва військової адміністрації міста.</w:t>
            </w:r>
          </w:p>
          <w:p w:rsidR="00E95FB1" w:rsidRPr="00C86B34" w:rsidRDefault="00E95FB1" w:rsidP="001B3967">
            <w:pPr>
              <w:tabs>
                <w:tab w:val="left" w:pos="720"/>
              </w:tabs>
              <w:ind w:left="753" w:hanging="567"/>
              <w:rPr>
                <w:sz w:val="22"/>
              </w:rPr>
            </w:pPr>
            <w:r w:rsidRPr="00C86B34">
              <w:rPr>
                <w:sz w:val="22"/>
              </w:rPr>
              <w:t>3. Підрядна організація - переможець тендеру, виконавець будівельно-монтажних робіт.</w:t>
            </w:r>
          </w:p>
          <w:p w:rsidR="00E95FB1" w:rsidRPr="00C86B34" w:rsidRDefault="00E95FB1" w:rsidP="001B3967">
            <w:pPr>
              <w:tabs>
                <w:tab w:val="left" w:pos="720"/>
              </w:tabs>
              <w:ind w:left="753" w:hanging="567"/>
              <w:rPr>
                <w:sz w:val="22"/>
              </w:rPr>
            </w:pPr>
            <w:r w:rsidRPr="00C86B34">
              <w:rPr>
                <w:sz w:val="22"/>
              </w:rPr>
              <w:t>4. Обласна державна адміністрація.</w:t>
            </w:r>
          </w:p>
          <w:p w:rsidR="00E95FB1" w:rsidRPr="00C86B34" w:rsidRDefault="00E95FB1" w:rsidP="001B3967">
            <w:pPr>
              <w:autoSpaceDE w:val="0"/>
              <w:autoSpaceDN w:val="0"/>
              <w:adjustRightInd w:val="0"/>
              <w:ind w:left="753" w:hanging="567"/>
              <w:rPr>
                <w:rFonts w:eastAsia="Calibri"/>
                <w:color w:val="000000"/>
                <w:sz w:val="22"/>
              </w:rPr>
            </w:pPr>
            <w:r w:rsidRPr="00C86B34">
              <w:rPr>
                <w:sz w:val="22"/>
              </w:rPr>
              <w:t>5. Інвестори та меценати спортивної галузі</w:t>
            </w:r>
          </w:p>
        </w:tc>
      </w:tr>
    </w:tbl>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tbl>
      <w:tblPr>
        <w:tblpPr w:leftFromText="180" w:rightFromText="180" w:vertAnchor="text" w:horzAnchor="page" w:tblpX="1397" w:tblpY="123"/>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724"/>
        <w:gridCol w:w="1932"/>
        <w:gridCol w:w="1254"/>
        <w:gridCol w:w="166"/>
        <w:gridCol w:w="1088"/>
        <w:gridCol w:w="35"/>
        <w:gridCol w:w="1219"/>
        <w:gridCol w:w="1495"/>
      </w:tblGrid>
      <w:tr w:rsidR="00E95FB1" w:rsidRPr="00C86B34" w:rsidTr="001B3967">
        <w:trPr>
          <w:trHeight w:val="1077"/>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Оперативна ціль/завдання</w:t>
            </w:r>
          </w:p>
        </w:tc>
        <w:tc>
          <w:tcPr>
            <w:tcW w:w="7189" w:type="dxa"/>
            <w:gridSpan w:val="7"/>
          </w:tcPr>
          <w:p w:rsidR="00E95FB1" w:rsidRPr="00C86B34" w:rsidRDefault="00AB0414" w:rsidP="001B3967">
            <w:pPr>
              <w:pStyle w:val="a7"/>
              <w:ind w:left="0"/>
              <w:rPr>
                <w:sz w:val="22"/>
              </w:rPr>
            </w:pPr>
            <w:r w:rsidRPr="00C86B34">
              <w:rPr>
                <w:rFonts w:eastAsia="Arial"/>
                <w:sz w:val="22"/>
              </w:rPr>
              <w:t xml:space="preserve">Людський розвиток </w:t>
            </w:r>
            <w:r w:rsidR="00E95FB1" w:rsidRPr="00C86B34">
              <w:rPr>
                <w:rFonts w:eastAsia="Arial"/>
                <w:sz w:val="22"/>
              </w:rPr>
              <w:t xml:space="preserve">через інновації управління та довіру до влади. Формування сучасного інклюзивного </w:t>
            </w:r>
            <w:proofErr w:type="spellStart"/>
            <w:r w:rsidR="00E95FB1" w:rsidRPr="00C86B34">
              <w:rPr>
                <w:rFonts w:eastAsia="Arial"/>
                <w:sz w:val="22"/>
              </w:rPr>
              <w:t>освітньо</w:t>
            </w:r>
            <w:proofErr w:type="spellEnd"/>
            <w:r w:rsidR="00E95FB1" w:rsidRPr="00C86B34">
              <w:rPr>
                <w:rFonts w:eastAsia="Arial"/>
                <w:sz w:val="22"/>
              </w:rPr>
              <w:t xml:space="preserve"> – культурного та спортивного простору для розвитку</w:t>
            </w:r>
          </w:p>
        </w:tc>
      </w:tr>
      <w:tr w:rsidR="00E95FB1" w:rsidRPr="00C86B34" w:rsidTr="001B3967">
        <w:trPr>
          <w:trHeight w:val="563"/>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Назва проекту:</w:t>
            </w:r>
          </w:p>
        </w:tc>
        <w:tc>
          <w:tcPr>
            <w:tcW w:w="7189" w:type="dxa"/>
            <w:gridSpan w:val="7"/>
          </w:tcPr>
          <w:p w:rsidR="00E95FB1" w:rsidRPr="00C86B34" w:rsidRDefault="00E95FB1" w:rsidP="001B3967">
            <w:pPr>
              <w:autoSpaceDE w:val="0"/>
              <w:autoSpaceDN w:val="0"/>
              <w:adjustRightInd w:val="0"/>
              <w:ind w:left="49" w:right="116"/>
              <w:rPr>
                <w:rFonts w:eastAsia="Calibri"/>
                <w:color w:val="000000"/>
                <w:sz w:val="22"/>
              </w:rPr>
            </w:pPr>
            <w:r w:rsidRPr="00C86B34">
              <w:rPr>
                <w:rFonts w:eastAsia="Calibri"/>
                <w:color w:val="000000"/>
                <w:sz w:val="22"/>
              </w:rPr>
              <w:t xml:space="preserve">Капітальний ремонт будівлі КДЮСШ 1 міста Сєвєродонецьк Луганської області за </w:t>
            </w:r>
            <w:proofErr w:type="spellStart"/>
            <w:r w:rsidRPr="00C86B34">
              <w:rPr>
                <w:rFonts w:eastAsia="Calibri"/>
                <w:color w:val="000000"/>
                <w:sz w:val="22"/>
              </w:rPr>
              <w:t>адресою</w:t>
            </w:r>
            <w:proofErr w:type="spellEnd"/>
            <w:r w:rsidRPr="00C86B34">
              <w:rPr>
                <w:rFonts w:eastAsia="Calibri"/>
                <w:color w:val="000000"/>
                <w:sz w:val="22"/>
              </w:rPr>
              <w:t>: вул. Богдана Ліщини, 21а.</w:t>
            </w:r>
          </w:p>
        </w:tc>
      </w:tr>
      <w:tr w:rsidR="00E95FB1" w:rsidRPr="00C86B34" w:rsidTr="001B3967">
        <w:trPr>
          <w:trHeight w:val="670"/>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Ціль проекту</w:t>
            </w:r>
          </w:p>
        </w:tc>
        <w:tc>
          <w:tcPr>
            <w:tcW w:w="7189" w:type="dxa"/>
            <w:gridSpan w:val="7"/>
            <w:vAlign w:val="center"/>
          </w:tcPr>
          <w:p w:rsidR="00E95FB1" w:rsidRPr="00C86B34" w:rsidRDefault="00E95FB1" w:rsidP="001B3967">
            <w:pPr>
              <w:autoSpaceDE w:val="0"/>
              <w:autoSpaceDN w:val="0"/>
              <w:adjustRightInd w:val="0"/>
              <w:ind w:left="49" w:right="116"/>
              <w:rPr>
                <w:rFonts w:eastAsia="Calibri"/>
                <w:color w:val="000000"/>
                <w:sz w:val="22"/>
              </w:rPr>
            </w:pPr>
            <w:r w:rsidRPr="00C86B34">
              <w:rPr>
                <w:sz w:val="22"/>
              </w:rPr>
              <w:t xml:space="preserve">Створення безпечних та комфортних умов для заняття фізкультурою та спортом мешканцям громади, у т. ч. особами з особливими потребами,  покращення здоров’я жителів громади шляхом проведення реабілітаційних заходів, метою яких є відновлення фізичного та психічного здоров'я людини, порушених  внаслідок військового вторгнення </w:t>
            </w:r>
            <w:r w:rsidR="003742ED" w:rsidRPr="00C86B34">
              <w:rPr>
                <w:sz w:val="22"/>
              </w:rPr>
              <w:t>РФ</w:t>
            </w:r>
            <w:r w:rsidRPr="00C86B34">
              <w:rPr>
                <w:sz w:val="22"/>
              </w:rPr>
              <w:t xml:space="preserve"> на територію України, формування здорового способу життя, популяризація фізичної культури та спорту.</w:t>
            </w:r>
          </w:p>
        </w:tc>
      </w:tr>
      <w:tr w:rsidR="00E95FB1" w:rsidRPr="00C86B34" w:rsidTr="001B3967">
        <w:trPr>
          <w:trHeight w:val="563"/>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lastRenderedPageBreak/>
              <w:t>Територія, на яку матиме вплив реалізація проекту</w:t>
            </w:r>
          </w:p>
        </w:tc>
        <w:tc>
          <w:tcPr>
            <w:tcW w:w="7189" w:type="dxa"/>
            <w:gridSpan w:val="7"/>
            <w:vAlign w:val="center"/>
          </w:tcPr>
          <w:p w:rsidR="00E95FB1" w:rsidRPr="00C86B34" w:rsidRDefault="00E95FB1" w:rsidP="001B3967">
            <w:pPr>
              <w:autoSpaceDE w:val="0"/>
              <w:autoSpaceDN w:val="0"/>
              <w:adjustRightInd w:val="0"/>
              <w:ind w:left="49" w:right="116"/>
              <w:rPr>
                <w:rFonts w:eastAsia="Calibri"/>
                <w:color w:val="000000"/>
                <w:sz w:val="22"/>
              </w:rPr>
            </w:pPr>
            <w:r w:rsidRPr="00C86B34">
              <w:rPr>
                <w:rFonts w:eastAsia="Calibri"/>
                <w:color w:val="000000"/>
                <w:sz w:val="22"/>
              </w:rPr>
              <w:t>Сєвєродонецька міська територіальна громада.</w:t>
            </w:r>
          </w:p>
        </w:tc>
      </w:tr>
      <w:tr w:rsidR="00E95FB1" w:rsidRPr="00C86B34" w:rsidTr="001B3967">
        <w:trPr>
          <w:trHeight w:val="1127"/>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Чисельність населення, на яке матиме вплив реалізація проекту</w:t>
            </w:r>
          </w:p>
        </w:tc>
        <w:tc>
          <w:tcPr>
            <w:tcW w:w="7189" w:type="dxa"/>
            <w:gridSpan w:val="7"/>
            <w:vAlign w:val="center"/>
          </w:tcPr>
          <w:p w:rsidR="00E95FB1" w:rsidRPr="00C86B34" w:rsidRDefault="003742ED" w:rsidP="001B3967">
            <w:pPr>
              <w:autoSpaceDE w:val="0"/>
              <w:autoSpaceDN w:val="0"/>
              <w:adjustRightInd w:val="0"/>
              <w:rPr>
                <w:rFonts w:eastAsia="@Malgun Gothic"/>
                <w:sz w:val="22"/>
              </w:rPr>
            </w:pPr>
            <w:r w:rsidRPr="00C86B34">
              <w:rPr>
                <w:rFonts w:eastAsia="BatangChe"/>
                <w:sz w:val="22"/>
              </w:rPr>
              <w:t>70 000</w:t>
            </w:r>
            <w:r w:rsidR="00E95FB1" w:rsidRPr="00C86B34">
              <w:rPr>
                <w:rFonts w:eastAsia="BatangChe"/>
                <w:sz w:val="22"/>
              </w:rPr>
              <w:t xml:space="preserve"> </w:t>
            </w:r>
          </w:p>
        </w:tc>
      </w:tr>
      <w:tr w:rsidR="00E95FB1" w:rsidRPr="00C86B34" w:rsidTr="001B3967">
        <w:trPr>
          <w:trHeight w:val="607"/>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Опис проблеми, на вирішення якої спрямований проект</w:t>
            </w:r>
          </w:p>
        </w:tc>
        <w:tc>
          <w:tcPr>
            <w:tcW w:w="7189" w:type="dxa"/>
            <w:gridSpan w:val="7"/>
          </w:tcPr>
          <w:p w:rsidR="00E95FB1" w:rsidRPr="00C86B34" w:rsidRDefault="00E95FB1" w:rsidP="001B3967">
            <w:pPr>
              <w:ind w:left="44"/>
              <w:rPr>
                <w:color w:val="000000"/>
                <w:spacing w:val="2"/>
                <w:sz w:val="22"/>
                <w:shd w:val="clear" w:color="auto" w:fill="FFFFFF"/>
              </w:rPr>
            </w:pPr>
            <w:r w:rsidRPr="00C86B34">
              <w:rPr>
                <w:color w:val="000000"/>
                <w:spacing w:val="2"/>
                <w:sz w:val="22"/>
                <w:shd w:val="clear" w:color="auto" w:fill="FFFFFF"/>
              </w:rPr>
              <w:t>Залучення широких верств населення до занять фізичною культурою, стан його здоров'я та успіхи на міжнародних змаганнях є безперечним доказом життєздатності та духовної сили будь-якої нації. Для того</w:t>
            </w:r>
            <w:r w:rsidR="003742ED" w:rsidRPr="00C86B34">
              <w:rPr>
                <w:color w:val="000000"/>
                <w:spacing w:val="2"/>
                <w:sz w:val="22"/>
                <w:shd w:val="clear" w:color="auto" w:fill="FFFFFF"/>
              </w:rPr>
              <w:t>,</w:t>
            </w:r>
            <w:r w:rsidRPr="00C86B34">
              <w:rPr>
                <w:color w:val="000000"/>
                <w:spacing w:val="2"/>
                <w:sz w:val="22"/>
                <w:shd w:val="clear" w:color="auto" w:fill="FFFFFF"/>
              </w:rPr>
              <w:t xml:space="preserve"> щоб у широких мас з'явився інтерес до заняття фізичною культурою і спортом</w:t>
            </w:r>
            <w:r w:rsidR="003742ED" w:rsidRPr="00C86B34">
              <w:rPr>
                <w:color w:val="000000"/>
                <w:spacing w:val="2"/>
                <w:sz w:val="22"/>
                <w:shd w:val="clear" w:color="auto" w:fill="FFFFFF"/>
              </w:rPr>
              <w:t>,</w:t>
            </w:r>
            <w:r w:rsidRPr="00C86B34">
              <w:rPr>
                <w:color w:val="000000"/>
                <w:spacing w:val="2"/>
                <w:sz w:val="22"/>
                <w:shd w:val="clear" w:color="auto" w:fill="FFFFFF"/>
              </w:rPr>
              <w:t xml:space="preserve"> необхідно мати відповідну інфраструктуру.</w:t>
            </w:r>
          </w:p>
          <w:p w:rsidR="00E95FB1" w:rsidRPr="00C86B34" w:rsidRDefault="00E95FB1" w:rsidP="001B3967">
            <w:pPr>
              <w:ind w:left="44"/>
              <w:rPr>
                <w:sz w:val="22"/>
              </w:rPr>
            </w:pPr>
            <w:r w:rsidRPr="00C86B34">
              <w:rPr>
                <w:rFonts w:eastAsia="Calibri"/>
                <w:sz w:val="22"/>
              </w:rPr>
              <w:t xml:space="preserve">Внаслідок ведення активних бойових дій на території Сєвєродонецької міської територіальної громади будівля КДЮСШ 1 по вул. </w:t>
            </w:r>
            <w:proofErr w:type="spellStart"/>
            <w:r w:rsidRPr="00C86B34">
              <w:rPr>
                <w:rFonts w:eastAsia="Calibri"/>
                <w:sz w:val="22"/>
              </w:rPr>
              <w:t>Б.Ліщини</w:t>
            </w:r>
            <w:proofErr w:type="spellEnd"/>
            <w:r w:rsidR="003742ED" w:rsidRPr="00C86B34">
              <w:rPr>
                <w:rFonts w:eastAsia="Calibri"/>
                <w:sz w:val="22"/>
              </w:rPr>
              <w:t>,</w:t>
            </w:r>
            <w:r w:rsidRPr="00C86B34">
              <w:rPr>
                <w:rFonts w:eastAsia="Calibri"/>
                <w:sz w:val="22"/>
              </w:rPr>
              <w:t xml:space="preserve"> 21а, як і в</w:t>
            </w:r>
            <w:r w:rsidRPr="00C86B34">
              <w:rPr>
                <w:sz w:val="22"/>
              </w:rPr>
              <w:t>елика кількість інфраструктури міста, зазнала пошкоджень та руйнувань.</w:t>
            </w:r>
          </w:p>
          <w:p w:rsidR="00E95FB1" w:rsidRPr="00C86B34" w:rsidRDefault="00E95FB1" w:rsidP="001B3967">
            <w:pPr>
              <w:ind w:left="44"/>
              <w:rPr>
                <w:sz w:val="22"/>
              </w:rPr>
            </w:pPr>
            <w:r w:rsidRPr="00C86B34">
              <w:rPr>
                <w:sz w:val="22"/>
              </w:rPr>
              <w:t xml:space="preserve">Після </w:t>
            </w:r>
            <w:proofErr w:type="spellStart"/>
            <w:r w:rsidRPr="00C86B34">
              <w:rPr>
                <w:sz w:val="22"/>
              </w:rPr>
              <w:t>деокупації</w:t>
            </w:r>
            <w:proofErr w:type="spellEnd"/>
            <w:r w:rsidRPr="00C86B34">
              <w:rPr>
                <w:sz w:val="22"/>
              </w:rPr>
              <w:t xml:space="preserve"> території та початком відбудови міста постане питання щодо реабілітації мешканців громади як в фізичному</w:t>
            </w:r>
            <w:r w:rsidR="003742ED" w:rsidRPr="00C86B34">
              <w:rPr>
                <w:sz w:val="22"/>
              </w:rPr>
              <w:t>,</w:t>
            </w:r>
            <w:r w:rsidRPr="00C86B34">
              <w:rPr>
                <w:sz w:val="22"/>
              </w:rPr>
              <w:t xml:space="preserve"> так і в психологічному плані., залучення молодого покоління до здорового способу життя та отримання ними корисних навичок та звичок. </w:t>
            </w:r>
          </w:p>
          <w:p w:rsidR="00E95FB1" w:rsidRPr="00C86B34" w:rsidRDefault="00E95FB1" w:rsidP="001B3967">
            <w:pPr>
              <w:ind w:left="44"/>
              <w:rPr>
                <w:sz w:val="22"/>
              </w:rPr>
            </w:pPr>
            <w:r w:rsidRPr="00C86B34">
              <w:rPr>
                <w:sz w:val="22"/>
              </w:rPr>
              <w:t xml:space="preserve">Одним з напрямків згуртовування населення може бути спорт. Але для цього необхідно мати відповідну інфраструктуру. </w:t>
            </w:r>
          </w:p>
          <w:p w:rsidR="00E95FB1" w:rsidRPr="00C86B34" w:rsidRDefault="00E95FB1" w:rsidP="001B3967">
            <w:pPr>
              <w:rPr>
                <w:rFonts w:eastAsia="Calibri"/>
                <w:color w:val="000000"/>
                <w:sz w:val="22"/>
              </w:rPr>
            </w:pPr>
            <w:r w:rsidRPr="00C86B34">
              <w:rPr>
                <w:sz w:val="22"/>
              </w:rPr>
              <w:t xml:space="preserve">Реалізація </w:t>
            </w:r>
            <w:proofErr w:type="spellStart"/>
            <w:r w:rsidRPr="00C86B34">
              <w:rPr>
                <w:sz w:val="22"/>
              </w:rPr>
              <w:t>проєкту</w:t>
            </w:r>
            <w:proofErr w:type="spellEnd"/>
            <w:r w:rsidRPr="00C86B34">
              <w:rPr>
                <w:sz w:val="22"/>
              </w:rPr>
              <w:t xml:space="preserve"> «</w:t>
            </w:r>
            <w:r w:rsidRPr="00C86B34">
              <w:rPr>
                <w:rFonts w:eastAsia="Calibri"/>
                <w:color w:val="000000"/>
                <w:sz w:val="22"/>
              </w:rPr>
              <w:t xml:space="preserve"> Капітальний ремонт будівлі КДЮСШ 1 міста Сєвєродонецьк Луганської області за </w:t>
            </w:r>
            <w:proofErr w:type="spellStart"/>
            <w:r w:rsidRPr="00C86B34">
              <w:rPr>
                <w:rFonts w:eastAsia="Calibri"/>
                <w:color w:val="000000"/>
                <w:sz w:val="22"/>
              </w:rPr>
              <w:t>адресою</w:t>
            </w:r>
            <w:proofErr w:type="spellEnd"/>
            <w:r w:rsidRPr="00C86B34">
              <w:rPr>
                <w:rFonts w:eastAsia="Calibri"/>
                <w:color w:val="000000"/>
                <w:sz w:val="22"/>
              </w:rPr>
              <w:t xml:space="preserve">: вул. Богдана Ліщини, 21а.» дозволить створити безпечні та комфортні умови для залучення широких верств населення до здорового способу життя, </w:t>
            </w:r>
            <w:proofErr w:type="spellStart"/>
            <w:r w:rsidRPr="00C86B34">
              <w:rPr>
                <w:rFonts w:eastAsia="Calibri"/>
                <w:color w:val="000000"/>
                <w:sz w:val="22"/>
              </w:rPr>
              <w:t>надасть</w:t>
            </w:r>
            <w:proofErr w:type="spellEnd"/>
            <w:r w:rsidRPr="00C86B34">
              <w:rPr>
                <w:rFonts w:eastAsia="Calibri"/>
                <w:color w:val="000000"/>
                <w:sz w:val="22"/>
              </w:rPr>
              <w:t xml:space="preserve"> можливість розвивати здібності як молодого покоління</w:t>
            </w:r>
            <w:r w:rsidR="003742ED" w:rsidRPr="00C86B34">
              <w:rPr>
                <w:rFonts w:eastAsia="Calibri"/>
                <w:color w:val="000000"/>
                <w:sz w:val="22"/>
              </w:rPr>
              <w:t>,</w:t>
            </w:r>
            <w:r w:rsidRPr="00C86B34">
              <w:rPr>
                <w:rFonts w:eastAsia="Calibri"/>
                <w:color w:val="000000"/>
                <w:sz w:val="22"/>
              </w:rPr>
              <w:t xml:space="preserve"> так і дорослого.    </w:t>
            </w:r>
          </w:p>
        </w:tc>
      </w:tr>
      <w:tr w:rsidR="00E95FB1" w:rsidRPr="00C86B34" w:rsidTr="001B3967">
        <w:trPr>
          <w:trHeight w:val="1025"/>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Очікувані якісні результати від реалізації проекту</w:t>
            </w:r>
          </w:p>
        </w:tc>
        <w:tc>
          <w:tcPr>
            <w:tcW w:w="7189" w:type="dxa"/>
            <w:gridSpan w:val="7"/>
          </w:tcPr>
          <w:p w:rsidR="00E95FB1" w:rsidRPr="00C86B34" w:rsidRDefault="00E95FB1" w:rsidP="000303D7">
            <w:pPr>
              <w:numPr>
                <w:ilvl w:val="0"/>
                <w:numId w:val="38"/>
              </w:numPr>
              <w:ind w:left="541" w:hanging="283"/>
              <w:rPr>
                <w:rFonts w:eastAsia="Arial"/>
                <w:sz w:val="22"/>
              </w:rPr>
            </w:pPr>
            <w:r w:rsidRPr="00C86B34">
              <w:rPr>
                <w:rFonts w:eastAsia="Arial"/>
                <w:sz w:val="22"/>
              </w:rPr>
              <w:t xml:space="preserve">створено </w:t>
            </w:r>
            <w:r w:rsidRPr="00C86B34">
              <w:rPr>
                <w:sz w:val="22"/>
              </w:rPr>
              <w:t>безпечні та комфортні умови для занять фізичною культурою та спортом мешканцям громади, у т. ч. особами з особливими потребами;</w:t>
            </w:r>
          </w:p>
          <w:p w:rsidR="00E95FB1" w:rsidRPr="00C86B34" w:rsidRDefault="00E95FB1" w:rsidP="000303D7">
            <w:pPr>
              <w:numPr>
                <w:ilvl w:val="0"/>
                <w:numId w:val="38"/>
              </w:numPr>
              <w:ind w:left="541" w:hanging="283"/>
              <w:rPr>
                <w:rFonts w:eastAsia="Arial"/>
                <w:sz w:val="22"/>
              </w:rPr>
            </w:pPr>
            <w:r w:rsidRPr="00C86B34">
              <w:rPr>
                <w:rFonts w:eastAsia="Arial"/>
                <w:sz w:val="22"/>
              </w:rPr>
              <w:t>розвиток боротьби в громаді;</w:t>
            </w:r>
          </w:p>
          <w:p w:rsidR="00E95FB1" w:rsidRPr="00C86B34" w:rsidRDefault="00E95FB1" w:rsidP="000303D7">
            <w:pPr>
              <w:numPr>
                <w:ilvl w:val="0"/>
                <w:numId w:val="38"/>
              </w:numPr>
              <w:ind w:left="541" w:hanging="283"/>
              <w:rPr>
                <w:rFonts w:eastAsia="Arial"/>
                <w:sz w:val="22"/>
              </w:rPr>
            </w:pPr>
            <w:r w:rsidRPr="00C86B34">
              <w:rPr>
                <w:sz w:val="22"/>
              </w:rPr>
              <w:t>проведення змагань різного рівня.</w:t>
            </w:r>
          </w:p>
          <w:p w:rsidR="00E95FB1" w:rsidRPr="00C86B34" w:rsidRDefault="00E95FB1" w:rsidP="000303D7">
            <w:pPr>
              <w:numPr>
                <w:ilvl w:val="0"/>
                <w:numId w:val="38"/>
              </w:numPr>
              <w:ind w:left="541" w:hanging="283"/>
              <w:rPr>
                <w:rFonts w:eastAsia="Arial"/>
                <w:sz w:val="22"/>
              </w:rPr>
            </w:pPr>
            <w:r w:rsidRPr="00C86B34">
              <w:rPr>
                <w:sz w:val="22"/>
              </w:rPr>
              <w:t>об’єднання громадян за інтересами при занятті спортом;</w:t>
            </w:r>
          </w:p>
          <w:p w:rsidR="00E95FB1" w:rsidRPr="00C86B34" w:rsidRDefault="00E95FB1" w:rsidP="000303D7">
            <w:pPr>
              <w:numPr>
                <w:ilvl w:val="0"/>
                <w:numId w:val="38"/>
              </w:numPr>
              <w:ind w:left="541" w:hanging="283"/>
              <w:rPr>
                <w:rFonts w:eastAsia="Arial"/>
                <w:sz w:val="22"/>
              </w:rPr>
            </w:pPr>
            <w:r w:rsidRPr="00C86B34">
              <w:rPr>
                <w:sz w:val="22"/>
              </w:rPr>
              <w:t>відновлення фізичного та психічного здоров'я людини;</w:t>
            </w:r>
          </w:p>
          <w:p w:rsidR="00E95FB1" w:rsidRPr="00C86B34" w:rsidRDefault="00E95FB1" w:rsidP="000303D7">
            <w:pPr>
              <w:numPr>
                <w:ilvl w:val="0"/>
                <w:numId w:val="38"/>
              </w:numPr>
              <w:ind w:left="541" w:hanging="283"/>
              <w:rPr>
                <w:sz w:val="22"/>
              </w:rPr>
            </w:pPr>
            <w:r w:rsidRPr="00C86B34">
              <w:rPr>
                <w:rFonts w:eastAsia="Arial"/>
                <w:sz w:val="22"/>
              </w:rPr>
              <w:t>збільшиться привабливість міста.</w:t>
            </w:r>
            <w:r w:rsidRPr="00C86B34">
              <w:rPr>
                <w:rFonts w:eastAsia="Calibri"/>
                <w:color w:val="000000"/>
                <w:sz w:val="22"/>
              </w:rPr>
              <w:t xml:space="preserve"> </w:t>
            </w:r>
          </w:p>
        </w:tc>
      </w:tr>
      <w:tr w:rsidR="00E95FB1" w:rsidRPr="00C86B34" w:rsidTr="001B3967">
        <w:trPr>
          <w:trHeight w:val="1127"/>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Очікувані кількісні результати від реалізації проекту  (індикатори)</w:t>
            </w:r>
          </w:p>
        </w:tc>
        <w:tc>
          <w:tcPr>
            <w:tcW w:w="3352" w:type="dxa"/>
            <w:gridSpan w:val="3"/>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Найменування показника</w:t>
            </w:r>
          </w:p>
        </w:tc>
        <w:tc>
          <w:tcPr>
            <w:tcW w:w="1123"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Одиниця вимірювання</w:t>
            </w:r>
          </w:p>
        </w:tc>
        <w:tc>
          <w:tcPr>
            <w:tcW w:w="2714"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Прогнозне (цільове) значення</w:t>
            </w:r>
          </w:p>
        </w:tc>
      </w:tr>
      <w:tr w:rsidR="00E95FB1" w:rsidRPr="00C86B34" w:rsidTr="001B3967">
        <w:trPr>
          <w:trHeight w:val="563"/>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352" w:type="dxa"/>
            <w:gridSpan w:val="3"/>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кількість учнів-спортсменів</w:t>
            </w:r>
          </w:p>
        </w:tc>
        <w:tc>
          <w:tcPr>
            <w:tcW w:w="1123"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w:t>
            </w:r>
          </w:p>
        </w:tc>
        <w:tc>
          <w:tcPr>
            <w:tcW w:w="2714"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60</w:t>
            </w:r>
          </w:p>
        </w:tc>
      </w:tr>
      <w:tr w:rsidR="00E95FB1" w:rsidRPr="00C86B34" w:rsidTr="001B3967">
        <w:trPr>
          <w:trHeight w:val="1145"/>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352" w:type="dxa"/>
            <w:gridSpan w:val="3"/>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 xml:space="preserve">кількість відвідувачів, орендаторів, </w:t>
            </w:r>
          </w:p>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отримувачів платних послуг</w:t>
            </w:r>
          </w:p>
        </w:tc>
        <w:tc>
          <w:tcPr>
            <w:tcW w:w="1123" w:type="dxa"/>
            <w:gridSpan w:val="2"/>
            <w:vAlign w:val="center"/>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осіб/рік</w:t>
            </w:r>
          </w:p>
          <w:p w:rsidR="00E95FB1" w:rsidRPr="00C86B34" w:rsidRDefault="00E95FB1" w:rsidP="001B3967">
            <w:pPr>
              <w:autoSpaceDE w:val="0"/>
              <w:autoSpaceDN w:val="0"/>
              <w:adjustRightInd w:val="0"/>
              <w:jc w:val="center"/>
              <w:rPr>
                <w:rFonts w:eastAsia="Calibri"/>
                <w:color w:val="000000"/>
                <w:sz w:val="22"/>
              </w:rPr>
            </w:pPr>
          </w:p>
        </w:tc>
        <w:tc>
          <w:tcPr>
            <w:tcW w:w="2714" w:type="dxa"/>
            <w:gridSpan w:val="2"/>
            <w:vAlign w:val="center"/>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100</w:t>
            </w:r>
          </w:p>
        </w:tc>
      </w:tr>
      <w:tr w:rsidR="00E95FB1" w:rsidRPr="00C86B34" w:rsidTr="001B3967">
        <w:trPr>
          <w:trHeight w:val="386"/>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Ключові заходи проекту:</w:t>
            </w:r>
          </w:p>
        </w:tc>
        <w:tc>
          <w:tcPr>
            <w:tcW w:w="7189" w:type="dxa"/>
            <w:gridSpan w:val="7"/>
          </w:tcPr>
          <w:p w:rsidR="00E95FB1" w:rsidRPr="00C86B34" w:rsidRDefault="00E95FB1" w:rsidP="000303D7">
            <w:pPr>
              <w:numPr>
                <w:ilvl w:val="0"/>
                <w:numId w:val="38"/>
              </w:numPr>
              <w:rPr>
                <w:sz w:val="22"/>
              </w:rPr>
            </w:pPr>
            <w:r w:rsidRPr="00C86B34">
              <w:rPr>
                <w:rFonts w:eastAsia="Calibri"/>
                <w:sz w:val="22"/>
              </w:rPr>
              <w:t>Оцінка фахівцями завданих будівлі пошкоджень та матеріальних збитків</w:t>
            </w:r>
            <w:r w:rsidRPr="00C86B34">
              <w:rPr>
                <w:sz w:val="22"/>
              </w:rPr>
              <w:t xml:space="preserve"> </w:t>
            </w:r>
          </w:p>
          <w:p w:rsidR="00E95FB1" w:rsidRPr="00C86B34" w:rsidRDefault="00E95FB1" w:rsidP="000303D7">
            <w:pPr>
              <w:pStyle w:val="afc"/>
              <w:numPr>
                <w:ilvl w:val="0"/>
                <w:numId w:val="38"/>
              </w:numPr>
              <w:spacing w:line="240" w:lineRule="auto"/>
              <w:rPr>
                <w:rFonts w:ascii="Times New Roman" w:hAnsi="Times New Roman"/>
                <w:sz w:val="22"/>
              </w:rPr>
            </w:pPr>
            <w:r w:rsidRPr="00C86B34">
              <w:rPr>
                <w:rFonts w:ascii="Times New Roman" w:hAnsi="Times New Roman"/>
                <w:sz w:val="22"/>
              </w:rPr>
              <w:t xml:space="preserve">виготовлення </w:t>
            </w:r>
            <w:proofErr w:type="spellStart"/>
            <w:r w:rsidRPr="00C86B34">
              <w:rPr>
                <w:rFonts w:ascii="Times New Roman" w:hAnsi="Times New Roman"/>
                <w:sz w:val="22"/>
              </w:rPr>
              <w:t>проєктно</w:t>
            </w:r>
            <w:proofErr w:type="spellEnd"/>
            <w:r w:rsidRPr="00C86B34">
              <w:rPr>
                <w:rFonts w:ascii="Times New Roman" w:hAnsi="Times New Roman"/>
                <w:sz w:val="22"/>
              </w:rPr>
              <w:t>—кошторисної документації;</w:t>
            </w:r>
          </w:p>
          <w:p w:rsidR="00E95FB1" w:rsidRPr="00C86B34" w:rsidRDefault="00E95FB1" w:rsidP="000303D7">
            <w:pPr>
              <w:pStyle w:val="afc"/>
              <w:numPr>
                <w:ilvl w:val="0"/>
                <w:numId w:val="38"/>
              </w:numPr>
              <w:spacing w:line="240" w:lineRule="auto"/>
              <w:rPr>
                <w:rFonts w:ascii="Times New Roman" w:hAnsi="Times New Roman"/>
                <w:sz w:val="22"/>
              </w:rPr>
            </w:pPr>
            <w:r w:rsidRPr="00C86B34">
              <w:rPr>
                <w:rFonts w:ascii="Times New Roman" w:hAnsi="Times New Roman"/>
                <w:color w:val="000000"/>
                <w:sz w:val="22"/>
              </w:rPr>
              <w:t>визначення підрядної організації для проведення будівельних робіт;</w:t>
            </w:r>
          </w:p>
          <w:p w:rsidR="00E95FB1" w:rsidRPr="00C86B34" w:rsidRDefault="00E95FB1" w:rsidP="000303D7">
            <w:pPr>
              <w:pStyle w:val="afc"/>
              <w:numPr>
                <w:ilvl w:val="0"/>
                <w:numId w:val="38"/>
              </w:numPr>
              <w:spacing w:line="240" w:lineRule="auto"/>
              <w:rPr>
                <w:rFonts w:ascii="Times New Roman" w:hAnsi="Times New Roman"/>
                <w:sz w:val="22"/>
              </w:rPr>
            </w:pPr>
            <w:r w:rsidRPr="00C86B34">
              <w:rPr>
                <w:rFonts w:ascii="Times New Roman" w:hAnsi="Times New Roman"/>
                <w:color w:val="000000"/>
                <w:sz w:val="22"/>
              </w:rPr>
              <w:t>виконання будівельних робіт:</w:t>
            </w:r>
          </w:p>
          <w:p w:rsidR="00E95FB1" w:rsidRPr="00C86B34" w:rsidRDefault="00E95FB1" w:rsidP="001B3967">
            <w:pPr>
              <w:ind w:firstLine="966"/>
              <w:rPr>
                <w:sz w:val="22"/>
              </w:rPr>
            </w:pPr>
            <w:r w:rsidRPr="00C86B34">
              <w:rPr>
                <w:sz w:val="22"/>
              </w:rPr>
              <w:t>заміна вікон;</w:t>
            </w:r>
          </w:p>
          <w:p w:rsidR="00E95FB1" w:rsidRPr="00C86B34" w:rsidRDefault="00E95FB1" w:rsidP="001B3967">
            <w:pPr>
              <w:ind w:firstLine="966"/>
              <w:rPr>
                <w:sz w:val="22"/>
              </w:rPr>
            </w:pPr>
            <w:r w:rsidRPr="00C86B34">
              <w:rPr>
                <w:sz w:val="22"/>
              </w:rPr>
              <w:t>ремонт даху та внутрішніх стін;</w:t>
            </w:r>
          </w:p>
          <w:p w:rsidR="00E95FB1" w:rsidRPr="00C86B34" w:rsidRDefault="00E95FB1" w:rsidP="001B3967">
            <w:pPr>
              <w:ind w:firstLine="966"/>
              <w:rPr>
                <w:sz w:val="22"/>
              </w:rPr>
            </w:pPr>
            <w:r w:rsidRPr="00C86B34">
              <w:rPr>
                <w:sz w:val="22"/>
              </w:rPr>
              <w:t>реконструкція системи опалення та інженерних мереж;</w:t>
            </w:r>
          </w:p>
          <w:p w:rsidR="00E95FB1" w:rsidRPr="00C86B34" w:rsidRDefault="00E95FB1" w:rsidP="001B3967">
            <w:pPr>
              <w:ind w:firstLine="966"/>
              <w:rPr>
                <w:sz w:val="22"/>
              </w:rPr>
            </w:pPr>
            <w:r w:rsidRPr="00C86B34">
              <w:rPr>
                <w:sz w:val="22"/>
              </w:rPr>
              <w:lastRenderedPageBreak/>
              <w:t>облаштування  системи рекуперації повітря;</w:t>
            </w:r>
          </w:p>
          <w:p w:rsidR="00E95FB1" w:rsidRPr="00C86B34" w:rsidRDefault="00E95FB1" w:rsidP="001B3967">
            <w:pPr>
              <w:ind w:firstLine="966"/>
              <w:rPr>
                <w:sz w:val="22"/>
              </w:rPr>
            </w:pPr>
            <w:r w:rsidRPr="00C86B34">
              <w:rPr>
                <w:sz w:val="22"/>
              </w:rPr>
              <w:t>ремонт внутрішніх приміщень;</w:t>
            </w:r>
          </w:p>
          <w:p w:rsidR="00E95FB1" w:rsidRPr="00C86B34" w:rsidRDefault="00E95FB1" w:rsidP="001B3967">
            <w:pPr>
              <w:ind w:firstLine="966"/>
              <w:rPr>
                <w:sz w:val="22"/>
              </w:rPr>
            </w:pPr>
            <w:r w:rsidRPr="00C86B34">
              <w:rPr>
                <w:sz w:val="22"/>
              </w:rPr>
              <w:t>заміна підлогового покриття;</w:t>
            </w:r>
          </w:p>
          <w:p w:rsidR="00E95FB1" w:rsidRPr="00C86B34" w:rsidRDefault="00E95FB1" w:rsidP="001B3967">
            <w:pPr>
              <w:ind w:firstLine="966"/>
              <w:rPr>
                <w:sz w:val="22"/>
              </w:rPr>
            </w:pPr>
            <w:r w:rsidRPr="00C86B34">
              <w:rPr>
                <w:sz w:val="22"/>
              </w:rPr>
              <w:t xml:space="preserve">встановлення </w:t>
            </w:r>
            <w:proofErr w:type="spellStart"/>
            <w:r w:rsidRPr="00C86B34">
              <w:rPr>
                <w:sz w:val="22"/>
              </w:rPr>
              <w:t>геліосистеми</w:t>
            </w:r>
            <w:proofErr w:type="spellEnd"/>
            <w:r w:rsidRPr="00C86B34">
              <w:rPr>
                <w:sz w:val="22"/>
              </w:rPr>
              <w:t xml:space="preserve"> (для підігріву води);</w:t>
            </w:r>
          </w:p>
          <w:p w:rsidR="00E95FB1" w:rsidRPr="00C86B34" w:rsidRDefault="00E95FB1" w:rsidP="001B3967">
            <w:pPr>
              <w:ind w:firstLine="966"/>
              <w:rPr>
                <w:sz w:val="22"/>
              </w:rPr>
            </w:pPr>
            <w:r w:rsidRPr="00C86B34">
              <w:rPr>
                <w:sz w:val="22"/>
              </w:rPr>
              <w:t xml:space="preserve">встановлення на даху сонячних </w:t>
            </w:r>
            <w:proofErr w:type="spellStart"/>
            <w:r w:rsidRPr="00C86B34">
              <w:rPr>
                <w:sz w:val="22"/>
              </w:rPr>
              <w:t>батарей</w:t>
            </w:r>
            <w:proofErr w:type="spellEnd"/>
            <w:r w:rsidRPr="00C86B34">
              <w:rPr>
                <w:sz w:val="22"/>
              </w:rPr>
              <w:t>;</w:t>
            </w:r>
          </w:p>
          <w:p w:rsidR="00E95FB1" w:rsidRPr="00C86B34" w:rsidRDefault="00E95FB1" w:rsidP="001B3967">
            <w:pPr>
              <w:ind w:firstLine="966"/>
              <w:rPr>
                <w:sz w:val="22"/>
              </w:rPr>
            </w:pPr>
            <w:r w:rsidRPr="00C86B34">
              <w:rPr>
                <w:sz w:val="22"/>
              </w:rPr>
              <w:t>облаштування доступу осіб з інвалідністю до роздягальнь, туалетів, душових;</w:t>
            </w:r>
          </w:p>
          <w:p w:rsidR="00E95FB1" w:rsidRPr="00C86B34" w:rsidRDefault="00E95FB1" w:rsidP="001B3967">
            <w:pPr>
              <w:ind w:firstLine="966"/>
              <w:rPr>
                <w:sz w:val="22"/>
              </w:rPr>
            </w:pPr>
            <w:r w:rsidRPr="00C86B34">
              <w:rPr>
                <w:sz w:val="22"/>
              </w:rPr>
              <w:t xml:space="preserve">облаштування системи </w:t>
            </w:r>
            <w:proofErr w:type="spellStart"/>
            <w:r w:rsidRPr="00C86B34">
              <w:rPr>
                <w:sz w:val="22"/>
              </w:rPr>
              <w:t>відеонагляду</w:t>
            </w:r>
            <w:proofErr w:type="spellEnd"/>
            <w:r w:rsidRPr="00C86B34">
              <w:rPr>
                <w:sz w:val="22"/>
              </w:rPr>
              <w:t xml:space="preserve"> та відеоспостереження;</w:t>
            </w:r>
          </w:p>
          <w:p w:rsidR="00E95FB1" w:rsidRPr="00C86B34" w:rsidRDefault="00E95FB1" w:rsidP="001B3967">
            <w:pPr>
              <w:ind w:firstLine="966"/>
              <w:rPr>
                <w:sz w:val="22"/>
              </w:rPr>
            </w:pPr>
            <w:r w:rsidRPr="00C86B34">
              <w:rPr>
                <w:sz w:val="22"/>
              </w:rPr>
              <w:t>благоустрій  прилеглої території.</w:t>
            </w:r>
          </w:p>
          <w:p w:rsidR="00E95FB1" w:rsidRPr="00C86B34" w:rsidRDefault="00E95FB1" w:rsidP="000303D7">
            <w:pPr>
              <w:numPr>
                <w:ilvl w:val="0"/>
                <w:numId w:val="39"/>
              </w:numPr>
              <w:ind w:left="116" w:firstLine="142"/>
              <w:rPr>
                <w:sz w:val="22"/>
              </w:rPr>
            </w:pPr>
            <w:r w:rsidRPr="00C86B34">
              <w:rPr>
                <w:sz w:val="22"/>
              </w:rPr>
              <w:t>придбання килиму для боротьби, матів для дзюдо, необхідного знаряддя для ведення тренувального процесу;</w:t>
            </w:r>
          </w:p>
          <w:p w:rsidR="00E95FB1" w:rsidRPr="00C86B34" w:rsidRDefault="00E95FB1" w:rsidP="000303D7">
            <w:pPr>
              <w:numPr>
                <w:ilvl w:val="0"/>
                <w:numId w:val="39"/>
              </w:numPr>
              <w:ind w:left="116" w:firstLine="142"/>
              <w:rPr>
                <w:rFonts w:eastAsia="Calibri"/>
                <w:color w:val="000000"/>
                <w:sz w:val="22"/>
              </w:rPr>
            </w:pPr>
            <w:r w:rsidRPr="00C86B34">
              <w:rPr>
                <w:rFonts w:eastAsia="Calibri"/>
                <w:color w:val="000000"/>
                <w:sz w:val="22"/>
              </w:rPr>
              <w:t>введення споруди в експлуатацію та її експлуатація за призначенням</w:t>
            </w:r>
          </w:p>
        </w:tc>
      </w:tr>
      <w:tr w:rsidR="00E95FB1" w:rsidRPr="00C86B34" w:rsidTr="001B3967">
        <w:trPr>
          <w:trHeight w:val="386"/>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lastRenderedPageBreak/>
              <w:t>Орієнтовний обсяг та джерела фінансування тис. гривень</w:t>
            </w:r>
          </w:p>
        </w:tc>
        <w:tc>
          <w:tcPr>
            <w:tcW w:w="1932"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Державний бюджет</w:t>
            </w:r>
          </w:p>
        </w:tc>
        <w:tc>
          <w:tcPr>
            <w:tcW w:w="1254"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Місцевий бюджет</w:t>
            </w:r>
          </w:p>
        </w:tc>
        <w:tc>
          <w:tcPr>
            <w:tcW w:w="2508" w:type="dxa"/>
            <w:gridSpan w:val="4"/>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Інші джерела</w:t>
            </w:r>
          </w:p>
        </w:tc>
        <w:tc>
          <w:tcPr>
            <w:tcW w:w="1495"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Всього</w:t>
            </w:r>
          </w:p>
        </w:tc>
      </w:tr>
      <w:tr w:rsidR="00E95FB1" w:rsidRPr="00C86B34" w:rsidTr="001B3967">
        <w:trPr>
          <w:trHeight w:val="386"/>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1932"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254"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254"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Обсяг</w:t>
            </w:r>
          </w:p>
        </w:tc>
        <w:tc>
          <w:tcPr>
            <w:tcW w:w="1254"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Назва джерела</w:t>
            </w:r>
          </w:p>
        </w:tc>
        <w:tc>
          <w:tcPr>
            <w:tcW w:w="1495" w:type="dxa"/>
            <w:vMerge/>
            <w:vAlign w:val="center"/>
          </w:tcPr>
          <w:p w:rsidR="00E95FB1" w:rsidRPr="00C86B34" w:rsidRDefault="00E95FB1" w:rsidP="001B3967">
            <w:pPr>
              <w:autoSpaceDE w:val="0"/>
              <w:autoSpaceDN w:val="0"/>
              <w:adjustRightInd w:val="0"/>
              <w:jc w:val="center"/>
              <w:rPr>
                <w:rFonts w:eastAsia="Calibri"/>
                <w:b/>
                <w:color w:val="000000"/>
                <w:sz w:val="22"/>
              </w:rPr>
            </w:pPr>
          </w:p>
        </w:tc>
      </w:tr>
      <w:tr w:rsidR="00E95FB1" w:rsidRPr="00C86B34" w:rsidTr="001B3967">
        <w:trPr>
          <w:trHeight w:val="386"/>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1932"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15 000,0</w:t>
            </w:r>
          </w:p>
        </w:tc>
        <w:tc>
          <w:tcPr>
            <w:tcW w:w="1254" w:type="dxa"/>
          </w:tcPr>
          <w:p w:rsidR="00E95FB1" w:rsidRPr="00C86B34" w:rsidRDefault="00E95FB1" w:rsidP="001B3967">
            <w:pPr>
              <w:autoSpaceDE w:val="0"/>
              <w:autoSpaceDN w:val="0"/>
              <w:adjustRightInd w:val="0"/>
              <w:jc w:val="center"/>
              <w:rPr>
                <w:rFonts w:eastAsia="Calibri"/>
                <w:color w:val="000000"/>
                <w:sz w:val="22"/>
              </w:rPr>
            </w:pPr>
          </w:p>
        </w:tc>
        <w:tc>
          <w:tcPr>
            <w:tcW w:w="1254" w:type="dxa"/>
            <w:gridSpan w:val="2"/>
          </w:tcPr>
          <w:p w:rsidR="00E95FB1" w:rsidRPr="00C86B34" w:rsidRDefault="00E95FB1" w:rsidP="001B3967">
            <w:pPr>
              <w:autoSpaceDE w:val="0"/>
              <w:autoSpaceDN w:val="0"/>
              <w:adjustRightInd w:val="0"/>
              <w:jc w:val="center"/>
              <w:rPr>
                <w:rFonts w:eastAsia="Calibri"/>
                <w:color w:val="000000"/>
                <w:sz w:val="22"/>
              </w:rPr>
            </w:pPr>
          </w:p>
        </w:tc>
        <w:tc>
          <w:tcPr>
            <w:tcW w:w="1254" w:type="dxa"/>
            <w:gridSpan w:val="2"/>
          </w:tcPr>
          <w:p w:rsidR="00E95FB1" w:rsidRPr="00C86B34" w:rsidRDefault="00E95FB1" w:rsidP="001B3967">
            <w:pPr>
              <w:autoSpaceDE w:val="0"/>
              <w:autoSpaceDN w:val="0"/>
              <w:adjustRightInd w:val="0"/>
              <w:jc w:val="center"/>
              <w:rPr>
                <w:rFonts w:eastAsia="Calibri"/>
                <w:color w:val="000000"/>
                <w:sz w:val="22"/>
              </w:rPr>
            </w:pPr>
          </w:p>
        </w:tc>
        <w:tc>
          <w:tcPr>
            <w:tcW w:w="1495"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15 000,0</w:t>
            </w:r>
          </w:p>
        </w:tc>
      </w:tr>
      <w:tr w:rsidR="00E95FB1" w:rsidRPr="00C86B34" w:rsidTr="001B3967">
        <w:trPr>
          <w:trHeight w:val="386"/>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b/>
                <w:sz w:val="22"/>
              </w:rPr>
              <w:t xml:space="preserve">Ключові потенційні учасники </w:t>
            </w:r>
            <w:proofErr w:type="spellStart"/>
            <w:r w:rsidRPr="00C86B34">
              <w:rPr>
                <w:b/>
                <w:sz w:val="22"/>
              </w:rPr>
              <w:t>проєкту</w:t>
            </w:r>
            <w:proofErr w:type="spellEnd"/>
          </w:p>
        </w:tc>
        <w:tc>
          <w:tcPr>
            <w:tcW w:w="7189" w:type="dxa"/>
            <w:gridSpan w:val="7"/>
          </w:tcPr>
          <w:p w:rsidR="00E95FB1" w:rsidRPr="00C86B34" w:rsidRDefault="00E95FB1" w:rsidP="001B3967">
            <w:pPr>
              <w:ind w:left="753" w:hanging="567"/>
              <w:rPr>
                <w:sz w:val="22"/>
              </w:rPr>
            </w:pPr>
            <w:r w:rsidRPr="00C86B34">
              <w:rPr>
                <w:sz w:val="22"/>
              </w:rPr>
              <w:t xml:space="preserve">1. Військова адміністрація міста. </w:t>
            </w:r>
          </w:p>
          <w:p w:rsidR="00E95FB1" w:rsidRPr="00C86B34" w:rsidRDefault="00E95FB1" w:rsidP="001B3967">
            <w:pPr>
              <w:tabs>
                <w:tab w:val="left" w:pos="720"/>
              </w:tabs>
              <w:ind w:left="753" w:hanging="567"/>
              <w:rPr>
                <w:sz w:val="22"/>
              </w:rPr>
            </w:pPr>
            <w:r w:rsidRPr="00C86B34">
              <w:rPr>
                <w:sz w:val="22"/>
              </w:rPr>
              <w:t>2. Відділ капітального будівництва військової адміністрації міста.</w:t>
            </w:r>
          </w:p>
          <w:p w:rsidR="00E95FB1" w:rsidRPr="00C86B34" w:rsidRDefault="00E95FB1" w:rsidP="001B3967">
            <w:pPr>
              <w:tabs>
                <w:tab w:val="left" w:pos="720"/>
              </w:tabs>
              <w:ind w:left="753" w:hanging="567"/>
              <w:rPr>
                <w:sz w:val="22"/>
              </w:rPr>
            </w:pPr>
            <w:r w:rsidRPr="00C86B34">
              <w:rPr>
                <w:sz w:val="22"/>
              </w:rPr>
              <w:t>3. Підрядна організація - переможець тендеру, виконавець будівельно-монтажних робіт.</w:t>
            </w:r>
          </w:p>
          <w:p w:rsidR="00E95FB1" w:rsidRPr="00C86B34" w:rsidRDefault="00E95FB1" w:rsidP="001B3967">
            <w:pPr>
              <w:tabs>
                <w:tab w:val="left" w:pos="720"/>
              </w:tabs>
              <w:ind w:left="753" w:hanging="567"/>
              <w:rPr>
                <w:sz w:val="22"/>
              </w:rPr>
            </w:pPr>
            <w:r w:rsidRPr="00C86B34">
              <w:rPr>
                <w:sz w:val="22"/>
              </w:rPr>
              <w:t>4. Обласна державна адміністрація.</w:t>
            </w:r>
          </w:p>
          <w:p w:rsidR="00E95FB1" w:rsidRPr="00C86B34" w:rsidRDefault="00E95FB1" w:rsidP="001B3967">
            <w:pPr>
              <w:autoSpaceDE w:val="0"/>
              <w:autoSpaceDN w:val="0"/>
              <w:adjustRightInd w:val="0"/>
              <w:ind w:left="753" w:hanging="567"/>
              <w:rPr>
                <w:rFonts w:eastAsia="Calibri"/>
                <w:color w:val="000000"/>
                <w:sz w:val="22"/>
              </w:rPr>
            </w:pPr>
            <w:r w:rsidRPr="00C86B34">
              <w:rPr>
                <w:sz w:val="22"/>
              </w:rPr>
              <w:t>5. Інвестори та меценати спортивної галузі</w:t>
            </w:r>
          </w:p>
        </w:tc>
      </w:tr>
    </w:tbl>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tbl>
      <w:tblPr>
        <w:tblpPr w:leftFromText="180" w:rightFromText="180" w:vertAnchor="text" w:horzAnchor="page" w:tblpX="1397" w:tblpY="123"/>
        <w:tblW w:w="9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724"/>
        <w:gridCol w:w="1631"/>
        <w:gridCol w:w="1168"/>
        <w:gridCol w:w="886"/>
        <w:gridCol w:w="283"/>
        <w:gridCol w:w="1168"/>
        <w:gridCol w:w="108"/>
        <w:gridCol w:w="1985"/>
      </w:tblGrid>
      <w:tr w:rsidR="00E95FB1" w:rsidRPr="00C86B34" w:rsidTr="001B3967">
        <w:trPr>
          <w:trHeight w:val="270"/>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Оперативна ціль/завдання</w:t>
            </w:r>
          </w:p>
        </w:tc>
        <w:tc>
          <w:tcPr>
            <w:tcW w:w="7229" w:type="dxa"/>
            <w:gridSpan w:val="7"/>
          </w:tcPr>
          <w:p w:rsidR="00E95FB1" w:rsidRPr="00C86B34" w:rsidRDefault="003742ED" w:rsidP="001B3967">
            <w:pPr>
              <w:pStyle w:val="a7"/>
              <w:ind w:left="0"/>
              <w:rPr>
                <w:sz w:val="22"/>
              </w:rPr>
            </w:pPr>
            <w:r w:rsidRPr="00C86B34">
              <w:rPr>
                <w:rFonts w:eastAsia="Arial"/>
                <w:sz w:val="22"/>
              </w:rPr>
              <w:t xml:space="preserve">Людський розвиток </w:t>
            </w:r>
            <w:r w:rsidR="00E95FB1" w:rsidRPr="00C86B34">
              <w:rPr>
                <w:rFonts w:eastAsia="Arial"/>
                <w:sz w:val="22"/>
              </w:rPr>
              <w:t xml:space="preserve">через інновації управління та довіру до влади. Формування сучасного інклюзивного </w:t>
            </w:r>
            <w:proofErr w:type="spellStart"/>
            <w:r w:rsidR="00E95FB1" w:rsidRPr="00C86B34">
              <w:rPr>
                <w:rFonts w:eastAsia="Arial"/>
                <w:sz w:val="22"/>
              </w:rPr>
              <w:t>освітньо</w:t>
            </w:r>
            <w:proofErr w:type="spellEnd"/>
            <w:r w:rsidR="00E95FB1" w:rsidRPr="00C86B34">
              <w:rPr>
                <w:rFonts w:eastAsia="Arial"/>
                <w:sz w:val="22"/>
              </w:rPr>
              <w:t xml:space="preserve"> – культурного та спортивного простору для розвитку</w:t>
            </w:r>
            <w:r w:rsidR="00E95FB1" w:rsidRPr="00C86B34">
              <w:rPr>
                <w:rFonts w:eastAsia="Calibri"/>
                <w:color w:val="000000"/>
                <w:sz w:val="22"/>
              </w:rPr>
              <w:t xml:space="preserve"> </w:t>
            </w:r>
          </w:p>
        </w:tc>
      </w:tr>
      <w:tr w:rsidR="00E95FB1" w:rsidRPr="00C86B34" w:rsidTr="001B3967">
        <w:trPr>
          <w:trHeight w:val="291"/>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Назва проекту:</w:t>
            </w:r>
          </w:p>
        </w:tc>
        <w:tc>
          <w:tcPr>
            <w:tcW w:w="7229" w:type="dxa"/>
            <w:gridSpan w:val="7"/>
          </w:tcPr>
          <w:p w:rsidR="00E95FB1" w:rsidRPr="00C86B34" w:rsidRDefault="00E95FB1" w:rsidP="001B3967">
            <w:pPr>
              <w:autoSpaceDE w:val="0"/>
              <w:autoSpaceDN w:val="0"/>
              <w:adjustRightInd w:val="0"/>
              <w:ind w:left="49" w:right="116"/>
              <w:rPr>
                <w:rFonts w:eastAsia="Calibri"/>
                <w:color w:val="000000"/>
                <w:sz w:val="22"/>
              </w:rPr>
            </w:pPr>
            <w:r w:rsidRPr="00C86B34">
              <w:rPr>
                <w:sz w:val="22"/>
              </w:rPr>
              <w:t>Будівництво стадіону з комплексом спортивних майданчиків, розташованих в кварталі 49 а міста Сєвєродонецька</w:t>
            </w:r>
          </w:p>
        </w:tc>
      </w:tr>
      <w:tr w:rsidR="00E95FB1" w:rsidRPr="00C86B34" w:rsidTr="001B3967">
        <w:trPr>
          <w:trHeight w:val="346"/>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Ціль проекту</w:t>
            </w:r>
          </w:p>
        </w:tc>
        <w:tc>
          <w:tcPr>
            <w:tcW w:w="7229" w:type="dxa"/>
            <w:gridSpan w:val="7"/>
            <w:vAlign w:val="center"/>
          </w:tcPr>
          <w:p w:rsidR="00E95FB1" w:rsidRPr="00C86B34" w:rsidRDefault="00E95FB1" w:rsidP="001B3967">
            <w:pPr>
              <w:autoSpaceDE w:val="0"/>
              <w:autoSpaceDN w:val="0"/>
              <w:adjustRightInd w:val="0"/>
              <w:ind w:left="49" w:right="116"/>
              <w:rPr>
                <w:rFonts w:eastAsia="Calibri"/>
                <w:color w:val="000000"/>
                <w:sz w:val="22"/>
              </w:rPr>
            </w:pPr>
            <w:r w:rsidRPr="00C86B34">
              <w:rPr>
                <w:sz w:val="22"/>
              </w:rPr>
              <w:t xml:space="preserve">Створення безпечних та комфортних умов для заняття фізкультурою та спортом мешканцям громади, у т. ч. особами з особливими потребами,  покращення здоров’я жителів громади шляхом проведення реабілітаційних заходів, метою яких є відновлення фізичного та психічного здоров'я людини, порушених  внаслідок військового вторгнення </w:t>
            </w:r>
            <w:r w:rsidR="003742ED" w:rsidRPr="00C86B34">
              <w:rPr>
                <w:sz w:val="22"/>
              </w:rPr>
              <w:t>РФ</w:t>
            </w:r>
            <w:r w:rsidRPr="00C86B34">
              <w:rPr>
                <w:sz w:val="22"/>
              </w:rPr>
              <w:t xml:space="preserve"> на територію України, формування здорового способу життя, популяризація фізичної культури та спорту.</w:t>
            </w:r>
          </w:p>
        </w:tc>
      </w:tr>
      <w:tr w:rsidR="00E95FB1" w:rsidRPr="00C86B34" w:rsidTr="001B3967">
        <w:trPr>
          <w:trHeight w:val="291"/>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Територія, на яку матиме вплив реалізація проекту</w:t>
            </w:r>
          </w:p>
        </w:tc>
        <w:tc>
          <w:tcPr>
            <w:tcW w:w="7229" w:type="dxa"/>
            <w:gridSpan w:val="7"/>
            <w:vAlign w:val="center"/>
          </w:tcPr>
          <w:p w:rsidR="00E95FB1" w:rsidRPr="00C86B34" w:rsidRDefault="00E95FB1" w:rsidP="001B3967">
            <w:pPr>
              <w:autoSpaceDE w:val="0"/>
              <w:autoSpaceDN w:val="0"/>
              <w:adjustRightInd w:val="0"/>
              <w:ind w:left="49" w:right="116"/>
              <w:rPr>
                <w:rFonts w:eastAsia="Calibri"/>
                <w:color w:val="000000"/>
                <w:sz w:val="22"/>
              </w:rPr>
            </w:pPr>
            <w:r w:rsidRPr="00C86B34">
              <w:rPr>
                <w:rFonts w:eastAsia="Calibri"/>
                <w:color w:val="000000"/>
                <w:sz w:val="22"/>
              </w:rPr>
              <w:t>Сєвєродонецька міська територіальна громада.</w:t>
            </w:r>
          </w:p>
        </w:tc>
      </w:tr>
      <w:tr w:rsidR="00E95FB1" w:rsidRPr="00C86B34" w:rsidTr="001B3967">
        <w:trPr>
          <w:trHeight w:val="583"/>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Чисельність населення, на яке матиме вплив реалізація проекту</w:t>
            </w:r>
          </w:p>
        </w:tc>
        <w:tc>
          <w:tcPr>
            <w:tcW w:w="7229" w:type="dxa"/>
            <w:gridSpan w:val="7"/>
            <w:vAlign w:val="center"/>
          </w:tcPr>
          <w:p w:rsidR="00E95FB1" w:rsidRPr="00C86B34" w:rsidRDefault="003742ED" w:rsidP="001B3967">
            <w:pPr>
              <w:autoSpaceDE w:val="0"/>
              <w:autoSpaceDN w:val="0"/>
              <w:adjustRightInd w:val="0"/>
              <w:rPr>
                <w:rFonts w:eastAsia="@Malgun Gothic"/>
                <w:sz w:val="22"/>
              </w:rPr>
            </w:pPr>
            <w:r w:rsidRPr="00C86B34">
              <w:rPr>
                <w:rFonts w:eastAsia="BatangChe"/>
                <w:sz w:val="22"/>
              </w:rPr>
              <w:t>70 000</w:t>
            </w:r>
            <w:r w:rsidR="00E95FB1" w:rsidRPr="00C86B34">
              <w:rPr>
                <w:rFonts w:eastAsia="BatangChe"/>
                <w:sz w:val="22"/>
              </w:rPr>
              <w:t xml:space="preserve"> </w:t>
            </w:r>
          </w:p>
        </w:tc>
      </w:tr>
      <w:tr w:rsidR="00E95FB1" w:rsidRPr="00C86B34" w:rsidTr="001B3967">
        <w:trPr>
          <w:trHeight w:val="314"/>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Опис проблеми, на вирішення якої спрямований проект</w:t>
            </w:r>
          </w:p>
        </w:tc>
        <w:tc>
          <w:tcPr>
            <w:tcW w:w="7229" w:type="dxa"/>
            <w:gridSpan w:val="7"/>
          </w:tcPr>
          <w:p w:rsidR="00E95FB1" w:rsidRPr="00C86B34" w:rsidRDefault="00E95FB1" w:rsidP="001B3967">
            <w:pPr>
              <w:ind w:firstLine="567"/>
              <w:rPr>
                <w:color w:val="000000"/>
                <w:spacing w:val="2"/>
                <w:sz w:val="22"/>
                <w:shd w:val="clear" w:color="auto" w:fill="FFFFFF"/>
              </w:rPr>
            </w:pPr>
            <w:r w:rsidRPr="00C86B34">
              <w:rPr>
                <w:color w:val="000000"/>
                <w:spacing w:val="2"/>
                <w:sz w:val="22"/>
                <w:shd w:val="clear" w:color="auto" w:fill="FFFFFF"/>
              </w:rPr>
              <w:t>Залучення широких верств населення до занять фізичною культурою, стан його здоров'я та успіхи на міжнародних змаганнях є безперечним доказом життєздатності та духовної сили будь-якої нації. Для того</w:t>
            </w:r>
            <w:r w:rsidR="00FF40C4" w:rsidRPr="00C86B34">
              <w:rPr>
                <w:color w:val="000000"/>
                <w:spacing w:val="2"/>
                <w:sz w:val="22"/>
                <w:shd w:val="clear" w:color="auto" w:fill="FFFFFF"/>
              </w:rPr>
              <w:t>,</w:t>
            </w:r>
            <w:r w:rsidRPr="00C86B34">
              <w:rPr>
                <w:color w:val="000000"/>
                <w:spacing w:val="2"/>
                <w:sz w:val="22"/>
                <w:shd w:val="clear" w:color="auto" w:fill="FFFFFF"/>
              </w:rPr>
              <w:t xml:space="preserve"> щоб у широких мас з'явився інтерес до заняття фізичною культурою і спортом</w:t>
            </w:r>
            <w:r w:rsidR="00FF40C4" w:rsidRPr="00C86B34">
              <w:rPr>
                <w:color w:val="000000"/>
                <w:spacing w:val="2"/>
                <w:sz w:val="22"/>
                <w:shd w:val="clear" w:color="auto" w:fill="FFFFFF"/>
              </w:rPr>
              <w:t>,</w:t>
            </w:r>
            <w:r w:rsidRPr="00C86B34">
              <w:rPr>
                <w:color w:val="000000"/>
                <w:spacing w:val="2"/>
                <w:sz w:val="22"/>
                <w:shd w:val="clear" w:color="auto" w:fill="FFFFFF"/>
              </w:rPr>
              <w:t xml:space="preserve"> необхідно мати відповідну інфраструктуру.</w:t>
            </w:r>
          </w:p>
          <w:p w:rsidR="00E95FB1" w:rsidRPr="00C86B34" w:rsidRDefault="00E95FB1" w:rsidP="001B3967">
            <w:pPr>
              <w:ind w:firstLine="567"/>
              <w:rPr>
                <w:sz w:val="22"/>
              </w:rPr>
            </w:pPr>
            <w:r w:rsidRPr="00C86B34">
              <w:rPr>
                <w:color w:val="000000"/>
                <w:spacing w:val="2"/>
                <w:sz w:val="22"/>
                <w:shd w:val="clear" w:color="auto" w:fill="FFFFFF"/>
              </w:rPr>
              <w:t xml:space="preserve">В 2021 році розпочалось будівництво </w:t>
            </w:r>
            <w:r w:rsidRPr="00C86B34">
              <w:rPr>
                <w:sz w:val="22"/>
              </w:rPr>
              <w:t xml:space="preserve">стадіону з комплексом спортивних майданчиків, розташованих в кварталі 49 а міста, відкриття  якого планувалось у 2022 році. Однак з початком військової агресії </w:t>
            </w:r>
            <w:r w:rsidR="00FF40C4" w:rsidRPr="00C86B34">
              <w:rPr>
                <w:sz w:val="22"/>
              </w:rPr>
              <w:t>РФ</w:t>
            </w:r>
            <w:r w:rsidRPr="00C86B34">
              <w:rPr>
                <w:sz w:val="22"/>
              </w:rPr>
              <w:t xml:space="preserve"> проти України всі роботи були припиненні, велика кількість мешканців громади  були вимушені евакуюватись в інші регіони країни та за її межі. Велика кількість інфраструктури міста зазнали пошкоджень та руйнувань.</w:t>
            </w:r>
          </w:p>
          <w:p w:rsidR="00E95FB1" w:rsidRPr="00C86B34" w:rsidRDefault="00E95FB1" w:rsidP="001B3967">
            <w:pPr>
              <w:ind w:firstLine="567"/>
              <w:rPr>
                <w:sz w:val="22"/>
              </w:rPr>
            </w:pPr>
            <w:r w:rsidRPr="00C86B34">
              <w:rPr>
                <w:sz w:val="22"/>
              </w:rPr>
              <w:lastRenderedPageBreak/>
              <w:t xml:space="preserve">Після </w:t>
            </w:r>
            <w:proofErr w:type="spellStart"/>
            <w:r w:rsidRPr="00C86B34">
              <w:rPr>
                <w:sz w:val="22"/>
              </w:rPr>
              <w:t>деокупації</w:t>
            </w:r>
            <w:proofErr w:type="spellEnd"/>
            <w:r w:rsidRPr="00C86B34">
              <w:rPr>
                <w:sz w:val="22"/>
              </w:rPr>
              <w:t xml:space="preserve"> території та початком відбудови міста постане питання щодо реабілітації мешканців громади як в фізичному</w:t>
            </w:r>
            <w:r w:rsidR="00FF40C4" w:rsidRPr="00C86B34">
              <w:rPr>
                <w:sz w:val="22"/>
              </w:rPr>
              <w:t>,</w:t>
            </w:r>
            <w:r w:rsidRPr="00C86B34">
              <w:rPr>
                <w:sz w:val="22"/>
              </w:rPr>
              <w:t xml:space="preserve"> так і в психологічному плані. Для цього необхідно мати відповідну інфраструктуру. Завершення будівництва стадіону з комплексом спортивних майданчиків задовольнить попит громадян на ведення здорового способу життя. </w:t>
            </w:r>
          </w:p>
          <w:p w:rsidR="00E95FB1" w:rsidRPr="00C86B34" w:rsidRDefault="00E95FB1" w:rsidP="001B3967">
            <w:pPr>
              <w:ind w:firstLine="567"/>
              <w:rPr>
                <w:sz w:val="22"/>
              </w:rPr>
            </w:pPr>
            <w:r w:rsidRPr="00C86B34">
              <w:rPr>
                <w:sz w:val="22"/>
              </w:rPr>
              <w:t>Крім того</w:t>
            </w:r>
            <w:r w:rsidR="00FF40C4" w:rsidRPr="00C86B34">
              <w:rPr>
                <w:sz w:val="22"/>
              </w:rPr>
              <w:t>,</w:t>
            </w:r>
            <w:r w:rsidRPr="00C86B34">
              <w:rPr>
                <w:sz w:val="22"/>
              </w:rPr>
              <w:t xml:space="preserve"> майданчики для тренувань матимуть можливість використовувати вихованці дитячо-юнацьких спортивних шкіл міста.</w:t>
            </w:r>
          </w:p>
          <w:p w:rsidR="00E95FB1" w:rsidRPr="00C86B34" w:rsidRDefault="00E95FB1" w:rsidP="001B3967">
            <w:pPr>
              <w:ind w:firstLine="567"/>
              <w:rPr>
                <w:sz w:val="22"/>
              </w:rPr>
            </w:pPr>
            <w:r w:rsidRPr="00C86B34">
              <w:rPr>
                <w:sz w:val="22"/>
              </w:rPr>
              <w:t>Після закінчення війни потрібно згуртовування населення, одним напрямком якого може бути спорт.</w:t>
            </w:r>
          </w:p>
          <w:p w:rsidR="00E95FB1" w:rsidRPr="00C86B34" w:rsidRDefault="00E95FB1" w:rsidP="001B3967">
            <w:pPr>
              <w:ind w:firstLine="567"/>
              <w:rPr>
                <w:sz w:val="22"/>
              </w:rPr>
            </w:pPr>
          </w:p>
        </w:tc>
      </w:tr>
      <w:tr w:rsidR="00E95FB1" w:rsidRPr="00C86B34" w:rsidTr="001B3967">
        <w:trPr>
          <w:trHeight w:val="530"/>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lastRenderedPageBreak/>
              <w:t>Очікувані якісні результати від реалізації проекту</w:t>
            </w:r>
          </w:p>
        </w:tc>
        <w:tc>
          <w:tcPr>
            <w:tcW w:w="7229" w:type="dxa"/>
            <w:gridSpan w:val="7"/>
          </w:tcPr>
          <w:p w:rsidR="00E95FB1" w:rsidRPr="00C86B34" w:rsidRDefault="00E95FB1" w:rsidP="000303D7">
            <w:pPr>
              <w:numPr>
                <w:ilvl w:val="0"/>
                <w:numId w:val="41"/>
              </w:numPr>
              <w:rPr>
                <w:rFonts w:eastAsia="Arial"/>
                <w:sz w:val="22"/>
              </w:rPr>
            </w:pPr>
            <w:r w:rsidRPr="00C86B34">
              <w:rPr>
                <w:rFonts w:eastAsia="Arial"/>
                <w:sz w:val="22"/>
              </w:rPr>
              <w:t>облаштовано сучасний спортивний простір;</w:t>
            </w:r>
          </w:p>
          <w:p w:rsidR="00E95FB1" w:rsidRPr="00C86B34" w:rsidRDefault="00E95FB1" w:rsidP="000303D7">
            <w:pPr>
              <w:numPr>
                <w:ilvl w:val="0"/>
                <w:numId w:val="41"/>
              </w:numPr>
              <w:rPr>
                <w:rFonts w:eastAsia="Arial"/>
                <w:sz w:val="22"/>
              </w:rPr>
            </w:pPr>
            <w:r w:rsidRPr="00C86B34">
              <w:rPr>
                <w:rFonts w:eastAsia="Arial"/>
                <w:sz w:val="22"/>
              </w:rPr>
              <w:t xml:space="preserve">створено </w:t>
            </w:r>
            <w:r w:rsidRPr="00C86B34">
              <w:rPr>
                <w:sz w:val="22"/>
              </w:rPr>
              <w:t>безпечні та комфортні умови для заняття фізичною культурою та спортом мешканцям громади, у т. ч. особами з особливими потребами;</w:t>
            </w:r>
          </w:p>
          <w:p w:rsidR="00E95FB1" w:rsidRPr="00C86B34" w:rsidRDefault="00E95FB1" w:rsidP="000303D7">
            <w:pPr>
              <w:numPr>
                <w:ilvl w:val="0"/>
                <w:numId w:val="41"/>
              </w:numPr>
              <w:rPr>
                <w:rFonts w:eastAsia="Arial"/>
                <w:sz w:val="22"/>
              </w:rPr>
            </w:pPr>
            <w:r w:rsidRPr="00C86B34">
              <w:rPr>
                <w:sz w:val="22"/>
              </w:rPr>
              <w:t>покращено здоров’я жителів громади шляхом проведення занять з фізичної культури та спорту на свіжому повітрі;</w:t>
            </w:r>
          </w:p>
          <w:p w:rsidR="00E95FB1" w:rsidRPr="00C86B34" w:rsidRDefault="00E95FB1" w:rsidP="000303D7">
            <w:pPr>
              <w:numPr>
                <w:ilvl w:val="0"/>
                <w:numId w:val="41"/>
              </w:numPr>
              <w:rPr>
                <w:rFonts w:eastAsia="Arial"/>
                <w:sz w:val="22"/>
              </w:rPr>
            </w:pPr>
            <w:r w:rsidRPr="00C86B34">
              <w:rPr>
                <w:sz w:val="22"/>
              </w:rPr>
              <w:t>проведення різного рівня різноманітних змагань.</w:t>
            </w:r>
          </w:p>
          <w:p w:rsidR="00E95FB1" w:rsidRPr="00C86B34" w:rsidRDefault="00E95FB1" w:rsidP="000303D7">
            <w:pPr>
              <w:numPr>
                <w:ilvl w:val="0"/>
                <w:numId w:val="41"/>
              </w:numPr>
              <w:rPr>
                <w:rFonts w:eastAsia="Arial"/>
                <w:sz w:val="22"/>
              </w:rPr>
            </w:pPr>
            <w:r w:rsidRPr="00C86B34">
              <w:rPr>
                <w:sz w:val="22"/>
              </w:rPr>
              <w:t>об’єднання громадян за інтересами при занятті спортом;</w:t>
            </w:r>
          </w:p>
          <w:p w:rsidR="00E95FB1" w:rsidRPr="00C86B34" w:rsidRDefault="00E95FB1" w:rsidP="000303D7">
            <w:pPr>
              <w:numPr>
                <w:ilvl w:val="0"/>
                <w:numId w:val="41"/>
              </w:numPr>
              <w:rPr>
                <w:rFonts w:eastAsia="Arial"/>
                <w:sz w:val="22"/>
              </w:rPr>
            </w:pPr>
            <w:r w:rsidRPr="00C86B34">
              <w:rPr>
                <w:sz w:val="22"/>
              </w:rPr>
              <w:t>відновлення фізичного та психічного здоров'я людини;</w:t>
            </w:r>
          </w:p>
          <w:p w:rsidR="00E95FB1" w:rsidRPr="00C86B34" w:rsidRDefault="00E95FB1" w:rsidP="000303D7">
            <w:pPr>
              <w:numPr>
                <w:ilvl w:val="0"/>
                <w:numId w:val="41"/>
              </w:numPr>
              <w:rPr>
                <w:rFonts w:eastAsia="Arial"/>
                <w:sz w:val="22"/>
              </w:rPr>
            </w:pPr>
            <w:r w:rsidRPr="00C86B34">
              <w:rPr>
                <w:sz w:val="22"/>
              </w:rPr>
              <w:t xml:space="preserve">надання повного комплексу послуг мешканцям громади -  від послуг стоянки авто до прийняття душу після тренувань </w:t>
            </w:r>
          </w:p>
        </w:tc>
      </w:tr>
      <w:tr w:rsidR="00E95FB1" w:rsidRPr="00C86B34" w:rsidTr="001B3967">
        <w:trPr>
          <w:trHeight w:val="583"/>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Очікувані кількісні результати від реалізації проекту  (індикатори)</w:t>
            </w:r>
          </w:p>
        </w:tc>
        <w:tc>
          <w:tcPr>
            <w:tcW w:w="3685" w:type="dxa"/>
            <w:gridSpan w:val="3"/>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Найменування показника</w:t>
            </w:r>
          </w:p>
        </w:tc>
        <w:tc>
          <w:tcPr>
            <w:tcW w:w="1559" w:type="dxa"/>
            <w:gridSpan w:val="3"/>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Одиниця вимірювання</w:t>
            </w:r>
          </w:p>
        </w:tc>
        <w:tc>
          <w:tcPr>
            <w:tcW w:w="1985" w:type="dxa"/>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Прогнозне (цільове) значення</w:t>
            </w:r>
          </w:p>
        </w:tc>
      </w:tr>
      <w:tr w:rsidR="00E95FB1" w:rsidRPr="00C86B34" w:rsidTr="001B3967">
        <w:trPr>
          <w:trHeight w:val="291"/>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685" w:type="dxa"/>
            <w:gridSpan w:val="3"/>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кількість облаштованих майданчиків</w:t>
            </w:r>
          </w:p>
        </w:tc>
        <w:tc>
          <w:tcPr>
            <w:tcW w:w="1559" w:type="dxa"/>
            <w:gridSpan w:val="3"/>
          </w:tcPr>
          <w:p w:rsidR="00E95FB1" w:rsidRPr="00C86B34" w:rsidRDefault="00FF40C4" w:rsidP="001B3967">
            <w:pPr>
              <w:autoSpaceDE w:val="0"/>
              <w:autoSpaceDN w:val="0"/>
              <w:adjustRightInd w:val="0"/>
              <w:jc w:val="center"/>
              <w:rPr>
                <w:rFonts w:eastAsia="Calibri"/>
                <w:color w:val="000000"/>
                <w:sz w:val="22"/>
              </w:rPr>
            </w:pPr>
            <w:r w:rsidRPr="00C86B34">
              <w:rPr>
                <w:rFonts w:eastAsia="Calibri"/>
                <w:color w:val="000000"/>
                <w:sz w:val="22"/>
              </w:rPr>
              <w:t>одиниць</w:t>
            </w:r>
          </w:p>
        </w:tc>
        <w:tc>
          <w:tcPr>
            <w:tcW w:w="1985"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12</w:t>
            </w:r>
          </w:p>
        </w:tc>
      </w:tr>
      <w:tr w:rsidR="00E95FB1" w:rsidRPr="00C86B34" w:rsidTr="001B3967">
        <w:trPr>
          <w:trHeight w:val="291"/>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685" w:type="dxa"/>
            <w:gridSpan w:val="3"/>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одночасна пропускна здатність майданчиків</w:t>
            </w:r>
          </w:p>
        </w:tc>
        <w:tc>
          <w:tcPr>
            <w:tcW w:w="1559" w:type="dxa"/>
            <w:gridSpan w:val="3"/>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w:t>
            </w:r>
          </w:p>
        </w:tc>
        <w:tc>
          <w:tcPr>
            <w:tcW w:w="1985"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120</w:t>
            </w:r>
          </w:p>
        </w:tc>
      </w:tr>
      <w:tr w:rsidR="00E95FB1" w:rsidRPr="00C86B34" w:rsidTr="001B3967">
        <w:trPr>
          <w:trHeight w:val="291"/>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685" w:type="dxa"/>
            <w:gridSpan w:val="3"/>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кількість місць на трибунах</w:t>
            </w:r>
          </w:p>
        </w:tc>
        <w:tc>
          <w:tcPr>
            <w:tcW w:w="1559" w:type="dxa"/>
            <w:gridSpan w:val="3"/>
          </w:tcPr>
          <w:p w:rsidR="00E95FB1" w:rsidRPr="00C86B34" w:rsidRDefault="00FF40C4" w:rsidP="001B3967">
            <w:pPr>
              <w:autoSpaceDE w:val="0"/>
              <w:autoSpaceDN w:val="0"/>
              <w:adjustRightInd w:val="0"/>
              <w:jc w:val="center"/>
              <w:rPr>
                <w:rFonts w:eastAsia="Calibri"/>
                <w:color w:val="000000"/>
                <w:sz w:val="22"/>
              </w:rPr>
            </w:pPr>
            <w:r w:rsidRPr="00C86B34">
              <w:rPr>
                <w:rFonts w:eastAsia="Calibri"/>
                <w:color w:val="000000"/>
                <w:sz w:val="22"/>
              </w:rPr>
              <w:t>одиниць</w:t>
            </w:r>
          </w:p>
        </w:tc>
        <w:tc>
          <w:tcPr>
            <w:tcW w:w="1985"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200</w:t>
            </w:r>
          </w:p>
        </w:tc>
      </w:tr>
      <w:tr w:rsidR="00E95FB1" w:rsidRPr="00C86B34" w:rsidTr="001B3967">
        <w:trPr>
          <w:trHeight w:val="291"/>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685" w:type="dxa"/>
            <w:gridSpan w:val="3"/>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кількість учнів-спортсменів</w:t>
            </w:r>
          </w:p>
        </w:tc>
        <w:tc>
          <w:tcPr>
            <w:tcW w:w="1559" w:type="dxa"/>
            <w:gridSpan w:val="3"/>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осіб/день</w:t>
            </w:r>
          </w:p>
        </w:tc>
        <w:tc>
          <w:tcPr>
            <w:tcW w:w="1985"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300</w:t>
            </w:r>
          </w:p>
        </w:tc>
      </w:tr>
      <w:tr w:rsidR="00E95FB1" w:rsidRPr="00C86B34" w:rsidTr="001B3967">
        <w:trPr>
          <w:trHeight w:val="242"/>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685" w:type="dxa"/>
            <w:gridSpan w:val="3"/>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кількість дорослих отримувачів послуг</w:t>
            </w:r>
          </w:p>
        </w:tc>
        <w:tc>
          <w:tcPr>
            <w:tcW w:w="1559" w:type="dxa"/>
            <w:gridSpan w:val="3"/>
            <w:vAlign w:val="center"/>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осіб/день</w:t>
            </w:r>
          </w:p>
        </w:tc>
        <w:tc>
          <w:tcPr>
            <w:tcW w:w="1985"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800</w:t>
            </w:r>
          </w:p>
        </w:tc>
      </w:tr>
      <w:tr w:rsidR="00E95FB1" w:rsidRPr="00C86B34" w:rsidTr="001B3967">
        <w:trPr>
          <w:trHeight w:val="200"/>
        </w:trPr>
        <w:tc>
          <w:tcPr>
            <w:tcW w:w="2724" w:type="dxa"/>
            <w:tcBorders>
              <w:bottom w:val="single" w:sz="4" w:space="0" w:color="auto"/>
            </w:tcBorders>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Ключові заходи проекту:</w:t>
            </w:r>
          </w:p>
        </w:tc>
        <w:tc>
          <w:tcPr>
            <w:tcW w:w="7229" w:type="dxa"/>
            <w:gridSpan w:val="7"/>
          </w:tcPr>
          <w:p w:rsidR="00E95FB1" w:rsidRPr="00C86B34" w:rsidRDefault="00E95FB1" w:rsidP="001B3967">
            <w:pPr>
              <w:rPr>
                <w:rFonts w:eastAsia="Arial"/>
                <w:sz w:val="22"/>
              </w:rPr>
            </w:pPr>
            <w:proofErr w:type="spellStart"/>
            <w:r w:rsidRPr="00C86B34">
              <w:rPr>
                <w:rFonts w:eastAsia="Arial"/>
                <w:sz w:val="22"/>
              </w:rPr>
              <w:t>Проєктом</w:t>
            </w:r>
            <w:proofErr w:type="spellEnd"/>
            <w:r w:rsidRPr="00C86B34">
              <w:rPr>
                <w:rFonts w:eastAsia="Arial"/>
                <w:sz w:val="22"/>
              </w:rPr>
              <w:t xml:space="preserve"> передбачається:</w:t>
            </w:r>
          </w:p>
          <w:p w:rsidR="00E95FB1" w:rsidRPr="00C86B34" w:rsidRDefault="00E95FB1" w:rsidP="001B3967">
            <w:pPr>
              <w:ind w:firstLine="94"/>
              <w:rPr>
                <w:rFonts w:eastAsia="BatangChe"/>
                <w:sz w:val="22"/>
              </w:rPr>
            </w:pPr>
            <w:r w:rsidRPr="00C86B34">
              <w:rPr>
                <w:rFonts w:eastAsia="BatangChe"/>
                <w:sz w:val="22"/>
              </w:rPr>
              <w:t>1. Облаштування спортивних та дитячих майданчиків:</w:t>
            </w:r>
          </w:p>
          <w:p w:rsidR="00E95FB1" w:rsidRPr="00C86B34" w:rsidRDefault="00E95FB1" w:rsidP="001B3967">
            <w:pPr>
              <w:ind w:firstLine="399"/>
              <w:rPr>
                <w:sz w:val="22"/>
              </w:rPr>
            </w:pPr>
            <w:r w:rsidRPr="00C86B34">
              <w:rPr>
                <w:sz w:val="22"/>
              </w:rPr>
              <w:t xml:space="preserve">- футбольного поля ; </w:t>
            </w:r>
          </w:p>
          <w:p w:rsidR="00E95FB1" w:rsidRPr="00C86B34" w:rsidRDefault="00E95FB1" w:rsidP="001B3967">
            <w:pPr>
              <w:ind w:firstLine="399"/>
              <w:rPr>
                <w:sz w:val="22"/>
              </w:rPr>
            </w:pPr>
            <w:r w:rsidRPr="00C86B34">
              <w:rPr>
                <w:sz w:val="22"/>
              </w:rPr>
              <w:t xml:space="preserve">- 4-х тенісних кортів; </w:t>
            </w:r>
          </w:p>
          <w:p w:rsidR="00E95FB1" w:rsidRPr="00C86B34" w:rsidRDefault="00E95FB1" w:rsidP="001B3967">
            <w:pPr>
              <w:ind w:firstLine="399"/>
              <w:rPr>
                <w:sz w:val="22"/>
              </w:rPr>
            </w:pPr>
            <w:r w:rsidRPr="00C86B34">
              <w:rPr>
                <w:sz w:val="22"/>
              </w:rPr>
              <w:t xml:space="preserve">- баскетбольного майданчика; </w:t>
            </w:r>
          </w:p>
          <w:p w:rsidR="00E95FB1" w:rsidRPr="00C86B34" w:rsidRDefault="00E95FB1" w:rsidP="001B3967">
            <w:pPr>
              <w:ind w:firstLine="399"/>
              <w:rPr>
                <w:sz w:val="22"/>
              </w:rPr>
            </w:pPr>
            <w:r w:rsidRPr="00C86B34">
              <w:rPr>
                <w:sz w:val="22"/>
              </w:rPr>
              <w:t xml:space="preserve">- волейбольного майданчика; </w:t>
            </w:r>
          </w:p>
          <w:p w:rsidR="00E95FB1" w:rsidRPr="00C86B34" w:rsidRDefault="00E95FB1" w:rsidP="001B3967">
            <w:pPr>
              <w:ind w:firstLine="399"/>
              <w:rPr>
                <w:sz w:val="22"/>
              </w:rPr>
            </w:pPr>
            <w:r w:rsidRPr="00C86B34">
              <w:rPr>
                <w:sz w:val="22"/>
              </w:rPr>
              <w:t xml:space="preserve">- </w:t>
            </w:r>
            <w:proofErr w:type="spellStart"/>
            <w:r w:rsidRPr="00C86B34">
              <w:rPr>
                <w:sz w:val="22"/>
              </w:rPr>
              <w:t>скейт</w:t>
            </w:r>
            <w:proofErr w:type="spellEnd"/>
            <w:r w:rsidRPr="00C86B34">
              <w:rPr>
                <w:sz w:val="22"/>
              </w:rPr>
              <w:t xml:space="preserve">-парку; </w:t>
            </w:r>
          </w:p>
          <w:p w:rsidR="00E95FB1" w:rsidRPr="00C86B34" w:rsidRDefault="00E95FB1" w:rsidP="001B3967">
            <w:pPr>
              <w:ind w:firstLine="399"/>
              <w:rPr>
                <w:sz w:val="22"/>
              </w:rPr>
            </w:pPr>
            <w:r w:rsidRPr="00C86B34">
              <w:rPr>
                <w:sz w:val="22"/>
              </w:rPr>
              <w:t xml:space="preserve">- майданчика з вуличними тренажерами; </w:t>
            </w:r>
          </w:p>
          <w:p w:rsidR="00E95FB1" w:rsidRPr="00C86B34" w:rsidRDefault="00E95FB1" w:rsidP="001B3967">
            <w:pPr>
              <w:ind w:firstLine="399"/>
              <w:rPr>
                <w:sz w:val="22"/>
              </w:rPr>
            </w:pPr>
            <w:r w:rsidRPr="00C86B34">
              <w:rPr>
                <w:sz w:val="22"/>
              </w:rPr>
              <w:t xml:space="preserve">- дитячого майданчика; </w:t>
            </w:r>
          </w:p>
          <w:p w:rsidR="00E95FB1" w:rsidRPr="00C86B34" w:rsidRDefault="00E95FB1" w:rsidP="001B3967">
            <w:pPr>
              <w:ind w:firstLine="399"/>
              <w:rPr>
                <w:sz w:val="22"/>
              </w:rPr>
            </w:pPr>
            <w:r w:rsidRPr="00C86B34">
              <w:rPr>
                <w:sz w:val="22"/>
              </w:rPr>
              <w:t xml:space="preserve">- </w:t>
            </w:r>
            <w:proofErr w:type="spellStart"/>
            <w:r w:rsidRPr="00C86B34">
              <w:rPr>
                <w:sz w:val="22"/>
              </w:rPr>
              <w:t>скеледрому</w:t>
            </w:r>
            <w:proofErr w:type="spellEnd"/>
            <w:r w:rsidRPr="00C86B34">
              <w:rPr>
                <w:sz w:val="22"/>
              </w:rPr>
              <w:t xml:space="preserve">; </w:t>
            </w:r>
          </w:p>
          <w:p w:rsidR="00E95FB1" w:rsidRPr="00C86B34" w:rsidRDefault="00E95FB1" w:rsidP="001B3967">
            <w:pPr>
              <w:ind w:firstLine="399"/>
              <w:rPr>
                <w:sz w:val="22"/>
              </w:rPr>
            </w:pPr>
            <w:r w:rsidRPr="00C86B34">
              <w:rPr>
                <w:sz w:val="22"/>
              </w:rPr>
              <w:t xml:space="preserve">- </w:t>
            </w:r>
            <w:proofErr w:type="spellStart"/>
            <w:r w:rsidRPr="00C86B34">
              <w:rPr>
                <w:sz w:val="22"/>
              </w:rPr>
              <w:t>ролледрому</w:t>
            </w:r>
            <w:proofErr w:type="spellEnd"/>
            <w:r w:rsidRPr="00C86B34">
              <w:rPr>
                <w:sz w:val="22"/>
              </w:rPr>
              <w:t xml:space="preserve">; </w:t>
            </w:r>
          </w:p>
          <w:p w:rsidR="00E95FB1" w:rsidRPr="00C86B34" w:rsidRDefault="00E95FB1" w:rsidP="001B3967">
            <w:pPr>
              <w:ind w:firstLine="399"/>
              <w:rPr>
                <w:sz w:val="22"/>
              </w:rPr>
            </w:pPr>
            <w:r w:rsidRPr="00C86B34">
              <w:rPr>
                <w:sz w:val="22"/>
              </w:rPr>
              <w:t>- спортивних доріжок;</w:t>
            </w:r>
          </w:p>
          <w:p w:rsidR="00E95FB1" w:rsidRPr="00C86B34" w:rsidRDefault="00E95FB1" w:rsidP="001B3967">
            <w:pPr>
              <w:ind w:firstLine="399"/>
              <w:rPr>
                <w:sz w:val="22"/>
              </w:rPr>
            </w:pPr>
            <w:r w:rsidRPr="00C86B34">
              <w:rPr>
                <w:sz w:val="22"/>
              </w:rPr>
              <w:t>- трибун на 200 місць</w:t>
            </w:r>
          </w:p>
          <w:p w:rsidR="00E95FB1" w:rsidRPr="00C86B34" w:rsidRDefault="00E95FB1" w:rsidP="001B3967">
            <w:pPr>
              <w:pStyle w:val="a7"/>
              <w:ind w:left="94"/>
              <w:rPr>
                <w:rFonts w:eastAsia="BatangChe"/>
                <w:sz w:val="22"/>
              </w:rPr>
            </w:pPr>
            <w:r w:rsidRPr="00C86B34">
              <w:rPr>
                <w:rFonts w:eastAsia="BatangChe"/>
                <w:sz w:val="22"/>
              </w:rPr>
              <w:t>2.  Благоустрій та озеленення території.</w:t>
            </w:r>
          </w:p>
          <w:p w:rsidR="00E95FB1" w:rsidRPr="00C86B34" w:rsidRDefault="00E95FB1" w:rsidP="001B3967">
            <w:pPr>
              <w:pStyle w:val="a7"/>
              <w:ind w:left="94"/>
              <w:rPr>
                <w:rFonts w:eastAsia="BatangChe"/>
                <w:sz w:val="22"/>
              </w:rPr>
            </w:pPr>
            <w:r w:rsidRPr="00C86B34">
              <w:rPr>
                <w:rFonts w:eastAsia="BatangChe"/>
                <w:sz w:val="22"/>
              </w:rPr>
              <w:t>3.  Облаштування автостоянки.</w:t>
            </w:r>
          </w:p>
          <w:p w:rsidR="00E95FB1" w:rsidRPr="00C86B34" w:rsidRDefault="00E95FB1" w:rsidP="001B3967">
            <w:pPr>
              <w:pStyle w:val="a7"/>
              <w:ind w:left="94"/>
              <w:rPr>
                <w:rFonts w:eastAsia="BatangChe"/>
                <w:sz w:val="22"/>
              </w:rPr>
            </w:pPr>
            <w:r w:rsidRPr="00C86B34">
              <w:rPr>
                <w:rFonts w:eastAsia="BatangChe"/>
                <w:sz w:val="22"/>
              </w:rPr>
              <w:t>4.  Будівництво допоміжної будівлі стадіону.</w:t>
            </w:r>
          </w:p>
          <w:p w:rsidR="00E95FB1" w:rsidRPr="00C86B34" w:rsidRDefault="00E95FB1" w:rsidP="000303D7">
            <w:pPr>
              <w:pStyle w:val="a7"/>
              <w:numPr>
                <w:ilvl w:val="0"/>
                <w:numId w:val="40"/>
              </w:numPr>
              <w:rPr>
                <w:rFonts w:eastAsia="BatangChe"/>
                <w:sz w:val="22"/>
              </w:rPr>
            </w:pPr>
            <w:r w:rsidRPr="00C86B34">
              <w:rPr>
                <w:rFonts w:eastAsia="BatangChe"/>
                <w:sz w:val="22"/>
              </w:rPr>
              <w:t>Будівництво зовнішніх мереж та споруд - водопостачання, водовідведення, теплопостачання.</w:t>
            </w:r>
          </w:p>
          <w:p w:rsidR="00E95FB1" w:rsidRPr="00C86B34" w:rsidRDefault="00E95FB1" w:rsidP="000303D7">
            <w:pPr>
              <w:pStyle w:val="a7"/>
              <w:numPr>
                <w:ilvl w:val="0"/>
                <w:numId w:val="40"/>
              </w:numPr>
              <w:rPr>
                <w:rFonts w:eastAsia="BatangChe"/>
                <w:sz w:val="22"/>
              </w:rPr>
            </w:pPr>
            <w:r w:rsidRPr="00C86B34">
              <w:rPr>
                <w:rFonts w:eastAsia="BatangChe"/>
                <w:sz w:val="22"/>
              </w:rPr>
              <w:t>Огородження майданчиків та всього спортивного комплексу по периметру.</w:t>
            </w:r>
          </w:p>
          <w:p w:rsidR="00E95FB1" w:rsidRPr="00C86B34" w:rsidRDefault="00E95FB1" w:rsidP="000303D7">
            <w:pPr>
              <w:pStyle w:val="a7"/>
              <w:numPr>
                <w:ilvl w:val="0"/>
                <w:numId w:val="40"/>
              </w:numPr>
              <w:rPr>
                <w:rFonts w:eastAsia="BatangChe"/>
                <w:sz w:val="22"/>
              </w:rPr>
            </w:pPr>
            <w:r w:rsidRPr="00C86B34">
              <w:rPr>
                <w:sz w:val="22"/>
              </w:rPr>
              <w:t xml:space="preserve">Облаштування системи </w:t>
            </w:r>
            <w:proofErr w:type="spellStart"/>
            <w:r w:rsidRPr="00C86B34">
              <w:rPr>
                <w:sz w:val="22"/>
              </w:rPr>
              <w:t>відеонагляду</w:t>
            </w:r>
            <w:proofErr w:type="spellEnd"/>
            <w:r w:rsidRPr="00C86B34">
              <w:rPr>
                <w:sz w:val="22"/>
              </w:rPr>
              <w:t>;</w:t>
            </w:r>
          </w:p>
          <w:p w:rsidR="00E95FB1" w:rsidRPr="00C86B34" w:rsidRDefault="00E95FB1" w:rsidP="000303D7">
            <w:pPr>
              <w:pStyle w:val="a7"/>
              <w:numPr>
                <w:ilvl w:val="0"/>
                <w:numId w:val="40"/>
              </w:numPr>
              <w:rPr>
                <w:rFonts w:eastAsia="BatangChe"/>
                <w:sz w:val="22"/>
              </w:rPr>
            </w:pPr>
            <w:r w:rsidRPr="00C86B34">
              <w:rPr>
                <w:rFonts w:eastAsia="Calibri"/>
                <w:color w:val="000000"/>
                <w:sz w:val="22"/>
              </w:rPr>
              <w:t>Введення споруди в експлуатацію та її експлуатація за призначенням</w:t>
            </w:r>
          </w:p>
        </w:tc>
      </w:tr>
      <w:tr w:rsidR="00E95FB1" w:rsidRPr="00C86B34" w:rsidTr="001B3967">
        <w:trPr>
          <w:trHeight w:val="200"/>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Орієнтовний обсяг та джерела фінансування тис. гривень</w:t>
            </w:r>
          </w:p>
        </w:tc>
        <w:tc>
          <w:tcPr>
            <w:tcW w:w="1631"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Державний бюджет</w:t>
            </w:r>
          </w:p>
        </w:tc>
        <w:tc>
          <w:tcPr>
            <w:tcW w:w="1168"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Місцевий бюджет</w:t>
            </w:r>
          </w:p>
        </w:tc>
        <w:tc>
          <w:tcPr>
            <w:tcW w:w="2337" w:type="dxa"/>
            <w:gridSpan w:val="3"/>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Інші джерела</w:t>
            </w:r>
          </w:p>
        </w:tc>
        <w:tc>
          <w:tcPr>
            <w:tcW w:w="2093" w:type="dxa"/>
            <w:gridSpan w:val="2"/>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Всього</w:t>
            </w:r>
          </w:p>
        </w:tc>
      </w:tr>
      <w:tr w:rsidR="00E95FB1" w:rsidRPr="00C86B34" w:rsidTr="001B3967">
        <w:trPr>
          <w:trHeight w:val="200"/>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1631"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168"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169"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Обсяг</w:t>
            </w:r>
          </w:p>
        </w:tc>
        <w:tc>
          <w:tcPr>
            <w:tcW w:w="1168" w:type="dxa"/>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Назва джерела</w:t>
            </w:r>
          </w:p>
        </w:tc>
        <w:tc>
          <w:tcPr>
            <w:tcW w:w="2093" w:type="dxa"/>
            <w:gridSpan w:val="2"/>
            <w:vMerge/>
            <w:vAlign w:val="center"/>
          </w:tcPr>
          <w:p w:rsidR="00E95FB1" w:rsidRPr="00C86B34" w:rsidRDefault="00E95FB1" w:rsidP="001B3967">
            <w:pPr>
              <w:autoSpaceDE w:val="0"/>
              <w:autoSpaceDN w:val="0"/>
              <w:adjustRightInd w:val="0"/>
              <w:jc w:val="center"/>
              <w:rPr>
                <w:rFonts w:eastAsia="Calibri"/>
                <w:b/>
                <w:color w:val="000000"/>
                <w:sz w:val="22"/>
              </w:rPr>
            </w:pPr>
          </w:p>
        </w:tc>
      </w:tr>
      <w:tr w:rsidR="00E95FB1" w:rsidRPr="00C86B34" w:rsidTr="001B3967">
        <w:trPr>
          <w:trHeight w:val="200"/>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1631" w:type="dxa"/>
          </w:tcPr>
          <w:p w:rsidR="00E95FB1" w:rsidRPr="00C86B34" w:rsidRDefault="00E95FB1" w:rsidP="001B3967">
            <w:pPr>
              <w:autoSpaceDE w:val="0"/>
              <w:autoSpaceDN w:val="0"/>
              <w:adjustRightInd w:val="0"/>
              <w:jc w:val="center"/>
              <w:rPr>
                <w:rFonts w:eastAsia="Calibri"/>
                <w:color w:val="000000"/>
                <w:sz w:val="22"/>
              </w:rPr>
            </w:pPr>
            <w:r w:rsidRPr="00C86B34">
              <w:rPr>
                <w:sz w:val="22"/>
              </w:rPr>
              <w:t>55000,0</w:t>
            </w:r>
          </w:p>
        </w:tc>
        <w:tc>
          <w:tcPr>
            <w:tcW w:w="1168" w:type="dxa"/>
          </w:tcPr>
          <w:p w:rsidR="00E95FB1" w:rsidRPr="00C86B34" w:rsidRDefault="00E95FB1" w:rsidP="001B3967">
            <w:pPr>
              <w:autoSpaceDE w:val="0"/>
              <w:autoSpaceDN w:val="0"/>
              <w:adjustRightInd w:val="0"/>
              <w:jc w:val="center"/>
              <w:rPr>
                <w:rFonts w:eastAsia="Calibri"/>
                <w:color w:val="000000"/>
                <w:sz w:val="22"/>
              </w:rPr>
            </w:pPr>
          </w:p>
        </w:tc>
        <w:tc>
          <w:tcPr>
            <w:tcW w:w="1169" w:type="dxa"/>
            <w:gridSpan w:val="2"/>
          </w:tcPr>
          <w:p w:rsidR="00E95FB1" w:rsidRPr="00C86B34" w:rsidRDefault="00E95FB1" w:rsidP="001B3967">
            <w:pPr>
              <w:autoSpaceDE w:val="0"/>
              <w:autoSpaceDN w:val="0"/>
              <w:adjustRightInd w:val="0"/>
              <w:jc w:val="center"/>
              <w:rPr>
                <w:rFonts w:eastAsia="Calibri"/>
                <w:color w:val="000000"/>
                <w:sz w:val="22"/>
              </w:rPr>
            </w:pPr>
          </w:p>
        </w:tc>
        <w:tc>
          <w:tcPr>
            <w:tcW w:w="1168" w:type="dxa"/>
          </w:tcPr>
          <w:p w:rsidR="00E95FB1" w:rsidRPr="00C86B34" w:rsidRDefault="00E95FB1" w:rsidP="001B3967">
            <w:pPr>
              <w:autoSpaceDE w:val="0"/>
              <w:autoSpaceDN w:val="0"/>
              <w:adjustRightInd w:val="0"/>
              <w:jc w:val="center"/>
              <w:rPr>
                <w:rFonts w:eastAsia="Calibri"/>
                <w:color w:val="000000"/>
                <w:sz w:val="22"/>
              </w:rPr>
            </w:pPr>
          </w:p>
        </w:tc>
        <w:tc>
          <w:tcPr>
            <w:tcW w:w="2093"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55000,0</w:t>
            </w:r>
          </w:p>
        </w:tc>
      </w:tr>
      <w:tr w:rsidR="00E95FB1" w:rsidRPr="00C86B34" w:rsidTr="001B3967">
        <w:trPr>
          <w:trHeight w:val="200"/>
        </w:trPr>
        <w:tc>
          <w:tcPr>
            <w:tcW w:w="2724" w:type="dxa"/>
            <w:shd w:val="clear" w:color="00FFFF" w:fill="C6D9F1" w:themeFill="text2" w:themeFillTint="33"/>
            <w:vAlign w:val="center"/>
          </w:tcPr>
          <w:p w:rsidR="00E95FB1" w:rsidRPr="00C86B34" w:rsidRDefault="00E95FB1" w:rsidP="001B3967">
            <w:pPr>
              <w:rPr>
                <w:b/>
                <w:sz w:val="22"/>
              </w:rPr>
            </w:pPr>
            <w:r w:rsidRPr="00C86B34">
              <w:rPr>
                <w:b/>
                <w:sz w:val="22"/>
              </w:rPr>
              <w:t xml:space="preserve">Ключові потенційні учасники </w:t>
            </w:r>
            <w:proofErr w:type="spellStart"/>
            <w:r w:rsidRPr="00C86B34">
              <w:rPr>
                <w:b/>
                <w:sz w:val="22"/>
              </w:rPr>
              <w:t>проєкту</w:t>
            </w:r>
            <w:proofErr w:type="spellEnd"/>
            <w:r w:rsidRPr="00C86B34">
              <w:rPr>
                <w:b/>
                <w:sz w:val="22"/>
              </w:rPr>
              <w:t>:</w:t>
            </w:r>
          </w:p>
          <w:p w:rsidR="00E95FB1" w:rsidRPr="00C86B34" w:rsidRDefault="00E95FB1" w:rsidP="001B3967">
            <w:pPr>
              <w:autoSpaceDE w:val="0"/>
              <w:autoSpaceDN w:val="0"/>
              <w:adjustRightInd w:val="0"/>
              <w:rPr>
                <w:rFonts w:eastAsia="Calibri"/>
                <w:b/>
                <w:color w:val="000000"/>
                <w:sz w:val="22"/>
              </w:rPr>
            </w:pPr>
          </w:p>
        </w:tc>
        <w:tc>
          <w:tcPr>
            <w:tcW w:w="7229" w:type="dxa"/>
            <w:gridSpan w:val="7"/>
          </w:tcPr>
          <w:p w:rsidR="00E95FB1" w:rsidRPr="00C86B34" w:rsidRDefault="00E95FB1" w:rsidP="001B3967">
            <w:pPr>
              <w:rPr>
                <w:sz w:val="22"/>
              </w:rPr>
            </w:pPr>
            <w:r w:rsidRPr="00C86B34">
              <w:rPr>
                <w:sz w:val="22"/>
              </w:rPr>
              <w:t xml:space="preserve">1. Військова адміністрація міста. </w:t>
            </w:r>
          </w:p>
          <w:p w:rsidR="00E95FB1" w:rsidRPr="00C86B34" w:rsidRDefault="00E95FB1" w:rsidP="001B3967">
            <w:pPr>
              <w:tabs>
                <w:tab w:val="left" w:pos="720"/>
              </w:tabs>
              <w:rPr>
                <w:sz w:val="22"/>
              </w:rPr>
            </w:pPr>
            <w:r w:rsidRPr="00C86B34">
              <w:rPr>
                <w:sz w:val="22"/>
              </w:rPr>
              <w:t>2. Відділ капітального будівництва військової адміністрації міста.</w:t>
            </w:r>
          </w:p>
          <w:p w:rsidR="00E95FB1" w:rsidRPr="00C86B34" w:rsidRDefault="00E95FB1" w:rsidP="001B3967">
            <w:pPr>
              <w:tabs>
                <w:tab w:val="left" w:pos="720"/>
              </w:tabs>
              <w:rPr>
                <w:sz w:val="22"/>
              </w:rPr>
            </w:pPr>
            <w:r w:rsidRPr="00C86B34">
              <w:rPr>
                <w:sz w:val="22"/>
              </w:rPr>
              <w:t>3. Підрядна організація - переможець тендеру, виконавець будівельно-монтажних робіт.</w:t>
            </w:r>
          </w:p>
          <w:p w:rsidR="00E95FB1" w:rsidRPr="00C86B34" w:rsidRDefault="00E95FB1" w:rsidP="001B3967">
            <w:pPr>
              <w:tabs>
                <w:tab w:val="left" w:pos="720"/>
              </w:tabs>
              <w:rPr>
                <w:sz w:val="22"/>
              </w:rPr>
            </w:pPr>
            <w:r w:rsidRPr="00C86B34">
              <w:rPr>
                <w:sz w:val="22"/>
              </w:rPr>
              <w:t>4. Обласна державна адміністрація.</w:t>
            </w:r>
          </w:p>
          <w:p w:rsidR="00E95FB1" w:rsidRPr="00C86B34" w:rsidRDefault="00E95FB1" w:rsidP="001B3967">
            <w:pPr>
              <w:tabs>
                <w:tab w:val="left" w:pos="720"/>
              </w:tabs>
              <w:rPr>
                <w:sz w:val="22"/>
              </w:rPr>
            </w:pPr>
            <w:r w:rsidRPr="00C86B34">
              <w:rPr>
                <w:sz w:val="22"/>
              </w:rPr>
              <w:t>5. Інвестори та меценати спортивної галузі</w:t>
            </w:r>
          </w:p>
        </w:tc>
      </w:tr>
    </w:tbl>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tbl>
      <w:tblPr>
        <w:tblpPr w:leftFromText="180" w:rightFromText="180" w:vertAnchor="text" w:horzAnchor="page" w:tblpX="1397" w:tblpY="123"/>
        <w:tblW w:w="9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724"/>
        <w:gridCol w:w="1895"/>
        <w:gridCol w:w="1243"/>
        <w:gridCol w:w="405"/>
        <w:gridCol w:w="839"/>
        <w:gridCol w:w="721"/>
        <w:gridCol w:w="522"/>
        <w:gridCol w:w="1604"/>
      </w:tblGrid>
      <w:tr w:rsidR="00E95FB1" w:rsidRPr="00C86B34" w:rsidTr="001B3967">
        <w:trPr>
          <w:trHeight w:val="264"/>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Оперативна ціль/завдання</w:t>
            </w:r>
          </w:p>
        </w:tc>
        <w:tc>
          <w:tcPr>
            <w:tcW w:w="7229" w:type="dxa"/>
            <w:gridSpan w:val="7"/>
          </w:tcPr>
          <w:p w:rsidR="00E95FB1" w:rsidRPr="00C86B34" w:rsidRDefault="00FF40C4" w:rsidP="001B3967">
            <w:pPr>
              <w:pStyle w:val="a7"/>
              <w:ind w:left="0"/>
              <w:rPr>
                <w:sz w:val="22"/>
              </w:rPr>
            </w:pPr>
            <w:r w:rsidRPr="00C86B34">
              <w:rPr>
                <w:rFonts w:eastAsia="Arial"/>
                <w:sz w:val="22"/>
              </w:rPr>
              <w:t xml:space="preserve">Людський розвиток </w:t>
            </w:r>
            <w:r w:rsidR="00E95FB1" w:rsidRPr="00C86B34">
              <w:rPr>
                <w:rFonts w:eastAsia="Arial"/>
                <w:sz w:val="22"/>
              </w:rPr>
              <w:t xml:space="preserve">через інновації управління та довіру до влади. Формування сучасного інклюзивного </w:t>
            </w:r>
            <w:proofErr w:type="spellStart"/>
            <w:r w:rsidR="00E95FB1" w:rsidRPr="00C86B34">
              <w:rPr>
                <w:rFonts w:eastAsia="Arial"/>
                <w:sz w:val="22"/>
              </w:rPr>
              <w:t>освітньо</w:t>
            </w:r>
            <w:proofErr w:type="spellEnd"/>
            <w:r w:rsidR="00E95FB1" w:rsidRPr="00C86B34">
              <w:rPr>
                <w:rFonts w:eastAsia="Arial"/>
                <w:sz w:val="22"/>
              </w:rPr>
              <w:t xml:space="preserve"> – культурного та спортивного простору для розвитку</w:t>
            </w:r>
          </w:p>
        </w:tc>
      </w:tr>
      <w:tr w:rsidR="00E95FB1" w:rsidRPr="00C86B34" w:rsidTr="001B3967">
        <w:trPr>
          <w:trHeight w:val="285"/>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Назва проекту:</w:t>
            </w:r>
          </w:p>
        </w:tc>
        <w:tc>
          <w:tcPr>
            <w:tcW w:w="7229" w:type="dxa"/>
            <w:gridSpan w:val="7"/>
          </w:tcPr>
          <w:p w:rsidR="00E95FB1" w:rsidRPr="00C86B34" w:rsidRDefault="00E95FB1" w:rsidP="001B3967">
            <w:pPr>
              <w:autoSpaceDE w:val="0"/>
              <w:autoSpaceDN w:val="0"/>
              <w:adjustRightInd w:val="0"/>
              <w:ind w:left="49" w:right="116"/>
              <w:rPr>
                <w:rFonts w:eastAsia="Calibri"/>
                <w:color w:val="000000"/>
                <w:sz w:val="22"/>
              </w:rPr>
            </w:pPr>
            <w:r w:rsidRPr="00C86B34">
              <w:rPr>
                <w:rFonts w:eastAsia="Calibri"/>
                <w:color w:val="000000"/>
                <w:sz w:val="22"/>
              </w:rPr>
              <w:t>Реконструкція  «Будинку Фізкультури» КДЮСШ 2 міста Сєвєродонецьк Луганської області</w:t>
            </w:r>
            <w:r w:rsidRPr="00C86B34">
              <w:rPr>
                <w:sz w:val="22"/>
              </w:rPr>
              <w:t xml:space="preserve"> </w:t>
            </w:r>
            <w:r w:rsidRPr="00C86B34">
              <w:rPr>
                <w:rFonts w:eastAsia="Calibri"/>
                <w:color w:val="000000"/>
                <w:sz w:val="22"/>
              </w:rPr>
              <w:t xml:space="preserve">за </w:t>
            </w:r>
            <w:proofErr w:type="spellStart"/>
            <w:r w:rsidRPr="00C86B34">
              <w:rPr>
                <w:rFonts w:eastAsia="Calibri"/>
                <w:color w:val="000000"/>
                <w:sz w:val="22"/>
              </w:rPr>
              <w:t>адресою</w:t>
            </w:r>
            <w:proofErr w:type="spellEnd"/>
            <w:r w:rsidRPr="00C86B34">
              <w:rPr>
                <w:rFonts w:eastAsia="Calibri"/>
                <w:color w:val="000000"/>
                <w:sz w:val="22"/>
              </w:rPr>
              <w:t xml:space="preserve">: вул. </w:t>
            </w:r>
            <w:proofErr w:type="spellStart"/>
            <w:r w:rsidRPr="00C86B34">
              <w:rPr>
                <w:rFonts w:eastAsia="Calibri"/>
                <w:color w:val="000000"/>
                <w:sz w:val="22"/>
              </w:rPr>
              <w:t>Сметаніна</w:t>
            </w:r>
            <w:proofErr w:type="spellEnd"/>
            <w:r w:rsidRPr="00C86B34">
              <w:rPr>
                <w:rFonts w:eastAsia="Calibri"/>
                <w:color w:val="000000"/>
                <w:sz w:val="22"/>
              </w:rPr>
              <w:t>, 5А.</w:t>
            </w:r>
          </w:p>
        </w:tc>
      </w:tr>
      <w:tr w:rsidR="00E95FB1" w:rsidRPr="00C86B34" w:rsidTr="001B3967">
        <w:trPr>
          <w:trHeight w:val="339"/>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Ціль проекту</w:t>
            </w:r>
          </w:p>
        </w:tc>
        <w:tc>
          <w:tcPr>
            <w:tcW w:w="7229" w:type="dxa"/>
            <w:gridSpan w:val="7"/>
            <w:vAlign w:val="center"/>
          </w:tcPr>
          <w:p w:rsidR="00E95FB1" w:rsidRPr="00C86B34" w:rsidRDefault="00E95FB1" w:rsidP="001B3967">
            <w:pPr>
              <w:autoSpaceDE w:val="0"/>
              <w:autoSpaceDN w:val="0"/>
              <w:adjustRightInd w:val="0"/>
              <w:ind w:right="116"/>
              <w:rPr>
                <w:sz w:val="22"/>
              </w:rPr>
            </w:pPr>
            <w:r w:rsidRPr="00C86B34">
              <w:rPr>
                <w:rFonts w:eastAsia="Calibri"/>
                <w:color w:val="000000"/>
                <w:sz w:val="22"/>
              </w:rPr>
              <w:t xml:space="preserve">Створення спортивного простору для мешканців міста (дітей, молоді, дорослих та </w:t>
            </w:r>
            <w:r w:rsidRPr="00C86B34">
              <w:rPr>
                <w:sz w:val="22"/>
              </w:rPr>
              <w:t xml:space="preserve"> людей з особливими потребами) </w:t>
            </w:r>
            <w:r w:rsidRPr="00C86B34">
              <w:rPr>
                <w:rFonts w:eastAsia="Calibri"/>
                <w:color w:val="000000"/>
                <w:sz w:val="22"/>
              </w:rPr>
              <w:t xml:space="preserve">– сучасних, безпечних та комфортних умов для занять фізичною культурою та спортом, загального оздоровлення, реабілітації, зміцнення генофонду, підвищення потенціалу трудових ресурсів, психофізичного здоров’я, зростання добробуту населення і вирішення інших соціальних проблем, </w:t>
            </w:r>
            <w:r w:rsidRPr="00C86B34">
              <w:rPr>
                <w:sz w:val="22"/>
              </w:rPr>
              <w:t xml:space="preserve"> порушених  внаслідок військового вторгнення </w:t>
            </w:r>
            <w:r w:rsidR="00287B0C" w:rsidRPr="00C86B34">
              <w:rPr>
                <w:sz w:val="22"/>
              </w:rPr>
              <w:t>РФ</w:t>
            </w:r>
            <w:r w:rsidRPr="00C86B34">
              <w:rPr>
                <w:sz w:val="22"/>
              </w:rPr>
              <w:t xml:space="preserve"> на територію України.</w:t>
            </w:r>
          </w:p>
          <w:p w:rsidR="00E95FB1" w:rsidRPr="00C86B34" w:rsidRDefault="00E95FB1" w:rsidP="001B3967">
            <w:pPr>
              <w:autoSpaceDE w:val="0"/>
              <w:autoSpaceDN w:val="0"/>
              <w:adjustRightInd w:val="0"/>
              <w:ind w:right="116"/>
              <w:rPr>
                <w:sz w:val="22"/>
              </w:rPr>
            </w:pPr>
            <w:r w:rsidRPr="00C86B34">
              <w:rPr>
                <w:color w:val="212529"/>
                <w:sz w:val="22"/>
                <w:shd w:val="clear" w:color="auto" w:fill="FFFFFF"/>
              </w:rPr>
              <w:t>Популяризації та організації оздоровчої рухової активності як джерела зняття психоемоційної напруги та рівня стресу для всіх груп населення</w:t>
            </w:r>
            <w:r w:rsidRPr="00C86B34">
              <w:rPr>
                <w:sz w:val="22"/>
              </w:rPr>
              <w:t>.</w:t>
            </w:r>
          </w:p>
          <w:p w:rsidR="00E95FB1" w:rsidRPr="00C86B34" w:rsidRDefault="00E95FB1" w:rsidP="001B3967">
            <w:pPr>
              <w:autoSpaceDE w:val="0"/>
              <w:autoSpaceDN w:val="0"/>
              <w:adjustRightInd w:val="0"/>
              <w:ind w:right="116"/>
              <w:rPr>
                <w:color w:val="212529"/>
                <w:sz w:val="22"/>
              </w:rPr>
            </w:pPr>
            <w:r w:rsidRPr="00C86B34">
              <w:rPr>
                <w:color w:val="212529"/>
                <w:sz w:val="22"/>
                <w:shd w:val="clear" w:color="auto" w:fill="FFFFFF"/>
              </w:rPr>
              <w:t>Впровадження якісних змін у систему надання фізкультурно-оздоровчих послуг населенню. З</w:t>
            </w:r>
            <w:r w:rsidRPr="00C86B34">
              <w:rPr>
                <w:color w:val="212529"/>
                <w:sz w:val="22"/>
              </w:rPr>
              <w:t xml:space="preserve">більшення відсотку населення, залученого до занять фізичною культурою і спортом. </w:t>
            </w:r>
          </w:p>
          <w:p w:rsidR="00E95FB1" w:rsidRPr="00C86B34" w:rsidRDefault="00E95FB1" w:rsidP="001B3967">
            <w:pPr>
              <w:autoSpaceDE w:val="0"/>
              <w:autoSpaceDN w:val="0"/>
              <w:adjustRightInd w:val="0"/>
              <w:ind w:right="116"/>
              <w:rPr>
                <w:color w:val="212529"/>
                <w:sz w:val="22"/>
                <w:shd w:val="clear" w:color="auto" w:fill="FFFFFF"/>
              </w:rPr>
            </w:pPr>
            <w:r w:rsidRPr="00C86B34">
              <w:rPr>
                <w:color w:val="212529"/>
                <w:sz w:val="22"/>
              </w:rPr>
              <w:t>Відновлення у повному обсязі проведення всеукраїнських спортивних змагань.</w:t>
            </w:r>
          </w:p>
        </w:tc>
      </w:tr>
      <w:tr w:rsidR="00E95FB1" w:rsidRPr="00C86B34" w:rsidTr="001B3967">
        <w:trPr>
          <w:trHeight w:val="285"/>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Територія, на яку матиме вплив реалізація проекту</w:t>
            </w:r>
          </w:p>
        </w:tc>
        <w:tc>
          <w:tcPr>
            <w:tcW w:w="7229" w:type="dxa"/>
            <w:gridSpan w:val="7"/>
            <w:vAlign w:val="center"/>
          </w:tcPr>
          <w:p w:rsidR="00E95FB1" w:rsidRPr="00C86B34" w:rsidRDefault="00E95FB1" w:rsidP="001B3967">
            <w:pPr>
              <w:autoSpaceDE w:val="0"/>
              <w:autoSpaceDN w:val="0"/>
              <w:adjustRightInd w:val="0"/>
              <w:ind w:left="49" w:right="116"/>
              <w:rPr>
                <w:rFonts w:eastAsia="Calibri"/>
                <w:color w:val="000000"/>
                <w:sz w:val="22"/>
              </w:rPr>
            </w:pPr>
            <w:r w:rsidRPr="00C86B34">
              <w:rPr>
                <w:rFonts w:eastAsia="Calibri"/>
                <w:color w:val="000000"/>
                <w:sz w:val="22"/>
              </w:rPr>
              <w:t>Сєвєродонецька міська територіальна громада.</w:t>
            </w:r>
          </w:p>
        </w:tc>
      </w:tr>
      <w:tr w:rsidR="00E95FB1" w:rsidRPr="00C86B34" w:rsidTr="001B3967">
        <w:trPr>
          <w:trHeight w:val="571"/>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Чисельність населення, на яке матиме вплив реалізація проекту</w:t>
            </w:r>
          </w:p>
        </w:tc>
        <w:tc>
          <w:tcPr>
            <w:tcW w:w="7229" w:type="dxa"/>
            <w:gridSpan w:val="7"/>
            <w:vAlign w:val="center"/>
          </w:tcPr>
          <w:p w:rsidR="00E95FB1" w:rsidRPr="00C86B34" w:rsidRDefault="00E95FB1" w:rsidP="00287B0C">
            <w:pPr>
              <w:autoSpaceDE w:val="0"/>
              <w:autoSpaceDN w:val="0"/>
              <w:adjustRightInd w:val="0"/>
              <w:ind w:left="49" w:right="116"/>
              <w:rPr>
                <w:rFonts w:eastAsia="Calibri"/>
                <w:color w:val="000000"/>
                <w:sz w:val="22"/>
              </w:rPr>
            </w:pPr>
            <w:r w:rsidRPr="00C86B34">
              <w:rPr>
                <w:rFonts w:eastAsia="Calibri"/>
                <w:color w:val="000000"/>
                <w:sz w:val="22"/>
              </w:rPr>
              <w:t xml:space="preserve">70 </w:t>
            </w:r>
            <w:r w:rsidR="00287B0C" w:rsidRPr="00C86B34">
              <w:rPr>
                <w:rFonts w:eastAsia="Calibri"/>
                <w:color w:val="000000"/>
                <w:sz w:val="22"/>
              </w:rPr>
              <w:t>000</w:t>
            </w:r>
          </w:p>
        </w:tc>
      </w:tr>
      <w:tr w:rsidR="00E95FB1" w:rsidRPr="00C86B34" w:rsidTr="001B3967">
        <w:trPr>
          <w:trHeight w:val="308"/>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Опис проблеми, на вирішення якої спрямований проект</w:t>
            </w:r>
          </w:p>
        </w:tc>
        <w:tc>
          <w:tcPr>
            <w:tcW w:w="7229" w:type="dxa"/>
            <w:gridSpan w:val="7"/>
          </w:tcPr>
          <w:p w:rsidR="00E95FB1" w:rsidRPr="00C86B34" w:rsidRDefault="00E95FB1" w:rsidP="001B3967">
            <w:pPr>
              <w:autoSpaceDE w:val="0"/>
              <w:autoSpaceDN w:val="0"/>
              <w:adjustRightInd w:val="0"/>
              <w:ind w:left="49" w:right="116"/>
              <w:rPr>
                <w:sz w:val="22"/>
              </w:rPr>
            </w:pPr>
            <w:r w:rsidRPr="00C86B34">
              <w:rPr>
                <w:rFonts w:eastAsia="Calibri"/>
                <w:color w:val="000000"/>
                <w:sz w:val="22"/>
              </w:rPr>
              <w:t xml:space="preserve">Сьогодні сфера фізичної культури і спорту вносить великий внесок у формування обороноздатності держави, оскільки виховує здорову, підготовлену людину, </w:t>
            </w:r>
            <w:r w:rsidRPr="00C86B34">
              <w:rPr>
                <w:color w:val="000000"/>
                <w:sz w:val="22"/>
              </w:rPr>
              <w:t>здатну для виконання свого конституційного обов’язку щодо захисту суверенітету та територіальної цілісності держави.</w:t>
            </w:r>
            <w:r w:rsidRPr="00C86B34">
              <w:rPr>
                <w:b/>
                <w:color w:val="000000"/>
                <w:sz w:val="22"/>
              </w:rPr>
              <w:t xml:space="preserve"> </w:t>
            </w:r>
            <w:r w:rsidRPr="00C86B34">
              <w:rPr>
                <w:sz w:val="22"/>
                <w:shd w:val="clear" w:color="auto" w:fill="FFFFFF"/>
              </w:rPr>
              <w:t xml:space="preserve"> Також попри війну спортсмени нашого міста продовжують виборювати нагороди на різних рівнях.</w:t>
            </w:r>
          </w:p>
          <w:p w:rsidR="00E95FB1" w:rsidRPr="00C86B34" w:rsidRDefault="00E95FB1" w:rsidP="001B3967">
            <w:pPr>
              <w:autoSpaceDE w:val="0"/>
              <w:autoSpaceDN w:val="0"/>
              <w:adjustRightInd w:val="0"/>
              <w:ind w:left="49" w:right="116"/>
              <w:rPr>
                <w:color w:val="000000"/>
                <w:sz w:val="22"/>
              </w:rPr>
            </w:pPr>
            <w:r w:rsidRPr="00C86B34">
              <w:rPr>
                <w:color w:val="000000"/>
                <w:sz w:val="22"/>
              </w:rPr>
              <w:t xml:space="preserve">Тому розвиток сфери фізичної культури і спорту, відновлення спортивної інфраструктури має стратегічне значення. </w:t>
            </w:r>
          </w:p>
          <w:p w:rsidR="00E95FB1" w:rsidRPr="00C86B34" w:rsidRDefault="00E95FB1" w:rsidP="001B3967">
            <w:pPr>
              <w:autoSpaceDE w:val="0"/>
              <w:autoSpaceDN w:val="0"/>
              <w:adjustRightInd w:val="0"/>
              <w:ind w:left="49" w:right="116"/>
              <w:rPr>
                <w:color w:val="000000"/>
                <w:sz w:val="22"/>
              </w:rPr>
            </w:pPr>
          </w:p>
          <w:p w:rsidR="00E95FB1" w:rsidRPr="00C86B34" w:rsidRDefault="00E95FB1" w:rsidP="002117F9">
            <w:pPr>
              <w:autoSpaceDE w:val="0"/>
              <w:autoSpaceDN w:val="0"/>
              <w:adjustRightInd w:val="0"/>
              <w:ind w:left="49" w:right="116"/>
              <w:rPr>
                <w:rFonts w:eastAsia="Calibri"/>
                <w:color w:val="000000"/>
                <w:sz w:val="22"/>
              </w:rPr>
            </w:pPr>
            <w:r w:rsidRPr="00C86B34">
              <w:rPr>
                <w:rFonts w:eastAsia="Calibri"/>
                <w:color w:val="000000"/>
                <w:sz w:val="22"/>
              </w:rPr>
              <w:t>Внаслідок ведення активних бойових дій на території Сєвєродонецької міської територіальної громади будівля КДЮСШ 2 міста Сєвєродонецьк Луганської області зазнала значних руйнувань та пошкоджень. П</w:t>
            </w:r>
            <w:r w:rsidRPr="00C86B34">
              <w:rPr>
                <w:sz w:val="22"/>
              </w:rPr>
              <w:t xml:space="preserve">ошкоджено дах споруди від влучання бойових снарядів, внаслідок чого по всій будівлі вилетіли вікна, двері, утворилася пожежа на 2 та 3 поверхах. Також були влучання з бокової частини будівлі, що додатково нанесло більш складні пошкодження, в адміністративних та підсобних приміщеннях 2-3 поверхах пожежею зруйновані внутрішні стіни, частково постраждало утеплення фасаду будівлі. </w:t>
            </w:r>
            <w:r w:rsidRPr="00C86B34">
              <w:rPr>
                <w:rFonts w:eastAsia="Calibri"/>
                <w:sz w:val="22"/>
              </w:rPr>
              <w:t xml:space="preserve">Енергосистема будівлі пошкоджена уламками від снарядів, пожежею та відсутністю догляду за </w:t>
            </w:r>
            <w:r w:rsidRPr="00C86B34">
              <w:rPr>
                <w:rFonts w:eastAsia="Calibri"/>
                <w:sz w:val="22"/>
              </w:rPr>
              <w:lastRenderedPageBreak/>
              <w:t>нею. Через отримані пошкодження будівля також зазнала руйнувань негодою (дощ, сніг, вітер).</w:t>
            </w:r>
            <w:r w:rsidRPr="00C86B34">
              <w:rPr>
                <w:rFonts w:eastAsia="Calibri"/>
                <w:color w:val="000000"/>
                <w:sz w:val="22"/>
              </w:rPr>
              <w:t xml:space="preserve"> Згоріло: гімнастичне та легкоатлетичне обладнання, інвентар, оргтехніка, меблі, медичне обладнання. Вкрадене важкоатлетичне обладнання та інвентар через пошкодження бокової частини будівлі на першому поверсі відділення важкої атлетики.   </w:t>
            </w:r>
          </w:p>
        </w:tc>
      </w:tr>
      <w:tr w:rsidR="00E95FB1" w:rsidRPr="00C86B34" w:rsidTr="001B3967">
        <w:trPr>
          <w:trHeight w:val="519"/>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lastRenderedPageBreak/>
              <w:t>Очікувані якісні результати від реалізації проекту</w:t>
            </w:r>
          </w:p>
        </w:tc>
        <w:tc>
          <w:tcPr>
            <w:tcW w:w="7229" w:type="dxa"/>
            <w:gridSpan w:val="7"/>
          </w:tcPr>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rFonts w:eastAsia="Calibri"/>
                <w:sz w:val="22"/>
              </w:rPr>
              <w:t>Відновлення навчально-тренувального процесу з видів спорту: важкої атлетики, гімнастики спортивної, легкої атлетики, груп здоров'я на власній спортивній базі.</w:t>
            </w:r>
          </w:p>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rFonts w:eastAsia="Calibri"/>
                <w:sz w:val="22"/>
              </w:rPr>
              <w:t>Підготовка спортсменів для резервного спорту.</w:t>
            </w:r>
          </w:p>
          <w:p w:rsidR="00E95FB1" w:rsidRPr="00C86B34" w:rsidRDefault="00E95FB1" w:rsidP="000303D7">
            <w:pPr>
              <w:numPr>
                <w:ilvl w:val="0"/>
                <w:numId w:val="43"/>
              </w:numPr>
              <w:tabs>
                <w:tab w:val="left" w:pos="333"/>
                <w:tab w:val="left" w:pos="750"/>
              </w:tabs>
              <w:autoSpaceDE w:val="0"/>
              <w:autoSpaceDN w:val="0"/>
              <w:adjustRightInd w:val="0"/>
              <w:ind w:left="329" w:right="113" w:hanging="284"/>
              <w:rPr>
                <w:rFonts w:eastAsia="Calibri"/>
                <w:sz w:val="22"/>
              </w:rPr>
            </w:pPr>
            <w:r w:rsidRPr="00C86B34">
              <w:rPr>
                <w:rFonts w:eastAsia="Calibri"/>
                <w:sz w:val="22"/>
              </w:rPr>
              <w:t>Проведення місцевих та регіональних змагань.</w:t>
            </w:r>
          </w:p>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rFonts w:eastAsia="Calibri"/>
                <w:sz w:val="22"/>
              </w:rPr>
              <w:t>Проведення навчально-тренувальних зборів.</w:t>
            </w:r>
          </w:p>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rFonts w:eastAsia="Calibri"/>
                <w:sz w:val="22"/>
              </w:rPr>
              <w:t>Проведення пришкільних спортивних таборів (повноцінного оздоровлення).</w:t>
            </w:r>
          </w:p>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sz w:val="22"/>
              </w:rPr>
              <w:t xml:space="preserve">організація </w:t>
            </w:r>
            <w:proofErr w:type="spellStart"/>
            <w:r w:rsidRPr="00C86B34">
              <w:rPr>
                <w:sz w:val="22"/>
              </w:rPr>
              <w:t>безбар’єрного</w:t>
            </w:r>
            <w:proofErr w:type="spellEnd"/>
            <w:r w:rsidRPr="00C86B34">
              <w:rPr>
                <w:sz w:val="22"/>
              </w:rPr>
              <w:t xml:space="preserve"> доступу людей з особливими потребами до занять спортом.</w:t>
            </w:r>
          </w:p>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sz w:val="22"/>
              </w:rPr>
              <w:t>Впровадження та розвиток реабілітаційних заходів для громадян міста, району постраждалих від бойових дій.</w:t>
            </w:r>
          </w:p>
        </w:tc>
      </w:tr>
      <w:tr w:rsidR="00E95FB1" w:rsidRPr="00C86B34" w:rsidTr="001B3967">
        <w:trPr>
          <w:trHeight w:val="571"/>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Очікувані кількісні результати від реалізації проекту  (індикатори)</w:t>
            </w:r>
          </w:p>
        </w:tc>
        <w:tc>
          <w:tcPr>
            <w:tcW w:w="3543" w:type="dxa"/>
            <w:gridSpan w:val="3"/>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Найменування показника</w:t>
            </w:r>
          </w:p>
        </w:tc>
        <w:tc>
          <w:tcPr>
            <w:tcW w:w="1560"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Одиниця вимірювання</w:t>
            </w:r>
          </w:p>
        </w:tc>
        <w:tc>
          <w:tcPr>
            <w:tcW w:w="2126"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Прогнозне (цільове) значення</w:t>
            </w:r>
          </w:p>
        </w:tc>
      </w:tr>
      <w:tr w:rsidR="00E95FB1" w:rsidRPr="00C86B34" w:rsidTr="001B3967">
        <w:trPr>
          <w:trHeight w:val="285"/>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543" w:type="dxa"/>
            <w:gridSpan w:val="3"/>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кількість вихованців (спортсменів)</w:t>
            </w:r>
          </w:p>
        </w:tc>
        <w:tc>
          <w:tcPr>
            <w:tcW w:w="1560"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осіб/день</w:t>
            </w:r>
          </w:p>
        </w:tc>
        <w:tc>
          <w:tcPr>
            <w:tcW w:w="2126" w:type="dxa"/>
            <w:gridSpan w:val="2"/>
          </w:tcPr>
          <w:p w:rsidR="00E95FB1" w:rsidRPr="00C86B34" w:rsidRDefault="00E95FB1" w:rsidP="001B3967">
            <w:pPr>
              <w:autoSpaceDE w:val="0"/>
              <w:autoSpaceDN w:val="0"/>
              <w:adjustRightInd w:val="0"/>
              <w:jc w:val="center"/>
              <w:rPr>
                <w:rFonts w:eastAsia="Calibri"/>
                <w:sz w:val="22"/>
              </w:rPr>
            </w:pPr>
            <w:r w:rsidRPr="00C86B34">
              <w:rPr>
                <w:rFonts w:eastAsia="Calibri"/>
                <w:sz w:val="22"/>
              </w:rPr>
              <w:t>400</w:t>
            </w:r>
          </w:p>
        </w:tc>
      </w:tr>
      <w:tr w:rsidR="00E95FB1" w:rsidRPr="00C86B34" w:rsidTr="001B3967">
        <w:trPr>
          <w:trHeight w:val="285"/>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543" w:type="dxa"/>
            <w:gridSpan w:val="3"/>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кількість отримувачів послуг</w:t>
            </w:r>
          </w:p>
        </w:tc>
        <w:tc>
          <w:tcPr>
            <w:tcW w:w="1560"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осіб/день</w:t>
            </w:r>
          </w:p>
        </w:tc>
        <w:tc>
          <w:tcPr>
            <w:tcW w:w="2126" w:type="dxa"/>
            <w:gridSpan w:val="2"/>
          </w:tcPr>
          <w:p w:rsidR="00E95FB1" w:rsidRPr="00C86B34" w:rsidRDefault="00E95FB1" w:rsidP="001B3967">
            <w:pPr>
              <w:autoSpaceDE w:val="0"/>
              <w:autoSpaceDN w:val="0"/>
              <w:adjustRightInd w:val="0"/>
              <w:jc w:val="center"/>
              <w:rPr>
                <w:rFonts w:eastAsia="Calibri"/>
                <w:sz w:val="22"/>
              </w:rPr>
            </w:pPr>
            <w:r w:rsidRPr="00C86B34">
              <w:rPr>
                <w:rFonts w:eastAsia="Calibri"/>
                <w:sz w:val="22"/>
              </w:rPr>
              <w:t>500</w:t>
            </w:r>
          </w:p>
        </w:tc>
      </w:tr>
      <w:tr w:rsidR="00E95FB1" w:rsidRPr="00C86B34" w:rsidTr="001B3967">
        <w:trPr>
          <w:trHeight w:val="196"/>
        </w:trPr>
        <w:tc>
          <w:tcPr>
            <w:tcW w:w="2724" w:type="dxa"/>
            <w:tcBorders>
              <w:bottom w:val="single" w:sz="4" w:space="0" w:color="auto"/>
            </w:tcBorders>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Ключові заходи проекту:</w:t>
            </w:r>
          </w:p>
        </w:tc>
        <w:tc>
          <w:tcPr>
            <w:tcW w:w="7229" w:type="dxa"/>
            <w:gridSpan w:val="7"/>
          </w:tcPr>
          <w:p w:rsidR="00E95FB1" w:rsidRPr="00C86B34" w:rsidRDefault="00E95FB1" w:rsidP="000303D7">
            <w:pPr>
              <w:numPr>
                <w:ilvl w:val="0"/>
                <w:numId w:val="42"/>
              </w:numPr>
              <w:tabs>
                <w:tab w:val="left" w:pos="333"/>
              </w:tabs>
              <w:autoSpaceDE w:val="0"/>
              <w:autoSpaceDN w:val="0"/>
              <w:adjustRightInd w:val="0"/>
              <w:ind w:right="112"/>
              <w:rPr>
                <w:rFonts w:eastAsia="Calibri"/>
                <w:color w:val="000000"/>
                <w:sz w:val="22"/>
              </w:rPr>
            </w:pPr>
            <w:r w:rsidRPr="00C86B34">
              <w:rPr>
                <w:rFonts w:eastAsia="Calibri"/>
                <w:color w:val="000000"/>
                <w:sz w:val="22"/>
              </w:rPr>
              <w:t>оцінка спеціально створеною комісією завданих будівлі руйнувань (пошкоджень) та матеріальних збитків</w:t>
            </w:r>
          </w:p>
          <w:p w:rsidR="00E95FB1" w:rsidRPr="00C86B34" w:rsidRDefault="00E95FB1" w:rsidP="000303D7">
            <w:pPr>
              <w:numPr>
                <w:ilvl w:val="0"/>
                <w:numId w:val="42"/>
              </w:numPr>
              <w:tabs>
                <w:tab w:val="left" w:pos="333"/>
              </w:tabs>
              <w:autoSpaceDE w:val="0"/>
              <w:autoSpaceDN w:val="0"/>
              <w:adjustRightInd w:val="0"/>
              <w:ind w:right="112"/>
              <w:rPr>
                <w:rFonts w:eastAsia="Calibri"/>
                <w:color w:val="000000"/>
                <w:sz w:val="22"/>
              </w:rPr>
            </w:pPr>
            <w:r w:rsidRPr="00C86B34">
              <w:rPr>
                <w:rFonts w:eastAsia="Calibri"/>
                <w:color w:val="000000"/>
                <w:sz w:val="22"/>
              </w:rPr>
              <w:t xml:space="preserve">розробка </w:t>
            </w:r>
            <w:proofErr w:type="spellStart"/>
            <w:r w:rsidRPr="00C86B34">
              <w:rPr>
                <w:rFonts w:eastAsia="Calibri"/>
                <w:color w:val="000000"/>
                <w:sz w:val="22"/>
              </w:rPr>
              <w:t>проєктно</w:t>
            </w:r>
            <w:proofErr w:type="spellEnd"/>
            <w:r w:rsidRPr="00C86B34">
              <w:rPr>
                <w:rFonts w:eastAsia="Calibri"/>
                <w:color w:val="000000"/>
                <w:sz w:val="22"/>
              </w:rPr>
              <w:t>-кошторисної документації</w:t>
            </w:r>
          </w:p>
          <w:p w:rsidR="00E95FB1" w:rsidRPr="00C86B34" w:rsidRDefault="00E95FB1" w:rsidP="000303D7">
            <w:pPr>
              <w:numPr>
                <w:ilvl w:val="0"/>
                <w:numId w:val="42"/>
              </w:numPr>
              <w:tabs>
                <w:tab w:val="left" w:pos="333"/>
              </w:tabs>
              <w:autoSpaceDE w:val="0"/>
              <w:autoSpaceDN w:val="0"/>
              <w:adjustRightInd w:val="0"/>
              <w:ind w:right="112"/>
              <w:rPr>
                <w:rFonts w:eastAsia="Calibri"/>
                <w:color w:val="000000"/>
                <w:sz w:val="22"/>
              </w:rPr>
            </w:pPr>
            <w:r w:rsidRPr="00C86B34">
              <w:rPr>
                <w:rFonts w:eastAsia="Calibri"/>
                <w:color w:val="000000"/>
                <w:sz w:val="22"/>
              </w:rPr>
              <w:t>визначення підрядної організації для проведення будівельних робіт</w:t>
            </w:r>
          </w:p>
          <w:p w:rsidR="00E95FB1" w:rsidRPr="00C86B34" w:rsidRDefault="00E95FB1" w:rsidP="000303D7">
            <w:pPr>
              <w:numPr>
                <w:ilvl w:val="0"/>
                <w:numId w:val="42"/>
              </w:numPr>
              <w:tabs>
                <w:tab w:val="left" w:pos="333"/>
              </w:tabs>
              <w:autoSpaceDE w:val="0"/>
              <w:autoSpaceDN w:val="0"/>
              <w:adjustRightInd w:val="0"/>
              <w:ind w:right="112"/>
              <w:rPr>
                <w:rFonts w:eastAsia="Calibri"/>
                <w:color w:val="000000"/>
                <w:sz w:val="22"/>
              </w:rPr>
            </w:pPr>
            <w:r w:rsidRPr="00C86B34">
              <w:rPr>
                <w:rFonts w:eastAsia="Calibri"/>
                <w:color w:val="000000"/>
                <w:sz w:val="22"/>
              </w:rPr>
              <w:t>виконання будівельних робіт:</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rFonts w:eastAsia="Calibri"/>
                <w:color w:val="000000"/>
                <w:sz w:val="22"/>
              </w:rPr>
              <w:t>ремонт даху</w:t>
            </w:r>
            <w:r w:rsidR="000D1C5B" w:rsidRPr="00C86B34">
              <w:rPr>
                <w:rFonts w:eastAsia="Calibri"/>
                <w:color w:val="000000"/>
                <w:sz w:val="22"/>
              </w:rPr>
              <w:t>;</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rFonts w:eastAsia="Calibri"/>
                <w:color w:val="000000"/>
                <w:sz w:val="22"/>
              </w:rPr>
              <w:t>заміна пошкоджених вікон, дверей</w:t>
            </w:r>
            <w:r w:rsidR="000D1C5B" w:rsidRPr="00C86B34">
              <w:rPr>
                <w:rFonts w:eastAsia="Calibri"/>
                <w:color w:val="000000"/>
                <w:sz w:val="22"/>
              </w:rPr>
              <w:t>;</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rFonts w:eastAsia="Calibri"/>
                <w:color w:val="000000"/>
                <w:sz w:val="22"/>
              </w:rPr>
              <w:t>будівництво модульної котельні</w:t>
            </w:r>
            <w:r w:rsidR="000D1C5B" w:rsidRPr="00C86B34">
              <w:rPr>
                <w:rFonts w:eastAsia="Calibri"/>
                <w:color w:val="000000"/>
                <w:sz w:val="22"/>
              </w:rPr>
              <w:t>;</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sz w:val="22"/>
              </w:rPr>
              <w:t>модернізація системи опалення та інженерних мереж</w:t>
            </w:r>
            <w:r w:rsidR="000D1C5B" w:rsidRPr="00C86B34">
              <w:rPr>
                <w:sz w:val="22"/>
              </w:rPr>
              <w:t>;</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sz w:val="22"/>
              </w:rPr>
              <w:t>облаштування системи відео-нагляду та відеоспостереження</w:t>
            </w:r>
            <w:r w:rsidR="000D1C5B" w:rsidRPr="00C86B34">
              <w:rPr>
                <w:sz w:val="22"/>
              </w:rPr>
              <w:t>;</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rFonts w:eastAsia="Calibri"/>
                <w:color w:val="000000"/>
                <w:sz w:val="22"/>
              </w:rPr>
              <w:t>ремонт спортивних залів (великого та малого залів гімнастики, важкої атлетики, зони для   легкої атлетики)</w:t>
            </w:r>
            <w:r w:rsidR="000D1C5B" w:rsidRPr="00C86B34">
              <w:rPr>
                <w:rFonts w:eastAsia="Calibri"/>
                <w:color w:val="000000"/>
                <w:sz w:val="22"/>
              </w:rPr>
              <w:t>;</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sz w:val="22"/>
              </w:rPr>
              <w:t>облаштування  системи рекуперації повітря</w:t>
            </w:r>
            <w:r w:rsidR="000D1C5B" w:rsidRPr="00C86B34">
              <w:rPr>
                <w:sz w:val="22"/>
              </w:rPr>
              <w:t>;</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sz w:val="22"/>
              </w:rPr>
              <w:t>ремонт приміщень (адміністративні та господарчі приміщення, коридори, сходи)</w:t>
            </w:r>
            <w:r w:rsidR="000D1C5B" w:rsidRPr="00C86B34">
              <w:rPr>
                <w:sz w:val="22"/>
              </w:rPr>
              <w:t>;</w:t>
            </w:r>
          </w:p>
          <w:p w:rsidR="00E95FB1" w:rsidRPr="00C86B34" w:rsidRDefault="00E95FB1" w:rsidP="001B3967">
            <w:pPr>
              <w:tabs>
                <w:tab w:val="left" w:pos="333"/>
              </w:tabs>
              <w:ind w:firstLine="894"/>
              <w:rPr>
                <w:sz w:val="22"/>
              </w:rPr>
            </w:pPr>
            <w:r w:rsidRPr="00C86B34">
              <w:rPr>
                <w:sz w:val="22"/>
              </w:rPr>
              <w:t>ремонт центрального входу будівлі</w:t>
            </w:r>
            <w:r w:rsidR="000D1C5B" w:rsidRPr="00C86B34">
              <w:rPr>
                <w:sz w:val="22"/>
              </w:rPr>
              <w:t>;</w:t>
            </w:r>
          </w:p>
          <w:p w:rsidR="00E95FB1" w:rsidRPr="00C86B34" w:rsidRDefault="00E95FB1" w:rsidP="001B3967">
            <w:pPr>
              <w:tabs>
                <w:tab w:val="left" w:pos="333"/>
              </w:tabs>
              <w:ind w:firstLine="894"/>
              <w:rPr>
                <w:sz w:val="22"/>
              </w:rPr>
            </w:pPr>
            <w:r w:rsidRPr="00C86B34">
              <w:rPr>
                <w:sz w:val="22"/>
              </w:rPr>
              <w:t>відновлення утеплення фасаду</w:t>
            </w:r>
            <w:r w:rsidR="000D1C5B" w:rsidRPr="00C86B34">
              <w:rPr>
                <w:sz w:val="22"/>
              </w:rPr>
              <w:t>;</w:t>
            </w:r>
          </w:p>
          <w:p w:rsidR="00E95FB1" w:rsidRPr="00C86B34" w:rsidRDefault="00E95FB1" w:rsidP="001B3967">
            <w:pPr>
              <w:tabs>
                <w:tab w:val="left" w:pos="333"/>
              </w:tabs>
              <w:ind w:firstLine="894"/>
              <w:rPr>
                <w:sz w:val="22"/>
              </w:rPr>
            </w:pPr>
            <w:r w:rsidRPr="00C86B34">
              <w:rPr>
                <w:sz w:val="22"/>
              </w:rPr>
              <w:t xml:space="preserve">встановлення сонячних </w:t>
            </w:r>
            <w:proofErr w:type="spellStart"/>
            <w:r w:rsidRPr="00C86B34">
              <w:rPr>
                <w:sz w:val="22"/>
              </w:rPr>
              <w:t>батарей</w:t>
            </w:r>
            <w:proofErr w:type="spellEnd"/>
            <w:r w:rsidR="000D1C5B" w:rsidRPr="00C86B34">
              <w:rPr>
                <w:sz w:val="22"/>
              </w:rPr>
              <w:t>;</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sz w:val="22"/>
              </w:rPr>
              <w:t>облаштування доступу осіб з інвалідністю до тренажерної зали, роздягальнь, туалетів, душових</w:t>
            </w:r>
            <w:r w:rsidR="000D1C5B" w:rsidRPr="00C86B34">
              <w:rPr>
                <w:sz w:val="22"/>
              </w:rPr>
              <w:t>;</w:t>
            </w:r>
          </w:p>
          <w:p w:rsidR="00E95FB1" w:rsidRPr="00C86B34" w:rsidRDefault="00E95FB1" w:rsidP="001B3967">
            <w:pPr>
              <w:tabs>
                <w:tab w:val="left" w:pos="333"/>
              </w:tabs>
              <w:autoSpaceDE w:val="0"/>
              <w:autoSpaceDN w:val="0"/>
              <w:adjustRightInd w:val="0"/>
              <w:ind w:right="112" w:firstLine="894"/>
              <w:rPr>
                <w:rFonts w:eastAsia="Calibri"/>
                <w:sz w:val="22"/>
              </w:rPr>
            </w:pPr>
            <w:r w:rsidRPr="00C86B34">
              <w:rPr>
                <w:rFonts w:eastAsia="Calibri"/>
                <w:sz w:val="22"/>
              </w:rPr>
              <w:t>будівництво тренажерного залу (прибудова до будівлі)</w:t>
            </w:r>
            <w:r w:rsidR="000D1C5B" w:rsidRPr="00C86B34">
              <w:rPr>
                <w:rFonts w:eastAsia="Calibri"/>
                <w:sz w:val="22"/>
              </w:rPr>
              <w:t>;</w:t>
            </w:r>
          </w:p>
          <w:p w:rsidR="00E95FB1" w:rsidRPr="00C86B34" w:rsidRDefault="00E95FB1" w:rsidP="001B3967">
            <w:pPr>
              <w:autoSpaceDE w:val="0"/>
              <w:autoSpaceDN w:val="0"/>
              <w:adjustRightInd w:val="0"/>
              <w:ind w:right="116" w:firstLine="894"/>
              <w:rPr>
                <w:rFonts w:eastAsia="Calibri"/>
                <w:color w:val="000000"/>
                <w:sz w:val="22"/>
              </w:rPr>
            </w:pPr>
            <w:r w:rsidRPr="00C86B34">
              <w:rPr>
                <w:sz w:val="22"/>
              </w:rPr>
              <w:t xml:space="preserve">благоустрій прилеглої території </w:t>
            </w:r>
            <w:r w:rsidRPr="00C86B34">
              <w:rPr>
                <w:rFonts w:eastAsia="Calibri"/>
                <w:color w:val="000000"/>
                <w:sz w:val="22"/>
              </w:rPr>
              <w:t xml:space="preserve"> (реконструкція проїздів та пішохідних зон, влаштування </w:t>
            </w:r>
            <w:proofErr w:type="spellStart"/>
            <w:r w:rsidRPr="00C86B34">
              <w:rPr>
                <w:rFonts w:eastAsia="Calibri"/>
                <w:color w:val="000000"/>
                <w:sz w:val="22"/>
              </w:rPr>
              <w:t>паркувальних</w:t>
            </w:r>
            <w:proofErr w:type="spellEnd"/>
            <w:r w:rsidRPr="00C86B34">
              <w:rPr>
                <w:rFonts w:eastAsia="Calibri"/>
                <w:color w:val="000000"/>
                <w:sz w:val="22"/>
              </w:rPr>
              <w:t xml:space="preserve"> місць, огородження території, озеленення території, зовнішнє освітлення, встановлення малих архітектурних форм)</w:t>
            </w:r>
            <w:r w:rsidR="000D1C5B" w:rsidRPr="00C86B34">
              <w:rPr>
                <w:rFonts w:eastAsia="Calibri"/>
                <w:color w:val="000000"/>
                <w:sz w:val="22"/>
              </w:rPr>
              <w:t>;</w:t>
            </w:r>
          </w:p>
          <w:p w:rsidR="00E95FB1" w:rsidRPr="00C86B34" w:rsidRDefault="00E95FB1" w:rsidP="000303D7">
            <w:pPr>
              <w:numPr>
                <w:ilvl w:val="1"/>
                <w:numId w:val="31"/>
              </w:numPr>
              <w:ind w:left="753" w:hanging="284"/>
              <w:rPr>
                <w:sz w:val="22"/>
              </w:rPr>
            </w:pPr>
            <w:r w:rsidRPr="00C86B34">
              <w:rPr>
                <w:rFonts w:eastAsia="Calibri"/>
                <w:color w:val="000000"/>
                <w:sz w:val="22"/>
              </w:rPr>
              <w:t>придбання обладнання та матеріалів:</w:t>
            </w:r>
            <w:r w:rsidRPr="00C86B34">
              <w:rPr>
                <w:sz w:val="22"/>
              </w:rPr>
              <w:t xml:space="preserve"> </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rFonts w:eastAsia="Calibri"/>
                <w:color w:val="000000"/>
                <w:sz w:val="22"/>
              </w:rPr>
              <w:t>забезпечення спортивних залів сучасним спортивним інвентарем та обладнанням</w:t>
            </w:r>
            <w:r w:rsidR="000D1C5B" w:rsidRPr="00C86B34">
              <w:rPr>
                <w:rFonts w:eastAsia="Calibri"/>
                <w:color w:val="000000"/>
                <w:sz w:val="22"/>
              </w:rPr>
              <w:t>;</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sz w:val="22"/>
              </w:rPr>
              <w:t>придбання офісної техніки, меблів, господарчого інвентарю</w:t>
            </w:r>
            <w:r w:rsidR="000D1C5B" w:rsidRPr="00C86B34">
              <w:rPr>
                <w:sz w:val="22"/>
              </w:rPr>
              <w:t>;</w:t>
            </w:r>
          </w:p>
          <w:p w:rsidR="00E95FB1" w:rsidRPr="00C86B34" w:rsidRDefault="00E95FB1" w:rsidP="000303D7">
            <w:pPr>
              <w:pStyle w:val="a7"/>
              <w:numPr>
                <w:ilvl w:val="0"/>
                <w:numId w:val="30"/>
              </w:numPr>
              <w:ind w:left="469" w:firstLine="0"/>
              <w:contextualSpacing w:val="0"/>
              <w:jc w:val="left"/>
              <w:rPr>
                <w:color w:val="000000"/>
                <w:sz w:val="22"/>
              </w:rPr>
            </w:pPr>
            <w:r w:rsidRPr="00C86B34">
              <w:rPr>
                <w:rFonts w:eastAsia="Calibri"/>
                <w:color w:val="000000"/>
                <w:sz w:val="22"/>
              </w:rPr>
              <w:t>введення споруди в експлуатацію та її експлуатація за призначенням</w:t>
            </w:r>
            <w:r w:rsidR="000D1C5B" w:rsidRPr="00C86B34">
              <w:rPr>
                <w:rFonts w:eastAsia="Calibri"/>
                <w:color w:val="000000"/>
                <w:sz w:val="22"/>
              </w:rPr>
              <w:t>.</w:t>
            </w:r>
          </w:p>
          <w:p w:rsidR="00E95FB1" w:rsidRPr="00C86B34" w:rsidRDefault="00E95FB1" w:rsidP="001B3967">
            <w:pPr>
              <w:autoSpaceDE w:val="0"/>
              <w:autoSpaceDN w:val="0"/>
              <w:adjustRightInd w:val="0"/>
              <w:ind w:right="116" w:firstLine="894"/>
              <w:rPr>
                <w:rFonts w:eastAsia="Calibri"/>
                <w:color w:val="000000"/>
                <w:sz w:val="22"/>
              </w:rPr>
            </w:pPr>
          </w:p>
        </w:tc>
      </w:tr>
      <w:tr w:rsidR="00E95FB1" w:rsidRPr="00C86B34" w:rsidTr="001B3967">
        <w:trPr>
          <w:trHeight w:val="196"/>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Орієнтовний обсяг та джерела фінансування тис. гривень</w:t>
            </w:r>
          </w:p>
        </w:tc>
        <w:tc>
          <w:tcPr>
            <w:tcW w:w="1895"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Державний бюджет</w:t>
            </w:r>
          </w:p>
        </w:tc>
        <w:tc>
          <w:tcPr>
            <w:tcW w:w="1243"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Місцевий бюджет</w:t>
            </w:r>
          </w:p>
        </w:tc>
        <w:tc>
          <w:tcPr>
            <w:tcW w:w="2487" w:type="dxa"/>
            <w:gridSpan w:val="4"/>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Інші джерела</w:t>
            </w:r>
          </w:p>
        </w:tc>
        <w:tc>
          <w:tcPr>
            <w:tcW w:w="1604"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Всього</w:t>
            </w:r>
          </w:p>
        </w:tc>
      </w:tr>
      <w:tr w:rsidR="00E95FB1" w:rsidRPr="00C86B34" w:rsidTr="001B3967">
        <w:trPr>
          <w:trHeight w:val="196"/>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1895"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243"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244"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Обсяг</w:t>
            </w:r>
          </w:p>
        </w:tc>
        <w:tc>
          <w:tcPr>
            <w:tcW w:w="1243"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Назва джерела</w:t>
            </w:r>
          </w:p>
        </w:tc>
        <w:tc>
          <w:tcPr>
            <w:tcW w:w="1604" w:type="dxa"/>
            <w:vMerge/>
            <w:vAlign w:val="center"/>
          </w:tcPr>
          <w:p w:rsidR="00E95FB1" w:rsidRPr="00C86B34" w:rsidRDefault="00E95FB1" w:rsidP="001B3967">
            <w:pPr>
              <w:autoSpaceDE w:val="0"/>
              <w:autoSpaceDN w:val="0"/>
              <w:adjustRightInd w:val="0"/>
              <w:jc w:val="center"/>
              <w:rPr>
                <w:rFonts w:eastAsia="Calibri"/>
                <w:b/>
                <w:color w:val="000000"/>
                <w:sz w:val="22"/>
              </w:rPr>
            </w:pPr>
          </w:p>
        </w:tc>
      </w:tr>
      <w:tr w:rsidR="00E95FB1" w:rsidRPr="00C86B34" w:rsidTr="001B3967">
        <w:trPr>
          <w:trHeight w:val="196"/>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1895"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150 000,0</w:t>
            </w:r>
          </w:p>
        </w:tc>
        <w:tc>
          <w:tcPr>
            <w:tcW w:w="1243" w:type="dxa"/>
          </w:tcPr>
          <w:p w:rsidR="00E95FB1" w:rsidRPr="00C86B34" w:rsidRDefault="00E95FB1" w:rsidP="001B3967">
            <w:pPr>
              <w:autoSpaceDE w:val="0"/>
              <w:autoSpaceDN w:val="0"/>
              <w:adjustRightInd w:val="0"/>
              <w:jc w:val="center"/>
              <w:rPr>
                <w:rFonts w:eastAsia="Calibri"/>
                <w:color w:val="000000"/>
                <w:sz w:val="22"/>
              </w:rPr>
            </w:pPr>
          </w:p>
        </w:tc>
        <w:tc>
          <w:tcPr>
            <w:tcW w:w="1244" w:type="dxa"/>
            <w:gridSpan w:val="2"/>
          </w:tcPr>
          <w:p w:rsidR="00E95FB1" w:rsidRPr="00C86B34" w:rsidRDefault="00E95FB1" w:rsidP="001B3967">
            <w:pPr>
              <w:autoSpaceDE w:val="0"/>
              <w:autoSpaceDN w:val="0"/>
              <w:adjustRightInd w:val="0"/>
              <w:jc w:val="center"/>
              <w:rPr>
                <w:rFonts w:eastAsia="Calibri"/>
                <w:color w:val="000000"/>
                <w:sz w:val="22"/>
              </w:rPr>
            </w:pPr>
          </w:p>
        </w:tc>
        <w:tc>
          <w:tcPr>
            <w:tcW w:w="1243" w:type="dxa"/>
            <w:gridSpan w:val="2"/>
          </w:tcPr>
          <w:p w:rsidR="00E95FB1" w:rsidRPr="00C86B34" w:rsidRDefault="00E95FB1" w:rsidP="001B3967">
            <w:pPr>
              <w:autoSpaceDE w:val="0"/>
              <w:autoSpaceDN w:val="0"/>
              <w:adjustRightInd w:val="0"/>
              <w:jc w:val="center"/>
              <w:rPr>
                <w:rFonts w:eastAsia="Calibri"/>
                <w:color w:val="000000"/>
                <w:sz w:val="22"/>
              </w:rPr>
            </w:pPr>
          </w:p>
        </w:tc>
        <w:tc>
          <w:tcPr>
            <w:tcW w:w="1604"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150 000,0</w:t>
            </w:r>
          </w:p>
        </w:tc>
      </w:tr>
      <w:tr w:rsidR="00E95FB1" w:rsidRPr="00C86B34" w:rsidTr="001B3967">
        <w:trPr>
          <w:trHeight w:val="196"/>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b/>
                <w:sz w:val="22"/>
              </w:rPr>
              <w:t xml:space="preserve">Ключові потенційні учасники </w:t>
            </w:r>
            <w:proofErr w:type="spellStart"/>
            <w:r w:rsidRPr="00C86B34">
              <w:rPr>
                <w:b/>
                <w:sz w:val="22"/>
              </w:rPr>
              <w:t>проєкту</w:t>
            </w:r>
            <w:proofErr w:type="spellEnd"/>
          </w:p>
        </w:tc>
        <w:tc>
          <w:tcPr>
            <w:tcW w:w="7229" w:type="dxa"/>
            <w:gridSpan w:val="7"/>
          </w:tcPr>
          <w:p w:rsidR="00E95FB1" w:rsidRPr="00C86B34" w:rsidRDefault="00E95FB1" w:rsidP="001B3967">
            <w:pPr>
              <w:rPr>
                <w:sz w:val="22"/>
              </w:rPr>
            </w:pPr>
            <w:r w:rsidRPr="00C86B34">
              <w:rPr>
                <w:sz w:val="22"/>
              </w:rPr>
              <w:t xml:space="preserve">1. Військова адміністрація міста. </w:t>
            </w:r>
          </w:p>
          <w:p w:rsidR="00E95FB1" w:rsidRPr="00C86B34" w:rsidRDefault="00E95FB1" w:rsidP="001B3967">
            <w:pPr>
              <w:tabs>
                <w:tab w:val="left" w:pos="720"/>
              </w:tabs>
              <w:rPr>
                <w:sz w:val="22"/>
              </w:rPr>
            </w:pPr>
            <w:r w:rsidRPr="00C86B34">
              <w:rPr>
                <w:sz w:val="22"/>
              </w:rPr>
              <w:t>2. Відділ капітального будівництва військової адміністрації міста.</w:t>
            </w:r>
          </w:p>
          <w:p w:rsidR="00E95FB1" w:rsidRPr="00C86B34" w:rsidRDefault="00E95FB1" w:rsidP="001B3967">
            <w:pPr>
              <w:tabs>
                <w:tab w:val="left" w:pos="720"/>
              </w:tabs>
              <w:rPr>
                <w:sz w:val="22"/>
              </w:rPr>
            </w:pPr>
            <w:r w:rsidRPr="00C86B34">
              <w:rPr>
                <w:sz w:val="22"/>
              </w:rPr>
              <w:t>3. Підрядна організація - переможець тендеру, виконавець будівельно-монтажних робіт.</w:t>
            </w:r>
          </w:p>
          <w:p w:rsidR="00E95FB1" w:rsidRPr="00C86B34" w:rsidRDefault="00E95FB1" w:rsidP="001B3967">
            <w:pPr>
              <w:tabs>
                <w:tab w:val="left" w:pos="720"/>
              </w:tabs>
              <w:rPr>
                <w:sz w:val="22"/>
              </w:rPr>
            </w:pPr>
            <w:r w:rsidRPr="00C86B34">
              <w:rPr>
                <w:sz w:val="22"/>
              </w:rPr>
              <w:t>4. Обласна державна адміністрація.</w:t>
            </w:r>
          </w:p>
          <w:p w:rsidR="00E95FB1" w:rsidRPr="00C86B34" w:rsidRDefault="00E95FB1" w:rsidP="001B3967">
            <w:pPr>
              <w:tabs>
                <w:tab w:val="left" w:pos="2693"/>
              </w:tabs>
              <w:autoSpaceDE w:val="0"/>
              <w:autoSpaceDN w:val="0"/>
              <w:adjustRightInd w:val="0"/>
              <w:rPr>
                <w:rFonts w:eastAsia="Calibri"/>
                <w:color w:val="000000"/>
                <w:sz w:val="22"/>
              </w:rPr>
            </w:pPr>
            <w:r w:rsidRPr="00C86B34">
              <w:rPr>
                <w:sz w:val="22"/>
              </w:rPr>
              <w:t>5. Інвестори та меценати спортивної галузі.</w:t>
            </w:r>
          </w:p>
        </w:tc>
      </w:tr>
    </w:tbl>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tbl>
      <w:tblPr>
        <w:tblpPr w:leftFromText="180" w:rightFromText="180" w:vertAnchor="text" w:horzAnchor="page" w:tblpX="1397" w:tblpY="123"/>
        <w:tblW w:w="9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724"/>
        <w:gridCol w:w="1748"/>
        <w:gridCol w:w="1087"/>
        <w:gridCol w:w="114"/>
        <w:gridCol w:w="1202"/>
        <w:gridCol w:w="243"/>
        <w:gridCol w:w="958"/>
        <w:gridCol w:w="1877"/>
      </w:tblGrid>
      <w:tr w:rsidR="00E95FB1" w:rsidRPr="00C86B34" w:rsidTr="001B3967">
        <w:trPr>
          <w:trHeight w:val="557"/>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Оперативна ціль/завдання</w:t>
            </w:r>
          </w:p>
        </w:tc>
        <w:tc>
          <w:tcPr>
            <w:tcW w:w="7229" w:type="dxa"/>
            <w:gridSpan w:val="7"/>
          </w:tcPr>
          <w:p w:rsidR="00E95FB1" w:rsidRPr="00C86B34" w:rsidRDefault="0070351F" w:rsidP="001B3967">
            <w:pPr>
              <w:pStyle w:val="a7"/>
              <w:ind w:left="0"/>
              <w:rPr>
                <w:sz w:val="22"/>
              </w:rPr>
            </w:pPr>
            <w:r w:rsidRPr="00C86B34">
              <w:rPr>
                <w:rFonts w:eastAsia="Arial"/>
                <w:sz w:val="22"/>
              </w:rPr>
              <w:t xml:space="preserve">Людський розвиток </w:t>
            </w:r>
            <w:r w:rsidR="00E95FB1" w:rsidRPr="00C86B34">
              <w:rPr>
                <w:rFonts w:eastAsia="Arial"/>
                <w:sz w:val="22"/>
              </w:rPr>
              <w:t xml:space="preserve">через інновації управління та довіру до влади. Формування сучасного інклюзивного </w:t>
            </w:r>
            <w:proofErr w:type="spellStart"/>
            <w:r w:rsidR="00E95FB1" w:rsidRPr="00C86B34">
              <w:rPr>
                <w:rFonts w:eastAsia="Arial"/>
                <w:sz w:val="22"/>
              </w:rPr>
              <w:t>освітньо</w:t>
            </w:r>
            <w:proofErr w:type="spellEnd"/>
            <w:r w:rsidR="00E95FB1" w:rsidRPr="00C86B34">
              <w:rPr>
                <w:rFonts w:eastAsia="Arial"/>
                <w:sz w:val="22"/>
              </w:rPr>
              <w:t xml:space="preserve"> – культурного та спортивного простору для розвитку</w:t>
            </w:r>
          </w:p>
        </w:tc>
      </w:tr>
      <w:tr w:rsidR="00E95FB1" w:rsidRPr="00C86B34" w:rsidTr="001B3967">
        <w:trPr>
          <w:trHeight w:val="601"/>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Назва проекту:</w:t>
            </w:r>
          </w:p>
        </w:tc>
        <w:tc>
          <w:tcPr>
            <w:tcW w:w="7229" w:type="dxa"/>
            <w:gridSpan w:val="7"/>
          </w:tcPr>
          <w:p w:rsidR="00E95FB1" w:rsidRPr="00C86B34" w:rsidRDefault="00E95FB1" w:rsidP="001B3967">
            <w:pPr>
              <w:autoSpaceDE w:val="0"/>
              <w:autoSpaceDN w:val="0"/>
              <w:adjustRightInd w:val="0"/>
              <w:ind w:left="49" w:right="116"/>
              <w:rPr>
                <w:rFonts w:eastAsia="Calibri"/>
                <w:color w:val="000000"/>
                <w:sz w:val="22"/>
              </w:rPr>
            </w:pPr>
            <w:r w:rsidRPr="00C86B34">
              <w:rPr>
                <w:rFonts w:eastAsia="Calibri"/>
                <w:color w:val="000000"/>
                <w:sz w:val="22"/>
              </w:rPr>
              <w:t>Реконструкція стадіону «Хімік» КДЮСШ 2 міста Сєвєродонецьк Луганської області</w:t>
            </w:r>
            <w:r w:rsidRPr="00C86B34">
              <w:rPr>
                <w:sz w:val="22"/>
              </w:rPr>
              <w:t xml:space="preserve"> </w:t>
            </w:r>
            <w:r w:rsidRPr="00C86B34">
              <w:rPr>
                <w:rFonts w:eastAsia="Calibri"/>
                <w:color w:val="000000"/>
                <w:sz w:val="22"/>
              </w:rPr>
              <w:t xml:space="preserve">розташованої за </w:t>
            </w:r>
            <w:proofErr w:type="spellStart"/>
            <w:r w:rsidRPr="00C86B34">
              <w:rPr>
                <w:rFonts w:eastAsia="Calibri"/>
                <w:color w:val="000000"/>
                <w:sz w:val="22"/>
              </w:rPr>
              <w:t>адресою</w:t>
            </w:r>
            <w:proofErr w:type="spellEnd"/>
            <w:r w:rsidRPr="00C86B34">
              <w:rPr>
                <w:rFonts w:eastAsia="Calibri"/>
                <w:color w:val="000000"/>
                <w:sz w:val="22"/>
              </w:rPr>
              <w:t xml:space="preserve">: вул. </w:t>
            </w:r>
            <w:proofErr w:type="spellStart"/>
            <w:r w:rsidRPr="00C86B34">
              <w:rPr>
                <w:rFonts w:eastAsia="Calibri"/>
                <w:color w:val="000000"/>
                <w:sz w:val="22"/>
              </w:rPr>
              <w:t>Сметаніна</w:t>
            </w:r>
            <w:proofErr w:type="spellEnd"/>
            <w:r w:rsidRPr="00C86B34">
              <w:rPr>
                <w:rFonts w:eastAsia="Calibri"/>
                <w:color w:val="000000"/>
                <w:sz w:val="22"/>
              </w:rPr>
              <w:t>, 5А.</w:t>
            </w:r>
          </w:p>
        </w:tc>
      </w:tr>
      <w:tr w:rsidR="00E95FB1" w:rsidRPr="00C86B34" w:rsidTr="001B3967">
        <w:trPr>
          <w:trHeight w:val="714"/>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Ціль проекту</w:t>
            </w:r>
          </w:p>
        </w:tc>
        <w:tc>
          <w:tcPr>
            <w:tcW w:w="7229" w:type="dxa"/>
            <w:gridSpan w:val="7"/>
            <w:vAlign w:val="center"/>
          </w:tcPr>
          <w:p w:rsidR="00E95FB1" w:rsidRPr="00C86B34" w:rsidRDefault="00E95FB1" w:rsidP="001B3967">
            <w:pPr>
              <w:tabs>
                <w:tab w:val="left" w:pos="333"/>
                <w:tab w:val="left" w:pos="750"/>
              </w:tabs>
              <w:autoSpaceDE w:val="0"/>
              <w:autoSpaceDN w:val="0"/>
              <w:adjustRightInd w:val="0"/>
              <w:ind w:right="113"/>
              <w:rPr>
                <w:rFonts w:eastAsia="Calibri"/>
                <w:color w:val="000000"/>
                <w:sz w:val="22"/>
              </w:rPr>
            </w:pPr>
            <w:r w:rsidRPr="00C86B34">
              <w:rPr>
                <w:rFonts w:eastAsia="Calibri"/>
                <w:color w:val="000000"/>
                <w:sz w:val="22"/>
              </w:rPr>
              <w:t xml:space="preserve">Створення спортивного простору для мешканців міста (дітей, молоді, дорослих та </w:t>
            </w:r>
            <w:r w:rsidRPr="00C86B34">
              <w:rPr>
                <w:sz w:val="22"/>
              </w:rPr>
              <w:t xml:space="preserve"> людей з особливими потребами) </w:t>
            </w:r>
            <w:r w:rsidRPr="00C86B34">
              <w:rPr>
                <w:rFonts w:eastAsia="Calibri"/>
                <w:color w:val="000000"/>
                <w:sz w:val="22"/>
              </w:rPr>
              <w:t xml:space="preserve">– сучасних, безпечних та комфортних умов для занять фізичною культурою та спортом, загального оздоровлення, реабілітації, зміцнення генофонду, підвищення потенціалу трудових ресурсів, психофізичного здоров’я, зростання добробуту населення і вирішення інших соціальних проблем, </w:t>
            </w:r>
            <w:r w:rsidRPr="00C86B34">
              <w:rPr>
                <w:sz w:val="22"/>
              </w:rPr>
              <w:t xml:space="preserve"> порушених  внаслідок військового вторгнення </w:t>
            </w:r>
            <w:r w:rsidR="0070351F" w:rsidRPr="00C86B34">
              <w:rPr>
                <w:sz w:val="22"/>
              </w:rPr>
              <w:t>РФ</w:t>
            </w:r>
            <w:r w:rsidRPr="00C86B34">
              <w:rPr>
                <w:sz w:val="22"/>
              </w:rPr>
              <w:t xml:space="preserve"> на територію України</w:t>
            </w:r>
            <w:r w:rsidRPr="00C86B34">
              <w:rPr>
                <w:rFonts w:eastAsia="Calibri"/>
                <w:color w:val="000000"/>
                <w:sz w:val="22"/>
              </w:rPr>
              <w:t>.</w:t>
            </w:r>
          </w:p>
          <w:p w:rsidR="00E95FB1" w:rsidRPr="00C86B34" w:rsidRDefault="00E95FB1" w:rsidP="001B3967">
            <w:pPr>
              <w:autoSpaceDE w:val="0"/>
              <w:autoSpaceDN w:val="0"/>
              <w:adjustRightInd w:val="0"/>
              <w:ind w:right="116"/>
              <w:rPr>
                <w:sz w:val="22"/>
              </w:rPr>
            </w:pPr>
            <w:r w:rsidRPr="00C86B34">
              <w:rPr>
                <w:color w:val="212529"/>
                <w:sz w:val="22"/>
                <w:shd w:val="clear" w:color="auto" w:fill="FFFFFF"/>
              </w:rPr>
              <w:t>Популяризації та організації оздоровчої рухової активності як джерела зняття психоемоційної напруги та рівня стресу для всіх груп населення</w:t>
            </w:r>
            <w:r w:rsidRPr="00C86B34">
              <w:rPr>
                <w:sz w:val="22"/>
              </w:rPr>
              <w:t>.</w:t>
            </w:r>
          </w:p>
          <w:p w:rsidR="00E95FB1" w:rsidRPr="00C86B34" w:rsidRDefault="00E95FB1" w:rsidP="001B3967">
            <w:pPr>
              <w:autoSpaceDE w:val="0"/>
              <w:autoSpaceDN w:val="0"/>
              <w:adjustRightInd w:val="0"/>
              <w:ind w:right="116"/>
              <w:rPr>
                <w:color w:val="212529"/>
                <w:sz w:val="22"/>
              </w:rPr>
            </w:pPr>
            <w:r w:rsidRPr="00C86B34">
              <w:rPr>
                <w:color w:val="212529"/>
                <w:sz w:val="22"/>
                <w:shd w:val="clear" w:color="auto" w:fill="FFFFFF"/>
              </w:rPr>
              <w:t>Впровадження якісних змін у систему надання фізкультурно-оздоровчих послуг населенню. З</w:t>
            </w:r>
            <w:r w:rsidRPr="00C86B34">
              <w:rPr>
                <w:color w:val="212529"/>
                <w:sz w:val="22"/>
              </w:rPr>
              <w:t xml:space="preserve">більшення відсотку населення, залученого до занять фізичною культурою і спортом. </w:t>
            </w:r>
          </w:p>
          <w:p w:rsidR="00E95FB1" w:rsidRPr="00C86B34" w:rsidRDefault="00E95FB1" w:rsidP="001B3967">
            <w:pPr>
              <w:tabs>
                <w:tab w:val="left" w:pos="333"/>
                <w:tab w:val="left" w:pos="750"/>
              </w:tabs>
              <w:autoSpaceDE w:val="0"/>
              <w:autoSpaceDN w:val="0"/>
              <w:adjustRightInd w:val="0"/>
              <w:ind w:right="113"/>
              <w:rPr>
                <w:rFonts w:eastAsia="Calibri"/>
                <w:color w:val="000000"/>
                <w:sz w:val="22"/>
              </w:rPr>
            </w:pPr>
            <w:r w:rsidRPr="00C86B34">
              <w:rPr>
                <w:color w:val="212529"/>
                <w:sz w:val="22"/>
              </w:rPr>
              <w:t>Відновлення у повному обсязі проведення всеукраїнських спортивних змагань.</w:t>
            </w:r>
          </w:p>
        </w:tc>
      </w:tr>
      <w:tr w:rsidR="00E95FB1" w:rsidRPr="00C86B34" w:rsidTr="001B3967">
        <w:trPr>
          <w:trHeight w:val="601"/>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Територія, на яку матиме вплив реалізація проекту</w:t>
            </w:r>
          </w:p>
        </w:tc>
        <w:tc>
          <w:tcPr>
            <w:tcW w:w="7229" w:type="dxa"/>
            <w:gridSpan w:val="7"/>
            <w:vAlign w:val="center"/>
          </w:tcPr>
          <w:p w:rsidR="00E95FB1" w:rsidRPr="00C86B34" w:rsidRDefault="00E95FB1" w:rsidP="001B3967">
            <w:pPr>
              <w:autoSpaceDE w:val="0"/>
              <w:autoSpaceDN w:val="0"/>
              <w:adjustRightInd w:val="0"/>
              <w:ind w:left="49" w:right="116"/>
              <w:rPr>
                <w:rFonts w:eastAsia="Calibri"/>
                <w:color w:val="000000"/>
                <w:sz w:val="22"/>
              </w:rPr>
            </w:pPr>
            <w:r w:rsidRPr="00C86B34">
              <w:rPr>
                <w:rFonts w:eastAsia="Calibri"/>
                <w:color w:val="000000"/>
                <w:sz w:val="22"/>
              </w:rPr>
              <w:t>Сєвєродонецька міська територіальна громада.</w:t>
            </w:r>
          </w:p>
        </w:tc>
      </w:tr>
      <w:tr w:rsidR="00E95FB1" w:rsidRPr="00C86B34" w:rsidTr="001B3967">
        <w:trPr>
          <w:trHeight w:val="1203"/>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Чисельність населення, на яке матиме вплив реалізація проекту</w:t>
            </w:r>
          </w:p>
        </w:tc>
        <w:tc>
          <w:tcPr>
            <w:tcW w:w="7229" w:type="dxa"/>
            <w:gridSpan w:val="7"/>
            <w:vAlign w:val="center"/>
          </w:tcPr>
          <w:p w:rsidR="00E95FB1" w:rsidRPr="00C86B34" w:rsidRDefault="00E95FB1" w:rsidP="0070351F">
            <w:pPr>
              <w:autoSpaceDE w:val="0"/>
              <w:autoSpaceDN w:val="0"/>
              <w:adjustRightInd w:val="0"/>
              <w:ind w:left="49" w:right="116"/>
              <w:rPr>
                <w:rFonts w:eastAsia="Calibri"/>
                <w:color w:val="000000"/>
                <w:sz w:val="22"/>
              </w:rPr>
            </w:pPr>
            <w:r w:rsidRPr="00C86B34">
              <w:rPr>
                <w:rFonts w:eastAsia="Calibri"/>
                <w:color w:val="000000"/>
                <w:sz w:val="22"/>
              </w:rPr>
              <w:t xml:space="preserve">70 </w:t>
            </w:r>
            <w:r w:rsidR="0070351F" w:rsidRPr="00C86B34">
              <w:rPr>
                <w:rFonts w:eastAsia="Calibri"/>
                <w:color w:val="000000"/>
                <w:sz w:val="22"/>
              </w:rPr>
              <w:t>000</w:t>
            </w:r>
          </w:p>
        </w:tc>
      </w:tr>
      <w:tr w:rsidR="00E95FB1" w:rsidRPr="00C86B34" w:rsidTr="001B3967">
        <w:trPr>
          <w:trHeight w:val="648"/>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Опис проблеми, на вирішення якої спрямований проект</w:t>
            </w:r>
          </w:p>
        </w:tc>
        <w:tc>
          <w:tcPr>
            <w:tcW w:w="7229" w:type="dxa"/>
            <w:gridSpan w:val="7"/>
          </w:tcPr>
          <w:p w:rsidR="00E95FB1" w:rsidRPr="00C86B34" w:rsidRDefault="00E95FB1" w:rsidP="001B3967">
            <w:pPr>
              <w:autoSpaceDE w:val="0"/>
              <w:autoSpaceDN w:val="0"/>
              <w:adjustRightInd w:val="0"/>
              <w:ind w:left="49" w:right="116"/>
              <w:rPr>
                <w:sz w:val="22"/>
              </w:rPr>
            </w:pPr>
            <w:r w:rsidRPr="00C86B34">
              <w:rPr>
                <w:rFonts w:eastAsia="Calibri"/>
                <w:color w:val="000000"/>
                <w:sz w:val="22"/>
              </w:rPr>
              <w:t xml:space="preserve">Сьогодні сфера фізичної культури і спорту вносить великий внесок у формування обороноздатності держави, оскільки виховує здорову, підготовлену людину, </w:t>
            </w:r>
            <w:r w:rsidRPr="00C86B34">
              <w:rPr>
                <w:color w:val="000000"/>
                <w:sz w:val="22"/>
              </w:rPr>
              <w:t>здатну для виконання свого конституційного обов’язку щодо захисту суверенітету та територіальної цілісності держави.</w:t>
            </w:r>
            <w:r w:rsidRPr="00C86B34">
              <w:rPr>
                <w:b/>
                <w:color w:val="000000"/>
                <w:sz w:val="22"/>
              </w:rPr>
              <w:t xml:space="preserve"> </w:t>
            </w:r>
            <w:r w:rsidRPr="00C86B34">
              <w:rPr>
                <w:sz w:val="22"/>
                <w:shd w:val="clear" w:color="auto" w:fill="FFFFFF"/>
              </w:rPr>
              <w:t xml:space="preserve"> Також попри війну спортсмени нашого міста продовжують виборювати нагороди на різних рівнях.</w:t>
            </w:r>
          </w:p>
          <w:p w:rsidR="00E95FB1" w:rsidRPr="00C86B34" w:rsidRDefault="00E95FB1" w:rsidP="001B3967">
            <w:pPr>
              <w:autoSpaceDE w:val="0"/>
              <w:autoSpaceDN w:val="0"/>
              <w:adjustRightInd w:val="0"/>
              <w:ind w:left="49" w:right="116"/>
              <w:rPr>
                <w:color w:val="000000"/>
                <w:sz w:val="22"/>
              </w:rPr>
            </w:pPr>
            <w:r w:rsidRPr="00C86B34">
              <w:rPr>
                <w:color w:val="000000"/>
                <w:sz w:val="22"/>
              </w:rPr>
              <w:t xml:space="preserve">Тому розвиток сфери фізичної культури і спорту, відновлення спортивної інфраструктури має стратегічне значення. </w:t>
            </w:r>
          </w:p>
          <w:p w:rsidR="00E95FB1" w:rsidRPr="00C86B34" w:rsidRDefault="00E95FB1" w:rsidP="001B3967">
            <w:pPr>
              <w:autoSpaceDE w:val="0"/>
              <w:autoSpaceDN w:val="0"/>
              <w:adjustRightInd w:val="0"/>
              <w:ind w:left="49" w:right="116"/>
              <w:rPr>
                <w:rFonts w:eastAsia="Calibri"/>
                <w:color w:val="000000"/>
                <w:sz w:val="22"/>
              </w:rPr>
            </w:pPr>
            <w:r w:rsidRPr="00C86B34">
              <w:rPr>
                <w:rFonts w:eastAsia="Calibri"/>
                <w:color w:val="000000"/>
                <w:sz w:val="22"/>
              </w:rPr>
              <w:t xml:space="preserve">Внаслідок ведення активних бойових дій на території Сєвєродонецької міської територіальної громади КДЮСШ 2 міста Сєвєродонецьк Луганської області зазнала руйнувань (пошкоджень) а саме: від влучання бойових снарядів, внаслідок чого у приміщеннях відділень, підсобних та допоміжних приміщеннях східної і західної трибун вилетіли всі вікна, двері, частково зруйновано паркан навколо стадіону. Ударною хвилею знесено останній проліт металевого покриття над східною трибуною. </w:t>
            </w:r>
            <w:r w:rsidRPr="00C86B34">
              <w:rPr>
                <w:rFonts w:eastAsia="Calibri"/>
                <w:sz w:val="22"/>
              </w:rPr>
              <w:t xml:space="preserve">Енергосистема трибун стадіону пошкоджена уламками від снарядів та </w:t>
            </w:r>
            <w:r w:rsidRPr="00C86B34">
              <w:rPr>
                <w:rFonts w:eastAsia="Calibri"/>
                <w:sz w:val="22"/>
              </w:rPr>
              <w:lastRenderedPageBreak/>
              <w:t>відсутністю догляду за ним. Через отримані пошкодження трибуни будівлі стадіону також зазнали руйнувань від негоди (дощ, сніг, вітер).</w:t>
            </w:r>
            <w:r w:rsidRPr="00C86B34">
              <w:rPr>
                <w:rFonts w:eastAsia="Calibri"/>
                <w:color w:val="000000"/>
                <w:sz w:val="22"/>
              </w:rPr>
              <w:t xml:space="preserve"> З гаражу та прилеглих до нього підсобних приміщень </w:t>
            </w:r>
            <w:r w:rsidR="00D470C3" w:rsidRPr="00C86B34">
              <w:rPr>
                <w:rFonts w:eastAsia="Calibri"/>
                <w:color w:val="000000"/>
                <w:sz w:val="22"/>
              </w:rPr>
              <w:t>в</w:t>
            </w:r>
            <w:r w:rsidRPr="00C86B34">
              <w:rPr>
                <w:rFonts w:eastAsia="Calibri"/>
                <w:color w:val="000000"/>
                <w:sz w:val="22"/>
              </w:rPr>
              <w:t xml:space="preserve">крадено автомобіль відділення велосипедного спорту для надання технічного супроводу підчас тренувань та змагань, </w:t>
            </w:r>
            <w:proofErr w:type="spellStart"/>
            <w:r w:rsidRPr="00C86B34">
              <w:rPr>
                <w:rFonts w:eastAsia="Calibri"/>
                <w:color w:val="000000"/>
                <w:sz w:val="22"/>
              </w:rPr>
              <w:t>електро</w:t>
            </w:r>
            <w:proofErr w:type="spellEnd"/>
            <w:r w:rsidR="00D470C3" w:rsidRPr="00C86B34">
              <w:rPr>
                <w:rFonts w:eastAsia="Calibri"/>
                <w:color w:val="000000"/>
                <w:sz w:val="22"/>
              </w:rPr>
              <w:t>-</w:t>
            </w:r>
            <w:r w:rsidRPr="00C86B34">
              <w:rPr>
                <w:rFonts w:eastAsia="Calibri"/>
                <w:color w:val="000000"/>
                <w:sz w:val="22"/>
              </w:rPr>
              <w:t xml:space="preserve"> та господарче обладнання і інвентар для обслуговування спортивної бази.    </w:t>
            </w:r>
          </w:p>
          <w:p w:rsidR="00E95FB1" w:rsidRPr="00C86B34" w:rsidRDefault="00E95FB1" w:rsidP="00D470C3">
            <w:pPr>
              <w:autoSpaceDE w:val="0"/>
              <w:autoSpaceDN w:val="0"/>
              <w:adjustRightInd w:val="0"/>
              <w:ind w:left="49" w:right="116"/>
              <w:rPr>
                <w:rFonts w:eastAsia="Calibri"/>
                <w:color w:val="000000"/>
                <w:sz w:val="22"/>
              </w:rPr>
            </w:pPr>
            <w:r w:rsidRPr="00C86B34">
              <w:rPr>
                <w:rFonts w:eastAsia="Calibri"/>
                <w:color w:val="000000"/>
                <w:sz w:val="22"/>
              </w:rPr>
              <w:t xml:space="preserve">У 2021 році була розпочата підготовка </w:t>
            </w:r>
            <w:proofErr w:type="spellStart"/>
            <w:r w:rsidRPr="00C86B34">
              <w:rPr>
                <w:rFonts w:eastAsia="Calibri"/>
                <w:color w:val="000000"/>
                <w:sz w:val="22"/>
              </w:rPr>
              <w:t>про</w:t>
            </w:r>
            <w:r w:rsidR="00D470C3" w:rsidRPr="00C86B34">
              <w:rPr>
                <w:rFonts w:eastAsia="Calibri"/>
                <w:color w:val="000000"/>
                <w:sz w:val="22"/>
              </w:rPr>
              <w:t>є</w:t>
            </w:r>
            <w:r w:rsidRPr="00C86B34">
              <w:rPr>
                <w:rFonts w:eastAsia="Calibri"/>
                <w:color w:val="000000"/>
                <w:sz w:val="22"/>
              </w:rPr>
              <w:t>ктно</w:t>
            </w:r>
            <w:proofErr w:type="spellEnd"/>
            <w:r w:rsidRPr="00C86B34">
              <w:rPr>
                <w:rFonts w:eastAsia="Calibri"/>
                <w:color w:val="000000"/>
                <w:sz w:val="22"/>
              </w:rPr>
              <w:t>-кошторисної документації для реконструкції стадіону.</w:t>
            </w:r>
          </w:p>
        </w:tc>
      </w:tr>
      <w:tr w:rsidR="00E95FB1" w:rsidRPr="00C86B34" w:rsidTr="001B3967">
        <w:trPr>
          <w:trHeight w:val="567"/>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lastRenderedPageBreak/>
              <w:t>Очікувані якісні результати від реалізації проекту</w:t>
            </w:r>
          </w:p>
        </w:tc>
        <w:tc>
          <w:tcPr>
            <w:tcW w:w="7229" w:type="dxa"/>
            <w:gridSpan w:val="7"/>
          </w:tcPr>
          <w:p w:rsidR="00E95FB1" w:rsidRPr="00C86B34" w:rsidRDefault="00E95FB1" w:rsidP="000303D7">
            <w:pPr>
              <w:numPr>
                <w:ilvl w:val="0"/>
                <w:numId w:val="43"/>
              </w:numPr>
              <w:autoSpaceDE w:val="0"/>
              <w:autoSpaceDN w:val="0"/>
              <w:adjustRightInd w:val="0"/>
              <w:ind w:left="329" w:right="113" w:hanging="284"/>
              <w:rPr>
                <w:rFonts w:eastAsia="Calibri"/>
                <w:sz w:val="22"/>
              </w:rPr>
            </w:pPr>
            <w:r w:rsidRPr="00C86B34">
              <w:rPr>
                <w:rFonts w:eastAsia="Calibri"/>
                <w:sz w:val="22"/>
              </w:rPr>
              <w:t xml:space="preserve">в громаді з’явиться сучасний стадіон 3 категорії, що дозволить проводити </w:t>
            </w:r>
            <w:r w:rsidRPr="00C86B34">
              <w:rPr>
                <w:color w:val="000000"/>
                <w:sz w:val="22"/>
              </w:rPr>
              <w:t xml:space="preserve">матчі УПЛ, матчі Кубку та </w:t>
            </w:r>
            <w:proofErr w:type="spellStart"/>
            <w:r w:rsidRPr="00C86B34">
              <w:rPr>
                <w:color w:val="000000"/>
                <w:sz w:val="22"/>
              </w:rPr>
              <w:t>Суперкубку</w:t>
            </w:r>
            <w:proofErr w:type="spellEnd"/>
            <w:r w:rsidRPr="00C86B34">
              <w:rPr>
                <w:color w:val="000000"/>
                <w:sz w:val="22"/>
              </w:rPr>
              <w:t xml:space="preserve"> України з футболу)</w:t>
            </w:r>
            <w:r w:rsidR="00720F38" w:rsidRPr="00C86B34">
              <w:rPr>
                <w:color w:val="000000"/>
                <w:sz w:val="22"/>
              </w:rPr>
              <w:t>;</w:t>
            </w:r>
          </w:p>
          <w:p w:rsidR="00E95FB1" w:rsidRPr="00C86B34" w:rsidRDefault="00E95FB1" w:rsidP="000303D7">
            <w:pPr>
              <w:numPr>
                <w:ilvl w:val="0"/>
                <w:numId w:val="43"/>
              </w:numPr>
              <w:autoSpaceDE w:val="0"/>
              <w:autoSpaceDN w:val="0"/>
              <w:adjustRightInd w:val="0"/>
              <w:ind w:left="329" w:right="113" w:hanging="284"/>
              <w:rPr>
                <w:rFonts w:eastAsia="Calibri"/>
                <w:sz w:val="22"/>
              </w:rPr>
            </w:pPr>
            <w:r w:rsidRPr="00C86B34">
              <w:rPr>
                <w:rFonts w:eastAsia="Calibri"/>
                <w:sz w:val="22"/>
              </w:rPr>
              <w:t>стадіон стане перлиною не тільки громади, а й всієї області;</w:t>
            </w:r>
          </w:p>
          <w:p w:rsidR="00E95FB1" w:rsidRPr="00C86B34" w:rsidRDefault="00E95FB1" w:rsidP="000303D7">
            <w:pPr>
              <w:numPr>
                <w:ilvl w:val="0"/>
                <w:numId w:val="43"/>
              </w:numPr>
              <w:autoSpaceDE w:val="0"/>
              <w:autoSpaceDN w:val="0"/>
              <w:adjustRightInd w:val="0"/>
              <w:ind w:left="329" w:right="113" w:hanging="284"/>
              <w:rPr>
                <w:rFonts w:eastAsia="Calibri"/>
                <w:sz w:val="22"/>
              </w:rPr>
            </w:pPr>
            <w:r w:rsidRPr="00C86B34">
              <w:rPr>
                <w:rFonts w:eastAsia="Calibri"/>
                <w:sz w:val="22"/>
              </w:rPr>
              <w:t xml:space="preserve">з’являться можливості проводити безліч регіональних, обласних та всеукраїнських </w:t>
            </w:r>
            <w:proofErr w:type="spellStart"/>
            <w:r w:rsidRPr="00C86B34">
              <w:rPr>
                <w:rFonts w:eastAsia="Calibri"/>
                <w:sz w:val="22"/>
              </w:rPr>
              <w:t>змаганнь</w:t>
            </w:r>
            <w:proofErr w:type="spellEnd"/>
            <w:r w:rsidRPr="00C86B34">
              <w:rPr>
                <w:rFonts w:eastAsia="Calibri"/>
                <w:sz w:val="22"/>
              </w:rPr>
              <w:t xml:space="preserve"> в безпечних та комфортних умовах</w:t>
            </w:r>
          </w:p>
          <w:p w:rsidR="00E95FB1" w:rsidRPr="00C86B34" w:rsidRDefault="00E95FB1" w:rsidP="000303D7">
            <w:pPr>
              <w:numPr>
                <w:ilvl w:val="0"/>
                <w:numId w:val="43"/>
              </w:numPr>
              <w:autoSpaceDE w:val="0"/>
              <w:autoSpaceDN w:val="0"/>
              <w:adjustRightInd w:val="0"/>
              <w:ind w:left="329" w:right="113" w:hanging="284"/>
              <w:rPr>
                <w:rFonts w:eastAsia="Calibri"/>
                <w:sz w:val="22"/>
              </w:rPr>
            </w:pPr>
            <w:r w:rsidRPr="00C86B34">
              <w:rPr>
                <w:rFonts w:eastAsia="Calibri"/>
                <w:sz w:val="22"/>
              </w:rPr>
              <w:t>з’явиться зона ВІП-трибун;</w:t>
            </w:r>
          </w:p>
          <w:p w:rsidR="00E95FB1" w:rsidRPr="00C86B34" w:rsidRDefault="00E95FB1" w:rsidP="000303D7">
            <w:pPr>
              <w:numPr>
                <w:ilvl w:val="0"/>
                <w:numId w:val="43"/>
              </w:numPr>
              <w:autoSpaceDE w:val="0"/>
              <w:autoSpaceDN w:val="0"/>
              <w:adjustRightInd w:val="0"/>
              <w:ind w:left="329" w:right="113" w:hanging="284"/>
              <w:rPr>
                <w:color w:val="000000"/>
                <w:sz w:val="22"/>
              </w:rPr>
            </w:pPr>
            <w:r w:rsidRPr="00C86B34">
              <w:rPr>
                <w:sz w:val="22"/>
              </w:rPr>
              <w:t>організована робоча зона для представників засобів масової інформації, влаштування платформ для телебачення;</w:t>
            </w:r>
          </w:p>
          <w:p w:rsidR="00E95FB1" w:rsidRPr="00C86B34" w:rsidRDefault="00E95FB1" w:rsidP="000303D7">
            <w:pPr>
              <w:numPr>
                <w:ilvl w:val="0"/>
                <w:numId w:val="43"/>
              </w:numPr>
              <w:autoSpaceDE w:val="0"/>
              <w:autoSpaceDN w:val="0"/>
              <w:adjustRightInd w:val="0"/>
              <w:ind w:left="329" w:right="113" w:hanging="284"/>
              <w:rPr>
                <w:color w:val="000000"/>
                <w:sz w:val="22"/>
              </w:rPr>
            </w:pPr>
            <w:r w:rsidRPr="00C86B34">
              <w:rPr>
                <w:color w:val="000000"/>
                <w:sz w:val="22"/>
              </w:rPr>
              <w:t>облаштування інженерної системи для забезпечення безпеки проведення матчів та функціонування стадіону;</w:t>
            </w:r>
          </w:p>
          <w:p w:rsidR="00E95FB1" w:rsidRPr="00C86B34" w:rsidRDefault="00E95FB1" w:rsidP="000303D7">
            <w:pPr>
              <w:numPr>
                <w:ilvl w:val="0"/>
                <w:numId w:val="43"/>
              </w:numPr>
              <w:autoSpaceDE w:val="0"/>
              <w:autoSpaceDN w:val="0"/>
              <w:adjustRightInd w:val="0"/>
              <w:ind w:left="329" w:right="113" w:hanging="284"/>
              <w:rPr>
                <w:rFonts w:eastAsia="Calibri"/>
                <w:sz w:val="22"/>
              </w:rPr>
            </w:pPr>
            <w:r w:rsidRPr="00C86B34">
              <w:rPr>
                <w:sz w:val="22"/>
              </w:rPr>
              <w:t>влаштування диспетчерського пункту для координації дій всіх служб в період проведення матчів</w:t>
            </w:r>
          </w:p>
          <w:p w:rsidR="00E95FB1" w:rsidRPr="00C86B34" w:rsidRDefault="00E95FB1" w:rsidP="000303D7">
            <w:pPr>
              <w:numPr>
                <w:ilvl w:val="0"/>
                <w:numId w:val="43"/>
              </w:numPr>
              <w:autoSpaceDE w:val="0"/>
              <w:autoSpaceDN w:val="0"/>
              <w:adjustRightInd w:val="0"/>
              <w:ind w:left="329" w:right="113" w:hanging="284"/>
              <w:rPr>
                <w:rFonts w:eastAsia="Calibri"/>
                <w:sz w:val="22"/>
              </w:rPr>
            </w:pPr>
            <w:r w:rsidRPr="00C86B34">
              <w:rPr>
                <w:rFonts w:eastAsia="Calibri"/>
                <w:sz w:val="22"/>
              </w:rPr>
              <w:t>відновлення навчально-тренувального процесу з видів спорту: велосипедний спорт, легка атлетика, футбол, стрільба кульова на власній спортивній базі;</w:t>
            </w:r>
          </w:p>
          <w:p w:rsidR="00E95FB1" w:rsidRPr="00C86B34" w:rsidRDefault="00720F38" w:rsidP="000303D7">
            <w:pPr>
              <w:numPr>
                <w:ilvl w:val="0"/>
                <w:numId w:val="43"/>
              </w:numPr>
              <w:autoSpaceDE w:val="0"/>
              <w:autoSpaceDN w:val="0"/>
              <w:adjustRightInd w:val="0"/>
              <w:ind w:left="329" w:right="113" w:hanging="284"/>
              <w:rPr>
                <w:rFonts w:eastAsia="Calibri"/>
                <w:sz w:val="22"/>
              </w:rPr>
            </w:pPr>
            <w:r w:rsidRPr="00C86B34">
              <w:rPr>
                <w:sz w:val="22"/>
              </w:rPr>
              <w:t>в</w:t>
            </w:r>
            <w:r w:rsidR="00E95FB1" w:rsidRPr="00C86B34">
              <w:rPr>
                <w:sz w:val="22"/>
              </w:rPr>
              <w:t>провадження всіх заходів для без бар’єрного доступу людей з особливими потребами до занять спортом</w:t>
            </w:r>
            <w:r w:rsidRPr="00C86B34">
              <w:rPr>
                <w:sz w:val="22"/>
              </w:rPr>
              <w:t>;</w:t>
            </w:r>
          </w:p>
          <w:p w:rsidR="00E95FB1" w:rsidRPr="00C86B34" w:rsidRDefault="00720F38" w:rsidP="000303D7">
            <w:pPr>
              <w:numPr>
                <w:ilvl w:val="0"/>
                <w:numId w:val="43"/>
              </w:numPr>
              <w:autoSpaceDE w:val="0"/>
              <w:autoSpaceDN w:val="0"/>
              <w:adjustRightInd w:val="0"/>
              <w:ind w:left="329" w:right="113" w:hanging="284"/>
              <w:rPr>
                <w:rFonts w:eastAsia="Calibri"/>
                <w:sz w:val="22"/>
              </w:rPr>
            </w:pPr>
            <w:r w:rsidRPr="00C86B34">
              <w:rPr>
                <w:sz w:val="22"/>
              </w:rPr>
              <w:t>в</w:t>
            </w:r>
            <w:r w:rsidR="00E95FB1" w:rsidRPr="00C86B34">
              <w:rPr>
                <w:sz w:val="22"/>
              </w:rPr>
              <w:t>провадження та розвиток реабілітаційних, відновлюваних заходів для громадян міста, району постраждалих від бойових дій</w:t>
            </w:r>
            <w:r w:rsidRPr="00C86B34">
              <w:rPr>
                <w:sz w:val="22"/>
              </w:rPr>
              <w:t>;</w:t>
            </w:r>
          </w:p>
          <w:p w:rsidR="00E95FB1" w:rsidRPr="00C86B34" w:rsidRDefault="00720F38" w:rsidP="00720F38">
            <w:pPr>
              <w:numPr>
                <w:ilvl w:val="0"/>
                <w:numId w:val="43"/>
              </w:numPr>
              <w:autoSpaceDE w:val="0"/>
              <w:autoSpaceDN w:val="0"/>
              <w:adjustRightInd w:val="0"/>
              <w:ind w:left="329" w:right="113" w:hanging="284"/>
              <w:rPr>
                <w:rFonts w:eastAsia="Calibri"/>
                <w:sz w:val="22"/>
              </w:rPr>
            </w:pPr>
            <w:r w:rsidRPr="00C86B34">
              <w:rPr>
                <w:sz w:val="22"/>
              </w:rPr>
              <w:t>п</w:t>
            </w:r>
            <w:r w:rsidR="00E95FB1" w:rsidRPr="00C86B34">
              <w:rPr>
                <w:sz w:val="22"/>
              </w:rPr>
              <w:t>роведення та організація заходів для фізичної підготовки, реабілітації військовослужбовців тощо.</w:t>
            </w:r>
          </w:p>
        </w:tc>
      </w:tr>
      <w:tr w:rsidR="00E95FB1" w:rsidRPr="00C86B34" w:rsidTr="001B3967">
        <w:trPr>
          <w:trHeight w:val="1203"/>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Очікувані кількісні результати від реалізації проекту  (індикатори)</w:t>
            </w:r>
          </w:p>
        </w:tc>
        <w:tc>
          <w:tcPr>
            <w:tcW w:w="2835"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Найменування показника</w:t>
            </w:r>
          </w:p>
        </w:tc>
        <w:tc>
          <w:tcPr>
            <w:tcW w:w="1559" w:type="dxa"/>
            <w:gridSpan w:val="3"/>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Одиниця вимірювання</w:t>
            </w:r>
          </w:p>
        </w:tc>
        <w:tc>
          <w:tcPr>
            <w:tcW w:w="2835"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Прогнозне (цільове) значення</w:t>
            </w:r>
          </w:p>
        </w:tc>
      </w:tr>
      <w:tr w:rsidR="00E95FB1" w:rsidRPr="00C86B34" w:rsidTr="001B3967">
        <w:trPr>
          <w:trHeight w:val="601"/>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2835"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кількість місць на трибунах</w:t>
            </w:r>
          </w:p>
        </w:tc>
        <w:tc>
          <w:tcPr>
            <w:tcW w:w="1559" w:type="dxa"/>
            <w:gridSpan w:val="3"/>
          </w:tcPr>
          <w:p w:rsidR="00E95FB1" w:rsidRPr="00C86B34" w:rsidRDefault="00720F38" w:rsidP="001B3967">
            <w:pPr>
              <w:autoSpaceDE w:val="0"/>
              <w:autoSpaceDN w:val="0"/>
              <w:adjustRightInd w:val="0"/>
              <w:jc w:val="center"/>
              <w:rPr>
                <w:rFonts w:eastAsia="Calibri"/>
                <w:color w:val="000000"/>
                <w:sz w:val="22"/>
              </w:rPr>
            </w:pPr>
            <w:r w:rsidRPr="00C86B34">
              <w:rPr>
                <w:rFonts w:eastAsia="Calibri"/>
                <w:color w:val="000000"/>
                <w:sz w:val="22"/>
              </w:rPr>
              <w:t>одиниць</w:t>
            </w:r>
          </w:p>
        </w:tc>
        <w:tc>
          <w:tcPr>
            <w:tcW w:w="2835" w:type="dxa"/>
            <w:gridSpan w:val="2"/>
          </w:tcPr>
          <w:p w:rsidR="00E95FB1" w:rsidRPr="00C86B34" w:rsidRDefault="00E95FB1" w:rsidP="001B3967">
            <w:pPr>
              <w:autoSpaceDE w:val="0"/>
              <w:autoSpaceDN w:val="0"/>
              <w:adjustRightInd w:val="0"/>
              <w:jc w:val="center"/>
              <w:rPr>
                <w:rFonts w:eastAsia="Calibri"/>
                <w:sz w:val="22"/>
              </w:rPr>
            </w:pPr>
            <w:r w:rsidRPr="00C86B34">
              <w:rPr>
                <w:rFonts w:eastAsia="Calibri"/>
                <w:sz w:val="22"/>
              </w:rPr>
              <w:t>6030</w:t>
            </w:r>
          </w:p>
        </w:tc>
      </w:tr>
      <w:tr w:rsidR="00E95FB1" w:rsidRPr="00C86B34" w:rsidTr="001B3967">
        <w:trPr>
          <w:trHeight w:val="601"/>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2835"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кількість вихованців (спортсменів)</w:t>
            </w:r>
          </w:p>
        </w:tc>
        <w:tc>
          <w:tcPr>
            <w:tcW w:w="1559" w:type="dxa"/>
            <w:gridSpan w:val="3"/>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осіб/день</w:t>
            </w:r>
          </w:p>
        </w:tc>
        <w:tc>
          <w:tcPr>
            <w:tcW w:w="2835" w:type="dxa"/>
            <w:gridSpan w:val="2"/>
          </w:tcPr>
          <w:p w:rsidR="00E95FB1" w:rsidRPr="00C86B34" w:rsidRDefault="00E95FB1" w:rsidP="001B3967">
            <w:pPr>
              <w:autoSpaceDE w:val="0"/>
              <w:autoSpaceDN w:val="0"/>
              <w:adjustRightInd w:val="0"/>
              <w:jc w:val="center"/>
              <w:rPr>
                <w:rFonts w:eastAsia="Calibri"/>
                <w:sz w:val="22"/>
              </w:rPr>
            </w:pPr>
            <w:r w:rsidRPr="00C86B34">
              <w:rPr>
                <w:rFonts w:eastAsia="Calibri"/>
                <w:sz w:val="22"/>
              </w:rPr>
              <w:t>400</w:t>
            </w:r>
          </w:p>
        </w:tc>
      </w:tr>
      <w:tr w:rsidR="00E95FB1" w:rsidRPr="00C86B34" w:rsidTr="001B3967">
        <w:trPr>
          <w:trHeight w:val="601"/>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2835"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кількість отримувачів послуг</w:t>
            </w:r>
          </w:p>
        </w:tc>
        <w:tc>
          <w:tcPr>
            <w:tcW w:w="1559" w:type="dxa"/>
            <w:gridSpan w:val="3"/>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осіб/день</w:t>
            </w:r>
          </w:p>
        </w:tc>
        <w:tc>
          <w:tcPr>
            <w:tcW w:w="2835" w:type="dxa"/>
            <w:gridSpan w:val="2"/>
          </w:tcPr>
          <w:p w:rsidR="00E95FB1" w:rsidRPr="00C86B34" w:rsidRDefault="00E95FB1" w:rsidP="001B3967">
            <w:pPr>
              <w:autoSpaceDE w:val="0"/>
              <w:autoSpaceDN w:val="0"/>
              <w:adjustRightInd w:val="0"/>
              <w:jc w:val="center"/>
              <w:rPr>
                <w:rFonts w:eastAsia="Calibri"/>
                <w:sz w:val="22"/>
              </w:rPr>
            </w:pPr>
            <w:r w:rsidRPr="00C86B34">
              <w:rPr>
                <w:rFonts w:eastAsia="Calibri"/>
                <w:sz w:val="22"/>
              </w:rPr>
              <w:t>500</w:t>
            </w:r>
          </w:p>
        </w:tc>
      </w:tr>
      <w:tr w:rsidR="00E95FB1" w:rsidRPr="00C86B34" w:rsidTr="001B3967">
        <w:trPr>
          <w:trHeight w:val="412"/>
        </w:trPr>
        <w:tc>
          <w:tcPr>
            <w:tcW w:w="2724" w:type="dxa"/>
            <w:tcBorders>
              <w:bottom w:val="single" w:sz="4" w:space="0" w:color="auto"/>
            </w:tcBorders>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Ключові заходи проекту:</w:t>
            </w:r>
          </w:p>
        </w:tc>
        <w:tc>
          <w:tcPr>
            <w:tcW w:w="7229" w:type="dxa"/>
            <w:gridSpan w:val="7"/>
          </w:tcPr>
          <w:p w:rsidR="00E95FB1" w:rsidRPr="00C86B34" w:rsidRDefault="00E95FB1" w:rsidP="000303D7">
            <w:pPr>
              <w:numPr>
                <w:ilvl w:val="0"/>
                <w:numId w:val="42"/>
              </w:numPr>
              <w:autoSpaceDE w:val="0"/>
              <w:autoSpaceDN w:val="0"/>
              <w:adjustRightInd w:val="0"/>
              <w:ind w:right="112"/>
              <w:rPr>
                <w:rFonts w:eastAsia="Calibri"/>
                <w:sz w:val="22"/>
              </w:rPr>
            </w:pPr>
            <w:r w:rsidRPr="00C86B34">
              <w:rPr>
                <w:rFonts w:eastAsia="Calibri"/>
                <w:sz w:val="22"/>
              </w:rPr>
              <w:t>Оцінка спеціально створеною комісією завданих будівлі руйнувань (пошкоджень) та матеріальних збитків</w:t>
            </w:r>
            <w:r w:rsidR="00EB3B4F" w:rsidRPr="00C86B34">
              <w:rPr>
                <w:rFonts w:eastAsia="Calibri"/>
                <w:sz w:val="22"/>
              </w:rPr>
              <w:t>;</w:t>
            </w:r>
          </w:p>
          <w:p w:rsidR="00E95FB1" w:rsidRPr="00C86B34" w:rsidRDefault="00E95FB1" w:rsidP="000303D7">
            <w:pPr>
              <w:pStyle w:val="afc"/>
              <w:numPr>
                <w:ilvl w:val="0"/>
                <w:numId w:val="42"/>
              </w:numPr>
              <w:spacing w:line="240" w:lineRule="auto"/>
              <w:rPr>
                <w:rFonts w:ascii="Times New Roman" w:hAnsi="Times New Roman"/>
                <w:sz w:val="22"/>
              </w:rPr>
            </w:pPr>
            <w:r w:rsidRPr="00C86B34">
              <w:rPr>
                <w:rFonts w:ascii="Times New Roman" w:hAnsi="Times New Roman"/>
                <w:sz w:val="22"/>
              </w:rPr>
              <w:t xml:space="preserve">виготовлення </w:t>
            </w:r>
            <w:proofErr w:type="spellStart"/>
            <w:r w:rsidRPr="00C86B34">
              <w:rPr>
                <w:rFonts w:ascii="Times New Roman" w:hAnsi="Times New Roman"/>
                <w:sz w:val="22"/>
              </w:rPr>
              <w:t>проєктно</w:t>
            </w:r>
            <w:proofErr w:type="spellEnd"/>
            <w:r w:rsidRPr="00C86B34">
              <w:rPr>
                <w:rFonts w:ascii="Times New Roman" w:hAnsi="Times New Roman"/>
                <w:sz w:val="22"/>
              </w:rPr>
              <w:t>—кошторисної документації</w:t>
            </w:r>
            <w:r w:rsidR="00EB3B4F" w:rsidRPr="00C86B34">
              <w:rPr>
                <w:rFonts w:ascii="Times New Roman" w:hAnsi="Times New Roman"/>
                <w:sz w:val="22"/>
              </w:rPr>
              <w:t>;</w:t>
            </w:r>
          </w:p>
          <w:p w:rsidR="00E95FB1" w:rsidRPr="00C86B34" w:rsidRDefault="00E95FB1" w:rsidP="000303D7">
            <w:pPr>
              <w:pStyle w:val="afc"/>
              <w:numPr>
                <w:ilvl w:val="0"/>
                <w:numId w:val="42"/>
              </w:numPr>
              <w:spacing w:line="240" w:lineRule="auto"/>
              <w:rPr>
                <w:rFonts w:ascii="Times New Roman" w:hAnsi="Times New Roman"/>
                <w:sz w:val="22"/>
              </w:rPr>
            </w:pPr>
            <w:r w:rsidRPr="00C86B34">
              <w:rPr>
                <w:rFonts w:ascii="Times New Roman" w:hAnsi="Times New Roman"/>
                <w:color w:val="000000"/>
                <w:sz w:val="22"/>
              </w:rPr>
              <w:t>визначення підрядної організації для проведення будівельних робіт</w:t>
            </w:r>
            <w:r w:rsidR="00EB3B4F" w:rsidRPr="00C86B34">
              <w:rPr>
                <w:rFonts w:ascii="Times New Roman" w:hAnsi="Times New Roman"/>
                <w:color w:val="000000"/>
                <w:sz w:val="22"/>
              </w:rPr>
              <w:t>;</w:t>
            </w:r>
          </w:p>
          <w:p w:rsidR="00E95FB1" w:rsidRPr="00C86B34" w:rsidRDefault="00E95FB1" w:rsidP="000303D7">
            <w:pPr>
              <w:pStyle w:val="afc"/>
              <w:numPr>
                <w:ilvl w:val="0"/>
                <w:numId w:val="42"/>
              </w:numPr>
              <w:spacing w:line="240" w:lineRule="auto"/>
              <w:rPr>
                <w:rFonts w:ascii="Times New Roman" w:hAnsi="Times New Roman"/>
                <w:sz w:val="22"/>
              </w:rPr>
            </w:pPr>
            <w:r w:rsidRPr="00C86B34">
              <w:rPr>
                <w:rFonts w:ascii="Times New Roman" w:hAnsi="Times New Roman"/>
                <w:color w:val="000000"/>
                <w:sz w:val="22"/>
              </w:rPr>
              <w:t>виконання будівельних робіт:</w:t>
            </w:r>
          </w:p>
          <w:p w:rsidR="00E95FB1" w:rsidRPr="00C86B34" w:rsidRDefault="00E95FB1" w:rsidP="001B3967">
            <w:pPr>
              <w:pStyle w:val="afc"/>
              <w:spacing w:line="240" w:lineRule="auto"/>
              <w:ind w:left="720"/>
              <w:rPr>
                <w:rFonts w:ascii="Times New Roman" w:hAnsi="Times New Roman"/>
                <w:color w:val="000000"/>
                <w:sz w:val="22"/>
              </w:rPr>
            </w:pPr>
            <w:r w:rsidRPr="00C86B34">
              <w:rPr>
                <w:rFonts w:ascii="Times New Roman" w:hAnsi="Times New Roman"/>
                <w:color w:val="000000"/>
                <w:sz w:val="22"/>
              </w:rPr>
              <w:t xml:space="preserve">будівництво трибун з </w:t>
            </w:r>
            <w:proofErr w:type="spellStart"/>
            <w:r w:rsidRPr="00C86B34">
              <w:rPr>
                <w:rFonts w:ascii="Times New Roman" w:hAnsi="Times New Roman"/>
                <w:color w:val="000000"/>
                <w:sz w:val="22"/>
              </w:rPr>
              <w:t>підтрибунними</w:t>
            </w:r>
            <w:proofErr w:type="spellEnd"/>
            <w:r w:rsidRPr="00C86B34">
              <w:rPr>
                <w:rFonts w:ascii="Times New Roman" w:hAnsi="Times New Roman"/>
                <w:color w:val="000000"/>
                <w:sz w:val="22"/>
              </w:rPr>
              <w:t xml:space="preserve"> приміщеннями;</w:t>
            </w:r>
          </w:p>
          <w:p w:rsidR="00E95FB1" w:rsidRPr="00C86B34" w:rsidRDefault="00E95FB1" w:rsidP="001B3967">
            <w:pPr>
              <w:pStyle w:val="afc"/>
              <w:spacing w:line="240" w:lineRule="auto"/>
              <w:ind w:left="720"/>
              <w:rPr>
                <w:rFonts w:ascii="Times New Roman" w:hAnsi="Times New Roman"/>
                <w:sz w:val="22"/>
              </w:rPr>
            </w:pPr>
            <w:r w:rsidRPr="00C86B34">
              <w:rPr>
                <w:rFonts w:ascii="Times New Roman" w:hAnsi="Times New Roman"/>
                <w:sz w:val="22"/>
              </w:rPr>
              <w:t>облаштування стандартного футбольного поля (105х68) з зонами безпеки з природнім трав’яним газоном, дренажем, штучним підігрівом та системою поливу газону;</w:t>
            </w:r>
          </w:p>
          <w:p w:rsidR="00E95FB1" w:rsidRPr="00C86B34" w:rsidRDefault="00E95FB1" w:rsidP="001B3967">
            <w:pPr>
              <w:pStyle w:val="afc"/>
              <w:spacing w:line="240" w:lineRule="auto"/>
              <w:ind w:left="720"/>
              <w:rPr>
                <w:rFonts w:ascii="Times New Roman" w:hAnsi="Times New Roman"/>
                <w:sz w:val="22"/>
              </w:rPr>
            </w:pPr>
            <w:r w:rsidRPr="00C86B34">
              <w:rPr>
                <w:rFonts w:ascii="Times New Roman" w:hAnsi="Times New Roman"/>
                <w:sz w:val="22"/>
              </w:rPr>
              <w:t>облаштування легкоатлетичного ядра навколо футбольного поля</w:t>
            </w:r>
            <w:r w:rsidR="00EB3B4F" w:rsidRPr="00C86B34">
              <w:rPr>
                <w:rFonts w:ascii="Times New Roman" w:hAnsi="Times New Roman"/>
                <w:sz w:val="22"/>
              </w:rPr>
              <w:t>;</w:t>
            </w:r>
          </w:p>
          <w:p w:rsidR="00E95FB1" w:rsidRPr="00C86B34" w:rsidRDefault="00E95FB1" w:rsidP="001B3967">
            <w:pPr>
              <w:pStyle w:val="afc"/>
              <w:spacing w:line="240" w:lineRule="auto"/>
              <w:ind w:left="720"/>
              <w:rPr>
                <w:rFonts w:ascii="Times New Roman" w:hAnsi="Times New Roman"/>
                <w:color w:val="000000"/>
                <w:sz w:val="22"/>
              </w:rPr>
            </w:pPr>
            <w:r w:rsidRPr="00C86B34">
              <w:rPr>
                <w:rFonts w:ascii="Times New Roman" w:hAnsi="Times New Roman"/>
                <w:color w:val="000000"/>
                <w:sz w:val="22"/>
              </w:rPr>
              <w:t>відновлення внутрішніх та зовнішніх інженерних мереж;</w:t>
            </w:r>
          </w:p>
          <w:p w:rsidR="00E95FB1" w:rsidRPr="00C86B34" w:rsidRDefault="00E95FB1" w:rsidP="001B3967">
            <w:pPr>
              <w:pStyle w:val="afc"/>
              <w:spacing w:line="240" w:lineRule="auto"/>
              <w:ind w:left="720"/>
              <w:rPr>
                <w:rFonts w:ascii="Times New Roman" w:hAnsi="Times New Roman"/>
                <w:color w:val="000000"/>
                <w:sz w:val="22"/>
              </w:rPr>
            </w:pPr>
            <w:r w:rsidRPr="00C86B34">
              <w:rPr>
                <w:rFonts w:ascii="Times New Roman" w:hAnsi="Times New Roman"/>
                <w:color w:val="000000"/>
                <w:sz w:val="22"/>
              </w:rPr>
              <w:t>встановлення електронне табло</w:t>
            </w:r>
            <w:r w:rsidR="00EB3B4F" w:rsidRPr="00C86B34">
              <w:rPr>
                <w:rFonts w:ascii="Times New Roman" w:hAnsi="Times New Roman"/>
                <w:color w:val="000000"/>
                <w:sz w:val="22"/>
              </w:rPr>
              <w:t>;</w:t>
            </w:r>
          </w:p>
          <w:p w:rsidR="00E95FB1" w:rsidRPr="00C86B34" w:rsidRDefault="00E95FB1" w:rsidP="001B3967">
            <w:pPr>
              <w:pStyle w:val="afc"/>
              <w:spacing w:line="240" w:lineRule="auto"/>
              <w:ind w:left="720"/>
              <w:rPr>
                <w:rFonts w:ascii="Times New Roman" w:hAnsi="Times New Roman"/>
                <w:color w:val="000000"/>
                <w:sz w:val="22"/>
              </w:rPr>
            </w:pPr>
            <w:r w:rsidRPr="00C86B34">
              <w:rPr>
                <w:rFonts w:ascii="Times New Roman" w:hAnsi="Times New Roman"/>
                <w:color w:val="000000"/>
                <w:sz w:val="22"/>
              </w:rPr>
              <w:t>встановлення системи освітлення</w:t>
            </w:r>
            <w:r w:rsidR="00EB3B4F" w:rsidRPr="00C86B34">
              <w:rPr>
                <w:rFonts w:ascii="Times New Roman" w:hAnsi="Times New Roman"/>
                <w:color w:val="000000"/>
                <w:sz w:val="22"/>
              </w:rPr>
              <w:t>;</w:t>
            </w:r>
          </w:p>
          <w:p w:rsidR="00E95FB1" w:rsidRPr="00C86B34" w:rsidRDefault="00E95FB1" w:rsidP="001B3967">
            <w:pPr>
              <w:pStyle w:val="afc"/>
              <w:spacing w:line="240" w:lineRule="auto"/>
              <w:ind w:left="720"/>
              <w:rPr>
                <w:rFonts w:ascii="Times New Roman" w:hAnsi="Times New Roman"/>
                <w:color w:val="auto"/>
                <w:sz w:val="22"/>
              </w:rPr>
            </w:pPr>
            <w:r w:rsidRPr="00C86B34">
              <w:rPr>
                <w:rFonts w:ascii="Times New Roman" w:hAnsi="Times New Roman"/>
                <w:color w:val="auto"/>
                <w:sz w:val="22"/>
              </w:rPr>
              <w:lastRenderedPageBreak/>
              <w:t>забезпечення доступності осіб з інвалідністю та інших маломобільних груп населення</w:t>
            </w:r>
            <w:r w:rsidR="00EB3B4F" w:rsidRPr="00C86B34">
              <w:rPr>
                <w:rFonts w:ascii="Times New Roman" w:hAnsi="Times New Roman"/>
                <w:color w:val="auto"/>
                <w:sz w:val="22"/>
              </w:rPr>
              <w:t>;</w:t>
            </w:r>
          </w:p>
          <w:p w:rsidR="00E95FB1" w:rsidRPr="00C86B34" w:rsidRDefault="00E95FB1" w:rsidP="001B3967">
            <w:pPr>
              <w:ind w:firstLine="753"/>
              <w:rPr>
                <w:color w:val="000000"/>
                <w:sz w:val="22"/>
              </w:rPr>
            </w:pPr>
            <w:r w:rsidRPr="00C86B34">
              <w:rPr>
                <w:color w:val="000000"/>
                <w:sz w:val="22"/>
              </w:rPr>
              <w:t>благоустрій території основного стадіону;</w:t>
            </w:r>
          </w:p>
          <w:p w:rsidR="00E95FB1" w:rsidRPr="00C86B34" w:rsidRDefault="00E95FB1" w:rsidP="001B3967">
            <w:pPr>
              <w:ind w:firstLine="753"/>
              <w:rPr>
                <w:color w:val="000000"/>
                <w:sz w:val="22"/>
              </w:rPr>
            </w:pPr>
            <w:r w:rsidRPr="00C86B34">
              <w:rPr>
                <w:color w:val="000000"/>
                <w:sz w:val="22"/>
              </w:rPr>
              <w:t>комплексне відокремлення інфраструктури стадіону архітектурною огорожею</w:t>
            </w:r>
            <w:r w:rsidR="00EB3B4F" w:rsidRPr="00C86B34">
              <w:rPr>
                <w:color w:val="000000"/>
                <w:sz w:val="22"/>
              </w:rPr>
              <w:t>;</w:t>
            </w:r>
          </w:p>
          <w:p w:rsidR="00E95FB1" w:rsidRPr="00C86B34" w:rsidRDefault="00E95FB1" w:rsidP="001B3967">
            <w:pPr>
              <w:pStyle w:val="a7"/>
              <w:ind w:left="0" w:firstLine="753"/>
              <w:rPr>
                <w:color w:val="000000"/>
                <w:sz w:val="22"/>
              </w:rPr>
            </w:pPr>
            <w:r w:rsidRPr="00C86B34">
              <w:rPr>
                <w:color w:val="000000"/>
                <w:sz w:val="22"/>
              </w:rPr>
              <w:t>реконструкція тренувального комплексу, що складається з ігрових полів для футболу та легкої атлетики;</w:t>
            </w:r>
          </w:p>
          <w:p w:rsidR="00E95FB1" w:rsidRPr="00C86B34" w:rsidRDefault="00E95FB1" w:rsidP="001B3967">
            <w:pPr>
              <w:pStyle w:val="a7"/>
              <w:ind w:left="0" w:firstLine="753"/>
              <w:rPr>
                <w:color w:val="000000"/>
                <w:sz w:val="22"/>
              </w:rPr>
            </w:pPr>
            <w:r w:rsidRPr="00C86B34">
              <w:rPr>
                <w:color w:val="000000"/>
                <w:sz w:val="22"/>
              </w:rPr>
              <w:t>капітальний ремонт господарсько-побутового блоків, що включає роздягальні та необхідні приміщення для відділення велоспорту, легкої атлетики, футболу, стрільби кульової, господарсько-побутові приміщення;</w:t>
            </w:r>
          </w:p>
          <w:p w:rsidR="00E95FB1" w:rsidRPr="00C86B34" w:rsidRDefault="00E95FB1" w:rsidP="001B3967">
            <w:pPr>
              <w:pStyle w:val="a7"/>
              <w:ind w:left="0" w:firstLine="753"/>
              <w:rPr>
                <w:color w:val="000000"/>
                <w:sz w:val="22"/>
              </w:rPr>
            </w:pPr>
            <w:r w:rsidRPr="00C86B34">
              <w:rPr>
                <w:rFonts w:eastAsia="Calibri"/>
                <w:sz w:val="22"/>
              </w:rPr>
              <w:t xml:space="preserve">будівництво 50 м тиру (зони: </w:t>
            </w:r>
            <w:r w:rsidRPr="00C86B34">
              <w:rPr>
                <w:spacing w:val="-19"/>
                <w:sz w:val="22"/>
              </w:rPr>
              <w:t>25м. тир,  10м. тир.) з господарсько-побутовими кімнатами</w:t>
            </w:r>
            <w:r w:rsidRPr="00C86B34">
              <w:rPr>
                <w:rFonts w:eastAsia="Calibri"/>
                <w:sz w:val="22"/>
              </w:rPr>
              <w:t>;</w:t>
            </w:r>
          </w:p>
          <w:p w:rsidR="00E95FB1" w:rsidRPr="00C86B34" w:rsidRDefault="00E95FB1" w:rsidP="001B3967">
            <w:pPr>
              <w:pStyle w:val="a7"/>
              <w:ind w:left="0" w:firstLine="753"/>
              <w:rPr>
                <w:color w:val="000000"/>
                <w:sz w:val="22"/>
              </w:rPr>
            </w:pPr>
            <w:r w:rsidRPr="00C86B34">
              <w:rPr>
                <w:rFonts w:eastAsia="Calibri"/>
                <w:sz w:val="22"/>
              </w:rPr>
              <w:t>будівництво критого футбольного манежу (розмір поля 44*26м; ігрова зона 40*20м, висота манежу 11м, трибуни – 140 місць, освітлення – професійне спортивне 650 люкс);</w:t>
            </w:r>
          </w:p>
          <w:p w:rsidR="00E95FB1" w:rsidRPr="00C86B34" w:rsidRDefault="00E95FB1" w:rsidP="001B3967">
            <w:pPr>
              <w:tabs>
                <w:tab w:val="left" w:pos="192"/>
              </w:tabs>
              <w:ind w:firstLine="753"/>
              <w:rPr>
                <w:rFonts w:eastAsia="Calibri"/>
                <w:sz w:val="22"/>
              </w:rPr>
            </w:pPr>
            <w:r w:rsidRPr="00C86B34">
              <w:rPr>
                <w:color w:val="000000"/>
                <w:sz w:val="22"/>
              </w:rPr>
              <w:t>благоустрій території.</w:t>
            </w:r>
            <w:r w:rsidRPr="00C86B34">
              <w:rPr>
                <w:rFonts w:eastAsia="Calibri"/>
                <w:sz w:val="22"/>
              </w:rPr>
              <w:t xml:space="preserve"> </w:t>
            </w:r>
          </w:p>
          <w:p w:rsidR="00E95FB1" w:rsidRPr="00C86B34" w:rsidRDefault="00E95FB1" w:rsidP="000303D7">
            <w:pPr>
              <w:numPr>
                <w:ilvl w:val="1"/>
                <w:numId w:val="31"/>
              </w:numPr>
              <w:ind w:left="753" w:hanging="284"/>
              <w:rPr>
                <w:sz w:val="22"/>
              </w:rPr>
            </w:pPr>
            <w:r w:rsidRPr="00C86B34">
              <w:rPr>
                <w:rFonts w:eastAsia="Calibri"/>
                <w:color w:val="000000"/>
                <w:sz w:val="22"/>
              </w:rPr>
              <w:t>придбання обладнання та матеріалів:</w:t>
            </w:r>
            <w:r w:rsidRPr="00C86B34">
              <w:rPr>
                <w:sz w:val="22"/>
              </w:rPr>
              <w:t xml:space="preserve"> </w:t>
            </w:r>
          </w:p>
          <w:p w:rsidR="00E95FB1" w:rsidRPr="00C86B34" w:rsidRDefault="00E95FB1" w:rsidP="001B3967">
            <w:pPr>
              <w:tabs>
                <w:tab w:val="left" w:pos="192"/>
              </w:tabs>
              <w:ind w:firstLine="753"/>
              <w:rPr>
                <w:rFonts w:eastAsia="Calibri"/>
                <w:sz w:val="22"/>
              </w:rPr>
            </w:pPr>
            <w:r w:rsidRPr="00C86B34">
              <w:rPr>
                <w:rFonts w:eastAsia="Calibri"/>
                <w:sz w:val="22"/>
              </w:rPr>
              <w:t>придбання офісної техніки, меблів, господарчого інвентарю</w:t>
            </w:r>
            <w:r w:rsidR="00EB3B4F" w:rsidRPr="00C86B34">
              <w:rPr>
                <w:rFonts w:eastAsia="Calibri"/>
                <w:sz w:val="22"/>
              </w:rPr>
              <w:t>;</w:t>
            </w:r>
          </w:p>
          <w:p w:rsidR="00E95FB1" w:rsidRPr="00C86B34" w:rsidRDefault="00E95FB1" w:rsidP="001B3967">
            <w:pPr>
              <w:ind w:left="753"/>
              <w:rPr>
                <w:rFonts w:eastAsia="Calibri"/>
                <w:sz w:val="22"/>
              </w:rPr>
            </w:pPr>
            <w:r w:rsidRPr="00C86B34">
              <w:rPr>
                <w:rFonts w:eastAsia="Calibri"/>
                <w:sz w:val="22"/>
              </w:rPr>
              <w:t>забезпечення об’єкта сучасним спортивним інвентарем та обладнанням за видами спорту</w:t>
            </w:r>
            <w:r w:rsidR="00EB3B4F" w:rsidRPr="00C86B34">
              <w:rPr>
                <w:rFonts w:eastAsia="Calibri"/>
                <w:sz w:val="22"/>
              </w:rPr>
              <w:t>;</w:t>
            </w:r>
          </w:p>
          <w:p w:rsidR="00E95FB1" w:rsidRPr="00C86B34" w:rsidRDefault="00E95FB1" w:rsidP="000303D7">
            <w:pPr>
              <w:pStyle w:val="a7"/>
              <w:numPr>
                <w:ilvl w:val="0"/>
                <w:numId w:val="30"/>
              </w:numPr>
              <w:ind w:left="469" w:firstLine="0"/>
              <w:contextualSpacing w:val="0"/>
              <w:jc w:val="left"/>
              <w:rPr>
                <w:color w:val="000000"/>
                <w:sz w:val="22"/>
              </w:rPr>
            </w:pPr>
            <w:r w:rsidRPr="00C86B34">
              <w:rPr>
                <w:rFonts w:eastAsia="Calibri"/>
                <w:color w:val="000000"/>
                <w:sz w:val="22"/>
              </w:rPr>
              <w:t>введення споруди в експлуатацію та її експлуатація за призначенням</w:t>
            </w:r>
          </w:p>
        </w:tc>
      </w:tr>
      <w:tr w:rsidR="00E95FB1" w:rsidRPr="00C86B34" w:rsidTr="001B3967">
        <w:trPr>
          <w:trHeight w:val="412"/>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lastRenderedPageBreak/>
              <w:t>Орієнтовний обсяг та джерела фінансування тис. гривень</w:t>
            </w:r>
          </w:p>
        </w:tc>
        <w:tc>
          <w:tcPr>
            <w:tcW w:w="1748"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Державний бюджет</w:t>
            </w:r>
          </w:p>
        </w:tc>
        <w:tc>
          <w:tcPr>
            <w:tcW w:w="1201" w:type="dxa"/>
            <w:gridSpan w:val="2"/>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Місцевий бюджет</w:t>
            </w:r>
          </w:p>
        </w:tc>
        <w:tc>
          <w:tcPr>
            <w:tcW w:w="2403" w:type="dxa"/>
            <w:gridSpan w:val="3"/>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Інші джерела</w:t>
            </w:r>
          </w:p>
        </w:tc>
        <w:tc>
          <w:tcPr>
            <w:tcW w:w="1877"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Всього</w:t>
            </w:r>
          </w:p>
        </w:tc>
      </w:tr>
      <w:tr w:rsidR="00E95FB1" w:rsidRPr="00C86B34" w:rsidTr="001B3967">
        <w:trPr>
          <w:trHeight w:val="412"/>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1748"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201" w:type="dxa"/>
            <w:gridSpan w:val="2"/>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202" w:type="dxa"/>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Обсяг</w:t>
            </w:r>
          </w:p>
        </w:tc>
        <w:tc>
          <w:tcPr>
            <w:tcW w:w="1201"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Назва джерела</w:t>
            </w:r>
          </w:p>
        </w:tc>
        <w:tc>
          <w:tcPr>
            <w:tcW w:w="1877" w:type="dxa"/>
            <w:vMerge/>
            <w:vAlign w:val="center"/>
          </w:tcPr>
          <w:p w:rsidR="00E95FB1" w:rsidRPr="00C86B34" w:rsidRDefault="00E95FB1" w:rsidP="001B3967">
            <w:pPr>
              <w:autoSpaceDE w:val="0"/>
              <w:autoSpaceDN w:val="0"/>
              <w:adjustRightInd w:val="0"/>
              <w:jc w:val="center"/>
              <w:rPr>
                <w:rFonts w:eastAsia="Calibri"/>
                <w:b/>
                <w:color w:val="000000"/>
                <w:sz w:val="22"/>
              </w:rPr>
            </w:pPr>
          </w:p>
        </w:tc>
      </w:tr>
      <w:tr w:rsidR="00E95FB1" w:rsidRPr="00C86B34" w:rsidTr="001B3967">
        <w:trPr>
          <w:trHeight w:val="412"/>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1748"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350 000,0</w:t>
            </w:r>
          </w:p>
        </w:tc>
        <w:tc>
          <w:tcPr>
            <w:tcW w:w="1201" w:type="dxa"/>
            <w:gridSpan w:val="2"/>
          </w:tcPr>
          <w:p w:rsidR="00E95FB1" w:rsidRPr="00C86B34" w:rsidRDefault="00E95FB1" w:rsidP="001B3967">
            <w:pPr>
              <w:autoSpaceDE w:val="0"/>
              <w:autoSpaceDN w:val="0"/>
              <w:adjustRightInd w:val="0"/>
              <w:jc w:val="center"/>
              <w:rPr>
                <w:rFonts w:eastAsia="Calibri"/>
                <w:color w:val="000000"/>
                <w:sz w:val="22"/>
              </w:rPr>
            </w:pPr>
          </w:p>
        </w:tc>
        <w:tc>
          <w:tcPr>
            <w:tcW w:w="1202" w:type="dxa"/>
          </w:tcPr>
          <w:p w:rsidR="00E95FB1" w:rsidRPr="00C86B34" w:rsidRDefault="00E95FB1" w:rsidP="001B3967">
            <w:pPr>
              <w:autoSpaceDE w:val="0"/>
              <w:autoSpaceDN w:val="0"/>
              <w:adjustRightInd w:val="0"/>
              <w:jc w:val="center"/>
              <w:rPr>
                <w:rFonts w:eastAsia="Calibri"/>
                <w:color w:val="000000"/>
                <w:sz w:val="22"/>
              </w:rPr>
            </w:pPr>
          </w:p>
        </w:tc>
        <w:tc>
          <w:tcPr>
            <w:tcW w:w="1201" w:type="dxa"/>
            <w:gridSpan w:val="2"/>
          </w:tcPr>
          <w:p w:rsidR="00E95FB1" w:rsidRPr="00C86B34" w:rsidRDefault="00E95FB1" w:rsidP="001B3967">
            <w:pPr>
              <w:autoSpaceDE w:val="0"/>
              <w:autoSpaceDN w:val="0"/>
              <w:adjustRightInd w:val="0"/>
              <w:jc w:val="center"/>
              <w:rPr>
                <w:rFonts w:eastAsia="Calibri"/>
                <w:color w:val="000000"/>
                <w:sz w:val="22"/>
              </w:rPr>
            </w:pPr>
          </w:p>
        </w:tc>
        <w:tc>
          <w:tcPr>
            <w:tcW w:w="1877"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350 000,0</w:t>
            </w:r>
          </w:p>
        </w:tc>
      </w:tr>
      <w:tr w:rsidR="00E95FB1" w:rsidRPr="00C86B34" w:rsidTr="001B3967">
        <w:trPr>
          <w:trHeight w:val="412"/>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b/>
                <w:sz w:val="22"/>
              </w:rPr>
              <w:t xml:space="preserve">Ключові потенційні учасники </w:t>
            </w:r>
            <w:proofErr w:type="spellStart"/>
            <w:r w:rsidRPr="00C86B34">
              <w:rPr>
                <w:b/>
                <w:sz w:val="22"/>
              </w:rPr>
              <w:t>проєкту</w:t>
            </w:r>
            <w:proofErr w:type="spellEnd"/>
          </w:p>
        </w:tc>
        <w:tc>
          <w:tcPr>
            <w:tcW w:w="7229" w:type="dxa"/>
            <w:gridSpan w:val="7"/>
          </w:tcPr>
          <w:p w:rsidR="00E95FB1" w:rsidRPr="00C86B34" w:rsidRDefault="00E95FB1" w:rsidP="001B3967">
            <w:pPr>
              <w:rPr>
                <w:sz w:val="22"/>
              </w:rPr>
            </w:pPr>
            <w:r w:rsidRPr="00C86B34">
              <w:rPr>
                <w:sz w:val="22"/>
              </w:rPr>
              <w:t xml:space="preserve">1. Військова адміністрація міста. </w:t>
            </w:r>
          </w:p>
          <w:p w:rsidR="00E95FB1" w:rsidRPr="00C86B34" w:rsidRDefault="00E95FB1" w:rsidP="001B3967">
            <w:pPr>
              <w:tabs>
                <w:tab w:val="left" w:pos="720"/>
              </w:tabs>
              <w:rPr>
                <w:sz w:val="22"/>
              </w:rPr>
            </w:pPr>
            <w:r w:rsidRPr="00C86B34">
              <w:rPr>
                <w:sz w:val="22"/>
              </w:rPr>
              <w:t>2. Відділ капітального будівництва військової адміністрації міста.</w:t>
            </w:r>
          </w:p>
          <w:p w:rsidR="00E95FB1" w:rsidRPr="00C86B34" w:rsidRDefault="00E95FB1" w:rsidP="001B3967">
            <w:pPr>
              <w:tabs>
                <w:tab w:val="left" w:pos="720"/>
              </w:tabs>
              <w:rPr>
                <w:sz w:val="22"/>
              </w:rPr>
            </w:pPr>
            <w:r w:rsidRPr="00C86B34">
              <w:rPr>
                <w:sz w:val="22"/>
              </w:rPr>
              <w:t>3. Підрядна організація - переможець тендеру, виконавець будівельно-монтажних робіт.</w:t>
            </w:r>
          </w:p>
          <w:p w:rsidR="00E95FB1" w:rsidRPr="00C86B34" w:rsidRDefault="00E95FB1" w:rsidP="001B3967">
            <w:pPr>
              <w:tabs>
                <w:tab w:val="left" w:pos="720"/>
              </w:tabs>
              <w:rPr>
                <w:sz w:val="22"/>
              </w:rPr>
            </w:pPr>
            <w:r w:rsidRPr="00C86B34">
              <w:rPr>
                <w:sz w:val="22"/>
              </w:rPr>
              <w:t>4. Обласна державна адміністрація.</w:t>
            </w:r>
          </w:p>
          <w:p w:rsidR="00E95FB1" w:rsidRPr="00C86B34" w:rsidRDefault="00E95FB1" w:rsidP="001B3967">
            <w:pPr>
              <w:autoSpaceDE w:val="0"/>
              <w:autoSpaceDN w:val="0"/>
              <w:adjustRightInd w:val="0"/>
              <w:rPr>
                <w:rFonts w:eastAsia="Calibri"/>
                <w:color w:val="000000"/>
                <w:sz w:val="22"/>
              </w:rPr>
            </w:pPr>
            <w:r w:rsidRPr="00C86B34">
              <w:rPr>
                <w:sz w:val="22"/>
              </w:rPr>
              <w:t>5. Інвестори та меценати спортивної галузі.</w:t>
            </w:r>
          </w:p>
        </w:tc>
      </w:tr>
    </w:tbl>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tbl>
      <w:tblPr>
        <w:tblpPr w:leftFromText="180" w:rightFromText="180" w:vertAnchor="text" w:horzAnchor="page" w:tblpX="1397" w:tblpY="123"/>
        <w:tblW w:w="9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724"/>
        <w:gridCol w:w="2056"/>
        <w:gridCol w:w="1289"/>
        <w:gridCol w:w="169"/>
        <w:gridCol w:w="1120"/>
        <w:gridCol w:w="34"/>
        <w:gridCol w:w="1255"/>
        <w:gridCol w:w="1344"/>
      </w:tblGrid>
      <w:tr w:rsidR="00E95FB1" w:rsidRPr="00C86B34" w:rsidTr="001B3967">
        <w:trPr>
          <w:trHeight w:val="269"/>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sz w:val="22"/>
              </w:rPr>
            </w:pPr>
            <w:r w:rsidRPr="00C86B34">
              <w:rPr>
                <w:rFonts w:eastAsia="Calibri"/>
                <w:b/>
                <w:sz w:val="22"/>
              </w:rPr>
              <w:t>Оперативна ціль/завдання</w:t>
            </w:r>
          </w:p>
        </w:tc>
        <w:tc>
          <w:tcPr>
            <w:tcW w:w="7267" w:type="dxa"/>
            <w:gridSpan w:val="7"/>
          </w:tcPr>
          <w:p w:rsidR="00E95FB1" w:rsidRPr="00C86B34" w:rsidRDefault="00EB3B4F" w:rsidP="001B3967">
            <w:pPr>
              <w:pStyle w:val="a7"/>
              <w:ind w:left="0"/>
              <w:rPr>
                <w:rFonts w:eastAsia="Calibri"/>
                <w:sz w:val="22"/>
              </w:rPr>
            </w:pPr>
            <w:r w:rsidRPr="00C86B34">
              <w:rPr>
                <w:rFonts w:eastAsia="Arial"/>
                <w:sz w:val="22"/>
              </w:rPr>
              <w:t xml:space="preserve">Людський розвиток </w:t>
            </w:r>
            <w:r w:rsidR="00E95FB1" w:rsidRPr="00C86B34">
              <w:rPr>
                <w:rFonts w:eastAsia="Arial"/>
                <w:sz w:val="22"/>
              </w:rPr>
              <w:t xml:space="preserve">через інновації управління та довіру до влади. Формування сучасного інклюзивного </w:t>
            </w:r>
            <w:proofErr w:type="spellStart"/>
            <w:r w:rsidR="00E95FB1" w:rsidRPr="00C86B34">
              <w:rPr>
                <w:rFonts w:eastAsia="Arial"/>
                <w:sz w:val="22"/>
              </w:rPr>
              <w:t>освітньо</w:t>
            </w:r>
            <w:proofErr w:type="spellEnd"/>
            <w:r w:rsidR="00E95FB1" w:rsidRPr="00C86B34">
              <w:rPr>
                <w:rFonts w:eastAsia="Arial"/>
                <w:sz w:val="22"/>
              </w:rPr>
              <w:t xml:space="preserve"> – культурного та спортивного простору для розвитку</w:t>
            </w:r>
          </w:p>
        </w:tc>
      </w:tr>
      <w:tr w:rsidR="00E95FB1" w:rsidRPr="00C86B34" w:rsidTr="001B3967">
        <w:trPr>
          <w:trHeight w:val="290"/>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sz w:val="22"/>
              </w:rPr>
            </w:pPr>
            <w:r w:rsidRPr="00C86B34">
              <w:rPr>
                <w:rFonts w:eastAsia="Calibri"/>
                <w:b/>
                <w:sz w:val="22"/>
              </w:rPr>
              <w:t>Назва проекту:</w:t>
            </w:r>
          </w:p>
        </w:tc>
        <w:tc>
          <w:tcPr>
            <w:tcW w:w="7267" w:type="dxa"/>
            <w:gridSpan w:val="7"/>
          </w:tcPr>
          <w:p w:rsidR="00E95FB1" w:rsidRPr="00C86B34" w:rsidRDefault="00E95FB1" w:rsidP="001B3967">
            <w:pPr>
              <w:autoSpaceDE w:val="0"/>
              <w:autoSpaceDN w:val="0"/>
              <w:adjustRightInd w:val="0"/>
              <w:ind w:left="49" w:right="116"/>
              <w:rPr>
                <w:rFonts w:eastAsia="Calibri"/>
                <w:sz w:val="22"/>
              </w:rPr>
            </w:pPr>
            <w:r w:rsidRPr="00C86B34">
              <w:rPr>
                <w:rFonts w:eastAsia="Calibri"/>
                <w:sz w:val="22"/>
              </w:rPr>
              <w:t>Капітальний ремонт тиру «Спартак» КДЮСШ 2 міста Сєвєродонецьк Луганської області</w:t>
            </w:r>
            <w:r w:rsidRPr="00C86B34">
              <w:rPr>
                <w:sz w:val="22"/>
              </w:rPr>
              <w:t xml:space="preserve"> </w:t>
            </w:r>
            <w:r w:rsidRPr="00C86B34">
              <w:rPr>
                <w:rFonts w:eastAsia="Calibri"/>
                <w:sz w:val="22"/>
              </w:rPr>
              <w:t xml:space="preserve">розташованої за </w:t>
            </w:r>
            <w:proofErr w:type="spellStart"/>
            <w:r w:rsidRPr="00C86B34">
              <w:rPr>
                <w:rFonts w:eastAsia="Calibri"/>
                <w:sz w:val="22"/>
              </w:rPr>
              <w:t>адресою</w:t>
            </w:r>
            <w:proofErr w:type="spellEnd"/>
            <w:r w:rsidRPr="00C86B34">
              <w:rPr>
                <w:rFonts w:eastAsia="Calibri"/>
                <w:sz w:val="22"/>
              </w:rPr>
              <w:t xml:space="preserve">: вул. </w:t>
            </w:r>
            <w:proofErr w:type="spellStart"/>
            <w:r w:rsidRPr="00C86B34">
              <w:rPr>
                <w:rFonts w:eastAsia="Calibri"/>
                <w:sz w:val="22"/>
              </w:rPr>
              <w:t>Б.Ліщини</w:t>
            </w:r>
            <w:proofErr w:type="spellEnd"/>
            <w:r w:rsidRPr="00C86B34">
              <w:rPr>
                <w:rFonts w:eastAsia="Calibri"/>
                <w:sz w:val="22"/>
              </w:rPr>
              <w:t>, 36Б.</w:t>
            </w:r>
          </w:p>
        </w:tc>
      </w:tr>
      <w:tr w:rsidR="00E95FB1" w:rsidRPr="00C86B34" w:rsidTr="001B3967">
        <w:trPr>
          <w:trHeight w:val="345"/>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sz w:val="22"/>
              </w:rPr>
            </w:pPr>
            <w:r w:rsidRPr="00C86B34">
              <w:rPr>
                <w:rFonts w:eastAsia="Calibri"/>
                <w:b/>
                <w:sz w:val="22"/>
              </w:rPr>
              <w:t>Ціль проекту:</w:t>
            </w:r>
          </w:p>
        </w:tc>
        <w:tc>
          <w:tcPr>
            <w:tcW w:w="7267" w:type="dxa"/>
            <w:gridSpan w:val="7"/>
            <w:vAlign w:val="center"/>
          </w:tcPr>
          <w:p w:rsidR="00E95FB1" w:rsidRPr="00C86B34" w:rsidRDefault="00E95FB1" w:rsidP="001B3967">
            <w:pPr>
              <w:autoSpaceDE w:val="0"/>
              <w:autoSpaceDN w:val="0"/>
              <w:adjustRightInd w:val="0"/>
              <w:ind w:right="116"/>
              <w:rPr>
                <w:sz w:val="22"/>
              </w:rPr>
            </w:pPr>
            <w:r w:rsidRPr="00C86B34">
              <w:rPr>
                <w:rFonts w:eastAsia="Calibri"/>
                <w:sz w:val="22"/>
              </w:rPr>
              <w:t xml:space="preserve">Створення спортивного простору для мешканців міста (дітей, молоді, дорослих та </w:t>
            </w:r>
            <w:r w:rsidRPr="00C86B34">
              <w:rPr>
                <w:sz w:val="22"/>
              </w:rPr>
              <w:t xml:space="preserve"> людей з особливими потребами) </w:t>
            </w:r>
            <w:r w:rsidRPr="00C86B34">
              <w:rPr>
                <w:rFonts w:eastAsia="Calibri"/>
                <w:sz w:val="22"/>
              </w:rPr>
              <w:t xml:space="preserve">– сучасних, безпечних та комфортних умов для занять фізичною культурою та спортом, загального оздоровлення, реабілітації, зміцнення генофонду, підвищення потенціалу трудових ресурсів, психофізичного здоров’я, зростання добробуту населення і вирішення інших соціальних проблем, </w:t>
            </w:r>
            <w:r w:rsidRPr="00C86B34">
              <w:rPr>
                <w:sz w:val="22"/>
              </w:rPr>
              <w:t xml:space="preserve"> порушених  внаслідок військового вторгнення </w:t>
            </w:r>
            <w:r w:rsidR="00796016" w:rsidRPr="00C86B34">
              <w:rPr>
                <w:sz w:val="22"/>
              </w:rPr>
              <w:t>РФ</w:t>
            </w:r>
            <w:r w:rsidRPr="00C86B34">
              <w:rPr>
                <w:sz w:val="22"/>
              </w:rPr>
              <w:t xml:space="preserve"> на територію України.</w:t>
            </w:r>
          </w:p>
          <w:p w:rsidR="00E95FB1" w:rsidRPr="00C86B34" w:rsidRDefault="00E95FB1" w:rsidP="001B3967">
            <w:pPr>
              <w:autoSpaceDE w:val="0"/>
              <w:autoSpaceDN w:val="0"/>
              <w:adjustRightInd w:val="0"/>
              <w:ind w:right="116"/>
              <w:rPr>
                <w:sz w:val="22"/>
              </w:rPr>
            </w:pPr>
            <w:r w:rsidRPr="00C86B34">
              <w:rPr>
                <w:sz w:val="22"/>
                <w:shd w:val="clear" w:color="auto" w:fill="FFFFFF"/>
              </w:rPr>
              <w:t>Популяризації та організації оздоровчої рухової активності як джерела зняття психоемоційної напруги та рівня стресу для всіх груп населення</w:t>
            </w:r>
            <w:r w:rsidRPr="00C86B34">
              <w:rPr>
                <w:sz w:val="22"/>
              </w:rPr>
              <w:t>.</w:t>
            </w:r>
          </w:p>
          <w:p w:rsidR="00E95FB1" w:rsidRPr="00C86B34" w:rsidRDefault="00E95FB1" w:rsidP="001B3967">
            <w:pPr>
              <w:autoSpaceDE w:val="0"/>
              <w:autoSpaceDN w:val="0"/>
              <w:adjustRightInd w:val="0"/>
              <w:ind w:right="116"/>
              <w:rPr>
                <w:sz w:val="22"/>
              </w:rPr>
            </w:pPr>
            <w:r w:rsidRPr="00C86B34">
              <w:rPr>
                <w:sz w:val="22"/>
                <w:shd w:val="clear" w:color="auto" w:fill="FFFFFF"/>
              </w:rPr>
              <w:t>Впровадження якісних змін у систему надання фізкультурно-оздоровчих послуг населенню. З</w:t>
            </w:r>
            <w:r w:rsidRPr="00C86B34">
              <w:rPr>
                <w:sz w:val="22"/>
              </w:rPr>
              <w:t xml:space="preserve">більшення відсотку населення, залученого до занять фізичною культурою і спортом. </w:t>
            </w:r>
          </w:p>
          <w:p w:rsidR="00E95FB1" w:rsidRPr="00C86B34" w:rsidRDefault="00E95FB1" w:rsidP="001B3967">
            <w:pPr>
              <w:autoSpaceDE w:val="0"/>
              <w:autoSpaceDN w:val="0"/>
              <w:adjustRightInd w:val="0"/>
              <w:ind w:right="116"/>
              <w:rPr>
                <w:rFonts w:eastAsia="Calibri"/>
                <w:sz w:val="22"/>
              </w:rPr>
            </w:pPr>
            <w:r w:rsidRPr="00C86B34">
              <w:rPr>
                <w:sz w:val="22"/>
              </w:rPr>
              <w:lastRenderedPageBreak/>
              <w:t>Відновлення у повному обсязі проведення всеукраїнських спортивних змагань.</w:t>
            </w:r>
          </w:p>
        </w:tc>
      </w:tr>
      <w:tr w:rsidR="00E95FB1" w:rsidRPr="00C86B34" w:rsidTr="001B3967">
        <w:trPr>
          <w:trHeight w:val="290"/>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sz w:val="22"/>
              </w:rPr>
            </w:pPr>
            <w:r w:rsidRPr="00C86B34">
              <w:rPr>
                <w:rFonts w:eastAsia="Calibri"/>
                <w:b/>
                <w:sz w:val="22"/>
              </w:rPr>
              <w:lastRenderedPageBreak/>
              <w:t>Територія, на яку матиме вплив реалізація проекту</w:t>
            </w:r>
          </w:p>
        </w:tc>
        <w:tc>
          <w:tcPr>
            <w:tcW w:w="7267" w:type="dxa"/>
            <w:gridSpan w:val="7"/>
            <w:vAlign w:val="center"/>
          </w:tcPr>
          <w:p w:rsidR="00E95FB1" w:rsidRPr="00C86B34" w:rsidRDefault="00E95FB1" w:rsidP="001B3967">
            <w:pPr>
              <w:autoSpaceDE w:val="0"/>
              <w:autoSpaceDN w:val="0"/>
              <w:adjustRightInd w:val="0"/>
              <w:ind w:left="49" w:right="116"/>
              <w:rPr>
                <w:rFonts w:eastAsia="Calibri"/>
                <w:sz w:val="22"/>
              </w:rPr>
            </w:pPr>
            <w:r w:rsidRPr="00C86B34">
              <w:rPr>
                <w:rFonts w:eastAsia="Calibri"/>
                <w:sz w:val="22"/>
              </w:rPr>
              <w:t>Сєвєродонецька міська територіальна громада.</w:t>
            </w:r>
          </w:p>
        </w:tc>
      </w:tr>
      <w:tr w:rsidR="00E95FB1" w:rsidRPr="00C86B34" w:rsidTr="001B3967">
        <w:trPr>
          <w:trHeight w:val="580"/>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sz w:val="22"/>
              </w:rPr>
            </w:pPr>
            <w:r w:rsidRPr="00C86B34">
              <w:rPr>
                <w:rFonts w:eastAsia="Calibri"/>
                <w:b/>
                <w:sz w:val="22"/>
              </w:rPr>
              <w:t>Чисельність населення, на яке матиме вплив реалізація проекту</w:t>
            </w:r>
          </w:p>
        </w:tc>
        <w:tc>
          <w:tcPr>
            <w:tcW w:w="7267" w:type="dxa"/>
            <w:gridSpan w:val="7"/>
            <w:vAlign w:val="center"/>
          </w:tcPr>
          <w:p w:rsidR="00E95FB1" w:rsidRPr="00C86B34" w:rsidRDefault="00E95FB1" w:rsidP="00796016">
            <w:pPr>
              <w:autoSpaceDE w:val="0"/>
              <w:autoSpaceDN w:val="0"/>
              <w:adjustRightInd w:val="0"/>
              <w:ind w:left="49" w:right="116"/>
              <w:rPr>
                <w:rFonts w:eastAsia="Calibri"/>
                <w:sz w:val="22"/>
              </w:rPr>
            </w:pPr>
            <w:r w:rsidRPr="00C86B34">
              <w:rPr>
                <w:rFonts w:eastAsia="Calibri"/>
                <w:sz w:val="22"/>
              </w:rPr>
              <w:t xml:space="preserve">70 </w:t>
            </w:r>
            <w:r w:rsidR="00796016" w:rsidRPr="00C86B34">
              <w:rPr>
                <w:rFonts w:eastAsia="Calibri"/>
                <w:sz w:val="22"/>
              </w:rPr>
              <w:t>000</w:t>
            </w:r>
          </w:p>
        </w:tc>
      </w:tr>
      <w:tr w:rsidR="00E95FB1" w:rsidRPr="00C86B34" w:rsidTr="001B3967">
        <w:trPr>
          <w:trHeight w:val="313"/>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sz w:val="22"/>
              </w:rPr>
            </w:pPr>
            <w:r w:rsidRPr="00C86B34">
              <w:rPr>
                <w:rFonts w:eastAsia="Calibri"/>
                <w:b/>
                <w:sz w:val="22"/>
              </w:rPr>
              <w:t>Опис проблеми, на вирішення якої спрямований проект</w:t>
            </w:r>
          </w:p>
        </w:tc>
        <w:tc>
          <w:tcPr>
            <w:tcW w:w="7267" w:type="dxa"/>
            <w:gridSpan w:val="7"/>
          </w:tcPr>
          <w:p w:rsidR="00E95FB1" w:rsidRPr="00C86B34" w:rsidRDefault="00E95FB1" w:rsidP="001B3967">
            <w:pPr>
              <w:autoSpaceDE w:val="0"/>
              <w:autoSpaceDN w:val="0"/>
              <w:adjustRightInd w:val="0"/>
              <w:ind w:left="49" w:right="116"/>
              <w:rPr>
                <w:sz w:val="22"/>
              </w:rPr>
            </w:pPr>
            <w:r w:rsidRPr="00C86B34">
              <w:rPr>
                <w:rFonts w:eastAsia="Calibri"/>
                <w:sz w:val="22"/>
              </w:rPr>
              <w:t xml:space="preserve">Сьогодні сфера фізичної культури і спорту вносить великий внесок у формування обороноздатності держави, оскільки виховує здорову, підготовлену людину, </w:t>
            </w:r>
            <w:r w:rsidRPr="00C86B34">
              <w:rPr>
                <w:sz w:val="22"/>
              </w:rPr>
              <w:t>здатну для виконання свого конституційного обов’язку щодо захисту суверенітету та територіальної цілісності держави.</w:t>
            </w:r>
            <w:r w:rsidRPr="00C86B34">
              <w:rPr>
                <w:b/>
                <w:sz w:val="22"/>
              </w:rPr>
              <w:t xml:space="preserve"> </w:t>
            </w:r>
            <w:r w:rsidRPr="00C86B34">
              <w:rPr>
                <w:sz w:val="22"/>
                <w:shd w:val="clear" w:color="auto" w:fill="FFFFFF"/>
              </w:rPr>
              <w:t xml:space="preserve"> Також попри війну спортсмени нашого міста продовжують виборювати нагороди на різних рівнях.</w:t>
            </w:r>
          </w:p>
          <w:p w:rsidR="00E95FB1" w:rsidRPr="00C86B34" w:rsidRDefault="00E95FB1" w:rsidP="001B3967">
            <w:pPr>
              <w:autoSpaceDE w:val="0"/>
              <w:autoSpaceDN w:val="0"/>
              <w:adjustRightInd w:val="0"/>
              <w:ind w:left="49" w:right="116"/>
              <w:rPr>
                <w:sz w:val="22"/>
              </w:rPr>
            </w:pPr>
            <w:r w:rsidRPr="00C86B34">
              <w:rPr>
                <w:sz w:val="22"/>
              </w:rPr>
              <w:t xml:space="preserve">Тому розвиток сфери фізичної культури і спорту, відновлення спортивної інфраструктури має стратегічне значення. </w:t>
            </w:r>
          </w:p>
          <w:p w:rsidR="00E95FB1" w:rsidRPr="00C86B34" w:rsidRDefault="00E95FB1" w:rsidP="00933E59">
            <w:pPr>
              <w:autoSpaceDE w:val="0"/>
              <w:autoSpaceDN w:val="0"/>
              <w:adjustRightInd w:val="0"/>
              <w:ind w:left="49" w:right="116"/>
              <w:rPr>
                <w:rFonts w:eastAsia="Calibri"/>
                <w:sz w:val="22"/>
              </w:rPr>
            </w:pPr>
            <w:r w:rsidRPr="00C86B34">
              <w:rPr>
                <w:rFonts w:eastAsia="Calibri"/>
                <w:sz w:val="22"/>
              </w:rPr>
              <w:t xml:space="preserve">Внаслідок ведення активних бойових дій на території Сєвєродонецької міської територіальної громади КДЮСШ 2 міста Сєвєродонецьк Луганської області зазнала руйнувань (пошкоджень) а саме: </w:t>
            </w:r>
            <w:r w:rsidRPr="00C86B34">
              <w:rPr>
                <w:sz w:val="22"/>
              </w:rPr>
              <w:t xml:space="preserve"> </w:t>
            </w:r>
            <w:r w:rsidRPr="00C86B34">
              <w:rPr>
                <w:rFonts w:eastAsia="Calibri"/>
                <w:sz w:val="22"/>
              </w:rPr>
              <w:t xml:space="preserve">були влучання снарядів в дах та стіни будівлі. Вікна та двері були вибиті вибуховою хвилею. Енергосистема будівлі пошкоджена уламками від снарядів та відсутністю догляду за нею. Через отримані пошкодження будівля також зазнала руйнувань негодою (дощ, сніг, вітер).     </w:t>
            </w:r>
          </w:p>
        </w:tc>
      </w:tr>
      <w:tr w:rsidR="00E95FB1" w:rsidRPr="00C86B34" w:rsidTr="001B3967">
        <w:trPr>
          <w:trHeight w:val="527"/>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sz w:val="22"/>
              </w:rPr>
            </w:pPr>
            <w:r w:rsidRPr="00C86B34">
              <w:rPr>
                <w:rFonts w:eastAsia="Calibri"/>
                <w:b/>
                <w:sz w:val="22"/>
              </w:rPr>
              <w:t>Очікувані якісні результати від реалізації проекту</w:t>
            </w:r>
          </w:p>
        </w:tc>
        <w:tc>
          <w:tcPr>
            <w:tcW w:w="7267" w:type="dxa"/>
            <w:gridSpan w:val="7"/>
          </w:tcPr>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rFonts w:eastAsia="Calibri"/>
                <w:sz w:val="22"/>
              </w:rPr>
              <w:t>Відновлення навчально-тренувального процесу з кульової стрільби на власній спортивній базі.</w:t>
            </w:r>
          </w:p>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sz w:val="22"/>
              </w:rPr>
              <w:t xml:space="preserve">Впровадження всіх заходів для </w:t>
            </w:r>
            <w:proofErr w:type="spellStart"/>
            <w:r w:rsidRPr="00C86B34">
              <w:rPr>
                <w:sz w:val="22"/>
              </w:rPr>
              <w:t>безбар’єрного</w:t>
            </w:r>
            <w:proofErr w:type="spellEnd"/>
            <w:r w:rsidRPr="00C86B34">
              <w:rPr>
                <w:sz w:val="22"/>
              </w:rPr>
              <w:t xml:space="preserve"> доступу людей з особливими потребами до занять спортом.</w:t>
            </w:r>
          </w:p>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sz w:val="22"/>
              </w:rPr>
              <w:t>Впровадження до освітнього процесу школярів ознайомлення з правилами поводження під час стрільби та навчання користуватися пневматичною зброєю з метою відновлення викладання військової підготовки в школах.</w:t>
            </w:r>
          </w:p>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rFonts w:eastAsia="Calibri"/>
                <w:sz w:val="22"/>
              </w:rPr>
              <w:t>Підготовка спортсменів для резервного спорту.</w:t>
            </w:r>
          </w:p>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rFonts w:eastAsia="Calibri"/>
                <w:sz w:val="22"/>
              </w:rPr>
              <w:t>Проведення місцевих та регіональних змагань.</w:t>
            </w:r>
          </w:p>
          <w:p w:rsidR="00E95FB1" w:rsidRPr="00C86B34" w:rsidRDefault="00E95FB1" w:rsidP="000303D7">
            <w:pPr>
              <w:numPr>
                <w:ilvl w:val="0"/>
                <w:numId w:val="44"/>
              </w:numPr>
              <w:autoSpaceDE w:val="0"/>
              <w:autoSpaceDN w:val="0"/>
              <w:adjustRightInd w:val="0"/>
              <w:ind w:left="332" w:right="116" w:hanging="284"/>
              <w:rPr>
                <w:rFonts w:eastAsia="Calibri"/>
                <w:sz w:val="22"/>
              </w:rPr>
            </w:pPr>
            <w:r w:rsidRPr="00C86B34">
              <w:rPr>
                <w:sz w:val="22"/>
              </w:rPr>
              <w:t>Проведення та організація заходів для підвищення вправності військовослужбовців, тощо.</w:t>
            </w:r>
          </w:p>
        </w:tc>
      </w:tr>
      <w:tr w:rsidR="00E95FB1" w:rsidRPr="00C86B34" w:rsidTr="001B3967">
        <w:trPr>
          <w:trHeight w:val="580"/>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sz w:val="22"/>
              </w:rPr>
            </w:pPr>
            <w:r w:rsidRPr="00C86B34">
              <w:rPr>
                <w:rFonts w:eastAsia="Calibri"/>
                <w:b/>
                <w:sz w:val="22"/>
              </w:rPr>
              <w:t>Очікувані кількісні результати від реалізації проекту  (індикатори)</w:t>
            </w:r>
          </w:p>
        </w:tc>
        <w:tc>
          <w:tcPr>
            <w:tcW w:w="3514" w:type="dxa"/>
            <w:gridSpan w:val="3"/>
            <w:vAlign w:val="center"/>
          </w:tcPr>
          <w:p w:rsidR="00E95FB1" w:rsidRPr="00C86B34" w:rsidRDefault="00E95FB1" w:rsidP="001B3967">
            <w:pPr>
              <w:autoSpaceDE w:val="0"/>
              <w:autoSpaceDN w:val="0"/>
              <w:adjustRightInd w:val="0"/>
              <w:jc w:val="center"/>
              <w:rPr>
                <w:rFonts w:eastAsia="Calibri"/>
                <w:b/>
                <w:sz w:val="22"/>
              </w:rPr>
            </w:pPr>
            <w:r w:rsidRPr="00C86B34">
              <w:rPr>
                <w:rFonts w:eastAsia="Calibri"/>
                <w:b/>
                <w:sz w:val="22"/>
              </w:rPr>
              <w:t>Найменування показника</w:t>
            </w:r>
          </w:p>
        </w:tc>
        <w:tc>
          <w:tcPr>
            <w:tcW w:w="1154" w:type="dxa"/>
            <w:gridSpan w:val="2"/>
            <w:vAlign w:val="center"/>
          </w:tcPr>
          <w:p w:rsidR="00E95FB1" w:rsidRPr="00C86B34" w:rsidRDefault="00E95FB1" w:rsidP="001B3967">
            <w:pPr>
              <w:autoSpaceDE w:val="0"/>
              <w:autoSpaceDN w:val="0"/>
              <w:adjustRightInd w:val="0"/>
              <w:jc w:val="center"/>
              <w:rPr>
                <w:rFonts w:eastAsia="Calibri"/>
                <w:b/>
                <w:sz w:val="22"/>
              </w:rPr>
            </w:pPr>
            <w:r w:rsidRPr="00C86B34">
              <w:rPr>
                <w:rFonts w:eastAsia="Calibri"/>
                <w:b/>
                <w:sz w:val="22"/>
              </w:rPr>
              <w:t>Одиниця вимірювання</w:t>
            </w:r>
          </w:p>
        </w:tc>
        <w:tc>
          <w:tcPr>
            <w:tcW w:w="2599" w:type="dxa"/>
            <w:gridSpan w:val="2"/>
            <w:vAlign w:val="center"/>
          </w:tcPr>
          <w:p w:rsidR="00E95FB1" w:rsidRPr="00C86B34" w:rsidRDefault="00E95FB1" w:rsidP="001B3967">
            <w:pPr>
              <w:autoSpaceDE w:val="0"/>
              <w:autoSpaceDN w:val="0"/>
              <w:adjustRightInd w:val="0"/>
              <w:jc w:val="center"/>
              <w:rPr>
                <w:rFonts w:eastAsia="Calibri"/>
                <w:b/>
                <w:sz w:val="22"/>
              </w:rPr>
            </w:pPr>
            <w:r w:rsidRPr="00C86B34">
              <w:rPr>
                <w:rFonts w:eastAsia="Calibri"/>
                <w:b/>
                <w:sz w:val="22"/>
              </w:rPr>
              <w:t>Прогнозне (цільове) значення</w:t>
            </w:r>
          </w:p>
        </w:tc>
      </w:tr>
      <w:tr w:rsidR="00E95FB1" w:rsidRPr="00C86B34" w:rsidTr="001B3967">
        <w:trPr>
          <w:trHeight w:val="290"/>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sz w:val="22"/>
              </w:rPr>
            </w:pPr>
          </w:p>
        </w:tc>
        <w:tc>
          <w:tcPr>
            <w:tcW w:w="3514" w:type="dxa"/>
            <w:gridSpan w:val="3"/>
          </w:tcPr>
          <w:p w:rsidR="00E95FB1" w:rsidRPr="00C86B34" w:rsidRDefault="00E95FB1" w:rsidP="001B3967">
            <w:pPr>
              <w:autoSpaceDE w:val="0"/>
              <w:autoSpaceDN w:val="0"/>
              <w:adjustRightInd w:val="0"/>
              <w:jc w:val="center"/>
              <w:rPr>
                <w:rFonts w:eastAsia="Calibri"/>
                <w:sz w:val="22"/>
              </w:rPr>
            </w:pPr>
            <w:r w:rsidRPr="00C86B34">
              <w:rPr>
                <w:rFonts w:eastAsia="Calibri"/>
                <w:sz w:val="22"/>
              </w:rPr>
              <w:t>кількість вихованців (спортсменів)</w:t>
            </w:r>
          </w:p>
        </w:tc>
        <w:tc>
          <w:tcPr>
            <w:tcW w:w="1154" w:type="dxa"/>
            <w:gridSpan w:val="2"/>
          </w:tcPr>
          <w:p w:rsidR="00E95FB1" w:rsidRPr="00C86B34" w:rsidRDefault="00E95FB1" w:rsidP="001B3967">
            <w:pPr>
              <w:autoSpaceDE w:val="0"/>
              <w:autoSpaceDN w:val="0"/>
              <w:adjustRightInd w:val="0"/>
              <w:jc w:val="center"/>
              <w:rPr>
                <w:rFonts w:eastAsia="Calibri"/>
                <w:sz w:val="22"/>
              </w:rPr>
            </w:pPr>
            <w:r w:rsidRPr="00C86B34">
              <w:rPr>
                <w:rFonts w:eastAsia="Calibri"/>
                <w:sz w:val="22"/>
              </w:rPr>
              <w:t>осіб/день</w:t>
            </w:r>
          </w:p>
        </w:tc>
        <w:tc>
          <w:tcPr>
            <w:tcW w:w="2599" w:type="dxa"/>
            <w:gridSpan w:val="2"/>
          </w:tcPr>
          <w:p w:rsidR="00E95FB1" w:rsidRPr="00C86B34" w:rsidRDefault="00E95FB1" w:rsidP="001B3967">
            <w:pPr>
              <w:autoSpaceDE w:val="0"/>
              <w:autoSpaceDN w:val="0"/>
              <w:adjustRightInd w:val="0"/>
              <w:jc w:val="center"/>
              <w:rPr>
                <w:rFonts w:eastAsia="Calibri"/>
                <w:sz w:val="22"/>
              </w:rPr>
            </w:pPr>
            <w:r w:rsidRPr="00C86B34">
              <w:rPr>
                <w:rFonts w:eastAsia="Calibri"/>
                <w:sz w:val="22"/>
              </w:rPr>
              <w:t>120</w:t>
            </w:r>
          </w:p>
        </w:tc>
      </w:tr>
      <w:tr w:rsidR="00E95FB1" w:rsidRPr="00C86B34" w:rsidTr="001B3967">
        <w:trPr>
          <w:trHeight w:val="290"/>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sz w:val="22"/>
              </w:rPr>
            </w:pPr>
          </w:p>
        </w:tc>
        <w:tc>
          <w:tcPr>
            <w:tcW w:w="3514" w:type="dxa"/>
            <w:gridSpan w:val="3"/>
          </w:tcPr>
          <w:p w:rsidR="00E95FB1" w:rsidRPr="00C86B34" w:rsidRDefault="00E95FB1" w:rsidP="001B3967">
            <w:pPr>
              <w:autoSpaceDE w:val="0"/>
              <w:autoSpaceDN w:val="0"/>
              <w:adjustRightInd w:val="0"/>
              <w:jc w:val="center"/>
              <w:rPr>
                <w:rFonts w:eastAsia="Calibri"/>
                <w:sz w:val="22"/>
              </w:rPr>
            </w:pPr>
            <w:r w:rsidRPr="00C86B34">
              <w:rPr>
                <w:rFonts w:eastAsia="Calibri"/>
                <w:sz w:val="22"/>
              </w:rPr>
              <w:t>кількість отримувачів послуг</w:t>
            </w:r>
          </w:p>
        </w:tc>
        <w:tc>
          <w:tcPr>
            <w:tcW w:w="1154" w:type="dxa"/>
            <w:gridSpan w:val="2"/>
          </w:tcPr>
          <w:p w:rsidR="00E95FB1" w:rsidRPr="00C86B34" w:rsidRDefault="00E95FB1" w:rsidP="001B3967">
            <w:pPr>
              <w:autoSpaceDE w:val="0"/>
              <w:autoSpaceDN w:val="0"/>
              <w:adjustRightInd w:val="0"/>
              <w:jc w:val="center"/>
              <w:rPr>
                <w:rFonts w:eastAsia="Calibri"/>
                <w:sz w:val="22"/>
              </w:rPr>
            </w:pPr>
            <w:r w:rsidRPr="00C86B34">
              <w:rPr>
                <w:rFonts w:eastAsia="Calibri"/>
                <w:sz w:val="22"/>
              </w:rPr>
              <w:t>осіб/день</w:t>
            </w:r>
          </w:p>
        </w:tc>
        <w:tc>
          <w:tcPr>
            <w:tcW w:w="2599" w:type="dxa"/>
            <w:gridSpan w:val="2"/>
          </w:tcPr>
          <w:p w:rsidR="00E95FB1" w:rsidRPr="00C86B34" w:rsidRDefault="00E95FB1" w:rsidP="001B3967">
            <w:pPr>
              <w:autoSpaceDE w:val="0"/>
              <w:autoSpaceDN w:val="0"/>
              <w:adjustRightInd w:val="0"/>
              <w:jc w:val="center"/>
              <w:rPr>
                <w:rFonts w:eastAsia="Calibri"/>
                <w:sz w:val="22"/>
              </w:rPr>
            </w:pPr>
            <w:r w:rsidRPr="00C86B34">
              <w:rPr>
                <w:rFonts w:eastAsia="Calibri"/>
                <w:sz w:val="22"/>
              </w:rPr>
              <w:t>100</w:t>
            </w:r>
          </w:p>
        </w:tc>
      </w:tr>
      <w:tr w:rsidR="00E95FB1" w:rsidRPr="00C86B34" w:rsidTr="001B3967">
        <w:trPr>
          <w:trHeight w:val="199"/>
        </w:trPr>
        <w:tc>
          <w:tcPr>
            <w:tcW w:w="2724" w:type="dxa"/>
            <w:tcBorders>
              <w:bottom w:val="single" w:sz="4" w:space="0" w:color="auto"/>
            </w:tcBorders>
            <w:shd w:val="clear" w:color="00FFFF" w:fill="C6D9F1" w:themeFill="text2" w:themeFillTint="33"/>
            <w:vAlign w:val="center"/>
          </w:tcPr>
          <w:p w:rsidR="00E95FB1" w:rsidRPr="00C86B34" w:rsidRDefault="00E95FB1" w:rsidP="001B3967">
            <w:pPr>
              <w:autoSpaceDE w:val="0"/>
              <w:autoSpaceDN w:val="0"/>
              <w:adjustRightInd w:val="0"/>
              <w:rPr>
                <w:rFonts w:eastAsia="Calibri"/>
                <w:b/>
                <w:sz w:val="22"/>
              </w:rPr>
            </w:pPr>
            <w:r w:rsidRPr="00C86B34">
              <w:rPr>
                <w:rFonts w:eastAsia="Calibri"/>
                <w:b/>
                <w:sz w:val="22"/>
              </w:rPr>
              <w:t>Ключові заходи проекту:</w:t>
            </w:r>
          </w:p>
        </w:tc>
        <w:tc>
          <w:tcPr>
            <w:tcW w:w="7267" w:type="dxa"/>
            <w:gridSpan w:val="7"/>
          </w:tcPr>
          <w:p w:rsidR="00E95FB1" w:rsidRPr="00C86B34" w:rsidRDefault="00E95FB1" w:rsidP="000303D7">
            <w:pPr>
              <w:numPr>
                <w:ilvl w:val="0"/>
                <w:numId w:val="42"/>
              </w:numPr>
              <w:autoSpaceDE w:val="0"/>
              <w:autoSpaceDN w:val="0"/>
              <w:adjustRightInd w:val="0"/>
              <w:ind w:left="331" w:right="112" w:hanging="284"/>
              <w:rPr>
                <w:rFonts w:eastAsia="Calibri"/>
                <w:sz w:val="22"/>
              </w:rPr>
            </w:pPr>
            <w:r w:rsidRPr="00C86B34">
              <w:rPr>
                <w:rFonts w:eastAsia="Calibri"/>
                <w:sz w:val="22"/>
              </w:rPr>
              <w:t>оцінка спеціально створеною комісією завданих будівлі руйнувань (пошкоджень) та матеріальних збитків</w:t>
            </w:r>
            <w:r w:rsidR="00933E59" w:rsidRPr="00C86B34">
              <w:rPr>
                <w:rFonts w:eastAsia="Calibri"/>
                <w:sz w:val="22"/>
              </w:rPr>
              <w:t>;</w:t>
            </w:r>
          </w:p>
          <w:p w:rsidR="00E95FB1" w:rsidRPr="00C86B34" w:rsidRDefault="00E95FB1" w:rsidP="000303D7">
            <w:pPr>
              <w:pStyle w:val="afc"/>
              <w:numPr>
                <w:ilvl w:val="0"/>
                <w:numId w:val="42"/>
              </w:numPr>
              <w:spacing w:line="240" w:lineRule="auto"/>
              <w:ind w:left="327" w:hanging="283"/>
              <w:rPr>
                <w:rFonts w:ascii="Times New Roman" w:hAnsi="Times New Roman"/>
                <w:color w:val="auto"/>
                <w:sz w:val="22"/>
              </w:rPr>
            </w:pPr>
            <w:r w:rsidRPr="00C86B34">
              <w:rPr>
                <w:rFonts w:ascii="Times New Roman" w:hAnsi="Times New Roman"/>
                <w:color w:val="auto"/>
                <w:sz w:val="22"/>
              </w:rPr>
              <w:t xml:space="preserve">виготовлення </w:t>
            </w:r>
            <w:proofErr w:type="spellStart"/>
            <w:r w:rsidRPr="00C86B34">
              <w:rPr>
                <w:rFonts w:ascii="Times New Roman" w:hAnsi="Times New Roman"/>
                <w:color w:val="auto"/>
                <w:sz w:val="22"/>
              </w:rPr>
              <w:t>проєктно</w:t>
            </w:r>
            <w:proofErr w:type="spellEnd"/>
            <w:r w:rsidRPr="00C86B34">
              <w:rPr>
                <w:rFonts w:ascii="Times New Roman" w:hAnsi="Times New Roman"/>
                <w:color w:val="auto"/>
                <w:sz w:val="22"/>
              </w:rPr>
              <w:t>—кошторисної документації</w:t>
            </w:r>
            <w:r w:rsidR="00933E59" w:rsidRPr="00C86B34">
              <w:rPr>
                <w:rFonts w:ascii="Times New Roman" w:hAnsi="Times New Roman"/>
                <w:color w:val="auto"/>
                <w:sz w:val="22"/>
              </w:rPr>
              <w:t>;</w:t>
            </w:r>
          </w:p>
          <w:p w:rsidR="00E95FB1" w:rsidRPr="00C86B34" w:rsidRDefault="00E95FB1" w:rsidP="000303D7">
            <w:pPr>
              <w:pStyle w:val="afc"/>
              <w:numPr>
                <w:ilvl w:val="0"/>
                <w:numId w:val="42"/>
              </w:numPr>
              <w:spacing w:line="240" w:lineRule="auto"/>
              <w:ind w:left="327" w:hanging="283"/>
              <w:rPr>
                <w:rFonts w:ascii="Times New Roman" w:hAnsi="Times New Roman"/>
                <w:color w:val="auto"/>
                <w:sz w:val="22"/>
              </w:rPr>
            </w:pPr>
            <w:r w:rsidRPr="00C86B34">
              <w:rPr>
                <w:rFonts w:ascii="Times New Roman" w:hAnsi="Times New Roman"/>
                <w:color w:val="auto"/>
                <w:sz w:val="22"/>
              </w:rPr>
              <w:t>визначення підрядної організації для проведення будівельних робіт</w:t>
            </w:r>
            <w:r w:rsidR="00933E59" w:rsidRPr="00C86B34">
              <w:rPr>
                <w:rFonts w:ascii="Times New Roman" w:hAnsi="Times New Roman"/>
                <w:color w:val="auto"/>
                <w:sz w:val="22"/>
              </w:rPr>
              <w:t>;</w:t>
            </w:r>
          </w:p>
          <w:p w:rsidR="00E95FB1" w:rsidRPr="00C86B34" w:rsidRDefault="00E95FB1" w:rsidP="000303D7">
            <w:pPr>
              <w:numPr>
                <w:ilvl w:val="0"/>
                <w:numId w:val="30"/>
              </w:numPr>
              <w:autoSpaceDE w:val="0"/>
              <w:autoSpaceDN w:val="0"/>
              <w:adjustRightInd w:val="0"/>
              <w:ind w:left="327" w:right="112" w:hanging="283"/>
              <w:rPr>
                <w:rFonts w:eastAsia="Calibri"/>
                <w:sz w:val="22"/>
              </w:rPr>
            </w:pPr>
            <w:r w:rsidRPr="00C86B34">
              <w:rPr>
                <w:rFonts w:eastAsia="Calibri"/>
                <w:sz w:val="22"/>
              </w:rPr>
              <w:t>виконання будівельних робіт:</w:t>
            </w:r>
          </w:p>
          <w:p w:rsidR="00E95FB1" w:rsidRPr="00C86B34" w:rsidRDefault="00E95FB1" w:rsidP="001B3967">
            <w:pPr>
              <w:tabs>
                <w:tab w:val="left" w:pos="333"/>
              </w:tabs>
              <w:autoSpaceDE w:val="0"/>
              <w:autoSpaceDN w:val="0"/>
              <w:adjustRightInd w:val="0"/>
              <w:ind w:right="112" w:firstLine="753"/>
              <w:rPr>
                <w:rFonts w:eastAsia="Calibri"/>
                <w:sz w:val="22"/>
              </w:rPr>
            </w:pPr>
            <w:r w:rsidRPr="00C86B34">
              <w:rPr>
                <w:rFonts w:eastAsia="Calibri"/>
                <w:sz w:val="22"/>
              </w:rPr>
              <w:t>ремонт даху</w:t>
            </w:r>
            <w:r w:rsidR="00933E59" w:rsidRPr="00C86B34">
              <w:rPr>
                <w:rFonts w:eastAsia="Calibri"/>
                <w:sz w:val="22"/>
              </w:rPr>
              <w:t>;</w:t>
            </w:r>
          </w:p>
          <w:p w:rsidR="00E95FB1" w:rsidRPr="00C86B34" w:rsidRDefault="00E95FB1" w:rsidP="001B3967">
            <w:pPr>
              <w:tabs>
                <w:tab w:val="left" w:pos="333"/>
              </w:tabs>
              <w:autoSpaceDE w:val="0"/>
              <w:autoSpaceDN w:val="0"/>
              <w:adjustRightInd w:val="0"/>
              <w:ind w:right="112" w:firstLine="753"/>
              <w:rPr>
                <w:rFonts w:eastAsia="Calibri"/>
                <w:sz w:val="22"/>
              </w:rPr>
            </w:pPr>
            <w:r w:rsidRPr="00C86B34">
              <w:rPr>
                <w:rFonts w:eastAsia="Calibri"/>
                <w:sz w:val="22"/>
              </w:rPr>
              <w:t>заміна пошкоджених вікон, дверей</w:t>
            </w:r>
            <w:r w:rsidR="00933E59" w:rsidRPr="00C86B34">
              <w:rPr>
                <w:rFonts w:eastAsia="Calibri"/>
                <w:sz w:val="22"/>
              </w:rPr>
              <w:t>;</w:t>
            </w:r>
          </w:p>
          <w:p w:rsidR="00E95FB1" w:rsidRPr="00C86B34" w:rsidRDefault="00E95FB1" w:rsidP="001B3967">
            <w:pPr>
              <w:tabs>
                <w:tab w:val="left" w:pos="333"/>
              </w:tabs>
              <w:autoSpaceDE w:val="0"/>
              <w:autoSpaceDN w:val="0"/>
              <w:adjustRightInd w:val="0"/>
              <w:ind w:right="112" w:firstLine="753"/>
              <w:rPr>
                <w:rFonts w:eastAsia="Calibri"/>
                <w:sz w:val="22"/>
              </w:rPr>
            </w:pPr>
            <w:r w:rsidRPr="00C86B34">
              <w:rPr>
                <w:rFonts w:eastAsia="Calibri"/>
                <w:sz w:val="22"/>
              </w:rPr>
              <w:t>будівництво модульної котельні</w:t>
            </w:r>
            <w:r w:rsidR="00933E59" w:rsidRPr="00C86B34">
              <w:rPr>
                <w:rFonts w:eastAsia="Calibri"/>
                <w:sz w:val="22"/>
              </w:rPr>
              <w:t>;</w:t>
            </w:r>
          </w:p>
          <w:p w:rsidR="00E95FB1" w:rsidRPr="00C86B34" w:rsidRDefault="00E95FB1" w:rsidP="001B3967">
            <w:pPr>
              <w:tabs>
                <w:tab w:val="left" w:pos="333"/>
              </w:tabs>
              <w:autoSpaceDE w:val="0"/>
              <w:autoSpaceDN w:val="0"/>
              <w:adjustRightInd w:val="0"/>
              <w:ind w:right="112" w:firstLine="753"/>
              <w:rPr>
                <w:rFonts w:eastAsia="Calibri"/>
                <w:sz w:val="22"/>
              </w:rPr>
            </w:pPr>
            <w:r w:rsidRPr="00C86B34">
              <w:rPr>
                <w:sz w:val="22"/>
              </w:rPr>
              <w:t>модернізація системи опалення та інженерних мереж</w:t>
            </w:r>
            <w:r w:rsidR="00933E59" w:rsidRPr="00C86B34">
              <w:rPr>
                <w:sz w:val="22"/>
              </w:rPr>
              <w:t>;</w:t>
            </w:r>
          </w:p>
          <w:p w:rsidR="00E95FB1" w:rsidRPr="00C86B34" w:rsidRDefault="00E95FB1" w:rsidP="001B3967">
            <w:pPr>
              <w:tabs>
                <w:tab w:val="left" w:pos="333"/>
              </w:tabs>
              <w:autoSpaceDE w:val="0"/>
              <w:autoSpaceDN w:val="0"/>
              <w:adjustRightInd w:val="0"/>
              <w:ind w:right="112" w:firstLine="753"/>
              <w:rPr>
                <w:rFonts w:eastAsia="Calibri"/>
                <w:sz w:val="22"/>
              </w:rPr>
            </w:pPr>
            <w:r w:rsidRPr="00C86B34">
              <w:rPr>
                <w:sz w:val="22"/>
              </w:rPr>
              <w:t xml:space="preserve">облаштування системи </w:t>
            </w:r>
            <w:proofErr w:type="spellStart"/>
            <w:r w:rsidRPr="00C86B34">
              <w:rPr>
                <w:sz w:val="22"/>
              </w:rPr>
              <w:t>відеонагляду</w:t>
            </w:r>
            <w:proofErr w:type="spellEnd"/>
            <w:r w:rsidRPr="00C86B34">
              <w:rPr>
                <w:sz w:val="22"/>
              </w:rPr>
              <w:t xml:space="preserve"> та відеоспостереження</w:t>
            </w:r>
            <w:r w:rsidR="00933E59" w:rsidRPr="00C86B34">
              <w:rPr>
                <w:sz w:val="22"/>
              </w:rPr>
              <w:t>;</w:t>
            </w:r>
          </w:p>
          <w:p w:rsidR="00E95FB1" w:rsidRPr="00C86B34" w:rsidRDefault="00E95FB1" w:rsidP="001B3967">
            <w:pPr>
              <w:tabs>
                <w:tab w:val="left" w:pos="333"/>
              </w:tabs>
              <w:autoSpaceDE w:val="0"/>
              <w:autoSpaceDN w:val="0"/>
              <w:adjustRightInd w:val="0"/>
              <w:ind w:right="112" w:firstLine="753"/>
              <w:rPr>
                <w:rFonts w:eastAsia="Calibri"/>
                <w:sz w:val="22"/>
              </w:rPr>
            </w:pPr>
            <w:r w:rsidRPr="00C86B34">
              <w:rPr>
                <w:rFonts w:eastAsia="Calibri"/>
                <w:sz w:val="22"/>
              </w:rPr>
              <w:t>ремонт спортивного залу</w:t>
            </w:r>
            <w:r w:rsidR="00933E59" w:rsidRPr="00C86B34">
              <w:rPr>
                <w:rFonts w:eastAsia="Calibri"/>
                <w:sz w:val="22"/>
              </w:rPr>
              <w:t>;</w:t>
            </w:r>
          </w:p>
          <w:p w:rsidR="00E95FB1" w:rsidRPr="00C86B34" w:rsidRDefault="00E95FB1" w:rsidP="001B3967">
            <w:pPr>
              <w:tabs>
                <w:tab w:val="left" w:pos="333"/>
              </w:tabs>
              <w:autoSpaceDE w:val="0"/>
              <w:autoSpaceDN w:val="0"/>
              <w:adjustRightInd w:val="0"/>
              <w:ind w:right="112" w:firstLine="753"/>
              <w:rPr>
                <w:rFonts w:eastAsia="Calibri"/>
                <w:sz w:val="22"/>
              </w:rPr>
            </w:pPr>
            <w:r w:rsidRPr="00C86B34">
              <w:rPr>
                <w:sz w:val="22"/>
              </w:rPr>
              <w:t>облаштування  системи рекуперації повітря</w:t>
            </w:r>
            <w:r w:rsidR="00933E59" w:rsidRPr="00C86B34">
              <w:rPr>
                <w:sz w:val="22"/>
              </w:rPr>
              <w:t>;</w:t>
            </w:r>
          </w:p>
          <w:p w:rsidR="00E95FB1" w:rsidRPr="00C86B34" w:rsidRDefault="00E95FB1" w:rsidP="001B3967">
            <w:pPr>
              <w:tabs>
                <w:tab w:val="left" w:pos="333"/>
              </w:tabs>
              <w:autoSpaceDE w:val="0"/>
              <w:autoSpaceDN w:val="0"/>
              <w:adjustRightInd w:val="0"/>
              <w:ind w:right="112" w:firstLine="753"/>
              <w:rPr>
                <w:rFonts w:eastAsia="Calibri"/>
                <w:sz w:val="22"/>
              </w:rPr>
            </w:pPr>
            <w:r w:rsidRPr="00C86B34">
              <w:rPr>
                <w:sz w:val="22"/>
              </w:rPr>
              <w:t>ремонт приміщень (адміністративні та господарчі приміщення, коридори, сходи)</w:t>
            </w:r>
            <w:r w:rsidR="00933E59" w:rsidRPr="00C86B34">
              <w:rPr>
                <w:sz w:val="22"/>
              </w:rPr>
              <w:t>;</w:t>
            </w:r>
          </w:p>
          <w:p w:rsidR="00E95FB1" w:rsidRPr="00C86B34" w:rsidRDefault="00E95FB1" w:rsidP="001B3967">
            <w:pPr>
              <w:tabs>
                <w:tab w:val="left" w:pos="333"/>
              </w:tabs>
              <w:ind w:firstLine="753"/>
              <w:rPr>
                <w:sz w:val="22"/>
              </w:rPr>
            </w:pPr>
            <w:r w:rsidRPr="00C86B34">
              <w:rPr>
                <w:sz w:val="22"/>
              </w:rPr>
              <w:t>ремонт центрального входу будівлі</w:t>
            </w:r>
            <w:r w:rsidR="00933E59" w:rsidRPr="00C86B34">
              <w:rPr>
                <w:sz w:val="22"/>
              </w:rPr>
              <w:t>;</w:t>
            </w:r>
          </w:p>
          <w:p w:rsidR="00E95FB1" w:rsidRPr="00C86B34" w:rsidRDefault="00E95FB1" w:rsidP="001B3967">
            <w:pPr>
              <w:tabs>
                <w:tab w:val="left" w:pos="333"/>
              </w:tabs>
              <w:ind w:firstLine="753"/>
              <w:rPr>
                <w:sz w:val="22"/>
              </w:rPr>
            </w:pPr>
            <w:r w:rsidRPr="00C86B34">
              <w:rPr>
                <w:sz w:val="22"/>
              </w:rPr>
              <w:lastRenderedPageBreak/>
              <w:t>утеплення фасаду</w:t>
            </w:r>
            <w:r w:rsidR="00933E59" w:rsidRPr="00C86B34">
              <w:rPr>
                <w:sz w:val="22"/>
              </w:rPr>
              <w:t>;</w:t>
            </w:r>
          </w:p>
          <w:p w:rsidR="00E95FB1" w:rsidRPr="00C86B34" w:rsidRDefault="00E95FB1" w:rsidP="001B3967">
            <w:pPr>
              <w:tabs>
                <w:tab w:val="left" w:pos="333"/>
              </w:tabs>
              <w:ind w:firstLine="753"/>
              <w:rPr>
                <w:sz w:val="22"/>
              </w:rPr>
            </w:pPr>
            <w:r w:rsidRPr="00C86B34">
              <w:rPr>
                <w:sz w:val="22"/>
              </w:rPr>
              <w:t xml:space="preserve">встановлення сонячних </w:t>
            </w:r>
            <w:proofErr w:type="spellStart"/>
            <w:r w:rsidRPr="00C86B34">
              <w:rPr>
                <w:sz w:val="22"/>
              </w:rPr>
              <w:t>батарей</w:t>
            </w:r>
            <w:proofErr w:type="spellEnd"/>
            <w:r w:rsidR="00933E59" w:rsidRPr="00C86B34">
              <w:rPr>
                <w:sz w:val="22"/>
              </w:rPr>
              <w:t>;</w:t>
            </w:r>
          </w:p>
          <w:p w:rsidR="00E95FB1" w:rsidRPr="00C86B34" w:rsidRDefault="00E95FB1" w:rsidP="001B3967">
            <w:pPr>
              <w:tabs>
                <w:tab w:val="left" w:pos="333"/>
              </w:tabs>
              <w:autoSpaceDE w:val="0"/>
              <w:autoSpaceDN w:val="0"/>
              <w:adjustRightInd w:val="0"/>
              <w:ind w:right="112" w:firstLine="753"/>
              <w:rPr>
                <w:rFonts w:eastAsia="Calibri"/>
                <w:sz w:val="22"/>
              </w:rPr>
            </w:pPr>
            <w:r w:rsidRPr="00C86B34">
              <w:rPr>
                <w:sz w:val="22"/>
              </w:rPr>
              <w:t>облаштування доступу осіб з інвалідністю до тренажерної зали, роздягальнь, туалетів, душових</w:t>
            </w:r>
            <w:r w:rsidR="00933E59" w:rsidRPr="00C86B34">
              <w:rPr>
                <w:sz w:val="22"/>
              </w:rPr>
              <w:t>;</w:t>
            </w:r>
          </w:p>
          <w:p w:rsidR="00E95FB1" w:rsidRPr="00C86B34" w:rsidRDefault="00E95FB1" w:rsidP="001B3967">
            <w:pPr>
              <w:tabs>
                <w:tab w:val="left" w:pos="333"/>
              </w:tabs>
              <w:autoSpaceDE w:val="0"/>
              <w:autoSpaceDN w:val="0"/>
              <w:adjustRightInd w:val="0"/>
              <w:ind w:right="116" w:firstLine="753"/>
              <w:rPr>
                <w:rFonts w:eastAsia="Calibri"/>
                <w:sz w:val="22"/>
              </w:rPr>
            </w:pPr>
            <w:r w:rsidRPr="00C86B34">
              <w:rPr>
                <w:sz w:val="22"/>
              </w:rPr>
              <w:t xml:space="preserve">благоустрій прилеглої території </w:t>
            </w:r>
            <w:r w:rsidRPr="00C86B34">
              <w:rPr>
                <w:rFonts w:eastAsia="Calibri"/>
                <w:sz w:val="22"/>
              </w:rPr>
              <w:t xml:space="preserve"> (реконструкція проїздів та пішохідних зон, влаштування місць для паркування авто, огородження території, озеленення території, зовнішнє освітлення, встановлення малих архітектурних форм)</w:t>
            </w:r>
            <w:r w:rsidR="00933E59" w:rsidRPr="00C86B34">
              <w:rPr>
                <w:rFonts w:eastAsia="Calibri"/>
                <w:sz w:val="22"/>
              </w:rPr>
              <w:t>;</w:t>
            </w:r>
          </w:p>
          <w:p w:rsidR="00E95FB1" w:rsidRPr="00C86B34" w:rsidRDefault="00E95FB1" w:rsidP="001B3967">
            <w:pPr>
              <w:autoSpaceDE w:val="0"/>
              <w:autoSpaceDN w:val="0"/>
              <w:adjustRightInd w:val="0"/>
              <w:ind w:right="116" w:firstLine="753"/>
              <w:rPr>
                <w:rFonts w:eastAsia="Calibri"/>
                <w:sz w:val="22"/>
              </w:rPr>
            </w:pPr>
            <w:r w:rsidRPr="00C86B34">
              <w:rPr>
                <w:rFonts w:eastAsia="Calibri"/>
                <w:sz w:val="22"/>
              </w:rPr>
              <w:t>встановлення сучасної системи охорони</w:t>
            </w:r>
            <w:r w:rsidR="00933E59" w:rsidRPr="00C86B34">
              <w:rPr>
                <w:rFonts w:eastAsia="Calibri"/>
                <w:sz w:val="22"/>
              </w:rPr>
              <w:t>;</w:t>
            </w:r>
          </w:p>
          <w:p w:rsidR="00E95FB1" w:rsidRPr="00C86B34" w:rsidRDefault="00E95FB1" w:rsidP="000303D7">
            <w:pPr>
              <w:numPr>
                <w:ilvl w:val="1"/>
                <w:numId w:val="31"/>
              </w:numPr>
              <w:ind w:left="753" w:hanging="284"/>
              <w:rPr>
                <w:sz w:val="22"/>
              </w:rPr>
            </w:pPr>
            <w:r w:rsidRPr="00C86B34">
              <w:rPr>
                <w:rFonts w:eastAsia="Calibri"/>
                <w:sz w:val="22"/>
              </w:rPr>
              <w:t>придбання обладнання та матеріалів:</w:t>
            </w:r>
            <w:r w:rsidRPr="00C86B34">
              <w:rPr>
                <w:sz w:val="22"/>
              </w:rPr>
              <w:t xml:space="preserve"> </w:t>
            </w:r>
          </w:p>
          <w:p w:rsidR="00E95FB1" w:rsidRPr="00C86B34" w:rsidRDefault="00E95FB1" w:rsidP="001B3967">
            <w:pPr>
              <w:tabs>
                <w:tab w:val="left" w:pos="192"/>
              </w:tabs>
              <w:ind w:firstLine="753"/>
              <w:rPr>
                <w:rFonts w:eastAsia="Calibri"/>
                <w:sz w:val="22"/>
              </w:rPr>
            </w:pPr>
            <w:r w:rsidRPr="00C86B34">
              <w:rPr>
                <w:rFonts w:eastAsia="Calibri"/>
                <w:sz w:val="22"/>
              </w:rPr>
              <w:t>придбання офісної техніки, меблів, господарчого інвентарю</w:t>
            </w:r>
          </w:p>
          <w:p w:rsidR="00E95FB1" w:rsidRPr="00C86B34" w:rsidRDefault="00E95FB1" w:rsidP="001B3967">
            <w:pPr>
              <w:ind w:left="753"/>
              <w:rPr>
                <w:rFonts w:eastAsia="Calibri"/>
                <w:sz w:val="22"/>
              </w:rPr>
            </w:pPr>
            <w:r w:rsidRPr="00C86B34">
              <w:rPr>
                <w:rFonts w:eastAsia="Calibri"/>
                <w:sz w:val="22"/>
              </w:rPr>
              <w:t>забезпечення об’єкта сучасним спортивним інвентарем та обладнанням за видами спорту</w:t>
            </w:r>
            <w:r w:rsidR="00933E59" w:rsidRPr="00C86B34">
              <w:rPr>
                <w:rFonts w:eastAsia="Calibri"/>
                <w:sz w:val="22"/>
              </w:rPr>
              <w:t>;</w:t>
            </w:r>
          </w:p>
          <w:p w:rsidR="00E95FB1" w:rsidRPr="00C86B34" w:rsidRDefault="00E95FB1" w:rsidP="000303D7">
            <w:pPr>
              <w:pStyle w:val="a7"/>
              <w:numPr>
                <w:ilvl w:val="0"/>
                <w:numId w:val="30"/>
              </w:numPr>
              <w:ind w:left="469" w:firstLine="0"/>
              <w:contextualSpacing w:val="0"/>
              <w:jc w:val="left"/>
              <w:rPr>
                <w:sz w:val="22"/>
              </w:rPr>
            </w:pPr>
            <w:r w:rsidRPr="00C86B34">
              <w:rPr>
                <w:rFonts w:eastAsia="Calibri"/>
                <w:sz w:val="22"/>
              </w:rPr>
              <w:t>введення споруди в експлуатацію та її експлуатація за призначенням</w:t>
            </w:r>
          </w:p>
        </w:tc>
      </w:tr>
      <w:tr w:rsidR="00E95FB1" w:rsidRPr="00C86B34" w:rsidTr="001B3967">
        <w:trPr>
          <w:trHeight w:val="199"/>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sz w:val="22"/>
              </w:rPr>
            </w:pPr>
            <w:r w:rsidRPr="00C86B34">
              <w:rPr>
                <w:rFonts w:eastAsia="Calibri"/>
                <w:b/>
                <w:sz w:val="22"/>
              </w:rPr>
              <w:lastRenderedPageBreak/>
              <w:t>Орієнтовний обсяг та джерела фінансування тис. гривень</w:t>
            </w:r>
          </w:p>
        </w:tc>
        <w:tc>
          <w:tcPr>
            <w:tcW w:w="2056" w:type="dxa"/>
            <w:vMerge w:val="restart"/>
            <w:vAlign w:val="center"/>
          </w:tcPr>
          <w:p w:rsidR="00E95FB1" w:rsidRPr="00C86B34" w:rsidRDefault="00E95FB1" w:rsidP="001B3967">
            <w:pPr>
              <w:autoSpaceDE w:val="0"/>
              <w:autoSpaceDN w:val="0"/>
              <w:adjustRightInd w:val="0"/>
              <w:jc w:val="center"/>
              <w:rPr>
                <w:rFonts w:eastAsia="Calibri"/>
                <w:b/>
                <w:sz w:val="22"/>
              </w:rPr>
            </w:pPr>
            <w:r w:rsidRPr="00C86B34">
              <w:rPr>
                <w:rFonts w:eastAsia="Calibri"/>
                <w:b/>
                <w:sz w:val="22"/>
              </w:rPr>
              <w:t>Державний бюджет</w:t>
            </w:r>
          </w:p>
        </w:tc>
        <w:tc>
          <w:tcPr>
            <w:tcW w:w="1289" w:type="dxa"/>
            <w:vMerge w:val="restart"/>
            <w:vAlign w:val="center"/>
          </w:tcPr>
          <w:p w:rsidR="00E95FB1" w:rsidRPr="00C86B34" w:rsidRDefault="00E95FB1" w:rsidP="001B3967">
            <w:pPr>
              <w:autoSpaceDE w:val="0"/>
              <w:autoSpaceDN w:val="0"/>
              <w:adjustRightInd w:val="0"/>
              <w:jc w:val="center"/>
              <w:rPr>
                <w:rFonts w:eastAsia="Calibri"/>
                <w:b/>
                <w:sz w:val="22"/>
              </w:rPr>
            </w:pPr>
            <w:r w:rsidRPr="00C86B34">
              <w:rPr>
                <w:rFonts w:eastAsia="Calibri"/>
                <w:b/>
                <w:sz w:val="22"/>
              </w:rPr>
              <w:t>Місцевий бюджет</w:t>
            </w:r>
          </w:p>
        </w:tc>
        <w:tc>
          <w:tcPr>
            <w:tcW w:w="2578" w:type="dxa"/>
            <w:gridSpan w:val="4"/>
            <w:vAlign w:val="center"/>
          </w:tcPr>
          <w:p w:rsidR="00E95FB1" w:rsidRPr="00C86B34" w:rsidRDefault="00E95FB1" w:rsidP="001B3967">
            <w:pPr>
              <w:autoSpaceDE w:val="0"/>
              <w:autoSpaceDN w:val="0"/>
              <w:adjustRightInd w:val="0"/>
              <w:jc w:val="center"/>
              <w:rPr>
                <w:rFonts w:eastAsia="Calibri"/>
                <w:b/>
                <w:sz w:val="22"/>
              </w:rPr>
            </w:pPr>
            <w:r w:rsidRPr="00C86B34">
              <w:rPr>
                <w:rFonts w:eastAsia="Calibri"/>
                <w:b/>
                <w:sz w:val="22"/>
              </w:rPr>
              <w:t>Інші джерела</w:t>
            </w:r>
          </w:p>
        </w:tc>
        <w:tc>
          <w:tcPr>
            <w:tcW w:w="1344" w:type="dxa"/>
            <w:vMerge w:val="restart"/>
            <w:vAlign w:val="center"/>
          </w:tcPr>
          <w:p w:rsidR="00E95FB1" w:rsidRPr="00C86B34" w:rsidRDefault="00E95FB1" w:rsidP="001B3967">
            <w:pPr>
              <w:autoSpaceDE w:val="0"/>
              <w:autoSpaceDN w:val="0"/>
              <w:adjustRightInd w:val="0"/>
              <w:jc w:val="center"/>
              <w:rPr>
                <w:rFonts w:eastAsia="Calibri"/>
                <w:b/>
                <w:sz w:val="22"/>
              </w:rPr>
            </w:pPr>
            <w:r w:rsidRPr="00C86B34">
              <w:rPr>
                <w:rFonts w:eastAsia="Calibri"/>
                <w:b/>
                <w:sz w:val="22"/>
              </w:rPr>
              <w:t>Всього</w:t>
            </w:r>
          </w:p>
        </w:tc>
      </w:tr>
      <w:tr w:rsidR="00E95FB1" w:rsidRPr="00C86B34" w:rsidTr="001B3967">
        <w:trPr>
          <w:trHeight w:val="199"/>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sz w:val="22"/>
              </w:rPr>
            </w:pPr>
          </w:p>
        </w:tc>
        <w:tc>
          <w:tcPr>
            <w:tcW w:w="2056" w:type="dxa"/>
            <w:vMerge/>
            <w:vAlign w:val="center"/>
          </w:tcPr>
          <w:p w:rsidR="00E95FB1" w:rsidRPr="00C86B34" w:rsidRDefault="00E95FB1" w:rsidP="001B3967">
            <w:pPr>
              <w:autoSpaceDE w:val="0"/>
              <w:autoSpaceDN w:val="0"/>
              <w:adjustRightInd w:val="0"/>
              <w:jc w:val="center"/>
              <w:rPr>
                <w:rFonts w:eastAsia="Calibri"/>
                <w:b/>
                <w:sz w:val="22"/>
              </w:rPr>
            </w:pPr>
          </w:p>
        </w:tc>
        <w:tc>
          <w:tcPr>
            <w:tcW w:w="1289" w:type="dxa"/>
            <w:vMerge/>
            <w:vAlign w:val="center"/>
          </w:tcPr>
          <w:p w:rsidR="00E95FB1" w:rsidRPr="00C86B34" w:rsidRDefault="00E95FB1" w:rsidP="001B3967">
            <w:pPr>
              <w:autoSpaceDE w:val="0"/>
              <w:autoSpaceDN w:val="0"/>
              <w:adjustRightInd w:val="0"/>
              <w:jc w:val="center"/>
              <w:rPr>
                <w:rFonts w:eastAsia="Calibri"/>
                <w:b/>
                <w:sz w:val="22"/>
              </w:rPr>
            </w:pPr>
          </w:p>
        </w:tc>
        <w:tc>
          <w:tcPr>
            <w:tcW w:w="1289" w:type="dxa"/>
            <w:gridSpan w:val="2"/>
            <w:vAlign w:val="center"/>
          </w:tcPr>
          <w:p w:rsidR="00E95FB1" w:rsidRPr="00C86B34" w:rsidRDefault="00E95FB1" w:rsidP="001B3967">
            <w:pPr>
              <w:autoSpaceDE w:val="0"/>
              <w:autoSpaceDN w:val="0"/>
              <w:adjustRightInd w:val="0"/>
              <w:jc w:val="center"/>
              <w:rPr>
                <w:rFonts w:eastAsia="Calibri"/>
                <w:b/>
                <w:sz w:val="22"/>
              </w:rPr>
            </w:pPr>
            <w:r w:rsidRPr="00C86B34">
              <w:rPr>
                <w:rFonts w:eastAsia="Calibri"/>
                <w:b/>
                <w:sz w:val="22"/>
              </w:rPr>
              <w:t>Обсяг</w:t>
            </w:r>
          </w:p>
        </w:tc>
        <w:tc>
          <w:tcPr>
            <w:tcW w:w="1289" w:type="dxa"/>
            <w:gridSpan w:val="2"/>
            <w:vAlign w:val="center"/>
          </w:tcPr>
          <w:p w:rsidR="00E95FB1" w:rsidRPr="00C86B34" w:rsidRDefault="00E95FB1" w:rsidP="001B3967">
            <w:pPr>
              <w:autoSpaceDE w:val="0"/>
              <w:autoSpaceDN w:val="0"/>
              <w:adjustRightInd w:val="0"/>
              <w:jc w:val="center"/>
              <w:rPr>
                <w:rFonts w:eastAsia="Calibri"/>
                <w:b/>
                <w:sz w:val="22"/>
              </w:rPr>
            </w:pPr>
            <w:r w:rsidRPr="00C86B34">
              <w:rPr>
                <w:rFonts w:eastAsia="Calibri"/>
                <w:b/>
                <w:sz w:val="22"/>
              </w:rPr>
              <w:t>Назва джерела</w:t>
            </w:r>
          </w:p>
        </w:tc>
        <w:tc>
          <w:tcPr>
            <w:tcW w:w="1344" w:type="dxa"/>
            <w:vMerge/>
            <w:vAlign w:val="center"/>
          </w:tcPr>
          <w:p w:rsidR="00E95FB1" w:rsidRPr="00C86B34" w:rsidRDefault="00E95FB1" w:rsidP="001B3967">
            <w:pPr>
              <w:autoSpaceDE w:val="0"/>
              <w:autoSpaceDN w:val="0"/>
              <w:adjustRightInd w:val="0"/>
              <w:jc w:val="center"/>
              <w:rPr>
                <w:rFonts w:eastAsia="Calibri"/>
                <w:b/>
                <w:sz w:val="22"/>
              </w:rPr>
            </w:pPr>
          </w:p>
        </w:tc>
      </w:tr>
      <w:tr w:rsidR="00E95FB1" w:rsidRPr="00C86B34" w:rsidTr="001B3967">
        <w:trPr>
          <w:trHeight w:val="199"/>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sz w:val="22"/>
              </w:rPr>
            </w:pPr>
          </w:p>
        </w:tc>
        <w:tc>
          <w:tcPr>
            <w:tcW w:w="2056" w:type="dxa"/>
          </w:tcPr>
          <w:p w:rsidR="00E95FB1" w:rsidRPr="00C86B34" w:rsidRDefault="00E95FB1" w:rsidP="001B3967">
            <w:pPr>
              <w:autoSpaceDE w:val="0"/>
              <w:autoSpaceDN w:val="0"/>
              <w:adjustRightInd w:val="0"/>
              <w:jc w:val="center"/>
              <w:rPr>
                <w:rFonts w:eastAsia="Calibri"/>
                <w:sz w:val="22"/>
              </w:rPr>
            </w:pPr>
            <w:r w:rsidRPr="00C86B34">
              <w:rPr>
                <w:rFonts w:eastAsia="Calibri"/>
                <w:sz w:val="22"/>
              </w:rPr>
              <w:t>25 000,0</w:t>
            </w:r>
          </w:p>
        </w:tc>
        <w:tc>
          <w:tcPr>
            <w:tcW w:w="1289" w:type="dxa"/>
          </w:tcPr>
          <w:p w:rsidR="00E95FB1" w:rsidRPr="00C86B34" w:rsidRDefault="00E95FB1" w:rsidP="001B3967">
            <w:pPr>
              <w:autoSpaceDE w:val="0"/>
              <w:autoSpaceDN w:val="0"/>
              <w:adjustRightInd w:val="0"/>
              <w:jc w:val="center"/>
              <w:rPr>
                <w:rFonts w:eastAsia="Calibri"/>
                <w:sz w:val="22"/>
              </w:rPr>
            </w:pPr>
          </w:p>
        </w:tc>
        <w:tc>
          <w:tcPr>
            <w:tcW w:w="1289" w:type="dxa"/>
            <w:gridSpan w:val="2"/>
          </w:tcPr>
          <w:p w:rsidR="00E95FB1" w:rsidRPr="00C86B34" w:rsidRDefault="00E95FB1" w:rsidP="001B3967">
            <w:pPr>
              <w:autoSpaceDE w:val="0"/>
              <w:autoSpaceDN w:val="0"/>
              <w:adjustRightInd w:val="0"/>
              <w:jc w:val="center"/>
              <w:rPr>
                <w:rFonts w:eastAsia="Calibri"/>
                <w:sz w:val="22"/>
              </w:rPr>
            </w:pPr>
          </w:p>
        </w:tc>
        <w:tc>
          <w:tcPr>
            <w:tcW w:w="1289" w:type="dxa"/>
            <w:gridSpan w:val="2"/>
          </w:tcPr>
          <w:p w:rsidR="00E95FB1" w:rsidRPr="00C86B34" w:rsidRDefault="00E95FB1" w:rsidP="001B3967">
            <w:pPr>
              <w:autoSpaceDE w:val="0"/>
              <w:autoSpaceDN w:val="0"/>
              <w:adjustRightInd w:val="0"/>
              <w:jc w:val="center"/>
              <w:rPr>
                <w:rFonts w:eastAsia="Calibri"/>
                <w:sz w:val="22"/>
              </w:rPr>
            </w:pPr>
          </w:p>
        </w:tc>
        <w:tc>
          <w:tcPr>
            <w:tcW w:w="1344" w:type="dxa"/>
          </w:tcPr>
          <w:p w:rsidR="00E95FB1" w:rsidRPr="00C86B34" w:rsidRDefault="00E95FB1" w:rsidP="001B3967">
            <w:pPr>
              <w:autoSpaceDE w:val="0"/>
              <w:autoSpaceDN w:val="0"/>
              <w:adjustRightInd w:val="0"/>
              <w:jc w:val="center"/>
              <w:rPr>
                <w:rFonts w:eastAsia="Calibri"/>
                <w:sz w:val="22"/>
              </w:rPr>
            </w:pPr>
            <w:r w:rsidRPr="00C86B34">
              <w:rPr>
                <w:rFonts w:eastAsia="Calibri"/>
                <w:sz w:val="22"/>
              </w:rPr>
              <w:t>25 000,0</w:t>
            </w:r>
          </w:p>
        </w:tc>
      </w:tr>
      <w:tr w:rsidR="00E95FB1" w:rsidRPr="00C86B34" w:rsidTr="001B3967">
        <w:trPr>
          <w:trHeight w:val="199"/>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sz w:val="22"/>
              </w:rPr>
            </w:pPr>
            <w:r w:rsidRPr="00C86B34">
              <w:rPr>
                <w:b/>
                <w:sz w:val="22"/>
              </w:rPr>
              <w:t xml:space="preserve">Ключові потенційні учасники </w:t>
            </w:r>
            <w:proofErr w:type="spellStart"/>
            <w:r w:rsidRPr="00C86B34">
              <w:rPr>
                <w:b/>
                <w:sz w:val="22"/>
              </w:rPr>
              <w:t>проєкту</w:t>
            </w:r>
            <w:proofErr w:type="spellEnd"/>
          </w:p>
        </w:tc>
        <w:tc>
          <w:tcPr>
            <w:tcW w:w="7267" w:type="dxa"/>
            <w:gridSpan w:val="7"/>
          </w:tcPr>
          <w:p w:rsidR="00E95FB1" w:rsidRPr="00C86B34" w:rsidRDefault="00E95FB1" w:rsidP="001B3967">
            <w:pPr>
              <w:rPr>
                <w:sz w:val="22"/>
              </w:rPr>
            </w:pPr>
            <w:r w:rsidRPr="00C86B34">
              <w:rPr>
                <w:sz w:val="22"/>
              </w:rPr>
              <w:t xml:space="preserve">1. Військова адміністрація міста. </w:t>
            </w:r>
          </w:p>
          <w:p w:rsidR="00E95FB1" w:rsidRPr="00C86B34" w:rsidRDefault="00E95FB1" w:rsidP="001B3967">
            <w:pPr>
              <w:tabs>
                <w:tab w:val="left" w:pos="720"/>
              </w:tabs>
              <w:rPr>
                <w:sz w:val="22"/>
              </w:rPr>
            </w:pPr>
            <w:r w:rsidRPr="00C86B34">
              <w:rPr>
                <w:sz w:val="22"/>
              </w:rPr>
              <w:t>2. Відділ капітального будівництва військової адміністрації міста.</w:t>
            </w:r>
          </w:p>
          <w:p w:rsidR="00E95FB1" w:rsidRPr="00C86B34" w:rsidRDefault="00E95FB1" w:rsidP="001B3967">
            <w:pPr>
              <w:tabs>
                <w:tab w:val="left" w:pos="720"/>
              </w:tabs>
              <w:rPr>
                <w:sz w:val="22"/>
              </w:rPr>
            </w:pPr>
            <w:r w:rsidRPr="00C86B34">
              <w:rPr>
                <w:sz w:val="22"/>
              </w:rPr>
              <w:t>3. Підрядна організація - переможець тендеру, виконавець будівельно-монтажних робіт.</w:t>
            </w:r>
          </w:p>
          <w:p w:rsidR="00E95FB1" w:rsidRPr="00C86B34" w:rsidRDefault="00E95FB1" w:rsidP="001B3967">
            <w:pPr>
              <w:tabs>
                <w:tab w:val="left" w:pos="720"/>
              </w:tabs>
              <w:rPr>
                <w:sz w:val="22"/>
              </w:rPr>
            </w:pPr>
            <w:r w:rsidRPr="00C86B34">
              <w:rPr>
                <w:sz w:val="22"/>
              </w:rPr>
              <w:t>4. Обласна державна адміністрація.</w:t>
            </w:r>
          </w:p>
          <w:p w:rsidR="00E95FB1" w:rsidRPr="00C86B34" w:rsidRDefault="00E95FB1" w:rsidP="001B3967">
            <w:pPr>
              <w:autoSpaceDE w:val="0"/>
              <w:autoSpaceDN w:val="0"/>
              <w:adjustRightInd w:val="0"/>
              <w:rPr>
                <w:rFonts w:eastAsia="Calibri"/>
                <w:sz w:val="22"/>
              </w:rPr>
            </w:pPr>
            <w:r w:rsidRPr="00C86B34">
              <w:rPr>
                <w:sz w:val="22"/>
              </w:rPr>
              <w:t>5. Інвестори та меценати спортивної галузі.</w:t>
            </w:r>
          </w:p>
        </w:tc>
      </w:tr>
    </w:tbl>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tbl>
      <w:tblPr>
        <w:tblpPr w:leftFromText="180" w:rightFromText="180" w:vertAnchor="text" w:horzAnchor="page" w:tblpX="1397" w:tblpY="123"/>
        <w:tblW w:w="9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724"/>
        <w:gridCol w:w="1986"/>
        <w:gridCol w:w="1269"/>
        <w:gridCol w:w="167"/>
        <w:gridCol w:w="1102"/>
        <w:gridCol w:w="34"/>
        <w:gridCol w:w="1235"/>
        <w:gridCol w:w="1436"/>
      </w:tblGrid>
      <w:tr w:rsidR="00E95FB1" w:rsidRPr="00C86B34" w:rsidTr="001B3967">
        <w:trPr>
          <w:trHeight w:val="278"/>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Оперативна ціль/завдання</w:t>
            </w:r>
          </w:p>
        </w:tc>
        <w:tc>
          <w:tcPr>
            <w:tcW w:w="7229" w:type="dxa"/>
            <w:gridSpan w:val="7"/>
          </w:tcPr>
          <w:p w:rsidR="00E95FB1" w:rsidRPr="00C86B34" w:rsidRDefault="00933E59" w:rsidP="001B3967">
            <w:pPr>
              <w:pStyle w:val="a7"/>
              <w:ind w:left="0"/>
              <w:rPr>
                <w:rFonts w:eastAsia="Calibri"/>
                <w:color w:val="000000"/>
                <w:sz w:val="22"/>
              </w:rPr>
            </w:pPr>
            <w:r w:rsidRPr="00C86B34">
              <w:rPr>
                <w:rFonts w:eastAsia="Arial"/>
                <w:sz w:val="22"/>
              </w:rPr>
              <w:t xml:space="preserve">Людський розвиток </w:t>
            </w:r>
            <w:r w:rsidR="00E95FB1" w:rsidRPr="00C86B34">
              <w:rPr>
                <w:rFonts w:eastAsia="Arial"/>
                <w:sz w:val="22"/>
              </w:rPr>
              <w:t xml:space="preserve">через інновації управління та довіру до влади. Формування сучасного інклюзивного </w:t>
            </w:r>
            <w:proofErr w:type="spellStart"/>
            <w:r w:rsidR="00E95FB1" w:rsidRPr="00C86B34">
              <w:rPr>
                <w:rFonts w:eastAsia="Arial"/>
                <w:sz w:val="22"/>
              </w:rPr>
              <w:t>освітньо</w:t>
            </w:r>
            <w:proofErr w:type="spellEnd"/>
            <w:r w:rsidR="00E95FB1" w:rsidRPr="00C86B34">
              <w:rPr>
                <w:rFonts w:eastAsia="Arial"/>
                <w:sz w:val="22"/>
              </w:rPr>
              <w:t xml:space="preserve"> – культурного та спортивного простору для розвитку</w:t>
            </w:r>
          </w:p>
        </w:tc>
      </w:tr>
      <w:tr w:rsidR="00E95FB1" w:rsidRPr="00C86B34" w:rsidTr="001B3967">
        <w:trPr>
          <w:trHeight w:val="300"/>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Назва проекту:</w:t>
            </w:r>
          </w:p>
        </w:tc>
        <w:tc>
          <w:tcPr>
            <w:tcW w:w="7229" w:type="dxa"/>
            <w:gridSpan w:val="7"/>
          </w:tcPr>
          <w:p w:rsidR="00E95FB1" w:rsidRPr="00C86B34" w:rsidRDefault="00E95FB1" w:rsidP="001B3967">
            <w:pPr>
              <w:autoSpaceDE w:val="0"/>
              <w:autoSpaceDN w:val="0"/>
              <w:adjustRightInd w:val="0"/>
              <w:ind w:left="49" w:right="116"/>
              <w:rPr>
                <w:rFonts w:eastAsia="Calibri"/>
                <w:color w:val="000000"/>
                <w:sz w:val="22"/>
              </w:rPr>
            </w:pPr>
            <w:r w:rsidRPr="00C86B34">
              <w:rPr>
                <w:rFonts w:eastAsia="Calibri"/>
                <w:color w:val="000000"/>
                <w:sz w:val="22"/>
              </w:rPr>
              <w:t>Реконструкція штучного футбольного поля (40*22) КДЮСШ 2 міста Сєвєродонецьк Луганської області</w:t>
            </w:r>
            <w:r w:rsidR="004E5931" w:rsidRPr="00C86B34">
              <w:rPr>
                <w:rFonts w:eastAsia="Calibri"/>
                <w:color w:val="000000"/>
                <w:sz w:val="22"/>
              </w:rPr>
              <w:t>,</w:t>
            </w:r>
            <w:r w:rsidRPr="00C86B34">
              <w:rPr>
                <w:sz w:val="22"/>
              </w:rPr>
              <w:t xml:space="preserve"> </w:t>
            </w:r>
            <w:r w:rsidRPr="00C86B34">
              <w:rPr>
                <w:rFonts w:eastAsia="Calibri"/>
                <w:color w:val="000000"/>
                <w:sz w:val="22"/>
              </w:rPr>
              <w:t xml:space="preserve">розташованої за </w:t>
            </w:r>
            <w:proofErr w:type="spellStart"/>
            <w:r w:rsidRPr="00C86B34">
              <w:rPr>
                <w:rFonts w:eastAsia="Calibri"/>
                <w:color w:val="000000"/>
                <w:sz w:val="22"/>
              </w:rPr>
              <w:t>адресою</w:t>
            </w:r>
            <w:proofErr w:type="spellEnd"/>
            <w:r w:rsidRPr="00C86B34">
              <w:rPr>
                <w:rFonts w:eastAsia="Calibri"/>
                <w:color w:val="000000"/>
                <w:sz w:val="22"/>
              </w:rPr>
              <w:t xml:space="preserve">: вул. </w:t>
            </w:r>
            <w:proofErr w:type="spellStart"/>
            <w:r w:rsidRPr="00C86B34">
              <w:rPr>
                <w:rFonts w:eastAsia="Calibri"/>
                <w:color w:val="000000"/>
                <w:sz w:val="22"/>
              </w:rPr>
              <w:t>Сметаніна</w:t>
            </w:r>
            <w:proofErr w:type="spellEnd"/>
            <w:r w:rsidRPr="00C86B34">
              <w:rPr>
                <w:rFonts w:eastAsia="Calibri"/>
                <w:color w:val="000000"/>
                <w:sz w:val="22"/>
              </w:rPr>
              <w:t>, 5А (місцезнаходження за будівлею КДЮСШ 3).</w:t>
            </w:r>
          </w:p>
        </w:tc>
      </w:tr>
      <w:tr w:rsidR="00E95FB1" w:rsidRPr="00C86B34" w:rsidTr="001B3967">
        <w:trPr>
          <w:trHeight w:val="357"/>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Ціль проекту</w:t>
            </w:r>
          </w:p>
        </w:tc>
        <w:tc>
          <w:tcPr>
            <w:tcW w:w="7229" w:type="dxa"/>
            <w:gridSpan w:val="7"/>
            <w:vAlign w:val="center"/>
          </w:tcPr>
          <w:p w:rsidR="00E95FB1" w:rsidRPr="00C86B34" w:rsidRDefault="00E95FB1" w:rsidP="001B3967">
            <w:pPr>
              <w:autoSpaceDE w:val="0"/>
              <w:autoSpaceDN w:val="0"/>
              <w:adjustRightInd w:val="0"/>
              <w:ind w:right="116"/>
              <w:rPr>
                <w:sz w:val="22"/>
              </w:rPr>
            </w:pPr>
            <w:r w:rsidRPr="00C86B34">
              <w:rPr>
                <w:rFonts w:eastAsia="Calibri"/>
                <w:color w:val="000000"/>
                <w:sz w:val="22"/>
              </w:rPr>
              <w:t xml:space="preserve">Створення спортивного простору для мешканців міста (дітей, молоді, дорослих та </w:t>
            </w:r>
            <w:r w:rsidRPr="00C86B34">
              <w:rPr>
                <w:sz w:val="22"/>
              </w:rPr>
              <w:t xml:space="preserve"> людей з особливими потребами) </w:t>
            </w:r>
            <w:r w:rsidRPr="00C86B34">
              <w:rPr>
                <w:rFonts w:eastAsia="Calibri"/>
                <w:color w:val="000000"/>
                <w:sz w:val="22"/>
              </w:rPr>
              <w:t xml:space="preserve">– сучасних, безпечних та комфортних умов для занять фізичною культурою та спортом, загального оздоровлення, реабілітації, зміцнення генофонду, підвищення потенціалу трудових ресурсів, психофізичного здоров’я, зростання добробуту населення і вирішення інших соціальних проблем, </w:t>
            </w:r>
            <w:r w:rsidRPr="00C86B34">
              <w:rPr>
                <w:sz w:val="22"/>
              </w:rPr>
              <w:t xml:space="preserve"> порушених  внаслідок військового вторгнення </w:t>
            </w:r>
            <w:r w:rsidR="004E5931" w:rsidRPr="00C86B34">
              <w:rPr>
                <w:sz w:val="22"/>
              </w:rPr>
              <w:t>РФ</w:t>
            </w:r>
            <w:r w:rsidRPr="00C86B34">
              <w:rPr>
                <w:sz w:val="22"/>
              </w:rPr>
              <w:t xml:space="preserve"> на територію України.</w:t>
            </w:r>
          </w:p>
          <w:p w:rsidR="00E95FB1" w:rsidRPr="00C86B34" w:rsidRDefault="00E95FB1" w:rsidP="001B3967">
            <w:pPr>
              <w:autoSpaceDE w:val="0"/>
              <w:autoSpaceDN w:val="0"/>
              <w:adjustRightInd w:val="0"/>
              <w:ind w:right="116"/>
              <w:rPr>
                <w:sz w:val="22"/>
              </w:rPr>
            </w:pPr>
            <w:r w:rsidRPr="00C86B34">
              <w:rPr>
                <w:color w:val="212529"/>
                <w:sz w:val="22"/>
                <w:shd w:val="clear" w:color="auto" w:fill="FFFFFF"/>
              </w:rPr>
              <w:t>Популяризації та організації оздоровчої рухової активності як джерела зняття психоемоційної напруги та рівня стресу для всіх груп населення</w:t>
            </w:r>
            <w:r w:rsidRPr="00C86B34">
              <w:rPr>
                <w:sz w:val="22"/>
              </w:rPr>
              <w:t>.</w:t>
            </w:r>
          </w:p>
          <w:p w:rsidR="00E95FB1" w:rsidRPr="00C86B34" w:rsidRDefault="00E95FB1" w:rsidP="001B3967">
            <w:pPr>
              <w:autoSpaceDE w:val="0"/>
              <w:autoSpaceDN w:val="0"/>
              <w:adjustRightInd w:val="0"/>
              <w:ind w:right="116"/>
              <w:rPr>
                <w:color w:val="212529"/>
                <w:sz w:val="22"/>
              </w:rPr>
            </w:pPr>
            <w:r w:rsidRPr="00C86B34">
              <w:rPr>
                <w:color w:val="212529"/>
                <w:sz w:val="22"/>
                <w:shd w:val="clear" w:color="auto" w:fill="FFFFFF"/>
              </w:rPr>
              <w:t>Впровадження якісних змін у систему надання фізкультурно-оздоровчих послуг населенню. З</w:t>
            </w:r>
            <w:r w:rsidRPr="00C86B34">
              <w:rPr>
                <w:color w:val="212529"/>
                <w:sz w:val="22"/>
              </w:rPr>
              <w:t xml:space="preserve">більшення відсотку населення, залученого до занять фізичною культурою і спортом. </w:t>
            </w:r>
          </w:p>
          <w:p w:rsidR="00E95FB1" w:rsidRPr="00C86B34" w:rsidRDefault="00E95FB1" w:rsidP="001B3967">
            <w:pPr>
              <w:autoSpaceDE w:val="0"/>
              <w:autoSpaceDN w:val="0"/>
              <w:adjustRightInd w:val="0"/>
              <w:ind w:right="116"/>
              <w:rPr>
                <w:rFonts w:eastAsia="Calibri"/>
                <w:color w:val="000000"/>
                <w:sz w:val="22"/>
              </w:rPr>
            </w:pPr>
            <w:r w:rsidRPr="00C86B34">
              <w:rPr>
                <w:color w:val="212529"/>
                <w:sz w:val="22"/>
              </w:rPr>
              <w:t>Відновлення у повному обсязі проведення всеукраїнських спортивних змагань.</w:t>
            </w:r>
          </w:p>
        </w:tc>
      </w:tr>
      <w:tr w:rsidR="00E95FB1" w:rsidRPr="00C86B34" w:rsidTr="001B3967">
        <w:trPr>
          <w:trHeight w:val="300"/>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Територія, на яку матиме вплив реалізація проекту</w:t>
            </w:r>
          </w:p>
        </w:tc>
        <w:tc>
          <w:tcPr>
            <w:tcW w:w="7229" w:type="dxa"/>
            <w:gridSpan w:val="7"/>
            <w:vAlign w:val="center"/>
          </w:tcPr>
          <w:p w:rsidR="00E95FB1" w:rsidRPr="00C86B34" w:rsidRDefault="00E95FB1" w:rsidP="001B3967">
            <w:pPr>
              <w:autoSpaceDE w:val="0"/>
              <w:autoSpaceDN w:val="0"/>
              <w:adjustRightInd w:val="0"/>
              <w:ind w:left="49" w:right="116"/>
              <w:rPr>
                <w:rFonts w:eastAsia="Calibri"/>
                <w:color w:val="000000"/>
                <w:sz w:val="22"/>
              </w:rPr>
            </w:pPr>
            <w:r w:rsidRPr="00C86B34">
              <w:rPr>
                <w:rFonts w:eastAsia="Calibri"/>
                <w:color w:val="000000"/>
                <w:sz w:val="22"/>
              </w:rPr>
              <w:t>Сєвєродонецька міська територіальна громада.</w:t>
            </w:r>
          </w:p>
        </w:tc>
      </w:tr>
      <w:tr w:rsidR="00E95FB1" w:rsidRPr="00C86B34" w:rsidTr="001B3967">
        <w:trPr>
          <w:trHeight w:val="601"/>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Чисельність населення, на яке матиме вплив реалізація проекту</w:t>
            </w:r>
          </w:p>
        </w:tc>
        <w:tc>
          <w:tcPr>
            <w:tcW w:w="7229" w:type="dxa"/>
            <w:gridSpan w:val="7"/>
            <w:vAlign w:val="center"/>
          </w:tcPr>
          <w:p w:rsidR="00E95FB1" w:rsidRPr="00C86B34" w:rsidRDefault="00E95FB1" w:rsidP="004E5931">
            <w:pPr>
              <w:autoSpaceDE w:val="0"/>
              <w:autoSpaceDN w:val="0"/>
              <w:adjustRightInd w:val="0"/>
              <w:ind w:left="49" w:right="116"/>
              <w:rPr>
                <w:rFonts w:eastAsia="Calibri"/>
                <w:color w:val="000000"/>
                <w:sz w:val="22"/>
              </w:rPr>
            </w:pPr>
            <w:r w:rsidRPr="00C86B34">
              <w:rPr>
                <w:rFonts w:eastAsia="Calibri"/>
                <w:color w:val="000000"/>
                <w:sz w:val="22"/>
              </w:rPr>
              <w:t xml:space="preserve">70 </w:t>
            </w:r>
            <w:r w:rsidR="004E5931" w:rsidRPr="00C86B34">
              <w:rPr>
                <w:rFonts w:eastAsia="Calibri"/>
                <w:color w:val="000000"/>
                <w:sz w:val="22"/>
              </w:rPr>
              <w:t>000</w:t>
            </w:r>
          </w:p>
        </w:tc>
      </w:tr>
      <w:tr w:rsidR="00E95FB1" w:rsidRPr="00C86B34" w:rsidTr="001B3967">
        <w:trPr>
          <w:trHeight w:val="324"/>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lastRenderedPageBreak/>
              <w:t>Опис проблеми, на вирішення якої спрямований проект</w:t>
            </w:r>
          </w:p>
        </w:tc>
        <w:tc>
          <w:tcPr>
            <w:tcW w:w="7229" w:type="dxa"/>
            <w:gridSpan w:val="7"/>
          </w:tcPr>
          <w:p w:rsidR="00E95FB1" w:rsidRPr="00C86B34" w:rsidRDefault="00E95FB1" w:rsidP="001B3967">
            <w:pPr>
              <w:autoSpaceDE w:val="0"/>
              <w:autoSpaceDN w:val="0"/>
              <w:adjustRightInd w:val="0"/>
              <w:ind w:left="49" w:right="116"/>
              <w:rPr>
                <w:sz w:val="22"/>
              </w:rPr>
            </w:pPr>
            <w:r w:rsidRPr="00C86B34">
              <w:rPr>
                <w:rFonts w:eastAsia="Calibri"/>
                <w:color w:val="000000"/>
                <w:sz w:val="22"/>
              </w:rPr>
              <w:t xml:space="preserve">Сьогодні сфера фізичної культури і спорту вносить великий внесок у формування обороноздатності держави, оскільки виховує здорову, підготовлену людину, </w:t>
            </w:r>
            <w:r w:rsidRPr="00C86B34">
              <w:rPr>
                <w:color w:val="000000"/>
                <w:sz w:val="22"/>
              </w:rPr>
              <w:t>здатну для виконання свого конституційного обов’язку щодо захисту суверенітету та територіальної цілісності держави.</w:t>
            </w:r>
            <w:r w:rsidRPr="00C86B34">
              <w:rPr>
                <w:b/>
                <w:color w:val="000000"/>
                <w:sz w:val="22"/>
              </w:rPr>
              <w:t xml:space="preserve"> </w:t>
            </w:r>
            <w:r w:rsidRPr="00C86B34">
              <w:rPr>
                <w:sz w:val="22"/>
                <w:shd w:val="clear" w:color="auto" w:fill="FFFFFF"/>
              </w:rPr>
              <w:t xml:space="preserve"> Також попри війну спортсмени нашого міста продовжують виборювати нагороди на різних рівнях.</w:t>
            </w:r>
          </w:p>
          <w:p w:rsidR="00E95FB1" w:rsidRPr="00C86B34" w:rsidRDefault="00E95FB1" w:rsidP="001B3967">
            <w:pPr>
              <w:autoSpaceDE w:val="0"/>
              <w:autoSpaceDN w:val="0"/>
              <w:adjustRightInd w:val="0"/>
              <w:ind w:left="49" w:right="116"/>
              <w:rPr>
                <w:color w:val="000000"/>
                <w:sz w:val="22"/>
              </w:rPr>
            </w:pPr>
            <w:r w:rsidRPr="00C86B34">
              <w:rPr>
                <w:color w:val="000000"/>
                <w:sz w:val="22"/>
              </w:rPr>
              <w:t xml:space="preserve">Тому розвиток сфери фізичної культури і спорту, відновлення спортивної інфраструктури має стратегічне значення. </w:t>
            </w:r>
          </w:p>
          <w:p w:rsidR="00E95FB1" w:rsidRPr="00C86B34" w:rsidRDefault="00E95FB1" w:rsidP="001E4233">
            <w:pPr>
              <w:autoSpaceDE w:val="0"/>
              <w:autoSpaceDN w:val="0"/>
              <w:adjustRightInd w:val="0"/>
              <w:ind w:left="49" w:right="116"/>
              <w:rPr>
                <w:rFonts w:eastAsia="Calibri"/>
                <w:color w:val="000000"/>
                <w:sz w:val="22"/>
              </w:rPr>
            </w:pPr>
            <w:r w:rsidRPr="00C86B34">
              <w:rPr>
                <w:rFonts w:eastAsia="Calibri"/>
                <w:color w:val="000000"/>
                <w:sz w:val="22"/>
              </w:rPr>
              <w:t xml:space="preserve">Внаслідок ведення активних бойових дій на території Сєвєродонецької міської територіальної громади територія штучного футбольного поля КДЮСШ 2 міста Сєвєродонецьк Луганської області зазнала значних руйнувань: повністю пошкоджено футбольне покриття та його огородження. Непридатне до використання. </w:t>
            </w:r>
          </w:p>
        </w:tc>
      </w:tr>
      <w:tr w:rsidR="00E95FB1" w:rsidRPr="00C86B34" w:rsidTr="001B3967">
        <w:trPr>
          <w:trHeight w:val="546"/>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Очікувані якісні результати від реалізації проекту</w:t>
            </w:r>
          </w:p>
        </w:tc>
        <w:tc>
          <w:tcPr>
            <w:tcW w:w="7229" w:type="dxa"/>
            <w:gridSpan w:val="7"/>
          </w:tcPr>
          <w:p w:rsidR="00E95FB1" w:rsidRPr="00C86B34" w:rsidRDefault="00E95FB1" w:rsidP="000303D7">
            <w:pPr>
              <w:numPr>
                <w:ilvl w:val="0"/>
                <w:numId w:val="44"/>
              </w:numPr>
              <w:autoSpaceDE w:val="0"/>
              <w:autoSpaceDN w:val="0"/>
              <w:adjustRightInd w:val="0"/>
              <w:ind w:left="332" w:right="116" w:hanging="283"/>
              <w:rPr>
                <w:rFonts w:eastAsia="Calibri"/>
                <w:color w:val="000000"/>
                <w:sz w:val="22"/>
              </w:rPr>
            </w:pPr>
            <w:r w:rsidRPr="00C86B34">
              <w:rPr>
                <w:rFonts w:eastAsia="Calibri"/>
                <w:color w:val="000000"/>
                <w:sz w:val="22"/>
              </w:rPr>
              <w:t>Забезпечення мешканців громади сучасним спортивним майданчиком</w:t>
            </w:r>
            <w:r w:rsidR="001E4233" w:rsidRPr="00C86B34">
              <w:rPr>
                <w:rFonts w:eastAsia="Calibri"/>
                <w:color w:val="000000"/>
                <w:sz w:val="22"/>
              </w:rPr>
              <w:t>.</w:t>
            </w:r>
          </w:p>
          <w:p w:rsidR="00E95FB1" w:rsidRPr="00C86B34" w:rsidRDefault="00E95FB1" w:rsidP="000303D7">
            <w:pPr>
              <w:numPr>
                <w:ilvl w:val="0"/>
                <w:numId w:val="43"/>
              </w:numPr>
              <w:autoSpaceDE w:val="0"/>
              <w:autoSpaceDN w:val="0"/>
              <w:adjustRightInd w:val="0"/>
              <w:ind w:left="335" w:right="113" w:hanging="284"/>
              <w:rPr>
                <w:rFonts w:eastAsia="Calibri"/>
                <w:color w:val="000000"/>
                <w:sz w:val="22"/>
              </w:rPr>
            </w:pPr>
            <w:r w:rsidRPr="00C86B34">
              <w:rPr>
                <w:rFonts w:eastAsia="Calibri"/>
                <w:color w:val="000000"/>
                <w:sz w:val="22"/>
              </w:rPr>
              <w:t>Проведення корисного дозвілля та активного відпочинку населення</w:t>
            </w:r>
            <w:r w:rsidR="001E4233" w:rsidRPr="00C86B34">
              <w:rPr>
                <w:rFonts w:eastAsia="Calibri"/>
                <w:color w:val="000000"/>
                <w:sz w:val="22"/>
              </w:rPr>
              <w:t>.</w:t>
            </w:r>
          </w:p>
          <w:p w:rsidR="00E95FB1" w:rsidRPr="00C86B34" w:rsidRDefault="00E95FB1" w:rsidP="000303D7">
            <w:pPr>
              <w:numPr>
                <w:ilvl w:val="0"/>
                <w:numId w:val="44"/>
              </w:numPr>
              <w:autoSpaceDE w:val="0"/>
              <w:autoSpaceDN w:val="0"/>
              <w:adjustRightInd w:val="0"/>
              <w:ind w:left="332" w:right="116" w:hanging="284"/>
              <w:rPr>
                <w:rFonts w:eastAsia="Calibri"/>
                <w:color w:val="000000"/>
                <w:sz w:val="22"/>
              </w:rPr>
            </w:pPr>
            <w:r w:rsidRPr="00C86B34">
              <w:rPr>
                <w:rFonts w:eastAsia="Calibri"/>
                <w:color w:val="000000"/>
                <w:sz w:val="22"/>
              </w:rPr>
              <w:t>Доступність кожному споруди кожному мешканцю громади</w:t>
            </w:r>
            <w:r w:rsidR="001E4233" w:rsidRPr="00C86B34">
              <w:rPr>
                <w:rFonts w:eastAsia="Calibri"/>
                <w:color w:val="000000"/>
                <w:sz w:val="22"/>
              </w:rPr>
              <w:t>.</w:t>
            </w:r>
          </w:p>
          <w:p w:rsidR="00E95FB1" w:rsidRPr="00C86B34" w:rsidRDefault="00E95FB1" w:rsidP="000303D7">
            <w:pPr>
              <w:numPr>
                <w:ilvl w:val="0"/>
                <w:numId w:val="44"/>
              </w:numPr>
              <w:autoSpaceDE w:val="0"/>
              <w:autoSpaceDN w:val="0"/>
              <w:adjustRightInd w:val="0"/>
              <w:ind w:left="332" w:right="116" w:hanging="284"/>
              <w:rPr>
                <w:rFonts w:eastAsia="Calibri"/>
                <w:color w:val="000000"/>
                <w:sz w:val="22"/>
              </w:rPr>
            </w:pPr>
            <w:r w:rsidRPr="00C86B34">
              <w:rPr>
                <w:rFonts w:eastAsia="Calibri"/>
                <w:color w:val="000000"/>
                <w:sz w:val="22"/>
              </w:rPr>
              <w:t xml:space="preserve">Зменшення </w:t>
            </w:r>
            <w:proofErr w:type="spellStart"/>
            <w:r w:rsidRPr="00C86B34">
              <w:rPr>
                <w:rFonts w:eastAsia="Calibri"/>
                <w:color w:val="000000"/>
                <w:sz w:val="22"/>
              </w:rPr>
              <w:t>бездіяльнісного</w:t>
            </w:r>
            <w:proofErr w:type="spellEnd"/>
            <w:r w:rsidRPr="00C86B34">
              <w:rPr>
                <w:rFonts w:eastAsia="Calibri"/>
                <w:color w:val="000000"/>
                <w:sz w:val="22"/>
              </w:rPr>
              <w:t xml:space="preserve"> проведення часу</w:t>
            </w:r>
            <w:r w:rsidR="001E4233" w:rsidRPr="00C86B34">
              <w:rPr>
                <w:rFonts w:eastAsia="Calibri"/>
                <w:color w:val="000000"/>
                <w:sz w:val="22"/>
              </w:rPr>
              <w:t>.</w:t>
            </w:r>
          </w:p>
          <w:p w:rsidR="00E95FB1" w:rsidRPr="00C86B34" w:rsidRDefault="00E95FB1" w:rsidP="000303D7">
            <w:pPr>
              <w:numPr>
                <w:ilvl w:val="0"/>
                <w:numId w:val="44"/>
              </w:numPr>
              <w:autoSpaceDE w:val="0"/>
              <w:autoSpaceDN w:val="0"/>
              <w:adjustRightInd w:val="0"/>
              <w:ind w:left="332" w:right="116" w:hanging="284"/>
              <w:rPr>
                <w:rFonts w:eastAsia="Calibri"/>
                <w:color w:val="000000"/>
                <w:sz w:val="22"/>
              </w:rPr>
            </w:pPr>
            <w:r w:rsidRPr="00C86B34">
              <w:rPr>
                <w:rFonts w:eastAsia="Calibri"/>
                <w:color w:val="000000"/>
                <w:sz w:val="22"/>
              </w:rPr>
              <w:t>Пропаганда здорового способу життя</w:t>
            </w:r>
            <w:r w:rsidR="001E4233" w:rsidRPr="00C86B34">
              <w:rPr>
                <w:rFonts w:eastAsia="Calibri"/>
                <w:color w:val="000000"/>
                <w:sz w:val="22"/>
              </w:rPr>
              <w:t>.</w:t>
            </w:r>
          </w:p>
          <w:p w:rsidR="00E95FB1" w:rsidRPr="00C86B34" w:rsidRDefault="00E95FB1" w:rsidP="000303D7">
            <w:pPr>
              <w:numPr>
                <w:ilvl w:val="0"/>
                <w:numId w:val="43"/>
              </w:numPr>
              <w:autoSpaceDE w:val="0"/>
              <w:autoSpaceDN w:val="0"/>
              <w:adjustRightInd w:val="0"/>
              <w:ind w:left="335" w:right="113" w:hanging="284"/>
              <w:rPr>
                <w:rFonts w:eastAsia="Calibri"/>
                <w:color w:val="000000"/>
                <w:sz w:val="22"/>
              </w:rPr>
            </w:pPr>
            <w:r w:rsidRPr="00C86B34">
              <w:rPr>
                <w:rFonts w:eastAsia="Calibri"/>
                <w:color w:val="000000"/>
                <w:sz w:val="22"/>
              </w:rPr>
              <w:t>Проведення міських змагань</w:t>
            </w:r>
          </w:p>
          <w:p w:rsidR="00E95FB1" w:rsidRPr="00C86B34" w:rsidRDefault="00E95FB1" w:rsidP="001B3967">
            <w:pPr>
              <w:autoSpaceDE w:val="0"/>
              <w:autoSpaceDN w:val="0"/>
              <w:adjustRightInd w:val="0"/>
              <w:ind w:left="335" w:right="113"/>
              <w:rPr>
                <w:rFonts w:eastAsia="Calibri"/>
                <w:color w:val="000000"/>
                <w:sz w:val="22"/>
              </w:rPr>
            </w:pPr>
          </w:p>
        </w:tc>
      </w:tr>
      <w:tr w:rsidR="00E95FB1" w:rsidRPr="00C86B34" w:rsidTr="001B3967">
        <w:trPr>
          <w:trHeight w:val="601"/>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Очікувані кількісні результати від реалізації проекту  (індикатори)</w:t>
            </w:r>
          </w:p>
        </w:tc>
        <w:tc>
          <w:tcPr>
            <w:tcW w:w="3422" w:type="dxa"/>
            <w:gridSpan w:val="3"/>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Найменування показника</w:t>
            </w:r>
          </w:p>
        </w:tc>
        <w:tc>
          <w:tcPr>
            <w:tcW w:w="1136"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Одиниця вимірювання</w:t>
            </w:r>
          </w:p>
        </w:tc>
        <w:tc>
          <w:tcPr>
            <w:tcW w:w="2671"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Прогнозне (цільове) значення</w:t>
            </w:r>
          </w:p>
        </w:tc>
      </w:tr>
      <w:tr w:rsidR="00E95FB1" w:rsidRPr="00C86B34" w:rsidTr="001B3967">
        <w:trPr>
          <w:trHeight w:val="284"/>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422" w:type="dxa"/>
            <w:gridSpan w:val="3"/>
          </w:tcPr>
          <w:p w:rsidR="00E95FB1" w:rsidRPr="00C86B34" w:rsidRDefault="00E95FB1" w:rsidP="001B3967">
            <w:pPr>
              <w:autoSpaceDE w:val="0"/>
              <w:autoSpaceDN w:val="0"/>
              <w:adjustRightInd w:val="0"/>
              <w:jc w:val="center"/>
              <w:rPr>
                <w:rFonts w:eastAsia="Calibri"/>
                <w:sz w:val="22"/>
              </w:rPr>
            </w:pPr>
            <w:r w:rsidRPr="00C86B34">
              <w:rPr>
                <w:rFonts w:eastAsia="Calibri"/>
                <w:sz w:val="22"/>
              </w:rPr>
              <w:t>кількість вихованців (спортсменів)</w:t>
            </w:r>
          </w:p>
        </w:tc>
        <w:tc>
          <w:tcPr>
            <w:tcW w:w="1136"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осіб/день</w:t>
            </w:r>
          </w:p>
        </w:tc>
        <w:tc>
          <w:tcPr>
            <w:tcW w:w="2671" w:type="dxa"/>
            <w:gridSpan w:val="2"/>
            <w:vAlign w:val="center"/>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50</w:t>
            </w:r>
          </w:p>
        </w:tc>
      </w:tr>
      <w:tr w:rsidR="00E95FB1" w:rsidRPr="00C86B34" w:rsidTr="001B3967">
        <w:trPr>
          <w:trHeight w:val="300"/>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422" w:type="dxa"/>
            <w:gridSpan w:val="3"/>
          </w:tcPr>
          <w:p w:rsidR="00E95FB1" w:rsidRPr="00C86B34" w:rsidRDefault="00E95FB1" w:rsidP="001B3967">
            <w:pPr>
              <w:autoSpaceDE w:val="0"/>
              <w:autoSpaceDN w:val="0"/>
              <w:adjustRightInd w:val="0"/>
              <w:jc w:val="center"/>
              <w:rPr>
                <w:rFonts w:eastAsia="Calibri"/>
                <w:sz w:val="22"/>
              </w:rPr>
            </w:pPr>
            <w:r w:rsidRPr="00C86B34">
              <w:rPr>
                <w:rFonts w:eastAsia="Calibri"/>
                <w:sz w:val="22"/>
              </w:rPr>
              <w:t>кількість отримувачів послуг</w:t>
            </w:r>
          </w:p>
        </w:tc>
        <w:tc>
          <w:tcPr>
            <w:tcW w:w="1136"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осіб/день</w:t>
            </w:r>
          </w:p>
        </w:tc>
        <w:tc>
          <w:tcPr>
            <w:tcW w:w="2671" w:type="dxa"/>
            <w:gridSpan w:val="2"/>
          </w:tcPr>
          <w:p w:rsidR="00E95FB1" w:rsidRPr="00C86B34" w:rsidRDefault="00E95FB1" w:rsidP="001B3967">
            <w:pPr>
              <w:autoSpaceDE w:val="0"/>
              <w:autoSpaceDN w:val="0"/>
              <w:adjustRightInd w:val="0"/>
              <w:jc w:val="center"/>
              <w:rPr>
                <w:rFonts w:eastAsia="Calibri"/>
                <w:sz w:val="22"/>
              </w:rPr>
            </w:pPr>
            <w:r w:rsidRPr="00C86B34">
              <w:rPr>
                <w:rFonts w:eastAsia="Calibri"/>
                <w:sz w:val="22"/>
              </w:rPr>
              <w:t>100</w:t>
            </w:r>
          </w:p>
        </w:tc>
      </w:tr>
      <w:tr w:rsidR="00E95FB1" w:rsidRPr="00C86B34" w:rsidTr="001B3967">
        <w:trPr>
          <w:trHeight w:val="206"/>
        </w:trPr>
        <w:tc>
          <w:tcPr>
            <w:tcW w:w="2724" w:type="dxa"/>
            <w:tcBorders>
              <w:bottom w:val="single" w:sz="4" w:space="0" w:color="auto"/>
            </w:tcBorders>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Ключові заходи проекту:</w:t>
            </w:r>
          </w:p>
        </w:tc>
        <w:tc>
          <w:tcPr>
            <w:tcW w:w="7229" w:type="dxa"/>
            <w:gridSpan w:val="7"/>
          </w:tcPr>
          <w:p w:rsidR="00E95FB1" w:rsidRPr="00C86B34" w:rsidRDefault="00E95FB1" w:rsidP="000303D7">
            <w:pPr>
              <w:numPr>
                <w:ilvl w:val="0"/>
                <w:numId w:val="45"/>
              </w:numPr>
              <w:autoSpaceDE w:val="0"/>
              <w:autoSpaceDN w:val="0"/>
              <w:adjustRightInd w:val="0"/>
              <w:ind w:right="116"/>
              <w:rPr>
                <w:rFonts w:eastAsia="Calibri"/>
                <w:color w:val="000000"/>
                <w:sz w:val="22"/>
              </w:rPr>
            </w:pPr>
            <w:r w:rsidRPr="00C86B34">
              <w:rPr>
                <w:rFonts w:eastAsia="Calibri"/>
                <w:color w:val="000000"/>
                <w:sz w:val="22"/>
              </w:rPr>
              <w:t xml:space="preserve">Виготовлення </w:t>
            </w:r>
            <w:proofErr w:type="spellStart"/>
            <w:r w:rsidRPr="00C86B34">
              <w:rPr>
                <w:rFonts w:eastAsia="Calibri"/>
                <w:color w:val="000000"/>
                <w:sz w:val="22"/>
              </w:rPr>
              <w:t>проєктно</w:t>
            </w:r>
            <w:proofErr w:type="spellEnd"/>
            <w:r w:rsidRPr="00C86B34">
              <w:rPr>
                <w:rFonts w:eastAsia="Calibri"/>
                <w:color w:val="000000"/>
                <w:sz w:val="22"/>
              </w:rPr>
              <w:t>-кошторисної документації</w:t>
            </w:r>
            <w:r w:rsidR="001E4233" w:rsidRPr="00C86B34">
              <w:rPr>
                <w:rFonts w:eastAsia="Calibri"/>
                <w:color w:val="000000"/>
                <w:sz w:val="22"/>
              </w:rPr>
              <w:t>;</w:t>
            </w:r>
          </w:p>
          <w:p w:rsidR="00E95FB1" w:rsidRPr="00C86B34" w:rsidRDefault="00E95FB1" w:rsidP="000303D7">
            <w:pPr>
              <w:pStyle w:val="afc"/>
              <w:numPr>
                <w:ilvl w:val="0"/>
                <w:numId w:val="45"/>
              </w:numPr>
              <w:spacing w:line="240" w:lineRule="auto"/>
              <w:rPr>
                <w:rFonts w:ascii="Times New Roman" w:hAnsi="Times New Roman"/>
                <w:sz w:val="22"/>
              </w:rPr>
            </w:pPr>
            <w:r w:rsidRPr="00C86B34">
              <w:rPr>
                <w:rFonts w:ascii="Times New Roman" w:hAnsi="Times New Roman"/>
                <w:color w:val="000000"/>
                <w:sz w:val="22"/>
              </w:rPr>
              <w:t>визначення підрядної організації для проведення будівельних робіт</w:t>
            </w:r>
            <w:r w:rsidR="001E4233" w:rsidRPr="00C86B34">
              <w:rPr>
                <w:rFonts w:ascii="Times New Roman" w:hAnsi="Times New Roman"/>
                <w:color w:val="000000"/>
                <w:sz w:val="22"/>
              </w:rPr>
              <w:t>;</w:t>
            </w:r>
          </w:p>
          <w:p w:rsidR="00E95FB1" w:rsidRPr="00C86B34" w:rsidRDefault="00E95FB1" w:rsidP="000303D7">
            <w:pPr>
              <w:numPr>
                <w:ilvl w:val="0"/>
                <w:numId w:val="45"/>
              </w:numPr>
              <w:autoSpaceDE w:val="0"/>
              <w:autoSpaceDN w:val="0"/>
              <w:adjustRightInd w:val="0"/>
              <w:ind w:right="112"/>
              <w:rPr>
                <w:rFonts w:eastAsia="Calibri"/>
                <w:sz w:val="22"/>
              </w:rPr>
            </w:pPr>
            <w:r w:rsidRPr="00C86B34">
              <w:rPr>
                <w:rFonts w:eastAsia="Calibri"/>
                <w:color w:val="000000"/>
                <w:sz w:val="22"/>
              </w:rPr>
              <w:t>виконання будівельних робіт:</w:t>
            </w:r>
          </w:p>
          <w:p w:rsidR="00E95FB1" w:rsidRPr="00C86B34" w:rsidRDefault="00E95FB1" w:rsidP="001B3967">
            <w:pPr>
              <w:autoSpaceDE w:val="0"/>
              <w:autoSpaceDN w:val="0"/>
              <w:adjustRightInd w:val="0"/>
              <w:ind w:right="116" w:firstLine="753"/>
              <w:rPr>
                <w:rFonts w:eastAsia="Calibri"/>
                <w:color w:val="000000"/>
                <w:sz w:val="22"/>
              </w:rPr>
            </w:pPr>
            <w:r w:rsidRPr="00C86B34">
              <w:rPr>
                <w:rFonts w:eastAsia="Calibri"/>
                <w:color w:val="000000"/>
                <w:sz w:val="22"/>
              </w:rPr>
              <w:t>укладання підоснови</w:t>
            </w:r>
            <w:r w:rsidR="001E4233" w:rsidRPr="00C86B34">
              <w:rPr>
                <w:rFonts w:eastAsia="Calibri"/>
                <w:color w:val="000000"/>
                <w:sz w:val="22"/>
              </w:rPr>
              <w:t>;</w:t>
            </w:r>
          </w:p>
          <w:p w:rsidR="00E95FB1" w:rsidRPr="00C86B34" w:rsidRDefault="00E95FB1" w:rsidP="001B3967">
            <w:pPr>
              <w:autoSpaceDE w:val="0"/>
              <w:autoSpaceDN w:val="0"/>
              <w:adjustRightInd w:val="0"/>
              <w:ind w:right="116" w:firstLine="753"/>
              <w:rPr>
                <w:rFonts w:eastAsia="Calibri"/>
                <w:color w:val="000000"/>
                <w:sz w:val="22"/>
              </w:rPr>
            </w:pPr>
            <w:r w:rsidRPr="00C86B34">
              <w:rPr>
                <w:rFonts w:eastAsia="Calibri"/>
                <w:color w:val="000000"/>
                <w:sz w:val="22"/>
              </w:rPr>
              <w:t>укладання штучного покриття</w:t>
            </w:r>
            <w:r w:rsidR="001E4233" w:rsidRPr="00C86B34">
              <w:rPr>
                <w:rFonts w:eastAsia="Calibri"/>
                <w:color w:val="000000"/>
                <w:sz w:val="22"/>
              </w:rPr>
              <w:t>;</w:t>
            </w:r>
          </w:p>
          <w:p w:rsidR="00E95FB1" w:rsidRPr="00C86B34" w:rsidRDefault="00E95FB1" w:rsidP="001B3967">
            <w:pPr>
              <w:autoSpaceDE w:val="0"/>
              <w:autoSpaceDN w:val="0"/>
              <w:adjustRightInd w:val="0"/>
              <w:ind w:right="116" w:firstLine="753"/>
              <w:rPr>
                <w:rFonts w:eastAsia="Calibri"/>
                <w:color w:val="000000"/>
                <w:sz w:val="22"/>
              </w:rPr>
            </w:pPr>
            <w:r w:rsidRPr="00C86B34">
              <w:rPr>
                <w:rFonts w:eastAsia="Calibri"/>
                <w:color w:val="000000"/>
                <w:sz w:val="22"/>
              </w:rPr>
              <w:t>виготовлення огородження</w:t>
            </w:r>
            <w:r w:rsidR="001E4233" w:rsidRPr="00C86B34">
              <w:rPr>
                <w:rFonts w:eastAsia="Calibri"/>
                <w:color w:val="000000"/>
                <w:sz w:val="22"/>
              </w:rPr>
              <w:t>;</w:t>
            </w:r>
          </w:p>
          <w:p w:rsidR="00E95FB1" w:rsidRPr="00C86B34" w:rsidRDefault="00E95FB1" w:rsidP="001B3967">
            <w:pPr>
              <w:autoSpaceDE w:val="0"/>
              <w:autoSpaceDN w:val="0"/>
              <w:adjustRightInd w:val="0"/>
              <w:ind w:right="116" w:firstLine="753"/>
              <w:rPr>
                <w:rFonts w:eastAsia="Calibri"/>
                <w:color w:val="000000"/>
                <w:sz w:val="22"/>
              </w:rPr>
            </w:pPr>
            <w:r w:rsidRPr="00C86B34">
              <w:rPr>
                <w:rFonts w:eastAsia="Calibri"/>
                <w:color w:val="000000"/>
                <w:sz w:val="22"/>
              </w:rPr>
              <w:t>установка спортивного освітлення</w:t>
            </w:r>
            <w:r w:rsidR="001E4233" w:rsidRPr="00C86B34">
              <w:rPr>
                <w:rFonts w:eastAsia="Calibri"/>
                <w:color w:val="000000"/>
                <w:sz w:val="22"/>
              </w:rPr>
              <w:t>;</w:t>
            </w:r>
          </w:p>
          <w:p w:rsidR="00E95FB1" w:rsidRPr="00C86B34" w:rsidRDefault="00E95FB1" w:rsidP="001B3967">
            <w:pPr>
              <w:autoSpaceDE w:val="0"/>
              <w:autoSpaceDN w:val="0"/>
              <w:adjustRightInd w:val="0"/>
              <w:ind w:right="116" w:firstLine="753"/>
              <w:rPr>
                <w:rFonts w:eastAsia="Calibri"/>
                <w:color w:val="000000"/>
                <w:sz w:val="22"/>
              </w:rPr>
            </w:pPr>
            <w:r w:rsidRPr="00C86B34">
              <w:rPr>
                <w:rFonts w:eastAsia="Calibri"/>
                <w:color w:val="000000"/>
                <w:sz w:val="22"/>
              </w:rPr>
              <w:t>встановлення воріт</w:t>
            </w:r>
            <w:r w:rsidR="001E4233" w:rsidRPr="00C86B34">
              <w:rPr>
                <w:rFonts w:eastAsia="Calibri"/>
                <w:color w:val="000000"/>
                <w:sz w:val="22"/>
              </w:rPr>
              <w:t>;</w:t>
            </w:r>
          </w:p>
          <w:p w:rsidR="00E95FB1" w:rsidRPr="00C86B34" w:rsidRDefault="00E95FB1" w:rsidP="000303D7">
            <w:pPr>
              <w:numPr>
                <w:ilvl w:val="0"/>
                <w:numId w:val="46"/>
              </w:numPr>
              <w:autoSpaceDE w:val="0"/>
              <w:autoSpaceDN w:val="0"/>
              <w:adjustRightInd w:val="0"/>
              <w:ind w:left="753" w:right="116" w:hanging="426"/>
              <w:rPr>
                <w:rFonts w:eastAsia="Calibri"/>
                <w:color w:val="000000"/>
                <w:sz w:val="22"/>
              </w:rPr>
            </w:pPr>
            <w:r w:rsidRPr="00C86B34">
              <w:rPr>
                <w:rFonts w:eastAsia="Calibri"/>
                <w:color w:val="000000"/>
                <w:sz w:val="22"/>
              </w:rPr>
              <w:t>введення споруди в експлуатацію та її експлуатація за призначенням</w:t>
            </w:r>
          </w:p>
        </w:tc>
      </w:tr>
      <w:tr w:rsidR="00E95FB1" w:rsidRPr="00C86B34" w:rsidTr="001B3967">
        <w:trPr>
          <w:trHeight w:val="206"/>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Орієнтовний обсяг та джерела фінансування тис. гривень</w:t>
            </w:r>
          </w:p>
        </w:tc>
        <w:tc>
          <w:tcPr>
            <w:tcW w:w="1986"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Державний бюджет</w:t>
            </w:r>
          </w:p>
        </w:tc>
        <w:tc>
          <w:tcPr>
            <w:tcW w:w="1269"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Місцевий бюджет</w:t>
            </w:r>
          </w:p>
        </w:tc>
        <w:tc>
          <w:tcPr>
            <w:tcW w:w="2538" w:type="dxa"/>
            <w:gridSpan w:val="4"/>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Інші джерела</w:t>
            </w:r>
          </w:p>
        </w:tc>
        <w:tc>
          <w:tcPr>
            <w:tcW w:w="1436"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Всього</w:t>
            </w:r>
          </w:p>
        </w:tc>
      </w:tr>
      <w:tr w:rsidR="00E95FB1" w:rsidRPr="00C86B34" w:rsidTr="001B3967">
        <w:trPr>
          <w:trHeight w:val="206"/>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1986"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269"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269"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Обсяг</w:t>
            </w:r>
          </w:p>
        </w:tc>
        <w:tc>
          <w:tcPr>
            <w:tcW w:w="1269"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Назва джерела</w:t>
            </w:r>
          </w:p>
        </w:tc>
        <w:tc>
          <w:tcPr>
            <w:tcW w:w="1436" w:type="dxa"/>
            <w:vMerge/>
            <w:vAlign w:val="center"/>
          </w:tcPr>
          <w:p w:rsidR="00E95FB1" w:rsidRPr="00C86B34" w:rsidRDefault="00E95FB1" w:rsidP="001B3967">
            <w:pPr>
              <w:autoSpaceDE w:val="0"/>
              <w:autoSpaceDN w:val="0"/>
              <w:adjustRightInd w:val="0"/>
              <w:jc w:val="center"/>
              <w:rPr>
                <w:rFonts w:eastAsia="Calibri"/>
                <w:b/>
                <w:color w:val="000000"/>
                <w:sz w:val="22"/>
              </w:rPr>
            </w:pPr>
          </w:p>
        </w:tc>
      </w:tr>
      <w:tr w:rsidR="00E95FB1" w:rsidRPr="00C86B34" w:rsidTr="001B3967">
        <w:trPr>
          <w:trHeight w:val="206"/>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1986"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1 500,0</w:t>
            </w:r>
          </w:p>
        </w:tc>
        <w:tc>
          <w:tcPr>
            <w:tcW w:w="1269" w:type="dxa"/>
          </w:tcPr>
          <w:p w:rsidR="00E95FB1" w:rsidRPr="00C86B34" w:rsidRDefault="00E95FB1" w:rsidP="001B3967">
            <w:pPr>
              <w:autoSpaceDE w:val="0"/>
              <w:autoSpaceDN w:val="0"/>
              <w:adjustRightInd w:val="0"/>
              <w:jc w:val="center"/>
              <w:rPr>
                <w:rFonts w:eastAsia="Calibri"/>
                <w:color w:val="000000"/>
                <w:sz w:val="22"/>
              </w:rPr>
            </w:pPr>
          </w:p>
        </w:tc>
        <w:tc>
          <w:tcPr>
            <w:tcW w:w="1269" w:type="dxa"/>
            <w:gridSpan w:val="2"/>
          </w:tcPr>
          <w:p w:rsidR="00E95FB1" w:rsidRPr="00C86B34" w:rsidRDefault="00E95FB1" w:rsidP="001B3967">
            <w:pPr>
              <w:autoSpaceDE w:val="0"/>
              <w:autoSpaceDN w:val="0"/>
              <w:adjustRightInd w:val="0"/>
              <w:jc w:val="center"/>
              <w:rPr>
                <w:rFonts w:eastAsia="Calibri"/>
                <w:color w:val="000000"/>
                <w:sz w:val="22"/>
              </w:rPr>
            </w:pPr>
          </w:p>
        </w:tc>
        <w:tc>
          <w:tcPr>
            <w:tcW w:w="1269" w:type="dxa"/>
            <w:gridSpan w:val="2"/>
          </w:tcPr>
          <w:p w:rsidR="00E95FB1" w:rsidRPr="00C86B34" w:rsidRDefault="00E95FB1" w:rsidP="001B3967">
            <w:pPr>
              <w:autoSpaceDE w:val="0"/>
              <w:autoSpaceDN w:val="0"/>
              <w:adjustRightInd w:val="0"/>
              <w:jc w:val="center"/>
              <w:rPr>
                <w:rFonts w:eastAsia="Calibri"/>
                <w:color w:val="000000"/>
                <w:sz w:val="22"/>
              </w:rPr>
            </w:pPr>
          </w:p>
        </w:tc>
        <w:tc>
          <w:tcPr>
            <w:tcW w:w="1436"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1 500,0</w:t>
            </w:r>
          </w:p>
        </w:tc>
      </w:tr>
      <w:tr w:rsidR="00E95FB1" w:rsidRPr="00C86B34" w:rsidTr="001B3967">
        <w:trPr>
          <w:trHeight w:val="206"/>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b/>
                <w:sz w:val="22"/>
              </w:rPr>
              <w:t xml:space="preserve">Ключові потенційні учасники </w:t>
            </w:r>
            <w:proofErr w:type="spellStart"/>
            <w:r w:rsidRPr="00C86B34">
              <w:rPr>
                <w:b/>
                <w:sz w:val="22"/>
              </w:rPr>
              <w:t>проєкту</w:t>
            </w:r>
            <w:proofErr w:type="spellEnd"/>
          </w:p>
        </w:tc>
        <w:tc>
          <w:tcPr>
            <w:tcW w:w="7229" w:type="dxa"/>
            <w:gridSpan w:val="7"/>
          </w:tcPr>
          <w:p w:rsidR="00E95FB1" w:rsidRPr="00C86B34" w:rsidRDefault="00E95FB1" w:rsidP="001B3967">
            <w:pPr>
              <w:rPr>
                <w:sz w:val="22"/>
              </w:rPr>
            </w:pPr>
            <w:r w:rsidRPr="00C86B34">
              <w:rPr>
                <w:sz w:val="22"/>
              </w:rPr>
              <w:t xml:space="preserve">1. Військова адміністрація міста. </w:t>
            </w:r>
          </w:p>
          <w:p w:rsidR="00E95FB1" w:rsidRPr="00C86B34" w:rsidRDefault="00E95FB1" w:rsidP="001B3967">
            <w:pPr>
              <w:tabs>
                <w:tab w:val="left" w:pos="720"/>
              </w:tabs>
              <w:rPr>
                <w:sz w:val="22"/>
              </w:rPr>
            </w:pPr>
            <w:r w:rsidRPr="00C86B34">
              <w:rPr>
                <w:sz w:val="22"/>
              </w:rPr>
              <w:t>2. Відділ капітального будівництва військової адміністрації міста.</w:t>
            </w:r>
          </w:p>
          <w:p w:rsidR="00E95FB1" w:rsidRPr="00C86B34" w:rsidRDefault="00E95FB1" w:rsidP="001B3967">
            <w:pPr>
              <w:tabs>
                <w:tab w:val="left" w:pos="720"/>
              </w:tabs>
              <w:rPr>
                <w:sz w:val="22"/>
              </w:rPr>
            </w:pPr>
            <w:r w:rsidRPr="00C86B34">
              <w:rPr>
                <w:sz w:val="22"/>
              </w:rPr>
              <w:t>3. Підрядна організація - переможець тендеру, виконавець будівельно-монтажних робіт.</w:t>
            </w:r>
          </w:p>
          <w:p w:rsidR="00E95FB1" w:rsidRPr="00C86B34" w:rsidRDefault="00E95FB1" w:rsidP="001B3967">
            <w:pPr>
              <w:tabs>
                <w:tab w:val="left" w:pos="720"/>
              </w:tabs>
              <w:rPr>
                <w:sz w:val="22"/>
              </w:rPr>
            </w:pPr>
            <w:r w:rsidRPr="00C86B34">
              <w:rPr>
                <w:sz w:val="22"/>
              </w:rPr>
              <w:t>4. Обласна державна адміністрація.</w:t>
            </w:r>
          </w:p>
          <w:p w:rsidR="00E95FB1" w:rsidRPr="00C86B34" w:rsidRDefault="00E95FB1" w:rsidP="001B3967">
            <w:pPr>
              <w:autoSpaceDE w:val="0"/>
              <w:autoSpaceDN w:val="0"/>
              <w:adjustRightInd w:val="0"/>
              <w:rPr>
                <w:rFonts w:eastAsia="Calibri"/>
                <w:color w:val="000000"/>
                <w:sz w:val="22"/>
              </w:rPr>
            </w:pPr>
            <w:r w:rsidRPr="00C86B34">
              <w:rPr>
                <w:sz w:val="22"/>
              </w:rPr>
              <w:t>5. Інвестори та меценати спортивної галузі.</w:t>
            </w:r>
          </w:p>
        </w:tc>
      </w:tr>
    </w:tbl>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tbl>
      <w:tblPr>
        <w:tblpPr w:leftFromText="180" w:rightFromText="180" w:vertAnchor="text" w:horzAnchor="page" w:tblpX="1397" w:tblpY="123"/>
        <w:tblW w:w="9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724"/>
        <w:gridCol w:w="2111"/>
        <w:gridCol w:w="1305"/>
        <w:gridCol w:w="172"/>
        <w:gridCol w:w="1134"/>
        <w:gridCol w:w="34"/>
        <w:gridCol w:w="1271"/>
        <w:gridCol w:w="1202"/>
      </w:tblGrid>
      <w:tr w:rsidR="00E95FB1" w:rsidRPr="00C86B34" w:rsidTr="001B3967">
        <w:trPr>
          <w:trHeight w:val="505"/>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Оперативна ціль/завдання</w:t>
            </w:r>
          </w:p>
        </w:tc>
        <w:tc>
          <w:tcPr>
            <w:tcW w:w="7229" w:type="dxa"/>
            <w:gridSpan w:val="7"/>
          </w:tcPr>
          <w:p w:rsidR="00E95FB1" w:rsidRPr="00C86B34" w:rsidRDefault="001E4233" w:rsidP="001B3967">
            <w:pPr>
              <w:pStyle w:val="a7"/>
              <w:ind w:left="0"/>
              <w:rPr>
                <w:sz w:val="22"/>
              </w:rPr>
            </w:pPr>
            <w:r w:rsidRPr="00C86B34">
              <w:rPr>
                <w:rFonts w:eastAsia="Arial"/>
                <w:sz w:val="22"/>
              </w:rPr>
              <w:t xml:space="preserve">Людський розвиток </w:t>
            </w:r>
            <w:r w:rsidR="00E95FB1" w:rsidRPr="00C86B34">
              <w:rPr>
                <w:rFonts w:eastAsia="Arial"/>
                <w:sz w:val="22"/>
              </w:rPr>
              <w:t>через інновації управління та довіру до влади</w:t>
            </w:r>
          </w:p>
          <w:p w:rsidR="00E95FB1" w:rsidRPr="00C86B34" w:rsidRDefault="00E95FB1" w:rsidP="001B3967">
            <w:pPr>
              <w:autoSpaceDE w:val="0"/>
              <w:autoSpaceDN w:val="0"/>
              <w:adjustRightInd w:val="0"/>
              <w:ind w:left="49" w:right="116"/>
              <w:rPr>
                <w:rFonts w:eastAsia="Calibri"/>
                <w:color w:val="000000"/>
                <w:sz w:val="22"/>
              </w:rPr>
            </w:pPr>
            <w:r w:rsidRPr="00C86B34">
              <w:rPr>
                <w:rFonts w:eastAsia="Arial"/>
                <w:sz w:val="22"/>
              </w:rPr>
              <w:t xml:space="preserve">Формування сучасного інклюзивного </w:t>
            </w:r>
            <w:proofErr w:type="spellStart"/>
            <w:r w:rsidRPr="00C86B34">
              <w:rPr>
                <w:rFonts w:eastAsia="Arial"/>
                <w:sz w:val="22"/>
              </w:rPr>
              <w:t>освітньо</w:t>
            </w:r>
            <w:proofErr w:type="spellEnd"/>
            <w:r w:rsidRPr="00C86B34">
              <w:rPr>
                <w:rFonts w:eastAsia="Arial"/>
                <w:sz w:val="22"/>
              </w:rPr>
              <w:t xml:space="preserve"> – культурного та спортивного простору для розвитку</w:t>
            </w:r>
          </w:p>
        </w:tc>
      </w:tr>
      <w:tr w:rsidR="00E95FB1" w:rsidRPr="00C86B34" w:rsidTr="001B3967">
        <w:trPr>
          <w:trHeight w:val="544"/>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 xml:space="preserve">Назва </w:t>
            </w:r>
            <w:proofErr w:type="spellStart"/>
            <w:r w:rsidRPr="00C86B34">
              <w:rPr>
                <w:rFonts w:eastAsia="Calibri"/>
                <w:b/>
                <w:color w:val="000000"/>
                <w:sz w:val="22"/>
              </w:rPr>
              <w:t>проєкту</w:t>
            </w:r>
            <w:proofErr w:type="spellEnd"/>
          </w:p>
        </w:tc>
        <w:tc>
          <w:tcPr>
            <w:tcW w:w="7229" w:type="dxa"/>
            <w:gridSpan w:val="7"/>
          </w:tcPr>
          <w:p w:rsidR="00E95FB1" w:rsidRPr="00C86B34" w:rsidRDefault="00E95FB1" w:rsidP="001B3967">
            <w:pPr>
              <w:autoSpaceDE w:val="0"/>
              <w:autoSpaceDN w:val="0"/>
              <w:adjustRightInd w:val="0"/>
              <w:ind w:left="49" w:right="116"/>
              <w:rPr>
                <w:rFonts w:eastAsia="Calibri"/>
                <w:color w:val="000000"/>
                <w:sz w:val="22"/>
              </w:rPr>
            </w:pPr>
            <w:r w:rsidRPr="00C86B34">
              <w:rPr>
                <w:rFonts w:eastAsia="Calibri"/>
                <w:color w:val="000000"/>
                <w:sz w:val="22"/>
              </w:rPr>
              <w:t>Капітальний ремонт спорткомплексу КДЮСШ 3 міста Сєвєродонецьк Луганської області</w:t>
            </w:r>
            <w:r w:rsidRPr="00C86B34">
              <w:rPr>
                <w:sz w:val="22"/>
              </w:rPr>
              <w:t xml:space="preserve"> </w:t>
            </w:r>
            <w:r w:rsidRPr="00C86B34">
              <w:rPr>
                <w:rFonts w:eastAsia="Calibri"/>
                <w:color w:val="000000"/>
                <w:sz w:val="22"/>
              </w:rPr>
              <w:t xml:space="preserve">за </w:t>
            </w:r>
            <w:proofErr w:type="spellStart"/>
            <w:r w:rsidRPr="00C86B34">
              <w:rPr>
                <w:rFonts w:eastAsia="Calibri"/>
                <w:color w:val="000000"/>
                <w:sz w:val="22"/>
              </w:rPr>
              <w:t>адресою</w:t>
            </w:r>
            <w:proofErr w:type="spellEnd"/>
            <w:r w:rsidRPr="00C86B34">
              <w:rPr>
                <w:rFonts w:eastAsia="Calibri"/>
                <w:color w:val="000000"/>
                <w:sz w:val="22"/>
              </w:rPr>
              <w:t xml:space="preserve">: вул. </w:t>
            </w:r>
            <w:proofErr w:type="spellStart"/>
            <w:r w:rsidRPr="00C86B34">
              <w:rPr>
                <w:rFonts w:eastAsia="Calibri"/>
                <w:color w:val="000000"/>
                <w:sz w:val="22"/>
              </w:rPr>
              <w:t>Сметаніна</w:t>
            </w:r>
            <w:proofErr w:type="spellEnd"/>
            <w:r w:rsidRPr="00C86B34">
              <w:rPr>
                <w:rFonts w:eastAsia="Calibri"/>
                <w:color w:val="000000"/>
                <w:sz w:val="22"/>
              </w:rPr>
              <w:t xml:space="preserve"> 5а.</w:t>
            </w:r>
          </w:p>
        </w:tc>
      </w:tr>
      <w:tr w:rsidR="00E95FB1" w:rsidRPr="00C86B34" w:rsidTr="001B3967">
        <w:trPr>
          <w:trHeight w:val="648"/>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lastRenderedPageBreak/>
              <w:t xml:space="preserve">Цілі </w:t>
            </w:r>
            <w:proofErr w:type="spellStart"/>
            <w:r w:rsidRPr="00C86B34">
              <w:rPr>
                <w:rFonts w:eastAsia="Calibri"/>
                <w:b/>
                <w:color w:val="000000"/>
                <w:sz w:val="22"/>
              </w:rPr>
              <w:t>проєкту</w:t>
            </w:r>
            <w:proofErr w:type="spellEnd"/>
          </w:p>
        </w:tc>
        <w:tc>
          <w:tcPr>
            <w:tcW w:w="7229" w:type="dxa"/>
            <w:gridSpan w:val="7"/>
            <w:vAlign w:val="center"/>
          </w:tcPr>
          <w:p w:rsidR="00E95FB1" w:rsidRPr="00C86B34" w:rsidRDefault="00E95FB1" w:rsidP="000303D7">
            <w:pPr>
              <w:numPr>
                <w:ilvl w:val="0"/>
                <w:numId w:val="43"/>
              </w:numPr>
              <w:autoSpaceDE w:val="0"/>
              <w:autoSpaceDN w:val="0"/>
              <w:adjustRightInd w:val="0"/>
              <w:ind w:left="327" w:right="116" w:hanging="283"/>
              <w:rPr>
                <w:rFonts w:eastAsia="Calibri"/>
                <w:color w:val="000000"/>
                <w:sz w:val="22"/>
              </w:rPr>
            </w:pPr>
            <w:r w:rsidRPr="00C86B34">
              <w:rPr>
                <w:rFonts w:eastAsia="Calibri"/>
                <w:color w:val="000000"/>
                <w:sz w:val="22"/>
              </w:rPr>
              <w:t>Відновлення безпечного та комфортного навчально-тренувального процесу з видів спорту: волейбол, баскетбол, гандбол, спортивне орієнтування на власній спортивній базі</w:t>
            </w:r>
            <w:r w:rsidR="001E4233" w:rsidRPr="00C86B34">
              <w:rPr>
                <w:rFonts w:eastAsia="Calibri"/>
                <w:color w:val="000000"/>
                <w:sz w:val="22"/>
              </w:rPr>
              <w:t>.</w:t>
            </w:r>
          </w:p>
          <w:p w:rsidR="00E95FB1" w:rsidRPr="00C86B34" w:rsidRDefault="00E95FB1" w:rsidP="000303D7">
            <w:pPr>
              <w:numPr>
                <w:ilvl w:val="0"/>
                <w:numId w:val="43"/>
              </w:numPr>
              <w:autoSpaceDE w:val="0"/>
              <w:autoSpaceDN w:val="0"/>
              <w:adjustRightInd w:val="0"/>
              <w:ind w:left="327" w:right="116" w:hanging="283"/>
              <w:rPr>
                <w:rFonts w:eastAsia="Calibri"/>
                <w:color w:val="000000"/>
                <w:sz w:val="22"/>
              </w:rPr>
            </w:pPr>
            <w:r w:rsidRPr="00C86B34">
              <w:rPr>
                <w:sz w:val="22"/>
              </w:rPr>
              <w:t xml:space="preserve">Впровадження заходів </w:t>
            </w:r>
            <w:proofErr w:type="spellStart"/>
            <w:r w:rsidRPr="00C86B34">
              <w:rPr>
                <w:sz w:val="22"/>
              </w:rPr>
              <w:t>інклюзивності</w:t>
            </w:r>
            <w:proofErr w:type="spellEnd"/>
            <w:r w:rsidRPr="00C86B34">
              <w:rPr>
                <w:sz w:val="22"/>
              </w:rPr>
              <w:t xml:space="preserve"> та норм </w:t>
            </w:r>
            <w:proofErr w:type="spellStart"/>
            <w:r w:rsidRPr="00C86B34">
              <w:rPr>
                <w:sz w:val="22"/>
              </w:rPr>
              <w:t>безбар’єрного</w:t>
            </w:r>
            <w:proofErr w:type="spellEnd"/>
            <w:r w:rsidRPr="00C86B34">
              <w:rPr>
                <w:sz w:val="22"/>
              </w:rPr>
              <w:t xml:space="preserve"> доступу людей з особливими потребами до занять спортом</w:t>
            </w:r>
            <w:r w:rsidR="001E4233" w:rsidRPr="00C86B34">
              <w:rPr>
                <w:sz w:val="22"/>
              </w:rPr>
              <w:t>.</w:t>
            </w:r>
          </w:p>
          <w:p w:rsidR="00E95FB1" w:rsidRPr="00C86B34" w:rsidRDefault="00E95FB1" w:rsidP="000303D7">
            <w:pPr>
              <w:numPr>
                <w:ilvl w:val="0"/>
                <w:numId w:val="43"/>
              </w:numPr>
              <w:autoSpaceDE w:val="0"/>
              <w:autoSpaceDN w:val="0"/>
              <w:adjustRightInd w:val="0"/>
              <w:ind w:left="327" w:right="116" w:hanging="283"/>
              <w:rPr>
                <w:rFonts w:eastAsia="Calibri"/>
                <w:color w:val="000000"/>
                <w:sz w:val="22"/>
              </w:rPr>
            </w:pPr>
            <w:r w:rsidRPr="00C86B34">
              <w:rPr>
                <w:sz w:val="22"/>
              </w:rPr>
              <w:t>Популяризація фізичної культури і спорту</w:t>
            </w:r>
            <w:r w:rsidR="001E4233" w:rsidRPr="00C86B34">
              <w:rPr>
                <w:sz w:val="22"/>
              </w:rPr>
              <w:t>.</w:t>
            </w:r>
          </w:p>
          <w:p w:rsidR="00E95FB1" w:rsidRPr="00C86B34" w:rsidRDefault="00E95FB1" w:rsidP="000303D7">
            <w:pPr>
              <w:numPr>
                <w:ilvl w:val="0"/>
                <w:numId w:val="43"/>
              </w:numPr>
              <w:autoSpaceDE w:val="0"/>
              <w:autoSpaceDN w:val="0"/>
              <w:adjustRightInd w:val="0"/>
              <w:ind w:left="327" w:right="116" w:hanging="283"/>
              <w:rPr>
                <w:rFonts w:eastAsia="Calibri"/>
                <w:color w:val="000000"/>
                <w:sz w:val="22"/>
              </w:rPr>
            </w:pPr>
            <w:r w:rsidRPr="00C86B34">
              <w:rPr>
                <w:sz w:val="22"/>
              </w:rPr>
              <w:t>Забезпечити заклад всім необхідним спортивним та господарським інвентарем.</w:t>
            </w:r>
          </w:p>
          <w:p w:rsidR="00E95FB1" w:rsidRPr="00C86B34" w:rsidRDefault="00E95FB1" w:rsidP="001B3967">
            <w:pPr>
              <w:autoSpaceDE w:val="0"/>
              <w:autoSpaceDN w:val="0"/>
              <w:adjustRightInd w:val="0"/>
              <w:ind w:left="327" w:right="116"/>
              <w:rPr>
                <w:rFonts w:eastAsia="Calibri"/>
                <w:color w:val="000000"/>
                <w:sz w:val="22"/>
              </w:rPr>
            </w:pPr>
            <w:r w:rsidRPr="00C86B34">
              <w:rPr>
                <w:rFonts w:eastAsia="Calibri"/>
                <w:color w:val="000000"/>
                <w:sz w:val="22"/>
              </w:rPr>
              <w:t xml:space="preserve">Всі цілі направлені на задоволення потреб мешканців Сєвєродонецької міської територіальної громади.  </w:t>
            </w:r>
          </w:p>
        </w:tc>
      </w:tr>
      <w:tr w:rsidR="00E95FB1" w:rsidRPr="00C86B34" w:rsidTr="001B3967">
        <w:trPr>
          <w:trHeight w:val="544"/>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 xml:space="preserve">Територія, на яку матиме вплив реалізація </w:t>
            </w:r>
            <w:proofErr w:type="spellStart"/>
            <w:r w:rsidRPr="00C86B34">
              <w:rPr>
                <w:rFonts w:eastAsia="Calibri"/>
                <w:b/>
                <w:color w:val="000000"/>
                <w:sz w:val="22"/>
              </w:rPr>
              <w:t>проєкту</w:t>
            </w:r>
            <w:proofErr w:type="spellEnd"/>
          </w:p>
        </w:tc>
        <w:tc>
          <w:tcPr>
            <w:tcW w:w="7229" w:type="dxa"/>
            <w:gridSpan w:val="7"/>
            <w:vAlign w:val="center"/>
          </w:tcPr>
          <w:p w:rsidR="00E95FB1" w:rsidRPr="00C86B34" w:rsidRDefault="00E95FB1" w:rsidP="001B3967">
            <w:pPr>
              <w:autoSpaceDE w:val="0"/>
              <w:autoSpaceDN w:val="0"/>
              <w:adjustRightInd w:val="0"/>
              <w:ind w:left="49" w:right="116"/>
              <w:rPr>
                <w:rFonts w:eastAsia="Calibri"/>
                <w:color w:val="000000"/>
                <w:sz w:val="22"/>
              </w:rPr>
            </w:pPr>
            <w:r w:rsidRPr="00C86B34">
              <w:rPr>
                <w:rFonts w:eastAsia="Calibri"/>
                <w:color w:val="000000"/>
                <w:sz w:val="22"/>
              </w:rPr>
              <w:t>Сєвєродонецька міська територіальна громада.</w:t>
            </w:r>
          </w:p>
        </w:tc>
      </w:tr>
      <w:tr w:rsidR="00E95FB1" w:rsidRPr="00C86B34" w:rsidTr="001B3967">
        <w:trPr>
          <w:trHeight w:val="1091"/>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 xml:space="preserve">Чисельність населення, на яке матиме вплив реалізація </w:t>
            </w:r>
            <w:proofErr w:type="spellStart"/>
            <w:r w:rsidRPr="00C86B34">
              <w:rPr>
                <w:rFonts w:eastAsia="Calibri"/>
                <w:b/>
                <w:color w:val="000000"/>
                <w:sz w:val="22"/>
              </w:rPr>
              <w:t>проєкту</w:t>
            </w:r>
            <w:proofErr w:type="spellEnd"/>
          </w:p>
        </w:tc>
        <w:tc>
          <w:tcPr>
            <w:tcW w:w="7229" w:type="dxa"/>
            <w:gridSpan w:val="7"/>
            <w:vAlign w:val="center"/>
          </w:tcPr>
          <w:p w:rsidR="00E95FB1" w:rsidRPr="00C86B34" w:rsidRDefault="00E95FB1" w:rsidP="001E4233">
            <w:pPr>
              <w:autoSpaceDE w:val="0"/>
              <w:autoSpaceDN w:val="0"/>
              <w:adjustRightInd w:val="0"/>
              <w:ind w:left="49" w:right="116"/>
              <w:rPr>
                <w:rFonts w:eastAsia="Calibri"/>
                <w:color w:val="000000"/>
                <w:sz w:val="22"/>
              </w:rPr>
            </w:pPr>
            <w:r w:rsidRPr="00C86B34">
              <w:rPr>
                <w:rFonts w:eastAsia="Calibri"/>
                <w:color w:val="000000"/>
                <w:sz w:val="22"/>
              </w:rPr>
              <w:t xml:space="preserve">70 </w:t>
            </w:r>
            <w:r w:rsidR="001E4233" w:rsidRPr="00C86B34">
              <w:rPr>
                <w:rFonts w:eastAsia="Calibri"/>
                <w:color w:val="000000"/>
                <w:sz w:val="22"/>
              </w:rPr>
              <w:t>000</w:t>
            </w:r>
            <w:r w:rsidRPr="00C86B34">
              <w:rPr>
                <w:rFonts w:eastAsia="Calibri"/>
                <w:color w:val="000000"/>
                <w:sz w:val="22"/>
              </w:rPr>
              <w:t xml:space="preserve"> </w:t>
            </w:r>
          </w:p>
        </w:tc>
      </w:tr>
      <w:tr w:rsidR="00E95FB1" w:rsidRPr="00C86B34" w:rsidTr="001B3967">
        <w:trPr>
          <w:trHeight w:val="588"/>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 xml:space="preserve">Опис проблеми, на вирішення якої спрямований </w:t>
            </w:r>
            <w:proofErr w:type="spellStart"/>
            <w:r w:rsidRPr="00C86B34">
              <w:rPr>
                <w:rFonts w:eastAsia="Calibri"/>
                <w:b/>
                <w:color w:val="000000"/>
                <w:sz w:val="22"/>
              </w:rPr>
              <w:t>проєкт</w:t>
            </w:r>
            <w:proofErr w:type="spellEnd"/>
          </w:p>
        </w:tc>
        <w:tc>
          <w:tcPr>
            <w:tcW w:w="7229" w:type="dxa"/>
            <w:gridSpan w:val="7"/>
          </w:tcPr>
          <w:p w:rsidR="00E95FB1" w:rsidRPr="00C86B34" w:rsidRDefault="00E95FB1" w:rsidP="001E4233">
            <w:pPr>
              <w:autoSpaceDE w:val="0"/>
              <w:autoSpaceDN w:val="0"/>
              <w:adjustRightInd w:val="0"/>
              <w:ind w:left="49" w:right="116"/>
              <w:rPr>
                <w:rFonts w:eastAsia="Calibri"/>
                <w:color w:val="000000"/>
                <w:sz w:val="22"/>
              </w:rPr>
            </w:pPr>
            <w:r w:rsidRPr="00C86B34">
              <w:rPr>
                <w:rFonts w:eastAsia="Calibri"/>
                <w:color w:val="000000"/>
                <w:sz w:val="22"/>
              </w:rPr>
              <w:t>Внаслідок ведення активних бойових дій на території Сєвєродонецької міської територіальної громади спорткомплекс КДЮСШ 3 міста Сєвєродонецьк Луганської області зазнав руйнувань (пошкоджень) а саме: були влучання снарядів в дах та стіни будівлі</w:t>
            </w:r>
            <w:r w:rsidR="001E4233" w:rsidRPr="00C86B34">
              <w:rPr>
                <w:rFonts w:eastAsia="Calibri"/>
                <w:color w:val="000000"/>
                <w:sz w:val="22"/>
              </w:rPr>
              <w:t>,</w:t>
            </w:r>
            <w:r w:rsidRPr="00C86B34">
              <w:rPr>
                <w:rFonts w:eastAsia="Calibri"/>
                <w:color w:val="000000"/>
                <w:sz w:val="22"/>
              </w:rPr>
              <w:t xml:space="preserve"> що спричинило їх обвал. Вікна та двері були вибиті вибуховою хвилею. Енергосистема будівлі була пошкоджена уламками від снарядів та відсутністю догляду за нею. Через отримані пошкодження будівля також зазнала руйнувань негодою (дощ, сніг, вітер). Вся матеріально-технічна база закладу була знищена внаслідок ведення активних бойових дій на території Сєвєродонецької міської територіальної громади, а те</w:t>
            </w:r>
            <w:r w:rsidR="001E4233" w:rsidRPr="00C86B34">
              <w:rPr>
                <w:rFonts w:eastAsia="Calibri"/>
                <w:color w:val="000000"/>
                <w:sz w:val="22"/>
              </w:rPr>
              <w:t>,</w:t>
            </w:r>
            <w:r w:rsidRPr="00C86B34">
              <w:rPr>
                <w:rFonts w:eastAsia="Calibri"/>
                <w:color w:val="000000"/>
                <w:sz w:val="22"/>
              </w:rPr>
              <w:t xml:space="preserve"> що вціліло</w:t>
            </w:r>
            <w:r w:rsidR="001E4233" w:rsidRPr="00C86B34">
              <w:rPr>
                <w:rFonts w:eastAsia="Calibri"/>
                <w:color w:val="000000"/>
                <w:sz w:val="22"/>
              </w:rPr>
              <w:t>,</w:t>
            </w:r>
            <w:r w:rsidRPr="00C86B34">
              <w:rPr>
                <w:rFonts w:eastAsia="Calibri"/>
                <w:color w:val="000000"/>
                <w:sz w:val="22"/>
              </w:rPr>
              <w:t xml:space="preserve"> було розграбоване мародерами у зв’язку з відсутності правоохоронних органів на окупованій території та цілодобової охорони закладу.    </w:t>
            </w:r>
          </w:p>
        </w:tc>
      </w:tr>
      <w:tr w:rsidR="00E95FB1" w:rsidRPr="00C86B34" w:rsidTr="001B3967">
        <w:trPr>
          <w:trHeight w:val="515"/>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 xml:space="preserve">Очікувані якісні результати від реалізації </w:t>
            </w:r>
            <w:proofErr w:type="spellStart"/>
            <w:r w:rsidRPr="00C86B34">
              <w:rPr>
                <w:rFonts w:eastAsia="Calibri"/>
                <w:b/>
                <w:color w:val="000000"/>
                <w:sz w:val="22"/>
              </w:rPr>
              <w:t>проєкту</w:t>
            </w:r>
            <w:proofErr w:type="spellEnd"/>
          </w:p>
        </w:tc>
        <w:tc>
          <w:tcPr>
            <w:tcW w:w="7229" w:type="dxa"/>
            <w:gridSpan w:val="7"/>
          </w:tcPr>
          <w:p w:rsidR="00E95FB1" w:rsidRPr="00C86B34" w:rsidRDefault="00E95FB1" w:rsidP="000303D7">
            <w:pPr>
              <w:numPr>
                <w:ilvl w:val="0"/>
                <w:numId w:val="44"/>
              </w:numPr>
              <w:autoSpaceDE w:val="0"/>
              <w:autoSpaceDN w:val="0"/>
              <w:adjustRightInd w:val="0"/>
              <w:ind w:left="332" w:right="116" w:hanging="284"/>
              <w:rPr>
                <w:rFonts w:eastAsia="Calibri"/>
                <w:color w:val="000000"/>
                <w:sz w:val="22"/>
              </w:rPr>
            </w:pPr>
            <w:r w:rsidRPr="00C86B34">
              <w:rPr>
                <w:rFonts w:eastAsia="Calibri"/>
                <w:color w:val="000000"/>
                <w:sz w:val="22"/>
              </w:rPr>
              <w:t>Відновлено функціонування КДЮСШ 3 міста Сєвєродонецьк</w:t>
            </w:r>
            <w:r w:rsidR="001E4233" w:rsidRPr="00C86B34">
              <w:rPr>
                <w:rFonts w:eastAsia="Calibri"/>
                <w:color w:val="000000"/>
                <w:sz w:val="22"/>
              </w:rPr>
              <w:t>.</w:t>
            </w:r>
          </w:p>
          <w:p w:rsidR="00E95FB1" w:rsidRPr="00C86B34" w:rsidRDefault="00E95FB1" w:rsidP="000303D7">
            <w:pPr>
              <w:numPr>
                <w:ilvl w:val="0"/>
                <w:numId w:val="44"/>
              </w:numPr>
              <w:autoSpaceDE w:val="0"/>
              <w:autoSpaceDN w:val="0"/>
              <w:adjustRightInd w:val="0"/>
              <w:ind w:left="332" w:right="116" w:hanging="284"/>
              <w:rPr>
                <w:rFonts w:eastAsia="Calibri"/>
                <w:color w:val="000000"/>
                <w:sz w:val="22"/>
              </w:rPr>
            </w:pPr>
            <w:r w:rsidRPr="00C86B34">
              <w:rPr>
                <w:rFonts w:eastAsia="Calibri"/>
                <w:color w:val="000000"/>
                <w:sz w:val="22"/>
              </w:rPr>
              <w:t xml:space="preserve">Впроваджені заходи </w:t>
            </w:r>
            <w:proofErr w:type="spellStart"/>
            <w:r w:rsidRPr="00C86B34">
              <w:rPr>
                <w:rFonts w:eastAsia="Calibri"/>
                <w:color w:val="000000"/>
                <w:sz w:val="22"/>
              </w:rPr>
              <w:t>інклюзивності</w:t>
            </w:r>
            <w:proofErr w:type="spellEnd"/>
            <w:r w:rsidRPr="00C86B34">
              <w:rPr>
                <w:rFonts w:eastAsia="Calibri"/>
                <w:color w:val="000000"/>
                <w:sz w:val="22"/>
              </w:rPr>
              <w:t xml:space="preserve"> та норми </w:t>
            </w:r>
            <w:proofErr w:type="spellStart"/>
            <w:r w:rsidRPr="00C86B34">
              <w:rPr>
                <w:sz w:val="22"/>
              </w:rPr>
              <w:t>безбар’єрного</w:t>
            </w:r>
            <w:proofErr w:type="spellEnd"/>
            <w:r w:rsidRPr="00C86B34">
              <w:rPr>
                <w:sz w:val="22"/>
              </w:rPr>
              <w:t xml:space="preserve"> доступу людей з особливими потребами до занять спортом</w:t>
            </w:r>
            <w:r w:rsidR="001E4233" w:rsidRPr="00C86B34">
              <w:rPr>
                <w:sz w:val="22"/>
              </w:rPr>
              <w:t>.</w:t>
            </w:r>
          </w:p>
          <w:p w:rsidR="00E95FB1" w:rsidRPr="00C86B34" w:rsidRDefault="00E95FB1" w:rsidP="000303D7">
            <w:pPr>
              <w:numPr>
                <w:ilvl w:val="0"/>
                <w:numId w:val="44"/>
              </w:numPr>
              <w:autoSpaceDE w:val="0"/>
              <w:autoSpaceDN w:val="0"/>
              <w:adjustRightInd w:val="0"/>
              <w:ind w:left="332" w:right="116" w:hanging="283"/>
              <w:rPr>
                <w:rFonts w:eastAsia="Calibri"/>
                <w:color w:val="000000"/>
                <w:sz w:val="22"/>
              </w:rPr>
            </w:pPr>
            <w:r w:rsidRPr="00C86B34">
              <w:rPr>
                <w:rFonts w:eastAsia="Calibri"/>
                <w:color w:val="000000"/>
                <w:sz w:val="22"/>
              </w:rPr>
              <w:t>Відновлено енергетичне життєзабезпечення будівлі: водопостачання, водовідведення, електропостачання, теплопостачання, вентиляція</w:t>
            </w:r>
            <w:r w:rsidR="001E4233" w:rsidRPr="00C86B34">
              <w:rPr>
                <w:rFonts w:eastAsia="Calibri"/>
                <w:color w:val="000000"/>
                <w:sz w:val="22"/>
              </w:rPr>
              <w:t>.</w:t>
            </w:r>
          </w:p>
          <w:p w:rsidR="00E95FB1" w:rsidRPr="00C86B34" w:rsidRDefault="00E95FB1" w:rsidP="000303D7">
            <w:pPr>
              <w:numPr>
                <w:ilvl w:val="0"/>
                <w:numId w:val="44"/>
              </w:numPr>
              <w:autoSpaceDE w:val="0"/>
              <w:autoSpaceDN w:val="0"/>
              <w:adjustRightInd w:val="0"/>
              <w:ind w:left="332" w:right="116" w:hanging="283"/>
              <w:rPr>
                <w:rFonts w:eastAsia="Calibri"/>
                <w:color w:val="000000"/>
                <w:sz w:val="22"/>
              </w:rPr>
            </w:pPr>
            <w:r w:rsidRPr="00C86B34">
              <w:rPr>
                <w:rFonts w:eastAsia="Calibri"/>
                <w:color w:val="000000"/>
                <w:sz w:val="22"/>
              </w:rPr>
              <w:t>КДЮСШ забезпечено необхідним спортивним та господарським інвентарем для поточної діяльності</w:t>
            </w:r>
            <w:r w:rsidR="001E4233" w:rsidRPr="00C86B34">
              <w:rPr>
                <w:rFonts w:eastAsia="Calibri"/>
                <w:color w:val="000000"/>
                <w:sz w:val="22"/>
              </w:rPr>
              <w:t>.</w:t>
            </w:r>
          </w:p>
          <w:p w:rsidR="00E95FB1" w:rsidRPr="00C86B34" w:rsidRDefault="00E95FB1" w:rsidP="000303D7">
            <w:pPr>
              <w:numPr>
                <w:ilvl w:val="0"/>
                <w:numId w:val="44"/>
              </w:numPr>
              <w:autoSpaceDE w:val="0"/>
              <w:autoSpaceDN w:val="0"/>
              <w:adjustRightInd w:val="0"/>
              <w:ind w:left="332" w:right="116" w:hanging="283"/>
              <w:rPr>
                <w:rFonts w:eastAsia="Calibri"/>
                <w:color w:val="000000"/>
                <w:sz w:val="22"/>
              </w:rPr>
            </w:pPr>
            <w:r w:rsidRPr="00C86B34">
              <w:rPr>
                <w:rFonts w:eastAsia="Calibri"/>
                <w:color w:val="000000"/>
                <w:sz w:val="22"/>
              </w:rPr>
              <w:t xml:space="preserve">Впроваджені заходи протипожежної безпеки (установлено протипожежну сигналізацію, змонтовано засоби пожежогасіння та оповіщення про пожежу і </w:t>
            </w:r>
            <w:proofErr w:type="spellStart"/>
            <w:r w:rsidRPr="00C86B34">
              <w:rPr>
                <w:rFonts w:eastAsia="Calibri"/>
                <w:color w:val="000000"/>
                <w:sz w:val="22"/>
              </w:rPr>
              <w:t>т.д</w:t>
            </w:r>
            <w:proofErr w:type="spellEnd"/>
            <w:r w:rsidRPr="00C86B34">
              <w:rPr>
                <w:rFonts w:eastAsia="Calibri"/>
                <w:color w:val="000000"/>
                <w:sz w:val="22"/>
              </w:rPr>
              <w:t>.)</w:t>
            </w:r>
            <w:r w:rsidR="001E4233" w:rsidRPr="00C86B34">
              <w:rPr>
                <w:rFonts w:eastAsia="Calibri"/>
                <w:color w:val="000000"/>
                <w:sz w:val="22"/>
              </w:rPr>
              <w:t>.</w:t>
            </w:r>
          </w:p>
          <w:p w:rsidR="00E95FB1" w:rsidRPr="00C86B34" w:rsidRDefault="00E95FB1" w:rsidP="000303D7">
            <w:pPr>
              <w:numPr>
                <w:ilvl w:val="0"/>
                <w:numId w:val="44"/>
              </w:numPr>
              <w:autoSpaceDE w:val="0"/>
              <w:autoSpaceDN w:val="0"/>
              <w:adjustRightInd w:val="0"/>
              <w:ind w:left="332" w:right="116" w:hanging="283"/>
              <w:rPr>
                <w:rFonts w:eastAsia="Calibri"/>
                <w:color w:val="000000"/>
                <w:sz w:val="22"/>
              </w:rPr>
            </w:pPr>
            <w:r w:rsidRPr="00C86B34">
              <w:rPr>
                <w:rFonts w:eastAsia="Calibri"/>
                <w:color w:val="000000"/>
                <w:sz w:val="22"/>
              </w:rPr>
              <w:t>Стимул до повернення внутрішньо</w:t>
            </w:r>
            <w:r w:rsidR="001E4233" w:rsidRPr="00C86B34">
              <w:rPr>
                <w:rFonts w:eastAsia="Calibri"/>
                <w:color w:val="000000"/>
                <w:sz w:val="22"/>
              </w:rPr>
              <w:t xml:space="preserve"> </w:t>
            </w:r>
            <w:r w:rsidRPr="00C86B34">
              <w:rPr>
                <w:rFonts w:eastAsia="Calibri"/>
                <w:color w:val="000000"/>
                <w:sz w:val="22"/>
              </w:rPr>
              <w:t>переміщених осіб до Сєвєродонецької міської територіальної громади</w:t>
            </w:r>
            <w:r w:rsidR="001E4233" w:rsidRPr="00C86B34">
              <w:rPr>
                <w:rFonts w:eastAsia="Calibri"/>
                <w:color w:val="000000"/>
                <w:sz w:val="22"/>
              </w:rPr>
              <w:t>.</w:t>
            </w:r>
          </w:p>
          <w:p w:rsidR="00E95FB1" w:rsidRPr="00C86B34" w:rsidRDefault="00E95FB1" w:rsidP="000303D7">
            <w:pPr>
              <w:numPr>
                <w:ilvl w:val="0"/>
                <w:numId w:val="44"/>
              </w:numPr>
              <w:autoSpaceDE w:val="0"/>
              <w:autoSpaceDN w:val="0"/>
              <w:adjustRightInd w:val="0"/>
              <w:ind w:left="332" w:right="116" w:hanging="283"/>
              <w:rPr>
                <w:rFonts w:eastAsia="Calibri"/>
                <w:color w:val="000000"/>
                <w:sz w:val="22"/>
              </w:rPr>
            </w:pPr>
            <w:r w:rsidRPr="00C86B34">
              <w:rPr>
                <w:rFonts w:eastAsia="Calibri"/>
                <w:color w:val="000000"/>
                <w:sz w:val="22"/>
              </w:rPr>
              <w:t>Відновлено навчально-тренувальний процес в безпечних та комфортних умовах.</w:t>
            </w:r>
          </w:p>
        </w:tc>
      </w:tr>
      <w:tr w:rsidR="00E95FB1" w:rsidRPr="00C86B34" w:rsidTr="001B3967">
        <w:trPr>
          <w:trHeight w:val="1091"/>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 xml:space="preserve">Очікувані кількісні результати від реалізації </w:t>
            </w:r>
            <w:proofErr w:type="spellStart"/>
            <w:r w:rsidRPr="00C86B34">
              <w:rPr>
                <w:rFonts w:eastAsia="Calibri"/>
                <w:b/>
                <w:color w:val="000000"/>
                <w:sz w:val="22"/>
              </w:rPr>
              <w:t>проєкту</w:t>
            </w:r>
            <w:proofErr w:type="spellEnd"/>
            <w:r w:rsidRPr="00C86B34">
              <w:rPr>
                <w:rFonts w:eastAsia="Calibri"/>
                <w:b/>
                <w:color w:val="000000"/>
                <w:sz w:val="22"/>
              </w:rPr>
              <w:t xml:space="preserve">  (індикатори)</w:t>
            </w:r>
          </w:p>
        </w:tc>
        <w:tc>
          <w:tcPr>
            <w:tcW w:w="3588" w:type="dxa"/>
            <w:gridSpan w:val="3"/>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Найменування показника</w:t>
            </w:r>
          </w:p>
        </w:tc>
        <w:tc>
          <w:tcPr>
            <w:tcW w:w="1168"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Одиниця вимірювання</w:t>
            </w:r>
          </w:p>
        </w:tc>
        <w:tc>
          <w:tcPr>
            <w:tcW w:w="2473"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Прогнозне (цільове) значення</w:t>
            </w:r>
          </w:p>
        </w:tc>
      </w:tr>
      <w:tr w:rsidR="00E95FB1" w:rsidRPr="00C86B34" w:rsidTr="001B3967">
        <w:trPr>
          <w:trHeight w:val="544"/>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588" w:type="dxa"/>
            <w:gridSpan w:val="3"/>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Кількість учнів-спортсменів</w:t>
            </w:r>
            <w:r w:rsidR="001E4233" w:rsidRPr="00C86B34">
              <w:rPr>
                <w:rFonts w:eastAsia="Calibri"/>
                <w:color w:val="000000"/>
                <w:sz w:val="22"/>
              </w:rPr>
              <w:t>,</w:t>
            </w:r>
            <w:r w:rsidRPr="00C86B34">
              <w:rPr>
                <w:rFonts w:eastAsia="Calibri"/>
                <w:color w:val="000000"/>
                <w:sz w:val="22"/>
              </w:rPr>
              <w:t xml:space="preserve"> які навчаються</w:t>
            </w:r>
          </w:p>
        </w:tc>
        <w:tc>
          <w:tcPr>
            <w:tcW w:w="1168" w:type="dxa"/>
            <w:gridSpan w:val="2"/>
            <w:vAlign w:val="center"/>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осіб/день</w:t>
            </w:r>
          </w:p>
        </w:tc>
        <w:tc>
          <w:tcPr>
            <w:tcW w:w="2473" w:type="dxa"/>
            <w:gridSpan w:val="2"/>
            <w:vAlign w:val="center"/>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174</w:t>
            </w:r>
          </w:p>
        </w:tc>
      </w:tr>
      <w:tr w:rsidR="00E95FB1" w:rsidRPr="00C86B34" w:rsidTr="001B3967">
        <w:trPr>
          <w:trHeight w:val="544"/>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588" w:type="dxa"/>
            <w:gridSpan w:val="3"/>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Кількість видів спортивних секцій</w:t>
            </w:r>
          </w:p>
        </w:tc>
        <w:tc>
          <w:tcPr>
            <w:tcW w:w="1168" w:type="dxa"/>
            <w:gridSpan w:val="2"/>
            <w:vAlign w:val="center"/>
          </w:tcPr>
          <w:p w:rsidR="00E95FB1" w:rsidRPr="00C86B34" w:rsidRDefault="001E4233" w:rsidP="001B3967">
            <w:pPr>
              <w:autoSpaceDE w:val="0"/>
              <w:autoSpaceDN w:val="0"/>
              <w:adjustRightInd w:val="0"/>
              <w:jc w:val="center"/>
              <w:rPr>
                <w:rFonts w:eastAsia="Calibri"/>
                <w:color w:val="000000"/>
                <w:sz w:val="22"/>
              </w:rPr>
            </w:pPr>
            <w:r w:rsidRPr="00C86B34">
              <w:rPr>
                <w:rFonts w:eastAsia="Calibri"/>
                <w:color w:val="000000"/>
                <w:sz w:val="22"/>
              </w:rPr>
              <w:t>одиниць</w:t>
            </w:r>
          </w:p>
        </w:tc>
        <w:tc>
          <w:tcPr>
            <w:tcW w:w="2473" w:type="dxa"/>
            <w:gridSpan w:val="2"/>
            <w:vAlign w:val="center"/>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4</w:t>
            </w:r>
          </w:p>
        </w:tc>
      </w:tr>
      <w:tr w:rsidR="00E95FB1" w:rsidRPr="00C86B34" w:rsidTr="001B3967">
        <w:trPr>
          <w:trHeight w:val="544"/>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588" w:type="dxa"/>
            <w:gridSpan w:val="3"/>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Кількість відвідувачів, орендаторів та організаторів змагань</w:t>
            </w:r>
          </w:p>
        </w:tc>
        <w:tc>
          <w:tcPr>
            <w:tcW w:w="1168" w:type="dxa"/>
            <w:gridSpan w:val="2"/>
            <w:vAlign w:val="center"/>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осіб/рік</w:t>
            </w:r>
          </w:p>
        </w:tc>
        <w:tc>
          <w:tcPr>
            <w:tcW w:w="2473" w:type="dxa"/>
            <w:gridSpan w:val="2"/>
            <w:vAlign w:val="center"/>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45000</w:t>
            </w:r>
          </w:p>
        </w:tc>
      </w:tr>
      <w:tr w:rsidR="00E95FB1" w:rsidRPr="00C86B34" w:rsidTr="001B3967">
        <w:trPr>
          <w:trHeight w:val="544"/>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588" w:type="dxa"/>
            <w:gridSpan w:val="3"/>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Кількість отримувачів послуг</w:t>
            </w:r>
          </w:p>
        </w:tc>
        <w:tc>
          <w:tcPr>
            <w:tcW w:w="1168"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осіб/рік</w:t>
            </w:r>
          </w:p>
        </w:tc>
        <w:tc>
          <w:tcPr>
            <w:tcW w:w="2473"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5000</w:t>
            </w:r>
          </w:p>
        </w:tc>
      </w:tr>
      <w:tr w:rsidR="00E95FB1" w:rsidRPr="00C86B34" w:rsidTr="001B3967">
        <w:trPr>
          <w:trHeight w:val="544"/>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588" w:type="dxa"/>
            <w:gridSpan w:val="3"/>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Кількість проведених змагань</w:t>
            </w:r>
          </w:p>
        </w:tc>
        <w:tc>
          <w:tcPr>
            <w:tcW w:w="1168"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рік</w:t>
            </w:r>
          </w:p>
        </w:tc>
        <w:tc>
          <w:tcPr>
            <w:tcW w:w="2473"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40</w:t>
            </w:r>
          </w:p>
        </w:tc>
      </w:tr>
      <w:tr w:rsidR="00E95FB1" w:rsidRPr="00C86B34" w:rsidTr="001B3967">
        <w:trPr>
          <w:trHeight w:val="544"/>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588" w:type="dxa"/>
            <w:gridSpan w:val="3"/>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Кількість закупленого спортивного, господарського та офісного інвентаря (обладнання)</w:t>
            </w:r>
          </w:p>
        </w:tc>
        <w:tc>
          <w:tcPr>
            <w:tcW w:w="1168" w:type="dxa"/>
            <w:gridSpan w:val="2"/>
            <w:vAlign w:val="center"/>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одиниць</w:t>
            </w:r>
          </w:p>
        </w:tc>
        <w:tc>
          <w:tcPr>
            <w:tcW w:w="2473" w:type="dxa"/>
            <w:gridSpan w:val="2"/>
            <w:vAlign w:val="center"/>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727</w:t>
            </w:r>
          </w:p>
        </w:tc>
      </w:tr>
      <w:tr w:rsidR="00E95FB1" w:rsidRPr="00C86B34" w:rsidTr="001B3967">
        <w:trPr>
          <w:trHeight w:val="373"/>
        </w:trPr>
        <w:tc>
          <w:tcPr>
            <w:tcW w:w="2724" w:type="dxa"/>
            <w:tcBorders>
              <w:bottom w:val="single" w:sz="4" w:space="0" w:color="auto"/>
            </w:tcBorders>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 xml:space="preserve">Ключові заходи </w:t>
            </w:r>
            <w:proofErr w:type="spellStart"/>
            <w:r w:rsidRPr="00C86B34">
              <w:rPr>
                <w:rFonts w:eastAsia="Calibri"/>
                <w:b/>
                <w:color w:val="000000"/>
                <w:sz w:val="22"/>
              </w:rPr>
              <w:t>проєкту</w:t>
            </w:r>
            <w:proofErr w:type="spellEnd"/>
          </w:p>
        </w:tc>
        <w:tc>
          <w:tcPr>
            <w:tcW w:w="7229" w:type="dxa"/>
            <w:gridSpan w:val="7"/>
          </w:tcPr>
          <w:p w:rsidR="00E95FB1" w:rsidRPr="00C86B34" w:rsidRDefault="00E95FB1" w:rsidP="000303D7">
            <w:pPr>
              <w:numPr>
                <w:ilvl w:val="0"/>
                <w:numId w:val="42"/>
              </w:numPr>
              <w:autoSpaceDE w:val="0"/>
              <w:autoSpaceDN w:val="0"/>
              <w:adjustRightInd w:val="0"/>
              <w:ind w:left="331" w:right="112" w:hanging="284"/>
              <w:rPr>
                <w:rFonts w:eastAsia="Calibri"/>
                <w:color w:val="000000"/>
                <w:sz w:val="22"/>
              </w:rPr>
            </w:pPr>
            <w:r w:rsidRPr="00C86B34">
              <w:rPr>
                <w:rFonts w:eastAsia="Calibri"/>
                <w:color w:val="000000"/>
                <w:sz w:val="22"/>
              </w:rPr>
              <w:t>Оцінка спеціально створеною комісією завданих будівлі руйнувань (пошкоджень) та матеріальних збитків</w:t>
            </w:r>
            <w:r w:rsidR="001E4233" w:rsidRPr="00C86B34">
              <w:rPr>
                <w:rFonts w:eastAsia="Calibri"/>
                <w:color w:val="000000"/>
                <w:sz w:val="22"/>
              </w:rPr>
              <w:t>.</w:t>
            </w:r>
          </w:p>
          <w:p w:rsidR="00E95FB1" w:rsidRPr="00C86B34" w:rsidRDefault="00E95FB1" w:rsidP="000303D7">
            <w:pPr>
              <w:numPr>
                <w:ilvl w:val="0"/>
                <w:numId w:val="42"/>
              </w:numPr>
              <w:autoSpaceDE w:val="0"/>
              <w:autoSpaceDN w:val="0"/>
              <w:adjustRightInd w:val="0"/>
              <w:ind w:left="331" w:right="112" w:hanging="284"/>
              <w:rPr>
                <w:rFonts w:eastAsia="Calibri"/>
                <w:color w:val="000000"/>
                <w:sz w:val="22"/>
              </w:rPr>
            </w:pPr>
            <w:r w:rsidRPr="00C86B34">
              <w:rPr>
                <w:rFonts w:eastAsia="Calibri"/>
                <w:color w:val="000000"/>
                <w:sz w:val="22"/>
              </w:rPr>
              <w:t xml:space="preserve">Розробка </w:t>
            </w:r>
            <w:proofErr w:type="spellStart"/>
            <w:r w:rsidRPr="00C86B34">
              <w:rPr>
                <w:rFonts w:eastAsia="Calibri"/>
                <w:color w:val="000000"/>
                <w:sz w:val="22"/>
              </w:rPr>
              <w:t>проєктно</w:t>
            </w:r>
            <w:proofErr w:type="spellEnd"/>
            <w:r w:rsidRPr="00C86B34">
              <w:rPr>
                <w:rFonts w:eastAsia="Calibri"/>
                <w:color w:val="000000"/>
                <w:sz w:val="22"/>
              </w:rPr>
              <w:t>-кошторисної документації</w:t>
            </w:r>
            <w:r w:rsidR="001E4233" w:rsidRPr="00C86B34">
              <w:rPr>
                <w:rFonts w:eastAsia="Calibri"/>
                <w:color w:val="000000"/>
                <w:sz w:val="22"/>
              </w:rPr>
              <w:t>:</w:t>
            </w:r>
          </w:p>
          <w:p w:rsidR="00E95FB1" w:rsidRPr="00C86B34" w:rsidRDefault="00E95FB1" w:rsidP="000303D7">
            <w:pPr>
              <w:numPr>
                <w:ilvl w:val="0"/>
                <w:numId w:val="42"/>
              </w:numPr>
              <w:tabs>
                <w:tab w:val="left" w:pos="333"/>
              </w:tabs>
              <w:autoSpaceDE w:val="0"/>
              <w:autoSpaceDN w:val="0"/>
              <w:adjustRightInd w:val="0"/>
              <w:ind w:right="112"/>
              <w:rPr>
                <w:rFonts w:eastAsia="Calibri"/>
                <w:color w:val="000000"/>
                <w:sz w:val="22"/>
              </w:rPr>
            </w:pPr>
            <w:r w:rsidRPr="00C86B34">
              <w:rPr>
                <w:rFonts w:eastAsia="Calibri"/>
                <w:color w:val="000000"/>
                <w:sz w:val="22"/>
              </w:rPr>
              <w:t>визначення підрядної організації для проведення будівельних робіт</w:t>
            </w:r>
            <w:r w:rsidR="001E4233" w:rsidRPr="00C86B34">
              <w:rPr>
                <w:rFonts w:eastAsia="Calibri"/>
                <w:color w:val="000000"/>
                <w:sz w:val="22"/>
              </w:rPr>
              <w:t>;</w:t>
            </w:r>
          </w:p>
          <w:p w:rsidR="00E95FB1" w:rsidRPr="00C86B34" w:rsidRDefault="00E95FB1" w:rsidP="000303D7">
            <w:pPr>
              <w:numPr>
                <w:ilvl w:val="0"/>
                <w:numId w:val="42"/>
              </w:numPr>
              <w:tabs>
                <w:tab w:val="left" w:pos="333"/>
              </w:tabs>
              <w:autoSpaceDE w:val="0"/>
              <w:autoSpaceDN w:val="0"/>
              <w:adjustRightInd w:val="0"/>
              <w:ind w:right="112"/>
              <w:rPr>
                <w:rFonts w:eastAsia="Calibri"/>
                <w:color w:val="000000"/>
                <w:sz w:val="22"/>
              </w:rPr>
            </w:pPr>
            <w:r w:rsidRPr="00C86B34">
              <w:rPr>
                <w:rFonts w:eastAsia="Calibri"/>
                <w:color w:val="000000"/>
                <w:sz w:val="22"/>
              </w:rPr>
              <w:t>виконання будівельних робіт:</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rFonts w:eastAsia="Calibri"/>
                <w:color w:val="000000"/>
                <w:sz w:val="22"/>
              </w:rPr>
              <w:t>ремонт даху</w:t>
            </w:r>
            <w:r w:rsidR="001E4233" w:rsidRPr="00C86B34">
              <w:rPr>
                <w:rFonts w:eastAsia="Calibri"/>
                <w:color w:val="000000"/>
                <w:sz w:val="22"/>
              </w:rPr>
              <w:t>;</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rFonts w:eastAsia="Calibri"/>
                <w:color w:val="000000"/>
                <w:sz w:val="22"/>
              </w:rPr>
              <w:t>заміна пошкоджених вікон, дверей</w:t>
            </w:r>
            <w:r w:rsidR="001E4233" w:rsidRPr="00C86B34">
              <w:rPr>
                <w:rFonts w:eastAsia="Calibri"/>
                <w:color w:val="000000"/>
                <w:sz w:val="22"/>
              </w:rPr>
              <w:t>;</w:t>
            </w:r>
          </w:p>
          <w:p w:rsidR="00E95FB1" w:rsidRPr="00C86B34" w:rsidRDefault="00E95FB1" w:rsidP="001B3967">
            <w:pPr>
              <w:tabs>
                <w:tab w:val="left" w:pos="1012"/>
              </w:tabs>
              <w:autoSpaceDE w:val="0"/>
              <w:autoSpaceDN w:val="0"/>
              <w:adjustRightInd w:val="0"/>
              <w:ind w:left="20" w:right="112" w:firstLine="894"/>
              <w:rPr>
                <w:rFonts w:eastAsia="Calibri"/>
                <w:color w:val="000000"/>
                <w:sz w:val="22"/>
              </w:rPr>
            </w:pPr>
            <w:r w:rsidRPr="00C86B34">
              <w:rPr>
                <w:rFonts w:eastAsia="Calibri"/>
                <w:color w:val="000000"/>
                <w:sz w:val="22"/>
              </w:rPr>
              <w:t>будівництво модульної котельні</w:t>
            </w:r>
            <w:r w:rsidR="001E4233" w:rsidRPr="00C86B34">
              <w:rPr>
                <w:rFonts w:eastAsia="Calibri"/>
                <w:color w:val="000000"/>
                <w:sz w:val="22"/>
              </w:rPr>
              <w:t>;</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sz w:val="22"/>
              </w:rPr>
              <w:t>модернізація системи опалення та інженерних мереж</w:t>
            </w:r>
            <w:r w:rsidR="001E4233" w:rsidRPr="00C86B34">
              <w:rPr>
                <w:sz w:val="22"/>
              </w:rPr>
              <w:t>;</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rFonts w:eastAsia="Calibri"/>
                <w:color w:val="000000"/>
                <w:sz w:val="22"/>
              </w:rPr>
              <w:t>модернізація системи освітлення</w:t>
            </w:r>
            <w:r w:rsidR="001E4233" w:rsidRPr="00C86B34">
              <w:rPr>
                <w:rFonts w:eastAsia="Calibri"/>
                <w:color w:val="000000"/>
                <w:sz w:val="22"/>
              </w:rPr>
              <w:t>;</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rFonts w:eastAsia="Calibri"/>
                <w:color w:val="000000"/>
                <w:sz w:val="22"/>
              </w:rPr>
              <w:t>ремонт спортивного залу</w:t>
            </w:r>
            <w:r w:rsidR="001E4233" w:rsidRPr="00C86B34">
              <w:rPr>
                <w:rFonts w:eastAsia="Calibri"/>
                <w:color w:val="000000"/>
                <w:sz w:val="22"/>
              </w:rPr>
              <w:t>;</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rFonts w:eastAsia="Calibri"/>
                <w:color w:val="000000"/>
                <w:sz w:val="22"/>
              </w:rPr>
              <w:t>заміна підлогового покриття на спеціалізоване</w:t>
            </w:r>
            <w:r w:rsidR="001E4233" w:rsidRPr="00C86B34">
              <w:rPr>
                <w:rFonts w:eastAsia="Calibri"/>
                <w:color w:val="000000"/>
                <w:sz w:val="22"/>
              </w:rPr>
              <w:t>;</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sz w:val="22"/>
              </w:rPr>
              <w:t>облаштування  системи рекуперації повітря</w:t>
            </w:r>
            <w:r w:rsidR="001E4233" w:rsidRPr="00C86B34">
              <w:rPr>
                <w:sz w:val="22"/>
              </w:rPr>
              <w:t>;</w:t>
            </w:r>
          </w:p>
          <w:p w:rsidR="00E95FB1" w:rsidRPr="00C86B34" w:rsidRDefault="00E95FB1" w:rsidP="001B3967">
            <w:pPr>
              <w:tabs>
                <w:tab w:val="left" w:pos="333"/>
              </w:tabs>
              <w:autoSpaceDE w:val="0"/>
              <w:autoSpaceDN w:val="0"/>
              <w:adjustRightInd w:val="0"/>
              <w:ind w:right="112" w:firstLine="894"/>
              <w:rPr>
                <w:sz w:val="22"/>
              </w:rPr>
            </w:pPr>
            <w:r w:rsidRPr="00C86B34">
              <w:rPr>
                <w:sz w:val="22"/>
              </w:rPr>
              <w:t>ремонт приміщень (адміністративні та господарчі приміщення, коридори, сходи)</w:t>
            </w:r>
            <w:r w:rsidR="001E4233" w:rsidRPr="00C86B34">
              <w:rPr>
                <w:sz w:val="22"/>
              </w:rPr>
              <w:t>;</w:t>
            </w:r>
          </w:p>
          <w:p w:rsidR="00E95FB1" w:rsidRPr="00C86B34" w:rsidRDefault="00E95FB1" w:rsidP="001B3967">
            <w:pPr>
              <w:tabs>
                <w:tab w:val="left" w:pos="1012"/>
              </w:tabs>
              <w:autoSpaceDE w:val="0"/>
              <w:autoSpaceDN w:val="0"/>
              <w:adjustRightInd w:val="0"/>
              <w:ind w:left="870" w:right="112"/>
              <w:rPr>
                <w:rFonts w:eastAsia="Calibri"/>
                <w:color w:val="000000"/>
                <w:sz w:val="22"/>
              </w:rPr>
            </w:pPr>
            <w:r w:rsidRPr="00C86B34">
              <w:rPr>
                <w:rFonts w:eastAsia="Calibri"/>
                <w:color w:val="000000"/>
                <w:sz w:val="22"/>
              </w:rPr>
              <w:t xml:space="preserve">комплексне впровадження протипожежних заходів (встановлення протипожежної сигналізації, монтаж засобів пожежогасіння та оповіщення про пожежу і </w:t>
            </w:r>
            <w:proofErr w:type="spellStart"/>
            <w:r w:rsidRPr="00C86B34">
              <w:rPr>
                <w:rFonts w:eastAsia="Calibri"/>
                <w:color w:val="000000"/>
                <w:sz w:val="22"/>
              </w:rPr>
              <w:t>т.д</w:t>
            </w:r>
            <w:proofErr w:type="spellEnd"/>
            <w:r w:rsidRPr="00C86B34">
              <w:rPr>
                <w:rFonts w:eastAsia="Calibri"/>
                <w:color w:val="000000"/>
                <w:sz w:val="22"/>
              </w:rPr>
              <w:t>.)</w:t>
            </w:r>
            <w:r w:rsidR="001E4233" w:rsidRPr="00C86B34">
              <w:rPr>
                <w:rFonts w:eastAsia="Calibri"/>
                <w:color w:val="000000"/>
                <w:sz w:val="22"/>
              </w:rPr>
              <w:t>;</w:t>
            </w:r>
            <w:r w:rsidRPr="00C86B34">
              <w:rPr>
                <w:rFonts w:eastAsia="Calibri"/>
                <w:color w:val="000000"/>
                <w:sz w:val="22"/>
              </w:rPr>
              <w:t xml:space="preserve"> </w:t>
            </w:r>
          </w:p>
          <w:p w:rsidR="00E95FB1" w:rsidRPr="00C86B34" w:rsidRDefault="00E95FB1" w:rsidP="001B3967">
            <w:pPr>
              <w:tabs>
                <w:tab w:val="left" w:pos="333"/>
              </w:tabs>
              <w:ind w:firstLine="894"/>
              <w:rPr>
                <w:sz w:val="22"/>
              </w:rPr>
            </w:pPr>
            <w:r w:rsidRPr="00C86B34">
              <w:rPr>
                <w:sz w:val="22"/>
              </w:rPr>
              <w:t>ремонт центрального входу будівлі</w:t>
            </w:r>
            <w:r w:rsidR="001E4233" w:rsidRPr="00C86B34">
              <w:rPr>
                <w:sz w:val="22"/>
              </w:rPr>
              <w:t>;</w:t>
            </w:r>
          </w:p>
          <w:p w:rsidR="00E95FB1" w:rsidRPr="00C86B34" w:rsidRDefault="00E95FB1" w:rsidP="001B3967">
            <w:pPr>
              <w:tabs>
                <w:tab w:val="left" w:pos="333"/>
              </w:tabs>
              <w:ind w:firstLine="894"/>
              <w:rPr>
                <w:sz w:val="22"/>
              </w:rPr>
            </w:pPr>
            <w:r w:rsidRPr="00C86B34">
              <w:rPr>
                <w:sz w:val="22"/>
              </w:rPr>
              <w:t>утеплення фасаду</w:t>
            </w:r>
            <w:r w:rsidR="001E4233" w:rsidRPr="00C86B34">
              <w:rPr>
                <w:sz w:val="22"/>
              </w:rPr>
              <w:t>;</w:t>
            </w:r>
          </w:p>
          <w:p w:rsidR="00E95FB1" w:rsidRPr="00C86B34" w:rsidRDefault="00E95FB1" w:rsidP="001B3967">
            <w:pPr>
              <w:tabs>
                <w:tab w:val="left" w:pos="333"/>
              </w:tabs>
              <w:ind w:firstLine="894"/>
              <w:rPr>
                <w:sz w:val="22"/>
              </w:rPr>
            </w:pPr>
            <w:r w:rsidRPr="00C86B34">
              <w:rPr>
                <w:sz w:val="22"/>
              </w:rPr>
              <w:t xml:space="preserve">встановлення сонячних </w:t>
            </w:r>
            <w:proofErr w:type="spellStart"/>
            <w:r w:rsidRPr="00C86B34">
              <w:rPr>
                <w:sz w:val="22"/>
              </w:rPr>
              <w:t>батарей</w:t>
            </w:r>
            <w:proofErr w:type="spellEnd"/>
            <w:r w:rsidR="001E4233" w:rsidRPr="00C86B34">
              <w:rPr>
                <w:sz w:val="22"/>
              </w:rPr>
              <w:t>;</w:t>
            </w:r>
          </w:p>
          <w:p w:rsidR="00E95FB1" w:rsidRPr="00C86B34" w:rsidRDefault="00E95FB1" w:rsidP="001B3967">
            <w:pPr>
              <w:autoSpaceDE w:val="0"/>
              <w:autoSpaceDN w:val="0"/>
              <w:adjustRightInd w:val="0"/>
              <w:ind w:left="332" w:right="116" w:firstLine="562"/>
              <w:rPr>
                <w:rFonts w:eastAsia="Calibri"/>
                <w:color w:val="000000"/>
                <w:sz w:val="22"/>
              </w:rPr>
            </w:pPr>
            <w:r w:rsidRPr="00C86B34">
              <w:rPr>
                <w:rFonts w:eastAsia="Calibri"/>
                <w:color w:val="000000"/>
                <w:sz w:val="22"/>
              </w:rPr>
              <w:t>облаштування системи розумні лічильники енергоспоживання;</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sz w:val="22"/>
              </w:rPr>
              <w:t>облаштування доступу осіб з інвалідністю до спортивних залів, роздягальнь, туалетів, душових</w:t>
            </w:r>
            <w:r w:rsidR="001E4233" w:rsidRPr="00C86B34">
              <w:rPr>
                <w:sz w:val="22"/>
              </w:rPr>
              <w:t>;</w:t>
            </w:r>
          </w:p>
          <w:p w:rsidR="00E95FB1" w:rsidRPr="00C86B34" w:rsidRDefault="00E95FB1" w:rsidP="001B3967">
            <w:pPr>
              <w:autoSpaceDE w:val="0"/>
              <w:autoSpaceDN w:val="0"/>
              <w:adjustRightInd w:val="0"/>
              <w:ind w:right="116" w:firstLine="894"/>
              <w:rPr>
                <w:rFonts w:eastAsia="Calibri"/>
                <w:color w:val="000000"/>
                <w:sz w:val="22"/>
              </w:rPr>
            </w:pPr>
            <w:r w:rsidRPr="00C86B34">
              <w:rPr>
                <w:sz w:val="22"/>
              </w:rPr>
              <w:t>благоустрій прилеглої території</w:t>
            </w:r>
            <w:r w:rsidR="001E4233" w:rsidRPr="00C86B34">
              <w:rPr>
                <w:sz w:val="22"/>
              </w:rPr>
              <w:t>:</w:t>
            </w:r>
            <w:r w:rsidRPr="00C86B34">
              <w:rPr>
                <w:sz w:val="22"/>
              </w:rPr>
              <w:t xml:space="preserve"> </w:t>
            </w:r>
            <w:r w:rsidRPr="00C86B34">
              <w:rPr>
                <w:rFonts w:eastAsia="Calibri"/>
                <w:color w:val="000000"/>
                <w:sz w:val="22"/>
              </w:rPr>
              <w:t xml:space="preserve"> </w:t>
            </w:r>
          </w:p>
          <w:p w:rsidR="00E95FB1" w:rsidRPr="00C86B34" w:rsidRDefault="00E95FB1" w:rsidP="000303D7">
            <w:pPr>
              <w:numPr>
                <w:ilvl w:val="0"/>
                <w:numId w:val="48"/>
              </w:numPr>
              <w:autoSpaceDE w:val="0"/>
              <w:autoSpaceDN w:val="0"/>
              <w:adjustRightInd w:val="0"/>
              <w:ind w:left="870" w:right="116" w:hanging="543"/>
              <w:rPr>
                <w:sz w:val="22"/>
              </w:rPr>
            </w:pPr>
            <w:r w:rsidRPr="00C86B34">
              <w:rPr>
                <w:rFonts w:eastAsia="Calibri"/>
                <w:color w:val="000000"/>
                <w:sz w:val="22"/>
              </w:rPr>
              <w:t>придбання обладнання та матеріалів:</w:t>
            </w:r>
            <w:r w:rsidRPr="00C86B34">
              <w:rPr>
                <w:sz w:val="22"/>
              </w:rPr>
              <w:t xml:space="preserve"> </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rFonts w:eastAsia="Calibri"/>
                <w:color w:val="000000"/>
                <w:sz w:val="22"/>
              </w:rPr>
              <w:t>забезпечення спортивних залів сучасним спортивним інвентарем та обладнанням</w:t>
            </w:r>
            <w:r w:rsidR="001E4233" w:rsidRPr="00C86B34">
              <w:rPr>
                <w:rFonts w:eastAsia="Calibri"/>
                <w:color w:val="000000"/>
                <w:sz w:val="22"/>
              </w:rPr>
              <w:t>:</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sz w:val="22"/>
              </w:rPr>
              <w:t>придбання офісної техніки, меблів, господарчого інвентарю</w:t>
            </w:r>
            <w:r w:rsidR="001E4233" w:rsidRPr="00C86B34">
              <w:rPr>
                <w:sz w:val="22"/>
              </w:rPr>
              <w:t>;</w:t>
            </w:r>
          </w:p>
          <w:p w:rsidR="00E95FB1" w:rsidRPr="00C86B34" w:rsidRDefault="00E95FB1" w:rsidP="000303D7">
            <w:pPr>
              <w:pStyle w:val="a7"/>
              <w:numPr>
                <w:ilvl w:val="0"/>
                <w:numId w:val="30"/>
              </w:numPr>
              <w:ind w:left="469" w:firstLine="0"/>
              <w:contextualSpacing w:val="0"/>
              <w:jc w:val="left"/>
              <w:rPr>
                <w:color w:val="000000"/>
                <w:sz w:val="22"/>
              </w:rPr>
            </w:pPr>
            <w:r w:rsidRPr="00C86B34">
              <w:rPr>
                <w:rFonts w:eastAsia="Calibri"/>
                <w:color w:val="000000"/>
                <w:sz w:val="22"/>
              </w:rPr>
              <w:t>введення споруди в експлуатацію та її експлуатація за призначенням</w:t>
            </w:r>
          </w:p>
          <w:p w:rsidR="00E95FB1" w:rsidRPr="00C86B34" w:rsidRDefault="00E95FB1" w:rsidP="001B3967">
            <w:pPr>
              <w:autoSpaceDE w:val="0"/>
              <w:autoSpaceDN w:val="0"/>
              <w:adjustRightInd w:val="0"/>
              <w:ind w:left="331" w:right="112"/>
              <w:rPr>
                <w:rFonts w:eastAsia="Calibri"/>
                <w:color w:val="000000"/>
                <w:sz w:val="22"/>
              </w:rPr>
            </w:pPr>
          </w:p>
        </w:tc>
      </w:tr>
      <w:tr w:rsidR="00E95FB1" w:rsidRPr="00C86B34" w:rsidTr="001B3967">
        <w:trPr>
          <w:trHeight w:val="373"/>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 xml:space="preserve">Початок реалізації </w:t>
            </w:r>
            <w:proofErr w:type="spellStart"/>
            <w:r w:rsidRPr="00C86B34">
              <w:rPr>
                <w:rFonts w:eastAsia="Calibri"/>
                <w:b/>
                <w:color w:val="000000"/>
                <w:sz w:val="22"/>
              </w:rPr>
              <w:t>проєкту</w:t>
            </w:r>
            <w:proofErr w:type="spellEnd"/>
            <w:r w:rsidRPr="00C86B34">
              <w:rPr>
                <w:rFonts w:eastAsia="Calibri"/>
                <w:b/>
                <w:color w:val="000000"/>
                <w:sz w:val="22"/>
              </w:rPr>
              <w:t xml:space="preserve">/завершення реалізації </w:t>
            </w:r>
            <w:proofErr w:type="spellStart"/>
            <w:r w:rsidRPr="00C86B34">
              <w:rPr>
                <w:rFonts w:eastAsia="Calibri"/>
                <w:b/>
                <w:color w:val="000000"/>
                <w:sz w:val="22"/>
              </w:rPr>
              <w:t>проєкту</w:t>
            </w:r>
            <w:proofErr w:type="spellEnd"/>
            <w:r w:rsidRPr="00C86B34">
              <w:rPr>
                <w:rFonts w:eastAsia="Calibri"/>
                <w:b/>
                <w:color w:val="000000"/>
                <w:sz w:val="22"/>
              </w:rPr>
              <w:t xml:space="preserve"> (місяць, рік)</w:t>
            </w:r>
          </w:p>
        </w:tc>
        <w:tc>
          <w:tcPr>
            <w:tcW w:w="7229" w:type="dxa"/>
            <w:gridSpan w:val="7"/>
            <w:vAlign w:val="center"/>
          </w:tcPr>
          <w:p w:rsidR="00E95FB1" w:rsidRPr="00C86B34" w:rsidRDefault="00E95FB1" w:rsidP="001B3967">
            <w:pPr>
              <w:autoSpaceDE w:val="0"/>
              <w:autoSpaceDN w:val="0"/>
              <w:adjustRightInd w:val="0"/>
              <w:ind w:left="50" w:right="112"/>
              <w:rPr>
                <w:rFonts w:eastAsia="Calibri"/>
                <w:color w:val="000000"/>
                <w:sz w:val="22"/>
              </w:rPr>
            </w:pPr>
            <w:r w:rsidRPr="00C86B34">
              <w:rPr>
                <w:rFonts w:eastAsia="Calibri"/>
                <w:color w:val="000000"/>
                <w:sz w:val="22"/>
              </w:rPr>
              <w:t>03.2024/12.2024</w:t>
            </w:r>
          </w:p>
        </w:tc>
      </w:tr>
      <w:tr w:rsidR="00E95FB1" w:rsidRPr="00C86B34" w:rsidTr="001B3967">
        <w:trPr>
          <w:trHeight w:val="373"/>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Орієнтовний обсяг та джерела фінансування тис. гривень</w:t>
            </w:r>
          </w:p>
        </w:tc>
        <w:tc>
          <w:tcPr>
            <w:tcW w:w="2111"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Державний бюджет</w:t>
            </w:r>
          </w:p>
        </w:tc>
        <w:tc>
          <w:tcPr>
            <w:tcW w:w="1305"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Місцевий бюджет</w:t>
            </w:r>
          </w:p>
        </w:tc>
        <w:tc>
          <w:tcPr>
            <w:tcW w:w="2611" w:type="dxa"/>
            <w:gridSpan w:val="4"/>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Інші джерела</w:t>
            </w:r>
          </w:p>
        </w:tc>
        <w:tc>
          <w:tcPr>
            <w:tcW w:w="1202"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Всього</w:t>
            </w:r>
          </w:p>
        </w:tc>
      </w:tr>
      <w:tr w:rsidR="00E95FB1" w:rsidRPr="00C86B34" w:rsidTr="001B3967">
        <w:trPr>
          <w:trHeight w:val="373"/>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2111"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305"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306"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Обсяг</w:t>
            </w:r>
          </w:p>
        </w:tc>
        <w:tc>
          <w:tcPr>
            <w:tcW w:w="1305"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Назва джерела</w:t>
            </w:r>
          </w:p>
        </w:tc>
        <w:tc>
          <w:tcPr>
            <w:tcW w:w="1202" w:type="dxa"/>
            <w:vMerge/>
            <w:vAlign w:val="center"/>
          </w:tcPr>
          <w:p w:rsidR="00E95FB1" w:rsidRPr="00C86B34" w:rsidRDefault="00E95FB1" w:rsidP="001B3967">
            <w:pPr>
              <w:autoSpaceDE w:val="0"/>
              <w:autoSpaceDN w:val="0"/>
              <w:adjustRightInd w:val="0"/>
              <w:jc w:val="center"/>
              <w:rPr>
                <w:rFonts w:eastAsia="Calibri"/>
                <w:b/>
                <w:color w:val="000000"/>
                <w:sz w:val="22"/>
              </w:rPr>
            </w:pPr>
          </w:p>
        </w:tc>
      </w:tr>
      <w:tr w:rsidR="00E95FB1" w:rsidRPr="00C86B34" w:rsidTr="001B3967">
        <w:trPr>
          <w:trHeight w:val="373"/>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2111"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36500,0</w:t>
            </w:r>
          </w:p>
        </w:tc>
        <w:tc>
          <w:tcPr>
            <w:tcW w:w="1305" w:type="dxa"/>
          </w:tcPr>
          <w:p w:rsidR="00E95FB1" w:rsidRPr="00C86B34" w:rsidRDefault="00E95FB1" w:rsidP="001B3967">
            <w:pPr>
              <w:autoSpaceDE w:val="0"/>
              <w:autoSpaceDN w:val="0"/>
              <w:adjustRightInd w:val="0"/>
              <w:jc w:val="center"/>
              <w:rPr>
                <w:rFonts w:eastAsia="Calibri"/>
                <w:color w:val="000000"/>
                <w:sz w:val="22"/>
              </w:rPr>
            </w:pPr>
          </w:p>
        </w:tc>
        <w:tc>
          <w:tcPr>
            <w:tcW w:w="1306" w:type="dxa"/>
            <w:gridSpan w:val="2"/>
          </w:tcPr>
          <w:p w:rsidR="00E95FB1" w:rsidRPr="00C86B34" w:rsidRDefault="00E95FB1" w:rsidP="001B3967">
            <w:pPr>
              <w:autoSpaceDE w:val="0"/>
              <w:autoSpaceDN w:val="0"/>
              <w:adjustRightInd w:val="0"/>
              <w:jc w:val="center"/>
              <w:rPr>
                <w:rFonts w:eastAsia="Calibri"/>
                <w:color w:val="000000"/>
                <w:sz w:val="22"/>
              </w:rPr>
            </w:pPr>
          </w:p>
        </w:tc>
        <w:tc>
          <w:tcPr>
            <w:tcW w:w="1305" w:type="dxa"/>
            <w:gridSpan w:val="2"/>
          </w:tcPr>
          <w:p w:rsidR="00E95FB1" w:rsidRPr="00C86B34" w:rsidRDefault="00E95FB1" w:rsidP="001B3967">
            <w:pPr>
              <w:autoSpaceDE w:val="0"/>
              <w:autoSpaceDN w:val="0"/>
              <w:adjustRightInd w:val="0"/>
              <w:jc w:val="center"/>
              <w:rPr>
                <w:rFonts w:eastAsia="Calibri"/>
                <w:color w:val="000000"/>
                <w:sz w:val="22"/>
              </w:rPr>
            </w:pPr>
          </w:p>
        </w:tc>
        <w:tc>
          <w:tcPr>
            <w:tcW w:w="1202"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36500,0</w:t>
            </w:r>
          </w:p>
        </w:tc>
      </w:tr>
      <w:tr w:rsidR="00E95FB1" w:rsidRPr="00C86B34" w:rsidTr="001B3967">
        <w:trPr>
          <w:trHeight w:val="373"/>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Відповідальний виконавець від ОМС</w:t>
            </w:r>
          </w:p>
        </w:tc>
        <w:tc>
          <w:tcPr>
            <w:tcW w:w="7229" w:type="dxa"/>
            <w:gridSpan w:val="7"/>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Сєвєродонецька міська ВА, Відділ молоді та спорту Сєвєродонецької міської ВА</w:t>
            </w:r>
          </w:p>
        </w:tc>
      </w:tr>
      <w:tr w:rsidR="00E95FB1" w:rsidRPr="00C86B34" w:rsidTr="001B3967">
        <w:trPr>
          <w:trHeight w:val="373"/>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b/>
                <w:sz w:val="22"/>
              </w:rPr>
              <w:t xml:space="preserve">Ключові потенційні учасники </w:t>
            </w:r>
            <w:proofErr w:type="spellStart"/>
            <w:r w:rsidRPr="00C86B34">
              <w:rPr>
                <w:b/>
                <w:sz w:val="22"/>
              </w:rPr>
              <w:t>проєкту</w:t>
            </w:r>
            <w:proofErr w:type="spellEnd"/>
          </w:p>
        </w:tc>
        <w:tc>
          <w:tcPr>
            <w:tcW w:w="7229" w:type="dxa"/>
            <w:gridSpan w:val="7"/>
          </w:tcPr>
          <w:p w:rsidR="00E95FB1" w:rsidRPr="00C86B34" w:rsidRDefault="00E95FB1" w:rsidP="000303D7">
            <w:pPr>
              <w:numPr>
                <w:ilvl w:val="0"/>
                <w:numId w:val="47"/>
              </w:numPr>
              <w:ind w:left="332" w:hanging="283"/>
              <w:jc w:val="left"/>
              <w:rPr>
                <w:sz w:val="22"/>
              </w:rPr>
            </w:pPr>
            <w:r w:rsidRPr="00C86B34">
              <w:rPr>
                <w:sz w:val="22"/>
              </w:rPr>
              <w:t>Військова адміністрація міста Сєвєродонецьк;</w:t>
            </w:r>
          </w:p>
          <w:p w:rsidR="00E95FB1" w:rsidRPr="00C86B34" w:rsidRDefault="00E95FB1" w:rsidP="000303D7">
            <w:pPr>
              <w:numPr>
                <w:ilvl w:val="0"/>
                <w:numId w:val="47"/>
              </w:numPr>
              <w:ind w:left="332" w:hanging="283"/>
              <w:jc w:val="left"/>
              <w:rPr>
                <w:sz w:val="22"/>
              </w:rPr>
            </w:pPr>
            <w:r w:rsidRPr="00C86B34">
              <w:rPr>
                <w:sz w:val="22"/>
              </w:rPr>
              <w:t>Міжнародні донорські організації (інвестори);</w:t>
            </w:r>
          </w:p>
          <w:p w:rsidR="00E95FB1" w:rsidRPr="00C86B34" w:rsidRDefault="00E95FB1" w:rsidP="000303D7">
            <w:pPr>
              <w:numPr>
                <w:ilvl w:val="0"/>
                <w:numId w:val="47"/>
              </w:numPr>
              <w:ind w:left="332" w:hanging="283"/>
              <w:jc w:val="left"/>
              <w:rPr>
                <w:sz w:val="22"/>
              </w:rPr>
            </w:pPr>
            <w:r w:rsidRPr="00C86B34">
              <w:rPr>
                <w:sz w:val="22"/>
              </w:rPr>
              <w:t xml:space="preserve">Відділ капітального будівництва військової адміністрації міста; </w:t>
            </w:r>
          </w:p>
          <w:p w:rsidR="00E95FB1" w:rsidRPr="00C86B34" w:rsidRDefault="00E95FB1" w:rsidP="000303D7">
            <w:pPr>
              <w:numPr>
                <w:ilvl w:val="0"/>
                <w:numId w:val="47"/>
              </w:numPr>
              <w:ind w:left="332" w:hanging="283"/>
              <w:jc w:val="left"/>
              <w:rPr>
                <w:sz w:val="22"/>
              </w:rPr>
            </w:pPr>
            <w:r w:rsidRPr="00C86B34">
              <w:rPr>
                <w:sz w:val="22"/>
              </w:rPr>
              <w:lastRenderedPageBreak/>
              <w:t>Підрядна організація - переможець тендеру, виконавець будівельно-монтажних робіт;</w:t>
            </w:r>
          </w:p>
          <w:p w:rsidR="00E95FB1" w:rsidRPr="00C86B34" w:rsidRDefault="00E95FB1" w:rsidP="000303D7">
            <w:pPr>
              <w:numPr>
                <w:ilvl w:val="0"/>
                <w:numId w:val="47"/>
              </w:numPr>
              <w:ind w:left="332" w:hanging="283"/>
              <w:jc w:val="left"/>
              <w:rPr>
                <w:sz w:val="22"/>
              </w:rPr>
            </w:pPr>
            <w:r w:rsidRPr="00C86B34">
              <w:rPr>
                <w:sz w:val="22"/>
              </w:rPr>
              <w:t>Обласна державна адміністрація.</w:t>
            </w:r>
          </w:p>
        </w:tc>
      </w:tr>
    </w:tbl>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tbl>
      <w:tblPr>
        <w:tblpPr w:leftFromText="180" w:rightFromText="180" w:vertAnchor="text" w:horzAnchor="page" w:tblpX="1397" w:tblpY="123"/>
        <w:tblW w:w="9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724"/>
        <w:gridCol w:w="2111"/>
        <w:gridCol w:w="1305"/>
        <w:gridCol w:w="171"/>
        <w:gridCol w:w="1135"/>
        <w:gridCol w:w="34"/>
        <w:gridCol w:w="1271"/>
        <w:gridCol w:w="1202"/>
      </w:tblGrid>
      <w:tr w:rsidR="00E95FB1" w:rsidRPr="00C86B34" w:rsidTr="001B3967">
        <w:trPr>
          <w:trHeight w:val="407"/>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Оперативна ціль/завдання</w:t>
            </w:r>
          </w:p>
        </w:tc>
        <w:tc>
          <w:tcPr>
            <w:tcW w:w="7229" w:type="dxa"/>
            <w:gridSpan w:val="7"/>
          </w:tcPr>
          <w:p w:rsidR="00E95FB1" w:rsidRPr="00C86B34" w:rsidRDefault="001E4233" w:rsidP="001B3967">
            <w:pPr>
              <w:pStyle w:val="a7"/>
              <w:ind w:left="0"/>
              <w:rPr>
                <w:sz w:val="22"/>
              </w:rPr>
            </w:pPr>
            <w:r w:rsidRPr="00C86B34">
              <w:rPr>
                <w:rFonts w:eastAsia="Arial"/>
                <w:sz w:val="22"/>
              </w:rPr>
              <w:t xml:space="preserve">Людський розвиток </w:t>
            </w:r>
            <w:r w:rsidR="00E95FB1" w:rsidRPr="00C86B34">
              <w:rPr>
                <w:rFonts w:eastAsia="Arial"/>
                <w:sz w:val="22"/>
              </w:rPr>
              <w:t>через інновації управління та довіру до влади</w:t>
            </w:r>
          </w:p>
          <w:p w:rsidR="00E95FB1" w:rsidRPr="00C86B34" w:rsidRDefault="00E95FB1" w:rsidP="001B3967">
            <w:pPr>
              <w:autoSpaceDE w:val="0"/>
              <w:autoSpaceDN w:val="0"/>
              <w:adjustRightInd w:val="0"/>
              <w:ind w:left="49" w:right="116"/>
              <w:rPr>
                <w:rFonts w:eastAsia="Calibri"/>
                <w:color w:val="000000"/>
                <w:sz w:val="22"/>
              </w:rPr>
            </w:pPr>
            <w:r w:rsidRPr="00C86B34">
              <w:rPr>
                <w:rFonts w:eastAsia="Arial"/>
                <w:sz w:val="22"/>
              </w:rPr>
              <w:t xml:space="preserve">Формування сучасного інклюзивного </w:t>
            </w:r>
            <w:proofErr w:type="spellStart"/>
            <w:r w:rsidRPr="00C86B34">
              <w:rPr>
                <w:rFonts w:eastAsia="Arial"/>
                <w:sz w:val="22"/>
              </w:rPr>
              <w:t>освітньо</w:t>
            </w:r>
            <w:proofErr w:type="spellEnd"/>
            <w:r w:rsidRPr="00C86B34">
              <w:rPr>
                <w:rFonts w:eastAsia="Arial"/>
                <w:sz w:val="22"/>
              </w:rPr>
              <w:t xml:space="preserve"> – культурного та спортивного простору для розвитку</w:t>
            </w:r>
          </w:p>
        </w:tc>
      </w:tr>
      <w:tr w:rsidR="00E95FB1" w:rsidRPr="00C86B34" w:rsidTr="001B3967">
        <w:trPr>
          <w:trHeight w:val="439"/>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 xml:space="preserve">Назва </w:t>
            </w:r>
            <w:proofErr w:type="spellStart"/>
            <w:r w:rsidRPr="00C86B34">
              <w:rPr>
                <w:rFonts w:eastAsia="Calibri"/>
                <w:b/>
                <w:color w:val="000000"/>
                <w:sz w:val="22"/>
              </w:rPr>
              <w:t>проєкту</w:t>
            </w:r>
            <w:proofErr w:type="spellEnd"/>
          </w:p>
        </w:tc>
        <w:tc>
          <w:tcPr>
            <w:tcW w:w="7229" w:type="dxa"/>
            <w:gridSpan w:val="7"/>
          </w:tcPr>
          <w:p w:rsidR="00E95FB1" w:rsidRPr="00C86B34" w:rsidRDefault="00E95FB1" w:rsidP="001E4233">
            <w:pPr>
              <w:autoSpaceDE w:val="0"/>
              <w:autoSpaceDN w:val="0"/>
              <w:adjustRightInd w:val="0"/>
              <w:ind w:left="49" w:right="116"/>
              <w:rPr>
                <w:rFonts w:eastAsia="Calibri"/>
                <w:color w:val="000000"/>
                <w:sz w:val="22"/>
              </w:rPr>
            </w:pPr>
            <w:r w:rsidRPr="00C86B34">
              <w:rPr>
                <w:sz w:val="22"/>
              </w:rPr>
              <w:t xml:space="preserve">Реконструкція будівлі ДЮСШ водних видів спорту «Садко» </w:t>
            </w:r>
            <w:r w:rsidRPr="00C86B34">
              <w:rPr>
                <w:rFonts w:eastAsia="Calibri"/>
                <w:color w:val="000000"/>
                <w:sz w:val="22"/>
              </w:rPr>
              <w:t xml:space="preserve"> міста Сєвєродонецьк Луганської області</w:t>
            </w:r>
            <w:r w:rsidRPr="00C86B34">
              <w:rPr>
                <w:sz w:val="22"/>
              </w:rPr>
              <w:t xml:space="preserve"> </w:t>
            </w:r>
            <w:r w:rsidRPr="00C86B34">
              <w:rPr>
                <w:rFonts w:eastAsia="Calibri"/>
                <w:color w:val="000000"/>
                <w:sz w:val="22"/>
              </w:rPr>
              <w:t xml:space="preserve">за </w:t>
            </w:r>
            <w:proofErr w:type="spellStart"/>
            <w:r w:rsidRPr="00C86B34">
              <w:rPr>
                <w:rFonts w:eastAsia="Calibri"/>
                <w:color w:val="000000"/>
                <w:sz w:val="22"/>
              </w:rPr>
              <w:t>адресою</w:t>
            </w:r>
            <w:proofErr w:type="spellEnd"/>
            <w:r w:rsidRPr="00C86B34">
              <w:rPr>
                <w:rFonts w:eastAsia="Calibri"/>
                <w:color w:val="000000"/>
                <w:sz w:val="22"/>
              </w:rPr>
              <w:t>:</w:t>
            </w:r>
            <w:r w:rsidRPr="00C86B34">
              <w:rPr>
                <w:rStyle w:val="2244"/>
                <w:sz w:val="22"/>
              </w:rPr>
              <w:t xml:space="preserve"> вул. Маяковського</w:t>
            </w:r>
            <w:r w:rsidR="001E4233" w:rsidRPr="00C86B34">
              <w:rPr>
                <w:rStyle w:val="2244"/>
                <w:sz w:val="22"/>
              </w:rPr>
              <w:t>,</w:t>
            </w:r>
            <w:r w:rsidRPr="00C86B34">
              <w:rPr>
                <w:rStyle w:val="2244"/>
                <w:sz w:val="22"/>
              </w:rPr>
              <w:t>19-А</w:t>
            </w:r>
            <w:r w:rsidRPr="00C86B34">
              <w:rPr>
                <w:sz w:val="22"/>
              </w:rPr>
              <w:t xml:space="preserve">.  </w:t>
            </w:r>
          </w:p>
        </w:tc>
      </w:tr>
      <w:tr w:rsidR="00E95FB1" w:rsidRPr="00C86B34" w:rsidTr="001B3967">
        <w:trPr>
          <w:trHeight w:val="522"/>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 xml:space="preserve">Цілі </w:t>
            </w:r>
            <w:proofErr w:type="spellStart"/>
            <w:r w:rsidRPr="00C86B34">
              <w:rPr>
                <w:rFonts w:eastAsia="Calibri"/>
                <w:b/>
                <w:color w:val="000000"/>
                <w:sz w:val="22"/>
              </w:rPr>
              <w:t>проєкту</w:t>
            </w:r>
            <w:proofErr w:type="spellEnd"/>
          </w:p>
        </w:tc>
        <w:tc>
          <w:tcPr>
            <w:tcW w:w="7229" w:type="dxa"/>
            <w:gridSpan w:val="7"/>
          </w:tcPr>
          <w:p w:rsidR="00E95FB1" w:rsidRPr="00C86B34" w:rsidRDefault="00E95FB1" w:rsidP="001B3967">
            <w:pPr>
              <w:pStyle w:val="rvps2"/>
              <w:shd w:val="clear" w:color="auto" w:fill="FFFFFF"/>
              <w:spacing w:before="0" w:beforeAutospacing="0" w:after="0" w:afterAutospacing="0"/>
              <w:jc w:val="both"/>
              <w:rPr>
                <w:sz w:val="22"/>
                <w:lang w:val="uk-UA"/>
              </w:rPr>
            </w:pPr>
            <w:r w:rsidRPr="00C86B34">
              <w:rPr>
                <w:sz w:val="22"/>
                <w:lang w:val="uk-UA"/>
              </w:rPr>
              <w:t xml:space="preserve">Відновлення навчально-тренувального процесу в спеціалізованому навчальному закладі вищої категорії з підводного спорту: плавання в ластах та підводне орієнтування. </w:t>
            </w:r>
          </w:p>
          <w:p w:rsidR="00E95FB1" w:rsidRPr="00C86B34" w:rsidRDefault="00E95FB1" w:rsidP="001B3967">
            <w:pPr>
              <w:pStyle w:val="rvps2"/>
              <w:shd w:val="clear" w:color="auto" w:fill="FFFFFF"/>
              <w:spacing w:before="0" w:beforeAutospacing="0" w:after="0" w:afterAutospacing="0"/>
              <w:jc w:val="both"/>
              <w:rPr>
                <w:sz w:val="22"/>
                <w:lang w:val="uk-UA"/>
              </w:rPr>
            </w:pPr>
            <w:r w:rsidRPr="00C86B34">
              <w:rPr>
                <w:sz w:val="22"/>
                <w:lang w:val="uk-UA"/>
              </w:rPr>
              <w:t>Проведення занять на власній спортивній базі, підготовка спортсменів до спорту вищих досягнень, забезпечення необхідних умов для проведення повноцінних тренувань спортсменів відповідно до міжнародних стандартів;</w:t>
            </w:r>
          </w:p>
          <w:p w:rsidR="00E95FB1" w:rsidRPr="00C86B34" w:rsidRDefault="00E95FB1" w:rsidP="00A02D2A">
            <w:pPr>
              <w:autoSpaceDE w:val="0"/>
              <w:autoSpaceDN w:val="0"/>
              <w:adjustRightInd w:val="0"/>
              <w:ind w:left="111" w:right="116" w:firstLine="216"/>
              <w:jc w:val="left"/>
              <w:rPr>
                <w:rFonts w:eastAsia="Calibri"/>
                <w:color w:val="000000"/>
                <w:sz w:val="22"/>
              </w:rPr>
            </w:pPr>
            <w:r w:rsidRPr="00C86B34">
              <w:rPr>
                <w:sz w:val="22"/>
                <w:shd w:val="clear" w:color="auto" w:fill="FFFFFF"/>
              </w:rPr>
              <w:t xml:space="preserve">Забезпечення комфортних умов для </w:t>
            </w:r>
            <w:r w:rsidRPr="00C86B34">
              <w:rPr>
                <w:sz w:val="22"/>
              </w:rPr>
              <w:t>залучення широких верств населення до масового спорту, включаючи осіб з особливими потребами. Популяризації здорового способу життя та фізичної реабілітації;</w:t>
            </w:r>
          </w:p>
        </w:tc>
      </w:tr>
      <w:tr w:rsidR="00E95FB1" w:rsidRPr="00C86B34" w:rsidTr="001B3967">
        <w:trPr>
          <w:trHeight w:val="439"/>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 xml:space="preserve">Територія, на яку матиме вплив реалізація </w:t>
            </w:r>
            <w:proofErr w:type="spellStart"/>
            <w:r w:rsidRPr="00C86B34">
              <w:rPr>
                <w:rFonts w:eastAsia="Calibri"/>
                <w:b/>
                <w:color w:val="000000"/>
                <w:sz w:val="22"/>
              </w:rPr>
              <w:t>проєкту</w:t>
            </w:r>
            <w:proofErr w:type="spellEnd"/>
          </w:p>
        </w:tc>
        <w:tc>
          <w:tcPr>
            <w:tcW w:w="7229" w:type="dxa"/>
            <w:gridSpan w:val="7"/>
          </w:tcPr>
          <w:p w:rsidR="00E95FB1" w:rsidRPr="00C86B34" w:rsidRDefault="00E95FB1" w:rsidP="001B3967">
            <w:pPr>
              <w:autoSpaceDE w:val="0"/>
              <w:autoSpaceDN w:val="0"/>
              <w:adjustRightInd w:val="0"/>
              <w:ind w:left="49" w:right="116"/>
              <w:rPr>
                <w:rFonts w:eastAsia="Calibri"/>
                <w:color w:val="000000"/>
                <w:sz w:val="22"/>
              </w:rPr>
            </w:pPr>
            <w:r w:rsidRPr="00C86B34">
              <w:rPr>
                <w:rFonts w:eastAsia="Calibri"/>
                <w:sz w:val="22"/>
              </w:rPr>
              <w:t>Сєвєродонецька міська територіальна громада</w:t>
            </w:r>
          </w:p>
        </w:tc>
      </w:tr>
      <w:tr w:rsidR="00E95FB1" w:rsidRPr="00C86B34" w:rsidTr="001B3967">
        <w:trPr>
          <w:trHeight w:val="879"/>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 xml:space="preserve">Чисельність населення, на яке матиме вплив реалізація </w:t>
            </w:r>
            <w:proofErr w:type="spellStart"/>
            <w:r w:rsidRPr="00C86B34">
              <w:rPr>
                <w:rFonts w:eastAsia="Calibri"/>
                <w:b/>
                <w:color w:val="000000"/>
                <w:sz w:val="22"/>
              </w:rPr>
              <w:t>проєкту</w:t>
            </w:r>
            <w:proofErr w:type="spellEnd"/>
          </w:p>
        </w:tc>
        <w:tc>
          <w:tcPr>
            <w:tcW w:w="7229" w:type="dxa"/>
            <w:gridSpan w:val="7"/>
          </w:tcPr>
          <w:p w:rsidR="00E95FB1" w:rsidRPr="00C86B34" w:rsidRDefault="00E95FB1" w:rsidP="00A02D2A">
            <w:pPr>
              <w:autoSpaceDE w:val="0"/>
              <w:autoSpaceDN w:val="0"/>
              <w:adjustRightInd w:val="0"/>
              <w:ind w:left="49" w:right="116"/>
              <w:rPr>
                <w:rFonts w:eastAsia="Calibri"/>
                <w:color w:val="000000"/>
                <w:sz w:val="22"/>
              </w:rPr>
            </w:pPr>
            <w:r w:rsidRPr="00C86B34">
              <w:rPr>
                <w:rFonts w:eastAsia="Calibri"/>
                <w:color w:val="000000"/>
                <w:sz w:val="22"/>
              </w:rPr>
              <w:t xml:space="preserve">70 </w:t>
            </w:r>
            <w:r w:rsidR="00A02D2A" w:rsidRPr="00C86B34">
              <w:rPr>
                <w:rFonts w:eastAsia="Calibri"/>
                <w:color w:val="000000"/>
                <w:sz w:val="22"/>
              </w:rPr>
              <w:t>000</w:t>
            </w:r>
          </w:p>
        </w:tc>
      </w:tr>
      <w:tr w:rsidR="00E95FB1" w:rsidRPr="00C86B34" w:rsidTr="001B3967">
        <w:trPr>
          <w:trHeight w:val="473"/>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 xml:space="preserve">Опис проблеми, на вирішення якої спрямований </w:t>
            </w:r>
            <w:proofErr w:type="spellStart"/>
            <w:r w:rsidRPr="00C86B34">
              <w:rPr>
                <w:rFonts w:eastAsia="Calibri"/>
                <w:b/>
                <w:color w:val="000000"/>
                <w:sz w:val="22"/>
              </w:rPr>
              <w:t>проєкт</w:t>
            </w:r>
            <w:proofErr w:type="spellEnd"/>
          </w:p>
        </w:tc>
        <w:tc>
          <w:tcPr>
            <w:tcW w:w="7229" w:type="dxa"/>
            <w:gridSpan w:val="7"/>
          </w:tcPr>
          <w:p w:rsidR="00E95FB1" w:rsidRPr="00C86B34" w:rsidRDefault="00E95FB1" w:rsidP="001B3967">
            <w:pPr>
              <w:autoSpaceDE w:val="0"/>
              <w:autoSpaceDN w:val="0"/>
              <w:adjustRightInd w:val="0"/>
              <w:rPr>
                <w:sz w:val="22"/>
              </w:rPr>
            </w:pPr>
            <w:r w:rsidRPr="00C86B34">
              <w:rPr>
                <w:sz w:val="22"/>
              </w:rPr>
              <w:t>Пошкодження нанесені басейну ДЮСШ ВВС «Садко» унеможливлює його використання за прямим призначенням, тому що:</w:t>
            </w:r>
          </w:p>
          <w:p w:rsidR="00E95FB1" w:rsidRPr="00C86B34" w:rsidRDefault="00E95FB1" w:rsidP="001B3967">
            <w:pPr>
              <w:autoSpaceDE w:val="0"/>
              <w:autoSpaceDN w:val="0"/>
              <w:adjustRightInd w:val="0"/>
              <w:rPr>
                <w:rFonts w:eastAsia="Calibri"/>
                <w:sz w:val="22"/>
              </w:rPr>
            </w:pPr>
            <w:r w:rsidRPr="00C86B34">
              <w:rPr>
                <w:rFonts w:eastAsia="Calibri"/>
                <w:sz w:val="22"/>
              </w:rPr>
              <w:t>пошкоджений дах будівлі (зі сторони спортивної зали);</w:t>
            </w:r>
          </w:p>
          <w:p w:rsidR="00E95FB1" w:rsidRPr="00C86B34" w:rsidRDefault="00E95FB1" w:rsidP="001B3967">
            <w:pPr>
              <w:autoSpaceDE w:val="0"/>
              <w:autoSpaceDN w:val="0"/>
              <w:adjustRightInd w:val="0"/>
              <w:rPr>
                <w:rFonts w:eastAsia="Calibri"/>
                <w:sz w:val="22"/>
              </w:rPr>
            </w:pPr>
            <w:r w:rsidRPr="00C86B34">
              <w:rPr>
                <w:rFonts w:eastAsia="Calibri"/>
                <w:sz w:val="22"/>
              </w:rPr>
              <w:t>пошкоджені вікна будівлі;</w:t>
            </w:r>
          </w:p>
          <w:p w:rsidR="00E95FB1" w:rsidRPr="00C86B34" w:rsidRDefault="00E95FB1" w:rsidP="001B3967">
            <w:pPr>
              <w:autoSpaceDE w:val="0"/>
              <w:autoSpaceDN w:val="0"/>
              <w:adjustRightInd w:val="0"/>
              <w:rPr>
                <w:rFonts w:eastAsia="Calibri"/>
                <w:sz w:val="22"/>
              </w:rPr>
            </w:pPr>
            <w:r w:rsidRPr="00C86B34">
              <w:rPr>
                <w:rFonts w:eastAsia="Calibri"/>
                <w:sz w:val="22"/>
              </w:rPr>
              <w:t>пробоїна в стіні ванної басейну</w:t>
            </w:r>
            <w:r w:rsidR="00A02D2A" w:rsidRPr="00C86B34">
              <w:rPr>
                <w:rFonts w:eastAsia="Calibri"/>
                <w:sz w:val="22"/>
              </w:rPr>
              <w:t>,</w:t>
            </w:r>
            <w:r w:rsidRPr="00C86B34">
              <w:rPr>
                <w:rFonts w:eastAsia="Calibri"/>
                <w:sz w:val="22"/>
              </w:rPr>
              <w:t xml:space="preserve"> повністю зруйновано приміщення спортивної зали (тренажерний зал разом з усім спортивним обладнанням), сауна та масажний кабінет;</w:t>
            </w:r>
          </w:p>
          <w:p w:rsidR="00E95FB1" w:rsidRPr="00C86B34" w:rsidRDefault="00E95FB1" w:rsidP="001B3967">
            <w:pPr>
              <w:autoSpaceDE w:val="0"/>
              <w:autoSpaceDN w:val="0"/>
              <w:adjustRightInd w:val="0"/>
              <w:rPr>
                <w:rFonts w:eastAsia="Calibri"/>
                <w:sz w:val="22"/>
              </w:rPr>
            </w:pPr>
            <w:r w:rsidRPr="00C86B34">
              <w:rPr>
                <w:rFonts w:eastAsia="Calibri"/>
                <w:sz w:val="22"/>
              </w:rPr>
              <w:t>пошкоджено чоловічу та жіночу душові;</w:t>
            </w:r>
          </w:p>
          <w:p w:rsidR="00E95FB1" w:rsidRPr="00C86B34" w:rsidRDefault="00E95FB1" w:rsidP="001B3967">
            <w:pPr>
              <w:autoSpaceDE w:val="0"/>
              <w:autoSpaceDN w:val="0"/>
              <w:adjustRightInd w:val="0"/>
              <w:rPr>
                <w:rFonts w:eastAsia="Calibri"/>
                <w:sz w:val="22"/>
              </w:rPr>
            </w:pPr>
            <w:r w:rsidRPr="00C86B34">
              <w:rPr>
                <w:rFonts w:eastAsia="Calibri"/>
                <w:sz w:val="22"/>
              </w:rPr>
              <w:t xml:space="preserve">пошкоджено комунікації: водопровідна, каналізаційна та вентиляційна системи, системи </w:t>
            </w:r>
            <w:proofErr w:type="spellStart"/>
            <w:r w:rsidRPr="00C86B34">
              <w:rPr>
                <w:rFonts w:eastAsia="Calibri"/>
                <w:sz w:val="22"/>
              </w:rPr>
              <w:t>електро</w:t>
            </w:r>
            <w:proofErr w:type="spellEnd"/>
            <w:r w:rsidRPr="00C86B34">
              <w:rPr>
                <w:rFonts w:eastAsia="Calibri"/>
                <w:sz w:val="22"/>
              </w:rPr>
              <w:t>-</w:t>
            </w:r>
            <w:r w:rsidR="00A02D2A" w:rsidRPr="00C86B34">
              <w:rPr>
                <w:rFonts w:eastAsia="Calibri"/>
                <w:sz w:val="22"/>
              </w:rPr>
              <w:t xml:space="preserve">, </w:t>
            </w:r>
            <w:r w:rsidRPr="00C86B34">
              <w:rPr>
                <w:rFonts w:eastAsia="Calibri"/>
                <w:sz w:val="22"/>
              </w:rPr>
              <w:t xml:space="preserve">газопостачання, опалення, фільтрації та підігріву води в басейні тощо;                                       </w:t>
            </w:r>
          </w:p>
          <w:p w:rsidR="00E95FB1" w:rsidRPr="00C86B34" w:rsidRDefault="00E95FB1" w:rsidP="001B3967">
            <w:pPr>
              <w:autoSpaceDE w:val="0"/>
              <w:autoSpaceDN w:val="0"/>
              <w:adjustRightInd w:val="0"/>
              <w:ind w:left="49" w:right="116"/>
              <w:rPr>
                <w:rFonts w:eastAsia="Calibri"/>
                <w:color w:val="000000"/>
                <w:sz w:val="22"/>
              </w:rPr>
            </w:pPr>
            <w:r w:rsidRPr="00C86B34">
              <w:rPr>
                <w:rFonts w:eastAsia="Calibri"/>
                <w:sz w:val="22"/>
              </w:rPr>
              <w:t>кабінети, підсобні та складські приміщення закладу розграбовано.</w:t>
            </w:r>
          </w:p>
        </w:tc>
      </w:tr>
      <w:tr w:rsidR="00E95FB1" w:rsidRPr="00C86B34" w:rsidTr="001B3967">
        <w:trPr>
          <w:trHeight w:val="415"/>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 xml:space="preserve">Очікувані якісні результати від реалізації </w:t>
            </w:r>
            <w:proofErr w:type="spellStart"/>
            <w:r w:rsidRPr="00C86B34">
              <w:rPr>
                <w:rFonts w:eastAsia="Calibri"/>
                <w:b/>
                <w:color w:val="000000"/>
                <w:sz w:val="22"/>
              </w:rPr>
              <w:t>проєкту</w:t>
            </w:r>
            <w:proofErr w:type="spellEnd"/>
          </w:p>
        </w:tc>
        <w:tc>
          <w:tcPr>
            <w:tcW w:w="7229" w:type="dxa"/>
            <w:gridSpan w:val="7"/>
          </w:tcPr>
          <w:p w:rsidR="00E95FB1" w:rsidRPr="00C86B34" w:rsidRDefault="00E95FB1" w:rsidP="001B3967">
            <w:pPr>
              <w:rPr>
                <w:sz w:val="22"/>
              </w:rPr>
            </w:pPr>
            <w:r w:rsidRPr="00C86B34">
              <w:rPr>
                <w:sz w:val="22"/>
              </w:rPr>
              <w:t xml:space="preserve">Комфортний 25-метровий басейн, який </w:t>
            </w:r>
            <w:proofErr w:type="spellStart"/>
            <w:r w:rsidRPr="00C86B34">
              <w:rPr>
                <w:sz w:val="22"/>
              </w:rPr>
              <w:t>надасть</w:t>
            </w:r>
            <w:proofErr w:type="spellEnd"/>
            <w:r w:rsidRPr="00C86B34">
              <w:rPr>
                <w:sz w:val="22"/>
              </w:rPr>
              <w:t xml:space="preserve"> можливість:</w:t>
            </w:r>
          </w:p>
          <w:p w:rsidR="00E95FB1" w:rsidRPr="00C86B34" w:rsidRDefault="00E95FB1" w:rsidP="001B3967">
            <w:pPr>
              <w:rPr>
                <w:sz w:val="22"/>
              </w:rPr>
            </w:pPr>
            <w:r w:rsidRPr="00C86B34">
              <w:rPr>
                <w:sz w:val="22"/>
              </w:rPr>
              <w:t>відновити роботу ДЮСШ водних видів спорту;</w:t>
            </w:r>
          </w:p>
          <w:p w:rsidR="00E95FB1" w:rsidRPr="00C86B34" w:rsidRDefault="00E95FB1" w:rsidP="001B3967">
            <w:pPr>
              <w:rPr>
                <w:sz w:val="22"/>
              </w:rPr>
            </w:pPr>
            <w:r w:rsidRPr="00C86B34">
              <w:rPr>
                <w:sz w:val="22"/>
              </w:rPr>
              <w:t>відновлення роботи програми з навчання плаванню учнів навчальних (2-3) класів громади;</w:t>
            </w:r>
          </w:p>
          <w:p w:rsidR="00E95FB1" w:rsidRPr="00C86B34" w:rsidRDefault="00E95FB1" w:rsidP="001B3967">
            <w:pPr>
              <w:rPr>
                <w:sz w:val="22"/>
              </w:rPr>
            </w:pPr>
            <w:r w:rsidRPr="00C86B34">
              <w:rPr>
                <w:sz w:val="22"/>
              </w:rPr>
              <w:t>готувати спортсменів високого класу, здатних захищати честь громади, області і країни на змаганнях різного масштабу;</w:t>
            </w:r>
          </w:p>
          <w:p w:rsidR="00E95FB1" w:rsidRPr="00C86B34" w:rsidRDefault="00E95FB1" w:rsidP="001B3967">
            <w:pPr>
              <w:rPr>
                <w:sz w:val="22"/>
              </w:rPr>
            </w:pPr>
            <w:r w:rsidRPr="00C86B34">
              <w:rPr>
                <w:sz w:val="22"/>
              </w:rPr>
              <w:t>збільшення відвідувачів в спортивно-оздоровчих групах, які активно займаються плаванням та фізичною культурою;</w:t>
            </w:r>
          </w:p>
          <w:p w:rsidR="00E95FB1" w:rsidRPr="00C86B34" w:rsidRDefault="00E95FB1" w:rsidP="001B3967">
            <w:pPr>
              <w:rPr>
                <w:sz w:val="22"/>
              </w:rPr>
            </w:pPr>
            <w:r w:rsidRPr="00C86B34">
              <w:rPr>
                <w:sz w:val="22"/>
              </w:rPr>
              <w:t>проведення відновлювальних та реабілітаційних заходів для мешканців громади;</w:t>
            </w:r>
          </w:p>
          <w:p w:rsidR="00E95FB1" w:rsidRPr="00C86B34" w:rsidRDefault="00E95FB1" w:rsidP="001B3967">
            <w:pPr>
              <w:rPr>
                <w:sz w:val="22"/>
              </w:rPr>
            </w:pPr>
            <w:r w:rsidRPr="00C86B34">
              <w:rPr>
                <w:sz w:val="22"/>
              </w:rPr>
              <w:t>залучення до активного життя, покращення та підтримки здоров'я людей з обмеженими фізичними можливостями шляхом забезпечення вільного доступу до занять спортом.</w:t>
            </w:r>
          </w:p>
          <w:p w:rsidR="00E95FB1" w:rsidRPr="00C86B34" w:rsidRDefault="00E95FB1" w:rsidP="00054BED">
            <w:pPr>
              <w:numPr>
                <w:ilvl w:val="0"/>
                <w:numId w:val="44"/>
              </w:numPr>
              <w:autoSpaceDE w:val="0"/>
              <w:autoSpaceDN w:val="0"/>
              <w:adjustRightInd w:val="0"/>
              <w:ind w:left="111" w:right="116" w:hanging="283"/>
              <w:rPr>
                <w:rFonts w:eastAsia="Calibri"/>
                <w:color w:val="000000"/>
                <w:sz w:val="22"/>
              </w:rPr>
            </w:pPr>
            <w:r w:rsidRPr="00C86B34">
              <w:rPr>
                <w:sz w:val="22"/>
              </w:rPr>
              <w:t>Підвищення якості надання послуг шляхом модернізації школи, оновлення матеріально-технічної бази та забезпечення закладу достатньою кількістю висококваліфікованих та  мотивованих педагогічних працівників;</w:t>
            </w:r>
          </w:p>
        </w:tc>
      </w:tr>
      <w:tr w:rsidR="00E95FB1" w:rsidRPr="00C86B34" w:rsidTr="001B3967">
        <w:trPr>
          <w:trHeight w:val="879"/>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lastRenderedPageBreak/>
              <w:t xml:space="preserve">Очікувані кількісні результати від реалізації </w:t>
            </w:r>
            <w:proofErr w:type="spellStart"/>
            <w:r w:rsidRPr="00C86B34">
              <w:rPr>
                <w:rFonts w:eastAsia="Calibri"/>
                <w:b/>
                <w:color w:val="000000"/>
                <w:sz w:val="22"/>
              </w:rPr>
              <w:t>проєкту</w:t>
            </w:r>
            <w:proofErr w:type="spellEnd"/>
            <w:r w:rsidRPr="00C86B34">
              <w:rPr>
                <w:rFonts w:eastAsia="Calibri"/>
                <w:b/>
                <w:color w:val="000000"/>
                <w:sz w:val="22"/>
              </w:rPr>
              <w:t xml:space="preserve">  (індикатори)</w:t>
            </w:r>
          </w:p>
        </w:tc>
        <w:tc>
          <w:tcPr>
            <w:tcW w:w="3587" w:type="dxa"/>
            <w:gridSpan w:val="3"/>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Найменування показника</w:t>
            </w:r>
          </w:p>
        </w:tc>
        <w:tc>
          <w:tcPr>
            <w:tcW w:w="1169"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Одиниця вимірювання</w:t>
            </w:r>
          </w:p>
        </w:tc>
        <w:tc>
          <w:tcPr>
            <w:tcW w:w="2473"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Прогнозне (цільове) значення</w:t>
            </w:r>
          </w:p>
        </w:tc>
      </w:tr>
      <w:tr w:rsidR="00E95FB1" w:rsidRPr="00C86B34" w:rsidTr="001B3967">
        <w:trPr>
          <w:trHeight w:val="439"/>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587" w:type="dxa"/>
            <w:gridSpan w:val="3"/>
          </w:tcPr>
          <w:p w:rsidR="00E95FB1" w:rsidRPr="00C86B34" w:rsidRDefault="00E95FB1" w:rsidP="001B3967">
            <w:pPr>
              <w:autoSpaceDE w:val="0"/>
              <w:autoSpaceDN w:val="0"/>
              <w:adjustRightInd w:val="0"/>
              <w:rPr>
                <w:rFonts w:eastAsia="Calibri"/>
                <w:color w:val="000000"/>
                <w:sz w:val="22"/>
              </w:rPr>
            </w:pPr>
            <w:r w:rsidRPr="00C86B34">
              <w:rPr>
                <w:sz w:val="22"/>
              </w:rPr>
              <w:t>Кількість учнів в навчально - тренувальних групах</w:t>
            </w:r>
          </w:p>
        </w:tc>
        <w:tc>
          <w:tcPr>
            <w:tcW w:w="1169"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sz w:val="22"/>
              </w:rPr>
              <w:t>осіб</w:t>
            </w:r>
          </w:p>
        </w:tc>
        <w:tc>
          <w:tcPr>
            <w:tcW w:w="2473"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sz w:val="22"/>
              </w:rPr>
              <w:t>400</w:t>
            </w:r>
          </w:p>
        </w:tc>
      </w:tr>
      <w:tr w:rsidR="00E95FB1" w:rsidRPr="00C86B34" w:rsidTr="001B3967">
        <w:trPr>
          <w:trHeight w:val="439"/>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587" w:type="dxa"/>
            <w:gridSpan w:val="3"/>
          </w:tcPr>
          <w:p w:rsidR="00E95FB1" w:rsidRPr="00C86B34" w:rsidRDefault="00E95FB1" w:rsidP="001B3967">
            <w:pPr>
              <w:autoSpaceDE w:val="0"/>
              <w:autoSpaceDN w:val="0"/>
              <w:adjustRightInd w:val="0"/>
              <w:rPr>
                <w:rFonts w:eastAsia="Calibri"/>
                <w:color w:val="000000"/>
                <w:sz w:val="22"/>
              </w:rPr>
            </w:pPr>
            <w:r w:rsidRPr="00C86B34">
              <w:rPr>
                <w:sz w:val="22"/>
              </w:rPr>
              <w:t>% призерів всеукраїнських і міжнародних змагань до загальної кількості учнів ДЮСШ, (%)</w:t>
            </w:r>
          </w:p>
        </w:tc>
        <w:tc>
          <w:tcPr>
            <w:tcW w:w="1169" w:type="dxa"/>
            <w:gridSpan w:val="2"/>
          </w:tcPr>
          <w:p w:rsidR="00E95FB1" w:rsidRPr="00C86B34" w:rsidRDefault="00E95FB1" w:rsidP="001B3967">
            <w:pPr>
              <w:autoSpaceDE w:val="0"/>
              <w:autoSpaceDN w:val="0"/>
              <w:adjustRightInd w:val="0"/>
              <w:jc w:val="center"/>
              <w:rPr>
                <w:rFonts w:eastAsia="Calibri"/>
                <w:color w:val="000000"/>
                <w:sz w:val="22"/>
              </w:rPr>
            </w:pPr>
            <w:r w:rsidRPr="00C86B34">
              <w:rPr>
                <w:sz w:val="22"/>
              </w:rPr>
              <w:t>%</w:t>
            </w:r>
          </w:p>
        </w:tc>
        <w:tc>
          <w:tcPr>
            <w:tcW w:w="2473"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sz w:val="22"/>
              </w:rPr>
              <w:t>20</w:t>
            </w:r>
          </w:p>
        </w:tc>
      </w:tr>
      <w:tr w:rsidR="00E95FB1" w:rsidRPr="00C86B34" w:rsidTr="001B3967">
        <w:trPr>
          <w:trHeight w:val="439"/>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587" w:type="dxa"/>
            <w:gridSpan w:val="3"/>
          </w:tcPr>
          <w:p w:rsidR="00E95FB1" w:rsidRPr="00C86B34" w:rsidRDefault="00E95FB1" w:rsidP="001B3967">
            <w:pPr>
              <w:autoSpaceDE w:val="0"/>
              <w:autoSpaceDN w:val="0"/>
              <w:adjustRightInd w:val="0"/>
              <w:rPr>
                <w:rFonts w:eastAsia="Calibri"/>
                <w:color w:val="000000"/>
                <w:sz w:val="22"/>
              </w:rPr>
            </w:pPr>
            <w:r w:rsidRPr="00C86B34">
              <w:rPr>
                <w:sz w:val="22"/>
              </w:rPr>
              <w:t>Кількість підготовлених майстрів спорту України / кандидатів у майстри спорту України</w:t>
            </w:r>
          </w:p>
        </w:tc>
        <w:tc>
          <w:tcPr>
            <w:tcW w:w="1169" w:type="dxa"/>
            <w:gridSpan w:val="2"/>
          </w:tcPr>
          <w:p w:rsidR="00E95FB1" w:rsidRPr="00C86B34" w:rsidRDefault="00E95FB1" w:rsidP="001B3967">
            <w:pPr>
              <w:autoSpaceDE w:val="0"/>
              <w:autoSpaceDN w:val="0"/>
              <w:adjustRightInd w:val="0"/>
              <w:jc w:val="center"/>
              <w:rPr>
                <w:rFonts w:eastAsia="Calibri"/>
                <w:color w:val="000000"/>
                <w:sz w:val="22"/>
              </w:rPr>
            </w:pPr>
            <w:r w:rsidRPr="00C86B34">
              <w:rPr>
                <w:sz w:val="22"/>
              </w:rPr>
              <w:t>%</w:t>
            </w:r>
          </w:p>
        </w:tc>
        <w:tc>
          <w:tcPr>
            <w:tcW w:w="2473"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sz w:val="22"/>
              </w:rPr>
              <w:t>10</w:t>
            </w:r>
          </w:p>
        </w:tc>
      </w:tr>
      <w:tr w:rsidR="00E95FB1" w:rsidRPr="00C86B34" w:rsidTr="001B3967">
        <w:trPr>
          <w:trHeight w:val="439"/>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587" w:type="dxa"/>
            <w:gridSpan w:val="3"/>
          </w:tcPr>
          <w:p w:rsidR="00E95FB1" w:rsidRPr="00C86B34" w:rsidRDefault="00E95FB1" w:rsidP="001B3967">
            <w:pPr>
              <w:autoSpaceDE w:val="0"/>
              <w:autoSpaceDN w:val="0"/>
              <w:adjustRightInd w:val="0"/>
              <w:rPr>
                <w:rFonts w:eastAsia="Calibri"/>
                <w:color w:val="000000"/>
                <w:sz w:val="22"/>
              </w:rPr>
            </w:pPr>
            <w:r w:rsidRPr="00C86B34">
              <w:rPr>
                <w:sz w:val="22"/>
              </w:rPr>
              <w:t>Кількість відвідувачів спортивно-оздоровчих груп (щомісяця)</w:t>
            </w:r>
          </w:p>
        </w:tc>
        <w:tc>
          <w:tcPr>
            <w:tcW w:w="1169"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sz w:val="22"/>
              </w:rPr>
              <w:t>осіб</w:t>
            </w:r>
          </w:p>
        </w:tc>
        <w:tc>
          <w:tcPr>
            <w:tcW w:w="2473"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sz w:val="22"/>
              </w:rPr>
              <w:t>600</w:t>
            </w:r>
          </w:p>
        </w:tc>
      </w:tr>
      <w:tr w:rsidR="00E95FB1" w:rsidRPr="00C86B34" w:rsidTr="001B3967">
        <w:trPr>
          <w:trHeight w:val="301"/>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 xml:space="preserve">Ключові заходи </w:t>
            </w:r>
            <w:proofErr w:type="spellStart"/>
            <w:r w:rsidRPr="00C86B34">
              <w:rPr>
                <w:rFonts w:eastAsia="Calibri"/>
                <w:b/>
                <w:color w:val="000000"/>
                <w:sz w:val="22"/>
              </w:rPr>
              <w:t>проєкту</w:t>
            </w:r>
            <w:proofErr w:type="spellEnd"/>
          </w:p>
        </w:tc>
        <w:tc>
          <w:tcPr>
            <w:tcW w:w="7229" w:type="dxa"/>
            <w:gridSpan w:val="7"/>
          </w:tcPr>
          <w:p w:rsidR="00E95FB1" w:rsidRPr="00C86B34" w:rsidRDefault="00E95FB1" w:rsidP="000303D7">
            <w:pPr>
              <w:numPr>
                <w:ilvl w:val="0"/>
                <w:numId w:val="42"/>
              </w:numPr>
              <w:tabs>
                <w:tab w:val="left" w:pos="333"/>
              </w:tabs>
              <w:autoSpaceDE w:val="0"/>
              <w:autoSpaceDN w:val="0"/>
              <w:adjustRightInd w:val="0"/>
              <w:ind w:right="112"/>
              <w:rPr>
                <w:rFonts w:eastAsia="Calibri"/>
                <w:color w:val="000000"/>
                <w:sz w:val="22"/>
              </w:rPr>
            </w:pPr>
            <w:r w:rsidRPr="00C86B34">
              <w:rPr>
                <w:rFonts w:eastAsia="Calibri"/>
                <w:color w:val="000000"/>
                <w:sz w:val="22"/>
              </w:rPr>
              <w:t>оцінка спеціально створеною комісією завданих будівлі руйнувань (пошкоджень) та матеріальних збитків</w:t>
            </w:r>
            <w:r w:rsidR="00054BED" w:rsidRPr="00C86B34">
              <w:rPr>
                <w:rFonts w:eastAsia="Calibri"/>
                <w:color w:val="000000"/>
                <w:sz w:val="22"/>
              </w:rPr>
              <w:t>;</w:t>
            </w:r>
          </w:p>
          <w:p w:rsidR="00E95FB1" w:rsidRPr="00C86B34" w:rsidRDefault="00E95FB1" w:rsidP="000303D7">
            <w:pPr>
              <w:numPr>
                <w:ilvl w:val="0"/>
                <w:numId w:val="42"/>
              </w:numPr>
              <w:tabs>
                <w:tab w:val="left" w:pos="333"/>
              </w:tabs>
              <w:autoSpaceDE w:val="0"/>
              <w:autoSpaceDN w:val="0"/>
              <w:adjustRightInd w:val="0"/>
              <w:ind w:right="112"/>
              <w:rPr>
                <w:rFonts w:eastAsia="Calibri"/>
                <w:color w:val="000000"/>
                <w:sz w:val="22"/>
              </w:rPr>
            </w:pPr>
            <w:r w:rsidRPr="00C86B34">
              <w:rPr>
                <w:rFonts w:eastAsia="Calibri"/>
                <w:color w:val="000000"/>
                <w:sz w:val="22"/>
              </w:rPr>
              <w:t xml:space="preserve">розробка </w:t>
            </w:r>
            <w:proofErr w:type="spellStart"/>
            <w:r w:rsidRPr="00C86B34">
              <w:rPr>
                <w:rFonts w:eastAsia="Calibri"/>
                <w:color w:val="000000"/>
                <w:sz w:val="22"/>
              </w:rPr>
              <w:t>проєктно</w:t>
            </w:r>
            <w:proofErr w:type="spellEnd"/>
            <w:r w:rsidRPr="00C86B34">
              <w:rPr>
                <w:rFonts w:eastAsia="Calibri"/>
                <w:color w:val="000000"/>
                <w:sz w:val="22"/>
              </w:rPr>
              <w:t>-кошторисної документації</w:t>
            </w:r>
            <w:r w:rsidR="00054BED" w:rsidRPr="00C86B34">
              <w:rPr>
                <w:rFonts w:eastAsia="Calibri"/>
                <w:color w:val="000000"/>
                <w:sz w:val="22"/>
              </w:rPr>
              <w:t>;</w:t>
            </w:r>
          </w:p>
          <w:p w:rsidR="00E95FB1" w:rsidRPr="00C86B34" w:rsidRDefault="00E95FB1" w:rsidP="000303D7">
            <w:pPr>
              <w:numPr>
                <w:ilvl w:val="0"/>
                <w:numId w:val="42"/>
              </w:numPr>
              <w:tabs>
                <w:tab w:val="left" w:pos="333"/>
              </w:tabs>
              <w:autoSpaceDE w:val="0"/>
              <w:autoSpaceDN w:val="0"/>
              <w:adjustRightInd w:val="0"/>
              <w:ind w:right="112"/>
              <w:rPr>
                <w:rFonts w:eastAsia="Calibri"/>
                <w:color w:val="000000"/>
                <w:sz w:val="22"/>
              </w:rPr>
            </w:pPr>
            <w:r w:rsidRPr="00C86B34">
              <w:rPr>
                <w:rFonts w:eastAsia="Calibri"/>
                <w:color w:val="000000"/>
                <w:sz w:val="22"/>
              </w:rPr>
              <w:t>визначення підрядної організації для проведення будівельних робіт</w:t>
            </w:r>
            <w:r w:rsidR="00054BED" w:rsidRPr="00C86B34">
              <w:rPr>
                <w:rFonts w:eastAsia="Calibri"/>
                <w:color w:val="000000"/>
                <w:sz w:val="22"/>
              </w:rPr>
              <w:t>;</w:t>
            </w:r>
          </w:p>
          <w:p w:rsidR="00E95FB1" w:rsidRPr="00C86B34" w:rsidRDefault="00E95FB1" w:rsidP="000303D7">
            <w:pPr>
              <w:numPr>
                <w:ilvl w:val="0"/>
                <w:numId w:val="42"/>
              </w:numPr>
              <w:tabs>
                <w:tab w:val="left" w:pos="333"/>
              </w:tabs>
              <w:autoSpaceDE w:val="0"/>
              <w:autoSpaceDN w:val="0"/>
              <w:adjustRightInd w:val="0"/>
              <w:ind w:right="112"/>
              <w:rPr>
                <w:rFonts w:eastAsia="Calibri"/>
                <w:color w:val="000000"/>
                <w:sz w:val="22"/>
              </w:rPr>
            </w:pPr>
            <w:r w:rsidRPr="00C86B34">
              <w:rPr>
                <w:rFonts w:eastAsia="Calibri"/>
                <w:color w:val="000000"/>
                <w:sz w:val="22"/>
              </w:rPr>
              <w:t>виконання будівельних робіт:</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rFonts w:eastAsia="Calibri"/>
                <w:color w:val="000000"/>
                <w:sz w:val="22"/>
              </w:rPr>
              <w:t>ремонт даху</w:t>
            </w:r>
            <w:r w:rsidR="00054BED" w:rsidRPr="00C86B34">
              <w:rPr>
                <w:rFonts w:eastAsia="Calibri"/>
                <w:color w:val="000000"/>
                <w:sz w:val="22"/>
              </w:rPr>
              <w:t>;</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rFonts w:eastAsia="Calibri"/>
                <w:color w:val="000000"/>
                <w:sz w:val="22"/>
              </w:rPr>
              <w:t>заміна пошкоджених вікон, дверей</w:t>
            </w:r>
            <w:r w:rsidR="00054BED" w:rsidRPr="00C86B34">
              <w:rPr>
                <w:rFonts w:eastAsia="Calibri"/>
                <w:color w:val="000000"/>
                <w:sz w:val="22"/>
              </w:rPr>
              <w:t>;</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rFonts w:eastAsia="Calibri"/>
                <w:color w:val="000000"/>
                <w:sz w:val="22"/>
              </w:rPr>
              <w:t>будівництво модульної котельні</w:t>
            </w:r>
            <w:r w:rsidR="00054BED" w:rsidRPr="00C86B34">
              <w:rPr>
                <w:rFonts w:eastAsia="Calibri"/>
                <w:color w:val="000000"/>
                <w:sz w:val="22"/>
              </w:rPr>
              <w:t>;</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sz w:val="22"/>
              </w:rPr>
              <w:t>модернізація системи опалення та інженерних мереж</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rFonts w:eastAsia="Calibri"/>
                <w:color w:val="000000"/>
                <w:sz w:val="22"/>
              </w:rPr>
              <w:t>ремонт спортивного залу</w:t>
            </w:r>
            <w:r w:rsidR="00054BED" w:rsidRPr="00C86B34">
              <w:rPr>
                <w:rFonts w:eastAsia="Calibri"/>
                <w:color w:val="000000"/>
                <w:sz w:val="22"/>
              </w:rPr>
              <w:t>;</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sz w:val="22"/>
              </w:rPr>
              <w:t>облаштування  системи рекуперації повітря</w:t>
            </w:r>
            <w:r w:rsidR="00054BED" w:rsidRPr="00C86B34">
              <w:rPr>
                <w:sz w:val="22"/>
              </w:rPr>
              <w:t>;</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sz w:val="22"/>
              </w:rPr>
              <w:t>ремонт приміщень (адміністративні та господарчі приміщення, коридори, сходи)</w:t>
            </w:r>
            <w:r w:rsidR="00054BED" w:rsidRPr="00C86B34">
              <w:rPr>
                <w:sz w:val="22"/>
              </w:rPr>
              <w:t>;</w:t>
            </w:r>
          </w:p>
          <w:p w:rsidR="00E95FB1" w:rsidRPr="00C86B34" w:rsidRDefault="00E95FB1" w:rsidP="001B3967">
            <w:pPr>
              <w:tabs>
                <w:tab w:val="left" w:pos="333"/>
              </w:tabs>
              <w:ind w:firstLine="894"/>
              <w:rPr>
                <w:sz w:val="22"/>
              </w:rPr>
            </w:pPr>
            <w:r w:rsidRPr="00C86B34">
              <w:rPr>
                <w:sz w:val="22"/>
              </w:rPr>
              <w:t>реконструкція центрального входу будівлі з облаштуванням доступу маломобільних груп до будівлі;</w:t>
            </w:r>
          </w:p>
          <w:p w:rsidR="00E95FB1" w:rsidRPr="00C86B34" w:rsidRDefault="00E95FB1" w:rsidP="001B3967">
            <w:pPr>
              <w:tabs>
                <w:tab w:val="left" w:pos="333"/>
              </w:tabs>
              <w:ind w:firstLine="894"/>
              <w:rPr>
                <w:sz w:val="22"/>
              </w:rPr>
            </w:pPr>
            <w:r w:rsidRPr="00C86B34">
              <w:rPr>
                <w:sz w:val="22"/>
              </w:rPr>
              <w:t>утеплення фасаду</w:t>
            </w:r>
            <w:r w:rsidR="00054BED" w:rsidRPr="00C86B34">
              <w:rPr>
                <w:sz w:val="22"/>
              </w:rPr>
              <w:t>;</w:t>
            </w:r>
          </w:p>
          <w:p w:rsidR="00E95FB1" w:rsidRPr="00C86B34" w:rsidRDefault="00E95FB1" w:rsidP="001B3967">
            <w:pPr>
              <w:tabs>
                <w:tab w:val="left" w:pos="333"/>
              </w:tabs>
              <w:ind w:firstLine="894"/>
              <w:rPr>
                <w:sz w:val="22"/>
              </w:rPr>
            </w:pPr>
            <w:r w:rsidRPr="00C86B34">
              <w:rPr>
                <w:sz w:val="22"/>
              </w:rPr>
              <w:t xml:space="preserve">встановлення сонячних </w:t>
            </w:r>
            <w:proofErr w:type="spellStart"/>
            <w:r w:rsidRPr="00C86B34">
              <w:rPr>
                <w:sz w:val="22"/>
              </w:rPr>
              <w:t>батарей</w:t>
            </w:r>
            <w:proofErr w:type="spellEnd"/>
            <w:r w:rsidR="00054BED" w:rsidRPr="00C86B34">
              <w:rPr>
                <w:sz w:val="22"/>
              </w:rPr>
              <w:t>;</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sz w:val="22"/>
              </w:rPr>
              <w:t>облаштування доступу осіб з інвалідністю до басейну, тренажерної зали, роздягальнь, туалетів, душових;</w:t>
            </w:r>
          </w:p>
          <w:p w:rsidR="00E95FB1" w:rsidRPr="00C86B34" w:rsidRDefault="00E95FB1" w:rsidP="001B3967">
            <w:pPr>
              <w:autoSpaceDE w:val="0"/>
              <w:autoSpaceDN w:val="0"/>
              <w:adjustRightInd w:val="0"/>
              <w:ind w:right="116" w:firstLine="894"/>
              <w:rPr>
                <w:sz w:val="22"/>
              </w:rPr>
            </w:pPr>
            <w:r w:rsidRPr="00C86B34">
              <w:rPr>
                <w:sz w:val="22"/>
              </w:rPr>
              <w:t>благоустрій прилеглої території</w:t>
            </w:r>
            <w:r w:rsidR="00054BED" w:rsidRPr="00C86B34">
              <w:rPr>
                <w:sz w:val="22"/>
              </w:rPr>
              <w:t>;</w:t>
            </w:r>
            <w:r w:rsidRPr="00C86B34">
              <w:rPr>
                <w:sz w:val="22"/>
              </w:rPr>
              <w:t xml:space="preserve"> </w:t>
            </w:r>
          </w:p>
          <w:p w:rsidR="00E95FB1" w:rsidRPr="00C86B34" w:rsidRDefault="00E95FB1" w:rsidP="000303D7">
            <w:pPr>
              <w:numPr>
                <w:ilvl w:val="0"/>
                <w:numId w:val="49"/>
              </w:numPr>
              <w:autoSpaceDE w:val="0"/>
              <w:autoSpaceDN w:val="0"/>
              <w:adjustRightInd w:val="0"/>
              <w:ind w:left="870" w:right="116" w:hanging="467"/>
              <w:rPr>
                <w:sz w:val="22"/>
              </w:rPr>
            </w:pPr>
            <w:r w:rsidRPr="00C86B34">
              <w:rPr>
                <w:rFonts w:eastAsia="Calibri"/>
                <w:color w:val="000000"/>
                <w:sz w:val="22"/>
              </w:rPr>
              <w:t>придбання обладнання та матеріалів:</w:t>
            </w:r>
            <w:r w:rsidRPr="00C86B34">
              <w:rPr>
                <w:sz w:val="22"/>
              </w:rPr>
              <w:t xml:space="preserve"> </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rFonts w:eastAsia="Calibri"/>
                <w:color w:val="000000"/>
                <w:sz w:val="22"/>
              </w:rPr>
              <w:t>забезпечення ДЮСШ спортивним інвентарем та обладнанням</w:t>
            </w:r>
            <w:r w:rsidR="00054BED" w:rsidRPr="00C86B34">
              <w:rPr>
                <w:rFonts w:eastAsia="Calibri"/>
                <w:color w:val="000000"/>
                <w:sz w:val="22"/>
              </w:rPr>
              <w:t>;</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sz w:val="22"/>
              </w:rPr>
              <w:t>придбання офісної техніки, меблів, господарчого інвентарю</w:t>
            </w:r>
            <w:r w:rsidR="00054BED" w:rsidRPr="00C86B34">
              <w:rPr>
                <w:sz w:val="22"/>
              </w:rPr>
              <w:t>;</w:t>
            </w:r>
          </w:p>
          <w:p w:rsidR="00E95FB1" w:rsidRPr="00C86B34" w:rsidRDefault="00E95FB1" w:rsidP="000303D7">
            <w:pPr>
              <w:pStyle w:val="a7"/>
              <w:numPr>
                <w:ilvl w:val="0"/>
                <w:numId w:val="49"/>
              </w:numPr>
              <w:autoSpaceDE w:val="0"/>
              <w:autoSpaceDN w:val="0"/>
              <w:adjustRightInd w:val="0"/>
              <w:ind w:left="870" w:right="112" w:hanging="425"/>
              <w:rPr>
                <w:rFonts w:eastAsia="Calibri"/>
                <w:color w:val="000000"/>
                <w:sz w:val="22"/>
              </w:rPr>
            </w:pPr>
            <w:r w:rsidRPr="00C86B34">
              <w:rPr>
                <w:rFonts w:eastAsia="Calibri"/>
                <w:color w:val="000000"/>
                <w:sz w:val="22"/>
              </w:rPr>
              <w:t>введення споруди в експлуатацію та її експлуатація за призначенням</w:t>
            </w:r>
          </w:p>
        </w:tc>
      </w:tr>
      <w:tr w:rsidR="00E95FB1" w:rsidRPr="00C86B34" w:rsidTr="001B3967">
        <w:trPr>
          <w:trHeight w:val="301"/>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 xml:space="preserve">Початок реалізації </w:t>
            </w:r>
            <w:proofErr w:type="spellStart"/>
            <w:r w:rsidRPr="00C86B34">
              <w:rPr>
                <w:rFonts w:eastAsia="Calibri"/>
                <w:b/>
                <w:color w:val="000000"/>
                <w:sz w:val="22"/>
              </w:rPr>
              <w:t>проєкту</w:t>
            </w:r>
            <w:proofErr w:type="spellEnd"/>
            <w:r w:rsidRPr="00C86B34">
              <w:rPr>
                <w:rFonts w:eastAsia="Calibri"/>
                <w:b/>
                <w:color w:val="000000"/>
                <w:sz w:val="22"/>
              </w:rPr>
              <w:t xml:space="preserve">/завершення реалізації </w:t>
            </w:r>
            <w:proofErr w:type="spellStart"/>
            <w:r w:rsidRPr="00C86B34">
              <w:rPr>
                <w:rFonts w:eastAsia="Calibri"/>
                <w:b/>
                <w:color w:val="000000"/>
                <w:sz w:val="22"/>
              </w:rPr>
              <w:t>проєкту</w:t>
            </w:r>
            <w:proofErr w:type="spellEnd"/>
            <w:r w:rsidRPr="00C86B34">
              <w:rPr>
                <w:rFonts w:eastAsia="Calibri"/>
                <w:b/>
                <w:color w:val="000000"/>
                <w:sz w:val="22"/>
              </w:rPr>
              <w:t xml:space="preserve"> (місяць, рік)</w:t>
            </w:r>
          </w:p>
        </w:tc>
        <w:tc>
          <w:tcPr>
            <w:tcW w:w="7229" w:type="dxa"/>
            <w:gridSpan w:val="7"/>
            <w:vAlign w:val="center"/>
          </w:tcPr>
          <w:p w:rsidR="00E95FB1" w:rsidRPr="00C86B34" w:rsidRDefault="00E95FB1" w:rsidP="001B3967">
            <w:pPr>
              <w:autoSpaceDE w:val="0"/>
              <w:autoSpaceDN w:val="0"/>
              <w:adjustRightInd w:val="0"/>
              <w:ind w:left="50" w:right="112"/>
              <w:rPr>
                <w:rFonts w:eastAsia="Calibri"/>
                <w:color w:val="000000"/>
                <w:sz w:val="22"/>
              </w:rPr>
            </w:pPr>
            <w:r w:rsidRPr="00C86B34">
              <w:rPr>
                <w:rFonts w:eastAsia="Calibri"/>
                <w:color w:val="000000"/>
                <w:sz w:val="22"/>
              </w:rPr>
              <w:t>03.2024/03.2025</w:t>
            </w:r>
          </w:p>
        </w:tc>
      </w:tr>
      <w:tr w:rsidR="00E95FB1" w:rsidRPr="00C86B34" w:rsidTr="001B3967">
        <w:trPr>
          <w:trHeight w:val="301"/>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Орієнтовний обсяг та джерела фінансування тис. гривень</w:t>
            </w:r>
          </w:p>
        </w:tc>
        <w:tc>
          <w:tcPr>
            <w:tcW w:w="2111"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Державний бюджет</w:t>
            </w:r>
          </w:p>
        </w:tc>
        <w:tc>
          <w:tcPr>
            <w:tcW w:w="1305"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Місцевий бюджет</w:t>
            </w:r>
          </w:p>
        </w:tc>
        <w:tc>
          <w:tcPr>
            <w:tcW w:w="2611" w:type="dxa"/>
            <w:gridSpan w:val="4"/>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Інші джерела</w:t>
            </w:r>
          </w:p>
        </w:tc>
        <w:tc>
          <w:tcPr>
            <w:tcW w:w="1202"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Всього</w:t>
            </w:r>
          </w:p>
        </w:tc>
      </w:tr>
      <w:tr w:rsidR="00E95FB1" w:rsidRPr="00C86B34" w:rsidTr="001B3967">
        <w:trPr>
          <w:trHeight w:val="301"/>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2111"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305"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306"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Обсяг</w:t>
            </w:r>
          </w:p>
        </w:tc>
        <w:tc>
          <w:tcPr>
            <w:tcW w:w="1305"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Назва джерела</w:t>
            </w:r>
          </w:p>
        </w:tc>
        <w:tc>
          <w:tcPr>
            <w:tcW w:w="1202" w:type="dxa"/>
            <w:vMerge/>
            <w:vAlign w:val="center"/>
          </w:tcPr>
          <w:p w:rsidR="00E95FB1" w:rsidRPr="00C86B34" w:rsidRDefault="00E95FB1" w:rsidP="001B3967">
            <w:pPr>
              <w:autoSpaceDE w:val="0"/>
              <w:autoSpaceDN w:val="0"/>
              <w:adjustRightInd w:val="0"/>
              <w:jc w:val="center"/>
              <w:rPr>
                <w:rFonts w:eastAsia="Calibri"/>
                <w:b/>
                <w:color w:val="000000"/>
                <w:sz w:val="22"/>
              </w:rPr>
            </w:pPr>
          </w:p>
        </w:tc>
      </w:tr>
      <w:tr w:rsidR="00E95FB1" w:rsidRPr="00C86B34" w:rsidTr="001B3967">
        <w:trPr>
          <w:trHeight w:val="301"/>
        </w:trPr>
        <w:tc>
          <w:tcPr>
            <w:tcW w:w="2724" w:type="dxa"/>
            <w:vMerge/>
            <w:tcBorders>
              <w:bottom w:val="single" w:sz="4" w:space="0" w:color="auto"/>
            </w:tcBorders>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2111" w:type="dxa"/>
          </w:tcPr>
          <w:p w:rsidR="00E95FB1" w:rsidRPr="00C86B34" w:rsidRDefault="00E95FB1" w:rsidP="001B3967">
            <w:pPr>
              <w:tabs>
                <w:tab w:val="left" w:pos="5290"/>
              </w:tabs>
              <w:jc w:val="center"/>
              <w:rPr>
                <w:sz w:val="22"/>
              </w:rPr>
            </w:pPr>
            <w:r w:rsidRPr="00C86B34">
              <w:rPr>
                <w:sz w:val="22"/>
              </w:rPr>
              <w:t>30000,0</w:t>
            </w:r>
          </w:p>
          <w:p w:rsidR="00E95FB1" w:rsidRPr="00C86B34" w:rsidRDefault="00E95FB1" w:rsidP="001B3967">
            <w:pPr>
              <w:autoSpaceDE w:val="0"/>
              <w:autoSpaceDN w:val="0"/>
              <w:adjustRightInd w:val="0"/>
              <w:jc w:val="center"/>
              <w:rPr>
                <w:rFonts w:eastAsia="Calibri"/>
                <w:color w:val="000000"/>
                <w:sz w:val="22"/>
              </w:rPr>
            </w:pPr>
          </w:p>
        </w:tc>
        <w:tc>
          <w:tcPr>
            <w:tcW w:w="1305" w:type="dxa"/>
          </w:tcPr>
          <w:p w:rsidR="00E95FB1" w:rsidRPr="00C86B34" w:rsidRDefault="00E95FB1" w:rsidP="001B3967">
            <w:pPr>
              <w:autoSpaceDE w:val="0"/>
              <w:autoSpaceDN w:val="0"/>
              <w:adjustRightInd w:val="0"/>
              <w:jc w:val="center"/>
              <w:rPr>
                <w:rFonts w:eastAsia="Calibri"/>
                <w:color w:val="000000"/>
                <w:sz w:val="22"/>
              </w:rPr>
            </w:pPr>
          </w:p>
        </w:tc>
        <w:tc>
          <w:tcPr>
            <w:tcW w:w="1306" w:type="dxa"/>
            <w:gridSpan w:val="2"/>
          </w:tcPr>
          <w:p w:rsidR="00E95FB1" w:rsidRPr="00C86B34" w:rsidRDefault="00E95FB1" w:rsidP="001B3967">
            <w:pPr>
              <w:tabs>
                <w:tab w:val="left" w:pos="5290"/>
              </w:tabs>
              <w:jc w:val="center"/>
              <w:rPr>
                <w:rFonts w:eastAsia="Calibri"/>
                <w:color w:val="000000"/>
                <w:sz w:val="22"/>
              </w:rPr>
            </w:pPr>
          </w:p>
        </w:tc>
        <w:tc>
          <w:tcPr>
            <w:tcW w:w="1305" w:type="dxa"/>
            <w:gridSpan w:val="2"/>
          </w:tcPr>
          <w:p w:rsidR="00E95FB1" w:rsidRPr="00C86B34" w:rsidRDefault="00E95FB1" w:rsidP="001B3967">
            <w:pPr>
              <w:autoSpaceDE w:val="0"/>
              <w:autoSpaceDN w:val="0"/>
              <w:adjustRightInd w:val="0"/>
              <w:jc w:val="center"/>
              <w:rPr>
                <w:rFonts w:eastAsia="Calibri"/>
                <w:color w:val="000000"/>
                <w:sz w:val="22"/>
              </w:rPr>
            </w:pPr>
          </w:p>
        </w:tc>
        <w:tc>
          <w:tcPr>
            <w:tcW w:w="1202" w:type="dxa"/>
          </w:tcPr>
          <w:p w:rsidR="00E95FB1" w:rsidRPr="00C86B34" w:rsidRDefault="00E95FB1" w:rsidP="001B3967">
            <w:pPr>
              <w:autoSpaceDE w:val="0"/>
              <w:autoSpaceDN w:val="0"/>
              <w:adjustRightInd w:val="0"/>
              <w:jc w:val="center"/>
              <w:rPr>
                <w:rFonts w:eastAsia="Calibri"/>
                <w:color w:val="000000"/>
                <w:sz w:val="22"/>
              </w:rPr>
            </w:pPr>
            <w:r w:rsidRPr="00C86B34">
              <w:rPr>
                <w:sz w:val="22"/>
              </w:rPr>
              <w:t>30000,0</w:t>
            </w:r>
          </w:p>
        </w:tc>
      </w:tr>
      <w:tr w:rsidR="00E95FB1" w:rsidRPr="00C86B34" w:rsidTr="001B3967">
        <w:trPr>
          <w:trHeight w:val="301"/>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Відповідальний виконавець від ОМС</w:t>
            </w:r>
          </w:p>
        </w:tc>
        <w:tc>
          <w:tcPr>
            <w:tcW w:w="7229" w:type="dxa"/>
            <w:gridSpan w:val="7"/>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Сєвєродонецька міська ВА, Відділ молоді та спорту Сєвєродонецької міської ВА</w:t>
            </w:r>
          </w:p>
        </w:tc>
      </w:tr>
      <w:tr w:rsidR="00E95FB1" w:rsidRPr="00C86B34" w:rsidTr="001B3967">
        <w:trPr>
          <w:trHeight w:val="301"/>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b/>
                <w:sz w:val="22"/>
              </w:rPr>
              <w:t xml:space="preserve">Ключові потенційні учасники </w:t>
            </w:r>
            <w:proofErr w:type="spellStart"/>
            <w:r w:rsidRPr="00C86B34">
              <w:rPr>
                <w:b/>
                <w:sz w:val="22"/>
              </w:rPr>
              <w:t>проєкту</w:t>
            </w:r>
            <w:proofErr w:type="spellEnd"/>
          </w:p>
        </w:tc>
        <w:tc>
          <w:tcPr>
            <w:tcW w:w="7229" w:type="dxa"/>
            <w:gridSpan w:val="7"/>
          </w:tcPr>
          <w:p w:rsidR="00E95FB1" w:rsidRPr="00C86B34" w:rsidRDefault="00E95FB1" w:rsidP="000303D7">
            <w:pPr>
              <w:numPr>
                <w:ilvl w:val="0"/>
                <w:numId w:val="47"/>
              </w:numPr>
              <w:ind w:left="332" w:hanging="283"/>
              <w:jc w:val="left"/>
              <w:rPr>
                <w:sz w:val="22"/>
              </w:rPr>
            </w:pPr>
            <w:r w:rsidRPr="00C86B34">
              <w:rPr>
                <w:sz w:val="22"/>
              </w:rPr>
              <w:t>Військова адміністрація міста Сєвєродонецьк;</w:t>
            </w:r>
          </w:p>
          <w:p w:rsidR="00E95FB1" w:rsidRPr="00C86B34" w:rsidRDefault="00E95FB1" w:rsidP="000303D7">
            <w:pPr>
              <w:numPr>
                <w:ilvl w:val="0"/>
                <w:numId w:val="47"/>
              </w:numPr>
              <w:ind w:left="332" w:hanging="283"/>
              <w:jc w:val="left"/>
              <w:rPr>
                <w:sz w:val="22"/>
              </w:rPr>
            </w:pPr>
            <w:r w:rsidRPr="00C86B34">
              <w:rPr>
                <w:sz w:val="22"/>
              </w:rPr>
              <w:t>Міжнародні донорські організації (інвестори);</w:t>
            </w:r>
          </w:p>
          <w:p w:rsidR="00E95FB1" w:rsidRPr="00C86B34" w:rsidRDefault="00E95FB1" w:rsidP="000303D7">
            <w:pPr>
              <w:numPr>
                <w:ilvl w:val="0"/>
                <w:numId w:val="47"/>
              </w:numPr>
              <w:ind w:left="332" w:hanging="283"/>
              <w:jc w:val="left"/>
              <w:rPr>
                <w:sz w:val="22"/>
              </w:rPr>
            </w:pPr>
            <w:r w:rsidRPr="00C86B34">
              <w:rPr>
                <w:sz w:val="22"/>
              </w:rPr>
              <w:t xml:space="preserve">Відділ капітального будівництва військової адміністрації міста; </w:t>
            </w:r>
          </w:p>
          <w:p w:rsidR="00E95FB1" w:rsidRPr="00C86B34" w:rsidRDefault="00E95FB1" w:rsidP="000303D7">
            <w:pPr>
              <w:numPr>
                <w:ilvl w:val="0"/>
                <w:numId w:val="47"/>
              </w:numPr>
              <w:ind w:left="332" w:hanging="283"/>
              <w:jc w:val="left"/>
              <w:rPr>
                <w:sz w:val="22"/>
              </w:rPr>
            </w:pPr>
            <w:r w:rsidRPr="00C86B34">
              <w:rPr>
                <w:sz w:val="22"/>
              </w:rPr>
              <w:lastRenderedPageBreak/>
              <w:t>Підрядна організація - переможець тендеру, виконавець будівельно-монтажних робіт;</w:t>
            </w:r>
          </w:p>
          <w:p w:rsidR="00E95FB1" w:rsidRPr="00C86B34" w:rsidRDefault="00E95FB1" w:rsidP="000303D7">
            <w:pPr>
              <w:numPr>
                <w:ilvl w:val="0"/>
                <w:numId w:val="47"/>
              </w:numPr>
              <w:ind w:left="332" w:hanging="283"/>
              <w:jc w:val="left"/>
              <w:rPr>
                <w:sz w:val="22"/>
              </w:rPr>
            </w:pPr>
            <w:r w:rsidRPr="00C86B34">
              <w:rPr>
                <w:sz w:val="22"/>
              </w:rPr>
              <w:t>Обласна державна адміністрація.</w:t>
            </w:r>
          </w:p>
        </w:tc>
      </w:tr>
    </w:tbl>
    <w:p w:rsidR="00E95FB1" w:rsidRPr="00C86B34" w:rsidRDefault="00E95FB1" w:rsidP="00E95FB1">
      <w:pPr>
        <w:rPr>
          <w:sz w:val="22"/>
        </w:rPr>
      </w:pPr>
    </w:p>
    <w:p w:rsidR="00E95FB1" w:rsidRPr="00C86B34" w:rsidRDefault="00E95FB1" w:rsidP="00E95FB1">
      <w:pPr>
        <w:rPr>
          <w:sz w:val="22"/>
        </w:rPr>
      </w:pPr>
    </w:p>
    <w:tbl>
      <w:tblPr>
        <w:tblpPr w:leftFromText="180" w:rightFromText="180" w:vertAnchor="text" w:horzAnchor="page" w:tblpX="1397" w:tblpY="123"/>
        <w:tblW w:w="9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724"/>
        <w:gridCol w:w="1930"/>
        <w:gridCol w:w="1253"/>
        <w:gridCol w:w="165"/>
        <w:gridCol w:w="1088"/>
        <w:gridCol w:w="34"/>
        <w:gridCol w:w="1219"/>
        <w:gridCol w:w="1306"/>
      </w:tblGrid>
      <w:tr w:rsidR="00E95FB1" w:rsidRPr="00C86B34" w:rsidTr="001B3967">
        <w:trPr>
          <w:trHeight w:val="273"/>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Оперативна ціль/завдання</w:t>
            </w:r>
          </w:p>
        </w:tc>
        <w:tc>
          <w:tcPr>
            <w:tcW w:w="6995" w:type="dxa"/>
            <w:gridSpan w:val="7"/>
          </w:tcPr>
          <w:p w:rsidR="00E95FB1" w:rsidRPr="00C86B34" w:rsidRDefault="00054BED" w:rsidP="001B3967">
            <w:pPr>
              <w:pStyle w:val="a7"/>
              <w:ind w:left="0"/>
              <w:rPr>
                <w:rFonts w:eastAsia="Calibri"/>
                <w:color w:val="000000"/>
                <w:sz w:val="22"/>
              </w:rPr>
            </w:pPr>
            <w:r w:rsidRPr="00C86B34">
              <w:rPr>
                <w:rFonts w:eastAsia="Arial"/>
                <w:sz w:val="22"/>
              </w:rPr>
              <w:t xml:space="preserve">Людський розвиток </w:t>
            </w:r>
            <w:r w:rsidR="00E95FB1" w:rsidRPr="00C86B34">
              <w:rPr>
                <w:rFonts w:eastAsia="Arial"/>
                <w:sz w:val="22"/>
              </w:rPr>
              <w:t xml:space="preserve">через інновації управління та довіру до влади. Формування сучасного інклюзивного </w:t>
            </w:r>
            <w:proofErr w:type="spellStart"/>
            <w:r w:rsidR="00E95FB1" w:rsidRPr="00C86B34">
              <w:rPr>
                <w:rFonts w:eastAsia="Arial"/>
                <w:sz w:val="22"/>
              </w:rPr>
              <w:t>освітньо</w:t>
            </w:r>
            <w:proofErr w:type="spellEnd"/>
            <w:r w:rsidR="00E95FB1" w:rsidRPr="00C86B34">
              <w:rPr>
                <w:rFonts w:eastAsia="Arial"/>
                <w:sz w:val="22"/>
              </w:rPr>
              <w:t xml:space="preserve"> – культурного та спортивного простору для розвитку</w:t>
            </w:r>
          </w:p>
        </w:tc>
      </w:tr>
      <w:tr w:rsidR="00E95FB1" w:rsidRPr="00C86B34" w:rsidTr="001B3967">
        <w:trPr>
          <w:trHeight w:val="294"/>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Назва проекту:</w:t>
            </w:r>
          </w:p>
        </w:tc>
        <w:tc>
          <w:tcPr>
            <w:tcW w:w="6995" w:type="dxa"/>
            <w:gridSpan w:val="7"/>
          </w:tcPr>
          <w:p w:rsidR="00E95FB1" w:rsidRPr="00C86B34" w:rsidRDefault="00E95FB1" w:rsidP="001B3967">
            <w:pPr>
              <w:autoSpaceDE w:val="0"/>
              <w:autoSpaceDN w:val="0"/>
              <w:adjustRightInd w:val="0"/>
              <w:ind w:left="49" w:right="116"/>
              <w:rPr>
                <w:rFonts w:eastAsia="Calibri"/>
                <w:color w:val="000000"/>
                <w:sz w:val="22"/>
              </w:rPr>
            </w:pPr>
            <w:r w:rsidRPr="00C86B34">
              <w:rPr>
                <w:rFonts w:eastAsia="Calibri"/>
                <w:color w:val="000000"/>
                <w:sz w:val="22"/>
              </w:rPr>
              <w:t>Капітальний ремонт басейну КДЮСШ 4 міста Сєвєродонецьк Луганської області</w:t>
            </w:r>
            <w:r w:rsidRPr="00C86B34">
              <w:rPr>
                <w:sz w:val="22"/>
              </w:rPr>
              <w:t xml:space="preserve"> </w:t>
            </w:r>
            <w:r w:rsidRPr="00C86B34">
              <w:rPr>
                <w:rFonts w:eastAsia="Calibri"/>
                <w:color w:val="000000"/>
                <w:sz w:val="22"/>
              </w:rPr>
              <w:t xml:space="preserve">за </w:t>
            </w:r>
            <w:proofErr w:type="spellStart"/>
            <w:r w:rsidRPr="00C86B34">
              <w:rPr>
                <w:rFonts w:eastAsia="Calibri"/>
                <w:color w:val="000000"/>
                <w:sz w:val="22"/>
              </w:rPr>
              <w:t>адресою</w:t>
            </w:r>
            <w:proofErr w:type="spellEnd"/>
            <w:r w:rsidRPr="00C86B34">
              <w:rPr>
                <w:rFonts w:eastAsia="Calibri"/>
                <w:color w:val="000000"/>
                <w:sz w:val="22"/>
              </w:rPr>
              <w:t>: вул. Гоголя, 37/1</w:t>
            </w:r>
          </w:p>
        </w:tc>
      </w:tr>
      <w:tr w:rsidR="00E95FB1" w:rsidRPr="00C86B34" w:rsidTr="001B3967">
        <w:trPr>
          <w:trHeight w:val="350"/>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Ціль проекту</w:t>
            </w:r>
          </w:p>
        </w:tc>
        <w:tc>
          <w:tcPr>
            <w:tcW w:w="6995" w:type="dxa"/>
            <w:gridSpan w:val="7"/>
            <w:vAlign w:val="center"/>
          </w:tcPr>
          <w:p w:rsidR="00E95FB1" w:rsidRPr="00C86B34" w:rsidRDefault="00E95FB1" w:rsidP="001B3967">
            <w:pPr>
              <w:autoSpaceDE w:val="0"/>
              <w:autoSpaceDN w:val="0"/>
              <w:adjustRightInd w:val="0"/>
              <w:ind w:right="116"/>
              <w:rPr>
                <w:sz w:val="22"/>
              </w:rPr>
            </w:pPr>
            <w:r w:rsidRPr="00C86B34">
              <w:rPr>
                <w:rFonts w:eastAsia="Calibri"/>
                <w:color w:val="000000"/>
                <w:sz w:val="22"/>
              </w:rPr>
              <w:t xml:space="preserve">Створення спортивного простору для мешканців міста (дітей, молоді, дорослих та </w:t>
            </w:r>
            <w:r w:rsidRPr="00C86B34">
              <w:rPr>
                <w:sz w:val="22"/>
              </w:rPr>
              <w:t xml:space="preserve">людей з особливими потребами) </w:t>
            </w:r>
            <w:r w:rsidRPr="00C86B34">
              <w:rPr>
                <w:rFonts w:eastAsia="Calibri"/>
                <w:color w:val="000000"/>
                <w:sz w:val="22"/>
              </w:rPr>
              <w:t xml:space="preserve">– сучасних, безпечних та комфортних умов для занять фізичною культурою та спортом, загального оздоровлення, реабілітації, зміцнення генофонду, підвищення потенціалу трудових ресурсів, психофізичного здоров’я, зростання добробуту населення і вирішення інших соціальних проблем, </w:t>
            </w:r>
            <w:r w:rsidRPr="00C86B34">
              <w:rPr>
                <w:sz w:val="22"/>
              </w:rPr>
              <w:t xml:space="preserve"> порушених  внаслідок військового вторгнення </w:t>
            </w:r>
            <w:r w:rsidR="00054BED" w:rsidRPr="00C86B34">
              <w:rPr>
                <w:sz w:val="22"/>
              </w:rPr>
              <w:t>РФ</w:t>
            </w:r>
            <w:r w:rsidRPr="00C86B34">
              <w:rPr>
                <w:sz w:val="22"/>
              </w:rPr>
              <w:t xml:space="preserve"> на територію України.</w:t>
            </w:r>
          </w:p>
          <w:p w:rsidR="00E95FB1" w:rsidRPr="00C86B34" w:rsidRDefault="00E95FB1" w:rsidP="001B3967">
            <w:pPr>
              <w:autoSpaceDE w:val="0"/>
              <w:autoSpaceDN w:val="0"/>
              <w:adjustRightInd w:val="0"/>
              <w:ind w:right="116"/>
              <w:rPr>
                <w:sz w:val="22"/>
              </w:rPr>
            </w:pPr>
            <w:r w:rsidRPr="00C86B34">
              <w:rPr>
                <w:color w:val="212529"/>
                <w:sz w:val="22"/>
                <w:shd w:val="clear" w:color="auto" w:fill="FFFFFF"/>
              </w:rPr>
              <w:t>Популяризація та організації оздоровчої рухової активності як джерела зняття психоемоційної напруги та рівня стресу для всіх груп населення</w:t>
            </w:r>
            <w:r w:rsidRPr="00C86B34">
              <w:rPr>
                <w:sz w:val="22"/>
              </w:rPr>
              <w:t>.</w:t>
            </w:r>
          </w:p>
          <w:p w:rsidR="00E95FB1" w:rsidRPr="00C86B34" w:rsidRDefault="00E95FB1" w:rsidP="001B3967">
            <w:pPr>
              <w:autoSpaceDE w:val="0"/>
              <w:autoSpaceDN w:val="0"/>
              <w:adjustRightInd w:val="0"/>
              <w:ind w:right="116"/>
              <w:rPr>
                <w:color w:val="212529"/>
                <w:sz w:val="22"/>
              </w:rPr>
            </w:pPr>
            <w:r w:rsidRPr="00C86B34">
              <w:rPr>
                <w:color w:val="212529"/>
                <w:sz w:val="22"/>
                <w:shd w:val="clear" w:color="auto" w:fill="FFFFFF"/>
              </w:rPr>
              <w:t>Впровадження якісних змін у систему надання фізкультурно-оздоровчих послуг населенню. З</w:t>
            </w:r>
            <w:r w:rsidRPr="00C86B34">
              <w:rPr>
                <w:color w:val="212529"/>
                <w:sz w:val="22"/>
              </w:rPr>
              <w:t xml:space="preserve">більшення відсотку населення, залученого до занять фізичною культурою і спортом. </w:t>
            </w:r>
          </w:p>
          <w:p w:rsidR="00E95FB1" w:rsidRPr="00C86B34" w:rsidRDefault="00E95FB1" w:rsidP="001B3967">
            <w:pPr>
              <w:autoSpaceDE w:val="0"/>
              <w:autoSpaceDN w:val="0"/>
              <w:adjustRightInd w:val="0"/>
              <w:ind w:right="116"/>
              <w:rPr>
                <w:color w:val="212529"/>
                <w:sz w:val="22"/>
                <w:shd w:val="clear" w:color="auto" w:fill="FFFFFF"/>
              </w:rPr>
            </w:pPr>
            <w:r w:rsidRPr="00C86B34">
              <w:rPr>
                <w:color w:val="212529"/>
                <w:sz w:val="22"/>
              </w:rPr>
              <w:t>Відновлення у повному обсязі проведення всеукраїнських спортивних змагань.</w:t>
            </w:r>
          </w:p>
        </w:tc>
      </w:tr>
      <w:tr w:rsidR="00E95FB1" w:rsidRPr="00C86B34" w:rsidTr="001B3967">
        <w:trPr>
          <w:trHeight w:val="294"/>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Територія, на яку матиме вплив реалізація проекту</w:t>
            </w:r>
          </w:p>
        </w:tc>
        <w:tc>
          <w:tcPr>
            <w:tcW w:w="6995" w:type="dxa"/>
            <w:gridSpan w:val="7"/>
            <w:vAlign w:val="center"/>
          </w:tcPr>
          <w:p w:rsidR="00E95FB1" w:rsidRPr="00C86B34" w:rsidRDefault="00E95FB1" w:rsidP="001B3967">
            <w:pPr>
              <w:autoSpaceDE w:val="0"/>
              <w:autoSpaceDN w:val="0"/>
              <w:adjustRightInd w:val="0"/>
              <w:ind w:left="49" w:right="116"/>
              <w:rPr>
                <w:rFonts w:eastAsia="Calibri"/>
                <w:color w:val="000000"/>
                <w:sz w:val="22"/>
              </w:rPr>
            </w:pPr>
            <w:r w:rsidRPr="00C86B34">
              <w:rPr>
                <w:rFonts w:eastAsia="Calibri"/>
                <w:color w:val="000000"/>
                <w:sz w:val="22"/>
              </w:rPr>
              <w:t>Сєвєродонецька міська територіальна громада.</w:t>
            </w:r>
          </w:p>
        </w:tc>
      </w:tr>
      <w:tr w:rsidR="00E95FB1" w:rsidRPr="00C86B34" w:rsidTr="001B3967">
        <w:trPr>
          <w:trHeight w:val="589"/>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Чисельність населення, на яке матиме вплив реалізація проекту</w:t>
            </w:r>
          </w:p>
        </w:tc>
        <w:tc>
          <w:tcPr>
            <w:tcW w:w="6995" w:type="dxa"/>
            <w:gridSpan w:val="7"/>
            <w:vAlign w:val="center"/>
          </w:tcPr>
          <w:p w:rsidR="00E95FB1" w:rsidRPr="00C86B34" w:rsidRDefault="00E95FB1" w:rsidP="00054BED">
            <w:pPr>
              <w:autoSpaceDE w:val="0"/>
              <w:autoSpaceDN w:val="0"/>
              <w:adjustRightInd w:val="0"/>
              <w:ind w:left="49" w:right="116"/>
              <w:rPr>
                <w:rFonts w:eastAsia="Calibri"/>
                <w:color w:val="000000"/>
                <w:sz w:val="22"/>
              </w:rPr>
            </w:pPr>
            <w:r w:rsidRPr="00C86B34">
              <w:rPr>
                <w:rFonts w:eastAsia="Calibri"/>
                <w:color w:val="000000"/>
                <w:sz w:val="22"/>
              </w:rPr>
              <w:t xml:space="preserve">70 </w:t>
            </w:r>
            <w:r w:rsidR="00054BED" w:rsidRPr="00C86B34">
              <w:rPr>
                <w:rFonts w:eastAsia="Calibri"/>
                <w:color w:val="000000"/>
                <w:sz w:val="22"/>
              </w:rPr>
              <w:t>000</w:t>
            </w:r>
          </w:p>
        </w:tc>
      </w:tr>
      <w:tr w:rsidR="00E95FB1" w:rsidRPr="00C86B34" w:rsidTr="001B3967">
        <w:trPr>
          <w:trHeight w:val="317"/>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Опис проблеми, на вирішення якої спрямований проект</w:t>
            </w:r>
          </w:p>
        </w:tc>
        <w:tc>
          <w:tcPr>
            <w:tcW w:w="6995" w:type="dxa"/>
            <w:gridSpan w:val="7"/>
          </w:tcPr>
          <w:p w:rsidR="00E95FB1" w:rsidRPr="00C86B34" w:rsidRDefault="00E95FB1" w:rsidP="001B3967">
            <w:pPr>
              <w:autoSpaceDE w:val="0"/>
              <w:autoSpaceDN w:val="0"/>
              <w:adjustRightInd w:val="0"/>
              <w:ind w:left="49" w:right="116"/>
              <w:rPr>
                <w:sz w:val="22"/>
              </w:rPr>
            </w:pPr>
            <w:r w:rsidRPr="00C86B34">
              <w:rPr>
                <w:rFonts w:eastAsia="Calibri"/>
                <w:color w:val="000000"/>
                <w:sz w:val="22"/>
              </w:rPr>
              <w:t xml:space="preserve">Сьогодні сфера фізичної культури і спорту вносить великий внесок у формування обороноздатності держави, оскільки виховує здорову, підготовлену людину, </w:t>
            </w:r>
            <w:r w:rsidRPr="00C86B34">
              <w:rPr>
                <w:color w:val="000000"/>
                <w:sz w:val="22"/>
              </w:rPr>
              <w:t>здатну для виконання свого конституційного обов’язку щодо захисту суверенітету та територіальної цілісності держави.</w:t>
            </w:r>
            <w:r w:rsidRPr="00C86B34">
              <w:rPr>
                <w:b/>
                <w:color w:val="000000"/>
                <w:sz w:val="22"/>
              </w:rPr>
              <w:t xml:space="preserve"> </w:t>
            </w:r>
            <w:r w:rsidRPr="00C86B34">
              <w:rPr>
                <w:sz w:val="22"/>
                <w:shd w:val="clear" w:color="auto" w:fill="FFFFFF"/>
              </w:rPr>
              <w:t xml:space="preserve"> Також попри війну спортсмени нашої громади продовжують виборювати нагороди на різних рівнях.</w:t>
            </w:r>
          </w:p>
          <w:p w:rsidR="00E95FB1" w:rsidRPr="00C86B34" w:rsidRDefault="00E95FB1" w:rsidP="001B3967">
            <w:pPr>
              <w:autoSpaceDE w:val="0"/>
              <w:autoSpaceDN w:val="0"/>
              <w:adjustRightInd w:val="0"/>
              <w:ind w:left="49" w:right="116"/>
              <w:rPr>
                <w:color w:val="000000"/>
                <w:sz w:val="22"/>
              </w:rPr>
            </w:pPr>
            <w:r w:rsidRPr="00C86B34">
              <w:rPr>
                <w:color w:val="000000"/>
                <w:sz w:val="22"/>
              </w:rPr>
              <w:t xml:space="preserve">Тому розвиток сфери фізичної культури і спорту, відновлення спортивної інфраструктури має стратегічне значення. </w:t>
            </w:r>
          </w:p>
          <w:p w:rsidR="00E95FB1" w:rsidRPr="00C86B34" w:rsidRDefault="00E95FB1" w:rsidP="00A27B12">
            <w:pPr>
              <w:autoSpaceDE w:val="0"/>
              <w:autoSpaceDN w:val="0"/>
              <w:adjustRightInd w:val="0"/>
              <w:ind w:left="49" w:right="116"/>
              <w:rPr>
                <w:rFonts w:eastAsia="Calibri"/>
                <w:color w:val="000000"/>
                <w:sz w:val="22"/>
              </w:rPr>
            </w:pPr>
            <w:r w:rsidRPr="00C86B34">
              <w:rPr>
                <w:rFonts w:eastAsia="Calibri"/>
                <w:color w:val="000000"/>
                <w:sz w:val="22"/>
              </w:rPr>
              <w:t>Внаслідок ведення активних бойових дій на території Сєвєродонецької міської територіальної громади будівля басейну КДЮСШ 4 міста Сєвєродонецьк Луганської області зазнала значних руйнувань та пошкоджень. П</w:t>
            </w:r>
            <w:r w:rsidRPr="00C86B34">
              <w:rPr>
                <w:sz w:val="22"/>
              </w:rPr>
              <w:t xml:space="preserve">ошкоджено дах споруди від влучання бойових снарядів (понад 4-5 влучань), внаслідок чого по всій будівлі вилетіли вікна, двері. Також були влучання з бокової частини будівлі, що додатково нанесло більш складні пошкодження, в адміністративних та підсобних приміщеннях. </w:t>
            </w:r>
            <w:r w:rsidRPr="00C86B34">
              <w:rPr>
                <w:rFonts w:eastAsia="Calibri"/>
                <w:sz w:val="22"/>
              </w:rPr>
              <w:t>Енергосистема будівлі пошкоджена уламками від снарядів, пожежею та відсутністю догляду за нею. Через отримані пошкодження будівля також зазнала руйнувань негодою (дощ, сніг, вітер).</w:t>
            </w:r>
            <w:r w:rsidRPr="00C86B34">
              <w:rPr>
                <w:rFonts w:eastAsia="Calibri"/>
                <w:color w:val="000000"/>
                <w:sz w:val="22"/>
              </w:rPr>
              <w:t xml:space="preserve"> Згоріло: спортивне обладнання та інвентар, оргтехніка, меблі, медичне обладнання. </w:t>
            </w:r>
          </w:p>
        </w:tc>
      </w:tr>
      <w:tr w:rsidR="00E95FB1" w:rsidRPr="00C86B34" w:rsidTr="001B3967">
        <w:trPr>
          <w:trHeight w:val="536"/>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Очікувані якісні результати від реалізації проекту</w:t>
            </w:r>
          </w:p>
        </w:tc>
        <w:tc>
          <w:tcPr>
            <w:tcW w:w="6995" w:type="dxa"/>
            <w:gridSpan w:val="7"/>
          </w:tcPr>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rFonts w:eastAsia="Calibri"/>
                <w:sz w:val="22"/>
              </w:rPr>
              <w:t>Відновлення роботи в громаді 25-ти метрового басейну</w:t>
            </w:r>
            <w:r w:rsidR="00A27B12" w:rsidRPr="00C86B34">
              <w:rPr>
                <w:rFonts w:eastAsia="Calibri"/>
                <w:sz w:val="22"/>
              </w:rPr>
              <w:t>.</w:t>
            </w:r>
          </w:p>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rFonts w:eastAsia="Calibri"/>
                <w:sz w:val="22"/>
              </w:rPr>
              <w:t>Відновлення навчально-тренувального процесу з видів спорту: плавання та сучасне п’ятиборство.</w:t>
            </w:r>
          </w:p>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rFonts w:eastAsia="Calibri"/>
                <w:sz w:val="22"/>
              </w:rPr>
              <w:t>Підготовка спортсменів для резервного спорту.</w:t>
            </w:r>
          </w:p>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rFonts w:eastAsia="Calibri"/>
                <w:sz w:val="22"/>
              </w:rPr>
              <w:lastRenderedPageBreak/>
              <w:t>Відновлення програми навчання плаванню учнів навчальних класів загальноосвітніх шкіл.</w:t>
            </w:r>
          </w:p>
          <w:p w:rsidR="00E95FB1" w:rsidRPr="00C86B34" w:rsidRDefault="00E95FB1" w:rsidP="000303D7">
            <w:pPr>
              <w:numPr>
                <w:ilvl w:val="0"/>
                <w:numId w:val="43"/>
              </w:numPr>
              <w:tabs>
                <w:tab w:val="left" w:pos="333"/>
                <w:tab w:val="left" w:pos="750"/>
              </w:tabs>
              <w:autoSpaceDE w:val="0"/>
              <w:autoSpaceDN w:val="0"/>
              <w:adjustRightInd w:val="0"/>
              <w:ind w:left="329" w:right="113" w:hanging="284"/>
              <w:rPr>
                <w:rFonts w:eastAsia="Calibri"/>
                <w:sz w:val="22"/>
              </w:rPr>
            </w:pPr>
            <w:r w:rsidRPr="00C86B34">
              <w:rPr>
                <w:rFonts w:eastAsia="Calibri"/>
                <w:sz w:val="22"/>
              </w:rPr>
              <w:t>Проведення місцевих та регіональних змагань.</w:t>
            </w:r>
          </w:p>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rFonts w:eastAsia="Calibri"/>
                <w:sz w:val="22"/>
              </w:rPr>
              <w:t>Проведення навчально-тренувальних зборів.</w:t>
            </w:r>
          </w:p>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rFonts w:eastAsia="Calibri"/>
                <w:sz w:val="22"/>
              </w:rPr>
              <w:t>Проведення пришкільних спортивних таборів (повноцінного оздоровлення).</w:t>
            </w:r>
          </w:p>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sz w:val="22"/>
              </w:rPr>
              <w:t>Забезпечення доступу мешканцям громади з особливими потребами до послуг басейну.</w:t>
            </w:r>
          </w:p>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sz w:val="22"/>
              </w:rPr>
              <w:t>Впровадження та розвиток реабілітаційних заходів для мешканців громади, постраждалих від бойових дій.</w:t>
            </w:r>
          </w:p>
        </w:tc>
      </w:tr>
      <w:tr w:rsidR="00E95FB1" w:rsidRPr="00C86B34" w:rsidTr="001B3967">
        <w:trPr>
          <w:trHeight w:val="589"/>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lastRenderedPageBreak/>
              <w:t>Очікувані кількісні результати від реалізації проекту  (індикатори)</w:t>
            </w:r>
          </w:p>
        </w:tc>
        <w:tc>
          <w:tcPr>
            <w:tcW w:w="3348" w:type="dxa"/>
            <w:gridSpan w:val="3"/>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Найменування показника</w:t>
            </w:r>
          </w:p>
        </w:tc>
        <w:tc>
          <w:tcPr>
            <w:tcW w:w="1122"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Одиниця вимірювання</w:t>
            </w:r>
          </w:p>
        </w:tc>
        <w:tc>
          <w:tcPr>
            <w:tcW w:w="2525"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Прогнозне (цільове) значення</w:t>
            </w:r>
          </w:p>
        </w:tc>
      </w:tr>
      <w:tr w:rsidR="00E95FB1" w:rsidRPr="00C86B34" w:rsidTr="001B3967">
        <w:trPr>
          <w:trHeight w:val="294"/>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348" w:type="dxa"/>
            <w:gridSpan w:val="3"/>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одночасна пропускна здатність басейну</w:t>
            </w:r>
          </w:p>
        </w:tc>
        <w:tc>
          <w:tcPr>
            <w:tcW w:w="1122"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w:t>
            </w:r>
          </w:p>
        </w:tc>
        <w:tc>
          <w:tcPr>
            <w:tcW w:w="2525" w:type="dxa"/>
            <w:gridSpan w:val="2"/>
          </w:tcPr>
          <w:p w:rsidR="00E95FB1" w:rsidRPr="00C86B34" w:rsidRDefault="00E95FB1" w:rsidP="001B3967">
            <w:pPr>
              <w:autoSpaceDE w:val="0"/>
              <w:autoSpaceDN w:val="0"/>
              <w:adjustRightInd w:val="0"/>
              <w:jc w:val="center"/>
              <w:rPr>
                <w:rFonts w:eastAsia="Calibri"/>
                <w:sz w:val="22"/>
              </w:rPr>
            </w:pPr>
            <w:r w:rsidRPr="00C86B34">
              <w:rPr>
                <w:rFonts w:eastAsia="Calibri"/>
                <w:sz w:val="22"/>
              </w:rPr>
              <w:t>32</w:t>
            </w:r>
          </w:p>
        </w:tc>
      </w:tr>
      <w:tr w:rsidR="00E95FB1" w:rsidRPr="00C86B34" w:rsidTr="001B3967">
        <w:trPr>
          <w:trHeight w:val="294"/>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348" w:type="dxa"/>
            <w:gridSpan w:val="3"/>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кількість вихованців (спортсменів)</w:t>
            </w:r>
          </w:p>
        </w:tc>
        <w:tc>
          <w:tcPr>
            <w:tcW w:w="1122"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осіб/день</w:t>
            </w:r>
          </w:p>
        </w:tc>
        <w:tc>
          <w:tcPr>
            <w:tcW w:w="2525" w:type="dxa"/>
            <w:gridSpan w:val="2"/>
          </w:tcPr>
          <w:p w:rsidR="00E95FB1" w:rsidRPr="00C86B34" w:rsidRDefault="00E95FB1" w:rsidP="001B3967">
            <w:pPr>
              <w:autoSpaceDE w:val="0"/>
              <w:autoSpaceDN w:val="0"/>
              <w:adjustRightInd w:val="0"/>
              <w:jc w:val="center"/>
              <w:rPr>
                <w:rFonts w:eastAsia="Calibri"/>
                <w:sz w:val="22"/>
              </w:rPr>
            </w:pPr>
            <w:r w:rsidRPr="00C86B34">
              <w:rPr>
                <w:rFonts w:eastAsia="Calibri"/>
                <w:sz w:val="22"/>
              </w:rPr>
              <w:t>200</w:t>
            </w:r>
          </w:p>
        </w:tc>
      </w:tr>
      <w:tr w:rsidR="00E95FB1" w:rsidRPr="00C86B34" w:rsidTr="001B3967">
        <w:trPr>
          <w:trHeight w:val="294"/>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348" w:type="dxa"/>
            <w:gridSpan w:val="3"/>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кількість отримувачів послуг</w:t>
            </w:r>
          </w:p>
        </w:tc>
        <w:tc>
          <w:tcPr>
            <w:tcW w:w="1122"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осіб/день</w:t>
            </w:r>
          </w:p>
        </w:tc>
        <w:tc>
          <w:tcPr>
            <w:tcW w:w="2525" w:type="dxa"/>
            <w:gridSpan w:val="2"/>
          </w:tcPr>
          <w:p w:rsidR="00E95FB1" w:rsidRPr="00C86B34" w:rsidRDefault="00E95FB1" w:rsidP="001B3967">
            <w:pPr>
              <w:autoSpaceDE w:val="0"/>
              <w:autoSpaceDN w:val="0"/>
              <w:adjustRightInd w:val="0"/>
              <w:jc w:val="center"/>
              <w:rPr>
                <w:rFonts w:eastAsia="Calibri"/>
                <w:sz w:val="22"/>
              </w:rPr>
            </w:pPr>
            <w:r w:rsidRPr="00C86B34">
              <w:rPr>
                <w:rFonts w:eastAsia="Calibri"/>
                <w:sz w:val="22"/>
              </w:rPr>
              <w:t>150</w:t>
            </w:r>
          </w:p>
        </w:tc>
      </w:tr>
      <w:tr w:rsidR="00E95FB1" w:rsidRPr="00C86B34" w:rsidTr="001B3967">
        <w:trPr>
          <w:trHeight w:val="202"/>
        </w:trPr>
        <w:tc>
          <w:tcPr>
            <w:tcW w:w="2724" w:type="dxa"/>
            <w:tcBorders>
              <w:bottom w:val="single" w:sz="4" w:space="0" w:color="auto"/>
            </w:tcBorders>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Ключові заходи проекту:</w:t>
            </w:r>
          </w:p>
        </w:tc>
        <w:tc>
          <w:tcPr>
            <w:tcW w:w="6995" w:type="dxa"/>
            <w:gridSpan w:val="7"/>
          </w:tcPr>
          <w:p w:rsidR="00E95FB1" w:rsidRPr="00C86B34" w:rsidRDefault="00E95FB1" w:rsidP="000303D7">
            <w:pPr>
              <w:numPr>
                <w:ilvl w:val="0"/>
                <w:numId w:val="50"/>
              </w:numPr>
              <w:tabs>
                <w:tab w:val="left" w:pos="333"/>
              </w:tabs>
              <w:autoSpaceDE w:val="0"/>
              <w:autoSpaceDN w:val="0"/>
              <w:adjustRightInd w:val="0"/>
              <w:ind w:right="112" w:hanging="676"/>
              <w:rPr>
                <w:rFonts w:eastAsia="Calibri"/>
                <w:color w:val="000000"/>
                <w:sz w:val="22"/>
              </w:rPr>
            </w:pPr>
            <w:r w:rsidRPr="00C86B34">
              <w:rPr>
                <w:rFonts w:eastAsia="Calibri"/>
                <w:color w:val="000000"/>
                <w:sz w:val="22"/>
              </w:rPr>
              <w:t>оцінка спеціально створеною комісією завданих будівлі руйнувань (пошкоджень) та матеріальних збитків</w:t>
            </w:r>
          </w:p>
          <w:p w:rsidR="00E95FB1" w:rsidRPr="00C86B34" w:rsidRDefault="00E95FB1" w:rsidP="000303D7">
            <w:pPr>
              <w:numPr>
                <w:ilvl w:val="0"/>
                <w:numId w:val="50"/>
              </w:numPr>
              <w:tabs>
                <w:tab w:val="left" w:pos="333"/>
              </w:tabs>
              <w:autoSpaceDE w:val="0"/>
              <w:autoSpaceDN w:val="0"/>
              <w:adjustRightInd w:val="0"/>
              <w:ind w:right="112" w:hanging="676"/>
              <w:rPr>
                <w:rFonts w:eastAsia="Calibri"/>
                <w:color w:val="000000"/>
                <w:sz w:val="22"/>
              </w:rPr>
            </w:pPr>
            <w:r w:rsidRPr="00C86B34">
              <w:rPr>
                <w:rFonts w:eastAsia="Calibri"/>
                <w:color w:val="000000"/>
                <w:sz w:val="22"/>
              </w:rPr>
              <w:t xml:space="preserve">розробка </w:t>
            </w:r>
            <w:proofErr w:type="spellStart"/>
            <w:r w:rsidRPr="00C86B34">
              <w:rPr>
                <w:rFonts w:eastAsia="Calibri"/>
                <w:color w:val="000000"/>
                <w:sz w:val="22"/>
              </w:rPr>
              <w:t>проєктно</w:t>
            </w:r>
            <w:proofErr w:type="spellEnd"/>
            <w:r w:rsidRPr="00C86B34">
              <w:rPr>
                <w:rFonts w:eastAsia="Calibri"/>
                <w:color w:val="000000"/>
                <w:sz w:val="22"/>
              </w:rPr>
              <w:t>-кошторисної документації</w:t>
            </w:r>
          </w:p>
          <w:p w:rsidR="00E95FB1" w:rsidRPr="00C86B34" w:rsidRDefault="00E95FB1" w:rsidP="000303D7">
            <w:pPr>
              <w:numPr>
                <w:ilvl w:val="0"/>
                <w:numId w:val="50"/>
              </w:numPr>
              <w:tabs>
                <w:tab w:val="left" w:pos="333"/>
              </w:tabs>
              <w:autoSpaceDE w:val="0"/>
              <w:autoSpaceDN w:val="0"/>
              <w:adjustRightInd w:val="0"/>
              <w:ind w:right="112" w:hanging="676"/>
              <w:rPr>
                <w:rFonts w:eastAsia="Calibri"/>
                <w:color w:val="000000"/>
                <w:sz w:val="22"/>
              </w:rPr>
            </w:pPr>
            <w:r w:rsidRPr="00C86B34">
              <w:rPr>
                <w:rFonts w:eastAsia="Calibri"/>
                <w:color w:val="000000"/>
                <w:sz w:val="22"/>
              </w:rPr>
              <w:t>визначення підрядної організації для проведення будівельних робіт</w:t>
            </w:r>
          </w:p>
          <w:p w:rsidR="00E95FB1" w:rsidRPr="00C86B34" w:rsidRDefault="00E95FB1" w:rsidP="000303D7">
            <w:pPr>
              <w:numPr>
                <w:ilvl w:val="0"/>
                <w:numId w:val="50"/>
              </w:numPr>
              <w:tabs>
                <w:tab w:val="left" w:pos="333"/>
              </w:tabs>
              <w:autoSpaceDE w:val="0"/>
              <w:autoSpaceDN w:val="0"/>
              <w:adjustRightInd w:val="0"/>
              <w:ind w:right="112" w:hanging="676"/>
              <w:rPr>
                <w:rFonts w:eastAsia="Calibri"/>
                <w:color w:val="000000"/>
                <w:sz w:val="22"/>
              </w:rPr>
            </w:pPr>
            <w:r w:rsidRPr="00C86B34">
              <w:rPr>
                <w:rFonts w:eastAsia="Calibri"/>
                <w:color w:val="000000"/>
                <w:sz w:val="22"/>
              </w:rPr>
              <w:t>виконання будівельних робіт:</w:t>
            </w:r>
          </w:p>
          <w:p w:rsidR="00E95FB1" w:rsidRPr="00C86B34" w:rsidRDefault="00E95FB1" w:rsidP="000303D7">
            <w:pPr>
              <w:numPr>
                <w:ilvl w:val="0"/>
                <w:numId w:val="52"/>
              </w:numPr>
              <w:tabs>
                <w:tab w:val="left" w:pos="333"/>
              </w:tabs>
              <w:autoSpaceDE w:val="0"/>
              <w:autoSpaceDN w:val="0"/>
              <w:adjustRightInd w:val="0"/>
              <w:ind w:right="112"/>
              <w:rPr>
                <w:rFonts w:eastAsia="Calibri"/>
                <w:color w:val="000000"/>
                <w:sz w:val="22"/>
              </w:rPr>
            </w:pPr>
            <w:r w:rsidRPr="00C86B34">
              <w:rPr>
                <w:rFonts w:eastAsia="Calibri"/>
                <w:color w:val="000000"/>
                <w:sz w:val="22"/>
              </w:rPr>
              <w:t>ремонт даху</w:t>
            </w:r>
          </w:p>
          <w:p w:rsidR="00E95FB1" w:rsidRPr="00C86B34" w:rsidRDefault="00E95FB1" w:rsidP="000303D7">
            <w:pPr>
              <w:numPr>
                <w:ilvl w:val="0"/>
                <w:numId w:val="52"/>
              </w:numPr>
              <w:tabs>
                <w:tab w:val="left" w:pos="333"/>
              </w:tabs>
              <w:autoSpaceDE w:val="0"/>
              <w:autoSpaceDN w:val="0"/>
              <w:adjustRightInd w:val="0"/>
              <w:ind w:right="112"/>
              <w:rPr>
                <w:rFonts w:eastAsia="Calibri"/>
                <w:color w:val="000000"/>
                <w:sz w:val="22"/>
              </w:rPr>
            </w:pPr>
            <w:r w:rsidRPr="00C86B34">
              <w:rPr>
                <w:rFonts w:eastAsia="Calibri"/>
                <w:color w:val="000000"/>
                <w:sz w:val="22"/>
              </w:rPr>
              <w:t>заміна пошкоджених вікон, дверей</w:t>
            </w:r>
          </w:p>
          <w:p w:rsidR="00E95FB1" w:rsidRPr="00C86B34" w:rsidRDefault="00E95FB1" w:rsidP="000303D7">
            <w:pPr>
              <w:numPr>
                <w:ilvl w:val="0"/>
                <w:numId w:val="52"/>
              </w:numPr>
              <w:tabs>
                <w:tab w:val="left" w:pos="333"/>
              </w:tabs>
              <w:autoSpaceDE w:val="0"/>
              <w:autoSpaceDN w:val="0"/>
              <w:adjustRightInd w:val="0"/>
              <w:ind w:right="112"/>
              <w:rPr>
                <w:rFonts w:eastAsia="Calibri"/>
                <w:color w:val="000000"/>
                <w:sz w:val="22"/>
              </w:rPr>
            </w:pPr>
            <w:r w:rsidRPr="00C86B34">
              <w:rPr>
                <w:rFonts w:eastAsia="Calibri"/>
                <w:color w:val="000000"/>
                <w:sz w:val="22"/>
              </w:rPr>
              <w:t>реконструкція модульної котельні (установка  додаткового котла меншої потужності на літній період)</w:t>
            </w:r>
          </w:p>
          <w:p w:rsidR="00E95FB1" w:rsidRPr="00C86B34" w:rsidRDefault="00E95FB1" w:rsidP="000303D7">
            <w:pPr>
              <w:numPr>
                <w:ilvl w:val="0"/>
                <w:numId w:val="52"/>
              </w:numPr>
              <w:tabs>
                <w:tab w:val="left" w:pos="333"/>
              </w:tabs>
              <w:autoSpaceDE w:val="0"/>
              <w:autoSpaceDN w:val="0"/>
              <w:adjustRightInd w:val="0"/>
              <w:ind w:right="112"/>
              <w:rPr>
                <w:rFonts w:eastAsia="Calibri"/>
                <w:color w:val="000000"/>
                <w:sz w:val="22"/>
              </w:rPr>
            </w:pPr>
            <w:r w:rsidRPr="00C86B34">
              <w:rPr>
                <w:sz w:val="22"/>
              </w:rPr>
              <w:t>капітальний ремонт системи опалення та інженерних мереж</w:t>
            </w:r>
          </w:p>
          <w:p w:rsidR="00E95FB1" w:rsidRPr="00C86B34" w:rsidRDefault="00E95FB1" w:rsidP="000303D7">
            <w:pPr>
              <w:numPr>
                <w:ilvl w:val="0"/>
                <w:numId w:val="52"/>
              </w:numPr>
              <w:tabs>
                <w:tab w:val="left" w:pos="333"/>
              </w:tabs>
              <w:autoSpaceDE w:val="0"/>
              <w:autoSpaceDN w:val="0"/>
              <w:adjustRightInd w:val="0"/>
              <w:ind w:right="112"/>
              <w:rPr>
                <w:rFonts w:eastAsia="Calibri"/>
                <w:color w:val="000000"/>
                <w:sz w:val="22"/>
              </w:rPr>
            </w:pPr>
            <w:r w:rsidRPr="00C86B34">
              <w:rPr>
                <w:sz w:val="22"/>
              </w:rPr>
              <w:t>капітальний ремонт системи фільтрації води для басейну</w:t>
            </w:r>
          </w:p>
          <w:p w:rsidR="00E95FB1" w:rsidRPr="00C86B34" w:rsidRDefault="00E95FB1" w:rsidP="000303D7">
            <w:pPr>
              <w:numPr>
                <w:ilvl w:val="0"/>
                <w:numId w:val="52"/>
              </w:numPr>
              <w:tabs>
                <w:tab w:val="left" w:pos="333"/>
              </w:tabs>
              <w:autoSpaceDE w:val="0"/>
              <w:autoSpaceDN w:val="0"/>
              <w:adjustRightInd w:val="0"/>
              <w:ind w:right="112"/>
              <w:rPr>
                <w:rFonts w:eastAsia="Calibri"/>
                <w:color w:val="000000"/>
                <w:sz w:val="22"/>
              </w:rPr>
            </w:pPr>
            <w:r w:rsidRPr="00C86B34">
              <w:rPr>
                <w:sz w:val="22"/>
              </w:rPr>
              <w:t>установка автоматичної системи обеззараження води</w:t>
            </w:r>
          </w:p>
          <w:p w:rsidR="00E95FB1" w:rsidRPr="00C86B34" w:rsidRDefault="00E95FB1" w:rsidP="000303D7">
            <w:pPr>
              <w:numPr>
                <w:ilvl w:val="0"/>
                <w:numId w:val="52"/>
              </w:numPr>
              <w:tabs>
                <w:tab w:val="left" w:pos="333"/>
              </w:tabs>
              <w:autoSpaceDE w:val="0"/>
              <w:autoSpaceDN w:val="0"/>
              <w:adjustRightInd w:val="0"/>
              <w:ind w:right="112"/>
              <w:rPr>
                <w:rFonts w:eastAsia="Calibri"/>
                <w:color w:val="000000"/>
                <w:sz w:val="22"/>
              </w:rPr>
            </w:pPr>
            <w:r w:rsidRPr="00C86B34">
              <w:rPr>
                <w:sz w:val="22"/>
              </w:rPr>
              <w:t xml:space="preserve">облаштування системи </w:t>
            </w:r>
            <w:proofErr w:type="spellStart"/>
            <w:r w:rsidRPr="00C86B34">
              <w:rPr>
                <w:sz w:val="22"/>
              </w:rPr>
              <w:t>відеонагляду</w:t>
            </w:r>
            <w:proofErr w:type="spellEnd"/>
            <w:r w:rsidRPr="00C86B34">
              <w:rPr>
                <w:sz w:val="22"/>
              </w:rPr>
              <w:t xml:space="preserve"> та відеоспостереження</w:t>
            </w:r>
          </w:p>
          <w:p w:rsidR="00E95FB1" w:rsidRPr="00C86B34" w:rsidRDefault="00E95FB1" w:rsidP="000303D7">
            <w:pPr>
              <w:numPr>
                <w:ilvl w:val="0"/>
                <w:numId w:val="52"/>
              </w:numPr>
              <w:tabs>
                <w:tab w:val="left" w:pos="333"/>
              </w:tabs>
              <w:autoSpaceDE w:val="0"/>
              <w:autoSpaceDN w:val="0"/>
              <w:adjustRightInd w:val="0"/>
              <w:ind w:right="112"/>
              <w:rPr>
                <w:rFonts w:eastAsia="Calibri"/>
                <w:color w:val="000000"/>
                <w:sz w:val="22"/>
              </w:rPr>
            </w:pPr>
            <w:r w:rsidRPr="00C86B34">
              <w:rPr>
                <w:sz w:val="22"/>
              </w:rPr>
              <w:t>облаштування  системи рекуперації повітря</w:t>
            </w:r>
          </w:p>
          <w:p w:rsidR="00E95FB1" w:rsidRPr="00C86B34" w:rsidRDefault="00E95FB1" w:rsidP="000303D7">
            <w:pPr>
              <w:numPr>
                <w:ilvl w:val="0"/>
                <w:numId w:val="52"/>
              </w:numPr>
              <w:tabs>
                <w:tab w:val="left" w:pos="333"/>
              </w:tabs>
              <w:autoSpaceDE w:val="0"/>
              <w:autoSpaceDN w:val="0"/>
              <w:adjustRightInd w:val="0"/>
              <w:ind w:right="112"/>
              <w:rPr>
                <w:rFonts w:eastAsia="Calibri"/>
                <w:color w:val="000000"/>
                <w:sz w:val="22"/>
              </w:rPr>
            </w:pPr>
            <w:r w:rsidRPr="00C86B34">
              <w:rPr>
                <w:sz w:val="22"/>
              </w:rPr>
              <w:t>ремонт приміщень (адміністративні та господарчі приміщення, коридори, сходи)</w:t>
            </w:r>
          </w:p>
          <w:p w:rsidR="00E95FB1" w:rsidRPr="00C86B34" w:rsidRDefault="00E95FB1" w:rsidP="000303D7">
            <w:pPr>
              <w:numPr>
                <w:ilvl w:val="0"/>
                <w:numId w:val="52"/>
              </w:numPr>
              <w:tabs>
                <w:tab w:val="left" w:pos="333"/>
              </w:tabs>
              <w:rPr>
                <w:sz w:val="22"/>
              </w:rPr>
            </w:pPr>
            <w:r w:rsidRPr="00C86B34">
              <w:rPr>
                <w:sz w:val="22"/>
              </w:rPr>
              <w:t>ремонт центрального входу будівлі</w:t>
            </w:r>
          </w:p>
          <w:p w:rsidR="00E95FB1" w:rsidRPr="00C86B34" w:rsidRDefault="00E95FB1" w:rsidP="000303D7">
            <w:pPr>
              <w:numPr>
                <w:ilvl w:val="0"/>
                <w:numId w:val="52"/>
              </w:numPr>
              <w:tabs>
                <w:tab w:val="left" w:pos="333"/>
              </w:tabs>
              <w:rPr>
                <w:sz w:val="22"/>
              </w:rPr>
            </w:pPr>
            <w:r w:rsidRPr="00C86B34">
              <w:rPr>
                <w:sz w:val="22"/>
              </w:rPr>
              <w:t>відновлення утеплення фасаду</w:t>
            </w:r>
          </w:p>
          <w:p w:rsidR="00E95FB1" w:rsidRPr="00C86B34" w:rsidRDefault="00E95FB1" w:rsidP="000303D7">
            <w:pPr>
              <w:numPr>
                <w:ilvl w:val="0"/>
                <w:numId w:val="52"/>
              </w:numPr>
              <w:tabs>
                <w:tab w:val="left" w:pos="333"/>
              </w:tabs>
              <w:rPr>
                <w:sz w:val="22"/>
              </w:rPr>
            </w:pPr>
            <w:r w:rsidRPr="00C86B34">
              <w:rPr>
                <w:sz w:val="22"/>
              </w:rPr>
              <w:t xml:space="preserve">встановлення сонячних </w:t>
            </w:r>
            <w:proofErr w:type="spellStart"/>
            <w:r w:rsidRPr="00C86B34">
              <w:rPr>
                <w:sz w:val="22"/>
              </w:rPr>
              <w:t>батарей</w:t>
            </w:r>
            <w:proofErr w:type="spellEnd"/>
          </w:p>
          <w:p w:rsidR="00E95FB1" w:rsidRPr="00C86B34" w:rsidRDefault="00E95FB1" w:rsidP="000303D7">
            <w:pPr>
              <w:numPr>
                <w:ilvl w:val="0"/>
                <w:numId w:val="52"/>
              </w:numPr>
              <w:tabs>
                <w:tab w:val="left" w:pos="333"/>
              </w:tabs>
              <w:autoSpaceDE w:val="0"/>
              <w:autoSpaceDN w:val="0"/>
              <w:adjustRightInd w:val="0"/>
              <w:ind w:right="112"/>
              <w:rPr>
                <w:rFonts w:eastAsia="Calibri"/>
                <w:color w:val="000000"/>
                <w:sz w:val="22"/>
              </w:rPr>
            </w:pPr>
            <w:r w:rsidRPr="00C86B34">
              <w:rPr>
                <w:sz w:val="22"/>
              </w:rPr>
              <w:t>облаштування доступу осіб з інвалідністю до тренажерної зали, роздягальнь, туалетів, душових</w:t>
            </w:r>
          </w:p>
          <w:p w:rsidR="00E95FB1" w:rsidRPr="00C86B34" w:rsidRDefault="00E95FB1" w:rsidP="000303D7">
            <w:pPr>
              <w:numPr>
                <w:ilvl w:val="0"/>
                <w:numId w:val="52"/>
              </w:numPr>
              <w:autoSpaceDE w:val="0"/>
              <w:autoSpaceDN w:val="0"/>
              <w:adjustRightInd w:val="0"/>
              <w:ind w:right="116"/>
              <w:rPr>
                <w:rFonts w:eastAsia="Calibri"/>
                <w:color w:val="000000"/>
                <w:sz w:val="22"/>
              </w:rPr>
            </w:pPr>
            <w:r w:rsidRPr="00C86B34">
              <w:rPr>
                <w:sz w:val="22"/>
              </w:rPr>
              <w:t xml:space="preserve">благоустрій прилеглої території </w:t>
            </w:r>
            <w:r w:rsidRPr="00C86B34">
              <w:rPr>
                <w:rFonts w:eastAsia="Calibri"/>
                <w:color w:val="000000"/>
                <w:sz w:val="22"/>
              </w:rPr>
              <w:t xml:space="preserve"> </w:t>
            </w:r>
          </w:p>
          <w:p w:rsidR="00E95FB1" w:rsidRPr="00C86B34" w:rsidRDefault="00E95FB1" w:rsidP="000303D7">
            <w:pPr>
              <w:numPr>
                <w:ilvl w:val="0"/>
                <w:numId w:val="52"/>
              </w:numPr>
              <w:autoSpaceDE w:val="0"/>
              <w:autoSpaceDN w:val="0"/>
              <w:adjustRightInd w:val="0"/>
              <w:ind w:right="116"/>
              <w:jc w:val="left"/>
              <w:rPr>
                <w:rFonts w:eastAsia="Calibri"/>
                <w:sz w:val="22"/>
              </w:rPr>
            </w:pPr>
            <w:r w:rsidRPr="00C86B34">
              <w:rPr>
                <w:color w:val="000000"/>
                <w:sz w:val="22"/>
              </w:rPr>
              <w:t>встановлення системи кондиціювання</w:t>
            </w:r>
          </w:p>
          <w:p w:rsidR="00E95FB1" w:rsidRPr="00C86B34" w:rsidRDefault="00E95FB1" w:rsidP="000303D7">
            <w:pPr>
              <w:numPr>
                <w:ilvl w:val="0"/>
                <w:numId w:val="52"/>
              </w:numPr>
              <w:tabs>
                <w:tab w:val="left" w:pos="333"/>
              </w:tabs>
              <w:autoSpaceDE w:val="0"/>
              <w:autoSpaceDN w:val="0"/>
              <w:adjustRightInd w:val="0"/>
              <w:ind w:right="112"/>
              <w:rPr>
                <w:rFonts w:eastAsia="Calibri"/>
                <w:color w:val="000000"/>
                <w:sz w:val="22"/>
              </w:rPr>
            </w:pPr>
            <w:r w:rsidRPr="00C86B34">
              <w:rPr>
                <w:sz w:val="22"/>
              </w:rPr>
              <w:t>встановлення автоматичної системи знезараження води</w:t>
            </w:r>
          </w:p>
          <w:p w:rsidR="00E95FB1" w:rsidRPr="00C86B34" w:rsidRDefault="00E95FB1" w:rsidP="000303D7">
            <w:pPr>
              <w:numPr>
                <w:ilvl w:val="0"/>
                <w:numId w:val="52"/>
              </w:numPr>
              <w:autoSpaceDE w:val="0"/>
              <w:autoSpaceDN w:val="0"/>
              <w:adjustRightInd w:val="0"/>
              <w:ind w:right="116"/>
              <w:rPr>
                <w:color w:val="000000"/>
                <w:sz w:val="22"/>
              </w:rPr>
            </w:pPr>
            <w:r w:rsidRPr="00C86B34">
              <w:rPr>
                <w:color w:val="000000"/>
                <w:sz w:val="22"/>
              </w:rPr>
              <w:t>встановлення ультрафіолетової системи фільтрації</w:t>
            </w:r>
          </w:p>
          <w:p w:rsidR="00E95FB1" w:rsidRPr="00C86B34" w:rsidRDefault="00E95FB1" w:rsidP="000303D7">
            <w:pPr>
              <w:numPr>
                <w:ilvl w:val="0"/>
                <w:numId w:val="30"/>
              </w:numPr>
              <w:tabs>
                <w:tab w:val="left" w:pos="333"/>
              </w:tabs>
              <w:autoSpaceDE w:val="0"/>
              <w:autoSpaceDN w:val="0"/>
              <w:adjustRightInd w:val="0"/>
              <w:ind w:right="112" w:hanging="676"/>
              <w:rPr>
                <w:rFonts w:eastAsia="Calibri"/>
                <w:color w:val="000000"/>
                <w:sz w:val="22"/>
              </w:rPr>
            </w:pPr>
            <w:r w:rsidRPr="00C86B34">
              <w:rPr>
                <w:rFonts w:eastAsia="Calibri"/>
                <w:color w:val="000000"/>
                <w:sz w:val="22"/>
              </w:rPr>
              <w:t>придбання обладнання та матеріалів:</w:t>
            </w:r>
          </w:p>
          <w:p w:rsidR="00E95FB1" w:rsidRPr="00C86B34" w:rsidRDefault="00E95FB1" w:rsidP="000303D7">
            <w:pPr>
              <w:numPr>
                <w:ilvl w:val="0"/>
                <w:numId w:val="53"/>
              </w:numPr>
              <w:tabs>
                <w:tab w:val="left" w:pos="333"/>
              </w:tabs>
              <w:autoSpaceDE w:val="0"/>
              <w:autoSpaceDN w:val="0"/>
              <w:adjustRightInd w:val="0"/>
              <w:ind w:right="112"/>
              <w:rPr>
                <w:rFonts w:eastAsia="Calibri"/>
                <w:color w:val="000000"/>
                <w:sz w:val="22"/>
              </w:rPr>
            </w:pPr>
            <w:r w:rsidRPr="00C86B34">
              <w:rPr>
                <w:sz w:val="22"/>
              </w:rPr>
              <w:t>придбання офісної техніки, меблів, господарчого інвентарю</w:t>
            </w:r>
          </w:p>
          <w:p w:rsidR="00E95FB1" w:rsidRPr="00C86B34" w:rsidRDefault="00E95FB1" w:rsidP="000303D7">
            <w:pPr>
              <w:numPr>
                <w:ilvl w:val="0"/>
                <w:numId w:val="53"/>
              </w:numPr>
              <w:tabs>
                <w:tab w:val="left" w:pos="333"/>
              </w:tabs>
              <w:autoSpaceDE w:val="0"/>
              <w:autoSpaceDN w:val="0"/>
              <w:adjustRightInd w:val="0"/>
              <w:ind w:right="112"/>
              <w:rPr>
                <w:rFonts w:eastAsia="Calibri"/>
                <w:color w:val="000000"/>
                <w:sz w:val="22"/>
              </w:rPr>
            </w:pPr>
            <w:r w:rsidRPr="00C86B34">
              <w:rPr>
                <w:rFonts w:eastAsia="Calibri"/>
                <w:color w:val="000000"/>
                <w:sz w:val="22"/>
              </w:rPr>
              <w:t>забезпечення спортивного залу сучасним спортивним інвентарем та обладнанням</w:t>
            </w:r>
          </w:p>
          <w:p w:rsidR="00E95FB1" w:rsidRPr="00C86B34" w:rsidRDefault="00E95FB1" w:rsidP="000303D7">
            <w:pPr>
              <w:numPr>
                <w:ilvl w:val="0"/>
                <w:numId w:val="51"/>
              </w:numPr>
              <w:tabs>
                <w:tab w:val="left" w:pos="333"/>
              </w:tabs>
              <w:autoSpaceDE w:val="0"/>
              <w:autoSpaceDN w:val="0"/>
              <w:adjustRightInd w:val="0"/>
              <w:ind w:right="112" w:hanging="676"/>
              <w:rPr>
                <w:rFonts w:eastAsia="Calibri"/>
                <w:color w:val="000000"/>
                <w:sz w:val="22"/>
              </w:rPr>
            </w:pPr>
            <w:r w:rsidRPr="00C86B34">
              <w:rPr>
                <w:rFonts w:eastAsia="Calibri"/>
                <w:color w:val="000000"/>
                <w:sz w:val="22"/>
              </w:rPr>
              <w:t>введення споруди в експлуатацію та її експлуатація за призначенням</w:t>
            </w:r>
          </w:p>
        </w:tc>
      </w:tr>
      <w:tr w:rsidR="00E95FB1" w:rsidRPr="00C86B34" w:rsidTr="001B3967">
        <w:trPr>
          <w:trHeight w:val="202"/>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Орієнтовний обсяг та джерела фінансування тис. гривень</w:t>
            </w:r>
          </w:p>
        </w:tc>
        <w:tc>
          <w:tcPr>
            <w:tcW w:w="1930"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Державний бюджет</w:t>
            </w:r>
          </w:p>
        </w:tc>
        <w:tc>
          <w:tcPr>
            <w:tcW w:w="1253"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Місцевий бюджет</w:t>
            </w:r>
          </w:p>
        </w:tc>
        <w:tc>
          <w:tcPr>
            <w:tcW w:w="2506" w:type="dxa"/>
            <w:gridSpan w:val="4"/>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Інші джерела</w:t>
            </w:r>
          </w:p>
        </w:tc>
        <w:tc>
          <w:tcPr>
            <w:tcW w:w="1306"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Всього</w:t>
            </w:r>
          </w:p>
        </w:tc>
      </w:tr>
      <w:tr w:rsidR="00E95FB1" w:rsidRPr="00C86B34" w:rsidTr="001B3967">
        <w:trPr>
          <w:trHeight w:val="202"/>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1930"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253"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253"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Обсяг</w:t>
            </w:r>
          </w:p>
        </w:tc>
        <w:tc>
          <w:tcPr>
            <w:tcW w:w="1253"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Назва джерела</w:t>
            </w:r>
          </w:p>
        </w:tc>
        <w:tc>
          <w:tcPr>
            <w:tcW w:w="1306" w:type="dxa"/>
            <w:vMerge/>
            <w:vAlign w:val="center"/>
          </w:tcPr>
          <w:p w:rsidR="00E95FB1" w:rsidRPr="00C86B34" w:rsidRDefault="00E95FB1" w:rsidP="001B3967">
            <w:pPr>
              <w:autoSpaceDE w:val="0"/>
              <w:autoSpaceDN w:val="0"/>
              <w:adjustRightInd w:val="0"/>
              <w:jc w:val="center"/>
              <w:rPr>
                <w:rFonts w:eastAsia="Calibri"/>
                <w:b/>
                <w:color w:val="000000"/>
                <w:sz w:val="22"/>
              </w:rPr>
            </w:pPr>
          </w:p>
        </w:tc>
      </w:tr>
      <w:tr w:rsidR="00E95FB1" w:rsidRPr="00C86B34" w:rsidTr="001B3967">
        <w:trPr>
          <w:trHeight w:val="202"/>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1930"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18 000,0</w:t>
            </w:r>
          </w:p>
        </w:tc>
        <w:tc>
          <w:tcPr>
            <w:tcW w:w="1253" w:type="dxa"/>
          </w:tcPr>
          <w:p w:rsidR="00E95FB1" w:rsidRPr="00C86B34" w:rsidRDefault="00E95FB1" w:rsidP="001B3967">
            <w:pPr>
              <w:autoSpaceDE w:val="0"/>
              <w:autoSpaceDN w:val="0"/>
              <w:adjustRightInd w:val="0"/>
              <w:jc w:val="center"/>
              <w:rPr>
                <w:rFonts w:eastAsia="Calibri"/>
                <w:color w:val="000000"/>
                <w:sz w:val="22"/>
              </w:rPr>
            </w:pPr>
          </w:p>
        </w:tc>
        <w:tc>
          <w:tcPr>
            <w:tcW w:w="1253" w:type="dxa"/>
            <w:gridSpan w:val="2"/>
          </w:tcPr>
          <w:p w:rsidR="00E95FB1" w:rsidRPr="00C86B34" w:rsidRDefault="00E95FB1" w:rsidP="001B3967">
            <w:pPr>
              <w:autoSpaceDE w:val="0"/>
              <w:autoSpaceDN w:val="0"/>
              <w:adjustRightInd w:val="0"/>
              <w:jc w:val="center"/>
              <w:rPr>
                <w:rFonts w:eastAsia="Calibri"/>
                <w:color w:val="000000"/>
                <w:sz w:val="22"/>
              </w:rPr>
            </w:pPr>
          </w:p>
        </w:tc>
        <w:tc>
          <w:tcPr>
            <w:tcW w:w="1253" w:type="dxa"/>
            <w:gridSpan w:val="2"/>
          </w:tcPr>
          <w:p w:rsidR="00E95FB1" w:rsidRPr="00C86B34" w:rsidRDefault="00E95FB1" w:rsidP="001B3967">
            <w:pPr>
              <w:autoSpaceDE w:val="0"/>
              <w:autoSpaceDN w:val="0"/>
              <w:adjustRightInd w:val="0"/>
              <w:jc w:val="center"/>
              <w:rPr>
                <w:rFonts w:eastAsia="Calibri"/>
                <w:color w:val="000000"/>
                <w:sz w:val="22"/>
              </w:rPr>
            </w:pPr>
          </w:p>
        </w:tc>
        <w:tc>
          <w:tcPr>
            <w:tcW w:w="1306"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18 000,0</w:t>
            </w:r>
          </w:p>
        </w:tc>
      </w:tr>
      <w:tr w:rsidR="00E95FB1" w:rsidRPr="00C86B34" w:rsidTr="001B3967">
        <w:trPr>
          <w:trHeight w:val="202"/>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b/>
                <w:sz w:val="22"/>
              </w:rPr>
              <w:t xml:space="preserve">Ключові потенційні учасники </w:t>
            </w:r>
            <w:proofErr w:type="spellStart"/>
            <w:r w:rsidRPr="00C86B34">
              <w:rPr>
                <w:b/>
                <w:sz w:val="22"/>
              </w:rPr>
              <w:t>проєкту</w:t>
            </w:r>
            <w:proofErr w:type="spellEnd"/>
          </w:p>
        </w:tc>
        <w:tc>
          <w:tcPr>
            <w:tcW w:w="6995" w:type="dxa"/>
            <w:gridSpan w:val="7"/>
          </w:tcPr>
          <w:p w:rsidR="00E95FB1" w:rsidRPr="00C86B34" w:rsidRDefault="00E95FB1" w:rsidP="001B3967">
            <w:pPr>
              <w:rPr>
                <w:sz w:val="22"/>
              </w:rPr>
            </w:pPr>
            <w:r w:rsidRPr="00C86B34">
              <w:rPr>
                <w:sz w:val="22"/>
              </w:rPr>
              <w:t xml:space="preserve">1. Військова адміністрація міста. </w:t>
            </w:r>
          </w:p>
          <w:p w:rsidR="00E95FB1" w:rsidRPr="00C86B34" w:rsidRDefault="00E95FB1" w:rsidP="001B3967">
            <w:pPr>
              <w:tabs>
                <w:tab w:val="left" w:pos="720"/>
              </w:tabs>
              <w:rPr>
                <w:sz w:val="22"/>
              </w:rPr>
            </w:pPr>
            <w:r w:rsidRPr="00C86B34">
              <w:rPr>
                <w:sz w:val="22"/>
              </w:rPr>
              <w:t>2. Відділ капітального будівництва військової адміністрації міста.</w:t>
            </w:r>
          </w:p>
          <w:p w:rsidR="00E95FB1" w:rsidRPr="00C86B34" w:rsidRDefault="00E95FB1" w:rsidP="001B3967">
            <w:pPr>
              <w:tabs>
                <w:tab w:val="left" w:pos="720"/>
              </w:tabs>
              <w:rPr>
                <w:sz w:val="22"/>
              </w:rPr>
            </w:pPr>
            <w:r w:rsidRPr="00C86B34">
              <w:rPr>
                <w:sz w:val="22"/>
              </w:rPr>
              <w:lastRenderedPageBreak/>
              <w:t>3. Підрядна організація - переможець тендеру, виконавець будівельно-монтажних робіт.</w:t>
            </w:r>
          </w:p>
          <w:p w:rsidR="00E95FB1" w:rsidRPr="00C86B34" w:rsidRDefault="00E95FB1" w:rsidP="001B3967">
            <w:pPr>
              <w:tabs>
                <w:tab w:val="left" w:pos="720"/>
              </w:tabs>
              <w:rPr>
                <w:sz w:val="22"/>
              </w:rPr>
            </w:pPr>
            <w:r w:rsidRPr="00C86B34">
              <w:rPr>
                <w:sz w:val="22"/>
              </w:rPr>
              <w:t>4. Обласна державна адміністрація.</w:t>
            </w:r>
          </w:p>
          <w:p w:rsidR="00E95FB1" w:rsidRPr="00C86B34" w:rsidRDefault="00E95FB1" w:rsidP="001B3967">
            <w:pPr>
              <w:tabs>
                <w:tab w:val="left" w:pos="2693"/>
              </w:tabs>
              <w:autoSpaceDE w:val="0"/>
              <w:autoSpaceDN w:val="0"/>
              <w:adjustRightInd w:val="0"/>
              <w:rPr>
                <w:rFonts w:eastAsia="Calibri"/>
                <w:color w:val="000000"/>
                <w:sz w:val="22"/>
              </w:rPr>
            </w:pPr>
            <w:r w:rsidRPr="00C86B34">
              <w:rPr>
                <w:sz w:val="22"/>
              </w:rPr>
              <w:t>5. Інвестори та меценати спортивної галузі.</w:t>
            </w:r>
          </w:p>
        </w:tc>
      </w:tr>
    </w:tbl>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tbl>
      <w:tblPr>
        <w:tblpPr w:leftFromText="180" w:rightFromText="180" w:vertAnchor="text" w:horzAnchor="page" w:tblpX="1397" w:tblpY="123"/>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724"/>
        <w:gridCol w:w="1804"/>
        <w:gridCol w:w="1217"/>
        <w:gridCol w:w="161"/>
        <w:gridCol w:w="1057"/>
        <w:gridCol w:w="33"/>
        <w:gridCol w:w="1184"/>
        <w:gridCol w:w="1489"/>
      </w:tblGrid>
      <w:tr w:rsidR="00E95FB1" w:rsidRPr="00C86B34" w:rsidTr="001B3967">
        <w:trPr>
          <w:trHeight w:val="270"/>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Оперативна ціль/завдання</w:t>
            </w:r>
          </w:p>
        </w:tc>
        <w:tc>
          <w:tcPr>
            <w:tcW w:w="6945" w:type="dxa"/>
            <w:gridSpan w:val="7"/>
          </w:tcPr>
          <w:p w:rsidR="00E95FB1" w:rsidRPr="00C86B34" w:rsidRDefault="00A27B12" w:rsidP="001B3967">
            <w:pPr>
              <w:pStyle w:val="a7"/>
              <w:ind w:left="0"/>
              <w:rPr>
                <w:rFonts w:eastAsia="Calibri"/>
                <w:color w:val="000000"/>
                <w:sz w:val="22"/>
              </w:rPr>
            </w:pPr>
            <w:r w:rsidRPr="00C86B34">
              <w:rPr>
                <w:rFonts w:eastAsia="Arial"/>
                <w:sz w:val="22"/>
              </w:rPr>
              <w:t xml:space="preserve">Людський розвиток </w:t>
            </w:r>
            <w:r w:rsidR="00E95FB1" w:rsidRPr="00C86B34">
              <w:rPr>
                <w:rFonts w:eastAsia="Arial"/>
                <w:sz w:val="22"/>
              </w:rPr>
              <w:t xml:space="preserve">через інновації управління та довіру до влади. Формування сучасного інклюзивного </w:t>
            </w:r>
            <w:proofErr w:type="spellStart"/>
            <w:r w:rsidR="00E95FB1" w:rsidRPr="00C86B34">
              <w:rPr>
                <w:rFonts w:eastAsia="Arial"/>
                <w:sz w:val="22"/>
              </w:rPr>
              <w:t>освітньо</w:t>
            </w:r>
            <w:proofErr w:type="spellEnd"/>
            <w:r w:rsidR="00E95FB1" w:rsidRPr="00C86B34">
              <w:rPr>
                <w:rFonts w:eastAsia="Arial"/>
                <w:sz w:val="22"/>
              </w:rPr>
              <w:t xml:space="preserve"> – культурного та спортивного простору для розвитку</w:t>
            </w:r>
          </w:p>
        </w:tc>
      </w:tr>
      <w:tr w:rsidR="00E95FB1" w:rsidRPr="00C86B34" w:rsidTr="001B3967">
        <w:trPr>
          <w:trHeight w:val="291"/>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Назва проекту:</w:t>
            </w:r>
          </w:p>
        </w:tc>
        <w:tc>
          <w:tcPr>
            <w:tcW w:w="6945" w:type="dxa"/>
            <w:gridSpan w:val="7"/>
          </w:tcPr>
          <w:p w:rsidR="00E95FB1" w:rsidRPr="00C86B34" w:rsidRDefault="00E95FB1" w:rsidP="001B3967">
            <w:pPr>
              <w:autoSpaceDE w:val="0"/>
              <w:autoSpaceDN w:val="0"/>
              <w:adjustRightInd w:val="0"/>
              <w:ind w:left="49" w:right="116"/>
              <w:rPr>
                <w:rFonts w:eastAsia="Calibri"/>
                <w:color w:val="000000"/>
                <w:sz w:val="22"/>
              </w:rPr>
            </w:pPr>
            <w:r w:rsidRPr="00C86B34">
              <w:rPr>
                <w:rFonts w:eastAsia="Calibri"/>
                <w:color w:val="000000"/>
                <w:sz w:val="22"/>
              </w:rPr>
              <w:t>Капітальний ремонт будівлі басейну КДЮСШ 4 міста Сєвєродонецьк Луганської області</w:t>
            </w:r>
            <w:r w:rsidRPr="00C86B34">
              <w:rPr>
                <w:sz w:val="22"/>
              </w:rPr>
              <w:t xml:space="preserve"> </w:t>
            </w:r>
            <w:r w:rsidRPr="00C86B34">
              <w:rPr>
                <w:rFonts w:eastAsia="Calibri"/>
                <w:color w:val="000000"/>
                <w:sz w:val="22"/>
              </w:rPr>
              <w:t xml:space="preserve">за </w:t>
            </w:r>
            <w:proofErr w:type="spellStart"/>
            <w:r w:rsidRPr="00C86B34">
              <w:rPr>
                <w:rFonts w:eastAsia="Calibri"/>
                <w:color w:val="000000"/>
                <w:sz w:val="22"/>
              </w:rPr>
              <w:t>адресою</w:t>
            </w:r>
            <w:proofErr w:type="spellEnd"/>
            <w:r w:rsidRPr="00C86B34">
              <w:rPr>
                <w:rFonts w:eastAsia="Calibri"/>
                <w:color w:val="000000"/>
                <w:sz w:val="22"/>
              </w:rPr>
              <w:t>: вул. Курчатова, 27</w:t>
            </w:r>
          </w:p>
        </w:tc>
      </w:tr>
      <w:tr w:rsidR="00E95FB1" w:rsidRPr="00C86B34" w:rsidTr="001B3967">
        <w:trPr>
          <w:trHeight w:val="346"/>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Ціль проекту</w:t>
            </w:r>
          </w:p>
        </w:tc>
        <w:tc>
          <w:tcPr>
            <w:tcW w:w="6945" w:type="dxa"/>
            <w:gridSpan w:val="7"/>
            <w:vAlign w:val="center"/>
          </w:tcPr>
          <w:p w:rsidR="00E95FB1" w:rsidRPr="00C86B34" w:rsidRDefault="00E95FB1" w:rsidP="001B3967">
            <w:pPr>
              <w:tabs>
                <w:tab w:val="left" w:pos="333"/>
                <w:tab w:val="left" w:pos="750"/>
              </w:tabs>
              <w:autoSpaceDE w:val="0"/>
              <w:autoSpaceDN w:val="0"/>
              <w:adjustRightInd w:val="0"/>
              <w:ind w:right="113"/>
              <w:rPr>
                <w:rFonts w:eastAsia="Calibri"/>
                <w:color w:val="000000"/>
                <w:sz w:val="22"/>
              </w:rPr>
            </w:pPr>
            <w:r w:rsidRPr="00C86B34">
              <w:rPr>
                <w:rFonts w:eastAsia="Calibri"/>
                <w:color w:val="000000"/>
                <w:sz w:val="22"/>
              </w:rPr>
              <w:t xml:space="preserve">Створення спортивного простору для мешканців міста (дітей, молоді, дорослих та </w:t>
            </w:r>
            <w:r w:rsidRPr="00C86B34">
              <w:rPr>
                <w:sz w:val="22"/>
              </w:rPr>
              <w:t xml:space="preserve"> людей з особливими потребами) </w:t>
            </w:r>
            <w:r w:rsidRPr="00C86B34">
              <w:rPr>
                <w:rFonts w:eastAsia="Calibri"/>
                <w:color w:val="000000"/>
                <w:sz w:val="22"/>
              </w:rPr>
              <w:t xml:space="preserve">– сучасних, безпечних та комфортних умов для занять фізичною культурою та спортом, загального оздоровлення, реабілітації, зміцнення генофонду, підвищення потенціалу трудових ресурсів, психофізичного здоров’я, зростання добробуту населення і вирішення інших соціальних проблем, </w:t>
            </w:r>
            <w:r w:rsidRPr="00C86B34">
              <w:rPr>
                <w:sz w:val="22"/>
              </w:rPr>
              <w:t xml:space="preserve"> порушених  внаслідок військового вторгнення </w:t>
            </w:r>
            <w:r w:rsidR="00844152" w:rsidRPr="00C86B34">
              <w:rPr>
                <w:sz w:val="22"/>
              </w:rPr>
              <w:t>РФ</w:t>
            </w:r>
            <w:r w:rsidRPr="00C86B34">
              <w:rPr>
                <w:sz w:val="22"/>
              </w:rPr>
              <w:t xml:space="preserve"> на територію України</w:t>
            </w:r>
            <w:r w:rsidRPr="00C86B34">
              <w:rPr>
                <w:rFonts w:eastAsia="Calibri"/>
                <w:color w:val="000000"/>
                <w:sz w:val="22"/>
              </w:rPr>
              <w:t>.</w:t>
            </w:r>
          </w:p>
          <w:p w:rsidR="00E95FB1" w:rsidRPr="00C86B34" w:rsidRDefault="00E95FB1" w:rsidP="001B3967">
            <w:pPr>
              <w:autoSpaceDE w:val="0"/>
              <w:autoSpaceDN w:val="0"/>
              <w:adjustRightInd w:val="0"/>
              <w:ind w:right="116"/>
              <w:rPr>
                <w:sz w:val="22"/>
              </w:rPr>
            </w:pPr>
            <w:r w:rsidRPr="00C86B34">
              <w:rPr>
                <w:color w:val="212529"/>
                <w:sz w:val="22"/>
                <w:shd w:val="clear" w:color="auto" w:fill="FFFFFF"/>
              </w:rPr>
              <w:t>Популяризації та організації оздоровчої рухової активності як джерела зняття психоемоційної напруги та рівня стресу для всіх груп населення</w:t>
            </w:r>
            <w:r w:rsidRPr="00C86B34">
              <w:rPr>
                <w:sz w:val="22"/>
              </w:rPr>
              <w:t>.</w:t>
            </w:r>
          </w:p>
          <w:p w:rsidR="00E95FB1" w:rsidRPr="00C86B34" w:rsidRDefault="00E95FB1" w:rsidP="001B3967">
            <w:pPr>
              <w:autoSpaceDE w:val="0"/>
              <w:autoSpaceDN w:val="0"/>
              <w:adjustRightInd w:val="0"/>
              <w:ind w:right="116"/>
              <w:rPr>
                <w:color w:val="212529"/>
                <w:sz w:val="22"/>
              </w:rPr>
            </w:pPr>
            <w:r w:rsidRPr="00C86B34">
              <w:rPr>
                <w:color w:val="212529"/>
                <w:sz w:val="22"/>
                <w:shd w:val="clear" w:color="auto" w:fill="FFFFFF"/>
              </w:rPr>
              <w:t>Впровадження якісних змін у систему надання фізкультурно-оздоровчих послуг населенню. З</w:t>
            </w:r>
            <w:r w:rsidRPr="00C86B34">
              <w:rPr>
                <w:color w:val="212529"/>
                <w:sz w:val="22"/>
              </w:rPr>
              <w:t xml:space="preserve">більшення відсотку населення, залученого до занять фізичною культурою і спортом. </w:t>
            </w:r>
          </w:p>
          <w:p w:rsidR="00E95FB1" w:rsidRPr="00C86B34" w:rsidRDefault="00E95FB1" w:rsidP="001B3967">
            <w:pPr>
              <w:tabs>
                <w:tab w:val="left" w:pos="333"/>
                <w:tab w:val="left" w:pos="750"/>
              </w:tabs>
              <w:autoSpaceDE w:val="0"/>
              <w:autoSpaceDN w:val="0"/>
              <w:adjustRightInd w:val="0"/>
              <w:ind w:right="113"/>
              <w:rPr>
                <w:rFonts w:eastAsia="Calibri"/>
                <w:color w:val="000000"/>
                <w:sz w:val="22"/>
              </w:rPr>
            </w:pPr>
            <w:r w:rsidRPr="00C86B34">
              <w:rPr>
                <w:color w:val="212529"/>
                <w:sz w:val="22"/>
              </w:rPr>
              <w:t>Відновлення у повному обсязі проведення всеукраїнських спортивних змагань.</w:t>
            </w:r>
          </w:p>
        </w:tc>
      </w:tr>
      <w:tr w:rsidR="00E95FB1" w:rsidRPr="00C86B34" w:rsidTr="001B3967">
        <w:trPr>
          <w:trHeight w:val="291"/>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Територія, на яку матиме вплив реалізація проекту</w:t>
            </w:r>
          </w:p>
        </w:tc>
        <w:tc>
          <w:tcPr>
            <w:tcW w:w="6945" w:type="dxa"/>
            <w:gridSpan w:val="7"/>
            <w:vAlign w:val="center"/>
          </w:tcPr>
          <w:p w:rsidR="00E95FB1" w:rsidRPr="00C86B34" w:rsidRDefault="00E95FB1" w:rsidP="001B3967">
            <w:pPr>
              <w:autoSpaceDE w:val="0"/>
              <w:autoSpaceDN w:val="0"/>
              <w:adjustRightInd w:val="0"/>
              <w:ind w:left="49" w:right="116"/>
              <w:rPr>
                <w:rFonts w:eastAsia="Calibri"/>
                <w:color w:val="000000"/>
                <w:sz w:val="22"/>
              </w:rPr>
            </w:pPr>
            <w:r w:rsidRPr="00C86B34">
              <w:rPr>
                <w:rFonts w:eastAsia="Calibri"/>
                <w:color w:val="000000"/>
                <w:sz w:val="22"/>
              </w:rPr>
              <w:t>Сєвєродонецька міська територіальна громада.</w:t>
            </w:r>
          </w:p>
        </w:tc>
      </w:tr>
      <w:tr w:rsidR="00E95FB1" w:rsidRPr="00C86B34" w:rsidTr="001B3967">
        <w:trPr>
          <w:trHeight w:val="583"/>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Чисельність населення, на яке матиме вплив реалізація проекту</w:t>
            </w:r>
          </w:p>
        </w:tc>
        <w:tc>
          <w:tcPr>
            <w:tcW w:w="6945" w:type="dxa"/>
            <w:gridSpan w:val="7"/>
            <w:vAlign w:val="center"/>
          </w:tcPr>
          <w:p w:rsidR="00E95FB1" w:rsidRPr="00C86B34" w:rsidRDefault="00E95FB1" w:rsidP="00844152">
            <w:pPr>
              <w:autoSpaceDE w:val="0"/>
              <w:autoSpaceDN w:val="0"/>
              <w:adjustRightInd w:val="0"/>
              <w:ind w:left="49" w:right="116"/>
              <w:rPr>
                <w:rFonts w:eastAsia="Calibri"/>
                <w:color w:val="000000"/>
                <w:sz w:val="22"/>
              </w:rPr>
            </w:pPr>
            <w:r w:rsidRPr="00C86B34">
              <w:rPr>
                <w:rFonts w:eastAsia="Calibri"/>
                <w:color w:val="000000"/>
                <w:sz w:val="22"/>
              </w:rPr>
              <w:t xml:space="preserve">70 </w:t>
            </w:r>
            <w:r w:rsidR="00844152" w:rsidRPr="00C86B34">
              <w:rPr>
                <w:rFonts w:eastAsia="Calibri"/>
                <w:color w:val="000000"/>
                <w:sz w:val="22"/>
              </w:rPr>
              <w:t>000</w:t>
            </w:r>
          </w:p>
        </w:tc>
      </w:tr>
      <w:tr w:rsidR="00E95FB1" w:rsidRPr="00C86B34" w:rsidTr="001B3967">
        <w:trPr>
          <w:trHeight w:val="314"/>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Опис проблеми, на вирішення якої спрямований проект</w:t>
            </w:r>
          </w:p>
        </w:tc>
        <w:tc>
          <w:tcPr>
            <w:tcW w:w="6945" w:type="dxa"/>
            <w:gridSpan w:val="7"/>
          </w:tcPr>
          <w:p w:rsidR="00E95FB1" w:rsidRPr="00C86B34" w:rsidRDefault="00E95FB1" w:rsidP="001B3967">
            <w:pPr>
              <w:autoSpaceDE w:val="0"/>
              <w:autoSpaceDN w:val="0"/>
              <w:adjustRightInd w:val="0"/>
              <w:ind w:left="49" w:right="116"/>
              <w:rPr>
                <w:sz w:val="22"/>
              </w:rPr>
            </w:pPr>
            <w:r w:rsidRPr="00C86B34">
              <w:rPr>
                <w:rFonts w:eastAsia="Calibri"/>
                <w:color w:val="000000"/>
                <w:sz w:val="22"/>
              </w:rPr>
              <w:t xml:space="preserve">Сьогодні сфера фізичної культури і спорту вносить великий внесок у формування обороноздатності держави, оскільки виховує здорову, підготовлену людину, </w:t>
            </w:r>
            <w:r w:rsidRPr="00C86B34">
              <w:rPr>
                <w:color w:val="000000"/>
                <w:sz w:val="22"/>
              </w:rPr>
              <w:t>здатну для виконання свого конституційного обов’язку щодо захисту суверенітету та територіальної цілісності держави.</w:t>
            </w:r>
            <w:r w:rsidRPr="00C86B34">
              <w:rPr>
                <w:b/>
                <w:color w:val="000000"/>
                <w:sz w:val="22"/>
              </w:rPr>
              <w:t xml:space="preserve"> </w:t>
            </w:r>
            <w:r w:rsidRPr="00C86B34">
              <w:rPr>
                <w:sz w:val="22"/>
                <w:shd w:val="clear" w:color="auto" w:fill="FFFFFF"/>
              </w:rPr>
              <w:t xml:space="preserve"> Також попри війну спортсмени нашого міста продовжують виборювати нагороди на різних рівнях.</w:t>
            </w:r>
          </w:p>
          <w:p w:rsidR="00E95FB1" w:rsidRPr="00C86B34" w:rsidRDefault="00E95FB1" w:rsidP="001B3967">
            <w:pPr>
              <w:autoSpaceDE w:val="0"/>
              <w:autoSpaceDN w:val="0"/>
              <w:adjustRightInd w:val="0"/>
              <w:ind w:left="49" w:right="116"/>
              <w:rPr>
                <w:color w:val="000000"/>
                <w:sz w:val="22"/>
              </w:rPr>
            </w:pPr>
            <w:r w:rsidRPr="00C86B34">
              <w:rPr>
                <w:color w:val="000000"/>
                <w:sz w:val="22"/>
              </w:rPr>
              <w:t xml:space="preserve">Тому розвиток сфери фізичної культури і спорту, відновлення спортивної інфраструктури має стратегічне значення. </w:t>
            </w:r>
          </w:p>
          <w:p w:rsidR="00E95FB1" w:rsidRPr="00C86B34" w:rsidRDefault="00E95FB1" w:rsidP="00844152">
            <w:pPr>
              <w:autoSpaceDE w:val="0"/>
              <w:autoSpaceDN w:val="0"/>
              <w:adjustRightInd w:val="0"/>
              <w:ind w:left="49" w:right="116"/>
              <w:rPr>
                <w:rFonts w:eastAsia="Calibri"/>
                <w:color w:val="000000"/>
                <w:sz w:val="22"/>
              </w:rPr>
            </w:pPr>
            <w:r w:rsidRPr="00C86B34">
              <w:rPr>
                <w:rFonts w:eastAsia="Calibri"/>
                <w:color w:val="000000"/>
                <w:sz w:val="22"/>
              </w:rPr>
              <w:t xml:space="preserve">Внаслідок ведення активних бойових дій на території Сєвєродонецької міської територіальної громади будівля басейну КДЮСШ 4 міста Сєвєродонецьк Луганської області зазнала руйнувань (пошкоджень) а саме: від влучання бойових снарядів, внаслідок чого у приміщеннях відділень, підсобних та допоміжних приміщеннях  вилетіли всі вікна, пошкоджений дах. </w:t>
            </w:r>
            <w:r w:rsidRPr="00C86B34">
              <w:rPr>
                <w:rFonts w:eastAsia="Calibri"/>
                <w:sz w:val="22"/>
              </w:rPr>
              <w:t>Енергосистема пошкоджена уламками від снарядів та відсутністю догляду за ним. Через отримані пошкодження будівля зазнала руйнувань від негоди (дощ, сніг, вітер).</w:t>
            </w:r>
            <w:r w:rsidRPr="00C86B34">
              <w:rPr>
                <w:rFonts w:eastAsia="Calibri"/>
                <w:color w:val="000000"/>
                <w:sz w:val="22"/>
              </w:rPr>
              <w:t xml:space="preserve"> </w:t>
            </w:r>
          </w:p>
        </w:tc>
      </w:tr>
      <w:tr w:rsidR="00E95FB1" w:rsidRPr="00C86B34" w:rsidTr="001B3967">
        <w:trPr>
          <w:trHeight w:val="275"/>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Очікувані якісні результати від реалізації проекту</w:t>
            </w:r>
          </w:p>
        </w:tc>
        <w:tc>
          <w:tcPr>
            <w:tcW w:w="6945" w:type="dxa"/>
            <w:gridSpan w:val="7"/>
          </w:tcPr>
          <w:p w:rsidR="00E95FB1" w:rsidRPr="00C86B34" w:rsidRDefault="00E95FB1" w:rsidP="000303D7">
            <w:pPr>
              <w:numPr>
                <w:ilvl w:val="0"/>
                <w:numId w:val="43"/>
              </w:numPr>
              <w:autoSpaceDE w:val="0"/>
              <w:autoSpaceDN w:val="0"/>
              <w:adjustRightInd w:val="0"/>
              <w:ind w:left="329" w:right="113" w:hanging="284"/>
              <w:rPr>
                <w:rFonts w:eastAsia="Calibri"/>
                <w:sz w:val="22"/>
              </w:rPr>
            </w:pPr>
            <w:r w:rsidRPr="00C86B34">
              <w:rPr>
                <w:rFonts w:eastAsia="Calibri"/>
                <w:sz w:val="22"/>
              </w:rPr>
              <w:t>Відновлення навчально-тренувального процесу з видів спорту: навчання плавання для учнів 1-3 класів та осіб з обмеженими можливостями</w:t>
            </w:r>
            <w:r w:rsidR="00844152" w:rsidRPr="00C86B34">
              <w:rPr>
                <w:rFonts w:eastAsia="Calibri"/>
                <w:sz w:val="22"/>
              </w:rPr>
              <w:t>.</w:t>
            </w:r>
          </w:p>
          <w:p w:rsidR="00E95FB1" w:rsidRPr="00C86B34" w:rsidRDefault="00E95FB1" w:rsidP="000303D7">
            <w:pPr>
              <w:numPr>
                <w:ilvl w:val="0"/>
                <w:numId w:val="43"/>
              </w:numPr>
              <w:autoSpaceDE w:val="0"/>
              <w:autoSpaceDN w:val="0"/>
              <w:adjustRightInd w:val="0"/>
              <w:ind w:left="329" w:right="113" w:hanging="284"/>
              <w:rPr>
                <w:rFonts w:eastAsia="Calibri"/>
                <w:sz w:val="22"/>
              </w:rPr>
            </w:pPr>
            <w:r w:rsidRPr="00C86B34">
              <w:rPr>
                <w:rFonts w:eastAsia="Calibri"/>
                <w:sz w:val="22"/>
              </w:rPr>
              <w:t xml:space="preserve">Відновлення роботи секцій з  карате, шахів, </w:t>
            </w:r>
            <w:proofErr w:type="spellStart"/>
            <w:r w:rsidRPr="00C86B34">
              <w:rPr>
                <w:rFonts w:eastAsia="Calibri"/>
                <w:sz w:val="22"/>
              </w:rPr>
              <w:t>черліденгу</w:t>
            </w:r>
            <w:proofErr w:type="spellEnd"/>
            <w:r w:rsidR="00844152" w:rsidRPr="00C86B34">
              <w:rPr>
                <w:rFonts w:eastAsia="Calibri"/>
                <w:sz w:val="22"/>
              </w:rPr>
              <w:t>.</w:t>
            </w:r>
          </w:p>
          <w:p w:rsidR="00E95FB1" w:rsidRPr="00C86B34" w:rsidRDefault="00E95FB1" w:rsidP="000303D7">
            <w:pPr>
              <w:numPr>
                <w:ilvl w:val="0"/>
                <w:numId w:val="43"/>
              </w:numPr>
              <w:autoSpaceDE w:val="0"/>
              <w:autoSpaceDN w:val="0"/>
              <w:adjustRightInd w:val="0"/>
              <w:ind w:left="329" w:right="113" w:hanging="284"/>
              <w:rPr>
                <w:rFonts w:eastAsia="Calibri"/>
                <w:sz w:val="22"/>
              </w:rPr>
            </w:pPr>
            <w:r w:rsidRPr="00C86B34">
              <w:rPr>
                <w:sz w:val="22"/>
              </w:rPr>
              <w:t>Організовано доступ людей з особливими потребами до занять фізичною культурою і спортом.</w:t>
            </w:r>
          </w:p>
          <w:p w:rsidR="00E95FB1" w:rsidRPr="00C86B34" w:rsidRDefault="00E95FB1" w:rsidP="000303D7">
            <w:pPr>
              <w:numPr>
                <w:ilvl w:val="0"/>
                <w:numId w:val="43"/>
              </w:numPr>
              <w:autoSpaceDE w:val="0"/>
              <w:autoSpaceDN w:val="0"/>
              <w:adjustRightInd w:val="0"/>
              <w:ind w:left="329" w:right="113" w:hanging="284"/>
              <w:rPr>
                <w:rFonts w:eastAsia="Calibri"/>
                <w:sz w:val="22"/>
              </w:rPr>
            </w:pPr>
            <w:r w:rsidRPr="00C86B34">
              <w:rPr>
                <w:sz w:val="22"/>
              </w:rPr>
              <w:lastRenderedPageBreak/>
              <w:t>Впровадження та розвиток реабілітаційних, відновлюваних заходів для громадян міста, району постраждалих від бойових дій.</w:t>
            </w:r>
          </w:p>
        </w:tc>
      </w:tr>
      <w:tr w:rsidR="00E95FB1" w:rsidRPr="00C86B34" w:rsidTr="001B3967">
        <w:trPr>
          <w:trHeight w:val="583"/>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lastRenderedPageBreak/>
              <w:t>Очікувані кількісні результати від реалізації проекту  (індикатори)</w:t>
            </w:r>
          </w:p>
        </w:tc>
        <w:tc>
          <w:tcPr>
            <w:tcW w:w="3182" w:type="dxa"/>
            <w:gridSpan w:val="3"/>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Найменування показника</w:t>
            </w:r>
          </w:p>
        </w:tc>
        <w:tc>
          <w:tcPr>
            <w:tcW w:w="1090"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Одиниця вимірювання</w:t>
            </w:r>
          </w:p>
        </w:tc>
        <w:tc>
          <w:tcPr>
            <w:tcW w:w="2673"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Прогнозне (цільове) значення</w:t>
            </w:r>
          </w:p>
        </w:tc>
      </w:tr>
      <w:tr w:rsidR="00E95FB1" w:rsidRPr="00C86B34" w:rsidTr="001B3967">
        <w:trPr>
          <w:trHeight w:val="291"/>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182" w:type="dxa"/>
            <w:gridSpan w:val="3"/>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кількість вихованців (спортсменів)</w:t>
            </w:r>
          </w:p>
        </w:tc>
        <w:tc>
          <w:tcPr>
            <w:tcW w:w="1090"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осіб/день</w:t>
            </w:r>
          </w:p>
        </w:tc>
        <w:tc>
          <w:tcPr>
            <w:tcW w:w="2673" w:type="dxa"/>
            <w:gridSpan w:val="2"/>
          </w:tcPr>
          <w:p w:rsidR="00E95FB1" w:rsidRPr="00C86B34" w:rsidRDefault="00E95FB1" w:rsidP="001B3967">
            <w:pPr>
              <w:autoSpaceDE w:val="0"/>
              <w:autoSpaceDN w:val="0"/>
              <w:adjustRightInd w:val="0"/>
              <w:jc w:val="center"/>
              <w:rPr>
                <w:rFonts w:eastAsia="Calibri"/>
                <w:sz w:val="22"/>
              </w:rPr>
            </w:pPr>
            <w:r w:rsidRPr="00C86B34">
              <w:rPr>
                <w:rFonts w:eastAsia="Calibri"/>
                <w:sz w:val="22"/>
              </w:rPr>
              <w:t>300</w:t>
            </w:r>
          </w:p>
        </w:tc>
      </w:tr>
      <w:tr w:rsidR="00E95FB1" w:rsidRPr="00C86B34" w:rsidTr="001B3967">
        <w:trPr>
          <w:trHeight w:val="291"/>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182" w:type="dxa"/>
            <w:gridSpan w:val="3"/>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кількість отримувачів послуг</w:t>
            </w:r>
          </w:p>
        </w:tc>
        <w:tc>
          <w:tcPr>
            <w:tcW w:w="1090"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осіб/день</w:t>
            </w:r>
          </w:p>
        </w:tc>
        <w:tc>
          <w:tcPr>
            <w:tcW w:w="2673" w:type="dxa"/>
            <w:gridSpan w:val="2"/>
          </w:tcPr>
          <w:p w:rsidR="00E95FB1" w:rsidRPr="00C86B34" w:rsidRDefault="00E95FB1" w:rsidP="001B3967">
            <w:pPr>
              <w:autoSpaceDE w:val="0"/>
              <w:autoSpaceDN w:val="0"/>
              <w:adjustRightInd w:val="0"/>
              <w:jc w:val="center"/>
              <w:rPr>
                <w:rFonts w:eastAsia="Calibri"/>
                <w:sz w:val="22"/>
              </w:rPr>
            </w:pPr>
            <w:r w:rsidRPr="00C86B34">
              <w:rPr>
                <w:rFonts w:eastAsia="Calibri"/>
                <w:sz w:val="22"/>
              </w:rPr>
              <w:t>100</w:t>
            </w:r>
          </w:p>
        </w:tc>
      </w:tr>
      <w:tr w:rsidR="00E95FB1" w:rsidRPr="00C86B34" w:rsidTr="001B3967">
        <w:trPr>
          <w:trHeight w:val="200"/>
        </w:trPr>
        <w:tc>
          <w:tcPr>
            <w:tcW w:w="2724" w:type="dxa"/>
            <w:tcBorders>
              <w:bottom w:val="single" w:sz="4" w:space="0" w:color="auto"/>
            </w:tcBorders>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Ключові заходи проекту:</w:t>
            </w:r>
          </w:p>
        </w:tc>
        <w:tc>
          <w:tcPr>
            <w:tcW w:w="6945" w:type="dxa"/>
            <w:gridSpan w:val="7"/>
          </w:tcPr>
          <w:p w:rsidR="00E95FB1" w:rsidRPr="00C86B34" w:rsidRDefault="00E95FB1" w:rsidP="000303D7">
            <w:pPr>
              <w:pStyle w:val="afc"/>
              <w:numPr>
                <w:ilvl w:val="0"/>
                <w:numId w:val="54"/>
              </w:numPr>
              <w:spacing w:line="240" w:lineRule="auto"/>
              <w:ind w:left="284" w:hanging="142"/>
              <w:rPr>
                <w:rFonts w:ascii="Times New Roman" w:hAnsi="Times New Roman"/>
                <w:sz w:val="22"/>
              </w:rPr>
            </w:pPr>
            <w:r w:rsidRPr="00C86B34">
              <w:rPr>
                <w:rFonts w:ascii="Times New Roman" w:hAnsi="Times New Roman"/>
                <w:sz w:val="22"/>
              </w:rPr>
              <w:t xml:space="preserve">оцінка спеціально створеною комісією завданих будівлі руйнувань (пошкоджень) </w:t>
            </w:r>
          </w:p>
          <w:p w:rsidR="00E95FB1" w:rsidRPr="00C86B34" w:rsidRDefault="00E95FB1" w:rsidP="000303D7">
            <w:pPr>
              <w:pStyle w:val="afc"/>
              <w:numPr>
                <w:ilvl w:val="0"/>
                <w:numId w:val="54"/>
              </w:numPr>
              <w:spacing w:line="240" w:lineRule="auto"/>
              <w:ind w:left="284" w:hanging="142"/>
              <w:rPr>
                <w:rFonts w:ascii="Times New Roman" w:hAnsi="Times New Roman"/>
                <w:sz w:val="22"/>
              </w:rPr>
            </w:pPr>
            <w:r w:rsidRPr="00C86B34">
              <w:rPr>
                <w:rFonts w:ascii="Times New Roman" w:hAnsi="Times New Roman"/>
                <w:sz w:val="22"/>
              </w:rPr>
              <w:t xml:space="preserve">виготовлення </w:t>
            </w:r>
            <w:proofErr w:type="spellStart"/>
            <w:r w:rsidRPr="00C86B34">
              <w:rPr>
                <w:rFonts w:ascii="Times New Roman" w:hAnsi="Times New Roman"/>
                <w:sz w:val="22"/>
              </w:rPr>
              <w:t>проєктно</w:t>
            </w:r>
            <w:proofErr w:type="spellEnd"/>
            <w:r w:rsidRPr="00C86B34">
              <w:rPr>
                <w:rFonts w:ascii="Times New Roman" w:hAnsi="Times New Roman"/>
                <w:sz w:val="22"/>
              </w:rPr>
              <w:t>—кошторисної документації</w:t>
            </w:r>
          </w:p>
          <w:p w:rsidR="00E95FB1" w:rsidRPr="00C86B34" w:rsidRDefault="00E95FB1" w:rsidP="000303D7">
            <w:pPr>
              <w:numPr>
                <w:ilvl w:val="0"/>
                <w:numId w:val="50"/>
              </w:numPr>
              <w:tabs>
                <w:tab w:val="left" w:pos="333"/>
              </w:tabs>
              <w:autoSpaceDE w:val="0"/>
              <w:autoSpaceDN w:val="0"/>
              <w:adjustRightInd w:val="0"/>
              <w:ind w:right="112" w:hanging="578"/>
              <w:rPr>
                <w:rFonts w:eastAsia="Calibri"/>
                <w:color w:val="000000"/>
                <w:sz w:val="22"/>
              </w:rPr>
            </w:pPr>
            <w:r w:rsidRPr="00C86B34">
              <w:rPr>
                <w:rFonts w:eastAsia="Calibri"/>
                <w:color w:val="000000"/>
                <w:sz w:val="22"/>
              </w:rPr>
              <w:t>визначення підрядної організації для проведення будівельних робіт</w:t>
            </w:r>
          </w:p>
          <w:p w:rsidR="00E95FB1" w:rsidRPr="00C86B34" w:rsidRDefault="00E95FB1" w:rsidP="000303D7">
            <w:pPr>
              <w:numPr>
                <w:ilvl w:val="0"/>
                <w:numId w:val="50"/>
              </w:numPr>
              <w:tabs>
                <w:tab w:val="left" w:pos="333"/>
              </w:tabs>
              <w:autoSpaceDE w:val="0"/>
              <w:autoSpaceDN w:val="0"/>
              <w:adjustRightInd w:val="0"/>
              <w:ind w:right="112" w:hanging="578"/>
              <w:rPr>
                <w:rFonts w:eastAsia="Calibri"/>
                <w:color w:val="000000"/>
                <w:sz w:val="22"/>
              </w:rPr>
            </w:pPr>
            <w:r w:rsidRPr="00C86B34">
              <w:rPr>
                <w:rFonts w:eastAsia="Calibri"/>
                <w:color w:val="000000"/>
                <w:sz w:val="22"/>
              </w:rPr>
              <w:t>виконання будівельних робіт:</w:t>
            </w:r>
          </w:p>
          <w:p w:rsidR="00E95FB1" w:rsidRPr="00C86B34" w:rsidRDefault="00E95FB1" w:rsidP="000303D7">
            <w:pPr>
              <w:numPr>
                <w:ilvl w:val="0"/>
                <w:numId w:val="55"/>
              </w:numPr>
              <w:tabs>
                <w:tab w:val="left" w:pos="333"/>
              </w:tabs>
              <w:autoSpaceDE w:val="0"/>
              <w:autoSpaceDN w:val="0"/>
              <w:adjustRightInd w:val="0"/>
              <w:ind w:right="112"/>
              <w:rPr>
                <w:rFonts w:eastAsia="Calibri"/>
                <w:color w:val="000000"/>
                <w:sz w:val="22"/>
              </w:rPr>
            </w:pPr>
            <w:r w:rsidRPr="00C86B34">
              <w:rPr>
                <w:rFonts w:eastAsia="Calibri"/>
                <w:color w:val="000000"/>
                <w:sz w:val="22"/>
              </w:rPr>
              <w:t>ремонт даху</w:t>
            </w:r>
          </w:p>
          <w:p w:rsidR="00E95FB1" w:rsidRPr="00C86B34" w:rsidRDefault="00E95FB1" w:rsidP="000303D7">
            <w:pPr>
              <w:numPr>
                <w:ilvl w:val="0"/>
                <w:numId w:val="55"/>
              </w:numPr>
              <w:tabs>
                <w:tab w:val="left" w:pos="333"/>
              </w:tabs>
              <w:autoSpaceDE w:val="0"/>
              <w:autoSpaceDN w:val="0"/>
              <w:adjustRightInd w:val="0"/>
              <w:ind w:right="112"/>
              <w:rPr>
                <w:rFonts w:eastAsia="Calibri"/>
                <w:color w:val="000000"/>
                <w:sz w:val="22"/>
              </w:rPr>
            </w:pPr>
            <w:r w:rsidRPr="00C86B34">
              <w:rPr>
                <w:rFonts w:eastAsia="Calibri"/>
                <w:color w:val="000000"/>
                <w:sz w:val="22"/>
              </w:rPr>
              <w:t>заміна пошкоджених вікон, дверей</w:t>
            </w:r>
          </w:p>
          <w:p w:rsidR="00E95FB1" w:rsidRPr="00C86B34" w:rsidRDefault="00E95FB1" w:rsidP="000303D7">
            <w:pPr>
              <w:numPr>
                <w:ilvl w:val="0"/>
                <w:numId w:val="55"/>
              </w:numPr>
              <w:tabs>
                <w:tab w:val="left" w:pos="333"/>
              </w:tabs>
              <w:autoSpaceDE w:val="0"/>
              <w:autoSpaceDN w:val="0"/>
              <w:adjustRightInd w:val="0"/>
              <w:ind w:right="112"/>
              <w:rPr>
                <w:rFonts w:eastAsia="Calibri"/>
                <w:color w:val="000000"/>
                <w:sz w:val="22"/>
              </w:rPr>
            </w:pPr>
            <w:r w:rsidRPr="00C86B34">
              <w:rPr>
                <w:rFonts w:eastAsia="Calibri"/>
                <w:color w:val="000000"/>
                <w:sz w:val="22"/>
              </w:rPr>
              <w:t>ремонт модульної котельні</w:t>
            </w:r>
          </w:p>
          <w:p w:rsidR="00E95FB1" w:rsidRPr="00C86B34" w:rsidRDefault="00E95FB1" w:rsidP="000303D7">
            <w:pPr>
              <w:numPr>
                <w:ilvl w:val="0"/>
                <w:numId w:val="55"/>
              </w:numPr>
              <w:tabs>
                <w:tab w:val="left" w:pos="333"/>
              </w:tabs>
              <w:autoSpaceDE w:val="0"/>
              <w:autoSpaceDN w:val="0"/>
              <w:adjustRightInd w:val="0"/>
              <w:ind w:right="112"/>
              <w:rPr>
                <w:rFonts w:eastAsia="Calibri"/>
                <w:color w:val="000000"/>
                <w:sz w:val="22"/>
              </w:rPr>
            </w:pPr>
            <w:r w:rsidRPr="00C86B34">
              <w:rPr>
                <w:sz w:val="22"/>
              </w:rPr>
              <w:t>модернізація системи опалення та інженерних мереж</w:t>
            </w:r>
          </w:p>
          <w:p w:rsidR="00E95FB1" w:rsidRPr="00C86B34" w:rsidRDefault="00E95FB1" w:rsidP="000303D7">
            <w:pPr>
              <w:numPr>
                <w:ilvl w:val="0"/>
                <w:numId w:val="55"/>
              </w:numPr>
              <w:tabs>
                <w:tab w:val="left" w:pos="333"/>
              </w:tabs>
              <w:autoSpaceDE w:val="0"/>
              <w:autoSpaceDN w:val="0"/>
              <w:adjustRightInd w:val="0"/>
              <w:ind w:right="112"/>
              <w:rPr>
                <w:rFonts w:eastAsia="Calibri"/>
                <w:color w:val="000000"/>
                <w:sz w:val="22"/>
              </w:rPr>
            </w:pPr>
            <w:r w:rsidRPr="00C86B34">
              <w:rPr>
                <w:sz w:val="22"/>
              </w:rPr>
              <w:t xml:space="preserve">облаштування системи </w:t>
            </w:r>
            <w:proofErr w:type="spellStart"/>
            <w:r w:rsidRPr="00C86B34">
              <w:rPr>
                <w:sz w:val="22"/>
              </w:rPr>
              <w:t>відеонагляду</w:t>
            </w:r>
            <w:proofErr w:type="spellEnd"/>
            <w:r w:rsidRPr="00C86B34">
              <w:rPr>
                <w:sz w:val="22"/>
              </w:rPr>
              <w:t xml:space="preserve"> та відеоспостереження</w:t>
            </w:r>
          </w:p>
          <w:p w:rsidR="00E95FB1" w:rsidRPr="00C86B34" w:rsidRDefault="00E95FB1" w:rsidP="000303D7">
            <w:pPr>
              <w:numPr>
                <w:ilvl w:val="0"/>
                <w:numId w:val="55"/>
              </w:numPr>
              <w:tabs>
                <w:tab w:val="left" w:pos="333"/>
              </w:tabs>
              <w:autoSpaceDE w:val="0"/>
              <w:autoSpaceDN w:val="0"/>
              <w:adjustRightInd w:val="0"/>
              <w:ind w:right="112"/>
              <w:rPr>
                <w:rFonts w:eastAsia="Calibri"/>
                <w:color w:val="000000"/>
                <w:sz w:val="22"/>
              </w:rPr>
            </w:pPr>
            <w:r w:rsidRPr="00C86B34">
              <w:rPr>
                <w:sz w:val="22"/>
              </w:rPr>
              <w:t>облаштування  системи рекуперації повітря</w:t>
            </w:r>
          </w:p>
          <w:p w:rsidR="00E95FB1" w:rsidRPr="00C86B34" w:rsidRDefault="00E95FB1" w:rsidP="000303D7">
            <w:pPr>
              <w:numPr>
                <w:ilvl w:val="0"/>
                <w:numId w:val="55"/>
              </w:numPr>
              <w:tabs>
                <w:tab w:val="left" w:pos="333"/>
              </w:tabs>
              <w:autoSpaceDE w:val="0"/>
              <w:autoSpaceDN w:val="0"/>
              <w:adjustRightInd w:val="0"/>
              <w:ind w:right="112"/>
              <w:rPr>
                <w:rFonts w:eastAsia="Calibri"/>
                <w:color w:val="000000"/>
                <w:sz w:val="22"/>
              </w:rPr>
            </w:pPr>
            <w:r w:rsidRPr="00C86B34">
              <w:rPr>
                <w:sz w:val="22"/>
              </w:rPr>
              <w:t>ремонт приміщень (адміністративні та господарчі приміщення, коридори, сходи)</w:t>
            </w:r>
          </w:p>
          <w:p w:rsidR="00E95FB1" w:rsidRPr="00C86B34" w:rsidRDefault="00E95FB1" w:rsidP="000303D7">
            <w:pPr>
              <w:numPr>
                <w:ilvl w:val="0"/>
                <w:numId w:val="55"/>
              </w:numPr>
              <w:tabs>
                <w:tab w:val="left" w:pos="333"/>
              </w:tabs>
              <w:rPr>
                <w:sz w:val="22"/>
              </w:rPr>
            </w:pPr>
            <w:r w:rsidRPr="00C86B34">
              <w:rPr>
                <w:sz w:val="22"/>
              </w:rPr>
              <w:t>утеплення фасаду будівлі</w:t>
            </w:r>
          </w:p>
          <w:p w:rsidR="00E95FB1" w:rsidRPr="00C86B34" w:rsidRDefault="00E95FB1" w:rsidP="000303D7">
            <w:pPr>
              <w:numPr>
                <w:ilvl w:val="0"/>
                <w:numId w:val="55"/>
              </w:numPr>
              <w:tabs>
                <w:tab w:val="left" w:pos="333"/>
              </w:tabs>
              <w:rPr>
                <w:sz w:val="22"/>
              </w:rPr>
            </w:pPr>
            <w:r w:rsidRPr="00C86B34">
              <w:rPr>
                <w:sz w:val="22"/>
              </w:rPr>
              <w:t xml:space="preserve">встановлення сонячних </w:t>
            </w:r>
            <w:proofErr w:type="spellStart"/>
            <w:r w:rsidRPr="00C86B34">
              <w:rPr>
                <w:sz w:val="22"/>
              </w:rPr>
              <w:t>батарей</w:t>
            </w:r>
            <w:proofErr w:type="spellEnd"/>
          </w:p>
          <w:p w:rsidR="00E95FB1" w:rsidRPr="00C86B34" w:rsidRDefault="00E95FB1" w:rsidP="000303D7">
            <w:pPr>
              <w:numPr>
                <w:ilvl w:val="0"/>
                <w:numId w:val="55"/>
              </w:numPr>
              <w:tabs>
                <w:tab w:val="left" w:pos="333"/>
              </w:tabs>
              <w:autoSpaceDE w:val="0"/>
              <w:autoSpaceDN w:val="0"/>
              <w:adjustRightInd w:val="0"/>
              <w:ind w:right="112"/>
              <w:rPr>
                <w:rFonts w:eastAsia="Calibri"/>
                <w:color w:val="000000"/>
                <w:sz w:val="22"/>
              </w:rPr>
            </w:pPr>
            <w:r w:rsidRPr="00C86B34">
              <w:rPr>
                <w:sz w:val="22"/>
              </w:rPr>
              <w:t>установка автоматичної системи знезараження води</w:t>
            </w:r>
          </w:p>
          <w:p w:rsidR="00E95FB1" w:rsidRPr="00C86B34" w:rsidRDefault="00E95FB1" w:rsidP="000303D7">
            <w:pPr>
              <w:numPr>
                <w:ilvl w:val="0"/>
                <w:numId w:val="55"/>
              </w:numPr>
              <w:tabs>
                <w:tab w:val="left" w:pos="333"/>
              </w:tabs>
              <w:rPr>
                <w:sz w:val="22"/>
              </w:rPr>
            </w:pPr>
            <w:r w:rsidRPr="00C86B34">
              <w:rPr>
                <w:color w:val="000000"/>
                <w:sz w:val="22"/>
              </w:rPr>
              <w:t xml:space="preserve"> встановлення гідравлічного підйомника для осіб з особливими потребами (чаша басейну)</w:t>
            </w:r>
          </w:p>
          <w:p w:rsidR="00E95FB1" w:rsidRPr="00C86B34" w:rsidRDefault="00E95FB1" w:rsidP="000303D7">
            <w:pPr>
              <w:numPr>
                <w:ilvl w:val="0"/>
                <w:numId w:val="55"/>
              </w:numPr>
              <w:tabs>
                <w:tab w:val="left" w:pos="333"/>
              </w:tabs>
              <w:autoSpaceDE w:val="0"/>
              <w:autoSpaceDN w:val="0"/>
              <w:adjustRightInd w:val="0"/>
              <w:ind w:right="112"/>
              <w:jc w:val="left"/>
              <w:rPr>
                <w:rFonts w:eastAsia="Calibri"/>
                <w:color w:val="000000"/>
                <w:sz w:val="22"/>
              </w:rPr>
            </w:pPr>
            <w:r w:rsidRPr="00C86B34">
              <w:rPr>
                <w:sz w:val="22"/>
              </w:rPr>
              <w:t>встановлення автоматичної системи знезараження води</w:t>
            </w:r>
          </w:p>
          <w:p w:rsidR="00E95FB1" w:rsidRPr="00C86B34" w:rsidRDefault="00E95FB1" w:rsidP="000303D7">
            <w:pPr>
              <w:numPr>
                <w:ilvl w:val="0"/>
                <w:numId w:val="55"/>
              </w:numPr>
              <w:autoSpaceDE w:val="0"/>
              <w:autoSpaceDN w:val="0"/>
              <w:adjustRightInd w:val="0"/>
              <w:ind w:right="116"/>
              <w:jc w:val="left"/>
              <w:rPr>
                <w:color w:val="000000"/>
                <w:sz w:val="22"/>
              </w:rPr>
            </w:pPr>
            <w:r w:rsidRPr="00C86B34">
              <w:rPr>
                <w:color w:val="000000"/>
                <w:sz w:val="22"/>
              </w:rPr>
              <w:t>встановлення ультрафіолетової системи фільтрації</w:t>
            </w:r>
          </w:p>
          <w:p w:rsidR="00E95FB1" w:rsidRPr="00C86B34" w:rsidRDefault="00E95FB1" w:rsidP="000303D7">
            <w:pPr>
              <w:pStyle w:val="a7"/>
              <w:numPr>
                <w:ilvl w:val="0"/>
                <w:numId w:val="55"/>
              </w:numPr>
              <w:autoSpaceDE w:val="0"/>
              <w:autoSpaceDN w:val="0"/>
              <w:adjustRightInd w:val="0"/>
              <w:ind w:right="116"/>
              <w:contextualSpacing w:val="0"/>
              <w:jc w:val="left"/>
              <w:rPr>
                <w:rFonts w:eastAsia="Calibri"/>
                <w:sz w:val="22"/>
              </w:rPr>
            </w:pPr>
            <w:r w:rsidRPr="00C86B34">
              <w:rPr>
                <w:color w:val="000000"/>
                <w:sz w:val="22"/>
              </w:rPr>
              <w:t xml:space="preserve">ремонт спортивного залу  та залу хореографії </w:t>
            </w:r>
          </w:p>
          <w:p w:rsidR="00E95FB1" w:rsidRPr="00C86B34" w:rsidRDefault="00E95FB1" w:rsidP="000303D7">
            <w:pPr>
              <w:pStyle w:val="a7"/>
              <w:numPr>
                <w:ilvl w:val="0"/>
                <w:numId w:val="55"/>
              </w:numPr>
              <w:autoSpaceDE w:val="0"/>
              <w:autoSpaceDN w:val="0"/>
              <w:adjustRightInd w:val="0"/>
              <w:ind w:right="116"/>
              <w:contextualSpacing w:val="0"/>
              <w:jc w:val="left"/>
              <w:rPr>
                <w:rFonts w:eastAsia="Calibri"/>
                <w:sz w:val="22"/>
              </w:rPr>
            </w:pPr>
            <w:r w:rsidRPr="00C86B34">
              <w:rPr>
                <w:color w:val="000000"/>
                <w:sz w:val="22"/>
              </w:rPr>
              <w:t>встановлення системи кондиціювання</w:t>
            </w:r>
          </w:p>
          <w:p w:rsidR="00E95FB1" w:rsidRPr="00C86B34" w:rsidRDefault="00E95FB1" w:rsidP="000303D7">
            <w:pPr>
              <w:numPr>
                <w:ilvl w:val="0"/>
                <w:numId w:val="55"/>
              </w:numPr>
              <w:autoSpaceDE w:val="0"/>
              <w:autoSpaceDN w:val="0"/>
              <w:adjustRightInd w:val="0"/>
              <w:ind w:right="116"/>
              <w:jc w:val="left"/>
              <w:rPr>
                <w:color w:val="000000"/>
                <w:sz w:val="22"/>
              </w:rPr>
            </w:pPr>
            <w:r w:rsidRPr="00C86B34">
              <w:rPr>
                <w:color w:val="000000"/>
                <w:sz w:val="22"/>
              </w:rPr>
              <w:t>благоустрій прилеглої території;</w:t>
            </w:r>
          </w:p>
          <w:p w:rsidR="00E95FB1" w:rsidRPr="00C86B34" w:rsidRDefault="00E95FB1" w:rsidP="000303D7">
            <w:pPr>
              <w:numPr>
                <w:ilvl w:val="0"/>
                <w:numId w:val="30"/>
              </w:numPr>
              <w:tabs>
                <w:tab w:val="left" w:pos="333"/>
              </w:tabs>
              <w:autoSpaceDE w:val="0"/>
              <w:autoSpaceDN w:val="0"/>
              <w:adjustRightInd w:val="0"/>
              <w:ind w:right="112" w:hanging="676"/>
              <w:rPr>
                <w:rFonts w:eastAsia="Calibri"/>
                <w:color w:val="000000"/>
                <w:sz w:val="22"/>
              </w:rPr>
            </w:pPr>
            <w:r w:rsidRPr="00C86B34">
              <w:rPr>
                <w:rFonts w:eastAsia="Calibri"/>
                <w:color w:val="000000"/>
                <w:sz w:val="22"/>
              </w:rPr>
              <w:t>придбання обладнання та матеріалів:</w:t>
            </w:r>
          </w:p>
          <w:p w:rsidR="00E95FB1" w:rsidRPr="00C86B34" w:rsidRDefault="00E95FB1" w:rsidP="000303D7">
            <w:pPr>
              <w:numPr>
                <w:ilvl w:val="0"/>
                <w:numId w:val="53"/>
              </w:numPr>
              <w:tabs>
                <w:tab w:val="left" w:pos="333"/>
              </w:tabs>
              <w:autoSpaceDE w:val="0"/>
              <w:autoSpaceDN w:val="0"/>
              <w:adjustRightInd w:val="0"/>
              <w:ind w:right="112"/>
              <w:rPr>
                <w:rFonts w:eastAsia="Calibri"/>
                <w:color w:val="000000"/>
                <w:sz w:val="22"/>
              </w:rPr>
            </w:pPr>
            <w:r w:rsidRPr="00C86B34">
              <w:rPr>
                <w:sz w:val="22"/>
              </w:rPr>
              <w:t>придбання офісної техніки, меблів, господарчого інвентарю</w:t>
            </w:r>
          </w:p>
          <w:p w:rsidR="00E95FB1" w:rsidRPr="00C86B34" w:rsidRDefault="00E95FB1" w:rsidP="000303D7">
            <w:pPr>
              <w:numPr>
                <w:ilvl w:val="0"/>
                <w:numId w:val="53"/>
              </w:numPr>
              <w:tabs>
                <w:tab w:val="left" w:pos="333"/>
              </w:tabs>
              <w:autoSpaceDE w:val="0"/>
              <w:autoSpaceDN w:val="0"/>
              <w:adjustRightInd w:val="0"/>
              <w:ind w:right="112"/>
              <w:rPr>
                <w:rFonts w:eastAsia="Calibri"/>
                <w:color w:val="000000"/>
                <w:sz w:val="22"/>
              </w:rPr>
            </w:pPr>
            <w:r w:rsidRPr="00C86B34">
              <w:rPr>
                <w:rFonts w:eastAsia="Calibri"/>
                <w:color w:val="000000"/>
                <w:sz w:val="22"/>
              </w:rPr>
              <w:t>забезпечення спортивного залу сучасним спортивним інвентарем та обладнанням</w:t>
            </w:r>
          </w:p>
          <w:p w:rsidR="00E95FB1" w:rsidRPr="00C86B34" w:rsidRDefault="00E95FB1" w:rsidP="001B3967">
            <w:pPr>
              <w:tabs>
                <w:tab w:val="left" w:pos="192"/>
              </w:tabs>
              <w:rPr>
                <w:rFonts w:eastAsia="Calibri"/>
                <w:sz w:val="22"/>
              </w:rPr>
            </w:pPr>
            <w:r w:rsidRPr="00C86B34">
              <w:rPr>
                <w:rFonts w:eastAsia="Calibri"/>
                <w:color w:val="000000"/>
                <w:sz w:val="22"/>
              </w:rPr>
              <w:t>введення споруди в експлуатацію та її експлуатація за призначенням</w:t>
            </w:r>
          </w:p>
        </w:tc>
      </w:tr>
      <w:tr w:rsidR="00E95FB1" w:rsidRPr="00C86B34" w:rsidTr="001B3967">
        <w:trPr>
          <w:trHeight w:val="200"/>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Орієнтовний обсяг та джерела фінансування тис. гривень</w:t>
            </w:r>
          </w:p>
        </w:tc>
        <w:tc>
          <w:tcPr>
            <w:tcW w:w="1804"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Державний бюджет</w:t>
            </w:r>
          </w:p>
        </w:tc>
        <w:tc>
          <w:tcPr>
            <w:tcW w:w="1217"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Місцевий бюджет</w:t>
            </w:r>
          </w:p>
        </w:tc>
        <w:tc>
          <w:tcPr>
            <w:tcW w:w="2435" w:type="dxa"/>
            <w:gridSpan w:val="4"/>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Інші джерела</w:t>
            </w:r>
          </w:p>
        </w:tc>
        <w:tc>
          <w:tcPr>
            <w:tcW w:w="1489"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Всього</w:t>
            </w:r>
          </w:p>
        </w:tc>
      </w:tr>
      <w:tr w:rsidR="00E95FB1" w:rsidRPr="00C86B34" w:rsidTr="001B3967">
        <w:trPr>
          <w:trHeight w:val="200"/>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1804"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217"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218"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Обсяг</w:t>
            </w:r>
          </w:p>
        </w:tc>
        <w:tc>
          <w:tcPr>
            <w:tcW w:w="1217"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Назва джерела</w:t>
            </w:r>
          </w:p>
        </w:tc>
        <w:tc>
          <w:tcPr>
            <w:tcW w:w="1489" w:type="dxa"/>
            <w:vMerge/>
            <w:vAlign w:val="center"/>
          </w:tcPr>
          <w:p w:rsidR="00E95FB1" w:rsidRPr="00C86B34" w:rsidRDefault="00E95FB1" w:rsidP="001B3967">
            <w:pPr>
              <w:autoSpaceDE w:val="0"/>
              <w:autoSpaceDN w:val="0"/>
              <w:adjustRightInd w:val="0"/>
              <w:jc w:val="center"/>
              <w:rPr>
                <w:rFonts w:eastAsia="Calibri"/>
                <w:b/>
                <w:color w:val="000000"/>
                <w:sz w:val="22"/>
              </w:rPr>
            </w:pPr>
          </w:p>
        </w:tc>
      </w:tr>
      <w:tr w:rsidR="00E95FB1" w:rsidRPr="00C86B34" w:rsidTr="001B3967">
        <w:trPr>
          <w:trHeight w:val="200"/>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1804"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24 000,0</w:t>
            </w:r>
          </w:p>
        </w:tc>
        <w:tc>
          <w:tcPr>
            <w:tcW w:w="1217" w:type="dxa"/>
          </w:tcPr>
          <w:p w:rsidR="00E95FB1" w:rsidRPr="00C86B34" w:rsidRDefault="00E95FB1" w:rsidP="001B3967">
            <w:pPr>
              <w:autoSpaceDE w:val="0"/>
              <w:autoSpaceDN w:val="0"/>
              <w:adjustRightInd w:val="0"/>
              <w:jc w:val="center"/>
              <w:rPr>
                <w:rFonts w:eastAsia="Calibri"/>
                <w:color w:val="000000"/>
                <w:sz w:val="22"/>
              </w:rPr>
            </w:pPr>
          </w:p>
        </w:tc>
        <w:tc>
          <w:tcPr>
            <w:tcW w:w="1218" w:type="dxa"/>
            <w:gridSpan w:val="2"/>
          </w:tcPr>
          <w:p w:rsidR="00E95FB1" w:rsidRPr="00C86B34" w:rsidRDefault="00E95FB1" w:rsidP="001B3967">
            <w:pPr>
              <w:autoSpaceDE w:val="0"/>
              <w:autoSpaceDN w:val="0"/>
              <w:adjustRightInd w:val="0"/>
              <w:jc w:val="center"/>
              <w:rPr>
                <w:rFonts w:eastAsia="Calibri"/>
                <w:color w:val="000000"/>
                <w:sz w:val="22"/>
              </w:rPr>
            </w:pPr>
          </w:p>
        </w:tc>
        <w:tc>
          <w:tcPr>
            <w:tcW w:w="1217" w:type="dxa"/>
            <w:gridSpan w:val="2"/>
          </w:tcPr>
          <w:p w:rsidR="00E95FB1" w:rsidRPr="00C86B34" w:rsidRDefault="00E95FB1" w:rsidP="001B3967">
            <w:pPr>
              <w:autoSpaceDE w:val="0"/>
              <w:autoSpaceDN w:val="0"/>
              <w:adjustRightInd w:val="0"/>
              <w:jc w:val="center"/>
              <w:rPr>
                <w:rFonts w:eastAsia="Calibri"/>
                <w:color w:val="000000"/>
                <w:sz w:val="22"/>
              </w:rPr>
            </w:pPr>
          </w:p>
        </w:tc>
        <w:tc>
          <w:tcPr>
            <w:tcW w:w="1489"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24 000,0</w:t>
            </w:r>
          </w:p>
        </w:tc>
      </w:tr>
      <w:tr w:rsidR="00E95FB1" w:rsidRPr="00C86B34" w:rsidTr="001B3967">
        <w:trPr>
          <w:trHeight w:val="200"/>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b/>
                <w:sz w:val="22"/>
              </w:rPr>
              <w:t xml:space="preserve">Ключові потенційні учасники </w:t>
            </w:r>
            <w:proofErr w:type="spellStart"/>
            <w:r w:rsidRPr="00C86B34">
              <w:rPr>
                <w:b/>
                <w:sz w:val="22"/>
              </w:rPr>
              <w:t>проєкту</w:t>
            </w:r>
            <w:proofErr w:type="spellEnd"/>
          </w:p>
        </w:tc>
        <w:tc>
          <w:tcPr>
            <w:tcW w:w="6945" w:type="dxa"/>
            <w:gridSpan w:val="7"/>
          </w:tcPr>
          <w:p w:rsidR="00E95FB1" w:rsidRPr="00C86B34" w:rsidRDefault="00E95FB1" w:rsidP="001B3967">
            <w:pPr>
              <w:rPr>
                <w:sz w:val="22"/>
              </w:rPr>
            </w:pPr>
            <w:r w:rsidRPr="00C86B34">
              <w:rPr>
                <w:sz w:val="22"/>
              </w:rPr>
              <w:t xml:space="preserve">1. Військова адміністрація міста. </w:t>
            </w:r>
          </w:p>
          <w:p w:rsidR="00E95FB1" w:rsidRPr="00C86B34" w:rsidRDefault="00E95FB1" w:rsidP="001B3967">
            <w:pPr>
              <w:tabs>
                <w:tab w:val="left" w:pos="720"/>
              </w:tabs>
              <w:rPr>
                <w:sz w:val="22"/>
              </w:rPr>
            </w:pPr>
            <w:r w:rsidRPr="00C86B34">
              <w:rPr>
                <w:sz w:val="22"/>
              </w:rPr>
              <w:t>2. Відділ капітального будівництва військової адміністрації міста.</w:t>
            </w:r>
          </w:p>
          <w:p w:rsidR="00E95FB1" w:rsidRPr="00C86B34" w:rsidRDefault="00E95FB1" w:rsidP="001B3967">
            <w:pPr>
              <w:tabs>
                <w:tab w:val="left" w:pos="720"/>
              </w:tabs>
              <w:rPr>
                <w:sz w:val="22"/>
              </w:rPr>
            </w:pPr>
            <w:r w:rsidRPr="00C86B34">
              <w:rPr>
                <w:sz w:val="22"/>
              </w:rPr>
              <w:t>3. Підрядна організація - переможець тендеру, виконавець будівельно-монтажних робіт.</w:t>
            </w:r>
          </w:p>
          <w:p w:rsidR="00E95FB1" w:rsidRPr="00C86B34" w:rsidRDefault="00E95FB1" w:rsidP="001B3967">
            <w:pPr>
              <w:tabs>
                <w:tab w:val="left" w:pos="720"/>
              </w:tabs>
              <w:rPr>
                <w:sz w:val="22"/>
              </w:rPr>
            </w:pPr>
            <w:r w:rsidRPr="00C86B34">
              <w:rPr>
                <w:sz w:val="22"/>
              </w:rPr>
              <w:t>4. Обласна державна адміністрація.</w:t>
            </w:r>
          </w:p>
          <w:p w:rsidR="00E95FB1" w:rsidRPr="00C86B34" w:rsidRDefault="00E95FB1" w:rsidP="001B3967">
            <w:pPr>
              <w:autoSpaceDE w:val="0"/>
              <w:autoSpaceDN w:val="0"/>
              <w:adjustRightInd w:val="0"/>
              <w:rPr>
                <w:rFonts w:eastAsia="Calibri"/>
                <w:color w:val="000000"/>
                <w:sz w:val="22"/>
              </w:rPr>
            </w:pPr>
            <w:r w:rsidRPr="00C86B34">
              <w:rPr>
                <w:sz w:val="22"/>
              </w:rPr>
              <w:t>5. Інвестори та меценати спортивної галузі.</w:t>
            </w:r>
          </w:p>
        </w:tc>
      </w:tr>
    </w:tbl>
    <w:p w:rsidR="00E95FB1" w:rsidRPr="00C86B34" w:rsidRDefault="00E95FB1" w:rsidP="00E95FB1">
      <w:pPr>
        <w:rPr>
          <w:sz w:val="22"/>
        </w:rPr>
      </w:pPr>
    </w:p>
    <w:p w:rsidR="00E95FB1" w:rsidRPr="00C86B34" w:rsidRDefault="00E95FB1" w:rsidP="00E95FB1">
      <w:pPr>
        <w:rPr>
          <w:sz w:val="22"/>
        </w:rPr>
      </w:pPr>
    </w:p>
    <w:tbl>
      <w:tblPr>
        <w:tblpPr w:leftFromText="180" w:rightFromText="180" w:vertAnchor="text" w:horzAnchor="page" w:tblpX="1397" w:tblpY="123"/>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724"/>
        <w:gridCol w:w="1769"/>
        <w:gridCol w:w="1207"/>
        <w:gridCol w:w="160"/>
        <w:gridCol w:w="1048"/>
        <w:gridCol w:w="33"/>
        <w:gridCol w:w="1174"/>
        <w:gridCol w:w="1554"/>
      </w:tblGrid>
      <w:tr w:rsidR="00E95FB1" w:rsidRPr="00C86B34" w:rsidTr="001B3967">
        <w:trPr>
          <w:trHeight w:val="592"/>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Оперативна ціль/завдання</w:t>
            </w:r>
          </w:p>
        </w:tc>
        <w:tc>
          <w:tcPr>
            <w:tcW w:w="6945" w:type="dxa"/>
            <w:gridSpan w:val="7"/>
          </w:tcPr>
          <w:p w:rsidR="00E95FB1" w:rsidRPr="00C86B34" w:rsidRDefault="00844152" w:rsidP="001B3967">
            <w:pPr>
              <w:pStyle w:val="a7"/>
              <w:ind w:left="0"/>
              <w:rPr>
                <w:rFonts w:eastAsia="Calibri"/>
                <w:color w:val="000000"/>
                <w:sz w:val="22"/>
              </w:rPr>
            </w:pPr>
            <w:r w:rsidRPr="00C86B34">
              <w:rPr>
                <w:rFonts w:eastAsia="Arial"/>
                <w:sz w:val="22"/>
              </w:rPr>
              <w:t xml:space="preserve">Людський розвиток </w:t>
            </w:r>
            <w:r w:rsidR="00E95FB1" w:rsidRPr="00C86B34">
              <w:rPr>
                <w:rFonts w:eastAsia="Arial"/>
                <w:sz w:val="22"/>
              </w:rPr>
              <w:t xml:space="preserve">через інновації управління та довіру до влади. Формування сучасного інклюзивного </w:t>
            </w:r>
            <w:proofErr w:type="spellStart"/>
            <w:r w:rsidR="00E95FB1" w:rsidRPr="00C86B34">
              <w:rPr>
                <w:rFonts w:eastAsia="Arial"/>
                <w:sz w:val="22"/>
              </w:rPr>
              <w:t>освітньо</w:t>
            </w:r>
            <w:proofErr w:type="spellEnd"/>
            <w:r w:rsidR="00E95FB1" w:rsidRPr="00C86B34">
              <w:rPr>
                <w:rFonts w:eastAsia="Arial"/>
                <w:sz w:val="22"/>
              </w:rPr>
              <w:t xml:space="preserve"> – культурного та спортивного простору для розвитку</w:t>
            </w:r>
          </w:p>
        </w:tc>
      </w:tr>
      <w:tr w:rsidR="00E95FB1" w:rsidRPr="00C86B34" w:rsidTr="001B3967">
        <w:trPr>
          <w:trHeight w:val="638"/>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Назва проекту:</w:t>
            </w:r>
          </w:p>
        </w:tc>
        <w:tc>
          <w:tcPr>
            <w:tcW w:w="6945" w:type="dxa"/>
            <w:gridSpan w:val="7"/>
          </w:tcPr>
          <w:p w:rsidR="00E95FB1" w:rsidRPr="00C86B34" w:rsidRDefault="00E95FB1" w:rsidP="001B3967">
            <w:pPr>
              <w:autoSpaceDE w:val="0"/>
              <w:autoSpaceDN w:val="0"/>
              <w:adjustRightInd w:val="0"/>
              <w:ind w:left="49" w:right="116"/>
              <w:rPr>
                <w:rFonts w:eastAsia="Calibri"/>
                <w:color w:val="000000"/>
                <w:sz w:val="22"/>
              </w:rPr>
            </w:pPr>
            <w:r w:rsidRPr="00C86B34">
              <w:rPr>
                <w:sz w:val="22"/>
              </w:rPr>
              <w:t>Нове будівництво спортивної споруди зі штучним льодом у 73 мікрорайоні м. Сєвєродонецька Луганської області</w:t>
            </w:r>
          </w:p>
        </w:tc>
      </w:tr>
      <w:tr w:rsidR="00E95FB1" w:rsidRPr="00C86B34" w:rsidTr="001B3967">
        <w:trPr>
          <w:trHeight w:val="759"/>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lastRenderedPageBreak/>
              <w:t>Ціль проекту</w:t>
            </w:r>
          </w:p>
        </w:tc>
        <w:tc>
          <w:tcPr>
            <w:tcW w:w="6945" w:type="dxa"/>
            <w:gridSpan w:val="7"/>
            <w:vAlign w:val="center"/>
          </w:tcPr>
          <w:p w:rsidR="00E95FB1" w:rsidRPr="00C86B34" w:rsidRDefault="00E95FB1" w:rsidP="001B3967">
            <w:pPr>
              <w:autoSpaceDE w:val="0"/>
              <w:autoSpaceDN w:val="0"/>
              <w:adjustRightInd w:val="0"/>
              <w:ind w:right="116"/>
              <w:rPr>
                <w:sz w:val="22"/>
              </w:rPr>
            </w:pPr>
            <w:r w:rsidRPr="00C86B34">
              <w:rPr>
                <w:rFonts w:eastAsia="Calibri"/>
                <w:color w:val="000000"/>
                <w:sz w:val="22"/>
              </w:rPr>
              <w:t xml:space="preserve">Створення спортивного простору для мешканців міста (дітей, молоді, дорослих та </w:t>
            </w:r>
            <w:r w:rsidRPr="00C86B34">
              <w:rPr>
                <w:sz w:val="22"/>
              </w:rPr>
              <w:t xml:space="preserve"> людей з особливими потребами) </w:t>
            </w:r>
            <w:r w:rsidRPr="00C86B34">
              <w:rPr>
                <w:rFonts w:eastAsia="Calibri"/>
                <w:color w:val="000000"/>
                <w:sz w:val="22"/>
              </w:rPr>
              <w:t xml:space="preserve">– сучасних, безпечних та комфортних умов для занять фізичною культурою та спортом, загального оздоровлення, реабілітації, зміцнення генофонду, підвищення потенціалу трудових ресурсів, психофізичного здоров’я, зростання добробуту населення і вирішення інших соціальних проблем, </w:t>
            </w:r>
            <w:r w:rsidRPr="00C86B34">
              <w:rPr>
                <w:sz w:val="22"/>
              </w:rPr>
              <w:t xml:space="preserve"> порушених  внаслідок військового вторгнення </w:t>
            </w:r>
            <w:r w:rsidR="00523148" w:rsidRPr="00C86B34">
              <w:rPr>
                <w:sz w:val="22"/>
              </w:rPr>
              <w:t>РФ</w:t>
            </w:r>
            <w:r w:rsidRPr="00C86B34">
              <w:rPr>
                <w:sz w:val="22"/>
              </w:rPr>
              <w:t xml:space="preserve"> на територію України.</w:t>
            </w:r>
          </w:p>
          <w:p w:rsidR="00E95FB1" w:rsidRPr="00C86B34" w:rsidRDefault="00E95FB1" w:rsidP="001B3967">
            <w:pPr>
              <w:autoSpaceDE w:val="0"/>
              <w:autoSpaceDN w:val="0"/>
              <w:adjustRightInd w:val="0"/>
              <w:ind w:right="116"/>
              <w:rPr>
                <w:sz w:val="22"/>
              </w:rPr>
            </w:pPr>
            <w:r w:rsidRPr="00C86B34">
              <w:rPr>
                <w:color w:val="212529"/>
                <w:sz w:val="22"/>
                <w:shd w:val="clear" w:color="auto" w:fill="FFFFFF"/>
              </w:rPr>
              <w:t>Популяризації та організації оздоровчої рухової активності як джерела зняття психоемоційної напруги та рівня стресу для всіх груп населення</w:t>
            </w:r>
            <w:r w:rsidRPr="00C86B34">
              <w:rPr>
                <w:sz w:val="22"/>
              </w:rPr>
              <w:t>.</w:t>
            </w:r>
          </w:p>
          <w:p w:rsidR="00E95FB1" w:rsidRPr="00C86B34" w:rsidRDefault="00E95FB1" w:rsidP="001B3967">
            <w:pPr>
              <w:autoSpaceDE w:val="0"/>
              <w:autoSpaceDN w:val="0"/>
              <w:adjustRightInd w:val="0"/>
              <w:ind w:right="116"/>
              <w:rPr>
                <w:color w:val="212529"/>
                <w:sz w:val="22"/>
              </w:rPr>
            </w:pPr>
            <w:r w:rsidRPr="00C86B34">
              <w:rPr>
                <w:color w:val="212529"/>
                <w:sz w:val="22"/>
                <w:shd w:val="clear" w:color="auto" w:fill="FFFFFF"/>
              </w:rPr>
              <w:t>Впровадження якісних змін у систему надання фізкультурно-оздоровчих послуг населенню. З</w:t>
            </w:r>
            <w:r w:rsidRPr="00C86B34">
              <w:rPr>
                <w:color w:val="212529"/>
                <w:sz w:val="22"/>
              </w:rPr>
              <w:t xml:space="preserve">більшення відсотку населення, залученого до занять фізичною культурою і спортом. </w:t>
            </w:r>
          </w:p>
          <w:p w:rsidR="00E95FB1" w:rsidRPr="00C86B34" w:rsidRDefault="00E95FB1" w:rsidP="001B3967">
            <w:pPr>
              <w:autoSpaceDE w:val="0"/>
              <w:autoSpaceDN w:val="0"/>
              <w:adjustRightInd w:val="0"/>
              <w:ind w:right="116"/>
              <w:rPr>
                <w:rFonts w:eastAsia="Calibri"/>
                <w:color w:val="000000"/>
                <w:sz w:val="22"/>
              </w:rPr>
            </w:pPr>
            <w:r w:rsidRPr="00C86B34">
              <w:rPr>
                <w:color w:val="212529"/>
                <w:sz w:val="22"/>
              </w:rPr>
              <w:t>Відновлення у повному обсязі проведення всеукраїнських спортивних змагань.</w:t>
            </w:r>
          </w:p>
        </w:tc>
      </w:tr>
      <w:tr w:rsidR="00E95FB1" w:rsidRPr="00C86B34" w:rsidTr="001B3967">
        <w:trPr>
          <w:trHeight w:val="638"/>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Територія, на яку матиме вплив реалізація проекту</w:t>
            </w:r>
          </w:p>
        </w:tc>
        <w:tc>
          <w:tcPr>
            <w:tcW w:w="6945" w:type="dxa"/>
            <w:gridSpan w:val="7"/>
            <w:vAlign w:val="center"/>
          </w:tcPr>
          <w:p w:rsidR="00E95FB1" w:rsidRPr="00C86B34" w:rsidRDefault="00E95FB1" w:rsidP="001B3967">
            <w:pPr>
              <w:autoSpaceDE w:val="0"/>
              <w:autoSpaceDN w:val="0"/>
              <w:adjustRightInd w:val="0"/>
              <w:ind w:left="49" w:right="116"/>
              <w:rPr>
                <w:rFonts w:eastAsia="Calibri"/>
                <w:color w:val="000000"/>
                <w:sz w:val="22"/>
              </w:rPr>
            </w:pPr>
            <w:r w:rsidRPr="00C86B34">
              <w:rPr>
                <w:rFonts w:eastAsia="Calibri"/>
                <w:color w:val="000000"/>
                <w:sz w:val="22"/>
              </w:rPr>
              <w:t>Сєвєродонецька міська територіальна громада.</w:t>
            </w:r>
          </w:p>
        </w:tc>
      </w:tr>
      <w:tr w:rsidR="00E95FB1" w:rsidRPr="00C86B34" w:rsidTr="001B3967">
        <w:trPr>
          <w:trHeight w:val="1278"/>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Чисельність населення, на яке матиме вплив реалізація проекту</w:t>
            </w:r>
          </w:p>
        </w:tc>
        <w:tc>
          <w:tcPr>
            <w:tcW w:w="6945" w:type="dxa"/>
            <w:gridSpan w:val="7"/>
            <w:vAlign w:val="center"/>
          </w:tcPr>
          <w:p w:rsidR="00E95FB1" w:rsidRPr="00C86B34" w:rsidRDefault="00E95FB1" w:rsidP="00523148">
            <w:pPr>
              <w:autoSpaceDE w:val="0"/>
              <w:autoSpaceDN w:val="0"/>
              <w:adjustRightInd w:val="0"/>
              <w:ind w:left="49" w:right="116"/>
              <w:rPr>
                <w:rFonts w:eastAsia="Calibri"/>
                <w:color w:val="000000"/>
                <w:sz w:val="22"/>
              </w:rPr>
            </w:pPr>
            <w:r w:rsidRPr="00C86B34">
              <w:rPr>
                <w:rFonts w:eastAsia="Calibri"/>
                <w:color w:val="000000"/>
                <w:sz w:val="22"/>
              </w:rPr>
              <w:t xml:space="preserve">70 </w:t>
            </w:r>
            <w:r w:rsidR="00523148" w:rsidRPr="00C86B34">
              <w:rPr>
                <w:rFonts w:eastAsia="Calibri"/>
                <w:color w:val="000000"/>
                <w:sz w:val="22"/>
              </w:rPr>
              <w:t>000</w:t>
            </w:r>
          </w:p>
        </w:tc>
      </w:tr>
      <w:tr w:rsidR="00E95FB1" w:rsidRPr="00C86B34" w:rsidTr="001B3967">
        <w:trPr>
          <w:trHeight w:val="689"/>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Опис проблеми, на вирішення якої спрямований проект</w:t>
            </w:r>
          </w:p>
        </w:tc>
        <w:tc>
          <w:tcPr>
            <w:tcW w:w="6945" w:type="dxa"/>
            <w:gridSpan w:val="7"/>
          </w:tcPr>
          <w:p w:rsidR="00E95FB1" w:rsidRPr="00C86B34" w:rsidRDefault="00E95FB1" w:rsidP="001B3967">
            <w:pPr>
              <w:autoSpaceDE w:val="0"/>
              <w:autoSpaceDN w:val="0"/>
              <w:adjustRightInd w:val="0"/>
              <w:ind w:left="49" w:right="116"/>
              <w:rPr>
                <w:sz w:val="22"/>
              </w:rPr>
            </w:pPr>
            <w:r w:rsidRPr="00C86B34">
              <w:rPr>
                <w:rFonts w:eastAsia="Calibri"/>
                <w:color w:val="000000"/>
                <w:sz w:val="22"/>
              </w:rPr>
              <w:t xml:space="preserve">Сьогодні сфера фізичної культури і спорту вносить великий внесок у формування обороноздатності держави, оскільки виховує здорову, підготовлену людину, </w:t>
            </w:r>
            <w:r w:rsidRPr="00C86B34">
              <w:rPr>
                <w:color w:val="000000"/>
                <w:sz w:val="22"/>
              </w:rPr>
              <w:t>здатну для виконання свого конституційного обов’язку щодо захисту суверенітету та територіальної цілісності держави.</w:t>
            </w:r>
            <w:r w:rsidRPr="00C86B34">
              <w:rPr>
                <w:b/>
                <w:color w:val="000000"/>
                <w:sz w:val="22"/>
              </w:rPr>
              <w:t xml:space="preserve"> </w:t>
            </w:r>
            <w:r w:rsidRPr="00C86B34">
              <w:rPr>
                <w:sz w:val="22"/>
                <w:shd w:val="clear" w:color="auto" w:fill="FFFFFF"/>
              </w:rPr>
              <w:t>Також попри війну спортсмени нашого міста продовжують виборювати нагороди на різних рівнях.</w:t>
            </w:r>
          </w:p>
          <w:p w:rsidR="00E95FB1" w:rsidRPr="00C86B34" w:rsidRDefault="00E95FB1" w:rsidP="001B3967">
            <w:pPr>
              <w:autoSpaceDE w:val="0"/>
              <w:autoSpaceDN w:val="0"/>
              <w:adjustRightInd w:val="0"/>
              <w:ind w:left="49" w:right="116"/>
              <w:rPr>
                <w:color w:val="000000"/>
                <w:sz w:val="22"/>
              </w:rPr>
            </w:pPr>
            <w:r w:rsidRPr="00C86B34">
              <w:rPr>
                <w:color w:val="000000"/>
                <w:sz w:val="22"/>
              </w:rPr>
              <w:t xml:space="preserve">Тому розвиток сфери фізичної культури і спорту, відновлення спортивної інфраструктури має стратегічне значення. </w:t>
            </w:r>
          </w:p>
          <w:p w:rsidR="00E95FB1" w:rsidRPr="00C86B34" w:rsidRDefault="00E95FB1" w:rsidP="001B3967">
            <w:pPr>
              <w:autoSpaceDE w:val="0"/>
              <w:autoSpaceDN w:val="0"/>
              <w:adjustRightInd w:val="0"/>
              <w:ind w:left="49" w:right="116"/>
              <w:rPr>
                <w:rFonts w:eastAsia="Calibri"/>
                <w:sz w:val="22"/>
              </w:rPr>
            </w:pPr>
          </w:p>
        </w:tc>
      </w:tr>
      <w:tr w:rsidR="00E95FB1" w:rsidRPr="00C86B34" w:rsidTr="001B3967">
        <w:trPr>
          <w:trHeight w:val="1162"/>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Очікувані якісні результати від реалізації проекту</w:t>
            </w:r>
          </w:p>
        </w:tc>
        <w:tc>
          <w:tcPr>
            <w:tcW w:w="6945" w:type="dxa"/>
            <w:gridSpan w:val="7"/>
          </w:tcPr>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rFonts w:eastAsia="Calibri"/>
                <w:sz w:val="22"/>
              </w:rPr>
              <w:t>Впровадження навчально-тренувального процесу наступних видів спорту: хокей, фігурне катання, конькобіжний спорт.</w:t>
            </w:r>
          </w:p>
          <w:p w:rsidR="00E95FB1" w:rsidRPr="00C86B34" w:rsidRDefault="00523148" w:rsidP="000303D7">
            <w:pPr>
              <w:numPr>
                <w:ilvl w:val="0"/>
                <w:numId w:val="43"/>
              </w:numPr>
              <w:autoSpaceDE w:val="0"/>
              <w:autoSpaceDN w:val="0"/>
              <w:adjustRightInd w:val="0"/>
              <w:ind w:left="327" w:right="116" w:hanging="283"/>
              <w:rPr>
                <w:rFonts w:eastAsia="Calibri"/>
                <w:sz w:val="22"/>
              </w:rPr>
            </w:pPr>
            <w:r w:rsidRPr="00C86B34">
              <w:rPr>
                <w:sz w:val="22"/>
              </w:rPr>
              <w:t>О</w:t>
            </w:r>
            <w:r w:rsidR="00E95FB1" w:rsidRPr="00C86B34">
              <w:rPr>
                <w:sz w:val="22"/>
              </w:rPr>
              <w:t>рганізація доступу людей з особливими потребами до занять спортом.</w:t>
            </w:r>
          </w:p>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rFonts w:eastAsia="Calibri"/>
                <w:sz w:val="22"/>
              </w:rPr>
              <w:t>Підготовка спортсменів для резервного спорту.</w:t>
            </w:r>
          </w:p>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rFonts w:eastAsia="Calibri"/>
                <w:sz w:val="22"/>
              </w:rPr>
              <w:t>Проведення місцевих та регіональних змагань.</w:t>
            </w:r>
          </w:p>
          <w:p w:rsidR="00E95FB1" w:rsidRPr="00C86B34" w:rsidRDefault="00E95FB1" w:rsidP="000303D7">
            <w:pPr>
              <w:numPr>
                <w:ilvl w:val="0"/>
                <w:numId w:val="44"/>
              </w:numPr>
              <w:autoSpaceDE w:val="0"/>
              <w:autoSpaceDN w:val="0"/>
              <w:adjustRightInd w:val="0"/>
              <w:ind w:left="332" w:right="116" w:hanging="284"/>
              <w:rPr>
                <w:rFonts w:eastAsia="Calibri"/>
                <w:color w:val="000000"/>
                <w:sz w:val="22"/>
              </w:rPr>
            </w:pPr>
            <w:r w:rsidRPr="00C86B34">
              <w:rPr>
                <w:sz w:val="22"/>
              </w:rPr>
              <w:t>Проведення та організація заходів для підвищення вправності .</w:t>
            </w:r>
          </w:p>
        </w:tc>
      </w:tr>
      <w:tr w:rsidR="00E95FB1" w:rsidRPr="00C86B34" w:rsidTr="001B3967">
        <w:trPr>
          <w:trHeight w:val="1278"/>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Очікувані кількісні результати від реалізації проекту  (індикатори)</w:t>
            </w:r>
          </w:p>
        </w:tc>
        <w:tc>
          <w:tcPr>
            <w:tcW w:w="3136" w:type="dxa"/>
            <w:gridSpan w:val="3"/>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Найменування показника</w:t>
            </w:r>
          </w:p>
        </w:tc>
        <w:tc>
          <w:tcPr>
            <w:tcW w:w="1081"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Одиниця вимірювання</w:t>
            </w:r>
          </w:p>
        </w:tc>
        <w:tc>
          <w:tcPr>
            <w:tcW w:w="2728"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Прогнозне (цільове) значення</w:t>
            </w:r>
          </w:p>
        </w:tc>
      </w:tr>
      <w:tr w:rsidR="00E95FB1" w:rsidRPr="00C86B34" w:rsidTr="001B3967">
        <w:trPr>
          <w:trHeight w:val="638"/>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136" w:type="dxa"/>
            <w:gridSpan w:val="3"/>
          </w:tcPr>
          <w:p w:rsidR="00E95FB1" w:rsidRPr="00C86B34" w:rsidRDefault="00E95FB1" w:rsidP="001B3967">
            <w:pPr>
              <w:autoSpaceDE w:val="0"/>
              <w:autoSpaceDN w:val="0"/>
              <w:adjustRightInd w:val="0"/>
              <w:jc w:val="center"/>
              <w:rPr>
                <w:rFonts w:eastAsia="Calibri"/>
                <w:sz w:val="22"/>
              </w:rPr>
            </w:pPr>
            <w:r w:rsidRPr="00C86B34">
              <w:rPr>
                <w:rFonts w:eastAsia="Calibri"/>
                <w:sz w:val="22"/>
              </w:rPr>
              <w:t>Кількість створених робочих місць</w:t>
            </w:r>
          </w:p>
        </w:tc>
        <w:tc>
          <w:tcPr>
            <w:tcW w:w="1081" w:type="dxa"/>
            <w:gridSpan w:val="2"/>
          </w:tcPr>
          <w:p w:rsidR="00E95FB1" w:rsidRPr="00C86B34" w:rsidRDefault="00120864" w:rsidP="001B3967">
            <w:pPr>
              <w:autoSpaceDE w:val="0"/>
              <w:autoSpaceDN w:val="0"/>
              <w:adjustRightInd w:val="0"/>
              <w:jc w:val="center"/>
              <w:rPr>
                <w:rFonts w:eastAsia="Calibri"/>
                <w:color w:val="000000"/>
                <w:sz w:val="22"/>
              </w:rPr>
            </w:pPr>
            <w:r w:rsidRPr="00C86B34">
              <w:rPr>
                <w:rFonts w:eastAsia="Calibri"/>
                <w:color w:val="000000"/>
                <w:sz w:val="22"/>
                <w:szCs w:val="22"/>
              </w:rPr>
              <w:t>одиниць</w:t>
            </w:r>
          </w:p>
        </w:tc>
        <w:tc>
          <w:tcPr>
            <w:tcW w:w="2728" w:type="dxa"/>
            <w:gridSpan w:val="2"/>
          </w:tcPr>
          <w:p w:rsidR="00E95FB1" w:rsidRPr="00C86B34" w:rsidRDefault="00E95FB1" w:rsidP="001B3967">
            <w:pPr>
              <w:autoSpaceDE w:val="0"/>
              <w:autoSpaceDN w:val="0"/>
              <w:adjustRightInd w:val="0"/>
              <w:jc w:val="center"/>
              <w:rPr>
                <w:rFonts w:eastAsia="Calibri"/>
                <w:sz w:val="22"/>
              </w:rPr>
            </w:pPr>
            <w:r w:rsidRPr="00C86B34">
              <w:rPr>
                <w:rFonts w:eastAsia="Calibri"/>
                <w:sz w:val="22"/>
              </w:rPr>
              <w:t>20</w:t>
            </w:r>
          </w:p>
        </w:tc>
      </w:tr>
      <w:tr w:rsidR="00E95FB1" w:rsidRPr="00C86B34" w:rsidTr="001B3967">
        <w:trPr>
          <w:trHeight w:val="638"/>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136" w:type="dxa"/>
            <w:gridSpan w:val="3"/>
          </w:tcPr>
          <w:p w:rsidR="00E95FB1" w:rsidRPr="00C86B34" w:rsidRDefault="00E95FB1" w:rsidP="001B3967">
            <w:pPr>
              <w:autoSpaceDE w:val="0"/>
              <w:autoSpaceDN w:val="0"/>
              <w:adjustRightInd w:val="0"/>
              <w:jc w:val="center"/>
              <w:rPr>
                <w:rFonts w:eastAsia="Calibri"/>
                <w:sz w:val="22"/>
              </w:rPr>
            </w:pPr>
            <w:r w:rsidRPr="00C86B34">
              <w:rPr>
                <w:rFonts w:eastAsia="Calibri"/>
                <w:sz w:val="22"/>
              </w:rPr>
              <w:t>Кількість глядацьких місць</w:t>
            </w:r>
          </w:p>
        </w:tc>
        <w:tc>
          <w:tcPr>
            <w:tcW w:w="1081" w:type="dxa"/>
            <w:gridSpan w:val="2"/>
          </w:tcPr>
          <w:p w:rsidR="00E95FB1" w:rsidRPr="00C86B34" w:rsidRDefault="00120864" w:rsidP="001B3967">
            <w:pPr>
              <w:autoSpaceDE w:val="0"/>
              <w:autoSpaceDN w:val="0"/>
              <w:adjustRightInd w:val="0"/>
              <w:jc w:val="center"/>
              <w:rPr>
                <w:rFonts w:eastAsia="Calibri"/>
                <w:color w:val="000000"/>
                <w:sz w:val="22"/>
              </w:rPr>
            </w:pPr>
            <w:r w:rsidRPr="00C86B34">
              <w:rPr>
                <w:rFonts w:eastAsia="Calibri"/>
                <w:color w:val="000000"/>
                <w:sz w:val="22"/>
                <w:szCs w:val="22"/>
              </w:rPr>
              <w:t>одиниць</w:t>
            </w:r>
          </w:p>
        </w:tc>
        <w:tc>
          <w:tcPr>
            <w:tcW w:w="2728" w:type="dxa"/>
            <w:gridSpan w:val="2"/>
          </w:tcPr>
          <w:p w:rsidR="00E95FB1" w:rsidRPr="00C86B34" w:rsidRDefault="00E95FB1" w:rsidP="001B3967">
            <w:pPr>
              <w:autoSpaceDE w:val="0"/>
              <w:autoSpaceDN w:val="0"/>
              <w:adjustRightInd w:val="0"/>
              <w:jc w:val="center"/>
              <w:rPr>
                <w:rFonts w:eastAsia="Calibri"/>
                <w:sz w:val="22"/>
              </w:rPr>
            </w:pPr>
            <w:r w:rsidRPr="00C86B34">
              <w:rPr>
                <w:rFonts w:eastAsia="Calibri"/>
                <w:sz w:val="22"/>
              </w:rPr>
              <w:t>450</w:t>
            </w:r>
          </w:p>
        </w:tc>
      </w:tr>
      <w:tr w:rsidR="00E95FB1" w:rsidRPr="00C86B34" w:rsidTr="001B3967">
        <w:trPr>
          <w:trHeight w:val="638"/>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136" w:type="dxa"/>
            <w:gridSpan w:val="3"/>
          </w:tcPr>
          <w:p w:rsidR="00E95FB1" w:rsidRPr="00C86B34" w:rsidRDefault="00E95FB1" w:rsidP="001B3967">
            <w:pPr>
              <w:autoSpaceDE w:val="0"/>
              <w:autoSpaceDN w:val="0"/>
              <w:adjustRightInd w:val="0"/>
              <w:jc w:val="center"/>
              <w:rPr>
                <w:rFonts w:eastAsia="Calibri"/>
                <w:sz w:val="22"/>
              </w:rPr>
            </w:pPr>
            <w:r w:rsidRPr="00C86B34">
              <w:rPr>
                <w:rFonts w:eastAsia="Calibri"/>
                <w:sz w:val="22"/>
              </w:rPr>
              <w:t>кількість вихованців (спортсменів)</w:t>
            </w:r>
          </w:p>
        </w:tc>
        <w:tc>
          <w:tcPr>
            <w:tcW w:w="1081"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осіб/день</w:t>
            </w:r>
          </w:p>
        </w:tc>
        <w:tc>
          <w:tcPr>
            <w:tcW w:w="2728" w:type="dxa"/>
            <w:gridSpan w:val="2"/>
          </w:tcPr>
          <w:p w:rsidR="00E95FB1" w:rsidRPr="00C86B34" w:rsidRDefault="00E95FB1" w:rsidP="001B3967">
            <w:pPr>
              <w:autoSpaceDE w:val="0"/>
              <w:autoSpaceDN w:val="0"/>
              <w:adjustRightInd w:val="0"/>
              <w:jc w:val="center"/>
              <w:rPr>
                <w:rFonts w:eastAsia="Calibri"/>
                <w:sz w:val="22"/>
              </w:rPr>
            </w:pPr>
            <w:r w:rsidRPr="00C86B34">
              <w:rPr>
                <w:rFonts w:eastAsia="Calibri"/>
                <w:sz w:val="22"/>
              </w:rPr>
              <w:t>120-150</w:t>
            </w:r>
          </w:p>
        </w:tc>
      </w:tr>
      <w:tr w:rsidR="00E95FB1" w:rsidRPr="00C86B34" w:rsidTr="001B3967">
        <w:trPr>
          <w:trHeight w:val="638"/>
        </w:trPr>
        <w:tc>
          <w:tcPr>
            <w:tcW w:w="2724" w:type="dxa"/>
            <w:vMerge/>
            <w:tcBorders>
              <w:bottom w:val="single" w:sz="4" w:space="0" w:color="auto"/>
            </w:tcBorders>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136" w:type="dxa"/>
            <w:gridSpan w:val="3"/>
          </w:tcPr>
          <w:p w:rsidR="00E95FB1" w:rsidRPr="00C86B34" w:rsidRDefault="00E95FB1" w:rsidP="001B3967">
            <w:pPr>
              <w:autoSpaceDE w:val="0"/>
              <w:autoSpaceDN w:val="0"/>
              <w:adjustRightInd w:val="0"/>
              <w:jc w:val="center"/>
              <w:rPr>
                <w:rFonts w:eastAsia="Calibri"/>
                <w:sz w:val="22"/>
              </w:rPr>
            </w:pPr>
            <w:r w:rsidRPr="00C86B34">
              <w:rPr>
                <w:rFonts w:eastAsia="Calibri"/>
                <w:sz w:val="22"/>
              </w:rPr>
              <w:t>кількість отримувачів послуг</w:t>
            </w:r>
          </w:p>
        </w:tc>
        <w:tc>
          <w:tcPr>
            <w:tcW w:w="1081"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осіб/день</w:t>
            </w:r>
          </w:p>
        </w:tc>
        <w:tc>
          <w:tcPr>
            <w:tcW w:w="2728" w:type="dxa"/>
            <w:gridSpan w:val="2"/>
          </w:tcPr>
          <w:p w:rsidR="00E95FB1" w:rsidRPr="00C86B34" w:rsidRDefault="00E95FB1" w:rsidP="001B3967">
            <w:pPr>
              <w:autoSpaceDE w:val="0"/>
              <w:autoSpaceDN w:val="0"/>
              <w:adjustRightInd w:val="0"/>
              <w:jc w:val="center"/>
              <w:rPr>
                <w:rFonts w:eastAsia="Calibri"/>
                <w:sz w:val="22"/>
              </w:rPr>
            </w:pPr>
            <w:r w:rsidRPr="00C86B34">
              <w:rPr>
                <w:rFonts w:eastAsia="Calibri"/>
                <w:sz w:val="22"/>
              </w:rPr>
              <w:t>100</w:t>
            </w:r>
          </w:p>
        </w:tc>
      </w:tr>
      <w:tr w:rsidR="00E95FB1" w:rsidRPr="00C86B34" w:rsidTr="001B3967">
        <w:trPr>
          <w:trHeight w:val="438"/>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sz w:val="22"/>
              </w:rPr>
            </w:pPr>
            <w:r w:rsidRPr="00C86B34">
              <w:rPr>
                <w:rFonts w:eastAsia="Calibri"/>
                <w:b/>
                <w:sz w:val="22"/>
              </w:rPr>
              <w:lastRenderedPageBreak/>
              <w:t>Ключові заходи проекту:</w:t>
            </w:r>
          </w:p>
        </w:tc>
        <w:tc>
          <w:tcPr>
            <w:tcW w:w="6945" w:type="dxa"/>
            <w:gridSpan w:val="7"/>
          </w:tcPr>
          <w:p w:rsidR="00E95FB1" w:rsidRPr="00C86B34" w:rsidRDefault="00E95FB1" w:rsidP="000303D7">
            <w:pPr>
              <w:numPr>
                <w:ilvl w:val="0"/>
                <w:numId w:val="42"/>
              </w:numPr>
              <w:tabs>
                <w:tab w:val="left" w:pos="333"/>
              </w:tabs>
              <w:autoSpaceDE w:val="0"/>
              <w:autoSpaceDN w:val="0"/>
              <w:adjustRightInd w:val="0"/>
              <w:ind w:right="112" w:hanging="676"/>
              <w:rPr>
                <w:rFonts w:eastAsia="Calibri"/>
                <w:sz w:val="22"/>
              </w:rPr>
            </w:pPr>
            <w:r w:rsidRPr="00C86B34">
              <w:rPr>
                <w:rFonts w:eastAsia="Calibri"/>
                <w:sz w:val="22"/>
              </w:rPr>
              <w:t xml:space="preserve">коригування </w:t>
            </w:r>
            <w:proofErr w:type="spellStart"/>
            <w:r w:rsidR="00523148" w:rsidRPr="00C86B34">
              <w:rPr>
                <w:rFonts w:eastAsia="Calibri"/>
                <w:sz w:val="22"/>
              </w:rPr>
              <w:t>п</w:t>
            </w:r>
            <w:r w:rsidRPr="00C86B34">
              <w:rPr>
                <w:rFonts w:eastAsia="Calibri"/>
                <w:sz w:val="22"/>
              </w:rPr>
              <w:t>ро</w:t>
            </w:r>
            <w:r w:rsidR="0033096B" w:rsidRPr="00C86B34">
              <w:rPr>
                <w:rFonts w:eastAsia="Calibri"/>
                <w:sz w:val="22"/>
              </w:rPr>
              <w:t>є</w:t>
            </w:r>
            <w:r w:rsidRPr="00C86B34">
              <w:rPr>
                <w:rFonts w:eastAsia="Calibri"/>
                <w:sz w:val="22"/>
              </w:rPr>
              <w:t>ктно</w:t>
            </w:r>
            <w:proofErr w:type="spellEnd"/>
            <w:r w:rsidRPr="00C86B34">
              <w:rPr>
                <w:rFonts w:eastAsia="Calibri"/>
                <w:sz w:val="22"/>
              </w:rPr>
              <w:t>-кошторисної документації</w:t>
            </w:r>
          </w:p>
          <w:p w:rsidR="00E95FB1" w:rsidRPr="00C86B34" w:rsidRDefault="00E95FB1" w:rsidP="000303D7">
            <w:pPr>
              <w:numPr>
                <w:ilvl w:val="0"/>
                <w:numId w:val="42"/>
              </w:numPr>
              <w:tabs>
                <w:tab w:val="left" w:pos="333"/>
              </w:tabs>
              <w:autoSpaceDE w:val="0"/>
              <w:autoSpaceDN w:val="0"/>
              <w:adjustRightInd w:val="0"/>
              <w:ind w:right="112" w:hanging="676"/>
              <w:rPr>
                <w:rFonts w:eastAsia="Calibri"/>
                <w:color w:val="000000"/>
                <w:sz w:val="22"/>
              </w:rPr>
            </w:pPr>
            <w:r w:rsidRPr="00C86B34">
              <w:rPr>
                <w:rFonts w:eastAsia="Calibri"/>
                <w:color w:val="000000"/>
                <w:sz w:val="22"/>
              </w:rPr>
              <w:t>визначення підрядної організації для проведення будівельних робіт</w:t>
            </w:r>
          </w:p>
          <w:p w:rsidR="00E95FB1" w:rsidRPr="00C86B34" w:rsidRDefault="00E95FB1" w:rsidP="000303D7">
            <w:pPr>
              <w:numPr>
                <w:ilvl w:val="0"/>
                <w:numId w:val="42"/>
              </w:numPr>
              <w:tabs>
                <w:tab w:val="left" w:pos="333"/>
              </w:tabs>
              <w:autoSpaceDE w:val="0"/>
              <w:autoSpaceDN w:val="0"/>
              <w:adjustRightInd w:val="0"/>
              <w:ind w:right="112" w:hanging="676"/>
              <w:rPr>
                <w:rFonts w:eastAsia="Calibri"/>
                <w:color w:val="000000"/>
                <w:sz w:val="22"/>
              </w:rPr>
            </w:pPr>
            <w:r w:rsidRPr="00C86B34">
              <w:rPr>
                <w:rFonts w:eastAsia="Calibri"/>
                <w:color w:val="000000"/>
                <w:sz w:val="22"/>
              </w:rPr>
              <w:t>будівельні роботи:</w:t>
            </w:r>
          </w:p>
          <w:p w:rsidR="00E95FB1" w:rsidRPr="00C86B34" w:rsidRDefault="00E95FB1" w:rsidP="000303D7">
            <w:pPr>
              <w:numPr>
                <w:ilvl w:val="0"/>
                <w:numId w:val="57"/>
              </w:numPr>
              <w:tabs>
                <w:tab w:val="left" w:pos="333"/>
              </w:tabs>
              <w:autoSpaceDE w:val="0"/>
              <w:autoSpaceDN w:val="0"/>
              <w:adjustRightInd w:val="0"/>
              <w:ind w:left="611" w:right="112" w:hanging="109"/>
              <w:rPr>
                <w:rFonts w:eastAsia="Calibri"/>
                <w:color w:val="000000"/>
                <w:sz w:val="22"/>
              </w:rPr>
            </w:pPr>
            <w:r w:rsidRPr="00C86B34">
              <w:rPr>
                <w:rFonts w:eastAsia="Calibri"/>
                <w:color w:val="000000"/>
                <w:sz w:val="22"/>
              </w:rPr>
              <w:t>будівництво льодової арени</w:t>
            </w:r>
          </w:p>
          <w:p w:rsidR="00E95FB1" w:rsidRPr="00C86B34" w:rsidRDefault="00E95FB1" w:rsidP="000303D7">
            <w:pPr>
              <w:numPr>
                <w:ilvl w:val="0"/>
                <w:numId w:val="57"/>
              </w:numPr>
              <w:tabs>
                <w:tab w:val="left" w:pos="333"/>
              </w:tabs>
              <w:autoSpaceDE w:val="0"/>
              <w:autoSpaceDN w:val="0"/>
              <w:adjustRightInd w:val="0"/>
              <w:ind w:left="611" w:right="112" w:hanging="109"/>
              <w:rPr>
                <w:rFonts w:eastAsia="Calibri"/>
                <w:sz w:val="22"/>
              </w:rPr>
            </w:pPr>
            <w:r w:rsidRPr="00C86B34">
              <w:rPr>
                <w:rFonts w:eastAsia="Calibri"/>
                <w:sz w:val="22"/>
              </w:rPr>
              <w:t>будівництво модульної котельні</w:t>
            </w:r>
          </w:p>
          <w:p w:rsidR="00E95FB1" w:rsidRPr="00C86B34" w:rsidRDefault="00E95FB1" w:rsidP="000303D7">
            <w:pPr>
              <w:numPr>
                <w:ilvl w:val="0"/>
                <w:numId w:val="57"/>
              </w:numPr>
              <w:tabs>
                <w:tab w:val="left" w:pos="333"/>
              </w:tabs>
              <w:autoSpaceDE w:val="0"/>
              <w:autoSpaceDN w:val="0"/>
              <w:adjustRightInd w:val="0"/>
              <w:ind w:left="611" w:right="112" w:hanging="109"/>
              <w:rPr>
                <w:rFonts w:eastAsia="Calibri"/>
                <w:sz w:val="22"/>
              </w:rPr>
            </w:pPr>
            <w:r w:rsidRPr="00C86B34">
              <w:rPr>
                <w:rFonts w:eastAsia="Calibri"/>
                <w:sz w:val="22"/>
              </w:rPr>
              <w:t>будівництво трибун</w:t>
            </w:r>
          </w:p>
          <w:p w:rsidR="00E95FB1" w:rsidRPr="00C86B34" w:rsidRDefault="00E95FB1" w:rsidP="000303D7">
            <w:pPr>
              <w:numPr>
                <w:ilvl w:val="0"/>
                <w:numId w:val="57"/>
              </w:numPr>
              <w:tabs>
                <w:tab w:val="left" w:pos="333"/>
              </w:tabs>
              <w:autoSpaceDE w:val="0"/>
              <w:autoSpaceDN w:val="0"/>
              <w:adjustRightInd w:val="0"/>
              <w:ind w:left="611" w:right="112" w:hanging="109"/>
              <w:rPr>
                <w:rFonts w:eastAsia="Calibri"/>
                <w:sz w:val="22"/>
              </w:rPr>
            </w:pPr>
            <w:r w:rsidRPr="00C86B34">
              <w:rPr>
                <w:sz w:val="22"/>
              </w:rPr>
              <w:t>облаштування звукової та освітлювальної апаратури</w:t>
            </w:r>
          </w:p>
          <w:p w:rsidR="00E95FB1" w:rsidRPr="00C86B34" w:rsidRDefault="00E95FB1" w:rsidP="000303D7">
            <w:pPr>
              <w:numPr>
                <w:ilvl w:val="0"/>
                <w:numId w:val="57"/>
              </w:numPr>
              <w:tabs>
                <w:tab w:val="left" w:pos="333"/>
              </w:tabs>
              <w:autoSpaceDE w:val="0"/>
              <w:autoSpaceDN w:val="0"/>
              <w:adjustRightInd w:val="0"/>
              <w:ind w:left="611" w:right="112" w:hanging="109"/>
              <w:rPr>
                <w:rFonts w:eastAsia="Calibri"/>
                <w:sz w:val="22"/>
              </w:rPr>
            </w:pPr>
            <w:r w:rsidRPr="00C86B34">
              <w:rPr>
                <w:sz w:val="22"/>
              </w:rPr>
              <w:t>облаштування LED екранів</w:t>
            </w:r>
          </w:p>
          <w:p w:rsidR="00E95FB1" w:rsidRPr="00C86B34" w:rsidRDefault="00E95FB1" w:rsidP="000303D7">
            <w:pPr>
              <w:numPr>
                <w:ilvl w:val="0"/>
                <w:numId w:val="57"/>
              </w:numPr>
              <w:tabs>
                <w:tab w:val="left" w:pos="333"/>
              </w:tabs>
              <w:autoSpaceDE w:val="0"/>
              <w:autoSpaceDN w:val="0"/>
              <w:adjustRightInd w:val="0"/>
              <w:ind w:left="611" w:right="112" w:hanging="109"/>
              <w:rPr>
                <w:rFonts w:eastAsia="Calibri"/>
                <w:sz w:val="22"/>
              </w:rPr>
            </w:pPr>
            <w:r w:rsidRPr="00C86B34">
              <w:rPr>
                <w:sz w:val="22"/>
              </w:rPr>
              <w:t xml:space="preserve">облаштування системи </w:t>
            </w:r>
            <w:proofErr w:type="spellStart"/>
            <w:r w:rsidRPr="00C86B34">
              <w:rPr>
                <w:sz w:val="22"/>
              </w:rPr>
              <w:t>відеонагляду</w:t>
            </w:r>
            <w:proofErr w:type="spellEnd"/>
            <w:r w:rsidRPr="00C86B34">
              <w:rPr>
                <w:sz w:val="22"/>
              </w:rPr>
              <w:t xml:space="preserve"> та відеоспостереження</w:t>
            </w:r>
          </w:p>
          <w:p w:rsidR="00E95FB1" w:rsidRPr="00C86B34" w:rsidRDefault="00E95FB1" w:rsidP="000303D7">
            <w:pPr>
              <w:numPr>
                <w:ilvl w:val="0"/>
                <w:numId w:val="57"/>
              </w:numPr>
              <w:tabs>
                <w:tab w:val="left" w:pos="333"/>
              </w:tabs>
              <w:autoSpaceDE w:val="0"/>
              <w:autoSpaceDN w:val="0"/>
              <w:adjustRightInd w:val="0"/>
              <w:ind w:left="611" w:right="112" w:hanging="109"/>
              <w:rPr>
                <w:rFonts w:eastAsia="Calibri"/>
                <w:sz w:val="22"/>
              </w:rPr>
            </w:pPr>
            <w:r w:rsidRPr="00C86B34">
              <w:rPr>
                <w:sz w:val="22"/>
              </w:rPr>
              <w:t>облаштування  системи рекуперації повітря</w:t>
            </w:r>
          </w:p>
          <w:p w:rsidR="00E95FB1" w:rsidRPr="00C86B34" w:rsidRDefault="00E95FB1" w:rsidP="000303D7">
            <w:pPr>
              <w:numPr>
                <w:ilvl w:val="0"/>
                <w:numId w:val="57"/>
              </w:numPr>
              <w:tabs>
                <w:tab w:val="left" w:pos="333"/>
              </w:tabs>
              <w:ind w:left="611" w:hanging="109"/>
              <w:rPr>
                <w:sz w:val="22"/>
              </w:rPr>
            </w:pPr>
            <w:r w:rsidRPr="00C86B34">
              <w:rPr>
                <w:sz w:val="22"/>
              </w:rPr>
              <w:t xml:space="preserve">встановлення сонячних </w:t>
            </w:r>
            <w:proofErr w:type="spellStart"/>
            <w:r w:rsidRPr="00C86B34">
              <w:rPr>
                <w:sz w:val="22"/>
              </w:rPr>
              <w:t>батарей</w:t>
            </w:r>
            <w:proofErr w:type="spellEnd"/>
          </w:p>
          <w:p w:rsidR="00E95FB1" w:rsidRPr="00C86B34" w:rsidRDefault="00E95FB1" w:rsidP="000303D7">
            <w:pPr>
              <w:numPr>
                <w:ilvl w:val="0"/>
                <w:numId w:val="57"/>
              </w:numPr>
              <w:tabs>
                <w:tab w:val="left" w:pos="333"/>
              </w:tabs>
              <w:autoSpaceDE w:val="0"/>
              <w:autoSpaceDN w:val="0"/>
              <w:adjustRightInd w:val="0"/>
              <w:ind w:left="611" w:right="112" w:hanging="109"/>
              <w:rPr>
                <w:rFonts w:eastAsia="Calibri"/>
                <w:sz w:val="22"/>
              </w:rPr>
            </w:pPr>
            <w:r w:rsidRPr="00C86B34">
              <w:rPr>
                <w:sz w:val="22"/>
              </w:rPr>
              <w:t>облаштування доступу осіб з інвалідністю до тренажерної зали, роздягальнь, туалетів, душових</w:t>
            </w:r>
          </w:p>
          <w:p w:rsidR="00E95FB1" w:rsidRPr="00C86B34" w:rsidRDefault="00E95FB1" w:rsidP="000303D7">
            <w:pPr>
              <w:numPr>
                <w:ilvl w:val="0"/>
                <w:numId w:val="57"/>
              </w:numPr>
              <w:tabs>
                <w:tab w:val="left" w:pos="333"/>
              </w:tabs>
              <w:autoSpaceDE w:val="0"/>
              <w:autoSpaceDN w:val="0"/>
              <w:adjustRightInd w:val="0"/>
              <w:ind w:left="611" w:right="116" w:hanging="109"/>
              <w:rPr>
                <w:rFonts w:eastAsia="Calibri"/>
                <w:sz w:val="22"/>
              </w:rPr>
            </w:pPr>
            <w:r w:rsidRPr="00C86B34">
              <w:rPr>
                <w:sz w:val="22"/>
              </w:rPr>
              <w:t xml:space="preserve">благоустрій прилеглої території </w:t>
            </w:r>
            <w:r w:rsidRPr="00C86B34">
              <w:rPr>
                <w:rFonts w:eastAsia="Calibri"/>
                <w:sz w:val="22"/>
              </w:rPr>
              <w:t xml:space="preserve"> </w:t>
            </w:r>
          </w:p>
          <w:p w:rsidR="00E95FB1" w:rsidRPr="00C86B34" w:rsidRDefault="00E95FB1" w:rsidP="000303D7">
            <w:pPr>
              <w:numPr>
                <w:ilvl w:val="0"/>
                <w:numId w:val="57"/>
              </w:numPr>
              <w:autoSpaceDE w:val="0"/>
              <w:autoSpaceDN w:val="0"/>
              <w:adjustRightInd w:val="0"/>
              <w:ind w:left="611" w:right="116" w:hanging="109"/>
              <w:rPr>
                <w:rFonts w:eastAsia="Calibri"/>
                <w:sz w:val="22"/>
              </w:rPr>
            </w:pPr>
            <w:r w:rsidRPr="00C86B34">
              <w:rPr>
                <w:rFonts w:eastAsia="Calibri"/>
                <w:sz w:val="22"/>
              </w:rPr>
              <w:t>встановлення сучасної системи охорони.</w:t>
            </w:r>
          </w:p>
          <w:p w:rsidR="00E95FB1" w:rsidRPr="00C86B34" w:rsidRDefault="00E95FB1" w:rsidP="000303D7">
            <w:pPr>
              <w:numPr>
                <w:ilvl w:val="0"/>
                <w:numId w:val="42"/>
              </w:numPr>
              <w:autoSpaceDE w:val="0"/>
              <w:autoSpaceDN w:val="0"/>
              <w:adjustRightInd w:val="0"/>
              <w:ind w:left="327" w:right="116" w:hanging="392"/>
              <w:rPr>
                <w:rFonts w:eastAsia="Calibri"/>
                <w:sz w:val="22"/>
              </w:rPr>
            </w:pPr>
            <w:r w:rsidRPr="00C86B34">
              <w:rPr>
                <w:rFonts w:eastAsia="Calibri"/>
                <w:sz w:val="22"/>
              </w:rPr>
              <w:t>придбання техніки та матеріалів:</w:t>
            </w:r>
          </w:p>
          <w:p w:rsidR="00E95FB1" w:rsidRPr="00C86B34" w:rsidRDefault="00E95FB1" w:rsidP="000303D7">
            <w:pPr>
              <w:numPr>
                <w:ilvl w:val="0"/>
                <w:numId w:val="56"/>
              </w:numPr>
              <w:tabs>
                <w:tab w:val="left" w:pos="333"/>
              </w:tabs>
              <w:autoSpaceDE w:val="0"/>
              <w:autoSpaceDN w:val="0"/>
              <w:adjustRightInd w:val="0"/>
              <w:ind w:left="1036" w:right="112" w:hanging="250"/>
              <w:rPr>
                <w:rFonts w:eastAsia="Calibri"/>
                <w:sz w:val="22"/>
              </w:rPr>
            </w:pPr>
            <w:r w:rsidRPr="00C86B34">
              <w:rPr>
                <w:sz w:val="22"/>
              </w:rPr>
              <w:t>придбання офісної техніки, меблів, господарчого інвентарю</w:t>
            </w:r>
          </w:p>
          <w:p w:rsidR="00E95FB1" w:rsidRPr="00C86B34" w:rsidRDefault="00E95FB1" w:rsidP="000303D7">
            <w:pPr>
              <w:numPr>
                <w:ilvl w:val="0"/>
                <w:numId w:val="56"/>
              </w:numPr>
              <w:tabs>
                <w:tab w:val="left" w:pos="333"/>
              </w:tabs>
              <w:autoSpaceDE w:val="0"/>
              <w:autoSpaceDN w:val="0"/>
              <w:adjustRightInd w:val="0"/>
              <w:ind w:left="1036" w:right="112" w:hanging="250"/>
              <w:rPr>
                <w:rFonts w:eastAsia="Calibri"/>
                <w:sz w:val="22"/>
              </w:rPr>
            </w:pPr>
            <w:r w:rsidRPr="00C86B34">
              <w:rPr>
                <w:rFonts w:eastAsia="Calibri"/>
                <w:sz w:val="22"/>
              </w:rPr>
              <w:t>забезпечення спортивних залів сучасним спортивним інвентарем та обладнанням</w:t>
            </w:r>
          </w:p>
          <w:p w:rsidR="00E95FB1" w:rsidRPr="00C86B34" w:rsidRDefault="00E95FB1" w:rsidP="000303D7">
            <w:pPr>
              <w:pStyle w:val="a7"/>
              <w:numPr>
                <w:ilvl w:val="0"/>
                <w:numId w:val="42"/>
              </w:numPr>
              <w:ind w:left="327" w:hanging="283"/>
              <w:contextualSpacing w:val="0"/>
              <w:jc w:val="left"/>
              <w:rPr>
                <w:color w:val="000000"/>
                <w:sz w:val="22"/>
              </w:rPr>
            </w:pPr>
            <w:r w:rsidRPr="00C86B34">
              <w:rPr>
                <w:rFonts w:eastAsia="Calibri"/>
                <w:color w:val="000000"/>
                <w:sz w:val="22"/>
              </w:rPr>
              <w:t>введення споруди в експлуатацію та її експлуатація за призначенням</w:t>
            </w:r>
          </w:p>
          <w:p w:rsidR="00E95FB1" w:rsidRPr="00C86B34" w:rsidRDefault="00E95FB1" w:rsidP="001B3967">
            <w:pPr>
              <w:autoSpaceDE w:val="0"/>
              <w:autoSpaceDN w:val="0"/>
              <w:adjustRightInd w:val="0"/>
              <w:ind w:left="720" w:right="116"/>
              <w:rPr>
                <w:rFonts w:eastAsia="Calibri"/>
                <w:sz w:val="22"/>
              </w:rPr>
            </w:pPr>
          </w:p>
        </w:tc>
      </w:tr>
      <w:tr w:rsidR="00E95FB1" w:rsidRPr="00C86B34" w:rsidTr="001B3967">
        <w:trPr>
          <w:trHeight w:val="438"/>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Орієнтовний обсяг та джерела фінансування тис. гривень</w:t>
            </w:r>
          </w:p>
        </w:tc>
        <w:tc>
          <w:tcPr>
            <w:tcW w:w="1769"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Державний бюджет</w:t>
            </w:r>
          </w:p>
        </w:tc>
        <w:tc>
          <w:tcPr>
            <w:tcW w:w="1207"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Місцевий бюджет</w:t>
            </w:r>
          </w:p>
        </w:tc>
        <w:tc>
          <w:tcPr>
            <w:tcW w:w="2415" w:type="dxa"/>
            <w:gridSpan w:val="4"/>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Інші джерела</w:t>
            </w:r>
          </w:p>
        </w:tc>
        <w:tc>
          <w:tcPr>
            <w:tcW w:w="1554"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Всього</w:t>
            </w:r>
          </w:p>
        </w:tc>
      </w:tr>
      <w:tr w:rsidR="00E95FB1" w:rsidRPr="00C86B34" w:rsidTr="001B3967">
        <w:trPr>
          <w:trHeight w:val="438"/>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1769"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207"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208"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Обсяг</w:t>
            </w:r>
          </w:p>
        </w:tc>
        <w:tc>
          <w:tcPr>
            <w:tcW w:w="1207"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Назва джерела</w:t>
            </w:r>
          </w:p>
        </w:tc>
        <w:tc>
          <w:tcPr>
            <w:tcW w:w="1554" w:type="dxa"/>
            <w:vMerge/>
            <w:vAlign w:val="center"/>
          </w:tcPr>
          <w:p w:rsidR="00E95FB1" w:rsidRPr="00C86B34" w:rsidRDefault="00E95FB1" w:rsidP="001B3967">
            <w:pPr>
              <w:autoSpaceDE w:val="0"/>
              <w:autoSpaceDN w:val="0"/>
              <w:adjustRightInd w:val="0"/>
              <w:jc w:val="center"/>
              <w:rPr>
                <w:rFonts w:eastAsia="Calibri"/>
                <w:b/>
                <w:color w:val="000000"/>
                <w:sz w:val="22"/>
              </w:rPr>
            </w:pPr>
          </w:p>
        </w:tc>
      </w:tr>
      <w:tr w:rsidR="00E95FB1" w:rsidRPr="00C86B34" w:rsidTr="001B3967">
        <w:trPr>
          <w:trHeight w:val="438"/>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1769"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270000,0</w:t>
            </w:r>
          </w:p>
        </w:tc>
        <w:tc>
          <w:tcPr>
            <w:tcW w:w="1207" w:type="dxa"/>
          </w:tcPr>
          <w:p w:rsidR="00E95FB1" w:rsidRPr="00C86B34" w:rsidRDefault="00E95FB1" w:rsidP="001B3967">
            <w:pPr>
              <w:autoSpaceDE w:val="0"/>
              <w:autoSpaceDN w:val="0"/>
              <w:adjustRightInd w:val="0"/>
              <w:jc w:val="center"/>
              <w:rPr>
                <w:rFonts w:eastAsia="Calibri"/>
                <w:color w:val="000000"/>
                <w:sz w:val="22"/>
              </w:rPr>
            </w:pPr>
          </w:p>
        </w:tc>
        <w:tc>
          <w:tcPr>
            <w:tcW w:w="1208" w:type="dxa"/>
            <w:gridSpan w:val="2"/>
          </w:tcPr>
          <w:p w:rsidR="00E95FB1" w:rsidRPr="00C86B34" w:rsidRDefault="00E95FB1" w:rsidP="001B3967">
            <w:pPr>
              <w:autoSpaceDE w:val="0"/>
              <w:autoSpaceDN w:val="0"/>
              <w:adjustRightInd w:val="0"/>
              <w:jc w:val="center"/>
              <w:rPr>
                <w:rFonts w:eastAsia="Calibri"/>
                <w:color w:val="000000"/>
                <w:sz w:val="22"/>
              </w:rPr>
            </w:pPr>
          </w:p>
        </w:tc>
        <w:tc>
          <w:tcPr>
            <w:tcW w:w="1207" w:type="dxa"/>
            <w:gridSpan w:val="2"/>
          </w:tcPr>
          <w:p w:rsidR="00E95FB1" w:rsidRPr="00C86B34" w:rsidRDefault="00E95FB1" w:rsidP="001B3967">
            <w:pPr>
              <w:autoSpaceDE w:val="0"/>
              <w:autoSpaceDN w:val="0"/>
              <w:adjustRightInd w:val="0"/>
              <w:jc w:val="center"/>
              <w:rPr>
                <w:rFonts w:eastAsia="Calibri"/>
                <w:color w:val="000000"/>
                <w:sz w:val="22"/>
              </w:rPr>
            </w:pPr>
          </w:p>
        </w:tc>
        <w:tc>
          <w:tcPr>
            <w:tcW w:w="1554"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270000,0</w:t>
            </w:r>
          </w:p>
        </w:tc>
      </w:tr>
      <w:tr w:rsidR="00E95FB1" w:rsidRPr="00C86B34" w:rsidTr="001B3967">
        <w:trPr>
          <w:trHeight w:val="438"/>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b/>
                <w:sz w:val="22"/>
              </w:rPr>
              <w:t xml:space="preserve">Ключові потенційні учасники </w:t>
            </w:r>
            <w:proofErr w:type="spellStart"/>
            <w:r w:rsidRPr="00C86B34">
              <w:rPr>
                <w:b/>
                <w:sz w:val="22"/>
              </w:rPr>
              <w:t>проєкту</w:t>
            </w:r>
            <w:proofErr w:type="spellEnd"/>
          </w:p>
        </w:tc>
        <w:tc>
          <w:tcPr>
            <w:tcW w:w="6945" w:type="dxa"/>
            <w:gridSpan w:val="7"/>
          </w:tcPr>
          <w:p w:rsidR="00E95FB1" w:rsidRPr="00C86B34" w:rsidRDefault="00E95FB1" w:rsidP="001B3967">
            <w:pPr>
              <w:rPr>
                <w:sz w:val="22"/>
              </w:rPr>
            </w:pPr>
            <w:r w:rsidRPr="00C86B34">
              <w:rPr>
                <w:sz w:val="22"/>
              </w:rPr>
              <w:t xml:space="preserve">1. Військова адміністрація міста. </w:t>
            </w:r>
          </w:p>
          <w:p w:rsidR="00E95FB1" w:rsidRPr="00C86B34" w:rsidRDefault="00E95FB1" w:rsidP="001B3967">
            <w:pPr>
              <w:tabs>
                <w:tab w:val="left" w:pos="720"/>
              </w:tabs>
              <w:rPr>
                <w:sz w:val="22"/>
              </w:rPr>
            </w:pPr>
            <w:r w:rsidRPr="00C86B34">
              <w:rPr>
                <w:sz w:val="22"/>
              </w:rPr>
              <w:t>2. Відділ капітального будівництва військової адміністрації міста.</w:t>
            </w:r>
          </w:p>
          <w:p w:rsidR="00E95FB1" w:rsidRPr="00C86B34" w:rsidRDefault="00E95FB1" w:rsidP="001B3967">
            <w:pPr>
              <w:tabs>
                <w:tab w:val="left" w:pos="720"/>
              </w:tabs>
              <w:rPr>
                <w:sz w:val="22"/>
              </w:rPr>
            </w:pPr>
            <w:r w:rsidRPr="00C86B34">
              <w:rPr>
                <w:sz w:val="22"/>
              </w:rPr>
              <w:t>3. Підрядна організація - переможець тендеру, виконавець будівельно-монтажних робіт.</w:t>
            </w:r>
          </w:p>
          <w:p w:rsidR="00E95FB1" w:rsidRPr="00C86B34" w:rsidRDefault="00E95FB1" w:rsidP="001B3967">
            <w:pPr>
              <w:tabs>
                <w:tab w:val="left" w:pos="720"/>
              </w:tabs>
              <w:rPr>
                <w:sz w:val="22"/>
              </w:rPr>
            </w:pPr>
            <w:r w:rsidRPr="00C86B34">
              <w:rPr>
                <w:sz w:val="22"/>
              </w:rPr>
              <w:t>4. Обласна державна адміністрація.</w:t>
            </w:r>
          </w:p>
          <w:p w:rsidR="00E95FB1" w:rsidRPr="00C86B34" w:rsidRDefault="00E95FB1" w:rsidP="001B3967">
            <w:pPr>
              <w:autoSpaceDE w:val="0"/>
              <w:autoSpaceDN w:val="0"/>
              <w:adjustRightInd w:val="0"/>
              <w:rPr>
                <w:rFonts w:eastAsia="Calibri"/>
                <w:color w:val="000000"/>
                <w:sz w:val="22"/>
              </w:rPr>
            </w:pPr>
            <w:r w:rsidRPr="00C86B34">
              <w:rPr>
                <w:sz w:val="22"/>
              </w:rPr>
              <w:t>5. Інвестори та меценати спортивної галузі.</w:t>
            </w:r>
          </w:p>
        </w:tc>
      </w:tr>
    </w:tbl>
    <w:p w:rsidR="00E95FB1" w:rsidRPr="00C86B34" w:rsidRDefault="00E95FB1" w:rsidP="00E95FB1">
      <w:pPr>
        <w:rPr>
          <w:sz w:val="22"/>
        </w:rPr>
      </w:pPr>
    </w:p>
    <w:p w:rsidR="00E95FB1" w:rsidRPr="00C86B34" w:rsidRDefault="00E95FB1" w:rsidP="00E95FB1">
      <w:pPr>
        <w:rPr>
          <w:sz w:val="22"/>
        </w:rPr>
      </w:pPr>
    </w:p>
    <w:tbl>
      <w:tblPr>
        <w:tblpPr w:leftFromText="180" w:rightFromText="180" w:vertAnchor="text" w:horzAnchor="page" w:tblpX="1397" w:tblpY="123"/>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724"/>
        <w:gridCol w:w="1958"/>
        <w:gridCol w:w="1261"/>
        <w:gridCol w:w="166"/>
        <w:gridCol w:w="1095"/>
        <w:gridCol w:w="34"/>
        <w:gridCol w:w="1227"/>
        <w:gridCol w:w="1315"/>
      </w:tblGrid>
      <w:tr w:rsidR="00E95FB1" w:rsidRPr="00C86B34" w:rsidTr="001B3967">
        <w:trPr>
          <w:trHeight w:val="267"/>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Оперативна ціль/завдання</w:t>
            </w:r>
          </w:p>
        </w:tc>
        <w:tc>
          <w:tcPr>
            <w:tcW w:w="7056" w:type="dxa"/>
            <w:gridSpan w:val="7"/>
          </w:tcPr>
          <w:p w:rsidR="00E95FB1" w:rsidRPr="00C86B34" w:rsidRDefault="00523148" w:rsidP="001B3967">
            <w:pPr>
              <w:pStyle w:val="a7"/>
              <w:ind w:left="0"/>
              <w:rPr>
                <w:rFonts w:eastAsia="Calibri"/>
                <w:color w:val="000000"/>
                <w:sz w:val="22"/>
              </w:rPr>
            </w:pPr>
            <w:r w:rsidRPr="00C86B34">
              <w:rPr>
                <w:rFonts w:eastAsia="Arial"/>
                <w:sz w:val="22"/>
              </w:rPr>
              <w:t xml:space="preserve">Людський розвиток </w:t>
            </w:r>
            <w:r w:rsidR="00E95FB1" w:rsidRPr="00C86B34">
              <w:rPr>
                <w:rFonts w:eastAsia="Arial"/>
                <w:sz w:val="22"/>
              </w:rPr>
              <w:t xml:space="preserve">через інновації управління та довіру до влади. Формування сучасного інклюзивного </w:t>
            </w:r>
            <w:proofErr w:type="spellStart"/>
            <w:r w:rsidR="00E95FB1" w:rsidRPr="00C86B34">
              <w:rPr>
                <w:rFonts w:eastAsia="Arial"/>
                <w:sz w:val="22"/>
              </w:rPr>
              <w:t>освітньо</w:t>
            </w:r>
            <w:proofErr w:type="spellEnd"/>
            <w:r w:rsidR="00E95FB1" w:rsidRPr="00C86B34">
              <w:rPr>
                <w:rFonts w:eastAsia="Arial"/>
                <w:sz w:val="22"/>
              </w:rPr>
              <w:t xml:space="preserve"> – культурного та спортивного простору для розвитку</w:t>
            </w:r>
          </w:p>
        </w:tc>
      </w:tr>
      <w:tr w:rsidR="00E95FB1" w:rsidRPr="00C86B34" w:rsidTr="001B3967">
        <w:trPr>
          <w:trHeight w:val="287"/>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Назва проекту:</w:t>
            </w:r>
          </w:p>
        </w:tc>
        <w:tc>
          <w:tcPr>
            <w:tcW w:w="7056" w:type="dxa"/>
            <w:gridSpan w:val="7"/>
          </w:tcPr>
          <w:p w:rsidR="00E95FB1" w:rsidRPr="00C86B34" w:rsidRDefault="00E95FB1" w:rsidP="001B3967">
            <w:pPr>
              <w:autoSpaceDE w:val="0"/>
              <w:autoSpaceDN w:val="0"/>
              <w:adjustRightInd w:val="0"/>
              <w:ind w:left="49" w:right="116"/>
              <w:rPr>
                <w:rFonts w:eastAsia="Calibri"/>
                <w:color w:val="000000"/>
                <w:sz w:val="22"/>
              </w:rPr>
            </w:pPr>
            <w:r w:rsidRPr="00C86B34">
              <w:rPr>
                <w:rFonts w:eastAsia="Calibri"/>
                <w:color w:val="000000"/>
                <w:sz w:val="22"/>
              </w:rPr>
              <w:t xml:space="preserve">Будівництво багатофункціонального спортивного комплексу  за </w:t>
            </w:r>
            <w:proofErr w:type="spellStart"/>
            <w:r w:rsidRPr="00C86B34">
              <w:rPr>
                <w:rFonts w:eastAsia="Calibri"/>
                <w:color w:val="000000"/>
                <w:sz w:val="22"/>
              </w:rPr>
              <w:t>адресою</w:t>
            </w:r>
            <w:proofErr w:type="spellEnd"/>
            <w:r w:rsidRPr="00C86B34">
              <w:rPr>
                <w:rFonts w:eastAsia="Calibri"/>
                <w:color w:val="000000"/>
                <w:sz w:val="22"/>
              </w:rPr>
              <w:t>: Луганська область, Сєвєродонецький район, місто Сєвєродонецьк, вул. Маяковського, 28.</w:t>
            </w:r>
          </w:p>
        </w:tc>
      </w:tr>
      <w:tr w:rsidR="00E95FB1" w:rsidRPr="00C86B34" w:rsidTr="001B3967">
        <w:trPr>
          <w:trHeight w:val="342"/>
        </w:trPr>
        <w:tc>
          <w:tcPr>
            <w:tcW w:w="2724" w:type="dxa"/>
            <w:tcBorders>
              <w:bottom w:val="single" w:sz="4" w:space="0" w:color="auto"/>
            </w:tcBorders>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Ціль проекту</w:t>
            </w:r>
          </w:p>
        </w:tc>
        <w:tc>
          <w:tcPr>
            <w:tcW w:w="7056" w:type="dxa"/>
            <w:gridSpan w:val="7"/>
            <w:vAlign w:val="center"/>
          </w:tcPr>
          <w:p w:rsidR="00E95FB1" w:rsidRPr="00C86B34" w:rsidRDefault="00E95FB1" w:rsidP="001B3967">
            <w:pPr>
              <w:autoSpaceDE w:val="0"/>
              <w:autoSpaceDN w:val="0"/>
              <w:adjustRightInd w:val="0"/>
              <w:ind w:right="116"/>
              <w:rPr>
                <w:sz w:val="22"/>
              </w:rPr>
            </w:pPr>
            <w:r w:rsidRPr="00C86B34">
              <w:rPr>
                <w:rFonts w:eastAsia="Calibri"/>
                <w:color w:val="000000"/>
                <w:sz w:val="22"/>
              </w:rPr>
              <w:t xml:space="preserve">Створення культурно-масового та спортивного простору для мешканців міста </w:t>
            </w:r>
            <w:r w:rsidRPr="00C86B34">
              <w:rPr>
                <w:rFonts w:eastAsia="Calibri"/>
                <w:b/>
                <w:color w:val="000000"/>
                <w:sz w:val="22"/>
              </w:rPr>
              <w:t xml:space="preserve"> </w:t>
            </w:r>
            <w:r w:rsidRPr="00C86B34">
              <w:rPr>
                <w:rFonts w:eastAsia="Calibri"/>
                <w:color w:val="000000"/>
                <w:sz w:val="22"/>
              </w:rPr>
              <w:t>з демонстраційною залою на 4 тис. місць</w:t>
            </w:r>
            <w:r w:rsidRPr="00C86B34">
              <w:rPr>
                <w:rFonts w:eastAsia="Calibri"/>
                <w:b/>
                <w:color w:val="000000"/>
                <w:sz w:val="22"/>
              </w:rPr>
              <w:t xml:space="preserve"> </w:t>
            </w:r>
            <w:r w:rsidRPr="00C86B34">
              <w:rPr>
                <w:rFonts w:eastAsia="Calibri"/>
                <w:color w:val="000000"/>
                <w:sz w:val="22"/>
              </w:rPr>
              <w:t xml:space="preserve"> (дітей, молоді, дорослих та </w:t>
            </w:r>
            <w:r w:rsidRPr="00C86B34">
              <w:rPr>
                <w:sz w:val="22"/>
              </w:rPr>
              <w:t xml:space="preserve"> людей з особливими потребами) </w:t>
            </w:r>
            <w:r w:rsidRPr="00C86B34">
              <w:rPr>
                <w:rFonts w:eastAsia="Calibri"/>
                <w:color w:val="000000"/>
                <w:sz w:val="22"/>
              </w:rPr>
              <w:t xml:space="preserve">– сучасних, безпечних та комфортних умов для занять фізичною культурою та спортом, загального оздоровлення, реабілітації, зміцнення генофонду, підвищення потенціалу трудових ресурсів, психофізичного здоров’я, зростання добробуту населення і вирішення інших соціальних проблем, </w:t>
            </w:r>
            <w:r w:rsidRPr="00C86B34">
              <w:rPr>
                <w:sz w:val="22"/>
              </w:rPr>
              <w:t xml:space="preserve"> порушених  внаслідок військового вторгнення </w:t>
            </w:r>
            <w:r w:rsidR="00E81DA3" w:rsidRPr="00C86B34">
              <w:rPr>
                <w:sz w:val="22"/>
              </w:rPr>
              <w:t>РФ</w:t>
            </w:r>
            <w:r w:rsidRPr="00C86B34">
              <w:rPr>
                <w:sz w:val="22"/>
              </w:rPr>
              <w:t xml:space="preserve"> на територію України.</w:t>
            </w:r>
          </w:p>
          <w:p w:rsidR="00E95FB1" w:rsidRPr="00C86B34" w:rsidRDefault="00E95FB1" w:rsidP="001B3967">
            <w:pPr>
              <w:autoSpaceDE w:val="0"/>
              <w:autoSpaceDN w:val="0"/>
              <w:adjustRightInd w:val="0"/>
              <w:ind w:right="116"/>
              <w:rPr>
                <w:sz w:val="22"/>
              </w:rPr>
            </w:pPr>
            <w:r w:rsidRPr="00C86B34">
              <w:rPr>
                <w:color w:val="212529"/>
                <w:sz w:val="22"/>
                <w:shd w:val="clear" w:color="auto" w:fill="FFFFFF"/>
              </w:rPr>
              <w:t>Популяризації та організації оздоровчої рухової активності як джерела зняття психоемоційної напруги та рівня стресу для всіх груп населення</w:t>
            </w:r>
            <w:r w:rsidRPr="00C86B34">
              <w:rPr>
                <w:sz w:val="22"/>
              </w:rPr>
              <w:t>.</w:t>
            </w:r>
          </w:p>
          <w:p w:rsidR="00E95FB1" w:rsidRPr="00C86B34" w:rsidRDefault="00E95FB1" w:rsidP="001B3967">
            <w:pPr>
              <w:autoSpaceDE w:val="0"/>
              <w:autoSpaceDN w:val="0"/>
              <w:adjustRightInd w:val="0"/>
              <w:ind w:right="116"/>
              <w:rPr>
                <w:color w:val="212529"/>
                <w:sz w:val="22"/>
              </w:rPr>
            </w:pPr>
            <w:r w:rsidRPr="00C86B34">
              <w:rPr>
                <w:color w:val="212529"/>
                <w:sz w:val="22"/>
                <w:shd w:val="clear" w:color="auto" w:fill="FFFFFF"/>
              </w:rPr>
              <w:t>Впровадження якісних змін у систему надання фізкультурно-оздоровчих послуг населенню. З</w:t>
            </w:r>
            <w:r w:rsidRPr="00C86B34">
              <w:rPr>
                <w:color w:val="212529"/>
                <w:sz w:val="22"/>
              </w:rPr>
              <w:t xml:space="preserve">більшення відсотку населення, залученого до занять фізичною культурою і спортом. </w:t>
            </w:r>
          </w:p>
        </w:tc>
      </w:tr>
      <w:tr w:rsidR="00E95FB1" w:rsidRPr="00C86B34" w:rsidTr="001B3967">
        <w:trPr>
          <w:trHeight w:val="287"/>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lastRenderedPageBreak/>
              <w:t>Територія, на яку матиме вплив реалізація проекту</w:t>
            </w:r>
          </w:p>
        </w:tc>
        <w:tc>
          <w:tcPr>
            <w:tcW w:w="7056" w:type="dxa"/>
            <w:gridSpan w:val="7"/>
            <w:vAlign w:val="center"/>
          </w:tcPr>
          <w:p w:rsidR="00E95FB1" w:rsidRPr="00C86B34" w:rsidRDefault="00E95FB1" w:rsidP="001B3967">
            <w:pPr>
              <w:autoSpaceDE w:val="0"/>
              <w:autoSpaceDN w:val="0"/>
              <w:adjustRightInd w:val="0"/>
              <w:ind w:left="49" w:right="116"/>
              <w:rPr>
                <w:rFonts w:eastAsia="Calibri"/>
                <w:color w:val="000000"/>
                <w:sz w:val="22"/>
              </w:rPr>
            </w:pPr>
            <w:r w:rsidRPr="00C86B34">
              <w:rPr>
                <w:rFonts w:eastAsia="Calibri"/>
                <w:color w:val="000000"/>
                <w:sz w:val="22"/>
              </w:rPr>
              <w:t>Сєвєродонецька міська територіальна громада.</w:t>
            </w:r>
          </w:p>
        </w:tc>
      </w:tr>
      <w:tr w:rsidR="00E95FB1" w:rsidRPr="00C86B34" w:rsidTr="001B3967">
        <w:trPr>
          <w:trHeight w:val="576"/>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Чисельність населення, на яке матиме вплив реалізація проекту</w:t>
            </w:r>
          </w:p>
        </w:tc>
        <w:tc>
          <w:tcPr>
            <w:tcW w:w="7056" w:type="dxa"/>
            <w:gridSpan w:val="7"/>
            <w:vAlign w:val="center"/>
          </w:tcPr>
          <w:p w:rsidR="00E95FB1" w:rsidRPr="00C86B34" w:rsidRDefault="00E95FB1" w:rsidP="00E81DA3">
            <w:pPr>
              <w:autoSpaceDE w:val="0"/>
              <w:autoSpaceDN w:val="0"/>
              <w:adjustRightInd w:val="0"/>
              <w:ind w:left="49" w:right="116"/>
              <w:rPr>
                <w:rFonts w:eastAsia="Calibri"/>
                <w:color w:val="000000"/>
                <w:sz w:val="22"/>
              </w:rPr>
            </w:pPr>
            <w:r w:rsidRPr="00C86B34">
              <w:rPr>
                <w:rFonts w:eastAsia="Calibri"/>
                <w:color w:val="000000"/>
                <w:sz w:val="22"/>
              </w:rPr>
              <w:t xml:space="preserve">70 </w:t>
            </w:r>
            <w:r w:rsidR="00E81DA3" w:rsidRPr="00C86B34">
              <w:rPr>
                <w:rFonts w:eastAsia="Calibri"/>
                <w:color w:val="000000"/>
                <w:sz w:val="22"/>
              </w:rPr>
              <w:t>000</w:t>
            </w:r>
          </w:p>
        </w:tc>
      </w:tr>
      <w:tr w:rsidR="00E95FB1" w:rsidRPr="00C86B34" w:rsidTr="001B3967">
        <w:trPr>
          <w:trHeight w:val="310"/>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Опис проблеми, на вирішення якої спрямований проект</w:t>
            </w:r>
          </w:p>
        </w:tc>
        <w:tc>
          <w:tcPr>
            <w:tcW w:w="7056" w:type="dxa"/>
            <w:gridSpan w:val="7"/>
          </w:tcPr>
          <w:p w:rsidR="00E95FB1" w:rsidRPr="00C86B34" w:rsidRDefault="00E95FB1" w:rsidP="001B3967">
            <w:pPr>
              <w:ind w:hanging="28"/>
              <w:rPr>
                <w:sz w:val="22"/>
              </w:rPr>
            </w:pPr>
            <w:r w:rsidRPr="00C86B34">
              <w:rPr>
                <w:sz w:val="22"/>
              </w:rPr>
              <w:t>Льодовий палац спорту, найбільша спортивна споруда в Луганській області, був збудований у 70-х роках минулого століття та розрахований на 5000 місць. Це була перша в Україні спортивна споруда такого масштабу.</w:t>
            </w:r>
          </w:p>
          <w:p w:rsidR="00E95FB1" w:rsidRPr="00C86B34" w:rsidRDefault="00E95FB1" w:rsidP="001B3967">
            <w:pPr>
              <w:ind w:hanging="28"/>
              <w:rPr>
                <w:sz w:val="22"/>
              </w:rPr>
            </w:pPr>
            <w:r w:rsidRPr="00C86B34">
              <w:rPr>
                <w:sz w:val="22"/>
              </w:rPr>
              <w:t xml:space="preserve">Донедавна тут працювали секції волейболу, художньої гімнастики, сучасного п’ятиборства, футболу, хокею,  проводилися міжнародні та регіональні змагання з боксу, вільної боротьби, кікбоксингу, волейболу, </w:t>
            </w:r>
            <w:proofErr w:type="spellStart"/>
            <w:r w:rsidRPr="00C86B34">
              <w:rPr>
                <w:sz w:val="22"/>
              </w:rPr>
              <w:t>футзалу</w:t>
            </w:r>
            <w:proofErr w:type="spellEnd"/>
            <w:r w:rsidRPr="00C86B34">
              <w:rPr>
                <w:sz w:val="22"/>
              </w:rPr>
              <w:t xml:space="preserve"> та хокею з шайбою. Крім того, майданчик використовувався для проведення великих музичних концертів, виставок,  ярмарок, шкільних випускних вечорів.</w:t>
            </w:r>
          </w:p>
          <w:p w:rsidR="00E95FB1" w:rsidRPr="00C86B34" w:rsidRDefault="00E95FB1" w:rsidP="001B3967">
            <w:pPr>
              <w:rPr>
                <w:sz w:val="22"/>
              </w:rPr>
            </w:pPr>
            <w:r w:rsidRPr="00C86B34">
              <w:rPr>
                <w:sz w:val="22"/>
              </w:rPr>
              <w:t>Наразі Льодовий палац спорту повністю знищено.</w:t>
            </w:r>
          </w:p>
        </w:tc>
      </w:tr>
      <w:tr w:rsidR="00E95FB1" w:rsidRPr="00C86B34" w:rsidTr="001B3967">
        <w:trPr>
          <w:trHeight w:val="523"/>
        </w:trPr>
        <w:tc>
          <w:tcPr>
            <w:tcW w:w="2724" w:type="dxa"/>
            <w:tcBorders>
              <w:bottom w:val="single" w:sz="4" w:space="0" w:color="auto"/>
            </w:tcBorders>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Очікувані якісні результати від реалізації проекту</w:t>
            </w:r>
          </w:p>
        </w:tc>
        <w:tc>
          <w:tcPr>
            <w:tcW w:w="7056" w:type="dxa"/>
            <w:gridSpan w:val="7"/>
          </w:tcPr>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rFonts w:eastAsia="Calibri"/>
                <w:sz w:val="22"/>
              </w:rPr>
              <w:t>відновлення діяльності одного з найбільших культурно-спортивних комплексів в Україні</w:t>
            </w:r>
            <w:r w:rsidR="00E81DA3" w:rsidRPr="00C86B34">
              <w:rPr>
                <w:rFonts w:eastAsia="Calibri"/>
                <w:sz w:val="22"/>
              </w:rPr>
              <w:t>,</w:t>
            </w:r>
            <w:r w:rsidRPr="00C86B34">
              <w:rPr>
                <w:rFonts w:eastAsia="Calibri"/>
                <w:sz w:val="22"/>
              </w:rPr>
              <w:t xml:space="preserve"> зруйнованого під час вторгнення </w:t>
            </w:r>
            <w:r w:rsidR="00E81DA3" w:rsidRPr="00C86B34">
              <w:rPr>
                <w:rFonts w:eastAsia="Calibri"/>
                <w:sz w:val="22"/>
              </w:rPr>
              <w:t>РФ</w:t>
            </w:r>
            <w:r w:rsidRPr="00C86B34">
              <w:rPr>
                <w:rFonts w:eastAsia="Calibri"/>
                <w:sz w:val="22"/>
              </w:rPr>
              <w:t xml:space="preserve"> в Україну</w:t>
            </w:r>
          </w:p>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rFonts w:eastAsia="Calibri"/>
                <w:sz w:val="22"/>
              </w:rPr>
              <w:t xml:space="preserve">впровадження навчально-тренувального процесу на власній спортивній базі з наступних видів спорту: футбол, волейбол, хореографія, художня гімнастика, </w:t>
            </w:r>
            <w:proofErr w:type="spellStart"/>
            <w:r w:rsidRPr="00C86B34">
              <w:rPr>
                <w:rFonts w:eastAsia="Calibri"/>
                <w:sz w:val="22"/>
              </w:rPr>
              <w:t>черлідинг</w:t>
            </w:r>
            <w:proofErr w:type="spellEnd"/>
            <w:r w:rsidRPr="00C86B34">
              <w:rPr>
                <w:rFonts w:eastAsia="Calibri"/>
                <w:sz w:val="22"/>
              </w:rPr>
              <w:t>, більярд, карате, сучасне п’ятиборство, плавання, синхронне плавання, стрибки у воду, розвиток додаткових видів спорту (баскетбол, гандбол тощо).</w:t>
            </w:r>
          </w:p>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color w:val="212529"/>
                <w:sz w:val="22"/>
              </w:rPr>
              <w:t>проведення великих культурно-масових заходів, випускних балів загальноосвітніх шкіл.</w:t>
            </w:r>
          </w:p>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sz w:val="22"/>
              </w:rPr>
              <w:t xml:space="preserve">організація </w:t>
            </w:r>
            <w:proofErr w:type="spellStart"/>
            <w:r w:rsidRPr="00C86B34">
              <w:rPr>
                <w:sz w:val="22"/>
              </w:rPr>
              <w:t>безбар’єрного</w:t>
            </w:r>
            <w:proofErr w:type="spellEnd"/>
            <w:r w:rsidRPr="00C86B34">
              <w:rPr>
                <w:sz w:val="22"/>
              </w:rPr>
              <w:t xml:space="preserve"> доступу людей з особливими потребами до занять спортом.</w:t>
            </w:r>
          </w:p>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rFonts w:eastAsia="Calibri"/>
                <w:sz w:val="22"/>
              </w:rPr>
              <w:t>Підготовка спортсменів для резервного та олімпійського спорту.</w:t>
            </w:r>
          </w:p>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rFonts w:eastAsia="Calibri"/>
                <w:sz w:val="22"/>
              </w:rPr>
              <w:t>Проведення місцевих та регіональних змагань.</w:t>
            </w:r>
          </w:p>
          <w:p w:rsidR="00E95FB1" w:rsidRPr="00C86B34" w:rsidRDefault="00E95FB1" w:rsidP="000303D7">
            <w:pPr>
              <w:numPr>
                <w:ilvl w:val="0"/>
                <w:numId w:val="44"/>
              </w:numPr>
              <w:autoSpaceDE w:val="0"/>
              <w:autoSpaceDN w:val="0"/>
              <w:adjustRightInd w:val="0"/>
              <w:ind w:left="332" w:right="116" w:hanging="284"/>
              <w:rPr>
                <w:rFonts w:eastAsia="Calibri"/>
                <w:color w:val="000000"/>
                <w:sz w:val="22"/>
              </w:rPr>
            </w:pPr>
            <w:r w:rsidRPr="00C86B34">
              <w:rPr>
                <w:sz w:val="22"/>
              </w:rPr>
              <w:t>Проведення та організація заходів для підвищення вправності .</w:t>
            </w:r>
          </w:p>
        </w:tc>
      </w:tr>
      <w:tr w:rsidR="00E95FB1" w:rsidRPr="00C86B34" w:rsidTr="001B3967">
        <w:trPr>
          <w:trHeight w:val="576"/>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Очікувані кількісні результати від реалізації проекту  (індикатори)</w:t>
            </w:r>
          </w:p>
        </w:tc>
        <w:tc>
          <w:tcPr>
            <w:tcW w:w="3385" w:type="dxa"/>
            <w:gridSpan w:val="3"/>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Найменування показника</w:t>
            </w:r>
          </w:p>
        </w:tc>
        <w:tc>
          <w:tcPr>
            <w:tcW w:w="1129"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Одиниця вимірювання</w:t>
            </w:r>
          </w:p>
        </w:tc>
        <w:tc>
          <w:tcPr>
            <w:tcW w:w="2542"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Прогнозне (цільове) значення</w:t>
            </w:r>
          </w:p>
        </w:tc>
      </w:tr>
      <w:tr w:rsidR="00E95FB1" w:rsidRPr="00C86B34" w:rsidTr="001B3967">
        <w:trPr>
          <w:trHeight w:val="287"/>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385" w:type="dxa"/>
            <w:gridSpan w:val="3"/>
          </w:tcPr>
          <w:p w:rsidR="00E95FB1" w:rsidRPr="00C86B34" w:rsidRDefault="00E95FB1" w:rsidP="001B3967">
            <w:pPr>
              <w:autoSpaceDE w:val="0"/>
              <w:autoSpaceDN w:val="0"/>
              <w:adjustRightInd w:val="0"/>
              <w:jc w:val="center"/>
              <w:rPr>
                <w:rFonts w:eastAsia="Calibri"/>
                <w:sz w:val="22"/>
              </w:rPr>
            </w:pPr>
            <w:r w:rsidRPr="00C86B34">
              <w:rPr>
                <w:rFonts w:eastAsia="Calibri"/>
                <w:sz w:val="22"/>
              </w:rPr>
              <w:t>Кількість глядацьких місць</w:t>
            </w:r>
          </w:p>
        </w:tc>
        <w:tc>
          <w:tcPr>
            <w:tcW w:w="1129" w:type="dxa"/>
            <w:gridSpan w:val="2"/>
          </w:tcPr>
          <w:p w:rsidR="00E95FB1" w:rsidRPr="00C86B34" w:rsidRDefault="007530B5" w:rsidP="001B3967">
            <w:pPr>
              <w:autoSpaceDE w:val="0"/>
              <w:autoSpaceDN w:val="0"/>
              <w:adjustRightInd w:val="0"/>
              <w:jc w:val="center"/>
              <w:rPr>
                <w:rFonts w:eastAsia="Calibri"/>
                <w:color w:val="000000"/>
                <w:sz w:val="22"/>
              </w:rPr>
            </w:pPr>
            <w:r w:rsidRPr="00C86B34">
              <w:rPr>
                <w:rFonts w:eastAsia="Calibri"/>
                <w:color w:val="000000"/>
                <w:sz w:val="22"/>
              </w:rPr>
              <w:t>одиниць</w:t>
            </w:r>
          </w:p>
        </w:tc>
        <w:tc>
          <w:tcPr>
            <w:tcW w:w="2542" w:type="dxa"/>
            <w:gridSpan w:val="2"/>
          </w:tcPr>
          <w:p w:rsidR="00E95FB1" w:rsidRPr="00C86B34" w:rsidRDefault="00E95FB1" w:rsidP="001B3967">
            <w:pPr>
              <w:autoSpaceDE w:val="0"/>
              <w:autoSpaceDN w:val="0"/>
              <w:adjustRightInd w:val="0"/>
              <w:jc w:val="center"/>
              <w:rPr>
                <w:rFonts w:eastAsia="Calibri"/>
                <w:sz w:val="22"/>
              </w:rPr>
            </w:pPr>
            <w:r w:rsidRPr="00C86B34">
              <w:rPr>
                <w:rFonts w:eastAsia="Calibri"/>
                <w:sz w:val="22"/>
              </w:rPr>
              <w:t>4000</w:t>
            </w:r>
          </w:p>
        </w:tc>
      </w:tr>
      <w:tr w:rsidR="00E95FB1" w:rsidRPr="00C86B34" w:rsidTr="001B3967">
        <w:trPr>
          <w:trHeight w:val="287"/>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385" w:type="dxa"/>
            <w:gridSpan w:val="3"/>
          </w:tcPr>
          <w:p w:rsidR="00E95FB1" w:rsidRPr="00C86B34" w:rsidRDefault="00E95FB1" w:rsidP="001B3967">
            <w:pPr>
              <w:autoSpaceDE w:val="0"/>
              <w:autoSpaceDN w:val="0"/>
              <w:adjustRightInd w:val="0"/>
              <w:jc w:val="center"/>
              <w:rPr>
                <w:rFonts w:eastAsia="Calibri"/>
                <w:sz w:val="22"/>
              </w:rPr>
            </w:pPr>
            <w:r w:rsidRPr="00C86B34">
              <w:rPr>
                <w:rFonts w:eastAsia="Calibri"/>
                <w:sz w:val="22"/>
              </w:rPr>
              <w:t>кількість вихованців (спортсменів)</w:t>
            </w:r>
          </w:p>
        </w:tc>
        <w:tc>
          <w:tcPr>
            <w:tcW w:w="1129"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осіб/день</w:t>
            </w:r>
          </w:p>
        </w:tc>
        <w:tc>
          <w:tcPr>
            <w:tcW w:w="2542" w:type="dxa"/>
            <w:gridSpan w:val="2"/>
          </w:tcPr>
          <w:p w:rsidR="00E95FB1" w:rsidRPr="00C86B34" w:rsidRDefault="00E95FB1" w:rsidP="001B3967">
            <w:pPr>
              <w:autoSpaceDE w:val="0"/>
              <w:autoSpaceDN w:val="0"/>
              <w:adjustRightInd w:val="0"/>
              <w:jc w:val="center"/>
              <w:rPr>
                <w:rFonts w:eastAsia="Calibri"/>
                <w:sz w:val="22"/>
              </w:rPr>
            </w:pPr>
            <w:r w:rsidRPr="00C86B34">
              <w:rPr>
                <w:rFonts w:eastAsia="Calibri"/>
                <w:sz w:val="22"/>
              </w:rPr>
              <w:t>120-150</w:t>
            </w:r>
          </w:p>
        </w:tc>
      </w:tr>
      <w:tr w:rsidR="00E95FB1" w:rsidRPr="00C86B34" w:rsidTr="001B3967">
        <w:trPr>
          <w:trHeight w:val="287"/>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385" w:type="dxa"/>
            <w:gridSpan w:val="3"/>
          </w:tcPr>
          <w:p w:rsidR="00E95FB1" w:rsidRPr="00C86B34" w:rsidRDefault="00E95FB1" w:rsidP="001B3967">
            <w:pPr>
              <w:autoSpaceDE w:val="0"/>
              <w:autoSpaceDN w:val="0"/>
              <w:adjustRightInd w:val="0"/>
              <w:jc w:val="center"/>
              <w:rPr>
                <w:rFonts w:eastAsia="Calibri"/>
                <w:sz w:val="22"/>
              </w:rPr>
            </w:pPr>
            <w:r w:rsidRPr="00C86B34">
              <w:rPr>
                <w:rFonts w:eastAsia="Calibri"/>
                <w:sz w:val="22"/>
              </w:rPr>
              <w:t>кількість отримувачів послуг</w:t>
            </w:r>
          </w:p>
        </w:tc>
        <w:tc>
          <w:tcPr>
            <w:tcW w:w="1129"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осіб/день</w:t>
            </w:r>
          </w:p>
        </w:tc>
        <w:tc>
          <w:tcPr>
            <w:tcW w:w="2542" w:type="dxa"/>
            <w:gridSpan w:val="2"/>
          </w:tcPr>
          <w:p w:rsidR="00E95FB1" w:rsidRPr="00C86B34" w:rsidRDefault="00E95FB1" w:rsidP="001B3967">
            <w:pPr>
              <w:autoSpaceDE w:val="0"/>
              <w:autoSpaceDN w:val="0"/>
              <w:adjustRightInd w:val="0"/>
              <w:jc w:val="center"/>
              <w:rPr>
                <w:rFonts w:eastAsia="Calibri"/>
                <w:sz w:val="22"/>
              </w:rPr>
            </w:pPr>
            <w:r w:rsidRPr="00C86B34">
              <w:rPr>
                <w:rFonts w:eastAsia="Calibri"/>
                <w:sz w:val="22"/>
              </w:rPr>
              <w:t>&lt;100</w:t>
            </w:r>
          </w:p>
        </w:tc>
      </w:tr>
      <w:tr w:rsidR="00E95FB1" w:rsidRPr="00C86B34" w:rsidTr="001B3967">
        <w:trPr>
          <w:trHeight w:val="197"/>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sz w:val="22"/>
              </w:rPr>
            </w:pPr>
            <w:r w:rsidRPr="00C86B34">
              <w:rPr>
                <w:rFonts w:eastAsia="Calibri"/>
                <w:b/>
                <w:sz w:val="22"/>
              </w:rPr>
              <w:t>Ключові заходи проекту:</w:t>
            </w:r>
          </w:p>
        </w:tc>
        <w:tc>
          <w:tcPr>
            <w:tcW w:w="7056" w:type="dxa"/>
            <w:gridSpan w:val="7"/>
          </w:tcPr>
          <w:p w:rsidR="00E95FB1" w:rsidRPr="00C86B34" w:rsidRDefault="00E95FB1" w:rsidP="000303D7">
            <w:pPr>
              <w:pStyle w:val="afc"/>
              <w:numPr>
                <w:ilvl w:val="0"/>
                <w:numId w:val="59"/>
              </w:numPr>
              <w:spacing w:line="240" w:lineRule="auto"/>
              <w:ind w:left="397" w:hanging="283"/>
              <w:rPr>
                <w:rFonts w:ascii="Times New Roman" w:hAnsi="Times New Roman"/>
                <w:sz w:val="22"/>
              </w:rPr>
            </w:pPr>
            <w:r w:rsidRPr="00C86B34">
              <w:rPr>
                <w:rFonts w:ascii="Times New Roman" w:hAnsi="Times New Roman"/>
                <w:sz w:val="22"/>
              </w:rPr>
              <w:t xml:space="preserve">оцінка спеціально створеною комісією завданих будівлі руйнувань (пошкоджень) </w:t>
            </w:r>
          </w:p>
          <w:p w:rsidR="00E95FB1" w:rsidRPr="00C86B34" w:rsidRDefault="00E95FB1" w:rsidP="000303D7">
            <w:pPr>
              <w:numPr>
                <w:ilvl w:val="0"/>
                <w:numId w:val="59"/>
              </w:numPr>
              <w:tabs>
                <w:tab w:val="left" w:pos="333"/>
              </w:tabs>
              <w:autoSpaceDE w:val="0"/>
              <w:autoSpaceDN w:val="0"/>
              <w:adjustRightInd w:val="0"/>
              <w:ind w:left="397" w:right="112" w:hanging="283"/>
              <w:rPr>
                <w:rFonts w:eastAsia="Calibri"/>
                <w:sz w:val="22"/>
              </w:rPr>
            </w:pPr>
            <w:r w:rsidRPr="00C86B34">
              <w:rPr>
                <w:rFonts w:eastAsia="Calibri"/>
                <w:sz w:val="22"/>
              </w:rPr>
              <w:t xml:space="preserve">виготовлення </w:t>
            </w:r>
            <w:proofErr w:type="spellStart"/>
            <w:r w:rsidRPr="00C86B34">
              <w:rPr>
                <w:rFonts w:eastAsia="Calibri"/>
                <w:sz w:val="22"/>
              </w:rPr>
              <w:t>про</w:t>
            </w:r>
            <w:r w:rsidR="007530B5" w:rsidRPr="00C86B34">
              <w:rPr>
                <w:rFonts w:eastAsia="Calibri"/>
                <w:sz w:val="22"/>
              </w:rPr>
              <w:t>є</w:t>
            </w:r>
            <w:r w:rsidRPr="00C86B34">
              <w:rPr>
                <w:rFonts w:eastAsia="Calibri"/>
                <w:sz w:val="22"/>
              </w:rPr>
              <w:t>ктно</w:t>
            </w:r>
            <w:proofErr w:type="spellEnd"/>
            <w:r w:rsidRPr="00C86B34">
              <w:rPr>
                <w:rFonts w:eastAsia="Calibri"/>
                <w:sz w:val="22"/>
              </w:rPr>
              <w:t>-кошторисної документації</w:t>
            </w:r>
          </w:p>
          <w:p w:rsidR="00E95FB1" w:rsidRPr="00C86B34" w:rsidRDefault="00E95FB1" w:rsidP="000303D7">
            <w:pPr>
              <w:numPr>
                <w:ilvl w:val="0"/>
                <w:numId w:val="59"/>
              </w:numPr>
              <w:tabs>
                <w:tab w:val="left" w:pos="333"/>
              </w:tabs>
              <w:autoSpaceDE w:val="0"/>
              <w:autoSpaceDN w:val="0"/>
              <w:adjustRightInd w:val="0"/>
              <w:ind w:left="397" w:right="112" w:hanging="283"/>
              <w:rPr>
                <w:rFonts w:eastAsia="Calibri"/>
                <w:sz w:val="22"/>
              </w:rPr>
            </w:pPr>
            <w:r w:rsidRPr="00C86B34">
              <w:rPr>
                <w:rFonts w:eastAsia="Calibri"/>
                <w:sz w:val="22"/>
              </w:rPr>
              <w:t>визначення підрядної організації для проведення будівельних робіт</w:t>
            </w:r>
          </w:p>
          <w:p w:rsidR="00E95FB1" w:rsidRPr="00C86B34" w:rsidRDefault="00E95FB1" w:rsidP="000303D7">
            <w:pPr>
              <w:numPr>
                <w:ilvl w:val="0"/>
                <w:numId w:val="59"/>
              </w:numPr>
              <w:tabs>
                <w:tab w:val="left" w:pos="333"/>
              </w:tabs>
              <w:autoSpaceDE w:val="0"/>
              <w:autoSpaceDN w:val="0"/>
              <w:adjustRightInd w:val="0"/>
              <w:ind w:left="397" w:right="112" w:hanging="283"/>
              <w:rPr>
                <w:rFonts w:eastAsia="Calibri"/>
                <w:sz w:val="22"/>
              </w:rPr>
            </w:pPr>
            <w:r w:rsidRPr="00C86B34">
              <w:rPr>
                <w:rFonts w:eastAsia="Calibri"/>
                <w:sz w:val="22"/>
              </w:rPr>
              <w:t>будівництво спортивного комплексу, який складається з:</w:t>
            </w:r>
          </w:p>
          <w:p w:rsidR="00E95FB1" w:rsidRPr="00C86B34" w:rsidRDefault="00E95FB1" w:rsidP="000303D7">
            <w:pPr>
              <w:numPr>
                <w:ilvl w:val="0"/>
                <w:numId w:val="58"/>
              </w:numPr>
              <w:tabs>
                <w:tab w:val="left" w:pos="333"/>
              </w:tabs>
              <w:autoSpaceDE w:val="0"/>
              <w:autoSpaceDN w:val="0"/>
              <w:adjustRightInd w:val="0"/>
              <w:ind w:right="112"/>
              <w:rPr>
                <w:rFonts w:eastAsia="Calibri"/>
                <w:sz w:val="22"/>
              </w:rPr>
            </w:pPr>
            <w:r w:rsidRPr="00C86B34">
              <w:rPr>
                <w:rFonts w:eastAsia="Calibri"/>
                <w:sz w:val="22"/>
              </w:rPr>
              <w:t>демонстраційна зала:</w:t>
            </w:r>
          </w:p>
          <w:p w:rsidR="00E95FB1" w:rsidRPr="00C86B34" w:rsidRDefault="00E95FB1" w:rsidP="001B3967">
            <w:pPr>
              <w:tabs>
                <w:tab w:val="left" w:pos="333"/>
              </w:tabs>
              <w:autoSpaceDE w:val="0"/>
              <w:autoSpaceDN w:val="0"/>
              <w:adjustRightInd w:val="0"/>
              <w:ind w:left="964" w:right="112"/>
              <w:rPr>
                <w:rFonts w:eastAsia="Calibri"/>
                <w:sz w:val="22"/>
              </w:rPr>
            </w:pPr>
            <w:r w:rsidRPr="00C86B34">
              <w:rPr>
                <w:rFonts w:eastAsia="Calibri"/>
                <w:sz w:val="22"/>
              </w:rPr>
              <w:t>трибуна для проведення культурних заходів розміром 30х10</w:t>
            </w:r>
          </w:p>
          <w:p w:rsidR="00E95FB1" w:rsidRPr="00C86B34" w:rsidRDefault="00E95FB1" w:rsidP="001B3967">
            <w:pPr>
              <w:tabs>
                <w:tab w:val="left" w:pos="333"/>
              </w:tabs>
              <w:autoSpaceDE w:val="0"/>
              <w:autoSpaceDN w:val="0"/>
              <w:adjustRightInd w:val="0"/>
              <w:ind w:left="964" w:right="112"/>
              <w:rPr>
                <w:rFonts w:eastAsia="Calibri"/>
                <w:sz w:val="22"/>
              </w:rPr>
            </w:pPr>
            <w:r w:rsidRPr="00C86B34">
              <w:rPr>
                <w:rFonts w:eastAsia="Calibri"/>
                <w:sz w:val="22"/>
              </w:rPr>
              <w:t>гральний майданчик розміром 50х30</w:t>
            </w:r>
          </w:p>
          <w:p w:rsidR="00E95FB1" w:rsidRPr="00C86B34" w:rsidRDefault="00E95FB1" w:rsidP="001B3967">
            <w:pPr>
              <w:tabs>
                <w:tab w:val="left" w:pos="333"/>
              </w:tabs>
              <w:autoSpaceDE w:val="0"/>
              <w:autoSpaceDN w:val="0"/>
              <w:adjustRightInd w:val="0"/>
              <w:ind w:left="964" w:right="112"/>
              <w:rPr>
                <w:rFonts w:eastAsia="Calibri"/>
                <w:sz w:val="22"/>
              </w:rPr>
            </w:pPr>
            <w:r w:rsidRPr="00C86B34">
              <w:rPr>
                <w:rFonts w:eastAsia="Calibri"/>
                <w:sz w:val="22"/>
              </w:rPr>
              <w:t>трибуни з кількістю глядацьких місць – 3000</w:t>
            </w:r>
          </w:p>
          <w:p w:rsidR="00E95FB1" w:rsidRPr="00C86B34" w:rsidRDefault="00E95FB1" w:rsidP="001B3967">
            <w:pPr>
              <w:tabs>
                <w:tab w:val="left" w:pos="333"/>
              </w:tabs>
              <w:autoSpaceDE w:val="0"/>
              <w:autoSpaceDN w:val="0"/>
              <w:adjustRightInd w:val="0"/>
              <w:ind w:left="964" w:right="112"/>
              <w:rPr>
                <w:rFonts w:eastAsia="Calibri"/>
                <w:sz w:val="22"/>
              </w:rPr>
            </w:pPr>
            <w:r w:rsidRPr="00C86B34">
              <w:rPr>
                <w:rFonts w:eastAsia="Calibri"/>
                <w:sz w:val="22"/>
              </w:rPr>
              <w:t>збільшення кількості глядацьких місць при проведені концертних заходів до 4000 місць за рахунок площі грального майданчика</w:t>
            </w:r>
          </w:p>
          <w:p w:rsidR="00E95FB1" w:rsidRPr="00C86B34" w:rsidRDefault="00E95FB1" w:rsidP="000303D7">
            <w:pPr>
              <w:numPr>
                <w:ilvl w:val="0"/>
                <w:numId w:val="58"/>
              </w:numPr>
              <w:tabs>
                <w:tab w:val="left" w:pos="333"/>
              </w:tabs>
              <w:autoSpaceDE w:val="0"/>
              <w:autoSpaceDN w:val="0"/>
              <w:adjustRightInd w:val="0"/>
              <w:ind w:right="112"/>
              <w:rPr>
                <w:rFonts w:eastAsia="Calibri"/>
                <w:sz w:val="22"/>
              </w:rPr>
            </w:pPr>
            <w:r w:rsidRPr="00C86B34">
              <w:rPr>
                <w:rFonts w:eastAsia="Calibri"/>
                <w:sz w:val="22"/>
              </w:rPr>
              <w:t>плавальний комплекс:</w:t>
            </w:r>
          </w:p>
          <w:p w:rsidR="00E95FB1" w:rsidRPr="00C86B34" w:rsidRDefault="00E95FB1" w:rsidP="001B3967">
            <w:pPr>
              <w:tabs>
                <w:tab w:val="left" w:pos="333"/>
              </w:tabs>
              <w:autoSpaceDE w:val="0"/>
              <w:autoSpaceDN w:val="0"/>
              <w:adjustRightInd w:val="0"/>
              <w:ind w:left="964" w:right="112"/>
              <w:rPr>
                <w:rFonts w:eastAsia="Calibri"/>
                <w:sz w:val="22"/>
              </w:rPr>
            </w:pPr>
            <w:r w:rsidRPr="00C86B34">
              <w:rPr>
                <w:rFonts w:eastAsia="Calibri"/>
                <w:sz w:val="22"/>
              </w:rPr>
              <w:t>басейн розміром 50х25</w:t>
            </w:r>
          </w:p>
          <w:p w:rsidR="00E95FB1" w:rsidRPr="00C86B34" w:rsidRDefault="00E95FB1" w:rsidP="001B3967">
            <w:pPr>
              <w:tabs>
                <w:tab w:val="left" w:pos="333"/>
              </w:tabs>
              <w:autoSpaceDE w:val="0"/>
              <w:autoSpaceDN w:val="0"/>
              <w:adjustRightInd w:val="0"/>
              <w:ind w:left="964" w:right="112"/>
              <w:rPr>
                <w:rFonts w:eastAsia="Calibri"/>
                <w:sz w:val="22"/>
              </w:rPr>
            </w:pPr>
            <w:r w:rsidRPr="00C86B34">
              <w:rPr>
                <w:rFonts w:eastAsia="Calibri"/>
                <w:sz w:val="22"/>
              </w:rPr>
              <w:t>зона для стрибків і воду з вишками</w:t>
            </w:r>
          </w:p>
          <w:p w:rsidR="00E95FB1" w:rsidRPr="00C86B34" w:rsidRDefault="00E95FB1" w:rsidP="001B3967">
            <w:pPr>
              <w:tabs>
                <w:tab w:val="left" w:pos="333"/>
              </w:tabs>
              <w:autoSpaceDE w:val="0"/>
              <w:autoSpaceDN w:val="0"/>
              <w:adjustRightInd w:val="0"/>
              <w:ind w:left="964" w:right="112"/>
              <w:rPr>
                <w:rFonts w:eastAsia="Calibri"/>
                <w:sz w:val="22"/>
              </w:rPr>
            </w:pPr>
            <w:r w:rsidRPr="00C86B34">
              <w:rPr>
                <w:rFonts w:eastAsia="Calibri"/>
                <w:sz w:val="22"/>
              </w:rPr>
              <w:t>трибуни з кількістю глядацьких місць – 300</w:t>
            </w:r>
          </w:p>
          <w:p w:rsidR="00E95FB1" w:rsidRPr="00C86B34" w:rsidRDefault="00E95FB1" w:rsidP="000303D7">
            <w:pPr>
              <w:numPr>
                <w:ilvl w:val="0"/>
                <w:numId w:val="58"/>
              </w:numPr>
              <w:tabs>
                <w:tab w:val="left" w:pos="333"/>
              </w:tabs>
              <w:autoSpaceDE w:val="0"/>
              <w:autoSpaceDN w:val="0"/>
              <w:adjustRightInd w:val="0"/>
              <w:ind w:right="112"/>
              <w:rPr>
                <w:rFonts w:eastAsia="Calibri"/>
                <w:sz w:val="22"/>
              </w:rPr>
            </w:pPr>
            <w:r w:rsidRPr="00C86B34">
              <w:rPr>
                <w:rFonts w:eastAsia="Calibri"/>
                <w:sz w:val="22"/>
              </w:rPr>
              <w:t>допоміжні зали:</w:t>
            </w:r>
          </w:p>
          <w:p w:rsidR="00E95FB1" w:rsidRPr="00C86B34" w:rsidRDefault="00E95FB1" w:rsidP="001B3967">
            <w:pPr>
              <w:tabs>
                <w:tab w:val="left" w:pos="333"/>
              </w:tabs>
              <w:autoSpaceDE w:val="0"/>
              <w:autoSpaceDN w:val="0"/>
              <w:adjustRightInd w:val="0"/>
              <w:ind w:left="964" w:right="112"/>
              <w:rPr>
                <w:rFonts w:eastAsia="Calibri"/>
                <w:sz w:val="22"/>
              </w:rPr>
            </w:pPr>
            <w:r w:rsidRPr="00C86B34">
              <w:rPr>
                <w:rFonts w:eastAsia="Calibri"/>
                <w:sz w:val="22"/>
              </w:rPr>
              <w:t>2 тренажерні зали;</w:t>
            </w:r>
          </w:p>
          <w:p w:rsidR="00E95FB1" w:rsidRPr="00C86B34" w:rsidRDefault="00E95FB1" w:rsidP="001B3967">
            <w:pPr>
              <w:tabs>
                <w:tab w:val="left" w:pos="333"/>
              </w:tabs>
              <w:autoSpaceDE w:val="0"/>
              <w:autoSpaceDN w:val="0"/>
              <w:adjustRightInd w:val="0"/>
              <w:ind w:left="964" w:right="112"/>
              <w:rPr>
                <w:rFonts w:eastAsia="Calibri"/>
                <w:sz w:val="22"/>
              </w:rPr>
            </w:pPr>
            <w:r w:rsidRPr="00C86B34">
              <w:rPr>
                <w:rFonts w:eastAsia="Calibri"/>
                <w:sz w:val="22"/>
              </w:rPr>
              <w:lastRenderedPageBreak/>
              <w:t>зала хореографії</w:t>
            </w:r>
          </w:p>
          <w:p w:rsidR="00E95FB1" w:rsidRPr="00C86B34" w:rsidRDefault="00E95FB1" w:rsidP="001B3967">
            <w:pPr>
              <w:tabs>
                <w:tab w:val="left" w:pos="333"/>
              </w:tabs>
              <w:autoSpaceDE w:val="0"/>
              <w:autoSpaceDN w:val="0"/>
              <w:adjustRightInd w:val="0"/>
              <w:ind w:left="964" w:right="112"/>
              <w:rPr>
                <w:rFonts w:eastAsia="Calibri"/>
                <w:sz w:val="22"/>
              </w:rPr>
            </w:pPr>
            <w:r w:rsidRPr="00C86B34">
              <w:rPr>
                <w:rFonts w:eastAsia="Calibri"/>
                <w:sz w:val="22"/>
              </w:rPr>
              <w:t>зала більярду</w:t>
            </w:r>
          </w:p>
          <w:p w:rsidR="00E95FB1" w:rsidRPr="00C86B34" w:rsidRDefault="00E95FB1" w:rsidP="001B3967">
            <w:pPr>
              <w:tabs>
                <w:tab w:val="left" w:pos="333"/>
              </w:tabs>
              <w:autoSpaceDE w:val="0"/>
              <w:autoSpaceDN w:val="0"/>
              <w:adjustRightInd w:val="0"/>
              <w:ind w:left="964" w:right="112"/>
              <w:rPr>
                <w:rFonts w:eastAsia="Calibri"/>
                <w:sz w:val="22"/>
              </w:rPr>
            </w:pPr>
            <w:r w:rsidRPr="00C86B34">
              <w:rPr>
                <w:rFonts w:eastAsia="Calibri"/>
                <w:sz w:val="22"/>
              </w:rPr>
              <w:t>тир (лазерна стрільба – п’ятиборство)</w:t>
            </w:r>
          </w:p>
          <w:p w:rsidR="00E95FB1" w:rsidRPr="00C86B34" w:rsidRDefault="00E95FB1" w:rsidP="001B3967">
            <w:pPr>
              <w:tabs>
                <w:tab w:val="left" w:pos="333"/>
              </w:tabs>
              <w:autoSpaceDE w:val="0"/>
              <w:autoSpaceDN w:val="0"/>
              <w:adjustRightInd w:val="0"/>
              <w:ind w:left="964" w:right="112"/>
              <w:rPr>
                <w:rFonts w:eastAsia="Calibri"/>
                <w:sz w:val="22"/>
              </w:rPr>
            </w:pPr>
            <w:r w:rsidRPr="00C86B34">
              <w:rPr>
                <w:rFonts w:eastAsia="Calibri"/>
                <w:sz w:val="22"/>
              </w:rPr>
              <w:t>зала фехтування</w:t>
            </w:r>
          </w:p>
          <w:p w:rsidR="00E95FB1" w:rsidRPr="00C86B34" w:rsidRDefault="00E95FB1" w:rsidP="001B3967">
            <w:pPr>
              <w:tabs>
                <w:tab w:val="left" w:pos="333"/>
              </w:tabs>
              <w:autoSpaceDE w:val="0"/>
              <w:autoSpaceDN w:val="0"/>
              <w:adjustRightInd w:val="0"/>
              <w:ind w:left="964" w:right="112"/>
              <w:rPr>
                <w:rFonts w:eastAsia="Calibri"/>
                <w:sz w:val="22"/>
              </w:rPr>
            </w:pPr>
            <w:r w:rsidRPr="00C86B34">
              <w:rPr>
                <w:rFonts w:eastAsia="Calibri"/>
                <w:sz w:val="22"/>
              </w:rPr>
              <w:t>конференц-зал</w:t>
            </w:r>
          </w:p>
          <w:p w:rsidR="00E95FB1" w:rsidRPr="00C86B34" w:rsidRDefault="00E95FB1" w:rsidP="000303D7">
            <w:pPr>
              <w:numPr>
                <w:ilvl w:val="0"/>
                <w:numId w:val="58"/>
              </w:numPr>
              <w:tabs>
                <w:tab w:val="left" w:pos="333"/>
              </w:tabs>
              <w:autoSpaceDE w:val="0"/>
              <w:autoSpaceDN w:val="0"/>
              <w:adjustRightInd w:val="0"/>
              <w:ind w:right="112"/>
              <w:rPr>
                <w:rFonts w:eastAsia="Calibri"/>
                <w:sz w:val="22"/>
              </w:rPr>
            </w:pPr>
            <w:r w:rsidRPr="00C86B34">
              <w:rPr>
                <w:rFonts w:eastAsia="Calibri"/>
                <w:sz w:val="22"/>
              </w:rPr>
              <w:t>допоміжні приміщення: роздягальні з душовими кімнатами, туалети пристосовані для людей на візках, адміністративні та господарчі кімнати</w:t>
            </w:r>
          </w:p>
          <w:p w:rsidR="00E95FB1" w:rsidRPr="00C86B34" w:rsidRDefault="00E95FB1" w:rsidP="000303D7">
            <w:pPr>
              <w:numPr>
                <w:ilvl w:val="0"/>
                <w:numId w:val="58"/>
              </w:numPr>
              <w:tabs>
                <w:tab w:val="left" w:pos="333"/>
              </w:tabs>
              <w:autoSpaceDE w:val="0"/>
              <w:autoSpaceDN w:val="0"/>
              <w:adjustRightInd w:val="0"/>
              <w:ind w:right="112"/>
              <w:rPr>
                <w:rFonts w:eastAsia="Calibri"/>
                <w:sz w:val="22"/>
              </w:rPr>
            </w:pPr>
            <w:r w:rsidRPr="00C86B34">
              <w:rPr>
                <w:rFonts w:eastAsia="Calibri"/>
                <w:sz w:val="22"/>
              </w:rPr>
              <w:t>стоянка для авто</w:t>
            </w:r>
          </w:p>
          <w:p w:rsidR="00E95FB1" w:rsidRPr="00C86B34" w:rsidRDefault="00E95FB1" w:rsidP="000303D7">
            <w:pPr>
              <w:numPr>
                <w:ilvl w:val="0"/>
                <w:numId w:val="58"/>
              </w:numPr>
              <w:tabs>
                <w:tab w:val="left" w:pos="333"/>
              </w:tabs>
              <w:autoSpaceDE w:val="0"/>
              <w:autoSpaceDN w:val="0"/>
              <w:adjustRightInd w:val="0"/>
              <w:ind w:right="112"/>
              <w:rPr>
                <w:rFonts w:eastAsia="Calibri"/>
                <w:sz w:val="22"/>
              </w:rPr>
            </w:pPr>
            <w:r w:rsidRPr="00C86B34">
              <w:rPr>
                <w:rFonts w:eastAsia="Calibri"/>
                <w:sz w:val="22"/>
              </w:rPr>
              <w:t>модульна котельна</w:t>
            </w:r>
          </w:p>
          <w:p w:rsidR="00E95FB1" w:rsidRPr="00C86B34" w:rsidRDefault="00E95FB1" w:rsidP="000303D7">
            <w:pPr>
              <w:pStyle w:val="a7"/>
              <w:numPr>
                <w:ilvl w:val="0"/>
                <w:numId w:val="60"/>
              </w:numPr>
              <w:ind w:left="397" w:hanging="283"/>
              <w:contextualSpacing w:val="0"/>
              <w:jc w:val="left"/>
              <w:rPr>
                <w:color w:val="000000"/>
                <w:sz w:val="22"/>
              </w:rPr>
            </w:pPr>
            <w:r w:rsidRPr="00C86B34">
              <w:rPr>
                <w:rFonts w:eastAsia="Calibri"/>
                <w:color w:val="000000"/>
                <w:sz w:val="22"/>
              </w:rPr>
              <w:t>введення споруди в експлуатацію та її експлуатація за призначенням</w:t>
            </w:r>
          </w:p>
        </w:tc>
      </w:tr>
      <w:tr w:rsidR="00E95FB1" w:rsidRPr="00C86B34" w:rsidTr="001B3967">
        <w:trPr>
          <w:trHeight w:val="197"/>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lastRenderedPageBreak/>
              <w:t>Орієнтовний обсяг та джерела фінансування тис. гривень</w:t>
            </w:r>
          </w:p>
        </w:tc>
        <w:tc>
          <w:tcPr>
            <w:tcW w:w="1958"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Державний бюджет</w:t>
            </w:r>
          </w:p>
        </w:tc>
        <w:tc>
          <w:tcPr>
            <w:tcW w:w="1261"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Місцевий бюджет</w:t>
            </w:r>
          </w:p>
        </w:tc>
        <w:tc>
          <w:tcPr>
            <w:tcW w:w="2522" w:type="dxa"/>
            <w:gridSpan w:val="4"/>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Інші джерела</w:t>
            </w:r>
          </w:p>
        </w:tc>
        <w:tc>
          <w:tcPr>
            <w:tcW w:w="1315"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Всього</w:t>
            </w:r>
          </w:p>
        </w:tc>
      </w:tr>
      <w:tr w:rsidR="00E95FB1" w:rsidRPr="00C86B34" w:rsidTr="001B3967">
        <w:trPr>
          <w:trHeight w:val="197"/>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1958"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261"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261"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Обсяг</w:t>
            </w:r>
          </w:p>
        </w:tc>
        <w:tc>
          <w:tcPr>
            <w:tcW w:w="1261"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Назва джерела</w:t>
            </w:r>
          </w:p>
        </w:tc>
        <w:tc>
          <w:tcPr>
            <w:tcW w:w="1315" w:type="dxa"/>
            <w:vMerge/>
            <w:vAlign w:val="center"/>
          </w:tcPr>
          <w:p w:rsidR="00E95FB1" w:rsidRPr="00C86B34" w:rsidRDefault="00E95FB1" w:rsidP="001B3967">
            <w:pPr>
              <w:autoSpaceDE w:val="0"/>
              <w:autoSpaceDN w:val="0"/>
              <w:adjustRightInd w:val="0"/>
              <w:jc w:val="center"/>
              <w:rPr>
                <w:rFonts w:eastAsia="Calibri"/>
                <w:b/>
                <w:color w:val="000000"/>
                <w:sz w:val="22"/>
              </w:rPr>
            </w:pPr>
          </w:p>
        </w:tc>
      </w:tr>
      <w:tr w:rsidR="00E95FB1" w:rsidRPr="00C86B34" w:rsidTr="001B3967">
        <w:trPr>
          <w:trHeight w:val="197"/>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1958"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980 000,0</w:t>
            </w:r>
          </w:p>
        </w:tc>
        <w:tc>
          <w:tcPr>
            <w:tcW w:w="1261" w:type="dxa"/>
          </w:tcPr>
          <w:p w:rsidR="00E95FB1" w:rsidRPr="00C86B34" w:rsidRDefault="00E95FB1" w:rsidP="001B3967">
            <w:pPr>
              <w:autoSpaceDE w:val="0"/>
              <w:autoSpaceDN w:val="0"/>
              <w:adjustRightInd w:val="0"/>
              <w:jc w:val="center"/>
              <w:rPr>
                <w:rFonts w:eastAsia="Calibri"/>
                <w:color w:val="000000"/>
                <w:sz w:val="22"/>
              </w:rPr>
            </w:pPr>
          </w:p>
        </w:tc>
        <w:tc>
          <w:tcPr>
            <w:tcW w:w="1261" w:type="dxa"/>
            <w:gridSpan w:val="2"/>
          </w:tcPr>
          <w:p w:rsidR="00E95FB1" w:rsidRPr="00C86B34" w:rsidRDefault="00E95FB1" w:rsidP="001B3967">
            <w:pPr>
              <w:autoSpaceDE w:val="0"/>
              <w:autoSpaceDN w:val="0"/>
              <w:adjustRightInd w:val="0"/>
              <w:jc w:val="center"/>
              <w:rPr>
                <w:rFonts w:eastAsia="Calibri"/>
                <w:color w:val="000000"/>
                <w:sz w:val="22"/>
              </w:rPr>
            </w:pPr>
          </w:p>
        </w:tc>
        <w:tc>
          <w:tcPr>
            <w:tcW w:w="1261" w:type="dxa"/>
            <w:gridSpan w:val="2"/>
          </w:tcPr>
          <w:p w:rsidR="00E95FB1" w:rsidRPr="00C86B34" w:rsidRDefault="00E95FB1" w:rsidP="001B3967">
            <w:pPr>
              <w:autoSpaceDE w:val="0"/>
              <w:autoSpaceDN w:val="0"/>
              <w:adjustRightInd w:val="0"/>
              <w:jc w:val="center"/>
              <w:rPr>
                <w:rFonts w:eastAsia="Calibri"/>
                <w:color w:val="000000"/>
                <w:sz w:val="22"/>
              </w:rPr>
            </w:pPr>
          </w:p>
        </w:tc>
        <w:tc>
          <w:tcPr>
            <w:tcW w:w="1315"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980 000,0</w:t>
            </w:r>
          </w:p>
        </w:tc>
      </w:tr>
      <w:tr w:rsidR="00E95FB1" w:rsidRPr="00C86B34" w:rsidTr="001B3967">
        <w:trPr>
          <w:trHeight w:val="197"/>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b/>
                <w:sz w:val="22"/>
              </w:rPr>
              <w:t xml:space="preserve">Ключові потенційні учасники </w:t>
            </w:r>
            <w:proofErr w:type="spellStart"/>
            <w:r w:rsidRPr="00C86B34">
              <w:rPr>
                <w:b/>
                <w:sz w:val="22"/>
              </w:rPr>
              <w:t>проєкту</w:t>
            </w:r>
            <w:proofErr w:type="spellEnd"/>
          </w:p>
        </w:tc>
        <w:tc>
          <w:tcPr>
            <w:tcW w:w="7056" w:type="dxa"/>
            <w:gridSpan w:val="7"/>
          </w:tcPr>
          <w:p w:rsidR="00E95FB1" w:rsidRPr="00C86B34" w:rsidRDefault="00E95FB1" w:rsidP="001B3967">
            <w:pPr>
              <w:rPr>
                <w:sz w:val="22"/>
              </w:rPr>
            </w:pPr>
            <w:r w:rsidRPr="00C86B34">
              <w:rPr>
                <w:sz w:val="22"/>
              </w:rPr>
              <w:t xml:space="preserve">1. Військова адміністрація міста. </w:t>
            </w:r>
          </w:p>
          <w:p w:rsidR="00E95FB1" w:rsidRPr="00C86B34" w:rsidRDefault="00E95FB1" w:rsidP="001B3967">
            <w:pPr>
              <w:tabs>
                <w:tab w:val="left" w:pos="720"/>
              </w:tabs>
              <w:rPr>
                <w:sz w:val="22"/>
              </w:rPr>
            </w:pPr>
            <w:r w:rsidRPr="00C86B34">
              <w:rPr>
                <w:sz w:val="22"/>
              </w:rPr>
              <w:t>2. Відділ капітального будівництва військової адміністрації міста.</w:t>
            </w:r>
          </w:p>
          <w:p w:rsidR="00E95FB1" w:rsidRPr="00C86B34" w:rsidRDefault="00E95FB1" w:rsidP="001B3967">
            <w:pPr>
              <w:tabs>
                <w:tab w:val="left" w:pos="720"/>
              </w:tabs>
              <w:rPr>
                <w:sz w:val="22"/>
              </w:rPr>
            </w:pPr>
            <w:r w:rsidRPr="00C86B34">
              <w:rPr>
                <w:sz w:val="22"/>
              </w:rPr>
              <w:t>3. Підрядна організація - переможець тендеру, виконавець будівельно-монтажних робіт.</w:t>
            </w:r>
          </w:p>
          <w:p w:rsidR="00E95FB1" w:rsidRPr="00C86B34" w:rsidRDefault="00E95FB1" w:rsidP="001B3967">
            <w:pPr>
              <w:tabs>
                <w:tab w:val="left" w:pos="720"/>
              </w:tabs>
              <w:rPr>
                <w:sz w:val="22"/>
              </w:rPr>
            </w:pPr>
            <w:r w:rsidRPr="00C86B34">
              <w:rPr>
                <w:sz w:val="22"/>
              </w:rPr>
              <w:t>4. Обласна державна адміністрація.</w:t>
            </w:r>
          </w:p>
          <w:p w:rsidR="00E95FB1" w:rsidRPr="00C86B34" w:rsidRDefault="00E95FB1" w:rsidP="001B3967">
            <w:pPr>
              <w:autoSpaceDE w:val="0"/>
              <w:autoSpaceDN w:val="0"/>
              <w:adjustRightInd w:val="0"/>
              <w:rPr>
                <w:sz w:val="22"/>
              </w:rPr>
            </w:pPr>
            <w:r w:rsidRPr="00C86B34">
              <w:rPr>
                <w:sz w:val="22"/>
              </w:rPr>
              <w:t>5. Інвестори та меценати спортивної галузі.</w:t>
            </w:r>
          </w:p>
          <w:p w:rsidR="00E95FB1" w:rsidRPr="00C86B34" w:rsidRDefault="00E95FB1" w:rsidP="001B3967">
            <w:pPr>
              <w:autoSpaceDE w:val="0"/>
              <w:autoSpaceDN w:val="0"/>
              <w:adjustRightInd w:val="0"/>
              <w:rPr>
                <w:rFonts w:eastAsia="Calibri"/>
                <w:color w:val="000000"/>
                <w:sz w:val="22"/>
              </w:rPr>
            </w:pPr>
            <w:r w:rsidRPr="00C86B34">
              <w:rPr>
                <w:sz w:val="22"/>
              </w:rPr>
              <w:t>6. Всеукраїнські спортивні федерації</w:t>
            </w:r>
          </w:p>
        </w:tc>
      </w:tr>
    </w:tbl>
    <w:p w:rsidR="00E95FB1" w:rsidRPr="00C86B34" w:rsidRDefault="00E95FB1" w:rsidP="00E95FB1">
      <w:pPr>
        <w:rPr>
          <w:sz w:val="22"/>
        </w:rPr>
      </w:pPr>
    </w:p>
    <w:p w:rsidR="00E95FB1" w:rsidRPr="00C86B34" w:rsidRDefault="00E95FB1" w:rsidP="00E95FB1">
      <w:pPr>
        <w:rPr>
          <w:sz w:val="22"/>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37"/>
        <w:gridCol w:w="1813"/>
        <w:gridCol w:w="1268"/>
        <w:gridCol w:w="475"/>
        <w:gridCol w:w="805"/>
        <w:gridCol w:w="896"/>
        <w:gridCol w:w="553"/>
        <w:gridCol w:w="1215"/>
      </w:tblGrid>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rPr>
            </w:pPr>
            <w:r w:rsidRPr="00C86B34">
              <w:rPr>
                <w:b/>
                <w:sz w:val="22"/>
              </w:rPr>
              <w:t>Оперативна ціль/завдання</w:t>
            </w:r>
          </w:p>
        </w:tc>
        <w:tc>
          <w:tcPr>
            <w:tcW w:w="7088" w:type="dxa"/>
            <w:gridSpan w:val="7"/>
            <w:shd w:val="clear" w:color="auto" w:fill="auto"/>
          </w:tcPr>
          <w:p w:rsidR="00E95FB1" w:rsidRPr="00C86B34" w:rsidRDefault="007530B5" w:rsidP="007530B5">
            <w:pPr>
              <w:pStyle w:val="a7"/>
              <w:ind w:left="0"/>
              <w:jc w:val="left"/>
              <w:rPr>
                <w:rFonts w:eastAsia="Arial"/>
                <w:sz w:val="22"/>
              </w:rPr>
            </w:pPr>
            <w:r w:rsidRPr="00C86B34">
              <w:rPr>
                <w:rFonts w:eastAsia="Arial"/>
                <w:sz w:val="22"/>
              </w:rPr>
              <w:t>Людський розвиток</w:t>
            </w:r>
            <w:r w:rsidR="00E95FB1" w:rsidRPr="00C86B34">
              <w:rPr>
                <w:rFonts w:eastAsia="Arial"/>
                <w:sz w:val="22"/>
              </w:rPr>
              <w:t xml:space="preserve"> через інновації управління та  довіру до влади. Формування сучасного позашкільного </w:t>
            </w:r>
            <w:proofErr w:type="spellStart"/>
            <w:r w:rsidR="00E95FB1" w:rsidRPr="00C86B34">
              <w:rPr>
                <w:rFonts w:eastAsia="Arial"/>
                <w:sz w:val="22"/>
              </w:rPr>
              <w:t>освітньо</w:t>
            </w:r>
            <w:proofErr w:type="spellEnd"/>
            <w:r w:rsidR="00E95FB1" w:rsidRPr="00C86B34">
              <w:rPr>
                <w:rFonts w:eastAsia="Arial"/>
                <w:sz w:val="22"/>
              </w:rPr>
              <w:t xml:space="preserve"> – культурного та спортивного простору для розвитку</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rPr>
            </w:pPr>
            <w:r w:rsidRPr="00C86B34">
              <w:rPr>
                <w:b/>
                <w:sz w:val="22"/>
              </w:rPr>
              <w:t>Назва проекту:</w:t>
            </w:r>
          </w:p>
        </w:tc>
        <w:tc>
          <w:tcPr>
            <w:tcW w:w="7088" w:type="dxa"/>
            <w:gridSpan w:val="7"/>
            <w:shd w:val="clear" w:color="auto" w:fill="auto"/>
          </w:tcPr>
          <w:p w:rsidR="00E95FB1" w:rsidRPr="00C86B34" w:rsidRDefault="00E95FB1" w:rsidP="001B3967">
            <w:pPr>
              <w:pStyle w:val="a7"/>
              <w:ind w:left="0"/>
              <w:rPr>
                <w:sz w:val="22"/>
              </w:rPr>
            </w:pPr>
            <w:proofErr w:type="spellStart"/>
            <w:r w:rsidRPr="00C86B34">
              <w:rPr>
                <w:sz w:val="22"/>
              </w:rPr>
              <w:t>Реконструкцiя</w:t>
            </w:r>
            <w:proofErr w:type="spellEnd"/>
            <w:r w:rsidRPr="00C86B34">
              <w:rPr>
                <w:sz w:val="22"/>
              </w:rPr>
              <w:t xml:space="preserve"> та </w:t>
            </w:r>
            <w:proofErr w:type="spellStart"/>
            <w:r w:rsidRPr="00C86B34">
              <w:rPr>
                <w:sz w:val="22"/>
              </w:rPr>
              <w:t>вiдновлення</w:t>
            </w:r>
            <w:proofErr w:type="spellEnd"/>
            <w:r w:rsidRPr="00C86B34">
              <w:rPr>
                <w:sz w:val="22"/>
              </w:rPr>
              <w:t xml:space="preserve">  СДЮК «</w:t>
            </w:r>
            <w:proofErr w:type="spellStart"/>
            <w:r w:rsidRPr="00C86B34">
              <w:rPr>
                <w:sz w:val="22"/>
              </w:rPr>
              <w:t>Юнiсть</w:t>
            </w:r>
            <w:proofErr w:type="spellEnd"/>
            <w:r w:rsidRPr="00C86B34">
              <w:rPr>
                <w:sz w:val="22"/>
              </w:rPr>
              <w:t>» та клубів «Восход» , «Іскра», «Факел», «Меридіан», «Самбо», «Підліток».</w:t>
            </w:r>
          </w:p>
        </w:tc>
      </w:tr>
      <w:tr w:rsidR="00E95FB1" w:rsidRPr="00C86B34" w:rsidTr="001B3967">
        <w:tc>
          <w:tcPr>
            <w:tcW w:w="2694" w:type="dxa"/>
            <w:shd w:val="clear" w:color="auto" w:fill="C6D9F1" w:themeFill="text2" w:themeFillTint="33"/>
          </w:tcPr>
          <w:p w:rsidR="00E95FB1" w:rsidRPr="00C86B34" w:rsidRDefault="00E95FB1" w:rsidP="001B3967">
            <w:pPr>
              <w:rPr>
                <w:b/>
                <w:sz w:val="22"/>
              </w:rPr>
            </w:pPr>
            <w:r w:rsidRPr="00C86B34">
              <w:rPr>
                <w:b/>
                <w:sz w:val="22"/>
              </w:rPr>
              <w:t>Ціль проекту</w:t>
            </w:r>
          </w:p>
        </w:tc>
        <w:tc>
          <w:tcPr>
            <w:tcW w:w="7088" w:type="dxa"/>
            <w:gridSpan w:val="7"/>
            <w:shd w:val="clear" w:color="auto" w:fill="auto"/>
          </w:tcPr>
          <w:p w:rsidR="00E95FB1" w:rsidRPr="00C86B34" w:rsidRDefault="00E95FB1" w:rsidP="001B3967">
            <w:pPr>
              <w:pStyle w:val="a7"/>
              <w:ind w:left="63"/>
              <w:rPr>
                <w:sz w:val="22"/>
              </w:rPr>
            </w:pPr>
            <w:r w:rsidRPr="00C86B34">
              <w:rPr>
                <w:sz w:val="22"/>
              </w:rPr>
              <w:t xml:space="preserve">- </w:t>
            </w:r>
            <w:proofErr w:type="spellStart"/>
            <w:r w:rsidRPr="00C86B34">
              <w:rPr>
                <w:sz w:val="22"/>
              </w:rPr>
              <w:t>забезпеченя</w:t>
            </w:r>
            <w:proofErr w:type="spellEnd"/>
            <w:r w:rsidRPr="00C86B34">
              <w:rPr>
                <w:sz w:val="22"/>
              </w:rPr>
              <w:t xml:space="preserve"> </w:t>
            </w:r>
            <w:proofErr w:type="spellStart"/>
            <w:r w:rsidRPr="00C86B34">
              <w:rPr>
                <w:sz w:val="22"/>
              </w:rPr>
              <w:t>якiсного</w:t>
            </w:r>
            <w:proofErr w:type="spellEnd"/>
            <w:r w:rsidRPr="00C86B34">
              <w:rPr>
                <w:sz w:val="22"/>
              </w:rPr>
              <w:t xml:space="preserve"> </w:t>
            </w:r>
            <w:proofErr w:type="spellStart"/>
            <w:r w:rsidRPr="00C86B34">
              <w:rPr>
                <w:sz w:val="22"/>
              </w:rPr>
              <w:t>нацiонально-патрiотичного</w:t>
            </w:r>
            <w:proofErr w:type="spellEnd"/>
            <w:r w:rsidRPr="00C86B34">
              <w:rPr>
                <w:sz w:val="22"/>
              </w:rPr>
              <w:t xml:space="preserve"> виховання </w:t>
            </w:r>
            <w:proofErr w:type="spellStart"/>
            <w:r w:rsidRPr="00C86B34">
              <w:rPr>
                <w:sz w:val="22"/>
              </w:rPr>
              <w:t>дiтей</w:t>
            </w:r>
            <w:proofErr w:type="spellEnd"/>
            <w:r w:rsidRPr="00C86B34">
              <w:rPr>
                <w:sz w:val="22"/>
              </w:rPr>
              <w:t xml:space="preserve"> та </w:t>
            </w:r>
            <w:proofErr w:type="spellStart"/>
            <w:r w:rsidRPr="00C86B34">
              <w:rPr>
                <w:sz w:val="22"/>
              </w:rPr>
              <w:t>молодi</w:t>
            </w:r>
            <w:proofErr w:type="spellEnd"/>
            <w:r w:rsidRPr="00C86B34">
              <w:rPr>
                <w:sz w:val="22"/>
              </w:rPr>
              <w:t>;</w:t>
            </w:r>
          </w:p>
          <w:p w:rsidR="00E95FB1" w:rsidRPr="00C86B34" w:rsidRDefault="00E95FB1" w:rsidP="001B3967">
            <w:pPr>
              <w:pStyle w:val="a7"/>
              <w:ind w:left="204" w:hanging="204"/>
              <w:rPr>
                <w:sz w:val="22"/>
              </w:rPr>
            </w:pPr>
            <w:r w:rsidRPr="00C86B34">
              <w:rPr>
                <w:sz w:val="22"/>
              </w:rPr>
              <w:t xml:space="preserve">-  створення умов для формування та подальшого розвитку </w:t>
            </w:r>
            <w:proofErr w:type="spellStart"/>
            <w:r w:rsidRPr="00C86B34">
              <w:rPr>
                <w:sz w:val="22"/>
              </w:rPr>
              <w:t>якiсного</w:t>
            </w:r>
            <w:proofErr w:type="spellEnd"/>
            <w:r w:rsidRPr="00C86B34">
              <w:rPr>
                <w:sz w:val="22"/>
              </w:rPr>
              <w:t xml:space="preserve"> осередку </w:t>
            </w:r>
            <w:proofErr w:type="spellStart"/>
            <w:r w:rsidRPr="00C86B34">
              <w:rPr>
                <w:sz w:val="22"/>
              </w:rPr>
              <w:t>позашкiльної</w:t>
            </w:r>
            <w:proofErr w:type="spellEnd"/>
            <w:r w:rsidRPr="00C86B34">
              <w:rPr>
                <w:sz w:val="22"/>
              </w:rPr>
              <w:t xml:space="preserve"> </w:t>
            </w:r>
            <w:proofErr w:type="spellStart"/>
            <w:r w:rsidRPr="00C86B34">
              <w:rPr>
                <w:sz w:val="22"/>
              </w:rPr>
              <w:t>освiти</w:t>
            </w:r>
            <w:proofErr w:type="spellEnd"/>
            <w:r w:rsidRPr="00C86B34">
              <w:rPr>
                <w:sz w:val="22"/>
              </w:rPr>
              <w:t xml:space="preserve"> </w:t>
            </w:r>
            <w:proofErr w:type="spellStart"/>
            <w:r w:rsidRPr="00C86B34">
              <w:rPr>
                <w:sz w:val="22"/>
              </w:rPr>
              <w:t>мiста</w:t>
            </w:r>
            <w:proofErr w:type="spellEnd"/>
            <w:r w:rsidRPr="00C86B34">
              <w:rPr>
                <w:sz w:val="22"/>
              </w:rPr>
              <w:t>;</w:t>
            </w:r>
          </w:p>
          <w:p w:rsidR="00E95FB1" w:rsidRPr="00C86B34" w:rsidRDefault="00E95FB1" w:rsidP="001B3967">
            <w:pPr>
              <w:pStyle w:val="a7"/>
              <w:ind w:left="0"/>
              <w:rPr>
                <w:sz w:val="22"/>
              </w:rPr>
            </w:pPr>
            <w:r w:rsidRPr="00C86B34">
              <w:rPr>
                <w:sz w:val="22"/>
              </w:rPr>
              <w:t>- сприяння консолідації українського суспільства навколо ідей спільного майбутнього, захисту територіальної цілісності України, реформ і державотворення.</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rPr>
            </w:pPr>
            <w:r w:rsidRPr="00C86B34">
              <w:rPr>
                <w:b/>
                <w:sz w:val="22"/>
              </w:rPr>
              <w:t>Територія, на яку матиме вплив реалізація проекту</w:t>
            </w:r>
          </w:p>
        </w:tc>
        <w:tc>
          <w:tcPr>
            <w:tcW w:w="7088" w:type="dxa"/>
            <w:gridSpan w:val="7"/>
            <w:shd w:val="clear" w:color="auto" w:fill="auto"/>
          </w:tcPr>
          <w:p w:rsidR="00E95FB1" w:rsidRPr="00C86B34" w:rsidRDefault="00E95FB1" w:rsidP="001B3967">
            <w:pPr>
              <w:pStyle w:val="a7"/>
              <w:ind w:left="0"/>
              <w:rPr>
                <w:sz w:val="22"/>
              </w:rPr>
            </w:pPr>
            <w:r w:rsidRPr="00C86B34">
              <w:rPr>
                <w:sz w:val="22"/>
              </w:rPr>
              <w:t>Сєвєродонецька міська територіальна громада</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rPr>
            </w:pPr>
            <w:r w:rsidRPr="00C86B34">
              <w:rPr>
                <w:b/>
                <w:sz w:val="22"/>
              </w:rPr>
              <w:t>Чисельність населення, на яке матиме вплив реалізація проекту</w:t>
            </w:r>
          </w:p>
        </w:tc>
        <w:tc>
          <w:tcPr>
            <w:tcW w:w="7088" w:type="dxa"/>
            <w:gridSpan w:val="7"/>
            <w:shd w:val="clear" w:color="auto" w:fill="auto"/>
          </w:tcPr>
          <w:p w:rsidR="00E95FB1" w:rsidRPr="00C86B34" w:rsidRDefault="00E95FB1" w:rsidP="001B3967">
            <w:pPr>
              <w:pStyle w:val="a7"/>
              <w:ind w:left="0"/>
              <w:rPr>
                <w:sz w:val="22"/>
              </w:rPr>
            </w:pPr>
            <w:r w:rsidRPr="00C86B34">
              <w:rPr>
                <w:sz w:val="22"/>
              </w:rPr>
              <w:t xml:space="preserve"> 70 000  осіб</w:t>
            </w:r>
          </w:p>
        </w:tc>
      </w:tr>
      <w:tr w:rsidR="00E95FB1" w:rsidRPr="00C86B34" w:rsidTr="001B3967">
        <w:tc>
          <w:tcPr>
            <w:tcW w:w="2694" w:type="dxa"/>
            <w:shd w:val="clear" w:color="auto" w:fill="C6D9F1" w:themeFill="text2" w:themeFillTint="33"/>
          </w:tcPr>
          <w:p w:rsidR="00E95FB1" w:rsidRPr="00C86B34" w:rsidRDefault="00E95FB1" w:rsidP="001B3967">
            <w:pPr>
              <w:rPr>
                <w:b/>
                <w:sz w:val="22"/>
              </w:rPr>
            </w:pPr>
            <w:r w:rsidRPr="00C86B34">
              <w:rPr>
                <w:b/>
                <w:sz w:val="22"/>
              </w:rPr>
              <w:t>Опис проблеми, на вирішення якої  спрямований проект</w:t>
            </w:r>
          </w:p>
        </w:tc>
        <w:tc>
          <w:tcPr>
            <w:tcW w:w="7088" w:type="dxa"/>
            <w:gridSpan w:val="7"/>
            <w:shd w:val="clear" w:color="auto" w:fill="auto"/>
          </w:tcPr>
          <w:p w:rsidR="00E95FB1" w:rsidRPr="00C86B34" w:rsidRDefault="00E95FB1" w:rsidP="001B3967">
            <w:pPr>
              <w:ind w:firstLine="634"/>
              <w:rPr>
                <w:sz w:val="22"/>
              </w:rPr>
            </w:pPr>
            <w:r w:rsidRPr="00C86B34">
              <w:rPr>
                <w:sz w:val="22"/>
              </w:rPr>
              <w:t>Через військову агресію РФ територія Сєвєродонецької міської територіальної громади зазнала значних пошкоджень. Пошкоджена або зруйнована практично вся інфраструктура громади.</w:t>
            </w:r>
          </w:p>
          <w:p w:rsidR="00E95FB1" w:rsidRPr="00C86B34" w:rsidRDefault="00E95FB1" w:rsidP="001B3967">
            <w:pPr>
              <w:ind w:firstLine="63"/>
              <w:rPr>
                <w:sz w:val="22"/>
              </w:rPr>
            </w:pPr>
            <w:r w:rsidRPr="00C86B34">
              <w:rPr>
                <w:sz w:val="22"/>
              </w:rPr>
              <w:t xml:space="preserve">Пошкоджене майно, яке потребує ремонту та </w:t>
            </w:r>
            <w:proofErr w:type="spellStart"/>
            <w:r w:rsidRPr="00C86B34">
              <w:rPr>
                <w:sz w:val="22"/>
              </w:rPr>
              <w:t>вiдновлення</w:t>
            </w:r>
            <w:proofErr w:type="spellEnd"/>
            <w:r w:rsidRPr="00C86B34">
              <w:rPr>
                <w:sz w:val="22"/>
              </w:rPr>
              <w:t xml:space="preserve"> в клубах комплексу та ДЗОВ «Альянс»;</w:t>
            </w:r>
          </w:p>
          <w:p w:rsidR="00E95FB1" w:rsidRPr="00C86B34" w:rsidRDefault="00E95FB1" w:rsidP="001B3967">
            <w:pPr>
              <w:ind w:firstLine="63"/>
              <w:rPr>
                <w:sz w:val="22"/>
              </w:rPr>
            </w:pPr>
            <w:r w:rsidRPr="00C86B34">
              <w:rPr>
                <w:sz w:val="22"/>
              </w:rPr>
              <w:t xml:space="preserve">Необхідно створити </w:t>
            </w:r>
            <w:proofErr w:type="spellStart"/>
            <w:r w:rsidRPr="00C86B34">
              <w:rPr>
                <w:sz w:val="22"/>
              </w:rPr>
              <w:t>матерiально-технiчну</w:t>
            </w:r>
            <w:proofErr w:type="spellEnd"/>
            <w:r w:rsidRPr="00C86B34">
              <w:rPr>
                <w:sz w:val="22"/>
              </w:rPr>
              <w:t xml:space="preserve"> базу для забезпечення розвитку </w:t>
            </w:r>
            <w:proofErr w:type="spellStart"/>
            <w:r w:rsidRPr="00C86B34">
              <w:rPr>
                <w:sz w:val="22"/>
              </w:rPr>
              <w:t>якiсної</w:t>
            </w:r>
            <w:proofErr w:type="spellEnd"/>
            <w:r w:rsidRPr="00C86B34">
              <w:rPr>
                <w:sz w:val="22"/>
              </w:rPr>
              <w:t xml:space="preserve"> позашкільної освіти на території Сєвєродонецької міської територіальної громади.</w:t>
            </w:r>
          </w:p>
        </w:tc>
      </w:tr>
      <w:tr w:rsidR="00E95FB1" w:rsidRPr="00C86B34" w:rsidTr="001B3967">
        <w:trPr>
          <w:trHeight w:val="1020"/>
        </w:trPr>
        <w:tc>
          <w:tcPr>
            <w:tcW w:w="2694" w:type="dxa"/>
            <w:shd w:val="clear" w:color="auto" w:fill="C6D9F1" w:themeFill="text2" w:themeFillTint="33"/>
          </w:tcPr>
          <w:p w:rsidR="00E95FB1" w:rsidRPr="00C86B34" w:rsidRDefault="00E95FB1" w:rsidP="001B3967">
            <w:pPr>
              <w:pStyle w:val="a7"/>
              <w:ind w:left="0"/>
              <w:rPr>
                <w:b/>
                <w:sz w:val="22"/>
              </w:rPr>
            </w:pPr>
            <w:r w:rsidRPr="00C86B34">
              <w:rPr>
                <w:b/>
                <w:sz w:val="22"/>
              </w:rPr>
              <w:t>Очікувані якісні результати від реалізації проекту</w:t>
            </w:r>
          </w:p>
        </w:tc>
        <w:tc>
          <w:tcPr>
            <w:tcW w:w="7088" w:type="dxa"/>
            <w:gridSpan w:val="7"/>
            <w:shd w:val="clear" w:color="auto" w:fill="auto"/>
          </w:tcPr>
          <w:p w:rsidR="00E95FB1" w:rsidRPr="00C86B34" w:rsidRDefault="00E95FB1" w:rsidP="001B3967">
            <w:pPr>
              <w:tabs>
                <w:tab w:val="left" w:pos="615"/>
              </w:tabs>
              <w:autoSpaceDE w:val="0"/>
              <w:autoSpaceDN w:val="0"/>
              <w:adjustRightInd w:val="0"/>
              <w:rPr>
                <w:rFonts w:eastAsia="Calibri"/>
                <w:color w:val="000000"/>
                <w:sz w:val="22"/>
              </w:rPr>
            </w:pPr>
            <w:r w:rsidRPr="00C86B34">
              <w:rPr>
                <w:rFonts w:eastAsia="Calibri"/>
                <w:color w:val="000000"/>
                <w:sz w:val="22"/>
              </w:rPr>
              <w:t>- створення та забезпечення сучасних умов для дітей та молоді у здобутті якісної позашкільної освіти для самореалізації можливостей і потреб кожного громадянина міста;</w:t>
            </w:r>
          </w:p>
          <w:p w:rsidR="00E95FB1" w:rsidRPr="00C86B34" w:rsidRDefault="00E95FB1" w:rsidP="001B3967">
            <w:pPr>
              <w:tabs>
                <w:tab w:val="left" w:pos="615"/>
              </w:tabs>
              <w:autoSpaceDE w:val="0"/>
              <w:autoSpaceDN w:val="0"/>
              <w:adjustRightInd w:val="0"/>
              <w:rPr>
                <w:rFonts w:eastAsia="Calibri"/>
                <w:color w:val="000000"/>
                <w:sz w:val="22"/>
              </w:rPr>
            </w:pPr>
            <w:r w:rsidRPr="00C86B34">
              <w:rPr>
                <w:rFonts w:eastAsia="Calibri"/>
                <w:color w:val="000000"/>
                <w:sz w:val="22"/>
              </w:rPr>
              <w:t>- створення ефективної виховної системи національно-патріотичного виховання молоді в клубах СДЮК «Юність»;</w:t>
            </w:r>
          </w:p>
          <w:p w:rsidR="00E95FB1" w:rsidRPr="00C86B34" w:rsidRDefault="00E95FB1" w:rsidP="001B3967">
            <w:pPr>
              <w:pStyle w:val="a7"/>
              <w:ind w:left="0" w:right="53"/>
              <w:rPr>
                <w:rFonts w:eastAsia="Calibri"/>
                <w:color w:val="000000"/>
                <w:sz w:val="22"/>
              </w:rPr>
            </w:pPr>
            <w:r w:rsidRPr="00C86B34">
              <w:rPr>
                <w:rFonts w:eastAsia="Calibri"/>
                <w:color w:val="000000"/>
                <w:sz w:val="22"/>
              </w:rPr>
              <w:lastRenderedPageBreak/>
              <w:t xml:space="preserve">- отримання зацікавлених, </w:t>
            </w:r>
            <w:proofErr w:type="spellStart"/>
            <w:r w:rsidRPr="00C86B34">
              <w:rPr>
                <w:rFonts w:eastAsia="Calibri"/>
                <w:color w:val="000000"/>
                <w:sz w:val="22"/>
              </w:rPr>
              <w:t>інтелектуально</w:t>
            </w:r>
            <w:proofErr w:type="spellEnd"/>
            <w:r w:rsidRPr="00C86B34">
              <w:rPr>
                <w:rFonts w:eastAsia="Calibri"/>
                <w:color w:val="000000"/>
                <w:sz w:val="22"/>
              </w:rPr>
              <w:t xml:space="preserve"> розвинених, соціально адаптованих вихованців, здібних до професійного самовизначення, саморозвитку, навчання, готових до участі та </w:t>
            </w:r>
            <w:proofErr w:type="spellStart"/>
            <w:r w:rsidRPr="00C86B34">
              <w:rPr>
                <w:rFonts w:eastAsia="Calibri"/>
                <w:color w:val="000000"/>
                <w:sz w:val="22"/>
              </w:rPr>
              <w:t>перемог</w:t>
            </w:r>
            <w:proofErr w:type="spellEnd"/>
            <w:r w:rsidRPr="00C86B34">
              <w:rPr>
                <w:rFonts w:eastAsia="Calibri"/>
                <w:color w:val="000000"/>
                <w:sz w:val="22"/>
              </w:rPr>
              <w:t xml:space="preserve"> у інтелектуальних змаганнях</w:t>
            </w:r>
          </w:p>
          <w:p w:rsidR="00E95FB1" w:rsidRPr="00C86B34" w:rsidRDefault="00E95FB1" w:rsidP="001B3967">
            <w:pPr>
              <w:pStyle w:val="a7"/>
              <w:ind w:left="0" w:right="53"/>
              <w:rPr>
                <w:sz w:val="22"/>
              </w:rPr>
            </w:pPr>
            <w:r w:rsidRPr="00C86B34">
              <w:rPr>
                <w:sz w:val="22"/>
              </w:rPr>
              <w:t>- створення нових робочих місць;</w:t>
            </w:r>
          </w:p>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 відновлення інфраструктури міста;</w:t>
            </w:r>
          </w:p>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 побудова соціального простору, поліпшення інформаційно-освітньої, соціальної інфраструктури;</w:t>
            </w:r>
          </w:p>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 xml:space="preserve">- реалізація відповідних </w:t>
            </w:r>
            <w:proofErr w:type="spellStart"/>
            <w:r w:rsidRPr="00C86B34">
              <w:rPr>
                <w:rFonts w:eastAsia="Calibri"/>
                <w:color w:val="000000"/>
                <w:sz w:val="22"/>
              </w:rPr>
              <w:t>про</w:t>
            </w:r>
            <w:r w:rsidR="007530B5" w:rsidRPr="00C86B34">
              <w:rPr>
                <w:rFonts w:eastAsia="Calibri"/>
                <w:color w:val="000000"/>
                <w:sz w:val="22"/>
              </w:rPr>
              <w:t>є</w:t>
            </w:r>
            <w:r w:rsidRPr="00C86B34">
              <w:rPr>
                <w:rFonts w:eastAsia="Calibri"/>
                <w:color w:val="000000"/>
                <w:sz w:val="22"/>
              </w:rPr>
              <w:t>ктів</w:t>
            </w:r>
            <w:proofErr w:type="spellEnd"/>
            <w:r w:rsidRPr="00C86B34">
              <w:rPr>
                <w:rFonts w:eastAsia="Calibri"/>
                <w:color w:val="000000"/>
                <w:sz w:val="22"/>
              </w:rPr>
              <w:t xml:space="preserve"> і програм</w:t>
            </w:r>
            <w:r w:rsidR="007530B5" w:rsidRPr="00C86B34">
              <w:rPr>
                <w:rFonts w:eastAsia="Calibri"/>
                <w:color w:val="000000"/>
                <w:sz w:val="22"/>
              </w:rPr>
              <w:t>,</w:t>
            </w:r>
            <w:r w:rsidRPr="00C86B34">
              <w:rPr>
                <w:rFonts w:eastAsia="Calibri"/>
                <w:color w:val="000000"/>
                <w:sz w:val="22"/>
              </w:rPr>
              <w:t xml:space="preserve"> спрямованих на розвиток молоді, популяризацію спорту серед молоді, створення належних умов для забезпечення повноцінного розвитку молоді;</w:t>
            </w:r>
          </w:p>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 відновлення та розбудова міської системи надання позашкільної освіти;</w:t>
            </w:r>
          </w:p>
          <w:p w:rsidR="00E95FB1" w:rsidRPr="00C86B34" w:rsidRDefault="00E95FB1" w:rsidP="001B3967">
            <w:pPr>
              <w:pStyle w:val="a7"/>
              <w:ind w:left="0" w:right="53"/>
              <w:rPr>
                <w:sz w:val="22"/>
              </w:rPr>
            </w:pPr>
            <w:r w:rsidRPr="00C86B34">
              <w:rPr>
                <w:sz w:val="22"/>
              </w:rPr>
              <w:t>- стимулювання ВПО та громадян Сєвєродонецької міської територіальної громади  до повернення.</w:t>
            </w:r>
          </w:p>
        </w:tc>
      </w:tr>
      <w:tr w:rsidR="00E95FB1" w:rsidRPr="00C86B34" w:rsidTr="001B3967">
        <w:trPr>
          <w:trHeight w:val="390"/>
        </w:trPr>
        <w:tc>
          <w:tcPr>
            <w:tcW w:w="2694" w:type="dxa"/>
            <w:vMerge w:val="restart"/>
            <w:shd w:val="clear" w:color="auto" w:fill="C6D9F1" w:themeFill="text2" w:themeFillTint="33"/>
          </w:tcPr>
          <w:p w:rsidR="00E95FB1" w:rsidRPr="00C86B34" w:rsidRDefault="00E95FB1" w:rsidP="001B3967">
            <w:pPr>
              <w:pStyle w:val="a7"/>
              <w:ind w:left="0"/>
              <w:rPr>
                <w:b/>
                <w:sz w:val="22"/>
              </w:rPr>
            </w:pPr>
            <w:r w:rsidRPr="00C86B34">
              <w:rPr>
                <w:b/>
                <w:sz w:val="22"/>
              </w:rPr>
              <w:lastRenderedPageBreak/>
              <w:t xml:space="preserve">Очікувані кількісні результати реалізації </w:t>
            </w:r>
            <w:proofErr w:type="spellStart"/>
            <w:r w:rsidRPr="00C86B34">
              <w:rPr>
                <w:b/>
                <w:sz w:val="22"/>
              </w:rPr>
              <w:t>проєкту</w:t>
            </w:r>
            <w:proofErr w:type="spellEnd"/>
            <w:r w:rsidRPr="00C86B34">
              <w:rPr>
                <w:b/>
                <w:sz w:val="22"/>
              </w:rPr>
              <w:t xml:space="preserve"> (індикатори)</w:t>
            </w:r>
          </w:p>
          <w:p w:rsidR="00E95FB1" w:rsidRPr="00C86B34" w:rsidRDefault="00E95FB1" w:rsidP="001B3967">
            <w:pPr>
              <w:pStyle w:val="a7"/>
              <w:ind w:left="0"/>
              <w:rPr>
                <w:b/>
                <w:sz w:val="22"/>
              </w:rPr>
            </w:pPr>
          </w:p>
        </w:tc>
        <w:tc>
          <w:tcPr>
            <w:tcW w:w="3608" w:type="dxa"/>
            <w:gridSpan w:val="3"/>
            <w:tcBorders>
              <w:bottom w:val="single" w:sz="4" w:space="0" w:color="auto"/>
              <w:right w:val="single" w:sz="4" w:space="0" w:color="auto"/>
            </w:tcBorders>
            <w:shd w:val="clear" w:color="auto" w:fill="auto"/>
            <w:vAlign w:val="center"/>
          </w:tcPr>
          <w:p w:rsidR="00E95FB1" w:rsidRPr="00C86B34" w:rsidRDefault="00E95FB1" w:rsidP="001B3967">
            <w:pPr>
              <w:pStyle w:val="a7"/>
              <w:ind w:left="-108"/>
              <w:jc w:val="center"/>
              <w:rPr>
                <w:b/>
                <w:i/>
                <w:sz w:val="22"/>
              </w:rPr>
            </w:pPr>
            <w:r w:rsidRPr="00C86B34">
              <w:rPr>
                <w:b/>
                <w:i/>
                <w:sz w:val="22"/>
              </w:rPr>
              <w:t>Найменування показника</w:t>
            </w:r>
          </w:p>
        </w:tc>
        <w:tc>
          <w:tcPr>
            <w:tcW w:w="1701" w:type="dxa"/>
            <w:gridSpan w:val="2"/>
            <w:tcBorders>
              <w:left w:val="single" w:sz="4" w:space="0" w:color="auto"/>
              <w:bottom w:val="single" w:sz="4" w:space="0" w:color="auto"/>
              <w:right w:val="single" w:sz="4" w:space="0" w:color="auto"/>
            </w:tcBorders>
            <w:shd w:val="clear" w:color="auto" w:fill="auto"/>
            <w:vAlign w:val="center"/>
          </w:tcPr>
          <w:p w:rsidR="00E95FB1" w:rsidRPr="00C86B34" w:rsidRDefault="00E95FB1" w:rsidP="001B3967">
            <w:pPr>
              <w:pStyle w:val="a7"/>
              <w:ind w:left="0"/>
              <w:jc w:val="center"/>
              <w:rPr>
                <w:b/>
                <w:i/>
                <w:sz w:val="22"/>
              </w:rPr>
            </w:pPr>
            <w:r w:rsidRPr="00C86B34">
              <w:rPr>
                <w:b/>
                <w:i/>
                <w:sz w:val="22"/>
              </w:rPr>
              <w:t>Одиниця вимірювання</w:t>
            </w:r>
          </w:p>
          <w:p w:rsidR="00E95FB1" w:rsidRPr="00C86B34" w:rsidRDefault="00E95FB1" w:rsidP="001B3967">
            <w:pPr>
              <w:pStyle w:val="a7"/>
              <w:ind w:left="0"/>
              <w:jc w:val="center"/>
              <w:rPr>
                <w:b/>
                <w:i/>
                <w:sz w:val="22"/>
              </w:rPr>
            </w:pPr>
          </w:p>
        </w:tc>
        <w:tc>
          <w:tcPr>
            <w:tcW w:w="1779" w:type="dxa"/>
            <w:gridSpan w:val="2"/>
            <w:tcBorders>
              <w:left w:val="single" w:sz="4" w:space="0" w:color="auto"/>
              <w:bottom w:val="single" w:sz="4" w:space="0" w:color="auto"/>
            </w:tcBorders>
            <w:shd w:val="clear" w:color="auto" w:fill="auto"/>
            <w:vAlign w:val="center"/>
          </w:tcPr>
          <w:p w:rsidR="00E95FB1" w:rsidRPr="00C86B34" w:rsidRDefault="00E95FB1" w:rsidP="001B3967">
            <w:pPr>
              <w:pStyle w:val="a7"/>
              <w:ind w:left="0"/>
              <w:jc w:val="center"/>
              <w:rPr>
                <w:b/>
                <w:i/>
                <w:sz w:val="22"/>
              </w:rPr>
            </w:pPr>
            <w:r w:rsidRPr="00C86B34">
              <w:rPr>
                <w:b/>
                <w:i/>
                <w:sz w:val="22"/>
              </w:rPr>
              <w:t>Прогнозне (цільове) значення</w:t>
            </w:r>
          </w:p>
        </w:tc>
      </w:tr>
      <w:tr w:rsidR="00E95FB1" w:rsidRPr="00C86B34" w:rsidTr="001B3967">
        <w:trPr>
          <w:trHeight w:val="585"/>
        </w:trPr>
        <w:tc>
          <w:tcPr>
            <w:tcW w:w="2694" w:type="dxa"/>
            <w:vMerge/>
            <w:shd w:val="clear" w:color="auto" w:fill="C6D9F1" w:themeFill="text2" w:themeFillTint="33"/>
          </w:tcPr>
          <w:p w:rsidR="00E95FB1" w:rsidRPr="00C86B34" w:rsidRDefault="00E95FB1" w:rsidP="001B3967">
            <w:pPr>
              <w:pStyle w:val="a7"/>
              <w:ind w:left="0"/>
              <w:rPr>
                <w:b/>
                <w:sz w:val="22"/>
              </w:rPr>
            </w:pPr>
          </w:p>
        </w:tc>
        <w:tc>
          <w:tcPr>
            <w:tcW w:w="3608" w:type="dxa"/>
            <w:gridSpan w:val="3"/>
            <w:tcBorders>
              <w:top w:val="single" w:sz="4" w:space="0" w:color="auto"/>
              <w:bottom w:val="single" w:sz="4" w:space="0" w:color="auto"/>
              <w:right w:val="single" w:sz="4" w:space="0" w:color="auto"/>
            </w:tcBorders>
            <w:shd w:val="clear" w:color="auto" w:fill="auto"/>
          </w:tcPr>
          <w:p w:rsidR="00E95FB1" w:rsidRPr="00C86B34" w:rsidRDefault="00E95FB1" w:rsidP="001B3967">
            <w:pPr>
              <w:pStyle w:val="a7"/>
              <w:ind w:left="0"/>
              <w:jc w:val="center"/>
              <w:rPr>
                <w:sz w:val="22"/>
              </w:rPr>
            </w:pPr>
            <w:r w:rsidRPr="00C86B34">
              <w:rPr>
                <w:sz w:val="22"/>
              </w:rPr>
              <w:t>Кількість здобувачів позашкільної освіти</w:t>
            </w:r>
          </w:p>
          <w:p w:rsidR="00E95FB1" w:rsidRPr="00C86B34" w:rsidRDefault="00E95FB1" w:rsidP="001B3967">
            <w:pPr>
              <w:pStyle w:val="a7"/>
              <w:ind w:left="0"/>
              <w:jc w:val="center"/>
              <w:rPr>
                <w:sz w:val="22"/>
              </w:rPr>
            </w:pPr>
            <w:r w:rsidRPr="00C86B34">
              <w:rPr>
                <w:sz w:val="22"/>
              </w:rPr>
              <w:t>(рік)</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95FB1" w:rsidRPr="00C86B34" w:rsidRDefault="00E95FB1" w:rsidP="001B3967">
            <w:pPr>
              <w:pStyle w:val="a7"/>
              <w:ind w:left="0"/>
              <w:jc w:val="center"/>
              <w:rPr>
                <w:sz w:val="22"/>
              </w:rPr>
            </w:pPr>
            <w:r w:rsidRPr="00C86B34">
              <w:rPr>
                <w:sz w:val="22"/>
              </w:rPr>
              <w:t xml:space="preserve"> осіб</w:t>
            </w:r>
          </w:p>
        </w:tc>
        <w:tc>
          <w:tcPr>
            <w:tcW w:w="1779" w:type="dxa"/>
            <w:gridSpan w:val="2"/>
            <w:tcBorders>
              <w:top w:val="single" w:sz="4" w:space="0" w:color="auto"/>
              <w:left w:val="single" w:sz="4" w:space="0" w:color="auto"/>
              <w:bottom w:val="single" w:sz="4" w:space="0" w:color="auto"/>
            </w:tcBorders>
            <w:shd w:val="clear" w:color="auto" w:fill="auto"/>
          </w:tcPr>
          <w:p w:rsidR="00E95FB1" w:rsidRPr="00C86B34" w:rsidRDefault="00E95FB1" w:rsidP="001B3967">
            <w:pPr>
              <w:pStyle w:val="a7"/>
              <w:ind w:left="0"/>
              <w:jc w:val="center"/>
              <w:rPr>
                <w:b/>
                <w:sz w:val="22"/>
              </w:rPr>
            </w:pPr>
          </w:p>
          <w:p w:rsidR="00E95FB1" w:rsidRPr="00C86B34" w:rsidRDefault="00E95FB1" w:rsidP="001B3967">
            <w:pPr>
              <w:jc w:val="center"/>
              <w:rPr>
                <w:sz w:val="22"/>
              </w:rPr>
            </w:pPr>
            <w:r w:rsidRPr="00C86B34">
              <w:rPr>
                <w:sz w:val="22"/>
              </w:rPr>
              <w:t>1300</w:t>
            </w:r>
          </w:p>
        </w:tc>
      </w:tr>
      <w:tr w:rsidR="00E95FB1" w:rsidRPr="00C86B34" w:rsidTr="001B3967">
        <w:trPr>
          <w:trHeight w:val="184"/>
        </w:trPr>
        <w:tc>
          <w:tcPr>
            <w:tcW w:w="2694" w:type="dxa"/>
            <w:vMerge/>
            <w:shd w:val="clear" w:color="auto" w:fill="C6D9F1" w:themeFill="text2" w:themeFillTint="33"/>
          </w:tcPr>
          <w:p w:rsidR="00E95FB1" w:rsidRPr="00C86B34" w:rsidRDefault="00E95FB1" w:rsidP="001B3967">
            <w:pPr>
              <w:pStyle w:val="a7"/>
              <w:ind w:left="0"/>
              <w:rPr>
                <w:b/>
                <w:sz w:val="22"/>
              </w:rPr>
            </w:pPr>
          </w:p>
        </w:tc>
        <w:tc>
          <w:tcPr>
            <w:tcW w:w="3608" w:type="dxa"/>
            <w:gridSpan w:val="3"/>
            <w:tcBorders>
              <w:top w:val="single" w:sz="4" w:space="0" w:color="auto"/>
              <w:bottom w:val="single" w:sz="4" w:space="0" w:color="auto"/>
              <w:right w:val="single" w:sz="4" w:space="0" w:color="auto"/>
            </w:tcBorders>
            <w:shd w:val="clear" w:color="auto" w:fill="auto"/>
          </w:tcPr>
          <w:p w:rsidR="00E95FB1" w:rsidRPr="00C86B34" w:rsidRDefault="00E95FB1" w:rsidP="001B3967">
            <w:pPr>
              <w:pStyle w:val="a7"/>
              <w:ind w:left="0"/>
              <w:jc w:val="center"/>
              <w:rPr>
                <w:sz w:val="22"/>
              </w:rPr>
            </w:pPr>
            <w:r w:rsidRPr="00C86B34">
              <w:rPr>
                <w:sz w:val="22"/>
              </w:rPr>
              <w:t>Кількість напрямків навчання</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95FB1" w:rsidRPr="00C86B34" w:rsidRDefault="00E95FB1" w:rsidP="001B3967">
            <w:pPr>
              <w:pStyle w:val="a7"/>
              <w:ind w:left="0"/>
              <w:jc w:val="center"/>
              <w:rPr>
                <w:sz w:val="22"/>
              </w:rPr>
            </w:pPr>
            <w:r w:rsidRPr="00C86B34">
              <w:rPr>
                <w:sz w:val="22"/>
              </w:rPr>
              <w:t>одиниць</w:t>
            </w:r>
          </w:p>
        </w:tc>
        <w:tc>
          <w:tcPr>
            <w:tcW w:w="1779" w:type="dxa"/>
            <w:gridSpan w:val="2"/>
            <w:tcBorders>
              <w:top w:val="single" w:sz="4" w:space="0" w:color="auto"/>
              <w:left w:val="single" w:sz="4" w:space="0" w:color="auto"/>
              <w:bottom w:val="single" w:sz="4" w:space="0" w:color="auto"/>
            </w:tcBorders>
            <w:shd w:val="clear" w:color="auto" w:fill="auto"/>
          </w:tcPr>
          <w:p w:rsidR="00E95FB1" w:rsidRPr="00C86B34" w:rsidRDefault="00E95FB1" w:rsidP="001B3967">
            <w:pPr>
              <w:pStyle w:val="a7"/>
              <w:ind w:left="0"/>
              <w:jc w:val="center"/>
              <w:rPr>
                <w:sz w:val="22"/>
              </w:rPr>
            </w:pPr>
          </w:p>
          <w:p w:rsidR="00E95FB1" w:rsidRPr="00C86B34" w:rsidRDefault="00E95FB1" w:rsidP="001B3967">
            <w:pPr>
              <w:pStyle w:val="a7"/>
              <w:ind w:left="0"/>
              <w:jc w:val="center"/>
              <w:rPr>
                <w:sz w:val="22"/>
              </w:rPr>
            </w:pPr>
            <w:r w:rsidRPr="00C86B34">
              <w:rPr>
                <w:sz w:val="22"/>
              </w:rPr>
              <w:t>5</w:t>
            </w:r>
          </w:p>
        </w:tc>
      </w:tr>
      <w:tr w:rsidR="00E95FB1" w:rsidRPr="00C86B34" w:rsidTr="001B3967">
        <w:trPr>
          <w:trHeight w:val="165"/>
        </w:trPr>
        <w:tc>
          <w:tcPr>
            <w:tcW w:w="2694" w:type="dxa"/>
            <w:vMerge/>
            <w:shd w:val="clear" w:color="auto" w:fill="C6D9F1" w:themeFill="text2" w:themeFillTint="33"/>
          </w:tcPr>
          <w:p w:rsidR="00E95FB1" w:rsidRPr="00C86B34" w:rsidRDefault="00E95FB1" w:rsidP="001B3967">
            <w:pPr>
              <w:pStyle w:val="a7"/>
              <w:ind w:left="0"/>
              <w:rPr>
                <w:b/>
                <w:sz w:val="22"/>
              </w:rPr>
            </w:pPr>
          </w:p>
        </w:tc>
        <w:tc>
          <w:tcPr>
            <w:tcW w:w="3608" w:type="dxa"/>
            <w:gridSpan w:val="3"/>
            <w:tcBorders>
              <w:top w:val="single" w:sz="4" w:space="0" w:color="auto"/>
              <w:bottom w:val="single" w:sz="4" w:space="0" w:color="auto"/>
              <w:right w:val="single" w:sz="4" w:space="0" w:color="auto"/>
            </w:tcBorders>
            <w:shd w:val="clear" w:color="auto" w:fill="auto"/>
          </w:tcPr>
          <w:p w:rsidR="00E95FB1" w:rsidRPr="00C86B34" w:rsidRDefault="00E95FB1" w:rsidP="001B3967">
            <w:pPr>
              <w:pStyle w:val="a7"/>
              <w:ind w:left="0"/>
              <w:jc w:val="center"/>
              <w:rPr>
                <w:sz w:val="22"/>
              </w:rPr>
            </w:pPr>
            <w:r w:rsidRPr="00C86B34">
              <w:rPr>
                <w:sz w:val="22"/>
              </w:rPr>
              <w:t>Середньомісячна кількість годин навчань (в місяць)</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95FB1" w:rsidRPr="00C86B34" w:rsidRDefault="00E95FB1" w:rsidP="001B3967">
            <w:pPr>
              <w:pStyle w:val="a7"/>
              <w:ind w:left="0"/>
              <w:jc w:val="center"/>
              <w:rPr>
                <w:sz w:val="22"/>
              </w:rPr>
            </w:pPr>
            <w:r w:rsidRPr="00C86B34">
              <w:rPr>
                <w:sz w:val="22"/>
              </w:rPr>
              <w:t>одиниць</w:t>
            </w:r>
          </w:p>
        </w:tc>
        <w:tc>
          <w:tcPr>
            <w:tcW w:w="1779" w:type="dxa"/>
            <w:gridSpan w:val="2"/>
            <w:tcBorders>
              <w:top w:val="single" w:sz="4" w:space="0" w:color="auto"/>
              <w:left w:val="single" w:sz="4" w:space="0" w:color="auto"/>
              <w:bottom w:val="single" w:sz="4" w:space="0" w:color="auto"/>
            </w:tcBorders>
            <w:shd w:val="clear" w:color="auto" w:fill="auto"/>
          </w:tcPr>
          <w:p w:rsidR="00E95FB1" w:rsidRPr="00C86B34" w:rsidRDefault="00E95FB1" w:rsidP="001B3967">
            <w:pPr>
              <w:pStyle w:val="a7"/>
              <w:ind w:left="0"/>
              <w:jc w:val="center"/>
              <w:rPr>
                <w:sz w:val="22"/>
              </w:rPr>
            </w:pPr>
          </w:p>
          <w:p w:rsidR="00E95FB1" w:rsidRPr="00C86B34" w:rsidRDefault="00E95FB1" w:rsidP="001B3967">
            <w:pPr>
              <w:pStyle w:val="a7"/>
              <w:ind w:left="0"/>
              <w:jc w:val="center"/>
              <w:rPr>
                <w:sz w:val="22"/>
              </w:rPr>
            </w:pPr>
            <w:r w:rsidRPr="00C86B34">
              <w:rPr>
                <w:sz w:val="22"/>
              </w:rPr>
              <w:t>2150</w:t>
            </w:r>
          </w:p>
        </w:tc>
      </w:tr>
      <w:tr w:rsidR="00E95FB1" w:rsidRPr="00C86B34" w:rsidTr="001B3967">
        <w:trPr>
          <w:trHeight w:val="150"/>
        </w:trPr>
        <w:tc>
          <w:tcPr>
            <w:tcW w:w="2694" w:type="dxa"/>
            <w:vMerge/>
            <w:shd w:val="clear" w:color="auto" w:fill="C6D9F1" w:themeFill="text2" w:themeFillTint="33"/>
          </w:tcPr>
          <w:p w:rsidR="00E95FB1" w:rsidRPr="00C86B34" w:rsidRDefault="00E95FB1" w:rsidP="001B3967">
            <w:pPr>
              <w:pStyle w:val="a7"/>
              <w:ind w:left="0"/>
              <w:rPr>
                <w:b/>
                <w:sz w:val="22"/>
              </w:rPr>
            </w:pPr>
          </w:p>
        </w:tc>
        <w:tc>
          <w:tcPr>
            <w:tcW w:w="3608" w:type="dxa"/>
            <w:gridSpan w:val="3"/>
            <w:tcBorders>
              <w:top w:val="single" w:sz="4" w:space="0" w:color="auto"/>
              <w:right w:val="single" w:sz="4" w:space="0" w:color="auto"/>
            </w:tcBorders>
            <w:shd w:val="clear" w:color="auto" w:fill="auto"/>
          </w:tcPr>
          <w:p w:rsidR="00E95FB1" w:rsidRPr="00C86B34" w:rsidRDefault="00E95FB1" w:rsidP="001B3967">
            <w:pPr>
              <w:pStyle w:val="a7"/>
              <w:ind w:left="0"/>
              <w:jc w:val="center"/>
              <w:rPr>
                <w:sz w:val="22"/>
              </w:rPr>
            </w:pPr>
            <w:r w:rsidRPr="00C86B34">
              <w:rPr>
                <w:sz w:val="22"/>
              </w:rPr>
              <w:t>Середньомісячна кількість проведених заходів (в місяць)</w:t>
            </w:r>
          </w:p>
        </w:tc>
        <w:tc>
          <w:tcPr>
            <w:tcW w:w="1701" w:type="dxa"/>
            <w:gridSpan w:val="2"/>
            <w:tcBorders>
              <w:top w:val="single" w:sz="4" w:space="0" w:color="auto"/>
              <w:left w:val="single" w:sz="4" w:space="0" w:color="auto"/>
              <w:right w:val="single" w:sz="4" w:space="0" w:color="auto"/>
            </w:tcBorders>
            <w:shd w:val="clear" w:color="auto" w:fill="auto"/>
            <w:vAlign w:val="center"/>
          </w:tcPr>
          <w:p w:rsidR="00E95FB1" w:rsidRPr="00C86B34" w:rsidRDefault="00E95FB1" w:rsidP="001B3967">
            <w:pPr>
              <w:pStyle w:val="a7"/>
              <w:ind w:left="0"/>
              <w:jc w:val="center"/>
              <w:rPr>
                <w:sz w:val="22"/>
              </w:rPr>
            </w:pPr>
            <w:r w:rsidRPr="00C86B34">
              <w:rPr>
                <w:sz w:val="22"/>
              </w:rPr>
              <w:t>одиниць</w:t>
            </w:r>
          </w:p>
        </w:tc>
        <w:tc>
          <w:tcPr>
            <w:tcW w:w="1779" w:type="dxa"/>
            <w:gridSpan w:val="2"/>
            <w:tcBorders>
              <w:top w:val="single" w:sz="4" w:space="0" w:color="auto"/>
              <w:left w:val="single" w:sz="4" w:space="0" w:color="auto"/>
            </w:tcBorders>
            <w:shd w:val="clear" w:color="auto" w:fill="auto"/>
          </w:tcPr>
          <w:p w:rsidR="00E95FB1" w:rsidRPr="00C86B34" w:rsidRDefault="00E95FB1" w:rsidP="001B3967">
            <w:pPr>
              <w:pStyle w:val="a7"/>
              <w:ind w:left="0"/>
              <w:jc w:val="center"/>
              <w:rPr>
                <w:sz w:val="22"/>
              </w:rPr>
            </w:pPr>
          </w:p>
          <w:p w:rsidR="00E95FB1" w:rsidRPr="00C86B34" w:rsidRDefault="00E95FB1" w:rsidP="001B3967">
            <w:pPr>
              <w:pStyle w:val="a7"/>
              <w:ind w:left="0"/>
              <w:jc w:val="center"/>
              <w:rPr>
                <w:sz w:val="22"/>
              </w:rPr>
            </w:pPr>
            <w:r w:rsidRPr="00C86B34">
              <w:rPr>
                <w:sz w:val="22"/>
              </w:rPr>
              <w:t>13</w:t>
            </w:r>
          </w:p>
        </w:tc>
      </w:tr>
      <w:tr w:rsidR="00E95FB1" w:rsidRPr="00C86B34" w:rsidTr="001B3967">
        <w:tc>
          <w:tcPr>
            <w:tcW w:w="2694" w:type="dxa"/>
            <w:tcBorders>
              <w:bottom w:val="single" w:sz="4" w:space="0" w:color="000000"/>
            </w:tcBorders>
            <w:shd w:val="clear" w:color="auto" w:fill="C6D9F1" w:themeFill="text2" w:themeFillTint="33"/>
          </w:tcPr>
          <w:p w:rsidR="00E95FB1" w:rsidRPr="00C86B34" w:rsidRDefault="00E95FB1" w:rsidP="001B3967">
            <w:pPr>
              <w:rPr>
                <w:b/>
                <w:sz w:val="22"/>
              </w:rPr>
            </w:pPr>
            <w:r w:rsidRPr="00C86B34">
              <w:rPr>
                <w:b/>
                <w:sz w:val="22"/>
              </w:rPr>
              <w:t xml:space="preserve">Ключові заходи проекту: </w:t>
            </w:r>
          </w:p>
          <w:p w:rsidR="00E95FB1" w:rsidRPr="00C86B34" w:rsidRDefault="00E95FB1" w:rsidP="001B3967">
            <w:pPr>
              <w:pStyle w:val="a7"/>
              <w:ind w:left="0"/>
              <w:rPr>
                <w:b/>
                <w:sz w:val="22"/>
              </w:rPr>
            </w:pPr>
          </w:p>
        </w:tc>
        <w:tc>
          <w:tcPr>
            <w:tcW w:w="7088" w:type="dxa"/>
            <w:gridSpan w:val="7"/>
            <w:shd w:val="clear" w:color="auto" w:fill="auto"/>
          </w:tcPr>
          <w:p w:rsidR="00E95FB1" w:rsidRPr="00C86B34" w:rsidRDefault="00E95FB1" w:rsidP="001B3967">
            <w:pPr>
              <w:autoSpaceDE w:val="0"/>
              <w:autoSpaceDN w:val="0"/>
              <w:adjustRightInd w:val="0"/>
              <w:rPr>
                <w:rFonts w:eastAsia="Calibri"/>
                <w:color w:val="000000"/>
                <w:sz w:val="22"/>
              </w:rPr>
            </w:pPr>
            <w:r w:rsidRPr="00C86B34">
              <w:rPr>
                <w:sz w:val="22"/>
              </w:rPr>
              <w:t xml:space="preserve">- </w:t>
            </w:r>
            <w:r w:rsidRPr="00C86B34">
              <w:rPr>
                <w:rFonts w:eastAsia="Calibri"/>
                <w:color w:val="000000"/>
                <w:sz w:val="22"/>
              </w:rPr>
              <w:t xml:space="preserve">Проведення комплексного будівельного аудиту, складання плану будівельних, відновлюваних робіт пошкодженого чи зруйнованого майна, розробка </w:t>
            </w:r>
            <w:proofErr w:type="spellStart"/>
            <w:r w:rsidRPr="00C86B34">
              <w:rPr>
                <w:rFonts w:eastAsia="Calibri"/>
                <w:color w:val="000000"/>
                <w:sz w:val="22"/>
              </w:rPr>
              <w:t>про</w:t>
            </w:r>
            <w:r w:rsidR="00722CB1" w:rsidRPr="00C86B34">
              <w:rPr>
                <w:rFonts w:eastAsia="Calibri"/>
                <w:color w:val="000000"/>
                <w:sz w:val="22"/>
              </w:rPr>
              <w:t>є</w:t>
            </w:r>
            <w:r w:rsidRPr="00C86B34">
              <w:rPr>
                <w:rFonts w:eastAsia="Calibri"/>
                <w:color w:val="000000"/>
                <w:sz w:val="22"/>
              </w:rPr>
              <w:t>ктно</w:t>
            </w:r>
            <w:proofErr w:type="spellEnd"/>
            <w:r w:rsidRPr="00C86B34">
              <w:rPr>
                <w:rFonts w:eastAsia="Calibri"/>
                <w:color w:val="000000"/>
                <w:sz w:val="22"/>
              </w:rPr>
              <w:t xml:space="preserve"> – кошторисної документації згідно з виконаним обстеженням. </w:t>
            </w:r>
          </w:p>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 Ремонт, відновлення та модернізація будівель та споруд закладу, інженерних мереж (зовнішні та внутрішні</w:t>
            </w:r>
            <w:r w:rsidRPr="00C86B34">
              <w:rPr>
                <w:rFonts w:eastAsia="Calibri"/>
                <w:color w:val="000000"/>
                <w:sz w:val="22"/>
                <w:szCs w:val="22"/>
              </w:rPr>
              <w:t>)</w:t>
            </w:r>
            <w:r w:rsidRPr="00C86B34">
              <w:rPr>
                <w:rFonts w:eastAsia="Calibri"/>
                <w:color w:val="000000"/>
                <w:sz w:val="22"/>
              </w:rPr>
              <w:t xml:space="preserve"> із використанням енергоефективних та енергозберігаючих матеріалів/обладнання, реконструкції приміщень з використанням енергозберігаючих технологій, реконструкція мереж водопостачання та водовідведення, реконструкція системи опалення, внутрішні електромонтажні роботи, монтаж теплотехнічного обладнання, тощо. </w:t>
            </w:r>
          </w:p>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 Укладення договорів закупівлі.</w:t>
            </w:r>
          </w:p>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 Закупівля та монтаж відповідного устаткування для відновлення статутної діяльності закладу.</w:t>
            </w:r>
          </w:p>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 Початок роботи закладу.</w:t>
            </w:r>
          </w:p>
        </w:tc>
      </w:tr>
      <w:tr w:rsidR="00E95FB1" w:rsidRPr="00C86B34" w:rsidTr="001B3967">
        <w:trPr>
          <w:trHeight w:val="360"/>
        </w:trPr>
        <w:tc>
          <w:tcPr>
            <w:tcW w:w="2694" w:type="dxa"/>
            <w:vMerge w:val="restart"/>
            <w:shd w:val="clear" w:color="auto" w:fill="C6D9F1" w:themeFill="text2" w:themeFillTint="33"/>
          </w:tcPr>
          <w:p w:rsidR="00E95FB1" w:rsidRPr="00C86B34" w:rsidRDefault="00E95FB1" w:rsidP="001B3967">
            <w:pPr>
              <w:pStyle w:val="a7"/>
              <w:ind w:left="0"/>
              <w:rPr>
                <w:b/>
                <w:sz w:val="22"/>
              </w:rPr>
            </w:pPr>
            <w:r w:rsidRPr="00C86B34">
              <w:rPr>
                <w:b/>
                <w:sz w:val="22"/>
              </w:rPr>
              <w:t xml:space="preserve">Орієнтовний обсяг та джерела фінансування, тис. грн. </w:t>
            </w:r>
          </w:p>
          <w:p w:rsidR="00E95FB1" w:rsidRPr="00C86B34" w:rsidRDefault="00E95FB1" w:rsidP="001B3967">
            <w:pPr>
              <w:pStyle w:val="a7"/>
              <w:ind w:left="0"/>
              <w:rPr>
                <w:b/>
                <w:sz w:val="22"/>
              </w:rPr>
            </w:pPr>
          </w:p>
        </w:tc>
        <w:tc>
          <w:tcPr>
            <w:tcW w:w="1840" w:type="dxa"/>
            <w:tcBorders>
              <w:bottom w:val="single" w:sz="4" w:space="0" w:color="auto"/>
              <w:right w:val="single" w:sz="4" w:space="0" w:color="auto"/>
            </w:tcBorders>
            <w:shd w:val="clear" w:color="auto" w:fill="auto"/>
          </w:tcPr>
          <w:p w:rsidR="00E95FB1" w:rsidRPr="00C86B34" w:rsidRDefault="00E95FB1" w:rsidP="001B3967">
            <w:pPr>
              <w:pStyle w:val="a7"/>
              <w:ind w:left="0"/>
              <w:jc w:val="center"/>
              <w:rPr>
                <w:b/>
                <w:sz w:val="22"/>
              </w:rPr>
            </w:pPr>
            <w:r w:rsidRPr="00C86B34">
              <w:rPr>
                <w:b/>
                <w:sz w:val="22"/>
              </w:rPr>
              <w:t>Державний бюджет</w:t>
            </w:r>
          </w:p>
        </w:tc>
        <w:tc>
          <w:tcPr>
            <w:tcW w:w="1273" w:type="dxa"/>
            <w:tcBorders>
              <w:bottom w:val="single" w:sz="4" w:space="0" w:color="auto"/>
              <w:right w:val="single" w:sz="4" w:space="0" w:color="auto"/>
            </w:tcBorders>
            <w:shd w:val="clear" w:color="auto" w:fill="auto"/>
          </w:tcPr>
          <w:p w:rsidR="00E95FB1" w:rsidRPr="00C86B34" w:rsidRDefault="00E95FB1" w:rsidP="001B3967">
            <w:pPr>
              <w:pStyle w:val="a7"/>
              <w:ind w:left="0"/>
              <w:jc w:val="center"/>
              <w:rPr>
                <w:b/>
                <w:sz w:val="22"/>
              </w:rPr>
            </w:pPr>
            <w:r w:rsidRPr="00C86B34">
              <w:rPr>
                <w:b/>
                <w:sz w:val="22"/>
              </w:rPr>
              <w:t>Місцевий бюджет</w:t>
            </w:r>
          </w:p>
        </w:tc>
        <w:tc>
          <w:tcPr>
            <w:tcW w:w="2755" w:type="dxa"/>
            <w:gridSpan w:val="4"/>
            <w:tcBorders>
              <w:left w:val="single" w:sz="4" w:space="0" w:color="auto"/>
              <w:bottom w:val="single" w:sz="4" w:space="0" w:color="auto"/>
              <w:right w:val="single" w:sz="4" w:space="0" w:color="auto"/>
            </w:tcBorders>
            <w:shd w:val="clear" w:color="auto" w:fill="auto"/>
          </w:tcPr>
          <w:p w:rsidR="00E95FB1" w:rsidRPr="00C86B34" w:rsidRDefault="00E95FB1" w:rsidP="001B3967">
            <w:pPr>
              <w:pStyle w:val="a7"/>
              <w:ind w:left="0"/>
              <w:jc w:val="center"/>
              <w:rPr>
                <w:b/>
                <w:sz w:val="22"/>
              </w:rPr>
            </w:pPr>
            <w:r w:rsidRPr="00C86B34">
              <w:rPr>
                <w:b/>
                <w:sz w:val="22"/>
              </w:rPr>
              <w:t>Інші джерела</w:t>
            </w:r>
          </w:p>
        </w:tc>
        <w:tc>
          <w:tcPr>
            <w:tcW w:w="1220" w:type="dxa"/>
            <w:tcBorders>
              <w:left w:val="single" w:sz="4" w:space="0" w:color="auto"/>
              <w:bottom w:val="single" w:sz="4" w:space="0" w:color="auto"/>
            </w:tcBorders>
            <w:shd w:val="clear" w:color="auto" w:fill="auto"/>
          </w:tcPr>
          <w:p w:rsidR="00E95FB1" w:rsidRPr="00C86B34" w:rsidRDefault="00E95FB1" w:rsidP="001B3967">
            <w:pPr>
              <w:pStyle w:val="a7"/>
              <w:ind w:left="0"/>
              <w:jc w:val="center"/>
              <w:rPr>
                <w:b/>
                <w:sz w:val="22"/>
              </w:rPr>
            </w:pPr>
            <w:r w:rsidRPr="00C86B34">
              <w:rPr>
                <w:b/>
                <w:sz w:val="22"/>
              </w:rPr>
              <w:t>Всього</w:t>
            </w:r>
          </w:p>
        </w:tc>
      </w:tr>
      <w:tr w:rsidR="00E95FB1" w:rsidRPr="00C86B34" w:rsidTr="001B3967">
        <w:trPr>
          <w:trHeight w:val="225"/>
        </w:trPr>
        <w:tc>
          <w:tcPr>
            <w:tcW w:w="2694" w:type="dxa"/>
            <w:vMerge/>
            <w:shd w:val="clear" w:color="auto" w:fill="C6D9F1" w:themeFill="text2" w:themeFillTint="33"/>
          </w:tcPr>
          <w:p w:rsidR="00E95FB1" w:rsidRPr="00C86B34" w:rsidRDefault="00E95FB1" w:rsidP="001B3967">
            <w:pPr>
              <w:pStyle w:val="a7"/>
              <w:ind w:left="0"/>
              <w:rPr>
                <w:b/>
                <w:sz w:val="22"/>
              </w:rPr>
            </w:pPr>
          </w:p>
        </w:tc>
        <w:tc>
          <w:tcPr>
            <w:tcW w:w="1840" w:type="dxa"/>
            <w:vMerge w:val="restart"/>
            <w:tcBorders>
              <w:top w:val="single" w:sz="4" w:space="0" w:color="auto"/>
              <w:right w:val="single" w:sz="4" w:space="0" w:color="auto"/>
            </w:tcBorders>
            <w:shd w:val="clear" w:color="auto" w:fill="auto"/>
          </w:tcPr>
          <w:p w:rsidR="00E95FB1" w:rsidRPr="00C86B34" w:rsidRDefault="00E95FB1" w:rsidP="001B3967">
            <w:pPr>
              <w:pStyle w:val="a7"/>
              <w:ind w:left="0"/>
              <w:jc w:val="center"/>
              <w:rPr>
                <w:b/>
                <w:sz w:val="22"/>
              </w:rPr>
            </w:pPr>
            <w:r w:rsidRPr="00C86B34">
              <w:rPr>
                <w:sz w:val="22"/>
              </w:rPr>
              <w:t>31823,71</w:t>
            </w:r>
          </w:p>
        </w:tc>
        <w:tc>
          <w:tcPr>
            <w:tcW w:w="1273" w:type="dxa"/>
            <w:vMerge w:val="restart"/>
            <w:tcBorders>
              <w:top w:val="single" w:sz="4" w:space="0" w:color="auto"/>
              <w:right w:val="single" w:sz="4" w:space="0" w:color="auto"/>
            </w:tcBorders>
            <w:shd w:val="clear" w:color="auto" w:fill="auto"/>
          </w:tcPr>
          <w:p w:rsidR="00E95FB1" w:rsidRPr="00C86B34" w:rsidRDefault="00E95FB1" w:rsidP="001B3967">
            <w:pPr>
              <w:pStyle w:val="a7"/>
              <w:ind w:left="0"/>
              <w:jc w:val="center"/>
              <w:rPr>
                <w:b/>
                <w:sz w:val="22"/>
              </w:rPr>
            </w:pPr>
            <w:r w:rsidRPr="00C86B34">
              <w:rPr>
                <w:sz w:val="22"/>
              </w:rPr>
              <w:t>-</w:t>
            </w:r>
          </w:p>
        </w:tc>
        <w:tc>
          <w:tcPr>
            <w:tcW w:w="1300" w:type="dxa"/>
            <w:gridSpan w:val="2"/>
            <w:tcBorders>
              <w:top w:val="single" w:sz="4" w:space="0" w:color="auto"/>
              <w:left w:val="single" w:sz="4" w:space="0" w:color="auto"/>
              <w:bottom w:val="single" w:sz="4" w:space="0" w:color="auto"/>
              <w:right w:val="single" w:sz="4" w:space="0" w:color="auto"/>
            </w:tcBorders>
            <w:shd w:val="clear" w:color="auto" w:fill="auto"/>
          </w:tcPr>
          <w:p w:rsidR="00E95FB1" w:rsidRPr="00C86B34" w:rsidRDefault="00E95FB1" w:rsidP="001B3967">
            <w:pPr>
              <w:pStyle w:val="a7"/>
              <w:ind w:left="0"/>
              <w:jc w:val="center"/>
              <w:rPr>
                <w:b/>
                <w:sz w:val="22"/>
              </w:rPr>
            </w:pPr>
            <w:r w:rsidRPr="00C86B34">
              <w:rPr>
                <w:b/>
                <w:sz w:val="22"/>
              </w:rPr>
              <w:t>Обсяг</w:t>
            </w:r>
          </w:p>
        </w:tc>
        <w:tc>
          <w:tcPr>
            <w:tcW w:w="1455" w:type="dxa"/>
            <w:gridSpan w:val="2"/>
            <w:tcBorders>
              <w:top w:val="single" w:sz="4" w:space="0" w:color="auto"/>
              <w:left w:val="single" w:sz="4" w:space="0" w:color="auto"/>
              <w:bottom w:val="single" w:sz="4" w:space="0" w:color="auto"/>
              <w:right w:val="single" w:sz="4" w:space="0" w:color="auto"/>
            </w:tcBorders>
            <w:shd w:val="clear" w:color="auto" w:fill="auto"/>
          </w:tcPr>
          <w:p w:rsidR="00E95FB1" w:rsidRPr="00C86B34" w:rsidRDefault="00E95FB1" w:rsidP="001B3967">
            <w:pPr>
              <w:pStyle w:val="a7"/>
              <w:ind w:left="0"/>
              <w:jc w:val="center"/>
              <w:rPr>
                <w:b/>
                <w:sz w:val="22"/>
              </w:rPr>
            </w:pPr>
            <w:r w:rsidRPr="00C86B34">
              <w:rPr>
                <w:b/>
                <w:sz w:val="22"/>
              </w:rPr>
              <w:t>Назва джерела</w:t>
            </w:r>
          </w:p>
        </w:tc>
        <w:tc>
          <w:tcPr>
            <w:tcW w:w="1220" w:type="dxa"/>
            <w:vMerge w:val="restart"/>
            <w:tcBorders>
              <w:top w:val="single" w:sz="4" w:space="0" w:color="auto"/>
              <w:left w:val="single" w:sz="4" w:space="0" w:color="auto"/>
            </w:tcBorders>
            <w:shd w:val="clear" w:color="auto" w:fill="auto"/>
          </w:tcPr>
          <w:p w:rsidR="00E95FB1" w:rsidRPr="00C86B34" w:rsidRDefault="00E95FB1" w:rsidP="001B3967">
            <w:pPr>
              <w:pStyle w:val="a7"/>
              <w:ind w:left="-157" w:right="-86"/>
              <w:jc w:val="center"/>
              <w:rPr>
                <w:sz w:val="22"/>
              </w:rPr>
            </w:pPr>
            <w:r w:rsidRPr="00C86B34">
              <w:rPr>
                <w:rFonts w:eastAsia="Calibri"/>
                <w:color w:val="000000"/>
                <w:sz w:val="22"/>
              </w:rPr>
              <w:t>45 462, 44</w:t>
            </w:r>
          </w:p>
        </w:tc>
      </w:tr>
      <w:tr w:rsidR="00E95FB1" w:rsidRPr="00C86B34" w:rsidTr="001B3967">
        <w:trPr>
          <w:trHeight w:val="300"/>
        </w:trPr>
        <w:tc>
          <w:tcPr>
            <w:tcW w:w="2694" w:type="dxa"/>
            <w:vMerge/>
            <w:shd w:val="clear" w:color="auto" w:fill="C6D9F1" w:themeFill="text2" w:themeFillTint="33"/>
          </w:tcPr>
          <w:p w:rsidR="00E95FB1" w:rsidRPr="00C86B34" w:rsidRDefault="00E95FB1" w:rsidP="001B3967">
            <w:pPr>
              <w:pStyle w:val="a7"/>
              <w:ind w:left="0"/>
              <w:rPr>
                <w:b/>
                <w:sz w:val="22"/>
              </w:rPr>
            </w:pPr>
          </w:p>
        </w:tc>
        <w:tc>
          <w:tcPr>
            <w:tcW w:w="1840" w:type="dxa"/>
            <w:vMerge/>
            <w:tcBorders>
              <w:right w:val="single" w:sz="4" w:space="0" w:color="auto"/>
            </w:tcBorders>
            <w:shd w:val="clear" w:color="auto" w:fill="auto"/>
          </w:tcPr>
          <w:p w:rsidR="00E95FB1" w:rsidRPr="00C86B34" w:rsidRDefault="00E95FB1" w:rsidP="001B3967">
            <w:pPr>
              <w:pStyle w:val="a7"/>
              <w:ind w:left="0"/>
              <w:jc w:val="center"/>
              <w:rPr>
                <w:sz w:val="22"/>
              </w:rPr>
            </w:pPr>
          </w:p>
        </w:tc>
        <w:tc>
          <w:tcPr>
            <w:tcW w:w="1273" w:type="dxa"/>
            <w:vMerge/>
            <w:tcBorders>
              <w:right w:val="single" w:sz="4" w:space="0" w:color="auto"/>
            </w:tcBorders>
            <w:shd w:val="clear" w:color="auto" w:fill="auto"/>
          </w:tcPr>
          <w:p w:rsidR="00E95FB1" w:rsidRPr="00C86B34" w:rsidRDefault="00E95FB1" w:rsidP="001B3967">
            <w:pPr>
              <w:pStyle w:val="a7"/>
              <w:ind w:left="0"/>
              <w:jc w:val="center"/>
              <w:rPr>
                <w:b/>
                <w:sz w:val="22"/>
              </w:rPr>
            </w:pPr>
          </w:p>
        </w:tc>
        <w:tc>
          <w:tcPr>
            <w:tcW w:w="1300" w:type="dxa"/>
            <w:gridSpan w:val="2"/>
            <w:tcBorders>
              <w:top w:val="single" w:sz="4" w:space="0" w:color="auto"/>
              <w:left w:val="single" w:sz="4" w:space="0" w:color="auto"/>
              <w:right w:val="single" w:sz="4" w:space="0" w:color="auto"/>
            </w:tcBorders>
            <w:shd w:val="clear" w:color="auto" w:fill="auto"/>
          </w:tcPr>
          <w:p w:rsidR="00E95FB1" w:rsidRPr="00C86B34" w:rsidRDefault="00E95FB1" w:rsidP="001B3967">
            <w:pPr>
              <w:pStyle w:val="a7"/>
              <w:ind w:left="-108" w:right="-78"/>
              <w:jc w:val="center"/>
              <w:rPr>
                <w:b/>
                <w:sz w:val="22"/>
              </w:rPr>
            </w:pPr>
            <w:r w:rsidRPr="00C86B34">
              <w:rPr>
                <w:sz w:val="22"/>
              </w:rPr>
              <w:t>13638,73</w:t>
            </w:r>
          </w:p>
        </w:tc>
        <w:tc>
          <w:tcPr>
            <w:tcW w:w="1455" w:type="dxa"/>
            <w:gridSpan w:val="2"/>
            <w:tcBorders>
              <w:top w:val="single" w:sz="4" w:space="0" w:color="auto"/>
              <w:left w:val="single" w:sz="4" w:space="0" w:color="auto"/>
              <w:right w:val="single" w:sz="4" w:space="0" w:color="auto"/>
            </w:tcBorders>
            <w:shd w:val="clear" w:color="auto" w:fill="auto"/>
          </w:tcPr>
          <w:p w:rsidR="00E95FB1" w:rsidRPr="00C86B34" w:rsidRDefault="00E95FB1" w:rsidP="001B3967">
            <w:pPr>
              <w:pStyle w:val="a7"/>
              <w:ind w:left="0"/>
              <w:jc w:val="center"/>
              <w:rPr>
                <w:sz w:val="22"/>
              </w:rPr>
            </w:pPr>
            <w:r w:rsidRPr="00C86B34">
              <w:rPr>
                <w:sz w:val="22"/>
              </w:rPr>
              <w:t>Міжнародні інвестиції</w:t>
            </w:r>
          </w:p>
        </w:tc>
        <w:tc>
          <w:tcPr>
            <w:tcW w:w="1220" w:type="dxa"/>
            <w:vMerge/>
            <w:tcBorders>
              <w:left w:val="single" w:sz="4" w:space="0" w:color="auto"/>
            </w:tcBorders>
            <w:shd w:val="clear" w:color="auto" w:fill="auto"/>
          </w:tcPr>
          <w:p w:rsidR="00E95FB1" w:rsidRPr="00C86B34" w:rsidRDefault="00E95FB1" w:rsidP="001B3967">
            <w:pPr>
              <w:pStyle w:val="a7"/>
              <w:ind w:left="0"/>
              <w:jc w:val="center"/>
              <w:rPr>
                <w:sz w:val="22"/>
              </w:rPr>
            </w:pPr>
          </w:p>
        </w:tc>
      </w:tr>
    </w:tbl>
    <w:p w:rsidR="00E95FB1" w:rsidRPr="00C86B34" w:rsidRDefault="00E95FB1" w:rsidP="00E95FB1">
      <w:pPr>
        <w:rPr>
          <w:sz w:val="22"/>
        </w:rPr>
      </w:pPr>
    </w:p>
    <w:p w:rsidR="00E95FB1" w:rsidRPr="00C86B34" w:rsidRDefault="00E95FB1" w:rsidP="00E95FB1">
      <w:pPr>
        <w:rPr>
          <w:sz w:val="22"/>
        </w:rPr>
      </w:pPr>
    </w:p>
    <w:tbl>
      <w:tblPr>
        <w:tblStyle w:val="af"/>
        <w:tblW w:w="0" w:type="auto"/>
        <w:tblInd w:w="-176" w:type="dxa"/>
        <w:tblLook w:val="04A0" w:firstRow="1" w:lastRow="0" w:firstColumn="1" w:lastColumn="0" w:noHBand="0" w:noVBand="1"/>
      </w:tblPr>
      <w:tblGrid>
        <w:gridCol w:w="2618"/>
        <w:gridCol w:w="2075"/>
        <w:gridCol w:w="732"/>
        <w:gridCol w:w="604"/>
        <w:gridCol w:w="1116"/>
        <w:gridCol w:w="683"/>
        <w:gridCol w:w="605"/>
        <w:gridCol w:w="1229"/>
      </w:tblGrid>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Оперативна ціль/завдання</w:t>
            </w:r>
          </w:p>
        </w:tc>
        <w:tc>
          <w:tcPr>
            <w:tcW w:w="7088" w:type="dxa"/>
            <w:gridSpan w:val="7"/>
            <w:shd w:val="clear" w:color="auto" w:fill="auto"/>
          </w:tcPr>
          <w:p w:rsidR="00E95FB1" w:rsidRPr="00C86B34" w:rsidRDefault="005A7ADA" w:rsidP="001B3967">
            <w:pPr>
              <w:rPr>
                <w:rFonts w:eastAsia="Calibri"/>
                <w:color w:val="000000"/>
                <w:sz w:val="22"/>
                <w:lang w:val="uk-UA"/>
              </w:rPr>
            </w:pPr>
            <w:proofErr w:type="spellStart"/>
            <w:r w:rsidRPr="00C86B34">
              <w:rPr>
                <w:rFonts w:eastAsia="Arial"/>
                <w:sz w:val="22"/>
              </w:rPr>
              <w:t>Людський</w:t>
            </w:r>
            <w:proofErr w:type="spellEnd"/>
            <w:r w:rsidRPr="00C86B34">
              <w:rPr>
                <w:rFonts w:eastAsia="Arial"/>
                <w:sz w:val="22"/>
              </w:rPr>
              <w:t xml:space="preserve"> </w:t>
            </w:r>
            <w:proofErr w:type="spellStart"/>
            <w:r w:rsidRPr="00C86B34">
              <w:rPr>
                <w:rFonts w:eastAsia="Arial"/>
                <w:sz w:val="22"/>
              </w:rPr>
              <w:t>розвиток</w:t>
            </w:r>
            <w:proofErr w:type="spellEnd"/>
            <w:r w:rsidRPr="00C86B34">
              <w:rPr>
                <w:rFonts w:eastAsia="Arial"/>
                <w:sz w:val="22"/>
              </w:rPr>
              <w:t xml:space="preserve"> </w:t>
            </w:r>
            <w:r w:rsidR="00E95FB1" w:rsidRPr="00C86B34">
              <w:rPr>
                <w:rFonts w:eastAsia="Calibri"/>
                <w:color w:val="000000"/>
                <w:sz w:val="22"/>
                <w:lang w:val="uk-UA"/>
              </w:rPr>
              <w:t xml:space="preserve">через інновації управління </w:t>
            </w:r>
            <w:proofErr w:type="gramStart"/>
            <w:r w:rsidR="00E95FB1" w:rsidRPr="00C86B34">
              <w:rPr>
                <w:rFonts w:eastAsia="Calibri"/>
                <w:color w:val="000000"/>
                <w:sz w:val="22"/>
                <w:lang w:val="uk-UA"/>
              </w:rPr>
              <w:t>та  довіру</w:t>
            </w:r>
            <w:proofErr w:type="gramEnd"/>
            <w:r w:rsidR="00E95FB1" w:rsidRPr="00C86B34">
              <w:rPr>
                <w:rFonts w:eastAsia="Calibri"/>
                <w:color w:val="000000"/>
                <w:sz w:val="22"/>
                <w:lang w:val="uk-UA"/>
              </w:rPr>
              <w:t xml:space="preserve"> до влади. Формування сучасного інклюзивного </w:t>
            </w:r>
            <w:proofErr w:type="spellStart"/>
            <w:r w:rsidR="00E95FB1" w:rsidRPr="00C86B34">
              <w:rPr>
                <w:rFonts w:eastAsia="Calibri"/>
                <w:color w:val="000000"/>
                <w:sz w:val="22"/>
                <w:lang w:val="uk-UA"/>
              </w:rPr>
              <w:t>освітньо</w:t>
            </w:r>
            <w:proofErr w:type="spellEnd"/>
            <w:r w:rsidR="00E95FB1" w:rsidRPr="00C86B34">
              <w:rPr>
                <w:rFonts w:eastAsia="Calibri"/>
                <w:color w:val="000000"/>
                <w:sz w:val="22"/>
                <w:lang w:val="uk-UA"/>
              </w:rPr>
              <w:t xml:space="preserve"> – культурного та спортивного простору для розвитку</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Назва проекту:</w:t>
            </w:r>
          </w:p>
        </w:tc>
        <w:tc>
          <w:tcPr>
            <w:tcW w:w="7088" w:type="dxa"/>
            <w:gridSpan w:val="7"/>
          </w:tcPr>
          <w:p w:rsidR="00E95FB1" w:rsidRPr="00C86B34" w:rsidRDefault="00E95FB1" w:rsidP="001B3967">
            <w:pPr>
              <w:pStyle w:val="a7"/>
              <w:ind w:left="0"/>
              <w:rPr>
                <w:sz w:val="22"/>
                <w:lang w:val="uk-UA"/>
              </w:rPr>
            </w:pPr>
            <w:r w:rsidRPr="00C86B34">
              <w:rPr>
                <w:sz w:val="22"/>
                <w:lang w:val="uk-UA"/>
              </w:rPr>
              <w:t>Відновлення  роботи Сєвєродонецького дитячо-юнацького комплексу «Юність» та  клубів «Восход» , «Іскра», «Факел», «Меридіан», «Самбо», «Підліток».</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lastRenderedPageBreak/>
              <w:t>Ціль проекту</w:t>
            </w:r>
          </w:p>
        </w:tc>
        <w:tc>
          <w:tcPr>
            <w:tcW w:w="7088" w:type="dxa"/>
            <w:gridSpan w:val="7"/>
          </w:tcPr>
          <w:p w:rsidR="00E95FB1" w:rsidRPr="00C86B34" w:rsidRDefault="00E95FB1" w:rsidP="001B3967">
            <w:pPr>
              <w:rPr>
                <w:sz w:val="22"/>
                <w:lang w:val="uk-UA"/>
              </w:rPr>
            </w:pPr>
            <w:r w:rsidRPr="00C86B34">
              <w:rPr>
                <w:sz w:val="22"/>
                <w:lang w:val="uk-UA"/>
              </w:rPr>
              <w:t xml:space="preserve">Відновити та </w:t>
            </w:r>
            <w:proofErr w:type="spellStart"/>
            <w:r w:rsidRPr="00C86B34">
              <w:rPr>
                <w:sz w:val="22"/>
                <w:lang w:val="uk-UA"/>
              </w:rPr>
              <w:t>покрашити</w:t>
            </w:r>
            <w:proofErr w:type="spellEnd"/>
            <w:r w:rsidRPr="00C86B34">
              <w:rPr>
                <w:sz w:val="22"/>
                <w:lang w:val="uk-UA"/>
              </w:rPr>
              <w:t xml:space="preserve"> роботу закладу позашкільної освіти Сєвєродонецького дитячо-юнацького комплексу «Юність» на  </w:t>
            </w:r>
            <w:proofErr w:type="spellStart"/>
            <w:r w:rsidRPr="00C86B34">
              <w:rPr>
                <w:sz w:val="22"/>
                <w:lang w:val="uk-UA"/>
              </w:rPr>
              <w:t>деокупованій</w:t>
            </w:r>
            <w:proofErr w:type="spellEnd"/>
            <w:r w:rsidRPr="00C86B34">
              <w:rPr>
                <w:sz w:val="22"/>
                <w:lang w:val="uk-UA"/>
              </w:rPr>
              <w:t xml:space="preserve"> території Луганської області для забезпечення якісного національно-патріотичного виховання дітей та молоді, створення умов для формування та подальшого розвитку якісного осередку позашкільної освіти міста, сприяння консолідації українського суспільства навколо ідей спільного майбутнього, захисту територіальної цілісності України, реформ і державотворення.</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Територія, на яку матиме вплив реалізація проекту</w:t>
            </w:r>
          </w:p>
        </w:tc>
        <w:tc>
          <w:tcPr>
            <w:tcW w:w="7088" w:type="dxa"/>
            <w:gridSpan w:val="7"/>
          </w:tcPr>
          <w:p w:rsidR="00E95FB1" w:rsidRPr="00C86B34" w:rsidRDefault="00E95FB1" w:rsidP="001B3967">
            <w:pPr>
              <w:pStyle w:val="a7"/>
              <w:ind w:left="0"/>
              <w:rPr>
                <w:sz w:val="22"/>
                <w:lang w:val="uk-UA"/>
              </w:rPr>
            </w:pPr>
            <w:r w:rsidRPr="00C86B34">
              <w:rPr>
                <w:sz w:val="22"/>
                <w:lang w:val="uk-UA"/>
              </w:rPr>
              <w:t>Сєвєродонецька міська територіальна громада</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Чисельність населення, на яке матиме вплив реалізація проекту</w:t>
            </w:r>
          </w:p>
        </w:tc>
        <w:tc>
          <w:tcPr>
            <w:tcW w:w="7088" w:type="dxa"/>
            <w:gridSpan w:val="7"/>
          </w:tcPr>
          <w:p w:rsidR="00E95FB1" w:rsidRPr="00C86B34" w:rsidRDefault="00E95FB1" w:rsidP="001B3967">
            <w:pPr>
              <w:pStyle w:val="a7"/>
              <w:ind w:left="0"/>
              <w:rPr>
                <w:sz w:val="22"/>
                <w:highlight w:val="yellow"/>
                <w:lang w:val="uk-UA"/>
              </w:rPr>
            </w:pPr>
            <w:r w:rsidRPr="00C86B34">
              <w:rPr>
                <w:sz w:val="22"/>
                <w:lang w:val="uk-UA"/>
              </w:rPr>
              <w:t xml:space="preserve"> 70 000  осіб</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Опис проблеми, на вирішення якої  спрямований проект</w:t>
            </w:r>
          </w:p>
        </w:tc>
        <w:tc>
          <w:tcPr>
            <w:tcW w:w="7088" w:type="dxa"/>
            <w:gridSpan w:val="7"/>
          </w:tcPr>
          <w:p w:rsidR="00E95FB1" w:rsidRPr="00C86B34" w:rsidRDefault="00E95FB1" w:rsidP="00F17B28">
            <w:pPr>
              <w:rPr>
                <w:sz w:val="22"/>
                <w:lang w:val="uk-UA"/>
              </w:rPr>
            </w:pPr>
            <w:r w:rsidRPr="00C86B34">
              <w:rPr>
                <w:sz w:val="22"/>
                <w:lang w:val="uk-UA"/>
              </w:rPr>
              <w:t xml:space="preserve">Через військову агресію </w:t>
            </w:r>
            <w:r w:rsidR="00F17B28" w:rsidRPr="00C86B34">
              <w:rPr>
                <w:sz w:val="22"/>
                <w:lang w:val="uk-UA"/>
              </w:rPr>
              <w:t>Р</w:t>
            </w:r>
            <w:r w:rsidRPr="00C86B34">
              <w:rPr>
                <w:sz w:val="22"/>
                <w:lang w:val="uk-UA"/>
              </w:rPr>
              <w:t>осії приміщення СДЮК «Юність» та клубів «Восход», «Іскра», «Факел», «Меридіан», «Самбо», «Підліток» зазнали значних пошкоджень</w:t>
            </w:r>
            <w:r w:rsidR="00F17B28" w:rsidRPr="00C86B34">
              <w:rPr>
                <w:sz w:val="22"/>
                <w:lang w:val="uk-UA"/>
              </w:rPr>
              <w:t>.</w:t>
            </w:r>
            <w:r w:rsidRPr="00C86B34">
              <w:rPr>
                <w:sz w:val="22"/>
                <w:lang w:val="uk-UA"/>
              </w:rPr>
              <w:t xml:space="preserve"> </w:t>
            </w:r>
            <w:r w:rsidR="00F17B28" w:rsidRPr="00C86B34">
              <w:rPr>
                <w:sz w:val="22"/>
                <w:lang w:val="uk-UA"/>
              </w:rPr>
              <w:t>К</w:t>
            </w:r>
            <w:r w:rsidRPr="00C86B34">
              <w:rPr>
                <w:sz w:val="22"/>
                <w:lang w:val="uk-UA"/>
              </w:rPr>
              <w:t>омп’ютерна техніка, оргтехніка (принтери, сканери тощо), основні засоби (офісні меблі, спортивні знаряддя, сейфи тощо), спортивний інвентар було знищено або викрадено. Пошкоджене майно потребує ремонту та відновлення. Необхідне створення матеріально-технічної бази для забезпечення розвитку якісної позашкільної освіти на території Сєвєродонецької міської територіальної громади.</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Очікувані якісні результати від реалізації проекту</w:t>
            </w:r>
          </w:p>
        </w:tc>
        <w:tc>
          <w:tcPr>
            <w:tcW w:w="7088" w:type="dxa"/>
            <w:gridSpan w:val="7"/>
          </w:tcPr>
          <w:p w:rsidR="00E95FB1" w:rsidRPr="00C86B34" w:rsidRDefault="00E95FB1" w:rsidP="001B3967">
            <w:pPr>
              <w:rPr>
                <w:sz w:val="22"/>
                <w:lang w:val="uk-UA"/>
              </w:rPr>
            </w:pPr>
            <w:r w:rsidRPr="00C86B34">
              <w:rPr>
                <w:sz w:val="22"/>
                <w:lang w:val="uk-UA"/>
              </w:rPr>
              <w:t>- створення та забезпечення сучасних умов для дітей та молоді у здобутті якісної позашкільної освіти для самореалізації можливостей і потреб кожного громадянина міста;</w:t>
            </w:r>
          </w:p>
          <w:p w:rsidR="00E95FB1" w:rsidRPr="00C86B34" w:rsidRDefault="00E95FB1" w:rsidP="001B3967">
            <w:pPr>
              <w:rPr>
                <w:sz w:val="22"/>
                <w:lang w:val="uk-UA"/>
              </w:rPr>
            </w:pPr>
            <w:r w:rsidRPr="00C86B34">
              <w:rPr>
                <w:sz w:val="22"/>
                <w:lang w:val="uk-UA"/>
              </w:rPr>
              <w:t>- створення ефективної виховної системи національно-патріотичного виховання молоді в СДЮК «Юність» та клубах за місцем проживання;</w:t>
            </w:r>
          </w:p>
          <w:p w:rsidR="00E95FB1" w:rsidRPr="00C86B34" w:rsidRDefault="00E95FB1" w:rsidP="001B3967">
            <w:pPr>
              <w:pStyle w:val="a7"/>
              <w:ind w:left="0"/>
              <w:rPr>
                <w:sz w:val="22"/>
                <w:lang w:val="uk-UA"/>
              </w:rPr>
            </w:pPr>
            <w:r w:rsidRPr="00C86B34">
              <w:rPr>
                <w:sz w:val="22"/>
                <w:lang w:val="uk-UA"/>
              </w:rPr>
              <w:t xml:space="preserve">- отримання зацікавлених, </w:t>
            </w:r>
            <w:proofErr w:type="spellStart"/>
            <w:r w:rsidRPr="00C86B34">
              <w:rPr>
                <w:sz w:val="22"/>
                <w:lang w:val="uk-UA"/>
              </w:rPr>
              <w:t>інтелектуально</w:t>
            </w:r>
            <w:proofErr w:type="spellEnd"/>
            <w:r w:rsidRPr="00C86B34">
              <w:rPr>
                <w:sz w:val="22"/>
                <w:lang w:val="uk-UA"/>
              </w:rPr>
              <w:t xml:space="preserve"> розвинених, соціально адаптованих вихованців, здібних до професійного самовизначення, саморозвитку, навчання, готових до участі та </w:t>
            </w:r>
            <w:proofErr w:type="spellStart"/>
            <w:r w:rsidRPr="00C86B34">
              <w:rPr>
                <w:sz w:val="22"/>
                <w:lang w:val="uk-UA"/>
              </w:rPr>
              <w:t>перемог</w:t>
            </w:r>
            <w:proofErr w:type="spellEnd"/>
            <w:r w:rsidRPr="00C86B34">
              <w:rPr>
                <w:sz w:val="22"/>
                <w:lang w:val="uk-UA"/>
              </w:rPr>
              <w:t xml:space="preserve"> у інтелектуальних змаганнях;</w:t>
            </w:r>
          </w:p>
          <w:p w:rsidR="00E95FB1" w:rsidRPr="00C86B34" w:rsidRDefault="00E95FB1" w:rsidP="001B3967">
            <w:pPr>
              <w:pStyle w:val="a7"/>
              <w:ind w:left="0"/>
              <w:rPr>
                <w:sz w:val="22"/>
                <w:lang w:val="uk-UA"/>
              </w:rPr>
            </w:pPr>
            <w:r w:rsidRPr="00C86B34">
              <w:rPr>
                <w:sz w:val="22"/>
                <w:lang w:val="uk-UA"/>
              </w:rPr>
              <w:t>- створення нових робочих місць;</w:t>
            </w:r>
          </w:p>
          <w:p w:rsidR="00E95FB1" w:rsidRPr="00C86B34" w:rsidRDefault="00E95FB1" w:rsidP="001B3967">
            <w:pPr>
              <w:autoSpaceDE w:val="0"/>
              <w:autoSpaceDN w:val="0"/>
              <w:adjustRightInd w:val="0"/>
              <w:rPr>
                <w:rFonts w:eastAsia="Calibri"/>
                <w:color w:val="000000"/>
                <w:sz w:val="22"/>
                <w:lang w:val="uk-UA"/>
              </w:rPr>
            </w:pPr>
            <w:r w:rsidRPr="00C86B34">
              <w:rPr>
                <w:rFonts w:eastAsia="Calibri"/>
                <w:color w:val="000000"/>
                <w:sz w:val="22"/>
                <w:lang w:val="uk-UA"/>
              </w:rPr>
              <w:t>- відновлення інфраструктури міста;</w:t>
            </w:r>
          </w:p>
          <w:p w:rsidR="00E95FB1" w:rsidRPr="00C86B34" w:rsidRDefault="00E95FB1" w:rsidP="001B3967">
            <w:pPr>
              <w:autoSpaceDE w:val="0"/>
              <w:autoSpaceDN w:val="0"/>
              <w:adjustRightInd w:val="0"/>
              <w:rPr>
                <w:rFonts w:eastAsia="Calibri"/>
                <w:color w:val="000000"/>
                <w:sz w:val="22"/>
                <w:lang w:val="uk-UA"/>
              </w:rPr>
            </w:pPr>
            <w:r w:rsidRPr="00C86B34">
              <w:rPr>
                <w:rFonts w:eastAsia="Calibri"/>
                <w:color w:val="000000"/>
                <w:sz w:val="22"/>
                <w:lang w:val="uk-UA"/>
              </w:rPr>
              <w:t>- побудова соціального простору, поліпшення інформаційно-освітньої, соціальної інфраструктури;</w:t>
            </w:r>
          </w:p>
          <w:p w:rsidR="00E95FB1" w:rsidRPr="00C86B34" w:rsidRDefault="00E95FB1" w:rsidP="001B3967">
            <w:pPr>
              <w:autoSpaceDE w:val="0"/>
              <w:autoSpaceDN w:val="0"/>
              <w:adjustRightInd w:val="0"/>
              <w:rPr>
                <w:rFonts w:eastAsia="Calibri"/>
                <w:color w:val="000000"/>
                <w:sz w:val="22"/>
                <w:lang w:val="uk-UA"/>
              </w:rPr>
            </w:pPr>
            <w:r w:rsidRPr="00C86B34">
              <w:rPr>
                <w:rFonts w:eastAsia="Calibri"/>
                <w:color w:val="000000"/>
                <w:sz w:val="22"/>
                <w:lang w:val="uk-UA"/>
              </w:rPr>
              <w:t xml:space="preserve">- реалізація відповідних </w:t>
            </w:r>
            <w:proofErr w:type="spellStart"/>
            <w:r w:rsidRPr="00C86B34">
              <w:rPr>
                <w:rFonts w:eastAsia="Calibri"/>
                <w:color w:val="000000"/>
                <w:sz w:val="22"/>
                <w:lang w:val="uk-UA"/>
              </w:rPr>
              <w:t>про</w:t>
            </w:r>
            <w:r w:rsidR="00F17B28" w:rsidRPr="00C86B34">
              <w:rPr>
                <w:rFonts w:eastAsia="Calibri"/>
                <w:color w:val="000000"/>
                <w:sz w:val="22"/>
                <w:lang w:val="uk-UA"/>
              </w:rPr>
              <w:t>є</w:t>
            </w:r>
            <w:r w:rsidRPr="00C86B34">
              <w:rPr>
                <w:rFonts w:eastAsia="Calibri"/>
                <w:color w:val="000000"/>
                <w:sz w:val="22"/>
                <w:lang w:val="uk-UA"/>
              </w:rPr>
              <w:t>ктів</w:t>
            </w:r>
            <w:proofErr w:type="spellEnd"/>
            <w:r w:rsidRPr="00C86B34">
              <w:rPr>
                <w:rFonts w:eastAsia="Calibri"/>
                <w:color w:val="000000"/>
                <w:sz w:val="22"/>
                <w:lang w:val="uk-UA"/>
              </w:rPr>
              <w:t xml:space="preserve"> і програм</w:t>
            </w:r>
            <w:r w:rsidR="00F17B28" w:rsidRPr="00C86B34">
              <w:rPr>
                <w:rFonts w:eastAsia="Calibri"/>
                <w:color w:val="000000"/>
                <w:sz w:val="22"/>
                <w:lang w:val="uk-UA"/>
              </w:rPr>
              <w:t>,</w:t>
            </w:r>
            <w:r w:rsidRPr="00C86B34">
              <w:rPr>
                <w:rFonts w:eastAsia="Calibri"/>
                <w:color w:val="000000"/>
                <w:sz w:val="22"/>
                <w:lang w:val="uk-UA"/>
              </w:rPr>
              <w:t xml:space="preserve"> спрямованих на розвиток молоді, популяризацію спорту серед молоді, створення належних умов для забезпечення повноцінного розвитку молоді;</w:t>
            </w:r>
          </w:p>
          <w:p w:rsidR="00E95FB1" w:rsidRPr="00C86B34" w:rsidRDefault="00E95FB1" w:rsidP="001B3967">
            <w:pPr>
              <w:autoSpaceDE w:val="0"/>
              <w:autoSpaceDN w:val="0"/>
              <w:adjustRightInd w:val="0"/>
              <w:rPr>
                <w:rFonts w:eastAsia="Calibri"/>
                <w:color w:val="000000"/>
                <w:sz w:val="22"/>
                <w:lang w:val="uk-UA"/>
              </w:rPr>
            </w:pPr>
            <w:r w:rsidRPr="00C86B34">
              <w:rPr>
                <w:rFonts w:eastAsia="Calibri"/>
                <w:color w:val="000000"/>
                <w:sz w:val="22"/>
                <w:lang w:val="uk-UA"/>
              </w:rPr>
              <w:t>- відновлення та розбудова міської системи надання позашкільної освіти;</w:t>
            </w:r>
          </w:p>
          <w:p w:rsidR="00E95FB1" w:rsidRPr="00C86B34" w:rsidRDefault="00E95FB1" w:rsidP="001B3967">
            <w:pPr>
              <w:pStyle w:val="a7"/>
              <w:ind w:left="0"/>
              <w:rPr>
                <w:sz w:val="22"/>
                <w:lang w:val="uk-UA"/>
              </w:rPr>
            </w:pPr>
            <w:r w:rsidRPr="00C86B34">
              <w:rPr>
                <w:sz w:val="22"/>
                <w:lang w:val="uk-UA"/>
              </w:rPr>
              <w:t>- стимулювання ВПО та громадян Сєвєродонецької міської територіальної громади  до повернення.</w:t>
            </w:r>
          </w:p>
          <w:p w:rsidR="00E95FB1" w:rsidRPr="00C86B34" w:rsidRDefault="00E95FB1" w:rsidP="001B3967">
            <w:pPr>
              <w:pStyle w:val="a7"/>
              <w:ind w:left="0"/>
              <w:rPr>
                <w:sz w:val="22"/>
                <w:lang w:val="uk-UA"/>
              </w:rPr>
            </w:pPr>
          </w:p>
        </w:tc>
      </w:tr>
      <w:tr w:rsidR="00E95FB1" w:rsidRPr="00C86B34" w:rsidTr="001B3967">
        <w:trPr>
          <w:trHeight w:val="390"/>
        </w:trPr>
        <w:tc>
          <w:tcPr>
            <w:tcW w:w="2694" w:type="dxa"/>
            <w:vMerge w:val="restart"/>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 xml:space="preserve">Очікувані кількісні результати реалізації </w:t>
            </w:r>
            <w:proofErr w:type="spellStart"/>
            <w:r w:rsidRPr="00C86B34">
              <w:rPr>
                <w:b/>
                <w:sz w:val="22"/>
                <w:lang w:val="uk-UA"/>
              </w:rPr>
              <w:t>проєкту</w:t>
            </w:r>
            <w:proofErr w:type="spellEnd"/>
            <w:r w:rsidRPr="00C86B34">
              <w:rPr>
                <w:b/>
                <w:sz w:val="22"/>
                <w:lang w:val="uk-UA"/>
              </w:rPr>
              <w:t xml:space="preserve"> (індикатори)</w:t>
            </w:r>
          </w:p>
          <w:p w:rsidR="00E95FB1" w:rsidRPr="00C86B34" w:rsidRDefault="00E95FB1" w:rsidP="001B3967">
            <w:pPr>
              <w:pStyle w:val="a7"/>
              <w:ind w:left="0"/>
              <w:rPr>
                <w:b/>
                <w:sz w:val="22"/>
                <w:lang w:val="uk-UA"/>
              </w:rPr>
            </w:pPr>
          </w:p>
        </w:tc>
        <w:tc>
          <w:tcPr>
            <w:tcW w:w="2835" w:type="dxa"/>
            <w:gridSpan w:val="2"/>
            <w:tcBorders>
              <w:bottom w:val="single" w:sz="4" w:space="0" w:color="auto"/>
              <w:right w:val="single" w:sz="4" w:space="0" w:color="auto"/>
            </w:tcBorders>
          </w:tcPr>
          <w:p w:rsidR="00E95FB1" w:rsidRPr="00C86B34" w:rsidRDefault="00E95FB1" w:rsidP="001B3967">
            <w:pPr>
              <w:pStyle w:val="a7"/>
              <w:ind w:left="-108"/>
              <w:jc w:val="center"/>
              <w:rPr>
                <w:b/>
                <w:sz w:val="22"/>
                <w:lang w:val="uk-UA"/>
              </w:rPr>
            </w:pPr>
            <w:r w:rsidRPr="00C86B34">
              <w:rPr>
                <w:b/>
                <w:sz w:val="22"/>
                <w:lang w:val="uk-UA"/>
              </w:rPr>
              <w:t>Найменування показника</w:t>
            </w:r>
          </w:p>
        </w:tc>
        <w:tc>
          <w:tcPr>
            <w:tcW w:w="2410" w:type="dxa"/>
            <w:gridSpan w:val="3"/>
            <w:tcBorders>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Одиниця вимірювання</w:t>
            </w:r>
          </w:p>
          <w:p w:rsidR="00E95FB1" w:rsidRPr="00C86B34" w:rsidRDefault="00E95FB1" w:rsidP="001B3967">
            <w:pPr>
              <w:pStyle w:val="a7"/>
              <w:ind w:left="0"/>
              <w:rPr>
                <w:b/>
                <w:sz w:val="22"/>
                <w:lang w:val="uk-UA"/>
              </w:rPr>
            </w:pPr>
          </w:p>
        </w:tc>
        <w:tc>
          <w:tcPr>
            <w:tcW w:w="1843" w:type="dxa"/>
            <w:gridSpan w:val="2"/>
            <w:tcBorders>
              <w:left w:val="single" w:sz="4" w:space="0" w:color="auto"/>
              <w:bottom w:val="single" w:sz="4" w:space="0" w:color="auto"/>
            </w:tcBorders>
          </w:tcPr>
          <w:p w:rsidR="00E95FB1" w:rsidRPr="00C86B34" w:rsidRDefault="00E95FB1" w:rsidP="001B3967">
            <w:pPr>
              <w:pStyle w:val="a7"/>
              <w:ind w:left="0"/>
              <w:jc w:val="center"/>
              <w:rPr>
                <w:b/>
                <w:sz w:val="22"/>
                <w:lang w:val="uk-UA"/>
              </w:rPr>
            </w:pPr>
            <w:r w:rsidRPr="00C86B34">
              <w:rPr>
                <w:b/>
                <w:sz w:val="22"/>
                <w:lang w:val="uk-UA"/>
              </w:rPr>
              <w:t>Прогнозне (цільове) значення</w:t>
            </w:r>
          </w:p>
        </w:tc>
      </w:tr>
      <w:tr w:rsidR="00E95FB1" w:rsidRPr="00C86B34" w:rsidTr="001B3967">
        <w:trPr>
          <w:trHeight w:val="58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2835" w:type="dxa"/>
            <w:gridSpan w:val="2"/>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Кількість здобувачів позашкільної освіти</w:t>
            </w:r>
          </w:p>
          <w:p w:rsidR="00E95FB1" w:rsidRPr="00C86B34" w:rsidRDefault="00E95FB1" w:rsidP="001B3967">
            <w:pPr>
              <w:pStyle w:val="a7"/>
              <w:ind w:left="0"/>
              <w:jc w:val="center"/>
              <w:rPr>
                <w:sz w:val="22"/>
                <w:lang w:val="uk-UA"/>
              </w:rPr>
            </w:pPr>
            <w:r w:rsidRPr="00C86B34">
              <w:rPr>
                <w:sz w:val="22"/>
                <w:lang w:val="uk-UA"/>
              </w:rPr>
              <w:t>(рік)</w:t>
            </w:r>
          </w:p>
        </w:tc>
        <w:tc>
          <w:tcPr>
            <w:tcW w:w="2410" w:type="dxa"/>
            <w:gridSpan w:val="3"/>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осіб</w:t>
            </w:r>
          </w:p>
        </w:tc>
        <w:tc>
          <w:tcPr>
            <w:tcW w:w="1843" w:type="dxa"/>
            <w:gridSpan w:val="2"/>
            <w:tcBorders>
              <w:top w:val="single" w:sz="4" w:space="0" w:color="auto"/>
              <w:left w:val="single" w:sz="4" w:space="0" w:color="auto"/>
              <w:bottom w:val="single" w:sz="4" w:space="0" w:color="auto"/>
            </w:tcBorders>
          </w:tcPr>
          <w:p w:rsidR="00E95FB1" w:rsidRPr="00C86B34" w:rsidRDefault="00E95FB1" w:rsidP="001B3967">
            <w:pPr>
              <w:pStyle w:val="a7"/>
              <w:ind w:left="0"/>
              <w:jc w:val="center"/>
              <w:rPr>
                <w:b/>
                <w:sz w:val="22"/>
                <w:lang w:val="uk-UA"/>
              </w:rPr>
            </w:pPr>
          </w:p>
          <w:p w:rsidR="00E95FB1" w:rsidRPr="00C86B34" w:rsidRDefault="00E95FB1" w:rsidP="001B3967">
            <w:pPr>
              <w:jc w:val="center"/>
              <w:rPr>
                <w:sz w:val="22"/>
                <w:lang w:val="uk-UA"/>
              </w:rPr>
            </w:pPr>
            <w:r w:rsidRPr="00C86B34">
              <w:rPr>
                <w:sz w:val="22"/>
                <w:lang w:val="uk-UA"/>
              </w:rPr>
              <w:t>1300</w:t>
            </w:r>
          </w:p>
        </w:tc>
      </w:tr>
      <w:tr w:rsidR="00E95FB1" w:rsidRPr="00C86B34" w:rsidTr="001B3967">
        <w:trPr>
          <w:trHeight w:val="184"/>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2835" w:type="dxa"/>
            <w:gridSpan w:val="2"/>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Кількість напрямків навчання</w:t>
            </w:r>
          </w:p>
        </w:tc>
        <w:tc>
          <w:tcPr>
            <w:tcW w:w="2410" w:type="dxa"/>
            <w:gridSpan w:val="3"/>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843" w:type="dxa"/>
            <w:gridSpan w:val="2"/>
            <w:tcBorders>
              <w:top w:val="single" w:sz="4" w:space="0" w:color="auto"/>
              <w:left w:val="single" w:sz="4" w:space="0" w:color="auto"/>
              <w:bottom w:val="single" w:sz="4" w:space="0" w:color="auto"/>
            </w:tcBorders>
          </w:tcPr>
          <w:p w:rsidR="00E95FB1" w:rsidRPr="00C86B34" w:rsidRDefault="00E95FB1" w:rsidP="001B3967">
            <w:pPr>
              <w:pStyle w:val="a7"/>
              <w:ind w:left="0"/>
              <w:jc w:val="center"/>
              <w:rPr>
                <w:sz w:val="22"/>
                <w:lang w:val="uk-UA"/>
              </w:rPr>
            </w:pPr>
          </w:p>
          <w:p w:rsidR="00E95FB1" w:rsidRPr="00C86B34" w:rsidRDefault="00E95FB1" w:rsidP="001B3967">
            <w:pPr>
              <w:pStyle w:val="a7"/>
              <w:ind w:left="0"/>
              <w:jc w:val="center"/>
              <w:rPr>
                <w:sz w:val="22"/>
                <w:lang w:val="uk-UA"/>
              </w:rPr>
            </w:pPr>
            <w:r w:rsidRPr="00C86B34">
              <w:rPr>
                <w:sz w:val="22"/>
                <w:lang w:val="uk-UA"/>
              </w:rPr>
              <w:t>5</w:t>
            </w:r>
          </w:p>
        </w:tc>
      </w:tr>
      <w:tr w:rsidR="00E95FB1" w:rsidRPr="00C86B34" w:rsidTr="001B3967">
        <w:trPr>
          <w:trHeight w:val="16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2835" w:type="dxa"/>
            <w:gridSpan w:val="2"/>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Середньомісячна кількість годин навчань (в місяць)</w:t>
            </w:r>
          </w:p>
        </w:tc>
        <w:tc>
          <w:tcPr>
            <w:tcW w:w="2410" w:type="dxa"/>
            <w:gridSpan w:val="3"/>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843" w:type="dxa"/>
            <w:gridSpan w:val="2"/>
            <w:tcBorders>
              <w:top w:val="single" w:sz="4" w:space="0" w:color="auto"/>
              <w:left w:val="single" w:sz="4" w:space="0" w:color="auto"/>
              <w:bottom w:val="single" w:sz="4" w:space="0" w:color="auto"/>
            </w:tcBorders>
          </w:tcPr>
          <w:p w:rsidR="00E95FB1" w:rsidRPr="00C86B34" w:rsidRDefault="00E95FB1" w:rsidP="001B3967">
            <w:pPr>
              <w:pStyle w:val="a7"/>
              <w:ind w:left="0"/>
              <w:jc w:val="center"/>
              <w:rPr>
                <w:sz w:val="22"/>
                <w:lang w:val="uk-UA"/>
              </w:rPr>
            </w:pPr>
          </w:p>
          <w:p w:rsidR="00E95FB1" w:rsidRPr="00C86B34" w:rsidRDefault="00E95FB1" w:rsidP="001B3967">
            <w:pPr>
              <w:pStyle w:val="a7"/>
              <w:ind w:left="0"/>
              <w:jc w:val="center"/>
              <w:rPr>
                <w:sz w:val="22"/>
                <w:lang w:val="uk-UA"/>
              </w:rPr>
            </w:pPr>
            <w:r w:rsidRPr="00C86B34">
              <w:rPr>
                <w:sz w:val="22"/>
                <w:lang w:val="uk-UA"/>
              </w:rPr>
              <w:t>2150</w:t>
            </w:r>
          </w:p>
        </w:tc>
      </w:tr>
      <w:tr w:rsidR="00E95FB1" w:rsidRPr="00C86B34" w:rsidTr="001B3967">
        <w:trPr>
          <w:trHeight w:val="150"/>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2835" w:type="dxa"/>
            <w:gridSpan w:val="2"/>
            <w:tcBorders>
              <w:top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Середньомісячна кількість проведених заходів (в місяць)</w:t>
            </w:r>
          </w:p>
        </w:tc>
        <w:tc>
          <w:tcPr>
            <w:tcW w:w="2410" w:type="dxa"/>
            <w:gridSpan w:val="3"/>
            <w:tcBorders>
              <w:top w:val="single" w:sz="4" w:space="0" w:color="auto"/>
              <w:left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843" w:type="dxa"/>
            <w:gridSpan w:val="2"/>
            <w:tcBorders>
              <w:top w:val="single" w:sz="4" w:space="0" w:color="auto"/>
              <w:left w:val="single" w:sz="4" w:space="0" w:color="auto"/>
            </w:tcBorders>
          </w:tcPr>
          <w:p w:rsidR="00E95FB1" w:rsidRPr="00C86B34" w:rsidRDefault="00E95FB1" w:rsidP="001B3967">
            <w:pPr>
              <w:pStyle w:val="a7"/>
              <w:ind w:left="0"/>
              <w:jc w:val="center"/>
              <w:rPr>
                <w:sz w:val="22"/>
                <w:lang w:val="uk-UA"/>
              </w:rPr>
            </w:pPr>
          </w:p>
          <w:p w:rsidR="00E95FB1" w:rsidRPr="00C86B34" w:rsidRDefault="00E95FB1" w:rsidP="001B3967">
            <w:pPr>
              <w:pStyle w:val="a7"/>
              <w:ind w:left="0"/>
              <w:jc w:val="center"/>
              <w:rPr>
                <w:sz w:val="22"/>
                <w:lang w:val="uk-UA"/>
              </w:rPr>
            </w:pPr>
            <w:r w:rsidRPr="00C86B34">
              <w:rPr>
                <w:sz w:val="22"/>
                <w:lang w:val="uk-UA"/>
              </w:rPr>
              <w:t>13</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 xml:space="preserve">Ключові заходи проекту: </w:t>
            </w:r>
          </w:p>
          <w:p w:rsidR="00E95FB1" w:rsidRPr="00C86B34" w:rsidRDefault="00E95FB1" w:rsidP="001B3967">
            <w:pPr>
              <w:pStyle w:val="a7"/>
              <w:ind w:left="0"/>
              <w:rPr>
                <w:b/>
                <w:sz w:val="22"/>
                <w:lang w:val="uk-UA"/>
              </w:rPr>
            </w:pPr>
          </w:p>
        </w:tc>
        <w:tc>
          <w:tcPr>
            <w:tcW w:w="7088" w:type="dxa"/>
            <w:gridSpan w:val="7"/>
          </w:tcPr>
          <w:p w:rsidR="00E95FB1" w:rsidRPr="00C86B34" w:rsidRDefault="00E95FB1" w:rsidP="001B3967">
            <w:pPr>
              <w:rPr>
                <w:sz w:val="22"/>
                <w:lang w:val="uk-UA"/>
              </w:rPr>
            </w:pPr>
            <w:r w:rsidRPr="00C86B34">
              <w:rPr>
                <w:sz w:val="22"/>
                <w:lang w:val="uk-UA"/>
              </w:rPr>
              <w:t>- Визначення кількості обладнання, необхідного для поновлення роботи Сєвєродонецького дитячо-юнацького комплексу «Юність» та  клубів «Восход» , «Іскра», «Факел», «Меридіан», «Самбо», «Підліток».</w:t>
            </w:r>
          </w:p>
          <w:p w:rsidR="00E95FB1" w:rsidRPr="00C86B34" w:rsidRDefault="00E95FB1" w:rsidP="001B3967">
            <w:pPr>
              <w:rPr>
                <w:sz w:val="22"/>
                <w:lang w:val="uk-UA"/>
              </w:rPr>
            </w:pPr>
            <w:r w:rsidRPr="00C86B34">
              <w:rPr>
                <w:sz w:val="22"/>
                <w:lang w:val="uk-UA"/>
              </w:rPr>
              <w:t>- Визначення кількості осіб, які потребують отримання послуг.</w:t>
            </w:r>
          </w:p>
          <w:p w:rsidR="00E95FB1" w:rsidRPr="00C86B34" w:rsidRDefault="00E95FB1" w:rsidP="001B3967">
            <w:pPr>
              <w:rPr>
                <w:sz w:val="22"/>
                <w:lang w:val="uk-UA"/>
              </w:rPr>
            </w:pPr>
            <w:r w:rsidRPr="00C86B34">
              <w:rPr>
                <w:sz w:val="22"/>
                <w:lang w:val="uk-UA"/>
              </w:rPr>
              <w:t>- Укладення угоди про придбання обладнання.</w:t>
            </w:r>
          </w:p>
          <w:p w:rsidR="00E95FB1" w:rsidRPr="00C86B34" w:rsidRDefault="00E95FB1" w:rsidP="001B3967">
            <w:pPr>
              <w:rPr>
                <w:sz w:val="22"/>
                <w:lang w:val="uk-UA"/>
              </w:rPr>
            </w:pPr>
            <w:r w:rsidRPr="00C86B34">
              <w:rPr>
                <w:sz w:val="22"/>
                <w:lang w:val="uk-UA"/>
              </w:rPr>
              <w:t>- Придбання технічного забезпечення Сєвєродонецького дитячо-юнацького комплексу «Юність» та  клубів «Восход» , «Іскра», «Факел», «Меридіан», «Самбо», «Підліток».</w:t>
            </w:r>
          </w:p>
          <w:p w:rsidR="00E95FB1" w:rsidRPr="00C86B34" w:rsidRDefault="00E95FB1" w:rsidP="001B3967">
            <w:pPr>
              <w:pStyle w:val="a7"/>
              <w:ind w:left="0"/>
              <w:rPr>
                <w:sz w:val="22"/>
                <w:lang w:val="uk-UA"/>
              </w:rPr>
            </w:pPr>
          </w:p>
        </w:tc>
      </w:tr>
      <w:tr w:rsidR="00E95FB1" w:rsidRPr="00C86B34" w:rsidTr="001B3967">
        <w:trPr>
          <w:trHeight w:val="360"/>
        </w:trPr>
        <w:tc>
          <w:tcPr>
            <w:tcW w:w="2694" w:type="dxa"/>
            <w:vMerge w:val="restart"/>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 xml:space="preserve">Орієнтовний обсяг та джерела фінансування, тис. грн. </w:t>
            </w:r>
          </w:p>
          <w:p w:rsidR="00E95FB1" w:rsidRPr="00C86B34" w:rsidRDefault="00E95FB1" w:rsidP="001B3967">
            <w:pPr>
              <w:pStyle w:val="a7"/>
              <w:ind w:left="0"/>
              <w:rPr>
                <w:b/>
                <w:sz w:val="22"/>
                <w:lang w:val="uk-UA"/>
              </w:rPr>
            </w:pPr>
          </w:p>
        </w:tc>
        <w:tc>
          <w:tcPr>
            <w:tcW w:w="2098" w:type="dxa"/>
            <w:tcBorders>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Державний бюджет</w:t>
            </w:r>
          </w:p>
        </w:tc>
        <w:tc>
          <w:tcPr>
            <w:tcW w:w="1348" w:type="dxa"/>
            <w:gridSpan w:val="2"/>
            <w:tcBorders>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Місцевий бюджет</w:t>
            </w:r>
          </w:p>
        </w:tc>
        <w:tc>
          <w:tcPr>
            <w:tcW w:w="2411" w:type="dxa"/>
            <w:gridSpan w:val="3"/>
            <w:tcBorders>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Інші джерела</w:t>
            </w:r>
          </w:p>
        </w:tc>
        <w:tc>
          <w:tcPr>
            <w:tcW w:w="1231" w:type="dxa"/>
            <w:tcBorders>
              <w:left w:val="single" w:sz="4" w:space="0" w:color="auto"/>
              <w:bottom w:val="single" w:sz="4" w:space="0" w:color="auto"/>
            </w:tcBorders>
          </w:tcPr>
          <w:p w:rsidR="00E95FB1" w:rsidRPr="00C86B34" w:rsidRDefault="00E95FB1" w:rsidP="001B3967">
            <w:pPr>
              <w:pStyle w:val="a7"/>
              <w:ind w:left="0"/>
              <w:jc w:val="center"/>
              <w:rPr>
                <w:b/>
                <w:sz w:val="22"/>
                <w:lang w:val="uk-UA"/>
              </w:rPr>
            </w:pPr>
            <w:r w:rsidRPr="00C86B34">
              <w:rPr>
                <w:b/>
                <w:sz w:val="22"/>
                <w:lang w:val="uk-UA"/>
              </w:rPr>
              <w:t>Всього</w:t>
            </w:r>
          </w:p>
        </w:tc>
      </w:tr>
      <w:tr w:rsidR="00E95FB1" w:rsidRPr="00C86B34" w:rsidTr="001B3967">
        <w:trPr>
          <w:trHeight w:val="22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2098" w:type="dxa"/>
            <w:vMerge w:val="restart"/>
            <w:tcBorders>
              <w:top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sz w:val="22"/>
                <w:lang w:val="uk-UA"/>
              </w:rPr>
              <w:t>6751,814</w:t>
            </w:r>
          </w:p>
        </w:tc>
        <w:tc>
          <w:tcPr>
            <w:tcW w:w="1348" w:type="dxa"/>
            <w:gridSpan w:val="2"/>
            <w:vMerge w:val="restart"/>
            <w:tcBorders>
              <w:top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w:t>
            </w:r>
          </w:p>
        </w:tc>
        <w:tc>
          <w:tcPr>
            <w:tcW w:w="1116" w:type="dxa"/>
            <w:tcBorders>
              <w:top w:val="single" w:sz="4" w:space="0" w:color="auto"/>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Обсяг</w:t>
            </w:r>
          </w:p>
        </w:tc>
        <w:tc>
          <w:tcPr>
            <w:tcW w:w="1295" w:type="dxa"/>
            <w:gridSpan w:val="2"/>
            <w:tcBorders>
              <w:top w:val="single" w:sz="4" w:space="0" w:color="auto"/>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Назва джерела</w:t>
            </w:r>
          </w:p>
        </w:tc>
        <w:tc>
          <w:tcPr>
            <w:tcW w:w="1231" w:type="dxa"/>
            <w:vMerge w:val="restart"/>
            <w:tcBorders>
              <w:top w:val="single" w:sz="4" w:space="0" w:color="auto"/>
              <w:left w:val="single" w:sz="4" w:space="0" w:color="auto"/>
            </w:tcBorders>
          </w:tcPr>
          <w:p w:rsidR="00E95FB1" w:rsidRPr="00C86B34" w:rsidRDefault="00E95FB1" w:rsidP="001B3967">
            <w:pPr>
              <w:pStyle w:val="a7"/>
              <w:ind w:left="0"/>
              <w:jc w:val="center"/>
              <w:rPr>
                <w:sz w:val="22"/>
                <w:lang w:val="uk-UA"/>
              </w:rPr>
            </w:pPr>
            <w:r w:rsidRPr="00C86B34">
              <w:rPr>
                <w:rFonts w:eastAsiaTheme="minorHAnsi"/>
                <w:color w:val="000000"/>
                <w:sz w:val="22"/>
                <w:lang w:val="uk-UA"/>
              </w:rPr>
              <w:t>9645,449</w:t>
            </w:r>
          </w:p>
        </w:tc>
      </w:tr>
      <w:tr w:rsidR="00E95FB1" w:rsidRPr="00C86B34" w:rsidTr="001B3967">
        <w:trPr>
          <w:trHeight w:val="300"/>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2098" w:type="dxa"/>
            <w:vMerge/>
            <w:tcBorders>
              <w:right w:val="single" w:sz="4" w:space="0" w:color="auto"/>
            </w:tcBorders>
          </w:tcPr>
          <w:p w:rsidR="00E95FB1" w:rsidRPr="00C86B34" w:rsidRDefault="00E95FB1" w:rsidP="001B3967">
            <w:pPr>
              <w:pStyle w:val="a7"/>
              <w:ind w:left="0"/>
              <w:jc w:val="center"/>
              <w:rPr>
                <w:sz w:val="22"/>
                <w:lang w:val="uk-UA"/>
              </w:rPr>
            </w:pPr>
          </w:p>
        </w:tc>
        <w:tc>
          <w:tcPr>
            <w:tcW w:w="1348" w:type="dxa"/>
            <w:gridSpan w:val="2"/>
            <w:vMerge/>
            <w:tcBorders>
              <w:right w:val="single" w:sz="4" w:space="0" w:color="auto"/>
            </w:tcBorders>
          </w:tcPr>
          <w:p w:rsidR="00E95FB1" w:rsidRPr="00C86B34" w:rsidRDefault="00E95FB1" w:rsidP="001B3967">
            <w:pPr>
              <w:pStyle w:val="a7"/>
              <w:ind w:left="0"/>
              <w:jc w:val="center"/>
              <w:rPr>
                <w:b/>
                <w:sz w:val="22"/>
                <w:lang w:val="uk-UA"/>
              </w:rPr>
            </w:pPr>
          </w:p>
        </w:tc>
        <w:tc>
          <w:tcPr>
            <w:tcW w:w="1116" w:type="dxa"/>
            <w:tcBorders>
              <w:top w:val="single" w:sz="4" w:space="0" w:color="auto"/>
              <w:left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2893,635</w:t>
            </w:r>
          </w:p>
        </w:tc>
        <w:tc>
          <w:tcPr>
            <w:tcW w:w="1295" w:type="dxa"/>
            <w:gridSpan w:val="2"/>
            <w:tcBorders>
              <w:top w:val="single" w:sz="4" w:space="0" w:color="auto"/>
              <w:left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Іноземні інвестиції, кошти приватних осіб</w:t>
            </w:r>
          </w:p>
        </w:tc>
        <w:tc>
          <w:tcPr>
            <w:tcW w:w="1231" w:type="dxa"/>
            <w:vMerge/>
            <w:tcBorders>
              <w:left w:val="single" w:sz="4" w:space="0" w:color="auto"/>
            </w:tcBorders>
          </w:tcPr>
          <w:p w:rsidR="00E95FB1" w:rsidRPr="00C86B34" w:rsidRDefault="00E95FB1" w:rsidP="001B3967">
            <w:pPr>
              <w:pStyle w:val="a7"/>
              <w:ind w:left="0"/>
              <w:jc w:val="center"/>
              <w:rPr>
                <w:sz w:val="22"/>
                <w:lang w:val="uk-UA"/>
              </w:rPr>
            </w:pPr>
          </w:p>
        </w:tc>
      </w:tr>
    </w:tbl>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tbl>
      <w:tblPr>
        <w:tblStyle w:val="11"/>
        <w:tblW w:w="0" w:type="auto"/>
        <w:tblInd w:w="-176" w:type="dxa"/>
        <w:tblLook w:val="04A0" w:firstRow="1" w:lastRow="0" w:firstColumn="1" w:lastColumn="0" w:noHBand="0" w:noVBand="1"/>
      </w:tblPr>
      <w:tblGrid>
        <w:gridCol w:w="2635"/>
        <w:gridCol w:w="1635"/>
        <w:gridCol w:w="1415"/>
        <w:gridCol w:w="504"/>
        <w:gridCol w:w="602"/>
        <w:gridCol w:w="1228"/>
        <w:gridCol w:w="220"/>
        <w:gridCol w:w="1423"/>
      </w:tblGrid>
      <w:tr w:rsidR="00E95FB1" w:rsidRPr="00C86B34" w:rsidTr="001B3967">
        <w:tc>
          <w:tcPr>
            <w:tcW w:w="2747" w:type="dxa"/>
            <w:shd w:val="clear" w:color="auto" w:fill="C6D9F1" w:themeFill="text2" w:themeFillTint="33"/>
          </w:tcPr>
          <w:p w:rsidR="00E95FB1" w:rsidRPr="00C86B34" w:rsidRDefault="00E95FB1" w:rsidP="001B3967">
            <w:pPr>
              <w:contextualSpacing/>
              <w:rPr>
                <w:b/>
                <w:sz w:val="22"/>
                <w:lang w:val="uk-UA"/>
              </w:rPr>
            </w:pPr>
            <w:r w:rsidRPr="00C86B34">
              <w:rPr>
                <w:b/>
                <w:sz w:val="22"/>
                <w:lang w:val="uk-UA"/>
              </w:rPr>
              <w:t>Оперативна ціль/завдання</w:t>
            </w:r>
          </w:p>
        </w:tc>
        <w:tc>
          <w:tcPr>
            <w:tcW w:w="7141" w:type="dxa"/>
            <w:gridSpan w:val="7"/>
            <w:shd w:val="clear" w:color="auto" w:fill="auto"/>
          </w:tcPr>
          <w:p w:rsidR="00E95FB1" w:rsidRPr="00C86B34" w:rsidRDefault="008D1B1E" w:rsidP="001B3967">
            <w:pPr>
              <w:contextualSpacing/>
              <w:rPr>
                <w:b/>
                <w:sz w:val="22"/>
                <w:lang w:val="uk-UA"/>
              </w:rPr>
            </w:pPr>
            <w:r w:rsidRPr="00C86B34">
              <w:rPr>
                <w:rFonts w:eastAsia="Arial"/>
                <w:sz w:val="22"/>
                <w:lang w:val="uk-UA"/>
              </w:rPr>
              <w:t>Людський розвиток через інновації управління та  довіру до влади. Сучасний ЦНАП із віддаленими робочими місцями в сільській місцевості</w:t>
            </w:r>
          </w:p>
        </w:tc>
      </w:tr>
      <w:tr w:rsidR="00E95FB1" w:rsidRPr="00C86B34" w:rsidTr="001B3967">
        <w:tc>
          <w:tcPr>
            <w:tcW w:w="2747" w:type="dxa"/>
            <w:shd w:val="clear" w:color="auto" w:fill="C6D9F1" w:themeFill="text2" w:themeFillTint="33"/>
          </w:tcPr>
          <w:p w:rsidR="00E95FB1" w:rsidRPr="00C86B34" w:rsidRDefault="00E95FB1" w:rsidP="001B3967">
            <w:pPr>
              <w:contextualSpacing/>
              <w:rPr>
                <w:b/>
                <w:sz w:val="22"/>
                <w:lang w:val="uk-UA"/>
              </w:rPr>
            </w:pPr>
            <w:r w:rsidRPr="00C86B34">
              <w:rPr>
                <w:b/>
                <w:sz w:val="22"/>
                <w:lang w:val="uk-UA"/>
              </w:rPr>
              <w:t>Назва проекту:</w:t>
            </w:r>
          </w:p>
        </w:tc>
        <w:tc>
          <w:tcPr>
            <w:tcW w:w="7141" w:type="dxa"/>
            <w:gridSpan w:val="7"/>
          </w:tcPr>
          <w:p w:rsidR="00E95FB1" w:rsidRPr="00C86B34" w:rsidRDefault="00E95FB1" w:rsidP="001B3967">
            <w:pPr>
              <w:contextualSpacing/>
              <w:rPr>
                <w:sz w:val="22"/>
                <w:lang w:val="uk-UA"/>
              </w:rPr>
            </w:pPr>
            <w:r w:rsidRPr="00C86B34">
              <w:rPr>
                <w:sz w:val="22"/>
                <w:lang w:val="uk-UA"/>
              </w:rPr>
              <w:t xml:space="preserve">Відновлення діяльності Центру надання адміністративних послуг у </w:t>
            </w:r>
            <w:proofErr w:type="spellStart"/>
            <w:r w:rsidRPr="00C86B34">
              <w:rPr>
                <w:sz w:val="22"/>
                <w:lang w:val="uk-UA"/>
              </w:rPr>
              <w:t>м.Сєвєродонецьку</w:t>
            </w:r>
            <w:proofErr w:type="spellEnd"/>
            <w:r w:rsidRPr="00C86B34">
              <w:rPr>
                <w:sz w:val="22"/>
                <w:lang w:val="uk-UA"/>
              </w:rPr>
              <w:t xml:space="preserve"> </w:t>
            </w:r>
          </w:p>
        </w:tc>
      </w:tr>
      <w:tr w:rsidR="00E95FB1" w:rsidRPr="00C86B34" w:rsidTr="001B3967">
        <w:tc>
          <w:tcPr>
            <w:tcW w:w="2747" w:type="dxa"/>
            <w:shd w:val="clear" w:color="auto" w:fill="C6D9F1" w:themeFill="text2" w:themeFillTint="33"/>
          </w:tcPr>
          <w:p w:rsidR="00E95FB1" w:rsidRPr="00C86B34" w:rsidRDefault="00E95FB1" w:rsidP="001B3967">
            <w:pPr>
              <w:rPr>
                <w:b/>
                <w:sz w:val="22"/>
                <w:lang w:val="uk-UA"/>
              </w:rPr>
            </w:pPr>
            <w:r w:rsidRPr="00C86B34">
              <w:rPr>
                <w:b/>
                <w:sz w:val="22"/>
                <w:lang w:val="uk-UA"/>
              </w:rPr>
              <w:t>Ціль проекту</w:t>
            </w:r>
          </w:p>
        </w:tc>
        <w:tc>
          <w:tcPr>
            <w:tcW w:w="7141" w:type="dxa"/>
            <w:gridSpan w:val="7"/>
          </w:tcPr>
          <w:p w:rsidR="00E95FB1" w:rsidRPr="00C86B34" w:rsidRDefault="00E95FB1" w:rsidP="001B3967">
            <w:pPr>
              <w:contextualSpacing/>
              <w:rPr>
                <w:sz w:val="22"/>
                <w:lang w:val="uk-UA"/>
              </w:rPr>
            </w:pPr>
            <w:r w:rsidRPr="00C86B34">
              <w:rPr>
                <w:sz w:val="22"/>
                <w:lang w:val="uk-UA"/>
              </w:rPr>
              <w:t xml:space="preserve">Відновлення роботи та матеріально-технічне забезпечення функціонування Центру надання адміністративних послуг у </w:t>
            </w:r>
            <w:proofErr w:type="spellStart"/>
            <w:r w:rsidRPr="00C86B34">
              <w:rPr>
                <w:sz w:val="22"/>
                <w:lang w:val="uk-UA"/>
              </w:rPr>
              <w:t>м.Сєвєродонецьку</w:t>
            </w:r>
            <w:proofErr w:type="spellEnd"/>
            <w:r w:rsidRPr="00C86B34">
              <w:rPr>
                <w:sz w:val="22"/>
                <w:lang w:val="uk-UA"/>
              </w:rPr>
              <w:t xml:space="preserve"> (далі</w:t>
            </w:r>
            <w:r w:rsidR="00F17B28" w:rsidRPr="00C86B34">
              <w:rPr>
                <w:sz w:val="22"/>
                <w:lang w:val="uk-UA"/>
              </w:rPr>
              <w:t xml:space="preserve"> </w:t>
            </w:r>
            <w:r w:rsidRPr="00C86B34">
              <w:rPr>
                <w:sz w:val="22"/>
                <w:lang w:val="uk-UA"/>
              </w:rPr>
              <w:t xml:space="preserve">- ЦНАП) на </w:t>
            </w:r>
            <w:proofErr w:type="spellStart"/>
            <w:r w:rsidRPr="00C86B34">
              <w:rPr>
                <w:sz w:val="22"/>
                <w:lang w:val="uk-UA"/>
              </w:rPr>
              <w:t>деокупованій</w:t>
            </w:r>
            <w:proofErr w:type="spellEnd"/>
            <w:r w:rsidRPr="00C86B34">
              <w:rPr>
                <w:sz w:val="22"/>
                <w:lang w:val="uk-UA"/>
              </w:rPr>
              <w:t xml:space="preserve"> території Луганської області для надання широкого спектру </w:t>
            </w:r>
            <w:r w:rsidRPr="00C86B34">
              <w:rPr>
                <w:color w:val="000000"/>
                <w:sz w:val="22"/>
                <w:lang w:val="uk-UA"/>
              </w:rPr>
              <w:t>адміністративних</w:t>
            </w:r>
            <w:r w:rsidRPr="00C86B34">
              <w:rPr>
                <w:sz w:val="22"/>
                <w:lang w:val="uk-UA"/>
              </w:rPr>
              <w:t xml:space="preserve"> послуг</w:t>
            </w:r>
          </w:p>
        </w:tc>
      </w:tr>
      <w:tr w:rsidR="00E95FB1" w:rsidRPr="00C86B34" w:rsidTr="001B3967">
        <w:tc>
          <w:tcPr>
            <w:tcW w:w="2747" w:type="dxa"/>
            <w:shd w:val="clear" w:color="auto" w:fill="C6D9F1" w:themeFill="text2" w:themeFillTint="33"/>
          </w:tcPr>
          <w:p w:rsidR="00E95FB1" w:rsidRPr="00C86B34" w:rsidRDefault="00E95FB1" w:rsidP="001B3967">
            <w:pPr>
              <w:contextualSpacing/>
              <w:rPr>
                <w:b/>
                <w:sz w:val="22"/>
                <w:lang w:val="uk-UA"/>
              </w:rPr>
            </w:pPr>
            <w:r w:rsidRPr="00C86B34">
              <w:rPr>
                <w:b/>
                <w:sz w:val="22"/>
                <w:lang w:val="uk-UA"/>
              </w:rPr>
              <w:t>Територія, на яку матиме вплив реалізація проекту</w:t>
            </w:r>
          </w:p>
        </w:tc>
        <w:tc>
          <w:tcPr>
            <w:tcW w:w="7141" w:type="dxa"/>
            <w:gridSpan w:val="7"/>
          </w:tcPr>
          <w:p w:rsidR="00E95FB1" w:rsidRPr="00C86B34" w:rsidRDefault="00E95FB1" w:rsidP="001B3967">
            <w:pPr>
              <w:contextualSpacing/>
              <w:rPr>
                <w:sz w:val="22"/>
                <w:lang w:val="uk-UA"/>
              </w:rPr>
            </w:pPr>
            <w:r w:rsidRPr="00C86B34">
              <w:rPr>
                <w:sz w:val="22"/>
                <w:lang w:val="uk-UA"/>
              </w:rPr>
              <w:t>Сєвєродонецька міська територіальна громада</w:t>
            </w:r>
          </w:p>
        </w:tc>
      </w:tr>
      <w:tr w:rsidR="00E95FB1" w:rsidRPr="00C86B34" w:rsidTr="001B3967">
        <w:tc>
          <w:tcPr>
            <w:tcW w:w="2747" w:type="dxa"/>
            <w:shd w:val="clear" w:color="auto" w:fill="C6D9F1" w:themeFill="text2" w:themeFillTint="33"/>
          </w:tcPr>
          <w:p w:rsidR="00E95FB1" w:rsidRPr="00C86B34" w:rsidRDefault="00E95FB1" w:rsidP="001B3967">
            <w:pPr>
              <w:contextualSpacing/>
              <w:rPr>
                <w:b/>
                <w:sz w:val="22"/>
                <w:lang w:val="uk-UA"/>
              </w:rPr>
            </w:pPr>
            <w:r w:rsidRPr="00C86B34">
              <w:rPr>
                <w:b/>
                <w:sz w:val="22"/>
                <w:lang w:val="uk-UA"/>
              </w:rPr>
              <w:t>Чисельність населення, на яке матиме вплив реалізація проекту</w:t>
            </w:r>
          </w:p>
        </w:tc>
        <w:tc>
          <w:tcPr>
            <w:tcW w:w="7141" w:type="dxa"/>
            <w:gridSpan w:val="7"/>
          </w:tcPr>
          <w:p w:rsidR="00E95FB1" w:rsidRPr="00C86B34" w:rsidRDefault="00E95FB1" w:rsidP="00F17B28">
            <w:pPr>
              <w:contextualSpacing/>
              <w:rPr>
                <w:sz w:val="22"/>
                <w:lang w:val="uk-UA"/>
              </w:rPr>
            </w:pPr>
            <w:r w:rsidRPr="00C86B34">
              <w:rPr>
                <w:sz w:val="22"/>
                <w:lang w:val="uk-UA"/>
              </w:rPr>
              <w:t xml:space="preserve"> </w:t>
            </w:r>
            <w:r w:rsidR="00F17B28" w:rsidRPr="00C86B34">
              <w:rPr>
                <w:sz w:val="22"/>
                <w:lang w:val="uk-UA"/>
              </w:rPr>
              <w:t>70 000</w:t>
            </w:r>
          </w:p>
        </w:tc>
      </w:tr>
      <w:tr w:rsidR="00E95FB1" w:rsidRPr="00C86B34" w:rsidTr="001B3967">
        <w:tc>
          <w:tcPr>
            <w:tcW w:w="2747" w:type="dxa"/>
            <w:shd w:val="clear" w:color="auto" w:fill="C6D9F1" w:themeFill="text2" w:themeFillTint="33"/>
          </w:tcPr>
          <w:p w:rsidR="00E95FB1" w:rsidRPr="00C86B34" w:rsidRDefault="00E95FB1" w:rsidP="001B3967">
            <w:pPr>
              <w:rPr>
                <w:b/>
                <w:sz w:val="22"/>
                <w:lang w:val="uk-UA"/>
              </w:rPr>
            </w:pPr>
            <w:r w:rsidRPr="00C86B34">
              <w:rPr>
                <w:b/>
                <w:sz w:val="22"/>
                <w:lang w:val="uk-UA"/>
              </w:rPr>
              <w:t>Опис проблеми, на вирішення якої  спрямований проект</w:t>
            </w:r>
          </w:p>
        </w:tc>
        <w:tc>
          <w:tcPr>
            <w:tcW w:w="7141" w:type="dxa"/>
            <w:gridSpan w:val="7"/>
          </w:tcPr>
          <w:p w:rsidR="00E95FB1" w:rsidRPr="00C86B34" w:rsidRDefault="00E95FB1" w:rsidP="001B3967">
            <w:pPr>
              <w:ind w:firstLine="708"/>
              <w:rPr>
                <w:sz w:val="22"/>
                <w:lang w:val="uk-UA"/>
              </w:rPr>
            </w:pPr>
            <w:r w:rsidRPr="00C86B34">
              <w:rPr>
                <w:sz w:val="22"/>
                <w:lang w:val="uk-UA"/>
              </w:rPr>
              <w:t>Через військову агресію РФ територія Сєвєродонецької міської територіальної громади зазнала значних пошкоджень. Не оминуло це і ЦНАП.</w:t>
            </w:r>
          </w:p>
          <w:p w:rsidR="00E95FB1" w:rsidRPr="00C86B34" w:rsidRDefault="00E95FB1" w:rsidP="001B3967">
            <w:pPr>
              <w:ind w:firstLine="708"/>
              <w:rPr>
                <w:sz w:val="22"/>
                <w:lang w:val="uk-UA"/>
              </w:rPr>
            </w:pPr>
            <w:r w:rsidRPr="00C86B34">
              <w:rPr>
                <w:sz w:val="22"/>
                <w:lang w:val="uk-UA"/>
              </w:rPr>
              <w:t xml:space="preserve">Вся матеріально-технічна база </w:t>
            </w:r>
            <w:proofErr w:type="spellStart"/>
            <w:r w:rsidRPr="00C86B34">
              <w:rPr>
                <w:sz w:val="22"/>
                <w:lang w:val="uk-UA"/>
              </w:rPr>
              <w:t>ЦНАПу</w:t>
            </w:r>
            <w:proofErr w:type="spellEnd"/>
            <w:r w:rsidRPr="00C86B34">
              <w:rPr>
                <w:sz w:val="22"/>
                <w:lang w:val="uk-UA"/>
              </w:rPr>
              <w:t>, зокрема:</w:t>
            </w:r>
          </w:p>
          <w:p w:rsidR="00E95FB1" w:rsidRPr="00C86B34" w:rsidRDefault="00E95FB1" w:rsidP="000303D7">
            <w:pPr>
              <w:numPr>
                <w:ilvl w:val="0"/>
                <w:numId w:val="9"/>
              </w:numPr>
              <w:rPr>
                <w:sz w:val="22"/>
                <w:lang w:val="uk-UA"/>
              </w:rPr>
            </w:pPr>
            <w:r w:rsidRPr="00C86B34">
              <w:rPr>
                <w:sz w:val="22"/>
                <w:lang w:val="uk-UA"/>
              </w:rPr>
              <w:t>Система електронної черги з трьома екранами</w:t>
            </w:r>
            <w:r w:rsidR="008D1B1E" w:rsidRPr="00C86B34">
              <w:rPr>
                <w:sz w:val="22"/>
                <w:lang w:val="uk-UA"/>
              </w:rPr>
              <w:t>.</w:t>
            </w:r>
          </w:p>
          <w:p w:rsidR="00E95FB1" w:rsidRPr="00C86B34" w:rsidRDefault="00E95FB1" w:rsidP="000303D7">
            <w:pPr>
              <w:numPr>
                <w:ilvl w:val="0"/>
                <w:numId w:val="9"/>
              </w:numPr>
              <w:rPr>
                <w:sz w:val="22"/>
                <w:lang w:val="uk-UA"/>
              </w:rPr>
            </w:pPr>
            <w:r w:rsidRPr="00C86B34">
              <w:rPr>
                <w:sz w:val="22"/>
                <w:lang w:val="uk-UA"/>
              </w:rPr>
              <w:t>Сервери та система  КСЗІ</w:t>
            </w:r>
            <w:r w:rsidR="008D1B1E" w:rsidRPr="00C86B34">
              <w:rPr>
                <w:sz w:val="22"/>
                <w:lang w:val="uk-UA"/>
              </w:rPr>
              <w:t>.</w:t>
            </w:r>
          </w:p>
          <w:p w:rsidR="00E95FB1" w:rsidRPr="00C86B34" w:rsidRDefault="00E95FB1" w:rsidP="000303D7">
            <w:pPr>
              <w:numPr>
                <w:ilvl w:val="0"/>
                <w:numId w:val="9"/>
              </w:numPr>
              <w:rPr>
                <w:sz w:val="22"/>
                <w:lang w:val="uk-UA"/>
              </w:rPr>
            </w:pPr>
            <w:r w:rsidRPr="00C86B34">
              <w:rPr>
                <w:sz w:val="22"/>
                <w:lang w:val="uk-UA"/>
              </w:rPr>
              <w:t>Робочі станції для оформлення та видачі паспортних документів,  посвідчень водія</w:t>
            </w:r>
            <w:r w:rsidR="008D1B1E" w:rsidRPr="00C86B34">
              <w:rPr>
                <w:sz w:val="22"/>
                <w:lang w:val="uk-UA"/>
              </w:rPr>
              <w:t>.</w:t>
            </w:r>
          </w:p>
          <w:p w:rsidR="00E95FB1" w:rsidRPr="00C86B34" w:rsidRDefault="00E95FB1" w:rsidP="000303D7">
            <w:pPr>
              <w:numPr>
                <w:ilvl w:val="0"/>
                <w:numId w:val="9"/>
              </w:numPr>
              <w:rPr>
                <w:sz w:val="22"/>
                <w:lang w:val="uk-UA"/>
              </w:rPr>
            </w:pPr>
            <w:r w:rsidRPr="00C86B34">
              <w:rPr>
                <w:sz w:val="22"/>
                <w:lang w:val="uk-UA"/>
              </w:rPr>
              <w:t>Комп’ютерна техніка із відповідним програмним забезпеченням</w:t>
            </w:r>
            <w:r w:rsidR="008D1B1E" w:rsidRPr="00C86B34">
              <w:rPr>
                <w:sz w:val="22"/>
                <w:lang w:val="uk-UA"/>
              </w:rPr>
              <w:t>.</w:t>
            </w:r>
          </w:p>
          <w:p w:rsidR="00E95FB1" w:rsidRPr="00C86B34" w:rsidRDefault="00E95FB1" w:rsidP="001B3967">
            <w:pPr>
              <w:ind w:left="753"/>
              <w:rPr>
                <w:sz w:val="22"/>
                <w:highlight w:val="yellow"/>
                <w:lang w:val="uk-UA"/>
              </w:rPr>
            </w:pPr>
            <w:r w:rsidRPr="00C86B34">
              <w:rPr>
                <w:sz w:val="22"/>
                <w:lang w:val="uk-UA"/>
              </w:rPr>
              <w:t>-  Інша оргтехніка (монітори, принтери, сканери тощо)</w:t>
            </w:r>
            <w:r w:rsidR="008D1B1E" w:rsidRPr="00C86B34">
              <w:rPr>
                <w:sz w:val="22"/>
                <w:lang w:val="uk-UA"/>
              </w:rPr>
              <w:t>.</w:t>
            </w:r>
          </w:p>
          <w:p w:rsidR="00E95FB1" w:rsidRPr="00C86B34" w:rsidRDefault="00E95FB1" w:rsidP="000303D7">
            <w:pPr>
              <w:numPr>
                <w:ilvl w:val="0"/>
                <w:numId w:val="9"/>
              </w:numPr>
              <w:rPr>
                <w:sz w:val="22"/>
                <w:lang w:val="uk-UA"/>
              </w:rPr>
            </w:pPr>
            <w:r w:rsidRPr="00C86B34">
              <w:rPr>
                <w:sz w:val="22"/>
                <w:lang w:val="uk-UA"/>
              </w:rPr>
              <w:t>Основні засоби (офісні меблі, сейф, спеціалізований службовий вантажний автомобіль «Мобільний ЦНАП» тощо) були знищені або викрадені.</w:t>
            </w:r>
          </w:p>
          <w:p w:rsidR="00E95FB1" w:rsidRPr="00C86B34" w:rsidRDefault="00E95FB1" w:rsidP="001B3967">
            <w:pPr>
              <w:rPr>
                <w:rFonts w:eastAsia="Arial"/>
                <w:sz w:val="22"/>
                <w:lang w:val="uk-UA"/>
              </w:rPr>
            </w:pPr>
            <w:r w:rsidRPr="00C86B34">
              <w:rPr>
                <w:rFonts w:eastAsia="Arial"/>
                <w:sz w:val="22"/>
                <w:lang w:val="uk-UA"/>
              </w:rPr>
              <w:t xml:space="preserve">Для відбудови та розвитку громади потрібне відновлення якісного та комфортного отримання мешканцями громади </w:t>
            </w:r>
            <w:r w:rsidRPr="00C86B34">
              <w:rPr>
                <w:sz w:val="22"/>
                <w:shd w:val="clear" w:color="auto" w:fill="FFFFFF"/>
                <w:lang w:val="uk-UA"/>
              </w:rPr>
              <w:t xml:space="preserve">послуг </w:t>
            </w:r>
            <w:r w:rsidRPr="00C86B34">
              <w:rPr>
                <w:sz w:val="22"/>
                <w:shd w:val="clear" w:color="auto" w:fill="FFFFFF"/>
                <w:lang w:val="uk-UA"/>
              </w:rPr>
              <w:lastRenderedPageBreak/>
              <w:t>адміністративного, соціального, пенсійного та ін. характеру за принципом «єдиного вікна». Площа будівлі складає 577 м</w:t>
            </w:r>
            <w:r w:rsidRPr="00C86B34">
              <w:rPr>
                <w:sz w:val="22"/>
                <w:shd w:val="clear" w:color="auto" w:fill="FFFFFF"/>
                <w:vertAlign w:val="superscript"/>
                <w:lang w:val="uk-UA"/>
              </w:rPr>
              <w:t>2</w:t>
            </w:r>
            <w:r w:rsidRPr="00C86B34">
              <w:rPr>
                <w:sz w:val="22"/>
                <w:shd w:val="clear" w:color="auto" w:fill="FFFFFF"/>
                <w:lang w:val="uk-UA"/>
              </w:rPr>
              <w:t xml:space="preserve">, в ЦНАП працює 31 співробітник. До початку </w:t>
            </w:r>
            <w:r w:rsidRPr="00C86B34">
              <w:rPr>
                <w:sz w:val="22"/>
                <w:lang w:val="uk-UA"/>
              </w:rPr>
              <w:t xml:space="preserve">військової агресії РФ </w:t>
            </w:r>
            <w:r w:rsidRPr="00C86B34">
              <w:rPr>
                <w:sz w:val="22"/>
                <w:shd w:val="clear" w:color="auto" w:fill="FFFFFF"/>
                <w:lang w:val="uk-UA"/>
              </w:rPr>
              <w:t>технічне оснащення будівлі дозволяло обслуговувати близько 200-300 відвідувачів на добу.</w:t>
            </w:r>
          </w:p>
          <w:p w:rsidR="00E95FB1" w:rsidRPr="00C86B34" w:rsidRDefault="00E95FB1" w:rsidP="001B3967">
            <w:pPr>
              <w:rPr>
                <w:sz w:val="22"/>
                <w:lang w:val="uk-UA"/>
              </w:rPr>
            </w:pPr>
          </w:p>
        </w:tc>
      </w:tr>
      <w:tr w:rsidR="00E95FB1" w:rsidRPr="00C86B34" w:rsidTr="001B3967">
        <w:tc>
          <w:tcPr>
            <w:tcW w:w="2747" w:type="dxa"/>
            <w:shd w:val="clear" w:color="auto" w:fill="C6D9F1" w:themeFill="text2" w:themeFillTint="33"/>
          </w:tcPr>
          <w:p w:rsidR="00E95FB1" w:rsidRPr="00C86B34" w:rsidRDefault="00E95FB1" w:rsidP="001B3967">
            <w:pPr>
              <w:contextualSpacing/>
              <w:rPr>
                <w:b/>
                <w:sz w:val="22"/>
                <w:lang w:val="uk-UA"/>
              </w:rPr>
            </w:pPr>
            <w:r w:rsidRPr="00C86B34">
              <w:rPr>
                <w:b/>
                <w:sz w:val="22"/>
                <w:lang w:val="uk-UA"/>
              </w:rPr>
              <w:lastRenderedPageBreak/>
              <w:t>Очікувані якісні результати від реалізації проекту</w:t>
            </w:r>
          </w:p>
        </w:tc>
        <w:tc>
          <w:tcPr>
            <w:tcW w:w="7141" w:type="dxa"/>
            <w:gridSpan w:val="7"/>
          </w:tcPr>
          <w:p w:rsidR="00E95FB1" w:rsidRPr="00C86B34" w:rsidRDefault="00E95FB1" w:rsidP="000303D7">
            <w:pPr>
              <w:numPr>
                <w:ilvl w:val="0"/>
                <w:numId w:val="17"/>
              </w:numPr>
              <w:shd w:val="clear" w:color="auto" w:fill="FFFFFF"/>
              <w:overflowPunct w:val="0"/>
              <w:autoSpaceDE w:val="0"/>
              <w:autoSpaceDN w:val="0"/>
              <w:adjustRightInd w:val="0"/>
              <w:spacing w:line="276" w:lineRule="auto"/>
              <w:ind w:left="45" w:firstLine="284"/>
              <w:contextualSpacing/>
              <w:textAlignment w:val="baseline"/>
              <w:rPr>
                <w:rFonts w:eastAsia="Calibri"/>
                <w:color w:val="000000"/>
                <w:sz w:val="22"/>
                <w:lang w:val="uk-UA"/>
              </w:rPr>
            </w:pPr>
            <w:r w:rsidRPr="00C86B34">
              <w:rPr>
                <w:rFonts w:eastAsia="Calibri"/>
                <w:color w:val="000000"/>
                <w:sz w:val="22"/>
                <w:lang w:val="uk-UA"/>
              </w:rPr>
              <w:t xml:space="preserve">Організація простору для обслуговування відвідувачів </w:t>
            </w:r>
            <w:proofErr w:type="spellStart"/>
            <w:r w:rsidRPr="00C86B34">
              <w:rPr>
                <w:rFonts w:eastAsia="Calibri"/>
                <w:color w:val="000000"/>
                <w:sz w:val="22"/>
                <w:lang w:val="uk-UA"/>
              </w:rPr>
              <w:t>ЦНАПу</w:t>
            </w:r>
            <w:proofErr w:type="spellEnd"/>
            <w:r w:rsidRPr="00C86B34">
              <w:rPr>
                <w:rFonts w:eastAsia="Calibri"/>
                <w:color w:val="000000"/>
                <w:sz w:val="22"/>
                <w:lang w:val="uk-UA"/>
              </w:rPr>
              <w:t>;</w:t>
            </w:r>
          </w:p>
          <w:p w:rsidR="00E95FB1" w:rsidRPr="00C86B34" w:rsidRDefault="00E95FB1" w:rsidP="000303D7">
            <w:pPr>
              <w:numPr>
                <w:ilvl w:val="0"/>
                <w:numId w:val="17"/>
              </w:numPr>
              <w:shd w:val="clear" w:color="auto" w:fill="FFFFFF"/>
              <w:overflowPunct w:val="0"/>
              <w:autoSpaceDE w:val="0"/>
              <w:autoSpaceDN w:val="0"/>
              <w:adjustRightInd w:val="0"/>
              <w:spacing w:line="276" w:lineRule="auto"/>
              <w:ind w:left="45" w:firstLine="284"/>
              <w:contextualSpacing/>
              <w:textAlignment w:val="baseline"/>
              <w:rPr>
                <w:rFonts w:eastAsia="Calibri"/>
                <w:color w:val="000000"/>
                <w:sz w:val="22"/>
                <w:lang w:val="uk-UA"/>
              </w:rPr>
            </w:pPr>
            <w:r w:rsidRPr="00C86B34">
              <w:rPr>
                <w:rFonts w:eastAsia="Calibri"/>
                <w:color w:val="000000"/>
                <w:sz w:val="22"/>
                <w:lang w:val="uk-UA"/>
              </w:rPr>
              <w:t xml:space="preserve">Оснащення робочих місць працівників </w:t>
            </w:r>
            <w:proofErr w:type="spellStart"/>
            <w:r w:rsidRPr="00C86B34">
              <w:rPr>
                <w:rFonts w:eastAsia="Calibri"/>
                <w:color w:val="000000"/>
                <w:sz w:val="22"/>
                <w:lang w:val="uk-UA"/>
              </w:rPr>
              <w:t>ЦНАПу</w:t>
            </w:r>
            <w:proofErr w:type="spellEnd"/>
            <w:r w:rsidRPr="00C86B34">
              <w:rPr>
                <w:rFonts w:eastAsia="Calibri"/>
                <w:color w:val="000000"/>
                <w:sz w:val="22"/>
                <w:lang w:val="uk-UA"/>
              </w:rPr>
              <w:t>;</w:t>
            </w:r>
          </w:p>
          <w:p w:rsidR="00E95FB1" w:rsidRPr="00C86B34" w:rsidRDefault="00E95FB1" w:rsidP="000303D7">
            <w:pPr>
              <w:numPr>
                <w:ilvl w:val="0"/>
                <w:numId w:val="17"/>
              </w:numPr>
              <w:shd w:val="clear" w:color="auto" w:fill="FFFFFF"/>
              <w:overflowPunct w:val="0"/>
              <w:autoSpaceDE w:val="0"/>
              <w:autoSpaceDN w:val="0"/>
              <w:adjustRightInd w:val="0"/>
              <w:spacing w:line="276" w:lineRule="auto"/>
              <w:ind w:left="45" w:firstLine="284"/>
              <w:contextualSpacing/>
              <w:textAlignment w:val="baseline"/>
              <w:rPr>
                <w:rFonts w:eastAsia="Calibri"/>
                <w:color w:val="000000"/>
                <w:sz w:val="22"/>
                <w:lang w:val="uk-UA"/>
              </w:rPr>
            </w:pPr>
            <w:r w:rsidRPr="00C86B34">
              <w:rPr>
                <w:rFonts w:eastAsia="Calibri"/>
                <w:color w:val="000000"/>
                <w:sz w:val="22"/>
                <w:lang w:val="uk-UA"/>
              </w:rPr>
              <w:t>Забезпечення належних матеріально-технічних умов у ЦНАП для комфортного перебування осіб з інвалідністю та відвідувачів з дітьми;</w:t>
            </w:r>
          </w:p>
          <w:p w:rsidR="00E95FB1" w:rsidRPr="00C86B34" w:rsidRDefault="00E95FB1" w:rsidP="000303D7">
            <w:pPr>
              <w:numPr>
                <w:ilvl w:val="0"/>
                <w:numId w:val="17"/>
              </w:numPr>
              <w:shd w:val="clear" w:color="auto" w:fill="FFFFFF"/>
              <w:overflowPunct w:val="0"/>
              <w:autoSpaceDE w:val="0"/>
              <w:autoSpaceDN w:val="0"/>
              <w:adjustRightInd w:val="0"/>
              <w:spacing w:line="276" w:lineRule="auto"/>
              <w:ind w:left="45" w:firstLine="284"/>
              <w:contextualSpacing/>
              <w:textAlignment w:val="baseline"/>
              <w:rPr>
                <w:rFonts w:eastAsia="Calibri"/>
                <w:color w:val="000000"/>
                <w:sz w:val="22"/>
                <w:lang w:val="uk-UA"/>
              </w:rPr>
            </w:pPr>
            <w:r w:rsidRPr="00C86B34">
              <w:rPr>
                <w:rFonts w:eastAsia="Calibri"/>
                <w:color w:val="000000"/>
                <w:sz w:val="22"/>
                <w:lang w:val="uk-UA"/>
              </w:rPr>
              <w:t>Навчальна та інформаційна підтримка, популяризація ЦНАП та поширення успішних практик у сфері надання адміністративних послуг.</w:t>
            </w:r>
          </w:p>
        </w:tc>
      </w:tr>
      <w:tr w:rsidR="00E95FB1" w:rsidRPr="00C86B34" w:rsidTr="001B3967">
        <w:trPr>
          <w:trHeight w:val="390"/>
        </w:trPr>
        <w:tc>
          <w:tcPr>
            <w:tcW w:w="2747" w:type="dxa"/>
            <w:vMerge w:val="restart"/>
            <w:shd w:val="clear" w:color="auto" w:fill="C6D9F1" w:themeFill="text2" w:themeFillTint="33"/>
          </w:tcPr>
          <w:p w:rsidR="00E95FB1" w:rsidRPr="00C86B34" w:rsidRDefault="00E95FB1" w:rsidP="001B3967">
            <w:pPr>
              <w:contextualSpacing/>
              <w:rPr>
                <w:b/>
                <w:sz w:val="22"/>
                <w:lang w:val="uk-UA"/>
              </w:rPr>
            </w:pPr>
            <w:r w:rsidRPr="00C86B34">
              <w:rPr>
                <w:b/>
                <w:sz w:val="22"/>
                <w:lang w:val="uk-UA"/>
              </w:rPr>
              <w:t xml:space="preserve">Очікувані кількісні результати реалізації </w:t>
            </w:r>
            <w:proofErr w:type="spellStart"/>
            <w:r w:rsidRPr="00C86B34">
              <w:rPr>
                <w:b/>
                <w:sz w:val="22"/>
                <w:lang w:val="uk-UA"/>
              </w:rPr>
              <w:t>проєкту</w:t>
            </w:r>
            <w:proofErr w:type="spellEnd"/>
            <w:r w:rsidRPr="00C86B34">
              <w:rPr>
                <w:b/>
                <w:sz w:val="22"/>
                <w:lang w:val="uk-UA"/>
              </w:rPr>
              <w:t xml:space="preserve"> (індикатори)</w:t>
            </w:r>
          </w:p>
          <w:p w:rsidR="00E95FB1" w:rsidRPr="00C86B34" w:rsidRDefault="00E95FB1" w:rsidP="001B3967">
            <w:pPr>
              <w:contextualSpacing/>
              <w:rPr>
                <w:b/>
                <w:sz w:val="22"/>
                <w:lang w:val="uk-UA"/>
              </w:rPr>
            </w:pPr>
          </w:p>
        </w:tc>
        <w:tc>
          <w:tcPr>
            <w:tcW w:w="3633" w:type="dxa"/>
            <w:gridSpan w:val="3"/>
            <w:tcBorders>
              <w:bottom w:val="single" w:sz="4" w:space="0" w:color="auto"/>
              <w:right w:val="single" w:sz="4" w:space="0" w:color="auto"/>
            </w:tcBorders>
          </w:tcPr>
          <w:p w:rsidR="00E95FB1" w:rsidRPr="00C86B34" w:rsidRDefault="00E95FB1" w:rsidP="001B3967">
            <w:pPr>
              <w:ind w:left="-108"/>
              <w:contextualSpacing/>
              <w:jc w:val="center"/>
              <w:rPr>
                <w:b/>
                <w:sz w:val="22"/>
                <w:lang w:val="uk-UA"/>
              </w:rPr>
            </w:pPr>
            <w:r w:rsidRPr="00C86B34">
              <w:rPr>
                <w:b/>
                <w:sz w:val="22"/>
                <w:lang w:val="uk-UA"/>
              </w:rPr>
              <w:t>Найменування показника</w:t>
            </w:r>
          </w:p>
        </w:tc>
        <w:tc>
          <w:tcPr>
            <w:tcW w:w="1842" w:type="dxa"/>
            <w:gridSpan w:val="2"/>
            <w:tcBorders>
              <w:left w:val="single" w:sz="4" w:space="0" w:color="auto"/>
              <w:bottom w:val="single" w:sz="4" w:space="0" w:color="auto"/>
              <w:right w:val="single" w:sz="4" w:space="0" w:color="auto"/>
            </w:tcBorders>
          </w:tcPr>
          <w:p w:rsidR="00E95FB1" w:rsidRPr="00C86B34" w:rsidRDefault="00E95FB1" w:rsidP="001B3967">
            <w:pPr>
              <w:contextualSpacing/>
              <w:jc w:val="center"/>
              <w:rPr>
                <w:b/>
                <w:sz w:val="22"/>
                <w:lang w:val="uk-UA"/>
              </w:rPr>
            </w:pPr>
            <w:r w:rsidRPr="00C86B34">
              <w:rPr>
                <w:b/>
                <w:sz w:val="22"/>
                <w:lang w:val="uk-UA"/>
              </w:rPr>
              <w:t>Одиниця вимірювання</w:t>
            </w:r>
          </w:p>
          <w:p w:rsidR="00E95FB1" w:rsidRPr="00C86B34" w:rsidRDefault="00E95FB1" w:rsidP="001B3967">
            <w:pPr>
              <w:contextualSpacing/>
              <w:rPr>
                <w:b/>
                <w:sz w:val="22"/>
                <w:lang w:val="uk-UA"/>
              </w:rPr>
            </w:pPr>
          </w:p>
        </w:tc>
        <w:tc>
          <w:tcPr>
            <w:tcW w:w="1666" w:type="dxa"/>
            <w:gridSpan w:val="2"/>
            <w:tcBorders>
              <w:left w:val="single" w:sz="4" w:space="0" w:color="auto"/>
              <w:bottom w:val="single" w:sz="4" w:space="0" w:color="auto"/>
            </w:tcBorders>
          </w:tcPr>
          <w:p w:rsidR="00E95FB1" w:rsidRPr="00C86B34" w:rsidRDefault="00E95FB1" w:rsidP="001B3967">
            <w:pPr>
              <w:contextualSpacing/>
              <w:jc w:val="center"/>
              <w:rPr>
                <w:b/>
                <w:sz w:val="22"/>
                <w:lang w:val="uk-UA"/>
              </w:rPr>
            </w:pPr>
            <w:r w:rsidRPr="00C86B34">
              <w:rPr>
                <w:b/>
                <w:sz w:val="22"/>
                <w:lang w:val="uk-UA"/>
              </w:rPr>
              <w:t>Прогнозне (цільове) значення</w:t>
            </w:r>
          </w:p>
        </w:tc>
      </w:tr>
      <w:tr w:rsidR="00E95FB1" w:rsidRPr="00C86B34" w:rsidTr="001B3967">
        <w:trPr>
          <w:trHeight w:val="585"/>
        </w:trPr>
        <w:tc>
          <w:tcPr>
            <w:tcW w:w="2747" w:type="dxa"/>
            <w:vMerge/>
            <w:shd w:val="clear" w:color="auto" w:fill="C6D9F1" w:themeFill="text2" w:themeFillTint="33"/>
          </w:tcPr>
          <w:p w:rsidR="00E95FB1" w:rsidRPr="00C86B34" w:rsidRDefault="00E95FB1" w:rsidP="001B3967">
            <w:pPr>
              <w:contextualSpacing/>
              <w:rPr>
                <w:b/>
                <w:sz w:val="22"/>
                <w:lang w:val="uk-UA"/>
              </w:rPr>
            </w:pPr>
          </w:p>
        </w:tc>
        <w:tc>
          <w:tcPr>
            <w:tcW w:w="3633" w:type="dxa"/>
            <w:gridSpan w:val="3"/>
            <w:tcBorders>
              <w:top w:val="single" w:sz="4" w:space="0" w:color="auto"/>
              <w:bottom w:val="single" w:sz="4" w:space="0" w:color="auto"/>
              <w:right w:val="single" w:sz="4" w:space="0" w:color="auto"/>
            </w:tcBorders>
          </w:tcPr>
          <w:p w:rsidR="00E95FB1" w:rsidRPr="00C86B34" w:rsidRDefault="00E95FB1" w:rsidP="001B3967">
            <w:pPr>
              <w:contextualSpacing/>
              <w:jc w:val="center"/>
              <w:rPr>
                <w:sz w:val="22"/>
                <w:lang w:val="uk-UA"/>
              </w:rPr>
            </w:pPr>
            <w:r w:rsidRPr="00C86B34">
              <w:rPr>
                <w:sz w:val="22"/>
                <w:lang w:val="uk-UA"/>
              </w:rPr>
              <w:t>Кількість фізичних та юридичних осіб, які звернулись за послугами протягом  року</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contextualSpacing/>
              <w:jc w:val="center"/>
              <w:rPr>
                <w:sz w:val="22"/>
                <w:lang w:val="uk-UA"/>
              </w:rPr>
            </w:pPr>
            <w:r w:rsidRPr="00C86B34">
              <w:rPr>
                <w:sz w:val="22"/>
                <w:lang w:val="uk-UA"/>
              </w:rPr>
              <w:t>осіб</w:t>
            </w:r>
          </w:p>
        </w:tc>
        <w:tc>
          <w:tcPr>
            <w:tcW w:w="1666" w:type="dxa"/>
            <w:gridSpan w:val="2"/>
            <w:tcBorders>
              <w:top w:val="single" w:sz="4" w:space="0" w:color="auto"/>
              <w:left w:val="single" w:sz="4" w:space="0" w:color="auto"/>
              <w:bottom w:val="single" w:sz="4" w:space="0" w:color="auto"/>
            </w:tcBorders>
          </w:tcPr>
          <w:p w:rsidR="00E95FB1" w:rsidRPr="00C86B34" w:rsidRDefault="00E95FB1" w:rsidP="001B3967">
            <w:pPr>
              <w:contextualSpacing/>
              <w:jc w:val="center"/>
              <w:rPr>
                <w:b/>
                <w:sz w:val="22"/>
                <w:lang w:val="uk-UA"/>
              </w:rPr>
            </w:pPr>
            <w:r w:rsidRPr="00C86B34">
              <w:rPr>
                <w:sz w:val="22"/>
                <w:lang w:val="uk-UA"/>
              </w:rPr>
              <w:t>84734</w:t>
            </w:r>
          </w:p>
        </w:tc>
      </w:tr>
      <w:tr w:rsidR="00E95FB1" w:rsidRPr="00C86B34" w:rsidTr="001B3967">
        <w:trPr>
          <w:trHeight w:val="184"/>
        </w:trPr>
        <w:tc>
          <w:tcPr>
            <w:tcW w:w="2747" w:type="dxa"/>
            <w:vMerge/>
            <w:shd w:val="clear" w:color="auto" w:fill="C6D9F1" w:themeFill="text2" w:themeFillTint="33"/>
          </w:tcPr>
          <w:p w:rsidR="00E95FB1" w:rsidRPr="00C86B34" w:rsidRDefault="00E95FB1" w:rsidP="001B3967">
            <w:pPr>
              <w:contextualSpacing/>
              <w:rPr>
                <w:b/>
                <w:sz w:val="22"/>
                <w:lang w:val="uk-UA"/>
              </w:rPr>
            </w:pPr>
          </w:p>
        </w:tc>
        <w:tc>
          <w:tcPr>
            <w:tcW w:w="3633" w:type="dxa"/>
            <w:gridSpan w:val="3"/>
            <w:tcBorders>
              <w:top w:val="single" w:sz="4" w:space="0" w:color="auto"/>
              <w:bottom w:val="single" w:sz="4" w:space="0" w:color="auto"/>
              <w:right w:val="single" w:sz="4" w:space="0" w:color="auto"/>
            </w:tcBorders>
          </w:tcPr>
          <w:p w:rsidR="00E95FB1" w:rsidRPr="00C86B34" w:rsidRDefault="00E95FB1" w:rsidP="001B3967">
            <w:pPr>
              <w:contextualSpacing/>
              <w:jc w:val="center"/>
              <w:rPr>
                <w:sz w:val="22"/>
                <w:lang w:val="uk-UA"/>
              </w:rPr>
            </w:pPr>
            <w:r w:rsidRPr="00C86B34">
              <w:rPr>
                <w:sz w:val="22"/>
                <w:lang w:val="uk-UA"/>
              </w:rPr>
              <w:t>Кількість послуг</w:t>
            </w:r>
            <w:r w:rsidR="00BE78F7" w:rsidRPr="00C86B34">
              <w:rPr>
                <w:bCs/>
                <w:sz w:val="22"/>
                <w:szCs w:val="22"/>
                <w:lang w:val="uk-UA"/>
              </w:rPr>
              <w:t>,</w:t>
            </w:r>
            <w:r w:rsidRPr="00C86B34">
              <w:rPr>
                <w:sz w:val="22"/>
                <w:lang w:val="uk-UA"/>
              </w:rPr>
              <w:t xml:space="preserve"> наданих протягом одного робочого дня</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contextualSpacing/>
              <w:jc w:val="center"/>
              <w:rPr>
                <w:sz w:val="22"/>
                <w:lang w:val="uk-UA"/>
              </w:rPr>
            </w:pPr>
            <w:r w:rsidRPr="00C86B34">
              <w:rPr>
                <w:sz w:val="22"/>
                <w:lang w:val="uk-UA"/>
              </w:rPr>
              <w:t>одиниць</w:t>
            </w:r>
          </w:p>
        </w:tc>
        <w:tc>
          <w:tcPr>
            <w:tcW w:w="1666" w:type="dxa"/>
            <w:gridSpan w:val="2"/>
            <w:tcBorders>
              <w:top w:val="single" w:sz="4" w:space="0" w:color="auto"/>
              <w:left w:val="single" w:sz="4" w:space="0" w:color="auto"/>
              <w:bottom w:val="single" w:sz="4" w:space="0" w:color="auto"/>
            </w:tcBorders>
          </w:tcPr>
          <w:p w:rsidR="00E95FB1" w:rsidRPr="00C86B34" w:rsidRDefault="00E95FB1" w:rsidP="001B3967">
            <w:pPr>
              <w:contextualSpacing/>
              <w:jc w:val="center"/>
              <w:rPr>
                <w:sz w:val="22"/>
                <w:lang w:val="uk-UA"/>
              </w:rPr>
            </w:pPr>
            <w:r w:rsidRPr="00C86B34">
              <w:rPr>
                <w:sz w:val="22"/>
                <w:lang w:val="uk-UA"/>
              </w:rPr>
              <w:t>300</w:t>
            </w:r>
          </w:p>
        </w:tc>
      </w:tr>
      <w:tr w:rsidR="00E95FB1" w:rsidRPr="00C86B34" w:rsidTr="001B3967">
        <w:trPr>
          <w:trHeight w:val="165"/>
        </w:trPr>
        <w:tc>
          <w:tcPr>
            <w:tcW w:w="2747" w:type="dxa"/>
            <w:vMerge/>
            <w:shd w:val="clear" w:color="auto" w:fill="C6D9F1" w:themeFill="text2" w:themeFillTint="33"/>
          </w:tcPr>
          <w:p w:rsidR="00E95FB1" w:rsidRPr="00C86B34" w:rsidRDefault="00E95FB1" w:rsidP="001B3967">
            <w:pPr>
              <w:contextualSpacing/>
              <w:rPr>
                <w:b/>
                <w:sz w:val="22"/>
                <w:lang w:val="uk-UA"/>
              </w:rPr>
            </w:pPr>
          </w:p>
        </w:tc>
        <w:tc>
          <w:tcPr>
            <w:tcW w:w="3633" w:type="dxa"/>
            <w:gridSpan w:val="3"/>
            <w:tcBorders>
              <w:top w:val="single" w:sz="4" w:space="0" w:color="auto"/>
              <w:bottom w:val="single" w:sz="4" w:space="0" w:color="auto"/>
              <w:right w:val="single" w:sz="4" w:space="0" w:color="auto"/>
            </w:tcBorders>
          </w:tcPr>
          <w:p w:rsidR="00E95FB1" w:rsidRPr="00C86B34" w:rsidRDefault="00E95FB1" w:rsidP="001B3967">
            <w:pPr>
              <w:contextualSpacing/>
              <w:jc w:val="center"/>
              <w:rPr>
                <w:sz w:val="22"/>
                <w:lang w:val="uk-UA"/>
              </w:rPr>
            </w:pPr>
            <w:r w:rsidRPr="00C86B34">
              <w:rPr>
                <w:sz w:val="22"/>
                <w:lang w:val="uk-UA"/>
              </w:rPr>
              <w:t>Середня вартість послуг</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contextualSpacing/>
              <w:jc w:val="center"/>
              <w:rPr>
                <w:sz w:val="22"/>
                <w:lang w:val="uk-UA"/>
              </w:rPr>
            </w:pPr>
            <w:r w:rsidRPr="00C86B34">
              <w:rPr>
                <w:sz w:val="22"/>
                <w:lang w:val="uk-UA"/>
              </w:rPr>
              <w:t>грн</w:t>
            </w:r>
          </w:p>
        </w:tc>
        <w:tc>
          <w:tcPr>
            <w:tcW w:w="1666" w:type="dxa"/>
            <w:gridSpan w:val="2"/>
            <w:tcBorders>
              <w:top w:val="single" w:sz="4" w:space="0" w:color="auto"/>
              <w:left w:val="single" w:sz="4" w:space="0" w:color="auto"/>
              <w:bottom w:val="single" w:sz="4" w:space="0" w:color="auto"/>
            </w:tcBorders>
          </w:tcPr>
          <w:p w:rsidR="00E95FB1" w:rsidRPr="00C86B34" w:rsidRDefault="00E95FB1" w:rsidP="001B3967">
            <w:pPr>
              <w:contextualSpacing/>
              <w:jc w:val="center"/>
              <w:rPr>
                <w:sz w:val="22"/>
                <w:lang w:val="uk-UA"/>
              </w:rPr>
            </w:pPr>
            <w:r w:rsidRPr="00C86B34">
              <w:rPr>
                <w:sz w:val="22"/>
                <w:lang w:val="uk-UA"/>
              </w:rPr>
              <w:t>Більшість послуг - безкоштовна</w:t>
            </w:r>
          </w:p>
        </w:tc>
      </w:tr>
      <w:tr w:rsidR="00E95FB1" w:rsidRPr="00C86B34" w:rsidTr="001B3967">
        <w:trPr>
          <w:trHeight w:val="150"/>
        </w:trPr>
        <w:tc>
          <w:tcPr>
            <w:tcW w:w="2747" w:type="dxa"/>
            <w:vMerge/>
            <w:shd w:val="clear" w:color="auto" w:fill="C6D9F1" w:themeFill="text2" w:themeFillTint="33"/>
          </w:tcPr>
          <w:p w:rsidR="00E95FB1" w:rsidRPr="00C86B34" w:rsidRDefault="00E95FB1" w:rsidP="001B3967">
            <w:pPr>
              <w:contextualSpacing/>
              <w:rPr>
                <w:b/>
                <w:sz w:val="22"/>
                <w:lang w:val="uk-UA"/>
              </w:rPr>
            </w:pPr>
          </w:p>
        </w:tc>
        <w:tc>
          <w:tcPr>
            <w:tcW w:w="3633" w:type="dxa"/>
            <w:gridSpan w:val="3"/>
            <w:tcBorders>
              <w:top w:val="single" w:sz="4" w:space="0" w:color="auto"/>
              <w:right w:val="single" w:sz="4" w:space="0" w:color="auto"/>
            </w:tcBorders>
          </w:tcPr>
          <w:p w:rsidR="00E95FB1" w:rsidRPr="00C86B34" w:rsidRDefault="00E95FB1" w:rsidP="001B3967">
            <w:pPr>
              <w:contextualSpacing/>
              <w:jc w:val="center"/>
              <w:rPr>
                <w:sz w:val="22"/>
                <w:lang w:val="uk-UA"/>
              </w:rPr>
            </w:pPr>
            <w:r w:rsidRPr="00C86B34">
              <w:rPr>
                <w:sz w:val="22"/>
                <w:lang w:val="uk-UA"/>
              </w:rPr>
              <w:t>Термін надання послуги</w:t>
            </w:r>
          </w:p>
        </w:tc>
        <w:tc>
          <w:tcPr>
            <w:tcW w:w="1842" w:type="dxa"/>
            <w:gridSpan w:val="2"/>
            <w:tcBorders>
              <w:top w:val="single" w:sz="4" w:space="0" w:color="auto"/>
              <w:left w:val="single" w:sz="4" w:space="0" w:color="auto"/>
              <w:right w:val="single" w:sz="4" w:space="0" w:color="auto"/>
            </w:tcBorders>
            <w:vAlign w:val="center"/>
          </w:tcPr>
          <w:p w:rsidR="00E95FB1" w:rsidRPr="00C86B34" w:rsidRDefault="00E95FB1" w:rsidP="001B3967">
            <w:pPr>
              <w:contextualSpacing/>
              <w:jc w:val="center"/>
              <w:rPr>
                <w:sz w:val="22"/>
                <w:lang w:val="uk-UA"/>
              </w:rPr>
            </w:pPr>
            <w:r w:rsidRPr="00C86B34">
              <w:rPr>
                <w:sz w:val="22"/>
                <w:lang w:val="uk-UA"/>
              </w:rPr>
              <w:t>день</w:t>
            </w:r>
          </w:p>
        </w:tc>
        <w:tc>
          <w:tcPr>
            <w:tcW w:w="1666" w:type="dxa"/>
            <w:gridSpan w:val="2"/>
            <w:tcBorders>
              <w:top w:val="single" w:sz="4" w:space="0" w:color="auto"/>
              <w:left w:val="single" w:sz="4" w:space="0" w:color="auto"/>
            </w:tcBorders>
          </w:tcPr>
          <w:p w:rsidR="00E95FB1" w:rsidRPr="00C86B34" w:rsidRDefault="00E95FB1" w:rsidP="001B3967">
            <w:pPr>
              <w:contextualSpacing/>
              <w:jc w:val="center"/>
              <w:rPr>
                <w:sz w:val="22"/>
                <w:lang w:val="uk-UA"/>
              </w:rPr>
            </w:pPr>
            <w:r w:rsidRPr="00C86B34">
              <w:rPr>
                <w:sz w:val="22"/>
                <w:lang w:val="uk-UA"/>
              </w:rPr>
              <w:t>від 1 до 30</w:t>
            </w:r>
          </w:p>
        </w:tc>
      </w:tr>
      <w:tr w:rsidR="00E95FB1" w:rsidRPr="00C86B34" w:rsidTr="001B3967">
        <w:trPr>
          <w:trHeight w:val="150"/>
        </w:trPr>
        <w:tc>
          <w:tcPr>
            <w:tcW w:w="2747" w:type="dxa"/>
            <w:shd w:val="clear" w:color="auto" w:fill="C6D9F1" w:themeFill="text2" w:themeFillTint="33"/>
          </w:tcPr>
          <w:p w:rsidR="00E95FB1" w:rsidRPr="00C86B34" w:rsidRDefault="00E95FB1" w:rsidP="001B3967">
            <w:pPr>
              <w:contextualSpacing/>
              <w:rPr>
                <w:b/>
                <w:sz w:val="22"/>
                <w:lang w:val="uk-UA"/>
              </w:rPr>
            </w:pPr>
          </w:p>
        </w:tc>
        <w:tc>
          <w:tcPr>
            <w:tcW w:w="3633" w:type="dxa"/>
            <w:gridSpan w:val="3"/>
            <w:tcBorders>
              <w:top w:val="single" w:sz="4" w:space="0" w:color="auto"/>
              <w:right w:val="single" w:sz="4" w:space="0" w:color="auto"/>
            </w:tcBorders>
          </w:tcPr>
          <w:p w:rsidR="00E95FB1" w:rsidRPr="00C86B34" w:rsidRDefault="00E95FB1" w:rsidP="001B3967">
            <w:pPr>
              <w:contextualSpacing/>
              <w:jc w:val="center"/>
              <w:rPr>
                <w:sz w:val="22"/>
                <w:lang w:val="uk-UA"/>
              </w:rPr>
            </w:pPr>
            <w:r w:rsidRPr="00C86B34">
              <w:rPr>
                <w:sz w:val="22"/>
                <w:lang w:val="uk-UA"/>
              </w:rPr>
              <w:t>Кількість населених пунктів, які обслуговує Центр</w:t>
            </w:r>
          </w:p>
        </w:tc>
        <w:tc>
          <w:tcPr>
            <w:tcW w:w="1842" w:type="dxa"/>
            <w:gridSpan w:val="2"/>
            <w:tcBorders>
              <w:top w:val="single" w:sz="4" w:space="0" w:color="auto"/>
              <w:left w:val="single" w:sz="4" w:space="0" w:color="auto"/>
              <w:right w:val="single" w:sz="4" w:space="0" w:color="auto"/>
            </w:tcBorders>
            <w:vAlign w:val="center"/>
          </w:tcPr>
          <w:p w:rsidR="00E95FB1" w:rsidRPr="00C86B34" w:rsidRDefault="00E95FB1" w:rsidP="001B3967">
            <w:pPr>
              <w:contextualSpacing/>
              <w:jc w:val="center"/>
              <w:rPr>
                <w:sz w:val="22"/>
                <w:lang w:val="uk-UA"/>
              </w:rPr>
            </w:pPr>
            <w:r w:rsidRPr="00C86B34">
              <w:rPr>
                <w:sz w:val="22"/>
                <w:lang w:val="uk-UA"/>
              </w:rPr>
              <w:t>одиниць</w:t>
            </w:r>
          </w:p>
        </w:tc>
        <w:tc>
          <w:tcPr>
            <w:tcW w:w="1666" w:type="dxa"/>
            <w:gridSpan w:val="2"/>
            <w:tcBorders>
              <w:top w:val="single" w:sz="4" w:space="0" w:color="auto"/>
              <w:left w:val="single" w:sz="4" w:space="0" w:color="auto"/>
            </w:tcBorders>
          </w:tcPr>
          <w:p w:rsidR="00E95FB1" w:rsidRPr="00C86B34" w:rsidRDefault="00E95FB1" w:rsidP="001B3967">
            <w:pPr>
              <w:contextualSpacing/>
              <w:jc w:val="center"/>
              <w:rPr>
                <w:sz w:val="22"/>
                <w:lang w:val="uk-UA"/>
              </w:rPr>
            </w:pPr>
            <w:r w:rsidRPr="00C86B34">
              <w:rPr>
                <w:sz w:val="22"/>
                <w:lang w:val="uk-UA"/>
              </w:rPr>
              <w:t>20</w:t>
            </w:r>
          </w:p>
        </w:tc>
      </w:tr>
      <w:tr w:rsidR="00E95FB1" w:rsidRPr="00C86B34" w:rsidTr="001B3967">
        <w:tc>
          <w:tcPr>
            <w:tcW w:w="2747" w:type="dxa"/>
            <w:shd w:val="clear" w:color="auto" w:fill="C6D9F1" w:themeFill="text2" w:themeFillTint="33"/>
          </w:tcPr>
          <w:p w:rsidR="00E95FB1" w:rsidRPr="00C86B34" w:rsidRDefault="00E95FB1" w:rsidP="001B3967">
            <w:pPr>
              <w:rPr>
                <w:b/>
                <w:sz w:val="22"/>
                <w:lang w:val="uk-UA"/>
              </w:rPr>
            </w:pPr>
            <w:r w:rsidRPr="00C86B34">
              <w:rPr>
                <w:b/>
                <w:sz w:val="22"/>
                <w:lang w:val="uk-UA"/>
              </w:rPr>
              <w:t xml:space="preserve">Ключові заходи проекту: </w:t>
            </w:r>
          </w:p>
          <w:p w:rsidR="00E95FB1" w:rsidRPr="00C86B34" w:rsidRDefault="00E95FB1" w:rsidP="001B3967">
            <w:pPr>
              <w:contextualSpacing/>
              <w:rPr>
                <w:b/>
                <w:sz w:val="22"/>
                <w:lang w:val="uk-UA"/>
              </w:rPr>
            </w:pPr>
          </w:p>
        </w:tc>
        <w:tc>
          <w:tcPr>
            <w:tcW w:w="7141" w:type="dxa"/>
            <w:gridSpan w:val="7"/>
          </w:tcPr>
          <w:p w:rsidR="00E95FB1" w:rsidRPr="00C86B34" w:rsidRDefault="00E95FB1" w:rsidP="001B3967">
            <w:pPr>
              <w:contextualSpacing/>
              <w:rPr>
                <w:sz w:val="22"/>
                <w:lang w:val="uk-UA"/>
              </w:rPr>
            </w:pPr>
            <w:r w:rsidRPr="00C86B34">
              <w:rPr>
                <w:sz w:val="22"/>
                <w:lang w:val="uk-UA"/>
              </w:rPr>
              <w:t>- ремонт приміщення ЦНАП з заміною вікон;</w:t>
            </w:r>
          </w:p>
          <w:p w:rsidR="00E95FB1" w:rsidRPr="00C86B34" w:rsidRDefault="00E95FB1" w:rsidP="001B3967">
            <w:pPr>
              <w:contextualSpacing/>
              <w:rPr>
                <w:sz w:val="22"/>
                <w:lang w:val="uk-UA"/>
              </w:rPr>
            </w:pPr>
            <w:r w:rsidRPr="00C86B34">
              <w:rPr>
                <w:sz w:val="22"/>
                <w:lang w:val="uk-UA"/>
              </w:rPr>
              <w:t>- придбання технічного забезпечення ЦНАП;</w:t>
            </w:r>
          </w:p>
          <w:p w:rsidR="00E95FB1" w:rsidRPr="00C86B34" w:rsidRDefault="00E95FB1" w:rsidP="001B3967">
            <w:pPr>
              <w:contextualSpacing/>
              <w:rPr>
                <w:sz w:val="22"/>
                <w:lang w:val="uk-UA"/>
              </w:rPr>
            </w:pPr>
            <w:r w:rsidRPr="00C86B34">
              <w:rPr>
                <w:sz w:val="22"/>
                <w:lang w:val="uk-UA"/>
              </w:rPr>
              <w:t>- придбання основних засобів;</w:t>
            </w:r>
          </w:p>
          <w:p w:rsidR="00E95FB1" w:rsidRPr="00C86B34" w:rsidRDefault="00E95FB1" w:rsidP="001B3967">
            <w:pPr>
              <w:contextualSpacing/>
              <w:rPr>
                <w:sz w:val="22"/>
                <w:lang w:val="uk-UA"/>
              </w:rPr>
            </w:pPr>
            <w:r w:rsidRPr="00C86B34">
              <w:rPr>
                <w:sz w:val="22"/>
                <w:lang w:val="uk-UA"/>
              </w:rPr>
              <w:t>- організація та початок робочого процесу.</w:t>
            </w:r>
          </w:p>
        </w:tc>
      </w:tr>
      <w:tr w:rsidR="00E95FB1" w:rsidRPr="00C86B34" w:rsidTr="001B3967">
        <w:trPr>
          <w:trHeight w:val="360"/>
        </w:trPr>
        <w:tc>
          <w:tcPr>
            <w:tcW w:w="2747" w:type="dxa"/>
            <w:vMerge w:val="restart"/>
            <w:shd w:val="clear" w:color="auto" w:fill="C6D9F1" w:themeFill="text2" w:themeFillTint="33"/>
          </w:tcPr>
          <w:p w:rsidR="00E95FB1" w:rsidRPr="00C86B34" w:rsidRDefault="00E95FB1" w:rsidP="001B3967">
            <w:pPr>
              <w:contextualSpacing/>
              <w:rPr>
                <w:b/>
                <w:sz w:val="22"/>
                <w:lang w:val="uk-UA"/>
              </w:rPr>
            </w:pPr>
            <w:r w:rsidRPr="00C86B34">
              <w:rPr>
                <w:b/>
                <w:sz w:val="22"/>
                <w:lang w:val="uk-UA"/>
              </w:rPr>
              <w:t xml:space="preserve">Орієнтовний обсяг та джерела фінансування, тис. грн. </w:t>
            </w:r>
          </w:p>
          <w:p w:rsidR="00E95FB1" w:rsidRPr="00C86B34" w:rsidRDefault="00E95FB1" w:rsidP="001B3967">
            <w:pPr>
              <w:contextualSpacing/>
              <w:rPr>
                <w:b/>
                <w:sz w:val="22"/>
                <w:lang w:val="uk-UA"/>
              </w:rPr>
            </w:pPr>
          </w:p>
        </w:tc>
        <w:tc>
          <w:tcPr>
            <w:tcW w:w="1667" w:type="dxa"/>
            <w:tcBorders>
              <w:bottom w:val="single" w:sz="4" w:space="0" w:color="auto"/>
              <w:right w:val="single" w:sz="4" w:space="0" w:color="auto"/>
            </w:tcBorders>
          </w:tcPr>
          <w:p w:rsidR="00E95FB1" w:rsidRPr="00C86B34" w:rsidRDefault="00E95FB1" w:rsidP="001B3967">
            <w:pPr>
              <w:contextualSpacing/>
              <w:jc w:val="center"/>
              <w:rPr>
                <w:b/>
                <w:sz w:val="22"/>
                <w:lang w:val="uk-UA"/>
              </w:rPr>
            </w:pPr>
            <w:r w:rsidRPr="00C86B34">
              <w:rPr>
                <w:b/>
                <w:sz w:val="22"/>
                <w:lang w:val="uk-UA"/>
              </w:rPr>
              <w:t>Державний бюджет</w:t>
            </w:r>
          </w:p>
        </w:tc>
        <w:tc>
          <w:tcPr>
            <w:tcW w:w="1442" w:type="dxa"/>
            <w:tcBorders>
              <w:bottom w:val="single" w:sz="4" w:space="0" w:color="auto"/>
              <w:right w:val="single" w:sz="4" w:space="0" w:color="auto"/>
            </w:tcBorders>
          </w:tcPr>
          <w:p w:rsidR="00E95FB1" w:rsidRPr="00C86B34" w:rsidRDefault="00E95FB1" w:rsidP="001B3967">
            <w:pPr>
              <w:contextualSpacing/>
              <w:jc w:val="center"/>
              <w:rPr>
                <w:b/>
                <w:sz w:val="22"/>
                <w:lang w:val="uk-UA"/>
              </w:rPr>
            </w:pPr>
            <w:r w:rsidRPr="00C86B34">
              <w:rPr>
                <w:b/>
                <w:sz w:val="22"/>
                <w:lang w:val="uk-UA"/>
              </w:rPr>
              <w:t>Місцевий бюджет</w:t>
            </w:r>
          </w:p>
        </w:tc>
        <w:tc>
          <w:tcPr>
            <w:tcW w:w="2601" w:type="dxa"/>
            <w:gridSpan w:val="4"/>
            <w:tcBorders>
              <w:left w:val="single" w:sz="4" w:space="0" w:color="auto"/>
              <w:bottom w:val="single" w:sz="4" w:space="0" w:color="auto"/>
              <w:right w:val="single" w:sz="4" w:space="0" w:color="auto"/>
            </w:tcBorders>
          </w:tcPr>
          <w:p w:rsidR="00E95FB1" w:rsidRPr="00C86B34" w:rsidRDefault="00E95FB1" w:rsidP="001B3967">
            <w:pPr>
              <w:contextualSpacing/>
              <w:jc w:val="center"/>
              <w:rPr>
                <w:b/>
                <w:sz w:val="22"/>
                <w:lang w:val="uk-UA"/>
              </w:rPr>
            </w:pPr>
            <w:r w:rsidRPr="00C86B34">
              <w:rPr>
                <w:b/>
                <w:sz w:val="22"/>
                <w:lang w:val="uk-UA"/>
              </w:rPr>
              <w:t>Інші джерела</w:t>
            </w:r>
          </w:p>
        </w:tc>
        <w:tc>
          <w:tcPr>
            <w:tcW w:w="1431" w:type="dxa"/>
            <w:tcBorders>
              <w:left w:val="single" w:sz="4" w:space="0" w:color="auto"/>
              <w:bottom w:val="single" w:sz="4" w:space="0" w:color="auto"/>
            </w:tcBorders>
          </w:tcPr>
          <w:p w:rsidR="00E95FB1" w:rsidRPr="00C86B34" w:rsidRDefault="00E95FB1" w:rsidP="001B3967">
            <w:pPr>
              <w:contextualSpacing/>
              <w:jc w:val="center"/>
              <w:rPr>
                <w:b/>
                <w:sz w:val="22"/>
                <w:lang w:val="uk-UA"/>
              </w:rPr>
            </w:pPr>
            <w:r w:rsidRPr="00C86B34">
              <w:rPr>
                <w:b/>
                <w:sz w:val="22"/>
                <w:lang w:val="uk-UA"/>
              </w:rPr>
              <w:t>Всього</w:t>
            </w:r>
          </w:p>
        </w:tc>
      </w:tr>
      <w:tr w:rsidR="00E95FB1" w:rsidRPr="00C86B34" w:rsidTr="001B3967">
        <w:trPr>
          <w:trHeight w:val="225"/>
        </w:trPr>
        <w:tc>
          <w:tcPr>
            <w:tcW w:w="2747" w:type="dxa"/>
            <w:vMerge/>
            <w:shd w:val="clear" w:color="auto" w:fill="C6D9F1" w:themeFill="text2" w:themeFillTint="33"/>
          </w:tcPr>
          <w:p w:rsidR="00E95FB1" w:rsidRPr="00C86B34" w:rsidRDefault="00E95FB1" w:rsidP="001B3967">
            <w:pPr>
              <w:contextualSpacing/>
              <w:rPr>
                <w:b/>
                <w:sz w:val="22"/>
                <w:lang w:val="uk-UA"/>
              </w:rPr>
            </w:pPr>
          </w:p>
        </w:tc>
        <w:tc>
          <w:tcPr>
            <w:tcW w:w="1667" w:type="dxa"/>
            <w:vMerge w:val="restart"/>
            <w:tcBorders>
              <w:top w:val="single" w:sz="4" w:space="0" w:color="auto"/>
              <w:right w:val="single" w:sz="4" w:space="0" w:color="auto"/>
            </w:tcBorders>
          </w:tcPr>
          <w:p w:rsidR="00E95FB1" w:rsidRPr="00C86B34" w:rsidRDefault="00E95FB1" w:rsidP="001B3967">
            <w:pPr>
              <w:contextualSpacing/>
              <w:jc w:val="center"/>
              <w:rPr>
                <w:b/>
                <w:sz w:val="22"/>
                <w:lang w:val="uk-UA"/>
              </w:rPr>
            </w:pPr>
            <w:r w:rsidRPr="00C86B34">
              <w:rPr>
                <w:sz w:val="22"/>
                <w:lang w:val="uk-UA"/>
              </w:rPr>
              <w:t>4584,45</w:t>
            </w:r>
          </w:p>
        </w:tc>
        <w:tc>
          <w:tcPr>
            <w:tcW w:w="1442" w:type="dxa"/>
            <w:vMerge w:val="restart"/>
            <w:tcBorders>
              <w:top w:val="single" w:sz="4" w:space="0" w:color="auto"/>
              <w:right w:val="single" w:sz="4" w:space="0" w:color="auto"/>
            </w:tcBorders>
          </w:tcPr>
          <w:p w:rsidR="00E95FB1" w:rsidRPr="00C86B34" w:rsidRDefault="00E95FB1" w:rsidP="001B3967">
            <w:pPr>
              <w:contextualSpacing/>
              <w:jc w:val="center"/>
              <w:rPr>
                <w:b/>
                <w:sz w:val="22"/>
                <w:lang w:val="uk-UA"/>
              </w:rPr>
            </w:pPr>
            <w:r w:rsidRPr="00C86B34">
              <w:rPr>
                <w:b/>
                <w:sz w:val="22"/>
                <w:lang w:val="uk-UA"/>
              </w:rPr>
              <w:t>-</w:t>
            </w:r>
          </w:p>
        </w:tc>
        <w:tc>
          <w:tcPr>
            <w:tcW w:w="1126" w:type="dxa"/>
            <w:gridSpan w:val="2"/>
            <w:tcBorders>
              <w:top w:val="single" w:sz="4" w:space="0" w:color="auto"/>
              <w:left w:val="single" w:sz="4" w:space="0" w:color="auto"/>
              <w:bottom w:val="single" w:sz="4" w:space="0" w:color="auto"/>
              <w:right w:val="single" w:sz="4" w:space="0" w:color="auto"/>
            </w:tcBorders>
          </w:tcPr>
          <w:p w:rsidR="00E95FB1" w:rsidRPr="00C86B34" w:rsidRDefault="00E95FB1" w:rsidP="001B3967">
            <w:pPr>
              <w:contextualSpacing/>
              <w:jc w:val="center"/>
              <w:rPr>
                <w:b/>
                <w:sz w:val="22"/>
                <w:lang w:val="uk-UA"/>
              </w:rPr>
            </w:pPr>
            <w:r w:rsidRPr="00C86B34">
              <w:rPr>
                <w:b/>
                <w:sz w:val="22"/>
                <w:lang w:val="uk-UA"/>
              </w:rPr>
              <w:t>Обсяг</w:t>
            </w:r>
          </w:p>
        </w:tc>
        <w:tc>
          <w:tcPr>
            <w:tcW w:w="1475" w:type="dxa"/>
            <w:gridSpan w:val="2"/>
            <w:tcBorders>
              <w:top w:val="single" w:sz="4" w:space="0" w:color="auto"/>
              <w:left w:val="single" w:sz="4" w:space="0" w:color="auto"/>
              <w:bottom w:val="single" w:sz="4" w:space="0" w:color="auto"/>
              <w:right w:val="single" w:sz="4" w:space="0" w:color="auto"/>
            </w:tcBorders>
          </w:tcPr>
          <w:p w:rsidR="00E95FB1" w:rsidRPr="00C86B34" w:rsidRDefault="00E95FB1" w:rsidP="001B3967">
            <w:pPr>
              <w:contextualSpacing/>
              <w:jc w:val="center"/>
              <w:rPr>
                <w:b/>
                <w:sz w:val="22"/>
                <w:lang w:val="uk-UA"/>
              </w:rPr>
            </w:pPr>
            <w:r w:rsidRPr="00C86B34">
              <w:rPr>
                <w:b/>
                <w:sz w:val="22"/>
                <w:lang w:val="uk-UA"/>
              </w:rPr>
              <w:t>Назва джерела</w:t>
            </w:r>
          </w:p>
        </w:tc>
        <w:tc>
          <w:tcPr>
            <w:tcW w:w="1431" w:type="dxa"/>
            <w:vMerge w:val="restart"/>
            <w:tcBorders>
              <w:top w:val="single" w:sz="4" w:space="0" w:color="auto"/>
              <w:left w:val="single" w:sz="4" w:space="0" w:color="auto"/>
            </w:tcBorders>
          </w:tcPr>
          <w:p w:rsidR="00E95FB1" w:rsidRPr="00C86B34" w:rsidRDefault="00E95FB1" w:rsidP="001B3967">
            <w:pPr>
              <w:contextualSpacing/>
              <w:jc w:val="center"/>
              <w:rPr>
                <w:sz w:val="22"/>
                <w:lang w:val="uk-UA"/>
              </w:rPr>
            </w:pPr>
            <w:r w:rsidRPr="00C86B34">
              <w:rPr>
                <w:sz w:val="22"/>
                <w:lang w:val="uk-UA"/>
              </w:rPr>
              <w:t>6549,21</w:t>
            </w:r>
          </w:p>
        </w:tc>
      </w:tr>
      <w:tr w:rsidR="00E95FB1" w:rsidRPr="00C86B34" w:rsidTr="001B3967">
        <w:trPr>
          <w:trHeight w:val="300"/>
        </w:trPr>
        <w:tc>
          <w:tcPr>
            <w:tcW w:w="2747" w:type="dxa"/>
            <w:vMerge/>
            <w:shd w:val="clear" w:color="auto" w:fill="C6D9F1" w:themeFill="text2" w:themeFillTint="33"/>
          </w:tcPr>
          <w:p w:rsidR="00E95FB1" w:rsidRPr="00C86B34" w:rsidRDefault="00E95FB1" w:rsidP="001B3967">
            <w:pPr>
              <w:contextualSpacing/>
              <w:rPr>
                <w:b/>
                <w:sz w:val="22"/>
                <w:lang w:val="uk-UA"/>
              </w:rPr>
            </w:pPr>
          </w:p>
        </w:tc>
        <w:tc>
          <w:tcPr>
            <w:tcW w:w="1667" w:type="dxa"/>
            <w:vMerge/>
            <w:tcBorders>
              <w:right w:val="single" w:sz="4" w:space="0" w:color="auto"/>
            </w:tcBorders>
          </w:tcPr>
          <w:p w:rsidR="00E95FB1" w:rsidRPr="00C86B34" w:rsidRDefault="00E95FB1" w:rsidP="001B3967">
            <w:pPr>
              <w:contextualSpacing/>
              <w:jc w:val="center"/>
              <w:rPr>
                <w:sz w:val="22"/>
                <w:lang w:val="uk-UA"/>
              </w:rPr>
            </w:pPr>
          </w:p>
        </w:tc>
        <w:tc>
          <w:tcPr>
            <w:tcW w:w="1442" w:type="dxa"/>
            <w:vMerge/>
            <w:tcBorders>
              <w:right w:val="single" w:sz="4" w:space="0" w:color="auto"/>
            </w:tcBorders>
          </w:tcPr>
          <w:p w:rsidR="00E95FB1" w:rsidRPr="00C86B34" w:rsidRDefault="00E95FB1" w:rsidP="001B3967">
            <w:pPr>
              <w:contextualSpacing/>
              <w:jc w:val="center"/>
              <w:rPr>
                <w:b/>
                <w:sz w:val="22"/>
                <w:lang w:val="uk-UA"/>
              </w:rPr>
            </w:pPr>
          </w:p>
        </w:tc>
        <w:tc>
          <w:tcPr>
            <w:tcW w:w="1126" w:type="dxa"/>
            <w:gridSpan w:val="2"/>
            <w:tcBorders>
              <w:top w:val="single" w:sz="4" w:space="0" w:color="auto"/>
              <w:left w:val="single" w:sz="4" w:space="0" w:color="auto"/>
              <w:right w:val="single" w:sz="4" w:space="0" w:color="auto"/>
            </w:tcBorders>
          </w:tcPr>
          <w:p w:rsidR="00E95FB1" w:rsidRPr="00C86B34" w:rsidRDefault="00E95FB1" w:rsidP="001B3967">
            <w:pPr>
              <w:contextualSpacing/>
              <w:jc w:val="center"/>
              <w:rPr>
                <w:sz w:val="22"/>
                <w:lang w:val="uk-UA"/>
              </w:rPr>
            </w:pPr>
            <w:r w:rsidRPr="00C86B34">
              <w:rPr>
                <w:sz w:val="22"/>
                <w:lang w:val="uk-UA"/>
              </w:rPr>
              <w:t>1964,76</w:t>
            </w:r>
          </w:p>
        </w:tc>
        <w:tc>
          <w:tcPr>
            <w:tcW w:w="1475" w:type="dxa"/>
            <w:gridSpan w:val="2"/>
            <w:tcBorders>
              <w:top w:val="single" w:sz="4" w:space="0" w:color="auto"/>
              <w:left w:val="single" w:sz="4" w:space="0" w:color="auto"/>
              <w:right w:val="single" w:sz="4" w:space="0" w:color="auto"/>
            </w:tcBorders>
          </w:tcPr>
          <w:p w:rsidR="00E95FB1" w:rsidRPr="00C86B34" w:rsidRDefault="00E95FB1" w:rsidP="001B3967">
            <w:pPr>
              <w:contextualSpacing/>
              <w:jc w:val="center"/>
              <w:rPr>
                <w:sz w:val="22"/>
                <w:lang w:val="uk-UA"/>
              </w:rPr>
            </w:pPr>
            <w:r w:rsidRPr="00C86B34">
              <w:rPr>
                <w:sz w:val="22"/>
                <w:lang w:val="uk-UA"/>
              </w:rPr>
              <w:t>Іноземні інвестиції, кошти приватних осіб</w:t>
            </w:r>
          </w:p>
        </w:tc>
        <w:tc>
          <w:tcPr>
            <w:tcW w:w="1431" w:type="dxa"/>
            <w:vMerge/>
            <w:tcBorders>
              <w:left w:val="single" w:sz="4" w:space="0" w:color="auto"/>
            </w:tcBorders>
          </w:tcPr>
          <w:p w:rsidR="00E95FB1" w:rsidRPr="00C86B34" w:rsidRDefault="00E95FB1" w:rsidP="001B3967">
            <w:pPr>
              <w:contextualSpacing/>
              <w:jc w:val="center"/>
              <w:rPr>
                <w:sz w:val="22"/>
                <w:lang w:val="uk-UA"/>
              </w:rPr>
            </w:pPr>
          </w:p>
        </w:tc>
      </w:tr>
    </w:tbl>
    <w:p w:rsidR="00E95FB1" w:rsidRPr="00C86B34" w:rsidRDefault="00E95FB1" w:rsidP="00E95FB1">
      <w:pPr>
        <w:rPr>
          <w:sz w:val="22"/>
        </w:rPr>
      </w:pPr>
    </w:p>
    <w:p w:rsidR="00E95FB1" w:rsidRPr="00C86B34" w:rsidRDefault="00E95FB1" w:rsidP="00E95FB1">
      <w:pPr>
        <w:rPr>
          <w:sz w:val="22"/>
        </w:rPr>
      </w:pPr>
    </w:p>
    <w:tbl>
      <w:tblPr>
        <w:tblStyle w:val="af"/>
        <w:tblW w:w="0" w:type="auto"/>
        <w:tblInd w:w="-176" w:type="dxa"/>
        <w:tblLook w:val="04A0" w:firstRow="1" w:lastRow="0" w:firstColumn="1" w:lastColumn="0" w:noHBand="0" w:noVBand="1"/>
      </w:tblPr>
      <w:tblGrid>
        <w:gridCol w:w="2589"/>
        <w:gridCol w:w="1833"/>
        <w:gridCol w:w="1264"/>
        <w:gridCol w:w="218"/>
        <w:gridCol w:w="1189"/>
        <w:gridCol w:w="789"/>
        <w:gridCol w:w="471"/>
        <w:gridCol w:w="1309"/>
      </w:tblGrid>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Оперативна ціль/завдання</w:t>
            </w:r>
          </w:p>
        </w:tc>
        <w:tc>
          <w:tcPr>
            <w:tcW w:w="7194" w:type="dxa"/>
            <w:gridSpan w:val="7"/>
            <w:shd w:val="clear" w:color="auto" w:fill="auto"/>
          </w:tcPr>
          <w:p w:rsidR="00E95FB1" w:rsidRPr="00C86B34" w:rsidRDefault="008D1B1E" w:rsidP="008D1B1E">
            <w:pPr>
              <w:pStyle w:val="a7"/>
              <w:ind w:left="0"/>
              <w:rPr>
                <w:sz w:val="22"/>
                <w:lang w:val="uk-UA"/>
              </w:rPr>
            </w:pPr>
            <w:r w:rsidRPr="00C86B34">
              <w:rPr>
                <w:rFonts w:eastAsia="Arial"/>
                <w:sz w:val="22"/>
                <w:lang w:val="uk-UA"/>
              </w:rPr>
              <w:t xml:space="preserve">Людський розвиток через інновації управління та  довіру до влади. </w:t>
            </w:r>
            <w:r w:rsidR="0080362B" w:rsidRPr="00C86B34">
              <w:rPr>
                <w:rFonts w:eastAsia="Arial"/>
                <w:sz w:val="22"/>
                <w:lang w:val="uk-UA"/>
              </w:rPr>
              <w:t>Сучасний ЦНАП із віддаленими робочими місцями в сільській місцевості</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Назва проекту:</w:t>
            </w:r>
          </w:p>
        </w:tc>
        <w:tc>
          <w:tcPr>
            <w:tcW w:w="7194" w:type="dxa"/>
            <w:gridSpan w:val="7"/>
          </w:tcPr>
          <w:p w:rsidR="00E95FB1" w:rsidRPr="00C86B34" w:rsidRDefault="00E95FB1" w:rsidP="001B3967">
            <w:pPr>
              <w:pStyle w:val="a7"/>
              <w:ind w:left="0"/>
              <w:rPr>
                <w:sz w:val="22"/>
                <w:lang w:val="uk-UA"/>
              </w:rPr>
            </w:pPr>
            <w:r w:rsidRPr="00C86B34">
              <w:rPr>
                <w:sz w:val="22"/>
                <w:lang w:val="uk-UA"/>
              </w:rPr>
              <w:t>Відбудова адміністративної будівлі Сєвєродонецької міської територіальної громади (</w:t>
            </w:r>
            <w:proofErr w:type="spellStart"/>
            <w:r w:rsidRPr="00C86B34">
              <w:rPr>
                <w:sz w:val="22"/>
                <w:lang w:val="uk-UA"/>
              </w:rPr>
              <w:t>бул</w:t>
            </w:r>
            <w:proofErr w:type="spellEnd"/>
            <w:r w:rsidRPr="00C86B34">
              <w:rPr>
                <w:sz w:val="22"/>
                <w:lang w:val="uk-UA"/>
              </w:rPr>
              <w:t>. Дружби Народів, буд. 32А) для відновлення роботи структурних підрозділів, виконавчих органів Сєвєродонецької міської військової адміністрації та розміщення комунальних підприємств і регіональних відділень державних установ.</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Ціль проекту</w:t>
            </w:r>
          </w:p>
        </w:tc>
        <w:tc>
          <w:tcPr>
            <w:tcW w:w="7194" w:type="dxa"/>
            <w:gridSpan w:val="7"/>
          </w:tcPr>
          <w:p w:rsidR="00E95FB1" w:rsidRPr="00C86B34" w:rsidRDefault="00E95FB1" w:rsidP="001B3967">
            <w:pPr>
              <w:pStyle w:val="a7"/>
              <w:ind w:left="0"/>
              <w:rPr>
                <w:sz w:val="22"/>
                <w:lang w:val="uk-UA"/>
              </w:rPr>
            </w:pPr>
            <w:r w:rsidRPr="00C86B34">
              <w:rPr>
                <w:sz w:val="22"/>
                <w:lang w:val="uk-UA"/>
              </w:rPr>
              <w:t xml:space="preserve">Відновити та покращити роботу структурних підрозділів, виконавчих органів Сєвєродонецької міської військової адміністрації, органів державної влади та державних установ на </w:t>
            </w:r>
            <w:proofErr w:type="spellStart"/>
            <w:r w:rsidRPr="00C86B34">
              <w:rPr>
                <w:sz w:val="22"/>
                <w:lang w:val="uk-UA"/>
              </w:rPr>
              <w:t>деокупованій</w:t>
            </w:r>
            <w:proofErr w:type="spellEnd"/>
            <w:r w:rsidRPr="00C86B34">
              <w:rPr>
                <w:sz w:val="22"/>
                <w:lang w:val="uk-UA"/>
              </w:rPr>
              <w:t xml:space="preserve"> території Луганської області для надання широкого спектру послуг, пов’язаних із земельними та будівельно-архітектурними питаннями, </w:t>
            </w:r>
            <w:r w:rsidRPr="00C86B34">
              <w:rPr>
                <w:sz w:val="22"/>
                <w:lang w:val="uk-UA"/>
              </w:rPr>
              <w:lastRenderedPageBreak/>
              <w:t>адміністративними послугами, аудитом, фінансовими операціями, статистичними даними, захисту прав дітей та більш вразливих категорій населення, архівними послугами, культурною сферою з метою забезпечення конституційного права громадян на захист своїх прав та свобод. Забезпечення доступу Сєвєродонецької міської територіальної громади, установ, підприємств та організацій (не залежно від форм власності) та громадян до означених послуг.</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lastRenderedPageBreak/>
              <w:t>Територія, на яку матиме вплив реалізація проекту</w:t>
            </w:r>
          </w:p>
        </w:tc>
        <w:tc>
          <w:tcPr>
            <w:tcW w:w="7194" w:type="dxa"/>
            <w:gridSpan w:val="7"/>
          </w:tcPr>
          <w:p w:rsidR="00E95FB1" w:rsidRPr="00C86B34" w:rsidRDefault="00E95FB1" w:rsidP="001B3967">
            <w:pPr>
              <w:pStyle w:val="a7"/>
              <w:ind w:left="0"/>
              <w:rPr>
                <w:sz w:val="22"/>
                <w:lang w:val="uk-UA"/>
              </w:rPr>
            </w:pPr>
            <w:r w:rsidRPr="00C86B34">
              <w:rPr>
                <w:sz w:val="22"/>
                <w:lang w:val="uk-UA"/>
              </w:rPr>
              <w:t>Сєвєродонецька міська територіальна громада</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Чисельність населення, на яке матиме вплив реалізація проекту</w:t>
            </w:r>
          </w:p>
        </w:tc>
        <w:tc>
          <w:tcPr>
            <w:tcW w:w="7194" w:type="dxa"/>
            <w:gridSpan w:val="7"/>
          </w:tcPr>
          <w:p w:rsidR="00E95FB1" w:rsidRPr="00C86B34" w:rsidRDefault="00E95FB1" w:rsidP="00406967">
            <w:pPr>
              <w:pStyle w:val="a7"/>
              <w:ind w:left="0"/>
              <w:rPr>
                <w:sz w:val="22"/>
                <w:lang w:val="uk-UA"/>
              </w:rPr>
            </w:pPr>
            <w:r w:rsidRPr="00C86B34">
              <w:rPr>
                <w:sz w:val="22"/>
                <w:lang w:val="uk-UA"/>
              </w:rPr>
              <w:t xml:space="preserve"> 70 000  </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Опис проблеми, на вирішення якої  спрямований проект</w:t>
            </w:r>
          </w:p>
        </w:tc>
        <w:tc>
          <w:tcPr>
            <w:tcW w:w="7194" w:type="dxa"/>
            <w:gridSpan w:val="7"/>
          </w:tcPr>
          <w:p w:rsidR="00E95FB1" w:rsidRPr="00C86B34" w:rsidRDefault="00E95FB1" w:rsidP="001B3967">
            <w:pPr>
              <w:ind w:firstLine="708"/>
              <w:rPr>
                <w:sz w:val="22"/>
                <w:lang w:val="uk-UA"/>
              </w:rPr>
            </w:pPr>
            <w:r w:rsidRPr="00C86B34">
              <w:rPr>
                <w:sz w:val="22"/>
                <w:lang w:val="uk-UA"/>
              </w:rPr>
              <w:t>Через військову агресію РФ територія Сєвєродонецької міської територіальної громади зазнала значних пошкоджень. Будівлі, які перебувають в комунальній власності Сєвєродонецької міської територіальної громади, зруйновані або пошкоджені.</w:t>
            </w:r>
          </w:p>
          <w:p w:rsidR="00E95FB1" w:rsidRPr="00C86B34" w:rsidRDefault="00E95FB1" w:rsidP="001B3967">
            <w:pPr>
              <w:ind w:firstLine="708"/>
              <w:rPr>
                <w:sz w:val="22"/>
                <w:lang w:val="uk-UA"/>
              </w:rPr>
            </w:pPr>
            <w:r w:rsidRPr="00C86B34">
              <w:rPr>
                <w:sz w:val="22"/>
                <w:lang w:val="uk-UA"/>
              </w:rPr>
              <w:t>До 24.02.202</w:t>
            </w:r>
            <w:r w:rsidR="007B0B09" w:rsidRPr="00C86B34">
              <w:rPr>
                <w:sz w:val="22"/>
                <w:lang w:val="uk-UA"/>
              </w:rPr>
              <w:t>2 року</w:t>
            </w:r>
            <w:r w:rsidRPr="00C86B34">
              <w:rPr>
                <w:sz w:val="22"/>
                <w:lang w:val="uk-UA"/>
              </w:rPr>
              <w:t xml:space="preserve"> в </w:t>
            </w:r>
            <w:proofErr w:type="spellStart"/>
            <w:r w:rsidRPr="00C86B34">
              <w:rPr>
                <w:sz w:val="22"/>
                <w:lang w:val="uk-UA"/>
              </w:rPr>
              <w:t>чотирьохповерховій</w:t>
            </w:r>
            <w:proofErr w:type="spellEnd"/>
            <w:r w:rsidRPr="00C86B34">
              <w:rPr>
                <w:sz w:val="22"/>
                <w:lang w:val="uk-UA"/>
              </w:rPr>
              <w:t xml:space="preserve"> адміністративній будівлі розміщувалися структурні підрозділи, виконавчі органі Сєвєродонецької міської військової адміністрації, комунальні підприємства та регіональні відділен</w:t>
            </w:r>
            <w:r w:rsidR="009A67D6" w:rsidRPr="00C86B34">
              <w:rPr>
                <w:sz w:val="22"/>
                <w:lang w:val="uk-UA"/>
              </w:rPr>
              <w:t>ня</w:t>
            </w:r>
            <w:r w:rsidRPr="00C86B34">
              <w:rPr>
                <w:sz w:val="22"/>
                <w:lang w:val="uk-UA"/>
              </w:rPr>
              <w:t xml:space="preserve"> державних установ, зокрема:</w:t>
            </w:r>
          </w:p>
          <w:p w:rsidR="00E95FB1" w:rsidRPr="00C86B34" w:rsidRDefault="00E95FB1" w:rsidP="000303D7">
            <w:pPr>
              <w:pStyle w:val="a7"/>
              <w:numPr>
                <w:ilvl w:val="0"/>
                <w:numId w:val="66"/>
              </w:numPr>
              <w:ind w:left="0" w:firstLine="198"/>
              <w:rPr>
                <w:sz w:val="22"/>
                <w:lang w:val="uk-UA"/>
              </w:rPr>
            </w:pPr>
            <w:r w:rsidRPr="00C86B34">
              <w:rPr>
                <w:sz w:val="22"/>
                <w:lang w:val="uk-UA"/>
              </w:rPr>
              <w:t>ЦНАП</w:t>
            </w:r>
            <w:r w:rsidR="009A67D6" w:rsidRPr="00C86B34">
              <w:rPr>
                <w:sz w:val="22"/>
                <w:lang w:val="uk-UA"/>
              </w:rPr>
              <w:t>.</w:t>
            </w:r>
          </w:p>
          <w:p w:rsidR="00E95FB1" w:rsidRPr="00C86B34" w:rsidRDefault="00E95FB1" w:rsidP="000303D7">
            <w:pPr>
              <w:pStyle w:val="a7"/>
              <w:numPr>
                <w:ilvl w:val="0"/>
                <w:numId w:val="66"/>
              </w:numPr>
              <w:ind w:left="0" w:firstLine="198"/>
              <w:rPr>
                <w:sz w:val="22"/>
                <w:lang w:val="uk-UA"/>
              </w:rPr>
            </w:pPr>
            <w:r w:rsidRPr="00C86B34">
              <w:rPr>
                <w:sz w:val="22"/>
                <w:lang w:val="uk-UA"/>
              </w:rPr>
              <w:t>Управління державної охорони України</w:t>
            </w:r>
            <w:r w:rsidR="009A67D6" w:rsidRPr="00C86B34">
              <w:rPr>
                <w:sz w:val="22"/>
                <w:lang w:val="uk-UA"/>
              </w:rPr>
              <w:t>.</w:t>
            </w:r>
          </w:p>
          <w:p w:rsidR="00E95FB1" w:rsidRPr="00C86B34" w:rsidRDefault="00E95FB1" w:rsidP="000303D7">
            <w:pPr>
              <w:pStyle w:val="a7"/>
              <w:numPr>
                <w:ilvl w:val="0"/>
                <w:numId w:val="66"/>
              </w:numPr>
              <w:ind w:left="0" w:firstLine="198"/>
              <w:rPr>
                <w:sz w:val="22"/>
                <w:lang w:val="uk-UA"/>
              </w:rPr>
            </w:pPr>
            <w:r w:rsidRPr="00C86B34">
              <w:rPr>
                <w:sz w:val="22"/>
                <w:lang w:val="uk-UA"/>
              </w:rPr>
              <w:t xml:space="preserve">Північно-східний офіс </w:t>
            </w:r>
            <w:proofErr w:type="spellStart"/>
            <w:r w:rsidRPr="00C86B34">
              <w:rPr>
                <w:sz w:val="22"/>
                <w:lang w:val="uk-UA"/>
              </w:rPr>
              <w:t>Держаудитслужби</w:t>
            </w:r>
            <w:proofErr w:type="spellEnd"/>
            <w:r w:rsidR="009A67D6" w:rsidRPr="00C86B34">
              <w:rPr>
                <w:sz w:val="22"/>
                <w:lang w:val="uk-UA"/>
              </w:rPr>
              <w:t>.</w:t>
            </w:r>
          </w:p>
          <w:p w:rsidR="00E95FB1" w:rsidRPr="00C86B34" w:rsidRDefault="00E95FB1" w:rsidP="000303D7">
            <w:pPr>
              <w:pStyle w:val="a7"/>
              <w:numPr>
                <w:ilvl w:val="0"/>
                <w:numId w:val="66"/>
              </w:numPr>
              <w:ind w:left="0" w:firstLine="198"/>
              <w:rPr>
                <w:sz w:val="22"/>
                <w:lang w:val="uk-UA"/>
              </w:rPr>
            </w:pPr>
            <w:r w:rsidRPr="00C86B34">
              <w:rPr>
                <w:sz w:val="22"/>
                <w:lang w:val="uk-UA"/>
              </w:rPr>
              <w:t>Філія АТ "Державний ощадний банк України"</w:t>
            </w:r>
            <w:r w:rsidR="009A67D6" w:rsidRPr="00C86B34">
              <w:rPr>
                <w:sz w:val="22"/>
                <w:lang w:val="uk-UA"/>
              </w:rPr>
              <w:t>.</w:t>
            </w:r>
          </w:p>
          <w:p w:rsidR="00E95FB1" w:rsidRPr="00C86B34" w:rsidRDefault="00E95FB1" w:rsidP="000303D7">
            <w:pPr>
              <w:pStyle w:val="a7"/>
              <w:numPr>
                <w:ilvl w:val="0"/>
                <w:numId w:val="66"/>
              </w:numPr>
              <w:ind w:left="0" w:firstLine="198"/>
              <w:rPr>
                <w:sz w:val="22"/>
                <w:lang w:val="uk-UA"/>
              </w:rPr>
            </w:pPr>
            <w:r w:rsidRPr="00C86B34">
              <w:rPr>
                <w:sz w:val="22"/>
                <w:lang w:val="uk-UA"/>
              </w:rPr>
              <w:t>Регіональне відділення Фонду державного майна України по Донецькій та Луганській областях</w:t>
            </w:r>
            <w:r w:rsidR="009A67D6" w:rsidRPr="00C86B34">
              <w:rPr>
                <w:sz w:val="22"/>
                <w:lang w:val="uk-UA"/>
              </w:rPr>
              <w:t>.</w:t>
            </w:r>
          </w:p>
          <w:p w:rsidR="00E95FB1" w:rsidRPr="00C86B34" w:rsidRDefault="00E95FB1" w:rsidP="000303D7">
            <w:pPr>
              <w:pStyle w:val="a7"/>
              <w:numPr>
                <w:ilvl w:val="0"/>
                <w:numId w:val="66"/>
              </w:numPr>
              <w:ind w:left="0" w:firstLine="198"/>
              <w:rPr>
                <w:sz w:val="22"/>
                <w:lang w:val="uk-UA"/>
              </w:rPr>
            </w:pPr>
            <w:r w:rsidRPr="00C86B34">
              <w:rPr>
                <w:sz w:val="22"/>
                <w:lang w:val="uk-UA"/>
              </w:rPr>
              <w:t xml:space="preserve">Головне управління </w:t>
            </w:r>
            <w:proofErr w:type="spellStart"/>
            <w:r w:rsidRPr="00C86B34">
              <w:rPr>
                <w:sz w:val="22"/>
                <w:lang w:val="uk-UA"/>
              </w:rPr>
              <w:t>Держгеокадастру</w:t>
            </w:r>
            <w:proofErr w:type="spellEnd"/>
            <w:r w:rsidRPr="00C86B34">
              <w:rPr>
                <w:sz w:val="22"/>
                <w:lang w:val="uk-UA"/>
              </w:rPr>
              <w:t xml:space="preserve"> у Луганській області</w:t>
            </w:r>
            <w:r w:rsidR="009A67D6" w:rsidRPr="00C86B34">
              <w:rPr>
                <w:sz w:val="22"/>
                <w:lang w:val="uk-UA"/>
              </w:rPr>
              <w:t>.</w:t>
            </w:r>
          </w:p>
          <w:p w:rsidR="00E95FB1" w:rsidRPr="00C86B34" w:rsidRDefault="00E95FB1" w:rsidP="000303D7">
            <w:pPr>
              <w:pStyle w:val="a7"/>
              <w:numPr>
                <w:ilvl w:val="0"/>
                <w:numId w:val="66"/>
              </w:numPr>
              <w:ind w:left="0" w:firstLine="198"/>
              <w:rPr>
                <w:sz w:val="22"/>
                <w:lang w:val="uk-UA"/>
              </w:rPr>
            </w:pPr>
            <w:r w:rsidRPr="00C86B34">
              <w:rPr>
                <w:sz w:val="22"/>
                <w:lang w:val="uk-UA"/>
              </w:rPr>
              <w:t>Сєвєродонецький міський центр соціальних служб</w:t>
            </w:r>
            <w:r w:rsidR="009A67D6" w:rsidRPr="00C86B34">
              <w:rPr>
                <w:sz w:val="22"/>
                <w:lang w:val="uk-UA"/>
              </w:rPr>
              <w:t>.</w:t>
            </w:r>
          </w:p>
          <w:p w:rsidR="00E95FB1" w:rsidRPr="00C86B34" w:rsidRDefault="00E95FB1" w:rsidP="000303D7">
            <w:pPr>
              <w:pStyle w:val="a7"/>
              <w:numPr>
                <w:ilvl w:val="0"/>
                <w:numId w:val="66"/>
              </w:numPr>
              <w:ind w:left="0" w:firstLine="198"/>
              <w:rPr>
                <w:sz w:val="22"/>
                <w:lang w:val="uk-UA"/>
              </w:rPr>
            </w:pPr>
            <w:r w:rsidRPr="00C86B34">
              <w:rPr>
                <w:sz w:val="22"/>
                <w:lang w:val="uk-UA"/>
              </w:rPr>
              <w:t>Головне управління статистики у Луганській області;</w:t>
            </w:r>
          </w:p>
          <w:p w:rsidR="00E95FB1" w:rsidRPr="00C86B34" w:rsidRDefault="00E95FB1" w:rsidP="000303D7">
            <w:pPr>
              <w:pStyle w:val="a7"/>
              <w:numPr>
                <w:ilvl w:val="0"/>
                <w:numId w:val="66"/>
              </w:numPr>
              <w:ind w:left="0" w:firstLine="198"/>
              <w:rPr>
                <w:sz w:val="22"/>
                <w:lang w:val="uk-UA"/>
              </w:rPr>
            </w:pPr>
            <w:r w:rsidRPr="00C86B34">
              <w:rPr>
                <w:sz w:val="22"/>
                <w:lang w:val="uk-UA"/>
              </w:rPr>
              <w:t>КУ "Трудовий архів м. Сєвєродонецька"</w:t>
            </w:r>
            <w:r w:rsidR="009A67D6" w:rsidRPr="00C86B34">
              <w:rPr>
                <w:sz w:val="22"/>
                <w:lang w:val="uk-UA"/>
              </w:rPr>
              <w:t>.</w:t>
            </w:r>
          </w:p>
          <w:p w:rsidR="00E95FB1" w:rsidRPr="00C86B34" w:rsidRDefault="00E95FB1" w:rsidP="000303D7">
            <w:pPr>
              <w:pStyle w:val="a7"/>
              <w:numPr>
                <w:ilvl w:val="0"/>
                <w:numId w:val="66"/>
              </w:numPr>
              <w:ind w:left="0" w:firstLine="198"/>
              <w:rPr>
                <w:sz w:val="22"/>
                <w:lang w:val="uk-UA"/>
              </w:rPr>
            </w:pPr>
            <w:r w:rsidRPr="00C86B34">
              <w:rPr>
                <w:sz w:val="22"/>
                <w:lang w:val="uk-UA"/>
              </w:rPr>
              <w:t>КП «Землевпорядник»</w:t>
            </w:r>
            <w:r w:rsidR="009A67D6" w:rsidRPr="00C86B34">
              <w:rPr>
                <w:sz w:val="22"/>
                <w:lang w:val="uk-UA"/>
              </w:rPr>
              <w:t>.</w:t>
            </w:r>
          </w:p>
          <w:p w:rsidR="00E95FB1" w:rsidRPr="00C86B34" w:rsidRDefault="00E95FB1" w:rsidP="000303D7">
            <w:pPr>
              <w:pStyle w:val="a7"/>
              <w:numPr>
                <w:ilvl w:val="0"/>
                <w:numId w:val="66"/>
              </w:numPr>
              <w:ind w:left="0" w:firstLine="198"/>
              <w:rPr>
                <w:sz w:val="22"/>
                <w:lang w:val="uk-UA"/>
              </w:rPr>
            </w:pPr>
            <w:r w:rsidRPr="00C86B34">
              <w:rPr>
                <w:sz w:val="22"/>
                <w:lang w:val="uk-UA"/>
              </w:rPr>
              <w:t>Відділ культури</w:t>
            </w:r>
            <w:r w:rsidR="009A67D6" w:rsidRPr="00C86B34">
              <w:rPr>
                <w:sz w:val="22"/>
                <w:lang w:val="uk-UA"/>
              </w:rPr>
              <w:t>.</w:t>
            </w:r>
          </w:p>
          <w:p w:rsidR="00E95FB1" w:rsidRPr="00C86B34" w:rsidRDefault="00E95FB1" w:rsidP="000303D7">
            <w:pPr>
              <w:pStyle w:val="a7"/>
              <w:numPr>
                <w:ilvl w:val="0"/>
                <w:numId w:val="66"/>
              </w:numPr>
              <w:ind w:left="0" w:firstLine="198"/>
              <w:rPr>
                <w:sz w:val="22"/>
                <w:lang w:val="uk-UA"/>
              </w:rPr>
            </w:pPr>
            <w:r w:rsidRPr="00C86B34">
              <w:rPr>
                <w:sz w:val="22"/>
                <w:lang w:val="uk-UA"/>
              </w:rPr>
              <w:t>Державна інспекція архітектури та містобудування України:</w:t>
            </w:r>
          </w:p>
          <w:p w:rsidR="00E95FB1" w:rsidRPr="00C86B34" w:rsidRDefault="00E95FB1" w:rsidP="000303D7">
            <w:pPr>
              <w:pStyle w:val="a7"/>
              <w:numPr>
                <w:ilvl w:val="0"/>
                <w:numId w:val="66"/>
              </w:numPr>
              <w:ind w:left="0" w:firstLine="198"/>
              <w:rPr>
                <w:sz w:val="22"/>
                <w:lang w:val="uk-UA"/>
              </w:rPr>
            </w:pPr>
            <w:r w:rsidRPr="00C86B34">
              <w:rPr>
                <w:sz w:val="22"/>
                <w:lang w:val="uk-UA"/>
              </w:rPr>
              <w:t>Служба у справах дітей тощо.</w:t>
            </w:r>
          </w:p>
          <w:p w:rsidR="00E95FB1" w:rsidRPr="00C86B34" w:rsidRDefault="00E95FB1" w:rsidP="001B3967">
            <w:pPr>
              <w:ind w:firstLine="484"/>
              <w:rPr>
                <w:sz w:val="22"/>
                <w:lang w:val="uk-UA"/>
              </w:rPr>
            </w:pPr>
            <w:r w:rsidRPr="00C86B34">
              <w:rPr>
                <w:sz w:val="22"/>
                <w:lang w:val="uk-UA"/>
              </w:rPr>
              <w:t xml:space="preserve">В оренду було передано близько 24 приміщень даної будівлі, площею 3 388 </w:t>
            </w:r>
            <w:proofErr w:type="spellStart"/>
            <w:r w:rsidRPr="00C86B34">
              <w:rPr>
                <w:sz w:val="22"/>
                <w:lang w:val="uk-UA"/>
              </w:rPr>
              <w:t>кв.м</w:t>
            </w:r>
            <w:proofErr w:type="spellEnd"/>
            <w:r w:rsidRPr="00C86B34">
              <w:rPr>
                <w:sz w:val="22"/>
                <w:lang w:val="uk-UA"/>
              </w:rPr>
              <w:t xml:space="preserve">, площа будівлі складає близька 6 000 </w:t>
            </w:r>
            <w:proofErr w:type="spellStart"/>
            <w:r w:rsidRPr="00C86B34">
              <w:rPr>
                <w:sz w:val="22"/>
                <w:lang w:val="uk-UA"/>
              </w:rPr>
              <w:t>кв.м</w:t>
            </w:r>
            <w:proofErr w:type="spellEnd"/>
            <w:r w:rsidRPr="00C86B34">
              <w:rPr>
                <w:sz w:val="22"/>
                <w:lang w:val="uk-UA"/>
              </w:rPr>
              <w:t>.</w:t>
            </w:r>
          </w:p>
          <w:p w:rsidR="00E95FB1" w:rsidRPr="00C86B34" w:rsidRDefault="00E95FB1" w:rsidP="001B3967">
            <w:pPr>
              <w:ind w:firstLine="708"/>
              <w:rPr>
                <w:sz w:val="22"/>
                <w:lang w:val="uk-UA"/>
              </w:rPr>
            </w:pPr>
            <w:r w:rsidRPr="00C86B34">
              <w:rPr>
                <w:sz w:val="22"/>
                <w:lang w:val="uk-UA"/>
              </w:rPr>
              <w:t>Адміністративна будівля (</w:t>
            </w:r>
            <w:proofErr w:type="spellStart"/>
            <w:r w:rsidRPr="00C86B34">
              <w:rPr>
                <w:sz w:val="22"/>
                <w:lang w:val="uk-UA"/>
              </w:rPr>
              <w:t>бул</w:t>
            </w:r>
            <w:proofErr w:type="spellEnd"/>
            <w:r w:rsidRPr="00C86B34">
              <w:rPr>
                <w:sz w:val="22"/>
                <w:lang w:val="uk-UA"/>
              </w:rPr>
              <w:t>. Дружби Народів, буд. 32А), зазнала пошкоджень, зокрема пошкоджена покрівля, вікна, двері, внутрішнє оздоблення.</w:t>
            </w:r>
          </w:p>
        </w:tc>
      </w:tr>
      <w:tr w:rsidR="00E95FB1" w:rsidRPr="001916D0" w:rsidTr="001B3967">
        <w:tc>
          <w:tcPr>
            <w:tcW w:w="2694"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якісні результати від реалізації проекту</w:t>
            </w:r>
          </w:p>
        </w:tc>
        <w:tc>
          <w:tcPr>
            <w:tcW w:w="7194" w:type="dxa"/>
            <w:gridSpan w:val="7"/>
          </w:tcPr>
          <w:p w:rsidR="00E95FB1" w:rsidRPr="001916D0" w:rsidRDefault="00E95FB1" w:rsidP="001B3967">
            <w:pPr>
              <w:pStyle w:val="a7"/>
              <w:ind w:left="0"/>
              <w:rPr>
                <w:sz w:val="22"/>
                <w:lang w:val="uk-UA"/>
              </w:rPr>
            </w:pPr>
            <w:r w:rsidRPr="001916D0">
              <w:rPr>
                <w:sz w:val="22"/>
                <w:lang w:val="uk-UA"/>
              </w:rPr>
              <w:t>- забезпечення реалізації конституційних прав людини та громадянина на захист своїх прав та свобод, зокрема дітей та найбільш вразливих категорій населення;</w:t>
            </w:r>
          </w:p>
          <w:p w:rsidR="00E95FB1" w:rsidRPr="001916D0" w:rsidRDefault="00E95FB1" w:rsidP="001B3967">
            <w:pPr>
              <w:pStyle w:val="a7"/>
              <w:ind w:left="0"/>
              <w:rPr>
                <w:sz w:val="22"/>
                <w:lang w:val="uk-UA"/>
              </w:rPr>
            </w:pPr>
            <w:r w:rsidRPr="001916D0">
              <w:rPr>
                <w:sz w:val="22"/>
                <w:lang w:val="uk-UA"/>
              </w:rPr>
              <w:t>- забезпечення доступу Сєвєродонецької міської територіальної громади,  установ, підприємств та організацій (не залежно від форм власності) та громадян до різного роду послуг, зокрема пов’язаних із земельними та будівельно-архітектурними питаннями, адміністративними послугами, аудитом, фінансовими операціями, статистичними даними, культурною сферою та ін.;</w:t>
            </w:r>
          </w:p>
          <w:p w:rsidR="00E95FB1" w:rsidRPr="001916D0" w:rsidRDefault="00E95FB1" w:rsidP="001B3967">
            <w:pPr>
              <w:pStyle w:val="a7"/>
              <w:ind w:left="0"/>
              <w:rPr>
                <w:sz w:val="22"/>
                <w:lang w:val="uk-UA"/>
              </w:rPr>
            </w:pPr>
            <w:r w:rsidRPr="001916D0">
              <w:rPr>
                <w:sz w:val="22"/>
                <w:lang w:val="uk-UA"/>
              </w:rPr>
              <w:t>- створення нових робочих місць;</w:t>
            </w:r>
          </w:p>
          <w:p w:rsidR="00E95FB1" w:rsidRPr="001916D0" w:rsidRDefault="00E95FB1" w:rsidP="001B3967">
            <w:pPr>
              <w:pStyle w:val="a7"/>
              <w:ind w:left="0"/>
              <w:rPr>
                <w:sz w:val="22"/>
                <w:lang w:val="uk-UA"/>
              </w:rPr>
            </w:pPr>
            <w:r w:rsidRPr="001916D0">
              <w:rPr>
                <w:sz w:val="22"/>
                <w:lang w:val="uk-UA"/>
              </w:rPr>
              <w:t>- стимулювання ВПО та громадян Сєвєродонецької міської територіальної громади  до повернення</w:t>
            </w:r>
          </w:p>
        </w:tc>
      </w:tr>
      <w:tr w:rsidR="00E95FB1" w:rsidRPr="001916D0" w:rsidTr="001B3967">
        <w:trPr>
          <w:trHeight w:val="390"/>
        </w:trPr>
        <w:tc>
          <w:tcPr>
            <w:tcW w:w="2694"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Очікувані кількісні результати реалізації </w:t>
            </w:r>
            <w:proofErr w:type="spellStart"/>
            <w:r w:rsidRPr="001916D0">
              <w:rPr>
                <w:b/>
                <w:sz w:val="22"/>
                <w:lang w:val="uk-UA"/>
              </w:rPr>
              <w:t>проєкту</w:t>
            </w:r>
            <w:proofErr w:type="spellEnd"/>
            <w:r w:rsidRPr="001916D0">
              <w:rPr>
                <w:b/>
                <w:sz w:val="22"/>
                <w:lang w:val="uk-UA"/>
              </w:rPr>
              <w:t xml:space="preserve"> (індикатори)</w:t>
            </w:r>
          </w:p>
          <w:p w:rsidR="00E95FB1" w:rsidRPr="001916D0" w:rsidRDefault="00E95FB1" w:rsidP="001B3967">
            <w:pPr>
              <w:pStyle w:val="a7"/>
              <w:ind w:left="0"/>
              <w:rPr>
                <w:b/>
                <w:sz w:val="22"/>
                <w:lang w:val="uk-UA"/>
              </w:rPr>
            </w:pPr>
          </w:p>
        </w:tc>
        <w:tc>
          <w:tcPr>
            <w:tcW w:w="3402" w:type="dxa"/>
            <w:gridSpan w:val="3"/>
            <w:tcBorders>
              <w:bottom w:val="single" w:sz="4" w:space="0" w:color="auto"/>
              <w:right w:val="single" w:sz="4" w:space="0" w:color="auto"/>
            </w:tcBorders>
          </w:tcPr>
          <w:p w:rsidR="00E95FB1" w:rsidRPr="001916D0" w:rsidRDefault="00E95FB1" w:rsidP="001B3967">
            <w:pPr>
              <w:pStyle w:val="a7"/>
              <w:ind w:left="-108"/>
              <w:jc w:val="center"/>
              <w:rPr>
                <w:b/>
                <w:sz w:val="22"/>
                <w:lang w:val="uk-UA"/>
              </w:rPr>
            </w:pPr>
            <w:r w:rsidRPr="001916D0">
              <w:rPr>
                <w:b/>
                <w:sz w:val="22"/>
                <w:lang w:val="uk-UA"/>
              </w:rPr>
              <w:lastRenderedPageBreak/>
              <w:t>Найменування показника</w:t>
            </w:r>
          </w:p>
        </w:tc>
        <w:tc>
          <w:tcPr>
            <w:tcW w:w="1985" w:type="dxa"/>
            <w:gridSpan w:val="2"/>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Одиниця вимірювання</w:t>
            </w:r>
          </w:p>
          <w:p w:rsidR="00E95FB1" w:rsidRPr="001916D0" w:rsidRDefault="00E95FB1" w:rsidP="001B3967">
            <w:pPr>
              <w:pStyle w:val="a7"/>
              <w:ind w:left="0"/>
              <w:rPr>
                <w:b/>
                <w:sz w:val="22"/>
                <w:lang w:val="uk-UA"/>
              </w:rPr>
            </w:pPr>
          </w:p>
        </w:tc>
        <w:tc>
          <w:tcPr>
            <w:tcW w:w="1807" w:type="dxa"/>
            <w:gridSpan w:val="2"/>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Прогнозне (цільове) значення</w:t>
            </w:r>
          </w:p>
        </w:tc>
      </w:tr>
      <w:tr w:rsidR="00E95FB1" w:rsidRPr="001916D0" w:rsidTr="001B3967">
        <w:trPr>
          <w:trHeight w:val="371"/>
        </w:trPr>
        <w:tc>
          <w:tcPr>
            <w:tcW w:w="2694"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 xml:space="preserve">Площа розміщень </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proofErr w:type="spellStart"/>
            <w:r w:rsidRPr="001916D0">
              <w:rPr>
                <w:sz w:val="22"/>
                <w:lang w:val="uk-UA"/>
              </w:rPr>
              <w:t>кв.м</w:t>
            </w:r>
            <w:proofErr w:type="spellEnd"/>
          </w:p>
        </w:tc>
        <w:tc>
          <w:tcPr>
            <w:tcW w:w="1807" w:type="dxa"/>
            <w:gridSpan w:val="2"/>
            <w:tcBorders>
              <w:top w:val="single" w:sz="4" w:space="0" w:color="auto"/>
              <w:left w:val="single" w:sz="4" w:space="0" w:color="auto"/>
              <w:bottom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6 000</w:t>
            </w:r>
          </w:p>
        </w:tc>
      </w:tr>
      <w:tr w:rsidR="00E95FB1" w:rsidRPr="001916D0" w:rsidTr="001B3967">
        <w:trPr>
          <w:trHeight w:val="184"/>
        </w:trPr>
        <w:tc>
          <w:tcPr>
            <w:tcW w:w="2694"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Площа приміщень до оренди</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proofErr w:type="spellStart"/>
            <w:r w:rsidRPr="001916D0">
              <w:rPr>
                <w:sz w:val="22"/>
                <w:lang w:val="uk-UA"/>
              </w:rPr>
              <w:t>кв.м</w:t>
            </w:r>
            <w:proofErr w:type="spellEnd"/>
          </w:p>
        </w:tc>
        <w:tc>
          <w:tcPr>
            <w:tcW w:w="1807" w:type="dxa"/>
            <w:gridSpan w:val="2"/>
            <w:tcBorders>
              <w:top w:val="single" w:sz="4" w:space="0" w:color="auto"/>
              <w:left w:val="single" w:sz="4" w:space="0" w:color="auto"/>
              <w:bottom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3 388</w:t>
            </w:r>
          </w:p>
        </w:tc>
      </w:tr>
      <w:tr w:rsidR="00E95FB1" w:rsidRPr="001916D0" w:rsidTr="001B3967">
        <w:trPr>
          <w:trHeight w:val="165"/>
        </w:trPr>
        <w:tc>
          <w:tcPr>
            <w:tcW w:w="2694"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Передача об’єктів комунальної власності в оренду, укладання договорів оренди</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807" w:type="dxa"/>
            <w:gridSpan w:val="2"/>
            <w:tcBorders>
              <w:top w:val="single" w:sz="4" w:space="0" w:color="auto"/>
              <w:left w:val="single" w:sz="4" w:space="0" w:color="auto"/>
              <w:bottom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24</w:t>
            </w:r>
          </w:p>
        </w:tc>
      </w:tr>
      <w:tr w:rsidR="00E95FB1" w:rsidRPr="001916D0" w:rsidTr="001B3967">
        <w:trPr>
          <w:trHeight w:val="150"/>
        </w:trPr>
        <w:tc>
          <w:tcPr>
            <w:tcW w:w="2694"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підвищення ролі соціальних пріоритетів у використанні нерухомого майна, а саме: надання пропозицій з оренди об’єктів комунальної власності суб’єктам, що утримуються за рахунок коштів державного та місцевого бюджетів</w:t>
            </w:r>
          </w:p>
        </w:tc>
        <w:tc>
          <w:tcPr>
            <w:tcW w:w="1985" w:type="dxa"/>
            <w:gridSpan w:val="2"/>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807" w:type="dxa"/>
            <w:gridSpan w:val="2"/>
            <w:tcBorders>
              <w:top w:val="single" w:sz="4" w:space="0" w:color="auto"/>
              <w:lef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18</w:t>
            </w:r>
          </w:p>
        </w:tc>
      </w:tr>
      <w:tr w:rsidR="00E95FB1" w:rsidRPr="001916D0" w:rsidTr="001B3967">
        <w:tc>
          <w:tcPr>
            <w:tcW w:w="2694" w:type="dxa"/>
            <w:shd w:val="clear" w:color="auto" w:fill="C6D9F1" w:themeFill="text2" w:themeFillTint="33"/>
          </w:tcPr>
          <w:p w:rsidR="00E95FB1" w:rsidRPr="001916D0" w:rsidRDefault="00E95FB1" w:rsidP="001B3967">
            <w:pPr>
              <w:rPr>
                <w:b/>
                <w:sz w:val="22"/>
                <w:lang w:val="uk-UA"/>
              </w:rPr>
            </w:pPr>
            <w:r w:rsidRPr="001916D0">
              <w:rPr>
                <w:b/>
                <w:sz w:val="22"/>
                <w:lang w:val="uk-UA"/>
              </w:rPr>
              <w:t xml:space="preserve">Ключові заходи проекту: </w:t>
            </w:r>
          </w:p>
          <w:p w:rsidR="00E95FB1" w:rsidRPr="001916D0" w:rsidRDefault="00E95FB1" w:rsidP="001B3967">
            <w:pPr>
              <w:pStyle w:val="a7"/>
              <w:ind w:left="0"/>
              <w:rPr>
                <w:b/>
                <w:sz w:val="22"/>
                <w:lang w:val="uk-UA"/>
              </w:rPr>
            </w:pPr>
          </w:p>
        </w:tc>
        <w:tc>
          <w:tcPr>
            <w:tcW w:w="7194" w:type="dxa"/>
            <w:gridSpan w:val="7"/>
          </w:tcPr>
          <w:p w:rsidR="00E95FB1" w:rsidRPr="001916D0" w:rsidRDefault="00E95FB1" w:rsidP="001B3967">
            <w:pPr>
              <w:pStyle w:val="a7"/>
              <w:ind w:left="0"/>
              <w:rPr>
                <w:sz w:val="22"/>
                <w:lang w:val="uk-UA"/>
              </w:rPr>
            </w:pPr>
            <w:r w:rsidRPr="001916D0">
              <w:rPr>
                <w:sz w:val="22"/>
                <w:lang w:val="uk-UA"/>
              </w:rPr>
              <w:t>- проведення технічного обстеження стану будівлі (покрівлі, стану віконних блоків, внутрішнього перекриття);</w:t>
            </w:r>
          </w:p>
          <w:p w:rsidR="00E95FB1" w:rsidRPr="001916D0" w:rsidRDefault="00E95FB1" w:rsidP="001B3967">
            <w:pPr>
              <w:pStyle w:val="a7"/>
              <w:ind w:left="0"/>
              <w:rPr>
                <w:sz w:val="22"/>
                <w:lang w:val="uk-UA"/>
              </w:rPr>
            </w:pPr>
            <w:r w:rsidRPr="001916D0">
              <w:rPr>
                <w:sz w:val="22"/>
                <w:lang w:val="uk-UA"/>
              </w:rPr>
              <w:t xml:space="preserve">- розроблення </w:t>
            </w:r>
            <w:proofErr w:type="spellStart"/>
            <w:r w:rsidRPr="001916D0">
              <w:rPr>
                <w:sz w:val="22"/>
                <w:lang w:val="uk-UA"/>
              </w:rPr>
              <w:t>про</w:t>
            </w:r>
            <w:r w:rsidR="00457022" w:rsidRPr="001916D0">
              <w:rPr>
                <w:sz w:val="22"/>
                <w:lang w:val="uk-UA"/>
              </w:rPr>
              <w:t>є</w:t>
            </w:r>
            <w:r w:rsidRPr="001916D0">
              <w:rPr>
                <w:sz w:val="22"/>
                <w:lang w:val="uk-UA"/>
              </w:rPr>
              <w:t>ктно</w:t>
            </w:r>
            <w:proofErr w:type="spellEnd"/>
            <w:r w:rsidRPr="001916D0">
              <w:rPr>
                <w:sz w:val="22"/>
                <w:lang w:val="uk-UA"/>
              </w:rPr>
              <w:t>-кошторисної документації на відновлювані роботи будівлі (відновлення покрівлі, заміна/відновлення вікон, утеплення, внутрішній ремонт, ремонт / оновлення санвузлів та оновлення системи теплопостачання);</w:t>
            </w:r>
          </w:p>
          <w:p w:rsidR="00E95FB1" w:rsidRPr="001916D0" w:rsidRDefault="00E95FB1" w:rsidP="001B3967">
            <w:pPr>
              <w:pStyle w:val="a7"/>
              <w:ind w:left="0"/>
              <w:rPr>
                <w:sz w:val="22"/>
                <w:lang w:val="uk-UA"/>
              </w:rPr>
            </w:pPr>
            <w:r w:rsidRPr="001916D0">
              <w:rPr>
                <w:sz w:val="22"/>
                <w:lang w:val="uk-UA"/>
              </w:rPr>
              <w:t>- пошук інвестора;</w:t>
            </w:r>
          </w:p>
          <w:p w:rsidR="00E95FB1" w:rsidRPr="001916D0" w:rsidRDefault="00E95FB1" w:rsidP="001B3967">
            <w:pPr>
              <w:pStyle w:val="a7"/>
              <w:ind w:left="0"/>
              <w:rPr>
                <w:sz w:val="22"/>
                <w:lang w:val="uk-UA"/>
              </w:rPr>
            </w:pPr>
            <w:r w:rsidRPr="001916D0">
              <w:rPr>
                <w:sz w:val="22"/>
                <w:lang w:val="uk-UA"/>
              </w:rPr>
              <w:t>- пошук підрядної організації;</w:t>
            </w:r>
          </w:p>
          <w:p w:rsidR="00E95FB1" w:rsidRPr="001916D0" w:rsidRDefault="00E95FB1" w:rsidP="001B3967">
            <w:pPr>
              <w:pStyle w:val="a7"/>
              <w:ind w:left="0"/>
              <w:rPr>
                <w:sz w:val="22"/>
                <w:lang w:val="uk-UA"/>
              </w:rPr>
            </w:pPr>
            <w:r w:rsidRPr="001916D0">
              <w:rPr>
                <w:sz w:val="22"/>
                <w:lang w:val="uk-UA"/>
              </w:rPr>
              <w:t xml:space="preserve">- проведення </w:t>
            </w:r>
            <w:proofErr w:type="spellStart"/>
            <w:r w:rsidRPr="001916D0">
              <w:rPr>
                <w:sz w:val="22"/>
                <w:lang w:val="uk-UA"/>
              </w:rPr>
              <w:t>відновлювально</w:t>
            </w:r>
            <w:proofErr w:type="spellEnd"/>
            <w:r w:rsidRPr="001916D0">
              <w:rPr>
                <w:sz w:val="22"/>
                <w:lang w:val="uk-UA"/>
              </w:rPr>
              <w:t>-ремонтних робот адміністративної будівлі;</w:t>
            </w:r>
          </w:p>
          <w:p w:rsidR="00E95FB1" w:rsidRPr="001916D0" w:rsidRDefault="00E95FB1" w:rsidP="001B3967">
            <w:pPr>
              <w:pStyle w:val="a7"/>
              <w:ind w:left="0"/>
              <w:rPr>
                <w:sz w:val="22"/>
                <w:lang w:val="uk-UA"/>
              </w:rPr>
            </w:pPr>
            <w:r w:rsidRPr="001916D0">
              <w:rPr>
                <w:sz w:val="22"/>
                <w:lang w:val="uk-UA"/>
              </w:rPr>
              <w:t>- організація та початок роботи структурних підрозділів, виконавчих органів Сєвєродонецької міської військової адміністрації та органів державної влади, державних установ;</w:t>
            </w:r>
          </w:p>
          <w:p w:rsidR="00E95FB1" w:rsidRPr="001916D0" w:rsidRDefault="00E95FB1" w:rsidP="001B3967">
            <w:pPr>
              <w:pStyle w:val="a7"/>
              <w:ind w:left="0"/>
              <w:rPr>
                <w:sz w:val="22"/>
                <w:lang w:val="uk-UA"/>
              </w:rPr>
            </w:pPr>
            <w:r w:rsidRPr="001916D0">
              <w:rPr>
                <w:sz w:val="22"/>
                <w:lang w:val="uk-UA"/>
              </w:rPr>
              <w:t>- передача вільних приміщень в оренду з метою розміщення органів місцевого самоврядування, комунальних підприємств, установ, органів державної влади, державних установ, суб’єктів зв’язку.</w:t>
            </w:r>
          </w:p>
        </w:tc>
      </w:tr>
      <w:tr w:rsidR="00E95FB1" w:rsidRPr="001916D0" w:rsidTr="001B3967">
        <w:trPr>
          <w:trHeight w:val="360"/>
        </w:trPr>
        <w:tc>
          <w:tcPr>
            <w:tcW w:w="2694"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Орієнтовний обсяг та джерела фінансування, тис. грн. </w:t>
            </w:r>
          </w:p>
          <w:p w:rsidR="00E95FB1" w:rsidRPr="001916D0" w:rsidRDefault="00E95FB1" w:rsidP="001B3967">
            <w:pPr>
              <w:pStyle w:val="a7"/>
              <w:ind w:left="0"/>
              <w:rPr>
                <w:b/>
                <w:sz w:val="22"/>
                <w:lang w:val="uk-UA"/>
              </w:rPr>
            </w:pPr>
          </w:p>
        </w:tc>
        <w:tc>
          <w:tcPr>
            <w:tcW w:w="1887"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Державний бюджет</w:t>
            </w:r>
          </w:p>
        </w:tc>
        <w:tc>
          <w:tcPr>
            <w:tcW w:w="1273"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Місцевий бюджет</w:t>
            </w:r>
          </w:p>
        </w:tc>
        <w:tc>
          <w:tcPr>
            <w:tcW w:w="2710" w:type="dxa"/>
            <w:gridSpan w:val="4"/>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Інші джерела</w:t>
            </w:r>
          </w:p>
        </w:tc>
        <w:tc>
          <w:tcPr>
            <w:tcW w:w="1324" w:type="dxa"/>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Всього</w:t>
            </w:r>
          </w:p>
        </w:tc>
      </w:tr>
      <w:tr w:rsidR="00E95FB1" w:rsidRPr="001916D0" w:rsidTr="001B3967">
        <w:trPr>
          <w:trHeight w:val="225"/>
        </w:trPr>
        <w:tc>
          <w:tcPr>
            <w:tcW w:w="2694" w:type="dxa"/>
            <w:vMerge/>
            <w:shd w:val="clear" w:color="auto" w:fill="C6D9F1" w:themeFill="text2" w:themeFillTint="33"/>
          </w:tcPr>
          <w:p w:rsidR="00E95FB1" w:rsidRPr="001916D0" w:rsidRDefault="00E95FB1" w:rsidP="001B3967">
            <w:pPr>
              <w:pStyle w:val="a7"/>
              <w:ind w:left="0"/>
              <w:rPr>
                <w:b/>
                <w:sz w:val="22"/>
                <w:lang w:val="uk-UA"/>
              </w:rPr>
            </w:pPr>
          </w:p>
        </w:tc>
        <w:tc>
          <w:tcPr>
            <w:tcW w:w="1887" w:type="dxa"/>
            <w:vMerge w:val="restart"/>
            <w:tcBorders>
              <w:top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sz w:val="22"/>
                <w:lang w:val="uk-UA"/>
              </w:rPr>
              <w:t>28 698,53</w:t>
            </w:r>
          </w:p>
        </w:tc>
        <w:tc>
          <w:tcPr>
            <w:tcW w:w="1273" w:type="dxa"/>
            <w:vMerge w:val="restart"/>
            <w:tcBorders>
              <w:top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w:t>
            </w:r>
          </w:p>
        </w:tc>
        <w:tc>
          <w:tcPr>
            <w:tcW w:w="1438"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Обсяг</w:t>
            </w:r>
          </w:p>
        </w:tc>
        <w:tc>
          <w:tcPr>
            <w:tcW w:w="1272"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Назва джерела</w:t>
            </w:r>
          </w:p>
        </w:tc>
        <w:tc>
          <w:tcPr>
            <w:tcW w:w="1324" w:type="dxa"/>
            <w:vMerge w:val="restart"/>
            <w:tcBorders>
              <w:top w:val="single" w:sz="4" w:space="0" w:color="auto"/>
              <w:left w:val="single" w:sz="4" w:space="0" w:color="auto"/>
            </w:tcBorders>
          </w:tcPr>
          <w:p w:rsidR="00E95FB1" w:rsidRPr="001916D0" w:rsidRDefault="00E95FB1" w:rsidP="001B3967">
            <w:pPr>
              <w:pStyle w:val="a7"/>
              <w:ind w:left="-157" w:right="-86"/>
              <w:jc w:val="center"/>
              <w:rPr>
                <w:sz w:val="22"/>
                <w:highlight w:val="yellow"/>
                <w:lang w:val="uk-UA"/>
              </w:rPr>
            </w:pPr>
            <w:r w:rsidRPr="001916D0">
              <w:rPr>
                <w:sz w:val="22"/>
                <w:lang w:val="uk-UA"/>
              </w:rPr>
              <w:t>40 997, 90</w:t>
            </w:r>
          </w:p>
        </w:tc>
      </w:tr>
      <w:tr w:rsidR="00E95FB1" w:rsidRPr="001916D0" w:rsidTr="001B3967">
        <w:trPr>
          <w:trHeight w:val="300"/>
        </w:trPr>
        <w:tc>
          <w:tcPr>
            <w:tcW w:w="2694" w:type="dxa"/>
            <w:vMerge/>
            <w:shd w:val="clear" w:color="auto" w:fill="C6D9F1" w:themeFill="text2" w:themeFillTint="33"/>
          </w:tcPr>
          <w:p w:rsidR="00E95FB1" w:rsidRPr="001916D0" w:rsidRDefault="00E95FB1" w:rsidP="001B3967">
            <w:pPr>
              <w:pStyle w:val="a7"/>
              <w:ind w:left="0"/>
              <w:rPr>
                <w:b/>
                <w:sz w:val="22"/>
                <w:lang w:val="uk-UA"/>
              </w:rPr>
            </w:pPr>
          </w:p>
        </w:tc>
        <w:tc>
          <w:tcPr>
            <w:tcW w:w="1887" w:type="dxa"/>
            <w:vMerge/>
            <w:tcBorders>
              <w:right w:val="single" w:sz="4" w:space="0" w:color="auto"/>
            </w:tcBorders>
          </w:tcPr>
          <w:p w:rsidR="00E95FB1" w:rsidRPr="001916D0" w:rsidRDefault="00E95FB1" w:rsidP="001B3967">
            <w:pPr>
              <w:pStyle w:val="a7"/>
              <w:ind w:left="0"/>
              <w:jc w:val="center"/>
              <w:rPr>
                <w:sz w:val="22"/>
                <w:lang w:val="uk-UA"/>
              </w:rPr>
            </w:pPr>
          </w:p>
        </w:tc>
        <w:tc>
          <w:tcPr>
            <w:tcW w:w="1273" w:type="dxa"/>
            <w:vMerge/>
            <w:tcBorders>
              <w:right w:val="single" w:sz="4" w:space="0" w:color="auto"/>
            </w:tcBorders>
          </w:tcPr>
          <w:p w:rsidR="00E95FB1" w:rsidRPr="001916D0" w:rsidRDefault="00E95FB1" w:rsidP="001B3967">
            <w:pPr>
              <w:pStyle w:val="a7"/>
              <w:ind w:left="0"/>
              <w:jc w:val="center"/>
              <w:rPr>
                <w:b/>
                <w:sz w:val="22"/>
                <w:lang w:val="uk-UA"/>
              </w:rPr>
            </w:pPr>
          </w:p>
        </w:tc>
        <w:tc>
          <w:tcPr>
            <w:tcW w:w="1438" w:type="dxa"/>
            <w:gridSpan w:val="2"/>
            <w:tcBorders>
              <w:top w:val="single" w:sz="4" w:space="0" w:color="auto"/>
              <w:left w:val="single" w:sz="4" w:space="0" w:color="auto"/>
              <w:right w:val="single" w:sz="4" w:space="0" w:color="auto"/>
            </w:tcBorders>
          </w:tcPr>
          <w:p w:rsidR="00E95FB1" w:rsidRPr="001916D0" w:rsidRDefault="00E95FB1" w:rsidP="001B3967">
            <w:pPr>
              <w:pStyle w:val="a7"/>
              <w:ind w:left="-108" w:right="-78"/>
              <w:jc w:val="center"/>
              <w:rPr>
                <w:b/>
                <w:sz w:val="22"/>
                <w:lang w:val="uk-UA"/>
              </w:rPr>
            </w:pPr>
            <w:r w:rsidRPr="001916D0">
              <w:rPr>
                <w:sz w:val="22"/>
                <w:lang w:val="uk-UA"/>
              </w:rPr>
              <w:t>12 299,37</w:t>
            </w:r>
          </w:p>
        </w:tc>
        <w:tc>
          <w:tcPr>
            <w:tcW w:w="1272"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Іноземні інвестиції</w:t>
            </w:r>
          </w:p>
        </w:tc>
        <w:tc>
          <w:tcPr>
            <w:tcW w:w="1324" w:type="dxa"/>
            <w:vMerge/>
            <w:tcBorders>
              <w:left w:val="single" w:sz="4" w:space="0" w:color="auto"/>
            </w:tcBorders>
          </w:tcPr>
          <w:p w:rsidR="00E95FB1" w:rsidRPr="001916D0" w:rsidRDefault="00E95FB1" w:rsidP="001B3967">
            <w:pPr>
              <w:pStyle w:val="a7"/>
              <w:ind w:left="0"/>
              <w:jc w:val="center"/>
              <w:rPr>
                <w:sz w:val="22"/>
                <w:highlight w:val="yellow"/>
                <w:lang w:val="uk-UA"/>
              </w:rPr>
            </w:pPr>
          </w:p>
        </w:tc>
      </w:tr>
    </w:tbl>
    <w:p w:rsidR="00E95FB1" w:rsidRPr="001916D0" w:rsidRDefault="00E95FB1" w:rsidP="00E95FB1">
      <w:pPr>
        <w:rPr>
          <w:sz w:val="22"/>
        </w:rPr>
      </w:pPr>
    </w:p>
    <w:p w:rsidR="00E95FB1" w:rsidRPr="001916D0" w:rsidRDefault="00E95FB1" w:rsidP="00E95FB1">
      <w:pPr>
        <w:rPr>
          <w:sz w:val="22"/>
        </w:rPr>
      </w:pPr>
    </w:p>
    <w:p w:rsidR="00E95FB1" w:rsidRPr="001916D0" w:rsidRDefault="00E95FB1" w:rsidP="00E95FB1">
      <w:pPr>
        <w:rPr>
          <w:sz w:val="22"/>
        </w:rPr>
      </w:pPr>
    </w:p>
    <w:p w:rsidR="00E95FB1" w:rsidRPr="001916D0" w:rsidRDefault="00E95FB1" w:rsidP="00E95FB1">
      <w:pPr>
        <w:rPr>
          <w:sz w:val="22"/>
        </w:rPr>
      </w:pPr>
    </w:p>
    <w:p w:rsidR="00E95FB1" w:rsidRPr="001916D0" w:rsidRDefault="00E95FB1" w:rsidP="00E95FB1">
      <w:pPr>
        <w:rPr>
          <w:sz w:val="22"/>
        </w:rPr>
      </w:pPr>
    </w:p>
    <w:tbl>
      <w:tblPr>
        <w:tblStyle w:val="af"/>
        <w:tblW w:w="0" w:type="auto"/>
        <w:tblInd w:w="-176" w:type="dxa"/>
        <w:tblLook w:val="04A0" w:firstRow="1" w:lastRow="0" w:firstColumn="1" w:lastColumn="0" w:noHBand="0" w:noVBand="1"/>
      </w:tblPr>
      <w:tblGrid>
        <w:gridCol w:w="2713"/>
        <w:gridCol w:w="1688"/>
        <w:gridCol w:w="1262"/>
        <w:gridCol w:w="107"/>
        <w:gridCol w:w="1301"/>
        <w:gridCol w:w="809"/>
        <w:gridCol w:w="477"/>
        <w:gridCol w:w="1305"/>
      </w:tblGrid>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Оперативна ціль/завдання</w:t>
            </w:r>
          </w:p>
        </w:tc>
        <w:tc>
          <w:tcPr>
            <w:tcW w:w="7052" w:type="dxa"/>
            <w:gridSpan w:val="7"/>
            <w:shd w:val="clear" w:color="auto" w:fill="auto"/>
          </w:tcPr>
          <w:p w:rsidR="00E95FB1" w:rsidRPr="001916D0" w:rsidRDefault="00774599" w:rsidP="001B3967">
            <w:pPr>
              <w:pStyle w:val="a7"/>
              <w:ind w:left="0"/>
              <w:rPr>
                <w:b/>
                <w:sz w:val="22"/>
                <w:lang w:val="uk-UA"/>
              </w:rPr>
            </w:pPr>
            <w:r w:rsidRPr="001916D0">
              <w:rPr>
                <w:rFonts w:eastAsia="Arial"/>
                <w:sz w:val="22"/>
                <w:lang w:val="uk-UA"/>
              </w:rPr>
              <w:t xml:space="preserve">Комфорт життя ЛЮДИНИ як безпека, екологічна сталість та розумна енергетика. </w:t>
            </w:r>
            <w:r w:rsidR="006717AE" w:rsidRPr="001916D0">
              <w:rPr>
                <w:rFonts w:eastAsia="Arial"/>
                <w:sz w:val="22"/>
                <w:lang w:val="uk-UA"/>
              </w:rPr>
              <w:t>Громадська та інформаційна безпека території громади</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Назва проекту:</w:t>
            </w:r>
          </w:p>
        </w:tc>
        <w:tc>
          <w:tcPr>
            <w:tcW w:w="7052" w:type="dxa"/>
            <w:gridSpan w:val="7"/>
          </w:tcPr>
          <w:p w:rsidR="00E95FB1" w:rsidRPr="001916D0" w:rsidRDefault="00E95FB1" w:rsidP="001B3967">
            <w:pPr>
              <w:pStyle w:val="a7"/>
              <w:ind w:left="0"/>
              <w:rPr>
                <w:sz w:val="22"/>
                <w:lang w:val="uk-UA"/>
              </w:rPr>
            </w:pPr>
            <w:r w:rsidRPr="001916D0">
              <w:rPr>
                <w:sz w:val="22"/>
                <w:lang w:val="uk-UA"/>
              </w:rPr>
              <w:t>Відбудова будівлі Сєвєродонецької міської територіальної громади (</w:t>
            </w:r>
            <w:proofErr w:type="spellStart"/>
            <w:r w:rsidRPr="001916D0">
              <w:rPr>
                <w:sz w:val="22"/>
                <w:lang w:val="uk-UA"/>
              </w:rPr>
              <w:t>бул</w:t>
            </w:r>
            <w:proofErr w:type="spellEnd"/>
            <w:r w:rsidRPr="001916D0">
              <w:rPr>
                <w:sz w:val="22"/>
                <w:lang w:val="uk-UA"/>
              </w:rPr>
              <w:t xml:space="preserve">. Дружби Народів, буд. 19) для відновлення роботи Сєвєродонецького міського суду Луганської області </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Ціль проекту</w:t>
            </w:r>
          </w:p>
        </w:tc>
        <w:tc>
          <w:tcPr>
            <w:tcW w:w="7052" w:type="dxa"/>
            <w:gridSpan w:val="7"/>
          </w:tcPr>
          <w:p w:rsidR="00E95FB1" w:rsidRPr="001916D0" w:rsidRDefault="00E95FB1" w:rsidP="001B3967">
            <w:pPr>
              <w:pStyle w:val="a7"/>
              <w:ind w:left="0"/>
              <w:rPr>
                <w:sz w:val="22"/>
                <w:lang w:val="uk-UA"/>
              </w:rPr>
            </w:pPr>
            <w:r w:rsidRPr="001916D0">
              <w:rPr>
                <w:sz w:val="22"/>
                <w:lang w:val="uk-UA"/>
              </w:rPr>
              <w:t xml:space="preserve">Відновити та покращити роботу Сєвєродонецького міського суду Луганської області на </w:t>
            </w:r>
            <w:proofErr w:type="spellStart"/>
            <w:r w:rsidRPr="001916D0">
              <w:rPr>
                <w:sz w:val="22"/>
                <w:lang w:val="uk-UA"/>
              </w:rPr>
              <w:t>деокупованій</w:t>
            </w:r>
            <w:proofErr w:type="spellEnd"/>
            <w:r w:rsidRPr="001916D0">
              <w:rPr>
                <w:sz w:val="22"/>
                <w:lang w:val="uk-UA"/>
              </w:rPr>
              <w:t xml:space="preserve"> території Луганської області для надання широкого спектру послуг, пов’язаних із судочинством, забезпечення конституційного права громадян на захист своїх прав та свобод. Забезпечення доступу Сєвєродонецької міської територіальної громади, установ, підприємств та організацій (не залежно від форм власності) та громадян до правосуддя.</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Територія, на яку матиме вплив реалізація проекту</w:t>
            </w:r>
          </w:p>
        </w:tc>
        <w:tc>
          <w:tcPr>
            <w:tcW w:w="7052" w:type="dxa"/>
            <w:gridSpan w:val="7"/>
          </w:tcPr>
          <w:p w:rsidR="00E95FB1" w:rsidRPr="001916D0" w:rsidRDefault="00E95FB1" w:rsidP="001B3967">
            <w:pPr>
              <w:pStyle w:val="a7"/>
              <w:ind w:left="0"/>
              <w:rPr>
                <w:sz w:val="22"/>
                <w:lang w:val="uk-UA"/>
              </w:rPr>
            </w:pPr>
            <w:r w:rsidRPr="001916D0">
              <w:rPr>
                <w:sz w:val="22"/>
                <w:lang w:val="uk-UA"/>
              </w:rPr>
              <w:t>Сєвєродонецька міська територіальна громада</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lastRenderedPageBreak/>
              <w:t>Чисельність населення, на яке матиме вплив реалізація проекту</w:t>
            </w:r>
          </w:p>
        </w:tc>
        <w:tc>
          <w:tcPr>
            <w:tcW w:w="7052" w:type="dxa"/>
            <w:gridSpan w:val="7"/>
          </w:tcPr>
          <w:p w:rsidR="00E95FB1" w:rsidRPr="001916D0" w:rsidRDefault="00E95FB1" w:rsidP="001B3967">
            <w:pPr>
              <w:pStyle w:val="a7"/>
              <w:ind w:left="0"/>
              <w:rPr>
                <w:sz w:val="22"/>
                <w:lang w:val="uk-UA"/>
              </w:rPr>
            </w:pPr>
            <w:r w:rsidRPr="001916D0">
              <w:rPr>
                <w:sz w:val="22"/>
                <w:lang w:val="uk-UA"/>
              </w:rPr>
              <w:t xml:space="preserve"> 70 000  осіб</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Опис проблеми, на вирішення якої  спрямований проект</w:t>
            </w:r>
          </w:p>
        </w:tc>
        <w:tc>
          <w:tcPr>
            <w:tcW w:w="7052" w:type="dxa"/>
            <w:gridSpan w:val="7"/>
          </w:tcPr>
          <w:p w:rsidR="00E95FB1" w:rsidRPr="001916D0" w:rsidRDefault="00E95FB1" w:rsidP="001B3967">
            <w:pPr>
              <w:ind w:firstLine="708"/>
              <w:rPr>
                <w:sz w:val="22"/>
                <w:lang w:val="uk-UA"/>
              </w:rPr>
            </w:pPr>
            <w:r w:rsidRPr="001916D0">
              <w:rPr>
                <w:sz w:val="22"/>
                <w:lang w:val="uk-UA"/>
              </w:rPr>
              <w:t>Через військову агресію РФ територія Сєвєродонецької міської територіальної громади зазнала значних пошкоджень. Будівлі, які перебувають в комунальній власності Сєвєродонецької міської територіальної громади, зруйновані або пошкоджені.</w:t>
            </w:r>
          </w:p>
          <w:p w:rsidR="00E95FB1" w:rsidRPr="001916D0" w:rsidRDefault="00E95FB1" w:rsidP="001B3967">
            <w:pPr>
              <w:ind w:firstLine="708"/>
              <w:rPr>
                <w:sz w:val="22"/>
                <w:lang w:val="uk-UA"/>
              </w:rPr>
            </w:pPr>
            <w:r w:rsidRPr="001916D0">
              <w:rPr>
                <w:sz w:val="22"/>
                <w:lang w:val="uk-UA"/>
              </w:rPr>
              <w:t>Двоповерхова адміністративна будівля (</w:t>
            </w:r>
            <w:proofErr w:type="spellStart"/>
            <w:r w:rsidRPr="001916D0">
              <w:rPr>
                <w:sz w:val="22"/>
                <w:lang w:val="uk-UA"/>
              </w:rPr>
              <w:t>бул</w:t>
            </w:r>
            <w:proofErr w:type="spellEnd"/>
            <w:r w:rsidRPr="001916D0">
              <w:rPr>
                <w:sz w:val="22"/>
                <w:lang w:val="uk-UA"/>
              </w:rPr>
              <w:t xml:space="preserve">. Дружби Народів, буд. 19), в якій до 24.02.2022 </w:t>
            </w:r>
            <w:r w:rsidR="00E63CAA" w:rsidRPr="001916D0">
              <w:rPr>
                <w:bCs/>
                <w:sz w:val="22"/>
                <w:szCs w:val="22"/>
                <w:lang w:val="uk-UA"/>
              </w:rPr>
              <w:t xml:space="preserve">року </w:t>
            </w:r>
            <w:r w:rsidRPr="001916D0">
              <w:rPr>
                <w:sz w:val="22"/>
                <w:lang w:val="uk-UA"/>
              </w:rPr>
              <w:t>функціонував Сєвєродонецький міський суд Луганської області, зазнала пошкоджень, зокрема пошкоджена покрівля, вибиті вікна, посічені двері.</w:t>
            </w:r>
          </w:p>
          <w:p w:rsidR="00E95FB1" w:rsidRPr="001916D0" w:rsidRDefault="00E95FB1" w:rsidP="001B3967">
            <w:pPr>
              <w:ind w:firstLine="342"/>
              <w:rPr>
                <w:sz w:val="22"/>
                <w:lang w:val="uk-UA"/>
              </w:rPr>
            </w:pPr>
            <w:r w:rsidRPr="001916D0">
              <w:rPr>
                <w:sz w:val="22"/>
                <w:lang w:val="uk-UA"/>
              </w:rPr>
              <w:t>Вся матеріально-технічна база суду, зокрема:</w:t>
            </w:r>
          </w:p>
          <w:p w:rsidR="00E95FB1" w:rsidRPr="001916D0" w:rsidRDefault="00E95FB1" w:rsidP="000303D7">
            <w:pPr>
              <w:numPr>
                <w:ilvl w:val="0"/>
                <w:numId w:val="9"/>
              </w:numPr>
              <w:tabs>
                <w:tab w:val="clear" w:pos="1068"/>
                <w:tab w:val="num" w:pos="-83"/>
              </w:tabs>
              <w:ind w:left="-83" w:firstLine="342"/>
              <w:rPr>
                <w:sz w:val="22"/>
                <w:lang w:val="uk-UA"/>
              </w:rPr>
            </w:pPr>
            <w:r w:rsidRPr="001916D0">
              <w:rPr>
                <w:sz w:val="22"/>
                <w:lang w:val="uk-UA"/>
              </w:rPr>
              <w:t>комп’ютерна техніка із відповідним програмним забезпеченням;</w:t>
            </w:r>
          </w:p>
          <w:p w:rsidR="00E95FB1" w:rsidRPr="001916D0" w:rsidRDefault="00E95FB1" w:rsidP="000303D7">
            <w:pPr>
              <w:numPr>
                <w:ilvl w:val="0"/>
                <w:numId w:val="9"/>
              </w:numPr>
              <w:tabs>
                <w:tab w:val="clear" w:pos="1068"/>
                <w:tab w:val="num" w:pos="-83"/>
              </w:tabs>
              <w:ind w:left="-83" w:firstLine="342"/>
              <w:rPr>
                <w:sz w:val="22"/>
                <w:lang w:val="uk-UA"/>
              </w:rPr>
            </w:pPr>
            <w:r w:rsidRPr="001916D0">
              <w:rPr>
                <w:sz w:val="22"/>
                <w:lang w:val="uk-UA"/>
              </w:rPr>
              <w:t>інша оргтехніка (принтери, сканери тощо);</w:t>
            </w:r>
          </w:p>
          <w:p w:rsidR="00E95FB1" w:rsidRPr="001916D0" w:rsidRDefault="00E95FB1" w:rsidP="000303D7">
            <w:pPr>
              <w:pStyle w:val="13"/>
              <w:numPr>
                <w:ilvl w:val="0"/>
                <w:numId w:val="9"/>
              </w:numPr>
              <w:tabs>
                <w:tab w:val="clear" w:pos="1068"/>
                <w:tab w:val="num" w:pos="-83"/>
              </w:tabs>
              <w:ind w:left="-83" w:firstLine="342"/>
              <w:jc w:val="both"/>
              <w:rPr>
                <w:sz w:val="22"/>
                <w:lang w:val="uk-UA"/>
              </w:rPr>
            </w:pPr>
            <w:r w:rsidRPr="001916D0">
              <w:rPr>
                <w:sz w:val="22"/>
                <w:lang w:val="uk-UA"/>
              </w:rPr>
              <w:t>основні засоби (офісні меблі, металеві шафи, сейфи тощо) були знищені або викрадені.</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якісні результати від реалізації проекту</w:t>
            </w:r>
          </w:p>
        </w:tc>
        <w:tc>
          <w:tcPr>
            <w:tcW w:w="7052" w:type="dxa"/>
            <w:gridSpan w:val="7"/>
          </w:tcPr>
          <w:p w:rsidR="00E95FB1" w:rsidRPr="001916D0" w:rsidRDefault="00E95FB1" w:rsidP="001B3967">
            <w:pPr>
              <w:pStyle w:val="a7"/>
              <w:ind w:left="0"/>
              <w:rPr>
                <w:sz w:val="22"/>
                <w:lang w:val="uk-UA"/>
              </w:rPr>
            </w:pPr>
            <w:r w:rsidRPr="001916D0">
              <w:rPr>
                <w:sz w:val="22"/>
                <w:lang w:val="uk-UA"/>
              </w:rPr>
              <w:t>- забезпечення реалізації конституційних прав людини та громадянина на захист своїх прав та свобод;</w:t>
            </w:r>
          </w:p>
          <w:p w:rsidR="00E95FB1" w:rsidRPr="001916D0" w:rsidRDefault="00E95FB1" w:rsidP="001B3967">
            <w:pPr>
              <w:pStyle w:val="a7"/>
              <w:ind w:left="0"/>
              <w:rPr>
                <w:sz w:val="22"/>
                <w:lang w:val="uk-UA"/>
              </w:rPr>
            </w:pPr>
            <w:r w:rsidRPr="001916D0">
              <w:rPr>
                <w:sz w:val="22"/>
                <w:lang w:val="uk-UA"/>
              </w:rPr>
              <w:t>- забезпечення доступу Сєвєродонецької міської територіальної громади,  установ, підприємств та організацій (не залежно від форм власності) та громадян до правосуддя;</w:t>
            </w:r>
          </w:p>
          <w:p w:rsidR="00E95FB1" w:rsidRPr="001916D0" w:rsidRDefault="00E95FB1" w:rsidP="001B3967">
            <w:pPr>
              <w:pStyle w:val="a7"/>
              <w:ind w:left="0"/>
              <w:rPr>
                <w:sz w:val="22"/>
                <w:lang w:val="uk-UA"/>
              </w:rPr>
            </w:pPr>
            <w:r w:rsidRPr="001916D0">
              <w:rPr>
                <w:sz w:val="22"/>
                <w:lang w:val="uk-UA"/>
              </w:rPr>
              <w:t>- надання широкого спектру послуг, пов’язаних із судочинством;</w:t>
            </w:r>
          </w:p>
          <w:p w:rsidR="00E95FB1" w:rsidRPr="001916D0" w:rsidRDefault="00E95FB1" w:rsidP="001B3967">
            <w:pPr>
              <w:pStyle w:val="a7"/>
              <w:ind w:left="0"/>
              <w:rPr>
                <w:sz w:val="22"/>
                <w:lang w:val="uk-UA"/>
              </w:rPr>
            </w:pPr>
            <w:r w:rsidRPr="001916D0">
              <w:rPr>
                <w:sz w:val="22"/>
                <w:lang w:val="uk-UA"/>
              </w:rPr>
              <w:t>- створення нових робочих місць;</w:t>
            </w:r>
          </w:p>
          <w:p w:rsidR="00E95FB1" w:rsidRPr="001916D0" w:rsidRDefault="00E95FB1" w:rsidP="001B3967">
            <w:pPr>
              <w:pStyle w:val="a7"/>
              <w:ind w:left="0"/>
              <w:rPr>
                <w:sz w:val="22"/>
                <w:lang w:val="uk-UA"/>
              </w:rPr>
            </w:pPr>
            <w:r w:rsidRPr="001916D0">
              <w:rPr>
                <w:sz w:val="22"/>
                <w:lang w:val="uk-UA"/>
              </w:rPr>
              <w:t xml:space="preserve">- стимулювання ВПО та громадян Сєвєродонецької міської територіальної громади  до повернення </w:t>
            </w:r>
          </w:p>
        </w:tc>
      </w:tr>
      <w:tr w:rsidR="00E95FB1" w:rsidRPr="001916D0" w:rsidTr="001B3967">
        <w:trPr>
          <w:trHeight w:val="390"/>
        </w:trPr>
        <w:tc>
          <w:tcPr>
            <w:tcW w:w="2836"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Очікувані кількісні результати реалізації </w:t>
            </w:r>
            <w:proofErr w:type="spellStart"/>
            <w:r w:rsidRPr="001916D0">
              <w:rPr>
                <w:b/>
                <w:sz w:val="22"/>
                <w:lang w:val="uk-UA"/>
              </w:rPr>
              <w:t>проєкту</w:t>
            </w:r>
            <w:proofErr w:type="spellEnd"/>
            <w:r w:rsidRPr="001916D0">
              <w:rPr>
                <w:b/>
                <w:sz w:val="22"/>
                <w:lang w:val="uk-UA"/>
              </w:rPr>
              <w:t xml:space="preserve"> (індикатори)</w:t>
            </w:r>
          </w:p>
          <w:p w:rsidR="00E95FB1" w:rsidRPr="001916D0" w:rsidRDefault="00E95FB1" w:rsidP="001B3967">
            <w:pPr>
              <w:pStyle w:val="a7"/>
              <w:ind w:left="0"/>
              <w:rPr>
                <w:b/>
                <w:sz w:val="22"/>
                <w:lang w:val="uk-UA"/>
              </w:rPr>
            </w:pPr>
          </w:p>
        </w:tc>
        <w:tc>
          <w:tcPr>
            <w:tcW w:w="3118" w:type="dxa"/>
            <w:gridSpan w:val="3"/>
            <w:tcBorders>
              <w:bottom w:val="single" w:sz="4" w:space="0" w:color="auto"/>
              <w:right w:val="single" w:sz="4" w:space="0" w:color="auto"/>
            </w:tcBorders>
          </w:tcPr>
          <w:p w:rsidR="00E95FB1" w:rsidRPr="001916D0" w:rsidRDefault="00E95FB1" w:rsidP="001B3967">
            <w:pPr>
              <w:pStyle w:val="a7"/>
              <w:ind w:left="-108"/>
              <w:jc w:val="center"/>
              <w:rPr>
                <w:b/>
                <w:sz w:val="22"/>
                <w:lang w:val="uk-UA"/>
              </w:rPr>
            </w:pPr>
            <w:r w:rsidRPr="001916D0">
              <w:rPr>
                <w:b/>
                <w:sz w:val="22"/>
                <w:lang w:val="uk-UA"/>
              </w:rPr>
              <w:t>Найменування показника</w:t>
            </w:r>
          </w:p>
        </w:tc>
        <w:tc>
          <w:tcPr>
            <w:tcW w:w="2127" w:type="dxa"/>
            <w:gridSpan w:val="2"/>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Одиниця вимірювання</w:t>
            </w:r>
          </w:p>
          <w:p w:rsidR="00E95FB1" w:rsidRPr="001916D0" w:rsidRDefault="00E95FB1" w:rsidP="001B3967">
            <w:pPr>
              <w:pStyle w:val="a7"/>
              <w:ind w:left="0"/>
              <w:rPr>
                <w:b/>
                <w:sz w:val="22"/>
                <w:lang w:val="uk-UA"/>
              </w:rPr>
            </w:pPr>
          </w:p>
        </w:tc>
        <w:tc>
          <w:tcPr>
            <w:tcW w:w="1807" w:type="dxa"/>
            <w:gridSpan w:val="2"/>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Прогнозне (цільове) значення</w:t>
            </w:r>
          </w:p>
        </w:tc>
      </w:tr>
      <w:tr w:rsidR="00E95FB1" w:rsidRPr="001916D0" w:rsidTr="001B3967">
        <w:trPr>
          <w:trHeight w:val="585"/>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118"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Кількість справ в місяць</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807" w:type="dxa"/>
            <w:gridSpan w:val="2"/>
            <w:tcBorders>
              <w:top w:val="single" w:sz="4" w:space="0" w:color="auto"/>
              <w:left w:val="single" w:sz="4" w:space="0" w:color="auto"/>
              <w:bottom w:val="single" w:sz="4" w:space="0" w:color="auto"/>
            </w:tcBorders>
          </w:tcPr>
          <w:p w:rsidR="00E95FB1" w:rsidRPr="001916D0" w:rsidRDefault="00E95FB1" w:rsidP="001B3967">
            <w:pPr>
              <w:pStyle w:val="a7"/>
              <w:ind w:left="0"/>
              <w:jc w:val="center"/>
              <w:rPr>
                <w:sz w:val="22"/>
                <w:lang w:val="uk-UA"/>
              </w:rPr>
            </w:pPr>
            <w:r w:rsidRPr="001916D0">
              <w:rPr>
                <w:sz w:val="22"/>
                <w:lang w:val="uk-UA"/>
              </w:rPr>
              <w:t>945</w:t>
            </w:r>
          </w:p>
        </w:tc>
      </w:tr>
      <w:tr w:rsidR="00E95FB1" w:rsidRPr="001916D0" w:rsidTr="001B3967">
        <w:trPr>
          <w:trHeight w:val="184"/>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118"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Кількість справ на рік</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807" w:type="dxa"/>
            <w:gridSpan w:val="2"/>
            <w:tcBorders>
              <w:top w:val="single" w:sz="4" w:space="0" w:color="auto"/>
              <w:left w:val="single" w:sz="4" w:space="0" w:color="auto"/>
              <w:bottom w:val="single" w:sz="4" w:space="0" w:color="auto"/>
            </w:tcBorders>
          </w:tcPr>
          <w:p w:rsidR="00E95FB1" w:rsidRPr="001916D0" w:rsidRDefault="00E95FB1" w:rsidP="001B3967">
            <w:pPr>
              <w:pStyle w:val="a7"/>
              <w:ind w:left="0"/>
              <w:jc w:val="center"/>
              <w:rPr>
                <w:sz w:val="22"/>
                <w:lang w:val="uk-UA"/>
              </w:rPr>
            </w:pPr>
            <w:r w:rsidRPr="001916D0">
              <w:rPr>
                <w:sz w:val="22"/>
                <w:lang w:val="uk-UA"/>
              </w:rPr>
              <w:t>5000</w:t>
            </w:r>
          </w:p>
        </w:tc>
      </w:tr>
      <w:tr w:rsidR="00E95FB1" w:rsidRPr="001916D0" w:rsidTr="001B3967">
        <w:trPr>
          <w:trHeight w:val="165"/>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118"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Кількість адміністративних справ на рік</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807" w:type="dxa"/>
            <w:gridSpan w:val="2"/>
            <w:tcBorders>
              <w:top w:val="single" w:sz="4" w:space="0" w:color="auto"/>
              <w:left w:val="single" w:sz="4" w:space="0" w:color="auto"/>
              <w:bottom w:val="single" w:sz="4" w:space="0" w:color="auto"/>
            </w:tcBorders>
          </w:tcPr>
          <w:p w:rsidR="00E95FB1" w:rsidRPr="001916D0" w:rsidRDefault="00E95FB1" w:rsidP="001B3967">
            <w:pPr>
              <w:pStyle w:val="a7"/>
              <w:ind w:left="0"/>
              <w:jc w:val="center"/>
              <w:rPr>
                <w:sz w:val="22"/>
                <w:lang w:val="uk-UA"/>
              </w:rPr>
            </w:pPr>
            <w:r w:rsidRPr="001916D0">
              <w:rPr>
                <w:sz w:val="22"/>
                <w:lang w:val="uk-UA"/>
              </w:rPr>
              <w:t>350</w:t>
            </w:r>
          </w:p>
        </w:tc>
      </w:tr>
      <w:tr w:rsidR="00E95FB1" w:rsidRPr="001916D0" w:rsidTr="001B3967">
        <w:trPr>
          <w:trHeight w:val="15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118"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Кількість цивільних справ на рік</w:t>
            </w:r>
          </w:p>
        </w:tc>
        <w:tc>
          <w:tcPr>
            <w:tcW w:w="2127" w:type="dxa"/>
            <w:gridSpan w:val="2"/>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807" w:type="dxa"/>
            <w:gridSpan w:val="2"/>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3500</w:t>
            </w:r>
          </w:p>
        </w:tc>
      </w:tr>
      <w:tr w:rsidR="00E95FB1" w:rsidRPr="001916D0" w:rsidTr="001B3967">
        <w:trPr>
          <w:trHeight w:val="150"/>
        </w:trPr>
        <w:tc>
          <w:tcPr>
            <w:tcW w:w="2836" w:type="dxa"/>
            <w:shd w:val="clear" w:color="auto" w:fill="C6D9F1" w:themeFill="text2" w:themeFillTint="33"/>
          </w:tcPr>
          <w:p w:rsidR="00E95FB1" w:rsidRPr="001916D0" w:rsidRDefault="00E95FB1" w:rsidP="001B3967">
            <w:pPr>
              <w:pStyle w:val="a7"/>
              <w:ind w:left="0"/>
              <w:rPr>
                <w:b/>
                <w:sz w:val="22"/>
                <w:lang w:val="uk-UA"/>
              </w:rPr>
            </w:pPr>
          </w:p>
        </w:tc>
        <w:tc>
          <w:tcPr>
            <w:tcW w:w="3118"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Кількість справ з адміністративні правопорушення на рік</w:t>
            </w:r>
          </w:p>
        </w:tc>
        <w:tc>
          <w:tcPr>
            <w:tcW w:w="2127" w:type="dxa"/>
            <w:gridSpan w:val="2"/>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807" w:type="dxa"/>
            <w:gridSpan w:val="2"/>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2500</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 xml:space="preserve">Ключові заходи проекту: </w:t>
            </w:r>
          </w:p>
          <w:p w:rsidR="00E95FB1" w:rsidRPr="001916D0" w:rsidRDefault="00E95FB1" w:rsidP="001B3967">
            <w:pPr>
              <w:pStyle w:val="a7"/>
              <w:ind w:left="0"/>
              <w:rPr>
                <w:b/>
                <w:sz w:val="22"/>
                <w:lang w:val="uk-UA"/>
              </w:rPr>
            </w:pPr>
          </w:p>
        </w:tc>
        <w:tc>
          <w:tcPr>
            <w:tcW w:w="7052" w:type="dxa"/>
            <w:gridSpan w:val="7"/>
          </w:tcPr>
          <w:p w:rsidR="00E95FB1" w:rsidRPr="001916D0" w:rsidRDefault="00E95FB1" w:rsidP="001B3967">
            <w:pPr>
              <w:pStyle w:val="a7"/>
              <w:ind w:left="0"/>
              <w:rPr>
                <w:sz w:val="22"/>
                <w:lang w:val="uk-UA"/>
              </w:rPr>
            </w:pPr>
            <w:r w:rsidRPr="001916D0">
              <w:rPr>
                <w:sz w:val="22"/>
                <w:lang w:val="uk-UA"/>
              </w:rPr>
              <w:t>- проведення технічного обстеження стану будівлі (покрівлі, стану віконних блоків, внутрішнього перекриття);</w:t>
            </w:r>
          </w:p>
          <w:p w:rsidR="00E95FB1" w:rsidRPr="001916D0" w:rsidRDefault="00E95FB1" w:rsidP="001B3967">
            <w:pPr>
              <w:pStyle w:val="a7"/>
              <w:ind w:left="0"/>
              <w:rPr>
                <w:sz w:val="22"/>
                <w:lang w:val="uk-UA"/>
              </w:rPr>
            </w:pPr>
            <w:r w:rsidRPr="001916D0">
              <w:rPr>
                <w:sz w:val="22"/>
                <w:lang w:val="uk-UA"/>
              </w:rPr>
              <w:t xml:space="preserve">- розроблення </w:t>
            </w:r>
            <w:proofErr w:type="spellStart"/>
            <w:r w:rsidRPr="001916D0">
              <w:rPr>
                <w:sz w:val="22"/>
                <w:lang w:val="uk-UA"/>
              </w:rPr>
              <w:t>про</w:t>
            </w:r>
            <w:r w:rsidR="00754549" w:rsidRPr="001916D0">
              <w:rPr>
                <w:sz w:val="22"/>
                <w:lang w:val="uk-UA"/>
              </w:rPr>
              <w:t>є</w:t>
            </w:r>
            <w:r w:rsidRPr="001916D0">
              <w:rPr>
                <w:sz w:val="22"/>
                <w:lang w:val="uk-UA"/>
              </w:rPr>
              <w:t>ктно</w:t>
            </w:r>
            <w:proofErr w:type="spellEnd"/>
            <w:r w:rsidRPr="001916D0">
              <w:rPr>
                <w:sz w:val="22"/>
                <w:lang w:val="uk-UA"/>
              </w:rPr>
              <w:t>-кошторисної документації на відновлювані роботи будівлі (відновлення покрівлі, заміна вікон, дверей);</w:t>
            </w:r>
          </w:p>
          <w:p w:rsidR="00E95FB1" w:rsidRPr="001916D0" w:rsidRDefault="00E95FB1" w:rsidP="001B3967">
            <w:pPr>
              <w:pStyle w:val="a7"/>
              <w:ind w:left="0"/>
              <w:rPr>
                <w:sz w:val="22"/>
                <w:lang w:val="uk-UA"/>
              </w:rPr>
            </w:pPr>
            <w:r w:rsidRPr="001916D0">
              <w:rPr>
                <w:sz w:val="22"/>
                <w:lang w:val="uk-UA"/>
              </w:rPr>
              <w:t>- пошук інвестора;</w:t>
            </w:r>
          </w:p>
          <w:p w:rsidR="00E95FB1" w:rsidRPr="001916D0" w:rsidRDefault="00E95FB1" w:rsidP="001B3967">
            <w:pPr>
              <w:pStyle w:val="a7"/>
              <w:ind w:left="0"/>
              <w:rPr>
                <w:sz w:val="22"/>
                <w:lang w:val="uk-UA"/>
              </w:rPr>
            </w:pPr>
            <w:r w:rsidRPr="001916D0">
              <w:rPr>
                <w:sz w:val="22"/>
                <w:lang w:val="uk-UA"/>
              </w:rPr>
              <w:t>- пошук підрядної організації;</w:t>
            </w:r>
          </w:p>
          <w:p w:rsidR="00E95FB1" w:rsidRPr="001916D0" w:rsidRDefault="00E95FB1" w:rsidP="001B3967">
            <w:pPr>
              <w:pStyle w:val="a7"/>
              <w:ind w:left="0"/>
              <w:rPr>
                <w:sz w:val="22"/>
                <w:lang w:val="uk-UA"/>
              </w:rPr>
            </w:pPr>
            <w:r w:rsidRPr="001916D0">
              <w:rPr>
                <w:sz w:val="22"/>
                <w:lang w:val="uk-UA"/>
              </w:rPr>
              <w:t xml:space="preserve">- проведення </w:t>
            </w:r>
            <w:proofErr w:type="spellStart"/>
            <w:r w:rsidRPr="001916D0">
              <w:rPr>
                <w:sz w:val="22"/>
                <w:lang w:val="uk-UA"/>
              </w:rPr>
              <w:t>відновлювально</w:t>
            </w:r>
            <w:proofErr w:type="spellEnd"/>
            <w:r w:rsidRPr="001916D0">
              <w:rPr>
                <w:sz w:val="22"/>
                <w:lang w:val="uk-UA"/>
              </w:rPr>
              <w:t>-ремонтних робот адміністративної будівлі суду;</w:t>
            </w:r>
          </w:p>
          <w:p w:rsidR="00E95FB1" w:rsidRPr="001916D0" w:rsidRDefault="00E95FB1" w:rsidP="001B3967">
            <w:pPr>
              <w:pStyle w:val="a7"/>
              <w:ind w:left="0"/>
              <w:rPr>
                <w:sz w:val="22"/>
                <w:lang w:val="uk-UA"/>
              </w:rPr>
            </w:pPr>
            <w:r w:rsidRPr="001916D0">
              <w:rPr>
                <w:sz w:val="22"/>
                <w:lang w:val="uk-UA"/>
              </w:rPr>
              <w:t>- проведення інвентаризації основних засобів;</w:t>
            </w:r>
          </w:p>
          <w:p w:rsidR="00E95FB1" w:rsidRPr="001916D0" w:rsidRDefault="00E95FB1" w:rsidP="001B3967">
            <w:pPr>
              <w:pStyle w:val="a7"/>
              <w:ind w:left="0"/>
              <w:rPr>
                <w:sz w:val="22"/>
                <w:lang w:val="uk-UA"/>
              </w:rPr>
            </w:pPr>
            <w:r w:rsidRPr="001916D0">
              <w:rPr>
                <w:sz w:val="22"/>
                <w:lang w:val="uk-UA"/>
              </w:rPr>
              <w:t>- придбання технічного забезпечення Сєвєродонецького міського суду Луганської області;</w:t>
            </w:r>
          </w:p>
          <w:p w:rsidR="00E95FB1" w:rsidRPr="001916D0" w:rsidRDefault="00E95FB1" w:rsidP="001B3967">
            <w:pPr>
              <w:pStyle w:val="a7"/>
              <w:ind w:left="0"/>
              <w:rPr>
                <w:sz w:val="22"/>
                <w:lang w:val="uk-UA"/>
              </w:rPr>
            </w:pPr>
            <w:r w:rsidRPr="001916D0">
              <w:rPr>
                <w:sz w:val="22"/>
                <w:lang w:val="uk-UA"/>
              </w:rPr>
              <w:t>- організація та початок роботи суду.</w:t>
            </w:r>
          </w:p>
        </w:tc>
      </w:tr>
      <w:tr w:rsidR="00E95FB1" w:rsidRPr="001916D0" w:rsidTr="001B3967">
        <w:trPr>
          <w:trHeight w:val="360"/>
        </w:trPr>
        <w:tc>
          <w:tcPr>
            <w:tcW w:w="2836"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Орієнтовний обсяг та джерела фінансування, тис. грн. </w:t>
            </w:r>
          </w:p>
          <w:p w:rsidR="00E95FB1" w:rsidRPr="001916D0" w:rsidRDefault="00E95FB1" w:rsidP="001B3967">
            <w:pPr>
              <w:pStyle w:val="a7"/>
              <w:ind w:left="0"/>
              <w:rPr>
                <w:b/>
                <w:sz w:val="22"/>
                <w:lang w:val="uk-UA"/>
              </w:rPr>
            </w:pPr>
          </w:p>
        </w:tc>
        <w:tc>
          <w:tcPr>
            <w:tcW w:w="1727"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Державний бюджет</w:t>
            </w:r>
          </w:p>
        </w:tc>
        <w:tc>
          <w:tcPr>
            <w:tcW w:w="1272"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Місцевий бюджет</w:t>
            </w:r>
          </w:p>
        </w:tc>
        <w:tc>
          <w:tcPr>
            <w:tcW w:w="2732" w:type="dxa"/>
            <w:gridSpan w:val="4"/>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Інші джерела</w:t>
            </w:r>
          </w:p>
        </w:tc>
        <w:tc>
          <w:tcPr>
            <w:tcW w:w="1321" w:type="dxa"/>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Всього</w:t>
            </w:r>
          </w:p>
        </w:tc>
      </w:tr>
      <w:tr w:rsidR="00E95FB1" w:rsidRPr="001916D0" w:rsidTr="001B3967">
        <w:trPr>
          <w:trHeight w:val="225"/>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1727" w:type="dxa"/>
            <w:vMerge w:val="restart"/>
            <w:tcBorders>
              <w:top w:val="single" w:sz="4" w:space="0" w:color="auto"/>
              <w:right w:val="single" w:sz="4" w:space="0" w:color="auto"/>
            </w:tcBorders>
          </w:tcPr>
          <w:p w:rsidR="00E95FB1" w:rsidRPr="001916D0" w:rsidRDefault="00DB4F49" w:rsidP="001B3967">
            <w:pPr>
              <w:pStyle w:val="a7"/>
              <w:ind w:left="0"/>
              <w:jc w:val="center"/>
              <w:rPr>
                <w:b/>
                <w:sz w:val="22"/>
              </w:rPr>
            </w:pPr>
            <w:r w:rsidRPr="001916D0">
              <w:rPr>
                <w:sz w:val="22"/>
              </w:rPr>
              <w:t>6423,55</w:t>
            </w:r>
          </w:p>
        </w:tc>
        <w:tc>
          <w:tcPr>
            <w:tcW w:w="1272" w:type="dxa"/>
            <w:vMerge w:val="restart"/>
            <w:tcBorders>
              <w:top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w:t>
            </w:r>
          </w:p>
        </w:tc>
        <w:tc>
          <w:tcPr>
            <w:tcW w:w="1437"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Обсяг</w:t>
            </w:r>
          </w:p>
        </w:tc>
        <w:tc>
          <w:tcPr>
            <w:tcW w:w="1295"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Назва джерела</w:t>
            </w:r>
          </w:p>
        </w:tc>
        <w:tc>
          <w:tcPr>
            <w:tcW w:w="1321" w:type="dxa"/>
            <w:vMerge w:val="restart"/>
            <w:tcBorders>
              <w:top w:val="single" w:sz="4" w:space="0" w:color="auto"/>
              <w:left w:val="single" w:sz="4" w:space="0" w:color="auto"/>
            </w:tcBorders>
          </w:tcPr>
          <w:p w:rsidR="00E95FB1" w:rsidRPr="001916D0" w:rsidRDefault="00E95FB1" w:rsidP="001B3967">
            <w:pPr>
              <w:pStyle w:val="a7"/>
              <w:ind w:left="-157" w:right="-86"/>
              <w:jc w:val="center"/>
              <w:rPr>
                <w:sz w:val="22"/>
                <w:lang w:val="uk-UA"/>
              </w:rPr>
            </w:pPr>
            <w:r w:rsidRPr="001916D0">
              <w:rPr>
                <w:sz w:val="22"/>
                <w:lang w:val="uk-UA"/>
              </w:rPr>
              <w:t>9 176, 497</w:t>
            </w:r>
          </w:p>
        </w:tc>
      </w:tr>
      <w:tr w:rsidR="00E95FB1" w:rsidRPr="001916D0" w:rsidTr="001B3967">
        <w:trPr>
          <w:trHeight w:val="30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1727" w:type="dxa"/>
            <w:vMerge/>
            <w:tcBorders>
              <w:right w:val="single" w:sz="4" w:space="0" w:color="auto"/>
            </w:tcBorders>
          </w:tcPr>
          <w:p w:rsidR="00E95FB1" w:rsidRPr="001916D0" w:rsidRDefault="00E95FB1" w:rsidP="001B3967">
            <w:pPr>
              <w:pStyle w:val="a7"/>
              <w:ind w:left="0"/>
              <w:jc w:val="center"/>
              <w:rPr>
                <w:sz w:val="22"/>
                <w:lang w:val="uk-UA"/>
              </w:rPr>
            </w:pPr>
          </w:p>
        </w:tc>
        <w:tc>
          <w:tcPr>
            <w:tcW w:w="1272" w:type="dxa"/>
            <w:vMerge/>
            <w:tcBorders>
              <w:right w:val="single" w:sz="4" w:space="0" w:color="auto"/>
            </w:tcBorders>
          </w:tcPr>
          <w:p w:rsidR="00E95FB1" w:rsidRPr="001916D0" w:rsidRDefault="00E95FB1" w:rsidP="001B3967">
            <w:pPr>
              <w:pStyle w:val="a7"/>
              <w:ind w:left="0"/>
              <w:jc w:val="center"/>
              <w:rPr>
                <w:b/>
                <w:sz w:val="22"/>
                <w:lang w:val="uk-UA"/>
              </w:rPr>
            </w:pPr>
          </w:p>
        </w:tc>
        <w:tc>
          <w:tcPr>
            <w:tcW w:w="1437" w:type="dxa"/>
            <w:gridSpan w:val="2"/>
            <w:tcBorders>
              <w:top w:val="single" w:sz="4" w:space="0" w:color="auto"/>
              <w:left w:val="single" w:sz="4" w:space="0" w:color="auto"/>
              <w:right w:val="single" w:sz="4" w:space="0" w:color="auto"/>
            </w:tcBorders>
          </w:tcPr>
          <w:p w:rsidR="00E95FB1" w:rsidRPr="001916D0" w:rsidRDefault="00DB4F49" w:rsidP="001B3967">
            <w:pPr>
              <w:pStyle w:val="a7"/>
              <w:ind w:left="-108" w:right="-78"/>
              <w:jc w:val="center"/>
              <w:rPr>
                <w:b/>
                <w:sz w:val="22"/>
              </w:rPr>
            </w:pPr>
            <w:r w:rsidRPr="001916D0">
              <w:rPr>
                <w:sz w:val="22"/>
              </w:rPr>
              <w:t>2752,95</w:t>
            </w:r>
          </w:p>
        </w:tc>
        <w:tc>
          <w:tcPr>
            <w:tcW w:w="1295"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Іноземні інвестиції, кошти приватних осіб</w:t>
            </w:r>
          </w:p>
        </w:tc>
        <w:tc>
          <w:tcPr>
            <w:tcW w:w="1321" w:type="dxa"/>
            <w:vMerge/>
            <w:tcBorders>
              <w:left w:val="single" w:sz="4" w:space="0" w:color="auto"/>
            </w:tcBorders>
          </w:tcPr>
          <w:p w:rsidR="00E95FB1" w:rsidRPr="001916D0" w:rsidRDefault="00E95FB1" w:rsidP="001B3967">
            <w:pPr>
              <w:pStyle w:val="a7"/>
              <w:ind w:left="0"/>
              <w:jc w:val="center"/>
              <w:rPr>
                <w:sz w:val="22"/>
                <w:lang w:val="uk-UA"/>
              </w:rPr>
            </w:pPr>
          </w:p>
        </w:tc>
      </w:tr>
    </w:tbl>
    <w:p w:rsidR="00E95FB1" w:rsidRPr="001916D0" w:rsidRDefault="00E95FB1" w:rsidP="00E95FB1">
      <w:pPr>
        <w:rPr>
          <w:sz w:val="22"/>
        </w:rPr>
      </w:pPr>
    </w:p>
    <w:p w:rsidR="00E95FB1" w:rsidRPr="001916D0" w:rsidRDefault="00E95FB1" w:rsidP="00E95FB1">
      <w:pPr>
        <w:rPr>
          <w:sz w:val="22"/>
        </w:rPr>
      </w:pPr>
    </w:p>
    <w:tbl>
      <w:tblPr>
        <w:tblStyle w:val="af"/>
        <w:tblW w:w="0" w:type="auto"/>
        <w:tblInd w:w="-176" w:type="dxa"/>
        <w:tblLook w:val="04A0" w:firstRow="1" w:lastRow="0" w:firstColumn="1" w:lastColumn="0" w:noHBand="0" w:noVBand="1"/>
      </w:tblPr>
      <w:tblGrid>
        <w:gridCol w:w="2721"/>
        <w:gridCol w:w="1708"/>
        <w:gridCol w:w="1264"/>
        <w:gridCol w:w="346"/>
        <w:gridCol w:w="1054"/>
        <w:gridCol w:w="789"/>
        <w:gridCol w:w="471"/>
        <w:gridCol w:w="1309"/>
      </w:tblGrid>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Оперативна ціль/завдання</w:t>
            </w:r>
          </w:p>
        </w:tc>
        <w:tc>
          <w:tcPr>
            <w:tcW w:w="7052" w:type="dxa"/>
            <w:gridSpan w:val="7"/>
            <w:shd w:val="clear" w:color="auto" w:fill="auto"/>
          </w:tcPr>
          <w:p w:rsidR="00E95FB1" w:rsidRPr="001916D0" w:rsidRDefault="00E95FB1" w:rsidP="001B3967">
            <w:pPr>
              <w:pStyle w:val="a7"/>
              <w:ind w:left="0"/>
              <w:rPr>
                <w:sz w:val="22"/>
                <w:lang w:val="uk-UA"/>
              </w:rPr>
            </w:pPr>
            <w:r w:rsidRPr="001916D0">
              <w:rPr>
                <w:rFonts w:eastAsia="Arial"/>
                <w:sz w:val="22"/>
                <w:lang w:val="uk-UA"/>
              </w:rPr>
              <w:t>SMART – трансформація економіки та відновлення інвестиційної привабливості громади. Маркетинг території громади та залучення інвестицій</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Назва проекту:</w:t>
            </w:r>
          </w:p>
        </w:tc>
        <w:tc>
          <w:tcPr>
            <w:tcW w:w="7052" w:type="dxa"/>
            <w:gridSpan w:val="7"/>
          </w:tcPr>
          <w:p w:rsidR="00E95FB1" w:rsidRPr="001916D0" w:rsidRDefault="00E95FB1" w:rsidP="001B3967">
            <w:pPr>
              <w:pStyle w:val="a7"/>
              <w:ind w:left="0"/>
              <w:rPr>
                <w:sz w:val="22"/>
                <w:lang w:val="uk-UA"/>
              </w:rPr>
            </w:pPr>
            <w:r w:rsidRPr="001916D0">
              <w:rPr>
                <w:sz w:val="22"/>
                <w:lang w:val="uk-UA"/>
              </w:rPr>
              <w:t>Відбудова адміністративної нежитлової будівлі Сєвєродонецької міської територіальної громади (проспект Центральний, буд. 12) для відновлення роботи структурних підрозділів, виконавчих органів Сєвєродонецької міської військової адміністрації, органів державної влади, державних установ.</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Ціль проекту</w:t>
            </w:r>
          </w:p>
        </w:tc>
        <w:tc>
          <w:tcPr>
            <w:tcW w:w="7052" w:type="dxa"/>
            <w:gridSpan w:val="7"/>
          </w:tcPr>
          <w:p w:rsidR="00E95FB1" w:rsidRPr="001916D0" w:rsidRDefault="00E95FB1" w:rsidP="001B3967">
            <w:pPr>
              <w:pStyle w:val="a7"/>
              <w:ind w:left="0"/>
              <w:rPr>
                <w:sz w:val="22"/>
                <w:lang w:val="uk-UA"/>
              </w:rPr>
            </w:pPr>
            <w:r w:rsidRPr="001916D0">
              <w:rPr>
                <w:sz w:val="22"/>
                <w:lang w:val="uk-UA"/>
              </w:rPr>
              <w:t xml:space="preserve">Першочергове розміщення структурних підрозділів, виконавчих органів Сєвєродонецької міської військової адміністрації, правоохоронних органів та регіональних відділень державних структур, відновлення та покращення їх роботи на </w:t>
            </w:r>
            <w:proofErr w:type="spellStart"/>
            <w:r w:rsidRPr="001916D0">
              <w:rPr>
                <w:sz w:val="22"/>
                <w:lang w:val="uk-UA"/>
              </w:rPr>
              <w:t>деокупованій</w:t>
            </w:r>
            <w:proofErr w:type="spellEnd"/>
            <w:r w:rsidRPr="001916D0">
              <w:rPr>
                <w:sz w:val="22"/>
                <w:lang w:val="uk-UA"/>
              </w:rPr>
              <w:t xml:space="preserve"> території Луганської області для надання різного спектру послуг, пов’язаних із захистом конституційних прав та свобод громадян, доступу до влади, зв’язку тощо. Забезпечення доступу Сєвєродонецької міської територіальної громади, установ, підприємств та організацій (не залежно від форм власності) та громадян до означених послуг.</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Територія, на яку матиме вплив реалізація проекту</w:t>
            </w:r>
          </w:p>
        </w:tc>
        <w:tc>
          <w:tcPr>
            <w:tcW w:w="7052" w:type="dxa"/>
            <w:gridSpan w:val="7"/>
          </w:tcPr>
          <w:p w:rsidR="00E95FB1" w:rsidRPr="001916D0" w:rsidRDefault="00E95FB1" w:rsidP="001B3967">
            <w:pPr>
              <w:pStyle w:val="a7"/>
              <w:ind w:left="0"/>
              <w:rPr>
                <w:sz w:val="22"/>
                <w:lang w:val="uk-UA"/>
              </w:rPr>
            </w:pPr>
            <w:r w:rsidRPr="001916D0">
              <w:rPr>
                <w:sz w:val="22"/>
                <w:lang w:val="uk-UA"/>
              </w:rPr>
              <w:t>Сєвєродонецька міська територіальна громада</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Чисельність населення, на яке матиме вплив реалізація проекту</w:t>
            </w:r>
          </w:p>
        </w:tc>
        <w:tc>
          <w:tcPr>
            <w:tcW w:w="7052" w:type="dxa"/>
            <w:gridSpan w:val="7"/>
          </w:tcPr>
          <w:p w:rsidR="00E95FB1" w:rsidRPr="001916D0" w:rsidRDefault="00E95FB1" w:rsidP="001B3967">
            <w:pPr>
              <w:pStyle w:val="a7"/>
              <w:ind w:left="0"/>
              <w:rPr>
                <w:sz w:val="22"/>
                <w:lang w:val="uk-UA"/>
              </w:rPr>
            </w:pPr>
            <w:r w:rsidRPr="001916D0">
              <w:rPr>
                <w:sz w:val="22"/>
                <w:lang w:val="uk-UA"/>
              </w:rPr>
              <w:t xml:space="preserve"> 70 000  осіб</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Опис проблеми, на вирішення якої  спрямований проект</w:t>
            </w:r>
          </w:p>
        </w:tc>
        <w:tc>
          <w:tcPr>
            <w:tcW w:w="7052" w:type="dxa"/>
            <w:gridSpan w:val="7"/>
          </w:tcPr>
          <w:p w:rsidR="00E95FB1" w:rsidRPr="001916D0" w:rsidRDefault="00E95FB1" w:rsidP="001B3967">
            <w:pPr>
              <w:ind w:firstLine="198"/>
              <w:rPr>
                <w:sz w:val="22"/>
                <w:lang w:val="uk-UA"/>
              </w:rPr>
            </w:pPr>
            <w:r w:rsidRPr="001916D0">
              <w:rPr>
                <w:sz w:val="22"/>
                <w:lang w:val="uk-UA"/>
              </w:rPr>
              <w:t>Через військову агресію РФ територія Сєвєродонецької міської територіальної громади зазнала значних пошкоджень. Будівлі, які перебувають в комунальній власності Сєвєродонецької міської територіальної громади, зруйновані або пошкоджені.</w:t>
            </w:r>
          </w:p>
          <w:p w:rsidR="00E95FB1" w:rsidRPr="001916D0" w:rsidRDefault="00E95FB1" w:rsidP="001B3967">
            <w:pPr>
              <w:ind w:firstLine="198"/>
              <w:rPr>
                <w:sz w:val="22"/>
                <w:lang w:val="uk-UA"/>
              </w:rPr>
            </w:pPr>
            <w:r w:rsidRPr="001916D0">
              <w:rPr>
                <w:sz w:val="22"/>
                <w:lang w:val="uk-UA"/>
              </w:rPr>
              <w:t>До 24.02.202</w:t>
            </w:r>
            <w:r w:rsidR="001443DE" w:rsidRPr="001916D0">
              <w:rPr>
                <w:sz w:val="22"/>
                <w:lang w:val="uk-UA"/>
              </w:rPr>
              <w:t>2 року</w:t>
            </w:r>
            <w:r w:rsidRPr="001916D0">
              <w:rPr>
                <w:sz w:val="22"/>
                <w:lang w:val="uk-UA"/>
              </w:rPr>
              <w:t xml:space="preserve"> в двоповерховій адміністра</w:t>
            </w:r>
            <w:r w:rsidR="001443DE" w:rsidRPr="001916D0">
              <w:rPr>
                <w:sz w:val="22"/>
                <w:lang w:val="uk-UA"/>
              </w:rPr>
              <w:t xml:space="preserve">тивній будівлі, площею 252 </w:t>
            </w:r>
            <w:proofErr w:type="spellStart"/>
            <w:r w:rsidR="001443DE" w:rsidRPr="001916D0">
              <w:rPr>
                <w:sz w:val="22"/>
                <w:lang w:val="uk-UA"/>
              </w:rPr>
              <w:t>кв.м</w:t>
            </w:r>
            <w:proofErr w:type="spellEnd"/>
            <w:r w:rsidR="001443DE" w:rsidRPr="001916D0">
              <w:rPr>
                <w:sz w:val="22"/>
                <w:lang w:val="uk-UA"/>
              </w:rPr>
              <w:t xml:space="preserve">, </w:t>
            </w:r>
            <w:r w:rsidRPr="001916D0">
              <w:rPr>
                <w:sz w:val="22"/>
                <w:lang w:val="uk-UA"/>
              </w:rPr>
              <w:t xml:space="preserve">на території в 103,8 </w:t>
            </w:r>
            <w:proofErr w:type="spellStart"/>
            <w:r w:rsidRPr="001916D0">
              <w:rPr>
                <w:sz w:val="22"/>
                <w:lang w:val="uk-UA"/>
              </w:rPr>
              <w:t>кв.м</w:t>
            </w:r>
            <w:proofErr w:type="spellEnd"/>
            <w:r w:rsidR="001443DE" w:rsidRPr="001916D0">
              <w:rPr>
                <w:sz w:val="22"/>
                <w:lang w:val="uk-UA"/>
              </w:rPr>
              <w:t>,</w:t>
            </w:r>
            <w:r w:rsidRPr="001916D0">
              <w:rPr>
                <w:sz w:val="22"/>
                <w:lang w:val="uk-UA"/>
              </w:rPr>
              <w:t xml:space="preserve"> розміщувалося Східне Міжобласне територіальне відділення Антимонопольного комітету України. Решта будівлі пропонується до оренди. Однією із переваг даної будівлі є близьке розташування до адміністративних будівель Сєвєродонецької міської військової адміністрації та різних її структурних підрозділів, виконавчих органів та регіональних відділень державних установ, розміщених в будівлі поруч. Невелика площа є </w:t>
            </w:r>
            <w:proofErr w:type="spellStart"/>
            <w:r w:rsidRPr="001916D0">
              <w:rPr>
                <w:sz w:val="22"/>
                <w:lang w:val="uk-UA"/>
              </w:rPr>
              <w:t>пріоретним</w:t>
            </w:r>
            <w:proofErr w:type="spellEnd"/>
            <w:r w:rsidRPr="001916D0">
              <w:rPr>
                <w:sz w:val="22"/>
                <w:lang w:val="uk-UA"/>
              </w:rPr>
              <w:t xml:space="preserve"> для одноособового раціонального розміщення певної установи, організації – «без сусідів».</w:t>
            </w:r>
          </w:p>
          <w:p w:rsidR="00E95FB1" w:rsidRPr="001916D0" w:rsidRDefault="00E95FB1" w:rsidP="001B3967">
            <w:pPr>
              <w:ind w:firstLine="198"/>
              <w:rPr>
                <w:sz w:val="22"/>
                <w:lang w:val="uk-UA"/>
              </w:rPr>
            </w:pPr>
            <w:r w:rsidRPr="001916D0">
              <w:rPr>
                <w:sz w:val="22"/>
                <w:lang w:val="uk-UA"/>
              </w:rPr>
              <w:t>Адміністративна будівля (проспект Центральний, буд. 12), зазнала пошкоджень, зокрема пошкоджена покрівля та внутрішнє оздоблення будівлі, посічені осколками зовнішні стіни, вибиті вікна, пошкоджені вхідні двері.</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якісні результати від реалізації проекту</w:t>
            </w:r>
          </w:p>
        </w:tc>
        <w:tc>
          <w:tcPr>
            <w:tcW w:w="7052" w:type="dxa"/>
            <w:gridSpan w:val="7"/>
          </w:tcPr>
          <w:p w:rsidR="00E95FB1" w:rsidRPr="001916D0" w:rsidRDefault="00E95FB1" w:rsidP="001B3967">
            <w:pPr>
              <w:pStyle w:val="a7"/>
              <w:ind w:left="0"/>
              <w:rPr>
                <w:sz w:val="22"/>
                <w:lang w:val="uk-UA"/>
              </w:rPr>
            </w:pPr>
            <w:r w:rsidRPr="001916D0">
              <w:rPr>
                <w:sz w:val="22"/>
                <w:lang w:val="uk-UA"/>
              </w:rPr>
              <w:t>- забезпечення реалізації конституційних прав людини та громадянина на захист своїх прав та свобод, доступ до правоохоронних органів, влади;</w:t>
            </w:r>
          </w:p>
          <w:p w:rsidR="00E95FB1" w:rsidRPr="001916D0" w:rsidRDefault="00E95FB1" w:rsidP="001B3967">
            <w:pPr>
              <w:pStyle w:val="a7"/>
              <w:ind w:left="0"/>
              <w:rPr>
                <w:sz w:val="22"/>
                <w:lang w:val="uk-UA"/>
              </w:rPr>
            </w:pPr>
            <w:r w:rsidRPr="001916D0">
              <w:rPr>
                <w:sz w:val="22"/>
                <w:lang w:val="uk-UA"/>
              </w:rPr>
              <w:t>- забезпечення доступу Сєвєродонецької міської територіальної громади,  установ, підприємств та організацій (не залежно від форм власності) та громадян до різного роду послуг;</w:t>
            </w:r>
          </w:p>
          <w:p w:rsidR="00E95FB1" w:rsidRPr="001916D0" w:rsidRDefault="00E95FB1" w:rsidP="001B3967">
            <w:pPr>
              <w:pStyle w:val="a7"/>
              <w:ind w:left="0"/>
              <w:rPr>
                <w:sz w:val="22"/>
                <w:lang w:val="uk-UA"/>
              </w:rPr>
            </w:pPr>
            <w:r w:rsidRPr="001916D0">
              <w:rPr>
                <w:sz w:val="22"/>
                <w:lang w:val="uk-UA"/>
              </w:rPr>
              <w:t>- створення нових робочих місць;</w:t>
            </w:r>
          </w:p>
          <w:p w:rsidR="00E95FB1" w:rsidRPr="001916D0" w:rsidRDefault="00E95FB1" w:rsidP="001B3967">
            <w:pPr>
              <w:pStyle w:val="a7"/>
              <w:ind w:left="0"/>
              <w:rPr>
                <w:sz w:val="22"/>
                <w:lang w:val="uk-UA"/>
              </w:rPr>
            </w:pPr>
            <w:r w:rsidRPr="001916D0">
              <w:rPr>
                <w:sz w:val="22"/>
                <w:lang w:val="uk-UA"/>
              </w:rPr>
              <w:lastRenderedPageBreak/>
              <w:t>- стимулювання ВПО та громадян Сєвєродонецької міської територіальної громади  до повернення</w:t>
            </w:r>
          </w:p>
        </w:tc>
      </w:tr>
      <w:tr w:rsidR="00E95FB1" w:rsidRPr="001916D0" w:rsidTr="001B3967">
        <w:trPr>
          <w:trHeight w:val="390"/>
        </w:trPr>
        <w:tc>
          <w:tcPr>
            <w:tcW w:w="2836"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lastRenderedPageBreak/>
              <w:t xml:space="preserve">Очікувані кількісні результати реалізації </w:t>
            </w:r>
            <w:proofErr w:type="spellStart"/>
            <w:r w:rsidRPr="001916D0">
              <w:rPr>
                <w:b/>
                <w:sz w:val="22"/>
                <w:lang w:val="uk-UA"/>
              </w:rPr>
              <w:t>проєкту</w:t>
            </w:r>
            <w:proofErr w:type="spellEnd"/>
            <w:r w:rsidRPr="001916D0">
              <w:rPr>
                <w:b/>
                <w:sz w:val="22"/>
                <w:lang w:val="uk-UA"/>
              </w:rPr>
              <w:t xml:space="preserve"> (індикатори)</w:t>
            </w:r>
          </w:p>
          <w:p w:rsidR="00E95FB1" w:rsidRPr="001916D0" w:rsidRDefault="00E95FB1" w:rsidP="001B3967">
            <w:pPr>
              <w:pStyle w:val="a7"/>
              <w:ind w:left="0"/>
              <w:rPr>
                <w:b/>
                <w:sz w:val="22"/>
                <w:lang w:val="uk-UA"/>
              </w:rPr>
            </w:pPr>
          </w:p>
        </w:tc>
        <w:tc>
          <w:tcPr>
            <w:tcW w:w="3402" w:type="dxa"/>
            <w:gridSpan w:val="3"/>
            <w:tcBorders>
              <w:bottom w:val="single" w:sz="4" w:space="0" w:color="auto"/>
              <w:right w:val="single" w:sz="4" w:space="0" w:color="auto"/>
            </w:tcBorders>
          </w:tcPr>
          <w:p w:rsidR="00E95FB1" w:rsidRPr="001916D0" w:rsidRDefault="00E95FB1" w:rsidP="001B3967">
            <w:pPr>
              <w:pStyle w:val="a7"/>
              <w:ind w:left="-108"/>
              <w:jc w:val="center"/>
              <w:rPr>
                <w:b/>
                <w:sz w:val="22"/>
                <w:lang w:val="uk-UA"/>
              </w:rPr>
            </w:pPr>
            <w:r w:rsidRPr="001916D0">
              <w:rPr>
                <w:b/>
                <w:sz w:val="22"/>
                <w:lang w:val="uk-UA"/>
              </w:rPr>
              <w:t>Найменування показника</w:t>
            </w:r>
          </w:p>
        </w:tc>
        <w:tc>
          <w:tcPr>
            <w:tcW w:w="1843" w:type="dxa"/>
            <w:gridSpan w:val="2"/>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Одиниця вимірювання</w:t>
            </w:r>
          </w:p>
          <w:p w:rsidR="00E95FB1" w:rsidRPr="001916D0" w:rsidRDefault="00E95FB1" w:rsidP="001B3967">
            <w:pPr>
              <w:pStyle w:val="a7"/>
              <w:ind w:left="0"/>
              <w:rPr>
                <w:b/>
                <w:sz w:val="22"/>
                <w:lang w:val="uk-UA"/>
              </w:rPr>
            </w:pPr>
          </w:p>
        </w:tc>
        <w:tc>
          <w:tcPr>
            <w:tcW w:w="1807" w:type="dxa"/>
            <w:gridSpan w:val="2"/>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Прогнозне (цільове) значення</w:t>
            </w:r>
          </w:p>
        </w:tc>
      </w:tr>
      <w:tr w:rsidR="00E95FB1" w:rsidRPr="001916D0" w:rsidTr="001B3967">
        <w:trPr>
          <w:trHeight w:val="519"/>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Площа приміщень до передачі в оренду</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proofErr w:type="spellStart"/>
            <w:r w:rsidRPr="001916D0">
              <w:rPr>
                <w:sz w:val="22"/>
                <w:lang w:val="uk-UA"/>
              </w:rPr>
              <w:t>кв.м</w:t>
            </w:r>
            <w:proofErr w:type="spellEnd"/>
          </w:p>
        </w:tc>
        <w:tc>
          <w:tcPr>
            <w:tcW w:w="1807" w:type="dxa"/>
            <w:gridSpan w:val="2"/>
            <w:tcBorders>
              <w:top w:val="single" w:sz="4" w:space="0" w:color="auto"/>
              <w:lef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522</w:t>
            </w:r>
          </w:p>
        </w:tc>
      </w:tr>
      <w:tr w:rsidR="00E95FB1" w:rsidRPr="001916D0" w:rsidTr="001B3967">
        <w:trPr>
          <w:trHeight w:val="165"/>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Передача об’єктів комунальної власності в оренду, укладання договорів оренди</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807" w:type="dxa"/>
            <w:gridSpan w:val="2"/>
            <w:tcBorders>
              <w:top w:val="single" w:sz="4" w:space="0" w:color="auto"/>
              <w:left w:val="single" w:sz="4" w:space="0" w:color="auto"/>
              <w:bottom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1-2</w:t>
            </w:r>
          </w:p>
        </w:tc>
      </w:tr>
      <w:tr w:rsidR="00E95FB1" w:rsidRPr="001916D0" w:rsidTr="001B3967">
        <w:trPr>
          <w:trHeight w:val="15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підвищення ролі соціальних пріоритетів у використанні нерухомого майна, а саме: надання пропозицій з оренди об’єктів комунальної власності суб’єктам, що утримуються за рахунок коштів державного та місцевого бюджетів</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807" w:type="dxa"/>
            <w:gridSpan w:val="2"/>
            <w:tcBorders>
              <w:top w:val="single" w:sz="4" w:space="0" w:color="auto"/>
              <w:lef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1-2</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 xml:space="preserve">Ключові заходи проекту: </w:t>
            </w:r>
          </w:p>
          <w:p w:rsidR="00E95FB1" w:rsidRPr="001916D0" w:rsidRDefault="00E95FB1" w:rsidP="001B3967">
            <w:pPr>
              <w:pStyle w:val="a7"/>
              <w:ind w:left="0"/>
              <w:rPr>
                <w:b/>
                <w:sz w:val="22"/>
                <w:lang w:val="uk-UA"/>
              </w:rPr>
            </w:pPr>
          </w:p>
        </w:tc>
        <w:tc>
          <w:tcPr>
            <w:tcW w:w="7052" w:type="dxa"/>
            <w:gridSpan w:val="7"/>
          </w:tcPr>
          <w:p w:rsidR="00E95FB1" w:rsidRPr="001916D0" w:rsidRDefault="00E95FB1" w:rsidP="001B3967">
            <w:pPr>
              <w:pStyle w:val="a7"/>
              <w:ind w:left="0"/>
              <w:rPr>
                <w:sz w:val="22"/>
                <w:lang w:val="uk-UA"/>
              </w:rPr>
            </w:pPr>
            <w:r w:rsidRPr="001916D0">
              <w:rPr>
                <w:sz w:val="22"/>
                <w:lang w:val="uk-UA"/>
              </w:rPr>
              <w:t>- проведення технічного обстеження стану будівлі (покрівлі, зовнішнього фасаду, стану віконних блоків, внутрішнього перекриття);</w:t>
            </w:r>
          </w:p>
          <w:p w:rsidR="00E95FB1" w:rsidRPr="001916D0" w:rsidRDefault="00E95FB1" w:rsidP="001B3967">
            <w:pPr>
              <w:pStyle w:val="a7"/>
              <w:ind w:left="0"/>
              <w:rPr>
                <w:sz w:val="22"/>
                <w:lang w:val="uk-UA"/>
              </w:rPr>
            </w:pPr>
            <w:r w:rsidRPr="001916D0">
              <w:rPr>
                <w:sz w:val="22"/>
                <w:lang w:val="uk-UA"/>
              </w:rPr>
              <w:t xml:space="preserve">- розроблення </w:t>
            </w:r>
            <w:proofErr w:type="spellStart"/>
            <w:r w:rsidRPr="001916D0">
              <w:rPr>
                <w:sz w:val="22"/>
                <w:lang w:val="uk-UA"/>
              </w:rPr>
              <w:t>про</w:t>
            </w:r>
            <w:r w:rsidR="001443DE" w:rsidRPr="001916D0">
              <w:rPr>
                <w:sz w:val="22"/>
                <w:lang w:val="uk-UA"/>
              </w:rPr>
              <w:t>є</w:t>
            </w:r>
            <w:r w:rsidRPr="001916D0">
              <w:rPr>
                <w:sz w:val="22"/>
                <w:lang w:val="uk-UA"/>
              </w:rPr>
              <w:t>ктно</w:t>
            </w:r>
            <w:proofErr w:type="spellEnd"/>
            <w:r w:rsidRPr="001916D0">
              <w:rPr>
                <w:sz w:val="22"/>
                <w:lang w:val="uk-UA"/>
              </w:rPr>
              <w:t>-кошторисної документації на відновлювані роботи будівлі (відновлення покрівлі, заміна/відновлення вікон, утеплення, ремонт фасаду, внутрішній ремонт, ремонт / оновлення санвузлів);</w:t>
            </w:r>
          </w:p>
          <w:p w:rsidR="00E95FB1" w:rsidRPr="001916D0" w:rsidRDefault="00E95FB1" w:rsidP="001B3967">
            <w:pPr>
              <w:pStyle w:val="a7"/>
              <w:ind w:left="0"/>
              <w:rPr>
                <w:sz w:val="22"/>
                <w:lang w:val="uk-UA"/>
              </w:rPr>
            </w:pPr>
            <w:r w:rsidRPr="001916D0">
              <w:rPr>
                <w:sz w:val="22"/>
                <w:lang w:val="uk-UA"/>
              </w:rPr>
              <w:t>- пошук інвестора;</w:t>
            </w:r>
          </w:p>
          <w:p w:rsidR="00E95FB1" w:rsidRPr="001916D0" w:rsidRDefault="00E95FB1" w:rsidP="001B3967">
            <w:pPr>
              <w:pStyle w:val="a7"/>
              <w:ind w:left="0"/>
              <w:rPr>
                <w:sz w:val="22"/>
                <w:lang w:val="uk-UA"/>
              </w:rPr>
            </w:pPr>
            <w:r w:rsidRPr="001916D0">
              <w:rPr>
                <w:sz w:val="22"/>
                <w:lang w:val="uk-UA"/>
              </w:rPr>
              <w:t>- пошук підрядної організації;</w:t>
            </w:r>
          </w:p>
          <w:p w:rsidR="00E95FB1" w:rsidRPr="001916D0" w:rsidRDefault="00E95FB1" w:rsidP="001B3967">
            <w:pPr>
              <w:pStyle w:val="a7"/>
              <w:ind w:left="0"/>
              <w:rPr>
                <w:sz w:val="22"/>
                <w:lang w:val="uk-UA"/>
              </w:rPr>
            </w:pPr>
            <w:r w:rsidRPr="001916D0">
              <w:rPr>
                <w:sz w:val="22"/>
                <w:lang w:val="uk-UA"/>
              </w:rPr>
              <w:t xml:space="preserve">- проведення </w:t>
            </w:r>
            <w:proofErr w:type="spellStart"/>
            <w:r w:rsidRPr="001916D0">
              <w:rPr>
                <w:sz w:val="22"/>
                <w:lang w:val="uk-UA"/>
              </w:rPr>
              <w:t>відновлювально</w:t>
            </w:r>
            <w:proofErr w:type="spellEnd"/>
            <w:r w:rsidRPr="001916D0">
              <w:rPr>
                <w:sz w:val="22"/>
                <w:lang w:val="uk-UA"/>
              </w:rPr>
              <w:t>-ремонтних робот адміністративної будівлі;</w:t>
            </w:r>
          </w:p>
          <w:p w:rsidR="00E95FB1" w:rsidRPr="001916D0" w:rsidRDefault="00E95FB1" w:rsidP="001B3967">
            <w:pPr>
              <w:pStyle w:val="a7"/>
              <w:ind w:left="0"/>
              <w:rPr>
                <w:sz w:val="22"/>
                <w:lang w:val="uk-UA"/>
              </w:rPr>
            </w:pPr>
            <w:r w:rsidRPr="001916D0">
              <w:rPr>
                <w:sz w:val="22"/>
                <w:lang w:val="uk-UA"/>
              </w:rPr>
              <w:t>-  організація та початок роботи структурних підрозділів, виконавчих органів Сєвєродонецької міської військової адміністрації / правоохоронних органів / регіональних відділень державних установ;</w:t>
            </w:r>
          </w:p>
          <w:p w:rsidR="00E95FB1" w:rsidRPr="001916D0" w:rsidRDefault="00E95FB1" w:rsidP="00127702">
            <w:pPr>
              <w:pStyle w:val="a7"/>
              <w:ind w:left="0"/>
              <w:rPr>
                <w:sz w:val="22"/>
                <w:lang w:val="uk-UA"/>
              </w:rPr>
            </w:pPr>
            <w:r w:rsidRPr="001916D0">
              <w:rPr>
                <w:sz w:val="22"/>
                <w:lang w:val="uk-UA"/>
              </w:rPr>
              <w:t xml:space="preserve">- </w:t>
            </w:r>
            <w:r w:rsidRPr="001916D0">
              <w:rPr>
                <w:bCs/>
                <w:sz w:val="22"/>
                <w:szCs w:val="22"/>
                <w:lang w:val="uk-UA"/>
              </w:rPr>
              <w:t>переда</w:t>
            </w:r>
            <w:r w:rsidR="00127702" w:rsidRPr="001916D0">
              <w:rPr>
                <w:bCs/>
                <w:sz w:val="22"/>
                <w:szCs w:val="22"/>
                <w:lang w:val="uk-UA"/>
              </w:rPr>
              <w:t>ча</w:t>
            </w:r>
            <w:r w:rsidRPr="001916D0">
              <w:rPr>
                <w:sz w:val="22"/>
                <w:lang w:val="uk-UA"/>
              </w:rPr>
              <w:t xml:space="preserve">  вільних приміщень в оренду  з метою розміщення правоохоронних органів, регіональних відділень державних установ, інших суб’єктів.</w:t>
            </w:r>
          </w:p>
        </w:tc>
      </w:tr>
      <w:tr w:rsidR="00E95FB1" w:rsidRPr="001916D0" w:rsidTr="001B3967">
        <w:trPr>
          <w:trHeight w:val="360"/>
        </w:trPr>
        <w:tc>
          <w:tcPr>
            <w:tcW w:w="2836"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Орієнтовний обсяг та джерела фінансування, тис. грн. </w:t>
            </w:r>
          </w:p>
          <w:p w:rsidR="00E95FB1" w:rsidRPr="001916D0" w:rsidRDefault="00E95FB1" w:rsidP="001B3967">
            <w:pPr>
              <w:pStyle w:val="a7"/>
              <w:ind w:left="0"/>
              <w:rPr>
                <w:b/>
                <w:sz w:val="22"/>
                <w:lang w:val="uk-UA"/>
              </w:rPr>
            </w:pPr>
          </w:p>
        </w:tc>
        <w:tc>
          <w:tcPr>
            <w:tcW w:w="1746"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Державний бюджет</w:t>
            </w:r>
          </w:p>
        </w:tc>
        <w:tc>
          <w:tcPr>
            <w:tcW w:w="1273"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Місцевий бюджет</w:t>
            </w:r>
          </w:p>
        </w:tc>
        <w:tc>
          <w:tcPr>
            <w:tcW w:w="2709" w:type="dxa"/>
            <w:gridSpan w:val="4"/>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Інші джерела</w:t>
            </w:r>
          </w:p>
        </w:tc>
        <w:tc>
          <w:tcPr>
            <w:tcW w:w="1324" w:type="dxa"/>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Всього</w:t>
            </w:r>
          </w:p>
        </w:tc>
      </w:tr>
      <w:tr w:rsidR="00E95FB1" w:rsidRPr="001916D0" w:rsidTr="001B3967">
        <w:trPr>
          <w:trHeight w:val="225"/>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1746" w:type="dxa"/>
            <w:vMerge w:val="restart"/>
            <w:tcBorders>
              <w:top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sz w:val="22"/>
                <w:lang w:val="uk-UA"/>
              </w:rPr>
              <w:t>5 208,56</w:t>
            </w:r>
          </w:p>
        </w:tc>
        <w:tc>
          <w:tcPr>
            <w:tcW w:w="1273" w:type="dxa"/>
            <w:vMerge w:val="restart"/>
            <w:tcBorders>
              <w:top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w:t>
            </w:r>
          </w:p>
        </w:tc>
        <w:tc>
          <w:tcPr>
            <w:tcW w:w="1437"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Обсяг</w:t>
            </w:r>
          </w:p>
        </w:tc>
        <w:tc>
          <w:tcPr>
            <w:tcW w:w="1272"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Назва джерела</w:t>
            </w:r>
          </w:p>
        </w:tc>
        <w:tc>
          <w:tcPr>
            <w:tcW w:w="1324" w:type="dxa"/>
            <w:vMerge w:val="restart"/>
            <w:tcBorders>
              <w:top w:val="single" w:sz="4" w:space="0" w:color="auto"/>
              <w:left w:val="single" w:sz="4" w:space="0" w:color="auto"/>
            </w:tcBorders>
          </w:tcPr>
          <w:p w:rsidR="00E95FB1" w:rsidRPr="001916D0" w:rsidRDefault="00E95FB1" w:rsidP="001B3967">
            <w:pPr>
              <w:pStyle w:val="a7"/>
              <w:ind w:left="-157" w:right="-86"/>
              <w:jc w:val="center"/>
              <w:rPr>
                <w:sz w:val="22"/>
                <w:highlight w:val="yellow"/>
                <w:lang w:val="uk-UA"/>
              </w:rPr>
            </w:pPr>
            <w:r w:rsidRPr="001916D0">
              <w:rPr>
                <w:sz w:val="22"/>
                <w:lang w:val="uk-UA"/>
              </w:rPr>
              <w:t>7 440,80</w:t>
            </w:r>
          </w:p>
        </w:tc>
      </w:tr>
      <w:tr w:rsidR="00E95FB1" w:rsidRPr="001916D0" w:rsidTr="001B3967">
        <w:trPr>
          <w:trHeight w:val="30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1746" w:type="dxa"/>
            <w:vMerge/>
            <w:tcBorders>
              <w:right w:val="single" w:sz="4" w:space="0" w:color="auto"/>
            </w:tcBorders>
          </w:tcPr>
          <w:p w:rsidR="00E95FB1" w:rsidRPr="001916D0" w:rsidRDefault="00E95FB1" w:rsidP="001B3967">
            <w:pPr>
              <w:pStyle w:val="a7"/>
              <w:ind w:left="0"/>
              <w:jc w:val="center"/>
              <w:rPr>
                <w:sz w:val="22"/>
                <w:lang w:val="uk-UA"/>
              </w:rPr>
            </w:pPr>
          </w:p>
        </w:tc>
        <w:tc>
          <w:tcPr>
            <w:tcW w:w="1273" w:type="dxa"/>
            <w:vMerge/>
            <w:tcBorders>
              <w:right w:val="single" w:sz="4" w:space="0" w:color="auto"/>
            </w:tcBorders>
          </w:tcPr>
          <w:p w:rsidR="00E95FB1" w:rsidRPr="001916D0" w:rsidRDefault="00E95FB1" w:rsidP="001B3967">
            <w:pPr>
              <w:pStyle w:val="a7"/>
              <w:ind w:left="0"/>
              <w:jc w:val="center"/>
              <w:rPr>
                <w:b/>
                <w:sz w:val="22"/>
                <w:lang w:val="uk-UA"/>
              </w:rPr>
            </w:pPr>
          </w:p>
        </w:tc>
        <w:tc>
          <w:tcPr>
            <w:tcW w:w="1437" w:type="dxa"/>
            <w:gridSpan w:val="2"/>
            <w:tcBorders>
              <w:top w:val="single" w:sz="4" w:space="0" w:color="auto"/>
              <w:left w:val="single" w:sz="4" w:space="0" w:color="auto"/>
              <w:right w:val="single" w:sz="4" w:space="0" w:color="auto"/>
            </w:tcBorders>
          </w:tcPr>
          <w:p w:rsidR="00E95FB1" w:rsidRPr="001916D0" w:rsidRDefault="00E95FB1" w:rsidP="001B3967">
            <w:pPr>
              <w:pStyle w:val="a7"/>
              <w:ind w:left="-108" w:right="-78"/>
              <w:jc w:val="center"/>
              <w:rPr>
                <w:b/>
                <w:sz w:val="22"/>
                <w:lang w:val="uk-UA"/>
              </w:rPr>
            </w:pPr>
            <w:r w:rsidRPr="001916D0">
              <w:rPr>
                <w:sz w:val="22"/>
                <w:lang w:val="uk-UA"/>
              </w:rPr>
              <w:t>2 232,24</w:t>
            </w:r>
          </w:p>
        </w:tc>
        <w:tc>
          <w:tcPr>
            <w:tcW w:w="1272"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Іноземні інвестиції</w:t>
            </w:r>
          </w:p>
        </w:tc>
        <w:tc>
          <w:tcPr>
            <w:tcW w:w="1324" w:type="dxa"/>
            <w:vMerge/>
            <w:tcBorders>
              <w:left w:val="single" w:sz="4" w:space="0" w:color="auto"/>
            </w:tcBorders>
          </w:tcPr>
          <w:p w:rsidR="00E95FB1" w:rsidRPr="001916D0" w:rsidRDefault="00E95FB1" w:rsidP="001B3967">
            <w:pPr>
              <w:pStyle w:val="a7"/>
              <w:ind w:left="0"/>
              <w:jc w:val="center"/>
              <w:rPr>
                <w:sz w:val="22"/>
                <w:highlight w:val="yellow"/>
                <w:lang w:val="uk-UA"/>
              </w:rPr>
            </w:pPr>
          </w:p>
        </w:tc>
      </w:tr>
    </w:tbl>
    <w:p w:rsidR="00E95FB1" w:rsidRPr="001916D0" w:rsidRDefault="00E95FB1" w:rsidP="00E95FB1">
      <w:pPr>
        <w:rPr>
          <w:sz w:val="22"/>
        </w:rPr>
      </w:pPr>
    </w:p>
    <w:p w:rsidR="00E95FB1" w:rsidRPr="001916D0" w:rsidRDefault="00E95FB1" w:rsidP="00E95FB1">
      <w:pPr>
        <w:rPr>
          <w:sz w:val="22"/>
        </w:rPr>
      </w:pPr>
    </w:p>
    <w:tbl>
      <w:tblPr>
        <w:tblStyle w:val="af"/>
        <w:tblW w:w="0" w:type="auto"/>
        <w:tblInd w:w="-176" w:type="dxa"/>
        <w:tblLook w:val="04A0" w:firstRow="1" w:lastRow="0" w:firstColumn="1" w:lastColumn="0" w:noHBand="0" w:noVBand="1"/>
      </w:tblPr>
      <w:tblGrid>
        <w:gridCol w:w="2716"/>
        <w:gridCol w:w="1705"/>
        <w:gridCol w:w="1264"/>
        <w:gridCol w:w="219"/>
        <w:gridCol w:w="1189"/>
        <w:gridCol w:w="789"/>
        <w:gridCol w:w="471"/>
        <w:gridCol w:w="1309"/>
      </w:tblGrid>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Оперативна ціль/завдання</w:t>
            </w:r>
          </w:p>
        </w:tc>
        <w:tc>
          <w:tcPr>
            <w:tcW w:w="7052" w:type="dxa"/>
            <w:gridSpan w:val="7"/>
            <w:shd w:val="clear" w:color="auto" w:fill="auto"/>
          </w:tcPr>
          <w:p w:rsidR="00E95FB1" w:rsidRPr="001916D0" w:rsidRDefault="00BD3223" w:rsidP="001B3967">
            <w:pPr>
              <w:pStyle w:val="a7"/>
              <w:ind w:left="0"/>
              <w:rPr>
                <w:sz w:val="22"/>
                <w:lang w:val="uk-UA"/>
              </w:rPr>
            </w:pPr>
            <w:r w:rsidRPr="001916D0">
              <w:rPr>
                <w:rFonts w:eastAsia="Arial"/>
                <w:sz w:val="22"/>
                <w:lang w:val="uk-UA"/>
              </w:rPr>
              <w:t>Комфорт життя ЛЮДИНИ як безпека, екологічна сталість та розумна енергетика. Громадська та інформаційна безпека території громади</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Назва проекту:</w:t>
            </w:r>
          </w:p>
        </w:tc>
        <w:tc>
          <w:tcPr>
            <w:tcW w:w="7052" w:type="dxa"/>
            <w:gridSpan w:val="7"/>
          </w:tcPr>
          <w:p w:rsidR="00E95FB1" w:rsidRPr="001916D0" w:rsidRDefault="00E95FB1" w:rsidP="001B3967">
            <w:pPr>
              <w:rPr>
                <w:sz w:val="22"/>
                <w:lang w:val="uk-UA"/>
              </w:rPr>
            </w:pPr>
            <w:r w:rsidRPr="001916D0">
              <w:rPr>
                <w:sz w:val="22"/>
                <w:lang w:val="uk-UA"/>
              </w:rPr>
              <w:t>Будівництво будівлі Сєвєродонецької міської територіальної громади (вул. 8-го Березня, буд. 2) для відновлення роботи окружної Сєвєродонецької прокуратури (Луганської обласної прокуратури)</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Ціль проекту</w:t>
            </w:r>
          </w:p>
        </w:tc>
        <w:tc>
          <w:tcPr>
            <w:tcW w:w="7052" w:type="dxa"/>
            <w:gridSpan w:val="7"/>
          </w:tcPr>
          <w:p w:rsidR="00E95FB1" w:rsidRPr="001916D0" w:rsidRDefault="00E95FB1" w:rsidP="001B3967">
            <w:pPr>
              <w:pStyle w:val="a7"/>
              <w:ind w:left="-83"/>
              <w:rPr>
                <w:sz w:val="22"/>
                <w:highlight w:val="yellow"/>
                <w:lang w:val="uk-UA"/>
              </w:rPr>
            </w:pPr>
            <w:r w:rsidRPr="001916D0">
              <w:rPr>
                <w:sz w:val="22"/>
                <w:lang w:val="uk-UA"/>
              </w:rPr>
              <w:t xml:space="preserve">Відновити та покращити роботу окружної Сєвєродонецької прокуратури (Луганської обласної прокуратури) для надання широкого спектру послуг, пов’язаних із </w:t>
            </w:r>
            <w:r w:rsidRPr="001916D0">
              <w:rPr>
                <w:color w:val="000000" w:themeColor="text1"/>
                <w:sz w:val="22"/>
                <w:shd w:val="clear" w:color="auto" w:fill="FFFFFF"/>
                <w:lang w:val="uk-UA"/>
              </w:rPr>
              <w:t xml:space="preserve">захистом прав і свобод людини, загальних інтересів суспільства та держави. </w:t>
            </w:r>
            <w:r w:rsidRPr="001916D0">
              <w:rPr>
                <w:sz w:val="22"/>
                <w:lang w:val="uk-UA"/>
              </w:rPr>
              <w:t xml:space="preserve">Забезпечення доступу Сєвєродонецької міської територіальної громади, установ, підприємств та організацій (не залежно від форм власності) та громадян до прокуратури з метою отримання низки послуг: підтримання державного обвинувачення в суді; представництво інтересів громадянина або держави в суді; нагляд за </w:t>
            </w:r>
            <w:r w:rsidRPr="001916D0">
              <w:rPr>
                <w:sz w:val="22"/>
                <w:lang w:val="uk-UA"/>
              </w:rPr>
              <w:lastRenderedPageBreak/>
              <w:t>додержанням законів органами, що провадять оперативно-розшукову діяльність, дізнання, досудове слідство; нагляд за додержанням законів при виконанні судових рішень у кримінальних справах.</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lastRenderedPageBreak/>
              <w:t>Територія, на яку матиме вплив реалізація проекту</w:t>
            </w:r>
          </w:p>
        </w:tc>
        <w:tc>
          <w:tcPr>
            <w:tcW w:w="7052" w:type="dxa"/>
            <w:gridSpan w:val="7"/>
          </w:tcPr>
          <w:p w:rsidR="00E95FB1" w:rsidRPr="001916D0" w:rsidRDefault="00E95FB1" w:rsidP="001B3967">
            <w:pPr>
              <w:pStyle w:val="a7"/>
              <w:ind w:left="0"/>
              <w:rPr>
                <w:sz w:val="22"/>
                <w:lang w:val="uk-UA"/>
              </w:rPr>
            </w:pPr>
            <w:r w:rsidRPr="001916D0">
              <w:rPr>
                <w:sz w:val="22"/>
                <w:lang w:val="uk-UA"/>
              </w:rPr>
              <w:t>Сєвєродонецька міська територіальна громада</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Чисельність населення, на яке матиме вплив реалізація проекту</w:t>
            </w:r>
          </w:p>
        </w:tc>
        <w:tc>
          <w:tcPr>
            <w:tcW w:w="7052" w:type="dxa"/>
            <w:gridSpan w:val="7"/>
          </w:tcPr>
          <w:p w:rsidR="00E95FB1" w:rsidRPr="001916D0" w:rsidRDefault="00E95FB1" w:rsidP="001B3967">
            <w:pPr>
              <w:pStyle w:val="a7"/>
              <w:ind w:left="0"/>
              <w:rPr>
                <w:sz w:val="22"/>
                <w:lang w:val="uk-UA"/>
              </w:rPr>
            </w:pPr>
            <w:r w:rsidRPr="001916D0">
              <w:rPr>
                <w:sz w:val="22"/>
                <w:lang w:val="uk-UA"/>
              </w:rPr>
              <w:t xml:space="preserve"> 70 000  осіб</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Опис проблеми, на вирішення якої  спрямований проект</w:t>
            </w:r>
          </w:p>
        </w:tc>
        <w:tc>
          <w:tcPr>
            <w:tcW w:w="7052" w:type="dxa"/>
            <w:gridSpan w:val="7"/>
          </w:tcPr>
          <w:p w:rsidR="00E95FB1" w:rsidRPr="001916D0" w:rsidRDefault="00E95FB1" w:rsidP="001B3967">
            <w:pPr>
              <w:ind w:firstLine="57"/>
              <w:rPr>
                <w:sz w:val="22"/>
                <w:lang w:val="uk-UA"/>
              </w:rPr>
            </w:pPr>
            <w:r w:rsidRPr="001916D0">
              <w:rPr>
                <w:sz w:val="22"/>
                <w:lang w:val="uk-UA"/>
              </w:rPr>
              <w:t>Через військову агресію РФ територія Сєвєродонецької міської територіальної громади зазнала значних пошкоджень. Будівлі, які перебувають в комунальній власності Сєвєродонецької міської територіальної громади, зруйновані або пошкоджені.</w:t>
            </w:r>
          </w:p>
          <w:p w:rsidR="00E95FB1" w:rsidRPr="001916D0" w:rsidRDefault="00E95FB1" w:rsidP="001B3967">
            <w:pPr>
              <w:ind w:firstLine="57"/>
              <w:rPr>
                <w:sz w:val="22"/>
                <w:lang w:val="uk-UA"/>
              </w:rPr>
            </w:pPr>
            <w:r w:rsidRPr="001916D0">
              <w:rPr>
                <w:sz w:val="22"/>
                <w:lang w:val="uk-UA"/>
              </w:rPr>
              <w:t>До 24.02.202</w:t>
            </w:r>
            <w:r w:rsidR="00BD3223" w:rsidRPr="001916D0">
              <w:rPr>
                <w:sz w:val="22"/>
                <w:lang w:val="uk-UA"/>
              </w:rPr>
              <w:t>2 року</w:t>
            </w:r>
            <w:r w:rsidRPr="001916D0">
              <w:rPr>
                <w:sz w:val="22"/>
                <w:lang w:val="uk-UA"/>
              </w:rPr>
              <w:t xml:space="preserve"> в двоповерховій адміністративній будівлі розміщувалася окружна Сєвєродонецька прокуратура (Луганська обласна прокуратура).</w:t>
            </w:r>
          </w:p>
          <w:p w:rsidR="00E95FB1" w:rsidRPr="001916D0" w:rsidRDefault="00E95FB1" w:rsidP="001B3967">
            <w:pPr>
              <w:ind w:firstLine="57"/>
              <w:rPr>
                <w:sz w:val="22"/>
                <w:highlight w:val="yellow"/>
                <w:lang w:val="uk-UA"/>
              </w:rPr>
            </w:pPr>
            <w:r w:rsidRPr="001916D0">
              <w:rPr>
                <w:sz w:val="22"/>
                <w:lang w:val="uk-UA"/>
              </w:rPr>
              <w:t xml:space="preserve">Адміністративна будівля площею 776,0 </w:t>
            </w:r>
            <w:proofErr w:type="spellStart"/>
            <w:r w:rsidRPr="001916D0">
              <w:rPr>
                <w:sz w:val="22"/>
                <w:lang w:val="uk-UA"/>
              </w:rPr>
              <w:t>кв.м</w:t>
            </w:r>
            <w:proofErr w:type="spellEnd"/>
            <w:r w:rsidRPr="001916D0">
              <w:rPr>
                <w:sz w:val="22"/>
                <w:lang w:val="uk-UA"/>
              </w:rPr>
              <w:t xml:space="preserve"> буда передана в оренду прокуратурі з метою підвищення ролі соціальних пріоритетів у використанні нерухомого майна, а саме: надання пропозицій з оренди об’єктів комунальної власності суб’єктам, що утримуються за рахунок коштів державного та місцевого бюджетів.</w:t>
            </w:r>
          </w:p>
          <w:p w:rsidR="00E95FB1" w:rsidRPr="001916D0" w:rsidRDefault="00E95FB1" w:rsidP="001B3967">
            <w:pPr>
              <w:ind w:firstLine="57"/>
              <w:rPr>
                <w:sz w:val="22"/>
                <w:highlight w:val="yellow"/>
                <w:lang w:val="uk-UA"/>
              </w:rPr>
            </w:pPr>
            <w:r w:rsidRPr="001916D0">
              <w:rPr>
                <w:sz w:val="22"/>
                <w:lang w:val="uk-UA"/>
              </w:rPr>
              <w:t>В адміністративну будівлю були прямі попадання снарядів, що призвело до повної її руйнації та займання будівлі.</w:t>
            </w:r>
          </w:p>
        </w:tc>
      </w:tr>
      <w:tr w:rsidR="00E95FB1" w:rsidRPr="001916D0" w:rsidTr="001B3967">
        <w:trPr>
          <w:trHeight w:val="4414"/>
        </w:trPr>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якісні результати від реалізації проекту</w:t>
            </w:r>
          </w:p>
        </w:tc>
        <w:tc>
          <w:tcPr>
            <w:tcW w:w="7052" w:type="dxa"/>
            <w:gridSpan w:val="7"/>
          </w:tcPr>
          <w:p w:rsidR="00E95FB1" w:rsidRPr="001916D0" w:rsidRDefault="00E95FB1" w:rsidP="001B3967">
            <w:pPr>
              <w:pStyle w:val="a7"/>
              <w:ind w:left="0"/>
              <w:rPr>
                <w:sz w:val="22"/>
                <w:lang w:val="uk-UA"/>
              </w:rPr>
            </w:pPr>
            <w:r w:rsidRPr="001916D0">
              <w:rPr>
                <w:sz w:val="22"/>
                <w:lang w:val="uk-UA"/>
              </w:rPr>
              <w:t>- забезпечення реалізації конституційних прав людини та громадянина на захист своїх прав та свобод, зокрема підтримання державного обвинувачення в суді; представництво інтересів громадянина або держави в суді; нагляд за додержанням законів органами, що провадять оперативно-розшукову діяльність, дізнання, досудове слідство; нагляд за додержанням законів при виконанні судових рішень у кримінальних справах;</w:t>
            </w:r>
          </w:p>
          <w:p w:rsidR="00E95FB1" w:rsidRPr="001916D0" w:rsidRDefault="00E95FB1" w:rsidP="001B3967">
            <w:pPr>
              <w:pStyle w:val="a7"/>
              <w:ind w:left="0"/>
              <w:rPr>
                <w:sz w:val="22"/>
                <w:lang w:val="uk-UA"/>
              </w:rPr>
            </w:pPr>
            <w:r w:rsidRPr="001916D0">
              <w:rPr>
                <w:sz w:val="22"/>
                <w:lang w:val="uk-UA"/>
              </w:rPr>
              <w:t>- забезпечення доступу Сєвєродонецької міської територіальної громади, установ, підприємств та організацій (не залежно від форм власності) та громадян до послуг щодо дотримання законності та верховенства права, які передбачені Законом України «Про прокуратуру»;</w:t>
            </w:r>
          </w:p>
          <w:p w:rsidR="00E95FB1" w:rsidRPr="001916D0" w:rsidRDefault="00E95FB1" w:rsidP="001B3967">
            <w:pPr>
              <w:pStyle w:val="a7"/>
              <w:ind w:left="0"/>
              <w:rPr>
                <w:sz w:val="22"/>
                <w:highlight w:val="yellow"/>
                <w:lang w:val="uk-UA"/>
              </w:rPr>
            </w:pPr>
            <w:r w:rsidRPr="001916D0">
              <w:rPr>
                <w:sz w:val="22"/>
                <w:lang w:val="uk-UA"/>
              </w:rPr>
              <w:t>- стимулювання ВПО та громадян Сєвєродонецької міської територіальної громади  до повернення</w:t>
            </w:r>
          </w:p>
        </w:tc>
      </w:tr>
      <w:tr w:rsidR="00E95FB1" w:rsidRPr="001916D0" w:rsidTr="001B3967">
        <w:trPr>
          <w:trHeight w:val="390"/>
        </w:trPr>
        <w:tc>
          <w:tcPr>
            <w:tcW w:w="2836"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Очікувані кількісні результати реалізації </w:t>
            </w:r>
            <w:proofErr w:type="spellStart"/>
            <w:r w:rsidRPr="001916D0">
              <w:rPr>
                <w:b/>
                <w:sz w:val="22"/>
                <w:lang w:val="uk-UA"/>
              </w:rPr>
              <w:t>проєкту</w:t>
            </w:r>
            <w:proofErr w:type="spellEnd"/>
            <w:r w:rsidRPr="001916D0">
              <w:rPr>
                <w:b/>
                <w:sz w:val="22"/>
                <w:lang w:val="uk-UA"/>
              </w:rPr>
              <w:t xml:space="preserve"> (індикатори)</w:t>
            </w:r>
          </w:p>
          <w:p w:rsidR="00E95FB1" w:rsidRPr="001916D0" w:rsidRDefault="00E95FB1" w:rsidP="001B3967">
            <w:pPr>
              <w:pStyle w:val="a7"/>
              <w:ind w:left="0"/>
              <w:rPr>
                <w:b/>
                <w:sz w:val="22"/>
                <w:lang w:val="uk-UA"/>
              </w:rPr>
            </w:pPr>
          </w:p>
        </w:tc>
        <w:tc>
          <w:tcPr>
            <w:tcW w:w="3260" w:type="dxa"/>
            <w:gridSpan w:val="3"/>
            <w:tcBorders>
              <w:bottom w:val="single" w:sz="4" w:space="0" w:color="auto"/>
              <w:right w:val="single" w:sz="4" w:space="0" w:color="auto"/>
            </w:tcBorders>
          </w:tcPr>
          <w:p w:rsidR="00E95FB1" w:rsidRPr="001916D0" w:rsidRDefault="00E95FB1" w:rsidP="001B3967">
            <w:pPr>
              <w:pStyle w:val="a7"/>
              <w:ind w:left="-108"/>
              <w:jc w:val="center"/>
              <w:rPr>
                <w:b/>
                <w:sz w:val="22"/>
                <w:lang w:val="uk-UA"/>
              </w:rPr>
            </w:pPr>
            <w:r w:rsidRPr="001916D0">
              <w:rPr>
                <w:b/>
                <w:sz w:val="22"/>
                <w:lang w:val="uk-UA"/>
              </w:rPr>
              <w:t>Найменування показника</w:t>
            </w:r>
          </w:p>
        </w:tc>
        <w:tc>
          <w:tcPr>
            <w:tcW w:w="1985" w:type="dxa"/>
            <w:gridSpan w:val="2"/>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Одиниця вимірювання</w:t>
            </w:r>
          </w:p>
          <w:p w:rsidR="00E95FB1" w:rsidRPr="001916D0" w:rsidRDefault="00E95FB1" w:rsidP="001B3967">
            <w:pPr>
              <w:pStyle w:val="a7"/>
              <w:ind w:left="0"/>
              <w:rPr>
                <w:b/>
                <w:sz w:val="22"/>
                <w:lang w:val="uk-UA"/>
              </w:rPr>
            </w:pPr>
          </w:p>
        </w:tc>
        <w:tc>
          <w:tcPr>
            <w:tcW w:w="1807" w:type="dxa"/>
            <w:gridSpan w:val="2"/>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Прогнозне (цільове) значення</w:t>
            </w:r>
          </w:p>
        </w:tc>
      </w:tr>
      <w:tr w:rsidR="00E95FB1" w:rsidRPr="001916D0" w:rsidTr="001B3967">
        <w:trPr>
          <w:trHeight w:val="39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260" w:type="dxa"/>
            <w:gridSpan w:val="3"/>
            <w:tcBorders>
              <w:bottom w:val="single" w:sz="4" w:space="0" w:color="auto"/>
              <w:right w:val="single" w:sz="4" w:space="0" w:color="auto"/>
            </w:tcBorders>
            <w:vAlign w:val="center"/>
          </w:tcPr>
          <w:p w:rsidR="00E95FB1" w:rsidRPr="001916D0" w:rsidRDefault="00E95FB1" w:rsidP="001B3967">
            <w:pPr>
              <w:pStyle w:val="a7"/>
              <w:ind w:left="-108"/>
              <w:jc w:val="center"/>
              <w:rPr>
                <w:sz w:val="22"/>
                <w:lang w:val="uk-UA"/>
              </w:rPr>
            </w:pPr>
            <w:r w:rsidRPr="001916D0">
              <w:rPr>
                <w:sz w:val="22"/>
                <w:lang w:val="uk-UA"/>
              </w:rPr>
              <w:t>Кількість звернень громадян щодо пошкодженого майна</w:t>
            </w:r>
          </w:p>
        </w:tc>
        <w:tc>
          <w:tcPr>
            <w:tcW w:w="1985" w:type="dxa"/>
            <w:gridSpan w:val="2"/>
            <w:tcBorders>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807" w:type="dxa"/>
            <w:gridSpan w:val="2"/>
            <w:tcBorders>
              <w:left w:val="single" w:sz="4" w:space="0" w:color="auto"/>
              <w:bottom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40 000</w:t>
            </w:r>
          </w:p>
        </w:tc>
      </w:tr>
      <w:tr w:rsidR="00E95FB1" w:rsidRPr="001916D0" w:rsidTr="001B3967">
        <w:trPr>
          <w:trHeight w:val="39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260" w:type="dxa"/>
            <w:gridSpan w:val="3"/>
            <w:tcBorders>
              <w:bottom w:val="single" w:sz="4" w:space="0" w:color="auto"/>
              <w:right w:val="single" w:sz="4" w:space="0" w:color="auto"/>
            </w:tcBorders>
            <w:vAlign w:val="center"/>
          </w:tcPr>
          <w:p w:rsidR="00E95FB1" w:rsidRPr="001916D0" w:rsidRDefault="00E95FB1" w:rsidP="001B3967">
            <w:pPr>
              <w:pStyle w:val="a7"/>
              <w:ind w:left="-108"/>
              <w:jc w:val="center"/>
              <w:rPr>
                <w:sz w:val="22"/>
                <w:lang w:val="uk-UA"/>
              </w:rPr>
            </w:pPr>
            <w:r w:rsidRPr="001916D0">
              <w:rPr>
                <w:sz w:val="22"/>
                <w:lang w:val="uk-UA"/>
              </w:rPr>
              <w:t>Кількість звернень щодо представництва у суді:</w:t>
            </w:r>
          </w:p>
          <w:p w:rsidR="00E95FB1" w:rsidRPr="001916D0" w:rsidRDefault="00E95FB1" w:rsidP="000303D7">
            <w:pPr>
              <w:pStyle w:val="a7"/>
              <w:numPr>
                <w:ilvl w:val="0"/>
                <w:numId w:val="67"/>
              </w:numPr>
              <w:ind w:left="-83" w:firstLine="0"/>
              <w:jc w:val="center"/>
              <w:rPr>
                <w:sz w:val="22"/>
                <w:lang w:val="uk-UA"/>
              </w:rPr>
            </w:pPr>
            <w:r w:rsidRPr="001916D0">
              <w:rPr>
                <w:sz w:val="22"/>
                <w:lang w:val="uk-UA"/>
              </w:rPr>
              <w:t>кількість юридичних осіб – держави;</w:t>
            </w:r>
          </w:p>
          <w:p w:rsidR="00E95FB1" w:rsidRPr="001916D0" w:rsidRDefault="00E95FB1" w:rsidP="000303D7">
            <w:pPr>
              <w:pStyle w:val="a7"/>
              <w:numPr>
                <w:ilvl w:val="0"/>
                <w:numId w:val="67"/>
              </w:numPr>
              <w:ind w:left="-83" w:firstLine="0"/>
              <w:jc w:val="center"/>
              <w:rPr>
                <w:sz w:val="22"/>
                <w:lang w:val="uk-UA"/>
              </w:rPr>
            </w:pPr>
            <w:r w:rsidRPr="001916D0">
              <w:rPr>
                <w:sz w:val="22"/>
                <w:lang w:val="uk-UA"/>
              </w:rPr>
              <w:t>кількість громадян.</w:t>
            </w:r>
          </w:p>
        </w:tc>
        <w:tc>
          <w:tcPr>
            <w:tcW w:w="1985" w:type="dxa"/>
            <w:gridSpan w:val="2"/>
            <w:tcBorders>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bCs/>
                <w:sz w:val="22"/>
                <w:szCs w:val="22"/>
                <w:lang w:val="uk-UA"/>
              </w:rPr>
            </w:pPr>
            <w:r w:rsidRPr="001916D0">
              <w:rPr>
                <w:sz w:val="22"/>
                <w:lang w:val="uk-UA"/>
              </w:rPr>
              <w:t>Одиниць</w:t>
            </w:r>
          </w:p>
          <w:p w:rsidR="00463034" w:rsidRPr="001916D0" w:rsidRDefault="00463034" w:rsidP="001B3967">
            <w:pPr>
              <w:pStyle w:val="a7"/>
              <w:ind w:left="0"/>
              <w:jc w:val="center"/>
              <w:rPr>
                <w:bCs/>
                <w:sz w:val="22"/>
                <w:szCs w:val="22"/>
                <w:lang w:val="uk-UA"/>
              </w:rPr>
            </w:pPr>
          </w:p>
          <w:p w:rsidR="00463034" w:rsidRPr="001916D0" w:rsidRDefault="00463034" w:rsidP="001B3967">
            <w:pPr>
              <w:pStyle w:val="a7"/>
              <w:ind w:left="0"/>
              <w:jc w:val="center"/>
              <w:rPr>
                <w:bCs/>
                <w:sz w:val="22"/>
                <w:szCs w:val="22"/>
                <w:lang w:val="uk-UA"/>
              </w:rPr>
            </w:pPr>
          </w:p>
          <w:p w:rsidR="00463034" w:rsidRPr="001916D0" w:rsidRDefault="00463034" w:rsidP="001B3967">
            <w:pPr>
              <w:pStyle w:val="a7"/>
              <w:ind w:left="0"/>
              <w:jc w:val="center"/>
              <w:rPr>
                <w:sz w:val="22"/>
                <w:lang w:val="uk-UA"/>
              </w:rPr>
            </w:pPr>
            <w:r w:rsidRPr="001916D0">
              <w:rPr>
                <w:bCs/>
                <w:sz w:val="22"/>
                <w:szCs w:val="22"/>
                <w:lang w:val="uk-UA"/>
              </w:rPr>
              <w:t>осіб</w:t>
            </w:r>
          </w:p>
        </w:tc>
        <w:tc>
          <w:tcPr>
            <w:tcW w:w="1807" w:type="dxa"/>
            <w:gridSpan w:val="2"/>
            <w:tcBorders>
              <w:left w:val="single" w:sz="4" w:space="0" w:color="auto"/>
              <w:bottom w:val="single" w:sz="4" w:space="0" w:color="auto"/>
            </w:tcBorders>
            <w:vAlign w:val="center"/>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r w:rsidRPr="001916D0">
              <w:rPr>
                <w:sz w:val="22"/>
                <w:lang w:val="uk-UA"/>
              </w:rPr>
              <w:t>20</w:t>
            </w:r>
          </w:p>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r w:rsidRPr="001916D0">
              <w:rPr>
                <w:sz w:val="22"/>
                <w:lang w:val="uk-UA"/>
              </w:rPr>
              <w:t>1 000</w:t>
            </w:r>
          </w:p>
        </w:tc>
      </w:tr>
      <w:tr w:rsidR="00E95FB1" w:rsidRPr="001916D0" w:rsidTr="001B3967">
        <w:trPr>
          <w:trHeight w:val="585"/>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260" w:type="dxa"/>
            <w:gridSpan w:val="3"/>
            <w:tcBorders>
              <w:top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Площа розміщень</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proofErr w:type="spellStart"/>
            <w:r w:rsidRPr="001916D0">
              <w:rPr>
                <w:sz w:val="22"/>
                <w:lang w:val="uk-UA"/>
              </w:rPr>
              <w:t>кв.м</w:t>
            </w:r>
            <w:proofErr w:type="spellEnd"/>
          </w:p>
        </w:tc>
        <w:tc>
          <w:tcPr>
            <w:tcW w:w="1807" w:type="dxa"/>
            <w:gridSpan w:val="2"/>
            <w:tcBorders>
              <w:top w:val="single" w:sz="4" w:space="0" w:color="auto"/>
              <w:left w:val="single" w:sz="4" w:space="0" w:color="auto"/>
              <w:bottom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776</w:t>
            </w:r>
          </w:p>
        </w:tc>
      </w:tr>
      <w:tr w:rsidR="00E95FB1" w:rsidRPr="001916D0" w:rsidTr="001B3967">
        <w:trPr>
          <w:trHeight w:val="184"/>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260" w:type="dxa"/>
            <w:gridSpan w:val="3"/>
            <w:tcBorders>
              <w:top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Площа приміщень до оренди</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proofErr w:type="spellStart"/>
            <w:r w:rsidRPr="001916D0">
              <w:rPr>
                <w:sz w:val="22"/>
                <w:lang w:val="uk-UA"/>
              </w:rPr>
              <w:t>кв.м</w:t>
            </w:r>
            <w:proofErr w:type="spellEnd"/>
          </w:p>
        </w:tc>
        <w:tc>
          <w:tcPr>
            <w:tcW w:w="1807" w:type="dxa"/>
            <w:gridSpan w:val="2"/>
            <w:tcBorders>
              <w:top w:val="single" w:sz="4" w:space="0" w:color="auto"/>
              <w:left w:val="single" w:sz="4" w:space="0" w:color="auto"/>
              <w:bottom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776</w:t>
            </w:r>
          </w:p>
        </w:tc>
      </w:tr>
      <w:tr w:rsidR="00E95FB1" w:rsidRPr="001916D0" w:rsidTr="001B3967">
        <w:trPr>
          <w:trHeight w:val="165"/>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260" w:type="dxa"/>
            <w:gridSpan w:val="3"/>
            <w:tcBorders>
              <w:top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Передача об’єктів комунальної власності в оренду, укладання договорів оренди</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807" w:type="dxa"/>
            <w:gridSpan w:val="2"/>
            <w:tcBorders>
              <w:top w:val="single" w:sz="4" w:space="0" w:color="auto"/>
              <w:left w:val="single" w:sz="4" w:space="0" w:color="auto"/>
              <w:bottom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rPr>
          <w:trHeight w:val="15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260" w:type="dxa"/>
            <w:gridSpan w:val="3"/>
            <w:tcBorders>
              <w:top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підвищення ролі соціальних пріоритетів у використанні нерухомого майна, а саме: надання пропозицій з оренди об’єктів комунальної власності суб’єктам, що утримуються за рахунок коштів державного та місцевого бюджетів</w:t>
            </w:r>
          </w:p>
        </w:tc>
        <w:tc>
          <w:tcPr>
            <w:tcW w:w="1985" w:type="dxa"/>
            <w:gridSpan w:val="2"/>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807" w:type="dxa"/>
            <w:gridSpan w:val="2"/>
            <w:tcBorders>
              <w:top w:val="single" w:sz="4" w:space="0" w:color="auto"/>
              <w:lef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 xml:space="preserve">Ключові заходи проекту: </w:t>
            </w:r>
          </w:p>
          <w:p w:rsidR="00E95FB1" w:rsidRPr="001916D0" w:rsidRDefault="00E95FB1" w:rsidP="001B3967">
            <w:pPr>
              <w:pStyle w:val="a7"/>
              <w:ind w:left="0"/>
              <w:rPr>
                <w:b/>
                <w:sz w:val="22"/>
                <w:lang w:val="uk-UA"/>
              </w:rPr>
            </w:pPr>
          </w:p>
        </w:tc>
        <w:tc>
          <w:tcPr>
            <w:tcW w:w="7052" w:type="dxa"/>
            <w:gridSpan w:val="7"/>
          </w:tcPr>
          <w:p w:rsidR="00E95FB1" w:rsidRPr="001916D0" w:rsidRDefault="00E95FB1" w:rsidP="001B3967">
            <w:pPr>
              <w:pStyle w:val="a7"/>
              <w:ind w:left="0"/>
              <w:rPr>
                <w:sz w:val="22"/>
                <w:lang w:val="uk-UA"/>
              </w:rPr>
            </w:pPr>
            <w:r w:rsidRPr="001916D0">
              <w:rPr>
                <w:sz w:val="22"/>
                <w:lang w:val="uk-UA"/>
              </w:rPr>
              <w:t xml:space="preserve">- виконання містобудівного розрахунку на нове будівництво адміністративної двоповерхової будівлі; </w:t>
            </w:r>
          </w:p>
          <w:p w:rsidR="00E95FB1" w:rsidRPr="001916D0" w:rsidRDefault="00E95FB1" w:rsidP="001B3967">
            <w:pPr>
              <w:pStyle w:val="a7"/>
              <w:ind w:left="0"/>
              <w:rPr>
                <w:sz w:val="22"/>
                <w:lang w:val="uk-UA"/>
              </w:rPr>
            </w:pPr>
            <w:r w:rsidRPr="001916D0">
              <w:rPr>
                <w:sz w:val="22"/>
                <w:lang w:val="uk-UA"/>
              </w:rPr>
              <w:t xml:space="preserve">- виготовлення </w:t>
            </w:r>
            <w:proofErr w:type="spellStart"/>
            <w:r w:rsidRPr="001916D0">
              <w:rPr>
                <w:sz w:val="22"/>
                <w:lang w:val="uk-UA"/>
              </w:rPr>
              <w:t>про</w:t>
            </w:r>
            <w:r w:rsidR="00BD3223" w:rsidRPr="001916D0">
              <w:rPr>
                <w:sz w:val="22"/>
                <w:lang w:val="uk-UA"/>
              </w:rPr>
              <w:t>є</w:t>
            </w:r>
            <w:r w:rsidRPr="001916D0">
              <w:rPr>
                <w:sz w:val="22"/>
                <w:lang w:val="uk-UA"/>
              </w:rPr>
              <w:t>ктно</w:t>
            </w:r>
            <w:proofErr w:type="spellEnd"/>
            <w:r w:rsidRPr="001916D0">
              <w:rPr>
                <w:sz w:val="22"/>
                <w:lang w:val="uk-UA"/>
              </w:rPr>
              <w:t>-кошторисної документації по об’єкту: «Нове будівництво адміністративної двоповерхової будівлі»;</w:t>
            </w:r>
          </w:p>
          <w:p w:rsidR="00E95FB1" w:rsidRPr="001916D0" w:rsidRDefault="00E95FB1" w:rsidP="001B3967">
            <w:pPr>
              <w:pStyle w:val="a7"/>
              <w:ind w:left="0"/>
              <w:rPr>
                <w:sz w:val="22"/>
                <w:lang w:val="uk-UA"/>
              </w:rPr>
            </w:pPr>
            <w:r w:rsidRPr="001916D0">
              <w:rPr>
                <w:sz w:val="22"/>
                <w:lang w:val="uk-UA"/>
              </w:rPr>
              <w:t xml:space="preserve">- виготовлення </w:t>
            </w:r>
            <w:proofErr w:type="spellStart"/>
            <w:r w:rsidRPr="001916D0">
              <w:rPr>
                <w:sz w:val="22"/>
                <w:lang w:val="uk-UA"/>
              </w:rPr>
              <w:t>про</w:t>
            </w:r>
            <w:r w:rsidR="00BD3223" w:rsidRPr="001916D0">
              <w:rPr>
                <w:sz w:val="22"/>
                <w:lang w:val="uk-UA"/>
              </w:rPr>
              <w:t>є</w:t>
            </w:r>
            <w:r w:rsidRPr="001916D0">
              <w:rPr>
                <w:sz w:val="22"/>
                <w:lang w:val="uk-UA"/>
              </w:rPr>
              <w:t>ктно</w:t>
            </w:r>
            <w:proofErr w:type="spellEnd"/>
            <w:r w:rsidRPr="001916D0">
              <w:rPr>
                <w:sz w:val="22"/>
                <w:lang w:val="uk-UA"/>
              </w:rPr>
              <w:t xml:space="preserve">-кошторисної документації по об'єкту «Нове будівництво бомбосховища з </w:t>
            </w:r>
            <w:proofErr w:type="spellStart"/>
            <w:r w:rsidRPr="001916D0">
              <w:rPr>
                <w:sz w:val="22"/>
                <w:lang w:val="uk-UA"/>
              </w:rPr>
              <w:t>благоустроєм</w:t>
            </w:r>
            <w:proofErr w:type="spellEnd"/>
            <w:r w:rsidRPr="001916D0">
              <w:rPr>
                <w:sz w:val="22"/>
                <w:lang w:val="uk-UA"/>
              </w:rPr>
              <w:t xml:space="preserve"> прилеглої території»; </w:t>
            </w:r>
          </w:p>
          <w:p w:rsidR="00E95FB1" w:rsidRPr="001916D0" w:rsidRDefault="00E95FB1" w:rsidP="001B3967">
            <w:pPr>
              <w:pStyle w:val="a7"/>
              <w:ind w:left="0"/>
              <w:rPr>
                <w:sz w:val="22"/>
                <w:lang w:val="uk-UA"/>
              </w:rPr>
            </w:pPr>
            <w:r w:rsidRPr="001916D0">
              <w:rPr>
                <w:sz w:val="22"/>
                <w:lang w:val="uk-UA"/>
              </w:rPr>
              <w:t>- пошук інвестора;</w:t>
            </w:r>
          </w:p>
          <w:p w:rsidR="00E95FB1" w:rsidRPr="001916D0" w:rsidRDefault="00E95FB1" w:rsidP="001B3967">
            <w:pPr>
              <w:pStyle w:val="a7"/>
              <w:ind w:left="0"/>
              <w:rPr>
                <w:sz w:val="22"/>
                <w:lang w:val="uk-UA"/>
              </w:rPr>
            </w:pPr>
            <w:r w:rsidRPr="001916D0">
              <w:rPr>
                <w:sz w:val="22"/>
                <w:lang w:val="uk-UA"/>
              </w:rPr>
              <w:t>- пошук підрядної організації;</w:t>
            </w:r>
          </w:p>
          <w:p w:rsidR="00E95FB1" w:rsidRPr="001916D0" w:rsidRDefault="00E95FB1" w:rsidP="001B3967">
            <w:pPr>
              <w:pStyle w:val="a7"/>
              <w:ind w:left="0"/>
              <w:rPr>
                <w:sz w:val="22"/>
                <w:lang w:val="uk-UA"/>
              </w:rPr>
            </w:pPr>
            <w:r w:rsidRPr="001916D0">
              <w:rPr>
                <w:sz w:val="22"/>
                <w:lang w:val="uk-UA"/>
              </w:rPr>
              <w:t>- будівництво автономної міні-котельні на твердому паливі та пошук підрядної організації для реалізації цього;</w:t>
            </w:r>
          </w:p>
          <w:p w:rsidR="00E95FB1" w:rsidRPr="001916D0" w:rsidRDefault="00E95FB1" w:rsidP="001B3967">
            <w:pPr>
              <w:pStyle w:val="a7"/>
              <w:ind w:left="0"/>
              <w:rPr>
                <w:sz w:val="22"/>
                <w:lang w:val="uk-UA"/>
              </w:rPr>
            </w:pPr>
            <w:r w:rsidRPr="001916D0">
              <w:rPr>
                <w:sz w:val="22"/>
                <w:lang w:val="uk-UA"/>
              </w:rPr>
              <w:t>- проведення будівництва, внутрішнього ремонту  адміністративної будівлі, встановлення вікон, вхідної двері, обладнання пандусу, оснащення санвузлів тощо;</w:t>
            </w:r>
          </w:p>
          <w:p w:rsidR="00E95FB1" w:rsidRPr="001916D0" w:rsidRDefault="00E95FB1" w:rsidP="001B3967">
            <w:pPr>
              <w:pStyle w:val="a7"/>
              <w:ind w:left="0"/>
              <w:rPr>
                <w:sz w:val="22"/>
                <w:highlight w:val="yellow"/>
                <w:lang w:val="uk-UA"/>
              </w:rPr>
            </w:pPr>
            <w:r w:rsidRPr="001916D0">
              <w:rPr>
                <w:sz w:val="22"/>
                <w:lang w:val="uk-UA"/>
              </w:rPr>
              <w:t>-  організація та початок роботи окружної Сєвєродонецької прокуратури (Луганської обласної прокуратури) шляхом передачі об’єкта в оренду.</w:t>
            </w:r>
          </w:p>
        </w:tc>
      </w:tr>
      <w:tr w:rsidR="00E95FB1" w:rsidRPr="001916D0" w:rsidTr="001B3967">
        <w:trPr>
          <w:trHeight w:val="360"/>
        </w:trPr>
        <w:tc>
          <w:tcPr>
            <w:tcW w:w="2836"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Орієнтовний обсяг та джерела фінансування, тис. грн. </w:t>
            </w:r>
          </w:p>
          <w:p w:rsidR="00E95FB1" w:rsidRPr="001916D0" w:rsidRDefault="00E95FB1" w:rsidP="001B3967">
            <w:pPr>
              <w:pStyle w:val="a7"/>
              <w:ind w:left="0"/>
              <w:rPr>
                <w:b/>
                <w:sz w:val="22"/>
                <w:lang w:val="uk-UA"/>
              </w:rPr>
            </w:pPr>
          </w:p>
        </w:tc>
        <w:tc>
          <w:tcPr>
            <w:tcW w:w="1744"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Державний бюджет</w:t>
            </w:r>
          </w:p>
        </w:tc>
        <w:tc>
          <w:tcPr>
            <w:tcW w:w="1273"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Місцевий бюджет</w:t>
            </w:r>
          </w:p>
        </w:tc>
        <w:tc>
          <w:tcPr>
            <w:tcW w:w="2711" w:type="dxa"/>
            <w:gridSpan w:val="4"/>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Інші джерела</w:t>
            </w:r>
          </w:p>
        </w:tc>
        <w:tc>
          <w:tcPr>
            <w:tcW w:w="1324" w:type="dxa"/>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Всього</w:t>
            </w:r>
          </w:p>
        </w:tc>
      </w:tr>
      <w:tr w:rsidR="00E95FB1" w:rsidRPr="001916D0" w:rsidTr="001B3967">
        <w:trPr>
          <w:trHeight w:val="225"/>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1744" w:type="dxa"/>
            <w:vMerge w:val="restart"/>
            <w:tcBorders>
              <w:top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sz w:val="22"/>
                <w:lang w:val="uk-UA"/>
              </w:rPr>
              <w:t>19 827,23</w:t>
            </w:r>
          </w:p>
        </w:tc>
        <w:tc>
          <w:tcPr>
            <w:tcW w:w="1273" w:type="dxa"/>
            <w:vMerge w:val="restart"/>
            <w:tcBorders>
              <w:top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w:t>
            </w:r>
          </w:p>
        </w:tc>
        <w:tc>
          <w:tcPr>
            <w:tcW w:w="1439"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Обсяг</w:t>
            </w:r>
          </w:p>
        </w:tc>
        <w:tc>
          <w:tcPr>
            <w:tcW w:w="1272"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Джерела</w:t>
            </w:r>
          </w:p>
        </w:tc>
        <w:tc>
          <w:tcPr>
            <w:tcW w:w="1324" w:type="dxa"/>
            <w:vMerge w:val="restart"/>
            <w:tcBorders>
              <w:top w:val="single" w:sz="4" w:space="0" w:color="auto"/>
              <w:left w:val="single" w:sz="4" w:space="0" w:color="auto"/>
            </w:tcBorders>
          </w:tcPr>
          <w:p w:rsidR="00E95FB1" w:rsidRPr="001916D0" w:rsidRDefault="00E95FB1" w:rsidP="001B3967">
            <w:pPr>
              <w:jc w:val="center"/>
              <w:rPr>
                <w:color w:val="000000"/>
                <w:sz w:val="22"/>
                <w:lang w:val="uk-UA"/>
              </w:rPr>
            </w:pPr>
            <w:r w:rsidRPr="001916D0">
              <w:rPr>
                <w:color w:val="000000"/>
                <w:sz w:val="22"/>
                <w:lang w:val="uk-UA"/>
              </w:rPr>
              <w:t xml:space="preserve">28 324, 61 </w:t>
            </w:r>
          </w:p>
          <w:p w:rsidR="00E95FB1" w:rsidRPr="001916D0" w:rsidRDefault="00E95FB1" w:rsidP="001B3967">
            <w:pPr>
              <w:pStyle w:val="a7"/>
              <w:ind w:left="-157" w:right="-86"/>
              <w:jc w:val="center"/>
              <w:rPr>
                <w:sz w:val="22"/>
                <w:highlight w:val="yellow"/>
                <w:lang w:val="uk-UA"/>
              </w:rPr>
            </w:pPr>
          </w:p>
        </w:tc>
      </w:tr>
      <w:tr w:rsidR="00E95FB1" w:rsidRPr="001916D0" w:rsidTr="001B3967">
        <w:trPr>
          <w:trHeight w:val="30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1744" w:type="dxa"/>
            <w:vMerge/>
            <w:tcBorders>
              <w:right w:val="single" w:sz="4" w:space="0" w:color="auto"/>
            </w:tcBorders>
          </w:tcPr>
          <w:p w:rsidR="00E95FB1" w:rsidRPr="001916D0" w:rsidRDefault="00E95FB1" w:rsidP="001B3967">
            <w:pPr>
              <w:pStyle w:val="a7"/>
              <w:ind w:left="0"/>
              <w:jc w:val="center"/>
              <w:rPr>
                <w:sz w:val="22"/>
                <w:lang w:val="uk-UA"/>
              </w:rPr>
            </w:pPr>
          </w:p>
        </w:tc>
        <w:tc>
          <w:tcPr>
            <w:tcW w:w="1273" w:type="dxa"/>
            <w:vMerge/>
            <w:tcBorders>
              <w:right w:val="single" w:sz="4" w:space="0" w:color="auto"/>
            </w:tcBorders>
          </w:tcPr>
          <w:p w:rsidR="00E95FB1" w:rsidRPr="001916D0" w:rsidRDefault="00E95FB1" w:rsidP="001B3967">
            <w:pPr>
              <w:pStyle w:val="a7"/>
              <w:ind w:left="0"/>
              <w:jc w:val="center"/>
              <w:rPr>
                <w:b/>
                <w:sz w:val="22"/>
                <w:lang w:val="uk-UA"/>
              </w:rPr>
            </w:pPr>
          </w:p>
        </w:tc>
        <w:tc>
          <w:tcPr>
            <w:tcW w:w="1439" w:type="dxa"/>
            <w:gridSpan w:val="2"/>
            <w:tcBorders>
              <w:top w:val="single" w:sz="4" w:space="0" w:color="auto"/>
              <w:left w:val="single" w:sz="4" w:space="0" w:color="auto"/>
              <w:right w:val="single" w:sz="4" w:space="0" w:color="auto"/>
            </w:tcBorders>
          </w:tcPr>
          <w:p w:rsidR="00E95FB1" w:rsidRPr="001916D0" w:rsidRDefault="00E95FB1" w:rsidP="001B3967">
            <w:pPr>
              <w:jc w:val="center"/>
              <w:rPr>
                <w:color w:val="000000"/>
                <w:sz w:val="22"/>
                <w:lang w:val="uk-UA"/>
              </w:rPr>
            </w:pPr>
            <w:r w:rsidRPr="001916D0">
              <w:rPr>
                <w:color w:val="000000"/>
                <w:sz w:val="22"/>
                <w:lang w:val="uk-UA"/>
              </w:rPr>
              <w:t>8 497,38</w:t>
            </w:r>
          </w:p>
          <w:p w:rsidR="00E95FB1" w:rsidRPr="001916D0" w:rsidRDefault="00E95FB1" w:rsidP="001B3967">
            <w:pPr>
              <w:pStyle w:val="a7"/>
              <w:ind w:left="-108" w:right="-78"/>
              <w:jc w:val="center"/>
              <w:rPr>
                <w:b/>
                <w:sz w:val="22"/>
                <w:lang w:val="uk-UA"/>
              </w:rPr>
            </w:pPr>
          </w:p>
        </w:tc>
        <w:tc>
          <w:tcPr>
            <w:tcW w:w="1272"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Іноземні інвестиції</w:t>
            </w:r>
          </w:p>
        </w:tc>
        <w:tc>
          <w:tcPr>
            <w:tcW w:w="1324" w:type="dxa"/>
            <w:vMerge/>
            <w:tcBorders>
              <w:left w:val="single" w:sz="4" w:space="0" w:color="auto"/>
            </w:tcBorders>
          </w:tcPr>
          <w:p w:rsidR="00E95FB1" w:rsidRPr="001916D0" w:rsidRDefault="00E95FB1" w:rsidP="001B3967">
            <w:pPr>
              <w:pStyle w:val="a7"/>
              <w:ind w:left="0"/>
              <w:jc w:val="center"/>
              <w:rPr>
                <w:sz w:val="22"/>
                <w:highlight w:val="yellow"/>
                <w:lang w:val="uk-UA"/>
              </w:rPr>
            </w:pPr>
          </w:p>
        </w:tc>
      </w:tr>
    </w:tbl>
    <w:p w:rsidR="00E95FB1" w:rsidRPr="001916D0" w:rsidRDefault="00E95FB1" w:rsidP="00E95FB1">
      <w:pPr>
        <w:rPr>
          <w:sz w:val="22"/>
          <w:lang w:val="en-US"/>
        </w:rPr>
      </w:pPr>
    </w:p>
    <w:p w:rsidR="00840C91" w:rsidRPr="001916D0" w:rsidRDefault="00840C91" w:rsidP="00E95FB1">
      <w:pPr>
        <w:rPr>
          <w:sz w:val="22"/>
          <w:lang w:val="en-US"/>
        </w:rPr>
      </w:pPr>
    </w:p>
    <w:p w:rsidR="00840C91" w:rsidRPr="001916D0" w:rsidRDefault="00840C91" w:rsidP="00E95FB1">
      <w:pPr>
        <w:rPr>
          <w:sz w:val="22"/>
          <w:lang w:val="en-US"/>
        </w:rPr>
      </w:pPr>
    </w:p>
    <w:tbl>
      <w:tblPr>
        <w:tblStyle w:val="af"/>
        <w:tblW w:w="0" w:type="auto"/>
        <w:tblInd w:w="-176" w:type="dxa"/>
        <w:tblLook w:val="04A0" w:firstRow="1" w:lastRow="0" w:firstColumn="1" w:lastColumn="0" w:noHBand="0" w:noVBand="1"/>
      </w:tblPr>
      <w:tblGrid>
        <w:gridCol w:w="2730"/>
        <w:gridCol w:w="1869"/>
        <w:gridCol w:w="1372"/>
        <w:gridCol w:w="329"/>
        <w:gridCol w:w="645"/>
        <w:gridCol w:w="1073"/>
        <w:gridCol w:w="255"/>
        <w:gridCol w:w="1389"/>
      </w:tblGrid>
      <w:tr w:rsidR="00840C91" w:rsidRPr="001916D0" w:rsidTr="00840C91">
        <w:tc>
          <w:tcPr>
            <w:tcW w:w="2836" w:type="dxa"/>
            <w:shd w:val="clear" w:color="auto" w:fill="C6D9F1" w:themeFill="text2" w:themeFillTint="33"/>
          </w:tcPr>
          <w:p w:rsidR="00840C91" w:rsidRPr="001916D0" w:rsidRDefault="00840C91" w:rsidP="00E77635">
            <w:pPr>
              <w:pStyle w:val="a7"/>
              <w:ind w:left="0"/>
              <w:rPr>
                <w:b/>
                <w:sz w:val="22"/>
              </w:rPr>
            </w:pPr>
            <w:r w:rsidRPr="001916D0">
              <w:rPr>
                <w:b/>
                <w:sz w:val="22"/>
              </w:rPr>
              <w:t xml:space="preserve">Оперативна </w:t>
            </w:r>
            <w:proofErr w:type="spellStart"/>
            <w:r w:rsidRPr="001916D0">
              <w:rPr>
                <w:b/>
                <w:sz w:val="22"/>
              </w:rPr>
              <w:t>ціль</w:t>
            </w:r>
            <w:proofErr w:type="spellEnd"/>
            <w:r w:rsidRPr="001916D0">
              <w:rPr>
                <w:b/>
                <w:sz w:val="22"/>
              </w:rPr>
              <w:t>/</w:t>
            </w:r>
            <w:proofErr w:type="spellStart"/>
            <w:r w:rsidRPr="001916D0">
              <w:rPr>
                <w:b/>
                <w:sz w:val="22"/>
              </w:rPr>
              <w:t>завдання</w:t>
            </w:r>
            <w:proofErr w:type="spellEnd"/>
          </w:p>
        </w:tc>
        <w:tc>
          <w:tcPr>
            <w:tcW w:w="7052" w:type="dxa"/>
            <w:gridSpan w:val="7"/>
            <w:shd w:val="clear" w:color="auto" w:fill="auto"/>
          </w:tcPr>
          <w:p w:rsidR="00840C91" w:rsidRPr="001916D0" w:rsidRDefault="00840C91" w:rsidP="00E77635">
            <w:pPr>
              <w:pStyle w:val="a7"/>
              <w:ind w:left="0"/>
              <w:rPr>
                <w:sz w:val="22"/>
              </w:rPr>
            </w:pPr>
            <w:r w:rsidRPr="001916D0">
              <w:rPr>
                <w:rFonts w:eastAsia="Arial"/>
                <w:sz w:val="22"/>
                <w:lang w:val="en-US"/>
              </w:rPr>
              <w:t>SMART</w:t>
            </w:r>
            <w:r w:rsidRPr="001916D0">
              <w:rPr>
                <w:rFonts w:eastAsia="Arial"/>
                <w:sz w:val="22"/>
              </w:rPr>
              <w:t xml:space="preserve"> – </w:t>
            </w:r>
            <w:proofErr w:type="spellStart"/>
            <w:r w:rsidRPr="001916D0">
              <w:rPr>
                <w:rFonts w:eastAsia="Arial"/>
                <w:sz w:val="22"/>
              </w:rPr>
              <w:t>трансформація</w:t>
            </w:r>
            <w:proofErr w:type="spellEnd"/>
            <w:r w:rsidRPr="001916D0">
              <w:rPr>
                <w:rFonts w:eastAsia="Arial"/>
                <w:sz w:val="22"/>
              </w:rPr>
              <w:t xml:space="preserve"> </w:t>
            </w:r>
            <w:proofErr w:type="spellStart"/>
            <w:r w:rsidRPr="001916D0">
              <w:rPr>
                <w:rFonts w:eastAsia="Arial"/>
                <w:sz w:val="22"/>
              </w:rPr>
              <w:t>економіки</w:t>
            </w:r>
            <w:proofErr w:type="spellEnd"/>
            <w:r w:rsidRPr="001916D0">
              <w:rPr>
                <w:rFonts w:eastAsia="Arial"/>
                <w:sz w:val="22"/>
              </w:rPr>
              <w:t xml:space="preserve"> та </w:t>
            </w:r>
            <w:proofErr w:type="spellStart"/>
            <w:r w:rsidRPr="001916D0">
              <w:rPr>
                <w:rFonts w:eastAsia="Arial"/>
                <w:sz w:val="22"/>
              </w:rPr>
              <w:t>відновлення</w:t>
            </w:r>
            <w:proofErr w:type="spellEnd"/>
            <w:r w:rsidRPr="001916D0">
              <w:rPr>
                <w:rFonts w:eastAsia="Arial"/>
                <w:sz w:val="22"/>
              </w:rPr>
              <w:t xml:space="preserve"> </w:t>
            </w:r>
            <w:proofErr w:type="spellStart"/>
            <w:r w:rsidRPr="001916D0">
              <w:rPr>
                <w:rFonts w:eastAsia="Arial"/>
                <w:sz w:val="22"/>
              </w:rPr>
              <w:t>інвестиційної</w:t>
            </w:r>
            <w:proofErr w:type="spellEnd"/>
            <w:r w:rsidRPr="001916D0">
              <w:rPr>
                <w:rFonts w:eastAsia="Arial"/>
                <w:sz w:val="22"/>
              </w:rPr>
              <w:t xml:space="preserve"> </w:t>
            </w:r>
            <w:proofErr w:type="spellStart"/>
            <w:r w:rsidRPr="001916D0">
              <w:rPr>
                <w:rFonts w:eastAsia="Arial"/>
                <w:sz w:val="22"/>
              </w:rPr>
              <w:t>привабливості</w:t>
            </w:r>
            <w:proofErr w:type="spellEnd"/>
            <w:r w:rsidRPr="001916D0">
              <w:rPr>
                <w:rFonts w:eastAsia="Arial"/>
                <w:sz w:val="22"/>
              </w:rPr>
              <w:t xml:space="preserve"> </w:t>
            </w:r>
            <w:proofErr w:type="spellStart"/>
            <w:r w:rsidRPr="001916D0">
              <w:rPr>
                <w:rFonts w:eastAsia="Arial"/>
                <w:sz w:val="22"/>
              </w:rPr>
              <w:t>громади</w:t>
            </w:r>
            <w:proofErr w:type="spellEnd"/>
            <w:r w:rsidRPr="001916D0">
              <w:rPr>
                <w:rFonts w:eastAsia="Arial"/>
                <w:sz w:val="22"/>
              </w:rPr>
              <w:t xml:space="preserve">. Маркетинг </w:t>
            </w:r>
            <w:proofErr w:type="spellStart"/>
            <w:r w:rsidRPr="001916D0">
              <w:rPr>
                <w:rFonts w:eastAsia="Arial"/>
                <w:sz w:val="22"/>
              </w:rPr>
              <w:t>території</w:t>
            </w:r>
            <w:proofErr w:type="spellEnd"/>
            <w:r w:rsidRPr="001916D0">
              <w:rPr>
                <w:rFonts w:eastAsia="Arial"/>
                <w:sz w:val="22"/>
              </w:rPr>
              <w:t xml:space="preserve"> </w:t>
            </w:r>
            <w:proofErr w:type="spellStart"/>
            <w:r w:rsidRPr="001916D0">
              <w:rPr>
                <w:rFonts w:eastAsia="Arial"/>
                <w:sz w:val="22"/>
              </w:rPr>
              <w:t>громади</w:t>
            </w:r>
            <w:proofErr w:type="spellEnd"/>
            <w:r w:rsidRPr="001916D0">
              <w:rPr>
                <w:rFonts w:eastAsia="Arial"/>
                <w:sz w:val="22"/>
              </w:rPr>
              <w:t xml:space="preserve"> та </w:t>
            </w:r>
            <w:proofErr w:type="spellStart"/>
            <w:r w:rsidRPr="001916D0">
              <w:rPr>
                <w:rFonts w:eastAsia="Arial"/>
                <w:sz w:val="22"/>
              </w:rPr>
              <w:t>залучення</w:t>
            </w:r>
            <w:proofErr w:type="spellEnd"/>
            <w:r w:rsidRPr="001916D0">
              <w:rPr>
                <w:rFonts w:eastAsia="Arial"/>
                <w:sz w:val="22"/>
              </w:rPr>
              <w:t xml:space="preserve"> </w:t>
            </w:r>
            <w:proofErr w:type="spellStart"/>
            <w:r w:rsidRPr="001916D0">
              <w:rPr>
                <w:rFonts w:eastAsia="Arial"/>
                <w:sz w:val="22"/>
              </w:rPr>
              <w:t>інвестицій</w:t>
            </w:r>
            <w:proofErr w:type="spellEnd"/>
            <w:r w:rsidRPr="001916D0">
              <w:rPr>
                <w:sz w:val="22"/>
              </w:rPr>
              <w:t xml:space="preserve"> </w:t>
            </w:r>
          </w:p>
        </w:tc>
      </w:tr>
      <w:tr w:rsidR="00840C91" w:rsidRPr="001916D0" w:rsidTr="00840C91">
        <w:tc>
          <w:tcPr>
            <w:tcW w:w="2836" w:type="dxa"/>
            <w:shd w:val="clear" w:color="auto" w:fill="C6D9F1" w:themeFill="text2" w:themeFillTint="33"/>
          </w:tcPr>
          <w:p w:rsidR="00840C91" w:rsidRPr="001916D0" w:rsidRDefault="00840C91" w:rsidP="00E77635">
            <w:pPr>
              <w:pStyle w:val="a7"/>
              <w:ind w:left="0"/>
              <w:rPr>
                <w:b/>
                <w:sz w:val="22"/>
              </w:rPr>
            </w:pPr>
            <w:proofErr w:type="spellStart"/>
            <w:r w:rsidRPr="001916D0">
              <w:rPr>
                <w:b/>
                <w:sz w:val="22"/>
              </w:rPr>
              <w:t>Назва</w:t>
            </w:r>
            <w:proofErr w:type="spellEnd"/>
            <w:r w:rsidRPr="001916D0">
              <w:rPr>
                <w:b/>
                <w:sz w:val="22"/>
              </w:rPr>
              <w:t xml:space="preserve"> проекту:</w:t>
            </w:r>
          </w:p>
        </w:tc>
        <w:tc>
          <w:tcPr>
            <w:tcW w:w="7052" w:type="dxa"/>
            <w:gridSpan w:val="7"/>
          </w:tcPr>
          <w:p w:rsidR="00840C91" w:rsidRPr="001916D0" w:rsidRDefault="00840C91" w:rsidP="00E77635">
            <w:pPr>
              <w:pStyle w:val="a7"/>
              <w:ind w:left="0"/>
              <w:rPr>
                <w:sz w:val="22"/>
              </w:rPr>
            </w:pPr>
            <w:proofErr w:type="spellStart"/>
            <w:r w:rsidRPr="001916D0">
              <w:rPr>
                <w:sz w:val="22"/>
              </w:rPr>
              <w:t>Відновлення</w:t>
            </w:r>
            <w:proofErr w:type="spellEnd"/>
            <w:r w:rsidRPr="001916D0">
              <w:rPr>
                <w:sz w:val="22"/>
              </w:rPr>
              <w:t xml:space="preserve"> та </w:t>
            </w:r>
            <w:proofErr w:type="spellStart"/>
            <w:r w:rsidRPr="001916D0">
              <w:rPr>
                <w:sz w:val="22"/>
              </w:rPr>
              <w:t>відбудова</w:t>
            </w:r>
            <w:proofErr w:type="spellEnd"/>
            <w:r w:rsidRPr="001916D0">
              <w:rPr>
                <w:sz w:val="22"/>
              </w:rPr>
              <w:t xml:space="preserve"> </w:t>
            </w:r>
            <w:proofErr w:type="spellStart"/>
            <w:r w:rsidRPr="001916D0">
              <w:rPr>
                <w:sz w:val="22"/>
              </w:rPr>
              <w:t>адміністративного</w:t>
            </w:r>
            <w:proofErr w:type="spellEnd"/>
            <w:r w:rsidRPr="001916D0">
              <w:rPr>
                <w:sz w:val="22"/>
              </w:rPr>
              <w:t xml:space="preserve"> </w:t>
            </w:r>
            <w:proofErr w:type="spellStart"/>
            <w:r w:rsidRPr="001916D0">
              <w:rPr>
                <w:sz w:val="22"/>
              </w:rPr>
              <w:t>приміщення</w:t>
            </w:r>
            <w:proofErr w:type="spellEnd"/>
            <w:r w:rsidRPr="001916D0">
              <w:rPr>
                <w:sz w:val="22"/>
              </w:rPr>
              <w:t xml:space="preserve"> </w:t>
            </w:r>
            <w:proofErr w:type="spellStart"/>
            <w:r w:rsidRPr="001916D0">
              <w:rPr>
                <w:sz w:val="22"/>
              </w:rPr>
              <w:t>Сєвєродонецької</w:t>
            </w:r>
            <w:proofErr w:type="spellEnd"/>
            <w:r w:rsidRPr="001916D0">
              <w:rPr>
                <w:sz w:val="22"/>
              </w:rPr>
              <w:t xml:space="preserve"> </w:t>
            </w:r>
            <w:proofErr w:type="spellStart"/>
            <w:r w:rsidRPr="001916D0">
              <w:rPr>
                <w:sz w:val="22"/>
              </w:rPr>
              <w:t>міської</w:t>
            </w:r>
            <w:proofErr w:type="spellEnd"/>
            <w:r w:rsidRPr="001916D0">
              <w:rPr>
                <w:sz w:val="22"/>
              </w:rPr>
              <w:t xml:space="preserve"> </w:t>
            </w:r>
            <w:proofErr w:type="spellStart"/>
            <w:r w:rsidRPr="001916D0">
              <w:rPr>
                <w:sz w:val="22"/>
              </w:rPr>
              <w:t>територіальної</w:t>
            </w:r>
            <w:proofErr w:type="spellEnd"/>
            <w:r w:rsidRPr="001916D0">
              <w:rPr>
                <w:sz w:val="22"/>
              </w:rPr>
              <w:t xml:space="preserve"> </w:t>
            </w:r>
            <w:proofErr w:type="spellStart"/>
            <w:r w:rsidRPr="001916D0">
              <w:rPr>
                <w:sz w:val="22"/>
              </w:rPr>
              <w:t>громади</w:t>
            </w:r>
            <w:proofErr w:type="spellEnd"/>
            <w:r w:rsidRPr="001916D0">
              <w:rPr>
                <w:sz w:val="22"/>
              </w:rPr>
              <w:t xml:space="preserve"> (</w:t>
            </w:r>
            <w:proofErr w:type="spellStart"/>
            <w:r w:rsidRPr="001916D0">
              <w:rPr>
                <w:sz w:val="22"/>
              </w:rPr>
              <w:t>вул</w:t>
            </w:r>
            <w:proofErr w:type="spellEnd"/>
            <w:r w:rsidRPr="001916D0">
              <w:rPr>
                <w:sz w:val="22"/>
              </w:rPr>
              <w:t xml:space="preserve">. Науки, буд.5) для </w:t>
            </w:r>
            <w:proofErr w:type="spellStart"/>
            <w:r w:rsidRPr="001916D0">
              <w:rPr>
                <w:sz w:val="22"/>
              </w:rPr>
              <w:t>задоволення</w:t>
            </w:r>
            <w:proofErr w:type="spellEnd"/>
            <w:r w:rsidRPr="001916D0">
              <w:rPr>
                <w:sz w:val="22"/>
              </w:rPr>
              <w:t xml:space="preserve"> потреб </w:t>
            </w:r>
            <w:proofErr w:type="spellStart"/>
            <w:r w:rsidRPr="001916D0">
              <w:rPr>
                <w:sz w:val="22"/>
              </w:rPr>
              <w:t>мешканців</w:t>
            </w:r>
            <w:proofErr w:type="spellEnd"/>
            <w:r w:rsidRPr="001916D0">
              <w:rPr>
                <w:sz w:val="22"/>
              </w:rPr>
              <w:t xml:space="preserve"> у </w:t>
            </w:r>
            <w:proofErr w:type="spellStart"/>
            <w:r w:rsidRPr="001916D0">
              <w:rPr>
                <w:sz w:val="22"/>
              </w:rPr>
              <w:t>отриманні</w:t>
            </w:r>
            <w:proofErr w:type="spellEnd"/>
            <w:r w:rsidRPr="001916D0">
              <w:rPr>
                <w:sz w:val="22"/>
              </w:rPr>
              <w:t xml:space="preserve"> </w:t>
            </w:r>
            <w:proofErr w:type="spellStart"/>
            <w:r w:rsidRPr="001916D0">
              <w:rPr>
                <w:sz w:val="22"/>
              </w:rPr>
              <w:t>послуг</w:t>
            </w:r>
            <w:proofErr w:type="spellEnd"/>
            <w:r w:rsidRPr="001916D0">
              <w:rPr>
                <w:sz w:val="22"/>
              </w:rPr>
              <w:t xml:space="preserve">, </w:t>
            </w:r>
            <w:proofErr w:type="spellStart"/>
            <w:r w:rsidRPr="001916D0">
              <w:rPr>
                <w:sz w:val="22"/>
              </w:rPr>
              <w:t>гарантованих</w:t>
            </w:r>
            <w:proofErr w:type="spellEnd"/>
            <w:r w:rsidRPr="001916D0">
              <w:rPr>
                <w:sz w:val="22"/>
              </w:rPr>
              <w:t xml:space="preserve"> </w:t>
            </w:r>
            <w:proofErr w:type="spellStart"/>
            <w:r w:rsidRPr="001916D0">
              <w:rPr>
                <w:sz w:val="22"/>
              </w:rPr>
              <w:t>законодавством</w:t>
            </w:r>
            <w:proofErr w:type="spellEnd"/>
            <w:r w:rsidRPr="001916D0">
              <w:rPr>
                <w:sz w:val="22"/>
              </w:rPr>
              <w:t xml:space="preserve"> </w:t>
            </w:r>
            <w:proofErr w:type="spellStart"/>
            <w:r w:rsidRPr="001916D0">
              <w:rPr>
                <w:sz w:val="22"/>
              </w:rPr>
              <w:t>України</w:t>
            </w:r>
            <w:proofErr w:type="spellEnd"/>
          </w:p>
        </w:tc>
      </w:tr>
      <w:tr w:rsidR="00840C91" w:rsidRPr="001916D0" w:rsidTr="00840C91">
        <w:tc>
          <w:tcPr>
            <w:tcW w:w="2836" w:type="dxa"/>
            <w:shd w:val="clear" w:color="auto" w:fill="C6D9F1" w:themeFill="text2" w:themeFillTint="33"/>
          </w:tcPr>
          <w:p w:rsidR="00840C91" w:rsidRPr="001916D0" w:rsidRDefault="00840C91" w:rsidP="00E77635">
            <w:pPr>
              <w:rPr>
                <w:b/>
                <w:sz w:val="22"/>
              </w:rPr>
            </w:pPr>
            <w:proofErr w:type="spellStart"/>
            <w:r w:rsidRPr="001916D0">
              <w:rPr>
                <w:b/>
                <w:sz w:val="22"/>
              </w:rPr>
              <w:t>Ціль</w:t>
            </w:r>
            <w:proofErr w:type="spellEnd"/>
            <w:r w:rsidRPr="001916D0">
              <w:rPr>
                <w:b/>
                <w:sz w:val="22"/>
              </w:rPr>
              <w:t xml:space="preserve"> проекту</w:t>
            </w:r>
          </w:p>
        </w:tc>
        <w:tc>
          <w:tcPr>
            <w:tcW w:w="7052" w:type="dxa"/>
            <w:gridSpan w:val="7"/>
          </w:tcPr>
          <w:p w:rsidR="00840C91" w:rsidRPr="001916D0" w:rsidRDefault="00840C91" w:rsidP="00272B30">
            <w:pPr>
              <w:rPr>
                <w:sz w:val="22"/>
              </w:rPr>
            </w:pPr>
            <w:proofErr w:type="spellStart"/>
            <w:r w:rsidRPr="001916D0">
              <w:rPr>
                <w:sz w:val="22"/>
              </w:rPr>
              <w:t>Відновити</w:t>
            </w:r>
            <w:proofErr w:type="spellEnd"/>
            <w:r w:rsidRPr="001916D0">
              <w:rPr>
                <w:sz w:val="22"/>
              </w:rPr>
              <w:t xml:space="preserve"> та </w:t>
            </w:r>
            <w:proofErr w:type="spellStart"/>
            <w:r w:rsidRPr="001916D0">
              <w:rPr>
                <w:sz w:val="22"/>
              </w:rPr>
              <w:t>покращити</w:t>
            </w:r>
            <w:proofErr w:type="spellEnd"/>
            <w:r w:rsidRPr="001916D0">
              <w:rPr>
                <w:sz w:val="22"/>
              </w:rPr>
              <w:t xml:space="preserve"> роботу </w:t>
            </w:r>
            <w:proofErr w:type="spellStart"/>
            <w:r w:rsidRPr="001916D0">
              <w:rPr>
                <w:sz w:val="22"/>
              </w:rPr>
              <w:t>управління</w:t>
            </w:r>
            <w:proofErr w:type="spellEnd"/>
            <w:r w:rsidRPr="001916D0">
              <w:rPr>
                <w:sz w:val="22"/>
              </w:rPr>
              <w:t xml:space="preserve"> ДКСУ у                          м. </w:t>
            </w:r>
            <w:proofErr w:type="spellStart"/>
            <w:r w:rsidRPr="001916D0">
              <w:rPr>
                <w:sz w:val="22"/>
              </w:rPr>
              <w:t>Сєвєродонецьк</w:t>
            </w:r>
            <w:proofErr w:type="spellEnd"/>
            <w:r w:rsidRPr="001916D0">
              <w:rPr>
                <w:sz w:val="22"/>
              </w:rPr>
              <w:t xml:space="preserve"> </w:t>
            </w:r>
            <w:proofErr w:type="spellStart"/>
            <w:r w:rsidRPr="001916D0">
              <w:rPr>
                <w:sz w:val="22"/>
              </w:rPr>
              <w:t>Луганської</w:t>
            </w:r>
            <w:proofErr w:type="spellEnd"/>
            <w:r w:rsidRPr="001916D0">
              <w:rPr>
                <w:sz w:val="22"/>
              </w:rPr>
              <w:t xml:space="preserve"> </w:t>
            </w:r>
            <w:proofErr w:type="spellStart"/>
            <w:r w:rsidRPr="001916D0">
              <w:rPr>
                <w:sz w:val="22"/>
              </w:rPr>
              <w:t>області</w:t>
            </w:r>
            <w:proofErr w:type="spellEnd"/>
            <w:r w:rsidRPr="001916D0">
              <w:rPr>
                <w:sz w:val="22"/>
              </w:rPr>
              <w:t xml:space="preserve"> для </w:t>
            </w:r>
            <w:proofErr w:type="spellStart"/>
            <w:r w:rsidRPr="001916D0">
              <w:rPr>
                <w:sz w:val="22"/>
              </w:rPr>
              <w:t>задоволення</w:t>
            </w:r>
            <w:proofErr w:type="spellEnd"/>
            <w:r w:rsidRPr="001916D0">
              <w:rPr>
                <w:sz w:val="22"/>
              </w:rPr>
              <w:t xml:space="preserve"> потреб </w:t>
            </w:r>
            <w:proofErr w:type="spellStart"/>
            <w:r w:rsidRPr="001916D0">
              <w:rPr>
                <w:sz w:val="22"/>
              </w:rPr>
              <w:t>мешканців</w:t>
            </w:r>
            <w:proofErr w:type="spellEnd"/>
            <w:r w:rsidRPr="001916D0">
              <w:rPr>
                <w:sz w:val="22"/>
              </w:rPr>
              <w:t xml:space="preserve"> та </w:t>
            </w:r>
            <w:proofErr w:type="spellStart"/>
            <w:r w:rsidRPr="001916D0">
              <w:rPr>
                <w:sz w:val="22"/>
              </w:rPr>
              <w:t>суб’єктів</w:t>
            </w:r>
            <w:proofErr w:type="spellEnd"/>
            <w:r w:rsidRPr="001916D0">
              <w:rPr>
                <w:sz w:val="22"/>
              </w:rPr>
              <w:t xml:space="preserve"> </w:t>
            </w:r>
            <w:proofErr w:type="spellStart"/>
            <w:r w:rsidRPr="001916D0">
              <w:rPr>
                <w:sz w:val="22"/>
              </w:rPr>
              <w:t>господарювання</w:t>
            </w:r>
            <w:proofErr w:type="spellEnd"/>
            <w:r w:rsidRPr="001916D0">
              <w:rPr>
                <w:sz w:val="22"/>
              </w:rPr>
              <w:t xml:space="preserve"> </w:t>
            </w:r>
            <w:proofErr w:type="spellStart"/>
            <w:r w:rsidRPr="001916D0">
              <w:rPr>
                <w:sz w:val="22"/>
              </w:rPr>
              <w:t>Сєвєродонецької</w:t>
            </w:r>
            <w:proofErr w:type="spellEnd"/>
            <w:r w:rsidRPr="001916D0">
              <w:rPr>
                <w:sz w:val="22"/>
              </w:rPr>
              <w:t xml:space="preserve"> </w:t>
            </w:r>
            <w:proofErr w:type="spellStart"/>
            <w:r w:rsidRPr="001916D0">
              <w:rPr>
                <w:sz w:val="22"/>
              </w:rPr>
              <w:t>міської</w:t>
            </w:r>
            <w:proofErr w:type="spellEnd"/>
            <w:r w:rsidRPr="001916D0">
              <w:rPr>
                <w:sz w:val="22"/>
              </w:rPr>
              <w:t xml:space="preserve"> </w:t>
            </w:r>
            <w:proofErr w:type="spellStart"/>
            <w:r w:rsidRPr="001916D0">
              <w:rPr>
                <w:sz w:val="22"/>
              </w:rPr>
              <w:t>територіальної</w:t>
            </w:r>
            <w:proofErr w:type="spellEnd"/>
            <w:r w:rsidRPr="001916D0">
              <w:rPr>
                <w:sz w:val="22"/>
              </w:rPr>
              <w:t xml:space="preserve"> </w:t>
            </w:r>
            <w:proofErr w:type="spellStart"/>
            <w:r w:rsidRPr="001916D0">
              <w:rPr>
                <w:sz w:val="22"/>
              </w:rPr>
              <w:t>громади</w:t>
            </w:r>
            <w:proofErr w:type="spellEnd"/>
            <w:r w:rsidRPr="001916D0">
              <w:rPr>
                <w:sz w:val="22"/>
              </w:rPr>
              <w:t xml:space="preserve"> у </w:t>
            </w:r>
            <w:proofErr w:type="spellStart"/>
            <w:r w:rsidRPr="001916D0">
              <w:rPr>
                <w:sz w:val="22"/>
              </w:rPr>
              <w:t>отриманні</w:t>
            </w:r>
            <w:proofErr w:type="spellEnd"/>
            <w:r w:rsidRPr="001916D0">
              <w:rPr>
                <w:sz w:val="22"/>
              </w:rPr>
              <w:t xml:space="preserve"> </w:t>
            </w:r>
            <w:proofErr w:type="spellStart"/>
            <w:r w:rsidRPr="001916D0">
              <w:rPr>
                <w:sz w:val="22"/>
              </w:rPr>
              <w:t>послуг</w:t>
            </w:r>
            <w:proofErr w:type="spellEnd"/>
            <w:r w:rsidRPr="001916D0">
              <w:rPr>
                <w:sz w:val="22"/>
              </w:rPr>
              <w:t xml:space="preserve">, </w:t>
            </w:r>
            <w:proofErr w:type="spellStart"/>
            <w:r w:rsidRPr="001916D0">
              <w:rPr>
                <w:sz w:val="22"/>
              </w:rPr>
              <w:t>гарантованих</w:t>
            </w:r>
            <w:proofErr w:type="spellEnd"/>
            <w:r w:rsidRPr="001916D0">
              <w:rPr>
                <w:sz w:val="22"/>
              </w:rPr>
              <w:t xml:space="preserve"> </w:t>
            </w:r>
            <w:proofErr w:type="spellStart"/>
            <w:r w:rsidRPr="001916D0">
              <w:rPr>
                <w:sz w:val="22"/>
              </w:rPr>
              <w:t>законодавством</w:t>
            </w:r>
            <w:proofErr w:type="spellEnd"/>
            <w:r w:rsidRPr="001916D0">
              <w:rPr>
                <w:sz w:val="22"/>
              </w:rPr>
              <w:t xml:space="preserve"> </w:t>
            </w:r>
            <w:proofErr w:type="spellStart"/>
            <w:r w:rsidRPr="001916D0">
              <w:rPr>
                <w:sz w:val="22"/>
              </w:rPr>
              <w:t>України</w:t>
            </w:r>
            <w:proofErr w:type="spellEnd"/>
            <w:r w:rsidRPr="001916D0">
              <w:rPr>
                <w:sz w:val="22"/>
              </w:rPr>
              <w:t xml:space="preserve"> та </w:t>
            </w:r>
            <w:proofErr w:type="spellStart"/>
            <w:r w:rsidRPr="001916D0">
              <w:rPr>
                <w:sz w:val="22"/>
              </w:rPr>
              <w:t>пов’язаних</w:t>
            </w:r>
            <w:proofErr w:type="spellEnd"/>
            <w:r w:rsidRPr="001916D0">
              <w:rPr>
                <w:sz w:val="22"/>
              </w:rPr>
              <w:t xml:space="preserve"> з </w:t>
            </w:r>
            <w:proofErr w:type="spellStart"/>
            <w:r w:rsidRPr="001916D0">
              <w:rPr>
                <w:sz w:val="22"/>
              </w:rPr>
              <w:t>касовим</w:t>
            </w:r>
            <w:proofErr w:type="spellEnd"/>
            <w:r w:rsidRPr="001916D0">
              <w:rPr>
                <w:sz w:val="22"/>
              </w:rPr>
              <w:t xml:space="preserve"> </w:t>
            </w:r>
            <w:proofErr w:type="spellStart"/>
            <w:r w:rsidRPr="001916D0">
              <w:rPr>
                <w:sz w:val="22"/>
              </w:rPr>
              <w:t>виконанням</w:t>
            </w:r>
            <w:proofErr w:type="spellEnd"/>
            <w:r w:rsidRPr="001916D0">
              <w:rPr>
                <w:sz w:val="22"/>
              </w:rPr>
              <w:t xml:space="preserve"> державного бюджету, </w:t>
            </w:r>
            <w:proofErr w:type="spellStart"/>
            <w:r w:rsidRPr="001916D0">
              <w:rPr>
                <w:sz w:val="22"/>
              </w:rPr>
              <w:t>організацією</w:t>
            </w:r>
            <w:proofErr w:type="spellEnd"/>
            <w:r w:rsidRPr="001916D0">
              <w:rPr>
                <w:sz w:val="22"/>
              </w:rPr>
              <w:t xml:space="preserve"> </w:t>
            </w:r>
            <w:proofErr w:type="spellStart"/>
            <w:r w:rsidRPr="001916D0">
              <w:rPr>
                <w:sz w:val="22"/>
              </w:rPr>
              <w:t>справляння</w:t>
            </w:r>
            <w:proofErr w:type="spellEnd"/>
            <w:r w:rsidRPr="001916D0">
              <w:rPr>
                <w:sz w:val="22"/>
              </w:rPr>
              <w:t xml:space="preserve"> </w:t>
            </w:r>
            <w:proofErr w:type="spellStart"/>
            <w:r w:rsidRPr="001916D0">
              <w:rPr>
                <w:sz w:val="22"/>
              </w:rPr>
              <w:t>податків</w:t>
            </w:r>
            <w:proofErr w:type="spellEnd"/>
            <w:r w:rsidRPr="001916D0">
              <w:rPr>
                <w:sz w:val="22"/>
              </w:rPr>
              <w:t xml:space="preserve">, </w:t>
            </w:r>
            <w:proofErr w:type="spellStart"/>
            <w:r w:rsidRPr="001916D0">
              <w:rPr>
                <w:sz w:val="22"/>
              </w:rPr>
              <w:t>зборів</w:t>
            </w:r>
            <w:proofErr w:type="spellEnd"/>
            <w:r w:rsidRPr="001916D0">
              <w:rPr>
                <w:sz w:val="22"/>
              </w:rPr>
              <w:t xml:space="preserve"> і </w:t>
            </w:r>
            <w:proofErr w:type="spellStart"/>
            <w:r w:rsidRPr="001916D0">
              <w:rPr>
                <w:sz w:val="22"/>
              </w:rPr>
              <w:t>мита</w:t>
            </w:r>
            <w:proofErr w:type="spellEnd"/>
            <w:r w:rsidRPr="001916D0">
              <w:rPr>
                <w:sz w:val="22"/>
              </w:rPr>
              <w:t xml:space="preserve">, </w:t>
            </w:r>
            <w:proofErr w:type="spellStart"/>
            <w:r w:rsidRPr="001916D0">
              <w:rPr>
                <w:sz w:val="22"/>
              </w:rPr>
              <w:t>доходів</w:t>
            </w:r>
            <w:proofErr w:type="spellEnd"/>
            <w:r w:rsidRPr="001916D0">
              <w:rPr>
                <w:sz w:val="22"/>
              </w:rPr>
              <w:t xml:space="preserve"> </w:t>
            </w:r>
            <w:proofErr w:type="spellStart"/>
            <w:r w:rsidRPr="001916D0">
              <w:rPr>
                <w:sz w:val="22"/>
              </w:rPr>
              <w:t>від</w:t>
            </w:r>
            <w:proofErr w:type="spellEnd"/>
            <w:r w:rsidRPr="001916D0">
              <w:rPr>
                <w:sz w:val="22"/>
              </w:rPr>
              <w:t xml:space="preserve"> </w:t>
            </w:r>
            <w:proofErr w:type="spellStart"/>
            <w:r w:rsidRPr="001916D0">
              <w:rPr>
                <w:sz w:val="22"/>
              </w:rPr>
              <w:t>реалізації</w:t>
            </w:r>
            <w:proofErr w:type="spellEnd"/>
            <w:r w:rsidRPr="001916D0">
              <w:rPr>
                <w:sz w:val="22"/>
              </w:rPr>
              <w:t xml:space="preserve"> </w:t>
            </w:r>
            <w:proofErr w:type="spellStart"/>
            <w:r w:rsidRPr="001916D0">
              <w:rPr>
                <w:sz w:val="22"/>
              </w:rPr>
              <w:t>державних</w:t>
            </w:r>
            <w:proofErr w:type="spellEnd"/>
            <w:r w:rsidRPr="001916D0">
              <w:rPr>
                <w:sz w:val="22"/>
              </w:rPr>
              <w:t xml:space="preserve"> </w:t>
            </w:r>
            <w:proofErr w:type="spellStart"/>
            <w:r w:rsidRPr="001916D0">
              <w:rPr>
                <w:sz w:val="22"/>
              </w:rPr>
              <w:t>позик</w:t>
            </w:r>
            <w:proofErr w:type="spellEnd"/>
            <w:r w:rsidRPr="001916D0">
              <w:rPr>
                <w:sz w:val="22"/>
              </w:rPr>
              <w:t xml:space="preserve">, а </w:t>
            </w:r>
            <w:proofErr w:type="spellStart"/>
            <w:r w:rsidRPr="001916D0">
              <w:rPr>
                <w:sz w:val="22"/>
              </w:rPr>
              <w:t>також</w:t>
            </w:r>
            <w:proofErr w:type="spellEnd"/>
            <w:r w:rsidRPr="001916D0">
              <w:rPr>
                <w:sz w:val="22"/>
              </w:rPr>
              <w:t xml:space="preserve"> </w:t>
            </w:r>
            <w:proofErr w:type="spellStart"/>
            <w:r w:rsidRPr="001916D0">
              <w:rPr>
                <w:sz w:val="22"/>
              </w:rPr>
              <w:t>фінансуванням</w:t>
            </w:r>
            <w:proofErr w:type="spellEnd"/>
            <w:r w:rsidRPr="001916D0">
              <w:rPr>
                <w:sz w:val="22"/>
              </w:rPr>
              <w:t xml:space="preserve"> </w:t>
            </w:r>
            <w:proofErr w:type="spellStart"/>
            <w:r w:rsidRPr="001916D0">
              <w:rPr>
                <w:sz w:val="22"/>
              </w:rPr>
              <w:t>передбачених</w:t>
            </w:r>
            <w:proofErr w:type="spellEnd"/>
            <w:r w:rsidRPr="001916D0">
              <w:rPr>
                <w:sz w:val="22"/>
              </w:rPr>
              <w:t xml:space="preserve"> </w:t>
            </w:r>
            <w:proofErr w:type="spellStart"/>
            <w:r w:rsidRPr="001916D0">
              <w:rPr>
                <w:sz w:val="22"/>
              </w:rPr>
              <w:t>державним</w:t>
            </w:r>
            <w:proofErr w:type="spellEnd"/>
            <w:r w:rsidRPr="001916D0">
              <w:rPr>
                <w:sz w:val="22"/>
              </w:rPr>
              <w:t xml:space="preserve"> бюджетом </w:t>
            </w:r>
            <w:proofErr w:type="spellStart"/>
            <w:r w:rsidRPr="001916D0">
              <w:rPr>
                <w:sz w:val="22"/>
              </w:rPr>
              <w:t>видатків</w:t>
            </w:r>
            <w:proofErr w:type="spellEnd"/>
          </w:p>
        </w:tc>
      </w:tr>
      <w:tr w:rsidR="00840C91" w:rsidRPr="001916D0" w:rsidTr="00840C91">
        <w:tc>
          <w:tcPr>
            <w:tcW w:w="2836" w:type="dxa"/>
            <w:shd w:val="clear" w:color="auto" w:fill="C6D9F1" w:themeFill="text2" w:themeFillTint="33"/>
          </w:tcPr>
          <w:p w:rsidR="00840C91" w:rsidRPr="001916D0" w:rsidRDefault="00840C91" w:rsidP="00E77635">
            <w:pPr>
              <w:pStyle w:val="a7"/>
              <w:ind w:left="0"/>
              <w:rPr>
                <w:b/>
                <w:sz w:val="22"/>
              </w:rPr>
            </w:pPr>
            <w:proofErr w:type="spellStart"/>
            <w:r w:rsidRPr="001916D0">
              <w:rPr>
                <w:b/>
                <w:sz w:val="22"/>
              </w:rPr>
              <w:t>Територія</w:t>
            </w:r>
            <w:proofErr w:type="spellEnd"/>
            <w:r w:rsidRPr="001916D0">
              <w:rPr>
                <w:b/>
                <w:sz w:val="22"/>
              </w:rPr>
              <w:t xml:space="preserve">, </w:t>
            </w:r>
            <w:proofErr w:type="gramStart"/>
            <w:r w:rsidRPr="001916D0">
              <w:rPr>
                <w:b/>
                <w:sz w:val="22"/>
              </w:rPr>
              <w:t>на яку</w:t>
            </w:r>
            <w:proofErr w:type="gramEnd"/>
            <w:r w:rsidRPr="001916D0">
              <w:rPr>
                <w:b/>
                <w:sz w:val="22"/>
              </w:rPr>
              <w:t xml:space="preserve"> </w:t>
            </w:r>
            <w:proofErr w:type="spellStart"/>
            <w:r w:rsidRPr="001916D0">
              <w:rPr>
                <w:b/>
                <w:sz w:val="22"/>
              </w:rPr>
              <w:t>матиме</w:t>
            </w:r>
            <w:proofErr w:type="spellEnd"/>
            <w:r w:rsidRPr="001916D0">
              <w:rPr>
                <w:b/>
                <w:sz w:val="22"/>
              </w:rPr>
              <w:t xml:space="preserve"> </w:t>
            </w:r>
            <w:proofErr w:type="spellStart"/>
            <w:r w:rsidRPr="001916D0">
              <w:rPr>
                <w:b/>
                <w:sz w:val="22"/>
              </w:rPr>
              <w:t>вплив</w:t>
            </w:r>
            <w:proofErr w:type="spellEnd"/>
            <w:r w:rsidRPr="001916D0">
              <w:rPr>
                <w:b/>
                <w:sz w:val="22"/>
              </w:rPr>
              <w:t xml:space="preserve"> </w:t>
            </w:r>
            <w:proofErr w:type="spellStart"/>
            <w:r w:rsidRPr="001916D0">
              <w:rPr>
                <w:b/>
                <w:sz w:val="22"/>
              </w:rPr>
              <w:t>реалізація</w:t>
            </w:r>
            <w:proofErr w:type="spellEnd"/>
            <w:r w:rsidRPr="001916D0">
              <w:rPr>
                <w:b/>
                <w:sz w:val="22"/>
              </w:rPr>
              <w:t xml:space="preserve"> проекту</w:t>
            </w:r>
          </w:p>
        </w:tc>
        <w:tc>
          <w:tcPr>
            <w:tcW w:w="7052" w:type="dxa"/>
            <w:gridSpan w:val="7"/>
          </w:tcPr>
          <w:p w:rsidR="00840C91" w:rsidRPr="001916D0" w:rsidRDefault="00840C91" w:rsidP="00E77635">
            <w:pPr>
              <w:pStyle w:val="a7"/>
              <w:ind w:left="0"/>
              <w:rPr>
                <w:sz w:val="22"/>
              </w:rPr>
            </w:pPr>
            <w:proofErr w:type="spellStart"/>
            <w:r w:rsidRPr="001916D0">
              <w:rPr>
                <w:sz w:val="22"/>
              </w:rPr>
              <w:t>Сєвєродонецька</w:t>
            </w:r>
            <w:proofErr w:type="spellEnd"/>
            <w:r w:rsidRPr="001916D0">
              <w:rPr>
                <w:sz w:val="22"/>
              </w:rPr>
              <w:t xml:space="preserve"> </w:t>
            </w:r>
            <w:proofErr w:type="spellStart"/>
            <w:r w:rsidRPr="001916D0">
              <w:rPr>
                <w:sz w:val="22"/>
              </w:rPr>
              <w:t>міська</w:t>
            </w:r>
            <w:proofErr w:type="spellEnd"/>
            <w:r w:rsidRPr="001916D0">
              <w:rPr>
                <w:sz w:val="22"/>
              </w:rPr>
              <w:t xml:space="preserve"> </w:t>
            </w:r>
            <w:proofErr w:type="spellStart"/>
            <w:r w:rsidRPr="001916D0">
              <w:rPr>
                <w:sz w:val="22"/>
              </w:rPr>
              <w:t>територіальна</w:t>
            </w:r>
            <w:proofErr w:type="spellEnd"/>
            <w:r w:rsidRPr="001916D0">
              <w:rPr>
                <w:sz w:val="22"/>
              </w:rPr>
              <w:t xml:space="preserve"> громада</w:t>
            </w:r>
          </w:p>
        </w:tc>
      </w:tr>
      <w:tr w:rsidR="00840C91" w:rsidRPr="001916D0" w:rsidTr="00840C91">
        <w:tc>
          <w:tcPr>
            <w:tcW w:w="2836" w:type="dxa"/>
            <w:shd w:val="clear" w:color="auto" w:fill="C6D9F1" w:themeFill="text2" w:themeFillTint="33"/>
          </w:tcPr>
          <w:p w:rsidR="00840C91" w:rsidRPr="001916D0" w:rsidRDefault="00840C91" w:rsidP="00E77635">
            <w:pPr>
              <w:pStyle w:val="a7"/>
              <w:ind w:left="0"/>
              <w:rPr>
                <w:b/>
                <w:sz w:val="22"/>
              </w:rPr>
            </w:pPr>
            <w:proofErr w:type="spellStart"/>
            <w:r w:rsidRPr="001916D0">
              <w:rPr>
                <w:b/>
                <w:sz w:val="22"/>
              </w:rPr>
              <w:t>Чисельність</w:t>
            </w:r>
            <w:proofErr w:type="spellEnd"/>
            <w:r w:rsidRPr="001916D0">
              <w:rPr>
                <w:b/>
                <w:sz w:val="22"/>
              </w:rPr>
              <w:t xml:space="preserve"> </w:t>
            </w:r>
            <w:proofErr w:type="spellStart"/>
            <w:r w:rsidRPr="001916D0">
              <w:rPr>
                <w:b/>
                <w:sz w:val="22"/>
              </w:rPr>
              <w:t>населення</w:t>
            </w:r>
            <w:proofErr w:type="spellEnd"/>
            <w:r w:rsidRPr="001916D0">
              <w:rPr>
                <w:b/>
                <w:sz w:val="22"/>
              </w:rPr>
              <w:t xml:space="preserve">, на яке </w:t>
            </w:r>
            <w:proofErr w:type="spellStart"/>
            <w:r w:rsidRPr="001916D0">
              <w:rPr>
                <w:b/>
                <w:sz w:val="22"/>
              </w:rPr>
              <w:t>матиме</w:t>
            </w:r>
            <w:proofErr w:type="spellEnd"/>
            <w:r w:rsidRPr="001916D0">
              <w:rPr>
                <w:b/>
                <w:sz w:val="22"/>
              </w:rPr>
              <w:t xml:space="preserve"> </w:t>
            </w:r>
            <w:proofErr w:type="spellStart"/>
            <w:r w:rsidRPr="001916D0">
              <w:rPr>
                <w:b/>
                <w:sz w:val="22"/>
              </w:rPr>
              <w:t>вплив</w:t>
            </w:r>
            <w:proofErr w:type="spellEnd"/>
            <w:r w:rsidRPr="001916D0">
              <w:rPr>
                <w:b/>
                <w:sz w:val="22"/>
              </w:rPr>
              <w:t xml:space="preserve"> </w:t>
            </w:r>
            <w:proofErr w:type="spellStart"/>
            <w:r w:rsidRPr="001916D0">
              <w:rPr>
                <w:b/>
                <w:sz w:val="22"/>
              </w:rPr>
              <w:t>реалізація</w:t>
            </w:r>
            <w:proofErr w:type="spellEnd"/>
            <w:r w:rsidRPr="001916D0">
              <w:rPr>
                <w:b/>
                <w:sz w:val="22"/>
              </w:rPr>
              <w:t xml:space="preserve"> проекту</w:t>
            </w:r>
          </w:p>
        </w:tc>
        <w:tc>
          <w:tcPr>
            <w:tcW w:w="7052" w:type="dxa"/>
            <w:gridSpan w:val="7"/>
          </w:tcPr>
          <w:p w:rsidR="00840C91" w:rsidRPr="001916D0" w:rsidRDefault="00840C91" w:rsidP="00E77635">
            <w:pPr>
              <w:pStyle w:val="a7"/>
              <w:ind w:left="0"/>
              <w:rPr>
                <w:sz w:val="22"/>
              </w:rPr>
            </w:pPr>
            <w:r w:rsidRPr="001916D0">
              <w:rPr>
                <w:sz w:val="22"/>
              </w:rPr>
              <w:t xml:space="preserve"> 70 </w:t>
            </w:r>
            <w:proofErr w:type="gramStart"/>
            <w:r w:rsidRPr="001916D0">
              <w:rPr>
                <w:sz w:val="22"/>
              </w:rPr>
              <w:t xml:space="preserve">000  </w:t>
            </w:r>
            <w:proofErr w:type="spellStart"/>
            <w:r w:rsidRPr="001916D0">
              <w:rPr>
                <w:sz w:val="22"/>
              </w:rPr>
              <w:t>осіб</w:t>
            </w:r>
            <w:proofErr w:type="spellEnd"/>
            <w:proofErr w:type="gramEnd"/>
          </w:p>
        </w:tc>
      </w:tr>
      <w:tr w:rsidR="00840C91" w:rsidRPr="001916D0" w:rsidTr="00840C91">
        <w:tc>
          <w:tcPr>
            <w:tcW w:w="2836" w:type="dxa"/>
            <w:shd w:val="clear" w:color="auto" w:fill="C6D9F1" w:themeFill="text2" w:themeFillTint="33"/>
          </w:tcPr>
          <w:p w:rsidR="00840C91" w:rsidRPr="001916D0" w:rsidRDefault="00840C91" w:rsidP="00E77635">
            <w:pPr>
              <w:rPr>
                <w:b/>
                <w:sz w:val="22"/>
              </w:rPr>
            </w:pPr>
            <w:proofErr w:type="spellStart"/>
            <w:r w:rsidRPr="001916D0">
              <w:rPr>
                <w:b/>
                <w:sz w:val="22"/>
              </w:rPr>
              <w:lastRenderedPageBreak/>
              <w:t>Опис</w:t>
            </w:r>
            <w:proofErr w:type="spellEnd"/>
            <w:r w:rsidRPr="001916D0">
              <w:rPr>
                <w:b/>
                <w:sz w:val="22"/>
              </w:rPr>
              <w:t xml:space="preserve"> </w:t>
            </w:r>
            <w:proofErr w:type="spellStart"/>
            <w:r w:rsidRPr="001916D0">
              <w:rPr>
                <w:b/>
                <w:sz w:val="22"/>
              </w:rPr>
              <w:t>проблеми</w:t>
            </w:r>
            <w:proofErr w:type="spellEnd"/>
            <w:r w:rsidRPr="001916D0">
              <w:rPr>
                <w:b/>
                <w:sz w:val="22"/>
              </w:rPr>
              <w:t xml:space="preserve">, на </w:t>
            </w:r>
            <w:proofErr w:type="spellStart"/>
            <w:r w:rsidRPr="001916D0">
              <w:rPr>
                <w:b/>
                <w:sz w:val="22"/>
              </w:rPr>
              <w:t>вирішення</w:t>
            </w:r>
            <w:proofErr w:type="spellEnd"/>
            <w:r w:rsidRPr="001916D0">
              <w:rPr>
                <w:b/>
                <w:sz w:val="22"/>
              </w:rPr>
              <w:t xml:space="preserve"> </w:t>
            </w:r>
            <w:proofErr w:type="spellStart"/>
            <w:proofErr w:type="gramStart"/>
            <w:r w:rsidRPr="001916D0">
              <w:rPr>
                <w:b/>
                <w:sz w:val="22"/>
              </w:rPr>
              <w:t>якої</w:t>
            </w:r>
            <w:proofErr w:type="spellEnd"/>
            <w:r w:rsidRPr="001916D0">
              <w:rPr>
                <w:b/>
                <w:sz w:val="22"/>
              </w:rPr>
              <w:t xml:space="preserve">  </w:t>
            </w:r>
            <w:proofErr w:type="spellStart"/>
            <w:r w:rsidRPr="001916D0">
              <w:rPr>
                <w:b/>
                <w:sz w:val="22"/>
              </w:rPr>
              <w:t>спрямований</w:t>
            </w:r>
            <w:proofErr w:type="spellEnd"/>
            <w:proofErr w:type="gramEnd"/>
            <w:r w:rsidRPr="001916D0">
              <w:rPr>
                <w:b/>
                <w:sz w:val="22"/>
              </w:rPr>
              <w:t xml:space="preserve"> проект</w:t>
            </w:r>
          </w:p>
        </w:tc>
        <w:tc>
          <w:tcPr>
            <w:tcW w:w="7052" w:type="dxa"/>
            <w:gridSpan w:val="7"/>
          </w:tcPr>
          <w:p w:rsidR="00840C91" w:rsidRPr="001916D0" w:rsidRDefault="00840C91" w:rsidP="00E77635">
            <w:pPr>
              <w:ind w:firstLine="708"/>
              <w:rPr>
                <w:sz w:val="22"/>
              </w:rPr>
            </w:pPr>
            <w:r w:rsidRPr="001916D0">
              <w:rPr>
                <w:sz w:val="22"/>
              </w:rPr>
              <w:t xml:space="preserve">Через </w:t>
            </w:r>
            <w:proofErr w:type="spellStart"/>
            <w:r w:rsidRPr="001916D0">
              <w:rPr>
                <w:sz w:val="22"/>
              </w:rPr>
              <w:t>військову</w:t>
            </w:r>
            <w:proofErr w:type="spellEnd"/>
            <w:r w:rsidRPr="001916D0">
              <w:rPr>
                <w:sz w:val="22"/>
              </w:rPr>
              <w:t xml:space="preserve"> </w:t>
            </w:r>
            <w:proofErr w:type="spellStart"/>
            <w:r w:rsidRPr="001916D0">
              <w:rPr>
                <w:sz w:val="22"/>
              </w:rPr>
              <w:t>агресію</w:t>
            </w:r>
            <w:proofErr w:type="spellEnd"/>
            <w:r w:rsidRPr="001916D0">
              <w:rPr>
                <w:sz w:val="22"/>
              </w:rPr>
              <w:t xml:space="preserve"> РФ </w:t>
            </w:r>
            <w:proofErr w:type="spellStart"/>
            <w:r w:rsidRPr="001916D0">
              <w:rPr>
                <w:sz w:val="22"/>
              </w:rPr>
              <w:t>територія</w:t>
            </w:r>
            <w:proofErr w:type="spellEnd"/>
            <w:r w:rsidRPr="001916D0">
              <w:rPr>
                <w:sz w:val="22"/>
              </w:rPr>
              <w:t xml:space="preserve"> </w:t>
            </w:r>
            <w:proofErr w:type="spellStart"/>
            <w:r w:rsidRPr="001916D0">
              <w:rPr>
                <w:sz w:val="22"/>
              </w:rPr>
              <w:t>Сєвєродонецької</w:t>
            </w:r>
            <w:proofErr w:type="spellEnd"/>
            <w:r w:rsidRPr="001916D0">
              <w:rPr>
                <w:sz w:val="22"/>
              </w:rPr>
              <w:t xml:space="preserve"> </w:t>
            </w:r>
            <w:proofErr w:type="spellStart"/>
            <w:r w:rsidRPr="001916D0">
              <w:rPr>
                <w:sz w:val="22"/>
              </w:rPr>
              <w:t>міської</w:t>
            </w:r>
            <w:proofErr w:type="spellEnd"/>
            <w:r w:rsidRPr="001916D0">
              <w:rPr>
                <w:sz w:val="22"/>
              </w:rPr>
              <w:t xml:space="preserve"> </w:t>
            </w:r>
            <w:proofErr w:type="spellStart"/>
            <w:r w:rsidRPr="001916D0">
              <w:rPr>
                <w:sz w:val="22"/>
              </w:rPr>
              <w:t>територіальної</w:t>
            </w:r>
            <w:proofErr w:type="spellEnd"/>
            <w:r w:rsidRPr="001916D0">
              <w:rPr>
                <w:sz w:val="22"/>
              </w:rPr>
              <w:t xml:space="preserve"> </w:t>
            </w:r>
            <w:proofErr w:type="spellStart"/>
            <w:r w:rsidRPr="001916D0">
              <w:rPr>
                <w:sz w:val="22"/>
              </w:rPr>
              <w:t>громади</w:t>
            </w:r>
            <w:proofErr w:type="spellEnd"/>
            <w:r w:rsidRPr="001916D0">
              <w:rPr>
                <w:sz w:val="22"/>
              </w:rPr>
              <w:t xml:space="preserve"> </w:t>
            </w:r>
            <w:proofErr w:type="spellStart"/>
            <w:r w:rsidRPr="001916D0">
              <w:rPr>
                <w:sz w:val="22"/>
              </w:rPr>
              <w:t>зазнала</w:t>
            </w:r>
            <w:proofErr w:type="spellEnd"/>
            <w:r w:rsidRPr="001916D0">
              <w:rPr>
                <w:sz w:val="22"/>
              </w:rPr>
              <w:t xml:space="preserve"> </w:t>
            </w:r>
            <w:proofErr w:type="spellStart"/>
            <w:r w:rsidRPr="001916D0">
              <w:rPr>
                <w:sz w:val="22"/>
              </w:rPr>
              <w:t>значних</w:t>
            </w:r>
            <w:proofErr w:type="spellEnd"/>
            <w:r w:rsidRPr="001916D0">
              <w:rPr>
                <w:sz w:val="22"/>
              </w:rPr>
              <w:t xml:space="preserve"> </w:t>
            </w:r>
            <w:proofErr w:type="spellStart"/>
            <w:r w:rsidRPr="001916D0">
              <w:rPr>
                <w:sz w:val="22"/>
              </w:rPr>
              <w:t>пошкоджень</w:t>
            </w:r>
            <w:proofErr w:type="spellEnd"/>
            <w:r w:rsidRPr="001916D0">
              <w:rPr>
                <w:sz w:val="22"/>
              </w:rPr>
              <w:t xml:space="preserve">. </w:t>
            </w:r>
            <w:proofErr w:type="spellStart"/>
            <w:r w:rsidRPr="001916D0">
              <w:rPr>
                <w:sz w:val="22"/>
              </w:rPr>
              <w:t>Будівлі</w:t>
            </w:r>
            <w:proofErr w:type="spellEnd"/>
            <w:r w:rsidRPr="001916D0">
              <w:rPr>
                <w:sz w:val="22"/>
              </w:rPr>
              <w:t xml:space="preserve">, </w:t>
            </w:r>
            <w:proofErr w:type="spellStart"/>
            <w:r w:rsidRPr="001916D0">
              <w:rPr>
                <w:sz w:val="22"/>
              </w:rPr>
              <w:t>які</w:t>
            </w:r>
            <w:proofErr w:type="spellEnd"/>
            <w:r w:rsidRPr="001916D0">
              <w:rPr>
                <w:sz w:val="22"/>
              </w:rPr>
              <w:t xml:space="preserve"> </w:t>
            </w:r>
            <w:proofErr w:type="spellStart"/>
            <w:r w:rsidRPr="001916D0">
              <w:rPr>
                <w:sz w:val="22"/>
              </w:rPr>
              <w:t>перебувають</w:t>
            </w:r>
            <w:proofErr w:type="spellEnd"/>
            <w:r w:rsidRPr="001916D0">
              <w:rPr>
                <w:sz w:val="22"/>
              </w:rPr>
              <w:t xml:space="preserve"> в </w:t>
            </w:r>
            <w:proofErr w:type="spellStart"/>
            <w:r w:rsidRPr="001916D0">
              <w:rPr>
                <w:sz w:val="22"/>
              </w:rPr>
              <w:t>комунальній</w:t>
            </w:r>
            <w:proofErr w:type="spellEnd"/>
            <w:r w:rsidRPr="001916D0">
              <w:rPr>
                <w:sz w:val="22"/>
              </w:rPr>
              <w:t xml:space="preserve"> </w:t>
            </w:r>
            <w:proofErr w:type="spellStart"/>
            <w:r w:rsidRPr="001916D0">
              <w:rPr>
                <w:sz w:val="22"/>
              </w:rPr>
              <w:t>власності</w:t>
            </w:r>
            <w:proofErr w:type="spellEnd"/>
            <w:r w:rsidRPr="001916D0">
              <w:rPr>
                <w:sz w:val="22"/>
              </w:rPr>
              <w:t xml:space="preserve"> </w:t>
            </w:r>
            <w:proofErr w:type="spellStart"/>
            <w:r w:rsidRPr="001916D0">
              <w:rPr>
                <w:sz w:val="22"/>
              </w:rPr>
              <w:t>Сєвєродонецької</w:t>
            </w:r>
            <w:proofErr w:type="spellEnd"/>
            <w:r w:rsidRPr="001916D0">
              <w:rPr>
                <w:sz w:val="22"/>
              </w:rPr>
              <w:t xml:space="preserve"> </w:t>
            </w:r>
            <w:proofErr w:type="spellStart"/>
            <w:r w:rsidRPr="001916D0">
              <w:rPr>
                <w:sz w:val="22"/>
              </w:rPr>
              <w:t>міської</w:t>
            </w:r>
            <w:proofErr w:type="spellEnd"/>
            <w:r w:rsidRPr="001916D0">
              <w:rPr>
                <w:sz w:val="22"/>
              </w:rPr>
              <w:t xml:space="preserve"> </w:t>
            </w:r>
            <w:proofErr w:type="spellStart"/>
            <w:r w:rsidRPr="001916D0">
              <w:rPr>
                <w:sz w:val="22"/>
              </w:rPr>
              <w:t>територіальної</w:t>
            </w:r>
            <w:proofErr w:type="spellEnd"/>
            <w:r w:rsidRPr="001916D0">
              <w:rPr>
                <w:sz w:val="22"/>
              </w:rPr>
              <w:t xml:space="preserve"> </w:t>
            </w:r>
            <w:proofErr w:type="spellStart"/>
            <w:r w:rsidRPr="001916D0">
              <w:rPr>
                <w:sz w:val="22"/>
              </w:rPr>
              <w:t>громади</w:t>
            </w:r>
            <w:proofErr w:type="spellEnd"/>
            <w:r w:rsidRPr="001916D0">
              <w:rPr>
                <w:sz w:val="22"/>
              </w:rPr>
              <w:t xml:space="preserve">, </w:t>
            </w:r>
            <w:proofErr w:type="spellStart"/>
            <w:r w:rsidRPr="001916D0">
              <w:rPr>
                <w:sz w:val="22"/>
              </w:rPr>
              <w:t>зруйновані</w:t>
            </w:r>
            <w:proofErr w:type="spellEnd"/>
            <w:r w:rsidRPr="001916D0">
              <w:rPr>
                <w:sz w:val="22"/>
              </w:rPr>
              <w:t xml:space="preserve"> </w:t>
            </w:r>
            <w:proofErr w:type="spellStart"/>
            <w:r w:rsidRPr="001916D0">
              <w:rPr>
                <w:sz w:val="22"/>
              </w:rPr>
              <w:t>або</w:t>
            </w:r>
            <w:proofErr w:type="spellEnd"/>
            <w:r w:rsidRPr="001916D0">
              <w:rPr>
                <w:sz w:val="22"/>
              </w:rPr>
              <w:t xml:space="preserve"> </w:t>
            </w:r>
            <w:proofErr w:type="spellStart"/>
            <w:r w:rsidRPr="001916D0">
              <w:rPr>
                <w:sz w:val="22"/>
              </w:rPr>
              <w:t>пошкоджені</w:t>
            </w:r>
            <w:proofErr w:type="spellEnd"/>
            <w:r w:rsidRPr="001916D0">
              <w:rPr>
                <w:sz w:val="22"/>
              </w:rPr>
              <w:t>.</w:t>
            </w:r>
          </w:p>
          <w:p w:rsidR="00840C91" w:rsidRPr="001916D0" w:rsidRDefault="00840C91" w:rsidP="00E77635">
            <w:pPr>
              <w:ind w:firstLine="708"/>
              <w:rPr>
                <w:rFonts w:eastAsia="Arial"/>
                <w:sz w:val="22"/>
              </w:rPr>
            </w:pPr>
            <w:r w:rsidRPr="001916D0">
              <w:rPr>
                <w:sz w:val="22"/>
              </w:rPr>
              <w:t>До 24.02.202</w:t>
            </w:r>
            <w:r w:rsidR="00272B30" w:rsidRPr="001916D0">
              <w:rPr>
                <w:sz w:val="22"/>
              </w:rPr>
              <w:t>2 року</w:t>
            </w:r>
            <w:r w:rsidRPr="001916D0">
              <w:rPr>
                <w:sz w:val="22"/>
              </w:rPr>
              <w:t xml:space="preserve"> в </w:t>
            </w:r>
            <w:proofErr w:type="spellStart"/>
            <w:r w:rsidRPr="001916D0">
              <w:rPr>
                <w:sz w:val="22"/>
              </w:rPr>
              <w:t>означеному</w:t>
            </w:r>
            <w:proofErr w:type="spellEnd"/>
            <w:r w:rsidRPr="001916D0">
              <w:rPr>
                <w:sz w:val="22"/>
              </w:rPr>
              <w:t xml:space="preserve"> </w:t>
            </w:r>
            <w:proofErr w:type="spellStart"/>
            <w:r w:rsidRPr="001916D0">
              <w:rPr>
                <w:sz w:val="22"/>
              </w:rPr>
              <w:t>приміщенні</w:t>
            </w:r>
            <w:proofErr w:type="spellEnd"/>
            <w:r w:rsidRPr="001916D0">
              <w:rPr>
                <w:sz w:val="22"/>
              </w:rPr>
              <w:t xml:space="preserve"> </w:t>
            </w:r>
            <w:proofErr w:type="spellStart"/>
            <w:r w:rsidRPr="001916D0">
              <w:rPr>
                <w:sz w:val="22"/>
              </w:rPr>
              <w:t>розташовувалася</w:t>
            </w:r>
            <w:proofErr w:type="spellEnd"/>
            <w:r w:rsidRPr="001916D0">
              <w:rPr>
                <w:sz w:val="22"/>
              </w:rPr>
              <w:t xml:space="preserve"> ДКСУ у м. </w:t>
            </w:r>
            <w:proofErr w:type="spellStart"/>
            <w:r w:rsidRPr="001916D0">
              <w:rPr>
                <w:sz w:val="22"/>
              </w:rPr>
              <w:t>Сєвєродонецьк</w:t>
            </w:r>
            <w:proofErr w:type="spellEnd"/>
            <w:r w:rsidRPr="001916D0">
              <w:rPr>
                <w:sz w:val="22"/>
              </w:rPr>
              <w:t xml:space="preserve"> </w:t>
            </w:r>
            <w:proofErr w:type="spellStart"/>
            <w:r w:rsidRPr="001916D0">
              <w:rPr>
                <w:sz w:val="22"/>
              </w:rPr>
              <w:t>Луганської</w:t>
            </w:r>
            <w:proofErr w:type="spellEnd"/>
            <w:r w:rsidRPr="001916D0">
              <w:rPr>
                <w:sz w:val="22"/>
              </w:rPr>
              <w:t xml:space="preserve"> </w:t>
            </w:r>
            <w:proofErr w:type="spellStart"/>
            <w:proofErr w:type="gramStart"/>
            <w:r w:rsidRPr="001916D0">
              <w:rPr>
                <w:sz w:val="22"/>
              </w:rPr>
              <w:t>області</w:t>
            </w:r>
            <w:proofErr w:type="spellEnd"/>
            <w:r w:rsidRPr="001916D0">
              <w:rPr>
                <w:sz w:val="22"/>
              </w:rPr>
              <w:t xml:space="preserve">  з</w:t>
            </w:r>
            <w:proofErr w:type="gramEnd"/>
            <w:r w:rsidRPr="001916D0">
              <w:rPr>
                <w:sz w:val="22"/>
              </w:rPr>
              <w:t xml:space="preserve"> метою </w:t>
            </w:r>
            <w:proofErr w:type="spellStart"/>
            <w:r w:rsidRPr="001916D0">
              <w:rPr>
                <w:sz w:val="22"/>
              </w:rPr>
              <w:t>надання</w:t>
            </w:r>
            <w:proofErr w:type="spellEnd"/>
            <w:r w:rsidRPr="001916D0">
              <w:rPr>
                <w:sz w:val="22"/>
              </w:rPr>
              <w:t xml:space="preserve"> </w:t>
            </w:r>
            <w:proofErr w:type="spellStart"/>
            <w:r w:rsidRPr="001916D0">
              <w:rPr>
                <w:sz w:val="22"/>
              </w:rPr>
              <w:t>послуг</w:t>
            </w:r>
            <w:proofErr w:type="spellEnd"/>
            <w:r w:rsidRPr="001916D0">
              <w:rPr>
                <w:sz w:val="22"/>
              </w:rPr>
              <w:t xml:space="preserve">, </w:t>
            </w:r>
            <w:proofErr w:type="spellStart"/>
            <w:r w:rsidRPr="001916D0">
              <w:rPr>
                <w:sz w:val="22"/>
              </w:rPr>
              <w:t>пов’язаних</w:t>
            </w:r>
            <w:proofErr w:type="spellEnd"/>
            <w:r w:rsidRPr="001916D0">
              <w:rPr>
                <w:sz w:val="22"/>
              </w:rPr>
              <w:t xml:space="preserve"> з </w:t>
            </w:r>
            <w:proofErr w:type="spellStart"/>
            <w:r w:rsidRPr="001916D0">
              <w:rPr>
                <w:sz w:val="22"/>
              </w:rPr>
              <w:t>касовим</w:t>
            </w:r>
            <w:proofErr w:type="spellEnd"/>
            <w:r w:rsidRPr="001916D0">
              <w:rPr>
                <w:sz w:val="22"/>
              </w:rPr>
              <w:t xml:space="preserve"> </w:t>
            </w:r>
            <w:proofErr w:type="spellStart"/>
            <w:r w:rsidRPr="001916D0">
              <w:rPr>
                <w:sz w:val="22"/>
              </w:rPr>
              <w:t>виконанням</w:t>
            </w:r>
            <w:proofErr w:type="spellEnd"/>
            <w:r w:rsidRPr="001916D0">
              <w:rPr>
                <w:sz w:val="22"/>
              </w:rPr>
              <w:t xml:space="preserve"> державного бюджету, </w:t>
            </w:r>
            <w:proofErr w:type="spellStart"/>
            <w:r w:rsidRPr="001916D0">
              <w:rPr>
                <w:sz w:val="22"/>
              </w:rPr>
              <w:t>установам</w:t>
            </w:r>
            <w:proofErr w:type="spellEnd"/>
            <w:r w:rsidRPr="001916D0">
              <w:rPr>
                <w:sz w:val="22"/>
              </w:rPr>
              <w:t xml:space="preserve"> та </w:t>
            </w:r>
            <w:proofErr w:type="spellStart"/>
            <w:r w:rsidRPr="001916D0">
              <w:rPr>
                <w:sz w:val="22"/>
              </w:rPr>
              <w:t>організаціям</w:t>
            </w:r>
            <w:proofErr w:type="spellEnd"/>
            <w:r w:rsidRPr="001916D0">
              <w:rPr>
                <w:sz w:val="22"/>
              </w:rPr>
              <w:t xml:space="preserve">, </w:t>
            </w:r>
            <w:proofErr w:type="spellStart"/>
            <w:r w:rsidRPr="001916D0">
              <w:rPr>
                <w:sz w:val="22"/>
              </w:rPr>
              <w:t>які</w:t>
            </w:r>
            <w:proofErr w:type="spellEnd"/>
            <w:r w:rsidRPr="001916D0">
              <w:rPr>
                <w:sz w:val="22"/>
              </w:rPr>
              <w:t xml:space="preserve"> </w:t>
            </w:r>
            <w:proofErr w:type="spellStart"/>
            <w:r w:rsidRPr="001916D0">
              <w:rPr>
                <w:sz w:val="22"/>
              </w:rPr>
              <w:t>фінансуються</w:t>
            </w:r>
            <w:proofErr w:type="spellEnd"/>
            <w:r w:rsidRPr="001916D0">
              <w:rPr>
                <w:sz w:val="22"/>
              </w:rPr>
              <w:t xml:space="preserve"> за </w:t>
            </w:r>
            <w:proofErr w:type="spellStart"/>
            <w:r w:rsidRPr="001916D0">
              <w:rPr>
                <w:sz w:val="22"/>
              </w:rPr>
              <w:t>рахунок</w:t>
            </w:r>
            <w:proofErr w:type="spellEnd"/>
            <w:r w:rsidRPr="001916D0">
              <w:rPr>
                <w:sz w:val="22"/>
              </w:rPr>
              <w:t xml:space="preserve"> державного та </w:t>
            </w:r>
            <w:proofErr w:type="spellStart"/>
            <w:r w:rsidRPr="001916D0">
              <w:rPr>
                <w:sz w:val="22"/>
              </w:rPr>
              <w:t>місцевого</w:t>
            </w:r>
            <w:proofErr w:type="spellEnd"/>
            <w:r w:rsidRPr="001916D0">
              <w:rPr>
                <w:sz w:val="22"/>
              </w:rPr>
              <w:t xml:space="preserve"> </w:t>
            </w:r>
            <w:proofErr w:type="spellStart"/>
            <w:r w:rsidRPr="001916D0">
              <w:rPr>
                <w:sz w:val="22"/>
              </w:rPr>
              <w:t>бюджетів</w:t>
            </w:r>
            <w:proofErr w:type="spellEnd"/>
            <w:r w:rsidRPr="001916D0">
              <w:rPr>
                <w:sz w:val="22"/>
              </w:rPr>
              <w:t xml:space="preserve">. Для </w:t>
            </w:r>
            <w:proofErr w:type="spellStart"/>
            <w:r w:rsidRPr="001916D0">
              <w:rPr>
                <w:sz w:val="22"/>
              </w:rPr>
              <w:t>поновлення</w:t>
            </w:r>
            <w:proofErr w:type="spellEnd"/>
            <w:r w:rsidRPr="001916D0">
              <w:rPr>
                <w:sz w:val="22"/>
              </w:rPr>
              <w:t xml:space="preserve"> </w:t>
            </w:r>
            <w:proofErr w:type="spellStart"/>
            <w:r w:rsidRPr="001916D0">
              <w:rPr>
                <w:sz w:val="22"/>
              </w:rPr>
              <w:t>життєдіяльності</w:t>
            </w:r>
            <w:proofErr w:type="spellEnd"/>
            <w:r w:rsidRPr="001916D0">
              <w:rPr>
                <w:sz w:val="22"/>
              </w:rPr>
              <w:t xml:space="preserve"> </w:t>
            </w:r>
            <w:proofErr w:type="spellStart"/>
            <w:r w:rsidRPr="001916D0">
              <w:rPr>
                <w:sz w:val="22"/>
              </w:rPr>
              <w:t>громади</w:t>
            </w:r>
            <w:proofErr w:type="spellEnd"/>
            <w:r w:rsidRPr="001916D0">
              <w:rPr>
                <w:sz w:val="22"/>
              </w:rPr>
              <w:t xml:space="preserve">, нормального </w:t>
            </w:r>
            <w:proofErr w:type="spellStart"/>
            <w:r w:rsidRPr="001916D0">
              <w:rPr>
                <w:sz w:val="22"/>
              </w:rPr>
              <w:t>функціонування</w:t>
            </w:r>
            <w:proofErr w:type="spellEnd"/>
            <w:r w:rsidRPr="001916D0">
              <w:rPr>
                <w:sz w:val="22"/>
              </w:rPr>
              <w:t xml:space="preserve"> </w:t>
            </w:r>
            <w:proofErr w:type="spellStart"/>
            <w:r w:rsidRPr="001916D0">
              <w:rPr>
                <w:sz w:val="22"/>
              </w:rPr>
              <w:t>державної</w:t>
            </w:r>
            <w:proofErr w:type="spellEnd"/>
            <w:r w:rsidRPr="001916D0">
              <w:rPr>
                <w:sz w:val="22"/>
              </w:rPr>
              <w:t xml:space="preserve"> та </w:t>
            </w:r>
            <w:proofErr w:type="spellStart"/>
            <w:r w:rsidRPr="001916D0">
              <w:rPr>
                <w:sz w:val="22"/>
              </w:rPr>
              <w:t>місцевої</w:t>
            </w:r>
            <w:proofErr w:type="spellEnd"/>
            <w:r w:rsidRPr="001916D0">
              <w:rPr>
                <w:sz w:val="22"/>
              </w:rPr>
              <w:t xml:space="preserve"> </w:t>
            </w:r>
            <w:proofErr w:type="spellStart"/>
            <w:r w:rsidRPr="001916D0">
              <w:rPr>
                <w:sz w:val="22"/>
              </w:rPr>
              <w:t>системи</w:t>
            </w:r>
            <w:proofErr w:type="spellEnd"/>
            <w:r w:rsidRPr="001916D0">
              <w:rPr>
                <w:sz w:val="22"/>
              </w:rPr>
              <w:t xml:space="preserve"> </w:t>
            </w:r>
            <w:proofErr w:type="spellStart"/>
            <w:r w:rsidRPr="001916D0">
              <w:rPr>
                <w:sz w:val="22"/>
              </w:rPr>
              <w:t>управління</w:t>
            </w:r>
            <w:proofErr w:type="spellEnd"/>
            <w:r w:rsidRPr="001916D0">
              <w:rPr>
                <w:sz w:val="22"/>
              </w:rPr>
              <w:t xml:space="preserve">, </w:t>
            </w:r>
            <w:proofErr w:type="spellStart"/>
            <w:r w:rsidRPr="001916D0">
              <w:rPr>
                <w:sz w:val="22"/>
              </w:rPr>
              <w:t>стимулювання</w:t>
            </w:r>
            <w:proofErr w:type="spellEnd"/>
            <w:r w:rsidRPr="001916D0">
              <w:rPr>
                <w:sz w:val="22"/>
              </w:rPr>
              <w:t xml:space="preserve"> </w:t>
            </w:r>
            <w:proofErr w:type="spellStart"/>
            <w:r w:rsidRPr="001916D0">
              <w:rPr>
                <w:sz w:val="22"/>
              </w:rPr>
              <w:t>повернення</w:t>
            </w:r>
            <w:proofErr w:type="spellEnd"/>
            <w:r w:rsidRPr="001916D0">
              <w:rPr>
                <w:sz w:val="22"/>
              </w:rPr>
              <w:t xml:space="preserve"> </w:t>
            </w:r>
            <w:proofErr w:type="spellStart"/>
            <w:r w:rsidRPr="001916D0">
              <w:rPr>
                <w:sz w:val="22"/>
              </w:rPr>
              <w:t>мешканців</w:t>
            </w:r>
            <w:proofErr w:type="spellEnd"/>
            <w:r w:rsidRPr="001916D0">
              <w:rPr>
                <w:sz w:val="22"/>
              </w:rPr>
              <w:t xml:space="preserve"> до </w:t>
            </w:r>
            <w:proofErr w:type="spellStart"/>
            <w:r w:rsidRPr="001916D0">
              <w:rPr>
                <w:sz w:val="22"/>
              </w:rPr>
              <w:t>громади</w:t>
            </w:r>
            <w:proofErr w:type="spellEnd"/>
            <w:r w:rsidRPr="001916D0">
              <w:rPr>
                <w:sz w:val="22"/>
              </w:rPr>
              <w:t xml:space="preserve"> </w:t>
            </w:r>
            <w:proofErr w:type="spellStart"/>
            <w:r w:rsidRPr="001916D0">
              <w:rPr>
                <w:sz w:val="22"/>
              </w:rPr>
              <w:t>необхідно</w:t>
            </w:r>
            <w:proofErr w:type="spellEnd"/>
            <w:r w:rsidRPr="001916D0">
              <w:rPr>
                <w:sz w:val="22"/>
              </w:rPr>
              <w:t xml:space="preserve"> </w:t>
            </w:r>
            <w:proofErr w:type="spellStart"/>
            <w:r w:rsidRPr="001916D0">
              <w:rPr>
                <w:sz w:val="22"/>
              </w:rPr>
              <w:t>забезпечити</w:t>
            </w:r>
            <w:proofErr w:type="spellEnd"/>
            <w:r w:rsidRPr="001916D0">
              <w:rPr>
                <w:sz w:val="22"/>
              </w:rPr>
              <w:t xml:space="preserve"> </w:t>
            </w:r>
            <w:proofErr w:type="spellStart"/>
            <w:r w:rsidRPr="001916D0">
              <w:rPr>
                <w:sz w:val="22"/>
              </w:rPr>
              <w:t>їх</w:t>
            </w:r>
            <w:proofErr w:type="spellEnd"/>
            <w:r w:rsidRPr="001916D0">
              <w:rPr>
                <w:sz w:val="22"/>
              </w:rPr>
              <w:t xml:space="preserve"> </w:t>
            </w:r>
            <w:proofErr w:type="spellStart"/>
            <w:r w:rsidRPr="001916D0">
              <w:rPr>
                <w:sz w:val="22"/>
              </w:rPr>
              <w:t>всіма</w:t>
            </w:r>
            <w:proofErr w:type="spellEnd"/>
            <w:r w:rsidRPr="001916D0">
              <w:rPr>
                <w:sz w:val="22"/>
              </w:rPr>
              <w:t xml:space="preserve"> </w:t>
            </w:r>
            <w:proofErr w:type="spellStart"/>
            <w:r w:rsidRPr="001916D0">
              <w:rPr>
                <w:sz w:val="22"/>
              </w:rPr>
              <w:t>необхідними</w:t>
            </w:r>
            <w:proofErr w:type="spellEnd"/>
            <w:r w:rsidRPr="001916D0">
              <w:rPr>
                <w:sz w:val="22"/>
              </w:rPr>
              <w:t xml:space="preserve"> </w:t>
            </w:r>
            <w:proofErr w:type="spellStart"/>
            <w:r w:rsidRPr="001916D0">
              <w:rPr>
                <w:sz w:val="22"/>
              </w:rPr>
              <w:t>послугами</w:t>
            </w:r>
            <w:proofErr w:type="spellEnd"/>
            <w:r w:rsidRPr="001916D0">
              <w:rPr>
                <w:sz w:val="22"/>
              </w:rPr>
              <w:t xml:space="preserve">, </w:t>
            </w:r>
            <w:proofErr w:type="spellStart"/>
            <w:r w:rsidRPr="001916D0">
              <w:rPr>
                <w:sz w:val="22"/>
              </w:rPr>
              <w:t>гарантованими</w:t>
            </w:r>
            <w:proofErr w:type="spellEnd"/>
            <w:r w:rsidRPr="001916D0">
              <w:rPr>
                <w:sz w:val="22"/>
              </w:rPr>
              <w:t xml:space="preserve"> </w:t>
            </w:r>
            <w:proofErr w:type="spellStart"/>
            <w:r w:rsidRPr="001916D0">
              <w:rPr>
                <w:sz w:val="22"/>
              </w:rPr>
              <w:t>законодавством</w:t>
            </w:r>
            <w:proofErr w:type="spellEnd"/>
            <w:r w:rsidRPr="001916D0">
              <w:rPr>
                <w:sz w:val="22"/>
              </w:rPr>
              <w:t xml:space="preserve"> </w:t>
            </w:r>
            <w:proofErr w:type="spellStart"/>
            <w:r w:rsidRPr="001916D0">
              <w:rPr>
                <w:sz w:val="22"/>
              </w:rPr>
              <w:t>України</w:t>
            </w:r>
            <w:proofErr w:type="spellEnd"/>
            <w:r w:rsidRPr="001916D0">
              <w:rPr>
                <w:sz w:val="22"/>
              </w:rPr>
              <w:t>.</w:t>
            </w:r>
            <w:r w:rsidRPr="001916D0">
              <w:rPr>
                <w:rFonts w:eastAsia="Arial"/>
                <w:sz w:val="22"/>
              </w:rPr>
              <w:t xml:space="preserve">        </w:t>
            </w:r>
          </w:p>
          <w:p w:rsidR="00840C91" w:rsidRPr="001916D0" w:rsidRDefault="00840C91" w:rsidP="00E77635">
            <w:pPr>
              <w:ind w:firstLine="708"/>
              <w:rPr>
                <w:sz w:val="22"/>
              </w:rPr>
            </w:pPr>
            <w:proofErr w:type="spellStart"/>
            <w:r w:rsidRPr="001916D0">
              <w:rPr>
                <w:rFonts w:eastAsia="Arial"/>
                <w:sz w:val="22"/>
              </w:rPr>
              <w:t>Адміністративне</w:t>
            </w:r>
            <w:proofErr w:type="spellEnd"/>
            <w:r w:rsidRPr="001916D0">
              <w:rPr>
                <w:rFonts w:eastAsia="Arial"/>
                <w:sz w:val="22"/>
              </w:rPr>
              <w:t xml:space="preserve"> </w:t>
            </w:r>
            <w:proofErr w:type="spellStart"/>
            <w:r w:rsidRPr="001916D0">
              <w:rPr>
                <w:rFonts w:eastAsia="Arial"/>
                <w:sz w:val="22"/>
              </w:rPr>
              <w:t>приміщення</w:t>
            </w:r>
            <w:proofErr w:type="spellEnd"/>
            <w:r w:rsidRPr="001916D0">
              <w:rPr>
                <w:rFonts w:eastAsia="Arial"/>
                <w:sz w:val="22"/>
              </w:rPr>
              <w:t xml:space="preserve"> по </w:t>
            </w:r>
            <w:proofErr w:type="spellStart"/>
            <w:r w:rsidRPr="001916D0">
              <w:rPr>
                <w:rFonts w:eastAsia="Arial"/>
                <w:sz w:val="22"/>
              </w:rPr>
              <w:t>вулю</w:t>
            </w:r>
            <w:proofErr w:type="spellEnd"/>
            <w:r w:rsidRPr="001916D0">
              <w:rPr>
                <w:rFonts w:eastAsia="Arial"/>
                <w:sz w:val="22"/>
              </w:rPr>
              <w:t xml:space="preserve"> Науки, буд. 5 </w:t>
            </w:r>
            <w:proofErr w:type="spellStart"/>
            <w:r w:rsidRPr="001916D0">
              <w:rPr>
                <w:rFonts w:eastAsia="Arial"/>
                <w:sz w:val="22"/>
              </w:rPr>
              <w:t>зазнало</w:t>
            </w:r>
            <w:proofErr w:type="spellEnd"/>
            <w:r w:rsidRPr="001916D0">
              <w:rPr>
                <w:rFonts w:eastAsia="Arial"/>
                <w:sz w:val="22"/>
              </w:rPr>
              <w:t xml:space="preserve"> </w:t>
            </w:r>
            <w:proofErr w:type="spellStart"/>
            <w:r w:rsidRPr="001916D0">
              <w:rPr>
                <w:rFonts w:eastAsia="Arial"/>
                <w:sz w:val="22"/>
              </w:rPr>
              <w:t>пошкоджень</w:t>
            </w:r>
            <w:proofErr w:type="spellEnd"/>
            <w:r w:rsidRPr="001916D0">
              <w:rPr>
                <w:rFonts w:eastAsia="Arial"/>
                <w:sz w:val="22"/>
              </w:rPr>
              <w:t xml:space="preserve">, </w:t>
            </w:r>
            <w:proofErr w:type="spellStart"/>
            <w:r w:rsidRPr="001916D0">
              <w:rPr>
                <w:rFonts w:eastAsia="Arial"/>
                <w:sz w:val="22"/>
              </w:rPr>
              <w:t>зокрема</w:t>
            </w:r>
            <w:proofErr w:type="spellEnd"/>
            <w:r w:rsidRPr="001916D0">
              <w:rPr>
                <w:rFonts w:eastAsia="Arial"/>
                <w:sz w:val="22"/>
              </w:rPr>
              <w:t xml:space="preserve"> </w:t>
            </w:r>
            <w:proofErr w:type="spellStart"/>
            <w:r w:rsidRPr="001916D0">
              <w:rPr>
                <w:rFonts w:eastAsia="Arial"/>
                <w:sz w:val="22"/>
              </w:rPr>
              <w:t>пошкоджені</w:t>
            </w:r>
            <w:proofErr w:type="spellEnd"/>
            <w:r w:rsidRPr="001916D0">
              <w:rPr>
                <w:rFonts w:eastAsia="Arial"/>
                <w:sz w:val="22"/>
              </w:rPr>
              <w:t xml:space="preserve"> </w:t>
            </w:r>
            <w:proofErr w:type="spellStart"/>
            <w:r w:rsidRPr="001916D0">
              <w:rPr>
                <w:rFonts w:eastAsia="Arial"/>
                <w:sz w:val="22"/>
              </w:rPr>
              <w:t>вікна</w:t>
            </w:r>
            <w:proofErr w:type="spellEnd"/>
            <w:r w:rsidRPr="001916D0">
              <w:rPr>
                <w:rFonts w:eastAsia="Arial"/>
                <w:sz w:val="22"/>
              </w:rPr>
              <w:t xml:space="preserve">, </w:t>
            </w:r>
            <w:proofErr w:type="spellStart"/>
            <w:r w:rsidRPr="001916D0">
              <w:rPr>
                <w:rFonts w:eastAsia="Arial"/>
                <w:sz w:val="22"/>
              </w:rPr>
              <w:t>внутрішнє</w:t>
            </w:r>
            <w:proofErr w:type="spellEnd"/>
            <w:r w:rsidRPr="001916D0">
              <w:rPr>
                <w:rFonts w:eastAsia="Arial"/>
                <w:sz w:val="22"/>
              </w:rPr>
              <w:t xml:space="preserve"> та </w:t>
            </w:r>
            <w:proofErr w:type="spellStart"/>
            <w:r w:rsidRPr="001916D0">
              <w:rPr>
                <w:rFonts w:eastAsia="Arial"/>
                <w:sz w:val="22"/>
              </w:rPr>
              <w:t>зовнішнє</w:t>
            </w:r>
            <w:proofErr w:type="spellEnd"/>
            <w:r w:rsidRPr="001916D0">
              <w:rPr>
                <w:rFonts w:eastAsia="Arial"/>
                <w:sz w:val="22"/>
              </w:rPr>
              <w:t xml:space="preserve"> </w:t>
            </w:r>
            <w:proofErr w:type="spellStart"/>
            <w:r w:rsidRPr="001916D0">
              <w:rPr>
                <w:rFonts w:eastAsia="Arial"/>
                <w:sz w:val="22"/>
              </w:rPr>
              <w:t>оздоблення</w:t>
            </w:r>
            <w:proofErr w:type="spellEnd"/>
            <w:r w:rsidRPr="001916D0">
              <w:rPr>
                <w:rFonts w:eastAsia="Arial"/>
                <w:sz w:val="22"/>
              </w:rPr>
              <w:t xml:space="preserve"> та </w:t>
            </w:r>
            <w:proofErr w:type="spellStart"/>
            <w:r w:rsidRPr="001916D0">
              <w:rPr>
                <w:rFonts w:eastAsia="Arial"/>
                <w:sz w:val="22"/>
              </w:rPr>
              <w:t>конструкції</w:t>
            </w:r>
            <w:proofErr w:type="spellEnd"/>
            <w:r w:rsidRPr="001916D0">
              <w:rPr>
                <w:rFonts w:eastAsia="Arial"/>
                <w:sz w:val="22"/>
              </w:rPr>
              <w:t xml:space="preserve">. </w:t>
            </w:r>
          </w:p>
        </w:tc>
      </w:tr>
      <w:tr w:rsidR="00840C91" w:rsidRPr="001916D0" w:rsidTr="00840C91">
        <w:tc>
          <w:tcPr>
            <w:tcW w:w="2836" w:type="dxa"/>
            <w:shd w:val="clear" w:color="auto" w:fill="C6D9F1" w:themeFill="text2" w:themeFillTint="33"/>
          </w:tcPr>
          <w:p w:rsidR="00840C91" w:rsidRPr="001916D0" w:rsidRDefault="00840C91" w:rsidP="00E77635">
            <w:pPr>
              <w:pStyle w:val="a7"/>
              <w:ind w:left="0"/>
              <w:rPr>
                <w:b/>
                <w:sz w:val="22"/>
              </w:rPr>
            </w:pPr>
            <w:proofErr w:type="spellStart"/>
            <w:r w:rsidRPr="001916D0">
              <w:rPr>
                <w:b/>
                <w:sz w:val="22"/>
              </w:rPr>
              <w:t>Очікувані</w:t>
            </w:r>
            <w:proofErr w:type="spellEnd"/>
            <w:r w:rsidRPr="001916D0">
              <w:rPr>
                <w:b/>
                <w:sz w:val="22"/>
              </w:rPr>
              <w:t xml:space="preserve"> </w:t>
            </w:r>
            <w:proofErr w:type="spellStart"/>
            <w:r w:rsidRPr="001916D0">
              <w:rPr>
                <w:b/>
                <w:sz w:val="22"/>
              </w:rPr>
              <w:t>якісні</w:t>
            </w:r>
            <w:proofErr w:type="spellEnd"/>
            <w:r w:rsidRPr="001916D0">
              <w:rPr>
                <w:b/>
                <w:sz w:val="22"/>
              </w:rPr>
              <w:t xml:space="preserve"> </w:t>
            </w:r>
            <w:proofErr w:type="spellStart"/>
            <w:r w:rsidRPr="001916D0">
              <w:rPr>
                <w:b/>
                <w:sz w:val="22"/>
              </w:rPr>
              <w:t>результати</w:t>
            </w:r>
            <w:proofErr w:type="spellEnd"/>
            <w:r w:rsidRPr="001916D0">
              <w:rPr>
                <w:b/>
                <w:sz w:val="22"/>
              </w:rPr>
              <w:t xml:space="preserve"> </w:t>
            </w:r>
            <w:proofErr w:type="spellStart"/>
            <w:r w:rsidRPr="001916D0">
              <w:rPr>
                <w:b/>
                <w:sz w:val="22"/>
              </w:rPr>
              <w:t>від</w:t>
            </w:r>
            <w:proofErr w:type="spellEnd"/>
            <w:r w:rsidRPr="001916D0">
              <w:rPr>
                <w:b/>
                <w:sz w:val="22"/>
              </w:rPr>
              <w:t xml:space="preserve"> </w:t>
            </w:r>
            <w:proofErr w:type="spellStart"/>
            <w:r w:rsidRPr="001916D0">
              <w:rPr>
                <w:b/>
                <w:sz w:val="22"/>
              </w:rPr>
              <w:t>реалізації</w:t>
            </w:r>
            <w:proofErr w:type="spellEnd"/>
            <w:r w:rsidRPr="001916D0">
              <w:rPr>
                <w:b/>
                <w:sz w:val="22"/>
              </w:rPr>
              <w:t xml:space="preserve"> проекту</w:t>
            </w:r>
          </w:p>
        </w:tc>
        <w:tc>
          <w:tcPr>
            <w:tcW w:w="7052" w:type="dxa"/>
            <w:gridSpan w:val="7"/>
          </w:tcPr>
          <w:p w:rsidR="00840C91" w:rsidRPr="001916D0" w:rsidRDefault="00840C91" w:rsidP="000303D7">
            <w:pPr>
              <w:pStyle w:val="a7"/>
              <w:numPr>
                <w:ilvl w:val="0"/>
                <w:numId w:val="27"/>
              </w:numPr>
              <w:jc w:val="left"/>
              <w:rPr>
                <w:sz w:val="22"/>
              </w:rPr>
            </w:pPr>
            <w:proofErr w:type="spellStart"/>
            <w:r w:rsidRPr="001916D0">
              <w:rPr>
                <w:sz w:val="22"/>
              </w:rPr>
              <w:t>отримання</w:t>
            </w:r>
            <w:proofErr w:type="spellEnd"/>
            <w:r w:rsidRPr="001916D0">
              <w:rPr>
                <w:sz w:val="22"/>
              </w:rPr>
              <w:t xml:space="preserve"> </w:t>
            </w:r>
            <w:proofErr w:type="spellStart"/>
            <w:r w:rsidRPr="001916D0">
              <w:rPr>
                <w:sz w:val="22"/>
              </w:rPr>
              <w:t>мешканцями</w:t>
            </w:r>
            <w:proofErr w:type="spellEnd"/>
            <w:r w:rsidRPr="001916D0">
              <w:rPr>
                <w:sz w:val="22"/>
              </w:rPr>
              <w:t xml:space="preserve"> </w:t>
            </w:r>
            <w:proofErr w:type="spellStart"/>
            <w:r w:rsidRPr="001916D0">
              <w:rPr>
                <w:sz w:val="22"/>
              </w:rPr>
              <w:t>громади</w:t>
            </w:r>
            <w:proofErr w:type="spellEnd"/>
            <w:r w:rsidRPr="001916D0">
              <w:rPr>
                <w:sz w:val="22"/>
              </w:rPr>
              <w:t xml:space="preserve"> </w:t>
            </w:r>
            <w:proofErr w:type="spellStart"/>
            <w:r w:rsidRPr="001916D0">
              <w:rPr>
                <w:sz w:val="22"/>
              </w:rPr>
              <w:t>якісних</w:t>
            </w:r>
            <w:proofErr w:type="spellEnd"/>
            <w:r w:rsidRPr="001916D0">
              <w:rPr>
                <w:sz w:val="22"/>
              </w:rPr>
              <w:t xml:space="preserve"> </w:t>
            </w:r>
            <w:proofErr w:type="spellStart"/>
            <w:r w:rsidRPr="001916D0">
              <w:rPr>
                <w:sz w:val="22"/>
              </w:rPr>
              <w:t>послуг</w:t>
            </w:r>
            <w:proofErr w:type="spellEnd"/>
            <w:r w:rsidRPr="001916D0">
              <w:rPr>
                <w:sz w:val="22"/>
              </w:rPr>
              <w:t xml:space="preserve"> </w:t>
            </w:r>
            <w:proofErr w:type="gramStart"/>
            <w:r w:rsidRPr="001916D0">
              <w:rPr>
                <w:sz w:val="22"/>
              </w:rPr>
              <w:t>у сферах</w:t>
            </w:r>
            <w:proofErr w:type="gramEnd"/>
            <w:r w:rsidRPr="001916D0">
              <w:rPr>
                <w:sz w:val="22"/>
              </w:rPr>
              <w:t xml:space="preserve"> </w:t>
            </w:r>
            <w:proofErr w:type="spellStart"/>
            <w:r w:rsidRPr="001916D0">
              <w:rPr>
                <w:sz w:val="22"/>
              </w:rPr>
              <w:t>казначейського</w:t>
            </w:r>
            <w:proofErr w:type="spellEnd"/>
            <w:r w:rsidRPr="001916D0">
              <w:rPr>
                <w:sz w:val="22"/>
              </w:rPr>
              <w:t xml:space="preserve"> </w:t>
            </w:r>
            <w:proofErr w:type="spellStart"/>
            <w:r w:rsidRPr="001916D0">
              <w:rPr>
                <w:sz w:val="22"/>
              </w:rPr>
              <w:t>обслуговування</w:t>
            </w:r>
            <w:proofErr w:type="spellEnd"/>
            <w:r w:rsidRPr="001916D0">
              <w:rPr>
                <w:sz w:val="22"/>
              </w:rPr>
              <w:t xml:space="preserve"> </w:t>
            </w:r>
            <w:proofErr w:type="spellStart"/>
            <w:r w:rsidRPr="001916D0">
              <w:rPr>
                <w:sz w:val="22"/>
              </w:rPr>
              <w:t>бюджетних</w:t>
            </w:r>
            <w:proofErr w:type="spellEnd"/>
            <w:r w:rsidRPr="001916D0">
              <w:rPr>
                <w:sz w:val="22"/>
              </w:rPr>
              <w:t xml:space="preserve"> </w:t>
            </w:r>
            <w:proofErr w:type="spellStart"/>
            <w:r w:rsidRPr="001916D0">
              <w:rPr>
                <w:sz w:val="22"/>
              </w:rPr>
              <w:t>коштів</w:t>
            </w:r>
            <w:proofErr w:type="spellEnd"/>
            <w:r w:rsidRPr="001916D0">
              <w:rPr>
                <w:sz w:val="22"/>
              </w:rPr>
              <w:t xml:space="preserve">, </w:t>
            </w:r>
            <w:proofErr w:type="spellStart"/>
            <w:r w:rsidRPr="001916D0">
              <w:rPr>
                <w:sz w:val="22"/>
              </w:rPr>
              <w:t>коштів</w:t>
            </w:r>
            <w:proofErr w:type="spellEnd"/>
            <w:r w:rsidRPr="001916D0">
              <w:rPr>
                <w:sz w:val="22"/>
              </w:rPr>
              <w:t xml:space="preserve"> </w:t>
            </w:r>
            <w:proofErr w:type="spellStart"/>
            <w:r w:rsidRPr="001916D0">
              <w:rPr>
                <w:sz w:val="22"/>
              </w:rPr>
              <w:t>клієнтів</w:t>
            </w:r>
            <w:proofErr w:type="spellEnd"/>
            <w:r w:rsidRPr="001916D0">
              <w:rPr>
                <w:sz w:val="22"/>
              </w:rPr>
              <w:t xml:space="preserve"> </w:t>
            </w:r>
            <w:proofErr w:type="spellStart"/>
            <w:r w:rsidRPr="001916D0">
              <w:rPr>
                <w:sz w:val="22"/>
              </w:rPr>
              <w:t>відповідно</w:t>
            </w:r>
            <w:proofErr w:type="spellEnd"/>
            <w:r w:rsidRPr="001916D0">
              <w:rPr>
                <w:sz w:val="22"/>
              </w:rPr>
              <w:t xml:space="preserve"> до </w:t>
            </w:r>
            <w:proofErr w:type="spellStart"/>
            <w:r w:rsidRPr="001916D0">
              <w:rPr>
                <w:sz w:val="22"/>
              </w:rPr>
              <w:t>законодавства</w:t>
            </w:r>
            <w:proofErr w:type="spellEnd"/>
            <w:r w:rsidRPr="001916D0">
              <w:rPr>
                <w:sz w:val="22"/>
              </w:rPr>
              <w:t xml:space="preserve">, </w:t>
            </w:r>
            <w:proofErr w:type="spellStart"/>
            <w:r w:rsidRPr="001916D0">
              <w:rPr>
                <w:sz w:val="22"/>
              </w:rPr>
              <w:t>бухгалтерського</w:t>
            </w:r>
            <w:proofErr w:type="spellEnd"/>
            <w:r w:rsidRPr="001916D0">
              <w:rPr>
                <w:sz w:val="22"/>
              </w:rPr>
              <w:t xml:space="preserve"> </w:t>
            </w:r>
            <w:proofErr w:type="spellStart"/>
            <w:r w:rsidRPr="001916D0">
              <w:rPr>
                <w:sz w:val="22"/>
              </w:rPr>
              <w:t>обліку</w:t>
            </w:r>
            <w:proofErr w:type="spellEnd"/>
            <w:r w:rsidRPr="001916D0">
              <w:rPr>
                <w:sz w:val="22"/>
              </w:rPr>
              <w:t xml:space="preserve"> </w:t>
            </w:r>
            <w:proofErr w:type="spellStart"/>
            <w:r w:rsidRPr="001916D0">
              <w:rPr>
                <w:sz w:val="22"/>
              </w:rPr>
              <w:t>виконання</w:t>
            </w:r>
            <w:proofErr w:type="spellEnd"/>
            <w:r w:rsidRPr="001916D0">
              <w:rPr>
                <w:sz w:val="22"/>
              </w:rPr>
              <w:t xml:space="preserve"> </w:t>
            </w:r>
            <w:proofErr w:type="spellStart"/>
            <w:r w:rsidRPr="001916D0">
              <w:rPr>
                <w:sz w:val="22"/>
              </w:rPr>
              <w:t>бюджетів</w:t>
            </w:r>
            <w:proofErr w:type="spellEnd"/>
            <w:r w:rsidRPr="001916D0">
              <w:rPr>
                <w:sz w:val="22"/>
              </w:rPr>
              <w:t>;</w:t>
            </w:r>
          </w:p>
          <w:p w:rsidR="00840C91" w:rsidRPr="001916D0" w:rsidRDefault="00840C91" w:rsidP="000303D7">
            <w:pPr>
              <w:pStyle w:val="a7"/>
              <w:numPr>
                <w:ilvl w:val="0"/>
                <w:numId w:val="27"/>
              </w:numPr>
              <w:jc w:val="left"/>
              <w:rPr>
                <w:sz w:val="22"/>
              </w:rPr>
            </w:pPr>
            <w:proofErr w:type="spellStart"/>
            <w:r w:rsidRPr="001916D0">
              <w:rPr>
                <w:sz w:val="22"/>
              </w:rPr>
              <w:t>мотивація</w:t>
            </w:r>
            <w:proofErr w:type="spellEnd"/>
            <w:r w:rsidRPr="001916D0">
              <w:rPr>
                <w:sz w:val="22"/>
              </w:rPr>
              <w:t xml:space="preserve"> </w:t>
            </w:r>
            <w:proofErr w:type="spellStart"/>
            <w:r w:rsidRPr="001916D0">
              <w:rPr>
                <w:sz w:val="22"/>
              </w:rPr>
              <w:t>мешканців</w:t>
            </w:r>
            <w:proofErr w:type="spellEnd"/>
            <w:r w:rsidRPr="001916D0">
              <w:rPr>
                <w:sz w:val="22"/>
              </w:rPr>
              <w:t xml:space="preserve"> </w:t>
            </w:r>
            <w:proofErr w:type="spellStart"/>
            <w:r w:rsidRPr="001916D0">
              <w:rPr>
                <w:sz w:val="22"/>
              </w:rPr>
              <w:t>громади</w:t>
            </w:r>
            <w:proofErr w:type="spellEnd"/>
            <w:r w:rsidRPr="001916D0">
              <w:rPr>
                <w:sz w:val="22"/>
              </w:rPr>
              <w:t xml:space="preserve"> до </w:t>
            </w:r>
            <w:proofErr w:type="spellStart"/>
            <w:r w:rsidRPr="001916D0">
              <w:rPr>
                <w:sz w:val="22"/>
              </w:rPr>
              <w:t>повернення</w:t>
            </w:r>
            <w:proofErr w:type="spellEnd"/>
            <w:r w:rsidRPr="001916D0">
              <w:rPr>
                <w:sz w:val="22"/>
              </w:rPr>
              <w:t xml:space="preserve"> </w:t>
            </w:r>
            <w:proofErr w:type="gramStart"/>
            <w:r w:rsidRPr="001916D0">
              <w:rPr>
                <w:sz w:val="22"/>
              </w:rPr>
              <w:t>у громаду</w:t>
            </w:r>
            <w:proofErr w:type="gramEnd"/>
            <w:r w:rsidRPr="001916D0">
              <w:rPr>
                <w:sz w:val="22"/>
              </w:rPr>
              <w:t>;</w:t>
            </w:r>
          </w:p>
          <w:p w:rsidR="00840C91" w:rsidRPr="001916D0" w:rsidRDefault="00840C91" w:rsidP="000303D7">
            <w:pPr>
              <w:pStyle w:val="a7"/>
              <w:numPr>
                <w:ilvl w:val="0"/>
                <w:numId w:val="27"/>
              </w:numPr>
              <w:jc w:val="left"/>
              <w:rPr>
                <w:sz w:val="22"/>
              </w:rPr>
            </w:pPr>
            <w:proofErr w:type="spellStart"/>
            <w:r w:rsidRPr="001916D0">
              <w:rPr>
                <w:sz w:val="22"/>
              </w:rPr>
              <w:t>захист</w:t>
            </w:r>
            <w:proofErr w:type="spellEnd"/>
            <w:r w:rsidRPr="001916D0">
              <w:rPr>
                <w:sz w:val="22"/>
              </w:rPr>
              <w:t xml:space="preserve"> </w:t>
            </w:r>
            <w:proofErr w:type="spellStart"/>
            <w:r w:rsidRPr="001916D0">
              <w:rPr>
                <w:sz w:val="22"/>
              </w:rPr>
              <w:t>правових</w:t>
            </w:r>
            <w:proofErr w:type="spellEnd"/>
            <w:r w:rsidRPr="001916D0">
              <w:rPr>
                <w:sz w:val="22"/>
              </w:rPr>
              <w:t xml:space="preserve">, </w:t>
            </w:r>
            <w:proofErr w:type="spellStart"/>
            <w:r w:rsidRPr="001916D0">
              <w:rPr>
                <w:sz w:val="22"/>
              </w:rPr>
              <w:t>фінансових</w:t>
            </w:r>
            <w:proofErr w:type="spellEnd"/>
            <w:r w:rsidRPr="001916D0">
              <w:rPr>
                <w:sz w:val="22"/>
              </w:rPr>
              <w:t>,</w:t>
            </w:r>
            <w:r w:rsidR="00272B30" w:rsidRPr="001916D0">
              <w:rPr>
                <w:sz w:val="22"/>
              </w:rPr>
              <w:t xml:space="preserve"> </w:t>
            </w:r>
            <w:proofErr w:type="spellStart"/>
            <w:r w:rsidRPr="001916D0">
              <w:rPr>
                <w:sz w:val="22"/>
              </w:rPr>
              <w:t>економічних</w:t>
            </w:r>
            <w:proofErr w:type="spellEnd"/>
            <w:r w:rsidRPr="001916D0">
              <w:rPr>
                <w:sz w:val="22"/>
              </w:rPr>
              <w:t xml:space="preserve"> та </w:t>
            </w:r>
            <w:proofErr w:type="spellStart"/>
            <w:r w:rsidRPr="001916D0">
              <w:rPr>
                <w:sz w:val="22"/>
              </w:rPr>
              <w:t>інших</w:t>
            </w:r>
            <w:proofErr w:type="spellEnd"/>
            <w:r w:rsidRPr="001916D0">
              <w:rPr>
                <w:sz w:val="22"/>
              </w:rPr>
              <w:t xml:space="preserve"> </w:t>
            </w:r>
            <w:proofErr w:type="spellStart"/>
            <w:r w:rsidRPr="001916D0">
              <w:rPr>
                <w:sz w:val="22"/>
              </w:rPr>
              <w:t>інтересів</w:t>
            </w:r>
            <w:proofErr w:type="spellEnd"/>
            <w:r w:rsidRPr="001916D0">
              <w:rPr>
                <w:sz w:val="22"/>
              </w:rPr>
              <w:t xml:space="preserve"> </w:t>
            </w:r>
            <w:proofErr w:type="spellStart"/>
            <w:r w:rsidRPr="001916D0">
              <w:rPr>
                <w:sz w:val="22"/>
              </w:rPr>
              <w:t>громадян</w:t>
            </w:r>
            <w:proofErr w:type="spellEnd"/>
            <w:r w:rsidRPr="001916D0">
              <w:rPr>
                <w:sz w:val="22"/>
              </w:rPr>
              <w:t>;</w:t>
            </w:r>
          </w:p>
          <w:p w:rsidR="00840C91" w:rsidRPr="001916D0" w:rsidRDefault="00840C91" w:rsidP="000303D7">
            <w:pPr>
              <w:pStyle w:val="a7"/>
              <w:numPr>
                <w:ilvl w:val="0"/>
                <w:numId w:val="27"/>
              </w:numPr>
              <w:jc w:val="left"/>
              <w:rPr>
                <w:sz w:val="22"/>
              </w:rPr>
            </w:pPr>
            <w:proofErr w:type="spellStart"/>
            <w:r w:rsidRPr="001916D0">
              <w:rPr>
                <w:sz w:val="22"/>
              </w:rPr>
              <w:t>надання</w:t>
            </w:r>
            <w:proofErr w:type="spellEnd"/>
            <w:r w:rsidRPr="001916D0">
              <w:rPr>
                <w:sz w:val="22"/>
              </w:rPr>
              <w:t xml:space="preserve"> </w:t>
            </w:r>
            <w:proofErr w:type="spellStart"/>
            <w:r w:rsidRPr="001916D0">
              <w:rPr>
                <w:sz w:val="22"/>
              </w:rPr>
              <w:t>юридичним</w:t>
            </w:r>
            <w:proofErr w:type="spellEnd"/>
            <w:r w:rsidRPr="001916D0">
              <w:rPr>
                <w:sz w:val="22"/>
              </w:rPr>
              <w:t xml:space="preserve"> та </w:t>
            </w:r>
            <w:proofErr w:type="spellStart"/>
            <w:r w:rsidRPr="001916D0">
              <w:rPr>
                <w:sz w:val="22"/>
              </w:rPr>
              <w:t>фізичним</w:t>
            </w:r>
            <w:proofErr w:type="spellEnd"/>
            <w:r w:rsidRPr="001916D0">
              <w:rPr>
                <w:sz w:val="22"/>
              </w:rPr>
              <w:t xml:space="preserve"> особам-</w:t>
            </w:r>
            <w:proofErr w:type="spellStart"/>
            <w:r w:rsidRPr="001916D0">
              <w:rPr>
                <w:sz w:val="22"/>
              </w:rPr>
              <w:t>підприємцям</w:t>
            </w:r>
            <w:proofErr w:type="spellEnd"/>
            <w:r w:rsidRPr="001916D0">
              <w:rPr>
                <w:sz w:val="22"/>
              </w:rPr>
              <w:t xml:space="preserve"> </w:t>
            </w:r>
            <w:proofErr w:type="spellStart"/>
            <w:r w:rsidRPr="001916D0">
              <w:rPr>
                <w:sz w:val="22"/>
              </w:rPr>
              <w:t>якісних</w:t>
            </w:r>
            <w:proofErr w:type="spellEnd"/>
            <w:r w:rsidRPr="001916D0">
              <w:rPr>
                <w:sz w:val="22"/>
              </w:rPr>
              <w:t xml:space="preserve"> </w:t>
            </w:r>
            <w:proofErr w:type="spellStart"/>
            <w:r w:rsidRPr="001916D0">
              <w:rPr>
                <w:sz w:val="22"/>
              </w:rPr>
              <w:t>послуг</w:t>
            </w:r>
            <w:proofErr w:type="spellEnd"/>
            <w:r w:rsidRPr="001916D0">
              <w:rPr>
                <w:sz w:val="22"/>
              </w:rPr>
              <w:t xml:space="preserve"> для </w:t>
            </w:r>
            <w:proofErr w:type="spellStart"/>
            <w:r w:rsidRPr="001916D0">
              <w:rPr>
                <w:sz w:val="22"/>
              </w:rPr>
              <w:t>впровадження</w:t>
            </w:r>
            <w:proofErr w:type="spellEnd"/>
            <w:r w:rsidRPr="001916D0">
              <w:rPr>
                <w:sz w:val="22"/>
              </w:rPr>
              <w:t xml:space="preserve"> ними </w:t>
            </w:r>
            <w:proofErr w:type="spellStart"/>
            <w:r w:rsidRPr="001916D0">
              <w:rPr>
                <w:sz w:val="22"/>
              </w:rPr>
              <w:t>своєї</w:t>
            </w:r>
            <w:proofErr w:type="spellEnd"/>
            <w:r w:rsidRPr="001916D0">
              <w:rPr>
                <w:sz w:val="22"/>
              </w:rPr>
              <w:t xml:space="preserve"> </w:t>
            </w:r>
            <w:proofErr w:type="spellStart"/>
            <w:r w:rsidRPr="001916D0">
              <w:rPr>
                <w:sz w:val="22"/>
              </w:rPr>
              <w:t>діяльності</w:t>
            </w:r>
            <w:proofErr w:type="spellEnd"/>
            <w:r w:rsidRPr="001916D0">
              <w:rPr>
                <w:sz w:val="22"/>
              </w:rPr>
              <w:t>;</w:t>
            </w:r>
          </w:p>
          <w:p w:rsidR="00840C91" w:rsidRPr="001916D0" w:rsidRDefault="00840C91" w:rsidP="000303D7">
            <w:pPr>
              <w:pStyle w:val="a7"/>
              <w:numPr>
                <w:ilvl w:val="0"/>
                <w:numId w:val="27"/>
              </w:numPr>
              <w:jc w:val="left"/>
              <w:rPr>
                <w:sz w:val="22"/>
              </w:rPr>
            </w:pPr>
            <w:proofErr w:type="spellStart"/>
            <w:r w:rsidRPr="001916D0">
              <w:rPr>
                <w:sz w:val="22"/>
              </w:rPr>
              <w:t>сталий</w:t>
            </w:r>
            <w:proofErr w:type="spellEnd"/>
            <w:r w:rsidRPr="001916D0">
              <w:rPr>
                <w:sz w:val="22"/>
              </w:rPr>
              <w:t xml:space="preserve"> </w:t>
            </w:r>
            <w:proofErr w:type="spellStart"/>
            <w:r w:rsidRPr="001916D0">
              <w:rPr>
                <w:sz w:val="22"/>
              </w:rPr>
              <w:t>розвиток</w:t>
            </w:r>
            <w:proofErr w:type="spellEnd"/>
            <w:r w:rsidRPr="001916D0">
              <w:rPr>
                <w:sz w:val="22"/>
              </w:rPr>
              <w:t xml:space="preserve"> </w:t>
            </w:r>
            <w:proofErr w:type="spellStart"/>
            <w:r w:rsidRPr="001916D0">
              <w:rPr>
                <w:sz w:val="22"/>
              </w:rPr>
              <w:t>громади</w:t>
            </w:r>
            <w:proofErr w:type="spellEnd"/>
            <w:r w:rsidRPr="001916D0">
              <w:rPr>
                <w:sz w:val="22"/>
              </w:rPr>
              <w:t>;</w:t>
            </w:r>
          </w:p>
          <w:p w:rsidR="00840C91" w:rsidRPr="001916D0" w:rsidRDefault="00840C91" w:rsidP="000303D7">
            <w:pPr>
              <w:pStyle w:val="a7"/>
              <w:numPr>
                <w:ilvl w:val="0"/>
                <w:numId w:val="27"/>
              </w:numPr>
              <w:jc w:val="left"/>
              <w:rPr>
                <w:sz w:val="22"/>
              </w:rPr>
            </w:pPr>
            <w:proofErr w:type="spellStart"/>
            <w:r w:rsidRPr="001916D0">
              <w:rPr>
                <w:sz w:val="22"/>
              </w:rPr>
              <w:t>інвестиційна</w:t>
            </w:r>
            <w:proofErr w:type="spellEnd"/>
            <w:r w:rsidRPr="001916D0">
              <w:rPr>
                <w:sz w:val="22"/>
              </w:rPr>
              <w:t xml:space="preserve"> </w:t>
            </w:r>
            <w:proofErr w:type="spellStart"/>
            <w:r w:rsidRPr="001916D0">
              <w:rPr>
                <w:sz w:val="22"/>
              </w:rPr>
              <w:t>привабливість</w:t>
            </w:r>
            <w:proofErr w:type="spellEnd"/>
            <w:r w:rsidRPr="001916D0">
              <w:rPr>
                <w:sz w:val="22"/>
              </w:rPr>
              <w:t xml:space="preserve"> </w:t>
            </w:r>
            <w:proofErr w:type="spellStart"/>
            <w:r w:rsidRPr="001916D0">
              <w:rPr>
                <w:sz w:val="22"/>
              </w:rPr>
              <w:t>громади</w:t>
            </w:r>
            <w:proofErr w:type="spellEnd"/>
            <w:r w:rsidRPr="001916D0">
              <w:rPr>
                <w:sz w:val="22"/>
              </w:rPr>
              <w:t>;</w:t>
            </w:r>
          </w:p>
          <w:p w:rsidR="00840C91" w:rsidRPr="001916D0" w:rsidRDefault="00840C91" w:rsidP="000303D7">
            <w:pPr>
              <w:pStyle w:val="a7"/>
              <w:numPr>
                <w:ilvl w:val="0"/>
                <w:numId w:val="27"/>
              </w:numPr>
              <w:jc w:val="left"/>
              <w:rPr>
                <w:sz w:val="22"/>
              </w:rPr>
            </w:pPr>
            <w:proofErr w:type="spellStart"/>
            <w:r w:rsidRPr="001916D0">
              <w:rPr>
                <w:sz w:val="22"/>
              </w:rPr>
              <w:t>комфортне</w:t>
            </w:r>
            <w:proofErr w:type="spellEnd"/>
            <w:r w:rsidRPr="001916D0">
              <w:rPr>
                <w:sz w:val="22"/>
              </w:rPr>
              <w:t xml:space="preserve"> </w:t>
            </w:r>
            <w:proofErr w:type="spellStart"/>
            <w:r w:rsidRPr="001916D0">
              <w:rPr>
                <w:sz w:val="22"/>
              </w:rPr>
              <w:t>життя</w:t>
            </w:r>
            <w:proofErr w:type="spellEnd"/>
            <w:r w:rsidRPr="001916D0">
              <w:rPr>
                <w:sz w:val="22"/>
              </w:rPr>
              <w:t xml:space="preserve"> </w:t>
            </w:r>
            <w:proofErr w:type="spellStart"/>
            <w:r w:rsidRPr="001916D0">
              <w:rPr>
                <w:sz w:val="22"/>
              </w:rPr>
              <w:t>мешканців</w:t>
            </w:r>
            <w:proofErr w:type="spellEnd"/>
            <w:r w:rsidRPr="001916D0">
              <w:rPr>
                <w:sz w:val="22"/>
              </w:rPr>
              <w:t>.</w:t>
            </w:r>
          </w:p>
        </w:tc>
      </w:tr>
      <w:tr w:rsidR="00840C91" w:rsidRPr="001916D0" w:rsidTr="00840C91">
        <w:trPr>
          <w:trHeight w:val="390"/>
        </w:trPr>
        <w:tc>
          <w:tcPr>
            <w:tcW w:w="2836" w:type="dxa"/>
            <w:vMerge w:val="restart"/>
            <w:shd w:val="clear" w:color="auto" w:fill="C6D9F1" w:themeFill="text2" w:themeFillTint="33"/>
          </w:tcPr>
          <w:p w:rsidR="00840C91" w:rsidRPr="001916D0" w:rsidRDefault="00840C91" w:rsidP="00E77635">
            <w:pPr>
              <w:pStyle w:val="a7"/>
              <w:ind w:left="0"/>
              <w:rPr>
                <w:b/>
                <w:sz w:val="22"/>
                <w:lang w:val="uk-UA"/>
              </w:rPr>
            </w:pPr>
            <w:r w:rsidRPr="001916D0">
              <w:rPr>
                <w:b/>
                <w:sz w:val="22"/>
                <w:lang w:val="uk-UA"/>
              </w:rPr>
              <w:t xml:space="preserve">Очікувані кількісні результати реалізації </w:t>
            </w:r>
            <w:proofErr w:type="spellStart"/>
            <w:r w:rsidRPr="001916D0">
              <w:rPr>
                <w:b/>
                <w:sz w:val="22"/>
                <w:lang w:val="uk-UA"/>
              </w:rPr>
              <w:t>проєкту</w:t>
            </w:r>
            <w:proofErr w:type="spellEnd"/>
            <w:r w:rsidRPr="001916D0">
              <w:rPr>
                <w:b/>
                <w:sz w:val="22"/>
                <w:lang w:val="uk-UA"/>
              </w:rPr>
              <w:t xml:space="preserve"> (індикатори)</w:t>
            </w:r>
          </w:p>
          <w:p w:rsidR="00840C91" w:rsidRPr="001916D0" w:rsidRDefault="00840C91" w:rsidP="00E77635">
            <w:pPr>
              <w:pStyle w:val="a7"/>
              <w:ind w:left="0"/>
              <w:rPr>
                <w:b/>
                <w:sz w:val="22"/>
                <w:lang w:val="uk-UA"/>
              </w:rPr>
            </w:pPr>
          </w:p>
        </w:tc>
        <w:tc>
          <w:tcPr>
            <w:tcW w:w="3655" w:type="dxa"/>
            <w:gridSpan w:val="3"/>
            <w:tcBorders>
              <w:bottom w:val="single" w:sz="4" w:space="0" w:color="auto"/>
              <w:right w:val="single" w:sz="4" w:space="0" w:color="auto"/>
            </w:tcBorders>
          </w:tcPr>
          <w:p w:rsidR="00840C91" w:rsidRPr="001916D0" w:rsidRDefault="00840C91" w:rsidP="00E77635">
            <w:pPr>
              <w:pStyle w:val="a7"/>
              <w:ind w:left="-108"/>
              <w:jc w:val="center"/>
              <w:rPr>
                <w:b/>
                <w:sz w:val="22"/>
              </w:rPr>
            </w:pPr>
            <w:proofErr w:type="spellStart"/>
            <w:r w:rsidRPr="001916D0">
              <w:rPr>
                <w:b/>
                <w:sz w:val="22"/>
              </w:rPr>
              <w:t>Найменування</w:t>
            </w:r>
            <w:proofErr w:type="spellEnd"/>
            <w:r w:rsidRPr="001916D0">
              <w:rPr>
                <w:b/>
                <w:sz w:val="22"/>
              </w:rPr>
              <w:t xml:space="preserve"> </w:t>
            </w:r>
            <w:proofErr w:type="spellStart"/>
            <w:r w:rsidRPr="001916D0">
              <w:rPr>
                <w:b/>
                <w:sz w:val="22"/>
              </w:rPr>
              <w:t>показника</w:t>
            </w:r>
            <w:proofErr w:type="spellEnd"/>
          </w:p>
        </w:tc>
        <w:tc>
          <w:tcPr>
            <w:tcW w:w="1718" w:type="dxa"/>
            <w:gridSpan w:val="2"/>
            <w:tcBorders>
              <w:left w:val="single" w:sz="4" w:space="0" w:color="auto"/>
              <w:bottom w:val="single" w:sz="4" w:space="0" w:color="auto"/>
              <w:right w:val="single" w:sz="4" w:space="0" w:color="auto"/>
            </w:tcBorders>
          </w:tcPr>
          <w:p w:rsidR="00840C91" w:rsidRPr="001916D0" w:rsidRDefault="00840C91" w:rsidP="00E77635">
            <w:pPr>
              <w:pStyle w:val="a7"/>
              <w:ind w:left="0"/>
              <w:jc w:val="center"/>
              <w:rPr>
                <w:b/>
                <w:sz w:val="22"/>
              </w:rPr>
            </w:pPr>
            <w:proofErr w:type="spellStart"/>
            <w:r w:rsidRPr="001916D0">
              <w:rPr>
                <w:b/>
                <w:sz w:val="22"/>
              </w:rPr>
              <w:t>Одиниця</w:t>
            </w:r>
            <w:proofErr w:type="spellEnd"/>
            <w:r w:rsidRPr="001916D0">
              <w:rPr>
                <w:b/>
                <w:sz w:val="22"/>
              </w:rPr>
              <w:t xml:space="preserve"> </w:t>
            </w:r>
            <w:proofErr w:type="spellStart"/>
            <w:r w:rsidRPr="001916D0">
              <w:rPr>
                <w:b/>
                <w:sz w:val="22"/>
              </w:rPr>
              <w:t>вимірювання</w:t>
            </w:r>
            <w:proofErr w:type="spellEnd"/>
          </w:p>
          <w:p w:rsidR="00840C91" w:rsidRPr="001916D0" w:rsidRDefault="00840C91" w:rsidP="00E77635">
            <w:pPr>
              <w:pStyle w:val="a7"/>
              <w:ind w:left="0"/>
              <w:rPr>
                <w:b/>
                <w:sz w:val="22"/>
              </w:rPr>
            </w:pPr>
          </w:p>
        </w:tc>
        <w:tc>
          <w:tcPr>
            <w:tcW w:w="1679" w:type="dxa"/>
            <w:gridSpan w:val="2"/>
            <w:tcBorders>
              <w:left w:val="single" w:sz="4" w:space="0" w:color="auto"/>
              <w:bottom w:val="single" w:sz="4" w:space="0" w:color="auto"/>
            </w:tcBorders>
          </w:tcPr>
          <w:p w:rsidR="00840C91" w:rsidRPr="001916D0" w:rsidRDefault="00840C91" w:rsidP="00E77635">
            <w:pPr>
              <w:pStyle w:val="a7"/>
              <w:ind w:left="0"/>
              <w:jc w:val="center"/>
              <w:rPr>
                <w:b/>
                <w:sz w:val="22"/>
              </w:rPr>
            </w:pPr>
            <w:proofErr w:type="spellStart"/>
            <w:r w:rsidRPr="001916D0">
              <w:rPr>
                <w:b/>
                <w:sz w:val="22"/>
              </w:rPr>
              <w:t>Прогнозне</w:t>
            </w:r>
            <w:proofErr w:type="spellEnd"/>
            <w:r w:rsidRPr="001916D0">
              <w:rPr>
                <w:b/>
                <w:sz w:val="22"/>
              </w:rPr>
              <w:t xml:space="preserve"> (</w:t>
            </w:r>
            <w:proofErr w:type="spellStart"/>
            <w:r w:rsidRPr="001916D0">
              <w:rPr>
                <w:b/>
                <w:sz w:val="22"/>
              </w:rPr>
              <w:t>цільове</w:t>
            </w:r>
            <w:proofErr w:type="spellEnd"/>
            <w:r w:rsidRPr="001916D0">
              <w:rPr>
                <w:b/>
                <w:sz w:val="22"/>
              </w:rPr>
              <w:t xml:space="preserve">) </w:t>
            </w:r>
            <w:proofErr w:type="spellStart"/>
            <w:r w:rsidRPr="001916D0">
              <w:rPr>
                <w:b/>
                <w:sz w:val="22"/>
              </w:rPr>
              <w:t>значення</w:t>
            </w:r>
            <w:proofErr w:type="spellEnd"/>
          </w:p>
        </w:tc>
      </w:tr>
      <w:tr w:rsidR="00840C91" w:rsidRPr="001916D0" w:rsidTr="00840C91">
        <w:trPr>
          <w:trHeight w:val="585"/>
        </w:trPr>
        <w:tc>
          <w:tcPr>
            <w:tcW w:w="2836" w:type="dxa"/>
            <w:vMerge/>
            <w:shd w:val="clear" w:color="auto" w:fill="C6D9F1" w:themeFill="text2" w:themeFillTint="33"/>
          </w:tcPr>
          <w:p w:rsidR="00840C91" w:rsidRPr="001916D0" w:rsidRDefault="00840C91" w:rsidP="00E77635">
            <w:pPr>
              <w:pStyle w:val="a7"/>
              <w:ind w:left="0"/>
              <w:rPr>
                <w:b/>
                <w:sz w:val="22"/>
              </w:rPr>
            </w:pPr>
          </w:p>
        </w:tc>
        <w:tc>
          <w:tcPr>
            <w:tcW w:w="3655" w:type="dxa"/>
            <w:gridSpan w:val="3"/>
            <w:tcBorders>
              <w:top w:val="single" w:sz="4" w:space="0" w:color="auto"/>
              <w:bottom w:val="single" w:sz="4" w:space="0" w:color="auto"/>
              <w:right w:val="single" w:sz="4" w:space="0" w:color="auto"/>
            </w:tcBorders>
          </w:tcPr>
          <w:p w:rsidR="00840C91" w:rsidRPr="001916D0" w:rsidRDefault="00840C91" w:rsidP="00E77635">
            <w:pPr>
              <w:pStyle w:val="a7"/>
              <w:ind w:left="0"/>
              <w:jc w:val="center"/>
              <w:rPr>
                <w:sz w:val="22"/>
              </w:rPr>
            </w:pPr>
            <w:proofErr w:type="spellStart"/>
            <w:r w:rsidRPr="001916D0">
              <w:rPr>
                <w:sz w:val="22"/>
              </w:rPr>
              <w:t>Кількість</w:t>
            </w:r>
            <w:proofErr w:type="spellEnd"/>
            <w:r w:rsidRPr="001916D0">
              <w:rPr>
                <w:sz w:val="22"/>
              </w:rPr>
              <w:t xml:space="preserve"> </w:t>
            </w:r>
            <w:proofErr w:type="spellStart"/>
            <w:r w:rsidRPr="001916D0">
              <w:rPr>
                <w:sz w:val="22"/>
              </w:rPr>
              <w:t>фізичних</w:t>
            </w:r>
            <w:proofErr w:type="spellEnd"/>
            <w:r w:rsidRPr="001916D0">
              <w:rPr>
                <w:sz w:val="22"/>
              </w:rPr>
              <w:t xml:space="preserve"> та </w:t>
            </w:r>
            <w:proofErr w:type="spellStart"/>
            <w:r w:rsidRPr="001916D0">
              <w:rPr>
                <w:sz w:val="22"/>
              </w:rPr>
              <w:t>юридичних</w:t>
            </w:r>
            <w:proofErr w:type="spellEnd"/>
            <w:r w:rsidRPr="001916D0">
              <w:rPr>
                <w:sz w:val="22"/>
              </w:rPr>
              <w:t xml:space="preserve"> </w:t>
            </w:r>
            <w:proofErr w:type="spellStart"/>
            <w:r w:rsidRPr="001916D0">
              <w:rPr>
                <w:sz w:val="22"/>
              </w:rPr>
              <w:t>осіб</w:t>
            </w:r>
            <w:proofErr w:type="spellEnd"/>
            <w:r w:rsidRPr="001916D0">
              <w:rPr>
                <w:sz w:val="22"/>
              </w:rPr>
              <w:t xml:space="preserve">, </w:t>
            </w:r>
            <w:proofErr w:type="spellStart"/>
            <w:r w:rsidRPr="001916D0">
              <w:rPr>
                <w:sz w:val="22"/>
              </w:rPr>
              <w:t>які</w:t>
            </w:r>
            <w:proofErr w:type="spellEnd"/>
            <w:r w:rsidRPr="001916D0">
              <w:rPr>
                <w:sz w:val="22"/>
              </w:rPr>
              <w:t xml:space="preserve"> </w:t>
            </w:r>
            <w:proofErr w:type="spellStart"/>
            <w:r w:rsidRPr="001916D0">
              <w:rPr>
                <w:sz w:val="22"/>
              </w:rPr>
              <w:t>звернулись</w:t>
            </w:r>
            <w:proofErr w:type="spellEnd"/>
            <w:r w:rsidRPr="001916D0">
              <w:rPr>
                <w:sz w:val="22"/>
              </w:rPr>
              <w:t xml:space="preserve"> за </w:t>
            </w:r>
            <w:proofErr w:type="spellStart"/>
            <w:r w:rsidRPr="001916D0">
              <w:rPr>
                <w:sz w:val="22"/>
              </w:rPr>
              <w:t>послугами</w:t>
            </w:r>
            <w:proofErr w:type="spellEnd"/>
            <w:r w:rsidRPr="001916D0">
              <w:rPr>
                <w:sz w:val="22"/>
              </w:rPr>
              <w:t xml:space="preserve"> </w:t>
            </w:r>
            <w:proofErr w:type="spellStart"/>
            <w:proofErr w:type="gramStart"/>
            <w:r w:rsidRPr="001916D0">
              <w:rPr>
                <w:sz w:val="22"/>
              </w:rPr>
              <w:t>протягом</w:t>
            </w:r>
            <w:proofErr w:type="spellEnd"/>
            <w:r w:rsidRPr="001916D0">
              <w:rPr>
                <w:sz w:val="22"/>
              </w:rPr>
              <w:t xml:space="preserve">  року</w:t>
            </w:r>
            <w:proofErr w:type="gramEnd"/>
          </w:p>
        </w:tc>
        <w:tc>
          <w:tcPr>
            <w:tcW w:w="1718" w:type="dxa"/>
            <w:gridSpan w:val="2"/>
            <w:tcBorders>
              <w:top w:val="single" w:sz="4" w:space="0" w:color="auto"/>
              <w:left w:val="single" w:sz="4" w:space="0" w:color="auto"/>
              <w:bottom w:val="single" w:sz="4" w:space="0" w:color="auto"/>
              <w:right w:val="single" w:sz="4" w:space="0" w:color="auto"/>
            </w:tcBorders>
            <w:vAlign w:val="center"/>
          </w:tcPr>
          <w:p w:rsidR="00840C91" w:rsidRPr="001916D0" w:rsidRDefault="00840C91" w:rsidP="00E77635">
            <w:pPr>
              <w:pStyle w:val="a7"/>
              <w:ind w:left="0"/>
              <w:jc w:val="center"/>
              <w:rPr>
                <w:sz w:val="22"/>
              </w:rPr>
            </w:pPr>
            <w:proofErr w:type="spellStart"/>
            <w:r w:rsidRPr="001916D0">
              <w:rPr>
                <w:sz w:val="22"/>
              </w:rPr>
              <w:t>осіб</w:t>
            </w:r>
            <w:proofErr w:type="spellEnd"/>
          </w:p>
        </w:tc>
        <w:tc>
          <w:tcPr>
            <w:tcW w:w="1679" w:type="dxa"/>
            <w:gridSpan w:val="2"/>
            <w:tcBorders>
              <w:top w:val="single" w:sz="4" w:space="0" w:color="auto"/>
              <w:left w:val="single" w:sz="4" w:space="0" w:color="auto"/>
              <w:bottom w:val="single" w:sz="4" w:space="0" w:color="auto"/>
            </w:tcBorders>
          </w:tcPr>
          <w:p w:rsidR="00840C91" w:rsidRPr="001916D0" w:rsidRDefault="00840C91" w:rsidP="00E77635">
            <w:pPr>
              <w:pStyle w:val="a7"/>
              <w:ind w:left="0"/>
              <w:jc w:val="center"/>
              <w:rPr>
                <w:sz w:val="22"/>
              </w:rPr>
            </w:pPr>
            <w:r w:rsidRPr="001916D0">
              <w:rPr>
                <w:sz w:val="22"/>
              </w:rPr>
              <w:t>150</w:t>
            </w:r>
          </w:p>
        </w:tc>
      </w:tr>
      <w:tr w:rsidR="00840C91" w:rsidRPr="001916D0" w:rsidTr="00840C91">
        <w:trPr>
          <w:trHeight w:val="184"/>
        </w:trPr>
        <w:tc>
          <w:tcPr>
            <w:tcW w:w="2836" w:type="dxa"/>
            <w:vMerge/>
            <w:shd w:val="clear" w:color="auto" w:fill="C6D9F1" w:themeFill="text2" w:themeFillTint="33"/>
          </w:tcPr>
          <w:p w:rsidR="00840C91" w:rsidRPr="001916D0" w:rsidRDefault="00840C91" w:rsidP="00E77635">
            <w:pPr>
              <w:pStyle w:val="a7"/>
              <w:ind w:left="0"/>
              <w:rPr>
                <w:b/>
                <w:sz w:val="22"/>
              </w:rPr>
            </w:pPr>
          </w:p>
        </w:tc>
        <w:tc>
          <w:tcPr>
            <w:tcW w:w="3655" w:type="dxa"/>
            <w:gridSpan w:val="3"/>
            <w:tcBorders>
              <w:top w:val="single" w:sz="4" w:space="0" w:color="auto"/>
              <w:bottom w:val="single" w:sz="4" w:space="0" w:color="auto"/>
              <w:right w:val="single" w:sz="4" w:space="0" w:color="auto"/>
            </w:tcBorders>
          </w:tcPr>
          <w:p w:rsidR="00840C91" w:rsidRPr="001916D0" w:rsidRDefault="00840C91" w:rsidP="00E77635">
            <w:pPr>
              <w:pStyle w:val="a7"/>
              <w:ind w:left="0"/>
              <w:jc w:val="center"/>
              <w:rPr>
                <w:sz w:val="22"/>
              </w:rPr>
            </w:pPr>
            <w:proofErr w:type="spellStart"/>
            <w:r w:rsidRPr="001916D0">
              <w:rPr>
                <w:sz w:val="22"/>
              </w:rPr>
              <w:t>Кількість</w:t>
            </w:r>
            <w:proofErr w:type="spellEnd"/>
            <w:r w:rsidRPr="001916D0">
              <w:rPr>
                <w:sz w:val="22"/>
              </w:rPr>
              <w:t xml:space="preserve"> </w:t>
            </w:r>
            <w:proofErr w:type="spellStart"/>
            <w:r w:rsidRPr="001916D0">
              <w:rPr>
                <w:sz w:val="22"/>
              </w:rPr>
              <w:t>видів</w:t>
            </w:r>
            <w:proofErr w:type="spellEnd"/>
            <w:r w:rsidRPr="001916D0">
              <w:rPr>
                <w:sz w:val="22"/>
              </w:rPr>
              <w:t xml:space="preserve"> та </w:t>
            </w:r>
            <w:proofErr w:type="spellStart"/>
            <w:r w:rsidRPr="001916D0">
              <w:rPr>
                <w:sz w:val="22"/>
              </w:rPr>
              <w:t>типів</w:t>
            </w:r>
            <w:proofErr w:type="spellEnd"/>
            <w:r w:rsidRPr="001916D0">
              <w:rPr>
                <w:sz w:val="22"/>
              </w:rPr>
              <w:t xml:space="preserve"> </w:t>
            </w:r>
            <w:proofErr w:type="spellStart"/>
            <w:r w:rsidRPr="001916D0">
              <w:rPr>
                <w:sz w:val="22"/>
              </w:rPr>
              <w:t>послуг</w:t>
            </w:r>
            <w:proofErr w:type="spellEnd"/>
            <w:r w:rsidR="002F4A8F" w:rsidRPr="001916D0">
              <w:rPr>
                <w:bCs/>
                <w:sz w:val="22"/>
                <w:szCs w:val="22"/>
              </w:rPr>
              <w:t>,</w:t>
            </w:r>
            <w:r w:rsidRPr="001916D0">
              <w:rPr>
                <w:sz w:val="22"/>
              </w:rPr>
              <w:t xml:space="preserve"> </w:t>
            </w:r>
            <w:proofErr w:type="spellStart"/>
            <w:r w:rsidRPr="001916D0">
              <w:rPr>
                <w:sz w:val="22"/>
              </w:rPr>
              <w:t>наданих</w:t>
            </w:r>
            <w:proofErr w:type="spellEnd"/>
            <w:r w:rsidRPr="001916D0">
              <w:rPr>
                <w:sz w:val="22"/>
              </w:rPr>
              <w:t xml:space="preserve"> </w:t>
            </w:r>
            <w:proofErr w:type="spellStart"/>
            <w:r w:rsidRPr="001916D0">
              <w:rPr>
                <w:sz w:val="22"/>
              </w:rPr>
              <w:t>протягом</w:t>
            </w:r>
            <w:proofErr w:type="spellEnd"/>
            <w:r w:rsidRPr="001916D0">
              <w:rPr>
                <w:sz w:val="22"/>
              </w:rPr>
              <w:t xml:space="preserve"> одно </w:t>
            </w:r>
            <w:proofErr w:type="spellStart"/>
            <w:r w:rsidRPr="001916D0">
              <w:rPr>
                <w:sz w:val="22"/>
              </w:rPr>
              <w:t>робочого</w:t>
            </w:r>
            <w:proofErr w:type="spellEnd"/>
            <w:r w:rsidRPr="001916D0">
              <w:rPr>
                <w:sz w:val="22"/>
              </w:rPr>
              <w:t xml:space="preserve"> дня</w:t>
            </w:r>
          </w:p>
        </w:tc>
        <w:tc>
          <w:tcPr>
            <w:tcW w:w="1718" w:type="dxa"/>
            <w:gridSpan w:val="2"/>
            <w:tcBorders>
              <w:top w:val="single" w:sz="4" w:space="0" w:color="auto"/>
              <w:left w:val="single" w:sz="4" w:space="0" w:color="auto"/>
              <w:bottom w:val="single" w:sz="4" w:space="0" w:color="auto"/>
              <w:right w:val="single" w:sz="4" w:space="0" w:color="auto"/>
            </w:tcBorders>
            <w:vAlign w:val="center"/>
          </w:tcPr>
          <w:p w:rsidR="00840C91" w:rsidRPr="001916D0" w:rsidRDefault="00840C91" w:rsidP="00E77635">
            <w:pPr>
              <w:pStyle w:val="a7"/>
              <w:ind w:left="0"/>
              <w:jc w:val="center"/>
              <w:rPr>
                <w:sz w:val="22"/>
              </w:rPr>
            </w:pPr>
            <w:proofErr w:type="spellStart"/>
            <w:r w:rsidRPr="001916D0">
              <w:rPr>
                <w:sz w:val="22"/>
              </w:rPr>
              <w:t>одиниць</w:t>
            </w:r>
            <w:proofErr w:type="spellEnd"/>
          </w:p>
        </w:tc>
        <w:tc>
          <w:tcPr>
            <w:tcW w:w="1679" w:type="dxa"/>
            <w:gridSpan w:val="2"/>
            <w:tcBorders>
              <w:top w:val="single" w:sz="4" w:space="0" w:color="auto"/>
              <w:left w:val="single" w:sz="4" w:space="0" w:color="auto"/>
              <w:bottom w:val="single" w:sz="4" w:space="0" w:color="auto"/>
            </w:tcBorders>
          </w:tcPr>
          <w:p w:rsidR="00840C91" w:rsidRPr="001916D0" w:rsidRDefault="00840C91" w:rsidP="00E77635">
            <w:pPr>
              <w:pStyle w:val="a7"/>
              <w:ind w:left="0"/>
              <w:jc w:val="center"/>
              <w:rPr>
                <w:sz w:val="22"/>
              </w:rPr>
            </w:pPr>
            <w:r w:rsidRPr="001916D0">
              <w:rPr>
                <w:sz w:val="22"/>
              </w:rPr>
              <w:t>15</w:t>
            </w:r>
          </w:p>
        </w:tc>
      </w:tr>
      <w:tr w:rsidR="00840C91" w:rsidRPr="001916D0" w:rsidTr="00840C91">
        <w:trPr>
          <w:trHeight w:val="165"/>
        </w:trPr>
        <w:tc>
          <w:tcPr>
            <w:tcW w:w="2836" w:type="dxa"/>
            <w:vMerge/>
            <w:shd w:val="clear" w:color="auto" w:fill="C6D9F1" w:themeFill="text2" w:themeFillTint="33"/>
          </w:tcPr>
          <w:p w:rsidR="00840C91" w:rsidRPr="001916D0" w:rsidRDefault="00840C91" w:rsidP="00E77635">
            <w:pPr>
              <w:pStyle w:val="a7"/>
              <w:ind w:left="0"/>
              <w:rPr>
                <w:b/>
                <w:sz w:val="22"/>
              </w:rPr>
            </w:pPr>
          </w:p>
        </w:tc>
        <w:tc>
          <w:tcPr>
            <w:tcW w:w="3655" w:type="dxa"/>
            <w:gridSpan w:val="3"/>
            <w:tcBorders>
              <w:top w:val="single" w:sz="4" w:space="0" w:color="auto"/>
              <w:bottom w:val="single" w:sz="4" w:space="0" w:color="auto"/>
              <w:right w:val="single" w:sz="4" w:space="0" w:color="auto"/>
            </w:tcBorders>
          </w:tcPr>
          <w:p w:rsidR="00840C91" w:rsidRPr="001916D0" w:rsidRDefault="00840C91" w:rsidP="00E77635">
            <w:pPr>
              <w:pStyle w:val="a7"/>
              <w:ind w:left="0"/>
              <w:jc w:val="center"/>
              <w:rPr>
                <w:sz w:val="22"/>
              </w:rPr>
            </w:pPr>
            <w:proofErr w:type="spellStart"/>
            <w:r w:rsidRPr="001916D0">
              <w:rPr>
                <w:sz w:val="22"/>
              </w:rPr>
              <w:t>Середня</w:t>
            </w:r>
            <w:proofErr w:type="spellEnd"/>
            <w:r w:rsidRPr="001916D0">
              <w:rPr>
                <w:sz w:val="22"/>
              </w:rPr>
              <w:t xml:space="preserve"> </w:t>
            </w:r>
            <w:proofErr w:type="spellStart"/>
            <w:r w:rsidRPr="001916D0">
              <w:rPr>
                <w:sz w:val="22"/>
              </w:rPr>
              <w:t>вартість</w:t>
            </w:r>
            <w:proofErr w:type="spellEnd"/>
            <w:r w:rsidRPr="001916D0">
              <w:rPr>
                <w:sz w:val="22"/>
              </w:rPr>
              <w:t xml:space="preserve"> </w:t>
            </w:r>
            <w:proofErr w:type="spellStart"/>
            <w:r w:rsidRPr="001916D0">
              <w:rPr>
                <w:sz w:val="22"/>
              </w:rPr>
              <w:t>послуг</w:t>
            </w:r>
            <w:proofErr w:type="spellEnd"/>
          </w:p>
        </w:tc>
        <w:tc>
          <w:tcPr>
            <w:tcW w:w="1718" w:type="dxa"/>
            <w:gridSpan w:val="2"/>
            <w:tcBorders>
              <w:top w:val="single" w:sz="4" w:space="0" w:color="auto"/>
              <w:left w:val="single" w:sz="4" w:space="0" w:color="auto"/>
              <w:bottom w:val="single" w:sz="4" w:space="0" w:color="auto"/>
              <w:right w:val="single" w:sz="4" w:space="0" w:color="auto"/>
            </w:tcBorders>
            <w:vAlign w:val="center"/>
          </w:tcPr>
          <w:p w:rsidR="00840C91" w:rsidRPr="001916D0" w:rsidRDefault="00840C91" w:rsidP="00E77635">
            <w:pPr>
              <w:pStyle w:val="a7"/>
              <w:ind w:left="0"/>
              <w:jc w:val="center"/>
              <w:rPr>
                <w:sz w:val="22"/>
              </w:rPr>
            </w:pPr>
            <w:proofErr w:type="spellStart"/>
            <w:r w:rsidRPr="001916D0">
              <w:rPr>
                <w:sz w:val="22"/>
              </w:rPr>
              <w:t>грн</w:t>
            </w:r>
            <w:proofErr w:type="spellEnd"/>
          </w:p>
        </w:tc>
        <w:tc>
          <w:tcPr>
            <w:tcW w:w="1679" w:type="dxa"/>
            <w:gridSpan w:val="2"/>
            <w:tcBorders>
              <w:top w:val="single" w:sz="4" w:space="0" w:color="auto"/>
              <w:left w:val="single" w:sz="4" w:space="0" w:color="auto"/>
              <w:bottom w:val="single" w:sz="4" w:space="0" w:color="auto"/>
            </w:tcBorders>
          </w:tcPr>
          <w:p w:rsidR="00840C91" w:rsidRPr="001916D0" w:rsidRDefault="00840C91" w:rsidP="00E77635">
            <w:pPr>
              <w:pStyle w:val="a7"/>
              <w:ind w:left="0"/>
              <w:jc w:val="center"/>
              <w:rPr>
                <w:sz w:val="22"/>
              </w:rPr>
            </w:pPr>
            <w:r w:rsidRPr="001916D0">
              <w:rPr>
                <w:sz w:val="22"/>
              </w:rPr>
              <w:t>0,00</w:t>
            </w:r>
          </w:p>
        </w:tc>
      </w:tr>
      <w:tr w:rsidR="00840C91" w:rsidRPr="001916D0" w:rsidTr="00840C91">
        <w:tc>
          <w:tcPr>
            <w:tcW w:w="2836" w:type="dxa"/>
            <w:shd w:val="clear" w:color="auto" w:fill="C6D9F1" w:themeFill="text2" w:themeFillTint="33"/>
          </w:tcPr>
          <w:p w:rsidR="00840C91" w:rsidRPr="001916D0" w:rsidRDefault="00840C91" w:rsidP="00E77635">
            <w:pPr>
              <w:rPr>
                <w:b/>
                <w:sz w:val="22"/>
              </w:rPr>
            </w:pPr>
            <w:proofErr w:type="spellStart"/>
            <w:r w:rsidRPr="001916D0">
              <w:rPr>
                <w:b/>
                <w:sz w:val="22"/>
              </w:rPr>
              <w:t>Ключові</w:t>
            </w:r>
            <w:proofErr w:type="spellEnd"/>
            <w:r w:rsidRPr="001916D0">
              <w:rPr>
                <w:b/>
                <w:sz w:val="22"/>
              </w:rPr>
              <w:t xml:space="preserve"> заходи проекту: </w:t>
            </w:r>
          </w:p>
          <w:p w:rsidR="00840C91" w:rsidRPr="001916D0" w:rsidRDefault="00840C91" w:rsidP="00E77635">
            <w:pPr>
              <w:pStyle w:val="a7"/>
              <w:ind w:left="0"/>
              <w:rPr>
                <w:b/>
                <w:sz w:val="22"/>
              </w:rPr>
            </w:pPr>
          </w:p>
        </w:tc>
        <w:tc>
          <w:tcPr>
            <w:tcW w:w="7052" w:type="dxa"/>
            <w:gridSpan w:val="7"/>
          </w:tcPr>
          <w:p w:rsidR="00840C91" w:rsidRPr="001916D0" w:rsidRDefault="00840C91" w:rsidP="00E77635">
            <w:pPr>
              <w:pStyle w:val="a7"/>
              <w:ind w:left="0"/>
              <w:rPr>
                <w:sz w:val="22"/>
              </w:rPr>
            </w:pPr>
            <w:r w:rsidRPr="001916D0">
              <w:rPr>
                <w:sz w:val="22"/>
              </w:rPr>
              <w:t xml:space="preserve">- </w:t>
            </w:r>
            <w:proofErr w:type="spellStart"/>
            <w:r w:rsidRPr="001916D0">
              <w:rPr>
                <w:sz w:val="22"/>
              </w:rPr>
              <w:t>обстеження</w:t>
            </w:r>
            <w:proofErr w:type="spellEnd"/>
            <w:r w:rsidRPr="001916D0">
              <w:rPr>
                <w:sz w:val="22"/>
              </w:rPr>
              <w:t xml:space="preserve"> </w:t>
            </w:r>
            <w:proofErr w:type="spellStart"/>
            <w:r w:rsidRPr="001916D0">
              <w:rPr>
                <w:sz w:val="22"/>
              </w:rPr>
              <w:t>об’єкта</w:t>
            </w:r>
            <w:proofErr w:type="spellEnd"/>
            <w:r w:rsidRPr="001916D0">
              <w:rPr>
                <w:sz w:val="22"/>
              </w:rPr>
              <w:t xml:space="preserve"> </w:t>
            </w:r>
            <w:proofErr w:type="spellStart"/>
            <w:r w:rsidRPr="001916D0">
              <w:rPr>
                <w:sz w:val="22"/>
              </w:rPr>
              <w:t>нерухомості</w:t>
            </w:r>
            <w:proofErr w:type="spellEnd"/>
            <w:r w:rsidRPr="001916D0">
              <w:rPr>
                <w:sz w:val="22"/>
              </w:rPr>
              <w:t>;</w:t>
            </w:r>
          </w:p>
          <w:p w:rsidR="00840C91" w:rsidRPr="001916D0" w:rsidRDefault="00840C91" w:rsidP="00E77635">
            <w:pPr>
              <w:pStyle w:val="a7"/>
              <w:ind w:left="0"/>
              <w:rPr>
                <w:sz w:val="22"/>
              </w:rPr>
            </w:pPr>
            <w:r w:rsidRPr="001916D0">
              <w:rPr>
                <w:sz w:val="22"/>
              </w:rPr>
              <w:t xml:space="preserve">- </w:t>
            </w:r>
            <w:proofErr w:type="spellStart"/>
            <w:r w:rsidRPr="001916D0">
              <w:rPr>
                <w:sz w:val="22"/>
              </w:rPr>
              <w:t>пошук</w:t>
            </w:r>
            <w:proofErr w:type="spellEnd"/>
            <w:r w:rsidRPr="001916D0">
              <w:rPr>
                <w:sz w:val="22"/>
              </w:rPr>
              <w:t xml:space="preserve"> </w:t>
            </w:r>
            <w:proofErr w:type="spellStart"/>
            <w:r w:rsidRPr="001916D0">
              <w:rPr>
                <w:sz w:val="22"/>
              </w:rPr>
              <w:t>інвестора</w:t>
            </w:r>
            <w:proofErr w:type="spellEnd"/>
            <w:r w:rsidRPr="001916D0">
              <w:rPr>
                <w:sz w:val="22"/>
              </w:rPr>
              <w:t>;</w:t>
            </w:r>
          </w:p>
          <w:p w:rsidR="00840C91" w:rsidRPr="001916D0" w:rsidRDefault="00840C91" w:rsidP="00E77635">
            <w:pPr>
              <w:pStyle w:val="a7"/>
              <w:ind w:left="0"/>
              <w:rPr>
                <w:sz w:val="22"/>
              </w:rPr>
            </w:pPr>
            <w:r w:rsidRPr="001916D0">
              <w:rPr>
                <w:sz w:val="22"/>
              </w:rPr>
              <w:t xml:space="preserve">- </w:t>
            </w:r>
            <w:proofErr w:type="spellStart"/>
            <w:r w:rsidRPr="001916D0">
              <w:rPr>
                <w:sz w:val="22"/>
              </w:rPr>
              <w:t>розробка</w:t>
            </w:r>
            <w:proofErr w:type="spellEnd"/>
            <w:r w:rsidRPr="001916D0">
              <w:rPr>
                <w:sz w:val="22"/>
              </w:rPr>
              <w:t xml:space="preserve"> </w:t>
            </w:r>
            <w:proofErr w:type="spellStart"/>
            <w:r w:rsidRPr="001916D0">
              <w:rPr>
                <w:sz w:val="22"/>
              </w:rPr>
              <w:t>проєктно-кошторисної</w:t>
            </w:r>
            <w:proofErr w:type="spellEnd"/>
            <w:r w:rsidRPr="001916D0">
              <w:rPr>
                <w:sz w:val="22"/>
              </w:rPr>
              <w:t xml:space="preserve"> </w:t>
            </w:r>
            <w:proofErr w:type="spellStart"/>
            <w:r w:rsidRPr="001916D0">
              <w:rPr>
                <w:sz w:val="22"/>
              </w:rPr>
              <w:t>документації</w:t>
            </w:r>
            <w:proofErr w:type="spellEnd"/>
            <w:r w:rsidRPr="001916D0">
              <w:rPr>
                <w:sz w:val="22"/>
              </w:rPr>
              <w:t>;</w:t>
            </w:r>
          </w:p>
          <w:p w:rsidR="00840C91" w:rsidRPr="001916D0" w:rsidRDefault="00840C91" w:rsidP="00E77635">
            <w:pPr>
              <w:pStyle w:val="a7"/>
              <w:ind w:left="0"/>
              <w:rPr>
                <w:sz w:val="22"/>
              </w:rPr>
            </w:pPr>
            <w:r w:rsidRPr="001916D0">
              <w:rPr>
                <w:sz w:val="22"/>
              </w:rPr>
              <w:t xml:space="preserve">- </w:t>
            </w:r>
            <w:proofErr w:type="spellStart"/>
            <w:r w:rsidRPr="001916D0">
              <w:rPr>
                <w:sz w:val="22"/>
              </w:rPr>
              <w:t>укладення</w:t>
            </w:r>
            <w:proofErr w:type="spellEnd"/>
            <w:r w:rsidRPr="001916D0">
              <w:rPr>
                <w:sz w:val="22"/>
              </w:rPr>
              <w:t xml:space="preserve"> договору про </w:t>
            </w:r>
            <w:proofErr w:type="spellStart"/>
            <w:r w:rsidRPr="001916D0">
              <w:rPr>
                <w:sz w:val="22"/>
              </w:rPr>
              <w:t>капітальний</w:t>
            </w:r>
            <w:proofErr w:type="spellEnd"/>
            <w:r w:rsidRPr="001916D0">
              <w:rPr>
                <w:sz w:val="22"/>
              </w:rPr>
              <w:t xml:space="preserve"> ремонт (</w:t>
            </w:r>
            <w:proofErr w:type="spellStart"/>
            <w:r w:rsidRPr="001916D0">
              <w:rPr>
                <w:sz w:val="22"/>
              </w:rPr>
              <w:t>реконструкцію</w:t>
            </w:r>
            <w:proofErr w:type="spellEnd"/>
            <w:r w:rsidRPr="001916D0">
              <w:rPr>
                <w:sz w:val="22"/>
              </w:rPr>
              <w:t xml:space="preserve">) </w:t>
            </w:r>
            <w:proofErr w:type="spellStart"/>
            <w:r w:rsidRPr="001916D0">
              <w:rPr>
                <w:sz w:val="22"/>
              </w:rPr>
              <w:t>із</w:t>
            </w:r>
            <w:proofErr w:type="spellEnd"/>
            <w:r w:rsidRPr="001916D0">
              <w:rPr>
                <w:sz w:val="22"/>
              </w:rPr>
              <w:t xml:space="preserve"> </w:t>
            </w:r>
            <w:proofErr w:type="spellStart"/>
            <w:r w:rsidRPr="001916D0">
              <w:rPr>
                <w:sz w:val="22"/>
              </w:rPr>
              <w:t>підрядною</w:t>
            </w:r>
            <w:proofErr w:type="spellEnd"/>
            <w:r w:rsidRPr="001916D0">
              <w:rPr>
                <w:sz w:val="22"/>
              </w:rPr>
              <w:t xml:space="preserve"> </w:t>
            </w:r>
            <w:proofErr w:type="spellStart"/>
            <w:r w:rsidRPr="001916D0">
              <w:rPr>
                <w:sz w:val="22"/>
              </w:rPr>
              <w:t>організацією</w:t>
            </w:r>
            <w:proofErr w:type="spellEnd"/>
            <w:r w:rsidRPr="001916D0">
              <w:rPr>
                <w:sz w:val="22"/>
              </w:rPr>
              <w:t>;</w:t>
            </w:r>
          </w:p>
          <w:p w:rsidR="00840C91" w:rsidRPr="001916D0" w:rsidRDefault="00840C91" w:rsidP="00E77635">
            <w:pPr>
              <w:pStyle w:val="a7"/>
              <w:ind w:left="0"/>
              <w:rPr>
                <w:sz w:val="22"/>
              </w:rPr>
            </w:pPr>
            <w:r w:rsidRPr="001916D0">
              <w:rPr>
                <w:sz w:val="22"/>
              </w:rPr>
              <w:t xml:space="preserve">- </w:t>
            </w:r>
            <w:proofErr w:type="spellStart"/>
            <w:r w:rsidRPr="001916D0">
              <w:rPr>
                <w:sz w:val="22"/>
              </w:rPr>
              <w:t>організація</w:t>
            </w:r>
            <w:proofErr w:type="spellEnd"/>
            <w:r w:rsidRPr="001916D0">
              <w:rPr>
                <w:sz w:val="22"/>
              </w:rPr>
              <w:t xml:space="preserve"> та початок </w:t>
            </w:r>
            <w:proofErr w:type="spellStart"/>
            <w:r w:rsidRPr="001916D0">
              <w:rPr>
                <w:sz w:val="22"/>
              </w:rPr>
              <w:t>робочого</w:t>
            </w:r>
            <w:proofErr w:type="spellEnd"/>
            <w:r w:rsidRPr="001916D0">
              <w:rPr>
                <w:sz w:val="22"/>
              </w:rPr>
              <w:t xml:space="preserve"> </w:t>
            </w:r>
            <w:proofErr w:type="spellStart"/>
            <w:r w:rsidRPr="001916D0">
              <w:rPr>
                <w:sz w:val="22"/>
              </w:rPr>
              <w:t>процесу</w:t>
            </w:r>
            <w:proofErr w:type="spellEnd"/>
            <w:r w:rsidRPr="001916D0">
              <w:rPr>
                <w:sz w:val="22"/>
              </w:rPr>
              <w:t>.</w:t>
            </w:r>
          </w:p>
        </w:tc>
      </w:tr>
      <w:tr w:rsidR="00840C91" w:rsidRPr="001916D0" w:rsidTr="00840C91">
        <w:trPr>
          <w:trHeight w:val="360"/>
        </w:trPr>
        <w:tc>
          <w:tcPr>
            <w:tcW w:w="2836" w:type="dxa"/>
            <w:vMerge w:val="restart"/>
            <w:shd w:val="clear" w:color="auto" w:fill="C6D9F1" w:themeFill="text2" w:themeFillTint="33"/>
          </w:tcPr>
          <w:p w:rsidR="00840C91" w:rsidRPr="001916D0" w:rsidRDefault="00840C91" w:rsidP="00E77635">
            <w:pPr>
              <w:pStyle w:val="a7"/>
              <w:ind w:left="0"/>
              <w:rPr>
                <w:b/>
                <w:sz w:val="22"/>
              </w:rPr>
            </w:pPr>
            <w:proofErr w:type="spellStart"/>
            <w:r w:rsidRPr="001916D0">
              <w:rPr>
                <w:b/>
                <w:sz w:val="22"/>
              </w:rPr>
              <w:t>Орієнтовний</w:t>
            </w:r>
            <w:proofErr w:type="spellEnd"/>
            <w:r w:rsidRPr="001916D0">
              <w:rPr>
                <w:b/>
                <w:sz w:val="22"/>
              </w:rPr>
              <w:t xml:space="preserve"> </w:t>
            </w:r>
            <w:proofErr w:type="spellStart"/>
            <w:r w:rsidRPr="001916D0">
              <w:rPr>
                <w:b/>
                <w:sz w:val="22"/>
              </w:rPr>
              <w:t>обсяг</w:t>
            </w:r>
            <w:proofErr w:type="spellEnd"/>
            <w:r w:rsidRPr="001916D0">
              <w:rPr>
                <w:b/>
                <w:sz w:val="22"/>
              </w:rPr>
              <w:t xml:space="preserve"> та </w:t>
            </w:r>
            <w:proofErr w:type="spellStart"/>
            <w:r w:rsidRPr="001916D0">
              <w:rPr>
                <w:b/>
                <w:sz w:val="22"/>
              </w:rPr>
              <w:t>джерела</w:t>
            </w:r>
            <w:proofErr w:type="spellEnd"/>
            <w:r w:rsidRPr="001916D0">
              <w:rPr>
                <w:b/>
                <w:sz w:val="22"/>
              </w:rPr>
              <w:t xml:space="preserve"> </w:t>
            </w:r>
            <w:proofErr w:type="spellStart"/>
            <w:r w:rsidRPr="001916D0">
              <w:rPr>
                <w:b/>
                <w:sz w:val="22"/>
              </w:rPr>
              <w:t>фінансування</w:t>
            </w:r>
            <w:proofErr w:type="spellEnd"/>
            <w:r w:rsidRPr="001916D0">
              <w:rPr>
                <w:b/>
                <w:sz w:val="22"/>
              </w:rPr>
              <w:t xml:space="preserve">, тис. грн. </w:t>
            </w:r>
          </w:p>
          <w:p w:rsidR="00840C91" w:rsidRPr="001916D0" w:rsidRDefault="00840C91" w:rsidP="00E77635">
            <w:pPr>
              <w:pStyle w:val="a7"/>
              <w:ind w:left="0"/>
              <w:rPr>
                <w:b/>
                <w:sz w:val="22"/>
              </w:rPr>
            </w:pPr>
          </w:p>
        </w:tc>
        <w:tc>
          <w:tcPr>
            <w:tcW w:w="1920" w:type="dxa"/>
            <w:tcBorders>
              <w:bottom w:val="single" w:sz="4" w:space="0" w:color="auto"/>
              <w:right w:val="single" w:sz="4" w:space="0" w:color="auto"/>
            </w:tcBorders>
          </w:tcPr>
          <w:p w:rsidR="00840C91" w:rsidRPr="001916D0" w:rsidRDefault="00840C91" w:rsidP="00E77635">
            <w:pPr>
              <w:pStyle w:val="a7"/>
              <w:ind w:left="0"/>
              <w:jc w:val="center"/>
              <w:rPr>
                <w:b/>
                <w:sz w:val="22"/>
              </w:rPr>
            </w:pPr>
            <w:proofErr w:type="spellStart"/>
            <w:r w:rsidRPr="001916D0">
              <w:rPr>
                <w:b/>
                <w:sz w:val="22"/>
              </w:rPr>
              <w:t>Державний</w:t>
            </w:r>
            <w:proofErr w:type="spellEnd"/>
            <w:r w:rsidRPr="001916D0">
              <w:rPr>
                <w:b/>
                <w:sz w:val="22"/>
              </w:rPr>
              <w:t xml:space="preserve"> бюджет</w:t>
            </w:r>
          </w:p>
        </w:tc>
        <w:tc>
          <w:tcPr>
            <w:tcW w:w="1391" w:type="dxa"/>
            <w:tcBorders>
              <w:bottom w:val="single" w:sz="4" w:space="0" w:color="auto"/>
              <w:right w:val="single" w:sz="4" w:space="0" w:color="auto"/>
            </w:tcBorders>
          </w:tcPr>
          <w:p w:rsidR="00840C91" w:rsidRPr="001916D0" w:rsidRDefault="00840C91" w:rsidP="00E77635">
            <w:pPr>
              <w:pStyle w:val="a7"/>
              <w:ind w:left="0"/>
              <w:jc w:val="center"/>
              <w:rPr>
                <w:b/>
                <w:sz w:val="22"/>
              </w:rPr>
            </w:pPr>
            <w:proofErr w:type="spellStart"/>
            <w:r w:rsidRPr="001916D0">
              <w:rPr>
                <w:b/>
                <w:sz w:val="22"/>
              </w:rPr>
              <w:t>Місцевий</w:t>
            </w:r>
            <w:proofErr w:type="spellEnd"/>
            <w:r w:rsidRPr="001916D0">
              <w:rPr>
                <w:b/>
                <w:sz w:val="22"/>
              </w:rPr>
              <w:t xml:space="preserve"> бюджет</w:t>
            </w:r>
          </w:p>
        </w:tc>
        <w:tc>
          <w:tcPr>
            <w:tcW w:w="2335" w:type="dxa"/>
            <w:gridSpan w:val="4"/>
            <w:tcBorders>
              <w:left w:val="single" w:sz="4" w:space="0" w:color="auto"/>
              <w:bottom w:val="single" w:sz="4" w:space="0" w:color="auto"/>
              <w:right w:val="single" w:sz="4" w:space="0" w:color="auto"/>
            </w:tcBorders>
          </w:tcPr>
          <w:p w:rsidR="00840C91" w:rsidRPr="001916D0" w:rsidRDefault="00840C91" w:rsidP="00E77635">
            <w:pPr>
              <w:pStyle w:val="a7"/>
              <w:ind w:left="0"/>
              <w:jc w:val="center"/>
              <w:rPr>
                <w:b/>
                <w:sz w:val="22"/>
              </w:rPr>
            </w:pPr>
            <w:proofErr w:type="spellStart"/>
            <w:r w:rsidRPr="001916D0">
              <w:rPr>
                <w:b/>
                <w:sz w:val="22"/>
              </w:rPr>
              <w:t>Інші</w:t>
            </w:r>
            <w:proofErr w:type="spellEnd"/>
            <w:r w:rsidRPr="001916D0">
              <w:rPr>
                <w:b/>
                <w:sz w:val="22"/>
              </w:rPr>
              <w:t xml:space="preserve"> </w:t>
            </w:r>
            <w:proofErr w:type="spellStart"/>
            <w:r w:rsidRPr="001916D0">
              <w:rPr>
                <w:b/>
                <w:sz w:val="22"/>
              </w:rPr>
              <w:t>джерела</w:t>
            </w:r>
            <w:proofErr w:type="spellEnd"/>
          </w:p>
        </w:tc>
        <w:tc>
          <w:tcPr>
            <w:tcW w:w="1406" w:type="dxa"/>
            <w:tcBorders>
              <w:left w:val="single" w:sz="4" w:space="0" w:color="auto"/>
              <w:bottom w:val="single" w:sz="4" w:space="0" w:color="auto"/>
            </w:tcBorders>
          </w:tcPr>
          <w:p w:rsidR="00840C91" w:rsidRPr="001916D0" w:rsidRDefault="00840C91" w:rsidP="00E77635">
            <w:pPr>
              <w:pStyle w:val="a7"/>
              <w:ind w:left="0"/>
              <w:jc w:val="center"/>
              <w:rPr>
                <w:b/>
                <w:sz w:val="22"/>
              </w:rPr>
            </w:pPr>
            <w:proofErr w:type="spellStart"/>
            <w:r w:rsidRPr="001916D0">
              <w:rPr>
                <w:b/>
                <w:sz w:val="22"/>
              </w:rPr>
              <w:t>Всього</w:t>
            </w:r>
            <w:proofErr w:type="spellEnd"/>
          </w:p>
        </w:tc>
      </w:tr>
      <w:tr w:rsidR="00840C91" w:rsidRPr="001916D0" w:rsidTr="00840C91">
        <w:trPr>
          <w:trHeight w:val="225"/>
        </w:trPr>
        <w:tc>
          <w:tcPr>
            <w:tcW w:w="2836" w:type="dxa"/>
            <w:vMerge/>
            <w:shd w:val="clear" w:color="auto" w:fill="C6D9F1" w:themeFill="text2" w:themeFillTint="33"/>
          </w:tcPr>
          <w:p w:rsidR="00840C91" w:rsidRPr="001916D0" w:rsidRDefault="00840C91" w:rsidP="00E77635">
            <w:pPr>
              <w:pStyle w:val="a7"/>
              <w:ind w:left="0"/>
              <w:rPr>
                <w:b/>
                <w:sz w:val="22"/>
              </w:rPr>
            </w:pPr>
          </w:p>
        </w:tc>
        <w:tc>
          <w:tcPr>
            <w:tcW w:w="1920" w:type="dxa"/>
            <w:vMerge w:val="restart"/>
            <w:tcBorders>
              <w:top w:val="single" w:sz="4" w:space="0" w:color="auto"/>
              <w:right w:val="single" w:sz="4" w:space="0" w:color="auto"/>
            </w:tcBorders>
          </w:tcPr>
          <w:p w:rsidR="00840C91" w:rsidRPr="001916D0" w:rsidRDefault="00840C91" w:rsidP="00E77635">
            <w:pPr>
              <w:pStyle w:val="a7"/>
              <w:ind w:left="0"/>
              <w:jc w:val="center"/>
              <w:rPr>
                <w:sz w:val="22"/>
              </w:rPr>
            </w:pPr>
            <w:r w:rsidRPr="001916D0">
              <w:rPr>
                <w:sz w:val="22"/>
              </w:rPr>
              <w:t>2800,0</w:t>
            </w:r>
          </w:p>
        </w:tc>
        <w:tc>
          <w:tcPr>
            <w:tcW w:w="1391" w:type="dxa"/>
            <w:vMerge w:val="restart"/>
            <w:tcBorders>
              <w:top w:val="single" w:sz="4" w:space="0" w:color="auto"/>
              <w:right w:val="single" w:sz="4" w:space="0" w:color="auto"/>
            </w:tcBorders>
          </w:tcPr>
          <w:p w:rsidR="00840C91" w:rsidRPr="001916D0" w:rsidRDefault="00840C91" w:rsidP="00E77635">
            <w:pPr>
              <w:pStyle w:val="a7"/>
              <w:ind w:left="0"/>
              <w:jc w:val="center"/>
              <w:rPr>
                <w:b/>
                <w:sz w:val="22"/>
              </w:rPr>
            </w:pPr>
            <w:r w:rsidRPr="001916D0">
              <w:rPr>
                <w:b/>
                <w:sz w:val="22"/>
              </w:rPr>
              <w:t>-</w:t>
            </w:r>
          </w:p>
        </w:tc>
        <w:tc>
          <w:tcPr>
            <w:tcW w:w="989" w:type="dxa"/>
            <w:gridSpan w:val="2"/>
            <w:tcBorders>
              <w:top w:val="single" w:sz="4" w:space="0" w:color="auto"/>
              <w:left w:val="single" w:sz="4" w:space="0" w:color="auto"/>
              <w:bottom w:val="single" w:sz="4" w:space="0" w:color="auto"/>
              <w:right w:val="single" w:sz="4" w:space="0" w:color="auto"/>
            </w:tcBorders>
          </w:tcPr>
          <w:p w:rsidR="00840C91" w:rsidRPr="001916D0" w:rsidRDefault="00840C91" w:rsidP="00E77635">
            <w:pPr>
              <w:pStyle w:val="a7"/>
              <w:ind w:left="0"/>
              <w:jc w:val="center"/>
              <w:rPr>
                <w:b/>
                <w:sz w:val="22"/>
              </w:rPr>
            </w:pPr>
            <w:proofErr w:type="spellStart"/>
            <w:r w:rsidRPr="001916D0">
              <w:rPr>
                <w:b/>
                <w:sz w:val="22"/>
              </w:rPr>
              <w:t>Обсяг</w:t>
            </w:r>
            <w:proofErr w:type="spellEnd"/>
          </w:p>
        </w:tc>
        <w:tc>
          <w:tcPr>
            <w:tcW w:w="1346" w:type="dxa"/>
            <w:gridSpan w:val="2"/>
            <w:tcBorders>
              <w:top w:val="single" w:sz="4" w:space="0" w:color="auto"/>
              <w:left w:val="single" w:sz="4" w:space="0" w:color="auto"/>
              <w:bottom w:val="single" w:sz="4" w:space="0" w:color="auto"/>
              <w:right w:val="single" w:sz="4" w:space="0" w:color="auto"/>
            </w:tcBorders>
          </w:tcPr>
          <w:p w:rsidR="00840C91" w:rsidRPr="001916D0" w:rsidRDefault="00840C91" w:rsidP="00E77635">
            <w:pPr>
              <w:pStyle w:val="a7"/>
              <w:ind w:left="0"/>
              <w:jc w:val="center"/>
              <w:rPr>
                <w:b/>
                <w:sz w:val="22"/>
              </w:rPr>
            </w:pPr>
            <w:proofErr w:type="spellStart"/>
            <w:r w:rsidRPr="001916D0">
              <w:rPr>
                <w:b/>
                <w:sz w:val="22"/>
              </w:rPr>
              <w:t>Назва</w:t>
            </w:r>
            <w:proofErr w:type="spellEnd"/>
            <w:r w:rsidRPr="001916D0">
              <w:rPr>
                <w:b/>
                <w:sz w:val="22"/>
              </w:rPr>
              <w:t xml:space="preserve"> </w:t>
            </w:r>
            <w:proofErr w:type="spellStart"/>
            <w:r w:rsidRPr="001916D0">
              <w:rPr>
                <w:b/>
                <w:sz w:val="22"/>
              </w:rPr>
              <w:t>джерела</w:t>
            </w:r>
            <w:proofErr w:type="spellEnd"/>
          </w:p>
        </w:tc>
        <w:tc>
          <w:tcPr>
            <w:tcW w:w="1406" w:type="dxa"/>
            <w:vMerge w:val="restart"/>
            <w:tcBorders>
              <w:top w:val="single" w:sz="4" w:space="0" w:color="auto"/>
              <w:left w:val="single" w:sz="4" w:space="0" w:color="auto"/>
            </w:tcBorders>
          </w:tcPr>
          <w:p w:rsidR="00840C91" w:rsidRPr="001916D0" w:rsidRDefault="00840C91" w:rsidP="00E77635">
            <w:pPr>
              <w:pStyle w:val="a7"/>
              <w:ind w:left="0"/>
              <w:jc w:val="center"/>
              <w:rPr>
                <w:sz w:val="22"/>
              </w:rPr>
            </w:pPr>
            <w:r w:rsidRPr="001916D0">
              <w:rPr>
                <w:sz w:val="22"/>
              </w:rPr>
              <w:t>4 000,00</w:t>
            </w:r>
          </w:p>
        </w:tc>
      </w:tr>
      <w:tr w:rsidR="00840C91" w:rsidRPr="001916D0" w:rsidTr="00840C91">
        <w:trPr>
          <w:trHeight w:val="300"/>
        </w:trPr>
        <w:tc>
          <w:tcPr>
            <w:tcW w:w="2836" w:type="dxa"/>
            <w:vMerge/>
            <w:shd w:val="clear" w:color="auto" w:fill="C6D9F1" w:themeFill="text2" w:themeFillTint="33"/>
          </w:tcPr>
          <w:p w:rsidR="00840C91" w:rsidRPr="001916D0" w:rsidRDefault="00840C91" w:rsidP="00E77635">
            <w:pPr>
              <w:pStyle w:val="a7"/>
              <w:ind w:left="0"/>
              <w:rPr>
                <w:b/>
                <w:sz w:val="22"/>
              </w:rPr>
            </w:pPr>
          </w:p>
        </w:tc>
        <w:tc>
          <w:tcPr>
            <w:tcW w:w="1920" w:type="dxa"/>
            <w:vMerge/>
            <w:tcBorders>
              <w:right w:val="single" w:sz="4" w:space="0" w:color="auto"/>
            </w:tcBorders>
          </w:tcPr>
          <w:p w:rsidR="00840C91" w:rsidRPr="001916D0" w:rsidRDefault="00840C91" w:rsidP="00E77635">
            <w:pPr>
              <w:pStyle w:val="a7"/>
              <w:ind w:left="0"/>
              <w:jc w:val="center"/>
              <w:rPr>
                <w:sz w:val="22"/>
              </w:rPr>
            </w:pPr>
          </w:p>
        </w:tc>
        <w:tc>
          <w:tcPr>
            <w:tcW w:w="1391" w:type="dxa"/>
            <w:vMerge/>
            <w:tcBorders>
              <w:right w:val="single" w:sz="4" w:space="0" w:color="auto"/>
            </w:tcBorders>
          </w:tcPr>
          <w:p w:rsidR="00840C91" w:rsidRPr="001916D0" w:rsidRDefault="00840C91" w:rsidP="00E77635">
            <w:pPr>
              <w:pStyle w:val="a7"/>
              <w:ind w:left="0"/>
              <w:jc w:val="center"/>
              <w:rPr>
                <w:b/>
                <w:sz w:val="22"/>
              </w:rPr>
            </w:pPr>
          </w:p>
        </w:tc>
        <w:tc>
          <w:tcPr>
            <w:tcW w:w="989" w:type="dxa"/>
            <w:gridSpan w:val="2"/>
            <w:tcBorders>
              <w:top w:val="single" w:sz="4" w:space="0" w:color="auto"/>
              <w:left w:val="single" w:sz="4" w:space="0" w:color="auto"/>
              <w:right w:val="single" w:sz="4" w:space="0" w:color="auto"/>
            </w:tcBorders>
          </w:tcPr>
          <w:p w:rsidR="00840C91" w:rsidRPr="001916D0" w:rsidRDefault="00840C91" w:rsidP="00E77635">
            <w:pPr>
              <w:pStyle w:val="a7"/>
              <w:ind w:left="0"/>
              <w:jc w:val="center"/>
              <w:rPr>
                <w:sz w:val="22"/>
              </w:rPr>
            </w:pPr>
            <w:r w:rsidRPr="001916D0">
              <w:rPr>
                <w:sz w:val="22"/>
              </w:rPr>
              <w:t>1200,0</w:t>
            </w:r>
          </w:p>
        </w:tc>
        <w:tc>
          <w:tcPr>
            <w:tcW w:w="1346" w:type="dxa"/>
            <w:gridSpan w:val="2"/>
            <w:tcBorders>
              <w:top w:val="single" w:sz="4" w:space="0" w:color="auto"/>
              <w:left w:val="single" w:sz="4" w:space="0" w:color="auto"/>
              <w:right w:val="single" w:sz="4" w:space="0" w:color="auto"/>
            </w:tcBorders>
          </w:tcPr>
          <w:p w:rsidR="00840C91" w:rsidRPr="001916D0" w:rsidRDefault="00840C91" w:rsidP="00E77635">
            <w:pPr>
              <w:pStyle w:val="a7"/>
              <w:ind w:left="0"/>
              <w:jc w:val="center"/>
              <w:rPr>
                <w:sz w:val="22"/>
              </w:rPr>
            </w:pPr>
            <w:proofErr w:type="spellStart"/>
            <w:r w:rsidRPr="001916D0">
              <w:rPr>
                <w:sz w:val="22"/>
              </w:rPr>
              <w:t>Іноземні</w:t>
            </w:r>
            <w:proofErr w:type="spellEnd"/>
            <w:r w:rsidRPr="001916D0">
              <w:rPr>
                <w:sz w:val="22"/>
              </w:rPr>
              <w:t xml:space="preserve"> </w:t>
            </w:r>
            <w:proofErr w:type="spellStart"/>
            <w:r w:rsidRPr="001916D0">
              <w:rPr>
                <w:sz w:val="22"/>
              </w:rPr>
              <w:t>інвестиції</w:t>
            </w:r>
            <w:proofErr w:type="spellEnd"/>
          </w:p>
        </w:tc>
        <w:tc>
          <w:tcPr>
            <w:tcW w:w="1406" w:type="dxa"/>
            <w:vMerge/>
            <w:tcBorders>
              <w:left w:val="single" w:sz="4" w:space="0" w:color="auto"/>
            </w:tcBorders>
          </w:tcPr>
          <w:p w:rsidR="00840C91" w:rsidRPr="001916D0" w:rsidRDefault="00840C91" w:rsidP="00E77635">
            <w:pPr>
              <w:pStyle w:val="a7"/>
              <w:ind w:left="0"/>
              <w:jc w:val="center"/>
              <w:rPr>
                <w:sz w:val="22"/>
              </w:rPr>
            </w:pPr>
          </w:p>
        </w:tc>
      </w:tr>
    </w:tbl>
    <w:p w:rsidR="00E95FB1" w:rsidRPr="001916D0" w:rsidRDefault="00E95FB1" w:rsidP="00E95FB1">
      <w:pPr>
        <w:rPr>
          <w:sz w:val="22"/>
        </w:rPr>
      </w:pPr>
    </w:p>
    <w:p w:rsidR="00E95FB1" w:rsidRPr="001916D0" w:rsidRDefault="00E95FB1" w:rsidP="00E95FB1">
      <w:pPr>
        <w:rPr>
          <w:sz w:val="22"/>
        </w:rPr>
      </w:pPr>
    </w:p>
    <w:tbl>
      <w:tblPr>
        <w:tblStyle w:val="af"/>
        <w:tblW w:w="9981" w:type="dxa"/>
        <w:tblInd w:w="-176" w:type="dxa"/>
        <w:tblLayout w:type="fixed"/>
        <w:tblLook w:val="04A0" w:firstRow="1" w:lastRow="0" w:firstColumn="1" w:lastColumn="0" w:noHBand="0" w:noVBand="1"/>
      </w:tblPr>
      <w:tblGrid>
        <w:gridCol w:w="2836"/>
        <w:gridCol w:w="1984"/>
        <w:gridCol w:w="1418"/>
        <w:gridCol w:w="567"/>
        <w:gridCol w:w="709"/>
        <w:gridCol w:w="992"/>
        <w:gridCol w:w="142"/>
        <w:gridCol w:w="1322"/>
        <w:gridCol w:w="11"/>
      </w:tblGrid>
      <w:tr w:rsidR="00F8716F" w:rsidRPr="001916D0" w:rsidTr="00F8716F">
        <w:tc>
          <w:tcPr>
            <w:tcW w:w="2836" w:type="dxa"/>
            <w:shd w:val="clear" w:color="auto" w:fill="B8CCE4" w:themeFill="accent1" w:themeFillTint="66"/>
          </w:tcPr>
          <w:p w:rsidR="00F8716F" w:rsidRPr="001916D0" w:rsidRDefault="00F8716F" w:rsidP="00524DBF">
            <w:pPr>
              <w:rPr>
                <w:color w:val="000000" w:themeColor="text1"/>
                <w:sz w:val="22"/>
                <w:lang w:val="uk-UA"/>
              </w:rPr>
            </w:pPr>
            <w:r w:rsidRPr="001916D0">
              <w:rPr>
                <w:color w:val="000000" w:themeColor="text1"/>
                <w:sz w:val="22"/>
                <w:lang w:val="uk-UA"/>
              </w:rPr>
              <w:t>Оперативна ціль/завдання</w:t>
            </w:r>
          </w:p>
        </w:tc>
        <w:tc>
          <w:tcPr>
            <w:tcW w:w="7145" w:type="dxa"/>
            <w:gridSpan w:val="8"/>
          </w:tcPr>
          <w:p w:rsidR="00F8716F" w:rsidRPr="001916D0" w:rsidRDefault="00F8716F" w:rsidP="00524DBF">
            <w:pPr>
              <w:rPr>
                <w:color w:val="000000" w:themeColor="text1"/>
                <w:sz w:val="22"/>
                <w:lang w:val="uk-UA"/>
              </w:rPr>
            </w:pPr>
            <w:r w:rsidRPr="001916D0">
              <w:rPr>
                <w:rStyle w:val="2055"/>
                <w:rFonts w:eastAsia="Arial"/>
                <w:color w:val="000000" w:themeColor="text1"/>
                <w:sz w:val="22"/>
                <w:lang w:val="uk-UA"/>
              </w:rPr>
              <w:t xml:space="preserve">Людський розвиток через інновації управління та довіру до влади. Формування сучасного інклюзивного  </w:t>
            </w:r>
            <w:proofErr w:type="spellStart"/>
            <w:r w:rsidRPr="001916D0">
              <w:rPr>
                <w:rStyle w:val="2055"/>
                <w:rFonts w:eastAsia="Arial"/>
                <w:color w:val="000000" w:themeColor="text1"/>
                <w:sz w:val="22"/>
                <w:lang w:val="uk-UA"/>
              </w:rPr>
              <w:t>освітньо</w:t>
            </w:r>
            <w:proofErr w:type="spellEnd"/>
            <w:r w:rsidRPr="001916D0">
              <w:rPr>
                <w:rStyle w:val="2055"/>
                <w:rFonts w:eastAsia="Arial"/>
                <w:color w:val="000000" w:themeColor="text1"/>
                <w:sz w:val="22"/>
                <w:lang w:val="uk-UA"/>
              </w:rPr>
              <w:t xml:space="preserve">-культурного та спортивного простору для розвитку. </w:t>
            </w:r>
          </w:p>
        </w:tc>
      </w:tr>
      <w:tr w:rsidR="00F8716F" w:rsidRPr="001916D0" w:rsidTr="00F8716F">
        <w:tc>
          <w:tcPr>
            <w:tcW w:w="2836" w:type="dxa"/>
            <w:shd w:val="clear" w:color="auto" w:fill="B8CCE4" w:themeFill="accent1" w:themeFillTint="66"/>
          </w:tcPr>
          <w:p w:rsidR="00F8716F" w:rsidRPr="001916D0" w:rsidRDefault="00F8716F" w:rsidP="00524DBF">
            <w:pPr>
              <w:rPr>
                <w:sz w:val="22"/>
                <w:lang w:val="uk-UA"/>
              </w:rPr>
            </w:pPr>
            <w:r w:rsidRPr="001916D0">
              <w:rPr>
                <w:rFonts w:eastAsia="Calibri"/>
                <w:color w:val="000000"/>
                <w:sz w:val="22"/>
                <w:lang w:val="uk-UA"/>
              </w:rPr>
              <w:lastRenderedPageBreak/>
              <w:t>Назва проекту</w:t>
            </w:r>
          </w:p>
        </w:tc>
        <w:tc>
          <w:tcPr>
            <w:tcW w:w="7145" w:type="dxa"/>
            <w:gridSpan w:val="8"/>
          </w:tcPr>
          <w:p w:rsidR="00F8716F" w:rsidRPr="001916D0" w:rsidRDefault="00F8716F" w:rsidP="00524DBF">
            <w:pPr>
              <w:rPr>
                <w:rFonts w:eastAsia="Calibri"/>
                <w:color w:val="000000" w:themeColor="text1"/>
                <w:sz w:val="22"/>
                <w:lang w:val="uk-UA"/>
              </w:rPr>
            </w:pPr>
            <w:r w:rsidRPr="001916D0">
              <w:rPr>
                <w:rFonts w:eastAsia="Calibri"/>
                <w:color w:val="000000" w:themeColor="text1"/>
                <w:sz w:val="22"/>
                <w:lang w:val="uk-UA"/>
              </w:rPr>
              <w:t xml:space="preserve">Відновлення діяльності Управління освіти Сєвєродонецької міської військової адміністрації Сєвєродонецького району Луганської області, розташованого в м. Сєвєродонецьк, вул. </w:t>
            </w:r>
            <w:proofErr w:type="spellStart"/>
            <w:r w:rsidRPr="001916D0">
              <w:rPr>
                <w:rFonts w:eastAsia="Calibri"/>
                <w:color w:val="000000" w:themeColor="text1"/>
                <w:sz w:val="22"/>
                <w:lang w:val="uk-UA"/>
              </w:rPr>
              <w:t>Вілєсова</w:t>
            </w:r>
            <w:proofErr w:type="spellEnd"/>
            <w:r w:rsidRPr="001916D0">
              <w:rPr>
                <w:rFonts w:eastAsia="Calibri"/>
                <w:color w:val="000000" w:themeColor="text1"/>
                <w:sz w:val="22"/>
                <w:lang w:val="uk-UA"/>
              </w:rPr>
              <w:t>, буд. 10</w:t>
            </w:r>
          </w:p>
        </w:tc>
      </w:tr>
      <w:tr w:rsidR="00F8716F" w:rsidRPr="001916D0" w:rsidTr="00F8716F">
        <w:tc>
          <w:tcPr>
            <w:tcW w:w="2836" w:type="dxa"/>
            <w:shd w:val="clear" w:color="auto" w:fill="B8CCE4" w:themeFill="accent1" w:themeFillTint="66"/>
          </w:tcPr>
          <w:p w:rsidR="00F8716F" w:rsidRPr="001916D0" w:rsidRDefault="00F8716F" w:rsidP="00524DBF">
            <w:pPr>
              <w:rPr>
                <w:sz w:val="22"/>
                <w:lang w:val="uk-UA"/>
              </w:rPr>
            </w:pPr>
            <w:r w:rsidRPr="001916D0">
              <w:rPr>
                <w:rFonts w:eastAsia="Calibri"/>
                <w:color w:val="000000"/>
                <w:sz w:val="22"/>
                <w:lang w:val="uk-UA"/>
              </w:rPr>
              <w:t>Ціль проекту</w:t>
            </w:r>
          </w:p>
        </w:tc>
        <w:tc>
          <w:tcPr>
            <w:tcW w:w="7145" w:type="dxa"/>
            <w:gridSpan w:val="8"/>
          </w:tcPr>
          <w:p w:rsidR="00F8716F" w:rsidRPr="001916D0" w:rsidRDefault="00F8716F" w:rsidP="00524DBF">
            <w:pPr>
              <w:pStyle w:val="2667"/>
              <w:tabs>
                <w:tab w:val="left" w:pos="356"/>
              </w:tabs>
              <w:spacing w:before="0" w:beforeAutospacing="0" w:after="0" w:afterAutospacing="0"/>
              <w:jc w:val="both"/>
              <w:rPr>
                <w:sz w:val="22"/>
                <w:lang w:val="uk-UA"/>
              </w:rPr>
            </w:pPr>
            <w:r w:rsidRPr="001916D0">
              <w:rPr>
                <w:color w:val="000000"/>
                <w:sz w:val="22"/>
                <w:lang w:val="uk-UA"/>
              </w:rPr>
              <w:t xml:space="preserve">Відновити та покращити роботу Управління освіти Сєвєродонецької МВА для надання освітніх послуг, забезпечення реалізації права громадян на здобуття освіти та задоволення потреб мешканців Сєвєродонецької міської територіальної громади в освітніх послугах на </w:t>
            </w:r>
            <w:proofErr w:type="spellStart"/>
            <w:r w:rsidRPr="001916D0">
              <w:rPr>
                <w:color w:val="000000"/>
                <w:sz w:val="22"/>
                <w:lang w:val="uk-UA"/>
              </w:rPr>
              <w:t>деокупованій</w:t>
            </w:r>
            <w:proofErr w:type="spellEnd"/>
            <w:r w:rsidRPr="001916D0">
              <w:rPr>
                <w:color w:val="000000"/>
                <w:sz w:val="22"/>
                <w:lang w:val="uk-UA"/>
              </w:rPr>
              <w:t xml:space="preserve"> території Луганської області. </w:t>
            </w:r>
          </w:p>
        </w:tc>
      </w:tr>
      <w:tr w:rsidR="00F8716F" w:rsidRPr="001916D0" w:rsidTr="00F8716F">
        <w:tc>
          <w:tcPr>
            <w:tcW w:w="2836" w:type="dxa"/>
            <w:shd w:val="clear" w:color="auto" w:fill="B8CCE4" w:themeFill="accent1" w:themeFillTint="66"/>
          </w:tcPr>
          <w:p w:rsidR="00F8716F" w:rsidRPr="001916D0" w:rsidRDefault="00F8716F" w:rsidP="00524DBF">
            <w:pPr>
              <w:rPr>
                <w:sz w:val="22"/>
                <w:lang w:val="uk-UA"/>
              </w:rPr>
            </w:pPr>
            <w:r w:rsidRPr="001916D0">
              <w:rPr>
                <w:rFonts w:eastAsia="Calibri"/>
                <w:color w:val="000000"/>
                <w:sz w:val="22"/>
                <w:lang w:val="uk-UA"/>
              </w:rPr>
              <w:t>Територія, на яку матиме вплив реалізація проекту</w:t>
            </w:r>
          </w:p>
        </w:tc>
        <w:tc>
          <w:tcPr>
            <w:tcW w:w="7145" w:type="dxa"/>
            <w:gridSpan w:val="8"/>
          </w:tcPr>
          <w:p w:rsidR="00F8716F" w:rsidRPr="001916D0" w:rsidRDefault="00F8716F" w:rsidP="00524DBF">
            <w:pPr>
              <w:rPr>
                <w:sz w:val="22"/>
                <w:lang w:val="uk-UA"/>
              </w:rPr>
            </w:pPr>
            <w:r w:rsidRPr="001916D0">
              <w:rPr>
                <w:rFonts w:eastAsia="Calibri"/>
                <w:color w:val="000000"/>
                <w:sz w:val="22"/>
                <w:lang w:val="uk-UA"/>
              </w:rPr>
              <w:t>Сєвєродонецька міська територіальна громада</w:t>
            </w:r>
          </w:p>
        </w:tc>
      </w:tr>
      <w:tr w:rsidR="00F8716F" w:rsidRPr="001916D0" w:rsidTr="00F8716F">
        <w:tc>
          <w:tcPr>
            <w:tcW w:w="2836" w:type="dxa"/>
            <w:shd w:val="clear" w:color="auto" w:fill="B8CCE4" w:themeFill="accent1" w:themeFillTint="66"/>
          </w:tcPr>
          <w:p w:rsidR="00F8716F" w:rsidRPr="001916D0" w:rsidRDefault="00F8716F" w:rsidP="00524DBF">
            <w:pPr>
              <w:rPr>
                <w:color w:val="000000" w:themeColor="text1"/>
                <w:sz w:val="22"/>
                <w:lang w:val="uk-UA"/>
              </w:rPr>
            </w:pPr>
            <w:r w:rsidRPr="001916D0">
              <w:rPr>
                <w:color w:val="000000" w:themeColor="text1"/>
                <w:sz w:val="22"/>
                <w:lang w:val="uk-UA"/>
              </w:rPr>
              <w:t>Чисельність населення, на яке матиме вплив реалізація проекту</w:t>
            </w:r>
          </w:p>
          <w:p w:rsidR="00F8716F" w:rsidRPr="001916D0" w:rsidRDefault="00F8716F" w:rsidP="00524DBF">
            <w:pPr>
              <w:rPr>
                <w:sz w:val="22"/>
                <w:lang w:val="uk-UA"/>
              </w:rPr>
            </w:pPr>
          </w:p>
        </w:tc>
        <w:tc>
          <w:tcPr>
            <w:tcW w:w="7145" w:type="dxa"/>
            <w:gridSpan w:val="8"/>
          </w:tcPr>
          <w:p w:rsidR="00F8716F" w:rsidRPr="001916D0" w:rsidRDefault="00F8716F" w:rsidP="00524DBF">
            <w:pPr>
              <w:rPr>
                <w:sz w:val="22"/>
                <w:lang w:val="uk-UA"/>
              </w:rPr>
            </w:pPr>
            <w:r w:rsidRPr="001916D0">
              <w:rPr>
                <w:rStyle w:val="2055"/>
                <w:rFonts w:eastAsia="Arial"/>
                <w:color w:val="000000"/>
                <w:sz w:val="22"/>
                <w:lang w:val="uk-UA"/>
              </w:rPr>
              <w:t xml:space="preserve"> 70 000 осіб</w:t>
            </w:r>
          </w:p>
        </w:tc>
      </w:tr>
      <w:tr w:rsidR="00F8716F" w:rsidRPr="001916D0" w:rsidTr="00F8716F">
        <w:trPr>
          <w:trHeight w:val="2090"/>
        </w:trPr>
        <w:tc>
          <w:tcPr>
            <w:tcW w:w="2836" w:type="dxa"/>
            <w:shd w:val="clear" w:color="auto" w:fill="B8CCE4" w:themeFill="accent1" w:themeFillTint="66"/>
          </w:tcPr>
          <w:p w:rsidR="00F8716F" w:rsidRPr="001916D0" w:rsidRDefault="00F8716F" w:rsidP="00524DBF">
            <w:pPr>
              <w:rPr>
                <w:sz w:val="22"/>
                <w:lang w:val="uk-UA"/>
              </w:rPr>
            </w:pPr>
            <w:r w:rsidRPr="001916D0">
              <w:rPr>
                <w:sz w:val="22"/>
                <w:lang w:val="uk-UA"/>
              </w:rPr>
              <w:t>Опис проблеми, на вирішення якої спрямований проект</w:t>
            </w:r>
          </w:p>
        </w:tc>
        <w:tc>
          <w:tcPr>
            <w:tcW w:w="7145" w:type="dxa"/>
            <w:gridSpan w:val="8"/>
          </w:tcPr>
          <w:p w:rsidR="00F8716F" w:rsidRPr="001916D0" w:rsidRDefault="00F8716F" w:rsidP="00524DBF">
            <w:pPr>
              <w:rPr>
                <w:color w:val="000000" w:themeColor="text1"/>
                <w:sz w:val="22"/>
                <w:lang w:val="uk-UA"/>
              </w:rPr>
            </w:pPr>
            <w:r w:rsidRPr="001916D0">
              <w:rPr>
                <w:sz w:val="22"/>
                <w:lang w:val="uk-UA"/>
              </w:rPr>
              <w:t xml:space="preserve">У зв’язку з військовою агресією, бойовими діями на території України </w:t>
            </w:r>
            <w:r w:rsidRPr="001916D0">
              <w:rPr>
                <w:color w:val="000000" w:themeColor="text1"/>
                <w:sz w:val="22"/>
                <w:lang w:val="uk-UA"/>
              </w:rPr>
              <w:t>працівники Управління освіти Сєвєродонецької МВА втратили доступ до приміщень, в яких була організована робота централізованої бухгалтерії, групи централізованого господарчого обслуговування закладів освіти,  апарату управління та логопедичного пункту. Уся матеріально-технічна база установи, зокрема:</w:t>
            </w:r>
          </w:p>
          <w:p w:rsidR="00F8716F" w:rsidRPr="001916D0" w:rsidRDefault="00F8716F" w:rsidP="00524DBF">
            <w:pPr>
              <w:rPr>
                <w:color w:val="000000" w:themeColor="text1"/>
                <w:sz w:val="22"/>
                <w:lang w:val="uk-UA"/>
              </w:rPr>
            </w:pPr>
            <w:r w:rsidRPr="001916D0">
              <w:rPr>
                <w:color w:val="000000" w:themeColor="text1"/>
                <w:sz w:val="22"/>
                <w:lang w:val="uk-UA"/>
              </w:rPr>
              <w:t>-</w:t>
            </w:r>
            <w:r w:rsidRPr="001916D0">
              <w:rPr>
                <w:color w:val="000000" w:themeColor="text1"/>
                <w:sz w:val="22"/>
                <w:lang w:val="uk-UA"/>
              </w:rPr>
              <w:tab/>
              <w:t>обладнання (устаткування);</w:t>
            </w:r>
          </w:p>
          <w:p w:rsidR="00F8716F" w:rsidRPr="001916D0" w:rsidRDefault="00F8716F" w:rsidP="00524DBF">
            <w:pPr>
              <w:rPr>
                <w:color w:val="000000" w:themeColor="text1"/>
                <w:sz w:val="22"/>
                <w:lang w:val="uk-UA"/>
              </w:rPr>
            </w:pPr>
            <w:r w:rsidRPr="001916D0">
              <w:rPr>
                <w:color w:val="000000" w:themeColor="text1"/>
                <w:sz w:val="22"/>
                <w:lang w:val="uk-UA"/>
              </w:rPr>
              <w:t>-</w:t>
            </w:r>
            <w:r w:rsidRPr="001916D0">
              <w:rPr>
                <w:color w:val="000000" w:themeColor="text1"/>
                <w:sz w:val="22"/>
                <w:lang w:val="uk-UA"/>
              </w:rPr>
              <w:tab/>
              <w:t>обчислювальна техніка із відповідним програмним забезпеченням;</w:t>
            </w:r>
          </w:p>
          <w:p w:rsidR="00F8716F" w:rsidRPr="001916D0" w:rsidRDefault="00F8716F" w:rsidP="00524DBF">
            <w:pPr>
              <w:rPr>
                <w:color w:val="000000" w:themeColor="text1"/>
                <w:sz w:val="22"/>
                <w:lang w:val="uk-UA"/>
              </w:rPr>
            </w:pPr>
            <w:r w:rsidRPr="001916D0">
              <w:rPr>
                <w:color w:val="000000" w:themeColor="text1"/>
                <w:sz w:val="22"/>
                <w:lang w:val="uk-UA"/>
              </w:rPr>
              <w:t>-</w:t>
            </w:r>
            <w:r w:rsidRPr="001916D0">
              <w:rPr>
                <w:color w:val="000000" w:themeColor="text1"/>
                <w:sz w:val="22"/>
                <w:lang w:val="uk-UA"/>
              </w:rPr>
              <w:tab/>
              <w:t>інша оргтехніка (ноутбуки, принтери, сканери тощо);</w:t>
            </w:r>
          </w:p>
          <w:p w:rsidR="00F8716F" w:rsidRPr="001916D0" w:rsidRDefault="00F8716F" w:rsidP="00524DBF">
            <w:pPr>
              <w:rPr>
                <w:color w:val="000000" w:themeColor="text1"/>
                <w:sz w:val="22"/>
                <w:lang w:val="uk-UA"/>
              </w:rPr>
            </w:pPr>
            <w:r w:rsidRPr="001916D0">
              <w:rPr>
                <w:color w:val="000000" w:themeColor="text1"/>
                <w:sz w:val="22"/>
                <w:lang w:val="uk-UA"/>
              </w:rPr>
              <w:t>-</w:t>
            </w:r>
            <w:r w:rsidRPr="001916D0">
              <w:rPr>
                <w:color w:val="000000" w:themeColor="text1"/>
                <w:sz w:val="22"/>
                <w:lang w:val="uk-UA"/>
              </w:rPr>
              <w:tab/>
              <w:t>основні засоби (офісні меблі, сейф, службовий автомобіль тощо) були знищені або викрадені.</w:t>
            </w:r>
          </w:p>
          <w:p w:rsidR="00F8716F" w:rsidRPr="001916D0" w:rsidRDefault="00F8716F" w:rsidP="00524DBF">
            <w:pPr>
              <w:rPr>
                <w:sz w:val="22"/>
                <w:lang w:val="uk-UA"/>
              </w:rPr>
            </w:pPr>
            <w:r w:rsidRPr="001916D0">
              <w:rPr>
                <w:color w:val="000000" w:themeColor="text1"/>
                <w:sz w:val="22"/>
                <w:lang w:val="uk-UA"/>
              </w:rPr>
              <w:t xml:space="preserve">Для повноцінного відновлення роботи Управління освіти Сєвєродонецької МВА потребує придбання </w:t>
            </w:r>
            <w:r w:rsidRPr="001916D0">
              <w:rPr>
                <w:sz w:val="22"/>
                <w:lang w:val="uk-UA"/>
              </w:rPr>
              <w:t>технічного і технологічного забезпечення</w:t>
            </w:r>
            <w:r w:rsidR="00B76026" w:rsidRPr="001916D0">
              <w:rPr>
                <w:sz w:val="22"/>
                <w:szCs w:val="22"/>
                <w:lang w:val="uk-UA"/>
              </w:rPr>
              <w:t>,</w:t>
            </w:r>
            <w:r w:rsidRPr="001916D0">
              <w:rPr>
                <w:sz w:val="22"/>
                <w:lang w:val="uk-UA"/>
              </w:rPr>
              <w:t xml:space="preserve"> необхідного для діяльності установи відповідно до вимог діючого законодавства. </w:t>
            </w:r>
          </w:p>
        </w:tc>
      </w:tr>
      <w:tr w:rsidR="00F8716F" w:rsidRPr="001916D0" w:rsidTr="00F8716F">
        <w:tc>
          <w:tcPr>
            <w:tcW w:w="2836" w:type="dxa"/>
            <w:shd w:val="clear" w:color="auto" w:fill="B8CCE4" w:themeFill="accent1" w:themeFillTint="66"/>
          </w:tcPr>
          <w:p w:rsidR="00F8716F" w:rsidRPr="001916D0" w:rsidRDefault="00F8716F" w:rsidP="00524DBF">
            <w:pPr>
              <w:rPr>
                <w:sz w:val="22"/>
                <w:lang w:val="uk-UA"/>
              </w:rPr>
            </w:pPr>
            <w:r w:rsidRPr="001916D0">
              <w:rPr>
                <w:sz w:val="22"/>
                <w:lang w:val="uk-UA"/>
              </w:rPr>
              <w:t>Очікувані якісні результати від реалізації проекту</w:t>
            </w:r>
          </w:p>
        </w:tc>
        <w:tc>
          <w:tcPr>
            <w:tcW w:w="7145" w:type="dxa"/>
            <w:gridSpan w:val="8"/>
          </w:tcPr>
          <w:p w:rsidR="00F8716F" w:rsidRPr="001916D0" w:rsidRDefault="00F8716F" w:rsidP="000303D7">
            <w:pPr>
              <w:pStyle w:val="a7"/>
              <w:numPr>
                <w:ilvl w:val="0"/>
                <w:numId w:val="132"/>
              </w:numPr>
              <w:jc w:val="left"/>
              <w:rPr>
                <w:color w:val="000000" w:themeColor="text1"/>
                <w:sz w:val="22"/>
                <w:lang w:val="uk-UA"/>
              </w:rPr>
            </w:pPr>
            <w:r w:rsidRPr="001916D0">
              <w:rPr>
                <w:color w:val="000000" w:themeColor="text1"/>
                <w:sz w:val="22"/>
                <w:lang w:val="uk-UA"/>
              </w:rPr>
              <w:t>Забезпечення населення можливостями для реалізації його конституційних прав, пов’язаних із освітніми послугами.</w:t>
            </w:r>
          </w:p>
          <w:p w:rsidR="00F8716F" w:rsidRPr="001916D0" w:rsidRDefault="00F8716F" w:rsidP="000303D7">
            <w:pPr>
              <w:pStyle w:val="a7"/>
              <w:numPr>
                <w:ilvl w:val="0"/>
                <w:numId w:val="132"/>
              </w:numPr>
              <w:jc w:val="left"/>
              <w:rPr>
                <w:color w:val="000000" w:themeColor="text1"/>
                <w:sz w:val="22"/>
                <w:lang w:val="uk-UA"/>
              </w:rPr>
            </w:pPr>
            <w:r w:rsidRPr="001916D0">
              <w:rPr>
                <w:color w:val="000000" w:themeColor="text1"/>
                <w:sz w:val="22"/>
                <w:lang w:val="uk-UA"/>
              </w:rPr>
              <w:t xml:space="preserve">Відновлення надання населенню послуг з дошкільної освіти, загальної середньої освіти та позашкільної освіти. </w:t>
            </w:r>
          </w:p>
          <w:p w:rsidR="00F8716F" w:rsidRPr="001916D0" w:rsidRDefault="00F8716F" w:rsidP="000303D7">
            <w:pPr>
              <w:pStyle w:val="a7"/>
              <w:numPr>
                <w:ilvl w:val="0"/>
                <w:numId w:val="132"/>
              </w:numPr>
              <w:jc w:val="left"/>
              <w:rPr>
                <w:color w:val="000000" w:themeColor="text1"/>
                <w:sz w:val="22"/>
                <w:lang w:val="uk-UA"/>
              </w:rPr>
            </w:pPr>
            <w:r w:rsidRPr="001916D0">
              <w:rPr>
                <w:color w:val="000000" w:themeColor="text1"/>
                <w:sz w:val="22"/>
                <w:lang w:val="uk-UA"/>
              </w:rPr>
              <w:t xml:space="preserve">Розвиток та удосконалення мережі підпорядкованих закладів освіти. </w:t>
            </w:r>
          </w:p>
          <w:p w:rsidR="00F8716F" w:rsidRPr="001916D0" w:rsidRDefault="00F8716F" w:rsidP="000303D7">
            <w:pPr>
              <w:pStyle w:val="a7"/>
              <w:numPr>
                <w:ilvl w:val="0"/>
                <w:numId w:val="132"/>
              </w:numPr>
              <w:jc w:val="left"/>
              <w:rPr>
                <w:color w:val="000000" w:themeColor="text1"/>
                <w:sz w:val="22"/>
                <w:lang w:val="uk-UA"/>
              </w:rPr>
            </w:pPr>
            <w:r w:rsidRPr="001916D0">
              <w:rPr>
                <w:color w:val="000000" w:themeColor="text1"/>
                <w:sz w:val="22"/>
                <w:lang w:val="uk-UA"/>
              </w:rPr>
              <w:t>Забезпечення реалізації державної політики в галузі освіти і виховання на території громади з урахуванням особливостей соціально-культурного середовища.</w:t>
            </w:r>
          </w:p>
          <w:p w:rsidR="00F8716F" w:rsidRPr="001916D0" w:rsidRDefault="00F8716F" w:rsidP="000303D7">
            <w:pPr>
              <w:pStyle w:val="a7"/>
              <w:numPr>
                <w:ilvl w:val="0"/>
                <w:numId w:val="132"/>
              </w:numPr>
              <w:jc w:val="left"/>
              <w:rPr>
                <w:color w:val="000000" w:themeColor="text1"/>
                <w:sz w:val="22"/>
                <w:lang w:val="uk-UA"/>
              </w:rPr>
            </w:pPr>
            <w:r w:rsidRPr="001916D0">
              <w:rPr>
                <w:color w:val="000000" w:themeColor="text1"/>
                <w:sz w:val="22"/>
                <w:lang w:val="uk-UA"/>
              </w:rPr>
              <w:t>Вирішення ряду питань в межах статутної діяльності, пов’язаних із відбудовою громади.</w:t>
            </w:r>
          </w:p>
          <w:p w:rsidR="00F8716F" w:rsidRPr="001916D0" w:rsidRDefault="00F8716F" w:rsidP="000303D7">
            <w:pPr>
              <w:pStyle w:val="a7"/>
              <w:numPr>
                <w:ilvl w:val="0"/>
                <w:numId w:val="132"/>
              </w:numPr>
              <w:jc w:val="left"/>
              <w:rPr>
                <w:color w:val="000000" w:themeColor="text1"/>
                <w:sz w:val="22"/>
                <w:lang w:val="uk-UA"/>
              </w:rPr>
            </w:pPr>
            <w:r w:rsidRPr="001916D0">
              <w:rPr>
                <w:color w:val="000000" w:themeColor="text1"/>
                <w:sz w:val="22"/>
                <w:lang w:val="uk-UA"/>
              </w:rPr>
              <w:t>Створення нових робочих місць.</w:t>
            </w:r>
          </w:p>
          <w:p w:rsidR="00F8716F" w:rsidRPr="001916D0" w:rsidRDefault="00F8716F" w:rsidP="000303D7">
            <w:pPr>
              <w:pStyle w:val="a7"/>
              <w:numPr>
                <w:ilvl w:val="0"/>
                <w:numId w:val="132"/>
              </w:numPr>
              <w:jc w:val="left"/>
              <w:rPr>
                <w:color w:val="000000" w:themeColor="text1"/>
                <w:sz w:val="22"/>
                <w:lang w:val="uk-UA"/>
              </w:rPr>
            </w:pPr>
            <w:r w:rsidRPr="001916D0">
              <w:rPr>
                <w:color w:val="000000" w:themeColor="text1"/>
                <w:sz w:val="22"/>
                <w:lang w:val="uk-UA"/>
              </w:rPr>
              <w:t>Створення умов до повернення ВПО до громади.</w:t>
            </w:r>
          </w:p>
        </w:tc>
      </w:tr>
      <w:tr w:rsidR="00F8716F" w:rsidRPr="001916D0" w:rsidTr="00F8716F">
        <w:trPr>
          <w:trHeight w:val="624"/>
        </w:trPr>
        <w:tc>
          <w:tcPr>
            <w:tcW w:w="2836" w:type="dxa"/>
            <w:vMerge w:val="restart"/>
            <w:shd w:val="clear" w:color="auto" w:fill="B8CCE4" w:themeFill="accent1" w:themeFillTint="66"/>
          </w:tcPr>
          <w:p w:rsidR="00F8716F" w:rsidRPr="001916D0" w:rsidRDefault="00F8716F" w:rsidP="00524DBF">
            <w:pPr>
              <w:rPr>
                <w:rStyle w:val="2055"/>
                <w:rFonts w:eastAsia="Arial"/>
                <w:color w:val="FF0000"/>
                <w:sz w:val="22"/>
                <w:lang w:val="uk-UA"/>
              </w:rPr>
            </w:pPr>
            <w:r w:rsidRPr="001916D0">
              <w:rPr>
                <w:rFonts w:eastAsia="Calibri"/>
                <w:color w:val="000000"/>
                <w:sz w:val="22"/>
                <w:lang w:val="uk-UA"/>
              </w:rPr>
              <w:t>Очікувані кількісні результати від реалізації проекту  (індикатори)</w:t>
            </w:r>
          </w:p>
        </w:tc>
        <w:tc>
          <w:tcPr>
            <w:tcW w:w="3969" w:type="dxa"/>
            <w:gridSpan w:val="3"/>
          </w:tcPr>
          <w:p w:rsidR="00F8716F" w:rsidRPr="001916D0" w:rsidRDefault="00F8716F" w:rsidP="00524DBF">
            <w:pPr>
              <w:rPr>
                <w:color w:val="000000" w:themeColor="text1"/>
                <w:sz w:val="22"/>
                <w:lang w:val="uk-UA"/>
              </w:rPr>
            </w:pPr>
            <w:r w:rsidRPr="001916D0">
              <w:rPr>
                <w:color w:val="000000" w:themeColor="text1"/>
                <w:sz w:val="22"/>
                <w:lang w:val="uk-UA"/>
              </w:rPr>
              <w:t>Найменування показника</w:t>
            </w:r>
          </w:p>
        </w:tc>
        <w:tc>
          <w:tcPr>
            <w:tcW w:w="1701" w:type="dxa"/>
            <w:gridSpan w:val="2"/>
          </w:tcPr>
          <w:p w:rsidR="00F8716F" w:rsidRPr="001916D0" w:rsidRDefault="00F8716F" w:rsidP="00524DBF">
            <w:pPr>
              <w:rPr>
                <w:color w:val="000000" w:themeColor="text1"/>
                <w:sz w:val="22"/>
                <w:lang w:val="uk-UA"/>
              </w:rPr>
            </w:pPr>
            <w:r w:rsidRPr="001916D0">
              <w:rPr>
                <w:color w:val="000000" w:themeColor="text1"/>
                <w:sz w:val="22"/>
                <w:lang w:val="uk-UA"/>
              </w:rPr>
              <w:t>Одиниця вимірювання</w:t>
            </w:r>
          </w:p>
        </w:tc>
        <w:tc>
          <w:tcPr>
            <w:tcW w:w="1475" w:type="dxa"/>
            <w:gridSpan w:val="3"/>
          </w:tcPr>
          <w:p w:rsidR="00F8716F" w:rsidRPr="001916D0" w:rsidRDefault="00F8716F" w:rsidP="00524DBF">
            <w:pPr>
              <w:rPr>
                <w:color w:val="000000" w:themeColor="text1"/>
                <w:sz w:val="22"/>
                <w:lang w:val="uk-UA"/>
              </w:rPr>
            </w:pPr>
            <w:r w:rsidRPr="001916D0">
              <w:rPr>
                <w:color w:val="000000" w:themeColor="text1"/>
                <w:sz w:val="22"/>
                <w:lang w:val="uk-UA"/>
              </w:rPr>
              <w:t>Прогнозне (цільове) значення</w:t>
            </w:r>
          </w:p>
        </w:tc>
      </w:tr>
      <w:tr w:rsidR="00F8716F" w:rsidRPr="001916D0" w:rsidTr="00F8716F">
        <w:trPr>
          <w:trHeight w:val="624"/>
        </w:trPr>
        <w:tc>
          <w:tcPr>
            <w:tcW w:w="2836" w:type="dxa"/>
            <w:vMerge/>
            <w:shd w:val="clear" w:color="auto" w:fill="B8CCE4" w:themeFill="accent1" w:themeFillTint="66"/>
          </w:tcPr>
          <w:p w:rsidR="00F8716F" w:rsidRPr="001916D0" w:rsidRDefault="00F8716F" w:rsidP="00524DBF">
            <w:pPr>
              <w:rPr>
                <w:rFonts w:eastAsia="Calibri"/>
                <w:color w:val="000000"/>
                <w:sz w:val="22"/>
                <w:lang w:val="uk-UA"/>
              </w:rPr>
            </w:pPr>
          </w:p>
        </w:tc>
        <w:tc>
          <w:tcPr>
            <w:tcW w:w="3969" w:type="dxa"/>
            <w:gridSpan w:val="3"/>
          </w:tcPr>
          <w:p w:rsidR="00F8716F" w:rsidRPr="001916D0" w:rsidRDefault="00F8716F" w:rsidP="00524DBF">
            <w:pPr>
              <w:rPr>
                <w:color w:val="000000" w:themeColor="text1"/>
                <w:sz w:val="22"/>
                <w:lang w:val="uk-UA"/>
              </w:rPr>
            </w:pPr>
            <w:r w:rsidRPr="001916D0">
              <w:rPr>
                <w:color w:val="000000" w:themeColor="text1"/>
                <w:sz w:val="22"/>
                <w:lang w:val="uk-UA"/>
              </w:rPr>
              <w:t>Відновлення роботи мережі закладів освіти</w:t>
            </w:r>
          </w:p>
        </w:tc>
        <w:tc>
          <w:tcPr>
            <w:tcW w:w="1701" w:type="dxa"/>
            <w:gridSpan w:val="2"/>
          </w:tcPr>
          <w:p w:rsidR="00F8716F" w:rsidRPr="001916D0" w:rsidRDefault="00F8716F" w:rsidP="00524DBF">
            <w:pPr>
              <w:rPr>
                <w:color w:val="000000" w:themeColor="text1"/>
                <w:sz w:val="22"/>
                <w:lang w:val="uk-UA"/>
              </w:rPr>
            </w:pPr>
            <w:r w:rsidRPr="001916D0">
              <w:rPr>
                <w:color w:val="000000" w:themeColor="text1"/>
                <w:sz w:val="22"/>
                <w:lang w:val="uk-UA"/>
              </w:rPr>
              <w:t>одиниць</w:t>
            </w:r>
          </w:p>
        </w:tc>
        <w:tc>
          <w:tcPr>
            <w:tcW w:w="1475" w:type="dxa"/>
            <w:gridSpan w:val="3"/>
          </w:tcPr>
          <w:p w:rsidR="00F8716F" w:rsidRPr="001916D0" w:rsidRDefault="00F8716F" w:rsidP="00524DBF">
            <w:pPr>
              <w:rPr>
                <w:color w:val="000000" w:themeColor="text1"/>
                <w:sz w:val="22"/>
                <w:lang w:val="uk-UA"/>
              </w:rPr>
            </w:pPr>
            <w:r w:rsidRPr="001916D0">
              <w:rPr>
                <w:color w:val="000000" w:themeColor="text1"/>
                <w:sz w:val="22"/>
                <w:lang w:val="uk-UA"/>
              </w:rPr>
              <w:t xml:space="preserve">45 </w:t>
            </w:r>
          </w:p>
        </w:tc>
      </w:tr>
      <w:tr w:rsidR="00F8716F" w:rsidRPr="001916D0" w:rsidTr="00F8716F">
        <w:trPr>
          <w:trHeight w:val="499"/>
        </w:trPr>
        <w:tc>
          <w:tcPr>
            <w:tcW w:w="2836" w:type="dxa"/>
            <w:vMerge/>
            <w:shd w:val="clear" w:color="auto" w:fill="B8CCE4" w:themeFill="accent1" w:themeFillTint="66"/>
          </w:tcPr>
          <w:p w:rsidR="00F8716F" w:rsidRPr="001916D0" w:rsidRDefault="00F8716F" w:rsidP="00524DBF">
            <w:pPr>
              <w:rPr>
                <w:rFonts w:eastAsia="Calibri"/>
                <w:color w:val="000000"/>
                <w:sz w:val="22"/>
                <w:lang w:val="uk-UA"/>
              </w:rPr>
            </w:pPr>
          </w:p>
        </w:tc>
        <w:tc>
          <w:tcPr>
            <w:tcW w:w="3969" w:type="dxa"/>
            <w:gridSpan w:val="3"/>
          </w:tcPr>
          <w:p w:rsidR="00F8716F" w:rsidRPr="001916D0" w:rsidRDefault="00F8716F" w:rsidP="00524DBF">
            <w:pPr>
              <w:rPr>
                <w:color w:val="000000" w:themeColor="text1"/>
                <w:sz w:val="22"/>
                <w:shd w:val="clear" w:color="auto" w:fill="FFFFFF"/>
                <w:lang w:val="uk-UA"/>
              </w:rPr>
            </w:pPr>
            <w:r w:rsidRPr="001916D0">
              <w:rPr>
                <w:color w:val="000000" w:themeColor="text1"/>
                <w:sz w:val="22"/>
                <w:shd w:val="clear" w:color="auto" w:fill="FFFFFF"/>
                <w:lang w:val="uk-UA"/>
              </w:rPr>
              <w:t>Кількість населених пунктів, які обслуговують заклади освіти</w:t>
            </w:r>
          </w:p>
        </w:tc>
        <w:tc>
          <w:tcPr>
            <w:tcW w:w="1701" w:type="dxa"/>
            <w:gridSpan w:val="2"/>
          </w:tcPr>
          <w:p w:rsidR="00F8716F" w:rsidRPr="001916D0" w:rsidRDefault="00F8716F" w:rsidP="00524DBF">
            <w:pPr>
              <w:rPr>
                <w:color w:val="000000" w:themeColor="text1"/>
                <w:sz w:val="22"/>
                <w:lang w:val="uk-UA"/>
              </w:rPr>
            </w:pPr>
            <w:r w:rsidRPr="001916D0">
              <w:rPr>
                <w:color w:val="000000" w:themeColor="text1"/>
                <w:sz w:val="22"/>
                <w:lang w:val="uk-UA"/>
              </w:rPr>
              <w:t>одиниць</w:t>
            </w:r>
          </w:p>
        </w:tc>
        <w:tc>
          <w:tcPr>
            <w:tcW w:w="1475" w:type="dxa"/>
            <w:gridSpan w:val="3"/>
          </w:tcPr>
          <w:p w:rsidR="00F8716F" w:rsidRPr="001916D0" w:rsidRDefault="00F8716F" w:rsidP="00524DBF">
            <w:pPr>
              <w:rPr>
                <w:color w:val="000000" w:themeColor="text1"/>
                <w:sz w:val="22"/>
                <w:lang w:val="uk-UA"/>
              </w:rPr>
            </w:pPr>
            <w:r w:rsidRPr="001916D0">
              <w:rPr>
                <w:color w:val="000000" w:themeColor="text1"/>
                <w:sz w:val="22"/>
                <w:lang w:val="uk-UA"/>
              </w:rPr>
              <w:t>20</w:t>
            </w:r>
          </w:p>
          <w:p w:rsidR="00F8716F" w:rsidRPr="001916D0" w:rsidRDefault="00F8716F" w:rsidP="00524DBF">
            <w:pPr>
              <w:rPr>
                <w:color w:val="000000" w:themeColor="text1"/>
                <w:sz w:val="22"/>
                <w:lang w:val="uk-UA"/>
              </w:rPr>
            </w:pPr>
          </w:p>
        </w:tc>
      </w:tr>
      <w:tr w:rsidR="00F8716F" w:rsidRPr="001916D0" w:rsidTr="00F8716F">
        <w:tc>
          <w:tcPr>
            <w:tcW w:w="2836" w:type="dxa"/>
            <w:shd w:val="clear" w:color="auto" w:fill="B8CCE4" w:themeFill="accent1" w:themeFillTint="66"/>
          </w:tcPr>
          <w:p w:rsidR="00F8716F" w:rsidRPr="001916D0" w:rsidRDefault="00F8716F" w:rsidP="00524DBF">
            <w:pPr>
              <w:rPr>
                <w:sz w:val="22"/>
                <w:lang w:val="uk-UA"/>
              </w:rPr>
            </w:pPr>
            <w:r w:rsidRPr="001916D0">
              <w:rPr>
                <w:rFonts w:eastAsia="Calibri"/>
                <w:color w:val="000000"/>
                <w:sz w:val="22"/>
                <w:lang w:val="uk-UA"/>
              </w:rPr>
              <w:t>Ключові заходи проекту</w:t>
            </w:r>
          </w:p>
        </w:tc>
        <w:tc>
          <w:tcPr>
            <w:tcW w:w="7145" w:type="dxa"/>
            <w:gridSpan w:val="8"/>
          </w:tcPr>
          <w:p w:rsidR="00F8716F" w:rsidRPr="001916D0" w:rsidRDefault="00F8716F" w:rsidP="00524DBF">
            <w:pPr>
              <w:autoSpaceDE w:val="0"/>
              <w:autoSpaceDN w:val="0"/>
              <w:adjustRightInd w:val="0"/>
              <w:rPr>
                <w:color w:val="000000" w:themeColor="text1"/>
                <w:sz w:val="22"/>
                <w:lang w:val="uk-UA"/>
              </w:rPr>
            </w:pPr>
            <w:r w:rsidRPr="001916D0">
              <w:rPr>
                <w:color w:val="000000"/>
                <w:sz w:val="22"/>
                <w:lang w:val="uk-UA"/>
              </w:rPr>
              <w:t xml:space="preserve">1. Провести аудит пошкоджених приміщень Управління освіти </w:t>
            </w:r>
            <w:r w:rsidRPr="001916D0">
              <w:rPr>
                <w:color w:val="000000" w:themeColor="text1"/>
                <w:sz w:val="22"/>
                <w:lang w:val="uk-UA"/>
              </w:rPr>
              <w:t xml:space="preserve">Сєвєродонецької МВА, проведення інвентаризації основних засобів. </w:t>
            </w:r>
          </w:p>
          <w:p w:rsidR="00F8716F" w:rsidRPr="001916D0" w:rsidRDefault="00F8716F" w:rsidP="00524DBF">
            <w:pPr>
              <w:autoSpaceDE w:val="0"/>
              <w:autoSpaceDN w:val="0"/>
              <w:adjustRightInd w:val="0"/>
              <w:rPr>
                <w:color w:val="000000" w:themeColor="text1"/>
                <w:sz w:val="22"/>
                <w:lang w:val="uk-UA"/>
              </w:rPr>
            </w:pPr>
            <w:r w:rsidRPr="001916D0">
              <w:rPr>
                <w:color w:val="000000" w:themeColor="text1"/>
                <w:sz w:val="22"/>
                <w:lang w:val="uk-UA"/>
              </w:rPr>
              <w:t>2. Підготовка бюджетних запитів.</w:t>
            </w:r>
          </w:p>
          <w:p w:rsidR="00F8716F" w:rsidRPr="001916D0" w:rsidRDefault="00F8716F" w:rsidP="00524DBF">
            <w:pPr>
              <w:autoSpaceDE w:val="0"/>
              <w:autoSpaceDN w:val="0"/>
              <w:adjustRightInd w:val="0"/>
              <w:rPr>
                <w:color w:val="000000" w:themeColor="text1"/>
                <w:sz w:val="22"/>
                <w:lang w:val="uk-UA"/>
              </w:rPr>
            </w:pPr>
            <w:r w:rsidRPr="001916D0">
              <w:rPr>
                <w:color w:val="000000" w:themeColor="text1"/>
                <w:sz w:val="22"/>
                <w:lang w:val="uk-UA"/>
              </w:rPr>
              <w:t>3. Придбання необхідного технічного, технологічного забезпечення, меблів,  канцелярських товарів.</w:t>
            </w:r>
          </w:p>
          <w:p w:rsidR="00F8716F" w:rsidRPr="001916D0" w:rsidRDefault="00F8716F" w:rsidP="00524DBF">
            <w:pPr>
              <w:autoSpaceDE w:val="0"/>
              <w:autoSpaceDN w:val="0"/>
              <w:adjustRightInd w:val="0"/>
              <w:rPr>
                <w:color w:val="000000" w:themeColor="text1"/>
                <w:sz w:val="22"/>
                <w:lang w:val="uk-UA"/>
              </w:rPr>
            </w:pPr>
            <w:r w:rsidRPr="001916D0">
              <w:rPr>
                <w:color w:val="000000" w:themeColor="text1"/>
                <w:sz w:val="22"/>
                <w:lang w:val="uk-UA"/>
              </w:rPr>
              <w:lastRenderedPageBreak/>
              <w:t>4. Встановлення та монтаж меблів, комп'ютерної та іншої техніки, підключення швидкісного інтернету.</w:t>
            </w:r>
          </w:p>
          <w:p w:rsidR="00F8716F" w:rsidRPr="001916D0" w:rsidRDefault="00F8716F" w:rsidP="00524DBF">
            <w:pPr>
              <w:autoSpaceDE w:val="0"/>
              <w:autoSpaceDN w:val="0"/>
              <w:adjustRightInd w:val="0"/>
              <w:rPr>
                <w:color w:val="000000" w:themeColor="text1"/>
                <w:sz w:val="22"/>
                <w:lang w:val="uk-UA"/>
              </w:rPr>
            </w:pPr>
            <w:r w:rsidRPr="001916D0">
              <w:rPr>
                <w:color w:val="000000" w:themeColor="text1"/>
                <w:sz w:val="22"/>
                <w:lang w:val="uk-UA"/>
              </w:rPr>
              <w:t>5. Кадрове забезпечення.</w:t>
            </w:r>
          </w:p>
          <w:p w:rsidR="00F8716F" w:rsidRPr="001916D0" w:rsidRDefault="00F8716F" w:rsidP="00524DBF">
            <w:pPr>
              <w:autoSpaceDE w:val="0"/>
              <w:autoSpaceDN w:val="0"/>
              <w:adjustRightInd w:val="0"/>
              <w:rPr>
                <w:sz w:val="22"/>
                <w:lang w:val="uk-UA"/>
              </w:rPr>
            </w:pPr>
            <w:r w:rsidRPr="001916D0">
              <w:rPr>
                <w:color w:val="000000" w:themeColor="text1"/>
                <w:sz w:val="22"/>
                <w:lang w:val="uk-UA"/>
              </w:rPr>
              <w:t>6. Організація та початок робочого процесу.</w:t>
            </w:r>
          </w:p>
        </w:tc>
      </w:tr>
      <w:tr w:rsidR="00F8716F" w:rsidRPr="001916D0" w:rsidTr="00F8716F">
        <w:trPr>
          <w:trHeight w:val="300"/>
        </w:trPr>
        <w:tc>
          <w:tcPr>
            <w:tcW w:w="2836" w:type="dxa"/>
            <w:vMerge w:val="restart"/>
            <w:shd w:val="clear" w:color="auto" w:fill="B8CCE4" w:themeFill="accent1" w:themeFillTint="66"/>
          </w:tcPr>
          <w:p w:rsidR="00F8716F" w:rsidRPr="001916D0" w:rsidRDefault="00F8716F" w:rsidP="00524DBF">
            <w:pPr>
              <w:rPr>
                <w:color w:val="FF0000"/>
                <w:sz w:val="22"/>
                <w:lang w:val="uk-UA"/>
              </w:rPr>
            </w:pPr>
            <w:r w:rsidRPr="001916D0">
              <w:rPr>
                <w:rStyle w:val="2055"/>
                <w:rFonts w:eastAsia="Arial"/>
                <w:sz w:val="22"/>
                <w:lang w:val="uk-UA"/>
              </w:rPr>
              <w:lastRenderedPageBreak/>
              <w:t>Орієнтовний обсяг та джерела фінансування, тис. грн.</w:t>
            </w:r>
          </w:p>
        </w:tc>
        <w:tc>
          <w:tcPr>
            <w:tcW w:w="1984" w:type="dxa"/>
          </w:tcPr>
          <w:p w:rsidR="00F8716F" w:rsidRPr="001916D0" w:rsidRDefault="00F8716F" w:rsidP="00F8716F">
            <w:pPr>
              <w:jc w:val="center"/>
              <w:rPr>
                <w:sz w:val="22"/>
                <w:lang w:val="uk-UA"/>
              </w:rPr>
            </w:pPr>
            <w:r w:rsidRPr="001916D0">
              <w:rPr>
                <w:sz w:val="22"/>
                <w:lang w:val="uk-UA"/>
              </w:rPr>
              <w:t>Державний бюджет</w:t>
            </w:r>
          </w:p>
        </w:tc>
        <w:tc>
          <w:tcPr>
            <w:tcW w:w="1418" w:type="dxa"/>
          </w:tcPr>
          <w:p w:rsidR="00F8716F" w:rsidRPr="001916D0" w:rsidRDefault="00F8716F" w:rsidP="00F8716F">
            <w:pPr>
              <w:jc w:val="center"/>
              <w:rPr>
                <w:sz w:val="22"/>
                <w:lang w:val="uk-UA"/>
              </w:rPr>
            </w:pPr>
            <w:r w:rsidRPr="001916D0">
              <w:rPr>
                <w:sz w:val="22"/>
                <w:lang w:val="uk-UA"/>
              </w:rPr>
              <w:t>Місцевий бюджет</w:t>
            </w:r>
          </w:p>
        </w:tc>
        <w:tc>
          <w:tcPr>
            <w:tcW w:w="2410" w:type="dxa"/>
            <w:gridSpan w:val="4"/>
          </w:tcPr>
          <w:p w:rsidR="00F8716F" w:rsidRPr="001916D0" w:rsidRDefault="00F8716F" w:rsidP="00F8716F">
            <w:pPr>
              <w:jc w:val="center"/>
              <w:rPr>
                <w:sz w:val="22"/>
                <w:lang w:val="uk-UA"/>
              </w:rPr>
            </w:pPr>
            <w:r w:rsidRPr="001916D0">
              <w:rPr>
                <w:sz w:val="22"/>
                <w:lang w:val="uk-UA"/>
              </w:rPr>
              <w:t>Інші джерела</w:t>
            </w:r>
          </w:p>
        </w:tc>
        <w:tc>
          <w:tcPr>
            <w:tcW w:w="1333" w:type="dxa"/>
            <w:gridSpan w:val="2"/>
          </w:tcPr>
          <w:p w:rsidR="00F8716F" w:rsidRPr="001916D0" w:rsidRDefault="00F8716F" w:rsidP="00F8716F">
            <w:pPr>
              <w:jc w:val="center"/>
              <w:rPr>
                <w:sz w:val="22"/>
                <w:lang w:val="uk-UA"/>
              </w:rPr>
            </w:pPr>
            <w:r w:rsidRPr="001916D0">
              <w:rPr>
                <w:sz w:val="22"/>
                <w:lang w:val="uk-UA"/>
              </w:rPr>
              <w:t>Всього</w:t>
            </w:r>
          </w:p>
        </w:tc>
      </w:tr>
      <w:tr w:rsidR="00F8716F" w:rsidRPr="001916D0" w:rsidTr="00F8716F">
        <w:trPr>
          <w:gridAfter w:val="1"/>
          <w:wAfter w:w="11" w:type="dxa"/>
          <w:trHeight w:val="612"/>
        </w:trPr>
        <w:tc>
          <w:tcPr>
            <w:tcW w:w="2836" w:type="dxa"/>
            <w:vMerge/>
            <w:shd w:val="clear" w:color="auto" w:fill="B8CCE4" w:themeFill="accent1" w:themeFillTint="66"/>
          </w:tcPr>
          <w:p w:rsidR="00F8716F" w:rsidRPr="001916D0" w:rsidRDefault="00F8716F" w:rsidP="00524DBF">
            <w:pPr>
              <w:rPr>
                <w:rStyle w:val="2055"/>
                <w:rFonts w:eastAsia="Arial"/>
                <w:color w:val="000000"/>
                <w:sz w:val="22"/>
                <w:lang w:val="uk-UA"/>
              </w:rPr>
            </w:pPr>
          </w:p>
        </w:tc>
        <w:tc>
          <w:tcPr>
            <w:tcW w:w="1984" w:type="dxa"/>
            <w:vMerge w:val="restart"/>
            <w:vAlign w:val="center"/>
          </w:tcPr>
          <w:p w:rsidR="00F8716F" w:rsidRPr="001916D0" w:rsidRDefault="00F8716F" w:rsidP="00F8716F">
            <w:pPr>
              <w:jc w:val="center"/>
              <w:rPr>
                <w:color w:val="000000" w:themeColor="text1"/>
                <w:sz w:val="22"/>
                <w:lang w:val="uk-UA"/>
              </w:rPr>
            </w:pPr>
            <w:r w:rsidRPr="001916D0">
              <w:rPr>
                <w:color w:val="000000" w:themeColor="text1"/>
                <w:sz w:val="22"/>
                <w:lang w:val="uk-UA"/>
              </w:rPr>
              <w:t>47 900,0</w:t>
            </w:r>
          </w:p>
          <w:p w:rsidR="00F8716F" w:rsidRPr="001916D0" w:rsidRDefault="00F8716F" w:rsidP="00F8716F">
            <w:pPr>
              <w:jc w:val="center"/>
              <w:rPr>
                <w:sz w:val="22"/>
                <w:lang w:val="uk-UA"/>
              </w:rPr>
            </w:pPr>
          </w:p>
        </w:tc>
        <w:tc>
          <w:tcPr>
            <w:tcW w:w="1418" w:type="dxa"/>
            <w:vMerge w:val="restart"/>
          </w:tcPr>
          <w:p w:rsidR="00F8716F" w:rsidRPr="001916D0" w:rsidRDefault="00F8716F" w:rsidP="00F8716F">
            <w:pPr>
              <w:jc w:val="center"/>
              <w:rPr>
                <w:sz w:val="22"/>
                <w:lang w:val="uk-UA"/>
              </w:rPr>
            </w:pPr>
          </w:p>
        </w:tc>
        <w:tc>
          <w:tcPr>
            <w:tcW w:w="1276" w:type="dxa"/>
            <w:gridSpan w:val="2"/>
          </w:tcPr>
          <w:p w:rsidR="00F8716F" w:rsidRPr="001916D0" w:rsidRDefault="00F8716F" w:rsidP="00F8716F">
            <w:pPr>
              <w:jc w:val="center"/>
              <w:rPr>
                <w:sz w:val="22"/>
                <w:lang w:val="uk-UA"/>
              </w:rPr>
            </w:pPr>
            <w:r w:rsidRPr="001916D0">
              <w:rPr>
                <w:sz w:val="22"/>
                <w:lang w:val="uk-UA"/>
              </w:rPr>
              <w:t>Обсяг</w:t>
            </w:r>
          </w:p>
        </w:tc>
        <w:tc>
          <w:tcPr>
            <w:tcW w:w="1134" w:type="dxa"/>
            <w:gridSpan w:val="2"/>
          </w:tcPr>
          <w:p w:rsidR="00F8716F" w:rsidRPr="001916D0" w:rsidRDefault="00F8716F" w:rsidP="00F8716F">
            <w:pPr>
              <w:jc w:val="center"/>
              <w:rPr>
                <w:sz w:val="22"/>
                <w:lang w:val="uk-UA"/>
              </w:rPr>
            </w:pPr>
            <w:r w:rsidRPr="001916D0">
              <w:rPr>
                <w:sz w:val="22"/>
                <w:lang w:val="uk-UA"/>
              </w:rPr>
              <w:t>Назва джерела</w:t>
            </w:r>
          </w:p>
        </w:tc>
        <w:tc>
          <w:tcPr>
            <w:tcW w:w="1322" w:type="dxa"/>
            <w:vMerge w:val="restart"/>
            <w:vAlign w:val="center"/>
          </w:tcPr>
          <w:p w:rsidR="00F8716F" w:rsidRPr="001916D0" w:rsidRDefault="00F8716F" w:rsidP="00F8716F">
            <w:pPr>
              <w:jc w:val="center"/>
              <w:rPr>
                <w:sz w:val="22"/>
                <w:lang w:val="uk-UA"/>
              </w:rPr>
            </w:pPr>
            <w:r w:rsidRPr="001916D0">
              <w:rPr>
                <w:sz w:val="22"/>
                <w:lang w:val="uk-UA"/>
              </w:rPr>
              <w:t>47 900,0</w:t>
            </w:r>
          </w:p>
        </w:tc>
      </w:tr>
      <w:tr w:rsidR="00F8716F" w:rsidRPr="001916D0" w:rsidTr="00F8716F">
        <w:trPr>
          <w:gridAfter w:val="1"/>
          <w:wAfter w:w="11" w:type="dxa"/>
          <w:trHeight w:val="756"/>
        </w:trPr>
        <w:tc>
          <w:tcPr>
            <w:tcW w:w="2836" w:type="dxa"/>
            <w:vMerge/>
            <w:shd w:val="clear" w:color="auto" w:fill="B8CCE4" w:themeFill="accent1" w:themeFillTint="66"/>
          </w:tcPr>
          <w:p w:rsidR="00F8716F" w:rsidRPr="001916D0" w:rsidRDefault="00F8716F" w:rsidP="00524DBF">
            <w:pPr>
              <w:rPr>
                <w:rStyle w:val="2055"/>
                <w:rFonts w:eastAsia="Arial"/>
                <w:color w:val="000000"/>
                <w:sz w:val="22"/>
                <w:lang w:val="uk-UA"/>
              </w:rPr>
            </w:pPr>
          </w:p>
        </w:tc>
        <w:tc>
          <w:tcPr>
            <w:tcW w:w="1984" w:type="dxa"/>
            <w:vMerge/>
          </w:tcPr>
          <w:p w:rsidR="00F8716F" w:rsidRPr="001916D0" w:rsidRDefault="00F8716F" w:rsidP="00524DBF">
            <w:pPr>
              <w:rPr>
                <w:color w:val="000000" w:themeColor="text1"/>
                <w:sz w:val="22"/>
                <w:lang w:val="uk-UA"/>
              </w:rPr>
            </w:pPr>
          </w:p>
        </w:tc>
        <w:tc>
          <w:tcPr>
            <w:tcW w:w="1418" w:type="dxa"/>
            <w:vMerge/>
          </w:tcPr>
          <w:p w:rsidR="00F8716F" w:rsidRPr="001916D0" w:rsidRDefault="00F8716F" w:rsidP="00524DBF">
            <w:pPr>
              <w:rPr>
                <w:sz w:val="22"/>
                <w:lang w:val="uk-UA"/>
              </w:rPr>
            </w:pPr>
          </w:p>
        </w:tc>
        <w:tc>
          <w:tcPr>
            <w:tcW w:w="1276" w:type="dxa"/>
            <w:gridSpan w:val="2"/>
          </w:tcPr>
          <w:p w:rsidR="00F8716F" w:rsidRPr="001916D0" w:rsidRDefault="00F8716F" w:rsidP="00524DBF">
            <w:pPr>
              <w:rPr>
                <w:sz w:val="22"/>
                <w:lang w:val="uk-UA"/>
              </w:rPr>
            </w:pPr>
          </w:p>
        </w:tc>
        <w:tc>
          <w:tcPr>
            <w:tcW w:w="1134" w:type="dxa"/>
            <w:gridSpan w:val="2"/>
          </w:tcPr>
          <w:p w:rsidR="00F8716F" w:rsidRPr="001916D0" w:rsidRDefault="00F8716F" w:rsidP="00524DBF">
            <w:pPr>
              <w:rPr>
                <w:sz w:val="22"/>
                <w:lang w:val="uk-UA"/>
              </w:rPr>
            </w:pPr>
          </w:p>
        </w:tc>
        <w:tc>
          <w:tcPr>
            <w:tcW w:w="1322" w:type="dxa"/>
            <w:vMerge/>
          </w:tcPr>
          <w:p w:rsidR="00F8716F" w:rsidRPr="001916D0" w:rsidRDefault="00F8716F" w:rsidP="00524DBF">
            <w:pPr>
              <w:rPr>
                <w:sz w:val="22"/>
                <w:lang w:val="uk-UA"/>
              </w:rPr>
            </w:pPr>
          </w:p>
        </w:tc>
      </w:tr>
    </w:tbl>
    <w:p w:rsidR="00F8716F" w:rsidRPr="001916D0" w:rsidRDefault="00F8716F" w:rsidP="00E95FB1">
      <w:pPr>
        <w:rPr>
          <w:sz w:val="22"/>
        </w:rPr>
      </w:pPr>
    </w:p>
    <w:p w:rsidR="00F8716F" w:rsidRPr="001916D0" w:rsidRDefault="00F8716F" w:rsidP="00E95FB1">
      <w:pPr>
        <w:rPr>
          <w:sz w:val="22"/>
        </w:rPr>
      </w:pPr>
    </w:p>
    <w:tbl>
      <w:tblPr>
        <w:tblW w:w="992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836"/>
        <w:gridCol w:w="1062"/>
        <w:gridCol w:w="1105"/>
        <w:gridCol w:w="913"/>
        <w:gridCol w:w="509"/>
        <w:gridCol w:w="799"/>
        <w:gridCol w:w="470"/>
        <w:gridCol w:w="2229"/>
      </w:tblGrid>
      <w:tr w:rsidR="00033CE7" w:rsidRPr="001916D0" w:rsidTr="00C11751">
        <w:trPr>
          <w:trHeight w:val="699"/>
        </w:trPr>
        <w:tc>
          <w:tcPr>
            <w:tcW w:w="2836" w:type="dxa"/>
            <w:shd w:val="clear" w:color="auto" w:fill="C6D9F1" w:themeFill="text2" w:themeFillTint="33"/>
          </w:tcPr>
          <w:p w:rsidR="00033CE7" w:rsidRPr="001916D0" w:rsidRDefault="00033CE7" w:rsidP="00C11751">
            <w:pPr>
              <w:contextualSpacing/>
              <w:rPr>
                <w:rFonts w:eastAsia="Calibri"/>
                <w:color w:val="000000"/>
                <w:sz w:val="22"/>
              </w:rPr>
            </w:pPr>
            <w:r w:rsidRPr="001916D0">
              <w:rPr>
                <w:b/>
                <w:sz w:val="22"/>
              </w:rPr>
              <w:t>Оперативна ціль/завдання</w:t>
            </w:r>
          </w:p>
        </w:tc>
        <w:tc>
          <w:tcPr>
            <w:tcW w:w="7087" w:type="dxa"/>
            <w:gridSpan w:val="7"/>
            <w:shd w:val="clear" w:color="auto" w:fill="auto"/>
          </w:tcPr>
          <w:p w:rsidR="00033CE7" w:rsidRPr="001916D0" w:rsidRDefault="00033CE7" w:rsidP="00C11751">
            <w:pPr>
              <w:autoSpaceDE w:val="0"/>
              <w:snapToGrid w:val="0"/>
              <w:rPr>
                <w:sz w:val="22"/>
              </w:rPr>
            </w:pPr>
            <w:r w:rsidRPr="001916D0">
              <w:rPr>
                <w:rFonts w:eastAsia="Calibri"/>
                <w:color w:val="000000"/>
                <w:sz w:val="22"/>
              </w:rPr>
              <w:t xml:space="preserve">Комфорт життя ЛЮДИНИ як безпека, екологічна сталість та розумна енергетика, </w:t>
            </w:r>
          </w:p>
        </w:tc>
      </w:tr>
      <w:tr w:rsidR="00033CE7" w:rsidRPr="001916D0" w:rsidTr="00C11751">
        <w:trPr>
          <w:trHeight w:val="289"/>
        </w:trPr>
        <w:tc>
          <w:tcPr>
            <w:tcW w:w="2836" w:type="dxa"/>
            <w:shd w:val="clear" w:color="auto" w:fill="C6D9F1" w:themeFill="text2" w:themeFillTint="33"/>
          </w:tcPr>
          <w:p w:rsidR="00033CE7" w:rsidRPr="001916D0" w:rsidRDefault="00033CE7" w:rsidP="00C11751">
            <w:pPr>
              <w:contextualSpacing/>
              <w:rPr>
                <w:b/>
                <w:sz w:val="22"/>
              </w:rPr>
            </w:pPr>
            <w:r w:rsidRPr="001916D0">
              <w:rPr>
                <w:b/>
                <w:sz w:val="22"/>
              </w:rPr>
              <w:t>Назва проекту:</w:t>
            </w:r>
          </w:p>
        </w:tc>
        <w:tc>
          <w:tcPr>
            <w:tcW w:w="7087" w:type="dxa"/>
            <w:gridSpan w:val="7"/>
            <w:shd w:val="clear" w:color="auto" w:fill="auto"/>
          </w:tcPr>
          <w:p w:rsidR="00033CE7" w:rsidRPr="001916D0" w:rsidRDefault="00033CE7" w:rsidP="00C11751">
            <w:pPr>
              <w:autoSpaceDE w:val="0"/>
              <w:snapToGrid w:val="0"/>
              <w:rPr>
                <w:sz w:val="22"/>
              </w:rPr>
            </w:pPr>
            <w:r w:rsidRPr="001916D0">
              <w:rPr>
                <w:rFonts w:eastAsia="Calibri"/>
                <w:color w:val="000000"/>
                <w:sz w:val="22"/>
              </w:rPr>
              <w:t>Відновлення  адмінбудівель КП «</w:t>
            </w:r>
            <w:proofErr w:type="spellStart"/>
            <w:r w:rsidRPr="001916D0">
              <w:rPr>
                <w:rFonts w:eastAsia="Calibri"/>
                <w:color w:val="000000"/>
                <w:sz w:val="22"/>
              </w:rPr>
              <w:t>Житлосервіс</w:t>
            </w:r>
            <w:proofErr w:type="spellEnd"/>
            <w:r w:rsidRPr="001916D0">
              <w:rPr>
                <w:rFonts w:eastAsia="Calibri"/>
                <w:color w:val="000000"/>
                <w:sz w:val="22"/>
              </w:rPr>
              <w:t xml:space="preserve"> «Світанок</w:t>
            </w:r>
            <w:r w:rsidRPr="001916D0">
              <w:rPr>
                <w:rFonts w:eastAsia="Calibri"/>
                <w:color w:val="000000"/>
                <w:sz w:val="22"/>
                <w:szCs w:val="22"/>
              </w:rPr>
              <w:t>»</w:t>
            </w:r>
            <w:r w:rsidR="00B76026" w:rsidRPr="001916D0">
              <w:rPr>
                <w:rFonts w:eastAsia="Calibri"/>
                <w:color w:val="000000"/>
                <w:sz w:val="22"/>
                <w:szCs w:val="22"/>
              </w:rPr>
              <w:t>»</w:t>
            </w:r>
          </w:p>
        </w:tc>
      </w:tr>
      <w:tr w:rsidR="00033CE7" w:rsidRPr="001916D0" w:rsidTr="00C11751">
        <w:trPr>
          <w:trHeight w:val="655"/>
        </w:trPr>
        <w:tc>
          <w:tcPr>
            <w:tcW w:w="2836" w:type="dxa"/>
            <w:shd w:val="clear" w:color="auto" w:fill="C6D9F1" w:themeFill="text2" w:themeFillTint="33"/>
          </w:tcPr>
          <w:p w:rsidR="00033CE7" w:rsidRPr="001916D0" w:rsidRDefault="00033CE7" w:rsidP="00C11751">
            <w:pPr>
              <w:contextualSpacing/>
              <w:rPr>
                <w:b/>
                <w:sz w:val="22"/>
              </w:rPr>
            </w:pPr>
            <w:r w:rsidRPr="001916D0">
              <w:rPr>
                <w:b/>
                <w:sz w:val="22"/>
              </w:rPr>
              <w:t>Ціль проекту</w:t>
            </w:r>
          </w:p>
        </w:tc>
        <w:tc>
          <w:tcPr>
            <w:tcW w:w="7087" w:type="dxa"/>
            <w:gridSpan w:val="7"/>
            <w:shd w:val="clear" w:color="auto" w:fill="auto"/>
          </w:tcPr>
          <w:p w:rsidR="00033CE7" w:rsidRPr="001916D0" w:rsidRDefault="00033CE7" w:rsidP="00C11751">
            <w:pPr>
              <w:autoSpaceDE w:val="0"/>
              <w:snapToGrid w:val="0"/>
              <w:rPr>
                <w:sz w:val="22"/>
              </w:rPr>
            </w:pPr>
            <w:r w:rsidRPr="001916D0">
              <w:rPr>
                <w:rFonts w:eastAsia="Calibri"/>
                <w:color w:val="000000"/>
                <w:sz w:val="22"/>
              </w:rPr>
              <w:t>Відновлення та покращення умов роботи для працівників комунального підпр</w:t>
            </w:r>
            <w:r w:rsidR="00B76026" w:rsidRPr="001916D0">
              <w:rPr>
                <w:rFonts w:eastAsia="Calibri"/>
                <w:color w:val="000000"/>
                <w:sz w:val="22"/>
              </w:rPr>
              <w:t>иємства «</w:t>
            </w:r>
            <w:proofErr w:type="spellStart"/>
            <w:r w:rsidR="00B76026" w:rsidRPr="001916D0">
              <w:rPr>
                <w:rFonts w:eastAsia="Calibri"/>
                <w:color w:val="000000"/>
                <w:sz w:val="22"/>
              </w:rPr>
              <w:t>Житлосервіс</w:t>
            </w:r>
            <w:proofErr w:type="spellEnd"/>
            <w:r w:rsidR="00B76026" w:rsidRPr="001916D0">
              <w:rPr>
                <w:rFonts w:eastAsia="Calibri"/>
                <w:color w:val="000000"/>
                <w:sz w:val="22"/>
              </w:rPr>
              <w:t xml:space="preserve"> «Світанок</w:t>
            </w:r>
            <w:r w:rsidR="00B76026" w:rsidRPr="001916D0">
              <w:rPr>
                <w:rFonts w:eastAsia="Calibri"/>
                <w:color w:val="000000"/>
                <w:sz w:val="22"/>
                <w:szCs w:val="22"/>
              </w:rPr>
              <w:t>»»</w:t>
            </w:r>
          </w:p>
        </w:tc>
      </w:tr>
      <w:tr w:rsidR="00033CE7" w:rsidRPr="001916D0" w:rsidTr="00C11751">
        <w:trPr>
          <w:trHeight w:val="289"/>
        </w:trPr>
        <w:tc>
          <w:tcPr>
            <w:tcW w:w="2836" w:type="dxa"/>
            <w:shd w:val="clear" w:color="auto" w:fill="C6D9F1" w:themeFill="text2" w:themeFillTint="33"/>
          </w:tcPr>
          <w:p w:rsidR="00033CE7" w:rsidRPr="001916D0" w:rsidRDefault="00033CE7" w:rsidP="00C11751">
            <w:pPr>
              <w:contextualSpacing/>
              <w:rPr>
                <w:b/>
                <w:sz w:val="22"/>
              </w:rPr>
            </w:pPr>
            <w:r w:rsidRPr="001916D0">
              <w:rPr>
                <w:b/>
                <w:sz w:val="22"/>
              </w:rPr>
              <w:t>Територія, на яку матиме вплив реалізація проекту</w:t>
            </w:r>
          </w:p>
        </w:tc>
        <w:tc>
          <w:tcPr>
            <w:tcW w:w="7087" w:type="dxa"/>
            <w:gridSpan w:val="7"/>
            <w:shd w:val="clear" w:color="auto" w:fill="auto"/>
          </w:tcPr>
          <w:p w:rsidR="00033CE7" w:rsidRPr="001916D0" w:rsidRDefault="00033CE7" w:rsidP="00C11751">
            <w:pPr>
              <w:autoSpaceDE w:val="0"/>
              <w:rPr>
                <w:sz w:val="22"/>
              </w:rPr>
            </w:pPr>
            <w:r w:rsidRPr="001916D0">
              <w:rPr>
                <w:rFonts w:eastAsia="Calibri"/>
                <w:color w:val="000000"/>
                <w:sz w:val="22"/>
              </w:rPr>
              <w:t>Сєвєродонецька міська територіальна громада</w:t>
            </w:r>
          </w:p>
        </w:tc>
      </w:tr>
      <w:tr w:rsidR="00033CE7" w:rsidRPr="001916D0" w:rsidTr="00C11751">
        <w:trPr>
          <w:trHeight w:val="579"/>
        </w:trPr>
        <w:tc>
          <w:tcPr>
            <w:tcW w:w="2836" w:type="dxa"/>
            <w:shd w:val="clear" w:color="auto" w:fill="C6D9F1" w:themeFill="text2" w:themeFillTint="33"/>
          </w:tcPr>
          <w:p w:rsidR="00033CE7" w:rsidRPr="001916D0" w:rsidRDefault="00033CE7" w:rsidP="00C11751">
            <w:pPr>
              <w:contextualSpacing/>
              <w:rPr>
                <w:b/>
                <w:sz w:val="22"/>
              </w:rPr>
            </w:pPr>
            <w:r w:rsidRPr="001916D0">
              <w:rPr>
                <w:b/>
                <w:sz w:val="22"/>
              </w:rPr>
              <w:t>Чисельність населення, на яке матиме вплив реалізація проекту</w:t>
            </w:r>
          </w:p>
        </w:tc>
        <w:tc>
          <w:tcPr>
            <w:tcW w:w="7087" w:type="dxa"/>
            <w:gridSpan w:val="7"/>
            <w:shd w:val="clear" w:color="auto" w:fill="auto"/>
          </w:tcPr>
          <w:p w:rsidR="00033CE7" w:rsidRPr="001916D0" w:rsidRDefault="00B76026" w:rsidP="00C11751">
            <w:pPr>
              <w:autoSpaceDE w:val="0"/>
              <w:snapToGrid w:val="0"/>
              <w:rPr>
                <w:sz w:val="22"/>
              </w:rPr>
            </w:pPr>
            <w:r w:rsidRPr="001916D0">
              <w:rPr>
                <w:rFonts w:eastAsia="Calibri"/>
                <w:color w:val="000000"/>
                <w:sz w:val="22"/>
                <w:szCs w:val="22"/>
              </w:rPr>
              <w:t>70 000</w:t>
            </w:r>
          </w:p>
        </w:tc>
      </w:tr>
      <w:tr w:rsidR="00033CE7" w:rsidRPr="001916D0" w:rsidTr="00C11751">
        <w:trPr>
          <w:trHeight w:val="1088"/>
        </w:trPr>
        <w:tc>
          <w:tcPr>
            <w:tcW w:w="2836" w:type="dxa"/>
            <w:shd w:val="clear" w:color="auto" w:fill="C6D9F1" w:themeFill="text2" w:themeFillTint="33"/>
          </w:tcPr>
          <w:p w:rsidR="00033CE7" w:rsidRPr="001916D0" w:rsidRDefault="00033CE7" w:rsidP="00C11751">
            <w:pPr>
              <w:contextualSpacing/>
              <w:rPr>
                <w:b/>
                <w:sz w:val="22"/>
              </w:rPr>
            </w:pPr>
            <w:r w:rsidRPr="001916D0">
              <w:rPr>
                <w:b/>
                <w:sz w:val="22"/>
              </w:rPr>
              <w:t>Опис проблеми, на вирішення якої спрямований проект</w:t>
            </w:r>
          </w:p>
        </w:tc>
        <w:tc>
          <w:tcPr>
            <w:tcW w:w="7087" w:type="dxa"/>
            <w:gridSpan w:val="7"/>
            <w:shd w:val="clear" w:color="auto" w:fill="auto"/>
          </w:tcPr>
          <w:p w:rsidR="00033CE7" w:rsidRPr="001916D0" w:rsidRDefault="00033CE7" w:rsidP="00B76026">
            <w:pPr>
              <w:autoSpaceDE w:val="0"/>
              <w:snapToGrid w:val="0"/>
              <w:rPr>
                <w:sz w:val="22"/>
              </w:rPr>
            </w:pPr>
            <w:r w:rsidRPr="001916D0">
              <w:rPr>
                <w:rFonts w:eastAsia="Calibri"/>
                <w:color w:val="000000"/>
                <w:sz w:val="22"/>
              </w:rPr>
              <w:t xml:space="preserve">У зв'язку з військовою агресією РФ  адмінбудівлі підприємства частково або повністю </w:t>
            </w:r>
            <w:proofErr w:type="spellStart"/>
            <w:r w:rsidRPr="001916D0">
              <w:rPr>
                <w:rFonts w:eastAsia="Calibri"/>
                <w:color w:val="000000"/>
                <w:sz w:val="22"/>
              </w:rPr>
              <w:t>зруйновани</w:t>
            </w:r>
            <w:proofErr w:type="spellEnd"/>
            <w:r w:rsidRPr="001916D0">
              <w:rPr>
                <w:rFonts w:eastAsia="Calibri"/>
                <w:color w:val="000000"/>
                <w:sz w:val="22"/>
              </w:rPr>
              <w:t xml:space="preserve">. Для якісного </w:t>
            </w:r>
            <w:proofErr w:type="spellStart"/>
            <w:r w:rsidRPr="001916D0">
              <w:rPr>
                <w:rFonts w:eastAsia="Calibri"/>
                <w:color w:val="000000"/>
                <w:sz w:val="22"/>
              </w:rPr>
              <w:t>облуговування</w:t>
            </w:r>
            <w:proofErr w:type="spellEnd"/>
            <w:r w:rsidRPr="001916D0">
              <w:rPr>
                <w:rFonts w:eastAsia="Calibri"/>
                <w:color w:val="000000"/>
                <w:sz w:val="22"/>
              </w:rPr>
              <w:t xml:space="preserve"> та відновлення багатоквартирних будинків треба відновити </w:t>
            </w:r>
            <w:r w:rsidRPr="001916D0">
              <w:rPr>
                <w:rFonts w:eastAsia="Calibri"/>
                <w:color w:val="000000"/>
                <w:sz w:val="22"/>
                <w:szCs w:val="22"/>
              </w:rPr>
              <w:t>робоч</w:t>
            </w:r>
            <w:r w:rsidR="00B76026" w:rsidRPr="001916D0">
              <w:rPr>
                <w:rFonts w:eastAsia="Calibri"/>
                <w:color w:val="000000"/>
                <w:sz w:val="22"/>
                <w:szCs w:val="22"/>
              </w:rPr>
              <w:t>і</w:t>
            </w:r>
            <w:r w:rsidRPr="001916D0">
              <w:rPr>
                <w:rFonts w:eastAsia="Calibri"/>
                <w:color w:val="000000"/>
                <w:sz w:val="22"/>
              </w:rPr>
              <w:t xml:space="preserve"> місця робітникам підприємства сучасними будівельними матеріалами із залученням кваліфікованих спеціалістів</w:t>
            </w:r>
          </w:p>
        </w:tc>
      </w:tr>
      <w:tr w:rsidR="00033CE7" w:rsidRPr="001916D0" w:rsidTr="00C11751">
        <w:trPr>
          <w:trHeight w:val="527"/>
        </w:trPr>
        <w:tc>
          <w:tcPr>
            <w:tcW w:w="2836" w:type="dxa"/>
            <w:shd w:val="clear" w:color="auto" w:fill="C6D9F1" w:themeFill="text2" w:themeFillTint="33"/>
          </w:tcPr>
          <w:p w:rsidR="00033CE7" w:rsidRPr="001916D0" w:rsidRDefault="00033CE7" w:rsidP="00C11751">
            <w:pPr>
              <w:contextualSpacing/>
              <w:rPr>
                <w:b/>
                <w:sz w:val="22"/>
              </w:rPr>
            </w:pPr>
            <w:r w:rsidRPr="001916D0">
              <w:rPr>
                <w:b/>
                <w:sz w:val="22"/>
              </w:rPr>
              <w:t>Очікувані якісні результати від реалізації проекту</w:t>
            </w:r>
          </w:p>
        </w:tc>
        <w:tc>
          <w:tcPr>
            <w:tcW w:w="7087" w:type="dxa"/>
            <w:gridSpan w:val="7"/>
            <w:shd w:val="clear" w:color="auto" w:fill="auto"/>
          </w:tcPr>
          <w:p w:rsidR="00033CE7" w:rsidRPr="001916D0" w:rsidRDefault="00033CE7" w:rsidP="00C11751">
            <w:pPr>
              <w:autoSpaceDE w:val="0"/>
              <w:snapToGrid w:val="0"/>
              <w:rPr>
                <w:rFonts w:eastAsia="Calibri"/>
                <w:color w:val="000000"/>
                <w:sz w:val="22"/>
              </w:rPr>
            </w:pPr>
            <w:r w:rsidRPr="001916D0">
              <w:rPr>
                <w:rFonts w:eastAsia="Calibri"/>
                <w:color w:val="000000"/>
                <w:sz w:val="22"/>
              </w:rPr>
              <w:t xml:space="preserve">відновлення </w:t>
            </w:r>
            <w:proofErr w:type="spellStart"/>
            <w:r w:rsidRPr="001916D0">
              <w:rPr>
                <w:rFonts w:eastAsia="Calibri"/>
                <w:color w:val="000000"/>
                <w:sz w:val="22"/>
              </w:rPr>
              <w:t>робчих</w:t>
            </w:r>
            <w:proofErr w:type="spellEnd"/>
            <w:r w:rsidRPr="001916D0">
              <w:rPr>
                <w:rFonts w:eastAsia="Calibri"/>
                <w:color w:val="000000"/>
                <w:sz w:val="22"/>
              </w:rPr>
              <w:t xml:space="preserve"> місць працівників;</w:t>
            </w:r>
          </w:p>
          <w:p w:rsidR="00033CE7" w:rsidRPr="001916D0" w:rsidRDefault="00033CE7" w:rsidP="00C11751">
            <w:pPr>
              <w:autoSpaceDE w:val="0"/>
              <w:snapToGrid w:val="0"/>
              <w:rPr>
                <w:rFonts w:eastAsia="Calibri"/>
                <w:color w:val="000000"/>
                <w:sz w:val="22"/>
              </w:rPr>
            </w:pPr>
            <w:r w:rsidRPr="001916D0">
              <w:rPr>
                <w:rFonts w:eastAsia="Calibri"/>
                <w:color w:val="000000"/>
                <w:sz w:val="22"/>
              </w:rPr>
              <w:t>створення нових робочих місць;</w:t>
            </w:r>
          </w:p>
          <w:p w:rsidR="00033CE7" w:rsidRPr="001916D0" w:rsidRDefault="00033CE7" w:rsidP="00C11751">
            <w:pPr>
              <w:autoSpaceDE w:val="0"/>
              <w:snapToGrid w:val="0"/>
              <w:rPr>
                <w:sz w:val="22"/>
              </w:rPr>
            </w:pPr>
            <w:r w:rsidRPr="001916D0">
              <w:rPr>
                <w:rFonts w:eastAsia="Calibri"/>
                <w:color w:val="000000"/>
                <w:sz w:val="22"/>
              </w:rPr>
              <w:t>стимул до повернення ВПО до громади.</w:t>
            </w:r>
          </w:p>
        </w:tc>
      </w:tr>
      <w:tr w:rsidR="00033CE7" w:rsidRPr="001916D0" w:rsidTr="00C11751">
        <w:trPr>
          <w:trHeight w:val="579"/>
        </w:trPr>
        <w:tc>
          <w:tcPr>
            <w:tcW w:w="2836" w:type="dxa"/>
            <w:shd w:val="clear" w:color="auto" w:fill="C6D9F1" w:themeFill="text2" w:themeFillTint="33"/>
          </w:tcPr>
          <w:p w:rsidR="00033CE7" w:rsidRPr="001916D0" w:rsidRDefault="00033CE7" w:rsidP="00C11751">
            <w:pPr>
              <w:contextualSpacing/>
              <w:rPr>
                <w:b/>
                <w:sz w:val="22"/>
              </w:rPr>
            </w:pPr>
            <w:r w:rsidRPr="001916D0">
              <w:rPr>
                <w:b/>
                <w:sz w:val="22"/>
              </w:rPr>
              <w:t>Очікувані кількісні результати від реалізації проекту  (індикатори)</w:t>
            </w:r>
          </w:p>
        </w:tc>
        <w:tc>
          <w:tcPr>
            <w:tcW w:w="3080" w:type="dxa"/>
            <w:gridSpan w:val="3"/>
            <w:shd w:val="clear" w:color="auto" w:fill="auto"/>
          </w:tcPr>
          <w:p w:rsidR="00033CE7" w:rsidRPr="001916D0" w:rsidRDefault="00033CE7" w:rsidP="00C11751">
            <w:pPr>
              <w:autoSpaceDE w:val="0"/>
              <w:jc w:val="center"/>
              <w:rPr>
                <w:rFonts w:eastAsia="Calibri"/>
                <w:b/>
                <w:color w:val="000000"/>
                <w:sz w:val="22"/>
              </w:rPr>
            </w:pPr>
            <w:r w:rsidRPr="001916D0">
              <w:rPr>
                <w:rFonts w:eastAsia="Calibri"/>
                <w:b/>
                <w:color w:val="000000"/>
                <w:sz w:val="22"/>
              </w:rPr>
              <w:t>Найменування показника</w:t>
            </w:r>
          </w:p>
        </w:tc>
        <w:tc>
          <w:tcPr>
            <w:tcW w:w="1308" w:type="dxa"/>
            <w:gridSpan w:val="2"/>
            <w:shd w:val="clear" w:color="auto" w:fill="auto"/>
          </w:tcPr>
          <w:p w:rsidR="00033CE7" w:rsidRPr="001916D0" w:rsidRDefault="00033CE7" w:rsidP="00C11751">
            <w:pPr>
              <w:autoSpaceDE w:val="0"/>
              <w:jc w:val="center"/>
              <w:rPr>
                <w:rFonts w:eastAsia="Calibri"/>
                <w:b/>
                <w:color w:val="000000"/>
                <w:sz w:val="22"/>
              </w:rPr>
            </w:pPr>
            <w:r w:rsidRPr="001916D0">
              <w:rPr>
                <w:rFonts w:eastAsia="Calibri"/>
                <w:b/>
                <w:color w:val="000000"/>
                <w:sz w:val="22"/>
              </w:rPr>
              <w:t>Одиниця вимірювання</w:t>
            </w:r>
          </w:p>
        </w:tc>
        <w:tc>
          <w:tcPr>
            <w:tcW w:w="2699" w:type="dxa"/>
            <w:gridSpan w:val="2"/>
            <w:shd w:val="clear" w:color="auto" w:fill="auto"/>
          </w:tcPr>
          <w:p w:rsidR="00033CE7" w:rsidRPr="001916D0" w:rsidRDefault="00033CE7" w:rsidP="00C11751">
            <w:pPr>
              <w:autoSpaceDE w:val="0"/>
              <w:ind w:left="-30"/>
              <w:jc w:val="center"/>
              <w:rPr>
                <w:sz w:val="22"/>
              </w:rPr>
            </w:pPr>
            <w:r w:rsidRPr="001916D0">
              <w:rPr>
                <w:rFonts w:eastAsia="Calibri"/>
                <w:b/>
                <w:color w:val="000000"/>
                <w:sz w:val="22"/>
              </w:rPr>
              <w:t>Прогнозне (цільове) значення</w:t>
            </w:r>
          </w:p>
        </w:tc>
      </w:tr>
      <w:tr w:rsidR="00033CE7" w:rsidRPr="001916D0" w:rsidTr="00C11751">
        <w:trPr>
          <w:trHeight w:val="289"/>
        </w:trPr>
        <w:tc>
          <w:tcPr>
            <w:tcW w:w="2836" w:type="dxa"/>
            <w:vMerge w:val="restart"/>
            <w:shd w:val="clear" w:color="auto" w:fill="C6D9F1" w:themeFill="text2" w:themeFillTint="33"/>
          </w:tcPr>
          <w:p w:rsidR="00033CE7" w:rsidRPr="001916D0" w:rsidRDefault="00033CE7" w:rsidP="00C11751">
            <w:pPr>
              <w:contextualSpacing/>
              <w:rPr>
                <w:b/>
                <w:sz w:val="22"/>
              </w:rPr>
            </w:pPr>
          </w:p>
        </w:tc>
        <w:tc>
          <w:tcPr>
            <w:tcW w:w="3080" w:type="dxa"/>
            <w:gridSpan w:val="3"/>
            <w:shd w:val="clear" w:color="auto" w:fill="auto"/>
          </w:tcPr>
          <w:p w:rsidR="00033CE7" w:rsidRPr="001916D0" w:rsidRDefault="00033CE7" w:rsidP="00C11751">
            <w:pPr>
              <w:autoSpaceDE w:val="0"/>
              <w:snapToGrid w:val="0"/>
              <w:jc w:val="center"/>
              <w:rPr>
                <w:rFonts w:eastAsia="Calibri"/>
                <w:color w:val="000000"/>
                <w:sz w:val="22"/>
              </w:rPr>
            </w:pPr>
            <w:r w:rsidRPr="001916D0">
              <w:rPr>
                <w:rFonts w:eastAsia="Calibri"/>
                <w:color w:val="000000"/>
                <w:sz w:val="22"/>
              </w:rPr>
              <w:t>Кількість працівників</w:t>
            </w:r>
          </w:p>
        </w:tc>
        <w:tc>
          <w:tcPr>
            <w:tcW w:w="1308" w:type="dxa"/>
            <w:gridSpan w:val="2"/>
            <w:shd w:val="clear" w:color="auto" w:fill="auto"/>
          </w:tcPr>
          <w:p w:rsidR="00033CE7" w:rsidRPr="001916D0" w:rsidRDefault="00033CE7" w:rsidP="00C11751">
            <w:pPr>
              <w:autoSpaceDE w:val="0"/>
              <w:snapToGrid w:val="0"/>
              <w:jc w:val="center"/>
              <w:rPr>
                <w:rFonts w:eastAsia="Calibri"/>
                <w:color w:val="000000"/>
                <w:sz w:val="22"/>
              </w:rPr>
            </w:pPr>
            <w:r w:rsidRPr="001916D0">
              <w:rPr>
                <w:rFonts w:eastAsia="Calibri"/>
                <w:color w:val="000000"/>
                <w:sz w:val="22"/>
              </w:rPr>
              <w:t>осіб</w:t>
            </w:r>
          </w:p>
        </w:tc>
        <w:tc>
          <w:tcPr>
            <w:tcW w:w="2699" w:type="dxa"/>
            <w:gridSpan w:val="2"/>
            <w:shd w:val="clear" w:color="auto" w:fill="auto"/>
          </w:tcPr>
          <w:p w:rsidR="00033CE7" w:rsidRPr="001916D0" w:rsidRDefault="00033CE7" w:rsidP="00C11751">
            <w:pPr>
              <w:autoSpaceDE w:val="0"/>
              <w:snapToGrid w:val="0"/>
              <w:jc w:val="center"/>
              <w:rPr>
                <w:sz w:val="22"/>
              </w:rPr>
            </w:pPr>
            <w:r w:rsidRPr="001916D0">
              <w:rPr>
                <w:rFonts w:eastAsia="Calibri"/>
                <w:color w:val="000000"/>
                <w:sz w:val="22"/>
              </w:rPr>
              <w:t>575</w:t>
            </w:r>
          </w:p>
        </w:tc>
      </w:tr>
      <w:tr w:rsidR="00033CE7" w:rsidRPr="001916D0" w:rsidTr="00C11751">
        <w:trPr>
          <w:trHeight w:val="289"/>
        </w:trPr>
        <w:tc>
          <w:tcPr>
            <w:tcW w:w="2836" w:type="dxa"/>
            <w:vMerge/>
            <w:shd w:val="clear" w:color="auto" w:fill="C6D9F1" w:themeFill="text2" w:themeFillTint="33"/>
          </w:tcPr>
          <w:p w:rsidR="00033CE7" w:rsidRPr="001916D0" w:rsidRDefault="00033CE7" w:rsidP="00C11751">
            <w:pPr>
              <w:contextualSpacing/>
              <w:rPr>
                <w:b/>
                <w:sz w:val="22"/>
              </w:rPr>
            </w:pPr>
          </w:p>
        </w:tc>
        <w:tc>
          <w:tcPr>
            <w:tcW w:w="3080" w:type="dxa"/>
            <w:gridSpan w:val="3"/>
            <w:shd w:val="clear" w:color="auto" w:fill="auto"/>
          </w:tcPr>
          <w:p w:rsidR="00033CE7" w:rsidRPr="001916D0" w:rsidRDefault="00033CE7" w:rsidP="00C11751">
            <w:pPr>
              <w:autoSpaceDE w:val="0"/>
              <w:snapToGrid w:val="0"/>
              <w:jc w:val="center"/>
              <w:rPr>
                <w:rFonts w:eastAsia="Calibri"/>
                <w:color w:val="000000"/>
                <w:sz w:val="22"/>
              </w:rPr>
            </w:pPr>
            <w:r w:rsidRPr="001916D0">
              <w:rPr>
                <w:rFonts w:eastAsia="Calibri"/>
                <w:color w:val="000000"/>
                <w:sz w:val="22"/>
              </w:rPr>
              <w:t>Кількість адмінбудівель</w:t>
            </w:r>
          </w:p>
        </w:tc>
        <w:tc>
          <w:tcPr>
            <w:tcW w:w="1308" w:type="dxa"/>
            <w:gridSpan w:val="2"/>
            <w:shd w:val="clear" w:color="auto" w:fill="auto"/>
          </w:tcPr>
          <w:p w:rsidR="00033CE7" w:rsidRPr="001916D0" w:rsidRDefault="00033CE7" w:rsidP="00C11751">
            <w:pPr>
              <w:autoSpaceDE w:val="0"/>
              <w:snapToGrid w:val="0"/>
              <w:jc w:val="center"/>
              <w:rPr>
                <w:rFonts w:eastAsia="Calibri"/>
                <w:color w:val="000000"/>
                <w:sz w:val="22"/>
              </w:rPr>
            </w:pPr>
            <w:r w:rsidRPr="001916D0">
              <w:rPr>
                <w:rFonts w:eastAsia="Calibri"/>
                <w:color w:val="000000"/>
                <w:sz w:val="22"/>
              </w:rPr>
              <w:t>одиниць</w:t>
            </w:r>
          </w:p>
        </w:tc>
        <w:tc>
          <w:tcPr>
            <w:tcW w:w="2699" w:type="dxa"/>
            <w:gridSpan w:val="2"/>
            <w:shd w:val="clear" w:color="auto" w:fill="auto"/>
          </w:tcPr>
          <w:p w:rsidR="00033CE7" w:rsidRPr="001916D0" w:rsidRDefault="00033CE7" w:rsidP="00C11751">
            <w:pPr>
              <w:autoSpaceDE w:val="0"/>
              <w:snapToGrid w:val="0"/>
              <w:jc w:val="center"/>
              <w:rPr>
                <w:sz w:val="22"/>
              </w:rPr>
            </w:pPr>
            <w:r w:rsidRPr="001916D0">
              <w:rPr>
                <w:rFonts w:eastAsia="Calibri"/>
                <w:color w:val="000000"/>
                <w:sz w:val="22"/>
              </w:rPr>
              <w:t>5</w:t>
            </w:r>
          </w:p>
        </w:tc>
      </w:tr>
      <w:tr w:rsidR="00033CE7" w:rsidRPr="001916D0" w:rsidTr="00C11751">
        <w:trPr>
          <w:trHeight w:val="2696"/>
        </w:trPr>
        <w:tc>
          <w:tcPr>
            <w:tcW w:w="2836" w:type="dxa"/>
            <w:shd w:val="clear" w:color="auto" w:fill="C6D9F1" w:themeFill="text2" w:themeFillTint="33"/>
          </w:tcPr>
          <w:p w:rsidR="00033CE7" w:rsidRPr="001916D0" w:rsidRDefault="00033CE7" w:rsidP="00C11751">
            <w:pPr>
              <w:contextualSpacing/>
              <w:rPr>
                <w:b/>
                <w:sz w:val="22"/>
              </w:rPr>
            </w:pPr>
            <w:r w:rsidRPr="001916D0">
              <w:rPr>
                <w:b/>
                <w:sz w:val="22"/>
              </w:rPr>
              <w:t>Ключові заходи проекту:</w:t>
            </w:r>
          </w:p>
        </w:tc>
        <w:tc>
          <w:tcPr>
            <w:tcW w:w="7087" w:type="dxa"/>
            <w:gridSpan w:val="7"/>
            <w:shd w:val="clear" w:color="auto" w:fill="auto"/>
          </w:tcPr>
          <w:p w:rsidR="00033CE7" w:rsidRPr="001916D0" w:rsidRDefault="00033CE7" w:rsidP="000303D7">
            <w:pPr>
              <w:numPr>
                <w:ilvl w:val="0"/>
                <w:numId w:val="143"/>
              </w:numPr>
              <w:suppressAutoHyphens/>
              <w:autoSpaceDE w:val="0"/>
              <w:snapToGrid w:val="0"/>
              <w:rPr>
                <w:rFonts w:eastAsia="Calibri"/>
                <w:color w:val="000000"/>
                <w:sz w:val="22"/>
              </w:rPr>
            </w:pPr>
            <w:r w:rsidRPr="001916D0">
              <w:rPr>
                <w:rFonts w:eastAsia="Calibri"/>
                <w:color w:val="000000"/>
                <w:sz w:val="22"/>
              </w:rPr>
              <w:t xml:space="preserve">Обстеження стану адмінбудівель: покрівлі, електричних мереж, </w:t>
            </w:r>
            <w:proofErr w:type="spellStart"/>
            <w:r w:rsidRPr="001916D0">
              <w:rPr>
                <w:rFonts w:eastAsia="Calibri"/>
                <w:color w:val="000000"/>
                <w:sz w:val="22"/>
              </w:rPr>
              <w:t>внутрішньобудинкових</w:t>
            </w:r>
            <w:proofErr w:type="spellEnd"/>
            <w:r w:rsidRPr="001916D0">
              <w:rPr>
                <w:rFonts w:eastAsia="Calibri"/>
                <w:color w:val="000000"/>
                <w:sz w:val="22"/>
              </w:rPr>
              <w:t xml:space="preserve"> систем опалення, систем водовідведення  та водопостачання.</w:t>
            </w:r>
          </w:p>
          <w:p w:rsidR="00033CE7" w:rsidRPr="001916D0" w:rsidRDefault="00033CE7" w:rsidP="000303D7">
            <w:pPr>
              <w:numPr>
                <w:ilvl w:val="0"/>
                <w:numId w:val="143"/>
              </w:numPr>
              <w:suppressAutoHyphens/>
              <w:autoSpaceDE w:val="0"/>
              <w:snapToGrid w:val="0"/>
              <w:rPr>
                <w:rFonts w:eastAsia="Calibri"/>
                <w:color w:val="000000"/>
                <w:sz w:val="22"/>
              </w:rPr>
            </w:pPr>
            <w:r w:rsidRPr="001916D0">
              <w:rPr>
                <w:rFonts w:eastAsia="Calibri"/>
                <w:color w:val="000000"/>
                <w:sz w:val="22"/>
              </w:rPr>
              <w:t xml:space="preserve">Проведення </w:t>
            </w:r>
            <w:proofErr w:type="spellStart"/>
            <w:r w:rsidRPr="001916D0">
              <w:rPr>
                <w:rFonts w:eastAsia="Calibri"/>
                <w:color w:val="000000"/>
                <w:sz w:val="22"/>
              </w:rPr>
              <w:t>інвентарізації</w:t>
            </w:r>
            <w:proofErr w:type="spellEnd"/>
            <w:r w:rsidRPr="001916D0">
              <w:rPr>
                <w:rFonts w:eastAsia="Calibri"/>
                <w:color w:val="000000"/>
                <w:sz w:val="22"/>
              </w:rPr>
              <w:t xml:space="preserve"> основних засобів.</w:t>
            </w:r>
          </w:p>
          <w:p w:rsidR="00033CE7" w:rsidRPr="001916D0" w:rsidRDefault="00033CE7" w:rsidP="000303D7">
            <w:pPr>
              <w:numPr>
                <w:ilvl w:val="0"/>
                <w:numId w:val="143"/>
              </w:numPr>
              <w:suppressAutoHyphens/>
              <w:autoSpaceDE w:val="0"/>
              <w:snapToGrid w:val="0"/>
              <w:rPr>
                <w:rFonts w:eastAsia="Calibri"/>
                <w:color w:val="000000"/>
                <w:sz w:val="22"/>
              </w:rPr>
            </w:pPr>
            <w:r w:rsidRPr="001916D0">
              <w:rPr>
                <w:rFonts w:eastAsia="Calibri"/>
                <w:color w:val="000000"/>
                <w:sz w:val="22"/>
              </w:rPr>
              <w:t>Придбання технічного забезпечення.</w:t>
            </w:r>
          </w:p>
          <w:p w:rsidR="00033CE7" w:rsidRPr="001916D0" w:rsidRDefault="00033CE7" w:rsidP="000303D7">
            <w:pPr>
              <w:numPr>
                <w:ilvl w:val="0"/>
                <w:numId w:val="143"/>
              </w:numPr>
              <w:suppressAutoHyphens/>
              <w:autoSpaceDE w:val="0"/>
              <w:snapToGrid w:val="0"/>
              <w:rPr>
                <w:rFonts w:eastAsia="Calibri"/>
                <w:color w:val="000000"/>
                <w:sz w:val="22"/>
              </w:rPr>
            </w:pPr>
            <w:r w:rsidRPr="001916D0">
              <w:rPr>
                <w:rFonts w:eastAsia="Calibri"/>
                <w:color w:val="000000"/>
                <w:sz w:val="22"/>
              </w:rPr>
              <w:t>Визначення кількості кваліфікаційних спеціалістів для швидкого відновлення адмінбудівель.</w:t>
            </w:r>
          </w:p>
          <w:p w:rsidR="00033CE7" w:rsidRPr="001916D0" w:rsidRDefault="00033CE7" w:rsidP="000303D7">
            <w:pPr>
              <w:numPr>
                <w:ilvl w:val="0"/>
                <w:numId w:val="143"/>
              </w:numPr>
              <w:suppressAutoHyphens/>
              <w:autoSpaceDE w:val="0"/>
              <w:snapToGrid w:val="0"/>
              <w:rPr>
                <w:rFonts w:eastAsia="Calibri"/>
                <w:color w:val="000000"/>
                <w:sz w:val="22"/>
              </w:rPr>
            </w:pPr>
            <w:r w:rsidRPr="001916D0">
              <w:rPr>
                <w:rFonts w:eastAsia="Calibri"/>
                <w:color w:val="000000"/>
                <w:sz w:val="22"/>
              </w:rPr>
              <w:t>Організація робочих місць.</w:t>
            </w:r>
          </w:p>
          <w:p w:rsidR="00033CE7" w:rsidRPr="001916D0" w:rsidRDefault="00033CE7" w:rsidP="000303D7">
            <w:pPr>
              <w:numPr>
                <w:ilvl w:val="0"/>
                <w:numId w:val="143"/>
              </w:numPr>
              <w:suppressAutoHyphens/>
              <w:autoSpaceDE w:val="0"/>
              <w:snapToGrid w:val="0"/>
              <w:rPr>
                <w:rFonts w:eastAsia="Calibri"/>
                <w:color w:val="000000"/>
                <w:sz w:val="22"/>
              </w:rPr>
            </w:pPr>
            <w:r w:rsidRPr="001916D0">
              <w:rPr>
                <w:rFonts w:eastAsia="Calibri"/>
                <w:color w:val="000000"/>
                <w:sz w:val="22"/>
              </w:rPr>
              <w:t>Організація та початок робочого процесу.</w:t>
            </w:r>
          </w:p>
        </w:tc>
      </w:tr>
      <w:tr w:rsidR="00033CE7" w:rsidRPr="001916D0" w:rsidTr="00C11751">
        <w:tblPrEx>
          <w:tblCellMar>
            <w:left w:w="108" w:type="dxa"/>
            <w:right w:w="108" w:type="dxa"/>
          </w:tblCellMar>
          <w:tblLook w:val="04A0" w:firstRow="1" w:lastRow="0" w:firstColumn="1" w:lastColumn="0" w:noHBand="0" w:noVBand="1"/>
        </w:tblPrEx>
        <w:trPr>
          <w:trHeight w:val="359"/>
        </w:trPr>
        <w:tc>
          <w:tcPr>
            <w:tcW w:w="2836" w:type="dxa"/>
            <w:vMerge w:val="restart"/>
            <w:shd w:val="clear" w:color="auto" w:fill="C6D9F1"/>
          </w:tcPr>
          <w:p w:rsidR="00033CE7" w:rsidRPr="001916D0" w:rsidRDefault="00033CE7" w:rsidP="00C11751">
            <w:pPr>
              <w:contextualSpacing/>
              <w:rPr>
                <w:b/>
                <w:sz w:val="22"/>
              </w:rPr>
            </w:pPr>
            <w:r w:rsidRPr="001916D0">
              <w:rPr>
                <w:b/>
                <w:sz w:val="22"/>
              </w:rPr>
              <w:t xml:space="preserve">Орієнтовний обсяг та джерела фінансування, тис. грн. </w:t>
            </w:r>
          </w:p>
          <w:p w:rsidR="00033CE7" w:rsidRPr="001916D0" w:rsidRDefault="00033CE7" w:rsidP="00C11751">
            <w:pPr>
              <w:contextualSpacing/>
              <w:rPr>
                <w:b/>
                <w:sz w:val="22"/>
              </w:rPr>
            </w:pPr>
          </w:p>
        </w:tc>
        <w:tc>
          <w:tcPr>
            <w:tcW w:w="1062" w:type="dxa"/>
            <w:shd w:val="clear" w:color="auto" w:fill="auto"/>
          </w:tcPr>
          <w:p w:rsidR="00033CE7" w:rsidRPr="001916D0" w:rsidRDefault="00033CE7" w:rsidP="00C11751">
            <w:pPr>
              <w:rPr>
                <w:rFonts w:eastAsia="Calibri"/>
                <w:b/>
                <w:sz w:val="22"/>
              </w:rPr>
            </w:pPr>
            <w:r w:rsidRPr="001916D0">
              <w:rPr>
                <w:rFonts w:eastAsia="Calibri"/>
                <w:b/>
                <w:sz w:val="22"/>
              </w:rPr>
              <w:t>Державний бюджет</w:t>
            </w:r>
          </w:p>
        </w:tc>
        <w:tc>
          <w:tcPr>
            <w:tcW w:w="1105" w:type="dxa"/>
            <w:shd w:val="clear" w:color="auto" w:fill="auto"/>
          </w:tcPr>
          <w:p w:rsidR="00033CE7" w:rsidRPr="001916D0" w:rsidRDefault="00033CE7" w:rsidP="00C11751">
            <w:pPr>
              <w:rPr>
                <w:rFonts w:eastAsia="Calibri"/>
                <w:b/>
                <w:sz w:val="22"/>
              </w:rPr>
            </w:pPr>
            <w:r w:rsidRPr="001916D0">
              <w:rPr>
                <w:rFonts w:eastAsia="Calibri"/>
                <w:b/>
                <w:sz w:val="22"/>
              </w:rPr>
              <w:t>Місцевий бюджет</w:t>
            </w:r>
          </w:p>
        </w:tc>
        <w:tc>
          <w:tcPr>
            <w:tcW w:w="2691" w:type="dxa"/>
            <w:gridSpan w:val="4"/>
            <w:shd w:val="clear" w:color="auto" w:fill="auto"/>
          </w:tcPr>
          <w:p w:rsidR="00033CE7" w:rsidRPr="001916D0" w:rsidRDefault="00033CE7" w:rsidP="00C11751">
            <w:pPr>
              <w:rPr>
                <w:rFonts w:eastAsia="Calibri"/>
                <w:b/>
                <w:sz w:val="22"/>
              </w:rPr>
            </w:pPr>
            <w:r w:rsidRPr="001916D0">
              <w:rPr>
                <w:rFonts w:eastAsia="Calibri"/>
                <w:b/>
                <w:sz w:val="22"/>
              </w:rPr>
              <w:t>Інші джерела</w:t>
            </w:r>
          </w:p>
        </w:tc>
        <w:tc>
          <w:tcPr>
            <w:tcW w:w="2229" w:type="dxa"/>
            <w:shd w:val="clear" w:color="auto" w:fill="auto"/>
          </w:tcPr>
          <w:p w:rsidR="00033CE7" w:rsidRPr="001916D0" w:rsidRDefault="00033CE7" w:rsidP="00C11751">
            <w:pPr>
              <w:rPr>
                <w:rFonts w:eastAsia="Calibri"/>
                <w:b/>
                <w:sz w:val="22"/>
              </w:rPr>
            </w:pPr>
            <w:r w:rsidRPr="001916D0">
              <w:rPr>
                <w:rFonts w:eastAsia="Calibri"/>
                <w:b/>
                <w:sz w:val="22"/>
              </w:rPr>
              <w:t>Всього</w:t>
            </w:r>
          </w:p>
        </w:tc>
      </w:tr>
      <w:tr w:rsidR="00033CE7" w:rsidRPr="001916D0" w:rsidTr="00C11751">
        <w:tblPrEx>
          <w:tblCellMar>
            <w:left w:w="108" w:type="dxa"/>
            <w:right w:w="108" w:type="dxa"/>
          </w:tblCellMar>
          <w:tblLook w:val="04A0" w:firstRow="1" w:lastRow="0" w:firstColumn="1" w:lastColumn="0" w:noHBand="0" w:noVBand="1"/>
        </w:tblPrEx>
        <w:trPr>
          <w:trHeight w:val="224"/>
        </w:trPr>
        <w:tc>
          <w:tcPr>
            <w:tcW w:w="2836" w:type="dxa"/>
            <w:vMerge/>
            <w:shd w:val="clear" w:color="auto" w:fill="C6D9F1"/>
          </w:tcPr>
          <w:p w:rsidR="00033CE7" w:rsidRPr="001916D0" w:rsidRDefault="00033CE7" w:rsidP="00C11751">
            <w:pPr>
              <w:rPr>
                <w:rFonts w:eastAsia="Calibri"/>
                <w:b/>
                <w:sz w:val="22"/>
              </w:rPr>
            </w:pPr>
          </w:p>
        </w:tc>
        <w:tc>
          <w:tcPr>
            <w:tcW w:w="1062" w:type="dxa"/>
            <w:shd w:val="clear" w:color="auto" w:fill="auto"/>
          </w:tcPr>
          <w:p w:rsidR="00033CE7" w:rsidRPr="001916D0" w:rsidRDefault="00033CE7" w:rsidP="00C11751">
            <w:pPr>
              <w:rPr>
                <w:rFonts w:eastAsia="Calibri"/>
                <w:sz w:val="22"/>
              </w:rPr>
            </w:pPr>
            <w:r w:rsidRPr="001916D0">
              <w:rPr>
                <w:rFonts w:eastAsia="Calibri"/>
                <w:sz w:val="22"/>
                <w:lang w:val="en-US"/>
              </w:rPr>
              <w:t>5 880</w:t>
            </w:r>
            <w:r w:rsidRPr="001916D0">
              <w:rPr>
                <w:rFonts w:eastAsia="Calibri"/>
                <w:sz w:val="22"/>
              </w:rPr>
              <w:t>,00</w:t>
            </w:r>
          </w:p>
        </w:tc>
        <w:tc>
          <w:tcPr>
            <w:tcW w:w="1105" w:type="dxa"/>
            <w:shd w:val="clear" w:color="auto" w:fill="auto"/>
          </w:tcPr>
          <w:p w:rsidR="00033CE7" w:rsidRPr="001916D0" w:rsidRDefault="00033CE7" w:rsidP="00C11751">
            <w:pPr>
              <w:rPr>
                <w:rFonts w:eastAsia="Calibri"/>
                <w:b/>
                <w:sz w:val="22"/>
              </w:rPr>
            </w:pPr>
            <w:r w:rsidRPr="001916D0">
              <w:rPr>
                <w:rFonts w:eastAsia="Calibri"/>
                <w:b/>
                <w:sz w:val="22"/>
              </w:rPr>
              <w:t>-</w:t>
            </w:r>
          </w:p>
        </w:tc>
        <w:tc>
          <w:tcPr>
            <w:tcW w:w="1422" w:type="dxa"/>
            <w:gridSpan w:val="2"/>
            <w:shd w:val="clear" w:color="auto" w:fill="auto"/>
          </w:tcPr>
          <w:p w:rsidR="00033CE7" w:rsidRPr="001916D0" w:rsidRDefault="00033CE7" w:rsidP="00C11751">
            <w:pPr>
              <w:rPr>
                <w:rFonts w:eastAsia="Calibri"/>
                <w:b/>
                <w:sz w:val="22"/>
              </w:rPr>
            </w:pPr>
            <w:r w:rsidRPr="001916D0">
              <w:rPr>
                <w:rFonts w:eastAsia="Calibri"/>
                <w:b/>
                <w:sz w:val="22"/>
              </w:rPr>
              <w:t>Обсяг</w:t>
            </w:r>
          </w:p>
        </w:tc>
        <w:tc>
          <w:tcPr>
            <w:tcW w:w="1269" w:type="dxa"/>
            <w:gridSpan w:val="2"/>
            <w:shd w:val="clear" w:color="auto" w:fill="auto"/>
          </w:tcPr>
          <w:p w:rsidR="00033CE7" w:rsidRPr="001916D0" w:rsidRDefault="00033CE7" w:rsidP="00C11751">
            <w:pPr>
              <w:rPr>
                <w:rFonts w:eastAsia="Calibri"/>
                <w:b/>
                <w:sz w:val="22"/>
              </w:rPr>
            </w:pPr>
            <w:r w:rsidRPr="001916D0">
              <w:rPr>
                <w:rFonts w:eastAsia="Calibri"/>
                <w:b/>
                <w:sz w:val="22"/>
              </w:rPr>
              <w:t>Назва джерела</w:t>
            </w:r>
          </w:p>
        </w:tc>
        <w:tc>
          <w:tcPr>
            <w:tcW w:w="2229" w:type="dxa"/>
            <w:shd w:val="clear" w:color="auto" w:fill="auto"/>
          </w:tcPr>
          <w:p w:rsidR="00033CE7" w:rsidRPr="001916D0" w:rsidRDefault="00033CE7" w:rsidP="00C11751">
            <w:pPr>
              <w:rPr>
                <w:rFonts w:eastAsia="Calibri"/>
                <w:sz w:val="22"/>
                <w:lang w:val="en-US"/>
              </w:rPr>
            </w:pPr>
            <w:r w:rsidRPr="001916D0">
              <w:rPr>
                <w:rFonts w:eastAsia="Calibri"/>
                <w:sz w:val="22"/>
                <w:lang w:val="en-US"/>
              </w:rPr>
              <w:t>8 40</w:t>
            </w:r>
            <w:r w:rsidRPr="001916D0">
              <w:rPr>
                <w:rFonts w:eastAsia="Calibri"/>
                <w:sz w:val="22"/>
              </w:rPr>
              <w:t>0,</w:t>
            </w:r>
            <w:r w:rsidRPr="001916D0">
              <w:rPr>
                <w:rFonts w:eastAsia="Calibri"/>
                <w:sz w:val="22"/>
                <w:lang w:val="en-US"/>
              </w:rPr>
              <w:t>00</w:t>
            </w:r>
          </w:p>
        </w:tc>
      </w:tr>
    </w:tbl>
    <w:p w:rsidR="00840C91" w:rsidRPr="001916D0" w:rsidRDefault="00840C91" w:rsidP="00E95FB1">
      <w:pPr>
        <w:rPr>
          <w:sz w:val="22"/>
          <w:lang w:val="en-US"/>
        </w:rPr>
      </w:pPr>
    </w:p>
    <w:p w:rsidR="00E95FB1" w:rsidRPr="001916D0" w:rsidRDefault="00E95FB1" w:rsidP="00E95FB1">
      <w:pPr>
        <w:rPr>
          <w:sz w:val="22"/>
        </w:rPr>
      </w:pPr>
    </w:p>
    <w:tbl>
      <w:tblPr>
        <w:tblStyle w:val="af"/>
        <w:tblW w:w="0" w:type="auto"/>
        <w:tblInd w:w="-176" w:type="dxa"/>
        <w:tblLook w:val="04A0" w:firstRow="1" w:lastRow="0" w:firstColumn="1" w:lastColumn="0" w:noHBand="0" w:noVBand="1"/>
      </w:tblPr>
      <w:tblGrid>
        <w:gridCol w:w="2738"/>
        <w:gridCol w:w="1464"/>
        <w:gridCol w:w="1257"/>
        <w:gridCol w:w="1013"/>
        <w:gridCol w:w="202"/>
        <w:gridCol w:w="1453"/>
        <w:gridCol w:w="98"/>
        <w:gridCol w:w="1437"/>
      </w:tblGrid>
      <w:tr w:rsidR="00E95FB1" w:rsidRPr="001916D0" w:rsidTr="001B3967">
        <w:tc>
          <w:tcPr>
            <w:tcW w:w="287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Оперативна ціль/завдання</w:t>
            </w:r>
          </w:p>
        </w:tc>
        <w:tc>
          <w:tcPr>
            <w:tcW w:w="7009" w:type="dxa"/>
            <w:gridSpan w:val="7"/>
            <w:shd w:val="clear" w:color="auto" w:fill="auto"/>
          </w:tcPr>
          <w:p w:rsidR="00E95FB1" w:rsidRPr="001916D0" w:rsidRDefault="00E95FB1" w:rsidP="001B3967">
            <w:pPr>
              <w:pStyle w:val="a7"/>
              <w:ind w:left="0"/>
              <w:rPr>
                <w:sz w:val="22"/>
                <w:lang w:val="uk-UA"/>
              </w:rPr>
            </w:pPr>
            <w:r w:rsidRPr="001916D0">
              <w:rPr>
                <w:sz w:val="22"/>
                <w:lang w:val="uk-UA"/>
              </w:rPr>
              <w:t xml:space="preserve">Комфорт життя ЛЮДИНИ як безпека, екологічна сталість та  розумна енергетика. </w:t>
            </w:r>
            <w:r w:rsidRPr="001916D0">
              <w:rPr>
                <w:rFonts w:eastAsia="Arial"/>
                <w:sz w:val="22"/>
                <w:lang w:val="uk-UA"/>
              </w:rPr>
              <w:t>Екологічна сталість через знання та партнерства</w:t>
            </w:r>
          </w:p>
        </w:tc>
      </w:tr>
      <w:tr w:rsidR="00E95FB1" w:rsidRPr="001916D0" w:rsidTr="001B3967">
        <w:tc>
          <w:tcPr>
            <w:tcW w:w="287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Назва проекту:</w:t>
            </w:r>
          </w:p>
        </w:tc>
        <w:tc>
          <w:tcPr>
            <w:tcW w:w="7009" w:type="dxa"/>
            <w:gridSpan w:val="7"/>
          </w:tcPr>
          <w:p w:rsidR="00E95FB1" w:rsidRPr="001916D0" w:rsidRDefault="00E95FB1" w:rsidP="001B3967">
            <w:pPr>
              <w:pStyle w:val="a7"/>
              <w:ind w:left="0"/>
              <w:rPr>
                <w:sz w:val="22"/>
                <w:lang w:val="uk-UA"/>
              </w:rPr>
            </w:pPr>
            <w:r w:rsidRPr="001916D0">
              <w:rPr>
                <w:sz w:val="22"/>
                <w:lang w:val="uk-UA"/>
              </w:rPr>
              <w:t>Придбання Комунальної спецтехніки та автомобілів</w:t>
            </w:r>
          </w:p>
        </w:tc>
      </w:tr>
      <w:tr w:rsidR="00E95FB1" w:rsidRPr="001916D0" w:rsidTr="001B3967">
        <w:tc>
          <w:tcPr>
            <w:tcW w:w="2879" w:type="dxa"/>
            <w:shd w:val="clear" w:color="auto" w:fill="C6D9F1" w:themeFill="text2" w:themeFillTint="33"/>
          </w:tcPr>
          <w:p w:rsidR="00E95FB1" w:rsidRPr="001916D0" w:rsidRDefault="00E95FB1" w:rsidP="001B3967">
            <w:pPr>
              <w:rPr>
                <w:b/>
                <w:sz w:val="22"/>
                <w:lang w:val="uk-UA"/>
              </w:rPr>
            </w:pPr>
            <w:r w:rsidRPr="001916D0">
              <w:rPr>
                <w:b/>
                <w:sz w:val="22"/>
                <w:lang w:val="uk-UA"/>
              </w:rPr>
              <w:t>Ціль проекту</w:t>
            </w:r>
          </w:p>
        </w:tc>
        <w:tc>
          <w:tcPr>
            <w:tcW w:w="7009" w:type="dxa"/>
            <w:gridSpan w:val="7"/>
          </w:tcPr>
          <w:p w:rsidR="00E95FB1" w:rsidRPr="001916D0" w:rsidRDefault="00E95FB1" w:rsidP="001B3967">
            <w:pPr>
              <w:pStyle w:val="a7"/>
              <w:ind w:left="0"/>
              <w:rPr>
                <w:sz w:val="22"/>
                <w:lang w:val="uk-UA"/>
              </w:rPr>
            </w:pPr>
            <w:r w:rsidRPr="001916D0">
              <w:rPr>
                <w:sz w:val="22"/>
                <w:lang w:val="uk-UA"/>
              </w:rPr>
              <w:t>Придбання комунальної техніки для ефективного та швидкого проведення робіт з благоустрою та відновлення громади</w:t>
            </w:r>
          </w:p>
        </w:tc>
      </w:tr>
      <w:tr w:rsidR="00E95FB1" w:rsidRPr="001916D0" w:rsidTr="001B3967">
        <w:tc>
          <w:tcPr>
            <w:tcW w:w="287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Територія, на яку матиме вплив реалізація проекту</w:t>
            </w:r>
          </w:p>
        </w:tc>
        <w:tc>
          <w:tcPr>
            <w:tcW w:w="7009" w:type="dxa"/>
            <w:gridSpan w:val="7"/>
          </w:tcPr>
          <w:p w:rsidR="00E95FB1" w:rsidRPr="001916D0" w:rsidRDefault="00E95FB1" w:rsidP="001B3967">
            <w:pPr>
              <w:pStyle w:val="a7"/>
              <w:ind w:left="0"/>
              <w:rPr>
                <w:sz w:val="22"/>
                <w:lang w:val="uk-UA"/>
              </w:rPr>
            </w:pPr>
            <w:r w:rsidRPr="001916D0">
              <w:rPr>
                <w:sz w:val="22"/>
                <w:lang w:val="uk-UA"/>
              </w:rPr>
              <w:t>Сєвєродонецька міська територіальна громада</w:t>
            </w:r>
          </w:p>
        </w:tc>
      </w:tr>
      <w:tr w:rsidR="00E95FB1" w:rsidRPr="001916D0" w:rsidTr="001B3967">
        <w:tc>
          <w:tcPr>
            <w:tcW w:w="287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Чисельність населення, на яке матиме вплив реалізація проекту</w:t>
            </w:r>
          </w:p>
        </w:tc>
        <w:tc>
          <w:tcPr>
            <w:tcW w:w="7009" w:type="dxa"/>
            <w:gridSpan w:val="7"/>
          </w:tcPr>
          <w:p w:rsidR="00E95FB1" w:rsidRPr="001916D0" w:rsidRDefault="00E95FB1" w:rsidP="001B3967">
            <w:pPr>
              <w:pStyle w:val="a7"/>
              <w:ind w:left="0"/>
              <w:rPr>
                <w:sz w:val="22"/>
                <w:lang w:val="uk-UA"/>
              </w:rPr>
            </w:pPr>
            <w:r w:rsidRPr="001916D0">
              <w:rPr>
                <w:sz w:val="22"/>
                <w:lang w:val="uk-UA"/>
              </w:rPr>
              <w:t xml:space="preserve"> 70 000  осіб</w:t>
            </w:r>
          </w:p>
        </w:tc>
      </w:tr>
      <w:tr w:rsidR="00E95FB1" w:rsidRPr="001916D0" w:rsidTr="001B3967">
        <w:tc>
          <w:tcPr>
            <w:tcW w:w="2879" w:type="dxa"/>
            <w:shd w:val="clear" w:color="auto" w:fill="C6D9F1" w:themeFill="text2" w:themeFillTint="33"/>
          </w:tcPr>
          <w:p w:rsidR="00E95FB1" w:rsidRPr="001916D0" w:rsidRDefault="00E95FB1" w:rsidP="001B3967">
            <w:pPr>
              <w:rPr>
                <w:b/>
                <w:sz w:val="22"/>
                <w:lang w:val="uk-UA"/>
              </w:rPr>
            </w:pPr>
            <w:r w:rsidRPr="001916D0">
              <w:rPr>
                <w:b/>
                <w:sz w:val="22"/>
                <w:lang w:val="uk-UA"/>
              </w:rPr>
              <w:t>Опис проблеми, на вирішення якої  спрямований проект</w:t>
            </w:r>
          </w:p>
        </w:tc>
        <w:tc>
          <w:tcPr>
            <w:tcW w:w="7009" w:type="dxa"/>
            <w:gridSpan w:val="7"/>
          </w:tcPr>
          <w:p w:rsidR="00E95FB1" w:rsidRPr="001916D0" w:rsidRDefault="00E95FB1" w:rsidP="001B3967">
            <w:pPr>
              <w:ind w:firstLine="708"/>
              <w:rPr>
                <w:sz w:val="22"/>
                <w:lang w:val="uk-UA"/>
              </w:rPr>
            </w:pPr>
            <w:r w:rsidRPr="001916D0">
              <w:rPr>
                <w:sz w:val="22"/>
                <w:lang w:val="uk-UA"/>
              </w:rPr>
              <w:t>Через військову агресію РФ територія Сєвєродонецької міської територіальної громади зазнала значних пошкоджень. Не оминуло це і КП «ЗЕЛЕНЕ МІСТО».</w:t>
            </w:r>
          </w:p>
          <w:p w:rsidR="00E95FB1" w:rsidRPr="001916D0" w:rsidRDefault="00E95FB1" w:rsidP="001B3967">
            <w:pPr>
              <w:ind w:firstLine="708"/>
              <w:rPr>
                <w:sz w:val="22"/>
                <w:lang w:val="uk-UA"/>
              </w:rPr>
            </w:pPr>
            <w:r w:rsidRPr="001916D0">
              <w:rPr>
                <w:sz w:val="22"/>
                <w:lang w:val="uk-UA"/>
              </w:rPr>
              <w:t>Вся матеріально-технічна база підприємства була знищена або викрадена.</w:t>
            </w:r>
          </w:p>
          <w:p w:rsidR="00E95FB1" w:rsidRPr="001916D0" w:rsidRDefault="00E95FB1" w:rsidP="001B3967">
            <w:pPr>
              <w:pStyle w:val="13"/>
              <w:jc w:val="both"/>
              <w:rPr>
                <w:sz w:val="22"/>
                <w:lang w:val="uk-UA"/>
              </w:rPr>
            </w:pPr>
            <w:r w:rsidRPr="001916D0">
              <w:rPr>
                <w:rFonts w:eastAsia="Arial"/>
                <w:sz w:val="22"/>
                <w:lang w:val="uk-UA"/>
              </w:rPr>
              <w:t xml:space="preserve">            Для відбудови та сталого розвитку громади потрібне відновлення роботи </w:t>
            </w:r>
            <w:r w:rsidRPr="001916D0">
              <w:rPr>
                <w:sz w:val="22"/>
                <w:lang w:val="uk-UA"/>
              </w:rPr>
              <w:t>КП «ЗЕЛЕНЕ МІСТО»</w:t>
            </w:r>
            <w:r w:rsidRPr="001916D0">
              <w:rPr>
                <w:rFonts w:eastAsia="Arial"/>
                <w:sz w:val="22"/>
                <w:lang w:val="uk-UA"/>
              </w:rPr>
              <w:t>. Мешканці громади мають потребу в отриманні якісних послуг, які відповідають нормам сучасності. Без комунальної спецтехніки неможливо проводити відновлювані роботи і приводити до ладу зелені насадження Сєвєродонецької територіальної громади.</w:t>
            </w:r>
          </w:p>
        </w:tc>
      </w:tr>
      <w:tr w:rsidR="00E95FB1" w:rsidRPr="001916D0" w:rsidTr="001B3967">
        <w:tc>
          <w:tcPr>
            <w:tcW w:w="287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якісні результати від реалізації проекту</w:t>
            </w:r>
          </w:p>
        </w:tc>
        <w:tc>
          <w:tcPr>
            <w:tcW w:w="7009" w:type="dxa"/>
            <w:gridSpan w:val="7"/>
          </w:tcPr>
          <w:p w:rsidR="00E95FB1" w:rsidRPr="001916D0" w:rsidRDefault="00E95FB1" w:rsidP="001B3967">
            <w:pPr>
              <w:pStyle w:val="a7"/>
              <w:ind w:left="0"/>
              <w:rPr>
                <w:sz w:val="22"/>
                <w:lang w:val="uk-UA"/>
              </w:rPr>
            </w:pPr>
            <w:r w:rsidRPr="001916D0">
              <w:rPr>
                <w:sz w:val="22"/>
                <w:lang w:val="uk-UA"/>
              </w:rPr>
              <w:t xml:space="preserve">- відновлення міста та громади після </w:t>
            </w:r>
            <w:proofErr w:type="spellStart"/>
            <w:r w:rsidRPr="001916D0">
              <w:rPr>
                <w:sz w:val="22"/>
                <w:lang w:val="uk-UA"/>
              </w:rPr>
              <w:t>деокупації</w:t>
            </w:r>
            <w:proofErr w:type="spellEnd"/>
          </w:p>
          <w:p w:rsidR="00E95FB1" w:rsidRPr="001916D0" w:rsidRDefault="00E95FB1" w:rsidP="001B3967">
            <w:pPr>
              <w:pStyle w:val="a7"/>
              <w:ind w:left="0"/>
              <w:rPr>
                <w:sz w:val="22"/>
                <w:lang w:val="uk-UA"/>
              </w:rPr>
            </w:pPr>
            <w:r w:rsidRPr="001916D0">
              <w:rPr>
                <w:sz w:val="22"/>
                <w:lang w:val="uk-UA"/>
              </w:rPr>
              <w:t>- створення нових робочих місць;</w:t>
            </w:r>
          </w:p>
          <w:p w:rsidR="00E95FB1" w:rsidRPr="001916D0" w:rsidRDefault="00E95FB1" w:rsidP="001B3967">
            <w:pPr>
              <w:pStyle w:val="a7"/>
              <w:ind w:left="0"/>
              <w:rPr>
                <w:sz w:val="22"/>
                <w:lang w:val="uk-UA"/>
              </w:rPr>
            </w:pPr>
            <w:r w:rsidRPr="001916D0">
              <w:rPr>
                <w:sz w:val="22"/>
                <w:lang w:val="uk-UA"/>
              </w:rPr>
              <w:t>- стимул до повернення ВПО до громади;</w:t>
            </w:r>
          </w:p>
          <w:p w:rsidR="00E95FB1" w:rsidRPr="001916D0" w:rsidRDefault="00E95FB1" w:rsidP="001B3967">
            <w:pPr>
              <w:pStyle w:val="a7"/>
              <w:ind w:left="0"/>
              <w:rPr>
                <w:sz w:val="22"/>
                <w:lang w:val="uk-UA"/>
              </w:rPr>
            </w:pPr>
            <w:r w:rsidRPr="001916D0">
              <w:rPr>
                <w:sz w:val="22"/>
                <w:lang w:val="uk-UA"/>
              </w:rPr>
              <w:t>- поновлення матеріально-технічної бази підприємства</w:t>
            </w:r>
          </w:p>
          <w:p w:rsidR="00E95FB1" w:rsidRPr="001916D0" w:rsidRDefault="00E95FB1" w:rsidP="001B3967">
            <w:pPr>
              <w:pStyle w:val="a7"/>
              <w:ind w:left="0"/>
              <w:rPr>
                <w:sz w:val="22"/>
                <w:lang w:val="uk-UA"/>
              </w:rPr>
            </w:pPr>
            <w:r w:rsidRPr="001916D0">
              <w:rPr>
                <w:sz w:val="22"/>
                <w:lang w:val="uk-UA"/>
              </w:rPr>
              <w:t>- покращення екологічного стану громади</w:t>
            </w:r>
          </w:p>
          <w:p w:rsidR="00E95FB1" w:rsidRPr="001916D0" w:rsidRDefault="00E95FB1" w:rsidP="001B3967">
            <w:pPr>
              <w:pStyle w:val="a7"/>
              <w:ind w:left="0"/>
              <w:rPr>
                <w:sz w:val="22"/>
                <w:lang w:val="uk-UA"/>
              </w:rPr>
            </w:pPr>
            <w:r w:rsidRPr="001916D0">
              <w:rPr>
                <w:sz w:val="22"/>
                <w:lang w:val="uk-UA"/>
              </w:rPr>
              <w:t>- облаштування міст відпочинку громадян</w:t>
            </w:r>
          </w:p>
        </w:tc>
      </w:tr>
      <w:tr w:rsidR="00E95FB1" w:rsidRPr="001916D0" w:rsidTr="001B3967">
        <w:trPr>
          <w:trHeight w:val="390"/>
        </w:trPr>
        <w:tc>
          <w:tcPr>
            <w:tcW w:w="2879"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Очікувані кількісні результати реалізації </w:t>
            </w:r>
            <w:proofErr w:type="spellStart"/>
            <w:r w:rsidRPr="001916D0">
              <w:rPr>
                <w:b/>
                <w:sz w:val="22"/>
                <w:lang w:val="uk-UA"/>
              </w:rPr>
              <w:t>проєкту</w:t>
            </w:r>
            <w:proofErr w:type="spellEnd"/>
            <w:r w:rsidRPr="001916D0">
              <w:rPr>
                <w:b/>
                <w:sz w:val="22"/>
                <w:lang w:val="uk-UA"/>
              </w:rPr>
              <w:t xml:space="preserve"> (індикатори)</w:t>
            </w:r>
          </w:p>
          <w:p w:rsidR="00E95FB1" w:rsidRPr="001916D0" w:rsidRDefault="00E95FB1" w:rsidP="001B3967">
            <w:pPr>
              <w:pStyle w:val="a7"/>
              <w:ind w:left="0"/>
              <w:rPr>
                <w:b/>
                <w:sz w:val="22"/>
                <w:lang w:val="uk-UA"/>
              </w:rPr>
            </w:pPr>
          </w:p>
        </w:tc>
        <w:tc>
          <w:tcPr>
            <w:tcW w:w="3784" w:type="dxa"/>
            <w:gridSpan w:val="3"/>
            <w:tcBorders>
              <w:bottom w:val="single" w:sz="4" w:space="0" w:color="auto"/>
              <w:right w:val="single" w:sz="4" w:space="0" w:color="auto"/>
            </w:tcBorders>
          </w:tcPr>
          <w:p w:rsidR="00E95FB1" w:rsidRPr="001916D0" w:rsidRDefault="00E95FB1" w:rsidP="001B3967">
            <w:pPr>
              <w:pStyle w:val="a7"/>
              <w:ind w:left="-108"/>
              <w:jc w:val="center"/>
              <w:rPr>
                <w:b/>
                <w:sz w:val="22"/>
                <w:lang w:val="uk-UA"/>
              </w:rPr>
            </w:pPr>
            <w:r w:rsidRPr="001916D0">
              <w:rPr>
                <w:b/>
                <w:sz w:val="22"/>
                <w:lang w:val="uk-UA"/>
              </w:rPr>
              <w:t>Найменування показника</w:t>
            </w:r>
          </w:p>
        </w:tc>
        <w:tc>
          <w:tcPr>
            <w:tcW w:w="1766" w:type="dxa"/>
            <w:gridSpan w:val="3"/>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Одиниця вимірювання</w:t>
            </w:r>
          </w:p>
          <w:p w:rsidR="00E95FB1" w:rsidRPr="001916D0" w:rsidRDefault="00E95FB1" w:rsidP="001B3967">
            <w:pPr>
              <w:pStyle w:val="a7"/>
              <w:ind w:left="0"/>
              <w:rPr>
                <w:b/>
                <w:sz w:val="22"/>
                <w:lang w:val="uk-UA"/>
              </w:rPr>
            </w:pPr>
          </w:p>
        </w:tc>
        <w:tc>
          <w:tcPr>
            <w:tcW w:w="1459" w:type="dxa"/>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Прогнозне (цільове) значення</w:t>
            </w:r>
          </w:p>
        </w:tc>
      </w:tr>
      <w:tr w:rsidR="00E95FB1" w:rsidRPr="001916D0" w:rsidTr="001B3967">
        <w:trPr>
          <w:trHeight w:val="585"/>
        </w:trPr>
        <w:tc>
          <w:tcPr>
            <w:tcW w:w="2879" w:type="dxa"/>
            <w:vMerge/>
            <w:shd w:val="clear" w:color="auto" w:fill="C6D9F1" w:themeFill="text2" w:themeFillTint="33"/>
          </w:tcPr>
          <w:p w:rsidR="00E95FB1" w:rsidRPr="001916D0" w:rsidRDefault="00E95FB1" w:rsidP="001B3967">
            <w:pPr>
              <w:pStyle w:val="a7"/>
              <w:ind w:left="0"/>
              <w:rPr>
                <w:b/>
                <w:sz w:val="22"/>
                <w:lang w:val="uk-UA"/>
              </w:rPr>
            </w:pPr>
          </w:p>
        </w:tc>
        <w:tc>
          <w:tcPr>
            <w:tcW w:w="3784"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Автогрейдер XCMG GR165</w:t>
            </w:r>
          </w:p>
        </w:tc>
        <w:tc>
          <w:tcPr>
            <w:tcW w:w="1766" w:type="dxa"/>
            <w:gridSpan w:val="3"/>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459" w:type="dxa"/>
            <w:tcBorders>
              <w:top w:val="single" w:sz="4" w:space="0" w:color="auto"/>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sz w:val="22"/>
                <w:lang w:val="uk-UA"/>
              </w:rPr>
              <w:t>1</w:t>
            </w:r>
          </w:p>
        </w:tc>
      </w:tr>
      <w:tr w:rsidR="00E95FB1" w:rsidRPr="001916D0" w:rsidTr="001B3967">
        <w:trPr>
          <w:trHeight w:val="184"/>
        </w:trPr>
        <w:tc>
          <w:tcPr>
            <w:tcW w:w="2879" w:type="dxa"/>
            <w:vMerge/>
            <w:shd w:val="clear" w:color="auto" w:fill="C6D9F1" w:themeFill="text2" w:themeFillTint="33"/>
          </w:tcPr>
          <w:p w:rsidR="00E95FB1" w:rsidRPr="001916D0" w:rsidRDefault="00E95FB1" w:rsidP="001B3967">
            <w:pPr>
              <w:pStyle w:val="a7"/>
              <w:ind w:left="0"/>
              <w:rPr>
                <w:b/>
                <w:sz w:val="22"/>
                <w:lang w:val="uk-UA"/>
              </w:rPr>
            </w:pPr>
          </w:p>
        </w:tc>
        <w:tc>
          <w:tcPr>
            <w:tcW w:w="3784"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АВТОКРАН XCMG QY50KH</w:t>
            </w:r>
          </w:p>
        </w:tc>
        <w:tc>
          <w:tcPr>
            <w:tcW w:w="1766" w:type="dxa"/>
            <w:gridSpan w:val="3"/>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одиниць</w:t>
            </w:r>
          </w:p>
        </w:tc>
        <w:tc>
          <w:tcPr>
            <w:tcW w:w="1459" w:type="dxa"/>
            <w:tcBorders>
              <w:top w:val="single" w:sz="4" w:space="0" w:color="auto"/>
              <w:left w:val="single" w:sz="4" w:space="0" w:color="auto"/>
              <w:bottom w:val="single" w:sz="4" w:space="0" w:color="auto"/>
            </w:tcBorders>
          </w:tcPr>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rPr>
          <w:trHeight w:val="165"/>
        </w:trPr>
        <w:tc>
          <w:tcPr>
            <w:tcW w:w="2879" w:type="dxa"/>
            <w:vMerge/>
            <w:shd w:val="clear" w:color="auto" w:fill="C6D9F1" w:themeFill="text2" w:themeFillTint="33"/>
          </w:tcPr>
          <w:p w:rsidR="00E95FB1" w:rsidRPr="001916D0" w:rsidRDefault="00E95FB1" w:rsidP="001B3967">
            <w:pPr>
              <w:pStyle w:val="a7"/>
              <w:ind w:left="0"/>
              <w:rPr>
                <w:b/>
                <w:sz w:val="22"/>
                <w:lang w:val="uk-UA"/>
              </w:rPr>
            </w:pPr>
          </w:p>
        </w:tc>
        <w:tc>
          <w:tcPr>
            <w:tcW w:w="3784"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Автокран XCT25L4 XCMG (52 м)</w:t>
            </w:r>
          </w:p>
        </w:tc>
        <w:tc>
          <w:tcPr>
            <w:tcW w:w="1766" w:type="dxa"/>
            <w:gridSpan w:val="3"/>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одиниць</w:t>
            </w:r>
          </w:p>
        </w:tc>
        <w:tc>
          <w:tcPr>
            <w:tcW w:w="1459" w:type="dxa"/>
            <w:tcBorders>
              <w:top w:val="single" w:sz="4" w:space="0" w:color="auto"/>
              <w:left w:val="single" w:sz="4" w:space="0" w:color="auto"/>
              <w:bottom w:val="single" w:sz="4" w:space="0" w:color="auto"/>
            </w:tcBorders>
          </w:tcPr>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rPr>
          <w:trHeight w:val="150"/>
        </w:trPr>
        <w:tc>
          <w:tcPr>
            <w:tcW w:w="2879" w:type="dxa"/>
            <w:vMerge/>
            <w:shd w:val="clear" w:color="auto" w:fill="C6D9F1" w:themeFill="text2" w:themeFillTint="33"/>
          </w:tcPr>
          <w:p w:rsidR="00E95FB1" w:rsidRPr="001916D0" w:rsidRDefault="00E95FB1" w:rsidP="001B3967">
            <w:pPr>
              <w:pStyle w:val="a7"/>
              <w:ind w:left="0"/>
              <w:rPr>
                <w:b/>
                <w:sz w:val="22"/>
                <w:lang w:val="uk-UA"/>
              </w:rPr>
            </w:pPr>
          </w:p>
        </w:tc>
        <w:tc>
          <w:tcPr>
            <w:tcW w:w="3784"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 xml:space="preserve">Автомобіль HDC DC </w:t>
            </w:r>
            <w:proofErr w:type="spellStart"/>
            <w:r w:rsidRPr="001916D0">
              <w:rPr>
                <w:sz w:val="22"/>
                <w:lang w:val="uk-UA"/>
              </w:rPr>
              <w:t>Double</w:t>
            </w:r>
            <w:proofErr w:type="spellEnd"/>
            <w:r w:rsidRPr="001916D0">
              <w:rPr>
                <w:sz w:val="22"/>
                <w:lang w:val="uk-UA"/>
              </w:rPr>
              <w:t xml:space="preserve"> </w:t>
            </w:r>
            <w:proofErr w:type="spellStart"/>
            <w:r w:rsidRPr="001916D0">
              <w:rPr>
                <w:sz w:val="22"/>
                <w:lang w:val="uk-UA"/>
              </w:rPr>
              <w:t>long</w:t>
            </w:r>
            <w:proofErr w:type="spellEnd"/>
            <w:r w:rsidRPr="001916D0">
              <w:rPr>
                <w:sz w:val="22"/>
                <w:lang w:val="uk-UA"/>
              </w:rPr>
              <w:t xml:space="preserve"> N22R33</w:t>
            </w:r>
          </w:p>
        </w:tc>
        <w:tc>
          <w:tcPr>
            <w:tcW w:w="1766" w:type="dxa"/>
            <w:gridSpan w:val="3"/>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одиниць</w:t>
            </w:r>
          </w:p>
        </w:tc>
        <w:tc>
          <w:tcPr>
            <w:tcW w:w="1459" w:type="dxa"/>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rPr>
          <w:trHeight w:val="150"/>
        </w:trPr>
        <w:tc>
          <w:tcPr>
            <w:tcW w:w="2879" w:type="dxa"/>
            <w:shd w:val="clear" w:color="auto" w:fill="C6D9F1" w:themeFill="text2" w:themeFillTint="33"/>
          </w:tcPr>
          <w:p w:rsidR="00E95FB1" w:rsidRPr="001916D0" w:rsidRDefault="00E95FB1" w:rsidP="001B3967">
            <w:pPr>
              <w:pStyle w:val="a7"/>
              <w:ind w:left="0"/>
              <w:rPr>
                <w:b/>
                <w:sz w:val="22"/>
                <w:lang w:val="uk-UA"/>
              </w:rPr>
            </w:pPr>
          </w:p>
        </w:tc>
        <w:tc>
          <w:tcPr>
            <w:tcW w:w="3784"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 xml:space="preserve">Автомобіль RENAULT </w:t>
            </w:r>
            <w:proofErr w:type="spellStart"/>
            <w:r w:rsidRPr="001916D0">
              <w:rPr>
                <w:sz w:val="22"/>
                <w:lang w:val="uk-UA"/>
              </w:rPr>
              <w:t>Duster</w:t>
            </w:r>
            <w:proofErr w:type="spellEnd"/>
            <w:r w:rsidRPr="001916D0">
              <w:rPr>
                <w:sz w:val="22"/>
                <w:lang w:val="uk-UA"/>
              </w:rPr>
              <w:t xml:space="preserve">  </w:t>
            </w:r>
          </w:p>
        </w:tc>
        <w:tc>
          <w:tcPr>
            <w:tcW w:w="1766" w:type="dxa"/>
            <w:gridSpan w:val="3"/>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одиниць</w:t>
            </w:r>
          </w:p>
        </w:tc>
        <w:tc>
          <w:tcPr>
            <w:tcW w:w="1459" w:type="dxa"/>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rPr>
          <w:trHeight w:val="150"/>
        </w:trPr>
        <w:tc>
          <w:tcPr>
            <w:tcW w:w="2879" w:type="dxa"/>
            <w:shd w:val="clear" w:color="auto" w:fill="C6D9F1" w:themeFill="text2" w:themeFillTint="33"/>
          </w:tcPr>
          <w:p w:rsidR="00E95FB1" w:rsidRPr="001916D0" w:rsidRDefault="00E95FB1" w:rsidP="001B3967">
            <w:pPr>
              <w:pStyle w:val="a7"/>
              <w:ind w:left="0"/>
              <w:rPr>
                <w:b/>
                <w:sz w:val="22"/>
                <w:lang w:val="uk-UA"/>
              </w:rPr>
            </w:pPr>
          </w:p>
        </w:tc>
        <w:tc>
          <w:tcPr>
            <w:tcW w:w="3784"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 xml:space="preserve">Автопідйомник гідравлічний АТ на шасі </w:t>
            </w:r>
            <w:proofErr w:type="spellStart"/>
            <w:r w:rsidRPr="001916D0">
              <w:rPr>
                <w:sz w:val="22"/>
                <w:lang w:val="uk-UA"/>
              </w:rPr>
              <w:t>Даюн</w:t>
            </w:r>
            <w:proofErr w:type="spellEnd"/>
            <w:r w:rsidRPr="001916D0">
              <w:rPr>
                <w:sz w:val="22"/>
                <w:lang w:val="uk-UA"/>
              </w:rPr>
              <w:t xml:space="preserve"> 1120 (28м)</w:t>
            </w:r>
          </w:p>
        </w:tc>
        <w:tc>
          <w:tcPr>
            <w:tcW w:w="1766" w:type="dxa"/>
            <w:gridSpan w:val="3"/>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одиниць</w:t>
            </w:r>
          </w:p>
        </w:tc>
        <w:tc>
          <w:tcPr>
            <w:tcW w:w="1459" w:type="dxa"/>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rPr>
          <w:trHeight w:val="150"/>
        </w:trPr>
        <w:tc>
          <w:tcPr>
            <w:tcW w:w="2879" w:type="dxa"/>
            <w:shd w:val="clear" w:color="auto" w:fill="C6D9F1" w:themeFill="text2" w:themeFillTint="33"/>
          </w:tcPr>
          <w:p w:rsidR="00E95FB1" w:rsidRPr="001916D0" w:rsidRDefault="00E95FB1" w:rsidP="001B3967">
            <w:pPr>
              <w:pStyle w:val="a7"/>
              <w:ind w:left="0"/>
              <w:rPr>
                <w:b/>
                <w:sz w:val="22"/>
                <w:lang w:val="uk-UA"/>
              </w:rPr>
            </w:pPr>
          </w:p>
        </w:tc>
        <w:tc>
          <w:tcPr>
            <w:tcW w:w="3784"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Автопідйомник гідравлічний на шасі МАЗ (23м)</w:t>
            </w:r>
          </w:p>
        </w:tc>
        <w:tc>
          <w:tcPr>
            <w:tcW w:w="1766" w:type="dxa"/>
            <w:gridSpan w:val="3"/>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одиниць</w:t>
            </w:r>
          </w:p>
        </w:tc>
        <w:tc>
          <w:tcPr>
            <w:tcW w:w="1459" w:type="dxa"/>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rPr>
          <w:trHeight w:val="150"/>
        </w:trPr>
        <w:tc>
          <w:tcPr>
            <w:tcW w:w="2879" w:type="dxa"/>
            <w:shd w:val="clear" w:color="auto" w:fill="C6D9F1" w:themeFill="text2" w:themeFillTint="33"/>
          </w:tcPr>
          <w:p w:rsidR="00E95FB1" w:rsidRPr="001916D0" w:rsidRDefault="00E95FB1" w:rsidP="001B3967">
            <w:pPr>
              <w:pStyle w:val="a7"/>
              <w:ind w:left="0"/>
              <w:rPr>
                <w:b/>
                <w:sz w:val="22"/>
                <w:lang w:val="uk-UA"/>
              </w:rPr>
            </w:pPr>
          </w:p>
        </w:tc>
        <w:tc>
          <w:tcPr>
            <w:tcW w:w="3784"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Бульдозер XCMG TY160</w:t>
            </w:r>
          </w:p>
        </w:tc>
        <w:tc>
          <w:tcPr>
            <w:tcW w:w="1766" w:type="dxa"/>
            <w:gridSpan w:val="3"/>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одиниць</w:t>
            </w:r>
          </w:p>
        </w:tc>
        <w:tc>
          <w:tcPr>
            <w:tcW w:w="1459" w:type="dxa"/>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rPr>
          <w:trHeight w:val="150"/>
        </w:trPr>
        <w:tc>
          <w:tcPr>
            <w:tcW w:w="2879" w:type="dxa"/>
            <w:shd w:val="clear" w:color="auto" w:fill="C6D9F1" w:themeFill="text2" w:themeFillTint="33"/>
          </w:tcPr>
          <w:p w:rsidR="00E95FB1" w:rsidRPr="001916D0" w:rsidRDefault="00E95FB1" w:rsidP="001B3967">
            <w:pPr>
              <w:pStyle w:val="a7"/>
              <w:ind w:left="0"/>
              <w:rPr>
                <w:b/>
                <w:sz w:val="22"/>
                <w:lang w:val="uk-UA"/>
              </w:rPr>
            </w:pPr>
          </w:p>
        </w:tc>
        <w:tc>
          <w:tcPr>
            <w:tcW w:w="3784"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ЕКСКАВАТОР-ПОГРУЗЧИК BOBCAT B730R</w:t>
            </w:r>
          </w:p>
        </w:tc>
        <w:tc>
          <w:tcPr>
            <w:tcW w:w="1766" w:type="dxa"/>
            <w:gridSpan w:val="3"/>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одиниць</w:t>
            </w:r>
          </w:p>
        </w:tc>
        <w:tc>
          <w:tcPr>
            <w:tcW w:w="1459" w:type="dxa"/>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rPr>
          <w:trHeight w:val="150"/>
        </w:trPr>
        <w:tc>
          <w:tcPr>
            <w:tcW w:w="2879" w:type="dxa"/>
            <w:shd w:val="clear" w:color="auto" w:fill="C6D9F1" w:themeFill="text2" w:themeFillTint="33"/>
          </w:tcPr>
          <w:p w:rsidR="00E95FB1" w:rsidRPr="001916D0" w:rsidRDefault="00E95FB1" w:rsidP="001B3967">
            <w:pPr>
              <w:pStyle w:val="a7"/>
              <w:ind w:left="0"/>
              <w:rPr>
                <w:b/>
                <w:sz w:val="22"/>
                <w:lang w:val="uk-UA"/>
              </w:rPr>
            </w:pPr>
          </w:p>
        </w:tc>
        <w:tc>
          <w:tcPr>
            <w:tcW w:w="3784"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Колісний екскаватор XE180WD</w:t>
            </w:r>
          </w:p>
        </w:tc>
        <w:tc>
          <w:tcPr>
            <w:tcW w:w="1766" w:type="dxa"/>
            <w:gridSpan w:val="3"/>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одиниць</w:t>
            </w:r>
          </w:p>
        </w:tc>
        <w:tc>
          <w:tcPr>
            <w:tcW w:w="1459" w:type="dxa"/>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rPr>
          <w:trHeight w:val="150"/>
        </w:trPr>
        <w:tc>
          <w:tcPr>
            <w:tcW w:w="2879" w:type="dxa"/>
            <w:shd w:val="clear" w:color="auto" w:fill="C6D9F1" w:themeFill="text2" w:themeFillTint="33"/>
          </w:tcPr>
          <w:p w:rsidR="00E95FB1" w:rsidRPr="001916D0" w:rsidRDefault="00E95FB1" w:rsidP="001B3967">
            <w:pPr>
              <w:pStyle w:val="a7"/>
              <w:ind w:left="0"/>
              <w:rPr>
                <w:b/>
                <w:sz w:val="22"/>
                <w:lang w:val="uk-UA"/>
              </w:rPr>
            </w:pPr>
          </w:p>
        </w:tc>
        <w:tc>
          <w:tcPr>
            <w:tcW w:w="3784"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Контейнер для сміття типу “</w:t>
            </w:r>
            <w:proofErr w:type="spellStart"/>
            <w:r w:rsidRPr="001916D0">
              <w:rPr>
                <w:sz w:val="22"/>
                <w:lang w:val="uk-UA"/>
              </w:rPr>
              <w:t>лодочка</w:t>
            </w:r>
            <w:proofErr w:type="spellEnd"/>
            <w:r w:rsidRPr="001916D0">
              <w:rPr>
                <w:sz w:val="22"/>
                <w:lang w:val="uk-UA"/>
              </w:rPr>
              <w:t>” 8 м3</w:t>
            </w:r>
          </w:p>
        </w:tc>
        <w:tc>
          <w:tcPr>
            <w:tcW w:w="1766" w:type="dxa"/>
            <w:gridSpan w:val="3"/>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одиниць</w:t>
            </w:r>
          </w:p>
        </w:tc>
        <w:tc>
          <w:tcPr>
            <w:tcW w:w="1459" w:type="dxa"/>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7</w:t>
            </w:r>
          </w:p>
        </w:tc>
      </w:tr>
      <w:tr w:rsidR="00E95FB1" w:rsidRPr="001916D0" w:rsidTr="001B3967">
        <w:trPr>
          <w:trHeight w:val="150"/>
        </w:trPr>
        <w:tc>
          <w:tcPr>
            <w:tcW w:w="2879" w:type="dxa"/>
            <w:shd w:val="clear" w:color="auto" w:fill="C6D9F1" w:themeFill="text2" w:themeFillTint="33"/>
          </w:tcPr>
          <w:p w:rsidR="00E95FB1" w:rsidRPr="001916D0" w:rsidRDefault="00E95FB1" w:rsidP="001B3967">
            <w:pPr>
              <w:pStyle w:val="a7"/>
              <w:ind w:left="0"/>
              <w:rPr>
                <w:b/>
                <w:sz w:val="22"/>
                <w:lang w:val="uk-UA"/>
              </w:rPr>
            </w:pPr>
          </w:p>
        </w:tc>
        <w:tc>
          <w:tcPr>
            <w:tcW w:w="3784"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Кран-маніпулятор HIAB X-CL 16 B-3</w:t>
            </w:r>
          </w:p>
        </w:tc>
        <w:tc>
          <w:tcPr>
            <w:tcW w:w="1766" w:type="dxa"/>
            <w:gridSpan w:val="3"/>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одиниць</w:t>
            </w:r>
          </w:p>
        </w:tc>
        <w:tc>
          <w:tcPr>
            <w:tcW w:w="1459" w:type="dxa"/>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rPr>
          <w:trHeight w:val="150"/>
        </w:trPr>
        <w:tc>
          <w:tcPr>
            <w:tcW w:w="2879" w:type="dxa"/>
            <w:shd w:val="clear" w:color="auto" w:fill="C6D9F1" w:themeFill="text2" w:themeFillTint="33"/>
          </w:tcPr>
          <w:p w:rsidR="00E95FB1" w:rsidRPr="001916D0" w:rsidRDefault="00E95FB1" w:rsidP="001B3967">
            <w:pPr>
              <w:pStyle w:val="a7"/>
              <w:ind w:left="0"/>
              <w:rPr>
                <w:b/>
                <w:sz w:val="22"/>
                <w:lang w:val="uk-UA"/>
              </w:rPr>
            </w:pPr>
          </w:p>
        </w:tc>
        <w:tc>
          <w:tcPr>
            <w:tcW w:w="3784"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Машина АТ-МДК-10/06 на самоскиді SHACMAN F3000</w:t>
            </w:r>
          </w:p>
        </w:tc>
        <w:tc>
          <w:tcPr>
            <w:tcW w:w="1766" w:type="dxa"/>
            <w:gridSpan w:val="3"/>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одиниць</w:t>
            </w:r>
          </w:p>
        </w:tc>
        <w:tc>
          <w:tcPr>
            <w:tcW w:w="1459" w:type="dxa"/>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rPr>
          <w:trHeight w:val="150"/>
        </w:trPr>
        <w:tc>
          <w:tcPr>
            <w:tcW w:w="2879" w:type="dxa"/>
            <w:shd w:val="clear" w:color="auto" w:fill="C6D9F1" w:themeFill="text2" w:themeFillTint="33"/>
          </w:tcPr>
          <w:p w:rsidR="00E95FB1" w:rsidRPr="001916D0" w:rsidRDefault="00E95FB1" w:rsidP="001B3967">
            <w:pPr>
              <w:pStyle w:val="a7"/>
              <w:ind w:left="0"/>
              <w:rPr>
                <w:b/>
                <w:sz w:val="22"/>
                <w:lang w:val="uk-UA"/>
              </w:rPr>
            </w:pPr>
          </w:p>
        </w:tc>
        <w:tc>
          <w:tcPr>
            <w:tcW w:w="3784"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Машина комунальна вакуумна очисна АТ ВО-0702 на шасі DAYUN CGC-1120</w:t>
            </w:r>
          </w:p>
        </w:tc>
        <w:tc>
          <w:tcPr>
            <w:tcW w:w="1766" w:type="dxa"/>
            <w:gridSpan w:val="3"/>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одиниць</w:t>
            </w:r>
          </w:p>
        </w:tc>
        <w:tc>
          <w:tcPr>
            <w:tcW w:w="1459" w:type="dxa"/>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rPr>
          <w:trHeight w:val="150"/>
        </w:trPr>
        <w:tc>
          <w:tcPr>
            <w:tcW w:w="2879" w:type="dxa"/>
            <w:shd w:val="clear" w:color="auto" w:fill="C6D9F1" w:themeFill="text2" w:themeFillTint="33"/>
          </w:tcPr>
          <w:p w:rsidR="00E95FB1" w:rsidRPr="001916D0" w:rsidRDefault="00E95FB1" w:rsidP="001B3967">
            <w:pPr>
              <w:pStyle w:val="a7"/>
              <w:ind w:left="0"/>
              <w:rPr>
                <w:b/>
                <w:sz w:val="22"/>
                <w:lang w:val="uk-UA"/>
              </w:rPr>
            </w:pPr>
          </w:p>
        </w:tc>
        <w:tc>
          <w:tcPr>
            <w:tcW w:w="3784"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Міні екскаватор XCMG X Е35 U</w:t>
            </w:r>
          </w:p>
        </w:tc>
        <w:tc>
          <w:tcPr>
            <w:tcW w:w="1766" w:type="dxa"/>
            <w:gridSpan w:val="3"/>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одиниць</w:t>
            </w:r>
          </w:p>
        </w:tc>
        <w:tc>
          <w:tcPr>
            <w:tcW w:w="1459" w:type="dxa"/>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rPr>
          <w:trHeight w:val="150"/>
        </w:trPr>
        <w:tc>
          <w:tcPr>
            <w:tcW w:w="2879" w:type="dxa"/>
            <w:shd w:val="clear" w:color="auto" w:fill="C6D9F1" w:themeFill="text2" w:themeFillTint="33"/>
          </w:tcPr>
          <w:p w:rsidR="00E95FB1" w:rsidRPr="001916D0" w:rsidRDefault="00E95FB1" w:rsidP="001B3967">
            <w:pPr>
              <w:pStyle w:val="a7"/>
              <w:ind w:left="0"/>
              <w:rPr>
                <w:b/>
                <w:sz w:val="22"/>
                <w:lang w:val="uk-UA"/>
              </w:rPr>
            </w:pPr>
          </w:p>
        </w:tc>
        <w:tc>
          <w:tcPr>
            <w:tcW w:w="3784"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proofErr w:type="spellStart"/>
            <w:r w:rsidRPr="001916D0">
              <w:rPr>
                <w:sz w:val="22"/>
                <w:lang w:val="uk-UA"/>
              </w:rPr>
              <w:t>Поливомийна</w:t>
            </w:r>
            <w:proofErr w:type="spellEnd"/>
            <w:r w:rsidRPr="001916D0">
              <w:rPr>
                <w:sz w:val="22"/>
                <w:lang w:val="uk-UA"/>
              </w:rPr>
              <w:t xml:space="preserve"> машина МКД-12-03</w:t>
            </w:r>
          </w:p>
        </w:tc>
        <w:tc>
          <w:tcPr>
            <w:tcW w:w="1766" w:type="dxa"/>
            <w:gridSpan w:val="3"/>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одиниць</w:t>
            </w:r>
          </w:p>
        </w:tc>
        <w:tc>
          <w:tcPr>
            <w:tcW w:w="1459" w:type="dxa"/>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2</w:t>
            </w:r>
          </w:p>
        </w:tc>
      </w:tr>
      <w:tr w:rsidR="00E95FB1" w:rsidRPr="001916D0" w:rsidTr="001B3967">
        <w:trPr>
          <w:trHeight w:val="150"/>
        </w:trPr>
        <w:tc>
          <w:tcPr>
            <w:tcW w:w="2879" w:type="dxa"/>
            <w:shd w:val="clear" w:color="auto" w:fill="C6D9F1" w:themeFill="text2" w:themeFillTint="33"/>
          </w:tcPr>
          <w:p w:rsidR="00E95FB1" w:rsidRPr="001916D0" w:rsidRDefault="00E95FB1" w:rsidP="001B3967">
            <w:pPr>
              <w:pStyle w:val="a7"/>
              <w:ind w:left="0"/>
              <w:rPr>
                <w:b/>
                <w:sz w:val="22"/>
                <w:lang w:val="uk-UA"/>
              </w:rPr>
            </w:pPr>
          </w:p>
        </w:tc>
        <w:tc>
          <w:tcPr>
            <w:tcW w:w="3784"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Портальний сміттєвоз  МАЗ-5550</w:t>
            </w:r>
          </w:p>
        </w:tc>
        <w:tc>
          <w:tcPr>
            <w:tcW w:w="1766" w:type="dxa"/>
            <w:gridSpan w:val="3"/>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одиниць</w:t>
            </w:r>
          </w:p>
        </w:tc>
        <w:tc>
          <w:tcPr>
            <w:tcW w:w="1459" w:type="dxa"/>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rPr>
          <w:trHeight w:val="150"/>
        </w:trPr>
        <w:tc>
          <w:tcPr>
            <w:tcW w:w="2879" w:type="dxa"/>
            <w:shd w:val="clear" w:color="auto" w:fill="C6D9F1" w:themeFill="text2" w:themeFillTint="33"/>
          </w:tcPr>
          <w:p w:rsidR="00E95FB1" w:rsidRPr="001916D0" w:rsidRDefault="00E95FB1" w:rsidP="001B3967">
            <w:pPr>
              <w:pStyle w:val="a7"/>
              <w:ind w:left="0"/>
              <w:rPr>
                <w:b/>
                <w:sz w:val="22"/>
                <w:lang w:val="uk-UA"/>
              </w:rPr>
            </w:pPr>
          </w:p>
        </w:tc>
        <w:tc>
          <w:tcPr>
            <w:tcW w:w="3784"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Причеп тракторний 2ПТС-4</w:t>
            </w:r>
          </w:p>
        </w:tc>
        <w:tc>
          <w:tcPr>
            <w:tcW w:w="1766" w:type="dxa"/>
            <w:gridSpan w:val="3"/>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одиниць</w:t>
            </w:r>
          </w:p>
        </w:tc>
        <w:tc>
          <w:tcPr>
            <w:tcW w:w="1459" w:type="dxa"/>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rPr>
          <w:trHeight w:val="150"/>
        </w:trPr>
        <w:tc>
          <w:tcPr>
            <w:tcW w:w="2879" w:type="dxa"/>
            <w:shd w:val="clear" w:color="auto" w:fill="C6D9F1" w:themeFill="text2" w:themeFillTint="33"/>
          </w:tcPr>
          <w:p w:rsidR="00E95FB1" w:rsidRPr="001916D0" w:rsidRDefault="00E95FB1" w:rsidP="001B3967">
            <w:pPr>
              <w:pStyle w:val="a7"/>
              <w:ind w:left="0"/>
              <w:rPr>
                <w:b/>
                <w:sz w:val="22"/>
                <w:lang w:val="uk-UA"/>
              </w:rPr>
            </w:pPr>
          </w:p>
        </w:tc>
        <w:tc>
          <w:tcPr>
            <w:tcW w:w="3784"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Самоскид SHACMAN SX3258DT384</w:t>
            </w:r>
          </w:p>
        </w:tc>
        <w:tc>
          <w:tcPr>
            <w:tcW w:w="1766" w:type="dxa"/>
            <w:gridSpan w:val="3"/>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одиниць</w:t>
            </w:r>
          </w:p>
        </w:tc>
        <w:tc>
          <w:tcPr>
            <w:tcW w:w="1459" w:type="dxa"/>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rPr>
          <w:trHeight w:val="150"/>
        </w:trPr>
        <w:tc>
          <w:tcPr>
            <w:tcW w:w="2879" w:type="dxa"/>
            <w:shd w:val="clear" w:color="auto" w:fill="C6D9F1" w:themeFill="text2" w:themeFillTint="33"/>
          </w:tcPr>
          <w:p w:rsidR="00E95FB1" w:rsidRPr="001916D0" w:rsidRDefault="00E95FB1" w:rsidP="001B3967">
            <w:pPr>
              <w:pStyle w:val="a7"/>
              <w:ind w:left="0"/>
              <w:rPr>
                <w:b/>
                <w:sz w:val="22"/>
                <w:lang w:val="uk-UA"/>
              </w:rPr>
            </w:pPr>
          </w:p>
        </w:tc>
        <w:tc>
          <w:tcPr>
            <w:tcW w:w="3784"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Сміттєвоз з системою змінних кузовів (портального типу) АТ на базі шасі DAYUN CGC-1140</w:t>
            </w:r>
          </w:p>
        </w:tc>
        <w:tc>
          <w:tcPr>
            <w:tcW w:w="1766" w:type="dxa"/>
            <w:gridSpan w:val="3"/>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одиниць</w:t>
            </w:r>
          </w:p>
        </w:tc>
        <w:tc>
          <w:tcPr>
            <w:tcW w:w="1459" w:type="dxa"/>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3</w:t>
            </w:r>
          </w:p>
        </w:tc>
      </w:tr>
      <w:tr w:rsidR="00E95FB1" w:rsidRPr="001916D0" w:rsidTr="001B3967">
        <w:trPr>
          <w:trHeight w:val="150"/>
        </w:trPr>
        <w:tc>
          <w:tcPr>
            <w:tcW w:w="2879" w:type="dxa"/>
            <w:shd w:val="clear" w:color="auto" w:fill="C6D9F1" w:themeFill="text2" w:themeFillTint="33"/>
          </w:tcPr>
          <w:p w:rsidR="00E95FB1" w:rsidRPr="001916D0" w:rsidRDefault="00E95FB1" w:rsidP="001B3967">
            <w:pPr>
              <w:pStyle w:val="a7"/>
              <w:ind w:left="0"/>
              <w:rPr>
                <w:b/>
                <w:sz w:val="22"/>
                <w:lang w:val="uk-UA"/>
              </w:rPr>
            </w:pPr>
          </w:p>
        </w:tc>
        <w:tc>
          <w:tcPr>
            <w:tcW w:w="3784"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Трактор з навісним обладнанням</w:t>
            </w:r>
          </w:p>
        </w:tc>
        <w:tc>
          <w:tcPr>
            <w:tcW w:w="1766" w:type="dxa"/>
            <w:gridSpan w:val="3"/>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одиниць</w:t>
            </w:r>
          </w:p>
        </w:tc>
        <w:tc>
          <w:tcPr>
            <w:tcW w:w="1459" w:type="dxa"/>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rPr>
          <w:trHeight w:val="150"/>
        </w:trPr>
        <w:tc>
          <w:tcPr>
            <w:tcW w:w="2879" w:type="dxa"/>
            <w:shd w:val="clear" w:color="auto" w:fill="C6D9F1" w:themeFill="text2" w:themeFillTint="33"/>
          </w:tcPr>
          <w:p w:rsidR="00E95FB1" w:rsidRPr="001916D0" w:rsidRDefault="00E95FB1" w:rsidP="001B3967">
            <w:pPr>
              <w:pStyle w:val="a7"/>
              <w:ind w:left="0"/>
              <w:rPr>
                <w:b/>
                <w:sz w:val="22"/>
                <w:lang w:val="uk-UA"/>
              </w:rPr>
            </w:pPr>
          </w:p>
        </w:tc>
        <w:tc>
          <w:tcPr>
            <w:tcW w:w="3784"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Фронтальний навантажувач LW300КN</w:t>
            </w:r>
          </w:p>
        </w:tc>
        <w:tc>
          <w:tcPr>
            <w:tcW w:w="1766" w:type="dxa"/>
            <w:gridSpan w:val="3"/>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одиниць</w:t>
            </w:r>
          </w:p>
        </w:tc>
        <w:tc>
          <w:tcPr>
            <w:tcW w:w="1459" w:type="dxa"/>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c>
          <w:tcPr>
            <w:tcW w:w="2879" w:type="dxa"/>
            <w:shd w:val="clear" w:color="auto" w:fill="C6D9F1" w:themeFill="text2" w:themeFillTint="33"/>
          </w:tcPr>
          <w:p w:rsidR="00E95FB1" w:rsidRPr="001916D0" w:rsidRDefault="00E95FB1" w:rsidP="001B3967">
            <w:pPr>
              <w:rPr>
                <w:b/>
                <w:sz w:val="22"/>
                <w:lang w:val="uk-UA"/>
              </w:rPr>
            </w:pPr>
            <w:r w:rsidRPr="001916D0">
              <w:rPr>
                <w:b/>
                <w:sz w:val="22"/>
                <w:lang w:val="uk-UA"/>
              </w:rPr>
              <w:t xml:space="preserve">Ключові заходи проекту: </w:t>
            </w:r>
          </w:p>
          <w:p w:rsidR="00E95FB1" w:rsidRPr="001916D0" w:rsidRDefault="00E95FB1" w:rsidP="001B3967">
            <w:pPr>
              <w:pStyle w:val="a7"/>
              <w:ind w:left="0"/>
              <w:rPr>
                <w:b/>
                <w:sz w:val="22"/>
                <w:lang w:val="uk-UA"/>
              </w:rPr>
            </w:pPr>
          </w:p>
        </w:tc>
        <w:tc>
          <w:tcPr>
            <w:tcW w:w="7009" w:type="dxa"/>
            <w:gridSpan w:val="7"/>
          </w:tcPr>
          <w:p w:rsidR="00E95FB1" w:rsidRPr="001916D0" w:rsidRDefault="00E95FB1" w:rsidP="000303D7">
            <w:pPr>
              <w:pStyle w:val="a7"/>
              <w:numPr>
                <w:ilvl w:val="0"/>
                <w:numId w:val="19"/>
              </w:numPr>
              <w:jc w:val="left"/>
              <w:rPr>
                <w:sz w:val="22"/>
                <w:lang w:val="uk-UA"/>
              </w:rPr>
            </w:pPr>
            <w:r w:rsidRPr="001916D0">
              <w:rPr>
                <w:sz w:val="22"/>
                <w:lang w:val="uk-UA"/>
              </w:rPr>
              <w:t>Визначення продавця техніки</w:t>
            </w:r>
          </w:p>
          <w:p w:rsidR="00E95FB1" w:rsidRPr="001916D0" w:rsidRDefault="00E95FB1" w:rsidP="000303D7">
            <w:pPr>
              <w:pStyle w:val="a7"/>
              <w:numPr>
                <w:ilvl w:val="0"/>
                <w:numId w:val="19"/>
              </w:numPr>
              <w:jc w:val="left"/>
              <w:rPr>
                <w:sz w:val="22"/>
                <w:lang w:val="uk-UA"/>
              </w:rPr>
            </w:pPr>
            <w:r w:rsidRPr="001916D0">
              <w:rPr>
                <w:sz w:val="22"/>
                <w:lang w:val="uk-UA"/>
              </w:rPr>
              <w:t>Пошук фінансів</w:t>
            </w:r>
          </w:p>
          <w:p w:rsidR="00E95FB1" w:rsidRPr="001916D0" w:rsidRDefault="00E95FB1" w:rsidP="000303D7">
            <w:pPr>
              <w:pStyle w:val="a7"/>
              <w:numPr>
                <w:ilvl w:val="0"/>
                <w:numId w:val="19"/>
              </w:numPr>
              <w:jc w:val="left"/>
              <w:rPr>
                <w:sz w:val="22"/>
                <w:lang w:val="uk-UA"/>
              </w:rPr>
            </w:pPr>
            <w:r w:rsidRPr="001916D0">
              <w:rPr>
                <w:sz w:val="22"/>
                <w:lang w:val="uk-UA"/>
              </w:rPr>
              <w:t xml:space="preserve">Проведення </w:t>
            </w:r>
            <w:proofErr w:type="spellStart"/>
            <w:r w:rsidRPr="001916D0">
              <w:rPr>
                <w:sz w:val="22"/>
                <w:lang w:val="uk-UA"/>
              </w:rPr>
              <w:t>закупівель</w:t>
            </w:r>
            <w:proofErr w:type="spellEnd"/>
          </w:p>
          <w:p w:rsidR="00E95FB1" w:rsidRPr="001916D0" w:rsidRDefault="00E95FB1" w:rsidP="000303D7">
            <w:pPr>
              <w:pStyle w:val="a7"/>
              <w:numPr>
                <w:ilvl w:val="0"/>
                <w:numId w:val="19"/>
              </w:numPr>
              <w:jc w:val="left"/>
              <w:rPr>
                <w:sz w:val="22"/>
                <w:lang w:val="uk-UA"/>
              </w:rPr>
            </w:pPr>
            <w:r w:rsidRPr="001916D0">
              <w:rPr>
                <w:sz w:val="22"/>
                <w:lang w:val="uk-UA"/>
              </w:rPr>
              <w:t xml:space="preserve">Прийняття техніки на баланс підприємства </w:t>
            </w:r>
          </w:p>
        </w:tc>
      </w:tr>
      <w:tr w:rsidR="00E95FB1" w:rsidRPr="001916D0" w:rsidTr="001B3967">
        <w:trPr>
          <w:trHeight w:val="360"/>
        </w:trPr>
        <w:tc>
          <w:tcPr>
            <w:tcW w:w="2879"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Орієнтовний обсяг та джерела фінансування, тис. грн. </w:t>
            </w:r>
          </w:p>
          <w:p w:rsidR="00E95FB1" w:rsidRPr="001916D0" w:rsidRDefault="00E95FB1" w:rsidP="001B3967">
            <w:pPr>
              <w:pStyle w:val="a7"/>
              <w:ind w:left="0"/>
              <w:rPr>
                <w:b/>
                <w:sz w:val="22"/>
                <w:lang w:val="uk-UA"/>
              </w:rPr>
            </w:pPr>
          </w:p>
        </w:tc>
        <w:tc>
          <w:tcPr>
            <w:tcW w:w="1478"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Державний бюджет</w:t>
            </w:r>
          </w:p>
        </w:tc>
        <w:tc>
          <w:tcPr>
            <w:tcW w:w="1267"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Місцевий бюджет</w:t>
            </w:r>
          </w:p>
        </w:tc>
        <w:tc>
          <w:tcPr>
            <w:tcW w:w="2699" w:type="dxa"/>
            <w:gridSpan w:val="3"/>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Інші джерела</w:t>
            </w:r>
          </w:p>
        </w:tc>
        <w:tc>
          <w:tcPr>
            <w:tcW w:w="1565" w:type="dxa"/>
            <w:gridSpan w:val="2"/>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Всього</w:t>
            </w:r>
          </w:p>
        </w:tc>
      </w:tr>
      <w:tr w:rsidR="00E95FB1" w:rsidRPr="001916D0" w:rsidTr="001B3967">
        <w:trPr>
          <w:trHeight w:val="225"/>
        </w:trPr>
        <w:tc>
          <w:tcPr>
            <w:tcW w:w="2879" w:type="dxa"/>
            <w:vMerge/>
            <w:shd w:val="clear" w:color="auto" w:fill="C6D9F1" w:themeFill="text2" w:themeFillTint="33"/>
          </w:tcPr>
          <w:p w:rsidR="00E95FB1" w:rsidRPr="001916D0" w:rsidRDefault="00E95FB1" w:rsidP="001B3967">
            <w:pPr>
              <w:pStyle w:val="a7"/>
              <w:ind w:left="0"/>
              <w:rPr>
                <w:b/>
                <w:sz w:val="22"/>
                <w:lang w:val="uk-UA"/>
              </w:rPr>
            </w:pPr>
          </w:p>
        </w:tc>
        <w:tc>
          <w:tcPr>
            <w:tcW w:w="1478" w:type="dxa"/>
            <w:vMerge w:val="restart"/>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74 137,0</w:t>
            </w:r>
          </w:p>
        </w:tc>
        <w:tc>
          <w:tcPr>
            <w:tcW w:w="1267" w:type="dxa"/>
            <w:vMerge w:val="restart"/>
            <w:tcBorders>
              <w:top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w:t>
            </w:r>
          </w:p>
        </w:tc>
        <w:tc>
          <w:tcPr>
            <w:tcW w:w="1244"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Обсяг</w:t>
            </w:r>
          </w:p>
        </w:tc>
        <w:tc>
          <w:tcPr>
            <w:tcW w:w="1455" w:type="dxa"/>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Назва джерела</w:t>
            </w:r>
          </w:p>
        </w:tc>
        <w:tc>
          <w:tcPr>
            <w:tcW w:w="1565" w:type="dxa"/>
            <w:gridSpan w:val="2"/>
            <w:vMerge w:val="restart"/>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105 910,00</w:t>
            </w:r>
          </w:p>
        </w:tc>
      </w:tr>
      <w:tr w:rsidR="00E95FB1" w:rsidRPr="001916D0" w:rsidTr="001B3967">
        <w:trPr>
          <w:trHeight w:val="300"/>
        </w:trPr>
        <w:tc>
          <w:tcPr>
            <w:tcW w:w="2879" w:type="dxa"/>
            <w:vMerge/>
            <w:shd w:val="clear" w:color="auto" w:fill="C6D9F1" w:themeFill="text2" w:themeFillTint="33"/>
          </w:tcPr>
          <w:p w:rsidR="00E95FB1" w:rsidRPr="001916D0" w:rsidRDefault="00E95FB1" w:rsidP="001B3967">
            <w:pPr>
              <w:pStyle w:val="a7"/>
              <w:ind w:left="0"/>
              <w:rPr>
                <w:b/>
                <w:sz w:val="22"/>
                <w:lang w:val="uk-UA"/>
              </w:rPr>
            </w:pPr>
          </w:p>
        </w:tc>
        <w:tc>
          <w:tcPr>
            <w:tcW w:w="1478" w:type="dxa"/>
            <w:vMerge/>
            <w:tcBorders>
              <w:right w:val="single" w:sz="4" w:space="0" w:color="auto"/>
            </w:tcBorders>
          </w:tcPr>
          <w:p w:rsidR="00E95FB1" w:rsidRPr="001916D0" w:rsidRDefault="00E95FB1" w:rsidP="001B3967">
            <w:pPr>
              <w:pStyle w:val="a7"/>
              <w:ind w:left="0"/>
              <w:jc w:val="center"/>
              <w:rPr>
                <w:sz w:val="22"/>
                <w:lang w:val="uk-UA"/>
              </w:rPr>
            </w:pPr>
          </w:p>
        </w:tc>
        <w:tc>
          <w:tcPr>
            <w:tcW w:w="1267" w:type="dxa"/>
            <w:vMerge/>
            <w:tcBorders>
              <w:right w:val="single" w:sz="4" w:space="0" w:color="auto"/>
            </w:tcBorders>
          </w:tcPr>
          <w:p w:rsidR="00E95FB1" w:rsidRPr="001916D0" w:rsidRDefault="00E95FB1" w:rsidP="001B3967">
            <w:pPr>
              <w:pStyle w:val="a7"/>
              <w:ind w:left="0"/>
              <w:jc w:val="center"/>
              <w:rPr>
                <w:b/>
                <w:sz w:val="22"/>
                <w:lang w:val="uk-UA"/>
              </w:rPr>
            </w:pPr>
          </w:p>
        </w:tc>
        <w:tc>
          <w:tcPr>
            <w:tcW w:w="1244"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sz w:val="22"/>
                <w:lang w:val="uk-UA"/>
              </w:rPr>
              <w:t>31 773,0</w:t>
            </w:r>
          </w:p>
        </w:tc>
        <w:tc>
          <w:tcPr>
            <w:tcW w:w="1455" w:type="dxa"/>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Міжнародні інвестиції, кошти приватних осіб</w:t>
            </w:r>
          </w:p>
        </w:tc>
        <w:tc>
          <w:tcPr>
            <w:tcW w:w="1565" w:type="dxa"/>
            <w:gridSpan w:val="2"/>
            <w:vMerge/>
            <w:tcBorders>
              <w:left w:val="single" w:sz="4" w:space="0" w:color="auto"/>
            </w:tcBorders>
          </w:tcPr>
          <w:p w:rsidR="00E95FB1" w:rsidRPr="001916D0" w:rsidRDefault="00E95FB1" w:rsidP="001B3967">
            <w:pPr>
              <w:pStyle w:val="a7"/>
              <w:ind w:left="0"/>
              <w:jc w:val="center"/>
              <w:rPr>
                <w:sz w:val="22"/>
                <w:lang w:val="uk-UA"/>
              </w:rPr>
            </w:pPr>
          </w:p>
        </w:tc>
      </w:tr>
    </w:tbl>
    <w:p w:rsidR="00E95FB1" w:rsidRPr="001916D0" w:rsidRDefault="00E95FB1" w:rsidP="00E95FB1">
      <w:pPr>
        <w:rPr>
          <w:sz w:val="22"/>
        </w:rPr>
      </w:pPr>
    </w:p>
    <w:p w:rsidR="00E95FB1" w:rsidRPr="001916D0" w:rsidRDefault="00E95FB1" w:rsidP="00E95FB1">
      <w:pPr>
        <w:rPr>
          <w:sz w:val="22"/>
        </w:rPr>
      </w:pPr>
    </w:p>
    <w:tbl>
      <w:tblPr>
        <w:tblStyle w:val="af"/>
        <w:tblW w:w="9923" w:type="dxa"/>
        <w:tblInd w:w="-176" w:type="dxa"/>
        <w:tblLook w:val="04A0" w:firstRow="1" w:lastRow="0" w:firstColumn="1" w:lastColumn="0" w:noHBand="0" w:noVBand="1"/>
      </w:tblPr>
      <w:tblGrid>
        <w:gridCol w:w="2978"/>
        <w:gridCol w:w="1619"/>
        <w:gridCol w:w="1367"/>
        <w:gridCol w:w="132"/>
        <w:gridCol w:w="984"/>
        <w:gridCol w:w="859"/>
        <w:gridCol w:w="352"/>
        <w:gridCol w:w="1632"/>
      </w:tblGrid>
      <w:tr w:rsidR="00E95FB1" w:rsidRPr="001916D0" w:rsidTr="001B3967">
        <w:tc>
          <w:tcPr>
            <w:tcW w:w="2978"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Оперативна ціль/завдання</w:t>
            </w:r>
          </w:p>
        </w:tc>
        <w:tc>
          <w:tcPr>
            <w:tcW w:w="6945" w:type="dxa"/>
            <w:gridSpan w:val="7"/>
            <w:shd w:val="clear" w:color="auto" w:fill="auto"/>
          </w:tcPr>
          <w:p w:rsidR="00E95FB1" w:rsidRPr="001916D0" w:rsidRDefault="00E95FB1" w:rsidP="001B3967">
            <w:pPr>
              <w:pStyle w:val="a7"/>
              <w:ind w:left="0"/>
              <w:rPr>
                <w:sz w:val="22"/>
                <w:lang w:val="uk-UA"/>
              </w:rPr>
            </w:pPr>
            <w:r w:rsidRPr="001916D0">
              <w:rPr>
                <w:rFonts w:eastAsia="Arial"/>
                <w:sz w:val="22"/>
                <w:lang w:val="uk-UA"/>
              </w:rPr>
              <w:t>Комфорт життя ЛЮДИНИ як безпека, екологічна сталість та розумна енергетика. Екологічна сталість через знання та партнерства</w:t>
            </w:r>
          </w:p>
        </w:tc>
      </w:tr>
      <w:tr w:rsidR="00E95FB1" w:rsidRPr="001916D0" w:rsidTr="001B3967">
        <w:tc>
          <w:tcPr>
            <w:tcW w:w="2978"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Назва проекту:</w:t>
            </w:r>
          </w:p>
        </w:tc>
        <w:tc>
          <w:tcPr>
            <w:tcW w:w="6945" w:type="dxa"/>
            <w:gridSpan w:val="7"/>
          </w:tcPr>
          <w:p w:rsidR="00E95FB1" w:rsidRPr="001916D0" w:rsidRDefault="00E95FB1" w:rsidP="001B3967">
            <w:pPr>
              <w:pStyle w:val="a7"/>
              <w:ind w:left="0"/>
              <w:rPr>
                <w:sz w:val="22"/>
                <w:lang w:val="uk-UA"/>
              </w:rPr>
            </w:pPr>
            <w:r w:rsidRPr="001916D0">
              <w:rPr>
                <w:sz w:val="22"/>
                <w:lang w:val="uk-UA"/>
              </w:rPr>
              <w:t>Відновлення діяльності комунального підприємства «Сєвєродонецьке підприємство благоустрою та ритуальної служби»</w:t>
            </w:r>
          </w:p>
        </w:tc>
      </w:tr>
      <w:tr w:rsidR="00E95FB1" w:rsidRPr="001916D0" w:rsidTr="001B3967">
        <w:tc>
          <w:tcPr>
            <w:tcW w:w="2978" w:type="dxa"/>
            <w:shd w:val="clear" w:color="auto" w:fill="C6D9F1" w:themeFill="text2" w:themeFillTint="33"/>
          </w:tcPr>
          <w:p w:rsidR="00E95FB1" w:rsidRPr="001916D0" w:rsidRDefault="00E95FB1" w:rsidP="001B3967">
            <w:pPr>
              <w:rPr>
                <w:b/>
                <w:sz w:val="22"/>
                <w:lang w:val="uk-UA"/>
              </w:rPr>
            </w:pPr>
            <w:r w:rsidRPr="001916D0">
              <w:rPr>
                <w:b/>
                <w:sz w:val="22"/>
                <w:lang w:val="uk-UA"/>
              </w:rPr>
              <w:t xml:space="preserve">Ціль </w:t>
            </w:r>
            <w:proofErr w:type="spellStart"/>
            <w:r w:rsidRPr="001916D0">
              <w:rPr>
                <w:b/>
                <w:sz w:val="22"/>
                <w:lang w:val="uk-UA"/>
              </w:rPr>
              <w:t>проєкту</w:t>
            </w:r>
            <w:proofErr w:type="spellEnd"/>
            <w:r w:rsidRPr="001916D0">
              <w:rPr>
                <w:b/>
                <w:sz w:val="22"/>
                <w:lang w:val="uk-UA"/>
              </w:rPr>
              <w:t xml:space="preserve"> </w:t>
            </w:r>
          </w:p>
        </w:tc>
        <w:tc>
          <w:tcPr>
            <w:tcW w:w="6945" w:type="dxa"/>
            <w:gridSpan w:val="7"/>
          </w:tcPr>
          <w:p w:rsidR="00E95FB1" w:rsidRPr="001916D0" w:rsidRDefault="00E95FB1" w:rsidP="001B3967">
            <w:pPr>
              <w:pStyle w:val="a7"/>
              <w:ind w:left="0"/>
              <w:rPr>
                <w:sz w:val="22"/>
                <w:lang w:val="uk-UA"/>
              </w:rPr>
            </w:pPr>
            <w:r w:rsidRPr="001916D0">
              <w:rPr>
                <w:sz w:val="22"/>
                <w:lang w:val="uk-UA"/>
              </w:rPr>
              <w:t xml:space="preserve">Відновити та покращити роботу комунального підприємства «Сєвєродонецьке підприємство благоустрою та ритуальної служби» для надання широкого спектру послуг, пов’язаних з похованням, </w:t>
            </w:r>
            <w:proofErr w:type="spellStart"/>
            <w:r w:rsidRPr="001916D0">
              <w:rPr>
                <w:sz w:val="22"/>
                <w:lang w:val="uk-UA"/>
              </w:rPr>
              <w:t>благоустроєм</w:t>
            </w:r>
            <w:proofErr w:type="spellEnd"/>
            <w:r w:rsidRPr="001916D0">
              <w:rPr>
                <w:sz w:val="22"/>
                <w:lang w:val="uk-UA"/>
              </w:rPr>
              <w:t xml:space="preserve"> та утриманням кладовищ та задоволення потреб мешканців Сєвєродонецької міської територіальної громади у необхідних послугах.</w:t>
            </w:r>
          </w:p>
        </w:tc>
      </w:tr>
      <w:tr w:rsidR="00E95FB1" w:rsidRPr="001916D0" w:rsidTr="001B3967">
        <w:tc>
          <w:tcPr>
            <w:tcW w:w="2978"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Територія, на яку матиме вплив реалізація проекту </w:t>
            </w:r>
          </w:p>
        </w:tc>
        <w:tc>
          <w:tcPr>
            <w:tcW w:w="6945" w:type="dxa"/>
            <w:gridSpan w:val="7"/>
          </w:tcPr>
          <w:p w:rsidR="00E95FB1" w:rsidRPr="001916D0" w:rsidRDefault="00E95FB1" w:rsidP="001B3967">
            <w:pPr>
              <w:pStyle w:val="a7"/>
              <w:ind w:left="0"/>
              <w:rPr>
                <w:sz w:val="22"/>
                <w:lang w:val="uk-UA"/>
              </w:rPr>
            </w:pPr>
            <w:r w:rsidRPr="001916D0">
              <w:rPr>
                <w:sz w:val="22"/>
                <w:lang w:val="uk-UA"/>
              </w:rPr>
              <w:t>Сєвєродонецька міська територіальна громада</w:t>
            </w:r>
          </w:p>
        </w:tc>
      </w:tr>
      <w:tr w:rsidR="00E95FB1" w:rsidRPr="001916D0" w:rsidTr="001B3967">
        <w:tc>
          <w:tcPr>
            <w:tcW w:w="2978"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Чисельність населення на яке матиме вплив реалізація </w:t>
            </w:r>
            <w:proofErr w:type="spellStart"/>
            <w:r w:rsidRPr="001916D0">
              <w:rPr>
                <w:b/>
                <w:sz w:val="22"/>
                <w:lang w:val="uk-UA"/>
              </w:rPr>
              <w:t>проєкту</w:t>
            </w:r>
            <w:proofErr w:type="spellEnd"/>
          </w:p>
        </w:tc>
        <w:tc>
          <w:tcPr>
            <w:tcW w:w="6945" w:type="dxa"/>
            <w:gridSpan w:val="7"/>
          </w:tcPr>
          <w:p w:rsidR="00E95FB1" w:rsidRPr="001916D0" w:rsidRDefault="00E95FB1" w:rsidP="001B3967">
            <w:pPr>
              <w:pStyle w:val="a7"/>
              <w:ind w:left="0"/>
              <w:rPr>
                <w:sz w:val="22"/>
                <w:lang w:val="uk-UA"/>
              </w:rPr>
            </w:pPr>
            <w:r w:rsidRPr="001916D0">
              <w:rPr>
                <w:sz w:val="22"/>
                <w:lang w:val="uk-UA"/>
              </w:rPr>
              <w:t xml:space="preserve">70 000 осіб </w:t>
            </w:r>
          </w:p>
        </w:tc>
      </w:tr>
      <w:tr w:rsidR="00E95FB1" w:rsidRPr="001916D0" w:rsidTr="001B3967">
        <w:tc>
          <w:tcPr>
            <w:tcW w:w="2978" w:type="dxa"/>
            <w:shd w:val="clear" w:color="auto" w:fill="C6D9F1" w:themeFill="text2" w:themeFillTint="33"/>
          </w:tcPr>
          <w:p w:rsidR="00E95FB1" w:rsidRPr="001916D0" w:rsidRDefault="00E95FB1" w:rsidP="001B3967">
            <w:pPr>
              <w:rPr>
                <w:b/>
                <w:sz w:val="22"/>
                <w:lang w:val="uk-UA"/>
              </w:rPr>
            </w:pPr>
            <w:r w:rsidRPr="001916D0">
              <w:rPr>
                <w:b/>
                <w:sz w:val="22"/>
                <w:lang w:val="uk-UA"/>
              </w:rPr>
              <w:t xml:space="preserve">Опис проблеми, на вирішення якої  спрямований </w:t>
            </w:r>
            <w:proofErr w:type="spellStart"/>
            <w:r w:rsidRPr="001916D0">
              <w:rPr>
                <w:b/>
                <w:sz w:val="22"/>
                <w:lang w:val="uk-UA"/>
              </w:rPr>
              <w:t>проєкт</w:t>
            </w:r>
            <w:proofErr w:type="spellEnd"/>
            <w:r w:rsidRPr="001916D0">
              <w:rPr>
                <w:b/>
                <w:sz w:val="22"/>
                <w:lang w:val="uk-UA"/>
              </w:rPr>
              <w:t xml:space="preserve"> </w:t>
            </w:r>
          </w:p>
        </w:tc>
        <w:tc>
          <w:tcPr>
            <w:tcW w:w="6945" w:type="dxa"/>
            <w:gridSpan w:val="7"/>
          </w:tcPr>
          <w:p w:rsidR="00E95FB1" w:rsidRPr="001916D0" w:rsidRDefault="00E95FB1" w:rsidP="001B3967">
            <w:pPr>
              <w:pStyle w:val="a7"/>
              <w:ind w:left="0"/>
              <w:rPr>
                <w:sz w:val="22"/>
                <w:lang w:val="uk-UA"/>
              </w:rPr>
            </w:pPr>
            <w:r w:rsidRPr="001916D0">
              <w:rPr>
                <w:sz w:val="22"/>
                <w:lang w:val="uk-UA"/>
              </w:rPr>
              <w:t>Через військову агресію РФ територія Сєвєродонецької міської територіальної громади зазнала значних пошкоджень. Не оминуло це і комунальне підприємство «Сєвєродонецьке підприємство благоустрою та ритуальної служби».</w:t>
            </w:r>
          </w:p>
          <w:p w:rsidR="00E95FB1" w:rsidRPr="001916D0" w:rsidRDefault="00E95FB1" w:rsidP="001B3967">
            <w:pPr>
              <w:pStyle w:val="a7"/>
              <w:ind w:left="0"/>
              <w:rPr>
                <w:sz w:val="22"/>
                <w:lang w:val="uk-UA"/>
              </w:rPr>
            </w:pPr>
            <w:r w:rsidRPr="001916D0">
              <w:rPr>
                <w:sz w:val="22"/>
                <w:lang w:val="uk-UA"/>
              </w:rPr>
              <w:t xml:space="preserve">Адміністративне приміщення, розташоване на першому поверсі двоповерхової будівля, розташоване за </w:t>
            </w:r>
            <w:proofErr w:type="spellStart"/>
            <w:r w:rsidRPr="001916D0">
              <w:rPr>
                <w:sz w:val="22"/>
                <w:lang w:val="uk-UA"/>
              </w:rPr>
              <w:t>адресою</w:t>
            </w:r>
            <w:proofErr w:type="spellEnd"/>
            <w:r w:rsidRPr="001916D0">
              <w:rPr>
                <w:sz w:val="22"/>
                <w:lang w:val="uk-UA"/>
              </w:rPr>
              <w:t xml:space="preserve">: </w:t>
            </w:r>
            <w:proofErr w:type="spellStart"/>
            <w:r w:rsidRPr="001916D0">
              <w:rPr>
                <w:sz w:val="22"/>
                <w:lang w:val="uk-UA"/>
              </w:rPr>
              <w:t>м.Сєвєродонеьцк</w:t>
            </w:r>
            <w:proofErr w:type="spellEnd"/>
            <w:r w:rsidRPr="001916D0">
              <w:rPr>
                <w:sz w:val="22"/>
                <w:lang w:val="uk-UA"/>
              </w:rPr>
              <w:t xml:space="preserve">, </w:t>
            </w:r>
            <w:proofErr w:type="spellStart"/>
            <w:r w:rsidRPr="001916D0">
              <w:rPr>
                <w:sz w:val="22"/>
                <w:lang w:val="uk-UA"/>
              </w:rPr>
              <w:t>вул.Сметаніна</w:t>
            </w:r>
            <w:proofErr w:type="spellEnd"/>
            <w:r w:rsidRPr="001916D0">
              <w:rPr>
                <w:sz w:val="22"/>
                <w:lang w:val="uk-UA"/>
              </w:rPr>
              <w:t>, 1</w:t>
            </w:r>
            <w:r w:rsidR="002E1FF8" w:rsidRPr="001916D0">
              <w:rPr>
                <w:bCs/>
                <w:sz w:val="22"/>
                <w:szCs w:val="22"/>
                <w:lang w:val="uk-UA"/>
              </w:rPr>
              <w:t>,</w:t>
            </w:r>
            <w:r w:rsidRPr="001916D0">
              <w:rPr>
                <w:sz w:val="22"/>
                <w:lang w:val="uk-UA"/>
              </w:rPr>
              <w:t xml:space="preserve"> та приміщення ритуальної служби, розташоване на території міського кладовища в р-ні </w:t>
            </w:r>
            <w:proofErr w:type="spellStart"/>
            <w:r w:rsidRPr="001916D0">
              <w:rPr>
                <w:sz w:val="22"/>
                <w:lang w:val="uk-UA"/>
              </w:rPr>
              <w:t>с.Воронове</w:t>
            </w:r>
            <w:proofErr w:type="spellEnd"/>
            <w:r w:rsidR="002E1FF8" w:rsidRPr="001916D0">
              <w:rPr>
                <w:bCs/>
                <w:sz w:val="22"/>
                <w:szCs w:val="22"/>
                <w:lang w:val="uk-UA"/>
              </w:rPr>
              <w:t>,</w:t>
            </w:r>
            <w:r w:rsidRPr="001916D0">
              <w:rPr>
                <w:sz w:val="22"/>
                <w:lang w:val="uk-UA"/>
              </w:rPr>
              <w:t xml:space="preserve"> зазнали пошкоджень.</w:t>
            </w:r>
          </w:p>
          <w:p w:rsidR="00E95FB1" w:rsidRPr="001916D0" w:rsidRDefault="00E95FB1" w:rsidP="001B3967">
            <w:pPr>
              <w:pStyle w:val="a7"/>
              <w:ind w:left="0"/>
              <w:rPr>
                <w:sz w:val="22"/>
                <w:lang w:val="uk-UA"/>
              </w:rPr>
            </w:pPr>
            <w:r w:rsidRPr="001916D0">
              <w:rPr>
                <w:sz w:val="22"/>
                <w:lang w:val="uk-UA"/>
              </w:rPr>
              <w:t>Вся матеріально-технічна база підприємства, а саме:</w:t>
            </w:r>
          </w:p>
          <w:p w:rsidR="00E95FB1" w:rsidRPr="001916D0" w:rsidRDefault="00E95FB1" w:rsidP="000303D7">
            <w:pPr>
              <w:pStyle w:val="a7"/>
              <w:numPr>
                <w:ilvl w:val="0"/>
                <w:numId w:val="13"/>
              </w:numPr>
              <w:rPr>
                <w:sz w:val="22"/>
                <w:lang w:val="uk-UA"/>
              </w:rPr>
            </w:pPr>
            <w:r w:rsidRPr="001916D0">
              <w:rPr>
                <w:sz w:val="22"/>
                <w:lang w:val="uk-UA"/>
              </w:rPr>
              <w:t>обладнання (устаткування);</w:t>
            </w:r>
          </w:p>
          <w:p w:rsidR="00E95FB1" w:rsidRPr="001916D0" w:rsidRDefault="00E95FB1" w:rsidP="000303D7">
            <w:pPr>
              <w:pStyle w:val="a7"/>
              <w:numPr>
                <w:ilvl w:val="0"/>
                <w:numId w:val="13"/>
              </w:numPr>
              <w:rPr>
                <w:sz w:val="22"/>
                <w:lang w:val="uk-UA"/>
              </w:rPr>
            </w:pPr>
            <w:r w:rsidRPr="001916D0">
              <w:rPr>
                <w:sz w:val="22"/>
                <w:lang w:val="uk-UA"/>
              </w:rPr>
              <w:t>комп’ютерна техніка;</w:t>
            </w:r>
          </w:p>
          <w:p w:rsidR="00E95FB1" w:rsidRPr="001916D0" w:rsidRDefault="00E95FB1" w:rsidP="000303D7">
            <w:pPr>
              <w:pStyle w:val="a7"/>
              <w:numPr>
                <w:ilvl w:val="0"/>
                <w:numId w:val="13"/>
              </w:numPr>
              <w:rPr>
                <w:sz w:val="22"/>
                <w:lang w:val="uk-UA"/>
              </w:rPr>
            </w:pPr>
            <w:r w:rsidRPr="001916D0">
              <w:rPr>
                <w:sz w:val="22"/>
                <w:lang w:val="uk-UA"/>
              </w:rPr>
              <w:lastRenderedPageBreak/>
              <w:t>інша оргтехніка (монітори, принтери, БФП, тощо)</w:t>
            </w:r>
          </w:p>
          <w:p w:rsidR="00E95FB1" w:rsidRPr="001916D0" w:rsidRDefault="00E95FB1" w:rsidP="000303D7">
            <w:pPr>
              <w:pStyle w:val="a7"/>
              <w:numPr>
                <w:ilvl w:val="0"/>
                <w:numId w:val="13"/>
              </w:numPr>
              <w:rPr>
                <w:sz w:val="22"/>
                <w:lang w:val="uk-UA"/>
              </w:rPr>
            </w:pPr>
            <w:r w:rsidRPr="001916D0">
              <w:rPr>
                <w:sz w:val="22"/>
                <w:lang w:val="uk-UA"/>
              </w:rPr>
              <w:t>основні засоби (меблі, сейф, автотранспорт) були знищені або викрадені.</w:t>
            </w:r>
          </w:p>
        </w:tc>
      </w:tr>
      <w:tr w:rsidR="00E95FB1" w:rsidRPr="001916D0" w:rsidTr="001B3967">
        <w:tc>
          <w:tcPr>
            <w:tcW w:w="2978"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lastRenderedPageBreak/>
              <w:t xml:space="preserve">Очікувані якісні результати від реалізації </w:t>
            </w:r>
            <w:proofErr w:type="spellStart"/>
            <w:r w:rsidRPr="001916D0">
              <w:rPr>
                <w:b/>
                <w:sz w:val="22"/>
                <w:lang w:val="uk-UA"/>
              </w:rPr>
              <w:t>проєкту</w:t>
            </w:r>
            <w:proofErr w:type="spellEnd"/>
            <w:r w:rsidRPr="001916D0">
              <w:rPr>
                <w:b/>
                <w:sz w:val="22"/>
                <w:lang w:val="uk-UA"/>
              </w:rPr>
              <w:t xml:space="preserve"> </w:t>
            </w:r>
          </w:p>
        </w:tc>
        <w:tc>
          <w:tcPr>
            <w:tcW w:w="6945" w:type="dxa"/>
            <w:gridSpan w:val="7"/>
          </w:tcPr>
          <w:p w:rsidR="00E95FB1" w:rsidRPr="001916D0" w:rsidRDefault="00E95FB1" w:rsidP="001B3967">
            <w:pPr>
              <w:pStyle w:val="a7"/>
              <w:ind w:left="0"/>
              <w:rPr>
                <w:sz w:val="22"/>
                <w:lang w:val="uk-UA"/>
              </w:rPr>
            </w:pPr>
            <w:r w:rsidRPr="001916D0">
              <w:rPr>
                <w:sz w:val="22"/>
                <w:lang w:val="uk-UA"/>
              </w:rPr>
              <w:t>- забезпечення населення можливостями для реалізації його конституційних прав</w:t>
            </w:r>
            <w:r w:rsidR="002E1FF8" w:rsidRPr="001916D0">
              <w:rPr>
                <w:bCs/>
                <w:sz w:val="22"/>
                <w:szCs w:val="22"/>
                <w:lang w:val="uk-UA"/>
              </w:rPr>
              <w:t>,</w:t>
            </w:r>
            <w:r w:rsidRPr="001916D0">
              <w:rPr>
                <w:sz w:val="22"/>
                <w:lang w:val="uk-UA"/>
              </w:rPr>
              <w:t xml:space="preserve"> пов’язаних із похованням;</w:t>
            </w:r>
          </w:p>
          <w:p w:rsidR="00E95FB1" w:rsidRPr="001916D0" w:rsidRDefault="00E95FB1" w:rsidP="001B3967">
            <w:pPr>
              <w:pStyle w:val="a7"/>
              <w:ind w:left="0"/>
              <w:rPr>
                <w:sz w:val="22"/>
                <w:lang w:val="uk-UA"/>
              </w:rPr>
            </w:pPr>
            <w:r w:rsidRPr="001916D0">
              <w:rPr>
                <w:sz w:val="22"/>
                <w:lang w:val="uk-UA"/>
              </w:rPr>
              <w:t>- надання широкого спектру послуг</w:t>
            </w:r>
            <w:r w:rsidR="002E1FF8" w:rsidRPr="001916D0">
              <w:rPr>
                <w:bCs/>
                <w:sz w:val="22"/>
                <w:szCs w:val="22"/>
                <w:lang w:val="uk-UA"/>
              </w:rPr>
              <w:t>,</w:t>
            </w:r>
            <w:r w:rsidRPr="001916D0">
              <w:rPr>
                <w:sz w:val="22"/>
                <w:lang w:val="uk-UA"/>
              </w:rPr>
              <w:t xml:space="preserve"> пов’язаних з похованням, </w:t>
            </w:r>
            <w:proofErr w:type="spellStart"/>
            <w:r w:rsidRPr="001916D0">
              <w:rPr>
                <w:sz w:val="22"/>
                <w:lang w:val="uk-UA"/>
              </w:rPr>
              <w:t>благоустроєм</w:t>
            </w:r>
            <w:proofErr w:type="spellEnd"/>
            <w:r w:rsidRPr="001916D0">
              <w:rPr>
                <w:sz w:val="22"/>
                <w:lang w:val="uk-UA"/>
              </w:rPr>
              <w:t xml:space="preserve"> та утриманням кладовищ;</w:t>
            </w:r>
          </w:p>
          <w:p w:rsidR="00E95FB1" w:rsidRPr="001916D0" w:rsidRDefault="00E95FB1" w:rsidP="001B3967">
            <w:pPr>
              <w:pStyle w:val="a7"/>
              <w:ind w:left="0"/>
              <w:rPr>
                <w:sz w:val="22"/>
                <w:lang w:val="uk-UA"/>
              </w:rPr>
            </w:pPr>
            <w:r w:rsidRPr="001916D0">
              <w:rPr>
                <w:sz w:val="22"/>
                <w:lang w:val="uk-UA"/>
              </w:rPr>
              <w:t>- вирішення ряду питань в межах статутної діяльності, пов’язаних із відбудовою громади;</w:t>
            </w:r>
          </w:p>
          <w:p w:rsidR="00E95FB1" w:rsidRPr="001916D0" w:rsidRDefault="00E95FB1" w:rsidP="001B3967">
            <w:pPr>
              <w:pStyle w:val="a7"/>
              <w:ind w:left="0"/>
              <w:rPr>
                <w:sz w:val="22"/>
                <w:lang w:val="uk-UA"/>
              </w:rPr>
            </w:pPr>
            <w:r w:rsidRPr="001916D0">
              <w:rPr>
                <w:sz w:val="22"/>
                <w:lang w:val="uk-UA"/>
              </w:rPr>
              <w:t>- створення нових робочих місць;</w:t>
            </w:r>
          </w:p>
          <w:p w:rsidR="00E95FB1" w:rsidRPr="001916D0" w:rsidRDefault="00E95FB1" w:rsidP="001B3967">
            <w:pPr>
              <w:pStyle w:val="a7"/>
              <w:ind w:left="0"/>
              <w:rPr>
                <w:sz w:val="22"/>
                <w:lang w:val="uk-UA"/>
              </w:rPr>
            </w:pPr>
            <w:r w:rsidRPr="001916D0">
              <w:rPr>
                <w:sz w:val="22"/>
                <w:lang w:val="uk-UA"/>
              </w:rPr>
              <w:t>- стимул до повернення ВПО до громади;</w:t>
            </w:r>
          </w:p>
        </w:tc>
      </w:tr>
      <w:tr w:rsidR="00E95FB1" w:rsidRPr="001916D0" w:rsidTr="001B3967">
        <w:trPr>
          <w:trHeight w:val="390"/>
        </w:trPr>
        <w:tc>
          <w:tcPr>
            <w:tcW w:w="2978"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Очікувані кількісні результати реалізації </w:t>
            </w:r>
            <w:proofErr w:type="spellStart"/>
            <w:r w:rsidRPr="001916D0">
              <w:rPr>
                <w:b/>
                <w:sz w:val="22"/>
                <w:lang w:val="uk-UA"/>
              </w:rPr>
              <w:t>проєкту</w:t>
            </w:r>
            <w:proofErr w:type="spellEnd"/>
            <w:r w:rsidRPr="001916D0">
              <w:rPr>
                <w:b/>
                <w:sz w:val="22"/>
                <w:lang w:val="uk-UA"/>
              </w:rPr>
              <w:t xml:space="preserve"> (індикатори)</w:t>
            </w:r>
          </w:p>
          <w:p w:rsidR="00E95FB1" w:rsidRPr="001916D0" w:rsidRDefault="00E95FB1" w:rsidP="001B3967">
            <w:pPr>
              <w:pStyle w:val="a7"/>
              <w:ind w:left="0"/>
              <w:rPr>
                <w:b/>
                <w:sz w:val="22"/>
                <w:lang w:val="uk-UA"/>
              </w:rPr>
            </w:pPr>
          </w:p>
        </w:tc>
        <w:tc>
          <w:tcPr>
            <w:tcW w:w="3118" w:type="dxa"/>
            <w:gridSpan w:val="3"/>
            <w:tcBorders>
              <w:bottom w:val="single" w:sz="4" w:space="0" w:color="auto"/>
              <w:right w:val="single" w:sz="4" w:space="0" w:color="auto"/>
            </w:tcBorders>
          </w:tcPr>
          <w:p w:rsidR="00E95FB1" w:rsidRPr="001916D0" w:rsidRDefault="00E95FB1" w:rsidP="001B3967">
            <w:pPr>
              <w:pStyle w:val="a7"/>
              <w:ind w:left="-108"/>
              <w:jc w:val="center"/>
              <w:rPr>
                <w:b/>
                <w:sz w:val="22"/>
                <w:lang w:val="uk-UA"/>
              </w:rPr>
            </w:pPr>
            <w:r w:rsidRPr="001916D0">
              <w:rPr>
                <w:b/>
                <w:sz w:val="22"/>
                <w:lang w:val="uk-UA"/>
              </w:rPr>
              <w:t>Найменування показника</w:t>
            </w:r>
          </w:p>
        </w:tc>
        <w:tc>
          <w:tcPr>
            <w:tcW w:w="1843" w:type="dxa"/>
            <w:gridSpan w:val="2"/>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Одиниця вимірювання</w:t>
            </w:r>
          </w:p>
          <w:p w:rsidR="00E95FB1" w:rsidRPr="001916D0" w:rsidRDefault="00E95FB1" w:rsidP="001B3967">
            <w:pPr>
              <w:pStyle w:val="a7"/>
              <w:ind w:left="0"/>
              <w:rPr>
                <w:b/>
                <w:sz w:val="22"/>
                <w:lang w:val="uk-UA"/>
              </w:rPr>
            </w:pPr>
          </w:p>
        </w:tc>
        <w:tc>
          <w:tcPr>
            <w:tcW w:w="1984" w:type="dxa"/>
            <w:gridSpan w:val="2"/>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Прогнозне (цільове) значення</w:t>
            </w:r>
          </w:p>
        </w:tc>
      </w:tr>
      <w:tr w:rsidR="00E95FB1" w:rsidRPr="001916D0" w:rsidTr="001B3967">
        <w:trPr>
          <w:trHeight w:val="585"/>
        </w:trPr>
        <w:tc>
          <w:tcPr>
            <w:tcW w:w="2978" w:type="dxa"/>
            <w:vMerge/>
            <w:shd w:val="clear" w:color="auto" w:fill="C6D9F1" w:themeFill="text2" w:themeFillTint="33"/>
          </w:tcPr>
          <w:p w:rsidR="00E95FB1" w:rsidRPr="001916D0" w:rsidRDefault="00E95FB1" w:rsidP="001B3967">
            <w:pPr>
              <w:pStyle w:val="a7"/>
              <w:ind w:left="0"/>
              <w:rPr>
                <w:b/>
                <w:sz w:val="22"/>
                <w:lang w:val="uk-UA"/>
              </w:rPr>
            </w:pPr>
          </w:p>
        </w:tc>
        <w:tc>
          <w:tcPr>
            <w:tcW w:w="3118"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Кількість населення, яке звернулось за послугами протягом року</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осіб</w:t>
            </w:r>
          </w:p>
        </w:tc>
        <w:tc>
          <w:tcPr>
            <w:tcW w:w="1984" w:type="dxa"/>
            <w:gridSpan w:val="2"/>
            <w:tcBorders>
              <w:top w:val="single" w:sz="4" w:space="0" w:color="auto"/>
              <w:left w:val="single" w:sz="4" w:space="0" w:color="auto"/>
              <w:bottom w:val="single" w:sz="4" w:space="0" w:color="auto"/>
            </w:tcBorders>
            <w:vAlign w:val="center"/>
          </w:tcPr>
          <w:p w:rsidR="00E95FB1" w:rsidRPr="001916D0" w:rsidRDefault="00E95FB1" w:rsidP="001B3967">
            <w:pPr>
              <w:pStyle w:val="a7"/>
              <w:ind w:left="0"/>
              <w:jc w:val="center"/>
              <w:rPr>
                <w:b/>
                <w:sz w:val="22"/>
                <w:lang w:val="uk-UA"/>
              </w:rPr>
            </w:pPr>
            <w:r w:rsidRPr="001916D0">
              <w:rPr>
                <w:sz w:val="22"/>
                <w:lang w:val="uk-UA"/>
              </w:rPr>
              <w:t>2000</w:t>
            </w:r>
          </w:p>
        </w:tc>
      </w:tr>
      <w:tr w:rsidR="00E95FB1" w:rsidRPr="001916D0" w:rsidTr="001B3967">
        <w:trPr>
          <w:trHeight w:val="184"/>
        </w:trPr>
        <w:tc>
          <w:tcPr>
            <w:tcW w:w="2978" w:type="dxa"/>
            <w:vMerge/>
            <w:shd w:val="clear" w:color="auto" w:fill="C6D9F1" w:themeFill="text2" w:themeFillTint="33"/>
          </w:tcPr>
          <w:p w:rsidR="00E95FB1" w:rsidRPr="001916D0" w:rsidRDefault="00E95FB1" w:rsidP="001B3967">
            <w:pPr>
              <w:pStyle w:val="a7"/>
              <w:ind w:left="0"/>
              <w:rPr>
                <w:b/>
                <w:sz w:val="22"/>
                <w:lang w:val="uk-UA"/>
              </w:rPr>
            </w:pPr>
          </w:p>
        </w:tc>
        <w:tc>
          <w:tcPr>
            <w:tcW w:w="3118"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Кількість видів та типів послуг</w:t>
            </w:r>
            <w:r w:rsidR="002E1FF8" w:rsidRPr="001916D0">
              <w:rPr>
                <w:bCs/>
                <w:sz w:val="22"/>
                <w:szCs w:val="22"/>
                <w:lang w:val="uk-UA"/>
              </w:rPr>
              <w:t>,</w:t>
            </w:r>
            <w:r w:rsidRPr="001916D0">
              <w:rPr>
                <w:sz w:val="22"/>
                <w:lang w:val="uk-UA"/>
              </w:rPr>
              <w:t xml:space="preserve"> наданих протягом одного робочого дня</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984" w:type="dxa"/>
            <w:gridSpan w:val="2"/>
            <w:tcBorders>
              <w:top w:val="single" w:sz="4" w:space="0" w:color="auto"/>
              <w:left w:val="single" w:sz="4" w:space="0" w:color="auto"/>
              <w:bottom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10</w:t>
            </w:r>
          </w:p>
        </w:tc>
      </w:tr>
      <w:tr w:rsidR="00E95FB1" w:rsidRPr="001916D0" w:rsidTr="001B3967">
        <w:trPr>
          <w:trHeight w:val="165"/>
        </w:trPr>
        <w:tc>
          <w:tcPr>
            <w:tcW w:w="2978" w:type="dxa"/>
            <w:vMerge/>
            <w:shd w:val="clear" w:color="auto" w:fill="C6D9F1" w:themeFill="text2" w:themeFillTint="33"/>
          </w:tcPr>
          <w:p w:rsidR="00E95FB1" w:rsidRPr="001916D0" w:rsidRDefault="00E95FB1" w:rsidP="001B3967">
            <w:pPr>
              <w:pStyle w:val="a7"/>
              <w:ind w:left="0"/>
              <w:rPr>
                <w:b/>
                <w:sz w:val="22"/>
                <w:lang w:val="uk-UA"/>
              </w:rPr>
            </w:pPr>
          </w:p>
        </w:tc>
        <w:tc>
          <w:tcPr>
            <w:tcW w:w="3118"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Середня вартість послуг</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грн.</w:t>
            </w:r>
          </w:p>
        </w:tc>
        <w:tc>
          <w:tcPr>
            <w:tcW w:w="1984" w:type="dxa"/>
            <w:gridSpan w:val="2"/>
            <w:tcBorders>
              <w:top w:val="single" w:sz="4" w:space="0" w:color="auto"/>
              <w:left w:val="single" w:sz="4" w:space="0" w:color="auto"/>
              <w:bottom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500,00</w:t>
            </w:r>
          </w:p>
        </w:tc>
      </w:tr>
      <w:tr w:rsidR="00E95FB1" w:rsidRPr="001916D0" w:rsidTr="001B3967">
        <w:trPr>
          <w:trHeight w:val="150"/>
        </w:trPr>
        <w:tc>
          <w:tcPr>
            <w:tcW w:w="2978" w:type="dxa"/>
            <w:vMerge/>
            <w:shd w:val="clear" w:color="auto" w:fill="C6D9F1" w:themeFill="text2" w:themeFillTint="33"/>
          </w:tcPr>
          <w:p w:rsidR="00E95FB1" w:rsidRPr="001916D0" w:rsidRDefault="00E95FB1" w:rsidP="001B3967">
            <w:pPr>
              <w:pStyle w:val="a7"/>
              <w:ind w:left="0"/>
              <w:rPr>
                <w:b/>
                <w:sz w:val="22"/>
                <w:lang w:val="uk-UA"/>
              </w:rPr>
            </w:pPr>
          </w:p>
        </w:tc>
        <w:tc>
          <w:tcPr>
            <w:tcW w:w="3118"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Термін надання послуги</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день</w:t>
            </w:r>
          </w:p>
        </w:tc>
        <w:tc>
          <w:tcPr>
            <w:tcW w:w="1984" w:type="dxa"/>
            <w:gridSpan w:val="2"/>
            <w:tcBorders>
              <w:top w:val="single" w:sz="4" w:space="0" w:color="auto"/>
              <w:lef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rPr>
          <w:trHeight w:val="150"/>
        </w:trPr>
        <w:tc>
          <w:tcPr>
            <w:tcW w:w="2978" w:type="dxa"/>
            <w:shd w:val="clear" w:color="auto" w:fill="C6D9F1" w:themeFill="text2" w:themeFillTint="33"/>
          </w:tcPr>
          <w:p w:rsidR="00E95FB1" w:rsidRPr="001916D0" w:rsidRDefault="00E95FB1" w:rsidP="001B3967">
            <w:pPr>
              <w:pStyle w:val="a7"/>
              <w:ind w:left="0"/>
              <w:rPr>
                <w:b/>
                <w:sz w:val="22"/>
                <w:lang w:val="uk-UA"/>
              </w:rPr>
            </w:pPr>
          </w:p>
        </w:tc>
        <w:tc>
          <w:tcPr>
            <w:tcW w:w="3118" w:type="dxa"/>
            <w:gridSpan w:val="3"/>
            <w:tcBorders>
              <w:top w:val="single" w:sz="4" w:space="0" w:color="auto"/>
              <w:right w:val="single" w:sz="4" w:space="0" w:color="auto"/>
            </w:tcBorders>
          </w:tcPr>
          <w:p w:rsidR="00E95FB1" w:rsidRPr="001916D0" w:rsidRDefault="00E95FB1" w:rsidP="002E1FF8">
            <w:pPr>
              <w:pStyle w:val="a7"/>
              <w:ind w:left="0"/>
              <w:jc w:val="center"/>
              <w:rPr>
                <w:sz w:val="22"/>
                <w:lang w:val="uk-UA"/>
              </w:rPr>
            </w:pPr>
            <w:r w:rsidRPr="001916D0">
              <w:rPr>
                <w:sz w:val="22"/>
                <w:lang w:val="uk-UA"/>
              </w:rPr>
              <w:t xml:space="preserve">Кількість населених пунктів, </w:t>
            </w:r>
            <w:r w:rsidRPr="001916D0">
              <w:rPr>
                <w:bCs/>
                <w:sz w:val="22"/>
                <w:szCs w:val="22"/>
                <w:lang w:val="uk-UA"/>
              </w:rPr>
              <w:t>як</w:t>
            </w:r>
            <w:r w:rsidR="002E1FF8" w:rsidRPr="001916D0">
              <w:rPr>
                <w:bCs/>
                <w:sz w:val="22"/>
                <w:szCs w:val="22"/>
                <w:lang w:val="uk-UA"/>
              </w:rPr>
              <w:t>і</w:t>
            </w:r>
            <w:r w:rsidRPr="001916D0">
              <w:rPr>
                <w:sz w:val="22"/>
                <w:lang w:val="uk-UA"/>
              </w:rPr>
              <w:t xml:space="preserve"> обслуговує підприємство</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984" w:type="dxa"/>
            <w:gridSpan w:val="2"/>
            <w:tcBorders>
              <w:top w:val="single" w:sz="4" w:space="0" w:color="auto"/>
              <w:lef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5</w:t>
            </w:r>
          </w:p>
        </w:tc>
      </w:tr>
      <w:tr w:rsidR="00E95FB1" w:rsidRPr="001916D0" w:rsidTr="001B3967">
        <w:tc>
          <w:tcPr>
            <w:tcW w:w="2978" w:type="dxa"/>
            <w:shd w:val="clear" w:color="auto" w:fill="C6D9F1" w:themeFill="text2" w:themeFillTint="33"/>
          </w:tcPr>
          <w:p w:rsidR="00E95FB1" w:rsidRPr="001916D0" w:rsidRDefault="00E95FB1" w:rsidP="001B3967">
            <w:pPr>
              <w:rPr>
                <w:b/>
                <w:sz w:val="22"/>
                <w:lang w:val="uk-UA"/>
              </w:rPr>
            </w:pPr>
            <w:r w:rsidRPr="001916D0">
              <w:rPr>
                <w:b/>
                <w:sz w:val="22"/>
                <w:lang w:val="uk-UA"/>
              </w:rPr>
              <w:t xml:space="preserve">Ключові заходи проекту: </w:t>
            </w:r>
          </w:p>
          <w:p w:rsidR="00E95FB1" w:rsidRPr="001916D0" w:rsidRDefault="00E95FB1" w:rsidP="001B3967">
            <w:pPr>
              <w:pStyle w:val="a7"/>
              <w:ind w:left="0"/>
              <w:rPr>
                <w:b/>
                <w:sz w:val="22"/>
                <w:lang w:val="uk-UA"/>
              </w:rPr>
            </w:pPr>
          </w:p>
        </w:tc>
        <w:tc>
          <w:tcPr>
            <w:tcW w:w="6945" w:type="dxa"/>
            <w:gridSpan w:val="7"/>
          </w:tcPr>
          <w:p w:rsidR="00E95FB1" w:rsidRPr="001916D0" w:rsidRDefault="00E95FB1" w:rsidP="001B3967">
            <w:pPr>
              <w:pStyle w:val="a7"/>
              <w:ind w:left="0"/>
              <w:rPr>
                <w:sz w:val="22"/>
                <w:lang w:val="uk-UA"/>
              </w:rPr>
            </w:pPr>
            <w:r w:rsidRPr="001916D0">
              <w:rPr>
                <w:sz w:val="22"/>
                <w:lang w:val="uk-UA"/>
              </w:rPr>
              <w:t>- обстеження стану будівель;</w:t>
            </w:r>
          </w:p>
          <w:p w:rsidR="00E95FB1" w:rsidRPr="001916D0" w:rsidRDefault="00E95FB1" w:rsidP="001B3967">
            <w:pPr>
              <w:pStyle w:val="a7"/>
              <w:ind w:left="0"/>
              <w:rPr>
                <w:sz w:val="22"/>
                <w:lang w:val="uk-UA"/>
              </w:rPr>
            </w:pPr>
            <w:r w:rsidRPr="001916D0">
              <w:rPr>
                <w:sz w:val="22"/>
                <w:lang w:val="uk-UA"/>
              </w:rPr>
              <w:t>- проведення інвентаризації основних засобів;</w:t>
            </w:r>
          </w:p>
          <w:p w:rsidR="00E95FB1" w:rsidRPr="001916D0" w:rsidRDefault="00E95FB1" w:rsidP="001B3967">
            <w:pPr>
              <w:pStyle w:val="a7"/>
              <w:ind w:left="0"/>
              <w:rPr>
                <w:sz w:val="22"/>
                <w:lang w:val="uk-UA"/>
              </w:rPr>
            </w:pPr>
            <w:r w:rsidRPr="001916D0">
              <w:rPr>
                <w:sz w:val="22"/>
                <w:lang w:val="uk-UA"/>
              </w:rPr>
              <w:t xml:space="preserve">- розробка </w:t>
            </w:r>
            <w:proofErr w:type="spellStart"/>
            <w:r w:rsidRPr="001916D0">
              <w:rPr>
                <w:bCs/>
                <w:sz w:val="22"/>
                <w:szCs w:val="22"/>
                <w:lang w:val="uk-UA"/>
              </w:rPr>
              <w:t>про</w:t>
            </w:r>
            <w:r w:rsidR="002E1FF8" w:rsidRPr="001916D0">
              <w:rPr>
                <w:bCs/>
                <w:sz w:val="22"/>
                <w:szCs w:val="22"/>
                <w:lang w:val="uk-UA"/>
              </w:rPr>
              <w:t>є</w:t>
            </w:r>
            <w:r w:rsidRPr="001916D0">
              <w:rPr>
                <w:bCs/>
                <w:sz w:val="22"/>
                <w:szCs w:val="22"/>
                <w:lang w:val="uk-UA"/>
              </w:rPr>
              <w:t>ктно</w:t>
            </w:r>
            <w:proofErr w:type="spellEnd"/>
            <w:r w:rsidRPr="001916D0">
              <w:rPr>
                <w:sz w:val="22"/>
                <w:lang w:val="uk-UA"/>
              </w:rPr>
              <w:t>-кошторисної документації;</w:t>
            </w:r>
          </w:p>
          <w:p w:rsidR="00E95FB1" w:rsidRPr="001916D0" w:rsidRDefault="00E95FB1" w:rsidP="001B3967">
            <w:pPr>
              <w:pStyle w:val="a7"/>
              <w:ind w:left="0"/>
              <w:rPr>
                <w:sz w:val="22"/>
                <w:lang w:val="uk-UA"/>
              </w:rPr>
            </w:pPr>
            <w:r w:rsidRPr="001916D0">
              <w:rPr>
                <w:sz w:val="22"/>
                <w:lang w:val="uk-UA"/>
              </w:rPr>
              <w:t>- придбання технічного та технологічного забезпечення підприємства;</w:t>
            </w:r>
          </w:p>
          <w:p w:rsidR="00E95FB1" w:rsidRPr="001916D0" w:rsidRDefault="00E95FB1" w:rsidP="001B3967">
            <w:pPr>
              <w:pStyle w:val="a7"/>
              <w:ind w:left="0"/>
              <w:rPr>
                <w:sz w:val="22"/>
                <w:lang w:val="uk-UA"/>
              </w:rPr>
            </w:pPr>
            <w:r w:rsidRPr="001916D0">
              <w:rPr>
                <w:sz w:val="22"/>
                <w:lang w:val="uk-UA"/>
              </w:rPr>
              <w:t>- придбання матеріально-технічної бази підприємства;</w:t>
            </w:r>
          </w:p>
          <w:p w:rsidR="00E95FB1" w:rsidRPr="001916D0" w:rsidRDefault="00E95FB1" w:rsidP="001B3967">
            <w:pPr>
              <w:pStyle w:val="a7"/>
              <w:ind w:left="0"/>
              <w:rPr>
                <w:sz w:val="22"/>
                <w:lang w:val="uk-UA"/>
              </w:rPr>
            </w:pPr>
            <w:r w:rsidRPr="001916D0">
              <w:rPr>
                <w:sz w:val="22"/>
                <w:lang w:val="uk-UA"/>
              </w:rPr>
              <w:t>- визначення кількості осіб, які потребують отримання ритуальних послуг;</w:t>
            </w:r>
          </w:p>
          <w:p w:rsidR="00E95FB1" w:rsidRPr="001916D0" w:rsidRDefault="00E95FB1" w:rsidP="001B3967">
            <w:pPr>
              <w:pStyle w:val="a7"/>
              <w:ind w:left="0"/>
              <w:rPr>
                <w:sz w:val="22"/>
                <w:lang w:val="uk-UA"/>
              </w:rPr>
            </w:pPr>
            <w:r w:rsidRPr="001916D0">
              <w:rPr>
                <w:sz w:val="22"/>
                <w:lang w:val="uk-UA"/>
              </w:rPr>
              <w:t>- організація та початок робочого процесу.</w:t>
            </w:r>
          </w:p>
        </w:tc>
      </w:tr>
      <w:tr w:rsidR="00E95FB1" w:rsidRPr="001916D0" w:rsidTr="001B3967">
        <w:trPr>
          <w:trHeight w:val="360"/>
        </w:trPr>
        <w:tc>
          <w:tcPr>
            <w:tcW w:w="2978"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Орієнтовний обсяг та джерела фінансування, тис. грн. </w:t>
            </w:r>
          </w:p>
          <w:p w:rsidR="00E95FB1" w:rsidRPr="001916D0" w:rsidRDefault="00E95FB1" w:rsidP="001B3967">
            <w:pPr>
              <w:pStyle w:val="a7"/>
              <w:ind w:left="0"/>
              <w:rPr>
                <w:b/>
                <w:sz w:val="22"/>
                <w:lang w:val="uk-UA"/>
              </w:rPr>
            </w:pPr>
          </w:p>
        </w:tc>
        <w:tc>
          <w:tcPr>
            <w:tcW w:w="1619"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Державний бюджет</w:t>
            </w:r>
          </w:p>
        </w:tc>
        <w:tc>
          <w:tcPr>
            <w:tcW w:w="1367"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Місцевий бюджет</w:t>
            </w:r>
          </w:p>
        </w:tc>
        <w:tc>
          <w:tcPr>
            <w:tcW w:w="2327" w:type="dxa"/>
            <w:gridSpan w:val="4"/>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Інші джерела</w:t>
            </w:r>
          </w:p>
        </w:tc>
        <w:tc>
          <w:tcPr>
            <w:tcW w:w="1632" w:type="dxa"/>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Всього</w:t>
            </w:r>
          </w:p>
        </w:tc>
      </w:tr>
      <w:tr w:rsidR="00E95FB1" w:rsidRPr="001916D0" w:rsidTr="001B3967">
        <w:trPr>
          <w:trHeight w:val="225"/>
        </w:trPr>
        <w:tc>
          <w:tcPr>
            <w:tcW w:w="2978" w:type="dxa"/>
            <w:vMerge/>
            <w:shd w:val="clear" w:color="auto" w:fill="C6D9F1" w:themeFill="text2" w:themeFillTint="33"/>
          </w:tcPr>
          <w:p w:rsidR="00E95FB1" w:rsidRPr="001916D0" w:rsidRDefault="00E95FB1" w:rsidP="001B3967">
            <w:pPr>
              <w:pStyle w:val="a7"/>
              <w:ind w:left="0"/>
              <w:rPr>
                <w:b/>
                <w:sz w:val="22"/>
                <w:lang w:val="uk-UA"/>
              </w:rPr>
            </w:pPr>
          </w:p>
        </w:tc>
        <w:tc>
          <w:tcPr>
            <w:tcW w:w="1619" w:type="dxa"/>
            <w:vMerge w:val="restart"/>
            <w:tcBorders>
              <w:top w:val="single" w:sz="4" w:space="0" w:color="auto"/>
              <w:right w:val="single" w:sz="4" w:space="0" w:color="auto"/>
            </w:tcBorders>
          </w:tcPr>
          <w:p w:rsidR="00E95FB1" w:rsidRPr="001916D0" w:rsidRDefault="008B1939" w:rsidP="001B3967">
            <w:pPr>
              <w:pStyle w:val="a7"/>
              <w:ind w:left="0"/>
              <w:jc w:val="center"/>
              <w:rPr>
                <w:b/>
                <w:sz w:val="22"/>
                <w:lang w:val="uk-UA"/>
              </w:rPr>
            </w:pPr>
            <w:r w:rsidRPr="001916D0">
              <w:rPr>
                <w:sz w:val="22"/>
                <w:lang w:val="uk-UA"/>
              </w:rPr>
              <w:t>7516,39</w:t>
            </w:r>
          </w:p>
        </w:tc>
        <w:tc>
          <w:tcPr>
            <w:tcW w:w="1367" w:type="dxa"/>
            <w:vMerge w:val="restart"/>
            <w:tcBorders>
              <w:top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w:t>
            </w:r>
          </w:p>
        </w:tc>
        <w:tc>
          <w:tcPr>
            <w:tcW w:w="1116"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Обсяг</w:t>
            </w:r>
          </w:p>
        </w:tc>
        <w:tc>
          <w:tcPr>
            <w:tcW w:w="1211"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Назва джерела</w:t>
            </w:r>
          </w:p>
        </w:tc>
        <w:tc>
          <w:tcPr>
            <w:tcW w:w="1632" w:type="dxa"/>
            <w:vMerge w:val="restart"/>
            <w:tcBorders>
              <w:top w:val="single" w:sz="4" w:space="0" w:color="auto"/>
              <w:left w:val="single" w:sz="4" w:space="0" w:color="auto"/>
            </w:tcBorders>
          </w:tcPr>
          <w:p w:rsidR="00E95FB1" w:rsidRPr="001916D0" w:rsidRDefault="008B1939" w:rsidP="001B3967">
            <w:pPr>
              <w:pStyle w:val="a7"/>
              <w:ind w:left="0"/>
              <w:jc w:val="center"/>
              <w:rPr>
                <w:sz w:val="22"/>
                <w:lang w:val="uk-UA"/>
              </w:rPr>
            </w:pPr>
            <w:r w:rsidRPr="001916D0">
              <w:rPr>
                <w:sz w:val="22"/>
                <w:lang w:val="uk-UA"/>
              </w:rPr>
              <w:t>10737,7</w:t>
            </w:r>
          </w:p>
        </w:tc>
      </w:tr>
      <w:tr w:rsidR="00E95FB1" w:rsidRPr="001916D0" w:rsidTr="001B3967">
        <w:trPr>
          <w:trHeight w:val="300"/>
        </w:trPr>
        <w:tc>
          <w:tcPr>
            <w:tcW w:w="2978" w:type="dxa"/>
            <w:vMerge/>
            <w:shd w:val="clear" w:color="auto" w:fill="C6D9F1" w:themeFill="text2" w:themeFillTint="33"/>
          </w:tcPr>
          <w:p w:rsidR="00E95FB1" w:rsidRPr="001916D0" w:rsidRDefault="00E95FB1" w:rsidP="001B3967">
            <w:pPr>
              <w:pStyle w:val="a7"/>
              <w:ind w:left="0"/>
              <w:rPr>
                <w:b/>
                <w:sz w:val="22"/>
                <w:lang w:val="uk-UA"/>
              </w:rPr>
            </w:pPr>
          </w:p>
        </w:tc>
        <w:tc>
          <w:tcPr>
            <w:tcW w:w="1619" w:type="dxa"/>
            <w:vMerge/>
            <w:tcBorders>
              <w:right w:val="single" w:sz="4" w:space="0" w:color="auto"/>
            </w:tcBorders>
          </w:tcPr>
          <w:p w:rsidR="00E95FB1" w:rsidRPr="001916D0" w:rsidRDefault="00E95FB1" w:rsidP="001B3967">
            <w:pPr>
              <w:pStyle w:val="a7"/>
              <w:ind w:left="0"/>
              <w:jc w:val="center"/>
              <w:rPr>
                <w:sz w:val="22"/>
                <w:lang w:val="uk-UA"/>
              </w:rPr>
            </w:pPr>
          </w:p>
        </w:tc>
        <w:tc>
          <w:tcPr>
            <w:tcW w:w="1367" w:type="dxa"/>
            <w:vMerge/>
            <w:tcBorders>
              <w:right w:val="single" w:sz="4" w:space="0" w:color="auto"/>
            </w:tcBorders>
          </w:tcPr>
          <w:p w:rsidR="00E95FB1" w:rsidRPr="001916D0" w:rsidRDefault="00E95FB1" w:rsidP="001B3967">
            <w:pPr>
              <w:pStyle w:val="a7"/>
              <w:ind w:left="0"/>
              <w:jc w:val="center"/>
              <w:rPr>
                <w:b/>
                <w:sz w:val="22"/>
                <w:lang w:val="uk-UA"/>
              </w:rPr>
            </w:pPr>
          </w:p>
        </w:tc>
        <w:tc>
          <w:tcPr>
            <w:tcW w:w="1116" w:type="dxa"/>
            <w:gridSpan w:val="2"/>
            <w:tcBorders>
              <w:top w:val="single" w:sz="4" w:space="0" w:color="auto"/>
              <w:left w:val="single" w:sz="4" w:space="0" w:color="auto"/>
              <w:right w:val="single" w:sz="4" w:space="0" w:color="auto"/>
            </w:tcBorders>
          </w:tcPr>
          <w:p w:rsidR="00E95FB1" w:rsidRPr="001916D0" w:rsidRDefault="008B1939" w:rsidP="001B3967">
            <w:pPr>
              <w:pStyle w:val="a7"/>
              <w:ind w:left="0"/>
              <w:jc w:val="center"/>
              <w:rPr>
                <w:sz w:val="22"/>
                <w:lang w:val="uk-UA"/>
              </w:rPr>
            </w:pPr>
            <w:r w:rsidRPr="001916D0">
              <w:rPr>
                <w:sz w:val="22"/>
                <w:lang w:val="uk-UA"/>
              </w:rPr>
              <w:t>3221,31</w:t>
            </w:r>
          </w:p>
        </w:tc>
        <w:tc>
          <w:tcPr>
            <w:tcW w:w="1211"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Іноземні інвестори</w:t>
            </w:r>
          </w:p>
        </w:tc>
        <w:tc>
          <w:tcPr>
            <w:tcW w:w="1632" w:type="dxa"/>
            <w:vMerge/>
            <w:tcBorders>
              <w:left w:val="single" w:sz="4" w:space="0" w:color="auto"/>
            </w:tcBorders>
          </w:tcPr>
          <w:p w:rsidR="00E95FB1" w:rsidRPr="001916D0" w:rsidRDefault="00E95FB1" w:rsidP="001B3967">
            <w:pPr>
              <w:pStyle w:val="a7"/>
              <w:ind w:left="0"/>
              <w:jc w:val="center"/>
              <w:rPr>
                <w:sz w:val="22"/>
                <w:lang w:val="uk-UA"/>
              </w:rPr>
            </w:pPr>
          </w:p>
        </w:tc>
      </w:tr>
    </w:tbl>
    <w:p w:rsidR="00E95FB1" w:rsidRPr="001916D0" w:rsidRDefault="00E95FB1" w:rsidP="00E95FB1">
      <w:pPr>
        <w:rPr>
          <w:sz w:val="22"/>
        </w:rPr>
      </w:pPr>
    </w:p>
    <w:p w:rsidR="00E95FB1" w:rsidRPr="001916D0" w:rsidRDefault="00E95FB1" w:rsidP="00E95FB1">
      <w:pPr>
        <w:rPr>
          <w:sz w:val="22"/>
        </w:rPr>
      </w:pPr>
    </w:p>
    <w:p w:rsidR="00E95FB1" w:rsidRPr="001916D0" w:rsidRDefault="00E95FB1" w:rsidP="00E95FB1">
      <w:pPr>
        <w:rPr>
          <w:sz w:val="22"/>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8"/>
        <w:gridCol w:w="1701"/>
        <w:gridCol w:w="1701"/>
        <w:gridCol w:w="1275"/>
        <w:gridCol w:w="488"/>
        <w:gridCol w:w="863"/>
        <w:gridCol w:w="917"/>
      </w:tblGrid>
      <w:tr w:rsidR="00E95FB1" w:rsidRPr="001916D0" w:rsidTr="001B3967">
        <w:tc>
          <w:tcPr>
            <w:tcW w:w="2978" w:type="dxa"/>
            <w:shd w:val="clear" w:color="auto" w:fill="C6D9F1"/>
          </w:tcPr>
          <w:p w:rsidR="00E95FB1" w:rsidRPr="001916D0" w:rsidRDefault="00E95FB1" w:rsidP="001B3967">
            <w:pPr>
              <w:pBdr>
                <w:top w:val="nil"/>
                <w:left w:val="nil"/>
                <w:bottom w:val="nil"/>
                <w:right w:val="nil"/>
                <w:between w:val="nil"/>
              </w:pBdr>
              <w:jc w:val="left"/>
              <w:rPr>
                <w:b/>
                <w:color w:val="000000"/>
                <w:sz w:val="22"/>
              </w:rPr>
            </w:pPr>
            <w:r w:rsidRPr="001916D0">
              <w:rPr>
                <w:b/>
                <w:color w:val="000000"/>
                <w:sz w:val="22"/>
              </w:rPr>
              <w:t>Оперативна ціль/завдання</w:t>
            </w:r>
          </w:p>
        </w:tc>
        <w:tc>
          <w:tcPr>
            <w:tcW w:w="6945" w:type="dxa"/>
            <w:gridSpan w:val="6"/>
            <w:shd w:val="clear" w:color="auto" w:fill="auto"/>
          </w:tcPr>
          <w:p w:rsidR="00E95FB1" w:rsidRPr="001916D0" w:rsidRDefault="00E95FB1" w:rsidP="001B3967">
            <w:pPr>
              <w:pBdr>
                <w:top w:val="nil"/>
                <w:left w:val="nil"/>
                <w:bottom w:val="nil"/>
                <w:right w:val="nil"/>
                <w:between w:val="nil"/>
              </w:pBdr>
              <w:rPr>
                <w:color w:val="000000"/>
                <w:sz w:val="22"/>
              </w:rPr>
            </w:pPr>
            <w:bookmarkStart w:id="56" w:name="_heading=h.gjdgxs" w:colFirst="0" w:colLast="0"/>
            <w:bookmarkEnd w:id="56"/>
            <w:r w:rsidRPr="001916D0">
              <w:rPr>
                <w:color w:val="000000"/>
                <w:sz w:val="22"/>
              </w:rPr>
              <w:t>SMART – трансформація економіки та відновлення інвестиційної привабливості громади. Маркетинг території громади та залучення інвестицій</w:t>
            </w:r>
          </w:p>
        </w:tc>
      </w:tr>
      <w:tr w:rsidR="00E95FB1" w:rsidRPr="001916D0" w:rsidTr="001B3967">
        <w:tc>
          <w:tcPr>
            <w:tcW w:w="2978" w:type="dxa"/>
            <w:shd w:val="clear" w:color="auto" w:fill="C6D9F1"/>
          </w:tcPr>
          <w:p w:rsidR="00E95FB1" w:rsidRPr="001916D0" w:rsidRDefault="00E95FB1" w:rsidP="001B3967">
            <w:pPr>
              <w:pBdr>
                <w:top w:val="nil"/>
                <w:left w:val="nil"/>
                <w:bottom w:val="nil"/>
                <w:right w:val="nil"/>
                <w:between w:val="nil"/>
              </w:pBdr>
              <w:jc w:val="left"/>
              <w:rPr>
                <w:b/>
                <w:color w:val="000000"/>
                <w:sz w:val="22"/>
              </w:rPr>
            </w:pPr>
            <w:r w:rsidRPr="001916D0">
              <w:rPr>
                <w:b/>
                <w:color w:val="000000"/>
                <w:sz w:val="22"/>
              </w:rPr>
              <w:t>Назва проекту:</w:t>
            </w:r>
          </w:p>
        </w:tc>
        <w:tc>
          <w:tcPr>
            <w:tcW w:w="6945" w:type="dxa"/>
            <w:gridSpan w:val="6"/>
          </w:tcPr>
          <w:p w:rsidR="00E95FB1" w:rsidRPr="001916D0" w:rsidRDefault="00E95FB1" w:rsidP="001B3967">
            <w:pPr>
              <w:pBdr>
                <w:top w:val="nil"/>
                <w:left w:val="nil"/>
                <w:bottom w:val="nil"/>
                <w:right w:val="nil"/>
                <w:between w:val="nil"/>
              </w:pBdr>
              <w:rPr>
                <w:color w:val="000000"/>
                <w:sz w:val="22"/>
              </w:rPr>
            </w:pPr>
            <w:r w:rsidRPr="001916D0">
              <w:rPr>
                <w:color w:val="000000"/>
                <w:sz w:val="22"/>
              </w:rPr>
              <w:t>Відновлення діяльності комунального підприємства «Землевпорядник» Сєвєродонецької міської ради</w:t>
            </w:r>
          </w:p>
        </w:tc>
      </w:tr>
      <w:tr w:rsidR="00E95FB1" w:rsidRPr="001916D0" w:rsidTr="001B3967">
        <w:tc>
          <w:tcPr>
            <w:tcW w:w="2978" w:type="dxa"/>
            <w:shd w:val="clear" w:color="auto" w:fill="C6D9F1"/>
          </w:tcPr>
          <w:p w:rsidR="00E95FB1" w:rsidRPr="001916D0" w:rsidRDefault="00E95FB1" w:rsidP="001B3967">
            <w:pPr>
              <w:jc w:val="left"/>
              <w:rPr>
                <w:b/>
                <w:sz w:val="22"/>
              </w:rPr>
            </w:pPr>
            <w:r w:rsidRPr="001916D0">
              <w:rPr>
                <w:b/>
                <w:sz w:val="22"/>
              </w:rPr>
              <w:t>Ціль проекту</w:t>
            </w:r>
          </w:p>
        </w:tc>
        <w:tc>
          <w:tcPr>
            <w:tcW w:w="6945" w:type="dxa"/>
            <w:gridSpan w:val="6"/>
          </w:tcPr>
          <w:p w:rsidR="00E95FB1" w:rsidRPr="001916D0" w:rsidRDefault="00E95FB1" w:rsidP="001B3967">
            <w:pPr>
              <w:pBdr>
                <w:top w:val="nil"/>
                <w:left w:val="nil"/>
                <w:bottom w:val="nil"/>
                <w:right w:val="nil"/>
                <w:between w:val="nil"/>
              </w:pBdr>
              <w:rPr>
                <w:color w:val="000000"/>
                <w:sz w:val="22"/>
              </w:rPr>
            </w:pPr>
            <w:r w:rsidRPr="001916D0">
              <w:rPr>
                <w:color w:val="000000"/>
                <w:sz w:val="22"/>
              </w:rPr>
              <w:t xml:space="preserve">Відновити та покращити роботу комунального підприємства «Землевпорядник» Сєвєродонецької міської ради на </w:t>
            </w:r>
            <w:proofErr w:type="spellStart"/>
            <w:r w:rsidRPr="001916D0">
              <w:rPr>
                <w:color w:val="000000"/>
                <w:sz w:val="22"/>
              </w:rPr>
              <w:t>деокупованій</w:t>
            </w:r>
            <w:proofErr w:type="spellEnd"/>
            <w:r w:rsidRPr="001916D0">
              <w:rPr>
                <w:color w:val="000000"/>
                <w:sz w:val="22"/>
              </w:rPr>
              <w:t xml:space="preserve"> території Луганської області для надання широкого спектру послуг, пов’язаних із землевпорядною, геодезичною, консалтинговою діяльністю</w:t>
            </w:r>
          </w:p>
        </w:tc>
      </w:tr>
      <w:tr w:rsidR="00E95FB1" w:rsidRPr="001916D0" w:rsidTr="001B3967">
        <w:tc>
          <w:tcPr>
            <w:tcW w:w="2978" w:type="dxa"/>
            <w:shd w:val="clear" w:color="auto" w:fill="C6D9F1"/>
          </w:tcPr>
          <w:p w:rsidR="00E95FB1" w:rsidRPr="001916D0" w:rsidRDefault="00E95FB1" w:rsidP="001B3967">
            <w:pPr>
              <w:pBdr>
                <w:top w:val="nil"/>
                <w:left w:val="nil"/>
                <w:bottom w:val="nil"/>
                <w:right w:val="nil"/>
                <w:between w:val="nil"/>
              </w:pBdr>
              <w:jc w:val="left"/>
              <w:rPr>
                <w:b/>
                <w:color w:val="000000"/>
                <w:sz w:val="22"/>
              </w:rPr>
            </w:pPr>
            <w:r w:rsidRPr="001916D0">
              <w:rPr>
                <w:b/>
                <w:color w:val="000000"/>
                <w:sz w:val="22"/>
              </w:rPr>
              <w:t>Територія, на яку матиме вплив реалізація проекту</w:t>
            </w:r>
          </w:p>
        </w:tc>
        <w:tc>
          <w:tcPr>
            <w:tcW w:w="6945" w:type="dxa"/>
            <w:gridSpan w:val="6"/>
          </w:tcPr>
          <w:p w:rsidR="00E95FB1" w:rsidRPr="001916D0" w:rsidRDefault="00E95FB1" w:rsidP="001B3967">
            <w:pPr>
              <w:pBdr>
                <w:top w:val="nil"/>
                <w:left w:val="nil"/>
                <w:bottom w:val="nil"/>
                <w:right w:val="nil"/>
                <w:between w:val="nil"/>
              </w:pBdr>
              <w:rPr>
                <w:color w:val="000000"/>
                <w:sz w:val="22"/>
              </w:rPr>
            </w:pPr>
            <w:r w:rsidRPr="001916D0">
              <w:rPr>
                <w:color w:val="000000"/>
                <w:sz w:val="22"/>
              </w:rPr>
              <w:t>Сєвєродонецька міська територіальна громада</w:t>
            </w:r>
          </w:p>
        </w:tc>
      </w:tr>
      <w:tr w:rsidR="00E95FB1" w:rsidRPr="001916D0" w:rsidTr="001B3967">
        <w:tc>
          <w:tcPr>
            <w:tcW w:w="2978" w:type="dxa"/>
            <w:shd w:val="clear" w:color="auto" w:fill="C6D9F1"/>
          </w:tcPr>
          <w:p w:rsidR="00E95FB1" w:rsidRPr="001916D0" w:rsidRDefault="00E95FB1" w:rsidP="001B3967">
            <w:pPr>
              <w:pBdr>
                <w:top w:val="nil"/>
                <w:left w:val="nil"/>
                <w:bottom w:val="nil"/>
                <w:right w:val="nil"/>
                <w:between w:val="nil"/>
              </w:pBdr>
              <w:jc w:val="left"/>
              <w:rPr>
                <w:b/>
                <w:color w:val="000000"/>
                <w:sz w:val="22"/>
              </w:rPr>
            </w:pPr>
            <w:r w:rsidRPr="001916D0">
              <w:rPr>
                <w:b/>
                <w:color w:val="000000"/>
                <w:sz w:val="22"/>
              </w:rPr>
              <w:lastRenderedPageBreak/>
              <w:t>Чисельність населення, на яке матиме вплив реалізація проекту</w:t>
            </w:r>
          </w:p>
        </w:tc>
        <w:tc>
          <w:tcPr>
            <w:tcW w:w="6945" w:type="dxa"/>
            <w:gridSpan w:val="6"/>
          </w:tcPr>
          <w:p w:rsidR="00E95FB1" w:rsidRPr="001916D0" w:rsidRDefault="00E95FB1" w:rsidP="001B3967">
            <w:pPr>
              <w:pBdr>
                <w:top w:val="nil"/>
                <w:left w:val="nil"/>
                <w:bottom w:val="nil"/>
                <w:right w:val="nil"/>
                <w:between w:val="nil"/>
              </w:pBdr>
              <w:rPr>
                <w:color w:val="000000"/>
                <w:sz w:val="22"/>
              </w:rPr>
            </w:pPr>
            <w:r w:rsidRPr="001916D0">
              <w:rPr>
                <w:color w:val="000000"/>
                <w:sz w:val="22"/>
              </w:rPr>
              <w:t xml:space="preserve"> 225 000  осіб</w:t>
            </w:r>
          </w:p>
        </w:tc>
      </w:tr>
      <w:tr w:rsidR="00E95FB1" w:rsidRPr="001916D0" w:rsidTr="001B3967">
        <w:tc>
          <w:tcPr>
            <w:tcW w:w="2978" w:type="dxa"/>
            <w:shd w:val="clear" w:color="auto" w:fill="C6D9F1"/>
          </w:tcPr>
          <w:p w:rsidR="00E95FB1" w:rsidRPr="001916D0" w:rsidRDefault="00E95FB1" w:rsidP="001B3967">
            <w:pPr>
              <w:jc w:val="left"/>
              <w:rPr>
                <w:b/>
                <w:sz w:val="22"/>
              </w:rPr>
            </w:pPr>
            <w:r w:rsidRPr="001916D0">
              <w:rPr>
                <w:b/>
                <w:sz w:val="22"/>
              </w:rPr>
              <w:t>Опис проблеми, на вирішення якої  спрямований проект</w:t>
            </w:r>
          </w:p>
        </w:tc>
        <w:tc>
          <w:tcPr>
            <w:tcW w:w="6945" w:type="dxa"/>
            <w:gridSpan w:val="6"/>
          </w:tcPr>
          <w:p w:rsidR="00E95FB1" w:rsidRPr="001916D0" w:rsidRDefault="00E95FB1" w:rsidP="001B3967">
            <w:pPr>
              <w:ind w:firstLine="708"/>
              <w:rPr>
                <w:sz w:val="22"/>
              </w:rPr>
            </w:pPr>
            <w:r w:rsidRPr="001916D0">
              <w:rPr>
                <w:sz w:val="22"/>
              </w:rPr>
              <w:t>Через військову агресію РФ територія Сєвєродонецької міської територіальної громади зазнала значних пошкоджень. Не оминуло це і КП «Землевпорядник».</w:t>
            </w:r>
          </w:p>
          <w:p w:rsidR="00E95FB1" w:rsidRPr="001916D0" w:rsidRDefault="00E95FB1" w:rsidP="001B3967">
            <w:pPr>
              <w:ind w:firstLine="708"/>
              <w:rPr>
                <w:sz w:val="22"/>
              </w:rPr>
            </w:pPr>
            <w:r w:rsidRPr="001916D0">
              <w:rPr>
                <w:sz w:val="22"/>
              </w:rPr>
              <w:t>Вся матеріально-технічна база підприємства, зокрема:</w:t>
            </w:r>
          </w:p>
          <w:p w:rsidR="00E95FB1" w:rsidRPr="001916D0" w:rsidRDefault="00E95FB1" w:rsidP="000303D7">
            <w:pPr>
              <w:numPr>
                <w:ilvl w:val="0"/>
                <w:numId w:val="12"/>
              </w:numPr>
              <w:rPr>
                <w:sz w:val="22"/>
              </w:rPr>
            </w:pPr>
            <w:r w:rsidRPr="001916D0">
              <w:rPr>
                <w:sz w:val="22"/>
              </w:rPr>
              <w:t>геодезичне обладнання (вимірювальне устаткування);</w:t>
            </w:r>
          </w:p>
          <w:p w:rsidR="00E95FB1" w:rsidRPr="001916D0" w:rsidRDefault="00E95FB1" w:rsidP="000303D7">
            <w:pPr>
              <w:numPr>
                <w:ilvl w:val="0"/>
                <w:numId w:val="12"/>
              </w:numPr>
              <w:rPr>
                <w:sz w:val="22"/>
              </w:rPr>
            </w:pPr>
            <w:r w:rsidRPr="001916D0">
              <w:rPr>
                <w:sz w:val="22"/>
              </w:rPr>
              <w:t>обчислювальна техніка із відповідним програмним забезпеченням;</w:t>
            </w:r>
          </w:p>
          <w:p w:rsidR="00E95FB1" w:rsidRPr="001916D0" w:rsidRDefault="00E95FB1" w:rsidP="000303D7">
            <w:pPr>
              <w:numPr>
                <w:ilvl w:val="0"/>
                <w:numId w:val="12"/>
              </w:numPr>
              <w:rPr>
                <w:sz w:val="22"/>
              </w:rPr>
            </w:pPr>
            <w:r w:rsidRPr="001916D0">
              <w:rPr>
                <w:sz w:val="22"/>
              </w:rPr>
              <w:t>інша оргтехніка (монітори, принтери, сканери тощо);</w:t>
            </w:r>
          </w:p>
          <w:p w:rsidR="00E95FB1" w:rsidRPr="001916D0" w:rsidRDefault="00E95FB1" w:rsidP="000303D7">
            <w:pPr>
              <w:numPr>
                <w:ilvl w:val="0"/>
                <w:numId w:val="12"/>
              </w:numPr>
              <w:pBdr>
                <w:top w:val="nil"/>
                <w:left w:val="nil"/>
                <w:bottom w:val="nil"/>
                <w:right w:val="nil"/>
                <w:between w:val="nil"/>
              </w:pBdr>
              <w:rPr>
                <w:color w:val="000000"/>
                <w:sz w:val="22"/>
              </w:rPr>
            </w:pPr>
            <w:r w:rsidRPr="001916D0">
              <w:rPr>
                <w:color w:val="000000"/>
                <w:sz w:val="22"/>
              </w:rPr>
              <w:t>основні засоби (офісні меблі, сейф, службовий автомобіль тощо) були знищені або викрадені.</w:t>
            </w:r>
          </w:p>
          <w:p w:rsidR="00E95FB1" w:rsidRPr="001916D0" w:rsidRDefault="00E95FB1" w:rsidP="001B3967">
            <w:pPr>
              <w:pBdr>
                <w:top w:val="nil"/>
                <w:left w:val="nil"/>
                <w:bottom w:val="nil"/>
                <w:right w:val="nil"/>
                <w:between w:val="nil"/>
              </w:pBdr>
              <w:rPr>
                <w:color w:val="000000"/>
                <w:sz w:val="22"/>
              </w:rPr>
            </w:pPr>
            <w:r w:rsidRPr="001916D0">
              <w:rPr>
                <w:color w:val="000000"/>
                <w:sz w:val="22"/>
              </w:rPr>
              <w:t xml:space="preserve">            Для відбудови та розвитку громади потрібне відновлення геодезичної мережі (зруйнованих елементів), що є необхідністю для будівництва, встановлення меж в натурі на місцевості земельних ділянок, підготовки матеріалів для створення індустріальних і промислових парків та зон на базі вільних земельних ділянок. Для підвищення зацікавленості суб’єктів підприємницької діяльності є потреба постійно оновлювати базу даних про земельні ділянки, які можуть бути продані або передані в оренду суб'єктам господарювання для здійснення підприємницької діяльності. Також необхідно розробити документацію із землеустрою громади.</w:t>
            </w:r>
          </w:p>
        </w:tc>
      </w:tr>
      <w:tr w:rsidR="00E95FB1" w:rsidRPr="001916D0" w:rsidTr="001B3967">
        <w:tc>
          <w:tcPr>
            <w:tcW w:w="2978" w:type="dxa"/>
            <w:shd w:val="clear" w:color="auto" w:fill="C6D9F1"/>
          </w:tcPr>
          <w:p w:rsidR="00E95FB1" w:rsidRPr="001916D0" w:rsidRDefault="00E95FB1" w:rsidP="001B3967">
            <w:pPr>
              <w:pBdr>
                <w:top w:val="nil"/>
                <w:left w:val="nil"/>
                <w:bottom w:val="nil"/>
                <w:right w:val="nil"/>
                <w:between w:val="nil"/>
              </w:pBdr>
              <w:jc w:val="left"/>
              <w:rPr>
                <w:b/>
                <w:color w:val="000000"/>
                <w:sz w:val="22"/>
              </w:rPr>
            </w:pPr>
            <w:r w:rsidRPr="001916D0">
              <w:rPr>
                <w:b/>
                <w:color w:val="000000"/>
                <w:sz w:val="22"/>
              </w:rPr>
              <w:t>Очікувані якісні результати від реалізації проекту</w:t>
            </w:r>
          </w:p>
        </w:tc>
        <w:tc>
          <w:tcPr>
            <w:tcW w:w="6945" w:type="dxa"/>
            <w:gridSpan w:val="6"/>
          </w:tcPr>
          <w:p w:rsidR="00E95FB1" w:rsidRPr="001916D0" w:rsidRDefault="00E95FB1" w:rsidP="001B3967">
            <w:pPr>
              <w:pBdr>
                <w:top w:val="nil"/>
                <w:left w:val="nil"/>
                <w:bottom w:val="nil"/>
                <w:right w:val="nil"/>
                <w:between w:val="nil"/>
              </w:pBdr>
              <w:rPr>
                <w:color w:val="000000"/>
                <w:sz w:val="22"/>
              </w:rPr>
            </w:pPr>
            <w:r w:rsidRPr="001916D0">
              <w:rPr>
                <w:color w:val="000000"/>
                <w:sz w:val="22"/>
              </w:rPr>
              <w:t>- забезпечення населення можливостями для реалізації його конституційних прав, пов’язаних із землею;</w:t>
            </w:r>
          </w:p>
          <w:p w:rsidR="00E95FB1" w:rsidRPr="001916D0" w:rsidRDefault="00E95FB1" w:rsidP="001B3967">
            <w:pPr>
              <w:pBdr>
                <w:top w:val="nil"/>
                <w:left w:val="nil"/>
                <w:bottom w:val="nil"/>
                <w:right w:val="nil"/>
                <w:between w:val="nil"/>
              </w:pBdr>
              <w:rPr>
                <w:color w:val="000000"/>
                <w:sz w:val="22"/>
              </w:rPr>
            </w:pPr>
            <w:r w:rsidRPr="001916D0">
              <w:rPr>
                <w:color w:val="000000"/>
                <w:sz w:val="22"/>
              </w:rPr>
              <w:t>- надання широкого спектру послуг, пов’язаних із землевпорядною, геодезичною, консалтинговою діяльністю;</w:t>
            </w:r>
          </w:p>
          <w:p w:rsidR="00E95FB1" w:rsidRPr="001916D0" w:rsidRDefault="00E95FB1" w:rsidP="001B3967">
            <w:pPr>
              <w:pBdr>
                <w:top w:val="nil"/>
                <w:left w:val="nil"/>
                <w:bottom w:val="nil"/>
                <w:right w:val="nil"/>
                <w:between w:val="nil"/>
              </w:pBdr>
              <w:rPr>
                <w:color w:val="000000"/>
                <w:sz w:val="22"/>
              </w:rPr>
            </w:pPr>
            <w:r w:rsidRPr="001916D0">
              <w:rPr>
                <w:color w:val="000000"/>
                <w:sz w:val="22"/>
              </w:rPr>
              <w:t>- вирішення ряду питань в межах статутної діяльності, пов’язаних із відбудовою громади;</w:t>
            </w:r>
          </w:p>
          <w:p w:rsidR="00E95FB1" w:rsidRPr="001916D0" w:rsidRDefault="00E95FB1" w:rsidP="001B3967">
            <w:pPr>
              <w:pBdr>
                <w:top w:val="nil"/>
                <w:left w:val="nil"/>
                <w:bottom w:val="nil"/>
                <w:right w:val="nil"/>
                <w:between w:val="nil"/>
              </w:pBdr>
              <w:rPr>
                <w:color w:val="000000"/>
                <w:sz w:val="22"/>
              </w:rPr>
            </w:pPr>
            <w:r w:rsidRPr="001916D0">
              <w:rPr>
                <w:color w:val="000000"/>
                <w:sz w:val="22"/>
              </w:rPr>
              <w:t>- створення нових робочих місць.</w:t>
            </w:r>
          </w:p>
        </w:tc>
      </w:tr>
      <w:tr w:rsidR="00E95FB1" w:rsidRPr="001916D0" w:rsidTr="001B3967">
        <w:trPr>
          <w:trHeight w:val="390"/>
        </w:trPr>
        <w:tc>
          <w:tcPr>
            <w:tcW w:w="2978" w:type="dxa"/>
            <w:vMerge w:val="restart"/>
            <w:shd w:val="clear" w:color="auto" w:fill="C6D9F1"/>
          </w:tcPr>
          <w:p w:rsidR="00E95FB1" w:rsidRPr="001916D0" w:rsidRDefault="00E95FB1" w:rsidP="001B3967">
            <w:pPr>
              <w:pBdr>
                <w:top w:val="nil"/>
                <w:left w:val="nil"/>
                <w:bottom w:val="nil"/>
                <w:right w:val="nil"/>
                <w:between w:val="nil"/>
              </w:pBdr>
              <w:jc w:val="left"/>
              <w:rPr>
                <w:b/>
                <w:color w:val="000000"/>
                <w:sz w:val="22"/>
              </w:rPr>
            </w:pPr>
            <w:r w:rsidRPr="001916D0">
              <w:rPr>
                <w:b/>
                <w:color w:val="000000"/>
                <w:sz w:val="22"/>
              </w:rPr>
              <w:t xml:space="preserve">Очікувані кількісні результати реалізації </w:t>
            </w:r>
            <w:proofErr w:type="spellStart"/>
            <w:r w:rsidRPr="001916D0">
              <w:rPr>
                <w:b/>
                <w:color w:val="000000"/>
                <w:sz w:val="22"/>
              </w:rPr>
              <w:t>проєкту</w:t>
            </w:r>
            <w:proofErr w:type="spellEnd"/>
            <w:r w:rsidRPr="001916D0">
              <w:rPr>
                <w:b/>
                <w:color w:val="000000"/>
                <w:sz w:val="22"/>
              </w:rPr>
              <w:t xml:space="preserve"> (індикатори)</w:t>
            </w:r>
          </w:p>
          <w:p w:rsidR="00E95FB1" w:rsidRPr="001916D0" w:rsidRDefault="00E95FB1" w:rsidP="001B3967">
            <w:pPr>
              <w:pBdr>
                <w:top w:val="nil"/>
                <w:left w:val="nil"/>
                <w:bottom w:val="nil"/>
                <w:right w:val="nil"/>
                <w:between w:val="nil"/>
              </w:pBdr>
              <w:jc w:val="left"/>
              <w:rPr>
                <w:b/>
                <w:color w:val="000000"/>
                <w:sz w:val="22"/>
              </w:rPr>
            </w:pPr>
          </w:p>
        </w:tc>
        <w:tc>
          <w:tcPr>
            <w:tcW w:w="3402" w:type="dxa"/>
            <w:gridSpan w:val="2"/>
            <w:tcBorders>
              <w:bottom w:val="single" w:sz="4" w:space="0" w:color="000000"/>
              <w:right w:val="single" w:sz="4" w:space="0" w:color="000000"/>
            </w:tcBorders>
          </w:tcPr>
          <w:p w:rsidR="00E95FB1" w:rsidRPr="001916D0" w:rsidRDefault="00E95FB1" w:rsidP="001B3967">
            <w:pPr>
              <w:pBdr>
                <w:top w:val="nil"/>
                <w:left w:val="nil"/>
                <w:bottom w:val="nil"/>
                <w:right w:val="nil"/>
                <w:between w:val="nil"/>
              </w:pBdr>
              <w:ind w:left="-108"/>
              <w:jc w:val="center"/>
              <w:rPr>
                <w:b/>
                <w:color w:val="000000"/>
                <w:sz w:val="22"/>
              </w:rPr>
            </w:pPr>
            <w:r w:rsidRPr="001916D0">
              <w:rPr>
                <w:b/>
                <w:color w:val="000000"/>
                <w:sz w:val="22"/>
              </w:rPr>
              <w:t>Найменування показника</w:t>
            </w:r>
          </w:p>
        </w:tc>
        <w:tc>
          <w:tcPr>
            <w:tcW w:w="1763" w:type="dxa"/>
            <w:gridSpan w:val="2"/>
            <w:tcBorders>
              <w:left w:val="single" w:sz="4" w:space="0" w:color="000000"/>
              <w:bottom w:val="single" w:sz="4" w:space="0" w:color="000000"/>
              <w:right w:val="single" w:sz="4" w:space="0" w:color="000000"/>
            </w:tcBorders>
          </w:tcPr>
          <w:p w:rsidR="00E95FB1" w:rsidRPr="001916D0" w:rsidRDefault="00E95FB1" w:rsidP="001B3967">
            <w:pPr>
              <w:pBdr>
                <w:top w:val="nil"/>
                <w:left w:val="nil"/>
                <w:bottom w:val="nil"/>
                <w:right w:val="nil"/>
                <w:between w:val="nil"/>
              </w:pBdr>
              <w:jc w:val="center"/>
              <w:rPr>
                <w:b/>
                <w:color w:val="000000"/>
                <w:sz w:val="22"/>
              </w:rPr>
            </w:pPr>
            <w:r w:rsidRPr="001916D0">
              <w:rPr>
                <w:b/>
                <w:color w:val="000000"/>
                <w:sz w:val="22"/>
              </w:rPr>
              <w:t>Одиниця вимірювання</w:t>
            </w:r>
          </w:p>
          <w:p w:rsidR="00E95FB1" w:rsidRPr="001916D0" w:rsidRDefault="00E95FB1" w:rsidP="001B3967">
            <w:pPr>
              <w:pBdr>
                <w:top w:val="nil"/>
                <w:left w:val="nil"/>
                <w:bottom w:val="nil"/>
                <w:right w:val="nil"/>
                <w:between w:val="nil"/>
              </w:pBdr>
              <w:rPr>
                <w:b/>
                <w:color w:val="000000"/>
                <w:sz w:val="22"/>
              </w:rPr>
            </w:pPr>
          </w:p>
        </w:tc>
        <w:tc>
          <w:tcPr>
            <w:tcW w:w="1780" w:type="dxa"/>
            <w:gridSpan w:val="2"/>
            <w:tcBorders>
              <w:left w:val="single" w:sz="4" w:space="0" w:color="000000"/>
              <w:bottom w:val="single" w:sz="4" w:space="0" w:color="000000"/>
            </w:tcBorders>
          </w:tcPr>
          <w:p w:rsidR="00E95FB1" w:rsidRPr="001916D0" w:rsidRDefault="00E95FB1" w:rsidP="001B3967">
            <w:pPr>
              <w:pBdr>
                <w:top w:val="nil"/>
                <w:left w:val="nil"/>
                <w:bottom w:val="nil"/>
                <w:right w:val="nil"/>
                <w:between w:val="nil"/>
              </w:pBdr>
              <w:jc w:val="center"/>
              <w:rPr>
                <w:b/>
                <w:color w:val="000000"/>
                <w:sz w:val="22"/>
              </w:rPr>
            </w:pPr>
            <w:r w:rsidRPr="001916D0">
              <w:rPr>
                <w:b/>
                <w:color w:val="000000"/>
                <w:sz w:val="22"/>
              </w:rPr>
              <w:t>Прогнозне (цільове) значення</w:t>
            </w:r>
          </w:p>
        </w:tc>
      </w:tr>
      <w:tr w:rsidR="00E95FB1" w:rsidRPr="001916D0" w:rsidTr="001B3967">
        <w:trPr>
          <w:trHeight w:val="585"/>
        </w:trPr>
        <w:tc>
          <w:tcPr>
            <w:tcW w:w="2978" w:type="dxa"/>
            <w:vMerge/>
            <w:shd w:val="clear" w:color="auto" w:fill="C6D9F1"/>
          </w:tcPr>
          <w:p w:rsidR="00E95FB1" w:rsidRPr="001916D0" w:rsidRDefault="00E95FB1" w:rsidP="001B3967">
            <w:pPr>
              <w:widowControl w:val="0"/>
              <w:pBdr>
                <w:top w:val="nil"/>
                <w:left w:val="nil"/>
                <w:bottom w:val="nil"/>
                <w:right w:val="nil"/>
                <w:between w:val="nil"/>
              </w:pBdr>
              <w:spacing w:line="276" w:lineRule="auto"/>
              <w:jc w:val="left"/>
              <w:rPr>
                <w:b/>
                <w:color w:val="000000"/>
                <w:sz w:val="22"/>
              </w:rPr>
            </w:pPr>
          </w:p>
        </w:tc>
        <w:tc>
          <w:tcPr>
            <w:tcW w:w="3402" w:type="dxa"/>
            <w:gridSpan w:val="2"/>
            <w:tcBorders>
              <w:top w:val="single" w:sz="4" w:space="0" w:color="000000"/>
              <w:bottom w:val="single" w:sz="4" w:space="0" w:color="000000"/>
              <w:right w:val="single" w:sz="4" w:space="0" w:color="000000"/>
            </w:tcBorders>
          </w:tcPr>
          <w:p w:rsidR="00E95FB1" w:rsidRPr="001916D0" w:rsidRDefault="00E95FB1" w:rsidP="001B3967">
            <w:pPr>
              <w:pBdr>
                <w:top w:val="nil"/>
                <w:left w:val="nil"/>
                <w:bottom w:val="nil"/>
                <w:right w:val="nil"/>
                <w:between w:val="nil"/>
              </w:pBdr>
              <w:jc w:val="center"/>
              <w:rPr>
                <w:color w:val="000000"/>
                <w:sz w:val="22"/>
              </w:rPr>
            </w:pPr>
            <w:r w:rsidRPr="001916D0">
              <w:rPr>
                <w:color w:val="000000"/>
                <w:sz w:val="22"/>
              </w:rPr>
              <w:t>Кількість фізичних та юридичних осіб, які звернулись за послугами протягом  року</w:t>
            </w:r>
          </w:p>
        </w:tc>
        <w:tc>
          <w:tcPr>
            <w:tcW w:w="1763" w:type="dxa"/>
            <w:gridSpan w:val="2"/>
            <w:tcBorders>
              <w:top w:val="single" w:sz="4" w:space="0" w:color="000000"/>
              <w:left w:val="single" w:sz="4" w:space="0" w:color="000000"/>
              <w:bottom w:val="single" w:sz="4" w:space="0" w:color="000000"/>
              <w:right w:val="single" w:sz="4" w:space="0" w:color="000000"/>
            </w:tcBorders>
            <w:vAlign w:val="center"/>
          </w:tcPr>
          <w:p w:rsidR="00E95FB1" w:rsidRPr="001916D0" w:rsidRDefault="00E95FB1" w:rsidP="001B3967">
            <w:pPr>
              <w:pBdr>
                <w:top w:val="nil"/>
                <w:left w:val="nil"/>
                <w:bottom w:val="nil"/>
                <w:right w:val="nil"/>
                <w:between w:val="nil"/>
              </w:pBdr>
              <w:jc w:val="center"/>
              <w:rPr>
                <w:color w:val="000000"/>
                <w:sz w:val="22"/>
              </w:rPr>
            </w:pPr>
            <w:r w:rsidRPr="001916D0">
              <w:rPr>
                <w:color w:val="000000"/>
                <w:sz w:val="22"/>
              </w:rPr>
              <w:t>осіб</w:t>
            </w:r>
          </w:p>
        </w:tc>
        <w:tc>
          <w:tcPr>
            <w:tcW w:w="1780" w:type="dxa"/>
            <w:gridSpan w:val="2"/>
            <w:tcBorders>
              <w:top w:val="single" w:sz="4" w:space="0" w:color="000000"/>
              <w:left w:val="single" w:sz="4" w:space="0" w:color="000000"/>
              <w:bottom w:val="single" w:sz="4" w:space="0" w:color="000000"/>
            </w:tcBorders>
          </w:tcPr>
          <w:p w:rsidR="00E95FB1" w:rsidRPr="001916D0" w:rsidRDefault="00E95FB1" w:rsidP="001B3967">
            <w:pPr>
              <w:pBdr>
                <w:top w:val="nil"/>
                <w:left w:val="nil"/>
                <w:bottom w:val="nil"/>
                <w:right w:val="nil"/>
                <w:between w:val="nil"/>
              </w:pBdr>
              <w:jc w:val="center"/>
              <w:rPr>
                <w:b/>
                <w:color w:val="000000"/>
                <w:sz w:val="22"/>
              </w:rPr>
            </w:pPr>
            <w:r w:rsidRPr="001916D0">
              <w:rPr>
                <w:color w:val="000000"/>
                <w:sz w:val="22"/>
              </w:rPr>
              <w:t>1500</w:t>
            </w:r>
          </w:p>
        </w:tc>
      </w:tr>
      <w:tr w:rsidR="00E95FB1" w:rsidRPr="001916D0" w:rsidTr="001B3967">
        <w:trPr>
          <w:trHeight w:val="184"/>
        </w:trPr>
        <w:tc>
          <w:tcPr>
            <w:tcW w:w="2978" w:type="dxa"/>
            <w:vMerge/>
            <w:shd w:val="clear" w:color="auto" w:fill="C6D9F1"/>
          </w:tcPr>
          <w:p w:rsidR="00E95FB1" w:rsidRPr="001916D0" w:rsidRDefault="00E95FB1" w:rsidP="001B3967">
            <w:pPr>
              <w:widowControl w:val="0"/>
              <w:pBdr>
                <w:top w:val="nil"/>
                <w:left w:val="nil"/>
                <w:bottom w:val="nil"/>
                <w:right w:val="nil"/>
                <w:between w:val="nil"/>
              </w:pBdr>
              <w:spacing w:line="276" w:lineRule="auto"/>
              <w:jc w:val="left"/>
              <w:rPr>
                <w:b/>
                <w:color w:val="000000"/>
                <w:sz w:val="22"/>
              </w:rPr>
            </w:pPr>
          </w:p>
        </w:tc>
        <w:tc>
          <w:tcPr>
            <w:tcW w:w="3402" w:type="dxa"/>
            <w:gridSpan w:val="2"/>
            <w:tcBorders>
              <w:top w:val="single" w:sz="4" w:space="0" w:color="000000"/>
              <w:bottom w:val="single" w:sz="4" w:space="0" w:color="000000"/>
              <w:right w:val="single" w:sz="4" w:space="0" w:color="000000"/>
            </w:tcBorders>
          </w:tcPr>
          <w:p w:rsidR="00E95FB1" w:rsidRPr="001916D0" w:rsidRDefault="00E95FB1" w:rsidP="001B3967">
            <w:pPr>
              <w:pBdr>
                <w:top w:val="nil"/>
                <w:left w:val="nil"/>
                <w:bottom w:val="nil"/>
                <w:right w:val="nil"/>
                <w:between w:val="nil"/>
              </w:pBdr>
              <w:jc w:val="center"/>
              <w:rPr>
                <w:color w:val="000000"/>
                <w:sz w:val="22"/>
              </w:rPr>
            </w:pPr>
            <w:r w:rsidRPr="001916D0">
              <w:rPr>
                <w:color w:val="000000"/>
                <w:sz w:val="22"/>
              </w:rPr>
              <w:t>Кількість видів та типів послуг</w:t>
            </w:r>
            <w:r w:rsidR="000F65A9" w:rsidRPr="001916D0">
              <w:rPr>
                <w:color w:val="000000"/>
                <w:sz w:val="22"/>
                <w:szCs w:val="22"/>
              </w:rPr>
              <w:t>,</w:t>
            </w:r>
            <w:r w:rsidRPr="001916D0">
              <w:rPr>
                <w:color w:val="000000"/>
                <w:sz w:val="22"/>
              </w:rPr>
              <w:t xml:space="preserve"> наданих протягом одно робочого дня</w:t>
            </w:r>
          </w:p>
        </w:tc>
        <w:tc>
          <w:tcPr>
            <w:tcW w:w="1763" w:type="dxa"/>
            <w:gridSpan w:val="2"/>
            <w:tcBorders>
              <w:top w:val="single" w:sz="4" w:space="0" w:color="000000"/>
              <w:left w:val="single" w:sz="4" w:space="0" w:color="000000"/>
              <w:bottom w:val="single" w:sz="4" w:space="0" w:color="000000"/>
              <w:right w:val="single" w:sz="4" w:space="0" w:color="000000"/>
            </w:tcBorders>
            <w:vAlign w:val="center"/>
          </w:tcPr>
          <w:p w:rsidR="00E95FB1" w:rsidRPr="001916D0" w:rsidRDefault="00E95FB1" w:rsidP="001B3967">
            <w:pPr>
              <w:pBdr>
                <w:top w:val="nil"/>
                <w:left w:val="nil"/>
                <w:bottom w:val="nil"/>
                <w:right w:val="nil"/>
                <w:between w:val="nil"/>
              </w:pBdr>
              <w:jc w:val="center"/>
              <w:rPr>
                <w:color w:val="000000"/>
                <w:sz w:val="22"/>
              </w:rPr>
            </w:pPr>
            <w:r w:rsidRPr="001916D0">
              <w:rPr>
                <w:color w:val="000000"/>
                <w:sz w:val="22"/>
              </w:rPr>
              <w:t>одиниць</w:t>
            </w:r>
          </w:p>
        </w:tc>
        <w:tc>
          <w:tcPr>
            <w:tcW w:w="1780" w:type="dxa"/>
            <w:gridSpan w:val="2"/>
            <w:tcBorders>
              <w:top w:val="single" w:sz="4" w:space="0" w:color="000000"/>
              <w:left w:val="single" w:sz="4" w:space="0" w:color="000000"/>
              <w:bottom w:val="single" w:sz="4" w:space="0" w:color="000000"/>
            </w:tcBorders>
          </w:tcPr>
          <w:p w:rsidR="00E95FB1" w:rsidRPr="001916D0" w:rsidRDefault="00E95FB1" w:rsidP="001B3967">
            <w:pPr>
              <w:pBdr>
                <w:top w:val="nil"/>
                <w:left w:val="nil"/>
                <w:bottom w:val="nil"/>
                <w:right w:val="nil"/>
                <w:between w:val="nil"/>
              </w:pBdr>
              <w:jc w:val="center"/>
              <w:rPr>
                <w:color w:val="000000"/>
                <w:sz w:val="22"/>
              </w:rPr>
            </w:pPr>
            <w:r w:rsidRPr="001916D0">
              <w:rPr>
                <w:color w:val="000000"/>
                <w:sz w:val="22"/>
              </w:rPr>
              <w:t>20</w:t>
            </w:r>
          </w:p>
        </w:tc>
      </w:tr>
      <w:tr w:rsidR="00E95FB1" w:rsidRPr="001916D0" w:rsidTr="001B3967">
        <w:trPr>
          <w:trHeight w:val="165"/>
        </w:trPr>
        <w:tc>
          <w:tcPr>
            <w:tcW w:w="2978" w:type="dxa"/>
            <w:vMerge/>
            <w:shd w:val="clear" w:color="auto" w:fill="C6D9F1"/>
          </w:tcPr>
          <w:p w:rsidR="00E95FB1" w:rsidRPr="001916D0" w:rsidRDefault="00E95FB1" w:rsidP="001B3967">
            <w:pPr>
              <w:widowControl w:val="0"/>
              <w:pBdr>
                <w:top w:val="nil"/>
                <w:left w:val="nil"/>
                <w:bottom w:val="nil"/>
                <w:right w:val="nil"/>
                <w:between w:val="nil"/>
              </w:pBdr>
              <w:spacing w:line="276" w:lineRule="auto"/>
              <w:jc w:val="left"/>
              <w:rPr>
                <w:color w:val="000000"/>
                <w:sz w:val="22"/>
              </w:rPr>
            </w:pPr>
          </w:p>
        </w:tc>
        <w:tc>
          <w:tcPr>
            <w:tcW w:w="3402" w:type="dxa"/>
            <w:gridSpan w:val="2"/>
            <w:tcBorders>
              <w:top w:val="single" w:sz="4" w:space="0" w:color="000000"/>
              <w:bottom w:val="single" w:sz="4" w:space="0" w:color="000000"/>
              <w:right w:val="single" w:sz="4" w:space="0" w:color="000000"/>
            </w:tcBorders>
          </w:tcPr>
          <w:p w:rsidR="00E95FB1" w:rsidRPr="001916D0" w:rsidRDefault="00E95FB1" w:rsidP="001B3967">
            <w:pPr>
              <w:pBdr>
                <w:top w:val="nil"/>
                <w:left w:val="nil"/>
                <w:bottom w:val="nil"/>
                <w:right w:val="nil"/>
                <w:between w:val="nil"/>
              </w:pBdr>
              <w:jc w:val="center"/>
              <w:rPr>
                <w:color w:val="000000"/>
                <w:sz w:val="22"/>
              </w:rPr>
            </w:pPr>
            <w:r w:rsidRPr="001916D0">
              <w:rPr>
                <w:color w:val="000000"/>
                <w:sz w:val="22"/>
              </w:rPr>
              <w:t>Середня вартість послуг</w:t>
            </w:r>
          </w:p>
        </w:tc>
        <w:tc>
          <w:tcPr>
            <w:tcW w:w="1763" w:type="dxa"/>
            <w:gridSpan w:val="2"/>
            <w:tcBorders>
              <w:top w:val="single" w:sz="4" w:space="0" w:color="000000"/>
              <w:left w:val="single" w:sz="4" w:space="0" w:color="000000"/>
              <w:bottom w:val="single" w:sz="4" w:space="0" w:color="000000"/>
              <w:right w:val="single" w:sz="4" w:space="0" w:color="000000"/>
            </w:tcBorders>
            <w:vAlign w:val="center"/>
          </w:tcPr>
          <w:p w:rsidR="00E95FB1" w:rsidRPr="001916D0" w:rsidRDefault="00E95FB1" w:rsidP="001B3967">
            <w:pPr>
              <w:pBdr>
                <w:top w:val="nil"/>
                <w:left w:val="nil"/>
                <w:bottom w:val="nil"/>
                <w:right w:val="nil"/>
                <w:between w:val="nil"/>
              </w:pBdr>
              <w:jc w:val="center"/>
              <w:rPr>
                <w:color w:val="000000"/>
                <w:sz w:val="22"/>
              </w:rPr>
            </w:pPr>
            <w:r w:rsidRPr="001916D0">
              <w:rPr>
                <w:color w:val="000000"/>
                <w:sz w:val="22"/>
              </w:rPr>
              <w:t>грн</w:t>
            </w:r>
          </w:p>
        </w:tc>
        <w:tc>
          <w:tcPr>
            <w:tcW w:w="1780" w:type="dxa"/>
            <w:gridSpan w:val="2"/>
            <w:tcBorders>
              <w:top w:val="single" w:sz="4" w:space="0" w:color="000000"/>
              <w:left w:val="single" w:sz="4" w:space="0" w:color="000000"/>
              <w:bottom w:val="single" w:sz="4" w:space="0" w:color="000000"/>
            </w:tcBorders>
          </w:tcPr>
          <w:p w:rsidR="00E95FB1" w:rsidRPr="001916D0" w:rsidRDefault="00E95FB1" w:rsidP="001B3967">
            <w:pPr>
              <w:pBdr>
                <w:top w:val="nil"/>
                <w:left w:val="nil"/>
                <w:bottom w:val="nil"/>
                <w:right w:val="nil"/>
                <w:between w:val="nil"/>
              </w:pBdr>
              <w:jc w:val="center"/>
              <w:rPr>
                <w:color w:val="000000"/>
                <w:sz w:val="22"/>
              </w:rPr>
            </w:pPr>
            <w:r w:rsidRPr="001916D0">
              <w:rPr>
                <w:color w:val="000000"/>
                <w:sz w:val="22"/>
              </w:rPr>
              <w:t>8000,00</w:t>
            </w:r>
          </w:p>
        </w:tc>
      </w:tr>
      <w:tr w:rsidR="00E95FB1" w:rsidRPr="001916D0" w:rsidTr="001B3967">
        <w:trPr>
          <w:trHeight w:val="150"/>
        </w:trPr>
        <w:tc>
          <w:tcPr>
            <w:tcW w:w="2978" w:type="dxa"/>
            <w:vMerge/>
            <w:shd w:val="clear" w:color="auto" w:fill="C6D9F1"/>
          </w:tcPr>
          <w:p w:rsidR="00E95FB1" w:rsidRPr="001916D0" w:rsidRDefault="00E95FB1" w:rsidP="001B3967">
            <w:pPr>
              <w:widowControl w:val="0"/>
              <w:pBdr>
                <w:top w:val="nil"/>
                <w:left w:val="nil"/>
                <w:bottom w:val="nil"/>
                <w:right w:val="nil"/>
                <w:between w:val="nil"/>
              </w:pBdr>
              <w:spacing w:line="276" w:lineRule="auto"/>
              <w:jc w:val="left"/>
              <w:rPr>
                <w:color w:val="000000"/>
                <w:sz w:val="22"/>
              </w:rPr>
            </w:pPr>
          </w:p>
        </w:tc>
        <w:tc>
          <w:tcPr>
            <w:tcW w:w="3402" w:type="dxa"/>
            <w:gridSpan w:val="2"/>
            <w:tcBorders>
              <w:top w:val="single" w:sz="4" w:space="0" w:color="000000"/>
              <w:right w:val="single" w:sz="4" w:space="0" w:color="000000"/>
            </w:tcBorders>
          </w:tcPr>
          <w:p w:rsidR="00E95FB1" w:rsidRPr="001916D0" w:rsidRDefault="00E95FB1" w:rsidP="001B3967">
            <w:pPr>
              <w:pBdr>
                <w:top w:val="nil"/>
                <w:left w:val="nil"/>
                <w:bottom w:val="nil"/>
                <w:right w:val="nil"/>
                <w:between w:val="nil"/>
              </w:pBdr>
              <w:jc w:val="center"/>
              <w:rPr>
                <w:color w:val="000000"/>
                <w:sz w:val="22"/>
              </w:rPr>
            </w:pPr>
            <w:r w:rsidRPr="001916D0">
              <w:rPr>
                <w:color w:val="000000"/>
                <w:sz w:val="22"/>
              </w:rPr>
              <w:t>Термін надання послуги</w:t>
            </w:r>
          </w:p>
        </w:tc>
        <w:tc>
          <w:tcPr>
            <w:tcW w:w="1763" w:type="dxa"/>
            <w:gridSpan w:val="2"/>
            <w:tcBorders>
              <w:top w:val="single" w:sz="4" w:space="0" w:color="000000"/>
              <w:left w:val="single" w:sz="4" w:space="0" w:color="000000"/>
              <w:right w:val="single" w:sz="4" w:space="0" w:color="000000"/>
            </w:tcBorders>
            <w:vAlign w:val="center"/>
          </w:tcPr>
          <w:p w:rsidR="00E95FB1" w:rsidRPr="001916D0" w:rsidRDefault="00E95FB1" w:rsidP="001B3967">
            <w:pPr>
              <w:pBdr>
                <w:top w:val="nil"/>
                <w:left w:val="nil"/>
                <w:bottom w:val="nil"/>
                <w:right w:val="nil"/>
                <w:between w:val="nil"/>
              </w:pBdr>
              <w:jc w:val="center"/>
              <w:rPr>
                <w:color w:val="000000"/>
                <w:sz w:val="22"/>
              </w:rPr>
            </w:pPr>
            <w:r w:rsidRPr="001916D0">
              <w:rPr>
                <w:color w:val="000000"/>
                <w:sz w:val="22"/>
              </w:rPr>
              <w:t>день</w:t>
            </w:r>
          </w:p>
        </w:tc>
        <w:tc>
          <w:tcPr>
            <w:tcW w:w="1780" w:type="dxa"/>
            <w:gridSpan w:val="2"/>
            <w:tcBorders>
              <w:top w:val="single" w:sz="4" w:space="0" w:color="000000"/>
              <w:left w:val="single" w:sz="4" w:space="0" w:color="000000"/>
            </w:tcBorders>
          </w:tcPr>
          <w:p w:rsidR="00E95FB1" w:rsidRPr="001916D0" w:rsidRDefault="00E95FB1" w:rsidP="001B3967">
            <w:pPr>
              <w:pBdr>
                <w:top w:val="nil"/>
                <w:left w:val="nil"/>
                <w:bottom w:val="nil"/>
                <w:right w:val="nil"/>
                <w:between w:val="nil"/>
              </w:pBdr>
              <w:jc w:val="center"/>
              <w:rPr>
                <w:color w:val="000000"/>
                <w:sz w:val="22"/>
              </w:rPr>
            </w:pPr>
            <w:r w:rsidRPr="001916D0">
              <w:rPr>
                <w:color w:val="000000"/>
                <w:sz w:val="22"/>
              </w:rPr>
              <w:t>20</w:t>
            </w:r>
          </w:p>
        </w:tc>
      </w:tr>
      <w:tr w:rsidR="00E95FB1" w:rsidRPr="001916D0" w:rsidTr="001B3967">
        <w:trPr>
          <w:trHeight w:val="150"/>
        </w:trPr>
        <w:tc>
          <w:tcPr>
            <w:tcW w:w="2978" w:type="dxa"/>
            <w:shd w:val="clear" w:color="auto" w:fill="C6D9F1"/>
          </w:tcPr>
          <w:p w:rsidR="00E95FB1" w:rsidRPr="001916D0" w:rsidRDefault="00E95FB1" w:rsidP="001B3967">
            <w:pPr>
              <w:pBdr>
                <w:top w:val="nil"/>
                <w:left w:val="nil"/>
                <w:bottom w:val="nil"/>
                <w:right w:val="nil"/>
                <w:between w:val="nil"/>
              </w:pBdr>
              <w:jc w:val="left"/>
              <w:rPr>
                <w:b/>
                <w:color w:val="000000"/>
                <w:sz w:val="22"/>
              </w:rPr>
            </w:pPr>
          </w:p>
        </w:tc>
        <w:tc>
          <w:tcPr>
            <w:tcW w:w="3402" w:type="dxa"/>
            <w:gridSpan w:val="2"/>
            <w:tcBorders>
              <w:top w:val="single" w:sz="4" w:space="0" w:color="000000"/>
              <w:right w:val="single" w:sz="4" w:space="0" w:color="000000"/>
            </w:tcBorders>
          </w:tcPr>
          <w:p w:rsidR="00E95FB1" w:rsidRPr="001916D0" w:rsidRDefault="00E95FB1" w:rsidP="000F65A9">
            <w:pPr>
              <w:pBdr>
                <w:top w:val="nil"/>
                <w:left w:val="nil"/>
                <w:bottom w:val="nil"/>
                <w:right w:val="nil"/>
                <w:between w:val="nil"/>
              </w:pBdr>
              <w:jc w:val="center"/>
              <w:rPr>
                <w:color w:val="000000"/>
                <w:sz w:val="22"/>
              </w:rPr>
            </w:pPr>
            <w:r w:rsidRPr="001916D0">
              <w:rPr>
                <w:color w:val="000000"/>
                <w:sz w:val="22"/>
              </w:rPr>
              <w:t xml:space="preserve">Кількість населених пунктів, </w:t>
            </w:r>
            <w:r w:rsidRPr="001916D0">
              <w:rPr>
                <w:color w:val="000000"/>
                <w:sz w:val="22"/>
                <w:szCs w:val="22"/>
              </w:rPr>
              <w:t>як</w:t>
            </w:r>
            <w:r w:rsidR="000F65A9" w:rsidRPr="001916D0">
              <w:rPr>
                <w:color w:val="000000"/>
                <w:sz w:val="22"/>
                <w:szCs w:val="22"/>
              </w:rPr>
              <w:t>і</w:t>
            </w:r>
            <w:r w:rsidRPr="001916D0">
              <w:rPr>
                <w:color w:val="000000"/>
                <w:sz w:val="22"/>
              </w:rPr>
              <w:t xml:space="preserve"> обслуговує підприємство</w:t>
            </w:r>
          </w:p>
        </w:tc>
        <w:tc>
          <w:tcPr>
            <w:tcW w:w="1763" w:type="dxa"/>
            <w:gridSpan w:val="2"/>
            <w:tcBorders>
              <w:top w:val="single" w:sz="4" w:space="0" w:color="000000"/>
              <w:left w:val="single" w:sz="4" w:space="0" w:color="000000"/>
              <w:right w:val="single" w:sz="4" w:space="0" w:color="000000"/>
            </w:tcBorders>
            <w:vAlign w:val="center"/>
          </w:tcPr>
          <w:p w:rsidR="00E95FB1" w:rsidRPr="001916D0" w:rsidRDefault="00E95FB1" w:rsidP="001B3967">
            <w:pPr>
              <w:pBdr>
                <w:top w:val="nil"/>
                <w:left w:val="nil"/>
                <w:bottom w:val="nil"/>
                <w:right w:val="nil"/>
                <w:between w:val="nil"/>
              </w:pBdr>
              <w:jc w:val="center"/>
              <w:rPr>
                <w:color w:val="000000"/>
                <w:sz w:val="22"/>
              </w:rPr>
            </w:pPr>
            <w:r w:rsidRPr="001916D0">
              <w:rPr>
                <w:color w:val="000000"/>
                <w:sz w:val="22"/>
              </w:rPr>
              <w:t>одиниць</w:t>
            </w:r>
          </w:p>
        </w:tc>
        <w:tc>
          <w:tcPr>
            <w:tcW w:w="1780" w:type="dxa"/>
            <w:gridSpan w:val="2"/>
            <w:tcBorders>
              <w:top w:val="single" w:sz="4" w:space="0" w:color="000000"/>
              <w:left w:val="single" w:sz="4" w:space="0" w:color="000000"/>
            </w:tcBorders>
          </w:tcPr>
          <w:p w:rsidR="00E95FB1" w:rsidRPr="001916D0" w:rsidRDefault="00E95FB1" w:rsidP="001B3967">
            <w:pPr>
              <w:pBdr>
                <w:top w:val="nil"/>
                <w:left w:val="nil"/>
                <w:bottom w:val="nil"/>
                <w:right w:val="nil"/>
                <w:between w:val="nil"/>
              </w:pBdr>
              <w:jc w:val="center"/>
              <w:rPr>
                <w:color w:val="000000"/>
                <w:sz w:val="22"/>
              </w:rPr>
            </w:pPr>
            <w:r w:rsidRPr="001916D0">
              <w:rPr>
                <w:color w:val="000000"/>
                <w:sz w:val="22"/>
              </w:rPr>
              <w:t>18</w:t>
            </w:r>
          </w:p>
        </w:tc>
      </w:tr>
      <w:tr w:rsidR="00E95FB1" w:rsidRPr="001916D0" w:rsidTr="001B3967">
        <w:tc>
          <w:tcPr>
            <w:tcW w:w="2978" w:type="dxa"/>
            <w:shd w:val="clear" w:color="auto" w:fill="C6D9F1"/>
          </w:tcPr>
          <w:p w:rsidR="00E95FB1" w:rsidRPr="001916D0" w:rsidRDefault="00E95FB1" w:rsidP="001B3967">
            <w:pPr>
              <w:jc w:val="left"/>
              <w:rPr>
                <w:b/>
                <w:sz w:val="22"/>
              </w:rPr>
            </w:pPr>
            <w:r w:rsidRPr="001916D0">
              <w:rPr>
                <w:b/>
                <w:sz w:val="22"/>
              </w:rPr>
              <w:t xml:space="preserve">Ключові заходи проекту: </w:t>
            </w:r>
          </w:p>
          <w:p w:rsidR="00E95FB1" w:rsidRPr="001916D0" w:rsidRDefault="00E95FB1" w:rsidP="001B3967">
            <w:pPr>
              <w:pBdr>
                <w:top w:val="nil"/>
                <w:left w:val="nil"/>
                <w:bottom w:val="nil"/>
                <w:right w:val="nil"/>
                <w:between w:val="nil"/>
              </w:pBdr>
              <w:jc w:val="left"/>
              <w:rPr>
                <w:b/>
                <w:color w:val="000000"/>
                <w:sz w:val="22"/>
              </w:rPr>
            </w:pPr>
          </w:p>
        </w:tc>
        <w:tc>
          <w:tcPr>
            <w:tcW w:w="6945" w:type="dxa"/>
            <w:gridSpan w:val="6"/>
          </w:tcPr>
          <w:p w:rsidR="00E95FB1" w:rsidRPr="001916D0" w:rsidRDefault="00E95FB1" w:rsidP="001B3967">
            <w:pPr>
              <w:pBdr>
                <w:top w:val="nil"/>
                <w:left w:val="nil"/>
                <w:bottom w:val="nil"/>
                <w:right w:val="nil"/>
                <w:between w:val="nil"/>
              </w:pBdr>
              <w:rPr>
                <w:color w:val="000000"/>
                <w:sz w:val="22"/>
              </w:rPr>
            </w:pPr>
            <w:r w:rsidRPr="001916D0">
              <w:rPr>
                <w:color w:val="000000"/>
                <w:sz w:val="22"/>
              </w:rPr>
              <w:t>- придбання технічного забезпечення підприємства;</w:t>
            </w:r>
          </w:p>
          <w:p w:rsidR="00E95FB1" w:rsidRPr="001916D0" w:rsidRDefault="00E95FB1" w:rsidP="001B3967">
            <w:pPr>
              <w:pBdr>
                <w:top w:val="nil"/>
                <w:left w:val="nil"/>
                <w:bottom w:val="nil"/>
                <w:right w:val="nil"/>
                <w:between w:val="nil"/>
              </w:pBdr>
              <w:rPr>
                <w:color w:val="000000"/>
                <w:sz w:val="22"/>
              </w:rPr>
            </w:pPr>
            <w:r w:rsidRPr="001916D0">
              <w:rPr>
                <w:color w:val="000000"/>
                <w:sz w:val="22"/>
              </w:rPr>
              <w:t xml:space="preserve">- придбання технологічного забезпечення </w:t>
            </w:r>
          </w:p>
          <w:p w:rsidR="00E95FB1" w:rsidRPr="001916D0" w:rsidRDefault="00E95FB1" w:rsidP="001B3967">
            <w:pPr>
              <w:pBdr>
                <w:top w:val="nil"/>
                <w:left w:val="nil"/>
                <w:bottom w:val="nil"/>
                <w:right w:val="nil"/>
                <w:between w:val="nil"/>
              </w:pBdr>
              <w:rPr>
                <w:color w:val="000000"/>
                <w:sz w:val="22"/>
              </w:rPr>
            </w:pPr>
            <w:r w:rsidRPr="001916D0">
              <w:rPr>
                <w:color w:val="000000"/>
                <w:sz w:val="22"/>
              </w:rPr>
              <w:t xml:space="preserve">  підприємства;</w:t>
            </w:r>
          </w:p>
          <w:p w:rsidR="00E95FB1" w:rsidRPr="001916D0" w:rsidRDefault="00E95FB1" w:rsidP="001B3967">
            <w:pPr>
              <w:pBdr>
                <w:top w:val="nil"/>
                <w:left w:val="nil"/>
                <w:bottom w:val="nil"/>
                <w:right w:val="nil"/>
                <w:between w:val="nil"/>
              </w:pBdr>
              <w:rPr>
                <w:color w:val="000000"/>
                <w:sz w:val="22"/>
              </w:rPr>
            </w:pPr>
            <w:r w:rsidRPr="001916D0">
              <w:rPr>
                <w:color w:val="000000"/>
                <w:sz w:val="22"/>
              </w:rPr>
              <w:t>- організація та початок робочого процесу.</w:t>
            </w:r>
          </w:p>
        </w:tc>
      </w:tr>
      <w:tr w:rsidR="00E95FB1" w:rsidRPr="001916D0" w:rsidTr="001B3967">
        <w:trPr>
          <w:trHeight w:val="360"/>
        </w:trPr>
        <w:tc>
          <w:tcPr>
            <w:tcW w:w="2978" w:type="dxa"/>
            <w:vMerge w:val="restart"/>
            <w:shd w:val="clear" w:color="auto" w:fill="C6D9F1"/>
          </w:tcPr>
          <w:p w:rsidR="00E95FB1" w:rsidRPr="001916D0" w:rsidRDefault="00E95FB1" w:rsidP="001B3967">
            <w:pPr>
              <w:pBdr>
                <w:top w:val="nil"/>
                <w:left w:val="nil"/>
                <w:bottom w:val="nil"/>
                <w:right w:val="nil"/>
                <w:between w:val="nil"/>
              </w:pBdr>
              <w:jc w:val="left"/>
              <w:rPr>
                <w:b/>
                <w:color w:val="000000"/>
                <w:sz w:val="22"/>
              </w:rPr>
            </w:pPr>
            <w:r w:rsidRPr="001916D0">
              <w:rPr>
                <w:b/>
                <w:color w:val="000000"/>
                <w:sz w:val="22"/>
              </w:rPr>
              <w:t xml:space="preserve">Орієнтовний обсяг та джерела фінансування, тис. грн. </w:t>
            </w:r>
          </w:p>
          <w:p w:rsidR="00E95FB1" w:rsidRPr="001916D0" w:rsidRDefault="00E95FB1" w:rsidP="001B3967">
            <w:pPr>
              <w:pBdr>
                <w:top w:val="nil"/>
                <w:left w:val="nil"/>
                <w:bottom w:val="nil"/>
                <w:right w:val="nil"/>
                <w:between w:val="nil"/>
              </w:pBdr>
              <w:jc w:val="left"/>
              <w:rPr>
                <w:b/>
                <w:color w:val="000000"/>
                <w:sz w:val="22"/>
              </w:rPr>
            </w:pPr>
          </w:p>
        </w:tc>
        <w:tc>
          <w:tcPr>
            <w:tcW w:w="1701" w:type="dxa"/>
            <w:tcBorders>
              <w:bottom w:val="single" w:sz="4" w:space="0" w:color="000000"/>
              <w:right w:val="single" w:sz="4" w:space="0" w:color="000000"/>
            </w:tcBorders>
          </w:tcPr>
          <w:p w:rsidR="00E95FB1" w:rsidRPr="001916D0" w:rsidRDefault="00E95FB1" w:rsidP="001B3967">
            <w:pPr>
              <w:pBdr>
                <w:top w:val="nil"/>
                <w:left w:val="nil"/>
                <w:bottom w:val="nil"/>
                <w:right w:val="nil"/>
                <w:between w:val="nil"/>
              </w:pBdr>
              <w:jc w:val="center"/>
              <w:rPr>
                <w:b/>
                <w:color w:val="000000"/>
                <w:sz w:val="22"/>
              </w:rPr>
            </w:pPr>
            <w:r w:rsidRPr="001916D0">
              <w:rPr>
                <w:b/>
                <w:color w:val="000000"/>
                <w:sz w:val="22"/>
              </w:rPr>
              <w:t>Державний бюджет</w:t>
            </w:r>
          </w:p>
        </w:tc>
        <w:tc>
          <w:tcPr>
            <w:tcW w:w="1701" w:type="dxa"/>
            <w:tcBorders>
              <w:bottom w:val="single" w:sz="4" w:space="0" w:color="000000"/>
              <w:right w:val="single" w:sz="4" w:space="0" w:color="000000"/>
            </w:tcBorders>
          </w:tcPr>
          <w:p w:rsidR="00E95FB1" w:rsidRPr="001916D0" w:rsidRDefault="00E95FB1" w:rsidP="001B3967">
            <w:pPr>
              <w:pBdr>
                <w:top w:val="nil"/>
                <w:left w:val="nil"/>
                <w:bottom w:val="nil"/>
                <w:right w:val="nil"/>
                <w:between w:val="nil"/>
              </w:pBdr>
              <w:jc w:val="center"/>
              <w:rPr>
                <w:b/>
                <w:color w:val="000000"/>
                <w:sz w:val="22"/>
              </w:rPr>
            </w:pPr>
            <w:r w:rsidRPr="001916D0">
              <w:rPr>
                <w:b/>
                <w:color w:val="000000"/>
                <w:sz w:val="22"/>
              </w:rPr>
              <w:t>Місцевий бюджет</w:t>
            </w:r>
          </w:p>
        </w:tc>
        <w:tc>
          <w:tcPr>
            <w:tcW w:w="2626" w:type="dxa"/>
            <w:gridSpan w:val="3"/>
            <w:tcBorders>
              <w:left w:val="single" w:sz="4" w:space="0" w:color="000000"/>
              <w:bottom w:val="single" w:sz="4" w:space="0" w:color="000000"/>
              <w:right w:val="single" w:sz="4" w:space="0" w:color="000000"/>
            </w:tcBorders>
          </w:tcPr>
          <w:p w:rsidR="00E95FB1" w:rsidRPr="001916D0" w:rsidRDefault="00E95FB1" w:rsidP="001B3967">
            <w:pPr>
              <w:pBdr>
                <w:top w:val="nil"/>
                <w:left w:val="nil"/>
                <w:bottom w:val="nil"/>
                <w:right w:val="nil"/>
                <w:between w:val="nil"/>
              </w:pBdr>
              <w:jc w:val="center"/>
              <w:rPr>
                <w:b/>
                <w:color w:val="000000"/>
                <w:sz w:val="22"/>
              </w:rPr>
            </w:pPr>
            <w:r w:rsidRPr="001916D0">
              <w:rPr>
                <w:b/>
                <w:color w:val="000000"/>
                <w:sz w:val="22"/>
              </w:rPr>
              <w:t>Інші джерела</w:t>
            </w:r>
          </w:p>
        </w:tc>
        <w:tc>
          <w:tcPr>
            <w:tcW w:w="917" w:type="dxa"/>
            <w:tcBorders>
              <w:left w:val="single" w:sz="4" w:space="0" w:color="000000"/>
              <w:bottom w:val="single" w:sz="4" w:space="0" w:color="000000"/>
            </w:tcBorders>
          </w:tcPr>
          <w:p w:rsidR="00E95FB1" w:rsidRPr="001916D0" w:rsidRDefault="00E95FB1" w:rsidP="001B3967">
            <w:pPr>
              <w:pBdr>
                <w:top w:val="nil"/>
                <w:left w:val="nil"/>
                <w:bottom w:val="nil"/>
                <w:right w:val="nil"/>
                <w:between w:val="nil"/>
              </w:pBdr>
              <w:jc w:val="center"/>
              <w:rPr>
                <w:b/>
                <w:color w:val="000000"/>
                <w:sz w:val="22"/>
              </w:rPr>
            </w:pPr>
            <w:r w:rsidRPr="001916D0">
              <w:rPr>
                <w:b/>
                <w:color w:val="000000"/>
                <w:sz w:val="22"/>
              </w:rPr>
              <w:t>Всього</w:t>
            </w:r>
          </w:p>
        </w:tc>
      </w:tr>
      <w:tr w:rsidR="00E95FB1" w:rsidRPr="001916D0" w:rsidTr="001B3967">
        <w:trPr>
          <w:trHeight w:val="225"/>
        </w:trPr>
        <w:tc>
          <w:tcPr>
            <w:tcW w:w="2978" w:type="dxa"/>
            <w:vMerge/>
            <w:shd w:val="clear" w:color="auto" w:fill="C6D9F1"/>
          </w:tcPr>
          <w:p w:rsidR="00E95FB1" w:rsidRPr="001916D0" w:rsidRDefault="00E95FB1" w:rsidP="001B3967">
            <w:pPr>
              <w:widowControl w:val="0"/>
              <w:pBdr>
                <w:top w:val="nil"/>
                <w:left w:val="nil"/>
                <w:bottom w:val="nil"/>
                <w:right w:val="nil"/>
                <w:between w:val="nil"/>
              </w:pBdr>
              <w:spacing w:line="276" w:lineRule="auto"/>
              <w:rPr>
                <w:b/>
                <w:color w:val="000000"/>
                <w:sz w:val="22"/>
              </w:rPr>
            </w:pPr>
          </w:p>
        </w:tc>
        <w:tc>
          <w:tcPr>
            <w:tcW w:w="1701" w:type="dxa"/>
            <w:vMerge w:val="restart"/>
            <w:tcBorders>
              <w:top w:val="single" w:sz="4" w:space="0" w:color="000000"/>
              <w:right w:val="single" w:sz="4" w:space="0" w:color="000000"/>
            </w:tcBorders>
          </w:tcPr>
          <w:p w:rsidR="00E95FB1" w:rsidRPr="001916D0" w:rsidRDefault="00DB67FC" w:rsidP="001B3967">
            <w:pPr>
              <w:pBdr>
                <w:top w:val="nil"/>
                <w:left w:val="nil"/>
                <w:bottom w:val="nil"/>
                <w:right w:val="nil"/>
                <w:between w:val="nil"/>
              </w:pBdr>
              <w:jc w:val="center"/>
              <w:rPr>
                <w:b/>
                <w:color w:val="000000"/>
                <w:sz w:val="22"/>
              </w:rPr>
            </w:pPr>
            <w:r w:rsidRPr="001916D0">
              <w:rPr>
                <w:color w:val="000000"/>
                <w:sz w:val="22"/>
              </w:rPr>
              <w:t>1003,52</w:t>
            </w:r>
          </w:p>
        </w:tc>
        <w:tc>
          <w:tcPr>
            <w:tcW w:w="1701" w:type="dxa"/>
            <w:vMerge w:val="restart"/>
            <w:tcBorders>
              <w:top w:val="single" w:sz="4" w:space="0" w:color="000000"/>
              <w:right w:val="single" w:sz="4" w:space="0" w:color="000000"/>
            </w:tcBorders>
          </w:tcPr>
          <w:p w:rsidR="00E95FB1" w:rsidRPr="001916D0" w:rsidRDefault="00E95FB1" w:rsidP="001B3967">
            <w:pPr>
              <w:pBdr>
                <w:top w:val="nil"/>
                <w:left w:val="nil"/>
                <w:bottom w:val="nil"/>
                <w:right w:val="nil"/>
                <w:between w:val="nil"/>
              </w:pBdr>
              <w:jc w:val="center"/>
              <w:rPr>
                <w:b/>
                <w:color w:val="000000"/>
                <w:sz w:val="22"/>
              </w:rPr>
            </w:pPr>
            <w:r w:rsidRPr="001916D0">
              <w:rPr>
                <w:b/>
                <w:color w:val="000000"/>
                <w:sz w:val="22"/>
              </w:rPr>
              <w:t>-</w:t>
            </w:r>
          </w:p>
        </w:tc>
        <w:tc>
          <w:tcPr>
            <w:tcW w:w="1275" w:type="dxa"/>
            <w:tcBorders>
              <w:top w:val="single" w:sz="4" w:space="0" w:color="000000"/>
              <w:left w:val="single" w:sz="4" w:space="0" w:color="000000"/>
              <w:bottom w:val="single" w:sz="4" w:space="0" w:color="000000"/>
              <w:right w:val="single" w:sz="4" w:space="0" w:color="000000"/>
            </w:tcBorders>
          </w:tcPr>
          <w:p w:rsidR="00E95FB1" w:rsidRPr="001916D0" w:rsidRDefault="00E95FB1" w:rsidP="001B3967">
            <w:pPr>
              <w:pBdr>
                <w:top w:val="nil"/>
                <w:left w:val="nil"/>
                <w:bottom w:val="nil"/>
                <w:right w:val="nil"/>
                <w:between w:val="nil"/>
              </w:pBdr>
              <w:jc w:val="center"/>
              <w:rPr>
                <w:b/>
                <w:color w:val="000000"/>
                <w:sz w:val="22"/>
              </w:rPr>
            </w:pPr>
            <w:r w:rsidRPr="001916D0">
              <w:rPr>
                <w:b/>
                <w:color w:val="000000"/>
                <w:sz w:val="22"/>
              </w:rPr>
              <w:t>Обсяг</w:t>
            </w:r>
          </w:p>
        </w:tc>
        <w:tc>
          <w:tcPr>
            <w:tcW w:w="1351" w:type="dxa"/>
            <w:gridSpan w:val="2"/>
            <w:tcBorders>
              <w:top w:val="single" w:sz="4" w:space="0" w:color="000000"/>
              <w:left w:val="single" w:sz="4" w:space="0" w:color="000000"/>
              <w:bottom w:val="single" w:sz="4" w:space="0" w:color="000000"/>
              <w:right w:val="single" w:sz="4" w:space="0" w:color="000000"/>
            </w:tcBorders>
          </w:tcPr>
          <w:p w:rsidR="00E95FB1" w:rsidRPr="001916D0" w:rsidRDefault="00E95FB1" w:rsidP="001B3967">
            <w:pPr>
              <w:pBdr>
                <w:top w:val="nil"/>
                <w:left w:val="nil"/>
                <w:bottom w:val="nil"/>
                <w:right w:val="nil"/>
                <w:between w:val="nil"/>
              </w:pBdr>
              <w:jc w:val="center"/>
              <w:rPr>
                <w:b/>
                <w:color w:val="000000"/>
                <w:sz w:val="22"/>
              </w:rPr>
            </w:pPr>
            <w:r w:rsidRPr="001916D0">
              <w:rPr>
                <w:b/>
                <w:color w:val="000000"/>
                <w:sz w:val="22"/>
              </w:rPr>
              <w:t>Назва джерела</w:t>
            </w:r>
          </w:p>
        </w:tc>
        <w:tc>
          <w:tcPr>
            <w:tcW w:w="917" w:type="dxa"/>
            <w:vMerge w:val="restart"/>
            <w:tcBorders>
              <w:top w:val="single" w:sz="4" w:space="0" w:color="000000"/>
              <w:left w:val="single" w:sz="4" w:space="0" w:color="000000"/>
            </w:tcBorders>
          </w:tcPr>
          <w:p w:rsidR="00E95FB1" w:rsidRPr="001916D0" w:rsidRDefault="00DB67FC" w:rsidP="001B3967">
            <w:pPr>
              <w:pBdr>
                <w:top w:val="nil"/>
                <w:left w:val="nil"/>
                <w:bottom w:val="nil"/>
                <w:right w:val="nil"/>
                <w:between w:val="nil"/>
              </w:pBdr>
              <w:jc w:val="center"/>
              <w:rPr>
                <w:color w:val="000000"/>
                <w:sz w:val="22"/>
              </w:rPr>
            </w:pPr>
            <w:r w:rsidRPr="001916D0">
              <w:rPr>
                <w:color w:val="000000"/>
                <w:sz w:val="22"/>
              </w:rPr>
              <w:t>1433,6</w:t>
            </w:r>
          </w:p>
        </w:tc>
      </w:tr>
      <w:tr w:rsidR="00E95FB1" w:rsidRPr="001916D0" w:rsidTr="001B3967">
        <w:trPr>
          <w:trHeight w:val="300"/>
        </w:trPr>
        <w:tc>
          <w:tcPr>
            <w:tcW w:w="2978" w:type="dxa"/>
            <w:vMerge/>
            <w:shd w:val="clear" w:color="auto" w:fill="C6D9F1"/>
          </w:tcPr>
          <w:p w:rsidR="00E95FB1" w:rsidRPr="001916D0" w:rsidRDefault="00E95FB1" w:rsidP="001B3967">
            <w:pPr>
              <w:widowControl w:val="0"/>
              <w:pBdr>
                <w:top w:val="nil"/>
                <w:left w:val="nil"/>
                <w:bottom w:val="nil"/>
                <w:right w:val="nil"/>
                <w:between w:val="nil"/>
              </w:pBdr>
              <w:spacing w:line="276" w:lineRule="auto"/>
              <w:rPr>
                <w:color w:val="000000"/>
                <w:sz w:val="22"/>
              </w:rPr>
            </w:pPr>
          </w:p>
        </w:tc>
        <w:tc>
          <w:tcPr>
            <w:tcW w:w="1701" w:type="dxa"/>
            <w:vMerge/>
            <w:tcBorders>
              <w:top w:val="single" w:sz="4" w:space="0" w:color="000000"/>
              <w:right w:val="single" w:sz="4" w:space="0" w:color="000000"/>
            </w:tcBorders>
          </w:tcPr>
          <w:p w:rsidR="00E95FB1" w:rsidRPr="001916D0" w:rsidRDefault="00E95FB1" w:rsidP="001B3967">
            <w:pPr>
              <w:widowControl w:val="0"/>
              <w:pBdr>
                <w:top w:val="nil"/>
                <w:left w:val="nil"/>
                <w:bottom w:val="nil"/>
                <w:right w:val="nil"/>
                <w:between w:val="nil"/>
              </w:pBdr>
              <w:spacing w:line="276" w:lineRule="auto"/>
              <w:rPr>
                <w:color w:val="000000"/>
                <w:sz w:val="22"/>
              </w:rPr>
            </w:pPr>
          </w:p>
        </w:tc>
        <w:tc>
          <w:tcPr>
            <w:tcW w:w="1701" w:type="dxa"/>
            <w:vMerge/>
            <w:tcBorders>
              <w:top w:val="single" w:sz="4" w:space="0" w:color="000000"/>
              <w:right w:val="single" w:sz="4" w:space="0" w:color="000000"/>
            </w:tcBorders>
          </w:tcPr>
          <w:p w:rsidR="00E95FB1" w:rsidRPr="001916D0" w:rsidRDefault="00E95FB1" w:rsidP="001B3967">
            <w:pPr>
              <w:widowControl w:val="0"/>
              <w:pBdr>
                <w:top w:val="nil"/>
                <w:left w:val="nil"/>
                <w:bottom w:val="nil"/>
                <w:right w:val="nil"/>
                <w:between w:val="nil"/>
              </w:pBdr>
              <w:spacing w:line="276" w:lineRule="auto"/>
              <w:rPr>
                <w:color w:val="000000"/>
                <w:sz w:val="22"/>
              </w:rPr>
            </w:pPr>
          </w:p>
        </w:tc>
        <w:tc>
          <w:tcPr>
            <w:tcW w:w="1275" w:type="dxa"/>
            <w:tcBorders>
              <w:top w:val="single" w:sz="4" w:space="0" w:color="000000"/>
              <w:left w:val="single" w:sz="4" w:space="0" w:color="000000"/>
              <w:right w:val="single" w:sz="4" w:space="0" w:color="000000"/>
            </w:tcBorders>
          </w:tcPr>
          <w:p w:rsidR="00E95FB1" w:rsidRPr="001916D0" w:rsidRDefault="00DB67FC" w:rsidP="001B3967">
            <w:pPr>
              <w:pBdr>
                <w:top w:val="nil"/>
                <w:left w:val="nil"/>
                <w:bottom w:val="nil"/>
                <w:right w:val="nil"/>
                <w:between w:val="nil"/>
              </w:pBdr>
              <w:jc w:val="center"/>
              <w:rPr>
                <w:b/>
                <w:color w:val="000000"/>
                <w:sz w:val="22"/>
              </w:rPr>
            </w:pPr>
            <w:r w:rsidRPr="001916D0">
              <w:rPr>
                <w:color w:val="000000"/>
                <w:sz w:val="22"/>
              </w:rPr>
              <w:t>430,08</w:t>
            </w:r>
          </w:p>
        </w:tc>
        <w:tc>
          <w:tcPr>
            <w:tcW w:w="1351" w:type="dxa"/>
            <w:gridSpan w:val="2"/>
            <w:tcBorders>
              <w:top w:val="single" w:sz="4" w:space="0" w:color="000000"/>
              <w:left w:val="single" w:sz="4" w:space="0" w:color="000000"/>
              <w:right w:val="single" w:sz="4" w:space="0" w:color="000000"/>
            </w:tcBorders>
          </w:tcPr>
          <w:p w:rsidR="00E95FB1" w:rsidRPr="001916D0" w:rsidRDefault="00E95FB1" w:rsidP="001B3967">
            <w:pPr>
              <w:pBdr>
                <w:top w:val="nil"/>
                <w:left w:val="nil"/>
                <w:bottom w:val="nil"/>
                <w:right w:val="nil"/>
                <w:between w:val="nil"/>
              </w:pBdr>
              <w:jc w:val="center"/>
              <w:rPr>
                <w:color w:val="000000"/>
                <w:sz w:val="22"/>
              </w:rPr>
            </w:pPr>
            <w:r w:rsidRPr="001916D0">
              <w:rPr>
                <w:color w:val="000000"/>
                <w:sz w:val="22"/>
              </w:rPr>
              <w:t xml:space="preserve">Іноземні інвестиції, кошти </w:t>
            </w:r>
            <w:r w:rsidRPr="001916D0">
              <w:rPr>
                <w:color w:val="000000"/>
                <w:sz w:val="22"/>
              </w:rPr>
              <w:lastRenderedPageBreak/>
              <w:t>приватних осіб</w:t>
            </w:r>
          </w:p>
        </w:tc>
        <w:tc>
          <w:tcPr>
            <w:tcW w:w="917" w:type="dxa"/>
            <w:vMerge/>
            <w:tcBorders>
              <w:top w:val="single" w:sz="4" w:space="0" w:color="000000"/>
              <w:left w:val="single" w:sz="4" w:space="0" w:color="000000"/>
            </w:tcBorders>
          </w:tcPr>
          <w:p w:rsidR="00E95FB1" w:rsidRPr="001916D0" w:rsidRDefault="00E95FB1" w:rsidP="001B3967">
            <w:pPr>
              <w:widowControl w:val="0"/>
              <w:pBdr>
                <w:top w:val="nil"/>
                <w:left w:val="nil"/>
                <w:bottom w:val="nil"/>
                <w:right w:val="nil"/>
                <w:between w:val="nil"/>
              </w:pBdr>
              <w:spacing w:line="276" w:lineRule="auto"/>
              <w:rPr>
                <w:color w:val="000000"/>
                <w:sz w:val="22"/>
              </w:rPr>
            </w:pPr>
          </w:p>
        </w:tc>
      </w:tr>
    </w:tbl>
    <w:p w:rsidR="00E95FB1" w:rsidRPr="001916D0" w:rsidRDefault="00E95FB1" w:rsidP="00E95FB1">
      <w:pPr>
        <w:rPr>
          <w:sz w:val="22"/>
        </w:rPr>
      </w:pPr>
    </w:p>
    <w:p w:rsidR="00E95FB1" w:rsidRPr="001916D0" w:rsidRDefault="00E95FB1" w:rsidP="00E95FB1">
      <w:pPr>
        <w:rPr>
          <w:sz w:val="22"/>
        </w:rPr>
      </w:pPr>
    </w:p>
    <w:p w:rsidR="00E95FB1" w:rsidRPr="001916D0" w:rsidRDefault="00E95FB1" w:rsidP="00E95FB1">
      <w:pPr>
        <w:rPr>
          <w:sz w:val="22"/>
        </w:rPr>
      </w:pPr>
    </w:p>
    <w:p w:rsidR="00E95FB1" w:rsidRPr="001916D0" w:rsidRDefault="00E95FB1" w:rsidP="00E95FB1">
      <w:pPr>
        <w:rPr>
          <w:sz w:val="22"/>
        </w:rPr>
      </w:pPr>
    </w:p>
    <w:p w:rsidR="00E95FB1" w:rsidRPr="001916D0" w:rsidRDefault="00E95FB1" w:rsidP="00E95FB1">
      <w:pPr>
        <w:rPr>
          <w:sz w:val="22"/>
        </w:rPr>
      </w:pPr>
    </w:p>
    <w:tbl>
      <w:tblPr>
        <w:tblStyle w:val="af"/>
        <w:tblW w:w="0" w:type="auto"/>
        <w:tblInd w:w="-176" w:type="dxa"/>
        <w:tblLook w:val="04A0" w:firstRow="1" w:lastRow="0" w:firstColumn="1" w:lastColumn="0" w:noHBand="0" w:noVBand="1"/>
      </w:tblPr>
      <w:tblGrid>
        <w:gridCol w:w="2786"/>
        <w:gridCol w:w="1639"/>
        <w:gridCol w:w="1426"/>
        <w:gridCol w:w="206"/>
        <w:gridCol w:w="765"/>
        <w:gridCol w:w="1078"/>
        <w:gridCol w:w="372"/>
        <w:gridCol w:w="1390"/>
      </w:tblGrid>
      <w:tr w:rsidR="00E95FB1" w:rsidRPr="001916D0" w:rsidTr="001B3967">
        <w:tc>
          <w:tcPr>
            <w:tcW w:w="289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Оперативна ціль/завдання</w:t>
            </w:r>
          </w:p>
        </w:tc>
        <w:tc>
          <w:tcPr>
            <w:tcW w:w="6989" w:type="dxa"/>
            <w:gridSpan w:val="7"/>
            <w:shd w:val="clear" w:color="auto" w:fill="auto"/>
          </w:tcPr>
          <w:p w:rsidR="00E95FB1" w:rsidRPr="001916D0" w:rsidRDefault="00E95FB1" w:rsidP="001B3967">
            <w:pPr>
              <w:pStyle w:val="a7"/>
              <w:ind w:left="0"/>
              <w:rPr>
                <w:b/>
                <w:sz w:val="22"/>
                <w:lang w:val="uk-UA"/>
              </w:rPr>
            </w:pPr>
            <w:r w:rsidRPr="001916D0">
              <w:rPr>
                <w:rFonts w:eastAsia="Arial"/>
                <w:sz w:val="22"/>
                <w:lang w:val="uk-UA"/>
              </w:rPr>
              <w:t>SMART – трансформація економіки та відновлення інвестиційної привабливості громади. Маркетинг території громади та залучення інвестицій</w:t>
            </w:r>
          </w:p>
        </w:tc>
      </w:tr>
      <w:tr w:rsidR="00E95FB1" w:rsidRPr="001916D0" w:rsidTr="001B3967">
        <w:tc>
          <w:tcPr>
            <w:tcW w:w="289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Назва проекту:</w:t>
            </w:r>
          </w:p>
        </w:tc>
        <w:tc>
          <w:tcPr>
            <w:tcW w:w="6989" w:type="dxa"/>
            <w:gridSpan w:val="7"/>
          </w:tcPr>
          <w:p w:rsidR="00E95FB1" w:rsidRPr="001916D0" w:rsidRDefault="00E95FB1" w:rsidP="001B3967">
            <w:pPr>
              <w:pStyle w:val="a7"/>
              <w:ind w:left="0"/>
              <w:rPr>
                <w:sz w:val="22"/>
                <w:lang w:val="uk-UA"/>
              </w:rPr>
            </w:pPr>
            <w:r w:rsidRPr="001916D0">
              <w:rPr>
                <w:sz w:val="22"/>
                <w:lang w:val="uk-UA"/>
              </w:rPr>
              <w:t>Формування матеріальної бази для забезпечення оптимальних умов зберігання архівних документів ліквідованих підприємств, організацій та установ Сєвєродонецької міської територіальної громади</w:t>
            </w:r>
          </w:p>
        </w:tc>
      </w:tr>
      <w:tr w:rsidR="00E95FB1" w:rsidRPr="001916D0" w:rsidTr="001B3967">
        <w:tc>
          <w:tcPr>
            <w:tcW w:w="2899" w:type="dxa"/>
            <w:shd w:val="clear" w:color="auto" w:fill="C6D9F1" w:themeFill="text2" w:themeFillTint="33"/>
          </w:tcPr>
          <w:p w:rsidR="00E95FB1" w:rsidRPr="001916D0" w:rsidRDefault="00E95FB1" w:rsidP="001B3967">
            <w:pPr>
              <w:rPr>
                <w:b/>
                <w:sz w:val="22"/>
                <w:lang w:val="uk-UA"/>
              </w:rPr>
            </w:pPr>
            <w:r w:rsidRPr="001916D0">
              <w:rPr>
                <w:b/>
                <w:sz w:val="22"/>
                <w:lang w:val="uk-UA"/>
              </w:rPr>
              <w:t>Ціль проекту</w:t>
            </w:r>
          </w:p>
        </w:tc>
        <w:tc>
          <w:tcPr>
            <w:tcW w:w="6989" w:type="dxa"/>
            <w:gridSpan w:val="7"/>
          </w:tcPr>
          <w:p w:rsidR="00E95FB1" w:rsidRPr="001916D0" w:rsidRDefault="00E95FB1" w:rsidP="000303D7">
            <w:pPr>
              <w:pStyle w:val="a7"/>
              <w:numPr>
                <w:ilvl w:val="0"/>
                <w:numId w:val="14"/>
              </w:numPr>
              <w:jc w:val="left"/>
              <w:rPr>
                <w:sz w:val="22"/>
                <w:lang w:val="uk-UA"/>
              </w:rPr>
            </w:pPr>
            <w:r w:rsidRPr="001916D0">
              <w:rPr>
                <w:sz w:val="22"/>
                <w:lang w:val="uk-UA"/>
              </w:rPr>
              <w:t>Забезпечення централізованого зберігання архівних документів ліквідованих підприємств, організацій та установ Сєвєродонецької міської територіальної громади (МТГ), ведення їх обліку та використання відомостей, що в них містяться.</w:t>
            </w:r>
          </w:p>
          <w:p w:rsidR="00E95FB1" w:rsidRPr="001916D0" w:rsidRDefault="00E95FB1" w:rsidP="000303D7">
            <w:pPr>
              <w:pStyle w:val="a7"/>
              <w:numPr>
                <w:ilvl w:val="0"/>
                <w:numId w:val="14"/>
              </w:numPr>
              <w:jc w:val="left"/>
              <w:rPr>
                <w:sz w:val="22"/>
                <w:lang w:val="uk-UA"/>
              </w:rPr>
            </w:pPr>
            <w:r w:rsidRPr="001916D0">
              <w:rPr>
                <w:sz w:val="22"/>
                <w:lang w:val="uk-UA"/>
              </w:rPr>
              <w:t xml:space="preserve">Реалізація конституційних прав громадян на отримання архівних довідок соціально-правового характеру. </w:t>
            </w:r>
          </w:p>
          <w:p w:rsidR="00E95FB1" w:rsidRPr="001916D0" w:rsidRDefault="00E95FB1" w:rsidP="000303D7">
            <w:pPr>
              <w:pStyle w:val="a7"/>
              <w:numPr>
                <w:ilvl w:val="0"/>
                <w:numId w:val="14"/>
              </w:numPr>
              <w:jc w:val="left"/>
              <w:rPr>
                <w:sz w:val="22"/>
                <w:lang w:val="uk-UA"/>
              </w:rPr>
            </w:pPr>
            <w:r w:rsidRPr="001916D0">
              <w:rPr>
                <w:sz w:val="22"/>
                <w:lang w:val="uk-UA"/>
              </w:rPr>
              <w:t xml:space="preserve">Створення електронного архіву для формування резервних копій архівних документів та захисту інформації від </w:t>
            </w:r>
            <w:proofErr w:type="spellStart"/>
            <w:r w:rsidRPr="001916D0">
              <w:rPr>
                <w:sz w:val="22"/>
                <w:lang w:val="uk-UA"/>
              </w:rPr>
              <w:t>форсмажорних</w:t>
            </w:r>
            <w:proofErr w:type="spellEnd"/>
            <w:r w:rsidRPr="001916D0">
              <w:rPr>
                <w:sz w:val="22"/>
                <w:lang w:val="uk-UA"/>
              </w:rPr>
              <w:t xml:space="preserve"> обставин.</w:t>
            </w:r>
          </w:p>
        </w:tc>
      </w:tr>
      <w:tr w:rsidR="00E95FB1" w:rsidRPr="001916D0" w:rsidTr="001B3967">
        <w:tc>
          <w:tcPr>
            <w:tcW w:w="289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Територія, на яку матиме вплив реалізація проекту</w:t>
            </w:r>
          </w:p>
        </w:tc>
        <w:tc>
          <w:tcPr>
            <w:tcW w:w="6989" w:type="dxa"/>
            <w:gridSpan w:val="7"/>
          </w:tcPr>
          <w:p w:rsidR="00E95FB1" w:rsidRPr="001916D0" w:rsidRDefault="00E95FB1" w:rsidP="001B3967">
            <w:pPr>
              <w:pStyle w:val="a7"/>
              <w:ind w:left="0"/>
              <w:rPr>
                <w:sz w:val="22"/>
                <w:lang w:val="uk-UA"/>
              </w:rPr>
            </w:pPr>
            <w:r w:rsidRPr="001916D0">
              <w:rPr>
                <w:sz w:val="22"/>
                <w:lang w:val="uk-UA"/>
              </w:rPr>
              <w:t>Сєвєродонецька міська територіальна громада</w:t>
            </w:r>
          </w:p>
        </w:tc>
      </w:tr>
      <w:tr w:rsidR="00E95FB1" w:rsidRPr="001916D0" w:rsidTr="001B3967">
        <w:tc>
          <w:tcPr>
            <w:tcW w:w="289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Чисельність населення, на яке матиме вплив реалізація проекту</w:t>
            </w:r>
          </w:p>
        </w:tc>
        <w:tc>
          <w:tcPr>
            <w:tcW w:w="6989" w:type="dxa"/>
            <w:gridSpan w:val="7"/>
          </w:tcPr>
          <w:p w:rsidR="00E95FB1" w:rsidRPr="001916D0" w:rsidRDefault="00E95FB1" w:rsidP="001B3967">
            <w:pPr>
              <w:pStyle w:val="a7"/>
              <w:ind w:left="0"/>
              <w:rPr>
                <w:sz w:val="22"/>
                <w:lang w:val="uk-UA"/>
              </w:rPr>
            </w:pPr>
            <w:r w:rsidRPr="001916D0">
              <w:rPr>
                <w:sz w:val="22"/>
                <w:lang w:val="uk-UA"/>
              </w:rPr>
              <w:t xml:space="preserve"> 70260 осіб</w:t>
            </w:r>
          </w:p>
        </w:tc>
      </w:tr>
      <w:tr w:rsidR="00E95FB1" w:rsidRPr="001916D0" w:rsidTr="001B3967">
        <w:tc>
          <w:tcPr>
            <w:tcW w:w="2899" w:type="dxa"/>
            <w:shd w:val="clear" w:color="auto" w:fill="C6D9F1" w:themeFill="text2" w:themeFillTint="33"/>
          </w:tcPr>
          <w:p w:rsidR="00E95FB1" w:rsidRPr="001916D0" w:rsidRDefault="00E95FB1" w:rsidP="001B3967">
            <w:pPr>
              <w:rPr>
                <w:b/>
                <w:sz w:val="22"/>
                <w:lang w:val="uk-UA"/>
              </w:rPr>
            </w:pPr>
            <w:r w:rsidRPr="001916D0">
              <w:rPr>
                <w:b/>
                <w:sz w:val="22"/>
                <w:lang w:val="uk-UA"/>
              </w:rPr>
              <w:t>Опис проблеми, на вирішення якої  спрямований проект</w:t>
            </w:r>
          </w:p>
        </w:tc>
        <w:tc>
          <w:tcPr>
            <w:tcW w:w="6989" w:type="dxa"/>
            <w:gridSpan w:val="7"/>
          </w:tcPr>
          <w:p w:rsidR="00E95FB1" w:rsidRPr="001916D0" w:rsidRDefault="00E95FB1" w:rsidP="001B3967">
            <w:pPr>
              <w:rPr>
                <w:sz w:val="22"/>
                <w:lang w:val="uk-UA"/>
              </w:rPr>
            </w:pPr>
            <w:r w:rsidRPr="001916D0">
              <w:rPr>
                <w:sz w:val="22"/>
                <w:lang w:val="uk-UA"/>
              </w:rPr>
              <w:t xml:space="preserve">У зв’язку з військовою агресією </w:t>
            </w:r>
            <w:r w:rsidR="00F77B06" w:rsidRPr="001916D0">
              <w:rPr>
                <w:sz w:val="22"/>
                <w:szCs w:val="22"/>
                <w:lang w:val="uk-UA"/>
              </w:rPr>
              <w:t>РФ</w:t>
            </w:r>
            <w:r w:rsidRPr="001916D0">
              <w:rPr>
                <w:sz w:val="22"/>
                <w:lang w:val="uk-UA"/>
              </w:rPr>
              <w:t xml:space="preserve"> та проведенням бойових дій на території Сєвєродонецької МТГ з подальшою її окупацією було викрадене майно КУ «Трудовий архів м. Сєвєродонецька», пошкоджено внутрішнє оздоблення приміщень архіву, зруйновані металеві двері, а також знищено охоронну та протипожежну сигналізацію. Для відновлення функціонування КУ «Трудовий архів м. Сєвєродонецька» необхідно придбати комп’ютерну техніку, прилади, обладнання, інструменти, інвентар, а також відновити охорону приміщень архіву та пожежну безпеку.</w:t>
            </w:r>
          </w:p>
          <w:p w:rsidR="00E95FB1" w:rsidRPr="001916D0" w:rsidRDefault="00E95FB1" w:rsidP="001B3967">
            <w:pPr>
              <w:pStyle w:val="13"/>
              <w:jc w:val="both"/>
              <w:rPr>
                <w:sz w:val="22"/>
                <w:lang w:val="uk-UA"/>
              </w:rPr>
            </w:pPr>
            <w:r w:rsidRPr="001916D0">
              <w:rPr>
                <w:sz w:val="22"/>
                <w:lang w:val="uk-UA"/>
              </w:rPr>
              <w:t xml:space="preserve">           Проведення бойових дій та інші </w:t>
            </w:r>
            <w:proofErr w:type="spellStart"/>
            <w:r w:rsidRPr="001916D0">
              <w:rPr>
                <w:sz w:val="22"/>
                <w:lang w:val="uk-UA"/>
              </w:rPr>
              <w:t>форсмажорні</w:t>
            </w:r>
            <w:proofErr w:type="spellEnd"/>
            <w:r w:rsidRPr="001916D0">
              <w:rPr>
                <w:sz w:val="22"/>
                <w:lang w:val="uk-UA"/>
              </w:rPr>
              <w:t xml:space="preserve"> обставини можуть призвести до знищення архівних документів, тому важливо створити </w:t>
            </w:r>
            <w:r w:rsidRPr="001916D0">
              <w:rPr>
                <w:bCs/>
                <w:sz w:val="22"/>
                <w:lang w:val="uk-UA"/>
              </w:rPr>
              <w:t>електро</w:t>
            </w:r>
            <w:r w:rsidR="00A508E8">
              <w:rPr>
                <w:bCs/>
                <w:sz w:val="22"/>
                <w:lang w:val="uk-UA"/>
              </w:rPr>
              <w:t>н</w:t>
            </w:r>
            <w:r w:rsidRPr="001916D0">
              <w:rPr>
                <w:bCs/>
                <w:sz w:val="22"/>
                <w:lang w:val="uk-UA"/>
              </w:rPr>
              <w:t>ну</w:t>
            </w:r>
            <w:r w:rsidRPr="001916D0">
              <w:rPr>
                <w:sz w:val="22"/>
                <w:lang w:val="uk-UA"/>
              </w:rPr>
              <w:t xml:space="preserve"> базу </w:t>
            </w:r>
            <w:proofErr w:type="spellStart"/>
            <w:r w:rsidRPr="001916D0">
              <w:rPr>
                <w:sz w:val="22"/>
                <w:lang w:val="uk-UA"/>
              </w:rPr>
              <w:t>відсканованих</w:t>
            </w:r>
            <w:proofErr w:type="spellEnd"/>
            <w:r w:rsidRPr="001916D0">
              <w:rPr>
                <w:sz w:val="22"/>
                <w:lang w:val="uk-UA"/>
              </w:rPr>
              <w:t xml:space="preserve"> архівних документів, яка дозволить зберегти </w:t>
            </w:r>
            <w:r w:rsidRPr="001916D0">
              <w:rPr>
                <w:bCs/>
                <w:sz w:val="22"/>
                <w:lang w:val="uk-UA"/>
              </w:rPr>
              <w:t>соціально</w:t>
            </w:r>
            <w:r w:rsidR="00F77B06" w:rsidRPr="001916D0">
              <w:rPr>
                <w:bCs/>
                <w:sz w:val="22"/>
                <w:lang w:val="uk-UA"/>
              </w:rPr>
              <w:t xml:space="preserve"> </w:t>
            </w:r>
            <w:r w:rsidRPr="001916D0">
              <w:rPr>
                <w:bCs/>
                <w:sz w:val="22"/>
                <w:lang w:val="uk-UA"/>
              </w:rPr>
              <w:t>значущу</w:t>
            </w:r>
            <w:r w:rsidRPr="001916D0">
              <w:rPr>
                <w:sz w:val="22"/>
                <w:lang w:val="uk-UA"/>
              </w:rPr>
              <w:t xml:space="preserve"> інформацію</w:t>
            </w:r>
            <w:r w:rsidR="00F77B06" w:rsidRPr="001916D0">
              <w:rPr>
                <w:bCs/>
                <w:sz w:val="22"/>
                <w:lang w:val="uk-UA"/>
              </w:rPr>
              <w:t>,</w:t>
            </w:r>
            <w:r w:rsidRPr="001916D0">
              <w:rPr>
                <w:sz w:val="22"/>
                <w:lang w:val="uk-UA"/>
              </w:rPr>
              <w:t xml:space="preserve"> та у разі настання </w:t>
            </w:r>
            <w:proofErr w:type="spellStart"/>
            <w:r w:rsidRPr="001916D0">
              <w:rPr>
                <w:sz w:val="22"/>
                <w:lang w:val="uk-UA"/>
              </w:rPr>
              <w:t>форсмажорних</w:t>
            </w:r>
            <w:proofErr w:type="spellEnd"/>
            <w:r w:rsidRPr="001916D0">
              <w:rPr>
                <w:sz w:val="22"/>
                <w:lang w:val="uk-UA"/>
              </w:rPr>
              <w:t xml:space="preserve"> обставин забезпечити </w:t>
            </w:r>
            <w:proofErr w:type="spellStart"/>
            <w:r w:rsidRPr="001916D0">
              <w:rPr>
                <w:sz w:val="22"/>
                <w:lang w:val="uk-UA"/>
              </w:rPr>
              <w:t>безперевність</w:t>
            </w:r>
            <w:proofErr w:type="spellEnd"/>
            <w:r w:rsidRPr="001916D0">
              <w:rPr>
                <w:sz w:val="22"/>
                <w:lang w:val="uk-UA"/>
              </w:rPr>
              <w:t xml:space="preserve"> </w:t>
            </w:r>
            <w:proofErr w:type="spellStart"/>
            <w:r w:rsidRPr="001916D0">
              <w:rPr>
                <w:sz w:val="22"/>
                <w:lang w:val="uk-UA"/>
              </w:rPr>
              <w:t>наданя</w:t>
            </w:r>
            <w:proofErr w:type="spellEnd"/>
            <w:r w:rsidRPr="001916D0">
              <w:rPr>
                <w:sz w:val="22"/>
                <w:lang w:val="uk-UA"/>
              </w:rPr>
              <w:t xml:space="preserve"> довідок соціально - правового характеру у дистанційному режимі.</w:t>
            </w:r>
          </w:p>
        </w:tc>
      </w:tr>
      <w:tr w:rsidR="00E95FB1" w:rsidRPr="001916D0" w:rsidTr="001B3967">
        <w:tc>
          <w:tcPr>
            <w:tcW w:w="289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якісні результати від реалізації проекту</w:t>
            </w:r>
          </w:p>
        </w:tc>
        <w:tc>
          <w:tcPr>
            <w:tcW w:w="6989" w:type="dxa"/>
            <w:gridSpan w:val="7"/>
          </w:tcPr>
          <w:p w:rsidR="00E95FB1" w:rsidRPr="001916D0" w:rsidRDefault="00E95FB1" w:rsidP="000303D7">
            <w:pPr>
              <w:pStyle w:val="a7"/>
              <w:numPr>
                <w:ilvl w:val="0"/>
                <w:numId w:val="15"/>
              </w:numPr>
              <w:jc w:val="left"/>
              <w:rPr>
                <w:sz w:val="22"/>
                <w:lang w:val="uk-UA"/>
              </w:rPr>
            </w:pPr>
            <w:r w:rsidRPr="001916D0">
              <w:rPr>
                <w:sz w:val="22"/>
                <w:lang w:val="uk-UA"/>
              </w:rPr>
              <w:t>- Централізоване зберігання архівних документів</w:t>
            </w:r>
          </w:p>
          <w:p w:rsidR="00E95FB1" w:rsidRPr="001916D0" w:rsidRDefault="00E95FB1" w:rsidP="000303D7">
            <w:pPr>
              <w:pStyle w:val="a7"/>
              <w:numPr>
                <w:ilvl w:val="0"/>
                <w:numId w:val="15"/>
              </w:numPr>
              <w:jc w:val="left"/>
              <w:rPr>
                <w:sz w:val="22"/>
                <w:lang w:val="uk-UA"/>
              </w:rPr>
            </w:pPr>
            <w:r w:rsidRPr="001916D0">
              <w:rPr>
                <w:sz w:val="22"/>
                <w:lang w:val="uk-UA"/>
              </w:rPr>
              <w:t>Надання довідок соціально-правового характеру</w:t>
            </w:r>
          </w:p>
          <w:p w:rsidR="00E95FB1" w:rsidRPr="001916D0" w:rsidRDefault="00E95FB1" w:rsidP="000303D7">
            <w:pPr>
              <w:pStyle w:val="a7"/>
              <w:numPr>
                <w:ilvl w:val="0"/>
                <w:numId w:val="15"/>
              </w:numPr>
              <w:jc w:val="left"/>
              <w:rPr>
                <w:sz w:val="22"/>
                <w:lang w:val="uk-UA"/>
              </w:rPr>
            </w:pPr>
            <w:r w:rsidRPr="001916D0">
              <w:rPr>
                <w:sz w:val="22"/>
                <w:lang w:val="uk-UA"/>
              </w:rPr>
              <w:t>Сканування архівних документів</w:t>
            </w:r>
          </w:p>
        </w:tc>
      </w:tr>
      <w:tr w:rsidR="00E95FB1" w:rsidRPr="001916D0" w:rsidTr="001B3967">
        <w:trPr>
          <w:trHeight w:val="390"/>
        </w:trPr>
        <w:tc>
          <w:tcPr>
            <w:tcW w:w="2899"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Очікувані кількісні результати реалізації </w:t>
            </w:r>
            <w:proofErr w:type="spellStart"/>
            <w:r w:rsidRPr="001916D0">
              <w:rPr>
                <w:b/>
                <w:sz w:val="22"/>
                <w:lang w:val="uk-UA"/>
              </w:rPr>
              <w:t>проєкту</w:t>
            </w:r>
            <w:proofErr w:type="spellEnd"/>
            <w:r w:rsidRPr="001916D0">
              <w:rPr>
                <w:b/>
                <w:sz w:val="22"/>
                <w:lang w:val="uk-UA"/>
              </w:rPr>
              <w:t xml:space="preserve"> (індикатори)</w:t>
            </w:r>
          </w:p>
          <w:p w:rsidR="00E95FB1" w:rsidRPr="001916D0" w:rsidRDefault="00E95FB1" w:rsidP="001B3967">
            <w:pPr>
              <w:pStyle w:val="a7"/>
              <w:ind w:left="0"/>
              <w:rPr>
                <w:b/>
                <w:sz w:val="22"/>
                <w:lang w:val="uk-UA"/>
              </w:rPr>
            </w:pPr>
          </w:p>
        </w:tc>
        <w:tc>
          <w:tcPr>
            <w:tcW w:w="3339" w:type="dxa"/>
            <w:gridSpan w:val="3"/>
            <w:tcBorders>
              <w:bottom w:val="single" w:sz="4" w:space="0" w:color="auto"/>
              <w:right w:val="single" w:sz="4" w:space="0" w:color="auto"/>
            </w:tcBorders>
          </w:tcPr>
          <w:p w:rsidR="00E95FB1" w:rsidRPr="001916D0" w:rsidRDefault="00E95FB1" w:rsidP="001B3967">
            <w:pPr>
              <w:pStyle w:val="a7"/>
              <w:ind w:left="-108"/>
              <w:jc w:val="center"/>
              <w:rPr>
                <w:b/>
                <w:sz w:val="22"/>
                <w:lang w:val="uk-UA"/>
              </w:rPr>
            </w:pPr>
            <w:r w:rsidRPr="001916D0">
              <w:rPr>
                <w:b/>
                <w:sz w:val="22"/>
                <w:lang w:val="uk-UA"/>
              </w:rPr>
              <w:t>Найменування показника</w:t>
            </w:r>
          </w:p>
        </w:tc>
        <w:tc>
          <w:tcPr>
            <w:tcW w:w="1843" w:type="dxa"/>
            <w:gridSpan w:val="2"/>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Одиниця вимірювання</w:t>
            </w:r>
          </w:p>
          <w:p w:rsidR="00E95FB1" w:rsidRPr="001916D0" w:rsidRDefault="00E95FB1" w:rsidP="001B3967">
            <w:pPr>
              <w:pStyle w:val="a7"/>
              <w:ind w:left="0"/>
              <w:rPr>
                <w:b/>
                <w:sz w:val="22"/>
                <w:lang w:val="uk-UA"/>
              </w:rPr>
            </w:pPr>
          </w:p>
        </w:tc>
        <w:tc>
          <w:tcPr>
            <w:tcW w:w="1807" w:type="dxa"/>
            <w:gridSpan w:val="2"/>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Прогнозне (цільове) значення</w:t>
            </w:r>
          </w:p>
        </w:tc>
      </w:tr>
      <w:tr w:rsidR="00E95FB1" w:rsidRPr="001916D0" w:rsidTr="001B3967">
        <w:trPr>
          <w:trHeight w:val="585"/>
        </w:trPr>
        <w:tc>
          <w:tcPr>
            <w:tcW w:w="2899" w:type="dxa"/>
            <w:vMerge/>
            <w:shd w:val="clear" w:color="auto" w:fill="C6D9F1" w:themeFill="text2" w:themeFillTint="33"/>
          </w:tcPr>
          <w:p w:rsidR="00E95FB1" w:rsidRPr="001916D0" w:rsidRDefault="00E95FB1" w:rsidP="001B3967">
            <w:pPr>
              <w:pStyle w:val="a7"/>
              <w:ind w:left="0"/>
              <w:rPr>
                <w:b/>
                <w:sz w:val="22"/>
                <w:lang w:val="uk-UA"/>
              </w:rPr>
            </w:pPr>
          </w:p>
        </w:tc>
        <w:tc>
          <w:tcPr>
            <w:tcW w:w="3339"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кількість архівних справ, зберігання яких треба забезпечити</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807" w:type="dxa"/>
            <w:gridSpan w:val="2"/>
            <w:tcBorders>
              <w:top w:val="single" w:sz="4" w:space="0" w:color="auto"/>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sz w:val="22"/>
                <w:lang w:val="uk-UA"/>
              </w:rPr>
              <w:t>17819</w:t>
            </w:r>
          </w:p>
        </w:tc>
      </w:tr>
      <w:tr w:rsidR="00E95FB1" w:rsidRPr="001916D0" w:rsidTr="001B3967">
        <w:trPr>
          <w:trHeight w:val="184"/>
        </w:trPr>
        <w:tc>
          <w:tcPr>
            <w:tcW w:w="2899" w:type="dxa"/>
            <w:vMerge/>
            <w:shd w:val="clear" w:color="auto" w:fill="C6D9F1" w:themeFill="text2" w:themeFillTint="33"/>
          </w:tcPr>
          <w:p w:rsidR="00E95FB1" w:rsidRPr="001916D0" w:rsidRDefault="00E95FB1" w:rsidP="001B3967">
            <w:pPr>
              <w:pStyle w:val="a7"/>
              <w:ind w:left="0"/>
              <w:rPr>
                <w:b/>
                <w:sz w:val="22"/>
                <w:lang w:val="uk-UA"/>
              </w:rPr>
            </w:pPr>
          </w:p>
        </w:tc>
        <w:tc>
          <w:tcPr>
            <w:tcW w:w="3339"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кількість наданих довідок соціально-правового характеру на рік</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807" w:type="dxa"/>
            <w:gridSpan w:val="2"/>
            <w:tcBorders>
              <w:top w:val="single" w:sz="4" w:space="0" w:color="auto"/>
              <w:left w:val="single" w:sz="4" w:space="0" w:color="auto"/>
              <w:bottom w:val="single" w:sz="4" w:space="0" w:color="auto"/>
            </w:tcBorders>
          </w:tcPr>
          <w:p w:rsidR="00E95FB1" w:rsidRPr="001916D0" w:rsidRDefault="00E95FB1" w:rsidP="001B3967">
            <w:pPr>
              <w:pStyle w:val="a7"/>
              <w:ind w:left="0"/>
              <w:jc w:val="center"/>
              <w:rPr>
                <w:sz w:val="22"/>
                <w:lang w:val="uk-UA"/>
              </w:rPr>
            </w:pPr>
            <w:r w:rsidRPr="001916D0">
              <w:rPr>
                <w:sz w:val="22"/>
                <w:lang w:val="uk-UA"/>
              </w:rPr>
              <w:t>2000</w:t>
            </w:r>
          </w:p>
        </w:tc>
      </w:tr>
      <w:tr w:rsidR="00E95FB1" w:rsidRPr="001916D0" w:rsidTr="001B3967">
        <w:trPr>
          <w:trHeight w:val="165"/>
        </w:trPr>
        <w:tc>
          <w:tcPr>
            <w:tcW w:w="2899" w:type="dxa"/>
            <w:vMerge/>
            <w:shd w:val="clear" w:color="auto" w:fill="C6D9F1" w:themeFill="text2" w:themeFillTint="33"/>
          </w:tcPr>
          <w:p w:rsidR="00E95FB1" w:rsidRPr="001916D0" w:rsidRDefault="00E95FB1" w:rsidP="001B3967">
            <w:pPr>
              <w:pStyle w:val="a7"/>
              <w:ind w:left="0"/>
              <w:rPr>
                <w:b/>
                <w:sz w:val="22"/>
                <w:lang w:val="uk-UA"/>
              </w:rPr>
            </w:pPr>
          </w:p>
        </w:tc>
        <w:tc>
          <w:tcPr>
            <w:tcW w:w="3339"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 xml:space="preserve">кількість </w:t>
            </w:r>
            <w:proofErr w:type="spellStart"/>
            <w:r w:rsidRPr="001916D0">
              <w:rPr>
                <w:sz w:val="22"/>
                <w:lang w:val="uk-UA"/>
              </w:rPr>
              <w:t>відсканованих</w:t>
            </w:r>
            <w:proofErr w:type="spellEnd"/>
            <w:r w:rsidRPr="001916D0">
              <w:rPr>
                <w:sz w:val="22"/>
                <w:lang w:val="uk-UA"/>
              </w:rPr>
              <w:t xml:space="preserve"> документів на день</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807" w:type="dxa"/>
            <w:gridSpan w:val="2"/>
            <w:tcBorders>
              <w:top w:val="single" w:sz="4" w:space="0" w:color="auto"/>
              <w:left w:val="single" w:sz="4" w:space="0" w:color="auto"/>
              <w:bottom w:val="single" w:sz="4" w:space="0" w:color="auto"/>
            </w:tcBorders>
          </w:tcPr>
          <w:p w:rsidR="00E95FB1" w:rsidRPr="001916D0" w:rsidRDefault="00E95FB1" w:rsidP="001B3967">
            <w:pPr>
              <w:pStyle w:val="a7"/>
              <w:ind w:left="0"/>
              <w:jc w:val="center"/>
              <w:rPr>
                <w:sz w:val="22"/>
                <w:lang w:val="uk-UA"/>
              </w:rPr>
            </w:pPr>
            <w:r w:rsidRPr="001916D0">
              <w:rPr>
                <w:sz w:val="22"/>
                <w:lang w:val="uk-UA"/>
              </w:rPr>
              <w:t>500</w:t>
            </w:r>
          </w:p>
        </w:tc>
      </w:tr>
      <w:tr w:rsidR="00E95FB1" w:rsidRPr="001916D0" w:rsidTr="001B3967">
        <w:tc>
          <w:tcPr>
            <w:tcW w:w="2899" w:type="dxa"/>
            <w:shd w:val="clear" w:color="auto" w:fill="C6D9F1" w:themeFill="text2" w:themeFillTint="33"/>
          </w:tcPr>
          <w:p w:rsidR="00E95FB1" w:rsidRPr="001916D0" w:rsidRDefault="00E95FB1" w:rsidP="001B3967">
            <w:pPr>
              <w:rPr>
                <w:b/>
                <w:sz w:val="22"/>
                <w:lang w:val="uk-UA"/>
              </w:rPr>
            </w:pPr>
            <w:r w:rsidRPr="001916D0">
              <w:rPr>
                <w:b/>
                <w:sz w:val="22"/>
                <w:lang w:val="uk-UA"/>
              </w:rPr>
              <w:t xml:space="preserve">Ключові заходи проекту: </w:t>
            </w:r>
          </w:p>
          <w:p w:rsidR="00E95FB1" w:rsidRPr="001916D0" w:rsidRDefault="00E95FB1" w:rsidP="001B3967">
            <w:pPr>
              <w:pStyle w:val="a7"/>
              <w:ind w:left="0"/>
              <w:rPr>
                <w:b/>
                <w:sz w:val="22"/>
                <w:lang w:val="uk-UA"/>
              </w:rPr>
            </w:pPr>
          </w:p>
        </w:tc>
        <w:tc>
          <w:tcPr>
            <w:tcW w:w="6989" w:type="dxa"/>
            <w:gridSpan w:val="7"/>
          </w:tcPr>
          <w:p w:rsidR="00E95FB1" w:rsidRPr="001916D0" w:rsidRDefault="00E95FB1" w:rsidP="000303D7">
            <w:pPr>
              <w:pStyle w:val="a7"/>
              <w:numPr>
                <w:ilvl w:val="0"/>
                <w:numId w:val="16"/>
              </w:numPr>
              <w:ind w:left="317"/>
              <w:rPr>
                <w:sz w:val="22"/>
                <w:lang w:val="uk-UA"/>
              </w:rPr>
            </w:pPr>
            <w:r w:rsidRPr="001916D0">
              <w:rPr>
                <w:sz w:val="22"/>
                <w:lang w:val="uk-UA"/>
              </w:rPr>
              <w:t>Облаштування робочих місць працівників архіву меблями;</w:t>
            </w:r>
          </w:p>
          <w:p w:rsidR="00E95FB1" w:rsidRPr="001916D0" w:rsidRDefault="00E95FB1" w:rsidP="000303D7">
            <w:pPr>
              <w:pStyle w:val="a7"/>
              <w:numPr>
                <w:ilvl w:val="0"/>
                <w:numId w:val="16"/>
              </w:numPr>
              <w:ind w:left="317"/>
              <w:rPr>
                <w:sz w:val="22"/>
                <w:lang w:val="uk-UA"/>
              </w:rPr>
            </w:pPr>
            <w:r w:rsidRPr="001916D0">
              <w:rPr>
                <w:sz w:val="22"/>
                <w:lang w:val="uk-UA"/>
              </w:rPr>
              <w:t>Забезпечення працівників необхідною комп’ютерною технікою та периферійними пристроями;</w:t>
            </w:r>
          </w:p>
          <w:p w:rsidR="00E95FB1" w:rsidRPr="001916D0" w:rsidRDefault="00E95FB1" w:rsidP="000303D7">
            <w:pPr>
              <w:pStyle w:val="a7"/>
              <w:numPr>
                <w:ilvl w:val="0"/>
                <w:numId w:val="16"/>
              </w:numPr>
              <w:ind w:left="317"/>
              <w:rPr>
                <w:sz w:val="22"/>
                <w:lang w:val="uk-UA"/>
              </w:rPr>
            </w:pPr>
            <w:r w:rsidRPr="001916D0">
              <w:rPr>
                <w:sz w:val="22"/>
                <w:lang w:val="uk-UA"/>
              </w:rPr>
              <w:t xml:space="preserve">Придбання обладнання, інструментів, приладів та інвентарю для архівосховищ; </w:t>
            </w:r>
          </w:p>
          <w:p w:rsidR="00E95FB1" w:rsidRPr="001916D0" w:rsidRDefault="00E95FB1" w:rsidP="000303D7">
            <w:pPr>
              <w:pStyle w:val="a7"/>
              <w:numPr>
                <w:ilvl w:val="0"/>
                <w:numId w:val="16"/>
              </w:numPr>
              <w:ind w:left="317"/>
              <w:rPr>
                <w:sz w:val="22"/>
                <w:lang w:val="uk-UA"/>
              </w:rPr>
            </w:pPr>
            <w:r w:rsidRPr="001916D0">
              <w:rPr>
                <w:sz w:val="22"/>
                <w:lang w:val="uk-UA"/>
              </w:rPr>
              <w:t>Монтаж системи охоронної сигналізації;</w:t>
            </w:r>
          </w:p>
          <w:p w:rsidR="00E95FB1" w:rsidRPr="001916D0" w:rsidRDefault="00E95FB1" w:rsidP="000303D7">
            <w:pPr>
              <w:pStyle w:val="a7"/>
              <w:numPr>
                <w:ilvl w:val="0"/>
                <w:numId w:val="16"/>
              </w:numPr>
              <w:ind w:left="317"/>
              <w:rPr>
                <w:sz w:val="22"/>
                <w:lang w:val="uk-UA"/>
              </w:rPr>
            </w:pPr>
            <w:r w:rsidRPr="001916D0">
              <w:rPr>
                <w:sz w:val="22"/>
                <w:lang w:val="uk-UA"/>
              </w:rPr>
              <w:t>Організувати пожежну безпеку в архіві;</w:t>
            </w:r>
          </w:p>
          <w:p w:rsidR="00E95FB1" w:rsidRPr="001916D0" w:rsidRDefault="00E95FB1" w:rsidP="000303D7">
            <w:pPr>
              <w:pStyle w:val="a7"/>
              <w:numPr>
                <w:ilvl w:val="0"/>
                <w:numId w:val="16"/>
              </w:numPr>
              <w:ind w:left="317"/>
              <w:rPr>
                <w:sz w:val="22"/>
                <w:lang w:val="uk-UA"/>
              </w:rPr>
            </w:pPr>
            <w:r w:rsidRPr="001916D0">
              <w:rPr>
                <w:sz w:val="22"/>
                <w:lang w:val="uk-UA"/>
              </w:rPr>
              <w:t xml:space="preserve">Придбання обладнання для підтримання </w:t>
            </w:r>
            <w:proofErr w:type="spellStart"/>
            <w:r w:rsidRPr="001916D0">
              <w:rPr>
                <w:sz w:val="22"/>
                <w:lang w:val="uk-UA"/>
              </w:rPr>
              <w:t>температурно-вологісного</w:t>
            </w:r>
            <w:proofErr w:type="spellEnd"/>
            <w:r w:rsidRPr="001916D0">
              <w:rPr>
                <w:sz w:val="22"/>
                <w:lang w:val="uk-UA"/>
              </w:rPr>
              <w:t xml:space="preserve"> режиму в архіві;</w:t>
            </w:r>
          </w:p>
          <w:p w:rsidR="00E95FB1" w:rsidRPr="001916D0" w:rsidRDefault="00E95FB1" w:rsidP="000303D7">
            <w:pPr>
              <w:pStyle w:val="a7"/>
              <w:numPr>
                <w:ilvl w:val="0"/>
                <w:numId w:val="16"/>
              </w:numPr>
              <w:ind w:left="317"/>
              <w:rPr>
                <w:sz w:val="22"/>
                <w:lang w:val="uk-UA"/>
              </w:rPr>
            </w:pPr>
            <w:r w:rsidRPr="001916D0">
              <w:rPr>
                <w:sz w:val="22"/>
                <w:lang w:val="uk-UA"/>
              </w:rPr>
              <w:t>Забезпечення архівосховища оптимальним освітленням з урахуванням вимог до енергозбереження;</w:t>
            </w:r>
          </w:p>
          <w:p w:rsidR="00E95FB1" w:rsidRPr="001916D0" w:rsidRDefault="00E95FB1" w:rsidP="000303D7">
            <w:pPr>
              <w:pStyle w:val="a7"/>
              <w:numPr>
                <w:ilvl w:val="0"/>
                <w:numId w:val="16"/>
              </w:numPr>
              <w:ind w:left="317"/>
              <w:rPr>
                <w:sz w:val="22"/>
                <w:lang w:val="uk-UA"/>
              </w:rPr>
            </w:pPr>
            <w:r w:rsidRPr="001916D0">
              <w:rPr>
                <w:sz w:val="22"/>
                <w:lang w:val="uk-UA"/>
              </w:rPr>
              <w:t>Придбання інвентарю для проведення санітарно-гігієнічних заходів;</w:t>
            </w:r>
          </w:p>
          <w:p w:rsidR="00E95FB1" w:rsidRPr="001916D0" w:rsidRDefault="00E95FB1" w:rsidP="000303D7">
            <w:pPr>
              <w:pStyle w:val="a7"/>
              <w:numPr>
                <w:ilvl w:val="0"/>
                <w:numId w:val="16"/>
              </w:numPr>
              <w:ind w:left="317"/>
              <w:rPr>
                <w:sz w:val="22"/>
                <w:lang w:val="uk-UA"/>
              </w:rPr>
            </w:pPr>
            <w:r w:rsidRPr="001916D0">
              <w:rPr>
                <w:sz w:val="22"/>
                <w:lang w:val="uk-UA"/>
              </w:rPr>
              <w:t>Створення зони для проведення палітурних та реставраційних робіт, облаштувати її необхідними приладами, інструментами та інвентарем;</w:t>
            </w:r>
          </w:p>
          <w:p w:rsidR="00E95FB1" w:rsidRPr="001916D0" w:rsidRDefault="00E95FB1" w:rsidP="000303D7">
            <w:pPr>
              <w:pStyle w:val="a7"/>
              <w:numPr>
                <w:ilvl w:val="0"/>
                <w:numId w:val="16"/>
              </w:numPr>
              <w:ind w:left="317"/>
              <w:jc w:val="left"/>
              <w:rPr>
                <w:sz w:val="22"/>
                <w:lang w:val="uk-UA"/>
              </w:rPr>
            </w:pPr>
            <w:r w:rsidRPr="001916D0">
              <w:rPr>
                <w:sz w:val="22"/>
                <w:lang w:val="uk-UA"/>
              </w:rPr>
              <w:t xml:space="preserve">Придбання обладнання та програмного забезпечення для </w:t>
            </w:r>
          </w:p>
          <w:p w:rsidR="00E95FB1" w:rsidRPr="001916D0" w:rsidRDefault="00E95FB1" w:rsidP="001B3967">
            <w:pPr>
              <w:pStyle w:val="a7"/>
              <w:ind w:left="317"/>
              <w:rPr>
                <w:sz w:val="22"/>
                <w:lang w:val="uk-UA"/>
              </w:rPr>
            </w:pPr>
            <w:r w:rsidRPr="001916D0">
              <w:rPr>
                <w:sz w:val="22"/>
                <w:lang w:val="uk-UA"/>
              </w:rPr>
              <w:t>створення електронної бази архівних документів</w:t>
            </w:r>
          </w:p>
          <w:p w:rsidR="00E95FB1" w:rsidRPr="001916D0" w:rsidRDefault="00E95FB1" w:rsidP="000303D7">
            <w:pPr>
              <w:pStyle w:val="a7"/>
              <w:numPr>
                <w:ilvl w:val="0"/>
                <w:numId w:val="16"/>
              </w:numPr>
              <w:ind w:left="328" w:hanging="328"/>
              <w:jc w:val="left"/>
              <w:rPr>
                <w:sz w:val="22"/>
                <w:lang w:val="uk-UA"/>
              </w:rPr>
            </w:pPr>
            <w:r w:rsidRPr="001916D0">
              <w:rPr>
                <w:sz w:val="22"/>
                <w:lang w:val="uk-UA"/>
              </w:rPr>
              <w:t>Організувати для співробітників зону відпочинку та харчування</w:t>
            </w:r>
          </w:p>
        </w:tc>
      </w:tr>
      <w:tr w:rsidR="00E95FB1" w:rsidRPr="001916D0" w:rsidTr="001B3967">
        <w:trPr>
          <w:trHeight w:val="360"/>
        </w:trPr>
        <w:tc>
          <w:tcPr>
            <w:tcW w:w="2899"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Орієнтовний обсяг та джерела фінансування, тис. грн. </w:t>
            </w:r>
          </w:p>
          <w:p w:rsidR="00E95FB1" w:rsidRPr="001916D0" w:rsidRDefault="00E95FB1" w:rsidP="001B3967">
            <w:pPr>
              <w:pStyle w:val="a7"/>
              <w:ind w:left="0"/>
              <w:rPr>
                <w:b/>
                <w:sz w:val="22"/>
                <w:lang w:val="uk-UA"/>
              </w:rPr>
            </w:pPr>
          </w:p>
        </w:tc>
        <w:tc>
          <w:tcPr>
            <w:tcW w:w="1667"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Державний бюджет</w:t>
            </w:r>
          </w:p>
        </w:tc>
        <w:tc>
          <w:tcPr>
            <w:tcW w:w="1451"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Місцевий бюджет</w:t>
            </w:r>
          </w:p>
        </w:tc>
        <w:tc>
          <w:tcPr>
            <w:tcW w:w="2461" w:type="dxa"/>
            <w:gridSpan w:val="4"/>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Інші джерела</w:t>
            </w:r>
          </w:p>
        </w:tc>
        <w:tc>
          <w:tcPr>
            <w:tcW w:w="1410" w:type="dxa"/>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Всього</w:t>
            </w:r>
          </w:p>
        </w:tc>
      </w:tr>
      <w:tr w:rsidR="00E95FB1" w:rsidRPr="001916D0" w:rsidTr="001B3967">
        <w:trPr>
          <w:trHeight w:val="225"/>
        </w:trPr>
        <w:tc>
          <w:tcPr>
            <w:tcW w:w="2899" w:type="dxa"/>
            <w:vMerge/>
            <w:shd w:val="clear" w:color="auto" w:fill="C6D9F1" w:themeFill="text2" w:themeFillTint="33"/>
          </w:tcPr>
          <w:p w:rsidR="00E95FB1" w:rsidRPr="001916D0" w:rsidRDefault="00E95FB1" w:rsidP="001B3967">
            <w:pPr>
              <w:pStyle w:val="a7"/>
              <w:ind w:left="0"/>
              <w:rPr>
                <w:b/>
                <w:sz w:val="22"/>
                <w:lang w:val="uk-UA"/>
              </w:rPr>
            </w:pPr>
          </w:p>
        </w:tc>
        <w:tc>
          <w:tcPr>
            <w:tcW w:w="1667" w:type="dxa"/>
            <w:vMerge w:val="restart"/>
            <w:tcBorders>
              <w:top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sz w:val="22"/>
                <w:lang w:val="uk-UA"/>
              </w:rPr>
              <w:t>2410,1</w:t>
            </w:r>
          </w:p>
        </w:tc>
        <w:tc>
          <w:tcPr>
            <w:tcW w:w="1451" w:type="dxa"/>
            <w:vMerge w:val="restart"/>
            <w:tcBorders>
              <w:top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w:t>
            </w:r>
          </w:p>
        </w:tc>
        <w:tc>
          <w:tcPr>
            <w:tcW w:w="986"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Обсяг</w:t>
            </w:r>
          </w:p>
        </w:tc>
        <w:tc>
          <w:tcPr>
            <w:tcW w:w="1475"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Назва джерела</w:t>
            </w:r>
          </w:p>
        </w:tc>
        <w:tc>
          <w:tcPr>
            <w:tcW w:w="1410" w:type="dxa"/>
            <w:vMerge w:val="restart"/>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3443,0</w:t>
            </w:r>
          </w:p>
        </w:tc>
      </w:tr>
      <w:tr w:rsidR="00E95FB1" w:rsidRPr="001916D0" w:rsidTr="001B3967">
        <w:trPr>
          <w:trHeight w:val="300"/>
        </w:trPr>
        <w:tc>
          <w:tcPr>
            <w:tcW w:w="2899" w:type="dxa"/>
            <w:vMerge/>
            <w:shd w:val="clear" w:color="auto" w:fill="C6D9F1" w:themeFill="text2" w:themeFillTint="33"/>
          </w:tcPr>
          <w:p w:rsidR="00E95FB1" w:rsidRPr="001916D0" w:rsidRDefault="00E95FB1" w:rsidP="001B3967">
            <w:pPr>
              <w:pStyle w:val="a7"/>
              <w:ind w:left="0"/>
              <w:rPr>
                <w:b/>
                <w:sz w:val="22"/>
                <w:lang w:val="uk-UA"/>
              </w:rPr>
            </w:pPr>
          </w:p>
        </w:tc>
        <w:tc>
          <w:tcPr>
            <w:tcW w:w="1667" w:type="dxa"/>
            <w:vMerge/>
            <w:tcBorders>
              <w:right w:val="single" w:sz="4" w:space="0" w:color="auto"/>
            </w:tcBorders>
          </w:tcPr>
          <w:p w:rsidR="00E95FB1" w:rsidRPr="001916D0" w:rsidRDefault="00E95FB1" w:rsidP="001B3967">
            <w:pPr>
              <w:pStyle w:val="a7"/>
              <w:ind w:left="0"/>
              <w:jc w:val="center"/>
              <w:rPr>
                <w:sz w:val="22"/>
                <w:lang w:val="uk-UA"/>
              </w:rPr>
            </w:pPr>
          </w:p>
        </w:tc>
        <w:tc>
          <w:tcPr>
            <w:tcW w:w="1451" w:type="dxa"/>
            <w:vMerge/>
            <w:tcBorders>
              <w:right w:val="single" w:sz="4" w:space="0" w:color="auto"/>
            </w:tcBorders>
          </w:tcPr>
          <w:p w:rsidR="00E95FB1" w:rsidRPr="001916D0" w:rsidRDefault="00E95FB1" w:rsidP="001B3967">
            <w:pPr>
              <w:pStyle w:val="a7"/>
              <w:ind w:left="0"/>
              <w:jc w:val="center"/>
              <w:rPr>
                <w:b/>
                <w:sz w:val="22"/>
                <w:lang w:val="uk-UA"/>
              </w:rPr>
            </w:pPr>
          </w:p>
        </w:tc>
        <w:tc>
          <w:tcPr>
            <w:tcW w:w="986"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sz w:val="22"/>
                <w:lang w:val="uk-UA"/>
              </w:rPr>
              <w:t>1032,9</w:t>
            </w:r>
          </w:p>
        </w:tc>
        <w:tc>
          <w:tcPr>
            <w:tcW w:w="1475"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Іноземні інвестиції, кошти приватних осіб</w:t>
            </w:r>
          </w:p>
        </w:tc>
        <w:tc>
          <w:tcPr>
            <w:tcW w:w="1410" w:type="dxa"/>
            <w:vMerge/>
            <w:tcBorders>
              <w:left w:val="single" w:sz="4" w:space="0" w:color="auto"/>
            </w:tcBorders>
          </w:tcPr>
          <w:p w:rsidR="00E95FB1" w:rsidRPr="001916D0" w:rsidRDefault="00E95FB1" w:rsidP="001B3967">
            <w:pPr>
              <w:pStyle w:val="a7"/>
              <w:ind w:left="0"/>
              <w:jc w:val="center"/>
              <w:rPr>
                <w:sz w:val="22"/>
                <w:lang w:val="uk-UA"/>
              </w:rPr>
            </w:pPr>
          </w:p>
        </w:tc>
      </w:tr>
    </w:tbl>
    <w:p w:rsidR="00E95FB1" w:rsidRPr="001916D0" w:rsidRDefault="00E95FB1" w:rsidP="00E95FB1">
      <w:pPr>
        <w:rPr>
          <w:sz w:val="22"/>
        </w:rPr>
      </w:pPr>
    </w:p>
    <w:p w:rsidR="00E95FB1" w:rsidRPr="001916D0" w:rsidRDefault="00E95FB1" w:rsidP="00E95FB1">
      <w:pPr>
        <w:rPr>
          <w:sz w:val="22"/>
        </w:rPr>
      </w:pPr>
    </w:p>
    <w:tbl>
      <w:tblPr>
        <w:tblpPr w:leftFromText="180" w:rightFromText="180" w:vertAnchor="text" w:horzAnchor="page" w:tblpXSpec="center" w:tblpY="123"/>
        <w:tblW w:w="10803" w:type="dxa"/>
        <w:tblLayout w:type="fixed"/>
        <w:tblCellMar>
          <w:left w:w="30" w:type="dxa"/>
          <w:right w:w="30" w:type="dxa"/>
        </w:tblCellMar>
        <w:tblLook w:val="0000" w:firstRow="0" w:lastRow="0" w:firstColumn="0" w:lastColumn="0" w:noHBand="0" w:noVBand="0"/>
      </w:tblPr>
      <w:tblGrid>
        <w:gridCol w:w="881"/>
        <w:gridCol w:w="3260"/>
        <w:gridCol w:w="1701"/>
        <w:gridCol w:w="1701"/>
        <w:gridCol w:w="992"/>
        <w:gridCol w:w="993"/>
        <w:gridCol w:w="1275"/>
      </w:tblGrid>
      <w:tr w:rsidR="00E95FB1" w:rsidRPr="001916D0" w:rsidTr="001B3967">
        <w:trPr>
          <w:trHeight w:val="1015"/>
        </w:trPr>
        <w:tc>
          <w:tcPr>
            <w:tcW w:w="881"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Оперативна ціль/завдання</w:t>
            </w:r>
          </w:p>
        </w:tc>
        <w:tc>
          <w:tcPr>
            <w:tcW w:w="6662" w:type="dxa"/>
            <w:gridSpan w:val="5"/>
            <w:tcBorders>
              <w:top w:val="single" w:sz="6" w:space="0" w:color="auto"/>
              <w:left w:val="single" w:sz="6" w:space="0" w:color="auto"/>
              <w:bottom w:val="single" w:sz="6" w:space="0" w:color="auto"/>
              <w:right w:val="single" w:sz="6" w:space="0" w:color="auto"/>
            </w:tcBorders>
          </w:tcPr>
          <w:p w:rsidR="00E95FB1" w:rsidRPr="001916D0" w:rsidRDefault="00E95FB1" w:rsidP="001B3967">
            <w:pPr>
              <w:spacing w:line="228" w:lineRule="auto"/>
              <w:rPr>
                <w:rFonts w:eastAsia="Arial"/>
                <w:sz w:val="22"/>
              </w:rPr>
            </w:pPr>
            <w:r w:rsidRPr="001916D0">
              <w:rPr>
                <w:rFonts w:eastAsia="Arial"/>
                <w:sz w:val="22"/>
              </w:rPr>
              <w:t>SMART – трансформація економіки та відновлення інвестиційної  привабливості громади</w:t>
            </w:r>
            <w:r w:rsidR="006E3007" w:rsidRPr="001916D0">
              <w:rPr>
                <w:rFonts w:eastAsia="Arial"/>
                <w:sz w:val="22"/>
                <w:szCs w:val="22"/>
              </w:rPr>
              <w:t>.</w:t>
            </w:r>
          </w:p>
          <w:p w:rsidR="00E95FB1" w:rsidRPr="001916D0" w:rsidRDefault="00E95FB1" w:rsidP="001B3967">
            <w:pPr>
              <w:spacing w:line="228" w:lineRule="auto"/>
              <w:rPr>
                <w:rFonts w:eastAsia="Arial"/>
                <w:sz w:val="22"/>
              </w:rPr>
            </w:pPr>
            <w:r w:rsidRPr="001916D0">
              <w:rPr>
                <w:rFonts w:eastAsia="Arial"/>
                <w:sz w:val="22"/>
              </w:rPr>
              <w:t>Маркетинг  території громади та залучення інвестицій</w:t>
            </w:r>
          </w:p>
        </w:tc>
      </w:tr>
      <w:tr w:rsidR="00E95FB1" w:rsidRPr="001916D0" w:rsidTr="001B3967">
        <w:trPr>
          <w:trHeight w:val="290"/>
        </w:trPr>
        <w:tc>
          <w:tcPr>
            <w:tcW w:w="881"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Назва проекту:</w:t>
            </w:r>
            <w:r w:rsidRPr="001916D0">
              <w:rPr>
                <w:color w:val="000000"/>
                <w:sz w:val="22"/>
              </w:rPr>
              <w:t xml:space="preserve"> </w:t>
            </w:r>
          </w:p>
        </w:tc>
        <w:tc>
          <w:tcPr>
            <w:tcW w:w="6662" w:type="dxa"/>
            <w:gridSpan w:val="5"/>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rPr>
                <w:color w:val="000000"/>
                <w:sz w:val="22"/>
              </w:rPr>
            </w:pPr>
            <w:r w:rsidRPr="001916D0">
              <w:rPr>
                <w:color w:val="000000"/>
                <w:sz w:val="22"/>
              </w:rPr>
              <w:t xml:space="preserve">Проведення топографо-геодезичних робіт для створення картографічних планів території Сєвєродонецької міської територіальної громади в електронному вигляді </w:t>
            </w:r>
          </w:p>
          <w:p w:rsidR="00E95FB1" w:rsidRPr="001916D0" w:rsidRDefault="00E95FB1" w:rsidP="001B3967">
            <w:pPr>
              <w:autoSpaceDE w:val="0"/>
              <w:autoSpaceDN w:val="0"/>
              <w:adjustRightInd w:val="0"/>
              <w:rPr>
                <w:rFonts w:eastAsia="Calibri"/>
                <w:color w:val="000000"/>
                <w:sz w:val="22"/>
              </w:rPr>
            </w:pPr>
            <w:r w:rsidRPr="001916D0">
              <w:rPr>
                <w:color w:val="000000"/>
                <w:sz w:val="22"/>
              </w:rPr>
              <w:t>М 1:10 000</w:t>
            </w:r>
          </w:p>
        </w:tc>
      </w:tr>
      <w:tr w:rsidR="00E95FB1" w:rsidRPr="001916D0" w:rsidTr="001B3967">
        <w:trPr>
          <w:trHeight w:val="1075"/>
        </w:trPr>
        <w:tc>
          <w:tcPr>
            <w:tcW w:w="881"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Ціль проекту</w:t>
            </w:r>
          </w:p>
        </w:tc>
        <w:tc>
          <w:tcPr>
            <w:tcW w:w="6662" w:type="dxa"/>
            <w:gridSpan w:val="5"/>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rPr>
                <w:color w:val="000000"/>
                <w:sz w:val="22"/>
              </w:rPr>
            </w:pPr>
            <w:r w:rsidRPr="001916D0">
              <w:rPr>
                <w:color w:val="000000"/>
                <w:sz w:val="22"/>
              </w:rPr>
              <w:t>Створення картографічних планів території Сєвєродонецької міської територіальної громади в електронному вигляді для можливості розроблення містобудівної документації</w:t>
            </w:r>
          </w:p>
          <w:p w:rsidR="00E95FB1" w:rsidRPr="001916D0" w:rsidRDefault="00E95FB1" w:rsidP="001B3967">
            <w:pPr>
              <w:autoSpaceDE w:val="0"/>
              <w:autoSpaceDN w:val="0"/>
              <w:adjustRightInd w:val="0"/>
              <w:rPr>
                <w:rFonts w:eastAsia="Calibri"/>
                <w:color w:val="000000"/>
                <w:sz w:val="22"/>
              </w:rPr>
            </w:pPr>
          </w:p>
        </w:tc>
      </w:tr>
      <w:tr w:rsidR="00E95FB1" w:rsidRPr="001916D0" w:rsidTr="001B3967">
        <w:trPr>
          <w:trHeight w:val="290"/>
        </w:trPr>
        <w:tc>
          <w:tcPr>
            <w:tcW w:w="881"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Територія, на яку матиме вплив реалізація проекту</w:t>
            </w:r>
          </w:p>
        </w:tc>
        <w:tc>
          <w:tcPr>
            <w:tcW w:w="6662" w:type="dxa"/>
            <w:gridSpan w:val="5"/>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rPr>
                <w:rFonts w:eastAsia="Calibri"/>
                <w:color w:val="000000"/>
                <w:sz w:val="22"/>
              </w:rPr>
            </w:pPr>
            <w:r w:rsidRPr="001916D0">
              <w:rPr>
                <w:rFonts w:eastAsia="Calibri"/>
                <w:color w:val="000000"/>
                <w:sz w:val="22"/>
              </w:rPr>
              <w:t>Сєвєродонецька міська територіальна громада</w:t>
            </w:r>
          </w:p>
        </w:tc>
      </w:tr>
      <w:tr w:rsidR="00E95FB1" w:rsidRPr="001916D0" w:rsidTr="001B3967">
        <w:trPr>
          <w:trHeight w:val="581"/>
        </w:trPr>
        <w:tc>
          <w:tcPr>
            <w:tcW w:w="881"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Чисельність населення, на яке матиме вплив реалізація проекту</w:t>
            </w:r>
          </w:p>
        </w:tc>
        <w:tc>
          <w:tcPr>
            <w:tcW w:w="6662" w:type="dxa"/>
            <w:gridSpan w:val="5"/>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rPr>
                <w:rFonts w:eastAsia="Calibri"/>
                <w:color w:val="000000"/>
                <w:sz w:val="22"/>
              </w:rPr>
            </w:pPr>
            <w:r w:rsidRPr="001916D0">
              <w:rPr>
                <w:rFonts w:eastAsia="Calibri"/>
                <w:color w:val="000000"/>
                <w:sz w:val="22"/>
              </w:rPr>
              <w:t>105 000</w:t>
            </w:r>
          </w:p>
        </w:tc>
      </w:tr>
      <w:tr w:rsidR="00E95FB1" w:rsidRPr="001916D0" w:rsidTr="001B3967">
        <w:trPr>
          <w:trHeight w:val="1224"/>
        </w:trPr>
        <w:tc>
          <w:tcPr>
            <w:tcW w:w="881"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Опис проблеми, на вирішення якої спрямований проект</w:t>
            </w:r>
          </w:p>
        </w:tc>
        <w:tc>
          <w:tcPr>
            <w:tcW w:w="6662" w:type="dxa"/>
            <w:gridSpan w:val="5"/>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rPr>
                <w:rFonts w:eastAsia="Calibri"/>
                <w:color w:val="000000"/>
                <w:sz w:val="22"/>
              </w:rPr>
            </w:pPr>
            <w:r w:rsidRPr="001916D0">
              <w:rPr>
                <w:rFonts w:eastAsia="Calibri"/>
                <w:color w:val="000000"/>
                <w:sz w:val="22"/>
              </w:rPr>
              <w:t>Відсутність картографічних планів. необхідних для розроблення містобудівної документації</w:t>
            </w:r>
          </w:p>
        </w:tc>
      </w:tr>
      <w:tr w:rsidR="00E95FB1" w:rsidRPr="001916D0" w:rsidTr="001B3967">
        <w:trPr>
          <w:trHeight w:val="528"/>
        </w:trPr>
        <w:tc>
          <w:tcPr>
            <w:tcW w:w="881"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Очікувані якісні результати від реалізації проекту</w:t>
            </w:r>
          </w:p>
        </w:tc>
        <w:tc>
          <w:tcPr>
            <w:tcW w:w="6662" w:type="dxa"/>
            <w:gridSpan w:val="5"/>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rPr>
                <w:rFonts w:eastAsia="Calibri"/>
                <w:color w:val="000000"/>
                <w:sz w:val="22"/>
              </w:rPr>
            </w:pPr>
            <w:r w:rsidRPr="001916D0">
              <w:rPr>
                <w:color w:val="000000"/>
                <w:sz w:val="22"/>
              </w:rPr>
              <w:t xml:space="preserve">Можливість розроблення містобудівної документації </w:t>
            </w:r>
          </w:p>
        </w:tc>
      </w:tr>
      <w:tr w:rsidR="00E95FB1" w:rsidRPr="001916D0" w:rsidTr="001B3967">
        <w:trPr>
          <w:trHeight w:val="581"/>
        </w:trPr>
        <w:tc>
          <w:tcPr>
            <w:tcW w:w="881"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Очікувані кількісні результати від реалізації проекту  (індикатори)</w:t>
            </w:r>
          </w:p>
        </w:tc>
        <w:tc>
          <w:tcPr>
            <w:tcW w:w="3402"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b/>
                <w:color w:val="000000"/>
                <w:sz w:val="22"/>
              </w:rPr>
            </w:pPr>
            <w:r w:rsidRPr="001916D0">
              <w:rPr>
                <w:rFonts w:eastAsia="Calibri"/>
                <w:b/>
                <w:color w:val="000000"/>
                <w:sz w:val="22"/>
              </w:rPr>
              <w:t>Найменування показника</w:t>
            </w:r>
          </w:p>
        </w:tc>
        <w:tc>
          <w:tcPr>
            <w:tcW w:w="1985"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b/>
                <w:color w:val="000000"/>
                <w:sz w:val="22"/>
              </w:rPr>
            </w:pPr>
            <w:r w:rsidRPr="001916D0">
              <w:rPr>
                <w:rFonts w:eastAsia="Calibri"/>
                <w:b/>
                <w:color w:val="000000"/>
                <w:sz w:val="22"/>
              </w:rPr>
              <w:t>Одиниця вимірювання</w:t>
            </w:r>
          </w:p>
        </w:tc>
        <w:tc>
          <w:tcPr>
            <w:tcW w:w="1275" w:type="dxa"/>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b/>
                <w:color w:val="000000"/>
                <w:sz w:val="22"/>
              </w:rPr>
            </w:pPr>
            <w:r w:rsidRPr="001916D0">
              <w:rPr>
                <w:rFonts w:eastAsia="Calibri"/>
                <w:b/>
                <w:color w:val="000000"/>
                <w:sz w:val="22"/>
              </w:rPr>
              <w:t>Прогнозне (цільове) значення</w:t>
            </w:r>
          </w:p>
        </w:tc>
      </w:tr>
      <w:tr w:rsidR="00E95FB1" w:rsidRPr="001916D0" w:rsidTr="001B3967">
        <w:trPr>
          <w:trHeight w:val="290"/>
        </w:trPr>
        <w:tc>
          <w:tcPr>
            <w:tcW w:w="881"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jc w:val="right"/>
              <w:rPr>
                <w:rFonts w:eastAsia="Calibri"/>
                <w:b/>
                <w:color w:val="000000"/>
                <w:sz w:val="22"/>
              </w:rPr>
            </w:pPr>
          </w:p>
        </w:tc>
        <w:tc>
          <w:tcPr>
            <w:tcW w:w="3402"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rPr>
                <w:rFonts w:eastAsia="Calibri"/>
                <w:color w:val="000000"/>
                <w:sz w:val="22"/>
              </w:rPr>
            </w:pPr>
            <w:r w:rsidRPr="001916D0">
              <w:rPr>
                <w:rFonts w:eastAsia="Calibri"/>
                <w:color w:val="000000"/>
                <w:sz w:val="22"/>
              </w:rPr>
              <w:t xml:space="preserve">Площа, на яку виконані картографічні плани </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E95FB1" w:rsidRPr="001916D0" w:rsidRDefault="00E95FB1" w:rsidP="001B3967">
            <w:pPr>
              <w:autoSpaceDE w:val="0"/>
              <w:autoSpaceDN w:val="0"/>
              <w:adjustRightInd w:val="0"/>
              <w:jc w:val="center"/>
              <w:rPr>
                <w:rFonts w:eastAsia="Calibri"/>
                <w:color w:val="000000"/>
                <w:sz w:val="22"/>
              </w:rPr>
            </w:pPr>
            <w:r w:rsidRPr="001916D0">
              <w:rPr>
                <w:rFonts w:eastAsia="Calibri"/>
                <w:color w:val="000000"/>
                <w:sz w:val="22"/>
              </w:rPr>
              <w:t>га</w:t>
            </w:r>
          </w:p>
        </w:tc>
        <w:tc>
          <w:tcPr>
            <w:tcW w:w="1275" w:type="dxa"/>
            <w:tcBorders>
              <w:top w:val="single" w:sz="6" w:space="0" w:color="auto"/>
              <w:left w:val="single" w:sz="6" w:space="0" w:color="auto"/>
              <w:bottom w:val="single" w:sz="6" w:space="0" w:color="auto"/>
              <w:right w:val="single" w:sz="6" w:space="0" w:color="auto"/>
            </w:tcBorders>
            <w:vAlign w:val="center"/>
          </w:tcPr>
          <w:p w:rsidR="00E95FB1" w:rsidRPr="001916D0" w:rsidRDefault="00E95FB1" w:rsidP="001B3967">
            <w:pPr>
              <w:autoSpaceDE w:val="0"/>
              <w:autoSpaceDN w:val="0"/>
              <w:adjustRightInd w:val="0"/>
              <w:jc w:val="center"/>
              <w:rPr>
                <w:rFonts w:eastAsia="Calibri"/>
                <w:color w:val="000000"/>
                <w:sz w:val="22"/>
              </w:rPr>
            </w:pPr>
            <w:r w:rsidRPr="001916D0">
              <w:rPr>
                <w:rFonts w:eastAsia="Calibri"/>
                <w:color w:val="000000"/>
                <w:sz w:val="22"/>
              </w:rPr>
              <w:t>71,3</w:t>
            </w:r>
          </w:p>
        </w:tc>
      </w:tr>
      <w:tr w:rsidR="00E95FB1" w:rsidRPr="001916D0" w:rsidTr="001B3967">
        <w:trPr>
          <w:trHeight w:val="1067"/>
        </w:trPr>
        <w:tc>
          <w:tcPr>
            <w:tcW w:w="881"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4"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Ключові заходи проекту:</w:t>
            </w:r>
          </w:p>
        </w:tc>
        <w:tc>
          <w:tcPr>
            <w:tcW w:w="6662" w:type="dxa"/>
            <w:gridSpan w:val="5"/>
            <w:tcBorders>
              <w:top w:val="single" w:sz="6" w:space="0" w:color="auto"/>
              <w:left w:val="single" w:sz="6" w:space="0" w:color="auto"/>
              <w:bottom w:val="single" w:sz="6" w:space="0" w:color="auto"/>
              <w:right w:val="single" w:sz="6" w:space="0" w:color="auto"/>
            </w:tcBorders>
          </w:tcPr>
          <w:p w:rsidR="00E95FB1" w:rsidRPr="001916D0" w:rsidRDefault="00E95FB1" w:rsidP="000303D7">
            <w:pPr>
              <w:numPr>
                <w:ilvl w:val="0"/>
                <w:numId w:val="25"/>
              </w:numPr>
              <w:autoSpaceDE w:val="0"/>
              <w:autoSpaceDN w:val="0"/>
              <w:adjustRightInd w:val="0"/>
              <w:jc w:val="left"/>
              <w:rPr>
                <w:rFonts w:eastAsia="Calibri"/>
                <w:color w:val="000000"/>
                <w:sz w:val="22"/>
              </w:rPr>
            </w:pPr>
            <w:r w:rsidRPr="001916D0">
              <w:rPr>
                <w:rFonts w:eastAsia="Calibri"/>
                <w:color w:val="000000"/>
                <w:sz w:val="22"/>
              </w:rPr>
              <w:t>Підготовка тендерної документації</w:t>
            </w:r>
            <w:r w:rsidR="00F8697B" w:rsidRPr="001916D0">
              <w:rPr>
                <w:rFonts w:eastAsia="Calibri"/>
                <w:color w:val="000000"/>
                <w:sz w:val="22"/>
                <w:szCs w:val="22"/>
              </w:rPr>
              <w:t>.</w:t>
            </w:r>
          </w:p>
          <w:p w:rsidR="00E95FB1" w:rsidRPr="001916D0" w:rsidRDefault="00E95FB1" w:rsidP="000303D7">
            <w:pPr>
              <w:numPr>
                <w:ilvl w:val="0"/>
                <w:numId w:val="25"/>
              </w:numPr>
              <w:autoSpaceDE w:val="0"/>
              <w:autoSpaceDN w:val="0"/>
              <w:adjustRightInd w:val="0"/>
              <w:jc w:val="left"/>
              <w:rPr>
                <w:rFonts w:eastAsia="Calibri"/>
                <w:color w:val="000000"/>
                <w:sz w:val="22"/>
              </w:rPr>
            </w:pPr>
            <w:r w:rsidRPr="001916D0">
              <w:rPr>
                <w:rFonts w:eastAsia="Calibri"/>
                <w:color w:val="000000"/>
                <w:sz w:val="22"/>
              </w:rPr>
              <w:t>Проведення процедури закупівлі та визначення виконавців робіт</w:t>
            </w:r>
            <w:r w:rsidR="00F8697B" w:rsidRPr="001916D0">
              <w:rPr>
                <w:rFonts w:eastAsia="Calibri"/>
                <w:color w:val="000000"/>
                <w:sz w:val="22"/>
                <w:szCs w:val="22"/>
              </w:rPr>
              <w:t>.</w:t>
            </w:r>
          </w:p>
          <w:p w:rsidR="00E95FB1" w:rsidRPr="001916D0" w:rsidRDefault="00E95FB1" w:rsidP="000303D7">
            <w:pPr>
              <w:numPr>
                <w:ilvl w:val="0"/>
                <w:numId w:val="25"/>
              </w:numPr>
              <w:autoSpaceDE w:val="0"/>
              <w:autoSpaceDN w:val="0"/>
              <w:adjustRightInd w:val="0"/>
              <w:jc w:val="left"/>
              <w:rPr>
                <w:rFonts w:eastAsia="Calibri"/>
                <w:color w:val="000000"/>
                <w:sz w:val="22"/>
              </w:rPr>
            </w:pPr>
            <w:r w:rsidRPr="001916D0">
              <w:rPr>
                <w:rFonts w:eastAsia="Calibri"/>
                <w:color w:val="000000"/>
                <w:sz w:val="22"/>
              </w:rPr>
              <w:t>Проведення топографо-геодезичних робіт та створення картографічних планів</w:t>
            </w:r>
          </w:p>
        </w:tc>
      </w:tr>
      <w:tr w:rsidR="00E95FB1" w:rsidRPr="001916D0" w:rsidTr="001B3967">
        <w:trPr>
          <w:trHeight w:val="693"/>
        </w:trPr>
        <w:tc>
          <w:tcPr>
            <w:tcW w:w="881" w:type="dxa"/>
            <w:tcBorders>
              <w:top w:val="nil"/>
              <w:left w:val="nil"/>
              <w:bottom w:val="nil"/>
              <w:right w:val="single" w:sz="4" w:space="0" w:color="auto"/>
            </w:tcBorders>
          </w:tcPr>
          <w:p w:rsidR="00E95FB1" w:rsidRPr="001916D0" w:rsidRDefault="00E95FB1" w:rsidP="001B3967">
            <w:pPr>
              <w:autoSpaceDE w:val="0"/>
              <w:autoSpaceDN w:val="0"/>
              <w:adjustRightInd w:val="0"/>
              <w:jc w:val="right"/>
              <w:rPr>
                <w:rFonts w:eastAsia="Calibri"/>
                <w:color w:val="000000"/>
                <w:sz w:val="22"/>
              </w:rPr>
            </w:pPr>
          </w:p>
        </w:tc>
        <w:tc>
          <w:tcPr>
            <w:tcW w:w="3260" w:type="dxa"/>
            <w:vMerge w:val="restart"/>
            <w:tcBorders>
              <w:top w:val="single" w:sz="4" w:space="0" w:color="auto"/>
              <w:left w:val="single" w:sz="4" w:space="0" w:color="auto"/>
              <w:bottom w:val="single" w:sz="4" w:space="0" w:color="auto"/>
              <w:right w:val="single" w:sz="4"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Орієнтовний обсяг та джерела фінансування тис. гривень</w:t>
            </w:r>
          </w:p>
        </w:tc>
        <w:tc>
          <w:tcPr>
            <w:tcW w:w="1701" w:type="dxa"/>
            <w:vMerge w:val="restart"/>
            <w:tcBorders>
              <w:top w:val="single" w:sz="6" w:space="0" w:color="auto"/>
              <w:left w:val="single" w:sz="4"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r w:rsidRPr="001916D0">
              <w:rPr>
                <w:rFonts w:eastAsia="Calibri"/>
                <w:color w:val="000000"/>
                <w:sz w:val="22"/>
              </w:rPr>
              <w:t>Державний бюджет</w:t>
            </w:r>
          </w:p>
        </w:tc>
        <w:tc>
          <w:tcPr>
            <w:tcW w:w="1701" w:type="dxa"/>
            <w:vMerge w:val="restart"/>
            <w:tcBorders>
              <w:top w:val="single" w:sz="6" w:space="0" w:color="auto"/>
              <w:left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r w:rsidRPr="001916D0">
              <w:rPr>
                <w:rFonts w:eastAsia="Calibri"/>
                <w:color w:val="000000"/>
                <w:sz w:val="22"/>
              </w:rPr>
              <w:t>Місцевий бюджет</w:t>
            </w:r>
          </w:p>
        </w:tc>
        <w:tc>
          <w:tcPr>
            <w:tcW w:w="1985"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r w:rsidRPr="001916D0">
              <w:rPr>
                <w:rFonts w:eastAsia="Calibri"/>
                <w:color w:val="000000"/>
                <w:sz w:val="22"/>
              </w:rPr>
              <w:t>Інші джерела</w:t>
            </w:r>
          </w:p>
        </w:tc>
        <w:tc>
          <w:tcPr>
            <w:tcW w:w="1275" w:type="dxa"/>
            <w:vMerge w:val="restart"/>
            <w:tcBorders>
              <w:top w:val="single" w:sz="6" w:space="0" w:color="auto"/>
              <w:left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r w:rsidRPr="001916D0">
              <w:rPr>
                <w:rFonts w:eastAsia="Calibri"/>
                <w:color w:val="000000"/>
                <w:sz w:val="22"/>
              </w:rPr>
              <w:t>Всього</w:t>
            </w:r>
          </w:p>
        </w:tc>
      </w:tr>
      <w:tr w:rsidR="00E95FB1" w:rsidRPr="001916D0" w:rsidTr="001B3967">
        <w:trPr>
          <w:trHeight w:val="548"/>
        </w:trPr>
        <w:tc>
          <w:tcPr>
            <w:tcW w:w="881" w:type="dxa"/>
            <w:tcBorders>
              <w:top w:val="nil"/>
              <w:left w:val="nil"/>
              <w:bottom w:val="nil"/>
              <w:right w:val="single" w:sz="4" w:space="0" w:color="auto"/>
            </w:tcBorders>
          </w:tcPr>
          <w:p w:rsidR="00E95FB1" w:rsidRPr="001916D0" w:rsidRDefault="00E95FB1" w:rsidP="001B3967">
            <w:pPr>
              <w:autoSpaceDE w:val="0"/>
              <w:autoSpaceDN w:val="0"/>
              <w:adjustRightInd w:val="0"/>
              <w:jc w:val="right"/>
              <w:rPr>
                <w:rFonts w:eastAsia="Calibri"/>
                <w:color w:val="000000"/>
                <w:sz w:val="22"/>
              </w:rPr>
            </w:pPr>
          </w:p>
        </w:tc>
        <w:tc>
          <w:tcPr>
            <w:tcW w:w="3260" w:type="dxa"/>
            <w:vMerge/>
            <w:tcBorders>
              <w:top w:val="single" w:sz="4" w:space="0" w:color="auto"/>
              <w:left w:val="single" w:sz="4" w:space="0" w:color="auto"/>
              <w:bottom w:val="single" w:sz="4" w:space="0" w:color="auto"/>
              <w:right w:val="single" w:sz="4"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p>
        </w:tc>
        <w:tc>
          <w:tcPr>
            <w:tcW w:w="1701" w:type="dxa"/>
            <w:vMerge/>
            <w:tcBorders>
              <w:left w:val="single" w:sz="4" w:space="0" w:color="auto"/>
              <w:bottom w:val="single" w:sz="6" w:space="0" w:color="auto"/>
              <w:right w:val="single" w:sz="6" w:space="0" w:color="auto"/>
            </w:tcBorders>
          </w:tcPr>
          <w:p w:rsidR="00E95FB1" w:rsidRPr="001916D0" w:rsidRDefault="00E95FB1" w:rsidP="001B3967">
            <w:pPr>
              <w:autoSpaceDE w:val="0"/>
              <w:autoSpaceDN w:val="0"/>
              <w:adjustRightInd w:val="0"/>
              <w:jc w:val="right"/>
              <w:rPr>
                <w:rFonts w:eastAsia="Calibri"/>
                <w:color w:val="000000"/>
                <w:sz w:val="22"/>
              </w:rPr>
            </w:pPr>
          </w:p>
        </w:tc>
        <w:tc>
          <w:tcPr>
            <w:tcW w:w="1701" w:type="dxa"/>
            <w:vMerge/>
            <w:tcBorders>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right"/>
              <w:rPr>
                <w:rFonts w:eastAsia="Calibri"/>
                <w:color w:val="000000"/>
                <w:sz w:val="22"/>
              </w:rPr>
            </w:pPr>
          </w:p>
        </w:tc>
        <w:tc>
          <w:tcPr>
            <w:tcW w:w="992" w:type="dxa"/>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r w:rsidRPr="001916D0">
              <w:rPr>
                <w:rFonts w:eastAsia="Calibri"/>
                <w:color w:val="000000"/>
                <w:sz w:val="22"/>
              </w:rPr>
              <w:t>Обсяг</w:t>
            </w:r>
          </w:p>
        </w:tc>
        <w:tc>
          <w:tcPr>
            <w:tcW w:w="993" w:type="dxa"/>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r w:rsidRPr="001916D0">
              <w:rPr>
                <w:rFonts w:eastAsia="Calibri"/>
                <w:color w:val="000000"/>
                <w:sz w:val="22"/>
              </w:rPr>
              <w:t>Назва джерела</w:t>
            </w:r>
          </w:p>
        </w:tc>
        <w:tc>
          <w:tcPr>
            <w:tcW w:w="1275" w:type="dxa"/>
            <w:vMerge/>
            <w:tcBorders>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right"/>
              <w:rPr>
                <w:rFonts w:eastAsia="Calibri"/>
                <w:color w:val="000000"/>
                <w:sz w:val="22"/>
              </w:rPr>
            </w:pPr>
          </w:p>
        </w:tc>
      </w:tr>
      <w:tr w:rsidR="00E95FB1" w:rsidRPr="001916D0" w:rsidTr="001B3967">
        <w:trPr>
          <w:trHeight w:val="1067"/>
        </w:trPr>
        <w:tc>
          <w:tcPr>
            <w:tcW w:w="881" w:type="dxa"/>
            <w:tcBorders>
              <w:top w:val="nil"/>
              <w:left w:val="nil"/>
              <w:bottom w:val="nil"/>
              <w:right w:val="single" w:sz="4" w:space="0" w:color="auto"/>
            </w:tcBorders>
          </w:tcPr>
          <w:p w:rsidR="00E95FB1" w:rsidRPr="001916D0" w:rsidRDefault="00E95FB1" w:rsidP="001B3967">
            <w:pPr>
              <w:autoSpaceDE w:val="0"/>
              <w:autoSpaceDN w:val="0"/>
              <w:adjustRightInd w:val="0"/>
              <w:jc w:val="right"/>
              <w:rPr>
                <w:rFonts w:eastAsia="Calibri"/>
                <w:color w:val="000000"/>
                <w:sz w:val="22"/>
              </w:rPr>
            </w:pPr>
          </w:p>
        </w:tc>
        <w:tc>
          <w:tcPr>
            <w:tcW w:w="3260" w:type="dxa"/>
            <w:vMerge/>
            <w:tcBorders>
              <w:top w:val="single" w:sz="4" w:space="0" w:color="auto"/>
              <w:left w:val="single" w:sz="4" w:space="0" w:color="auto"/>
              <w:bottom w:val="single" w:sz="4" w:space="0" w:color="auto"/>
              <w:right w:val="single" w:sz="4"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p>
        </w:tc>
        <w:tc>
          <w:tcPr>
            <w:tcW w:w="1701" w:type="dxa"/>
            <w:tcBorders>
              <w:top w:val="single" w:sz="6" w:space="0" w:color="auto"/>
              <w:left w:val="single" w:sz="4" w:space="0" w:color="auto"/>
              <w:bottom w:val="single" w:sz="6" w:space="0" w:color="auto"/>
              <w:right w:val="single" w:sz="6" w:space="0" w:color="auto"/>
            </w:tcBorders>
          </w:tcPr>
          <w:p w:rsidR="00E95FB1" w:rsidRPr="001916D0" w:rsidRDefault="00E95FB1" w:rsidP="001B3967">
            <w:pPr>
              <w:autoSpaceDE w:val="0"/>
              <w:autoSpaceDN w:val="0"/>
              <w:adjustRightInd w:val="0"/>
              <w:rPr>
                <w:rFonts w:eastAsia="Calibri"/>
                <w:color w:val="000000"/>
                <w:sz w:val="22"/>
              </w:rPr>
            </w:pPr>
            <w:r w:rsidRPr="001916D0">
              <w:rPr>
                <w:rFonts w:eastAsia="Calibri"/>
                <w:color w:val="000000"/>
                <w:sz w:val="22"/>
              </w:rPr>
              <w:t>3 800,0</w:t>
            </w:r>
          </w:p>
        </w:tc>
        <w:tc>
          <w:tcPr>
            <w:tcW w:w="1701" w:type="dxa"/>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rPr>
                <w:rFonts w:eastAsia="Calibri"/>
                <w:color w:val="000000"/>
                <w:sz w:val="22"/>
              </w:rPr>
            </w:pPr>
            <w:r w:rsidRPr="001916D0">
              <w:rPr>
                <w:rFonts w:eastAsia="Calibri"/>
                <w:color w:val="000000"/>
                <w:sz w:val="22"/>
              </w:rPr>
              <w:t>-</w:t>
            </w:r>
          </w:p>
        </w:tc>
        <w:tc>
          <w:tcPr>
            <w:tcW w:w="992" w:type="dxa"/>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rPr>
                <w:rFonts w:eastAsia="Calibri"/>
                <w:color w:val="000000"/>
                <w:sz w:val="22"/>
              </w:rPr>
            </w:pPr>
            <w:r w:rsidRPr="001916D0">
              <w:rPr>
                <w:rFonts w:eastAsia="Calibri"/>
                <w:color w:val="000000"/>
                <w:sz w:val="22"/>
              </w:rPr>
              <w:t>-</w:t>
            </w:r>
          </w:p>
        </w:tc>
        <w:tc>
          <w:tcPr>
            <w:tcW w:w="993" w:type="dxa"/>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rPr>
                <w:rFonts w:eastAsia="Calibri"/>
                <w:color w:val="000000"/>
                <w:sz w:val="22"/>
              </w:rPr>
            </w:pPr>
            <w:r w:rsidRPr="001916D0">
              <w:rPr>
                <w:rFonts w:eastAsia="Calibri"/>
                <w:color w:val="000000"/>
                <w:sz w:val="22"/>
              </w:rPr>
              <w:t>-</w:t>
            </w:r>
          </w:p>
        </w:tc>
        <w:tc>
          <w:tcPr>
            <w:tcW w:w="1275" w:type="dxa"/>
            <w:tcBorders>
              <w:top w:val="single" w:sz="6" w:space="0" w:color="auto"/>
              <w:left w:val="single" w:sz="6" w:space="0" w:color="auto"/>
              <w:bottom w:val="single" w:sz="6" w:space="0" w:color="auto"/>
              <w:right w:val="single" w:sz="6" w:space="0" w:color="auto"/>
            </w:tcBorders>
            <w:vAlign w:val="center"/>
          </w:tcPr>
          <w:p w:rsidR="00E95FB1" w:rsidRPr="001916D0" w:rsidRDefault="00E95FB1" w:rsidP="001B3967">
            <w:pPr>
              <w:autoSpaceDE w:val="0"/>
              <w:autoSpaceDN w:val="0"/>
              <w:adjustRightInd w:val="0"/>
              <w:jc w:val="center"/>
              <w:rPr>
                <w:rFonts w:eastAsia="Calibri"/>
                <w:color w:val="000000"/>
                <w:sz w:val="22"/>
              </w:rPr>
            </w:pPr>
            <w:r w:rsidRPr="001916D0">
              <w:rPr>
                <w:rFonts w:eastAsia="Calibri"/>
                <w:color w:val="000000"/>
                <w:sz w:val="22"/>
              </w:rPr>
              <w:t>3 800,0</w:t>
            </w:r>
          </w:p>
        </w:tc>
      </w:tr>
    </w:tbl>
    <w:p w:rsidR="00E95FB1" w:rsidRPr="001916D0" w:rsidRDefault="00E95FB1" w:rsidP="00E95FB1">
      <w:pPr>
        <w:tabs>
          <w:tab w:val="left" w:pos="5290"/>
        </w:tabs>
        <w:rPr>
          <w:sz w:val="22"/>
        </w:rPr>
      </w:pPr>
    </w:p>
    <w:tbl>
      <w:tblPr>
        <w:tblW w:w="11174" w:type="dxa"/>
        <w:tblInd w:w="-1452" w:type="dxa"/>
        <w:tblLook w:val="04A0" w:firstRow="1" w:lastRow="0" w:firstColumn="1" w:lastColumn="0" w:noHBand="0" w:noVBand="1"/>
      </w:tblPr>
      <w:tblGrid>
        <w:gridCol w:w="6943"/>
        <w:gridCol w:w="1989"/>
        <w:gridCol w:w="2242"/>
      </w:tblGrid>
      <w:tr w:rsidR="00E95FB1" w:rsidRPr="001916D0" w:rsidTr="001B3967">
        <w:tc>
          <w:tcPr>
            <w:tcW w:w="6943" w:type="dxa"/>
            <w:vAlign w:val="bottom"/>
          </w:tcPr>
          <w:p w:rsidR="00E95FB1" w:rsidRPr="001916D0" w:rsidRDefault="00E95FB1" w:rsidP="001B3967">
            <w:pPr>
              <w:spacing w:line="276" w:lineRule="auto"/>
              <w:ind w:left="-140" w:right="-74"/>
              <w:rPr>
                <w:rFonts w:eastAsia="Calibri"/>
                <w:sz w:val="22"/>
              </w:rPr>
            </w:pPr>
          </w:p>
        </w:tc>
        <w:tc>
          <w:tcPr>
            <w:tcW w:w="1989" w:type="dxa"/>
          </w:tcPr>
          <w:p w:rsidR="00E95FB1" w:rsidRPr="001916D0" w:rsidRDefault="00E95FB1" w:rsidP="001B3967">
            <w:pPr>
              <w:spacing w:line="276" w:lineRule="auto"/>
              <w:ind w:left="-140" w:right="-74"/>
              <w:jc w:val="center"/>
              <w:rPr>
                <w:rFonts w:eastAsia="Calibri"/>
                <w:sz w:val="22"/>
              </w:rPr>
            </w:pPr>
          </w:p>
        </w:tc>
        <w:tc>
          <w:tcPr>
            <w:tcW w:w="2242" w:type="dxa"/>
            <w:vAlign w:val="bottom"/>
          </w:tcPr>
          <w:p w:rsidR="00E95FB1" w:rsidRPr="001916D0" w:rsidRDefault="00E95FB1" w:rsidP="001B3967">
            <w:pPr>
              <w:spacing w:line="276" w:lineRule="auto"/>
              <w:ind w:left="-140" w:right="-74"/>
              <w:jc w:val="center"/>
              <w:rPr>
                <w:rFonts w:eastAsia="Calibri"/>
                <w:sz w:val="22"/>
              </w:rPr>
            </w:pPr>
          </w:p>
        </w:tc>
      </w:tr>
    </w:tbl>
    <w:tbl>
      <w:tblPr>
        <w:tblpPr w:leftFromText="180" w:rightFromText="180" w:vertAnchor="text" w:horzAnchor="page" w:tblpX="1" w:tblpY="123"/>
        <w:tblW w:w="12159" w:type="dxa"/>
        <w:tblLayout w:type="fixed"/>
        <w:tblCellMar>
          <w:left w:w="30" w:type="dxa"/>
          <w:right w:w="30" w:type="dxa"/>
        </w:tblCellMar>
        <w:tblLook w:val="0000" w:firstRow="0" w:lastRow="0" w:firstColumn="0" w:lastColumn="0" w:noHBand="0" w:noVBand="0"/>
      </w:tblPr>
      <w:tblGrid>
        <w:gridCol w:w="1448"/>
        <w:gridCol w:w="3260"/>
        <w:gridCol w:w="1559"/>
        <w:gridCol w:w="284"/>
        <w:gridCol w:w="1134"/>
        <w:gridCol w:w="1134"/>
        <w:gridCol w:w="255"/>
        <w:gridCol w:w="737"/>
        <w:gridCol w:w="80"/>
        <w:gridCol w:w="204"/>
        <w:gridCol w:w="1275"/>
        <w:gridCol w:w="789"/>
      </w:tblGrid>
      <w:tr w:rsidR="00E95FB1" w:rsidRPr="001916D0" w:rsidTr="001B3967">
        <w:trPr>
          <w:trHeight w:val="290"/>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nil"/>
              <w:left w:val="nil"/>
              <w:bottom w:val="single" w:sz="6" w:space="0" w:color="auto"/>
              <w:right w:val="nil"/>
            </w:tcBorders>
          </w:tcPr>
          <w:p w:rsidR="00E95FB1" w:rsidRPr="001916D0" w:rsidRDefault="00E95FB1" w:rsidP="001B3967">
            <w:pPr>
              <w:autoSpaceDE w:val="0"/>
              <w:autoSpaceDN w:val="0"/>
              <w:adjustRightInd w:val="0"/>
              <w:jc w:val="center"/>
              <w:rPr>
                <w:rFonts w:eastAsia="Calibri"/>
                <w:color w:val="000000"/>
                <w:sz w:val="22"/>
              </w:rPr>
            </w:pPr>
          </w:p>
        </w:tc>
        <w:tc>
          <w:tcPr>
            <w:tcW w:w="1843" w:type="dxa"/>
            <w:gridSpan w:val="2"/>
            <w:tcBorders>
              <w:top w:val="nil"/>
              <w:left w:val="nil"/>
              <w:bottom w:val="single" w:sz="6" w:space="0" w:color="auto"/>
              <w:right w:val="nil"/>
            </w:tcBorders>
          </w:tcPr>
          <w:p w:rsidR="00E95FB1" w:rsidRPr="001916D0" w:rsidRDefault="00E95FB1" w:rsidP="001B3967">
            <w:pPr>
              <w:autoSpaceDE w:val="0"/>
              <w:autoSpaceDN w:val="0"/>
              <w:adjustRightInd w:val="0"/>
              <w:jc w:val="center"/>
              <w:rPr>
                <w:rFonts w:eastAsia="Calibri"/>
                <w:color w:val="000000"/>
                <w:sz w:val="22"/>
              </w:rPr>
            </w:pPr>
          </w:p>
        </w:tc>
        <w:tc>
          <w:tcPr>
            <w:tcW w:w="3260" w:type="dxa"/>
            <w:gridSpan w:val="4"/>
            <w:tcBorders>
              <w:top w:val="nil"/>
              <w:left w:val="nil"/>
              <w:bottom w:val="single" w:sz="6" w:space="0" w:color="auto"/>
              <w:right w:val="nil"/>
            </w:tcBorders>
          </w:tcPr>
          <w:p w:rsidR="00E95FB1" w:rsidRPr="001916D0" w:rsidRDefault="00E95FB1" w:rsidP="001B3967">
            <w:pPr>
              <w:autoSpaceDE w:val="0"/>
              <w:autoSpaceDN w:val="0"/>
              <w:adjustRightInd w:val="0"/>
              <w:jc w:val="center"/>
              <w:rPr>
                <w:rFonts w:eastAsia="Calibri"/>
                <w:color w:val="000000"/>
                <w:sz w:val="22"/>
              </w:rPr>
            </w:pPr>
          </w:p>
        </w:tc>
        <w:tc>
          <w:tcPr>
            <w:tcW w:w="80" w:type="dxa"/>
            <w:tcBorders>
              <w:top w:val="nil"/>
              <w:left w:val="nil"/>
              <w:bottom w:val="single" w:sz="6" w:space="0" w:color="auto"/>
              <w:right w:val="nil"/>
            </w:tcBorders>
          </w:tcPr>
          <w:p w:rsidR="00E95FB1" w:rsidRPr="001916D0" w:rsidRDefault="00E95FB1" w:rsidP="001B3967">
            <w:pPr>
              <w:autoSpaceDE w:val="0"/>
              <w:autoSpaceDN w:val="0"/>
              <w:adjustRightInd w:val="0"/>
              <w:jc w:val="center"/>
              <w:rPr>
                <w:rFonts w:eastAsia="Calibri"/>
                <w:color w:val="000000"/>
                <w:sz w:val="22"/>
              </w:rPr>
            </w:pPr>
          </w:p>
        </w:tc>
        <w:tc>
          <w:tcPr>
            <w:tcW w:w="2268" w:type="dxa"/>
            <w:gridSpan w:val="3"/>
            <w:tcBorders>
              <w:top w:val="nil"/>
              <w:left w:val="nil"/>
              <w:bottom w:val="single" w:sz="6" w:space="0" w:color="auto"/>
              <w:right w:val="nil"/>
            </w:tcBorders>
          </w:tcPr>
          <w:p w:rsidR="00E95FB1" w:rsidRPr="001916D0" w:rsidRDefault="00E95FB1" w:rsidP="001B3967">
            <w:pPr>
              <w:autoSpaceDE w:val="0"/>
              <w:autoSpaceDN w:val="0"/>
              <w:adjustRightInd w:val="0"/>
              <w:jc w:val="center"/>
              <w:rPr>
                <w:rFonts w:eastAsia="Calibri"/>
                <w:color w:val="000000"/>
                <w:sz w:val="22"/>
              </w:rPr>
            </w:pPr>
          </w:p>
        </w:tc>
      </w:tr>
      <w:tr w:rsidR="00E95FB1" w:rsidRPr="001916D0" w:rsidTr="001B3967">
        <w:trPr>
          <w:gridAfter w:val="1"/>
          <w:wAfter w:w="789" w:type="dxa"/>
          <w:trHeight w:val="1015"/>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Оперативна ціль/завдання</w:t>
            </w:r>
          </w:p>
        </w:tc>
        <w:tc>
          <w:tcPr>
            <w:tcW w:w="6662" w:type="dxa"/>
            <w:gridSpan w:val="9"/>
            <w:tcBorders>
              <w:top w:val="single" w:sz="6" w:space="0" w:color="auto"/>
              <w:left w:val="single" w:sz="6" w:space="0" w:color="auto"/>
              <w:bottom w:val="single" w:sz="6" w:space="0" w:color="auto"/>
              <w:right w:val="single" w:sz="6" w:space="0" w:color="auto"/>
            </w:tcBorders>
          </w:tcPr>
          <w:p w:rsidR="00E95FB1" w:rsidRPr="001916D0" w:rsidRDefault="00E95FB1" w:rsidP="001B3967">
            <w:pPr>
              <w:spacing w:line="228" w:lineRule="auto"/>
              <w:rPr>
                <w:rFonts w:eastAsia="Arial"/>
                <w:sz w:val="22"/>
              </w:rPr>
            </w:pPr>
            <w:r w:rsidRPr="001916D0">
              <w:rPr>
                <w:rFonts w:eastAsia="Arial"/>
                <w:sz w:val="22"/>
              </w:rPr>
              <w:t>SMART – трансформація економіки та відновлення інвестиційної  привабливості громади/</w:t>
            </w:r>
          </w:p>
          <w:p w:rsidR="00E95FB1" w:rsidRPr="001916D0" w:rsidRDefault="00E95FB1" w:rsidP="001B3967">
            <w:pPr>
              <w:spacing w:line="228" w:lineRule="auto"/>
              <w:rPr>
                <w:rFonts w:eastAsia="Arial"/>
                <w:b/>
                <w:sz w:val="22"/>
              </w:rPr>
            </w:pPr>
            <w:r w:rsidRPr="001916D0">
              <w:rPr>
                <w:rFonts w:eastAsia="Arial"/>
                <w:sz w:val="22"/>
              </w:rPr>
              <w:t>Маркетинг  території громади та залучення інвестицій</w:t>
            </w:r>
          </w:p>
        </w:tc>
      </w:tr>
      <w:tr w:rsidR="00E95FB1" w:rsidRPr="001916D0" w:rsidTr="001B3967">
        <w:trPr>
          <w:gridAfter w:val="1"/>
          <w:wAfter w:w="789" w:type="dxa"/>
          <w:trHeight w:val="290"/>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Назва проекту:</w:t>
            </w:r>
            <w:r w:rsidRPr="001916D0">
              <w:rPr>
                <w:color w:val="000000"/>
                <w:sz w:val="22"/>
              </w:rPr>
              <w:t xml:space="preserve"> </w:t>
            </w:r>
          </w:p>
        </w:tc>
        <w:tc>
          <w:tcPr>
            <w:tcW w:w="6662" w:type="dxa"/>
            <w:gridSpan w:val="9"/>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rPr>
                <w:rFonts w:eastAsia="Calibri"/>
                <w:color w:val="000000"/>
                <w:sz w:val="22"/>
              </w:rPr>
            </w:pPr>
            <w:r w:rsidRPr="001916D0">
              <w:rPr>
                <w:color w:val="000000"/>
                <w:sz w:val="22"/>
              </w:rPr>
              <w:t>Розроблення Комплексного плану просторового розвитку території Сєвєродонецької міської територіальної громади</w:t>
            </w:r>
          </w:p>
        </w:tc>
      </w:tr>
      <w:tr w:rsidR="00E95FB1" w:rsidRPr="001916D0" w:rsidTr="001B3967">
        <w:trPr>
          <w:gridAfter w:val="1"/>
          <w:wAfter w:w="789" w:type="dxa"/>
          <w:trHeight w:val="1075"/>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Ціль проекту</w:t>
            </w:r>
          </w:p>
        </w:tc>
        <w:tc>
          <w:tcPr>
            <w:tcW w:w="6662" w:type="dxa"/>
            <w:gridSpan w:val="9"/>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rPr>
                <w:rFonts w:eastAsia="Calibri"/>
                <w:color w:val="000000"/>
                <w:sz w:val="22"/>
              </w:rPr>
            </w:pPr>
            <w:r w:rsidRPr="001916D0">
              <w:rPr>
                <w:color w:val="000000"/>
                <w:sz w:val="22"/>
              </w:rPr>
              <w:t>Розроблення Комплексного плану просторового розвитку території Сєвєродонецької міської територіальної громади (Комплексний план)</w:t>
            </w:r>
          </w:p>
        </w:tc>
      </w:tr>
      <w:tr w:rsidR="00E95FB1" w:rsidRPr="001916D0" w:rsidTr="001B3967">
        <w:trPr>
          <w:gridAfter w:val="1"/>
          <w:wAfter w:w="789" w:type="dxa"/>
          <w:trHeight w:val="290"/>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Територія, на яку матиме вплив реалізація проекту</w:t>
            </w:r>
          </w:p>
        </w:tc>
        <w:tc>
          <w:tcPr>
            <w:tcW w:w="6662" w:type="dxa"/>
            <w:gridSpan w:val="9"/>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rPr>
                <w:rFonts w:eastAsia="Calibri"/>
                <w:color w:val="000000"/>
                <w:sz w:val="22"/>
              </w:rPr>
            </w:pPr>
            <w:r w:rsidRPr="001916D0">
              <w:rPr>
                <w:rFonts w:eastAsia="Calibri"/>
                <w:color w:val="000000"/>
                <w:sz w:val="22"/>
              </w:rPr>
              <w:t>Сєвєродонецька міська територіальна громада</w:t>
            </w:r>
          </w:p>
        </w:tc>
      </w:tr>
      <w:tr w:rsidR="00E95FB1" w:rsidRPr="001916D0" w:rsidTr="001B3967">
        <w:trPr>
          <w:gridAfter w:val="1"/>
          <w:wAfter w:w="789" w:type="dxa"/>
          <w:trHeight w:val="581"/>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Чисельність населення, на яке матиме вплив реалізація проекту</w:t>
            </w:r>
          </w:p>
        </w:tc>
        <w:tc>
          <w:tcPr>
            <w:tcW w:w="6662" w:type="dxa"/>
            <w:gridSpan w:val="9"/>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rPr>
                <w:rFonts w:eastAsia="Calibri"/>
                <w:color w:val="000000"/>
                <w:sz w:val="22"/>
              </w:rPr>
            </w:pPr>
            <w:r w:rsidRPr="001916D0">
              <w:rPr>
                <w:rFonts w:eastAsia="Calibri"/>
                <w:color w:val="000000"/>
                <w:sz w:val="22"/>
              </w:rPr>
              <w:t>105 000</w:t>
            </w:r>
          </w:p>
        </w:tc>
      </w:tr>
      <w:tr w:rsidR="00E95FB1" w:rsidRPr="001916D0" w:rsidTr="001B3967">
        <w:trPr>
          <w:gridAfter w:val="1"/>
          <w:wAfter w:w="789" w:type="dxa"/>
          <w:trHeight w:val="730"/>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Опис проблеми, на вирішення якої спрямований проект</w:t>
            </w:r>
          </w:p>
        </w:tc>
        <w:tc>
          <w:tcPr>
            <w:tcW w:w="6662" w:type="dxa"/>
            <w:gridSpan w:val="9"/>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rPr>
                <w:rFonts w:eastAsia="Calibri"/>
                <w:color w:val="000000"/>
                <w:sz w:val="22"/>
              </w:rPr>
            </w:pPr>
            <w:r w:rsidRPr="001916D0">
              <w:rPr>
                <w:rFonts w:eastAsia="Calibri"/>
                <w:color w:val="000000"/>
                <w:sz w:val="22"/>
              </w:rPr>
              <w:t>Відсутність містобудівної документації</w:t>
            </w:r>
          </w:p>
        </w:tc>
      </w:tr>
      <w:tr w:rsidR="00E95FB1" w:rsidRPr="001916D0" w:rsidTr="001B3967">
        <w:trPr>
          <w:gridAfter w:val="1"/>
          <w:wAfter w:w="789" w:type="dxa"/>
          <w:trHeight w:val="528"/>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Очікувані якісні результати від реалізації проекту</w:t>
            </w:r>
          </w:p>
        </w:tc>
        <w:tc>
          <w:tcPr>
            <w:tcW w:w="6662" w:type="dxa"/>
            <w:gridSpan w:val="9"/>
            <w:tcBorders>
              <w:top w:val="single" w:sz="6" w:space="0" w:color="auto"/>
              <w:left w:val="single" w:sz="6" w:space="0" w:color="auto"/>
              <w:bottom w:val="single" w:sz="6" w:space="0" w:color="auto"/>
              <w:right w:val="single" w:sz="6" w:space="0" w:color="auto"/>
            </w:tcBorders>
          </w:tcPr>
          <w:p w:rsidR="00E95FB1" w:rsidRPr="001916D0" w:rsidRDefault="00E95FB1" w:rsidP="001B3967">
            <w:pPr>
              <w:widowControl w:val="0"/>
              <w:spacing w:line="276" w:lineRule="auto"/>
              <w:rPr>
                <w:color w:val="333333"/>
                <w:sz w:val="22"/>
                <w:shd w:val="clear" w:color="auto" w:fill="FFFFFF"/>
              </w:rPr>
            </w:pPr>
            <w:r w:rsidRPr="001916D0">
              <w:rPr>
                <w:color w:val="000000"/>
                <w:sz w:val="22"/>
              </w:rPr>
              <w:t>Розроблення містобудівної документації, яка  створить умови для більш ефективного відновлення території Сєвєродонецької міської територіальної громади, забезпечить ефективне використання земельних ресурсів на території громади, забезпечить її просторовий та економічний розвиток.</w:t>
            </w:r>
            <w:r w:rsidRPr="001916D0">
              <w:rPr>
                <w:color w:val="333333"/>
                <w:sz w:val="22"/>
                <w:shd w:val="clear" w:color="auto" w:fill="FFFFFF"/>
              </w:rPr>
              <w:t xml:space="preserve"> </w:t>
            </w:r>
          </w:p>
          <w:p w:rsidR="00E95FB1" w:rsidRPr="001916D0" w:rsidRDefault="00E95FB1" w:rsidP="001B3967">
            <w:pPr>
              <w:autoSpaceDE w:val="0"/>
              <w:autoSpaceDN w:val="0"/>
              <w:adjustRightInd w:val="0"/>
              <w:rPr>
                <w:rFonts w:eastAsia="Calibri"/>
                <w:color w:val="000000"/>
                <w:sz w:val="22"/>
              </w:rPr>
            </w:pPr>
          </w:p>
        </w:tc>
      </w:tr>
      <w:tr w:rsidR="00E95FB1" w:rsidRPr="001916D0" w:rsidTr="001B3967">
        <w:trPr>
          <w:gridAfter w:val="1"/>
          <w:wAfter w:w="789" w:type="dxa"/>
          <w:trHeight w:val="581"/>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Очікувані кількісні результати від реалізації проекту  (індикатори)</w:t>
            </w:r>
          </w:p>
        </w:tc>
        <w:tc>
          <w:tcPr>
            <w:tcW w:w="4111" w:type="dxa"/>
            <w:gridSpan w:val="4"/>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b/>
                <w:color w:val="000000"/>
                <w:sz w:val="22"/>
              </w:rPr>
            </w:pPr>
            <w:r w:rsidRPr="001916D0">
              <w:rPr>
                <w:rFonts w:eastAsia="Calibri"/>
                <w:b/>
                <w:color w:val="000000"/>
                <w:sz w:val="22"/>
              </w:rPr>
              <w:t>Найменування показника</w:t>
            </w:r>
          </w:p>
        </w:tc>
        <w:tc>
          <w:tcPr>
            <w:tcW w:w="992"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b/>
                <w:color w:val="000000"/>
                <w:sz w:val="22"/>
              </w:rPr>
            </w:pPr>
            <w:r w:rsidRPr="001916D0">
              <w:rPr>
                <w:rFonts w:eastAsia="Calibri"/>
                <w:b/>
                <w:color w:val="000000"/>
                <w:sz w:val="22"/>
              </w:rPr>
              <w:t>Одиниця вимірювання</w:t>
            </w:r>
          </w:p>
        </w:tc>
        <w:tc>
          <w:tcPr>
            <w:tcW w:w="1559" w:type="dxa"/>
            <w:gridSpan w:val="3"/>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b/>
                <w:color w:val="000000"/>
                <w:sz w:val="22"/>
              </w:rPr>
            </w:pPr>
            <w:r w:rsidRPr="001916D0">
              <w:rPr>
                <w:rFonts w:eastAsia="Calibri"/>
                <w:b/>
                <w:color w:val="000000"/>
                <w:sz w:val="22"/>
              </w:rPr>
              <w:t>Прогнозне (цільове) значення</w:t>
            </w:r>
          </w:p>
        </w:tc>
      </w:tr>
      <w:tr w:rsidR="00E95FB1" w:rsidRPr="001916D0" w:rsidTr="001B3967">
        <w:trPr>
          <w:gridAfter w:val="1"/>
          <w:wAfter w:w="789" w:type="dxa"/>
          <w:trHeight w:val="290"/>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1916D0" w:rsidRDefault="00E95FB1" w:rsidP="001B3967">
            <w:pPr>
              <w:autoSpaceDE w:val="0"/>
              <w:autoSpaceDN w:val="0"/>
              <w:adjustRightInd w:val="0"/>
              <w:jc w:val="right"/>
              <w:rPr>
                <w:rFonts w:eastAsia="Calibri"/>
                <w:b/>
                <w:color w:val="000000"/>
                <w:sz w:val="22"/>
              </w:rPr>
            </w:pPr>
          </w:p>
        </w:tc>
        <w:tc>
          <w:tcPr>
            <w:tcW w:w="4111" w:type="dxa"/>
            <w:gridSpan w:val="4"/>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rPr>
                <w:rFonts w:eastAsia="Calibri"/>
                <w:color w:val="000000"/>
                <w:sz w:val="22"/>
              </w:rPr>
            </w:pPr>
            <w:r w:rsidRPr="001916D0">
              <w:rPr>
                <w:rFonts w:eastAsia="Calibri"/>
                <w:color w:val="000000"/>
                <w:sz w:val="22"/>
              </w:rPr>
              <w:t xml:space="preserve">Площа, на яку розроблена містобудівна документація </w:t>
            </w:r>
          </w:p>
        </w:tc>
        <w:tc>
          <w:tcPr>
            <w:tcW w:w="992" w:type="dxa"/>
            <w:gridSpan w:val="2"/>
            <w:tcBorders>
              <w:top w:val="single" w:sz="6" w:space="0" w:color="auto"/>
              <w:left w:val="single" w:sz="6" w:space="0" w:color="auto"/>
              <w:bottom w:val="single" w:sz="6" w:space="0" w:color="auto"/>
              <w:right w:val="single" w:sz="6" w:space="0" w:color="auto"/>
            </w:tcBorders>
            <w:vAlign w:val="center"/>
          </w:tcPr>
          <w:p w:rsidR="00E95FB1" w:rsidRPr="001916D0" w:rsidRDefault="00E95FB1" w:rsidP="001B3967">
            <w:pPr>
              <w:autoSpaceDE w:val="0"/>
              <w:autoSpaceDN w:val="0"/>
              <w:adjustRightInd w:val="0"/>
              <w:jc w:val="center"/>
              <w:rPr>
                <w:rFonts w:eastAsia="Calibri"/>
                <w:color w:val="000000"/>
                <w:sz w:val="22"/>
              </w:rPr>
            </w:pPr>
            <w:r w:rsidRPr="001916D0">
              <w:rPr>
                <w:rFonts w:eastAsia="Calibri"/>
                <w:color w:val="000000"/>
                <w:sz w:val="22"/>
              </w:rPr>
              <w:t>га</w:t>
            </w:r>
          </w:p>
        </w:tc>
        <w:tc>
          <w:tcPr>
            <w:tcW w:w="1559" w:type="dxa"/>
            <w:gridSpan w:val="3"/>
            <w:tcBorders>
              <w:top w:val="single" w:sz="6" w:space="0" w:color="auto"/>
              <w:left w:val="single" w:sz="6" w:space="0" w:color="auto"/>
              <w:bottom w:val="single" w:sz="6" w:space="0" w:color="auto"/>
              <w:right w:val="single" w:sz="6" w:space="0" w:color="auto"/>
            </w:tcBorders>
            <w:vAlign w:val="center"/>
          </w:tcPr>
          <w:p w:rsidR="00E95FB1" w:rsidRPr="001916D0" w:rsidRDefault="00E95FB1" w:rsidP="001B3967">
            <w:pPr>
              <w:autoSpaceDE w:val="0"/>
              <w:autoSpaceDN w:val="0"/>
              <w:adjustRightInd w:val="0"/>
              <w:jc w:val="center"/>
              <w:rPr>
                <w:rFonts w:eastAsia="Calibri"/>
                <w:color w:val="000000"/>
                <w:sz w:val="22"/>
              </w:rPr>
            </w:pPr>
            <w:r w:rsidRPr="001916D0">
              <w:rPr>
                <w:rFonts w:eastAsia="Calibri"/>
                <w:color w:val="000000"/>
                <w:sz w:val="22"/>
              </w:rPr>
              <w:t>71,3</w:t>
            </w:r>
          </w:p>
        </w:tc>
      </w:tr>
      <w:tr w:rsidR="00E95FB1" w:rsidRPr="001916D0" w:rsidTr="001B3967">
        <w:trPr>
          <w:gridAfter w:val="1"/>
          <w:wAfter w:w="789" w:type="dxa"/>
          <w:trHeight w:val="1067"/>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Ключові заходи проекту:</w:t>
            </w:r>
          </w:p>
        </w:tc>
        <w:tc>
          <w:tcPr>
            <w:tcW w:w="6662" w:type="dxa"/>
            <w:gridSpan w:val="9"/>
            <w:tcBorders>
              <w:top w:val="single" w:sz="6" w:space="0" w:color="auto"/>
              <w:left w:val="single" w:sz="6" w:space="0" w:color="auto"/>
              <w:bottom w:val="single" w:sz="6" w:space="0" w:color="auto"/>
              <w:right w:val="single" w:sz="6" w:space="0" w:color="auto"/>
            </w:tcBorders>
          </w:tcPr>
          <w:p w:rsidR="00E95FB1" w:rsidRPr="001916D0" w:rsidRDefault="00E95FB1" w:rsidP="000303D7">
            <w:pPr>
              <w:numPr>
                <w:ilvl w:val="0"/>
                <w:numId w:val="25"/>
              </w:numPr>
              <w:autoSpaceDE w:val="0"/>
              <w:autoSpaceDN w:val="0"/>
              <w:adjustRightInd w:val="0"/>
              <w:ind w:left="253" w:hanging="218"/>
              <w:jc w:val="left"/>
              <w:rPr>
                <w:rFonts w:eastAsia="Calibri"/>
                <w:color w:val="000000"/>
                <w:sz w:val="22"/>
              </w:rPr>
            </w:pPr>
            <w:r w:rsidRPr="001916D0">
              <w:rPr>
                <w:rFonts w:eastAsia="Calibri"/>
                <w:color w:val="000000"/>
                <w:sz w:val="22"/>
              </w:rPr>
              <w:t>Підготовка вихідних даних для розроблення Комплексного плану</w:t>
            </w:r>
            <w:r w:rsidR="00734D16" w:rsidRPr="001916D0">
              <w:rPr>
                <w:rFonts w:eastAsia="Calibri"/>
                <w:color w:val="000000"/>
                <w:sz w:val="22"/>
                <w:szCs w:val="22"/>
              </w:rPr>
              <w:t>.</w:t>
            </w:r>
          </w:p>
          <w:p w:rsidR="00E95FB1" w:rsidRPr="001916D0" w:rsidRDefault="00E95FB1" w:rsidP="000303D7">
            <w:pPr>
              <w:numPr>
                <w:ilvl w:val="0"/>
                <w:numId w:val="25"/>
              </w:numPr>
              <w:autoSpaceDE w:val="0"/>
              <w:autoSpaceDN w:val="0"/>
              <w:adjustRightInd w:val="0"/>
              <w:ind w:left="253" w:hanging="218"/>
              <w:jc w:val="left"/>
              <w:rPr>
                <w:rFonts w:eastAsia="Calibri"/>
                <w:color w:val="000000"/>
                <w:sz w:val="22"/>
              </w:rPr>
            </w:pPr>
            <w:r w:rsidRPr="001916D0">
              <w:rPr>
                <w:rFonts w:eastAsia="Calibri"/>
                <w:color w:val="000000"/>
                <w:sz w:val="22"/>
              </w:rPr>
              <w:t xml:space="preserve">Створення робочої групи для підготовки завдання на проектування Комплексного плану, збір пропозицій, громадське обговорення завдання на </w:t>
            </w:r>
            <w:r w:rsidR="00734D16" w:rsidRPr="001916D0">
              <w:rPr>
                <w:rFonts w:eastAsia="Calibri"/>
                <w:color w:val="000000"/>
                <w:sz w:val="22"/>
              </w:rPr>
              <w:t>проектування</w:t>
            </w:r>
            <w:r w:rsidR="00734D16" w:rsidRPr="001916D0">
              <w:rPr>
                <w:rFonts w:eastAsia="Calibri"/>
                <w:color w:val="000000"/>
                <w:sz w:val="22"/>
                <w:szCs w:val="22"/>
              </w:rPr>
              <w:t>.</w:t>
            </w:r>
          </w:p>
          <w:p w:rsidR="00E95FB1" w:rsidRPr="001916D0" w:rsidRDefault="00E95FB1" w:rsidP="000303D7">
            <w:pPr>
              <w:numPr>
                <w:ilvl w:val="0"/>
                <w:numId w:val="25"/>
              </w:numPr>
              <w:autoSpaceDE w:val="0"/>
              <w:autoSpaceDN w:val="0"/>
              <w:adjustRightInd w:val="0"/>
              <w:ind w:left="253" w:hanging="218"/>
              <w:jc w:val="left"/>
              <w:rPr>
                <w:rFonts w:eastAsia="Calibri"/>
                <w:color w:val="000000"/>
                <w:sz w:val="22"/>
              </w:rPr>
            </w:pPr>
            <w:r w:rsidRPr="001916D0">
              <w:rPr>
                <w:rFonts w:eastAsia="Calibri"/>
                <w:color w:val="000000"/>
                <w:sz w:val="22"/>
              </w:rPr>
              <w:t xml:space="preserve">Затвердження завдання на </w:t>
            </w:r>
            <w:r w:rsidR="00734D16" w:rsidRPr="001916D0">
              <w:rPr>
                <w:rFonts w:eastAsia="Calibri"/>
                <w:color w:val="000000"/>
                <w:sz w:val="22"/>
              </w:rPr>
              <w:t>проектування</w:t>
            </w:r>
            <w:r w:rsidR="00734D16" w:rsidRPr="001916D0">
              <w:rPr>
                <w:rFonts w:eastAsia="Calibri"/>
                <w:color w:val="000000"/>
                <w:sz w:val="22"/>
                <w:szCs w:val="22"/>
              </w:rPr>
              <w:t>.</w:t>
            </w:r>
          </w:p>
          <w:p w:rsidR="00E95FB1" w:rsidRPr="001916D0" w:rsidRDefault="00E95FB1" w:rsidP="000303D7">
            <w:pPr>
              <w:numPr>
                <w:ilvl w:val="0"/>
                <w:numId w:val="25"/>
              </w:numPr>
              <w:autoSpaceDE w:val="0"/>
              <w:autoSpaceDN w:val="0"/>
              <w:adjustRightInd w:val="0"/>
              <w:ind w:left="253" w:hanging="218"/>
              <w:jc w:val="left"/>
              <w:rPr>
                <w:rFonts w:eastAsia="Calibri"/>
                <w:color w:val="000000"/>
                <w:sz w:val="22"/>
              </w:rPr>
            </w:pPr>
            <w:r w:rsidRPr="001916D0">
              <w:rPr>
                <w:rFonts w:eastAsia="Calibri"/>
                <w:color w:val="000000"/>
                <w:sz w:val="22"/>
              </w:rPr>
              <w:t>Підготовка тендерної документації</w:t>
            </w:r>
            <w:r w:rsidR="00734D16" w:rsidRPr="001916D0">
              <w:rPr>
                <w:rFonts w:eastAsia="Calibri"/>
                <w:color w:val="000000"/>
                <w:sz w:val="22"/>
                <w:szCs w:val="22"/>
              </w:rPr>
              <w:t>.</w:t>
            </w:r>
          </w:p>
          <w:p w:rsidR="00E95FB1" w:rsidRPr="001916D0" w:rsidRDefault="00E95FB1" w:rsidP="000303D7">
            <w:pPr>
              <w:numPr>
                <w:ilvl w:val="0"/>
                <w:numId w:val="25"/>
              </w:numPr>
              <w:autoSpaceDE w:val="0"/>
              <w:autoSpaceDN w:val="0"/>
              <w:adjustRightInd w:val="0"/>
              <w:ind w:left="253" w:hanging="218"/>
              <w:jc w:val="left"/>
              <w:rPr>
                <w:rFonts w:eastAsia="Calibri"/>
                <w:color w:val="000000"/>
                <w:sz w:val="22"/>
              </w:rPr>
            </w:pPr>
            <w:r w:rsidRPr="001916D0">
              <w:rPr>
                <w:rFonts w:eastAsia="Calibri"/>
                <w:color w:val="000000"/>
                <w:sz w:val="22"/>
              </w:rPr>
              <w:t>Проведення процедури закупівлі та визначення виконавців робіт</w:t>
            </w:r>
            <w:r w:rsidR="00734D16" w:rsidRPr="001916D0">
              <w:rPr>
                <w:rFonts w:eastAsia="Calibri"/>
                <w:color w:val="000000"/>
                <w:sz w:val="22"/>
                <w:szCs w:val="22"/>
              </w:rPr>
              <w:t>.</w:t>
            </w:r>
          </w:p>
          <w:p w:rsidR="00E95FB1" w:rsidRPr="001916D0" w:rsidRDefault="00E95FB1" w:rsidP="000303D7">
            <w:pPr>
              <w:numPr>
                <w:ilvl w:val="0"/>
                <w:numId w:val="25"/>
              </w:numPr>
              <w:autoSpaceDE w:val="0"/>
              <w:autoSpaceDN w:val="0"/>
              <w:adjustRightInd w:val="0"/>
              <w:ind w:left="253" w:hanging="218"/>
              <w:jc w:val="left"/>
              <w:rPr>
                <w:rFonts w:eastAsia="Calibri"/>
                <w:color w:val="000000"/>
                <w:sz w:val="22"/>
              </w:rPr>
            </w:pPr>
            <w:r w:rsidRPr="001916D0">
              <w:rPr>
                <w:rFonts w:eastAsia="Calibri"/>
                <w:color w:val="000000"/>
                <w:sz w:val="22"/>
              </w:rPr>
              <w:t>Розроблення Комплексного плану</w:t>
            </w:r>
            <w:r w:rsidR="00734D16" w:rsidRPr="001916D0">
              <w:rPr>
                <w:rFonts w:eastAsia="Calibri"/>
                <w:color w:val="000000"/>
                <w:sz w:val="22"/>
                <w:szCs w:val="22"/>
              </w:rPr>
              <w:t>.</w:t>
            </w:r>
          </w:p>
          <w:p w:rsidR="00E95FB1" w:rsidRPr="001916D0" w:rsidRDefault="00E95FB1" w:rsidP="000303D7">
            <w:pPr>
              <w:numPr>
                <w:ilvl w:val="0"/>
                <w:numId w:val="25"/>
              </w:numPr>
              <w:autoSpaceDE w:val="0"/>
              <w:autoSpaceDN w:val="0"/>
              <w:adjustRightInd w:val="0"/>
              <w:ind w:left="253" w:hanging="218"/>
              <w:jc w:val="left"/>
              <w:rPr>
                <w:rFonts w:eastAsia="Calibri"/>
                <w:color w:val="000000"/>
                <w:sz w:val="22"/>
              </w:rPr>
            </w:pPr>
            <w:r w:rsidRPr="001916D0">
              <w:rPr>
                <w:rFonts w:eastAsia="Calibri"/>
                <w:color w:val="000000"/>
                <w:sz w:val="22"/>
              </w:rPr>
              <w:t>Громадське обговорення та затвердження Комплексного плану.</w:t>
            </w:r>
          </w:p>
        </w:tc>
      </w:tr>
      <w:tr w:rsidR="00E95FB1" w:rsidRPr="001916D0" w:rsidTr="001B3967">
        <w:trPr>
          <w:gridAfter w:val="1"/>
          <w:wAfter w:w="789" w:type="dxa"/>
          <w:trHeight w:val="634"/>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vMerge w:val="restart"/>
            <w:tcBorders>
              <w:top w:val="single" w:sz="6" w:space="0" w:color="auto"/>
              <w:left w:val="single" w:sz="6" w:space="0" w:color="auto"/>
              <w:bottom w:val="single" w:sz="6" w:space="0" w:color="auto"/>
              <w:right w:val="single" w:sz="6" w:space="0" w:color="auto"/>
            </w:tcBorders>
            <w:shd w:val="clear" w:color="00FFFF" w:fill="C6D9F1"/>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Орієнтовний обсяг та джерела фінансування тис. гривень</w:t>
            </w:r>
          </w:p>
        </w:tc>
        <w:tc>
          <w:tcPr>
            <w:tcW w:w="1559" w:type="dxa"/>
            <w:vMerge w:val="restart"/>
            <w:tcBorders>
              <w:top w:val="single" w:sz="6" w:space="0" w:color="auto"/>
              <w:left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r w:rsidRPr="001916D0">
              <w:rPr>
                <w:rFonts w:eastAsia="Calibri"/>
                <w:color w:val="000000"/>
                <w:sz w:val="22"/>
              </w:rPr>
              <w:t>Державний бюджет</w:t>
            </w:r>
          </w:p>
        </w:tc>
        <w:tc>
          <w:tcPr>
            <w:tcW w:w="1418" w:type="dxa"/>
            <w:gridSpan w:val="2"/>
            <w:vMerge w:val="restart"/>
            <w:tcBorders>
              <w:top w:val="single" w:sz="6" w:space="0" w:color="auto"/>
              <w:left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r w:rsidRPr="001916D0">
              <w:rPr>
                <w:rFonts w:eastAsia="Calibri"/>
                <w:color w:val="000000"/>
                <w:sz w:val="22"/>
              </w:rPr>
              <w:t>Місцевий бюджет</w:t>
            </w:r>
          </w:p>
        </w:tc>
        <w:tc>
          <w:tcPr>
            <w:tcW w:w="2410" w:type="dxa"/>
            <w:gridSpan w:val="5"/>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r w:rsidRPr="001916D0">
              <w:rPr>
                <w:rFonts w:eastAsia="Calibri"/>
                <w:color w:val="000000"/>
                <w:sz w:val="22"/>
              </w:rPr>
              <w:t>Інші джерела</w:t>
            </w:r>
          </w:p>
        </w:tc>
        <w:tc>
          <w:tcPr>
            <w:tcW w:w="1275" w:type="dxa"/>
            <w:vMerge w:val="restart"/>
            <w:tcBorders>
              <w:top w:val="single" w:sz="6" w:space="0" w:color="auto"/>
              <w:left w:val="single" w:sz="6" w:space="0" w:color="auto"/>
              <w:right w:val="single" w:sz="6" w:space="0" w:color="auto"/>
            </w:tcBorders>
          </w:tcPr>
          <w:p w:rsidR="00E95FB1" w:rsidRPr="001916D0" w:rsidRDefault="00E95FB1" w:rsidP="001B3967">
            <w:pPr>
              <w:autoSpaceDE w:val="0"/>
              <w:autoSpaceDN w:val="0"/>
              <w:adjustRightInd w:val="0"/>
              <w:jc w:val="right"/>
              <w:rPr>
                <w:rFonts w:eastAsia="Calibri"/>
                <w:color w:val="000000"/>
                <w:sz w:val="22"/>
              </w:rPr>
            </w:pPr>
            <w:r w:rsidRPr="001916D0">
              <w:rPr>
                <w:rFonts w:eastAsia="Calibri"/>
                <w:color w:val="000000"/>
                <w:sz w:val="22"/>
              </w:rPr>
              <w:t>Всього</w:t>
            </w:r>
          </w:p>
        </w:tc>
      </w:tr>
      <w:tr w:rsidR="00E95FB1" w:rsidRPr="001916D0" w:rsidTr="001B3967">
        <w:trPr>
          <w:gridAfter w:val="1"/>
          <w:wAfter w:w="789" w:type="dxa"/>
          <w:trHeight w:val="558"/>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vMerge/>
            <w:tcBorders>
              <w:left w:val="single" w:sz="6" w:space="0" w:color="auto"/>
              <w:bottom w:val="single" w:sz="6" w:space="0" w:color="auto"/>
              <w:right w:val="single" w:sz="6" w:space="0" w:color="auto"/>
            </w:tcBorders>
            <w:shd w:val="clear" w:color="00FFFF" w:fill="C6D9F1"/>
          </w:tcPr>
          <w:p w:rsidR="00E95FB1" w:rsidRPr="001916D0" w:rsidRDefault="00E95FB1" w:rsidP="001B3967">
            <w:pPr>
              <w:autoSpaceDE w:val="0"/>
              <w:autoSpaceDN w:val="0"/>
              <w:adjustRightInd w:val="0"/>
              <w:rPr>
                <w:rFonts w:eastAsia="Calibri"/>
                <w:b/>
                <w:color w:val="000000"/>
                <w:sz w:val="22"/>
              </w:rPr>
            </w:pPr>
          </w:p>
        </w:tc>
        <w:tc>
          <w:tcPr>
            <w:tcW w:w="1559" w:type="dxa"/>
            <w:vMerge/>
            <w:tcBorders>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p>
        </w:tc>
        <w:tc>
          <w:tcPr>
            <w:tcW w:w="1418" w:type="dxa"/>
            <w:gridSpan w:val="2"/>
            <w:vMerge/>
            <w:tcBorders>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p>
        </w:tc>
        <w:tc>
          <w:tcPr>
            <w:tcW w:w="1389"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r w:rsidRPr="001916D0">
              <w:rPr>
                <w:rFonts w:eastAsia="Calibri"/>
                <w:color w:val="000000"/>
                <w:sz w:val="22"/>
              </w:rPr>
              <w:t>Обсяг</w:t>
            </w:r>
          </w:p>
        </w:tc>
        <w:tc>
          <w:tcPr>
            <w:tcW w:w="1021" w:type="dxa"/>
            <w:gridSpan w:val="3"/>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r w:rsidRPr="001916D0">
              <w:rPr>
                <w:rFonts w:eastAsia="Calibri"/>
                <w:color w:val="000000"/>
                <w:sz w:val="22"/>
              </w:rPr>
              <w:t>Назва джерела</w:t>
            </w:r>
          </w:p>
        </w:tc>
        <w:tc>
          <w:tcPr>
            <w:tcW w:w="1275" w:type="dxa"/>
            <w:vMerge/>
            <w:tcBorders>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right"/>
              <w:rPr>
                <w:rFonts w:eastAsia="Calibri"/>
                <w:color w:val="000000"/>
                <w:sz w:val="22"/>
              </w:rPr>
            </w:pPr>
          </w:p>
        </w:tc>
      </w:tr>
      <w:tr w:rsidR="00E95FB1" w:rsidRPr="001916D0" w:rsidTr="001B3967">
        <w:trPr>
          <w:gridAfter w:val="1"/>
          <w:wAfter w:w="789" w:type="dxa"/>
          <w:trHeight w:val="396"/>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vMerge/>
            <w:tcBorders>
              <w:left w:val="single" w:sz="6" w:space="0" w:color="auto"/>
              <w:bottom w:val="single" w:sz="6" w:space="0" w:color="auto"/>
              <w:right w:val="single" w:sz="6" w:space="0" w:color="auto"/>
            </w:tcBorders>
            <w:shd w:val="clear" w:color="00FFFF" w:fill="C6D9F1"/>
          </w:tcPr>
          <w:p w:rsidR="00E95FB1" w:rsidRPr="001916D0" w:rsidRDefault="00E95FB1" w:rsidP="001B3967">
            <w:pPr>
              <w:autoSpaceDE w:val="0"/>
              <w:autoSpaceDN w:val="0"/>
              <w:adjustRightInd w:val="0"/>
              <w:rPr>
                <w:rFonts w:eastAsia="Calibri"/>
                <w:b/>
                <w:color w:val="000000"/>
                <w:sz w:val="22"/>
              </w:rPr>
            </w:pPr>
          </w:p>
        </w:tc>
        <w:tc>
          <w:tcPr>
            <w:tcW w:w="1559" w:type="dxa"/>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r w:rsidRPr="001916D0">
              <w:rPr>
                <w:rFonts w:eastAsia="Calibri"/>
                <w:color w:val="000000"/>
                <w:sz w:val="22"/>
              </w:rPr>
              <w:t>7 200,0</w:t>
            </w:r>
          </w:p>
        </w:tc>
        <w:tc>
          <w:tcPr>
            <w:tcW w:w="1418"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p>
        </w:tc>
        <w:tc>
          <w:tcPr>
            <w:tcW w:w="1389"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p>
        </w:tc>
        <w:tc>
          <w:tcPr>
            <w:tcW w:w="1021" w:type="dxa"/>
            <w:gridSpan w:val="3"/>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p>
        </w:tc>
        <w:tc>
          <w:tcPr>
            <w:tcW w:w="1275" w:type="dxa"/>
            <w:tcBorders>
              <w:top w:val="single" w:sz="6" w:space="0" w:color="auto"/>
              <w:left w:val="single" w:sz="6" w:space="0" w:color="auto"/>
              <w:bottom w:val="single" w:sz="6" w:space="0" w:color="auto"/>
              <w:right w:val="single" w:sz="6" w:space="0" w:color="auto"/>
            </w:tcBorders>
            <w:vAlign w:val="center"/>
          </w:tcPr>
          <w:p w:rsidR="00E95FB1" w:rsidRPr="001916D0" w:rsidRDefault="00E95FB1" w:rsidP="001B3967">
            <w:pPr>
              <w:autoSpaceDE w:val="0"/>
              <w:autoSpaceDN w:val="0"/>
              <w:adjustRightInd w:val="0"/>
              <w:jc w:val="center"/>
              <w:rPr>
                <w:rFonts w:eastAsia="Calibri"/>
                <w:color w:val="000000"/>
                <w:sz w:val="22"/>
              </w:rPr>
            </w:pPr>
            <w:r w:rsidRPr="001916D0">
              <w:rPr>
                <w:rFonts w:eastAsia="Calibri"/>
                <w:color w:val="000000"/>
                <w:sz w:val="22"/>
              </w:rPr>
              <w:t>7 200,0</w:t>
            </w:r>
          </w:p>
        </w:tc>
      </w:tr>
    </w:tbl>
    <w:p w:rsidR="00E95FB1" w:rsidRPr="001916D0" w:rsidRDefault="00E95FB1" w:rsidP="00E95FB1">
      <w:pPr>
        <w:rPr>
          <w:sz w:val="22"/>
        </w:rPr>
      </w:pPr>
    </w:p>
    <w:p w:rsidR="00E95FB1" w:rsidRPr="001916D0" w:rsidRDefault="00E95FB1" w:rsidP="00E95FB1">
      <w:pPr>
        <w:rPr>
          <w:sz w:val="22"/>
        </w:rPr>
      </w:pPr>
    </w:p>
    <w:tbl>
      <w:tblPr>
        <w:tblpPr w:leftFromText="180" w:rightFromText="180" w:vertAnchor="text" w:horzAnchor="page" w:tblpX="1" w:tblpY="123"/>
        <w:tblW w:w="12159" w:type="dxa"/>
        <w:tblLayout w:type="fixed"/>
        <w:tblCellMar>
          <w:left w:w="30" w:type="dxa"/>
          <w:right w:w="30" w:type="dxa"/>
        </w:tblCellMar>
        <w:tblLook w:val="0000" w:firstRow="0" w:lastRow="0" w:firstColumn="0" w:lastColumn="0" w:noHBand="0" w:noVBand="0"/>
      </w:tblPr>
      <w:tblGrid>
        <w:gridCol w:w="1448"/>
        <w:gridCol w:w="3260"/>
        <w:gridCol w:w="1559"/>
        <w:gridCol w:w="284"/>
        <w:gridCol w:w="1134"/>
        <w:gridCol w:w="1134"/>
        <w:gridCol w:w="255"/>
        <w:gridCol w:w="737"/>
        <w:gridCol w:w="80"/>
        <w:gridCol w:w="204"/>
        <w:gridCol w:w="1275"/>
        <w:gridCol w:w="789"/>
      </w:tblGrid>
      <w:tr w:rsidR="00E95FB1" w:rsidRPr="001916D0" w:rsidTr="001B3967">
        <w:trPr>
          <w:trHeight w:val="290"/>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nil"/>
              <w:left w:val="nil"/>
              <w:bottom w:val="single" w:sz="6" w:space="0" w:color="auto"/>
              <w:right w:val="nil"/>
            </w:tcBorders>
          </w:tcPr>
          <w:p w:rsidR="00E95FB1" w:rsidRPr="001916D0" w:rsidRDefault="00E95FB1" w:rsidP="001B3967">
            <w:pPr>
              <w:autoSpaceDE w:val="0"/>
              <w:autoSpaceDN w:val="0"/>
              <w:adjustRightInd w:val="0"/>
              <w:jc w:val="center"/>
              <w:rPr>
                <w:rFonts w:eastAsia="Calibri"/>
                <w:color w:val="000000"/>
                <w:sz w:val="22"/>
              </w:rPr>
            </w:pPr>
          </w:p>
        </w:tc>
        <w:tc>
          <w:tcPr>
            <w:tcW w:w="1843" w:type="dxa"/>
            <w:gridSpan w:val="2"/>
            <w:tcBorders>
              <w:top w:val="nil"/>
              <w:left w:val="nil"/>
              <w:bottom w:val="single" w:sz="6" w:space="0" w:color="auto"/>
              <w:right w:val="nil"/>
            </w:tcBorders>
          </w:tcPr>
          <w:p w:rsidR="00E95FB1" w:rsidRPr="001916D0" w:rsidRDefault="00E95FB1" w:rsidP="001B3967">
            <w:pPr>
              <w:autoSpaceDE w:val="0"/>
              <w:autoSpaceDN w:val="0"/>
              <w:adjustRightInd w:val="0"/>
              <w:jc w:val="center"/>
              <w:rPr>
                <w:rFonts w:eastAsia="Calibri"/>
                <w:color w:val="000000"/>
                <w:sz w:val="22"/>
              </w:rPr>
            </w:pPr>
          </w:p>
        </w:tc>
        <w:tc>
          <w:tcPr>
            <w:tcW w:w="3260" w:type="dxa"/>
            <w:gridSpan w:val="4"/>
            <w:tcBorders>
              <w:top w:val="nil"/>
              <w:left w:val="nil"/>
              <w:bottom w:val="single" w:sz="6" w:space="0" w:color="auto"/>
              <w:right w:val="nil"/>
            </w:tcBorders>
          </w:tcPr>
          <w:p w:rsidR="00E95FB1" w:rsidRPr="001916D0" w:rsidRDefault="00E95FB1" w:rsidP="001B3967">
            <w:pPr>
              <w:autoSpaceDE w:val="0"/>
              <w:autoSpaceDN w:val="0"/>
              <w:adjustRightInd w:val="0"/>
              <w:jc w:val="center"/>
              <w:rPr>
                <w:rFonts w:eastAsia="Calibri"/>
                <w:color w:val="000000"/>
                <w:sz w:val="22"/>
              </w:rPr>
            </w:pPr>
          </w:p>
        </w:tc>
        <w:tc>
          <w:tcPr>
            <w:tcW w:w="80" w:type="dxa"/>
            <w:tcBorders>
              <w:top w:val="nil"/>
              <w:left w:val="nil"/>
              <w:bottom w:val="single" w:sz="6" w:space="0" w:color="auto"/>
              <w:right w:val="nil"/>
            </w:tcBorders>
          </w:tcPr>
          <w:p w:rsidR="00E95FB1" w:rsidRPr="001916D0" w:rsidRDefault="00E95FB1" w:rsidP="001B3967">
            <w:pPr>
              <w:autoSpaceDE w:val="0"/>
              <w:autoSpaceDN w:val="0"/>
              <w:adjustRightInd w:val="0"/>
              <w:jc w:val="center"/>
              <w:rPr>
                <w:rFonts w:eastAsia="Calibri"/>
                <w:color w:val="000000"/>
                <w:sz w:val="22"/>
              </w:rPr>
            </w:pPr>
          </w:p>
        </w:tc>
        <w:tc>
          <w:tcPr>
            <w:tcW w:w="2268" w:type="dxa"/>
            <w:gridSpan w:val="3"/>
            <w:tcBorders>
              <w:top w:val="nil"/>
              <w:left w:val="nil"/>
              <w:bottom w:val="single" w:sz="6" w:space="0" w:color="auto"/>
              <w:right w:val="nil"/>
            </w:tcBorders>
          </w:tcPr>
          <w:p w:rsidR="00E95FB1" w:rsidRPr="001916D0" w:rsidRDefault="00E95FB1" w:rsidP="001B3967">
            <w:pPr>
              <w:autoSpaceDE w:val="0"/>
              <w:autoSpaceDN w:val="0"/>
              <w:adjustRightInd w:val="0"/>
              <w:jc w:val="center"/>
              <w:rPr>
                <w:rFonts w:eastAsia="Calibri"/>
                <w:color w:val="000000"/>
                <w:sz w:val="22"/>
              </w:rPr>
            </w:pPr>
          </w:p>
        </w:tc>
      </w:tr>
      <w:tr w:rsidR="00E95FB1" w:rsidRPr="001916D0" w:rsidTr="001B3967">
        <w:trPr>
          <w:gridAfter w:val="1"/>
          <w:wAfter w:w="789" w:type="dxa"/>
          <w:trHeight w:val="1015"/>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Оперативна ціль/завдання</w:t>
            </w:r>
          </w:p>
        </w:tc>
        <w:tc>
          <w:tcPr>
            <w:tcW w:w="6662" w:type="dxa"/>
            <w:gridSpan w:val="9"/>
            <w:tcBorders>
              <w:top w:val="single" w:sz="6" w:space="0" w:color="auto"/>
              <w:left w:val="single" w:sz="6" w:space="0" w:color="auto"/>
              <w:bottom w:val="single" w:sz="6" w:space="0" w:color="auto"/>
              <w:right w:val="single" w:sz="6" w:space="0" w:color="auto"/>
            </w:tcBorders>
          </w:tcPr>
          <w:p w:rsidR="00E95FB1" w:rsidRPr="001916D0" w:rsidRDefault="00E95FB1" w:rsidP="001B3967">
            <w:pPr>
              <w:spacing w:line="228" w:lineRule="auto"/>
              <w:rPr>
                <w:rFonts w:eastAsia="Arial"/>
                <w:sz w:val="22"/>
              </w:rPr>
            </w:pPr>
            <w:r w:rsidRPr="001916D0">
              <w:rPr>
                <w:rFonts w:eastAsia="Arial"/>
                <w:sz w:val="22"/>
              </w:rPr>
              <w:t>SMART – трансформація економіки та відновлення інвестиційної  привабливості громади/</w:t>
            </w:r>
          </w:p>
          <w:p w:rsidR="00E95FB1" w:rsidRPr="001916D0" w:rsidRDefault="00E95FB1" w:rsidP="001B3967">
            <w:pPr>
              <w:spacing w:line="228" w:lineRule="auto"/>
              <w:rPr>
                <w:rFonts w:eastAsia="Arial"/>
                <w:b/>
                <w:sz w:val="22"/>
              </w:rPr>
            </w:pPr>
            <w:r w:rsidRPr="001916D0">
              <w:rPr>
                <w:rFonts w:eastAsia="Arial"/>
                <w:sz w:val="22"/>
              </w:rPr>
              <w:t>Маркетинг  території громади та залучення інвестицій</w:t>
            </w:r>
          </w:p>
        </w:tc>
      </w:tr>
      <w:tr w:rsidR="00E95FB1" w:rsidRPr="001916D0" w:rsidTr="001B3967">
        <w:trPr>
          <w:gridAfter w:val="1"/>
          <w:wAfter w:w="789" w:type="dxa"/>
          <w:trHeight w:val="290"/>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Назва проекту:</w:t>
            </w:r>
            <w:r w:rsidRPr="001916D0">
              <w:rPr>
                <w:color w:val="000000"/>
                <w:sz w:val="22"/>
              </w:rPr>
              <w:t xml:space="preserve"> </w:t>
            </w:r>
          </w:p>
        </w:tc>
        <w:tc>
          <w:tcPr>
            <w:tcW w:w="6662" w:type="dxa"/>
            <w:gridSpan w:val="9"/>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rPr>
                <w:rFonts w:eastAsia="Calibri"/>
                <w:color w:val="000000"/>
                <w:sz w:val="22"/>
              </w:rPr>
            </w:pPr>
            <w:r w:rsidRPr="001916D0">
              <w:rPr>
                <w:rFonts w:eastAsia="Arial"/>
                <w:sz w:val="22"/>
              </w:rPr>
              <w:t>Розроблення технічної документації з нормативної грошової оцінки населених пунктів Сєвєродонецької міської територіальної громади</w:t>
            </w:r>
          </w:p>
        </w:tc>
      </w:tr>
      <w:tr w:rsidR="00E95FB1" w:rsidRPr="001916D0" w:rsidTr="001B3967">
        <w:trPr>
          <w:gridAfter w:val="1"/>
          <w:wAfter w:w="789" w:type="dxa"/>
          <w:trHeight w:val="1075"/>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Ціль проекту</w:t>
            </w:r>
          </w:p>
        </w:tc>
        <w:tc>
          <w:tcPr>
            <w:tcW w:w="6662" w:type="dxa"/>
            <w:gridSpan w:val="9"/>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rPr>
                <w:rFonts w:eastAsia="Calibri"/>
                <w:color w:val="000000"/>
                <w:sz w:val="22"/>
              </w:rPr>
            </w:pPr>
            <w:r w:rsidRPr="001916D0">
              <w:rPr>
                <w:rFonts w:eastAsia="Arial"/>
                <w:sz w:val="22"/>
              </w:rPr>
              <w:t>Розроблення технічної документації з нормативної грошової оцінки населених пунктів Сєвєродонецької міської територіальної громади</w:t>
            </w:r>
          </w:p>
        </w:tc>
      </w:tr>
      <w:tr w:rsidR="00E95FB1" w:rsidRPr="001916D0" w:rsidTr="001B3967">
        <w:trPr>
          <w:gridAfter w:val="1"/>
          <w:wAfter w:w="789" w:type="dxa"/>
          <w:trHeight w:val="290"/>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Територія, на яку матиме вплив реалізація проекту</w:t>
            </w:r>
          </w:p>
        </w:tc>
        <w:tc>
          <w:tcPr>
            <w:tcW w:w="6662" w:type="dxa"/>
            <w:gridSpan w:val="9"/>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rPr>
                <w:rFonts w:eastAsia="Calibri"/>
                <w:color w:val="000000"/>
                <w:sz w:val="22"/>
              </w:rPr>
            </w:pPr>
            <w:r w:rsidRPr="001916D0">
              <w:rPr>
                <w:rFonts w:eastAsia="Calibri"/>
                <w:color w:val="000000"/>
                <w:sz w:val="22"/>
              </w:rPr>
              <w:t>Сєвєродонецька міська територіальна громада</w:t>
            </w:r>
          </w:p>
        </w:tc>
      </w:tr>
      <w:tr w:rsidR="00E95FB1" w:rsidRPr="001916D0" w:rsidTr="001B3967">
        <w:trPr>
          <w:gridAfter w:val="1"/>
          <w:wAfter w:w="789" w:type="dxa"/>
          <w:trHeight w:val="581"/>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Чисельність населення, на яке матиме вплив реалізація проекту</w:t>
            </w:r>
          </w:p>
        </w:tc>
        <w:tc>
          <w:tcPr>
            <w:tcW w:w="6662" w:type="dxa"/>
            <w:gridSpan w:val="9"/>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rPr>
                <w:rFonts w:eastAsia="Calibri"/>
                <w:color w:val="000000"/>
                <w:sz w:val="22"/>
              </w:rPr>
            </w:pPr>
            <w:r w:rsidRPr="001916D0">
              <w:rPr>
                <w:rFonts w:eastAsia="Calibri"/>
                <w:color w:val="000000"/>
                <w:sz w:val="22"/>
              </w:rPr>
              <w:t>105 000</w:t>
            </w:r>
          </w:p>
        </w:tc>
      </w:tr>
      <w:tr w:rsidR="00E95FB1" w:rsidRPr="001916D0" w:rsidTr="001B3967">
        <w:trPr>
          <w:gridAfter w:val="1"/>
          <w:wAfter w:w="789" w:type="dxa"/>
          <w:trHeight w:val="730"/>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Опис проблеми, на вирішення якої спрямований проект</w:t>
            </w:r>
          </w:p>
        </w:tc>
        <w:tc>
          <w:tcPr>
            <w:tcW w:w="6662" w:type="dxa"/>
            <w:gridSpan w:val="9"/>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rPr>
                <w:rFonts w:eastAsia="Calibri"/>
                <w:color w:val="000000"/>
                <w:sz w:val="22"/>
              </w:rPr>
            </w:pPr>
            <w:r w:rsidRPr="001916D0">
              <w:rPr>
                <w:rFonts w:eastAsia="Calibri"/>
                <w:sz w:val="22"/>
              </w:rPr>
              <w:t xml:space="preserve">Відсутність </w:t>
            </w:r>
            <w:r w:rsidRPr="001916D0">
              <w:rPr>
                <w:rFonts w:eastAsia="Arial"/>
                <w:sz w:val="22"/>
              </w:rPr>
              <w:t xml:space="preserve"> технічної документації з нормативної грошової оцінки населених пунктів Сєвєродонецької міської територіальної громади</w:t>
            </w:r>
          </w:p>
        </w:tc>
      </w:tr>
      <w:tr w:rsidR="00E95FB1" w:rsidRPr="001916D0" w:rsidTr="001B3967">
        <w:trPr>
          <w:gridAfter w:val="1"/>
          <w:wAfter w:w="789" w:type="dxa"/>
          <w:trHeight w:val="528"/>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Очікувані якісні результати від реалізації проекту</w:t>
            </w:r>
          </w:p>
        </w:tc>
        <w:tc>
          <w:tcPr>
            <w:tcW w:w="6662" w:type="dxa"/>
            <w:gridSpan w:val="9"/>
            <w:tcBorders>
              <w:top w:val="single" w:sz="6" w:space="0" w:color="auto"/>
              <w:left w:val="single" w:sz="6" w:space="0" w:color="auto"/>
              <w:bottom w:val="single" w:sz="6" w:space="0" w:color="auto"/>
              <w:right w:val="single" w:sz="6" w:space="0" w:color="auto"/>
            </w:tcBorders>
          </w:tcPr>
          <w:p w:rsidR="00E95FB1" w:rsidRPr="001916D0" w:rsidRDefault="00E95FB1" w:rsidP="001B3967">
            <w:pPr>
              <w:shd w:val="clear" w:color="auto" w:fill="FFFFFF"/>
              <w:jc w:val="left"/>
              <w:rPr>
                <w:sz w:val="22"/>
              </w:rPr>
            </w:pPr>
            <w:r w:rsidRPr="001916D0">
              <w:rPr>
                <w:sz w:val="22"/>
              </w:rPr>
              <w:t xml:space="preserve">Розроблення </w:t>
            </w:r>
            <w:r w:rsidRPr="001916D0">
              <w:rPr>
                <w:rFonts w:eastAsia="Arial"/>
                <w:sz w:val="22"/>
              </w:rPr>
              <w:t>технічної документації з нормативної грошової оцінки населених пунктів Сєвєродонецької міської територіальної громади</w:t>
            </w:r>
            <w:r w:rsidRPr="001916D0">
              <w:rPr>
                <w:sz w:val="22"/>
              </w:rPr>
              <w:t>, яка  створить умови для більш ефективного відновлення території Сєвєродонецької міської територіальної громади, створить необхідні умови для формування фінансово-економічної бази населених пунктів за рахунок справляння плати за землю, забезпечить ефективне використання земельних ресурсів на території громади</w:t>
            </w:r>
          </w:p>
        </w:tc>
      </w:tr>
      <w:tr w:rsidR="00E95FB1" w:rsidRPr="001916D0" w:rsidTr="001B3967">
        <w:trPr>
          <w:gridAfter w:val="1"/>
          <w:wAfter w:w="789" w:type="dxa"/>
          <w:trHeight w:val="581"/>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Очікувані кількісні результати від реалізації проекту  (індикатори)</w:t>
            </w:r>
          </w:p>
        </w:tc>
        <w:tc>
          <w:tcPr>
            <w:tcW w:w="4111" w:type="dxa"/>
            <w:gridSpan w:val="4"/>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b/>
                <w:color w:val="000000"/>
                <w:sz w:val="22"/>
              </w:rPr>
            </w:pPr>
            <w:r w:rsidRPr="001916D0">
              <w:rPr>
                <w:rFonts w:eastAsia="Calibri"/>
                <w:b/>
                <w:color w:val="000000"/>
                <w:sz w:val="22"/>
              </w:rPr>
              <w:t>Найменування показника</w:t>
            </w:r>
          </w:p>
        </w:tc>
        <w:tc>
          <w:tcPr>
            <w:tcW w:w="992"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b/>
                <w:color w:val="000000"/>
                <w:sz w:val="22"/>
              </w:rPr>
            </w:pPr>
            <w:r w:rsidRPr="001916D0">
              <w:rPr>
                <w:rFonts w:eastAsia="Calibri"/>
                <w:b/>
                <w:color w:val="000000"/>
                <w:sz w:val="22"/>
              </w:rPr>
              <w:t>Одиниця вимірювання</w:t>
            </w:r>
          </w:p>
        </w:tc>
        <w:tc>
          <w:tcPr>
            <w:tcW w:w="1559" w:type="dxa"/>
            <w:gridSpan w:val="3"/>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b/>
                <w:color w:val="000000"/>
                <w:sz w:val="22"/>
              </w:rPr>
            </w:pPr>
            <w:r w:rsidRPr="001916D0">
              <w:rPr>
                <w:rFonts w:eastAsia="Calibri"/>
                <w:b/>
                <w:color w:val="000000"/>
                <w:sz w:val="22"/>
              </w:rPr>
              <w:t>Прогнозне (цільове) значення</w:t>
            </w:r>
          </w:p>
        </w:tc>
      </w:tr>
      <w:tr w:rsidR="00E95FB1" w:rsidRPr="001916D0" w:rsidTr="001B3967">
        <w:trPr>
          <w:gridAfter w:val="1"/>
          <w:wAfter w:w="789" w:type="dxa"/>
          <w:trHeight w:val="290"/>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1916D0" w:rsidRDefault="00E95FB1" w:rsidP="001B3967">
            <w:pPr>
              <w:autoSpaceDE w:val="0"/>
              <w:autoSpaceDN w:val="0"/>
              <w:adjustRightInd w:val="0"/>
              <w:jc w:val="right"/>
              <w:rPr>
                <w:rFonts w:eastAsia="Calibri"/>
                <w:b/>
                <w:color w:val="000000"/>
                <w:sz w:val="22"/>
              </w:rPr>
            </w:pPr>
          </w:p>
        </w:tc>
        <w:tc>
          <w:tcPr>
            <w:tcW w:w="4111" w:type="dxa"/>
            <w:gridSpan w:val="4"/>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rPr>
                <w:rFonts w:eastAsia="Calibri"/>
                <w:color w:val="000000"/>
                <w:sz w:val="22"/>
              </w:rPr>
            </w:pPr>
            <w:r w:rsidRPr="001916D0">
              <w:rPr>
                <w:rFonts w:eastAsia="Calibri"/>
                <w:sz w:val="22"/>
              </w:rPr>
              <w:t>Площа, на яку розроблена містобудівна документація</w:t>
            </w:r>
          </w:p>
        </w:tc>
        <w:tc>
          <w:tcPr>
            <w:tcW w:w="992" w:type="dxa"/>
            <w:gridSpan w:val="2"/>
            <w:tcBorders>
              <w:top w:val="single" w:sz="6" w:space="0" w:color="auto"/>
              <w:left w:val="single" w:sz="6" w:space="0" w:color="auto"/>
              <w:bottom w:val="single" w:sz="6" w:space="0" w:color="auto"/>
              <w:right w:val="single" w:sz="6" w:space="0" w:color="auto"/>
            </w:tcBorders>
            <w:vAlign w:val="center"/>
          </w:tcPr>
          <w:p w:rsidR="00E95FB1" w:rsidRPr="001916D0" w:rsidRDefault="00E95FB1" w:rsidP="001B3967">
            <w:pPr>
              <w:autoSpaceDE w:val="0"/>
              <w:autoSpaceDN w:val="0"/>
              <w:adjustRightInd w:val="0"/>
              <w:jc w:val="center"/>
              <w:rPr>
                <w:rFonts w:eastAsia="Calibri"/>
                <w:color w:val="000000"/>
                <w:sz w:val="22"/>
              </w:rPr>
            </w:pPr>
            <w:r w:rsidRPr="001916D0">
              <w:rPr>
                <w:rFonts w:eastAsia="Calibri"/>
                <w:color w:val="000000"/>
                <w:sz w:val="22"/>
              </w:rPr>
              <w:t>га</w:t>
            </w:r>
          </w:p>
        </w:tc>
        <w:tc>
          <w:tcPr>
            <w:tcW w:w="1559" w:type="dxa"/>
            <w:gridSpan w:val="3"/>
            <w:tcBorders>
              <w:top w:val="single" w:sz="6" w:space="0" w:color="auto"/>
              <w:left w:val="single" w:sz="6" w:space="0" w:color="auto"/>
              <w:bottom w:val="single" w:sz="6" w:space="0" w:color="auto"/>
              <w:right w:val="single" w:sz="6" w:space="0" w:color="auto"/>
            </w:tcBorders>
            <w:vAlign w:val="center"/>
          </w:tcPr>
          <w:p w:rsidR="00E95FB1" w:rsidRPr="001916D0" w:rsidRDefault="00E95FB1" w:rsidP="001B3967">
            <w:pPr>
              <w:autoSpaceDE w:val="0"/>
              <w:autoSpaceDN w:val="0"/>
              <w:adjustRightInd w:val="0"/>
              <w:jc w:val="center"/>
              <w:rPr>
                <w:rFonts w:eastAsia="Calibri"/>
                <w:color w:val="000000"/>
                <w:sz w:val="22"/>
              </w:rPr>
            </w:pPr>
            <w:r w:rsidRPr="001916D0">
              <w:rPr>
                <w:rFonts w:eastAsia="Calibri"/>
                <w:color w:val="000000"/>
                <w:sz w:val="22"/>
              </w:rPr>
              <w:t>71,3</w:t>
            </w:r>
          </w:p>
        </w:tc>
      </w:tr>
      <w:tr w:rsidR="00E95FB1" w:rsidRPr="001916D0" w:rsidTr="001B3967">
        <w:trPr>
          <w:gridAfter w:val="1"/>
          <w:wAfter w:w="789" w:type="dxa"/>
          <w:trHeight w:val="1067"/>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Ключові заходи проекту:</w:t>
            </w:r>
          </w:p>
        </w:tc>
        <w:tc>
          <w:tcPr>
            <w:tcW w:w="6662" w:type="dxa"/>
            <w:gridSpan w:val="9"/>
            <w:tcBorders>
              <w:top w:val="single" w:sz="6" w:space="0" w:color="auto"/>
              <w:left w:val="single" w:sz="6" w:space="0" w:color="auto"/>
              <w:bottom w:val="single" w:sz="6" w:space="0" w:color="auto"/>
              <w:right w:val="single" w:sz="6" w:space="0" w:color="auto"/>
            </w:tcBorders>
          </w:tcPr>
          <w:p w:rsidR="00E95FB1" w:rsidRPr="001916D0" w:rsidRDefault="00E95FB1" w:rsidP="000303D7">
            <w:pPr>
              <w:numPr>
                <w:ilvl w:val="0"/>
                <w:numId w:val="25"/>
              </w:numPr>
              <w:autoSpaceDE w:val="0"/>
              <w:autoSpaceDN w:val="0"/>
              <w:adjustRightInd w:val="0"/>
              <w:ind w:left="253" w:hanging="177"/>
              <w:jc w:val="left"/>
              <w:rPr>
                <w:rFonts w:eastAsia="Calibri"/>
                <w:sz w:val="22"/>
              </w:rPr>
            </w:pPr>
            <w:r w:rsidRPr="001916D0">
              <w:rPr>
                <w:rFonts w:eastAsia="Calibri"/>
                <w:sz w:val="22"/>
              </w:rPr>
              <w:t>Підготовка тендерної документації</w:t>
            </w:r>
            <w:r w:rsidR="00BF0D0B" w:rsidRPr="001916D0">
              <w:rPr>
                <w:rFonts w:eastAsia="Calibri"/>
                <w:sz w:val="22"/>
                <w:szCs w:val="22"/>
              </w:rPr>
              <w:t>.</w:t>
            </w:r>
          </w:p>
          <w:p w:rsidR="00E95FB1" w:rsidRPr="001916D0" w:rsidRDefault="00E95FB1" w:rsidP="000303D7">
            <w:pPr>
              <w:numPr>
                <w:ilvl w:val="0"/>
                <w:numId w:val="25"/>
              </w:numPr>
              <w:autoSpaceDE w:val="0"/>
              <w:autoSpaceDN w:val="0"/>
              <w:adjustRightInd w:val="0"/>
              <w:ind w:left="253" w:hanging="177"/>
              <w:jc w:val="left"/>
              <w:rPr>
                <w:rFonts w:eastAsia="Calibri"/>
                <w:sz w:val="22"/>
              </w:rPr>
            </w:pPr>
            <w:r w:rsidRPr="001916D0">
              <w:rPr>
                <w:rFonts w:eastAsia="Calibri"/>
                <w:sz w:val="22"/>
              </w:rPr>
              <w:t>Проведення процедури закупівлі та визначення виконавців робіт</w:t>
            </w:r>
            <w:r w:rsidR="00BF0D0B" w:rsidRPr="001916D0">
              <w:rPr>
                <w:rFonts w:eastAsia="Calibri"/>
                <w:sz w:val="22"/>
                <w:szCs w:val="22"/>
              </w:rPr>
              <w:t>.</w:t>
            </w:r>
          </w:p>
          <w:p w:rsidR="00E95FB1" w:rsidRPr="001916D0" w:rsidRDefault="00E95FB1" w:rsidP="000303D7">
            <w:pPr>
              <w:numPr>
                <w:ilvl w:val="0"/>
                <w:numId w:val="25"/>
              </w:numPr>
              <w:autoSpaceDE w:val="0"/>
              <w:autoSpaceDN w:val="0"/>
              <w:adjustRightInd w:val="0"/>
              <w:ind w:left="253" w:hanging="218"/>
              <w:jc w:val="left"/>
              <w:rPr>
                <w:rFonts w:eastAsia="Calibri"/>
                <w:color w:val="000000"/>
                <w:sz w:val="22"/>
              </w:rPr>
            </w:pPr>
            <w:r w:rsidRPr="001916D0">
              <w:rPr>
                <w:rFonts w:eastAsia="Arial"/>
                <w:sz w:val="22"/>
              </w:rPr>
              <w:t>Розроблення технічної документації з нормативної грошової оцінки населених пунктів Сєвєродонецької міської територіальної громади</w:t>
            </w:r>
          </w:p>
        </w:tc>
      </w:tr>
      <w:tr w:rsidR="00E95FB1" w:rsidRPr="001916D0" w:rsidTr="001B3967">
        <w:trPr>
          <w:gridAfter w:val="1"/>
          <w:wAfter w:w="789" w:type="dxa"/>
          <w:trHeight w:val="634"/>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vMerge w:val="restart"/>
            <w:tcBorders>
              <w:top w:val="single" w:sz="6" w:space="0" w:color="auto"/>
              <w:left w:val="single" w:sz="6" w:space="0" w:color="auto"/>
              <w:bottom w:val="single" w:sz="6" w:space="0" w:color="auto"/>
              <w:right w:val="single" w:sz="6" w:space="0" w:color="auto"/>
            </w:tcBorders>
            <w:shd w:val="clear" w:color="00FFFF" w:fill="C6D9F1"/>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Орієнтовний обсяг та джерела фінансування тис. гривень</w:t>
            </w:r>
          </w:p>
        </w:tc>
        <w:tc>
          <w:tcPr>
            <w:tcW w:w="1559" w:type="dxa"/>
            <w:vMerge w:val="restart"/>
            <w:tcBorders>
              <w:top w:val="single" w:sz="6" w:space="0" w:color="auto"/>
              <w:left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r w:rsidRPr="001916D0">
              <w:rPr>
                <w:rFonts w:eastAsia="Calibri"/>
                <w:color w:val="000000"/>
                <w:sz w:val="22"/>
              </w:rPr>
              <w:t>Державний бюджет</w:t>
            </w:r>
          </w:p>
        </w:tc>
        <w:tc>
          <w:tcPr>
            <w:tcW w:w="1418" w:type="dxa"/>
            <w:gridSpan w:val="2"/>
            <w:vMerge w:val="restart"/>
            <w:tcBorders>
              <w:top w:val="single" w:sz="6" w:space="0" w:color="auto"/>
              <w:left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r w:rsidRPr="001916D0">
              <w:rPr>
                <w:rFonts w:eastAsia="Calibri"/>
                <w:color w:val="000000"/>
                <w:sz w:val="22"/>
              </w:rPr>
              <w:t>Місцевий бюджет</w:t>
            </w:r>
          </w:p>
        </w:tc>
        <w:tc>
          <w:tcPr>
            <w:tcW w:w="2410" w:type="dxa"/>
            <w:gridSpan w:val="5"/>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r w:rsidRPr="001916D0">
              <w:rPr>
                <w:rFonts w:eastAsia="Calibri"/>
                <w:color w:val="000000"/>
                <w:sz w:val="22"/>
              </w:rPr>
              <w:t>Інші джерела</w:t>
            </w:r>
          </w:p>
        </w:tc>
        <w:tc>
          <w:tcPr>
            <w:tcW w:w="1275" w:type="dxa"/>
            <w:vMerge w:val="restart"/>
            <w:tcBorders>
              <w:top w:val="single" w:sz="6" w:space="0" w:color="auto"/>
              <w:left w:val="single" w:sz="6" w:space="0" w:color="auto"/>
              <w:right w:val="single" w:sz="6" w:space="0" w:color="auto"/>
            </w:tcBorders>
          </w:tcPr>
          <w:p w:rsidR="00E95FB1" w:rsidRPr="001916D0" w:rsidRDefault="00E95FB1" w:rsidP="001B3967">
            <w:pPr>
              <w:autoSpaceDE w:val="0"/>
              <w:autoSpaceDN w:val="0"/>
              <w:adjustRightInd w:val="0"/>
              <w:jc w:val="right"/>
              <w:rPr>
                <w:rFonts w:eastAsia="Calibri"/>
                <w:color w:val="000000"/>
                <w:sz w:val="22"/>
              </w:rPr>
            </w:pPr>
            <w:r w:rsidRPr="001916D0">
              <w:rPr>
                <w:rFonts w:eastAsia="Calibri"/>
                <w:color w:val="000000"/>
                <w:sz w:val="22"/>
              </w:rPr>
              <w:t>Всього</w:t>
            </w:r>
          </w:p>
        </w:tc>
      </w:tr>
      <w:tr w:rsidR="00E95FB1" w:rsidRPr="001916D0" w:rsidTr="001B3967">
        <w:trPr>
          <w:gridAfter w:val="1"/>
          <w:wAfter w:w="789" w:type="dxa"/>
          <w:trHeight w:val="558"/>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vMerge/>
            <w:tcBorders>
              <w:left w:val="single" w:sz="6" w:space="0" w:color="auto"/>
              <w:bottom w:val="single" w:sz="6" w:space="0" w:color="auto"/>
              <w:right w:val="single" w:sz="6" w:space="0" w:color="auto"/>
            </w:tcBorders>
            <w:shd w:val="clear" w:color="00FFFF" w:fill="C6D9F1"/>
          </w:tcPr>
          <w:p w:rsidR="00E95FB1" w:rsidRPr="001916D0" w:rsidRDefault="00E95FB1" w:rsidP="001B3967">
            <w:pPr>
              <w:autoSpaceDE w:val="0"/>
              <w:autoSpaceDN w:val="0"/>
              <w:adjustRightInd w:val="0"/>
              <w:rPr>
                <w:rFonts w:eastAsia="Calibri"/>
                <w:b/>
                <w:color w:val="000000"/>
                <w:sz w:val="22"/>
              </w:rPr>
            </w:pPr>
          </w:p>
        </w:tc>
        <w:tc>
          <w:tcPr>
            <w:tcW w:w="1559" w:type="dxa"/>
            <w:vMerge/>
            <w:tcBorders>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p>
        </w:tc>
        <w:tc>
          <w:tcPr>
            <w:tcW w:w="1418" w:type="dxa"/>
            <w:gridSpan w:val="2"/>
            <w:vMerge/>
            <w:tcBorders>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p>
        </w:tc>
        <w:tc>
          <w:tcPr>
            <w:tcW w:w="1389"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r w:rsidRPr="001916D0">
              <w:rPr>
                <w:rFonts w:eastAsia="Calibri"/>
                <w:color w:val="000000"/>
                <w:sz w:val="22"/>
              </w:rPr>
              <w:t>Обсяг</w:t>
            </w:r>
          </w:p>
        </w:tc>
        <w:tc>
          <w:tcPr>
            <w:tcW w:w="1021" w:type="dxa"/>
            <w:gridSpan w:val="3"/>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r w:rsidRPr="001916D0">
              <w:rPr>
                <w:rFonts w:eastAsia="Calibri"/>
                <w:color w:val="000000"/>
                <w:sz w:val="22"/>
              </w:rPr>
              <w:t>Назва джерела</w:t>
            </w:r>
          </w:p>
        </w:tc>
        <w:tc>
          <w:tcPr>
            <w:tcW w:w="1275" w:type="dxa"/>
            <w:vMerge/>
            <w:tcBorders>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right"/>
              <w:rPr>
                <w:rFonts w:eastAsia="Calibri"/>
                <w:color w:val="000000"/>
                <w:sz w:val="22"/>
              </w:rPr>
            </w:pPr>
          </w:p>
        </w:tc>
      </w:tr>
      <w:tr w:rsidR="00E95FB1" w:rsidRPr="001916D0" w:rsidTr="001B3967">
        <w:trPr>
          <w:gridAfter w:val="1"/>
          <w:wAfter w:w="789" w:type="dxa"/>
          <w:trHeight w:val="396"/>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vMerge/>
            <w:tcBorders>
              <w:left w:val="single" w:sz="6" w:space="0" w:color="auto"/>
              <w:bottom w:val="single" w:sz="6" w:space="0" w:color="auto"/>
              <w:right w:val="single" w:sz="6" w:space="0" w:color="auto"/>
            </w:tcBorders>
            <w:shd w:val="clear" w:color="00FFFF" w:fill="C6D9F1"/>
          </w:tcPr>
          <w:p w:rsidR="00E95FB1" w:rsidRPr="001916D0" w:rsidRDefault="00E95FB1" w:rsidP="001B3967">
            <w:pPr>
              <w:autoSpaceDE w:val="0"/>
              <w:autoSpaceDN w:val="0"/>
              <w:adjustRightInd w:val="0"/>
              <w:rPr>
                <w:rFonts w:eastAsia="Calibri"/>
                <w:b/>
                <w:color w:val="000000"/>
                <w:sz w:val="22"/>
              </w:rPr>
            </w:pPr>
          </w:p>
        </w:tc>
        <w:tc>
          <w:tcPr>
            <w:tcW w:w="1559" w:type="dxa"/>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r w:rsidRPr="001916D0">
              <w:rPr>
                <w:rFonts w:eastAsia="Calibri"/>
                <w:sz w:val="22"/>
              </w:rPr>
              <w:t>1 800,0</w:t>
            </w:r>
          </w:p>
        </w:tc>
        <w:tc>
          <w:tcPr>
            <w:tcW w:w="1418"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p>
        </w:tc>
        <w:tc>
          <w:tcPr>
            <w:tcW w:w="1389"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p>
        </w:tc>
        <w:tc>
          <w:tcPr>
            <w:tcW w:w="1021" w:type="dxa"/>
            <w:gridSpan w:val="3"/>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p>
        </w:tc>
        <w:tc>
          <w:tcPr>
            <w:tcW w:w="1275" w:type="dxa"/>
            <w:tcBorders>
              <w:top w:val="single" w:sz="6" w:space="0" w:color="auto"/>
              <w:left w:val="single" w:sz="6" w:space="0" w:color="auto"/>
              <w:bottom w:val="single" w:sz="6" w:space="0" w:color="auto"/>
              <w:right w:val="single" w:sz="6" w:space="0" w:color="auto"/>
            </w:tcBorders>
            <w:vAlign w:val="center"/>
          </w:tcPr>
          <w:p w:rsidR="00E95FB1" w:rsidRPr="001916D0" w:rsidRDefault="00E95FB1" w:rsidP="001B3967">
            <w:pPr>
              <w:autoSpaceDE w:val="0"/>
              <w:autoSpaceDN w:val="0"/>
              <w:adjustRightInd w:val="0"/>
              <w:jc w:val="center"/>
              <w:rPr>
                <w:rFonts w:eastAsia="Calibri"/>
                <w:color w:val="000000"/>
                <w:sz w:val="22"/>
              </w:rPr>
            </w:pPr>
            <w:r w:rsidRPr="001916D0">
              <w:rPr>
                <w:rFonts w:eastAsia="Calibri"/>
                <w:sz w:val="22"/>
              </w:rPr>
              <w:t>1 800,0</w:t>
            </w:r>
          </w:p>
        </w:tc>
      </w:tr>
    </w:tbl>
    <w:p w:rsidR="00E95FB1" w:rsidRPr="001916D0" w:rsidRDefault="00E95FB1" w:rsidP="00E95FB1">
      <w:pPr>
        <w:rPr>
          <w:sz w:val="22"/>
        </w:rPr>
      </w:pPr>
    </w:p>
    <w:p w:rsidR="00F753C5" w:rsidRPr="001916D0" w:rsidRDefault="00F753C5" w:rsidP="00E95FB1">
      <w:pPr>
        <w:rPr>
          <w:sz w:val="22"/>
        </w:rPr>
      </w:pPr>
    </w:p>
    <w:p w:rsidR="00F753C5" w:rsidRPr="001916D0" w:rsidRDefault="00F753C5" w:rsidP="00E95FB1">
      <w:pPr>
        <w:rPr>
          <w:sz w:val="22"/>
        </w:rPr>
      </w:pPr>
    </w:p>
    <w:tbl>
      <w:tblPr>
        <w:tblW w:w="9923" w:type="dxa"/>
        <w:tblInd w:w="-176" w:type="dxa"/>
        <w:tblLayout w:type="fixed"/>
        <w:tblLook w:val="04A0" w:firstRow="1" w:lastRow="0" w:firstColumn="1" w:lastColumn="0" w:noHBand="0" w:noVBand="1"/>
      </w:tblPr>
      <w:tblGrid>
        <w:gridCol w:w="3270"/>
        <w:gridCol w:w="1409"/>
        <w:gridCol w:w="992"/>
        <w:gridCol w:w="142"/>
        <w:gridCol w:w="1134"/>
        <w:gridCol w:w="425"/>
        <w:gridCol w:w="1134"/>
        <w:gridCol w:w="1417"/>
      </w:tblGrid>
      <w:tr w:rsidR="00F753C5" w:rsidRPr="001916D0" w:rsidTr="00F753C5">
        <w:trPr>
          <w:trHeight w:val="1005"/>
        </w:trPr>
        <w:tc>
          <w:tcPr>
            <w:tcW w:w="3270" w:type="dxa"/>
            <w:tcBorders>
              <w:top w:val="single" w:sz="4" w:space="0" w:color="auto"/>
              <w:left w:val="single" w:sz="4" w:space="0" w:color="auto"/>
              <w:bottom w:val="single" w:sz="4" w:space="0" w:color="000000"/>
              <w:right w:val="single" w:sz="4" w:space="0" w:color="auto"/>
            </w:tcBorders>
            <w:shd w:val="clear" w:color="000000" w:fill="C6D9F1" w:themeFill="text2" w:themeFillTint="33"/>
            <w:noWrap/>
            <w:hideMark/>
          </w:tcPr>
          <w:p w:rsidR="00F753C5" w:rsidRPr="001916D0" w:rsidRDefault="00F753C5" w:rsidP="004908E7">
            <w:pPr>
              <w:rPr>
                <w:b/>
                <w:color w:val="000000"/>
                <w:sz w:val="22"/>
              </w:rPr>
            </w:pPr>
            <w:r w:rsidRPr="001916D0">
              <w:rPr>
                <w:b/>
                <w:color w:val="000000"/>
                <w:sz w:val="22"/>
              </w:rPr>
              <w:t>Оперативна ціль/ завдання</w:t>
            </w:r>
          </w:p>
        </w:tc>
        <w:tc>
          <w:tcPr>
            <w:tcW w:w="6653" w:type="dxa"/>
            <w:gridSpan w:val="7"/>
            <w:tcBorders>
              <w:top w:val="single" w:sz="4" w:space="0" w:color="auto"/>
              <w:left w:val="nil"/>
              <w:bottom w:val="single" w:sz="4" w:space="0" w:color="auto"/>
              <w:right w:val="single" w:sz="4" w:space="0" w:color="auto"/>
            </w:tcBorders>
            <w:shd w:val="clear" w:color="auto" w:fill="auto"/>
            <w:hideMark/>
          </w:tcPr>
          <w:p w:rsidR="00F753C5" w:rsidRPr="001916D0" w:rsidRDefault="00F753C5" w:rsidP="004908E7">
            <w:pPr>
              <w:rPr>
                <w:color w:val="000000"/>
                <w:sz w:val="22"/>
              </w:rPr>
            </w:pPr>
            <w:r w:rsidRPr="001916D0">
              <w:rPr>
                <w:color w:val="000000"/>
                <w:sz w:val="22"/>
              </w:rPr>
              <w:t>SMART – трансформація економіки та відновлення інвестиційної привабливості громади. Маркетинг  території громади та залучення інвестицій.</w:t>
            </w:r>
          </w:p>
        </w:tc>
      </w:tr>
      <w:tr w:rsidR="00F753C5" w:rsidRPr="001916D0" w:rsidTr="00F753C5">
        <w:trPr>
          <w:trHeight w:val="705"/>
        </w:trPr>
        <w:tc>
          <w:tcPr>
            <w:tcW w:w="3270" w:type="dxa"/>
            <w:tcBorders>
              <w:top w:val="single" w:sz="4" w:space="0" w:color="auto"/>
              <w:left w:val="single" w:sz="4" w:space="0" w:color="auto"/>
              <w:bottom w:val="single" w:sz="4" w:space="0" w:color="000000"/>
              <w:right w:val="single" w:sz="4" w:space="0" w:color="auto"/>
            </w:tcBorders>
            <w:shd w:val="clear" w:color="000000" w:fill="C6D9F1" w:themeFill="text2" w:themeFillTint="33"/>
            <w:noWrap/>
            <w:hideMark/>
          </w:tcPr>
          <w:p w:rsidR="00F753C5" w:rsidRPr="001916D0" w:rsidRDefault="00F753C5" w:rsidP="004908E7">
            <w:pPr>
              <w:rPr>
                <w:b/>
                <w:color w:val="000000"/>
                <w:sz w:val="22"/>
              </w:rPr>
            </w:pPr>
            <w:r w:rsidRPr="001916D0">
              <w:rPr>
                <w:b/>
                <w:color w:val="000000"/>
                <w:sz w:val="22"/>
              </w:rPr>
              <w:t>Назва проекту:</w:t>
            </w:r>
          </w:p>
        </w:tc>
        <w:tc>
          <w:tcPr>
            <w:tcW w:w="6653" w:type="dxa"/>
            <w:gridSpan w:val="7"/>
            <w:tcBorders>
              <w:top w:val="single" w:sz="4" w:space="0" w:color="auto"/>
              <w:left w:val="nil"/>
              <w:bottom w:val="single" w:sz="4" w:space="0" w:color="auto"/>
              <w:right w:val="single" w:sz="4" w:space="0" w:color="000000"/>
            </w:tcBorders>
            <w:shd w:val="clear" w:color="auto" w:fill="auto"/>
            <w:hideMark/>
          </w:tcPr>
          <w:p w:rsidR="00F753C5" w:rsidRPr="001916D0" w:rsidRDefault="00F753C5" w:rsidP="004908E7">
            <w:pPr>
              <w:rPr>
                <w:color w:val="000000"/>
                <w:sz w:val="22"/>
              </w:rPr>
            </w:pPr>
            <w:r w:rsidRPr="001916D0">
              <w:rPr>
                <w:color w:val="000000"/>
                <w:sz w:val="22"/>
              </w:rPr>
              <w:t xml:space="preserve">Відновлення  </w:t>
            </w:r>
            <w:r w:rsidRPr="001916D0">
              <w:rPr>
                <w:sz w:val="22"/>
              </w:rPr>
              <w:t>(капітальний ремонт) будівлі</w:t>
            </w:r>
            <w:r w:rsidRPr="001916D0">
              <w:rPr>
                <w:color w:val="000000"/>
                <w:sz w:val="22"/>
              </w:rPr>
              <w:t xml:space="preserve">  Комунального підприємства "Сєвєродонецьке бюро технічної інвентаризації" та відновлення технологічного забезпечення</w:t>
            </w:r>
          </w:p>
        </w:tc>
      </w:tr>
      <w:tr w:rsidR="00F753C5" w:rsidRPr="001916D0" w:rsidTr="00F753C5">
        <w:trPr>
          <w:trHeight w:val="765"/>
        </w:trPr>
        <w:tc>
          <w:tcPr>
            <w:tcW w:w="3270" w:type="dxa"/>
            <w:tcBorders>
              <w:top w:val="single" w:sz="4" w:space="0" w:color="auto"/>
              <w:left w:val="single" w:sz="4" w:space="0" w:color="auto"/>
              <w:bottom w:val="single" w:sz="4" w:space="0" w:color="000000"/>
              <w:right w:val="single" w:sz="4" w:space="0" w:color="auto"/>
            </w:tcBorders>
            <w:shd w:val="clear" w:color="000000" w:fill="C6D9F1" w:themeFill="text2" w:themeFillTint="33"/>
            <w:noWrap/>
            <w:hideMark/>
          </w:tcPr>
          <w:p w:rsidR="00F753C5" w:rsidRPr="001916D0" w:rsidRDefault="00F753C5" w:rsidP="004908E7">
            <w:pPr>
              <w:rPr>
                <w:b/>
                <w:color w:val="000000"/>
                <w:sz w:val="22"/>
              </w:rPr>
            </w:pPr>
            <w:r w:rsidRPr="001916D0">
              <w:rPr>
                <w:b/>
                <w:color w:val="000000"/>
                <w:sz w:val="22"/>
              </w:rPr>
              <w:t>Ціль проекту</w:t>
            </w:r>
          </w:p>
        </w:tc>
        <w:tc>
          <w:tcPr>
            <w:tcW w:w="6653" w:type="dxa"/>
            <w:gridSpan w:val="7"/>
            <w:tcBorders>
              <w:top w:val="single" w:sz="4" w:space="0" w:color="auto"/>
              <w:left w:val="nil"/>
              <w:bottom w:val="single" w:sz="4" w:space="0" w:color="auto"/>
              <w:right w:val="single" w:sz="4" w:space="0" w:color="auto"/>
            </w:tcBorders>
            <w:shd w:val="clear" w:color="auto" w:fill="auto"/>
            <w:hideMark/>
          </w:tcPr>
          <w:p w:rsidR="00F753C5" w:rsidRPr="001916D0" w:rsidRDefault="00F753C5" w:rsidP="004908E7">
            <w:pPr>
              <w:rPr>
                <w:color w:val="000000"/>
                <w:sz w:val="22"/>
              </w:rPr>
            </w:pPr>
            <w:r w:rsidRPr="001916D0">
              <w:rPr>
                <w:color w:val="000000"/>
                <w:sz w:val="22"/>
              </w:rPr>
              <w:t xml:space="preserve"> Відновити та покращити </w:t>
            </w:r>
            <w:r w:rsidRPr="001916D0">
              <w:rPr>
                <w:sz w:val="22"/>
              </w:rPr>
              <w:t xml:space="preserve">діяльність </w:t>
            </w:r>
            <w:r w:rsidRPr="001916D0">
              <w:rPr>
                <w:color w:val="000000"/>
                <w:sz w:val="22"/>
              </w:rPr>
              <w:t>Комунального підприємства "Сєвєродонецьке бюро технічної інвентаризації" для   надання послуг з технічної інвентаризації об'єктів нерухомого майна  та наповнення  Єдиної державної електронної системи у сфері будівництва  з  метою задоволення потреб  мешканців Сєвєродонецької  міської територіальної громади.</w:t>
            </w:r>
          </w:p>
        </w:tc>
      </w:tr>
      <w:tr w:rsidR="00F753C5" w:rsidRPr="001916D0" w:rsidTr="00F753C5">
        <w:trPr>
          <w:trHeight w:val="720"/>
        </w:trPr>
        <w:tc>
          <w:tcPr>
            <w:tcW w:w="3270" w:type="dxa"/>
            <w:tcBorders>
              <w:top w:val="single" w:sz="4" w:space="0" w:color="auto"/>
              <w:left w:val="single" w:sz="4" w:space="0" w:color="auto"/>
              <w:bottom w:val="single" w:sz="4" w:space="0" w:color="000000"/>
              <w:right w:val="single" w:sz="4" w:space="0" w:color="auto"/>
            </w:tcBorders>
            <w:shd w:val="clear" w:color="000000" w:fill="C6D9F1" w:themeFill="text2" w:themeFillTint="33"/>
            <w:hideMark/>
          </w:tcPr>
          <w:p w:rsidR="00F753C5" w:rsidRPr="001916D0" w:rsidRDefault="00F753C5" w:rsidP="004908E7">
            <w:pPr>
              <w:rPr>
                <w:b/>
                <w:color w:val="000000"/>
                <w:sz w:val="22"/>
              </w:rPr>
            </w:pPr>
            <w:r w:rsidRPr="001916D0">
              <w:rPr>
                <w:b/>
                <w:color w:val="000000"/>
                <w:sz w:val="22"/>
              </w:rPr>
              <w:t>Територія, на яку матиме вплив реалізація проекту</w:t>
            </w:r>
          </w:p>
        </w:tc>
        <w:tc>
          <w:tcPr>
            <w:tcW w:w="6653" w:type="dxa"/>
            <w:gridSpan w:val="7"/>
            <w:tcBorders>
              <w:top w:val="single" w:sz="4" w:space="0" w:color="auto"/>
              <w:left w:val="nil"/>
              <w:bottom w:val="single" w:sz="4" w:space="0" w:color="auto"/>
              <w:right w:val="single" w:sz="4" w:space="0" w:color="auto"/>
            </w:tcBorders>
            <w:shd w:val="clear" w:color="auto" w:fill="auto"/>
            <w:hideMark/>
          </w:tcPr>
          <w:p w:rsidR="00F753C5" w:rsidRPr="001916D0" w:rsidRDefault="00F753C5" w:rsidP="004908E7">
            <w:pPr>
              <w:rPr>
                <w:color w:val="000000"/>
                <w:sz w:val="22"/>
              </w:rPr>
            </w:pPr>
            <w:r w:rsidRPr="001916D0">
              <w:rPr>
                <w:color w:val="000000"/>
                <w:sz w:val="22"/>
              </w:rPr>
              <w:t>Сєвєродонецька міська територіальна громада</w:t>
            </w:r>
          </w:p>
          <w:p w:rsidR="00F753C5" w:rsidRPr="001916D0" w:rsidRDefault="00F753C5" w:rsidP="004908E7">
            <w:pPr>
              <w:rPr>
                <w:color w:val="000000"/>
                <w:sz w:val="22"/>
              </w:rPr>
            </w:pPr>
            <w:r w:rsidRPr="001916D0">
              <w:rPr>
                <w:color w:val="000000"/>
                <w:sz w:val="22"/>
              </w:rPr>
              <w:t> </w:t>
            </w:r>
          </w:p>
          <w:p w:rsidR="00F753C5" w:rsidRPr="001916D0" w:rsidRDefault="00F753C5" w:rsidP="004908E7">
            <w:pPr>
              <w:rPr>
                <w:color w:val="000000"/>
                <w:sz w:val="22"/>
              </w:rPr>
            </w:pPr>
            <w:r w:rsidRPr="001916D0">
              <w:rPr>
                <w:color w:val="000000"/>
                <w:sz w:val="22"/>
              </w:rPr>
              <w:t> </w:t>
            </w:r>
          </w:p>
        </w:tc>
      </w:tr>
      <w:tr w:rsidR="00F753C5" w:rsidRPr="001916D0" w:rsidTr="00F753C5">
        <w:trPr>
          <w:trHeight w:val="883"/>
        </w:trPr>
        <w:tc>
          <w:tcPr>
            <w:tcW w:w="3270" w:type="dxa"/>
            <w:tcBorders>
              <w:top w:val="single" w:sz="4" w:space="0" w:color="auto"/>
              <w:left w:val="single" w:sz="4" w:space="0" w:color="auto"/>
              <w:bottom w:val="single" w:sz="4" w:space="0" w:color="000000"/>
              <w:right w:val="single" w:sz="4" w:space="0" w:color="auto"/>
            </w:tcBorders>
            <w:shd w:val="clear" w:color="000000" w:fill="C6D9F1" w:themeFill="text2" w:themeFillTint="33"/>
            <w:hideMark/>
          </w:tcPr>
          <w:p w:rsidR="00F753C5" w:rsidRPr="001916D0" w:rsidRDefault="00F753C5" w:rsidP="004908E7">
            <w:pPr>
              <w:rPr>
                <w:b/>
                <w:color w:val="000000"/>
                <w:sz w:val="22"/>
              </w:rPr>
            </w:pPr>
            <w:r w:rsidRPr="001916D0">
              <w:rPr>
                <w:b/>
                <w:color w:val="000000"/>
                <w:sz w:val="22"/>
              </w:rPr>
              <w:t>Чисельність населення, на яке матиме вплив реалізація проекту</w:t>
            </w:r>
          </w:p>
        </w:tc>
        <w:tc>
          <w:tcPr>
            <w:tcW w:w="6653" w:type="dxa"/>
            <w:gridSpan w:val="7"/>
            <w:tcBorders>
              <w:top w:val="single" w:sz="4" w:space="0" w:color="auto"/>
              <w:left w:val="nil"/>
              <w:bottom w:val="single" w:sz="4" w:space="0" w:color="auto"/>
              <w:right w:val="single" w:sz="4" w:space="0" w:color="auto"/>
            </w:tcBorders>
            <w:shd w:val="clear" w:color="auto" w:fill="auto"/>
            <w:hideMark/>
          </w:tcPr>
          <w:p w:rsidR="00F753C5" w:rsidRPr="001916D0" w:rsidRDefault="00F753C5" w:rsidP="004908E7">
            <w:pPr>
              <w:rPr>
                <w:color w:val="000000"/>
                <w:sz w:val="22"/>
              </w:rPr>
            </w:pPr>
            <w:r w:rsidRPr="001916D0">
              <w:rPr>
                <w:color w:val="000000"/>
                <w:sz w:val="22"/>
              </w:rPr>
              <w:t>70 000 осіб</w:t>
            </w:r>
          </w:p>
        </w:tc>
      </w:tr>
      <w:tr w:rsidR="00F753C5" w:rsidRPr="001916D0" w:rsidTr="00F753C5">
        <w:trPr>
          <w:trHeight w:val="983"/>
        </w:trPr>
        <w:tc>
          <w:tcPr>
            <w:tcW w:w="3270" w:type="dxa"/>
            <w:tcBorders>
              <w:top w:val="single" w:sz="4" w:space="0" w:color="auto"/>
              <w:left w:val="single" w:sz="4" w:space="0" w:color="auto"/>
              <w:bottom w:val="single" w:sz="4" w:space="0" w:color="000000"/>
              <w:right w:val="single" w:sz="4" w:space="0" w:color="auto"/>
            </w:tcBorders>
            <w:shd w:val="clear" w:color="000000" w:fill="C6D9F1" w:themeFill="text2" w:themeFillTint="33"/>
            <w:hideMark/>
          </w:tcPr>
          <w:p w:rsidR="00F753C5" w:rsidRPr="001916D0" w:rsidRDefault="00F753C5" w:rsidP="004908E7">
            <w:pPr>
              <w:rPr>
                <w:b/>
                <w:color w:val="000000"/>
                <w:sz w:val="22"/>
              </w:rPr>
            </w:pPr>
            <w:r w:rsidRPr="001916D0">
              <w:rPr>
                <w:b/>
                <w:color w:val="000000"/>
                <w:sz w:val="22"/>
              </w:rPr>
              <w:t>Опис проблеми, на вирішення якої спрямований проект</w:t>
            </w:r>
          </w:p>
        </w:tc>
        <w:tc>
          <w:tcPr>
            <w:tcW w:w="6653" w:type="dxa"/>
            <w:gridSpan w:val="7"/>
            <w:tcBorders>
              <w:top w:val="single" w:sz="4" w:space="0" w:color="auto"/>
              <w:left w:val="nil"/>
              <w:bottom w:val="single" w:sz="4" w:space="0" w:color="auto"/>
              <w:right w:val="single" w:sz="4" w:space="0" w:color="000000"/>
            </w:tcBorders>
            <w:shd w:val="clear" w:color="auto" w:fill="auto"/>
            <w:hideMark/>
          </w:tcPr>
          <w:p w:rsidR="00F753C5" w:rsidRPr="001916D0" w:rsidRDefault="00F753C5" w:rsidP="004908E7">
            <w:pPr>
              <w:pStyle w:val="rvps2"/>
              <w:shd w:val="clear" w:color="auto" w:fill="FFFFFF"/>
              <w:spacing w:before="0" w:beforeAutospacing="0" w:after="0" w:afterAutospacing="0"/>
              <w:jc w:val="both"/>
              <w:rPr>
                <w:sz w:val="22"/>
                <w:lang w:val="uk-UA"/>
              </w:rPr>
            </w:pPr>
            <w:r w:rsidRPr="001916D0">
              <w:rPr>
                <w:sz w:val="22"/>
                <w:lang w:val="uk-UA"/>
              </w:rPr>
              <w:t xml:space="preserve">Через військову агресію РФ територія </w:t>
            </w:r>
            <w:r w:rsidRPr="001916D0">
              <w:rPr>
                <w:color w:val="000000"/>
                <w:sz w:val="22"/>
                <w:lang w:val="uk-UA"/>
              </w:rPr>
              <w:t>Сєвєродонецької  міської територіальної громади</w:t>
            </w:r>
            <w:r w:rsidRPr="001916D0">
              <w:rPr>
                <w:sz w:val="22"/>
                <w:lang w:val="uk-UA"/>
              </w:rPr>
              <w:t xml:space="preserve"> зазнала значних  пошкоджень, з аналогічною проблемою зіткнулося Комунальне підприємство -</w:t>
            </w:r>
            <w:r w:rsidRPr="001916D0">
              <w:rPr>
                <w:color w:val="000000"/>
                <w:sz w:val="22"/>
                <w:lang w:val="uk-UA"/>
              </w:rPr>
              <w:t>КП Сєвєродонецьке БТІ</w:t>
            </w:r>
            <w:r w:rsidRPr="001916D0">
              <w:rPr>
                <w:sz w:val="22"/>
                <w:lang w:val="uk-UA"/>
              </w:rPr>
              <w:t>,  саме:</w:t>
            </w:r>
          </w:p>
          <w:p w:rsidR="00F753C5" w:rsidRPr="001916D0" w:rsidRDefault="00F753C5" w:rsidP="004908E7">
            <w:pPr>
              <w:pStyle w:val="rvps2"/>
              <w:shd w:val="clear" w:color="auto" w:fill="FFFFFF"/>
              <w:spacing w:before="0" w:beforeAutospacing="0" w:after="0" w:afterAutospacing="0"/>
              <w:jc w:val="both"/>
              <w:rPr>
                <w:strike/>
                <w:color w:val="000000"/>
                <w:sz w:val="22"/>
              </w:rPr>
            </w:pPr>
            <w:r w:rsidRPr="001916D0">
              <w:rPr>
                <w:color w:val="000000"/>
                <w:sz w:val="22"/>
                <w:lang w:val="uk-UA"/>
              </w:rPr>
              <w:t xml:space="preserve">- приміщення КП Сєвєродонецьке БТІ, яке знаходиться за  </w:t>
            </w:r>
            <w:proofErr w:type="spellStart"/>
            <w:r w:rsidRPr="001916D0">
              <w:rPr>
                <w:color w:val="000000"/>
                <w:sz w:val="22"/>
                <w:lang w:val="uk-UA"/>
              </w:rPr>
              <w:t>адресою</w:t>
            </w:r>
            <w:proofErr w:type="spellEnd"/>
            <w:r w:rsidRPr="001916D0">
              <w:rPr>
                <w:color w:val="000000"/>
                <w:sz w:val="22"/>
                <w:lang w:val="uk-UA"/>
              </w:rPr>
              <w:t xml:space="preserve">: Луганська область, Сєвєродонецький район, м. Сєвєродонецьк, вул. Гагаріна, 52А, </w:t>
            </w:r>
            <w:r w:rsidRPr="001916D0">
              <w:rPr>
                <w:sz w:val="22"/>
                <w:lang w:val="uk-UA"/>
              </w:rPr>
              <w:t>має значні пошкодження</w:t>
            </w:r>
            <w:r w:rsidRPr="001916D0">
              <w:rPr>
                <w:color w:val="000000"/>
                <w:sz w:val="22"/>
                <w:lang w:val="uk-UA"/>
              </w:rPr>
              <w:t>.</w:t>
            </w:r>
          </w:p>
        </w:tc>
      </w:tr>
      <w:tr w:rsidR="00F753C5" w:rsidRPr="001916D0" w:rsidTr="00F753C5">
        <w:trPr>
          <w:trHeight w:val="2404"/>
        </w:trPr>
        <w:tc>
          <w:tcPr>
            <w:tcW w:w="3270" w:type="dxa"/>
            <w:tcBorders>
              <w:top w:val="single" w:sz="4" w:space="0" w:color="auto"/>
              <w:left w:val="single" w:sz="4" w:space="0" w:color="auto"/>
              <w:bottom w:val="single" w:sz="4" w:space="0" w:color="000000"/>
              <w:right w:val="single" w:sz="4" w:space="0" w:color="auto"/>
            </w:tcBorders>
            <w:shd w:val="clear" w:color="000000" w:fill="C6D9F1" w:themeFill="text2" w:themeFillTint="33"/>
            <w:hideMark/>
          </w:tcPr>
          <w:p w:rsidR="00F753C5" w:rsidRPr="001916D0" w:rsidRDefault="00F753C5" w:rsidP="004908E7">
            <w:pPr>
              <w:rPr>
                <w:b/>
                <w:color w:val="000000"/>
                <w:sz w:val="22"/>
              </w:rPr>
            </w:pPr>
            <w:r w:rsidRPr="001916D0">
              <w:rPr>
                <w:b/>
                <w:color w:val="000000"/>
                <w:sz w:val="22"/>
              </w:rPr>
              <w:t>Очікувані якісні результати від реалізації проекту</w:t>
            </w:r>
          </w:p>
        </w:tc>
        <w:tc>
          <w:tcPr>
            <w:tcW w:w="6653" w:type="dxa"/>
            <w:gridSpan w:val="7"/>
            <w:tcBorders>
              <w:top w:val="single" w:sz="4" w:space="0" w:color="auto"/>
              <w:left w:val="nil"/>
              <w:bottom w:val="single" w:sz="4" w:space="0" w:color="auto"/>
              <w:right w:val="single" w:sz="4" w:space="0" w:color="000000"/>
            </w:tcBorders>
            <w:shd w:val="clear" w:color="auto" w:fill="auto"/>
            <w:hideMark/>
          </w:tcPr>
          <w:p w:rsidR="00F753C5" w:rsidRPr="001916D0" w:rsidRDefault="00F753C5" w:rsidP="004908E7">
            <w:pPr>
              <w:rPr>
                <w:color w:val="000000"/>
                <w:sz w:val="22"/>
              </w:rPr>
            </w:pPr>
            <w:r w:rsidRPr="001916D0">
              <w:rPr>
                <w:color w:val="000000"/>
                <w:sz w:val="22"/>
              </w:rPr>
              <w:t xml:space="preserve">- </w:t>
            </w:r>
            <w:proofErr w:type="spellStart"/>
            <w:r w:rsidRPr="001916D0">
              <w:rPr>
                <w:color w:val="000000"/>
                <w:sz w:val="22"/>
              </w:rPr>
              <w:t>задовільнення</w:t>
            </w:r>
            <w:proofErr w:type="spellEnd"/>
            <w:r w:rsidRPr="001916D0">
              <w:rPr>
                <w:color w:val="000000"/>
                <w:sz w:val="22"/>
              </w:rPr>
              <w:t xml:space="preserve">  попиту  на послуги з технічної інвентаризації об'єктів нерухомого  майна   мешканців  Сєвєродонецької  міської територіальної громади  -  фізичних та юридичних осіб;</w:t>
            </w:r>
          </w:p>
          <w:p w:rsidR="00F753C5" w:rsidRPr="001916D0" w:rsidRDefault="00F753C5" w:rsidP="004908E7">
            <w:pPr>
              <w:rPr>
                <w:color w:val="000000"/>
                <w:sz w:val="22"/>
              </w:rPr>
            </w:pPr>
            <w:r w:rsidRPr="001916D0">
              <w:rPr>
                <w:color w:val="000000"/>
                <w:sz w:val="22"/>
              </w:rPr>
              <w:t xml:space="preserve">- оцінка   стану  </w:t>
            </w:r>
            <w:proofErr w:type="spellStart"/>
            <w:r w:rsidRPr="001916D0">
              <w:rPr>
                <w:bCs/>
                <w:color w:val="000000"/>
                <w:sz w:val="22"/>
                <w:szCs w:val="22"/>
                <w:lang w:eastAsia="uk-UA"/>
              </w:rPr>
              <w:t>правовстановлювальної</w:t>
            </w:r>
            <w:proofErr w:type="spellEnd"/>
            <w:r w:rsidRPr="001916D0">
              <w:rPr>
                <w:color w:val="000000"/>
                <w:sz w:val="22"/>
              </w:rPr>
              <w:t xml:space="preserve">  та  технічної документації   на  майно територіальної громади ;</w:t>
            </w:r>
          </w:p>
          <w:p w:rsidR="00F753C5" w:rsidRPr="001916D0" w:rsidRDefault="00F753C5" w:rsidP="004908E7">
            <w:pPr>
              <w:rPr>
                <w:color w:val="000000"/>
                <w:sz w:val="22"/>
              </w:rPr>
            </w:pPr>
            <w:r w:rsidRPr="001916D0">
              <w:rPr>
                <w:color w:val="000000"/>
                <w:sz w:val="22"/>
              </w:rPr>
              <w:t>- внесення даних щодо   об'єктів нерухомого майна    до  Єдиної державної електронної системи  у сфері будівництва;</w:t>
            </w:r>
          </w:p>
          <w:p w:rsidR="00F753C5" w:rsidRPr="001916D0" w:rsidRDefault="00F753C5" w:rsidP="004908E7">
            <w:pPr>
              <w:rPr>
                <w:color w:val="000000"/>
                <w:sz w:val="22"/>
              </w:rPr>
            </w:pPr>
            <w:r w:rsidRPr="001916D0">
              <w:rPr>
                <w:color w:val="000000"/>
                <w:sz w:val="22"/>
              </w:rPr>
              <w:t>- перехід   до  електронного  документообігу в Єдиній державній електронній системі у сфері будівництва;</w:t>
            </w:r>
          </w:p>
          <w:p w:rsidR="00F753C5" w:rsidRPr="001916D0" w:rsidRDefault="00F753C5" w:rsidP="004908E7">
            <w:pPr>
              <w:rPr>
                <w:color w:val="000000"/>
                <w:sz w:val="22"/>
              </w:rPr>
            </w:pPr>
            <w:r w:rsidRPr="001916D0">
              <w:rPr>
                <w:color w:val="000000"/>
                <w:sz w:val="22"/>
              </w:rPr>
              <w:t xml:space="preserve">-  сприяння  інтересам  місцевих  мешканців  щодо отримання ними  інформації   про   об'єкти  нерухомого  майна, в </w:t>
            </w:r>
            <w:proofErr w:type="spellStart"/>
            <w:r w:rsidRPr="001916D0">
              <w:rPr>
                <w:color w:val="000000"/>
                <w:sz w:val="22"/>
              </w:rPr>
              <w:t>т.ч</w:t>
            </w:r>
            <w:proofErr w:type="spellEnd"/>
            <w:r w:rsidRPr="001916D0">
              <w:rPr>
                <w:color w:val="000000"/>
                <w:sz w:val="22"/>
              </w:rPr>
              <w:t>. пошкодженого, для  реалізації  державних програм  з  відбудови житла;</w:t>
            </w:r>
          </w:p>
          <w:p w:rsidR="00F753C5" w:rsidRPr="001916D0" w:rsidRDefault="00F753C5" w:rsidP="004908E7">
            <w:pPr>
              <w:rPr>
                <w:color w:val="000000"/>
                <w:sz w:val="22"/>
              </w:rPr>
            </w:pPr>
            <w:r w:rsidRPr="001916D0">
              <w:rPr>
                <w:color w:val="000000"/>
                <w:sz w:val="22"/>
              </w:rPr>
              <w:t>- сприяння  поверненню тимчасово переміщених осіб;</w:t>
            </w:r>
          </w:p>
        </w:tc>
      </w:tr>
      <w:tr w:rsidR="00F753C5" w:rsidRPr="001916D0" w:rsidTr="00F753C5">
        <w:trPr>
          <w:trHeight w:val="960"/>
        </w:trPr>
        <w:tc>
          <w:tcPr>
            <w:tcW w:w="3270" w:type="dxa"/>
            <w:tcBorders>
              <w:top w:val="single" w:sz="4" w:space="0" w:color="auto"/>
              <w:left w:val="single" w:sz="4" w:space="0" w:color="auto"/>
              <w:bottom w:val="single" w:sz="4" w:space="0" w:color="000000"/>
              <w:right w:val="single" w:sz="4" w:space="0" w:color="auto"/>
            </w:tcBorders>
            <w:shd w:val="clear" w:color="000000" w:fill="C6D9F1" w:themeFill="text2" w:themeFillTint="33"/>
            <w:hideMark/>
          </w:tcPr>
          <w:p w:rsidR="00F753C5" w:rsidRPr="001916D0" w:rsidRDefault="00F753C5" w:rsidP="004908E7">
            <w:pPr>
              <w:rPr>
                <w:b/>
                <w:color w:val="000000"/>
                <w:sz w:val="22"/>
              </w:rPr>
            </w:pPr>
            <w:r w:rsidRPr="001916D0">
              <w:rPr>
                <w:b/>
                <w:color w:val="000000"/>
                <w:sz w:val="22"/>
              </w:rPr>
              <w:lastRenderedPageBreak/>
              <w:t>Очікувані кількісні результати від реалізації проекту  (індикатори)</w:t>
            </w:r>
          </w:p>
        </w:tc>
        <w:tc>
          <w:tcPr>
            <w:tcW w:w="2401" w:type="dxa"/>
            <w:gridSpan w:val="2"/>
            <w:tcBorders>
              <w:top w:val="nil"/>
              <w:left w:val="nil"/>
              <w:bottom w:val="single" w:sz="4" w:space="0" w:color="auto"/>
              <w:right w:val="single" w:sz="4" w:space="0" w:color="auto"/>
            </w:tcBorders>
            <w:shd w:val="clear" w:color="auto" w:fill="auto"/>
            <w:hideMark/>
          </w:tcPr>
          <w:p w:rsidR="00F753C5" w:rsidRPr="001916D0" w:rsidRDefault="00F753C5" w:rsidP="004908E7">
            <w:pPr>
              <w:jc w:val="center"/>
              <w:rPr>
                <w:b/>
                <w:color w:val="000000"/>
                <w:sz w:val="22"/>
              </w:rPr>
            </w:pPr>
            <w:r w:rsidRPr="001916D0">
              <w:rPr>
                <w:b/>
                <w:color w:val="000000"/>
                <w:sz w:val="22"/>
              </w:rPr>
              <w:t>Найменування показника</w:t>
            </w:r>
          </w:p>
        </w:tc>
        <w:tc>
          <w:tcPr>
            <w:tcW w:w="1701" w:type="dxa"/>
            <w:gridSpan w:val="3"/>
            <w:tcBorders>
              <w:top w:val="nil"/>
              <w:left w:val="nil"/>
              <w:bottom w:val="single" w:sz="4" w:space="0" w:color="auto"/>
              <w:right w:val="single" w:sz="4" w:space="0" w:color="auto"/>
            </w:tcBorders>
            <w:shd w:val="clear" w:color="auto" w:fill="auto"/>
            <w:hideMark/>
          </w:tcPr>
          <w:p w:rsidR="00F753C5" w:rsidRPr="001916D0" w:rsidRDefault="00F753C5" w:rsidP="004908E7">
            <w:pPr>
              <w:jc w:val="center"/>
              <w:rPr>
                <w:b/>
                <w:color w:val="000000"/>
                <w:sz w:val="22"/>
              </w:rPr>
            </w:pPr>
            <w:r w:rsidRPr="001916D0">
              <w:rPr>
                <w:b/>
                <w:color w:val="000000"/>
                <w:sz w:val="22"/>
              </w:rPr>
              <w:t>Одиниця вимірювання</w:t>
            </w:r>
          </w:p>
        </w:tc>
        <w:tc>
          <w:tcPr>
            <w:tcW w:w="2551" w:type="dxa"/>
            <w:gridSpan w:val="2"/>
            <w:tcBorders>
              <w:top w:val="single" w:sz="4" w:space="0" w:color="auto"/>
              <w:left w:val="nil"/>
              <w:bottom w:val="single" w:sz="4" w:space="0" w:color="auto"/>
              <w:right w:val="single" w:sz="4" w:space="0" w:color="000000"/>
            </w:tcBorders>
            <w:shd w:val="clear" w:color="auto" w:fill="auto"/>
            <w:hideMark/>
          </w:tcPr>
          <w:p w:rsidR="00F753C5" w:rsidRPr="001916D0" w:rsidRDefault="00F753C5" w:rsidP="004908E7">
            <w:pPr>
              <w:jc w:val="center"/>
              <w:rPr>
                <w:b/>
                <w:color w:val="000000"/>
                <w:sz w:val="22"/>
              </w:rPr>
            </w:pPr>
            <w:r w:rsidRPr="001916D0">
              <w:rPr>
                <w:b/>
                <w:color w:val="000000"/>
                <w:sz w:val="22"/>
              </w:rPr>
              <w:t>Прогнозне (цільове) значення</w:t>
            </w:r>
          </w:p>
        </w:tc>
      </w:tr>
      <w:tr w:rsidR="00F753C5" w:rsidRPr="001916D0" w:rsidTr="00F753C5">
        <w:trPr>
          <w:trHeight w:val="210"/>
        </w:trPr>
        <w:tc>
          <w:tcPr>
            <w:tcW w:w="3270" w:type="dxa"/>
            <w:tcBorders>
              <w:top w:val="single" w:sz="4" w:space="0" w:color="auto"/>
              <w:left w:val="single" w:sz="4" w:space="0" w:color="auto"/>
              <w:bottom w:val="single" w:sz="4" w:space="0" w:color="000000"/>
              <w:right w:val="single" w:sz="4" w:space="0" w:color="auto"/>
            </w:tcBorders>
            <w:shd w:val="clear" w:color="000000" w:fill="C6D9F1" w:themeFill="text2" w:themeFillTint="33"/>
            <w:hideMark/>
          </w:tcPr>
          <w:p w:rsidR="00F753C5" w:rsidRPr="001916D0" w:rsidRDefault="00F753C5" w:rsidP="004908E7">
            <w:pPr>
              <w:rPr>
                <w:b/>
                <w:color w:val="000000"/>
                <w:sz w:val="22"/>
              </w:rPr>
            </w:pPr>
          </w:p>
          <w:p w:rsidR="00F753C5" w:rsidRPr="001916D0" w:rsidRDefault="00F753C5" w:rsidP="004908E7">
            <w:pPr>
              <w:rPr>
                <w:b/>
                <w:color w:val="000000"/>
                <w:sz w:val="22"/>
              </w:rPr>
            </w:pPr>
          </w:p>
        </w:tc>
        <w:tc>
          <w:tcPr>
            <w:tcW w:w="2401" w:type="dxa"/>
            <w:gridSpan w:val="2"/>
            <w:tcBorders>
              <w:top w:val="nil"/>
              <w:left w:val="nil"/>
              <w:bottom w:val="single" w:sz="4" w:space="0" w:color="auto"/>
              <w:right w:val="single" w:sz="4" w:space="0" w:color="auto"/>
            </w:tcBorders>
            <w:shd w:val="clear" w:color="auto" w:fill="auto"/>
            <w:hideMark/>
          </w:tcPr>
          <w:p w:rsidR="00F753C5" w:rsidRPr="001916D0" w:rsidRDefault="00F753C5" w:rsidP="004908E7">
            <w:pPr>
              <w:rPr>
                <w:color w:val="000000"/>
                <w:sz w:val="22"/>
              </w:rPr>
            </w:pPr>
            <w:r w:rsidRPr="001916D0">
              <w:rPr>
                <w:color w:val="000000"/>
                <w:sz w:val="22"/>
              </w:rPr>
              <w:t>Кількість населення, яке скористалось  послугами</w:t>
            </w:r>
          </w:p>
        </w:tc>
        <w:tc>
          <w:tcPr>
            <w:tcW w:w="1701" w:type="dxa"/>
            <w:gridSpan w:val="3"/>
            <w:tcBorders>
              <w:top w:val="nil"/>
              <w:left w:val="nil"/>
              <w:bottom w:val="single" w:sz="4" w:space="0" w:color="auto"/>
              <w:right w:val="single" w:sz="4" w:space="0" w:color="auto"/>
            </w:tcBorders>
            <w:shd w:val="clear" w:color="auto" w:fill="auto"/>
            <w:hideMark/>
          </w:tcPr>
          <w:p w:rsidR="00F753C5" w:rsidRPr="001916D0" w:rsidRDefault="00F753C5" w:rsidP="004908E7">
            <w:pPr>
              <w:jc w:val="center"/>
              <w:rPr>
                <w:color w:val="000000"/>
                <w:sz w:val="22"/>
              </w:rPr>
            </w:pPr>
            <w:r w:rsidRPr="001916D0">
              <w:rPr>
                <w:color w:val="000000"/>
                <w:sz w:val="22"/>
              </w:rPr>
              <w:t>осіб</w:t>
            </w:r>
          </w:p>
        </w:tc>
        <w:tc>
          <w:tcPr>
            <w:tcW w:w="2551" w:type="dxa"/>
            <w:gridSpan w:val="2"/>
            <w:tcBorders>
              <w:top w:val="single" w:sz="4" w:space="0" w:color="auto"/>
              <w:left w:val="nil"/>
              <w:bottom w:val="single" w:sz="4" w:space="0" w:color="auto"/>
              <w:right w:val="single" w:sz="4" w:space="0" w:color="000000"/>
            </w:tcBorders>
            <w:shd w:val="clear" w:color="auto" w:fill="auto"/>
            <w:hideMark/>
          </w:tcPr>
          <w:p w:rsidR="00F753C5" w:rsidRPr="001916D0" w:rsidRDefault="00D60729" w:rsidP="00D60729">
            <w:pPr>
              <w:rPr>
                <w:color w:val="000000"/>
                <w:sz w:val="22"/>
              </w:rPr>
            </w:pPr>
            <w:r w:rsidRPr="001916D0">
              <w:rPr>
                <w:color w:val="000000"/>
                <w:sz w:val="22"/>
              </w:rPr>
              <w:t xml:space="preserve">70 </w:t>
            </w:r>
            <w:r w:rsidRPr="001916D0">
              <w:rPr>
                <w:bCs/>
                <w:color w:val="000000"/>
                <w:sz w:val="22"/>
                <w:szCs w:val="22"/>
                <w:lang w:eastAsia="uk-UA"/>
              </w:rPr>
              <w:t>000</w:t>
            </w:r>
          </w:p>
        </w:tc>
      </w:tr>
      <w:tr w:rsidR="00F753C5" w:rsidRPr="001916D0" w:rsidTr="00F753C5">
        <w:trPr>
          <w:trHeight w:val="150"/>
        </w:trPr>
        <w:tc>
          <w:tcPr>
            <w:tcW w:w="3270" w:type="dxa"/>
            <w:tcBorders>
              <w:top w:val="single" w:sz="4" w:space="0" w:color="auto"/>
              <w:left w:val="single" w:sz="4" w:space="0" w:color="auto"/>
              <w:bottom w:val="single" w:sz="4" w:space="0" w:color="000000"/>
              <w:right w:val="single" w:sz="4" w:space="0" w:color="auto"/>
            </w:tcBorders>
            <w:shd w:val="clear" w:color="000000" w:fill="C6D9F1" w:themeFill="text2" w:themeFillTint="33"/>
            <w:hideMark/>
          </w:tcPr>
          <w:p w:rsidR="00F753C5" w:rsidRPr="001916D0" w:rsidRDefault="00F753C5" w:rsidP="004908E7">
            <w:pPr>
              <w:rPr>
                <w:b/>
                <w:color w:val="000000"/>
                <w:sz w:val="22"/>
              </w:rPr>
            </w:pPr>
          </w:p>
          <w:p w:rsidR="00F753C5" w:rsidRPr="001916D0" w:rsidRDefault="00F753C5" w:rsidP="004908E7">
            <w:pPr>
              <w:rPr>
                <w:b/>
                <w:color w:val="000000"/>
                <w:sz w:val="22"/>
              </w:rPr>
            </w:pPr>
          </w:p>
        </w:tc>
        <w:tc>
          <w:tcPr>
            <w:tcW w:w="2401" w:type="dxa"/>
            <w:gridSpan w:val="2"/>
            <w:tcBorders>
              <w:top w:val="single" w:sz="4" w:space="0" w:color="auto"/>
              <w:left w:val="nil"/>
              <w:bottom w:val="single" w:sz="4" w:space="0" w:color="auto"/>
              <w:right w:val="single" w:sz="4" w:space="0" w:color="auto"/>
            </w:tcBorders>
            <w:shd w:val="clear" w:color="auto" w:fill="auto"/>
            <w:hideMark/>
          </w:tcPr>
          <w:p w:rsidR="00F753C5" w:rsidRPr="001916D0" w:rsidRDefault="00F753C5" w:rsidP="004908E7">
            <w:pPr>
              <w:rPr>
                <w:color w:val="000000"/>
                <w:sz w:val="22"/>
              </w:rPr>
            </w:pPr>
            <w:r w:rsidRPr="001916D0">
              <w:rPr>
                <w:color w:val="000000"/>
                <w:sz w:val="22"/>
              </w:rPr>
              <w:t>Кількість видів та типів послуг</w:t>
            </w:r>
          </w:p>
        </w:tc>
        <w:tc>
          <w:tcPr>
            <w:tcW w:w="1701" w:type="dxa"/>
            <w:gridSpan w:val="3"/>
            <w:tcBorders>
              <w:top w:val="single" w:sz="4" w:space="0" w:color="auto"/>
              <w:left w:val="nil"/>
              <w:bottom w:val="single" w:sz="4" w:space="0" w:color="auto"/>
              <w:right w:val="single" w:sz="4" w:space="0" w:color="auto"/>
            </w:tcBorders>
            <w:shd w:val="clear" w:color="auto" w:fill="auto"/>
            <w:hideMark/>
          </w:tcPr>
          <w:p w:rsidR="00F753C5" w:rsidRPr="001916D0" w:rsidRDefault="00F753C5" w:rsidP="004908E7">
            <w:pPr>
              <w:jc w:val="center"/>
              <w:rPr>
                <w:color w:val="000000"/>
                <w:sz w:val="22"/>
              </w:rPr>
            </w:pPr>
            <w:r w:rsidRPr="001916D0">
              <w:rPr>
                <w:color w:val="000000"/>
                <w:sz w:val="22"/>
              </w:rPr>
              <w:t>послуг</w:t>
            </w:r>
          </w:p>
        </w:tc>
        <w:tc>
          <w:tcPr>
            <w:tcW w:w="2551" w:type="dxa"/>
            <w:gridSpan w:val="2"/>
            <w:tcBorders>
              <w:top w:val="single" w:sz="4" w:space="0" w:color="auto"/>
              <w:left w:val="nil"/>
              <w:bottom w:val="single" w:sz="4" w:space="0" w:color="auto"/>
              <w:right w:val="single" w:sz="4" w:space="0" w:color="000000"/>
            </w:tcBorders>
            <w:shd w:val="clear" w:color="auto" w:fill="auto"/>
            <w:hideMark/>
          </w:tcPr>
          <w:p w:rsidR="00F753C5" w:rsidRPr="001916D0" w:rsidRDefault="00F753C5" w:rsidP="004908E7">
            <w:pPr>
              <w:rPr>
                <w:color w:val="000000"/>
                <w:sz w:val="22"/>
              </w:rPr>
            </w:pPr>
            <w:r w:rsidRPr="001916D0">
              <w:rPr>
                <w:color w:val="000000"/>
                <w:sz w:val="22"/>
              </w:rPr>
              <w:t>до 10</w:t>
            </w:r>
          </w:p>
        </w:tc>
      </w:tr>
      <w:tr w:rsidR="00F753C5" w:rsidRPr="001916D0" w:rsidTr="00F753C5">
        <w:trPr>
          <w:trHeight w:val="104"/>
        </w:trPr>
        <w:tc>
          <w:tcPr>
            <w:tcW w:w="3270" w:type="dxa"/>
            <w:tcBorders>
              <w:top w:val="single" w:sz="4" w:space="0" w:color="auto"/>
              <w:left w:val="single" w:sz="4" w:space="0" w:color="auto"/>
              <w:bottom w:val="single" w:sz="4" w:space="0" w:color="000000"/>
              <w:right w:val="single" w:sz="4" w:space="0" w:color="auto"/>
            </w:tcBorders>
            <w:shd w:val="clear" w:color="000000" w:fill="C6D9F1" w:themeFill="text2" w:themeFillTint="33"/>
            <w:hideMark/>
          </w:tcPr>
          <w:p w:rsidR="00F753C5" w:rsidRPr="001916D0" w:rsidRDefault="00F753C5" w:rsidP="004908E7">
            <w:pPr>
              <w:rPr>
                <w:b/>
                <w:color w:val="000000"/>
                <w:sz w:val="22"/>
              </w:rPr>
            </w:pPr>
          </w:p>
          <w:p w:rsidR="00F753C5" w:rsidRPr="001916D0" w:rsidRDefault="00F753C5" w:rsidP="004908E7">
            <w:pPr>
              <w:rPr>
                <w:b/>
                <w:color w:val="000000"/>
                <w:sz w:val="22"/>
              </w:rPr>
            </w:pPr>
          </w:p>
        </w:tc>
        <w:tc>
          <w:tcPr>
            <w:tcW w:w="2401" w:type="dxa"/>
            <w:gridSpan w:val="2"/>
            <w:tcBorders>
              <w:top w:val="single" w:sz="4" w:space="0" w:color="auto"/>
              <w:left w:val="nil"/>
              <w:bottom w:val="single" w:sz="4" w:space="0" w:color="auto"/>
              <w:right w:val="single" w:sz="4" w:space="0" w:color="auto"/>
            </w:tcBorders>
            <w:shd w:val="clear" w:color="auto" w:fill="auto"/>
            <w:hideMark/>
          </w:tcPr>
          <w:p w:rsidR="00F753C5" w:rsidRPr="001916D0" w:rsidRDefault="00F753C5" w:rsidP="004908E7">
            <w:pPr>
              <w:rPr>
                <w:color w:val="000000"/>
                <w:sz w:val="22"/>
              </w:rPr>
            </w:pPr>
            <w:r w:rsidRPr="001916D0">
              <w:rPr>
                <w:color w:val="000000"/>
                <w:sz w:val="22"/>
              </w:rPr>
              <w:t>Вартість послуг</w:t>
            </w:r>
          </w:p>
        </w:tc>
        <w:tc>
          <w:tcPr>
            <w:tcW w:w="1701" w:type="dxa"/>
            <w:gridSpan w:val="3"/>
            <w:tcBorders>
              <w:top w:val="single" w:sz="4" w:space="0" w:color="auto"/>
              <w:left w:val="nil"/>
              <w:bottom w:val="single" w:sz="4" w:space="0" w:color="auto"/>
              <w:right w:val="single" w:sz="4" w:space="0" w:color="auto"/>
            </w:tcBorders>
            <w:shd w:val="clear" w:color="auto" w:fill="auto"/>
            <w:hideMark/>
          </w:tcPr>
          <w:p w:rsidR="00F753C5" w:rsidRPr="001916D0" w:rsidRDefault="00F753C5" w:rsidP="004908E7">
            <w:pPr>
              <w:jc w:val="center"/>
              <w:rPr>
                <w:color w:val="000000"/>
                <w:sz w:val="22"/>
              </w:rPr>
            </w:pPr>
            <w:r w:rsidRPr="001916D0">
              <w:rPr>
                <w:color w:val="000000"/>
                <w:sz w:val="22"/>
              </w:rPr>
              <w:t>грн</w:t>
            </w:r>
          </w:p>
        </w:tc>
        <w:tc>
          <w:tcPr>
            <w:tcW w:w="2551" w:type="dxa"/>
            <w:gridSpan w:val="2"/>
            <w:tcBorders>
              <w:top w:val="single" w:sz="4" w:space="0" w:color="auto"/>
              <w:left w:val="nil"/>
              <w:bottom w:val="single" w:sz="4" w:space="0" w:color="auto"/>
              <w:right w:val="single" w:sz="4" w:space="0" w:color="000000"/>
            </w:tcBorders>
            <w:shd w:val="clear" w:color="auto" w:fill="auto"/>
            <w:hideMark/>
          </w:tcPr>
          <w:p w:rsidR="00F753C5" w:rsidRPr="001916D0" w:rsidRDefault="00F753C5" w:rsidP="004908E7">
            <w:pPr>
              <w:rPr>
                <w:color w:val="000000"/>
                <w:sz w:val="22"/>
              </w:rPr>
            </w:pPr>
            <w:r w:rsidRPr="001916D0">
              <w:rPr>
                <w:color w:val="000000"/>
                <w:sz w:val="22"/>
              </w:rPr>
              <w:t>Затверджується  наказами підприємства</w:t>
            </w:r>
          </w:p>
        </w:tc>
      </w:tr>
      <w:tr w:rsidR="00F753C5" w:rsidRPr="001916D0" w:rsidTr="00F753C5">
        <w:trPr>
          <w:trHeight w:val="150"/>
        </w:trPr>
        <w:tc>
          <w:tcPr>
            <w:tcW w:w="3270" w:type="dxa"/>
            <w:tcBorders>
              <w:top w:val="single" w:sz="4" w:space="0" w:color="auto"/>
              <w:left w:val="single" w:sz="4" w:space="0" w:color="auto"/>
              <w:bottom w:val="single" w:sz="4" w:space="0" w:color="000000"/>
              <w:right w:val="single" w:sz="4" w:space="0" w:color="auto"/>
            </w:tcBorders>
            <w:shd w:val="clear" w:color="000000" w:fill="C6D9F1" w:themeFill="text2" w:themeFillTint="33"/>
            <w:hideMark/>
          </w:tcPr>
          <w:p w:rsidR="00F753C5" w:rsidRPr="001916D0" w:rsidRDefault="00F753C5" w:rsidP="004908E7">
            <w:pPr>
              <w:rPr>
                <w:b/>
                <w:color w:val="000000"/>
                <w:sz w:val="22"/>
              </w:rPr>
            </w:pPr>
          </w:p>
          <w:p w:rsidR="00F753C5" w:rsidRPr="001916D0" w:rsidRDefault="00F753C5" w:rsidP="004908E7">
            <w:pPr>
              <w:rPr>
                <w:b/>
                <w:color w:val="000000"/>
                <w:sz w:val="22"/>
              </w:rPr>
            </w:pPr>
          </w:p>
          <w:p w:rsidR="00F753C5" w:rsidRPr="001916D0" w:rsidRDefault="00F753C5" w:rsidP="004908E7">
            <w:pPr>
              <w:rPr>
                <w:b/>
                <w:color w:val="000000"/>
                <w:sz w:val="22"/>
              </w:rPr>
            </w:pPr>
          </w:p>
        </w:tc>
        <w:tc>
          <w:tcPr>
            <w:tcW w:w="2401" w:type="dxa"/>
            <w:gridSpan w:val="2"/>
            <w:tcBorders>
              <w:top w:val="single" w:sz="4" w:space="0" w:color="auto"/>
              <w:left w:val="nil"/>
              <w:bottom w:val="single" w:sz="4" w:space="0" w:color="auto"/>
              <w:right w:val="single" w:sz="4" w:space="0" w:color="auto"/>
            </w:tcBorders>
            <w:shd w:val="clear" w:color="auto" w:fill="auto"/>
            <w:hideMark/>
          </w:tcPr>
          <w:p w:rsidR="00F753C5" w:rsidRPr="001916D0" w:rsidRDefault="00F753C5" w:rsidP="004908E7">
            <w:pPr>
              <w:rPr>
                <w:color w:val="000000"/>
                <w:sz w:val="22"/>
              </w:rPr>
            </w:pPr>
            <w:r w:rsidRPr="001916D0">
              <w:rPr>
                <w:color w:val="000000"/>
                <w:sz w:val="22"/>
              </w:rPr>
              <w:t>Термін надання послуги</w:t>
            </w:r>
          </w:p>
        </w:tc>
        <w:tc>
          <w:tcPr>
            <w:tcW w:w="1701" w:type="dxa"/>
            <w:gridSpan w:val="3"/>
            <w:tcBorders>
              <w:top w:val="single" w:sz="4" w:space="0" w:color="auto"/>
              <w:left w:val="nil"/>
              <w:bottom w:val="single" w:sz="4" w:space="0" w:color="auto"/>
              <w:right w:val="single" w:sz="4" w:space="0" w:color="auto"/>
            </w:tcBorders>
            <w:shd w:val="clear" w:color="auto" w:fill="auto"/>
            <w:hideMark/>
          </w:tcPr>
          <w:p w:rsidR="00F753C5" w:rsidRPr="001916D0" w:rsidRDefault="00F753C5" w:rsidP="004908E7">
            <w:pPr>
              <w:jc w:val="center"/>
              <w:rPr>
                <w:color w:val="000000"/>
                <w:sz w:val="22"/>
              </w:rPr>
            </w:pPr>
            <w:r w:rsidRPr="001916D0">
              <w:rPr>
                <w:color w:val="000000"/>
                <w:sz w:val="22"/>
              </w:rPr>
              <w:t>дні</w:t>
            </w:r>
          </w:p>
        </w:tc>
        <w:tc>
          <w:tcPr>
            <w:tcW w:w="2551" w:type="dxa"/>
            <w:gridSpan w:val="2"/>
            <w:tcBorders>
              <w:top w:val="single" w:sz="4" w:space="0" w:color="auto"/>
              <w:left w:val="nil"/>
              <w:bottom w:val="single" w:sz="4" w:space="0" w:color="auto"/>
              <w:right w:val="single" w:sz="4" w:space="0" w:color="000000"/>
            </w:tcBorders>
            <w:shd w:val="clear" w:color="auto" w:fill="auto"/>
            <w:hideMark/>
          </w:tcPr>
          <w:p w:rsidR="00F753C5" w:rsidRPr="001916D0" w:rsidRDefault="00F753C5" w:rsidP="004908E7">
            <w:pPr>
              <w:rPr>
                <w:color w:val="000000"/>
                <w:sz w:val="22"/>
              </w:rPr>
            </w:pPr>
            <w:r w:rsidRPr="001916D0">
              <w:rPr>
                <w:color w:val="000000"/>
                <w:sz w:val="22"/>
              </w:rPr>
              <w:t>Зменшення  граничного максимального терміну  надання  послуг, затвердженого законодавством</w:t>
            </w:r>
          </w:p>
        </w:tc>
      </w:tr>
      <w:tr w:rsidR="00F753C5" w:rsidRPr="001916D0" w:rsidTr="00F753C5">
        <w:trPr>
          <w:trHeight w:val="806"/>
        </w:trPr>
        <w:tc>
          <w:tcPr>
            <w:tcW w:w="3270" w:type="dxa"/>
            <w:tcBorders>
              <w:top w:val="single" w:sz="4" w:space="0" w:color="auto"/>
              <w:left w:val="single" w:sz="4" w:space="0" w:color="auto"/>
              <w:bottom w:val="single" w:sz="4" w:space="0" w:color="000000"/>
              <w:right w:val="single" w:sz="4" w:space="0" w:color="auto"/>
            </w:tcBorders>
            <w:shd w:val="clear" w:color="000000" w:fill="C6D9F1" w:themeFill="text2" w:themeFillTint="33"/>
            <w:hideMark/>
          </w:tcPr>
          <w:p w:rsidR="00F753C5" w:rsidRPr="001916D0" w:rsidRDefault="00F753C5" w:rsidP="004908E7">
            <w:pPr>
              <w:rPr>
                <w:b/>
                <w:color w:val="000000"/>
                <w:sz w:val="22"/>
              </w:rPr>
            </w:pPr>
          </w:p>
          <w:p w:rsidR="00F753C5" w:rsidRPr="001916D0" w:rsidRDefault="00F753C5" w:rsidP="004908E7">
            <w:pPr>
              <w:rPr>
                <w:b/>
                <w:color w:val="000000"/>
                <w:sz w:val="22"/>
              </w:rPr>
            </w:pPr>
          </w:p>
          <w:p w:rsidR="00F753C5" w:rsidRPr="001916D0" w:rsidRDefault="00F753C5" w:rsidP="004908E7">
            <w:pPr>
              <w:rPr>
                <w:b/>
                <w:color w:val="000000"/>
                <w:sz w:val="22"/>
              </w:rPr>
            </w:pPr>
          </w:p>
        </w:tc>
        <w:tc>
          <w:tcPr>
            <w:tcW w:w="2401" w:type="dxa"/>
            <w:gridSpan w:val="2"/>
            <w:tcBorders>
              <w:top w:val="single" w:sz="4" w:space="0" w:color="auto"/>
              <w:left w:val="nil"/>
              <w:right w:val="single" w:sz="4" w:space="0" w:color="auto"/>
            </w:tcBorders>
            <w:shd w:val="clear" w:color="auto" w:fill="auto"/>
            <w:hideMark/>
          </w:tcPr>
          <w:p w:rsidR="00F753C5" w:rsidRPr="001916D0" w:rsidRDefault="00F753C5" w:rsidP="00D60729">
            <w:pPr>
              <w:rPr>
                <w:color w:val="000000"/>
                <w:sz w:val="22"/>
              </w:rPr>
            </w:pPr>
            <w:r w:rsidRPr="001916D0">
              <w:rPr>
                <w:color w:val="000000"/>
                <w:sz w:val="22"/>
              </w:rPr>
              <w:t xml:space="preserve">Кількість населених пунктів, </w:t>
            </w:r>
            <w:r w:rsidRPr="001916D0">
              <w:rPr>
                <w:bCs/>
                <w:color w:val="000000"/>
                <w:sz w:val="22"/>
                <w:szCs w:val="22"/>
                <w:lang w:eastAsia="uk-UA"/>
              </w:rPr>
              <w:t>як</w:t>
            </w:r>
            <w:r w:rsidR="00D60729" w:rsidRPr="001916D0">
              <w:rPr>
                <w:bCs/>
                <w:color w:val="000000"/>
                <w:sz w:val="22"/>
                <w:szCs w:val="22"/>
                <w:lang w:eastAsia="uk-UA"/>
              </w:rPr>
              <w:t>і</w:t>
            </w:r>
            <w:r w:rsidRPr="001916D0">
              <w:rPr>
                <w:color w:val="000000"/>
                <w:sz w:val="22"/>
              </w:rPr>
              <w:t xml:space="preserve"> обслуговує підприємство</w:t>
            </w:r>
          </w:p>
        </w:tc>
        <w:tc>
          <w:tcPr>
            <w:tcW w:w="1701" w:type="dxa"/>
            <w:gridSpan w:val="3"/>
            <w:tcBorders>
              <w:top w:val="single" w:sz="4" w:space="0" w:color="auto"/>
              <w:left w:val="nil"/>
              <w:right w:val="single" w:sz="4" w:space="0" w:color="auto"/>
            </w:tcBorders>
            <w:shd w:val="clear" w:color="auto" w:fill="auto"/>
            <w:hideMark/>
          </w:tcPr>
          <w:p w:rsidR="00F753C5" w:rsidRPr="001916D0" w:rsidRDefault="00F753C5" w:rsidP="004908E7">
            <w:pPr>
              <w:jc w:val="center"/>
              <w:rPr>
                <w:color w:val="000000"/>
                <w:sz w:val="22"/>
              </w:rPr>
            </w:pPr>
            <w:r w:rsidRPr="001916D0">
              <w:rPr>
                <w:color w:val="000000"/>
                <w:sz w:val="22"/>
              </w:rPr>
              <w:t>одиниці</w:t>
            </w:r>
          </w:p>
        </w:tc>
        <w:tc>
          <w:tcPr>
            <w:tcW w:w="2551" w:type="dxa"/>
            <w:gridSpan w:val="2"/>
            <w:tcBorders>
              <w:top w:val="single" w:sz="4" w:space="0" w:color="auto"/>
              <w:left w:val="nil"/>
              <w:right w:val="single" w:sz="4" w:space="0" w:color="000000"/>
            </w:tcBorders>
            <w:shd w:val="clear" w:color="auto" w:fill="auto"/>
            <w:hideMark/>
          </w:tcPr>
          <w:p w:rsidR="00F753C5" w:rsidRPr="001916D0" w:rsidRDefault="00F753C5" w:rsidP="004908E7">
            <w:pPr>
              <w:rPr>
                <w:color w:val="000000"/>
                <w:sz w:val="22"/>
              </w:rPr>
            </w:pPr>
            <w:r w:rsidRPr="001916D0">
              <w:rPr>
                <w:color w:val="000000"/>
                <w:sz w:val="22"/>
              </w:rPr>
              <w:t>близько 15</w:t>
            </w:r>
          </w:p>
        </w:tc>
      </w:tr>
      <w:tr w:rsidR="00F753C5" w:rsidRPr="001916D0" w:rsidTr="00F753C5">
        <w:trPr>
          <w:trHeight w:val="645"/>
        </w:trPr>
        <w:tc>
          <w:tcPr>
            <w:tcW w:w="3270" w:type="dxa"/>
            <w:tcBorders>
              <w:top w:val="single" w:sz="4" w:space="0" w:color="auto"/>
              <w:left w:val="single" w:sz="4" w:space="0" w:color="auto"/>
              <w:bottom w:val="single" w:sz="4" w:space="0" w:color="000000"/>
              <w:right w:val="single" w:sz="4" w:space="0" w:color="auto"/>
            </w:tcBorders>
            <w:shd w:val="clear" w:color="000000" w:fill="C6D9F1" w:themeFill="text2" w:themeFillTint="33"/>
            <w:hideMark/>
          </w:tcPr>
          <w:p w:rsidR="00F753C5" w:rsidRPr="001916D0" w:rsidRDefault="00F753C5" w:rsidP="004908E7">
            <w:pPr>
              <w:rPr>
                <w:b/>
                <w:color w:val="000000"/>
                <w:sz w:val="22"/>
              </w:rPr>
            </w:pPr>
          </w:p>
        </w:tc>
        <w:tc>
          <w:tcPr>
            <w:tcW w:w="2401" w:type="dxa"/>
            <w:gridSpan w:val="2"/>
            <w:tcBorders>
              <w:top w:val="single" w:sz="4" w:space="0" w:color="auto"/>
              <w:left w:val="nil"/>
              <w:bottom w:val="single" w:sz="4" w:space="0" w:color="auto"/>
              <w:right w:val="single" w:sz="4" w:space="0" w:color="auto"/>
            </w:tcBorders>
            <w:shd w:val="clear" w:color="auto" w:fill="auto"/>
            <w:hideMark/>
          </w:tcPr>
          <w:p w:rsidR="00F753C5" w:rsidRPr="001916D0" w:rsidRDefault="00F753C5" w:rsidP="004908E7">
            <w:pPr>
              <w:rPr>
                <w:color w:val="000000"/>
                <w:sz w:val="22"/>
              </w:rPr>
            </w:pPr>
            <w:r w:rsidRPr="001916D0">
              <w:rPr>
                <w:color w:val="000000"/>
                <w:sz w:val="22"/>
              </w:rPr>
              <w:t>Створення робочих  місць</w:t>
            </w:r>
          </w:p>
        </w:tc>
        <w:tc>
          <w:tcPr>
            <w:tcW w:w="1701" w:type="dxa"/>
            <w:gridSpan w:val="3"/>
            <w:tcBorders>
              <w:top w:val="single" w:sz="4" w:space="0" w:color="auto"/>
              <w:left w:val="nil"/>
              <w:bottom w:val="single" w:sz="4" w:space="0" w:color="auto"/>
              <w:right w:val="single" w:sz="4" w:space="0" w:color="auto"/>
            </w:tcBorders>
            <w:shd w:val="clear" w:color="auto" w:fill="auto"/>
            <w:hideMark/>
          </w:tcPr>
          <w:p w:rsidR="00F753C5" w:rsidRPr="001916D0" w:rsidRDefault="00F753C5" w:rsidP="004908E7">
            <w:pPr>
              <w:jc w:val="center"/>
              <w:rPr>
                <w:color w:val="000000"/>
                <w:sz w:val="22"/>
              </w:rPr>
            </w:pPr>
            <w:r w:rsidRPr="001916D0">
              <w:rPr>
                <w:color w:val="000000"/>
                <w:sz w:val="22"/>
              </w:rPr>
              <w:t>осіб</w:t>
            </w:r>
          </w:p>
        </w:tc>
        <w:tc>
          <w:tcPr>
            <w:tcW w:w="2551" w:type="dxa"/>
            <w:gridSpan w:val="2"/>
            <w:tcBorders>
              <w:top w:val="single" w:sz="4" w:space="0" w:color="auto"/>
              <w:left w:val="nil"/>
              <w:bottom w:val="single" w:sz="4" w:space="0" w:color="auto"/>
              <w:right w:val="single" w:sz="4" w:space="0" w:color="000000"/>
            </w:tcBorders>
            <w:shd w:val="clear" w:color="auto" w:fill="auto"/>
            <w:hideMark/>
          </w:tcPr>
          <w:p w:rsidR="00F753C5" w:rsidRPr="001916D0" w:rsidRDefault="00F753C5" w:rsidP="004908E7">
            <w:pPr>
              <w:rPr>
                <w:color w:val="000000"/>
                <w:sz w:val="22"/>
              </w:rPr>
            </w:pPr>
            <w:r w:rsidRPr="001916D0">
              <w:rPr>
                <w:color w:val="000000"/>
                <w:sz w:val="22"/>
              </w:rPr>
              <w:t xml:space="preserve">  до 10</w:t>
            </w:r>
          </w:p>
        </w:tc>
      </w:tr>
      <w:tr w:rsidR="00F753C5" w:rsidRPr="001916D0" w:rsidTr="00F753C5">
        <w:trPr>
          <w:trHeight w:val="677"/>
        </w:trPr>
        <w:tc>
          <w:tcPr>
            <w:tcW w:w="3270" w:type="dxa"/>
            <w:tcBorders>
              <w:top w:val="single" w:sz="4" w:space="0" w:color="auto"/>
              <w:left w:val="single" w:sz="4" w:space="0" w:color="auto"/>
              <w:bottom w:val="single" w:sz="4" w:space="0" w:color="000000"/>
              <w:right w:val="single" w:sz="4" w:space="0" w:color="auto"/>
            </w:tcBorders>
            <w:shd w:val="clear" w:color="000000" w:fill="C6D9F1" w:themeFill="text2" w:themeFillTint="33"/>
            <w:hideMark/>
          </w:tcPr>
          <w:p w:rsidR="00F753C5" w:rsidRPr="001916D0" w:rsidRDefault="00F753C5" w:rsidP="004908E7">
            <w:pPr>
              <w:rPr>
                <w:b/>
                <w:color w:val="000000"/>
                <w:sz w:val="22"/>
              </w:rPr>
            </w:pPr>
            <w:r w:rsidRPr="001916D0">
              <w:rPr>
                <w:b/>
                <w:color w:val="000000"/>
                <w:sz w:val="22"/>
              </w:rPr>
              <w:t> </w:t>
            </w:r>
          </w:p>
        </w:tc>
        <w:tc>
          <w:tcPr>
            <w:tcW w:w="2401" w:type="dxa"/>
            <w:gridSpan w:val="2"/>
            <w:tcBorders>
              <w:top w:val="nil"/>
              <w:left w:val="nil"/>
              <w:bottom w:val="single" w:sz="4" w:space="0" w:color="auto"/>
              <w:right w:val="single" w:sz="4" w:space="0" w:color="auto"/>
            </w:tcBorders>
            <w:shd w:val="clear" w:color="auto" w:fill="auto"/>
            <w:hideMark/>
          </w:tcPr>
          <w:p w:rsidR="00F753C5" w:rsidRPr="001916D0" w:rsidRDefault="00F753C5" w:rsidP="004908E7">
            <w:pPr>
              <w:rPr>
                <w:color w:val="000000"/>
                <w:sz w:val="22"/>
              </w:rPr>
            </w:pPr>
            <w:r w:rsidRPr="001916D0">
              <w:rPr>
                <w:color w:val="000000"/>
                <w:sz w:val="22"/>
              </w:rPr>
              <w:t>Сплата податків та внесків  до бюджету</w:t>
            </w:r>
          </w:p>
        </w:tc>
        <w:tc>
          <w:tcPr>
            <w:tcW w:w="1701" w:type="dxa"/>
            <w:gridSpan w:val="3"/>
            <w:tcBorders>
              <w:top w:val="nil"/>
              <w:left w:val="nil"/>
              <w:bottom w:val="single" w:sz="4" w:space="0" w:color="auto"/>
              <w:right w:val="single" w:sz="4" w:space="0" w:color="auto"/>
            </w:tcBorders>
            <w:shd w:val="clear" w:color="auto" w:fill="auto"/>
            <w:hideMark/>
          </w:tcPr>
          <w:p w:rsidR="00F753C5" w:rsidRPr="001916D0" w:rsidRDefault="00F753C5" w:rsidP="004908E7">
            <w:pPr>
              <w:jc w:val="center"/>
              <w:rPr>
                <w:color w:val="000000"/>
                <w:sz w:val="22"/>
              </w:rPr>
            </w:pPr>
            <w:proofErr w:type="spellStart"/>
            <w:r w:rsidRPr="001916D0">
              <w:rPr>
                <w:color w:val="000000"/>
                <w:sz w:val="22"/>
              </w:rPr>
              <w:t>тис.грн</w:t>
            </w:r>
            <w:proofErr w:type="spellEnd"/>
            <w:r w:rsidRPr="001916D0">
              <w:rPr>
                <w:color w:val="000000"/>
                <w:sz w:val="22"/>
              </w:rPr>
              <w:t>/рік</w:t>
            </w:r>
          </w:p>
          <w:p w:rsidR="00F753C5" w:rsidRPr="001916D0" w:rsidRDefault="00F753C5" w:rsidP="004908E7">
            <w:pPr>
              <w:jc w:val="center"/>
              <w:rPr>
                <w:color w:val="000000"/>
                <w:sz w:val="22"/>
              </w:rPr>
            </w:pPr>
          </w:p>
        </w:tc>
        <w:tc>
          <w:tcPr>
            <w:tcW w:w="2551" w:type="dxa"/>
            <w:gridSpan w:val="2"/>
            <w:tcBorders>
              <w:top w:val="single" w:sz="4" w:space="0" w:color="auto"/>
              <w:left w:val="nil"/>
              <w:bottom w:val="single" w:sz="4" w:space="0" w:color="auto"/>
              <w:right w:val="single" w:sz="4" w:space="0" w:color="000000"/>
            </w:tcBorders>
            <w:shd w:val="clear" w:color="auto" w:fill="auto"/>
            <w:hideMark/>
          </w:tcPr>
          <w:p w:rsidR="00F753C5" w:rsidRPr="001916D0" w:rsidRDefault="00F753C5" w:rsidP="004908E7">
            <w:pPr>
              <w:rPr>
                <w:color w:val="000000"/>
                <w:sz w:val="22"/>
              </w:rPr>
            </w:pPr>
            <w:r w:rsidRPr="001916D0">
              <w:rPr>
                <w:color w:val="000000"/>
                <w:sz w:val="22"/>
              </w:rPr>
              <w:t xml:space="preserve">   700</w:t>
            </w:r>
          </w:p>
          <w:p w:rsidR="00F753C5" w:rsidRPr="001916D0" w:rsidRDefault="00F753C5" w:rsidP="004908E7">
            <w:pPr>
              <w:rPr>
                <w:color w:val="000000"/>
                <w:sz w:val="22"/>
              </w:rPr>
            </w:pPr>
            <w:r w:rsidRPr="001916D0">
              <w:rPr>
                <w:color w:val="000000"/>
                <w:sz w:val="22"/>
              </w:rPr>
              <w:t> </w:t>
            </w:r>
          </w:p>
          <w:p w:rsidR="00F753C5" w:rsidRPr="001916D0" w:rsidRDefault="00F753C5" w:rsidP="004908E7">
            <w:pPr>
              <w:rPr>
                <w:color w:val="000000"/>
                <w:sz w:val="22"/>
              </w:rPr>
            </w:pPr>
            <w:r w:rsidRPr="001916D0">
              <w:rPr>
                <w:color w:val="000000"/>
                <w:sz w:val="22"/>
              </w:rPr>
              <w:t> </w:t>
            </w:r>
          </w:p>
        </w:tc>
      </w:tr>
      <w:tr w:rsidR="00F753C5" w:rsidRPr="001916D0" w:rsidTr="00F753C5">
        <w:trPr>
          <w:trHeight w:val="1430"/>
        </w:trPr>
        <w:tc>
          <w:tcPr>
            <w:tcW w:w="3270" w:type="dxa"/>
            <w:tcBorders>
              <w:top w:val="single" w:sz="4" w:space="0" w:color="auto"/>
              <w:left w:val="single" w:sz="4" w:space="0" w:color="auto"/>
              <w:bottom w:val="single" w:sz="4" w:space="0" w:color="000000"/>
              <w:right w:val="single" w:sz="4" w:space="0" w:color="auto"/>
            </w:tcBorders>
            <w:shd w:val="clear" w:color="000000" w:fill="C6D9F1" w:themeFill="text2" w:themeFillTint="33"/>
            <w:hideMark/>
          </w:tcPr>
          <w:p w:rsidR="00F753C5" w:rsidRPr="001916D0" w:rsidRDefault="00F753C5" w:rsidP="004908E7">
            <w:pPr>
              <w:rPr>
                <w:b/>
                <w:color w:val="000000"/>
                <w:sz w:val="22"/>
              </w:rPr>
            </w:pPr>
            <w:r w:rsidRPr="001916D0">
              <w:rPr>
                <w:b/>
                <w:color w:val="000000"/>
                <w:sz w:val="22"/>
              </w:rPr>
              <w:t>Ключові заходи проекту:</w:t>
            </w:r>
          </w:p>
        </w:tc>
        <w:tc>
          <w:tcPr>
            <w:tcW w:w="6653" w:type="dxa"/>
            <w:gridSpan w:val="7"/>
            <w:tcBorders>
              <w:top w:val="nil"/>
              <w:left w:val="nil"/>
              <w:bottom w:val="single" w:sz="4" w:space="0" w:color="auto"/>
              <w:right w:val="single" w:sz="4" w:space="0" w:color="auto"/>
            </w:tcBorders>
            <w:shd w:val="clear" w:color="auto" w:fill="auto"/>
            <w:hideMark/>
          </w:tcPr>
          <w:p w:rsidR="00F753C5" w:rsidRPr="001916D0" w:rsidRDefault="00F753C5" w:rsidP="004908E7">
            <w:pPr>
              <w:pStyle w:val="a7"/>
              <w:ind w:left="0"/>
              <w:rPr>
                <w:rFonts w:eastAsiaTheme="minorHAnsi"/>
                <w:sz w:val="22"/>
              </w:rPr>
            </w:pPr>
            <w:r w:rsidRPr="001916D0">
              <w:rPr>
                <w:sz w:val="22"/>
              </w:rPr>
              <w:t xml:space="preserve">- </w:t>
            </w:r>
            <w:r w:rsidRPr="001916D0">
              <w:rPr>
                <w:rFonts w:eastAsiaTheme="minorHAnsi"/>
                <w:sz w:val="22"/>
              </w:rPr>
              <w:t xml:space="preserve">обстеження  стану об’єкта нерухомого майна, який знаходиться  на балансі КП Сєвєродонецьке БТІ, розташований  за  </w:t>
            </w:r>
            <w:proofErr w:type="spellStart"/>
            <w:r w:rsidRPr="001916D0">
              <w:rPr>
                <w:rFonts w:eastAsiaTheme="minorHAnsi"/>
                <w:sz w:val="22"/>
              </w:rPr>
              <w:t>адресою</w:t>
            </w:r>
            <w:proofErr w:type="spellEnd"/>
            <w:r w:rsidRPr="001916D0">
              <w:rPr>
                <w:rFonts w:eastAsiaTheme="minorHAnsi"/>
                <w:sz w:val="22"/>
              </w:rPr>
              <w:t>: Луганська область, Сєвєродонецький район, м. Сєвєродонецьк, вул. Гагаріна, 52А;</w:t>
            </w:r>
          </w:p>
          <w:p w:rsidR="00F753C5" w:rsidRPr="001916D0" w:rsidRDefault="00F753C5" w:rsidP="004908E7">
            <w:pPr>
              <w:pStyle w:val="a7"/>
              <w:ind w:left="0"/>
              <w:rPr>
                <w:sz w:val="22"/>
              </w:rPr>
            </w:pPr>
            <w:r w:rsidRPr="001916D0">
              <w:rPr>
                <w:sz w:val="22"/>
              </w:rPr>
              <w:t xml:space="preserve">- розробка  </w:t>
            </w:r>
            <w:proofErr w:type="spellStart"/>
            <w:r w:rsidRPr="001916D0">
              <w:rPr>
                <w:bCs/>
                <w:sz w:val="22"/>
                <w:szCs w:val="22"/>
              </w:rPr>
              <w:t>про</w:t>
            </w:r>
            <w:r w:rsidR="00D60729" w:rsidRPr="001916D0">
              <w:rPr>
                <w:bCs/>
                <w:sz w:val="22"/>
                <w:szCs w:val="22"/>
              </w:rPr>
              <w:t>є</w:t>
            </w:r>
            <w:r w:rsidRPr="001916D0">
              <w:rPr>
                <w:bCs/>
                <w:sz w:val="22"/>
                <w:szCs w:val="22"/>
              </w:rPr>
              <w:t>ктно</w:t>
            </w:r>
            <w:proofErr w:type="spellEnd"/>
            <w:r w:rsidRPr="001916D0">
              <w:rPr>
                <w:sz w:val="22"/>
              </w:rPr>
              <w:t>-кошторисної документації на проведення  робіт з ремонту  приміщення;</w:t>
            </w:r>
          </w:p>
          <w:p w:rsidR="00F753C5" w:rsidRPr="001916D0" w:rsidRDefault="00F753C5" w:rsidP="004908E7">
            <w:pPr>
              <w:rPr>
                <w:rFonts w:eastAsiaTheme="minorHAnsi"/>
                <w:sz w:val="22"/>
              </w:rPr>
            </w:pPr>
            <w:r w:rsidRPr="001916D0">
              <w:rPr>
                <w:rFonts w:eastAsiaTheme="minorHAnsi"/>
                <w:sz w:val="22"/>
              </w:rPr>
              <w:t>- відновлення матеріально-технічної бази підприємства</w:t>
            </w:r>
          </w:p>
          <w:p w:rsidR="00F753C5" w:rsidRPr="001916D0" w:rsidRDefault="00F753C5" w:rsidP="004908E7">
            <w:pPr>
              <w:rPr>
                <w:rFonts w:eastAsiaTheme="minorHAnsi"/>
                <w:sz w:val="22"/>
              </w:rPr>
            </w:pPr>
            <w:r w:rsidRPr="001916D0">
              <w:rPr>
                <w:rFonts w:eastAsiaTheme="minorHAnsi"/>
                <w:sz w:val="22"/>
              </w:rPr>
              <w:t>шляхом придбання необхідного мінімуму основних засобів</w:t>
            </w:r>
          </w:p>
          <w:p w:rsidR="00F753C5" w:rsidRPr="001916D0" w:rsidRDefault="00F753C5" w:rsidP="004908E7">
            <w:pPr>
              <w:rPr>
                <w:rFonts w:eastAsiaTheme="minorHAnsi"/>
                <w:sz w:val="22"/>
              </w:rPr>
            </w:pPr>
            <w:r w:rsidRPr="001916D0">
              <w:rPr>
                <w:rFonts w:eastAsiaTheme="minorHAnsi"/>
                <w:sz w:val="22"/>
              </w:rPr>
              <w:t>та оборотних активів та відбудови пошкодженого</w:t>
            </w:r>
            <w:r w:rsidRPr="001916D0">
              <w:rPr>
                <w:sz w:val="22"/>
              </w:rPr>
              <w:t xml:space="preserve"> </w:t>
            </w:r>
            <w:r w:rsidRPr="001916D0">
              <w:rPr>
                <w:rFonts w:eastAsiaTheme="minorHAnsi"/>
                <w:sz w:val="22"/>
              </w:rPr>
              <w:t>приміщення;</w:t>
            </w:r>
          </w:p>
          <w:p w:rsidR="00F753C5" w:rsidRPr="001916D0" w:rsidRDefault="00F753C5" w:rsidP="004908E7">
            <w:pPr>
              <w:rPr>
                <w:sz w:val="22"/>
              </w:rPr>
            </w:pPr>
            <w:r w:rsidRPr="001916D0">
              <w:rPr>
                <w:sz w:val="22"/>
              </w:rPr>
              <w:t>- організація та початок  виробничого процесу.</w:t>
            </w:r>
          </w:p>
        </w:tc>
      </w:tr>
      <w:tr w:rsidR="00F753C5" w:rsidRPr="001916D0" w:rsidTr="00F753C5">
        <w:trPr>
          <w:trHeight w:val="600"/>
        </w:trPr>
        <w:tc>
          <w:tcPr>
            <w:tcW w:w="3270" w:type="dxa"/>
            <w:vMerge w:val="restart"/>
            <w:tcBorders>
              <w:top w:val="single" w:sz="4" w:space="0" w:color="auto"/>
              <w:left w:val="single" w:sz="4" w:space="0" w:color="auto"/>
              <w:bottom w:val="single" w:sz="4" w:space="0" w:color="000000"/>
              <w:right w:val="single" w:sz="4" w:space="0" w:color="auto"/>
            </w:tcBorders>
            <w:shd w:val="clear" w:color="000000" w:fill="C6D9F1" w:themeFill="text2" w:themeFillTint="33"/>
            <w:hideMark/>
          </w:tcPr>
          <w:p w:rsidR="00F753C5" w:rsidRPr="001916D0" w:rsidRDefault="00F753C5" w:rsidP="004908E7">
            <w:pPr>
              <w:rPr>
                <w:b/>
                <w:color w:val="000000"/>
                <w:sz w:val="22"/>
              </w:rPr>
            </w:pPr>
            <w:r w:rsidRPr="001916D0">
              <w:rPr>
                <w:b/>
                <w:color w:val="000000"/>
                <w:sz w:val="22"/>
              </w:rPr>
              <w:t xml:space="preserve">Орієнтовний обсяг та джерела фінансування </w:t>
            </w:r>
          </w:p>
          <w:p w:rsidR="00F753C5" w:rsidRPr="001916D0" w:rsidRDefault="00F753C5" w:rsidP="004908E7">
            <w:pPr>
              <w:rPr>
                <w:b/>
                <w:color w:val="000000"/>
                <w:sz w:val="22"/>
              </w:rPr>
            </w:pPr>
            <w:r w:rsidRPr="001916D0">
              <w:rPr>
                <w:b/>
                <w:color w:val="000000"/>
                <w:sz w:val="22"/>
              </w:rPr>
              <w:t>тис. гривень</w:t>
            </w:r>
          </w:p>
        </w:tc>
        <w:tc>
          <w:tcPr>
            <w:tcW w:w="1409" w:type="dxa"/>
            <w:vMerge w:val="restart"/>
            <w:tcBorders>
              <w:top w:val="nil"/>
              <w:left w:val="nil"/>
              <w:right w:val="single" w:sz="4" w:space="0" w:color="auto"/>
            </w:tcBorders>
            <w:shd w:val="clear" w:color="auto" w:fill="auto"/>
            <w:hideMark/>
          </w:tcPr>
          <w:p w:rsidR="00F753C5" w:rsidRPr="001916D0" w:rsidRDefault="00F753C5" w:rsidP="004908E7">
            <w:pPr>
              <w:rPr>
                <w:b/>
                <w:color w:val="000000"/>
                <w:sz w:val="22"/>
              </w:rPr>
            </w:pPr>
            <w:r w:rsidRPr="001916D0">
              <w:rPr>
                <w:b/>
                <w:color w:val="000000"/>
                <w:sz w:val="22"/>
              </w:rPr>
              <w:t>Державний бюджет</w:t>
            </w:r>
          </w:p>
          <w:p w:rsidR="00F753C5" w:rsidRPr="001916D0" w:rsidRDefault="00F753C5" w:rsidP="004908E7">
            <w:pPr>
              <w:rPr>
                <w:b/>
                <w:color w:val="000000"/>
                <w:sz w:val="22"/>
              </w:rPr>
            </w:pPr>
            <w:r w:rsidRPr="001916D0">
              <w:rPr>
                <w:sz w:val="22"/>
              </w:rPr>
              <w:t> </w:t>
            </w:r>
          </w:p>
        </w:tc>
        <w:tc>
          <w:tcPr>
            <w:tcW w:w="1134" w:type="dxa"/>
            <w:gridSpan w:val="2"/>
            <w:vMerge w:val="restart"/>
            <w:tcBorders>
              <w:top w:val="nil"/>
              <w:left w:val="nil"/>
              <w:right w:val="single" w:sz="4" w:space="0" w:color="auto"/>
            </w:tcBorders>
            <w:shd w:val="clear" w:color="auto" w:fill="auto"/>
            <w:hideMark/>
          </w:tcPr>
          <w:p w:rsidR="00F753C5" w:rsidRPr="001916D0" w:rsidRDefault="00F753C5" w:rsidP="004908E7">
            <w:pPr>
              <w:rPr>
                <w:b/>
                <w:color w:val="000000"/>
                <w:sz w:val="22"/>
              </w:rPr>
            </w:pPr>
            <w:r w:rsidRPr="001916D0">
              <w:rPr>
                <w:b/>
                <w:color w:val="000000"/>
                <w:sz w:val="22"/>
              </w:rPr>
              <w:t>Місцевий бюджет</w:t>
            </w:r>
          </w:p>
          <w:p w:rsidR="00F753C5" w:rsidRPr="001916D0" w:rsidRDefault="00F753C5" w:rsidP="004908E7">
            <w:pPr>
              <w:rPr>
                <w:b/>
                <w:color w:val="000000"/>
                <w:sz w:val="22"/>
              </w:rPr>
            </w:pPr>
            <w:r w:rsidRPr="001916D0">
              <w:rPr>
                <w:color w:val="000000"/>
                <w:sz w:val="22"/>
              </w:rPr>
              <w:t> </w:t>
            </w:r>
          </w:p>
        </w:tc>
        <w:tc>
          <w:tcPr>
            <w:tcW w:w="2693" w:type="dxa"/>
            <w:gridSpan w:val="3"/>
            <w:tcBorders>
              <w:top w:val="single" w:sz="4" w:space="0" w:color="auto"/>
              <w:left w:val="nil"/>
              <w:bottom w:val="single" w:sz="4" w:space="0" w:color="auto"/>
              <w:right w:val="single" w:sz="4" w:space="0" w:color="000000"/>
            </w:tcBorders>
            <w:shd w:val="clear" w:color="auto" w:fill="auto"/>
            <w:hideMark/>
          </w:tcPr>
          <w:p w:rsidR="00F753C5" w:rsidRPr="001916D0" w:rsidRDefault="00F753C5" w:rsidP="004908E7">
            <w:pPr>
              <w:rPr>
                <w:b/>
                <w:color w:val="000000"/>
                <w:sz w:val="22"/>
              </w:rPr>
            </w:pPr>
            <w:r w:rsidRPr="001916D0">
              <w:rPr>
                <w:b/>
                <w:color w:val="000000"/>
                <w:sz w:val="22"/>
              </w:rPr>
              <w:t>Інші джерела</w:t>
            </w:r>
          </w:p>
        </w:tc>
        <w:tc>
          <w:tcPr>
            <w:tcW w:w="1417" w:type="dxa"/>
            <w:vMerge w:val="restart"/>
            <w:tcBorders>
              <w:top w:val="nil"/>
              <w:left w:val="nil"/>
              <w:right w:val="single" w:sz="4" w:space="0" w:color="auto"/>
            </w:tcBorders>
            <w:shd w:val="clear" w:color="auto" w:fill="auto"/>
            <w:hideMark/>
          </w:tcPr>
          <w:p w:rsidR="00F753C5" w:rsidRPr="001916D0" w:rsidRDefault="00F753C5" w:rsidP="004908E7">
            <w:pPr>
              <w:rPr>
                <w:b/>
                <w:color w:val="000000"/>
                <w:sz w:val="22"/>
              </w:rPr>
            </w:pPr>
            <w:r w:rsidRPr="001916D0">
              <w:rPr>
                <w:b/>
                <w:color w:val="000000"/>
                <w:sz w:val="22"/>
              </w:rPr>
              <w:t>Всього</w:t>
            </w:r>
          </w:p>
        </w:tc>
      </w:tr>
      <w:tr w:rsidR="00F753C5" w:rsidRPr="001916D0" w:rsidTr="00F753C5">
        <w:trPr>
          <w:trHeight w:val="600"/>
        </w:trPr>
        <w:tc>
          <w:tcPr>
            <w:tcW w:w="3270" w:type="dxa"/>
            <w:vMerge/>
            <w:tcBorders>
              <w:top w:val="single" w:sz="4" w:space="0" w:color="auto"/>
              <w:left w:val="single" w:sz="4" w:space="0" w:color="auto"/>
              <w:bottom w:val="single" w:sz="4" w:space="0" w:color="000000"/>
              <w:right w:val="single" w:sz="4" w:space="0" w:color="auto"/>
            </w:tcBorders>
            <w:shd w:val="clear" w:color="000000" w:fill="C6D9F1" w:themeFill="text2" w:themeFillTint="33"/>
            <w:vAlign w:val="center"/>
            <w:hideMark/>
          </w:tcPr>
          <w:p w:rsidR="00F753C5" w:rsidRPr="001916D0" w:rsidRDefault="00F753C5" w:rsidP="004908E7">
            <w:pPr>
              <w:rPr>
                <w:b/>
                <w:color w:val="000000"/>
                <w:sz w:val="22"/>
              </w:rPr>
            </w:pPr>
          </w:p>
        </w:tc>
        <w:tc>
          <w:tcPr>
            <w:tcW w:w="1409" w:type="dxa"/>
            <w:vMerge/>
            <w:tcBorders>
              <w:left w:val="single" w:sz="4" w:space="0" w:color="auto"/>
              <w:bottom w:val="single" w:sz="4" w:space="0" w:color="auto"/>
              <w:right w:val="single" w:sz="4" w:space="0" w:color="auto"/>
            </w:tcBorders>
            <w:shd w:val="clear" w:color="auto" w:fill="auto"/>
            <w:hideMark/>
          </w:tcPr>
          <w:p w:rsidR="00F753C5" w:rsidRPr="001916D0" w:rsidRDefault="00F753C5" w:rsidP="004908E7">
            <w:pPr>
              <w:rPr>
                <w:sz w:val="22"/>
              </w:rPr>
            </w:pPr>
          </w:p>
        </w:tc>
        <w:tc>
          <w:tcPr>
            <w:tcW w:w="1134" w:type="dxa"/>
            <w:gridSpan w:val="2"/>
            <w:vMerge/>
            <w:tcBorders>
              <w:left w:val="single" w:sz="4" w:space="0" w:color="auto"/>
              <w:bottom w:val="single" w:sz="4" w:space="0" w:color="auto"/>
              <w:right w:val="single" w:sz="4" w:space="0" w:color="auto"/>
            </w:tcBorders>
            <w:shd w:val="clear" w:color="auto" w:fill="auto"/>
            <w:hideMark/>
          </w:tcPr>
          <w:p w:rsidR="00F753C5" w:rsidRPr="001916D0" w:rsidRDefault="00F753C5" w:rsidP="004908E7">
            <w:pPr>
              <w:rPr>
                <w:color w:val="000000"/>
                <w:sz w:val="22"/>
              </w:rPr>
            </w:pPr>
          </w:p>
        </w:tc>
        <w:tc>
          <w:tcPr>
            <w:tcW w:w="1134" w:type="dxa"/>
            <w:tcBorders>
              <w:top w:val="single" w:sz="4" w:space="0" w:color="auto"/>
              <w:left w:val="nil"/>
              <w:bottom w:val="single" w:sz="4" w:space="0" w:color="auto"/>
              <w:right w:val="single" w:sz="4" w:space="0" w:color="auto"/>
            </w:tcBorders>
            <w:shd w:val="clear" w:color="auto" w:fill="auto"/>
            <w:hideMark/>
          </w:tcPr>
          <w:p w:rsidR="00F753C5" w:rsidRPr="001916D0" w:rsidRDefault="00F753C5" w:rsidP="004908E7">
            <w:pPr>
              <w:rPr>
                <w:b/>
                <w:color w:val="000000"/>
                <w:sz w:val="22"/>
              </w:rPr>
            </w:pPr>
            <w:r w:rsidRPr="001916D0">
              <w:rPr>
                <w:b/>
                <w:color w:val="000000"/>
                <w:sz w:val="22"/>
              </w:rPr>
              <w:t>Обсяг</w:t>
            </w:r>
          </w:p>
        </w:tc>
        <w:tc>
          <w:tcPr>
            <w:tcW w:w="1559" w:type="dxa"/>
            <w:gridSpan w:val="2"/>
            <w:tcBorders>
              <w:top w:val="single" w:sz="4" w:space="0" w:color="auto"/>
              <w:left w:val="nil"/>
              <w:bottom w:val="single" w:sz="4" w:space="0" w:color="auto"/>
              <w:right w:val="single" w:sz="4" w:space="0" w:color="auto"/>
            </w:tcBorders>
            <w:shd w:val="clear" w:color="auto" w:fill="auto"/>
            <w:hideMark/>
          </w:tcPr>
          <w:p w:rsidR="00F753C5" w:rsidRPr="001916D0" w:rsidRDefault="00F753C5" w:rsidP="004908E7">
            <w:pPr>
              <w:rPr>
                <w:b/>
                <w:color w:val="000000"/>
                <w:sz w:val="22"/>
              </w:rPr>
            </w:pPr>
            <w:r w:rsidRPr="001916D0">
              <w:rPr>
                <w:b/>
                <w:color w:val="000000"/>
                <w:sz w:val="22"/>
              </w:rPr>
              <w:t>Назва джерела</w:t>
            </w:r>
          </w:p>
        </w:tc>
        <w:tc>
          <w:tcPr>
            <w:tcW w:w="1417" w:type="dxa"/>
            <w:vMerge/>
            <w:tcBorders>
              <w:left w:val="single" w:sz="4" w:space="0" w:color="auto"/>
              <w:bottom w:val="single" w:sz="4" w:space="0" w:color="auto"/>
              <w:right w:val="single" w:sz="4" w:space="0" w:color="auto"/>
            </w:tcBorders>
            <w:shd w:val="clear" w:color="auto" w:fill="auto"/>
            <w:hideMark/>
          </w:tcPr>
          <w:p w:rsidR="00F753C5" w:rsidRPr="001916D0" w:rsidRDefault="00F753C5" w:rsidP="004908E7">
            <w:pPr>
              <w:rPr>
                <w:strike/>
                <w:sz w:val="22"/>
                <w:lang w:val="en-US"/>
              </w:rPr>
            </w:pPr>
          </w:p>
        </w:tc>
      </w:tr>
      <w:tr w:rsidR="00F753C5" w:rsidRPr="001916D0" w:rsidTr="00F753C5">
        <w:trPr>
          <w:trHeight w:val="600"/>
        </w:trPr>
        <w:tc>
          <w:tcPr>
            <w:tcW w:w="3270" w:type="dxa"/>
            <w:tcBorders>
              <w:top w:val="single" w:sz="4" w:space="0" w:color="000000"/>
              <w:left w:val="single" w:sz="4" w:space="0" w:color="auto"/>
              <w:bottom w:val="single" w:sz="4" w:space="0" w:color="auto"/>
              <w:right w:val="single" w:sz="4" w:space="0" w:color="auto"/>
            </w:tcBorders>
            <w:vAlign w:val="center"/>
            <w:hideMark/>
          </w:tcPr>
          <w:p w:rsidR="00F753C5" w:rsidRPr="001916D0" w:rsidRDefault="00F753C5" w:rsidP="004908E7">
            <w:pPr>
              <w:rPr>
                <w:b/>
                <w:color w:val="000000"/>
                <w:sz w:val="22"/>
              </w:rPr>
            </w:pPr>
          </w:p>
        </w:tc>
        <w:tc>
          <w:tcPr>
            <w:tcW w:w="1409" w:type="dxa"/>
            <w:tcBorders>
              <w:top w:val="single" w:sz="4" w:space="0" w:color="auto"/>
              <w:left w:val="single" w:sz="4" w:space="0" w:color="auto"/>
              <w:bottom w:val="single" w:sz="4" w:space="0" w:color="auto"/>
              <w:right w:val="single" w:sz="4" w:space="0" w:color="auto"/>
            </w:tcBorders>
            <w:shd w:val="clear" w:color="auto" w:fill="auto"/>
            <w:hideMark/>
          </w:tcPr>
          <w:p w:rsidR="00F753C5" w:rsidRPr="001916D0" w:rsidRDefault="00F753C5" w:rsidP="004908E7">
            <w:pPr>
              <w:rPr>
                <w:sz w:val="22"/>
              </w:rPr>
            </w:pPr>
            <w:r w:rsidRPr="001916D0">
              <w:rPr>
                <w:sz w:val="22"/>
              </w:rPr>
              <w:t>9627,9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rsidR="00F753C5" w:rsidRPr="001916D0" w:rsidRDefault="00F753C5" w:rsidP="004908E7">
            <w:pPr>
              <w:rPr>
                <w:color w:val="000000"/>
                <w:sz w:val="22"/>
              </w:rPr>
            </w:pPr>
          </w:p>
        </w:tc>
        <w:tc>
          <w:tcPr>
            <w:tcW w:w="1134" w:type="dxa"/>
            <w:tcBorders>
              <w:top w:val="single" w:sz="4" w:space="0" w:color="auto"/>
              <w:left w:val="nil"/>
              <w:bottom w:val="single" w:sz="4" w:space="0" w:color="auto"/>
              <w:right w:val="single" w:sz="4" w:space="0" w:color="auto"/>
            </w:tcBorders>
            <w:shd w:val="clear" w:color="auto" w:fill="auto"/>
            <w:hideMark/>
          </w:tcPr>
          <w:p w:rsidR="00F753C5" w:rsidRPr="001916D0" w:rsidRDefault="00F753C5" w:rsidP="004908E7">
            <w:pPr>
              <w:rPr>
                <w:color w:val="000000"/>
                <w:sz w:val="22"/>
              </w:rPr>
            </w:pPr>
            <w:r w:rsidRPr="001916D0">
              <w:rPr>
                <w:color w:val="000000"/>
                <w:sz w:val="22"/>
              </w:rPr>
              <w:t>4126,242</w:t>
            </w:r>
          </w:p>
        </w:tc>
        <w:tc>
          <w:tcPr>
            <w:tcW w:w="1559" w:type="dxa"/>
            <w:gridSpan w:val="2"/>
            <w:tcBorders>
              <w:top w:val="single" w:sz="4" w:space="0" w:color="auto"/>
              <w:left w:val="nil"/>
              <w:bottom w:val="single" w:sz="4" w:space="0" w:color="auto"/>
              <w:right w:val="single" w:sz="4" w:space="0" w:color="auto"/>
            </w:tcBorders>
            <w:shd w:val="clear" w:color="auto" w:fill="auto"/>
            <w:hideMark/>
          </w:tcPr>
          <w:p w:rsidR="00F753C5" w:rsidRPr="001916D0" w:rsidRDefault="00F753C5" w:rsidP="004908E7">
            <w:pPr>
              <w:rPr>
                <w:color w:val="000000"/>
                <w:sz w:val="22"/>
              </w:rPr>
            </w:pPr>
            <w:r w:rsidRPr="001916D0">
              <w:rPr>
                <w:sz w:val="22"/>
              </w:rPr>
              <w:t>Міжнародні інвестиції, кошти приватних осіб</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F753C5" w:rsidRPr="001916D0" w:rsidRDefault="00F753C5" w:rsidP="004908E7">
            <w:pPr>
              <w:rPr>
                <w:sz w:val="22"/>
              </w:rPr>
            </w:pPr>
            <w:r w:rsidRPr="001916D0">
              <w:rPr>
                <w:sz w:val="22"/>
              </w:rPr>
              <w:t>13754,142</w:t>
            </w:r>
          </w:p>
        </w:tc>
      </w:tr>
    </w:tbl>
    <w:p w:rsidR="00F753C5" w:rsidRPr="001916D0" w:rsidRDefault="00F753C5" w:rsidP="00E95FB1">
      <w:pPr>
        <w:rPr>
          <w:sz w:val="22"/>
        </w:rPr>
      </w:pPr>
    </w:p>
    <w:p w:rsidR="00F753C5" w:rsidRPr="001916D0" w:rsidRDefault="00F753C5" w:rsidP="00E95FB1">
      <w:pPr>
        <w:rPr>
          <w:sz w:val="22"/>
        </w:rPr>
      </w:pPr>
    </w:p>
    <w:p w:rsidR="00F753C5" w:rsidRPr="001916D0" w:rsidRDefault="00F753C5" w:rsidP="00E95FB1">
      <w:pPr>
        <w:rPr>
          <w:sz w:val="22"/>
        </w:rPr>
      </w:pPr>
    </w:p>
    <w:p w:rsidR="00F753C5" w:rsidRPr="001916D0" w:rsidRDefault="00F753C5" w:rsidP="00E95FB1">
      <w:pPr>
        <w:rPr>
          <w:sz w:val="22"/>
        </w:rPr>
      </w:pPr>
    </w:p>
    <w:p w:rsidR="00E95FB1" w:rsidRPr="001916D0" w:rsidRDefault="00E95FB1" w:rsidP="00E95FB1">
      <w:pPr>
        <w:rPr>
          <w:sz w:val="22"/>
        </w:rPr>
      </w:pPr>
    </w:p>
    <w:tbl>
      <w:tblPr>
        <w:tblStyle w:val="af"/>
        <w:tblW w:w="0" w:type="auto"/>
        <w:tblInd w:w="-176" w:type="dxa"/>
        <w:tblLook w:val="04A0" w:firstRow="1" w:lastRow="0" w:firstColumn="1" w:lastColumn="0" w:noHBand="0" w:noVBand="1"/>
      </w:tblPr>
      <w:tblGrid>
        <w:gridCol w:w="3024"/>
        <w:gridCol w:w="1460"/>
        <w:gridCol w:w="1277"/>
        <w:gridCol w:w="72"/>
        <w:gridCol w:w="1056"/>
        <w:gridCol w:w="857"/>
        <w:gridCol w:w="586"/>
        <w:gridCol w:w="1330"/>
      </w:tblGrid>
      <w:tr w:rsidR="00E95FB1" w:rsidRPr="001916D0" w:rsidTr="001B3967">
        <w:tc>
          <w:tcPr>
            <w:tcW w:w="319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Оперативна ціль/завдання</w:t>
            </w:r>
          </w:p>
        </w:tc>
        <w:tc>
          <w:tcPr>
            <w:tcW w:w="6692" w:type="dxa"/>
            <w:gridSpan w:val="7"/>
            <w:shd w:val="clear" w:color="auto" w:fill="auto"/>
          </w:tcPr>
          <w:p w:rsidR="00E95FB1" w:rsidRPr="001916D0" w:rsidRDefault="00E95FB1" w:rsidP="001B3967">
            <w:pPr>
              <w:pStyle w:val="a7"/>
              <w:ind w:left="0"/>
              <w:rPr>
                <w:sz w:val="22"/>
                <w:lang w:val="uk-UA"/>
              </w:rPr>
            </w:pPr>
            <w:r w:rsidRPr="001916D0">
              <w:rPr>
                <w:rFonts w:eastAsia="Arial"/>
                <w:sz w:val="22"/>
                <w:lang w:val="uk-UA"/>
              </w:rPr>
              <w:t>Комфорт життя ЛЮДИНИ як безпека, екологічна сталість та розумна енергетика. Екологічна сталість через знання та партнерства</w:t>
            </w:r>
            <w:r w:rsidRPr="001916D0">
              <w:rPr>
                <w:sz w:val="22"/>
                <w:lang w:val="uk-UA"/>
              </w:rPr>
              <w:t xml:space="preserve"> </w:t>
            </w:r>
          </w:p>
        </w:tc>
      </w:tr>
      <w:tr w:rsidR="00E95FB1" w:rsidRPr="001916D0" w:rsidTr="001B3967">
        <w:tc>
          <w:tcPr>
            <w:tcW w:w="319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Назва проекту:</w:t>
            </w:r>
          </w:p>
        </w:tc>
        <w:tc>
          <w:tcPr>
            <w:tcW w:w="6692" w:type="dxa"/>
            <w:gridSpan w:val="7"/>
          </w:tcPr>
          <w:p w:rsidR="00E95FB1" w:rsidRPr="001916D0" w:rsidRDefault="00E95FB1" w:rsidP="001B3967">
            <w:pPr>
              <w:pStyle w:val="a7"/>
              <w:ind w:left="0"/>
              <w:rPr>
                <w:sz w:val="22"/>
                <w:lang w:val="uk-UA"/>
              </w:rPr>
            </w:pPr>
            <w:r w:rsidRPr="001916D0">
              <w:rPr>
                <w:sz w:val="22"/>
                <w:lang w:val="uk-UA"/>
              </w:rPr>
              <w:t xml:space="preserve">Відновлення системи централізованого водопостачання           КП «СЄВЄРОДОНЕЦЬКВОДОКАНАЛ» </w:t>
            </w:r>
          </w:p>
        </w:tc>
      </w:tr>
      <w:tr w:rsidR="00E95FB1" w:rsidRPr="001916D0" w:rsidTr="001B3967">
        <w:tc>
          <w:tcPr>
            <w:tcW w:w="3196" w:type="dxa"/>
            <w:shd w:val="clear" w:color="auto" w:fill="C6D9F1" w:themeFill="text2" w:themeFillTint="33"/>
          </w:tcPr>
          <w:p w:rsidR="00E95FB1" w:rsidRPr="001916D0" w:rsidRDefault="00E95FB1" w:rsidP="001B3967">
            <w:pPr>
              <w:rPr>
                <w:b/>
                <w:sz w:val="22"/>
                <w:lang w:val="uk-UA"/>
              </w:rPr>
            </w:pPr>
            <w:r w:rsidRPr="001916D0">
              <w:rPr>
                <w:b/>
                <w:sz w:val="22"/>
                <w:lang w:val="uk-UA"/>
              </w:rPr>
              <w:lastRenderedPageBreak/>
              <w:t>Ціль проекту</w:t>
            </w:r>
          </w:p>
        </w:tc>
        <w:tc>
          <w:tcPr>
            <w:tcW w:w="6692" w:type="dxa"/>
            <w:gridSpan w:val="7"/>
          </w:tcPr>
          <w:p w:rsidR="00E95FB1" w:rsidRPr="001916D0" w:rsidRDefault="00E95FB1" w:rsidP="001B3967">
            <w:pPr>
              <w:pStyle w:val="a7"/>
              <w:ind w:left="0"/>
              <w:rPr>
                <w:sz w:val="22"/>
                <w:lang w:val="uk-UA"/>
              </w:rPr>
            </w:pPr>
            <w:r w:rsidRPr="001916D0">
              <w:rPr>
                <w:sz w:val="22"/>
                <w:lang w:val="uk-UA"/>
              </w:rPr>
              <w:t>Відновити та покращити роботу комунального підприємства «СЄВЄРОДОНЕЦЬКВОДОКАНАЛ» для надання широкого спектру послуг, пов’язаних із централізованим водопостачанням,  задоволення потреб мешканців Сєвєродонецької міської територіальної громади у необхідних послугах централізованого водопостачання та сталого розвитку громади.</w:t>
            </w:r>
          </w:p>
        </w:tc>
      </w:tr>
      <w:tr w:rsidR="00E95FB1" w:rsidRPr="001916D0" w:rsidTr="001B3967">
        <w:tc>
          <w:tcPr>
            <w:tcW w:w="319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Територія, на яку матиме вплив реалізація проекту</w:t>
            </w:r>
          </w:p>
        </w:tc>
        <w:tc>
          <w:tcPr>
            <w:tcW w:w="6692" w:type="dxa"/>
            <w:gridSpan w:val="7"/>
          </w:tcPr>
          <w:p w:rsidR="00E95FB1" w:rsidRPr="001916D0" w:rsidRDefault="00E95FB1" w:rsidP="001B3967">
            <w:pPr>
              <w:pStyle w:val="a7"/>
              <w:ind w:left="0"/>
              <w:rPr>
                <w:sz w:val="22"/>
                <w:lang w:val="uk-UA"/>
              </w:rPr>
            </w:pPr>
            <w:r w:rsidRPr="001916D0">
              <w:rPr>
                <w:sz w:val="22"/>
                <w:lang w:val="uk-UA"/>
              </w:rPr>
              <w:t>Сєвєродонецька міська територіальна громада</w:t>
            </w:r>
          </w:p>
        </w:tc>
      </w:tr>
      <w:tr w:rsidR="00E95FB1" w:rsidRPr="001916D0" w:rsidTr="001B3967">
        <w:tc>
          <w:tcPr>
            <w:tcW w:w="319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Чисельність населення, на яке матиме вплив реалізація проекту</w:t>
            </w:r>
          </w:p>
        </w:tc>
        <w:tc>
          <w:tcPr>
            <w:tcW w:w="6692" w:type="dxa"/>
            <w:gridSpan w:val="7"/>
          </w:tcPr>
          <w:p w:rsidR="00E95FB1" w:rsidRPr="001916D0" w:rsidRDefault="00E95FB1" w:rsidP="001B3967">
            <w:pPr>
              <w:pStyle w:val="a7"/>
              <w:ind w:left="0"/>
              <w:rPr>
                <w:sz w:val="22"/>
                <w:lang w:val="uk-UA"/>
              </w:rPr>
            </w:pPr>
            <w:r w:rsidRPr="001916D0">
              <w:rPr>
                <w:sz w:val="22"/>
                <w:lang w:val="uk-UA"/>
              </w:rPr>
              <w:t xml:space="preserve"> 70 000  осіб</w:t>
            </w:r>
          </w:p>
        </w:tc>
      </w:tr>
      <w:tr w:rsidR="00E95FB1" w:rsidRPr="001916D0" w:rsidTr="001B3967">
        <w:tc>
          <w:tcPr>
            <w:tcW w:w="3196" w:type="dxa"/>
            <w:shd w:val="clear" w:color="auto" w:fill="C6D9F1" w:themeFill="text2" w:themeFillTint="33"/>
          </w:tcPr>
          <w:p w:rsidR="00E95FB1" w:rsidRPr="001916D0" w:rsidRDefault="00E95FB1" w:rsidP="001B3967">
            <w:pPr>
              <w:rPr>
                <w:b/>
                <w:sz w:val="22"/>
                <w:lang w:val="uk-UA"/>
              </w:rPr>
            </w:pPr>
            <w:r w:rsidRPr="001916D0">
              <w:rPr>
                <w:b/>
                <w:sz w:val="22"/>
                <w:lang w:val="uk-UA"/>
              </w:rPr>
              <w:t>Опис проблеми, на вирішення якої  спрямований проект</w:t>
            </w:r>
          </w:p>
        </w:tc>
        <w:tc>
          <w:tcPr>
            <w:tcW w:w="6692" w:type="dxa"/>
            <w:gridSpan w:val="7"/>
          </w:tcPr>
          <w:p w:rsidR="00E95FB1" w:rsidRPr="001916D0" w:rsidRDefault="00E95FB1" w:rsidP="001B3967">
            <w:pPr>
              <w:ind w:firstLine="708"/>
              <w:rPr>
                <w:sz w:val="22"/>
                <w:lang w:val="uk-UA"/>
              </w:rPr>
            </w:pPr>
            <w:r w:rsidRPr="001916D0">
              <w:rPr>
                <w:sz w:val="22"/>
                <w:lang w:val="uk-UA"/>
              </w:rPr>
              <w:t>Через військову агресію РФ територія Сєвєродонецької міської територіальної громади зазнала значних пошкоджень, включаючи систему централізованого водопостачання                            КП «СЄВЄРОДОНЕЦЬКВОДОКАНАЛ».</w:t>
            </w:r>
          </w:p>
          <w:p w:rsidR="00E95FB1" w:rsidRPr="001916D0" w:rsidRDefault="00E95FB1" w:rsidP="001B3967">
            <w:pPr>
              <w:pStyle w:val="13"/>
              <w:jc w:val="both"/>
              <w:rPr>
                <w:sz w:val="22"/>
                <w:lang w:val="uk-UA"/>
              </w:rPr>
            </w:pPr>
            <w:r w:rsidRPr="001916D0">
              <w:rPr>
                <w:rFonts w:eastAsia="Arial"/>
                <w:sz w:val="22"/>
                <w:lang w:val="uk-UA"/>
              </w:rPr>
              <w:t xml:space="preserve">            Для відбудови та сталого розвитку громади потрібне відновлення роботи свердловин </w:t>
            </w:r>
            <w:proofErr w:type="spellStart"/>
            <w:r w:rsidRPr="001916D0">
              <w:rPr>
                <w:rFonts w:eastAsia="Arial"/>
                <w:sz w:val="22"/>
                <w:lang w:val="uk-UA"/>
              </w:rPr>
              <w:t>Замулівського</w:t>
            </w:r>
            <w:proofErr w:type="spellEnd"/>
            <w:r w:rsidRPr="001916D0">
              <w:rPr>
                <w:rFonts w:eastAsia="Arial"/>
                <w:sz w:val="22"/>
                <w:lang w:val="uk-UA"/>
              </w:rPr>
              <w:t xml:space="preserve">, </w:t>
            </w:r>
            <w:proofErr w:type="spellStart"/>
            <w:r w:rsidRPr="001916D0">
              <w:rPr>
                <w:rFonts w:eastAsia="Arial"/>
                <w:sz w:val="22"/>
                <w:lang w:val="uk-UA"/>
              </w:rPr>
              <w:t>Щедрищівського</w:t>
            </w:r>
            <w:proofErr w:type="spellEnd"/>
            <w:r w:rsidRPr="001916D0">
              <w:rPr>
                <w:rFonts w:eastAsia="Arial"/>
                <w:sz w:val="22"/>
                <w:lang w:val="uk-UA"/>
              </w:rPr>
              <w:t xml:space="preserve"> водозаборів, свердловин смт</w:t>
            </w:r>
            <w:r w:rsidR="00642876" w:rsidRPr="001916D0">
              <w:rPr>
                <w:rFonts w:eastAsia="Arial"/>
                <w:sz w:val="22"/>
                <w:lang w:val="uk-UA"/>
              </w:rPr>
              <w:t>.</w:t>
            </w:r>
            <w:r w:rsidRPr="001916D0">
              <w:rPr>
                <w:rFonts w:eastAsia="Arial"/>
                <w:sz w:val="22"/>
                <w:lang w:val="uk-UA"/>
              </w:rPr>
              <w:t xml:space="preserve"> Воронове, </w:t>
            </w:r>
            <w:proofErr w:type="spellStart"/>
            <w:r w:rsidRPr="001916D0">
              <w:rPr>
                <w:rFonts w:eastAsia="Arial"/>
                <w:sz w:val="22"/>
                <w:lang w:val="uk-UA"/>
              </w:rPr>
              <w:t>с.Чабанівка</w:t>
            </w:r>
            <w:proofErr w:type="spellEnd"/>
            <w:r w:rsidRPr="001916D0">
              <w:rPr>
                <w:rFonts w:eastAsia="Arial"/>
                <w:sz w:val="22"/>
                <w:lang w:val="uk-UA"/>
              </w:rPr>
              <w:t xml:space="preserve">, </w:t>
            </w:r>
            <w:proofErr w:type="spellStart"/>
            <w:r w:rsidRPr="001916D0">
              <w:rPr>
                <w:rFonts w:eastAsia="Arial"/>
                <w:sz w:val="22"/>
                <w:lang w:val="uk-UA"/>
              </w:rPr>
              <w:t>с.Гаврилівка</w:t>
            </w:r>
            <w:proofErr w:type="spellEnd"/>
            <w:r w:rsidRPr="001916D0">
              <w:rPr>
                <w:rFonts w:eastAsia="Arial"/>
                <w:sz w:val="22"/>
                <w:lang w:val="uk-UA"/>
              </w:rPr>
              <w:t xml:space="preserve"> Сєвєродонецького р-ну. Мешканці громади потребують в</w:t>
            </w:r>
            <w:r w:rsidR="00642876" w:rsidRPr="001916D0">
              <w:rPr>
                <w:rFonts w:eastAsia="Arial"/>
                <w:sz w:val="22"/>
                <w:lang w:val="uk-UA"/>
              </w:rPr>
              <w:t xml:space="preserve"> </w:t>
            </w:r>
            <w:r w:rsidRPr="001916D0">
              <w:rPr>
                <w:rFonts w:eastAsia="Arial"/>
                <w:sz w:val="22"/>
                <w:lang w:val="uk-UA"/>
              </w:rPr>
              <w:t xml:space="preserve">отриманні якісних  послуг централізованого водопостачання, які відповідають нормам сучасності. </w:t>
            </w:r>
          </w:p>
        </w:tc>
      </w:tr>
      <w:tr w:rsidR="00E95FB1" w:rsidRPr="001916D0" w:rsidTr="001B3967">
        <w:tc>
          <w:tcPr>
            <w:tcW w:w="319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якісні результати від реалізації проекту</w:t>
            </w:r>
          </w:p>
        </w:tc>
        <w:tc>
          <w:tcPr>
            <w:tcW w:w="6692" w:type="dxa"/>
            <w:gridSpan w:val="7"/>
          </w:tcPr>
          <w:p w:rsidR="00E95FB1" w:rsidRPr="001916D0" w:rsidRDefault="00E95FB1" w:rsidP="001B3967">
            <w:pPr>
              <w:pStyle w:val="a7"/>
              <w:ind w:left="0"/>
              <w:rPr>
                <w:sz w:val="22"/>
                <w:lang w:val="uk-UA"/>
              </w:rPr>
            </w:pPr>
            <w:r w:rsidRPr="001916D0">
              <w:rPr>
                <w:sz w:val="22"/>
                <w:lang w:val="uk-UA"/>
              </w:rPr>
              <w:t>- забезпечення населення можливостями для реалізації його конституційних прав, пов’язаних із правом користування природними водними ресурсами</w:t>
            </w:r>
            <w:r w:rsidR="0005483C" w:rsidRPr="001916D0">
              <w:rPr>
                <w:bCs/>
                <w:sz w:val="22"/>
                <w:szCs w:val="22"/>
                <w:lang w:val="uk-UA"/>
              </w:rPr>
              <w:t xml:space="preserve"> </w:t>
            </w:r>
            <w:r w:rsidRPr="001916D0">
              <w:rPr>
                <w:sz w:val="22"/>
                <w:lang w:val="uk-UA"/>
              </w:rPr>
              <w:t>(ст.13 Конституції України);</w:t>
            </w:r>
          </w:p>
          <w:p w:rsidR="00E95FB1" w:rsidRPr="001916D0" w:rsidRDefault="00E95FB1" w:rsidP="001B3967">
            <w:pPr>
              <w:pStyle w:val="a7"/>
              <w:ind w:left="0"/>
              <w:rPr>
                <w:sz w:val="22"/>
                <w:lang w:val="uk-UA"/>
              </w:rPr>
            </w:pPr>
            <w:r w:rsidRPr="001916D0">
              <w:rPr>
                <w:sz w:val="22"/>
                <w:lang w:val="uk-UA"/>
              </w:rPr>
              <w:t>- надання широкого спектру послуг, пов’язаних із централізованим водопостачанням;</w:t>
            </w:r>
          </w:p>
          <w:p w:rsidR="00E95FB1" w:rsidRPr="001916D0" w:rsidRDefault="00E95FB1" w:rsidP="001B3967">
            <w:pPr>
              <w:pStyle w:val="a7"/>
              <w:ind w:left="0"/>
              <w:rPr>
                <w:sz w:val="22"/>
                <w:lang w:val="uk-UA"/>
              </w:rPr>
            </w:pPr>
            <w:r w:rsidRPr="001916D0">
              <w:rPr>
                <w:sz w:val="22"/>
                <w:lang w:val="uk-UA"/>
              </w:rPr>
              <w:t>- вирішення ряду питань в межах статутної діяльності, пов’язаних із відбудовою та сталим розвитком громади;</w:t>
            </w:r>
          </w:p>
          <w:p w:rsidR="00E95FB1" w:rsidRPr="001916D0" w:rsidRDefault="00E95FB1" w:rsidP="001B3967">
            <w:pPr>
              <w:pStyle w:val="a7"/>
              <w:ind w:left="0"/>
              <w:rPr>
                <w:sz w:val="22"/>
                <w:lang w:val="uk-UA"/>
              </w:rPr>
            </w:pPr>
            <w:r w:rsidRPr="001916D0">
              <w:rPr>
                <w:sz w:val="22"/>
                <w:lang w:val="uk-UA"/>
              </w:rPr>
              <w:t>- створення нових робочих місць;</w:t>
            </w:r>
          </w:p>
          <w:p w:rsidR="00E95FB1" w:rsidRPr="001916D0" w:rsidRDefault="00E95FB1" w:rsidP="001B3967">
            <w:pPr>
              <w:pStyle w:val="a7"/>
              <w:ind w:left="0"/>
              <w:rPr>
                <w:sz w:val="22"/>
                <w:lang w:val="uk-UA"/>
              </w:rPr>
            </w:pPr>
            <w:r w:rsidRPr="001916D0">
              <w:rPr>
                <w:sz w:val="22"/>
                <w:lang w:val="uk-UA"/>
              </w:rPr>
              <w:t>- стимул до повернення ВПО до громади;</w:t>
            </w:r>
          </w:p>
        </w:tc>
      </w:tr>
      <w:tr w:rsidR="00E95FB1" w:rsidRPr="001916D0" w:rsidTr="001B3967">
        <w:trPr>
          <w:trHeight w:val="390"/>
        </w:trPr>
        <w:tc>
          <w:tcPr>
            <w:tcW w:w="3196"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Очікувані кількісні результати реалізації </w:t>
            </w:r>
            <w:proofErr w:type="spellStart"/>
            <w:r w:rsidRPr="001916D0">
              <w:rPr>
                <w:b/>
                <w:sz w:val="22"/>
                <w:lang w:val="uk-UA"/>
              </w:rPr>
              <w:t>проєкту</w:t>
            </w:r>
            <w:proofErr w:type="spellEnd"/>
            <w:r w:rsidRPr="001916D0">
              <w:rPr>
                <w:b/>
                <w:sz w:val="22"/>
                <w:lang w:val="uk-UA"/>
              </w:rPr>
              <w:t xml:space="preserve"> (індикатори)</w:t>
            </w:r>
          </w:p>
          <w:p w:rsidR="00E95FB1" w:rsidRPr="001916D0" w:rsidRDefault="00E95FB1" w:rsidP="001B3967">
            <w:pPr>
              <w:pStyle w:val="a7"/>
              <w:ind w:left="0"/>
              <w:rPr>
                <w:b/>
                <w:sz w:val="22"/>
                <w:lang w:val="uk-UA"/>
              </w:rPr>
            </w:pPr>
          </w:p>
        </w:tc>
        <w:tc>
          <w:tcPr>
            <w:tcW w:w="2758" w:type="dxa"/>
            <w:gridSpan w:val="2"/>
            <w:tcBorders>
              <w:bottom w:val="single" w:sz="4" w:space="0" w:color="auto"/>
              <w:right w:val="single" w:sz="4" w:space="0" w:color="auto"/>
            </w:tcBorders>
          </w:tcPr>
          <w:p w:rsidR="00E95FB1" w:rsidRPr="001916D0" w:rsidRDefault="00E95FB1" w:rsidP="001B3967">
            <w:pPr>
              <w:pStyle w:val="a7"/>
              <w:ind w:left="-108"/>
              <w:jc w:val="center"/>
              <w:rPr>
                <w:b/>
                <w:sz w:val="22"/>
                <w:lang w:val="uk-UA"/>
              </w:rPr>
            </w:pPr>
            <w:r w:rsidRPr="001916D0">
              <w:rPr>
                <w:b/>
                <w:sz w:val="22"/>
                <w:lang w:val="uk-UA"/>
              </w:rPr>
              <w:t>Найменування показника</w:t>
            </w:r>
          </w:p>
        </w:tc>
        <w:tc>
          <w:tcPr>
            <w:tcW w:w="1985" w:type="dxa"/>
            <w:gridSpan w:val="3"/>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Одиниця вимірювання</w:t>
            </w:r>
          </w:p>
          <w:p w:rsidR="00E95FB1" w:rsidRPr="001916D0" w:rsidRDefault="00E95FB1" w:rsidP="001B3967">
            <w:pPr>
              <w:pStyle w:val="a7"/>
              <w:ind w:left="0"/>
              <w:rPr>
                <w:b/>
                <w:sz w:val="22"/>
                <w:lang w:val="uk-UA"/>
              </w:rPr>
            </w:pPr>
          </w:p>
        </w:tc>
        <w:tc>
          <w:tcPr>
            <w:tcW w:w="1949" w:type="dxa"/>
            <w:gridSpan w:val="2"/>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Прогнозне (цільове) значення</w:t>
            </w:r>
          </w:p>
        </w:tc>
      </w:tr>
      <w:tr w:rsidR="00E95FB1" w:rsidRPr="001916D0" w:rsidTr="001B3967">
        <w:trPr>
          <w:trHeight w:val="390"/>
        </w:trPr>
        <w:tc>
          <w:tcPr>
            <w:tcW w:w="3196" w:type="dxa"/>
            <w:vMerge/>
            <w:shd w:val="clear" w:color="auto" w:fill="C6D9F1" w:themeFill="text2" w:themeFillTint="33"/>
          </w:tcPr>
          <w:p w:rsidR="00E95FB1" w:rsidRPr="001916D0" w:rsidRDefault="00E95FB1" w:rsidP="001B3967">
            <w:pPr>
              <w:pStyle w:val="a7"/>
              <w:ind w:left="0"/>
              <w:rPr>
                <w:b/>
                <w:sz w:val="22"/>
                <w:lang w:val="uk-UA"/>
              </w:rPr>
            </w:pPr>
          </w:p>
        </w:tc>
        <w:tc>
          <w:tcPr>
            <w:tcW w:w="2758" w:type="dxa"/>
            <w:gridSpan w:val="2"/>
            <w:tcBorders>
              <w:bottom w:val="single" w:sz="4" w:space="0" w:color="auto"/>
              <w:right w:val="single" w:sz="4" w:space="0" w:color="auto"/>
            </w:tcBorders>
            <w:vAlign w:val="center"/>
          </w:tcPr>
          <w:p w:rsidR="00E95FB1" w:rsidRPr="001916D0" w:rsidRDefault="00E95FB1" w:rsidP="001B3967">
            <w:pPr>
              <w:pStyle w:val="a7"/>
              <w:ind w:left="-108"/>
              <w:jc w:val="center"/>
              <w:rPr>
                <w:sz w:val="22"/>
                <w:lang w:val="uk-UA"/>
              </w:rPr>
            </w:pPr>
            <w:r w:rsidRPr="001916D0">
              <w:rPr>
                <w:sz w:val="22"/>
                <w:lang w:val="uk-UA"/>
              </w:rPr>
              <w:t>Система централізованого водопостачання</w:t>
            </w:r>
          </w:p>
        </w:tc>
        <w:tc>
          <w:tcPr>
            <w:tcW w:w="1985" w:type="dxa"/>
            <w:gridSpan w:val="3"/>
            <w:tcBorders>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949" w:type="dxa"/>
            <w:gridSpan w:val="2"/>
            <w:tcBorders>
              <w:left w:val="single" w:sz="4" w:space="0" w:color="auto"/>
              <w:bottom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rPr>
          <w:trHeight w:val="585"/>
        </w:trPr>
        <w:tc>
          <w:tcPr>
            <w:tcW w:w="3196" w:type="dxa"/>
            <w:vMerge/>
            <w:shd w:val="clear" w:color="auto" w:fill="C6D9F1" w:themeFill="text2" w:themeFillTint="33"/>
          </w:tcPr>
          <w:p w:rsidR="00E95FB1" w:rsidRPr="001916D0" w:rsidRDefault="00E95FB1" w:rsidP="001B3967">
            <w:pPr>
              <w:pStyle w:val="a7"/>
              <w:ind w:left="0"/>
              <w:rPr>
                <w:b/>
                <w:sz w:val="22"/>
                <w:lang w:val="uk-UA"/>
              </w:rPr>
            </w:pPr>
          </w:p>
        </w:tc>
        <w:tc>
          <w:tcPr>
            <w:tcW w:w="2758" w:type="dxa"/>
            <w:gridSpan w:val="2"/>
            <w:tcBorders>
              <w:top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Кількість фізичних та юридичних осіб, які звернулись за послугами протягом  року</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осіб</w:t>
            </w:r>
          </w:p>
        </w:tc>
        <w:tc>
          <w:tcPr>
            <w:tcW w:w="1949" w:type="dxa"/>
            <w:gridSpan w:val="2"/>
            <w:tcBorders>
              <w:top w:val="single" w:sz="4" w:space="0" w:color="auto"/>
              <w:left w:val="single" w:sz="4" w:space="0" w:color="auto"/>
              <w:bottom w:val="single" w:sz="4" w:space="0" w:color="auto"/>
            </w:tcBorders>
            <w:vAlign w:val="center"/>
          </w:tcPr>
          <w:p w:rsidR="00E95FB1" w:rsidRPr="001916D0" w:rsidRDefault="00E95FB1" w:rsidP="001B3967">
            <w:pPr>
              <w:pStyle w:val="a7"/>
              <w:ind w:left="0"/>
              <w:jc w:val="center"/>
              <w:rPr>
                <w:b/>
                <w:sz w:val="22"/>
                <w:lang w:val="uk-UA"/>
              </w:rPr>
            </w:pPr>
            <w:r w:rsidRPr="001916D0">
              <w:rPr>
                <w:sz w:val="22"/>
                <w:lang w:val="uk-UA"/>
              </w:rPr>
              <w:t>50000</w:t>
            </w:r>
          </w:p>
        </w:tc>
      </w:tr>
      <w:tr w:rsidR="00E95FB1" w:rsidRPr="001916D0" w:rsidTr="001B3967">
        <w:trPr>
          <w:trHeight w:val="184"/>
        </w:trPr>
        <w:tc>
          <w:tcPr>
            <w:tcW w:w="3196" w:type="dxa"/>
            <w:vMerge/>
            <w:shd w:val="clear" w:color="auto" w:fill="C6D9F1" w:themeFill="text2" w:themeFillTint="33"/>
          </w:tcPr>
          <w:p w:rsidR="00E95FB1" w:rsidRPr="001916D0" w:rsidRDefault="00E95FB1" w:rsidP="001B3967">
            <w:pPr>
              <w:pStyle w:val="a7"/>
              <w:ind w:left="0"/>
              <w:rPr>
                <w:b/>
                <w:sz w:val="22"/>
                <w:lang w:val="uk-UA"/>
              </w:rPr>
            </w:pPr>
          </w:p>
        </w:tc>
        <w:tc>
          <w:tcPr>
            <w:tcW w:w="2758" w:type="dxa"/>
            <w:gridSpan w:val="2"/>
            <w:tcBorders>
              <w:top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Кількість видів та типів послуг</w:t>
            </w:r>
            <w:r w:rsidR="0005483C" w:rsidRPr="001916D0">
              <w:rPr>
                <w:bCs/>
                <w:sz w:val="22"/>
                <w:szCs w:val="22"/>
                <w:lang w:val="uk-UA"/>
              </w:rPr>
              <w:t>,</w:t>
            </w:r>
            <w:r w:rsidRPr="001916D0">
              <w:rPr>
                <w:sz w:val="22"/>
                <w:lang w:val="uk-UA"/>
              </w:rPr>
              <w:t xml:space="preserve"> наданих протягом одного робочого дня</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949" w:type="dxa"/>
            <w:gridSpan w:val="2"/>
            <w:tcBorders>
              <w:top w:val="single" w:sz="4" w:space="0" w:color="auto"/>
              <w:left w:val="single" w:sz="4" w:space="0" w:color="auto"/>
              <w:bottom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7</w:t>
            </w:r>
          </w:p>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p>
        </w:tc>
      </w:tr>
      <w:tr w:rsidR="00E95FB1" w:rsidRPr="001916D0" w:rsidTr="001B3967">
        <w:trPr>
          <w:trHeight w:val="165"/>
        </w:trPr>
        <w:tc>
          <w:tcPr>
            <w:tcW w:w="3196" w:type="dxa"/>
            <w:vMerge/>
            <w:shd w:val="clear" w:color="auto" w:fill="C6D9F1" w:themeFill="text2" w:themeFillTint="33"/>
          </w:tcPr>
          <w:p w:rsidR="00E95FB1" w:rsidRPr="001916D0" w:rsidRDefault="00E95FB1" w:rsidP="001B3967">
            <w:pPr>
              <w:pStyle w:val="a7"/>
              <w:ind w:left="0"/>
              <w:rPr>
                <w:b/>
                <w:sz w:val="22"/>
                <w:lang w:val="uk-UA"/>
              </w:rPr>
            </w:pPr>
          </w:p>
        </w:tc>
        <w:tc>
          <w:tcPr>
            <w:tcW w:w="2758" w:type="dxa"/>
            <w:gridSpan w:val="2"/>
            <w:tcBorders>
              <w:top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Середня вартість послуг</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грн/м3</w:t>
            </w:r>
          </w:p>
        </w:tc>
        <w:tc>
          <w:tcPr>
            <w:tcW w:w="1949" w:type="dxa"/>
            <w:gridSpan w:val="2"/>
            <w:tcBorders>
              <w:top w:val="single" w:sz="4" w:space="0" w:color="auto"/>
              <w:left w:val="single" w:sz="4" w:space="0" w:color="auto"/>
              <w:bottom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9,66</w:t>
            </w:r>
          </w:p>
        </w:tc>
      </w:tr>
      <w:tr w:rsidR="00E95FB1" w:rsidRPr="001916D0" w:rsidTr="001B3967">
        <w:trPr>
          <w:trHeight w:val="150"/>
        </w:trPr>
        <w:tc>
          <w:tcPr>
            <w:tcW w:w="3196" w:type="dxa"/>
            <w:vMerge/>
            <w:shd w:val="clear" w:color="auto" w:fill="C6D9F1" w:themeFill="text2" w:themeFillTint="33"/>
          </w:tcPr>
          <w:p w:rsidR="00E95FB1" w:rsidRPr="001916D0" w:rsidRDefault="00E95FB1" w:rsidP="001B3967">
            <w:pPr>
              <w:pStyle w:val="a7"/>
              <w:ind w:left="0"/>
              <w:rPr>
                <w:b/>
                <w:sz w:val="22"/>
                <w:lang w:val="uk-UA"/>
              </w:rPr>
            </w:pPr>
          </w:p>
        </w:tc>
        <w:tc>
          <w:tcPr>
            <w:tcW w:w="2758" w:type="dxa"/>
            <w:gridSpan w:val="2"/>
            <w:tcBorders>
              <w:top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Термін надання послуги</w:t>
            </w:r>
          </w:p>
        </w:tc>
        <w:tc>
          <w:tcPr>
            <w:tcW w:w="1985" w:type="dxa"/>
            <w:gridSpan w:val="3"/>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день</w:t>
            </w:r>
          </w:p>
        </w:tc>
        <w:tc>
          <w:tcPr>
            <w:tcW w:w="1949" w:type="dxa"/>
            <w:gridSpan w:val="2"/>
            <w:tcBorders>
              <w:top w:val="single" w:sz="4" w:space="0" w:color="auto"/>
              <w:lef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цілодобово</w:t>
            </w:r>
          </w:p>
        </w:tc>
      </w:tr>
      <w:tr w:rsidR="00E95FB1" w:rsidRPr="001916D0" w:rsidTr="001B3967">
        <w:trPr>
          <w:trHeight w:val="150"/>
        </w:trPr>
        <w:tc>
          <w:tcPr>
            <w:tcW w:w="3196" w:type="dxa"/>
            <w:shd w:val="clear" w:color="auto" w:fill="C6D9F1" w:themeFill="text2" w:themeFillTint="33"/>
          </w:tcPr>
          <w:p w:rsidR="00E95FB1" w:rsidRPr="001916D0" w:rsidRDefault="00E95FB1" w:rsidP="001B3967">
            <w:pPr>
              <w:pStyle w:val="a7"/>
              <w:ind w:left="0"/>
              <w:rPr>
                <w:b/>
                <w:sz w:val="22"/>
                <w:lang w:val="uk-UA"/>
              </w:rPr>
            </w:pPr>
          </w:p>
        </w:tc>
        <w:tc>
          <w:tcPr>
            <w:tcW w:w="2758" w:type="dxa"/>
            <w:gridSpan w:val="2"/>
            <w:tcBorders>
              <w:top w:val="single" w:sz="4" w:space="0" w:color="auto"/>
              <w:right w:val="single" w:sz="4" w:space="0" w:color="auto"/>
            </w:tcBorders>
            <w:vAlign w:val="center"/>
          </w:tcPr>
          <w:p w:rsidR="00E95FB1" w:rsidRPr="001916D0" w:rsidRDefault="00E95FB1" w:rsidP="0005483C">
            <w:pPr>
              <w:pStyle w:val="a7"/>
              <w:ind w:left="0"/>
              <w:jc w:val="center"/>
              <w:rPr>
                <w:sz w:val="22"/>
                <w:lang w:val="uk-UA"/>
              </w:rPr>
            </w:pPr>
            <w:r w:rsidRPr="001916D0">
              <w:rPr>
                <w:sz w:val="22"/>
                <w:lang w:val="uk-UA"/>
              </w:rPr>
              <w:t xml:space="preserve">Кількість населених пунктів, </w:t>
            </w:r>
            <w:r w:rsidRPr="001916D0">
              <w:rPr>
                <w:bCs/>
                <w:sz w:val="22"/>
                <w:szCs w:val="22"/>
                <w:lang w:val="uk-UA"/>
              </w:rPr>
              <w:t>як</w:t>
            </w:r>
            <w:r w:rsidR="0005483C" w:rsidRPr="001916D0">
              <w:rPr>
                <w:bCs/>
                <w:sz w:val="22"/>
                <w:szCs w:val="22"/>
                <w:lang w:val="uk-UA"/>
              </w:rPr>
              <w:t>і</w:t>
            </w:r>
            <w:r w:rsidRPr="001916D0">
              <w:rPr>
                <w:sz w:val="22"/>
                <w:lang w:val="uk-UA"/>
              </w:rPr>
              <w:t xml:space="preserve"> обслуговує підприємство</w:t>
            </w:r>
          </w:p>
        </w:tc>
        <w:tc>
          <w:tcPr>
            <w:tcW w:w="1985" w:type="dxa"/>
            <w:gridSpan w:val="3"/>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949" w:type="dxa"/>
            <w:gridSpan w:val="2"/>
            <w:tcBorders>
              <w:top w:val="single" w:sz="4" w:space="0" w:color="auto"/>
              <w:lef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11</w:t>
            </w:r>
          </w:p>
          <w:p w:rsidR="00E95FB1" w:rsidRPr="001916D0" w:rsidRDefault="00E95FB1" w:rsidP="001B3967">
            <w:pPr>
              <w:pStyle w:val="a7"/>
              <w:ind w:left="0"/>
              <w:jc w:val="center"/>
              <w:rPr>
                <w:sz w:val="22"/>
                <w:lang w:val="uk-UA"/>
              </w:rPr>
            </w:pPr>
          </w:p>
        </w:tc>
      </w:tr>
      <w:tr w:rsidR="00E95FB1" w:rsidRPr="001916D0" w:rsidTr="001B3967">
        <w:tc>
          <w:tcPr>
            <w:tcW w:w="3196" w:type="dxa"/>
            <w:shd w:val="clear" w:color="auto" w:fill="C6D9F1" w:themeFill="text2" w:themeFillTint="33"/>
          </w:tcPr>
          <w:p w:rsidR="00E95FB1" w:rsidRPr="001916D0" w:rsidRDefault="00E95FB1" w:rsidP="001B3967">
            <w:pPr>
              <w:rPr>
                <w:b/>
                <w:sz w:val="22"/>
                <w:lang w:val="uk-UA"/>
              </w:rPr>
            </w:pPr>
            <w:r w:rsidRPr="001916D0">
              <w:rPr>
                <w:b/>
                <w:sz w:val="22"/>
                <w:lang w:val="uk-UA"/>
              </w:rPr>
              <w:t xml:space="preserve">Ключові заходи проекту: </w:t>
            </w:r>
          </w:p>
          <w:p w:rsidR="00E95FB1" w:rsidRPr="001916D0" w:rsidRDefault="00E95FB1" w:rsidP="001B3967">
            <w:pPr>
              <w:pStyle w:val="a7"/>
              <w:ind w:left="0"/>
              <w:rPr>
                <w:b/>
                <w:sz w:val="22"/>
                <w:lang w:val="uk-UA"/>
              </w:rPr>
            </w:pPr>
          </w:p>
        </w:tc>
        <w:tc>
          <w:tcPr>
            <w:tcW w:w="6692" w:type="dxa"/>
            <w:gridSpan w:val="7"/>
          </w:tcPr>
          <w:p w:rsidR="00E95FB1" w:rsidRPr="001916D0" w:rsidRDefault="00E95FB1" w:rsidP="001B3967">
            <w:pPr>
              <w:pStyle w:val="a7"/>
              <w:ind w:left="0"/>
              <w:rPr>
                <w:sz w:val="22"/>
                <w:lang w:val="uk-UA"/>
              </w:rPr>
            </w:pPr>
            <w:r w:rsidRPr="001916D0">
              <w:rPr>
                <w:sz w:val="22"/>
                <w:lang w:val="uk-UA"/>
              </w:rPr>
              <w:t>- обстеження стану будівлі водопровідних станцій;</w:t>
            </w:r>
          </w:p>
          <w:p w:rsidR="00E95FB1" w:rsidRPr="001916D0" w:rsidRDefault="00E95FB1" w:rsidP="001B3967">
            <w:pPr>
              <w:pStyle w:val="a7"/>
              <w:ind w:left="0"/>
              <w:rPr>
                <w:sz w:val="22"/>
                <w:lang w:val="uk-UA"/>
              </w:rPr>
            </w:pPr>
            <w:r w:rsidRPr="001916D0">
              <w:rPr>
                <w:sz w:val="22"/>
                <w:lang w:val="uk-UA"/>
              </w:rPr>
              <w:t>- обстеження стану водопровідних мереж;</w:t>
            </w:r>
          </w:p>
          <w:p w:rsidR="00E95FB1" w:rsidRPr="001916D0" w:rsidRDefault="00E95FB1" w:rsidP="001B3967">
            <w:pPr>
              <w:pStyle w:val="a7"/>
              <w:ind w:left="0"/>
              <w:rPr>
                <w:sz w:val="22"/>
                <w:lang w:val="uk-UA"/>
              </w:rPr>
            </w:pPr>
            <w:r w:rsidRPr="001916D0">
              <w:rPr>
                <w:sz w:val="22"/>
                <w:lang w:val="uk-UA"/>
              </w:rPr>
              <w:t>- проведення інвентаризації основних засобів;</w:t>
            </w:r>
          </w:p>
          <w:p w:rsidR="00E95FB1" w:rsidRPr="001916D0" w:rsidRDefault="00E95FB1" w:rsidP="001B3967">
            <w:pPr>
              <w:pStyle w:val="a7"/>
              <w:ind w:left="0"/>
              <w:rPr>
                <w:sz w:val="22"/>
                <w:lang w:val="uk-UA"/>
              </w:rPr>
            </w:pPr>
            <w:r w:rsidRPr="001916D0">
              <w:rPr>
                <w:sz w:val="22"/>
                <w:lang w:val="uk-UA"/>
              </w:rPr>
              <w:t xml:space="preserve"> - придбання технічного забезпечення підприємства;</w:t>
            </w:r>
          </w:p>
          <w:p w:rsidR="00E95FB1" w:rsidRPr="001916D0" w:rsidRDefault="00E95FB1" w:rsidP="001B3967">
            <w:pPr>
              <w:pStyle w:val="a7"/>
              <w:ind w:left="0"/>
              <w:rPr>
                <w:sz w:val="22"/>
                <w:lang w:val="uk-UA"/>
              </w:rPr>
            </w:pPr>
            <w:r w:rsidRPr="001916D0">
              <w:rPr>
                <w:sz w:val="22"/>
                <w:lang w:val="uk-UA"/>
              </w:rPr>
              <w:t>- придбання технологічного забезпечення;</w:t>
            </w:r>
          </w:p>
          <w:p w:rsidR="00E95FB1" w:rsidRPr="001916D0" w:rsidRDefault="00E95FB1" w:rsidP="001B3967">
            <w:pPr>
              <w:pStyle w:val="a7"/>
              <w:ind w:left="0"/>
              <w:rPr>
                <w:sz w:val="22"/>
                <w:lang w:val="uk-UA"/>
              </w:rPr>
            </w:pPr>
            <w:r w:rsidRPr="001916D0">
              <w:rPr>
                <w:sz w:val="22"/>
                <w:lang w:val="uk-UA"/>
              </w:rPr>
              <w:t xml:space="preserve">- визначення кількості осіб, які потребують отримання послуг централізованого водопостачання; </w:t>
            </w:r>
          </w:p>
          <w:p w:rsidR="00E95FB1" w:rsidRPr="001916D0" w:rsidRDefault="00E95FB1" w:rsidP="001B3967">
            <w:pPr>
              <w:pStyle w:val="a7"/>
              <w:ind w:left="0"/>
              <w:rPr>
                <w:sz w:val="22"/>
                <w:lang w:val="uk-UA"/>
              </w:rPr>
            </w:pPr>
            <w:r w:rsidRPr="001916D0">
              <w:rPr>
                <w:sz w:val="22"/>
                <w:lang w:val="uk-UA"/>
              </w:rPr>
              <w:t xml:space="preserve">  - організація та початок робочого процесу.</w:t>
            </w:r>
          </w:p>
        </w:tc>
      </w:tr>
      <w:tr w:rsidR="00E95FB1" w:rsidRPr="001916D0" w:rsidTr="001B3967">
        <w:trPr>
          <w:trHeight w:val="360"/>
        </w:trPr>
        <w:tc>
          <w:tcPr>
            <w:tcW w:w="3196"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lastRenderedPageBreak/>
              <w:t xml:space="preserve">Орієнтовний обсяг та джерела фінансування, тис. грн. </w:t>
            </w:r>
          </w:p>
          <w:p w:rsidR="00E95FB1" w:rsidRPr="001916D0" w:rsidRDefault="00E95FB1" w:rsidP="001B3967">
            <w:pPr>
              <w:pStyle w:val="a7"/>
              <w:ind w:left="0"/>
              <w:rPr>
                <w:b/>
                <w:sz w:val="22"/>
                <w:lang w:val="uk-UA"/>
              </w:rPr>
            </w:pPr>
          </w:p>
        </w:tc>
        <w:tc>
          <w:tcPr>
            <w:tcW w:w="1460"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Державний бюджет</w:t>
            </w:r>
          </w:p>
        </w:tc>
        <w:tc>
          <w:tcPr>
            <w:tcW w:w="1370" w:type="dxa"/>
            <w:gridSpan w:val="2"/>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Місцевий бюджет</w:t>
            </w:r>
          </w:p>
        </w:tc>
        <w:tc>
          <w:tcPr>
            <w:tcW w:w="2511" w:type="dxa"/>
            <w:gridSpan w:val="3"/>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Інші джерела</w:t>
            </w:r>
          </w:p>
        </w:tc>
        <w:tc>
          <w:tcPr>
            <w:tcW w:w="1351" w:type="dxa"/>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Всього</w:t>
            </w:r>
          </w:p>
        </w:tc>
      </w:tr>
      <w:tr w:rsidR="00E95FB1" w:rsidRPr="001916D0" w:rsidTr="001B3967">
        <w:trPr>
          <w:trHeight w:val="225"/>
        </w:trPr>
        <w:tc>
          <w:tcPr>
            <w:tcW w:w="3196" w:type="dxa"/>
            <w:vMerge/>
            <w:shd w:val="clear" w:color="auto" w:fill="C6D9F1" w:themeFill="text2" w:themeFillTint="33"/>
          </w:tcPr>
          <w:p w:rsidR="00E95FB1" w:rsidRPr="001916D0" w:rsidRDefault="00E95FB1" w:rsidP="001B3967">
            <w:pPr>
              <w:pStyle w:val="a7"/>
              <w:ind w:left="0"/>
              <w:rPr>
                <w:b/>
                <w:sz w:val="22"/>
                <w:lang w:val="uk-UA"/>
              </w:rPr>
            </w:pPr>
          </w:p>
        </w:tc>
        <w:tc>
          <w:tcPr>
            <w:tcW w:w="1460" w:type="dxa"/>
            <w:vMerge w:val="restart"/>
            <w:tcBorders>
              <w:top w:val="single" w:sz="4" w:space="0" w:color="auto"/>
              <w:right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r w:rsidRPr="001916D0">
              <w:rPr>
                <w:sz w:val="22"/>
                <w:lang w:val="uk-UA"/>
              </w:rPr>
              <w:t>15540,0</w:t>
            </w:r>
          </w:p>
        </w:tc>
        <w:tc>
          <w:tcPr>
            <w:tcW w:w="1370" w:type="dxa"/>
            <w:gridSpan w:val="2"/>
            <w:vMerge w:val="restart"/>
            <w:tcBorders>
              <w:top w:val="single" w:sz="4" w:space="0" w:color="auto"/>
              <w:right w:val="single" w:sz="4" w:space="0" w:color="auto"/>
            </w:tcBorders>
          </w:tcPr>
          <w:p w:rsidR="00E95FB1" w:rsidRPr="001916D0" w:rsidRDefault="00E95FB1" w:rsidP="001B3967">
            <w:pPr>
              <w:pStyle w:val="a7"/>
              <w:ind w:left="0"/>
              <w:jc w:val="center"/>
              <w:rPr>
                <w:b/>
                <w:sz w:val="22"/>
                <w:lang w:val="uk-UA"/>
              </w:rPr>
            </w:pPr>
          </w:p>
        </w:tc>
        <w:tc>
          <w:tcPr>
            <w:tcW w:w="1056" w:type="dxa"/>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Обсяг</w:t>
            </w:r>
          </w:p>
        </w:tc>
        <w:tc>
          <w:tcPr>
            <w:tcW w:w="1455"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Назва джерела</w:t>
            </w:r>
          </w:p>
        </w:tc>
        <w:tc>
          <w:tcPr>
            <w:tcW w:w="1351" w:type="dxa"/>
            <w:vMerge w:val="restart"/>
            <w:tcBorders>
              <w:top w:val="single" w:sz="4" w:space="0" w:color="auto"/>
              <w:left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r w:rsidRPr="001916D0">
              <w:rPr>
                <w:sz w:val="22"/>
                <w:lang w:val="uk-UA"/>
              </w:rPr>
              <w:t>22200,0</w:t>
            </w:r>
          </w:p>
        </w:tc>
      </w:tr>
      <w:tr w:rsidR="00E95FB1" w:rsidRPr="001916D0" w:rsidTr="001B3967">
        <w:trPr>
          <w:trHeight w:val="300"/>
        </w:trPr>
        <w:tc>
          <w:tcPr>
            <w:tcW w:w="3196" w:type="dxa"/>
            <w:vMerge/>
            <w:shd w:val="clear" w:color="auto" w:fill="C6D9F1" w:themeFill="text2" w:themeFillTint="33"/>
          </w:tcPr>
          <w:p w:rsidR="00E95FB1" w:rsidRPr="001916D0" w:rsidRDefault="00E95FB1" w:rsidP="001B3967">
            <w:pPr>
              <w:pStyle w:val="a7"/>
              <w:ind w:left="0"/>
              <w:rPr>
                <w:b/>
                <w:sz w:val="22"/>
                <w:lang w:val="uk-UA"/>
              </w:rPr>
            </w:pPr>
          </w:p>
        </w:tc>
        <w:tc>
          <w:tcPr>
            <w:tcW w:w="1460" w:type="dxa"/>
            <w:vMerge/>
            <w:tcBorders>
              <w:right w:val="single" w:sz="4" w:space="0" w:color="auto"/>
            </w:tcBorders>
          </w:tcPr>
          <w:p w:rsidR="00E95FB1" w:rsidRPr="001916D0" w:rsidRDefault="00E95FB1" w:rsidP="001B3967">
            <w:pPr>
              <w:pStyle w:val="a7"/>
              <w:ind w:left="0"/>
              <w:jc w:val="center"/>
              <w:rPr>
                <w:sz w:val="22"/>
                <w:lang w:val="uk-UA"/>
              </w:rPr>
            </w:pPr>
          </w:p>
        </w:tc>
        <w:tc>
          <w:tcPr>
            <w:tcW w:w="1370" w:type="dxa"/>
            <w:gridSpan w:val="2"/>
            <w:vMerge/>
            <w:tcBorders>
              <w:right w:val="single" w:sz="4" w:space="0" w:color="auto"/>
            </w:tcBorders>
          </w:tcPr>
          <w:p w:rsidR="00E95FB1" w:rsidRPr="001916D0" w:rsidRDefault="00E95FB1" w:rsidP="001B3967">
            <w:pPr>
              <w:pStyle w:val="a7"/>
              <w:ind w:left="0"/>
              <w:jc w:val="center"/>
              <w:rPr>
                <w:b/>
                <w:sz w:val="22"/>
                <w:lang w:val="uk-UA"/>
              </w:rPr>
            </w:pPr>
          </w:p>
        </w:tc>
        <w:tc>
          <w:tcPr>
            <w:tcW w:w="1056" w:type="dxa"/>
            <w:tcBorders>
              <w:top w:val="single" w:sz="4" w:space="0" w:color="auto"/>
              <w:left w:val="single" w:sz="4" w:space="0" w:color="auto"/>
              <w:right w:val="single" w:sz="4" w:space="0" w:color="auto"/>
            </w:tcBorders>
          </w:tcPr>
          <w:p w:rsidR="00E95FB1" w:rsidRPr="001916D0" w:rsidRDefault="00E95FB1" w:rsidP="001B3967">
            <w:pPr>
              <w:pStyle w:val="a7"/>
              <w:ind w:left="0"/>
              <w:jc w:val="center"/>
              <w:rPr>
                <w:b/>
                <w:sz w:val="22"/>
                <w:lang w:val="uk-UA"/>
              </w:rPr>
            </w:pPr>
          </w:p>
          <w:p w:rsidR="00E95FB1" w:rsidRPr="001916D0" w:rsidRDefault="00E95FB1" w:rsidP="001B3967">
            <w:pPr>
              <w:pStyle w:val="a7"/>
              <w:ind w:left="0"/>
              <w:jc w:val="center"/>
              <w:rPr>
                <w:b/>
                <w:sz w:val="22"/>
                <w:lang w:val="uk-UA"/>
              </w:rPr>
            </w:pPr>
          </w:p>
          <w:p w:rsidR="00E95FB1" w:rsidRPr="001916D0" w:rsidRDefault="00E95FB1" w:rsidP="001B3967">
            <w:pPr>
              <w:pStyle w:val="a7"/>
              <w:ind w:left="0"/>
              <w:jc w:val="center"/>
              <w:rPr>
                <w:sz w:val="22"/>
                <w:lang w:val="uk-UA"/>
              </w:rPr>
            </w:pPr>
            <w:r w:rsidRPr="001916D0">
              <w:rPr>
                <w:sz w:val="22"/>
                <w:lang w:val="uk-UA"/>
              </w:rPr>
              <w:t>6660,0</w:t>
            </w:r>
          </w:p>
        </w:tc>
        <w:tc>
          <w:tcPr>
            <w:tcW w:w="1455"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Міжнародні інвестиції, кошти приватних осіб</w:t>
            </w:r>
          </w:p>
        </w:tc>
        <w:tc>
          <w:tcPr>
            <w:tcW w:w="1351" w:type="dxa"/>
            <w:vMerge/>
            <w:tcBorders>
              <w:left w:val="single" w:sz="4" w:space="0" w:color="auto"/>
            </w:tcBorders>
          </w:tcPr>
          <w:p w:rsidR="00E95FB1" w:rsidRPr="001916D0" w:rsidRDefault="00E95FB1" w:rsidP="001B3967">
            <w:pPr>
              <w:pStyle w:val="a7"/>
              <w:ind w:left="0"/>
              <w:jc w:val="center"/>
              <w:rPr>
                <w:sz w:val="22"/>
                <w:lang w:val="uk-UA"/>
              </w:rPr>
            </w:pPr>
          </w:p>
        </w:tc>
      </w:tr>
    </w:tbl>
    <w:p w:rsidR="00E95FB1" w:rsidRPr="001916D0" w:rsidRDefault="00E95FB1" w:rsidP="00E95FB1">
      <w:pPr>
        <w:rPr>
          <w:sz w:val="22"/>
        </w:rPr>
      </w:pPr>
    </w:p>
    <w:p w:rsidR="00E95FB1" w:rsidRPr="001916D0" w:rsidRDefault="00E95FB1" w:rsidP="00E95FB1">
      <w:pPr>
        <w:rPr>
          <w:sz w:val="22"/>
        </w:rPr>
      </w:pPr>
    </w:p>
    <w:tbl>
      <w:tblPr>
        <w:tblStyle w:val="af"/>
        <w:tblW w:w="10101" w:type="dxa"/>
        <w:tblInd w:w="-176" w:type="dxa"/>
        <w:tblLayout w:type="fixed"/>
        <w:tblLook w:val="04A0" w:firstRow="1" w:lastRow="0" w:firstColumn="1" w:lastColumn="0" w:noHBand="0" w:noVBand="1"/>
      </w:tblPr>
      <w:tblGrid>
        <w:gridCol w:w="3108"/>
        <w:gridCol w:w="1977"/>
        <w:gridCol w:w="1266"/>
        <w:gridCol w:w="135"/>
        <w:gridCol w:w="1081"/>
        <w:gridCol w:w="676"/>
        <w:gridCol w:w="675"/>
        <w:gridCol w:w="1183"/>
      </w:tblGrid>
      <w:tr w:rsidR="00E95FB1" w:rsidRPr="001916D0" w:rsidTr="001B3967">
        <w:trPr>
          <w:trHeight w:val="144"/>
        </w:trPr>
        <w:tc>
          <w:tcPr>
            <w:tcW w:w="3108"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Оперативна ціль/завдання</w:t>
            </w:r>
          </w:p>
        </w:tc>
        <w:tc>
          <w:tcPr>
            <w:tcW w:w="6993" w:type="dxa"/>
            <w:gridSpan w:val="7"/>
            <w:shd w:val="clear" w:color="auto" w:fill="auto"/>
          </w:tcPr>
          <w:p w:rsidR="00E95FB1" w:rsidRPr="001916D0" w:rsidRDefault="00E95FB1" w:rsidP="001B3967">
            <w:pPr>
              <w:pStyle w:val="a7"/>
              <w:ind w:left="0"/>
              <w:rPr>
                <w:sz w:val="22"/>
                <w:lang w:val="uk-UA"/>
              </w:rPr>
            </w:pPr>
            <w:r w:rsidRPr="001916D0">
              <w:rPr>
                <w:rFonts w:eastAsia="Arial"/>
                <w:sz w:val="22"/>
                <w:lang w:val="uk-UA"/>
              </w:rPr>
              <w:t>Комфорт життя ЛЮДИНИ як безпека, екологічна сталість та розумна енергетика. Екологічна сталість через знання та партнерства</w:t>
            </w:r>
            <w:r w:rsidRPr="001916D0">
              <w:rPr>
                <w:sz w:val="22"/>
                <w:lang w:val="uk-UA"/>
              </w:rPr>
              <w:t xml:space="preserve"> </w:t>
            </w:r>
          </w:p>
        </w:tc>
      </w:tr>
      <w:tr w:rsidR="00E95FB1" w:rsidRPr="001916D0" w:rsidTr="001B3967">
        <w:trPr>
          <w:trHeight w:val="144"/>
        </w:trPr>
        <w:tc>
          <w:tcPr>
            <w:tcW w:w="3108"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Назва проекту:</w:t>
            </w:r>
          </w:p>
        </w:tc>
        <w:tc>
          <w:tcPr>
            <w:tcW w:w="6993" w:type="dxa"/>
            <w:gridSpan w:val="7"/>
          </w:tcPr>
          <w:p w:rsidR="00E95FB1" w:rsidRPr="001916D0" w:rsidRDefault="00E95FB1" w:rsidP="001B3967">
            <w:pPr>
              <w:pStyle w:val="a7"/>
              <w:ind w:left="0"/>
              <w:rPr>
                <w:sz w:val="22"/>
                <w:lang w:val="uk-UA"/>
              </w:rPr>
            </w:pPr>
            <w:r w:rsidRPr="001916D0">
              <w:rPr>
                <w:sz w:val="22"/>
                <w:lang w:val="uk-UA"/>
              </w:rPr>
              <w:t>Будівництво комплексу очисних споруд з виробництвом біогазу з осаду</w:t>
            </w:r>
          </w:p>
        </w:tc>
      </w:tr>
      <w:tr w:rsidR="00E95FB1" w:rsidRPr="001916D0" w:rsidTr="001B3967">
        <w:trPr>
          <w:trHeight w:val="144"/>
        </w:trPr>
        <w:tc>
          <w:tcPr>
            <w:tcW w:w="3108" w:type="dxa"/>
            <w:shd w:val="clear" w:color="auto" w:fill="C6D9F1" w:themeFill="text2" w:themeFillTint="33"/>
          </w:tcPr>
          <w:p w:rsidR="00E95FB1" w:rsidRPr="001916D0" w:rsidRDefault="00E95FB1" w:rsidP="001B3967">
            <w:pPr>
              <w:rPr>
                <w:b/>
                <w:sz w:val="22"/>
                <w:lang w:val="uk-UA"/>
              </w:rPr>
            </w:pPr>
            <w:r w:rsidRPr="001916D0">
              <w:rPr>
                <w:b/>
                <w:sz w:val="22"/>
                <w:lang w:val="uk-UA"/>
              </w:rPr>
              <w:t>Ціль проекту</w:t>
            </w:r>
          </w:p>
        </w:tc>
        <w:tc>
          <w:tcPr>
            <w:tcW w:w="6993" w:type="dxa"/>
            <w:gridSpan w:val="7"/>
          </w:tcPr>
          <w:p w:rsidR="00E95FB1" w:rsidRPr="001916D0" w:rsidRDefault="00E95FB1" w:rsidP="001B3967">
            <w:pPr>
              <w:pStyle w:val="a7"/>
              <w:ind w:left="0"/>
              <w:rPr>
                <w:sz w:val="22"/>
                <w:lang w:val="uk-UA"/>
              </w:rPr>
            </w:pPr>
            <w:r w:rsidRPr="001916D0">
              <w:rPr>
                <w:sz w:val="22"/>
                <w:lang w:val="uk-UA"/>
              </w:rPr>
              <w:t>Побудувати  комплекс очисних споруд з виробництвом біогазу з осаду для надання широкого спектру послуг, пов’язаних із централізованим водовідведенням,  задоволення потреб мешканців Сєвєродонецької міської територіальної громади у необхідних послугах централізованого водовідведення  та   сталого  розвитку  громади,  а  також підвищення екологічної безпеки та охорони навколишнього середовища.</w:t>
            </w:r>
          </w:p>
        </w:tc>
      </w:tr>
      <w:tr w:rsidR="00E95FB1" w:rsidRPr="001916D0" w:rsidTr="001B3967">
        <w:trPr>
          <w:trHeight w:val="144"/>
        </w:trPr>
        <w:tc>
          <w:tcPr>
            <w:tcW w:w="3108"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Територія, на яку матиме вплив реалізація проекту</w:t>
            </w:r>
          </w:p>
        </w:tc>
        <w:tc>
          <w:tcPr>
            <w:tcW w:w="6993" w:type="dxa"/>
            <w:gridSpan w:val="7"/>
          </w:tcPr>
          <w:p w:rsidR="00E95FB1" w:rsidRPr="001916D0" w:rsidRDefault="00E95FB1" w:rsidP="001B3967">
            <w:pPr>
              <w:pStyle w:val="a7"/>
              <w:ind w:left="0"/>
              <w:rPr>
                <w:sz w:val="22"/>
                <w:lang w:val="uk-UA"/>
              </w:rPr>
            </w:pPr>
            <w:r w:rsidRPr="001916D0">
              <w:rPr>
                <w:sz w:val="22"/>
                <w:lang w:val="uk-UA"/>
              </w:rPr>
              <w:t>Сєвєродонецька міська територіальна громада</w:t>
            </w:r>
          </w:p>
        </w:tc>
      </w:tr>
      <w:tr w:rsidR="00E95FB1" w:rsidRPr="001916D0" w:rsidTr="001B3967">
        <w:trPr>
          <w:trHeight w:val="144"/>
        </w:trPr>
        <w:tc>
          <w:tcPr>
            <w:tcW w:w="3108"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Чисельність населення, на яке матиме вплив реалізація проекту</w:t>
            </w:r>
          </w:p>
        </w:tc>
        <w:tc>
          <w:tcPr>
            <w:tcW w:w="6993" w:type="dxa"/>
            <w:gridSpan w:val="7"/>
          </w:tcPr>
          <w:p w:rsidR="00E95FB1" w:rsidRPr="001916D0" w:rsidRDefault="00E95FB1" w:rsidP="001B3967">
            <w:pPr>
              <w:pStyle w:val="a7"/>
              <w:ind w:left="0"/>
              <w:rPr>
                <w:sz w:val="22"/>
                <w:lang w:val="uk-UA"/>
              </w:rPr>
            </w:pPr>
            <w:r w:rsidRPr="001916D0">
              <w:rPr>
                <w:sz w:val="22"/>
                <w:lang w:val="uk-UA"/>
              </w:rPr>
              <w:t xml:space="preserve"> 70 000  осіб</w:t>
            </w:r>
          </w:p>
        </w:tc>
      </w:tr>
      <w:tr w:rsidR="00E95FB1" w:rsidRPr="001916D0" w:rsidTr="001B3967">
        <w:trPr>
          <w:trHeight w:val="144"/>
        </w:trPr>
        <w:tc>
          <w:tcPr>
            <w:tcW w:w="3108" w:type="dxa"/>
            <w:shd w:val="clear" w:color="auto" w:fill="C6D9F1" w:themeFill="text2" w:themeFillTint="33"/>
          </w:tcPr>
          <w:p w:rsidR="00E95FB1" w:rsidRPr="001916D0" w:rsidRDefault="00E95FB1" w:rsidP="001B3967">
            <w:pPr>
              <w:rPr>
                <w:b/>
                <w:sz w:val="22"/>
                <w:lang w:val="uk-UA"/>
              </w:rPr>
            </w:pPr>
            <w:r w:rsidRPr="001916D0">
              <w:rPr>
                <w:b/>
                <w:sz w:val="22"/>
                <w:lang w:val="uk-UA"/>
              </w:rPr>
              <w:t>Опис проблеми, на вирішення якої  спрямований проект</w:t>
            </w:r>
          </w:p>
        </w:tc>
        <w:tc>
          <w:tcPr>
            <w:tcW w:w="6993" w:type="dxa"/>
            <w:gridSpan w:val="7"/>
          </w:tcPr>
          <w:p w:rsidR="00E95FB1" w:rsidRPr="001916D0" w:rsidRDefault="00E95FB1" w:rsidP="001B3967">
            <w:pPr>
              <w:ind w:firstLine="708"/>
              <w:rPr>
                <w:sz w:val="22"/>
                <w:lang w:val="uk-UA"/>
              </w:rPr>
            </w:pPr>
            <w:r w:rsidRPr="001916D0">
              <w:rPr>
                <w:sz w:val="22"/>
                <w:lang w:val="uk-UA"/>
              </w:rPr>
              <w:t>Через військову агресію РФ територія Сєвєродонецької міської територіальної громади зазнала значних пошкоджень, включаючи очисні споруди міста.</w:t>
            </w:r>
          </w:p>
          <w:p w:rsidR="00E95FB1" w:rsidRPr="001916D0" w:rsidRDefault="00E95FB1" w:rsidP="001B3967">
            <w:pPr>
              <w:pStyle w:val="13"/>
              <w:jc w:val="both"/>
              <w:rPr>
                <w:sz w:val="22"/>
                <w:lang w:val="uk-UA"/>
              </w:rPr>
            </w:pPr>
            <w:r w:rsidRPr="001916D0">
              <w:rPr>
                <w:rFonts w:eastAsia="Arial"/>
                <w:sz w:val="22"/>
                <w:lang w:val="uk-UA"/>
              </w:rPr>
              <w:t xml:space="preserve">            Для відбудови та сталого розвитку громади потрібне будівництво нових очисних споруд. Мешканці громади потребують в отриманні якісних  послуг централізованого водовідведення та очищення стоків, які відповідають нормам сучасності. </w:t>
            </w:r>
          </w:p>
        </w:tc>
      </w:tr>
      <w:tr w:rsidR="00E95FB1" w:rsidRPr="001916D0" w:rsidTr="001B3967">
        <w:trPr>
          <w:trHeight w:val="144"/>
        </w:trPr>
        <w:tc>
          <w:tcPr>
            <w:tcW w:w="3108"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якісні результати від реалізації проекту</w:t>
            </w:r>
          </w:p>
        </w:tc>
        <w:tc>
          <w:tcPr>
            <w:tcW w:w="6993" w:type="dxa"/>
            <w:gridSpan w:val="7"/>
          </w:tcPr>
          <w:p w:rsidR="00E95FB1" w:rsidRPr="001916D0" w:rsidRDefault="00E95FB1" w:rsidP="001B3967">
            <w:pPr>
              <w:pStyle w:val="a7"/>
              <w:ind w:left="0"/>
              <w:rPr>
                <w:sz w:val="22"/>
                <w:lang w:val="uk-UA"/>
              </w:rPr>
            </w:pPr>
            <w:r w:rsidRPr="001916D0">
              <w:rPr>
                <w:sz w:val="22"/>
                <w:lang w:val="uk-UA"/>
              </w:rPr>
              <w:t>- забезпечення населення можливостями для реалізації його конституційних прав, пов’язаних із правом користування природними водними ресурсами</w:t>
            </w:r>
            <w:r w:rsidR="00C450C4" w:rsidRPr="001916D0">
              <w:rPr>
                <w:bCs/>
                <w:sz w:val="22"/>
                <w:szCs w:val="22"/>
                <w:lang w:val="uk-UA"/>
              </w:rPr>
              <w:t xml:space="preserve"> </w:t>
            </w:r>
            <w:r w:rsidRPr="001916D0">
              <w:rPr>
                <w:sz w:val="22"/>
                <w:lang w:val="uk-UA"/>
              </w:rPr>
              <w:t>(ст.13 Конституції України);</w:t>
            </w:r>
          </w:p>
          <w:p w:rsidR="00E95FB1" w:rsidRPr="001916D0" w:rsidRDefault="00E95FB1" w:rsidP="001B3967">
            <w:pPr>
              <w:pStyle w:val="a7"/>
              <w:ind w:left="0"/>
              <w:rPr>
                <w:sz w:val="22"/>
                <w:lang w:val="uk-UA"/>
              </w:rPr>
            </w:pPr>
            <w:r w:rsidRPr="001916D0">
              <w:rPr>
                <w:sz w:val="22"/>
                <w:lang w:val="uk-UA"/>
              </w:rPr>
              <w:t>- надання широкого спектру послуг, пов’язаних із централізованим водовідведенням;</w:t>
            </w:r>
          </w:p>
          <w:p w:rsidR="00E95FB1" w:rsidRPr="001916D0" w:rsidRDefault="00E95FB1" w:rsidP="001B3967">
            <w:pPr>
              <w:pStyle w:val="a7"/>
              <w:ind w:left="0"/>
              <w:rPr>
                <w:sz w:val="22"/>
                <w:lang w:val="uk-UA"/>
              </w:rPr>
            </w:pPr>
            <w:r w:rsidRPr="001916D0">
              <w:rPr>
                <w:sz w:val="22"/>
                <w:lang w:val="uk-UA"/>
              </w:rPr>
              <w:t>- вирішення ряду питань в межах статутної діяльності, пов’язаних із відбудовою та сталим розвитком громади;</w:t>
            </w:r>
          </w:p>
          <w:p w:rsidR="00E95FB1" w:rsidRPr="001916D0" w:rsidRDefault="00E95FB1" w:rsidP="001B3967">
            <w:pPr>
              <w:pStyle w:val="a7"/>
              <w:ind w:left="0"/>
              <w:rPr>
                <w:sz w:val="22"/>
                <w:lang w:val="uk-UA"/>
              </w:rPr>
            </w:pPr>
            <w:r w:rsidRPr="001916D0">
              <w:rPr>
                <w:sz w:val="22"/>
                <w:lang w:val="uk-UA"/>
              </w:rPr>
              <w:t>- створення нових робочих місць;</w:t>
            </w:r>
          </w:p>
          <w:p w:rsidR="00E95FB1" w:rsidRPr="001916D0" w:rsidRDefault="00E95FB1" w:rsidP="001B3967">
            <w:pPr>
              <w:pStyle w:val="a7"/>
              <w:ind w:left="0"/>
              <w:rPr>
                <w:sz w:val="22"/>
                <w:lang w:val="uk-UA"/>
              </w:rPr>
            </w:pPr>
            <w:r w:rsidRPr="001916D0">
              <w:rPr>
                <w:sz w:val="22"/>
                <w:lang w:val="uk-UA"/>
              </w:rPr>
              <w:t>- стимул до повернення ВПО до громади;</w:t>
            </w:r>
          </w:p>
          <w:p w:rsidR="00E95FB1" w:rsidRPr="001916D0" w:rsidRDefault="00E95FB1" w:rsidP="001B3967">
            <w:pPr>
              <w:pStyle w:val="a7"/>
              <w:ind w:left="0"/>
              <w:rPr>
                <w:sz w:val="22"/>
                <w:lang w:val="uk-UA"/>
              </w:rPr>
            </w:pPr>
            <w:r w:rsidRPr="001916D0">
              <w:rPr>
                <w:sz w:val="22"/>
                <w:lang w:val="uk-UA"/>
              </w:rPr>
              <w:t>- підвищення екологічної безпеки та охорони навколишнього середовища.</w:t>
            </w:r>
          </w:p>
        </w:tc>
      </w:tr>
      <w:tr w:rsidR="00E95FB1" w:rsidRPr="001916D0" w:rsidTr="001B3967">
        <w:trPr>
          <w:trHeight w:val="389"/>
        </w:trPr>
        <w:tc>
          <w:tcPr>
            <w:tcW w:w="3108"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Очікувані кількісні результати реалізації </w:t>
            </w:r>
            <w:proofErr w:type="spellStart"/>
            <w:r w:rsidRPr="001916D0">
              <w:rPr>
                <w:b/>
                <w:sz w:val="22"/>
                <w:lang w:val="uk-UA"/>
              </w:rPr>
              <w:t>проєкту</w:t>
            </w:r>
            <w:proofErr w:type="spellEnd"/>
            <w:r w:rsidRPr="001916D0">
              <w:rPr>
                <w:b/>
                <w:sz w:val="22"/>
                <w:lang w:val="uk-UA"/>
              </w:rPr>
              <w:t xml:space="preserve"> (індикатори)</w:t>
            </w:r>
          </w:p>
          <w:p w:rsidR="00E95FB1" w:rsidRPr="001916D0" w:rsidRDefault="00E95FB1" w:rsidP="001B3967">
            <w:pPr>
              <w:pStyle w:val="a7"/>
              <w:ind w:left="0"/>
              <w:rPr>
                <w:b/>
                <w:sz w:val="22"/>
                <w:lang w:val="uk-UA"/>
              </w:rPr>
            </w:pPr>
          </w:p>
        </w:tc>
        <w:tc>
          <w:tcPr>
            <w:tcW w:w="3378" w:type="dxa"/>
            <w:gridSpan w:val="3"/>
            <w:tcBorders>
              <w:bottom w:val="single" w:sz="4" w:space="0" w:color="auto"/>
              <w:right w:val="single" w:sz="4" w:space="0" w:color="auto"/>
            </w:tcBorders>
          </w:tcPr>
          <w:p w:rsidR="00E95FB1" w:rsidRPr="001916D0" w:rsidRDefault="00E95FB1" w:rsidP="001B3967">
            <w:pPr>
              <w:pStyle w:val="a7"/>
              <w:ind w:left="-108"/>
              <w:jc w:val="center"/>
              <w:rPr>
                <w:b/>
                <w:sz w:val="22"/>
                <w:lang w:val="uk-UA"/>
              </w:rPr>
            </w:pPr>
            <w:r w:rsidRPr="001916D0">
              <w:rPr>
                <w:b/>
                <w:sz w:val="22"/>
                <w:lang w:val="uk-UA"/>
              </w:rPr>
              <w:t>Найменування показника</w:t>
            </w:r>
          </w:p>
        </w:tc>
        <w:tc>
          <w:tcPr>
            <w:tcW w:w="1757" w:type="dxa"/>
            <w:gridSpan w:val="2"/>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Одиниця вимірювання</w:t>
            </w:r>
          </w:p>
          <w:p w:rsidR="00E95FB1" w:rsidRPr="001916D0" w:rsidRDefault="00E95FB1" w:rsidP="001B3967">
            <w:pPr>
              <w:pStyle w:val="a7"/>
              <w:ind w:left="0"/>
              <w:rPr>
                <w:b/>
                <w:sz w:val="22"/>
                <w:lang w:val="uk-UA"/>
              </w:rPr>
            </w:pPr>
          </w:p>
        </w:tc>
        <w:tc>
          <w:tcPr>
            <w:tcW w:w="1858" w:type="dxa"/>
            <w:gridSpan w:val="2"/>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Прогнозне (цільове) значення</w:t>
            </w:r>
          </w:p>
        </w:tc>
      </w:tr>
      <w:tr w:rsidR="00E95FB1" w:rsidRPr="001916D0" w:rsidTr="001B3967">
        <w:trPr>
          <w:trHeight w:val="389"/>
        </w:trPr>
        <w:tc>
          <w:tcPr>
            <w:tcW w:w="3108" w:type="dxa"/>
            <w:vMerge/>
            <w:shd w:val="clear" w:color="auto" w:fill="C6D9F1" w:themeFill="text2" w:themeFillTint="33"/>
          </w:tcPr>
          <w:p w:rsidR="00E95FB1" w:rsidRPr="001916D0" w:rsidRDefault="00E95FB1" w:rsidP="001B3967">
            <w:pPr>
              <w:pStyle w:val="a7"/>
              <w:ind w:left="0"/>
              <w:rPr>
                <w:b/>
                <w:sz w:val="22"/>
                <w:lang w:val="uk-UA"/>
              </w:rPr>
            </w:pPr>
          </w:p>
        </w:tc>
        <w:tc>
          <w:tcPr>
            <w:tcW w:w="3378" w:type="dxa"/>
            <w:gridSpan w:val="3"/>
            <w:tcBorders>
              <w:bottom w:val="single" w:sz="4" w:space="0" w:color="auto"/>
              <w:right w:val="single" w:sz="4" w:space="0" w:color="auto"/>
            </w:tcBorders>
          </w:tcPr>
          <w:p w:rsidR="00E95FB1" w:rsidRPr="001916D0" w:rsidRDefault="00E95FB1" w:rsidP="001B3967">
            <w:pPr>
              <w:pStyle w:val="a7"/>
              <w:ind w:left="-108"/>
              <w:jc w:val="center"/>
              <w:rPr>
                <w:sz w:val="22"/>
                <w:lang w:val="uk-UA"/>
              </w:rPr>
            </w:pPr>
            <w:r w:rsidRPr="001916D0">
              <w:rPr>
                <w:sz w:val="22"/>
                <w:lang w:val="uk-UA"/>
              </w:rPr>
              <w:t>Комплекс очисних споруд з виробництвом біогазу з осаду</w:t>
            </w:r>
          </w:p>
        </w:tc>
        <w:tc>
          <w:tcPr>
            <w:tcW w:w="1757" w:type="dxa"/>
            <w:gridSpan w:val="2"/>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b/>
                <w:sz w:val="22"/>
                <w:lang w:val="uk-UA"/>
              </w:rPr>
            </w:pPr>
            <w:r w:rsidRPr="001916D0">
              <w:rPr>
                <w:sz w:val="22"/>
                <w:lang w:val="uk-UA"/>
              </w:rPr>
              <w:t>одиниць</w:t>
            </w:r>
          </w:p>
        </w:tc>
        <w:tc>
          <w:tcPr>
            <w:tcW w:w="1858" w:type="dxa"/>
            <w:gridSpan w:val="2"/>
            <w:tcBorders>
              <w:left w:val="single" w:sz="4" w:space="0" w:color="auto"/>
              <w:bottom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b/>
                <w:sz w:val="22"/>
                <w:lang w:val="uk-UA"/>
              </w:rPr>
            </w:pPr>
            <w:r w:rsidRPr="001916D0">
              <w:rPr>
                <w:sz w:val="22"/>
                <w:lang w:val="uk-UA"/>
              </w:rPr>
              <w:t>1</w:t>
            </w:r>
          </w:p>
        </w:tc>
      </w:tr>
      <w:tr w:rsidR="00E95FB1" w:rsidRPr="001916D0" w:rsidTr="001B3967">
        <w:trPr>
          <w:trHeight w:val="583"/>
        </w:trPr>
        <w:tc>
          <w:tcPr>
            <w:tcW w:w="3108" w:type="dxa"/>
            <w:vMerge/>
            <w:shd w:val="clear" w:color="auto" w:fill="C6D9F1" w:themeFill="text2" w:themeFillTint="33"/>
          </w:tcPr>
          <w:p w:rsidR="00E95FB1" w:rsidRPr="001916D0" w:rsidRDefault="00E95FB1" w:rsidP="001B3967">
            <w:pPr>
              <w:pStyle w:val="a7"/>
              <w:ind w:left="0"/>
              <w:rPr>
                <w:b/>
                <w:sz w:val="22"/>
                <w:lang w:val="uk-UA"/>
              </w:rPr>
            </w:pPr>
          </w:p>
        </w:tc>
        <w:tc>
          <w:tcPr>
            <w:tcW w:w="3378"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Кількість фізичних та юридичних осіб, які звернулись за послугами протягом  року</w:t>
            </w:r>
          </w:p>
        </w:tc>
        <w:tc>
          <w:tcPr>
            <w:tcW w:w="1757"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осіб</w:t>
            </w:r>
          </w:p>
        </w:tc>
        <w:tc>
          <w:tcPr>
            <w:tcW w:w="1858" w:type="dxa"/>
            <w:gridSpan w:val="2"/>
            <w:tcBorders>
              <w:top w:val="single" w:sz="4" w:space="0" w:color="auto"/>
              <w:left w:val="single" w:sz="4" w:space="0" w:color="auto"/>
              <w:bottom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p>
          <w:p w:rsidR="00E95FB1" w:rsidRPr="001916D0" w:rsidRDefault="00E95FB1" w:rsidP="001B3967">
            <w:pPr>
              <w:pStyle w:val="a7"/>
              <w:ind w:left="0"/>
              <w:rPr>
                <w:b/>
                <w:sz w:val="22"/>
                <w:lang w:val="uk-UA"/>
              </w:rPr>
            </w:pPr>
            <w:r w:rsidRPr="001916D0">
              <w:rPr>
                <w:sz w:val="22"/>
                <w:lang w:val="uk-UA"/>
              </w:rPr>
              <w:t xml:space="preserve">          50 000,0</w:t>
            </w:r>
          </w:p>
        </w:tc>
      </w:tr>
      <w:tr w:rsidR="00E95FB1" w:rsidRPr="001916D0" w:rsidTr="001B3967">
        <w:trPr>
          <w:trHeight w:val="184"/>
        </w:trPr>
        <w:tc>
          <w:tcPr>
            <w:tcW w:w="3108" w:type="dxa"/>
            <w:vMerge/>
            <w:shd w:val="clear" w:color="auto" w:fill="C6D9F1" w:themeFill="text2" w:themeFillTint="33"/>
          </w:tcPr>
          <w:p w:rsidR="00E95FB1" w:rsidRPr="001916D0" w:rsidRDefault="00E95FB1" w:rsidP="001B3967">
            <w:pPr>
              <w:pStyle w:val="a7"/>
              <w:ind w:left="0"/>
              <w:rPr>
                <w:b/>
                <w:sz w:val="22"/>
                <w:lang w:val="uk-UA"/>
              </w:rPr>
            </w:pPr>
          </w:p>
        </w:tc>
        <w:tc>
          <w:tcPr>
            <w:tcW w:w="3378"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Кількість видів та типів послуг</w:t>
            </w:r>
            <w:r w:rsidR="00C450C4" w:rsidRPr="001916D0">
              <w:rPr>
                <w:bCs/>
                <w:sz w:val="22"/>
                <w:szCs w:val="22"/>
                <w:lang w:val="uk-UA"/>
              </w:rPr>
              <w:t>,</w:t>
            </w:r>
            <w:r w:rsidRPr="001916D0">
              <w:rPr>
                <w:sz w:val="22"/>
                <w:lang w:val="uk-UA"/>
              </w:rPr>
              <w:t xml:space="preserve"> наданих протягом одно робочого дня</w:t>
            </w:r>
          </w:p>
        </w:tc>
        <w:tc>
          <w:tcPr>
            <w:tcW w:w="1757"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858" w:type="dxa"/>
            <w:gridSpan w:val="2"/>
            <w:tcBorders>
              <w:top w:val="single" w:sz="4" w:space="0" w:color="auto"/>
              <w:left w:val="single" w:sz="4" w:space="0" w:color="auto"/>
              <w:bottom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r w:rsidRPr="001916D0">
              <w:rPr>
                <w:sz w:val="22"/>
                <w:lang w:val="uk-UA"/>
              </w:rPr>
              <w:t>8</w:t>
            </w:r>
          </w:p>
          <w:p w:rsidR="00E95FB1" w:rsidRPr="001916D0" w:rsidRDefault="00E95FB1" w:rsidP="001B3967">
            <w:pPr>
              <w:pStyle w:val="a7"/>
              <w:ind w:left="0"/>
              <w:jc w:val="center"/>
              <w:rPr>
                <w:sz w:val="22"/>
                <w:highlight w:val="yellow"/>
                <w:lang w:val="uk-UA"/>
              </w:rPr>
            </w:pPr>
          </w:p>
        </w:tc>
      </w:tr>
      <w:tr w:rsidR="00E95FB1" w:rsidRPr="001916D0" w:rsidTr="001B3967">
        <w:trPr>
          <w:trHeight w:val="165"/>
        </w:trPr>
        <w:tc>
          <w:tcPr>
            <w:tcW w:w="3108" w:type="dxa"/>
            <w:vMerge/>
            <w:shd w:val="clear" w:color="auto" w:fill="C6D9F1" w:themeFill="text2" w:themeFillTint="33"/>
          </w:tcPr>
          <w:p w:rsidR="00E95FB1" w:rsidRPr="001916D0" w:rsidRDefault="00E95FB1" w:rsidP="001B3967">
            <w:pPr>
              <w:pStyle w:val="a7"/>
              <w:ind w:left="0"/>
              <w:rPr>
                <w:b/>
                <w:sz w:val="22"/>
                <w:lang w:val="uk-UA"/>
              </w:rPr>
            </w:pPr>
          </w:p>
        </w:tc>
        <w:tc>
          <w:tcPr>
            <w:tcW w:w="3378"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Середня вартість послуг</w:t>
            </w:r>
          </w:p>
        </w:tc>
        <w:tc>
          <w:tcPr>
            <w:tcW w:w="1757"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грн</w:t>
            </w:r>
          </w:p>
        </w:tc>
        <w:tc>
          <w:tcPr>
            <w:tcW w:w="1858" w:type="dxa"/>
            <w:gridSpan w:val="2"/>
            <w:tcBorders>
              <w:top w:val="single" w:sz="4" w:space="0" w:color="auto"/>
              <w:left w:val="single" w:sz="4" w:space="0" w:color="auto"/>
              <w:bottom w:val="single" w:sz="4" w:space="0" w:color="auto"/>
            </w:tcBorders>
          </w:tcPr>
          <w:p w:rsidR="00E95FB1" w:rsidRPr="001916D0" w:rsidRDefault="00E95FB1" w:rsidP="001B3967">
            <w:pPr>
              <w:pStyle w:val="a7"/>
              <w:ind w:left="0"/>
              <w:jc w:val="center"/>
              <w:rPr>
                <w:sz w:val="22"/>
                <w:lang w:val="uk-UA"/>
              </w:rPr>
            </w:pPr>
            <w:r w:rsidRPr="001916D0">
              <w:rPr>
                <w:sz w:val="22"/>
                <w:lang w:val="uk-UA"/>
              </w:rPr>
              <w:t>8,64</w:t>
            </w:r>
          </w:p>
        </w:tc>
      </w:tr>
      <w:tr w:rsidR="00E95FB1" w:rsidRPr="001916D0" w:rsidTr="001B3967">
        <w:trPr>
          <w:trHeight w:val="150"/>
        </w:trPr>
        <w:tc>
          <w:tcPr>
            <w:tcW w:w="3108" w:type="dxa"/>
            <w:vMerge/>
            <w:shd w:val="clear" w:color="auto" w:fill="C6D9F1" w:themeFill="text2" w:themeFillTint="33"/>
          </w:tcPr>
          <w:p w:rsidR="00E95FB1" w:rsidRPr="001916D0" w:rsidRDefault="00E95FB1" w:rsidP="001B3967">
            <w:pPr>
              <w:pStyle w:val="a7"/>
              <w:ind w:left="0"/>
              <w:rPr>
                <w:b/>
                <w:sz w:val="22"/>
                <w:lang w:val="uk-UA"/>
              </w:rPr>
            </w:pPr>
          </w:p>
        </w:tc>
        <w:tc>
          <w:tcPr>
            <w:tcW w:w="3378"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Термін надання послуги</w:t>
            </w:r>
          </w:p>
        </w:tc>
        <w:tc>
          <w:tcPr>
            <w:tcW w:w="1757" w:type="dxa"/>
            <w:gridSpan w:val="2"/>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день</w:t>
            </w:r>
          </w:p>
        </w:tc>
        <w:tc>
          <w:tcPr>
            <w:tcW w:w="1858" w:type="dxa"/>
            <w:gridSpan w:val="2"/>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цілодобово</w:t>
            </w:r>
          </w:p>
        </w:tc>
      </w:tr>
      <w:tr w:rsidR="00E95FB1" w:rsidRPr="001916D0" w:rsidTr="001B3967">
        <w:trPr>
          <w:trHeight w:val="150"/>
        </w:trPr>
        <w:tc>
          <w:tcPr>
            <w:tcW w:w="3108" w:type="dxa"/>
            <w:shd w:val="clear" w:color="auto" w:fill="C6D9F1" w:themeFill="text2" w:themeFillTint="33"/>
          </w:tcPr>
          <w:p w:rsidR="00E95FB1" w:rsidRPr="001916D0" w:rsidRDefault="00E95FB1" w:rsidP="001B3967">
            <w:pPr>
              <w:pStyle w:val="a7"/>
              <w:ind w:left="0"/>
              <w:rPr>
                <w:b/>
                <w:sz w:val="22"/>
                <w:lang w:val="uk-UA"/>
              </w:rPr>
            </w:pPr>
          </w:p>
        </w:tc>
        <w:tc>
          <w:tcPr>
            <w:tcW w:w="3378" w:type="dxa"/>
            <w:gridSpan w:val="3"/>
            <w:tcBorders>
              <w:top w:val="single" w:sz="4" w:space="0" w:color="auto"/>
              <w:right w:val="single" w:sz="4" w:space="0" w:color="auto"/>
            </w:tcBorders>
          </w:tcPr>
          <w:p w:rsidR="00E95FB1" w:rsidRPr="001916D0" w:rsidRDefault="00E95FB1" w:rsidP="00C450C4">
            <w:pPr>
              <w:pStyle w:val="a7"/>
              <w:ind w:left="0"/>
              <w:jc w:val="center"/>
              <w:rPr>
                <w:sz w:val="22"/>
                <w:lang w:val="uk-UA"/>
              </w:rPr>
            </w:pPr>
            <w:r w:rsidRPr="001916D0">
              <w:rPr>
                <w:sz w:val="22"/>
                <w:lang w:val="uk-UA"/>
              </w:rPr>
              <w:t xml:space="preserve">Кількість населених пунктів, </w:t>
            </w:r>
            <w:r w:rsidRPr="001916D0">
              <w:rPr>
                <w:bCs/>
                <w:sz w:val="22"/>
                <w:szCs w:val="22"/>
                <w:lang w:val="uk-UA"/>
              </w:rPr>
              <w:t>як</w:t>
            </w:r>
            <w:r w:rsidR="00C450C4" w:rsidRPr="001916D0">
              <w:rPr>
                <w:bCs/>
                <w:sz w:val="22"/>
                <w:szCs w:val="22"/>
                <w:lang w:val="uk-UA"/>
              </w:rPr>
              <w:t>і</w:t>
            </w:r>
            <w:r w:rsidRPr="001916D0">
              <w:rPr>
                <w:sz w:val="22"/>
                <w:lang w:val="uk-UA"/>
              </w:rPr>
              <w:t xml:space="preserve"> обслуговує підприємство</w:t>
            </w:r>
          </w:p>
        </w:tc>
        <w:tc>
          <w:tcPr>
            <w:tcW w:w="1757" w:type="dxa"/>
            <w:gridSpan w:val="2"/>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858" w:type="dxa"/>
            <w:gridSpan w:val="2"/>
            <w:tcBorders>
              <w:top w:val="single" w:sz="4" w:space="0" w:color="auto"/>
              <w:left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r w:rsidRPr="001916D0">
              <w:rPr>
                <w:sz w:val="22"/>
                <w:lang w:val="uk-UA"/>
              </w:rPr>
              <w:t>11</w:t>
            </w:r>
          </w:p>
          <w:p w:rsidR="00E95FB1" w:rsidRPr="001916D0" w:rsidRDefault="00E95FB1" w:rsidP="001B3967">
            <w:pPr>
              <w:pStyle w:val="a7"/>
              <w:ind w:left="0"/>
              <w:jc w:val="center"/>
              <w:rPr>
                <w:sz w:val="22"/>
                <w:lang w:val="uk-UA"/>
              </w:rPr>
            </w:pPr>
          </w:p>
        </w:tc>
      </w:tr>
      <w:tr w:rsidR="00E95FB1" w:rsidRPr="001916D0" w:rsidTr="001B3967">
        <w:trPr>
          <w:trHeight w:val="150"/>
        </w:trPr>
        <w:tc>
          <w:tcPr>
            <w:tcW w:w="3108" w:type="dxa"/>
            <w:shd w:val="clear" w:color="auto" w:fill="C6D9F1" w:themeFill="text2" w:themeFillTint="33"/>
          </w:tcPr>
          <w:p w:rsidR="00E95FB1" w:rsidRPr="001916D0" w:rsidRDefault="00E95FB1" w:rsidP="001B3967">
            <w:pPr>
              <w:pStyle w:val="a7"/>
              <w:ind w:left="0"/>
              <w:rPr>
                <w:b/>
                <w:sz w:val="22"/>
                <w:lang w:val="uk-UA"/>
              </w:rPr>
            </w:pPr>
          </w:p>
        </w:tc>
        <w:tc>
          <w:tcPr>
            <w:tcW w:w="3378"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Будівництво очисних споруд</w:t>
            </w:r>
          </w:p>
        </w:tc>
        <w:tc>
          <w:tcPr>
            <w:tcW w:w="1757" w:type="dxa"/>
            <w:gridSpan w:val="2"/>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858" w:type="dxa"/>
            <w:gridSpan w:val="2"/>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rPr>
          <w:trHeight w:val="3022"/>
        </w:trPr>
        <w:tc>
          <w:tcPr>
            <w:tcW w:w="3108" w:type="dxa"/>
            <w:shd w:val="clear" w:color="auto" w:fill="C6D9F1" w:themeFill="text2" w:themeFillTint="33"/>
          </w:tcPr>
          <w:p w:rsidR="00E95FB1" w:rsidRPr="001916D0" w:rsidRDefault="00E95FB1" w:rsidP="001B3967">
            <w:pPr>
              <w:rPr>
                <w:b/>
                <w:sz w:val="22"/>
                <w:lang w:val="uk-UA"/>
              </w:rPr>
            </w:pPr>
            <w:r w:rsidRPr="001916D0">
              <w:rPr>
                <w:b/>
                <w:sz w:val="22"/>
                <w:lang w:val="uk-UA"/>
              </w:rPr>
              <w:t xml:space="preserve">Ключові заходи проекту: </w:t>
            </w:r>
          </w:p>
          <w:p w:rsidR="00E95FB1" w:rsidRPr="001916D0" w:rsidRDefault="00E95FB1" w:rsidP="001B3967">
            <w:pPr>
              <w:pStyle w:val="a7"/>
              <w:ind w:left="0"/>
              <w:rPr>
                <w:b/>
                <w:sz w:val="22"/>
                <w:lang w:val="uk-UA"/>
              </w:rPr>
            </w:pPr>
          </w:p>
        </w:tc>
        <w:tc>
          <w:tcPr>
            <w:tcW w:w="6993" w:type="dxa"/>
            <w:gridSpan w:val="7"/>
          </w:tcPr>
          <w:p w:rsidR="00E95FB1" w:rsidRPr="001916D0" w:rsidRDefault="00E95FB1" w:rsidP="001B3967">
            <w:pPr>
              <w:rPr>
                <w:sz w:val="22"/>
                <w:lang w:val="uk-UA"/>
              </w:rPr>
            </w:pPr>
            <w:r w:rsidRPr="001916D0">
              <w:rPr>
                <w:sz w:val="22"/>
                <w:lang w:val="uk-UA"/>
              </w:rPr>
              <w:t>- визначення території для будівництва;</w:t>
            </w:r>
          </w:p>
          <w:p w:rsidR="00E95FB1" w:rsidRPr="001916D0" w:rsidRDefault="00E95FB1" w:rsidP="001B3967">
            <w:pPr>
              <w:pStyle w:val="a7"/>
              <w:ind w:left="0"/>
              <w:rPr>
                <w:sz w:val="22"/>
                <w:lang w:val="uk-UA"/>
              </w:rPr>
            </w:pPr>
            <w:r w:rsidRPr="001916D0">
              <w:rPr>
                <w:sz w:val="22"/>
                <w:lang w:val="uk-UA"/>
              </w:rPr>
              <w:t xml:space="preserve">- розробка </w:t>
            </w:r>
            <w:proofErr w:type="spellStart"/>
            <w:r w:rsidRPr="001916D0">
              <w:rPr>
                <w:sz w:val="22"/>
                <w:lang w:val="uk-UA"/>
              </w:rPr>
              <w:t>проєктно</w:t>
            </w:r>
            <w:proofErr w:type="spellEnd"/>
            <w:r w:rsidRPr="001916D0">
              <w:rPr>
                <w:sz w:val="22"/>
                <w:lang w:val="uk-UA"/>
              </w:rPr>
              <w:t>-кошторисної документації;</w:t>
            </w:r>
          </w:p>
          <w:p w:rsidR="00E95FB1" w:rsidRPr="001916D0" w:rsidRDefault="00E95FB1" w:rsidP="001B3967">
            <w:pPr>
              <w:pStyle w:val="a7"/>
              <w:ind w:left="0"/>
              <w:rPr>
                <w:sz w:val="22"/>
                <w:lang w:val="uk-UA"/>
              </w:rPr>
            </w:pPr>
            <w:r w:rsidRPr="001916D0">
              <w:rPr>
                <w:sz w:val="22"/>
                <w:lang w:val="uk-UA"/>
              </w:rPr>
              <w:t>- отримання ліцензій та дозволів на провадження діяльності з очищення стоків;</w:t>
            </w:r>
          </w:p>
          <w:p w:rsidR="00E95FB1" w:rsidRPr="001916D0" w:rsidRDefault="00E95FB1" w:rsidP="001B3967">
            <w:pPr>
              <w:pStyle w:val="a7"/>
              <w:ind w:left="0"/>
              <w:rPr>
                <w:sz w:val="22"/>
                <w:lang w:val="uk-UA"/>
              </w:rPr>
            </w:pPr>
            <w:r w:rsidRPr="001916D0">
              <w:rPr>
                <w:sz w:val="22"/>
                <w:lang w:val="uk-UA"/>
              </w:rPr>
              <w:t>- будівництво комплексу очисних споруд з виробництвом біогазу з осаду;</w:t>
            </w:r>
          </w:p>
          <w:p w:rsidR="00E95FB1" w:rsidRPr="001916D0" w:rsidRDefault="00E95FB1" w:rsidP="001B3967">
            <w:pPr>
              <w:pStyle w:val="a7"/>
              <w:ind w:left="0"/>
              <w:rPr>
                <w:sz w:val="22"/>
                <w:lang w:val="uk-UA"/>
              </w:rPr>
            </w:pPr>
            <w:r w:rsidRPr="001916D0">
              <w:rPr>
                <w:sz w:val="22"/>
                <w:lang w:val="uk-UA"/>
              </w:rPr>
              <w:t xml:space="preserve"> - придбання технічного забезпечення підприємства;</w:t>
            </w:r>
          </w:p>
          <w:p w:rsidR="00E95FB1" w:rsidRPr="001916D0" w:rsidRDefault="00E95FB1" w:rsidP="001B3967">
            <w:pPr>
              <w:pStyle w:val="a7"/>
              <w:ind w:left="0"/>
              <w:rPr>
                <w:sz w:val="22"/>
                <w:lang w:val="uk-UA"/>
              </w:rPr>
            </w:pPr>
            <w:r w:rsidRPr="001916D0">
              <w:rPr>
                <w:sz w:val="22"/>
                <w:lang w:val="uk-UA"/>
              </w:rPr>
              <w:t xml:space="preserve"> - придбання технологічного забезпечення;</w:t>
            </w:r>
          </w:p>
          <w:p w:rsidR="00E95FB1" w:rsidRPr="001916D0" w:rsidRDefault="00E95FB1" w:rsidP="001B3967">
            <w:pPr>
              <w:pStyle w:val="a7"/>
              <w:ind w:left="0"/>
              <w:rPr>
                <w:sz w:val="22"/>
                <w:lang w:val="uk-UA"/>
              </w:rPr>
            </w:pPr>
            <w:r w:rsidRPr="001916D0">
              <w:rPr>
                <w:sz w:val="22"/>
                <w:lang w:val="uk-UA"/>
              </w:rPr>
              <w:t xml:space="preserve"> - визначення кількості осіб, які потребують отримання послуг  централізованого водовідведення; </w:t>
            </w:r>
          </w:p>
          <w:p w:rsidR="00E95FB1" w:rsidRPr="001916D0" w:rsidRDefault="00E95FB1" w:rsidP="001B3967">
            <w:pPr>
              <w:pStyle w:val="a7"/>
              <w:ind w:left="0"/>
              <w:rPr>
                <w:sz w:val="22"/>
                <w:lang w:val="uk-UA"/>
              </w:rPr>
            </w:pPr>
            <w:r w:rsidRPr="001916D0">
              <w:rPr>
                <w:sz w:val="22"/>
                <w:lang w:val="uk-UA"/>
              </w:rPr>
              <w:t xml:space="preserve">  - організація та початок робочого процесу.</w:t>
            </w:r>
          </w:p>
        </w:tc>
      </w:tr>
      <w:tr w:rsidR="00E95FB1" w:rsidRPr="001916D0" w:rsidTr="001B3967">
        <w:trPr>
          <w:trHeight w:val="359"/>
        </w:trPr>
        <w:tc>
          <w:tcPr>
            <w:tcW w:w="3108"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Орієнтовний обсяг та джерела фінансування, тис. грн. </w:t>
            </w:r>
          </w:p>
          <w:p w:rsidR="00E95FB1" w:rsidRPr="001916D0" w:rsidRDefault="00E95FB1" w:rsidP="001B3967">
            <w:pPr>
              <w:pStyle w:val="a7"/>
              <w:ind w:left="0"/>
              <w:rPr>
                <w:b/>
                <w:sz w:val="22"/>
                <w:lang w:val="uk-UA"/>
              </w:rPr>
            </w:pPr>
          </w:p>
        </w:tc>
        <w:tc>
          <w:tcPr>
            <w:tcW w:w="1977"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Державний бюджет</w:t>
            </w:r>
          </w:p>
        </w:tc>
        <w:tc>
          <w:tcPr>
            <w:tcW w:w="1266"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Місцевий бюджет</w:t>
            </w:r>
          </w:p>
        </w:tc>
        <w:tc>
          <w:tcPr>
            <w:tcW w:w="2567" w:type="dxa"/>
            <w:gridSpan w:val="4"/>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Інші джерела</w:t>
            </w:r>
          </w:p>
        </w:tc>
        <w:tc>
          <w:tcPr>
            <w:tcW w:w="1183" w:type="dxa"/>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Всього</w:t>
            </w:r>
          </w:p>
        </w:tc>
      </w:tr>
      <w:tr w:rsidR="00E95FB1" w:rsidRPr="001916D0" w:rsidTr="001B3967">
        <w:trPr>
          <w:trHeight w:val="224"/>
        </w:trPr>
        <w:tc>
          <w:tcPr>
            <w:tcW w:w="3108" w:type="dxa"/>
            <w:vMerge/>
            <w:shd w:val="clear" w:color="auto" w:fill="C6D9F1" w:themeFill="text2" w:themeFillTint="33"/>
          </w:tcPr>
          <w:p w:rsidR="00E95FB1" w:rsidRPr="001916D0" w:rsidRDefault="00E95FB1" w:rsidP="001B3967">
            <w:pPr>
              <w:pStyle w:val="a7"/>
              <w:ind w:left="0"/>
              <w:rPr>
                <w:b/>
                <w:sz w:val="22"/>
                <w:lang w:val="uk-UA"/>
              </w:rPr>
            </w:pPr>
          </w:p>
        </w:tc>
        <w:tc>
          <w:tcPr>
            <w:tcW w:w="1977" w:type="dxa"/>
            <w:vMerge w:val="restart"/>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560 000,0</w:t>
            </w:r>
          </w:p>
        </w:tc>
        <w:tc>
          <w:tcPr>
            <w:tcW w:w="1266" w:type="dxa"/>
            <w:vMerge w:val="restart"/>
            <w:tcBorders>
              <w:top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w:t>
            </w:r>
          </w:p>
        </w:tc>
        <w:tc>
          <w:tcPr>
            <w:tcW w:w="1216"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Обсяг</w:t>
            </w:r>
          </w:p>
        </w:tc>
        <w:tc>
          <w:tcPr>
            <w:tcW w:w="1351"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Назва джерела</w:t>
            </w:r>
          </w:p>
        </w:tc>
        <w:tc>
          <w:tcPr>
            <w:tcW w:w="1183" w:type="dxa"/>
            <w:vMerge w:val="restart"/>
            <w:tcBorders>
              <w:top w:val="single" w:sz="4" w:space="0" w:color="auto"/>
              <w:left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p>
          <w:p w:rsidR="00E95FB1" w:rsidRPr="001916D0" w:rsidRDefault="00E95FB1" w:rsidP="001B3967">
            <w:pPr>
              <w:pStyle w:val="a7"/>
              <w:ind w:left="0"/>
              <w:rPr>
                <w:sz w:val="22"/>
                <w:lang w:val="uk-UA"/>
              </w:rPr>
            </w:pPr>
            <w:r w:rsidRPr="001916D0">
              <w:rPr>
                <w:sz w:val="22"/>
                <w:lang w:val="uk-UA"/>
              </w:rPr>
              <w:t>800 000,0</w:t>
            </w:r>
          </w:p>
        </w:tc>
      </w:tr>
      <w:tr w:rsidR="00E95FB1" w:rsidRPr="001916D0" w:rsidTr="001B3967">
        <w:trPr>
          <w:trHeight w:val="299"/>
        </w:trPr>
        <w:tc>
          <w:tcPr>
            <w:tcW w:w="3108" w:type="dxa"/>
            <w:vMerge/>
            <w:shd w:val="clear" w:color="auto" w:fill="C6D9F1" w:themeFill="text2" w:themeFillTint="33"/>
          </w:tcPr>
          <w:p w:rsidR="00E95FB1" w:rsidRPr="001916D0" w:rsidRDefault="00E95FB1" w:rsidP="001B3967">
            <w:pPr>
              <w:pStyle w:val="a7"/>
              <w:ind w:left="0"/>
              <w:rPr>
                <w:b/>
                <w:sz w:val="22"/>
                <w:lang w:val="uk-UA"/>
              </w:rPr>
            </w:pPr>
          </w:p>
        </w:tc>
        <w:tc>
          <w:tcPr>
            <w:tcW w:w="1977" w:type="dxa"/>
            <w:vMerge/>
            <w:tcBorders>
              <w:right w:val="single" w:sz="4" w:space="0" w:color="auto"/>
            </w:tcBorders>
          </w:tcPr>
          <w:p w:rsidR="00E95FB1" w:rsidRPr="001916D0" w:rsidRDefault="00E95FB1" w:rsidP="001B3967">
            <w:pPr>
              <w:pStyle w:val="a7"/>
              <w:ind w:left="0"/>
              <w:jc w:val="center"/>
              <w:rPr>
                <w:sz w:val="22"/>
                <w:lang w:val="uk-UA"/>
              </w:rPr>
            </w:pPr>
          </w:p>
        </w:tc>
        <w:tc>
          <w:tcPr>
            <w:tcW w:w="1266" w:type="dxa"/>
            <w:vMerge/>
            <w:tcBorders>
              <w:right w:val="single" w:sz="4" w:space="0" w:color="auto"/>
            </w:tcBorders>
          </w:tcPr>
          <w:p w:rsidR="00E95FB1" w:rsidRPr="001916D0" w:rsidRDefault="00E95FB1" w:rsidP="001B3967">
            <w:pPr>
              <w:pStyle w:val="a7"/>
              <w:ind w:left="0"/>
              <w:jc w:val="center"/>
              <w:rPr>
                <w:b/>
                <w:sz w:val="22"/>
                <w:lang w:val="uk-UA"/>
              </w:rPr>
            </w:pPr>
          </w:p>
        </w:tc>
        <w:tc>
          <w:tcPr>
            <w:tcW w:w="1216"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sz w:val="22"/>
                <w:lang w:val="uk-UA"/>
              </w:rPr>
              <w:t>240 000,0</w:t>
            </w:r>
          </w:p>
        </w:tc>
        <w:tc>
          <w:tcPr>
            <w:tcW w:w="1351"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proofErr w:type="spellStart"/>
            <w:r w:rsidRPr="001916D0">
              <w:rPr>
                <w:sz w:val="22"/>
                <w:lang w:val="uk-UA"/>
              </w:rPr>
              <w:t>Міжна-родні</w:t>
            </w:r>
            <w:proofErr w:type="spellEnd"/>
            <w:r w:rsidRPr="001916D0">
              <w:rPr>
                <w:sz w:val="22"/>
                <w:lang w:val="uk-UA"/>
              </w:rPr>
              <w:t xml:space="preserve"> інвестиції, кошти приватних осіб</w:t>
            </w:r>
          </w:p>
        </w:tc>
        <w:tc>
          <w:tcPr>
            <w:tcW w:w="1183" w:type="dxa"/>
            <w:vMerge/>
            <w:tcBorders>
              <w:left w:val="single" w:sz="4" w:space="0" w:color="auto"/>
            </w:tcBorders>
          </w:tcPr>
          <w:p w:rsidR="00E95FB1" w:rsidRPr="001916D0" w:rsidRDefault="00E95FB1" w:rsidP="001B3967">
            <w:pPr>
              <w:pStyle w:val="a7"/>
              <w:ind w:left="0"/>
              <w:jc w:val="center"/>
              <w:rPr>
                <w:sz w:val="22"/>
                <w:lang w:val="uk-UA"/>
              </w:rPr>
            </w:pPr>
          </w:p>
        </w:tc>
      </w:tr>
    </w:tbl>
    <w:p w:rsidR="00E95FB1" w:rsidRPr="001916D0" w:rsidRDefault="00E95FB1" w:rsidP="00E95FB1">
      <w:pPr>
        <w:rPr>
          <w:sz w:val="22"/>
        </w:rPr>
      </w:pPr>
    </w:p>
    <w:p w:rsidR="00E95FB1" w:rsidRPr="001916D0" w:rsidRDefault="00E95FB1" w:rsidP="00E95FB1">
      <w:pPr>
        <w:rPr>
          <w:sz w:val="22"/>
        </w:rPr>
      </w:pPr>
    </w:p>
    <w:p w:rsidR="00E95FB1" w:rsidRPr="001916D0" w:rsidRDefault="00E95FB1" w:rsidP="00E95FB1">
      <w:pPr>
        <w:rPr>
          <w:sz w:val="22"/>
        </w:rPr>
      </w:pPr>
    </w:p>
    <w:p w:rsidR="00E95FB1" w:rsidRPr="001916D0" w:rsidRDefault="00E95FB1" w:rsidP="00E95FB1">
      <w:pPr>
        <w:rPr>
          <w:sz w:val="22"/>
        </w:rPr>
      </w:pPr>
    </w:p>
    <w:tbl>
      <w:tblPr>
        <w:tblStyle w:val="af"/>
        <w:tblW w:w="0" w:type="auto"/>
        <w:tblInd w:w="-176" w:type="dxa"/>
        <w:tblLook w:val="04A0" w:firstRow="1" w:lastRow="0" w:firstColumn="1" w:lastColumn="0" w:noHBand="0" w:noVBand="1"/>
      </w:tblPr>
      <w:tblGrid>
        <w:gridCol w:w="2967"/>
        <w:gridCol w:w="1599"/>
        <w:gridCol w:w="1265"/>
        <w:gridCol w:w="355"/>
        <w:gridCol w:w="675"/>
        <w:gridCol w:w="1026"/>
        <w:gridCol w:w="418"/>
        <w:gridCol w:w="1357"/>
      </w:tblGrid>
      <w:tr w:rsidR="00E95FB1" w:rsidRPr="001916D0" w:rsidTr="001B3967">
        <w:tc>
          <w:tcPr>
            <w:tcW w:w="311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Оперативна ціль/завдання</w:t>
            </w:r>
          </w:p>
        </w:tc>
        <w:tc>
          <w:tcPr>
            <w:tcW w:w="6769" w:type="dxa"/>
            <w:gridSpan w:val="7"/>
            <w:shd w:val="clear" w:color="auto" w:fill="auto"/>
          </w:tcPr>
          <w:p w:rsidR="00E95FB1" w:rsidRPr="001916D0" w:rsidRDefault="00E95FB1" w:rsidP="001B3967">
            <w:pPr>
              <w:pStyle w:val="a7"/>
              <w:ind w:left="0"/>
              <w:rPr>
                <w:sz w:val="22"/>
                <w:lang w:val="uk-UA"/>
              </w:rPr>
            </w:pPr>
            <w:r w:rsidRPr="001916D0">
              <w:rPr>
                <w:rFonts w:eastAsia="Arial"/>
                <w:sz w:val="22"/>
                <w:lang w:val="uk-UA"/>
              </w:rPr>
              <w:t>Комфорт життя ЛЮДИНИ як безпека, екологічна сталість та розумна енергетика. Екологічна сталість через знання та партнерства</w:t>
            </w:r>
            <w:r w:rsidRPr="001916D0">
              <w:rPr>
                <w:sz w:val="22"/>
                <w:lang w:val="uk-UA"/>
              </w:rPr>
              <w:t xml:space="preserve"> </w:t>
            </w:r>
          </w:p>
        </w:tc>
      </w:tr>
      <w:tr w:rsidR="00E95FB1" w:rsidRPr="001916D0" w:rsidTr="001B3967">
        <w:tc>
          <w:tcPr>
            <w:tcW w:w="311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Назва проекту:</w:t>
            </w:r>
          </w:p>
        </w:tc>
        <w:tc>
          <w:tcPr>
            <w:tcW w:w="6769" w:type="dxa"/>
            <w:gridSpan w:val="7"/>
          </w:tcPr>
          <w:p w:rsidR="00E95FB1" w:rsidRPr="001916D0" w:rsidRDefault="00E95FB1" w:rsidP="001B3967">
            <w:pPr>
              <w:pStyle w:val="a7"/>
              <w:ind w:left="0"/>
              <w:rPr>
                <w:sz w:val="22"/>
                <w:lang w:val="uk-UA"/>
              </w:rPr>
            </w:pPr>
            <w:r w:rsidRPr="001916D0">
              <w:rPr>
                <w:sz w:val="22"/>
                <w:lang w:val="uk-UA"/>
              </w:rPr>
              <w:t xml:space="preserve">Відновлення системи централізованого водовідведення КП «СЄВЄРОДОНЕЦЬКВОДОКАНАЛ» </w:t>
            </w:r>
          </w:p>
        </w:tc>
      </w:tr>
      <w:tr w:rsidR="00E95FB1" w:rsidRPr="001916D0" w:rsidTr="001B3967">
        <w:tc>
          <w:tcPr>
            <w:tcW w:w="3119" w:type="dxa"/>
            <w:shd w:val="clear" w:color="auto" w:fill="C6D9F1" w:themeFill="text2" w:themeFillTint="33"/>
          </w:tcPr>
          <w:p w:rsidR="00E95FB1" w:rsidRPr="001916D0" w:rsidRDefault="00E95FB1" w:rsidP="001B3967">
            <w:pPr>
              <w:rPr>
                <w:b/>
                <w:sz w:val="22"/>
                <w:lang w:val="uk-UA"/>
              </w:rPr>
            </w:pPr>
            <w:r w:rsidRPr="001916D0">
              <w:rPr>
                <w:b/>
                <w:sz w:val="22"/>
                <w:lang w:val="uk-UA"/>
              </w:rPr>
              <w:t>Ціль проекту</w:t>
            </w:r>
          </w:p>
        </w:tc>
        <w:tc>
          <w:tcPr>
            <w:tcW w:w="6769" w:type="dxa"/>
            <w:gridSpan w:val="7"/>
          </w:tcPr>
          <w:p w:rsidR="00E95FB1" w:rsidRPr="001916D0" w:rsidRDefault="00E95FB1" w:rsidP="00D71E46">
            <w:pPr>
              <w:pStyle w:val="a7"/>
              <w:ind w:left="0"/>
              <w:rPr>
                <w:sz w:val="22"/>
                <w:lang w:val="uk-UA"/>
              </w:rPr>
            </w:pPr>
            <w:r w:rsidRPr="001916D0">
              <w:rPr>
                <w:sz w:val="22"/>
                <w:lang w:val="uk-UA"/>
              </w:rPr>
              <w:t>Відновити та покращити роботу комунального підприємства «СЄВЄРОДОНЕЦЬКВОДОКАНАЛ» для надання широкого спектру послуг, пов’язаних із централізованим водовідведенням, задоволення потреб мешканців Сєвєродонецької міської територіальної громади у необхідних послугах централізованого водовідведення та сталого розвитку громади.</w:t>
            </w:r>
          </w:p>
        </w:tc>
      </w:tr>
      <w:tr w:rsidR="00E95FB1" w:rsidRPr="001916D0" w:rsidTr="001B3967">
        <w:tc>
          <w:tcPr>
            <w:tcW w:w="311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Територія, на яку матиме вплив реалізація проекту</w:t>
            </w:r>
          </w:p>
        </w:tc>
        <w:tc>
          <w:tcPr>
            <w:tcW w:w="6769" w:type="dxa"/>
            <w:gridSpan w:val="7"/>
          </w:tcPr>
          <w:p w:rsidR="00E95FB1" w:rsidRPr="001916D0" w:rsidRDefault="00E95FB1" w:rsidP="001B3967">
            <w:pPr>
              <w:pStyle w:val="a7"/>
              <w:ind w:left="0"/>
              <w:rPr>
                <w:sz w:val="22"/>
                <w:lang w:val="uk-UA"/>
              </w:rPr>
            </w:pPr>
            <w:r w:rsidRPr="001916D0">
              <w:rPr>
                <w:sz w:val="22"/>
                <w:lang w:val="uk-UA"/>
              </w:rPr>
              <w:t>Сєвєродонецька міська територіальна громада</w:t>
            </w:r>
          </w:p>
        </w:tc>
      </w:tr>
      <w:tr w:rsidR="00E95FB1" w:rsidRPr="001916D0" w:rsidTr="001B3967">
        <w:tc>
          <w:tcPr>
            <w:tcW w:w="311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Чисельність населення, на яке матиме вплив реалізація проекту</w:t>
            </w:r>
          </w:p>
        </w:tc>
        <w:tc>
          <w:tcPr>
            <w:tcW w:w="6769" w:type="dxa"/>
            <w:gridSpan w:val="7"/>
          </w:tcPr>
          <w:p w:rsidR="00E95FB1" w:rsidRPr="001916D0" w:rsidRDefault="00E95FB1" w:rsidP="001B3967">
            <w:pPr>
              <w:pStyle w:val="a7"/>
              <w:ind w:left="0"/>
              <w:rPr>
                <w:sz w:val="22"/>
                <w:lang w:val="uk-UA"/>
              </w:rPr>
            </w:pPr>
            <w:r w:rsidRPr="001916D0">
              <w:rPr>
                <w:sz w:val="22"/>
                <w:lang w:val="uk-UA"/>
              </w:rPr>
              <w:t xml:space="preserve"> 70 000  осіб</w:t>
            </w:r>
          </w:p>
        </w:tc>
      </w:tr>
      <w:tr w:rsidR="00E95FB1" w:rsidRPr="001916D0" w:rsidTr="001B3967">
        <w:tc>
          <w:tcPr>
            <w:tcW w:w="3119" w:type="dxa"/>
            <w:shd w:val="clear" w:color="auto" w:fill="C6D9F1" w:themeFill="text2" w:themeFillTint="33"/>
          </w:tcPr>
          <w:p w:rsidR="00E95FB1" w:rsidRPr="001916D0" w:rsidRDefault="00E95FB1" w:rsidP="001B3967">
            <w:pPr>
              <w:rPr>
                <w:b/>
                <w:sz w:val="22"/>
                <w:lang w:val="uk-UA"/>
              </w:rPr>
            </w:pPr>
            <w:r w:rsidRPr="001916D0">
              <w:rPr>
                <w:b/>
                <w:sz w:val="22"/>
                <w:lang w:val="uk-UA"/>
              </w:rPr>
              <w:t>Опис проблеми, на вирішення якої  спрямований проект</w:t>
            </w:r>
          </w:p>
        </w:tc>
        <w:tc>
          <w:tcPr>
            <w:tcW w:w="6769" w:type="dxa"/>
            <w:gridSpan w:val="7"/>
          </w:tcPr>
          <w:p w:rsidR="00E95FB1" w:rsidRPr="001916D0" w:rsidRDefault="00E95FB1" w:rsidP="001B3967">
            <w:pPr>
              <w:ind w:firstLine="708"/>
              <w:rPr>
                <w:sz w:val="22"/>
                <w:lang w:val="uk-UA"/>
              </w:rPr>
            </w:pPr>
            <w:r w:rsidRPr="001916D0">
              <w:rPr>
                <w:sz w:val="22"/>
                <w:lang w:val="uk-UA"/>
              </w:rPr>
              <w:t>Через військову агресію РФ територія Сєвєродонецької міської територіальної громади зазнала значних пошкоджень, включаючи систему централізованого водовідведення                            КП «СЄВЄРОДОНЕЦЬКВОДОКАНАЛ».</w:t>
            </w:r>
          </w:p>
          <w:p w:rsidR="00E95FB1" w:rsidRPr="001916D0" w:rsidRDefault="00E95FB1" w:rsidP="001B3967">
            <w:pPr>
              <w:pStyle w:val="13"/>
              <w:jc w:val="both"/>
              <w:rPr>
                <w:sz w:val="22"/>
                <w:lang w:val="uk-UA"/>
              </w:rPr>
            </w:pPr>
            <w:r w:rsidRPr="001916D0">
              <w:rPr>
                <w:rFonts w:eastAsia="Arial"/>
                <w:sz w:val="22"/>
                <w:lang w:val="uk-UA"/>
              </w:rPr>
              <w:t xml:space="preserve">            Для відбудови та сталого розвитку громади потрібне відновлення роботи каналізаційних насосних станцій. Мешканці громади потребують в отриманні якісних  послуг централізованого </w:t>
            </w:r>
            <w:r w:rsidRPr="001916D0">
              <w:rPr>
                <w:rFonts w:eastAsia="Arial"/>
                <w:sz w:val="22"/>
                <w:lang w:val="uk-UA"/>
              </w:rPr>
              <w:lastRenderedPageBreak/>
              <w:t xml:space="preserve">водовідведення, які відповідають нормам сучасності, а також </w:t>
            </w:r>
            <w:r w:rsidRPr="001916D0">
              <w:rPr>
                <w:sz w:val="22"/>
                <w:lang w:val="uk-UA"/>
              </w:rPr>
              <w:t>підвищення екологічної безпеки та охорони навколишнього середовища.</w:t>
            </w:r>
          </w:p>
        </w:tc>
      </w:tr>
      <w:tr w:rsidR="00E95FB1" w:rsidRPr="001916D0" w:rsidTr="001B3967">
        <w:tc>
          <w:tcPr>
            <w:tcW w:w="311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lastRenderedPageBreak/>
              <w:t>Очікувані якісні результати від реалізації проекту</w:t>
            </w:r>
          </w:p>
        </w:tc>
        <w:tc>
          <w:tcPr>
            <w:tcW w:w="6769" w:type="dxa"/>
            <w:gridSpan w:val="7"/>
          </w:tcPr>
          <w:p w:rsidR="00E95FB1" w:rsidRPr="001916D0" w:rsidRDefault="00E95FB1" w:rsidP="001B3967">
            <w:pPr>
              <w:pStyle w:val="a7"/>
              <w:ind w:left="0"/>
              <w:rPr>
                <w:sz w:val="22"/>
                <w:lang w:val="uk-UA"/>
              </w:rPr>
            </w:pPr>
            <w:r w:rsidRPr="001916D0">
              <w:rPr>
                <w:sz w:val="22"/>
                <w:lang w:val="uk-UA"/>
              </w:rPr>
              <w:t>- забезпечення населення можливостями для реалізації його конституційних прав, пов’язаних із правом користування природними водними ресурсами</w:t>
            </w:r>
            <w:r w:rsidR="00D71E46" w:rsidRPr="001916D0">
              <w:rPr>
                <w:bCs/>
                <w:sz w:val="22"/>
                <w:szCs w:val="22"/>
                <w:lang w:val="uk-UA"/>
              </w:rPr>
              <w:t xml:space="preserve"> </w:t>
            </w:r>
            <w:r w:rsidRPr="001916D0">
              <w:rPr>
                <w:sz w:val="22"/>
                <w:lang w:val="uk-UA"/>
              </w:rPr>
              <w:t>(ст.13 Конституції України);</w:t>
            </w:r>
          </w:p>
          <w:p w:rsidR="00E95FB1" w:rsidRPr="001916D0" w:rsidRDefault="00E95FB1" w:rsidP="001B3967">
            <w:pPr>
              <w:pStyle w:val="a7"/>
              <w:ind w:left="0"/>
              <w:rPr>
                <w:sz w:val="22"/>
                <w:lang w:val="uk-UA"/>
              </w:rPr>
            </w:pPr>
            <w:r w:rsidRPr="001916D0">
              <w:rPr>
                <w:sz w:val="22"/>
                <w:lang w:val="uk-UA"/>
              </w:rPr>
              <w:t>- надання широкого спектру послуг, пов’язаних із централізованим водовідведенням;</w:t>
            </w:r>
          </w:p>
          <w:p w:rsidR="00E95FB1" w:rsidRPr="001916D0" w:rsidRDefault="00E95FB1" w:rsidP="001B3967">
            <w:pPr>
              <w:pStyle w:val="a7"/>
              <w:ind w:left="0"/>
              <w:rPr>
                <w:sz w:val="22"/>
                <w:lang w:val="uk-UA"/>
              </w:rPr>
            </w:pPr>
            <w:r w:rsidRPr="001916D0">
              <w:rPr>
                <w:sz w:val="22"/>
                <w:lang w:val="uk-UA"/>
              </w:rPr>
              <w:t>- вирішення ряду питань в межах статутної діяльності, пов’язаних із відбудовою та сталим розвитком громади;</w:t>
            </w:r>
          </w:p>
          <w:p w:rsidR="00E95FB1" w:rsidRPr="001916D0" w:rsidRDefault="00E95FB1" w:rsidP="001B3967">
            <w:pPr>
              <w:pStyle w:val="a7"/>
              <w:ind w:left="0"/>
              <w:rPr>
                <w:sz w:val="22"/>
                <w:lang w:val="uk-UA"/>
              </w:rPr>
            </w:pPr>
            <w:r w:rsidRPr="001916D0">
              <w:rPr>
                <w:sz w:val="22"/>
                <w:lang w:val="uk-UA"/>
              </w:rPr>
              <w:t>- створення нових робочих місць;</w:t>
            </w:r>
          </w:p>
          <w:p w:rsidR="00E95FB1" w:rsidRPr="001916D0" w:rsidRDefault="00E95FB1" w:rsidP="001B3967">
            <w:pPr>
              <w:pStyle w:val="a7"/>
              <w:ind w:left="0"/>
              <w:rPr>
                <w:sz w:val="22"/>
                <w:lang w:val="uk-UA"/>
              </w:rPr>
            </w:pPr>
            <w:r w:rsidRPr="001916D0">
              <w:rPr>
                <w:sz w:val="22"/>
                <w:lang w:val="uk-UA"/>
              </w:rPr>
              <w:t>- стимул до повернення ВПО до громади;</w:t>
            </w:r>
          </w:p>
        </w:tc>
      </w:tr>
      <w:tr w:rsidR="00E95FB1" w:rsidRPr="001916D0" w:rsidTr="001B3967">
        <w:trPr>
          <w:trHeight w:val="390"/>
        </w:trPr>
        <w:tc>
          <w:tcPr>
            <w:tcW w:w="3119"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Очікувані кількісні результати реалізації </w:t>
            </w:r>
            <w:proofErr w:type="spellStart"/>
            <w:r w:rsidRPr="001916D0">
              <w:rPr>
                <w:b/>
                <w:sz w:val="22"/>
                <w:lang w:val="uk-UA"/>
              </w:rPr>
              <w:t>проєкту</w:t>
            </w:r>
            <w:proofErr w:type="spellEnd"/>
            <w:r w:rsidRPr="001916D0">
              <w:rPr>
                <w:b/>
                <w:sz w:val="22"/>
                <w:lang w:val="uk-UA"/>
              </w:rPr>
              <w:t xml:space="preserve"> (індикатори)</w:t>
            </w:r>
          </w:p>
          <w:p w:rsidR="00E95FB1" w:rsidRPr="001916D0" w:rsidRDefault="00E95FB1" w:rsidP="001B3967">
            <w:pPr>
              <w:pStyle w:val="a7"/>
              <w:ind w:left="0"/>
              <w:rPr>
                <w:b/>
                <w:sz w:val="22"/>
                <w:lang w:val="uk-UA"/>
              </w:rPr>
            </w:pPr>
          </w:p>
        </w:tc>
        <w:tc>
          <w:tcPr>
            <w:tcW w:w="3261" w:type="dxa"/>
            <w:gridSpan w:val="3"/>
            <w:tcBorders>
              <w:bottom w:val="single" w:sz="4" w:space="0" w:color="auto"/>
              <w:right w:val="single" w:sz="4" w:space="0" w:color="auto"/>
            </w:tcBorders>
          </w:tcPr>
          <w:p w:rsidR="00E95FB1" w:rsidRPr="001916D0" w:rsidRDefault="00E95FB1" w:rsidP="001B3967">
            <w:pPr>
              <w:pStyle w:val="a7"/>
              <w:ind w:left="-108"/>
              <w:jc w:val="center"/>
              <w:rPr>
                <w:b/>
                <w:sz w:val="22"/>
                <w:lang w:val="uk-UA"/>
              </w:rPr>
            </w:pPr>
            <w:r w:rsidRPr="001916D0">
              <w:rPr>
                <w:b/>
                <w:sz w:val="22"/>
                <w:lang w:val="uk-UA"/>
              </w:rPr>
              <w:t>Найменування показника</w:t>
            </w:r>
          </w:p>
        </w:tc>
        <w:tc>
          <w:tcPr>
            <w:tcW w:w="1701" w:type="dxa"/>
            <w:gridSpan w:val="2"/>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Одиниця вимірювання</w:t>
            </w:r>
          </w:p>
          <w:p w:rsidR="00E95FB1" w:rsidRPr="001916D0" w:rsidRDefault="00E95FB1" w:rsidP="001B3967">
            <w:pPr>
              <w:pStyle w:val="a7"/>
              <w:ind w:left="0"/>
              <w:rPr>
                <w:b/>
                <w:sz w:val="22"/>
                <w:lang w:val="uk-UA"/>
              </w:rPr>
            </w:pPr>
          </w:p>
        </w:tc>
        <w:tc>
          <w:tcPr>
            <w:tcW w:w="1807" w:type="dxa"/>
            <w:gridSpan w:val="2"/>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Прогнозне (цільове) значення</w:t>
            </w:r>
          </w:p>
        </w:tc>
      </w:tr>
      <w:tr w:rsidR="00E95FB1" w:rsidRPr="001916D0" w:rsidTr="001B3967">
        <w:trPr>
          <w:trHeight w:val="390"/>
        </w:trPr>
        <w:tc>
          <w:tcPr>
            <w:tcW w:w="3119" w:type="dxa"/>
            <w:vMerge/>
            <w:shd w:val="clear" w:color="auto" w:fill="C6D9F1" w:themeFill="text2" w:themeFillTint="33"/>
          </w:tcPr>
          <w:p w:rsidR="00E95FB1" w:rsidRPr="001916D0" w:rsidRDefault="00E95FB1" w:rsidP="001B3967">
            <w:pPr>
              <w:pStyle w:val="a7"/>
              <w:ind w:left="0"/>
              <w:rPr>
                <w:b/>
                <w:sz w:val="22"/>
                <w:lang w:val="uk-UA"/>
              </w:rPr>
            </w:pPr>
          </w:p>
        </w:tc>
        <w:tc>
          <w:tcPr>
            <w:tcW w:w="3261" w:type="dxa"/>
            <w:gridSpan w:val="3"/>
            <w:tcBorders>
              <w:bottom w:val="single" w:sz="4" w:space="0" w:color="auto"/>
              <w:right w:val="single" w:sz="4" w:space="0" w:color="auto"/>
            </w:tcBorders>
            <w:vAlign w:val="center"/>
          </w:tcPr>
          <w:p w:rsidR="00E95FB1" w:rsidRPr="001916D0" w:rsidRDefault="00E95FB1" w:rsidP="001B3967">
            <w:pPr>
              <w:pStyle w:val="a7"/>
              <w:ind w:left="-108"/>
              <w:jc w:val="center"/>
              <w:rPr>
                <w:sz w:val="22"/>
                <w:lang w:val="uk-UA"/>
              </w:rPr>
            </w:pPr>
            <w:r w:rsidRPr="001916D0">
              <w:rPr>
                <w:sz w:val="22"/>
                <w:lang w:val="uk-UA"/>
              </w:rPr>
              <w:t>Система централізованого водовідведення</w:t>
            </w:r>
          </w:p>
        </w:tc>
        <w:tc>
          <w:tcPr>
            <w:tcW w:w="1701" w:type="dxa"/>
            <w:gridSpan w:val="2"/>
            <w:tcBorders>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807" w:type="dxa"/>
            <w:gridSpan w:val="2"/>
            <w:tcBorders>
              <w:left w:val="single" w:sz="4" w:space="0" w:color="auto"/>
              <w:bottom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rPr>
          <w:trHeight w:val="585"/>
        </w:trPr>
        <w:tc>
          <w:tcPr>
            <w:tcW w:w="3119" w:type="dxa"/>
            <w:vMerge/>
            <w:shd w:val="clear" w:color="auto" w:fill="C6D9F1" w:themeFill="text2" w:themeFillTint="33"/>
          </w:tcPr>
          <w:p w:rsidR="00E95FB1" w:rsidRPr="001916D0" w:rsidRDefault="00E95FB1" w:rsidP="001B3967">
            <w:pPr>
              <w:pStyle w:val="a7"/>
              <w:ind w:left="0"/>
              <w:rPr>
                <w:b/>
                <w:sz w:val="22"/>
                <w:lang w:val="uk-UA"/>
              </w:rPr>
            </w:pPr>
          </w:p>
        </w:tc>
        <w:tc>
          <w:tcPr>
            <w:tcW w:w="3261" w:type="dxa"/>
            <w:gridSpan w:val="3"/>
            <w:tcBorders>
              <w:top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Кількість фізичних та юридичних осіб, які звернулись за послугами протягом  року</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осіб</w:t>
            </w:r>
          </w:p>
        </w:tc>
        <w:tc>
          <w:tcPr>
            <w:tcW w:w="1807" w:type="dxa"/>
            <w:gridSpan w:val="2"/>
            <w:tcBorders>
              <w:top w:val="single" w:sz="4" w:space="0" w:color="auto"/>
              <w:left w:val="single" w:sz="4" w:space="0" w:color="auto"/>
              <w:bottom w:val="single" w:sz="4" w:space="0" w:color="auto"/>
            </w:tcBorders>
            <w:vAlign w:val="center"/>
          </w:tcPr>
          <w:p w:rsidR="00E95FB1" w:rsidRPr="001916D0" w:rsidRDefault="00E95FB1" w:rsidP="001B3967">
            <w:pPr>
              <w:pStyle w:val="a7"/>
              <w:ind w:left="0"/>
              <w:jc w:val="center"/>
              <w:rPr>
                <w:b/>
                <w:sz w:val="22"/>
                <w:lang w:val="uk-UA"/>
              </w:rPr>
            </w:pPr>
            <w:r w:rsidRPr="001916D0">
              <w:rPr>
                <w:sz w:val="22"/>
                <w:lang w:val="uk-UA"/>
              </w:rPr>
              <w:t>70 000,0</w:t>
            </w:r>
          </w:p>
        </w:tc>
      </w:tr>
      <w:tr w:rsidR="00E95FB1" w:rsidRPr="001916D0" w:rsidTr="001B3967">
        <w:trPr>
          <w:trHeight w:val="184"/>
        </w:trPr>
        <w:tc>
          <w:tcPr>
            <w:tcW w:w="3119" w:type="dxa"/>
            <w:vMerge/>
            <w:shd w:val="clear" w:color="auto" w:fill="C6D9F1" w:themeFill="text2" w:themeFillTint="33"/>
          </w:tcPr>
          <w:p w:rsidR="00E95FB1" w:rsidRPr="001916D0" w:rsidRDefault="00E95FB1" w:rsidP="001B3967">
            <w:pPr>
              <w:pStyle w:val="a7"/>
              <w:ind w:left="0"/>
              <w:rPr>
                <w:b/>
                <w:sz w:val="22"/>
                <w:lang w:val="uk-UA"/>
              </w:rPr>
            </w:pPr>
          </w:p>
        </w:tc>
        <w:tc>
          <w:tcPr>
            <w:tcW w:w="3261" w:type="dxa"/>
            <w:gridSpan w:val="3"/>
            <w:tcBorders>
              <w:top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Кількість видів та типів послуг</w:t>
            </w:r>
            <w:r w:rsidR="00D71E46" w:rsidRPr="001916D0">
              <w:rPr>
                <w:bCs/>
                <w:sz w:val="22"/>
                <w:szCs w:val="22"/>
                <w:lang w:val="uk-UA"/>
              </w:rPr>
              <w:t>,</w:t>
            </w:r>
            <w:r w:rsidRPr="001916D0">
              <w:rPr>
                <w:sz w:val="22"/>
                <w:lang w:val="uk-UA"/>
              </w:rPr>
              <w:t xml:space="preserve"> наданих протягом одно робочого дня</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807" w:type="dxa"/>
            <w:gridSpan w:val="2"/>
            <w:tcBorders>
              <w:top w:val="single" w:sz="4" w:space="0" w:color="auto"/>
              <w:left w:val="single" w:sz="4" w:space="0" w:color="auto"/>
              <w:bottom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8</w:t>
            </w:r>
          </w:p>
          <w:p w:rsidR="00E95FB1" w:rsidRPr="001916D0" w:rsidRDefault="00E95FB1" w:rsidP="001B3967">
            <w:pPr>
              <w:pStyle w:val="a7"/>
              <w:ind w:left="0"/>
              <w:jc w:val="center"/>
              <w:rPr>
                <w:sz w:val="22"/>
                <w:highlight w:val="yellow"/>
                <w:lang w:val="uk-UA"/>
              </w:rPr>
            </w:pPr>
          </w:p>
        </w:tc>
      </w:tr>
      <w:tr w:rsidR="00E95FB1" w:rsidRPr="001916D0" w:rsidTr="001B3967">
        <w:trPr>
          <w:trHeight w:val="165"/>
        </w:trPr>
        <w:tc>
          <w:tcPr>
            <w:tcW w:w="3119" w:type="dxa"/>
            <w:vMerge/>
            <w:shd w:val="clear" w:color="auto" w:fill="C6D9F1" w:themeFill="text2" w:themeFillTint="33"/>
          </w:tcPr>
          <w:p w:rsidR="00E95FB1" w:rsidRPr="001916D0" w:rsidRDefault="00E95FB1" w:rsidP="001B3967">
            <w:pPr>
              <w:pStyle w:val="a7"/>
              <w:ind w:left="0"/>
              <w:rPr>
                <w:b/>
                <w:sz w:val="22"/>
                <w:lang w:val="uk-UA"/>
              </w:rPr>
            </w:pPr>
          </w:p>
        </w:tc>
        <w:tc>
          <w:tcPr>
            <w:tcW w:w="3261" w:type="dxa"/>
            <w:gridSpan w:val="3"/>
            <w:tcBorders>
              <w:top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Середня вартість послуг</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грн</w:t>
            </w:r>
          </w:p>
        </w:tc>
        <w:tc>
          <w:tcPr>
            <w:tcW w:w="1807" w:type="dxa"/>
            <w:gridSpan w:val="2"/>
            <w:tcBorders>
              <w:top w:val="single" w:sz="4" w:space="0" w:color="auto"/>
              <w:left w:val="single" w:sz="4" w:space="0" w:color="auto"/>
              <w:bottom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8,64</w:t>
            </w:r>
          </w:p>
        </w:tc>
      </w:tr>
      <w:tr w:rsidR="00E95FB1" w:rsidRPr="001916D0" w:rsidTr="001B3967">
        <w:trPr>
          <w:trHeight w:val="150"/>
        </w:trPr>
        <w:tc>
          <w:tcPr>
            <w:tcW w:w="3119" w:type="dxa"/>
            <w:vMerge/>
            <w:shd w:val="clear" w:color="auto" w:fill="C6D9F1" w:themeFill="text2" w:themeFillTint="33"/>
          </w:tcPr>
          <w:p w:rsidR="00E95FB1" w:rsidRPr="001916D0" w:rsidRDefault="00E95FB1" w:rsidP="001B3967">
            <w:pPr>
              <w:pStyle w:val="a7"/>
              <w:ind w:left="0"/>
              <w:rPr>
                <w:b/>
                <w:sz w:val="22"/>
                <w:lang w:val="uk-UA"/>
              </w:rPr>
            </w:pPr>
          </w:p>
        </w:tc>
        <w:tc>
          <w:tcPr>
            <w:tcW w:w="3261" w:type="dxa"/>
            <w:gridSpan w:val="3"/>
            <w:tcBorders>
              <w:top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Термін надання послуги</w:t>
            </w:r>
          </w:p>
        </w:tc>
        <w:tc>
          <w:tcPr>
            <w:tcW w:w="1701" w:type="dxa"/>
            <w:gridSpan w:val="2"/>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день</w:t>
            </w:r>
          </w:p>
        </w:tc>
        <w:tc>
          <w:tcPr>
            <w:tcW w:w="1807" w:type="dxa"/>
            <w:gridSpan w:val="2"/>
            <w:tcBorders>
              <w:top w:val="single" w:sz="4" w:space="0" w:color="auto"/>
              <w:left w:val="single" w:sz="4" w:space="0" w:color="auto"/>
            </w:tcBorders>
            <w:vAlign w:val="center"/>
          </w:tcPr>
          <w:p w:rsidR="00E95FB1" w:rsidRPr="001916D0" w:rsidRDefault="00E95FB1" w:rsidP="001B3967">
            <w:pPr>
              <w:pStyle w:val="a7"/>
              <w:spacing w:line="276" w:lineRule="auto"/>
              <w:ind w:left="0"/>
              <w:jc w:val="center"/>
              <w:rPr>
                <w:sz w:val="22"/>
                <w:lang w:val="uk-UA"/>
              </w:rPr>
            </w:pPr>
            <w:r w:rsidRPr="001916D0">
              <w:rPr>
                <w:sz w:val="22"/>
                <w:lang w:val="uk-UA"/>
              </w:rPr>
              <w:t>цілодобово</w:t>
            </w:r>
          </w:p>
        </w:tc>
      </w:tr>
      <w:tr w:rsidR="00E95FB1" w:rsidRPr="001916D0" w:rsidTr="001B3967">
        <w:trPr>
          <w:trHeight w:val="150"/>
        </w:trPr>
        <w:tc>
          <w:tcPr>
            <w:tcW w:w="3119" w:type="dxa"/>
            <w:shd w:val="clear" w:color="auto" w:fill="C6D9F1" w:themeFill="text2" w:themeFillTint="33"/>
          </w:tcPr>
          <w:p w:rsidR="00E95FB1" w:rsidRPr="001916D0" w:rsidRDefault="00E95FB1" w:rsidP="001B3967">
            <w:pPr>
              <w:pStyle w:val="a7"/>
              <w:ind w:left="0"/>
              <w:rPr>
                <w:b/>
                <w:sz w:val="22"/>
                <w:lang w:val="uk-UA"/>
              </w:rPr>
            </w:pPr>
          </w:p>
        </w:tc>
        <w:tc>
          <w:tcPr>
            <w:tcW w:w="3261" w:type="dxa"/>
            <w:gridSpan w:val="3"/>
            <w:tcBorders>
              <w:top w:val="single" w:sz="4" w:space="0" w:color="auto"/>
              <w:right w:val="single" w:sz="4" w:space="0" w:color="auto"/>
            </w:tcBorders>
            <w:vAlign w:val="center"/>
          </w:tcPr>
          <w:p w:rsidR="00E95FB1" w:rsidRPr="001916D0" w:rsidRDefault="00E95FB1" w:rsidP="00D71E46">
            <w:pPr>
              <w:pStyle w:val="a7"/>
              <w:ind w:left="0"/>
              <w:jc w:val="center"/>
              <w:rPr>
                <w:sz w:val="22"/>
                <w:lang w:val="uk-UA"/>
              </w:rPr>
            </w:pPr>
            <w:r w:rsidRPr="001916D0">
              <w:rPr>
                <w:sz w:val="22"/>
                <w:lang w:val="uk-UA"/>
              </w:rPr>
              <w:t xml:space="preserve">Кількість населених пунктів, </w:t>
            </w:r>
            <w:r w:rsidRPr="001916D0">
              <w:rPr>
                <w:bCs/>
                <w:sz w:val="22"/>
                <w:szCs w:val="22"/>
                <w:lang w:val="uk-UA"/>
              </w:rPr>
              <w:t>як</w:t>
            </w:r>
            <w:r w:rsidR="00D71E46" w:rsidRPr="001916D0">
              <w:rPr>
                <w:bCs/>
                <w:sz w:val="22"/>
                <w:szCs w:val="22"/>
                <w:lang w:val="uk-UA"/>
              </w:rPr>
              <w:t>і</w:t>
            </w:r>
            <w:r w:rsidRPr="001916D0">
              <w:rPr>
                <w:sz w:val="22"/>
                <w:lang w:val="uk-UA"/>
              </w:rPr>
              <w:t xml:space="preserve"> обслуговує підприємство</w:t>
            </w:r>
          </w:p>
        </w:tc>
        <w:tc>
          <w:tcPr>
            <w:tcW w:w="1701" w:type="dxa"/>
            <w:gridSpan w:val="2"/>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807" w:type="dxa"/>
            <w:gridSpan w:val="2"/>
            <w:tcBorders>
              <w:top w:val="single" w:sz="4" w:space="0" w:color="auto"/>
              <w:lef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11</w:t>
            </w:r>
          </w:p>
        </w:tc>
      </w:tr>
      <w:tr w:rsidR="00E95FB1" w:rsidRPr="001916D0" w:rsidTr="001B3967">
        <w:tc>
          <w:tcPr>
            <w:tcW w:w="3119" w:type="dxa"/>
            <w:shd w:val="clear" w:color="auto" w:fill="C6D9F1" w:themeFill="text2" w:themeFillTint="33"/>
          </w:tcPr>
          <w:p w:rsidR="00E95FB1" w:rsidRPr="001916D0" w:rsidRDefault="00E95FB1" w:rsidP="001B3967">
            <w:pPr>
              <w:rPr>
                <w:b/>
                <w:sz w:val="22"/>
                <w:lang w:val="uk-UA"/>
              </w:rPr>
            </w:pPr>
            <w:r w:rsidRPr="001916D0">
              <w:rPr>
                <w:b/>
                <w:sz w:val="22"/>
                <w:lang w:val="uk-UA"/>
              </w:rPr>
              <w:t xml:space="preserve">Ключові заходи проекту: </w:t>
            </w:r>
          </w:p>
          <w:p w:rsidR="00E95FB1" w:rsidRPr="001916D0" w:rsidRDefault="00E95FB1" w:rsidP="001B3967">
            <w:pPr>
              <w:pStyle w:val="a7"/>
              <w:ind w:left="0"/>
              <w:rPr>
                <w:b/>
                <w:sz w:val="22"/>
                <w:lang w:val="uk-UA"/>
              </w:rPr>
            </w:pPr>
          </w:p>
        </w:tc>
        <w:tc>
          <w:tcPr>
            <w:tcW w:w="6769" w:type="dxa"/>
            <w:gridSpan w:val="7"/>
          </w:tcPr>
          <w:p w:rsidR="00E95FB1" w:rsidRPr="001916D0" w:rsidRDefault="00E95FB1" w:rsidP="001B3967">
            <w:pPr>
              <w:pStyle w:val="a7"/>
              <w:ind w:left="0"/>
              <w:rPr>
                <w:sz w:val="22"/>
                <w:lang w:val="uk-UA"/>
              </w:rPr>
            </w:pPr>
            <w:r w:rsidRPr="001916D0">
              <w:rPr>
                <w:sz w:val="22"/>
                <w:lang w:val="uk-UA"/>
              </w:rPr>
              <w:t>- обстеження стану будівлі каналізаційних станцій;</w:t>
            </w:r>
          </w:p>
          <w:p w:rsidR="00E95FB1" w:rsidRPr="001916D0" w:rsidRDefault="00E95FB1" w:rsidP="001B3967">
            <w:pPr>
              <w:pStyle w:val="a7"/>
              <w:ind w:left="0"/>
              <w:rPr>
                <w:sz w:val="22"/>
                <w:lang w:val="uk-UA"/>
              </w:rPr>
            </w:pPr>
            <w:r w:rsidRPr="001916D0">
              <w:rPr>
                <w:sz w:val="22"/>
                <w:lang w:val="uk-UA"/>
              </w:rPr>
              <w:t>- проведення інвентаризації основних засобів;</w:t>
            </w:r>
          </w:p>
          <w:p w:rsidR="00E95FB1" w:rsidRPr="001916D0" w:rsidRDefault="00E95FB1" w:rsidP="001B3967">
            <w:pPr>
              <w:pStyle w:val="a7"/>
              <w:ind w:left="0"/>
              <w:rPr>
                <w:sz w:val="22"/>
                <w:lang w:val="uk-UA"/>
              </w:rPr>
            </w:pPr>
            <w:r w:rsidRPr="001916D0">
              <w:rPr>
                <w:sz w:val="22"/>
                <w:lang w:val="uk-UA"/>
              </w:rPr>
              <w:t xml:space="preserve"> - придбання технічного забезпечення підприємства;</w:t>
            </w:r>
          </w:p>
          <w:p w:rsidR="00E95FB1" w:rsidRPr="001916D0" w:rsidRDefault="00E95FB1" w:rsidP="001B3967">
            <w:pPr>
              <w:pStyle w:val="a7"/>
              <w:ind w:left="0"/>
              <w:rPr>
                <w:sz w:val="22"/>
                <w:lang w:val="uk-UA"/>
              </w:rPr>
            </w:pPr>
            <w:r w:rsidRPr="001916D0">
              <w:rPr>
                <w:sz w:val="22"/>
                <w:lang w:val="uk-UA"/>
              </w:rPr>
              <w:t>- придбання технологічного забезпечення;</w:t>
            </w:r>
          </w:p>
          <w:p w:rsidR="00E95FB1" w:rsidRPr="001916D0" w:rsidRDefault="00E95FB1" w:rsidP="001B3967">
            <w:pPr>
              <w:pStyle w:val="a7"/>
              <w:ind w:left="0"/>
              <w:rPr>
                <w:sz w:val="22"/>
                <w:lang w:val="uk-UA"/>
              </w:rPr>
            </w:pPr>
            <w:r w:rsidRPr="001916D0">
              <w:rPr>
                <w:sz w:val="22"/>
                <w:lang w:val="uk-UA"/>
              </w:rPr>
              <w:t xml:space="preserve">- визначення кількості осіб, які потребують отримання послуг </w:t>
            </w:r>
            <w:proofErr w:type="spellStart"/>
            <w:r w:rsidRPr="001916D0">
              <w:rPr>
                <w:sz w:val="22"/>
                <w:lang w:val="uk-UA"/>
              </w:rPr>
              <w:t>центалізованого</w:t>
            </w:r>
            <w:proofErr w:type="spellEnd"/>
            <w:r w:rsidRPr="001916D0">
              <w:rPr>
                <w:sz w:val="22"/>
                <w:lang w:val="uk-UA"/>
              </w:rPr>
              <w:t xml:space="preserve"> водовідведення; </w:t>
            </w:r>
          </w:p>
          <w:p w:rsidR="00E95FB1" w:rsidRPr="001916D0" w:rsidRDefault="00E95FB1" w:rsidP="001B3967">
            <w:pPr>
              <w:pStyle w:val="a7"/>
              <w:ind w:left="0"/>
              <w:rPr>
                <w:sz w:val="22"/>
                <w:lang w:val="uk-UA"/>
              </w:rPr>
            </w:pPr>
            <w:r w:rsidRPr="001916D0">
              <w:rPr>
                <w:sz w:val="22"/>
                <w:lang w:val="uk-UA"/>
              </w:rPr>
              <w:t xml:space="preserve">  - організація та початок робочого процесу.</w:t>
            </w:r>
          </w:p>
        </w:tc>
      </w:tr>
      <w:tr w:rsidR="00E95FB1" w:rsidRPr="001916D0" w:rsidTr="001B3967">
        <w:trPr>
          <w:trHeight w:val="360"/>
        </w:trPr>
        <w:tc>
          <w:tcPr>
            <w:tcW w:w="3119"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Орієнтовний обсяг та джерела фінансування, тис. грн. </w:t>
            </w:r>
          </w:p>
          <w:p w:rsidR="00E95FB1" w:rsidRPr="001916D0" w:rsidRDefault="00E95FB1" w:rsidP="001B3967">
            <w:pPr>
              <w:pStyle w:val="a7"/>
              <w:ind w:left="0"/>
              <w:rPr>
                <w:b/>
                <w:sz w:val="22"/>
                <w:lang w:val="uk-UA"/>
              </w:rPr>
            </w:pPr>
          </w:p>
        </w:tc>
        <w:tc>
          <w:tcPr>
            <w:tcW w:w="1614"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Державний бюджет</w:t>
            </w:r>
          </w:p>
        </w:tc>
        <w:tc>
          <w:tcPr>
            <w:tcW w:w="1267"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Місцевий бюджет</w:t>
            </w:r>
          </w:p>
        </w:tc>
        <w:tc>
          <w:tcPr>
            <w:tcW w:w="2510" w:type="dxa"/>
            <w:gridSpan w:val="4"/>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Інші джерела</w:t>
            </w:r>
          </w:p>
        </w:tc>
        <w:tc>
          <w:tcPr>
            <w:tcW w:w="1378" w:type="dxa"/>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Всього</w:t>
            </w:r>
          </w:p>
        </w:tc>
      </w:tr>
      <w:tr w:rsidR="00E95FB1" w:rsidRPr="001916D0" w:rsidTr="001B3967">
        <w:trPr>
          <w:trHeight w:val="225"/>
        </w:trPr>
        <w:tc>
          <w:tcPr>
            <w:tcW w:w="3119" w:type="dxa"/>
            <w:vMerge/>
            <w:shd w:val="clear" w:color="auto" w:fill="C6D9F1" w:themeFill="text2" w:themeFillTint="33"/>
          </w:tcPr>
          <w:p w:rsidR="00E95FB1" w:rsidRPr="001916D0" w:rsidRDefault="00E95FB1" w:rsidP="001B3967">
            <w:pPr>
              <w:pStyle w:val="a7"/>
              <w:ind w:left="0"/>
              <w:rPr>
                <w:b/>
                <w:sz w:val="22"/>
                <w:lang w:val="uk-UA"/>
              </w:rPr>
            </w:pPr>
          </w:p>
        </w:tc>
        <w:tc>
          <w:tcPr>
            <w:tcW w:w="1614" w:type="dxa"/>
            <w:vMerge w:val="restart"/>
            <w:tcBorders>
              <w:top w:val="single" w:sz="4" w:space="0" w:color="auto"/>
              <w:right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r w:rsidRPr="001916D0">
              <w:rPr>
                <w:sz w:val="22"/>
                <w:lang w:val="uk-UA"/>
              </w:rPr>
              <w:t>7 812,0</w:t>
            </w:r>
          </w:p>
        </w:tc>
        <w:tc>
          <w:tcPr>
            <w:tcW w:w="1267" w:type="dxa"/>
            <w:vMerge w:val="restart"/>
            <w:tcBorders>
              <w:top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w:t>
            </w:r>
          </w:p>
        </w:tc>
        <w:tc>
          <w:tcPr>
            <w:tcW w:w="1055"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Обсяг</w:t>
            </w:r>
          </w:p>
        </w:tc>
        <w:tc>
          <w:tcPr>
            <w:tcW w:w="1455"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Назва джерела</w:t>
            </w:r>
          </w:p>
        </w:tc>
        <w:tc>
          <w:tcPr>
            <w:tcW w:w="1378" w:type="dxa"/>
            <w:vMerge w:val="restart"/>
            <w:tcBorders>
              <w:top w:val="single" w:sz="4" w:space="0" w:color="auto"/>
              <w:left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r w:rsidRPr="001916D0">
              <w:rPr>
                <w:sz w:val="22"/>
                <w:lang w:val="uk-UA"/>
              </w:rPr>
              <w:t>11 160,0</w:t>
            </w:r>
          </w:p>
        </w:tc>
      </w:tr>
      <w:tr w:rsidR="00E95FB1" w:rsidRPr="001916D0" w:rsidTr="001B3967">
        <w:trPr>
          <w:trHeight w:val="300"/>
        </w:trPr>
        <w:tc>
          <w:tcPr>
            <w:tcW w:w="3119" w:type="dxa"/>
            <w:vMerge/>
            <w:shd w:val="clear" w:color="auto" w:fill="C6D9F1" w:themeFill="text2" w:themeFillTint="33"/>
          </w:tcPr>
          <w:p w:rsidR="00E95FB1" w:rsidRPr="001916D0" w:rsidRDefault="00E95FB1" w:rsidP="001B3967">
            <w:pPr>
              <w:pStyle w:val="a7"/>
              <w:ind w:left="0"/>
              <w:rPr>
                <w:b/>
                <w:sz w:val="22"/>
                <w:lang w:val="uk-UA"/>
              </w:rPr>
            </w:pPr>
          </w:p>
        </w:tc>
        <w:tc>
          <w:tcPr>
            <w:tcW w:w="1614" w:type="dxa"/>
            <w:vMerge/>
            <w:tcBorders>
              <w:right w:val="single" w:sz="4" w:space="0" w:color="auto"/>
            </w:tcBorders>
          </w:tcPr>
          <w:p w:rsidR="00E95FB1" w:rsidRPr="001916D0" w:rsidRDefault="00E95FB1" w:rsidP="001B3967">
            <w:pPr>
              <w:pStyle w:val="a7"/>
              <w:ind w:left="0"/>
              <w:jc w:val="center"/>
              <w:rPr>
                <w:sz w:val="22"/>
                <w:lang w:val="uk-UA"/>
              </w:rPr>
            </w:pPr>
          </w:p>
        </w:tc>
        <w:tc>
          <w:tcPr>
            <w:tcW w:w="1267" w:type="dxa"/>
            <w:vMerge/>
            <w:tcBorders>
              <w:right w:val="single" w:sz="4" w:space="0" w:color="auto"/>
            </w:tcBorders>
          </w:tcPr>
          <w:p w:rsidR="00E95FB1" w:rsidRPr="001916D0" w:rsidRDefault="00E95FB1" w:rsidP="001B3967">
            <w:pPr>
              <w:pStyle w:val="a7"/>
              <w:ind w:left="0"/>
              <w:jc w:val="center"/>
              <w:rPr>
                <w:b/>
                <w:sz w:val="22"/>
                <w:lang w:val="uk-UA"/>
              </w:rPr>
            </w:pPr>
          </w:p>
        </w:tc>
        <w:tc>
          <w:tcPr>
            <w:tcW w:w="1055"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sz w:val="22"/>
                <w:lang w:val="uk-UA"/>
              </w:rPr>
              <w:t>3 348,0</w:t>
            </w:r>
          </w:p>
        </w:tc>
        <w:tc>
          <w:tcPr>
            <w:tcW w:w="1455"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Міжнародні інвестиції, кошти приватних осіб</w:t>
            </w:r>
          </w:p>
        </w:tc>
        <w:tc>
          <w:tcPr>
            <w:tcW w:w="1378" w:type="dxa"/>
            <w:vMerge/>
            <w:tcBorders>
              <w:left w:val="single" w:sz="4" w:space="0" w:color="auto"/>
            </w:tcBorders>
          </w:tcPr>
          <w:p w:rsidR="00E95FB1" w:rsidRPr="001916D0" w:rsidRDefault="00E95FB1" w:rsidP="001B3967">
            <w:pPr>
              <w:pStyle w:val="a7"/>
              <w:ind w:left="0"/>
              <w:jc w:val="center"/>
              <w:rPr>
                <w:sz w:val="22"/>
                <w:lang w:val="uk-UA"/>
              </w:rPr>
            </w:pPr>
          </w:p>
        </w:tc>
      </w:tr>
    </w:tbl>
    <w:p w:rsidR="00E95FB1" w:rsidRPr="001916D0" w:rsidRDefault="00E95FB1" w:rsidP="00E95FB1">
      <w:pPr>
        <w:rPr>
          <w:sz w:val="22"/>
        </w:rPr>
      </w:pPr>
    </w:p>
    <w:p w:rsidR="00E95FB1" w:rsidRPr="001916D0" w:rsidRDefault="00E95FB1" w:rsidP="00E95FB1">
      <w:pPr>
        <w:rPr>
          <w:sz w:val="22"/>
        </w:rPr>
      </w:pPr>
    </w:p>
    <w:p w:rsidR="00E95FB1" w:rsidRPr="001916D0" w:rsidRDefault="00E95FB1" w:rsidP="00E95FB1">
      <w:pPr>
        <w:rPr>
          <w:sz w:val="22"/>
        </w:rPr>
      </w:pPr>
    </w:p>
    <w:p w:rsidR="00E95FB1" w:rsidRPr="001916D0" w:rsidRDefault="00E95FB1" w:rsidP="00E95FB1">
      <w:pPr>
        <w:rPr>
          <w:sz w:val="22"/>
        </w:rPr>
      </w:pPr>
    </w:p>
    <w:tbl>
      <w:tblPr>
        <w:tblStyle w:val="af"/>
        <w:tblW w:w="0" w:type="auto"/>
        <w:tblInd w:w="-176" w:type="dxa"/>
        <w:tblLook w:val="04A0" w:firstRow="1" w:lastRow="0" w:firstColumn="1" w:lastColumn="0" w:noHBand="0" w:noVBand="1"/>
      </w:tblPr>
      <w:tblGrid>
        <w:gridCol w:w="3002"/>
        <w:gridCol w:w="1479"/>
        <w:gridCol w:w="1265"/>
        <w:gridCol w:w="141"/>
        <w:gridCol w:w="995"/>
        <w:gridCol w:w="692"/>
        <w:gridCol w:w="751"/>
        <w:gridCol w:w="1337"/>
      </w:tblGrid>
      <w:tr w:rsidR="00E95FB1" w:rsidRPr="001916D0" w:rsidTr="001B3967">
        <w:tc>
          <w:tcPr>
            <w:tcW w:w="3172"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Оперативна ціль/завдання</w:t>
            </w:r>
          </w:p>
        </w:tc>
        <w:tc>
          <w:tcPr>
            <w:tcW w:w="6716" w:type="dxa"/>
            <w:gridSpan w:val="7"/>
            <w:shd w:val="clear" w:color="auto" w:fill="auto"/>
          </w:tcPr>
          <w:p w:rsidR="00E95FB1" w:rsidRPr="001916D0" w:rsidRDefault="00E95FB1" w:rsidP="001B3967">
            <w:pPr>
              <w:pStyle w:val="a7"/>
              <w:ind w:left="0"/>
              <w:rPr>
                <w:sz w:val="22"/>
                <w:lang w:val="uk-UA"/>
              </w:rPr>
            </w:pPr>
            <w:r w:rsidRPr="001916D0">
              <w:rPr>
                <w:rFonts w:eastAsia="Arial"/>
                <w:sz w:val="22"/>
                <w:lang w:val="uk-UA"/>
              </w:rPr>
              <w:t>Комфорт життя ЛЮДИНИ як безпека, екологічна сталість та розумна енергетика. Екологічна сталість через знання та партнерства</w:t>
            </w:r>
            <w:r w:rsidRPr="001916D0">
              <w:rPr>
                <w:sz w:val="22"/>
                <w:lang w:val="uk-UA"/>
              </w:rPr>
              <w:t xml:space="preserve"> </w:t>
            </w:r>
          </w:p>
        </w:tc>
      </w:tr>
      <w:tr w:rsidR="00E95FB1" w:rsidRPr="001916D0" w:rsidTr="001B3967">
        <w:tc>
          <w:tcPr>
            <w:tcW w:w="3172"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Назва проекту:</w:t>
            </w:r>
          </w:p>
        </w:tc>
        <w:tc>
          <w:tcPr>
            <w:tcW w:w="6716" w:type="dxa"/>
            <w:gridSpan w:val="7"/>
          </w:tcPr>
          <w:p w:rsidR="00E95FB1" w:rsidRPr="001916D0" w:rsidRDefault="00E95FB1" w:rsidP="001B3967">
            <w:pPr>
              <w:pStyle w:val="a7"/>
              <w:ind w:left="0"/>
              <w:rPr>
                <w:sz w:val="22"/>
                <w:lang w:val="uk-UA"/>
              </w:rPr>
            </w:pPr>
            <w:r w:rsidRPr="001916D0">
              <w:rPr>
                <w:sz w:val="22"/>
                <w:lang w:val="uk-UA"/>
              </w:rPr>
              <w:t xml:space="preserve">Забезпечення загального обліку споживання комунальної послуги  КП «СЄВЄРОДОНЕЦЬКВОДОКАНАЛ» </w:t>
            </w:r>
          </w:p>
        </w:tc>
      </w:tr>
      <w:tr w:rsidR="00E95FB1" w:rsidRPr="001916D0" w:rsidTr="001B3967">
        <w:tc>
          <w:tcPr>
            <w:tcW w:w="3172" w:type="dxa"/>
            <w:shd w:val="clear" w:color="auto" w:fill="C6D9F1" w:themeFill="text2" w:themeFillTint="33"/>
          </w:tcPr>
          <w:p w:rsidR="00E95FB1" w:rsidRPr="001916D0" w:rsidRDefault="00E95FB1" w:rsidP="001B3967">
            <w:pPr>
              <w:rPr>
                <w:b/>
                <w:sz w:val="22"/>
                <w:lang w:val="uk-UA"/>
              </w:rPr>
            </w:pPr>
            <w:r w:rsidRPr="001916D0">
              <w:rPr>
                <w:b/>
                <w:sz w:val="22"/>
                <w:lang w:val="uk-UA"/>
              </w:rPr>
              <w:t>Ціль проекту</w:t>
            </w:r>
          </w:p>
        </w:tc>
        <w:tc>
          <w:tcPr>
            <w:tcW w:w="6716" w:type="dxa"/>
            <w:gridSpan w:val="7"/>
          </w:tcPr>
          <w:p w:rsidR="00E95FB1" w:rsidRPr="001916D0" w:rsidRDefault="00E95FB1" w:rsidP="001B3967">
            <w:pPr>
              <w:pStyle w:val="a7"/>
              <w:ind w:left="0"/>
              <w:rPr>
                <w:sz w:val="22"/>
                <w:lang w:val="uk-UA"/>
              </w:rPr>
            </w:pPr>
            <w:r w:rsidRPr="001916D0">
              <w:rPr>
                <w:sz w:val="22"/>
                <w:lang w:val="uk-UA"/>
              </w:rPr>
              <w:t xml:space="preserve">Відновити та покращити роботу комунального підприємства «СЄВЄРОДОНЕЦЬКВОДОКАНАЛ» для надання широкого спектру послуг, пов’язаних із централізованим водопостачанням та централізованим водовідведенням,  задоволення потреб мешканців </w:t>
            </w:r>
            <w:r w:rsidRPr="001916D0">
              <w:rPr>
                <w:sz w:val="22"/>
                <w:lang w:val="uk-UA"/>
              </w:rPr>
              <w:lastRenderedPageBreak/>
              <w:t>Сєвєродонецької міської територіальної громади у необхідних послугах централізованого водопостачання, централізованого водовідведення та сталого розвитку громади.</w:t>
            </w:r>
          </w:p>
        </w:tc>
      </w:tr>
      <w:tr w:rsidR="00E95FB1" w:rsidRPr="001916D0" w:rsidTr="001B3967">
        <w:tc>
          <w:tcPr>
            <w:tcW w:w="3172"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lastRenderedPageBreak/>
              <w:t>Територія, на яку матиме вплив реалізація проекту</w:t>
            </w:r>
          </w:p>
        </w:tc>
        <w:tc>
          <w:tcPr>
            <w:tcW w:w="6716" w:type="dxa"/>
            <w:gridSpan w:val="7"/>
          </w:tcPr>
          <w:p w:rsidR="00E95FB1" w:rsidRPr="001916D0" w:rsidRDefault="00E95FB1" w:rsidP="001B3967">
            <w:pPr>
              <w:pStyle w:val="a7"/>
              <w:ind w:left="0"/>
              <w:rPr>
                <w:sz w:val="22"/>
                <w:lang w:val="uk-UA"/>
              </w:rPr>
            </w:pPr>
            <w:r w:rsidRPr="001916D0">
              <w:rPr>
                <w:sz w:val="22"/>
                <w:lang w:val="uk-UA"/>
              </w:rPr>
              <w:t>Сєвєродонецька міська територіальна громада</w:t>
            </w:r>
          </w:p>
        </w:tc>
      </w:tr>
      <w:tr w:rsidR="00E95FB1" w:rsidRPr="001916D0" w:rsidTr="001B3967">
        <w:tc>
          <w:tcPr>
            <w:tcW w:w="3172"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Чисельність населення, на яке матиме вплив реалізація проекту</w:t>
            </w:r>
          </w:p>
        </w:tc>
        <w:tc>
          <w:tcPr>
            <w:tcW w:w="6716" w:type="dxa"/>
            <w:gridSpan w:val="7"/>
          </w:tcPr>
          <w:p w:rsidR="00E95FB1" w:rsidRPr="001916D0" w:rsidRDefault="00E95FB1" w:rsidP="001B3967">
            <w:pPr>
              <w:pStyle w:val="a7"/>
              <w:ind w:left="0"/>
              <w:rPr>
                <w:sz w:val="22"/>
                <w:lang w:val="uk-UA"/>
              </w:rPr>
            </w:pPr>
            <w:r w:rsidRPr="001916D0">
              <w:rPr>
                <w:sz w:val="22"/>
                <w:lang w:val="uk-UA"/>
              </w:rPr>
              <w:t xml:space="preserve"> 70 000  осіб</w:t>
            </w:r>
          </w:p>
        </w:tc>
      </w:tr>
      <w:tr w:rsidR="00E95FB1" w:rsidRPr="001916D0" w:rsidTr="001B3967">
        <w:tc>
          <w:tcPr>
            <w:tcW w:w="3172" w:type="dxa"/>
            <w:shd w:val="clear" w:color="auto" w:fill="C6D9F1" w:themeFill="text2" w:themeFillTint="33"/>
          </w:tcPr>
          <w:p w:rsidR="00E95FB1" w:rsidRPr="001916D0" w:rsidRDefault="00E95FB1" w:rsidP="001B3967">
            <w:pPr>
              <w:rPr>
                <w:b/>
                <w:sz w:val="22"/>
                <w:lang w:val="uk-UA"/>
              </w:rPr>
            </w:pPr>
            <w:r w:rsidRPr="001916D0">
              <w:rPr>
                <w:b/>
                <w:sz w:val="22"/>
                <w:lang w:val="uk-UA"/>
              </w:rPr>
              <w:t>Опис проблеми, на вирішення якої  спрямований проект</w:t>
            </w:r>
          </w:p>
        </w:tc>
        <w:tc>
          <w:tcPr>
            <w:tcW w:w="6716" w:type="dxa"/>
            <w:gridSpan w:val="7"/>
          </w:tcPr>
          <w:p w:rsidR="00E95FB1" w:rsidRPr="001916D0" w:rsidRDefault="00E95FB1" w:rsidP="001B3967">
            <w:pPr>
              <w:ind w:firstLine="708"/>
              <w:rPr>
                <w:sz w:val="22"/>
                <w:lang w:val="uk-UA"/>
              </w:rPr>
            </w:pPr>
            <w:r w:rsidRPr="001916D0">
              <w:rPr>
                <w:sz w:val="22"/>
                <w:lang w:val="uk-UA"/>
              </w:rPr>
              <w:t>Через військову агресію РФ територія Сєвєродонецької міської територіальної громади зазнала значних пошкоджень, включаючи і КП «СЄВЄРОДОНЕЦЬКВОДОКАНАЛ».</w:t>
            </w:r>
          </w:p>
          <w:p w:rsidR="00E95FB1" w:rsidRPr="001916D0" w:rsidRDefault="00E95FB1" w:rsidP="001B3967">
            <w:pPr>
              <w:rPr>
                <w:rFonts w:eastAsia="Calibri"/>
                <w:sz w:val="22"/>
                <w:lang w:val="uk-UA"/>
              </w:rPr>
            </w:pPr>
            <w:r w:rsidRPr="001916D0">
              <w:rPr>
                <w:rFonts w:eastAsia="Arial"/>
                <w:sz w:val="22"/>
                <w:lang w:val="uk-UA"/>
              </w:rPr>
              <w:t xml:space="preserve">            Для відбудови та сталого розвитку громади потрібен</w:t>
            </w:r>
            <w:r w:rsidRPr="001916D0">
              <w:rPr>
                <w:rStyle w:val="y2iqfc"/>
                <w:b/>
                <w:color w:val="202124"/>
                <w:sz w:val="22"/>
                <w:lang w:val="uk-UA"/>
              </w:rPr>
              <w:t xml:space="preserve"> </w:t>
            </w:r>
            <w:r w:rsidRPr="001916D0">
              <w:rPr>
                <w:rStyle w:val="y2iqfc"/>
                <w:color w:val="202124"/>
                <w:sz w:val="22"/>
                <w:lang w:val="uk-UA"/>
              </w:rPr>
              <w:t xml:space="preserve">облік води з дистанційним зняттям показників за допомогою технології </w:t>
            </w:r>
            <w:proofErr w:type="spellStart"/>
            <w:r w:rsidRPr="001916D0">
              <w:rPr>
                <w:rStyle w:val="y2iqfc"/>
                <w:color w:val="202124"/>
                <w:sz w:val="22"/>
                <w:lang w:val="uk-UA"/>
              </w:rPr>
              <w:t>LoRaWAN</w:t>
            </w:r>
            <w:proofErr w:type="spellEnd"/>
            <w:r w:rsidRPr="001916D0">
              <w:rPr>
                <w:rStyle w:val="y2iqfc"/>
                <w:color w:val="202124"/>
                <w:sz w:val="22"/>
                <w:lang w:val="uk-UA"/>
              </w:rPr>
              <w:t xml:space="preserve">. </w:t>
            </w:r>
            <w:r w:rsidRPr="001916D0">
              <w:rPr>
                <w:rFonts w:eastAsia="Arial"/>
                <w:sz w:val="22"/>
                <w:lang w:val="uk-UA"/>
              </w:rPr>
              <w:t xml:space="preserve">Мешканці громади потребують в отриманні якісних  послуг централізованого водопостачання та централізованого водовідведення, які відповідають нормам сучасності. </w:t>
            </w:r>
          </w:p>
        </w:tc>
      </w:tr>
      <w:tr w:rsidR="00E95FB1" w:rsidRPr="001916D0" w:rsidTr="001B3967">
        <w:tc>
          <w:tcPr>
            <w:tcW w:w="3172"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якісні результати від реалізації проекту</w:t>
            </w:r>
          </w:p>
        </w:tc>
        <w:tc>
          <w:tcPr>
            <w:tcW w:w="6716" w:type="dxa"/>
            <w:gridSpan w:val="7"/>
          </w:tcPr>
          <w:p w:rsidR="00E95FB1" w:rsidRPr="001916D0" w:rsidRDefault="00E95FB1" w:rsidP="001B3967">
            <w:pPr>
              <w:pStyle w:val="a7"/>
              <w:ind w:left="0"/>
              <w:rPr>
                <w:sz w:val="22"/>
                <w:lang w:val="uk-UA"/>
              </w:rPr>
            </w:pPr>
            <w:r w:rsidRPr="001916D0">
              <w:rPr>
                <w:sz w:val="22"/>
                <w:lang w:val="uk-UA"/>
              </w:rPr>
              <w:t>- забезпечення населення можливостями для реалізації його конституційних прав, пов’язаних із правом користування природними водними ресурсами</w:t>
            </w:r>
            <w:r w:rsidR="00EA2F9B" w:rsidRPr="001916D0">
              <w:rPr>
                <w:bCs/>
                <w:sz w:val="22"/>
                <w:szCs w:val="22"/>
                <w:lang w:val="uk-UA"/>
              </w:rPr>
              <w:t xml:space="preserve"> </w:t>
            </w:r>
            <w:r w:rsidRPr="001916D0">
              <w:rPr>
                <w:sz w:val="22"/>
                <w:lang w:val="uk-UA"/>
              </w:rPr>
              <w:t>(ст.13 Конституції України);</w:t>
            </w:r>
          </w:p>
          <w:p w:rsidR="00E95FB1" w:rsidRPr="001916D0" w:rsidRDefault="00E95FB1" w:rsidP="001B3967">
            <w:pPr>
              <w:pStyle w:val="a7"/>
              <w:ind w:left="0"/>
              <w:rPr>
                <w:sz w:val="22"/>
                <w:lang w:val="uk-UA"/>
              </w:rPr>
            </w:pPr>
            <w:r w:rsidRPr="001916D0">
              <w:rPr>
                <w:sz w:val="22"/>
                <w:lang w:val="uk-UA"/>
              </w:rPr>
              <w:t>- надання широкого спектру послуг, пов’язаних із централізованим водопостачанням та централізованим водовідведенням;</w:t>
            </w:r>
          </w:p>
          <w:p w:rsidR="00E95FB1" w:rsidRPr="001916D0" w:rsidRDefault="00E95FB1" w:rsidP="001B3967">
            <w:pPr>
              <w:pStyle w:val="a7"/>
              <w:ind w:left="0"/>
              <w:rPr>
                <w:sz w:val="22"/>
                <w:lang w:val="uk-UA"/>
              </w:rPr>
            </w:pPr>
            <w:r w:rsidRPr="001916D0">
              <w:rPr>
                <w:sz w:val="22"/>
                <w:lang w:val="uk-UA"/>
              </w:rPr>
              <w:t>- вирішення ряду питань в межах статутної діяльності, пов’язаних із відбудовою та сталим розвитком громади;</w:t>
            </w:r>
          </w:p>
          <w:p w:rsidR="00E95FB1" w:rsidRPr="001916D0" w:rsidRDefault="00E95FB1" w:rsidP="001B3967">
            <w:pPr>
              <w:pStyle w:val="a7"/>
              <w:ind w:left="0"/>
              <w:rPr>
                <w:sz w:val="22"/>
                <w:lang w:val="uk-UA"/>
              </w:rPr>
            </w:pPr>
            <w:r w:rsidRPr="001916D0">
              <w:rPr>
                <w:sz w:val="22"/>
                <w:lang w:val="uk-UA"/>
              </w:rPr>
              <w:t>- створення нових робочих місць;</w:t>
            </w:r>
          </w:p>
          <w:p w:rsidR="00E95FB1" w:rsidRPr="001916D0" w:rsidRDefault="00E95FB1" w:rsidP="001B3967">
            <w:pPr>
              <w:pStyle w:val="a7"/>
              <w:ind w:left="0"/>
              <w:rPr>
                <w:sz w:val="22"/>
                <w:lang w:val="uk-UA"/>
              </w:rPr>
            </w:pPr>
            <w:r w:rsidRPr="001916D0">
              <w:rPr>
                <w:sz w:val="22"/>
                <w:lang w:val="uk-UA"/>
              </w:rPr>
              <w:t>- стимул до повернення ВПО до громади;</w:t>
            </w:r>
          </w:p>
          <w:p w:rsidR="00E95FB1" w:rsidRPr="001916D0" w:rsidRDefault="00E95FB1" w:rsidP="001B3967">
            <w:pPr>
              <w:rPr>
                <w:rFonts w:eastAsia="Calibri"/>
                <w:sz w:val="22"/>
                <w:lang w:val="uk-UA"/>
              </w:rPr>
            </w:pPr>
            <w:r w:rsidRPr="001916D0">
              <w:rPr>
                <w:sz w:val="22"/>
                <w:lang w:val="uk-UA"/>
              </w:rPr>
              <w:t xml:space="preserve">- </w:t>
            </w:r>
            <w:r w:rsidRPr="001916D0">
              <w:rPr>
                <w:rFonts w:eastAsia="Calibri"/>
                <w:sz w:val="22"/>
                <w:lang w:val="uk-UA"/>
              </w:rPr>
              <w:t>виконання вимог Закону України  «Про комерційний облік теплової енергії  та водопостачання».</w:t>
            </w:r>
          </w:p>
          <w:p w:rsidR="00E95FB1" w:rsidRPr="001916D0" w:rsidRDefault="00E95FB1" w:rsidP="001B3967">
            <w:pPr>
              <w:pStyle w:val="a7"/>
              <w:ind w:left="0"/>
              <w:rPr>
                <w:sz w:val="22"/>
                <w:lang w:val="uk-UA"/>
              </w:rPr>
            </w:pPr>
          </w:p>
        </w:tc>
      </w:tr>
      <w:tr w:rsidR="00E95FB1" w:rsidRPr="001916D0" w:rsidTr="001B3967">
        <w:trPr>
          <w:trHeight w:val="390"/>
        </w:trPr>
        <w:tc>
          <w:tcPr>
            <w:tcW w:w="3172" w:type="dxa"/>
            <w:vMerge w:val="restart"/>
            <w:shd w:val="clear" w:color="auto" w:fill="C6D9F1" w:themeFill="text2" w:themeFillTint="33"/>
          </w:tcPr>
          <w:p w:rsidR="00E95FB1" w:rsidRPr="001916D0" w:rsidRDefault="00E95FB1" w:rsidP="001B3967">
            <w:pPr>
              <w:pStyle w:val="a7"/>
              <w:ind w:left="0"/>
              <w:rPr>
                <w:b/>
                <w:sz w:val="22"/>
                <w:lang w:val="uk-UA"/>
              </w:rPr>
            </w:pPr>
          </w:p>
          <w:p w:rsidR="00E95FB1" w:rsidRPr="001916D0" w:rsidRDefault="00E95FB1" w:rsidP="001B3967">
            <w:pPr>
              <w:pStyle w:val="a7"/>
              <w:ind w:left="0"/>
              <w:rPr>
                <w:b/>
                <w:sz w:val="22"/>
                <w:lang w:val="uk-UA"/>
              </w:rPr>
            </w:pPr>
            <w:r w:rsidRPr="001916D0">
              <w:rPr>
                <w:b/>
                <w:sz w:val="22"/>
                <w:lang w:val="uk-UA"/>
              </w:rPr>
              <w:t xml:space="preserve">Очікувані кількісні результати реалізації </w:t>
            </w:r>
            <w:proofErr w:type="spellStart"/>
            <w:r w:rsidRPr="001916D0">
              <w:rPr>
                <w:b/>
                <w:sz w:val="22"/>
                <w:lang w:val="uk-UA"/>
              </w:rPr>
              <w:t>проєкту</w:t>
            </w:r>
            <w:proofErr w:type="spellEnd"/>
            <w:r w:rsidRPr="001916D0">
              <w:rPr>
                <w:b/>
                <w:sz w:val="22"/>
                <w:lang w:val="uk-UA"/>
              </w:rPr>
              <w:t xml:space="preserve"> (індикатори)</w:t>
            </w:r>
          </w:p>
          <w:p w:rsidR="00E95FB1" w:rsidRPr="001916D0" w:rsidRDefault="00E95FB1" w:rsidP="001B3967">
            <w:pPr>
              <w:pStyle w:val="a7"/>
              <w:ind w:left="0"/>
              <w:rPr>
                <w:b/>
                <w:sz w:val="22"/>
                <w:lang w:val="uk-UA"/>
              </w:rPr>
            </w:pPr>
          </w:p>
        </w:tc>
        <w:tc>
          <w:tcPr>
            <w:tcW w:w="2904" w:type="dxa"/>
            <w:gridSpan w:val="3"/>
            <w:tcBorders>
              <w:bottom w:val="single" w:sz="4" w:space="0" w:color="auto"/>
              <w:right w:val="single" w:sz="4" w:space="0" w:color="auto"/>
            </w:tcBorders>
          </w:tcPr>
          <w:p w:rsidR="00E95FB1" w:rsidRPr="001916D0" w:rsidRDefault="00E95FB1" w:rsidP="001B3967">
            <w:pPr>
              <w:pStyle w:val="a7"/>
              <w:ind w:left="-108"/>
              <w:jc w:val="center"/>
              <w:rPr>
                <w:b/>
                <w:sz w:val="22"/>
                <w:lang w:val="uk-UA"/>
              </w:rPr>
            </w:pPr>
          </w:p>
          <w:p w:rsidR="00E95FB1" w:rsidRPr="001916D0" w:rsidRDefault="00E95FB1" w:rsidP="001B3967">
            <w:pPr>
              <w:pStyle w:val="a7"/>
              <w:ind w:left="-108"/>
              <w:jc w:val="center"/>
              <w:rPr>
                <w:b/>
                <w:sz w:val="22"/>
                <w:lang w:val="uk-UA"/>
              </w:rPr>
            </w:pPr>
            <w:r w:rsidRPr="001916D0">
              <w:rPr>
                <w:b/>
                <w:sz w:val="22"/>
                <w:lang w:val="uk-UA"/>
              </w:rPr>
              <w:t>Найменування показника</w:t>
            </w:r>
          </w:p>
        </w:tc>
        <w:tc>
          <w:tcPr>
            <w:tcW w:w="1687" w:type="dxa"/>
            <w:gridSpan w:val="2"/>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p>
          <w:p w:rsidR="00E95FB1" w:rsidRPr="001916D0" w:rsidRDefault="00E95FB1" w:rsidP="001B3967">
            <w:pPr>
              <w:pStyle w:val="a7"/>
              <w:ind w:left="0"/>
              <w:jc w:val="center"/>
              <w:rPr>
                <w:b/>
                <w:sz w:val="22"/>
                <w:lang w:val="uk-UA"/>
              </w:rPr>
            </w:pPr>
            <w:r w:rsidRPr="001916D0">
              <w:rPr>
                <w:b/>
                <w:sz w:val="22"/>
                <w:lang w:val="uk-UA"/>
              </w:rPr>
              <w:t>Одиниця вимірювання</w:t>
            </w:r>
          </w:p>
          <w:p w:rsidR="00E95FB1" w:rsidRPr="001916D0" w:rsidRDefault="00E95FB1" w:rsidP="001B3967">
            <w:pPr>
              <w:pStyle w:val="a7"/>
              <w:ind w:left="0"/>
              <w:rPr>
                <w:b/>
                <w:sz w:val="22"/>
                <w:lang w:val="uk-UA"/>
              </w:rPr>
            </w:pPr>
          </w:p>
        </w:tc>
        <w:tc>
          <w:tcPr>
            <w:tcW w:w="2125" w:type="dxa"/>
            <w:gridSpan w:val="2"/>
            <w:tcBorders>
              <w:left w:val="single" w:sz="4" w:space="0" w:color="auto"/>
              <w:bottom w:val="single" w:sz="4" w:space="0" w:color="auto"/>
            </w:tcBorders>
          </w:tcPr>
          <w:p w:rsidR="00E95FB1" w:rsidRPr="001916D0" w:rsidRDefault="00E95FB1" w:rsidP="001B3967">
            <w:pPr>
              <w:pStyle w:val="a7"/>
              <w:ind w:left="0"/>
              <w:jc w:val="center"/>
              <w:rPr>
                <w:b/>
                <w:sz w:val="22"/>
                <w:lang w:val="uk-UA"/>
              </w:rPr>
            </w:pPr>
          </w:p>
          <w:p w:rsidR="00E95FB1" w:rsidRPr="001916D0" w:rsidRDefault="00E95FB1" w:rsidP="001B3967">
            <w:pPr>
              <w:pStyle w:val="a7"/>
              <w:ind w:left="0"/>
              <w:jc w:val="center"/>
              <w:rPr>
                <w:b/>
                <w:sz w:val="22"/>
                <w:lang w:val="uk-UA"/>
              </w:rPr>
            </w:pPr>
            <w:r w:rsidRPr="001916D0">
              <w:rPr>
                <w:b/>
                <w:sz w:val="22"/>
                <w:lang w:val="uk-UA"/>
              </w:rPr>
              <w:t>Прогнозне (цільове) значення</w:t>
            </w:r>
          </w:p>
        </w:tc>
      </w:tr>
      <w:tr w:rsidR="00E95FB1" w:rsidRPr="001916D0" w:rsidTr="001B3967">
        <w:trPr>
          <w:trHeight w:val="585"/>
        </w:trPr>
        <w:tc>
          <w:tcPr>
            <w:tcW w:w="3172" w:type="dxa"/>
            <w:vMerge/>
            <w:shd w:val="clear" w:color="auto" w:fill="C6D9F1" w:themeFill="text2" w:themeFillTint="33"/>
          </w:tcPr>
          <w:p w:rsidR="00E95FB1" w:rsidRPr="001916D0" w:rsidRDefault="00E95FB1" w:rsidP="001B3967">
            <w:pPr>
              <w:pStyle w:val="a7"/>
              <w:ind w:left="0"/>
              <w:rPr>
                <w:b/>
                <w:sz w:val="22"/>
                <w:lang w:val="uk-UA"/>
              </w:rPr>
            </w:pPr>
          </w:p>
        </w:tc>
        <w:tc>
          <w:tcPr>
            <w:tcW w:w="2904" w:type="dxa"/>
            <w:gridSpan w:val="3"/>
            <w:tcBorders>
              <w:top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Кількість фізичних та юридичних осіб, які звернулись за послугами протягом  року</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осіб</w:t>
            </w:r>
          </w:p>
        </w:tc>
        <w:tc>
          <w:tcPr>
            <w:tcW w:w="2125" w:type="dxa"/>
            <w:gridSpan w:val="2"/>
            <w:tcBorders>
              <w:top w:val="single" w:sz="4" w:space="0" w:color="auto"/>
              <w:left w:val="single" w:sz="4" w:space="0" w:color="auto"/>
              <w:bottom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70 000,0</w:t>
            </w:r>
          </w:p>
        </w:tc>
      </w:tr>
      <w:tr w:rsidR="00E95FB1" w:rsidRPr="001916D0" w:rsidTr="001B3967">
        <w:trPr>
          <w:trHeight w:val="184"/>
        </w:trPr>
        <w:tc>
          <w:tcPr>
            <w:tcW w:w="3172" w:type="dxa"/>
            <w:vMerge/>
            <w:shd w:val="clear" w:color="auto" w:fill="C6D9F1" w:themeFill="text2" w:themeFillTint="33"/>
          </w:tcPr>
          <w:p w:rsidR="00E95FB1" w:rsidRPr="001916D0" w:rsidRDefault="00E95FB1" w:rsidP="001B3967">
            <w:pPr>
              <w:pStyle w:val="a7"/>
              <w:ind w:left="0"/>
              <w:rPr>
                <w:b/>
                <w:sz w:val="22"/>
                <w:lang w:val="uk-UA"/>
              </w:rPr>
            </w:pPr>
          </w:p>
        </w:tc>
        <w:tc>
          <w:tcPr>
            <w:tcW w:w="2904" w:type="dxa"/>
            <w:gridSpan w:val="3"/>
            <w:tcBorders>
              <w:top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Кількість видів та типів послуг</w:t>
            </w:r>
            <w:r w:rsidR="00EA2F9B" w:rsidRPr="001916D0">
              <w:rPr>
                <w:bCs/>
                <w:sz w:val="22"/>
                <w:szCs w:val="22"/>
                <w:lang w:val="uk-UA"/>
              </w:rPr>
              <w:t>,</w:t>
            </w:r>
            <w:r w:rsidRPr="001916D0">
              <w:rPr>
                <w:sz w:val="22"/>
                <w:lang w:val="uk-UA"/>
              </w:rPr>
              <w:t xml:space="preserve"> наданих протягом одно робочого дня</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2125" w:type="dxa"/>
            <w:gridSpan w:val="2"/>
            <w:tcBorders>
              <w:top w:val="single" w:sz="4" w:space="0" w:color="auto"/>
              <w:left w:val="single" w:sz="4" w:space="0" w:color="auto"/>
              <w:bottom w:val="single" w:sz="4" w:space="0" w:color="auto"/>
            </w:tcBorders>
            <w:vAlign w:val="center"/>
          </w:tcPr>
          <w:p w:rsidR="00E95FB1" w:rsidRPr="001916D0" w:rsidRDefault="00E95FB1" w:rsidP="001B3967">
            <w:pPr>
              <w:pStyle w:val="a7"/>
              <w:ind w:left="0"/>
              <w:jc w:val="center"/>
              <w:rPr>
                <w:sz w:val="22"/>
                <w:highlight w:val="yellow"/>
                <w:lang w:val="uk-UA"/>
              </w:rPr>
            </w:pPr>
            <w:r w:rsidRPr="001916D0">
              <w:rPr>
                <w:sz w:val="22"/>
                <w:lang w:val="uk-UA"/>
              </w:rPr>
              <w:t>8</w:t>
            </w:r>
          </w:p>
        </w:tc>
      </w:tr>
      <w:tr w:rsidR="00E95FB1" w:rsidRPr="001916D0" w:rsidTr="001B3967">
        <w:trPr>
          <w:trHeight w:val="165"/>
        </w:trPr>
        <w:tc>
          <w:tcPr>
            <w:tcW w:w="3172" w:type="dxa"/>
            <w:vMerge/>
            <w:shd w:val="clear" w:color="auto" w:fill="C6D9F1" w:themeFill="text2" w:themeFillTint="33"/>
          </w:tcPr>
          <w:p w:rsidR="00E95FB1" w:rsidRPr="001916D0" w:rsidRDefault="00E95FB1" w:rsidP="001B3967">
            <w:pPr>
              <w:pStyle w:val="a7"/>
              <w:ind w:left="0"/>
              <w:rPr>
                <w:b/>
                <w:sz w:val="22"/>
                <w:lang w:val="uk-UA"/>
              </w:rPr>
            </w:pPr>
          </w:p>
        </w:tc>
        <w:tc>
          <w:tcPr>
            <w:tcW w:w="2904" w:type="dxa"/>
            <w:gridSpan w:val="3"/>
            <w:tcBorders>
              <w:top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Середня вартість послуг</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грн</w:t>
            </w:r>
          </w:p>
        </w:tc>
        <w:tc>
          <w:tcPr>
            <w:tcW w:w="2125" w:type="dxa"/>
            <w:gridSpan w:val="2"/>
            <w:tcBorders>
              <w:top w:val="single" w:sz="4" w:space="0" w:color="auto"/>
              <w:left w:val="single" w:sz="4" w:space="0" w:color="auto"/>
              <w:bottom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12,00</w:t>
            </w:r>
          </w:p>
        </w:tc>
      </w:tr>
      <w:tr w:rsidR="00E95FB1" w:rsidRPr="001916D0" w:rsidTr="001B3967">
        <w:trPr>
          <w:trHeight w:val="150"/>
        </w:trPr>
        <w:tc>
          <w:tcPr>
            <w:tcW w:w="3172" w:type="dxa"/>
            <w:vMerge/>
            <w:shd w:val="clear" w:color="auto" w:fill="C6D9F1" w:themeFill="text2" w:themeFillTint="33"/>
          </w:tcPr>
          <w:p w:rsidR="00E95FB1" w:rsidRPr="001916D0" w:rsidRDefault="00E95FB1" w:rsidP="001B3967">
            <w:pPr>
              <w:pStyle w:val="a7"/>
              <w:ind w:left="0"/>
              <w:rPr>
                <w:b/>
                <w:sz w:val="22"/>
                <w:lang w:val="uk-UA"/>
              </w:rPr>
            </w:pPr>
          </w:p>
        </w:tc>
        <w:tc>
          <w:tcPr>
            <w:tcW w:w="2904" w:type="dxa"/>
            <w:gridSpan w:val="3"/>
            <w:tcBorders>
              <w:top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Термін надання послуги</w:t>
            </w:r>
          </w:p>
        </w:tc>
        <w:tc>
          <w:tcPr>
            <w:tcW w:w="1687" w:type="dxa"/>
            <w:gridSpan w:val="2"/>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день</w:t>
            </w:r>
          </w:p>
        </w:tc>
        <w:tc>
          <w:tcPr>
            <w:tcW w:w="2125" w:type="dxa"/>
            <w:gridSpan w:val="2"/>
            <w:tcBorders>
              <w:top w:val="single" w:sz="4" w:space="0" w:color="auto"/>
              <w:lef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цілодобово</w:t>
            </w:r>
          </w:p>
        </w:tc>
      </w:tr>
      <w:tr w:rsidR="00E95FB1" w:rsidRPr="001916D0" w:rsidTr="001B3967">
        <w:trPr>
          <w:trHeight w:val="150"/>
        </w:trPr>
        <w:tc>
          <w:tcPr>
            <w:tcW w:w="3172" w:type="dxa"/>
            <w:shd w:val="clear" w:color="auto" w:fill="C6D9F1" w:themeFill="text2" w:themeFillTint="33"/>
          </w:tcPr>
          <w:p w:rsidR="00E95FB1" w:rsidRPr="001916D0" w:rsidRDefault="00E95FB1" w:rsidP="001B3967">
            <w:pPr>
              <w:pStyle w:val="a7"/>
              <w:ind w:left="0"/>
              <w:rPr>
                <w:b/>
                <w:sz w:val="22"/>
                <w:lang w:val="uk-UA"/>
              </w:rPr>
            </w:pPr>
          </w:p>
        </w:tc>
        <w:tc>
          <w:tcPr>
            <w:tcW w:w="2904" w:type="dxa"/>
            <w:gridSpan w:val="3"/>
            <w:tcBorders>
              <w:top w:val="single" w:sz="4" w:space="0" w:color="auto"/>
              <w:right w:val="single" w:sz="4" w:space="0" w:color="auto"/>
            </w:tcBorders>
            <w:vAlign w:val="center"/>
          </w:tcPr>
          <w:p w:rsidR="00E95FB1" w:rsidRPr="001916D0" w:rsidRDefault="00E95FB1" w:rsidP="00EA2F9B">
            <w:pPr>
              <w:pStyle w:val="a7"/>
              <w:ind w:left="0"/>
              <w:jc w:val="center"/>
              <w:rPr>
                <w:sz w:val="22"/>
                <w:lang w:val="uk-UA"/>
              </w:rPr>
            </w:pPr>
            <w:r w:rsidRPr="001916D0">
              <w:rPr>
                <w:sz w:val="22"/>
                <w:lang w:val="uk-UA"/>
              </w:rPr>
              <w:t xml:space="preserve">Кількість населених пунктів, </w:t>
            </w:r>
            <w:r w:rsidRPr="001916D0">
              <w:rPr>
                <w:bCs/>
                <w:sz w:val="22"/>
                <w:szCs w:val="22"/>
                <w:lang w:val="uk-UA"/>
              </w:rPr>
              <w:t>як</w:t>
            </w:r>
            <w:r w:rsidR="00EA2F9B" w:rsidRPr="001916D0">
              <w:rPr>
                <w:bCs/>
                <w:sz w:val="22"/>
                <w:szCs w:val="22"/>
                <w:lang w:val="uk-UA"/>
              </w:rPr>
              <w:t>і</w:t>
            </w:r>
            <w:r w:rsidRPr="001916D0">
              <w:rPr>
                <w:sz w:val="22"/>
                <w:lang w:val="uk-UA"/>
              </w:rPr>
              <w:t xml:space="preserve"> обслуговує підприємство</w:t>
            </w:r>
          </w:p>
        </w:tc>
        <w:tc>
          <w:tcPr>
            <w:tcW w:w="1687" w:type="dxa"/>
            <w:gridSpan w:val="2"/>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2125" w:type="dxa"/>
            <w:gridSpan w:val="2"/>
            <w:tcBorders>
              <w:top w:val="single" w:sz="4" w:space="0" w:color="auto"/>
              <w:lef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11</w:t>
            </w:r>
          </w:p>
        </w:tc>
      </w:tr>
      <w:tr w:rsidR="00E95FB1" w:rsidRPr="001916D0" w:rsidTr="001B3967">
        <w:trPr>
          <w:trHeight w:val="150"/>
        </w:trPr>
        <w:tc>
          <w:tcPr>
            <w:tcW w:w="3172" w:type="dxa"/>
            <w:shd w:val="clear" w:color="auto" w:fill="C6D9F1" w:themeFill="text2" w:themeFillTint="33"/>
          </w:tcPr>
          <w:p w:rsidR="00E95FB1" w:rsidRPr="001916D0" w:rsidRDefault="00E95FB1" w:rsidP="001B3967">
            <w:pPr>
              <w:pStyle w:val="a7"/>
              <w:ind w:left="0"/>
              <w:rPr>
                <w:b/>
                <w:sz w:val="22"/>
                <w:lang w:val="uk-UA"/>
              </w:rPr>
            </w:pPr>
          </w:p>
        </w:tc>
        <w:tc>
          <w:tcPr>
            <w:tcW w:w="2904" w:type="dxa"/>
            <w:gridSpan w:val="3"/>
            <w:tcBorders>
              <w:top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Вузол комерційного обліку води</w:t>
            </w:r>
          </w:p>
        </w:tc>
        <w:tc>
          <w:tcPr>
            <w:tcW w:w="1687" w:type="dxa"/>
            <w:gridSpan w:val="2"/>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2125" w:type="dxa"/>
            <w:gridSpan w:val="2"/>
            <w:tcBorders>
              <w:top w:val="single" w:sz="4" w:space="0" w:color="auto"/>
              <w:left w:val="single" w:sz="4" w:space="0" w:color="auto"/>
            </w:tcBorders>
            <w:vAlign w:val="center"/>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r w:rsidRPr="001916D0">
              <w:rPr>
                <w:sz w:val="22"/>
                <w:lang w:val="uk-UA"/>
              </w:rPr>
              <w:t>800</w:t>
            </w:r>
          </w:p>
        </w:tc>
      </w:tr>
      <w:tr w:rsidR="00E95FB1" w:rsidRPr="001916D0" w:rsidTr="001B3967">
        <w:tc>
          <w:tcPr>
            <w:tcW w:w="3172" w:type="dxa"/>
            <w:shd w:val="clear" w:color="auto" w:fill="C6D9F1" w:themeFill="text2" w:themeFillTint="33"/>
          </w:tcPr>
          <w:p w:rsidR="00E95FB1" w:rsidRPr="001916D0" w:rsidRDefault="00E95FB1" w:rsidP="001B3967">
            <w:pPr>
              <w:rPr>
                <w:b/>
                <w:sz w:val="22"/>
                <w:lang w:val="uk-UA"/>
              </w:rPr>
            </w:pPr>
            <w:r w:rsidRPr="001916D0">
              <w:rPr>
                <w:b/>
                <w:sz w:val="22"/>
                <w:lang w:val="uk-UA"/>
              </w:rPr>
              <w:t xml:space="preserve">Ключові заходи проекту: </w:t>
            </w:r>
          </w:p>
          <w:p w:rsidR="00E95FB1" w:rsidRPr="001916D0" w:rsidRDefault="00E95FB1" w:rsidP="001B3967">
            <w:pPr>
              <w:pStyle w:val="a7"/>
              <w:ind w:left="0"/>
              <w:rPr>
                <w:b/>
                <w:sz w:val="22"/>
                <w:lang w:val="uk-UA"/>
              </w:rPr>
            </w:pPr>
          </w:p>
        </w:tc>
        <w:tc>
          <w:tcPr>
            <w:tcW w:w="6716" w:type="dxa"/>
            <w:gridSpan w:val="7"/>
          </w:tcPr>
          <w:p w:rsidR="00E95FB1" w:rsidRPr="001916D0" w:rsidRDefault="00E95FB1" w:rsidP="001B3967">
            <w:pPr>
              <w:pStyle w:val="a7"/>
              <w:ind w:left="0"/>
              <w:rPr>
                <w:sz w:val="22"/>
                <w:lang w:val="uk-UA"/>
              </w:rPr>
            </w:pPr>
            <w:r w:rsidRPr="001916D0">
              <w:rPr>
                <w:sz w:val="22"/>
                <w:lang w:val="uk-UA"/>
              </w:rPr>
              <w:t xml:space="preserve">- </w:t>
            </w:r>
            <w:r w:rsidRPr="001916D0">
              <w:rPr>
                <w:rFonts w:eastAsia="Calibri"/>
                <w:sz w:val="22"/>
                <w:lang w:val="uk-UA"/>
              </w:rPr>
              <w:t xml:space="preserve">розробка </w:t>
            </w:r>
            <w:proofErr w:type="spellStart"/>
            <w:r w:rsidRPr="001916D0">
              <w:rPr>
                <w:rFonts w:eastAsia="Calibri"/>
                <w:sz w:val="22"/>
                <w:lang w:val="uk-UA"/>
              </w:rPr>
              <w:t>проєктної</w:t>
            </w:r>
            <w:proofErr w:type="spellEnd"/>
            <w:r w:rsidRPr="001916D0">
              <w:rPr>
                <w:rFonts w:eastAsia="Calibri"/>
                <w:sz w:val="22"/>
                <w:lang w:val="uk-UA"/>
              </w:rPr>
              <w:t xml:space="preserve"> документації</w:t>
            </w:r>
            <w:r w:rsidRPr="001916D0">
              <w:rPr>
                <w:sz w:val="22"/>
                <w:lang w:val="uk-UA"/>
              </w:rPr>
              <w:t>;</w:t>
            </w:r>
          </w:p>
          <w:p w:rsidR="00E95FB1" w:rsidRPr="001916D0" w:rsidRDefault="00E95FB1" w:rsidP="001B3967">
            <w:pPr>
              <w:rPr>
                <w:rFonts w:eastAsia="Calibri"/>
                <w:sz w:val="22"/>
                <w:lang w:val="uk-UA"/>
              </w:rPr>
            </w:pPr>
            <w:r w:rsidRPr="001916D0">
              <w:rPr>
                <w:sz w:val="22"/>
                <w:lang w:val="uk-UA"/>
              </w:rPr>
              <w:t>-</w:t>
            </w:r>
            <w:r w:rsidRPr="001916D0">
              <w:rPr>
                <w:rFonts w:eastAsia="Calibri"/>
                <w:sz w:val="22"/>
                <w:lang w:val="uk-UA"/>
              </w:rPr>
              <w:t xml:space="preserve">облаштування багатоквартирних будинків </w:t>
            </w:r>
            <w:proofErr w:type="spellStart"/>
            <w:r w:rsidRPr="001916D0">
              <w:rPr>
                <w:rFonts w:eastAsia="Calibri"/>
                <w:sz w:val="22"/>
                <w:lang w:val="uk-UA"/>
              </w:rPr>
              <w:t>м.Сєвєродонецьк</w:t>
            </w:r>
            <w:proofErr w:type="spellEnd"/>
            <w:r w:rsidRPr="001916D0">
              <w:rPr>
                <w:rFonts w:eastAsia="Calibri"/>
                <w:sz w:val="22"/>
                <w:lang w:val="uk-UA"/>
              </w:rPr>
              <w:t xml:space="preserve"> вузлами комерційного обліку води;</w:t>
            </w:r>
          </w:p>
          <w:p w:rsidR="00E95FB1" w:rsidRPr="001916D0" w:rsidRDefault="00E95FB1" w:rsidP="001B3967">
            <w:pPr>
              <w:pStyle w:val="a7"/>
              <w:ind w:left="0"/>
              <w:rPr>
                <w:sz w:val="22"/>
                <w:lang w:val="uk-UA"/>
              </w:rPr>
            </w:pPr>
            <w:r w:rsidRPr="001916D0">
              <w:rPr>
                <w:sz w:val="22"/>
                <w:lang w:val="uk-UA"/>
              </w:rPr>
              <w:t xml:space="preserve"> - придбання технічного забезпечення підприємства;</w:t>
            </w:r>
          </w:p>
          <w:p w:rsidR="00E95FB1" w:rsidRPr="001916D0" w:rsidRDefault="00E95FB1" w:rsidP="001B3967">
            <w:pPr>
              <w:pStyle w:val="a7"/>
              <w:ind w:left="0"/>
              <w:rPr>
                <w:sz w:val="22"/>
                <w:lang w:val="uk-UA"/>
              </w:rPr>
            </w:pPr>
            <w:r w:rsidRPr="001916D0">
              <w:rPr>
                <w:sz w:val="22"/>
                <w:lang w:val="uk-UA"/>
              </w:rPr>
              <w:t xml:space="preserve"> - придбання технологічного забезпечення;</w:t>
            </w:r>
          </w:p>
          <w:p w:rsidR="00E95FB1" w:rsidRPr="001916D0" w:rsidRDefault="00E95FB1" w:rsidP="001B3967">
            <w:pPr>
              <w:pStyle w:val="a7"/>
              <w:ind w:left="0"/>
              <w:rPr>
                <w:sz w:val="22"/>
                <w:lang w:val="uk-UA"/>
              </w:rPr>
            </w:pPr>
            <w:r w:rsidRPr="001916D0">
              <w:rPr>
                <w:sz w:val="22"/>
                <w:lang w:val="uk-UA"/>
              </w:rPr>
              <w:t xml:space="preserve"> - визначення кількості осіб, які потребують отримання послуг </w:t>
            </w:r>
            <w:proofErr w:type="spellStart"/>
            <w:r w:rsidRPr="001916D0">
              <w:rPr>
                <w:sz w:val="22"/>
                <w:lang w:val="uk-UA"/>
              </w:rPr>
              <w:t>центалізованого</w:t>
            </w:r>
            <w:proofErr w:type="spellEnd"/>
            <w:r w:rsidRPr="001916D0">
              <w:rPr>
                <w:sz w:val="22"/>
                <w:lang w:val="uk-UA"/>
              </w:rPr>
              <w:t xml:space="preserve"> водопостачання та централізованого водовідведення; </w:t>
            </w:r>
          </w:p>
          <w:p w:rsidR="00E95FB1" w:rsidRPr="001916D0" w:rsidRDefault="00E95FB1" w:rsidP="001B3967">
            <w:pPr>
              <w:pStyle w:val="a7"/>
              <w:ind w:left="0"/>
              <w:rPr>
                <w:sz w:val="22"/>
                <w:lang w:val="uk-UA"/>
              </w:rPr>
            </w:pPr>
            <w:r w:rsidRPr="001916D0">
              <w:rPr>
                <w:sz w:val="22"/>
                <w:lang w:val="uk-UA"/>
              </w:rPr>
              <w:t xml:space="preserve">  - організація та початок робочого процесу.</w:t>
            </w:r>
          </w:p>
        </w:tc>
      </w:tr>
      <w:tr w:rsidR="00E95FB1" w:rsidRPr="001916D0" w:rsidTr="001B3967">
        <w:trPr>
          <w:trHeight w:val="360"/>
        </w:trPr>
        <w:tc>
          <w:tcPr>
            <w:tcW w:w="3172"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lastRenderedPageBreak/>
              <w:t xml:space="preserve">Орієнтовний обсяг та джерела фінансування, тис. грн. </w:t>
            </w:r>
          </w:p>
          <w:p w:rsidR="00E95FB1" w:rsidRPr="001916D0" w:rsidRDefault="00E95FB1" w:rsidP="001B3967">
            <w:pPr>
              <w:pStyle w:val="a7"/>
              <w:ind w:left="0"/>
              <w:rPr>
                <w:b/>
                <w:sz w:val="22"/>
                <w:lang w:val="uk-UA"/>
              </w:rPr>
            </w:pPr>
          </w:p>
        </w:tc>
        <w:tc>
          <w:tcPr>
            <w:tcW w:w="1481"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Державний бюджет</w:t>
            </w:r>
          </w:p>
        </w:tc>
        <w:tc>
          <w:tcPr>
            <w:tcW w:w="1267"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Місцевий бюджет</w:t>
            </w:r>
          </w:p>
        </w:tc>
        <w:tc>
          <w:tcPr>
            <w:tcW w:w="2606" w:type="dxa"/>
            <w:gridSpan w:val="4"/>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Інші джерела</w:t>
            </w:r>
          </w:p>
        </w:tc>
        <w:tc>
          <w:tcPr>
            <w:tcW w:w="1362" w:type="dxa"/>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Всього</w:t>
            </w:r>
          </w:p>
        </w:tc>
      </w:tr>
      <w:tr w:rsidR="00E95FB1" w:rsidRPr="001916D0" w:rsidTr="001B3967">
        <w:trPr>
          <w:trHeight w:val="225"/>
        </w:trPr>
        <w:tc>
          <w:tcPr>
            <w:tcW w:w="3172" w:type="dxa"/>
            <w:vMerge/>
            <w:shd w:val="clear" w:color="auto" w:fill="C6D9F1" w:themeFill="text2" w:themeFillTint="33"/>
          </w:tcPr>
          <w:p w:rsidR="00E95FB1" w:rsidRPr="001916D0" w:rsidRDefault="00E95FB1" w:rsidP="001B3967">
            <w:pPr>
              <w:pStyle w:val="a7"/>
              <w:ind w:left="0"/>
              <w:rPr>
                <w:b/>
                <w:sz w:val="22"/>
                <w:lang w:val="uk-UA"/>
              </w:rPr>
            </w:pPr>
          </w:p>
        </w:tc>
        <w:tc>
          <w:tcPr>
            <w:tcW w:w="1481" w:type="dxa"/>
            <w:vMerge w:val="restart"/>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25 200,0</w:t>
            </w:r>
          </w:p>
        </w:tc>
        <w:tc>
          <w:tcPr>
            <w:tcW w:w="1267" w:type="dxa"/>
            <w:vMerge w:val="restart"/>
            <w:tcBorders>
              <w:top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w:t>
            </w:r>
          </w:p>
        </w:tc>
        <w:tc>
          <w:tcPr>
            <w:tcW w:w="1151"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Обсяг</w:t>
            </w:r>
          </w:p>
        </w:tc>
        <w:tc>
          <w:tcPr>
            <w:tcW w:w="1455"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Назва джерела</w:t>
            </w:r>
          </w:p>
        </w:tc>
        <w:tc>
          <w:tcPr>
            <w:tcW w:w="1362" w:type="dxa"/>
            <w:vMerge w:val="restart"/>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 xml:space="preserve"> </w:t>
            </w:r>
          </w:p>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r w:rsidRPr="001916D0">
              <w:rPr>
                <w:sz w:val="22"/>
                <w:lang w:val="uk-UA"/>
              </w:rPr>
              <w:t>36 000,0</w:t>
            </w:r>
          </w:p>
        </w:tc>
      </w:tr>
      <w:tr w:rsidR="00E95FB1" w:rsidRPr="001916D0" w:rsidTr="001B3967">
        <w:trPr>
          <w:trHeight w:val="300"/>
        </w:trPr>
        <w:tc>
          <w:tcPr>
            <w:tcW w:w="3172" w:type="dxa"/>
            <w:vMerge/>
            <w:shd w:val="clear" w:color="auto" w:fill="C6D9F1" w:themeFill="text2" w:themeFillTint="33"/>
          </w:tcPr>
          <w:p w:rsidR="00E95FB1" w:rsidRPr="001916D0" w:rsidRDefault="00E95FB1" w:rsidP="001B3967">
            <w:pPr>
              <w:pStyle w:val="a7"/>
              <w:ind w:left="0"/>
              <w:rPr>
                <w:b/>
                <w:sz w:val="22"/>
                <w:lang w:val="uk-UA"/>
              </w:rPr>
            </w:pPr>
          </w:p>
        </w:tc>
        <w:tc>
          <w:tcPr>
            <w:tcW w:w="1481" w:type="dxa"/>
            <w:vMerge/>
            <w:tcBorders>
              <w:right w:val="single" w:sz="4" w:space="0" w:color="auto"/>
            </w:tcBorders>
          </w:tcPr>
          <w:p w:rsidR="00E95FB1" w:rsidRPr="001916D0" w:rsidRDefault="00E95FB1" w:rsidP="001B3967">
            <w:pPr>
              <w:pStyle w:val="a7"/>
              <w:ind w:left="0"/>
              <w:jc w:val="center"/>
              <w:rPr>
                <w:sz w:val="22"/>
                <w:lang w:val="uk-UA"/>
              </w:rPr>
            </w:pPr>
          </w:p>
        </w:tc>
        <w:tc>
          <w:tcPr>
            <w:tcW w:w="1267" w:type="dxa"/>
            <w:vMerge/>
            <w:tcBorders>
              <w:right w:val="single" w:sz="4" w:space="0" w:color="auto"/>
            </w:tcBorders>
          </w:tcPr>
          <w:p w:rsidR="00E95FB1" w:rsidRPr="001916D0" w:rsidRDefault="00E95FB1" w:rsidP="001B3967">
            <w:pPr>
              <w:pStyle w:val="a7"/>
              <w:ind w:left="0"/>
              <w:jc w:val="center"/>
              <w:rPr>
                <w:b/>
                <w:sz w:val="22"/>
                <w:lang w:val="uk-UA"/>
              </w:rPr>
            </w:pPr>
          </w:p>
        </w:tc>
        <w:tc>
          <w:tcPr>
            <w:tcW w:w="1151"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sz w:val="22"/>
                <w:lang w:val="uk-UA"/>
              </w:rPr>
              <w:t>10 800,0</w:t>
            </w:r>
          </w:p>
        </w:tc>
        <w:tc>
          <w:tcPr>
            <w:tcW w:w="1455"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Міжнародні інвестиції, кошти приватних осіб</w:t>
            </w:r>
          </w:p>
        </w:tc>
        <w:tc>
          <w:tcPr>
            <w:tcW w:w="1362" w:type="dxa"/>
            <w:vMerge/>
            <w:tcBorders>
              <w:left w:val="single" w:sz="4" w:space="0" w:color="auto"/>
            </w:tcBorders>
          </w:tcPr>
          <w:p w:rsidR="00E95FB1" w:rsidRPr="001916D0" w:rsidRDefault="00E95FB1" w:rsidP="001B3967">
            <w:pPr>
              <w:pStyle w:val="a7"/>
              <w:ind w:left="0"/>
              <w:jc w:val="center"/>
              <w:rPr>
                <w:sz w:val="22"/>
                <w:lang w:val="uk-UA"/>
              </w:rPr>
            </w:pPr>
          </w:p>
        </w:tc>
      </w:tr>
    </w:tbl>
    <w:p w:rsidR="00E95FB1" w:rsidRPr="001916D0" w:rsidRDefault="00E95FB1" w:rsidP="00E95FB1">
      <w:pPr>
        <w:rPr>
          <w:sz w:val="22"/>
        </w:rPr>
      </w:pPr>
    </w:p>
    <w:p w:rsidR="00E95FB1" w:rsidRPr="001916D0" w:rsidRDefault="00E95FB1" w:rsidP="00E95FB1">
      <w:pPr>
        <w:rPr>
          <w:sz w:val="22"/>
        </w:rPr>
      </w:pPr>
    </w:p>
    <w:p w:rsidR="00E95FB1" w:rsidRPr="001916D0" w:rsidRDefault="00E95FB1" w:rsidP="00E95FB1">
      <w:pPr>
        <w:rPr>
          <w:sz w:val="22"/>
        </w:rPr>
      </w:pPr>
    </w:p>
    <w:p w:rsidR="00E95FB1" w:rsidRPr="001916D0" w:rsidRDefault="00E95FB1" w:rsidP="00E95FB1">
      <w:pPr>
        <w:rPr>
          <w:sz w:val="22"/>
        </w:rPr>
      </w:pPr>
    </w:p>
    <w:tbl>
      <w:tblPr>
        <w:tblStyle w:val="af"/>
        <w:tblW w:w="0" w:type="auto"/>
        <w:tblInd w:w="-176" w:type="dxa"/>
        <w:tblLook w:val="04A0" w:firstRow="1" w:lastRow="0" w:firstColumn="1" w:lastColumn="0" w:noHBand="0" w:noVBand="1"/>
      </w:tblPr>
      <w:tblGrid>
        <w:gridCol w:w="2959"/>
        <w:gridCol w:w="1608"/>
        <w:gridCol w:w="1320"/>
        <w:gridCol w:w="92"/>
        <w:gridCol w:w="867"/>
        <w:gridCol w:w="1117"/>
        <w:gridCol w:w="327"/>
        <w:gridCol w:w="1372"/>
      </w:tblGrid>
      <w:tr w:rsidR="00E95FB1" w:rsidRPr="001916D0" w:rsidTr="001B3967">
        <w:tc>
          <w:tcPr>
            <w:tcW w:w="311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Оперативна ціль/завдання</w:t>
            </w:r>
          </w:p>
        </w:tc>
        <w:tc>
          <w:tcPr>
            <w:tcW w:w="6769" w:type="dxa"/>
            <w:gridSpan w:val="7"/>
            <w:shd w:val="clear" w:color="auto" w:fill="auto"/>
          </w:tcPr>
          <w:p w:rsidR="00E95FB1" w:rsidRPr="001916D0" w:rsidRDefault="00E95FB1" w:rsidP="001B3967">
            <w:pPr>
              <w:pStyle w:val="a7"/>
              <w:ind w:left="0"/>
              <w:rPr>
                <w:sz w:val="22"/>
                <w:lang w:val="uk-UA"/>
              </w:rPr>
            </w:pPr>
            <w:r w:rsidRPr="001916D0">
              <w:rPr>
                <w:rFonts w:eastAsia="Arial"/>
                <w:sz w:val="22"/>
                <w:lang w:val="uk-UA"/>
              </w:rPr>
              <w:t>Комфорт життя ЛЮДИНИ як безпека, екологічна сталість та розумна енергетика. Екологічна сталість через знання та партнерства</w:t>
            </w:r>
            <w:r w:rsidRPr="001916D0">
              <w:rPr>
                <w:sz w:val="22"/>
                <w:lang w:val="uk-UA"/>
              </w:rPr>
              <w:t xml:space="preserve"> </w:t>
            </w:r>
          </w:p>
        </w:tc>
      </w:tr>
      <w:tr w:rsidR="00E95FB1" w:rsidRPr="001916D0" w:rsidTr="001B3967">
        <w:tc>
          <w:tcPr>
            <w:tcW w:w="311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Назва проекту:</w:t>
            </w:r>
          </w:p>
        </w:tc>
        <w:tc>
          <w:tcPr>
            <w:tcW w:w="6769" w:type="dxa"/>
            <w:gridSpan w:val="7"/>
          </w:tcPr>
          <w:p w:rsidR="00EA2F9B" w:rsidRPr="001916D0" w:rsidRDefault="00E95FB1" w:rsidP="001B3967">
            <w:pPr>
              <w:pStyle w:val="a7"/>
              <w:ind w:left="0"/>
              <w:rPr>
                <w:bCs/>
                <w:sz w:val="22"/>
                <w:szCs w:val="22"/>
                <w:lang w:val="uk-UA"/>
              </w:rPr>
            </w:pPr>
            <w:r w:rsidRPr="001916D0">
              <w:rPr>
                <w:sz w:val="22"/>
                <w:lang w:val="uk-UA"/>
              </w:rPr>
              <w:t>Будівництво бомбосховища</w:t>
            </w:r>
          </w:p>
          <w:p w:rsidR="00E95FB1" w:rsidRPr="001916D0" w:rsidRDefault="00E95FB1" w:rsidP="001B3967">
            <w:pPr>
              <w:pStyle w:val="a7"/>
              <w:ind w:left="0"/>
              <w:rPr>
                <w:sz w:val="22"/>
                <w:lang w:val="uk-UA"/>
              </w:rPr>
            </w:pPr>
            <w:r w:rsidRPr="001916D0">
              <w:rPr>
                <w:sz w:val="22"/>
                <w:lang w:val="uk-UA"/>
              </w:rPr>
              <w:t xml:space="preserve"> КП «СЄВЄРОДОНЕЦЬКВОДОКАНАЛ» </w:t>
            </w:r>
          </w:p>
        </w:tc>
      </w:tr>
      <w:tr w:rsidR="00E95FB1" w:rsidRPr="001916D0" w:rsidTr="001B3967">
        <w:tc>
          <w:tcPr>
            <w:tcW w:w="3119" w:type="dxa"/>
            <w:shd w:val="clear" w:color="auto" w:fill="C6D9F1" w:themeFill="text2" w:themeFillTint="33"/>
          </w:tcPr>
          <w:p w:rsidR="00E95FB1" w:rsidRPr="001916D0" w:rsidRDefault="00E95FB1" w:rsidP="001B3967">
            <w:pPr>
              <w:rPr>
                <w:b/>
                <w:sz w:val="22"/>
                <w:lang w:val="uk-UA"/>
              </w:rPr>
            </w:pPr>
            <w:r w:rsidRPr="001916D0">
              <w:rPr>
                <w:b/>
                <w:sz w:val="22"/>
                <w:lang w:val="uk-UA"/>
              </w:rPr>
              <w:t>Ціль проекту</w:t>
            </w:r>
          </w:p>
        </w:tc>
        <w:tc>
          <w:tcPr>
            <w:tcW w:w="6769" w:type="dxa"/>
            <w:gridSpan w:val="7"/>
          </w:tcPr>
          <w:p w:rsidR="00E95FB1" w:rsidRPr="001916D0" w:rsidRDefault="00E95FB1" w:rsidP="001B3967">
            <w:pPr>
              <w:pStyle w:val="a7"/>
              <w:ind w:left="0"/>
              <w:rPr>
                <w:sz w:val="22"/>
                <w:lang w:val="uk-UA"/>
              </w:rPr>
            </w:pPr>
            <w:r w:rsidRPr="001916D0">
              <w:rPr>
                <w:sz w:val="22"/>
                <w:lang w:val="uk-UA"/>
              </w:rPr>
              <w:t>Відновити та покращити роботу комунального підприємства «СЄВЄРОДОНЕЦЬКВОДОКАНАЛ» для надання широкого спектру послуг, пов’язаних із централізованим водопостачанням та централізованим водовідведенням,  задоволення потреб мешканців Сєвєродонецької міської територіальної громади у необхідних послугах централізованого водопостачання, централізованого водовідведення та сталого розвитку громади, а також</w:t>
            </w:r>
            <w:r w:rsidRPr="001916D0">
              <w:rPr>
                <w:color w:val="000000"/>
                <w:sz w:val="22"/>
                <w:lang w:val="uk-UA"/>
              </w:rPr>
              <w:t xml:space="preserve"> збереження життя та здоров’я працівників підприємства та мешканців міста.</w:t>
            </w:r>
          </w:p>
        </w:tc>
      </w:tr>
      <w:tr w:rsidR="00E95FB1" w:rsidRPr="001916D0" w:rsidTr="001B3967">
        <w:tc>
          <w:tcPr>
            <w:tcW w:w="311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Територія, на яку матиме вплив реалізація проекту</w:t>
            </w:r>
          </w:p>
        </w:tc>
        <w:tc>
          <w:tcPr>
            <w:tcW w:w="6769" w:type="dxa"/>
            <w:gridSpan w:val="7"/>
          </w:tcPr>
          <w:p w:rsidR="00E95FB1" w:rsidRPr="001916D0" w:rsidRDefault="00E95FB1" w:rsidP="001B3967">
            <w:pPr>
              <w:pStyle w:val="a7"/>
              <w:ind w:left="0"/>
              <w:rPr>
                <w:sz w:val="22"/>
                <w:lang w:val="uk-UA"/>
              </w:rPr>
            </w:pPr>
            <w:r w:rsidRPr="001916D0">
              <w:rPr>
                <w:sz w:val="22"/>
                <w:lang w:val="uk-UA"/>
              </w:rPr>
              <w:t>Сєвєродонецька міська територіальна громада</w:t>
            </w:r>
          </w:p>
        </w:tc>
      </w:tr>
      <w:tr w:rsidR="00E95FB1" w:rsidRPr="001916D0" w:rsidTr="001B3967">
        <w:tc>
          <w:tcPr>
            <w:tcW w:w="311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Чисельність населення, на яке матиме вплив реалізація проекту</w:t>
            </w:r>
          </w:p>
        </w:tc>
        <w:tc>
          <w:tcPr>
            <w:tcW w:w="6769" w:type="dxa"/>
            <w:gridSpan w:val="7"/>
          </w:tcPr>
          <w:p w:rsidR="00E95FB1" w:rsidRPr="001916D0" w:rsidRDefault="00E95FB1" w:rsidP="00FA0E42">
            <w:pPr>
              <w:pStyle w:val="a7"/>
              <w:ind w:left="0"/>
              <w:rPr>
                <w:sz w:val="22"/>
                <w:lang w:val="uk-UA"/>
              </w:rPr>
            </w:pPr>
            <w:r w:rsidRPr="001916D0">
              <w:rPr>
                <w:sz w:val="22"/>
                <w:lang w:val="uk-UA"/>
              </w:rPr>
              <w:t xml:space="preserve"> </w:t>
            </w:r>
            <w:r w:rsidR="00FA0E42" w:rsidRPr="001916D0">
              <w:rPr>
                <w:bCs/>
                <w:sz w:val="22"/>
                <w:szCs w:val="22"/>
                <w:lang w:val="uk-UA"/>
              </w:rPr>
              <w:t>70 000</w:t>
            </w:r>
            <w:r w:rsidRPr="001916D0">
              <w:rPr>
                <w:sz w:val="22"/>
                <w:lang w:val="uk-UA"/>
              </w:rPr>
              <w:t xml:space="preserve">  осіб</w:t>
            </w:r>
          </w:p>
        </w:tc>
      </w:tr>
      <w:tr w:rsidR="00E95FB1" w:rsidRPr="001916D0" w:rsidTr="001B3967">
        <w:tc>
          <w:tcPr>
            <w:tcW w:w="3119" w:type="dxa"/>
            <w:shd w:val="clear" w:color="auto" w:fill="C6D9F1" w:themeFill="text2" w:themeFillTint="33"/>
          </w:tcPr>
          <w:p w:rsidR="00E95FB1" w:rsidRPr="001916D0" w:rsidRDefault="00E95FB1" w:rsidP="001B3967">
            <w:pPr>
              <w:rPr>
                <w:b/>
                <w:sz w:val="22"/>
                <w:lang w:val="uk-UA"/>
              </w:rPr>
            </w:pPr>
            <w:r w:rsidRPr="001916D0">
              <w:rPr>
                <w:b/>
                <w:sz w:val="22"/>
                <w:lang w:val="uk-UA"/>
              </w:rPr>
              <w:t>Опис проблеми, на вирішення якої  спрямований проект</w:t>
            </w:r>
          </w:p>
        </w:tc>
        <w:tc>
          <w:tcPr>
            <w:tcW w:w="6769" w:type="dxa"/>
            <w:gridSpan w:val="7"/>
          </w:tcPr>
          <w:p w:rsidR="00E95FB1" w:rsidRPr="001916D0" w:rsidRDefault="00E95FB1" w:rsidP="001B3967">
            <w:pPr>
              <w:ind w:firstLine="708"/>
              <w:rPr>
                <w:sz w:val="22"/>
                <w:lang w:val="uk-UA"/>
              </w:rPr>
            </w:pPr>
            <w:r w:rsidRPr="001916D0">
              <w:rPr>
                <w:sz w:val="22"/>
                <w:lang w:val="uk-UA"/>
              </w:rPr>
              <w:t>Через військову агресію РФ територія Сєвєродонецької міської територіальної громади зазнала значних пошкоджень, включаючи і КП «СЄВЄРОДОНЕЦЬКВОДОКАНАЛ».</w:t>
            </w:r>
          </w:p>
          <w:p w:rsidR="00E95FB1" w:rsidRPr="001916D0" w:rsidRDefault="00E95FB1" w:rsidP="001B3967">
            <w:pPr>
              <w:pStyle w:val="13"/>
              <w:jc w:val="both"/>
              <w:rPr>
                <w:sz w:val="22"/>
                <w:lang w:val="uk-UA"/>
              </w:rPr>
            </w:pPr>
            <w:r w:rsidRPr="001916D0">
              <w:rPr>
                <w:rFonts w:eastAsia="Arial"/>
                <w:sz w:val="22"/>
                <w:lang w:val="uk-UA"/>
              </w:rPr>
              <w:t xml:space="preserve">            Для відбудови та сталого розвитку громади потрібне будівництво бомбосховища та будівництво мобільних </w:t>
            </w:r>
            <w:proofErr w:type="spellStart"/>
            <w:r w:rsidRPr="001916D0">
              <w:rPr>
                <w:rFonts w:eastAsia="Arial"/>
                <w:sz w:val="22"/>
                <w:lang w:val="uk-UA"/>
              </w:rPr>
              <w:t>укриттів</w:t>
            </w:r>
            <w:proofErr w:type="spellEnd"/>
            <w:r w:rsidRPr="001916D0">
              <w:rPr>
                <w:rFonts w:eastAsia="Arial"/>
                <w:sz w:val="22"/>
                <w:lang w:val="uk-UA"/>
              </w:rPr>
              <w:t xml:space="preserve"> </w:t>
            </w:r>
            <w:proofErr w:type="spellStart"/>
            <w:r w:rsidRPr="001916D0">
              <w:rPr>
                <w:rFonts w:eastAsia="Arial"/>
                <w:sz w:val="22"/>
                <w:lang w:val="uk-UA"/>
              </w:rPr>
              <w:t>Замулівського</w:t>
            </w:r>
            <w:proofErr w:type="spellEnd"/>
            <w:r w:rsidRPr="001916D0">
              <w:rPr>
                <w:rFonts w:eastAsia="Arial"/>
                <w:sz w:val="22"/>
                <w:lang w:val="uk-UA"/>
              </w:rPr>
              <w:t xml:space="preserve">, </w:t>
            </w:r>
            <w:proofErr w:type="spellStart"/>
            <w:r w:rsidRPr="001916D0">
              <w:rPr>
                <w:rFonts w:eastAsia="Arial"/>
                <w:sz w:val="22"/>
                <w:lang w:val="uk-UA"/>
              </w:rPr>
              <w:t>Щедрищівського</w:t>
            </w:r>
            <w:proofErr w:type="spellEnd"/>
            <w:r w:rsidRPr="001916D0">
              <w:rPr>
                <w:rFonts w:eastAsia="Arial"/>
                <w:sz w:val="22"/>
                <w:lang w:val="uk-UA"/>
              </w:rPr>
              <w:t xml:space="preserve"> водозаборів. Мешканці громади потребують в отриманні якісних  послуг централізованого водопостачання, централізованого водовідведення, які відповідають нормам сучасності. </w:t>
            </w:r>
          </w:p>
        </w:tc>
      </w:tr>
      <w:tr w:rsidR="00E95FB1" w:rsidRPr="001916D0" w:rsidTr="001B3967">
        <w:tc>
          <w:tcPr>
            <w:tcW w:w="311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якісні результати від реалізації проекту</w:t>
            </w:r>
          </w:p>
        </w:tc>
        <w:tc>
          <w:tcPr>
            <w:tcW w:w="6769" w:type="dxa"/>
            <w:gridSpan w:val="7"/>
          </w:tcPr>
          <w:p w:rsidR="00E95FB1" w:rsidRPr="001916D0" w:rsidRDefault="00E95FB1" w:rsidP="001B3967">
            <w:pPr>
              <w:pStyle w:val="a7"/>
              <w:ind w:left="0"/>
              <w:rPr>
                <w:sz w:val="22"/>
                <w:lang w:val="uk-UA"/>
              </w:rPr>
            </w:pPr>
            <w:r w:rsidRPr="001916D0">
              <w:rPr>
                <w:sz w:val="22"/>
                <w:lang w:val="uk-UA"/>
              </w:rPr>
              <w:t>- забезпечення населення можливостями для реалізації його конституційних прав;</w:t>
            </w:r>
          </w:p>
          <w:p w:rsidR="00E95FB1" w:rsidRPr="001916D0" w:rsidRDefault="00E95FB1" w:rsidP="001B3967">
            <w:pPr>
              <w:pStyle w:val="a7"/>
              <w:ind w:left="0"/>
              <w:rPr>
                <w:sz w:val="22"/>
                <w:lang w:val="uk-UA"/>
              </w:rPr>
            </w:pPr>
            <w:r w:rsidRPr="001916D0">
              <w:rPr>
                <w:sz w:val="22"/>
                <w:lang w:val="uk-UA"/>
              </w:rPr>
              <w:t>- надання широкого спектру послуг, пов’язаних із централізованим водопостачанням та централізованим водовідведенням;</w:t>
            </w:r>
          </w:p>
          <w:p w:rsidR="00E95FB1" w:rsidRPr="001916D0" w:rsidRDefault="00E95FB1" w:rsidP="001B3967">
            <w:pPr>
              <w:pStyle w:val="a7"/>
              <w:ind w:left="0"/>
              <w:rPr>
                <w:sz w:val="22"/>
                <w:lang w:val="uk-UA"/>
              </w:rPr>
            </w:pPr>
            <w:r w:rsidRPr="001916D0">
              <w:rPr>
                <w:sz w:val="22"/>
                <w:lang w:val="uk-UA"/>
              </w:rPr>
              <w:t>- вирішення ряду питань в межах статутної діяльності, пов’язаних із відбудовою та сталим розвитком громади;</w:t>
            </w:r>
          </w:p>
          <w:p w:rsidR="00E95FB1" w:rsidRPr="001916D0" w:rsidRDefault="00E95FB1" w:rsidP="001B3967">
            <w:pPr>
              <w:pStyle w:val="a7"/>
              <w:ind w:left="0"/>
              <w:rPr>
                <w:sz w:val="22"/>
                <w:lang w:val="uk-UA"/>
              </w:rPr>
            </w:pPr>
            <w:r w:rsidRPr="001916D0">
              <w:rPr>
                <w:sz w:val="22"/>
                <w:lang w:val="uk-UA"/>
              </w:rPr>
              <w:t>- створення нових робочих місць;</w:t>
            </w:r>
          </w:p>
          <w:p w:rsidR="00E95FB1" w:rsidRPr="001916D0" w:rsidRDefault="00E95FB1" w:rsidP="001B3967">
            <w:pPr>
              <w:pStyle w:val="a7"/>
              <w:ind w:left="0"/>
              <w:rPr>
                <w:sz w:val="22"/>
                <w:lang w:val="uk-UA"/>
              </w:rPr>
            </w:pPr>
            <w:r w:rsidRPr="001916D0">
              <w:rPr>
                <w:sz w:val="22"/>
                <w:lang w:val="uk-UA"/>
              </w:rPr>
              <w:t>- стимул до повернення ВПО до громади;</w:t>
            </w:r>
          </w:p>
          <w:p w:rsidR="00E95FB1" w:rsidRPr="001916D0" w:rsidRDefault="00E95FB1" w:rsidP="001B3967">
            <w:pPr>
              <w:pStyle w:val="a7"/>
              <w:ind w:left="0"/>
              <w:rPr>
                <w:sz w:val="22"/>
                <w:lang w:val="uk-UA"/>
              </w:rPr>
            </w:pPr>
            <w:r w:rsidRPr="001916D0">
              <w:rPr>
                <w:sz w:val="22"/>
                <w:lang w:val="uk-UA"/>
              </w:rPr>
              <w:t>-</w:t>
            </w:r>
            <w:r w:rsidRPr="001916D0">
              <w:rPr>
                <w:color w:val="000000"/>
                <w:sz w:val="22"/>
                <w:lang w:val="uk-UA"/>
              </w:rPr>
              <w:t xml:space="preserve"> збереження життя та здоров’я працівників підприємства та мешканців міста.</w:t>
            </w:r>
          </w:p>
        </w:tc>
      </w:tr>
      <w:tr w:rsidR="00E95FB1" w:rsidRPr="001916D0" w:rsidTr="001B3967">
        <w:trPr>
          <w:trHeight w:val="390"/>
        </w:trPr>
        <w:tc>
          <w:tcPr>
            <w:tcW w:w="3119"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Очікувані кількісні результати реалізації </w:t>
            </w:r>
            <w:proofErr w:type="spellStart"/>
            <w:r w:rsidRPr="001916D0">
              <w:rPr>
                <w:b/>
                <w:sz w:val="22"/>
                <w:lang w:val="uk-UA"/>
              </w:rPr>
              <w:t>проєкту</w:t>
            </w:r>
            <w:proofErr w:type="spellEnd"/>
            <w:r w:rsidRPr="001916D0">
              <w:rPr>
                <w:b/>
                <w:sz w:val="22"/>
                <w:lang w:val="uk-UA"/>
              </w:rPr>
              <w:t xml:space="preserve"> (індикатори)</w:t>
            </w:r>
          </w:p>
          <w:p w:rsidR="00E95FB1" w:rsidRPr="001916D0" w:rsidRDefault="00E95FB1" w:rsidP="001B3967">
            <w:pPr>
              <w:pStyle w:val="a7"/>
              <w:ind w:left="0"/>
              <w:rPr>
                <w:b/>
                <w:sz w:val="22"/>
                <w:lang w:val="uk-UA"/>
              </w:rPr>
            </w:pPr>
          </w:p>
        </w:tc>
        <w:tc>
          <w:tcPr>
            <w:tcW w:w="3053" w:type="dxa"/>
            <w:gridSpan w:val="3"/>
            <w:tcBorders>
              <w:bottom w:val="single" w:sz="4" w:space="0" w:color="auto"/>
              <w:right w:val="single" w:sz="4" w:space="0" w:color="auto"/>
            </w:tcBorders>
          </w:tcPr>
          <w:p w:rsidR="00E95FB1" w:rsidRPr="001916D0" w:rsidRDefault="00E95FB1" w:rsidP="001B3967">
            <w:pPr>
              <w:pStyle w:val="a7"/>
              <w:ind w:left="-108"/>
              <w:jc w:val="center"/>
              <w:rPr>
                <w:b/>
                <w:sz w:val="22"/>
                <w:lang w:val="uk-UA"/>
              </w:rPr>
            </w:pPr>
            <w:r w:rsidRPr="001916D0">
              <w:rPr>
                <w:b/>
                <w:sz w:val="22"/>
                <w:lang w:val="uk-UA"/>
              </w:rPr>
              <w:t>Найменування показника</w:t>
            </w:r>
          </w:p>
        </w:tc>
        <w:tc>
          <w:tcPr>
            <w:tcW w:w="1984" w:type="dxa"/>
            <w:gridSpan w:val="2"/>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Одиниця вимірювання</w:t>
            </w:r>
          </w:p>
          <w:p w:rsidR="00E95FB1" w:rsidRPr="001916D0" w:rsidRDefault="00E95FB1" w:rsidP="001B3967">
            <w:pPr>
              <w:pStyle w:val="a7"/>
              <w:ind w:left="0"/>
              <w:rPr>
                <w:b/>
                <w:sz w:val="22"/>
                <w:lang w:val="uk-UA"/>
              </w:rPr>
            </w:pPr>
          </w:p>
        </w:tc>
        <w:tc>
          <w:tcPr>
            <w:tcW w:w="1732" w:type="dxa"/>
            <w:gridSpan w:val="2"/>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Прогнозне (цільове) значення</w:t>
            </w:r>
          </w:p>
        </w:tc>
      </w:tr>
      <w:tr w:rsidR="00E95FB1" w:rsidRPr="001916D0" w:rsidTr="001B3967">
        <w:trPr>
          <w:trHeight w:val="585"/>
        </w:trPr>
        <w:tc>
          <w:tcPr>
            <w:tcW w:w="3119" w:type="dxa"/>
            <w:vMerge/>
            <w:shd w:val="clear" w:color="auto" w:fill="C6D9F1" w:themeFill="text2" w:themeFillTint="33"/>
          </w:tcPr>
          <w:p w:rsidR="00E95FB1" w:rsidRPr="001916D0" w:rsidRDefault="00E95FB1" w:rsidP="001B3967">
            <w:pPr>
              <w:pStyle w:val="a7"/>
              <w:ind w:left="0"/>
              <w:rPr>
                <w:b/>
                <w:sz w:val="22"/>
                <w:lang w:val="uk-UA"/>
              </w:rPr>
            </w:pPr>
          </w:p>
        </w:tc>
        <w:tc>
          <w:tcPr>
            <w:tcW w:w="3053"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Кількість фізичних та юридичних осіб, які звернулись за послугами</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осіб</w:t>
            </w:r>
          </w:p>
        </w:tc>
        <w:tc>
          <w:tcPr>
            <w:tcW w:w="1732" w:type="dxa"/>
            <w:gridSpan w:val="2"/>
            <w:tcBorders>
              <w:top w:val="single" w:sz="4" w:space="0" w:color="auto"/>
              <w:left w:val="single" w:sz="4" w:space="0" w:color="auto"/>
              <w:bottom w:val="single" w:sz="4" w:space="0" w:color="auto"/>
            </w:tcBorders>
            <w:vAlign w:val="center"/>
          </w:tcPr>
          <w:p w:rsidR="00E95FB1" w:rsidRPr="001916D0" w:rsidRDefault="00FA0E42" w:rsidP="001B3967">
            <w:pPr>
              <w:pStyle w:val="a7"/>
              <w:ind w:left="0"/>
              <w:jc w:val="center"/>
              <w:rPr>
                <w:b/>
                <w:sz w:val="22"/>
                <w:lang w:val="uk-UA"/>
              </w:rPr>
            </w:pPr>
            <w:r w:rsidRPr="001916D0">
              <w:rPr>
                <w:bCs/>
                <w:sz w:val="22"/>
                <w:szCs w:val="22"/>
                <w:lang w:val="uk-UA"/>
              </w:rPr>
              <w:t>70 000</w:t>
            </w:r>
          </w:p>
        </w:tc>
      </w:tr>
      <w:tr w:rsidR="00E95FB1" w:rsidRPr="001916D0" w:rsidTr="001B3967">
        <w:trPr>
          <w:trHeight w:val="603"/>
        </w:trPr>
        <w:tc>
          <w:tcPr>
            <w:tcW w:w="3119" w:type="dxa"/>
            <w:vMerge/>
            <w:shd w:val="clear" w:color="auto" w:fill="C6D9F1" w:themeFill="text2" w:themeFillTint="33"/>
          </w:tcPr>
          <w:p w:rsidR="00E95FB1" w:rsidRPr="001916D0" w:rsidRDefault="00E95FB1" w:rsidP="001B3967">
            <w:pPr>
              <w:pStyle w:val="a7"/>
              <w:ind w:left="0"/>
              <w:rPr>
                <w:b/>
                <w:sz w:val="22"/>
                <w:lang w:val="uk-UA"/>
              </w:rPr>
            </w:pPr>
          </w:p>
        </w:tc>
        <w:tc>
          <w:tcPr>
            <w:tcW w:w="3053"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Термін надання послуги</w:t>
            </w:r>
          </w:p>
        </w:tc>
        <w:tc>
          <w:tcPr>
            <w:tcW w:w="1984" w:type="dxa"/>
            <w:gridSpan w:val="2"/>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день</w:t>
            </w:r>
          </w:p>
        </w:tc>
        <w:tc>
          <w:tcPr>
            <w:tcW w:w="1732" w:type="dxa"/>
            <w:gridSpan w:val="2"/>
            <w:tcBorders>
              <w:top w:val="single" w:sz="4" w:space="0" w:color="auto"/>
              <w:lef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цілодобово</w:t>
            </w:r>
          </w:p>
        </w:tc>
      </w:tr>
      <w:tr w:rsidR="00E95FB1" w:rsidRPr="001916D0" w:rsidTr="001B3967">
        <w:tc>
          <w:tcPr>
            <w:tcW w:w="3119" w:type="dxa"/>
            <w:shd w:val="clear" w:color="auto" w:fill="C6D9F1" w:themeFill="text2" w:themeFillTint="33"/>
          </w:tcPr>
          <w:p w:rsidR="00E95FB1" w:rsidRPr="001916D0" w:rsidRDefault="00E95FB1" w:rsidP="001B3967">
            <w:pPr>
              <w:rPr>
                <w:b/>
                <w:sz w:val="22"/>
                <w:lang w:val="uk-UA"/>
              </w:rPr>
            </w:pPr>
          </w:p>
        </w:tc>
        <w:tc>
          <w:tcPr>
            <w:tcW w:w="3053" w:type="dxa"/>
            <w:gridSpan w:val="3"/>
          </w:tcPr>
          <w:p w:rsidR="00E95FB1" w:rsidRPr="001916D0" w:rsidRDefault="00E95FB1" w:rsidP="001B3967">
            <w:pPr>
              <w:pStyle w:val="a7"/>
              <w:ind w:left="0"/>
              <w:rPr>
                <w:sz w:val="22"/>
                <w:lang w:val="uk-UA"/>
              </w:rPr>
            </w:pPr>
            <w:r w:rsidRPr="001916D0">
              <w:rPr>
                <w:sz w:val="22"/>
                <w:lang w:val="uk-UA"/>
              </w:rPr>
              <w:t>Бомбосховище</w:t>
            </w:r>
          </w:p>
        </w:tc>
        <w:tc>
          <w:tcPr>
            <w:tcW w:w="1984" w:type="dxa"/>
            <w:gridSpan w:val="2"/>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732" w:type="dxa"/>
            <w:gridSpan w:val="2"/>
            <w:vAlign w:val="center"/>
          </w:tcPr>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c>
          <w:tcPr>
            <w:tcW w:w="3119" w:type="dxa"/>
            <w:shd w:val="clear" w:color="auto" w:fill="C6D9F1" w:themeFill="text2" w:themeFillTint="33"/>
          </w:tcPr>
          <w:p w:rsidR="00E95FB1" w:rsidRPr="001916D0" w:rsidRDefault="00E95FB1" w:rsidP="001B3967">
            <w:pPr>
              <w:rPr>
                <w:b/>
                <w:sz w:val="22"/>
                <w:lang w:val="uk-UA"/>
              </w:rPr>
            </w:pPr>
            <w:r w:rsidRPr="001916D0">
              <w:rPr>
                <w:b/>
                <w:sz w:val="22"/>
                <w:lang w:val="uk-UA"/>
              </w:rPr>
              <w:t xml:space="preserve">Ключові заходи проекту: </w:t>
            </w:r>
          </w:p>
          <w:p w:rsidR="00E95FB1" w:rsidRPr="001916D0" w:rsidRDefault="00E95FB1" w:rsidP="001B3967">
            <w:pPr>
              <w:pStyle w:val="a7"/>
              <w:ind w:left="0"/>
              <w:rPr>
                <w:b/>
                <w:sz w:val="22"/>
                <w:lang w:val="uk-UA"/>
              </w:rPr>
            </w:pPr>
          </w:p>
        </w:tc>
        <w:tc>
          <w:tcPr>
            <w:tcW w:w="6769" w:type="dxa"/>
            <w:gridSpan w:val="7"/>
          </w:tcPr>
          <w:p w:rsidR="00E95FB1" w:rsidRPr="001916D0" w:rsidRDefault="00E95FB1" w:rsidP="001B3967">
            <w:pPr>
              <w:pStyle w:val="a7"/>
              <w:ind w:left="0"/>
              <w:rPr>
                <w:sz w:val="22"/>
                <w:lang w:val="uk-UA"/>
              </w:rPr>
            </w:pPr>
            <w:r w:rsidRPr="001916D0">
              <w:rPr>
                <w:sz w:val="22"/>
                <w:lang w:val="uk-UA"/>
              </w:rPr>
              <w:t xml:space="preserve">- </w:t>
            </w:r>
            <w:r w:rsidRPr="001916D0">
              <w:rPr>
                <w:rStyle w:val="y2iqfc"/>
                <w:color w:val="000000"/>
                <w:sz w:val="22"/>
                <w:lang w:val="uk-UA"/>
              </w:rPr>
              <w:t>будівництво бомбосховища</w:t>
            </w:r>
            <w:r w:rsidRPr="001916D0">
              <w:rPr>
                <w:sz w:val="22"/>
                <w:lang w:val="uk-UA"/>
              </w:rPr>
              <w:t>;</w:t>
            </w:r>
          </w:p>
          <w:p w:rsidR="00E95FB1" w:rsidRPr="001916D0" w:rsidRDefault="00E95FB1" w:rsidP="001B3967">
            <w:pPr>
              <w:pStyle w:val="a7"/>
              <w:ind w:left="0"/>
              <w:rPr>
                <w:sz w:val="22"/>
                <w:lang w:val="uk-UA"/>
              </w:rPr>
            </w:pPr>
            <w:r w:rsidRPr="001916D0">
              <w:rPr>
                <w:sz w:val="22"/>
                <w:lang w:val="uk-UA"/>
              </w:rPr>
              <w:t xml:space="preserve">- </w:t>
            </w:r>
            <w:r w:rsidRPr="001916D0">
              <w:rPr>
                <w:rStyle w:val="y2iqfc"/>
                <w:color w:val="000000"/>
                <w:sz w:val="22"/>
                <w:lang w:val="uk-UA"/>
              </w:rPr>
              <w:t xml:space="preserve">будівництво мобільних </w:t>
            </w:r>
            <w:proofErr w:type="spellStart"/>
            <w:r w:rsidRPr="001916D0">
              <w:rPr>
                <w:rStyle w:val="y2iqfc"/>
                <w:color w:val="000000"/>
                <w:sz w:val="22"/>
                <w:lang w:val="uk-UA"/>
              </w:rPr>
              <w:t>укриттів</w:t>
            </w:r>
            <w:proofErr w:type="spellEnd"/>
            <w:r w:rsidRPr="001916D0">
              <w:rPr>
                <w:sz w:val="22"/>
                <w:lang w:val="uk-UA"/>
              </w:rPr>
              <w:t xml:space="preserve"> на водозаборах;</w:t>
            </w:r>
          </w:p>
          <w:p w:rsidR="00E95FB1" w:rsidRPr="001916D0" w:rsidRDefault="00E95FB1" w:rsidP="001B3967">
            <w:pPr>
              <w:pStyle w:val="a7"/>
              <w:ind w:left="0"/>
              <w:rPr>
                <w:sz w:val="22"/>
                <w:lang w:val="uk-UA"/>
              </w:rPr>
            </w:pPr>
            <w:r w:rsidRPr="001916D0">
              <w:rPr>
                <w:sz w:val="22"/>
                <w:lang w:val="uk-UA"/>
              </w:rPr>
              <w:t>- придбання технічного забезпечення;</w:t>
            </w:r>
          </w:p>
          <w:p w:rsidR="00E95FB1" w:rsidRPr="001916D0" w:rsidRDefault="00E95FB1" w:rsidP="001B3967">
            <w:pPr>
              <w:pStyle w:val="a7"/>
              <w:ind w:left="0"/>
              <w:rPr>
                <w:sz w:val="22"/>
                <w:lang w:val="uk-UA"/>
              </w:rPr>
            </w:pPr>
            <w:r w:rsidRPr="001916D0">
              <w:rPr>
                <w:sz w:val="22"/>
                <w:lang w:val="uk-UA"/>
              </w:rPr>
              <w:t xml:space="preserve">- визначення кількості осіб, які потребують отримання послуг бомбосховища та мобільних </w:t>
            </w:r>
            <w:proofErr w:type="spellStart"/>
            <w:r w:rsidRPr="001916D0">
              <w:rPr>
                <w:sz w:val="22"/>
                <w:lang w:val="uk-UA"/>
              </w:rPr>
              <w:t>укриттів</w:t>
            </w:r>
            <w:proofErr w:type="spellEnd"/>
            <w:r w:rsidRPr="001916D0">
              <w:rPr>
                <w:sz w:val="22"/>
                <w:lang w:val="uk-UA"/>
              </w:rPr>
              <w:t xml:space="preserve">; </w:t>
            </w:r>
          </w:p>
          <w:p w:rsidR="00E95FB1" w:rsidRPr="001916D0" w:rsidRDefault="00E95FB1" w:rsidP="001B3967">
            <w:pPr>
              <w:pStyle w:val="a7"/>
              <w:ind w:left="0"/>
              <w:rPr>
                <w:sz w:val="22"/>
                <w:lang w:val="uk-UA"/>
              </w:rPr>
            </w:pPr>
            <w:r w:rsidRPr="001916D0">
              <w:rPr>
                <w:sz w:val="22"/>
                <w:lang w:val="uk-UA"/>
              </w:rPr>
              <w:t>- організація та початок робочого процесу.</w:t>
            </w:r>
          </w:p>
        </w:tc>
      </w:tr>
      <w:tr w:rsidR="00E95FB1" w:rsidRPr="001916D0" w:rsidTr="001B3967">
        <w:trPr>
          <w:trHeight w:val="360"/>
        </w:trPr>
        <w:tc>
          <w:tcPr>
            <w:tcW w:w="3119"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Орієнтовний обсяг та джерела фінансування, тис. грн. </w:t>
            </w:r>
          </w:p>
          <w:p w:rsidR="00E95FB1" w:rsidRPr="001916D0" w:rsidRDefault="00E95FB1" w:rsidP="001B3967">
            <w:pPr>
              <w:pStyle w:val="a7"/>
              <w:ind w:left="0"/>
              <w:rPr>
                <w:b/>
                <w:sz w:val="22"/>
                <w:lang w:val="uk-UA"/>
              </w:rPr>
            </w:pPr>
          </w:p>
        </w:tc>
        <w:tc>
          <w:tcPr>
            <w:tcW w:w="1625"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Державний бюджет</w:t>
            </w:r>
          </w:p>
        </w:tc>
        <w:tc>
          <w:tcPr>
            <w:tcW w:w="1328"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Місцевий бюджет</w:t>
            </w:r>
          </w:p>
        </w:tc>
        <w:tc>
          <w:tcPr>
            <w:tcW w:w="2422" w:type="dxa"/>
            <w:gridSpan w:val="4"/>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Інші джерела</w:t>
            </w:r>
          </w:p>
        </w:tc>
        <w:tc>
          <w:tcPr>
            <w:tcW w:w="1394" w:type="dxa"/>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Всього</w:t>
            </w:r>
          </w:p>
        </w:tc>
      </w:tr>
      <w:tr w:rsidR="00E95FB1" w:rsidRPr="001916D0" w:rsidTr="001B3967">
        <w:trPr>
          <w:trHeight w:val="225"/>
        </w:trPr>
        <w:tc>
          <w:tcPr>
            <w:tcW w:w="3119" w:type="dxa"/>
            <w:vMerge/>
            <w:shd w:val="clear" w:color="auto" w:fill="C6D9F1" w:themeFill="text2" w:themeFillTint="33"/>
          </w:tcPr>
          <w:p w:rsidR="00E95FB1" w:rsidRPr="001916D0" w:rsidRDefault="00E95FB1" w:rsidP="001B3967">
            <w:pPr>
              <w:pStyle w:val="a7"/>
              <w:ind w:left="0"/>
              <w:rPr>
                <w:b/>
                <w:sz w:val="22"/>
                <w:lang w:val="uk-UA"/>
              </w:rPr>
            </w:pPr>
          </w:p>
        </w:tc>
        <w:tc>
          <w:tcPr>
            <w:tcW w:w="1625" w:type="dxa"/>
            <w:vMerge w:val="restart"/>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3 500,0</w:t>
            </w:r>
          </w:p>
        </w:tc>
        <w:tc>
          <w:tcPr>
            <w:tcW w:w="1328" w:type="dxa"/>
            <w:vMerge w:val="restart"/>
            <w:tcBorders>
              <w:top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w:t>
            </w:r>
          </w:p>
        </w:tc>
        <w:tc>
          <w:tcPr>
            <w:tcW w:w="967"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Обсяг</w:t>
            </w:r>
          </w:p>
        </w:tc>
        <w:tc>
          <w:tcPr>
            <w:tcW w:w="1455"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Назва джерела</w:t>
            </w:r>
          </w:p>
        </w:tc>
        <w:tc>
          <w:tcPr>
            <w:tcW w:w="1394" w:type="dxa"/>
            <w:vMerge w:val="restart"/>
            <w:tcBorders>
              <w:top w:val="single" w:sz="4" w:space="0" w:color="auto"/>
              <w:left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r w:rsidRPr="001916D0">
              <w:rPr>
                <w:sz w:val="22"/>
                <w:lang w:val="uk-UA"/>
              </w:rPr>
              <w:t>5 000,0</w:t>
            </w:r>
          </w:p>
        </w:tc>
      </w:tr>
      <w:tr w:rsidR="00E95FB1" w:rsidRPr="001916D0" w:rsidTr="001B3967">
        <w:trPr>
          <w:trHeight w:val="300"/>
        </w:trPr>
        <w:tc>
          <w:tcPr>
            <w:tcW w:w="3119" w:type="dxa"/>
            <w:vMerge/>
            <w:shd w:val="clear" w:color="auto" w:fill="C6D9F1" w:themeFill="text2" w:themeFillTint="33"/>
          </w:tcPr>
          <w:p w:rsidR="00E95FB1" w:rsidRPr="001916D0" w:rsidRDefault="00E95FB1" w:rsidP="001B3967">
            <w:pPr>
              <w:pStyle w:val="a7"/>
              <w:ind w:left="0"/>
              <w:rPr>
                <w:b/>
                <w:sz w:val="22"/>
                <w:lang w:val="uk-UA"/>
              </w:rPr>
            </w:pPr>
          </w:p>
        </w:tc>
        <w:tc>
          <w:tcPr>
            <w:tcW w:w="1625" w:type="dxa"/>
            <w:vMerge/>
            <w:tcBorders>
              <w:right w:val="single" w:sz="4" w:space="0" w:color="auto"/>
            </w:tcBorders>
          </w:tcPr>
          <w:p w:rsidR="00E95FB1" w:rsidRPr="001916D0" w:rsidRDefault="00E95FB1" w:rsidP="001B3967">
            <w:pPr>
              <w:pStyle w:val="a7"/>
              <w:ind w:left="0"/>
              <w:jc w:val="center"/>
              <w:rPr>
                <w:sz w:val="22"/>
                <w:lang w:val="uk-UA"/>
              </w:rPr>
            </w:pPr>
          </w:p>
        </w:tc>
        <w:tc>
          <w:tcPr>
            <w:tcW w:w="1328" w:type="dxa"/>
            <w:vMerge/>
            <w:tcBorders>
              <w:right w:val="single" w:sz="4" w:space="0" w:color="auto"/>
            </w:tcBorders>
          </w:tcPr>
          <w:p w:rsidR="00E95FB1" w:rsidRPr="001916D0" w:rsidRDefault="00E95FB1" w:rsidP="001B3967">
            <w:pPr>
              <w:pStyle w:val="a7"/>
              <w:ind w:left="0"/>
              <w:jc w:val="center"/>
              <w:rPr>
                <w:b/>
                <w:sz w:val="22"/>
                <w:lang w:val="uk-UA"/>
              </w:rPr>
            </w:pPr>
          </w:p>
        </w:tc>
        <w:tc>
          <w:tcPr>
            <w:tcW w:w="967"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sz w:val="22"/>
                <w:lang w:val="uk-UA"/>
              </w:rPr>
              <w:t>1 500,0</w:t>
            </w:r>
          </w:p>
        </w:tc>
        <w:tc>
          <w:tcPr>
            <w:tcW w:w="1455"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Міжнародні інвестиції, кошти приватних осіб</w:t>
            </w:r>
          </w:p>
        </w:tc>
        <w:tc>
          <w:tcPr>
            <w:tcW w:w="1394" w:type="dxa"/>
            <w:vMerge/>
            <w:tcBorders>
              <w:left w:val="single" w:sz="4" w:space="0" w:color="auto"/>
            </w:tcBorders>
          </w:tcPr>
          <w:p w:rsidR="00E95FB1" w:rsidRPr="001916D0" w:rsidRDefault="00E95FB1" w:rsidP="001B3967">
            <w:pPr>
              <w:pStyle w:val="a7"/>
              <w:ind w:left="0"/>
              <w:jc w:val="center"/>
              <w:rPr>
                <w:sz w:val="22"/>
                <w:lang w:val="uk-UA"/>
              </w:rPr>
            </w:pPr>
          </w:p>
        </w:tc>
      </w:tr>
    </w:tbl>
    <w:p w:rsidR="00E95FB1" w:rsidRPr="001916D0" w:rsidRDefault="00E95FB1" w:rsidP="00E95FB1">
      <w:pPr>
        <w:rPr>
          <w:sz w:val="22"/>
        </w:rPr>
      </w:pPr>
    </w:p>
    <w:p w:rsidR="00E95FB1" w:rsidRPr="001916D0" w:rsidRDefault="00E95FB1" w:rsidP="00E95FB1">
      <w:pPr>
        <w:rPr>
          <w:sz w:val="22"/>
        </w:rPr>
      </w:pPr>
    </w:p>
    <w:p w:rsidR="00E95FB1" w:rsidRPr="001916D0" w:rsidRDefault="00E95FB1" w:rsidP="00E95FB1">
      <w:pPr>
        <w:rPr>
          <w:sz w:val="22"/>
        </w:rPr>
      </w:pPr>
    </w:p>
    <w:tbl>
      <w:tblPr>
        <w:tblStyle w:val="af"/>
        <w:tblW w:w="0" w:type="auto"/>
        <w:tblInd w:w="-176" w:type="dxa"/>
        <w:tblLook w:val="04A0" w:firstRow="1" w:lastRow="0" w:firstColumn="1" w:lastColumn="0" w:noHBand="0" w:noVBand="1"/>
      </w:tblPr>
      <w:tblGrid>
        <w:gridCol w:w="2964"/>
        <w:gridCol w:w="1603"/>
        <w:gridCol w:w="1332"/>
        <w:gridCol w:w="102"/>
        <w:gridCol w:w="853"/>
        <w:gridCol w:w="848"/>
        <w:gridCol w:w="596"/>
        <w:gridCol w:w="1364"/>
      </w:tblGrid>
      <w:tr w:rsidR="00E95FB1" w:rsidRPr="001916D0" w:rsidTr="001B3967">
        <w:tc>
          <w:tcPr>
            <w:tcW w:w="311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Оперативна ціль/завдання</w:t>
            </w:r>
          </w:p>
        </w:tc>
        <w:tc>
          <w:tcPr>
            <w:tcW w:w="6769" w:type="dxa"/>
            <w:gridSpan w:val="7"/>
            <w:shd w:val="clear" w:color="auto" w:fill="auto"/>
          </w:tcPr>
          <w:p w:rsidR="00E95FB1" w:rsidRPr="001916D0" w:rsidRDefault="00E95FB1" w:rsidP="001B3967">
            <w:pPr>
              <w:pStyle w:val="a7"/>
              <w:ind w:left="0"/>
              <w:rPr>
                <w:sz w:val="22"/>
                <w:lang w:val="uk-UA"/>
              </w:rPr>
            </w:pPr>
            <w:r w:rsidRPr="001916D0">
              <w:rPr>
                <w:rFonts w:eastAsia="Arial"/>
                <w:sz w:val="22"/>
                <w:lang w:val="uk-UA"/>
              </w:rPr>
              <w:t>Комфорт життя ЛЮДИНИ як безпека, екологічна сталість та розумна енергетика. Екологічна сталість через знання та партнерства</w:t>
            </w:r>
            <w:r w:rsidRPr="001916D0">
              <w:rPr>
                <w:sz w:val="22"/>
                <w:lang w:val="uk-UA"/>
              </w:rPr>
              <w:t xml:space="preserve"> </w:t>
            </w:r>
          </w:p>
        </w:tc>
      </w:tr>
      <w:tr w:rsidR="00E95FB1" w:rsidRPr="001916D0" w:rsidTr="001B3967">
        <w:tc>
          <w:tcPr>
            <w:tcW w:w="311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Назва проекту:</w:t>
            </w:r>
          </w:p>
        </w:tc>
        <w:tc>
          <w:tcPr>
            <w:tcW w:w="6769" w:type="dxa"/>
            <w:gridSpan w:val="7"/>
          </w:tcPr>
          <w:p w:rsidR="00E95FB1" w:rsidRPr="001916D0" w:rsidRDefault="00E95FB1" w:rsidP="001B3967">
            <w:pPr>
              <w:pStyle w:val="a7"/>
              <w:ind w:left="0"/>
              <w:rPr>
                <w:sz w:val="22"/>
                <w:lang w:val="uk-UA"/>
              </w:rPr>
            </w:pPr>
            <w:r w:rsidRPr="001916D0">
              <w:rPr>
                <w:rStyle w:val="y2iqfc"/>
                <w:color w:val="202124"/>
                <w:sz w:val="22"/>
                <w:lang w:val="uk-UA"/>
              </w:rPr>
              <w:t>Модернізація комплексу будівель та споруд підприємства</w:t>
            </w:r>
            <w:r w:rsidRPr="001916D0">
              <w:rPr>
                <w:sz w:val="22"/>
                <w:lang w:val="uk-UA"/>
              </w:rPr>
              <w:t xml:space="preserve"> КП «СЄВЄРОДОНЕЦЬКВОДОКАНАЛ»</w:t>
            </w:r>
          </w:p>
        </w:tc>
      </w:tr>
      <w:tr w:rsidR="00E95FB1" w:rsidRPr="001916D0" w:rsidTr="001B3967">
        <w:tc>
          <w:tcPr>
            <w:tcW w:w="3119" w:type="dxa"/>
            <w:shd w:val="clear" w:color="auto" w:fill="C6D9F1" w:themeFill="text2" w:themeFillTint="33"/>
          </w:tcPr>
          <w:p w:rsidR="00E95FB1" w:rsidRPr="001916D0" w:rsidRDefault="00E95FB1" w:rsidP="001B3967">
            <w:pPr>
              <w:rPr>
                <w:b/>
                <w:sz w:val="22"/>
                <w:lang w:val="uk-UA"/>
              </w:rPr>
            </w:pPr>
            <w:r w:rsidRPr="001916D0">
              <w:rPr>
                <w:b/>
                <w:sz w:val="22"/>
                <w:lang w:val="uk-UA"/>
              </w:rPr>
              <w:t>Ціль проекту</w:t>
            </w:r>
          </w:p>
        </w:tc>
        <w:tc>
          <w:tcPr>
            <w:tcW w:w="6769" w:type="dxa"/>
            <w:gridSpan w:val="7"/>
          </w:tcPr>
          <w:p w:rsidR="00E95FB1" w:rsidRPr="001916D0" w:rsidRDefault="00E95FB1" w:rsidP="001B3967">
            <w:pPr>
              <w:pStyle w:val="a7"/>
              <w:ind w:left="0"/>
              <w:rPr>
                <w:sz w:val="22"/>
                <w:lang w:val="uk-UA"/>
              </w:rPr>
            </w:pPr>
            <w:r w:rsidRPr="001916D0">
              <w:rPr>
                <w:sz w:val="22"/>
                <w:lang w:val="uk-UA"/>
              </w:rPr>
              <w:t>Відновити та покращити роботу комунального підприємства «СЄВЄРОДОНЕЦЬКВОДОКАНАЛ» для надання широкого спектру послуг, пов’язаних із централізованим водопостачанням та централізованим водовідведенням,  задоволення потреб мешканців Сєвєродонецької міської територіальної громади у необхідних послугах централізованого водопостачання, централізованого водовідведення та сталого розвитку громади.</w:t>
            </w:r>
          </w:p>
        </w:tc>
      </w:tr>
      <w:tr w:rsidR="00E95FB1" w:rsidRPr="001916D0" w:rsidTr="001B3967">
        <w:tc>
          <w:tcPr>
            <w:tcW w:w="311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Територія, на яку матиме вплив реалізація проекту</w:t>
            </w:r>
          </w:p>
        </w:tc>
        <w:tc>
          <w:tcPr>
            <w:tcW w:w="6769" w:type="dxa"/>
            <w:gridSpan w:val="7"/>
          </w:tcPr>
          <w:p w:rsidR="00E95FB1" w:rsidRPr="001916D0" w:rsidRDefault="00E95FB1" w:rsidP="001B3967">
            <w:pPr>
              <w:pStyle w:val="a7"/>
              <w:ind w:left="0"/>
              <w:rPr>
                <w:sz w:val="22"/>
                <w:lang w:val="uk-UA"/>
              </w:rPr>
            </w:pPr>
            <w:r w:rsidRPr="001916D0">
              <w:rPr>
                <w:sz w:val="22"/>
                <w:lang w:val="uk-UA"/>
              </w:rPr>
              <w:t>Сєвєродонецька міська територіальна громада</w:t>
            </w:r>
          </w:p>
        </w:tc>
      </w:tr>
      <w:tr w:rsidR="00E95FB1" w:rsidRPr="001916D0" w:rsidTr="001B3967">
        <w:tc>
          <w:tcPr>
            <w:tcW w:w="311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Чисельність населення, на яке матиме вплив реалізація проекту</w:t>
            </w:r>
          </w:p>
        </w:tc>
        <w:tc>
          <w:tcPr>
            <w:tcW w:w="6769" w:type="dxa"/>
            <w:gridSpan w:val="7"/>
          </w:tcPr>
          <w:p w:rsidR="00E95FB1" w:rsidRPr="001916D0" w:rsidRDefault="00E95FB1" w:rsidP="001B3967">
            <w:pPr>
              <w:pStyle w:val="a7"/>
              <w:ind w:left="0"/>
              <w:rPr>
                <w:sz w:val="22"/>
                <w:lang w:val="uk-UA"/>
              </w:rPr>
            </w:pPr>
            <w:r w:rsidRPr="001916D0">
              <w:rPr>
                <w:sz w:val="22"/>
                <w:lang w:val="uk-UA"/>
              </w:rPr>
              <w:t xml:space="preserve"> 70 000  осіб</w:t>
            </w:r>
          </w:p>
        </w:tc>
      </w:tr>
      <w:tr w:rsidR="00E95FB1" w:rsidRPr="001916D0" w:rsidTr="001B3967">
        <w:tc>
          <w:tcPr>
            <w:tcW w:w="3119" w:type="dxa"/>
            <w:shd w:val="clear" w:color="auto" w:fill="C6D9F1" w:themeFill="text2" w:themeFillTint="33"/>
          </w:tcPr>
          <w:p w:rsidR="00E95FB1" w:rsidRPr="001916D0" w:rsidRDefault="00E95FB1" w:rsidP="001B3967">
            <w:pPr>
              <w:rPr>
                <w:b/>
                <w:sz w:val="22"/>
                <w:lang w:val="uk-UA"/>
              </w:rPr>
            </w:pPr>
            <w:r w:rsidRPr="001916D0">
              <w:rPr>
                <w:b/>
                <w:sz w:val="22"/>
                <w:lang w:val="uk-UA"/>
              </w:rPr>
              <w:t>Опис проблеми, на вирішення якої  спрямований проект</w:t>
            </w:r>
          </w:p>
        </w:tc>
        <w:tc>
          <w:tcPr>
            <w:tcW w:w="6769" w:type="dxa"/>
            <w:gridSpan w:val="7"/>
          </w:tcPr>
          <w:p w:rsidR="00083C16" w:rsidRPr="001916D0" w:rsidRDefault="00E95FB1" w:rsidP="00083C16">
            <w:pPr>
              <w:ind w:firstLine="708"/>
              <w:jc w:val="left"/>
              <w:rPr>
                <w:sz w:val="22"/>
                <w:szCs w:val="22"/>
                <w:lang w:val="uk-UA"/>
              </w:rPr>
            </w:pPr>
            <w:r w:rsidRPr="001916D0">
              <w:rPr>
                <w:sz w:val="22"/>
                <w:lang w:val="uk-UA"/>
              </w:rPr>
              <w:t xml:space="preserve">Через військову агресію РФ територія Сєвєродонецької міської територіальної громади зазнала значних пошкоджень, включаючи будівлі та споруди            </w:t>
            </w:r>
          </w:p>
          <w:p w:rsidR="00E95FB1" w:rsidRPr="001916D0" w:rsidRDefault="00E95FB1" w:rsidP="00083C16">
            <w:pPr>
              <w:ind w:firstLine="34"/>
              <w:jc w:val="left"/>
              <w:rPr>
                <w:sz w:val="22"/>
                <w:lang w:val="uk-UA"/>
              </w:rPr>
            </w:pPr>
            <w:r w:rsidRPr="001916D0">
              <w:rPr>
                <w:sz w:val="22"/>
                <w:lang w:val="uk-UA"/>
              </w:rPr>
              <w:t>КП</w:t>
            </w:r>
            <w:r w:rsidR="00083C16" w:rsidRPr="001916D0">
              <w:rPr>
                <w:bCs/>
                <w:sz w:val="22"/>
                <w:szCs w:val="22"/>
                <w:lang w:val="uk-UA"/>
              </w:rPr>
              <w:t xml:space="preserve"> </w:t>
            </w:r>
            <w:r w:rsidRPr="001916D0">
              <w:rPr>
                <w:sz w:val="22"/>
                <w:lang w:val="uk-UA"/>
              </w:rPr>
              <w:t>«СЄВЄРОДОНЕЦЬКВОДОКАНАЛ».</w:t>
            </w:r>
          </w:p>
          <w:p w:rsidR="00A77386" w:rsidRPr="001916D0" w:rsidRDefault="00E95FB1" w:rsidP="00A77386">
            <w:pPr>
              <w:pStyle w:val="13"/>
              <w:rPr>
                <w:rFonts w:eastAsia="Arial"/>
                <w:sz w:val="22"/>
                <w:lang w:val="uk-UA"/>
              </w:rPr>
            </w:pPr>
            <w:r w:rsidRPr="001916D0">
              <w:rPr>
                <w:rFonts w:eastAsia="Arial"/>
                <w:sz w:val="22"/>
                <w:lang w:val="uk-UA"/>
              </w:rPr>
              <w:t xml:space="preserve">            Для відбудови та сталого розвитку громади потрібне відновлення пошкоджених будівель, споруд, модернізація гаражів, складу, зварювальних </w:t>
            </w:r>
          </w:p>
          <w:p w:rsidR="00E95FB1" w:rsidRPr="001916D0" w:rsidRDefault="00E95FB1" w:rsidP="00A77386">
            <w:pPr>
              <w:pStyle w:val="13"/>
              <w:rPr>
                <w:sz w:val="22"/>
                <w:lang w:val="uk-UA"/>
              </w:rPr>
            </w:pPr>
            <w:r w:rsidRPr="001916D0">
              <w:rPr>
                <w:rFonts w:eastAsia="Arial"/>
                <w:sz w:val="22"/>
                <w:lang w:val="uk-UA"/>
              </w:rPr>
              <w:t xml:space="preserve">КП «СЄВЄРОДОНЕЦЬКВОДОКАНАЛ». Мешканці громади потребують в отриманні якісних  послуг централізованого водопостачання та централізованого водовідведення, які відповідають нормам сучасності. </w:t>
            </w:r>
          </w:p>
        </w:tc>
      </w:tr>
      <w:tr w:rsidR="00E95FB1" w:rsidRPr="001916D0" w:rsidTr="001B3967">
        <w:tc>
          <w:tcPr>
            <w:tcW w:w="311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якісні результати від реалізації проекту</w:t>
            </w:r>
          </w:p>
        </w:tc>
        <w:tc>
          <w:tcPr>
            <w:tcW w:w="6769" w:type="dxa"/>
            <w:gridSpan w:val="7"/>
          </w:tcPr>
          <w:p w:rsidR="00E95FB1" w:rsidRPr="001916D0" w:rsidRDefault="00E95FB1" w:rsidP="001B3967">
            <w:pPr>
              <w:pStyle w:val="a7"/>
              <w:ind w:left="0"/>
              <w:rPr>
                <w:sz w:val="22"/>
                <w:lang w:val="uk-UA"/>
              </w:rPr>
            </w:pPr>
            <w:r w:rsidRPr="001916D0">
              <w:rPr>
                <w:sz w:val="22"/>
                <w:lang w:val="uk-UA"/>
              </w:rPr>
              <w:t>- забезпечення населення можливостями для реалізації його конституційних прав, пов’язаних із правом користування природними водними ресурсами</w:t>
            </w:r>
            <w:r w:rsidR="00FE7ED2" w:rsidRPr="001916D0">
              <w:rPr>
                <w:bCs/>
                <w:sz w:val="22"/>
                <w:szCs w:val="22"/>
                <w:lang w:val="uk-UA"/>
              </w:rPr>
              <w:t xml:space="preserve"> </w:t>
            </w:r>
            <w:r w:rsidRPr="001916D0">
              <w:rPr>
                <w:sz w:val="22"/>
                <w:lang w:val="uk-UA"/>
              </w:rPr>
              <w:t>(ст.13 Конституції України);</w:t>
            </w:r>
          </w:p>
          <w:p w:rsidR="00E95FB1" w:rsidRPr="001916D0" w:rsidRDefault="00E95FB1" w:rsidP="001B3967">
            <w:pPr>
              <w:pStyle w:val="a7"/>
              <w:ind w:left="0"/>
              <w:rPr>
                <w:sz w:val="22"/>
                <w:lang w:val="uk-UA"/>
              </w:rPr>
            </w:pPr>
            <w:r w:rsidRPr="001916D0">
              <w:rPr>
                <w:sz w:val="22"/>
                <w:lang w:val="uk-UA"/>
              </w:rPr>
              <w:t>- надання широкого спектру послуг, пов’язаних із централізованим водопостачанням та централізованим водовідведенням;</w:t>
            </w:r>
          </w:p>
          <w:p w:rsidR="00E95FB1" w:rsidRPr="001916D0" w:rsidRDefault="00E95FB1" w:rsidP="001B3967">
            <w:pPr>
              <w:pStyle w:val="a7"/>
              <w:ind w:left="0"/>
              <w:rPr>
                <w:sz w:val="22"/>
                <w:lang w:val="uk-UA"/>
              </w:rPr>
            </w:pPr>
            <w:r w:rsidRPr="001916D0">
              <w:rPr>
                <w:sz w:val="22"/>
                <w:lang w:val="uk-UA"/>
              </w:rPr>
              <w:lastRenderedPageBreak/>
              <w:t>- вирішення ряду питань в межах статутної діяльності, пов’язаних із відбудовою та сталим розвитком громади;</w:t>
            </w:r>
          </w:p>
          <w:p w:rsidR="00E95FB1" w:rsidRPr="001916D0" w:rsidRDefault="00E95FB1" w:rsidP="001B3967">
            <w:pPr>
              <w:pStyle w:val="a7"/>
              <w:ind w:left="0"/>
              <w:rPr>
                <w:sz w:val="22"/>
                <w:lang w:val="uk-UA"/>
              </w:rPr>
            </w:pPr>
            <w:r w:rsidRPr="001916D0">
              <w:rPr>
                <w:sz w:val="22"/>
                <w:lang w:val="uk-UA"/>
              </w:rPr>
              <w:t>- створення нових робочих місць;</w:t>
            </w:r>
          </w:p>
          <w:p w:rsidR="00E95FB1" w:rsidRPr="001916D0" w:rsidRDefault="00E95FB1" w:rsidP="001B3967">
            <w:pPr>
              <w:pStyle w:val="a7"/>
              <w:ind w:left="0"/>
              <w:rPr>
                <w:sz w:val="22"/>
                <w:lang w:val="uk-UA"/>
              </w:rPr>
            </w:pPr>
            <w:r w:rsidRPr="001916D0">
              <w:rPr>
                <w:sz w:val="22"/>
                <w:lang w:val="uk-UA"/>
              </w:rPr>
              <w:t>- стимул до повернення ВПО до громади.</w:t>
            </w:r>
          </w:p>
        </w:tc>
      </w:tr>
      <w:tr w:rsidR="00E95FB1" w:rsidRPr="001916D0" w:rsidTr="001B3967">
        <w:trPr>
          <w:trHeight w:val="390"/>
        </w:trPr>
        <w:tc>
          <w:tcPr>
            <w:tcW w:w="3119"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lastRenderedPageBreak/>
              <w:t xml:space="preserve">Очікувані кількісні результати реалізації </w:t>
            </w:r>
            <w:proofErr w:type="spellStart"/>
            <w:r w:rsidRPr="001916D0">
              <w:rPr>
                <w:b/>
                <w:sz w:val="22"/>
                <w:lang w:val="uk-UA"/>
              </w:rPr>
              <w:t>проєкту</w:t>
            </w:r>
            <w:proofErr w:type="spellEnd"/>
            <w:r w:rsidRPr="001916D0">
              <w:rPr>
                <w:b/>
                <w:sz w:val="22"/>
                <w:lang w:val="uk-UA"/>
              </w:rPr>
              <w:t xml:space="preserve"> (індикатори)</w:t>
            </w:r>
          </w:p>
          <w:p w:rsidR="00E95FB1" w:rsidRPr="001916D0" w:rsidRDefault="00E95FB1" w:rsidP="001B3967">
            <w:pPr>
              <w:pStyle w:val="a7"/>
              <w:ind w:left="0"/>
              <w:rPr>
                <w:b/>
                <w:sz w:val="22"/>
                <w:lang w:val="uk-UA"/>
              </w:rPr>
            </w:pPr>
          </w:p>
        </w:tc>
        <w:tc>
          <w:tcPr>
            <w:tcW w:w="3072" w:type="dxa"/>
            <w:gridSpan w:val="3"/>
            <w:tcBorders>
              <w:bottom w:val="single" w:sz="4" w:space="0" w:color="auto"/>
              <w:right w:val="single" w:sz="4" w:space="0" w:color="auto"/>
            </w:tcBorders>
          </w:tcPr>
          <w:p w:rsidR="00E95FB1" w:rsidRPr="001916D0" w:rsidRDefault="00E95FB1" w:rsidP="001B3967">
            <w:pPr>
              <w:pStyle w:val="a7"/>
              <w:ind w:left="-108"/>
              <w:jc w:val="center"/>
              <w:rPr>
                <w:b/>
                <w:sz w:val="22"/>
                <w:lang w:val="uk-UA"/>
              </w:rPr>
            </w:pPr>
            <w:r w:rsidRPr="001916D0">
              <w:rPr>
                <w:b/>
                <w:sz w:val="22"/>
                <w:lang w:val="uk-UA"/>
              </w:rPr>
              <w:t>Найменування показника</w:t>
            </w:r>
          </w:p>
        </w:tc>
        <w:tc>
          <w:tcPr>
            <w:tcW w:w="1701" w:type="dxa"/>
            <w:gridSpan w:val="2"/>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Одиниця вимірювання</w:t>
            </w:r>
          </w:p>
          <w:p w:rsidR="00E95FB1" w:rsidRPr="001916D0" w:rsidRDefault="00E95FB1" w:rsidP="001B3967">
            <w:pPr>
              <w:pStyle w:val="a7"/>
              <w:ind w:left="0"/>
              <w:rPr>
                <w:b/>
                <w:sz w:val="22"/>
                <w:lang w:val="uk-UA"/>
              </w:rPr>
            </w:pPr>
          </w:p>
        </w:tc>
        <w:tc>
          <w:tcPr>
            <w:tcW w:w="1996" w:type="dxa"/>
            <w:gridSpan w:val="2"/>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Прогнозне (цільове) значення</w:t>
            </w:r>
          </w:p>
        </w:tc>
      </w:tr>
      <w:tr w:rsidR="00E95FB1" w:rsidRPr="001916D0" w:rsidTr="001B3967">
        <w:trPr>
          <w:trHeight w:val="585"/>
        </w:trPr>
        <w:tc>
          <w:tcPr>
            <w:tcW w:w="3119" w:type="dxa"/>
            <w:vMerge/>
            <w:shd w:val="clear" w:color="auto" w:fill="C6D9F1" w:themeFill="text2" w:themeFillTint="33"/>
          </w:tcPr>
          <w:p w:rsidR="00E95FB1" w:rsidRPr="001916D0" w:rsidRDefault="00E95FB1" w:rsidP="001B3967">
            <w:pPr>
              <w:pStyle w:val="a7"/>
              <w:ind w:left="0"/>
              <w:rPr>
                <w:b/>
                <w:sz w:val="22"/>
                <w:lang w:val="uk-UA"/>
              </w:rPr>
            </w:pPr>
          </w:p>
        </w:tc>
        <w:tc>
          <w:tcPr>
            <w:tcW w:w="3072"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Кількість фізичних та юридичних осіб, які звернулись за послугами протягом  року</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осіб</w:t>
            </w:r>
          </w:p>
        </w:tc>
        <w:tc>
          <w:tcPr>
            <w:tcW w:w="1996" w:type="dxa"/>
            <w:gridSpan w:val="2"/>
            <w:tcBorders>
              <w:top w:val="single" w:sz="4" w:space="0" w:color="auto"/>
              <w:left w:val="single" w:sz="4" w:space="0" w:color="auto"/>
              <w:bottom w:val="single" w:sz="4" w:space="0" w:color="auto"/>
            </w:tcBorders>
            <w:vAlign w:val="center"/>
          </w:tcPr>
          <w:p w:rsidR="00E95FB1" w:rsidRPr="001916D0" w:rsidRDefault="00E95FB1" w:rsidP="001B3967">
            <w:pPr>
              <w:pStyle w:val="a7"/>
              <w:ind w:left="0"/>
              <w:jc w:val="center"/>
              <w:rPr>
                <w:b/>
                <w:sz w:val="22"/>
                <w:lang w:val="uk-UA"/>
              </w:rPr>
            </w:pPr>
            <w:r w:rsidRPr="001916D0">
              <w:rPr>
                <w:sz w:val="22"/>
                <w:lang w:val="uk-UA"/>
              </w:rPr>
              <w:t>70 000,0</w:t>
            </w:r>
          </w:p>
        </w:tc>
      </w:tr>
      <w:tr w:rsidR="00E95FB1" w:rsidRPr="001916D0" w:rsidTr="001B3967">
        <w:trPr>
          <w:trHeight w:val="184"/>
        </w:trPr>
        <w:tc>
          <w:tcPr>
            <w:tcW w:w="3119" w:type="dxa"/>
            <w:vMerge/>
            <w:shd w:val="clear" w:color="auto" w:fill="C6D9F1" w:themeFill="text2" w:themeFillTint="33"/>
          </w:tcPr>
          <w:p w:rsidR="00E95FB1" w:rsidRPr="001916D0" w:rsidRDefault="00E95FB1" w:rsidP="001B3967">
            <w:pPr>
              <w:pStyle w:val="a7"/>
              <w:ind w:left="0"/>
              <w:rPr>
                <w:b/>
                <w:sz w:val="22"/>
                <w:lang w:val="uk-UA"/>
              </w:rPr>
            </w:pPr>
          </w:p>
        </w:tc>
        <w:tc>
          <w:tcPr>
            <w:tcW w:w="3072"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Кількість видів та типів послуг</w:t>
            </w:r>
            <w:r w:rsidR="00FE7ED2" w:rsidRPr="001916D0">
              <w:rPr>
                <w:bCs/>
                <w:sz w:val="22"/>
                <w:szCs w:val="22"/>
                <w:lang w:val="uk-UA"/>
              </w:rPr>
              <w:t>,</w:t>
            </w:r>
            <w:r w:rsidRPr="001916D0">
              <w:rPr>
                <w:sz w:val="22"/>
                <w:lang w:val="uk-UA"/>
              </w:rPr>
              <w:t xml:space="preserve"> наданих протягом одно робочого дня</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996" w:type="dxa"/>
            <w:gridSpan w:val="2"/>
            <w:tcBorders>
              <w:top w:val="single" w:sz="4" w:space="0" w:color="auto"/>
              <w:left w:val="single" w:sz="4" w:space="0" w:color="auto"/>
              <w:bottom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highlight w:val="yellow"/>
                <w:lang w:val="uk-UA"/>
              </w:rPr>
            </w:pPr>
            <w:r w:rsidRPr="001916D0">
              <w:rPr>
                <w:sz w:val="22"/>
                <w:lang w:val="uk-UA"/>
              </w:rPr>
              <w:t>8</w:t>
            </w:r>
          </w:p>
        </w:tc>
      </w:tr>
      <w:tr w:rsidR="00E95FB1" w:rsidRPr="001916D0" w:rsidTr="001B3967">
        <w:trPr>
          <w:trHeight w:val="165"/>
        </w:trPr>
        <w:tc>
          <w:tcPr>
            <w:tcW w:w="3119" w:type="dxa"/>
            <w:vMerge/>
            <w:shd w:val="clear" w:color="auto" w:fill="C6D9F1" w:themeFill="text2" w:themeFillTint="33"/>
          </w:tcPr>
          <w:p w:rsidR="00E95FB1" w:rsidRPr="001916D0" w:rsidRDefault="00E95FB1" w:rsidP="001B3967">
            <w:pPr>
              <w:pStyle w:val="a7"/>
              <w:ind w:left="0"/>
              <w:rPr>
                <w:b/>
                <w:sz w:val="22"/>
                <w:lang w:val="uk-UA"/>
              </w:rPr>
            </w:pPr>
          </w:p>
        </w:tc>
        <w:tc>
          <w:tcPr>
            <w:tcW w:w="3072"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Середня вартість послуг</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грн</w:t>
            </w:r>
          </w:p>
        </w:tc>
        <w:tc>
          <w:tcPr>
            <w:tcW w:w="1996" w:type="dxa"/>
            <w:gridSpan w:val="2"/>
            <w:tcBorders>
              <w:top w:val="single" w:sz="4" w:space="0" w:color="auto"/>
              <w:left w:val="single" w:sz="4" w:space="0" w:color="auto"/>
              <w:bottom w:val="single" w:sz="4" w:space="0" w:color="auto"/>
            </w:tcBorders>
          </w:tcPr>
          <w:p w:rsidR="00E95FB1" w:rsidRPr="001916D0" w:rsidRDefault="00E95FB1" w:rsidP="001B3967">
            <w:pPr>
              <w:pStyle w:val="a7"/>
              <w:ind w:left="0"/>
              <w:jc w:val="center"/>
              <w:rPr>
                <w:sz w:val="22"/>
                <w:lang w:val="uk-UA"/>
              </w:rPr>
            </w:pPr>
            <w:r w:rsidRPr="001916D0">
              <w:rPr>
                <w:sz w:val="22"/>
                <w:lang w:val="uk-UA"/>
              </w:rPr>
              <w:t>18,30</w:t>
            </w:r>
          </w:p>
        </w:tc>
      </w:tr>
      <w:tr w:rsidR="00E95FB1" w:rsidRPr="001916D0" w:rsidTr="001B3967">
        <w:trPr>
          <w:trHeight w:val="150"/>
        </w:trPr>
        <w:tc>
          <w:tcPr>
            <w:tcW w:w="3119" w:type="dxa"/>
            <w:vMerge/>
            <w:shd w:val="clear" w:color="auto" w:fill="C6D9F1" w:themeFill="text2" w:themeFillTint="33"/>
          </w:tcPr>
          <w:p w:rsidR="00E95FB1" w:rsidRPr="001916D0" w:rsidRDefault="00E95FB1" w:rsidP="001B3967">
            <w:pPr>
              <w:pStyle w:val="a7"/>
              <w:ind w:left="0"/>
              <w:rPr>
                <w:b/>
                <w:sz w:val="22"/>
                <w:lang w:val="uk-UA"/>
              </w:rPr>
            </w:pPr>
          </w:p>
        </w:tc>
        <w:tc>
          <w:tcPr>
            <w:tcW w:w="3072"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Термін надання послуги</w:t>
            </w:r>
          </w:p>
        </w:tc>
        <w:tc>
          <w:tcPr>
            <w:tcW w:w="1701" w:type="dxa"/>
            <w:gridSpan w:val="2"/>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день</w:t>
            </w:r>
          </w:p>
        </w:tc>
        <w:tc>
          <w:tcPr>
            <w:tcW w:w="1996" w:type="dxa"/>
            <w:gridSpan w:val="2"/>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цілодобово</w:t>
            </w:r>
          </w:p>
        </w:tc>
      </w:tr>
      <w:tr w:rsidR="00E95FB1" w:rsidRPr="001916D0" w:rsidTr="001B3967">
        <w:trPr>
          <w:trHeight w:val="150"/>
        </w:trPr>
        <w:tc>
          <w:tcPr>
            <w:tcW w:w="3119" w:type="dxa"/>
            <w:shd w:val="clear" w:color="auto" w:fill="C6D9F1" w:themeFill="text2" w:themeFillTint="33"/>
          </w:tcPr>
          <w:p w:rsidR="00E95FB1" w:rsidRPr="001916D0" w:rsidRDefault="00E95FB1" w:rsidP="001B3967">
            <w:pPr>
              <w:pStyle w:val="a7"/>
              <w:ind w:left="0"/>
              <w:rPr>
                <w:b/>
                <w:sz w:val="22"/>
                <w:lang w:val="uk-UA"/>
              </w:rPr>
            </w:pPr>
          </w:p>
        </w:tc>
        <w:tc>
          <w:tcPr>
            <w:tcW w:w="3072" w:type="dxa"/>
            <w:gridSpan w:val="3"/>
            <w:tcBorders>
              <w:top w:val="single" w:sz="4" w:space="0" w:color="auto"/>
              <w:right w:val="single" w:sz="4" w:space="0" w:color="auto"/>
            </w:tcBorders>
          </w:tcPr>
          <w:p w:rsidR="00E95FB1" w:rsidRPr="001916D0" w:rsidRDefault="00E95FB1" w:rsidP="00FE7ED2">
            <w:pPr>
              <w:pStyle w:val="a7"/>
              <w:ind w:left="0"/>
              <w:jc w:val="center"/>
              <w:rPr>
                <w:sz w:val="22"/>
                <w:lang w:val="uk-UA"/>
              </w:rPr>
            </w:pPr>
            <w:r w:rsidRPr="001916D0">
              <w:rPr>
                <w:sz w:val="22"/>
                <w:lang w:val="uk-UA"/>
              </w:rPr>
              <w:t xml:space="preserve">Кількість населених пунктів, </w:t>
            </w:r>
            <w:r w:rsidRPr="001916D0">
              <w:rPr>
                <w:bCs/>
                <w:sz w:val="22"/>
                <w:szCs w:val="22"/>
                <w:lang w:val="uk-UA"/>
              </w:rPr>
              <w:t>як</w:t>
            </w:r>
            <w:r w:rsidR="00FE7ED2" w:rsidRPr="001916D0">
              <w:rPr>
                <w:bCs/>
                <w:sz w:val="22"/>
                <w:szCs w:val="22"/>
                <w:lang w:val="uk-UA"/>
              </w:rPr>
              <w:t>і</w:t>
            </w:r>
            <w:r w:rsidRPr="001916D0">
              <w:rPr>
                <w:sz w:val="22"/>
                <w:lang w:val="uk-UA"/>
              </w:rPr>
              <w:t xml:space="preserve"> обслуговує підприємство</w:t>
            </w:r>
          </w:p>
        </w:tc>
        <w:tc>
          <w:tcPr>
            <w:tcW w:w="1701" w:type="dxa"/>
            <w:gridSpan w:val="2"/>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996" w:type="dxa"/>
            <w:gridSpan w:val="2"/>
            <w:tcBorders>
              <w:top w:val="single" w:sz="4" w:space="0" w:color="auto"/>
              <w:lef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11</w:t>
            </w:r>
          </w:p>
          <w:p w:rsidR="00E95FB1" w:rsidRPr="001916D0" w:rsidRDefault="00E95FB1" w:rsidP="001B3967">
            <w:pPr>
              <w:pStyle w:val="a7"/>
              <w:ind w:left="0"/>
              <w:jc w:val="center"/>
              <w:rPr>
                <w:sz w:val="22"/>
                <w:lang w:val="uk-UA"/>
              </w:rPr>
            </w:pPr>
          </w:p>
        </w:tc>
      </w:tr>
      <w:tr w:rsidR="00E95FB1" w:rsidRPr="001916D0" w:rsidTr="001B3967">
        <w:tc>
          <w:tcPr>
            <w:tcW w:w="3119" w:type="dxa"/>
            <w:shd w:val="clear" w:color="auto" w:fill="C6D9F1" w:themeFill="text2" w:themeFillTint="33"/>
          </w:tcPr>
          <w:p w:rsidR="00E95FB1" w:rsidRPr="001916D0" w:rsidRDefault="00E95FB1" w:rsidP="001B3967">
            <w:pPr>
              <w:rPr>
                <w:b/>
                <w:sz w:val="22"/>
                <w:lang w:val="uk-UA"/>
              </w:rPr>
            </w:pPr>
            <w:r w:rsidRPr="001916D0">
              <w:rPr>
                <w:b/>
                <w:sz w:val="22"/>
                <w:lang w:val="uk-UA"/>
              </w:rPr>
              <w:t xml:space="preserve">Ключові заходи проекту: </w:t>
            </w:r>
          </w:p>
          <w:p w:rsidR="00E95FB1" w:rsidRPr="001916D0" w:rsidRDefault="00E95FB1" w:rsidP="001B3967">
            <w:pPr>
              <w:pStyle w:val="a7"/>
              <w:ind w:left="0"/>
              <w:rPr>
                <w:b/>
                <w:sz w:val="22"/>
                <w:lang w:val="uk-UA"/>
              </w:rPr>
            </w:pPr>
          </w:p>
        </w:tc>
        <w:tc>
          <w:tcPr>
            <w:tcW w:w="6769" w:type="dxa"/>
            <w:gridSpan w:val="7"/>
          </w:tcPr>
          <w:p w:rsidR="00E95FB1" w:rsidRPr="001916D0" w:rsidRDefault="00E95FB1" w:rsidP="001B3967">
            <w:pPr>
              <w:pStyle w:val="a7"/>
              <w:ind w:left="0"/>
              <w:rPr>
                <w:sz w:val="22"/>
                <w:lang w:val="uk-UA"/>
              </w:rPr>
            </w:pPr>
            <w:r w:rsidRPr="001916D0">
              <w:rPr>
                <w:sz w:val="22"/>
                <w:lang w:val="uk-UA"/>
              </w:rPr>
              <w:t>- обстеження стану будівлі, гаражів, складу та зварювальних КП «СЕВЕРОДОНЕЦЬКВОДОКАНАЛ»;</w:t>
            </w:r>
          </w:p>
          <w:p w:rsidR="00E95FB1" w:rsidRPr="001916D0" w:rsidRDefault="00E95FB1" w:rsidP="001B3967">
            <w:pPr>
              <w:pStyle w:val="a7"/>
              <w:ind w:left="0"/>
              <w:rPr>
                <w:sz w:val="22"/>
                <w:lang w:val="uk-UA"/>
              </w:rPr>
            </w:pPr>
            <w:r w:rsidRPr="001916D0">
              <w:rPr>
                <w:sz w:val="22"/>
                <w:lang w:val="uk-UA"/>
              </w:rPr>
              <w:t>- проведення інвентаризації основних засобів;</w:t>
            </w:r>
          </w:p>
          <w:p w:rsidR="00E95FB1" w:rsidRPr="001916D0" w:rsidRDefault="00E95FB1" w:rsidP="001B3967">
            <w:pPr>
              <w:pStyle w:val="a7"/>
              <w:ind w:left="0"/>
              <w:rPr>
                <w:sz w:val="22"/>
                <w:lang w:val="uk-UA"/>
              </w:rPr>
            </w:pPr>
            <w:r w:rsidRPr="001916D0">
              <w:rPr>
                <w:sz w:val="22"/>
                <w:lang w:val="uk-UA"/>
              </w:rPr>
              <w:t>- придбання технічного забезпечення підприємства;</w:t>
            </w:r>
          </w:p>
          <w:p w:rsidR="00E95FB1" w:rsidRPr="001916D0" w:rsidRDefault="00E95FB1" w:rsidP="001B3967">
            <w:pPr>
              <w:pStyle w:val="a7"/>
              <w:ind w:left="0"/>
              <w:rPr>
                <w:sz w:val="22"/>
                <w:lang w:val="uk-UA"/>
              </w:rPr>
            </w:pPr>
            <w:r w:rsidRPr="001916D0">
              <w:rPr>
                <w:sz w:val="22"/>
                <w:lang w:val="uk-UA"/>
              </w:rPr>
              <w:t>- придбання технологічного забезпечення;</w:t>
            </w:r>
          </w:p>
          <w:p w:rsidR="00E95FB1" w:rsidRPr="001916D0" w:rsidRDefault="00E95FB1" w:rsidP="001B3967">
            <w:pPr>
              <w:pStyle w:val="a7"/>
              <w:ind w:left="0"/>
              <w:rPr>
                <w:sz w:val="22"/>
                <w:lang w:val="uk-UA"/>
              </w:rPr>
            </w:pPr>
            <w:r w:rsidRPr="001916D0">
              <w:rPr>
                <w:sz w:val="22"/>
                <w:lang w:val="uk-UA"/>
              </w:rPr>
              <w:t xml:space="preserve">- визначення кількості осіб, які потребують отримання послуг </w:t>
            </w:r>
            <w:proofErr w:type="spellStart"/>
            <w:r w:rsidRPr="001916D0">
              <w:rPr>
                <w:sz w:val="22"/>
                <w:lang w:val="uk-UA"/>
              </w:rPr>
              <w:t>центалізованого</w:t>
            </w:r>
            <w:proofErr w:type="spellEnd"/>
            <w:r w:rsidRPr="001916D0">
              <w:rPr>
                <w:sz w:val="22"/>
                <w:lang w:val="uk-UA"/>
              </w:rPr>
              <w:t xml:space="preserve"> водопостачання та централізованого водовідведення; </w:t>
            </w:r>
          </w:p>
          <w:p w:rsidR="00E95FB1" w:rsidRPr="001916D0" w:rsidRDefault="00E95FB1" w:rsidP="001B3967">
            <w:pPr>
              <w:pStyle w:val="a7"/>
              <w:ind w:left="0"/>
              <w:rPr>
                <w:sz w:val="22"/>
                <w:lang w:val="uk-UA"/>
              </w:rPr>
            </w:pPr>
            <w:r w:rsidRPr="001916D0">
              <w:rPr>
                <w:sz w:val="22"/>
                <w:lang w:val="uk-UA"/>
              </w:rPr>
              <w:t xml:space="preserve">  - організація та початок робочого процесу.</w:t>
            </w:r>
          </w:p>
        </w:tc>
      </w:tr>
      <w:tr w:rsidR="00E95FB1" w:rsidRPr="001916D0" w:rsidTr="001B3967">
        <w:trPr>
          <w:trHeight w:val="360"/>
        </w:trPr>
        <w:tc>
          <w:tcPr>
            <w:tcW w:w="3119"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Орієнтовний обсяг та джерела фінансування, тис. грн. </w:t>
            </w:r>
          </w:p>
          <w:p w:rsidR="00E95FB1" w:rsidRPr="001916D0" w:rsidRDefault="00E95FB1" w:rsidP="001B3967">
            <w:pPr>
              <w:pStyle w:val="a7"/>
              <w:ind w:left="0"/>
              <w:rPr>
                <w:b/>
                <w:sz w:val="22"/>
                <w:lang w:val="uk-UA"/>
              </w:rPr>
            </w:pPr>
          </w:p>
        </w:tc>
        <w:tc>
          <w:tcPr>
            <w:tcW w:w="1619"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Державний бюджет</w:t>
            </w:r>
          </w:p>
        </w:tc>
        <w:tc>
          <w:tcPr>
            <w:tcW w:w="1341"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Місцевий бюджет</w:t>
            </w:r>
          </w:p>
        </w:tc>
        <w:tc>
          <w:tcPr>
            <w:tcW w:w="2420" w:type="dxa"/>
            <w:gridSpan w:val="4"/>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Інші джерела</w:t>
            </w:r>
          </w:p>
        </w:tc>
        <w:tc>
          <w:tcPr>
            <w:tcW w:w="1389" w:type="dxa"/>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Всього</w:t>
            </w:r>
          </w:p>
        </w:tc>
      </w:tr>
      <w:tr w:rsidR="00E95FB1" w:rsidRPr="001916D0" w:rsidTr="001B3967">
        <w:trPr>
          <w:trHeight w:val="225"/>
        </w:trPr>
        <w:tc>
          <w:tcPr>
            <w:tcW w:w="3119" w:type="dxa"/>
            <w:vMerge/>
            <w:shd w:val="clear" w:color="auto" w:fill="C6D9F1" w:themeFill="text2" w:themeFillTint="33"/>
          </w:tcPr>
          <w:p w:rsidR="00E95FB1" w:rsidRPr="001916D0" w:rsidRDefault="00E95FB1" w:rsidP="001B3967">
            <w:pPr>
              <w:pStyle w:val="a7"/>
              <w:ind w:left="0"/>
              <w:rPr>
                <w:b/>
                <w:sz w:val="22"/>
                <w:lang w:val="uk-UA"/>
              </w:rPr>
            </w:pPr>
          </w:p>
        </w:tc>
        <w:tc>
          <w:tcPr>
            <w:tcW w:w="1619" w:type="dxa"/>
            <w:vMerge w:val="restart"/>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2 800,0</w:t>
            </w:r>
          </w:p>
        </w:tc>
        <w:tc>
          <w:tcPr>
            <w:tcW w:w="1341" w:type="dxa"/>
            <w:vMerge w:val="restart"/>
            <w:tcBorders>
              <w:top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w:t>
            </w:r>
          </w:p>
        </w:tc>
        <w:tc>
          <w:tcPr>
            <w:tcW w:w="965"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Обсяг</w:t>
            </w:r>
          </w:p>
        </w:tc>
        <w:tc>
          <w:tcPr>
            <w:tcW w:w="1455"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Назва джерела</w:t>
            </w:r>
          </w:p>
        </w:tc>
        <w:tc>
          <w:tcPr>
            <w:tcW w:w="1389" w:type="dxa"/>
            <w:vMerge w:val="restart"/>
            <w:tcBorders>
              <w:top w:val="single" w:sz="4" w:space="0" w:color="auto"/>
              <w:left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r w:rsidRPr="001916D0">
              <w:rPr>
                <w:sz w:val="22"/>
                <w:lang w:val="uk-UA"/>
              </w:rPr>
              <w:t>4 000,0</w:t>
            </w:r>
          </w:p>
        </w:tc>
      </w:tr>
      <w:tr w:rsidR="00E95FB1" w:rsidRPr="001916D0" w:rsidTr="001B3967">
        <w:trPr>
          <w:trHeight w:val="300"/>
        </w:trPr>
        <w:tc>
          <w:tcPr>
            <w:tcW w:w="3119" w:type="dxa"/>
            <w:vMerge/>
            <w:shd w:val="clear" w:color="auto" w:fill="C6D9F1" w:themeFill="text2" w:themeFillTint="33"/>
          </w:tcPr>
          <w:p w:rsidR="00E95FB1" w:rsidRPr="001916D0" w:rsidRDefault="00E95FB1" w:rsidP="001B3967">
            <w:pPr>
              <w:pStyle w:val="a7"/>
              <w:ind w:left="0"/>
              <w:rPr>
                <w:b/>
                <w:sz w:val="22"/>
                <w:lang w:val="uk-UA"/>
              </w:rPr>
            </w:pPr>
          </w:p>
        </w:tc>
        <w:tc>
          <w:tcPr>
            <w:tcW w:w="1619" w:type="dxa"/>
            <w:vMerge/>
            <w:tcBorders>
              <w:right w:val="single" w:sz="4" w:space="0" w:color="auto"/>
            </w:tcBorders>
          </w:tcPr>
          <w:p w:rsidR="00E95FB1" w:rsidRPr="001916D0" w:rsidRDefault="00E95FB1" w:rsidP="001B3967">
            <w:pPr>
              <w:pStyle w:val="a7"/>
              <w:ind w:left="0"/>
              <w:jc w:val="center"/>
              <w:rPr>
                <w:sz w:val="22"/>
                <w:lang w:val="uk-UA"/>
              </w:rPr>
            </w:pPr>
          </w:p>
        </w:tc>
        <w:tc>
          <w:tcPr>
            <w:tcW w:w="1341" w:type="dxa"/>
            <w:vMerge/>
            <w:tcBorders>
              <w:right w:val="single" w:sz="4" w:space="0" w:color="auto"/>
            </w:tcBorders>
          </w:tcPr>
          <w:p w:rsidR="00E95FB1" w:rsidRPr="001916D0" w:rsidRDefault="00E95FB1" w:rsidP="001B3967">
            <w:pPr>
              <w:pStyle w:val="a7"/>
              <w:ind w:left="0"/>
              <w:jc w:val="center"/>
              <w:rPr>
                <w:b/>
                <w:sz w:val="22"/>
                <w:lang w:val="uk-UA"/>
              </w:rPr>
            </w:pPr>
          </w:p>
        </w:tc>
        <w:tc>
          <w:tcPr>
            <w:tcW w:w="965"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sz w:val="22"/>
                <w:lang w:val="uk-UA"/>
              </w:rPr>
              <w:t>1 200,0</w:t>
            </w:r>
          </w:p>
        </w:tc>
        <w:tc>
          <w:tcPr>
            <w:tcW w:w="1455"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Міжнародні інвестиції, кошти приватних осіб</w:t>
            </w:r>
          </w:p>
        </w:tc>
        <w:tc>
          <w:tcPr>
            <w:tcW w:w="1389" w:type="dxa"/>
            <w:vMerge/>
            <w:tcBorders>
              <w:left w:val="single" w:sz="4" w:space="0" w:color="auto"/>
            </w:tcBorders>
          </w:tcPr>
          <w:p w:rsidR="00E95FB1" w:rsidRPr="001916D0" w:rsidRDefault="00E95FB1" w:rsidP="001B3967">
            <w:pPr>
              <w:pStyle w:val="a7"/>
              <w:ind w:left="0"/>
              <w:jc w:val="center"/>
              <w:rPr>
                <w:sz w:val="22"/>
                <w:lang w:val="uk-UA"/>
              </w:rPr>
            </w:pPr>
          </w:p>
        </w:tc>
      </w:tr>
    </w:tbl>
    <w:p w:rsidR="00E95FB1" w:rsidRPr="001916D0" w:rsidRDefault="00E95FB1" w:rsidP="00E95FB1">
      <w:pPr>
        <w:rPr>
          <w:sz w:val="22"/>
        </w:rPr>
      </w:pPr>
    </w:p>
    <w:p w:rsidR="00E95FB1" w:rsidRPr="001916D0" w:rsidRDefault="00E95FB1" w:rsidP="00E95FB1">
      <w:pPr>
        <w:rPr>
          <w:sz w:val="22"/>
        </w:rPr>
      </w:pPr>
    </w:p>
    <w:p w:rsidR="00E95FB1" w:rsidRPr="001916D0" w:rsidRDefault="00E95FB1" w:rsidP="00E95FB1">
      <w:pPr>
        <w:rPr>
          <w:sz w:val="22"/>
        </w:rPr>
      </w:pPr>
    </w:p>
    <w:p w:rsidR="00E95FB1" w:rsidRPr="001916D0" w:rsidRDefault="00E95FB1" w:rsidP="00E95FB1">
      <w:pPr>
        <w:rPr>
          <w:sz w:val="22"/>
        </w:rPr>
      </w:pPr>
    </w:p>
    <w:tbl>
      <w:tblPr>
        <w:tblStyle w:val="af"/>
        <w:tblW w:w="0" w:type="auto"/>
        <w:tblInd w:w="-176" w:type="dxa"/>
        <w:tblLook w:val="04A0" w:firstRow="1" w:lastRow="0" w:firstColumn="1" w:lastColumn="0" w:noHBand="0" w:noVBand="1"/>
      </w:tblPr>
      <w:tblGrid>
        <w:gridCol w:w="2963"/>
        <w:gridCol w:w="1607"/>
        <w:gridCol w:w="1331"/>
        <w:gridCol w:w="92"/>
        <w:gridCol w:w="853"/>
        <w:gridCol w:w="990"/>
        <w:gridCol w:w="454"/>
        <w:gridCol w:w="1372"/>
      </w:tblGrid>
      <w:tr w:rsidR="00E95FB1" w:rsidRPr="001916D0" w:rsidTr="001B3967">
        <w:tc>
          <w:tcPr>
            <w:tcW w:w="311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Оперативна ціль/завдання</w:t>
            </w:r>
          </w:p>
        </w:tc>
        <w:tc>
          <w:tcPr>
            <w:tcW w:w="6769" w:type="dxa"/>
            <w:gridSpan w:val="7"/>
            <w:shd w:val="clear" w:color="auto" w:fill="auto"/>
          </w:tcPr>
          <w:p w:rsidR="00E95FB1" w:rsidRPr="001916D0" w:rsidRDefault="00E95FB1" w:rsidP="001B3967">
            <w:pPr>
              <w:pStyle w:val="a7"/>
              <w:ind w:left="0"/>
              <w:rPr>
                <w:sz w:val="22"/>
                <w:lang w:val="uk-UA"/>
              </w:rPr>
            </w:pPr>
            <w:r w:rsidRPr="001916D0">
              <w:rPr>
                <w:rFonts w:eastAsia="Arial"/>
                <w:sz w:val="22"/>
                <w:lang w:val="uk-UA"/>
              </w:rPr>
              <w:t>Комфорт життя ЛЮДИНИ як безпека, екологічна сталість та розумна енергетика. Екологічна сталість через знання та партнерства</w:t>
            </w:r>
            <w:r w:rsidRPr="001916D0">
              <w:rPr>
                <w:sz w:val="22"/>
                <w:lang w:val="uk-UA"/>
              </w:rPr>
              <w:t xml:space="preserve"> </w:t>
            </w:r>
          </w:p>
        </w:tc>
      </w:tr>
      <w:tr w:rsidR="00E95FB1" w:rsidRPr="001916D0" w:rsidTr="001B3967">
        <w:tc>
          <w:tcPr>
            <w:tcW w:w="311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Назва проекту:</w:t>
            </w:r>
          </w:p>
        </w:tc>
        <w:tc>
          <w:tcPr>
            <w:tcW w:w="6769" w:type="dxa"/>
            <w:gridSpan w:val="7"/>
          </w:tcPr>
          <w:p w:rsidR="00E95FB1" w:rsidRPr="001916D0" w:rsidRDefault="00E95FB1" w:rsidP="001B3967">
            <w:pPr>
              <w:pStyle w:val="a7"/>
              <w:ind w:left="0"/>
              <w:rPr>
                <w:sz w:val="22"/>
                <w:lang w:val="uk-UA"/>
              </w:rPr>
            </w:pPr>
            <w:r w:rsidRPr="001916D0">
              <w:rPr>
                <w:rFonts w:eastAsia="Calibri"/>
                <w:sz w:val="22"/>
                <w:lang w:val="uk-UA"/>
              </w:rPr>
              <w:t xml:space="preserve">Придбання оргтехніки та комп’ютерної техніки КП </w:t>
            </w:r>
            <w:r w:rsidRPr="001916D0">
              <w:rPr>
                <w:sz w:val="22"/>
                <w:lang w:val="uk-UA"/>
              </w:rPr>
              <w:t>«СЄВЄРОДОНЕЦЬКВОДОКАНАЛ»</w:t>
            </w:r>
          </w:p>
        </w:tc>
      </w:tr>
      <w:tr w:rsidR="00E95FB1" w:rsidRPr="001916D0" w:rsidTr="001B3967">
        <w:tc>
          <w:tcPr>
            <w:tcW w:w="3119" w:type="dxa"/>
            <w:shd w:val="clear" w:color="auto" w:fill="C6D9F1" w:themeFill="text2" w:themeFillTint="33"/>
          </w:tcPr>
          <w:p w:rsidR="00E95FB1" w:rsidRPr="001916D0" w:rsidRDefault="00E95FB1" w:rsidP="001B3967">
            <w:pPr>
              <w:rPr>
                <w:b/>
                <w:sz w:val="22"/>
                <w:lang w:val="uk-UA"/>
              </w:rPr>
            </w:pPr>
            <w:r w:rsidRPr="001916D0">
              <w:rPr>
                <w:b/>
                <w:sz w:val="22"/>
                <w:lang w:val="uk-UA"/>
              </w:rPr>
              <w:t>Ціль проекту</w:t>
            </w:r>
          </w:p>
        </w:tc>
        <w:tc>
          <w:tcPr>
            <w:tcW w:w="6769" w:type="dxa"/>
            <w:gridSpan w:val="7"/>
          </w:tcPr>
          <w:p w:rsidR="00E95FB1" w:rsidRPr="001916D0" w:rsidRDefault="00E95FB1" w:rsidP="001B3967">
            <w:pPr>
              <w:pStyle w:val="a7"/>
              <w:ind w:left="0"/>
              <w:rPr>
                <w:sz w:val="22"/>
                <w:lang w:val="uk-UA"/>
              </w:rPr>
            </w:pPr>
            <w:r w:rsidRPr="001916D0">
              <w:rPr>
                <w:sz w:val="22"/>
                <w:lang w:val="uk-UA"/>
              </w:rPr>
              <w:t>Відновити та покращити роботу комунального підприємства «СЄВЄРОДОНЕЦЬКВОДОКАНАЛ» для надання широкого спектру послуг, пов’язаних із централізованим водопостачанням та централізованим водовідведенням,  задоволення потреб мешканців Сєвєродонецької міської територіальної громади у необхідних послугах централізованого водопостачання, централізованого водовідведення та сталого розвитку громади.</w:t>
            </w:r>
          </w:p>
        </w:tc>
      </w:tr>
      <w:tr w:rsidR="00E95FB1" w:rsidRPr="001916D0" w:rsidTr="001B3967">
        <w:tc>
          <w:tcPr>
            <w:tcW w:w="311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Територія, на яку матиме вплив реалізація проекту</w:t>
            </w:r>
          </w:p>
        </w:tc>
        <w:tc>
          <w:tcPr>
            <w:tcW w:w="6769" w:type="dxa"/>
            <w:gridSpan w:val="7"/>
          </w:tcPr>
          <w:p w:rsidR="00E95FB1" w:rsidRPr="001916D0" w:rsidRDefault="00E95FB1" w:rsidP="001B3967">
            <w:pPr>
              <w:pStyle w:val="a7"/>
              <w:ind w:left="0"/>
              <w:rPr>
                <w:sz w:val="22"/>
                <w:lang w:val="uk-UA"/>
              </w:rPr>
            </w:pPr>
            <w:r w:rsidRPr="001916D0">
              <w:rPr>
                <w:sz w:val="22"/>
                <w:lang w:val="uk-UA"/>
              </w:rPr>
              <w:t>Сєвєродонецька міська територіальна громада</w:t>
            </w:r>
          </w:p>
        </w:tc>
      </w:tr>
      <w:tr w:rsidR="00E95FB1" w:rsidRPr="001916D0" w:rsidTr="001B3967">
        <w:tc>
          <w:tcPr>
            <w:tcW w:w="311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lastRenderedPageBreak/>
              <w:t>Чисельність населення, на яке матиме вплив реалізація проекту</w:t>
            </w:r>
          </w:p>
        </w:tc>
        <w:tc>
          <w:tcPr>
            <w:tcW w:w="6769" w:type="dxa"/>
            <w:gridSpan w:val="7"/>
          </w:tcPr>
          <w:p w:rsidR="00E95FB1" w:rsidRPr="001916D0" w:rsidRDefault="00E95FB1" w:rsidP="001B3967">
            <w:pPr>
              <w:pStyle w:val="a7"/>
              <w:ind w:left="0"/>
              <w:rPr>
                <w:sz w:val="22"/>
                <w:lang w:val="uk-UA"/>
              </w:rPr>
            </w:pPr>
            <w:r w:rsidRPr="001916D0">
              <w:rPr>
                <w:sz w:val="22"/>
                <w:lang w:val="uk-UA"/>
              </w:rPr>
              <w:t xml:space="preserve"> 70 000  осіб</w:t>
            </w:r>
          </w:p>
        </w:tc>
      </w:tr>
      <w:tr w:rsidR="00E95FB1" w:rsidRPr="001916D0" w:rsidTr="001B3967">
        <w:tc>
          <w:tcPr>
            <w:tcW w:w="3119" w:type="dxa"/>
            <w:shd w:val="clear" w:color="auto" w:fill="C6D9F1" w:themeFill="text2" w:themeFillTint="33"/>
          </w:tcPr>
          <w:p w:rsidR="00E95FB1" w:rsidRPr="001916D0" w:rsidRDefault="00E95FB1" w:rsidP="001B3967">
            <w:pPr>
              <w:rPr>
                <w:b/>
                <w:sz w:val="22"/>
                <w:lang w:val="uk-UA"/>
              </w:rPr>
            </w:pPr>
            <w:r w:rsidRPr="001916D0">
              <w:rPr>
                <w:b/>
                <w:sz w:val="22"/>
                <w:lang w:val="uk-UA"/>
              </w:rPr>
              <w:t>Опис проблеми, на вирішення якої  спрямований проект</w:t>
            </w:r>
          </w:p>
        </w:tc>
        <w:tc>
          <w:tcPr>
            <w:tcW w:w="6769" w:type="dxa"/>
            <w:gridSpan w:val="7"/>
          </w:tcPr>
          <w:p w:rsidR="00E95FB1" w:rsidRPr="001916D0" w:rsidRDefault="00E95FB1" w:rsidP="001B3967">
            <w:pPr>
              <w:ind w:firstLine="708"/>
              <w:rPr>
                <w:sz w:val="22"/>
                <w:lang w:val="uk-UA"/>
              </w:rPr>
            </w:pPr>
            <w:r w:rsidRPr="001916D0">
              <w:rPr>
                <w:sz w:val="22"/>
                <w:lang w:val="uk-UA"/>
              </w:rPr>
              <w:t>Через військову агресію РФ територія Сєвєродонецької міської територіальної громади зазнала значних пошкоджень, включаючи і КП «СЄВЄРОДОНЕЦЬКВОДОКАНАЛ».</w:t>
            </w:r>
          </w:p>
          <w:p w:rsidR="00E95FB1" w:rsidRPr="001916D0" w:rsidRDefault="00E95FB1" w:rsidP="001B3967">
            <w:pPr>
              <w:ind w:firstLine="708"/>
              <w:rPr>
                <w:sz w:val="22"/>
                <w:lang w:val="uk-UA"/>
              </w:rPr>
            </w:pPr>
            <w:r w:rsidRPr="001916D0">
              <w:rPr>
                <w:sz w:val="22"/>
                <w:lang w:val="uk-UA"/>
              </w:rPr>
              <w:t>Вся матеріально-технічна база підприємства, зокрема:</w:t>
            </w:r>
          </w:p>
          <w:p w:rsidR="00E95FB1" w:rsidRPr="001916D0" w:rsidRDefault="00E95FB1" w:rsidP="000303D7">
            <w:pPr>
              <w:numPr>
                <w:ilvl w:val="0"/>
                <w:numId w:val="9"/>
              </w:numPr>
              <w:rPr>
                <w:sz w:val="22"/>
                <w:lang w:val="uk-UA"/>
              </w:rPr>
            </w:pPr>
            <w:r w:rsidRPr="001916D0">
              <w:rPr>
                <w:sz w:val="22"/>
                <w:lang w:val="uk-UA"/>
              </w:rPr>
              <w:t>обчислювальна техніка із відповідним програмним забезпеченням;</w:t>
            </w:r>
          </w:p>
          <w:p w:rsidR="00E95FB1" w:rsidRPr="001916D0" w:rsidRDefault="00E95FB1" w:rsidP="000303D7">
            <w:pPr>
              <w:numPr>
                <w:ilvl w:val="0"/>
                <w:numId w:val="9"/>
              </w:numPr>
              <w:rPr>
                <w:sz w:val="22"/>
                <w:lang w:val="uk-UA"/>
              </w:rPr>
            </w:pPr>
            <w:r w:rsidRPr="001916D0">
              <w:rPr>
                <w:sz w:val="22"/>
                <w:lang w:val="uk-UA"/>
              </w:rPr>
              <w:t>інша оргтехніка (монітори, принтери, сканери тощо</w:t>
            </w:r>
            <w:r w:rsidRPr="001916D0">
              <w:rPr>
                <w:sz w:val="22"/>
                <w:szCs w:val="22"/>
                <w:lang w:val="uk-UA"/>
              </w:rPr>
              <w:t>)</w:t>
            </w:r>
            <w:r w:rsidR="00DB24BF" w:rsidRPr="001916D0">
              <w:rPr>
                <w:sz w:val="22"/>
                <w:szCs w:val="22"/>
                <w:lang w:val="uk-UA"/>
              </w:rPr>
              <w:t>.</w:t>
            </w:r>
          </w:p>
          <w:p w:rsidR="00E95FB1" w:rsidRPr="001916D0" w:rsidRDefault="00E95FB1" w:rsidP="001B3967">
            <w:pPr>
              <w:pStyle w:val="13"/>
              <w:jc w:val="both"/>
              <w:rPr>
                <w:sz w:val="22"/>
                <w:lang w:val="uk-UA"/>
              </w:rPr>
            </w:pPr>
            <w:r w:rsidRPr="001916D0">
              <w:rPr>
                <w:rFonts w:eastAsia="Arial"/>
                <w:sz w:val="22"/>
                <w:lang w:val="uk-UA"/>
              </w:rPr>
              <w:t xml:space="preserve">            Для  відбудови  та  сталого  розвитку  громади  потрібне відновлення</w:t>
            </w:r>
            <w:r w:rsidRPr="001916D0">
              <w:rPr>
                <w:sz w:val="22"/>
                <w:lang w:val="uk-UA"/>
              </w:rPr>
              <w:t xml:space="preserve">  функціонування підприємства,</w:t>
            </w:r>
            <w:r w:rsidRPr="001916D0">
              <w:rPr>
                <w:color w:val="202124"/>
                <w:sz w:val="22"/>
                <w:lang w:val="uk-UA"/>
              </w:rPr>
              <w:t xml:space="preserve"> </w:t>
            </w:r>
            <w:r w:rsidRPr="001916D0">
              <w:rPr>
                <w:rStyle w:val="y2iqfc"/>
                <w:color w:val="202124"/>
                <w:sz w:val="22"/>
                <w:lang w:val="uk-UA"/>
              </w:rPr>
              <w:t>придбання оргтехніки та комп’ютерної техніки.</w:t>
            </w:r>
            <w:r w:rsidRPr="001916D0">
              <w:rPr>
                <w:rFonts w:eastAsia="Arial"/>
                <w:sz w:val="22"/>
                <w:lang w:val="uk-UA"/>
              </w:rPr>
              <w:t xml:space="preserve">  КП «СЄВЄРОДОНЕЦЬКВОДОКАНАЛ». Мешканці громади потребують в отриманні якісних  послуг централізованого водопостачання та централізованого водовідведення, які відповідають нормам сучасності. </w:t>
            </w:r>
          </w:p>
        </w:tc>
      </w:tr>
      <w:tr w:rsidR="00E95FB1" w:rsidRPr="001916D0" w:rsidTr="001B3967">
        <w:tc>
          <w:tcPr>
            <w:tcW w:w="311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якісні результати від реалізації проекту</w:t>
            </w:r>
          </w:p>
        </w:tc>
        <w:tc>
          <w:tcPr>
            <w:tcW w:w="6769" w:type="dxa"/>
            <w:gridSpan w:val="7"/>
          </w:tcPr>
          <w:p w:rsidR="00E95FB1" w:rsidRPr="001916D0" w:rsidRDefault="00E95FB1" w:rsidP="001B3967">
            <w:pPr>
              <w:pStyle w:val="a7"/>
              <w:ind w:left="0"/>
              <w:rPr>
                <w:sz w:val="22"/>
                <w:lang w:val="uk-UA"/>
              </w:rPr>
            </w:pPr>
            <w:r w:rsidRPr="001916D0">
              <w:rPr>
                <w:sz w:val="22"/>
                <w:lang w:val="uk-UA"/>
              </w:rPr>
              <w:t>- забезпечення населення можливостями для реалізації його конституційних прав, пов’язаних із правом користування природними водними ресурсами</w:t>
            </w:r>
            <w:r w:rsidR="00DB24BF" w:rsidRPr="001916D0">
              <w:rPr>
                <w:bCs/>
                <w:sz w:val="22"/>
                <w:szCs w:val="22"/>
                <w:lang w:val="uk-UA"/>
              </w:rPr>
              <w:t xml:space="preserve"> </w:t>
            </w:r>
            <w:r w:rsidRPr="001916D0">
              <w:rPr>
                <w:sz w:val="22"/>
                <w:lang w:val="uk-UA"/>
              </w:rPr>
              <w:t>(ст.13 Конституції України);</w:t>
            </w:r>
          </w:p>
          <w:p w:rsidR="00E95FB1" w:rsidRPr="001916D0" w:rsidRDefault="00E95FB1" w:rsidP="001B3967">
            <w:pPr>
              <w:pStyle w:val="a7"/>
              <w:ind w:left="0"/>
              <w:rPr>
                <w:sz w:val="22"/>
                <w:lang w:val="uk-UA"/>
              </w:rPr>
            </w:pPr>
            <w:r w:rsidRPr="001916D0">
              <w:rPr>
                <w:sz w:val="22"/>
                <w:lang w:val="uk-UA"/>
              </w:rPr>
              <w:t>- надання широкого спектру послуг, пов’язаних із централізованим водопостачанням та централізованим водовідведенням;</w:t>
            </w:r>
          </w:p>
          <w:p w:rsidR="00E95FB1" w:rsidRPr="001916D0" w:rsidRDefault="00E95FB1" w:rsidP="001B3967">
            <w:pPr>
              <w:pStyle w:val="a7"/>
              <w:ind w:left="0"/>
              <w:rPr>
                <w:sz w:val="22"/>
                <w:lang w:val="uk-UA"/>
              </w:rPr>
            </w:pPr>
            <w:r w:rsidRPr="001916D0">
              <w:rPr>
                <w:sz w:val="22"/>
                <w:lang w:val="uk-UA"/>
              </w:rPr>
              <w:t>- вирішення ряду питань в межах статутної діяльності, пов’язаних із відбудовою та сталим розвитком громади;</w:t>
            </w:r>
          </w:p>
          <w:p w:rsidR="00E95FB1" w:rsidRPr="001916D0" w:rsidRDefault="00E95FB1" w:rsidP="001B3967">
            <w:pPr>
              <w:pStyle w:val="a7"/>
              <w:ind w:left="0"/>
              <w:rPr>
                <w:sz w:val="22"/>
                <w:lang w:val="uk-UA"/>
              </w:rPr>
            </w:pPr>
            <w:r w:rsidRPr="001916D0">
              <w:rPr>
                <w:sz w:val="22"/>
                <w:lang w:val="uk-UA"/>
              </w:rPr>
              <w:t>- створення нових робочих місць;</w:t>
            </w:r>
          </w:p>
          <w:p w:rsidR="00E95FB1" w:rsidRPr="001916D0" w:rsidRDefault="00E95FB1" w:rsidP="001B3967">
            <w:pPr>
              <w:pStyle w:val="a7"/>
              <w:ind w:left="0"/>
              <w:rPr>
                <w:sz w:val="22"/>
                <w:lang w:val="uk-UA"/>
              </w:rPr>
            </w:pPr>
            <w:r w:rsidRPr="001916D0">
              <w:rPr>
                <w:sz w:val="22"/>
                <w:lang w:val="uk-UA"/>
              </w:rPr>
              <w:t>- стимул до повернення ВПО до громади;</w:t>
            </w:r>
          </w:p>
        </w:tc>
      </w:tr>
      <w:tr w:rsidR="00E95FB1" w:rsidRPr="001916D0" w:rsidTr="001B3967">
        <w:trPr>
          <w:trHeight w:val="390"/>
        </w:trPr>
        <w:tc>
          <w:tcPr>
            <w:tcW w:w="3119"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Очікувані кількісні результати реалізації </w:t>
            </w:r>
            <w:proofErr w:type="spellStart"/>
            <w:r w:rsidRPr="001916D0">
              <w:rPr>
                <w:b/>
                <w:sz w:val="22"/>
                <w:lang w:val="uk-UA"/>
              </w:rPr>
              <w:t>проєкту</w:t>
            </w:r>
            <w:proofErr w:type="spellEnd"/>
            <w:r w:rsidRPr="001916D0">
              <w:rPr>
                <w:b/>
                <w:sz w:val="22"/>
                <w:lang w:val="uk-UA"/>
              </w:rPr>
              <w:t xml:space="preserve"> (індикатори)</w:t>
            </w:r>
          </w:p>
          <w:p w:rsidR="00E95FB1" w:rsidRPr="001916D0" w:rsidRDefault="00E95FB1" w:rsidP="001B3967">
            <w:pPr>
              <w:pStyle w:val="a7"/>
              <w:ind w:left="0"/>
              <w:rPr>
                <w:b/>
                <w:sz w:val="22"/>
                <w:lang w:val="uk-UA"/>
              </w:rPr>
            </w:pPr>
          </w:p>
        </w:tc>
        <w:tc>
          <w:tcPr>
            <w:tcW w:w="3065" w:type="dxa"/>
            <w:gridSpan w:val="3"/>
            <w:tcBorders>
              <w:bottom w:val="single" w:sz="4" w:space="0" w:color="auto"/>
              <w:right w:val="single" w:sz="4" w:space="0" w:color="auto"/>
            </w:tcBorders>
          </w:tcPr>
          <w:p w:rsidR="00E95FB1" w:rsidRPr="001916D0" w:rsidRDefault="00E95FB1" w:rsidP="001B3967">
            <w:pPr>
              <w:pStyle w:val="a7"/>
              <w:ind w:left="-108"/>
              <w:jc w:val="center"/>
              <w:rPr>
                <w:b/>
                <w:sz w:val="22"/>
                <w:lang w:val="uk-UA"/>
              </w:rPr>
            </w:pPr>
            <w:r w:rsidRPr="001916D0">
              <w:rPr>
                <w:b/>
                <w:sz w:val="22"/>
                <w:lang w:val="uk-UA"/>
              </w:rPr>
              <w:t>Найменування показника</w:t>
            </w:r>
          </w:p>
        </w:tc>
        <w:tc>
          <w:tcPr>
            <w:tcW w:w="1843" w:type="dxa"/>
            <w:gridSpan w:val="2"/>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Одиниця вимірювання</w:t>
            </w:r>
          </w:p>
          <w:p w:rsidR="00E95FB1" w:rsidRPr="001916D0" w:rsidRDefault="00E95FB1" w:rsidP="001B3967">
            <w:pPr>
              <w:pStyle w:val="a7"/>
              <w:ind w:left="0"/>
              <w:rPr>
                <w:b/>
                <w:sz w:val="22"/>
                <w:lang w:val="uk-UA"/>
              </w:rPr>
            </w:pPr>
          </w:p>
        </w:tc>
        <w:tc>
          <w:tcPr>
            <w:tcW w:w="1861" w:type="dxa"/>
            <w:gridSpan w:val="2"/>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Прогнозне (цільове) значення</w:t>
            </w:r>
          </w:p>
        </w:tc>
      </w:tr>
      <w:tr w:rsidR="00E95FB1" w:rsidRPr="001916D0" w:rsidTr="001B3967">
        <w:trPr>
          <w:trHeight w:val="390"/>
        </w:trPr>
        <w:tc>
          <w:tcPr>
            <w:tcW w:w="3119" w:type="dxa"/>
            <w:vMerge/>
            <w:shd w:val="clear" w:color="auto" w:fill="C6D9F1" w:themeFill="text2" w:themeFillTint="33"/>
          </w:tcPr>
          <w:p w:rsidR="00E95FB1" w:rsidRPr="001916D0" w:rsidRDefault="00E95FB1" w:rsidP="001B3967">
            <w:pPr>
              <w:pStyle w:val="a7"/>
              <w:ind w:left="0"/>
              <w:rPr>
                <w:b/>
                <w:sz w:val="22"/>
                <w:lang w:val="uk-UA"/>
              </w:rPr>
            </w:pPr>
          </w:p>
        </w:tc>
        <w:tc>
          <w:tcPr>
            <w:tcW w:w="3065" w:type="dxa"/>
            <w:gridSpan w:val="3"/>
            <w:tcBorders>
              <w:bottom w:val="single" w:sz="4" w:space="0" w:color="auto"/>
              <w:right w:val="single" w:sz="4" w:space="0" w:color="auto"/>
            </w:tcBorders>
          </w:tcPr>
          <w:p w:rsidR="00E95FB1" w:rsidRPr="001916D0" w:rsidRDefault="00E95FB1" w:rsidP="001B3967">
            <w:pPr>
              <w:pStyle w:val="a7"/>
              <w:ind w:left="-108"/>
              <w:jc w:val="center"/>
              <w:rPr>
                <w:sz w:val="22"/>
                <w:lang w:val="uk-UA"/>
              </w:rPr>
            </w:pPr>
            <w:r w:rsidRPr="001916D0">
              <w:rPr>
                <w:sz w:val="22"/>
                <w:lang w:val="uk-UA"/>
              </w:rPr>
              <w:t>Техніка</w:t>
            </w:r>
          </w:p>
        </w:tc>
        <w:tc>
          <w:tcPr>
            <w:tcW w:w="1843" w:type="dxa"/>
            <w:gridSpan w:val="2"/>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одиниць</w:t>
            </w:r>
          </w:p>
        </w:tc>
        <w:tc>
          <w:tcPr>
            <w:tcW w:w="1861" w:type="dxa"/>
            <w:gridSpan w:val="2"/>
            <w:tcBorders>
              <w:left w:val="single" w:sz="4" w:space="0" w:color="auto"/>
              <w:bottom w:val="single" w:sz="4" w:space="0" w:color="auto"/>
            </w:tcBorders>
          </w:tcPr>
          <w:p w:rsidR="00E95FB1" w:rsidRPr="001916D0" w:rsidRDefault="00E95FB1" w:rsidP="001B3967">
            <w:pPr>
              <w:pStyle w:val="a7"/>
              <w:ind w:left="0"/>
              <w:jc w:val="center"/>
              <w:rPr>
                <w:sz w:val="22"/>
                <w:lang w:val="uk-UA"/>
              </w:rPr>
            </w:pPr>
            <w:r w:rsidRPr="001916D0">
              <w:rPr>
                <w:sz w:val="22"/>
                <w:lang w:val="uk-UA"/>
              </w:rPr>
              <w:t>88</w:t>
            </w:r>
          </w:p>
        </w:tc>
      </w:tr>
      <w:tr w:rsidR="00E95FB1" w:rsidRPr="001916D0" w:rsidTr="001B3967">
        <w:trPr>
          <w:trHeight w:val="585"/>
        </w:trPr>
        <w:tc>
          <w:tcPr>
            <w:tcW w:w="3119" w:type="dxa"/>
            <w:vMerge/>
            <w:shd w:val="clear" w:color="auto" w:fill="C6D9F1" w:themeFill="text2" w:themeFillTint="33"/>
          </w:tcPr>
          <w:p w:rsidR="00E95FB1" w:rsidRPr="001916D0" w:rsidRDefault="00E95FB1" w:rsidP="001B3967">
            <w:pPr>
              <w:pStyle w:val="a7"/>
              <w:ind w:left="0"/>
              <w:rPr>
                <w:b/>
                <w:sz w:val="22"/>
                <w:lang w:val="uk-UA"/>
              </w:rPr>
            </w:pPr>
          </w:p>
        </w:tc>
        <w:tc>
          <w:tcPr>
            <w:tcW w:w="3065"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Кількість фізичних та юридичних осіб, які звернулись за послугами протягом  року</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осіб</w:t>
            </w:r>
          </w:p>
        </w:tc>
        <w:tc>
          <w:tcPr>
            <w:tcW w:w="1861" w:type="dxa"/>
            <w:gridSpan w:val="2"/>
            <w:tcBorders>
              <w:top w:val="single" w:sz="4" w:space="0" w:color="auto"/>
              <w:left w:val="single" w:sz="4" w:space="0" w:color="auto"/>
              <w:bottom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b/>
                <w:sz w:val="22"/>
                <w:lang w:val="uk-UA"/>
              </w:rPr>
            </w:pPr>
            <w:r w:rsidRPr="001916D0">
              <w:rPr>
                <w:sz w:val="22"/>
                <w:lang w:val="uk-UA"/>
              </w:rPr>
              <w:t>70 000,0</w:t>
            </w:r>
          </w:p>
        </w:tc>
      </w:tr>
      <w:tr w:rsidR="00E95FB1" w:rsidRPr="001916D0" w:rsidTr="001B3967">
        <w:trPr>
          <w:trHeight w:val="184"/>
        </w:trPr>
        <w:tc>
          <w:tcPr>
            <w:tcW w:w="3119" w:type="dxa"/>
            <w:vMerge/>
            <w:shd w:val="clear" w:color="auto" w:fill="C6D9F1" w:themeFill="text2" w:themeFillTint="33"/>
          </w:tcPr>
          <w:p w:rsidR="00E95FB1" w:rsidRPr="001916D0" w:rsidRDefault="00E95FB1" w:rsidP="001B3967">
            <w:pPr>
              <w:pStyle w:val="a7"/>
              <w:ind w:left="0"/>
              <w:rPr>
                <w:b/>
                <w:sz w:val="22"/>
                <w:lang w:val="uk-UA"/>
              </w:rPr>
            </w:pPr>
          </w:p>
        </w:tc>
        <w:tc>
          <w:tcPr>
            <w:tcW w:w="3065"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Кількість видів та типів послуг</w:t>
            </w:r>
            <w:r w:rsidR="00DB24BF" w:rsidRPr="001916D0">
              <w:rPr>
                <w:bCs/>
                <w:sz w:val="22"/>
                <w:szCs w:val="22"/>
                <w:lang w:val="uk-UA"/>
              </w:rPr>
              <w:t>,</w:t>
            </w:r>
            <w:r w:rsidRPr="001916D0">
              <w:rPr>
                <w:sz w:val="22"/>
                <w:lang w:val="uk-UA"/>
              </w:rPr>
              <w:t xml:space="preserve"> наданих протягом одно робочого дня</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861" w:type="dxa"/>
            <w:gridSpan w:val="2"/>
            <w:tcBorders>
              <w:top w:val="single" w:sz="4" w:space="0" w:color="auto"/>
              <w:left w:val="single" w:sz="4" w:space="0" w:color="auto"/>
              <w:bottom w:val="single" w:sz="4" w:space="0" w:color="auto"/>
            </w:tcBorders>
          </w:tcPr>
          <w:p w:rsidR="00E95FB1" w:rsidRPr="001916D0" w:rsidRDefault="00E95FB1" w:rsidP="001B3967">
            <w:pPr>
              <w:pStyle w:val="a7"/>
              <w:ind w:left="0"/>
              <w:jc w:val="center"/>
              <w:rPr>
                <w:sz w:val="22"/>
                <w:highlight w:val="yellow"/>
                <w:lang w:val="uk-UA"/>
              </w:rPr>
            </w:pPr>
            <w:r w:rsidRPr="001916D0">
              <w:rPr>
                <w:sz w:val="22"/>
                <w:lang w:val="uk-UA"/>
              </w:rPr>
              <w:t>8</w:t>
            </w:r>
          </w:p>
        </w:tc>
      </w:tr>
      <w:tr w:rsidR="00E95FB1" w:rsidRPr="001916D0" w:rsidTr="001B3967">
        <w:trPr>
          <w:trHeight w:val="165"/>
        </w:trPr>
        <w:tc>
          <w:tcPr>
            <w:tcW w:w="3119" w:type="dxa"/>
            <w:vMerge/>
            <w:shd w:val="clear" w:color="auto" w:fill="C6D9F1" w:themeFill="text2" w:themeFillTint="33"/>
          </w:tcPr>
          <w:p w:rsidR="00E95FB1" w:rsidRPr="001916D0" w:rsidRDefault="00E95FB1" w:rsidP="001B3967">
            <w:pPr>
              <w:pStyle w:val="a7"/>
              <w:ind w:left="0"/>
              <w:rPr>
                <w:b/>
                <w:sz w:val="22"/>
                <w:lang w:val="uk-UA"/>
              </w:rPr>
            </w:pPr>
          </w:p>
        </w:tc>
        <w:tc>
          <w:tcPr>
            <w:tcW w:w="3065"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Середня вартість послуг</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грн</w:t>
            </w:r>
          </w:p>
        </w:tc>
        <w:tc>
          <w:tcPr>
            <w:tcW w:w="1861" w:type="dxa"/>
            <w:gridSpan w:val="2"/>
            <w:tcBorders>
              <w:top w:val="single" w:sz="4" w:space="0" w:color="auto"/>
              <w:left w:val="single" w:sz="4" w:space="0" w:color="auto"/>
              <w:bottom w:val="single" w:sz="4" w:space="0" w:color="auto"/>
            </w:tcBorders>
          </w:tcPr>
          <w:p w:rsidR="00E95FB1" w:rsidRPr="001916D0" w:rsidRDefault="00E95FB1" w:rsidP="001B3967">
            <w:pPr>
              <w:pStyle w:val="a7"/>
              <w:ind w:left="0"/>
              <w:jc w:val="center"/>
              <w:rPr>
                <w:sz w:val="22"/>
                <w:lang w:val="uk-UA"/>
              </w:rPr>
            </w:pPr>
            <w:r w:rsidRPr="001916D0">
              <w:rPr>
                <w:sz w:val="22"/>
                <w:lang w:val="uk-UA"/>
              </w:rPr>
              <w:t>18,30</w:t>
            </w:r>
          </w:p>
        </w:tc>
      </w:tr>
      <w:tr w:rsidR="00E95FB1" w:rsidRPr="001916D0" w:rsidTr="001B3967">
        <w:trPr>
          <w:trHeight w:val="150"/>
        </w:trPr>
        <w:tc>
          <w:tcPr>
            <w:tcW w:w="3119" w:type="dxa"/>
            <w:vMerge/>
            <w:shd w:val="clear" w:color="auto" w:fill="C6D9F1" w:themeFill="text2" w:themeFillTint="33"/>
          </w:tcPr>
          <w:p w:rsidR="00E95FB1" w:rsidRPr="001916D0" w:rsidRDefault="00E95FB1" w:rsidP="001B3967">
            <w:pPr>
              <w:pStyle w:val="a7"/>
              <w:ind w:left="0"/>
              <w:rPr>
                <w:b/>
                <w:sz w:val="22"/>
                <w:lang w:val="uk-UA"/>
              </w:rPr>
            </w:pPr>
          </w:p>
        </w:tc>
        <w:tc>
          <w:tcPr>
            <w:tcW w:w="3065"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Термін надання послуги</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день</w:t>
            </w:r>
          </w:p>
        </w:tc>
        <w:tc>
          <w:tcPr>
            <w:tcW w:w="1861" w:type="dxa"/>
            <w:gridSpan w:val="2"/>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цілодобово</w:t>
            </w:r>
          </w:p>
        </w:tc>
      </w:tr>
      <w:tr w:rsidR="00E95FB1" w:rsidRPr="001916D0" w:rsidTr="001B3967">
        <w:trPr>
          <w:trHeight w:val="150"/>
        </w:trPr>
        <w:tc>
          <w:tcPr>
            <w:tcW w:w="3119" w:type="dxa"/>
            <w:shd w:val="clear" w:color="auto" w:fill="C6D9F1" w:themeFill="text2" w:themeFillTint="33"/>
          </w:tcPr>
          <w:p w:rsidR="00E95FB1" w:rsidRPr="001916D0" w:rsidRDefault="00E95FB1" w:rsidP="001B3967">
            <w:pPr>
              <w:pStyle w:val="a7"/>
              <w:ind w:left="0"/>
              <w:rPr>
                <w:b/>
                <w:sz w:val="22"/>
                <w:lang w:val="uk-UA"/>
              </w:rPr>
            </w:pPr>
          </w:p>
        </w:tc>
        <w:tc>
          <w:tcPr>
            <w:tcW w:w="3065" w:type="dxa"/>
            <w:gridSpan w:val="3"/>
            <w:tcBorders>
              <w:top w:val="single" w:sz="4" w:space="0" w:color="auto"/>
              <w:right w:val="single" w:sz="4" w:space="0" w:color="auto"/>
            </w:tcBorders>
          </w:tcPr>
          <w:p w:rsidR="00E95FB1" w:rsidRPr="001916D0" w:rsidRDefault="00E95FB1" w:rsidP="00DB24BF">
            <w:pPr>
              <w:pStyle w:val="a7"/>
              <w:ind w:left="0"/>
              <w:jc w:val="center"/>
              <w:rPr>
                <w:sz w:val="22"/>
                <w:lang w:val="uk-UA"/>
              </w:rPr>
            </w:pPr>
            <w:r w:rsidRPr="001916D0">
              <w:rPr>
                <w:sz w:val="22"/>
                <w:lang w:val="uk-UA"/>
              </w:rPr>
              <w:t xml:space="preserve">Кількість населених пунктів, </w:t>
            </w:r>
            <w:r w:rsidRPr="001916D0">
              <w:rPr>
                <w:bCs/>
                <w:sz w:val="22"/>
                <w:szCs w:val="22"/>
                <w:lang w:val="uk-UA"/>
              </w:rPr>
              <w:t>як</w:t>
            </w:r>
            <w:r w:rsidR="00DB24BF" w:rsidRPr="001916D0">
              <w:rPr>
                <w:bCs/>
                <w:sz w:val="22"/>
                <w:szCs w:val="22"/>
                <w:lang w:val="uk-UA"/>
              </w:rPr>
              <w:t>і</w:t>
            </w:r>
            <w:r w:rsidRPr="001916D0">
              <w:rPr>
                <w:sz w:val="22"/>
                <w:lang w:val="uk-UA"/>
              </w:rPr>
              <w:t xml:space="preserve"> обслуговує підприємство</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861" w:type="dxa"/>
            <w:gridSpan w:val="2"/>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11</w:t>
            </w:r>
          </w:p>
          <w:p w:rsidR="00E95FB1" w:rsidRPr="001916D0" w:rsidRDefault="00E95FB1" w:rsidP="001B3967">
            <w:pPr>
              <w:pStyle w:val="a7"/>
              <w:ind w:left="0"/>
              <w:jc w:val="center"/>
              <w:rPr>
                <w:sz w:val="22"/>
                <w:lang w:val="uk-UA"/>
              </w:rPr>
            </w:pPr>
          </w:p>
        </w:tc>
      </w:tr>
      <w:tr w:rsidR="00E95FB1" w:rsidRPr="001916D0" w:rsidTr="001B3967">
        <w:tc>
          <w:tcPr>
            <w:tcW w:w="3119" w:type="dxa"/>
            <w:shd w:val="clear" w:color="auto" w:fill="C6D9F1" w:themeFill="text2" w:themeFillTint="33"/>
          </w:tcPr>
          <w:p w:rsidR="00E95FB1" w:rsidRPr="001916D0" w:rsidRDefault="00E95FB1" w:rsidP="001B3967">
            <w:pPr>
              <w:rPr>
                <w:b/>
                <w:sz w:val="22"/>
                <w:lang w:val="uk-UA"/>
              </w:rPr>
            </w:pPr>
            <w:r w:rsidRPr="001916D0">
              <w:rPr>
                <w:b/>
                <w:sz w:val="22"/>
                <w:lang w:val="uk-UA"/>
              </w:rPr>
              <w:t xml:space="preserve">Ключові заходи проекту: </w:t>
            </w:r>
          </w:p>
          <w:p w:rsidR="00E95FB1" w:rsidRPr="001916D0" w:rsidRDefault="00E95FB1" w:rsidP="001B3967">
            <w:pPr>
              <w:pStyle w:val="a7"/>
              <w:ind w:left="0"/>
              <w:rPr>
                <w:b/>
                <w:sz w:val="22"/>
                <w:lang w:val="uk-UA"/>
              </w:rPr>
            </w:pPr>
          </w:p>
        </w:tc>
        <w:tc>
          <w:tcPr>
            <w:tcW w:w="6769" w:type="dxa"/>
            <w:gridSpan w:val="7"/>
          </w:tcPr>
          <w:p w:rsidR="00E95FB1" w:rsidRPr="001916D0" w:rsidRDefault="00E95FB1" w:rsidP="001B3967">
            <w:pPr>
              <w:pStyle w:val="a7"/>
              <w:ind w:left="0"/>
              <w:rPr>
                <w:sz w:val="22"/>
                <w:lang w:val="uk-UA"/>
              </w:rPr>
            </w:pPr>
            <w:r w:rsidRPr="001916D0">
              <w:rPr>
                <w:sz w:val="22"/>
                <w:lang w:val="uk-UA"/>
              </w:rPr>
              <w:t xml:space="preserve">- </w:t>
            </w:r>
            <w:r w:rsidRPr="001916D0">
              <w:rPr>
                <w:rStyle w:val="y2iqfc"/>
                <w:color w:val="202124"/>
                <w:sz w:val="22"/>
                <w:lang w:val="uk-UA"/>
              </w:rPr>
              <w:t>придбання оргтехніки та комп’ютерної техніки;</w:t>
            </w:r>
          </w:p>
          <w:p w:rsidR="00E95FB1" w:rsidRPr="001916D0" w:rsidRDefault="00E95FB1" w:rsidP="001B3967">
            <w:pPr>
              <w:pStyle w:val="a7"/>
              <w:ind w:left="0"/>
              <w:rPr>
                <w:sz w:val="22"/>
                <w:lang w:val="uk-UA"/>
              </w:rPr>
            </w:pPr>
            <w:r w:rsidRPr="001916D0">
              <w:rPr>
                <w:sz w:val="22"/>
                <w:lang w:val="uk-UA"/>
              </w:rPr>
              <w:t>- проведення інвентаризації основних засобів;</w:t>
            </w:r>
          </w:p>
          <w:p w:rsidR="00E95FB1" w:rsidRPr="001916D0" w:rsidRDefault="00E95FB1" w:rsidP="001B3967">
            <w:pPr>
              <w:pStyle w:val="a7"/>
              <w:ind w:left="0"/>
              <w:rPr>
                <w:sz w:val="22"/>
                <w:lang w:val="uk-UA"/>
              </w:rPr>
            </w:pPr>
            <w:r w:rsidRPr="001916D0">
              <w:rPr>
                <w:sz w:val="22"/>
                <w:lang w:val="uk-UA"/>
              </w:rPr>
              <w:t>- придбання технічного забезпечення підприємства;</w:t>
            </w:r>
          </w:p>
          <w:p w:rsidR="00E95FB1" w:rsidRPr="001916D0" w:rsidRDefault="00E95FB1" w:rsidP="001B3967">
            <w:pPr>
              <w:pStyle w:val="a7"/>
              <w:ind w:left="0"/>
              <w:rPr>
                <w:sz w:val="22"/>
                <w:lang w:val="uk-UA"/>
              </w:rPr>
            </w:pPr>
            <w:r w:rsidRPr="001916D0">
              <w:rPr>
                <w:sz w:val="22"/>
                <w:lang w:val="uk-UA"/>
              </w:rPr>
              <w:t>- придбання технологічного забезпечення;</w:t>
            </w:r>
          </w:p>
          <w:p w:rsidR="00E95FB1" w:rsidRPr="001916D0" w:rsidRDefault="00E95FB1" w:rsidP="001B3967">
            <w:pPr>
              <w:pStyle w:val="a7"/>
              <w:ind w:left="0"/>
              <w:rPr>
                <w:sz w:val="22"/>
                <w:lang w:val="uk-UA"/>
              </w:rPr>
            </w:pPr>
            <w:r w:rsidRPr="001916D0">
              <w:rPr>
                <w:sz w:val="22"/>
                <w:lang w:val="uk-UA"/>
              </w:rPr>
              <w:t xml:space="preserve">- визначення кількості осіб, які потребують отримання послуг </w:t>
            </w:r>
            <w:proofErr w:type="spellStart"/>
            <w:r w:rsidRPr="001916D0">
              <w:rPr>
                <w:sz w:val="22"/>
                <w:lang w:val="uk-UA"/>
              </w:rPr>
              <w:t>центалізованого</w:t>
            </w:r>
            <w:proofErr w:type="spellEnd"/>
            <w:r w:rsidRPr="001916D0">
              <w:rPr>
                <w:sz w:val="22"/>
                <w:lang w:val="uk-UA"/>
              </w:rPr>
              <w:t xml:space="preserve"> водопостачання та централізованого водовідведення; </w:t>
            </w:r>
          </w:p>
          <w:p w:rsidR="00E95FB1" w:rsidRPr="001916D0" w:rsidRDefault="00E95FB1" w:rsidP="001B3967">
            <w:pPr>
              <w:pStyle w:val="a7"/>
              <w:ind w:left="0"/>
              <w:rPr>
                <w:sz w:val="22"/>
                <w:lang w:val="uk-UA"/>
              </w:rPr>
            </w:pPr>
            <w:r w:rsidRPr="001916D0">
              <w:rPr>
                <w:sz w:val="22"/>
                <w:lang w:val="uk-UA"/>
              </w:rPr>
              <w:t>- організація та початок робочого процесу.</w:t>
            </w:r>
          </w:p>
        </w:tc>
      </w:tr>
      <w:tr w:rsidR="00E95FB1" w:rsidRPr="001916D0" w:rsidTr="001B3967">
        <w:trPr>
          <w:trHeight w:val="360"/>
        </w:trPr>
        <w:tc>
          <w:tcPr>
            <w:tcW w:w="3119"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Орієнтовний обсяг та джерела фінансування, тис. грн. </w:t>
            </w:r>
          </w:p>
          <w:p w:rsidR="00E95FB1" w:rsidRPr="001916D0" w:rsidRDefault="00E95FB1" w:rsidP="001B3967">
            <w:pPr>
              <w:pStyle w:val="a7"/>
              <w:ind w:left="0"/>
              <w:rPr>
                <w:b/>
                <w:sz w:val="22"/>
                <w:lang w:val="uk-UA"/>
              </w:rPr>
            </w:pPr>
          </w:p>
        </w:tc>
        <w:tc>
          <w:tcPr>
            <w:tcW w:w="1624"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Державний бюджет</w:t>
            </w:r>
          </w:p>
        </w:tc>
        <w:tc>
          <w:tcPr>
            <w:tcW w:w="1341"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Місцевий бюджет</w:t>
            </w:r>
          </w:p>
        </w:tc>
        <w:tc>
          <w:tcPr>
            <w:tcW w:w="2408" w:type="dxa"/>
            <w:gridSpan w:val="4"/>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Інші джерела</w:t>
            </w:r>
          </w:p>
        </w:tc>
        <w:tc>
          <w:tcPr>
            <w:tcW w:w="1396" w:type="dxa"/>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Всього</w:t>
            </w:r>
          </w:p>
        </w:tc>
      </w:tr>
      <w:tr w:rsidR="00E95FB1" w:rsidRPr="001916D0" w:rsidTr="001B3967">
        <w:trPr>
          <w:trHeight w:val="225"/>
        </w:trPr>
        <w:tc>
          <w:tcPr>
            <w:tcW w:w="3119" w:type="dxa"/>
            <w:vMerge/>
            <w:shd w:val="clear" w:color="auto" w:fill="C6D9F1" w:themeFill="text2" w:themeFillTint="33"/>
          </w:tcPr>
          <w:p w:rsidR="00E95FB1" w:rsidRPr="001916D0" w:rsidRDefault="00E95FB1" w:rsidP="001B3967">
            <w:pPr>
              <w:pStyle w:val="a7"/>
              <w:ind w:left="0"/>
              <w:rPr>
                <w:b/>
                <w:sz w:val="22"/>
                <w:lang w:val="uk-UA"/>
              </w:rPr>
            </w:pPr>
          </w:p>
        </w:tc>
        <w:tc>
          <w:tcPr>
            <w:tcW w:w="1624" w:type="dxa"/>
            <w:vMerge w:val="restart"/>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1 400,0</w:t>
            </w:r>
          </w:p>
        </w:tc>
        <w:tc>
          <w:tcPr>
            <w:tcW w:w="1341" w:type="dxa"/>
            <w:vMerge w:val="restart"/>
            <w:tcBorders>
              <w:top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w:t>
            </w:r>
          </w:p>
        </w:tc>
        <w:tc>
          <w:tcPr>
            <w:tcW w:w="953"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Обсяг</w:t>
            </w:r>
          </w:p>
        </w:tc>
        <w:tc>
          <w:tcPr>
            <w:tcW w:w="1455"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Назва джерела</w:t>
            </w:r>
          </w:p>
        </w:tc>
        <w:tc>
          <w:tcPr>
            <w:tcW w:w="1396" w:type="dxa"/>
            <w:vMerge w:val="restart"/>
            <w:tcBorders>
              <w:top w:val="single" w:sz="4" w:space="0" w:color="auto"/>
              <w:left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r w:rsidRPr="001916D0">
              <w:rPr>
                <w:sz w:val="22"/>
                <w:lang w:val="uk-UA"/>
              </w:rPr>
              <w:t>2 000,0</w:t>
            </w:r>
          </w:p>
        </w:tc>
      </w:tr>
      <w:tr w:rsidR="00E95FB1" w:rsidRPr="001916D0" w:rsidTr="001B3967">
        <w:trPr>
          <w:trHeight w:val="300"/>
        </w:trPr>
        <w:tc>
          <w:tcPr>
            <w:tcW w:w="3119" w:type="dxa"/>
            <w:vMerge/>
            <w:shd w:val="clear" w:color="auto" w:fill="C6D9F1" w:themeFill="text2" w:themeFillTint="33"/>
          </w:tcPr>
          <w:p w:rsidR="00E95FB1" w:rsidRPr="001916D0" w:rsidRDefault="00E95FB1" w:rsidP="001B3967">
            <w:pPr>
              <w:pStyle w:val="a7"/>
              <w:ind w:left="0"/>
              <w:rPr>
                <w:b/>
                <w:sz w:val="22"/>
                <w:lang w:val="uk-UA"/>
              </w:rPr>
            </w:pPr>
          </w:p>
        </w:tc>
        <w:tc>
          <w:tcPr>
            <w:tcW w:w="1624" w:type="dxa"/>
            <w:vMerge/>
            <w:tcBorders>
              <w:right w:val="single" w:sz="4" w:space="0" w:color="auto"/>
            </w:tcBorders>
          </w:tcPr>
          <w:p w:rsidR="00E95FB1" w:rsidRPr="001916D0" w:rsidRDefault="00E95FB1" w:rsidP="001B3967">
            <w:pPr>
              <w:pStyle w:val="a7"/>
              <w:ind w:left="0"/>
              <w:jc w:val="center"/>
              <w:rPr>
                <w:sz w:val="22"/>
                <w:lang w:val="uk-UA"/>
              </w:rPr>
            </w:pPr>
          </w:p>
        </w:tc>
        <w:tc>
          <w:tcPr>
            <w:tcW w:w="1341" w:type="dxa"/>
            <w:vMerge/>
            <w:tcBorders>
              <w:right w:val="single" w:sz="4" w:space="0" w:color="auto"/>
            </w:tcBorders>
          </w:tcPr>
          <w:p w:rsidR="00E95FB1" w:rsidRPr="001916D0" w:rsidRDefault="00E95FB1" w:rsidP="001B3967">
            <w:pPr>
              <w:pStyle w:val="a7"/>
              <w:ind w:left="0"/>
              <w:jc w:val="center"/>
              <w:rPr>
                <w:b/>
                <w:sz w:val="22"/>
                <w:lang w:val="uk-UA"/>
              </w:rPr>
            </w:pPr>
          </w:p>
        </w:tc>
        <w:tc>
          <w:tcPr>
            <w:tcW w:w="953"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sz w:val="22"/>
                <w:lang w:val="uk-UA"/>
              </w:rPr>
              <w:t>600,0</w:t>
            </w:r>
          </w:p>
        </w:tc>
        <w:tc>
          <w:tcPr>
            <w:tcW w:w="1455"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 xml:space="preserve">Міжнародні інвестиції, </w:t>
            </w:r>
            <w:r w:rsidRPr="001916D0">
              <w:rPr>
                <w:sz w:val="22"/>
                <w:lang w:val="uk-UA"/>
              </w:rPr>
              <w:lastRenderedPageBreak/>
              <w:t>кошти приватних осіб</w:t>
            </w:r>
          </w:p>
        </w:tc>
        <w:tc>
          <w:tcPr>
            <w:tcW w:w="1396" w:type="dxa"/>
            <w:vMerge/>
            <w:tcBorders>
              <w:left w:val="single" w:sz="4" w:space="0" w:color="auto"/>
            </w:tcBorders>
          </w:tcPr>
          <w:p w:rsidR="00E95FB1" w:rsidRPr="001916D0" w:rsidRDefault="00E95FB1" w:rsidP="001B3967">
            <w:pPr>
              <w:pStyle w:val="a7"/>
              <w:ind w:left="0"/>
              <w:jc w:val="center"/>
              <w:rPr>
                <w:sz w:val="22"/>
                <w:lang w:val="uk-UA"/>
              </w:rPr>
            </w:pPr>
          </w:p>
        </w:tc>
      </w:tr>
    </w:tbl>
    <w:p w:rsidR="00E95FB1" w:rsidRPr="001916D0" w:rsidRDefault="00E95FB1" w:rsidP="00E95FB1">
      <w:pPr>
        <w:rPr>
          <w:sz w:val="22"/>
        </w:rPr>
      </w:pPr>
    </w:p>
    <w:p w:rsidR="00E95FB1" w:rsidRPr="001916D0" w:rsidRDefault="00E95FB1" w:rsidP="00E95FB1">
      <w:pPr>
        <w:rPr>
          <w:sz w:val="22"/>
        </w:rPr>
      </w:pPr>
    </w:p>
    <w:p w:rsidR="00E95FB1" w:rsidRPr="001916D0" w:rsidRDefault="00E95FB1" w:rsidP="00E95FB1">
      <w:pPr>
        <w:rPr>
          <w:sz w:val="22"/>
        </w:rPr>
      </w:pPr>
    </w:p>
    <w:tbl>
      <w:tblPr>
        <w:tblStyle w:val="af"/>
        <w:tblW w:w="9996" w:type="dxa"/>
        <w:tblInd w:w="-176" w:type="dxa"/>
        <w:tblLayout w:type="fixed"/>
        <w:tblLook w:val="04A0" w:firstRow="1" w:lastRow="0" w:firstColumn="1" w:lastColumn="0" w:noHBand="0" w:noVBand="1"/>
      </w:tblPr>
      <w:tblGrid>
        <w:gridCol w:w="2942"/>
        <w:gridCol w:w="2079"/>
        <w:gridCol w:w="1191"/>
        <w:gridCol w:w="207"/>
        <w:gridCol w:w="935"/>
        <w:gridCol w:w="669"/>
        <w:gridCol w:w="574"/>
        <w:gridCol w:w="1399"/>
      </w:tblGrid>
      <w:tr w:rsidR="00E95FB1" w:rsidRPr="001916D0" w:rsidTr="001B3967">
        <w:trPr>
          <w:trHeight w:val="144"/>
        </w:trPr>
        <w:tc>
          <w:tcPr>
            <w:tcW w:w="2942"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Оперативна ціль/завдання</w:t>
            </w:r>
          </w:p>
        </w:tc>
        <w:tc>
          <w:tcPr>
            <w:tcW w:w="7054" w:type="dxa"/>
            <w:gridSpan w:val="7"/>
            <w:shd w:val="clear" w:color="auto" w:fill="auto"/>
          </w:tcPr>
          <w:p w:rsidR="00E95FB1" w:rsidRPr="001916D0" w:rsidRDefault="00E95FB1" w:rsidP="001B3967">
            <w:pPr>
              <w:pStyle w:val="a7"/>
              <w:ind w:left="0"/>
              <w:rPr>
                <w:sz w:val="22"/>
                <w:lang w:val="uk-UA"/>
              </w:rPr>
            </w:pPr>
            <w:r w:rsidRPr="001916D0">
              <w:rPr>
                <w:rFonts w:eastAsia="Arial"/>
                <w:sz w:val="22"/>
                <w:lang w:val="uk-UA"/>
              </w:rPr>
              <w:t>Комфорт життя ЛЮДИНИ як безпека, екологічна сталість та розумна енергетика. Екологічна сталість через знання та партнерства</w:t>
            </w:r>
            <w:r w:rsidRPr="001916D0">
              <w:rPr>
                <w:sz w:val="22"/>
                <w:lang w:val="uk-UA"/>
              </w:rPr>
              <w:t xml:space="preserve"> </w:t>
            </w:r>
          </w:p>
        </w:tc>
      </w:tr>
      <w:tr w:rsidR="00E95FB1" w:rsidRPr="001916D0" w:rsidTr="001B3967">
        <w:trPr>
          <w:trHeight w:val="144"/>
        </w:trPr>
        <w:tc>
          <w:tcPr>
            <w:tcW w:w="2942"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Назва проекту:</w:t>
            </w:r>
          </w:p>
        </w:tc>
        <w:tc>
          <w:tcPr>
            <w:tcW w:w="7054" w:type="dxa"/>
            <w:gridSpan w:val="7"/>
          </w:tcPr>
          <w:p w:rsidR="00E95FB1" w:rsidRPr="001916D0" w:rsidRDefault="00E95FB1" w:rsidP="001B3967">
            <w:pPr>
              <w:pStyle w:val="a7"/>
              <w:ind w:left="0"/>
              <w:rPr>
                <w:sz w:val="22"/>
                <w:lang w:val="uk-UA"/>
              </w:rPr>
            </w:pPr>
            <w:r w:rsidRPr="001916D0">
              <w:rPr>
                <w:sz w:val="22"/>
                <w:lang w:val="uk-UA"/>
              </w:rPr>
              <w:t xml:space="preserve">Відновлення мереж  КП «СЄВЄРОДОНЕЦЬКВОДОКАНАЛ» </w:t>
            </w:r>
          </w:p>
        </w:tc>
      </w:tr>
      <w:tr w:rsidR="00E95FB1" w:rsidRPr="001916D0" w:rsidTr="001B3967">
        <w:trPr>
          <w:trHeight w:val="144"/>
        </w:trPr>
        <w:tc>
          <w:tcPr>
            <w:tcW w:w="2942" w:type="dxa"/>
            <w:shd w:val="clear" w:color="auto" w:fill="C6D9F1" w:themeFill="text2" w:themeFillTint="33"/>
          </w:tcPr>
          <w:p w:rsidR="00E95FB1" w:rsidRPr="001916D0" w:rsidRDefault="00E95FB1" w:rsidP="001B3967">
            <w:pPr>
              <w:rPr>
                <w:b/>
                <w:sz w:val="22"/>
                <w:lang w:val="uk-UA"/>
              </w:rPr>
            </w:pPr>
            <w:r w:rsidRPr="001916D0">
              <w:rPr>
                <w:b/>
                <w:sz w:val="22"/>
                <w:lang w:val="uk-UA"/>
              </w:rPr>
              <w:t>Ціль проекту</w:t>
            </w:r>
          </w:p>
        </w:tc>
        <w:tc>
          <w:tcPr>
            <w:tcW w:w="7054" w:type="dxa"/>
            <w:gridSpan w:val="7"/>
          </w:tcPr>
          <w:p w:rsidR="00E95FB1" w:rsidRPr="001916D0" w:rsidRDefault="00E95FB1" w:rsidP="001B3967">
            <w:pPr>
              <w:pStyle w:val="a7"/>
              <w:ind w:left="0"/>
              <w:rPr>
                <w:sz w:val="22"/>
                <w:lang w:val="uk-UA"/>
              </w:rPr>
            </w:pPr>
            <w:r w:rsidRPr="001916D0">
              <w:rPr>
                <w:sz w:val="22"/>
                <w:lang w:val="uk-UA"/>
              </w:rPr>
              <w:t>Відновити та покращити роботу комунального підприємства «СЄВЄРОДОНЕЦЬКВОДОКАНАЛ» для надання широкого спектру послуг, пов’язаних із централізованим водопостачанням та централізованим водовідведенням,  задоволення потреб мешканців Сєвєродонецької міської територіальної громади у необхідних послугах централізованого водопостачання, централізованого водовідведення та сталого розвитку громади.</w:t>
            </w:r>
          </w:p>
        </w:tc>
      </w:tr>
      <w:tr w:rsidR="00E95FB1" w:rsidRPr="001916D0" w:rsidTr="001B3967">
        <w:trPr>
          <w:trHeight w:val="144"/>
        </w:trPr>
        <w:tc>
          <w:tcPr>
            <w:tcW w:w="2942"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Територія, на яку матиме вплив реалізація проекту</w:t>
            </w:r>
          </w:p>
        </w:tc>
        <w:tc>
          <w:tcPr>
            <w:tcW w:w="7054" w:type="dxa"/>
            <w:gridSpan w:val="7"/>
          </w:tcPr>
          <w:p w:rsidR="00E95FB1" w:rsidRPr="001916D0" w:rsidRDefault="00E95FB1" w:rsidP="001B3967">
            <w:pPr>
              <w:pStyle w:val="a7"/>
              <w:ind w:left="0"/>
              <w:rPr>
                <w:sz w:val="22"/>
                <w:lang w:val="uk-UA"/>
              </w:rPr>
            </w:pPr>
            <w:r w:rsidRPr="001916D0">
              <w:rPr>
                <w:sz w:val="22"/>
                <w:lang w:val="uk-UA"/>
              </w:rPr>
              <w:t>Сєвєродонецька міська територіальна громада</w:t>
            </w:r>
          </w:p>
        </w:tc>
      </w:tr>
      <w:tr w:rsidR="00E95FB1" w:rsidRPr="001916D0" w:rsidTr="001B3967">
        <w:trPr>
          <w:trHeight w:val="144"/>
        </w:trPr>
        <w:tc>
          <w:tcPr>
            <w:tcW w:w="2942"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Чисельність населення, на яке матиме вплив реалізація проекту</w:t>
            </w:r>
          </w:p>
        </w:tc>
        <w:tc>
          <w:tcPr>
            <w:tcW w:w="7054" w:type="dxa"/>
            <w:gridSpan w:val="7"/>
          </w:tcPr>
          <w:p w:rsidR="00E95FB1" w:rsidRPr="001916D0" w:rsidRDefault="00E95FB1" w:rsidP="001B3967">
            <w:pPr>
              <w:pStyle w:val="a7"/>
              <w:ind w:left="0"/>
              <w:rPr>
                <w:sz w:val="22"/>
                <w:lang w:val="uk-UA"/>
              </w:rPr>
            </w:pPr>
            <w:r w:rsidRPr="001916D0">
              <w:rPr>
                <w:sz w:val="22"/>
                <w:lang w:val="uk-UA"/>
              </w:rPr>
              <w:t xml:space="preserve"> 70 000  осіб</w:t>
            </w:r>
          </w:p>
        </w:tc>
      </w:tr>
      <w:tr w:rsidR="00E95FB1" w:rsidRPr="001916D0" w:rsidTr="001B3967">
        <w:trPr>
          <w:trHeight w:val="144"/>
        </w:trPr>
        <w:tc>
          <w:tcPr>
            <w:tcW w:w="2942" w:type="dxa"/>
            <w:shd w:val="clear" w:color="auto" w:fill="C6D9F1" w:themeFill="text2" w:themeFillTint="33"/>
          </w:tcPr>
          <w:p w:rsidR="00E95FB1" w:rsidRPr="001916D0" w:rsidRDefault="00E95FB1" w:rsidP="001B3967">
            <w:pPr>
              <w:rPr>
                <w:b/>
                <w:sz w:val="22"/>
                <w:lang w:val="uk-UA"/>
              </w:rPr>
            </w:pPr>
            <w:r w:rsidRPr="001916D0">
              <w:rPr>
                <w:b/>
                <w:sz w:val="22"/>
                <w:lang w:val="uk-UA"/>
              </w:rPr>
              <w:t>Опис проблеми, на вирішення якої  спрямований проект</w:t>
            </w:r>
          </w:p>
        </w:tc>
        <w:tc>
          <w:tcPr>
            <w:tcW w:w="7054" w:type="dxa"/>
            <w:gridSpan w:val="7"/>
          </w:tcPr>
          <w:p w:rsidR="00E95FB1" w:rsidRPr="001916D0" w:rsidRDefault="00E95FB1" w:rsidP="001B3967">
            <w:pPr>
              <w:ind w:firstLine="708"/>
              <w:rPr>
                <w:sz w:val="22"/>
                <w:lang w:val="uk-UA"/>
              </w:rPr>
            </w:pPr>
            <w:r w:rsidRPr="001916D0">
              <w:rPr>
                <w:sz w:val="22"/>
                <w:lang w:val="uk-UA"/>
              </w:rPr>
              <w:t>Через військову агресію РФ територія Сєвєродонецької міської територіальної громади зазнала значних пошкоджень, включаючи і КП «СЄВЄРОДОНЕЦЬКВОДОКАНАЛ».</w:t>
            </w:r>
          </w:p>
          <w:p w:rsidR="00E95FB1" w:rsidRPr="001916D0" w:rsidRDefault="00E95FB1" w:rsidP="001B3967">
            <w:pPr>
              <w:pStyle w:val="13"/>
              <w:jc w:val="both"/>
              <w:rPr>
                <w:sz w:val="22"/>
                <w:lang w:val="uk-UA"/>
              </w:rPr>
            </w:pPr>
            <w:r w:rsidRPr="001916D0">
              <w:rPr>
                <w:rFonts w:eastAsia="Arial"/>
                <w:sz w:val="22"/>
                <w:lang w:val="uk-UA"/>
              </w:rPr>
              <w:t xml:space="preserve">            Для відбудови та сталого розвитку громади потрібне відновлення</w:t>
            </w:r>
            <w:r w:rsidRPr="001916D0">
              <w:rPr>
                <w:sz w:val="22"/>
                <w:lang w:val="uk-UA"/>
              </w:rPr>
              <w:t xml:space="preserve"> водопровідних мереж та каналізаційних мереж</w:t>
            </w:r>
            <w:r w:rsidRPr="001916D0">
              <w:rPr>
                <w:rFonts w:eastAsia="Arial"/>
                <w:sz w:val="22"/>
                <w:lang w:val="uk-UA"/>
              </w:rPr>
              <w:t xml:space="preserve"> Сєвєродонецького р-ну. Мешканці громади потребують в отриманні якісних  послуг централізованого водопостачання та централізованого водовідведення, які відповідають нормам сучасності. </w:t>
            </w:r>
          </w:p>
        </w:tc>
      </w:tr>
      <w:tr w:rsidR="00E95FB1" w:rsidRPr="001916D0" w:rsidTr="001B3967">
        <w:trPr>
          <w:trHeight w:val="2469"/>
        </w:trPr>
        <w:tc>
          <w:tcPr>
            <w:tcW w:w="2942"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якісні результати від реалізації проекту</w:t>
            </w:r>
          </w:p>
        </w:tc>
        <w:tc>
          <w:tcPr>
            <w:tcW w:w="7054" w:type="dxa"/>
            <w:gridSpan w:val="7"/>
          </w:tcPr>
          <w:p w:rsidR="00E95FB1" w:rsidRPr="001916D0" w:rsidRDefault="00E95FB1" w:rsidP="001B3967">
            <w:pPr>
              <w:pStyle w:val="a7"/>
              <w:ind w:left="0"/>
              <w:rPr>
                <w:sz w:val="22"/>
                <w:lang w:val="uk-UA"/>
              </w:rPr>
            </w:pPr>
            <w:r w:rsidRPr="001916D0">
              <w:rPr>
                <w:sz w:val="22"/>
                <w:lang w:val="uk-UA"/>
              </w:rPr>
              <w:t>- забезпечення населення можливостями для реалізації його конституційних прав, пов’язаних із правом користування природними водними ресурсами</w:t>
            </w:r>
            <w:r w:rsidR="008C62DF" w:rsidRPr="001916D0">
              <w:rPr>
                <w:bCs/>
                <w:sz w:val="22"/>
                <w:szCs w:val="22"/>
                <w:lang w:val="uk-UA"/>
              </w:rPr>
              <w:t xml:space="preserve"> </w:t>
            </w:r>
            <w:r w:rsidRPr="001916D0">
              <w:rPr>
                <w:sz w:val="22"/>
                <w:lang w:val="uk-UA"/>
              </w:rPr>
              <w:t>(ст.13 Конституції України);</w:t>
            </w:r>
          </w:p>
          <w:p w:rsidR="00E95FB1" w:rsidRPr="001916D0" w:rsidRDefault="00E95FB1" w:rsidP="001B3967">
            <w:pPr>
              <w:pStyle w:val="a7"/>
              <w:ind w:left="0"/>
              <w:rPr>
                <w:sz w:val="22"/>
                <w:lang w:val="uk-UA"/>
              </w:rPr>
            </w:pPr>
            <w:r w:rsidRPr="001916D0">
              <w:rPr>
                <w:sz w:val="22"/>
                <w:lang w:val="uk-UA"/>
              </w:rPr>
              <w:t>- надання широкого спектру послуг, пов’язаних із централізованим водопостачанням;</w:t>
            </w:r>
          </w:p>
          <w:p w:rsidR="00E95FB1" w:rsidRPr="001916D0" w:rsidRDefault="00E95FB1" w:rsidP="001B3967">
            <w:pPr>
              <w:pStyle w:val="a7"/>
              <w:ind w:left="0"/>
              <w:rPr>
                <w:sz w:val="22"/>
                <w:lang w:val="uk-UA"/>
              </w:rPr>
            </w:pPr>
            <w:r w:rsidRPr="001916D0">
              <w:rPr>
                <w:sz w:val="22"/>
                <w:lang w:val="uk-UA"/>
              </w:rPr>
              <w:t>- вирішення ряду питань в межах статутної діяльності, пов’язаних із відбудовою та сталим розвитком громади;</w:t>
            </w:r>
          </w:p>
          <w:p w:rsidR="00E95FB1" w:rsidRPr="001916D0" w:rsidRDefault="00E95FB1" w:rsidP="001B3967">
            <w:pPr>
              <w:pStyle w:val="a7"/>
              <w:ind w:left="0"/>
              <w:rPr>
                <w:sz w:val="22"/>
                <w:lang w:val="uk-UA"/>
              </w:rPr>
            </w:pPr>
            <w:r w:rsidRPr="001916D0">
              <w:rPr>
                <w:sz w:val="22"/>
                <w:lang w:val="uk-UA"/>
              </w:rPr>
              <w:t>- створення нових робочих місць;</w:t>
            </w:r>
          </w:p>
          <w:p w:rsidR="00E95FB1" w:rsidRPr="001916D0" w:rsidRDefault="00E95FB1" w:rsidP="001B3967">
            <w:pPr>
              <w:pStyle w:val="a7"/>
              <w:ind w:left="0"/>
              <w:rPr>
                <w:sz w:val="22"/>
                <w:lang w:val="uk-UA"/>
              </w:rPr>
            </w:pPr>
            <w:r w:rsidRPr="001916D0">
              <w:rPr>
                <w:sz w:val="22"/>
                <w:lang w:val="uk-UA"/>
              </w:rPr>
              <w:t>- стимул до повернення ВПО до громади;</w:t>
            </w:r>
          </w:p>
        </w:tc>
      </w:tr>
      <w:tr w:rsidR="00E95FB1" w:rsidRPr="001916D0" w:rsidTr="001B3967">
        <w:trPr>
          <w:trHeight w:val="389"/>
        </w:trPr>
        <w:tc>
          <w:tcPr>
            <w:tcW w:w="2942"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Очікувані кількісні результати реалізації </w:t>
            </w:r>
            <w:proofErr w:type="spellStart"/>
            <w:r w:rsidRPr="001916D0">
              <w:rPr>
                <w:b/>
                <w:sz w:val="22"/>
                <w:lang w:val="uk-UA"/>
              </w:rPr>
              <w:t>проєкту</w:t>
            </w:r>
            <w:proofErr w:type="spellEnd"/>
            <w:r w:rsidRPr="001916D0">
              <w:rPr>
                <w:b/>
                <w:sz w:val="22"/>
                <w:lang w:val="uk-UA"/>
              </w:rPr>
              <w:t xml:space="preserve"> (індикатори)</w:t>
            </w:r>
          </w:p>
          <w:p w:rsidR="00E95FB1" w:rsidRPr="001916D0" w:rsidRDefault="00E95FB1" w:rsidP="001B3967">
            <w:pPr>
              <w:pStyle w:val="a7"/>
              <w:ind w:left="0"/>
              <w:rPr>
                <w:b/>
                <w:sz w:val="22"/>
                <w:lang w:val="uk-UA"/>
              </w:rPr>
            </w:pPr>
          </w:p>
        </w:tc>
        <w:tc>
          <w:tcPr>
            <w:tcW w:w="3477" w:type="dxa"/>
            <w:gridSpan w:val="3"/>
            <w:tcBorders>
              <w:bottom w:val="single" w:sz="4" w:space="0" w:color="auto"/>
              <w:right w:val="single" w:sz="4" w:space="0" w:color="auto"/>
            </w:tcBorders>
          </w:tcPr>
          <w:p w:rsidR="00E95FB1" w:rsidRPr="001916D0" w:rsidRDefault="00E95FB1" w:rsidP="001B3967">
            <w:pPr>
              <w:pStyle w:val="a7"/>
              <w:ind w:left="-108"/>
              <w:jc w:val="center"/>
              <w:rPr>
                <w:b/>
                <w:sz w:val="22"/>
                <w:lang w:val="uk-UA"/>
              </w:rPr>
            </w:pPr>
            <w:r w:rsidRPr="001916D0">
              <w:rPr>
                <w:b/>
                <w:sz w:val="22"/>
                <w:lang w:val="uk-UA"/>
              </w:rPr>
              <w:t>Найменування показника</w:t>
            </w:r>
          </w:p>
        </w:tc>
        <w:tc>
          <w:tcPr>
            <w:tcW w:w="1604" w:type="dxa"/>
            <w:gridSpan w:val="2"/>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Одиниця вимірювання</w:t>
            </w:r>
          </w:p>
          <w:p w:rsidR="00E95FB1" w:rsidRPr="001916D0" w:rsidRDefault="00E95FB1" w:rsidP="001B3967">
            <w:pPr>
              <w:pStyle w:val="a7"/>
              <w:ind w:left="0"/>
              <w:rPr>
                <w:b/>
                <w:sz w:val="22"/>
                <w:lang w:val="uk-UA"/>
              </w:rPr>
            </w:pPr>
          </w:p>
        </w:tc>
        <w:tc>
          <w:tcPr>
            <w:tcW w:w="1972" w:type="dxa"/>
            <w:gridSpan w:val="2"/>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Прогнозне (цільове) значення</w:t>
            </w:r>
          </w:p>
        </w:tc>
      </w:tr>
      <w:tr w:rsidR="00E95FB1" w:rsidRPr="001916D0" w:rsidTr="001B3967">
        <w:trPr>
          <w:trHeight w:val="389"/>
        </w:trPr>
        <w:tc>
          <w:tcPr>
            <w:tcW w:w="2942" w:type="dxa"/>
            <w:vMerge/>
            <w:shd w:val="clear" w:color="auto" w:fill="C6D9F1" w:themeFill="text2" w:themeFillTint="33"/>
          </w:tcPr>
          <w:p w:rsidR="00E95FB1" w:rsidRPr="001916D0" w:rsidRDefault="00E95FB1" w:rsidP="001B3967">
            <w:pPr>
              <w:pStyle w:val="a7"/>
              <w:ind w:left="0"/>
              <w:rPr>
                <w:b/>
                <w:sz w:val="22"/>
                <w:lang w:val="uk-UA"/>
              </w:rPr>
            </w:pPr>
          </w:p>
        </w:tc>
        <w:tc>
          <w:tcPr>
            <w:tcW w:w="3477" w:type="dxa"/>
            <w:gridSpan w:val="3"/>
            <w:tcBorders>
              <w:bottom w:val="single" w:sz="4" w:space="0" w:color="auto"/>
              <w:right w:val="single" w:sz="4" w:space="0" w:color="auto"/>
            </w:tcBorders>
          </w:tcPr>
          <w:p w:rsidR="00E95FB1" w:rsidRPr="001916D0" w:rsidRDefault="00E95FB1" w:rsidP="001B3967">
            <w:pPr>
              <w:pStyle w:val="a7"/>
              <w:ind w:left="-108"/>
              <w:jc w:val="center"/>
              <w:rPr>
                <w:b/>
                <w:sz w:val="22"/>
                <w:lang w:val="uk-UA"/>
              </w:rPr>
            </w:pPr>
            <w:r w:rsidRPr="001916D0">
              <w:rPr>
                <w:sz w:val="22"/>
                <w:lang w:val="uk-UA"/>
              </w:rPr>
              <w:t>Водопровідні та каналізаційні мережі</w:t>
            </w:r>
          </w:p>
        </w:tc>
        <w:tc>
          <w:tcPr>
            <w:tcW w:w="1604" w:type="dxa"/>
            <w:gridSpan w:val="2"/>
            <w:tcBorders>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Метрів погонних</w:t>
            </w:r>
          </w:p>
        </w:tc>
        <w:tc>
          <w:tcPr>
            <w:tcW w:w="1972" w:type="dxa"/>
            <w:gridSpan w:val="2"/>
            <w:tcBorders>
              <w:left w:val="single" w:sz="4" w:space="0" w:color="auto"/>
              <w:bottom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256030</w:t>
            </w:r>
          </w:p>
        </w:tc>
      </w:tr>
      <w:tr w:rsidR="00E95FB1" w:rsidRPr="001916D0" w:rsidTr="001B3967">
        <w:trPr>
          <w:trHeight w:val="583"/>
        </w:trPr>
        <w:tc>
          <w:tcPr>
            <w:tcW w:w="2942" w:type="dxa"/>
            <w:vMerge/>
            <w:shd w:val="clear" w:color="auto" w:fill="C6D9F1" w:themeFill="text2" w:themeFillTint="33"/>
          </w:tcPr>
          <w:p w:rsidR="00E95FB1" w:rsidRPr="001916D0" w:rsidRDefault="00E95FB1" w:rsidP="001B3967">
            <w:pPr>
              <w:pStyle w:val="a7"/>
              <w:ind w:left="0"/>
              <w:rPr>
                <w:b/>
                <w:sz w:val="22"/>
                <w:lang w:val="uk-UA"/>
              </w:rPr>
            </w:pPr>
          </w:p>
        </w:tc>
        <w:tc>
          <w:tcPr>
            <w:tcW w:w="3477"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Кількість фізичних та юридичних осіб, які звернулись за послугами протягом  року</w:t>
            </w:r>
          </w:p>
        </w:tc>
        <w:tc>
          <w:tcPr>
            <w:tcW w:w="1604"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осіб</w:t>
            </w:r>
          </w:p>
        </w:tc>
        <w:tc>
          <w:tcPr>
            <w:tcW w:w="1972" w:type="dxa"/>
            <w:gridSpan w:val="2"/>
            <w:tcBorders>
              <w:top w:val="single" w:sz="4" w:space="0" w:color="auto"/>
              <w:left w:val="single" w:sz="4" w:space="0" w:color="auto"/>
              <w:bottom w:val="single" w:sz="4" w:space="0" w:color="auto"/>
            </w:tcBorders>
            <w:vAlign w:val="center"/>
          </w:tcPr>
          <w:p w:rsidR="00E95FB1" w:rsidRPr="001916D0" w:rsidRDefault="00E95FB1" w:rsidP="001B3967">
            <w:pPr>
              <w:pStyle w:val="a7"/>
              <w:ind w:left="0"/>
              <w:jc w:val="center"/>
              <w:rPr>
                <w:b/>
                <w:sz w:val="22"/>
                <w:lang w:val="uk-UA"/>
              </w:rPr>
            </w:pPr>
            <w:r w:rsidRPr="001916D0">
              <w:rPr>
                <w:sz w:val="22"/>
                <w:lang w:val="uk-UA"/>
              </w:rPr>
              <w:t>70 000,0</w:t>
            </w:r>
          </w:p>
        </w:tc>
      </w:tr>
      <w:tr w:rsidR="00E95FB1" w:rsidRPr="001916D0" w:rsidTr="001B3967">
        <w:trPr>
          <w:trHeight w:val="184"/>
        </w:trPr>
        <w:tc>
          <w:tcPr>
            <w:tcW w:w="2942" w:type="dxa"/>
            <w:vMerge/>
            <w:shd w:val="clear" w:color="auto" w:fill="C6D9F1" w:themeFill="text2" w:themeFillTint="33"/>
          </w:tcPr>
          <w:p w:rsidR="00E95FB1" w:rsidRPr="001916D0" w:rsidRDefault="00E95FB1" w:rsidP="001B3967">
            <w:pPr>
              <w:pStyle w:val="a7"/>
              <w:ind w:left="0"/>
              <w:rPr>
                <w:b/>
                <w:sz w:val="22"/>
                <w:lang w:val="uk-UA"/>
              </w:rPr>
            </w:pPr>
          </w:p>
        </w:tc>
        <w:tc>
          <w:tcPr>
            <w:tcW w:w="3477"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Кількість видів та типів послуг</w:t>
            </w:r>
            <w:r w:rsidR="008C62DF" w:rsidRPr="001916D0">
              <w:rPr>
                <w:bCs/>
                <w:sz w:val="22"/>
                <w:szCs w:val="22"/>
                <w:lang w:val="uk-UA"/>
              </w:rPr>
              <w:t>,</w:t>
            </w:r>
            <w:r w:rsidRPr="001916D0">
              <w:rPr>
                <w:sz w:val="22"/>
                <w:lang w:val="uk-UA"/>
              </w:rPr>
              <w:t xml:space="preserve"> наданих протягом одно робочого дня</w:t>
            </w:r>
          </w:p>
        </w:tc>
        <w:tc>
          <w:tcPr>
            <w:tcW w:w="1604"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972" w:type="dxa"/>
            <w:gridSpan w:val="2"/>
            <w:tcBorders>
              <w:top w:val="single" w:sz="4" w:space="0" w:color="auto"/>
              <w:left w:val="single" w:sz="4" w:space="0" w:color="auto"/>
              <w:bottom w:val="single" w:sz="4" w:space="0" w:color="auto"/>
            </w:tcBorders>
            <w:vAlign w:val="center"/>
          </w:tcPr>
          <w:p w:rsidR="00E95FB1" w:rsidRPr="001916D0" w:rsidRDefault="00E95FB1" w:rsidP="001B3967">
            <w:pPr>
              <w:pStyle w:val="a7"/>
              <w:ind w:left="0"/>
              <w:jc w:val="center"/>
              <w:rPr>
                <w:sz w:val="22"/>
                <w:highlight w:val="yellow"/>
                <w:lang w:val="uk-UA"/>
              </w:rPr>
            </w:pPr>
            <w:r w:rsidRPr="001916D0">
              <w:rPr>
                <w:sz w:val="22"/>
                <w:lang w:val="uk-UA"/>
              </w:rPr>
              <w:t>8</w:t>
            </w:r>
          </w:p>
        </w:tc>
      </w:tr>
      <w:tr w:rsidR="00E95FB1" w:rsidRPr="001916D0" w:rsidTr="001B3967">
        <w:trPr>
          <w:trHeight w:val="165"/>
        </w:trPr>
        <w:tc>
          <w:tcPr>
            <w:tcW w:w="2942" w:type="dxa"/>
            <w:vMerge/>
            <w:shd w:val="clear" w:color="auto" w:fill="C6D9F1" w:themeFill="text2" w:themeFillTint="33"/>
          </w:tcPr>
          <w:p w:rsidR="00E95FB1" w:rsidRPr="001916D0" w:rsidRDefault="00E95FB1" w:rsidP="001B3967">
            <w:pPr>
              <w:pStyle w:val="a7"/>
              <w:ind w:left="0"/>
              <w:rPr>
                <w:b/>
                <w:sz w:val="22"/>
                <w:lang w:val="uk-UA"/>
              </w:rPr>
            </w:pPr>
          </w:p>
        </w:tc>
        <w:tc>
          <w:tcPr>
            <w:tcW w:w="3477"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Середня вартість послуг</w:t>
            </w:r>
          </w:p>
        </w:tc>
        <w:tc>
          <w:tcPr>
            <w:tcW w:w="1604"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грн</w:t>
            </w:r>
          </w:p>
        </w:tc>
        <w:tc>
          <w:tcPr>
            <w:tcW w:w="1972" w:type="dxa"/>
            <w:gridSpan w:val="2"/>
            <w:tcBorders>
              <w:top w:val="single" w:sz="4" w:space="0" w:color="auto"/>
              <w:left w:val="single" w:sz="4" w:space="0" w:color="auto"/>
              <w:bottom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18,30</w:t>
            </w:r>
          </w:p>
        </w:tc>
      </w:tr>
      <w:tr w:rsidR="00E95FB1" w:rsidRPr="001916D0" w:rsidTr="001B3967">
        <w:trPr>
          <w:trHeight w:val="150"/>
        </w:trPr>
        <w:tc>
          <w:tcPr>
            <w:tcW w:w="2942" w:type="dxa"/>
            <w:vMerge/>
            <w:shd w:val="clear" w:color="auto" w:fill="C6D9F1" w:themeFill="text2" w:themeFillTint="33"/>
          </w:tcPr>
          <w:p w:rsidR="00E95FB1" w:rsidRPr="001916D0" w:rsidRDefault="00E95FB1" w:rsidP="001B3967">
            <w:pPr>
              <w:pStyle w:val="a7"/>
              <w:ind w:left="0"/>
              <w:rPr>
                <w:b/>
                <w:sz w:val="22"/>
                <w:lang w:val="uk-UA"/>
              </w:rPr>
            </w:pPr>
          </w:p>
        </w:tc>
        <w:tc>
          <w:tcPr>
            <w:tcW w:w="3477"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Термін надання послуги</w:t>
            </w:r>
          </w:p>
        </w:tc>
        <w:tc>
          <w:tcPr>
            <w:tcW w:w="1604" w:type="dxa"/>
            <w:gridSpan w:val="2"/>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день</w:t>
            </w:r>
          </w:p>
        </w:tc>
        <w:tc>
          <w:tcPr>
            <w:tcW w:w="1972" w:type="dxa"/>
            <w:gridSpan w:val="2"/>
            <w:tcBorders>
              <w:top w:val="single" w:sz="4" w:space="0" w:color="auto"/>
              <w:lef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цілодобово</w:t>
            </w:r>
          </w:p>
        </w:tc>
      </w:tr>
      <w:tr w:rsidR="00E95FB1" w:rsidRPr="001916D0" w:rsidTr="001B3967">
        <w:trPr>
          <w:trHeight w:val="150"/>
        </w:trPr>
        <w:tc>
          <w:tcPr>
            <w:tcW w:w="2942" w:type="dxa"/>
            <w:shd w:val="clear" w:color="auto" w:fill="C6D9F1" w:themeFill="text2" w:themeFillTint="33"/>
          </w:tcPr>
          <w:p w:rsidR="00E95FB1" w:rsidRPr="001916D0" w:rsidRDefault="00E95FB1" w:rsidP="001B3967">
            <w:pPr>
              <w:pStyle w:val="a7"/>
              <w:ind w:left="0"/>
              <w:rPr>
                <w:b/>
                <w:sz w:val="22"/>
                <w:lang w:val="uk-UA"/>
              </w:rPr>
            </w:pPr>
          </w:p>
        </w:tc>
        <w:tc>
          <w:tcPr>
            <w:tcW w:w="3477" w:type="dxa"/>
            <w:gridSpan w:val="3"/>
            <w:tcBorders>
              <w:top w:val="single" w:sz="4" w:space="0" w:color="auto"/>
              <w:right w:val="single" w:sz="4" w:space="0" w:color="auto"/>
            </w:tcBorders>
          </w:tcPr>
          <w:p w:rsidR="00E95FB1" w:rsidRPr="001916D0" w:rsidRDefault="00E95FB1" w:rsidP="008C62DF">
            <w:pPr>
              <w:pStyle w:val="a7"/>
              <w:ind w:left="0"/>
              <w:jc w:val="center"/>
              <w:rPr>
                <w:sz w:val="22"/>
                <w:lang w:val="uk-UA"/>
              </w:rPr>
            </w:pPr>
            <w:r w:rsidRPr="001916D0">
              <w:rPr>
                <w:sz w:val="22"/>
                <w:lang w:val="uk-UA"/>
              </w:rPr>
              <w:t xml:space="preserve">Кількість населених пунктів, </w:t>
            </w:r>
            <w:r w:rsidRPr="001916D0">
              <w:rPr>
                <w:bCs/>
                <w:sz w:val="22"/>
                <w:szCs w:val="22"/>
                <w:lang w:val="uk-UA"/>
              </w:rPr>
              <w:t>як</w:t>
            </w:r>
            <w:r w:rsidR="008C62DF" w:rsidRPr="001916D0">
              <w:rPr>
                <w:bCs/>
                <w:sz w:val="22"/>
                <w:szCs w:val="22"/>
                <w:lang w:val="uk-UA"/>
              </w:rPr>
              <w:t>і</w:t>
            </w:r>
            <w:r w:rsidRPr="001916D0">
              <w:rPr>
                <w:sz w:val="22"/>
                <w:lang w:val="uk-UA"/>
              </w:rPr>
              <w:t xml:space="preserve"> обслуговує підприємство</w:t>
            </w:r>
          </w:p>
        </w:tc>
        <w:tc>
          <w:tcPr>
            <w:tcW w:w="1604" w:type="dxa"/>
            <w:gridSpan w:val="2"/>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972" w:type="dxa"/>
            <w:gridSpan w:val="2"/>
            <w:tcBorders>
              <w:top w:val="single" w:sz="4" w:space="0" w:color="auto"/>
              <w:lef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11</w:t>
            </w:r>
          </w:p>
          <w:p w:rsidR="00E95FB1" w:rsidRPr="001916D0" w:rsidRDefault="00E95FB1" w:rsidP="001B3967">
            <w:pPr>
              <w:pStyle w:val="a7"/>
              <w:ind w:left="0"/>
              <w:jc w:val="center"/>
              <w:rPr>
                <w:sz w:val="22"/>
                <w:lang w:val="uk-UA"/>
              </w:rPr>
            </w:pPr>
          </w:p>
        </w:tc>
      </w:tr>
      <w:tr w:rsidR="00E95FB1" w:rsidRPr="001916D0" w:rsidTr="001B3967">
        <w:trPr>
          <w:trHeight w:val="1930"/>
        </w:trPr>
        <w:tc>
          <w:tcPr>
            <w:tcW w:w="2942" w:type="dxa"/>
            <w:shd w:val="clear" w:color="auto" w:fill="C6D9F1" w:themeFill="text2" w:themeFillTint="33"/>
          </w:tcPr>
          <w:p w:rsidR="00E95FB1" w:rsidRPr="001916D0" w:rsidRDefault="00E95FB1" w:rsidP="001B3967">
            <w:pPr>
              <w:rPr>
                <w:b/>
                <w:sz w:val="22"/>
                <w:lang w:val="uk-UA"/>
              </w:rPr>
            </w:pPr>
            <w:r w:rsidRPr="001916D0">
              <w:rPr>
                <w:b/>
                <w:sz w:val="22"/>
                <w:lang w:val="uk-UA"/>
              </w:rPr>
              <w:lastRenderedPageBreak/>
              <w:t xml:space="preserve">Ключові заходи проекту: </w:t>
            </w:r>
          </w:p>
          <w:p w:rsidR="00E95FB1" w:rsidRPr="001916D0" w:rsidRDefault="00E95FB1" w:rsidP="001B3967">
            <w:pPr>
              <w:pStyle w:val="a7"/>
              <w:ind w:left="0"/>
              <w:rPr>
                <w:b/>
                <w:sz w:val="22"/>
                <w:lang w:val="uk-UA"/>
              </w:rPr>
            </w:pPr>
          </w:p>
        </w:tc>
        <w:tc>
          <w:tcPr>
            <w:tcW w:w="7054" w:type="dxa"/>
            <w:gridSpan w:val="7"/>
          </w:tcPr>
          <w:p w:rsidR="00E95FB1" w:rsidRPr="001916D0" w:rsidRDefault="00E95FB1" w:rsidP="001B3967">
            <w:pPr>
              <w:pStyle w:val="a7"/>
              <w:ind w:left="0"/>
              <w:rPr>
                <w:sz w:val="22"/>
                <w:lang w:val="uk-UA"/>
              </w:rPr>
            </w:pPr>
            <w:r w:rsidRPr="001916D0">
              <w:rPr>
                <w:sz w:val="22"/>
                <w:lang w:val="uk-UA"/>
              </w:rPr>
              <w:t>- обстеження стану водопровідних мереж та каналізаційних мереж;</w:t>
            </w:r>
          </w:p>
          <w:p w:rsidR="00E95FB1" w:rsidRPr="001916D0" w:rsidRDefault="00E95FB1" w:rsidP="001B3967">
            <w:pPr>
              <w:pStyle w:val="a7"/>
              <w:ind w:left="0"/>
              <w:rPr>
                <w:sz w:val="22"/>
                <w:lang w:val="uk-UA"/>
              </w:rPr>
            </w:pPr>
            <w:r w:rsidRPr="001916D0">
              <w:rPr>
                <w:sz w:val="22"/>
                <w:lang w:val="uk-UA"/>
              </w:rPr>
              <w:t>- проведення інвентаризації основних засобів;</w:t>
            </w:r>
          </w:p>
          <w:p w:rsidR="00E95FB1" w:rsidRPr="001916D0" w:rsidRDefault="00E95FB1" w:rsidP="001B3967">
            <w:pPr>
              <w:pStyle w:val="a7"/>
              <w:ind w:left="0"/>
              <w:rPr>
                <w:sz w:val="22"/>
                <w:lang w:val="uk-UA"/>
              </w:rPr>
            </w:pPr>
            <w:r w:rsidRPr="001916D0">
              <w:rPr>
                <w:sz w:val="22"/>
                <w:lang w:val="uk-UA"/>
              </w:rPr>
              <w:t>- придбання технічного забезпечення підприємства;</w:t>
            </w:r>
          </w:p>
          <w:p w:rsidR="00E95FB1" w:rsidRPr="001916D0" w:rsidRDefault="00E95FB1" w:rsidP="001B3967">
            <w:pPr>
              <w:pStyle w:val="a7"/>
              <w:ind w:left="0"/>
              <w:rPr>
                <w:sz w:val="22"/>
                <w:lang w:val="uk-UA"/>
              </w:rPr>
            </w:pPr>
            <w:r w:rsidRPr="001916D0">
              <w:rPr>
                <w:sz w:val="22"/>
                <w:lang w:val="uk-UA"/>
              </w:rPr>
              <w:t>- придбання технологічного забезпечення;</w:t>
            </w:r>
          </w:p>
          <w:p w:rsidR="00E95FB1" w:rsidRPr="001916D0" w:rsidRDefault="00E95FB1" w:rsidP="001B3967">
            <w:pPr>
              <w:pStyle w:val="a7"/>
              <w:ind w:left="0"/>
              <w:rPr>
                <w:sz w:val="22"/>
                <w:lang w:val="uk-UA"/>
              </w:rPr>
            </w:pPr>
            <w:r w:rsidRPr="001916D0">
              <w:rPr>
                <w:sz w:val="22"/>
                <w:lang w:val="uk-UA"/>
              </w:rPr>
              <w:t xml:space="preserve">- визначення кількості осіб, які потребують отримання послуг </w:t>
            </w:r>
            <w:proofErr w:type="spellStart"/>
            <w:r w:rsidRPr="001916D0">
              <w:rPr>
                <w:sz w:val="22"/>
                <w:lang w:val="uk-UA"/>
              </w:rPr>
              <w:t>центалізованог</w:t>
            </w:r>
            <w:proofErr w:type="spellEnd"/>
            <w:r w:rsidRPr="001916D0">
              <w:rPr>
                <w:sz w:val="22"/>
                <w:lang w:val="uk-UA"/>
              </w:rPr>
              <w:t xml:space="preserve"> водопостачання; </w:t>
            </w:r>
          </w:p>
          <w:p w:rsidR="00E95FB1" w:rsidRPr="001916D0" w:rsidRDefault="00E95FB1" w:rsidP="001B3967">
            <w:pPr>
              <w:pStyle w:val="a7"/>
              <w:ind w:left="0"/>
              <w:rPr>
                <w:sz w:val="22"/>
                <w:lang w:val="uk-UA"/>
              </w:rPr>
            </w:pPr>
            <w:r w:rsidRPr="001916D0">
              <w:rPr>
                <w:sz w:val="22"/>
                <w:lang w:val="uk-UA"/>
              </w:rPr>
              <w:t>- організація та початок робочого процесу.</w:t>
            </w:r>
          </w:p>
        </w:tc>
      </w:tr>
      <w:tr w:rsidR="00E95FB1" w:rsidRPr="001916D0" w:rsidTr="001B3967">
        <w:trPr>
          <w:trHeight w:val="359"/>
        </w:trPr>
        <w:tc>
          <w:tcPr>
            <w:tcW w:w="2942"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Орієнтовний обсяг та джерела фінансування, тис. грн. </w:t>
            </w:r>
          </w:p>
          <w:p w:rsidR="00E95FB1" w:rsidRPr="001916D0" w:rsidRDefault="00E95FB1" w:rsidP="001B3967">
            <w:pPr>
              <w:pStyle w:val="a7"/>
              <w:ind w:left="0"/>
              <w:rPr>
                <w:b/>
                <w:sz w:val="22"/>
                <w:lang w:val="uk-UA"/>
              </w:rPr>
            </w:pPr>
          </w:p>
        </w:tc>
        <w:tc>
          <w:tcPr>
            <w:tcW w:w="2079"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Державний бюджет</w:t>
            </w:r>
          </w:p>
        </w:tc>
        <w:tc>
          <w:tcPr>
            <w:tcW w:w="1191"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Місцевий бюджет</w:t>
            </w:r>
          </w:p>
        </w:tc>
        <w:tc>
          <w:tcPr>
            <w:tcW w:w="2385" w:type="dxa"/>
            <w:gridSpan w:val="4"/>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Інші джерела</w:t>
            </w:r>
          </w:p>
        </w:tc>
        <w:tc>
          <w:tcPr>
            <w:tcW w:w="1399" w:type="dxa"/>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Всього</w:t>
            </w:r>
          </w:p>
        </w:tc>
      </w:tr>
      <w:tr w:rsidR="00E95FB1" w:rsidRPr="001916D0" w:rsidTr="001B3967">
        <w:trPr>
          <w:trHeight w:val="224"/>
        </w:trPr>
        <w:tc>
          <w:tcPr>
            <w:tcW w:w="2942" w:type="dxa"/>
            <w:vMerge/>
            <w:shd w:val="clear" w:color="auto" w:fill="C6D9F1" w:themeFill="text2" w:themeFillTint="33"/>
          </w:tcPr>
          <w:p w:rsidR="00E95FB1" w:rsidRPr="001916D0" w:rsidRDefault="00E95FB1" w:rsidP="001B3967">
            <w:pPr>
              <w:pStyle w:val="a7"/>
              <w:ind w:left="0"/>
              <w:rPr>
                <w:b/>
                <w:sz w:val="22"/>
                <w:lang w:val="uk-UA"/>
              </w:rPr>
            </w:pPr>
          </w:p>
        </w:tc>
        <w:tc>
          <w:tcPr>
            <w:tcW w:w="2079" w:type="dxa"/>
            <w:vMerge w:val="restart"/>
            <w:tcBorders>
              <w:top w:val="single" w:sz="4" w:space="0" w:color="auto"/>
              <w:right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r w:rsidRPr="001916D0">
              <w:rPr>
                <w:sz w:val="22"/>
                <w:lang w:val="uk-UA"/>
              </w:rPr>
              <w:t>1 400 000,0</w:t>
            </w:r>
          </w:p>
        </w:tc>
        <w:tc>
          <w:tcPr>
            <w:tcW w:w="1191" w:type="dxa"/>
            <w:vMerge w:val="restart"/>
            <w:tcBorders>
              <w:top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w:t>
            </w:r>
          </w:p>
        </w:tc>
        <w:tc>
          <w:tcPr>
            <w:tcW w:w="1142"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Обсяг</w:t>
            </w:r>
          </w:p>
        </w:tc>
        <w:tc>
          <w:tcPr>
            <w:tcW w:w="1242"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Назва джерела</w:t>
            </w:r>
          </w:p>
        </w:tc>
        <w:tc>
          <w:tcPr>
            <w:tcW w:w="1399" w:type="dxa"/>
            <w:vMerge w:val="restart"/>
            <w:tcBorders>
              <w:top w:val="single" w:sz="4" w:space="0" w:color="auto"/>
              <w:left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r w:rsidRPr="001916D0">
              <w:rPr>
                <w:sz w:val="22"/>
                <w:lang w:val="uk-UA"/>
              </w:rPr>
              <w:t>2 000 000,0</w:t>
            </w:r>
          </w:p>
        </w:tc>
      </w:tr>
      <w:tr w:rsidR="00E95FB1" w:rsidRPr="001916D0" w:rsidTr="001B3967">
        <w:trPr>
          <w:trHeight w:val="299"/>
        </w:trPr>
        <w:tc>
          <w:tcPr>
            <w:tcW w:w="2942" w:type="dxa"/>
            <w:vMerge/>
            <w:shd w:val="clear" w:color="auto" w:fill="C6D9F1" w:themeFill="text2" w:themeFillTint="33"/>
          </w:tcPr>
          <w:p w:rsidR="00E95FB1" w:rsidRPr="001916D0" w:rsidRDefault="00E95FB1" w:rsidP="001B3967">
            <w:pPr>
              <w:pStyle w:val="a7"/>
              <w:ind w:left="0"/>
              <w:rPr>
                <w:b/>
                <w:sz w:val="22"/>
                <w:lang w:val="uk-UA"/>
              </w:rPr>
            </w:pPr>
          </w:p>
        </w:tc>
        <w:tc>
          <w:tcPr>
            <w:tcW w:w="2079" w:type="dxa"/>
            <w:vMerge/>
            <w:tcBorders>
              <w:right w:val="single" w:sz="4" w:space="0" w:color="auto"/>
            </w:tcBorders>
          </w:tcPr>
          <w:p w:rsidR="00E95FB1" w:rsidRPr="001916D0" w:rsidRDefault="00E95FB1" w:rsidP="001B3967">
            <w:pPr>
              <w:pStyle w:val="a7"/>
              <w:ind w:left="0"/>
              <w:jc w:val="center"/>
              <w:rPr>
                <w:sz w:val="22"/>
                <w:lang w:val="uk-UA"/>
              </w:rPr>
            </w:pPr>
          </w:p>
        </w:tc>
        <w:tc>
          <w:tcPr>
            <w:tcW w:w="1191" w:type="dxa"/>
            <w:vMerge/>
            <w:tcBorders>
              <w:right w:val="single" w:sz="4" w:space="0" w:color="auto"/>
            </w:tcBorders>
          </w:tcPr>
          <w:p w:rsidR="00E95FB1" w:rsidRPr="001916D0" w:rsidRDefault="00E95FB1" w:rsidP="001B3967">
            <w:pPr>
              <w:pStyle w:val="a7"/>
              <w:ind w:left="0"/>
              <w:jc w:val="center"/>
              <w:rPr>
                <w:b/>
                <w:sz w:val="22"/>
                <w:lang w:val="uk-UA"/>
              </w:rPr>
            </w:pPr>
          </w:p>
        </w:tc>
        <w:tc>
          <w:tcPr>
            <w:tcW w:w="1142"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sz w:val="22"/>
                <w:lang w:val="uk-UA"/>
              </w:rPr>
              <w:t>600 000,0</w:t>
            </w:r>
          </w:p>
        </w:tc>
        <w:tc>
          <w:tcPr>
            <w:tcW w:w="1242"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Міжнародні інвестиції, кошти приватних осіб</w:t>
            </w:r>
          </w:p>
        </w:tc>
        <w:tc>
          <w:tcPr>
            <w:tcW w:w="1399" w:type="dxa"/>
            <w:vMerge/>
            <w:tcBorders>
              <w:left w:val="single" w:sz="4" w:space="0" w:color="auto"/>
            </w:tcBorders>
          </w:tcPr>
          <w:p w:rsidR="00E95FB1" w:rsidRPr="001916D0" w:rsidRDefault="00E95FB1" w:rsidP="001B3967">
            <w:pPr>
              <w:pStyle w:val="a7"/>
              <w:ind w:left="0"/>
              <w:jc w:val="center"/>
              <w:rPr>
                <w:sz w:val="22"/>
                <w:lang w:val="uk-UA"/>
              </w:rPr>
            </w:pPr>
          </w:p>
        </w:tc>
      </w:tr>
    </w:tbl>
    <w:p w:rsidR="00E95FB1" w:rsidRPr="001916D0" w:rsidRDefault="00E95FB1" w:rsidP="00E95FB1">
      <w:pPr>
        <w:rPr>
          <w:sz w:val="22"/>
        </w:rPr>
      </w:pPr>
    </w:p>
    <w:p w:rsidR="00E95FB1" w:rsidRPr="001916D0" w:rsidRDefault="00E95FB1" w:rsidP="00E95FB1">
      <w:pPr>
        <w:rPr>
          <w:sz w:val="22"/>
        </w:rPr>
      </w:pPr>
    </w:p>
    <w:p w:rsidR="00E95FB1" w:rsidRPr="001916D0" w:rsidRDefault="00E95FB1" w:rsidP="00E95FB1">
      <w:pPr>
        <w:rPr>
          <w:sz w:val="22"/>
        </w:rPr>
      </w:pPr>
    </w:p>
    <w:p w:rsidR="00E95FB1" w:rsidRPr="001916D0" w:rsidRDefault="00E95FB1" w:rsidP="00E95FB1">
      <w:pPr>
        <w:rPr>
          <w:sz w:val="22"/>
        </w:rPr>
      </w:pPr>
    </w:p>
    <w:tbl>
      <w:tblPr>
        <w:tblStyle w:val="af"/>
        <w:tblW w:w="0" w:type="auto"/>
        <w:tblInd w:w="-176" w:type="dxa"/>
        <w:tblLook w:val="04A0" w:firstRow="1" w:lastRow="0" w:firstColumn="1" w:lastColumn="0" w:noHBand="0" w:noVBand="1"/>
      </w:tblPr>
      <w:tblGrid>
        <w:gridCol w:w="2733"/>
        <w:gridCol w:w="1378"/>
        <w:gridCol w:w="977"/>
        <w:gridCol w:w="356"/>
        <w:gridCol w:w="1476"/>
        <w:gridCol w:w="344"/>
        <w:gridCol w:w="868"/>
        <w:gridCol w:w="1530"/>
      </w:tblGrid>
      <w:tr w:rsidR="00E95FB1" w:rsidRPr="001916D0" w:rsidTr="001B3967">
        <w:tc>
          <w:tcPr>
            <w:tcW w:w="3136" w:type="dxa"/>
            <w:shd w:val="clear" w:color="auto" w:fill="C6D9F1" w:themeFill="text2" w:themeFillTint="33"/>
          </w:tcPr>
          <w:p w:rsidR="00E95FB1" w:rsidRPr="001916D0" w:rsidRDefault="00E95FB1" w:rsidP="001B3967">
            <w:pPr>
              <w:rPr>
                <w:b/>
                <w:sz w:val="22"/>
                <w:lang w:val="uk-UA"/>
              </w:rPr>
            </w:pPr>
            <w:r w:rsidRPr="001916D0">
              <w:rPr>
                <w:b/>
                <w:sz w:val="22"/>
                <w:lang w:val="uk-UA"/>
              </w:rPr>
              <w:t>Оперативна ціль/завдання</w:t>
            </w:r>
          </w:p>
        </w:tc>
        <w:tc>
          <w:tcPr>
            <w:tcW w:w="6752" w:type="dxa"/>
            <w:gridSpan w:val="7"/>
          </w:tcPr>
          <w:p w:rsidR="00E95FB1" w:rsidRPr="001916D0" w:rsidRDefault="00E95FB1" w:rsidP="001B3967">
            <w:pPr>
              <w:rPr>
                <w:sz w:val="22"/>
                <w:lang w:val="uk-UA"/>
              </w:rPr>
            </w:pPr>
            <w:r w:rsidRPr="001916D0">
              <w:rPr>
                <w:sz w:val="22"/>
                <w:lang w:val="uk-UA"/>
              </w:rPr>
              <w:t>Комфорт життя ЛЮДИНИ як безпека, екологічна сталість та розумна енергетика. Енергоефективна політика та інфраструктура</w:t>
            </w:r>
          </w:p>
        </w:tc>
      </w:tr>
      <w:tr w:rsidR="00E95FB1" w:rsidRPr="001916D0" w:rsidTr="001B3967">
        <w:tc>
          <w:tcPr>
            <w:tcW w:w="3136" w:type="dxa"/>
            <w:shd w:val="clear" w:color="auto" w:fill="C6D9F1" w:themeFill="text2" w:themeFillTint="33"/>
          </w:tcPr>
          <w:p w:rsidR="00E95FB1" w:rsidRPr="001916D0" w:rsidRDefault="00E95FB1" w:rsidP="001B3967">
            <w:pPr>
              <w:rPr>
                <w:b/>
                <w:sz w:val="22"/>
                <w:lang w:val="uk-UA"/>
              </w:rPr>
            </w:pPr>
            <w:r w:rsidRPr="001916D0">
              <w:rPr>
                <w:b/>
                <w:sz w:val="22"/>
                <w:lang w:val="uk-UA"/>
              </w:rPr>
              <w:t>Назва проекту:</w:t>
            </w:r>
          </w:p>
        </w:tc>
        <w:tc>
          <w:tcPr>
            <w:tcW w:w="6752" w:type="dxa"/>
            <w:gridSpan w:val="7"/>
          </w:tcPr>
          <w:p w:rsidR="00E95FB1" w:rsidRPr="001916D0" w:rsidRDefault="00E95FB1" w:rsidP="001B3967">
            <w:pPr>
              <w:rPr>
                <w:sz w:val="22"/>
                <w:lang w:val="uk-UA"/>
              </w:rPr>
            </w:pPr>
            <w:r w:rsidRPr="001916D0">
              <w:rPr>
                <w:sz w:val="22"/>
                <w:lang w:val="uk-UA"/>
              </w:rPr>
              <w:t>Відновлення котельні 83 мікрорайону з встановлення 3-х газових котлів ПТВМ-30 та котельного обладнання, будівництвом ГРП  та частковою заміною пошкоджених магістральних та внутрішньо квартальних теплових мереж.</w:t>
            </w:r>
          </w:p>
        </w:tc>
      </w:tr>
      <w:tr w:rsidR="00E95FB1" w:rsidRPr="001916D0" w:rsidTr="001B3967">
        <w:tc>
          <w:tcPr>
            <w:tcW w:w="3136" w:type="dxa"/>
            <w:shd w:val="clear" w:color="auto" w:fill="C6D9F1" w:themeFill="text2" w:themeFillTint="33"/>
          </w:tcPr>
          <w:p w:rsidR="00E95FB1" w:rsidRPr="001916D0" w:rsidRDefault="00E95FB1" w:rsidP="001B3967">
            <w:pPr>
              <w:rPr>
                <w:b/>
                <w:sz w:val="22"/>
                <w:lang w:val="uk-UA"/>
              </w:rPr>
            </w:pPr>
            <w:r w:rsidRPr="001916D0">
              <w:rPr>
                <w:b/>
                <w:sz w:val="22"/>
                <w:lang w:val="uk-UA"/>
              </w:rPr>
              <w:t>Ціль проекту</w:t>
            </w:r>
          </w:p>
        </w:tc>
        <w:tc>
          <w:tcPr>
            <w:tcW w:w="6752" w:type="dxa"/>
            <w:gridSpan w:val="7"/>
          </w:tcPr>
          <w:p w:rsidR="00E95FB1" w:rsidRPr="001916D0" w:rsidRDefault="00E95FB1" w:rsidP="001B3967">
            <w:pPr>
              <w:rPr>
                <w:sz w:val="22"/>
                <w:lang w:val="uk-UA"/>
              </w:rPr>
            </w:pPr>
            <w:r w:rsidRPr="001916D0">
              <w:rPr>
                <w:sz w:val="22"/>
                <w:lang w:val="uk-UA"/>
              </w:rPr>
              <w:t>Забезпечення якісною послугою з теплопостачання   житлового фонду, об’єктів  соціальної та бюджетної сфери</w:t>
            </w:r>
          </w:p>
        </w:tc>
      </w:tr>
      <w:tr w:rsidR="00E95FB1" w:rsidRPr="001916D0" w:rsidTr="001B3967">
        <w:tc>
          <w:tcPr>
            <w:tcW w:w="3136" w:type="dxa"/>
            <w:shd w:val="clear" w:color="auto" w:fill="C6D9F1" w:themeFill="text2" w:themeFillTint="33"/>
          </w:tcPr>
          <w:p w:rsidR="00E95FB1" w:rsidRPr="001916D0" w:rsidRDefault="00E95FB1" w:rsidP="001B3967">
            <w:pPr>
              <w:rPr>
                <w:b/>
                <w:sz w:val="22"/>
                <w:lang w:val="uk-UA"/>
              </w:rPr>
            </w:pPr>
            <w:r w:rsidRPr="001916D0">
              <w:rPr>
                <w:b/>
                <w:sz w:val="22"/>
                <w:lang w:val="uk-UA"/>
              </w:rPr>
              <w:t>Територія, на яку матиме вплив реалізація проекту</w:t>
            </w:r>
          </w:p>
        </w:tc>
        <w:tc>
          <w:tcPr>
            <w:tcW w:w="6752" w:type="dxa"/>
            <w:gridSpan w:val="7"/>
          </w:tcPr>
          <w:p w:rsidR="00E95FB1" w:rsidRPr="001916D0" w:rsidRDefault="00E95FB1" w:rsidP="001B3967">
            <w:pPr>
              <w:rPr>
                <w:sz w:val="22"/>
                <w:lang w:val="uk-UA"/>
              </w:rPr>
            </w:pPr>
            <w:r w:rsidRPr="001916D0">
              <w:rPr>
                <w:sz w:val="22"/>
                <w:lang w:val="uk-UA"/>
              </w:rPr>
              <w:t>Сєвєродонецька міська територіальна громада</w:t>
            </w:r>
          </w:p>
        </w:tc>
      </w:tr>
      <w:tr w:rsidR="00E95FB1" w:rsidRPr="001916D0" w:rsidTr="001B3967">
        <w:tc>
          <w:tcPr>
            <w:tcW w:w="3136" w:type="dxa"/>
            <w:shd w:val="clear" w:color="auto" w:fill="C6D9F1" w:themeFill="text2" w:themeFillTint="33"/>
          </w:tcPr>
          <w:p w:rsidR="00E95FB1" w:rsidRPr="001916D0" w:rsidRDefault="00E95FB1" w:rsidP="001B3967">
            <w:pPr>
              <w:rPr>
                <w:b/>
                <w:sz w:val="22"/>
                <w:lang w:val="uk-UA"/>
              </w:rPr>
            </w:pPr>
            <w:r w:rsidRPr="001916D0">
              <w:rPr>
                <w:b/>
                <w:sz w:val="22"/>
                <w:lang w:val="uk-UA"/>
              </w:rPr>
              <w:t>Чисельність населення, на яке матиме вплив реалізація проекту</w:t>
            </w:r>
          </w:p>
        </w:tc>
        <w:tc>
          <w:tcPr>
            <w:tcW w:w="6752" w:type="dxa"/>
            <w:gridSpan w:val="7"/>
          </w:tcPr>
          <w:p w:rsidR="00E95FB1" w:rsidRPr="001916D0" w:rsidRDefault="00E95FB1" w:rsidP="001B3967">
            <w:pPr>
              <w:rPr>
                <w:sz w:val="22"/>
                <w:lang w:val="uk-UA"/>
              </w:rPr>
            </w:pPr>
            <w:r w:rsidRPr="001916D0">
              <w:rPr>
                <w:sz w:val="22"/>
                <w:lang w:val="uk-UA"/>
              </w:rPr>
              <w:t>41000 осіб</w:t>
            </w:r>
          </w:p>
        </w:tc>
      </w:tr>
      <w:tr w:rsidR="00E95FB1" w:rsidRPr="001916D0" w:rsidTr="001B3967">
        <w:tc>
          <w:tcPr>
            <w:tcW w:w="3136" w:type="dxa"/>
            <w:shd w:val="clear" w:color="auto" w:fill="C6D9F1" w:themeFill="text2" w:themeFillTint="33"/>
          </w:tcPr>
          <w:p w:rsidR="00E95FB1" w:rsidRPr="001916D0" w:rsidRDefault="00E95FB1" w:rsidP="001B3967">
            <w:pPr>
              <w:rPr>
                <w:b/>
                <w:sz w:val="22"/>
                <w:lang w:val="uk-UA"/>
              </w:rPr>
            </w:pPr>
            <w:r w:rsidRPr="001916D0">
              <w:rPr>
                <w:b/>
                <w:sz w:val="22"/>
                <w:lang w:val="uk-UA"/>
              </w:rPr>
              <w:t>Опис проблеми, на вирішення якої спрямований проект</w:t>
            </w:r>
          </w:p>
        </w:tc>
        <w:tc>
          <w:tcPr>
            <w:tcW w:w="6752" w:type="dxa"/>
            <w:gridSpan w:val="7"/>
          </w:tcPr>
          <w:p w:rsidR="00E95FB1" w:rsidRPr="001916D0" w:rsidRDefault="00E95FB1" w:rsidP="0020304F">
            <w:pPr>
              <w:rPr>
                <w:sz w:val="22"/>
                <w:lang w:val="uk-UA"/>
              </w:rPr>
            </w:pPr>
            <w:r w:rsidRPr="001916D0">
              <w:rPr>
                <w:sz w:val="22"/>
                <w:lang w:val="uk-UA"/>
              </w:rPr>
              <w:t xml:space="preserve">В результаті збройної агресії РФ об’єкти теплопостачання зазнали чималих руйнувань і пошкоджень: пошкоджені будівлі </w:t>
            </w:r>
            <w:proofErr w:type="spellStart"/>
            <w:r w:rsidRPr="001916D0">
              <w:rPr>
                <w:sz w:val="22"/>
                <w:lang w:val="uk-UA"/>
              </w:rPr>
              <w:t>котелень</w:t>
            </w:r>
            <w:proofErr w:type="spellEnd"/>
            <w:r w:rsidRPr="001916D0">
              <w:rPr>
                <w:sz w:val="22"/>
                <w:lang w:val="uk-UA"/>
              </w:rPr>
              <w:t xml:space="preserve"> та технічні споруди, демонтовані джерела теплової енергії підприємства, а саме</w:t>
            </w:r>
            <w:r w:rsidR="0020304F" w:rsidRPr="001916D0">
              <w:rPr>
                <w:sz w:val="22"/>
                <w:szCs w:val="22"/>
                <w:lang w:val="uk-UA"/>
              </w:rPr>
              <w:t>,</w:t>
            </w:r>
            <w:r w:rsidRPr="001916D0">
              <w:rPr>
                <w:sz w:val="22"/>
                <w:lang w:val="uk-UA"/>
              </w:rPr>
              <w:t xml:space="preserve"> газові котли, насосне і технологічне обладнання, частково пошкоджені теплові мережі. Все це унеможливлює надання послуги з теплопостачання. </w:t>
            </w:r>
          </w:p>
        </w:tc>
      </w:tr>
      <w:tr w:rsidR="00E95FB1" w:rsidRPr="001916D0" w:rsidTr="0020304F">
        <w:trPr>
          <w:trHeight w:val="5746"/>
        </w:trPr>
        <w:tc>
          <w:tcPr>
            <w:tcW w:w="3136" w:type="dxa"/>
            <w:shd w:val="clear" w:color="auto" w:fill="C6D9F1" w:themeFill="text2" w:themeFillTint="33"/>
          </w:tcPr>
          <w:p w:rsidR="00E95FB1" w:rsidRPr="001916D0" w:rsidRDefault="00E95FB1" w:rsidP="001B3967">
            <w:pPr>
              <w:rPr>
                <w:b/>
                <w:sz w:val="22"/>
                <w:lang w:val="uk-UA"/>
              </w:rPr>
            </w:pPr>
            <w:r w:rsidRPr="001916D0">
              <w:rPr>
                <w:b/>
                <w:sz w:val="22"/>
                <w:lang w:val="uk-UA"/>
              </w:rPr>
              <w:lastRenderedPageBreak/>
              <w:t>Очікувані якісні результати від реалізації проекту</w:t>
            </w:r>
          </w:p>
        </w:tc>
        <w:tc>
          <w:tcPr>
            <w:tcW w:w="6752" w:type="dxa"/>
            <w:gridSpan w:val="7"/>
          </w:tcPr>
          <w:p w:rsidR="00E95FB1" w:rsidRPr="001916D0" w:rsidRDefault="00E95FB1" w:rsidP="001B3967">
            <w:pPr>
              <w:rPr>
                <w:rFonts w:eastAsia="Calibri"/>
                <w:sz w:val="22"/>
                <w:shd w:val="clear" w:color="auto" w:fill="FFFF00"/>
                <w:lang w:val="uk-UA"/>
              </w:rPr>
            </w:pPr>
            <w:r w:rsidRPr="001916D0">
              <w:rPr>
                <w:rFonts w:eastAsia="Calibri"/>
                <w:sz w:val="22"/>
                <w:lang w:val="uk-UA"/>
              </w:rPr>
              <w:t>1. Встановлення енергоефективних газових водогрійних котлів ПТВМ-30 -3 од, з ККД не менше 93% з встановленням:</w:t>
            </w:r>
          </w:p>
          <w:p w:rsidR="00E95FB1" w:rsidRPr="001916D0" w:rsidRDefault="00E95FB1" w:rsidP="001B3967">
            <w:pPr>
              <w:rPr>
                <w:rFonts w:eastAsia="Calibri"/>
                <w:sz w:val="22"/>
                <w:lang w:val="uk-UA"/>
              </w:rPr>
            </w:pPr>
          </w:p>
          <w:p w:rsidR="00E95FB1" w:rsidRPr="001916D0" w:rsidRDefault="00E95FB1" w:rsidP="000303D7">
            <w:pPr>
              <w:pStyle w:val="a7"/>
              <w:numPr>
                <w:ilvl w:val="0"/>
                <w:numId w:val="62"/>
              </w:numPr>
              <w:jc w:val="left"/>
              <w:rPr>
                <w:rFonts w:eastAsia="Calibri"/>
                <w:sz w:val="22"/>
                <w:lang w:val="uk-UA"/>
              </w:rPr>
            </w:pPr>
            <w:r w:rsidRPr="001916D0">
              <w:rPr>
                <w:rFonts w:eastAsia="Calibri"/>
                <w:sz w:val="22"/>
                <w:lang w:val="uk-UA"/>
              </w:rPr>
              <w:t>сучасних модульованих пальників (діапазон регулювання від 30% до 100% від номінальної потужності) та автоматики каскадного регулювання включення котлів в роботу;</w:t>
            </w:r>
          </w:p>
          <w:p w:rsidR="00E95FB1" w:rsidRPr="001916D0" w:rsidRDefault="00E95FB1" w:rsidP="000303D7">
            <w:pPr>
              <w:pStyle w:val="a7"/>
              <w:numPr>
                <w:ilvl w:val="0"/>
                <w:numId w:val="62"/>
              </w:numPr>
              <w:jc w:val="left"/>
              <w:rPr>
                <w:rFonts w:eastAsia="Calibri"/>
                <w:sz w:val="22"/>
                <w:lang w:val="uk-UA"/>
              </w:rPr>
            </w:pPr>
            <w:r w:rsidRPr="001916D0">
              <w:rPr>
                <w:rFonts w:eastAsia="Calibri"/>
                <w:sz w:val="22"/>
                <w:lang w:val="uk-UA"/>
              </w:rPr>
              <w:t xml:space="preserve"> систем автоматичного регулювання температури теплоносія на виході з котельні в залежності від температури зовнішнього повітря, заданого температурного графіку та часу доби;</w:t>
            </w:r>
          </w:p>
          <w:p w:rsidR="00E95FB1" w:rsidRPr="001916D0" w:rsidRDefault="00E95FB1" w:rsidP="000303D7">
            <w:pPr>
              <w:pStyle w:val="a7"/>
              <w:numPr>
                <w:ilvl w:val="0"/>
                <w:numId w:val="62"/>
              </w:numPr>
              <w:jc w:val="left"/>
              <w:rPr>
                <w:rFonts w:eastAsia="Antiqua"/>
                <w:sz w:val="22"/>
                <w:lang w:val="uk-UA"/>
              </w:rPr>
            </w:pPr>
            <w:r w:rsidRPr="001916D0">
              <w:rPr>
                <w:rFonts w:eastAsia="Calibri"/>
                <w:sz w:val="22"/>
                <w:lang w:val="uk-UA"/>
              </w:rPr>
              <w:t xml:space="preserve">насосів  з низьким рівнем енергоспоживання, обладнаних </w:t>
            </w:r>
            <w:proofErr w:type="spellStart"/>
            <w:r w:rsidRPr="001916D0">
              <w:rPr>
                <w:rFonts w:eastAsia="Calibri"/>
                <w:sz w:val="22"/>
                <w:lang w:val="uk-UA"/>
              </w:rPr>
              <w:t>запірно</w:t>
            </w:r>
            <w:proofErr w:type="spellEnd"/>
            <w:r w:rsidRPr="001916D0">
              <w:rPr>
                <w:rFonts w:eastAsia="Calibri"/>
                <w:sz w:val="22"/>
                <w:lang w:val="uk-UA"/>
              </w:rPr>
              <w:t>-регулюючою арматурою, шафами керування та частотними регуляторами;</w:t>
            </w:r>
          </w:p>
          <w:p w:rsidR="00E95FB1" w:rsidRPr="001916D0" w:rsidRDefault="00E95FB1" w:rsidP="000303D7">
            <w:pPr>
              <w:pStyle w:val="a7"/>
              <w:numPr>
                <w:ilvl w:val="0"/>
                <w:numId w:val="62"/>
              </w:numPr>
              <w:jc w:val="left"/>
              <w:rPr>
                <w:rFonts w:eastAsia="Calibri"/>
                <w:sz w:val="22"/>
                <w:lang w:val="uk-UA"/>
              </w:rPr>
            </w:pPr>
            <w:r w:rsidRPr="001916D0">
              <w:rPr>
                <w:rFonts w:eastAsia="Calibri"/>
                <w:sz w:val="22"/>
                <w:lang w:val="uk-UA"/>
              </w:rPr>
              <w:t>влаштування нової сучасної автоматизованої системи хімічної підготовки котлової води;</w:t>
            </w:r>
          </w:p>
          <w:p w:rsidR="00E95FB1" w:rsidRPr="001916D0" w:rsidRDefault="00E95FB1" w:rsidP="001B3967">
            <w:pPr>
              <w:rPr>
                <w:rFonts w:eastAsia="Calibri"/>
                <w:sz w:val="22"/>
                <w:lang w:val="uk-UA"/>
              </w:rPr>
            </w:pPr>
            <w:r w:rsidRPr="001916D0">
              <w:rPr>
                <w:rFonts w:eastAsia="Calibri"/>
                <w:sz w:val="22"/>
                <w:lang w:val="uk-UA"/>
              </w:rPr>
              <w:t xml:space="preserve">2. Зменшення втрат в теплових мережах за рахунок часткової заміни    магістральних та </w:t>
            </w:r>
            <w:proofErr w:type="spellStart"/>
            <w:r w:rsidRPr="001916D0">
              <w:rPr>
                <w:rFonts w:eastAsia="Calibri"/>
                <w:sz w:val="22"/>
                <w:lang w:val="uk-UA"/>
              </w:rPr>
              <w:t>внутрішньоквартальних</w:t>
            </w:r>
            <w:proofErr w:type="spellEnd"/>
            <w:r w:rsidRPr="001916D0">
              <w:rPr>
                <w:rFonts w:eastAsia="Calibri"/>
                <w:sz w:val="22"/>
                <w:lang w:val="uk-UA"/>
              </w:rPr>
              <w:t xml:space="preserve"> теплових мереж на попередньо ізольовані труби.</w:t>
            </w:r>
          </w:p>
          <w:p w:rsidR="00E95FB1" w:rsidRPr="001916D0" w:rsidRDefault="00E95FB1" w:rsidP="0020304F">
            <w:pPr>
              <w:rPr>
                <w:sz w:val="22"/>
                <w:lang w:val="uk-UA"/>
              </w:rPr>
            </w:pPr>
            <w:r w:rsidRPr="001916D0">
              <w:rPr>
                <w:rFonts w:eastAsia="Calibri"/>
                <w:sz w:val="22"/>
                <w:lang w:val="uk-UA"/>
              </w:rPr>
              <w:t>3. Надання якісної послуги з теплопостачання.</w:t>
            </w:r>
            <w:r w:rsidRPr="001916D0">
              <w:rPr>
                <w:rFonts w:eastAsia="Calibri"/>
                <w:sz w:val="22"/>
                <w:szCs w:val="22"/>
                <w:lang w:val="uk-UA"/>
              </w:rPr>
              <w:t xml:space="preserve"> </w:t>
            </w:r>
          </w:p>
        </w:tc>
      </w:tr>
      <w:tr w:rsidR="00E95FB1" w:rsidRPr="001916D0" w:rsidTr="001B3967">
        <w:tc>
          <w:tcPr>
            <w:tcW w:w="3136" w:type="dxa"/>
            <w:vMerge w:val="restart"/>
            <w:shd w:val="clear" w:color="auto" w:fill="C6D9F1" w:themeFill="text2" w:themeFillTint="33"/>
          </w:tcPr>
          <w:p w:rsidR="00E95FB1" w:rsidRPr="001916D0" w:rsidRDefault="00E95FB1" w:rsidP="001B3967">
            <w:pPr>
              <w:rPr>
                <w:b/>
                <w:sz w:val="22"/>
                <w:lang w:val="uk-UA"/>
              </w:rPr>
            </w:pPr>
            <w:r w:rsidRPr="001916D0">
              <w:rPr>
                <w:b/>
                <w:sz w:val="22"/>
                <w:lang w:val="uk-UA"/>
              </w:rPr>
              <w:t>Очікувані кількісні результати від реалізації проекту (індикатори)</w:t>
            </w:r>
          </w:p>
        </w:tc>
        <w:tc>
          <w:tcPr>
            <w:tcW w:w="2359" w:type="dxa"/>
            <w:gridSpan w:val="2"/>
          </w:tcPr>
          <w:p w:rsidR="00E95FB1" w:rsidRPr="001916D0" w:rsidRDefault="00E95FB1" w:rsidP="001B3967">
            <w:pPr>
              <w:jc w:val="center"/>
              <w:rPr>
                <w:sz w:val="22"/>
                <w:lang w:val="uk-UA"/>
              </w:rPr>
            </w:pPr>
            <w:r w:rsidRPr="001916D0">
              <w:rPr>
                <w:sz w:val="22"/>
                <w:lang w:val="uk-UA"/>
              </w:rPr>
              <w:t>Найменування</w:t>
            </w:r>
          </w:p>
          <w:p w:rsidR="00E95FB1" w:rsidRPr="001916D0" w:rsidRDefault="00E95FB1" w:rsidP="001B3967">
            <w:pPr>
              <w:jc w:val="center"/>
              <w:rPr>
                <w:sz w:val="22"/>
                <w:lang w:val="uk-UA"/>
              </w:rPr>
            </w:pPr>
            <w:r w:rsidRPr="001916D0">
              <w:rPr>
                <w:sz w:val="22"/>
                <w:lang w:val="uk-UA"/>
              </w:rPr>
              <w:t>показника</w:t>
            </w:r>
          </w:p>
        </w:tc>
        <w:tc>
          <w:tcPr>
            <w:tcW w:w="1951" w:type="dxa"/>
            <w:gridSpan w:val="3"/>
          </w:tcPr>
          <w:p w:rsidR="00E95FB1" w:rsidRPr="001916D0" w:rsidRDefault="00E95FB1" w:rsidP="001B3967">
            <w:pPr>
              <w:jc w:val="center"/>
              <w:rPr>
                <w:sz w:val="22"/>
                <w:lang w:val="uk-UA"/>
              </w:rPr>
            </w:pPr>
            <w:r w:rsidRPr="001916D0">
              <w:rPr>
                <w:sz w:val="22"/>
                <w:lang w:val="uk-UA"/>
              </w:rPr>
              <w:t>Одиниця</w:t>
            </w:r>
          </w:p>
          <w:p w:rsidR="00E95FB1" w:rsidRPr="001916D0" w:rsidRDefault="00E95FB1" w:rsidP="001B3967">
            <w:pPr>
              <w:jc w:val="center"/>
              <w:rPr>
                <w:sz w:val="22"/>
                <w:lang w:val="uk-UA"/>
              </w:rPr>
            </w:pPr>
            <w:r w:rsidRPr="001916D0">
              <w:rPr>
                <w:sz w:val="22"/>
                <w:lang w:val="uk-UA"/>
              </w:rPr>
              <w:t>вимірювання</w:t>
            </w:r>
          </w:p>
        </w:tc>
        <w:tc>
          <w:tcPr>
            <w:tcW w:w="2442" w:type="dxa"/>
            <w:gridSpan w:val="2"/>
          </w:tcPr>
          <w:p w:rsidR="00E95FB1" w:rsidRPr="001916D0" w:rsidRDefault="00E95FB1" w:rsidP="001B3967">
            <w:pPr>
              <w:jc w:val="center"/>
              <w:rPr>
                <w:sz w:val="22"/>
                <w:lang w:val="uk-UA"/>
              </w:rPr>
            </w:pPr>
            <w:r w:rsidRPr="001916D0">
              <w:rPr>
                <w:sz w:val="22"/>
                <w:lang w:val="uk-UA"/>
              </w:rPr>
              <w:t>Прогнозне (цільове значення)</w:t>
            </w:r>
          </w:p>
        </w:tc>
      </w:tr>
      <w:tr w:rsidR="00E95FB1" w:rsidRPr="001916D0" w:rsidTr="001B3967">
        <w:tc>
          <w:tcPr>
            <w:tcW w:w="3136" w:type="dxa"/>
            <w:vMerge/>
            <w:shd w:val="clear" w:color="auto" w:fill="C6D9F1" w:themeFill="text2" w:themeFillTint="33"/>
          </w:tcPr>
          <w:p w:rsidR="00E95FB1" w:rsidRPr="001916D0" w:rsidRDefault="00E95FB1" w:rsidP="001B3967">
            <w:pPr>
              <w:rPr>
                <w:b/>
                <w:sz w:val="22"/>
                <w:lang w:val="uk-UA"/>
              </w:rPr>
            </w:pPr>
          </w:p>
        </w:tc>
        <w:tc>
          <w:tcPr>
            <w:tcW w:w="2359" w:type="dxa"/>
            <w:gridSpan w:val="2"/>
          </w:tcPr>
          <w:p w:rsidR="00E95FB1" w:rsidRPr="001916D0" w:rsidRDefault="00E95FB1" w:rsidP="001B3967">
            <w:pPr>
              <w:rPr>
                <w:sz w:val="22"/>
                <w:lang w:val="uk-UA"/>
              </w:rPr>
            </w:pPr>
            <w:r w:rsidRPr="001916D0">
              <w:rPr>
                <w:sz w:val="22"/>
                <w:lang w:val="uk-UA"/>
              </w:rPr>
              <w:t>Теплова енергія</w:t>
            </w:r>
          </w:p>
        </w:tc>
        <w:tc>
          <w:tcPr>
            <w:tcW w:w="1951" w:type="dxa"/>
            <w:gridSpan w:val="3"/>
          </w:tcPr>
          <w:p w:rsidR="00E95FB1" w:rsidRPr="001916D0" w:rsidRDefault="00E95FB1" w:rsidP="001B3967">
            <w:pPr>
              <w:jc w:val="center"/>
              <w:rPr>
                <w:sz w:val="22"/>
                <w:lang w:val="uk-UA"/>
              </w:rPr>
            </w:pPr>
            <w:proofErr w:type="spellStart"/>
            <w:r w:rsidRPr="001916D0">
              <w:rPr>
                <w:sz w:val="22"/>
                <w:lang w:val="uk-UA"/>
              </w:rPr>
              <w:t>Гкал</w:t>
            </w:r>
            <w:proofErr w:type="spellEnd"/>
          </w:p>
        </w:tc>
        <w:tc>
          <w:tcPr>
            <w:tcW w:w="2442" w:type="dxa"/>
            <w:gridSpan w:val="2"/>
          </w:tcPr>
          <w:p w:rsidR="00E95FB1" w:rsidRPr="001916D0" w:rsidRDefault="00E95FB1" w:rsidP="001B3967">
            <w:pPr>
              <w:jc w:val="center"/>
              <w:rPr>
                <w:sz w:val="22"/>
                <w:lang w:val="uk-UA"/>
              </w:rPr>
            </w:pPr>
            <w:r w:rsidRPr="001916D0">
              <w:rPr>
                <w:sz w:val="22"/>
                <w:lang w:val="uk-UA"/>
              </w:rPr>
              <w:t>123 281,69</w:t>
            </w:r>
          </w:p>
        </w:tc>
      </w:tr>
      <w:tr w:rsidR="00E95FB1" w:rsidRPr="001916D0" w:rsidTr="001B3967">
        <w:tc>
          <w:tcPr>
            <w:tcW w:w="3136" w:type="dxa"/>
            <w:shd w:val="clear" w:color="auto" w:fill="C6D9F1" w:themeFill="text2" w:themeFillTint="33"/>
          </w:tcPr>
          <w:p w:rsidR="00E95FB1" w:rsidRPr="001916D0" w:rsidRDefault="00E95FB1" w:rsidP="001B3967">
            <w:pPr>
              <w:rPr>
                <w:b/>
                <w:sz w:val="22"/>
                <w:lang w:val="uk-UA"/>
              </w:rPr>
            </w:pPr>
            <w:r w:rsidRPr="001916D0">
              <w:rPr>
                <w:b/>
                <w:sz w:val="22"/>
                <w:lang w:val="uk-UA"/>
              </w:rPr>
              <w:t>Ключові заходи проекту</w:t>
            </w:r>
          </w:p>
        </w:tc>
        <w:tc>
          <w:tcPr>
            <w:tcW w:w="6752" w:type="dxa"/>
            <w:gridSpan w:val="7"/>
          </w:tcPr>
          <w:p w:rsidR="00E95FB1" w:rsidRPr="001916D0" w:rsidRDefault="00E95FB1" w:rsidP="000303D7">
            <w:pPr>
              <w:pStyle w:val="a7"/>
              <w:numPr>
                <w:ilvl w:val="0"/>
                <w:numId w:val="61"/>
              </w:numPr>
              <w:jc w:val="left"/>
              <w:rPr>
                <w:sz w:val="22"/>
                <w:lang w:val="uk-UA"/>
              </w:rPr>
            </w:pPr>
            <w:r w:rsidRPr="001916D0">
              <w:rPr>
                <w:sz w:val="22"/>
                <w:lang w:val="uk-UA"/>
              </w:rPr>
              <w:t>Обстеження будівель та споруд, визначення стану</w:t>
            </w:r>
            <w:r w:rsidR="00E828E7" w:rsidRPr="001916D0">
              <w:rPr>
                <w:sz w:val="22"/>
                <w:lang w:val="uk-UA"/>
              </w:rPr>
              <w:t>,</w:t>
            </w:r>
            <w:r w:rsidRPr="001916D0">
              <w:rPr>
                <w:sz w:val="22"/>
                <w:lang w:val="uk-UA"/>
              </w:rPr>
              <w:t xml:space="preserve"> рівня пошкодження.</w:t>
            </w:r>
          </w:p>
          <w:p w:rsidR="00E95FB1" w:rsidRPr="001916D0" w:rsidRDefault="00E95FB1" w:rsidP="000303D7">
            <w:pPr>
              <w:pStyle w:val="a7"/>
              <w:numPr>
                <w:ilvl w:val="0"/>
                <w:numId w:val="61"/>
              </w:numPr>
              <w:jc w:val="left"/>
              <w:rPr>
                <w:sz w:val="22"/>
                <w:lang w:val="uk-UA"/>
              </w:rPr>
            </w:pPr>
            <w:proofErr w:type="spellStart"/>
            <w:r w:rsidRPr="001916D0">
              <w:rPr>
                <w:sz w:val="22"/>
                <w:szCs w:val="22"/>
                <w:lang w:val="uk-UA"/>
              </w:rPr>
              <w:t>Про</w:t>
            </w:r>
            <w:r w:rsidR="00E828E7" w:rsidRPr="001916D0">
              <w:rPr>
                <w:sz w:val="22"/>
                <w:szCs w:val="22"/>
                <w:lang w:val="uk-UA"/>
              </w:rPr>
              <w:t>є</w:t>
            </w:r>
            <w:r w:rsidRPr="001916D0">
              <w:rPr>
                <w:sz w:val="22"/>
                <w:szCs w:val="22"/>
                <w:lang w:val="uk-UA"/>
              </w:rPr>
              <w:t>ктні</w:t>
            </w:r>
            <w:proofErr w:type="spellEnd"/>
            <w:r w:rsidRPr="001916D0">
              <w:rPr>
                <w:sz w:val="22"/>
                <w:lang w:val="uk-UA"/>
              </w:rPr>
              <w:t xml:space="preserve"> роботи. </w:t>
            </w:r>
            <w:bookmarkStart w:id="57" w:name="_Hlk138063373"/>
            <w:r w:rsidRPr="001916D0">
              <w:rPr>
                <w:sz w:val="22"/>
                <w:lang w:val="uk-UA"/>
              </w:rPr>
              <w:t>Погодження та затвердження всіх технічних, енергетичних  та конструктивних нюансів.</w:t>
            </w:r>
          </w:p>
          <w:bookmarkEnd w:id="57"/>
          <w:p w:rsidR="00E95FB1" w:rsidRPr="001916D0" w:rsidRDefault="00E95FB1" w:rsidP="000303D7">
            <w:pPr>
              <w:pStyle w:val="a7"/>
              <w:numPr>
                <w:ilvl w:val="0"/>
                <w:numId w:val="61"/>
              </w:numPr>
              <w:jc w:val="left"/>
              <w:rPr>
                <w:sz w:val="22"/>
                <w:lang w:val="uk-UA"/>
              </w:rPr>
            </w:pPr>
            <w:r w:rsidRPr="001916D0">
              <w:rPr>
                <w:sz w:val="22"/>
                <w:lang w:val="uk-UA"/>
              </w:rPr>
              <w:t xml:space="preserve">Перелік </w:t>
            </w:r>
            <w:proofErr w:type="spellStart"/>
            <w:r w:rsidRPr="001916D0">
              <w:rPr>
                <w:sz w:val="22"/>
                <w:lang w:val="uk-UA"/>
              </w:rPr>
              <w:t>закупівель</w:t>
            </w:r>
            <w:proofErr w:type="spellEnd"/>
            <w:r w:rsidRPr="001916D0">
              <w:rPr>
                <w:sz w:val="22"/>
                <w:lang w:val="uk-UA"/>
              </w:rPr>
              <w:t>.</w:t>
            </w:r>
          </w:p>
          <w:p w:rsidR="00E95FB1" w:rsidRPr="001916D0" w:rsidRDefault="00E95FB1" w:rsidP="000303D7">
            <w:pPr>
              <w:pStyle w:val="a7"/>
              <w:numPr>
                <w:ilvl w:val="0"/>
                <w:numId w:val="61"/>
              </w:numPr>
              <w:jc w:val="left"/>
              <w:rPr>
                <w:sz w:val="22"/>
                <w:lang w:val="uk-UA"/>
              </w:rPr>
            </w:pPr>
            <w:r w:rsidRPr="001916D0">
              <w:rPr>
                <w:sz w:val="22"/>
                <w:lang w:val="uk-UA"/>
              </w:rPr>
              <w:t>Виконання робіт по будівництву та встановленню обладнання.</w:t>
            </w:r>
          </w:p>
          <w:p w:rsidR="00E95FB1" w:rsidRPr="00474405" w:rsidRDefault="00E95FB1" w:rsidP="001B3967">
            <w:pPr>
              <w:pStyle w:val="a7"/>
              <w:numPr>
                <w:ilvl w:val="0"/>
                <w:numId w:val="61"/>
              </w:numPr>
              <w:jc w:val="left"/>
              <w:rPr>
                <w:sz w:val="22"/>
                <w:szCs w:val="22"/>
                <w:lang w:val="uk-UA"/>
              </w:rPr>
            </w:pPr>
            <w:proofErr w:type="spellStart"/>
            <w:r w:rsidRPr="001916D0">
              <w:rPr>
                <w:sz w:val="22"/>
                <w:lang w:val="uk-UA"/>
              </w:rPr>
              <w:t>Пуско</w:t>
            </w:r>
            <w:proofErr w:type="spellEnd"/>
            <w:r w:rsidRPr="001916D0">
              <w:rPr>
                <w:sz w:val="22"/>
                <w:lang w:val="uk-UA"/>
              </w:rPr>
              <w:t>-налагоджувальні роботи та введення об’єктів в експлуатацію.</w:t>
            </w:r>
          </w:p>
        </w:tc>
      </w:tr>
      <w:tr w:rsidR="00E95FB1" w:rsidRPr="001916D0" w:rsidTr="001B3967">
        <w:tc>
          <w:tcPr>
            <w:tcW w:w="3136" w:type="dxa"/>
            <w:vMerge w:val="restart"/>
            <w:shd w:val="clear" w:color="auto" w:fill="C6D9F1" w:themeFill="text2" w:themeFillTint="33"/>
          </w:tcPr>
          <w:p w:rsidR="00E95FB1" w:rsidRPr="001916D0" w:rsidRDefault="00E95FB1" w:rsidP="001B3967">
            <w:pPr>
              <w:rPr>
                <w:b/>
                <w:sz w:val="22"/>
                <w:lang w:val="uk-UA"/>
              </w:rPr>
            </w:pPr>
            <w:r w:rsidRPr="001916D0">
              <w:rPr>
                <w:b/>
                <w:sz w:val="22"/>
                <w:lang w:val="uk-UA"/>
              </w:rPr>
              <w:t xml:space="preserve">Орієнтовний обсяг та джерела фінансування, </w:t>
            </w:r>
            <w:proofErr w:type="spellStart"/>
            <w:r w:rsidRPr="001916D0">
              <w:rPr>
                <w:b/>
                <w:sz w:val="22"/>
                <w:lang w:val="uk-UA"/>
              </w:rPr>
              <w:t>тис.грн</w:t>
            </w:r>
            <w:proofErr w:type="spellEnd"/>
            <w:r w:rsidRPr="001916D0">
              <w:rPr>
                <w:b/>
                <w:sz w:val="22"/>
                <w:lang w:val="uk-UA"/>
              </w:rPr>
              <w:t>.</w:t>
            </w:r>
          </w:p>
        </w:tc>
        <w:tc>
          <w:tcPr>
            <w:tcW w:w="1378" w:type="dxa"/>
            <w:vMerge w:val="restart"/>
          </w:tcPr>
          <w:p w:rsidR="00E95FB1" w:rsidRPr="001916D0" w:rsidRDefault="00E95FB1" w:rsidP="001B3967">
            <w:pPr>
              <w:jc w:val="center"/>
              <w:rPr>
                <w:sz w:val="22"/>
                <w:lang w:val="uk-UA"/>
              </w:rPr>
            </w:pPr>
            <w:r w:rsidRPr="001916D0">
              <w:rPr>
                <w:sz w:val="22"/>
                <w:lang w:val="uk-UA"/>
              </w:rPr>
              <w:t>Державний</w:t>
            </w:r>
          </w:p>
          <w:p w:rsidR="00E95FB1" w:rsidRPr="001916D0" w:rsidRDefault="00E95FB1" w:rsidP="001B3967">
            <w:pPr>
              <w:jc w:val="center"/>
              <w:rPr>
                <w:sz w:val="22"/>
                <w:lang w:val="uk-UA"/>
              </w:rPr>
            </w:pPr>
            <w:r w:rsidRPr="001916D0">
              <w:rPr>
                <w:sz w:val="22"/>
                <w:lang w:val="uk-UA"/>
              </w:rPr>
              <w:t>бюджет</w:t>
            </w:r>
          </w:p>
        </w:tc>
        <w:tc>
          <w:tcPr>
            <w:tcW w:w="1412" w:type="dxa"/>
            <w:gridSpan w:val="2"/>
            <w:vMerge w:val="restart"/>
          </w:tcPr>
          <w:p w:rsidR="00E95FB1" w:rsidRPr="001916D0" w:rsidRDefault="00E95FB1" w:rsidP="001B3967">
            <w:pPr>
              <w:jc w:val="center"/>
              <w:rPr>
                <w:sz w:val="22"/>
                <w:lang w:val="uk-UA"/>
              </w:rPr>
            </w:pPr>
            <w:r w:rsidRPr="001916D0">
              <w:rPr>
                <w:sz w:val="22"/>
                <w:lang w:val="uk-UA"/>
              </w:rPr>
              <w:t>Місцевий</w:t>
            </w:r>
          </w:p>
          <w:p w:rsidR="00E95FB1" w:rsidRPr="001916D0" w:rsidRDefault="00E95FB1" w:rsidP="001B3967">
            <w:pPr>
              <w:jc w:val="center"/>
              <w:rPr>
                <w:sz w:val="22"/>
                <w:lang w:val="uk-UA"/>
              </w:rPr>
            </w:pPr>
            <w:r w:rsidRPr="001916D0">
              <w:rPr>
                <w:sz w:val="22"/>
                <w:lang w:val="uk-UA"/>
              </w:rPr>
              <w:t>бюджет</w:t>
            </w:r>
          </w:p>
        </w:tc>
        <w:tc>
          <w:tcPr>
            <w:tcW w:w="2412" w:type="dxa"/>
            <w:gridSpan w:val="3"/>
          </w:tcPr>
          <w:p w:rsidR="00E95FB1" w:rsidRPr="001916D0" w:rsidRDefault="00E95FB1" w:rsidP="001B3967">
            <w:pPr>
              <w:jc w:val="center"/>
              <w:rPr>
                <w:sz w:val="22"/>
                <w:lang w:val="uk-UA"/>
              </w:rPr>
            </w:pPr>
            <w:r w:rsidRPr="001916D0">
              <w:rPr>
                <w:sz w:val="22"/>
                <w:lang w:val="uk-UA"/>
              </w:rPr>
              <w:t>Інші джерела</w:t>
            </w:r>
          </w:p>
        </w:tc>
        <w:tc>
          <w:tcPr>
            <w:tcW w:w="1550" w:type="dxa"/>
            <w:vMerge w:val="restart"/>
          </w:tcPr>
          <w:p w:rsidR="00E95FB1" w:rsidRPr="001916D0" w:rsidRDefault="00E95FB1" w:rsidP="001B3967">
            <w:pPr>
              <w:rPr>
                <w:sz w:val="22"/>
                <w:lang w:val="uk-UA"/>
              </w:rPr>
            </w:pPr>
          </w:p>
          <w:p w:rsidR="00E95FB1" w:rsidRPr="001916D0" w:rsidRDefault="00E95FB1" w:rsidP="001B3967">
            <w:pPr>
              <w:jc w:val="center"/>
              <w:rPr>
                <w:sz w:val="22"/>
                <w:lang w:val="uk-UA"/>
              </w:rPr>
            </w:pPr>
            <w:r w:rsidRPr="001916D0">
              <w:rPr>
                <w:sz w:val="22"/>
                <w:lang w:val="uk-UA"/>
              </w:rPr>
              <w:t>ВСЬОГО</w:t>
            </w:r>
          </w:p>
        </w:tc>
      </w:tr>
      <w:tr w:rsidR="00E95FB1" w:rsidRPr="001916D0" w:rsidTr="001B3967">
        <w:tc>
          <w:tcPr>
            <w:tcW w:w="3136" w:type="dxa"/>
            <w:vMerge/>
            <w:shd w:val="clear" w:color="auto" w:fill="C6D9F1" w:themeFill="text2" w:themeFillTint="33"/>
          </w:tcPr>
          <w:p w:rsidR="00E95FB1" w:rsidRPr="001916D0" w:rsidRDefault="00E95FB1" w:rsidP="001B3967">
            <w:pPr>
              <w:rPr>
                <w:sz w:val="22"/>
                <w:lang w:val="uk-UA"/>
              </w:rPr>
            </w:pPr>
          </w:p>
        </w:tc>
        <w:tc>
          <w:tcPr>
            <w:tcW w:w="1378" w:type="dxa"/>
            <w:vMerge/>
          </w:tcPr>
          <w:p w:rsidR="00E95FB1" w:rsidRPr="001916D0" w:rsidRDefault="00E95FB1" w:rsidP="001B3967">
            <w:pPr>
              <w:jc w:val="center"/>
              <w:rPr>
                <w:sz w:val="22"/>
                <w:lang w:val="uk-UA"/>
              </w:rPr>
            </w:pPr>
          </w:p>
        </w:tc>
        <w:tc>
          <w:tcPr>
            <w:tcW w:w="1412" w:type="dxa"/>
            <w:gridSpan w:val="2"/>
            <w:vMerge/>
          </w:tcPr>
          <w:p w:rsidR="00E95FB1" w:rsidRPr="001916D0" w:rsidRDefault="00E95FB1" w:rsidP="001B3967">
            <w:pPr>
              <w:jc w:val="center"/>
              <w:rPr>
                <w:sz w:val="22"/>
                <w:lang w:val="uk-UA"/>
              </w:rPr>
            </w:pPr>
          </w:p>
        </w:tc>
        <w:tc>
          <w:tcPr>
            <w:tcW w:w="1176" w:type="dxa"/>
          </w:tcPr>
          <w:p w:rsidR="00E95FB1" w:rsidRPr="001916D0" w:rsidRDefault="00E95FB1" w:rsidP="001B3967">
            <w:pPr>
              <w:jc w:val="center"/>
              <w:rPr>
                <w:sz w:val="22"/>
                <w:lang w:val="uk-UA"/>
              </w:rPr>
            </w:pPr>
            <w:r w:rsidRPr="001916D0">
              <w:rPr>
                <w:sz w:val="22"/>
                <w:lang w:val="uk-UA"/>
              </w:rPr>
              <w:t>Обсяг</w:t>
            </w:r>
          </w:p>
        </w:tc>
        <w:tc>
          <w:tcPr>
            <w:tcW w:w="1236" w:type="dxa"/>
            <w:gridSpan w:val="2"/>
          </w:tcPr>
          <w:p w:rsidR="00E95FB1" w:rsidRPr="001916D0" w:rsidRDefault="00E95FB1" w:rsidP="001B3967">
            <w:pPr>
              <w:jc w:val="center"/>
              <w:rPr>
                <w:sz w:val="22"/>
                <w:lang w:val="uk-UA"/>
              </w:rPr>
            </w:pPr>
            <w:r w:rsidRPr="001916D0">
              <w:rPr>
                <w:sz w:val="22"/>
                <w:lang w:val="uk-UA"/>
              </w:rPr>
              <w:t>Назва</w:t>
            </w:r>
          </w:p>
          <w:p w:rsidR="00E95FB1" w:rsidRPr="001916D0" w:rsidRDefault="00E95FB1" w:rsidP="001B3967">
            <w:pPr>
              <w:jc w:val="center"/>
              <w:rPr>
                <w:sz w:val="22"/>
                <w:lang w:val="uk-UA"/>
              </w:rPr>
            </w:pPr>
            <w:r w:rsidRPr="001916D0">
              <w:rPr>
                <w:sz w:val="22"/>
                <w:lang w:val="uk-UA"/>
              </w:rPr>
              <w:t>джерела</w:t>
            </w:r>
          </w:p>
        </w:tc>
        <w:tc>
          <w:tcPr>
            <w:tcW w:w="1550" w:type="dxa"/>
            <w:vMerge/>
          </w:tcPr>
          <w:p w:rsidR="00E95FB1" w:rsidRPr="001916D0" w:rsidRDefault="00E95FB1" w:rsidP="001B3967">
            <w:pPr>
              <w:rPr>
                <w:sz w:val="22"/>
                <w:lang w:val="uk-UA"/>
              </w:rPr>
            </w:pPr>
          </w:p>
        </w:tc>
      </w:tr>
      <w:tr w:rsidR="00E95FB1" w:rsidRPr="001916D0" w:rsidTr="001B3967">
        <w:tc>
          <w:tcPr>
            <w:tcW w:w="3136" w:type="dxa"/>
            <w:vMerge/>
            <w:shd w:val="clear" w:color="auto" w:fill="C6D9F1" w:themeFill="text2" w:themeFillTint="33"/>
          </w:tcPr>
          <w:p w:rsidR="00E95FB1" w:rsidRPr="001916D0" w:rsidRDefault="00E95FB1" w:rsidP="001B3967">
            <w:pPr>
              <w:rPr>
                <w:sz w:val="22"/>
                <w:lang w:val="uk-UA"/>
              </w:rPr>
            </w:pPr>
          </w:p>
        </w:tc>
        <w:tc>
          <w:tcPr>
            <w:tcW w:w="1378" w:type="dxa"/>
          </w:tcPr>
          <w:p w:rsidR="00E95FB1" w:rsidRPr="001916D0" w:rsidRDefault="00E95FB1" w:rsidP="001B3967">
            <w:pPr>
              <w:jc w:val="center"/>
              <w:rPr>
                <w:sz w:val="22"/>
                <w:lang w:val="uk-UA"/>
              </w:rPr>
            </w:pPr>
          </w:p>
        </w:tc>
        <w:tc>
          <w:tcPr>
            <w:tcW w:w="1412" w:type="dxa"/>
            <w:gridSpan w:val="2"/>
          </w:tcPr>
          <w:p w:rsidR="00E95FB1" w:rsidRPr="001916D0" w:rsidRDefault="00E95FB1" w:rsidP="001B3967">
            <w:pPr>
              <w:jc w:val="center"/>
              <w:rPr>
                <w:sz w:val="22"/>
                <w:lang w:val="uk-UA"/>
              </w:rPr>
            </w:pPr>
            <w:r w:rsidRPr="001916D0">
              <w:rPr>
                <w:sz w:val="22"/>
                <w:lang w:val="uk-UA"/>
              </w:rPr>
              <w:t>-</w:t>
            </w:r>
          </w:p>
        </w:tc>
        <w:tc>
          <w:tcPr>
            <w:tcW w:w="1176" w:type="dxa"/>
          </w:tcPr>
          <w:p w:rsidR="00E95FB1" w:rsidRPr="001916D0" w:rsidRDefault="00D54CD9" w:rsidP="001B3967">
            <w:pPr>
              <w:jc w:val="center"/>
              <w:rPr>
                <w:sz w:val="22"/>
                <w:lang w:val="uk-UA"/>
              </w:rPr>
            </w:pPr>
            <w:r>
              <w:rPr>
                <w:bCs/>
                <w:sz w:val="24"/>
                <w:szCs w:val="24"/>
                <w:lang w:val="uk-UA"/>
              </w:rPr>
              <w:t>1 097 058,00</w:t>
            </w:r>
          </w:p>
        </w:tc>
        <w:tc>
          <w:tcPr>
            <w:tcW w:w="1236" w:type="dxa"/>
            <w:gridSpan w:val="2"/>
          </w:tcPr>
          <w:p w:rsidR="00E95FB1" w:rsidRPr="001916D0" w:rsidRDefault="00E95FB1" w:rsidP="001B3967">
            <w:pPr>
              <w:jc w:val="center"/>
              <w:rPr>
                <w:sz w:val="22"/>
                <w:lang w:val="uk-UA"/>
              </w:rPr>
            </w:pPr>
            <w:r w:rsidRPr="001916D0">
              <w:rPr>
                <w:sz w:val="22"/>
                <w:lang w:val="uk-UA"/>
              </w:rPr>
              <w:t>Іноземні</w:t>
            </w:r>
          </w:p>
          <w:p w:rsidR="00E95FB1" w:rsidRPr="001916D0" w:rsidRDefault="00E95FB1" w:rsidP="001B3967">
            <w:pPr>
              <w:jc w:val="center"/>
              <w:rPr>
                <w:sz w:val="22"/>
                <w:lang w:val="uk-UA"/>
              </w:rPr>
            </w:pPr>
            <w:r w:rsidRPr="001916D0">
              <w:rPr>
                <w:sz w:val="22"/>
                <w:lang w:val="uk-UA"/>
              </w:rPr>
              <w:t>інвестиції</w:t>
            </w:r>
          </w:p>
        </w:tc>
        <w:tc>
          <w:tcPr>
            <w:tcW w:w="1550" w:type="dxa"/>
          </w:tcPr>
          <w:p w:rsidR="00E95FB1" w:rsidRPr="001916D0" w:rsidRDefault="00D54CD9" w:rsidP="007167A2">
            <w:pPr>
              <w:jc w:val="center"/>
              <w:rPr>
                <w:sz w:val="22"/>
                <w:lang w:val="uk-UA"/>
              </w:rPr>
            </w:pPr>
            <w:r>
              <w:rPr>
                <w:bCs/>
                <w:sz w:val="24"/>
                <w:szCs w:val="24"/>
                <w:lang w:val="uk-UA"/>
              </w:rPr>
              <w:t>1 097 058,00</w:t>
            </w:r>
          </w:p>
        </w:tc>
      </w:tr>
    </w:tbl>
    <w:p w:rsidR="00E95FB1" w:rsidRPr="001916D0" w:rsidRDefault="00E95FB1" w:rsidP="00E95FB1">
      <w:pPr>
        <w:rPr>
          <w:sz w:val="22"/>
        </w:rPr>
      </w:pPr>
    </w:p>
    <w:p w:rsidR="00E95FB1" w:rsidRPr="001916D0" w:rsidRDefault="00E95FB1" w:rsidP="00E95FB1">
      <w:pPr>
        <w:rPr>
          <w:sz w:val="22"/>
        </w:rPr>
      </w:pPr>
    </w:p>
    <w:p w:rsidR="00E95FB1" w:rsidRPr="001916D0" w:rsidRDefault="00E95FB1" w:rsidP="00E95FB1">
      <w:pPr>
        <w:rPr>
          <w:sz w:val="22"/>
        </w:rPr>
      </w:pPr>
    </w:p>
    <w:p w:rsidR="00E95FB1" w:rsidRPr="001916D0" w:rsidRDefault="00E95FB1" w:rsidP="00E95FB1">
      <w:pPr>
        <w:rPr>
          <w:sz w:val="22"/>
        </w:rPr>
      </w:pPr>
    </w:p>
    <w:tbl>
      <w:tblPr>
        <w:tblStyle w:val="af"/>
        <w:tblW w:w="0" w:type="auto"/>
        <w:tblInd w:w="-176" w:type="dxa"/>
        <w:tblLook w:val="04A0" w:firstRow="1" w:lastRow="0" w:firstColumn="1" w:lastColumn="0" w:noHBand="0" w:noVBand="1"/>
      </w:tblPr>
      <w:tblGrid>
        <w:gridCol w:w="2688"/>
        <w:gridCol w:w="1761"/>
        <w:gridCol w:w="1175"/>
        <w:gridCol w:w="81"/>
        <w:gridCol w:w="1193"/>
        <w:gridCol w:w="852"/>
        <w:gridCol w:w="590"/>
        <w:gridCol w:w="1322"/>
      </w:tblGrid>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Оперативна ціль/завдання</w:t>
            </w:r>
          </w:p>
        </w:tc>
        <w:tc>
          <w:tcPr>
            <w:tcW w:w="7052" w:type="dxa"/>
            <w:gridSpan w:val="7"/>
            <w:shd w:val="clear" w:color="auto" w:fill="auto"/>
          </w:tcPr>
          <w:p w:rsidR="00E95FB1" w:rsidRPr="001916D0" w:rsidRDefault="00E95FB1" w:rsidP="001B3967">
            <w:pPr>
              <w:rPr>
                <w:sz w:val="22"/>
                <w:lang w:val="uk-UA"/>
              </w:rPr>
            </w:pPr>
            <w:r w:rsidRPr="001916D0">
              <w:rPr>
                <w:rFonts w:eastAsia="Arial"/>
                <w:sz w:val="22"/>
                <w:lang w:val="uk-UA"/>
              </w:rPr>
              <w:t>SMART – трансформація економіки та відновлення інвестиційної привабливості громади. Маркетинг території громади та залучення інвестицій. Запровадження єдиного архітектурного стиля міста та громади</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Назва проекту:</w:t>
            </w:r>
          </w:p>
        </w:tc>
        <w:tc>
          <w:tcPr>
            <w:tcW w:w="7052" w:type="dxa"/>
            <w:gridSpan w:val="7"/>
          </w:tcPr>
          <w:p w:rsidR="00E95FB1" w:rsidRPr="001916D0" w:rsidRDefault="00E95FB1" w:rsidP="001B3967">
            <w:pPr>
              <w:pStyle w:val="a7"/>
              <w:ind w:left="0"/>
              <w:rPr>
                <w:sz w:val="22"/>
                <w:lang w:val="uk-UA"/>
              </w:rPr>
            </w:pPr>
            <w:r w:rsidRPr="001916D0">
              <w:rPr>
                <w:sz w:val="22"/>
                <w:lang w:val="uk-UA"/>
              </w:rPr>
              <w:t>Ремонт приміщення та споруд  КП «ЗЕЛЕНЕ МІСТО»</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Ціль проекту</w:t>
            </w:r>
          </w:p>
        </w:tc>
        <w:tc>
          <w:tcPr>
            <w:tcW w:w="7052" w:type="dxa"/>
            <w:gridSpan w:val="7"/>
          </w:tcPr>
          <w:p w:rsidR="00E95FB1" w:rsidRPr="001916D0" w:rsidRDefault="00E95FB1" w:rsidP="001B3967">
            <w:pPr>
              <w:pStyle w:val="a7"/>
              <w:ind w:left="0"/>
              <w:rPr>
                <w:sz w:val="22"/>
                <w:lang w:val="uk-UA"/>
              </w:rPr>
            </w:pPr>
            <w:r w:rsidRPr="001916D0">
              <w:rPr>
                <w:sz w:val="22"/>
                <w:lang w:val="uk-UA"/>
              </w:rPr>
              <w:t>Відновити та покращити роботу комунального підприємства КП «ЗЕЛЕНЕ МІСТО» для надання спектру послуг, пов’язаних із зеленими насадженнями та задоволення потреб мешканців Сєвєродонецької міської територіальної громади.</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Територія, на яку матиме вплив реалізація проекту</w:t>
            </w:r>
          </w:p>
        </w:tc>
        <w:tc>
          <w:tcPr>
            <w:tcW w:w="7052" w:type="dxa"/>
            <w:gridSpan w:val="7"/>
          </w:tcPr>
          <w:p w:rsidR="00E95FB1" w:rsidRPr="001916D0" w:rsidRDefault="00E95FB1" w:rsidP="001B3967">
            <w:pPr>
              <w:pStyle w:val="a7"/>
              <w:ind w:left="0"/>
              <w:rPr>
                <w:sz w:val="22"/>
                <w:lang w:val="uk-UA"/>
              </w:rPr>
            </w:pPr>
            <w:r w:rsidRPr="001916D0">
              <w:rPr>
                <w:sz w:val="22"/>
                <w:lang w:val="uk-UA"/>
              </w:rPr>
              <w:t>Сєвєродонецька міська територіальна громада</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lastRenderedPageBreak/>
              <w:t>Чисельність населення, на яке матиме вплив реалізація проекту</w:t>
            </w:r>
          </w:p>
        </w:tc>
        <w:tc>
          <w:tcPr>
            <w:tcW w:w="7052" w:type="dxa"/>
            <w:gridSpan w:val="7"/>
          </w:tcPr>
          <w:p w:rsidR="00E95FB1" w:rsidRPr="001916D0" w:rsidRDefault="00E95FB1" w:rsidP="001B3967">
            <w:pPr>
              <w:pStyle w:val="a7"/>
              <w:ind w:left="0"/>
              <w:rPr>
                <w:sz w:val="22"/>
                <w:lang w:val="uk-UA"/>
              </w:rPr>
            </w:pPr>
            <w:r w:rsidRPr="001916D0">
              <w:rPr>
                <w:sz w:val="22"/>
                <w:lang w:val="uk-UA"/>
              </w:rPr>
              <w:t xml:space="preserve"> 70 000  осіб</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Опис проблеми, на вирішення якої  спрямований проект</w:t>
            </w:r>
          </w:p>
        </w:tc>
        <w:tc>
          <w:tcPr>
            <w:tcW w:w="7052" w:type="dxa"/>
            <w:gridSpan w:val="7"/>
          </w:tcPr>
          <w:p w:rsidR="00E95FB1" w:rsidRPr="001916D0" w:rsidRDefault="00E95FB1" w:rsidP="001B3967">
            <w:pPr>
              <w:rPr>
                <w:sz w:val="22"/>
                <w:lang w:val="uk-UA"/>
              </w:rPr>
            </w:pPr>
            <w:r w:rsidRPr="001916D0">
              <w:rPr>
                <w:sz w:val="22"/>
                <w:lang w:val="uk-UA"/>
              </w:rPr>
              <w:t>Через військову агресію РФ територія Сєвєродонецької міської територіальної громади зазнала значних пошкоджень. Не оминуло це і КП «ЗЕЛЕНЕ МІСТО».</w:t>
            </w:r>
          </w:p>
          <w:p w:rsidR="00E95FB1" w:rsidRPr="001916D0" w:rsidRDefault="00E95FB1" w:rsidP="001B3967">
            <w:pPr>
              <w:ind w:firstLine="708"/>
              <w:rPr>
                <w:sz w:val="22"/>
                <w:lang w:val="uk-UA"/>
              </w:rPr>
            </w:pPr>
            <w:r w:rsidRPr="001916D0">
              <w:rPr>
                <w:sz w:val="22"/>
                <w:lang w:val="uk-UA"/>
              </w:rPr>
              <w:t>Вся матеріально-технічна база підприємства були знищені або викрадені, а адмінбудівля та бокси пошкодженні.</w:t>
            </w:r>
            <w:r w:rsidRPr="001916D0">
              <w:rPr>
                <w:rFonts w:eastAsia="Arial"/>
                <w:sz w:val="22"/>
                <w:lang w:val="uk-UA"/>
              </w:rPr>
              <w:t xml:space="preserve">            </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якісні результати від реалізації проекту</w:t>
            </w:r>
          </w:p>
        </w:tc>
        <w:tc>
          <w:tcPr>
            <w:tcW w:w="7052" w:type="dxa"/>
            <w:gridSpan w:val="7"/>
          </w:tcPr>
          <w:p w:rsidR="00E95FB1" w:rsidRPr="001916D0" w:rsidRDefault="00E95FB1" w:rsidP="001B3967">
            <w:pPr>
              <w:pStyle w:val="a7"/>
              <w:ind w:left="0"/>
              <w:rPr>
                <w:sz w:val="22"/>
                <w:lang w:val="uk-UA"/>
              </w:rPr>
            </w:pPr>
            <w:r w:rsidRPr="001916D0">
              <w:rPr>
                <w:sz w:val="22"/>
                <w:lang w:val="uk-UA"/>
              </w:rPr>
              <w:t>- відновлення роботи підприємства;</w:t>
            </w:r>
          </w:p>
          <w:p w:rsidR="00E95FB1" w:rsidRPr="001916D0" w:rsidRDefault="00E95FB1" w:rsidP="001B3967">
            <w:pPr>
              <w:pStyle w:val="a7"/>
              <w:ind w:left="0"/>
              <w:rPr>
                <w:sz w:val="22"/>
                <w:lang w:val="uk-UA"/>
              </w:rPr>
            </w:pPr>
            <w:r w:rsidRPr="001916D0">
              <w:rPr>
                <w:sz w:val="22"/>
                <w:lang w:val="uk-UA"/>
              </w:rPr>
              <w:t>- стимул до повернення ВПО до громади;</w:t>
            </w:r>
          </w:p>
          <w:p w:rsidR="00E95FB1" w:rsidRPr="001916D0" w:rsidRDefault="00E95FB1" w:rsidP="001B3967">
            <w:pPr>
              <w:pStyle w:val="a7"/>
              <w:ind w:left="0"/>
              <w:rPr>
                <w:sz w:val="22"/>
                <w:lang w:val="uk-UA"/>
              </w:rPr>
            </w:pPr>
            <w:r w:rsidRPr="001916D0">
              <w:rPr>
                <w:sz w:val="22"/>
                <w:lang w:val="uk-UA"/>
              </w:rPr>
              <w:t>- виконання санітарних норм .</w:t>
            </w:r>
          </w:p>
        </w:tc>
      </w:tr>
      <w:tr w:rsidR="00E95FB1" w:rsidRPr="001916D0" w:rsidTr="001B3967">
        <w:trPr>
          <w:trHeight w:val="390"/>
        </w:trPr>
        <w:tc>
          <w:tcPr>
            <w:tcW w:w="2836"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Очікувані кількісні результати реалізації </w:t>
            </w:r>
            <w:proofErr w:type="spellStart"/>
            <w:r w:rsidRPr="001916D0">
              <w:rPr>
                <w:b/>
                <w:sz w:val="22"/>
                <w:lang w:val="uk-UA"/>
              </w:rPr>
              <w:t>проєкту</w:t>
            </w:r>
            <w:proofErr w:type="spellEnd"/>
            <w:r w:rsidRPr="001916D0">
              <w:rPr>
                <w:b/>
                <w:sz w:val="22"/>
                <w:lang w:val="uk-UA"/>
              </w:rPr>
              <w:t xml:space="preserve"> (індикатори)</w:t>
            </w:r>
          </w:p>
          <w:p w:rsidR="00E95FB1" w:rsidRPr="001916D0" w:rsidRDefault="00E95FB1" w:rsidP="001B3967">
            <w:pPr>
              <w:pStyle w:val="a7"/>
              <w:ind w:left="0"/>
              <w:rPr>
                <w:b/>
                <w:sz w:val="22"/>
                <w:lang w:val="uk-UA"/>
              </w:rPr>
            </w:pPr>
          </w:p>
        </w:tc>
        <w:tc>
          <w:tcPr>
            <w:tcW w:w="2977" w:type="dxa"/>
            <w:gridSpan w:val="2"/>
            <w:tcBorders>
              <w:bottom w:val="single" w:sz="4" w:space="0" w:color="auto"/>
              <w:right w:val="single" w:sz="4" w:space="0" w:color="auto"/>
            </w:tcBorders>
          </w:tcPr>
          <w:p w:rsidR="00E95FB1" w:rsidRPr="001916D0" w:rsidRDefault="00E95FB1" w:rsidP="001B3967">
            <w:pPr>
              <w:pStyle w:val="a7"/>
              <w:ind w:left="-108"/>
              <w:jc w:val="center"/>
              <w:rPr>
                <w:b/>
                <w:sz w:val="22"/>
                <w:lang w:val="uk-UA"/>
              </w:rPr>
            </w:pPr>
            <w:r w:rsidRPr="001916D0">
              <w:rPr>
                <w:b/>
                <w:sz w:val="22"/>
                <w:lang w:val="uk-UA"/>
              </w:rPr>
              <w:t>Найменування показника</w:t>
            </w:r>
          </w:p>
        </w:tc>
        <w:tc>
          <w:tcPr>
            <w:tcW w:w="2126" w:type="dxa"/>
            <w:gridSpan w:val="3"/>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Одиниця вимірювання</w:t>
            </w:r>
          </w:p>
          <w:p w:rsidR="00E95FB1" w:rsidRPr="001916D0" w:rsidRDefault="00E95FB1" w:rsidP="001B3967">
            <w:pPr>
              <w:pStyle w:val="a7"/>
              <w:ind w:left="0"/>
              <w:rPr>
                <w:b/>
                <w:sz w:val="22"/>
                <w:lang w:val="uk-UA"/>
              </w:rPr>
            </w:pPr>
          </w:p>
        </w:tc>
        <w:tc>
          <w:tcPr>
            <w:tcW w:w="1949" w:type="dxa"/>
            <w:gridSpan w:val="2"/>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Прогнозне (цільове) значення</w:t>
            </w:r>
          </w:p>
        </w:tc>
      </w:tr>
      <w:tr w:rsidR="00E95FB1" w:rsidRPr="001916D0" w:rsidTr="001B3967">
        <w:trPr>
          <w:trHeight w:val="585"/>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2977" w:type="dxa"/>
            <w:gridSpan w:val="2"/>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 xml:space="preserve">Комплекс приміщень та споруди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949" w:type="dxa"/>
            <w:gridSpan w:val="2"/>
            <w:tcBorders>
              <w:top w:val="single" w:sz="4" w:space="0" w:color="auto"/>
              <w:left w:val="single" w:sz="4" w:space="0" w:color="auto"/>
              <w:bottom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b/>
                <w:sz w:val="22"/>
                <w:lang w:val="uk-UA"/>
              </w:rPr>
            </w:pPr>
            <w:r w:rsidRPr="001916D0">
              <w:rPr>
                <w:sz w:val="22"/>
                <w:lang w:val="uk-UA"/>
              </w:rPr>
              <w:t>1</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 xml:space="preserve">Ключові заходи проекту: </w:t>
            </w:r>
          </w:p>
          <w:p w:rsidR="00E95FB1" w:rsidRPr="001916D0" w:rsidRDefault="00E95FB1" w:rsidP="001B3967">
            <w:pPr>
              <w:pStyle w:val="a7"/>
              <w:ind w:left="0"/>
              <w:rPr>
                <w:b/>
                <w:sz w:val="22"/>
                <w:lang w:val="uk-UA"/>
              </w:rPr>
            </w:pPr>
          </w:p>
        </w:tc>
        <w:tc>
          <w:tcPr>
            <w:tcW w:w="7052" w:type="dxa"/>
            <w:gridSpan w:val="7"/>
          </w:tcPr>
          <w:p w:rsidR="00E95FB1" w:rsidRPr="001916D0" w:rsidRDefault="00E95FB1" w:rsidP="001B3967">
            <w:pPr>
              <w:pStyle w:val="a7"/>
              <w:ind w:left="0"/>
              <w:rPr>
                <w:sz w:val="22"/>
                <w:lang w:val="uk-UA"/>
              </w:rPr>
            </w:pPr>
            <w:r w:rsidRPr="001916D0">
              <w:rPr>
                <w:sz w:val="22"/>
                <w:lang w:val="uk-UA"/>
              </w:rPr>
              <w:t>- обстеження стану будівлі;</w:t>
            </w:r>
          </w:p>
          <w:p w:rsidR="00E95FB1" w:rsidRPr="001916D0" w:rsidRDefault="00E95FB1" w:rsidP="001B3967">
            <w:pPr>
              <w:pStyle w:val="a7"/>
              <w:ind w:left="0"/>
              <w:rPr>
                <w:sz w:val="22"/>
                <w:lang w:val="uk-UA"/>
              </w:rPr>
            </w:pPr>
            <w:r w:rsidRPr="001916D0">
              <w:rPr>
                <w:sz w:val="22"/>
                <w:lang w:val="uk-UA"/>
              </w:rPr>
              <w:t>- проведення інвентаризації основних засобів;</w:t>
            </w:r>
          </w:p>
          <w:p w:rsidR="00E95FB1" w:rsidRPr="001916D0" w:rsidRDefault="00E95FB1" w:rsidP="001B3967">
            <w:pPr>
              <w:pStyle w:val="a7"/>
              <w:ind w:left="0"/>
              <w:rPr>
                <w:sz w:val="22"/>
                <w:lang w:val="uk-UA"/>
              </w:rPr>
            </w:pPr>
            <w:r w:rsidRPr="001916D0">
              <w:rPr>
                <w:sz w:val="22"/>
                <w:lang w:val="uk-UA"/>
              </w:rPr>
              <w:t>- ремонт та відновлення адмінбудівлі (дах, вікна, зовнішнє утеплення стін,  водопостачання, водовідведення, електропостачання, система опалення з встановленням твердопаливного котла, внутрішній косметичний ремонт</w:t>
            </w:r>
            <w:r w:rsidR="00F81B84" w:rsidRPr="001916D0">
              <w:rPr>
                <w:bCs/>
                <w:sz w:val="22"/>
                <w:szCs w:val="22"/>
                <w:lang w:val="uk-UA"/>
              </w:rPr>
              <w:t>;</w:t>
            </w:r>
          </w:p>
          <w:p w:rsidR="00E95FB1" w:rsidRPr="001916D0" w:rsidRDefault="00E95FB1" w:rsidP="001B3967">
            <w:pPr>
              <w:pStyle w:val="a7"/>
              <w:ind w:left="0"/>
              <w:rPr>
                <w:sz w:val="22"/>
                <w:lang w:val="uk-UA"/>
              </w:rPr>
            </w:pPr>
            <w:r w:rsidRPr="001916D0">
              <w:rPr>
                <w:sz w:val="22"/>
                <w:lang w:val="uk-UA"/>
              </w:rPr>
              <w:t xml:space="preserve">- ремонт та відновлення господарських споруд (бокси, </w:t>
            </w:r>
            <w:r w:rsidRPr="001916D0">
              <w:rPr>
                <w:bCs/>
                <w:sz w:val="22"/>
                <w:szCs w:val="22"/>
                <w:lang w:val="uk-UA"/>
              </w:rPr>
              <w:t>гараж</w:t>
            </w:r>
            <w:r w:rsidR="00F81B84" w:rsidRPr="001916D0">
              <w:rPr>
                <w:bCs/>
                <w:sz w:val="22"/>
                <w:szCs w:val="22"/>
                <w:lang w:val="uk-UA"/>
              </w:rPr>
              <w:t>і</w:t>
            </w:r>
            <w:r w:rsidRPr="001916D0">
              <w:rPr>
                <w:sz w:val="22"/>
                <w:lang w:val="uk-UA"/>
              </w:rPr>
              <w:t>, навіс</w:t>
            </w:r>
            <w:r w:rsidRPr="001916D0">
              <w:rPr>
                <w:bCs/>
                <w:sz w:val="22"/>
                <w:szCs w:val="22"/>
                <w:lang w:val="uk-UA"/>
              </w:rPr>
              <w:t>)</w:t>
            </w:r>
            <w:r w:rsidR="00F81B84" w:rsidRPr="001916D0">
              <w:rPr>
                <w:bCs/>
                <w:sz w:val="22"/>
                <w:szCs w:val="22"/>
                <w:lang w:val="uk-UA"/>
              </w:rPr>
              <w:t>;</w:t>
            </w:r>
          </w:p>
          <w:p w:rsidR="00E95FB1" w:rsidRPr="001916D0" w:rsidRDefault="00E95FB1" w:rsidP="001B3967">
            <w:pPr>
              <w:pStyle w:val="a7"/>
              <w:ind w:left="0"/>
              <w:rPr>
                <w:sz w:val="22"/>
                <w:lang w:val="uk-UA"/>
              </w:rPr>
            </w:pPr>
            <w:r w:rsidRPr="001916D0">
              <w:rPr>
                <w:sz w:val="22"/>
                <w:lang w:val="uk-UA"/>
              </w:rPr>
              <w:t xml:space="preserve">- улаштування </w:t>
            </w:r>
            <w:r w:rsidR="00F81B84" w:rsidRPr="001916D0">
              <w:rPr>
                <w:bCs/>
                <w:sz w:val="22"/>
                <w:szCs w:val="22"/>
                <w:lang w:val="uk-UA"/>
              </w:rPr>
              <w:t>паркану;</w:t>
            </w:r>
          </w:p>
          <w:p w:rsidR="00E95FB1" w:rsidRPr="001916D0" w:rsidRDefault="00E95FB1" w:rsidP="001B3967">
            <w:pPr>
              <w:pStyle w:val="a7"/>
              <w:ind w:left="0"/>
              <w:rPr>
                <w:sz w:val="22"/>
                <w:lang w:val="uk-UA"/>
              </w:rPr>
            </w:pPr>
            <w:r w:rsidRPr="001916D0">
              <w:rPr>
                <w:sz w:val="22"/>
                <w:lang w:val="uk-UA"/>
              </w:rPr>
              <w:t>- улаштування дорожнього покриття на території двору</w:t>
            </w:r>
            <w:r w:rsidR="00F81B84" w:rsidRPr="001916D0">
              <w:rPr>
                <w:bCs/>
                <w:sz w:val="22"/>
                <w:szCs w:val="22"/>
                <w:lang w:val="uk-UA"/>
              </w:rPr>
              <w:t>;</w:t>
            </w:r>
          </w:p>
          <w:p w:rsidR="00E95FB1" w:rsidRPr="001916D0" w:rsidRDefault="00E95FB1" w:rsidP="001B3967">
            <w:pPr>
              <w:pStyle w:val="a7"/>
              <w:ind w:left="0"/>
              <w:rPr>
                <w:sz w:val="22"/>
                <w:lang w:val="uk-UA"/>
              </w:rPr>
            </w:pPr>
            <w:r w:rsidRPr="001916D0">
              <w:rPr>
                <w:sz w:val="22"/>
                <w:lang w:val="uk-UA"/>
              </w:rPr>
              <w:t>- виконання санітарних норм</w:t>
            </w:r>
            <w:r w:rsidR="00F81B84" w:rsidRPr="001916D0">
              <w:rPr>
                <w:bCs/>
                <w:sz w:val="22"/>
                <w:szCs w:val="22"/>
                <w:lang w:val="uk-UA"/>
              </w:rPr>
              <w:t>;</w:t>
            </w:r>
            <w:r w:rsidRPr="001916D0">
              <w:rPr>
                <w:sz w:val="22"/>
                <w:lang w:val="uk-UA"/>
              </w:rPr>
              <w:t xml:space="preserve"> </w:t>
            </w:r>
          </w:p>
          <w:p w:rsidR="00E95FB1" w:rsidRPr="001916D0" w:rsidRDefault="00E95FB1" w:rsidP="001B3967">
            <w:pPr>
              <w:pStyle w:val="a7"/>
              <w:ind w:left="0"/>
              <w:rPr>
                <w:sz w:val="22"/>
                <w:lang w:val="uk-UA"/>
              </w:rPr>
            </w:pPr>
            <w:r w:rsidRPr="001916D0">
              <w:rPr>
                <w:sz w:val="22"/>
                <w:lang w:val="uk-UA"/>
              </w:rPr>
              <w:t>- організація та початок робочого процесу.</w:t>
            </w:r>
          </w:p>
        </w:tc>
      </w:tr>
      <w:tr w:rsidR="00E95FB1" w:rsidRPr="001916D0" w:rsidTr="001B3967">
        <w:trPr>
          <w:trHeight w:val="360"/>
        </w:trPr>
        <w:tc>
          <w:tcPr>
            <w:tcW w:w="2836"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Орієнтовний обсяг та джерела фінансування, тис. грн. </w:t>
            </w:r>
          </w:p>
          <w:p w:rsidR="00E95FB1" w:rsidRPr="001916D0" w:rsidRDefault="00E95FB1" w:rsidP="001B3967">
            <w:pPr>
              <w:pStyle w:val="a7"/>
              <w:ind w:left="0"/>
              <w:rPr>
                <w:b/>
                <w:sz w:val="22"/>
                <w:lang w:val="uk-UA"/>
              </w:rPr>
            </w:pPr>
          </w:p>
        </w:tc>
        <w:tc>
          <w:tcPr>
            <w:tcW w:w="1791"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Державний бюджет</w:t>
            </w:r>
          </w:p>
        </w:tc>
        <w:tc>
          <w:tcPr>
            <w:tcW w:w="1267" w:type="dxa"/>
            <w:gridSpan w:val="2"/>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Місцевий бюджет</w:t>
            </w:r>
          </w:p>
        </w:tc>
        <w:tc>
          <w:tcPr>
            <w:tcW w:w="2648" w:type="dxa"/>
            <w:gridSpan w:val="3"/>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Інші джерела</w:t>
            </w:r>
          </w:p>
        </w:tc>
        <w:tc>
          <w:tcPr>
            <w:tcW w:w="1346" w:type="dxa"/>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Всього</w:t>
            </w:r>
          </w:p>
        </w:tc>
      </w:tr>
      <w:tr w:rsidR="00E95FB1" w:rsidRPr="001916D0" w:rsidTr="001B3967">
        <w:trPr>
          <w:trHeight w:val="225"/>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1791" w:type="dxa"/>
            <w:vMerge w:val="restart"/>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11 200,0</w:t>
            </w:r>
          </w:p>
        </w:tc>
        <w:tc>
          <w:tcPr>
            <w:tcW w:w="1267" w:type="dxa"/>
            <w:gridSpan w:val="2"/>
            <w:vMerge w:val="restart"/>
            <w:tcBorders>
              <w:top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w:t>
            </w:r>
          </w:p>
        </w:tc>
        <w:tc>
          <w:tcPr>
            <w:tcW w:w="1193" w:type="dxa"/>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Обсяг</w:t>
            </w:r>
          </w:p>
        </w:tc>
        <w:tc>
          <w:tcPr>
            <w:tcW w:w="1455"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Назва джерела</w:t>
            </w:r>
          </w:p>
        </w:tc>
        <w:tc>
          <w:tcPr>
            <w:tcW w:w="1346" w:type="dxa"/>
            <w:vMerge w:val="restart"/>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16 000,00</w:t>
            </w:r>
          </w:p>
        </w:tc>
      </w:tr>
      <w:tr w:rsidR="00E95FB1" w:rsidRPr="001916D0" w:rsidTr="001B3967">
        <w:trPr>
          <w:trHeight w:val="30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1791" w:type="dxa"/>
            <w:vMerge/>
            <w:tcBorders>
              <w:right w:val="single" w:sz="4" w:space="0" w:color="auto"/>
            </w:tcBorders>
          </w:tcPr>
          <w:p w:rsidR="00E95FB1" w:rsidRPr="001916D0" w:rsidRDefault="00E95FB1" w:rsidP="001B3967">
            <w:pPr>
              <w:pStyle w:val="a7"/>
              <w:ind w:left="0"/>
              <w:jc w:val="center"/>
              <w:rPr>
                <w:sz w:val="22"/>
                <w:lang w:val="uk-UA"/>
              </w:rPr>
            </w:pPr>
          </w:p>
        </w:tc>
        <w:tc>
          <w:tcPr>
            <w:tcW w:w="1267" w:type="dxa"/>
            <w:gridSpan w:val="2"/>
            <w:vMerge/>
            <w:tcBorders>
              <w:right w:val="single" w:sz="4" w:space="0" w:color="auto"/>
            </w:tcBorders>
          </w:tcPr>
          <w:p w:rsidR="00E95FB1" w:rsidRPr="001916D0" w:rsidRDefault="00E95FB1" w:rsidP="001B3967">
            <w:pPr>
              <w:pStyle w:val="a7"/>
              <w:ind w:left="0"/>
              <w:jc w:val="center"/>
              <w:rPr>
                <w:b/>
                <w:sz w:val="22"/>
                <w:lang w:val="uk-UA"/>
              </w:rPr>
            </w:pPr>
          </w:p>
        </w:tc>
        <w:tc>
          <w:tcPr>
            <w:tcW w:w="1193" w:type="dxa"/>
            <w:tcBorders>
              <w:top w:val="single" w:sz="4" w:space="0" w:color="auto"/>
              <w:left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sz w:val="22"/>
                <w:lang w:val="uk-UA"/>
              </w:rPr>
              <w:t>4 800,0</w:t>
            </w:r>
          </w:p>
        </w:tc>
        <w:tc>
          <w:tcPr>
            <w:tcW w:w="1455"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Міжнародні інвестиції, кошти приватних осіб</w:t>
            </w:r>
          </w:p>
        </w:tc>
        <w:tc>
          <w:tcPr>
            <w:tcW w:w="1346" w:type="dxa"/>
            <w:vMerge/>
            <w:tcBorders>
              <w:left w:val="single" w:sz="4" w:space="0" w:color="auto"/>
            </w:tcBorders>
          </w:tcPr>
          <w:p w:rsidR="00E95FB1" w:rsidRPr="001916D0" w:rsidRDefault="00E95FB1" w:rsidP="001B3967">
            <w:pPr>
              <w:pStyle w:val="a7"/>
              <w:ind w:left="0"/>
              <w:jc w:val="center"/>
              <w:rPr>
                <w:sz w:val="22"/>
                <w:lang w:val="uk-UA"/>
              </w:rPr>
            </w:pPr>
          </w:p>
        </w:tc>
      </w:tr>
    </w:tbl>
    <w:p w:rsidR="00E95FB1" w:rsidRPr="001916D0" w:rsidRDefault="00E95FB1" w:rsidP="00E95FB1">
      <w:pPr>
        <w:rPr>
          <w:sz w:val="22"/>
        </w:rPr>
      </w:pPr>
    </w:p>
    <w:tbl>
      <w:tblPr>
        <w:tblStyle w:val="af"/>
        <w:tblW w:w="0" w:type="auto"/>
        <w:tblInd w:w="-176" w:type="dxa"/>
        <w:tblLook w:val="04A0" w:firstRow="1" w:lastRow="0" w:firstColumn="1" w:lastColumn="0" w:noHBand="0" w:noVBand="1"/>
      </w:tblPr>
      <w:tblGrid>
        <w:gridCol w:w="2720"/>
        <w:gridCol w:w="1882"/>
        <w:gridCol w:w="1308"/>
        <w:gridCol w:w="128"/>
        <w:gridCol w:w="854"/>
        <w:gridCol w:w="989"/>
        <w:gridCol w:w="456"/>
        <w:gridCol w:w="1325"/>
      </w:tblGrid>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Оперативна ціль/завдання</w:t>
            </w:r>
          </w:p>
        </w:tc>
        <w:tc>
          <w:tcPr>
            <w:tcW w:w="7052" w:type="dxa"/>
            <w:gridSpan w:val="7"/>
            <w:shd w:val="clear" w:color="auto" w:fill="auto"/>
          </w:tcPr>
          <w:p w:rsidR="00E95FB1" w:rsidRPr="001916D0" w:rsidRDefault="00E95FB1" w:rsidP="001B3967">
            <w:pPr>
              <w:pStyle w:val="a7"/>
              <w:ind w:left="0"/>
              <w:rPr>
                <w:sz w:val="22"/>
                <w:lang w:val="uk-UA"/>
              </w:rPr>
            </w:pPr>
            <w:r w:rsidRPr="001916D0">
              <w:rPr>
                <w:rFonts w:eastAsia="Arial"/>
                <w:sz w:val="22"/>
                <w:lang w:val="uk-UA"/>
              </w:rPr>
              <w:t xml:space="preserve">Комфорт життя ЛЮДИНИ як безпека, екологічна сталість та  розумна енергетика.  Енергоефективна політика та інфраструктура  </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Назва проекту:</w:t>
            </w:r>
          </w:p>
        </w:tc>
        <w:tc>
          <w:tcPr>
            <w:tcW w:w="7052" w:type="dxa"/>
            <w:gridSpan w:val="7"/>
          </w:tcPr>
          <w:p w:rsidR="00E95FB1" w:rsidRPr="001916D0" w:rsidRDefault="00E95FB1" w:rsidP="001B3967">
            <w:pPr>
              <w:pStyle w:val="a7"/>
              <w:ind w:left="0"/>
              <w:rPr>
                <w:sz w:val="22"/>
                <w:lang w:val="uk-UA"/>
              </w:rPr>
            </w:pPr>
            <w:r w:rsidRPr="001916D0">
              <w:rPr>
                <w:sz w:val="22"/>
                <w:lang w:val="uk-UA"/>
              </w:rPr>
              <w:t xml:space="preserve">Капітальний ремонт комплексу будівель за </w:t>
            </w:r>
            <w:proofErr w:type="spellStart"/>
            <w:r w:rsidRPr="001916D0">
              <w:rPr>
                <w:sz w:val="22"/>
                <w:lang w:val="uk-UA"/>
              </w:rPr>
              <w:t>адресою</w:t>
            </w:r>
            <w:proofErr w:type="spellEnd"/>
            <w:r w:rsidRPr="001916D0">
              <w:rPr>
                <w:sz w:val="22"/>
                <w:lang w:val="uk-UA"/>
              </w:rPr>
              <w:t xml:space="preserve"> </w:t>
            </w:r>
            <w:proofErr w:type="spellStart"/>
            <w:r w:rsidRPr="001916D0">
              <w:rPr>
                <w:sz w:val="22"/>
                <w:lang w:val="uk-UA"/>
              </w:rPr>
              <w:t>м.Сєвєродонецьк</w:t>
            </w:r>
            <w:proofErr w:type="spellEnd"/>
            <w:r w:rsidRPr="001916D0">
              <w:rPr>
                <w:sz w:val="22"/>
                <w:lang w:val="uk-UA"/>
              </w:rPr>
              <w:t xml:space="preserve">, шосе Будівельників, буд. 1 та опорного пункту за </w:t>
            </w:r>
            <w:proofErr w:type="spellStart"/>
            <w:r w:rsidRPr="001916D0">
              <w:rPr>
                <w:sz w:val="22"/>
                <w:lang w:val="uk-UA"/>
              </w:rPr>
              <w:t>адресою</w:t>
            </w:r>
            <w:proofErr w:type="spellEnd"/>
            <w:r w:rsidRPr="001916D0">
              <w:rPr>
                <w:sz w:val="22"/>
                <w:lang w:val="uk-UA"/>
              </w:rPr>
              <w:t xml:space="preserve"> </w:t>
            </w:r>
            <w:proofErr w:type="spellStart"/>
            <w:r w:rsidRPr="001916D0">
              <w:rPr>
                <w:sz w:val="22"/>
                <w:lang w:val="uk-UA"/>
              </w:rPr>
              <w:t>м.Сєвєродонецьк</w:t>
            </w:r>
            <w:proofErr w:type="spellEnd"/>
            <w:r w:rsidRPr="001916D0">
              <w:rPr>
                <w:sz w:val="22"/>
                <w:lang w:val="uk-UA"/>
              </w:rPr>
              <w:t>, вул. Науки, буд. 3 (підвальне приміщення)</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Ціль проекту</w:t>
            </w:r>
          </w:p>
        </w:tc>
        <w:tc>
          <w:tcPr>
            <w:tcW w:w="7052" w:type="dxa"/>
            <w:gridSpan w:val="7"/>
          </w:tcPr>
          <w:p w:rsidR="00E95FB1" w:rsidRPr="001916D0" w:rsidRDefault="00E95FB1" w:rsidP="001B3967">
            <w:pPr>
              <w:pStyle w:val="a7"/>
              <w:ind w:left="0"/>
              <w:rPr>
                <w:sz w:val="22"/>
                <w:lang w:val="uk-UA"/>
              </w:rPr>
            </w:pPr>
            <w:r w:rsidRPr="001916D0">
              <w:rPr>
                <w:rFonts w:eastAsia="Calibri"/>
                <w:color w:val="000000"/>
                <w:sz w:val="22"/>
                <w:lang w:val="uk-UA"/>
              </w:rPr>
              <w:t>Відновити діяльність підприємства КП «</w:t>
            </w:r>
            <w:proofErr w:type="spellStart"/>
            <w:r w:rsidRPr="001916D0">
              <w:rPr>
                <w:rFonts w:eastAsia="Calibri"/>
                <w:color w:val="000000"/>
                <w:sz w:val="22"/>
                <w:lang w:val="uk-UA"/>
              </w:rPr>
              <w:t>Сєвєродонецькліфт</w:t>
            </w:r>
            <w:proofErr w:type="spellEnd"/>
            <w:r w:rsidRPr="001916D0">
              <w:rPr>
                <w:rFonts w:eastAsia="Calibri"/>
                <w:color w:val="000000"/>
                <w:sz w:val="22"/>
                <w:lang w:val="uk-UA"/>
              </w:rPr>
              <w:t>», покращити його роботу для надання послуг, пов’язаних з поточним ремонтом та технічним обслуговуванням ліфтів; поточним ремонтом та технічним обслуговуванням мереж зовнішнього освітлення; поточним ремонтом та технічним обслуговуванням світлофорних об’єктів</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Територія, на яку матиме вплив реалізація проекту</w:t>
            </w:r>
          </w:p>
        </w:tc>
        <w:tc>
          <w:tcPr>
            <w:tcW w:w="7052" w:type="dxa"/>
            <w:gridSpan w:val="7"/>
          </w:tcPr>
          <w:p w:rsidR="00E95FB1" w:rsidRPr="001916D0" w:rsidRDefault="00E95FB1" w:rsidP="001B3967">
            <w:pPr>
              <w:pStyle w:val="a7"/>
              <w:ind w:left="0"/>
              <w:rPr>
                <w:sz w:val="22"/>
                <w:lang w:val="uk-UA"/>
              </w:rPr>
            </w:pPr>
            <w:r w:rsidRPr="001916D0">
              <w:rPr>
                <w:sz w:val="22"/>
                <w:lang w:val="uk-UA"/>
              </w:rPr>
              <w:t>Сєвєродонецька міська територіальна громада</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Чисельність населення, на яке матиме вплив реалізація проекту</w:t>
            </w:r>
          </w:p>
        </w:tc>
        <w:tc>
          <w:tcPr>
            <w:tcW w:w="7052" w:type="dxa"/>
            <w:gridSpan w:val="7"/>
          </w:tcPr>
          <w:p w:rsidR="00E95FB1" w:rsidRPr="001916D0" w:rsidRDefault="00E95FB1" w:rsidP="001B3967">
            <w:pPr>
              <w:pStyle w:val="a7"/>
              <w:ind w:left="0"/>
              <w:rPr>
                <w:sz w:val="22"/>
                <w:lang w:val="uk-UA"/>
              </w:rPr>
            </w:pPr>
            <w:r w:rsidRPr="001916D0">
              <w:rPr>
                <w:sz w:val="22"/>
                <w:lang w:val="uk-UA"/>
              </w:rPr>
              <w:t xml:space="preserve"> 70 000  осіб</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lastRenderedPageBreak/>
              <w:t>Опис проблеми, на вирішення якої  спрямований проект</w:t>
            </w:r>
          </w:p>
        </w:tc>
        <w:tc>
          <w:tcPr>
            <w:tcW w:w="7052" w:type="dxa"/>
            <w:gridSpan w:val="7"/>
          </w:tcPr>
          <w:p w:rsidR="00E95FB1" w:rsidRPr="001916D0" w:rsidRDefault="00E95FB1" w:rsidP="001B3967">
            <w:pPr>
              <w:autoSpaceDE w:val="0"/>
              <w:autoSpaceDN w:val="0"/>
              <w:adjustRightInd w:val="0"/>
              <w:rPr>
                <w:rFonts w:eastAsia="Calibri"/>
                <w:color w:val="000000"/>
                <w:sz w:val="22"/>
                <w:lang w:val="uk-UA"/>
              </w:rPr>
            </w:pPr>
            <w:r w:rsidRPr="001916D0">
              <w:rPr>
                <w:rFonts w:eastAsia="Calibri"/>
                <w:color w:val="000000"/>
                <w:sz w:val="22"/>
                <w:lang w:val="uk-UA"/>
              </w:rPr>
              <w:t>Через напад країни-агресора, РФ, на території Сєвєродонецької міської територіальної громади та</w:t>
            </w:r>
            <w:r w:rsidR="005F1186" w:rsidRPr="001916D0">
              <w:rPr>
                <w:rFonts w:eastAsia="Calibri"/>
                <w:color w:val="000000"/>
                <w:sz w:val="22"/>
                <w:szCs w:val="22"/>
                <w:lang w:val="uk-UA"/>
              </w:rPr>
              <w:t>,</w:t>
            </w:r>
            <w:r w:rsidRPr="001916D0">
              <w:rPr>
                <w:rFonts w:eastAsia="Calibri"/>
                <w:color w:val="000000"/>
                <w:sz w:val="22"/>
                <w:lang w:val="uk-UA"/>
              </w:rPr>
              <w:t xml:space="preserve"> зокрема</w:t>
            </w:r>
            <w:r w:rsidR="005F1186" w:rsidRPr="001916D0">
              <w:rPr>
                <w:rFonts w:eastAsia="Calibri"/>
                <w:color w:val="000000"/>
                <w:sz w:val="22"/>
                <w:szCs w:val="22"/>
                <w:lang w:val="uk-UA"/>
              </w:rPr>
              <w:t>,</w:t>
            </w:r>
            <w:r w:rsidRPr="001916D0">
              <w:rPr>
                <w:rFonts w:eastAsia="Calibri"/>
                <w:color w:val="000000"/>
                <w:sz w:val="22"/>
                <w:lang w:val="uk-UA"/>
              </w:rPr>
              <w:t xml:space="preserve"> на території </w:t>
            </w:r>
            <w:proofErr w:type="spellStart"/>
            <w:r w:rsidRPr="001916D0">
              <w:rPr>
                <w:rFonts w:eastAsia="Calibri"/>
                <w:color w:val="000000"/>
                <w:sz w:val="22"/>
                <w:lang w:val="uk-UA"/>
              </w:rPr>
              <w:t>м.Сєвєродонецьк</w:t>
            </w:r>
            <w:proofErr w:type="spellEnd"/>
            <w:r w:rsidRPr="001916D0">
              <w:rPr>
                <w:rFonts w:eastAsia="Calibri"/>
                <w:color w:val="000000"/>
                <w:sz w:val="22"/>
                <w:lang w:val="uk-UA"/>
              </w:rPr>
              <w:t xml:space="preserve"> розпочалися бойові дії. Через це на територію підприємства було декілька значних прильотів ворожих снарядів, що стало причиною часткового руйнування адміністративної будівлі та боксів, а також повного </w:t>
            </w:r>
            <w:proofErr w:type="spellStart"/>
            <w:r w:rsidRPr="001916D0">
              <w:rPr>
                <w:rFonts w:eastAsia="Calibri"/>
                <w:color w:val="000000"/>
                <w:sz w:val="22"/>
                <w:lang w:val="uk-UA"/>
              </w:rPr>
              <w:t>руйнуванн</w:t>
            </w:r>
            <w:proofErr w:type="spellEnd"/>
            <w:r w:rsidRPr="001916D0">
              <w:rPr>
                <w:rFonts w:eastAsia="Calibri"/>
                <w:color w:val="000000"/>
                <w:sz w:val="22"/>
                <w:lang w:val="uk-UA"/>
              </w:rPr>
              <w:t xml:space="preserve"> навісу (ангару) та інших господарських споруд.</w:t>
            </w:r>
          </w:p>
          <w:p w:rsidR="00E95FB1" w:rsidRPr="001916D0" w:rsidRDefault="00E95FB1" w:rsidP="001B3967">
            <w:pPr>
              <w:pStyle w:val="13"/>
              <w:jc w:val="both"/>
              <w:rPr>
                <w:sz w:val="22"/>
                <w:lang w:val="uk-UA"/>
              </w:rPr>
            </w:pPr>
            <w:r w:rsidRPr="001916D0">
              <w:rPr>
                <w:rFonts w:eastAsia="Calibri"/>
                <w:color w:val="000000"/>
                <w:sz w:val="22"/>
                <w:lang w:val="uk-UA"/>
              </w:rPr>
              <w:t>Для відбудови та сталого розвитку громади потрібне відновлення пошкоджених будівель, споруд, боксів, навісу, опорного пункту КП «</w:t>
            </w:r>
            <w:proofErr w:type="spellStart"/>
            <w:r w:rsidRPr="001916D0">
              <w:rPr>
                <w:rFonts w:eastAsia="Calibri"/>
                <w:color w:val="000000"/>
                <w:sz w:val="22"/>
                <w:lang w:val="uk-UA"/>
              </w:rPr>
              <w:t>Сєвєродонецькліфт</w:t>
            </w:r>
            <w:proofErr w:type="spellEnd"/>
            <w:r w:rsidRPr="001916D0">
              <w:rPr>
                <w:rFonts w:eastAsia="Calibri"/>
                <w:color w:val="000000"/>
                <w:sz w:val="22"/>
                <w:lang w:val="uk-UA"/>
              </w:rPr>
              <w:t>».</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якісні результати від реалізації проекту</w:t>
            </w:r>
          </w:p>
        </w:tc>
        <w:tc>
          <w:tcPr>
            <w:tcW w:w="7052" w:type="dxa"/>
            <w:gridSpan w:val="7"/>
          </w:tcPr>
          <w:p w:rsidR="00E95FB1" w:rsidRPr="001916D0" w:rsidRDefault="00E95FB1" w:rsidP="000303D7">
            <w:pPr>
              <w:numPr>
                <w:ilvl w:val="0"/>
                <w:numId w:val="68"/>
              </w:numPr>
              <w:autoSpaceDE w:val="0"/>
              <w:autoSpaceDN w:val="0"/>
              <w:adjustRightInd w:val="0"/>
              <w:ind w:left="0" w:firstLine="0"/>
              <w:jc w:val="left"/>
              <w:rPr>
                <w:rFonts w:eastAsia="Calibri"/>
                <w:color w:val="000000"/>
                <w:sz w:val="22"/>
                <w:lang w:val="uk-UA"/>
              </w:rPr>
            </w:pPr>
            <w:r w:rsidRPr="001916D0">
              <w:rPr>
                <w:rFonts w:eastAsia="Calibri"/>
                <w:color w:val="000000"/>
                <w:sz w:val="22"/>
                <w:lang w:val="uk-UA"/>
              </w:rPr>
              <w:t>створення безпечних та комфортних умов праці;</w:t>
            </w:r>
          </w:p>
          <w:p w:rsidR="00E95FB1" w:rsidRPr="001916D0" w:rsidRDefault="00E95FB1" w:rsidP="000303D7">
            <w:pPr>
              <w:numPr>
                <w:ilvl w:val="0"/>
                <w:numId w:val="68"/>
              </w:numPr>
              <w:autoSpaceDE w:val="0"/>
              <w:autoSpaceDN w:val="0"/>
              <w:adjustRightInd w:val="0"/>
              <w:ind w:left="0" w:firstLine="0"/>
              <w:jc w:val="left"/>
              <w:rPr>
                <w:rFonts w:eastAsia="Calibri"/>
                <w:color w:val="000000"/>
                <w:sz w:val="22"/>
                <w:lang w:val="uk-UA"/>
              </w:rPr>
            </w:pPr>
            <w:r w:rsidRPr="001916D0">
              <w:rPr>
                <w:rFonts w:eastAsia="Calibri"/>
                <w:color w:val="000000"/>
                <w:sz w:val="22"/>
                <w:lang w:val="uk-UA"/>
              </w:rPr>
              <w:t>забезпечення якісного та швидкого виконання завдань, покладених на підприємство;</w:t>
            </w:r>
          </w:p>
          <w:p w:rsidR="00E95FB1" w:rsidRPr="001916D0" w:rsidRDefault="00E95FB1" w:rsidP="000303D7">
            <w:pPr>
              <w:numPr>
                <w:ilvl w:val="0"/>
                <w:numId w:val="68"/>
              </w:numPr>
              <w:autoSpaceDE w:val="0"/>
              <w:autoSpaceDN w:val="0"/>
              <w:adjustRightInd w:val="0"/>
              <w:ind w:left="0" w:firstLine="0"/>
              <w:jc w:val="left"/>
              <w:rPr>
                <w:rFonts w:eastAsia="Calibri"/>
                <w:color w:val="000000"/>
                <w:sz w:val="22"/>
                <w:lang w:val="uk-UA"/>
              </w:rPr>
            </w:pPr>
            <w:r w:rsidRPr="001916D0">
              <w:rPr>
                <w:rFonts w:eastAsia="Calibri"/>
                <w:color w:val="000000"/>
                <w:sz w:val="22"/>
                <w:lang w:val="uk-UA"/>
              </w:rPr>
              <w:t>створення нових робочих місць;</w:t>
            </w:r>
          </w:p>
          <w:p w:rsidR="00E95FB1" w:rsidRPr="001916D0" w:rsidRDefault="00E95FB1" w:rsidP="000303D7">
            <w:pPr>
              <w:numPr>
                <w:ilvl w:val="0"/>
                <w:numId w:val="68"/>
              </w:numPr>
              <w:autoSpaceDE w:val="0"/>
              <w:autoSpaceDN w:val="0"/>
              <w:adjustRightInd w:val="0"/>
              <w:ind w:left="0" w:firstLine="0"/>
              <w:jc w:val="left"/>
              <w:rPr>
                <w:rFonts w:eastAsia="Calibri"/>
                <w:color w:val="000000"/>
                <w:sz w:val="22"/>
                <w:lang w:val="uk-UA"/>
              </w:rPr>
            </w:pPr>
            <w:r w:rsidRPr="001916D0">
              <w:rPr>
                <w:rFonts w:eastAsia="Calibri"/>
                <w:color w:val="000000"/>
                <w:sz w:val="22"/>
                <w:lang w:val="uk-UA"/>
              </w:rPr>
              <w:t>стимул для повернення ВПО до громади;</w:t>
            </w:r>
          </w:p>
          <w:p w:rsidR="00E95FB1" w:rsidRPr="001916D0" w:rsidRDefault="00E95FB1" w:rsidP="000303D7">
            <w:pPr>
              <w:numPr>
                <w:ilvl w:val="0"/>
                <w:numId w:val="68"/>
              </w:numPr>
              <w:autoSpaceDE w:val="0"/>
              <w:autoSpaceDN w:val="0"/>
              <w:adjustRightInd w:val="0"/>
              <w:ind w:left="0" w:firstLine="0"/>
              <w:jc w:val="left"/>
              <w:rPr>
                <w:rFonts w:eastAsia="Calibri"/>
                <w:color w:val="000000"/>
                <w:sz w:val="22"/>
                <w:lang w:val="uk-UA"/>
              </w:rPr>
            </w:pPr>
            <w:r w:rsidRPr="001916D0">
              <w:rPr>
                <w:rFonts w:eastAsia="Calibri"/>
                <w:color w:val="000000"/>
                <w:sz w:val="22"/>
                <w:lang w:val="uk-UA"/>
              </w:rPr>
              <w:t>надання послуг населенню, зазначених у Статуті підприємства.</w:t>
            </w:r>
          </w:p>
        </w:tc>
      </w:tr>
      <w:tr w:rsidR="00E95FB1" w:rsidRPr="001916D0" w:rsidTr="001B3967">
        <w:trPr>
          <w:trHeight w:val="390"/>
        </w:trPr>
        <w:tc>
          <w:tcPr>
            <w:tcW w:w="2836"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Очікувані кількісні результати реалізації </w:t>
            </w:r>
            <w:proofErr w:type="spellStart"/>
            <w:r w:rsidRPr="001916D0">
              <w:rPr>
                <w:b/>
                <w:sz w:val="22"/>
                <w:lang w:val="uk-UA"/>
              </w:rPr>
              <w:t>проєкту</w:t>
            </w:r>
            <w:proofErr w:type="spellEnd"/>
            <w:r w:rsidRPr="001916D0">
              <w:rPr>
                <w:b/>
                <w:sz w:val="22"/>
                <w:lang w:val="uk-UA"/>
              </w:rPr>
              <w:t xml:space="preserve"> (індикатори)</w:t>
            </w:r>
          </w:p>
          <w:p w:rsidR="00E95FB1" w:rsidRPr="001916D0" w:rsidRDefault="00E95FB1" w:rsidP="001B3967">
            <w:pPr>
              <w:pStyle w:val="a7"/>
              <w:ind w:left="0"/>
              <w:rPr>
                <w:b/>
                <w:sz w:val="22"/>
                <w:lang w:val="uk-UA"/>
              </w:rPr>
            </w:pPr>
          </w:p>
        </w:tc>
        <w:tc>
          <w:tcPr>
            <w:tcW w:w="3402" w:type="dxa"/>
            <w:gridSpan w:val="3"/>
            <w:tcBorders>
              <w:bottom w:val="single" w:sz="4" w:space="0" w:color="auto"/>
              <w:right w:val="single" w:sz="4" w:space="0" w:color="auto"/>
            </w:tcBorders>
          </w:tcPr>
          <w:p w:rsidR="00E95FB1" w:rsidRPr="001916D0" w:rsidRDefault="00E95FB1" w:rsidP="001B3967">
            <w:pPr>
              <w:pStyle w:val="a7"/>
              <w:ind w:left="-108"/>
              <w:jc w:val="center"/>
              <w:rPr>
                <w:b/>
                <w:sz w:val="22"/>
                <w:lang w:val="uk-UA"/>
              </w:rPr>
            </w:pPr>
            <w:r w:rsidRPr="001916D0">
              <w:rPr>
                <w:b/>
                <w:sz w:val="22"/>
                <w:lang w:val="uk-UA"/>
              </w:rPr>
              <w:t>Найменування показника</w:t>
            </w:r>
          </w:p>
        </w:tc>
        <w:tc>
          <w:tcPr>
            <w:tcW w:w="1843" w:type="dxa"/>
            <w:gridSpan w:val="2"/>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Одиниця вимірювання</w:t>
            </w:r>
          </w:p>
          <w:p w:rsidR="00E95FB1" w:rsidRPr="001916D0" w:rsidRDefault="00E95FB1" w:rsidP="001B3967">
            <w:pPr>
              <w:pStyle w:val="a7"/>
              <w:ind w:left="0"/>
              <w:rPr>
                <w:b/>
                <w:sz w:val="22"/>
                <w:lang w:val="uk-UA"/>
              </w:rPr>
            </w:pPr>
          </w:p>
        </w:tc>
        <w:tc>
          <w:tcPr>
            <w:tcW w:w="1807" w:type="dxa"/>
            <w:gridSpan w:val="2"/>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Прогнозне (цільове) значення</w:t>
            </w:r>
          </w:p>
        </w:tc>
      </w:tr>
      <w:tr w:rsidR="00E95FB1" w:rsidRPr="001916D0" w:rsidTr="001B3967">
        <w:trPr>
          <w:trHeight w:val="32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bottom w:val="single" w:sz="4" w:space="0" w:color="auto"/>
              <w:right w:val="single" w:sz="4" w:space="0" w:color="auto"/>
            </w:tcBorders>
          </w:tcPr>
          <w:p w:rsidR="00E95FB1" w:rsidRPr="001916D0" w:rsidRDefault="00E95FB1" w:rsidP="001B3967">
            <w:pPr>
              <w:autoSpaceDE w:val="0"/>
              <w:autoSpaceDN w:val="0"/>
              <w:adjustRightInd w:val="0"/>
              <w:rPr>
                <w:rFonts w:eastAsia="Calibri"/>
                <w:color w:val="000000"/>
                <w:sz w:val="22"/>
                <w:lang w:val="uk-UA"/>
              </w:rPr>
            </w:pPr>
            <w:r w:rsidRPr="001916D0">
              <w:rPr>
                <w:rFonts w:eastAsia="Calibri"/>
                <w:color w:val="000000"/>
                <w:sz w:val="22"/>
                <w:lang w:val="uk-UA"/>
              </w:rPr>
              <w:t xml:space="preserve">Площа </w:t>
            </w:r>
            <w:proofErr w:type="spellStart"/>
            <w:r w:rsidRPr="001916D0">
              <w:rPr>
                <w:rFonts w:eastAsia="Calibri"/>
                <w:color w:val="000000"/>
                <w:sz w:val="22"/>
                <w:lang w:val="uk-UA"/>
              </w:rPr>
              <w:t>внутрішнбого</w:t>
            </w:r>
            <w:proofErr w:type="spellEnd"/>
            <w:r w:rsidRPr="001916D0">
              <w:rPr>
                <w:rFonts w:eastAsia="Calibri"/>
                <w:color w:val="000000"/>
                <w:sz w:val="22"/>
                <w:lang w:val="uk-UA"/>
              </w:rPr>
              <w:t xml:space="preserve"> ремонту приміщень</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vertAlign w:val="superscript"/>
                <w:lang w:val="uk-UA"/>
              </w:rPr>
            </w:pPr>
            <w:r w:rsidRPr="001916D0">
              <w:rPr>
                <w:rFonts w:eastAsia="Calibri"/>
                <w:color w:val="000000"/>
                <w:sz w:val="22"/>
                <w:lang w:val="uk-UA"/>
              </w:rPr>
              <w:t>м</w:t>
            </w:r>
            <w:r w:rsidRPr="001916D0">
              <w:rPr>
                <w:rFonts w:eastAsia="Calibri"/>
                <w:color w:val="000000"/>
                <w:sz w:val="22"/>
                <w:vertAlign w:val="superscript"/>
                <w:lang w:val="uk-UA"/>
              </w:rPr>
              <w:t>2</w:t>
            </w:r>
          </w:p>
        </w:tc>
        <w:tc>
          <w:tcPr>
            <w:tcW w:w="1807" w:type="dxa"/>
            <w:gridSpan w:val="2"/>
            <w:tcBorders>
              <w:top w:val="single" w:sz="4" w:space="0" w:color="auto"/>
              <w:left w:val="single" w:sz="4" w:space="0" w:color="auto"/>
              <w:bottom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793,4</w:t>
            </w:r>
          </w:p>
        </w:tc>
      </w:tr>
      <w:tr w:rsidR="00E95FB1" w:rsidRPr="001916D0" w:rsidTr="001B3967">
        <w:trPr>
          <w:trHeight w:val="184"/>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bottom w:val="single" w:sz="4" w:space="0" w:color="auto"/>
              <w:right w:val="single" w:sz="4" w:space="0" w:color="auto"/>
            </w:tcBorders>
          </w:tcPr>
          <w:p w:rsidR="00E95FB1" w:rsidRPr="001916D0" w:rsidRDefault="00E95FB1" w:rsidP="001B3967">
            <w:pPr>
              <w:autoSpaceDE w:val="0"/>
              <w:autoSpaceDN w:val="0"/>
              <w:adjustRightInd w:val="0"/>
              <w:rPr>
                <w:rFonts w:eastAsia="Calibri"/>
                <w:color w:val="000000"/>
                <w:sz w:val="22"/>
                <w:lang w:val="uk-UA"/>
              </w:rPr>
            </w:pPr>
            <w:r w:rsidRPr="001916D0">
              <w:rPr>
                <w:rFonts w:eastAsia="Calibri"/>
                <w:color w:val="000000"/>
                <w:sz w:val="22"/>
                <w:lang w:val="uk-UA"/>
              </w:rPr>
              <w:t>Площа покрівельних робіт</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vertAlign w:val="superscript"/>
                <w:lang w:val="uk-UA"/>
              </w:rPr>
            </w:pPr>
            <w:r w:rsidRPr="001916D0">
              <w:rPr>
                <w:rFonts w:eastAsia="Calibri"/>
                <w:color w:val="000000"/>
                <w:sz w:val="22"/>
                <w:lang w:val="uk-UA"/>
              </w:rPr>
              <w:t>м</w:t>
            </w:r>
            <w:r w:rsidRPr="001916D0">
              <w:rPr>
                <w:rFonts w:eastAsia="Calibri"/>
                <w:color w:val="000000"/>
                <w:sz w:val="22"/>
                <w:vertAlign w:val="superscript"/>
                <w:lang w:val="uk-UA"/>
              </w:rPr>
              <w:t>2</w:t>
            </w:r>
          </w:p>
        </w:tc>
        <w:tc>
          <w:tcPr>
            <w:tcW w:w="1807" w:type="dxa"/>
            <w:gridSpan w:val="2"/>
            <w:tcBorders>
              <w:top w:val="single" w:sz="4" w:space="0" w:color="auto"/>
              <w:left w:val="single" w:sz="4" w:space="0" w:color="auto"/>
              <w:bottom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455,0</w:t>
            </w:r>
          </w:p>
        </w:tc>
      </w:tr>
      <w:tr w:rsidR="00E95FB1" w:rsidRPr="001916D0" w:rsidTr="001B3967">
        <w:trPr>
          <w:trHeight w:val="165"/>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bottom w:val="single" w:sz="4" w:space="0" w:color="auto"/>
              <w:right w:val="single" w:sz="4" w:space="0" w:color="auto"/>
            </w:tcBorders>
          </w:tcPr>
          <w:p w:rsidR="00E95FB1" w:rsidRPr="001916D0" w:rsidRDefault="00E95FB1" w:rsidP="001B3967">
            <w:pPr>
              <w:autoSpaceDE w:val="0"/>
              <w:autoSpaceDN w:val="0"/>
              <w:adjustRightInd w:val="0"/>
              <w:rPr>
                <w:rFonts w:eastAsia="Calibri"/>
                <w:color w:val="000000"/>
                <w:sz w:val="22"/>
                <w:lang w:val="uk-UA"/>
              </w:rPr>
            </w:pPr>
            <w:r w:rsidRPr="001916D0">
              <w:rPr>
                <w:rFonts w:eastAsia="Calibri"/>
                <w:color w:val="000000"/>
                <w:sz w:val="22"/>
                <w:lang w:val="uk-UA"/>
              </w:rPr>
              <w:t>Площа фасадних робіт</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м</w:t>
            </w:r>
            <w:r w:rsidRPr="001916D0">
              <w:rPr>
                <w:rFonts w:eastAsia="Calibri"/>
                <w:color w:val="000000"/>
                <w:sz w:val="22"/>
                <w:vertAlign w:val="superscript"/>
                <w:lang w:val="uk-UA"/>
              </w:rPr>
              <w:t>2</w:t>
            </w:r>
          </w:p>
        </w:tc>
        <w:tc>
          <w:tcPr>
            <w:tcW w:w="1807" w:type="dxa"/>
            <w:gridSpan w:val="2"/>
            <w:tcBorders>
              <w:top w:val="single" w:sz="4" w:space="0" w:color="auto"/>
              <w:left w:val="single" w:sz="4" w:space="0" w:color="auto"/>
              <w:bottom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621,0</w:t>
            </w:r>
          </w:p>
        </w:tc>
      </w:tr>
      <w:tr w:rsidR="00E95FB1" w:rsidRPr="001916D0" w:rsidTr="001B3967">
        <w:trPr>
          <w:trHeight w:val="15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right w:val="single" w:sz="4" w:space="0" w:color="auto"/>
            </w:tcBorders>
          </w:tcPr>
          <w:p w:rsidR="00E95FB1" w:rsidRPr="001916D0" w:rsidRDefault="00E95FB1" w:rsidP="001B3967">
            <w:pPr>
              <w:autoSpaceDE w:val="0"/>
              <w:autoSpaceDN w:val="0"/>
              <w:adjustRightInd w:val="0"/>
              <w:rPr>
                <w:rFonts w:eastAsia="Calibri"/>
                <w:color w:val="000000"/>
                <w:sz w:val="22"/>
                <w:lang w:val="uk-UA"/>
              </w:rPr>
            </w:pPr>
            <w:r w:rsidRPr="001916D0">
              <w:rPr>
                <w:rFonts w:eastAsia="Calibri"/>
                <w:color w:val="000000"/>
                <w:sz w:val="22"/>
                <w:lang w:val="uk-UA"/>
              </w:rPr>
              <w:t>Площа встановлених вікон</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vertAlign w:val="superscript"/>
                <w:lang w:val="uk-UA"/>
              </w:rPr>
            </w:pPr>
            <w:r w:rsidRPr="001916D0">
              <w:rPr>
                <w:rFonts w:eastAsia="Calibri"/>
                <w:color w:val="000000"/>
                <w:sz w:val="22"/>
                <w:lang w:val="uk-UA"/>
              </w:rPr>
              <w:t>м</w:t>
            </w:r>
            <w:r w:rsidRPr="001916D0">
              <w:rPr>
                <w:rFonts w:eastAsia="Calibri"/>
                <w:color w:val="000000"/>
                <w:sz w:val="22"/>
                <w:vertAlign w:val="superscript"/>
                <w:lang w:val="uk-UA"/>
              </w:rPr>
              <w:t>2</w:t>
            </w:r>
          </w:p>
        </w:tc>
        <w:tc>
          <w:tcPr>
            <w:tcW w:w="1807" w:type="dxa"/>
            <w:gridSpan w:val="2"/>
            <w:tcBorders>
              <w:top w:val="single" w:sz="4" w:space="0" w:color="auto"/>
              <w:lef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132,0</w:t>
            </w:r>
          </w:p>
        </w:tc>
      </w:tr>
      <w:tr w:rsidR="00E95FB1" w:rsidRPr="001916D0" w:rsidTr="001B3967">
        <w:trPr>
          <w:trHeight w:val="15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right w:val="single" w:sz="4" w:space="0" w:color="auto"/>
            </w:tcBorders>
          </w:tcPr>
          <w:p w:rsidR="00E95FB1" w:rsidRPr="001916D0" w:rsidRDefault="00E95FB1" w:rsidP="001B3967">
            <w:pPr>
              <w:autoSpaceDE w:val="0"/>
              <w:autoSpaceDN w:val="0"/>
              <w:adjustRightInd w:val="0"/>
              <w:rPr>
                <w:rFonts w:eastAsia="Calibri"/>
                <w:color w:val="000000"/>
                <w:sz w:val="22"/>
                <w:lang w:val="uk-UA"/>
              </w:rPr>
            </w:pPr>
            <w:r w:rsidRPr="001916D0">
              <w:rPr>
                <w:rFonts w:eastAsia="Calibri"/>
                <w:color w:val="000000"/>
                <w:sz w:val="22"/>
                <w:lang w:val="uk-UA"/>
              </w:rPr>
              <w:t xml:space="preserve">Двері </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одиниць</w:t>
            </w:r>
          </w:p>
        </w:tc>
        <w:tc>
          <w:tcPr>
            <w:tcW w:w="1807" w:type="dxa"/>
            <w:gridSpan w:val="2"/>
            <w:tcBorders>
              <w:top w:val="single" w:sz="4" w:space="0" w:color="auto"/>
              <w:lef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33</w:t>
            </w:r>
          </w:p>
        </w:tc>
      </w:tr>
      <w:tr w:rsidR="00E95FB1" w:rsidRPr="001916D0" w:rsidTr="001B3967">
        <w:trPr>
          <w:trHeight w:val="15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right w:val="single" w:sz="4" w:space="0" w:color="auto"/>
            </w:tcBorders>
          </w:tcPr>
          <w:p w:rsidR="00E95FB1" w:rsidRPr="001916D0" w:rsidRDefault="00E95FB1" w:rsidP="001B3967">
            <w:pPr>
              <w:autoSpaceDE w:val="0"/>
              <w:autoSpaceDN w:val="0"/>
              <w:adjustRightInd w:val="0"/>
              <w:rPr>
                <w:rFonts w:eastAsia="Calibri"/>
                <w:color w:val="000000"/>
                <w:sz w:val="22"/>
                <w:lang w:val="uk-UA"/>
              </w:rPr>
            </w:pPr>
            <w:r w:rsidRPr="001916D0">
              <w:rPr>
                <w:rFonts w:eastAsia="Calibri"/>
                <w:color w:val="000000"/>
                <w:sz w:val="22"/>
                <w:lang w:val="uk-UA"/>
              </w:rPr>
              <w:t xml:space="preserve">Сонячна станція </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одиниць</w:t>
            </w:r>
          </w:p>
        </w:tc>
        <w:tc>
          <w:tcPr>
            <w:tcW w:w="1807" w:type="dxa"/>
            <w:gridSpan w:val="2"/>
            <w:tcBorders>
              <w:top w:val="single" w:sz="4" w:space="0" w:color="auto"/>
              <w:lef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1</w:t>
            </w:r>
          </w:p>
        </w:tc>
      </w:tr>
      <w:tr w:rsidR="00E95FB1" w:rsidRPr="001916D0" w:rsidTr="001B3967">
        <w:trPr>
          <w:trHeight w:val="15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right w:val="single" w:sz="4" w:space="0" w:color="auto"/>
            </w:tcBorders>
          </w:tcPr>
          <w:p w:rsidR="00E95FB1" w:rsidRPr="001916D0" w:rsidRDefault="00E95FB1" w:rsidP="001B3967">
            <w:pPr>
              <w:autoSpaceDE w:val="0"/>
              <w:autoSpaceDN w:val="0"/>
              <w:adjustRightInd w:val="0"/>
              <w:rPr>
                <w:rFonts w:eastAsia="Calibri"/>
                <w:color w:val="000000"/>
                <w:sz w:val="22"/>
                <w:lang w:val="uk-UA"/>
              </w:rPr>
            </w:pPr>
            <w:r w:rsidRPr="001916D0">
              <w:rPr>
                <w:rFonts w:eastAsia="Calibri"/>
                <w:color w:val="000000"/>
                <w:sz w:val="22"/>
                <w:lang w:val="uk-UA"/>
              </w:rPr>
              <w:t>Твердопаливний котел</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одиниць</w:t>
            </w:r>
          </w:p>
        </w:tc>
        <w:tc>
          <w:tcPr>
            <w:tcW w:w="1807" w:type="dxa"/>
            <w:gridSpan w:val="2"/>
            <w:tcBorders>
              <w:top w:val="single" w:sz="4" w:space="0" w:color="auto"/>
              <w:lef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1</w:t>
            </w:r>
          </w:p>
        </w:tc>
      </w:tr>
      <w:tr w:rsidR="00E95FB1" w:rsidRPr="001916D0" w:rsidTr="001B3967">
        <w:trPr>
          <w:trHeight w:val="15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right w:val="single" w:sz="4" w:space="0" w:color="auto"/>
            </w:tcBorders>
          </w:tcPr>
          <w:p w:rsidR="00E95FB1" w:rsidRPr="001916D0" w:rsidRDefault="00E95FB1" w:rsidP="001B3967">
            <w:pPr>
              <w:autoSpaceDE w:val="0"/>
              <w:autoSpaceDN w:val="0"/>
              <w:adjustRightInd w:val="0"/>
              <w:rPr>
                <w:rFonts w:eastAsia="Calibri"/>
                <w:color w:val="000000"/>
                <w:sz w:val="22"/>
                <w:lang w:val="uk-UA"/>
              </w:rPr>
            </w:pPr>
            <w:r w:rsidRPr="001916D0">
              <w:rPr>
                <w:rFonts w:eastAsia="Calibri"/>
                <w:color w:val="000000"/>
                <w:sz w:val="22"/>
                <w:lang w:val="uk-UA"/>
              </w:rPr>
              <w:t>Глибина свердловини</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м</w:t>
            </w:r>
          </w:p>
        </w:tc>
        <w:tc>
          <w:tcPr>
            <w:tcW w:w="1807" w:type="dxa"/>
            <w:gridSpan w:val="2"/>
            <w:tcBorders>
              <w:top w:val="single" w:sz="4" w:space="0" w:color="auto"/>
              <w:lef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30</w:t>
            </w:r>
          </w:p>
        </w:tc>
      </w:tr>
      <w:tr w:rsidR="00E95FB1" w:rsidRPr="001916D0" w:rsidTr="001B3967">
        <w:trPr>
          <w:trHeight w:val="15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right w:val="single" w:sz="4" w:space="0" w:color="auto"/>
            </w:tcBorders>
          </w:tcPr>
          <w:p w:rsidR="00E95FB1" w:rsidRPr="001916D0" w:rsidRDefault="00E95FB1" w:rsidP="001B3967">
            <w:pPr>
              <w:autoSpaceDE w:val="0"/>
              <w:autoSpaceDN w:val="0"/>
              <w:adjustRightInd w:val="0"/>
              <w:rPr>
                <w:rFonts w:eastAsia="Calibri"/>
                <w:color w:val="000000"/>
                <w:sz w:val="22"/>
                <w:lang w:val="uk-UA"/>
              </w:rPr>
            </w:pPr>
            <w:r w:rsidRPr="001916D0">
              <w:rPr>
                <w:rFonts w:eastAsia="Calibri"/>
                <w:color w:val="000000"/>
                <w:sz w:val="22"/>
                <w:lang w:val="uk-UA"/>
              </w:rPr>
              <w:t>Система відеоспостереження</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одиниць</w:t>
            </w:r>
          </w:p>
        </w:tc>
        <w:tc>
          <w:tcPr>
            <w:tcW w:w="1807" w:type="dxa"/>
            <w:gridSpan w:val="2"/>
            <w:tcBorders>
              <w:top w:val="single" w:sz="4" w:space="0" w:color="auto"/>
              <w:lef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1</w:t>
            </w:r>
          </w:p>
        </w:tc>
      </w:tr>
      <w:tr w:rsidR="00E95FB1" w:rsidRPr="001916D0" w:rsidTr="001B3967">
        <w:trPr>
          <w:trHeight w:val="15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right w:val="single" w:sz="4" w:space="0" w:color="auto"/>
            </w:tcBorders>
          </w:tcPr>
          <w:p w:rsidR="00E95FB1" w:rsidRPr="001916D0" w:rsidRDefault="00E95FB1" w:rsidP="001B3967">
            <w:pPr>
              <w:autoSpaceDE w:val="0"/>
              <w:autoSpaceDN w:val="0"/>
              <w:adjustRightInd w:val="0"/>
              <w:rPr>
                <w:rFonts w:eastAsia="Calibri"/>
                <w:color w:val="000000"/>
                <w:sz w:val="22"/>
                <w:lang w:val="uk-UA"/>
              </w:rPr>
            </w:pPr>
            <w:r w:rsidRPr="001916D0">
              <w:rPr>
                <w:rFonts w:eastAsia="Calibri"/>
                <w:color w:val="000000"/>
                <w:sz w:val="22"/>
                <w:lang w:val="uk-UA"/>
              </w:rPr>
              <w:t>Система сигналізації</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одиниць</w:t>
            </w:r>
          </w:p>
        </w:tc>
        <w:tc>
          <w:tcPr>
            <w:tcW w:w="1807" w:type="dxa"/>
            <w:gridSpan w:val="2"/>
            <w:tcBorders>
              <w:top w:val="single" w:sz="4" w:space="0" w:color="auto"/>
              <w:lef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1</w:t>
            </w:r>
          </w:p>
        </w:tc>
      </w:tr>
      <w:tr w:rsidR="00E95FB1" w:rsidRPr="001916D0" w:rsidTr="001B3967">
        <w:trPr>
          <w:trHeight w:val="15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right w:val="single" w:sz="4" w:space="0" w:color="auto"/>
            </w:tcBorders>
          </w:tcPr>
          <w:p w:rsidR="00E95FB1" w:rsidRPr="001916D0" w:rsidRDefault="00E95FB1" w:rsidP="001B3967">
            <w:pPr>
              <w:autoSpaceDE w:val="0"/>
              <w:autoSpaceDN w:val="0"/>
              <w:adjustRightInd w:val="0"/>
              <w:rPr>
                <w:rFonts w:eastAsia="Calibri"/>
                <w:color w:val="000000"/>
                <w:sz w:val="22"/>
                <w:lang w:val="uk-UA"/>
              </w:rPr>
            </w:pPr>
            <w:r w:rsidRPr="001916D0">
              <w:rPr>
                <w:rFonts w:eastAsia="Calibri"/>
                <w:color w:val="000000"/>
                <w:sz w:val="22"/>
                <w:lang w:val="uk-UA"/>
              </w:rPr>
              <w:t>Площа паркану</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vertAlign w:val="superscript"/>
                <w:lang w:val="uk-UA"/>
              </w:rPr>
            </w:pPr>
            <w:r w:rsidRPr="001916D0">
              <w:rPr>
                <w:rFonts w:eastAsia="Calibri"/>
                <w:color w:val="000000"/>
                <w:sz w:val="22"/>
                <w:lang w:val="uk-UA"/>
              </w:rPr>
              <w:t>м</w:t>
            </w:r>
            <w:r w:rsidRPr="001916D0">
              <w:rPr>
                <w:rFonts w:eastAsia="Calibri"/>
                <w:color w:val="000000"/>
                <w:sz w:val="22"/>
                <w:vertAlign w:val="superscript"/>
                <w:lang w:val="uk-UA"/>
              </w:rPr>
              <w:t>2</w:t>
            </w:r>
          </w:p>
        </w:tc>
        <w:tc>
          <w:tcPr>
            <w:tcW w:w="1807" w:type="dxa"/>
            <w:gridSpan w:val="2"/>
            <w:tcBorders>
              <w:top w:val="single" w:sz="4" w:space="0" w:color="auto"/>
              <w:lef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40</w:t>
            </w:r>
          </w:p>
        </w:tc>
      </w:tr>
      <w:tr w:rsidR="00E95FB1" w:rsidRPr="001916D0" w:rsidTr="001B3967">
        <w:trPr>
          <w:trHeight w:val="15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right w:val="single" w:sz="4" w:space="0" w:color="auto"/>
            </w:tcBorders>
          </w:tcPr>
          <w:p w:rsidR="00E95FB1" w:rsidRPr="001916D0" w:rsidRDefault="00E95FB1" w:rsidP="001B3967">
            <w:pPr>
              <w:autoSpaceDE w:val="0"/>
              <w:autoSpaceDN w:val="0"/>
              <w:adjustRightInd w:val="0"/>
              <w:rPr>
                <w:rFonts w:eastAsia="Calibri"/>
                <w:color w:val="000000"/>
                <w:sz w:val="22"/>
                <w:lang w:val="uk-UA"/>
              </w:rPr>
            </w:pPr>
            <w:r w:rsidRPr="001916D0">
              <w:rPr>
                <w:rFonts w:eastAsia="Calibri"/>
                <w:color w:val="000000"/>
                <w:sz w:val="22"/>
                <w:lang w:val="uk-UA"/>
              </w:rPr>
              <w:t>Автоматичні ворота</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одиниць</w:t>
            </w:r>
          </w:p>
        </w:tc>
        <w:tc>
          <w:tcPr>
            <w:tcW w:w="1807" w:type="dxa"/>
            <w:gridSpan w:val="2"/>
            <w:tcBorders>
              <w:top w:val="single" w:sz="4" w:space="0" w:color="auto"/>
              <w:lef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1</w:t>
            </w:r>
          </w:p>
        </w:tc>
      </w:tr>
      <w:tr w:rsidR="00E95FB1" w:rsidRPr="001916D0" w:rsidTr="001B3967">
        <w:trPr>
          <w:trHeight w:val="15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right w:val="single" w:sz="4" w:space="0" w:color="auto"/>
            </w:tcBorders>
          </w:tcPr>
          <w:p w:rsidR="00E95FB1" w:rsidRPr="001916D0" w:rsidRDefault="00E95FB1" w:rsidP="001B3967">
            <w:pPr>
              <w:autoSpaceDE w:val="0"/>
              <w:autoSpaceDN w:val="0"/>
              <w:adjustRightInd w:val="0"/>
              <w:rPr>
                <w:rFonts w:eastAsia="Calibri"/>
                <w:color w:val="000000"/>
                <w:sz w:val="22"/>
                <w:lang w:val="uk-UA"/>
              </w:rPr>
            </w:pPr>
            <w:proofErr w:type="spellStart"/>
            <w:r w:rsidRPr="001916D0">
              <w:rPr>
                <w:rFonts w:eastAsia="Calibri"/>
                <w:color w:val="000000"/>
                <w:sz w:val="22"/>
                <w:lang w:val="uk-UA"/>
              </w:rPr>
              <w:t>Розпашні</w:t>
            </w:r>
            <w:proofErr w:type="spellEnd"/>
            <w:r w:rsidRPr="001916D0">
              <w:rPr>
                <w:rFonts w:eastAsia="Calibri"/>
                <w:color w:val="000000"/>
                <w:sz w:val="22"/>
                <w:lang w:val="uk-UA"/>
              </w:rPr>
              <w:t xml:space="preserve"> ворота</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одиниць</w:t>
            </w:r>
          </w:p>
        </w:tc>
        <w:tc>
          <w:tcPr>
            <w:tcW w:w="1807" w:type="dxa"/>
            <w:gridSpan w:val="2"/>
            <w:tcBorders>
              <w:top w:val="single" w:sz="4" w:space="0" w:color="auto"/>
              <w:lef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3</w:t>
            </w:r>
          </w:p>
        </w:tc>
      </w:tr>
      <w:tr w:rsidR="00E95FB1" w:rsidRPr="001916D0" w:rsidTr="001B3967">
        <w:trPr>
          <w:trHeight w:val="15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right w:val="single" w:sz="4" w:space="0" w:color="auto"/>
            </w:tcBorders>
          </w:tcPr>
          <w:p w:rsidR="00E95FB1" w:rsidRPr="001916D0" w:rsidRDefault="00E95FB1" w:rsidP="001B3967">
            <w:pPr>
              <w:autoSpaceDE w:val="0"/>
              <w:autoSpaceDN w:val="0"/>
              <w:adjustRightInd w:val="0"/>
              <w:rPr>
                <w:rFonts w:eastAsia="Calibri"/>
                <w:color w:val="000000"/>
                <w:sz w:val="22"/>
                <w:lang w:val="uk-UA"/>
              </w:rPr>
            </w:pPr>
            <w:r w:rsidRPr="001916D0">
              <w:rPr>
                <w:rFonts w:eastAsia="Calibri"/>
                <w:color w:val="000000"/>
                <w:sz w:val="22"/>
                <w:lang w:val="uk-UA"/>
              </w:rPr>
              <w:t>Площа асфальтного покриття</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vertAlign w:val="superscript"/>
                <w:lang w:val="uk-UA"/>
              </w:rPr>
            </w:pPr>
            <w:r w:rsidRPr="001916D0">
              <w:rPr>
                <w:rFonts w:eastAsia="Calibri"/>
                <w:color w:val="000000"/>
                <w:sz w:val="22"/>
                <w:lang w:val="uk-UA"/>
              </w:rPr>
              <w:t>м</w:t>
            </w:r>
            <w:r w:rsidRPr="001916D0">
              <w:rPr>
                <w:rFonts w:eastAsia="Calibri"/>
                <w:color w:val="000000"/>
                <w:sz w:val="22"/>
                <w:vertAlign w:val="superscript"/>
                <w:lang w:val="uk-UA"/>
              </w:rPr>
              <w:t>2</w:t>
            </w:r>
          </w:p>
        </w:tc>
        <w:tc>
          <w:tcPr>
            <w:tcW w:w="1807" w:type="dxa"/>
            <w:gridSpan w:val="2"/>
            <w:tcBorders>
              <w:top w:val="single" w:sz="4" w:space="0" w:color="auto"/>
              <w:lef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900</w:t>
            </w:r>
          </w:p>
        </w:tc>
      </w:tr>
      <w:tr w:rsidR="00E95FB1" w:rsidRPr="001916D0" w:rsidTr="001B3967">
        <w:trPr>
          <w:trHeight w:val="15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right w:val="single" w:sz="4" w:space="0" w:color="auto"/>
            </w:tcBorders>
          </w:tcPr>
          <w:p w:rsidR="00E95FB1" w:rsidRPr="001916D0" w:rsidRDefault="00E95FB1" w:rsidP="001B3967">
            <w:pPr>
              <w:autoSpaceDE w:val="0"/>
              <w:autoSpaceDN w:val="0"/>
              <w:adjustRightInd w:val="0"/>
              <w:rPr>
                <w:rFonts w:eastAsia="Calibri"/>
                <w:color w:val="000000"/>
                <w:sz w:val="22"/>
                <w:lang w:val="uk-UA"/>
              </w:rPr>
            </w:pPr>
            <w:r w:rsidRPr="001916D0">
              <w:rPr>
                <w:rFonts w:eastAsia="Calibri"/>
                <w:color w:val="000000"/>
                <w:sz w:val="22"/>
                <w:lang w:val="uk-UA"/>
              </w:rPr>
              <w:t>Площа навісу</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vertAlign w:val="superscript"/>
                <w:lang w:val="uk-UA"/>
              </w:rPr>
            </w:pPr>
            <w:r w:rsidRPr="001916D0">
              <w:rPr>
                <w:rFonts w:eastAsia="Calibri"/>
                <w:color w:val="000000"/>
                <w:sz w:val="22"/>
                <w:lang w:val="uk-UA"/>
              </w:rPr>
              <w:t>м</w:t>
            </w:r>
            <w:r w:rsidRPr="001916D0">
              <w:rPr>
                <w:rFonts w:eastAsia="Calibri"/>
                <w:color w:val="000000"/>
                <w:sz w:val="22"/>
                <w:vertAlign w:val="superscript"/>
                <w:lang w:val="uk-UA"/>
              </w:rPr>
              <w:t>2</w:t>
            </w:r>
          </w:p>
        </w:tc>
        <w:tc>
          <w:tcPr>
            <w:tcW w:w="1807" w:type="dxa"/>
            <w:gridSpan w:val="2"/>
            <w:tcBorders>
              <w:top w:val="single" w:sz="4" w:space="0" w:color="auto"/>
              <w:lef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45</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 xml:space="preserve">Ключові заходи проекту: </w:t>
            </w:r>
          </w:p>
          <w:p w:rsidR="00E95FB1" w:rsidRPr="001916D0" w:rsidRDefault="00E95FB1" w:rsidP="001B3967">
            <w:pPr>
              <w:pStyle w:val="a7"/>
              <w:ind w:left="0"/>
              <w:rPr>
                <w:b/>
                <w:sz w:val="22"/>
                <w:lang w:val="uk-UA"/>
              </w:rPr>
            </w:pPr>
          </w:p>
        </w:tc>
        <w:tc>
          <w:tcPr>
            <w:tcW w:w="7052" w:type="dxa"/>
            <w:gridSpan w:val="7"/>
          </w:tcPr>
          <w:p w:rsidR="00E95FB1" w:rsidRPr="001916D0" w:rsidRDefault="00E95FB1" w:rsidP="001B3967">
            <w:pPr>
              <w:pStyle w:val="a7"/>
              <w:ind w:left="0"/>
              <w:rPr>
                <w:sz w:val="22"/>
                <w:lang w:val="uk-UA"/>
              </w:rPr>
            </w:pPr>
            <w:r w:rsidRPr="001916D0">
              <w:rPr>
                <w:sz w:val="22"/>
                <w:lang w:val="uk-UA"/>
              </w:rPr>
              <w:t>-</w:t>
            </w:r>
            <w:r w:rsidRPr="001916D0">
              <w:rPr>
                <w:sz w:val="22"/>
                <w:lang w:val="uk-UA"/>
              </w:rPr>
              <w:tab/>
              <w:t>огляд стану комплексу будівель та опорного пункту;</w:t>
            </w:r>
          </w:p>
          <w:p w:rsidR="00E95FB1" w:rsidRPr="001916D0" w:rsidRDefault="00E95FB1" w:rsidP="001B3967">
            <w:pPr>
              <w:pStyle w:val="a7"/>
              <w:ind w:left="0"/>
              <w:rPr>
                <w:sz w:val="22"/>
                <w:lang w:val="uk-UA"/>
              </w:rPr>
            </w:pPr>
            <w:r w:rsidRPr="001916D0">
              <w:rPr>
                <w:sz w:val="22"/>
                <w:lang w:val="uk-UA"/>
              </w:rPr>
              <w:t>-</w:t>
            </w:r>
            <w:r w:rsidRPr="001916D0">
              <w:rPr>
                <w:sz w:val="22"/>
                <w:lang w:val="uk-UA"/>
              </w:rPr>
              <w:tab/>
              <w:t>проведення інвентаризації документації, основних засобів та матеріальних цінностей;</w:t>
            </w:r>
          </w:p>
          <w:p w:rsidR="00E95FB1" w:rsidRPr="001916D0" w:rsidRDefault="00E95FB1" w:rsidP="001B3967">
            <w:pPr>
              <w:pStyle w:val="a7"/>
              <w:ind w:left="0"/>
              <w:rPr>
                <w:sz w:val="22"/>
                <w:lang w:val="uk-UA"/>
              </w:rPr>
            </w:pPr>
            <w:r w:rsidRPr="001916D0">
              <w:rPr>
                <w:sz w:val="22"/>
                <w:lang w:val="uk-UA"/>
              </w:rPr>
              <w:t>-</w:t>
            </w:r>
            <w:r w:rsidRPr="001916D0">
              <w:rPr>
                <w:sz w:val="22"/>
                <w:lang w:val="uk-UA"/>
              </w:rPr>
              <w:tab/>
              <w:t>аналіз стану комплексу будівель та опорного пункту;</w:t>
            </w:r>
          </w:p>
          <w:p w:rsidR="00E95FB1" w:rsidRPr="001916D0" w:rsidRDefault="00E95FB1" w:rsidP="001B3967">
            <w:pPr>
              <w:pStyle w:val="a7"/>
              <w:ind w:left="0"/>
              <w:rPr>
                <w:sz w:val="22"/>
                <w:lang w:val="uk-UA"/>
              </w:rPr>
            </w:pPr>
            <w:r w:rsidRPr="001916D0">
              <w:rPr>
                <w:sz w:val="22"/>
                <w:lang w:val="uk-UA"/>
              </w:rPr>
              <w:t>-</w:t>
            </w:r>
            <w:r w:rsidRPr="001916D0">
              <w:rPr>
                <w:sz w:val="22"/>
                <w:lang w:val="uk-UA"/>
              </w:rPr>
              <w:tab/>
              <w:t>складання кошторисів для проведення капітальних робіт;</w:t>
            </w:r>
          </w:p>
          <w:p w:rsidR="00E95FB1" w:rsidRPr="001916D0" w:rsidRDefault="00E95FB1" w:rsidP="001B3967">
            <w:pPr>
              <w:pStyle w:val="a7"/>
              <w:ind w:left="0"/>
              <w:rPr>
                <w:sz w:val="22"/>
                <w:lang w:val="uk-UA"/>
              </w:rPr>
            </w:pPr>
            <w:r w:rsidRPr="001916D0">
              <w:rPr>
                <w:sz w:val="22"/>
                <w:lang w:val="uk-UA"/>
              </w:rPr>
              <w:t>-</w:t>
            </w:r>
            <w:r w:rsidRPr="001916D0">
              <w:rPr>
                <w:sz w:val="22"/>
                <w:lang w:val="uk-UA"/>
              </w:rPr>
              <w:tab/>
              <w:t>закупівля техніки, палива, інструменту, матеріалів, запчастин, спецодягу, оргтехніки, меблів, канцтоварів, обладнання;</w:t>
            </w:r>
          </w:p>
          <w:p w:rsidR="00E95FB1" w:rsidRPr="001916D0" w:rsidRDefault="00E95FB1" w:rsidP="001B3967">
            <w:pPr>
              <w:pStyle w:val="a7"/>
              <w:ind w:left="0"/>
              <w:rPr>
                <w:sz w:val="22"/>
                <w:lang w:val="uk-UA"/>
              </w:rPr>
            </w:pPr>
            <w:r w:rsidRPr="001916D0">
              <w:rPr>
                <w:sz w:val="22"/>
                <w:lang w:val="uk-UA"/>
              </w:rPr>
              <w:t>-</w:t>
            </w:r>
            <w:r w:rsidRPr="001916D0">
              <w:rPr>
                <w:sz w:val="22"/>
                <w:lang w:val="uk-UA"/>
              </w:rPr>
              <w:tab/>
              <w:t>організація та початок робочого процесу.</w:t>
            </w:r>
          </w:p>
        </w:tc>
      </w:tr>
      <w:tr w:rsidR="00E95FB1" w:rsidRPr="001916D0" w:rsidTr="001B3967">
        <w:trPr>
          <w:trHeight w:val="360"/>
        </w:trPr>
        <w:tc>
          <w:tcPr>
            <w:tcW w:w="2836"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Орієнтовний обсяг та джерела фінансування, тис. грн. </w:t>
            </w:r>
          </w:p>
          <w:p w:rsidR="00E95FB1" w:rsidRPr="001916D0" w:rsidRDefault="00E95FB1" w:rsidP="001B3967">
            <w:pPr>
              <w:pStyle w:val="a7"/>
              <w:ind w:left="0"/>
              <w:rPr>
                <w:b/>
                <w:sz w:val="22"/>
                <w:lang w:val="uk-UA"/>
              </w:rPr>
            </w:pPr>
          </w:p>
        </w:tc>
        <w:tc>
          <w:tcPr>
            <w:tcW w:w="1939"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Державний бюджет</w:t>
            </w:r>
          </w:p>
        </w:tc>
        <w:tc>
          <w:tcPr>
            <w:tcW w:w="1322"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Місцевий бюджет</w:t>
            </w:r>
          </w:p>
        </w:tc>
        <w:tc>
          <w:tcPr>
            <w:tcW w:w="2450" w:type="dxa"/>
            <w:gridSpan w:val="4"/>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Інші джерела</w:t>
            </w:r>
          </w:p>
        </w:tc>
        <w:tc>
          <w:tcPr>
            <w:tcW w:w="1341" w:type="dxa"/>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Всього</w:t>
            </w:r>
          </w:p>
        </w:tc>
      </w:tr>
      <w:tr w:rsidR="00E95FB1" w:rsidRPr="001916D0" w:rsidTr="001B3967">
        <w:trPr>
          <w:trHeight w:val="225"/>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1939" w:type="dxa"/>
            <w:vMerge w:val="restart"/>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rFonts w:eastAsia="Calibri"/>
                <w:color w:val="000000"/>
                <w:sz w:val="22"/>
                <w:lang w:val="uk-UA"/>
              </w:rPr>
              <w:t>7630,0</w:t>
            </w:r>
          </w:p>
        </w:tc>
        <w:tc>
          <w:tcPr>
            <w:tcW w:w="1322" w:type="dxa"/>
            <w:vMerge w:val="restart"/>
            <w:tcBorders>
              <w:top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w:t>
            </w:r>
          </w:p>
        </w:tc>
        <w:tc>
          <w:tcPr>
            <w:tcW w:w="995"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Обсяг</w:t>
            </w:r>
          </w:p>
        </w:tc>
        <w:tc>
          <w:tcPr>
            <w:tcW w:w="1455"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Назва джерела</w:t>
            </w:r>
          </w:p>
        </w:tc>
        <w:tc>
          <w:tcPr>
            <w:tcW w:w="1341" w:type="dxa"/>
            <w:vMerge w:val="restart"/>
            <w:tcBorders>
              <w:top w:val="single" w:sz="4" w:space="0" w:color="auto"/>
              <w:left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r w:rsidRPr="001916D0">
              <w:rPr>
                <w:rFonts w:eastAsia="Calibri"/>
                <w:color w:val="000000"/>
                <w:sz w:val="22"/>
                <w:lang w:val="uk-UA"/>
              </w:rPr>
              <w:t>10900,0</w:t>
            </w:r>
          </w:p>
        </w:tc>
      </w:tr>
      <w:tr w:rsidR="00E95FB1" w:rsidRPr="001916D0" w:rsidTr="001B3967">
        <w:trPr>
          <w:trHeight w:val="30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1939" w:type="dxa"/>
            <w:vMerge/>
            <w:tcBorders>
              <w:right w:val="single" w:sz="4" w:space="0" w:color="auto"/>
            </w:tcBorders>
          </w:tcPr>
          <w:p w:rsidR="00E95FB1" w:rsidRPr="001916D0" w:rsidRDefault="00E95FB1" w:rsidP="001B3967">
            <w:pPr>
              <w:pStyle w:val="a7"/>
              <w:ind w:left="0"/>
              <w:jc w:val="center"/>
              <w:rPr>
                <w:sz w:val="22"/>
                <w:lang w:val="uk-UA"/>
              </w:rPr>
            </w:pPr>
          </w:p>
        </w:tc>
        <w:tc>
          <w:tcPr>
            <w:tcW w:w="1322" w:type="dxa"/>
            <w:vMerge/>
            <w:tcBorders>
              <w:right w:val="single" w:sz="4" w:space="0" w:color="auto"/>
            </w:tcBorders>
          </w:tcPr>
          <w:p w:rsidR="00E95FB1" w:rsidRPr="001916D0" w:rsidRDefault="00E95FB1" w:rsidP="001B3967">
            <w:pPr>
              <w:pStyle w:val="a7"/>
              <w:ind w:left="0"/>
              <w:jc w:val="center"/>
              <w:rPr>
                <w:b/>
                <w:sz w:val="22"/>
                <w:lang w:val="uk-UA"/>
              </w:rPr>
            </w:pPr>
          </w:p>
        </w:tc>
        <w:tc>
          <w:tcPr>
            <w:tcW w:w="995"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rFonts w:eastAsia="Calibri"/>
                <w:color w:val="000000"/>
                <w:sz w:val="22"/>
                <w:lang w:val="uk-UA"/>
              </w:rPr>
              <w:t>3270,0</w:t>
            </w:r>
          </w:p>
        </w:tc>
        <w:tc>
          <w:tcPr>
            <w:tcW w:w="1455"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Міжнародні інвестиції, кошти приватних осіб</w:t>
            </w:r>
          </w:p>
        </w:tc>
        <w:tc>
          <w:tcPr>
            <w:tcW w:w="1341" w:type="dxa"/>
            <w:vMerge/>
            <w:tcBorders>
              <w:left w:val="single" w:sz="4" w:space="0" w:color="auto"/>
            </w:tcBorders>
          </w:tcPr>
          <w:p w:rsidR="00E95FB1" w:rsidRPr="001916D0" w:rsidRDefault="00E95FB1" w:rsidP="001B3967">
            <w:pPr>
              <w:pStyle w:val="a7"/>
              <w:ind w:left="0"/>
              <w:jc w:val="center"/>
              <w:rPr>
                <w:sz w:val="22"/>
                <w:lang w:val="uk-UA"/>
              </w:rPr>
            </w:pPr>
          </w:p>
        </w:tc>
      </w:tr>
    </w:tbl>
    <w:p w:rsidR="00E95FB1" w:rsidRPr="001916D0" w:rsidRDefault="00E95FB1" w:rsidP="00E95FB1">
      <w:pPr>
        <w:rPr>
          <w:sz w:val="22"/>
        </w:rPr>
      </w:pPr>
    </w:p>
    <w:p w:rsidR="00E95FB1" w:rsidRPr="001916D0" w:rsidRDefault="00E95FB1" w:rsidP="00E95FB1">
      <w:pPr>
        <w:rPr>
          <w:sz w:val="22"/>
        </w:rPr>
      </w:pPr>
    </w:p>
    <w:p w:rsidR="00E95FB1" w:rsidRPr="001916D0" w:rsidRDefault="00E95FB1" w:rsidP="00E95FB1">
      <w:pPr>
        <w:rPr>
          <w:sz w:val="22"/>
        </w:rPr>
      </w:pPr>
    </w:p>
    <w:tbl>
      <w:tblPr>
        <w:tblStyle w:val="af"/>
        <w:tblW w:w="0" w:type="auto"/>
        <w:tblInd w:w="-176" w:type="dxa"/>
        <w:tblLook w:val="04A0" w:firstRow="1" w:lastRow="0" w:firstColumn="1" w:lastColumn="0" w:noHBand="0" w:noVBand="1"/>
      </w:tblPr>
      <w:tblGrid>
        <w:gridCol w:w="2714"/>
        <w:gridCol w:w="1838"/>
        <w:gridCol w:w="1298"/>
        <w:gridCol w:w="191"/>
        <w:gridCol w:w="798"/>
        <w:gridCol w:w="1045"/>
        <w:gridCol w:w="399"/>
        <w:gridCol w:w="1379"/>
      </w:tblGrid>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lastRenderedPageBreak/>
              <w:t>Оперативна ціль/завдання</w:t>
            </w:r>
          </w:p>
        </w:tc>
        <w:tc>
          <w:tcPr>
            <w:tcW w:w="7052" w:type="dxa"/>
            <w:gridSpan w:val="7"/>
            <w:shd w:val="clear" w:color="auto" w:fill="auto"/>
          </w:tcPr>
          <w:p w:rsidR="00E95FB1" w:rsidRPr="001916D0" w:rsidRDefault="00E95FB1" w:rsidP="001B3967">
            <w:pPr>
              <w:pStyle w:val="a7"/>
              <w:ind w:left="0"/>
              <w:rPr>
                <w:sz w:val="22"/>
                <w:lang w:val="uk-UA"/>
              </w:rPr>
            </w:pPr>
            <w:r w:rsidRPr="001916D0">
              <w:rPr>
                <w:rFonts w:eastAsia="Arial"/>
                <w:sz w:val="22"/>
                <w:lang w:val="uk-UA"/>
              </w:rPr>
              <w:t xml:space="preserve">Комфорт життя ЛЮДИНИ як безпека, екологічна сталість та  розумна енергетика. Енергоефективна політика та інфраструктура  </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Назва проекту:</w:t>
            </w:r>
          </w:p>
        </w:tc>
        <w:tc>
          <w:tcPr>
            <w:tcW w:w="7052" w:type="dxa"/>
            <w:gridSpan w:val="7"/>
          </w:tcPr>
          <w:p w:rsidR="00E95FB1" w:rsidRPr="001916D0" w:rsidRDefault="00E95FB1" w:rsidP="001B3967">
            <w:pPr>
              <w:pStyle w:val="a7"/>
              <w:ind w:left="0"/>
              <w:rPr>
                <w:sz w:val="22"/>
                <w:lang w:val="uk-UA"/>
              </w:rPr>
            </w:pPr>
            <w:r w:rsidRPr="001916D0">
              <w:rPr>
                <w:rFonts w:eastAsia="Batang"/>
                <w:color w:val="000000"/>
                <w:sz w:val="22"/>
                <w:lang w:val="uk-UA"/>
              </w:rPr>
              <w:t xml:space="preserve">Капітальний ремонт мереж зовнішнього освітлення </w:t>
            </w:r>
            <w:proofErr w:type="spellStart"/>
            <w:r w:rsidRPr="001916D0">
              <w:rPr>
                <w:rFonts w:eastAsia="Batang"/>
                <w:color w:val="000000"/>
                <w:sz w:val="22"/>
                <w:lang w:val="uk-UA"/>
              </w:rPr>
              <w:t>м.Сєвєродонецьк</w:t>
            </w:r>
            <w:proofErr w:type="spellEnd"/>
            <w:r w:rsidRPr="001916D0">
              <w:rPr>
                <w:rFonts w:eastAsia="Batang"/>
                <w:color w:val="000000"/>
                <w:sz w:val="22"/>
                <w:lang w:val="uk-UA"/>
              </w:rPr>
              <w:t xml:space="preserve"> та прилеглих селищ</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Ціль проекту</w:t>
            </w:r>
          </w:p>
        </w:tc>
        <w:tc>
          <w:tcPr>
            <w:tcW w:w="7052" w:type="dxa"/>
            <w:gridSpan w:val="7"/>
          </w:tcPr>
          <w:p w:rsidR="00E95FB1" w:rsidRPr="001916D0" w:rsidRDefault="00E95FB1" w:rsidP="000303D7">
            <w:pPr>
              <w:numPr>
                <w:ilvl w:val="0"/>
                <w:numId w:val="68"/>
              </w:numPr>
              <w:autoSpaceDE w:val="0"/>
              <w:autoSpaceDN w:val="0"/>
              <w:adjustRightInd w:val="0"/>
              <w:ind w:left="0" w:firstLine="0"/>
              <w:rPr>
                <w:rFonts w:eastAsia="Calibri"/>
                <w:color w:val="000000"/>
                <w:sz w:val="22"/>
                <w:lang w:val="uk-UA"/>
              </w:rPr>
            </w:pPr>
            <w:r w:rsidRPr="001916D0">
              <w:rPr>
                <w:sz w:val="22"/>
                <w:lang w:val="uk-UA"/>
              </w:rPr>
              <w:t>створити безпечні та комфортні  умови руху по вуличній</w:t>
            </w:r>
            <w:r w:rsidR="007A1069" w:rsidRPr="001916D0">
              <w:rPr>
                <w:bCs/>
                <w:sz w:val="22"/>
                <w:szCs w:val="22"/>
                <w:lang w:val="uk-UA"/>
              </w:rPr>
              <w:t xml:space="preserve"> </w:t>
            </w:r>
            <w:r w:rsidRPr="001916D0">
              <w:rPr>
                <w:sz w:val="22"/>
                <w:lang w:val="uk-UA"/>
              </w:rPr>
              <w:t>дорожній мережі міста та прилеглих селищ у вечірні та нічний час</w:t>
            </w:r>
            <w:r w:rsidR="007A1069" w:rsidRPr="001916D0">
              <w:rPr>
                <w:bCs/>
                <w:sz w:val="22"/>
                <w:szCs w:val="22"/>
                <w:lang w:val="uk-UA"/>
              </w:rPr>
              <w:t>.;</w:t>
            </w:r>
          </w:p>
          <w:p w:rsidR="00E95FB1" w:rsidRPr="001916D0" w:rsidRDefault="00E95FB1" w:rsidP="000303D7">
            <w:pPr>
              <w:numPr>
                <w:ilvl w:val="0"/>
                <w:numId w:val="68"/>
              </w:numPr>
              <w:autoSpaceDE w:val="0"/>
              <w:autoSpaceDN w:val="0"/>
              <w:adjustRightInd w:val="0"/>
              <w:ind w:left="0" w:firstLine="0"/>
              <w:rPr>
                <w:rFonts w:eastAsia="Calibri"/>
                <w:color w:val="000000"/>
                <w:sz w:val="22"/>
                <w:lang w:val="uk-UA"/>
              </w:rPr>
            </w:pPr>
            <w:r w:rsidRPr="001916D0">
              <w:rPr>
                <w:sz w:val="22"/>
                <w:lang w:val="uk-UA"/>
              </w:rPr>
              <w:t>зменшити рівень кримінальної активності</w:t>
            </w:r>
            <w:r w:rsidR="007A1069" w:rsidRPr="001916D0">
              <w:rPr>
                <w:bCs/>
                <w:sz w:val="22"/>
                <w:szCs w:val="22"/>
                <w:lang w:val="uk-UA"/>
              </w:rPr>
              <w:t>;</w:t>
            </w:r>
          </w:p>
          <w:p w:rsidR="00E95FB1" w:rsidRPr="001916D0" w:rsidRDefault="00E95FB1" w:rsidP="000303D7">
            <w:pPr>
              <w:numPr>
                <w:ilvl w:val="0"/>
                <w:numId w:val="68"/>
              </w:numPr>
              <w:autoSpaceDE w:val="0"/>
              <w:autoSpaceDN w:val="0"/>
              <w:adjustRightInd w:val="0"/>
              <w:ind w:left="0" w:firstLine="0"/>
              <w:rPr>
                <w:rFonts w:eastAsia="Calibri"/>
                <w:color w:val="000000"/>
                <w:sz w:val="22"/>
                <w:lang w:val="uk-UA"/>
              </w:rPr>
            </w:pPr>
            <w:r w:rsidRPr="001916D0">
              <w:rPr>
                <w:sz w:val="22"/>
                <w:lang w:val="uk-UA"/>
              </w:rPr>
              <w:t>впровадити заходи з енергозбереження для зменшення обсягів енергоспоживання та забезпечення екологічної сталості.</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Територія, на яку матиме вплив реалізація проекту</w:t>
            </w:r>
          </w:p>
        </w:tc>
        <w:tc>
          <w:tcPr>
            <w:tcW w:w="7052" w:type="dxa"/>
            <w:gridSpan w:val="7"/>
          </w:tcPr>
          <w:p w:rsidR="00E95FB1" w:rsidRPr="001916D0" w:rsidRDefault="00E95FB1" w:rsidP="001B3967">
            <w:pPr>
              <w:pStyle w:val="a7"/>
              <w:ind w:left="0"/>
              <w:rPr>
                <w:sz w:val="22"/>
                <w:lang w:val="uk-UA"/>
              </w:rPr>
            </w:pPr>
            <w:r w:rsidRPr="001916D0">
              <w:rPr>
                <w:sz w:val="22"/>
                <w:lang w:val="uk-UA"/>
              </w:rPr>
              <w:t>Сєвєродонецька міська територіальна громада</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Чисельність населення, на яке матиме вплив реалізація проекту</w:t>
            </w:r>
          </w:p>
        </w:tc>
        <w:tc>
          <w:tcPr>
            <w:tcW w:w="7052" w:type="dxa"/>
            <w:gridSpan w:val="7"/>
          </w:tcPr>
          <w:p w:rsidR="00E95FB1" w:rsidRPr="001916D0" w:rsidRDefault="00E95FB1" w:rsidP="001B3967">
            <w:pPr>
              <w:pStyle w:val="a7"/>
              <w:ind w:left="0"/>
              <w:rPr>
                <w:sz w:val="22"/>
                <w:lang w:val="uk-UA"/>
              </w:rPr>
            </w:pPr>
            <w:r w:rsidRPr="001916D0">
              <w:rPr>
                <w:sz w:val="22"/>
                <w:lang w:val="uk-UA"/>
              </w:rPr>
              <w:t xml:space="preserve"> 70 000  осіб</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Опис проблеми, на вирішення якої  спрямований проект</w:t>
            </w:r>
          </w:p>
        </w:tc>
        <w:tc>
          <w:tcPr>
            <w:tcW w:w="7052" w:type="dxa"/>
            <w:gridSpan w:val="7"/>
          </w:tcPr>
          <w:p w:rsidR="00E95FB1" w:rsidRPr="001916D0" w:rsidRDefault="00E95FB1" w:rsidP="001B3967">
            <w:pPr>
              <w:pStyle w:val="13"/>
              <w:jc w:val="both"/>
              <w:rPr>
                <w:sz w:val="22"/>
                <w:lang w:val="uk-UA"/>
              </w:rPr>
            </w:pPr>
            <w:r w:rsidRPr="001916D0">
              <w:rPr>
                <w:rFonts w:eastAsia="Calibri"/>
                <w:color w:val="000000"/>
                <w:sz w:val="22"/>
                <w:lang w:val="uk-UA"/>
              </w:rPr>
              <w:t>Через ведення бойових дій на території Сєвєродонецької територіальної громади та</w:t>
            </w:r>
            <w:r w:rsidR="00EC4DE8" w:rsidRPr="001916D0">
              <w:rPr>
                <w:rFonts w:eastAsia="Calibri"/>
                <w:color w:val="000000"/>
                <w:sz w:val="22"/>
                <w:lang w:val="uk-UA"/>
              </w:rPr>
              <w:t>,</w:t>
            </w:r>
            <w:r w:rsidRPr="001916D0">
              <w:rPr>
                <w:rFonts w:eastAsia="Calibri"/>
                <w:color w:val="000000"/>
                <w:sz w:val="22"/>
                <w:lang w:val="uk-UA"/>
              </w:rPr>
              <w:t xml:space="preserve"> зокрема</w:t>
            </w:r>
            <w:r w:rsidR="00EC4DE8" w:rsidRPr="001916D0">
              <w:rPr>
                <w:rFonts w:eastAsia="Calibri"/>
                <w:color w:val="000000"/>
                <w:sz w:val="22"/>
                <w:lang w:val="uk-UA"/>
              </w:rPr>
              <w:t>,</w:t>
            </w:r>
            <w:r w:rsidRPr="001916D0">
              <w:rPr>
                <w:rFonts w:eastAsia="Calibri"/>
                <w:color w:val="000000"/>
                <w:sz w:val="22"/>
                <w:lang w:val="uk-UA"/>
              </w:rPr>
              <w:t xml:space="preserve"> на території </w:t>
            </w:r>
            <w:proofErr w:type="spellStart"/>
            <w:r w:rsidRPr="001916D0">
              <w:rPr>
                <w:rFonts w:eastAsia="Calibri"/>
                <w:color w:val="000000"/>
                <w:sz w:val="22"/>
                <w:lang w:val="uk-UA"/>
              </w:rPr>
              <w:t>м.Сєвєродонецьк</w:t>
            </w:r>
            <w:proofErr w:type="spellEnd"/>
            <w:r w:rsidRPr="001916D0">
              <w:rPr>
                <w:rFonts w:eastAsia="Calibri"/>
                <w:color w:val="000000"/>
                <w:sz w:val="22"/>
                <w:lang w:val="uk-UA"/>
              </w:rPr>
              <w:t xml:space="preserve"> мережі зовнішнього освітлення знаходяться у неробочому стані і потребують повного відновлення та модернізації шляхом встановлення нових опор та енергозберігаючих світильників</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якісні результати від реалізації проекту</w:t>
            </w:r>
          </w:p>
        </w:tc>
        <w:tc>
          <w:tcPr>
            <w:tcW w:w="7052" w:type="dxa"/>
            <w:gridSpan w:val="7"/>
          </w:tcPr>
          <w:p w:rsidR="00E95FB1" w:rsidRPr="001916D0" w:rsidRDefault="00E95FB1" w:rsidP="000303D7">
            <w:pPr>
              <w:numPr>
                <w:ilvl w:val="0"/>
                <w:numId w:val="68"/>
              </w:numPr>
              <w:shd w:val="clear" w:color="auto" w:fill="FFFFFF"/>
              <w:ind w:left="0" w:firstLine="0"/>
              <w:rPr>
                <w:sz w:val="22"/>
                <w:lang w:val="uk-UA"/>
              </w:rPr>
            </w:pPr>
            <w:r w:rsidRPr="001916D0">
              <w:rPr>
                <w:sz w:val="22"/>
                <w:bdr w:val="none" w:sz="0" w:space="0" w:color="auto" w:frame="1"/>
                <w:lang w:val="uk-UA"/>
              </w:rPr>
              <w:t>забезпечення підвищення рівня безпеки систем життєзабезпечення населених пунктів;</w:t>
            </w:r>
          </w:p>
          <w:p w:rsidR="00E95FB1" w:rsidRPr="001916D0" w:rsidRDefault="00E95FB1" w:rsidP="000303D7">
            <w:pPr>
              <w:numPr>
                <w:ilvl w:val="0"/>
                <w:numId w:val="68"/>
              </w:numPr>
              <w:shd w:val="clear" w:color="auto" w:fill="FFFFFF"/>
              <w:ind w:left="0" w:firstLine="0"/>
              <w:rPr>
                <w:sz w:val="22"/>
                <w:lang w:val="uk-UA"/>
              </w:rPr>
            </w:pPr>
            <w:r w:rsidRPr="001916D0">
              <w:rPr>
                <w:sz w:val="22"/>
                <w:bdr w:val="none" w:sz="0" w:space="0" w:color="auto" w:frame="1"/>
                <w:lang w:val="uk-UA"/>
              </w:rPr>
              <w:t>поліпшення якості житлово-комунального обслуговування населення;</w:t>
            </w:r>
          </w:p>
          <w:p w:rsidR="00E95FB1" w:rsidRPr="001916D0" w:rsidRDefault="00E95FB1" w:rsidP="000303D7">
            <w:pPr>
              <w:numPr>
                <w:ilvl w:val="0"/>
                <w:numId w:val="68"/>
              </w:numPr>
              <w:shd w:val="clear" w:color="auto" w:fill="FFFFFF"/>
              <w:ind w:left="0" w:firstLine="0"/>
              <w:rPr>
                <w:sz w:val="22"/>
                <w:lang w:val="uk-UA"/>
              </w:rPr>
            </w:pPr>
            <w:r w:rsidRPr="001916D0">
              <w:rPr>
                <w:sz w:val="22"/>
                <w:bdr w:val="none" w:sz="0" w:space="0" w:color="auto" w:frame="1"/>
                <w:lang w:val="uk-UA"/>
              </w:rPr>
              <w:t>зниження кількості аварійних ситуацій на об’єктах зовнішнього освітлення;</w:t>
            </w:r>
          </w:p>
          <w:p w:rsidR="00E95FB1" w:rsidRPr="001916D0" w:rsidRDefault="00E95FB1" w:rsidP="000303D7">
            <w:pPr>
              <w:numPr>
                <w:ilvl w:val="0"/>
                <w:numId w:val="68"/>
              </w:numPr>
              <w:shd w:val="clear" w:color="auto" w:fill="FFFFFF"/>
              <w:ind w:left="0" w:firstLine="0"/>
              <w:rPr>
                <w:sz w:val="22"/>
                <w:lang w:val="uk-UA"/>
              </w:rPr>
            </w:pPr>
            <w:r w:rsidRPr="001916D0">
              <w:rPr>
                <w:sz w:val="22"/>
                <w:bdr w:val="none" w:sz="0" w:space="0" w:color="auto" w:frame="1"/>
                <w:lang w:val="uk-UA"/>
              </w:rPr>
              <w:t>створення умови для безпечного руху автотранспорту та пішоходів;</w:t>
            </w:r>
          </w:p>
          <w:p w:rsidR="00E95FB1" w:rsidRPr="001916D0" w:rsidRDefault="00E95FB1" w:rsidP="000303D7">
            <w:pPr>
              <w:numPr>
                <w:ilvl w:val="0"/>
                <w:numId w:val="68"/>
              </w:numPr>
              <w:shd w:val="clear" w:color="auto" w:fill="FFFFFF"/>
              <w:ind w:left="0" w:firstLine="0"/>
              <w:rPr>
                <w:sz w:val="22"/>
                <w:bdr w:val="none" w:sz="0" w:space="0" w:color="auto" w:frame="1"/>
                <w:lang w:val="uk-UA"/>
              </w:rPr>
            </w:pPr>
            <w:r w:rsidRPr="001916D0">
              <w:rPr>
                <w:sz w:val="22"/>
                <w:bdr w:val="none" w:sz="0" w:space="0" w:color="auto" w:frame="1"/>
                <w:lang w:val="uk-UA"/>
              </w:rPr>
              <w:t>створення ефективної системи обліку та регулювання споживання електричної енергії, раціонального її використання для освітлення населених пунктів;</w:t>
            </w:r>
          </w:p>
          <w:p w:rsidR="00E95FB1" w:rsidRPr="001916D0" w:rsidRDefault="00E95FB1" w:rsidP="000303D7">
            <w:pPr>
              <w:numPr>
                <w:ilvl w:val="0"/>
                <w:numId w:val="68"/>
              </w:numPr>
              <w:autoSpaceDE w:val="0"/>
              <w:autoSpaceDN w:val="0"/>
              <w:adjustRightInd w:val="0"/>
              <w:ind w:left="0" w:firstLine="0"/>
              <w:rPr>
                <w:rFonts w:eastAsia="Calibri"/>
                <w:color w:val="000000"/>
                <w:sz w:val="22"/>
                <w:lang w:val="uk-UA"/>
              </w:rPr>
            </w:pPr>
            <w:r w:rsidRPr="001916D0">
              <w:rPr>
                <w:sz w:val="22"/>
                <w:bdr w:val="none" w:sz="0" w:space="0" w:color="auto" w:frame="1"/>
                <w:lang w:val="uk-UA"/>
              </w:rPr>
              <w:t xml:space="preserve">скорочення витрат енергії, підвищення енергоефективності освітлення </w:t>
            </w:r>
            <w:proofErr w:type="spellStart"/>
            <w:r w:rsidRPr="001916D0">
              <w:rPr>
                <w:sz w:val="22"/>
                <w:bdr w:val="none" w:sz="0" w:space="0" w:color="auto" w:frame="1"/>
                <w:lang w:val="uk-UA"/>
              </w:rPr>
              <w:t>вулично</w:t>
            </w:r>
            <w:proofErr w:type="spellEnd"/>
            <w:r w:rsidRPr="001916D0">
              <w:rPr>
                <w:sz w:val="22"/>
                <w:bdr w:val="none" w:sz="0" w:space="0" w:color="auto" w:frame="1"/>
                <w:lang w:val="uk-UA"/>
              </w:rPr>
              <w:t>-дорожньої мережі         </w:t>
            </w:r>
          </w:p>
        </w:tc>
      </w:tr>
      <w:tr w:rsidR="00E95FB1" w:rsidRPr="001916D0" w:rsidTr="001B3967">
        <w:trPr>
          <w:trHeight w:val="390"/>
        </w:trPr>
        <w:tc>
          <w:tcPr>
            <w:tcW w:w="2836"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Очікувані кількісні результати реалізації </w:t>
            </w:r>
            <w:proofErr w:type="spellStart"/>
            <w:r w:rsidRPr="001916D0">
              <w:rPr>
                <w:b/>
                <w:sz w:val="22"/>
                <w:lang w:val="uk-UA"/>
              </w:rPr>
              <w:t>проєкту</w:t>
            </w:r>
            <w:proofErr w:type="spellEnd"/>
            <w:r w:rsidRPr="001916D0">
              <w:rPr>
                <w:b/>
                <w:sz w:val="22"/>
                <w:lang w:val="uk-UA"/>
              </w:rPr>
              <w:t xml:space="preserve"> (індикатори)</w:t>
            </w:r>
          </w:p>
          <w:p w:rsidR="00E95FB1" w:rsidRPr="001916D0" w:rsidRDefault="00E95FB1" w:rsidP="001B3967">
            <w:pPr>
              <w:pStyle w:val="a7"/>
              <w:ind w:left="0"/>
              <w:rPr>
                <w:b/>
                <w:sz w:val="22"/>
                <w:lang w:val="uk-UA"/>
              </w:rPr>
            </w:pPr>
          </w:p>
        </w:tc>
        <w:tc>
          <w:tcPr>
            <w:tcW w:w="3402" w:type="dxa"/>
            <w:gridSpan w:val="3"/>
            <w:tcBorders>
              <w:bottom w:val="single" w:sz="4" w:space="0" w:color="auto"/>
              <w:right w:val="single" w:sz="4" w:space="0" w:color="auto"/>
            </w:tcBorders>
          </w:tcPr>
          <w:p w:rsidR="00E95FB1" w:rsidRPr="001916D0" w:rsidRDefault="00E95FB1" w:rsidP="001B3967">
            <w:pPr>
              <w:pStyle w:val="a7"/>
              <w:ind w:left="-108"/>
              <w:jc w:val="center"/>
              <w:rPr>
                <w:b/>
                <w:sz w:val="22"/>
                <w:lang w:val="uk-UA"/>
              </w:rPr>
            </w:pPr>
            <w:r w:rsidRPr="001916D0">
              <w:rPr>
                <w:b/>
                <w:sz w:val="22"/>
                <w:lang w:val="uk-UA"/>
              </w:rPr>
              <w:t>Найменування показника</w:t>
            </w:r>
          </w:p>
        </w:tc>
        <w:tc>
          <w:tcPr>
            <w:tcW w:w="1843" w:type="dxa"/>
            <w:gridSpan w:val="2"/>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Одиниця вимірювання</w:t>
            </w:r>
          </w:p>
          <w:p w:rsidR="00E95FB1" w:rsidRPr="001916D0" w:rsidRDefault="00E95FB1" w:rsidP="001B3967">
            <w:pPr>
              <w:pStyle w:val="a7"/>
              <w:ind w:left="0"/>
              <w:rPr>
                <w:b/>
                <w:sz w:val="22"/>
                <w:lang w:val="uk-UA"/>
              </w:rPr>
            </w:pPr>
          </w:p>
        </w:tc>
        <w:tc>
          <w:tcPr>
            <w:tcW w:w="1807" w:type="dxa"/>
            <w:gridSpan w:val="2"/>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Прогнозне (цільове) значення</w:t>
            </w:r>
          </w:p>
        </w:tc>
      </w:tr>
      <w:tr w:rsidR="00E95FB1" w:rsidRPr="001916D0" w:rsidTr="001B3967">
        <w:trPr>
          <w:trHeight w:val="32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bottom w:val="single" w:sz="4" w:space="0" w:color="auto"/>
              <w:right w:val="single" w:sz="4" w:space="0" w:color="auto"/>
            </w:tcBorders>
          </w:tcPr>
          <w:p w:rsidR="00E95FB1" w:rsidRPr="001916D0" w:rsidRDefault="00E95FB1" w:rsidP="001B3967">
            <w:pPr>
              <w:autoSpaceDE w:val="0"/>
              <w:autoSpaceDN w:val="0"/>
              <w:adjustRightInd w:val="0"/>
              <w:rPr>
                <w:rFonts w:eastAsia="Calibri"/>
                <w:color w:val="000000"/>
                <w:sz w:val="22"/>
                <w:lang w:val="uk-UA"/>
              </w:rPr>
            </w:pPr>
            <w:r w:rsidRPr="001916D0">
              <w:rPr>
                <w:rFonts w:eastAsia="Calibri"/>
                <w:color w:val="000000"/>
                <w:sz w:val="22"/>
                <w:lang w:val="uk-UA"/>
              </w:rPr>
              <w:t xml:space="preserve">Опори вуличного освітлення </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tabs>
                <w:tab w:val="left" w:pos="1380"/>
                <w:tab w:val="right" w:pos="1499"/>
              </w:tabs>
              <w:autoSpaceDE w:val="0"/>
              <w:autoSpaceDN w:val="0"/>
              <w:adjustRightInd w:val="0"/>
              <w:jc w:val="center"/>
              <w:rPr>
                <w:rFonts w:eastAsia="Calibri"/>
                <w:color w:val="000000"/>
                <w:sz w:val="22"/>
                <w:lang w:val="uk-UA"/>
              </w:rPr>
            </w:pPr>
            <w:r w:rsidRPr="001916D0">
              <w:rPr>
                <w:rFonts w:eastAsia="Calibri"/>
                <w:color w:val="000000"/>
                <w:sz w:val="22"/>
                <w:lang w:val="uk-UA"/>
              </w:rPr>
              <w:t>одиниць</w:t>
            </w:r>
          </w:p>
        </w:tc>
        <w:tc>
          <w:tcPr>
            <w:tcW w:w="1807" w:type="dxa"/>
            <w:gridSpan w:val="2"/>
            <w:tcBorders>
              <w:top w:val="single" w:sz="4" w:space="0" w:color="auto"/>
              <w:left w:val="single" w:sz="4" w:space="0" w:color="auto"/>
              <w:bottom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2000</w:t>
            </w:r>
          </w:p>
        </w:tc>
      </w:tr>
      <w:tr w:rsidR="00E95FB1" w:rsidRPr="001916D0" w:rsidTr="001B3967">
        <w:trPr>
          <w:trHeight w:val="15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right w:val="single" w:sz="4" w:space="0" w:color="auto"/>
            </w:tcBorders>
          </w:tcPr>
          <w:p w:rsidR="00E95FB1" w:rsidRPr="001916D0" w:rsidRDefault="00E95FB1" w:rsidP="001B3967">
            <w:pPr>
              <w:autoSpaceDE w:val="0"/>
              <w:autoSpaceDN w:val="0"/>
              <w:adjustRightInd w:val="0"/>
              <w:rPr>
                <w:rFonts w:eastAsia="Calibri"/>
                <w:color w:val="000000"/>
                <w:sz w:val="22"/>
                <w:lang w:val="uk-UA"/>
              </w:rPr>
            </w:pPr>
            <w:r w:rsidRPr="001916D0">
              <w:rPr>
                <w:rFonts w:eastAsia="Calibri"/>
                <w:color w:val="000000"/>
                <w:sz w:val="22"/>
                <w:lang w:val="uk-UA"/>
              </w:rPr>
              <w:t>Світильники LED</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одиниць</w:t>
            </w:r>
          </w:p>
        </w:tc>
        <w:tc>
          <w:tcPr>
            <w:tcW w:w="1807" w:type="dxa"/>
            <w:gridSpan w:val="2"/>
            <w:tcBorders>
              <w:top w:val="single" w:sz="4" w:space="0" w:color="auto"/>
              <w:lef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4300</w:t>
            </w:r>
          </w:p>
        </w:tc>
      </w:tr>
      <w:tr w:rsidR="00E95FB1" w:rsidRPr="001916D0" w:rsidTr="001B3967">
        <w:trPr>
          <w:trHeight w:val="15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right w:val="single" w:sz="4" w:space="0" w:color="auto"/>
            </w:tcBorders>
          </w:tcPr>
          <w:p w:rsidR="00E95FB1" w:rsidRPr="001916D0" w:rsidRDefault="00E95FB1" w:rsidP="001B3967">
            <w:pPr>
              <w:autoSpaceDE w:val="0"/>
              <w:autoSpaceDN w:val="0"/>
              <w:adjustRightInd w:val="0"/>
              <w:rPr>
                <w:rFonts w:eastAsia="Calibri"/>
                <w:color w:val="000000"/>
                <w:sz w:val="22"/>
                <w:lang w:val="uk-UA"/>
              </w:rPr>
            </w:pPr>
            <w:proofErr w:type="spellStart"/>
            <w:r w:rsidRPr="001916D0">
              <w:rPr>
                <w:rFonts w:eastAsia="Calibri"/>
                <w:color w:val="000000"/>
                <w:sz w:val="22"/>
                <w:lang w:val="uk-UA"/>
              </w:rPr>
              <w:t>Самоізольований</w:t>
            </w:r>
            <w:proofErr w:type="spellEnd"/>
            <w:r w:rsidRPr="001916D0">
              <w:rPr>
                <w:rFonts w:eastAsia="Calibri"/>
                <w:color w:val="000000"/>
                <w:sz w:val="22"/>
                <w:lang w:val="uk-UA"/>
              </w:rPr>
              <w:t xml:space="preserve"> провід 4х16</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км</w:t>
            </w:r>
          </w:p>
        </w:tc>
        <w:tc>
          <w:tcPr>
            <w:tcW w:w="1807" w:type="dxa"/>
            <w:gridSpan w:val="2"/>
            <w:tcBorders>
              <w:top w:val="single" w:sz="4" w:space="0" w:color="auto"/>
              <w:lef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164</w:t>
            </w:r>
          </w:p>
        </w:tc>
      </w:tr>
      <w:tr w:rsidR="00E95FB1" w:rsidRPr="001916D0" w:rsidTr="001B3967">
        <w:trPr>
          <w:trHeight w:val="15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right w:val="single" w:sz="4" w:space="0" w:color="auto"/>
            </w:tcBorders>
          </w:tcPr>
          <w:p w:rsidR="00E95FB1" w:rsidRPr="001916D0" w:rsidRDefault="00E95FB1" w:rsidP="001B3967">
            <w:pPr>
              <w:autoSpaceDE w:val="0"/>
              <w:autoSpaceDN w:val="0"/>
              <w:adjustRightInd w:val="0"/>
              <w:rPr>
                <w:rFonts w:eastAsia="Calibri"/>
                <w:color w:val="000000"/>
                <w:sz w:val="22"/>
                <w:lang w:val="uk-UA"/>
              </w:rPr>
            </w:pPr>
            <w:r w:rsidRPr="001916D0">
              <w:rPr>
                <w:rFonts w:eastAsia="Calibri"/>
                <w:color w:val="000000"/>
                <w:sz w:val="22"/>
                <w:lang w:val="uk-UA"/>
              </w:rPr>
              <w:t>Термінал виконавчого пункту</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одиниць</w:t>
            </w:r>
          </w:p>
        </w:tc>
        <w:tc>
          <w:tcPr>
            <w:tcW w:w="1807" w:type="dxa"/>
            <w:gridSpan w:val="2"/>
            <w:tcBorders>
              <w:top w:val="single" w:sz="4" w:space="0" w:color="auto"/>
              <w:lef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70</w:t>
            </w:r>
          </w:p>
        </w:tc>
      </w:tr>
      <w:tr w:rsidR="00E95FB1" w:rsidRPr="001916D0" w:rsidTr="001B3967">
        <w:trPr>
          <w:trHeight w:val="15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right w:val="single" w:sz="4" w:space="0" w:color="auto"/>
            </w:tcBorders>
          </w:tcPr>
          <w:p w:rsidR="00E95FB1" w:rsidRPr="001916D0" w:rsidRDefault="00E95FB1" w:rsidP="001B3967">
            <w:pPr>
              <w:autoSpaceDE w:val="0"/>
              <w:autoSpaceDN w:val="0"/>
              <w:adjustRightInd w:val="0"/>
              <w:rPr>
                <w:rFonts w:eastAsia="Calibri"/>
                <w:color w:val="000000"/>
                <w:sz w:val="22"/>
                <w:lang w:val="uk-UA"/>
              </w:rPr>
            </w:pPr>
            <w:r w:rsidRPr="001916D0">
              <w:rPr>
                <w:rFonts w:eastAsia="Calibri"/>
                <w:color w:val="000000"/>
                <w:sz w:val="22"/>
                <w:lang w:val="uk-UA"/>
              </w:rPr>
              <w:t>Термінал зв’язку диспетчерського пункту</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одиниць</w:t>
            </w:r>
          </w:p>
        </w:tc>
        <w:tc>
          <w:tcPr>
            <w:tcW w:w="1807" w:type="dxa"/>
            <w:gridSpan w:val="2"/>
            <w:tcBorders>
              <w:top w:val="single" w:sz="4" w:space="0" w:color="auto"/>
              <w:lef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1</w:t>
            </w:r>
          </w:p>
        </w:tc>
      </w:tr>
      <w:tr w:rsidR="00E95FB1" w:rsidRPr="001916D0" w:rsidTr="001B3967">
        <w:trPr>
          <w:trHeight w:val="15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right w:val="single" w:sz="4" w:space="0" w:color="auto"/>
            </w:tcBorders>
          </w:tcPr>
          <w:p w:rsidR="00E95FB1" w:rsidRPr="001916D0" w:rsidRDefault="00E95FB1" w:rsidP="001B3967">
            <w:pPr>
              <w:autoSpaceDE w:val="0"/>
              <w:autoSpaceDN w:val="0"/>
              <w:adjustRightInd w:val="0"/>
              <w:rPr>
                <w:rFonts w:eastAsia="Calibri"/>
                <w:color w:val="000000"/>
                <w:sz w:val="22"/>
                <w:lang w:val="uk-UA"/>
              </w:rPr>
            </w:pPr>
            <w:r w:rsidRPr="001916D0">
              <w:rPr>
                <w:rFonts w:eastAsia="Calibri"/>
                <w:color w:val="000000"/>
                <w:sz w:val="22"/>
                <w:lang w:val="uk-UA"/>
              </w:rPr>
              <w:t>Робоча станція диспетчерського пункту з програмним забезпеченням</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одиниць</w:t>
            </w:r>
          </w:p>
        </w:tc>
        <w:tc>
          <w:tcPr>
            <w:tcW w:w="1807" w:type="dxa"/>
            <w:gridSpan w:val="2"/>
            <w:tcBorders>
              <w:top w:val="single" w:sz="4" w:space="0" w:color="auto"/>
              <w:lef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1</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 xml:space="preserve">Ключові заходи проекту: </w:t>
            </w:r>
          </w:p>
          <w:p w:rsidR="00E95FB1" w:rsidRPr="001916D0" w:rsidRDefault="00E95FB1" w:rsidP="001B3967">
            <w:pPr>
              <w:pStyle w:val="a7"/>
              <w:ind w:left="0"/>
              <w:rPr>
                <w:b/>
                <w:sz w:val="22"/>
                <w:lang w:val="uk-UA"/>
              </w:rPr>
            </w:pPr>
          </w:p>
        </w:tc>
        <w:tc>
          <w:tcPr>
            <w:tcW w:w="7052" w:type="dxa"/>
            <w:gridSpan w:val="7"/>
          </w:tcPr>
          <w:p w:rsidR="00E95FB1" w:rsidRPr="001916D0" w:rsidRDefault="00E95FB1" w:rsidP="000303D7">
            <w:pPr>
              <w:numPr>
                <w:ilvl w:val="0"/>
                <w:numId w:val="69"/>
              </w:numPr>
              <w:autoSpaceDE w:val="0"/>
              <w:autoSpaceDN w:val="0"/>
              <w:adjustRightInd w:val="0"/>
              <w:ind w:left="0" w:firstLine="0"/>
              <w:rPr>
                <w:rFonts w:eastAsia="Calibri"/>
                <w:color w:val="000000"/>
                <w:sz w:val="22"/>
                <w:lang w:val="uk-UA"/>
              </w:rPr>
            </w:pPr>
            <w:r w:rsidRPr="001916D0">
              <w:rPr>
                <w:rFonts w:eastAsia="Batang"/>
                <w:color w:val="000000"/>
                <w:sz w:val="22"/>
                <w:lang w:val="uk-UA"/>
              </w:rPr>
              <w:t xml:space="preserve">огляд стану мереж зовнішнього освітлення </w:t>
            </w:r>
            <w:proofErr w:type="spellStart"/>
            <w:r w:rsidRPr="001916D0">
              <w:rPr>
                <w:rFonts w:eastAsia="Batang"/>
                <w:color w:val="000000"/>
                <w:sz w:val="22"/>
                <w:lang w:val="uk-UA"/>
              </w:rPr>
              <w:t>м.Сєвєродонецьк</w:t>
            </w:r>
            <w:proofErr w:type="spellEnd"/>
            <w:r w:rsidRPr="001916D0">
              <w:rPr>
                <w:rFonts w:eastAsia="Batang"/>
                <w:color w:val="000000"/>
                <w:sz w:val="22"/>
                <w:lang w:val="uk-UA"/>
              </w:rPr>
              <w:t xml:space="preserve"> та прилеглих селищ;</w:t>
            </w:r>
          </w:p>
          <w:p w:rsidR="00E95FB1" w:rsidRPr="001916D0" w:rsidRDefault="00E95FB1" w:rsidP="000303D7">
            <w:pPr>
              <w:numPr>
                <w:ilvl w:val="0"/>
                <w:numId w:val="69"/>
              </w:numPr>
              <w:autoSpaceDE w:val="0"/>
              <w:autoSpaceDN w:val="0"/>
              <w:adjustRightInd w:val="0"/>
              <w:ind w:left="0" w:firstLine="0"/>
              <w:rPr>
                <w:rFonts w:eastAsia="Calibri"/>
                <w:color w:val="000000"/>
                <w:sz w:val="22"/>
                <w:lang w:val="uk-UA"/>
              </w:rPr>
            </w:pPr>
            <w:r w:rsidRPr="001916D0">
              <w:rPr>
                <w:rFonts w:eastAsia="Batang"/>
                <w:color w:val="000000"/>
                <w:sz w:val="22"/>
                <w:lang w:val="uk-UA"/>
              </w:rPr>
              <w:t>проведення інвентаризації мереж зовнішнього освітлення;</w:t>
            </w:r>
          </w:p>
          <w:p w:rsidR="00E95FB1" w:rsidRPr="001916D0" w:rsidRDefault="00E95FB1" w:rsidP="000303D7">
            <w:pPr>
              <w:numPr>
                <w:ilvl w:val="0"/>
                <w:numId w:val="69"/>
              </w:numPr>
              <w:autoSpaceDE w:val="0"/>
              <w:autoSpaceDN w:val="0"/>
              <w:adjustRightInd w:val="0"/>
              <w:ind w:left="0" w:firstLine="0"/>
              <w:rPr>
                <w:rFonts w:eastAsia="Calibri"/>
                <w:color w:val="000000"/>
                <w:sz w:val="22"/>
                <w:lang w:val="uk-UA"/>
              </w:rPr>
            </w:pPr>
            <w:r w:rsidRPr="001916D0">
              <w:rPr>
                <w:rFonts w:eastAsia="Batang"/>
                <w:color w:val="000000"/>
                <w:sz w:val="22"/>
                <w:lang w:val="uk-UA"/>
              </w:rPr>
              <w:t>закупівля техніки, палива, спецодягу, інструменту, матеріалів;</w:t>
            </w:r>
          </w:p>
          <w:p w:rsidR="00E95FB1" w:rsidRPr="001916D0" w:rsidRDefault="00E95FB1" w:rsidP="000303D7">
            <w:pPr>
              <w:numPr>
                <w:ilvl w:val="0"/>
                <w:numId w:val="69"/>
              </w:numPr>
              <w:autoSpaceDE w:val="0"/>
              <w:autoSpaceDN w:val="0"/>
              <w:adjustRightInd w:val="0"/>
              <w:ind w:left="0" w:firstLine="0"/>
              <w:rPr>
                <w:rFonts w:eastAsia="Calibri"/>
                <w:color w:val="000000"/>
                <w:sz w:val="22"/>
                <w:lang w:val="uk-UA"/>
              </w:rPr>
            </w:pPr>
            <w:r w:rsidRPr="001916D0">
              <w:rPr>
                <w:rFonts w:eastAsia="Batang"/>
                <w:color w:val="000000"/>
                <w:sz w:val="22"/>
                <w:lang w:val="uk-UA"/>
              </w:rPr>
              <w:t>аналіз стану мереж зовнішнього освітлення;</w:t>
            </w:r>
          </w:p>
          <w:p w:rsidR="00E95FB1" w:rsidRPr="001916D0" w:rsidRDefault="00E95FB1" w:rsidP="000303D7">
            <w:pPr>
              <w:numPr>
                <w:ilvl w:val="0"/>
                <w:numId w:val="69"/>
              </w:numPr>
              <w:autoSpaceDE w:val="0"/>
              <w:autoSpaceDN w:val="0"/>
              <w:adjustRightInd w:val="0"/>
              <w:ind w:left="0" w:firstLine="0"/>
              <w:rPr>
                <w:rFonts w:eastAsia="Calibri"/>
                <w:color w:val="000000"/>
                <w:sz w:val="22"/>
                <w:lang w:val="uk-UA"/>
              </w:rPr>
            </w:pPr>
            <w:r w:rsidRPr="001916D0">
              <w:rPr>
                <w:rFonts w:eastAsia="Batang"/>
                <w:color w:val="000000"/>
                <w:sz w:val="22"/>
                <w:lang w:val="uk-UA"/>
              </w:rPr>
              <w:t>складання кошторисів для проведення відновлювальних робіт;</w:t>
            </w:r>
          </w:p>
          <w:p w:rsidR="00E95FB1" w:rsidRPr="001916D0" w:rsidRDefault="00E95FB1" w:rsidP="000303D7">
            <w:pPr>
              <w:numPr>
                <w:ilvl w:val="0"/>
                <w:numId w:val="69"/>
              </w:numPr>
              <w:autoSpaceDE w:val="0"/>
              <w:autoSpaceDN w:val="0"/>
              <w:adjustRightInd w:val="0"/>
              <w:ind w:left="0" w:firstLine="0"/>
              <w:rPr>
                <w:rFonts w:eastAsia="Batang"/>
                <w:color w:val="000000"/>
                <w:sz w:val="22"/>
                <w:lang w:val="uk-UA"/>
              </w:rPr>
            </w:pPr>
            <w:r w:rsidRPr="001916D0">
              <w:rPr>
                <w:rFonts w:eastAsia="Batang"/>
                <w:color w:val="000000"/>
                <w:sz w:val="22"/>
                <w:lang w:val="uk-UA"/>
              </w:rPr>
              <w:t>укладання договорів на проведення відновлювальних робіт;</w:t>
            </w:r>
          </w:p>
          <w:p w:rsidR="00E95FB1" w:rsidRPr="001916D0" w:rsidRDefault="00E95FB1" w:rsidP="000303D7">
            <w:pPr>
              <w:numPr>
                <w:ilvl w:val="0"/>
                <w:numId w:val="69"/>
              </w:numPr>
              <w:autoSpaceDE w:val="0"/>
              <w:autoSpaceDN w:val="0"/>
              <w:adjustRightInd w:val="0"/>
              <w:ind w:left="0" w:firstLine="0"/>
              <w:rPr>
                <w:rFonts w:eastAsia="Batang"/>
                <w:color w:val="000000"/>
                <w:sz w:val="22"/>
                <w:lang w:val="uk-UA"/>
              </w:rPr>
            </w:pPr>
            <w:r w:rsidRPr="001916D0">
              <w:rPr>
                <w:rFonts w:eastAsia="Batang"/>
                <w:color w:val="000000"/>
                <w:sz w:val="22"/>
                <w:lang w:val="uk-UA"/>
              </w:rPr>
              <w:t>проведення відновлювальних робіт.</w:t>
            </w:r>
          </w:p>
        </w:tc>
      </w:tr>
      <w:tr w:rsidR="00E95FB1" w:rsidRPr="001916D0" w:rsidTr="001B3967">
        <w:trPr>
          <w:trHeight w:val="360"/>
        </w:trPr>
        <w:tc>
          <w:tcPr>
            <w:tcW w:w="2836"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Орієнтовний обсяг та джерела фінансування, тис. грн. </w:t>
            </w:r>
          </w:p>
          <w:p w:rsidR="00E95FB1" w:rsidRPr="001916D0" w:rsidRDefault="00E95FB1" w:rsidP="001B3967">
            <w:pPr>
              <w:pStyle w:val="a7"/>
              <w:ind w:left="0"/>
              <w:rPr>
                <w:b/>
                <w:sz w:val="22"/>
                <w:lang w:val="uk-UA"/>
              </w:rPr>
            </w:pPr>
          </w:p>
        </w:tc>
        <w:tc>
          <w:tcPr>
            <w:tcW w:w="1893"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Державний бюджет</w:t>
            </w:r>
          </w:p>
        </w:tc>
        <w:tc>
          <w:tcPr>
            <w:tcW w:w="1311"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Місцевий бюджет</w:t>
            </w:r>
          </w:p>
        </w:tc>
        <w:tc>
          <w:tcPr>
            <w:tcW w:w="2451" w:type="dxa"/>
            <w:gridSpan w:val="4"/>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Інші джерела</w:t>
            </w:r>
          </w:p>
        </w:tc>
        <w:tc>
          <w:tcPr>
            <w:tcW w:w="1397" w:type="dxa"/>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Всього</w:t>
            </w:r>
          </w:p>
        </w:tc>
      </w:tr>
      <w:tr w:rsidR="00E95FB1" w:rsidRPr="001916D0" w:rsidTr="001B3967">
        <w:trPr>
          <w:trHeight w:val="225"/>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1893" w:type="dxa"/>
            <w:vMerge w:val="restart"/>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rFonts w:eastAsia="Calibri"/>
                <w:color w:val="000000"/>
                <w:sz w:val="22"/>
                <w:lang w:val="uk-UA"/>
              </w:rPr>
              <w:t>86240,0</w:t>
            </w:r>
          </w:p>
        </w:tc>
        <w:tc>
          <w:tcPr>
            <w:tcW w:w="1311" w:type="dxa"/>
            <w:vMerge w:val="restart"/>
            <w:tcBorders>
              <w:top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w:t>
            </w:r>
          </w:p>
        </w:tc>
        <w:tc>
          <w:tcPr>
            <w:tcW w:w="996"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Обсяг</w:t>
            </w:r>
          </w:p>
        </w:tc>
        <w:tc>
          <w:tcPr>
            <w:tcW w:w="1455"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Назва джерела</w:t>
            </w:r>
          </w:p>
        </w:tc>
        <w:tc>
          <w:tcPr>
            <w:tcW w:w="1397" w:type="dxa"/>
            <w:vMerge w:val="restart"/>
            <w:tcBorders>
              <w:top w:val="single" w:sz="4" w:space="0" w:color="auto"/>
              <w:left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r w:rsidRPr="001916D0">
              <w:rPr>
                <w:rFonts w:eastAsia="Calibri"/>
                <w:color w:val="000000"/>
                <w:sz w:val="22"/>
                <w:lang w:val="uk-UA"/>
              </w:rPr>
              <w:t>123200,0</w:t>
            </w:r>
          </w:p>
        </w:tc>
      </w:tr>
      <w:tr w:rsidR="00E95FB1" w:rsidRPr="001916D0" w:rsidTr="001B3967">
        <w:trPr>
          <w:trHeight w:val="30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1893" w:type="dxa"/>
            <w:vMerge/>
            <w:tcBorders>
              <w:right w:val="single" w:sz="4" w:space="0" w:color="auto"/>
            </w:tcBorders>
          </w:tcPr>
          <w:p w:rsidR="00E95FB1" w:rsidRPr="001916D0" w:rsidRDefault="00E95FB1" w:rsidP="001B3967">
            <w:pPr>
              <w:pStyle w:val="a7"/>
              <w:ind w:left="0"/>
              <w:jc w:val="center"/>
              <w:rPr>
                <w:sz w:val="22"/>
                <w:lang w:val="uk-UA"/>
              </w:rPr>
            </w:pPr>
          </w:p>
        </w:tc>
        <w:tc>
          <w:tcPr>
            <w:tcW w:w="1311" w:type="dxa"/>
            <w:vMerge/>
            <w:tcBorders>
              <w:right w:val="single" w:sz="4" w:space="0" w:color="auto"/>
            </w:tcBorders>
          </w:tcPr>
          <w:p w:rsidR="00E95FB1" w:rsidRPr="001916D0" w:rsidRDefault="00E95FB1" w:rsidP="001B3967">
            <w:pPr>
              <w:pStyle w:val="a7"/>
              <w:ind w:left="0"/>
              <w:jc w:val="center"/>
              <w:rPr>
                <w:b/>
                <w:sz w:val="22"/>
                <w:lang w:val="uk-UA"/>
              </w:rPr>
            </w:pPr>
          </w:p>
        </w:tc>
        <w:tc>
          <w:tcPr>
            <w:tcW w:w="996"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rFonts w:eastAsia="Calibri"/>
                <w:color w:val="000000"/>
                <w:sz w:val="22"/>
                <w:lang w:val="uk-UA"/>
              </w:rPr>
              <w:t>36960,0</w:t>
            </w:r>
          </w:p>
        </w:tc>
        <w:tc>
          <w:tcPr>
            <w:tcW w:w="1455"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Міжнародні інвестиції, кошти приватних осіб</w:t>
            </w:r>
          </w:p>
        </w:tc>
        <w:tc>
          <w:tcPr>
            <w:tcW w:w="1397" w:type="dxa"/>
            <w:vMerge/>
            <w:tcBorders>
              <w:left w:val="single" w:sz="4" w:space="0" w:color="auto"/>
            </w:tcBorders>
          </w:tcPr>
          <w:p w:rsidR="00E95FB1" w:rsidRPr="001916D0" w:rsidRDefault="00E95FB1" w:rsidP="001B3967">
            <w:pPr>
              <w:pStyle w:val="a7"/>
              <w:ind w:left="0"/>
              <w:jc w:val="center"/>
              <w:rPr>
                <w:sz w:val="22"/>
                <w:lang w:val="uk-UA"/>
              </w:rPr>
            </w:pPr>
          </w:p>
        </w:tc>
      </w:tr>
    </w:tbl>
    <w:p w:rsidR="00E95FB1" w:rsidRPr="001916D0" w:rsidRDefault="00E95FB1" w:rsidP="00E95FB1">
      <w:pPr>
        <w:rPr>
          <w:sz w:val="22"/>
        </w:rPr>
      </w:pPr>
    </w:p>
    <w:p w:rsidR="00E95FB1" w:rsidRPr="001916D0" w:rsidRDefault="00E95FB1" w:rsidP="00E95FB1">
      <w:pPr>
        <w:rPr>
          <w:sz w:val="22"/>
        </w:rPr>
      </w:pPr>
    </w:p>
    <w:tbl>
      <w:tblPr>
        <w:tblStyle w:val="af"/>
        <w:tblW w:w="0" w:type="auto"/>
        <w:tblInd w:w="-176" w:type="dxa"/>
        <w:tblLook w:val="04A0" w:firstRow="1" w:lastRow="0" w:firstColumn="1" w:lastColumn="0" w:noHBand="0" w:noVBand="1"/>
      </w:tblPr>
      <w:tblGrid>
        <w:gridCol w:w="2716"/>
        <w:gridCol w:w="1852"/>
        <w:gridCol w:w="1299"/>
        <w:gridCol w:w="175"/>
        <w:gridCol w:w="814"/>
        <w:gridCol w:w="1029"/>
        <w:gridCol w:w="415"/>
        <w:gridCol w:w="1362"/>
      </w:tblGrid>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Оперативна ціль/завдання</w:t>
            </w:r>
          </w:p>
        </w:tc>
        <w:tc>
          <w:tcPr>
            <w:tcW w:w="7052" w:type="dxa"/>
            <w:gridSpan w:val="7"/>
            <w:shd w:val="clear" w:color="auto" w:fill="auto"/>
          </w:tcPr>
          <w:p w:rsidR="00E95FB1" w:rsidRPr="001916D0" w:rsidRDefault="00E95FB1" w:rsidP="001B3967">
            <w:pPr>
              <w:pStyle w:val="a7"/>
              <w:ind w:left="0"/>
              <w:rPr>
                <w:sz w:val="22"/>
                <w:lang w:val="uk-UA"/>
              </w:rPr>
            </w:pPr>
            <w:r w:rsidRPr="001916D0">
              <w:rPr>
                <w:rFonts w:eastAsia="Arial"/>
                <w:sz w:val="22"/>
                <w:lang w:val="uk-UA"/>
              </w:rPr>
              <w:t xml:space="preserve">Комфорт життя ЛЮДИНИ як безпека, екологічна сталість та  розумна енергетика. Громадська та інформаційна безпека території громади  </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Назва проекту:</w:t>
            </w:r>
          </w:p>
        </w:tc>
        <w:tc>
          <w:tcPr>
            <w:tcW w:w="7052" w:type="dxa"/>
            <w:gridSpan w:val="7"/>
            <w:shd w:val="clear" w:color="auto" w:fill="auto"/>
          </w:tcPr>
          <w:p w:rsidR="00E95FB1" w:rsidRPr="001916D0" w:rsidRDefault="00E95FB1" w:rsidP="001B3967">
            <w:pPr>
              <w:pStyle w:val="a7"/>
              <w:ind w:left="0"/>
              <w:rPr>
                <w:sz w:val="22"/>
                <w:lang w:val="uk-UA"/>
              </w:rPr>
            </w:pPr>
            <w:r w:rsidRPr="001916D0">
              <w:rPr>
                <w:rFonts w:eastAsia="Batang"/>
                <w:color w:val="000000"/>
                <w:sz w:val="22"/>
                <w:lang w:val="uk-UA"/>
              </w:rPr>
              <w:t xml:space="preserve">Капітальний ремонт світлофорних об’єктів </w:t>
            </w:r>
            <w:proofErr w:type="spellStart"/>
            <w:r w:rsidRPr="001916D0">
              <w:rPr>
                <w:rFonts w:eastAsia="Batang"/>
                <w:color w:val="000000"/>
                <w:sz w:val="22"/>
                <w:lang w:val="uk-UA"/>
              </w:rPr>
              <w:t>м.Сєвєродонецьк</w:t>
            </w:r>
            <w:proofErr w:type="spellEnd"/>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Ціль проекту</w:t>
            </w:r>
          </w:p>
        </w:tc>
        <w:tc>
          <w:tcPr>
            <w:tcW w:w="7052" w:type="dxa"/>
            <w:gridSpan w:val="7"/>
          </w:tcPr>
          <w:p w:rsidR="00E95FB1" w:rsidRPr="001916D0" w:rsidRDefault="00E95FB1" w:rsidP="000303D7">
            <w:pPr>
              <w:numPr>
                <w:ilvl w:val="0"/>
                <w:numId w:val="68"/>
              </w:numPr>
              <w:autoSpaceDE w:val="0"/>
              <w:autoSpaceDN w:val="0"/>
              <w:adjustRightInd w:val="0"/>
              <w:ind w:left="0" w:firstLine="0"/>
              <w:rPr>
                <w:sz w:val="22"/>
                <w:lang w:val="uk-UA"/>
              </w:rPr>
            </w:pPr>
            <w:r w:rsidRPr="001916D0">
              <w:rPr>
                <w:sz w:val="22"/>
                <w:lang w:val="uk-UA"/>
              </w:rPr>
              <w:t>відновити роботу світлофорних об’єктів;</w:t>
            </w:r>
          </w:p>
          <w:p w:rsidR="00E95FB1" w:rsidRPr="001916D0" w:rsidRDefault="00E95FB1" w:rsidP="000303D7">
            <w:pPr>
              <w:numPr>
                <w:ilvl w:val="0"/>
                <w:numId w:val="68"/>
              </w:numPr>
              <w:autoSpaceDE w:val="0"/>
              <w:autoSpaceDN w:val="0"/>
              <w:adjustRightInd w:val="0"/>
              <w:ind w:left="0" w:firstLine="0"/>
              <w:rPr>
                <w:sz w:val="22"/>
                <w:lang w:val="uk-UA"/>
              </w:rPr>
            </w:pPr>
            <w:r w:rsidRPr="001916D0">
              <w:rPr>
                <w:sz w:val="22"/>
                <w:lang w:val="uk-UA"/>
              </w:rPr>
              <w:t>забезпечити безпечні та комфортні умови пересування транспорту та пішоходів;</w:t>
            </w:r>
          </w:p>
          <w:p w:rsidR="00E95FB1" w:rsidRPr="001916D0" w:rsidRDefault="00E95FB1" w:rsidP="000303D7">
            <w:pPr>
              <w:numPr>
                <w:ilvl w:val="0"/>
                <w:numId w:val="68"/>
              </w:numPr>
              <w:autoSpaceDE w:val="0"/>
              <w:autoSpaceDN w:val="0"/>
              <w:adjustRightInd w:val="0"/>
              <w:ind w:left="0" w:firstLine="0"/>
              <w:rPr>
                <w:sz w:val="22"/>
                <w:lang w:val="uk-UA"/>
              </w:rPr>
            </w:pPr>
            <w:r w:rsidRPr="001916D0">
              <w:rPr>
                <w:sz w:val="22"/>
                <w:lang w:val="uk-UA"/>
              </w:rPr>
              <w:t>удосконалити систему керування дорожнім рухом в місті;</w:t>
            </w:r>
          </w:p>
          <w:p w:rsidR="00E95FB1" w:rsidRPr="001916D0" w:rsidRDefault="00E95FB1" w:rsidP="000303D7">
            <w:pPr>
              <w:numPr>
                <w:ilvl w:val="0"/>
                <w:numId w:val="68"/>
              </w:numPr>
              <w:autoSpaceDE w:val="0"/>
              <w:autoSpaceDN w:val="0"/>
              <w:adjustRightInd w:val="0"/>
              <w:ind w:left="0" w:firstLine="0"/>
              <w:rPr>
                <w:sz w:val="22"/>
                <w:lang w:val="uk-UA"/>
              </w:rPr>
            </w:pPr>
            <w:r w:rsidRPr="001916D0">
              <w:rPr>
                <w:sz w:val="22"/>
                <w:lang w:val="uk-UA"/>
              </w:rPr>
              <w:t>зменшити рівень аварійності на дорогах міста;</w:t>
            </w:r>
          </w:p>
          <w:p w:rsidR="00E95FB1" w:rsidRPr="001916D0" w:rsidRDefault="00E95FB1" w:rsidP="000303D7">
            <w:pPr>
              <w:numPr>
                <w:ilvl w:val="0"/>
                <w:numId w:val="68"/>
              </w:numPr>
              <w:autoSpaceDE w:val="0"/>
              <w:autoSpaceDN w:val="0"/>
              <w:adjustRightInd w:val="0"/>
              <w:ind w:left="0" w:firstLine="0"/>
              <w:rPr>
                <w:sz w:val="22"/>
                <w:lang w:val="uk-UA"/>
              </w:rPr>
            </w:pPr>
            <w:r w:rsidRPr="001916D0">
              <w:rPr>
                <w:sz w:val="22"/>
                <w:lang w:val="uk-UA"/>
              </w:rPr>
              <w:t>зменшити ймовірність появи заторів;</w:t>
            </w:r>
          </w:p>
          <w:p w:rsidR="00E95FB1" w:rsidRPr="001916D0" w:rsidRDefault="00E95FB1" w:rsidP="000303D7">
            <w:pPr>
              <w:numPr>
                <w:ilvl w:val="0"/>
                <w:numId w:val="68"/>
              </w:numPr>
              <w:autoSpaceDE w:val="0"/>
              <w:autoSpaceDN w:val="0"/>
              <w:adjustRightInd w:val="0"/>
              <w:ind w:left="0" w:firstLine="0"/>
              <w:rPr>
                <w:sz w:val="22"/>
                <w:lang w:val="uk-UA"/>
              </w:rPr>
            </w:pPr>
            <w:r w:rsidRPr="001916D0">
              <w:rPr>
                <w:sz w:val="22"/>
                <w:lang w:val="uk-UA"/>
              </w:rPr>
              <w:t>скоротити затримки транспортних засобів на перехрестях;</w:t>
            </w:r>
          </w:p>
          <w:p w:rsidR="00E95FB1" w:rsidRPr="001916D0" w:rsidRDefault="00E95FB1" w:rsidP="000303D7">
            <w:pPr>
              <w:numPr>
                <w:ilvl w:val="0"/>
                <w:numId w:val="68"/>
              </w:numPr>
              <w:autoSpaceDE w:val="0"/>
              <w:autoSpaceDN w:val="0"/>
              <w:adjustRightInd w:val="0"/>
              <w:ind w:left="0" w:firstLine="0"/>
              <w:rPr>
                <w:sz w:val="22"/>
                <w:lang w:val="uk-UA"/>
              </w:rPr>
            </w:pPr>
            <w:r w:rsidRPr="001916D0">
              <w:rPr>
                <w:sz w:val="22"/>
                <w:lang w:val="uk-UA"/>
              </w:rPr>
              <w:t>знизити рівень шуму від скупчення транспорту;</w:t>
            </w:r>
          </w:p>
          <w:p w:rsidR="00E95FB1" w:rsidRPr="001916D0" w:rsidRDefault="00E95FB1" w:rsidP="000303D7">
            <w:pPr>
              <w:numPr>
                <w:ilvl w:val="0"/>
                <w:numId w:val="68"/>
              </w:numPr>
              <w:autoSpaceDE w:val="0"/>
              <w:autoSpaceDN w:val="0"/>
              <w:adjustRightInd w:val="0"/>
              <w:ind w:left="0" w:firstLine="0"/>
              <w:rPr>
                <w:rFonts w:eastAsia="Calibri"/>
                <w:color w:val="000000"/>
                <w:sz w:val="22"/>
                <w:lang w:val="uk-UA"/>
              </w:rPr>
            </w:pPr>
            <w:r w:rsidRPr="001916D0">
              <w:rPr>
                <w:sz w:val="22"/>
                <w:lang w:val="uk-UA"/>
              </w:rPr>
              <w:t>зменшити викиди СО</w:t>
            </w:r>
            <w:r w:rsidRPr="001916D0">
              <w:rPr>
                <w:sz w:val="22"/>
                <w:vertAlign w:val="subscript"/>
                <w:lang w:val="uk-UA"/>
              </w:rPr>
              <w:t>2</w:t>
            </w:r>
            <w:r w:rsidRPr="001916D0">
              <w:rPr>
                <w:sz w:val="22"/>
                <w:lang w:val="uk-UA"/>
              </w:rPr>
              <w:t xml:space="preserve"> в атмосферу</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Територія, на яку матиме вплив реалізація проекту</w:t>
            </w:r>
          </w:p>
        </w:tc>
        <w:tc>
          <w:tcPr>
            <w:tcW w:w="7052" w:type="dxa"/>
            <w:gridSpan w:val="7"/>
          </w:tcPr>
          <w:p w:rsidR="00E95FB1" w:rsidRPr="001916D0" w:rsidRDefault="00E95FB1" w:rsidP="001B3967">
            <w:pPr>
              <w:pStyle w:val="a7"/>
              <w:ind w:left="0"/>
              <w:rPr>
                <w:sz w:val="22"/>
                <w:lang w:val="uk-UA"/>
              </w:rPr>
            </w:pPr>
            <w:r w:rsidRPr="001916D0">
              <w:rPr>
                <w:sz w:val="22"/>
                <w:lang w:val="uk-UA"/>
              </w:rPr>
              <w:t>Сєвєродонецька міська територіальна громада</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Чисельність населення, на яке матиме вплив реалізація проекту</w:t>
            </w:r>
          </w:p>
        </w:tc>
        <w:tc>
          <w:tcPr>
            <w:tcW w:w="7052" w:type="dxa"/>
            <w:gridSpan w:val="7"/>
          </w:tcPr>
          <w:p w:rsidR="00E95FB1" w:rsidRPr="001916D0" w:rsidRDefault="00E95FB1" w:rsidP="001B3967">
            <w:pPr>
              <w:pStyle w:val="a7"/>
              <w:ind w:left="0"/>
              <w:rPr>
                <w:sz w:val="22"/>
                <w:lang w:val="uk-UA"/>
              </w:rPr>
            </w:pPr>
            <w:r w:rsidRPr="001916D0">
              <w:rPr>
                <w:sz w:val="22"/>
                <w:lang w:val="uk-UA"/>
              </w:rPr>
              <w:t xml:space="preserve"> 70 000  осіб</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Опис проблеми, на вирішення якої  спрямований проект</w:t>
            </w:r>
          </w:p>
        </w:tc>
        <w:tc>
          <w:tcPr>
            <w:tcW w:w="7052" w:type="dxa"/>
            <w:gridSpan w:val="7"/>
          </w:tcPr>
          <w:p w:rsidR="00E95FB1" w:rsidRPr="001916D0" w:rsidRDefault="00E95FB1" w:rsidP="001B3967">
            <w:pPr>
              <w:pStyle w:val="13"/>
              <w:jc w:val="both"/>
              <w:rPr>
                <w:sz w:val="22"/>
                <w:lang w:val="uk-UA"/>
              </w:rPr>
            </w:pPr>
            <w:r w:rsidRPr="001916D0">
              <w:rPr>
                <w:rFonts w:eastAsia="Calibri"/>
                <w:color w:val="000000"/>
                <w:sz w:val="22"/>
                <w:lang w:val="uk-UA"/>
              </w:rPr>
              <w:t>Через ведення бойових дій на території Сєвєродонецької територіальної громади та</w:t>
            </w:r>
            <w:r w:rsidR="00CC7286" w:rsidRPr="001916D0">
              <w:rPr>
                <w:rFonts w:eastAsia="Calibri"/>
                <w:color w:val="000000"/>
                <w:sz w:val="22"/>
                <w:lang w:val="uk-UA"/>
              </w:rPr>
              <w:t>,</w:t>
            </w:r>
            <w:r w:rsidRPr="001916D0">
              <w:rPr>
                <w:rFonts w:eastAsia="Calibri"/>
                <w:color w:val="000000"/>
                <w:sz w:val="22"/>
                <w:lang w:val="uk-UA"/>
              </w:rPr>
              <w:t xml:space="preserve"> зокрема</w:t>
            </w:r>
            <w:r w:rsidR="00CC7286" w:rsidRPr="001916D0">
              <w:rPr>
                <w:rFonts w:eastAsia="Calibri"/>
                <w:color w:val="000000"/>
                <w:sz w:val="22"/>
                <w:lang w:val="uk-UA"/>
              </w:rPr>
              <w:t>,</w:t>
            </w:r>
            <w:r w:rsidRPr="001916D0">
              <w:rPr>
                <w:rFonts w:eastAsia="Calibri"/>
                <w:color w:val="000000"/>
                <w:sz w:val="22"/>
                <w:lang w:val="uk-UA"/>
              </w:rPr>
              <w:t xml:space="preserve"> на території </w:t>
            </w:r>
            <w:proofErr w:type="spellStart"/>
            <w:r w:rsidRPr="001916D0">
              <w:rPr>
                <w:rFonts w:eastAsia="Calibri"/>
                <w:color w:val="000000"/>
                <w:sz w:val="22"/>
                <w:lang w:val="uk-UA"/>
              </w:rPr>
              <w:t>м.Сєвєродонецьк</w:t>
            </w:r>
            <w:proofErr w:type="spellEnd"/>
            <w:r w:rsidRPr="001916D0">
              <w:rPr>
                <w:rFonts w:eastAsia="Calibri"/>
                <w:color w:val="000000"/>
                <w:sz w:val="22"/>
                <w:lang w:val="uk-UA"/>
              </w:rPr>
              <w:t xml:space="preserve"> світлофорні об’єкти знаходяться у неробочому стані і потребують повного відновлення та модернізації шляхом встановлення нових світлофорних модулів</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якісні результати від реалізації проекту</w:t>
            </w:r>
          </w:p>
        </w:tc>
        <w:tc>
          <w:tcPr>
            <w:tcW w:w="7052" w:type="dxa"/>
            <w:gridSpan w:val="7"/>
          </w:tcPr>
          <w:p w:rsidR="00E95FB1" w:rsidRPr="001916D0" w:rsidRDefault="00E95FB1" w:rsidP="000303D7">
            <w:pPr>
              <w:numPr>
                <w:ilvl w:val="0"/>
                <w:numId w:val="68"/>
              </w:numPr>
              <w:autoSpaceDE w:val="0"/>
              <w:autoSpaceDN w:val="0"/>
              <w:adjustRightInd w:val="0"/>
              <w:ind w:left="0" w:firstLine="0"/>
              <w:rPr>
                <w:rFonts w:eastAsia="Calibri"/>
                <w:color w:val="000000"/>
                <w:sz w:val="22"/>
                <w:lang w:val="uk-UA"/>
              </w:rPr>
            </w:pPr>
            <w:r w:rsidRPr="001916D0">
              <w:rPr>
                <w:sz w:val="22"/>
                <w:bdr w:val="none" w:sz="0" w:space="0" w:color="auto" w:frame="1"/>
                <w:lang w:val="uk-UA"/>
              </w:rPr>
              <w:t>зменшення ймовірності появи заторів;</w:t>
            </w:r>
          </w:p>
          <w:p w:rsidR="00E95FB1" w:rsidRPr="001916D0" w:rsidRDefault="00E95FB1" w:rsidP="000303D7">
            <w:pPr>
              <w:numPr>
                <w:ilvl w:val="0"/>
                <w:numId w:val="68"/>
              </w:numPr>
              <w:autoSpaceDE w:val="0"/>
              <w:autoSpaceDN w:val="0"/>
              <w:adjustRightInd w:val="0"/>
              <w:ind w:left="0" w:firstLine="0"/>
              <w:rPr>
                <w:rFonts w:eastAsia="Calibri"/>
                <w:color w:val="000000"/>
                <w:sz w:val="22"/>
                <w:lang w:val="uk-UA"/>
              </w:rPr>
            </w:pPr>
            <w:r w:rsidRPr="001916D0">
              <w:rPr>
                <w:sz w:val="22"/>
                <w:bdr w:val="none" w:sz="0" w:space="0" w:color="auto" w:frame="1"/>
                <w:lang w:val="uk-UA"/>
              </w:rPr>
              <w:t>скорочення затримки транспортних засобів на світлофорах;</w:t>
            </w:r>
          </w:p>
          <w:p w:rsidR="00E95FB1" w:rsidRPr="001916D0" w:rsidRDefault="00E95FB1" w:rsidP="000303D7">
            <w:pPr>
              <w:numPr>
                <w:ilvl w:val="0"/>
                <w:numId w:val="68"/>
              </w:numPr>
              <w:autoSpaceDE w:val="0"/>
              <w:autoSpaceDN w:val="0"/>
              <w:adjustRightInd w:val="0"/>
              <w:ind w:left="0" w:firstLine="0"/>
              <w:rPr>
                <w:rFonts w:eastAsia="Calibri"/>
                <w:color w:val="000000"/>
                <w:sz w:val="22"/>
                <w:lang w:val="uk-UA"/>
              </w:rPr>
            </w:pPr>
            <w:r w:rsidRPr="001916D0">
              <w:rPr>
                <w:sz w:val="22"/>
                <w:bdr w:val="none" w:sz="0" w:space="0" w:color="auto" w:frame="1"/>
                <w:lang w:val="uk-UA"/>
              </w:rPr>
              <w:t>зниження рівня шуму від скупчення транспорту;</w:t>
            </w:r>
          </w:p>
          <w:p w:rsidR="00E95FB1" w:rsidRPr="001916D0" w:rsidRDefault="00E95FB1" w:rsidP="000303D7">
            <w:pPr>
              <w:numPr>
                <w:ilvl w:val="0"/>
                <w:numId w:val="68"/>
              </w:numPr>
              <w:autoSpaceDE w:val="0"/>
              <w:autoSpaceDN w:val="0"/>
              <w:adjustRightInd w:val="0"/>
              <w:ind w:left="0" w:firstLine="0"/>
              <w:rPr>
                <w:rFonts w:eastAsia="Calibri"/>
                <w:color w:val="000000"/>
                <w:sz w:val="22"/>
                <w:lang w:val="uk-UA"/>
              </w:rPr>
            </w:pPr>
            <w:r w:rsidRPr="001916D0">
              <w:rPr>
                <w:sz w:val="22"/>
                <w:bdr w:val="none" w:sz="0" w:space="0" w:color="auto" w:frame="1"/>
                <w:lang w:val="uk-UA"/>
              </w:rPr>
              <w:t xml:space="preserve">зменшення викидів вихлопних газів; </w:t>
            </w:r>
          </w:p>
          <w:p w:rsidR="00E95FB1" w:rsidRPr="001916D0" w:rsidRDefault="00E95FB1" w:rsidP="000303D7">
            <w:pPr>
              <w:numPr>
                <w:ilvl w:val="0"/>
                <w:numId w:val="68"/>
              </w:numPr>
              <w:autoSpaceDE w:val="0"/>
              <w:autoSpaceDN w:val="0"/>
              <w:adjustRightInd w:val="0"/>
              <w:ind w:left="0" w:firstLine="0"/>
              <w:rPr>
                <w:rFonts w:eastAsia="Calibri"/>
                <w:color w:val="000000"/>
                <w:sz w:val="22"/>
                <w:lang w:val="uk-UA"/>
              </w:rPr>
            </w:pPr>
            <w:r w:rsidRPr="001916D0">
              <w:rPr>
                <w:sz w:val="22"/>
                <w:bdr w:val="none" w:sz="0" w:space="0" w:color="auto" w:frame="1"/>
                <w:lang w:val="uk-UA"/>
              </w:rPr>
              <w:t xml:space="preserve">значне підвищення безпеки; </w:t>
            </w:r>
          </w:p>
          <w:p w:rsidR="00E95FB1" w:rsidRPr="001916D0" w:rsidRDefault="00E95FB1" w:rsidP="000303D7">
            <w:pPr>
              <w:numPr>
                <w:ilvl w:val="0"/>
                <w:numId w:val="68"/>
              </w:numPr>
              <w:autoSpaceDE w:val="0"/>
              <w:autoSpaceDN w:val="0"/>
              <w:adjustRightInd w:val="0"/>
              <w:ind w:left="0" w:firstLine="0"/>
              <w:rPr>
                <w:rFonts w:eastAsia="Calibri"/>
                <w:color w:val="000000"/>
                <w:sz w:val="22"/>
                <w:lang w:val="uk-UA"/>
              </w:rPr>
            </w:pPr>
            <w:r w:rsidRPr="001916D0">
              <w:rPr>
                <w:sz w:val="22"/>
                <w:bdr w:val="none" w:sz="0" w:space="0" w:color="auto" w:frame="1"/>
                <w:lang w:val="uk-UA"/>
              </w:rPr>
              <w:t xml:space="preserve">впровадження автоматизованої системи керування дорожнім рухом для оперативності управління дорожнім рухом, основними елементами якої є </w:t>
            </w:r>
            <w:proofErr w:type="spellStart"/>
            <w:r w:rsidRPr="001916D0">
              <w:rPr>
                <w:sz w:val="22"/>
                <w:bdr w:val="none" w:sz="0" w:space="0" w:color="auto" w:frame="1"/>
                <w:lang w:val="uk-UA"/>
              </w:rPr>
              <w:t>дорожньо</w:t>
            </w:r>
            <w:proofErr w:type="spellEnd"/>
            <w:r w:rsidRPr="001916D0">
              <w:rPr>
                <w:sz w:val="22"/>
                <w:bdr w:val="none" w:sz="0" w:space="0" w:color="auto" w:frame="1"/>
                <w:lang w:val="uk-UA"/>
              </w:rPr>
              <w:t>-діагностичні контролери, що дозволяють здійснювати передачу даних про роботу світлофорів до диспетчерського пункту через мережу Інтернет і забезпечують можливість дистанційної діагностики та управління світлофорними об'єктами без потреби виїзду на об’єкти.</w:t>
            </w:r>
          </w:p>
        </w:tc>
      </w:tr>
      <w:tr w:rsidR="00E95FB1" w:rsidRPr="001916D0" w:rsidTr="001B3967">
        <w:trPr>
          <w:trHeight w:val="390"/>
        </w:trPr>
        <w:tc>
          <w:tcPr>
            <w:tcW w:w="2836"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Очікувані кількісні результати реалізації </w:t>
            </w:r>
            <w:proofErr w:type="spellStart"/>
            <w:r w:rsidRPr="001916D0">
              <w:rPr>
                <w:b/>
                <w:sz w:val="22"/>
                <w:lang w:val="uk-UA"/>
              </w:rPr>
              <w:t>проєкту</w:t>
            </w:r>
            <w:proofErr w:type="spellEnd"/>
            <w:r w:rsidRPr="001916D0">
              <w:rPr>
                <w:b/>
                <w:sz w:val="22"/>
                <w:lang w:val="uk-UA"/>
              </w:rPr>
              <w:t xml:space="preserve"> (індикатори)</w:t>
            </w:r>
          </w:p>
          <w:p w:rsidR="00E95FB1" w:rsidRPr="001916D0" w:rsidRDefault="00E95FB1" w:rsidP="001B3967">
            <w:pPr>
              <w:pStyle w:val="a7"/>
              <w:ind w:left="0"/>
              <w:rPr>
                <w:b/>
                <w:sz w:val="22"/>
                <w:lang w:val="uk-UA"/>
              </w:rPr>
            </w:pPr>
          </w:p>
        </w:tc>
        <w:tc>
          <w:tcPr>
            <w:tcW w:w="3402" w:type="dxa"/>
            <w:gridSpan w:val="3"/>
            <w:tcBorders>
              <w:bottom w:val="single" w:sz="4" w:space="0" w:color="auto"/>
              <w:right w:val="single" w:sz="4" w:space="0" w:color="auto"/>
            </w:tcBorders>
          </w:tcPr>
          <w:p w:rsidR="00E95FB1" w:rsidRPr="001916D0" w:rsidRDefault="00E95FB1" w:rsidP="001B3967">
            <w:pPr>
              <w:pStyle w:val="a7"/>
              <w:ind w:left="-108"/>
              <w:jc w:val="center"/>
              <w:rPr>
                <w:b/>
                <w:sz w:val="22"/>
                <w:lang w:val="uk-UA"/>
              </w:rPr>
            </w:pPr>
            <w:r w:rsidRPr="001916D0">
              <w:rPr>
                <w:b/>
                <w:sz w:val="22"/>
                <w:lang w:val="uk-UA"/>
              </w:rPr>
              <w:t>Найменування показника</w:t>
            </w:r>
          </w:p>
        </w:tc>
        <w:tc>
          <w:tcPr>
            <w:tcW w:w="1843" w:type="dxa"/>
            <w:gridSpan w:val="2"/>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Одиниця вимірювання</w:t>
            </w:r>
          </w:p>
          <w:p w:rsidR="00E95FB1" w:rsidRPr="001916D0" w:rsidRDefault="00E95FB1" w:rsidP="001B3967">
            <w:pPr>
              <w:pStyle w:val="a7"/>
              <w:ind w:left="0"/>
              <w:rPr>
                <w:b/>
                <w:sz w:val="22"/>
                <w:lang w:val="uk-UA"/>
              </w:rPr>
            </w:pPr>
          </w:p>
        </w:tc>
        <w:tc>
          <w:tcPr>
            <w:tcW w:w="1807" w:type="dxa"/>
            <w:gridSpan w:val="2"/>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Прогнозне (цільове) значення</w:t>
            </w:r>
          </w:p>
        </w:tc>
      </w:tr>
      <w:tr w:rsidR="00E95FB1" w:rsidRPr="001916D0" w:rsidTr="001B3967">
        <w:trPr>
          <w:trHeight w:val="32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bottom w:val="single" w:sz="4" w:space="0" w:color="auto"/>
              <w:right w:val="single" w:sz="4" w:space="0" w:color="auto"/>
            </w:tcBorders>
          </w:tcPr>
          <w:p w:rsidR="00E95FB1" w:rsidRPr="001916D0" w:rsidRDefault="00E95FB1" w:rsidP="001B3967">
            <w:pPr>
              <w:autoSpaceDE w:val="0"/>
              <w:autoSpaceDN w:val="0"/>
              <w:adjustRightInd w:val="0"/>
              <w:rPr>
                <w:rFonts w:eastAsia="Calibri"/>
                <w:color w:val="000000"/>
                <w:sz w:val="22"/>
                <w:lang w:val="uk-UA"/>
              </w:rPr>
            </w:pPr>
            <w:r w:rsidRPr="001916D0">
              <w:rPr>
                <w:rFonts w:eastAsia="Calibri"/>
                <w:color w:val="000000"/>
                <w:sz w:val="22"/>
                <w:lang w:val="uk-UA"/>
              </w:rPr>
              <w:t>Світлофор транспортний</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одиниць</w:t>
            </w:r>
          </w:p>
        </w:tc>
        <w:tc>
          <w:tcPr>
            <w:tcW w:w="1807" w:type="dxa"/>
            <w:gridSpan w:val="2"/>
            <w:tcBorders>
              <w:top w:val="single" w:sz="4" w:space="0" w:color="auto"/>
              <w:left w:val="single" w:sz="4" w:space="0" w:color="auto"/>
              <w:bottom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118</w:t>
            </w:r>
          </w:p>
        </w:tc>
      </w:tr>
      <w:tr w:rsidR="00E95FB1" w:rsidRPr="001916D0" w:rsidTr="001B3967">
        <w:trPr>
          <w:trHeight w:val="15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right w:val="single" w:sz="4" w:space="0" w:color="auto"/>
            </w:tcBorders>
          </w:tcPr>
          <w:p w:rsidR="00E95FB1" w:rsidRPr="001916D0" w:rsidRDefault="00E95FB1" w:rsidP="001B3967">
            <w:pPr>
              <w:autoSpaceDE w:val="0"/>
              <w:autoSpaceDN w:val="0"/>
              <w:adjustRightInd w:val="0"/>
              <w:rPr>
                <w:rFonts w:eastAsia="Calibri"/>
                <w:color w:val="000000"/>
                <w:sz w:val="22"/>
                <w:lang w:val="uk-UA"/>
              </w:rPr>
            </w:pPr>
            <w:r w:rsidRPr="001916D0">
              <w:rPr>
                <w:rFonts w:eastAsia="Calibri"/>
                <w:color w:val="000000"/>
                <w:sz w:val="22"/>
                <w:lang w:val="uk-UA"/>
              </w:rPr>
              <w:t>Світлофор пішохідний</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одиниць</w:t>
            </w:r>
          </w:p>
        </w:tc>
        <w:tc>
          <w:tcPr>
            <w:tcW w:w="1807" w:type="dxa"/>
            <w:gridSpan w:val="2"/>
            <w:tcBorders>
              <w:top w:val="single" w:sz="4" w:space="0" w:color="auto"/>
              <w:lef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224</w:t>
            </w:r>
          </w:p>
        </w:tc>
      </w:tr>
      <w:tr w:rsidR="00E95FB1" w:rsidRPr="001916D0" w:rsidTr="001B3967">
        <w:trPr>
          <w:trHeight w:val="15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right w:val="single" w:sz="4" w:space="0" w:color="auto"/>
            </w:tcBorders>
          </w:tcPr>
          <w:p w:rsidR="00E95FB1" w:rsidRPr="001916D0" w:rsidRDefault="00E95FB1" w:rsidP="001B3967">
            <w:pPr>
              <w:autoSpaceDE w:val="0"/>
              <w:autoSpaceDN w:val="0"/>
              <w:adjustRightInd w:val="0"/>
              <w:rPr>
                <w:rFonts w:eastAsia="Calibri"/>
                <w:color w:val="000000"/>
                <w:sz w:val="22"/>
                <w:lang w:val="uk-UA"/>
              </w:rPr>
            </w:pPr>
            <w:r w:rsidRPr="001916D0">
              <w:rPr>
                <w:rFonts w:eastAsia="Calibri"/>
                <w:color w:val="000000"/>
                <w:sz w:val="22"/>
                <w:lang w:val="uk-UA"/>
              </w:rPr>
              <w:t>Дорожні контролери</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одиниць</w:t>
            </w:r>
          </w:p>
        </w:tc>
        <w:tc>
          <w:tcPr>
            <w:tcW w:w="1807" w:type="dxa"/>
            <w:gridSpan w:val="2"/>
            <w:tcBorders>
              <w:top w:val="single" w:sz="4" w:space="0" w:color="auto"/>
              <w:lef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27</w:t>
            </w:r>
          </w:p>
        </w:tc>
      </w:tr>
      <w:tr w:rsidR="00E95FB1" w:rsidRPr="001916D0" w:rsidTr="001B3967">
        <w:trPr>
          <w:trHeight w:val="15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right w:val="single" w:sz="4" w:space="0" w:color="auto"/>
            </w:tcBorders>
          </w:tcPr>
          <w:p w:rsidR="00E95FB1" w:rsidRPr="001916D0" w:rsidRDefault="00E95FB1" w:rsidP="001B3967">
            <w:pPr>
              <w:autoSpaceDE w:val="0"/>
              <w:autoSpaceDN w:val="0"/>
              <w:adjustRightInd w:val="0"/>
              <w:rPr>
                <w:rFonts w:eastAsia="Calibri"/>
                <w:color w:val="000000"/>
                <w:sz w:val="22"/>
                <w:lang w:val="uk-UA"/>
              </w:rPr>
            </w:pPr>
            <w:r w:rsidRPr="001916D0">
              <w:rPr>
                <w:rFonts w:eastAsia="Calibri"/>
                <w:color w:val="000000"/>
                <w:sz w:val="22"/>
                <w:lang w:val="uk-UA"/>
              </w:rPr>
              <w:t>Робоча станція технолога з програмним забезпеченням</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одиниць</w:t>
            </w:r>
          </w:p>
        </w:tc>
        <w:tc>
          <w:tcPr>
            <w:tcW w:w="1807" w:type="dxa"/>
            <w:gridSpan w:val="2"/>
            <w:tcBorders>
              <w:top w:val="single" w:sz="4" w:space="0" w:color="auto"/>
              <w:lef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1</w:t>
            </w:r>
          </w:p>
        </w:tc>
      </w:tr>
      <w:tr w:rsidR="00E95FB1" w:rsidRPr="001916D0" w:rsidTr="001B3967">
        <w:trPr>
          <w:trHeight w:val="15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right w:val="single" w:sz="4" w:space="0" w:color="auto"/>
            </w:tcBorders>
          </w:tcPr>
          <w:p w:rsidR="00E95FB1" w:rsidRPr="001916D0" w:rsidRDefault="00E95FB1" w:rsidP="001B3967">
            <w:pPr>
              <w:autoSpaceDE w:val="0"/>
              <w:autoSpaceDN w:val="0"/>
              <w:adjustRightInd w:val="0"/>
              <w:rPr>
                <w:rFonts w:eastAsia="Calibri"/>
                <w:color w:val="000000"/>
                <w:sz w:val="22"/>
                <w:lang w:val="uk-UA"/>
              </w:rPr>
            </w:pPr>
            <w:r w:rsidRPr="001916D0">
              <w:rPr>
                <w:rFonts w:eastAsia="Calibri"/>
                <w:color w:val="000000"/>
                <w:sz w:val="22"/>
                <w:lang w:val="uk-UA"/>
              </w:rPr>
              <w:t>Робоча станція диспетчерського пункту з програмним забезпеченням</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одиниць</w:t>
            </w:r>
          </w:p>
        </w:tc>
        <w:tc>
          <w:tcPr>
            <w:tcW w:w="1807" w:type="dxa"/>
            <w:gridSpan w:val="2"/>
            <w:tcBorders>
              <w:top w:val="single" w:sz="4" w:space="0" w:color="auto"/>
              <w:lef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1</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lastRenderedPageBreak/>
              <w:t xml:space="preserve">Ключові заходи проекту: </w:t>
            </w:r>
          </w:p>
          <w:p w:rsidR="00E95FB1" w:rsidRPr="001916D0" w:rsidRDefault="00E95FB1" w:rsidP="001B3967">
            <w:pPr>
              <w:pStyle w:val="a7"/>
              <w:ind w:left="0"/>
              <w:rPr>
                <w:b/>
                <w:sz w:val="22"/>
                <w:lang w:val="uk-UA"/>
              </w:rPr>
            </w:pPr>
          </w:p>
        </w:tc>
        <w:tc>
          <w:tcPr>
            <w:tcW w:w="7052" w:type="dxa"/>
            <w:gridSpan w:val="7"/>
          </w:tcPr>
          <w:p w:rsidR="00E95FB1" w:rsidRPr="001916D0" w:rsidRDefault="00E95FB1" w:rsidP="000303D7">
            <w:pPr>
              <w:numPr>
                <w:ilvl w:val="0"/>
                <w:numId w:val="69"/>
              </w:numPr>
              <w:autoSpaceDE w:val="0"/>
              <w:autoSpaceDN w:val="0"/>
              <w:adjustRightInd w:val="0"/>
              <w:ind w:left="0" w:firstLine="0"/>
              <w:rPr>
                <w:rFonts w:eastAsia="Batang"/>
                <w:color w:val="000000"/>
                <w:sz w:val="22"/>
                <w:lang w:val="uk-UA"/>
              </w:rPr>
            </w:pPr>
            <w:r w:rsidRPr="001916D0">
              <w:rPr>
                <w:rFonts w:eastAsia="Batang"/>
                <w:color w:val="000000"/>
                <w:sz w:val="22"/>
                <w:lang w:val="uk-UA"/>
              </w:rPr>
              <w:t>огляд стану світлофорних об’єктів;</w:t>
            </w:r>
          </w:p>
          <w:p w:rsidR="00E95FB1" w:rsidRPr="001916D0" w:rsidRDefault="00E95FB1" w:rsidP="000303D7">
            <w:pPr>
              <w:numPr>
                <w:ilvl w:val="0"/>
                <w:numId w:val="69"/>
              </w:numPr>
              <w:autoSpaceDE w:val="0"/>
              <w:autoSpaceDN w:val="0"/>
              <w:adjustRightInd w:val="0"/>
              <w:ind w:left="0" w:firstLine="0"/>
              <w:rPr>
                <w:rFonts w:eastAsia="Batang"/>
                <w:color w:val="000000"/>
                <w:sz w:val="22"/>
                <w:lang w:val="uk-UA"/>
              </w:rPr>
            </w:pPr>
            <w:r w:rsidRPr="001916D0">
              <w:rPr>
                <w:rFonts w:eastAsia="Batang"/>
                <w:color w:val="000000"/>
                <w:sz w:val="22"/>
                <w:lang w:val="uk-UA"/>
              </w:rPr>
              <w:t>проведення інвентаризації світлофорних об’єктів;</w:t>
            </w:r>
          </w:p>
          <w:p w:rsidR="00E95FB1" w:rsidRPr="001916D0" w:rsidRDefault="00E95FB1" w:rsidP="000303D7">
            <w:pPr>
              <w:numPr>
                <w:ilvl w:val="0"/>
                <w:numId w:val="69"/>
              </w:numPr>
              <w:autoSpaceDE w:val="0"/>
              <w:autoSpaceDN w:val="0"/>
              <w:adjustRightInd w:val="0"/>
              <w:ind w:left="0" w:firstLine="0"/>
              <w:rPr>
                <w:rFonts w:eastAsia="Batang"/>
                <w:color w:val="000000"/>
                <w:sz w:val="22"/>
                <w:lang w:val="uk-UA"/>
              </w:rPr>
            </w:pPr>
            <w:r w:rsidRPr="001916D0">
              <w:rPr>
                <w:rFonts w:eastAsia="Batang"/>
                <w:color w:val="000000"/>
                <w:sz w:val="22"/>
                <w:lang w:val="uk-UA"/>
              </w:rPr>
              <w:t>закупівля техніки, палива, спецодягу, інструменту, матеріалів;</w:t>
            </w:r>
          </w:p>
          <w:p w:rsidR="00E95FB1" w:rsidRPr="001916D0" w:rsidRDefault="00E95FB1" w:rsidP="000303D7">
            <w:pPr>
              <w:numPr>
                <w:ilvl w:val="0"/>
                <w:numId w:val="69"/>
              </w:numPr>
              <w:autoSpaceDE w:val="0"/>
              <w:autoSpaceDN w:val="0"/>
              <w:adjustRightInd w:val="0"/>
              <w:ind w:left="0" w:firstLine="0"/>
              <w:rPr>
                <w:rFonts w:eastAsia="Batang"/>
                <w:color w:val="000000"/>
                <w:sz w:val="22"/>
                <w:lang w:val="uk-UA"/>
              </w:rPr>
            </w:pPr>
            <w:r w:rsidRPr="001916D0">
              <w:rPr>
                <w:rFonts w:eastAsia="Batang"/>
                <w:color w:val="000000"/>
                <w:sz w:val="22"/>
                <w:lang w:val="uk-UA"/>
              </w:rPr>
              <w:t>аналіз стану світлофорних об’єктів;</w:t>
            </w:r>
          </w:p>
          <w:p w:rsidR="00E95FB1" w:rsidRPr="001916D0" w:rsidRDefault="00E95FB1" w:rsidP="000303D7">
            <w:pPr>
              <w:numPr>
                <w:ilvl w:val="0"/>
                <w:numId w:val="69"/>
              </w:numPr>
              <w:autoSpaceDE w:val="0"/>
              <w:autoSpaceDN w:val="0"/>
              <w:adjustRightInd w:val="0"/>
              <w:ind w:left="0" w:firstLine="0"/>
              <w:rPr>
                <w:rFonts w:eastAsia="Batang"/>
                <w:color w:val="000000"/>
                <w:sz w:val="22"/>
                <w:lang w:val="uk-UA"/>
              </w:rPr>
            </w:pPr>
            <w:r w:rsidRPr="001916D0">
              <w:rPr>
                <w:rFonts w:eastAsia="Batang"/>
                <w:color w:val="000000"/>
                <w:sz w:val="22"/>
                <w:lang w:val="uk-UA"/>
              </w:rPr>
              <w:t>складання кошторисів для відновлення світлофорних об’єктів;</w:t>
            </w:r>
          </w:p>
          <w:p w:rsidR="00E95FB1" w:rsidRPr="001916D0" w:rsidRDefault="00E95FB1" w:rsidP="000303D7">
            <w:pPr>
              <w:numPr>
                <w:ilvl w:val="0"/>
                <w:numId w:val="69"/>
              </w:numPr>
              <w:autoSpaceDE w:val="0"/>
              <w:autoSpaceDN w:val="0"/>
              <w:adjustRightInd w:val="0"/>
              <w:ind w:left="0" w:firstLine="0"/>
              <w:rPr>
                <w:rFonts w:eastAsia="Batang"/>
                <w:color w:val="000000"/>
                <w:sz w:val="22"/>
                <w:lang w:val="uk-UA"/>
              </w:rPr>
            </w:pPr>
            <w:r w:rsidRPr="001916D0">
              <w:rPr>
                <w:rFonts w:eastAsia="Batang"/>
                <w:color w:val="000000"/>
                <w:sz w:val="22"/>
                <w:lang w:val="uk-UA"/>
              </w:rPr>
              <w:t>укладання договорів на проведення відновлювальних робіт;</w:t>
            </w:r>
          </w:p>
          <w:p w:rsidR="00E95FB1" w:rsidRPr="001916D0" w:rsidRDefault="00E95FB1" w:rsidP="000303D7">
            <w:pPr>
              <w:numPr>
                <w:ilvl w:val="0"/>
                <w:numId w:val="69"/>
              </w:numPr>
              <w:autoSpaceDE w:val="0"/>
              <w:autoSpaceDN w:val="0"/>
              <w:adjustRightInd w:val="0"/>
              <w:ind w:left="0" w:firstLine="0"/>
              <w:rPr>
                <w:rFonts w:eastAsia="Batang"/>
                <w:color w:val="000000"/>
                <w:sz w:val="22"/>
                <w:lang w:val="uk-UA"/>
              </w:rPr>
            </w:pPr>
            <w:r w:rsidRPr="001916D0">
              <w:rPr>
                <w:rFonts w:eastAsia="Batang"/>
                <w:color w:val="000000"/>
                <w:sz w:val="22"/>
                <w:lang w:val="uk-UA"/>
              </w:rPr>
              <w:t>проведення відновлювальних робіт</w:t>
            </w:r>
          </w:p>
        </w:tc>
      </w:tr>
      <w:tr w:rsidR="00E95FB1" w:rsidRPr="001916D0" w:rsidTr="001B3967">
        <w:trPr>
          <w:trHeight w:val="360"/>
        </w:trPr>
        <w:tc>
          <w:tcPr>
            <w:tcW w:w="2836"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Орієнтовний обсяг та джерела фінансування, тис. грн. </w:t>
            </w:r>
          </w:p>
          <w:p w:rsidR="00E95FB1" w:rsidRPr="001916D0" w:rsidRDefault="00E95FB1" w:rsidP="001B3967">
            <w:pPr>
              <w:pStyle w:val="a7"/>
              <w:ind w:left="0"/>
              <w:rPr>
                <w:b/>
                <w:sz w:val="22"/>
                <w:lang w:val="uk-UA"/>
              </w:rPr>
            </w:pPr>
          </w:p>
        </w:tc>
        <w:tc>
          <w:tcPr>
            <w:tcW w:w="1908"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Державний бюджет</w:t>
            </w:r>
          </w:p>
        </w:tc>
        <w:tc>
          <w:tcPr>
            <w:tcW w:w="1312"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Місцевий бюджет</w:t>
            </w:r>
          </w:p>
        </w:tc>
        <w:tc>
          <w:tcPr>
            <w:tcW w:w="2451" w:type="dxa"/>
            <w:gridSpan w:val="4"/>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Інші джерела</w:t>
            </w:r>
          </w:p>
        </w:tc>
        <w:tc>
          <w:tcPr>
            <w:tcW w:w="1381" w:type="dxa"/>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Всього</w:t>
            </w:r>
          </w:p>
        </w:tc>
      </w:tr>
      <w:tr w:rsidR="00E95FB1" w:rsidRPr="001916D0" w:rsidTr="001B3967">
        <w:trPr>
          <w:trHeight w:val="225"/>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1908" w:type="dxa"/>
            <w:vMerge w:val="restart"/>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rFonts w:eastAsia="Calibri"/>
                <w:color w:val="000000"/>
                <w:sz w:val="22"/>
                <w:lang w:val="uk-UA"/>
              </w:rPr>
              <w:t>35140,0</w:t>
            </w:r>
          </w:p>
        </w:tc>
        <w:tc>
          <w:tcPr>
            <w:tcW w:w="1312" w:type="dxa"/>
            <w:vMerge w:val="restart"/>
            <w:tcBorders>
              <w:top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w:t>
            </w:r>
          </w:p>
        </w:tc>
        <w:tc>
          <w:tcPr>
            <w:tcW w:w="996"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Обсяг</w:t>
            </w:r>
          </w:p>
        </w:tc>
        <w:tc>
          <w:tcPr>
            <w:tcW w:w="1455"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Назва джерела</w:t>
            </w:r>
          </w:p>
        </w:tc>
        <w:tc>
          <w:tcPr>
            <w:tcW w:w="1381" w:type="dxa"/>
            <w:vMerge w:val="restart"/>
            <w:tcBorders>
              <w:top w:val="single" w:sz="4" w:space="0" w:color="auto"/>
              <w:left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r w:rsidRPr="001916D0">
              <w:rPr>
                <w:rFonts w:eastAsia="Calibri"/>
                <w:color w:val="000000"/>
                <w:sz w:val="22"/>
                <w:lang w:val="uk-UA"/>
              </w:rPr>
              <w:t>50200,0</w:t>
            </w:r>
          </w:p>
        </w:tc>
      </w:tr>
      <w:tr w:rsidR="00E95FB1" w:rsidRPr="001916D0" w:rsidTr="001B3967">
        <w:trPr>
          <w:trHeight w:val="30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1908" w:type="dxa"/>
            <w:vMerge/>
            <w:tcBorders>
              <w:right w:val="single" w:sz="4" w:space="0" w:color="auto"/>
            </w:tcBorders>
          </w:tcPr>
          <w:p w:rsidR="00E95FB1" w:rsidRPr="001916D0" w:rsidRDefault="00E95FB1" w:rsidP="001B3967">
            <w:pPr>
              <w:pStyle w:val="a7"/>
              <w:ind w:left="0"/>
              <w:jc w:val="center"/>
              <w:rPr>
                <w:sz w:val="22"/>
                <w:lang w:val="uk-UA"/>
              </w:rPr>
            </w:pPr>
          </w:p>
        </w:tc>
        <w:tc>
          <w:tcPr>
            <w:tcW w:w="1312" w:type="dxa"/>
            <w:vMerge/>
            <w:tcBorders>
              <w:right w:val="single" w:sz="4" w:space="0" w:color="auto"/>
            </w:tcBorders>
          </w:tcPr>
          <w:p w:rsidR="00E95FB1" w:rsidRPr="001916D0" w:rsidRDefault="00E95FB1" w:rsidP="001B3967">
            <w:pPr>
              <w:pStyle w:val="a7"/>
              <w:ind w:left="0"/>
              <w:jc w:val="center"/>
              <w:rPr>
                <w:b/>
                <w:sz w:val="22"/>
                <w:lang w:val="uk-UA"/>
              </w:rPr>
            </w:pPr>
          </w:p>
        </w:tc>
        <w:tc>
          <w:tcPr>
            <w:tcW w:w="996"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rFonts w:eastAsia="Calibri"/>
                <w:color w:val="000000"/>
                <w:sz w:val="22"/>
                <w:lang w:val="uk-UA"/>
              </w:rPr>
              <w:t>15060,0</w:t>
            </w:r>
          </w:p>
        </w:tc>
        <w:tc>
          <w:tcPr>
            <w:tcW w:w="1455"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Міжнародні інвестиції, кошти приватних осіб</w:t>
            </w:r>
          </w:p>
        </w:tc>
        <w:tc>
          <w:tcPr>
            <w:tcW w:w="1381" w:type="dxa"/>
            <w:vMerge/>
            <w:tcBorders>
              <w:left w:val="single" w:sz="4" w:space="0" w:color="auto"/>
            </w:tcBorders>
          </w:tcPr>
          <w:p w:rsidR="00E95FB1" w:rsidRPr="001916D0" w:rsidRDefault="00E95FB1" w:rsidP="001B3967">
            <w:pPr>
              <w:pStyle w:val="a7"/>
              <w:ind w:left="0"/>
              <w:jc w:val="center"/>
              <w:rPr>
                <w:sz w:val="22"/>
                <w:lang w:val="uk-UA"/>
              </w:rPr>
            </w:pPr>
          </w:p>
        </w:tc>
      </w:tr>
    </w:tbl>
    <w:p w:rsidR="00E95FB1" w:rsidRPr="001916D0" w:rsidRDefault="00E95FB1" w:rsidP="00E95FB1">
      <w:pPr>
        <w:rPr>
          <w:sz w:val="22"/>
        </w:rPr>
      </w:pPr>
    </w:p>
    <w:p w:rsidR="00E95FB1" w:rsidRPr="001916D0" w:rsidRDefault="00E95FB1" w:rsidP="00E95FB1">
      <w:pPr>
        <w:rPr>
          <w:sz w:val="22"/>
        </w:rPr>
      </w:pPr>
    </w:p>
    <w:p w:rsidR="00E95FB1" w:rsidRPr="001916D0" w:rsidRDefault="00E95FB1" w:rsidP="00E95FB1">
      <w:pPr>
        <w:rPr>
          <w:sz w:val="22"/>
        </w:rPr>
      </w:pPr>
    </w:p>
    <w:p w:rsidR="00E95FB1" w:rsidRPr="001916D0" w:rsidRDefault="00E95FB1" w:rsidP="00E95FB1">
      <w:pPr>
        <w:rPr>
          <w:sz w:val="22"/>
        </w:rPr>
      </w:pPr>
    </w:p>
    <w:tbl>
      <w:tblPr>
        <w:tblStyle w:val="af"/>
        <w:tblW w:w="9923" w:type="dxa"/>
        <w:tblInd w:w="-176" w:type="dxa"/>
        <w:tblLayout w:type="fixed"/>
        <w:tblLook w:val="04A0" w:firstRow="1" w:lastRow="0" w:firstColumn="1" w:lastColumn="0" w:noHBand="0" w:noVBand="1"/>
      </w:tblPr>
      <w:tblGrid>
        <w:gridCol w:w="2836"/>
        <w:gridCol w:w="1559"/>
        <w:gridCol w:w="1276"/>
        <w:gridCol w:w="1026"/>
        <w:gridCol w:w="391"/>
        <w:gridCol w:w="1560"/>
        <w:gridCol w:w="34"/>
        <w:gridCol w:w="1241"/>
      </w:tblGrid>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Оперативна ціль/завдання</w:t>
            </w:r>
          </w:p>
        </w:tc>
        <w:tc>
          <w:tcPr>
            <w:tcW w:w="7087" w:type="dxa"/>
            <w:gridSpan w:val="7"/>
            <w:shd w:val="clear" w:color="auto" w:fill="auto"/>
          </w:tcPr>
          <w:p w:rsidR="00E95FB1" w:rsidRPr="001916D0" w:rsidRDefault="00E95FB1" w:rsidP="001B3967">
            <w:pPr>
              <w:rPr>
                <w:rFonts w:eastAsia="Arial"/>
                <w:sz w:val="22"/>
                <w:lang w:val="uk-UA"/>
              </w:rPr>
            </w:pPr>
            <w:r w:rsidRPr="001916D0">
              <w:rPr>
                <w:rFonts w:eastAsia="Arial"/>
                <w:sz w:val="22"/>
                <w:lang w:val="uk-UA"/>
              </w:rPr>
              <w:t>Комфорт життя ЛЮДИНИ як безпека, екологічна сталість та розумна енергетика. Громадська та інформаційна безпека території громади</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Назва проекту:</w:t>
            </w:r>
          </w:p>
        </w:tc>
        <w:tc>
          <w:tcPr>
            <w:tcW w:w="7087" w:type="dxa"/>
            <w:gridSpan w:val="7"/>
          </w:tcPr>
          <w:p w:rsidR="00E95FB1" w:rsidRPr="001916D0" w:rsidRDefault="00E95FB1" w:rsidP="001B3967">
            <w:pPr>
              <w:pStyle w:val="a7"/>
              <w:ind w:left="0"/>
              <w:rPr>
                <w:sz w:val="22"/>
                <w:lang w:val="uk-UA"/>
              </w:rPr>
            </w:pPr>
            <w:r w:rsidRPr="001916D0">
              <w:rPr>
                <w:sz w:val="22"/>
                <w:lang w:val="uk-UA"/>
              </w:rPr>
              <w:t>Відновлення автомобільно-пішохідного мосту через річку Сіверський Донець</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Ціль проекту</w:t>
            </w:r>
          </w:p>
        </w:tc>
        <w:tc>
          <w:tcPr>
            <w:tcW w:w="7087" w:type="dxa"/>
            <w:gridSpan w:val="7"/>
          </w:tcPr>
          <w:p w:rsidR="00E95FB1" w:rsidRPr="001916D0" w:rsidRDefault="00E95FB1" w:rsidP="001B3967">
            <w:pPr>
              <w:rPr>
                <w:sz w:val="22"/>
                <w:lang w:val="uk-UA"/>
              </w:rPr>
            </w:pPr>
            <w:r w:rsidRPr="001916D0">
              <w:rPr>
                <w:sz w:val="22"/>
                <w:lang w:val="uk-UA"/>
              </w:rPr>
              <w:t xml:space="preserve">Відбудувати пішохідне  та транспортне сполучення між містами Сєвєродонецьк та Лисичанськ через річку Сіверський Донець. </w:t>
            </w:r>
          </w:p>
          <w:p w:rsidR="00E95FB1" w:rsidRPr="001916D0" w:rsidRDefault="00E95FB1" w:rsidP="001B3967">
            <w:pPr>
              <w:pStyle w:val="a7"/>
              <w:ind w:left="0"/>
              <w:rPr>
                <w:sz w:val="22"/>
                <w:lang w:val="uk-UA"/>
              </w:rPr>
            </w:pPr>
            <w:r w:rsidRPr="001916D0">
              <w:rPr>
                <w:sz w:val="22"/>
                <w:lang w:val="uk-UA"/>
              </w:rPr>
              <w:t>Відновити логістичні шляхи для відбудови та розвитку регіону.</w:t>
            </w:r>
            <w:r w:rsidR="00C8703A" w:rsidRPr="001916D0">
              <w:rPr>
                <w:sz w:val="22"/>
                <w:szCs w:val="22"/>
                <w:lang w:val="uk-UA"/>
              </w:rPr>
              <w:t xml:space="preserve"> </w:t>
            </w:r>
            <w:r w:rsidRPr="001916D0">
              <w:rPr>
                <w:sz w:val="22"/>
                <w:lang w:val="uk-UA"/>
              </w:rPr>
              <w:t>Відновити логістичні шляхи для відбудови та розвитку регіону.</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Територія, на яку матиме вплив реалізація проекту</w:t>
            </w:r>
          </w:p>
        </w:tc>
        <w:tc>
          <w:tcPr>
            <w:tcW w:w="7087" w:type="dxa"/>
            <w:gridSpan w:val="7"/>
          </w:tcPr>
          <w:p w:rsidR="00E95FB1" w:rsidRPr="001916D0" w:rsidRDefault="00E95FB1" w:rsidP="001B3967">
            <w:pPr>
              <w:pStyle w:val="a7"/>
              <w:ind w:left="0"/>
              <w:rPr>
                <w:sz w:val="22"/>
                <w:lang w:val="uk-UA"/>
              </w:rPr>
            </w:pPr>
            <w:r w:rsidRPr="001916D0">
              <w:rPr>
                <w:sz w:val="22"/>
                <w:lang w:val="uk-UA"/>
              </w:rPr>
              <w:t>Сєвєродонецька міська територіальна громада</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Чисельність населення, на яке матиме вплив реалізація проекту</w:t>
            </w:r>
          </w:p>
        </w:tc>
        <w:tc>
          <w:tcPr>
            <w:tcW w:w="7087" w:type="dxa"/>
            <w:gridSpan w:val="7"/>
          </w:tcPr>
          <w:p w:rsidR="00E95FB1" w:rsidRPr="001916D0" w:rsidRDefault="00E95FB1" w:rsidP="001B3967">
            <w:pPr>
              <w:pStyle w:val="a7"/>
              <w:ind w:left="0"/>
              <w:rPr>
                <w:sz w:val="22"/>
                <w:lang w:val="uk-UA"/>
              </w:rPr>
            </w:pPr>
            <w:r w:rsidRPr="001916D0">
              <w:rPr>
                <w:sz w:val="22"/>
                <w:lang w:val="uk-UA"/>
              </w:rPr>
              <w:t xml:space="preserve"> 100 000  осіб</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Опис проблеми, на вирішення якої  спрямований проект</w:t>
            </w:r>
          </w:p>
        </w:tc>
        <w:tc>
          <w:tcPr>
            <w:tcW w:w="7087" w:type="dxa"/>
            <w:gridSpan w:val="7"/>
          </w:tcPr>
          <w:p w:rsidR="00E95FB1" w:rsidRPr="001916D0" w:rsidRDefault="00E95FB1" w:rsidP="00FD2D7C">
            <w:pPr>
              <w:ind w:firstLine="248"/>
              <w:rPr>
                <w:sz w:val="22"/>
                <w:lang w:val="uk-UA"/>
              </w:rPr>
            </w:pPr>
            <w:r w:rsidRPr="001916D0">
              <w:rPr>
                <w:sz w:val="22"/>
                <w:lang w:val="uk-UA"/>
              </w:rPr>
              <w:t xml:space="preserve">Через військову агресію РФ територія Сєвєродонецької міської територіальної громади зазнала значних пошкоджень. Автомобільно-пішохідний </w:t>
            </w:r>
            <w:r w:rsidRPr="001916D0">
              <w:rPr>
                <w:sz w:val="22"/>
                <w:szCs w:val="22"/>
                <w:lang w:val="uk-UA"/>
              </w:rPr>
              <w:t>міст</w:t>
            </w:r>
            <w:r w:rsidRPr="001916D0">
              <w:rPr>
                <w:sz w:val="22"/>
                <w:lang w:val="uk-UA"/>
              </w:rPr>
              <w:t xml:space="preserve"> через річку Сіверський Донець, який  є стратегічним об’єктом, зруйнований. Рух вантажного, пасажирського та громадського транспорту</w:t>
            </w:r>
            <w:r w:rsidR="00FD2D7C" w:rsidRPr="001916D0">
              <w:rPr>
                <w:sz w:val="22"/>
                <w:lang w:val="uk-UA"/>
              </w:rPr>
              <w:t>,</w:t>
            </w:r>
            <w:r w:rsidRPr="001916D0">
              <w:rPr>
                <w:sz w:val="22"/>
                <w:lang w:val="uk-UA"/>
              </w:rPr>
              <w:t xml:space="preserve"> надзвичайно важливий для життєдіяльності громади, зараз неможливий. Альтернативи, крім відновлення зруйнованої споруди, наразі немає.</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якісні результати від реалізації проекту</w:t>
            </w:r>
          </w:p>
        </w:tc>
        <w:tc>
          <w:tcPr>
            <w:tcW w:w="7087" w:type="dxa"/>
            <w:gridSpan w:val="7"/>
          </w:tcPr>
          <w:p w:rsidR="00E95FB1" w:rsidRPr="001916D0" w:rsidRDefault="00E95FB1" w:rsidP="001B3967">
            <w:pPr>
              <w:ind w:firstLine="510"/>
              <w:rPr>
                <w:sz w:val="22"/>
                <w:lang w:val="uk-UA"/>
              </w:rPr>
            </w:pPr>
            <w:r w:rsidRPr="001916D0">
              <w:rPr>
                <w:sz w:val="22"/>
                <w:lang w:val="uk-UA"/>
              </w:rPr>
              <w:t xml:space="preserve">Реалізація </w:t>
            </w:r>
            <w:proofErr w:type="spellStart"/>
            <w:r w:rsidRPr="001916D0">
              <w:rPr>
                <w:sz w:val="22"/>
                <w:lang w:val="uk-UA"/>
              </w:rPr>
              <w:t>проєкту</w:t>
            </w:r>
            <w:proofErr w:type="spellEnd"/>
            <w:r w:rsidRPr="001916D0">
              <w:rPr>
                <w:sz w:val="22"/>
                <w:lang w:val="uk-UA"/>
              </w:rPr>
              <w:t xml:space="preserve"> сприятиме  відновленню  вантажного, пасажирського та громадського транспортного сполучення між населеними пунктами Луганської області. </w:t>
            </w:r>
          </w:p>
          <w:p w:rsidR="00E95FB1" w:rsidRPr="001916D0" w:rsidRDefault="00E95FB1" w:rsidP="001B3967">
            <w:pPr>
              <w:ind w:firstLine="510"/>
              <w:rPr>
                <w:sz w:val="22"/>
                <w:lang w:val="uk-UA"/>
              </w:rPr>
            </w:pPr>
            <w:r w:rsidRPr="001916D0">
              <w:rPr>
                <w:sz w:val="22"/>
                <w:lang w:val="uk-UA"/>
              </w:rPr>
              <w:t xml:space="preserve">Також прискорить економічного відновлення регіону, підвищення конкурентоспроможності підприємств на основі ефективного використання  логістичних можливостей. </w:t>
            </w:r>
          </w:p>
        </w:tc>
      </w:tr>
      <w:tr w:rsidR="00E95FB1" w:rsidRPr="001916D0" w:rsidTr="001B3967">
        <w:trPr>
          <w:trHeight w:val="390"/>
        </w:trPr>
        <w:tc>
          <w:tcPr>
            <w:tcW w:w="2836"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Очікувані кількісні результати реалізації </w:t>
            </w:r>
            <w:proofErr w:type="spellStart"/>
            <w:r w:rsidRPr="001916D0">
              <w:rPr>
                <w:b/>
                <w:sz w:val="22"/>
                <w:lang w:val="uk-UA"/>
              </w:rPr>
              <w:t>проєкту</w:t>
            </w:r>
            <w:proofErr w:type="spellEnd"/>
            <w:r w:rsidRPr="001916D0">
              <w:rPr>
                <w:b/>
                <w:sz w:val="22"/>
                <w:lang w:val="uk-UA"/>
              </w:rPr>
              <w:t xml:space="preserve"> (індикатори)</w:t>
            </w:r>
          </w:p>
          <w:p w:rsidR="00E95FB1" w:rsidRPr="001916D0" w:rsidRDefault="00E95FB1" w:rsidP="001B3967">
            <w:pPr>
              <w:pStyle w:val="a7"/>
              <w:ind w:left="0"/>
              <w:rPr>
                <w:b/>
                <w:sz w:val="22"/>
                <w:lang w:val="uk-UA"/>
              </w:rPr>
            </w:pPr>
          </w:p>
        </w:tc>
        <w:tc>
          <w:tcPr>
            <w:tcW w:w="3861" w:type="dxa"/>
            <w:gridSpan w:val="3"/>
            <w:tcBorders>
              <w:bottom w:val="single" w:sz="4" w:space="0" w:color="auto"/>
              <w:right w:val="single" w:sz="4" w:space="0" w:color="auto"/>
            </w:tcBorders>
          </w:tcPr>
          <w:p w:rsidR="00E95FB1" w:rsidRPr="001916D0" w:rsidRDefault="00E95FB1" w:rsidP="001B3967">
            <w:pPr>
              <w:pStyle w:val="a7"/>
              <w:ind w:left="-108"/>
              <w:jc w:val="center"/>
              <w:rPr>
                <w:b/>
                <w:sz w:val="22"/>
                <w:lang w:val="uk-UA"/>
              </w:rPr>
            </w:pPr>
            <w:r w:rsidRPr="001916D0">
              <w:rPr>
                <w:b/>
                <w:sz w:val="22"/>
                <w:lang w:val="uk-UA"/>
              </w:rPr>
              <w:t>Найменування показника</w:t>
            </w:r>
          </w:p>
        </w:tc>
        <w:tc>
          <w:tcPr>
            <w:tcW w:w="1985" w:type="dxa"/>
            <w:gridSpan w:val="3"/>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Одиниця вимірювання</w:t>
            </w:r>
          </w:p>
          <w:p w:rsidR="00E95FB1" w:rsidRPr="001916D0" w:rsidRDefault="00E95FB1" w:rsidP="001B3967">
            <w:pPr>
              <w:pStyle w:val="a7"/>
              <w:ind w:left="0"/>
              <w:rPr>
                <w:b/>
                <w:sz w:val="22"/>
                <w:lang w:val="uk-UA"/>
              </w:rPr>
            </w:pPr>
          </w:p>
        </w:tc>
        <w:tc>
          <w:tcPr>
            <w:tcW w:w="1241" w:type="dxa"/>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Прогнозне (цільове) значення</w:t>
            </w:r>
          </w:p>
        </w:tc>
      </w:tr>
      <w:tr w:rsidR="00E95FB1" w:rsidRPr="001916D0" w:rsidTr="001B3967">
        <w:trPr>
          <w:trHeight w:val="39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861" w:type="dxa"/>
            <w:gridSpan w:val="3"/>
            <w:tcBorders>
              <w:bottom w:val="single" w:sz="4" w:space="0" w:color="auto"/>
              <w:right w:val="single" w:sz="4" w:space="0" w:color="auto"/>
            </w:tcBorders>
          </w:tcPr>
          <w:p w:rsidR="00E95FB1" w:rsidRPr="001916D0" w:rsidRDefault="00E95FB1" w:rsidP="001B3967">
            <w:pPr>
              <w:pStyle w:val="a7"/>
              <w:ind w:left="-108"/>
              <w:jc w:val="center"/>
              <w:rPr>
                <w:sz w:val="22"/>
                <w:lang w:val="uk-UA"/>
              </w:rPr>
            </w:pPr>
            <w:r w:rsidRPr="001916D0">
              <w:rPr>
                <w:sz w:val="22"/>
                <w:lang w:val="uk-UA"/>
              </w:rPr>
              <w:t>Автомобільно-пішохідний міст через річку Сіверський Донець</w:t>
            </w:r>
          </w:p>
        </w:tc>
        <w:tc>
          <w:tcPr>
            <w:tcW w:w="1985" w:type="dxa"/>
            <w:gridSpan w:val="3"/>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r w:rsidRPr="001916D0">
              <w:rPr>
                <w:sz w:val="22"/>
                <w:lang w:val="uk-UA"/>
              </w:rPr>
              <w:t>одиниць</w:t>
            </w:r>
          </w:p>
        </w:tc>
        <w:tc>
          <w:tcPr>
            <w:tcW w:w="1241" w:type="dxa"/>
            <w:tcBorders>
              <w:left w:val="single" w:sz="4" w:space="0" w:color="auto"/>
              <w:bottom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 xml:space="preserve">Ключові заходи проекту: </w:t>
            </w:r>
          </w:p>
          <w:p w:rsidR="00E95FB1" w:rsidRPr="001916D0" w:rsidRDefault="00E95FB1" w:rsidP="001B3967">
            <w:pPr>
              <w:pStyle w:val="a7"/>
              <w:ind w:left="0"/>
              <w:rPr>
                <w:b/>
                <w:sz w:val="22"/>
                <w:lang w:val="uk-UA"/>
              </w:rPr>
            </w:pPr>
          </w:p>
        </w:tc>
        <w:tc>
          <w:tcPr>
            <w:tcW w:w="7087" w:type="dxa"/>
            <w:gridSpan w:val="7"/>
          </w:tcPr>
          <w:p w:rsidR="00E95FB1" w:rsidRPr="001916D0" w:rsidRDefault="00E95FB1" w:rsidP="001B3967">
            <w:pPr>
              <w:pStyle w:val="a7"/>
              <w:ind w:left="0"/>
              <w:rPr>
                <w:sz w:val="22"/>
                <w:lang w:val="uk-UA"/>
              </w:rPr>
            </w:pPr>
            <w:r w:rsidRPr="001916D0">
              <w:rPr>
                <w:sz w:val="22"/>
                <w:lang w:val="uk-UA"/>
              </w:rPr>
              <w:t>- Обстеження руйнувань мосту;</w:t>
            </w:r>
          </w:p>
          <w:p w:rsidR="00E95FB1" w:rsidRPr="001916D0" w:rsidRDefault="00E95FB1" w:rsidP="001B3967">
            <w:pPr>
              <w:pStyle w:val="a7"/>
              <w:ind w:left="0"/>
              <w:rPr>
                <w:sz w:val="22"/>
                <w:lang w:val="uk-UA"/>
              </w:rPr>
            </w:pPr>
            <w:r w:rsidRPr="001916D0">
              <w:rPr>
                <w:sz w:val="22"/>
                <w:lang w:val="uk-UA"/>
              </w:rPr>
              <w:t>- Розробка та затвердження плану робіт;</w:t>
            </w:r>
          </w:p>
          <w:p w:rsidR="00E95FB1" w:rsidRPr="001916D0" w:rsidRDefault="00E95FB1" w:rsidP="001B3967">
            <w:pPr>
              <w:pStyle w:val="a7"/>
              <w:ind w:left="0"/>
              <w:rPr>
                <w:sz w:val="22"/>
                <w:lang w:val="uk-UA"/>
              </w:rPr>
            </w:pPr>
            <w:r w:rsidRPr="001916D0">
              <w:rPr>
                <w:sz w:val="22"/>
                <w:lang w:val="uk-UA"/>
              </w:rPr>
              <w:lastRenderedPageBreak/>
              <w:t>- Оприлюднення  затвердженого  плану  робіт  на офіційному  веб-сайті Сєвєродонецької ТГ;</w:t>
            </w:r>
          </w:p>
          <w:p w:rsidR="00E95FB1" w:rsidRPr="001916D0" w:rsidRDefault="00E95FB1" w:rsidP="001B3967">
            <w:pPr>
              <w:rPr>
                <w:sz w:val="22"/>
                <w:lang w:val="uk-UA"/>
              </w:rPr>
            </w:pPr>
            <w:r w:rsidRPr="001916D0">
              <w:rPr>
                <w:sz w:val="22"/>
                <w:lang w:val="uk-UA"/>
              </w:rPr>
              <w:t xml:space="preserve"> - Складання технічної документації та плану будівництва мосту;</w:t>
            </w:r>
          </w:p>
          <w:p w:rsidR="00E95FB1" w:rsidRPr="001916D0" w:rsidRDefault="00E95FB1" w:rsidP="001B3967">
            <w:pPr>
              <w:rPr>
                <w:sz w:val="22"/>
                <w:lang w:val="uk-UA"/>
              </w:rPr>
            </w:pPr>
            <w:r w:rsidRPr="001916D0">
              <w:rPr>
                <w:sz w:val="22"/>
                <w:lang w:val="uk-UA"/>
              </w:rPr>
              <w:t>- Проведення тендеру на закупівлю послуг з ремонту мосту;</w:t>
            </w:r>
          </w:p>
          <w:p w:rsidR="00E95FB1" w:rsidRPr="001916D0" w:rsidRDefault="00E95FB1" w:rsidP="001B3967">
            <w:pPr>
              <w:pStyle w:val="a7"/>
              <w:ind w:left="0"/>
              <w:rPr>
                <w:sz w:val="22"/>
                <w:lang w:val="uk-UA"/>
              </w:rPr>
            </w:pPr>
            <w:r w:rsidRPr="001916D0">
              <w:rPr>
                <w:sz w:val="22"/>
                <w:lang w:val="uk-UA"/>
              </w:rPr>
              <w:t>- Організація та  виконання  робіт  з  демонтажу  потенційно аварійно небезпечних об’єктів;</w:t>
            </w:r>
          </w:p>
          <w:p w:rsidR="00E95FB1" w:rsidRPr="001916D0" w:rsidRDefault="00E95FB1" w:rsidP="001B3967">
            <w:pPr>
              <w:pStyle w:val="a7"/>
              <w:ind w:left="0"/>
              <w:rPr>
                <w:sz w:val="22"/>
                <w:lang w:val="uk-UA"/>
              </w:rPr>
            </w:pPr>
            <w:r w:rsidRPr="001916D0">
              <w:rPr>
                <w:sz w:val="22"/>
                <w:lang w:val="uk-UA"/>
              </w:rPr>
              <w:t xml:space="preserve">- Проведення  робіт зі  збирання,  попереднього  сортування  та відокремлення небезпечних відходів; </w:t>
            </w:r>
          </w:p>
          <w:p w:rsidR="00E95FB1" w:rsidRPr="001916D0" w:rsidRDefault="00E95FB1" w:rsidP="001B3967">
            <w:pPr>
              <w:pStyle w:val="a7"/>
              <w:ind w:left="0"/>
              <w:rPr>
                <w:sz w:val="22"/>
                <w:lang w:val="uk-UA"/>
              </w:rPr>
            </w:pPr>
            <w:r w:rsidRPr="001916D0">
              <w:rPr>
                <w:sz w:val="22"/>
                <w:lang w:val="uk-UA"/>
              </w:rPr>
              <w:t xml:space="preserve">  -  Відновлення мосту;</w:t>
            </w:r>
          </w:p>
          <w:p w:rsidR="00E95FB1" w:rsidRPr="001916D0" w:rsidRDefault="00E95FB1" w:rsidP="001B3967">
            <w:pPr>
              <w:rPr>
                <w:sz w:val="22"/>
                <w:lang w:val="uk-UA"/>
              </w:rPr>
            </w:pPr>
            <w:r w:rsidRPr="001916D0">
              <w:rPr>
                <w:sz w:val="22"/>
                <w:lang w:val="uk-UA"/>
              </w:rPr>
              <w:t>- Введення в експлуатацію.</w:t>
            </w:r>
          </w:p>
        </w:tc>
      </w:tr>
      <w:tr w:rsidR="00E95FB1" w:rsidRPr="001916D0" w:rsidTr="000B353F">
        <w:trPr>
          <w:trHeight w:val="360"/>
        </w:trPr>
        <w:tc>
          <w:tcPr>
            <w:tcW w:w="2836"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lastRenderedPageBreak/>
              <w:t xml:space="preserve">Орієнтовний обсяг та джерела фінансування, тис. грн. </w:t>
            </w:r>
          </w:p>
          <w:p w:rsidR="00E95FB1" w:rsidRPr="001916D0" w:rsidRDefault="00E95FB1" w:rsidP="001B3967">
            <w:pPr>
              <w:pStyle w:val="a7"/>
              <w:ind w:left="0"/>
              <w:rPr>
                <w:b/>
                <w:sz w:val="22"/>
                <w:lang w:val="uk-UA"/>
              </w:rPr>
            </w:pPr>
          </w:p>
        </w:tc>
        <w:tc>
          <w:tcPr>
            <w:tcW w:w="1559"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Державний бюджет</w:t>
            </w:r>
          </w:p>
        </w:tc>
        <w:tc>
          <w:tcPr>
            <w:tcW w:w="1276"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Місцевий бюджет</w:t>
            </w:r>
          </w:p>
        </w:tc>
        <w:tc>
          <w:tcPr>
            <w:tcW w:w="2977" w:type="dxa"/>
            <w:gridSpan w:val="3"/>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Інші джерела</w:t>
            </w:r>
          </w:p>
        </w:tc>
        <w:tc>
          <w:tcPr>
            <w:tcW w:w="1275" w:type="dxa"/>
            <w:gridSpan w:val="2"/>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Всього</w:t>
            </w:r>
          </w:p>
        </w:tc>
      </w:tr>
      <w:tr w:rsidR="00E95FB1" w:rsidRPr="001916D0" w:rsidTr="000B353F">
        <w:trPr>
          <w:trHeight w:val="225"/>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1559" w:type="dxa"/>
            <w:vMerge w:val="restart"/>
            <w:tcBorders>
              <w:top w:val="single" w:sz="4" w:space="0" w:color="auto"/>
              <w:right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r w:rsidRPr="001916D0">
              <w:rPr>
                <w:sz w:val="22"/>
                <w:lang w:val="uk-UA"/>
              </w:rPr>
              <w:t>85 475,197</w:t>
            </w:r>
          </w:p>
        </w:tc>
        <w:tc>
          <w:tcPr>
            <w:tcW w:w="1276" w:type="dxa"/>
            <w:vMerge w:val="restart"/>
            <w:tcBorders>
              <w:top w:val="single" w:sz="4" w:space="0" w:color="auto"/>
              <w:right w:val="single" w:sz="4" w:space="0" w:color="auto"/>
            </w:tcBorders>
          </w:tcPr>
          <w:p w:rsidR="00E95FB1" w:rsidRPr="001916D0" w:rsidRDefault="00E95FB1" w:rsidP="001B3967">
            <w:pPr>
              <w:pStyle w:val="a7"/>
              <w:ind w:left="0"/>
              <w:jc w:val="center"/>
              <w:rPr>
                <w:b/>
                <w:sz w:val="22"/>
                <w:lang w:val="uk-UA"/>
              </w:rPr>
            </w:pPr>
          </w:p>
        </w:tc>
        <w:tc>
          <w:tcPr>
            <w:tcW w:w="1417"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Обсяг</w:t>
            </w:r>
          </w:p>
        </w:tc>
        <w:tc>
          <w:tcPr>
            <w:tcW w:w="1560" w:type="dxa"/>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Назва джерела</w:t>
            </w:r>
          </w:p>
        </w:tc>
        <w:tc>
          <w:tcPr>
            <w:tcW w:w="1275" w:type="dxa"/>
            <w:gridSpan w:val="2"/>
            <w:vMerge w:val="restart"/>
            <w:tcBorders>
              <w:top w:val="single" w:sz="4" w:space="0" w:color="auto"/>
              <w:left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r w:rsidRPr="001916D0">
              <w:rPr>
                <w:sz w:val="22"/>
                <w:lang w:val="uk-UA"/>
              </w:rPr>
              <w:t>122 107,424</w:t>
            </w:r>
          </w:p>
        </w:tc>
      </w:tr>
      <w:tr w:rsidR="00E95FB1" w:rsidRPr="001916D0" w:rsidTr="000B353F">
        <w:trPr>
          <w:trHeight w:val="30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1559" w:type="dxa"/>
            <w:vMerge/>
            <w:tcBorders>
              <w:right w:val="single" w:sz="4" w:space="0" w:color="auto"/>
            </w:tcBorders>
          </w:tcPr>
          <w:p w:rsidR="00E95FB1" w:rsidRPr="001916D0" w:rsidRDefault="00E95FB1" w:rsidP="001B3967">
            <w:pPr>
              <w:pStyle w:val="a7"/>
              <w:ind w:left="0"/>
              <w:jc w:val="center"/>
              <w:rPr>
                <w:sz w:val="22"/>
                <w:lang w:val="uk-UA"/>
              </w:rPr>
            </w:pPr>
          </w:p>
        </w:tc>
        <w:tc>
          <w:tcPr>
            <w:tcW w:w="1276" w:type="dxa"/>
            <w:vMerge/>
            <w:tcBorders>
              <w:right w:val="single" w:sz="4" w:space="0" w:color="auto"/>
            </w:tcBorders>
          </w:tcPr>
          <w:p w:rsidR="00E95FB1" w:rsidRPr="001916D0" w:rsidRDefault="00E95FB1" w:rsidP="001B3967">
            <w:pPr>
              <w:pStyle w:val="a7"/>
              <w:ind w:left="0"/>
              <w:jc w:val="center"/>
              <w:rPr>
                <w:b/>
                <w:sz w:val="22"/>
                <w:lang w:val="uk-UA"/>
              </w:rPr>
            </w:pPr>
          </w:p>
        </w:tc>
        <w:tc>
          <w:tcPr>
            <w:tcW w:w="1417"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b/>
                <w:sz w:val="22"/>
                <w:lang w:val="uk-UA"/>
              </w:rPr>
            </w:pPr>
          </w:p>
          <w:p w:rsidR="00E95FB1" w:rsidRPr="001916D0" w:rsidRDefault="00E95FB1" w:rsidP="001B3967">
            <w:pPr>
              <w:pStyle w:val="a7"/>
              <w:ind w:left="0"/>
              <w:jc w:val="center"/>
              <w:rPr>
                <w:b/>
                <w:sz w:val="22"/>
                <w:lang w:val="uk-UA"/>
              </w:rPr>
            </w:pPr>
          </w:p>
          <w:p w:rsidR="00E95FB1" w:rsidRPr="001916D0" w:rsidRDefault="00E95FB1" w:rsidP="001B3967">
            <w:pPr>
              <w:pStyle w:val="a7"/>
              <w:ind w:left="0"/>
              <w:jc w:val="center"/>
              <w:rPr>
                <w:sz w:val="22"/>
                <w:lang w:val="uk-UA"/>
              </w:rPr>
            </w:pPr>
            <w:r w:rsidRPr="001916D0">
              <w:rPr>
                <w:sz w:val="22"/>
                <w:lang w:val="uk-UA"/>
              </w:rPr>
              <w:t>36 632,227</w:t>
            </w:r>
          </w:p>
        </w:tc>
        <w:tc>
          <w:tcPr>
            <w:tcW w:w="1560" w:type="dxa"/>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Міжнародні інвестиції, кошти приватних осіб</w:t>
            </w:r>
          </w:p>
        </w:tc>
        <w:tc>
          <w:tcPr>
            <w:tcW w:w="1275" w:type="dxa"/>
            <w:gridSpan w:val="2"/>
            <w:vMerge/>
            <w:tcBorders>
              <w:left w:val="single" w:sz="4" w:space="0" w:color="auto"/>
            </w:tcBorders>
          </w:tcPr>
          <w:p w:rsidR="00E95FB1" w:rsidRPr="001916D0" w:rsidRDefault="00E95FB1" w:rsidP="001B3967">
            <w:pPr>
              <w:pStyle w:val="a7"/>
              <w:ind w:left="0"/>
              <w:jc w:val="center"/>
              <w:rPr>
                <w:sz w:val="22"/>
                <w:lang w:val="uk-UA"/>
              </w:rPr>
            </w:pPr>
          </w:p>
        </w:tc>
      </w:tr>
    </w:tbl>
    <w:p w:rsidR="00E95FB1" w:rsidRPr="001916D0" w:rsidRDefault="00E95FB1" w:rsidP="00E95FB1">
      <w:pPr>
        <w:rPr>
          <w:sz w:val="22"/>
        </w:rPr>
      </w:pPr>
    </w:p>
    <w:p w:rsidR="00E95FB1" w:rsidRPr="001916D0" w:rsidRDefault="00E95FB1" w:rsidP="00E95FB1">
      <w:pPr>
        <w:rPr>
          <w:sz w:val="22"/>
        </w:rPr>
      </w:pPr>
    </w:p>
    <w:tbl>
      <w:tblPr>
        <w:tblStyle w:val="af"/>
        <w:tblW w:w="9923" w:type="dxa"/>
        <w:tblInd w:w="-176" w:type="dxa"/>
        <w:tblLayout w:type="fixed"/>
        <w:tblLook w:val="04A0" w:firstRow="1" w:lastRow="0" w:firstColumn="1" w:lastColumn="0" w:noHBand="0" w:noVBand="1"/>
      </w:tblPr>
      <w:tblGrid>
        <w:gridCol w:w="2836"/>
        <w:gridCol w:w="1671"/>
        <w:gridCol w:w="1197"/>
        <w:gridCol w:w="250"/>
        <w:gridCol w:w="1236"/>
        <w:gridCol w:w="891"/>
        <w:gridCol w:w="458"/>
        <w:gridCol w:w="1384"/>
      </w:tblGrid>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Оперативна ціль/завдання</w:t>
            </w:r>
          </w:p>
        </w:tc>
        <w:tc>
          <w:tcPr>
            <w:tcW w:w="7087" w:type="dxa"/>
            <w:gridSpan w:val="7"/>
            <w:shd w:val="clear" w:color="auto" w:fill="auto"/>
          </w:tcPr>
          <w:p w:rsidR="00E95FB1" w:rsidRPr="001916D0" w:rsidRDefault="00E95FB1" w:rsidP="001B3967">
            <w:pPr>
              <w:rPr>
                <w:rFonts w:eastAsia="Arial"/>
                <w:sz w:val="22"/>
                <w:lang w:val="uk-UA"/>
              </w:rPr>
            </w:pPr>
            <w:r w:rsidRPr="001916D0">
              <w:rPr>
                <w:rFonts w:eastAsia="Arial"/>
                <w:sz w:val="22"/>
                <w:lang w:val="uk-UA"/>
              </w:rPr>
              <w:t>Комфорт життя ЛЮДИНИ як безпека, екологічна сталість та розумна енергетика. Громадська та інформаційна безпека території громади</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Назва проекту:</w:t>
            </w:r>
          </w:p>
        </w:tc>
        <w:tc>
          <w:tcPr>
            <w:tcW w:w="7087" w:type="dxa"/>
            <w:gridSpan w:val="7"/>
          </w:tcPr>
          <w:p w:rsidR="00E95FB1" w:rsidRPr="001916D0" w:rsidRDefault="00E95FB1" w:rsidP="001B3967">
            <w:pPr>
              <w:pStyle w:val="a7"/>
              <w:ind w:left="0"/>
              <w:rPr>
                <w:sz w:val="22"/>
                <w:lang w:val="uk-UA"/>
              </w:rPr>
            </w:pPr>
            <w:r w:rsidRPr="001916D0">
              <w:rPr>
                <w:sz w:val="22"/>
                <w:lang w:val="uk-UA"/>
              </w:rPr>
              <w:t>Будівництво автомобільного мосту із Сєвєродонецька у бік Рубіжного через річку Борова на  157 км +800 автомобільної  дороги Р-66 КПП «</w:t>
            </w:r>
            <w:proofErr w:type="spellStart"/>
            <w:r w:rsidRPr="001916D0">
              <w:rPr>
                <w:sz w:val="22"/>
                <w:lang w:val="uk-UA"/>
              </w:rPr>
              <w:t>Деміно</w:t>
            </w:r>
            <w:proofErr w:type="spellEnd"/>
            <w:r w:rsidRPr="001916D0">
              <w:rPr>
                <w:sz w:val="22"/>
                <w:lang w:val="uk-UA"/>
              </w:rPr>
              <w:t>-Олександрівка»-</w:t>
            </w:r>
            <w:proofErr w:type="spellStart"/>
            <w:r w:rsidRPr="001916D0">
              <w:rPr>
                <w:sz w:val="22"/>
                <w:lang w:val="uk-UA"/>
              </w:rPr>
              <w:t>Сватово</w:t>
            </w:r>
            <w:proofErr w:type="spellEnd"/>
            <w:r w:rsidRPr="001916D0">
              <w:rPr>
                <w:sz w:val="22"/>
                <w:lang w:val="uk-UA"/>
              </w:rPr>
              <w:t>-Лисичанськ-Луганськ Луганської області.</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Ціль проекту</w:t>
            </w:r>
          </w:p>
        </w:tc>
        <w:tc>
          <w:tcPr>
            <w:tcW w:w="7087" w:type="dxa"/>
            <w:gridSpan w:val="7"/>
          </w:tcPr>
          <w:p w:rsidR="00E95FB1" w:rsidRPr="001916D0" w:rsidRDefault="00E95FB1" w:rsidP="001B3967">
            <w:pPr>
              <w:rPr>
                <w:sz w:val="22"/>
                <w:lang w:val="uk-UA"/>
              </w:rPr>
            </w:pPr>
            <w:r w:rsidRPr="001916D0">
              <w:rPr>
                <w:sz w:val="22"/>
                <w:lang w:val="uk-UA"/>
              </w:rPr>
              <w:t>Відбудувати автомобільний заплавний міст  через р. Борова між містом Сєвєродонецьк  та містом Рубіжне,  що знаходиться на балансі Комунального підприємства «</w:t>
            </w:r>
            <w:proofErr w:type="spellStart"/>
            <w:r w:rsidRPr="001916D0">
              <w:rPr>
                <w:sz w:val="22"/>
                <w:lang w:val="uk-UA"/>
              </w:rPr>
              <w:t>Сєвєродонецьккомунсервис</w:t>
            </w:r>
            <w:proofErr w:type="spellEnd"/>
            <w:r w:rsidRPr="001916D0">
              <w:rPr>
                <w:sz w:val="22"/>
                <w:lang w:val="uk-UA"/>
              </w:rPr>
              <w:t>»  на трасі Р66.</w:t>
            </w:r>
          </w:p>
          <w:p w:rsidR="00E95FB1" w:rsidRPr="001916D0" w:rsidRDefault="00E95FB1" w:rsidP="001B3967">
            <w:pPr>
              <w:pStyle w:val="a7"/>
              <w:ind w:left="0"/>
              <w:rPr>
                <w:sz w:val="22"/>
                <w:lang w:val="uk-UA"/>
              </w:rPr>
            </w:pPr>
            <w:r w:rsidRPr="001916D0">
              <w:rPr>
                <w:sz w:val="22"/>
                <w:lang w:val="uk-UA"/>
              </w:rPr>
              <w:t>Відновити логістичні шляхи для відбудови та розвитку регіону.</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Територія, на яку матиме вплив реалізація проекту</w:t>
            </w:r>
          </w:p>
        </w:tc>
        <w:tc>
          <w:tcPr>
            <w:tcW w:w="7087" w:type="dxa"/>
            <w:gridSpan w:val="7"/>
          </w:tcPr>
          <w:p w:rsidR="00E95FB1" w:rsidRPr="001916D0" w:rsidRDefault="00E95FB1" w:rsidP="001B3967">
            <w:pPr>
              <w:pStyle w:val="a7"/>
              <w:ind w:left="0"/>
              <w:rPr>
                <w:sz w:val="22"/>
                <w:lang w:val="uk-UA"/>
              </w:rPr>
            </w:pPr>
            <w:r w:rsidRPr="001916D0">
              <w:rPr>
                <w:sz w:val="22"/>
                <w:lang w:val="uk-UA"/>
              </w:rPr>
              <w:t>Сєвєродонецька міська територіальна громада</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Чисельність населення, на яке матиме вплив реалізація проекту</w:t>
            </w:r>
          </w:p>
        </w:tc>
        <w:tc>
          <w:tcPr>
            <w:tcW w:w="7087" w:type="dxa"/>
            <w:gridSpan w:val="7"/>
          </w:tcPr>
          <w:p w:rsidR="00E95FB1" w:rsidRPr="001916D0" w:rsidRDefault="00E95FB1" w:rsidP="001B3967">
            <w:pPr>
              <w:pStyle w:val="a7"/>
              <w:ind w:left="0"/>
              <w:rPr>
                <w:sz w:val="22"/>
                <w:lang w:val="uk-UA"/>
              </w:rPr>
            </w:pPr>
            <w:r w:rsidRPr="001916D0">
              <w:rPr>
                <w:sz w:val="22"/>
                <w:lang w:val="uk-UA"/>
              </w:rPr>
              <w:t xml:space="preserve"> 100 000  осіб</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Опис проблеми, на вирішення якої  спрямований проект</w:t>
            </w:r>
          </w:p>
        </w:tc>
        <w:tc>
          <w:tcPr>
            <w:tcW w:w="7087" w:type="dxa"/>
            <w:gridSpan w:val="7"/>
          </w:tcPr>
          <w:p w:rsidR="00E95FB1" w:rsidRPr="001916D0" w:rsidRDefault="00E95FB1" w:rsidP="00771B02">
            <w:pPr>
              <w:ind w:firstLine="248"/>
              <w:rPr>
                <w:sz w:val="22"/>
                <w:lang w:val="uk-UA"/>
              </w:rPr>
            </w:pPr>
            <w:r w:rsidRPr="001916D0">
              <w:rPr>
                <w:sz w:val="22"/>
                <w:lang w:val="uk-UA"/>
              </w:rPr>
              <w:t xml:space="preserve">Через військову агресію РФ територія Сєвєродонецької міської територіальної громади зазнала значних пошкоджень. Автомобільно-пішохідний </w:t>
            </w:r>
            <w:r w:rsidRPr="001916D0">
              <w:rPr>
                <w:sz w:val="22"/>
                <w:szCs w:val="22"/>
                <w:lang w:val="uk-UA"/>
              </w:rPr>
              <w:t>міст</w:t>
            </w:r>
            <w:r w:rsidRPr="001916D0">
              <w:rPr>
                <w:sz w:val="22"/>
                <w:lang w:val="uk-UA"/>
              </w:rPr>
              <w:t xml:space="preserve"> через річку Борова, який  є стратегічним об’єктом, </w:t>
            </w:r>
            <w:proofErr w:type="spellStart"/>
            <w:r w:rsidRPr="001916D0">
              <w:rPr>
                <w:sz w:val="22"/>
                <w:lang w:val="uk-UA"/>
              </w:rPr>
              <w:t>зрйнований</w:t>
            </w:r>
            <w:proofErr w:type="spellEnd"/>
            <w:r w:rsidRPr="001916D0">
              <w:rPr>
                <w:sz w:val="22"/>
                <w:lang w:val="uk-UA"/>
              </w:rPr>
              <w:t>. Рух вантажного, пасажирського та громадського транспорту, надзвичайно важливий для життєдіяльності громади, зараз неможливий. Альтернативи, крім відновлення зруйнованої споруди наразі немає.</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якісні результати від реалізації проекту</w:t>
            </w:r>
          </w:p>
        </w:tc>
        <w:tc>
          <w:tcPr>
            <w:tcW w:w="7087" w:type="dxa"/>
            <w:gridSpan w:val="7"/>
          </w:tcPr>
          <w:p w:rsidR="00E95FB1" w:rsidRPr="001916D0" w:rsidRDefault="00E95FB1" w:rsidP="001B3967">
            <w:pPr>
              <w:ind w:firstLine="510"/>
              <w:rPr>
                <w:sz w:val="22"/>
                <w:lang w:val="uk-UA"/>
              </w:rPr>
            </w:pPr>
            <w:r w:rsidRPr="001916D0">
              <w:rPr>
                <w:sz w:val="22"/>
                <w:lang w:val="uk-UA"/>
              </w:rPr>
              <w:t xml:space="preserve">Реалізація </w:t>
            </w:r>
            <w:proofErr w:type="spellStart"/>
            <w:r w:rsidRPr="001916D0">
              <w:rPr>
                <w:sz w:val="22"/>
                <w:lang w:val="uk-UA"/>
              </w:rPr>
              <w:t>проєкту</w:t>
            </w:r>
            <w:proofErr w:type="spellEnd"/>
            <w:r w:rsidRPr="001916D0">
              <w:rPr>
                <w:sz w:val="22"/>
                <w:lang w:val="uk-UA"/>
              </w:rPr>
              <w:t xml:space="preserve"> сприятиме  відновленню  вантажного, пасажирського та громадського транспортного сполучення між населеними пунктами Луганської області. </w:t>
            </w:r>
          </w:p>
          <w:p w:rsidR="00E95FB1" w:rsidRPr="001916D0" w:rsidRDefault="00E95FB1" w:rsidP="001613D0">
            <w:pPr>
              <w:ind w:firstLine="510"/>
              <w:rPr>
                <w:sz w:val="22"/>
                <w:lang w:val="uk-UA"/>
              </w:rPr>
            </w:pPr>
            <w:r w:rsidRPr="001916D0">
              <w:rPr>
                <w:sz w:val="22"/>
                <w:lang w:val="uk-UA"/>
              </w:rPr>
              <w:t xml:space="preserve">Також прискорить </w:t>
            </w:r>
            <w:r w:rsidRPr="001916D0">
              <w:rPr>
                <w:sz w:val="22"/>
                <w:szCs w:val="22"/>
                <w:lang w:val="uk-UA"/>
              </w:rPr>
              <w:t>економічн</w:t>
            </w:r>
            <w:r w:rsidR="001613D0" w:rsidRPr="001916D0">
              <w:rPr>
                <w:sz w:val="22"/>
                <w:szCs w:val="22"/>
                <w:lang w:val="uk-UA"/>
              </w:rPr>
              <w:t>е</w:t>
            </w:r>
            <w:r w:rsidRPr="001916D0">
              <w:rPr>
                <w:sz w:val="22"/>
                <w:lang w:val="uk-UA"/>
              </w:rPr>
              <w:t xml:space="preserve"> відновлення регіону, підвищення конкурентоспроможності підприємств на основі ефективного використання  логістичних можливостей. </w:t>
            </w:r>
          </w:p>
        </w:tc>
      </w:tr>
      <w:tr w:rsidR="00E95FB1" w:rsidRPr="001916D0" w:rsidTr="001B3967">
        <w:trPr>
          <w:trHeight w:val="390"/>
        </w:trPr>
        <w:tc>
          <w:tcPr>
            <w:tcW w:w="2836"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Очікувані кількісні результати реалізації </w:t>
            </w:r>
            <w:proofErr w:type="spellStart"/>
            <w:r w:rsidRPr="001916D0">
              <w:rPr>
                <w:b/>
                <w:sz w:val="22"/>
                <w:lang w:val="uk-UA"/>
              </w:rPr>
              <w:t>проєкту</w:t>
            </w:r>
            <w:proofErr w:type="spellEnd"/>
            <w:r w:rsidRPr="001916D0">
              <w:rPr>
                <w:b/>
                <w:sz w:val="22"/>
                <w:lang w:val="uk-UA"/>
              </w:rPr>
              <w:t xml:space="preserve"> (індикатори)</w:t>
            </w:r>
          </w:p>
          <w:p w:rsidR="00E95FB1" w:rsidRPr="001916D0" w:rsidRDefault="00E95FB1" w:rsidP="001B3967">
            <w:pPr>
              <w:pStyle w:val="a7"/>
              <w:ind w:left="0"/>
              <w:rPr>
                <w:b/>
                <w:sz w:val="22"/>
                <w:lang w:val="uk-UA"/>
              </w:rPr>
            </w:pPr>
          </w:p>
        </w:tc>
        <w:tc>
          <w:tcPr>
            <w:tcW w:w="3118" w:type="dxa"/>
            <w:gridSpan w:val="3"/>
            <w:tcBorders>
              <w:bottom w:val="single" w:sz="4" w:space="0" w:color="auto"/>
              <w:right w:val="single" w:sz="4" w:space="0" w:color="auto"/>
            </w:tcBorders>
          </w:tcPr>
          <w:p w:rsidR="00E95FB1" w:rsidRPr="001916D0" w:rsidRDefault="00E95FB1" w:rsidP="001B3967">
            <w:pPr>
              <w:pStyle w:val="a7"/>
              <w:ind w:left="-108"/>
              <w:jc w:val="center"/>
              <w:rPr>
                <w:b/>
                <w:sz w:val="22"/>
                <w:lang w:val="uk-UA"/>
              </w:rPr>
            </w:pPr>
            <w:r w:rsidRPr="001916D0">
              <w:rPr>
                <w:b/>
                <w:sz w:val="22"/>
                <w:lang w:val="uk-UA"/>
              </w:rPr>
              <w:t>Найменування показника</w:t>
            </w:r>
          </w:p>
        </w:tc>
        <w:tc>
          <w:tcPr>
            <w:tcW w:w="2127" w:type="dxa"/>
            <w:gridSpan w:val="2"/>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Одиниця вимірювання</w:t>
            </w:r>
          </w:p>
          <w:p w:rsidR="00E95FB1" w:rsidRPr="001916D0" w:rsidRDefault="00E95FB1" w:rsidP="001B3967">
            <w:pPr>
              <w:pStyle w:val="a7"/>
              <w:ind w:left="0"/>
              <w:rPr>
                <w:b/>
                <w:sz w:val="22"/>
                <w:lang w:val="uk-UA"/>
              </w:rPr>
            </w:pPr>
          </w:p>
        </w:tc>
        <w:tc>
          <w:tcPr>
            <w:tcW w:w="1842" w:type="dxa"/>
            <w:gridSpan w:val="2"/>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Прогнозне (цільове) значення</w:t>
            </w:r>
          </w:p>
        </w:tc>
      </w:tr>
      <w:tr w:rsidR="00E95FB1" w:rsidRPr="001916D0" w:rsidTr="001B3967">
        <w:trPr>
          <w:trHeight w:val="39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118" w:type="dxa"/>
            <w:gridSpan w:val="3"/>
            <w:tcBorders>
              <w:bottom w:val="single" w:sz="4" w:space="0" w:color="auto"/>
              <w:right w:val="single" w:sz="4" w:space="0" w:color="auto"/>
            </w:tcBorders>
          </w:tcPr>
          <w:p w:rsidR="00E95FB1" w:rsidRPr="001916D0" w:rsidRDefault="00E95FB1" w:rsidP="001B3967">
            <w:pPr>
              <w:pStyle w:val="a7"/>
              <w:ind w:left="-108"/>
              <w:jc w:val="center"/>
              <w:rPr>
                <w:sz w:val="22"/>
                <w:lang w:val="uk-UA"/>
              </w:rPr>
            </w:pPr>
            <w:r w:rsidRPr="001916D0">
              <w:rPr>
                <w:sz w:val="22"/>
                <w:lang w:val="uk-UA"/>
              </w:rPr>
              <w:t>Автомобільний міст через річку Борова</w:t>
            </w:r>
          </w:p>
        </w:tc>
        <w:tc>
          <w:tcPr>
            <w:tcW w:w="2127" w:type="dxa"/>
            <w:gridSpan w:val="2"/>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r w:rsidRPr="001916D0">
              <w:rPr>
                <w:sz w:val="22"/>
                <w:lang w:val="uk-UA"/>
              </w:rPr>
              <w:t>одиниць</w:t>
            </w:r>
          </w:p>
        </w:tc>
        <w:tc>
          <w:tcPr>
            <w:tcW w:w="1842" w:type="dxa"/>
            <w:gridSpan w:val="2"/>
            <w:tcBorders>
              <w:left w:val="single" w:sz="4" w:space="0" w:color="auto"/>
              <w:bottom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 xml:space="preserve">Ключові заходи проекту: </w:t>
            </w:r>
          </w:p>
          <w:p w:rsidR="00E95FB1" w:rsidRPr="001916D0" w:rsidRDefault="00E95FB1" w:rsidP="001B3967">
            <w:pPr>
              <w:pStyle w:val="a7"/>
              <w:ind w:left="0"/>
              <w:rPr>
                <w:b/>
                <w:sz w:val="22"/>
                <w:lang w:val="uk-UA"/>
              </w:rPr>
            </w:pPr>
          </w:p>
        </w:tc>
        <w:tc>
          <w:tcPr>
            <w:tcW w:w="7087" w:type="dxa"/>
            <w:gridSpan w:val="7"/>
          </w:tcPr>
          <w:p w:rsidR="00E95FB1" w:rsidRPr="001916D0" w:rsidRDefault="00E95FB1" w:rsidP="001B3967">
            <w:pPr>
              <w:pStyle w:val="a7"/>
              <w:ind w:left="0"/>
              <w:rPr>
                <w:sz w:val="22"/>
                <w:lang w:val="uk-UA"/>
              </w:rPr>
            </w:pPr>
            <w:r w:rsidRPr="001916D0">
              <w:rPr>
                <w:sz w:val="22"/>
                <w:lang w:val="uk-UA"/>
              </w:rPr>
              <w:lastRenderedPageBreak/>
              <w:t>- Обстеження руйнувань мосту</w:t>
            </w:r>
            <w:r w:rsidR="00A27F6F" w:rsidRPr="001916D0">
              <w:rPr>
                <w:sz w:val="22"/>
                <w:szCs w:val="22"/>
                <w:lang w:val="uk-UA"/>
              </w:rPr>
              <w:t>.</w:t>
            </w:r>
          </w:p>
          <w:p w:rsidR="00E95FB1" w:rsidRPr="001916D0" w:rsidRDefault="00E95FB1" w:rsidP="001B3967">
            <w:pPr>
              <w:pStyle w:val="a7"/>
              <w:ind w:left="0"/>
              <w:rPr>
                <w:sz w:val="22"/>
                <w:lang w:val="uk-UA"/>
              </w:rPr>
            </w:pPr>
            <w:r w:rsidRPr="001916D0">
              <w:rPr>
                <w:sz w:val="22"/>
                <w:lang w:val="uk-UA"/>
              </w:rPr>
              <w:lastRenderedPageBreak/>
              <w:t>- Розробка та затвердження плану робіт</w:t>
            </w:r>
            <w:r w:rsidR="00A27F6F" w:rsidRPr="001916D0">
              <w:rPr>
                <w:sz w:val="22"/>
                <w:szCs w:val="22"/>
                <w:lang w:val="uk-UA"/>
              </w:rPr>
              <w:t>.</w:t>
            </w:r>
          </w:p>
          <w:p w:rsidR="00E95FB1" w:rsidRPr="001916D0" w:rsidRDefault="00E95FB1" w:rsidP="001B3967">
            <w:pPr>
              <w:pStyle w:val="a7"/>
              <w:ind w:left="0"/>
              <w:rPr>
                <w:sz w:val="22"/>
                <w:lang w:val="uk-UA"/>
              </w:rPr>
            </w:pPr>
            <w:r w:rsidRPr="001916D0">
              <w:rPr>
                <w:sz w:val="22"/>
                <w:lang w:val="uk-UA"/>
              </w:rPr>
              <w:t>- Оприлюднення  затвердженого  плану  робіт  на офіційному  веб-сайті Сєвєродонецької ТГ</w:t>
            </w:r>
            <w:r w:rsidR="00A27F6F" w:rsidRPr="001916D0">
              <w:rPr>
                <w:sz w:val="22"/>
                <w:szCs w:val="22"/>
                <w:lang w:val="uk-UA"/>
              </w:rPr>
              <w:t>.</w:t>
            </w:r>
          </w:p>
          <w:p w:rsidR="00E95FB1" w:rsidRPr="001916D0" w:rsidRDefault="00E95FB1" w:rsidP="001B3967">
            <w:pPr>
              <w:rPr>
                <w:sz w:val="22"/>
                <w:lang w:val="uk-UA"/>
              </w:rPr>
            </w:pPr>
            <w:r w:rsidRPr="001916D0">
              <w:rPr>
                <w:sz w:val="22"/>
                <w:lang w:val="uk-UA"/>
              </w:rPr>
              <w:t xml:space="preserve"> - Складання технічної документації та плану будівництва мосту</w:t>
            </w:r>
            <w:r w:rsidR="00A27F6F" w:rsidRPr="001916D0">
              <w:rPr>
                <w:sz w:val="22"/>
                <w:szCs w:val="22"/>
                <w:lang w:val="uk-UA"/>
              </w:rPr>
              <w:t>.</w:t>
            </w:r>
          </w:p>
          <w:p w:rsidR="00E95FB1" w:rsidRPr="001916D0" w:rsidRDefault="00E95FB1" w:rsidP="001B3967">
            <w:pPr>
              <w:pStyle w:val="a7"/>
              <w:ind w:left="0"/>
              <w:rPr>
                <w:sz w:val="22"/>
                <w:lang w:val="uk-UA"/>
              </w:rPr>
            </w:pPr>
            <w:r w:rsidRPr="001916D0">
              <w:rPr>
                <w:sz w:val="22"/>
                <w:lang w:val="uk-UA"/>
              </w:rPr>
              <w:t>- Організація та  виконання  робіт  з  демонтажу  потенційно аварійно небезпечних об’єктів</w:t>
            </w:r>
            <w:r w:rsidR="00A27F6F" w:rsidRPr="001916D0">
              <w:rPr>
                <w:sz w:val="22"/>
                <w:szCs w:val="22"/>
                <w:lang w:val="uk-UA"/>
              </w:rPr>
              <w:t>.</w:t>
            </w:r>
          </w:p>
          <w:p w:rsidR="00E95FB1" w:rsidRPr="001916D0" w:rsidRDefault="00E95FB1" w:rsidP="001B3967">
            <w:pPr>
              <w:pStyle w:val="a7"/>
              <w:ind w:left="0"/>
              <w:rPr>
                <w:sz w:val="22"/>
                <w:lang w:val="uk-UA"/>
              </w:rPr>
            </w:pPr>
            <w:r w:rsidRPr="001916D0">
              <w:rPr>
                <w:sz w:val="22"/>
                <w:lang w:val="uk-UA"/>
              </w:rPr>
              <w:t>- Проведення  робіт зі  збирання,  попереднього  сортування  та відокремлення небезпечних відходів</w:t>
            </w:r>
            <w:r w:rsidR="00A27F6F" w:rsidRPr="001916D0">
              <w:rPr>
                <w:sz w:val="22"/>
                <w:szCs w:val="22"/>
                <w:lang w:val="uk-UA"/>
              </w:rPr>
              <w:t>.</w:t>
            </w:r>
            <w:r w:rsidRPr="001916D0">
              <w:rPr>
                <w:sz w:val="22"/>
                <w:lang w:val="uk-UA"/>
              </w:rPr>
              <w:t xml:space="preserve"> </w:t>
            </w:r>
          </w:p>
          <w:p w:rsidR="00E95FB1" w:rsidRPr="001916D0" w:rsidRDefault="00E95FB1" w:rsidP="001B3967">
            <w:pPr>
              <w:pStyle w:val="a7"/>
              <w:ind w:left="0"/>
              <w:rPr>
                <w:sz w:val="22"/>
                <w:lang w:val="uk-UA"/>
              </w:rPr>
            </w:pPr>
            <w:r w:rsidRPr="001916D0">
              <w:rPr>
                <w:sz w:val="22"/>
                <w:lang w:val="uk-UA"/>
              </w:rPr>
              <w:t xml:space="preserve">  -  Будівництво мосту</w:t>
            </w:r>
            <w:r w:rsidR="00A27F6F" w:rsidRPr="001916D0">
              <w:rPr>
                <w:sz w:val="22"/>
                <w:szCs w:val="22"/>
                <w:lang w:val="uk-UA"/>
              </w:rPr>
              <w:t>.</w:t>
            </w:r>
          </w:p>
          <w:p w:rsidR="00E95FB1" w:rsidRPr="001916D0" w:rsidRDefault="00E95FB1" w:rsidP="001B3967">
            <w:pPr>
              <w:rPr>
                <w:sz w:val="22"/>
                <w:lang w:val="uk-UA"/>
              </w:rPr>
            </w:pPr>
            <w:r w:rsidRPr="001916D0">
              <w:rPr>
                <w:sz w:val="22"/>
                <w:lang w:val="uk-UA"/>
              </w:rPr>
              <w:t>- Введення в експлуатацію.</w:t>
            </w:r>
          </w:p>
        </w:tc>
      </w:tr>
      <w:tr w:rsidR="00E95FB1" w:rsidRPr="001916D0" w:rsidTr="001B3967">
        <w:trPr>
          <w:trHeight w:val="360"/>
        </w:trPr>
        <w:tc>
          <w:tcPr>
            <w:tcW w:w="2836"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lastRenderedPageBreak/>
              <w:t xml:space="preserve">Орієнтовний обсяг та джерела фінансування, тис. грн. </w:t>
            </w:r>
          </w:p>
          <w:p w:rsidR="00E95FB1" w:rsidRPr="001916D0" w:rsidRDefault="00E95FB1" w:rsidP="001B3967">
            <w:pPr>
              <w:pStyle w:val="a7"/>
              <w:ind w:left="0"/>
              <w:rPr>
                <w:b/>
                <w:sz w:val="22"/>
                <w:lang w:val="uk-UA"/>
              </w:rPr>
            </w:pPr>
          </w:p>
        </w:tc>
        <w:tc>
          <w:tcPr>
            <w:tcW w:w="1671"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Державний бюджет</w:t>
            </w:r>
          </w:p>
        </w:tc>
        <w:tc>
          <w:tcPr>
            <w:tcW w:w="1197"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Місцевий бюджет</w:t>
            </w:r>
          </w:p>
        </w:tc>
        <w:tc>
          <w:tcPr>
            <w:tcW w:w="2835" w:type="dxa"/>
            <w:gridSpan w:val="4"/>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Інші джерела</w:t>
            </w:r>
          </w:p>
        </w:tc>
        <w:tc>
          <w:tcPr>
            <w:tcW w:w="1384" w:type="dxa"/>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Всього</w:t>
            </w:r>
          </w:p>
        </w:tc>
      </w:tr>
      <w:tr w:rsidR="00E95FB1" w:rsidRPr="001916D0" w:rsidTr="001B3967">
        <w:trPr>
          <w:trHeight w:val="225"/>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1671" w:type="dxa"/>
            <w:vMerge w:val="restart"/>
            <w:tcBorders>
              <w:top w:val="single" w:sz="4" w:space="0" w:color="auto"/>
              <w:right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r w:rsidRPr="001916D0">
              <w:rPr>
                <w:sz w:val="22"/>
                <w:lang w:val="uk-UA"/>
              </w:rPr>
              <w:t>140 000,0</w:t>
            </w:r>
          </w:p>
        </w:tc>
        <w:tc>
          <w:tcPr>
            <w:tcW w:w="1197" w:type="dxa"/>
            <w:vMerge w:val="restart"/>
            <w:tcBorders>
              <w:top w:val="single" w:sz="4" w:space="0" w:color="auto"/>
              <w:right w:val="single" w:sz="4" w:space="0" w:color="auto"/>
            </w:tcBorders>
          </w:tcPr>
          <w:p w:rsidR="00E95FB1" w:rsidRPr="001916D0" w:rsidRDefault="00E95FB1" w:rsidP="001B3967">
            <w:pPr>
              <w:pStyle w:val="a7"/>
              <w:ind w:left="0"/>
              <w:jc w:val="center"/>
              <w:rPr>
                <w:b/>
                <w:sz w:val="22"/>
                <w:lang w:val="uk-UA"/>
              </w:rPr>
            </w:pPr>
          </w:p>
        </w:tc>
        <w:tc>
          <w:tcPr>
            <w:tcW w:w="1486"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Обсяг</w:t>
            </w:r>
          </w:p>
        </w:tc>
        <w:tc>
          <w:tcPr>
            <w:tcW w:w="1349"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Назва джерела</w:t>
            </w:r>
          </w:p>
        </w:tc>
        <w:tc>
          <w:tcPr>
            <w:tcW w:w="1384" w:type="dxa"/>
            <w:vMerge w:val="restart"/>
            <w:tcBorders>
              <w:top w:val="single" w:sz="4" w:space="0" w:color="auto"/>
              <w:left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r w:rsidRPr="001916D0">
              <w:rPr>
                <w:sz w:val="22"/>
                <w:lang w:val="uk-UA"/>
              </w:rPr>
              <w:t>200 000,0</w:t>
            </w:r>
          </w:p>
        </w:tc>
      </w:tr>
      <w:tr w:rsidR="00E95FB1" w:rsidRPr="001916D0" w:rsidTr="001B3967">
        <w:trPr>
          <w:trHeight w:val="30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1671" w:type="dxa"/>
            <w:vMerge/>
            <w:tcBorders>
              <w:right w:val="single" w:sz="4" w:space="0" w:color="auto"/>
            </w:tcBorders>
          </w:tcPr>
          <w:p w:rsidR="00E95FB1" w:rsidRPr="001916D0" w:rsidRDefault="00E95FB1" w:rsidP="001B3967">
            <w:pPr>
              <w:pStyle w:val="a7"/>
              <w:ind w:left="0"/>
              <w:jc w:val="center"/>
              <w:rPr>
                <w:sz w:val="22"/>
                <w:lang w:val="uk-UA"/>
              </w:rPr>
            </w:pPr>
          </w:p>
        </w:tc>
        <w:tc>
          <w:tcPr>
            <w:tcW w:w="1197" w:type="dxa"/>
            <w:vMerge/>
            <w:tcBorders>
              <w:right w:val="single" w:sz="4" w:space="0" w:color="auto"/>
            </w:tcBorders>
          </w:tcPr>
          <w:p w:rsidR="00E95FB1" w:rsidRPr="001916D0" w:rsidRDefault="00E95FB1" w:rsidP="001B3967">
            <w:pPr>
              <w:pStyle w:val="a7"/>
              <w:ind w:left="0"/>
              <w:jc w:val="center"/>
              <w:rPr>
                <w:b/>
                <w:sz w:val="22"/>
                <w:lang w:val="uk-UA"/>
              </w:rPr>
            </w:pPr>
          </w:p>
        </w:tc>
        <w:tc>
          <w:tcPr>
            <w:tcW w:w="1486"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b/>
                <w:sz w:val="22"/>
                <w:lang w:val="uk-UA"/>
              </w:rPr>
            </w:pPr>
          </w:p>
          <w:p w:rsidR="00E95FB1" w:rsidRPr="001916D0" w:rsidRDefault="00E95FB1" w:rsidP="001B3967">
            <w:pPr>
              <w:pStyle w:val="a7"/>
              <w:ind w:left="0"/>
              <w:jc w:val="center"/>
              <w:rPr>
                <w:b/>
                <w:sz w:val="22"/>
                <w:lang w:val="uk-UA"/>
              </w:rPr>
            </w:pPr>
          </w:p>
          <w:p w:rsidR="00E95FB1" w:rsidRPr="001916D0" w:rsidRDefault="00E95FB1" w:rsidP="001B3967">
            <w:pPr>
              <w:pStyle w:val="a7"/>
              <w:ind w:left="0"/>
              <w:jc w:val="center"/>
              <w:rPr>
                <w:sz w:val="22"/>
                <w:lang w:val="uk-UA"/>
              </w:rPr>
            </w:pPr>
            <w:r w:rsidRPr="001916D0">
              <w:rPr>
                <w:sz w:val="22"/>
                <w:lang w:val="uk-UA"/>
              </w:rPr>
              <w:t>60 000,0</w:t>
            </w:r>
          </w:p>
        </w:tc>
        <w:tc>
          <w:tcPr>
            <w:tcW w:w="1349"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Міжнародні інвестиції, кошти приватних осіб</w:t>
            </w:r>
          </w:p>
        </w:tc>
        <w:tc>
          <w:tcPr>
            <w:tcW w:w="1384" w:type="dxa"/>
            <w:vMerge/>
            <w:tcBorders>
              <w:left w:val="single" w:sz="4" w:space="0" w:color="auto"/>
            </w:tcBorders>
          </w:tcPr>
          <w:p w:rsidR="00E95FB1" w:rsidRPr="001916D0" w:rsidRDefault="00E95FB1" w:rsidP="001B3967">
            <w:pPr>
              <w:pStyle w:val="a7"/>
              <w:ind w:left="0"/>
              <w:jc w:val="center"/>
              <w:rPr>
                <w:sz w:val="22"/>
                <w:lang w:val="uk-UA"/>
              </w:rPr>
            </w:pPr>
          </w:p>
        </w:tc>
      </w:tr>
    </w:tbl>
    <w:p w:rsidR="00E95FB1" w:rsidRPr="001916D0" w:rsidRDefault="00E95FB1" w:rsidP="00E95FB1">
      <w:pPr>
        <w:rPr>
          <w:sz w:val="22"/>
        </w:rPr>
      </w:pPr>
    </w:p>
    <w:p w:rsidR="00E95FB1" w:rsidRPr="001916D0" w:rsidRDefault="00E95FB1" w:rsidP="00E95FB1">
      <w:pPr>
        <w:rPr>
          <w:sz w:val="22"/>
        </w:rPr>
      </w:pPr>
    </w:p>
    <w:p w:rsidR="00E95FB1" w:rsidRPr="001916D0" w:rsidRDefault="00E95FB1" w:rsidP="00E95FB1">
      <w:pPr>
        <w:rPr>
          <w:sz w:val="22"/>
        </w:rPr>
      </w:pPr>
    </w:p>
    <w:tbl>
      <w:tblPr>
        <w:tblStyle w:val="af"/>
        <w:tblW w:w="9923" w:type="dxa"/>
        <w:tblInd w:w="-176" w:type="dxa"/>
        <w:tblLayout w:type="fixed"/>
        <w:tblLook w:val="04A0" w:firstRow="1" w:lastRow="0" w:firstColumn="1" w:lastColumn="0" w:noHBand="0" w:noVBand="1"/>
      </w:tblPr>
      <w:tblGrid>
        <w:gridCol w:w="2836"/>
        <w:gridCol w:w="1701"/>
        <w:gridCol w:w="1276"/>
        <w:gridCol w:w="567"/>
        <w:gridCol w:w="567"/>
        <w:gridCol w:w="1275"/>
        <w:gridCol w:w="1701"/>
      </w:tblGrid>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Оперативна ціль/завдання</w:t>
            </w:r>
          </w:p>
        </w:tc>
        <w:tc>
          <w:tcPr>
            <w:tcW w:w="7087" w:type="dxa"/>
            <w:gridSpan w:val="6"/>
            <w:shd w:val="clear" w:color="auto" w:fill="auto"/>
          </w:tcPr>
          <w:p w:rsidR="00E95FB1" w:rsidRPr="001916D0" w:rsidRDefault="00E95FB1" w:rsidP="001B3967">
            <w:pPr>
              <w:rPr>
                <w:rFonts w:eastAsia="Arial"/>
                <w:sz w:val="22"/>
                <w:lang w:val="uk-UA"/>
              </w:rPr>
            </w:pPr>
            <w:r w:rsidRPr="001916D0">
              <w:rPr>
                <w:rFonts w:eastAsia="Arial"/>
                <w:sz w:val="22"/>
                <w:lang w:val="uk-UA"/>
              </w:rPr>
              <w:t>Комфорт життя ЛЮДИНИ як безпека, екологічна сталість та розумна енергетика. Громадська та інформаційна безпека території громади</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Назва проекту:</w:t>
            </w:r>
          </w:p>
        </w:tc>
        <w:tc>
          <w:tcPr>
            <w:tcW w:w="7087" w:type="dxa"/>
            <w:gridSpan w:val="6"/>
          </w:tcPr>
          <w:p w:rsidR="00E95FB1" w:rsidRPr="001916D0" w:rsidRDefault="00E95FB1" w:rsidP="001B3967">
            <w:pPr>
              <w:rPr>
                <w:sz w:val="22"/>
                <w:lang w:val="uk-UA"/>
              </w:rPr>
            </w:pPr>
            <w:r w:rsidRPr="001916D0">
              <w:rPr>
                <w:sz w:val="22"/>
                <w:lang w:val="uk-UA"/>
              </w:rPr>
              <w:t>Створення дільниці з обслуговування міських автомобільних доріг загального користування та зупинок міського громадського транспорту Комунального підприємства «</w:t>
            </w:r>
            <w:proofErr w:type="spellStart"/>
            <w:r w:rsidRPr="001916D0">
              <w:rPr>
                <w:sz w:val="22"/>
                <w:lang w:val="uk-UA"/>
              </w:rPr>
              <w:t>Сєвєродонецьккомунсервис</w:t>
            </w:r>
            <w:proofErr w:type="spellEnd"/>
            <w:r w:rsidRPr="001916D0">
              <w:rPr>
                <w:sz w:val="22"/>
                <w:lang w:val="uk-UA"/>
              </w:rPr>
              <w:t xml:space="preserve">»  </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Ціль проекту</w:t>
            </w:r>
          </w:p>
        </w:tc>
        <w:tc>
          <w:tcPr>
            <w:tcW w:w="7087" w:type="dxa"/>
            <w:gridSpan w:val="6"/>
          </w:tcPr>
          <w:p w:rsidR="002348FE" w:rsidRPr="001916D0" w:rsidRDefault="00E95FB1" w:rsidP="001B3967">
            <w:pPr>
              <w:rPr>
                <w:sz w:val="22"/>
                <w:szCs w:val="22"/>
                <w:lang w:val="uk-UA"/>
              </w:rPr>
            </w:pPr>
            <w:r w:rsidRPr="001916D0">
              <w:rPr>
                <w:sz w:val="22"/>
                <w:lang w:val="uk-UA"/>
              </w:rPr>
              <w:t xml:space="preserve">Відновити матеріально-технічну </w:t>
            </w:r>
            <w:r w:rsidRPr="001916D0">
              <w:rPr>
                <w:sz w:val="22"/>
                <w:szCs w:val="22"/>
                <w:lang w:val="uk-UA"/>
              </w:rPr>
              <w:t>базу</w:t>
            </w:r>
          </w:p>
          <w:p w:rsidR="00E95FB1" w:rsidRPr="001916D0" w:rsidRDefault="00E95FB1" w:rsidP="001B3967">
            <w:pPr>
              <w:rPr>
                <w:sz w:val="22"/>
                <w:lang w:val="uk-UA"/>
              </w:rPr>
            </w:pPr>
            <w:r w:rsidRPr="001916D0">
              <w:rPr>
                <w:sz w:val="22"/>
                <w:lang w:val="uk-UA"/>
              </w:rPr>
              <w:t>КП "</w:t>
            </w:r>
            <w:proofErr w:type="spellStart"/>
            <w:r w:rsidRPr="001916D0">
              <w:rPr>
                <w:sz w:val="22"/>
                <w:lang w:val="uk-UA"/>
              </w:rPr>
              <w:t>Сєвєродонецьккомунсервис</w:t>
            </w:r>
            <w:proofErr w:type="spellEnd"/>
            <w:r w:rsidRPr="001916D0">
              <w:rPr>
                <w:sz w:val="22"/>
                <w:lang w:val="uk-UA"/>
              </w:rPr>
              <w:t>", збільшити технічну та виробничу потужності, забезпечити стабільну роботу комунального підприємства відповідно до його функціональних призначень шляхом придбання спеціалізованої техніки</w:t>
            </w:r>
          </w:p>
          <w:p w:rsidR="00E95FB1" w:rsidRPr="001916D0" w:rsidRDefault="00E95FB1" w:rsidP="001B3967">
            <w:pPr>
              <w:pStyle w:val="a7"/>
              <w:ind w:left="0"/>
              <w:rPr>
                <w:sz w:val="22"/>
                <w:lang w:val="uk-UA"/>
              </w:rPr>
            </w:pP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Територія, на яку матиме вплив реалізація проекту</w:t>
            </w:r>
          </w:p>
        </w:tc>
        <w:tc>
          <w:tcPr>
            <w:tcW w:w="7087" w:type="dxa"/>
            <w:gridSpan w:val="6"/>
          </w:tcPr>
          <w:p w:rsidR="00E95FB1" w:rsidRPr="001916D0" w:rsidRDefault="00E95FB1" w:rsidP="001B3967">
            <w:pPr>
              <w:pStyle w:val="a7"/>
              <w:ind w:left="0"/>
              <w:rPr>
                <w:sz w:val="22"/>
                <w:lang w:val="uk-UA"/>
              </w:rPr>
            </w:pPr>
            <w:r w:rsidRPr="001916D0">
              <w:rPr>
                <w:sz w:val="22"/>
                <w:lang w:val="uk-UA"/>
              </w:rPr>
              <w:t>Сєвєродонецька міська територіальна громада</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Чисельність населення, на яке матиме вплив реалізація проекту</w:t>
            </w:r>
          </w:p>
        </w:tc>
        <w:tc>
          <w:tcPr>
            <w:tcW w:w="7087" w:type="dxa"/>
            <w:gridSpan w:val="6"/>
          </w:tcPr>
          <w:p w:rsidR="00E95FB1" w:rsidRPr="001916D0" w:rsidRDefault="00E95FB1" w:rsidP="001B3967">
            <w:pPr>
              <w:pStyle w:val="a7"/>
              <w:ind w:left="0"/>
              <w:rPr>
                <w:sz w:val="22"/>
                <w:lang w:val="uk-UA"/>
              </w:rPr>
            </w:pPr>
            <w:r w:rsidRPr="001916D0">
              <w:rPr>
                <w:sz w:val="22"/>
                <w:lang w:val="uk-UA"/>
              </w:rPr>
              <w:t xml:space="preserve"> 70 000  осіб</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Опис проблеми, на вирішення якої  спрямований проект</w:t>
            </w:r>
          </w:p>
        </w:tc>
        <w:tc>
          <w:tcPr>
            <w:tcW w:w="7087" w:type="dxa"/>
            <w:gridSpan w:val="6"/>
          </w:tcPr>
          <w:p w:rsidR="00E95FB1" w:rsidRPr="001916D0" w:rsidRDefault="00E95FB1" w:rsidP="001B3967">
            <w:pPr>
              <w:rPr>
                <w:sz w:val="22"/>
                <w:lang w:val="uk-UA"/>
              </w:rPr>
            </w:pPr>
            <w:r w:rsidRPr="001916D0">
              <w:rPr>
                <w:sz w:val="22"/>
                <w:lang w:val="uk-UA"/>
              </w:rPr>
              <w:t xml:space="preserve">Через військову агресію РФ територія Сєвєродонецької міської територіальної громади зазнала значних пошкоджень. На балансі КП СКС знаходилось дорожнє покриття  у місті Сєвєродонецьку та селищах сателітах: 15 сіл (Боброве, </w:t>
            </w:r>
            <w:proofErr w:type="spellStart"/>
            <w:r w:rsidRPr="001916D0">
              <w:rPr>
                <w:sz w:val="22"/>
                <w:lang w:val="uk-UA"/>
              </w:rPr>
              <w:t>Боровеньки</w:t>
            </w:r>
            <w:proofErr w:type="spellEnd"/>
            <w:r w:rsidRPr="001916D0">
              <w:rPr>
                <w:sz w:val="22"/>
                <w:lang w:val="uk-UA"/>
              </w:rPr>
              <w:t xml:space="preserve">, Воєводівка, Гаврилівка, </w:t>
            </w:r>
            <w:proofErr w:type="spellStart"/>
            <w:r w:rsidRPr="001916D0">
              <w:rPr>
                <w:sz w:val="22"/>
                <w:lang w:val="uk-UA"/>
              </w:rPr>
              <w:t>Єпіфанівка</w:t>
            </w:r>
            <w:proofErr w:type="spellEnd"/>
            <w:r w:rsidRPr="001916D0">
              <w:rPr>
                <w:sz w:val="22"/>
                <w:lang w:val="uk-UA"/>
              </w:rPr>
              <w:t xml:space="preserve">, </w:t>
            </w:r>
            <w:r w:rsidRPr="001916D0">
              <w:rPr>
                <w:sz w:val="22"/>
                <w:szCs w:val="22"/>
                <w:lang w:val="uk-UA"/>
              </w:rPr>
              <w:t>Ліс</w:t>
            </w:r>
            <w:r w:rsidR="00E91CCF" w:rsidRPr="001916D0">
              <w:rPr>
                <w:sz w:val="22"/>
                <w:szCs w:val="22"/>
                <w:lang w:val="uk-UA"/>
              </w:rPr>
              <w:t>н</w:t>
            </w:r>
            <w:r w:rsidRPr="001916D0">
              <w:rPr>
                <w:sz w:val="22"/>
                <w:szCs w:val="22"/>
                <w:lang w:val="uk-UA"/>
              </w:rPr>
              <w:t>а</w:t>
            </w:r>
            <w:r w:rsidRPr="001916D0">
              <w:rPr>
                <w:sz w:val="22"/>
                <w:lang w:val="uk-UA"/>
              </w:rPr>
              <w:t xml:space="preserve"> Дача, Нижній Суходіл, Нова Астрахань, Олександрівка, </w:t>
            </w:r>
            <w:proofErr w:type="spellStart"/>
            <w:r w:rsidRPr="001916D0">
              <w:rPr>
                <w:sz w:val="22"/>
                <w:lang w:val="uk-UA"/>
              </w:rPr>
              <w:t>Осколонівка</w:t>
            </w:r>
            <w:proofErr w:type="spellEnd"/>
            <w:r w:rsidRPr="001916D0">
              <w:rPr>
                <w:sz w:val="22"/>
                <w:lang w:val="uk-UA"/>
              </w:rPr>
              <w:t xml:space="preserve">, Павлоград, </w:t>
            </w:r>
            <w:proofErr w:type="spellStart"/>
            <w:r w:rsidRPr="001916D0">
              <w:rPr>
                <w:sz w:val="22"/>
                <w:lang w:val="uk-UA"/>
              </w:rPr>
              <w:t>Пурдівка</w:t>
            </w:r>
            <w:proofErr w:type="spellEnd"/>
            <w:r w:rsidRPr="001916D0">
              <w:rPr>
                <w:sz w:val="22"/>
                <w:lang w:val="uk-UA"/>
              </w:rPr>
              <w:t xml:space="preserve">, </w:t>
            </w:r>
            <w:proofErr w:type="spellStart"/>
            <w:r w:rsidRPr="001916D0">
              <w:rPr>
                <w:sz w:val="22"/>
                <w:lang w:val="uk-UA"/>
              </w:rPr>
              <w:t>Синецький</w:t>
            </w:r>
            <w:proofErr w:type="spellEnd"/>
            <w:r w:rsidRPr="001916D0">
              <w:rPr>
                <w:sz w:val="22"/>
                <w:lang w:val="uk-UA"/>
              </w:rPr>
              <w:t xml:space="preserve">, </w:t>
            </w:r>
            <w:proofErr w:type="spellStart"/>
            <w:r w:rsidRPr="001916D0">
              <w:rPr>
                <w:sz w:val="22"/>
                <w:lang w:val="uk-UA"/>
              </w:rPr>
              <w:t>Смолянинове</w:t>
            </w:r>
            <w:proofErr w:type="spellEnd"/>
            <w:r w:rsidRPr="001916D0">
              <w:rPr>
                <w:sz w:val="22"/>
                <w:lang w:val="uk-UA"/>
              </w:rPr>
              <w:t>, Чабанівка) та 4 смт</w:t>
            </w:r>
            <w:r w:rsidR="00E91CCF" w:rsidRPr="001916D0">
              <w:rPr>
                <w:sz w:val="22"/>
                <w:szCs w:val="22"/>
                <w:lang w:val="uk-UA"/>
              </w:rPr>
              <w:t>.</w:t>
            </w:r>
            <w:r w:rsidRPr="001916D0">
              <w:rPr>
                <w:sz w:val="22"/>
                <w:lang w:val="uk-UA"/>
              </w:rPr>
              <w:t xml:space="preserve"> (Борівське, Воронове, Метьолкіне, Сиротине), 1 автомобільний міст через ріку Сіверський Донець. Практично все полотно зруйновано.</w:t>
            </w:r>
          </w:p>
          <w:p w:rsidR="00E95FB1" w:rsidRPr="001916D0" w:rsidRDefault="00E95FB1" w:rsidP="00E91CCF">
            <w:pPr>
              <w:ind w:firstLine="248"/>
              <w:rPr>
                <w:sz w:val="22"/>
                <w:lang w:val="uk-UA"/>
              </w:rPr>
            </w:pPr>
            <w:r w:rsidRPr="001916D0">
              <w:rPr>
                <w:sz w:val="22"/>
                <w:lang w:val="uk-UA"/>
              </w:rPr>
              <w:t xml:space="preserve">Спеціалізована техніка, яка знаходиться на балансі підприємства, була знищена в результаті військової агресії </w:t>
            </w:r>
            <w:r w:rsidR="00E91CCF" w:rsidRPr="001916D0">
              <w:rPr>
                <w:sz w:val="22"/>
                <w:szCs w:val="22"/>
                <w:lang w:val="uk-UA"/>
              </w:rPr>
              <w:t>РФ</w:t>
            </w:r>
            <w:r w:rsidRPr="001916D0">
              <w:rPr>
                <w:sz w:val="22"/>
                <w:lang w:val="uk-UA"/>
              </w:rPr>
              <w:t xml:space="preserve"> до України.</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якісні результати від реалізації проекту</w:t>
            </w:r>
          </w:p>
        </w:tc>
        <w:tc>
          <w:tcPr>
            <w:tcW w:w="7087" w:type="dxa"/>
            <w:gridSpan w:val="6"/>
          </w:tcPr>
          <w:p w:rsidR="00E95FB1" w:rsidRPr="001916D0" w:rsidRDefault="00E95FB1" w:rsidP="001B3967">
            <w:pPr>
              <w:rPr>
                <w:sz w:val="22"/>
                <w:lang w:val="uk-UA"/>
              </w:rPr>
            </w:pPr>
            <w:r w:rsidRPr="001916D0">
              <w:rPr>
                <w:sz w:val="22"/>
                <w:lang w:val="uk-UA"/>
              </w:rPr>
              <w:t xml:space="preserve">Реалізація </w:t>
            </w:r>
            <w:proofErr w:type="spellStart"/>
            <w:r w:rsidRPr="001916D0">
              <w:rPr>
                <w:sz w:val="22"/>
                <w:lang w:val="uk-UA"/>
              </w:rPr>
              <w:t>проєкту</w:t>
            </w:r>
            <w:proofErr w:type="spellEnd"/>
            <w:r w:rsidRPr="001916D0">
              <w:rPr>
                <w:sz w:val="22"/>
                <w:lang w:val="uk-UA"/>
              </w:rPr>
              <w:t xml:space="preserve"> сприятиме  відновленню та вдосконаленню робіт з обслуговування автомобільних доріг загального користування та зупинок громадського транспорту Сєвєродонецької міської територіальної громади. </w:t>
            </w:r>
          </w:p>
          <w:p w:rsidR="00E95FB1" w:rsidRPr="001916D0" w:rsidRDefault="00E95FB1" w:rsidP="001B3967">
            <w:pPr>
              <w:rPr>
                <w:sz w:val="22"/>
                <w:lang w:val="uk-UA"/>
              </w:rPr>
            </w:pPr>
            <w:r w:rsidRPr="001916D0">
              <w:rPr>
                <w:sz w:val="22"/>
                <w:lang w:val="uk-UA"/>
              </w:rPr>
              <w:t xml:space="preserve"> Дозволить забезпечити безпеку на дорогах, підвищить рівень добробуту населення, передусім у сфері благоустрою міста, розвитку комунального </w:t>
            </w:r>
            <w:r w:rsidRPr="001916D0">
              <w:rPr>
                <w:sz w:val="22"/>
                <w:lang w:val="uk-UA"/>
              </w:rPr>
              <w:lastRenderedPageBreak/>
              <w:t>сектору економіки  Сєвєродонецької ТГ та дозволить стабільно виконувати роботи по благоустрою територій міста, усуненню наслідків військових дій, стихійних лих, погодних катаклізмів, зменшити ручну працю.</w:t>
            </w:r>
          </w:p>
          <w:p w:rsidR="00E95FB1" w:rsidRPr="001916D0" w:rsidRDefault="00E95FB1" w:rsidP="001B3967">
            <w:pPr>
              <w:ind w:firstLine="226"/>
              <w:rPr>
                <w:sz w:val="22"/>
                <w:lang w:val="uk-UA"/>
              </w:rPr>
            </w:pPr>
            <w:r w:rsidRPr="001916D0">
              <w:rPr>
                <w:sz w:val="22"/>
                <w:lang w:val="uk-UA"/>
              </w:rPr>
              <w:t xml:space="preserve">Після придбання спецтехніки за </w:t>
            </w:r>
            <w:proofErr w:type="spellStart"/>
            <w:r w:rsidRPr="001916D0">
              <w:rPr>
                <w:sz w:val="22"/>
                <w:szCs w:val="22"/>
                <w:lang w:val="uk-UA"/>
              </w:rPr>
              <w:t>про</w:t>
            </w:r>
            <w:r w:rsidR="00214058" w:rsidRPr="001916D0">
              <w:rPr>
                <w:sz w:val="22"/>
                <w:szCs w:val="22"/>
                <w:lang w:val="uk-UA"/>
              </w:rPr>
              <w:t>є</w:t>
            </w:r>
            <w:r w:rsidRPr="001916D0">
              <w:rPr>
                <w:sz w:val="22"/>
                <w:szCs w:val="22"/>
                <w:lang w:val="uk-UA"/>
              </w:rPr>
              <w:t>ктом</w:t>
            </w:r>
            <w:proofErr w:type="spellEnd"/>
            <w:r w:rsidRPr="001916D0">
              <w:rPr>
                <w:sz w:val="22"/>
                <w:lang w:val="uk-UA"/>
              </w:rPr>
              <w:t xml:space="preserve"> КП "</w:t>
            </w:r>
            <w:proofErr w:type="spellStart"/>
            <w:r w:rsidRPr="001916D0">
              <w:rPr>
                <w:sz w:val="22"/>
                <w:lang w:val="uk-UA"/>
              </w:rPr>
              <w:t>Сєвєродонецьккомунсервис</w:t>
            </w:r>
            <w:proofErr w:type="spellEnd"/>
            <w:r w:rsidRPr="001916D0">
              <w:rPr>
                <w:sz w:val="22"/>
                <w:lang w:val="uk-UA"/>
              </w:rPr>
              <w:t>" може забезпечити проведення ремонтних робіт асфальтобетонного покриття доріг міста, що сприятиме відновленню інфраструктури міста та селищ, підвищенню безпеки дорожнього руху та експлуатаційної спроможності дорожнього покриття, раціональному використанню бюджетних коштів.</w:t>
            </w:r>
          </w:p>
          <w:p w:rsidR="00E95FB1" w:rsidRPr="001916D0" w:rsidRDefault="00E95FB1" w:rsidP="001B3967">
            <w:pPr>
              <w:pStyle w:val="a7"/>
              <w:ind w:left="0"/>
              <w:rPr>
                <w:sz w:val="22"/>
                <w:lang w:val="uk-UA"/>
              </w:rPr>
            </w:pPr>
          </w:p>
        </w:tc>
      </w:tr>
      <w:tr w:rsidR="00E95FB1" w:rsidRPr="001916D0" w:rsidTr="001B3967">
        <w:trPr>
          <w:trHeight w:val="390"/>
        </w:trPr>
        <w:tc>
          <w:tcPr>
            <w:tcW w:w="2836"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lastRenderedPageBreak/>
              <w:t xml:space="preserve">Очікувані кількісні результати реалізації </w:t>
            </w:r>
            <w:proofErr w:type="spellStart"/>
            <w:r w:rsidRPr="001916D0">
              <w:rPr>
                <w:b/>
                <w:sz w:val="22"/>
                <w:lang w:val="uk-UA"/>
              </w:rPr>
              <w:t>проєкту</w:t>
            </w:r>
            <w:proofErr w:type="spellEnd"/>
            <w:r w:rsidRPr="001916D0">
              <w:rPr>
                <w:b/>
                <w:sz w:val="22"/>
                <w:lang w:val="uk-UA"/>
              </w:rPr>
              <w:t xml:space="preserve"> (індикатори)</w:t>
            </w:r>
          </w:p>
          <w:p w:rsidR="00E95FB1" w:rsidRPr="001916D0" w:rsidRDefault="00E95FB1" w:rsidP="001B3967">
            <w:pPr>
              <w:pStyle w:val="a7"/>
              <w:ind w:left="0"/>
              <w:rPr>
                <w:b/>
                <w:sz w:val="22"/>
                <w:lang w:val="uk-UA"/>
              </w:rPr>
            </w:pPr>
          </w:p>
        </w:tc>
        <w:tc>
          <w:tcPr>
            <w:tcW w:w="3544" w:type="dxa"/>
            <w:gridSpan w:val="3"/>
            <w:tcBorders>
              <w:bottom w:val="single" w:sz="4" w:space="0" w:color="auto"/>
              <w:right w:val="single" w:sz="4" w:space="0" w:color="auto"/>
            </w:tcBorders>
            <w:vAlign w:val="center"/>
          </w:tcPr>
          <w:p w:rsidR="00E95FB1" w:rsidRPr="001916D0" w:rsidRDefault="00E95FB1" w:rsidP="001B3967">
            <w:pPr>
              <w:pStyle w:val="a7"/>
              <w:ind w:left="-108"/>
              <w:jc w:val="center"/>
              <w:rPr>
                <w:b/>
                <w:sz w:val="22"/>
                <w:lang w:val="uk-UA"/>
              </w:rPr>
            </w:pPr>
            <w:r w:rsidRPr="001916D0">
              <w:rPr>
                <w:b/>
                <w:sz w:val="22"/>
                <w:lang w:val="uk-UA"/>
              </w:rPr>
              <w:t>Найменування показника</w:t>
            </w:r>
          </w:p>
        </w:tc>
        <w:tc>
          <w:tcPr>
            <w:tcW w:w="1842" w:type="dxa"/>
            <w:gridSpan w:val="2"/>
            <w:tcBorders>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b/>
                <w:sz w:val="22"/>
                <w:lang w:val="uk-UA"/>
              </w:rPr>
            </w:pPr>
            <w:r w:rsidRPr="001916D0">
              <w:rPr>
                <w:b/>
                <w:sz w:val="22"/>
                <w:lang w:val="uk-UA"/>
              </w:rPr>
              <w:t>Одиниця вимірювання</w:t>
            </w:r>
          </w:p>
          <w:p w:rsidR="00E95FB1" w:rsidRPr="001916D0" w:rsidRDefault="00E95FB1" w:rsidP="001B3967">
            <w:pPr>
              <w:pStyle w:val="a7"/>
              <w:ind w:left="0"/>
              <w:jc w:val="center"/>
              <w:rPr>
                <w:b/>
                <w:sz w:val="22"/>
                <w:lang w:val="uk-UA"/>
              </w:rPr>
            </w:pPr>
          </w:p>
        </w:tc>
        <w:tc>
          <w:tcPr>
            <w:tcW w:w="1701" w:type="dxa"/>
            <w:tcBorders>
              <w:left w:val="single" w:sz="4" w:space="0" w:color="auto"/>
              <w:bottom w:val="single" w:sz="4" w:space="0" w:color="auto"/>
            </w:tcBorders>
            <w:vAlign w:val="center"/>
          </w:tcPr>
          <w:p w:rsidR="00E95FB1" w:rsidRPr="001916D0" w:rsidRDefault="00E95FB1" w:rsidP="001B3967">
            <w:pPr>
              <w:pStyle w:val="a7"/>
              <w:ind w:left="0"/>
              <w:jc w:val="center"/>
              <w:rPr>
                <w:b/>
                <w:sz w:val="22"/>
                <w:lang w:val="uk-UA"/>
              </w:rPr>
            </w:pPr>
            <w:r w:rsidRPr="001916D0">
              <w:rPr>
                <w:b/>
                <w:sz w:val="22"/>
                <w:lang w:val="uk-UA"/>
              </w:rPr>
              <w:t>Прогнозне (цільове) значення</w:t>
            </w:r>
          </w:p>
        </w:tc>
      </w:tr>
      <w:tr w:rsidR="00E95FB1" w:rsidRPr="001916D0" w:rsidTr="001B3967">
        <w:trPr>
          <w:trHeight w:val="39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544" w:type="dxa"/>
            <w:gridSpan w:val="3"/>
            <w:tcBorders>
              <w:bottom w:val="single" w:sz="4" w:space="0" w:color="auto"/>
              <w:right w:val="single" w:sz="4" w:space="0" w:color="auto"/>
            </w:tcBorders>
            <w:vAlign w:val="center"/>
          </w:tcPr>
          <w:p w:rsidR="00E95FB1" w:rsidRPr="001916D0" w:rsidRDefault="00E95FB1" w:rsidP="001B3967">
            <w:pPr>
              <w:pStyle w:val="a7"/>
              <w:ind w:left="-108"/>
              <w:jc w:val="center"/>
              <w:rPr>
                <w:sz w:val="22"/>
                <w:lang w:val="uk-UA"/>
              </w:rPr>
            </w:pPr>
            <w:r w:rsidRPr="001916D0">
              <w:rPr>
                <w:sz w:val="22"/>
                <w:lang w:val="uk-UA"/>
              </w:rPr>
              <w:t>Спеціалізована техніка для обслуговування доріг</w:t>
            </w:r>
          </w:p>
        </w:tc>
        <w:tc>
          <w:tcPr>
            <w:tcW w:w="1842" w:type="dxa"/>
            <w:gridSpan w:val="2"/>
            <w:tcBorders>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701" w:type="dxa"/>
            <w:tcBorders>
              <w:left w:val="single" w:sz="4" w:space="0" w:color="auto"/>
              <w:bottom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17</w:t>
            </w:r>
          </w:p>
        </w:tc>
      </w:tr>
      <w:tr w:rsidR="00E95FB1" w:rsidRPr="001916D0" w:rsidTr="001B3967">
        <w:trPr>
          <w:trHeight w:val="585"/>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544" w:type="dxa"/>
            <w:gridSpan w:val="3"/>
            <w:tcBorders>
              <w:top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Спеціалізована техніка та обладнання для ремонту доріг</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701" w:type="dxa"/>
            <w:tcBorders>
              <w:top w:val="single" w:sz="4" w:space="0" w:color="auto"/>
              <w:left w:val="single" w:sz="4" w:space="0" w:color="auto"/>
              <w:bottom w:val="single" w:sz="4" w:space="0" w:color="auto"/>
            </w:tcBorders>
            <w:vAlign w:val="center"/>
          </w:tcPr>
          <w:p w:rsidR="00E95FB1" w:rsidRPr="001916D0" w:rsidRDefault="00E95FB1" w:rsidP="001B3967">
            <w:pPr>
              <w:pStyle w:val="a7"/>
              <w:ind w:left="0"/>
              <w:jc w:val="center"/>
              <w:rPr>
                <w:b/>
                <w:sz w:val="22"/>
                <w:lang w:val="uk-UA"/>
              </w:rPr>
            </w:pPr>
            <w:r w:rsidRPr="001916D0">
              <w:rPr>
                <w:sz w:val="22"/>
                <w:lang w:val="uk-UA"/>
              </w:rPr>
              <w:t>19</w:t>
            </w:r>
          </w:p>
        </w:tc>
      </w:tr>
      <w:tr w:rsidR="00E95FB1" w:rsidRPr="001916D0" w:rsidTr="001B3967">
        <w:trPr>
          <w:trHeight w:val="184"/>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544" w:type="dxa"/>
            <w:gridSpan w:val="3"/>
            <w:tcBorders>
              <w:top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Відремонтоване асфальтобетонне покриття</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vertAlign w:val="superscript"/>
                <w:lang w:val="uk-UA"/>
              </w:rPr>
            </w:pPr>
            <w:r w:rsidRPr="001916D0">
              <w:rPr>
                <w:sz w:val="22"/>
                <w:lang w:val="uk-UA"/>
              </w:rPr>
              <w:t>м</w:t>
            </w:r>
            <w:r w:rsidRPr="001916D0">
              <w:rPr>
                <w:sz w:val="22"/>
                <w:vertAlign w:val="superscript"/>
                <w:lang w:val="uk-UA"/>
              </w:rPr>
              <w:t>2</w:t>
            </w:r>
          </w:p>
        </w:tc>
        <w:tc>
          <w:tcPr>
            <w:tcW w:w="1701" w:type="dxa"/>
            <w:tcBorders>
              <w:top w:val="single" w:sz="4" w:space="0" w:color="auto"/>
              <w:left w:val="single" w:sz="4" w:space="0" w:color="auto"/>
              <w:bottom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160 200</w:t>
            </w:r>
          </w:p>
        </w:tc>
      </w:tr>
      <w:tr w:rsidR="00E95FB1" w:rsidRPr="001916D0" w:rsidTr="001B3967">
        <w:trPr>
          <w:trHeight w:val="165"/>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544" w:type="dxa"/>
            <w:gridSpan w:val="3"/>
            <w:tcBorders>
              <w:top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Відремонтоване тротуарне покриття вздовж доріг</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м</w:t>
            </w:r>
            <w:r w:rsidRPr="001916D0">
              <w:rPr>
                <w:sz w:val="22"/>
                <w:vertAlign w:val="superscript"/>
                <w:lang w:val="uk-UA"/>
              </w:rPr>
              <w:t>2</w:t>
            </w:r>
          </w:p>
        </w:tc>
        <w:tc>
          <w:tcPr>
            <w:tcW w:w="1701" w:type="dxa"/>
            <w:tcBorders>
              <w:top w:val="single" w:sz="4" w:space="0" w:color="auto"/>
              <w:left w:val="single" w:sz="4" w:space="0" w:color="auto"/>
              <w:bottom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356 000</w:t>
            </w:r>
          </w:p>
        </w:tc>
      </w:tr>
      <w:tr w:rsidR="00E95FB1" w:rsidRPr="001916D0" w:rsidTr="001B3967">
        <w:trPr>
          <w:trHeight w:val="15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544" w:type="dxa"/>
            <w:gridSpan w:val="3"/>
            <w:tcBorders>
              <w:top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Термін надання послуги Тротуарне покриття вздовж доріг</w:t>
            </w:r>
          </w:p>
        </w:tc>
        <w:tc>
          <w:tcPr>
            <w:tcW w:w="1842" w:type="dxa"/>
            <w:gridSpan w:val="2"/>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м</w:t>
            </w:r>
            <w:r w:rsidRPr="001916D0">
              <w:rPr>
                <w:sz w:val="22"/>
                <w:vertAlign w:val="superscript"/>
                <w:lang w:val="uk-UA"/>
              </w:rPr>
              <w:t>2</w:t>
            </w:r>
          </w:p>
        </w:tc>
        <w:tc>
          <w:tcPr>
            <w:tcW w:w="1701" w:type="dxa"/>
            <w:tcBorders>
              <w:top w:val="single" w:sz="4" w:space="0" w:color="auto"/>
              <w:lef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400 000</w:t>
            </w:r>
          </w:p>
        </w:tc>
      </w:tr>
      <w:tr w:rsidR="00E95FB1" w:rsidRPr="001916D0" w:rsidTr="001B3967">
        <w:trPr>
          <w:trHeight w:val="150"/>
        </w:trPr>
        <w:tc>
          <w:tcPr>
            <w:tcW w:w="2836" w:type="dxa"/>
            <w:shd w:val="clear" w:color="auto" w:fill="C6D9F1" w:themeFill="text2" w:themeFillTint="33"/>
          </w:tcPr>
          <w:p w:rsidR="00E95FB1" w:rsidRPr="001916D0" w:rsidRDefault="00E95FB1" w:rsidP="001B3967">
            <w:pPr>
              <w:pStyle w:val="a7"/>
              <w:ind w:left="0"/>
              <w:rPr>
                <w:b/>
                <w:sz w:val="22"/>
                <w:lang w:val="uk-UA"/>
              </w:rPr>
            </w:pPr>
          </w:p>
        </w:tc>
        <w:tc>
          <w:tcPr>
            <w:tcW w:w="3544" w:type="dxa"/>
            <w:gridSpan w:val="3"/>
            <w:tcBorders>
              <w:top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Решітки та люки водоприймачів зливової каналізації</w:t>
            </w:r>
          </w:p>
        </w:tc>
        <w:tc>
          <w:tcPr>
            <w:tcW w:w="1842" w:type="dxa"/>
            <w:gridSpan w:val="2"/>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701" w:type="dxa"/>
            <w:tcBorders>
              <w:top w:val="single" w:sz="4" w:space="0" w:color="auto"/>
              <w:lef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300</w:t>
            </w:r>
          </w:p>
        </w:tc>
      </w:tr>
      <w:tr w:rsidR="00E95FB1" w:rsidRPr="001916D0" w:rsidTr="001B3967">
        <w:trPr>
          <w:trHeight w:val="150"/>
        </w:trPr>
        <w:tc>
          <w:tcPr>
            <w:tcW w:w="2836" w:type="dxa"/>
            <w:shd w:val="clear" w:color="auto" w:fill="C6D9F1" w:themeFill="text2" w:themeFillTint="33"/>
          </w:tcPr>
          <w:p w:rsidR="00E95FB1" w:rsidRPr="001916D0" w:rsidRDefault="00E95FB1" w:rsidP="001B3967">
            <w:pPr>
              <w:pStyle w:val="a7"/>
              <w:ind w:left="0"/>
              <w:rPr>
                <w:b/>
                <w:sz w:val="22"/>
                <w:lang w:val="uk-UA"/>
              </w:rPr>
            </w:pPr>
          </w:p>
        </w:tc>
        <w:tc>
          <w:tcPr>
            <w:tcW w:w="3544" w:type="dxa"/>
            <w:gridSpan w:val="3"/>
            <w:tcBorders>
              <w:top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 xml:space="preserve">Автомобільний спецтранспорт для обслуговування </w:t>
            </w:r>
            <w:proofErr w:type="spellStart"/>
            <w:r w:rsidRPr="001916D0">
              <w:rPr>
                <w:sz w:val="22"/>
                <w:lang w:val="uk-UA"/>
              </w:rPr>
              <w:t>ливневої</w:t>
            </w:r>
            <w:proofErr w:type="spellEnd"/>
            <w:r w:rsidRPr="001916D0">
              <w:rPr>
                <w:sz w:val="22"/>
                <w:lang w:val="uk-UA"/>
              </w:rPr>
              <w:t xml:space="preserve"> каналізації</w:t>
            </w:r>
          </w:p>
        </w:tc>
        <w:tc>
          <w:tcPr>
            <w:tcW w:w="1842" w:type="dxa"/>
            <w:gridSpan w:val="2"/>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701" w:type="dxa"/>
            <w:tcBorders>
              <w:top w:val="single" w:sz="4" w:space="0" w:color="auto"/>
              <w:lef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2</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 xml:space="preserve">Ключові заходи проекту: </w:t>
            </w:r>
          </w:p>
          <w:p w:rsidR="00E95FB1" w:rsidRPr="001916D0" w:rsidRDefault="00E95FB1" w:rsidP="001B3967">
            <w:pPr>
              <w:pStyle w:val="a7"/>
              <w:ind w:left="0"/>
              <w:rPr>
                <w:b/>
                <w:sz w:val="22"/>
                <w:lang w:val="uk-UA"/>
              </w:rPr>
            </w:pPr>
          </w:p>
        </w:tc>
        <w:tc>
          <w:tcPr>
            <w:tcW w:w="7087" w:type="dxa"/>
            <w:gridSpan w:val="6"/>
          </w:tcPr>
          <w:p w:rsidR="00E95FB1" w:rsidRPr="001916D0" w:rsidRDefault="00E95FB1" w:rsidP="001B3967">
            <w:pPr>
              <w:pStyle w:val="a7"/>
              <w:ind w:left="0"/>
              <w:rPr>
                <w:sz w:val="22"/>
                <w:lang w:val="uk-UA"/>
              </w:rPr>
            </w:pPr>
            <w:r w:rsidRPr="001916D0">
              <w:rPr>
                <w:sz w:val="22"/>
                <w:lang w:val="uk-UA"/>
              </w:rPr>
              <w:t>- Обстеження руйнувань дорожньої інфраструктури Сєвєродонецької ТГ</w:t>
            </w:r>
            <w:r w:rsidR="00214058" w:rsidRPr="001916D0">
              <w:rPr>
                <w:sz w:val="22"/>
                <w:szCs w:val="22"/>
                <w:lang w:val="uk-UA"/>
              </w:rPr>
              <w:t>.</w:t>
            </w:r>
          </w:p>
          <w:p w:rsidR="00E95FB1" w:rsidRPr="001916D0" w:rsidRDefault="00E95FB1" w:rsidP="001B3967">
            <w:pPr>
              <w:pStyle w:val="a7"/>
              <w:ind w:left="0"/>
              <w:rPr>
                <w:sz w:val="22"/>
                <w:lang w:val="uk-UA"/>
              </w:rPr>
            </w:pPr>
            <w:r w:rsidRPr="001916D0">
              <w:rPr>
                <w:sz w:val="22"/>
                <w:lang w:val="uk-UA"/>
              </w:rPr>
              <w:t>- Розробка та затвердження плану відновлювальних  робіт</w:t>
            </w:r>
            <w:r w:rsidR="00214058" w:rsidRPr="001916D0">
              <w:rPr>
                <w:sz w:val="22"/>
                <w:szCs w:val="22"/>
                <w:lang w:val="uk-UA"/>
              </w:rPr>
              <w:t>.</w:t>
            </w:r>
          </w:p>
          <w:p w:rsidR="00E95FB1" w:rsidRPr="001916D0" w:rsidRDefault="00E95FB1" w:rsidP="001B3967">
            <w:pPr>
              <w:pStyle w:val="a7"/>
              <w:ind w:left="0"/>
              <w:rPr>
                <w:sz w:val="22"/>
                <w:lang w:val="uk-UA"/>
              </w:rPr>
            </w:pPr>
            <w:r w:rsidRPr="001916D0">
              <w:rPr>
                <w:sz w:val="22"/>
                <w:lang w:val="uk-UA"/>
              </w:rPr>
              <w:t>- Оприлюднення  затвердженого  плану  робіт  на офіційному  веб-сайті Сєвєродонецької ТГ</w:t>
            </w:r>
            <w:r w:rsidR="00214058" w:rsidRPr="001916D0">
              <w:rPr>
                <w:sz w:val="22"/>
                <w:szCs w:val="22"/>
                <w:lang w:val="uk-UA"/>
              </w:rPr>
              <w:t>.</w:t>
            </w:r>
          </w:p>
          <w:p w:rsidR="00E95FB1" w:rsidRPr="001916D0" w:rsidRDefault="00E95FB1" w:rsidP="001B3967">
            <w:pPr>
              <w:pStyle w:val="a7"/>
              <w:ind w:left="0"/>
              <w:rPr>
                <w:sz w:val="22"/>
                <w:lang w:val="uk-UA"/>
              </w:rPr>
            </w:pPr>
            <w:r w:rsidRPr="001916D0">
              <w:rPr>
                <w:sz w:val="22"/>
                <w:lang w:val="uk-UA"/>
              </w:rPr>
              <w:t xml:space="preserve"> - Складання технічної документації та плану робіт з  відновлення дорожньої інфраструктури Сєвєродонецької ОТГ</w:t>
            </w:r>
            <w:r w:rsidR="00214058" w:rsidRPr="001916D0">
              <w:rPr>
                <w:sz w:val="22"/>
                <w:szCs w:val="22"/>
                <w:lang w:val="uk-UA"/>
              </w:rPr>
              <w:t>.</w:t>
            </w:r>
          </w:p>
          <w:p w:rsidR="00E95FB1" w:rsidRPr="001916D0" w:rsidRDefault="00E95FB1" w:rsidP="001B3967">
            <w:pPr>
              <w:pStyle w:val="a7"/>
              <w:ind w:left="0"/>
              <w:rPr>
                <w:sz w:val="22"/>
                <w:lang w:val="uk-UA"/>
              </w:rPr>
            </w:pPr>
            <w:r w:rsidRPr="001916D0">
              <w:rPr>
                <w:sz w:val="22"/>
                <w:lang w:val="uk-UA"/>
              </w:rPr>
              <w:t>- Проведення тендерних процедур із закупівлі спеціальної техніки для виконання робіт з поточного ремонту асфальтобетонного покриття</w:t>
            </w:r>
            <w:r w:rsidR="00214058" w:rsidRPr="001916D0">
              <w:rPr>
                <w:sz w:val="22"/>
                <w:szCs w:val="22"/>
                <w:lang w:val="uk-UA"/>
              </w:rPr>
              <w:t>.</w:t>
            </w:r>
          </w:p>
          <w:p w:rsidR="00E95FB1" w:rsidRPr="001916D0" w:rsidRDefault="00E95FB1" w:rsidP="001B3967">
            <w:pPr>
              <w:pStyle w:val="a7"/>
              <w:ind w:left="0"/>
              <w:rPr>
                <w:sz w:val="22"/>
                <w:lang w:val="uk-UA"/>
              </w:rPr>
            </w:pPr>
            <w:r w:rsidRPr="001916D0">
              <w:rPr>
                <w:sz w:val="22"/>
                <w:lang w:val="uk-UA"/>
              </w:rPr>
              <w:t>- Проведення тендерних процедур із закупівлі послуг підрядних організацій для проведення капітального ремонту дорожнього полотна</w:t>
            </w:r>
            <w:r w:rsidR="00214058" w:rsidRPr="001916D0">
              <w:rPr>
                <w:sz w:val="22"/>
                <w:szCs w:val="22"/>
                <w:lang w:val="uk-UA"/>
              </w:rPr>
              <w:t>.</w:t>
            </w:r>
            <w:r w:rsidRPr="001916D0">
              <w:rPr>
                <w:sz w:val="22"/>
                <w:lang w:val="uk-UA"/>
              </w:rPr>
              <w:t xml:space="preserve"> </w:t>
            </w:r>
          </w:p>
          <w:p w:rsidR="00E95FB1" w:rsidRPr="001916D0" w:rsidRDefault="00E95FB1" w:rsidP="001B3967">
            <w:pPr>
              <w:pStyle w:val="a7"/>
              <w:ind w:left="0"/>
              <w:rPr>
                <w:sz w:val="22"/>
                <w:lang w:val="uk-UA"/>
              </w:rPr>
            </w:pPr>
            <w:r w:rsidRPr="001916D0">
              <w:rPr>
                <w:sz w:val="22"/>
                <w:lang w:val="uk-UA"/>
              </w:rPr>
              <w:t xml:space="preserve">  -  Отримання спеціалізованої техніки та обладнання</w:t>
            </w:r>
            <w:r w:rsidR="00214058" w:rsidRPr="001916D0">
              <w:rPr>
                <w:sz w:val="22"/>
                <w:szCs w:val="22"/>
                <w:lang w:val="uk-UA"/>
              </w:rPr>
              <w:t>.</w:t>
            </w:r>
          </w:p>
          <w:p w:rsidR="00E95FB1" w:rsidRPr="001916D0" w:rsidRDefault="00E95FB1" w:rsidP="001B3967">
            <w:pPr>
              <w:rPr>
                <w:sz w:val="22"/>
                <w:lang w:val="uk-UA"/>
              </w:rPr>
            </w:pPr>
            <w:r w:rsidRPr="001916D0">
              <w:rPr>
                <w:sz w:val="22"/>
                <w:lang w:val="uk-UA"/>
              </w:rPr>
              <w:t>- Підвищення кваліфікації найманих працівників та технічний інструктаж з роботи на новому обладнанні</w:t>
            </w:r>
            <w:r w:rsidR="00214058" w:rsidRPr="001916D0">
              <w:rPr>
                <w:sz w:val="22"/>
                <w:szCs w:val="22"/>
                <w:lang w:val="uk-UA"/>
              </w:rPr>
              <w:t>.</w:t>
            </w:r>
          </w:p>
          <w:p w:rsidR="00E95FB1" w:rsidRPr="001916D0" w:rsidRDefault="00E95FB1" w:rsidP="001B3967">
            <w:pPr>
              <w:rPr>
                <w:sz w:val="22"/>
                <w:lang w:val="uk-UA"/>
              </w:rPr>
            </w:pPr>
            <w:r w:rsidRPr="001916D0">
              <w:rPr>
                <w:sz w:val="22"/>
                <w:lang w:val="uk-UA"/>
              </w:rPr>
              <w:t xml:space="preserve">- Проведення робіт з поточного ремонту  асфальтобетонного покриття власними </w:t>
            </w:r>
            <w:proofErr w:type="spellStart"/>
            <w:r w:rsidRPr="001916D0">
              <w:rPr>
                <w:sz w:val="22"/>
                <w:lang w:val="uk-UA"/>
              </w:rPr>
              <w:t>потужностями</w:t>
            </w:r>
            <w:proofErr w:type="spellEnd"/>
            <w:r w:rsidRPr="001916D0">
              <w:rPr>
                <w:sz w:val="22"/>
                <w:lang w:val="uk-UA"/>
              </w:rPr>
              <w:t xml:space="preserve"> КП «</w:t>
            </w:r>
            <w:proofErr w:type="spellStart"/>
            <w:r w:rsidRPr="001916D0">
              <w:rPr>
                <w:sz w:val="22"/>
                <w:lang w:val="uk-UA"/>
              </w:rPr>
              <w:t>Сєвєродонецьккомунсервис</w:t>
            </w:r>
            <w:proofErr w:type="spellEnd"/>
            <w:r w:rsidRPr="001916D0">
              <w:rPr>
                <w:sz w:val="22"/>
                <w:szCs w:val="22"/>
                <w:lang w:val="uk-UA"/>
              </w:rPr>
              <w:t>»</w:t>
            </w:r>
            <w:r w:rsidR="00214058" w:rsidRPr="001916D0">
              <w:rPr>
                <w:sz w:val="22"/>
                <w:szCs w:val="22"/>
                <w:lang w:val="uk-UA"/>
              </w:rPr>
              <w:t>.</w:t>
            </w:r>
          </w:p>
          <w:p w:rsidR="00E95FB1" w:rsidRPr="001916D0" w:rsidRDefault="00E95FB1" w:rsidP="001B3967">
            <w:pPr>
              <w:rPr>
                <w:sz w:val="22"/>
                <w:lang w:val="uk-UA"/>
              </w:rPr>
            </w:pPr>
            <w:r w:rsidRPr="001916D0">
              <w:rPr>
                <w:sz w:val="22"/>
                <w:lang w:val="uk-UA"/>
              </w:rPr>
              <w:t xml:space="preserve">- Проведення робіт з поточного ремонту  асфальтобетонного покриття власними </w:t>
            </w:r>
            <w:proofErr w:type="spellStart"/>
            <w:r w:rsidRPr="001916D0">
              <w:rPr>
                <w:sz w:val="22"/>
                <w:lang w:val="uk-UA"/>
              </w:rPr>
              <w:t>потужностями</w:t>
            </w:r>
            <w:proofErr w:type="spellEnd"/>
            <w:r w:rsidRPr="001916D0">
              <w:rPr>
                <w:sz w:val="22"/>
                <w:lang w:val="uk-UA"/>
              </w:rPr>
              <w:t xml:space="preserve"> КП «</w:t>
            </w:r>
            <w:proofErr w:type="spellStart"/>
            <w:r w:rsidRPr="001916D0">
              <w:rPr>
                <w:sz w:val="22"/>
                <w:lang w:val="uk-UA"/>
              </w:rPr>
              <w:t>Сєвєродонецьккомунсервис</w:t>
            </w:r>
            <w:proofErr w:type="spellEnd"/>
            <w:r w:rsidRPr="001916D0">
              <w:rPr>
                <w:sz w:val="22"/>
                <w:szCs w:val="22"/>
                <w:lang w:val="uk-UA"/>
              </w:rPr>
              <w:t>»</w:t>
            </w:r>
            <w:r w:rsidR="00214058" w:rsidRPr="001916D0">
              <w:rPr>
                <w:sz w:val="22"/>
                <w:szCs w:val="22"/>
                <w:lang w:val="uk-UA"/>
              </w:rPr>
              <w:t>.</w:t>
            </w:r>
          </w:p>
          <w:p w:rsidR="00E95FB1" w:rsidRPr="001916D0" w:rsidRDefault="00E95FB1" w:rsidP="001B3967">
            <w:pPr>
              <w:rPr>
                <w:sz w:val="22"/>
                <w:lang w:val="uk-UA"/>
              </w:rPr>
            </w:pPr>
            <w:r w:rsidRPr="001916D0">
              <w:rPr>
                <w:sz w:val="22"/>
                <w:lang w:val="uk-UA"/>
              </w:rPr>
              <w:t xml:space="preserve">- Проведення робіт з ремонту, очищення та відновлення стокових </w:t>
            </w:r>
            <w:proofErr w:type="spellStart"/>
            <w:r w:rsidRPr="001916D0">
              <w:rPr>
                <w:sz w:val="22"/>
                <w:lang w:val="uk-UA"/>
              </w:rPr>
              <w:t>ливневих</w:t>
            </w:r>
            <w:proofErr w:type="spellEnd"/>
            <w:r w:rsidRPr="001916D0">
              <w:rPr>
                <w:sz w:val="22"/>
                <w:lang w:val="uk-UA"/>
              </w:rPr>
              <w:t xml:space="preserve"> водоприймачів, розташованих на автомобільних шлях</w:t>
            </w:r>
            <w:r w:rsidR="00214058" w:rsidRPr="001916D0">
              <w:rPr>
                <w:sz w:val="22"/>
                <w:lang w:val="uk-UA"/>
              </w:rPr>
              <w:t xml:space="preserve">ах та узбіччях Сєвєродонецької </w:t>
            </w:r>
            <w:r w:rsidRPr="001916D0">
              <w:rPr>
                <w:sz w:val="22"/>
                <w:szCs w:val="22"/>
                <w:lang w:val="uk-UA"/>
              </w:rPr>
              <w:t>ТГ</w:t>
            </w:r>
            <w:r w:rsidRPr="001916D0">
              <w:rPr>
                <w:sz w:val="22"/>
                <w:lang w:val="uk-UA"/>
              </w:rPr>
              <w:t xml:space="preserve"> власними </w:t>
            </w:r>
            <w:proofErr w:type="spellStart"/>
            <w:r w:rsidRPr="001916D0">
              <w:rPr>
                <w:sz w:val="22"/>
                <w:lang w:val="uk-UA"/>
              </w:rPr>
              <w:t>потужностями</w:t>
            </w:r>
            <w:proofErr w:type="spellEnd"/>
            <w:r w:rsidRPr="001916D0">
              <w:rPr>
                <w:sz w:val="22"/>
                <w:lang w:val="uk-UA"/>
              </w:rPr>
              <w:t xml:space="preserve"> КП «</w:t>
            </w:r>
            <w:proofErr w:type="spellStart"/>
            <w:r w:rsidRPr="001916D0">
              <w:rPr>
                <w:sz w:val="22"/>
                <w:lang w:val="uk-UA"/>
              </w:rPr>
              <w:t>Сєвєродонецьккомунсервис</w:t>
            </w:r>
            <w:proofErr w:type="spellEnd"/>
            <w:r w:rsidRPr="001916D0">
              <w:rPr>
                <w:sz w:val="22"/>
                <w:szCs w:val="22"/>
                <w:lang w:val="uk-UA"/>
              </w:rPr>
              <w:t>»</w:t>
            </w:r>
            <w:r w:rsidR="00214058" w:rsidRPr="001916D0">
              <w:rPr>
                <w:sz w:val="22"/>
                <w:szCs w:val="22"/>
                <w:lang w:val="uk-UA"/>
              </w:rPr>
              <w:t>.</w:t>
            </w:r>
          </w:p>
          <w:p w:rsidR="00E95FB1" w:rsidRPr="001916D0" w:rsidRDefault="00E95FB1" w:rsidP="001B3967">
            <w:pPr>
              <w:rPr>
                <w:sz w:val="22"/>
                <w:lang w:val="uk-UA"/>
              </w:rPr>
            </w:pPr>
            <w:r w:rsidRPr="001916D0">
              <w:rPr>
                <w:sz w:val="22"/>
                <w:lang w:val="uk-UA"/>
              </w:rPr>
              <w:t>- Проведення робіт з капітального ремонту  асфальтобето</w:t>
            </w:r>
            <w:r w:rsidR="00214058" w:rsidRPr="001916D0">
              <w:rPr>
                <w:sz w:val="22"/>
                <w:lang w:val="uk-UA"/>
              </w:rPr>
              <w:t xml:space="preserve">нного покриття Сєвєродонецької </w:t>
            </w:r>
            <w:r w:rsidRPr="001916D0">
              <w:rPr>
                <w:sz w:val="22"/>
                <w:szCs w:val="22"/>
                <w:lang w:val="uk-UA"/>
              </w:rPr>
              <w:t>ТГ</w:t>
            </w:r>
            <w:r w:rsidRPr="001916D0">
              <w:rPr>
                <w:sz w:val="22"/>
                <w:lang w:val="uk-UA"/>
              </w:rPr>
              <w:t xml:space="preserve"> з залученням підрядних організацій</w:t>
            </w:r>
            <w:r w:rsidR="00214058" w:rsidRPr="001916D0">
              <w:rPr>
                <w:sz w:val="22"/>
                <w:szCs w:val="22"/>
                <w:lang w:val="uk-UA"/>
              </w:rPr>
              <w:t>.</w:t>
            </w:r>
          </w:p>
          <w:p w:rsidR="00E95FB1" w:rsidRPr="001916D0" w:rsidRDefault="00E95FB1" w:rsidP="001B3967">
            <w:pPr>
              <w:rPr>
                <w:sz w:val="22"/>
                <w:lang w:val="uk-UA"/>
              </w:rPr>
            </w:pPr>
            <w:r w:rsidRPr="001916D0">
              <w:rPr>
                <w:sz w:val="22"/>
                <w:lang w:val="uk-UA"/>
              </w:rPr>
              <w:t>- Проведення робіт з ремонту  пішохідних тротуарів вздовж автомобільних доріг  Сєвєродонецької ТГ</w:t>
            </w:r>
            <w:r w:rsidR="00214058" w:rsidRPr="001916D0">
              <w:rPr>
                <w:sz w:val="22"/>
                <w:szCs w:val="22"/>
                <w:lang w:val="uk-UA"/>
              </w:rPr>
              <w:t>.</w:t>
            </w:r>
          </w:p>
          <w:p w:rsidR="00E95FB1" w:rsidRPr="001916D0" w:rsidRDefault="00E95FB1" w:rsidP="001B3967">
            <w:pPr>
              <w:rPr>
                <w:sz w:val="22"/>
                <w:lang w:val="uk-UA"/>
              </w:rPr>
            </w:pPr>
            <w:r w:rsidRPr="001916D0">
              <w:rPr>
                <w:sz w:val="22"/>
                <w:lang w:val="uk-UA"/>
              </w:rPr>
              <w:lastRenderedPageBreak/>
              <w:t>- Введення в експлуатацію відновленої  дорожньої інфраструктури Сєвєродонецької ТГ</w:t>
            </w:r>
            <w:r w:rsidR="00214058" w:rsidRPr="001916D0">
              <w:rPr>
                <w:sz w:val="22"/>
                <w:szCs w:val="22"/>
                <w:lang w:val="uk-UA"/>
              </w:rPr>
              <w:t>.</w:t>
            </w:r>
          </w:p>
          <w:p w:rsidR="00E95FB1" w:rsidRPr="001916D0" w:rsidRDefault="00E95FB1" w:rsidP="001B3967">
            <w:pPr>
              <w:rPr>
                <w:sz w:val="22"/>
                <w:lang w:val="uk-UA"/>
              </w:rPr>
            </w:pPr>
            <w:r w:rsidRPr="001916D0">
              <w:rPr>
                <w:sz w:val="22"/>
                <w:lang w:val="uk-UA"/>
              </w:rPr>
              <w:t>- Поточне обслуговування  дорожньої інфраструктури Сєвєродонецької ТГ.</w:t>
            </w:r>
          </w:p>
        </w:tc>
      </w:tr>
      <w:tr w:rsidR="00E95FB1" w:rsidRPr="001916D0" w:rsidTr="00214058">
        <w:trPr>
          <w:trHeight w:val="360"/>
        </w:trPr>
        <w:tc>
          <w:tcPr>
            <w:tcW w:w="2836"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lastRenderedPageBreak/>
              <w:t xml:space="preserve">Орієнтовний обсяг та джерела фінансування, тис. грн. </w:t>
            </w:r>
          </w:p>
          <w:p w:rsidR="00E95FB1" w:rsidRPr="001916D0" w:rsidRDefault="00E95FB1" w:rsidP="001B3967">
            <w:pPr>
              <w:pStyle w:val="a7"/>
              <w:ind w:left="0"/>
              <w:rPr>
                <w:b/>
                <w:sz w:val="22"/>
                <w:lang w:val="uk-UA"/>
              </w:rPr>
            </w:pPr>
          </w:p>
        </w:tc>
        <w:tc>
          <w:tcPr>
            <w:tcW w:w="1701"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Державний бюджет</w:t>
            </w:r>
          </w:p>
        </w:tc>
        <w:tc>
          <w:tcPr>
            <w:tcW w:w="1276"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Місцевий бюджет</w:t>
            </w:r>
          </w:p>
        </w:tc>
        <w:tc>
          <w:tcPr>
            <w:tcW w:w="2409" w:type="dxa"/>
            <w:gridSpan w:val="3"/>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Інші джерела</w:t>
            </w:r>
          </w:p>
        </w:tc>
        <w:tc>
          <w:tcPr>
            <w:tcW w:w="1701" w:type="dxa"/>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Всього</w:t>
            </w:r>
          </w:p>
        </w:tc>
      </w:tr>
      <w:tr w:rsidR="00E95FB1" w:rsidRPr="001916D0" w:rsidTr="00214058">
        <w:trPr>
          <w:trHeight w:val="225"/>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1701" w:type="dxa"/>
            <w:vMerge w:val="restart"/>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1 659 758,712</w:t>
            </w:r>
          </w:p>
        </w:tc>
        <w:tc>
          <w:tcPr>
            <w:tcW w:w="1276" w:type="dxa"/>
            <w:vMerge w:val="restart"/>
            <w:tcBorders>
              <w:top w:val="single" w:sz="4" w:space="0" w:color="auto"/>
              <w:right w:val="single" w:sz="4" w:space="0" w:color="auto"/>
            </w:tcBorders>
          </w:tcPr>
          <w:p w:rsidR="00E95FB1" w:rsidRPr="001916D0" w:rsidRDefault="00E95FB1" w:rsidP="001B3967">
            <w:pPr>
              <w:pStyle w:val="a7"/>
              <w:ind w:left="0"/>
              <w:jc w:val="center"/>
              <w:rPr>
                <w:b/>
                <w:sz w:val="22"/>
                <w:lang w:val="uk-UA"/>
              </w:rPr>
            </w:pPr>
          </w:p>
        </w:tc>
        <w:tc>
          <w:tcPr>
            <w:tcW w:w="1134"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Обсяг</w:t>
            </w:r>
          </w:p>
        </w:tc>
        <w:tc>
          <w:tcPr>
            <w:tcW w:w="1275" w:type="dxa"/>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Назва джерела</w:t>
            </w:r>
          </w:p>
        </w:tc>
        <w:tc>
          <w:tcPr>
            <w:tcW w:w="1701" w:type="dxa"/>
            <w:vMerge w:val="restart"/>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2 371 083,874</w:t>
            </w:r>
          </w:p>
        </w:tc>
      </w:tr>
      <w:tr w:rsidR="00E95FB1" w:rsidRPr="001916D0" w:rsidTr="00214058">
        <w:trPr>
          <w:trHeight w:val="30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1701" w:type="dxa"/>
            <w:vMerge/>
            <w:tcBorders>
              <w:right w:val="single" w:sz="4" w:space="0" w:color="auto"/>
            </w:tcBorders>
          </w:tcPr>
          <w:p w:rsidR="00E95FB1" w:rsidRPr="001916D0" w:rsidRDefault="00E95FB1" w:rsidP="001B3967">
            <w:pPr>
              <w:pStyle w:val="a7"/>
              <w:ind w:left="0"/>
              <w:jc w:val="center"/>
              <w:rPr>
                <w:sz w:val="22"/>
                <w:lang w:val="uk-UA"/>
              </w:rPr>
            </w:pPr>
          </w:p>
        </w:tc>
        <w:tc>
          <w:tcPr>
            <w:tcW w:w="1276" w:type="dxa"/>
            <w:vMerge/>
            <w:tcBorders>
              <w:right w:val="single" w:sz="4" w:space="0" w:color="auto"/>
            </w:tcBorders>
          </w:tcPr>
          <w:p w:rsidR="00E95FB1" w:rsidRPr="001916D0" w:rsidRDefault="00E95FB1" w:rsidP="001B3967">
            <w:pPr>
              <w:pStyle w:val="a7"/>
              <w:ind w:left="0"/>
              <w:jc w:val="center"/>
              <w:rPr>
                <w:b/>
                <w:sz w:val="22"/>
                <w:lang w:val="uk-UA"/>
              </w:rPr>
            </w:pPr>
          </w:p>
        </w:tc>
        <w:tc>
          <w:tcPr>
            <w:tcW w:w="1134"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711 325,162</w:t>
            </w:r>
          </w:p>
        </w:tc>
        <w:tc>
          <w:tcPr>
            <w:tcW w:w="1275" w:type="dxa"/>
            <w:tcBorders>
              <w:top w:val="single" w:sz="4" w:space="0" w:color="auto"/>
              <w:left w:val="single" w:sz="4" w:space="0" w:color="auto"/>
              <w:right w:val="single" w:sz="4" w:space="0" w:color="auto"/>
            </w:tcBorders>
          </w:tcPr>
          <w:p w:rsidR="00E95FB1" w:rsidRPr="001916D0" w:rsidRDefault="00214058" w:rsidP="00214058">
            <w:pPr>
              <w:pStyle w:val="a7"/>
              <w:ind w:left="0"/>
              <w:jc w:val="center"/>
              <w:rPr>
                <w:sz w:val="22"/>
                <w:lang w:val="uk-UA"/>
              </w:rPr>
            </w:pPr>
            <w:r w:rsidRPr="001916D0">
              <w:rPr>
                <w:sz w:val="22"/>
                <w:lang w:val="uk-UA"/>
              </w:rPr>
              <w:t xml:space="preserve">Міжнародні інвестиції, </w:t>
            </w:r>
            <w:r w:rsidR="00E95FB1" w:rsidRPr="001916D0">
              <w:rPr>
                <w:sz w:val="22"/>
                <w:lang w:val="uk-UA"/>
              </w:rPr>
              <w:t>кошти приватних осіб</w:t>
            </w:r>
          </w:p>
        </w:tc>
        <w:tc>
          <w:tcPr>
            <w:tcW w:w="1701" w:type="dxa"/>
            <w:vMerge/>
            <w:tcBorders>
              <w:left w:val="single" w:sz="4" w:space="0" w:color="auto"/>
            </w:tcBorders>
          </w:tcPr>
          <w:p w:rsidR="00E95FB1" w:rsidRPr="001916D0" w:rsidRDefault="00E95FB1" w:rsidP="001B3967">
            <w:pPr>
              <w:pStyle w:val="a7"/>
              <w:ind w:left="0"/>
              <w:jc w:val="center"/>
              <w:rPr>
                <w:sz w:val="22"/>
                <w:lang w:val="uk-UA"/>
              </w:rPr>
            </w:pPr>
          </w:p>
        </w:tc>
      </w:tr>
    </w:tbl>
    <w:p w:rsidR="00E95FB1" w:rsidRPr="001916D0" w:rsidRDefault="00E95FB1" w:rsidP="00E95FB1">
      <w:pPr>
        <w:rPr>
          <w:sz w:val="22"/>
        </w:rPr>
      </w:pPr>
    </w:p>
    <w:p w:rsidR="00E95FB1" w:rsidRPr="001916D0" w:rsidRDefault="00E95FB1" w:rsidP="00E95FB1">
      <w:pPr>
        <w:rPr>
          <w:sz w:val="22"/>
        </w:rPr>
      </w:pPr>
    </w:p>
    <w:tbl>
      <w:tblPr>
        <w:tblpPr w:leftFromText="180" w:rightFromText="180" w:vertAnchor="text" w:horzAnchor="page" w:tblpX="1" w:tblpY="123"/>
        <w:tblW w:w="11370" w:type="dxa"/>
        <w:tblLayout w:type="fixed"/>
        <w:tblCellMar>
          <w:left w:w="30" w:type="dxa"/>
          <w:right w:w="30" w:type="dxa"/>
        </w:tblCellMar>
        <w:tblLook w:val="0000" w:firstRow="0" w:lastRow="0" w:firstColumn="0" w:lastColumn="0" w:noHBand="0" w:noVBand="0"/>
      </w:tblPr>
      <w:tblGrid>
        <w:gridCol w:w="1448"/>
        <w:gridCol w:w="2835"/>
        <w:gridCol w:w="1417"/>
        <w:gridCol w:w="1701"/>
        <w:gridCol w:w="142"/>
        <w:gridCol w:w="1134"/>
        <w:gridCol w:w="567"/>
        <w:gridCol w:w="851"/>
        <w:gridCol w:w="1275"/>
      </w:tblGrid>
      <w:tr w:rsidR="00E95FB1" w:rsidRPr="001916D0" w:rsidTr="001B3967">
        <w:trPr>
          <w:trHeight w:val="836"/>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Оперативна ціль/завдання</w:t>
            </w:r>
          </w:p>
        </w:tc>
        <w:tc>
          <w:tcPr>
            <w:tcW w:w="7087" w:type="dxa"/>
            <w:gridSpan w:val="7"/>
            <w:tcBorders>
              <w:top w:val="single" w:sz="6" w:space="0" w:color="auto"/>
              <w:left w:val="single" w:sz="6" w:space="0" w:color="auto"/>
              <w:bottom w:val="single" w:sz="6" w:space="0" w:color="auto"/>
              <w:right w:val="single" w:sz="6" w:space="0" w:color="auto"/>
            </w:tcBorders>
          </w:tcPr>
          <w:p w:rsidR="00E95FB1" w:rsidRPr="001916D0" w:rsidRDefault="00E95FB1" w:rsidP="001B3967">
            <w:pPr>
              <w:contextualSpacing/>
              <w:jc w:val="left"/>
              <w:rPr>
                <w:rFonts w:eastAsia="Arial"/>
                <w:sz w:val="22"/>
              </w:rPr>
            </w:pPr>
            <w:r w:rsidRPr="001916D0">
              <w:rPr>
                <w:rFonts w:eastAsia="Arial"/>
                <w:sz w:val="22"/>
              </w:rPr>
              <w:t>Комфорт життя ЛЮДИНИ як безпека, екологічна сталість та  розумна енергетика. Громадська та інформаційна безпека території громади</w:t>
            </w:r>
          </w:p>
        </w:tc>
      </w:tr>
      <w:tr w:rsidR="00E95FB1" w:rsidRPr="001916D0" w:rsidTr="001B3967">
        <w:trPr>
          <w:trHeight w:val="290"/>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Назва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Відновлення діяльності Комунального підприємства «Сєвєродонецьке тролейбусне управління»</w:t>
            </w:r>
          </w:p>
        </w:tc>
      </w:tr>
      <w:tr w:rsidR="00E95FB1" w:rsidRPr="001916D0" w:rsidTr="001B3967">
        <w:trPr>
          <w:trHeight w:val="1075"/>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Ціль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sz w:val="22"/>
              </w:rPr>
              <w:t xml:space="preserve"> Відновити та покращити роботу комунального підприємства «Сєвєродонецьке тролейбусне управління» для надання якісних послуг мешканцям  Сєвєродонецької міської територіальної громади.</w:t>
            </w:r>
          </w:p>
        </w:tc>
      </w:tr>
      <w:tr w:rsidR="00E95FB1" w:rsidRPr="001916D0" w:rsidTr="001B3967">
        <w:trPr>
          <w:trHeight w:val="290"/>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Територія, на яку матиме вплив реалізація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sz w:val="22"/>
              </w:rPr>
              <w:t>Сєвєродонецька міська територіальна громада</w:t>
            </w:r>
          </w:p>
        </w:tc>
      </w:tr>
      <w:tr w:rsidR="00E95FB1" w:rsidRPr="001916D0" w:rsidTr="001B3967">
        <w:trPr>
          <w:trHeight w:val="581"/>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Чисельність населення, на яке матиме вплив реалізація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70000 осіб</w:t>
            </w:r>
          </w:p>
        </w:tc>
      </w:tr>
      <w:tr w:rsidR="00E95FB1" w:rsidRPr="001916D0" w:rsidTr="001B3967">
        <w:trPr>
          <w:trHeight w:val="1224"/>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Опис проблеми, на вирішення якої спрямований проект</w:t>
            </w:r>
          </w:p>
        </w:tc>
        <w:tc>
          <w:tcPr>
            <w:tcW w:w="7087" w:type="dxa"/>
            <w:gridSpan w:val="7"/>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 xml:space="preserve">Через військову агресію РФ територія Сєвєродонецької міської територіальної громади зазнала значних пошкоджень. Територія КП «Сєвєродонецьке тролейбусне управління» опинилась в зоні проведення бойових дій, </w:t>
            </w:r>
            <w:r w:rsidRPr="001916D0">
              <w:rPr>
                <w:rFonts w:eastAsia="Calibri"/>
                <w:color w:val="000000"/>
                <w:sz w:val="22"/>
                <w:szCs w:val="22"/>
              </w:rPr>
              <w:t>внаслідок</w:t>
            </w:r>
            <w:r w:rsidRPr="001916D0">
              <w:rPr>
                <w:rFonts w:eastAsia="Calibri"/>
                <w:color w:val="000000"/>
                <w:sz w:val="22"/>
              </w:rPr>
              <w:t xml:space="preserve"> чого була знищена та розграбована вся матеріально-технічна база та автотранспортний парк підприємства, зокрема:</w:t>
            </w:r>
          </w:p>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w:t>
            </w:r>
            <w:r w:rsidRPr="001916D0">
              <w:rPr>
                <w:rFonts w:eastAsia="Calibri"/>
                <w:color w:val="000000"/>
                <w:sz w:val="22"/>
              </w:rPr>
              <w:tab/>
              <w:t>обладнання та матеріали;</w:t>
            </w:r>
          </w:p>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w:t>
            </w:r>
            <w:r w:rsidRPr="001916D0">
              <w:rPr>
                <w:rFonts w:eastAsia="Calibri"/>
                <w:color w:val="000000"/>
                <w:sz w:val="22"/>
              </w:rPr>
              <w:tab/>
              <w:t>обчислювальна техніка із відповідним програмним забезпеченням;</w:t>
            </w:r>
          </w:p>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w:t>
            </w:r>
            <w:r w:rsidRPr="001916D0">
              <w:rPr>
                <w:rFonts w:eastAsia="Calibri"/>
                <w:color w:val="000000"/>
                <w:sz w:val="22"/>
              </w:rPr>
              <w:tab/>
              <w:t>інша оргтехніка (монітори, принтери, сканери тощо);</w:t>
            </w:r>
          </w:p>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w:t>
            </w:r>
            <w:r w:rsidRPr="001916D0">
              <w:rPr>
                <w:rFonts w:eastAsia="Calibri"/>
                <w:color w:val="000000"/>
                <w:sz w:val="22"/>
              </w:rPr>
              <w:tab/>
              <w:t>основні засоби (офісні меблі, службові автомобілі, спецавтотранспорт тощо).</w:t>
            </w:r>
          </w:p>
        </w:tc>
      </w:tr>
      <w:tr w:rsidR="00E95FB1" w:rsidRPr="001916D0" w:rsidTr="001B3967">
        <w:trPr>
          <w:trHeight w:val="528"/>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Очікувані якісні результати від реалізації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 забезпечення населення якісними послугами з перевезення пасажирів;</w:t>
            </w:r>
          </w:p>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 вирішення ряду питань в межах статутної діяльності, пов’язаних із відбудовою та сталим розвитком громади;</w:t>
            </w:r>
          </w:p>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 створення нових робочих місць;</w:t>
            </w:r>
          </w:p>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 стимул до повернення ВПО до громади;</w:t>
            </w:r>
          </w:p>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 повний моніторинг та контроль діяльності підприємства</w:t>
            </w:r>
          </w:p>
        </w:tc>
      </w:tr>
      <w:tr w:rsidR="00E95FB1" w:rsidRPr="001916D0" w:rsidTr="001B3967">
        <w:trPr>
          <w:trHeight w:val="581"/>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Очікувані кількісні результати від реалізації проекту  (індикатори)</w:t>
            </w:r>
          </w:p>
        </w:tc>
        <w:tc>
          <w:tcPr>
            <w:tcW w:w="3260" w:type="dxa"/>
            <w:gridSpan w:val="3"/>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b/>
                <w:color w:val="000000"/>
                <w:sz w:val="22"/>
              </w:rPr>
            </w:pPr>
            <w:r w:rsidRPr="001916D0">
              <w:rPr>
                <w:rFonts w:eastAsia="Calibri"/>
                <w:b/>
                <w:color w:val="000000"/>
                <w:sz w:val="22"/>
              </w:rPr>
              <w:t>Найменування показника</w:t>
            </w:r>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b/>
                <w:color w:val="000000"/>
                <w:sz w:val="22"/>
              </w:rPr>
            </w:pPr>
            <w:r w:rsidRPr="001916D0">
              <w:rPr>
                <w:rFonts w:eastAsia="Calibri"/>
                <w:b/>
                <w:color w:val="000000"/>
                <w:sz w:val="22"/>
              </w:rPr>
              <w:t>Одиниця вимірювання</w:t>
            </w:r>
          </w:p>
        </w:tc>
        <w:tc>
          <w:tcPr>
            <w:tcW w:w="2126"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b/>
                <w:color w:val="000000"/>
                <w:sz w:val="22"/>
              </w:rPr>
            </w:pPr>
            <w:r w:rsidRPr="001916D0">
              <w:rPr>
                <w:rFonts w:eastAsia="Calibri"/>
                <w:b/>
                <w:color w:val="000000"/>
                <w:sz w:val="22"/>
              </w:rPr>
              <w:t>Прогнозне (цільове) значення</w:t>
            </w:r>
          </w:p>
        </w:tc>
      </w:tr>
      <w:tr w:rsidR="00E95FB1" w:rsidRPr="001916D0" w:rsidTr="001B3967">
        <w:trPr>
          <w:trHeight w:val="290"/>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jc w:val="right"/>
              <w:rPr>
                <w:rFonts w:eastAsia="Calibri"/>
                <w:b/>
                <w:color w:val="000000"/>
                <w:sz w:val="22"/>
              </w:rPr>
            </w:pPr>
          </w:p>
        </w:tc>
        <w:tc>
          <w:tcPr>
            <w:tcW w:w="3260" w:type="dxa"/>
            <w:gridSpan w:val="3"/>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Кількість перевезених пасажирів протягом року</w:t>
            </w:r>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осіб</w:t>
            </w:r>
          </w:p>
        </w:tc>
        <w:tc>
          <w:tcPr>
            <w:tcW w:w="2126"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5000000</w:t>
            </w:r>
          </w:p>
        </w:tc>
      </w:tr>
      <w:tr w:rsidR="00E95FB1" w:rsidRPr="001916D0" w:rsidTr="001B3967">
        <w:trPr>
          <w:trHeight w:val="290"/>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jc w:val="right"/>
              <w:rPr>
                <w:rFonts w:eastAsia="Calibri"/>
                <w:b/>
                <w:color w:val="000000"/>
                <w:sz w:val="22"/>
              </w:rPr>
            </w:pPr>
          </w:p>
        </w:tc>
        <w:tc>
          <w:tcPr>
            <w:tcW w:w="3260" w:type="dxa"/>
            <w:gridSpan w:val="3"/>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Економія фонду оплати праці</w:t>
            </w:r>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Тис. грн./місяць</w:t>
            </w:r>
          </w:p>
        </w:tc>
        <w:tc>
          <w:tcPr>
            <w:tcW w:w="2126"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150 - 200</w:t>
            </w:r>
          </w:p>
        </w:tc>
      </w:tr>
      <w:tr w:rsidR="00E95FB1" w:rsidRPr="001916D0" w:rsidTr="001B3967">
        <w:trPr>
          <w:trHeight w:val="2208"/>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4"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Ключові заходи проекту:</w:t>
            </w:r>
          </w:p>
        </w:tc>
        <w:tc>
          <w:tcPr>
            <w:tcW w:w="7087" w:type="dxa"/>
            <w:gridSpan w:val="7"/>
            <w:tcBorders>
              <w:top w:val="single" w:sz="6" w:space="0" w:color="auto"/>
              <w:left w:val="single" w:sz="6" w:space="0" w:color="auto"/>
              <w:bottom w:val="single" w:sz="4"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p>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 проведення інвентаризації основних засобів;</w:t>
            </w:r>
          </w:p>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 придбання матеріально-технічної бази підприємства;</w:t>
            </w:r>
          </w:p>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 xml:space="preserve">- придбання автомобільної та </w:t>
            </w:r>
            <w:r w:rsidRPr="001916D0">
              <w:rPr>
                <w:rFonts w:eastAsia="Calibri"/>
                <w:color w:val="000000"/>
                <w:sz w:val="22"/>
                <w:szCs w:val="22"/>
              </w:rPr>
              <w:t>спецтехніки</w:t>
            </w:r>
            <w:r w:rsidRPr="001916D0">
              <w:rPr>
                <w:rFonts w:eastAsia="Calibri"/>
                <w:color w:val="000000"/>
                <w:sz w:val="22"/>
              </w:rPr>
              <w:t>;</w:t>
            </w:r>
          </w:p>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 ліквідація власними силами наслідків незначних пошкоджень</w:t>
            </w:r>
            <w:r w:rsidR="00AA0BBB" w:rsidRPr="001916D0">
              <w:rPr>
                <w:rFonts w:eastAsia="Calibri"/>
                <w:color w:val="000000"/>
                <w:sz w:val="22"/>
                <w:szCs w:val="22"/>
              </w:rPr>
              <w:t>;</w:t>
            </w:r>
          </w:p>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 запровадження програмного забезпечення</w:t>
            </w:r>
            <w:r w:rsidR="00AA0BBB" w:rsidRPr="001916D0">
              <w:rPr>
                <w:rFonts w:eastAsia="Calibri"/>
                <w:color w:val="000000"/>
                <w:sz w:val="22"/>
                <w:szCs w:val="22"/>
              </w:rPr>
              <w:t>;</w:t>
            </w:r>
          </w:p>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 організація та початок робочого процесу.</w:t>
            </w:r>
          </w:p>
          <w:p w:rsidR="00E95FB1" w:rsidRPr="001916D0" w:rsidRDefault="00E95FB1" w:rsidP="001B3967">
            <w:pPr>
              <w:autoSpaceDE w:val="0"/>
              <w:autoSpaceDN w:val="0"/>
              <w:adjustRightInd w:val="0"/>
              <w:ind w:left="720"/>
              <w:jc w:val="left"/>
              <w:rPr>
                <w:rFonts w:eastAsia="Calibri"/>
                <w:color w:val="000000"/>
                <w:sz w:val="22"/>
              </w:rPr>
            </w:pPr>
          </w:p>
        </w:tc>
      </w:tr>
      <w:tr w:rsidR="00E95FB1" w:rsidRPr="001916D0" w:rsidTr="001B3967">
        <w:trPr>
          <w:trHeight w:val="859"/>
        </w:trPr>
        <w:tc>
          <w:tcPr>
            <w:tcW w:w="1448" w:type="dxa"/>
            <w:vMerge w:val="restart"/>
            <w:tcBorders>
              <w:top w:val="nil"/>
              <w:left w:val="nil"/>
              <w:bottom w:val="nil"/>
              <w:right w:val="single" w:sz="4" w:space="0" w:color="auto"/>
            </w:tcBorders>
          </w:tcPr>
          <w:p w:rsidR="00E95FB1" w:rsidRPr="001916D0" w:rsidRDefault="00E95FB1" w:rsidP="001B3967">
            <w:pPr>
              <w:autoSpaceDE w:val="0"/>
              <w:autoSpaceDN w:val="0"/>
              <w:adjustRightInd w:val="0"/>
              <w:jc w:val="right"/>
              <w:rPr>
                <w:rFonts w:eastAsia="Calibri"/>
                <w:color w:val="000000"/>
                <w:sz w:val="22"/>
              </w:rPr>
            </w:pPr>
          </w:p>
        </w:tc>
        <w:tc>
          <w:tcPr>
            <w:tcW w:w="2835" w:type="dxa"/>
            <w:vMerge w:val="restart"/>
            <w:tcBorders>
              <w:top w:val="single" w:sz="4" w:space="0" w:color="auto"/>
              <w:left w:val="single" w:sz="4" w:space="0" w:color="auto"/>
              <w:bottom w:val="single" w:sz="4" w:space="0" w:color="auto"/>
              <w:right w:val="single" w:sz="4"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Орієнтовний обсяг та джерела фінансування тис. гривень</w:t>
            </w:r>
          </w:p>
        </w:tc>
        <w:tc>
          <w:tcPr>
            <w:tcW w:w="1417" w:type="dxa"/>
            <w:vMerge w:val="restart"/>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Державний бюджет</w:t>
            </w:r>
          </w:p>
        </w:tc>
        <w:tc>
          <w:tcPr>
            <w:tcW w:w="1701" w:type="dxa"/>
            <w:vMerge w:val="restart"/>
            <w:tcBorders>
              <w:top w:val="single" w:sz="4" w:space="0" w:color="auto"/>
              <w:left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Місцевий бюджет</w:t>
            </w:r>
          </w:p>
        </w:tc>
        <w:tc>
          <w:tcPr>
            <w:tcW w:w="2694" w:type="dxa"/>
            <w:gridSpan w:val="4"/>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Інші джерела</w:t>
            </w:r>
          </w:p>
          <w:p w:rsidR="00E95FB1" w:rsidRPr="001916D0" w:rsidRDefault="00E95FB1" w:rsidP="001B3967">
            <w:pPr>
              <w:autoSpaceDE w:val="0"/>
              <w:autoSpaceDN w:val="0"/>
              <w:adjustRightInd w:val="0"/>
              <w:jc w:val="left"/>
              <w:rPr>
                <w:rFonts w:eastAsia="Calibri"/>
                <w:color w:val="000000"/>
                <w:sz w:val="22"/>
              </w:rPr>
            </w:pPr>
          </w:p>
        </w:tc>
        <w:tc>
          <w:tcPr>
            <w:tcW w:w="1275" w:type="dxa"/>
            <w:vMerge w:val="restart"/>
            <w:tcBorders>
              <w:top w:val="single" w:sz="4" w:space="0" w:color="auto"/>
              <w:left w:val="single" w:sz="4" w:space="0" w:color="auto"/>
              <w:bottom w:val="nil"/>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Всього</w:t>
            </w:r>
          </w:p>
        </w:tc>
      </w:tr>
      <w:tr w:rsidR="00E95FB1" w:rsidRPr="001916D0" w:rsidTr="001B3967">
        <w:trPr>
          <w:trHeight w:val="65"/>
        </w:trPr>
        <w:tc>
          <w:tcPr>
            <w:tcW w:w="1448" w:type="dxa"/>
            <w:vMerge/>
            <w:tcBorders>
              <w:left w:val="nil"/>
              <w:right w:val="single" w:sz="4" w:space="0" w:color="auto"/>
            </w:tcBorders>
          </w:tcPr>
          <w:p w:rsidR="00E95FB1" w:rsidRPr="001916D0" w:rsidRDefault="00E95FB1" w:rsidP="001B3967">
            <w:pPr>
              <w:autoSpaceDE w:val="0"/>
              <w:autoSpaceDN w:val="0"/>
              <w:adjustRightInd w:val="0"/>
              <w:jc w:val="right"/>
              <w:rPr>
                <w:rFonts w:eastAsia="Calibri"/>
                <w:color w:val="000000"/>
                <w:sz w:val="22"/>
              </w:rPr>
            </w:pPr>
          </w:p>
        </w:tc>
        <w:tc>
          <w:tcPr>
            <w:tcW w:w="2835" w:type="dxa"/>
            <w:vMerge/>
            <w:tcBorders>
              <w:top w:val="single" w:sz="4" w:space="0" w:color="auto"/>
              <w:left w:val="single" w:sz="4" w:space="0" w:color="auto"/>
              <w:bottom w:val="single" w:sz="4" w:space="0" w:color="auto"/>
              <w:right w:val="single" w:sz="4"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p>
        </w:tc>
        <w:tc>
          <w:tcPr>
            <w:tcW w:w="1417" w:type="dxa"/>
            <w:vMerge/>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p>
        </w:tc>
        <w:tc>
          <w:tcPr>
            <w:tcW w:w="1701" w:type="dxa"/>
            <w:vMerge/>
            <w:tcBorders>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p>
        </w:tc>
        <w:tc>
          <w:tcPr>
            <w:tcW w:w="1276"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Обсяг</w:t>
            </w:r>
          </w:p>
        </w:tc>
        <w:tc>
          <w:tcPr>
            <w:tcW w:w="1418"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Назва джерела</w:t>
            </w:r>
          </w:p>
        </w:tc>
        <w:tc>
          <w:tcPr>
            <w:tcW w:w="1275" w:type="dxa"/>
            <w:vMerge/>
            <w:tcBorders>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p>
        </w:tc>
      </w:tr>
      <w:tr w:rsidR="00E95FB1" w:rsidRPr="001916D0" w:rsidTr="001B3967">
        <w:trPr>
          <w:trHeight w:val="65"/>
        </w:trPr>
        <w:tc>
          <w:tcPr>
            <w:tcW w:w="1448" w:type="dxa"/>
            <w:tcBorders>
              <w:left w:val="nil"/>
              <w:right w:val="single" w:sz="4" w:space="0" w:color="auto"/>
            </w:tcBorders>
          </w:tcPr>
          <w:p w:rsidR="00E95FB1" w:rsidRPr="001916D0" w:rsidRDefault="00E95FB1" w:rsidP="001B3967">
            <w:pPr>
              <w:autoSpaceDE w:val="0"/>
              <w:autoSpaceDN w:val="0"/>
              <w:adjustRightInd w:val="0"/>
              <w:jc w:val="right"/>
              <w:rPr>
                <w:rFonts w:eastAsia="Calibri"/>
                <w:color w:val="000000"/>
                <w:sz w:val="22"/>
              </w:rPr>
            </w:pPr>
          </w:p>
        </w:tc>
        <w:tc>
          <w:tcPr>
            <w:tcW w:w="2835" w:type="dxa"/>
            <w:tcBorders>
              <w:top w:val="single" w:sz="4" w:space="0" w:color="auto"/>
              <w:left w:val="single" w:sz="4" w:space="0" w:color="auto"/>
              <w:bottom w:val="single" w:sz="4" w:space="0" w:color="auto"/>
              <w:right w:val="single" w:sz="4"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p>
        </w:tc>
        <w:tc>
          <w:tcPr>
            <w:tcW w:w="1417" w:type="dxa"/>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14959,0</w:t>
            </w:r>
          </w:p>
        </w:tc>
        <w:tc>
          <w:tcPr>
            <w:tcW w:w="1701" w:type="dxa"/>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w:t>
            </w:r>
          </w:p>
        </w:tc>
        <w:tc>
          <w:tcPr>
            <w:tcW w:w="1276"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6411,0</w:t>
            </w:r>
          </w:p>
        </w:tc>
        <w:tc>
          <w:tcPr>
            <w:tcW w:w="1418"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Міжнародні інвестиції</w:t>
            </w:r>
          </w:p>
          <w:p w:rsidR="00E95FB1" w:rsidRPr="001916D0" w:rsidRDefault="00E95FB1" w:rsidP="001B3967">
            <w:pPr>
              <w:autoSpaceDE w:val="0"/>
              <w:autoSpaceDN w:val="0"/>
              <w:adjustRightInd w:val="0"/>
              <w:jc w:val="left"/>
              <w:rPr>
                <w:rFonts w:eastAsia="Calibri"/>
                <w:color w:val="000000"/>
                <w:sz w:val="22"/>
              </w:rPr>
            </w:pPr>
          </w:p>
        </w:tc>
        <w:tc>
          <w:tcPr>
            <w:tcW w:w="1275" w:type="dxa"/>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21370,0</w:t>
            </w:r>
          </w:p>
        </w:tc>
      </w:tr>
    </w:tbl>
    <w:p w:rsidR="00E95FB1" w:rsidRPr="001916D0" w:rsidRDefault="00E95FB1" w:rsidP="00E95FB1">
      <w:pPr>
        <w:tabs>
          <w:tab w:val="left" w:pos="5290"/>
        </w:tabs>
        <w:rPr>
          <w:sz w:val="22"/>
        </w:rPr>
      </w:pPr>
    </w:p>
    <w:tbl>
      <w:tblPr>
        <w:tblpPr w:leftFromText="180" w:rightFromText="180" w:vertAnchor="text" w:horzAnchor="page" w:tblpX="1" w:tblpY="123"/>
        <w:tblW w:w="11370" w:type="dxa"/>
        <w:tblLayout w:type="fixed"/>
        <w:tblCellMar>
          <w:left w:w="30" w:type="dxa"/>
          <w:right w:w="30" w:type="dxa"/>
        </w:tblCellMar>
        <w:tblLook w:val="0000" w:firstRow="0" w:lastRow="0" w:firstColumn="0" w:lastColumn="0" w:noHBand="0" w:noVBand="0"/>
      </w:tblPr>
      <w:tblGrid>
        <w:gridCol w:w="1448"/>
        <w:gridCol w:w="2835"/>
        <w:gridCol w:w="1559"/>
        <w:gridCol w:w="1418"/>
        <w:gridCol w:w="1134"/>
        <w:gridCol w:w="425"/>
        <w:gridCol w:w="1134"/>
        <w:gridCol w:w="1417"/>
      </w:tblGrid>
      <w:tr w:rsidR="00E95FB1" w:rsidRPr="001916D0" w:rsidTr="001B3967">
        <w:trPr>
          <w:trHeight w:val="836"/>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ascii="Calibri" w:eastAsia="Calibri" w:hAnsi="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Оперативна ціль/завдання</w:t>
            </w:r>
          </w:p>
        </w:tc>
        <w:tc>
          <w:tcPr>
            <w:tcW w:w="7087" w:type="dxa"/>
            <w:gridSpan w:val="6"/>
            <w:tcBorders>
              <w:top w:val="single" w:sz="6" w:space="0" w:color="auto"/>
              <w:left w:val="single" w:sz="6" w:space="0" w:color="auto"/>
              <w:bottom w:val="single" w:sz="6" w:space="0" w:color="auto"/>
              <w:right w:val="single" w:sz="6" w:space="0" w:color="auto"/>
            </w:tcBorders>
          </w:tcPr>
          <w:p w:rsidR="00E95FB1" w:rsidRPr="001916D0" w:rsidRDefault="00E95FB1" w:rsidP="001B3967">
            <w:pPr>
              <w:contextualSpacing/>
              <w:jc w:val="left"/>
              <w:rPr>
                <w:rFonts w:eastAsia="Arial"/>
                <w:sz w:val="22"/>
              </w:rPr>
            </w:pPr>
            <w:r w:rsidRPr="001916D0">
              <w:rPr>
                <w:rFonts w:eastAsia="Arial"/>
                <w:sz w:val="22"/>
              </w:rPr>
              <w:t>Комфорт життя ЛЮДИНИ як безпека, екологічна сталість та  розумна енергетика. Громадська та інформаційна безпека території громади</w:t>
            </w:r>
          </w:p>
        </w:tc>
      </w:tr>
      <w:tr w:rsidR="00E95FB1" w:rsidRPr="001916D0" w:rsidTr="001B3967">
        <w:trPr>
          <w:trHeight w:val="290"/>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ascii="Calibri" w:eastAsia="Calibri" w:hAnsi="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Назва проекту:</w:t>
            </w:r>
          </w:p>
        </w:tc>
        <w:tc>
          <w:tcPr>
            <w:tcW w:w="7087" w:type="dxa"/>
            <w:gridSpan w:val="6"/>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 xml:space="preserve">Встановлення сучасних </w:t>
            </w:r>
            <w:proofErr w:type="spellStart"/>
            <w:r w:rsidRPr="001916D0">
              <w:rPr>
                <w:rFonts w:eastAsia="Calibri"/>
                <w:color w:val="000000"/>
                <w:sz w:val="22"/>
              </w:rPr>
              <w:t>зупинкових</w:t>
            </w:r>
            <w:proofErr w:type="spellEnd"/>
            <w:r w:rsidRPr="001916D0">
              <w:rPr>
                <w:rFonts w:eastAsia="Calibri"/>
                <w:color w:val="000000"/>
                <w:sz w:val="22"/>
              </w:rPr>
              <w:t xml:space="preserve"> майданчиків «Розумні зупинки»</w:t>
            </w:r>
          </w:p>
        </w:tc>
      </w:tr>
      <w:tr w:rsidR="00E95FB1" w:rsidRPr="001916D0" w:rsidTr="001B3967">
        <w:trPr>
          <w:trHeight w:val="645"/>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ascii="Calibri" w:eastAsia="Calibri" w:hAnsi="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Ціль проекту</w:t>
            </w:r>
          </w:p>
        </w:tc>
        <w:tc>
          <w:tcPr>
            <w:tcW w:w="7087" w:type="dxa"/>
            <w:gridSpan w:val="6"/>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 xml:space="preserve">Встановити сучасні </w:t>
            </w:r>
            <w:proofErr w:type="spellStart"/>
            <w:r w:rsidRPr="001916D0">
              <w:rPr>
                <w:rFonts w:eastAsia="Calibri"/>
                <w:color w:val="000000"/>
                <w:sz w:val="22"/>
              </w:rPr>
              <w:t>зупинкові</w:t>
            </w:r>
            <w:proofErr w:type="spellEnd"/>
            <w:r w:rsidRPr="001916D0">
              <w:rPr>
                <w:rFonts w:eastAsia="Calibri"/>
                <w:color w:val="000000"/>
                <w:sz w:val="22"/>
              </w:rPr>
              <w:t xml:space="preserve"> майданчики «Розумні зупинки» для комфортного очікування пасажирами громадського транспорту.</w:t>
            </w:r>
          </w:p>
        </w:tc>
      </w:tr>
      <w:tr w:rsidR="00E95FB1" w:rsidRPr="001916D0" w:rsidTr="001B3967">
        <w:trPr>
          <w:trHeight w:val="290"/>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ascii="Calibri" w:eastAsia="Calibri" w:hAnsi="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Територія, на яку матиме вплив реалізація проекту</w:t>
            </w:r>
          </w:p>
        </w:tc>
        <w:tc>
          <w:tcPr>
            <w:tcW w:w="7087" w:type="dxa"/>
            <w:gridSpan w:val="6"/>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Сєвєродонецька міська територіальна громада</w:t>
            </w:r>
          </w:p>
        </w:tc>
      </w:tr>
      <w:tr w:rsidR="00E95FB1" w:rsidRPr="001916D0" w:rsidTr="001B3967">
        <w:trPr>
          <w:trHeight w:val="581"/>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ascii="Calibri" w:eastAsia="Calibri" w:hAnsi="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Чисельність населення, на яке матиме вплив реалізація проекту</w:t>
            </w:r>
          </w:p>
        </w:tc>
        <w:tc>
          <w:tcPr>
            <w:tcW w:w="7087" w:type="dxa"/>
            <w:gridSpan w:val="6"/>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70000 осіб.</w:t>
            </w:r>
          </w:p>
        </w:tc>
      </w:tr>
      <w:tr w:rsidR="00E95FB1" w:rsidRPr="001916D0" w:rsidTr="001B3967">
        <w:trPr>
          <w:trHeight w:val="1224"/>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ascii="Calibri" w:eastAsia="Calibri" w:hAnsi="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Опис проблеми, на вирішення якої спрямований проект</w:t>
            </w:r>
          </w:p>
        </w:tc>
        <w:tc>
          <w:tcPr>
            <w:tcW w:w="7087" w:type="dxa"/>
            <w:gridSpan w:val="6"/>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На території міста Сєвєродонецьк були розташовані  тролейбусні зупинки, які  не відповідали сучасним нормам та новітнім технологіям, більшість з яких була знищена під час бойових дій</w:t>
            </w:r>
          </w:p>
        </w:tc>
      </w:tr>
      <w:tr w:rsidR="00E95FB1" w:rsidRPr="001916D0" w:rsidTr="001B3967">
        <w:trPr>
          <w:trHeight w:val="528"/>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ascii="Calibri" w:eastAsia="Calibri" w:hAnsi="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Очікувані якісні результати від реалізації проекту</w:t>
            </w:r>
          </w:p>
        </w:tc>
        <w:tc>
          <w:tcPr>
            <w:tcW w:w="7087" w:type="dxa"/>
            <w:gridSpan w:val="6"/>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 xml:space="preserve">Сучасний дизайн, обладнані розетками для підзарядки мобільного телефону та безкоштовним </w:t>
            </w:r>
            <w:proofErr w:type="spellStart"/>
            <w:r w:rsidRPr="001916D0">
              <w:rPr>
                <w:rFonts w:eastAsia="Calibri"/>
                <w:color w:val="000000"/>
                <w:sz w:val="22"/>
              </w:rPr>
              <w:t>Wi-Fi</w:t>
            </w:r>
            <w:proofErr w:type="spellEnd"/>
            <w:r w:rsidRPr="001916D0">
              <w:rPr>
                <w:rFonts w:eastAsia="Calibri"/>
                <w:color w:val="000000"/>
                <w:sz w:val="22"/>
              </w:rPr>
              <w:t>, обігрівом місць для сидіння, годинником, термометром, кнопкою виклику поліції та екстрених служб. Мають комплект сміттєвих урн для роздільного збору сміття (пластик/метал, скло та інше), комплект відеоспостереження, сонячні панелі, внутрішнє освітлення тощо.</w:t>
            </w:r>
          </w:p>
        </w:tc>
      </w:tr>
      <w:tr w:rsidR="00E95FB1" w:rsidRPr="001916D0" w:rsidTr="001B3967">
        <w:trPr>
          <w:trHeight w:val="581"/>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ascii="Calibri" w:eastAsia="Calibri" w:hAnsi="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Очікувані кількісні результати від реалізації проекту  (індикатори)</w:t>
            </w:r>
          </w:p>
        </w:tc>
        <w:tc>
          <w:tcPr>
            <w:tcW w:w="2977"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b/>
                <w:color w:val="000000"/>
                <w:sz w:val="22"/>
              </w:rPr>
            </w:pPr>
            <w:r w:rsidRPr="001916D0">
              <w:rPr>
                <w:rFonts w:eastAsia="Calibri"/>
                <w:b/>
                <w:color w:val="000000"/>
                <w:sz w:val="22"/>
              </w:rPr>
              <w:t>Найменування показника</w:t>
            </w:r>
          </w:p>
        </w:tc>
        <w:tc>
          <w:tcPr>
            <w:tcW w:w="1559"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b/>
                <w:color w:val="000000"/>
                <w:sz w:val="22"/>
              </w:rPr>
            </w:pPr>
            <w:r w:rsidRPr="001916D0">
              <w:rPr>
                <w:rFonts w:eastAsia="Calibri"/>
                <w:b/>
                <w:color w:val="000000"/>
                <w:sz w:val="22"/>
              </w:rPr>
              <w:t>Одиниця вимірювання</w:t>
            </w:r>
          </w:p>
        </w:tc>
        <w:tc>
          <w:tcPr>
            <w:tcW w:w="255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b/>
                <w:color w:val="000000"/>
                <w:sz w:val="22"/>
              </w:rPr>
            </w:pPr>
            <w:r w:rsidRPr="001916D0">
              <w:rPr>
                <w:rFonts w:eastAsia="Calibri"/>
                <w:b/>
                <w:color w:val="000000"/>
                <w:sz w:val="22"/>
              </w:rPr>
              <w:t>Прогнозне (цільове) значення</w:t>
            </w:r>
          </w:p>
        </w:tc>
      </w:tr>
      <w:tr w:rsidR="00E95FB1" w:rsidRPr="001916D0" w:rsidTr="001B3967">
        <w:trPr>
          <w:trHeight w:val="290"/>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ascii="Calibri" w:eastAsia="Calibri" w:hAnsi="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jc w:val="right"/>
              <w:rPr>
                <w:rFonts w:eastAsia="Calibri"/>
                <w:b/>
                <w:color w:val="000000"/>
                <w:sz w:val="22"/>
              </w:rPr>
            </w:pPr>
          </w:p>
        </w:tc>
        <w:tc>
          <w:tcPr>
            <w:tcW w:w="2977"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 xml:space="preserve">Кількість встановлених </w:t>
            </w:r>
            <w:proofErr w:type="spellStart"/>
            <w:r w:rsidRPr="001916D0">
              <w:rPr>
                <w:rFonts w:eastAsia="Calibri"/>
                <w:color w:val="000000"/>
                <w:sz w:val="22"/>
              </w:rPr>
              <w:t>зупинкових</w:t>
            </w:r>
            <w:proofErr w:type="spellEnd"/>
            <w:r w:rsidRPr="001916D0">
              <w:rPr>
                <w:rFonts w:eastAsia="Calibri"/>
                <w:color w:val="000000"/>
                <w:sz w:val="22"/>
              </w:rPr>
              <w:t xml:space="preserve"> майданчиків</w:t>
            </w:r>
          </w:p>
        </w:tc>
        <w:tc>
          <w:tcPr>
            <w:tcW w:w="1559"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одиниць</w:t>
            </w:r>
          </w:p>
        </w:tc>
        <w:tc>
          <w:tcPr>
            <w:tcW w:w="255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84</w:t>
            </w:r>
          </w:p>
        </w:tc>
      </w:tr>
      <w:tr w:rsidR="00E95FB1" w:rsidRPr="001916D0" w:rsidTr="001B3967">
        <w:trPr>
          <w:trHeight w:val="1140"/>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ascii="Calibri" w:eastAsia="Calibri" w:hAnsi="Calibri"/>
                <w:color w:val="000000"/>
                <w:sz w:val="22"/>
              </w:rPr>
            </w:pPr>
          </w:p>
        </w:tc>
        <w:tc>
          <w:tcPr>
            <w:tcW w:w="2835" w:type="dxa"/>
            <w:tcBorders>
              <w:top w:val="single" w:sz="6" w:space="0" w:color="auto"/>
              <w:left w:val="single" w:sz="6" w:space="0" w:color="auto"/>
              <w:bottom w:val="single" w:sz="4"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Ключові заходи проекту:</w:t>
            </w:r>
          </w:p>
        </w:tc>
        <w:tc>
          <w:tcPr>
            <w:tcW w:w="7087" w:type="dxa"/>
            <w:gridSpan w:val="6"/>
            <w:tcBorders>
              <w:top w:val="single" w:sz="6" w:space="0" w:color="auto"/>
              <w:left w:val="single" w:sz="6" w:space="0" w:color="auto"/>
              <w:bottom w:val="single" w:sz="4" w:space="0" w:color="auto"/>
              <w:right w:val="single" w:sz="6" w:space="0" w:color="auto"/>
            </w:tcBorders>
          </w:tcPr>
          <w:p w:rsidR="00E95FB1" w:rsidRPr="001916D0" w:rsidRDefault="00E95FB1" w:rsidP="000303D7">
            <w:pPr>
              <w:numPr>
                <w:ilvl w:val="0"/>
                <w:numId w:val="71"/>
              </w:numPr>
              <w:autoSpaceDE w:val="0"/>
              <w:autoSpaceDN w:val="0"/>
              <w:adjustRightInd w:val="0"/>
              <w:jc w:val="left"/>
              <w:rPr>
                <w:rFonts w:eastAsia="Calibri"/>
                <w:color w:val="000000"/>
                <w:sz w:val="22"/>
              </w:rPr>
            </w:pPr>
            <w:r w:rsidRPr="001916D0">
              <w:rPr>
                <w:rFonts w:eastAsia="Calibri"/>
                <w:color w:val="000000"/>
                <w:sz w:val="22"/>
              </w:rPr>
              <w:t xml:space="preserve">Обстеження місць для розміщення </w:t>
            </w:r>
            <w:proofErr w:type="spellStart"/>
            <w:r w:rsidRPr="001916D0">
              <w:rPr>
                <w:rFonts w:eastAsia="Calibri"/>
                <w:color w:val="000000"/>
                <w:sz w:val="22"/>
              </w:rPr>
              <w:t>зупинкових</w:t>
            </w:r>
            <w:proofErr w:type="spellEnd"/>
            <w:r w:rsidRPr="001916D0">
              <w:rPr>
                <w:rFonts w:eastAsia="Calibri"/>
                <w:color w:val="000000"/>
                <w:sz w:val="22"/>
              </w:rPr>
              <w:t xml:space="preserve"> майданчиків</w:t>
            </w:r>
          </w:p>
          <w:p w:rsidR="00E95FB1" w:rsidRPr="001916D0" w:rsidRDefault="00E95FB1" w:rsidP="000303D7">
            <w:pPr>
              <w:numPr>
                <w:ilvl w:val="0"/>
                <w:numId w:val="71"/>
              </w:numPr>
              <w:autoSpaceDE w:val="0"/>
              <w:autoSpaceDN w:val="0"/>
              <w:adjustRightInd w:val="0"/>
              <w:jc w:val="left"/>
              <w:rPr>
                <w:rFonts w:eastAsia="Calibri"/>
                <w:color w:val="000000"/>
                <w:sz w:val="22"/>
              </w:rPr>
            </w:pPr>
            <w:r w:rsidRPr="001916D0">
              <w:rPr>
                <w:rFonts w:eastAsia="Calibri"/>
                <w:color w:val="000000"/>
                <w:sz w:val="22"/>
              </w:rPr>
              <w:t xml:space="preserve">Розробка </w:t>
            </w:r>
            <w:proofErr w:type="spellStart"/>
            <w:r w:rsidRPr="001916D0">
              <w:rPr>
                <w:rFonts w:eastAsia="Calibri"/>
                <w:color w:val="000000"/>
                <w:sz w:val="22"/>
                <w:szCs w:val="22"/>
              </w:rPr>
              <w:t>про</w:t>
            </w:r>
            <w:r w:rsidR="000E24DE" w:rsidRPr="001916D0">
              <w:rPr>
                <w:rFonts w:eastAsia="Calibri"/>
                <w:color w:val="000000"/>
                <w:sz w:val="22"/>
                <w:szCs w:val="22"/>
              </w:rPr>
              <w:t>є</w:t>
            </w:r>
            <w:r w:rsidRPr="001916D0">
              <w:rPr>
                <w:rFonts w:eastAsia="Calibri"/>
                <w:color w:val="000000"/>
                <w:sz w:val="22"/>
                <w:szCs w:val="22"/>
              </w:rPr>
              <w:t>ктно</w:t>
            </w:r>
            <w:proofErr w:type="spellEnd"/>
            <w:r w:rsidRPr="001916D0">
              <w:rPr>
                <w:rFonts w:eastAsia="Calibri"/>
                <w:color w:val="000000"/>
                <w:sz w:val="22"/>
              </w:rPr>
              <w:t>-кошторисної документації</w:t>
            </w:r>
          </w:p>
          <w:p w:rsidR="00E95FB1" w:rsidRPr="001916D0" w:rsidRDefault="00E95FB1" w:rsidP="000303D7">
            <w:pPr>
              <w:numPr>
                <w:ilvl w:val="0"/>
                <w:numId w:val="71"/>
              </w:numPr>
              <w:autoSpaceDE w:val="0"/>
              <w:autoSpaceDN w:val="0"/>
              <w:adjustRightInd w:val="0"/>
              <w:jc w:val="left"/>
              <w:rPr>
                <w:rFonts w:eastAsia="Calibri"/>
                <w:color w:val="000000"/>
                <w:sz w:val="22"/>
              </w:rPr>
            </w:pPr>
            <w:r w:rsidRPr="001916D0">
              <w:rPr>
                <w:rFonts w:eastAsia="Calibri"/>
                <w:color w:val="000000"/>
                <w:sz w:val="22"/>
              </w:rPr>
              <w:t>Придбання «Розумних зупинок»</w:t>
            </w:r>
          </w:p>
          <w:p w:rsidR="00E95FB1" w:rsidRPr="001916D0" w:rsidRDefault="00E95FB1" w:rsidP="000303D7">
            <w:pPr>
              <w:numPr>
                <w:ilvl w:val="0"/>
                <w:numId w:val="71"/>
              </w:numPr>
              <w:autoSpaceDE w:val="0"/>
              <w:autoSpaceDN w:val="0"/>
              <w:adjustRightInd w:val="0"/>
              <w:jc w:val="left"/>
              <w:rPr>
                <w:rFonts w:eastAsia="Calibri"/>
                <w:color w:val="000000"/>
                <w:sz w:val="22"/>
              </w:rPr>
            </w:pPr>
            <w:r w:rsidRPr="001916D0">
              <w:rPr>
                <w:rFonts w:eastAsia="Calibri"/>
                <w:color w:val="000000"/>
                <w:sz w:val="22"/>
              </w:rPr>
              <w:t xml:space="preserve">Встановлення сучасних </w:t>
            </w:r>
            <w:proofErr w:type="spellStart"/>
            <w:r w:rsidRPr="001916D0">
              <w:rPr>
                <w:rFonts w:eastAsia="Calibri"/>
                <w:color w:val="000000"/>
                <w:sz w:val="22"/>
              </w:rPr>
              <w:t>зупинкових</w:t>
            </w:r>
            <w:proofErr w:type="spellEnd"/>
            <w:r w:rsidRPr="001916D0">
              <w:rPr>
                <w:rFonts w:eastAsia="Calibri"/>
                <w:color w:val="000000"/>
                <w:sz w:val="22"/>
              </w:rPr>
              <w:t xml:space="preserve"> майданчиків</w:t>
            </w:r>
          </w:p>
        </w:tc>
      </w:tr>
      <w:tr w:rsidR="00E95FB1" w:rsidRPr="001916D0" w:rsidTr="001B3967">
        <w:trPr>
          <w:trHeight w:val="544"/>
        </w:trPr>
        <w:tc>
          <w:tcPr>
            <w:tcW w:w="1448" w:type="dxa"/>
            <w:vMerge w:val="restart"/>
            <w:tcBorders>
              <w:top w:val="nil"/>
              <w:left w:val="nil"/>
              <w:bottom w:val="nil"/>
              <w:right w:val="single" w:sz="4" w:space="0" w:color="auto"/>
            </w:tcBorders>
          </w:tcPr>
          <w:p w:rsidR="00E95FB1" w:rsidRPr="001916D0" w:rsidRDefault="00E95FB1" w:rsidP="001B3967">
            <w:pPr>
              <w:autoSpaceDE w:val="0"/>
              <w:autoSpaceDN w:val="0"/>
              <w:adjustRightInd w:val="0"/>
              <w:jc w:val="right"/>
              <w:rPr>
                <w:rFonts w:ascii="Calibri" w:eastAsia="Calibri" w:hAnsi="Calibri"/>
                <w:color w:val="000000"/>
                <w:sz w:val="22"/>
              </w:rPr>
            </w:pPr>
          </w:p>
        </w:tc>
        <w:tc>
          <w:tcPr>
            <w:tcW w:w="2835" w:type="dxa"/>
            <w:vMerge w:val="restart"/>
            <w:tcBorders>
              <w:top w:val="single" w:sz="4" w:space="0" w:color="auto"/>
              <w:left w:val="single" w:sz="4" w:space="0" w:color="auto"/>
              <w:bottom w:val="single" w:sz="4" w:space="0" w:color="auto"/>
              <w:right w:val="single" w:sz="4"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Орієнтовний обсяг та джерела фінансування тис. гривень</w:t>
            </w:r>
          </w:p>
        </w:tc>
        <w:tc>
          <w:tcPr>
            <w:tcW w:w="1559" w:type="dxa"/>
            <w:vMerge w:val="restart"/>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Державний бюджет</w:t>
            </w:r>
          </w:p>
        </w:tc>
        <w:tc>
          <w:tcPr>
            <w:tcW w:w="1418" w:type="dxa"/>
            <w:vMerge w:val="restart"/>
            <w:tcBorders>
              <w:top w:val="single" w:sz="4" w:space="0" w:color="auto"/>
              <w:left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Місцевий бюджет</w:t>
            </w:r>
          </w:p>
        </w:tc>
        <w:tc>
          <w:tcPr>
            <w:tcW w:w="2693" w:type="dxa"/>
            <w:gridSpan w:val="3"/>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Інші джерела</w:t>
            </w:r>
          </w:p>
          <w:p w:rsidR="00E95FB1" w:rsidRPr="001916D0" w:rsidRDefault="00E95FB1" w:rsidP="001B3967">
            <w:pPr>
              <w:autoSpaceDE w:val="0"/>
              <w:autoSpaceDN w:val="0"/>
              <w:adjustRightInd w:val="0"/>
              <w:jc w:val="left"/>
              <w:rPr>
                <w:rFonts w:eastAsia="Calibri"/>
                <w:color w:val="000000"/>
                <w:sz w:val="22"/>
              </w:rPr>
            </w:pPr>
          </w:p>
        </w:tc>
        <w:tc>
          <w:tcPr>
            <w:tcW w:w="1417" w:type="dxa"/>
            <w:vMerge w:val="restart"/>
            <w:tcBorders>
              <w:top w:val="single" w:sz="4" w:space="0" w:color="auto"/>
              <w:left w:val="single" w:sz="4" w:space="0" w:color="auto"/>
              <w:bottom w:val="nil"/>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Всього</w:t>
            </w:r>
          </w:p>
        </w:tc>
      </w:tr>
      <w:tr w:rsidR="00E95FB1" w:rsidRPr="001916D0" w:rsidTr="001B3967">
        <w:trPr>
          <w:trHeight w:val="65"/>
        </w:trPr>
        <w:tc>
          <w:tcPr>
            <w:tcW w:w="1448" w:type="dxa"/>
            <w:vMerge/>
            <w:tcBorders>
              <w:left w:val="nil"/>
              <w:right w:val="single" w:sz="4" w:space="0" w:color="auto"/>
            </w:tcBorders>
          </w:tcPr>
          <w:p w:rsidR="00E95FB1" w:rsidRPr="001916D0" w:rsidRDefault="00E95FB1" w:rsidP="001B3967">
            <w:pPr>
              <w:autoSpaceDE w:val="0"/>
              <w:autoSpaceDN w:val="0"/>
              <w:adjustRightInd w:val="0"/>
              <w:jc w:val="right"/>
              <w:rPr>
                <w:rFonts w:ascii="Calibri" w:eastAsia="Calibri" w:hAnsi="Calibri"/>
                <w:color w:val="000000"/>
                <w:sz w:val="22"/>
              </w:rPr>
            </w:pPr>
          </w:p>
        </w:tc>
        <w:tc>
          <w:tcPr>
            <w:tcW w:w="2835" w:type="dxa"/>
            <w:vMerge/>
            <w:tcBorders>
              <w:top w:val="single" w:sz="4" w:space="0" w:color="auto"/>
              <w:left w:val="single" w:sz="4" w:space="0" w:color="auto"/>
              <w:bottom w:val="single" w:sz="4" w:space="0" w:color="auto"/>
              <w:right w:val="single" w:sz="4"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p>
        </w:tc>
        <w:tc>
          <w:tcPr>
            <w:tcW w:w="1559" w:type="dxa"/>
            <w:vMerge/>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p>
        </w:tc>
        <w:tc>
          <w:tcPr>
            <w:tcW w:w="1418" w:type="dxa"/>
            <w:vMerge/>
            <w:tcBorders>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p>
        </w:tc>
        <w:tc>
          <w:tcPr>
            <w:tcW w:w="1134" w:type="dxa"/>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Обсяг</w:t>
            </w:r>
          </w:p>
        </w:tc>
        <w:tc>
          <w:tcPr>
            <w:tcW w:w="1559"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Назва джерела</w:t>
            </w:r>
          </w:p>
        </w:tc>
        <w:tc>
          <w:tcPr>
            <w:tcW w:w="1417" w:type="dxa"/>
            <w:vMerge/>
            <w:tcBorders>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p>
        </w:tc>
      </w:tr>
      <w:tr w:rsidR="00E95FB1" w:rsidRPr="001916D0" w:rsidTr="001B3967">
        <w:trPr>
          <w:trHeight w:val="65"/>
        </w:trPr>
        <w:tc>
          <w:tcPr>
            <w:tcW w:w="1448" w:type="dxa"/>
            <w:tcBorders>
              <w:left w:val="nil"/>
              <w:right w:val="single" w:sz="4" w:space="0" w:color="auto"/>
            </w:tcBorders>
          </w:tcPr>
          <w:p w:rsidR="00E95FB1" w:rsidRPr="001916D0" w:rsidRDefault="00E95FB1" w:rsidP="001B3967">
            <w:pPr>
              <w:autoSpaceDE w:val="0"/>
              <w:autoSpaceDN w:val="0"/>
              <w:adjustRightInd w:val="0"/>
              <w:jc w:val="right"/>
              <w:rPr>
                <w:rFonts w:ascii="Calibri" w:eastAsia="Calibri" w:hAnsi="Calibri"/>
                <w:color w:val="000000"/>
                <w:sz w:val="22"/>
              </w:rPr>
            </w:pPr>
          </w:p>
        </w:tc>
        <w:tc>
          <w:tcPr>
            <w:tcW w:w="2835" w:type="dxa"/>
            <w:tcBorders>
              <w:top w:val="single" w:sz="4" w:space="0" w:color="auto"/>
              <w:left w:val="single" w:sz="4" w:space="0" w:color="auto"/>
              <w:bottom w:val="single" w:sz="4" w:space="0" w:color="auto"/>
              <w:right w:val="single" w:sz="4"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p>
        </w:tc>
        <w:tc>
          <w:tcPr>
            <w:tcW w:w="1559" w:type="dxa"/>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49364,0</w:t>
            </w:r>
          </w:p>
        </w:tc>
        <w:tc>
          <w:tcPr>
            <w:tcW w:w="1418" w:type="dxa"/>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w:t>
            </w:r>
          </w:p>
        </w:tc>
        <w:tc>
          <w:tcPr>
            <w:tcW w:w="1134" w:type="dxa"/>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21156,0</w:t>
            </w:r>
          </w:p>
        </w:tc>
        <w:tc>
          <w:tcPr>
            <w:tcW w:w="1559"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Міжнародні інвестиції</w:t>
            </w:r>
          </w:p>
          <w:p w:rsidR="00E95FB1" w:rsidRPr="001916D0" w:rsidRDefault="00E95FB1" w:rsidP="001B3967">
            <w:pPr>
              <w:autoSpaceDE w:val="0"/>
              <w:autoSpaceDN w:val="0"/>
              <w:adjustRightInd w:val="0"/>
              <w:jc w:val="left"/>
              <w:rPr>
                <w:rFonts w:eastAsia="Calibri"/>
                <w:color w:val="000000"/>
                <w:sz w:val="22"/>
              </w:rPr>
            </w:pPr>
          </w:p>
        </w:tc>
        <w:tc>
          <w:tcPr>
            <w:tcW w:w="1417" w:type="dxa"/>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70520,0</w:t>
            </w:r>
          </w:p>
        </w:tc>
      </w:tr>
    </w:tbl>
    <w:p w:rsidR="00E95FB1" w:rsidRPr="001916D0" w:rsidRDefault="00E95FB1" w:rsidP="00E95FB1">
      <w:pPr>
        <w:tabs>
          <w:tab w:val="left" w:pos="5290"/>
        </w:tabs>
        <w:rPr>
          <w:b/>
          <w:sz w:val="22"/>
        </w:rPr>
      </w:pPr>
    </w:p>
    <w:tbl>
      <w:tblPr>
        <w:tblpPr w:leftFromText="180" w:rightFromText="180" w:vertAnchor="text" w:horzAnchor="page" w:tblpX="1510" w:tblpY="708"/>
        <w:tblW w:w="9811" w:type="dxa"/>
        <w:tblLayout w:type="fixed"/>
        <w:tblCellMar>
          <w:left w:w="30" w:type="dxa"/>
          <w:right w:w="30" w:type="dxa"/>
        </w:tblCellMar>
        <w:tblLook w:val="0000" w:firstRow="0" w:lastRow="0" w:firstColumn="0" w:lastColumn="0" w:noHBand="0" w:noVBand="0"/>
      </w:tblPr>
      <w:tblGrid>
        <w:gridCol w:w="2724"/>
        <w:gridCol w:w="1559"/>
        <w:gridCol w:w="1134"/>
        <w:gridCol w:w="992"/>
        <w:gridCol w:w="425"/>
        <w:gridCol w:w="1276"/>
        <w:gridCol w:w="425"/>
        <w:gridCol w:w="1276"/>
      </w:tblGrid>
      <w:tr w:rsidR="00E95FB1" w:rsidRPr="001916D0" w:rsidTr="001B3967">
        <w:trPr>
          <w:trHeight w:val="835"/>
        </w:trPr>
        <w:tc>
          <w:tcPr>
            <w:tcW w:w="272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ind w:firstLine="284"/>
              <w:rPr>
                <w:rFonts w:eastAsia="Calibri"/>
                <w:b/>
                <w:color w:val="000000"/>
                <w:sz w:val="22"/>
              </w:rPr>
            </w:pPr>
            <w:r w:rsidRPr="001916D0">
              <w:rPr>
                <w:rFonts w:eastAsia="Calibri"/>
                <w:b/>
                <w:color w:val="000000"/>
                <w:sz w:val="22"/>
              </w:rPr>
              <w:t>Оперативна ціль/завдання</w:t>
            </w:r>
          </w:p>
        </w:tc>
        <w:tc>
          <w:tcPr>
            <w:tcW w:w="7087" w:type="dxa"/>
            <w:gridSpan w:val="7"/>
            <w:tcBorders>
              <w:top w:val="single" w:sz="6" w:space="0" w:color="auto"/>
              <w:left w:val="single" w:sz="6" w:space="0" w:color="auto"/>
              <w:bottom w:val="single" w:sz="6" w:space="0" w:color="auto"/>
              <w:right w:val="single" w:sz="6" w:space="0" w:color="auto"/>
            </w:tcBorders>
          </w:tcPr>
          <w:p w:rsidR="00E95FB1" w:rsidRPr="001916D0" w:rsidRDefault="00E95FB1" w:rsidP="001B3967">
            <w:pPr>
              <w:contextualSpacing/>
              <w:jc w:val="left"/>
              <w:rPr>
                <w:rFonts w:eastAsia="Arial"/>
                <w:sz w:val="22"/>
              </w:rPr>
            </w:pPr>
            <w:r w:rsidRPr="001916D0">
              <w:rPr>
                <w:rFonts w:eastAsia="Arial"/>
                <w:sz w:val="22"/>
              </w:rPr>
              <w:t>Комфорт життя ЛЮДИНИ як безпека, екологічна сталість та  розумна енергетика. Громадська та інформаційна безпека території громади</w:t>
            </w:r>
          </w:p>
        </w:tc>
      </w:tr>
      <w:tr w:rsidR="00E95FB1" w:rsidRPr="001916D0" w:rsidTr="001B3967">
        <w:trPr>
          <w:trHeight w:val="290"/>
        </w:trPr>
        <w:tc>
          <w:tcPr>
            <w:tcW w:w="272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Назва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Капітальний ремонт будівель та споруд КП «Сєвєродонецьке тролейбусне управління»</w:t>
            </w:r>
          </w:p>
        </w:tc>
      </w:tr>
      <w:tr w:rsidR="00E95FB1" w:rsidRPr="001916D0" w:rsidTr="001B3967">
        <w:trPr>
          <w:trHeight w:val="1075"/>
        </w:trPr>
        <w:tc>
          <w:tcPr>
            <w:tcW w:w="272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Ціль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proofErr w:type="spellStart"/>
            <w:r w:rsidRPr="001916D0">
              <w:rPr>
                <w:rFonts w:eastAsia="Calibri"/>
                <w:color w:val="000000"/>
                <w:sz w:val="22"/>
              </w:rPr>
              <w:t>Капітально</w:t>
            </w:r>
            <w:proofErr w:type="spellEnd"/>
            <w:r w:rsidRPr="001916D0">
              <w:rPr>
                <w:rFonts w:eastAsia="Calibri"/>
                <w:color w:val="000000"/>
                <w:sz w:val="22"/>
              </w:rPr>
              <w:t xml:space="preserve"> відремонтувати будівлі та споруди КП «Сєвєродонецьке тролейбусне управління (ремонт покриття покрівлі; ремонт і заміна заповнення віконних та дверних прорізів; ремонт конструкцій фасадів; ремонт внутрішніх приміщень будівель, мереж водопостачання, водовідведення, електропостачання).</w:t>
            </w:r>
          </w:p>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Відновлення діяльності підприємства</w:t>
            </w:r>
          </w:p>
        </w:tc>
      </w:tr>
      <w:tr w:rsidR="00E95FB1" w:rsidRPr="001916D0" w:rsidTr="001B3967">
        <w:trPr>
          <w:trHeight w:val="290"/>
        </w:trPr>
        <w:tc>
          <w:tcPr>
            <w:tcW w:w="272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Територія, на яку матиме вплив реалізація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Сєвєродонецька міська територіальна громада</w:t>
            </w:r>
          </w:p>
        </w:tc>
      </w:tr>
      <w:tr w:rsidR="00E95FB1" w:rsidRPr="001916D0" w:rsidTr="001B3967">
        <w:trPr>
          <w:trHeight w:val="581"/>
        </w:trPr>
        <w:tc>
          <w:tcPr>
            <w:tcW w:w="272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Чисельність населення, на яке матиме вплив реалізація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70000 осіб.</w:t>
            </w:r>
          </w:p>
        </w:tc>
      </w:tr>
      <w:tr w:rsidR="00E95FB1" w:rsidRPr="001916D0" w:rsidTr="001B3967">
        <w:trPr>
          <w:trHeight w:val="1224"/>
        </w:trPr>
        <w:tc>
          <w:tcPr>
            <w:tcW w:w="272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Опис проблеми, на вирішення якої спрямований проект</w:t>
            </w:r>
          </w:p>
        </w:tc>
        <w:tc>
          <w:tcPr>
            <w:tcW w:w="7087" w:type="dxa"/>
            <w:gridSpan w:val="7"/>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Через військову агресію РФ територія Сєвєродонецької міської територіальної громади зазнала значних пошкоджень. Не минуло це і КП «Сєвєродонецьке тролейбусне управління. Практично всі будівлі та споруди підприємства зазнали руйнувань. Для відбудови та сталого розвитку як підприємства</w:t>
            </w:r>
            <w:r w:rsidR="00760658" w:rsidRPr="001916D0">
              <w:rPr>
                <w:rFonts w:eastAsia="Calibri"/>
                <w:color w:val="000000"/>
                <w:sz w:val="22"/>
                <w:szCs w:val="22"/>
              </w:rPr>
              <w:t>,</w:t>
            </w:r>
            <w:r w:rsidRPr="001916D0">
              <w:rPr>
                <w:rFonts w:eastAsia="Calibri"/>
                <w:color w:val="000000"/>
                <w:sz w:val="22"/>
              </w:rPr>
              <w:t xml:space="preserve"> так і громади в цілому є необхідність в ліквідації наслідків руйнувань та проведенні капітального ремонту будівель та споруд підприємства.</w:t>
            </w:r>
          </w:p>
        </w:tc>
      </w:tr>
      <w:tr w:rsidR="00E95FB1" w:rsidRPr="001916D0" w:rsidTr="001B3967">
        <w:trPr>
          <w:trHeight w:val="528"/>
        </w:trPr>
        <w:tc>
          <w:tcPr>
            <w:tcW w:w="272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Очікувані якісні результати від реалізації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E95FB1" w:rsidRPr="001916D0" w:rsidRDefault="00E95FB1" w:rsidP="000303D7">
            <w:pPr>
              <w:pStyle w:val="a7"/>
              <w:numPr>
                <w:ilvl w:val="0"/>
                <w:numId w:val="73"/>
              </w:numPr>
              <w:autoSpaceDE w:val="0"/>
              <w:autoSpaceDN w:val="0"/>
              <w:adjustRightInd w:val="0"/>
              <w:jc w:val="left"/>
              <w:rPr>
                <w:rFonts w:eastAsia="Calibri"/>
                <w:color w:val="000000"/>
                <w:sz w:val="22"/>
              </w:rPr>
            </w:pPr>
            <w:r w:rsidRPr="001916D0">
              <w:rPr>
                <w:rFonts w:eastAsia="Calibri"/>
                <w:color w:val="000000"/>
                <w:sz w:val="22"/>
              </w:rPr>
              <w:t>Відновлення роботи підприємства</w:t>
            </w:r>
            <w:r w:rsidR="00760658" w:rsidRPr="001916D0">
              <w:rPr>
                <w:rFonts w:eastAsia="Calibri"/>
                <w:color w:val="000000"/>
                <w:sz w:val="22"/>
                <w:szCs w:val="22"/>
              </w:rPr>
              <w:t>.</w:t>
            </w:r>
          </w:p>
          <w:p w:rsidR="00E95FB1" w:rsidRPr="001916D0" w:rsidRDefault="00E95FB1" w:rsidP="000303D7">
            <w:pPr>
              <w:pStyle w:val="a7"/>
              <w:numPr>
                <w:ilvl w:val="0"/>
                <w:numId w:val="73"/>
              </w:numPr>
              <w:autoSpaceDE w:val="0"/>
              <w:autoSpaceDN w:val="0"/>
              <w:adjustRightInd w:val="0"/>
              <w:jc w:val="left"/>
              <w:rPr>
                <w:rFonts w:eastAsia="Calibri"/>
                <w:color w:val="000000"/>
                <w:sz w:val="22"/>
              </w:rPr>
            </w:pPr>
            <w:r w:rsidRPr="001916D0">
              <w:rPr>
                <w:rFonts w:eastAsia="Calibri"/>
                <w:color w:val="000000"/>
                <w:sz w:val="22"/>
              </w:rPr>
              <w:t>Надання якісних послуг населенню громади</w:t>
            </w:r>
            <w:r w:rsidR="00760658" w:rsidRPr="001916D0">
              <w:rPr>
                <w:rFonts w:eastAsia="Calibri"/>
                <w:color w:val="000000"/>
                <w:sz w:val="22"/>
                <w:szCs w:val="22"/>
              </w:rPr>
              <w:t>.</w:t>
            </w:r>
          </w:p>
          <w:p w:rsidR="00E95FB1" w:rsidRPr="001916D0" w:rsidRDefault="00E95FB1" w:rsidP="000303D7">
            <w:pPr>
              <w:pStyle w:val="a7"/>
              <w:numPr>
                <w:ilvl w:val="0"/>
                <w:numId w:val="73"/>
              </w:numPr>
              <w:autoSpaceDE w:val="0"/>
              <w:autoSpaceDN w:val="0"/>
              <w:adjustRightInd w:val="0"/>
              <w:jc w:val="left"/>
              <w:rPr>
                <w:rFonts w:eastAsia="Calibri"/>
                <w:color w:val="000000"/>
                <w:sz w:val="22"/>
              </w:rPr>
            </w:pPr>
            <w:r w:rsidRPr="001916D0">
              <w:rPr>
                <w:rFonts w:eastAsia="Calibri"/>
                <w:color w:val="000000"/>
                <w:sz w:val="22"/>
              </w:rPr>
              <w:t>Створення комфортних умов праці робітників підприємства</w:t>
            </w:r>
            <w:r w:rsidR="00760658" w:rsidRPr="001916D0">
              <w:rPr>
                <w:rFonts w:eastAsia="Calibri"/>
                <w:color w:val="000000"/>
                <w:sz w:val="22"/>
                <w:szCs w:val="22"/>
              </w:rPr>
              <w:t>.</w:t>
            </w:r>
          </w:p>
          <w:p w:rsidR="00E95FB1" w:rsidRPr="001916D0" w:rsidRDefault="00E95FB1" w:rsidP="000303D7">
            <w:pPr>
              <w:pStyle w:val="a7"/>
              <w:numPr>
                <w:ilvl w:val="0"/>
                <w:numId w:val="73"/>
              </w:numPr>
              <w:autoSpaceDE w:val="0"/>
              <w:autoSpaceDN w:val="0"/>
              <w:adjustRightInd w:val="0"/>
              <w:jc w:val="left"/>
              <w:rPr>
                <w:rFonts w:eastAsia="Calibri"/>
                <w:color w:val="000000"/>
                <w:sz w:val="22"/>
              </w:rPr>
            </w:pPr>
            <w:r w:rsidRPr="001916D0">
              <w:rPr>
                <w:rFonts w:eastAsia="Calibri"/>
                <w:color w:val="000000"/>
                <w:sz w:val="22"/>
              </w:rPr>
              <w:t>Стимул для повернення ВПО до громади</w:t>
            </w:r>
            <w:r w:rsidR="00760658" w:rsidRPr="001916D0">
              <w:rPr>
                <w:rFonts w:eastAsia="Calibri"/>
                <w:color w:val="000000"/>
                <w:sz w:val="22"/>
                <w:szCs w:val="22"/>
              </w:rPr>
              <w:t>.</w:t>
            </w:r>
          </w:p>
          <w:p w:rsidR="00E95FB1" w:rsidRPr="001916D0" w:rsidRDefault="00E95FB1" w:rsidP="00760658">
            <w:pPr>
              <w:pStyle w:val="a7"/>
              <w:numPr>
                <w:ilvl w:val="0"/>
                <w:numId w:val="73"/>
              </w:numPr>
              <w:autoSpaceDE w:val="0"/>
              <w:autoSpaceDN w:val="0"/>
              <w:adjustRightInd w:val="0"/>
              <w:jc w:val="left"/>
              <w:rPr>
                <w:rFonts w:eastAsia="Calibri"/>
                <w:color w:val="000000"/>
                <w:sz w:val="22"/>
              </w:rPr>
            </w:pPr>
            <w:r w:rsidRPr="001916D0">
              <w:rPr>
                <w:rFonts w:eastAsia="Calibri"/>
                <w:color w:val="000000"/>
                <w:sz w:val="22"/>
              </w:rPr>
              <w:t>Створення нових робочих місць</w:t>
            </w:r>
            <w:r w:rsidR="00760658" w:rsidRPr="001916D0">
              <w:rPr>
                <w:rFonts w:eastAsia="Calibri"/>
                <w:color w:val="000000"/>
                <w:sz w:val="22"/>
                <w:szCs w:val="22"/>
              </w:rPr>
              <w:t>.</w:t>
            </w:r>
          </w:p>
        </w:tc>
      </w:tr>
      <w:tr w:rsidR="00E95FB1" w:rsidRPr="001916D0" w:rsidTr="001B3967">
        <w:trPr>
          <w:trHeight w:val="581"/>
        </w:trPr>
        <w:tc>
          <w:tcPr>
            <w:tcW w:w="272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Очікувані кількісні результати від реалізації проекту  (індикатори)</w:t>
            </w:r>
          </w:p>
        </w:tc>
        <w:tc>
          <w:tcPr>
            <w:tcW w:w="3685" w:type="dxa"/>
            <w:gridSpan w:val="3"/>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b/>
                <w:color w:val="000000"/>
                <w:sz w:val="22"/>
              </w:rPr>
            </w:pPr>
            <w:r w:rsidRPr="001916D0">
              <w:rPr>
                <w:rFonts w:eastAsia="Calibri"/>
                <w:b/>
                <w:color w:val="000000"/>
                <w:sz w:val="22"/>
              </w:rPr>
              <w:t>Найменування показника</w:t>
            </w:r>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b/>
                <w:color w:val="000000"/>
                <w:sz w:val="22"/>
              </w:rPr>
            </w:pPr>
            <w:r w:rsidRPr="001916D0">
              <w:rPr>
                <w:rFonts w:eastAsia="Calibri"/>
                <w:b/>
                <w:color w:val="000000"/>
                <w:sz w:val="22"/>
              </w:rPr>
              <w:t>Одиниця вимірювання</w:t>
            </w:r>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b/>
                <w:color w:val="000000"/>
                <w:sz w:val="22"/>
              </w:rPr>
            </w:pPr>
            <w:r w:rsidRPr="001916D0">
              <w:rPr>
                <w:rFonts w:eastAsia="Calibri"/>
                <w:b/>
                <w:color w:val="000000"/>
                <w:sz w:val="22"/>
              </w:rPr>
              <w:t>Прогнозне (цільове) значення</w:t>
            </w:r>
          </w:p>
        </w:tc>
      </w:tr>
      <w:tr w:rsidR="00E95FB1" w:rsidRPr="001916D0" w:rsidTr="001B3967">
        <w:trPr>
          <w:trHeight w:val="290"/>
        </w:trPr>
        <w:tc>
          <w:tcPr>
            <w:tcW w:w="272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jc w:val="right"/>
              <w:rPr>
                <w:rFonts w:eastAsia="Calibri"/>
                <w:b/>
                <w:color w:val="000000"/>
                <w:sz w:val="22"/>
              </w:rPr>
            </w:pPr>
          </w:p>
        </w:tc>
        <w:tc>
          <w:tcPr>
            <w:tcW w:w="3685" w:type="dxa"/>
            <w:gridSpan w:val="3"/>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proofErr w:type="spellStart"/>
            <w:r w:rsidRPr="001916D0">
              <w:rPr>
                <w:rFonts w:eastAsia="Calibri"/>
                <w:color w:val="000000"/>
                <w:sz w:val="22"/>
              </w:rPr>
              <w:t>Капітально</w:t>
            </w:r>
            <w:proofErr w:type="spellEnd"/>
            <w:r w:rsidRPr="001916D0">
              <w:rPr>
                <w:rFonts w:eastAsia="Calibri"/>
                <w:color w:val="000000"/>
                <w:sz w:val="22"/>
              </w:rPr>
              <w:t xml:space="preserve"> відремонтоване приміщення адміністративного корпусу підприємства, розташованого за </w:t>
            </w:r>
            <w:proofErr w:type="spellStart"/>
            <w:r w:rsidRPr="001916D0">
              <w:rPr>
                <w:rFonts w:eastAsia="Calibri"/>
                <w:color w:val="000000"/>
                <w:sz w:val="22"/>
              </w:rPr>
              <w:t>адресою</w:t>
            </w:r>
            <w:proofErr w:type="spellEnd"/>
            <w:r w:rsidRPr="001916D0">
              <w:rPr>
                <w:rFonts w:eastAsia="Calibri"/>
                <w:color w:val="000000"/>
                <w:sz w:val="22"/>
              </w:rPr>
              <w:t xml:space="preserve"> м. Сєвєродонецьк, шосе Будівельників, 27</w:t>
            </w:r>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 xml:space="preserve">м. </w:t>
            </w:r>
            <w:proofErr w:type="spellStart"/>
            <w:r w:rsidRPr="001916D0">
              <w:rPr>
                <w:rFonts w:eastAsia="Calibri"/>
                <w:color w:val="000000"/>
                <w:sz w:val="22"/>
              </w:rPr>
              <w:t>кв</w:t>
            </w:r>
            <w:proofErr w:type="spellEnd"/>
            <w:r w:rsidRPr="001916D0">
              <w:rPr>
                <w:rFonts w:eastAsia="Calibri"/>
                <w:color w:val="000000"/>
                <w:sz w:val="22"/>
              </w:rPr>
              <w:t>.</w:t>
            </w:r>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3642,8</w:t>
            </w:r>
          </w:p>
        </w:tc>
      </w:tr>
      <w:tr w:rsidR="00E95FB1" w:rsidRPr="001916D0" w:rsidTr="001B3967">
        <w:trPr>
          <w:trHeight w:val="290"/>
        </w:trPr>
        <w:tc>
          <w:tcPr>
            <w:tcW w:w="272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jc w:val="right"/>
              <w:rPr>
                <w:rFonts w:eastAsia="Calibri"/>
                <w:b/>
                <w:color w:val="000000"/>
                <w:sz w:val="22"/>
              </w:rPr>
            </w:pPr>
          </w:p>
        </w:tc>
        <w:tc>
          <w:tcPr>
            <w:tcW w:w="3685" w:type="dxa"/>
            <w:gridSpan w:val="3"/>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proofErr w:type="spellStart"/>
            <w:r w:rsidRPr="001916D0">
              <w:rPr>
                <w:rFonts w:eastAsia="Calibri"/>
                <w:color w:val="000000"/>
                <w:sz w:val="22"/>
              </w:rPr>
              <w:t>Капітально</w:t>
            </w:r>
            <w:proofErr w:type="spellEnd"/>
            <w:r w:rsidRPr="001916D0">
              <w:rPr>
                <w:rFonts w:eastAsia="Calibri"/>
                <w:color w:val="000000"/>
                <w:sz w:val="22"/>
              </w:rPr>
              <w:t xml:space="preserve"> відремонтоване приміщення головного корпусу підприємства, розташованого за </w:t>
            </w:r>
            <w:proofErr w:type="spellStart"/>
            <w:r w:rsidRPr="001916D0">
              <w:rPr>
                <w:rFonts w:eastAsia="Calibri"/>
                <w:color w:val="000000"/>
                <w:sz w:val="22"/>
              </w:rPr>
              <w:t>адресою</w:t>
            </w:r>
            <w:proofErr w:type="spellEnd"/>
            <w:r w:rsidRPr="001916D0">
              <w:rPr>
                <w:rFonts w:eastAsia="Calibri"/>
                <w:color w:val="000000"/>
                <w:sz w:val="22"/>
              </w:rPr>
              <w:t xml:space="preserve"> м. Сєвєродонецьк, шосе Будівельників, 27</w:t>
            </w:r>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 xml:space="preserve">м. </w:t>
            </w:r>
            <w:proofErr w:type="spellStart"/>
            <w:r w:rsidRPr="001916D0">
              <w:rPr>
                <w:rFonts w:eastAsia="Calibri"/>
                <w:color w:val="000000"/>
                <w:sz w:val="22"/>
              </w:rPr>
              <w:t>кв</w:t>
            </w:r>
            <w:proofErr w:type="spellEnd"/>
            <w:r w:rsidRPr="001916D0">
              <w:rPr>
                <w:rFonts w:eastAsia="Calibri"/>
                <w:color w:val="000000"/>
                <w:sz w:val="22"/>
              </w:rPr>
              <w:t>.</w:t>
            </w:r>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5822,6</w:t>
            </w:r>
          </w:p>
        </w:tc>
      </w:tr>
      <w:tr w:rsidR="00E95FB1" w:rsidRPr="001916D0" w:rsidTr="001B3967">
        <w:trPr>
          <w:trHeight w:val="290"/>
        </w:trPr>
        <w:tc>
          <w:tcPr>
            <w:tcW w:w="272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jc w:val="right"/>
              <w:rPr>
                <w:rFonts w:eastAsia="Calibri"/>
                <w:b/>
                <w:color w:val="000000"/>
                <w:sz w:val="22"/>
              </w:rPr>
            </w:pPr>
          </w:p>
        </w:tc>
        <w:tc>
          <w:tcPr>
            <w:tcW w:w="3685" w:type="dxa"/>
            <w:gridSpan w:val="3"/>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proofErr w:type="spellStart"/>
            <w:r w:rsidRPr="001916D0">
              <w:rPr>
                <w:rFonts w:eastAsia="Calibri"/>
                <w:color w:val="000000"/>
                <w:sz w:val="22"/>
              </w:rPr>
              <w:t>Капітально</w:t>
            </w:r>
            <w:proofErr w:type="spellEnd"/>
            <w:r w:rsidRPr="001916D0">
              <w:rPr>
                <w:rFonts w:eastAsia="Calibri"/>
                <w:color w:val="000000"/>
                <w:sz w:val="22"/>
              </w:rPr>
              <w:t xml:space="preserve"> відремонтована будівля диспетчерської служби підприємства, розташованого за </w:t>
            </w:r>
            <w:proofErr w:type="spellStart"/>
            <w:r w:rsidRPr="001916D0">
              <w:rPr>
                <w:rFonts w:eastAsia="Calibri"/>
                <w:color w:val="000000"/>
                <w:sz w:val="22"/>
              </w:rPr>
              <w:t>адресою</w:t>
            </w:r>
            <w:proofErr w:type="spellEnd"/>
            <w:r w:rsidRPr="001916D0">
              <w:rPr>
                <w:rFonts w:eastAsia="Calibri"/>
                <w:color w:val="000000"/>
                <w:sz w:val="22"/>
              </w:rPr>
              <w:t xml:space="preserve"> м. Сєвєродонецьк, шосе Будівельників, 27</w:t>
            </w:r>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 xml:space="preserve">м. </w:t>
            </w:r>
            <w:proofErr w:type="spellStart"/>
            <w:r w:rsidRPr="001916D0">
              <w:rPr>
                <w:rFonts w:eastAsia="Calibri"/>
                <w:color w:val="000000"/>
                <w:sz w:val="22"/>
              </w:rPr>
              <w:t>кв</w:t>
            </w:r>
            <w:proofErr w:type="spellEnd"/>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297</w:t>
            </w:r>
          </w:p>
        </w:tc>
      </w:tr>
      <w:tr w:rsidR="00E95FB1" w:rsidRPr="001916D0" w:rsidTr="001B3967">
        <w:trPr>
          <w:trHeight w:val="290"/>
        </w:trPr>
        <w:tc>
          <w:tcPr>
            <w:tcW w:w="272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jc w:val="right"/>
              <w:rPr>
                <w:rFonts w:eastAsia="Calibri"/>
                <w:b/>
                <w:color w:val="000000"/>
                <w:sz w:val="22"/>
              </w:rPr>
            </w:pPr>
          </w:p>
        </w:tc>
        <w:tc>
          <w:tcPr>
            <w:tcW w:w="3685" w:type="dxa"/>
            <w:gridSpan w:val="3"/>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proofErr w:type="spellStart"/>
            <w:r w:rsidRPr="001916D0">
              <w:rPr>
                <w:rFonts w:eastAsia="Calibri"/>
                <w:color w:val="000000"/>
                <w:sz w:val="22"/>
              </w:rPr>
              <w:t>Капітально</w:t>
            </w:r>
            <w:proofErr w:type="spellEnd"/>
            <w:r w:rsidRPr="001916D0">
              <w:rPr>
                <w:rFonts w:eastAsia="Calibri"/>
                <w:color w:val="000000"/>
                <w:sz w:val="22"/>
              </w:rPr>
              <w:t xml:space="preserve"> відремонтоване будівля енергогосподарства підприємства, </w:t>
            </w:r>
            <w:r w:rsidRPr="001916D0">
              <w:rPr>
                <w:rFonts w:eastAsia="Calibri"/>
                <w:color w:val="000000"/>
                <w:sz w:val="22"/>
              </w:rPr>
              <w:lastRenderedPageBreak/>
              <w:t xml:space="preserve">розташованого за </w:t>
            </w:r>
            <w:proofErr w:type="spellStart"/>
            <w:r w:rsidRPr="001916D0">
              <w:rPr>
                <w:rFonts w:eastAsia="Calibri"/>
                <w:color w:val="000000"/>
                <w:sz w:val="22"/>
              </w:rPr>
              <w:t>адресою</w:t>
            </w:r>
            <w:proofErr w:type="spellEnd"/>
            <w:r w:rsidRPr="001916D0">
              <w:rPr>
                <w:rFonts w:eastAsia="Calibri"/>
                <w:color w:val="000000"/>
                <w:sz w:val="22"/>
              </w:rPr>
              <w:t xml:space="preserve"> м. Сєвєродонецьк, шосе Будівельників, 27</w:t>
            </w:r>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lastRenderedPageBreak/>
              <w:t xml:space="preserve">м. </w:t>
            </w:r>
            <w:proofErr w:type="spellStart"/>
            <w:r w:rsidRPr="001916D0">
              <w:rPr>
                <w:rFonts w:eastAsia="Calibri"/>
                <w:color w:val="000000"/>
                <w:sz w:val="22"/>
              </w:rPr>
              <w:t>кв</w:t>
            </w:r>
            <w:proofErr w:type="spellEnd"/>
            <w:r w:rsidRPr="001916D0">
              <w:rPr>
                <w:rFonts w:eastAsia="Calibri"/>
                <w:color w:val="000000"/>
                <w:sz w:val="22"/>
              </w:rPr>
              <w:t>.</w:t>
            </w:r>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657</w:t>
            </w:r>
          </w:p>
        </w:tc>
      </w:tr>
      <w:tr w:rsidR="00E95FB1" w:rsidRPr="001916D0" w:rsidTr="001B3967">
        <w:trPr>
          <w:trHeight w:val="290"/>
        </w:trPr>
        <w:tc>
          <w:tcPr>
            <w:tcW w:w="272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jc w:val="right"/>
              <w:rPr>
                <w:rFonts w:eastAsia="Calibri"/>
                <w:b/>
                <w:color w:val="000000"/>
                <w:sz w:val="22"/>
              </w:rPr>
            </w:pPr>
          </w:p>
        </w:tc>
        <w:tc>
          <w:tcPr>
            <w:tcW w:w="3685" w:type="dxa"/>
            <w:gridSpan w:val="3"/>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proofErr w:type="spellStart"/>
            <w:r w:rsidRPr="001916D0">
              <w:rPr>
                <w:rFonts w:eastAsia="Calibri"/>
                <w:color w:val="000000"/>
                <w:sz w:val="22"/>
              </w:rPr>
              <w:t>Капітально</w:t>
            </w:r>
            <w:proofErr w:type="spellEnd"/>
            <w:r w:rsidRPr="001916D0">
              <w:rPr>
                <w:rFonts w:eastAsia="Calibri"/>
                <w:color w:val="000000"/>
                <w:sz w:val="22"/>
              </w:rPr>
              <w:t xml:space="preserve"> відремонтована  тягова підстанція ПС – 1</w:t>
            </w:r>
            <w:r w:rsidR="00C21AA4" w:rsidRPr="001916D0">
              <w:rPr>
                <w:rFonts w:eastAsia="Calibri"/>
                <w:color w:val="000000"/>
                <w:sz w:val="22"/>
                <w:szCs w:val="22"/>
              </w:rPr>
              <w:t>,</w:t>
            </w:r>
            <w:r w:rsidRPr="001916D0">
              <w:rPr>
                <w:rFonts w:eastAsia="Calibri"/>
                <w:color w:val="000000"/>
                <w:sz w:val="22"/>
              </w:rPr>
              <w:t xml:space="preserve"> розташованої за </w:t>
            </w:r>
            <w:proofErr w:type="spellStart"/>
            <w:r w:rsidRPr="001916D0">
              <w:rPr>
                <w:rFonts w:eastAsia="Calibri"/>
                <w:color w:val="000000"/>
                <w:sz w:val="22"/>
              </w:rPr>
              <w:t>адресою</w:t>
            </w:r>
            <w:proofErr w:type="spellEnd"/>
            <w:r w:rsidRPr="001916D0">
              <w:rPr>
                <w:rFonts w:eastAsia="Calibri"/>
                <w:color w:val="000000"/>
                <w:sz w:val="22"/>
              </w:rPr>
              <w:tab/>
              <w:t xml:space="preserve">м. Сєвєродонецьк </w:t>
            </w:r>
            <w:proofErr w:type="spellStart"/>
            <w:r w:rsidRPr="001916D0">
              <w:rPr>
                <w:rFonts w:eastAsia="Calibri"/>
                <w:color w:val="000000"/>
                <w:sz w:val="22"/>
              </w:rPr>
              <w:t>пр-кт</w:t>
            </w:r>
            <w:proofErr w:type="spellEnd"/>
            <w:r w:rsidRPr="001916D0">
              <w:rPr>
                <w:rFonts w:eastAsia="Calibri"/>
                <w:color w:val="000000"/>
                <w:sz w:val="22"/>
              </w:rPr>
              <w:t xml:space="preserve"> Хіміків 2а</w:t>
            </w:r>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одиниць</w:t>
            </w:r>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1</w:t>
            </w:r>
          </w:p>
        </w:tc>
      </w:tr>
      <w:tr w:rsidR="00E95FB1" w:rsidRPr="001916D0" w:rsidTr="001B3967">
        <w:trPr>
          <w:trHeight w:val="290"/>
        </w:trPr>
        <w:tc>
          <w:tcPr>
            <w:tcW w:w="272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jc w:val="right"/>
              <w:rPr>
                <w:rFonts w:eastAsia="Calibri"/>
                <w:b/>
                <w:color w:val="000000"/>
                <w:sz w:val="22"/>
              </w:rPr>
            </w:pPr>
          </w:p>
        </w:tc>
        <w:tc>
          <w:tcPr>
            <w:tcW w:w="3685" w:type="dxa"/>
            <w:gridSpan w:val="3"/>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proofErr w:type="spellStart"/>
            <w:r w:rsidRPr="001916D0">
              <w:rPr>
                <w:rFonts w:eastAsia="Calibri"/>
                <w:color w:val="000000"/>
                <w:sz w:val="22"/>
              </w:rPr>
              <w:t>Капітально</w:t>
            </w:r>
            <w:proofErr w:type="spellEnd"/>
            <w:r w:rsidRPr="001916D0">
              <w:rPr>
                <w:rFonts w:eastAsia="Calibri"/>
                <w:color w:val="000000"/>
                <w:sz w:val="22"/>
              </w:rPr>
              <w:t xml:space="preserve"> відремонтована тягова підстанція ПС – 2</w:t>
            </w:r>
            <w:r w:rsidR="00C21AA4" w:rsidRPr="001916D0">
              <w:rPr>
                <w:rFonts w:eastAsia="Calibri"/>
                <w:color w:val="000000"/>
                <w:sz w:val="22"/>
                <w:szCs w:val="22"/>
              </w:rPr>
              <w:t>,</w:t>
            </w:r>
            <w:r w:rsidRPr="001916D0">
              <w:rPr>
                <w:rFonts w:eastAsia="Calibri"/>
                <w:color w:val="000000"/>
                <w:sz w:val="22"/>
              </w:rPr>
              <w:t xml:space="preserve"> розташованої за </w:t>
            </w:r>
            <w:proofErr w:type="spellStart"/>
            <w:r w:rsidRPr="001916D0">
              <w:rPr>
                <w:rFonts w:eastAsia="Calibri"/>
                <w:color w:val="000000"/>
                <w:sz w:val="22"/>
              </w:rPr>
              <w:t>адресою</w:t>
            </w:r>
            <w:proofErr w:type="spellEnd"/>
            <w:r w:rsidRPr="001916D0">
              <w:rPr>
                <w:rFonts w:eastAsia="Calibri"/>
                <w:color w:val="000000"/>
                <w:sz w:val="22"/>
              </w:rPr>
              <w:tab/>
              <w:t xml:space="preserve">м. Сєвєродонецьк вул. </w:t>
            </w:r>
            <w:proofErr w:type="spellStart"/>
            <w:r w:rsidRPr="001916D0">
              <w:rPr>
                <w:rFonts w:eastAsia="Calibri"/>
                <w:color w:val="000000"/>
                <w:sz w:val="22"/>
              </w:rPr>
              <w:t>Мєндєлєєва</w:t>
            </w:r>
            <w:proofErr w:type="spellEnd"/>
            <w:r w:rsidRPr="001916D0">
              <w:rPr>
                <w:rFonts w:eastAsia="Calibri"/>
                <w:color w:val="000000"/>
                <w:sz w:val="22"/>
              </w:rPr>
              <w:t xml:space="preserve"> 43а</w:t>
            </w:r>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одиниць</w:t>
            </w:r>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1</w:t>
            </w:r>
          </w:p>
        </w:tc>
      </w:tr>
      <w:tr w:rsidR="00E95FB1" w:rsidRPr="001916D0" w:rsidTr="001B3967">
        <w:trPr>
          <w:trHeight w:val="290"/>
        </w:trPr>
        <w:tc>
          <w:tcPr>
            <w:tcW w:w="272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jc w:val="right"/>
              <w:rPr>
                <w:rFonts w:eastAsia="Calibri"/>
                <w:b/>
                <w:color w:val="000000"/>
                <w:sz w:val="22"/>
              </w:rPr>
            </w:pPr>
          </w:p>
        </w:tc>
        <w:tc>
          <w:tcPr>
            <w:tcW w:w="3685" w:type="dxa"/>
            <w:gridSpan w:val="3"/>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proofErr w:type="spellStart"/>
            <w:r w:rsidRPr="001916D0">
              <w:rPr>
                <w:rFonts w:eastAsia="Calibri"/>
                <w:color w:val="000000"/>
                <w:sz w:val="22"/>
              </w:rPr>
              <w:t>Капітально</w:t>
            </w:r>
            <w:proofErr w:type="spellEnd"/>
            <w:r w:rsidRPr="001916D0">
              <w:rPr>
                <w:rFonts w:eastAsia="Calibri"/>
                <w:color w:val="000000"/>
                <w:sz w:val="22"/>
              </w:rPr>
              <w:t xml:space="preserve"> відремонтована тягова підстанція ПС – 3</w:t>
            </w:r>
            <w:r w:rsidR="00C21AA4" w:rsidRPr="001916D0">
              <w:rPr>
                <w:rFonts w:eastAsia="Calibri"/>
                <w:color w:val="000000"/>
                <w:sz w:val="22"/>
                <w:szCs w:val="22"/>
              </w:rPr>
              <w:t>,</w:t>
            </w:r>
            <w:r w:rsidRPr="001916D0">
              <w:rPr>
                <w:rFonts w:eastAsia="Calibri"/>
                <w:color w:val="000000"/>
                <w:sz w:val="22"/>
              </w:rPr>
              <w:t xml:space="preserve"> розташованої за </w:t>
            </w:r>
            <w:proofErr w:type="spellStart"/>
            <w:r w:rsidRPr="001916D0">
              <w:rPr>
                <w:rFonts w:eastAsia="Calibri"/>
                <w:color w:val="000000"/>
                <w:sz w:val="22"/>
              </w:rPr>
              <w:t>адресою</w:t>
            </w:r>
            <w:proofErr w:type="spellEnd"/>
            <w:r w:rsidRPr="001916D0">
              <w:rPr>
                <w:rFonts w:eastAsia="Calibri"/>
                <w:color w:val="000000"/>
                <w:sz w:val="22"/>
              </w:rPr>
              <w:tab/>
              <w:t>м. Сєвєродонецьк вул. Курчатова, 18</w:t>
            </w:r>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одиниць</w:t>
            </w:r>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1</w:t>
            </w:r>
          </w:p>
        </w:tc>
      </w:tr>
      <w:tr w:rsidR="00E95FB1" w:rsidRPr="001916D0" w:rsidTr="001B3967">
        <w:trPr>
          <w:trHeight w:val="290"/>
        </w:trPr>
        <w:tc>
          <w:tcPr>
            <w:tcW w:w="272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jc w:val="right"/>
              <w:rPr>
                <w:rFonts w:eastAsia="Calibri"/>
                <w:b/>
                <w:color w:val="000000"/>
                <w:sz w:val="22"/>
              </w:rPr>
            </w:pPr>
          </w:p>
        </w:tc>
        <w:tc>
          <w:tcPr>
            <w:tcW w:w="3685" w:type="dxa"/>
            <w:gridSpan w:val="3"/>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proofErr w:type="spellStart"/>
            <w:r w:rsidRPr="001916D0">
              <w:rPr>
                <w:rFonts w:eastAsia="Calibri"/>
                <w:color w:val="000000"/>
                <w:sz w:val="22"/>
              </w:rPr>
              <w:t>Капітально</w:t>
            </w:r>
            <w:proofErr w:type="spellEnd"/>
            <w:r w:rsidRPr="001916D0">
              <w:rPr>
                <w:rFonts w:eastAsia="Calibri"/>
                <w:color w:val="000000"/>
                <w:sz w:val="22"/>
              </w:rPr>
              <w:t xml:space="preserve"> відремонтована тягова підстанція ПС – 4</w:t>
            </w:r>
            <w:r w:rsidR="00C21AA4" w:rsidRPr="001916D0">
              <w:rPr>
                <w:rFonts w:eastAsia="Calibri"/>
                <w:color w:val="000000"/>
                <w:sz w:val="22"/>
                <w:szCs w:val="22"/>
              </w:rPr>
              <w:t>,</w:t>
            </w:r>
            <w:r w:rsidRPr="001916D0">
              <w:rPr>
                <w:rFonts w:eastAsia="Calibri"/>
                <w:color w:val="000000"/>
                <w:sz w:val="22"/>
              </w:rPr>
              <w:t xml:space="preserve"> розташованої за </w:t>
            </w:r>
            <w:proofErr w:type="spellStart"/>
            <w:r w:rsidRPr="001916D0">
              <w:rPr>
                <w:rFonts w:eastAsia="Calibri"/>
                <w:color w:val="000000"/>
                <w:sz w:val="22"/>
              </w:rPr>
              <w:t>адресою</w:t>
            </w:r>
            <w:proofErr w:type="spellEnd"/>
            <w:r w:rsidRPr="001916D0">
              <w:rPr>
                <w:rFonts w:eastAsia="Calibri"/>
                <w:color w:val="000000"/>
                <w:sz w:val="22"/>
              </w:rPr>
              <w:tab/>
              <w:t>м. Сєвєродонецьк вул. Новікова, 8</w:t>
            </w:r>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одиниць</w:t>
            </w:r>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1</w:t>
            </w:r>
          </w:p>
        </w:tc>
      </w:tr>
      <w:tr w:rsidR="00E95FB1" w:rsidRPr="001916D0" w:rsidTr="001B3967">
        <w:trPr>
          <w:trHeight w:val="290"/>
        </w:trPr>
        <w:tc>
          <w:tcPr>
            <w:tcW w:w="272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jc w:val="right"/>
              <w:rPr>
                <w:rFonts w:eastAsia="Calibri"/>
                <w:b/>
                <w:color w:val="000000"/>
                <w:sz w:val="22"/>
              </w:rPr>
            </w:pPr>
          </w:p>
        </w:tc>
        <w:tc>
          <w:tcPr>
            <w:tcW w:w="3685" w:type="dxa"/>
            <w:gridSpan w:val="3"/>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proofErr w:type="spellStart"/>
            <w:r w:rsidRPr="001916D0">
              <w:rPr>
                <w:rFonts w:eastAsia="Calibri"/>
                <w:color w:val="000000"/>
                <w:sz w:val="22"/>
              </w:rPr>
              <w:t>Капітально</w:t>
            </w:r>
            <w:proofErr w:type="spellEnd"/>
            <w:r w:rsidRPr="001916D0">
              <w:rPr>
                <w:rFonts w:eastAsia="Calibri"/>
                <w:color w:val="000000"/>
                <w:sz w:val="22"/>
              </w:rPr>
              <w:t xml:space="preserve"> відремонтована  тягова підстанція ПС – 5</w:t>
            </w:r>
            <w:r w:rsidR="00C21AA4" w:rsidRPr="001916D0">
              <w:rPr>
                <w:rFonts w:eastAsia="Calibri"/>
                <w:color w:val="000000"/>
                <w:sz w:val="22"/>
                <w:szCs w:val="22"/>
              </w:rPr>
              <w:t>,</w:t>
            </w:r>
            <w:r w:rsidRPr="001916D0">
              <w:rPr>
                <w:rFonts w:eastAsia="Calibri"/>
                <w:color w:val="000000"/>
                <w:sz w:val="22"/>
              </w:rPr>
              <w:t xml:space="preserve"> розташованої за </w:t>
            </w:r>
            <w:proofErr w:type="spellStart"/>
            <w:r w:rsidRPr="001916D0">
              <w:rPr>
                <w:rFonts w:eastAsia="Calibri"/>
                <w:color w:val="000000"/>
                <w:sz w:val="22"/>
              </w:rPr>
              <w:t>адресою</w:t>
            </w:r>
            <w:proofErr w:type="spellEnd"/>
            <w:r w:rsidRPr="001916D0">
              <w:rPr>
                <w:rFonts w:eastAsia="Calibri"/>
                <w:color w:val="000000"/>
                <w:sz w:val="22"/>
              </w:rPr>
              <w:tab/>
              <w:t>м. Сєвєродонецьк вул. Промислова, 42</w:t>
            </w:r>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одиниць</w:t>
            </w:r>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1</w:t>
            </w:r>
          </w:p>
        </w:tc>
      </w:tr>
      <w:tr w:rsidR="00E95FB1" w:rsidRPr="001916D0" w:rsidTr="001B3967">
        <w:trPr>
          <w:trHeight w:val="290"/>
        </w:trPr>
        <w:tc>
          <w:tcPr>
            <w:tcW w:w="272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jc w:val="right"/>
              <w:rPr>
                <w:rFonts w:eastAsia="Calibri"/>
                <w:b/>
                <w:color w:val="000000"/>
                <w:sz w:val="22"/>
              </w:rPr>
            </w:pPr>
          </w:p>
        </w:tc>
        <w:tc>
          <w:tcPr>
            <w:tcW w:w="3685" w:type="dxa"/>
            <w:gridSpan w:val="3"/>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proofErr w:type="spellStart"/>
            <w:r w:rsidRPr="001916D0">
              <w:rPr>
                <w:rFonts w:eastAsia="Calibri"/>
                <w:color w:val="000000"/>
                <w:sz w:val="22"/>
              </w:rPr>
              <w:t>Капітально</w:t>
            </w:r>
            <w:proofErr w:type="spellEnd"/>
            <w:r w:rsidRPr="001916D0">
              <w:rPr>
                <w:rFonts w:eastAsia="Calibri"/>
                <w:color w:val="000000"/>
                <w:sz w:val="22"/>
              </w:rPr>
              <w:t xml:space="preserve"> відремонтована тягова підстанція ПС – 6</w:t>
            </w:r>
            <w:r w:rsidR="00C21AA4" w:rsidRPr="001916D0">
              <w:rPr>
                <w:rFonts w:eastAsia="Calibri"/>
                <w:color w:val="000000"/>
                <w:sz w:val="22"/>
                <w:szCs w:val="22"/>
              </w:rPr>
              <w:t>,</w:t>
            </w:r>
            <w:r w:rsidRPr="001916D0">
              <w:rPr>
                <w:rFonts w:eastAsia="Calibri"/>
                <w:color w:val="000000"/>
                <w:sz w:val="22"/>
              </w:rPr>
              <w:t xml:space="preserve"> розташованої за адреси </w:t>
            </w:r>
            <w:r w:rsidRPr="001916D0">
              <w:rPr>
                <w:rFonts w:eastAsia="Calibri"/>
                <w:color w:val="000000"/>
                <w:sz w:val="22"/>
              </w:rPr>
              <w:tab/>
              <w:t>м. Сєвєродонецьк вул. Промислова</w:t>
            </w:r>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одиниць</w:t>
            </w:r>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1</w:t>
            </w:r>
          </w:p>
        </w:tc>
      </w:tr>
      <w:tr w:rsidR="00E95FB1" w:rsidRPr="001916D0" w:rsidTr="001B3967">
        <w:trPr>
          <w:trHeight w:val="290"/>
        </w:trPr>
        <w:tc>
          <w:tcPr>
            <w:tcW w:w="272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jc w:val="right"/>
              <w:rPr>
                <w:rFonts w:eastAsia="Calibri"/>
                <w:b/>
                <w:color w:val="000000"/>
                <w:sz w:val="22"/>
              </w:rPr>
            </w:pPr>
          </w:p>
        </w:tc>
        <w:tc>
          <w:tcPr>
            <w:tcW w:w="3685" w:type="dxa"/>
            <w:gridSpan w:val="3"/>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proofErr w:type="spellStart"/>
            <w:r w:rsidRPr="001916D0">
              <w:rPr>
                <w:rFonts w:eastAsia="Calibri"/>
                <w:color w:val="000000"/>
                <w:sz w:val="22"/>
              </w:rPr>
              <w:t>Капітально</w:t>
            </w:r>
            <w:proofErr w:type="spellEnd"/>
            <w:r w:rsidRPr="001916D0">
              <w:rPr>
                <w:rFonts w:eastAsia="Calibri"/>
                <w:color w:val="000000"/>
                <w:sz w:val="22"/>
              </w:rPr>
              <w:t xml:space="preserve"> відремонтована  тягова підстанція ПС – «Депо</w:t>
            </w:r>
            <w:r w:rsidRPr="001916D0">
              <w:rPr>
                <w:rFonts w:eastAsia="Calibri"/>
                <w:color w:val="000000"/>
                <w:sz w:val="22"/>
                <w:szCs w:val="22"/>
              </w:rPr>
              <w:t>»</w:t>
            </w:r>
            <w:r w:rsidR="00C21AA4" w:rsidRPr="001916D0">
              <w:rPr>
                <w:rFonts w:eastAsia="Calibri"/>
                <w:color w:val="000000"/>
                <w:sz w:val="22"/>
                <w:szCs w:val="22"/>
              </w:rPr>
              <w:t>,</w:t>
            </w:r>
            <w:r w:rsidRPr="001916D0">
              <w:rPr>
                <w:rFonts w:eastAsia="Calibri"/>
                <w:color w:val="000000"/>
                <w:sz w:val="22"/>
              </w:rPr>
              <w:t xml:space="preserve"> розташованої за </w:t>
            </w:r>
            <w:proofErr w:type="spellStart"/>
            <w:r w:rsidRPr="001916D0">
              <w:rPr>
                <w:rFonts w:eastAsia="Calibri"/>
                <w:color w:val="000000"/>
                <w:sz w:val="22"/>
              </w:rPr>
              <w:t>адресою</w:t>
            </w:r>
            <w:proofErr w:type="spellEnd"/>
            <w:r w:rsidRPr="001916D0">
              <w:rPr>
                <w:rFonts w:eastAsia="Calibri"/>
                <w:color w:val="000000"/>
                <w:sz w:val="22"/>
              </w:rPr>
              <w:t xml:space="preserve"> </w:t>
            </w:r>
            <w:r w:rsidRPr="001916D0">
              <w:rPr>
                <w:rFonts w:eastAsia="Calibri"/>
                <w:color w:val="000000"/>
                <w:sz w:val="22"/>
              </w:rPr>
              <w:tab/>
              <w:t>м. Сєвєродонецьк шосе Будівельників, 27</w:t>
            </w:r>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одиниць</w:t>
            </w:r>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1</w:t>
            </w:r>
          </w:p>
        </w:tc>
      </w:tr>
      <w:tr w:rsidR="00E95FB1" w:rsidRPr="001916D0" w:rsidTr="001B3967">
        <w:trPr>
          <w:trHeight w:val="2208"/>
        </w:trPr>
        <w:tc>
          <w:tcPr>
            <w:tcW w:w="2724" w:type="dxa"/>
            <w:tcBorders>
              <w:top w:val="single" w:sz="6" w:space="0" w:color="auto"/>
              <w:left w:val="single" w:sz="6" w:space="0" w:color="auto"/>
              <w:bottom w:val="single" w:sz="4"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Ключові заходи проекту:</w:t>
            </w:r>
          </w:p>
        </w:tc>
        <w:tc>
          <w:tcPr>
            <w:tcW w:w="7087" w:type="dxa"/>
            <w:gridSpan w:val="7"/>
            <w:tcBorders>
              <w:top w:val="single" w:sz="6" w:space="0" w:color="auto"/>
              <w:left w:val="single" w:sz="6" w:space="0" w:color="auto"/>
              <w:bottom w:val="single" w:sz="4" w:space="0" w:color="auto"/>
              <w:right w:val="single" w:sz="6" w:space="0" w:color="auto"/>
            </w:tcBorders>
          </w:tcPr>
          <w:p w:rsidR="00E95FB1" w:rsidRPr="001916D0" w:rsidRDefault="00E95FB1" w:rsidP="000303D7">
            <w:pPr>
              <w:numPr>
                <w:ilvl w:val="0"/>
                <w:numId w:val="72"/>
              </w:numPr>
              <w:autoSpaceDE w:val="0"/>
              <w:autoSpaceDN w:val="0"/>
              <w:adjustRightInd w:val="0"/>
              <w:jc w:val="left"/>
              <w:rPr>
                <w:rFonts w:eastAsia="Calibri"/>
                <w:color w:val="000000"/>
                <w:sz w:val="22"/>
              </w:rPr>
            </w:pPr>
            <w:r w:rsidRPr="001916D0">
              <w:rPr>
                <w:rFonts w:eastAsia="Calibri"/>
                <w:color w:val="000000"/>
                <w:sz w:val="22"/>
              </w:rPr>
              <w:t>Обстеження будівель та споруд та оцінка руйнувань</w:t>
            </w:r>
          </w:p>
          <w:p w:rsidR="00E95FB1" w:rsidRPr="001916D0" w:rsidRDefault="00E95FB1" w:rsidP="000303D7">
            <w:pPr>
              <w:numPr>
                <w:ilvl w:val="0"/>
                <w:numId w:val="72"/>
              </w:numPr>
              <w:autoSpaceDE w:val="0"/>
              <w:autoSpaceDN w:val="0"/>
              <w:adjustRightInd w:val="0"/>
              <w:jc w:val="left"/>
              <w:rPr>
                <w:rFonts w:eastAsia="Calibri"/>
                <w:color w:val="000000"/>
                <w:sz w:val="22"/>
              </w:rPr>
            </w:pPr>
            <w:r w:rsidRPr="001916D0">
              <w:rPr>
                <w:rFonts w:eastAsia="Calibri"/>
                <w:color w:val="000000"/>
                <w:sz w:val="22"/>
              </w:rPr>
              <w:t xml:space="preserve">Розробка </w:t>
            </w:r>
            <w:proofErr w:type="spellStart"/>
            <w:r w:rsidRPr="001916D0">
              <w:rPr>
                <w:rFonts w:eastAsia="Calibri"/>
                <w:color w:val="000000"/>
                <w:sz w:val="22"/>
                <w:szCs w:val="22"/>
              </w:rPr>
              <w:t>про</w:t>
            </w:r>
            <w:r w:rsidR="00A508E8">
              <w:rPr>
                <w:rFonts w:eastAsia="Calibri"/>
                <w:color w:val="000000"/>
                <w:sz w:val="22"/>
                <w:szCs w:val="22"/>
              </w:rPr>
              <w:t>є</w:t>
            </w:r>
            <w:r w:rsidRPr="001916D0">
              <w:rPr>
                <w:rFonts w:eastAsia="Calibri"/>
                <w:color w:val="000000"/>
                <w:sz w:val="22"/>
                <w:szCs w:val="22"/>
              </w:rPr>
              <w:t>ктно</w:t>
            </w:r>
            <w:proofErr w:type="spellEnd"/>
            <w:r w:rsidRPr="001916D0">
              <w:rPr>
                <w:rFonts w:eastAsia="Calibri"/>
                <w:color w:val="000000"/>
                <w:sz w:val="22"/>
              </w:rPr>
              <w:t xml:space="preserve"> – кошторисної документації</w:t>
            </w:r>
          </w:p>
          <w:p w:rsidR="00E95FB1" w:rsidRPr="001916D0" w:rsidRDefault="00E95FB1" w:rsidP="000303D7">
            <w:pPr>
              <w:pStyle w:val="a7"/>
              <w:numPr>
                <w:ilvl w:val="0"/>
                <w:numId w:val="72"/>
              </w:numPr>
              <w:autoSpaceDE w:val="0"/>
              <w:autoSpaceDN w:val="0"/>
              <w:adjustRightInd w:val="0"/>
              <w:jc w:val="left"/>
              <w:rPr>
                <w:rFonts w:eastAsia="Calibri"/>
                <w:color w:val="000000"/>
                <w:sz w:val="22"/>
              </w:rPr>
            </w:pPr>
            <w:r w:rsidRPr="001916D0">
              <w:rPr>
                <w:rFonts w:eastAsia="Calibri"/>
                <w:color w:val="000000"/>
                <w:sz w:val="22"/>
              </w:rPr>
              <w:t>Пошук підрядника</w:t>
            </w:r>
          </w:p>
          <w:p w:rsidR="00E95FB1" w:rsidRPr="001916D0" w:rsidRDefault="00E95FB1" w:rsidP="000303D7">
            <w:pPr>
              <w:numPr>
                <w:ilvl w:val="0"/>
                <w:numId w:val="72"/>
              </w:numPr>
              <w:autoSpaceDE w:val="0"/>
              <w:autoSpaceDN w:val="0"/>
              <w:adjustRightInd w:val="0"/>
              <w:jc w:val="left"/>
              <w:rPr>
                <w:rFonts w:eastAsia="Calibri"/>
                <w:color w:val="000000"/>
                <w:sz w:val="22"/>
              </w:rPr>
            </w:pPr>
            <w:r w:rsidRPr="001916D0">
              <w:rPr>
                <w:rFonts w:eastAsia="Calibri"/>
                <w:color w:val="000000"/>
                <w:sz w:val="22"/>
              </w:rPr>
              <w:t xml:space="preserve">Капітальний ремонт внутрішніх приміщень </w:t>
            </w:r>
          </w:p>
          <w:p w:rsidR="00E95FB1" w:rsidRPr="001916D0" w:rsidRDefault="00E95FB1" w:rsidP="000303D7">
            <w:pPr>
              <w:numPr>
                <w:ilvl w:val="0"/>
                <w:numId w:val="72"/>
              </w:numPr>
              <w:autoSpaceDE w:val="0"/>
              <w:autoSpaceDN w:val="0"/>
              <w:adjustRightInd w:val="0"/>
              <w:jc w:val="left"/>
              <w:rPr>
                <w:rFonts w:eastAsia="Calibri"/>
                <w:color w:val="000000"/>
                <w:sz w:val="22"/>
              </w:rPr>
            </w:pPr>
            <w:r w:rsidRPr="001916D0">
              <w:rPr>
                <w:rFonts w:eastAsia="Calibri"/>
                <w:color w:val="000000"/>
                <w:sz w:val="22"/>
              </w:rPr>
              <w:t>Ремонт покриття покрівлі</w:t>
            </w:r>
          </w:p>
          <w:p w:rsidR="00E95FB1" w:rsidRPr="001916D0" w:rsidRDefault="00E95FB1" w:rsidP="000303D7">
            <w:pPr>
              <w:numPr>
                <w:ilvl w:val="0"/>
                <w:numId w:val="72"/>
              </w:numPr>
              <w:autoSpaceDE w:val="0"/>
              <w:autoSpaceDN w:val="0"/>
              <w:adjustRightInd w:val="0"/>
              <w:jc w:val="left"/>
              <w:rPr>
                <w:rFonts w:eastAsia="Calibri"/>
                <w:color w:val="000000"/>
                <w:sz w:val="22"/>
              </w:rPr>
            </w:pPr>
            <w:r w:rsidRPr="001916D0">
              <w:rPr>
                <w:rFonts w:eastAsia="Calibri"/>
                <w:color w:val="000000"/>
                <w:sz w:val="22"/>
              </w:rPr>
              <w:t>Ремонт і заміна заповнення віконних та дверних прорізів</w:t>
            </w:r>
          </w:p>
          <w:p w:rsidR="00E95FB1" w:rsidRPr="001916D0" w:rsidRDefault="00E95FB1" w:rsidP="000303D7">
            <w:pPr>
              <w:numPr>
                <w:ilvl w:val="0"/>
                <w:numId w:val="72"/>
              </w:numPr>
              <w:autoSpaceDE w:val="0"/>
              <w:autoSpaceDN w:val="0"/>
              <w:adjustRightInd w:val="0"/>
              <w:jc w:val="left"/>
              <w:rPr>
                <w:rFonts w:eastAsia="Calibri"/>
                <w:color w:val="000000"/>
                <w:sz w:val="22"/>
              </w:rPr>
            </w:pPr>
            <w:r w:rsidRPr="001916D0">
              <w:rPr>
                <w:rFonts w:eastAsia="Calibri"/>
                <w:color w:val="000000"/>
                <w:sz w:val="22"/>
              </w:rPr>
              <w:t xml:space="preserve">Монтаж електрообладнання </w:t>
            </w:r>
          </w:p>
        </w:tc>
      </w:tr>
      <w:tr w:rsidR="00E95FB1" w:rsidRPr="001916D0" w:rsidTr="001B3967">
        <w:trPr>
          <w:trHeight w:val="653"/>
        </w:trPr>
        <w:tc>
          <w:tcPr>
            <w:tcW w:w="2724" w:type="dxa"/>
            <w:vMerge w:val="restart"/>
            <w:tcBorders>
              <w:top w:val="single" w:sz="4" w:space="0" w:color="auto"/>
              <w:left w:val="single" w:sz="4" w:space="0" w:color="auto"/>
              <w:bottom w:val="single" w:sz="4" w:space="0" w:color="auto"/>
              <w:right w:val="single" w:sz="4"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Орієнтовний обсяг та джерела фінансування тис. гривень</w:t>
            </w:r>
          </w:p>
        </w:tc>
        <w:tc>
          <w:tcPr>
            <w:tcW w:w="1559" w:type="dxa"/>
            <w:vMerge w:val="restart"/>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Державний бюджет</w:t>
            </w:r>
          </w:p>
        </w:tc>
        <w:tc>
          <w:tcPr>
            <w:tcW w:w="1134" w:type="dxa"/>
            <w:vMerge w:val="restart"/>
            <w:tcBorders>
              <w:top w:val="single" w:sz="4" w:space="0" w:color="auto"/>
              <w:left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Місцевий бюджет</w:t>
            </w:r>
          </w:p>
        </w:tc>
        <w:tc>
          <w:tcPr>
            <w:tcW w:w="3118" w:type="dxa"/>
            <w:gridSpan w:val="4"/>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Інші джерела</w:t>
            </w:r>
          </w:p>
          <w:p w:rsidR="00E95FB1" w:rsidRPr="001916D0" w:rsidRDefault="00E95FB1" w:rsidP="001B3967">
            <w:pPr>
              <w:autoSpaceDE w:val="0"/>
              <w:autoSpaceDN w:val="0"/>
              <w:adjustRightInd w:val="0"/>
              <w:jc w:val="left"/>
              <w:rPr>
                <w:rFonts w:eastAsia="Calibri"/>
                <w:color w:val="000000"/>
                <w:sz w:val="22"/>
              </w:rPr>
            </w:pPr>
          </w:p>
        </w:tc>
        <w:tc>
          <w:tcPr>
            <w:tcW w:w="1276" w:type="dxa"/>
            <w:vMerge w:val="restart"/>
            <w:tcBorders>
              <w:top w:val="single" w:sz="4" w:space="0" w:color="auto"/>
              <w:left w:val="single" w:sz="4" w:space="0" w:color="auto"/>
              <w:bottom w:val="nil"/>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Всього</w:t>
            </w:r>
          </w:p>
        </w:tc>
      </w:tr>
      <w:tr w:rsidR="00E95FB1" w:rsidRPr="001916D0" w:rsidTr="001B3967">
        <w:trPr>
          <w:trHeight w:val="65"/>
        </w:trPr>
        <w:tc>
          <w:tcPr>
            <w:tcW w:w="2724" w:type="dxa"/>
            <w:vMerge/>
            <w:tcBorders>
              <w:top w:val="single" w:sz="4" w:space="0" w:color="auto"/>
              <w:left w:val="single" w:sz="4" w:space="0" w:color="auto"/>
              <w:bottom w:val="single" w:sz="4" w:space="0" w:color="auto"/>
              <w:right w:val="single" w:sz="4"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p>
        </w:tc>
        <w:tc>
          <w:tcPr>
            <w:tcW w:w="1559" w:type="dxa"/>
            <w:vMerge/>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p>
        </w:tc>
        <w:tc>
          <w:tcPr>
            <w:tcW w:w="1134" w:type="dxa"/>
            <w:vMerge/>
            <w:tcBorders>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p>
        </w:tc>
        <w:tc>
          <w:tcPr>
            <w:tcW w:w="1417"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Обсяг</w:t>
            </w:r>
          </w:p>
        </w:tc>
        <w:tc>
          <w:tcPr>
            <w:tcW w:w="1701"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Назва джерела</w:t>
            </w:r>
          </w:p>
        </w:tc>
        <w:tc>
          <w:tcPr>
            <w:tcW w:w="1276" w:type="dxa"/>
            <w:vMerge/>
            <w:tcBorders>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p>
        </w:tc>
      </w:tr>
      <w:tr w:rsidR="00E95FB1" w:rsidRPr="001916D0" w:rsidTr="001B3967">
        <w:trPr>
          <w:trHeight w:val="65"/>
        </w:trPr>
        <w:tc>
          <w:tcPr>
            <w:tcW w:w="2724" w:type="dxa"/>
            <w:tcBorders>
              <w:top w:val="single" w:sz="4" w:space="0" w:color="auto"/>
              <w:left w:val="single" w:sz="4" w:space="0" w:color="auto"/>
              <w:bottom w:val="single" w:sz="4" w:space="0" w:color="auto"/>
              <w:right w:val="single" w:sz="4"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p>
        </w:tc>
        <w:tc>
          <w:tcPr>
            <w:tcW w:w="1559" w:type="dxa"/>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322700,0</w:t>
            </w:r>
          </w:p>
        </w:tc>
        <w:tc>
          <w:tcPr>
            <w:tcW w:w="1134" w:type="dxa"/>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w:t>
            </w:r>
          </w:p>
        </w:tc>
        <w:tc>
          <w:tcPr>
            <w:tcW w:w="1417"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 xml:space="preserve"> 138300,0</w:t>
            </w:r>
          </w:p>
        </w:tc>
        <w:tc>
          <w:tcPr>
            <w:tcW w:w="1701"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Міжнародні інвестиції</w:t>
            </w:r>
          </w:p>
        </w:tc>
        <w:tc>
          <w:tcPr>
            <w:tcW w:w="1276" w:type="dxa"/>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461000</w:t>
            </w:r>
          </w:p>
        </w:tc>
      </w:tr>
    </w:tbl>
    <w:p w:rsidR="00E95FB1" w:rsidRPr="00915913" w:rsidRDefault="00E95FB1" w:rsidP="00E95FB1">
      <w:pPr>
        <w:rPr>
          <w:sz w:val="22"/>
        </w:rPr>
      </w:pPr>
    </w:p>
    <w:tbl>
      <w:tblPr>
        <w:tblpPr w:leftFromText="180" w:rightFromText="180" w:vertAnchor="text" w:horzAnchor="page" w:tblpX="1" w:tblpY="123"/>
        <w:tblW w:w="11450" w:type="dxa"/>
        <w:tblLayout w:type="fixed"/>
        <w:tblCellMar>
          <w:left w:w="30" w:type="dxa"/>
          <w:right w:w="30" w:type="dxa"/>
        </w:tblCellMar>
        <w:tblLook w:val="0000" w:firstRow="0" w:lastRow="0" w:firstColumn="0" w:lastColumn="0" w:noHBand="0" w:noVBand="0"/>
      </w:tblPr>
      <w:tblGrid>
        <w:gridCol w:w="1448"/>
        <w:gridCol w:w="2835"/>
        <w:gridCol w:w="1276"/>
        <w:gridCol w:w="1134"/>
        <w:gridCol w:w="992"/>
        <w:gridCol w:w="567"/>
        <w:gridCol w:w="1214"/>
        <w:gridCol w:w="487"/>
        <w:gridCol w:w="1497"/>
      </w:tblGrid>
      <w:tr w:rsidR="00E95FB1" w:rsidRPr="00915913" w:rsidTr="001B3967">
        <w:trPr>
          <w:trHeight w:val="838"/>
        </w:trPr>
        <w:tc>
          <w:tcPr>
            <w:tcW w:w="1448" w:type="dxa"/>
            <w:tcBorders>
              <w:top w:val="nil"/>
              <w:left w:val="nil"/>
              <w:bottom w:val="nil"/>
              <w:right w:val="nil"/>
            </w:tcBorders>
          </w:tcPr>
          <w:p w:rsidR="00E95FB1" w:rsidRPr="00915913" w:rsidRDefault="00E95FB1" w:rsidP="001B3967">
            <w:pPr>
              <w:autoSpaceDE w:val="0"/>
              <w:autoSpaceDN w:val="0"/>
              <w:adjustRightInd w:val="0"/>
              <w:jc w:val="lef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915913" w:rsidRDefault="00E95FB1" w:rsidP="001B3967">
            <w:pPr>
              <w:autoSpaceDE w:val="0"/>
              <w:autoSpaceDN w:val="0"/>
              <w:adjustRightInd w:val="0"/>
              <w:jc w:val="left"/>
              <w:rPr>
                <w:rFonts w:eastAsia="Calibri"/>
                <w:b/>
                <w:color w:val="000000"/>
                <w:sz w:val="22"/>
              </w:rPr>
            </w:pPr>
            <w:r w:rsidRPr="00915913">
              <w:rPr>
                <w:rFonts w:eastAsia="Calibri"/>
                <w:b/>
                <w:color w:val="000000"/>
                <w:sz w:val="22"/>
              </w:rPr>
              <w:t>Оперативна ціль/завдання</w:t>
            </w:r>
          </w:p>
        </w:tc>
        <w:tc>
          <w:tcPr>
            <w:tcW w:w="7167" w:type="dxa"/>
            <w:gridSpan w:val="7"/>
            <w:tcBorders>
              <w:top w:val="single" w:sz="6" w:space="0" w:color="auto"/>
              <w:left w:val="single" w:sz="6" w:space="0" w:color="auto"/>
              <w:bottom w:val="single" w:sz="6" w:space="0" w:color="auto"/>
              <w:right w:val="single" w:sz="6" w:space="0" w:color="auto"/>
            </w:tcBorders>
          </w:tcPr>
          <w:p w:rsidR="00E95FB1" w:rsidRPr="00915913" w:rsidRDefault="00E95FB1" w:rsidP="001B3967">
            <w:pPr>
              <w:contextualSpacing/>
              <w:jc w:val="left"/>
              <w:rPr>
                <w:rFonts w:eastAsia="Arial"/>
                <w:sz w:val="22"/>
              </w:rPr>
            </w:pPr>
            <w:r w:rsidRPr="00915913">
              <w:rPr>
                <w:rFonts w:eastAsia="Arial"/>
                <w:sz w:val="22"/>
              </w:rPr>
              <w:t>Комфорт життя ЛЮДИНИ як безпека, екологічна сталість та  розумна енергетика. Громадська та інформаційна безпека території громади</w:t>
            </w:r>
          </w:p>
        </w:tc>
      </w:tr>
      <w:tr w:rsidR="00E95FB1" w:rsidRPr="00915913" w:rsidTr="001B3967">
        <w:trPr>
          <w:trHeight w:val="290"/>
        </w:trPr>
        <w:tc>
          <w:tcPr>
            <w:tcW w:w="1448" w:type="dxa"/>
            <w:tcBorders>
              <w:top w:val="nil"/>
              <w:left w:val="nil"/>
              <w:bottom w:val="nil"/>
              <w:right w:val="nil"/>
            </w:tcBorders>
          </w:tcPr>
          <w:p w:rsidR="00E95FB1" w:rsidRPr="00915913" w:rsidRDefault="00E95FB1" w:rsidP="001B3967">
            <w:pPr>
              <w:autoSpaceDE w:val="0"/>
              <w:autoSpaceDN w:val="0"/>
              <w:adjustRightInd w:val="0"/>
              <w:jc w:val="lef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915913" w:rsidRDefault="00E95FB1" w:rsidP="001B3967">
            <w:pPr>
              <w:autoSpaceDE w:val="0"/>
              <w:autoSpaceDN w:val="0"/>
              <w:adjustRightInd w:val="0"/>
              <w:jc w:val="left"/>
              <w:rPr>
                <w:rFonts w:eastAsia="Calibri"/>
                <w:b/>
                <w:color w:val="000000"/>
                <w:sz w:val="22"/>
              </w:rPr>
            </w:pPr>
            <w:r w:rsidRPr="00915913">
              <w:rPr>
                <w:rFonts w:eastAsia="Calibri"/>
                <w:b/>
                <w:color w:val="000000"/>
                <w:sz w:val="22"/>
              </w:rPr>
              <w:t>Назва проекту:</w:t>
            </w:r>
          </w:p>
        </w:tc>
        <w:tc>
          <w:tcPr>
            <w:tcW w:w="7167" w:type="dxa"/>
            <w:gridSpan w:val="7"/>
            <w:tcBorders>
              <w:top w:val="single" w:sz="6" w:space="0" w:color="auto"/>
              <w:left w:val="single" w:sz="6" w:space="0" w:color="auto"/>
              <w:bottom w:val="single" w:sz="6" w:space="0" w:color="auto"/>
              <w:right w:val="single" w:sz="6"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 xml:space="preserve">Встановлення сонячної станції потужністю 100 кВт на території підприємства за </w:t>
            </w:r>
            <w:proofErr w:type="spellStart"/>
            <w:r w:rsidRPr="00915913">
              <w:rPr>
                <w:rFonts w:eastAsia="Calibri"/>
                <w:color w:val="000000"/>
                <w:sz w:val="22"/>
              </w:rPr>
              <w:t>адресою</w:t>
            </w:r>
            <w:proofErr w:type="spellEnd"/>
            <w:r w:rsidRPr="00915913">
              <w:rPr>
                <w:rFonts w:eastAsia="Calibri"/>
                <w:color w:val="000000"/>
                <w:sz w:val="22"/>
              </w:rPr>
              <w:t xml:space="preserve"> м. Сєвєродонецьк, шосе Будівельників</w:t>
            </w:r>
            <w:r w:rsidR="00290E7D" w:rsidRPr="00915913">
              <w:rPr>
                <w:rFonts w:eastAsia="Calibri"/>
                <w:color w:val="000000"/>
                <w:sz w:val="22"/>
                <w:szCs w:val="22"/>
              </w:rPr>
              <w:t>,</w:t>
            </w:r>
            <w:r w:rsidRPr="00915913">
              <w:rPr>
                <w:rFonts w:eastAsia="Calibri"/>
                <w:color w:val="000000"/>
                <w:sz w:val="22"/>
              </w:rPr>
              <w:t xml:space="preserve"> 27</w:t>
            </w:r>
          </w:p>
        </w:tc>
      </w:tr>
      <w:tr w:rsidR="00E95FB1" w:rsidRPr="00915913" w:rsidTr="001B3967">
        <w:trPr>
          <w:trHeight w:val="546"/>
        </w:trPr>
        <w:tc>
          <w:tcPr>
            <w:tcW w:w="1448" w:type="dxa"/>
            <w:tcBorders>
              <w:top w:val="nil"/>
              <w:left w:val="nil"/>
              <w:bottom w:val="nil"/>
              <w:right w:val="nil"/>
            </w:tcBorders>
          </w:tcPr>
          <w:p w:rsidR="00E95FB1" w:rsidRPr="00915913" w:rsidRDefault="00E95FB1" w:rsidP="001B3967">
            <w:pPr>
              <w:autoSpaceDE w:val="0"/>
              <w:autoSpaceDN w:val="0"/>
              <w:adjustRightInd w:val="0"/>
              <w:jc w:val="lef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915913" w:rsidRDefault="00E95FB1" w:rsidP="001B3967">
            <w:pPr>
              <w:autoSpaceDE w:val="0"/>
              <w:autoSpaceDN w:val="0"/>
              <w:adjustRightInd w:val="0"/>
              <w:jc w:val="left"/>
              <w:rPr>
                <w:rFonts w:eastAsia="Calibri"/>
                <w:b/>
                <w:color w:val="000000"/>
                <w:sz w:val="22"/>
              </w:rPr>
            </w:pPr>
            <w:r w:rsidRPr="00915913">
              <w:rPr>
                <w:rFonts w:eastAsia="Calibri"/>
                <w:b/>
                <w:color w:val="000000"/>
                <w:sz w:val="22"/>
              </w:rPr>
              <w:t>Ціль проекту</w:t>
            </w:r>
          </w:p>
        </w:tc>
        <w:tc>
          <w:tcPr>
            <w:tcW w:w="7167" w:type="dxa"/>
            <w:gridSpan w:val="7"/>
            <w:tcBorders>
              <w:top w:val="single" w:sz="6" w:space="0" w:color="auto"/>
              <w:left w:val="single" w:sz="6" w:space="0" w:color="auto"/>
              <w:bottom w:val="single" w:sz="6" w:space="0" w:color="auto"/>
              <w:right w:val="single" w:sz="6"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Відновити та покращити роботу комунального підприємства «Сєвєродонецьке тролейбусне управління»</w:t>
            </w:r>
          </w:p>
        </w:tc>
      </w:tr>
      <w:tr w:rsidR="00E95FB1" w:rsidRPr="00915913" w:rsidTr="001B3967">
        <w:trPr>
          <w:trHeight w:val="290"/>
        </w:trPr>
        <w:tc>
          <w:tcPr>
            <w:tcW w:w="1448" w:type="dxa"/>
            <w:tcBorders>
              <w:top w:val="nil"/>
              <w:left w:val="nil"/>
              <w:bottom w:val="nil"/>
              <w:right w:val="nil"/>
            </w:tcBorders>
          </w:tcPr>
          <w:p w:rsidR="00E95FB1" w:rsidRPr="00915913" w:rsidRDefault="00E95FB1" w:rsidP="001B3967">
            <w:pPr>
              <w:autoSpaceDE w:val="0"/>
              <w:autoSpaceDN w:val="0"/>
              <w:adjustRightInd w:val="0"/>
              <w:jc w:val="lef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915913" w:rsidRDefault="00E95FB1" w:rsidP="001B3967">
            <w:pPr>
              <w:autoSpaceDE w:val="0"/>
              <w:autoSpaceDN w:val="0"/>
              <w:adjustRightInd w:val="0"/>
              <w:jc w:val="left"/>
              <w:rPr>
                <w:rFonts w:eastAsia="Calibri"/>
                <w:b/>
                <w:color w:val="000000"/>
                <w:sz w:val="22"/>
              </w:rPr>
            </w:pPr>
            <w:r w:rsidRPr="00915913">
              <w:rPr>
                <w:rFonts w:eastAsia="Calibri"/>
                <w:b/>
                <w:color w:val="000000"/>
                <w:sz w:val="22"/>
              </w:rPr>
              <w:t>Територія, на яку матиме вплив реалізація проекту</w:t>
            </w:r>
          </w:p>
        </w:tc>
        <w:tc>
          <w:tcPr>
            <w:tcW w:w="7167" w:type="dxa"/>
            <w:gridSpan w:val="7"/>
            <w:tcBorders>
              <w:top w:val="single" w:sz="6" w:space="0" w:color="auto"/>
              <w:left w:val="single" w:sz="6" w:space="0" w:color="auto"/>
              <w:bottom w:val="single" w:sz="6" w:space="0" w:color="auto"/>
              <w:right w:val="single" w:sz="6"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Сєвєродонецька міська територіальна громада</w:t>
            </w:r>
          </w:p>
        </w:tc>
      </w:tr>
      <w:tr w:rsidR="00E95FB1" w:rsidRPr="00915913" w:rsidTr="001B3967">
        <w:trPr>
          <w:trHeight w:val="581"/>
        </w:trPr>
        <w:tc>
          <w:tcPr>
            <w:tcW w:w="1448" w:type="dxa"/>
            <w:tcBorders>
              <w:top w:val="nil"/>
              <w:left w:val="nil"/>
              <w:bottom w:val="nil"/>
              <w:right w:val="nil"/>
            </w:tcBorders>
          </w:tcPr>
          <w:p w:rsidR="00E95FB1" w:rsidRPr="00915913" w:rsidRDefault="00E95FB1" w:rsidP="001B3967">
            <w:pPr>
              <w:autoSpaceDE w:val="0"/>
              <w:autoSpaceDN w:val="0"/>
              <w:adjustRightInd w:val="0"/>
              <w:jc w:val="lef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915913" w:rsidRDefault="00E95FB1" w:rsidP="001B3967">
            <w:pPr>
              <w:autoSpaceDE w:val="0"/>
              <w:autoSpaceDN w:val="0"/>
              <w:adjustRightInd w:val="0"/>
              <w:jc w:val="left"/>
              <w:rPr>
                <w:rFonts w:eastAsia="Calibri"/>
                <w:b/>
                <w:color w:val="000000"/>
                <w:sz w:val="22"/>
              </w:rPr>
            </w:pPr>
            <w:r w:rsidRPr="00915913">
              <w:rPr>
                <w:rFonts w:eastAsia="Calibri"/>
                <w:b/>
                <w:color w:val="000000"/>
                <w:sz w:val="22"/>
              </w:rPr>
              <w:t>Чисельність населення, на яке матиме вплив реалізація проекту</w:t>
            </w:r>
          </w:p>
        </w:tc>
        <w:tc>
          <w:tcPr>
            <w:tcW w:w="7167" w:type="dxa"/>
            <w:gridSpan w:val="7"/>
            <w:tcBorders>
              <w:top w:val="single" w:sz="6" w:space="0" w:color="auto"/>
              <w:left w:val="single" w:sz="6" w:space="0" w:color="auto"/>
              <w:bottom w:val="single" w:sz="6" w:space="0" w:color="auto"/>
              <w:right w:val="single" w:sz="6"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70000 осіб</w:t>
            </w:r>
          </w:p>
        </w:tc>
      </w:tr>
      <w:tr w:rsidR="00E95FB1" w:rsidRPr="00915913" w:rsidTr="001B3967">
        <w:trPr>
          <w:trHeight w:val="1224"/>
        </w:trPr>
        <w:tc>
          <w:tcPr>
            <w:tcW w:w="1448" w:type="dxa"/>
            <w:tcBorders>
              <w:top w:val="nil"/>
              <w:left w:val="nil"/>
              <w:bottom w:val="nil"/>
              <w:right w:val="nil"/>
            </w:tcBorders>
          </w:tcPr>
          <w:p w:rsidR="00E95FB1" w:rsidRPr="00915913" w:rsidRDefault="00E95FB1" w:rsidP="001B3967">
            <w:pPr>
              <w:autoSpaceDE w:val="0"/>
              <w:autoSpaceDN w:val="0"/>
              <w:adjustRightInd w:val="0"/>
              <w:jc w:val="lef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915913" w:rsidRDefault="00E95FB1" w:rsidP="001B3967">
            <w:pPr>
              <w:autoSpaceDE w:val="0"/>
              <w:autoSpaceDN w:val="0"/>
              <w:adjustRightInd w:val="0"/>
              <w:jc w:val="left"/>
              <w:rPr>
                <w:rFonts w:eastAsia="Calibri"/>
                <w:b/>
                <w:color w:val="000000"/>
                <w:sz w:val="22"/>
              </w:rPr>
            </w:pPr>
            <w:r w:rsidRPr="00915913">
              <w:rPr>
                <w:rFonts w:eastAsia="Calibri"/>
                <w:b/>
                <w:color w:val="000000"/>
                <w:sz w:val="22"/>
              </w:rPr>
              <w:t>Опис проблеми, на вирішення якої спрямований проект</w:t>
            </w:r>
          </w:p>
        </w:tc>
        <w:tc>
          <w:tcPr>
            <w:tcW w:w="7167" w:type="dxa"/>
            <w:gridSpan w:val="7"/>
            <w:tcBorders>
              <w:top w:val="single" w:sz="6" w:space="0" w:color="auto"/>
              <w:left w:val="single" w:sz="6" w:space="0" w:color="auto"/>
              <w:bottom w:val="single" w:sz="6" w:space="0" w:color="auto"/>
              <w:right w:val="single" w:sz="6"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 xml:space="preserve">Через військову агресію РФ територія Сєвєродонецької міської територіальної громади зазнала значних пошкоджень. Не виключенням стали і об’єкти енергетики, які зазнали значних руйнувань. Для зменшення навантаження на загальну систему електропостачання є необхідність в придбанні та встановленні на території підприємства альтернативних джерел видобутку електроенергії. </w:t>
            </w:r>
          </w:p>
        </w:tc>
      </w:tr>
      <w:tr w:rsidR="00E95FB1" w:rsidRPr="00915913" w:rsidTr="001B3967">
        <w:trPr>
          <w:trHeight w:val="528"/>
        </w:trPr>
        <w:tc>
          <w:tcPr>
            <w:tcW w:w="1448" w:type="dxa"/>
            <w:tcBorders>
              <w:top w:val="nil"/>
              <w:left w:val="nil"/>
              <w:bottom w:val="nil"/>
              <w:right w:val="nil"/>
            </w:tcBorders>
          </w:tcPr>
          <w:p w:rsidR="00E95FB1" w:rsidRPr="00915913" w:rsidRDefault="00E95FB1" w:rsidP="001B3967">
            <w:pPr>
              <w:autoSpaceDE w:val="0"/>
              <w:autoSpaceDN w:val="0"/>
              <w:adjustRightInd w:val="0"/>
              <w:jc w:val="lef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915913" w:rsidRDefault="00E95FB1" w:rsidP="001B3967">
            <w:pPr>
              <w:autoSpaceDE w:val="0"/>
              <w:autoSpaceDN w:val="0"/>
              <w:adjustRightInd w:val="0"/>
              <w:jc w:val="left"/>
              <w:rPr>
                <w:rFonts w:eastAsia="Calibri"/>
                <w:b/>
                <w:color w:val="000000"/>
                <w:sz w:val="22"/>
              </w:rPr>
            </w:pPr>
            <w:r w:rsidRPr="00915913">
              <w:rPr>
                <w:rFonts w:eastAsia="Calibri"/>
                <w:b/>
                <w:color w:val="000000"/>
                <w:sz w:val="22"/>
              </w:rPr>
              <w:t>Очікувані якісні результати від реалізації проекту</w:t>
            </w:r>
          </w:p>
        </w:tc>
        <w:tc>
          <w:tcPr>
            <w:tcW w:w="7167" w:type="dxa"/>
            <w:gridSpan w:val="7"/>
            <w:tcBorders>
              <w:top w:val="single" w:sz="6" w:space="0" w:color="auto"/>
              <w:left w:val="single" w:sz="6" w:space="0" w:color="auto"/>
              <w:bottom w:val="single" w:sz="6" w:space="0" w:color="auto"/>
              <w:right w:val="single" w:sz="6" w:space="0" w:color="auto"/>
            </w:tcBorders>
          </w:tcPr>
          <w:p w:rsidR="00E95FB1" w:rsidRPr="00915913" w:rsidRDefault="00E95FB1" w:rsidP="000303D7">
            <w:pPr>
              <w:pStyle w:val="a7"/>
              <w:numPr>
                <w:ilvl w:val="0"/>
                <w:numId w:val="74"/>
              </w:numPr>
              <w:autoSpaceDE w:val="0"/>
              <w:autoSpaceDN w:val="0"/>
              <w:adjustRightInd w:val="0"/>
              <w:jc w:val="left"/>
              <w:rPr>
                <w:rFonts w:eastAsia="Calibri"/>
                <w:color w:val="000000"/>
                <w:sz w:val="22"/>
              </w:rPr>
            </w:pPr>
            <w:r w:rsidRPr="00915913">
              <w:rPr>
                <w:rFonts w:eastAsia="Calibri"/>
                <w:color w:val="000000"/>
                <w:sz w:val="22"/>
              </w:rPr>
              <w:t>Зменшення витрат підприємства за спожиту електроенергію</w:t>
            </w:r>
            <w:r w:rsidR="008B34D2" w:rsidRPr="00915913">
              <w:rPr>
                <w:rFonts w:eastAsia="Calibri"/>
                <w:color w:val="000000"/>
                <w:sz w:val="22"/>
                <w:szCs w:val="22"/>
              </w:rPr>
              <w:t>.</w:t>
            </w:r>
          </w:p>
          <w:p w:rsidR="00E95FB1" w:rsidRPr="00915913" w:rsidRDefault="00E95FB1" w:rsidP="000303D7">
            <w:pPr>
              <w:pStyle w:val="a7"/>
              <w:numPr>
                <w:ilvl w:val="0"/>
                <w:numId w:val="74"/>
              </w:numPr>
              <w:autoSpaceDE w:val="0"/>
              <w:autoSpaceDN w:val="0"/>
              <w:adjustRightInd w:val="0"/>
              <w:jc w:val="left"/>
              <w:rPr>
                <w:rFonts w:eastAsia="Calibri"/>
                <w:color w:val="000000"/>
                <w:sz w:val="22"/>
              </w:rPr>
            </w:pPr>
            <w:r w:rsidRPr="00915913">
              <w:rPr>
                <w:rFonts w:eastAsia="Calibri"/>
                <w:color w:val="000000"/>
                <w:sz w:val="22"/>
              </w:rPr>
              <w:t>Зменшення навантаження на загальну систему електропостачання</w:t>
            </w:r>
            <w:r w:rsidR="008B34D2" w:rsidRPr="00915913">
              <w:rPr>
                <w:rFonts w:eastAsia="Calibri"/>
                <w:color w:val="000000"/>
                <w:sz w:val="22"/>
                <w:szCs w:val="22"/>
              </w:rPr>
              <w:t>.</w:t>
            </w:r>
          </w:p>
          <w:p w:rsidR="00E95FB1" w:rsidRPr="00915913" w:rsidRDefault="00E95FB1" w:rsidP="000303D7">
            <w:pPr>
              <w:pStyle w:val="a7"/>
              <w:numPr>
                <w:ilvl w:val="0"/>
                <w:numId w:val="74"/>
              </w:numPr>
              <w:autoSpaceDE w:val="0"/>
              <w:autoSpaceDN w:val="0"/>
              <w:adjustRightInd w:val="0"/>
              <w:jc w:val="left"/>
              <w:rPr>
                <w:rFonts w:eastAsia="Calibri"/>
                <w:color w:val="000000"/>
                <w:sz w:val="22"/>
              </w:rPr>
            </w:pPr>
            <w:r w:rsidRPr="00915913">
              <w:rPr>
                <w:rFonts w:eastAsia="Calibri"/>
                <w:color w:val="000000"/>
                <w:sz w:val="22"/>
              </w:rPr>
              <w:t xml:space="preserve">За рахунок економії покращення якості </w:t>
            </w:r>
            <w:proofErr w:type="spellStart"/>
            <w:r w:rsidRPr="00915913">
              <w:rPr>
                <w:rFonts w:eastAsia="Calibri"/>
                <w:color w:val="000000"/>
                <w:sz w:val="22"/>
              </w:rPr>
              <w:t>надаваємих</w:t>
            </w:r>
            <w:proofErr w:type="spellEnd"/>
            <w:r w:rsidRPr="00915913">
              <w:rPr>
                <w:rFonts w:eastAsia="Calibri"/>
                <w:color w:val="000000"/>
                <w:sz w:val="22"/>
              </w:rPr>
              <w:t xml:space="preserve"> послуг</w:t>
            </w:r>
            <w:r w:rsidR="008B34D2" w:rsidRPr="00915913">
              <w:rPr>
                <w:rFonts w:eastAsia="Calibri"/>
                <w:color w:val="000000"/>
                <w:sz w:val="22"/>
                <w:szCs w:val="22"/>
              </w:rPr>
              <w:t>.</w:t>
            </w:r>
          </w:p>
        </w:tc>
      </w:tr>
      <w:tr w:rsidR="00E95FB1" w:rsidRPr="00915913" w:rsidTr="001B3967">
        <w:trPr>
          <w:trHeight w:val="581"/>
        </w:trPr>
        <w:tc>
          <w:tcPr>
            <w:tcW w:w="1448" w:type="dxa"/>
            <w:tcBorders>
              <w:top w:val="nil"/>
              <w:left w:val="nil"/>
              <w:bottom w:val="nil"/>
              <w:right w:val="nil"/>
            </w:tcBorders>
          </w:tcPr>
          <w:p w:rsidR="00E95FB1" w:rsidRPr="00915913" w:rsidRDefault="00E95FB1" w:rsidP="001B3967">
            <w:pPr>
              <w:autoSpaceDE w:val="0"/>
              <w:autoSpaceDN w:val="0"/>
              <w:adjustRightInd w:val="0"/>
              <w:jc w:val="lef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915913" w:rsidRDefault="00E95FB1" w:rsidP="001B3967">
            <w:pPr>
              <w:autoSpaceDE w:val="0"/>
              <w:autoSpaceDN w:val="0"/>
              <w:adjustRightInd w:val="0"/>
              <w:jc w:val="left"/>
              <w:rPr>
                <w:rFonts w:eastAsia="Calibri"/>
                <w:b/>
                <w:color w:val="000000"/>
                <w:sz w:val="22"/>
              </w:rPr>
            </w:pPr>
            <w:r w:rsidRPr="00915913">
              <w:rPr>
                <w:rFonts w:eastAsia="Calibri"/>
                <w:b/>
                <w:color w:val="000000"/>
                <w:sz w:val="22"/>
              </w:rPr>
              <w:t>Очікувані кількісні результати від реалізації проекту  (індикатори)</w:t>
            </w:r>
          </w:p>
        </w:tc>
        <w:tc>
          <w:tcPr>
            <w:tcW w:w="3402" w:type="dxa"/>
            <w:gridSpan w:val="3"/>
            <w:tcBorders>
              <w:top w:val="single" w:sz="6" w:space="0" w:color="auto"/>
              <w:left w:val="single" w:sz="6" w:space="0" w:color="auto"/>
              <w:bottom w:val="single" w:sz="6" w:space="0" w:color="auto"/>
              <w:right w:val="single" w:sz="6" w:space="0" w:color="auto"/>
            </w:tcBorders>
          </w:tcPr>
          <w:p w:rsidR="00E95FB1" w:rsidRPr="00915913" w:rsidRDefault="00E95FB1" w:rsidP="001B3967">
            <w:pPr>
              <w:autoSpaceDE w:val="0"/>
              <w:autoSpaceDN w:val="0"/>
              <w:adjustRightInd w:val="0"/>
              <w:jc w:val="left"/>
              <w:rPr>
                <w:rFonts w:eastAsia="Calibri"/>
                <w:b/>
                <w:color w:val="000000"/>
                <w:sz w:val="22"/>
              </w:rPr>
            </w:pPr>
            <w:r w:rsidRPr="00915913">
              <w:rPr>
                <w:rFonts w:eastAsia="Calibri"/>
                <w:b/>
                <w:color w:val="000000"/>
                <w:sz w:val="22"/>
              </w:rPr>
              <w:t>Найменування показника</w:t>
            </w:r>
          </w:p>
        </w:tc>
        <w:tc>
          <w:tcPr>
            <w:tcW w:w="1781" w:type="dxa"/>
            <w:gridSpan w:val="2"/>
            <w:tcBorders>
              <w:top w:val="single" w:sz="6" w:space="0" w:color="auto"/>
              <w:left w:val="single" w:sz="6" w:space="0" w:color="auto"/>
              <w:bottom w:val="single" w:sz="6" w:space="0" w:color="auto"/>
              <w:right w:val="single" w:sz="6" w:space="0" w:color="auto"/>
            </w:tcBorders>
          </w:tcPr>
          <w:p w:rsidR="00E95FB1" w:rsidRPr="00915913" w:rsidRDefault="00E95FB1" w:rsidP="001B3967">
            <w:pPr>
              <w:autoSpaceDE w:val="0"/>
              <w:autoSpaceDN w:val="0"/>
              <w:adjustRightInd w:val="0"/>
              <w:jc w:val="left"/>
              <w:rPr>
                <w:rFonts w:eastAsia="Calibri"/>
                <w:b/>
                <w:color w:val="000000"/>
                <w:sz w:val="22"/>
              </w:rPr>
            </w:pPr>
            <w:r w:rsidRPr="00915913">
              <w:rPr>
                <w:rFonts w:eastAsia="Calibri"/>
                <w:b/>
                <w:color w:val="000000"/>
                <w:sz w:val="22"/>
              </w:rPr>
              <w:t>Одиниця вимірювання</w:t>
            </w:r>
          </w:p>
        </w:tc>
        <w:tc>
          <w:tcPr>
            <w:tcW w:w="1984" w:type="dxa"/>
            <w:gridSpan w:val="2"/>
            <w:tcBorders>
              <w:top w:val="single" w:sz="6" w:space="0" w:color="auto"/>
              <w:left w:val="single" w:sz="6" w:space="0" w:color="auto"/>
              <w:bottom w:val="single" w:sz="6" w:space="0" w:color="auto"/>
              <w:right w:val="single" w:sz="6" w:space="0" w:color="auto"/>
            </w:tcBorders>
          </w:tcPr>
          <w:p w:rsidR="00E95FB1" w:rsidRPr="00915913" w:rsidRDefault="00E95FB1" w:rsidP="001B3967">
            <w:pPr>
              <w:autoSpaceDE w:val="0"/>
              <w:autoSpaceDN w:val="0"/>
              <w:adjustRightInd w:val="0"/>
              <w:jc w:val="left"/>
              <w:rPr>
                <w:rFonts w:eastAsia="Calibri"/>
                <w:b/>
                <w:color w:val="000000"/>
                <w:sz w:val="22"/>
              </w:rPr>
            </w:pPr>
            <w:r w:rsidRPr="00915913">
              <w:rPr>
                <w:rFonts w:eastAsia="Calibri"/>
                <w:b/>
                <w:color w:val="000000"/>
                <w:sz w:val="22"/>
              </w:rPr>
              <w:t>Прогнозне (цільове) значення</w:t>
            </w:r>
          </w:p>
        </w:tc>
      </w:tr>
      <w:tr w:rsidR="00E95FB1" w:rsidRPr="00915913" w:rsidTr="001B3967">
        <w:trPr>
          <w:trHeight w:val="290"/>
        </w:trPr>
        <w:tc>
          <w:tcPr>
            <w:tcW w:w="1448" w:type="dxa"/>
            <w:tcBorders>
              <w:top w:val="nil"/>
              <w:left w:val="nil"/>
              <w:bottom w:val="nil"/>
              <w:right w:val="nil"/>
            </w:tcBorders>
          </w:tcPr>
          <w:p w:rsidR="00E95FB1" w:rsidRPr="00915913" w:rsidRDefault="00E95FB1" w:rsidP="001B3967">
            <w:pPr>
              <w:autoSpaceDE w:val="0"/>
              <w:autoSpaceDN w:val="0"/>
              <w:adjustRightInd w:val="0"/>
              <w:jc w:val="lef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915913" w:rsidRDefault="00E95FB1" w:rsidP="001B3967">
            <w:pPr>
              <w:autoSpaceDE w:val="0"/>
              <w:autoSpaceDN w:val="0"/>
              <w:adjustRightInd w:val="0"/>
              <w:jc w:val="left"/>
              <w:rPr>
                <w:rFonts w:eastAsia="Calibri"/>
                <w:b/>
                <w:color w:val="000000"/>
                <w:sz w:val="22"/>
              </w:rPr>
            </w:pPr>
          </w:p>
        </w:tc>
        <w:tc>
          <w:tcPr>
            <w:tcW w:w="3402" w:type="dxa"/>
            <w:gridSpan w:val="3"/>
            <w:tcBorders>
              <w:top w:val="single" w:sz="6" w:space="0" w:color="auto"/>
              <w:left w:val="single" w:sz="6" w:space="0" w:color="auto"/>
              <w:bottom w:val="single" w:sz="6" w:space="0" w:color="auto"/>
              <w:right w:val="single" w:sz="6"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Потужність сонячної станції</w:t>
            </w:r>
          </w:p>
        </w:tc>
        <w:tc>
          <w:tcPr>
            <w:tcW w:w="1781" w:type="dxa"/>
            <w:gridSpan w:val="2"/>
            <w:tcBorders>
              <w:top w:val="single" w:sz="6" w:space="0" w:color="auto"/>
              <w:left w:val="single" w:sz="6" w:space="0" w:color="auto"/>
              <w:bottom w:val="single" w:sz="6" w:space="0" w:color="auto"/>
              <w:right w:val="single" w:sz="6"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кВт</w:t>
            </w:r>
          </w:p>
        </w:tc>
        <w:tc>
          <w:tcPr>
            <w:tcW w:w="1984" w:type="dxa"/>
            <w:gridSpan w:val="2"/>
            <w:tcBorders>
              <w:top w:val="single" w:sz="6" w:space="0" w:color="auto"/>
              <w:left w:val="single" w:sz="6" w:space="0" w:color="auto"/>
              <w:bottom w:val="single" w:sz="6" w:space="0" w:color="auto"/>
              <w:right w:val="single" w:sz="6"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100</w:t>
            </w:r>
          </w:p>
        </w:tc>
      </w:tr>
      <w:tr w:rsidR="00E95FB1" w:rsidRPr="00915913" w:rsidTr="001B3967">
        <w:trPr>
          <w:trHeight w:val="290"/>
        </w:trPr>
        <w:tc>
          <w:tcPr>
            <w:tcW w:w="1448" w:type="dxa"/>
            <w:tcBorders>
              <w:top w:val="nil"/>
              <w:left w:val="nil"/>
              <w:bottom w:val="nil"/>
              <w:right w:val="nil"/>
            </w:tcBorders>
          </w:tcPr>
          <w:p w:rsidR="00E95FB1" w:rsidRPr="00915913" w:rsidRDefault="00E95FB1" w:rsidP="001B3967">
            <w:pPr>
              <w:autoSpaceDE w:val="0"/>
              <w:autoSpaceDN w:val="0"/>
              <w:adjustRightInd w:val="0"/>
              <w:jc w:val="lef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915913" w:rsidRDefault="00E95FB1" w:rsidP="001B3967">
            <w:pPr>
              <w:autoSpaceDE w:val="0"/>
              <w:autoSpaceDN w:val="0"/>
              <w:adjustRightInd w:val="0"/>
              <w:jc w:val="left"/>
              <w:rPr>
                <w:rFonts w:eastAsia="Calibri"/>
                <w:b/>
                <w:color w:val="000000"/>
                <w:sz w:val="22"/>
              </w:rPr>
            </w:pPr>
          </w:p>
        </w:tc>
        <w:tc>
          <w:tcPr>
            <w:tcW w:w="3402" w:type="dxa"/>
            <w:gridSpan w:val="3"/>
            <w:tcBorders>
              <w:top w:val="single" w:sz="6" w:space="0" w:color="auto"/>
              <w:left w:val="single" w:sz="6" w:space="0" w:color="auto"/>
              <w:bottom w:val="single" w:sz="6" w:space="0" w:color="auto"/>
              <w:right w:val="single" w:sz="6"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Економія за спожиту електроенергію</w:t>
            </w:r>
          </w:p>
        </w:tc>
        <w:tc>
          <w:tcPr>
            <w:tcW w:w="1781" w:type="dxa"/>
            <w:gridSpan w:val="2"/>
            <w:tcBorders>
              <w:top w:val="single" w:sz="6" w:space="0" w:color="auto"/>
              <w:left w:val="single" w:sz="6" w:space="0" w:color="auto"/>
              <w:bottom w:val="single" w:sz="6" w:space="0" w:color="auto"/>
              <w:right w:val="single" w:sz="6"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w:t>
            </w:r>
          </w:p>
        </w:tc>
        <w:tc>
          <w:tcPr>
            <w:tcW w:w="1984" w:type="dxa"/>
            <w:gridSpan w:val="2"/>
            <w:tcBorders>
              <w:top w:val="single" w:sz="6" w:space="0" w:color="auto"/>
              <w:left w:val="single" w:sz="6" w:space="0" w:color="auto"/>
              <w:bottom w:val="single" w:sz="6" w:space="0" w:color="auto"/>
              <w:right w:val="single" w:sz="6"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40-50</w:t>
            </w:r>
          </w:p>
        </w:tc>
      </w:tr>
      <w:tr w:rsidR="00E95FB1" w:rsidRPr="00915913" w:rsidTr="001B3967">
        <w:trPr>
          <w:trHeight w:val="953"/>
        </w:trPr>
        <w:tc>
          <w:tcPr>
            <w:tcW w:w="1448" w:type="dxa"/>
            <w:tcBorders>
              <w:top w:val="nil"/>
              <w:left w:val="nil"/>
              <w:bottom w:val="nil"/>
              <w:right w:val="nil"/>
            </w:tcBorders>
          </w:tcPr>
          <w:p w:rsidR="00E95FB1" w:rsidRPr="00915913" w:rsidRDefault="00E95FB1" w:rsidP="001B3967">
            <w:pPr>
              <w:autoSpaceDE w:val="0"/>
              <w:autoSpaceDN w:val="0"/>
              <w:adjustRightInd w:val="0"/>
              <w:jc w:val="left"/>
              <w:rPr>
                <w:rFonts w:eastAsia="Calibri"/>
                <w:color w:val="000000"/>
                <w:sz w:val="22"/>
              </w:rPr>
            </w:pPr>
          </w:p>
        </w:tc>
        <w:tc>
          <w:tcPr>
            <w:tcW w:w="2835" w:type="dxa"/>
            <w:tcBorders>
              <w:top w:val="single" w:sz="6" w:space="0" w:color="auto"/>
              <w:left w:val="single" w:sz="6" w:space="0" w:color="auto"/>
              <w:bottom w:val="single" w:sz="4" w:space="0" w:color="auto"/>
              <w:right w:val="single" w:sz="6" w:space="0" w:color="auto"/>
            </w:tcBorders>
            <w:shd w:val="clear" w:color="00FFFF" w:fill="C6D9F1" w:themeFill="text2" w:themeFillTint="33"/>
          </w:tcPr>
          <w:p w:rsidR="00E95FB1" w:rsidRPr="00915913" w:rsidRDefault="00E95FB1" w:rsidP="001B3967">
            <w:pPr>
              <w:autoSpaceDE w:val="0"/>
              <w:autoSpaceDN w:val="0"/>
              <w:adjustRightInd w:val="0"/>
              <w:jc w:val="left"/>
              <w:rPr>
                <w:rFonts w:eastAsia="Calibri"/>
                <w:b/>
                <w:color w:val="000000"/>
                <w:sz w:val="22"/>
              </w:rPr>
            </w:pPr>
            <w:r w:rsidRPr="00915913">
              <w:rPr>
                <w:rFonts w:eastAsia="Calibri"/>
                <w:b/>
                <w:color w:val="000000"/>
                <w:sz w:val="22"/>
              </w:rPr>
              <w:t>Ключові заходи проекту:</w:t>
            </w:r>
          </w:p>
        </w:tc>
        <w:tc>
          <w:tcPr>
            <w:tcW w:w="7167" w:type="dxa"/>
            <w:gridSpan w:val="7"/>
            <w:tcBorders>
              <w:top w:val="single" w:sz="6" w:space="0" w:color="auto"/>
              <w:left w:val="single" w:sz="6" w:space="0" w:color="auto"/>
              <w:bottom w:val="single" w:sz="4" w:space="0" w:color="auto"/>
              <w:right w:val="single" w:sz="6" w:space="0" w:color="auto"/>
            </w:tcBorders>
          </w:tcPr>
          <w:p w:rsidR="00E95FB1" w:rsidRPr="00915913" w:rsidRDefault="00E95FB1" w:rsidP="000303D7">
            <w:pPr>
              <w:numPr>
                <w:ilvl w:val="0"/>
                <w:numId w:val="71"/>
              </w:numPr>
              <w:autoSpaceDE w:val="0"/>
              <w:autoSpaceDN w:val="0"/>
              <w:adjustRightInd w:val="0"/>
              <w:jc w:val="left"/>
              <w:rPr>
                <w:rFonts w:eastAsia="Calibri"/>
                <w:color w:val="000000"/>
                <w:sz w:val="22"/>
              </w:rPr>
            </w:pPr>
            <w:r w:rsidRPr="00915913">
              <w:rPr>
                <w:rFonts w:eastAsia="Calibri"/>
                <w:color w:val="000000"/>
                <w:sz w:val="22"/>
              </w:rPr>
              <w:t>Пошук підрядника</w:t>
            </w:r>
          </w:p>
          <w:p w:rsidR="00E95FB1" w:rsidRPr="00915913" w:rsidRDefault="00E95FB1" w:rsidP="000303D7">
            <w:pPr>
              <w:numPr>
                <w:ilvl w:val="0"/>
                <w:numId w:val="71"/>
              </w:numPr>
              <w:autoSpaceDE w:val="0"/>
              <w:autoSpaceDN w:val="0"/>
              <w:adjustRightInd w:val="0"/>
              <w:jc w:val="left"/>
              <w:rPr>
                <w:rFonts w:eastAsia="Calibri"/>
                <w:color w:val="000000"/>
                <w:sz w:val="22"/>
              </w:rPr>
            </w:pPr>
            <w:r w:rsidRPr="00915913">
              <w:rPr>
                <w:rFonts w:eastAsia="Calibri"/>
                <w:color w:val="000000"/>
                <w:sz w:val="22"/>
              </w:rPr>
              <w:t>Виготовлення пакету документів на сонячну станцію</w:t>
            </w:r>
          </w:p>
          <w:p w:rsidR="00E95FB1" w:rsidRPr="00915913" w:rsidRDefault="00E95FB1" w:rsidP="000303D7">
            <w:pPr>
              <w:numPr>
                <w:ilvl w:val="0"/>
                <w:numId w:val="71"/>
              </w:numPr>
              <w:autoSpaceDE w:val="0"/>
              <w:autoSpaceDN w:val="0"/>
              <w:adjustRightInd w:val="0"/>
              <w:jc w:val="left"/>
              <w:rPr>
                <w:rFonts w:eastAsia="Calibri"/>
                <w:color w:val="000000"/>
                <w:sz w:val="22"/>
              </w:rPr>
            </w:pPr>
            <w:r w:rsidRPr="00915913">
              <w:rPr>
                <w:rFonts w:eastAsia="Calibri"/>
                <w:color w:val="000000"/>
                <w:sz w:val="22"/>
              </w:rPr>
              <w:t>Встановлення сонячної станції</w:t>
            </w:r>
          </w:p>
        </w:tc>
      </w:tr>
      <w:tr w:rsidR="00E95FB1" w:rsidRPr="00915913" w:rsidTr="001B3967">
        <w:trPr>
          <w:trHeight w:val="695"/>
        </w:trPr>
        <w:tc>
          <w:tcPr>
            <w:tcW w:w="1448" w:type="dxa"/>
            <w:vMerge w:val="restart"/>
            <w:tcBorders>
              <w:top w:val="nil"/>
              <w:left w:val="nil"/>
              <w:bottom w:val="nil"/>
              <w:right w:val="single" w:sz="4" w:space="0" w:color="auto"/>
            </w:tcBorders>
          </w:tcPr>
          <w:p w:rsidR="00E95FB1" w:rsidRPr="00915913" w:rsidRDefault="00E95FB1" w:rsidP="001B3967">
            <w:pPr>
              <w:autoSpaceDE w:val="0"/>
              <w:autoSpaceDN w:val="0"/>
              <w:adjustRightInd w:val="0"/>
              <w:jc w:val="left"/>
              <w:rPr>
                <w:rFonts w:eastAsia="Calibri"/>
                <w:color w:val="000000"/>
                <w:sz w:val="22"/>
              </w:rPr>
            </w:pPr>
          </w:p>
        </w:tc>
        <w:tc>
          <w:tcPr>
            <w:tcW w:w="2835" w:type="dxa"/>
            <w:vMerge w:val="restart"/>
            <w:tcBorders>
              <w:top w:val="single" w:sz="4" w:space="0" w:color="auto"/>
              <w:left w:val="single" w:sz="4" w:space="0" w:color="auto"/>
              <w:bottom w:val="single" w:sz="4" w:space="0" w:color="auto"/>
              <w:right w:val="single" w:sz="4" w:space="0" w:color="auto"/>
            </w:tcBorders>
            <w:shd w:val="clear" w:color="00FFFF" w:fill="C6D9F1" w:themeFill="text2" w:themeFillTint="33"/>
          </w:tcPr>
          <w:p w:rsidR="00E95FB1" w:rsidRPr="00915913" w:rsidRDefault="00E95FB1" w:rsidP="001B3967">
            <w:pPr>
              <w:autoSpaceDE w:val="0"/>
              <w:autoSpaceDN w:val="0"/>
              <w:adjustRightInd w:val="0"/>
              <w:jc w:val="left"/>
              <w:rPr>
                <w:rFonts w:eastAsia="Calibri"/>
                <w:b/>
                <w:color w:val="000000"/>
                <w:sz w:val="22"/>
              </w:rPr>
            </w:pPr>
            <w:r w:rsidRPr="00915913">
              <w:rPr>
                <w:rFonts w:eastAsia="Calibri"/>
                <w:b/>
                <w:color w:val="000000"/>
                <w:sz w:val="22"/>
              </w:rPr>
              <w:t>Орієнтовний обсяг та джерела фінансування тис. гривень</w:t>
            </w:r>
          </w:p>
        </w:tc>
        <w:tc>
          <w:tcPr>
            <w:tcW w:w="1276" w:type="dxa"/>
            <w:vMerge w:val="restart"/>
            <w:tcBorders>
              <w:top w:val="single" w:sz="4" w:space="0" w:color="auto"/>
              <w:left w:val="single" w:sz="4" w:space="0" w:color="auto"/>
              <w:bottom w:val="single" w:sz="4" w:space="0" w:color="auto"/>
              <w:right w:val="single" w:sz="4"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державний бюджет</w:t>
            </w:r>
          </w:p>
        </w:tc>
        <w:tc>
          <w:tcPr>
            <w:tcW w:w="1134" w:type="dxa"/>
            <w:vMerge w:val="restart"/>
            <w:tcBorders>
              <w:top w:val="single" w:sz="4" w:space="0" w:color="auto"/>
              <w:left w:val="single" w:sz="4" w:space="0" w:color="auto"/>
              <w:right w:val="single" w:sz="4"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Місцевий бюджет</w:t>
            </w:r>
          </w:p>
        </w:tc>
        <w:tc>
          <w:tcPr>
            <w:tcW w:w="3260" w:type="dxa"/>
            <w:gridSpan w:val="4"/>
            <w:tcBorders>
              <w:top w:val="single" w:sz="4" w:space="0" w:color="auto"/>
              <w:left w:val="single" w:sz="4" w:space="0" w:color="auto"/>
              <w:bottom w:val="single" w:sz="4" w:space="0" w:color="auto"/>
              <w:right w:val="single" w:sz="4"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Інші джерела</w:t>
            </w:r>
          </w:p>
          <w:p w:rsidR="00E95FB1" w:rsidRPr="00915913" w:rsidRDefault="00E95FB1" w:rsidP="001B3967">
            <w:pPr>
              <w:autoSpaceDE w:val="0"/>
              <w:autoSpaceDN w:val="0"/>
              <w:adjustRightInd w:val="0"/>
              <w:jc w:val="left"/>
              <w:rPr>
                <w:rFonts w:eastAsia="Calibri"/>
                <w:color w:val="000000"/>
                <w:sz w:val="22"/>
              </w:rPr>
            </w:pPr>
          </w:p>
        </w:tc>
        <w:tc>
          <w:tcPr>
            <w:tcW w:w="1497" w:type="dxa"/>
            <w:vMerge w:val="restart"/>
            <w:tcBorders>
              <w:top w:val="single" w:sz="4" w:space="0" w:color="auto"/>
              <w:left w:val="single" w:sz="4" w:space="0" w:color="auto"/>
              <w:bottom w:val="nil"/>
              <w:right w:val="single" w:sz="4"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Всього</w:t>
            </w:r>
          </w:p>
        </w:tc>
      </w:tr>
      <w:tr w:rsidR="00E95FB1" w:rsidRPr="00915913" w:rsidTr="001B3967">
        <w:trPr>
          <w:trHeight w:val="65"/>
        </w:trPr>
        <w:tc>
          <w:tcPr>
            <w:tcW w:w="1448" w:type="dxa"/>
            <w:vMerge/>
            <w:tcBorders>
              <w:left w:val="nil"/>
              <w:right w:val="single" w:sz="4" w:space="0" w:color="auto"/>
            </w:tcBorders>
          </w:tcPr>
          <w:p w:rsidR="00E95FB1" w:rsidRPr="00915913" w:rsidRDefault="00E95FB1" w:rsidP="001B3967">
            <w:pPr>
              <w:autoSpaceDE w:val="0"/>
              <w:autoSpaceDN w:val="0"/>
              <w:adjustRightInd w:val="0"/>
              <w:jc w:val="left"/>
              <w:rPr>
                <w:rFonts w:eastAsia="Calibri"/>
                <w:color w:val="000000"/>
                <w:sz w:val="22"/>
              </w:rPr>
            </w:pPr>
          </w:p>
        </w:tc>
        <w:tc>
          <w:tcPr>
            <w:tcW w:w="2835" w:type="dxa"/>
            <w:vMerge/>
            <w:tcBorders>
              <w:top w:val="single" w:sz="4" w:space="0" w:color="auto"/>
              <w:left w:val="single" w:sz="4" w:space="0" w:color="auto"/>
              <w:bottom w:val="single" w:sz="4" w:space="0" w:color="auto"/>
              <w:right w:val="single" w:sz="4" w:space="0" w:color="auto"/>
            </w:tcBorders>
            <w:shd w:val="clear" w:color="00FFFF" w:fill="C6D9F1" w:themeFill="text2" w:themeFillTint="33"/>
          </w:tcPr>
          <w:p w:rsidR="00E95FB1" w:rsidRPr="00915913" w:rsidRDefault="00E95FB1" w:rsidP="001B3967">
            <w:pPr>
              <w:autoSpaceDE w:val="0"/>
              <w:autoSpaceDN w:val="0"/>
              <w:adjustRightInd w:val="0"/>
              <w:jc w:val="left"/>
              <w:rPr>
                <w:rFonts w:eastAsia="Calibri"/>
                <w:b/>
                <w:color w:val="000000"/>
                <w:sz w:val="22"/>
              </w:rPr>
            </w:pPr>
          </w:p>
        </w:tc>
        <w:tc>
          <w:tcPr>
            <w:tcW w:w="1276" w:type="dxa"/>
            <w:vMerge/>
            <w:tcBorders>
              <w:top w:val="single" w:sz="4" w:space="0" w:color="auto"/>
              <w:left w:val="single" w:sz="4" w:space="0" w:color="auto"/>
              <w:bottom w:val="single" w:sz="4" w:space="0" w:color="auto"/>
              <w:right w:val="single" w:sz="4" w:space="0" w:color="auto"/>
            </w:tcBorders>
          </w:tcPr>
          <w:p w:rsidR="00E95FB1" w:rsidRPr="00915913" w:rsidRDefault="00E95FB1" w:rsidP="001B3967">
            <w:pPr>
              <w:autoSpaceDE w:val="0"/>
              <w:autoSpaceDN w:val="0"/>
              <w:adjustRightInd w:val="0"/>
              <w:jc w:val="left"/>
              <w:rPr>
                <w:rFonts w:eastAsia="Calibri"/>
                <w:color w:val="000000"/>
                <w:sz w:val="22"/>
              </w:rPr>
            </w:pPr>
          </w:p>
        </w:tc>
        <w:tc>
          <w:tcPr>
            <w:tcW w:w="1134" w:type="dxa"/>
            <w:vMerge/>
            <w:tcBorders>
              <w:left w:val="single" w:sz="4" w:space="0" w:color="auto"/>
              <w:bottom w:val="single" w:sz="4" w:space="0" w:color="auto"/>
              <w:right w:val="single" w:sz="4" w:space="0" w:color="auto"/>
            </w:tcBorders>
          </w:tcPr>
          <w:p w:rsidR="00E95FB1" w:rsidRPr="00915913" w:rsidRDefault="00E95FB1" w:rsidP="001B3967">
            <w:pPr>
              <w:autoSpaceDE w:val="0"/>
              <w:autoSpaceDN w:val="0"/>
              <w:adjustRightInd w:val="0"/>
              <w:jc w:val="left"/>
              <w:rPr>
                <w:rFonts w:eastAsia="Calibri"/>
                <w:color w:val="000000"/>
                <w:sz w:val="22"/>
              </w:rPr>
            </w:pPr>
          </w:p>
        </w:tc>
        <w:tc>
          <w:tcPr>
            <w:tcW w:w="1559" w:type="dxa"/>
            <w:gridSpan w:val="2"/>
            <w:tcBorders>
              <w:top w:val="single" w:sz="4" w:space="0" w:color="auto"/>
              <w:left w:val="single" w:sz="4" w:space="0" w:color="auto"/>
              <w:bottom w:val="single" w:sz="4" w:space="0" w:color="auto"/>
              <w:right w:val="single" w:sz="4"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Обсяг</w:t>
            </w:r>
          </w:p>
        </w:tc>
        <w:tc>
          <w:tcPr>
            <w:tcW w:w="1701" w:type="dxa"/>
            <w:gridSpan w:val="2"/>
            <w:tcBorders>
              <w:top w:val="single" w:sz="4" w:space="0" w:color="auto"/>
              <w:left w:val="single" w:sz="4" w:space="0" w:color="auto"/>
              <w:bottom w:val="single" w:sz="4" w:space="0" w:color="auto"/>
              <w:right w:val="single" w:sz="4"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Назва джерела</w:t>
            </w:r>
          </w:p>
        </w:tc>
        <w:tc>
          <w:tcPr>
            <w:tcW w:w="1497" w:type="dxa"/>
            <w:vMerge/>
            <w:tcBorders>
              <w:left w:val="single" w:sz="4" w:space="0" w:color="auto"/>
              <w:bottom w:val="single" w:sz="4" w:space="0" w:color="auto"/>
              <w:right w:val="single" w:sz="4" w:space="0" w:color="auto"/>
            </w:tcBorders>
          </w:tcPr>
          <w:p w:rsidR="00E95FB1" w:rsidRPr="00915913" w:rsidRDefault="00E95FB1" w:rsidP="001B3967">
            <w:pPr>
              <w:autoSpaceDE w:val="0"/>
              <w:autoSpaceDN w:val="0"/>
              <w:adjustRightInd w:val="0"/>
              <w:jc w:val="left"/>
              <w:rPr>
                <w:rFonts w:eastAsia="Calibri"/>
                <w:color w:val="000000"/>
                <w:sz w:val="22"/>
              </w:rPr>
            </w:pPr>
          </w:p>
        </w:tc>
      </w:tr>
      <w:tr w:rsidR="00E95FB1" w:rsidRPr="00915913" w:rsidTr="001B3967">
        <w:trPr>
          <w:trHeight w:val="65"/>
        </w:trPr>
        <w:tc>
          <w:tcPr>
            <w:tcW w:w="1448" w:type="dxa"/>
            <w:tcBorders>
              <w:left w:val="nil"/>
              <w:right w:val="single" w:sz="4" w:space="0" w:color="auto"/>
            </w:tcBorders>
          </w:tcPr>
          <w:p w:rsidR="00E95FB1" w:rsidRPr="00915913" w:rsidRDefault="00E95FB1" w:rsidP="001B3967">
            <w:pPr>
              <w:autoSpaceDE w:val="0"/>
              <w:autoSpaceDN w:val="0"/>
              <w:adjustRightInd w:val="0"/>
              <w:jc w:val="left"/>
              <w:rPr>
                <w:rFonts w:eastAsia="Calibri"/>
                <w:color w:val="000000"/>
                <w:sz w:val="22"/>
              </w:rPr>
            </w:pPr>
          </w:p>
        </w:tc>
        <w:tc>
          <w:tcPr>
            <w:tcW w:w="2835" w:type="dxa"/>
            <w:tcBorders>
              <w:top w:val="single" w:sz="4" w:space="0" w:color="auto"/>
              <w:left w:val="single" w:sz="4" w:space="0" w:color="auto"/>
              <w:bottom w:val="single" w:sz="4" w:space="0" w:color="auto"/>
              <w:right w:val="single" w:sz="4" w:space="0" w:color="auto"/>
            </w:tcBorders>
            <w:shd w:val="clear" w:color="00FFFF" w:fill="C6D9F1" w:themeFill="text2" w:themeFillTint="33"/>
          </w:tcPr>
          <w:p w:rsidR="00E95FB1" w:rsidRPr="00915913" w:rsidRDefault="00E95FB1" w:rsidP="001B3967">
            <w:pPr>
              <w:autoSpaceDE w:val="0"/>
              <w:autoSpaceDN w:val="0"/>
              <w:adjustRightInd w:val="0"/>
              <w:jc w:val="left"/>
              <w:rPr>
                <w:rFonts w:eastAsia="Calibri"/>
                <w:b/>
                <w:color w:val="000000"/>
                <w:sz w:val="22"/>
              </w:rPr>
            </w:pPr>
          </w:p>
        </w:tc>
        <w:tc>
          <w:tcPr>
            <w:tcW w:w="1276" w:type="dxa"/>
            <w:tcBorders>
              <w:top w:val="single" w:sz="4" w:space="0" w:color="auto"/>
              <w:left w:val="single" w:sz="4" w:space="0" w:color="auto"/>
              <w:bottom w:val="single" w:sz="4" w:space="0" w:color="auto"/>
              <w:right w:val="single" w:sz="4"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3150,0</w:t>
            </w:r>
          </w:p>
        </w:tc>
        <w:tc>
          <w:tcPr>
            <w:tcW w:w="1134" w:type="dxa"/>
            <w:tcBorders>
              <w:top w:val="single" w:sz="4" w:space="0" w:color="auto"/>
              <w:left w:val="single" w:sz="4" w:space="0" w:color="auto"/>
              <w:bottom w:val="single" w:sz="4" w:space="0" w:color="auto"/>
              <w:right w:val="single" w:sz="4" w:space="0" w:color="auto"/>
            </w:tcBorders>
          </w:tcPr>
          <w:p w:rsidR="00E95FB1" w:rsidRPr="00915913" w:rsidRDefault="00E95FB1" w:rsidP="001B3967">
            <w:pPr>
              <w:autoSpaceDE w:val="0"/>
              <w:autoSpaceDN w:val="0"/>
              <w:adjustRightInd w:val="0"/>
              <w:jc w:val="left"/>
              <w:rPr>
                <w:rFonts w:eastAsia="Calibri"/>
                <w:color w:val="000000"/>
                <w:sz w:val="22"/>
              </w:rPr>
            </w:pPr>
          </w:p>
        </w:tc>
        <w:tc>
          <w:tcPr>
            <w:tcW w:w="1559" w:type="dxa"/>
            <w:gridSpan w:val="2"/>
            <w:tcBorders>
              <w:top w:val="single" w:sz="4" w:space="0" w:color="auto"/>
              <w:left w:val="single" w:sz="4" w:space="0" w:color="auto"/>
              <w:bottom w:val="single" w:sz="4" w:space="0" w:color="auto"/>
              <w:right w:val="single" w:sz="4"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1350,0</w:t>
            </w:r>
          </w:p>
        </w:tc>
        <w:tc>
          <w:tcPr>
            <w:tcW w:w="1701" w:type="dxa"/>
            <w:gridSpan w:val="2"/>
            <w:tcBorders>
              <w:top w:val="single" w:sz="4" w:space="0" w:color="auto"/>
              <w:left w:val="single" w:sz="4" w:space="0" w:color="auto"/>
              <w:bottom w:val="single" w:sz="4" w:space="0" w:color="auto"/>
              <w:right w:val="single" w:sz="4"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Міжнародні інвестиції</w:t>
            </w:r>
          </w:p>
          <w:p w:rsidR="00E95FB1" w:rsidRPr="00915913" w:rsidRDefault="00E95FB1" w:rsidP="001B3967">
            <w:pPr>
              <w:autoSpaceDE w:val="0"/>
              <w:autoSpaceDN w:val="0"/>
              <w:adjustRightInd w:val="0"/>
              <w:jc w:val="left"/>
              <w:rPr>
                <w:rFonts w:eastAsia="Calibri"/>
                <w:color w:val="000000"/>
                <w:sz w:val="22"/>
              </w:rPr>
            </w:pPr>
          </w:p>
        </w:tc>
        <w:tc>
          <w:tcPr>
            <w:tcW w:w="1497" w:type="dxa"/>
            <w:tcBorders>
              <w:top w:val="single" w:sz="4" w:space="0" w:color="auto"/>
              <w:left w:val="single" w:sz="4" w:space="0" w:color="auto"/>
              <w:bottom w:val="single" w:sz="4" w:space="0" w:color="auto"/>
              <w:right w:val="single" w:sz="4"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4500,0</w:t>
            </w:r>
          </w:p>
        </w:tc>
      </w:tr>
    </w:tbl>
    <w:p w:rsidR="00E95FB1" w:rsidRPr="00915913" w:rsidRDefault="00E95FB1" w:rsidP="00E95FB1">
      <w:pPr>
        <w:jc w:val="left"/>
        <w:rPr>
          <w:sz w:val="22"/>
        </w:rPr>
      </w:pPr>
    </w:p>
    <w:p w:rsidR="00E95FB1" w:rsidRPr="00915913" w:rsidRDefault="00E95FB1" w:rsidP="00E95FB1">
      <w:pPr>
        <w:rPr>
          <w:sz w:val="22"/>
        </w:rPr>
      </w:pPr>
    </w:p>
    <w:tbl>
      <w:tblPr>
        <w:tblpPr w:leftFromText="180" w:rightFromText="180" w:vertAnchor="text" w:horzAnchor="page" w:tblpX="1" w:tblpY="123"/>
        <w:tblW w:w="11512" w:type="dxa"/>
        <w:tblLayout w:type="fixed"/>
        <w:tblCellMar>
          <w:left w:w="30" w:type="dxa"/>
          <w:right w:w="30" w:type="dxa"/>
        </w:tblCellMar>
        <w:tblLook w:val="04A0" w:firstRow="1" w:lastRow="0" w:firstColumn="1" w:lastColumn="0" w:noHBand="0" w:noVBand="1"/>
      </w:tblPr>
      <w:tblGrid>
        <w:gridCol w:w="1448"/>
        <w:gridCol w:w="2835"/>
        <w:gridCol w:w="1417"/>
        <w:gridCol w:w="1134"/>
        <w:gridCol w:w="709"/>
        <w:gridCol w:w="851"/>
        <w:gridCol w:w="708"/>
        <w:gridCol w:w="993"/>
        <w:gridCol w:w="1417"/>
      </w:tblGrid>
      <w:tr w:rsidR="00E95FB1" w:rsidRPr="00915913" w:rsidTr="001B3967">
        <w:trPr>
          <w:trHeight w:val="835"/>
        </w:trPr>
        <w:tc>
          <w:tcPr>
            <w:tcW w:w="1448" w:type="dxa"/>
          </w:tcPr>
          <w:p w:rsidR="00E95FB1" w:rsidRPr="00915913" w:rsidRDefault="00E95FB1" w:rsidP="001B3967">
            <w:pPr>
              <w:spacing w:after="160" w:line="259" w:lineRule="auto"/>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E95FB1" w:rsidRPr="00915913" w:rsidRDefault="00E95FB1" w:rsidP="001B3967">
            <w:pPr>
              <w:autoSpaceDE w:val="0"/>
              <w:autoSpaceDN w:val="0"/>
              <w:adjustRightInd w:val="0"/>
              <w:rPr>
                <w:rFonts w:eastAsia="Calibri"/>
                <w:b/>
                <w:color w:val="000000"/>
                <w:sz w:val="22"/>
              </w:rPr>
            </w:pPr>
            <w:r w:rsidRPr="00915913">
              <w:rPr>
                <w:rFonts w:eastAsia="Calibri"/>
                <w:b/>
                <w:color w:val="000000"/>
                <w:sz w:val="22"/>
              </w:rPr>
              <w:t>Оперативна ціль/завдання</w:t>
            </w:r>
          </w:p>
        </w:tc>
        <w:tc>
          <w:tcPr>
            <w:tcW w:w="7229" w:type="dxa"/>
            <w:gridSpan w:val="7"/>
            <w:tcBorders>
              <w:top w:val="single" w:sz="6" w:space="0" w:color="auto"/>
              <w:left w:val="single" w:sz="6" w:space="0" w:color="auto"/>
              <w:bottom w:val="single" w:sz="6" w:space="0" w:color="auto"/>
              <w:right w:val="single" w:sz="6" w:space="0" w:color="auto"/>
            </w:tcBorders>
            <w:hideMark/>
          </w:tcPr>
          <w:p w:rsidR="00E95FB1" w:rsidRPr="00915913" w:rsidRDefault="00E95FB1" w:rsidP="001B3967">
            <w:pPr>
              <w:contextualSpacing/>
              <w:jc w:val="left"/>
              <w:rPr>
                <w:rFonts w:eastAsia="Arial"/>
                <w:sz w:val="22"/>
              </w:rPr>
            </w:pPr>
            <w:r w:rsidRPr="00915913">
              <w:rPr>
                <w:rFonts w:eastAsia="Arial"/>
                <w:sz w:val="22"/>
              </w:rPr>
              <w:t>Комфорт життя ЛЮДИНИ як безпека, екологічна сталість та  розумна енергетика. Громадська та інформаційна безпека території громади</w:t>
            </w:r>
          </w:p>
          <w:p w:rsidR="00E95FB1" w:rsidRPr="00915913" w:rsidRDefault="00E95FB1" w:rsidP="001B3967">
            <w:pPr>
              <w:autoSpaceDE w:val="0"/>
              <w:autoSpaceDN w:val="0"/>
              <w:adjustRightInd w:val="0"/>
              <w:jc w:val="left"/>
              <w:rPr>
                <w:rFonts w:eastAsia="Calibri"/>
                <w:color w:val="000000"/>
                <w:sz w:val="22"/>
              </w:rPr>
            </w:pPr>
          </w:p>
        </w:tc>
      </w:tr>
      <w:tr w:rsidR="00E95FB1" w:rsidRPr="00915913" w:rsidTr="001B3967">
        <w:trPr>
          <w:trHeight w:val="290"/>
        </w:trPr>
        <w:tc>
          <w:tcPr>
            <w:tcW w:w="1448" w:type="dxa"/>
          </w:tcPr>
          <w:p w:rsidR="00E95FB1" w:rsidRPr="00915913" w:rsidRDefault="00E95FB1" w:rsidP="001B396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E95FB1" w:rsidRPr="00915913" w:rsidRDefault="00E95FB1" w:rsidP="001B3967">
            <w:pPr>
              <w:autoSpaceDE w:val="0"/>
              <w:autoSpaceDN w:val="0"/>
              <w:adjustRightInd w:val="0"/>
              <w:rPr>
                <w:rFonts w:eastAsia="Calibri"/>
                <w:b/>
                <w:color w:val="000000"/>
                <w:sz w:val="22"/>
              </w:rPr>
            </w:pPr>
            <w:r w:rsidRPr="00915913">
              <w:rPr>
                <w:rFonts w:eastAsia="Calibri"/>
                <w:b/>
                <w:color w:val="000000"/>
                <w:sz w:val="22"/>
              </w:rPr>
              <w:t>Назва проекту:</w:t>
            </w:r>
          </w:p>
        </w:tc>
        <w:tc>
          <w:tcPr>
            <w:tcW w:w="7229" w:type="dxa"/>
            <w:gridSpan w:val="7"/>
            <w:tcBorders>
              <w:top w:val="single" w:sz="6" w:space="0" w:color="auto"/>
              <w:left w:val="single" w:sz="6" w:space="0" w:color="auto"/>
              <w:bottom w:val="single" w:sz="6" w:space="0" w:color="auto"/>
              <w:right w:val="single" w:sz="6" w:space="0" w:color="auto"/>
            </w:tcBorders>
            <w:hideMark/>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Придбання електробусів та зарядних станцій для них</w:t>
            </w:r>
          </w:p>
        </w:tc>
      </w:tr>
      <w:tr w:rsidR="00E95FB1" w:rsidRPr="00915913" w:rsidTr="001B3967">
        <w:trPr>
          <w:trHeight w:val="1075"/>
        </w:trPr>
        <w:tc>
          <w:tcPr>
            <w:tcW w:w="1448" w:type="dxa"/>
          </w:tcPr>
          <w:p w:rsidR="00E95FB1" w:rsidRPr="00915913" w:rsidRDefault="00E95FB1" w:rsidP="001B396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E95FB1" w:rsidRPr="00915913" w:rsidRDefault="00E95FB1" w:rsidP="001B3967">
            <w:pPr>
              <w:autoSpaceDE w:val="0"/>
              <w:autoSpaceDN w:val="0"/>
              <w:adjustRightInd w:val="0"/>
              <w:rPr>
                <w:rFonts w:eastAsia="Calibri"/>
                <w:b/>
                <w:color w:val="000000"/>
                <w:sz w:val="22"/>
              </w:rPr>
            </w:pPr>
            <w:r w:rsidRPr="00915913">
              <w:rPr>
                <w:rFonts w:eastAsia="Calibri"/>
                <w:b/>
                <w:color w:val="000000"/>
                <w:sz w:val="22"/>
              </w:rPr>
              <w:t>Ціль проекту</w:t>
            </w:r>
          </w:p>
        </w:tc>
        <w:tc>
          <w:tcPr>
            <w:tcW w:w="7229" w:type="dxa"/>
            <w:gridSpan w:val="7"/>
            <w:tcBorders>
              <w:top w:val="single" w:sz="6" w:space="0" w:color="auto"/>
              <w:left w:val="single" w:sz="6" w:space="0" w:color="auto"/>
              <w:bottom w:val="single" w:sz="6" w:space="0" w:color="auto"/>
              <w:right w:val="single" w:sz="6" w:space="0" w:color="auto"/>
            </w:tcBorders>
            <w:hideMark/>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Відновити та покращити роботу комунального підприємства «Сєвєродонецьке тролейбусне управління» для надання послуг з перевезення пасажирів Сєвєродонецької міської територіальної громади.</w:t>
            </w:r>
          </w:p>
        </w:tc>
      </w:tr>
      <w:tr w:rsidR="00E95FB1" w:rsidRPr="00915913" w:rsidTr="001B3967">
        <w:trPr>
          <w:trHeight w:val="290"/>
        </w:trPr>
        <w:tc>
          <w:tcPr>
            <w:tcW w:w="1448" w:type="dxa"/>
          </w:tcPr>
          <w:p w:rsidR="00E95FB1" w:rsidRPr="00915913" w:rsidRDefault="00E95FB1" w:rsidP="001B396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E95FB1" w:rsidRPr="00915913" w:rsidRDefault="00E95FB1" w:rsidP="001B3967">
            <w:pPr>
              <w:autoSpaceDE w:val="0"/>
              <w:autoSpaceDN w:val="0"/>
              <w:adjustRightInd w:val="0"/>
              <w:rPr>
                <w:rFonts w:eastAsia="Calibri"/>
                <w:b/>
                <w:color w:val="000000"/>
                <w:sz w:val="22"/>
              </w:rPr>
            </w:pPr>
            <w:r w:rsidRPr="00915913">
              <w:rPr>
                <w:rFonts w:eastAsia="Calibri"/>
                <w:b/>
                <w:color w:val="000000"/>
                <w:sz w:val="22"/>
              </w:rPr>
              <w:t>Територія, на яку матиме вплив реалізація проекту</w:t>
            </w:r>
          </w:p>
        </w:tc>
        <w:tc>
          <w:tcPr>
            <w:tcW w:w="7229" w:type="dxa"/>
            <w:gridSpan w:val="7"/>
            <w:tcBorders>
              <w:top w:val="single" w:sz="6" w:space="0" w:color="auto"/>
              <w:left w:val="single" w:sz="6" w:space="0" w:color="auto"/>
              <w:bottom w:val="single" w:sz="6" w:space="0" w:color="auto"/>
              <w:right w:val="single" w:sz="6" w:space="0" w:color="auto"/>
            </w:tcBorders>
            <w:hideMark/>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Сєвєродонецька міська територіальна громада</w:t>
            </w:r>
          </w:p>
        </w:tc>
      </w:tr>
      <w:tr w:rsidR="00E95FB1" w:rsidRPr="00915913" w:rsidTr="001B3967">
        <w:trPr>
          <w:trHeight w:val="581"/>
        </w:trPr>
        <w:tc>
          <w:tcPr>
            <w:tcW w:w="1448" w:type="dxa"/>
          </w:tcPr>
          <w:p w:rsidR="00E95FB1" w:rsidRPr="00915913" w:rsidRDefault="00E95FB1" w:rsidP="001B396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E95FB1" w:rsidRPr="00915913" w:rsidRDefault="00E95FB1" w:rsidP="001B3967">
            <w:pPr>
              <w:autoSpaceDE w:val="0"/>
              <w:autoSpaceDN w:val="0"/>
              <w:adjustRightInd w:val="0"/>
              <w:rPr>
                <w:rFonts w:eastAsia="Calibri"/>
                <w:b/>
                <w:color w:val="000000"/>
                <w:sz w:val="22"/>
              </w:rPr>
            </w:pPr>
            <w:r w:rsidRPr="00915913">
              <w:rPr>
                <w:rFonts w:eastAsia="Calibri"/>
                <w:b/>
                <w:color w:val="000000"/>
                <w:sz w:val="22"/>
              </w:rPr>
              <w:t>Чисельність населення, на яке матиме вплив реалізація проекту</w:t>
            </w:r>
          </w:p>
        </w:tc>
        <w:tc>
          <w:tcPr>
            <w:tcW w:w="7229" w:type="dxa"/>
            <w:gridSpan w:val="7"/>
            <w:tcBorders>
              <w:top w:val="single" w:sz="6" w:space="0" w:color="auto"/>
              <w:left w:val="single" w:sz="6" w:space="0" w:color="auto"/>
              <w:bottom w:val="single" w:sz="6" w:space="0" w:color="auto"/>
              <w:right w:val="single" w:sz="6" w:space="0" w:color="auto"/>
            </w:tcBorders>
            <w:hideMark/>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70000 осіб</w:t>
            </w:r>
          </w:p>
        </w:tc>
      </w:tr>
      <w:tr w:rsidR="00E95FB1" w:rsidRPr="00915913" w:rsidTr="001B3967">
        <w:trPr>
          <w:trHeight w:val="1224"/>
        </w:trPr>
        <w:tc>
          <w:tcPr>
            <w:tcW w:w="1448" w:type="dxa"/>
          </w:tcPr>
          <w:p w:rsidR="00E95FB1" w:rsidRPr="00915913" w:rsidRDefault="00E95FB1" w:rsidP="001B396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E95FB1" w:rsidRPr="00915913" w:rsidRDefault="00E95FB1" w:rsidP="001B3967">
            <w:pPr>
              <w:autoSpaceDE w:val="0"/>
              <w:autoSpaceDN w:val="0"/>
              <w:adjustRightInd w:val="0"/>
              <w:rPr>
                <w:rFonts w:eastAsia="Calibri"/>
                <w:b/>
                <w:color w:val="000000"/>
                <w:sz w:val="22"/>
              </w:rPr>
            </w:pPr>
            <w:r w:rsidRPr="00915913">
              <w:rPr>
                <w:rFonts w:eastAsia="Calibri"/>
                <w:b/>
                <w:color w:val="000000"/>
                <w:sz w:val="22"/>
              </w:rPr>
              <w:t>Опис проблеми, на вирішення якої спрямований проект</w:t>
            </w:r>
          </w:p>
        </w:tc>
        <w:tc>
          <w:tcPr>
            <w:tcW w:w="7229" w:type="dxa"/>
            <w:gridSpan w:val="7"/>
            <w:tcBorders>
              <w:top w:val="single" w:sz="6" w:space="0" w:color="auto"/>
              <w:left w:val="single" w:sz="6" w:space="0" w:color="auto"/>
              <w:bottom w:val="single" w:sz="6" w:space="0" w:color="auto"/>
              <w:right w:val="single" w:sz="6" w:space="0" w:color="auto"/>
            </w:tcBorders>
            <w:hideMark/>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Через військову агресію РФ територія Сєвєродонецької міської територіальної громади зазнала значних пошкоджень. Територія комунально підприємства «Сєвєродонецьке тролейбусне управління опинилось в епіцентрі даних подій, в результаті чого знищено весь тролейбусний парк підприємства та всю контактну мережу.</w:t>
            </w:r>
          </w:p>
        </w:tc>
      </w:tr>
      <w:tr w:rsidR="00E95FB1" w:rsidRPr="00915913" w:rsidTr="001B3967">
        <w:trPr>
          <w:trHeight w:val="528"/>
        </w:trPr>
        <w:tc>
          <w:tcPr>
            <w:tcW w:w="1448" w:type="dxa"/>
          </w:tcPr>
          <w:p w:rsidR="00E95FB1" w:rsidRPr="00915913" w:rsidRDefault="00E95FB1" w:rsidP="001B396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E95FB1" w:rsidRPr="00915913" w:rsidRDefault="00E95FB1" w:rsidP="001B3967">
            <w:pPr>
              <w:autoSpaceDE w:val="0"/>
              <w:autoSpaceDN w:val="0"/>
              <w:adjustRightInd w:val="0"/>
              <w:rPr>
                <w:rFonts w:eastAsia="Calibri"/>
                <w:b/>
                <w:color w:val="000000"/>
                <w:sz w:val="22"/>
              </w:rPr>
            </w:pPr>
            <w:r w:rsidRPr="00915913">
              <w:rPr>
                <w:rFonts w:eastAsia="Calibri"/>
                <w:b/>
                <w:color w:val="000000"/>
                <w:sz w:val="22"/>
              </w:rPr>
              <w:t>Очікувані якісні результати від реалізації проекту</w:t>
            </w:r>
          </w:p>
        </w:tc>
        <w:tc>
          <w:tcPr>
            <w:tcW w:w="7229" w:type="dxa"/>
            <w:gridSpan w:val="7"/>
            <w:tcBorders>
              <w:top w:val="single" w:sz="6" w:space="0" w:color="auto"/>
              <w:left w:val="single" w:sz="6" w:space="0" w:color="auto"/>
              <w:bottom w:val="single" w:sz="6" w:space="0" w:color="auto"/>
              <w:right w:val="single" w:sz="6" w:space="0" w:color="auto"/>
            </w:tcBorders>
            <w:hideMark/>
          </w:tcPr>
          <w:p w:rsidR="00E95FB1" w:rsidRPr="00915913" w:rsidRDefault="00E95FB1" w:rsidP="000303D7">
            <w:pPr>
              <w:pStyle w:val="a7"/>
              <w:numPr>
                <w:ilvl w:val="0"/>
                <w:numId w:val="76"/>
              </w:numPr>
              <w:autoSpaceDE w:val="0"/>
              <w:autoSpaceDN w:val="0"/>
              <w:adjustRightInd w:val="0"/>
              <w:jc w:val="left"/>
              <w:rPr>
                <w:rFonts w:eastAsia="Calibri"/>
                <w:color w:val="000000"/>
                <w:sz w:val="22"/>
              </w:rPr>
            </w:pPr>
            <w:r w:rsidRPr="00915913">
              <w:rPr>
                <w:rFonts w:eastAsia="Calibri"/>
                <w:color w:val="000000"/>
                <w:sz w:val="22"/>
              </w:rPr>
              <w:t xml:space="preserve"> сучасний економічних вид транспорту</w:t>
            </w:r>
          </w:p>
          <w:p w:rsidR="00E95FB1" w:rsidRPr="00915913" w:rsidRDefault="00E95FB1" w:rsidP="000303D7">
            <w:pPr>
              <w:pStyle w:val="a7"/>
              <w:numPr>
                <w:ilvl w:val="0"/>
                <w:numId w:val="76"/>
              </w:numPr>
              <w:autoSpaceDE w:val="0"/>
              <w:autoSpaceDN w:val="0"/>
              <w:adjustRightInd w:val="0"/>
              <w:jc w:val="left"/>
              <w:rPr>
                <w:rFonts w:eastAsia="Calibri"/>
                <w:color w:val="000000"/>
                <w:sz w:val="22"/>
              </w:rPr>
            </w:pPr>
            <w:r w:rsidRPr="00915913">
              <w:rPr>
                <w:rFonts w:eastAsia="Calibri"/>
                <w:color w:val="000000"/>
                <w:sz w:val="22"/>
              </w:rPr>
              <w:t xml:space="preserve"> </w:t>
            </w:r>
            <w:r w:rsidR="0027587B" w:rsidRPr="00915913">
              <w:rPr>
                <w:rFonts w:eastAsia="Calibri"/>
                <w:color w:val="000000"/>
                <w:sz w:val="22"/>
                <w:szCs w:val="22"/>
              </w:rPr>
              <w:t>е</w:t>
            </w:r>
            <w:r w:rsidRPr="00915913">
              <w:rPr>
                <w:rFonts w:eastAsia="Calibri"/>
                <w:color w:val="000000"/>
                <w:sz w:val="22"/>
                <w:szCs w:val="22"/>
              </w:rPr>
              <w:t>кологічно</w:t>
            </w:r>
            <w:r w:rsidRPr="00915913">
              <w:rPr>
                <w:rFonts w:eastAsia="Calibri"/>
                <w:color w:val="000000"/>
                <w:sz w:val="22"/>
              </w:rPr>
              <w:t xml:space="preserve"> чистий вид транспорту</w:t>
            </w:r>
          </w:p>
          <w:p w:rsidR="00E95FB1" w:rsidRPr="00915913" w:rsidRDefault="00E95FB1" w:rsidP="000303D7">
            <w:pPr>
              <w:pStyle w:val="a7"/>
              <w:numPr>
                <w:ilvl w:val="0"/>
                <w:numId w:val="76"/>
              </w:numPr>
              <w:autoSpaceDE w:val="0"/>
              <w:autoSpaceDN w:val="0"/>
              <w:adjustRightInd w:val="0"/>
              <w:jc w:val="left"/>
              <w:rPr>
                <w:rFonts w:eastAsia="Calibri"/>
                <w:color w:val="000000"/>
                <w:sz w:val="22"/>
              </w:rPr>
            </w:pPr>
            <w:r w:rsidRPr="00915913">
              <w:rPr>
                <w:rFonts w:eastAsia="Calibri"/>
                <w:color w:val="000000"/>
                <w:sz w:val="22"/>
              </w:rPr>
              <w:t xml:space="preserve"> надання якісної послуги населенню громади</w:t>
            </w:r>
          </w:p>
          <w:p w:rsidR="00E95FB1" w:rsidRPr="00915913" w:rsidRDefault="0027587B" w:rsidP="000303D7">
            <w:pPr>
              <w:pStyle w:val="a7"/>
              <w:numPr>
                <w:ilvl w:val="0"/>
                <w:numId w:val="76"/>
              </w:numPr>
              <w:autoSpaceDE w:val="0"/>
              <w:autoSpaceDN w:val="0"/>
              <w:adjustRightInd w:val="0"/>
              <w:jc w:val="left"/>
              <w:rPr>
                <w:rFonts w:eastAsia="Calibri"/>
                <w:color w:val="000000"/>
                <w:sz w:val="22"/>
              </w:rPr>
            </w:pPr>
            <w:r w:rsidRPr="00915913">
              <w:rPr>
                <w:rFonts w:eastAsia="Calibri"/>
                <w:color w:val="000000"/>
                <w:sz w:val="22"/>
                <w:szCs w:val="22"/>
              </w:rPr>
              <w:t>с</w:t>
            </w:r>
            <w:r w:rsidR="00E95FB1" w:rsidRPr="00915913">
              <w:rPr>
                <w:rFonts w:eastAsia="Calibri"/>
                <w:color w:val="000000"/>
                <w:sz w:val="22"/>
                <w:szCs w:val="22"/>
              </w:rPr>
              <w:t>творення</w:t>
            </w:r>
            <w:r w:rsidR="00E95FB1" w:rsidRPr="00915913">
              <w:rPr>
                <w:rFonts w:eastAsia="Calibri"/>
                <w:color w:val="000000"/>
                <w:sz w:val="22"/>
              </w:rPr>
              <w:t xml:space="preserve"> нових робочих місць</w:t>
            </w:r>
          </w:p>
          <w:p w:rsidR="00E95FB1" w:rsidRPr="00915913" w:rsidRDefault="0027587B" w:rsidP="000303D7">
            <w:pPr>
              <w:pStyle w:val="a7"/>
              <w:numPr>
                <w:ilvl w:val="0"/>
                <w:numId w:val="76"/>
              </w:numPr>
              <w:autoSpaceDE w:val="0"/>
              <w:autoSpaceDN w:val="0"/>
              <w:adjustRightInd w:val="0"/>
              <w:jc w:val="left"/>
              <w:rPr>
                <w:rFonts w:eastAsia="Calibri"/>
                <w:color w:val="000000"/>
                <w:sz w:val="22"/>
              </w:rPr>
            </w:pPr>
            <w:r w:rsidRPr="00915913">
              <w:rPr>
                <w:rFonts w:eastAsia="Calibri"/>
                <w:color w:val="000000"/>
                <w:sz w:val="22"/>
                <w:szCs w:val="22"/>
              </w:rPr>
              <w:t>с</w:t>
            </w:r>
            <w:r w:rsidR="00E95FB1" w:rsidRPr="00915913">
              <w:rPr>
                <w:rFonts w:eastAsia="Calibri"/>
                <w:color w:val="000000"/>
                <w:sz w:val="22"/>
                <w:szCs w:val="22"/>
              </w:rPr>
              <w:t>тимул</w:t>
            </w:r>
            <w:r w:rsidR="00E95FB1" w:rsidRPr="00915913">
              <w:rPr>
                <w:rFonts w:eastAsia="Calibri"/>
                <w:color w:val="000000"/>
                <w:sz w:val="22"/>
              </w:rPr>
              <w:t xml:space="preserve"> для повернення ВПО до громади</w:t>
            </w:r>
          </w:p>
          <w:p w:rsidR="00E95FB1" w:rsidRPr="00915913" w:rsidRDefault="0027587B" w:rsidP="0027587B">
            <w:pPr>
              <w:pStyle w:val="a7"/>
              <w:numPr>
                <w:ilvl w:val="0"/>
                <w:numId w:val="76"/>
              </w:numPr>
              <w:autoSpaceDE w:val="0"/>
              <w:autoSpaceDN w:val="0"/>
              <w:adjustRightInd w:val="0"/>
              <w:jc w:val="left"/>
              <w:rPr>
                <w:rFonts w:eastAsia="Calibri"/>
                <w:color w:val="000000"/>
                <w:sz w:val="22"/>
              </w:rPr>
            </w:pPr>
            <w:r w:rsidRPr="00915913">
              <w:rPr>
                <w:rFonts w:eastAsia="Calibri"/>
                <w:color w:val="000000"/>
                <w:sz w:val="22"/>
                <w:szCs w:val="22"/>
              </w:rPr>
              <w:t>в</w:t>
            </w:r>
            <w:r w:rsidR="00E95FB1" w:rsidRPr="00915913">
              <w:rPr>
                <w:rFonts w:eastAsia="Calibri"/>
                <w:color w:val="000000"/>
                <w:sz w:val="22"/>
                <w:szCs w:val="22"/>
              </w:rPr>
              <w:t>ідкриття</w:t>
            </w:r>
            <w:r w:rsidR="00E95FB1" w:rsidRPr="00915913">
              <w:rPr>
                <w:rFonts w:eastAsia="Calibri"/>
                <w:color w:val="000000"/>
                <w:sz w:val="22"/>
              </w:rPr>
              <w:t xml:space="preserve"> нових маршрутів руху</w:t>
            </w:r>
          </w:p>
        </w:tc>
      </w:tr>
      <w:tr w:rsidR="00E95FB1" w:rsidRPr="00915913" w:rsidTr="001B3967">
        <w:trPr>
          <w:trHeight w:val="581"/>
        </w:trPr>
        <w:tc>
          <w:tcPr>
            <w:tcW w:w="1448" w:type="dxa"/>
          </w:tcPr>
          <w:p w:rsidR="00E95FB1" w:rsidRPr="00915913" w:rsidRDefault="00E95FB1" w:rsidP="001B396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E95FB1" w:rsidRPr="00915913" w:rsidRDefault="00E95FB1" w:rsidP="001B3967">
            <w:pPr>
              <w:autoSpaceDE w:val="0"/>
              <w:autoSpaceDN w:val="0"/>
              <w:adjustRightInd w:val="0"/>
              <w:rPr>
                <w:rFonts w:eastAsia="Calibri"/>
                <w:b/>
                <w:color w:val="000000"/>
                <w:sz w:val="22"/>
              </w:rPr>
            </w:pPr>
            <w:r w:rsidRPr="00915913">
              <w:rPr>
                <w:rFonts w:eastAsia="Calibri"/>
                <w:b/>
                <w:color w:val="000000"/>
                <w:sz w:val="22"/>
              </w:rPr>
              <w:t>Очікувані кількісні результати від реалізації проекту  (індикатори)</w:t>
            </w:r>
          </w:p>
        </w:tc>
        <w:tc>
          <w:tcPr>
            <w:tcW w:w="3260" w:type="dxa"/>
            <w:gridSpan w:val="3"/>
            <w:tcBorders>
              <w:top w:val="single" w:sz="6" w:space="0" w:color="auto"/>
              <w:left w:val="single" w:sz="6" w:space="0" w:color="auto"/>
              <w:bottom w:val="single" w:sz="6" w:space="0" w:color="auto"/>
              <w:right w:val="single" w:sz="6" w:space="0" w:color="auto"/>
            </w:tcBorders>
            <w:hideMark/>
          </w:tcPr>
          <w:p w:rsidR="00E95FB1" w:rsidRPr="00915913" w:rsidRDefault="00E95FB1" w:rsidP="001B3967">
            <w:pPr>
              <w:autoSpaceDE w:val="0"/>
              <w:autoSpaceDN w:val="0"/>
              <w:adjustRightInd w:val="0"/>
              <w:jc w:val="left"/>
              <w:rPr>
                <w:rFonts w:eastAsia="Calibri"/>
                <w:b/>
                <w:color w:val="000000"/>
                <w:sz w:val="22"/>
              </w:rPr>
            </w:pPr>
            <w:r w:rsidRPr="00915913">
              <w:rPr>
                <w:rFonts w:eastAsia="Calibri"/>
                <w:b/>
                <w:color w:val="000000"/>
                <w:sz w:val="22"/>
              </w:rPr>
              <w:t>Найменування показника</w:t>
            </w:r>
          </w:p>
        </w:tc>
        <w:tc>
          <w:tcPr>
            <w:tcW w:w="1559" w:type="dxa"/>
            <w:gridSpan w:val="2"/>
            <w:tcBorders>
              <w:top w:val="single" w:sz="6" w:space="0" w:color="auto"/>
              <w:left w:val="single" w:sz="6" w:space="0" w:color="auto"/>
              <w:bottom w:val="single" w:sz="6" w:space="0" w:color="auto"/>
              <w:right w:val="single" w:sz="6" w:space="0" w:color="auto"/>
            </w:tcBorders>
            <w:hideMark/>
          </w:tcPr>
          <w:p w:rsidR="00E95FB1" w:rsidRPr="00915913" w:rsidRDefault="00E95FB1" w:rsidP="001B3967">
            <w:pPr>
              <w:autoSpaceDE w:val="0"/>
              <w:autoSpaceDN w:val="0"/>
              <w:adjustRightInd w:val="0"/>
              <w:jc w:val="left"/>
              <w:rPr>
                <w:rFonts w:eastAsia="Calibri"/>
                <w:b/>
                <w:color w:val="000000"/>
                <w:sz w:val="22"/>
              </w:rPr>
            </w:pPr>
            <w:r w:rsidRPr="00915913">
              <w:rPr>
                <w:rFonts w:eastAsia="Calibri"/>
                <w:b/>
                <w:color w:val="000000"/>
                <w:sz w:val="22"/>
              </w:rPr>
              <w:t>Одиниця вимірювання</w:t>
            </w:r>
          </w:p>
        </w:tc>
        <w:tc>
          <w:tcPr>
            <w:tcW w:w="2410" w:type="dxa"/>
            <w:gridSpan w:val="2"/>
            <w:tcBorders>
              <w:top w:val="single" w:sz="6" w:space="0" w:color="auto"/>
              <w:left w:val="single" w:sz="6" w:space="0" w:color="auto"/>
              <w:bottom w:val="single" w:sz="6" w:space="0" w:color="auto"/>
              <w:right w:val="single" w:sz="6" w:space="0" w:color="auto"/>
            </w:tcBorders>
            <w:hideMark/>
          </w:tcPr>
          <w:p w:rsidR="00E95FB1" w:rsidRPr="00915913" w:rsidRDefault="00E95FB1" w:rsidP="001B3967">
            <w:pPr>
              <w:autoSpaceDE w:val="0"/>
              <w:autoSpaceDN w:val="0"/>
              <w:adjustRightInd w:val="0"/>
              <w:jc w:val="left"/>
              <w:rPr>
                <w:rFonts w:eastAsia="Calibri"/>
                <w:b/>
                <w:color w:val="000000"/>
                <w:sz w:val="22"/>
              </w:rPr>
            </w:pPr>
            <w:r w:rsidRPr="00915913">
              <w:rPr>
                <w:rFonts w:eastAsia="Calibri"/>
                <w:b/>
                <w:color w:val="000000"/>
                <w:sz w:val="22"/>
              </w:rPr>
              <w:t>Прогнозне (цільове) значення</w:t>
            </w:r>
          </w:p>
        </w:tc>
      </w:tr>
      <w:tr w:rsidR="00E95FB1" w:rsidRPr="00915913" w:rsidTr="001B3967">
        <w:trPr>
          <w:trHeight w:val="497"/>
        </w:trPr>
        <w:tc>
          <w:tcPr>
            <w:tcW w:w="1448" w:type="dxa"/>
          </w:tcPr>
          <w:p w:rsidR="00E95FB1" w:rsidRPr="00915913" w:rsidRDefault="00E95FB1" w:rsidP="001B396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E95FB1" w:rsidRPr="00915913" w:rsidRDefault="00E95FB1" w:rsidP="001B3967">
            <w:pPr>
              <w:autoSpaceDE w:val="0"/>
              <w:autoSpaceDN w:val="0"/>
              <w:adjustRightInd w:val="0"/>
              <w:jc w:val="right"/>
              <w:rPr>
                <w:rFonts w:eastAsia="Calibri"/>
                <w:b/>
                <w:color w:val="000000"/>
                <w:sz w:val="22"/>
              </w:rPr>
            </w:pPr>
          </w:p>
        </w:tc>
        <w:tc>
          <w:tcPr>
            <w:tcW w:w="3260" w:type="dxa"/>
            <w:gridSpan w:val="3"/>
            <w:tcBorders>
              <w:top w:val="single" w:sz="6" w:space="0" w:color="auto"/>
              <w:left w:val="single" w:sz="6" w:space="0" w:color="auto"/>
              <w:bottom w:val="single" w:sz="6" w:space="0" w:color="auto"/>
              <w:right w:val="single" w:sz="6" w:space="0" w:color="auto"/>
            </w:tcBorders>
            <w:hideMark/>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1.Кількість придбаних електробусів</w:t>
            </w:r>
          </w:p>
        </w:tc>
        <w:tc>
          <w:tcPr>
            <w:tcW w:w="1559" w:type="dxa"/>
            <w:gridSpan w:val="2"/>
            <w:tcBorders>
              <w:top w:val="single" w:sz="6" w:space="0" w:color="auto"/>
              <w:left w:val="single" w:sz="6" w:space="0" w:color="auto"/>
              <w:bottom w:val="single" w:sz="6" w:space="0" w:color="auto"/>
              <w:right w:val="single" w:sz="6" w:space="0" w:color="auto"/>
            </w:tcBorders>
            <w:hideMark/>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одиниць</w:t>
            </w:r>
          </w:p>
          <w:p w:rsidR="00E95FB1" w:rsidRPr="00915913" w:rsidRDefault="00E95FB1" w:rsidP="001B3967">
            <w:pPr>
              <w:autoSpaceDE w:val="0"/>
              <w:autoSpaceDN w:val="0"/>
              <w:adjustRightInd w:val="0"/>
              <w:jc w:val="left"/>
              <w:rPr>
                <w:rFonts w:eastAsia="Calibri"/>
                <w:color w:val="000000"/>
                <w:sz w:val="22"/>
              </w:rPr>
            </w:pPr>
          </w:p>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w:t>
            </w:r>
          </w:p>
        </w:tc>
        <w:tc>
          <w:tcPr>
            <w:tcW w:w="2410" w:type="dxa"/>
            <w:gridSpan w:val="2"/>
            <w:tcBorders>
              <w:top w:val="single" w:sz="6" w:space="0" w:color="auto"/>
              <w:left w:val="single" w:sz="6" w:space="0" w:color="auto"/>
              <w:bottom w:val="single" w:sz="6" w:space="0" w:color="auto"/>
              <w:right w:val="single" w:sz="6" w:space="0" w:color="auto"/>
            </w:tcBorders>
            <w:hideMark/>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20</w:t>
            </w:r>
          </w:p>
          <w:p w:rsidR="00E95FB1" w:rsidRPr="00915913" w:rsidRDefault="00E95FB1" w:rsidP="001B3967">
            <w:pPr>
              <w:autoSpaceDE w:val="0"/>
              <w:autoSpaceDN w:val="0"/>
              <w:adjustRightInd w:val="0"/>
              <w:jc w:val="left"/>
              <w:rPr>
                <w:rFonts w:eastAsia="Calibri"/>
                <w:color w:val="000000"/>
                <w:sz w:val="22"/>
              </w:rPr>
            </w:pPr>
          </w:p>
          <w:p w:rsidR="00E95FB1" w:rsidRPr="00915913" w:rsidRDefault="00E95FB1" w:rsidP="001B3967">
            <w:pPr>
              <w:autoSpaceDE w:val="0"/>
              <w:autoSpaceDN w:val="0"/>
              <w:adjustRightInd w:val="0"/>
              <w:jc w:val="left"/>
              <w:rPr>
                <w:rFonts w:eastAsia="Calibri"/>
                <w:color w:val="000000"/>
                <w:sz w:val="22"/>
              </w:rPr>
            </w:pPr>
          </w:p>
        </w:tc>
      </w:tr>
      <w:tr w:rsidR="00E95FB1" w:rsidRPr="00915913" w:rsidTr="001B3967">
        <w:trPr>
          <w:trHeight w:val="290"/>
        </w:trPr>
        <w:tc>
          <w:tcPr>
            <w:tcW w:w="1448" w:type="dxa"/>
          </w:tcPr>
          <w:p w:rsidR="00E95FB1" w:rsidRPr="00915913" w:rsidRDefault="00E95FB1" w:rsidP="001B396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E95FB1" w:rsidRPr="00915913" w:rsidRDefault="00E95FB1" w:rsidP="001B3967">
            <w:pPr>
              <w:autoSpaceDE w:val="0"/>
              <w:autoSpaceDN w:val="0"/>
              <w:adjustRightInd w:val="0"/>
              <w:jc w:val="right"/>
              <w:rPr>
                <w:rFonts w:eastAsia="Calibri"/>
                <w:b/>
                <w:color w:val="000000"/>
                <w:sz w:val="22"/>
              </w:rPr>
            </w:pPr>
          </w:p>
        </w:tc>
        <w:tc>
          <w:tcPr>
            <w:tcW w:w="3260" w:type="dxa"/>
            <w:gridSpan w:val="3"/>
            <w:tcBorders>
              <w:top w:val="single" w:sz="6" w:space="0" w:color="auto"/>
              <w:left w:val="single" w:sz="6" w:space="0" w:color="auto"/>
              <w:bottom w:val="single" w:sz="6" w:space="0" w:color="auto"/>
              <w:right w:val="single" w:sz="6"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2.Кількість придбаних зарядних станцій</w:t>
            </w:r>
          </w:p>
        </w:tc>
        <w:tc>
          <w:tcPr>
            <w:tcW w:w="1559" w:type="dxa"/>
            <w:gridSpan w:val="2"/>
            <w:tcBorders>
              <w:top w:val="single" w:sz="6" w:space="0" w:color="auto"/>
              <w:left w:val="single" w:sz="6" w:space="0" w:color="auto"/>
              <w:bottom w:val="single" w:sz="6" w:space="0" w:color="auto"/>
              <w:right w:val="single" w:sz="6"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одиниць</w:t>
            </w:r>
          </w:p>
          <w:p w:rsidR="00E95FB1" w:rsidRPr="00915913" w:rsidRDefault="00E95FB1" w:rsidP="001B3967">
            <w:pPr>
              <w:autoSpaceDE w:val="0"/>
              <w:autoSpaceDN w:val="0"/>
              <w:adjustRightInd w:val="0"/>
              <w:jc w:val="left"/>
              <w:rPr>
                <w:rFonts w:eastAsia="Calibri"/>
                <w:color w:val="000000"/>
                <w:sz w:val="22"/>
              </w:rPr>
            </w:pPr>
          </w:p>
        </w:tc>
        <w:tc>
          <w:tcPr>
            <w:tcW w:w="2410" w:type="dxa"/>
            <w:gridSpan w:val="2"/>
            <w:tcBorders>
              <w:top w:val="single" w:sz="6" w:space="0" w:color="auto"/>
              <w:left w:val="single" w:sz="6" w:space="0" w:color="auto"/>
              <w:bottom w:val="single" w:sz="6" w:space="0" w:color="auto"/>
              <w:right w:val="single" w:sz="6"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20</w:t>
            </w:r>
          </w:p>
        </w:tc>
      </w:tr>
      <w:tr w:rsidR="00E95FB1" w:rsidRPr="00915913" w:rsidTr="001B3967">
        <w:trPr>
          <w:trHeight w:val="290"/>
        </w:trPr>
        <w:tc>
          <w:tcPr>
            <w:tcW w:w="1448" w:type="dxa"/>
          </w:tcPr>
          <w:p w:rsidR="00E95FB1" w:rsidRPr="00915913" w:rsidRDefault="00E95FB1" w:rsidP="001B396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E95FB1" w:rsidRPr="00915913" w:rsidRDefault="00E95FB1" w:rsidP="001B3967">
            <w:pPr>
              <w:autoSpaceDE w:val="0"/>
              <w:autoSpaceDN w:val="0"/>
              <w:adjustRightInd w:val="0"/>
              <w:jc w:val="right"/>
              <w:rPr>
                <w:rFonts w:eastAsia="Calibri"/>
                <w:b/>
                <w:color w:val="000000"/>
                <w:sz w:val="22"/>
              </w:rPr>
            </w:pPr>
          </w:p>
        </w:tc>
        <w:tc>
          <w:tcPr>
            <w:tcW w:w="3260" w:type="dxa"/>
            <w:gridSpan w:val="3"/>
            <w:tcBorders>
              <w:top w:val="single" w:sz="6" w:space="0" w:color="auto"/>
              <w:left w:val="single" w:sz="6" w:space="0" w:color="auto"/>
              <w:bottom w:val="single" w:sz="6" w:space="0" w:color="auto"/>
              <w:right w:val="single" w:sz="6"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3. Кількість перевезених пасажирів на рік</w:t>
            </w:r>
          </w:p>
        </w:tc>
        <w:tc>
          <w:tcPr>
            <w:tcW w:w="1559" w:type="dxa"/>
            <w:gridSpan w:val="2"/>
            <w:tcBorders>
              <w:top w:val="single" w:sz="6" w:space="0" w:color="auto"/>
              <w:left w:val="single" w:sz="6" w:space="0" w:color="auto"/>
              <w:bottom w:val="single" w:sz="6" w:space="0" w:color="auto"/>
              <w:right w:val="single" w:sz="6"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осіб</w:t>
            </w:r>
          </w:p>
        </w:tc>
        <w:tc>
          <w:tcPr>
            <w:tcW w:w="2410" w:type="dxa"/>
            <w:gridSpan w:val="2"/>
            <w:tcBorders>
              <w:top w:val="single" w:sz="6" w:space="0" w:color="auto"/>
              <w:left w:val="single" w:sz="6" w:space="0" w:color="auto"/>
              <w:bottom w:val="single" w:sz="6" w:space="0" w:color="auto"/>
              <w:right w:val="single" w:sz="6"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5000000</w:t>
            </w:r>
          </w:p>
        </w:tc>
      </w:tr>
      <w:tr w:rsidR="00E95FB1" w:rsidRPr="00915913" w:rsidTr="0027587B">
        <w:trPr>
          <w:trHeight w:val="549"/>
        </w:trPr>
        <w:tc>
          <w:tcPr>
            <w:tcW w:w="1448" w:type="dxa"/>
          </w:tcPr>
          <w:p w:rsidR="00E95FB1" w:rsidRPr="00915913" w:rsidRDefault="00E95FB1" w:rsidP="001B396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4" w:space="0" w:color="auto"/>
              <w:right w:val="single" w:sz="6" w:space="0" w:color="auto"/>
            </w:tcBorders>
            <w:shd w:val="clear" w:color="auto" w:fill="C6D9F1" w:themeFill="text2" w:themeFillTint="33"/>
            <w:hideMark/>
          </w:tcPr>
          <w:p w:rsidR="00E95FB1" w:rsidRPr="00915913" w:rsidRDefault="00E95FB1" w:rsidP="001B3967">
            <w:pPr>
              <w:autoSpaceDE w:val="0"/>
              <w:autoSpaceDN w:val="0"/>
              <w:adjustRightInd w:val="0"/>
              <w:rPr>
                <w:rFonts w:eastAsia="Calibri"/>
                <w:b/>
                <w:color w:val="000000"/>
                <w:sz w:val="22"/>
              </w:rPr>
            </w:pPr>
            <w:r w:rsidRPr="00915913">
              <w:rPr>
                <w:rFonts w:eastAsia="Calibri"/>
                <w:b/>
                <w:color w:val="000000"/>
                <w:sz w:val="22"/>
              </w:rPr>
              <w:t>Ключові заходи проекту:</w:t>
            </w:r>
          </w:p>
        </w:tc>
        <w:tc>
          <w:tcPr>
            <w:tcW w:w="7229" w:type="dxa"/>
            <w:gridSpan w:val="7"/>
            <w:tcBorders>
              <w:top w:val="single" w:sz="6" w:space="0" w:color="auto"/>
              <w:left w:val="single" w:sz="6" w:space="0" w:color="auto"/>
              <w:bottom w:val="single" w:sz="4" w:space="0" w:color="auto"/>
              <w:right w:val="single" w:sz="6" w:space="0" w:color="auto"/>
            </w:tcBorders>
            <w:hideMark/>
          </w:tcPr>
          <w:p w:rsidR="00E95FB1" w:rsidRPr="00915913" w:rsidRDefault="00E95FB1" w:rsidP="000303D7">
            <w:pPr>
              <w:numPr>
                <w:ilvl w:val="0"/>
                <w:numId w:val="75"/>
              </w:numPr>
              <w:autoSpaceDE w:val="0"/>
              <w:autoSpaceDN w:val="0"/>
              <w:adjustRightInd w:val="0"/>
              <w:jc w:val="left"/>
              <w:rPr>
                <w:rFonts w:eastAsia="Calibri"/>
                <w:color w:val="000000"/>
                <w:sz w:val="22"/>
              </w:rPr>
            </w:pPr>
            <w:r w:rsidRPr="00915913">
              <w:rPr>
                <w:rFonts w:eastAsia="Calibri"/>
                <w:color w:val="000000"/>
                <w:sz w:val="22"/>
              </w:rPr>
              <w:t>Вивчення потреб в транспорті по кожному з маршрутів міста</w:t>
            </w:r>
          </w:p>
          <w:p w:rsidR="00E95FB1" w:rsidRPr="00915913" w:rsidRDefault="00E95FB1" w:rsidP="000303D7">
            <w:pPr>
              <w:numPr>
                <w:ilvl w:val="0"/>
                <w:numId w:val="75"/>
              </w:numPr>
              <w:autoSpaceDE w:val="0"/>
              <w:autoSpaceDN w:val="0"/>
              <w:adjustRightInd w:val="0"/>
              <w:jc w:val="left"/>
              <w:rPr>
                <w:rFonts w:eastAsia="Calibri"/>
                <w:color w:val="000000"/>
                <w:sz w:val="22"/>
              </w:rPr>
            </w:pPr>
            <w:r w:rsidRPr="00915913">
              <w:rPr>
                <w:rFonts w:eastAsia="Calibri"/>
                <w:color w:val="000000"/>
                <w:sz w:val="22"/>
              </w:rPr>
              <w:t xml:space="preserve">Розробка графіків руху по маршрутам міста </w:t>
            </w:r>
          </w:p>
          <w:p w:rsidR="00E95FB1" w:rsidRPr="00915913" w:rsidRDefault="00E95FB1" w:rsidP="000303D7">
            <w:pPr>
              <w:numPr>
                <w:ilvl w:val="0"/>
                <w:numId w:val="75"/>
              </w:numPr>
              <w:autoSpaceDE w:val="0"/>
              <w:autoSpaceDN w:val="0"/>
              <w:adjustRightInd w:val="0"/>
              <w:jc w:val="left"/>
              <w:rPr>
                <w:rFonts w:eastAsia="Calibri"/>
                <w:color w:val="000000"/>
                <w:sz w:val="22"/>
              </w:rPr>
            </w:pPr>
            <w:r w:rsidRPr="00915913">
              <w:rPr>
                <w:rFonts w:eastAsia="Calibri"/>
                <w:color w:val="000000"/>
                <w:sz w:val="22"/>
              </w:rPr>
              <w:t>Придбання електробусів</w:t>
            </w:r>
          </w:p>
          <w:p w:rsidR="00E95FB1" w:rsidRPr="00915913" w:rsidRDefault="00E95FB1" w:rsidP="000303D7">
            <w:pPr>
              <w:numPr>
                <w:ilvl w:val="0"/>
                <w:numId w:val="75"/>
              </w:numPr>
              <w:autoSpaceDE w:val="0"/>
              <w:autoSpaceDN w:val="0"/>
              <w:adjustRightInd w:val="0"/>
              <w:jc w:val="left"/>
              <w:rPr>
                <w:rFonts w:eastAsia="Calibri"/>
                <w:color w:val="000000"/>
                <w:sz w:val="22"/>
              </w:rPr>
            </w:pPr>
            <w:r w:rsidRPr="00915913">
              <w:rPr>
                <w:rFonts w:eastAsia="Calibri"/>
                <w:color w:val="000000"/>
                <w:sz w:val="22"/>
              </w:rPr>
              <w:t>Придбання зарядних станцій</w:t>
            </w:r>
          </w:p>
          <w:p w:rsidR="00E95FB1" w:rsidRPr="00915913" w:rsidRDefault="00E95FB1" w:rsidP="000303D7">
            <w:pPr>
              <w:numPr>
                <w:ilvl w:val="0"/>
                <w:numId w:val="75"/>
              </w:numPr>
              <w:autoSpaceDE w:val="0"/>
              <w:autoSpaceDN w:val="0"/>
              <w:adjustRightInd w:val="0"/>
              <w:jc w:val="left"/>
              <w:rPr>
                <w:rFonts w:eastAsia="Calibri"/>
                <w:color w:val="000000"/>
                <w:sz w:val="22"/>
              </w:rPr>
            </w:pPr>
            <w:r w:rsidRPr="00915913">
              <w:rPr>
                <w:rFonts w:eastAsia="Calibri"/>
                <w:color w:val="000000"/>
                <w:sz w:val="22"/>
              </w:rPr>
              <w:t>Встановлення зарядних станцій</w:t>
            </w:r>
          </w:p>
          <w:p w:rsidR="00E95FB1" w:rsidRPr="00915913" w:rsidRDefault="00E95FB1" w:rsidP="000303D7">
            <w:pPr>
              <w:numPr>
                <w:ilvl w:val="0"/>
                <w:numId w:val="75"/>
              </w:numPr>
              <w:autoSpaceDE w:val="0"/>
              <w:autoSpaceDN w:val="0"/>
              <w:adjustRightInd w:val="0"/>
              <w:jc w:val="left"/>
              <w:rPr>
                <w:rFonts w:eastAsia="Calibri"/>
                <w:color w:val="000000"/>
                <w:sz w:val="22"/>
              </w:rPr>
            </w:pPr>
            <w:r w:rsidRPr="00915913">
              <w:rPr>
                <w:rFonts w:eastAsia="Calibri"/>
                <w:color w:val="000000"/>
                <w:sz w:val="22"/>
              </w:rPr>
              <w:t>Випуск транспорту на маршрути міста</w:t>
            </w:r>
          </w:p>
        </w:tc>
      </w:tr>
      <w:tr w:rsidR="00E95FB1" w:rsidRPr="00915913" w:rsidTr="001B3967">
        <w:trPr>
          <w:trHeight w:val="859"/>
        </w:trPr>
        <w:tc>
          <w:tcPr>
            <w:tcW w:w="1448" w:type="dxa"/>
            <w:vMerge w:val="restart"/>
            <w:tcBorders>
              <w:top w:val="nil"/>
              <w:left w:val="nil"/>
              <w:bottom w:val="nil"/>
              <w:right w:val="single" w:sz="4" w:space="0" w:color="auto"/>
            </w:tcBorders>
          </w:tcPr>
          <w:p w:rsidR="00E95FB1" w:rsidRPr="00915913" w:rsidRDefault="00E95FB1" w:rsidP="001B3967">
            <w:pPr>
              <w:autoSpaceDE w:val="0"/>
              <w:autoSpaceDN w:val="0"/>
              <w:adjustRightInd w:val="0"/>
              <w:jc w:val="right"/>
              <w:rPr>
                <w:rFonts w:eastAsia="Calibri"/>
                <w:color w:val="000000"/>
                <w:sz w:val="22"/>
              </w:rPr>
            </w:pPr>
          </w:p>
        </w:tc>
        <w:tc>
          <w:tcPr>
            <w:tcW w:w="283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95FB1" w:rsidRPr="00915913" w:rsidRDefault="00E95FB1" w:rsidP="001B3967">
            <w:pPr>
              <w:autoSpaceDE w:val="0"/>
              <w:autoSpaceDN w:val="0"/>
              <w:adjustRightInd w:val="0"/>
              <w:rPr>
                <w:rFonts w:eastAsia="Calibri"/>
                <w:b/>
                <w:color w:val="000000"/>
                <w:sz w:val="22"/>
              </w:rPr>
            </w:pPr>
            <w:r w:rsidRPr="00915913">
              <w:rPr>
                <w:rFonts w:eastAsia="Calibri"/>
                <w:b/>
                <w:color w:val="000000"/>
                <w:sz w:val="22"/>
              </w:rPr>
              <w:t>Орієнтовний обсяг та джерела фінансування тис. гривень</w:t>
            </w:r>
          </w:p>
        </w:tc>
        <w:tc>
          <w:tcPr>
            <w:tcW w:w="1417" w:type="dxa"/>
            <w:vMerge w:val="restart"/>
            <w:tcBorders>
              <w:top w:val="single" w:sz="4" w:space="0" w:color="auto"/>
              <w:left w:val="single" w:sz="4" w:space="0" w:color="auto"/>
              <w:bottom w:val="single" w:sz="4" w:space="0" w:color="auto"/>
              <w:right w:val="single" w:sz="4" w:space="0" w:color="auto"/>
            </w:tcBorders>
            <w:hideMark/>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Державний бюджет</w:t>
            </w:r>
          </w:p>
        </w:tc>
        <w:tc>
          <w:tcPr>
            <w:tcW w:w="1134" w:type="dxa"/>
            <w:vMerge w:val="restart"/>
            <w:tcBorders>
              <w:top w:val="single" w:sz="4" w:space="0" w:color="auto"/>
              <w:left w:val="single" w:sz="4" w:space="0" w:color="auto"/>
              <w:bottom w:val="single" w:sz="4" w:space="0" w:color="auto"/>
              <w:right w:val="single" w:sz="4" w:space="0" w:color="auto"/>
            </w:tcBorders>
            <w:hideMark/>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Місцевий бюджет</w:t>
            </w:r>
          </w:p>
        </w:tc>
        <w:tc>
          <w:tcPr>
            <w:tcW w:w="3261" w:type="dxa"/>
            <w:gridSpan w:val="4"/>
            <w:tcBorders>
              <w:top w:val="single" w:sz="4" w:space="0" w:color="auto"/>
              <w:left w:val="single" w:sz="4" w:space="0" w:color="auto"/>
              <w:bottom w:val="single" w:sz="4" w:space="0" w:color="auto"/>
              <w:right w:val="single" w:sz="4"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Інші джерела</w:t>
            </w:r>
          </w:p>
          <w:p w:rsidR="00E95FB1" w:rsidRPr="00915913" w:rsidRDefault="00E95FB1" w:rsidP="001B3967">
            <w:pPr>
              <w:autoSpaceDE w:val="0"/>
              <w:autoSpaceDN w:val="0"/>
              <w:adjustRightInd w:val="0"/>
              <w:jc w:val="left"/>
              <w:rPr>
                <w:rFonts w:eastAsia="Calibri"/>
                <w:color w:val="000000"/>
                <w:sz w:val="22"/>
              </w:rPr>
            </w:pPr>
          </w:p>
        </w:tc>
        <w:tc>
          <w:tcPr>
            <w:tcW w:w="1417" w:type="dxa"/>
            <w:vMerge w:val="restart"/>
            <w:tcBorders>
              <w:top w:val="single" w:sz="4" w:space="0" w:color="auto"/>
              <w:left w:val="single" w:sz="4" w:space="0" w:color="auto"/>
              <w:bottom w:val="single" w:sz="4" w:space="0" w:color="auto"/>
              <w:right w:val="single" w:sz="4" w:space="0" w:color="auto"/>
            </w:tcBorders>
            <w:hideMark/>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Всього</w:t>
            </w:r>
          </w:p>
        </w:tc>
      </w:tr>
      <w:tr w:rsidR="00E95FB1" w:rsidRPr="00915913" w:rsidTr="001B3967">
        <w:trPr>
          <w:trHeight w:val="65"/>
        </w:trPr>
        <w:tc>
          <w:tcPr>
            <w:tcW w:w="1448" w:type="dxa"/>
            <w:vMerge/>
            <w:tcBorders>
              <w:top w:val="nil"/>
              <w:left w:val="nil"/>
              <w:bottom w:val="nil"/>
              <w:right w:val="single" w:sz="4" w:space="0" w:color="auto"/>
            </w:tcBorders>
            <w:vAlign w:val="center"/>
            <w:hideMark/>
          </w:tcPr>
          <w:p w:rsidR="00E95FB1" w:rsidRPr="00915913" w:rsidRDefault="00E95FB1" w:rsidP="001B3967">
            <w:pPr>
              <w:rPr>
                <w:rFonts w:eastAsia="Calibri"/>
                <w:color w:val="000000"/>
                <w:sz w:val="22"/>
              </w:rPr>
            </w:pPr>
          </w:p>
        </w:tc>
        <w:tc>
          <w:tcPr>
            <w:tcW w:w="2835"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E95FB1" w:rsidRPr="00915913" w:rsidRDefault="00E95FB1" w:rsidP="001B3967">
            <w:pPr>
              <w:rPr>
                <w:rFonts w:eastAsia="Calibri"/>
                <w:b/>
                <w:color w:val="000000"/>
                <w:sz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95FB1" w:rsidRPr="00915913" w:rsidRDefault="00E95FB1" w:rsidP="001B3967">
            <w:pPr>
              <w:jc w:val="left"/>
              <w:rPr>
                <w:rFonts w:eastAsia="Calibri"/>
                <w:color w:val="000000"/>
                <w:sz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95FB1" w:rsidRPr="00915913" w:rsidRDefault="00E95FB1" w:rsidP="001B3967">
            <w:pPr>
              <w:jc w:val="left"/>
              <w:rPr>
                <w:rFonts w:eastAsia="Calibri"/>
                <w:color w:val="000000"/>
                <w:sz w:val="22"/>
              </w:rPr>
            </w:pPr>
          </w:p>
        </w:tc>
        <w:tc>
          <w:tcPr>
            <w:tcW w:w="1560" w:type="dxa"/>
            <w:gridSpan w:val="2"/>
            <w:tcBorders>
              <w:top w:val="single" w:sz="4" w:space="0" w:color="auto"/>
              <w:left w:val="single" w:sz="4" w:space="0" w:color="auto"/>
              <w:bottom w:val="single" w:sz="4" w:space="0" w:color="auto"/>
              <w:right w:val="single" w:sz="4" w:space="0" w:color="auto"/>
            </w:tcBorders>
            <w:hideMark/>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Обсяг</w:t>
            </w:r>
          </w:p>
        </w:tc>
        <w:tc>
          <w:tcPr>
            <w:tcW w:w="1701" w:type="dxa"/>
            <w:gridSpan w:val="2"/>
            <w:tcBorders>
              <w:top w:val="single" w:sz="4" w:space="0" w:color="auto"/>
              <w:left w:val="single" w:sz="4" w:space="0" w:color="auto"/>
              <w:bottom w:val="single" w:sz="4" w:space="0" w:color="auto"/>
              <w:right w:val="single" w:sz="4" w:space="0" w:color="auto"/>
            </w:tcBorders>
            <w:hideMark/>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Назва джерела</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95FB1" w:rsidRPr="00915913" w:rsidRDefault="00E95FB1" w:rsidP="001B3967">
            <w:pPr>
              <w:jc w:val="left"/>
              <w:rPr>
                <w:rFonts w:eastAsia="Calibri"/>
                <w:color w:val="000000"/>
                <w:sz w:val="22"/>
              </w:rPr>
            </w:pPr>
          </w:p>
        </w:tc>
      </w:tr>
      <w:tr w:rsidR="00E95FB1" w:rsidRPr="00915913" w:rsidTr="001B3967">
        <w:trPr>
          <w:trHeight w:val="65"/>
        </w:trPr>
        <w:tc>
          <w:tcPr>
            <w:tcW w:w="1448" w:type="dxa"/>
            <w:tcBorders>
              <w:top w:val="nil"/>
              <w:left w:val="nil"/>
              <w:bottom w:val="nil"/>
              <w:right w:val="single" w:sz="4" w:space="0" w:color="auto"/>
            </w:tcBorders>
          </w:tcPr>
          <w:p w:rsidR="00E95FB1" w:rsidRPr="00915913" w:rsidRDefault="00E95FB1" w:rsidP="001B3967">
            <w:pPr>
              <w:autoSpaceDE w:val="0"/>
              <w:autoSpaceDN w:val="0"/>
              <w:adjustRightInd w:val="0"/>
              <w:jc w:val="right"/>
              <w:rPr>
                <w:rFonts w:eastAsia="Calibri"/>
                <w:color w:val="000000"/>
                <w:sz w:val="22"/>
              </w:rPr>
            </w:pPr>
          </w:p>
        </w:tc>
        <w:tc>
          <w:tcPr>
            <w:tcW w:w="283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95FB1" w:rsidRPr="00915913" w:rsidRDefault="00E95FB1" w:rsidP="001B3967">
            <w:pPr>
              <w:autoSpaceDE w:val="0"/>
              <w:autoSpaceDN w:val="0"/>
              <w:adjustRightInd w:val="0"/>
              <w:rPr>
                <w:rFonts w:eastAsia="Calibri"/>
                <w:b/>
                <w:color w:val="000000"/>
                <w:sz w:val="22"/>
              </w:rPr>
            </w:pPr>
          </w:p>
        </w:tc>
        <w:tc>
          <w:tcPr>
            <w:tcW w:w="1417" w:type="dxa"/>
            <w:tcBorders>
              <w:top w:val="single" w:sz="4" w:space="0" w:color="auto"/>
              <w:left w:val="single" w:sz="4" w:space="0" w:color="auto"/>
              <w:bottom w:val="single" w:sz="4" w:space="0" w:color="auto"/>
              <w:right w:val="single" w:sz="4" w:space="0" w:color="auto"/>
            </w:tcBorders>
            <w:hideMark/>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345800,0</w:t>
            </w:r>
          </w:p>
        </w:tc>
        <w:tc>
          <w:tcPr>
            <w:tcW w:w="1134" w:type="dxa"/>
            <w:tcBorders>
              <w:top w:val="single" w:sz="4" w:space="0" w:color="auto"/>
              <w:left w:val="single" w:sz="4" w:space="0" w:color="auto"/>
              <w:bottom w:val="single" w:sz="4" w:space="0" w:color="auto"/>
              <w:right w:val="single" w:sz="4" w:space="0" w:color="auto"/>
            </w:tcBorders>
            <w:hideMark/>
          </w:tcPr>
          <w:p w:rsidR="00E95FB1" w:rsidRPr="00915913" w:rsidRDefault="00E95FB1" w:rsidP="001B3967">
            <w:pPr>
              <w:autoSpaceDE w:val="0"/>
              <w:autoSpaceDN w:val="0"/>
              <w:adjustRightInd w:val="0"/>
              <w:jc w:val="left"/>
              <w:rPr>
                <w:rFonts w:eastAsia="Calibri"/>
                <w:color w:val="000000"/>
                <w:sz w:val="22"/>
              </w:rPr>
            </w:pPr>
          </w:p>
        </w:tc>
        <w:tc>
          <w:tcPr>
            <w:tcW w:w="1560" w:type="dxa"/>
            <w:gridSpan w:val="2"/>
            <w:tcBorders>
              <w:top w:val="single" w:sz="4" w:space="0" w:color="auto"/>
              <w:left w:val="single" w:sz="4" w:space="0" w:color="auto"/>
              <w:bottom w:val="single" w:sz="4" w:space="0" w:color="auto"/>
              <w:right w:val="single" w:sz="4" w:space="0" w:color="auto"/>
            </w:tcBorders>
            <w:hideMark/>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 xml:space="preserve">148200,0 </w:t>
            </w:r>
          </w:p>
        </w:tc>
        <w:tc>
          <w:tcPr>
            <w:tcW w:w="1701" w:type="dxa"/>
            <w:gridSpan w:val="2"/>
            <w:tcBorders>
              <w:top w:val="single" w:sz="4" w:space="0" w:color="auto"/>
              <w:left w:val="single" w:sz="4" w:space="0" w:color="auto"/>
              <w:bottom w:val="single" w:sz="4" w:space="0" w:color="auto"/>
              <w:right w:val="single" w:sz="4" w:space="0" w:color="auto"/>
            </w:tcBorders>
            <w:hideMark/>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Гранти міжнародних організацій</w:t>
            </w:r>
          </w:p>
        </w:tc>
        <w:tc>
          <w:tcPr>
            <w:tcW w:w="1417" w:type="dxa"/>
            <w:tcBorders>
              <w:top w:val="single" w:sz="4" w:space="0" w:color="auto"/>
              <w:left w:val="single" w:sz="4" w:space="0" w:color="auto"/>
              <w:bottom w:val="single" w:sz="4" w:space="0" w:color="auto"/>
              <w:right w:val="single" w:sz="4" w:space="0" w:color="auto"/>
            </w:tcBorders>
            <w:hideMark/>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494000</w:t>
            </w:r>
          </w:p>
        </w:tc>
      </w:tr>
    </w:tbl>
    <w:p w:rsidR="00E95FB1" w:rsidRPr="00915913" w:rsidRDefault="00E95FB1" w:rsidP="00E95FB1">
      <w:pPr>
        <w:rPr>
          <w:sz w:val="22"/>
        </w:rPr>
      </w:pPr>
    </w:p>
    <w:p w:rsidR="00E95FB1" w:rsidRPr="00915913" w:rsidRDefault="00E95FB1" w:rsidP="00E95FB1">
      <w:pPr>
        <w:rPr>
          <w:sz w:val="22"/>
        </w:rPr>
      </w:pPr>
    </w:p>
    <w:tbl>
      <w:tblPr>
        <w:tblStyle w:val="af"/>
        <w:tblW w:w="0" w:type="auto"/>
        <w:tblInd w:w="-176" w:type="dxa"/>
        <w:tblLook w:val="04A0" w:firstRow="1" w:lastRow="0" w:firstColumn="1" w:lastColumn="0" w:noHBand="0" w:noVBand="1"/>
      </w:tblPr>
      <w:tblGrid>
        <w:gridCol w:w="2709"/>
        <w:gridCol w:w="1582"/>
        <w:gridCol w:w="1258"/>
        <w:gridCol w:w="479"/>
        <w:gridCol w:w="1006"/>
        <w:gridCol w:w="837"/>
        <w:gridCol w:w="607"/>
        <w:gridCol w:w="1184"/>
      </w:tblGrid>
      <w:tr w:rsidR="00E95FB1" w:rsidRPr="00915913" w:rsidTr="001B3967">
        <w:tc>
          <w:tcPr>
            <w:tcW w:w="2836"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Оперативна ціль/завдання</w:t>
            </w:r>
          </w:p>
        </w:tc>
        <w:tc>
          <w:tcPr>
            <w:tcW w:w="7052" w:type="dxa"/>
            <w:gridSpan w:val="7"/>
            <w:shd w:val="clear" w:color="auto" w:fill="auto"/>
          </w:tcPr>
          <w:p w:rsidR="00E95FB1" w:rsidRPr="00915913" w:rsidRDefault="00E95FB1" w:rsidP="001B3967">
            <w:pPr>
              <w:pStyle w:val="a7"/>
              <w:ind w:left="0"/>
              <w:rPr>
                <w:sz w:val="22"/>
                <w:lang w:val="uk-UA"/>
              </w:rPr>
            </w:pPr>
            <w:r w:rsidRPr="00915913">
              <w:rPr>
                <w:rFonts w:eastAsia="Arial"/>
                <w:sz w:val="22"/>
                <w:lang w:val="uk-UA"/>
              </w:rPr>
              <w:t>Комфорт життя ЛЮДИНИ як безпека, екологічна сталість та  розумна енергетика Екологічна сталість через знання та партнерства</w:t>
            </w:r>
          </w:p>
        </w:tc>
      </w:tr>
      <w:tr w:rsidR="00E95FB1" w:rsidRPr="00915913" w:rsidTr="001B3967">
        <w:tc>
          <w:tcPr>
            <w:tcW w:w="2836"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Назва проекту:</w:t>
            </w:r>
          </w:p>
        </w:tc>
        <w:tc>
          <w:tcPr>
            <w:tcW w:w="7052" w:type="dxa"/>
            <w:gridSpan w:val="7"/>
          </w:tcPr>
          <w:p w:rsidR="00E95FB1" w:rsidRPr="00915913" w:rsidRDefault="00E95FB1" w:rsidP="001B3967">
            <w:pPr>
              <w:pStyle w:val="a7"/>
              <w:ind w:left="0"/>
              <w:rPr>
                <w:sz w:val="22"/>
                <w:lang w:val="uk-UA"/>
              </w:rPr>
            </w:pPr>
            <w:r w:rsidRPr="00915913">
              <w:rPr>
                <w:sz w:val="22"/>
                <w:lang w:val="uk-UA"/>
              </w:rPr>
              <w:t>Будівництво. сміттєспалювального заводу</w:t>
            </w:r>
          </w:p>
        </w:tc>
      </w:tr>
      <w:tr w:rsidR="00E95FB1" w:rsidRPr="00915913" w:rsidTr="001B3967">
        <w:tc>
          <w:tcPr>
            <w:tcW w:w="2836" w:type="dxa"/>
            <w:shd w:val="clear" w:color="auto" w:fill="C6D9F1" w:themeFill="text2" w:themeFillTint="33"/>
          </w:tcPr>
          <w:p w:rsidR="00E95FB1" w:rsidRPr="00915913" w:rsidRDefault="00E95FB1" w:rsidP="001B3967">
            <w:pPr>
              <w:rPr>
                <w:b/>
                <w:sz w:val="22"/>
                <w:lang w:val="uk-UA"/>
              </w:rPr>
            </w:pPr>
            <w:r w:rsidRPr="00915913">
              <w:rPr>
                <w:b/>
                <w:sz w:val="22"/>
                <w:lang w:val="uk-UA"/>
              </w:rPr>
              <w:t>Ціль проекту</w:t>
            </w:r>
          </w:p>
        </w:tc>
        <w:tc>
          <w:tcPr>
            <w:tcW w:w="7052" w:type="dxa"/>
            <w:gridSpan w:val="7"/>
          </w:tcPr>
          <w:p w:rsidR="00E95FB1" w:rsidRPr="00915913" w:rsidRDefault="00E95FB1" w:rsidP="001B3967">
            <w:pPr>
              <w:pStyle w:val="a7"/>
              <w:ind w:left="0"/>
              <w:rPr>
                <w:sz w:val="22"/>
                <w:lang w:val="uk-UA"/>
              </w:rPr>
            </w:pPr>
            <w:r w:rsidRPr="00915913">
              <w:rPr>
                <w:sz w:val="22"/>
                <w:lang w:val="uk-UA"/>
              </w:rPr>
              <w:t>Створення умов</w:t>
            </w:r>
            <w:r w:rsidR="006A7AF4" w:rsidRPr="00915913">
              <w:rPr>
                <w:bCs/>
                <w:sz w:val="22"/>
                <w:szCs w:val="22"/>
                <w:lang w:val="uk-UA"/>
              </w:rPr>
              <w:t>,</w:t>
            </w:r>
            <w:r w:rsidRPr="00915913">
              <w:rPr>
                <w:sz w:val="22"/>
                <w:lang w:val="uk-UA"/>
              </w:rPr>
              <w:t xml:space="preserve"> що сприятимуть забезпеченню  гігієнічного, безпечного, економічного і естетичного способу збору сміття та обмеження їх шкідливого впливу на навколишнє природне середовище і здоров'я людини.</w:t>
            </w:r>
          </w:p>
        </w:tc>
      </w:tr>
      <w:tr w:rsidR="00E95FB1" w:rsidRPr="00915913" w:rsidTr="001B3967">
        <w:tc>
          <w:tcPr>
            <w:tcW w:w="2836"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Територія, на яку матиме вплив реалізація проекту</w:t>
            </w:r>
          </w:p>
        </w:tc>
        <w:tc>
          <w:tcPr>
            <w:tcW w:w="7052" w:type="dxa"/>
            <w:gridSpan w:val="7"/>
          </w:tcPr>
          <w:p w:rsidR="00E95FB1" w:rsidRPr="00915913" w:rsidRDefault="00E95FB1" w:rsidP="001B3967">
            <w:pPr>
              <w:pStyle w:val="a7"/>
              <w:ind w:left="0"/>
              <w:rPr>
                <w:sz w:val="22"/>
                <w:lang w:val="uk-UA"/>
              </w:rPr>
            </w:pPr>
            <w:r w:rsidRPr="00915913">
              <w:rPr>
                <w:sz w:val="22"/>
                <w:lang w:val="uk-UA"/>
              </w:rPr>
              <w:t>Сєвєродонецька міська територіальна громада</w:t>
            </w:r>
          </w:p>
        </w:tc>
      </w:tr>
      <w:tr w:rsidR="00E95FB1" w:rsidRPr="00915913" w:rsidTr="001B3967">
        <w:tc>
          <w:tcPr>
            <w:tcW w:w="2836"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Чисельність населення, на яке матиме вплив реалізація проекту</w:t>
            </w:r>
          </w:p>
        </w:tc>
        <w:tc>
          <w:tcPr>
            <w:tcW w:w="7052" w:type="dxa"/>
            <w:gridSpan w:val="7"/>
          </w:tcPr>
          <w:p w:rsidR="00E95FB1" w:rsidRPr="00915913" w:rsidRDefault="00E95FB1" w:rsidP="001B3967">
            <w:pPr>
              <w:pStyle w:val="a7"/>
              <w:ind w:left="0"/>
              <w:rPr>
                <w:sz w:val="22"/>
                <w:lang w:val="uk-UA"/>
              </w:rPr>
            </w:pPr>
            <w:r w:rsidRPr="00915913">
              <w:rPr>
                <w:sz w:val="22"/>
                <w:lang w:val="uk-UA"/>
              </w:rPr>
              <w:t xml:space="preserve"> 70 000  осіб</w:t>
            </w:r>
          </w:p>
        </w:tc>
      </w:tr>
      <w:tr w:rsidR="00E95FB1" w:rsidRPr="00915913" w:rsidTr="001B3967">
        <w:tc>
          <w:tcPr>
            <w:tcW w:w="2836" w:type="dxa"/>
            <w:shd w:val="clear" w:color="auto" w:fill="C6D9F1" w:themeFill="text2" w:themeFillTint="33"/>
          </w:tcPr>
          <w:p w:rsidR="00E95FB1" w:rsidRPr="00915913" w:rsidRDefault="00E95FB1" w:rsidP="001B3967">
            <w:pPr>
              <w:rPr>
                <w:b/>
                <w:sz w:val="22"/>
                <w:lang w:val="uk-UA"/>
              </w:rPr>
            </w:pPr>
            <w:r w:rsidRPr="00915913">
              <w:rPr>
                <w:b/>
                <w:sz w:val="22"/>
                <w:lang w:val="uk-UA"/>
              </w:rPr>
              <w:t>Опис проблеми, на вирішення якої  спрямований проект</w:t>
            </w:r>
          </w:p>
        </w:tc>
        <w:tc>
          <w:tcPr>
            <w:tcW w:w="7052" w:type="dxa"/>
            <w:gridSpan w:val="7"/>
          </w:tcPr>
          <w:p w:rsidR="00E95FB1" w:rsidRPr="00915913" w:rsidRDefault="00E95FB1" w:rsidP="001B3967">
            <w:pPr>
              <w:ind w:firstLine="708"/>
              <w:rPr>
                <w:sz w:val="22"/>
                <w:lang w:val="uk-UA"/>
              </w:rPr>
            </w:pPr>
            <w:r w:rsidRPr="00915913">
              <w:rPr>
                <w:sz w:val="22"/>
                <w:lang w:val="uk-UA"/>
              </w:rPr>
              <w:t xml:space="preserve">Через військову агресію РФ територія Сєвєродонецької міської територіальної громади зазнала значних пошкоджень.  Під час бойових дій на території Сєвєродонецької громади майже вся критична інфраструктура була зруйнована. На сміттєзвалищах громади накопичилось тони будівельного та побутового сміття. Це становить загрозу екології та життю жителів, сприяє забрудненню навколишнього середовища.. Поводженням з твердими побутовими відходами і їх </w:t>
            </w:r>
            <w:r w:rsidRPr="00915913">
              <w:rPr>
                <w:sz w:val="22"/>
                <w:szCs w:val="22"/>
                <w:lang w:val="uk-UA"/>
              </w:rPr>
              <w:t>пере</w:t>
            </w:r>
            <w:r w:rsidR="006A7AF4" w:rsidRPr="00915913">
              <w:rPr>
                <w:sz w:val="22"/>
                <w:szCs w:val="22"/>
                <w:lang w:val="uk-UA"/>
              </w:rPr>
              <w:t>р</w:t>
            </w:r>
            <w:r w:rsidRPr="00915913">
              <w:rPr>
                <w:sz w:val="22"/>
                <w:szCs w:val="22"/>
                <w:lang w:val="uk-UA"/>
              </w:rPr>
              <w:t>обкою</w:t>
            </w:r>
            <w:r w:rsidRPr="00915913">
              <w:rPr>
                <w:sz w:val="22"/>
                <w:lang w:val="uk-UA"/>
              </w:rPr>
              <w:t xml:space="preserve"> наразі переймаються у всьому цивілізованому світі</w:t>
            </w:r>
          </w:p>
        </w:tc>
      </w:tr>
      <w:tr w:rsidR="00E95FB1" w:rsidRPr="00915913" w:rsidTr="001B3967">
        <w:tc>
          <w:tcPr>
            <w:tcW w:w="2836"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lastRenderedPageBreak/>
              <w:t>Очікувані якісні результати від реалізації проекту</w:t>
            </w:r>
          </w:p>
        </w:tc>
        <w:tc>
          <w:tcPr>
            <w:tcW w:w="7052" w:type="dxa"/>
            <w:gridSpan w:val="7"/>
          </w:tcPr>
          <w:p w:rsidR="00E95FB1" w:rsidRPr="00915913" w:rsidRDefault="00E95FB1" w:rsidP="001B3967">
            <w:pPr>
              <w:pStyle w:val="a7"/>
              <w:ind w:left="0"/>
              <w:rPr>
                <w:sz w:val="22"/>
                <w:lang w:val="uk-UA"/>
              </w:rPr>
            </w:pPr>
            <w:r w:rsidRPr="00915913">
              <w:rPr>
                <w:sz w:val="22"/>
                <w:lang w:val="uk-UA"/>
              </w:rPr>
              <w:t xml:space="preserve">- відновлення міста та селищ громади після </w:t>
            </w:r>
            <w:proofErr w:type="spellStart"/>
            <w:r w:rsidRPr="00915913">
              <w:rPr>
                <w:sz w:val="22"/>
                <w:lang w:val="uk-UA"/>
              </w:rPr>
              <w:t>деокупації</w:t>
            </w:r>
            <w:proofErr w:type="spellEnd"/>
          </w:p>
          <w:p w:rsidR="00E95FB1" w:rsidRPr="00915913" w:rsidRDefault="00E95FB1" w:rsidP="001B3967">
            <w:pPr>
              <w:pStyle w:val="a7"/>
              <w:ind w:left="0"/>
              <w:rPr>
                <w:sz w:val="22"/>
                <w:lang w:val="uk-UA"/>
              </w:rPr>
            </w:pPr>
            <w:r w:rsidRPr="00915913">
              <w:rPr>
                <w:sz w:val="22"/>
                <w:lang w:val="uk-UA"/>
              </w:rPr>
              <w:t>- створення нових робочих місць;</w:t>
            </w:r>
          </w:p>
          <w:p w:rsidR="00E95FB1" w:rsidRPr="00915913" w:rsidRDefault="00E95FB1" w:rsidP="001B3967">
            <w:pPr>
              <w:pStyle w:val="a7"/>
              <w:ind w:left="0"/>
              <w:rPr>
                <w:sz w:val="22"/>
                <w:lang w:val="uk-UA"/>
              </w:rPr>
            </w:pPr>
            <w:r w:rsidRPr="00915913">
              <w:rPr>
                <w:sz w:val="22"/>
                <w:lang w:val="uk-UA"/>
              </w:rPr>
              <w:t>- стимул до повернення ВПО до громади;</w:t>
            </w:r>
          </w:p>
          <w:p w:rsidR="00E95FB1" w:rsidRPr="00915913" w:rsidRDefault="00E95FB1" w:rsidP="001B3967">
            <w:pPr>
              <w:pStyle w:val="a7"/>
              <w:ind w:left="0"/>
              <w:rPr>
                <w:sz w:val="22"/>
                <w:lang w:val="uk-UA"/>
              </w:rPr>
            </w:pPr>
            <w:r w:rsidRPr="00915913">
              <w:rPr>
                <w:sz w:val="22"/>
                <w:lang w:val="uk-UA"/>
              </w:rPr>
              <w:t>- використання твердих побутових відходів в якості палива для сучасної теплоцентралі</w:t>
            </w:r>
          </w:p>
          <w:p w:rsidR="00E95FB1" w:rsidRPr="00915913" w:rsidRDefault="00E95FB1" w:rsidP="001B3967">
            <w:pPr>
              <w:pStyle w:val="a7"/>
              <w:ind w:left="0"/>
              <w:rPr>
                <w:sz w:val="22"/>
                <w:lang w:val="uk-UA"/>
              </w:rPr>
            </w:pPr>
            <w:r w:rsidRPr="00915913">
              <w:rPr>
                <w:sz w:val="22"/>
                <w:lang w:val="uk-UA"/>
              </w:rPr>
              <w:t>- покращення екології</w:t>
            </w:r>
          </w:p>
        </w:tc>
      </w:tr>
      <w:tr w:rsidR="00E95FB1" w:rsidRPr="00915913" w:rsidTr="001B3967">
        <w:trPr>
          <w:trHeight w:val="390"/>
        </w:trPr>
        <w:tc>
          <w:tcPr>
            <w:tcW w:w="2836" w:type="dxa"/>
            <w:vMerge w:val="restart"/>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 xml:space="preserve">Очікувані кількісні результати реалізації </w:t>
            </w:r>
            <w:proofErr w:type="spellStart"/>
            <w:r w:rsidRPr="00915913">
              <w:rPr>
                <w:b/>
                <w:sz w:val="22"/>
                <w:lang w:val="uk-UA"/>
              </w:rPr>
              <w:t>проєкту</w:t>
            </w:r>
            <w:proofErr w:type="spellEnd"/>
            <w:r w:rsidRPr="00915913">
              <w:rPr>
                <w:b/>
                <w:sz w:val="22"/>
                <w:lang w:val="uk-UA"/>
              </w:rPr>
              <w:t xml:space="preserve"> (індикатори)</w:t>
            </w:r>
          </w:p>
          <w:p w:rsidR="00E95FB1" w:rsidRPr="00915913" w:rsidRDefault="00E95FB1" w:rsidP="001B3967">
            <w:pPr>
              <w:pStyle w:val="a7"/>
              <w:ind w:left="0"/>
              <w:rPr>
                <w:b/>
                <w:sz w:val="22"/>
                <w:lang w:val="uk-UA"/>
              </w:rPr>
            </w:pPr>
          </w:p>
        </w:tc>
        <w:tc>
          <w:tcPr>
            <w:tcW w:w="3402" w:type="dxa"/>
            <w:gridSpan w:val="3"/>
            <w:tcBorders>
              <w:bottom w:val="single" w:sz="4" w:space="0" w:color="auto"/>
              <w:right w:val="single" w:sz="4" w:space="0" w:color="auto"/>
            </w:tcBorders>
          </w:tcPr>
          <w:p w:rsidR="00E95FB1" w:rsidRPr="00915913" w:rsidRDefault="00E95FB1" w:rsidP="001B3967">
            <w:pPr>
              <w:pStyle w:val="a7"/>
              <w:ind w:left="-108"/>
              <w:jc w:val="center"/>
              <w:rPr>
                <w:b/>
                <w:sz w:val="22"/>
                <w:lang w:val="uk-UA"/>
              </w:rPr>
            </w:pPr>
            <w:r w:rsidRPr="00915913">
              <w:rPr>
                <w:b/>
                <w:sz w:val="22"/>
                <w:lang w:val="uk-UA"/>
              </w:rPr>
              <w:t>Найменування показника</w:t>
            </w:r>
          </w:p>
        </w:tc>
        <w:tc>
          <w:tcPr>
            <w:tcW w:w="1843" w:type="dxa"/>
            <w:gridSpan w:val="2"/>
            <w:tcBorders>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Одиниця вимірювання</w:t>
            </w:r>
          </w:p>
          <w:p w:rsidR="00E95FB1" w:rsidRPr="00915913" w:rsidRDefault="00E95FB1" w:rsidP="001B3967">
            <w:pPr>
              <w:pStyle w:val="a7"/>
              <w:ind w:left="0"/>
              <w:rPr>
                <w:b/>
                <w:sz w:val="22"/>
                <w:lang w:val="uk-UA"/>
              </w:rPr>
            </w:pPr>
          </w:p>
        </w:tc>
        <w:tc>
          <w:tcPr>
            <w:tcW w:w="1807" w:type="dxa"/>
            <w:gridSpan w:val="2"/>
            <w:tcBorders>
              <w:left w:val="single" w:sz="4" w:space="0" w:color="auto"/>
              <w:bottom w:val="single" w:sz="4" w:space="0" w:color="auto"/>
            </w:tcBorders>
          </w:tcPr>
          <w:p w:rsidR="00E95FB1" w:rsidRPr="00915913" w:rsidRDefault="00E95FB1" w:rsidP="001B3967">
            <w:pPr>
              <w:pStyle w:val="a7"/>
              <w:ind w:left="0"/>
              <w:jc w:val="center"/>
              <w:rPr>
                <w:b/>
                <w:sz w:val="22"/>
                <w:lang w:val="uk-UA"/>
              </w:rPr>
            </w:pPr>
            <w:r w:rsidRPr="00915913">
              <w:rPr>
                <w:b/>
                <w:sz w:val="22"/>
                <w:lang w:val="uk-UA"/>
              </w:rPr>
              <w:t>Прогнозне (цільове) значення</w:t>
            </w:r>
          </w:p>
        </w:tc>
      </w:tr>
      <w:tr w:rsidR="00E95FB1" w:rsidRPr="00915913" w:rsidTr="001B3967">
        <w:trPr>
          <w:trHeight w:val="585"/>
        </w:trPr>
        <w:tc>
          <w:tcPr>
            <w:tcW w:w="2836" w:type="dxa"/>
            <w:vMerge/>
            <w:shd w:val="clear" w:color="auto" w:fill="C6D9F1" w:themeFill="text2" w:themeFillTint="33"/>
          </w:tcPr>
          <w:p w:rsidR="00E95FB1" w:rsidRPr="00915913" w:rsidRDefault="00E95FB1" w:rsidP="001B3967">
            <w:pPr>
              <w:pStyle w:val="a7"/>
              <w:ind w:left="0"/>
              <w:rPr>
                <w:b/>
                <w:sz w:val="22"/>
                <w:lang w:val="uk-UA"/>
              </w:rPr>
            </w:pPr>
          </w:p>
        </w:tc>
        <w:tc>
          <w:tcPr>
            <w:tcW w:w="3402" w:type="dxa"/>
            <w:gridSpan w:val="3"/>
            <w:tcBorders>
              <w:top w:val="single" w:sz="4" w:space="0" w:color="auto"/>
              <w:bottom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сміттєспалювальний завод</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95FB1" w:rsidRPr="00915913" w:rsidRDefault="00E95FB1" w:rsidP="001B3967">
            <w:pPr>
              <w:pStyle w:val="a7"/>
              <w:ind w:left="0"/>
              <w:jc w:val="center"/>
              <w:rPr>
                <w:sz w:val="22"/>
                <w:lang w:val="uk-UA"/>
              </w:rPr>
            </w:pPr>
            <w:r w:rsidRPr="00915913">
              <w:rPr>
                <w:sz w:val="22"/>
                <w:lang w:val="uk-UA"/>
              </w:rPr>
              <w:t>одиниця</w:t>
            </w:r>
          </w:p>
        </w:tc>
        <w:tc>
          <w:tcPr>
            <w:tcW w:w="1807" w:type="dxa"/>
            <w:gridSpan w:val="2"/>
            <w:tcBorders>
              <w:top w:val="single" w:sz="4" w:space="0" w:color="auto"/>
              <w:left w:val="single" w:sz="4" w:space="0" w:color="auto"/>
              <w:bottom w:val="single" w:sz="4" w:space="0" w:color="auto"/>
            </w:tcBorders>
          </w:tcPr>
          <w:p w:rsidR="00E95FB1" w:rsidRPr="00915913" w:rsidRDefault="00E95FB1" w:rsidP="001B3967">
            <w:pPr>
              <w:pStyle w:val="a7"/>
              <w:ind w:left="0"/>
              <w:jc w:val="center"/>
              <w:rPr>
                <w:b/>
                <w:sz w:val="22"/>
                <w:lang w:val="uk-UA"/>
              </w:rPr>
            </w:pPr>
          </w:p>
          <w:p w:rsidR="00E95FB1" w:rsidRPr="00915913" w:rsidRDefault="00E95FB1" w:rsidP="001B3967">
            <w:pPr>
              <w:pStyle w:val="a7"/>
              <w:ind w:left="0"/>
              <w:jc w:val="center"/>
              <w:rPr>
                <w:sz w:val="22"/>
                <w:lang w:val="uk-UA"/>
              </w:rPr>
            </w:pPr>
            <w:r w:rsidRPr="00915913">
              <w:rPr>
                <w:sz w:val="22"/>
                <w:lang w:val="uk-UA"/>
              </w:rPr>
              <w:t>1</w:t>
            </w:r>
          </w:p>
        </w:tc>
      </w:tr>
      <w:tr w:rsidR="00E95FB1" w:rsidRPr="00915913" w:rsidTr="001B3967">
        <w:tc>
          <w:tcPr>
            <w:tcW w:w="2836" w:type="dxa"/>
            <w:shd w:val="clear" w:color="auto" w:fill="C6D9F1" w:themeFill="text2" w:themeFillTint="33"/>
          </w:tcPr>
          <w:p w:rsidR="00E95FB1" w:rsidRPr="00915913" w:rsidRDefault="00E95FB1" w:rsidP="001B3967">
            <w:pPr>
              <w:rPr>
                <w:b/>
                <w:sz w:val="22"/>
                <w:lang w:val="uk-UA"/>
              </w:rPr>
            </w:pPr>
            <w:r w:rsidRPr="00915913">
              <w:rPr>
                <w:b/>
                <w:sz w:val="22"/>
                <w:lang w:val="uk-UA"/>
              </w:rPr>
              <w:t xml:space="preserve">Ключові заходи проекту: </w:t>
            </w:r>
          </w:p>
          <w:p w:rsidR="00E95FB1" w:rsidRPr="00915913" w:rsidRDefault="00E95FB1" w:rsidP="001B3967">
            <w:pPr>
              <w:pStyle w:val="a7"/>
              <w:ind w:left="0"/>
              <w:rPr>
                <w:b/>
                <w:sz w:val="22"/>
                <w:lang w:val="uk-UA"/>
              </w:rPr>
            </w:pPr>
          </w:p>
        </w:tc>
        <w:tc>
          <w:tcPr>
            <w:tcW w:w="7052" w:type="dxa"/>
            <w:gridSpan w:val="7"/>
          </w:tcPr>
          <w:p w:rsidR="00E95FB1" w:rsidRPr="00915913" w:rsidRDefault="00E95FB1" w:rsidP="000303D7">
            <w:pPr>
              <w:pStyle w:val="a7"/>
              <w:numPr>
                <w:ilvl w:val="0"/>
                <w:numId w:val="18"/>
              </w:numPr>
              <w:jc w:val="left"/>
              <w:rPr>
                <w:sz w:val="22"/>
                <w:lang w:val="uk-UA"/>
              </w:rPr>
            </w:pPr>
            <w:r w:rsidRPr="00915913">
              <w:rPr>
                <w:sz w:val="22"/>
                <w:lang w:val="uk-UA"/>
              </w:rPr>
              <w:t>Визначення місця будівництва заводу</w:t>
            </w:r>
            <w:r w:rsidR="006A7AF4" w:rsidRPr="00915913">
              <w:rPr>
                <w:bCs/>
                <w:sz w:val="22"/>
                <w:szCs w:val="22"/>
                <w:lang w:val="uk-UA"/>
              </w:rPr>
              <w:t>.</w:t>
            </w:r>
          </w:p>
          <w:p w:rsidR="00E95FB1" w:rsidRPr="00915913" w:rsidRDefault="00E95FB1" w:rsidP="000303D7">
            <w:pPr>
              <w:pStyle w:val="a7"/>
              <w:numPr>
                <w:ilvl w:val="0"/>
                <w:numId w:val="18"/>
              </w:numPr>
              <w:jc w:val="left"/>
              <w:rPr>
                <w:sz w:val="22"/>
                <w:lang w:val="uk-UA"/>
              </w:rPr>
            </w:pPr>
            <w:r w:rsidRPr="00915913">
              <w:rPr>
                <w:sz w:val="22"/>
                <w:lang w:val="uk-UA"/>
              </w:rPr>
              <w:t xml:space="preserve">Виготовлення </w:t>
            </w:r>
            <w:proofErr w:type="spellStart"/>
            <w:r w:rsidRPr="00915913">
              <w:rPr>
                <w:bCs/>
                <w:sz w:val="22"/>
                <w:szCs w:val="22"/>
                <w:lang w:val="uk-UA"/>
              </w:rPr>
              <w:t>про</w:t>
            </w:r>
            <w:r w:rsidR="006A7AF4" w:rsidRPr="00915913">
              <w:rPr>
                <w:bCs/>
                <w:sz w:val="22"/>
                <w:szCs w:val="22"/>
                <w:lang w:val="uk-UA"/>
              </w:rPr>
              <w:t>є</w:t>
            </w:r>
            <w:r w:rsidRPr="00915913">
              <w:rPr>
                <w:bCs/>
                <w:sz w:val="22"/>
                <w:szCs w:val="22"/>
                <w:lang w:val="uk-UA"/>
              </w:rPr>
              <w:t>ктно</w:t>
            </w:r>
            <w:proofErr w:type="spellEnd"/>
            <w:r w:rsidRPr="00915913">
              <w:rPr>
                <w:sz w:val="22"/>
                <w:lang w:val="uk-UA"/>
              </w:rPr>
              <w:t>-кошторисної документації</w:t>
            </w:r>
            <w:r w:rsidR="006A7AF4" w:rsidRPr="00915913">
              <w:rPr>
                <w:bCs/>
                <w:sz w:val="22"/>
                <w:szCs w:val="22"/>
                <w:lang w:val="uk-UA"/>
              </w:rPr>
              <w:t>.</w:t>
            </w:r>
          </w:p>
          <w:p w:rsidR="00E95FB1" w:rsidRPr="00915913" w:rsidRDefault="00E95FB1" w:rsidP="000303D7">
            <w:pPr>
              <w:pStyle w:val="a7"/>
              <w:numPr>
                <w:ilvl w:val="0"/>
                <w:numId w:val="18"/>
              </w:numPr>
              <w:jc w:val="left"/>
              <w:rPr>
                <w:sz w:val="22"/>
                <w:lang w:val="uk-UA"/>
              </w:rPr>
            </w:pPr>
            <w:r w:rsidRPr="00915913">
              <w:rPr>
                <w:sz w:val="22"/>
                <w:lang w:val="uk-UA"/>
              </w:rPr>
              <w:t>Пошук інвестора</w:t>
            </w:r>
            <w:r w:rsidR="006A7AF4" w:rsidRPr="00915913">
              <w:rPr>
                <w:bCs/>
                <w:sz w:val="22"/>
                <w:szCs w:val="22"/>
                <w:lang w:val="uk-UA"/>
              </w:rPr>
              <w:t>.</w:t>
            </w:r>
          </w:p>
          <w:p w:rsidR="00E95FB1" w:rsidRPr="00915913" w:rsidRDefault="00E95FB1" w:rsidP="000303D7">
            <w:pPr>
              <w:pStyle w:val="a7"/>
              <w:numPr>
                <w:ilvl w:val="0"/>
                <w:numId w:val="18"/>
              </w:numPr>
              <w:jc w:val="left"/>
              <w:rPr>
                <w:sz w:val="22"/>
                <w:lang w:val="uk-UA"/>
              </w:rPr>
            </w:pPr>
            <w:r w:rsidRPr="00915913">
              <w:rPr>
                <w:sz w:val="22"/>
                <w:lang w:val="uk-UA"/>
              </w:rPr>
              <w:t xml:space="preserve">Публічні обговорення </w:t>
            </w:r>
            <w:r w:rsidR="006A7AF4" w:rsidRPr="00915913">
              <w:rPr>
                <w:sz w:val="22"/>
                <w:lang w:val="uk-UA"/>
              </w:rPr>
              <w:t>проекту</w:t>
            </w:r>
            <w:r w:rsidR="006A7AF4" w:rsidRPr="00915913">
              <w:rPr>
                <w:bCs/>
                <w:sz w:val="22"/>
                <w:szCs w:val="22"/>
                <w:lang w:val="uk-UA"/>
              </w:rPr>
              <w:t>.</w:t>
            </w:r>
          </w:p>
          <w:p w:rsidR="00E95FB1" w:rsidRPr="00915913" w:rsidRDefault="00E95FB1" w:rsidP="000303D7">
            <w:pPr>
              <w:pStyle w:val="a7"/>
              <w:numPr>
                <w:ilvl w:val="0"/>
                <w:numId w:val="18"/>
              </w:numPr>
              <w:jc w:val="left"/>
              <w:rPr>
                <w:sz w:val="22"/>
                <w:lang w:val="uk-UA"/>
              </w:rPr>
            </w:pPr>
            <w:r w:rsidRPr="00915913">
              <w:rPr>
                <w:sz w:val="22"/>
                <w:lang w:val="uk-UA"/>
              </w:rPr>
              <w:t>Укладення угоди про будівництво заводу</w:t>
            </w:r>
            <w:r w:rsidR="006A7AF4" w:rsidRPr="00915913">
              <w:rPr>
                <w:bCs/>
                <w:sz w:val="22"/>
                <w:szCs w:val="22"/>
                <w:lang w:val="uk-UA"/>
              </w:rPr>
              <w:t>.</w:t>
            </w:r>
          </w:p>
          <w:p w:rsidR="00E95FB1" w:rsidRPr="00915913" w:rsidRDefault="00E95FB1" w:rsidP="000303D7">
            <w:pPr>
              <w:pStyle w:val="a7"/>
              <w:numPr>
                <w:ilvl w:val="0"/>
                <w:numId w:val="18"/>
              </w:numPr>
              <w:jc w:val="left"/>
              <w:rPr>
                <w:sz w:val="22"/>
                <w:lang w:val="uk-UA"/>
              </w:rPr>
            </w:pPr>
            <w:r w:rsidRPr="00915913">
              <w:rPr>
                <w:sz w:val="22"/>
                <w:lang w:val="uk-UA"/>
              </w:rPr>
              <w:t>Будівництво заводу</w:t>
            </w:r>
          </w:p>
          <w:p w:rsidR="00E95FB1" w:rsidRPr="00915913" w:rsidRDefault="00E95FB1" w:rsidP="000303D7">
            <w:pPr>
              <w:pStyle w:val="a7"/>
              <w:numPr>
                <w:ilvl w:val="0"/>
                <w:numId w:val="18"/>
              </w:numPr>
              <w:jc w:val="left"/>
              <w:rPr>
                <w:sz w:val="22"/>
                <w:lang w:val="uk-UA"/>
              </w:rPr>
            </w:pPr>
            <w:r w:rsidRPr="00915913">
              <w:rPr>
                <w:sz w:val="22"/>
                <w:lang w:val="uk-UA"/>
              </w:rPr>
              <w:t>Початок роботи</w:t>
            </w:r>
          </w:p>
        </w:tc>
      </w:tr>
      <w:tr w:rsidR="00E95FB1" w:rsidRPr="00915913" w:rsidTr="001B3967">
        <w:trPr>
          <w:trHeight w:val="360"/>
        </w:trPr>
        <w:tc>
          <w:tcPr>
            <w:tcW w:w="2836" w:type="dxa"/>
            <w:vMerge w:val="restart"/>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 xml:space="preserve">Орієнтовний обсяг та джерела фінансування, тис. грн. </w:t>
            </w:r>
          </w:p>
          <w:p w:rsidR="00E95FB1" w:rsidRPr="00915913" w:rsidRDefault="00E95FB1" w:rsidP="001B3967">
            <w:pPr>
              <w:pStyle w:val="a7"/>
              <w:ind w:left="0"/>
              <w:rPr>
                <w:b/>
                <w:sz w:val="22"/>
                <w:lang w:val="uk-UA"/>
              </w:rPr>
            </w:pPr>
          </w:p>
        </w:tc>
        <w:tc>
          <w:tcPr>
            <w:tcW w:w="1609" w:type="dxa"/>
            <w:tcBorders>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Державний бюджет</w:t>
            </w:r>
          </w:p>
        </w:tc>
        <w:tc>
          <w:tcPr>
            <w:tcW w:w="1267" w:type="dxa"/>
            <w:tcBorders>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Місцевий бюджет</w:t>
            </w:r>
          </w:p>
        </w:tc>
        <w:tc>
          <w:tcPr>
            <w:tcW w:w="2987" w:type="dxa"/>
            <w:gridSpan w:val="4"/>
            <w:tcBorders>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Інші джерела</w:t>
            </w:r>
          </w:p>
        </w:tc>
        <w:tc>
          <w:tcPr>
            <w:tcW w:w="1189" w:type="dxa"/>
            <w:tcBorders>
              <w:left w:val="single" w:sz="4" w:space="0" w:color="auto"/>
              <w:bottom w:val="single" w:sz="4" w:space="0" w:color="auto"/>
            </w:tcBorders>
          </w:tcPr>
          <w:p w:rsidR="00E95FB1" w:rsidRPr="00915913" w:rsidRDefault="00E95FB1" w:rsidP="001B3967">
            <w:pPr>
              <w:pStyle w:val="a7"/>
              <w:ind w:left="0"/>
              <w:jc w:val="center"/>
              <w:rPr>
                <w:b/>
                <w:sz w:val="22"/>
                <w:lang w:val="uk-UA"/>
              </w:rPr>
            </w:pPr>
            <w:r w:rsidRPr="00915913">
              <w:rPr>
                <w:b/>
                <w:sz w:val="22"/>
                <w:lang w:val="uk-UA"/>
              </w:rPr>
              <w:t>Всього</w:t>
            </w:r>
          </w:p>
        </w:tc>
      </w:tr>
      <w:tr w:rsidR="00E95FB1" w:rsidRPr="00915913" w:rsidTr="001B3967">
        <w:trPr>
          <w:trHeight w:val="225"/>
        </w:trPr>
        <w:tc>
          <w:tcPr>
            <w:tcW w:w="2836" w:type="dxa"/>
            <w:vMerge/>
            <w:shd w:val="clear" w:color="auto" w:fill="C6D9F1" w:themeFill="text2" w:themeFillTint="33"/>
          </w:tcPr>
          <w:p w:rsidR="00E95FB1" w:rsidRPr="00915913" w:rsidRDefault="00E95FB1" w:rsidP="001B3967">
            <w:pPr>
              <w:pStyle w:val="a7"/>
              <w:ind w:left="0"/>
              <w:rPr>
                <w:b/>
                <w:sz w:val="22"/>
                <w:lang w:val="uk-UA"/>
              </w:rPr>
            </w:pPr>
          </w:p>
        </w:tc>
        <w:tc>
          <w:tcPr>
            <w:tcW w:w="1609" w:type="dxa"/>
            <w:vMerge w:val="restart"/>
            <w:tcBorders>
              <w:top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2 331 000,0</w:t>
            </w:r>
          </w:p>
        </w:tc>
        <w:tc>
          <w:tcPr>
            <w:tcW w:w="1267" w:type="dxa"/>
            <w:vMerge w:val="restart"/>
            <w:tcBorders>
              <w:top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w:t>
            </w:r>
          </w:p>
        </w:tc>
        <w:tc>
          <w:tcPr>
            <w:tcW w:w="1532" w:type="dxa"/>
            <w:gridSpan w:val="2"/>
            <w:tcBorders>
              <w:top w:val="single" w:sz="4" w:space="0" w:color="auto"/>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Обсяг</w:t>
            </w:r>
          </w:p>
        </w:tc>
        <w:tc>
          <w:tcPr>
            <w:tcW w:w="1455" w:type="dxa"/>
            <w:gridSpan w:val="2"/>
            <w:tcBorders>
              <w:top w:val="single" w:sz="4" w:space="0" w:color="auto"/>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Назва джерела</w:t>
            </w:r>
          </w:p>
        </w:tc>
        <w:tc>
          <w:tcPr>
            <w:tcW w:w="1189" w:type="dxa"/>
            <w:vMerge w:val="restart"/>
            <w:tcBorders>
              <w:top w:val="single" w:sz="4" w:space="0" w:color="auto"/>
              <w:left w:val="single" w:sz="4" w:space="0" w:color="auto"/>
            </w:tcBorders>
          </w:tcPr>
          <w:p w:rsidR="00E95FB1" w:rsidRPr="00915913" w:rsidRDefault="00E95FB1" w:rsidP="001B3967">
            <w:pPr>
              <w:pStyle w:val="a7"/>
              <w:ind w:left="0"/>
              <w:jc w:val="center"/>
              <w:rPr>
                <w:sz w:val="22"/>
                <w:lang w:val="uk-UA"/>
              </w:rPr>
            </w:pPr>
            <w:r w:rsidRPr="00915913">
              <w:rPr>
                <w:sz w:val="22"/>
                <w:lang w:val="uk-UA"/>
              </w:rPr>
              <w:t>3 330 000,00</w:t>
            </w:r>
          </w:p>
        </w:tc>
      </w:tr>
      <w:tr w:rsidR="00E95FB1" w:rsidRPr="00915913" w:rsidTr="001B3967">
        <w:trPr>
          <w:trHeight w:val="300"/>
        </w:trPr>
        <w:tc>
          <w:tcPr>
            <w:tcW w:w="2836" w:type="dxa"/>
            <w:vMerge/>
            <w:shd w:val="clear" w:color="auto" w:fill="C6D9F1" w:themeFill="text2" w:themeFillTint="33"/>
          </w:tcPr>
          <w:p w:rsidR="00E95FB1" w:rsidRPr="00915913" w:rsidRDefault="00E95FB1" w:rsidP="001B3967">
            <w:pPr>
              <w:pStyle w:val="a7"/>
              <w:ind w:left="0"/>
              <w:rPr>
                <w:b/>
                <w:sz w:val="22"/>
                <w:lang w:val="uk-UA"/>
              </w:rPr>
            </w:pPr>
          </w:p>
        </w:tc>
        <w:tc>
          <w:tcPr>
            <w:tcW w:w="1609" w:type="dxa"/>
            <w:vMerge/>
            <w:tcBorders>
              <w:right w:val="single" w:sz="4" w:space="0" w:color="auto"/>
            </w:tcBorders>
          </w:tcPr>
          <w:p w:rsidR="00E95FB1" w:rsidRPr="00915913" w:rsidRDefault="00E95FB1" w:rsidP="001B3967">
            <w:pPr>
              <w:pStyle w:val="a7"/>
              <w:ind w:left="0"/>
              <w:jc w:val="center"/>
              <w:rPr>
                <w:sz w:val="22"/>
                <w:lang w:val="uk-UA"/>
              </w:rPr>
            </w:pPr>
          </w:p>
        </w:tc>
        <w:tc>
          <w:tcPr>
            <w:tcW w:w="1267" w:type="dxa"/>
            <w:vMerge/>
            <w:tcBorders>
              <w:right w:val="single" w:sz="4" w:space="0" w:color="auto"/>
            </w:tcBorders>
          </w:tcPr>
          <w:p w:rsidR="00E95FB1" w:rsidRPr="00915913" w:rsidRDefault="00E95FB1" w:rsidP="001B3967">
            <w:pPr>
              <w:pStyle w:val="a7"/>
              <w:ind w:left="0"/>
              <w:jc w:val="center"/>
              <w:rPr>
                <w:b/>
                <w:sz w:val="22"/>
                <w:lang w:val="uk-UA"/>
              </w:rPr>
            </w:pPr>
          </w:p>
        </w:tc>
        <w:tc>
          <w:tcPr>
            <w:tcW w:w="1532" w:type="dxa"/>
            <w:gridSpan w:val="2"/>
            <w:tcBorders>
              <w:top w:val="single" w:sz="4" w:space="0" w:color="auto"/>
              <w:left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sz w:val="22"/>
                <w:lang w:val="uk-UA"/>
              </w:rPr>
              <w:t>999 000,0</w:t>
            </w:r>
          </w:p>
        </w:tc>
        <w:tc>
          <w:tcPr>
            <w:tcW w:w="1455" w:type="dxa"/>
            <w:gridSpan w:val="2"/>
            <w:tcBorders>
              <w:top w:val="single" w:sz="4" w:space="0" w:color="auto"/>
              <w:left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Міжнародні інвестиції, кошти приватних осіб</w:t>
            </w:r>
          </w:p>
        </w:tc>
        <w:tc>
          <w:tcPr>
            <w:tcW w:w="1189" w:type="dxa"/>
            <w:vMerge/>
            <w:tcBorders>
              <w:left w:val="single" w:sz="4" w:space="0" w:color="auto"/>
            </w:tcBorders>
          </w:tcPr>
          <w:p w:rsidR="00E95FB1" w:rsidRPr="00915913" w:rsidRDefault="00E95FB1" w:rsidP="001B3967">
            <w:pPr>
              <w:pStyle w:val="a7"/>
              <w:ind w:left="0"/>
              <w:jc w:val="center"/>
              <w:rPr>
                <w:sz w:val="22"/>
                <w:lang w:val="uk-UA"/>
              </w:rPr>
            </w:pPr>
          </w:p>
        </w:tc>
      </w:tr>
    </w:tbl>
    <w:p w:rsidR="00E95FB1" w:rsidRPr="00915913" w:rsidRDefault="00E95FB1" w:rsidP="00E95FB1">
      <w:pPr>
        <w:rPr>
          <w:sz w:val="22"/>
        </w:rPr>
      </w:pPr>
    </w:p>
    <w:p w:rsidR="00E95FB1" w:rsidRPr="00915913" w:rsidRDefault="00E95FB1" w:rsidP="00E95FB1">
      <w:pPr>
        <w:rPr>
          <w:sz w:val="22"/>
        </w:rPr>
      </w:pPr>
    </w:p>
    <w:p w:rsidR="00E95FB1" w:rsidRPr="00915913" w:rsidRDefault="00E95FB1" w:rsidP="00E95FB1">
      <w:pPr>
        <w:rPr>
          <w:sz w:val="22"/>
        </w:rPr>
      </w:pPr>
    </w:p>
    <w:p w:rsidR="00E95FB1" w:rsidRPr="00915913" w:rsidRDefault="00E95FB1" w:rsidP="00E95FB1">
      <w:pPr>
        <w:rPr>
          <w:sz w:val="22"/>
        </w:rPr>
      </w:pPr>
    </w:p>
    <w:tbl>
      <w:tblPr>
        <w:tblStyle w:val="af"/>
        <w:tblW w:w="0" w:type="auto"/>
        <w:tblInd w:w="-176" w:type="dxa"/>
        <w:tblLook w:val="04A0" w:firstRow="1" w:lastRow="0" w:firstColumn="1" w:lastColumn="0" w:noHBand="0" w:noVBand="1"/>
      </w:tblPr>
      <w:tblGrid>
        <w:gridCol w:w="2766"/>
        <w:gridCol w:w="1485"/>
        <w:gridCol w:w="1263"/>
        <w:gridCol w:w="669"/>
        <w:gridCol w:w="668"/>
        <w:gridCol w:w="1033"/>
        <w:gridCol w:w="412"/>
        <w:gridCol w:w="1366"/>
      </w:tblGrid>
      <w:tr w:rsidR="00E95FB1" w:rsidRPr="00915913" w:rsidTr="001B3967">
        <w:tc>
          <w:tcPr>
            <w:tcW w:w="2884"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Оперативна ціль/завдання</w:t>
            </w:r>
          </w:p>
        </w:tc>
        <w:tc>
          <w:tcPr>
            <w:tcW w:w="7004" w:type="dxa"/>
            <w:gridSpan w:val="7"/>
            <w:shd w:val="clear" w:color="auto" w:fill="auto"/>
          </w:tcPr>
          <w:p w:rsidR="00E95FB1" w:rsidRPr="00915913" w:rsidRDefault="00E95FB1" w:rsidP="001B3967">
            <w:pPr>
              <w:pStyle w:val="a7"/>
              <w:ind w:left="0"/>
              <w:rPr>
                <w:sz w:val="22"/>
                <w:lang w:val="uk-UA"/>
              </w:rPr>
            </w:pPr>
            <w:r w:rsidRPr="00915913">
              <w:rPr>
                <w:rFonts w:eastAsia="Arial"/>
                <w:sz w:val="22"/>
                <w:lang w:val="uk-UA"/>
              </w:rPr>
              <w:t>Комфорт життя ЛЮДИНИ як безпека, екологічна сталість та  розумна енергетика. Енергоефективна політика та інфраструктура</w:t>
            </w:r>
          </w:p>
        </w:tc>
      </w:tr>
      <w:tr w:rsidR="00E95FB1" w:rsidRPr="00915913" w:rsidTr="001B3967">
        <w:tc>
          <w:tcPr>
            <w:tcW w:w="2884"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Назва проекту:</w:t>
            </w:r>
          </w:p>
        </w:tc>
        <w:tc>
          <w:tcPr>
            <w:tcW w:w="7004" w:type="dxa"/>
            <w:gridSpan w:val="7"/>
          </w:tcPr>
          <w:p w:rsidR="00E95FB1" w:rsidRPr="00915913" w:rsidRDefault="00E95FB1" w:rsidP="001B3967">
            <w:pPr>
              <w:pStyle w:val="a7"/>
              <w:ind w:left="0"/>
              <w:rPr>
                <w:sz w:val="22"/>
                <w:lang w:val="uk-UA"/>
              </w:rPr>
            </w:pPr>
            <w:r w:rsidRPr="00915913">
              <w:rPr>
                <w:sz w:val="22"/>
                <w:lang w:val="uk-UA"/>
              </w:rPr>
              <w:t xml:space="preserve">Встановлення та запуск лінії для виготовлення </w:t>
            </w:r>
            <w:proofErr w:type="spellStart"/>
            <w:r w:rsidRPr="00915913">
              <w:rPr>
                <w:sz w:val="22"/>
                <w:lang w:val="uk-UA"/>
              </w:rPr>
              <w:t>пелетів</w:t>
            </w:r>
            <w:proofErr w:type="spellEnd"/>
          </w:p>
        </w:tc>
      </w:tr>
      <w:tr w:rsidR="00E95FB1" w:rsidRPr="00915913" w:rsidTr="001B3967">
        <w:tc>
          <w:tcPr>
            <w:tcW w:w="2884" w:type="dxa"/>
            <w:shd w:val="clear" w:color="auto" w:fill="C6D9F1" w:themeFill="text2" w:themeFillTint="33"/>
          </w:tcPr>
          <w:p w:rsidR="00E95FB1" w:rsidRPr="00915913" w:rsidRDefault="00E95FB1" w:rsidP="001B3967">
            <w:pPr>
              <w:rPr>
                <w:b/>
                <w:sz w:val="22"/>
                <w:lang w:val="uk-UA"/>
              </w:rPr>
            </w:pPr>
            <w:r w:rsidRPr="00915913">
              <w:rPr>
                <w:b/>
                <w:sz w:val="22"/>
                <w:lang w:val="uk-UA"/>
              </w:rPr>
              <w:t>Ціль проекту</w:t>
            </w:r>
          </w:p>
        </w:tc>
        <w:tc>
          <w:tcPr>
            <w:tcW w:w="7004" w:type="dxa"/>
            <w:gridSpan w:val="7"/>
          </w:tcPr>
          <w:p w:rsidR="00E95FB1" w:rsidRPr="00915913" w:rsidRDefault="00E95FB1" w:rsidP="00255A46">
            <w:pPr>
              <w:pStyle w:val="a7"/>
              <w:ind w:left="0"/>
              <w:rPr>
                <w:sz w:val="22"/>
                <w:lang w:val="uk-UA"/>
              </w:rPr>
            </w:pPr>
            <w:r w:rsidRPr="00915913">
              <w:rPr>
                <w:sz w:val="22"/>
                <w:lang w:val="uk-UA"/>
              </w:rPr>
              <w:t xml:space="preserve">Встановити </w:t>
            </w:r>
            <w:proofErr w:type="spellStart"/>
            <w:r w:rsidRPr="00915913">
              <w:rPr>
                <w:sz w:val="22"/>
                <w:lang w:val="uk-UA"/>
              </w:rPr>
              <w:t>лініі</w:t>
            </w:r>
            <w:proofErr w:type="spellEnd"/>
            <w:r w:rsidRPr="00915913">
              <w:rPr>
                <w:sz w:val="22"/>
                <w:lang w:val="uk-UA"/>
              </w:rPr>
              <w:t xml:space="preserve"> для виготовлення </w:t>
            </w:r>
            <w:proofErr w:type="spellStart"/>
            <w:r w:rsidRPr="00915913">
              <w:rPr>
                <w:sz w:val="22"/>
                <w:lang w:val="uk-UA"/>
              </w:rPr>
              <w:t>пелетів</w:t>
            </w:r>
            <w:proofErr w:type="spellEnd"/>
            <w:r w:rsidRPr="00915913">
              <w:rPr>
                <w:sz w:val="22"/>
                <w:lang w:val="uk-UA"/>
              </w:rPr>
              <w:t xml:space="preserve"> як альтернатива для опалення адмінбудівель, комунальних приміщень і </w:t>
            </w:r>
            <w:proofErr w:type="spellStart"/>
            <w:r w:rsidRPr="00915913">
              <w:rPr>
                <w:sz w:val="22"/>
                <w:lang w:val="uk-UA"/>
              </w:rPr>
              <w:t>т.</w:t>
            </w:r>
            <w:r w:rsidR="00255A46" w:rsidRPr="00915913">
              <w:rPr>
                <w:bCs/>
                <w:sz w:val="22"/>
                <w:szCs w:val="22"/>
                <w:lang w:val="uk-UA"/>
              </w:rPr>
              <w:t>ін</w:t>
            </w:r>
            <w:proofErr w:type="spellEnd"/>
            <w:r w:rsidRPr="00915913">
              <w:rPr>
                <w:sz w:val="22"/>
                <w:lang w:val="uk-UA"/>
              </w:rPr>
              <w:t>.</w:t>
            </w:r>
          </w:p>
        </w:tc>
      </w:tr>
      <w:tr w:rsidR="00E95FB1" w:rsidRPr="00915913" w:rsidTr="001B3967">
        <w:tc>
          <w:tcPr>
            <w:tcW w:w="2884"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Територія, на яку матиме вплив реалізація проекту</w:t>
            </w:r>
          </w:p>
        </w:tc>
        <w:tc>
          <w:tcPr>
            <w:tcW w:w="7004" w:type="dxa"/>
            <w:gridSpan w:val="7"/>
          </w:tcPr>
          <w:p w:rsidR="00E95FB1" w:rsidRPr="00915913" w:rsidRDefault="00E95FB1" w:rsidP="001B3967">
            <w:pPr>
              <w:pStyle w:val="a7"/>
              <w:ind w:left="0"/>
              <w:rPr>
                <w:sz w:val="22"/>
                <w:lang w:val="uk-UA"/>
              </w:rPr>
            </w:pPr>
            <w:r w:rsidRPr="00915913">
              <w:rPr>
                <w:sz w:val="22"/>
                <w:lang w:val="uk-UA"/>
              </w:rPr>
              <w:t>Сєвєродонецька міська територіальна громада</w:t>
            </w:r>
          </w:p>
        </w:tc>
      </w:tr>
      <w:tr w:rsidR="00E95FB1" w:rsidRPr="00915913" w:rsidTr="001B3967">
        <w:tc>
          <w:tcPr>
            <w:tcW w:w="2884"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Чисельність населення, на яке матиме вплив реалізація проекту</w:t>
            </w:r>
          </w:p>
        </w:tc>
        <w:tc>
          <w:tcPr>
            <w:tcW w:w="7004" w:type="dxa"/>
            <w:gridSpan w:val="7"/>
          </w:tcPr>
          <w:p w:rsidR="00E95FB1" w:rsidRPr="00915913" w:rsidRDefault="00E95FB1" w:rsidP="001B3967">
            <w:pPr>
              <w:pStyle w:val="a7"/>
              <w:ind w:left="0"/>
              <w:rPr>
                <w:sz w:val="22"/>
                <w:lang w:val="uk-UA"/>
              </w:rPr>
            </w:pPr>
            <w:r w:rsidRPr="00915913">
              <w:rPr>
                <w:sz w:val="22"/>
                <w:lang w:val="uk-UA"/>
              </w:rPr>
              <w:t xml:space="preserve"> 70 000  осіб</w:t>
            </w:r>
          </w:p>
        </w:tc>
      </w:tr>
      <w:tr w:rsidR="00E95FB1" w:rsidRPr="00915913" w:rsidTr="001B3967">
        <w:tc>
          <w:tcPr>
            <w:tcW w:w="2884" w:type="dxa"/>
            <w:shd w:val="clear" w:color="auto" w:fill="C6D9F1" w:themeFill="text2" w:themeFillTint="33"/>
          </w:tcPr>
          <w:p w:rsidR="00E95FB1" w:rsidRPr="00915913" w:rsidRDefault="00E95FB1" w:rsidP="001B3967">
            <w:pPr>
              <w:rPr>
                <w:b/>
                <w:sz w:val="22"/>
                <w:lang w:val="uk-UA"/>
              </w:rPr>
            </w:pPr>
            <w:r w:rsidRPr="00915913">
              <w:rPr>
                <w:b/>
                <w:sz w:val="22"/>
                <w:lang w:val="uk-UA"/>
              </w:rPr>
              <w:t>Опис проблеми, на вирішення якої  спрямований проект</w:t>
            </w:r>
          </w:p>
        </w:tc>
        <w:tc>
          <w:tcPr>
            <w:tcW w:w="7004" w:type="dxa"/>
            <w:gridSpan w:val="7"/>
          </w:tcPr>
          <w:p w:rsidR="00E95FB1" w:rsidRPr="00915913" w:rsidRDefault="00E95FB1" w:rsidP="00255A46">
            <w:pPr>
              <w:rPr>
                <w:sz w:val="22"/>
                <w:lang w:val="uk-UA"/>
              </w:rPr>
            </w:pPr>
            <w:r w:rsidRPr="00915913">
              <w:rPr>
                <w:sz w:val="22"/>
                <w:lang w:val="uk-UA"/>
              </w:rPr>
              <w:t xml:space="preserve">Через військову агресію РФ територія Сєвєродонецької міської територіальної громади зазнала значних пошкоджень.  Під час бойових дій на території Сєвєродонецької громади майже вся критична інфраструктура,  </w:t>
            </w:r>
            <w:proofErr w:type="spellStart"/>
            <w:r w:rsidRPr="00915913">
              <w:rPr>
                <w:sz w:val="22"/>
                <w:lang w:val="uk-UA"/>
              </w:rPr>
              <w:t>відповідаюча</w:t>
            </w:r>
            <w:proofErr w:type="spellEnd"/>
            <w:r w:rsidRPr="00915913">
              <w:rPr>
                <w:sz w:val="22"/>
                <w:lang w:val="uk-UA"/>
              </w:rPr>
              <w:t xml:space="preserve"> за опалення</w:t>
            </w:r>
            <w:r w:rsidR="00255A46" w:rsidRPr="00915913">
              <w:rPr>
                <w:sz w:val="22"/>
                <w:szCs w:val="22"/>
                <w:lang w:val="uk-UA"/>
              </w:rPr>
              <w:t>,</w:t>
            </w:r>
            <w:r w:rsidRPr="00915913">
              <w:rPr>
                <w:sz w:val="22"/>
                <w:lang w:val="uk-UA"/>
              </w:rPr>
              <w:t xml:space="preserve"> була зруйнована. Також виникла потреба </w:t>
            </w:r>
            <w:r w:rsidR="00255A46" w:rsidRPr="00915913">
              <w:rPr>
                <w:sz w:val="22"/>
                <w:szCs w:val="22"/>
                <w:lang w:val="uk-UA"/>
              </w:rPr>
              <w:t>в</w:t>
            </w:r>
            <w:r w:rsidRPr="00915913">
              <w:rPr>
                <w:sz w:val="22"/>
                <w:lang w:val="uk-UA"/>
              </w:rPr>
              <w:t xml:space="preserve"> енергетичній безпеці громади через залежність від імпортного природного газу</w:t>
            </w:r>
          </w:p>
        </w:tc>
      </w:tr>
      <w:tr w:rsidR="00E95FB1" w:rsidRPr="00915913" w:rsidTr="001B3967">
        <w:tc>
          <w:tcPr>
            <w:tcW w:w="2884"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Очікувані якісні результати від реалізації проекту</w:t>
            </w:r>
          </w:p>
        </w:tc>
        <w:tc>
          <w:tcPr>
            <w:tcW w:w="7004" w:type="dxa"/>
            <w:gridSpan w:val="7"/>
          </w:tcPr>
          <w:p w:rsidR="00E95FB1" w:rsidRPr="00915913" w:rsidRDefault="00E95FB1" w:rsidP="001B3967">
            <w:pPr>
              <w:pStyle w:val="a7"/>
              <w:ind w:left="0"/>
              <w:rPr>
                <w:sz w:val="22"/>
                <w:lang w:val="uk-UA"/>
              </w:rPr>
            </w:pPr>
            <w:r w:rsidRPr="00915913">
              <w:rPr>
                <w:sz w:val="22"/>
                <w:lang w:val="uk-UA"/>
              </w:rPr>
              <w:t xml:space="preserve">- відновлення міста та селищ громади після </w:t>
            </w:r>
            <w:proofErr w:type="spellStart"/>
            <w:r w:rsidRPr="00915913">
              <w:rPr>
                <w:sz w:val="22"/>
                <w:lang w:val="uk-UA"/>
              </w:rPr>
              <w:t>деокупації</w:t>
            </w:r>
            <w:proofErr w:type="spellEnd"/>
          </w:p>
          <w:p w:rsidR="00E95FB1" w:rsidRPr="00915913" w:rsidRDefault="00E95FB1" w:rsidP="001B3967">
            <w:pPr>
              <w:pStyle w:val="a7"/>
              <w:ind w:left="0"/>
              <w:rPr>
                <w:sz w:val="22"/>
                <w:lang w:val="uk-UA"/>
              </w:rPr>
            </w:pPr>
            <w:r w:rsidRPr="00915913">
              <w:rPr>
                <w:sz w:val="22"/>
                <w:lang w:val="uk-UA"/>
              </w:rPr>
              <w:t>- створення нових робочих місць;</w:t>
            </w:r>
          </w:p>
          <w:p w:rsidR="00E95FB1" w:rsidRPr="00915913" w:rsidRDefault="00E95FB1" w:rsidP="001B3967">
            <w:pPr>
              <w:pStyle w:val="a7"/>
              <w:ind w:left="0"/>
              <w:rPr>
                <w:sz w:val="22"/>
                <w:lang w:val="uk-UA"/>
              </w:rPr>
            </w:pPr>
            <w:r w:rsidRPr="00915913">
              <w:rPr>
                <w:sz w:val="22"/>
                <w:lang w:val="uk-UA"/>
              </w:rPr>
              <w:t>- стимул до повернення ВПО до громади;</w:t>
            </w:r>
          </w:p>
          <w:p w:rsidR="00E95FB1" w:rsidRPr="00915913" w:rsidRDefault="00E95FB1" w:rsidP="00255A46">
            <w:pPr>
              <w:pStyle w:val="a7"/>
              <w:ind w:left="0"/>
              <w:rPr>
                <w:sz w:val="22"/>
                <w:lang w:val="uk-UA"/>
              </w:rPr>
            </w:pPr>
            <w:r w:rsidRPr="00915913">
              <w:rPr>
                <w:sz w:val="22"/>
                <w:lang w:val="uk-UA"/>
              </w:rPr>
              <w:t xml:space="preserve">- </w:t>
            </w:r>
            <w:r w:rsidR="00255A46" w:rsidRPr="00915913">
              <w:rPr>
                <w:bCs/>
                <w:sz w:val="22"/>
                <w:szCs w:val="22"/>
                <w:lang w:val="uk-UA"/>
              </w:rPr>
              <w:t>п</w:t>
            </w:r>
            <w:r w:rsidRPr="00915913">
              <w:rPr>
                <w:sz w:val="22"/>
                <w:szCs w:val="22"/>
                <w:lang w:val="uk-UA"/>
              </w:rPr>
              <w:t>ідвищення</w:t>
            </w:r>
            <w:r w:rsidRPr="00915913">
              <w:rPr>
                <w:sz w:val="22"/>
                <w:lang w:val="uk-UA"/>
              </w:rPr>
              <w:t xml:space="preserve"> якості енергопостачання Сєвєродонецької громади.</w:t>
            </w:r>
          </w:p>
        </w:tc>
      </w:tr>
      <w:tr w:rsidR="00E95FB1" w:rsidRPr="00915913" w:rsidTr="001B3967">
        <w:trPr>
          <w:trHeight w:val="390"/>
        </w:trPr>
        <w:tc>
          <w:tcPr>
            <w:tcW w:w="2884" w:type="dxa"/>
            <w:vMerge w:val="restart"/>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 xml:space="preserve">Очікувані кількісні результати реалізації </w:t>
            </w:r>
            <w:proofErr w:type="spellStart"/>
            <w:r w:rsidRPr="00915913">
              <w:rPr>
                <w:b/>
                <w:sz w:val="22"/>
                <w:lang w:val="uk-UA"/>
              </w:rPr>
              <w:t>проєкту</w:t>
            </w:r>
            <w:proofErr w:type="spellEnd"/>
            <w:r w:rsidRPr="00915913">
              <w:rPr>
                <w:b/>
                <w:sz w:val="22"/>
                <w:lang w:val="uk-UA"/>
              </w:rPr>
              <w:t xml:space="preserve"> (індикатори)</w:t>
            </w:r>
          </w:p>
          <w:p w:rsidR="00E95FB1" w:rsidRPr="00915913" w:rsidRDefault="00E95FB1" w:rsidP="001B3967">
            <w:pPr>
              <w:pStyle w:val="a7"/>
              <w:ind w:left="0"/>
              <w:rPr>
                <w:b/>
                <w:sz w:val="22"/>
                <w:lang w:val="uk-UA"/>
              </w:rPr>
            </w:pPr>
          </w:p>
        </w:tc>
        <w:tc>
          <w:tcPr>
            <w:tcW w:w="3496" w:type="dxa"/>
            <w:gridSpan w:val="3"/>
            <w:tcBorders>
              <w:bottom w:val="single" w:sz="4" w:space="0" w:color="auto"/>
              <w:right w:val="single" w:sz="4" w:space="0" w:color="auto"/>
            </w:tcBorders>
          </w:tcPr>
          <w:p w:rsidR="00E95FB1" w:rsidRPr="00915913" w:rsidRDefault="00E95FB1" w:rsidP="001B3967">
            <w:pPr>
              <w:pStyle w:val="a7"/>
              <w:ind w:left="-108"/>
              <w:jc w:val="center"/>
              <w:rPr>
                <w:b/>
                <w:sz w:val="22"/>
                <w:lang w:val="uk-UA"/>
              </w:rPr>
            </w:pPr>
            <w:r w:rsidRPr="00915913">
              <w:rPr>
                <w:b/>
                <w:sz w:val="22"/>
                <w:lang w:val="uk-UA"/>
              </w:rPr>
              <w:lastRenderedPageBreak/>
              <w:t>Найменування показника</w:t>
            </w:r>
          </w:p>
        </w:tc>
        <w:tc>
          <w:tcPr>
            <w:tcW w:w="1701" w:type="dxa"/>
            <w:gridSpan w:val="2"/>
            <w:tcBorders>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Одиниця вимірювання</w:t>
            </w:r>
          </w:p>
          <w:p w:rsidR="00E95FB1" w:rsidRPr="00915913" w:rsidRDefault="00E95FB1" w:rsidP="001B3967">
            <w:pPr>
              <w:pStyle w:val="a7"/>
              <w:ind w:left="0"/>
              <w:rPr>
                <w:b/>
                <w:sz w:val="22"/>
                <w:lang w:val="uk-UA"/>
              </w:rPr>
            </w:pPr>
          </w:p>
        </w:tc>
        <w:tc>
          <w:tcPr>
            <w:tcW w:w="1807" w:type="dxa"/>
            <w:gridSpan w:val="2"/>
            <w:tcBorders>
              <w:left w:val="single" w:sz="4" w:space="0" w:color="auto"/>
              <w:bottom w:val="single" w:sz="4" w:space="0" w:color="auto"/>
            </w:tcBorders>
          </w:tcPr>
          <w:p w:rsidR="00E95FB1" w:rsidRPr="00915913" w:rsidRDefault="00E95FB1" w:rsidP="001B3967">
            <w:pPr>
              <w:pStyle w:val="a7"/>
              <w:ind w:left="0"/>
              <w:jc w:val="center"/>
              <w:rPr>
                <w:b/>
                <w:sz w:val="22"/>
                <w:lang w:val="uk-UA"/>
              </w:rPr>
            </w:pPr>
            <w:r w:rsidRPr="00915913">
              <w:rPr>
                <w:b/>
                <w:sz w:val="22"/>
                <w:lang w:val="uk-UA"/>
              </w:rPr>
              <w:t>Прогнозне (цільове) значення</w:t>
            </w:r>
          </w:p>
        </w:tc>
      </w:tr>
      <w:tr w:rsidR="00E95FB1" w:rsidRPr="00915913" w:rsidTr="001B3967">
        <w:trPr>
          <w:trHeight w:val="585"/>
        </w:trPr>
        <w:tc>
          <w:tcPr>
            <w:tcW w:w="2884" w:type="dxa"/>
            <w:vMerge/>
            <w:shd w:val="clear" w:color="auto" w:fill="C6D9F1" w:themeFill="text2" w:themeFillTint="33"/>
          </w:tcPr>
          <w:p w:rsidR="00E95FB1" w:rsidRPr="00915913" w:rsidRDefault="00E95FB1" w:rsidP="001B3967">
            <w:pPr>
              <w:pStyle w:val="a7"/>
              <w:ind w:left="0"/>
              <w:rPr>
                <w:b/>
                <w:sz w:val="22"/>
                <w:lang w:val="uk-UA"/>
              </w:rPr>
            </w:pPr>
          </w:p>
        </w:tc>
        <w:tc>
          <w:tcPr>
            <w:tcW w:w="3496" w:type="dxa"/>
            <w:gridSpan w:val="3"/>
            <w:tcBorders>
              <w:top w:val="single" w:sz="4" w:space="0" w:color="auto"/>
              <w:bottom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 xml:space="preserve">Лінія для виготовлення </w:t>
            </w:r>
            <w:proofErr w:type="spellStart"/>
            <w:r w:rsidRPr="00915913">
              <w:rPr>
                <w:sz w:val="22"/>
                <w:lang w:val="uk-UA"/>
              </w:rPr>
              <w:t>пелетів</w:t>
            </w:r>
            <w:proofErr w:type="spellEnd"/>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95FB1" w:rsidRPr="00915913" w:rsidRDefault="00E95FB1" w:rsidP="001B3967">
            <w:pPr>
              <w:pStyle w:val="a7"/>
              <w:ind w:left="0"/>
              <w:jc w:val="center"/>
              <w:rPr>
                <w:sz w:val="22"/>
                <w:lang w:val="uk-UA"/>
              </w:rPr>
            </w:pPr>
            <w:r w:rsidRPr="00915913">
              <w:rPr>
                <w:sz w:val="22"/>
                <w:lang w:val="uk-UA"/>
              </w:rPr>
              <w:t>одиниця</w:t>
            </w:r>
          </w:p>
        </w:tc>
        <w:tc>
          <w:tcPr>
            <w:tcW w:w="1807" w:type="dxa"/>
            <w:gridSpan w:val="2"/>
            <w:tcBorders>
              <w:top w:val="single" w:sz="4" w:space="0" w:color="auto"/>
              <w:left w:val="single" w:sz="4" w:space="0" w:color="auto"/>
              <w:bottom w:val="single" w:sz="4" w:space="0" w:color="auto"/>
            </w:tcBorders>
          </w:tcPr>
          <w:p w:rsidR="00E95FB1" w:rsidRPr="00915913" w:rsidRDefault="00E95FB1" w:rsidP="001B3967">
            <w:pPr>
              <w:pStyle w:val="a7"/>
              <w:ind w:left="0"/>
              <w:jc w:val="center"/>
              <w:rPr>
                <w:b/>
                <w:sz w:val="22"/>
                <w:lang w:val="uk-UA"/>
              </w:rPr>
            </w:pPr>
          </w:p>
          <w:p w:rsidR="00E95FB1" w:rsidRPr="00915913" w:rsidRDefault="00E95FB1" w:rsidP="001B3967">
            <w:pPr>
              <w:pStyle w:val="a7"/>
              <w:ind w:left="0"/>
              <w:jc w:val="center"/>
              <w:rPr>
                <w:sz w:val="22"/>
                <w:lang w:val="uk-UA"/>
              </w:rPr>
            </w:pPr>
            <w:r w:rsidRPr="00915913">
              <w:rPr>
                <w:sz w:val="22"/>
                <w:lang w:val="uk-UA"/>
              </w:rPr>
              <w:t>1</w:t>
            </w:r>
          </w:p>
        </w:tc>
      </w:tr>
      <w:tr w:rsidR="00E95FB1" w:rsidRPr="00915913" w:rsidTr="001B3967">
        <w:tc>
          <w:tcPr>
            <w:tcW w:w="2884" w:type="dxa"/>
            <w:shd w:val="clear" w:color="auto" w:fill="C6D9F1" w:themeFill="text2" w:themeFillTint="33"/>
          </w:tcPr>
          <w:p w:rsidR="00E95FB1" w:rsidRPr="00915913" w:rsidRDefault="00E95FB1" w:rsidP="001B3967">
            <w:pPr>
              <w:rPr>
                <w:b/>
                <w:sz w:val="22"/>
                <w:lang w:val="uk-UA"/>
              </w:rPr>
            </w:pPr>
            <w:r w:rsidRPr="00915913">
              <w:rPr>
                <w:b/>
                <w:sz w:val="22"/>
                <w:lang w:val="uk-UA"/>
              </w:rPr>
              <w:t xml:space="preserve">Ключові заходи проекту: </w:t>
            </w:r>
          </w:p>
          <w:p w:rsidR="00E95FB1" w:rsidRPr="00915913" w:rsidRDefault="00E95FB1" w:rsidP="001B3967">
            <w:pPr>
              <w:pStyle w:val="a7"/>
              <w:ind w:left="0"/>
              <w:rPr>
                <w:b/>
                <w:sz w:val="22"/>
                <w:lang w:val="uk-UA"/>
              </w:rPr>
            </w:pPr>
          </w:p>
        </w:tc>
        <w:tc>
          <w:tcPr>
            <w:tcW w:w="7004" w:type="dxa"/>
            <w:gridSpan w:val="7"/>
          </w:tcPr>
          <w:p w:rsidR="00E95FB1" w:rsidRPr="00915913" w:rsidRDefault="00E95FB1" w:rsidP="000303D7">
            <w:pPr>
              <w:numPr>
                <w:ilvl w:val="0"/>
                <w:numId w:val="20"/>
              </w:numPr>
              <w:tabs>
                <w:tab w:val="left" w:pos="228"/>
              </w:tabs>
              <w:ind w:left="0" w:firstLine="0"/>
              <w:rPr>
                <w:sz w:val="22"/>
                <w:lang w:val="uk-UA"/>
              </w:rPr>
            </w:pPr>
            <w:r w:rsidRPr="00915913">
              <w:rPr>
                <w:sz w:val="22"/>
                <w:lang w:val="uk-UA"/>
              </w:rPr>
              <w:t xml:space="preserve">Утворення робочої групи </w:t>
            </w:r>
            <w:proofErr w:type="spellStart"/>
            <w:r w:rsidRPr="00915913">
              <w:rPr>
                <w:sz w:val="22"/>
                <w:lang w:val="uk-UA"/>
              </w:rPr>
              <w:t>проєкту</w:t>
            </w:r>
            <w:proofErr w:type="spellEnd"/>
            <w:r w:rsidRPr="00915913">
              <w:rPr>
                <w:sz w:val="22"/>
                <w:lang w:val="uk-UA"/>
              </w:rPr>
              <w:t>.</w:t>
            </w:r>
          </w:p>
          <w:p w:rsidR="00E95FB1" w:rsidRPr="00915913" w:rsidRDefault="00E95FB1" w:rsidP="000303D7">
            <w:pPr>
              <w:numPr>
                <w:ilvl w:val="0"/>
                <w:numId w:val="20"/>
              </w:numPr>
              <w:tabs>
                <w:tab w:val="left" w:pos="228"/>
              </w:tabs>
              <w:ind w:left="0" w:firstLine="0"/>
              <w:rPr>
                <w:sz w:val="22"/>
                <w:lang w:val="uk-UA"/>
              </w:rPr>
            </w:pPr>
            <w:r w:rsidRPr="00915913">
              <w:rPr>
                <w:sz w:val="22"/>
                <w:lang w:val="uk-UA"/>
              </w:rPr>
              <w:t>Проведення тендерних торгів.</w:t>
            </w:r>
          </w:p>
          <w:p w:rsidR="00E95FB1" w:rsidRPr="00915913" w:rsidRDefault="00E95FB1" w:rsidP="001B3967">
            <w:pPr>
              <w:rPr>
                <w:sz w:val="22"/>
                <w:lang w:val="uk-UA"/>
              </w:rPr>
            </w:pPr>
            <w:r w:rsidRPr="00915913">
              <w:rPr>
                <w:sz w:val="22"/>
                <w:lang w:val="uk-UA"/>
              </w:rPr>
              <w:t xml:space="preserve">3. Укладення договорів з підрядною організацією на проведення </w:t>
            </w:r>
            <w:proofErr w:type="spellStart"/>
            <w:r w:rsidRPr="00915913">
              <w:rPr>
                <w:sz w:val="22"/>
                <w:lang w:val="uk-UA"/>
              </w:rPr>
              <w:t>проєктних</w:t>
            </w:r>
            <w:proofErr w:type="spellEnd"/>
            <w:r w:rsidRPr="00915913">
              <w:rPr>
                <w:sz w:val="22"/>
                <w:lang w:val="uk-UA"/>
              </w:rPr>
              <w:t>, монтажних, налагоджувальних та випробувальних робіт.</w:t>
            </w:r>
          </w:p>
          <w:p w:rsidR="00E95FB1" w:rsidRPr="00915913" w:rsidRDefault="00E95FB1" w:rsidP="001B3967">
            <w:pPr>
              <w:rPr>
                <w:rStyle w:val="hps"/>
                <w:sz w:val="22"/>
                <w:lang w:val="uk-UA"/>
              </w:rPr>
            </w:pPr>
            <w:r w:rsidRPr="00915913">
              <w:rPr>
                <w:sz w:val="22"/>
                <w:lang w:val="uk-UA"/>
              </w:rPr>
              <w:t xml:space="preserve">4. Виконання та погодження  робочого </w:t>
            </w:r>
            <w:proofErr w:type="spellStart"/>
            <w:r w:rsidRPr="00915913">
              <w:rPr>
                <w:sz w:val="22"/>
                <w:lang w:val="uk-UA"/>
              </w:rPr>
              <w:t>проєкту</w:t>
            </w:r>
            <w:proofErr w:type="spellEnd"/>
            <w:r w:rsidRPr="00915913">
              <w:rPr>
                <w:sz w:val="22"/>
                <w:lang w:val="uk-UA"/>
              </w:rPr>
              <w:t>.</w:t>
            </w:r>
          </w:p>
          <w:p w:rsidR="00E95FB1" w:rsidRPr="00915913" w:rsidRDefault="00E95FB1" w:rsidP="001B3967">
            <w:pPr>
              <w:tabs>
                <w:tab w:val="left" w:pos="348"/>
              </w:tabs>
              <w:rPr>
                <w:sz w:val="22"/>
                <w:lang w:val="uk-UA"/>
              </w:rPr>
            </w:pPr>
            <w:r w:rsidRPr="00915913">
              <w:rPr>
                <w:sz w:val="22"/>
                <w:lang w:val="uk-UA"/>
              </w:rPr>
              <w:t>5. Виконання монтажних робіт.</w:t>
            </w:r>
          </w:p>
          <w:p w:rsidR="00E95FB1" w:rsidRPr="00915913" w:rsidRDefault="00E95FB1" w:rsidP="001B3967">
            <w:pPr>
              <w:keepLines/>
              <w:autoSpaceDE w:val="0"/>
              <w:autoSpaceDN w:val="0"/>
              <w:rPr>
                <w:spacing w:val="-3"/>
                <w:sz w:val="22"/>
                <w:lang w:val="uk-UA"/>
              </w:rPr>
            </w:pPr>
            <w:r w:rsidRPr="00915913">
              <w:rPr>
                <w:spacing w:val="-3"/>
                <w:sz w:val="22"/>
                <w:lang w:val="uk-UA"/>
              </w:rPr>
              <w:t>6. Налагоджувальні та випробувальні роботи.</w:t>
            </w:r>
          </w:p>
          <w:p w:rsidR="00E95FB1" w:rsidRPr="00915913" w:rsidRDefault="00E95FB1" w:rsidP="001B3967">
            <w:pPr>
              <w:pStyle w:val="a7"/>
              <w:ind w:left="0"/>
              <w:rPr>
                <w:sz w:val="22"/>
                <w:lang w:val="uk-UA"/>
              </w:rPr>
            </w:pPr>
            <w:r w:rsidRPr="00915913">
              <w:rPr>
                <w:sz w:val="22"/>
                <w:lang w:val="uk-UA"/>
              </w:rPr>
              <w:t xml:space="preserve">7. Введення </w:t>
            </w:r>
            <w:r w:rsidRPr="00915913">
              <w:rPr>
                <w:rStyle w:val="hps"/>
                <w:sz w:val="22"/>
                <w:lang w:val="uk-UA"/>
              </w:rPr>
              <w:t xml:space="preserve">лінії </w:t>
            </w:r>
            <w:r w:rsidRPr="00915913">
              <w:rPr>
                <w:sz w:val="22"/>
                <w:lang w:val="uk-UA"/>
              </w:rPr>
              <w:t xml:space="preserve"> в експлуатацію.</w:t>
            </w:r>
          </w:p>
        </w:tc>
      </w:tr>
      <w:tr w:rsidR="00E95FB1" w:rsidRPr="00915913" w:rsidTr="001B3967">
        <w:trPr>
          <w:trHeight w:val="360"/>
        </w:trPr>
        <w:tc>
          <w:tcPr>
            <w:tcW w:w="2884" w:type="dxa"/>
            <w:vMerge w:val="restart"/>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 xml:space="preserve">Орієнтовний обсяг та джерела фінансування, тис. грн. </w:t>
            </w:r>
          </w:p>
          <w:p w:rsidR="00E95FB1" w:rsidRPr="00915913" w:rsidRDefault="00E95FB1" w:rsidP="001B3967">
            <w:pPr>
              <w:pStyle w:val="a7"/>
              <w:ind w:left="0"/>
              <w:rPr>
                <w:b/>
                <w:sz w:val="22"/>
                <w:lang w:val="uk-UA"/>
              </w:rPr>
            </w:pPr>
          </w:p>
        </w:tc>
        <w:tc>
          <w:tcPr>
            <w:tcW w:w="1499" w:type="dxa"/>
            <w:tcBorders>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Державний бюджет</w:t>
            </w:r>
          </w:p>
        </w:tc>
        <w:tc>
          <w:tcPr>
            <w:tcW w:w="1272" w:type="dxa"/>
            <w:tcBorders>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Місцевий бюджет</w:t>
            </w:r>
          </w:p>
        </w:tc>
        <w:tc>
          <w:tcPr>
            <w:tcW w:w="2848" w:type="dxa"/>
            <w:gridSpan w:val="4"/>
            <w:tcBorders>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Інші джерела</w:t>
            </w:r>
          </w:p>
        </w:tc>
        <w:tc>
          <w:tcPr>
            <w:tcW w:w="1385" w:type="dxa"/>
            <w:tcBorders>
              <w:left w:val="single" w:sz="4" w:space="0" w:color="auto"/>
              <w:bottom w:val="single" w:sz="4" w:space="0" w:color="auto"/>
            </w:tcBorders>
          </w:tcPr>
          <w:p w:rsidR="00E95FB1" w:rsidRPr="00915913" w:rsidRDefault="00E95FB1" w:rsidP="001B3967">
            <w:pPr>
              <w:pStyle w:val="a7"/>
              <w:ind w:left="0"/>
              <w:jc w:val="center"/>
              <w:rPr>
                <w:b/>
                <w:sz w:val="22"/>
                <w:lang w:val="uk-UA"/>
              </w:rPr>
            </w:pPr>
            <w:r w:rsidRPr="00915913">
              <w:rPr>
                <w:b/>
                <w:sz w:val="22"/>
                <w:lang w:val="uk-UA"/>
              </w:rPr>
              <w:t>Всього</w:t>
            </w:r>
          </w:p>
        </w:tc>
      </w:tr>
      <w:tr w:rsidR="00E95FB1" w:rsidRPr="00915913" w:rsidTr="001B3967">
        <w:trPr>
          <w:trHeight w:val="225"/>
        </w:trPr>
        <w:tc>
          <w:tcPr>
            <w:tcW w:w="2884" w:type="dxa"/>
            <w:vMerge/>
            <w:shd w:val="clear" w:color="auto" w:fill="C6D9F1" w:themeFill="text2" w:themeFillTint="33"/>
          </w:tcPr>
          <w:p w:rsidR="00E95FB1" w:rsidRPr="00915913" w:rsidRDefault="00E95FB1" w:rsidP="001B3967">
            <w:pPr>
              <w:pStyle w:val="a7"/>
              <w:ind w:left="0"/>
              <w:rPr>
                <w:b/>
                <w:sz w:val="22"/>
                <w:lang w:val="uk-UA"/>
              </w:rPr>
            </w:pPr>
          </w:p>
        </w:tc>
        <w:tc>
          <w:tcPr>
            <w:tcW w:w="1499" w:type="dxa"/>
            <w:vMerge w:val="restart"/>
            <w:tcBorders>
              <w:top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1 260,7</w:t>
            </w:r>
          </w:p>
        </w:tc>
        <w:tc>
          <w:tcPr>
            <w:tcW w:w="1272" w:type="dxa"/>
            <w:vMerge w:val="restart"/>
            <w:tcBorders>
              <w:top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w:t>
            </w:r>
          </w:p>
        </w:tc>
        <w:tc>
          <w:tcPr>
            <w:tcW w:w="1393" w:type="dxa"/>
            <w:gridSpan w:val="2"/>
            <w:tcBorders>
              <w:top w:val="single" w:sz="4" w:space="0" w:color="auto"/>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Обсяг</w:t>
            </w:r>
          </w:p>
        </w:tc>
        <w:tc>
          <w:tcPr>
            <w:tcW w:w="1455" w:type="dxa"/>
            <w:gridSpan w:val="2"/>
            <w:tcBorders>
              <w:top w:val="single" w:sz="4" w:space="0" w:color="auto"/>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Назва джерела</w:t>
            </w:r>
          </w:p>
        </w:tc>
        <w:tc>
          <w:tcPr>
            <w:tcW w:w="1385" w:type="dxa"/>
            <w:vMerge w:val="restart"/>
            <w:tcBorders>
              <w:top w:val="single" w:sz="4" w:space="0" w:color="auto"/>
              <w:left w:val="single" w:sz="4" w:space="0" w:color="auto"/>
            </w:tcBorders>
          </w:tcPr>
          <w:p w:rsidR="00E95FB1" w:rsidRPr="00915913" w:rsidRDefault="00E95FB1" w:rsidP="001B3967">
            <w:pPr>
              <w:pStyle w:val="a7"/>
              <w:ind w:left="0"/>
              <w:jc w:val="center"/>
              <w:rPr>
                <w:sz w:val="22"/>
                <w:lang w:val="uk-UA"/>
              </w:rPr>
            </w:pPr>
            <w:r w:rsidRPr="00915913">
              <w:rPr>
                <w:sz w:val="22"/>
                <w:lang w:val="uk-UA"/>
              </w:rPr>
              <w:t>1 801,00</w:t>
            </w:r>
          </w:p>
        </w:tc>
      </w:tr>
      <w:tr w:rsidR="00E95FB1" w:rsidRPr="00915913" w:rsidTr="001B3967">
        <w:trPr>
          <w:trHeight w:val="300"/>
        </w:trPr>
        <w:tc>
          <w:tcPr>
            <w:tcW w:w="2884" w:type="dxa"/>
            <w:vMerge/>
            <w:shd w:val="clear" w:color="auto" w:fill="C6D9F1" w:themeFill="text2" w:themeFillTint="33"/>
          </w:tcPr>
          <w:p w:rsidR="00E95FB1" w:rsidRPr="00915913" w:rsidRDefault="00E95FB1" w:rsidP="001B3967">
            <w:pPr>
              <w:pStyle w:val="a7"/>
              <w:ind w:left="0"/>
              <w:rPr>
                <w:b/>
                <w:sz w:val="22"/>
                <w:lang w:val="uk-UA"/>
              </w:rPr>
            </w:pPr>
          </w:p>
        </w:tc>
        <w:tc>
          <w:tcPr>
            <w:tcW w:w="1499" w:type="dxa"/>
            <w:vMerge/>
            <w:tcBorders>
              <w:right w:val="single" w:sz="4" w:space="0" w:color="auto"/>
            </w:tcBorders>
          </w:tcPr>
          <w:p w:rsidR="00E95FB1" w:rsidRPr="00915913" w:rsidRDefault="00E95FB1" w:rsidP="001B3967">
            <w:pPr>
              <w:pStyle w:val="a7"/>
              <w:ind w:left="0"/>
              <w:jc w:val="center"/>
              <w:rPr>
                <w:sz w:val="22"/>
                <w:lang w:val="uk-UA"/>
              </w:rPr>
            </w:pPr>
          </w:p>
        </w:tc>
        <w:tc>
          <w:tcPr>
            <w:tcW w:w="1272" w:type="dxa"/>
            <w:vMerge/>
            <w:tcBorders>
              <w:right w:val="single" w:sz="4" w:space="0" w:color="auto"/>
            </w:tcBorders>
          </w:tcPr>
          <w:p w:rsidR="00E95FB1" w:rsidRPr="00915913" w:rsidRDefault="00E95FB1" w:rsidP="001B3967">
            <w:pPr>
              <w:pStyle w:val="a7"/>
              <w:ind w:left="0"/>
              <w:jc w:val="center"/>
              <w:rPr>
                <w:b/>
                <w:sz w:val="22"/>
                <w:lang w:val="uk-UA"/>
              </w:rPr>
            </w:pPr>
          </w:p>
        </w:tc>
        <w:tc>
          <w:tcPr>
            <w:tcW w:w="1393" w:type="dxa"/>
            <w:gridSpan w:val="2"/>
            <w:tcBorders>
              <w:top w:val="single" w:sz="4" w:space="0" w:color="auto"/>
              <w:left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sz w:val="22"/>
                <w:lang w:val="uk-UA"/>
              </w:rPr>
              <w:t>540,3</w:t>
            </w:r>
          </w:p>
        </w:tc>
        <w:tc>
          <w:tcPr>
            <w:tcW w:w="1455" w:type="dxa"/>
            <w:gridSpan w:val="2"/>
            <w:tcBorders>
              <w:top w:val="single" w:sz="4" w:space="0" w:color="auto"/>
              <w:left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Міжнародні інвестиції, кошти приватних осіб</w:t>
            </w:r>
          </w:p>
        </w:tc>
        <w:tc>
          <w:tcPr>
            <w:tcW w:w="1385" w:type="dxa"/>
            <w:vMerge/>
            <w:tcBorders>
              <w:left w:val="single" w:sz="4" w:space="0" w:color="auto"/>
            </w:tcBorders>
          </w:tcPr>
          <w:p w:rsidR="00E95FB1" w:rsidRPr="00915913" w:rsidRDefault="00E95FB1" w:rsidP="001B3967">
            <w:pPr>
              <w:pStyle w:val="a7"/>
              <w:ind w:left="0"/>
              <w:jc w:val="center"/>
              <w:rPr>
                <w:sz w:val="22"/>
                <w:lang w:val="uk-UA"/>
              </w:rPr>
            </w:pPr>
          </w:p>
        </w:tc>
      </w:tr>
    </w:tbl>
    <w:p w:rsidR="00E95FB1" w:rsidRPr="00915913" w:rsidRDefault="00E95FB1" w:rsidP="00E95FB1">
      <w:pPr>
        <w:rPr>
          <w:sz w:val="22"/>
        </w:rPr>
      </w:pPr>
    </w:p>
    <w:p w:rsidR="00E95FB1" w:rsidRPr="00915913" w:rsidRDefault="00E95FB1" w:rsidP="00E95FB1">
      <w:pPr>
        <w:rPr>
          <w:sz w:val="22"/>
        </w:rPr>
      </w:pPr>
    </w:p>
    <w:p w:rsidR="00E95FB1" w:rsidRPr="00915913" w:rsidRDefault="00E95FB1" w:rsidP="00E95FB1">
      <w:pPr>
        <w:rPr>
          <w:sz w:val="22"/>
        </w:rPr>
      </w:pPr>
    </w:p>
    <w:p w:rsidR="00E95FB1" w:rsidRPr="00915913" w:rsidRDefault="00E95FB1" w:rsidP="00E95FB1">
      <w:pPr>
        <w:rPr>
          <w:sz w:val="22"/>
        </w:rPr>
      </w:pPr>
    </w:p>
    <w:tbl>
      <w:tblPr>
        <w:tblStyle w:val="af"/>
        <w:tblW w:w="0" w:type="auto"/>
        <w:tblInd w:w="-176" w:type="dxa"/>
        <w:tblLook w:val="04A0" w:firstRow="1" w:lastRow="0" w:firstColumn="1" w:lastColumn="0" w:noHBand="0" w:noVBand="1"/>
      </w:tblPr>
      <w:tblGrid>
        <w:gridCol w:w="2722"/>
        <w:gridCol w:w="1480"/>
        <w:gridCol w:w="1260"/>
        <w:gridCol w:w="1398"/>
        <w:gridCol w:w="1170"/>
        <w:gridCol w:w="271"/>
        <w:gridCol w:w="1361"/>
      </w:tblGrid>
      <w:tr w:rsidR="00E95FB1" w:rsidRPr="00915913" w:rsidTr="001B3967">
        <w:tc>
          <w:tcPr>
            <w:tcW w:w="2880"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Оперативна ціль/завдання</w:t>
            </w:r>
          </w:p>
        </w:tc>
        <w:tc>
          <w:tcPr>
            <w:tcW w:w="7008" w:type="dxa"/>
            <w:gridSpan w:val="6"/>
            <w:shd w:val="clear" w:color="auto" w:fill="auto"/>
          </w:tcPr>
          <w:p w:rsidR="00E95FB1" w:rsidRPr="00915913" w:rsidRDefault="00E95FB1" w:rsidP="001B3967">
            <w:pPr>
              <w:pStyle w:val="a7"/>
              <w:ind w:left="0"/>
              <w:rPr>
                <w:sz w:val="22"/>
                <w:lang w:val="uk-UA"/>
              </w:rPr>
            </w:pPr>
            <w:r w:rsidRPr="00915913">
              <w:rPr>
                <w:sz w:val="22"/>
                <w:lang w:val="uk-UA"/>
              </w:rPr>
              <w:t>Комфорт життя ЛЮДИНИ як безпека, екологічна сталість та  розумна енергетика. Екологічна сталість через знання та партнерства</w:t>
            </w:r>
          </w:p>
        </w:tc>
      </w:tr>
      <w:tr w:rsidR="00E95FB1" w:rsidRPr="00915913" w:rsidTr="001B3967">
        <w:tc>
          <w:tcPr>
            <w:tcW w:w="2880"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Назва проекту:</w:t>
            </w:r>
          </w:p>
        </w:tc>
        <w:tc>
          <w:tcPr>
            <w:tcW w:w="7008" w:type="dxa"/>
            <w:gridSpan w:val="6"/>
          </w:tcPr>
          <w:p w:rsidR="00E95FB1" w:rsidRPr="00915913" w:rsidRDefault="00E95FB1" w:rsidP="001B3967">
            <w:pPr>
              <w:pStyle w:val="a7"/>
              <w:ind w:left="0"/>
              <w:rPr>
                <w:sz w:val="22"/>
                <w:lang w:val="uk-UA"/>
              </w:rPr>
            </w:pPr>
            <w:r w:rsidRPr="00915913">
              <w:rPr>
                <w:sz w:val="22"/>
                <w:lang w:val="uk-UA"/>
              </w:rPr>
              <w:t>Придбання лінії з переробки будівельного сміття</w:t>
            </w:r>
          </w:p>
        </w:tc>
      </w:tr>
      <w:tr w:rsidR="00E95FB1" w:rsidRPr="00915913" w:rsidTr="001B3967">
        <w:tc>
          <w:tcPr>
            <w:tcW w:w="2880" w:type="dxa"/>
            <w:shd w:val="clear" w:color="auto" w:fill="C6D9F1" w:themeFill="text2" w:themeFillTint="33"/>
          </w:tcPr>
          <w:p w:rsidR="00E95FB1" w:rsidRPr="00915913" w:rsidRDefault="00E95FB1" w:rsidP="001B3967">
            <w:pPr>
              <w:rPr>
                <w:b/>
                <w:sz w:val="22"/>
                <w:lang w:val="uk-UA"/>
              </w:rPr>
            </w:pPr>
            <w:r w:rsidRPr="00915913">
              <w:rPr>
                <w:b/>
                <w:sz w:val="22"/>
                <w:lang w:val="uk-UA"/>
              </w:rPr>
              <w:t>Ціль проекту</w:t>
            </w:r>
          </w:p>
        </w:tc>
        <w:tc>
          <w:tcPr>
            <w:tcW w:w="7008" w:type="dxa"/>
            <w:gridSpan w:val="6"/>
          </w:tcPr>
          <w:p w:rsidR="00E95FB1" w:rsidRPr="00915913" w:rsidRDefault="00E95FB1" w:rsidP="001B3967">
            <w:pPr>
              <w:pStyle w:val="a7"/>
              <w:ind w:left="0"/>
              <w:rPr>
                <w:sz w:val="22"/>
                <w:lang w:val="uk-UA"/>
              </w:rPr>
            </w:pPr>
            <w:r w:rsidRPr="00915913">
              <w:rPr>
                <w:sz w:val="22"/>
                <w:lang w:val="uk-UA"/>
              </w:rPr>
              <w:t>Створення умов, що сприятимуть забезпеченню  гігієнічного, безпечного, економічного і естетичного способу збору сміття та обмеження їх шкідливого впливу на навколишнє природне середовище</w:t>
            </w:r>
          </w:p>
        </w:tc>
      </w:tr>
      <w:tr w:rsidR="00E95FB1" w:rsidRPr="00915913" w:rsidTr="001B3967">
        <w:tc>
          <w:tcPr>
            <w:tcW w:w="2880"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Територія, на яку матиме вплив реалізація проекту</w:t>
            </w:r>
          </w:p>
        </w:tc>
        <w:tc>
          <w:tcPr>
            <w:tcW w:w="7008" w:type="dxa"/>
            <w:gridSpan w:val="6"/>
          </w:tcPr>
          <w:p w:rsidR="00E95FB1" w:rsidRPr="00915913" w:rsidRDefault="00E95FB1" w:rsidP="001B3967">
            <w:pPr>
              <w:pStyle w:val="a7"/>
              <w:ind w:left="0"/>
              <w:rPr>
                <w:sz w:val="22"/>
                <w:lang w:val="uk-UA"/>
              </w:rPr>
            </w:pPr>
            <w:r w:rsidRPr="00915913">
              <w:rPr>
                <w:sz w:val="22"/>
                <w:lang w:val="uk-UA"/>
              </w:rPr>
              <w:t>Сєвєродонецька міська територіальна громада</w:t>
            </w:r>
          </w:p>
        </w:tc>
      </w:tr>
      <w:tr w:rsidR="00E95FB1" w:rsidRPr="00915913" w:rsidTr="001B3967">
        <w:tc>
          <w:tcPr>
            <w:tcW w:w="2880"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Чисельність населення, на яке матиме вплив реалізація проекту</w:t>
            </w:r>
          </w:p>
        </w:tc>
        <w:tc>
          <w:tcPr>
            <w:tcW w:w="7008" w:type="dxa"/>
            <w:gridSpan w:val="6"/>
          </w:tcPr>
          <w:p w:rsidR="00E95FB1" w:rsidRPr="00915913" w:rsidRDefault="00E95FB1" w:rsidP="001B3967">
            <w:pPr>
              <w:pStyle w:val="a7"/>
              <w:ind w:left="0"/>
              <w:rPr>
                <w:sz w:val="22"/>
                <w:lang w:val="uk-UA"/>
              </w:rPr>
            </w:pPr>
            <w:r w:rsidRPr="00915913">
              <w:rPr>
                <w:sz w:val="22"/>
                <w:lang w:val="uk-UA"/>
              </w:rPr>
              <w:t xml:space="preserve"> 70 000  осіб</w:t>
            </w:r>
          </w:p>
        </w:tc>
      </w:tr>
      <w:tr w:rsidR="00E95FB1" w:rsidRPr="00915913" w:rsidTr="001B3967">
        <w:tc>
          <w:tcPr>
            <w:tcW w:w="2880" w:type="dxa"/>
            <w:shd w:val="clear" w:color="auto" w:fill="C6D9F1" w:themeFill="text2" w:themeFillTint="33"/>
          </w:tcPr>
          <w:p w:rsidR="00E95FB1" w:rsidRPr="00915913" w:rsidRDefault="00E95FB1" w:rsidP="001B3967">
            <w:pPr>
              <w:rPr>
                <w:b/>
                <w:sz w:val="22"/>
                <w:lang w:val="uk-UA"/>
              </w:rPr>
            </w:pPr>
            <w:r w:rsidRPr="00915913">
              <w:rPr>
                <w:b/>
                <w:sz w:val="22"/>
                <w:lang w:val="uk-UA"/>
              </w:rPr>
              <w:t>Опис проблеми, на вирішення якої  спрямований проект</w:t>
            </w:r>
          </w:p>
        </w:tc>
        <w:tc>
          <w:tcPr>
            <w:tcW w:w="7008" w:type="dxa"/>
            <w:gridSpan w:val="6"/>
          </w:tcPr>
          <w:p w:rsidR="00E95FB1" w:rsidRPr="00915913" w:rsidRDefault="00E95FB1" w:rsidP="001B3967">
            <w:pPr>
              <w:rPr>
                <w:sz w:val="22"/>
                <w:lang w:val="uk-UA"/>
              </w:rPr>
            </w:pPr>
            <w:r w:rsidRPr="00915913">
              <w:rPr>
                <w:sz w:val="22"/>
                <w:lang w:val="uk-UA"/>
              </w:rPr>
              <w:t>Через військову агресію РФ територія Сєвєродонецької міської територіальної громади зазнала значних пошкоджень На території Сєвєродонецької громади велись активні бойові дії і</w:t>
            </w:r>
            <w:r w:rsidR="007F2A79" w:rsidRPr="00915913">
              <w:rPr>
                <w:sz w:val="22"/>
                <w:szCs w:val="22"/>
                <w:lang w:val="uk-UA"/>
              </w:rPr>
              <w:t>,</w:t>
            </w:r>
            <w:r w:rsidRPr="00915913">
              <w:rPr>
                <w:sz w:val="22"/>
                <w:lang w:val="uk-UA"/>
              </w:rPr>
              <w:t xml:space="preserve"> як наслідок</w:t>
            </w:r>
            <w:r w:rsidR="007F2A79" w:rsidRPr="00915913">
              <w:rPr>
                <w:sz w:val="22"/>
                <w:szCs w:val="22"/>
                <w:lang w:val="uk-UA"/>
              </w:rPr>
              <w:t>,</w:t>
            </w:r>
            <w:r w:rsidRPr="00915913">
              <w:rPr>
                <w:sz w:val="22"/>
                <w:lang w:val="uk-UA"/>
              </w:rPr>
              <w:t xml:space="preserve"> багато зруйнованого житлового фонду, адмінбудівель, споруд. Це дуже великий обсяг будівельного сміття.</w:t>
            </w:r>
          </w:p>
        </w:tc>
      </w:tr>
      <w:tr w:rsidR="00E95FB1" w:rsidRPr="00915913" w:rsidTr="001B3967">
        <w:tc>
          <w:tcPr>
            <w:tcW w:w="2880"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Очікувані якісні результати від реалізації проекту</w:t>
            </w:r>
          </w:p>
        </w:tc>
        <w:tc>
          <w:tcPr>
            <w:tcW w:w="7008" w:type="dxa"/>
            <w:gridSpan w:val="6"/>
          </w:tcPr>
          <w:p w:rsidR="00E95FB1" w:rsidRPr="00915913" w:rsidRDefault="00E95FB1" w:rsidP="001B3967">
            <w:pPr>
              <w:pStyle w:val="a7"/>
              <w:ind w:left="0"/>
              <w:rPr>
                <w:sz w:val="22"/>
                <w:lang w:val="uk-UA"/>
              </w:rPr>
            </w:pPr>
            <w:r w:rsidRPr="00915913">
              <w:rPr>
                <w:sz w:val="22"/>
                <w:lang w:val="uk-UA"/>
              </w:rPr>
              <w:t xml:space="preserve">- відновлення міста та селищ громади після </w:t>
            </w:r>
            <w:proofErr w:type="spellStart"/>
            <w:r w:rsidRPr="00915913">
              <w:rPr>
                <w:sz w:val="22"/>
                <w:lang w:val="uk-UA"/>
              </w:rPr>
              <w:t>деокупації</w:t>
            </w:r>
            <w:proofErr w:type="spellEnd"/>
          </w:p>
          <w:p w:rsidR="00E95FB1" w:rsidRPr="00915913" w:rsidRDefault="00E95FB1" w:rsidP="001B3967">
            <w:pPr>
              <w:pStyle w:val="a7"/>
              <w:ind w:left="0"/>
              <w:rPr>
                <w:sz w:val="22"/>
                <w:lang w:val="uk-UA"/>
              </w:rPr>
            </w:pPr>
            <w:r w:rsidRPr="00915913">
              <w:rPr>
                <w:sz w:val="22"/>
                <w:lang w:val="uk-UA"/>
              </w:rPr>
              <w:t>- створення нових робочих місць;</w:t>
            </w:r>
          </w:p>
          <w:p w:rsidR="00E95FB1" w:rsidRPr="00915913" w:rsidRDefault="00E95FB1" w:rsidP="001B3967">
            <w:pPr>
              <w:pStyle w:val="a7"/>
              <w:ind w:left="0"/>
              <w:rPr>
                <w:sz w:val="22"/>
                <w:lang w:val="uk-UA"/>
              </w:rPr>
            </w:pPr>
            <w:r w:rsidRPr="00915913">
              <w:rPr>
                <w:sz w:val="22"/>
                <w:lang w:val="uk-UA"/>
              </w:rPr>
              <w:t>- стимул до повернення ВПО до громади;</w:t>
            </w:r>
          </w:p>
          <w:p w:rsidR="00E95FB1" w:rsidRPr="00915913" w:rsidRDefault="00E95FB1" w:rsidP="001B3967">
            <w:pPr>
              <w:pStyle w:val="a7"/>
              <w:ind w:left="0"/>
              <w:rPr>
                <w:sz w:val="22"/>
                <w:lang w:val="uk-UA"/>
              </w:rPr>
            </w:pPr>
            <w:r w:rsidRPr="00915913">
              <w:rPr>
                <w:sz w:val="22"/>
                <w:lang w:val="uk-UA"/>
              </w:rPr>
              <w:t>- ефективна система поводження з твердими побутовими відходами;</w:t>
            </w:r>
          </w:p>
          <w:p w:rsidR="00E95FB1" w:rsidRPr="00915913" w:rsidRDefault="00E95FB1" w:rsidP="001B3967">
            <w:pPr>
              <w:rPr>
                <w:sz w:val="22"/>
                <w:lang w:val="uk-UA"/>
              </w:rPr>
            </w:pPr>
            <w:r w:rsidRPr="00915913">
              <w:rPr>
                <w:sz w:val="22"/>
                <w:lang w:val="uk-UA"/>
              </w:rPr>
              <w:t xml:space="preserve">- </w:t>
            </w:r>
            <w:r w:rsidR="007F2A79" w:rsidRPr="00915913">
              <w:rPr>
                <w:bCs/>
                <w:sz w:val="22"/>
                <w:szCs w:val="22"/>
                <w:lang w:val="uk-UA"/>
              </w:rPr>
              <w:t>о</w:t>
            </w:r>
            <w:r w:rsidRPr="00915913">
              <w:rPr>
                <w:bCs/>
                <w:sz w:val="22"/>
                <w:szCs w:val="22"/>
                <w:lang w:val="uk-UA"/>
              </w:rPr>
              <w:t>чищена</w:t>
            </w:r>
            <w:r w:rsidRPr="00915913">
              <w:rPr>
                <w:sz w:val="22"/>
                <w:lang w:val="uk-UA"/>
              </w:rPr>
              <w:t xml:space="preserve"> територія  від сміття, упорядкована територія  біля  закинутих будинків;</w:t>
            </w:r>
          </w:p>
          <w:p w:rsidR="00E95FB1" w:rsidRPr="00915913" w:rsidRDefault="00E95FB1" w:rsidP="007F2A79">
            <w:pPr>
              <w:rPr>
                <w:sz w:val="22"/>
                <w:lang w:val="uk-UA"/>
              </w:rPr>
            </w:pPr>
            <w:r w:rsidRPr="00915913">
              <w:rPr>
                <w:sz w:val="22"/>
                <w:lang w:val="uk-UA"/>
              </w:rPr>
              <w:t xml:space="preserve">- </w:t>
            </w:r>
            <w:r w:rsidR="007F2A79" w:rsidRPr="00915913">
              <w:rPr>
                <w:bCs/>
                <w:sz w:val="22"/>
                <w:szCs w:val="22"/>
                <w:lang w:val="uk-UA"/>
              </w:rPr>
              <w:t>о</w:t>
            </w:r>
            <w:r w:rsidRPr="00915913">
              <w:rPr>
                <w:bCs/>
                <w:sz w:val="22"/>
                <w:szCs w:val="22"/>
                <w:lang w:val="uk-UA"/>
              </w:rPr>
              <w:t>рганізований</w:t>
            </w:r>
            <w:r w:rsidRPr="00915913">
              <w:rPr>
                <w:sz w:val="22"/>
                <w:lang w:val="uk-UA"/>
              </w:rPr>
              <w:t xml:space="preserve">  роздільний  збір та утилізація  побутових відходів.</w:t>
            </w:r>
          </w:p>
        </w:tc>
      </w:tr>
      <w:tr w:rsidR="00E95FB1" w:rsidRPr="00915913" w:rsidTr="001B3967">
        <w:trPr>
          <w:trHeight w:val="390"/>
        </w:trPr>
        <w:tc>
          <w:tcPr>
            <w:tcW w:w="2880" w:type="dxa"/>
            <w:vMerge w:val="restart"/>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 xml:space="preserve">Очікувані кількісні результати реалізації </w:t>
            </w:r>
            <w:proofErr w:type="spellStart"/>
            <w:r w:rsidRPr="00915913">
              <w:rPr>
                <w:b/>
                <w:sz w:val="22"/>
                <w:lang w:val="uk-UA"/>
              </w:rPr>
              <w:t>проєкту</w:t>
            </w:r>
            <w:proofErr w:type="spellEnd"/>
            <w:r w:rsidRPr="00915913">
              <w:rPr>
                <w:b/>
                <w:sz w:val="22"/>
                <w:lang w:val="uk-UA"/>
              </w:rPr>
              <w:t xml:space="preserve"> (індикатори)</w:t>
            </w:r>
          </w:p>
          <w:p w:rsidR="00E95FB1" w:rsidRPr="00915913" w:rsidRDefault="00E95FB1" w:rsidP="001B3967">
            <w:pPr>
              <w:pStyle w:val="a7"/>
              <w:ind w:left="0"/>
              <w:rPr>
                <w:b/>
                <w:sz w:val="22"/>
                <w:lang w:val="uk-UA"/>
              </w:rPr>
            </w:pPr>
          </w:p>
        </w:tc>
        <w:tc>
          <w:tcPr>
            <w:tcW w:w="2771" w:type="dxa"/>
            <w:gridSpan w:val="2"/>
            <w:tcBorders>
              <w:bottom w:val="single" w:sz="4" w:space="0" w:color="auto"/>
              <w:right w:val="single" w:sz="4" w:space="0" w:color="auto"/>
            </w:tcBorders>
          </w:tcPr>
          <w:p w:rsidR="00E95FB1" w:rsidRPr="00915913" w:rsidRDefault="00E95FB1" w:rsidP="001B3967">
            <w:pPr>
              <w:pStyle w:val="a7"/>
              <w:ind w:left="-108"/>
              <w:jc w:val="center"/>
              <w:rPr>
                <w:b/>
                <w:sz w:val="22"/>
                <w:lang w:val="uk-UA"/>
              </w:rPr>
            </w:pPr>
            <w:r w:rsidRPr="00915913">
              <w:rPr>
                <w:b/>
                <w:sz w:val="22"/>
                <w:lang w:val="uk-UA"/>
              </w:rPr>
              <w:t>Найменування показника</w:t>
            </w:r>
          </w:p>
        </w:tc>
        <w:tc>
          <w:tcPr>
            <w:tcW w:w="2571" w:type="dxa"/>
            <w:gridSpan w:val="2"/>
            <w:tcBorders>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Одиниця вимірювання</w:t>
            </w:r>
          </w:p>
          <w:p w:rsidR="00E95FB1" w:rsidRPr="00915913" w:rsidRDefault="00E95FB1" w:rsidP="001B3967">
            <w:pPr>
              <w:pStyle w:val="a7"/>
              <w:ind w:left="0"/>
              <w:rPr>
                <w:b/>
                <w:sz w:val="22"/>
                <w:lang w:val="uk-UA"/>
              </w:rPr>
            </w:pPr>
          </w:p>
        </w:tc>
        <w:tc>
          <w:tcPr>
            <w:tcW w:w="1666" w:type="dxa"/>
            <w:gridSpan w:val="2"/>
            <w:tcBorders>
              <w:left w:val="single" w:sz="4" w:space="0" w:color="auto"/>
              <w:bottom w:val="single" w:sz="4" w:space="0" w:color="auto"/>
            </w:tcBorders>
          </w:tcPr>
          <w:p w:rsidR="00E95FB1" w:rsidRPr="00915913" w:rsidRDefault="00E95FB1" w:rsidP="001B3967">
            <w:pPr>
              <w:pStyle w:val="a7"/>
              <w:ind w:left="0"/>
              <w:jc w:val="center"/>
              <w:rPr>
                <w:b/>
                <w:sz w:val="22"/>
                <w:lang w:val="uk-UA"/>
              </w:rPr>
            </w:pPr>
            <w:r w:rsidRPr="00915913">
              <w:rPr>
                <w:b/>
                <w:sz w:val="22"/>
                <w:lang w:val="uk-UA"/>
              </w:rPr>
              <w:t>Прогнозне (цільове) значення</w:t>
            </w:r>
          </w:p>
        </w:tc>
      </w:tr>
      <w:tr w:rsidR="00E95FB1" w:rsidRPr="00915913" w:rsidTr="001B3967">
        <w:trPr>
          <w:trHeight w:val="585"/>
        </w:trPr>
        <w:tc>
          <w:tcPr>
            <w:tcW w:w="2880" w:type="dxa"/>
            <w:vMerge/>
            <w:shd w:val="clear" w:color="auto" w:fill="C6D9F1" w:themeFill="text2" w:themeFillTint="33"/>
          </w:tcPr>
          <w:p w:rsidR="00E95FB1" w:rsidRPr="00915913" w:rsidRDefault="00E95FB1" w:rsidP="001B3967">
            <w:pPr>
              <w:pStyle w:val="a7"/>
              <w:ind w:left="0"/>
              <w:rPr>
                <w:b/>
                <w:sz w:val="22"/>
                <w:lang w:val="uk-UA"/>
              </w:rPr>
            </w:pPr>
          </w:p>
        </w:tc>
        <w:tc>
          <w:tcPr>
            <w:tcW w:w="2771" w:type="dxa"/>
            <w:gridSpan w:val="2"/>
            <w:tcBorders>
              <w:top w:val="single" w:sz="4" w:space="0" w:color="auto"/>
              <w:bottom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лінія з переробки будівельного сміття</w:t>
            </w:r>
          </w:p>
        </w:tc>
        <w:tc>
          <w:tcPr>
            <w:tcW w:w="2571" w:type="dxa"/>
            <w:gridSpan w:val="2"/>
            <w:tcBorders>
              <w:top w:val="single" w:sz="4" w:space="0" w:color="auto"/>
              <w:left w:val="single" w:sz="4" w:space="0" w:color="auto"/>
              <w:bottom w:val="single" w:sz="4" w:space="0" w:color="auto"/>
              <w:right w:val="single" w:sz="4" w:space="0" w:color="auto"/>
            </w:tcBorders>
            <w:vAlign w:val="center"/>
          </w:tcPr>
          <w:p w:rsidR="00E95FB1" w:rsidRPr="00915913" w:rsidRDefault="00E95FB1" w:rsidP="001B3967">
            <w:pPr>
              <w:pStyle w:val="a7"/>
              <w:ind w:left="0"/>
              <w:jc w:val="center"/>
              <w:rPr>
                <w:sz w:val="22"/>
                <w:lang w:val="uk-UA"/>
              </w:rPr>
            </w:pPr>
            <w:r w:rsidRPr="00915913">
              <w:rPr>
                <w:sz w:val="22"/>
                <w:lang w:val="uk-UA"/>
              </w:rPr>
              <w:t>одиниця</w:t>
            </w:r>
          </w:p>
        </w:tc>
        <w:tc>
          <w:tcPr>
            <w:tcW w:w="1666" w:type="dxa"/>
            <w:gridSpan w:val="2"/>
            <w:tcBorders>
              <w:top w:val="single" w:sz="4" w:space="0" w:color="auto"/>
              <w:left w:val="single" w:sz="4" w:space="0" w:color="auto"/>
              <w:bottom w:val="single" w:sz="4" w:space="0" w:color="auto"/>
            </w:tcBorders>
          </w:tcPr>
          <w:p w:rsidR="00E95FB1" w:rsidRPr="00915913" w:rsidRDefault="00E95FB1" w:rsidP="001B3967">
            <w:pPr>
              <w:pStyle w:val="a7"/>
              <w:ind w:left="0"/>
              <w:jc w:val="center"/>
              <w:rPr>
                <w:b/>
                <w:sz w:val="22"/>
                <w:lang w:val="uk-UA"/>
              </w:rPr>
            </w:pPr>
          </w:p>
          <w:p w:rsidR="00E95FB1" w:rsidRPr="00915913" w:rsidRDefault="00E95FB1" w:rsidP="001B3967">
            <w:pPr>
              <w:pStyle w:val="a7"/>
              <w:ind w:left="0"/>
              <w:jc w:val="center"/>
              <w:rPr>
                <w:sz w:val="22"/>
                <w:lang w:val="uk-UA"/>
              </w:rPr>
            </w:pPr>
            <w:r w:rsidRPr="00915913">
              <w:rPr>
                <w:sz w:val="22"/>
                <w:lang w:val="uk-UA"/>
              </w:rPr>
              <w:t>1</w:t>
            </w:r>
          </w:p>
        </w:tc>
      </w:tr>
      <w:tr w:rsidR="00E95FB1" w:rsidRPr="00915913" w:rsidTr="001B3967">
        <w:tc>
          <w:tcPr>
            <w:tcW w:w="2880" w:type="dxa"/>
            <w:shd w:val="clear" w:color="auto" w:fill="C6D9F1" w:themeFill="text2" w:themeFillTint="33"/>
          </w:tcPr>
          <w:p w:rsidR="00E95FB1" w:rsidRPr="00915913" w:rsidRDefault="00E95FB1" w:rsidP="001B3967">
            <w:pPr>
              <w:rPr>
                <w:b/>
                <w:sz w:val="22"/>
                <w:lang w:val="uk-UA"/>
              </w:rPr>
            </w:pPr>
            <w:r w:rsidRPr="00915913">
              <w:rPr>
                <w:b/>
                <w:sz w:val="22"/>
                <w:lang w:val="uk-UA"/>
              </w:rPr>
              <w:t xml:space="preserve">Ключові заходи проекту: </w:t>
            </w:r>
          </w:p>
          <w:p w:rsidR="00E95FB1" w:rsidRPr="00915913" w:rsidRDefault="00E95FB1" w:rsidP="001B3967">
            <w:pPr>
              <w:pStyle w:val="a7"/>
              <w:ind w:left="0"/>
              <w:rPr>
                <w:b/>
                <w:sz w:val="22"/>
                <w:lang w:val="uk-UA"/>
              </w:rPr>
            </w:pPr>
          </w:p>
        </w:tc>
        <w:tc>
          <w:tcPr>
            <w:tcW w:w="7008" w:type="dxa"/>
            <w:gridSpan w:val="6"/>
          </w:tcPr>
          <w:p w:rsidR="00E95FB1" w:rsidRPr="00915913" w:rsidRDefault="00E95FB1" w:rsidP="001B3967">
            <w:pPr>
              <w:rPr>
                <w:sz w:val="22"/>
                <w:lang w:val="uk-UA"/>
              </w:rPr>
            </w:pPr>
            <w:r w:rsidRPr="00915913">
              <w:rPr>
                <w:sz w:val="22"/>
                <w:lang w:val="uk-UA"/>
              </w:rPr>
              <w:t xml:space="preserve">-Визначення </w:t>
            </w:r>
            <w:r w:rsidRPr="00915913">
              <w:rPr>
                <w:bCs/>
                <w:sz w:val="22"/>
                <w:szCs w:val="22"/>
                <w:lang w:val="uk-UA"/>
              </w:rPr>
              <w:t>міс</w:t>
            </w:r>
            <w:r w:rsidR="007F2A79" w:rsidRPr="00915913">
              <w:rPr>
                <w:bCs/>
                <w:sz w:val="22"/>
                <w:szCs w:val="22"/>
                <w:lang w:val="uk-UA"/>
              </w:rPr>
              <w:t>ця</w:t>
            </w:r>
            <w:r w:rsidRPr="00915913">
              <w:rPr>
                <w:sz w:val="22"/>
                <w:lang w:val="uk-UA"/>
              </w:rPr>
              <w:t xml:space="preserve"> розташування лінії з переробки будівельного сміття</w:t>
            </w:r>
            <w:r w:rsidR="007F2A79" w:rsidRPr="00915913">
              <w:rPr>
                <w:bCs/>
                <w:sz w:val="22"/>
                <w:szCs w:val="22"/>
                <w:lang w:val="uk-UA"/>
              </w:rPr>
              <w:t>.</w:t>
            </w:r>
          </w:p>
          <w:p w:rsidR="00E95FB1" w:rsidRPr="00915913" w:rsidRDefault="00E95FB1" w:rsidP="001B3967">
            <w:pPr>
              <w:rPr>
                <w:sz w:val="22"/>
                <w:lang w:val="uk-UA"/>
              </w:rPr>
            </w:pPr>
            <w:r w:rsidRPr="00915913">
              <w:rPr>
                <w:sz w:val="22"/>
                <w:lang w:val="uk-UA"/>
              </w:rPr>
              <w:lastRenderedPageBreak/>
              <w:t xml:space="preserve">-Придбання лінії з переробки будівельного сміття для міста Сєвєродонецьк дозволить вирішити задачі після демонтажу зруйнованих споруд : </w:t>
            </w:r>
          </w:p>
          <w:p w:rsidR="00E95FB1" w:rsidRPr="00915913" w:rsidRDefault="00E95FB1" w:rsidP="001B3967">
            <w:pPr>
              <w:rPr>
                <w:sz w:val="22"/>
                <w:lang w:val="uk-UA"/>
              </w:rPr>
            </w:pPr>
            <w:r w:rsidRPr="00915913">
              <w:rPr>
                <w:sz w:val="22"/>
                <w:lang w:val="uk-UA"/>
              </w:rPr>
              <w:t xml:space="preserve">- </w:t>
            </w:r>
            <w:r w:rsidR="007F2A79" w:rsidRPr="00915913">
              <w:rPr>
                <w:bCs/>
                <w:sz w:val="22"/>
                <w:szCs w:val="22"/>
                <w:lang w:val="uk-UA"/>
              </w:rPr>
              <w:t>п</w:t>
            </w:r>
            <w:r w:rsidRPr="00915913">
              <w:rPr>
                <w:bCs/>
                <w:sz w:val="22"/>
                <w:szCs w:val="22"/>
                <w:lang w:val="uk-UA"/>
              </w:rPr>
              <w:t>ервинне</w:t>
            </w:r>
            <w:r w:rsidRPr="00915913">
              <w:rPr>
                <w:sz w:val="22"/>
                <w:lang w:val="uk-UA"/>
              </w:rPr>
              <w:t xml:space="preserve"> дроблення щоковою дробаркою B3h;</w:t>
            </w:r>
          </w:p>
          <w:p w:rsidR="00E95FB1" w:rsidRPr="00915913" w:rsidRDefault="00E95FB1" w:rsidP="001B3967">
            <w:pPr>
              <w:rPr>
                <w:sz w:val="22"/>
                <w:lang w:val="uk-UA"/>
              </w:rPr>
            </w:pPr>
            <w:r w:rsidRPr="00915913">
              <w:rPr>
                <w:sz w:val="22"/>
                <w:lang w:val="uk-UA"/>
              </w:rPr>
              <w:t xml:space="preserve">- </w:t>
            </w:r>
            <w:r w:rsidR="007F2A79" w:rsidRPr="00915913">
              <w:rPr>
                <w:bCs/>
                <w:sz w:val="22"/>
                <w:szCs w:val="22"/>
                <w:lang w:val="uk-UA"/>
              </w:rPr>
              <w:t>в</w:t>
            </w:r>
            <w:r w:rsidRPr="00915913">
              <w:rPr>
                <w:bCs/>
                <w:sz w:val="22"/>
                <w:szCs w:val="22"/>
                <w:lang w:val="uk-UA"/>
              </w:rPr>
              <w:t>ідбір</w:t>
            </w:r>
            <w:r w:rsidRPr="00915913">
              <w:rPr>
                <w:sz w:val="22"/>
                <w:lang w:val="uk-UA"/>
              </w:rPr>
              <w:t xml:space="preserve"> металевих включень магнітним сепаратором;</w:t>
            </w:r>
          </w:p>
          <w:p w:rsidR="00E95FB1" w:rsidRPr="00915913" w:rsidRDefault="00E95FB1" w:rsidP="007F2A79">
            <w:pPr>
              <w:pStyle w:val="a7"/>
              <w:ind w:left="0"/>
              <w:rPr>
                <w:sz w:val="22"/>
                <w:lang w:val="uk-UA"/>
              </w:rPr>
            </w:pPr>
            <w:r w:rsidRPr="00915913">
              <w:rPr>
                <w:sz w:val="22"/>
                <w:lang w:val="uk-UA"/>
              </w:rPr>
              <w:t xml:space="preserve">- </w:t>
            </w:r>
            <w:r w:rsidR="007F2A79" w:rsidRPr="00915913">
              <w:rPr>
                <w:bCs/>
                <w:sz w:val="22"/>
                <w:szCs w:val="22"/>
                <w:lang w:val="uk-UA"/>
              </w:rPr>
              <w:t>с</w:t>
            </w:r>
            <w:r w:rsidRPr="00915913">
              <w:rPr>
                <w:bCs/>
                <w:sz w:val="22"/>
                <w:szCs w:val="22"/>
                <w:lang w:val="uk-UA"/>
              </w:rPr>
              <w:t>ортування</w:t>
            </w:r>
            <w:r w:rsidRPr="00915913">
              <w:rPr>
                <w:sz w:val="22"/>
                <w:lang w:val="uk-UA"/>
              </w:rPr>
              <w:t xml:space="preserve"> сипучих матеріалів </w:t>
            </w:r>
            <w:proofErr w:type="spellStart"/>
            <w:r w:rsidRPr="00915913">
              <w:rPr>
                <w:sz w:val="22"/>
                <w:lang w:val="uk-UA"/>
              </w:rPr>
              <w:t>скальпуючим</w:t>
            </w:r>
            <w:proofErr w:type="spellEnd"/>
            <w:r w:rsidRPr="00915913">
              <w:rPr>
                <w:sz w:val="22"/>
                <w:lang w:val="uk-UA"/>
              </w:rPr>
              <w:t xml:space="preserve"> грохотом</w:t>
            </w:r>
          </w:p>
        </w:tc>
      </w:tr>
      <w:tr w:rsidR="00E95FB1" w:rsidRPr="00915913" w:rsidTr="001B3967">
        <w:trPr>
          <w:trHeight w:val="360"/>
        </w:trPr>
        <w:tc>
          <w:tcPr>
            <w:tcW w:w="2880" w:type="dxa"/>
            <w:vMerge w:val="restart"/>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lastRenderedPageBreak/>
              <w:t xml:space="preserve">Орієнтовний обсяг та джерела фінансування, тис. грн. </w:t>
            </w:r>
          </w:p>
          <w:p w:rsidR="00E95FB1" w:rsidRPr="00915913" w:rsidRDefault="00E95FB1" w:rsidP="001B3967">
            <w:pPr>
              <w:pStyle w:val="a7"/>
              <w:ind w:left="0"/>
              <w:rPr>
                <w:b/>
                <w:sz w:val="22"/>
                <w:lang w:val="uk-UA"/>
              </w:rPr>
            </w:pPr>
          </w:p>
        </w:tc>
        <w:tc>
          <w:tcPr>
            <w:tcW w:w="1499" w:type="dxa"/>
            <w:tcBorders>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Державний бюджет</w:t>
            </w:r>
          </w:p>
        </w:tc>
        <w:tc>
          <w:tcPr>
            <w:tcW w:w="1272" w:type="dxa"/>
            <w:tcBorders>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Місцевий бюджет</w:t>
            </w:r>
          </w:p>
        </w:tc>
        <w:tc>
          <w:tcPr>
            <w:tcW w:w="2853" w:type="dxa"/>
            <w:gridSpan w:val="3"/>
            <w:tcBorders>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Інші джерела</w:t>
            </w:r>
          </w:p>
        </w:tc>
        <w:tc>
          <w:tcPr>
            <w:tcW w:w="1384" w:type="dxa"/>
            <w:tcBorders>
              <w:left w:val="single" w:sz="4" w:space="0" w:color="auto"/>
              <w:bottom w:val="single" w:sz="4" w:space="0" w:color="auto"/>
            </w:tcBorders>
          </w:tcPr>
          <w:p w:rsidR="00E95FB1" w:rsidRPr="00915913" w:rsidRDefault="00E95FB1" w:rsidP="001B3967">
            <w:pPr>
              <w:pStyle w:val="a7"/>
              <w:ind w:left="0"/>
              <w:jc w:val="center"/>
              <w:rPr>
                <w:b/>
                <w:sz w:val="22"/>
                <w:lang w:val="uk-UA"/>
              </w:rPr>
            </w:pPr>
            <w:r w:rsidRPr="00915913">
              <w:rPr>
                <w:b/>
                <w:sz w:val="22"/>
                <w:lang w:val="uk-UA"/>
              </w:rPr>
              <w:t>Всього</w:t>
            </w:r>
          </w:p>
        </w:tc>
      </w:tr>
      <w:tr w:rsidR="00E95FB1" w:rsidRPr="00915913" w:rsidTr="001B3967">
        <w:trPr>
          <w:trHeight w:val="225"/>
        </w:trPr>
        <w:tc>
          <w:tcPr>
            <w:tcW w:w="2880" w:type="dxa"/>
            <w:vMerge/>
            <w:shd w:val="clear" w:color="auto" w:fill="C6D9F1" w:themeFill="text2" w:themeFillTint="33"/>
          </w:tcPr>
          <w:p w:rsidR="00E95FB1" w:rsidRPr="00915913" w:rsidRDefault="00E95FB1" w:rsidP="001B3967">
            <w:pPr>
              <w:pStyle w:val="a7"/>
              <w:ind w:left="0"/>
              <w:rPr>
                <w:b/>
                <w:sz w:val="22"/>
                <w:lang w:val="uk-UA"/>
              </w:rPr>
            </w:pPr>
          </w:p>
        </w:tc>
        <w:tc>
          <w:tcPr>
            <w:tcW w:w="1499" w:type="dxa"/>
            <w:vMerge w:val="restart"/>
            <w:tcBorders>
              <w:top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21 556,5</w:t>
            </w:r>
          </w:p>
        </w:tc>
        <w:tc>
          <w:tcPr>
            <w:tcW w:w="1272" w:type="dxa"/>
            <w:vMerge w:val="restart"/>
            <w:tcBorders>
              <w:top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w:t>
            </w:r>
          </w:p>
        </w:tc>
        <w:tc>
          <w:tcPr>
            <w:tcW w:w="1398" w:type="dxa"/>
            <w:tcBorders>
              <w:top w:val="single" w:sz="4" w:space="0" w:color="auto"/>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Обсяг</w:t>
            </w:r>
          </w:p>
        </w:tc>
        <w:tc>
          <w:tcPr>
            <w:tcW w:w="1455" w:type="dxa"/>
            <w:gridSpan w:val="2"/>
            <w:tcBorders>
              <w:top w:val="single" w:sz="4" w:space="0" w:color="auto"/>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Назва джерела</w:t>
            </w:r>
          </w:p>
        </w:tc>
        <w:tc>
          <w:tcPr>
            <w:tcW w:w="1384" w:type="dxa"/>
            <w:vMerge w:val="restart"/>
            <w:tcBorders>
              <w:top w:val="single" w:sz="4" w:space="0" w:color="auto"/>
              <w:left w:val="single" w:sz="4" w:space="0" w:color="auto"/>
            </w:tcBorders>
          </w:tcPr>
          <w:p w:rsidR="00E95FB1" w:rsidRPr="00915913" w:rsidRDefault="00E95FB1" w:rsidP="001B3967">
            <w:pPr>
              <w:pStyle w:val="a7"/>
              <w:ind w:left="0"/>
              <w:jc w:val="center"/>
              <w:rPr>
                <w:sz w:val="22"/>
                <w:lang w:val="uk-UA"/>
              </w:rPr>
            </w:pPr>
            <w:r w:rsidRPr="00915913">
              <w:rPr>
                <w:sz w:val="22"/>
                <w:lang w:val="uk-UA"/>
              </w:rPr>
              <w:t>30 795,00</w:t>
            </w:r>
          </w:p>
        </w:tc>
      </w:tr>
      <w:tr w:rsidR="00E95FB1" w:rsidRPr="00915913" w:rsidTr="001B3967">
        <w:trPr>
          <w:trHeight w:val="300"/>
        </w:trPr>
        <w:tc>
          <w:tcPr>
            <w:tcW w:w="2880" w:type="dxa"/>
            <w:vMerge/>
            <w:shd w:val="clear" w:color="auto" w:fill="C6D9F1" w:themeFill="text2" w:themeFillTint="33"/>
          </w:tcPr>
          <w:p w:rsidR="00E95FB1" w:rsidRPr="00915913" w:rsidRDefault="00E95FB1" w:rsidP="001B3967">
            <w:pPr>
              <w:pStyle w:val="a7"/>
              <w:ind w:left="0"/>
              <w:rPr>
                <w:b/>
                <w:sz w:val="22"/>
                <w:lang w:val="uk-UA"/>
              </w:rPr>
            </w:pPr>
          </w:p>
        </w:tc>
        <w:tc>
          <w:tcPr>
            <w:tcW w:w="1499" w:type="dxa"/>
            <w:vMerge/>
            <w:tcBorders>
              <w:right w:val="single" w:sz="4" w:space="0" w:color="auto"/>
            </w:tcBorders>
          </w:tcPr>
          <w:p w:rsidR="00E95FB1" w:rsidRPr="00915913" w:rsidRDefault="00E95FB1" w:rsidP="001B3967">
            <w:pPr>
              <w:pStyle w:val="a7"/>
              <w:ind w:left="0"/>
              <w:jc w:val="center"/>
              <w:rPr>
                <w:sz w:val="22"/>
                <w:lang w:val="uk-UA"/>
              </w:rPr>
            </w:pPr>
          </w:p>
        </w:tc>
        <w:tc>
          <w:tcPr>
            <w:tcW w:w="1272" w:type="dxa"/>
            <w:vMerge/>
            <w:tcBorders>
              <w:right w:val="single" w:sz="4" w:space="0" w:color="auto"/>
            </w:tcBorders>
          </w:tcPr>
          <w:p w:rsidR="00E95FB1" w:rsidRPr="00915913" w:rsidRDefault="00E95FB1" w:rsidP="001B3967">
            <w:pPr>
              <w:pStyle w:val="a7"/>
              <w:ind w:left="0"/>
              <w:jc w:val="center"/>
              <w:rPr>
                <w:b/>
                <w:sz w:val="22"/>
                <w:lang w:val="uk-UA"/>
              </w:rPr>
            </w:pPr>
          </w:p>
        </w:tc>
        <w:tc>
          <w:tcPr>
            <w:tcW w:w="1398" w:type="dxa"/>
            <w:tcBorders>
              <w:top w:val="single" w:sz="4" w:space="0" w:color="auto"/>
              <w:left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sz w:val="22"/>
                <w:lang w:val="uk-UA"/>
              </w:rPr>
              <w:t>9 238,5</w:t>
            </w:r>
          </w:p>
        </w:tc>
        <w:tc>
          <w:tcPr>
            <w:tcW w:w="1455" w:type="dxa"/>
            <w:gridSpan w:val="2"/>
            <w:tcBorders>
              <w:top w:val="single" w:sz="4" w:space="0" w:color="auto"/>
              <w:left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Міжнародні інвестиції, кошти приватних осіб</w:t>
            </w:r>
          </w:p>
        </w:tc>
        <w:tc>
          <w:tcPr>
            <w:tcW w:w="1384" w:type="dxa"/>
            <w:vMerge/>
            <w:tcBorders>
              <w:left w:val="single" w:sz="4" w:space="0" w:color="auto"/>
            </w:tcBorders>
          </w:tcPr>
          <w:p w:rsidR="00E95FB1" w:rsidRPr="00915913" w:rsidRDefault="00E95FB1" w:rsidP="001B3967">
            <w:pPr>
              <w:pStyle w:val="a7"/>
              <w:ind w:left="0"/>
              <w:jc w:val="center"/>
              <w:rPr>
                <w:sz w:val="22"/>
                <w:lang w:val="uk-UA"/>
              </w:rPr>
            </w:pPr>
          </w:p>
        </w:tc>
      </w:tr>
    </w:tbl>
    <w:p w:rsidR="00E95FB1" w:rsidRPr="00915913" w:rsidRDefault="00E95FB1" w:rsidP="00E95FB1">
      <w:pPr>
        <w:rPr>
          <w:sz w:val="22"/>
          <w:lang w:val="ru-RU"/>
        </w:rPr>
      </w:pPr>
    </w:p>
    <w:p w:rsidR="008B612D" w:rsidRPr="00915913" w:rsidRDefault="008B612D" w:rsidP="00E95FB1">
      <w:pPr>
        <w:rPr>
          <w:sz w:val="22"/>
          <w:lang w:val="ru-RU"/>
        </w:rPr>
      </w:pPr>
    </w:p>
    <w:p w:rsidR="008B612D" w:rsidRPr="00915913" w:rsidRDefault="008B612D" w:rsidP="00E95FB1">
      <w:pPr>
        <w:rPr>
          <w:sz w:val="22"/>
          <w:lang w:val="ru-RU"/>
        </w:rPr>
      </w:pPr>
    </w:p>
    <w:tbl>
      <w:tblPr>
        <w:tblStyle w:val="22"/>
        <w:tblW w:w="9923" w:type="dxa"/>
        <w:tblInd w:w="-176" w:type="dxa"/>
        <w:tblLayout w:type="fixed"/>
        <w:tblLook w:val="04A0" w:firstRow="1" w:lastRow="0" w:firstColumn="1" w:lastColumn="0" w:noHBand="0" w:noVBand="1"/>
      </w:tblPr>
      <w:tblGrid>
        <w:gridCol w:w="2836"/>
        <w:gridCol w:w="1992"/>
        <w:gridCol w:w="1276"/>
        <w:gridCol w:w="134"/>
        <w:gridCol w:w="1296"/>
        <w:gridCol w:w="972"/>
        <w:gridCol w:w="483"/>
        <w:gridCol w:w="934"/>
      </w:tblGrid>
      <w:tr w:rsidR="00E95FB1" w:rsidRPr="00915913" w:rsidTr="001B3967">
        <w:tc>
          <w:tcPr>
            <w:tcW w:w="2836"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Оперативна ціль/завдання</w:t>
            </w:r>
          </w:p>
        </w:tc>
        <w:tc>
          <w:tcPr>
            <w:tcW w:w="7087" w:type="dxa"/>
            <w:gridSpan w:val="7"/>
            <w:shd w:val="clear" w:color="auto" w:fill="auto"/>
          </w:tcPr>
          <w:p w:rsidR="00E95FB1" w:rsidRPr="00915913" w:rsidRDefault="00E95FB1" w:rsidP="001B3967">
            <w:pPr>
              <w:pStyle w:val="a7"/>
              <w:ind w:left="0"/>
              <w:rPr>
                <w:sz w:val="22"/>
                <w:lang w:val="uk-UA"/>
              </w:rPr>
            </w:pPr>
            <w:r w:rsidRPr="00915913">
              <w:rPr>
                <w:sz w:val="22"/>
                <w:lang w:val="uk-UA"/>
              </w:rPr>
              <w:t>Комфорт життя ЛЮДИНИ як безпека, екологічна сталість та  розумна енергетика. Екологічна сталість через знання та партнерства</w:t>
            </w:r>
          </w:p>
        </w:tc>
      </w:tr>
      <w:tr w:rsidR="00E95FB1" w:rsidRPr="00915913" w:rsidTr="001B3967">
        <w:tc>
          <w:tcPr>
            <w:tcW w:w="2836"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Назва проекту:</w:t>
            </w:r>
          </w:p>
        </w:tc>
        <w:tc>
          <w:tcPr>
            <w:tcW w:w="7087" w:type="dxa"/>
            <w:gridSpan w:val="7"/>
          </w:tcPr>
          <w:p w:rsidR="00E95FB1" w:rsidRPr="00915913" w:rsidRDefault="00E95FB1" w:rsidP="001B3967">
            <w:pPr>
              <w:pStyle w:val="a7"/>
              <w:ind w:left="0"/>
              <w:rPr>
                <w:sz w:val="22"/>
                <w:lang w:val="uk-UA"/>
              </w:rPr>
            </w:pPr>
            <w:r w:rsidRPr="00915913">
              <w:rPr>
                <w:sz w:val="22"/>
                <w:lang w:val="uk-UA"/>
              </w:rPr>
              <w:t xml:space="preserve">Придбання Лінії </w:t>
            </w:r>
            <w:proofErr w:type="spellStart"/>
            <w:r w:rsidRPr="00915913">
              <w:rPr>
                <w:bCs/>
                <w:sz w:val="22"/>
                <w:szCs w:val="22"/>
                <w:lang w:val="uk-UA"/>
              </w:rPr>
              <w:t>конве</w:t>
            </w:r>
            <w:r w:rsidR="00BC30F2" w:rsidRPr="00915913">
              <w:rPr>
                <w:bCs/>
                <w:sz w:val="22"/>
                <w:szCs w:val="22"/>
                <w:lang w:val="uk-UA"/>
              </w:rPr>
              <w:t>й</w:t>
            </w:r>
            <w:r w:rsidRPr="00915913">
              <w:rPr>
                <w:bCs/>
                <w:sz w:val="22"/>
                <w:szCs w:val="22"/>
                <w:lang w:val="uk-UA"/>
              </w:rPr>
              <w:t>єрного</w:t>
            </w:r>
            <w:proofErr w:type="spellEnd"/>
            <w:r w:rsidRPr="00915913">
              <w:rPr>
                <w:sz w:val="22"/>
                <w:lang w:val="uk-UA"/>
              </w:rPr>
              <w:t xml:space="preserve"> типу для </w:t>
            </w:r>
            <w:proofErr w:type="spellStart"/>
            <w:r w:rsidRPr="00915913">
              <w:rPr>
                <w:sz w:val="22"/>
                <w:lang w:val="uk-UA"/>
              </w:rPr>
              <w:t>виготолення</w:t>
            </w:r>
            <w:proofErr w:type="spellEnd"/>
            <w:r w:rsidRPr="00915913">
              <w:rPr>
                <w:sz w:val="22"/>
                <w:lang w:val="uk-UA"/>
              </w:rPr>
              <w:t xml:space="preserve"> </w:t>
            </w:r>
            <w:proofErr w:type="spellStart"/>
            <w:r w:rsidRPr="00915913">
              <w:rPr>
                <w:sz w:val="22"/>
                <w:lang w:val="uk-UA"/>
              </w:rPr>
              <w:t>пенобетонних</w:t>
            </w:r>
            <w:proofErr w:type="spellEnd"/>
            <w:r w:rsidRPr="00915913">
              <w:rPr>
                <w:sz w:val="22"/>
                <w:lang w:val="uk-UA"/>
              </w:rPr>
              <w:t xml:space="preserve"> </w:t>
            </w:r>
            <w:proofErr w:type="spellStart"/>
            <w:r w:rsidRPr="00915913">
              <w:rPr>
                <w:sz w:val="22"/>
                <w:lang w:val="uk-UA"/>
              </w:rPr>
              <w:t>блоків"Стандарт</w:t>
            </w:r>
            <w:proofErr w:type="spellEnd"/>
            <w:r w:rsidRPr="00915913">
              <w:rPr>
                <w:sz w:val="22"/>
                <w:lang w:val="uk-UA"/>
              </w:rPr>
              <w:t xml:space="preserve"> ПБ-25"</w:t>
            </w:r>
          </w:p>
        </w:tc>
      </w:tr>
      <w:tr w:rsidR="00E95FB1" w:rsidRPr="00915913" w:rsidTr="001B3967">
        <w:tc>
          <w:tcPr>
            <w:tcW w:w="2836" w:type="dxa"/>
            <w:shd w:val="clear" w:color="auto" w:fill="C6D9F1" w:themeFill="text2" w:themeFillTint="33"/>
          </w:tcPr>
          <w:p w:rsidR="00E95FB1" w:rsidRPr="00915913" w:rsidRDefault="00E95FB1" w:rsidP="001B3967">
            <w:pPr>
              <w:rPr>
                <w:b/>
                <w:sz w:val="22"/>
                <w:lang w:val="uk-UA"/>
              </w:rPr>
            </w:pPr>
            <w:r w:rsidRPr="00915913">
              <w:rPr>
                <w:b/>
                <w:sz w:val="22"/>
                <w:lang w:val="uk-UA"/>
              </w:rPr>
              <w:t>Ціль проекту</w:t>
            </w:r>
          </w:p>
        </w:tc>
        <w:tc>
          <w:tcPr>
            <w:tcW w:w="7087" w:type="dxa"/>
            <w:gridSpan w:val="7"/>
          </w:tcPr>
          <w:p w:rsidR="00E95FB1" w:rsidRPr="00915913" w:rsidRDefault="00E95FB1" w:rsidP="00BC30F2">
            <w:pPr>
              <w:pStyle w:val="a7"/>
              <w:ind w:left="0"/>
              <w:rPr>
                <w:sz w:val="22"/>
                <w:lang w:val="uk-UA"/>
              </w:rPr>
            </w:pPr>
            <w:r w:rsidRPr="00915913">
              <w:rPr>
                <w:sz w:val="22"/>
                <w:lang w:val="uk-UA"/>
              </w:rPr>
              <w:t xml:space="preserve">Придбання </w:t>
            </w:r>
            <w:proofErr w:type="spellStart"/>
            <w:r w:rsidRPr="00915913">
              <w:rPr>
                <w:sz w:val="22"/>
                <w:lang w:val="uk-UA"/>
              </w:rPr>
              <w:t>Лініі</w:t>
            </w:r>
            <w:proofErr w:type="spellEnd"/>
            <w:r w:rsidRPr="00915913">
              <w:rPr>
                <w:sz w:val="22"/>
                <w:lang w:val="uk-UA"/>
              </w:rPr>
              <w:t xml:space="preserve"> </w:t>
            </w:r>
            <w:proofErr w:type="spellStart"/>
            <w:r w:rsidRPr="00915913">
              <w:rPr>
                <w:bCs/>
                <w:sz w:val="22"/>
                <w:szCs w:val="22"/>
                <w:lang w:val="uk-UA"/>
              </w:rPr>
              <w:t>конве</w:t>
            </w:r>
            <w:r w:rsidR="00BC30F2" w:rsidRPr="00915913">
              <w:rPr>
                <w:bCs/>
                <w:sz w:val="22"/>
                <w:szCs w:val="22"/>
                <w:lang w:val="uk-UA"/>
              </w:rPr>
              <w:t>й</w:t>
            </w:r>
            <w:r w:rsidRPr="00915913">
              <w:rPr>
                <w:bCs/>
                <w:sz w:val="22"/>
                <w:szCs w:val="22"/>
                <w:lang w:val="uk-UA"/>
              </w:rPr>
              <w:t>єрного</w:t>
            </w:r>
            <w:proofErr w:type="spellEnd"/>
            <w:r w:rsidRPr="00915913">
              <w:rPr>
                <w:sz w:val="22"/>
                <w:lang w:val="uk-UA"/>
              </w:rPr>
              <w:t xml:space="preserve"> типу для </w:t>
            </w:r>
            <w:proofErr w:type="spellStart"/>
            <w:r w:rsidRPr="00915913">
              <w:rPr>
                <w:sz w:val="22"/>
                <w:lang w:val="uk-UA"/>
              </w:rPr>
              <w:t>виготолення</w:t>
            </w:r>
            <w:proofErr w:type="spellEnd"/>
            <w:r w:rsidRPr="00915913">
              <w:rPr>
                <w:sz w:val="22"/>
                <w:lang w:val="uk-UA"/>
              </w:rPr>
              <w:t xml:space="preserve"> </w:t>
            </w:r>
            <w:proofErr w:type="spellStart"/>
            <w:r w:rsidRPr="00915913">
              <w:rPr>
                <w:sz w:val="22"/>
                <w:lang w:val="uk-UA"/>
              </w:rPr>
              <w:t>пенобетонних</w:t>
            </w:r>
            <w:proofErr w:type="spellEnd"/>
            <w:r w:rsidRPr="00915913">
              <w:rPr>
                <w:sz w:val="22"/>
                <w:lang w:val="uk-UA"/>
              </w:rPr>
              <w:t xml:space="preserve"> блоків</w:t>
            </w:r>
            <w:r w:rsidR="00BC30F2" w:rsidRPr="00915913">
              <w:rPr>
                <w:bCs/>
                <w:sz w:val="22"/>
                <w:szCs w:val="22"/>
                <w:lang w:val="uk-UA"/>
              </w:rPr>
              <w:t xml:space="preserve"> </w:t>
            </w:r>
            <w:r w:rsidRPr="00915913">
              <w:rPr>
                <w:sz w:val="22"/>
                <w:lang w:val="uk-UA"/>
              </w:rPr>
              <w:t>"Стандарт ПБ-25" для ефективного та швидкого проведення ремонтно-будів</w:t>
            </w:r>
            <w:r w:rsidR="00BC30F2" w:rsidRPr="00915913">
              <w:rPr>
                <w:sz w:val="22"/>
                <w:lang w:val="uk-UA"/>
              </w:rPr>
              <w:t xml:space="preserve">ельних робіт частково </w:t>
            </w:r>
            <w:r w:rsidR="00BC30F2" w:rsidRPr="00915913">
              <w:rPr>
                <w:bCs/>
                <w:sz w:val="22"/>
                <w:szCs w:val="22"/>
                <w:lang w:val="uk-UA"/>
              </w:rPr>
              <w:t>пошкоджен</w:t>
            </w:r>
            <w:r w:rsidRPr="00915913">
              <w:rPr>
                <w:bCs/>
                <w:sz w:val="22"/>
                <w:szCs w:val="22"/>
                <w:lang w:val="uk-UA"/>
              </w:rPr>
              <w:t>ого</w:t>
            </w:r>
            <w:r w:rsidRPr="00915913">
              <w:rPr>
                <w:sz w:val="22"/>
                <w:lang w:val="uk-UA"/>
              </w:rPr>
              <w:t xml:space="preserve"> житлового фонду, </w:t>
            </w:r>
            <w:proofErr w:type="spellStart"/>
            <w:r w:rsidR="00BC30F2" w:rsidRPr="00915913">
              <w:rPr>
                <w:sz w:val="22"/>
                <w:lang w:val="uk-UA"/>
              </w:rPr>
              <w:t>адмін</w:t>
            </w:r>
            <w:proofErr w:type="spellEnd"/>
            <w:r w:rsidR="00BC30F2" w:rsidRPr="00915913">
              <w:rPr>
                <w:bCs/>
                <w:sz w:val="22"/>
                <w:szCs w:val="22"/>
                <w:lang w:val="uk-UA"/>
              </w:rPr>
              <w:t>..</w:t>
            </w:r>
            <w:r w:rsidRPr="00915913">
              <w:rPr>
                <w:sz w:val="22"/>
                <w:lang w:val="uk-UA"/>
              </w:rPr>
              <w:t xml:space="preserve"> будівель, споруд і </w:t>
            </w:r>
            <w:proofErr w:type="spellStart"/>
            <w:r w:rsidRPr="00915913">
              <w:rPr>
                <w:sz w:val="22"/>
                <w:lang w:val="uk-UA"/>
              </w:rPr>
              <w:t>т.</w:t>
            </w:r>
            <w:r w:rsidR="00BC30F2" w:rsidRPr="00915913">
              <w:rPr>
                <w:bCs/>
                <w:sz w:val="22"/>
                <w:szCs w:val="22"/>
                <w:lang w:val="uk-UA"/>
              </w:rPr>
              <w:t>ін</w:t>
            </w:r>
            <w:proofErr w:type="spellEnd"/>
            <w:r w:rsidRPr="00915913">
              <w:rPr>
                <w:sz w:val="22"/>
                <w:lang w:val="uk-UA"/>
              </w:rPr>
              <w:t>.</w:t>
            </w:r>
          </w:p>
        </w:tc>
      </w:tr>
      <w:tr w:rsidR="00E95FB1" w:rsidRPr="00915913" w:rsidTr="001B3967">
        <w:tc>
          <w:tcPr>
            <w:tcW w:w="2836"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Територія, на яку матиме вплив реалізація проекту</w:t>
            </w:r>
          </w:p>
        </w:tc>
        <w:tc>
          <w:tcPr>
            <w:tcW w:w="7087" w:type="dxa"/>
            <w:gridSpan w:val="7"/>
          </w:tcPr>
          <w:p w:rsidR="00E95FB1" w:rsidRPr="00915913" w:rsidRDefault="00E95FB1" w:rsidP="001B3967">
            <w:pPr>
              <w:pStyle w:val="a7"/>
              <w:ind w:left="0"/>
              <w:rPr>
                <w:sz w:val="22"/>
                <w:lang w:val="uk-UA"/>
              </w:rPr>
            </w:pPr>
            <w:r w:rsidRPr="00915913">
              <w:rPr>
                <w:sz w:val="22"/>
                <w:lang w:val="uk-UA"/>
              </w:rPr>
              <w:t>Сєвєродонецька міська територіальна громада</w:t>
            </w:r>
          </w:p>
        </w:tc>
      </w:tr>
      <w:tr w:rsidR="00E95FB1" w:rsidRPr="00915913" w:rsidTr="001B3967">
        <w:tc>
          <w:tcPr>
            <w:tcW w:w="2836"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Чисельність населення, на яке матиме вплив реалізація проекту</w:t>
            </w:r>
          </w:p>
        </w:tc>
        <w:tc>
          <w:tcPr>
            <w:tcW w:w="7087" w:type="dxa"/>
            <w:gridSpan w:val="7"/>
          </w:tcPr>
          <w:p w:rsidR="00E95FB1" w:rsidRPr="00915913" w:rsidRDefault="00E95FB1" w:rsidP="001B3967">
            <w:pPr>
              <w:pStyle w:val="a7"/>
              <w:ind w:left="0"/>
              <w:rPr>
                <w:sz w:val="22"/>
                <w:lang w:val="uk-UA"/>
              </w:rPr>
            </w:pPr>
            <w:r w:rsidRPr="00915913">
              <w:rPr>
                <w:sz w:val="22"/>
                <w:lang w:val="uk-UA"/>
              </w:rPr>
              <w:t xml:space="preserve"> 70 000  осіб</w:t>
            </w:r>
          </w:p>
        </w:tc>
      </w:tr>
      <w:tr w:rsidR="00E95FB1" w:rsidRPr="00915913" w:rsidTr="001B3967">
        <w:tc>
          <w:tcPr>
            <w:tcW w:w="2836" w:type="dxa"/>
            <w:shd w:val="clear" w:color="auto" w:fill="C6D9F1" w:themeFill="text2" w:themeFillTint="33"/>
          </w:tcPr>
          <w:p w:rsidR="00E95FB1" w:rsidRPr="00915913" w:rsidRDefault="00E95FB1" w:rsidP="001B3967">
            <w:pPr>
              <w:rPr>
                <w:b/>
                <w:sz w:val="22"/>
                <w:lang w:val="uk-UA"/>
              </w:rPr>
            </w:pPr>
            <w:r w:rsidRPr="00915913">
              <w:rPr>
                <w:b/>
                <w:sz w:val="22"/>
                <w:lang w:val="uk-UA"/>
              </w:rPr>
              <w:t>Опис проблеми, на вирішення якої  спрямований проект</w:t>
            </w:r>
          </w:p>
        </w:tc>
        <w:tc>
          <w:tcPr>
            <w:tcW w:w="7087" w:type="dxa"/>
            <w:gridSpan w:val="7"/>
          </w:tcPr>
          <w:p w:rsidR="00E95FB1" w:rsidRPr="00915913" w:rsidRDefault="00E95FB1" w:rsidP="001B3967">
            <w:pPr>
              <w:rPr>
                <w:sz w:val="22"/>
                <w:lang w:val="uk-UA"/>
              </w:rPr>
            </w:pPr>
            <w:r w:rsidRPr="00915913">
              <w:rPr>
                <w:sz w:val="22"/>
                <w:lang w:val="uk-UA"/>
              </w:rPr>
              <w:t xml:space="preserve">Через військову агресію РФ територія Сєвєродонецької міської територіальної громади зазнала значних пошкоджень.  Після бойових дій на території міста Сєвєродонецьк створилась велика кількість частково </w:t>
            </w:r>
            <w:proofErr w:type="spellStart"/>
            <w:r w:rsidRPr="00915913">
              <w:rPr>
                <w:sz w:val="22"/>
                <w:lang w:val="uk-UA"/>
              </w:rPr>
              <w:t>пошкодженного</w:t>
            </w:r>
            <w:proofErr w:type="spellEnd"/>
            <w:r w:rsidRPr="00915913">
              <w:rPr>
                <w:sz w:val="22"/>
                <w:lang w:val="uk-UA"/>
              </w:rPr>
              <w:t xml:space="preserve"> житлового фонду, адмінбудівель, споруд, які необхідно буде швидко відновлювати.</w:t>
            </w:r>
          </w:p>
        </w:tc>
      </w:tr>
      <w:tr w:rsidR="00E95FB1" w:rsidRPr="00915913" w:rsidTr="001B3967">
        <w:tc>
          <w:tcPr>
            <w:tcW w:w="2836"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Очікувані якісні результати від реалізації проекту</w:t>
            </w:r>
          </w:p>
        </w:tc>
        <w:tc>
          <w:tcPr>
            <w:tcW w:w="7087" w:type="dxa"/>
            <w:gridSpan w:val="7"/>
          </w:tcPr>
          <w:p w:rsidR="00E95FB1" w:rsidRPr="00915913" w:rsidRDefault="00E95FB1" w:rsidP="001B3967">
            <w:pPr>
              <w:pStyle w:val="a7"/>
              <w:ind w:left="0"/>
              <w:rPr>
                <w:sz w:val="22"/>
                <w:lang w:val="uk-UA"/>
              </w:rPr>
            </w:pPr>
            <w:r w:rsidRPr="00915913">
              <w:rPr>
                <w:sz w:val="22"/>
                <w:lang w:val="uk-UA"/>
              </w:rPr>
              <w:t xml:space="preserve">- відновлення міста та селищ громади після </w:t>
            </w:r>
            <w:proofErr w:type="spellStart"/>
            <w:r w:rsidRPr="00915913">
              <w:rPr>
                <w:sz w:val="22"/>
                <w:lang w:val="uk-UA"/>
              </w:rPr>
              <w:t>деокупації</w:t>
            </w:r>
            <w:proofErr w:type="spellEnd"/>
          </w:p>
          <w:p w:rsidR="00E95FB1" w:rsidRPr="00915913" w:rsidRDefault="00E95FB1" w:rsidP="001B3967">
            <w:pPr>
              <w:pStyle w:val="a7"/>
              <w:ind w:left="0"/>
              <w:rPr>
                <w:sz w:val="22"/>
                <w:lang w:val="uk-UA"/>
              </w:rPr>
            </w:pPr>
            <w:r w:rsidRPr="00915913">
              <w:rPr>
                <w:sz w:val="22"/>
                <w:lang w:val="uk-UA"/>
              </w:rPr>
              <w:t>- створення нових робочих місць;</w:t>
            </w:r>
          </w:p>
          <w:p w:rsidR="00E95FB1" w:rsidRPr="00915913" w:rsidRDefault="00E95FB1" w:rsidP="001B3967">
            <w:pPr>
              <w:pStyle w:val="a7"/>
              <w:ind w:left="0"/>
              <w:rPr>
                <w:sz w:val="22"/>
                <w:lang w:val="uk-UA"/>
              </w:rPr>
            </w:pPr>
            <w:r w:rsidRPr="00915913">
              <w:rPr>
                <w:sz w:val="22"/>
                <w:lang w:val="uk-UA"/>
              </w:rPr>
              <w:t>- стимул до повернення ВПО до громади;</w:t>
            </w:r>
          </w:p>
          <w:p w:rsidR="00E95FB1" w:rsidRPr="00915913" w:rsidRDefault="00E95FB1" w:rsidP="001B3967">
            <w:pPr>
              <w:pStyle w:val="a7"/>
              <w:ind w:left="0"/>
              <w:rPr>
                <w:sz w:val="22"/>
                <w:lang w:val="uk-UA"/>
              </w:rPr>
            </w:pPr>
          </w:p>
        </w:tc>
      </w:tr>
      <w:tr w:rsidR="00E95FB1" w:rsidRPr="00915913" w:rsidTr="00E95FB1">
        <w:trPr>
          <w:trHeight w:val="390"/>
        </w:trPr>
        <w:tc>
          <w:tcPr>
            <w:tcW w:w="2836" w:type="dxa"/>
            <w:vMerge w:val="restart"/>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 xml:space="preserve">Очікувані кількісні результати реалізації </w:t>
            </w:r>
            <w:proofErr w:type="spellStart"/>
            <w:r w:rsidRPr="00915913">
              <w:rPr>
                <w:b/>
                <w:sz w:val="22"/>
                <w:lang w:val="uk-UA"/>
              </w:rPr>
              <w:t>проєкту</w:t>
            </w:r>
            <w:proofErr w:type="spellEnd"/>
            <w:r w:rsidRPr="00915913">
              <w:rPr>
                <w:b/>
                <w:sz w:val="22"/>
                <w:lang w:val="uk-UA"/>
              </w:rPr>
              <w:t xml:space="preserve"> (індикатори)</w:t>
            </w:r>
          </w:p>
          <w:p w:rsidR="00E95FB1" w:rsidRPr="00915913" w:rsidRDefault="00E95FB1" w:rsidP="001B3967">
            <w:pPr>
              <w:pStyle w:val="a7"/>
              <w:ind w:left="0"/>
              <w:rPr>
                <w:b/>
                <w:sz w:val="22"/>
                <w:lang w:val="uk-UA"/>
              </w:rPr>
            </w:pPr>
          </w:p>
        </w:tc>
        <w:tc>
          <w:tcPr>
            <w:tcW w:w="3402" w:type="dxa"/>
            <w:gridSpan w:val="3"/>
            <w:tcBorders>
              <w:bottom w:val="single" w:sz="4" w:space="0" w:color="auto"/>
              <w:right w:val="single" w:sz="4" w:space="0" w:color="auto"/>
            </w:tcBorders>
          </w:tcPr>
          <w:p w:rsidR="00E95FB1" w:rsidRPr="00915913" w:rsidRDefault="00E95FB1" w:rsidP="001B3967">
            <w:pPr>
              <w:pStyle w:val="a7"/>
              <w:ind w:left="-108"/>
              <w:jc w:val="center"/>
              <w:rPr>
                <w:b/>
                <w:sz w:val="22"/>
                <w:lang w:val="uk-UA"/>
              </w:rPr>
            </w:pPr>
            <w:r w:rsidRPr="00915913">
              <w:rPr>
                <w:b/>
                <w:sz w:val="22"/>
                <w:lang w:val="uk-UA"/>
              </w:rPr>
              <w:t>Найменування показника</w:t>
            </w:r>
          </w:p>
        </w:tc>
        <w:tc>
          <w:tcPr>
            <w:tcW w:w="2268" w:type="dxa"/>
            <w:gridSpan w:val="2"/>
            <w:tcBorders>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Одиниця вимірювання</w:t>
            </w:r>
          </w:p>
          <w:p w:rsidR="00E95FB1" w:rsidRPr="00915913" w:rsidRDefault="00E95FB1" w:rsidP="001B3967">
            <w:pPr>
              <w:pStyle w:val="a7"/>
              <w:ind w:left="0"/>
              <w:rPr>
                <w:b/>
                <w:sz w:val="22"/>
                <w:lang w:val="uk-UA"/>
              </w:rPr>
            </w:pPr>
          </w:p>
        </w:tc>
        <w:tc>
          <w:tcPr>
            <w:tcW w:w="1417" w:type="dxa"/>
            <w:gridSpan w:val="2"/>
            <w:tcBorders>
              <w:left w:val="single" w:sz="4" w:space="0" w:color="auto"/>
              <w:bottom w:val="single" w:sz="4" w:space="0" w:color="auto"/>
            </w:tcBorders>
          </w:tcPr>
          <w:p w:rsidR="00E95FB1" w:rsidRPr="00915913" w:rsidRDefault="00E95FB1" w:rsidP="001B3967">
            <w:pPr>
              <w:pStyle w:val="a7"/>
              <w:ind w:left="0"/>
              <w:jc w:val="center"/>
              <w:rPr>
                <w:b/>
                <w:sz w:val="22"/>
                <w:lang w:val="uk-UA"/>
              </w:rPr>
            </w:pPr>
            <w:r w:rsidRPr="00915913">
              <w:rPr>
                <w:b/>
                <w:sz w:val="22"/>
                <w:lang w:val="uk-UA"/>
              </w:rPr>
              <w:t>Прогнозне (цільове) значення</w:t>
            </w:r>
          </w:p>
        </w:tc>
      </w:tr>
      <w:tr w:rsidR="00E95FB1" w:rsidRPr="00915913" w:rsidTr="00E95FB1">
        <w:trPr>
          <w:trHeight w:val="585"/>
        </w:trPr>
        <w:tc>
          <w:tcPr>
            <w:tcW w:w="2836" w:type="dxa"/>
            <w:vMerge/>
            <w:shd w:val="clear" w:color="auto" w:fill="C6D9F1" w:themeFill="text2" w:themeFillTint="33"/>
          </w:tcPr>
          <w:p w:rsidR="00E95FB1" w:rsidRPr="00915913" w:rsidRDefault="00E95FB1" w:rsidP="001B3967">
            <w:pPr>
              <w:pStyle w:val="a7"/>
              <w:ind w:left="0"/>
              <w:rPr>
                <w:b/>
                <w:sz w:val="22"/>
                <w:lang w:val="uk-UA"/>
              </w:rPr>
            </w:pPr>
          </w:p>
        </w:tc>
        <w:tc>
          <w:tcPr>
            <w:tcW w:w="3402" w:type="dxa"/>
            <w:gridSpan w:val="3"/>
            <w:tcBorders>
              <w:top w:val="single" w:sz="4" w:space="0" w:color="auto"/>
              <w:bottom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 xml:space="preserve">Лінія </w:t>
            </w:r>
            <w:proofErr w:type="spellStart"/>
            <w:r w:rsidRPr="00915913">
              <w:rPr>
                <w:bCs/>
                <w:sz w:val="22"/>
                <w:szCs w:val="22"/>
                <w:lang w:val="uk-UA"/>
              </w:rPr>
              <w:t>конве</w:t>
            </w:r>
            <w:r w:rsidR="006E5AFA" w:rsidRPr="00915913">
              <w:rPr>
                <w:bCs/>
                <w:sz w:val="22"/>
                <w:szCs w:val="22"/>
                <w:lang w:val="uk-UA"/>
              </w:rPr>
              <w:t>й</w:t>
            </w:r>
            <w:r w:rsidRPr="00915913">
              <w:rPr>
                <w:bCs/>
                <w:sz w:val="22"/>
                <w:szCs w:val="22"/>
                <w:lang w:val="uk-UA"/>
              </w:rPr>
              <w:t>єрного</w:t>
            </w:r>
            <w:proofErr w:type="spellEnd"/>
            <w:r w:rsidRPr="00915913">
              <w:rPr>
                <w:sz w:val="22"/>
                <w:lang w:val="uk-UA"/>
              </w:rPr>
              <w:t xml:space="preserve"> типу для </w:t>
            </w:r>
            <w:proofErr w:type="spellStart"/>
            <w:r w:rsidRPr="00915913">
              <w:rPr>
                <w:sz w:val="22"/>
                <w:lang w:val="uk-UA"/>
              </w:rPr>
              <w:t>виготолення</w:t>
            </w:r>
            <w:proofErr w:type="spellEnd"/>
            <w:r w:rsidRPr="00915913">
              <w:rPr>
                <w:sz w:val="22"/>
                <w:lang w:val="uk-UA"/>
              </w:rPr>
              <w:t xml:space="preserve"> </w:t>
            </w:r>
            <w:proofErr w:type="spellStart"/>
            <w:r w:rsidRPr="00915913">
              <w:rPr>
                <w:sz w:val="22"/>
                <w:lang w:val="uk-UA"/>
              </w:rPr>
              <w:t>пенобетонних</w:t>
            </w:r>
            <w:proofErr w:type="spellEnd"/>
            <w:r w:rsidRPr="00915913">
              <w:rPr>
                <w:sz w:val="22"/>
                <w:lang w:val="uk-UA"/>
              </w:rPr>
              <w:t xml:space="preserve"> </w:t>
            </w:r>
            <w:proofErr w:type="spellStart"/>
            <w:r w:rsidRPr="00915913">
              <w:rPr>
                <w:sz w:val="22"/>
                <w:lang w:val="uk-UA"/>
              </w:rPr>
              <w:t>блоків"Стандарт</w:t>
            </w:r>
            <w:proofErr w:type="spellEnd"/>
            <w:r w:rsidRPr="00915913">
              <w:rPr>
                <w:sz w:val="22"/>
                <w:lang w:val="uk-UA"/>
              </w:rPr>
              <w:t xml:space="preserve"> ПБ-25"</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E95FB1" w:rsidRPr="00915913" w:rsidRDefault="00E95FB1" w:rsidP="001B3967">
            <w:pPr>
              <w:pStyle w:val="a7"/>
              <w:ind w:left="0"/>
              <w:jc w:val="center"/>
              <w:rPr>
                <w:sz w:val="22"/>
                <w:lang w:val="uk-UA"/>
              </w:rPr>
            </w:pPr>
            <w:r w:rsidRPr="00915913">
              <w:rPr>
                <w:sz w:val="22"/>
                <w:lang w:val="uk-UA"/>
              </w:rPr>
              <w:t>одиниця</w:t>
            </w:r>
          </w:p>
        </w:tc>
        <w:tc>
          <w:tcPr>
            <w:tcW w:w="1417" w:type="dxa"/>
            <w:gridSpan w:val="2"/>
            <w:tcBorders>
              <w:top w:val="single" w:sz="4" w:space="0" w:color="auto"/>
              <w:left w:val="single" w:sz="4" w:space="0" w:color="auto"/>
              <w:bottom w:val="single" w:sz="4" w:space="0" w:color="auto"/>
            </w:tcBorders>
            <w:vAlign w:val="center"/>
          </w:tcPr>
          <w:p w:rsidR="00E95FB1" w:rsidRPr="00915913" w:rsidRDefault="00E95FB1" w:rsidP="00E95FB1">
            <w:pPr>
              <w:pStyle w:val="a7"/>
              <w:ind w:left="0"/>
              <w:jc w:val="center"/>
              <w:rPr>
                <w:b/>
                <w:sz w:val="22"/>
                <w:lang w:val="uk-UA"/>
              </w:rPr>
            </w:pPr>
            <w:r w:rsidRPr="00915913">
              <w:rPr>
                <w:b/>
                <w:sz w:val="22"/>
                <w:lang w:val="uk-UA"/>
              </w:rPr>
              <w:t>1</w:t>
            </w:r>
          </w:p>
        </w:tc>
      </w:tr>
      <w:tr w:rsidR="00E95FB1" w:rsidRPr="00915913" w:rsidTr="001B3967">
        <w:tc>
          <w:tcPr>
            <w:tcW w:w="2836" w:type="dxa"/>
            <w:shd w:val="clear" w:color="auto" w:fill="C6D9F1" w:themeFill="text2" w:themeFillTint="33"/>
          </w:tcPr>
          <w:p w:rsidR="00E95FB1" w:rsidRPr="00915913" w:rsidRDefault="00E95FB1" w:rsidP="001B3967">
            <w:pPr>
              <w:rPr>
                <w:b/>
                <w:sz w:val="22"/>
                <w:lang w:val="uk-UA"/>
              </w:rPr>
            </w:pPr>
            <w:r w:rsidRPr="00915913">
              <w:rPr>
                <w:b/>
                <w:sz w:val="22"/>
                <w:lang w:val="uk-UA"/>
              </w:rPr>
              <w:t xml:space="preserve">Ключові заходи проекту: </w:t>
            </w:r>
          </w:p>
          <w:p w:rsidR="00E95FB1" w:rsidRPr="00915913" w:rsidRDefault="00E95FB1" w:rsidP="001B3967">
            <w:pPr>
              <w:pStyle w:val="a7"/>
              <w:ind w:left="0"/>
              <w:rPr>
                <w:b/>
                <w:sz w:val="22"/>
                <w:lang w:val="uk-UA"/>
              </w:rPr>
            </w:pPr>
          </w:p>
        </w:tc>
        <w:tc>
          <w:tcPr>
            <w:tcW w:w="7087" w:type="dxa"/>
            <w:gridSpan w:val="7"/>
          </w:tcPr>
          <w:p w:rsidR="00A508E8" w:rsidRDefault="006E5AFA" w:rsidP="00A508E8">
            <w:pPr>
              <w:tabs>
                <w:tab w:val="left" w:pos="228"/>
              </w:tabs>
              <w:rPr>
                <w:sz w:val="22"/>
                <w:lang w:val="uk-UA"/>
              </w:rPr>
            </w:pPr>
            <w:r w:rsidRPr="00915913">
              <w:rPr>
                <w:sz w:val="22"/>
                <w:szCs w:val="22"/>
                <w:lang w:val="uk-UA"/>
              </w:rPr>
              <w:t>1.</w:t>
            </w:r>
            <w:r w:rsidR="00E95FB1" w:rsidRPr="00915913">
              <w:rPr>
                <w:sz w:val="22"/>
                <w:lang w:val="uk-UA"/>
              </w:rPr>
              <w:t xml:space="preserve">Утворення робочої групи </w:t>
            </w:r>
            <w:proofErr w:type="spellStart"/>
            <w:r w:rsidR="00E95FB1" w:rsidRPr="00915913">
              <w:rPr>
                <w:sz w:val="22"/>
                <w:lang w:val="uk-UA"/>
              </w:rPr>
              <w:t>проєкту</w:t>
            </w:r>
            <w:proofErr w:type="spellEnd"/>
            <w:r w:rsidR="00E95FB1" w:rsidRPr="00915913">
              <w:rPr>
                <w:sz w:val="22"/>
                <w:lang w:val="uk-UA"/>
              </w:rPr>
              <w:t>.</w:t>
            </w:r>
          </w:p>
          <w:p w:rsidR="00E95FB1" w:rsidRPr="00A508E8" w:rsidRDefault="00A508E8" w:rsidP="00A508E8">
            <w:pPr>
              <w:tabs>
                <w:tab w:val="left" w:pos="228"/>
              </w:tabs>
              <w:rPr>
                <w:sz w:val="22"/>
                <w:lang w:val="uk-UA"/>
              </w:rPr>
            </w:pPr>
            <w:r>
              <w:rPr>
                <w:sz w:val="22"/>
                <w:lang w:val="uk-UA"/>
              </w:rPr>
              <w:t xml:space="preserve">2. </w:t>
            </w:r>
            <w:r w:rsidR="00E95FB1" w:rsidRPr="00A508E8">
              <w:rPr>
                <w:sz w:val="22"/>
                <w:lang w:val="uk-UA"/>
              </w:rPr>
              <w:t>Проведення тендерних торгів.</w:t>
            </w:r>
          </w:p>
          <w:p w:rsidR="00E95FB1" w:rsidRPr="00915913" w:rsidRDefault="00E95FB1" w:rsidP="001B3967">
            <w:pPr>
              <w:rPr>
                <w:sz w:val="22"/>
                <w:lang w:val="uk-UA"/>
              </w:rPr>
            </w:pPr>
            <w:r w:rsidRPr="00915913">
              <w:rPr>
                <w:sz w:val="22"/>
                <w:lang w:val="uk-UA"/>
              </w:rPr>
              <w:t xml:space="preserve">3. Укладення договорів з підрядною організацією на проведення </w:t>
            </w:r>
            <w:proofErr w:type="spellStart"/>
            <w:r w:rsidRPr="00915913">
              <w:rPr>
                <w:sz w:val="22"/>
                <w:lang w:val="uk-UA"/>
              </w:rPr>
              <w:t>проєктних</w:t>
            </w:r>
            <w:proofErr w:type="spellEnd"/>
            <w:r w:rsidRPr="00915913">
              <w:rPr>
                <w:sz w:val="22"/>
                <w:lang w:val="uk-UA"/>
              </w:rPr>
              <w:t>, монтажних, налагоджувальних та випробувальних робіт.</w:t>
            </w:r>
          </w:p>
          <w:p w:rsidR="00E95FB1" w:rsidRPr="00915913" w:rsidRDefault="00E95FB1" w:rsidP="001B3967">
            <w:pPr>
              <w:rPr>
                <w:rStyle w:val="hps"/>
                <w:sz w:val="22"/>
                <w:lang w:val="uk-UA"/>
              </w:rPr>
            </w:pPr>
            <w:r w:rsidRPr="00915913">
              <w:rPr>
                <w:sz w:val="22"/>
                <w:lang w:val="uk-UA"/>
              </w:rPr>
              <w:t xml:space="preserve">4. Виконання та погодження  робочого </w:t>
            </w:r>
            <w:proofErr w:type="spellStart"/>
            <w:r w:rsidRPr="00915913">
              <w:rPr>
                <w:sz w:val="22"/>
                <w:lang w:val="uk-UA"/>
              </w:rPr>
              <w:t>проєкту</w:t>
            </w:r>
            <w:proofErr w:type="spellEnd"/>
            <w:r w:rsidRPr="00915913">
              <w:rPr>
                <w:sz w:val="22"/>
                <w:lang w:val="uk-UA"/>
              </w:rPr>
              <w:t>.</w:t>
            </w:r>
          </w:p>
          <w:p w:rsidR="00E95FB1" w:rsidRPr="00915913" w:rsidRDefault="00E95FB1" w:rsidP="001B3967">
            <w:pPr>
              <w:tabs>
                <w:tab w:val="left" w:pos="348"/>
              </w:tabs>
              <w:rPr>
                <w:sz w:val="22"/>
                <w:lang w:val="uk-UA"/>
              </w:rPr>
            </w:pPr>
            <w:r w:rsidRPr="00915913">
              <w:rPr>
                <w:sz w:val="22"/>
                <w:lang w:val="uk-UA"/>
              </w:rPr>
              <w:t>5. Виконання монтажних робіт.</w:t>
            </w:r>
          </w:p>
          <w:p w:rsidR="00E95FB1" w:rsidRPr="00915913" w:rsidRDefault="00E95FB1" w:rsidP="001B3967">
            <w:pPr>
              <w:keepLines/>
              <w:autoSpaceDE w:val="0"/>
              <w:autoSpaceDN w:val="0"/>
              <w:rPr>
                <w:spacing w:val="-3"/>
                <w:sz w:val="22"/>
                <w:lang w:val="uk-UA"/>
              </w:rPr>
            </w:pPr>
            <w:r w:rsidRPr="00915913">
              <w:rPr>
                <w:spacing w:val="-3"/>
                <w:sz w:val="22"/>
                <w:lang w:val="uk-UA"/>
              </w:rPr>
              <w:t>6. Налагоджувальні та випробувальні роботи.</w:t>
            </w:r>
          </w:p>
          <w:p w:rsidR="00E95FB1" w:rsidRPr="00915913" w:rsidRDefault="00E95FB1" w:rsidP="001B3967">
            <w:pPr>
              <w:pStyle w:val="a7"/>
              <w:ind w:left="0"/>
              <w:rPr>
                <w:sz w:val="22"/>
                <w:lang w:val="uk-UA"/>
              </w:rPr>
            </w:pPr>
            <w:r w:rsidRPr="00915913">
              <w:rPr>
                <w:sz w:val="22"/>
                <w:lang w:val="uk-UA"/>
              </w:rPr>
              <w:t xml:space="preserve">7. Введення </w:t>
            </w:r>
            <w:r w:rsidRPr="00915913">
              <w:rPr>
                <w:rStyle w:val="hps"/>
                <w:sz w:val="22"/>
                <w:lang w:val="uk-UA"/>
              </w:rPr>
              <w:t xml:space="preserve">лінії </w:t>
            </w:r>
            <w:r w:rsidRPr="00915913">
              <w:rPr>
                <w:sz w:val="22"/>
                <w:lang w:val="uk-UA"/>
              </w:rPr>
              <w:t xml:space="preserve"> в експлуатацію.</w:t>
            </w:r>
          </w:p>
        </w:tc>
      </w:tr>
      <w:tr w:rsidR="00E95FB1" w:rsidRPr="00915913" w:rsidTr="001B3967">
        <w:trPr>
          <w:trHeight w:val="360"/>
        </w:trPr>
        <w:tc>
          <w:tcPr>
            <w:tcW w:w="2836" w:type="dxa"/>
            <w:vMerge w:val="restart"/>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lastRenderedPageBreak/>
              <w:t xml:space="preserve">Орієнтовний обсяг та джерела фінансування, тис. грн. </w:t>
            </w:r>
          </w:p>
          <w:p w:rsidR="00E95FB1" w:rsidRPr="00915913" w:rsidRDefault="00E95FB1" w:rsidP="001B3967">
            <w:pPr>
              <w:pStyle w:val="a7"/>
              <w:ind w:left="0"/>
              <w:rPr>
                <w:b/>
                <w:sz w:val="22"/>
                <w:lang w:val="uk-UA"/>
              </w:rPr>
            </w:pPr>
          </w:p>
        </w:tc>
        <w:tc>
          <w:tcPr>
            <w:tcW w:w="1992" w:type="dxa"/>
            <w:tcBorders>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Державний бюджет</w:t>
            </w:r>
          </w:p>
        </w:tc>
        <w:tc>
          <w:tcPr>
            <w:tcW w:w="1276" w:type="dxa"/>
            <w:tcBorders>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Місцевий бюджет</w:t>
            </w:r>
          </w:p>
        </w:tc>
        <w:tc>
          <w:tcPr>
            <w:tcW w:w="2885" w:type="dxa"/>
            <w:gridSpan w:val="4"/>
            <w:tcBorders>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Інші джерела</w:t>
            </w:r>
          </w:p>
        </w:tc>
        <w:tc>
          <w:tcPr>
            <w:tcW w:w="934" w:type="dxa"/>
            <w:tcBorders>
              <w:left w:val="single" w:sz="4" w:space="0" w:color="auto"/>
              <w:bottom w:val="single" w:sz="4" w:space="0" w:color="auto"/>
            </w:tcBorders>
          </w:tcPr>
          <w:p w:rsidR="00E95FB1" w:rsidRPr="00915913" w:rsidRDefault="00E95FB1" w:rsidP="001B3967">
            <w:pPr>
              <w:pStyle w:val="a7"/>
              <w:ind w:left="0"/>
              <w:jc w:val="center"/>
              <w:rPr>
                <w:b/>
                <w:sz w:val="22"/>
                <w:lang w:val="uk-UA"/>
              </w:rPr>
            </w:pPr>
            <w:r w:rsidRPr="00915913">
              <w:rPr>
                <w:b/>
                <w:sz w:val="22"/>
                <w:lang w:val="uk-UA"/>
              </w:rPr>
              <w:t>Всього</w:t>
            </w:r>
          </w:p>
        </w:tc>
      </w:tr>
      <w:tr w:rsidR="00E95FB1" w:rsidRPr="00915913" w:rsidTr="001B3967">
        <w:trPr>
          <w:trHeight w:val="225"/>
        </w:trPr>
        <w:tc>
          <w:tcPr>
            <w:tcW w:w="2836" w:type="dxa"/>
            <w:vMerge/>
            <w:shd w:val="clear" w:color="auto" w:fill="C6D9F1" w:themeFill="text2" w:themeFillTint="33"/>
          </w:tcPr>
          <w:p w:rsidR="00E95FB1" w:rsidRPr="00915913" w:rsidRDefault="00E95FB1" w:rsidP="001B3967">
            <w:pPr>
              <w:pStyle w:val="a7"/>
              <w:ind w:left="0"/>
              <w:rPr>
                <w:b/>
                <w:sz w:val="22"/>
                <w:lang w:val="uk-UA"/>
              </w:rPr>
            </w:pPr>
          </w:p>
        </w:tc>
        <w:tc>
          <w:tcPr>
            <w:tcW w:w="1992" w:type="dxa"/>
            <w:vMerge w:val="restart"/>
            <w:tcBorders>
              <w:top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2 553,6</w:t>
            </w:r>
          </w:p>
        </w:tc>
        <w:tc>
          <w:tcPr>
            <w:tcW w:w="1276" w:type="dxa"/>
            <w:vMerge w:val="restart"/>
            <w:tcBorders>
              <w:top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w:t>
            </w:r>
          </w:p>
        </w:tc>
        <w:tc>
          <w:tcPr>
            <w:tcW w:w="1430" w:type="dxa"/>
            <w:gridSpan w:val="2"/>
            <w:tcBorders>
              <w:top w:val="single" w:sz="4" w:space="0" w:color="auto"/>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Обсяг</w:t>
            </w:r>
          </w:p>
        </w:tc>
        <w:tc>
          <w:tcPr>
            <w:tcW w:w="1455" w:type="dxa"/>
            <w:gridSpan w:val="2"/>
            <w:tcBorders>
              <w:top w:val="single" w:sz="4" w:space="0" w:color="auto"/>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Назва джерела</w:t>
            </w:r>
          </w:p>
        </w:tc>
        <w:tc>
          <w:tcPr>
            <w:tcW w:w="934" w:type="dxa"/>
            <w:vMerge w:val="restart"/>
            <w:tcBorders>
              <w:top w:val="single" w:sz="4" w:space="0" w:color="auto"/>
              <w:left w:val="single" w:sz="4" w:space="0" w:color="auto"/>
            </w:tcBorders>
          </w:tcPr>
          <w:p w:rsidR="00E95FB1" w:rsidRPr="00915913" w:rsidRDefault="00E95FB1" w:rsidP="001B3967">
            <w:pPr>
              <w:pStyle w:val="a7"/>
              <w:ind w:left="0"/>
              <w:jc w:val="center"/>
              <w:rPr>
                <w:sz w:val="22"/>
                <w:lang w:val="uk-UA"/>
              </w:rPr>
            </w:pPr>
            <w:r w:rsidRPr="00915913">
              <w:rPr>
                <w:sz w:val="22"/>
                <w:lang w:val="uk-UA"/>
              </w:rPr>
              <w:t>3 648,00</w:t>
            </w:r>
          </w:p>
        </w:tc>
      </w:tr>
      <w:tr w:rsidR="00E95FB1" w:rsidRPr="00915913" w:rsidTr="001B3967">
        <w:trPr>
          <w:trHeight w:val="300"/>
        </w:trPr>
        <w:tc>
          <w:tcPr>
            <w:tcW w:w="2836" w:type="dxa"/>
            <w:vMerge/>
            <w:shd w:val="clear" w:color="auto" w:fill="C6D9F1" w:themeFill="text2" w:themeFillTint="33"/>
          </w:tcPr>
          <w:p w:rsidR="00E95FB1" w:rsidRPr="00915913" w:rsidRDefault="00E95FB1" w:rsidP="001B3967">
            <w:pPr>
              <w:pStyle w:val="a7"/>
              <w:ind w:left="0"/>
              <w:rPr>
                <w:b/>
                <w:sz w:val="22"/>
                <w:lang w:val="uk-UA"/>
              </w:rPr>
            </w:pPr>
          </w:p>
        </w:tc>
        <w:tc>
          <w:tcPr>
            <w:tcW w:w="1992" w:type="dxa"/>
            <w:vMerge/>
            <w:tcBorders>
              <w:right w:val="single" w:sz="4" w:space="0" w:color="auto"/>
            </w:tcBorders>
          </w:tcPr>
          <w:p w:rsidR="00E95FB1" w:rsidRPr="00915913" w:rsidRDefault="00E95FB1" w:rsidP="001B3967">
            <w:pPr>
              <w:pStyle w:val="a7"/>
              <w:ind w:left="0"/>
              <w:jc w:val="center"/>
              <w:rPr>
                <w:sz w:val="22"/>
                <w:lang w:val="uk-UA"/>
              </w:rPr>
            </w:pPr>
          </w:p>
        </w:tc>
        <w:tc>
          <w:tcPr>
            <w:tcW w:w="1276" w:type="dxa"/>
            <w:vMerge/>
            <w:tcBorders>
              <w:right w:val="single" w:sz="4" w:space="0" w:color="auto"/>
            </w:tcBorders>
          </w:tcPr>
          <w:p w:rsidR="00E95FB1" w:rsidRPr="00915913" w:rsidRDefault="00E95FB1" w:rsidP="001B3967">
            <w:pPr>
              <w:pStyle w:val="a7"/>
              <w:ind w:left="0"/>
              <w:jc w:val="center"/>
              <w:rPr>
                <w:b/>
                <w:sz w:val="22"/>
                <w:lang w:val="uk-UA"/>
              </w:rPr>
            </w:pPr>
          </w:p>
        </w:tc>
        <w:tc>
          <w:tcPr>
            <w:tcW w:w="1430" w:type="dxa"/>
            <w:gridSpan w:val="2"/>
            <w:tcBorders>
              <w:top w:val="single" w:sz="4" w:space="0" w:color="auto"/>
              <w:left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sz w:val="22"/>
                <w:lang w:val="uk-UA"/>
              </w:rPr>
              <w:t>1 094,4</w:t>
            </w:r>
          </w:p>
        </w:tc>
        <w:tc>
          <w:tcPr>
            <w:tcW w:w="1455" w:type="dxa"/>
            <w:gridSpan w:val="2"/>
            <w:tcBorders>
              <w:top w:val="single" w:sz="4" w:space="0" w:color="auto"/>
              <w:left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Міжнародні інвестиції, кошти приватних осіб</w:t>
            </w:r>
          </w:p>
        </w:tc>
        <w:tc>
          <w:tcPr>
            <w:tcW w:w="934" w:type="dxa"/>
            <w:vMerge/>
            <w:tcBorders>
              <w:left w:val="single" w:sz="4" w:space="0" w:color="auto"/>
            </w:tcBorders>
          </w:tcPr>
          <w:p w:rsidR="00E95FB1" w:rsidRPr="00915913" w:rsidRDefault="00E95FB1" w:rsidP="001B3967">
            <w:pPr>
              <w:pStyle w:val="a7"/>
              <w:ind w:left="0"/>
              <w:jc w:val="center"/>
              <w:rPr>
                <w:sz w:val="22"/>
                <w:lang w:val="uk-UA"/>
              </w:rPr>
            </w:pPr>
          </w:p>
        </w:tc>
      </w:tr>
    </w:tbl>
    <w:p w:rsidR="00E95FB1" w:rsidRPr="00915913" w:rsidRDefault="00E95FB1" w:rsidP="00E95FB1">
      <w:pPr>
        <w:rPr>
          <w:sz w:val="22"/>
        </w:rPr>
      </w:pPr>
    </w:p>
    <w:p w:rsidR="00E95FB1" w:rsidRPr="00915913" w:rsidRDefault="00E95FB1" w:rsidP="00E95FB1">
      <w:pPr>
        <w:rPr>
          <w:sz w:val="22"/>
        </w:rPr>
      </w:pPr>
    </w:p>
    <w:p w:rsidR="00E95FB1" w:rsidRPr="00915913" w:rsidRDefault="00E95FB1" w:rsidP="00E95FB1">
      <w:pPr>
        <w:rPr>
          <w:sz w:val="22"/>
        </w:rPr>
      </w:pPr>
    </w:p>
    <w:p w:rsidR="00E95FB1" w:rsidRPr="00915913" w:rsidRDefault="00E95FB1" w:rsidP="00E95FB1">
      <w:pPr>
        <w:rPr>
          <w:sz w:val="22"/>
        </w:rPr>
      </w:pPr>
    </w:p>
    <w:p w:rsidR="00E95FB1" w:rsidRPr="00915913" w:rsidRDefault="00E95FB1" w:rsidP="00E95FB1">
      <w:pPr>
        <w:rPr>
          <w:sz w:val="22"/>
        </w:rPr>
      </w:pPr>
    </w:p>
    <w:p w:rsidR="00E95FB1" w:rsidRPr="00915913" w:rsidRDefault="00E95FB1" w:rsidP="00E95FB1">
      <w:pPr>
        <w:rPr>
          <w:sz w:val="22"/>
        </w:rPr>
      </w:pPr>
    </w:p>
    <w:tbl>
      <w:tblPr>
        <w:tblStyle w:val="af"/>
        <w:tblW w:w="0" w:type="auto"/>
        <w:tblInd w:w="-176" w:type="dxa"/>
        <w:tblLook w:val="04A0" w:firstRow="1" w:lastRow="0" w:firstColumn="1" w:lastColumn="0" w:noHBand="0" w:noVBand="1"/>
      </w:tblPr>
      <w:tblGrid>
        <w:gridCol w:w="2701"/>
        <w:gridCol w:w="1670"/>
        <w:gridCol w:w="1293"/>
        <w:gridCol w:w="1243"/>
        <w:gridCol w:w="699"/>
        <w:gridCol w:w="754"/>
        <w:gridCol w:w="1302"/>
      </w:tblGrid>
      <w:tr w:rsidR="00E95FB1" w:rsidRPr="00915913" w:rsidTr="001B3967">
        <w:tc>
          <w:tcPr>
            <w:tcW w:w="2836"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Оперативна ціль/завдання</w:t>
            </w:r>
          </w:p>
        </w:tc>
        <w:tc>
          <w:tcPr>
            <w:tcW w:w="7052" w:type="dxa"/>
            <w:gridSpan w:val="6"/>
            <w:shd w:val="clear" w:color="auto" w:fill="auto"/>
          </w:tcPr>
          <w:p w:rsidR="00E95FB1" w:rsidRPr="00915913" w:rsidRDefault="00E95FB1" w:rsidP="001B3967">
            <w:pPr>
              <w:pStyle w:val="a7"/>
              <w:ind w:left="0"/>
              <w:rPr>
                <w:sz w:val="22"/>
                <w:lang w:val="uk-UA"/>
              </w:rPr>
            </w:pPr>
            <w:r w:rsidRPr="00915913">
              <w:rPr>
                <w:sz w:val="22"/>
                <w:lang w:val="uk-UA"/>
              </w:rPr>
              <w:t>Комфорт життя ЛЮДИНИ як безпека, екологічна сталість та  розумна енергетика. Громадська та інформаційна безпека території громади</w:t>
            </w:r>
          </w:p>
        </w:tc>
      </w:tr>
      <w:tr w:rsidR="00E95FB1" w:rsidRPr="00915913" w:rsidTr="001B3967">
        <w:tc>
          <w:tcPr>
            <w:tcW w:w="2836"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Назва проекту:</w:t>
            </w:r>
          </w:p>
        </w:tc>
        <w:tc>
          <w:tcPr>
            <w:tcW w:w="7052" w:type="dxa"/>
            <w:gridSpan w:val="6"/>
          </w:tcPr>
          <w:p w:rsidR="00E95FB1" w:rsidRPr="00915913" w:rsidRDefault="00E95FB1" w:rsidP="001B3967">
            <w:pPr>
              <w:pStyle w:val="a7"/>
              <w:ind w:left="0"/>
              <w:rPr>
                <w:sz w:val="22"/>
                <w:lang w:val="uk-UA"/>
              </w:rPr>
            </w:pPr>
            <w:r w:rsidRPr="00915913">
              <w:rPr>
                <w:sz w:val="22"/>
                <w:lang w:val="uk-UA"/>
              </w:rPr>
              <w:t>Закупівля та монтаж модульних споруд для місць загального користування</w:t>
            </w:r>
          </w:p>
        </w:tc>
      </w:tr>
      <w:tr w:rsidR="00E95FB1" w:rsidRPr="00915913" w:rsidTr="001B3967">
        <w:tc>
          <w:tcPr>
            <w:tcW w:w="2836" w:type="dxa"/>
            <w:shd w:val="clear" w:color="auto" w:fill="C6D9F1" w:themeFill="text2" w:themeFillTint="33"/>
          </w:tcPr>
          <w:p w:rsidR="00E95FB1" w:rsidRPr="00915913" w:rsidRDefault="00E95FB1" w:rsidP="001B3967">
            <w:pPr>
              <w:rPr>
                <w:b/>
                <w:sz w:val="22"/>
                <w:lang w:val="uk-UA"/>
              </w:rPr>
            </w:pPr>
            <w:r w:rsidRPr="00915913">
              <w:rPr>
                <w:b/>
                <w:sz w:val="22"/>
                <w:lang w:val="uk-UA"/>
              </w:rPr>
              <w:t>Ціль проекту</w:t>
            </w:r>
          </w:p>
        </w:tc>
        <w:tc>
          <w:tcPr>
            <w:tcW w:w="7052" w:type="dxa"/>
            <w:gridSpan w:val="6"/>
          </w:tcPr>
          <w:p w:rsidR="00E95FB1" w:rsidRPr="00915913" w:rsidRDefault="00E95FB1" w:rsidP="001B3967">
            <w:pPr>
              <w:pStyle w:val="a7"/>
              <w:ind w:left="0"/>
              <w:rPr>
                <w:sz w:val="22"/>
                <w:lang w:val="uk-UA"/>
              </w:rPr>
            </w:pPr>
            <w:proofErr w:type="spellStart"/>
            <w:r w:rsidRPr="00915913">
              <w:rPr>
                <w:sz w:val="22"/>
                <w:lang w:val="uk-UA"/>
              </w:rPr>
              <w:t>Закпівля</w:t>
            </w:r>
            <w:proofErr w:type="spellEnd"/>
            <w:r w:rsidRPr="00915913">
              <w:rPr>
                <w:sz w:val="22"/>
                <w:lang w:val="uk-UA"/>
              </w:rPr>
              <w:t xml:space="preserve"> модульних споруд (зупинки громадського транспорту з кіосками, туалетами)</w:t>
            </w:r>
          </w:p>
        </w:tc>
      </w:tr>
      <w:tr w:rsidR="00E95FB1" w:rsidRPr="00915913" w:rsidTr="001B3967">
        <w:tc>
          <w:tcPr>
            <w:tcW w:w="2836"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Територія, на яку матиме вплив реалізація проекту</w:t>
            </w:r>
          </w:p>
        </w:tc>
        <w:tc>
          <w:tcPr>
            <w:tcW w:w="7052" w:type="dxa"/>
            <w:gridSpan w:val="6"/>
          </w:tcPr>
          <w:p w:rsidR="00E95FB1" w:rsidRPr="00915913" w:rsidRDefault="00E95FB1" w:rsidP="001B3967">
            <w:pPr>
              <w:pStyle w:val="a7"/>
              <w:ind w:left="0"/>
              <w:rPr>
                <w:sz w:val="22"/>
                <w:lang w:val="uk-UA"/>
              </w:rPr>
            </w:pPr>
            <w:r w:rsidRPr="00915913">
              <w:rPr>
                <w:sz w:val="22"/>
                <w:lang w:val="uk-UA"/>
              </w:rPr>
              <w:t>Сєвєродонецька міська територіальна громада</w:t>
            </w:r>
          </w:p>
        </w:tc>
      </w:tr>
      <w:tr w:rsidR="00E95FB1" w:rsidRPr="00915913" w:rsidTr="001B3967">
        <w:tc>
          <w:tcPr>
            <w:tcW w:w="2836"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Чисельність населення, на яке матиме вплив реалізація проекту</w:t>
            </w:r>
          </w:p>
        </w:tc>
        <w:tc>
          <w:tcPr>
            <w:tcW w:w="7052" w:type="dxa"/>
            <w:gridSpan w:val="6"/>
          </w:tcPr>
          <w:p w:rsidR="00E95FB1" w:rsidRPr="00915913" w:rsidRDefault="00E95FB1" w:rsidP="001B3967">
            <w:pPr>
              <w:pStyle w:val="a7"/>
              <w:ind w:left="0"/>
              <w:rPr>
                <w:sz w:val="22"/>
                <w:lang w:val="uk-UA"/>
              </w:rPr>
            </w:pPr>
            <w:r w:rsidRPr="00915913">
              <w:rPr>
                <w:sz w:val="22"/>
                <w:lang w:val="uk-UA"/>
              </w:rPr>
              <w:t xml:space="preserve"> 70 000  осіб</w:t>
            </w:r>
          </w:p>
        </w:tc>
      </w:tr>
      <w:tr w:rsidR="00E95FB1" w:rsidRPr="00915913" w:rsidTr="001B3967">
        <w:tc>
          <w:tcPr>
            <w:tcW w:w="2836" w:type="dxa"/>
            <w:shd w:val="clear" w:color="auto" w:fill="C6D9F1" w:themeFill="text2" w:themeFillTint="33"/>
          </w:tcPr>
          <w:p w:rsidR="00E95FB1" w:rsidRPr="00915913" w:rsidRDefault="00E95FB1" w:rsidP="001B3967">
            <w:pPr>
              <w:rPr>
                <w:b/>
                <w:sz w:val="22"/>
                <w:lang w:val="uk-UA"/>
              </w:rPr>
            </w:pPr>
            <w:r w:rsidRPr="00915913">
              <w:rPr>
                <w:b/>
                <w:sz w:val="22"/>
                <w:lang w:val="uk-UA"/>
              </w:rPr>
              <w:t>Опис проблеми, на вирішення якої  спрямований проект</w:t>
            </w:r>
          </w:p>
        </w:tc>
        <w:tc>
          <w:tcPr>
            <w:tcW w:w="7052" w:type="dxa"/>
            <w:gridSpan w:val="6"/>
          </w:tcPr>
          <w:p w:rsidR="00E95FB1" w:rsidRPr="00915913" w:rsidRDefault="00E95FB1" w:rsidP="001B3967">
            <w:pPr>
              <w:pStyle w:val="13"/>
              <w:jc w:val="both"/>
              <w:rPr>
                <w:sz w:val="22"/>
                <w:lang w:val="uk-UA"/>
              </w:rPr>
            </w:pPr>
            <w:r w:rsidRPr="00915913">
              <w:rPr>
                <w:sz w:val="22"/>
                <w:lang w:val="uk-UA"/>
              </w:rPr>
              <w:t xml:space="preserve">Через військову агресію РФ територія Сєвєродонецької міської територіальної громади зазнала значних пошкоджень. Під час бойових дій в Сєвєродонецькій громаді було зруйновано майже </w:t>
            </w:r>
            <w:proofErr w:type="spellStart"/>
            <w:r w:rsidRPr="00915913">
              <w:rPr>
                <w:sz w:val="22"/>
                <w:lang w:val="uk-UA"/>
              </w:rPr>
              <w:t>всї</w:t>
            </w:r>
            <w:proofErr w:type="spellEnd"/>
            <w:r w:rsidRPr="00915913">
              <w:rPr>
                <w:sz w:val="22"/>
                <w:lang w:val="uk-UA"/>
              </w:rPr>
              <w:t xml:space="preserve"> зупинки громадського транспорту. Це завдає незручності для мешканців. Проблемою також є відсутність туалетів для загального користування. Наявність громадських туалетів завжди було проблемним питанням.</w:t>
            </w:r>
          </w:p>
        </w:tc>
      </w:tr>
      <w:tr w:rsidR="00E95FB1" w:rsidRPr="00915913" w:rsidTr="001B3967">
        <w:tc>
          <w:tcPr>
            <w:tcW w:w="2836"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Очікувані якісні результати від реалізації проекту</w:t>
            </w:r>
          </w:p>
        </w:tc>
        <w:tc>
          <w:tcPr>
            <w:tcW w:w="7052" w:type="dxa"/>
            <w:gridSpan w:val="6"/>
          </w:tcPr>
          <w:p w:rsidR="00E95FB1" w:rsidRPr="00915913" w:rsidRDefault="00E95FB1" w:rsidP="001B3967">
            <w:pPr>
              <w:pStyle w:val="a7"/>
              <w:ind w:left="0"/>
              <w:rPr>
                <w:sz w:val="22"/>
                <w:lang w:val="uk-UA"/>
              </w:rPr>
            </w:pPr>
            <w:r w:rsidRPr="00915913">
              <w:rPr>
                <w:sz w:val="22"/>
                <w:lang w:val="uk-UA"/>
              </w:rPr>
              <w:t xml:space="preserve">- відновлення міста та громади після </w:t>
            </w:r>
            <w:proofErr w:type="spellStart"/>
            <w:r w:rsidRPr="00915913">
              <w:rPr>
                <w:sz w:val="22"/>
                <w:lang w:val="uk-UA"/>
              </w:rPr>
              <w:t>деокупації</w:t>
            </w:r>
            <w:proofErr w:type="spellEnd"/>
          </w:p>
          <w:p w:rsidR="00E95FB1" w:rsidRPr="00915913" w:rsidRDefault="00E95FB1" w:rsidP="001B3967">
            <w:pPr>
              <w:pStyle w:val="a7"/>
              <w:ind w:left="0"/>
              <w:rPr>
                <w:sz w:val="22"/>
                <w:lang w:val="uk-UA"/>
              </w:rPr>
            </w:pPr>
            <w:r w:rsidRPr="00915913">
              <w:rPr>
                <w:sz w:val="22"/>
                <w:lang w:val="uk-UA"/>
              </w:rPr>
              <w:t>- стимул до повернення ВПО до громади;</w:t>
            </w:r>
          </w:p>
          <w:p w:rsidR="00E95FB1" w:rsidRPr="00915913" w:rsidRDefault="00E95FB1" w:rsidP="00DE6394">
            <w:pPr>
              <w:pStyle w:val="a7"/>
              <w:ind w:left="0"/>
              <w:rPr>
                <w:sz w:val="22"/>
                <w:lang w:val="uk-UA"/>
              </w:rPr>
            </w:pPr>
            <w:r w:rsidRPr="00915913">
              <w:rPr>
                <w:sz w:val="22"/>
                <w:lang w:val="uk-UA"/>
              </w:rPr>
              <w:t>- облаштування зупинок громадського транспорту, обладнання зупинок невеликими точками продажу з необхідними товарами</w:t>
            </w:r>
            <w:r w:rsidR="00DE6394" w:rsidRPr="00915913">
              <w:rPr>
                <w:bCs/>
                <w:sz w:val="22"/>
                <w:szCs w:val="22"/>
                <w:lang w:val="uk-UA"/>
              </w:rPr>
              <w:t xml:space="preserve"> </w:t>
            </w:r>
            <w:r w:rsidRPr="00915913">
              <w:rPr>
                <w:bCs/>
                <w:sz w:val="22"/>
                <w:szCs w:val="22"/>
                <w:lang w:val="uk-UA"/>
              </w:rPr>
              <w:t>-</w:t>
            </w:r>
            <w:r w:rsidRPr="00915913">
              <w:rPr>
                <w:sz w:val="22"/>
                <w:lang w:val="uk-UA"/>
              </w:rPr>
              <w:t xml:space="preserve"> в місті повинні бути громадські туалети по санітарним нормам.</w:t>
            </w:r>
          </w:p>
        </w:tc>
      </w:tr>
      <w:tr w:rsidR="00E95FB1" w:rsidRPr="00915913" w:rsidTr="001B3967">
        <w:trPr>
          <w:trHeight w:val="390"/>
        </w:trPr>
        <w:tc>
          <w:tcPr>
            <w:tcW w:w="2836" w:type="dxa"/>
            <w:vMerge w:val="restart"/>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 xml:space="preserve">Очікувані кількісні результати реалізації </w:t>
            </w:r>
            <w:proofErr w:type="spellStart"/>
            <w:r w:rsidRPr="00915913">
              <w:rPr>
                <w:b/>
                <w:sz w:val="22"/>
                <w:lang w:val="uk-UA"/>
              </w:rPr>
              <w:t>проєкту</w:t>
            </w:r>
            <w:proofErr w:type="spellEnd"/>
            <w:r w:rsidRPr="00915913">
              <w:rPr>
                <w:b/>
                <w:sz w:val="22"/>
                <w:lang w:val="uk-UA"/>
              </w:rPr>
              <w:t xml:space="preserve"> (індикатори)</w:t>
            </w:r>
          </w:p>
          <w:p w:rsidR="00E95FB1" w:rsidRPr="00915913" w:rsidRDefault="00E95FB1" w:rsidP="001B3967">
            <w:pPr>
              <w:pStyle w:val="a7"/>
              <w:ind w:left="0"/>
              <w:rPr>
                <w:b/>
                <w:sz w:val="22"/>
                <w:lang w:val="uk-UA"/>
              </w:rPr>
            </w:pPr>
          </w:p>
        </w:tc>
        <w:tc>
          <w:tcPr>
            <w:tcW w:w="3019" w:type="dxa"/>
            <w:gridSpan w:val="2"/>
            <w:tcBorders>
              <w:bottom w:val="single" w:sz="4" w:space="0" w:color="auto"/>
              <w:right w:val="single" w:sz="4" w:space="0" w:color="auto"/>
            </w:tcBorders>
          </w:tcPr>
          <w:p w:rsidR="00E95FB1" w:rsidRPr="00915913" w:rsidRDefault="00E95FB1" w:rsidP="001B3967">
            <w:pPr>
              <w:pStyle w:val="a7"/>
              <w:ind w:left="-108"/>
              <w:jc w:val="center"/>
              <w:rPr>
                <w:b/>
                <w:sz w:val="22"/>
                <w:lang w:val="uk-UA"/>
              </w:rPr>
            </w:pPr>
            <w:r w:rsidRPr="00915913">
              <w:rPr>
                <w:b/>
                <w:sz w:val="22"/>
                <w:lang w:val="uk-UA"/>
              </w:rPr>
              <w:t>Найменування показника</w:t>
            </w:r>
          </w:p>
        </w:tc>
        <w:tc>
          <w:tcPr>
            <w:tcW w:w="1942" w:type="dxa"/>
            <w:gridSpan w:val="2"/>
            <w:tcBorders>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Одиниця вимірювання</w:t>
            </w:r>
          </w:p>
          <w:p w:rsidR="00E95FB1" w:rsidRPr="00915913" w:rsidRDefault="00E95FB1" w:rsidP="001B3967">
            <w:pPr>
              <w:pStyle w:val="a7"/>
              <w:ind w:left="0"/>
              <w:rPr>
                <w:b/>
                <w:sz w:val="22"/>
                <w:lang w:val="uk-UA"/>
              </w:rPr>
            </w:pPr>
          </w:p>
        </w:tc>
        <w:tc>
          <w:tcPr>
            <w:tcW w:w="2091" w:type="dxa"/>
            <w:gridSpan w:val="2"/>
            <w:tcBorders>
              <w:left w:val="single" w:sz="4" w:space="0" w:color="auto"/>
              <w:bottom w:val="single" w:sz="4" w:space="0" w:color="auto"/>
            </w:tcBorders>
          </w:tcPr>
          <w:p w:rsidR="00E95FB1" w:rsidRPr="00915913" w:rsidRDefault="00E95FB1" w:rsidP="001B3967">
            <w:pPr>
              <w:pStyle w:val="a7"/>
              <w:ind w:left="0"/>
              <w:jc w:val="center"/>
              <w:rPr>
                <w:b/>
                <w:sz w:val="22"/>
                <w:lang w:val="uk-UA"/>
              </w:rPr>
            </w:pPr>
            <w:r w:rsidRPr="00915913">
              <w:rPr>
                <w:b/>
                <w:sz w:val="22"/>
                <w:lang w:val="uk-UA"/>
              </w:rPr>
              <w:t>Прогнозне (цільове) значення</w:t>
            </w:r>
          </w:p>
        </w:tc>
      </w:tr>
      <w:tr w:rsidR="00E95FB1" w:rsidRPr="00915913" w:rsidTr="001B3967">
        <w:trPr>
          <w:trHeight w:val="585"/>
        </w:trPr>
        <w:tc>
          <w:tcPr>
            <w:tcW w:w="2836" w:type="dxa"/>
            <w:vMerge/>
            <w:shd w:val="clear" w:color="auto" w:fill="C6D9F1" w:themeFill="text2" w:themeFillTint="33"/>
          </w:tcPr>
          <w:p w:rsidR="00E95FB1" w:rsidRPr="00915913" w:rsidRDefault="00E95FB1" w:rsidP="001B3967">
            <w:pPr>
              <w:pStyle w:val="a7"/>
              <w:ind w:left="0"/>
              <w:rPr>
                <w:b/>
                <w:sz w:val="22"/>
                <w:lang w:val="uk-UA"/>
              </w:rPr>
            </w:pPr>
          </w:p>
        </w:tc>
        <w:tc>
          <w:tcPr>
            <w:tcW w:w="3019" w:type="dxa"/>
            <w:gridSpan w:val="2"/>
            <w:tcBorders>
              <w:top w:val="single" w:sz="4" w:space="0" w:color="auto"/>
              <w:bottom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Модульні споруди</w:t>
            </w:r>
          </w:p>
        </w:tc>
        <w:tc>
          <w:tcPr>
            <w:tcW w:w="1942" w:type="dxa"/>
            <w:gridSpan w:val="2"/>
            <w:tcBorders>
              <w:top w:val="single" w:sz="4" w:space="0" w:color="auto"/>
              <w:left w:val="single" w:sz="4" w:space="0" w:color="auto"/>
              <w:bottom w:val="single" w:sz="4" w:space="0" w:color="auto"/>
              <w:right w:val="single" w:sz="4" w:space="0" w:color="auto"/>
            </w:tcBorders>
            <w:vAlign w:val="center"/>
          </w:tcPr>
          <w:p w:rsidR="00E95FB1" w:rsidRPr="00915913" w:rsidRDefault="00DE6394" w:rsidP="001B3967">
            <w:pPr>
              <w:pStyle w:val="a7"/>
              <w:ind w:left="0"/>
              <w:jc w:val="center"/>
              <w:rPr>
                <w:sz w:val="22"/>
                <w:lang w:val="uk-UA"/>
              </w:rPr>
            </w:pPr>
            <w:r w:rsidRPr="00915913">
              <w:rPr>
                <w:bCs/>
                <w:sz w:val="22"/>
                <w:szCs w:val="22"/>
                <w:lang w:val="uk-UA"/>
              </w:rPr>
              <w:t>одиниць</w:t>
            </w:r>
          </w:p>
        </w:tc>
        <w:tc>
          <w:tcPr>
            <w:tcW w:w="2091" w:type="dxa"/>
            <w:gridSpan w:val="2"/>
            <w:tcBorders>
              <w:top w:val="single" w:sz="4" w:space="0" w:color="auto"/>
              <w:left w:val="single" w:sz="4" w:space="0" w:color="auto"/>
              <w:bottom w:val="single" w:sz="4" w:space="0" w:color="auto"/>
            </w:tcBorders>
          </w:tcPr>
          <w:p w:rsidR="00E95FB1" w:rsidRPr="00915913" w:rsidRDefault="00E95FB1" w:rsidP="001B3967">
            <w:pPr>
              <w:pStyle w:val="a7"/>
              <w:ind w:left="0"/>
              <w:jc w:val="center"/>
              <w:rPr>
                <w:b/>
                <w:sz w:val="22"/>
                <w:lang w:val="uk-UA"/>
              </w:rPr>
            </w:pPr>
          </w:p>
          <w:p w:rsidR="00E95FB1" w:rsidRPr="00915913" w:rsidRDefault="00E95FB1" w:rsidP="001B3967">
            <w:pPr>
              <w:pStyle w:val="a7"/>
              <w:ind w:left="0"/>
              <w:jc w:val="center"/>
              <w:rPr>
                <w:sz w:val="22"/>
                <w:lang w:val="uk-UA"/>
              </w:rPr>
            </w:pPr>
            <w:r w:rsidRPr="00915913">
              <w:rPr>
                <w:sz w:val="22"/>
                <w:lang w:val="uk-UA"/>
              </w:rPr>
              <w:t>20</w:t>
            </w:r>
          </w:p>
        </w:tc>
      </w:tr>
      <w:tr w:rsidR="00E95FB1" w:rsidRPr="00915913" w:rsidTr="001B3967">
        <w:tc>
          <w:tcPr>
            <w:tcW w:w="2836" w:type="dxa"/>
            <w:shd w:val="clear" w:color="auto" w:fill="C6D9F1" w:themeFill="text2" w:themeFillTint="33"/>
          </w:tcPr>
          <w:p w:rsidR="00E95FB1" w:rsidRPr="00915913" w:rsidRDefault="00E95FB1" w:rsidP="001B3967">
            <w:pPr>
              <w:rPr>
                <w:b/>
                <w:sz w:val="22"/>
                <w:lang w:val="uk-UA"/>
              </w:rPr>
            </w:pPr>
            <w:r w:rsidRPr="00915913">
              <w:rPr>
                <w:b/>
                <w:sz w:val="22"/>
                <w:lang w:val="uk-UA"/>
              </w:rPr>
              <w:t xml:space="preserve">Ключові заходи проекту: </w:t>
            </w:r>
          </w:p>
          <w:p w:rsidR="00E95FB1" w:rsidRPr="00915913" w:rsidRDefault="00E95FB1" w:rsidP="001B3967">
            <w:pPr>
              <w:pStyle w:val="a7"/>
              <w:ind w:left="0"/>
              <w:rPr>
                <w:b/>
                <w:sz w:val="22"/>
                <w:lang w:val="uk-UA"/>
              </w:rPr>
            </w:pPr>
          </w:p>
        </w:tc>
        <w:tc>
          <w:tcPr>
            <w:tcW w:w="7052" w:type="dxa"/>
            <w:gridSpan w:val="6"/>
          </w:tcPr>
          <w:p w:rsidR="00E95FB1" w:rsidRPr="00915913" w:rsidRDefault="00E95FB1" w:rsidP="000303D7">
            <w:pPr>
              <w:pStyle w:val="a7"/>
              <w:numPr>
                <w:ilvl w:val="0"/>
                <w:numId w:val="21"/>
              </w:numPr>
              <w:ind w:left="114" w:firstLine="246"/>
              <w:jc w:val="left"/>
              <w:rPr>
                <w:sz w:val="22"/>
                <w:lang w:val="uk-UA"/>
              </w:rPr>
            </w:pPr>
            <w:r w:rsidRPr="00915913">
              <w:rPr>
                <w:sz w:val="22"/>
                <w:lang w:val="uk-UA"/>
              </w:rPr>
              <w:t xml:space="preserve">Облаштування зруйнованих зупинок громадського транспорту.  </w:t>
            </w:r>
          </w:p>
          <w:p w:rsidR="00E95FB1" w:rsidRPr="00915913" w:rsidRDefault="00E95FB1" w:rsidP="000303D7">
            <w:pPr>
              <w:pStyle w:val="a7"/>
              <w:numPr>
                <w:ilvl w:val="0"/>
                <w:numId w:val="21"/>
              </w:numPr>
              <w:ind w:left="114" w:firstLine="246"/>
              <w:jc w:val="left"/>
              <w:rPr>
                <w:sz w:val="22"/>
                <w:lang w:val="uk-UA"/>
              </w:rPr>
            </w:pPr>
            <w:r w:rsidRPr="00915913">
              <w:rPr>
                <w:sz w:val="22"/>
                <w:lang w:val="uk-UA"/>
              </w:rPr>
              <w:t xml:space="preserve">Обладнання зупинок невеликими точками продажу з необхідними товарами (це зручно і дозволить населенню відчути себе </w:t>
            </w:r>
            <w:proofErr w:type="spellStart"/>
            <w:r w:rsidRPr="00915913">
              <w:rPr>
                <w:sz w:val="22"/>
                <w:lang w:val="uk-UA"/>
              </w:rPr>
              <w:t>комфортно</w:t>
            </w:r>
            <w:proofErr w:type="spellEnd"/>
            <w:r w:rsidRPr="00915913">
              <w:rPr>
                <w:sz w:val="22"/>
                <w:lang w:val="uk-UA"/>
              </w:rPr>
              <w:t>). Це також створення робочих місць. Згідно з санітарними нормами розташування в місті модульних туалетів необхідно, особливо в місцях великого скупчення людей.</w:t>
            </w:r>
          </w:p>
        </w:tc>
      </w:tr>
      <w:tr w:rsidR="00E95FB1" w:rsidRPr="00915913" w:rsidTr="001B3967">
        <w:trPr>
          <w:trHeight w:val="360"/>
        </w:trPr>
        <w:tc>
          <w:tcPr>
            <w:tcW w:w="2836" w:type="dxa"/>
            <w:vMerge w:val="restart"/>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 xml:space="preserve">Орієнтовний обсяг та джерела фінансування, тис. грн. </w:t>
            </w:r>
          </w:p>
          <w:p w:rsidR="00E95FB1" w:rsidRPr="00915913" w:rsidRDefault="00E95FB1" w:rsidP="001B3967">
            <w:pPr>
              <w:pStyle w:val="a7"/>
              <w:ind w:left="0"/>
              <w:rPr>
                <w:b/>
                <w:sz w:val="22"/>
                <w:lang w:val="uk-UA"/>
              </w:rPr>
            </w:pPr>
          </w:p>
        </w:tc>
        <w:tc>
          <w:tcPr>
            <w:tcW w:w="1711" w:type="dxa"/>
            <w:tcBorders>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Державний бюджет</w:t>
            </w:r>
          </w:p>
        </w:tc>
        <w:tc>
          <w:tcPr>
            <w:tcW w:w="1308" w:type="dxa"/>
            <w:tcBorders>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Місцевий бюджет</w:t>
            </w:r>
          </w:p>
        </w:tc>
        <w:tc>
          <w:tcPr>
            <w:tcW w:w="2709" w:type="dxa"/>
            <w:gridSpan w:val="3"/>
            <w:tcBorders>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Інші джерела</w:t>
            </w:r>
          </w:p>
        </w:tc>
        <w:tc>
          <w:tcPr>
            <w:tcW w:w="1324" w:type="dxa"/>
            <w:tcBorders>
              <w:left w:val="single" w:sz="4" w:space="0" w:color="auto"/>
              <w:bottom w:val="single" w:sz="4" w:space="0" w:color="auto"/>
            </w:tcBorders>
          </w:tcPr>
          <w:p w:rsidR="00E95FB1" w:rsidRPr="00915913" w:rsidRDefault="00E95FB1" w:rsidP="001B3967">
            <w:pPr>
              <w:pStyle w:val="a7"/>
              <w:ind w:left="0"/>
              <w:jc w:val="center"/>
              <w:rPr>
                <w:b/>
                <w:sz w:val="22"/>
                <w:lang w:val="uk-UA"/>
              </w:rPr>
            </w:pPr>
            <w:r w:rsidRPr="00915913">
              <w:rPr>
                <w:b/>
                <w:sz w:val="22"/>
                <w:lang w:val="uk-UA"/>
              </w:rPr>
              <w:t>Всього</w:t>
            </w:r>
          </w:p>
        </w:tc>
      </w:tr>
      <w:tr w:rsidR="00E95FB1" w:rsidRPr="00915913" w:rsidTr="001B3967">
        <w:trPr>
          <w:trHeight w:val="225"/>
        </w:trPr>
        <w:tc>
          <w:tcPr>
            <w:tcW w:w="2836" w:type="dxa"/>
            <w:vMerge/>
            <w:shd w:val="clear" w:color="auto" w:fill="C6D9F1" w:themeFill="text2" w:themeFillTint="33"/>
          </w:tcPr>
          <w:p w:rsidR="00E95FB1" w:rsidRPr="00915913" w:rsidRDefault="00E95FB1" w:rsidP="001B3967">
            <w:pPr>
              <w:pStyle w:val="a7"/>
              <w:ind w:left="0"/>
              <w:rPr>
                <w:b/>
                <w:sz w:val="22"/>
                <w:lang w:val="uk-UA"/>
              </w:rPr>
            </w:pPr>
          </w:p>
        </w:tc>
        <w:tc>
          <w:tcPr>
            <w:tcW w:w="1711" w:type="dxa"/>
            <w:vMerge w:val="restart"/>
            <w:tcBorders>
              <w:top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2 100,0</w:t>
            </w:r>
          </w:p>
        </w:tc>
        <w:tc>
          <w:tcPr>
            <w:tcW w:w="1308" w:type="dxa"/>
            <w:vMerge w:val="restart"/>
            <w:tcBorders>
              <w:top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w:t>
            </w:r>
          </w:p>
        </w:tc>
        <w:tc>
          <w:tcPr>
            <w:tcW w:w="1243" w:type="dxa"/>
            <w:tcBorders>
              <w:top w:val="single" w:sz="4" w:space="0" w:color="auto"/>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Обсяг</w:t>
            </w:r>
          </w:p>
        </w:tc>
        <w:tc>
          <w:tcPr>
            <w:tcW w:w="1466" w:type="dxa"/>
            <w:gridSpan w:val="2"/>
            <w:tcBorders>
              <w:top w:val="single" w:sz="4" w:space="0" w:color="auto"/>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Назва джерела</w:t>
            </w:r>
          </w:p>
        </w:tc>
        <w:tc>
          <w:tcPr>
            <w:tcW w:w="1324" w:type="dxa"/>
            <w:vMerge w:val="restart"/>
            <w:tcBorders>
              <w:top w:val="single" w:sz="4" w:space="0" w:color="auto"/>
              <w:left w:val="single" w:sz="4" w:space="0" w:color="auto"/>
            </w:tcBorders>
          </w:tcPr>
          <w:p w:rsidR="00E95FB1" w:rsidRPr="00915913" w:rsidRDefault="00E95FB1" w:rsidP="001B3967">
            <w:pPr>
              <w:pStyle w:val="a7"/>
              <w:ind w:left="0"/>
              <w:jc w:val="center"/>
              <w:rPr>
                <w:sz w:val="22"/>
                <w:lang w:val="uk-UA"/>
              </w:rPr>
            </w:pPr>
            <w:r w:rsidRPr="00915913">
              <w:rPr>
                <w:sz w:val="22"/>
                <w:lang w:val="uk-UA"/>
              </w:rPr>
              <w:t>3 000,00</w:t>
            </w:r>
          </w:p>
        </w:tc>
      </w:tr>
      <w:tr w:rsidR="00E95FB1" w:rsidRPr="00915913" w:rsidTr="001B3967">
        <w:trPr>
          <w:trHeight w:val="300"/>
        </w:trPr>
        <w:tc>
          <w:tcPr>
            <w:tcW w:w="2836" w:type="dxa"/>
            <w:vMerge/>
            <w:shd w:val="clear" w:color="auto" w:fill="C6D9F1" w:themeFill="text2" w:themeFillTint="33"/>
          </w:tcPr>
          <w:p w:rsidR="00E95FB1" w:rsidRPr="00915913" w:rsidRDefault="00E95FB1" w:rsidP="001B3967">
            <w:pPr>
              <w:pStyle w:val="a7"/>
              <w:ind w:left="0"/>
              <w:rPr>
                <w:b/>
                <w:sz w:val="22"/>
                <w:lang w:val="uk-UA"/>
              </w:rPr>
            </w:pPr>
          </w:p>
        </w:tc>
        <w:tc>
          <w:tcPr>
            <w:tcW w:w="1711" w:type="dxa"/>
            <w:vMerge/>
            <w:tcBorders>
              <w:right w:val="single" w:sz="4" w:space="0" w:color="auto"/>
            </w:tcBorders>
          </w:tcPr>
          <w:p w:rsidR="00E95FB1" w:rsidRPr="00915913" w:rsidRDefault="00E95FB1" w:rsidP="001B3967">
            <w:pPr>
              <w:pStyle w:val="a7"/>
              <w:ind w:left="0"/>
              <w:jc w:val="center"/>
              <w:rPr>
                <w:sz w:val="22"/>
                <w:lang w:val="uk-UA"/>
              </w:rPr>
            </w:pPr>
          </w:p>
        </w:tc>
        <w:tc>
          <w:tcPr>
            <w:tcW w:w="1308" w:type="dxa"/>
            <w:vMerge/>
            <w:tcBorders>
              <w:right w:val="single" w:sz="4" w:space="0" w:color="auto"/>
            </w:tcBorders>
          </w:tcPr>
          <w:p w:rsidR="00E95FB1" w:rsidRPr="00915913" w:rsidRDefault="00E95FB1" w:rsidP="001B3967">
            <w:pPr>
              <w:pStyle w:val="a7"/>
              <w:ind w:left="0"/>
              <w:jc w:val="center"/>
              <w:rPr>
                <w:b/>
                <w:sz w:val="22"/>
                <w:lang w:val="uk-UA"/>
              </w:rPr>
            </w:pPr>
          </w:p>
        </w:tc>
        <w:tc>
          <w:tcPr>
            <w:tcW w:w="1243" w:type="dxa"/>
            <w:tcBorders>
              <w:top w:val="single" w:sz="4" w:space="0" w:color="auto"/>
              <w:left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sz w:val="22"/>
                <w:lang w:val="uk-UA"/>
              </w:rPr>
              <w:t>900,0</w:t>
            </w:r>
          </w:p>
        </w:tc>
        <w:tc>
          <w:tcPr>
            <w:tcW w:w="1466" w:type="dxa"/>
            <w:gridSpan w:val="2"/>
            <w:tcBorders>
              <w:top w:val="single" w:sz="4" w:space="0" w:color="auto"/>
              <w:left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Міжнародні інвестиції, кошти приватних осіб</w:t>
            </w:r>
          </w:p>
        </w:tc>
        <w:tc>
          <w:tcPr>
            <w:tcW w:w="1324" w:type="dxa"/>
            <w:vMerge/>
            <w:tcBorders>
              <w:left w:val="single" w:sz="4" w:space="0" w:color="auto"/>
            </w:tcBorders>
          </w:tcPr>
          <w:p w:rsidR="00E95FB1" w:rsidRPr="00915913" w:rsidRDefault="00E95FB1" w:rsidP="001B3967">
            <w:pPr>
              <w:pStyle w:val="a7"/>
              <w:ind w:left="0"/>
              <w:jc w:val="center"/>
              <w:rPr>
                <w:sz w:val="22"/>
                <w:lang w:val="uk-UA"/>
              </w:rPr>
            </w:pPr>
          </w:p>
        </w:tc>
      </w:tr>
    </w:tbl>
    <w:p w:rsidR="00E95FB1" w:rsidRPr="00915913" w:rsidRDefault="00E95FB1" w:rsidP="00E95FB1">
      <w:pPr>
        <w:rPr>
          <w:sz w:val="22"/>
        </w:rPr>
      </w:pPr>
    </w:p>
    <w:p w:rsidR="00E95FB1" w:rsidRPr="00915913" w:rsidRDefault="00E95FB1" w:rsidP="00E95FB1">
      <w:pPr>
        <w:rPr>
          <w:sz w:val="22"/>
        </w:rPr>
      </w:pPr>
    </w:p>
    <w:p w:rsidR="00E95FB1" w:rsidRPr="00915913" w:rsidRDefault="00E95FB1" w:rsidP="00E95FB1">
      <w:pPr>
        <w:rPr>
          <w:sz w:val="22"/>
        </w:rPr>
      </w:pPr>
    </w:p>
    <w:p w:rsidR="00E95FB1" w:rsidRPr="00915913" w:rsidRDefault="00E95FB1" w:rsidP="00E95FB1">
      <w:pPr>
        <w:rPr>
          <w:sz w:val="22"/>
        </w:rPr>
      </w:pPr>
    </w:p>
    <w:tbl>
      <w:tblPr>
        <w:tblStyle w:val="af"/>
        <w:tblW w:w="0" w:type="auto"/>
        <w:tblInd w:w="-176" w:type="dxa"/>
        <w:tblLook w:val="04A0" w:firstRow="1" w:lastRow="0" w:firstColumn="1" w:lastColumn="0" w:noHBand="0" w:noVBand="1"/>
      </w:tblPr>
      <w:tblGrid>
        <w:gridCol w:w="2633"/>
        <w:gridCol w:w="1658"/>
        <w:gridCol w:w="1261"/>
        <w:gridCol w:w="213"/>
        <w:gridCol w:w="1138"/>
        <w:gridCol w:w="841"/>
        <w:gridCol w:w="603"/>
        <w:gridCol w:w="1315"/>
      </w:tblGrid>
      <w:tr w:rsidR="00E95FB1" w:rsidRPr="00915913" w:rsidTr="001B3967">
        <w:tc>
          <w:tcPr>
            <w:tcW w:w="2750"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Оперативна ціль/завдання</w:t>
            </w:r>
          </w:p>
        </w:tc>
        <w:tc>
          <w:tcPr>
            <w:tcW w:w="7138" w:type="dxa"/>
            <w:gridSpan w:val="7"/>
            <w:shd w:val="clear" w:color="auto" w:fill="auto"/>
          </w:tcPr>
          <w:p w:rsidR="00E95FB1" w:rsidRPr="00915913" w:rsidRDefault="00E95FB1" w:rsidP="001B3967">
            <w:pPr>
              <w:pStyle w:val="a7"/>
              <w:ind w:left="0"/>
              <w:rPr>
                <w:sz w:val="22"/>
                <w:lang w:val="uk-UA"/>
              </w:rPr>
            </w:pPr>
            <w:r w:rsidRPr="00915913">
              <w:rPr>
                <w:sz w:val="22"/>
                <w:lang w:val="uk-UA"/>
              </w:rPr>
              <w:t>Комфорт життя ЛЮДИНИ як безпека, екологічна сталість та  розумна енергетика. Екологічна сталість через знання та партнерства</w:t>
            </w:r>
          </w:p>
        </w:tc>
      </w:tr>
      <w:tr w:rsidR="00E95FB1" w:rsidRPr="00915913" w:rsidTr="001B3967">
        <w:tc>
          <w:tcPr>
            <w:tcW w:w="2750"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Назва проекту:</w:t>
            </w:r>
          </w:p>
        </w:tc>
        <w:tc>
          <w:tcPr>
            <w:tcW w:w="7138" w:type="dxa"/>
            <w:gridSpan w:val="7"/>
          </w:tcPr>
          <w:p w:rsidR="00E95FB1" w:rsidRPr="00915913" w:rsidRDefault="00E95FB1" w:rsidP="001B3967">
            <w:pPr>
              <w:pStyle w:val="a7"/>
              <w:ind w:left="0"/>
              <w:rPr>
                <w:sz w:val="22"/>
                <w:lang w:val="uk-UA"/>
              </w:rPr>
            </w:pPr>
            <w:r w:rsidRPr="00915913">
              <w:rPr>
                <w:sz w:val="22"/>
                <w:lang w:val="uk-UA"/>
              </w:rPr>
              <w:t>Придбання Напівавтоматичної лінії для виробництва будівельних матеріалів</w:t>
            </w:r>
          </w:p>
        </w:tc>
      </w:tr>
      <w:tr w:rsidR="00E95FB1" w:rsidRPr="00915913" w:rsidTr="001B3967">
        <w:tc>
          <w:tcPr>
            <w:tcW w:w="2750" w:type="dxa"/>
            <w:shd w:val="clear" w:color="auto" w:fill="C6D9F1" w:themeFill="text2" w:themeFillTint="33"/>
          </w:tcPr>
          <w:p w:rsidR="00E95FB1" w:rsidRPr="00915913" w:rsidRDefault="00E95FB1" w:rsidP="001B3967">
            <w:pPr>
              <w:rPr>
                <w:b/>
                <w:sz w:val="22"/>
                <w:lang w:val="uk-UA"/>
              </w:rPr>
            </w:pPr>
            <w:r w:rsidRPr="00915913">
              <w:rPr>
                <w:b/>
                <w:sz w:val="22"/>
                <w:lang w:val="uk-UA"/>
              </w:rPr>
              <w:t>Ціль проекту</w:t>
            </w:r>
          </w:p>
        </w:tc>
        <w:tc>
          <w:tcPr>
            <w:tcW w:w="7138" w:type="dxa"/>
            <w:gridSpan w:val="7"/>
          </w:tcPr>
          <w:p w:rsidR="00E95FB1" w:rsidRPr="00915913" w:rsidRDefault="00E95FB1" w:rsidP="005940CA">
            <w:pPr>
              <w:pStyle w:val="a7"/>
              <w:ind w:left="0"/>
              <w:rPr>
                <w:sz w:val="22"/>
                <w:lang w:val="uk-UA"/>
              </w:rPr>
            </w:pPr>
            <w:r w:rsidRPr="00915913">
              <w:rPr>
                <w:sz w:val="22"/>
                <w:lang w:val="uk-UA"/>
              </w:rPr>
              <w:t xml:space="preserve">Придбання </w:t>
            </w:r>
            <w:r w:rsidR="005940CA" w:rsidRPr="00915913">
              <w:rPr>
                <w:bCs/>
                <w:sz w:val="22"/>
                <w:szCs w:val="22"/>
                <w:lang w:val="uk-UA"/>
              </w:rPr>
              <w:t>н</w:t>
            </w:r>
            <w:r w:rsidRPr="00915913">
              <w:rPr>
                <w:bCs/>
                <w:sz w:val="22"/>
                <w:szCs w:val="22"/>
                <w:lang w:val="uk-UA"/>
              </w:rPr>
              <w:t>апівавтоматичної</w:t>
            </w:r>
            <w:r w:rsidRPr="00915913">
              <w:rPr>
                <w:sz w:val="22"/>
                <w:lang w:val="uk-UA"/>
              </w:rPr>
              <w:t xml:space="preserve"> лінії для виробництва будівельних матеріалів для ефективного та швидкого проведення ремонтних робіт, благоустрою громади та облаштуванню скверів, парків і </w:t>
            </w:r>
            <w:proofErr w:type="spellStart"/>
            <w:r w:rsidRPr="00915913">
              <w:rPr>
                <w:sz w:val="22"/>
                <w:lang w:val="uk-UA"/>
              </w:rPr>
              <w:t>т.п</w:t>
            </w:r>
            <w:proofErr w:type="spellEnd"/>
            <w:r w:rsidRPr="00915913">
              <w:rPr>
                <w:sz w:val="22"/>
                <w:lang w:val="uk-UA"/>
              </w:rPr>
              <w:t>.</w:t>
            </w:r>
          </w:p>
        </w:tc>
      </w:tr>
      <w:tr w:rsidR="00E95FB1" w:rsidRPr="00915913" w:rsidTr="001B3967">
        <w:tc>
          <w:tcPr>
            <w:tcW w:w="2750"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Територія, на яку матиме вплив реалізація проекту</w:t>
            </w:r>
          </w:p>
        </w:tc>
        <w:tc>
          <w:tcPr>
            <w:tcW w:w="7138" w:type="dxa"/>
            <w:gridSpan w:val="7"/>
          </w:tcPr>
          <w:p w:rsidR="00E95FB1" w:rsidRPr="00915913" w:rsidRDefault="00E95FB1" w:rsidP="001B3967">
            <w:pPr>
              <w:pStyle w:val="a7"/>
              <w:ind w:left="0"/>
              <w:rPr>
                <w:sz w:val="22"/>
                <w:lang w:val="uk-UA"/>
              </w:rPr>
            </w:pPr>
            <w:r w:rsidRPr="00915913">
              <w:rPr>
                <w:sz w:val="22"/>
                <w:lang w:val="uk-UA"/>
              </w:rPr>
              <w:t>Сєвєродонецька міська територіальна громада</w:t>
            </w:r>
          </w:p>
        </w:tc>
      </w:tr>
      <w:tr w:rsidR="00E95FB1" w:rsidRPr="00915913" w:rsidTr="001B3967">
        <w:tc>
          <w:tcPr>
            <w:tcW w:w="2750"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Чисельність населення, на яке матиме вплив реалізація проекту</w:t>
            </w:r>
          </w:p>
        </w:tc>
        <w:tc>
          <w:tcPr>
            <w:tcW w:w="7138" w:type="dxa"/>
            <w:gridSpan w:val="7"/>
          </w:tcPr>
          <w:p w:rsidR="00E95FB1" w:rsidRPr="00915913" w:rsidRDefault="00E95FB1" w:rsidP="001B3967">
            <w:pPr>
              <w:pStyle w:val="a7"/>
              <w:ind w:left="0"/>
              <w:rPr>
                <w:sz w:val="22"/>
                <w:lang w:val="uk-UA"/>
              </w:rPr>
            </w:pPr>
            <w:r w:rsidRPr="00915913">
              <w:rPr>
                <w:sz w:val="22"/>
                <w:lang w:val="uk-UA"/>
              </w:rPr>
              <w:t xml:space="preserve"> 70 000  осіб</w:t>
            </w:r>
          </w:p>
        </w:tc>
      </w:tr>
      <w:tr w:rsidR="00E95FB1" w:rsidRPr="00915913" w:rsidTr="001B3967">
        <w:tc>
          <w:tcPr>
            <w:tcW w:w="2750" w:type="dxa"/>
            <w:shd w:val="clear" w:color="auto" w:fill="C6D9F1" w:themeFill="text2" w:themeFillTint="33"/>
          </w:tcPr>
          <w:p w:rsidR="00E95FB1" w:rsidRPr="00915913" w:rsidRDefault="00E95FB1" w:rsidP="001B3967">
            <w:pPr>
              <w:rPr>
                <w:b/>
                <w:sz w:val="22"/>
                <w:lang w:val="uk-UA"/>
              </w:rPr>
            </w:pPr>
            <w:r w:rsidRPr="00915913">
              <w:rPr>
                <w:b/>
                <w:sz w:val="22"/>
                <w:lang w:val="uk-UA"/>
              </w:rPr>
              <w:t>Опис проблеми, на вирішення якої  спрямований проект</w:t>
            </w:r>
          </w:p>
        </w:tc>
        <w:tc>
          <w:tcPr>
            <w:tcW w:w="7138" w:type="dxa"/>
            <w:gridSpan w:val="7"/>
          </w:tcPr>
          <w:p w:rsidR="00E95FB1" w:rsidRPr="00915913" w:rsidRDefault="00E95FB1" w:rsidP="001B3967">
            <w:pPr>
              <w:rPr>
                <w:sz w:val="22"/>
                <w:lang w:val="uk-UA"/>
              </w:rPr>
            </w:pPr>
            <w:r w:rsidRPr="00915913">
              <w:rPr>
                <w:sz w:val="22"/>
                <w:lang w:val="uk-UA"/>
              </w:rPr>
              <w:t xml:space="preserve">Через військову агресію РФ територія Сєвєродонецької міської територіальної громади зазнала значних пошкоджень.  Після бойових дій на території міста Сєвєродонецьк велика площа </w:t>
            </w:r>
            <w:proofErr w:type="spellStart"/>
            <w:r w:rsidRPr="00915913">
              <w:rPr>
                <w:sz w:val="22"/>
                <w:lang w:val="uk-UA"/>
              </w:rPr>
              <w:t>пішоходного</w:t>
            </w:r>
            <w:proofErr w:type="spellEnd"/>
            <w:r w:rsidRPr="00915913">
              <w:rPr>
                <w:sz w:val="22"/>
                <w:lang w:val="uk-UA"/>
              </w:rPr>
              <w:t xml:space="preserve"> покриття, доріжок, тротуарів була зруйнована.</w:t>
            </w:r>
          </w:p>
        </w:tc>
      </w:tr>
      <w:tr w:rsidR="00E95FB1" w:rsidRPr="00915913" w:rsidTr="001B3967">
        <w:tc>
          <w:tcPr>
            <w:tcW w:w="2750"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Очікувані якісні результати від реалізації проекту</w:t>
            </w:r>
          </w:p>
        </w:tc>
        <w:tc>
          <w:tcPr>
            <w:tcW w:w="7138" w:type="dxa"/>
            <w:gridSpan w:val="7"/>
          </w:tcPr>
          <w:p w:rsidR="00E95FB1" w:rsidRPr="00915913" w:rsidRDefault="00E95FB1" w:rsidP="001B3967">
            <w:pPr>
              <w:pStyle w:val="a7"/>
              <w:ind w:left="0"/>
              <w:rPr>
                <w:sz w:val="22"/>
                <w:lang w:val="uk-UA"/>
              </w:rPr>
            </w:pPr>
            <w:r w:rsidRPr="00915913">
              <w:rPr>
                <w:sz w:val="22"/>
                <w:lang w:val="uk-UA"/>
              </w:rPr>
              <w:t xml:space="preserve">- відновлення міста та селищ громади після </w:t>
            </w:r>
            <w:proofErr w:type="spellStart"/>
            <w:r w:rsidRPr="00915913">
              <w:rPr>
                <w:sz w:val="22"/>
                <w:lang w:val="uk-UA"/>
              </w:rPr>
              <w:t>деокупації</w:t>
            </w:r>
            <w:proofErr w:type="spellEnd"/>
          </w:p>
          <w:p w:rsidR="00E95FB1" w:rsidRPr="00915913" w:rsidRDefault="00E95FB1" w:rsidP="001B3967">
            <w:pPr>
              <w:pStyle w:val="a7"/>
              <w:ind w:left="0"/>
              <w:rPr>
                <w:sz w:val="22"/>
                <w:lang w:val="uk-UA"/>
              </w:rPr>
            </w:pPr>
            <w:r w:rsidRPr="00915913">
              <w:rPr>
                <w:sz w:val="22"/>
                <w:lang w:val="uk-UA"/>
              </w:rPr>
              <w:t>- створення нових робочих місць;</w:t>
            </w:r>
          </w:p>
          <w:p w:rsidR="00E95FB1" w:rsidRPr="00915913" w:rsidRDefault="00E95FB1" w:rsidP="001B3967">
            <w:pPr>
              <w:pStyle w:val="a7"/>
              <w:ind w:left="0"/>
              <w:rPr>
                <w:sz w:val="22"/>
                <w:lang w:val="uk-UA"/>
              </w:rPr>
            </w:pPr>
            <w:r w:rsidRPr="00915913">
              <w:rPr>
                <w:sz w:val="22"/>
                <w:lang w:val="uk-UA"/>
              </w:rPr>
              <w:t>- стимул до повернення ВПО до громади;</w:t>
            </w:r>
          </w:p>
        </w:tc>
      </w:tr>
      <w:tr w:rsidR="00E95FB1" w:rsidRPr="00915913" w:rsidTr="001B3967">
        <w:trPr>
          <w:trHeight w:val="390"/>
        </w:trPr>
        <w:tc>
          <w:tcPr>
            <w:tcW w:w="2750" w:type="dxa"/>
            <w:vMerge w:val="restart"/>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 xml:space="preserve">Очікувані кількісні результати реалізації </w:t>
            </w:r>
            <w:proofErr w:type="spellStart"/>
            <w:r w:rsidRPr="00915913">
              <w:rPr>
                <w:b/>
                <w:sz w:val="22"/>
                <w:lang w:val="uk-UA"/>
              </w:rPr>
              <w:t>проєкту</w:t>
            </w:r>
            <w:proofErr w:type="spellEnd"/>
            <w:r w:rsidRPr="00915913">
              <w:rPr>
                <w:b/>
                <w:sz w:val="22"/>
                <w:lang w:val="uk-UA"/>
              </w:rPr>
              <w:t xml:space="preserve"> (індикатори)</w:t>
            </w:r>
          </w:p>
          <w:p w:rsidR="00E95FB1" w:rsidRPr="00915913" w:rsidRDefault="00E95FB1" w:rsidP="001B3967">
            <w:pPr>
              <w:pStyle w:val="a7"/>
              <w:ind w:left="0"/>
              <w:rPr>
                <w:b/>
                <w:sz w:val="22"/>
                <w:lang w:val="uk-UA"/>
              </w:rPr>
            </w:pPr>
          </w:p>
        </w:tc>
        <w:tc>
          <w:tcPr>
            <w:tcW w:w="3204" w:type="dxa"/>
            <w:gridSpan w:val="3"/>
            <w:tcBorders>
              <w:bottom w:val="single" w:sz="4" w:space="0" w:color="auto"/>
              <w:right w:val="single" w:sz="4" w:space="0" w:color="auto"/>
            </w:tcBorders>
          </w:tcPr>
          <w:p w:rsidR="00E95FB1" w:rsidRPr="00915913" w:rsidRDefault="00E95FB1" w:rsidP="001B3967">
            <w:pPr>
              <w:pStyle w:val="a7"/>
              <w:ind w:left="-108"/>
              <w:jc w:val="center"/>
              <w:rPr>
                <w:b/>
                <w:sz w:val="22"/>
                <w:lang w:val="uk-UA"/>
              </w:rPr>
            </w:pPr>
            <w:r w:rsidRPr="00915913">
              <w:rPr>
                <w:b/>
                <w:sz w:val="22"/>
                <w:lang w:val="uk-UA"/>
              </w:rPr>
              <w:t>Найменування показника</w:t>
            </w:r>
          </w:p>
        </w:tc>
        <w:tc>
          <w:tcPr>
            <w:tcW w:w="1985" w:type="dxa"/>
            <w:gridSpan w:val="2"/>
            <w:tcBorders>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Одиниця вимірювання</w:t>
            </w:r>
          </w:p>
          <w:p w:rsidR="00E95FB1" w:rsidRPr="00915913" w:rsidRDefault="00E95FB1" w:rsidP="001B3967">
            <w:pPr>
              <w:pStyle w:val="a7"/>
              <w:ind w:left="0"/>
              <w:rPr>
                <w:b/>
                <w:sz w:val="22"/>
                <w:lang w:val="uk-UA"/>
              </w:rPr>
            </w:pPr>
          </w:p>
        </w:tc>
        <w:tc>
          <w:tcPr>
            <w:tcW w:w="1949" w:type="dxa"/>
            <w:gridSpan w:val="2"/>
            <w:tcBorders>
              <w:left w:val="single" w:sz="4" w:space="0" w:color="auto"/>
              <w:bottom w:val="single" w:sz="4" w:space="0" w:color="auto"/>
            </w:tcBorders>
          </w:tcPr>
          <w:p w:rsidR="00E95FB1" w:rsidRPr="00915913" w:rsidRDefault="00E95FB1" w:rsidP="001B3967">
            <w:pPr>
              <w:pStyle w:val="a7"/>
              <w:ind w:left="0"/>
              <w:jc w:val="center"/>
              <w:rPr>
                <w:b/>
                <w:sz w:val="22"/>
                <w:lang w:val="uk-UA"/>
              </w:rPr>
            </w:pPr>
            <w:r w:rsidRPr="00915913">
              <w:rPr>
                <w:b/>
                <w:sz w:val="22"/>
                <w:lang w:val="uk-UA"/>
              </w:rPr>
              <w:t>Прогнозне (цільове) значення</w:t>
            </w:r>
          </w:p>
        </w:tc>
      </w:tr>
      <w:tr w:rsidR="00E95FB1" w:rsidRPr="00915913" w:rsidTr="001B3967">
        <w:trPr>
          <w:trHeight w:val="585"/>
        </w:trPr>
        <w:tc>
          <w:tcPr>
            <w:tcW w:w="2750" w:type="dxa"/>
            <w:vMerge/>
            <w:shd w:val="clear" w:color="auto" w:fill="C6D9F1" w:themeFill="text2" w:themeFillTint="33"/>
          </w:tcPr>
          <w:p w:rsidR="00E95FB1" w:rsidRPr="00915913" w:rsidRDefault="00E95FB1" w:rsidP="001B3967">
            <w:pPr>
              <w:pStyle w:val="a7"/>
              <w:ind w:left="0"/>
              <w:rPr>
                <w:b/>
                <w:sz w:val="22"/>
                <w:lang w:val="uk-UA"/>
              </w:rPr>
            </w:pPr>
          </w:p>
        </w:tc>
        <w:tc>
          <w:tcPr>
            <w:tcW w:w="3204" w:type="dxa"/>
            <w:gridSpan w:val="3"/>
            <w:tcBorders>
              <w:top w:val="single" w:sz="4" w:space="0" w:color="auto"/>
              <w:bottom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Напівавтоматична лінія для виробництва будівельних матеріалів</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E95FB1" w:rsidRPr="00915913" w:rsidRDefault="00E95FB1" w:rsidP="001B3967">
            <w:pPr>
              <w:pStyle w:val="a7"/>
              <w:ind w:left="0"/>
              <w:jc w:val="center"/>
              <w:rPr>
                <w:sz w:val="22"/>
                <w:lang w:val="uk-UA"/>
              </w:rPr>
            </w:pPr>
            <w:r w:rsidRPr="00915913">
              <w:rPr>
                <w:sz w:val="22"/>
                <w:lang w:val="uk-UA"/>
              </w:rPr>
              <w:t>одиниця</w:t>
            </w:r>
          </w:p>
        </w:tc>
        <w:tc>
          <w:tcPr>
            <w:tcW w:w="1949" w:type="dxa"/>
            <w:gridSpan w:val="2"/>
            <w:tcBorders>
              <w:top w:val="single" w:sz="4" w:space="0" w:color="auto"/>
              <w:left w:val="single" w:sz="4" w:space="0" w:color="auto"/>
              <w:bottom w:val="single" w:sz="4" w:space="0" w:color="auto"/>
            </w:tcBorders>
          </w:tcPr>
          <w:p w:rsidR="00E95FB1" w:rsidRPr="00915913" w:rsidRDefault="00E95FB1" w:rsidP="001B3967">
            <w:pPr>
              <w:pStyle w:val="a7"/>
              <w:ind w:left="0"/>
              <w:jc w:val="center"/>
              <w:rPr>
                <w:b/>
                <w:sz w:val="22"/>
                <w:lang w:val="uk-UA"/>
              </w:rPr>
            </w:pPr>
          </w:p>
          <w:p w:rsidR="00E95FB1" w:rsidRPr="00915913" w:rsidRDefault="00E95FB1" w:rsidP="001B3967">
            <w:pPr>
              <w:pStyle w:val="a7"/>
              <w:ind w:left="0"/>
              <w:jc w:val="center"/>
              <w:rPr>
                <w:sz w:val="22"/>
                <w:lang w:val="uk-UA"/>
              </w:rPr>
            </w:pPr>
            <w:r w:rsidRPr="00915913">
              <w:rPr>
                <w:sz w:val="22"/>
                <w:lang w:val="uk-UA"/>
              </w:rPr>
              <w:t>1</w:t>
            </w:r>
          </w:p>
        </w:tc>
      </w:tr>
      <w:tr w:rsidR="00E95FB1" w:rsidRPr="00915913" w:rsidTr="001B3967">
        <w:tc>
          <w:tcPr>
            <w:tcW w:w="2750" w:type="dxa"/>
            <w:shd w:val="clear" w:color="auto" w:fill="C6D9F1" w:themeFill="text2" w:themeFillTint="33"/>
          </w:tcPr>
          <w:p w:rsidR="00E95FB1" w:rsidRPr="00915913" w:rsidRDefault="00E95FB1" w:rsidP="001B3967">
            <w:pPr>
              <w:rPr>
                <w:b/>
                <w:sz w:val="22"/>
                <w:lang w:val="uk-UA"/>
              </w:rPr>
            </w:pPr>
            <w:r w:rsidRPr="00915913">
              <w:rPr>
                <w:b/>
                <w:sz w:val="22"/>
                <w:lang w:val="uk-UA"/>
              </w:rPr>
              <w:t xml:space="preserve">Ключові заходи проекту: </w:t>
            </w:r>
          </w:p>
          <w:p w:rsidR="00E95FB1" w:rsidRPr="00915913" w:rsidRDefault="00E95FB1" w:rsidP="001B3967">
            <w:pPr>
              <w:pStyle w:val="a7"/>
              <w:ind w:left="0"/>
              <w:rPr>
                <w:b/>
                <w:sz w:val="22"/>
                <w:lang w:val="uk-UA"/>
              </w:rPr>
            </w:pPr>
          </w:p>
        </w:tc>
        <w:tc>
          <w:tcPr>
            <w:tcW w:w="7138" w:type="dxa"/>
            <w:gridSpan w:val="7"/>
          </w:tcPr>
          <w:p w:rsidR="00E95FB1" w:rsidRPr="00915913" w:rsidRDefault="00E95FB1" w:rsidP="00A508E8">
            <w:pPr>
              <w:numPr>
                <w:ilvl w:val="0"/>
                <w:numId w:val="20"/>
              </w:numPr>
              <w:tabs>
                <w:tab w:val="left" w:pos="228"/>
              </w:tabs>
              <w:ind w:left="0" w:firstLine="0"/>
              <w:rPr>
                <w:sz w:val="22"/>
                <w:lang w:val="uk-UA"/>
              </w:rPr>
            </w:pPr>
            <w:r w:rsidRPr="00915913">
              <w:rPr>
                <w:sz w:val="22"/>
                <w:lang w:val="uk-UA"/>
              </w:rPr>
              <w:t xml:space="preserve">Утворення робочої групи </w:t>
            </w:r>
            <w:proofErr w:type="spellStart"/>
            <w:r w:rsidRPr="00915913">
              <w:rPr>
                <w:sz w:val="22"/>
                <w:lang w:val="uk-UA"/>
              </w:rPr>
              <w:t>проєкту</w:t>
            </w:r>
            <w:proofErr w:type="spellEnd"/>
            <w:r w:rsidRPr="00915913">
              <w:rPr>
                <w:sz w:val="22"/>
                <w:lang w:val="uk-UA"/>
              </w:rPr>
              <w:t>.</w:t>
            </w:r>
          </w:p>
          <w:p w:rsidR="00E95FB1" w:rsidRPr="00915913" w:rsidRDefault="00E95FB1" w:rsidP="00A508E8">
            <w:pPr>
              <w:numPr>
                <w:ilvl w:val="0"/>
                <w:numId w:val="20"/>
              </w:numPr>
              <w:tabs>
                <w:tab w:val="left" w:pos="228"/>
              </w:tabs>
              <w:ind w:left="0" w:firstLine="0"/>
              <w:rPr>
                <w:sz w:val="22"/>
                <w:lang w:val="uk-UA"/>
              </w:rPr>
            </w:pPr>
            <w:r w:rsidRPr="00915913">
              <w:rPr>
                <w:sz w:val="22"/>
                <w:lang w:val="uk-UA"/>
              </w:rPr>
              <w:t>Проведення тендерних торгів.</w:t>
            </w:r>
          </w:p>
          <w:p w:rsidR="00E95FB1" w:rsidRPr="00915913" w:rsidRDefault="00E95FB1" w:rsidP="001B3967">
            <w:pPr>
              <w:rPr>
                <w:sz w:val="22"/>
                <w:lang w:val="uk-UA"/>
              </w:rPr>
            </w:pPr>
            <w:r w:rsidRPr="00915913">
              <w:rPr>
                <w:sz w:val="22"/>
                <w:lang w:val="uk-UA"/>
              </w:rPr>
              <w:t xml:space="preserve">3. Укладення договорів з підрядною організацією на проведення </w:t>
            </w:r>
            <w:proofErr w:type="spellStart"/>
            <w:r w:rsidRPr="00915913">
              <w:rPr>
                <w:sz w:val="22"/>
                <w:lang w:val="uk-UA"/>
              </w:rPr>
              <w:t>проєктних</w:t>
            </w:r>
            <w:proofErr w:type="spellEnd"/>
            <w:r w:rsidRPr="00915913">
              <w:rPr>
                <w:sz w:val="22"/>
                <w:lang w:val="uk-UA"/>
              </w:rPr>
              <w:t>, монтажних, налагоджувальних та випробувальних робіт.</w:t>
            </w:r>
          </w:p>
          <w:p w:rsidR="00E95FB1" w:rsidRPr="00915913" w:rsidRDefault="00E95FB1" w:rsidP="001B3967">
            <w:pPr>
              <w:rPr>
                <w:rStyle w:val="hps"/>
                <w:sz w:val="22"/>
                <w:lang w:val="uk-UA"/>
              </w:rPr>
            </w:pPr>
            <w:r w:rsidRPr="00915913">
              <w:rPr>
                <w:sz w:val="22"/>
                <w:lang w:val="uk-UA"/>
              </w:rPr>
              <w:t xml:space="preserve">4. Виконання та погодження  робочого </w:t>
            </w:r>
            <w:proofErr w:type="spellStart"/>
            <w:r w:rsidRPr="00915913">
              <w:rPr>
                <w:sz w:val="22"/>
                <w:lang w:val="uk-UA"/>
              </w:rPr>
              <w:t>проєкту</w:t>
            </w:r>
            <w:proofErr w:type="spellEnd"/>
            <w:r w:rsidRPr="00915913">
              <w:rPr>
                <w:sz w:val="22"/>
                <w:lang w:val="uk-UA"/>
              </w:rPr>
              <w:t>.</w:t>
            </w:r>
          </w:p>
          <w:p w:rsidR="00E95FB1" w:rsidRPr="00915913" w:rsidRDefault="00E95FB1" w:rsidP="001B3967">
            <w:pPr>
              <w:tabs>
                <w:tab w:val="left" w:pos="348"/>
              </w:tabs>
              <w:rPr>
                <w:sz w:val="22"/>
                <w:lang w:val="uk-UA"/>
              </w:rPr>
            </w:pPr>
            <w:r w:rsidRPr="00915913">
              <w:rPr>
                <w:sz w:val="22"/>
                <w:lang w:val="uk-UA"/>
              </w:rPr>
              <w:t>5. Виконання монтажних робіт.</w:t>
            </w:r>
          </w:p>
          <w:p w:rsidR="00E95FB1" w:rsidRPr="00915913" w:rsidRDefault="00E95FB1" w:rsidP="001B3967">
            <w:pPr>
              <w:keepLines/>
              <w:autoSpaceDE w:val="0"/>
              <w:autoSpaceDN w:val="0"/>
              <w:rPr>
                <w:spacing w:val="-3"/>
                <w:sz w:val="22"/>
                <w:lang w:val="uk-UA"/>
              </w:rPr>
            </w:pPr>
            <w:r w:rsidRPr="00915913">
              <w:rPr>
                <w:spacing w:val="-3"/>
                <w:sz w:val="22"/>
                <w:lang w:val="uk-UA"/>
              </w:rPr>
              <w:t>6. Налагоджувальні та випробувальні роботи.</w:t>
            </w:r>
          </w:p>
          <w:p w:rsidR="00E95FB1" w:rsidRPr="00915913" w:rsidRDefault="00E95FB1" w:rsidP="001B3967">
            <w:pPr>
              <w:pStyle w:val="a7"/>
              <w:ind w:left="0"/>
              <w:rPr>
                <w:sz w:val="22"/>
                <w:lang w:val="uk-UA"/>
              </w:rPr>
            </w:pPr>
            <w:r w:rsidRPr="00915913">
              <w:rPr>
                <w:sz w:val="22"/>
                <w:lang w:val="uk-UA"/>
              </w:rPr>
              <w:t xml:space="preserve">7. Введення </w:t>
            </w:r>
            <w:r w:rsidRPr="00915913">
              <w:rPr>
                <w:rStyle w:val="hps"/>
                <w:sz w:val="22"/>
                <w:lang w:val="uk-UA"/>
              </w:rPr>
              <w:t xml:space="preserve">лінії </w:t>
            </w:r>
            <w:r w:rsidRPr="00915913">
              <w:rPr>
                <w:sz w:val="22"/>
                <w:lang w:val="uk-UA"/>
              </w:rPr>
              <w:t xml:space="preserve"> в експлуатацію.</w:t>
            </w:r>
          </w:p>
        </w:tc>
      </w:tr>
      <w:tr w:rsidR="00E95FB1" w:rsidRPr="00915913" w:rsidTr="001B3967">
        <w:trPr>
          <w:trHeight w:val="360"/>
        </w:trPr>
        <w:tc>
          <w:tcPr>
            <w:tcW w:w="2750" w:type="dxa"/>
            <w:vMerge w:val="restart"/>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 xml:space="preserve">Орієнтовний обсяг та джерела фінансування, тис. грн. </w:t>
            </w:r>
          </w:p>
          <w:p w:rsidR="00E95FB1" w:rsidRPr="00915913" w:rsidRDefault="00E95FB1" w:rsidP="001B3967">
            <w:pPr>
              <w:pStyle w:val="a7"/>
              <w:ind w:left="0"/>
              <w:rPr>
                <w:b/>
                <w:sz w:val="22"/>
                <w:lang w:val="uk-UA"/>
              </w:rPr>
            </w:pPr>
          </w:p>
        </w:tc>
        <w:tc>
          <w:tcPr>
            <w:tcW w:w="1695" w:type="dxa"/>
            <w:tcBorders>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Державний бюджет</w:t>
            </w:r>
          </w:p>
        </w:tc>
        <w:tc>
          <w:tcPr>
            <w:tcW w:w="1271" w:type="dxa"/>
            <w:tcBorders>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Місцевий бюджет</w:t>
            </w:r>
          </w:p>
        </w:tc>
        <w:tc>
          <w:tcPr>
            <w:tcW w:w="2837" w:type="dxa"/>
            <w:gridSpan w:val="4"/>
            <w:tcBorders>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Інші джерела</w:t>
            </w:r>
          </w:p>
        </w:tc>
        <w:tc>
          <w:tcPr>
            <w:tcW w:w="1335" w:type="dxa"/>
            <w:tcBorders>
              <w:left w:val="single" w:sz="4" w:space="0" w:color="auto"/>
              <w:bottom w:val="single" w:sz="4" w:space="0" w:color="auto"/>
            </w:tcBorders>
          </w:tcPr>
          <w:p w:rsidR="00E95FB1" w:rsidRPr="00915913" w:rsidRDefault="00E95FB1" w:rsidP="001B3967">
            <w:pPr>
              <w:pStyle w:val="a7"/>
              <w:ind w:left="0"/>
              <w:jc w:val="center"/>
              <w:rPr>
                <w:b/>
                <w:sz w:val="22"/>
                <w:lang w:val="uk-UA"/>
              </w:rPr>
            </w:pPr>
            <w:r w:rsidRPr="00915913">
              <w:rPr>
                <w:b/>
                <w:sz w:val="22"/>
                <w:lang w:val="uk-UA"/>
              </w:rPr>
              <w:t>Всього</w:t>
            </w:r>
          </w:p>
        </w:tc>
      </w:tr>
      <w:tr w:rsidR="00E95FB1" w:rsidRPr="00915913" w:rsidTr="001B3967">
        <w:trPr>
          <w:trHeight w:val="225"/>
        </w:trPr>
        <w:tc>
          <w:tcPr>
            <w:tcW w:w="2750" w:type="dxa"/>
            <w:vMerge/>
            <w:shd w:val="clear" w:color="auto" w:fill="C6D9F1" w:themeFill="text2" w:themeFillTint="33"/>
          </w:tcPr>
          <w:p w:rsidR="00E95FB1" w:rsidRPr="00915913" w:rsidRDefault="00E95FB1" w:rsidP="001B3967">
            <w:pPr>
              <w:pStyle w:val="a7"/>
              <w:ind w:left="0"/>
              <w:rPr>
                <w:b/>
                <w:sz w:val="22"/>
                <w:lang w:val="uk-UA"/>
              </w:rPr>
            </w:pPr>
          </w:p>
        </w:tc>
        <w:tc>
          <w:tcPr>
            <w:tcW w:w="1695" w:type="dxa"/>
            <w:vMerge w:val="restart"/>
            <w:tcBorders>
              <w:top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996,8</w:t>
            </w:r>
          </w:p>
        </w:tc>
        <w:tc>
          <w:tcPr>
            <w:tcW w:w="1271" w:type="dxa"/>
            <w:vMerge w:val="restart"/>
            <w:tcBorders>
              <w:top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w:t>
            </w:r>
          </w:p>
        </w:tc>
        <w:tc>
          <w:tcPr>
            <w:tcW w:w="1382" w:type="dxa"/>
            <w:gridSpan w:val="2"/>
            <w:tcBorders>
              <w:top w:val="single" w:sz="4" w:space="0" w:color="auto"/>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Обсяг</w:t>
            </w:r>
          </w:p>
        </w:tc>
        <w:tc>
          <w:tcPr>
            <w:tcW w:w="1455" w:type="dxa"/>
            <w:gridSpan w:val="2"/>
            <w:tcBorders>
              <w:top w:val="single" w:sz="4" w:space="0" w:color="auto"/>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Назва джерела</w:t>
            </w:r>
          </w:p>
        </w:tc>
        <w:tc>
          <w:tcPr>
            <w:tcW w:w="1335" w:type="dxa"/>
            <w:vMerge w:val="restart"/>
            <w:tcBorders>
              <w:top w:val="single" w:sz="4" w:space="0" w:color="auto"/>
              <w:left w:val="single" w:sz="4" w:space="0" w:color="auto"/>
            </w:tcBorders>
          </w:tcPr>
          <w:p w:rsidR="00E95FB1" w:rsidRPr="00915913" w:rsidRDefault="00E95FB1" w:rsidP="001B3967">
            <w:pPr>
              <w:pStyle w:val="a7"/>
              <w:ind w:left="0"/>
              <w:jc w:val="center"/>
              <w:rPr>
                <w:sz w:val="22"/>
                <w:lang w:val="uk-UA"/>
              </w:rPr>
            </w:pPr>
            <w:r w:rsidRPr="00915913">
              <w:rPr>
                <w:sz w:val="22"/>
                <w:lang w:val="uk-UA"/>
              </w:rPr>
              <w:t>1 424,00</w:t>
            </w:r>
          </w:p>
        </w:tc>
      </w:tr>
      <w:tr w:rsidR="00E95FB1" w:rsidRPr="00915913" w:rsidTr="001B3967">
        <w:trPr>
          <w:trHeight w:val="300"/>
        </w:trPr>
        <w:tc>
          <w:tcPr>
            <w:tcW w:w="2750" w:type="dxa"/>
            <w:vMerge/>
            <w:shd w:val="clear" w:color="auto" w:fill="C6D9F1" w:themeFill="text2" w:themeFillTint="33"/>
          </w:tcPr>
          <w:p w:rsidR="00E95FB1" w:rsidRPr="00915913" w:rsidRDefault="00E95FB1" w:rsidP="001B3967">
            <w:pPr>
              <w:pStyle w:val="a7"/>
              <w:ind w:left="0"/>
              <w:rPr>
                <w:b/>
                <w:sz w:val="22"/>
                <w:lang w:val="uk-UA"/>
              </w:rPr>
            </w:pPr>
          </w:p>
        </w:tc>
        <w:tc>
          <w:tcPr>
            <w:tcW w:w="1695" w:type="dxa"/>
            <w:vMerge/>
            <w:tcBorders>
              <w:right w:val="single" w:sz="4" w:space="0" w:color="auto"/>
            </w:tcBorders>
          </w:tcPr>
          <w:p w:rsidR="00E95FB1" w:rsidRPr="00915913" w:rsidRDefault="00E95FB1" w:rsidP="001B3967">
            <w:pPr>
              <w:pStyle w:val="a7"/>
              <w:ind w:left="0"/>
              <w:jc w:val="center"/>
              <w:rPr>
                <w:sz w:val="22"/>
                <w:lang w:val="uk-UA"/>
              </w:rPr>
            </w:pPr>
          </w:p>
        </w:tc>
        <w:tc>
          <w:tcPr>
            <w:tcW w:w="1271" w:type="dxa"/>
            <w:vMerge/>
            <w:tcBorders>
              <w:right w:val="single" w:sz="4" w:space="0" w:color="auto"/>
            </w:tcBorders>
          </w:tcPr>
          <w:p w:rsidR="00E95FB1" w:rsidRPr="00915913" w:rsidRDefault="00E95FB1" w:rsidP="001B3967">
            <w:pPr>
              <w:pStyle w:val="a7"/>
              <w:ind w:left="0"/>
              <w:jc w:val="center"/>
              <w:rPr>
                <w:b/>
                <w:sz w:val="22"/>
                <w:lang w:val="uk-UA"/>
              </w:rPr>
            </w:pPr>
          </w:p>
        </w:tc>
        <w:tc>
          <w:tcPr>
            <w:tcW w:w="1382" w:type="dxa"/>
            <w:gridSpan w:val="2"/>
            <w:tcBorders>
              <w:top w:val="single" w:sz="4" w:space="0" w:color="auto"/>
              <w:left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sz w:val="22"/>
                <w:lang w:val="uk-UA"/>
              </w:rPr>
              <w:t>427,2</w:t>
            </w:r>
          </w:p>
        </w:tc>
        <w:tc>
          <w:tcPr>
            <w:tcW w:w="1455" w:type="dxa"/>
            <w:gridSpan w:val="2"/>
            <w:tcBorders>
              <w:top w:val="single" w:sz="4" w:space="0" w:color="auto"/>
              <w:left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Міжнародні інвестиції, кошти приватних осіб</w:t>
            </w:r>
          </w:p>
        </w:tc>
        <w:tc>
          <w:tcPr>
            <w:tcW w:w="1335" w:type="dxa"/>
            <w:vMerge/>
            <w:tcBorders>
              <w:left w:val="single" w:sz="4" w:space="0" w:color="auto"/>
            </w:tcBorders>
          </w:tcPr>
          <w:p w:rsidR="00E95FB1" w:rsidRPr="00915913" w:rsidRDefault="00E95FB1" w:rsidP="001B3967">
            <w:pPr>
              <w:pStyle w:val="a7"/>
              <w:ind w:left="0"/>
              <w:jc w:val="center"/>
              <w:rPr>
                <w:sz w:val="22"/>
                <w:lang w:val="uk-UA"/>
              </w:rPr>
            </w:pPr>
          </w:p>
        </w:tc>
      </w:tr>
    </w:tbl>
    <w:p w:rsidR="00E95FB1" w:rsidRPr="00915913" w:rsidRDefault="00E95FB1" w:rsidP="00E95FB1">
      <w:pPr>
        <w:rPr>
          <w:sz w:val="22"/>
        </w:rPr>
      </w:pPr>
    </w:p>
    <w:p w:rsidR="00E95FB1" w:rsidRPr="00915913" w:rsidRDefault="00E95FB1" w:rsidP="00E95FB1">
      <w:pPr>
        <w:rPr>
          <w:sz w:val="22"/>
        </w:rPr>
      </w:pPr>
    </w:p>
    <w:p w:rsidR="00E95FB1" w:rsidRPr="00915913" w:rsidRDefault="00E95FB1" w:rsidP="00E95FB1">
      <w:pPr>
        <w:rPr>
          <w:sz w:val="22"/>
        </w:rPr>
      </w:pPr>
    </w:p>
    <w:p w:rsidR="00E95FB1" w:rsidRPr="00915913" w:rsidRDefault="00E95FB1" w:rsidP="00E95FB1">
      <w:pPr>
        <w:rPr>
          <w:sz w:val="22"/>
        </w:rPr>
      </w:pPr>
    </w:p>
    <w:tbl>
      <w:tblPr>
        <w:tblStyle w:val="af"/>
        <w:tblW w:w="0" w:type="auto"/>
        <w:tblInd w:w="-176" w:type="dxa"/>
        <w:tblLook w:val="04A0" w:firstRow="1" w:lastRow="0" w:firstColumn="1" w:lastColumn="0" w:noHBand="0" w:noVBand="1"/>
      </w:tblPr>
      <w:tblGrid>
        <w:gridCol w:w="2564"/>
        <w:gridCol w:w="1644"/>
        <w:gridCol w:w="1260"/>
        <w:gridCol w:w="1398"/>
        <w:gridCol w:w="748"/>
        <w:gridCol w:w="694"/>
        <w:gridCol w:w="1354"/>
      </w:tblGrid>
      <w:tr w:rsidR="00E95FB1" w:rsidRPr="00915913" w:rsidTr="001B3967">
        <w:tc>
          <w:tcPr>
            <w:tcW w:w="2694"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Оперативна ціль/завдання</w:t>
            </w:r>
          </w:p>
        </w:tc>
        <w:tc>
          <w:tcPr>
            <w:tcW w:w="7194" w:type="dxa"/>
            <w:gridSpan w:val="6"/>
            <w:shd w:val="clear" w:color="auto" w:fill="auto"/>
          </w:tcPr>
          <w:p w:rsidR="00E95FB1" w:rsidRPr="00915913" w:rsidRDefault="00E95FB1" w:rsidP="001B3967">
            <w:pPr>
              <w:pStyle w:val="a7"/>
              <w:ind w:left="0"/>
              <w:rPr>
                <w:sz w:val="22"/>
                <w:lang w:val="uk-UA"/>
              </w:rPr>
            </w:pPr>
            <w:r w:rsidRPr="00915913">
              <w:rPr>
                <w:sz w:val="22"/>
                <w:lang w:val="uk-UA"/>
              </w:rPr>
              <w:t>Комфорт життя ЛЮДИНИ як безпека, екологічна сталість та  розумна енергетика. Екологічна сталість через знання та партнерства</w:t>
            </w:r>
          </w:p>
        </w:tc>
      </w:tr>
      <w:tr w:rsidR="00E95FB1" w:rsidRPr="00915913" w:rsidTr="001B3967">
        <w:tc>
          <w:tcPr>
            <w:tcW w:w="2694"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Назва проекту:</w:t>
            </w:r>
          </w:p>
        </w:tc>
        <w:tc>
          <w:tcPr>
            <w:tcW w:w="7194" w:type="dxa"/>
            <w:gridSpan w:val="6"/>
          </w:tcPr>
          <w:p w:rsidR="00E95FB1" w:rsidRPr="00915913" w:rsidRDefault="00E95FB1" w:rsidP="001B3967">
            <w:pPr>
              <w:pStyle w:val="a7"/>
              <w:ind w:left="0"/>
              <w:rPr>
                <w:sz w:val="22"/>
                <w:lang w:val="uk-UA"/>
              </w:rPr>
            </w:pPr>
            <w:r w:rsidRPr="00915913">
              <w:rPr>
                <w:sz w:val="22"/>
                <w:lang w:val="uk-UA"/>
              </w:rPr>
              <w:t>Створення розплідника декоративних рослин</w:t>
            </w:r>
          </w:p>
        </w:tc>
      </w:tr>
      <w:tr w:rsidR="00E95FB1" w:rsidRPr="00915913" w:rsidTr="001B3967">
        <w:tc>
          <w:tcPr>
            <w:tcW w:w="2694" w:type="dxa"/>
            <w:shd w:val="clear" w:color="auto" w:fill="C6D9F1" w:themeFill="text2" w:themeFillTint="33"/>
          </w:tcPr>
          <w:p w:rsidR="00E95FB1" w:rsidRPr="00915913" w:rsidRDefault="00E95FB1" w:rsidP="001B3967">
            <w:pPr>
              <w:rPr>
                <w:b/>
                <w:sz w:val="22"/>
                <w:lang w:val="uk-UA"/>
              </w:rPr>
            </w:pPr>
            <w:r w:rsidRPr="00915913">
              <w:rPr>
                <w:b/>
                <w:sz w:val="22"/>
                <w:lang w:val="uk-UA"/>
              </w:rPr>
              <w:t>Ціль проекту</w:t>
            </w:r>
          </w:p>
        </w:tc>
        <w:tc>
          <w:tcPr>
            <w:tcW w:w="7194" w:type="dxa"/>
            <w:gridSpan w:val="6"/>
          </w:tcPr>
          <w:p w:rsidR="00E95FB1" w:rsidRPr="00915913" w:rsidRDefault="00E95FB1" w:rsidP="001B3967">
            <w:pPr>
              <w:pStyle w:val="a7"/>
              <w:ind w:left="0"/>
              <w:rPr>
                <w:sz w:val="22"/>
                <w:lang w:val="uk-UA"/>
              </w:rPr>
            </w:pPr>
            <w:r w:rsidRPr="00915913">
              <w:rPr>
                <w:sz w:val="22"/>
                <w:lang w:val="uk-UA"/>
              </w:rPr>
              <w:t>Створення розплідника декоративних рослин для озеленення та благоустрою громади</w:t>
            </w:r>
          </w:p>
        </w:tc>
      </w:tr>
      <w:tr w:rsidR="00E95FB1" w:rsidRPr="00915913" w:rsidTr="001B3967">
        <w:tc>
          <w:tcPr>
            <w:tcW w:w="2694"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Територія, на яку матиме вплив реалізація проекту</w:t>
            </w:r>
          </w:p>
        </w:tc>
        <w:tc>
          <w:tcPr>
            <w:tcW w:w="7194" w:type="dxa"/>
            <w:gridSpan w:val="6"/>
          </w:tcPr>
          <w:p w:rsidR="00E95FB1" w:rsidRPr="00915913" w:rsidRDefault="00E95FB1" w:rsidP="001B3967">
            <w:pPr>
              <w:pStyle w:val="a7"/>
              <w:ind w:left="0"/>
              <w:rPr>
                <w:sz w:val="22"/>
                <w:lang w:val="uk-UA"/>
              </w:rPr>
            </w:pPr>
            <w:r w:rsidRPr="00915913">
              <w:rPr>
                <w:sz w:val="22"/>
                <w:lang w:val="uk-UA"/>
              </w:rPr>
              <w:t>Сєвєродонецька міська територіальна громада</w:t>
            </w:r>
          </w:p>
        </w:tc>
      </w:tr>
      <w:tr w:rsidR="00E95FB1" w:rsidRPr="00915913" w:rsidTr="001B3967">
        <w:tc>
          <w:tcPr>
            <w:tcW w:w="2694"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Чисельність населення, на яке матиме вплив реалізація проекту</w:t>
            </w:r>
          </w:p>
        </w:tc>
        <w:tc>
          <w:tcPr>
            <w:tcW w:w="7194" w:type="dxa"/>
            <w:gridSpan w:val="6"/>
          </w:tcPr>
          <w:p w:rsidR="00E95FB1" w:rsidRPr="00915913" w:rsidRDefault="00E95FB1" w:rsidP="001B3967">
            <w:pPr>
              <w:pStyle w:val="a7"/>
              <w:ind w:left="0"/>
              <w:rPr>
                <w:sz w:val="22"/>
                <w:lang w:val="uk-UA"/>
              </w:rPr>
            </w:pPr>
            <w:r w:rsidRPr="00915913">
              <w:rPr>
                <w:sz w:val="22"/>
                <w:lang w:val="uk-UA"/>
              </w:rPr>
              <w:t xml:space="preserve"> 70 000  осіб</w:t>
            </w:r>
          </w:p>
        </w:tc>
      </w:tr>
      <w:tr w:rsidR="00E95FB1" w:rsidRPr="00915913" w:rsidTr="001B3967">
        <w:tc>
          <w:tcPr>
            <w:tcW w:w="2694" w:type="dxa"/>
            <w:shd w:val="clear" w:color="auto" w:fill="C6D9F1" w:themeFill="text2" w:themeFillTint="33"/>
          </w:tcPr>
          <w:p w:rsidR="00E95FB1" w:rsidRPr="00915913" w:rsidRDefault="00E95FB1" w:rsidP="001B3967">
            <w:pPr>
              <w:rPr>
                <w:b/>
                <w:sz w:val="22"/>
                <w:lang w:val="uk-UA"/>
              </w:rPr>
            </w:pPr>
            <w:r w:rsidRPr="00915913">
              <w:rPr>
                <w:b/>
                <w:sz w:val="22"/>
                <w:lang w:val="uk-UA"/>
              </w:rPr>
              <w:t>Опис проблеми, на вирішення якої  спрямований проект</w:t>
            </w:r>
          </w:p>
        </w:tc>
        <w:tc>
          <w:tcPr>
            <w:tcW w:w="7194" w:type="dxa"/>
            <w:gridSpan w:val="6"/>
          </w:tcPr>
          <w:p w:rsidR="00E95FB1" w:rsidRPr="00915913" w:rsidRDefault="00E95FB1" w:rsidP="001B3967">
            <w:pPr>
              <w:rPr>
                <w:sz w:val="22"/>
                <w:lang w:val="uk-UA"/>
              </w:rPr>
            </w:pPr>
            <w:r w:rsidRPr="00915913">
              <w:rPr>
                <w:sz w:val="22"/>
                <w:lang w:val="uk-UA"/>
              </w:rPr>
              <w:t>Через військову агресію РФ територія Сєвєродонецької міської територіальної громади зазнала значних пошкоджень.  Також постраждали зелені насадження в місті та громаді. Багато декоративних насаджень загинули. Для благоустрою зелених зон Сєвєродонецької громади необхідні рослини для посадки.</w:t>
            </w:r>
          </w:p>
        </w:tc>
      </w:tr>
      <w:tr w:rsidR="00E95FB1" w:rsidRPr="00915913" w:rsidTr="001B3967">
        <w:tc>
          <w:tcPr>
            <w:tcW w:w="2694"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Очікувані якісні результати від реалізації проекту</w:t>
            </w:r>
          </w:p>
        </w:tc>
        <w:tc>
          <w:tcPr>
            <w:tcW w:w="7194" w:type="dxa"/>
            <w:gridSpan w:val="6"/>
          </w:tcPr>
          <w:p w:rsidR="00E95FB1" w:rsidRPr="00915913" w:rsidRDefault="00E95FB1" w:rsidP="001B3967">
            <w:pPr>
              <w:pStyle w:val="a7"/>
              <w:ind w:left="0"/>
              <w:rPr>
                <w:sz w:val="22"/>
                <w:lang w:val="uk-UA"/>
              </w:rPr>
            </w:pPr>
            <w:r w:rsidRPr="00915913">
              <w:rPr>
                <w:sz w:val="22"/>
                <w:lang w:val="uk-UA"/>
              </w:rPr>
              <w:t xml:space="preserve">- відновлення міста та селищ громади після </w:t>
            </w:r>
            <w:proofErr w:type="spellStart"/>
            <w:r w:rsidRPr="00915913">
              <w:rPr>
                <w:sz w:val="22"/>
                <w:lang w:val="uk-UA"/>
              </w:rPr>
              <w:t>деокупації</w:t>
            </w:r>
            <w:proofErr w:type="spellEnd"/>
          </w:p>
          <w:p w:rsidR="00E95FB1" w:rsidRPr="00915913" w:rsidRDefault="00E95FB1" w:rsidP="001B3967">
            <w:pPr>
              <w:pStyle w:val="a7"/>
              <w:ind w:left="0"/>
              <w:rPr>
                <w:sz w:val="22"/>
                <w:lang w:val="uk-UA"/>
              </w:rPr>
            </w:pPr>
            <w:r w:rsidRPr="00915913">
              <w:rPr>
                <w:sz w:val="22"/>
                <w:lang w:val="uk-UA"/>
              </w:rPr>
              <w:t>- створення нових робочих місць;</w:t>
            </w:r>
          </w:p>
          <w:p w:rsidR="00E95FB1" w:rsidRPr="00915913" w:rsidRDefault="00E95FB1" w:rsidP="003A6888">
            <w:pPr>
              <w:pStyle w:val="a7"/>
              <w:ind w:left="0"/>
              <w:rPr>
                <w:sz w:val="22"/>
                <w:lang w:val="uk-UA"/>
              </w:rPr>
            </w:pPr>
            <w:r w:rsidRPr="00915913">
              <w:rPr>
                <w:sz w:val="22"/>
                <w:lang w:val="uk-UA"/>
              </w:rPr>
              <w:t>- стимул до повернення ВПО до громади</w:t>
            </w:r>
            <w:r w:rsidR="003A6888" w:rsidRPr="00915913">
              <w:rPr>
                <w:bCs/>
                <w:sz w:val="22"/>
                <w:szCs w:val="22"/>
                <w:lang w:val="uk-UA"/>
              </w:rPr>
              <w:t>.</w:t>
            </w:r>
          </w:p>
        </w:tc>
      </w:tr>
      <w:tr w:rsidR="00E95FB1" w:rsidRPr="00915913" w:rsidTr="001B3967">
        <w:trPr>
          <w:trHeight w:val="390"/>
        </w:trPr>
        <w:tc>
          <w:tcPr>
            <w:tcW w:w="2694" w:type="dxa"/>
            <w:vMerge w:val="restart"/>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 xml:space="preserve">Очікувані кількісні результати реалізації </w:t>
            </w:r>
            <w:proofErr w:type="spellStart"/>
            <w:r w:rsidRPr="00915913">
              <w:rPr>
                <w:b/>
                <w:sz w:val="22"/>
                <w:lang w:val="uk-UA"/>
              </w:rPr>
              <w:t>проєкту</w:t>
            </w:r>
            <w:proofErr w:type="spellEnd"/>
            <w:r w:rsidRPr="00915913">
              <w:rPr>
                <w:b/>
                <w:sz w:val="22"/>
                <w:lang w:val="uk-UA"/>
              </w:rPr>
              <w:t xml:space="preserve"> (індикатори)</w:t>
            </w:r>
          </w:p>
          <w:p w:rsidR="00E95FB1" w:rsidRPr="00915913" w:rsidRDefault="00E95FB1" w:rsidP="001B3967">
            <w:pPr>
              <w:pStyle w:val="a7"/>
              <w:ind w:left="0"/>
              <w:rPr>
                <w:b/>
                <w:sz w:val="22"/>
                <w:lang w:val="uk-UA"/>
              </w:rPr>
            </w:pPr>
          </w:p>
        </w:tc>
        <w:tc>
          <w:tcPr>
            <w:tcW w:w="2957" w:type="dxa"/>
            <w:gridSpan w:val="2"/>
            <w:tcBorders>
              <w:bottom w:val="single" w:sz="4" w:space="0" w:color="auto"/>
              <w:right w:val="single" w:sz="4" w:space="0" w:color="auto"/>
            </w:tcBorders>
          </w:tcPr>
          <w:p w:rsidR="00E95FB1" w:rsidRPr="00915913" w:rsidRDefault="00E95FB1" w:rsidP="001B3967">
            <w:pPr>
              <w:pStyle w:val="a7"/>
              <w:ind w:left="-108"/>
              <w:jc w:val="center"/>
              <w:rPr>
                <w:b/>
                <w:sz w:val="22"/>
                <w:lang w:val="uk-UA"/>
              </w:rPr>
            </w:pPr>
            <w:r w:rsidRPr="00915913">
              <w:rPr>
                <w:b/>
                <w:sz w:val="22"/>
                <w:lang w:val="uk-UA"/>
              </w:rPr>
              <w:t>Найменування показника</w:t>
            </w:r>
          </w:p>
        </w:tc>
        <w:tc>
          <w:tcPr>
            <w:tcW w:w="2146" w:type="dxa"/>
            <w:gridSpan w:val="2"/>
            <w:tcBorders>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Одиниця вимірювання</w:t>
            </w:r>
          </w:p>
          <w:p w:rsidR="00E95FB1" w:rsidRPr="00915913" w:rsidRDefault="00E95FB1" w:rsidP="001B3967">
            <w:pPr>
              <w:pStyle w:val="a7"/>
              <w:ind w:left="0"/>
              <w:rPr>
                <w:b/>
                <w:sz w:val="22"/>
                <w:lang w:val="uk-UA"/>
              </w:rPr>
            </w:pPr>
          </w:p>
        </w:tc>
        <w:tc>
          <w:tcPr>
            <w:tcW w:w="2091" w:type="dxa"/>
            <w:gridSpan w:val="2"/>
            <w:tcBorders>
              <w:left w:val="single" w:sz="4" w:space="0" w:color="auto"/>
              <w:bottom w:val="single" w:sz="4" w:space="0" w:color="auto"/>
            </w:tcBorders>
          </w:tcPr>
          <w:p w:rsidR="00E95FB1" w:rsidRPr="00915913" w:rsidRDefault="00E95FB1" w:rsidP="001B3967">
            <w:pPr>
              <w:pStyle w:val="a7"/>
              <w:ind w:left="0"/>
              <w:jc w:val="center"/>
              <w:rPr>
                <w:b/>
                <w:sz w:val="22"/>
                <w:lang w:val="uk-UA"/>
              </w:rPr>
            </w:pPr>
            <w:r w:rsidRPr="00915913">
              <w:rPr>
                <w:b/>
                <w:sz w:val="22"/>
                <w:lang w:val="uk-UA"/>
              </w:rPr>
              <w:t>Прогнозне (цільове) значення</w:t>
            </w:r>
          </w:p>
        </w:tc>
      </w:tr>
      <w:tr w:rsidR="00E95FB1" w:rsidRPr="00915913" w:rsidTr="001B3967">
        <w:trPr>
          <w:trHeight w:val="585"/>
        </w:trPr>
        <w:tc>
          <w:tcPr>
            <w:tcW w:w="2694" w:type="dxa"/>
            <w:vMerge/>
            <w:shd w:val="clear" w:color="auto" w:fill="C6D9F1" w:themeFill="text2" w:themeFillTint="33"/>
          </w:tcPr>
          <w:p w:rsidR="00E95FB1" w:rsidRPr="00915913" w:rsidRDefault="00E95FB1" w:rsidP="001B3967">
            <w:pPr>
              <w:pStyle w:val="a7"/>
              <w:ind w:left="0"/>
              <w:rPr>
                <w:b/>
                <w:sz w:val="22"/>
                <w:lang w:val="uk-UA"/>
              </w:rPr>
            </w:pPr>
          </w:p>
        </w:tc>
        <w:tc>
          <w:tcPr>
            <w:tcW w:w="2957" w:type="dxa"/>
            <w:gridSpan w:val="2"/>
            <w:tcBorders>
              <w:top w:val="single" w:sz="4" w:space="0" w:color="auto"/>
              <w:bottom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Розплідник</w:t>
            </w:r>
          </w:p>
        </w:tc>
        <w:tc>
          <w:tcPr>
            <w:tcW w:w="2146" w:type="dxa"/>
            <w:gridSpan w:val="2"/>
            <w:tcBorders>
              <w:top w:val="single" w:sz="4" w:space="0" w:color="auto"/>
              <w:left w:val="single" w:sz="4" w:space="0" w:color="auto"/>
              <w:bottom w:val="single" w:sz="4" w:space="0" w:color="auto"/>
              <w:right w:val="single" w:sz="4" w:space="0" w:color="auto"/>
            </w:tcBorders>
            <w:vAlign w:val="center"/>
          </w:tcPr>
          <w:p w:rsidR="00E95FB1" w:rsidRPr="00915913" w:rsidRDefault="00E95FB1" w:rsidP="001B3967">
            <w:pPr>
              <w:pStyle w:val="a7"/>
              <w:ind w:left="0"/>
              <w:jc w:val="center"/>
              <w:rPr>
                <w:sz w:val="22"/>
                <w:lang w:val="uk-UA"/>
              </w:rPr>
            </w:pPr>
            <w:r w:rsidRPr="00915913">
              <w:rPr>
                <w:sz w:val="22"/>
                <w:lang w:val="uk-UA"/>
              </w:rPr>
              <w:t>одиниця</w:t>
            </w:r>
          </w:p>
        </w:tc>
        <w:tc>
          <w:tcPr>
            <w:tcW w:w="2091" w:type="dxa"/>
            <w:gridSpan w:val="2"/>
            <w:tcBorders>
              <w:top w:val="single" w:sz="4" w:space="0" w:color="auto"/>
              <w:left w:val="single" w:sz="4" w:space="0" w:color="auto"/>
              <w:bottom w:val="single" w:sz="4" w:space="0" w:color="auto"/>
            </w:tcBorders>
          </w:tcPr>
          <w:p w:rsidR="00E95FB1" w:rsidRPr="00915913" w:rsidRDefault="00E95FB1" w:rsidP="001B3967">
            <w:pPr>
              <w:pStyle w:val="a7"/>
              <w:ind w:left="0"/>
              <w:jc w:val="center"/>
              <w:rPr>
                <w:b/>
                <w:sz w:val="22"/>
                <w:lang w:val="uk-UA"/>
              </w:rPr>
            </w:pPr>
          </w:p>
          <w:p w:rsidR="00E95FB1" w:rsidRPr="00915913" w:rsidRDefault="00E95FB1" w:rsidP="001B3967">
            <w:pPr>
              <w:pStyle w:val="a7"/>
              <w:ind w:left="0"/>
              <w:jc w:val="center"/>
              <w:rPr>
                <w:sz w:val="22"/>
                <w:lang w:val="uk-UA"/>
              </w:rPr>
            </w:pPr>
            <w:r w:rsidRPr="00915913">
              <w:rPr>
                <w:sz w:val="22"/>
                <w:lang w:val="uk-UA"/>
              </w:rPr>
              <w:t>1</w:t>
            </w:r>
          </w:p>
        </w:tc>
      </w:tr>
      <w:tr w:rsidR="00E95FB1" w:rsidRPr="00915913" w:rsidTr="001B3967">
        <w:tc>
          <w:tcPr>
            <w:tcW w:w="2694" w:type="dxa"/>
            <w:shd w:val="clear" w:color="auto" w:fill="C6D9F1" w:themeFill="text2" w:themeFillTint="33"/>
          </w:tcPr>
          <w:p w:rsidR="00E95FB1" w:rsidRPr="00915913" w:rsidRDefault="00E95FB1" w:rsidP="001B3967">
            <w:pPr>
              <w:rPr>
                <w:b/>
                <w:sz w:val="22"/>
                <w:lang w:val="uk-UA"/>
              </w:rPr>
            </w:pPr>
            <w:r w:rsidRPr="00915913">
              <w:rPr>
                <w:b/>
                <w:sz w:val="22"/>
                <w:lang w:val="uk-UA"/>
              </w:rPr>
              <w:t xml:space="preserve">Ключові заходи проекту: </w:t>
            </w:r>
          </w:p>
          <w:p w:rsidR="00E95FB1" w:rsidRPr="00915913" w:rsidRDefault="00E95FB1" w:rsidP="001B3967">
            <w:pPr>
              <w:pStyle w:val="a7"/>
              <w:ind w:left="0"/>
              <w:rPr>
                <w:b/>
                <w:sz w:val="22"/>
                <w:lang w:val="uk-UA"/>
              </w:rPr>
            </w:pPr>
          </w:p>
        </w:tc>
        <w:tc>
          <w:tcPr>
            <w:tcW w:w="7194" w:type="dxa"/>
            <w:gridSpan w:val="6"/>
          </w:tcPr>
          <w:p w:rsidR="00E95FB1" w:rsidRPr="00915913" w:rsidRDefault="00E95FB1" w:rsidP="001B3967">
            <w:pPr>
              <w:rPr>
                <w:sz w:val="22"/>
                <w:shd w:val="clear" w:color="auto" w:fill="FFFFFF"/>
                <w:lang w:val="uk-UA"/>
              </w:rPr>
            </w:pPr>
            <w:r w:rsidRPr="00915913">
              <w:rPr>
                <w:sz w:val="22"/>
                <w:shd w:val="clear" w:color="auto" w:fill="FFFFFF"/>
                <w:lang w:val="uk-UA"/>
              </w:rPr>
              <w:t>- Аналіз існуючого стану зелених насаджень</w:t>
            </w:r>
            <w:r w:rsidR="003A6888" w:rsidRPr="00915913">
              <w:rPr>
                <w:sz w:val="22"/>
                <w:szCs w:val="22"/>
                <w:shd w:val="clear" w:color="auto" w:fill="FFFFFF"/>
                <w:lang w:val="uk-UA"/>
              </w:rPr>
              <w:t>.</w:t>
            </w:r>
          </w:p>
          <w:p w:rsidR="00E95FB1" w:rsidRPr="00915913" w:rsidRDefault="00E95FB1" w:rsidP="001B3967">
            <w:pPr>
              <w:rPr>
                <w:sz w:val="22"/>
                <w:lang w:val="uk-UA"/>
              </w:rPr>
            </w:pPr>
            <w:r w:rsidRPr="00915913">
              <w:rPr>
                <w:sz w:val="22"/>
                <w:lang w:val="uk-UA"/>
              </w:rPr>
              <w:t>- Опитування жителів щодо їх бачення проблем із зеленими насадженнями та їх пропозиції</w:t>
            </w:r>
            <w:r w:rsidR="003A6888" w:rsidRPr="00915913">
              <w:rPr>
                <w:sz w:val="22"/>
                <w:szCs w:val="22"/>
                <w:lang w:val="uk-UA" w:eastAsia="it-IT"/>
              </w:rPr>
              <w:t>.</w:t>
            </w:r>
          </w:p>
          <w:p w:rsidR="00E95FB1" w:rsidRPr="00915913" w:rsidRDefault="00E95FB1" w:rsidP="001B3967">
            <w:pPr>
              <w:rPr>
                <w:sz w:val="22"/>
                <w:lang w:val="uk-UA"/>
              </w:rPr>
            </w:pPr>
            <w:r w:rsidRPr="00915913">
              <w:rPr>
                <w:sz w:val="22"/>
                <w:lang w:val="uk-UA"/>
              </w:rPr>
              <w:t>- Облаштування розплідника</w:t>
            </w:r>
            <w:r w:rsidR="003A6888" w:rsidRPr="00915913">
              <w:rPr>
                <w:sz w:val="22"/>
                <w:szCs w:val="22"/>
                <w:lang w:val="uk-UA" w:eastAsia="it-IT"/>
              </w:rPr>
              <w:t>.</w:t>
            </w:r>
          </w:p>
          <w:p w:rsidR="00E95FB1" w:rsidRPr="00915913" w:rsidRDefault="00E95FB1" w:rsidP="001B3967">
            <w:pPr>
              <w:rPr>
                <w:sz w:val="22"/>
                <w:lang w:val="uk-UA"/>
              </w:rPr>
            </w:pPr>
            <w:r w:rsidRPr="00915913">
              <w:rPr>
                <w:sz w:val="22"/>
                <w:lang w:val="uk-UA"/>
              </w:rPr>
              <w:t>- Закупівля матеріалу</w:t>
            </w:r>
            <w:r w:rsidR="003A6888" w:rsidRPr="00915913">
              <w:rPr>
                <w:sz w:val="22"/>
                <w:szCs w:val="22"/>
                <w:lang w:val="uk-UA" w:eastAsia="it-IT"/>
              </w:rPr>
              <w:t>.</w:t>
            </w:r>
          </w:p>
          <w:p w:rsidR="00E95FB1" w:rsidRPr="00915913" w:rsidRDefault="00E95FB1" w:rsidP="001B3967">
            <w:pPr>
              <w:rPr>
                <w:sz w:val="22"/>
                <w:lang w:val="uk-UA"/>
              </w:rPr>
            </w:pPr>
            <w:r w:rsidRPr="00915913">
              <w:rPr>
                <w:sz w:val="22"/>
                <w:lang w:val="uk-UA"/>
              </w:rPr>
              <w:t>- Початок роботи розплідника</w:t>
            </w:r>
            <w:r w:rsidR="003A6888" w:rsidRPr="00915913">
              <w:rPr>
                <w:sz w:val="22"/>
                <w:szCs w:val="22"/>
                <w:lang w:val="uk-UA" w:eastAsia="it-IT"/>
              </w:rPr>
              <w:t>.</w:t>
            </w:r>
          </w:p>
        </w:tc>
      </w:tr>
      <w:tr w:rsidR="00E95FB1" w:rsidRPr="00915913" w:rsidTr="001B3967">
        <w:trPr>
          <w:trHeight w:val="360"/>
        </w:trPr>
        <w:tc>
          <w:tcPr>
            <w:tcW w:w="2694" w:type="dxa"/>
            <w:vMerge w:val="restart"/>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 xml:space="preserve">Орієнтовний обсяг та джерела фінансування, тис. грн. </w:t>
            </w:r>
          </w:p>
          <w:p w:rsidR="00E95FB1" w:rsidRPr="00915913" w:rsidRDefault="00E95FB1" w:rsidP="001B3967">
            <w:pPr>
              <w:pStyle w:val="a7"/>
              <w:ind w:left="0"/>
              <w:rPr>
                <w:b/>
                <w:sz w:val="22"/>
                <w:lang w:val="uk-UA"/>
              </w:rPr>
            </w:pPr>
          </w:p>
        </w:tc>
        <w:tc>
          <w:tcPr>
            <w:tcW w:w="1685" w:type="dxa"/>
            <w:tcBorders>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Державний бюджет</w:t>
            </w:r>
          </w:p>
        </w:tc>
        <w:tc>
          <w:tcPr>
            <w:tcW w:w="1272" w:type="dxa"/>
            <w:tcBorders>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Місцевий бюджет</w:t>
            </w:r>
          </w:p>
        </w:tc>
        <w:tc>
          <w:tcPr>
            <w:tcW w:w="2853" w:type="dxa"/>
            <w:gridSpan w:val="3"/>
            <w:tcBorders>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Інші джерела</w:t>
            </w:r>
          </w:p>
        </w:tc>
        <w:tc>
          <w:tcPr>
            <w:tcW w:w="1384" w:type="dxa"/>
            <w:tcBorders>
              <w:left w:val="single" w:sz="4" w:space="0" w:color="auto"/>
              <w:bottom w:val="single" w:sz="4" w:space="0" w:color="auto"/>
            </w:tcBorders>
          </w:tcPr>
          <w:p w:rsidR="00E95FB1" w:rsidRPr="00915913" w:rsidRDefault="00E95FB1" w:rsidP="001B3967">
            <w:pPr>
              <w:pStyle w:val="a7"/>
              <w:ind w:left="0"/>
              <w:jc w:val="center"/>
              <w:rPr>
                <w:b/>
                <w:sz w:val="22"/>
                <w:lang w:val="uk-UA"/>
              </w:rPr>
            </w:pPr>
            <w:r w:rsidRPr="00915913">
              <w:rPr>
                <w:b/>
                <w:sz w:val="22"/>
                <w:lang w:val="uk-UA"/>
              </w:rPr>
              <w:t>Всього</w:t>
            </w:r>
          </w:p>
        </w:tc>
      </w:tr>
      <w:tr w:rsidR="00E95FB1" w:rsidRPr="00915913" w:rsidTr="001B3967">
        <w:trPr>
          <w:trHeight w:val="225"/>
        </w:trPr>
        <w:tc>
          <w:tcPr>
            <w:tcW w:w="2694" w:type="dxa"/>
            <w:vMerge/>
            <w:shd w:val="clear" w:color="auto" w:fill="C6D9F1" w:themeFill="text2" w:themeFillTint="33"/>
          </w:tcPr>
          <w:p w:rsidR="00E95FB1" w:rsidRPr="00915913" w:rsidRDefault="00E95FB1" w:rsidP="001B3967">
            <w:pPr>
              <w:pStyle w:val="a7"/>
              <w:ind w:left="0"/>
              <w:rPr>
                <w:b/>
                <w:sz w:val="22"/>
                <w:lang w:val="uk-UA"/>
              </w:rPr>
            </w:pPr>
          </w:p>
        </w:tc>
        <w:tc>
          <w:tcPr>
            <w:tcW w:w="1685" w:type="dxa"/>
            <w:vMerge w:val="restart"/>
            <w:tcBorders>
              <w:top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21 926,1</w:t>
            </w:r>
          </w:p>
        </w:tc>
        <w:tc>
          <w:tcPr>
            <w:tcW w:w="1272" w:type="dxa"/>
            <w:vMerge w:val="restart"/>
            <w:tcBorders>
              <w:top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w:t>
            </w:r>
          </w:p>
        </w:tc>
        <w:tc>
          <w:tcPr>
            <w:tcW w:w="1398" w:type="dxa"/>
            <w:tcBorders>
              <w:top w:val="single" w:sz="4" w:space="0" w:color="auto"/>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Обсяг</w:t>
            </w:r>
          </w:p>
        </w:tc>
        <w:tc>
          <w:tcPr>
            <w:tcW w:w="1455" w:type="dxa"/>
            <w:gridSpan w:val="2"/>
            <w:tcBorders>
              <w:top w:val="single" w:sz="4" w:space="0" w:color="auto"/>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Назва джерела</w:t>
            </w:r>
          </w:p>
        </w:tc>
        <w:tc>
          <w:tcPr>
            <w:tcW w:w="1384" w:type="dxa"/>
            <w:vMerge w:val="restart"/>
            <w:tcBorders>
              <w:top w:val="single" w:sz="4" w:space="0" w:color="auto"/>
              <w:left w:val="single" w:sz="4" w:space="0" w:color="auto"/>
            </w:tcBorders>
          </w:tcPr>
          <w:p w:rsidR="00E95FB1" w:rsidRPr="00915913" w:rsidRDefault="00E95FB1" w:rsidP="001B3967">
            <w:pPr>
              <w:pStyle w:val="a7"/>
              <w:ind w:left="0"/>
              <w:jc w:val="center"/>
              <w:rPr>
                <w:sz w:val="22"/>
                <w:lang w:val="uk-UA"/>
              </w:rPr>
            </w:pPr>
            <w:r w:rsidRPr="00915913">
              <w:rPr>
                <w:sz w:val="22"/>
                <w:lang w:val="uk-UA"/>
              </w:rPr>
              <w:t>31 323,00</w:t>
            </w:r>
          </w:p>
        </w:tc>
      </w:tr>
      <w:tr w:rsidR="00E95FB1" w:rsidRPr="00915913" w:rsidTr="001B3967">
        <w:trPr>
          <w:trHeight w:val="300"/>
        </w:trPr>
        <w:tc>
          <w:tcPr>
            <w:tcW w:w="2694" w:type="dxa"/>
            <w:vMerge/>
            <w:shd w:val="clear" w:color="auto" w:fill="C6D9F1" w:themeFill="text2" w:themeFillTint="33"/>
          </w:tcPr>
          <w:p w:rsidR="00E95FB1" w:rsidRPr="00915913" w:rsidRDefault="00E95FB1" w:rsidP="001B3967">
            <w:pPr>
              <w:pStyle w:val="a7"/>
              <w:ind w:left="0"/>
              <w:rPr>
                <w:b/>
                <w:sz w:val="22"/>
                <w:lang w:val="uk-UA"/>
              </w:rPr>
            </w:pPr>
          </w:p>
        </w:tc>
        <w:tc>
          <w:tcPr>
            <w:tcW w:w="1685" w:type="dxa"/>
            <w:vMerge/>
            <w:tcBorders>
              <w:right w:val="single" w:sz="4" w:space="0" w:color="auto"/>
            </w:tcBorders>
          </w:tcPr>
          <w:p w:rsidR="00E95FB1" w:rsidRPr="00915913" w:rsidRDefault="00E95FB1" w:rsidP="001B3967">
            <w:pPr>
              <w:pStyle w:val="a7"/>
              <w:ind w:left="0"/>
              <w:jc w:val="center"/>
              <w:rPr>
                <w:sz w:val="22"/>
                <w:lang w:val="uk-UA"/>
              </w:rPr>
            </w:pPr>
          </w:p>
        </w:tc>
        <w:tc>
          <w:tcPr>
            <w:tcW w:w="1272" w:type="dxa"/>
            <w:vMerge/>
            <w:tcBorders>
              <w:right w:val="single" w:sz="4" w:space="0" w:color="auto"/>
            </w:tcBorders>
          </w:tcPr>
          <w:p w:rsidR="00E95FB1" w:rsidRPr="00915913" w:rsidRDefault="00E95FB1" w:rsidP="001B3967">
            <w:pPr>
              <w:pStyle w:val="a7"/>
              <w:ind w:left="0"/>
              <w:jc w:val="center"/>
              <w:rPr>
                <w:b/>
                <w:sz w:val="22"/>
                <w:lang w:val="uk-UA"/>
              </w:rPr>
            </w:pPr>
          </w:p>
        </w:tc>
        <w:tc>
          <w:tcPr>
            <w:tcW w:w="1398" w:type="dxa"/>
            <w:tcBorders>
              <w:top w:val="single" w:sz="4" w:space="0" w:color="auto"/>
              <w:left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sz w:val="22"/>
                <w:lang w:val="uk-UA"/>
              </w:rPr>
              <w:t>9 396,9</w:t>
            </w:r>
          </w:p>
        </w:tc>
        <w:tc>
          <w:tcPr>
            <w:tcW w:w="1455" w:type="dxa"/>
            <w:gridSpan w:val="2"/>
            <w:tcBorders>
              <w:top w:val="single" w:sz="4" w:space="0" w:color="auto"/>
              <w:left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Міжнародні інвестиції, кошти приватних осіб</w:t>
            </w:r>
          </w:p>
        </w:tc>
        <w:tc>
          <w:tcPr>
            <w:tcW w:w="1384" w:type="dxa"/>
            <w:vMerge/>
            <w:tcBorders>
              <w:left w:val="single" w:sz="4" w:space="0" w:color="auto"/>
            </w:tcBorders>
          </w:tcPr>
          <w:p w:rsidR="00E95FB1" w:rsidRPr="00915913" w:rsidRDefault="00E95FB1" w:rsidP="001B3967">
            <w:pPr>
              <w:pStyle w:val="a7"/>
              <w:ind w:left="0"/>
              <w:jc w:val="center"/>
              <w:rPr>
                <w:sz w:val="22"/>
                <w:lang w:val="uk-UA"/>
              </w:rPr>
            </w:pPr>
          </w:p>
        </w:tc>
      </w:tr>
    </w:tbl>
    <w:p w:rsidR="00E95FB1" w:rsidRPr="00915913" w:rsidRDefault="00E95FB1" w:rsidP="00E95FB1">
      <w:pPr>
        <w:rPr>
          <w:sz w:val="22"/>
        </w:rPr>
      </w:pPr>
    </w:p>
    <w:p w:rsidR="00E95FB1" w:rsidRPr="00915913" w:rsidRDefault="00E95FB1" w:rsidP="00E95FB1">
      <w:pPr>
        <w:rPr>
          <w:sz w:val="22"/>
        </w:rPr>
      </w:pPr>
    </w:p>
    <w:p w:rsidR="00E95FB1" w:rsidRPr="00915913" w:rsidRDefault="00E95FB1" w:rsidP="00E95FB1">
      <w:pPr>
        <w:rPr>
          <w:sz w:val="22"/>
        </w:rPr>
      </w:pPr>
    </w:p>
    <w:p w:rsidR="00E95FB1" w:rsidRPr="00915913" w:rsidRDefault="00E95FB1" w:rsidP="00E95FB1">
      <w:pPr>
        <w:rPr>
          <w:sz w:val="22"/>
        </w:rPr>
      </w:pPr>
    </w:p>
    <w:p w:rsidR="00E95FB1" w:rsidRPr="00915913" w:rsidRDefault="00E95FB1" w:rsidP="00E95FB1">
      <w:pPr>
        <w:rPr>
          <w:sz w:val="22"/>
        </w:rPr>
      </w:pPr>
    </w:p>
    <w:p w:rsidR="00E95FB1" w:rsidRPr="00915913" w:rsidRDefault="00E95FB1" w:rsidP="00E95FB1">
      <w:pPr>
        <w:rPr>
          <w:sz w:val="22"/>
        </w:rPr>
      </w:pPr>
    </w:p>
    <w:p w:rsidR="00E95FB1" w:rsidRPr="00915913" w:rsidRDefault="00E95FB1" w:rsidP="00E95FB1">
      <w:pPr>
        <w:rPr>
          <w:sz w:val="22"/>
        </w:rPr>
      </w:pPr>
    </w:p>
    <w:tbl>
      <w:tblPr>
        <w:tblStyle w:val="af"/>
        <w:tblW w:w="0" w:type="auto"/>
        <w:tblInd w:w="-176" w:type="dxa"/>
        <w:tblLook w:val="04A0" w:firstRow="1" w:lastRow="0" w:firstColumn="1" w:lastColumn="0" w:noHBand="0" w:noVBand="1"/>
      </w:tblPr>
      <w:tblGrid>
        <w:gridCol w:w="2565"/>
        <w:gridCol w:w="1647"/>
        <w:gridCol w:w="1260"/>
        <w:gridCol w:w="1393"/>
        <w:gridCol w:w="749"/>
        <w:gridCol w:w="693"/>
        <w:gridCol w:w="1355"/>
      </w:tblGrid>
      <w:tr w:rsidR="00E95FB1" w:rsidRPr="00915913" w:rsidTr="001B3967">
        <w:tc>
          <w:tcPr>
            <w:tcW w:w="2694"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Оперативна ціль/завдання</w:t>
            </w:r>
          </w:p>
        </w:tc>
        <w:tc>
          <w:tcPr>
            <w:tcW w:w="7194" w:type="dxa"/>
            <w:gridSpan w:val="6"/>
            <w:shd w:val="clear" w:color="auto" w:fill="auto"/>
          </w:tcPr>
          <w:p w:rsidR="00E95FB1" w:rsidRPr="00915913" w:rsidRDefault="00E95FB1" w:rsidP="001B3967">
            <w:pPr>
              <w:pStyle w:val="a7"/>
              <w:ind w:left="0"/>
              <w:rPr>
                <w:sz w:val="22"/>
                <w:lang w:val="uk-UA"/>
              </w:rPr>
            </w:pPr>
            <w:r w:rsidRPr="00915913">
              <w:rPr>
                <w:sz w:val="22"/>
                <w:lang w:val="uk-UA"/>
              </w:rPr>
              <w:t>Комфорт життя ЛЮДИНИ як безпека, екологічна сталість та  розумна енергетика. Екологічна сталість через знання та партнерства</w:t>
            </w:r>
          </w:p>
        </w:tc>
      </w:tr>
      <w:tr w:rsidR="00E95FB1" w:rsidRPr="00915913" w:rsidTr="001B3967">
        <w:tc>
          <w:tcPr>
            <w:tcW w:w="2694"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Назва проекту:</w:t>
            </w:r>
          </w:p>
        </w:tc>
        <w:tc>
          <w:tcPr>
            <w:tcW w:w="7194" w:type="dxa"/>
            <w:gridSpan w:val="6"/>
          </w:tcPr>
          <w:p w:rsidR="00E95FB1" w:rsidRPr="00915913" w:rsidRDefault="00E95FB1" w:rsidP="001B3967">
            <w:pPr>
              <w:pStyle w:val="a7"/>
              <w:ind w:left="0"/>
              <w:rPr>
                <w:sz w:val="22"/>
                <w:lang w:val="uk-UA"/>
              </w:rPr>
            </w:pPr>
            <w:r w:rsidRPr="00915913">
              <w:rPr>
                <w:sz w:val="22"/>
                <w:lang w:val="uk-UA"/>
              </w:rPr>
              <w:t>Закупівля саджанців дерев та кущів</w:t>
            </w:r>
          </w:p>
        </w:tc>
      </w:tr>
      <w:tr w:rsidR="00E95FB1" w:rsidRPr="00915913" w:rsidTr="001B3967">
        <w:tc>
          <w:tcPr>
            <w:tcW w:w="2694" w:type="dxa"/>
            <w:shd w:val="clear" w:color="auto" w:fill="C6D9F1" w:themeFill="text2" w:themeFillTint="33"/>
          </w:tcPr>
          <w:p w:rsidR="00E95FB1" w:rsidRPr="00915913" w:rsidRDefault="00E95FB1" w:rsidP="001B3967">
            <w:pPr>
              <w:rPr>
                <w:b/>
                <w:sz w:val="22"/>
                <w:lang w:val="uk-UA"/>
              </w:rPr>
            </w:pPr>
            <w:r w:rsidRPr="00915913">
              <w:rPr>
                <w:b/>
                <w:sz w:val="22"/>
                <w:lang w:val="uk-UA"/>
              </w:rPr>
              <w:t>Ціль проекту</w:t>
            </w:r>
          </w:p>
        </w:tc>
        <w:tc>
          <w:tcPr>
            <w:tcW w:w="7194" w:type="dxa"/>
            <w:gridSpan w:val="6"/>
          </w:tcPr>
          <w:p w:rsidR="00E95FB1" w:rsidRPr="00915913" w:rsidRDefault="00E95FB1" w:rsidP="001B3967">
            <w:pPr>
              <w:pStyle w:val="a7"/>
              <w:ind w:left="0"/>
              <w:rPr>
                <w:sz w:val="22"/>
                <w:lang w:val="uk-UA"/>
              </w:rPr>
            </w:pPr>
            <w:r w:rsidRPr="00915913">
              <w:rPr>
                <w:sz w:val="22"/>
                <w:lang w:val="uk-UA"/>
              </w:rPr>
              <w:t>Закупівля та висадження саджанців дерев та кущів для озеленення та благоустрою громади</w:t>
            </w:r>
          </w:p>
        </w:tc>
      </w:tr>
      <w:tr w:rsidR="00E95FB1" w:rsidRPr="00915913" w:rsidTr="001B3967">
        <w:tc>
          <w:tcPr>
            <w:tcW w:w="2694"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lastRenderedPageBreak/>
              <w:t>Територія, на яку матиме вплив реалізація проекту</w:t>
            </w:r>
          </w:p>
        </w:tc>
        <w:tc>
          <w:tcPr>
            <w:tcW w:w="7194" w:type="dxa"/>
            <w:gridSpan w:val="6"/>
          </w:tcPr>
          <w:p w:rsidR="00E95FB1" w:rsidRPr="00915913" w:rsidRDefault="00E95FB1" w:rsidP="001B3967">
            <w:pPr>
              <w:pStyle w:val="a7"/>
              <w:ind w:left="0"/>
              <w:rPr>
                <w:sz w:val="22"/>
                <w:lang w:val="uk-UA"/>
              </w:rPr>
            </w:pPr>
            <w:r w:rsidRPr="00915913">
              <w:rPr>
                <w:sz w:val="22"/>
                <w:lang w:val="uk-UA"/>
              </w:rPr>
              <w:t>Сєвєродонецька міська територіальна громада</w:t>
            </w:r>
          </w:p>
        </w:tc>
      </w:tr>
      <w:tr w:rsidR="00E95FB1" w:rsidRPr="00915913" w:rsidTr="001B3967">
        <w:tc>
          <w:tcPr>
            <w:tcW w:w="2694"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Чисельність населення, на яке матиме вплив реалізація проекту</w:t>
            </w:r>
          </w:p>
        </w:tc>
        <w:tc>
          <w:tcPr>
            <w:tcW w:w="7194" w:type="dxa"/>
            <w:gridSpan w:val="6"/>
          </w:tcPr>
          <w:p w:rsidR="00E95FB1" w:rsidRPr="00915913" w:rsidRDefault="00E95FB1" w:rsidP="001B3967">
            <w:pPr>
              <w:pStyle w:val="a7"/>
              <w:ind w:left="0"/>
              <w:rPr>
                <w:sz w:val="22"/>
                <w:lang w:val="uk-UA"/>
              </w:rPr>
            </w:pPr>
            <w:r w:rsidRPr="00915913">
              <w:rPr>
                <w:sz w:val="22"/>
                <w:lang w:val="uk-UA"/>
              </w:rPr>
              <w:t xml:space="preserve"> 70 000  осіб</w:t>
            </w:r>
          </w:p>
        </w:tc>
      </w:tr>
      <w:tr w:rsidR="00E95FB1" w:rsidRPr="00915913" w:rsidTr="001B3967">
        <w:tc>
          <w:tcPr>
            <w:tcW w:w="2694" w:type="dxa"/>
            <w:shd w:val="clear" w:color="auto" w:fill="C6D9F1" w:themeFill="text2" w:themeFillTint="33"/>
          </w:tcPr>
          <w:p w:rsidR="00E95FB1" w:rsidRPr="00915913" w:rsidRDefault="00E95FB1" w:rsidP="001B3967">
            <w:pPr>
              <w:rPr>
                <w:b/>
                <w:sz w:val="22"/>
                <w:lang w:val="uk-UA"/>
              </w:rPr>
            </w:pPr>
            <w:r w:rsidRPr="00915913">
              <w:rPr>
                <w:b/>
                <w:sz w:val="22"/>
                <w:lang w:val="uk-UA"/>
              </w:rPr>
              <w:t>Опис проблеми, на вирішення якої  спрямований проект</w:t>
            </w:r>
          </w:p>
        </w:tc>
        <w:tc>
          <w:tcPr>
            <w:tcW w:w="7194" w:type="dxa"/>
            <w:gridSpan w:val="6"/>
          </w:tcPr>
          <w:p w:rsidR="00E95FB1" w:rsidRPr="00915913" w:rsidRDefault="00E95FB1" w:rsidP="001B3967">
            <w:pPr>
              <w:rPr>
                <w:sz w:val="22"/>
                <w:lang w:val="uk-UA"/>
              </w:rPr>
            </w:pPr>
            <w:r w:rsidRPr="00915913">
              <w:rPr>
                <w:sz w:val="22"/>
                <w:lang w:val="uk-UA"/>
              </w:rPr>
              <w:t>Через військову агресію РФ територія Сєвєродонецької міської територіальної громади зазнала значних пошкоджень.  Також постраждали зелені насадження в місті та громаді. Багато декоративних насаджень загинули. Це призвело до погіршення екологічного стану громади. Для благоустрою зелених зон Сєвєродонецької громади необхідні рослини для посадки.</w:t>
            </w:r>
          </w:p>
        </w:tc>
      </w:tr>
      <w:tr w:rsidR="00E95FB1" w:rsidRPr="00915913" w:rsidTr="001B3967">
        <w:tc>
          <w:tcPr>
            <w:tcW w:w="2694"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Очікувані якісні результати від реалізації проекту</w:t>
            </w:r>
          </w:p>
        </w:tc>
        <w:tc>
          <w:tcPr>
            <w:tcW w:w="7194" w:type="dxa"/>
            <w:gridSpan w:val="6"/>
          </w:tcPr>
          <w:p w:rsidR="00E95FB1" w:rsidRPr="00915913" w:rsidRDefault="00E95FB1" w:rsidP="001B3967">
            <w:pPr>
              <w:pStyle w:val="a7"/>
              <w:ind w:left="0"/>
              <w:rPr>
                <w:sz w:val="22"/>
                <w:lang w:val="uk-UA"/>
              </w:rPr>
            </w:pPr>
            <w:r w:rsidRPr="00915913">
              <w:rPr>
                <w:sz w:val="22"/>
                <w:lang w:val="uk-UA"/>
              </w:rPr>
              <w:t xml:space="preserve">- відновлення міста та селищ громади після </w:t>
            </w:r>
            <w:proofErr w:type="spellStart"/>
            <w:r w:rsidRPr="00915913">
              <w:rPr>
                <w:sz w:val="22"/>
                <w:lang w:val="uk-UA"/>
              </w:rPr>
              <w:t>деокупації</w:t>
            </w:r>
            <w:proofErr w:type="spellEnd"/>
          </w:p>
          <w:p w:rsidR="00E95FB1" w:rsidRPr="00915913" w:rsidRDefault="00E95FB1" w:rsidP="001B3967">
            <w:pPr>
              <w:pStyle w:val="a7"/>
              <w:ind w:left="0"/>
              <w:rPr>
                <w:sz w:val="22"/>
                <w:lang w:val="uk-UA"/>
              </w:rPr>
            </w:pPr>
            <w:r w:rsidRPr="00915913">
              <w:rPr>
                <w:sz w:val="22"/>
                <w:lang w:val="uk-UA"/>
              </w:rPr>
              <w:t>- створення нових робочих місць;</w:t>
            </w:r>
          </w:p>
          <w:p w:rsidR="00E95FB1" w:rsidRPr="00915913" w:rsidRDefault="00E95FB1" w:rsidP="001B3967">
            <w:pPr>
              <w:pStyle w:val="a7"/>
              <w:ind w:left="0"/>
              <w:rPr>
                <w:sz w:val="22"/>
                <w:lang w:val="uk-UA"/>
              </w:rPr>
            </w:pPr>
            <w:r w:rsidRPr="00915913">
              <w:rPr>
                <w:sz w:val="22"/>
                <w:lang w:val="uk-UA"/>
              </w:rPr>
              <w:t>- стимул до повернення ВПО до громади;</w:t>
            </w:r>
          </w:p>
          <w:p w:rsidR="00E95FB1" w:rsidRPr="00915913" w:rsidRDefault="00E95FB1" w:rsidP="001B3967">
            <w:pPr>
              <w:pStyle w:val="a7"/>
              <w:ind w:left="0"/>
              <w:rPr>
                <w:sz w:val="22"/>
                <w:lang w:val="uk-UA"/>
              </w:rPr>
            </w:pPr>
            <w:r w:rsidRPr="00915913">
              <w:rPr>
                <w:sz w:val="22"/>
                <w:lang w:val="uk-UA"/>
              </w:rPr>
              <w:t>- покращення стану екології;</w:t>
            </w:r>
          </w:p>
          <w:p w:rsidR="00E95FB1" w:rsidRPr="00915913" w:rsidRDefault="00E95FB1" w:rsidP="001B3967">
            <w:pPr>
              <w:pStyle w:val="a7"/>
              <w:ind w:left="0"/>
              <w:rPr>
                <w:sz w:val="22"/>
                <w:lang w:val="uk-UA"/>
              </w:rPr>
            </w:pPr>
            <w:r w:rsidRPr="00915913">
              <w:rPr>
                <w:sz w:val="22"/>
                <w:lang w:val="uk-UA"/>
              </w:rPr>
              <w:t>- покращення зовнішнього вигляду громади.</w:t>
            </w:r>
          </w:p>
        </w:tc>
      </w:tr>
      <w:tr w:rsidR="00E95FB1" w:rsidRPr="00915913" w:rsidTr="001B3967">
        <w:trPr>
          <w:trHeight w:val="390"/>
        </w:trPr>
        <w:tc>
          <w:tcPr>
            <w:tcW w:w="2694" w:type="dxa"/>
            <w:vMerge w:val="restart"/>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 xml:space="preserve">Очікувані кількісні результати реалізації </w:t>
            </w:r>
            <w:proofErr w:type="spellStart"/>
            <w:r w:rsidRPr="00915913">
              <w:rPr>
                <w:b/>
                <w:sz w:val="22"/>
                <w:lang w:val="uk-UA"/>
              </w:rPr>
              <w:t>проєкту</w:t>
            </w:r>
            <w:proofErr w:type="spellEnd"/>
            <w:r w:rsidRPr="00915913">
              <w:rPr>
                <w:b/>
                <w:sz w:val="22"/>
                <w:lang w:val="uk-UA"/>
              </w:rPr>
              <w:t xml:space="preserve"> (індикатори)</w:t>
            </w:r>
          </w:p>
          <w:p w:rsidR="00E95FB1" w:rsidRPr="00915913" w:rsidRDefault="00E95FB1" w:rsidP="001B3967">
            <w:pPr>
              <w:pStyle w:val="a7"/>
              <w:ind w:left="0"/>
              <w:rPr>
                <w:b/>
                <w:sz w:val="22"/>
                <w:lang w:val="uk-UA"/>
              </w:rPr>
            </w:pPr>
          </w:p>
        </w:tc>
        <w:tc>
          <w:tcPr>
            <w:tcW w:w="2961" w:type="dxa"/>
            <w:gridSpan w:val="2"/>
            <w:tcBorders>
              <w:bottom w:val="single" w:sz="4" w:space="0" w:color="auto"/>
              <w:right w:val="single" w:sz="4" w:space="0" w:color="auto"/>
            </w:tcBorders>
          </w:tcPr>
          <w:p w:rsidR="00E95FB1" w:rsidRPr="00915913" w:rsidRDefault="00E95FB1" w:rsidP="001B3967">
            <w:pPr>
              <w:pStyle w:val="a7"/>
              <w:ind w:left="-108"/>
              <w:jc w:val="center"/>
              <w:rPr>
                <w:b/>
                <w:sz w:val="22"/>
                <w:lang w:val="uk-UA"/>
              </w:rPr>
            </w:pPr>
            <w:r w:rsidRPr="00915913">
              <w:rPr>
                <w:b/>
                <w:sz w:val="22"/>
                <w:lang w:val="uk-UA"/>
              </w:rPr>
              <w:t>Найменування показника</w:t>
            </w:r>
          </w:p>
        </w:tc>
        <w:tc>
          <w:tcPr>
            <w:tcW w:w="2142" w:type="dxa"/>
            <w:gridSpan w:val="2"/>
            <w:tcBorders>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Одиниця вимірювання</w:t>
            </w:r>
          </w:p>
          <w:p w:rsidR="00E95FB1" w:rsidRPr="00915913" w:rsidRDefault="00E95FB1" w:rsidP="001B3967">
            <w:pPr>
              <w:pStyle w:val="a7"/>
              <w:ind w:left="0"/>
              <w:rPr>
                <w:b/>
                <w:sz w:val="22"/>
                <w:lang w:val="uk-UA"/>
              </w:rPr>
            </w:pPr>
          </w:p>
        </w:tc>
        <w:tc>
          <w:tcPr>
            <w:tcW w:w="2091" w:type="dxa"/>
            <w:gridSpan w:val="2"/>
            <w:tcBorders>
              <w:left w:val="single" w:sz="4" w:space="0" w:color="auto"/>
              <w:bottom w:val="single" w:sz="4" w:space="0" w:color="auto"/>
            </w:tcBorders>
          </w:tcPr>
          <w:p w:rsidR="00E95FB1" w:rsidRPr="00915913" w:rsidRDefault="00E95FB1" w:rsidP="001B3967">
            <w:pPr>
              <w:pStyle w:val="a7"/>
              <w:ind w:left="0"/>
              <w:jc w:val="center"/>
              <w:rPr>
                <w:b/>
                <w:sz w:val="22"/>
                <w:lang w:val="uk-UA"/>
              </w:rPr>
            </w:pPr>
            <w:r w:rsidRPr="00915913">
              <w:rPr>
                <w:b/>
                <w:sz w:val="22"/>
                <w:lang w:val="uk-UA"/>
              </w:rPr>
              <w:t>Прогнозне (цільове) значення</w:t>
            </w:r>
          </w:p>
        </w:tc>
      </w:tr>
      <w:tr w:rsidR="00E95FB1" w:rsidRPr="00915913" w:rsidTr="001B3967">
        <w:trPr>
          <w:trHeight w:val="585"/>
        </w:trPr>
        <w:tc>
          <w:tcPr>
            <w:tcW w:w="2694" w:type="dxa"/>
            <w:vMerge/>
            <w:shd w:val="clear" w:color="auto" w:fill="C6D9F1" w:themeFill="text2" w:themeFillTint="33"/>
          </w:tcPr>
          <w:p w:rsidR="00E95FB1" w:rsidRPr="00915913" w:rsidRDefault="00E95FB1" w:rsidP="001B3967">
            <w:pPr>
              <w:pStyle w:val="a7"/>
              <w:ind w:left="0"/>
              <w:rPr>
                <w:b/>
                <w:sz w:val="22"/>
                <w:lang w:val="uk-UA"/>
              </w:rPr>
            </w:pPr>
          </w:p>
        </w:tc>
        <w:tc>
          <w:tcPr>
            <w:tcW w:w="2961" w:type="dxa"/>
            <w:gridSpan w:val="2"/>
            <w:tcBorders>
              <w:top w:val="single" w:sz="4" w:space="0" w:color="auto"/>
              <w:bottom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Саджанці</w:t>
            </w:r>
          </w:p>
        </w:tc>
        <w:tc>
          <w:tcPr>
            <w:tcW w:w="2142" w:type="dxa"/>
            <w:gridSpan w:val="2"/>
            <w:tcBorders>
              <w:top w:val="single" w:sz="4" w:space="0" w:color="auto"/>
              <w:left w:val="single" w:sz="4" w:space="0" w:color="auto"/>
              <w:bottom w:val="single" w:sz="4" w:space="0" w:color="auto"/>
              <w:right w:val="single" w:sz="4" w:space="0" w:color="auto"/>
            </w:tcBorders>
            <w:vAlign w:val="center"/>
          </w:tcPr>
          <w:p w:rsidR="00E95FB1" w:rsidRPr="00915913" w:rsidRDefault="00E95FB1" w:rsidP="001B3967">
            <w:pPr>
              <w:pStyle w:val="a7"/>
              <w:ind w:left="0"/>
              <w:jc w:val="center"/>
              <w:rPr>
                <w:sz w:val="22"/>
                <w:lang w:val="uk-UA"/>
              </w:rPr>
            </w:pPr>
            <w:r w:rsidRPr="00915913">
              <w:rPr>
                <w:sz w:val="22"/>
                <w:lang w:val="uk-UA"/>
              </w:rPr>
              <w:t>одиниць</w:t>
            </w:r>
          </w:p>
        </w:tc>
        <w:tc>
          <w:tcPr>
            <w:tcW w:w="2091" w:type="dxa"/>
            <w:gridSpan w:val="2"/>
            <w:tcBorders>
              <w:top w:val="single" w:sz="4" w:space="0" w:color="auto"/>
              <w:left w:val="single" w:sz="4" w:space="0" w:color="auto"/>
              <w:bottom w:val="single" w:sz="4" w:space="0" w:color="auto"/>
            </w:tcBorders>
          </w:tcPr>
          <w:p w:rsidR="00E95FB1" w:rsidRPr="00915913" w:rsidRDefault="00E95FB1" w:rsidP="001B3967">
            <w:pPr>
              <w:pStyle w:val="a7"/>
              <w:ind w:left="0"/>
              <w:jc w:val="center"/>
              <w:rPr>
                <w:sz w:val="22"/>
                <w:lang w:val="uk-UA"/>
              </w:rPr>
            </w:pPr>
            <w:r w:rsidRPr="00915913">
              <w:rPr>
                <w:sz w:val="22"/>
                <w:lang w:val="uk-UA"/>
              </w:rPr>
              <w:t>4795</w:t>
            </w:r>
          </w:p>
        </w:tc>
      </w:tr>
      <w:tr w:rsidR="00E95FB1" w:rsidRPr="00915913" w:rsidTr="001B3967">
        <w:tc>
          <w:tcPr>
            <w:tcW w:w="2694" w:type="dxa"/>
            <w:shd w:val="clear" w:color="auto" w:fill="C6D9F1" w:themeFill="text2" w:themeFillTint="33"/>
          </w:tcPr>
          <w:p w:rsidR="00E95FB1" w:rsidRPr="00915913" w:rsidRDefault="00E95FB1" w:rsidP="001B3967">
            <w:pPr>
              <w:rPr>
                <w:b/>
                <w:sz w:val="22"/>
                <w:lang w:val="uk-UA"/>
              </w:rPr>
            </w:pPr>
            <w:r w:rsidRPr="00915913">
              <w:rPr>
                <w:b/>
                <w:sz w:val="22"/>
                <w:lang w:val="uk-UA"/>
              </w:rPr>
              <w:t xml:space="preserve">Ключові заходи проекту: </w:t>
            </w:r>
          </w:p>
          <w:p w:rsidR="00E95FB1" w:rsidRPr="00915913" w:rsidRDefault="00E95FB1" w:rsidP="001B3967">
            <w:pPr>
              <w:pStyle w:val="a7"/>
              <w:ind w:left="0"/>
              <w:rPr>
                <w:b/>
                <w:sz w:val="22"/>
                <w:lang w:val="uk-UA"/>
              </w:rPr>
            </w:pPr>
          </w:p>
        </w:tc>
        <w:tc>
          <w:tcPr>
            <w:tcW w:w="7194" w:type="dxa"/>
            <w:gridSpan w:val="6"/>
          </w:tcPr>
          <w:p w:rsidR="00E95FB1" w:rsidRPr="00915913" w:rsidRDefault="00E95FB1" w:rsidP="000303D7">
            <w:pPr>
              <w:pStyle w:val="a7"/>
              <w:numPr>
                <w:ilvl w:val="0"/>
                <w:numId w:val="22"/>
              </w:numPr>
              <w:jc w:val="left"/>
              <w:rPr>
                <w:sz w:val="22"/>
                <w:lang w:val="uk-UA"/>
              </w:rPr>
            </w:pPr>
            <w:r w:rsidRPr="00915913">
              <w:rPr>
                <w:sz w:val="22"/>
                <w:lang w:val="uk-UA"/>
              </w:rPr>
              <w:t>Визначення території засадження</w:t>
            </w:r>
            <w:r w:rsidR="003775A5" w:rsidRPr="00915913">
              <w:rPr>
                <w:bCs/>
                <w:sz w:val="22"/>
                <w:szCs w:val="22"/>
                <w:lang w:val="uk-UA"/>
              </w:rPr>
              <w:t>.</w:t>
            </w:r>
          </w:p>
          <w:p w:rsidR="00E95FB1" w:rsidRPr="00915913" w:rsidRDefault="00E95FB1" w:rsidP="000303D7">
            <w:pPr>
              <w:pStyle w:val="a7"/>
              <w:numPr>
                <w:ilvl w:val="0"/>
                <w:numId w:val="22"/>
              </w:numPr>
              <w:jc w:val="left"/>
              <w:rPr>
                <w:sz w:val="22"/>
                <w:lang w:val="uk-UA"/>
              </w:rPr>
            </w:pPr>
            <w:r w:rsidRPr="00915913">
              <w:rPr>
                <w:sz w:val="22"/>
                <w:lang w:val="uk-UA"/>
              </w:rPr>
              <w:t>Визначення видів насаджень</w:t>
            </w:r>
            <w:r w:rsidR="003775A5" w:rsidRPr="00915913">
              <w:rPr>
                <w:bCs/>
                <w:sz w:val="22"/>
                <w:szCs w:val="22"/>
                <w:lang w:val="uk-UA"/>
              </w:rPr>
              <w:t>.</w:t>
            </w:r>
          </w:p>
          <w:p w:rsidR="00E95FB1" w:rsidRPr="00915913" w:rsidRDefault="00E95FB1" w:rsidP="000303D7">
            <w:pPr>
              <w:pStyle w:val="a7"/>
              <w:numPr>
                <w:ilvl w:val="0"/>
                <w:numId w:val="22"/>
              </w:numPr>
              <w:jc w:val="left"/>
              <w:rPr>
                <w:sz w:val="22"/>
                <w:lang w:val="uk-UA"/>
              </w:rPr>
            </w:pPr>
            <w:r w:rsidRPr="00915913">
              <w:rPr>
                <w:sz w:val="22"/>
                <w:lang w:val="uk-UA"/>
              </w:rPr>
              <w:t>Закупівля насаджень</w:t>
            </w:r>
            <w:r w:rsidR="003775A5" w:rsidRPr="00915913">
              <w:rPr>
                <w:bCs/>
                <w:sz w:val="22"/>
                <w:szCs w:val="22"/>
                <w:lang w:val="uk-UA"/>
              </w:rPr>
              <w:t>.</w:t>
            </w:r>
          </w:p>
          <w:p w:rsidR="00E95FB1" w:rsidRPr="00915913" w:rsidRDefault="00E95FB1" w:rsidP="000303D7">
            <w:pPr>
              <w:pStyle w:val="a7"/>
              <w:numPr>
                <w:ilvl w:val="0"/>
                <w:numId w:val="22"/>
              </w:numPr>
              <w:jc w:val="left"/>
              <w:rPr>
                <w:sz w:val="22"/>
                <w:lang w:val="uk-UA"/>
              </w:rPr>
            </w:pPr>
            <w:r w:rsidRPr="00915913">
              <w:rPr>
                <w:sz w:val="22"/>
                <w:lang w:val="uk-UA"/>
              </w:rPr>
              <w:t>Проведення меліоративних робіт.</w:t>
            </w:r>
          </w:p>
        </w:tc>
      </w:tr>
      <w:tr w:rsidR="00E95FB1" w:rsidRPr="00915913" w:rsidTr="001B3967">
        <w:trPr>
          <w:trHeight w:val="360"/>
        </w:trPr>
        <w:tc>
          <w:tcPr>
            <w:tcW w:w="2694" w:type="dxa"/>
            <w:vMerge w:val="restart"/>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 xml:space="preserve">Орієнтовний обсяг та джерела фінансування, тис. грн. </w:t>
            </w:r>
          </w:p>
          <w:p w:rsidR="00E95FB1" w:rsidRPr="00915913" w:rsidRDefault="00E95FB1" w:rsidP="001B3967">
            <w:pPr>
              <w:pStyle w:val="a7"/>
              <w:ind w:left="0"/>
              <w:rPr>
                <w:b/>
                <w:sz w:val="22"/>
                <w:lang w:val="uk-UA"/>
              </w:rPr>
            </w:pPr>
          </w:p>
        </w:tc>
        <w:tc>
          <w:tcPr>
            <w:tcW w:w="1689" w:type="dxa"/>
            <w:tcBorders>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Державний бюджет</w:t>
            </w:r>
          </w:p>
        </w:tc>
        <w:tc>
          <w:tcPr>
            <w:tcW w:w="1272" w:type="dxa"/>
            <w:tcBorders>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Місцевий бюджет</w:t>
            </w:r>
          </w:p>
        </w:tc>
        <w:tc>
          <w:tcPr>
            <w:tcW w:w="2848" w:type="dxa"/>
            <w:gridSpan w:val="3"/>
            <w:tcBorders>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Інші джерела</w:t>
            </w:r>
          </w:p>
        </w:tc>
        <w:tc>
          <w:tcPr>
            <w:tcW w:w="1385" w:type="dxa"/>
            <w:tcBorders>
              <w:left w:val="single" w:sz="4" w:space="0" w:color="auto"/>
              <w:bottom w:val="single" w:sz="4" w:space="0" w:color="auto"/>
            </w:tcBorders>
          </w:tcPr>
          <w:p w:rsidR="00E95FB1" w:rsidRPr="00915913" w:rsidRDefault="00E95FB1" w:rsidP="001B3967">
            <w:pPr>
              <w:pStyle w:val="a7"/>
              <w:ind w:left="0"/>
              <w:jc w:val="center"/>
              <w:rPr>
                <w:b/>
                <w:sz w:val="22"/>
                <w:lang w:val="uk-UA"/>
              </w:rPr>
            </w:pPr>
            <w:r w:rsidRPr="00915913">
              <w:rPr>
                <w:b/>
                <w:sz w:val="22"/>
                <w:lang w:val="uk-UA"/>
              </w:rPr>
              <w:t>Всього</w:t>
            </w:r>
          </w:p>
        </w:tc>
      </w:tr>
      <w:tr w:rsidR="00E95FB1" w:rsidRPr="00915913" w:rsidTr="001B3967">
        <w:trPr>
          <w:trHeight w:val="225"/>
        </w:trPr>
        <w:tc>
          <w:tcPr>
            <w:tcW w:w="2694" w:type="dxa"/>
            <w:vMerge/>
            <w:shd w:val="clear" w:color="auto" w:fill="C6D9F1" w:themeFill="text2" w:themeFillTint="33"/>
          </w:tcPr>
          <w:p w:rsidR="00E95FB1" w:rsidRPr="00915913" w:rsidRDefault="00E95FB1" w:rsidP="001B3967">
            <w:pPr>
              <w:pStyle w:val="a7"/>
              <w:ind w:left="0"/>
              <w:rPr>
                <w:b/>
                <w:sz w:val="22"/>
                <w:lang w:val="uk-UA"/>
              </w:rPr>
            </w:pPr>
          </w:p>
        </w:tc>
        <w:tc>
          <w:tcPr>
            <w:tcW w:w="1689" w:type="dxa"/>
            <w:vMerge w:val="restart"/>
            <w:tcBorders>
              <w:top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1 260,0</w:t>
            </w:r>
          </w:p>
        </w:tc>
        <w:tc>
          <w:tcPr>
            <w:tcW w:w="1272" w:type="dxa"/>
            <w:vMerge w:val="restart"/>
            <w:tcBorders>
              <w:top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w:t>
            </w:r>
          </w:p>
        </w:tc>
        <w:tc>
          <w:tcPr>
            <w:tcW w:w="1393" w:type="dxa"/>
            <w:tcBorders>
              <w:top w:val="single" w:sz="4" w:space="0" w:color="auto"/>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Обсяг</w:t>
            </w:r>
          </w:p>
        </w:tc>
        <w:tc>
          <w:tcPr>
            <w:tcW w:w="1455" w:type="dxa"/>
            <w:gridSpan w:val="2"/>
            <w:tcBorders>
              <w:top w:val="single" w:sz="4" w:space="0" w:color="auto"/>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Назва джерела</w:t>
            </w:r>
          </w:p>
        </w:tc>
        <w:tc>
          <w:tcPr>
            <w:tcW w:w="1385" w:type="dxa"/>
            <w:vMerge w:val="restart"/>
            <w:tcBorders>
              <w:top w:val="single" w:sz="4" w:space="0" w:color="auto"/>
              <w:left w:val="single" w:sz="4" w:space="0" w:color="auto"/>
            </w:tcBorders>
          </w:tcPr>
          <w:p w:rsidR="00E95FB1" w:rsidRPr="00915913" w:rsidRDefault="00E95FB1" w:rsidP="001B3967">
            <w:pPr>
              <w:pStyle w:val="a7"/>
              <w:ind w:left="0"/>
              <w:jc w:val="center"/>
              <w:rPr>
                <w:sz w:val="22"/>
                <w:lang w:val="uk-UA"/>
              </w:rPr>
            </w:pPr>
            <w:r w:rsidRPr="00915913">
              <w:rPr>
                <w:sz w:val="22"/>
                <w:lang w:val="uk-UA"/>
              </w:rPr>
              <w:t>1 800,00</w:t>
            </w:r>
          </w:p>
        </w:tc>
      </w:tr>
      <w:tr w:rsidR="00E95FB1" w:rsidRPr="00915913" w:rsidTr="001B3967">
        <w:trPr>
          <w:trHeight w:val="300"/>
        </w:trPr>
        <w:tc>
          <w:tcPr>
            <w:tcW w:w="2694" w:type="dxa"/>
            <w:vMerge/>
            <w:shd w:val="clear" w:color="auto" w:fill="C6D9F1" w:themeFill="text2" w:themeFillTint="33"/>
          </w:tcPr>
          <w:p w:rsidR="00E95FB1" w:rsidRPr="00915913" w:rsidRDefault="00E95FB1" w:rsidP="001B3967">
            <w:pPr>
              <w:pStyle w:val="a7"/>
              <w:ind w:left="0"/>
              <w:rPr>
                <w:b/>
                <w:sz w:val="22"/>
                <w:lang w:val="uk-UA"/>
              </w:rPr>
            </w:pPr>
          </w:p>
        </w:tc>
        <w:tc>
          <w:tcPr>
            <w:tcW w:w="1689" w:type="dxa"/>
            <w:vMerge/>
            <w:tcBorders>
              <w:right w:val="single" w:sz="4" w:space="0" w:color="auto"/>
            </w:tcBorders>
          </w:tcPr>
          <w:p w:rsidR="00E95FB1" w:rsidRPr="00915913" w:rsidRDefault="00E95FB1" w:rsidP="001B3967">
            <w:pPr>
              <w:pStyle w:val="a7"/>
              <w:ind w:left="0"/>
              <w:jc w:val="center"/>
              <w:rPr>
                <w:sz w:val="22"/>
                <w:lang w:val="uk-UA"/>
              </w:rPr>
            </w:pPr>
          </w:p>
        </w:tc>
        <w:tc>
          <w:tcPr>
            <w:tcW w:w="1272" w:type="dxa"/>
            <w:vMerge/>
            <w:tcBorders>
              <w:right w:val="single" w:sz="4" w:space="0" w:color="auto"/>
            </w:tcBorders>
          </w:tcPr>
          <w:p w:rsidR="00E95FB1" w:rsidRPr="00915913" w:rsidRDefault="00E95FB1" w:rsidP="001B3967">
            <w:pPr>
              <w:pStyle w:val="a7"/>
              <w:ind w:left="0"/>
              <w:jc w:val="center"/>
              <w:rPr>
                <w:b/>
                <w:sz w:val="22"/>
                <w:lang w:val="uk-UA"/>
              </w:rPr>
            </w:pPr>
          </w:p>
        </w:tc>
        <w:tc>
          <w:tcPr>
            <w:tcW w:w="1393" w:type="dxa"/>
            <w:tcBorders>
              <w:top w:val="single" w:sz="4" w:space="0" w:color="auto"/>
              <w:left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sz w:val="22"/>
                <w:lang w:val="uk-UA"/>
              </w:rPr>
              <w:t>540,0</w:t>
            </w:r>
          </w:p>
        </w:tc>
        <w:tc>
          <w:tcPr>
            <w:tcW w:w="1455" w:type="dxa"/>
            <w:gridSpan w:val="2"/>
            <w:tcBorders>
              <w:top w:val="single" w:sz="4" w:space="0" w:color="auto"/>
              <w:left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Міжнародні інвестиції, кошти приватних осіб</w:t>
            </w:r>
          </w:p>
        </w:tc>
        <w:tc>
          <w:tcPr>
            <w:tcW w:w="1385" w:type="dxa"/>
            <w:vMerge/>
            <w:tcBorders>
              <w:left w:val="single" w:sz="4" w:space="0" w:color="auto"/>
            </w:tcBorders>
          </w:tcPr>
          <w:p w:rsidR="00E95FB1" w:rsidRPr="00915913" w:rsidRDefault="00E95FB1" w:rsidP="001B3967">
            <w:pPr>
              <w:pStyle w:val="a7"/>
              <w:ind w:left="0"/>
              <w:jc w:val="center"/>
              <w:rPr>
                <w:sz w:val="22"/>
                <w:lang w:val="uk-UA"/>
              </w:rPr>
            </w:pPr>
          </w:p>
        </w:tc>
      </w:tr>
    </w:tbl>
    <w:p w:rsidR="00E95FB1" w:rsidRPr="00915913" w:rsidRDefault="00E95FB1" w:rsidP="00E95FB1">
      <w:pPr>
        <w:rPr>
          <w:sz w:val="22"/>
        </w:rPr>
      </w:pPr>
    </w:p>
    <w:p w:rsidR="00E95FB1" w:rsidRPr="00915913" w:rsidRDefault="00E95FB1" w:rsidP="00E95FB1">
      <w:pPr>
        <w:rPr>
          <w:sz w:val="22"/>
        </w:rPr>
      </w:pPr>
    </w:p>
    <w:p w:rsidR="00E95FB1" w:rsidRPr="00915913" w:rsidRDefault="00E95FB1" w:rsidP="00E95FB1">
      <w:pPr>
        <w:rPr>
          <w:sz w:val="22"/>
        </w:rPr>
      </w:pPr>
    </w:p>
    <w:p w:rsidR="00E95FB1" w:rsidRPr="00915913" w:rsidRDefault="00E95FB1" w:rsidP="00E95FB1">
      <w:pPr>
        <w:rPr>
          <w:sz w:val="22"/>
        </w:rPr>
      </w:pPr>
    </w:p>
    <w:tbl>
      <w:tblPr>
        <w:tblStyle w:val="af"/>
        <w:tblW w:w="0" w:type="auto"/>
        <w:tblInd w:w="-176" w:type="dxa"/>
        <w:tblLook w:val="04A0" w:firstRow="1" w:lastRow="0" w:firstColumn="1" w:lastColumn="0" w:noHBand="0" w:noVBand="1"/>
      </w:tblPr>
      <w:tblGrid>
        <w:gridCol w:w="2512"/>
        <w:gridCol w:w="1841"/>
        <w:gridCol w:w="1259"/>
        <w:gridCol w:w="149"/>
        <w:gridCol w:w="1189"/>
        <w:gridCol w:w="789"/>
        <w:gridCol w:w="655"/>
        <w:gridCol w:w="1268"/>
      </w:tblGrid>
      <w:tr w:rsidR="00E95FB1" w:rsidRPr="00915913" w:rsidTr="001B3967">
        <w:tc>
          <w:tcPr>
            <w:tcW w:w="2617"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Оперативна ціль/завдання</w:t>
            </w:r>
          </w:p>
        </w:tc>
        <w:tc>
          <w:tcPr>
            <w:tcW w:w="7271" w:type="dxa"/>
            <w:gridSpan w:val="7"/>
            <w:shd w:val="clear" w:color="auto" w:fill="auto"/>
          </w:tcPr>
          <w:p w:rsidR="00E95FB1" w:rsidRPr="00915913" w:rsidRDefault="00E95FB1" w:rsidP="001B3967">
            <w:pPr>
              <w:pStyle w:val="a7"/>
              <w:ind w:left="0"/>
              <w:rPr>
                <w:sz w:val="22"/>
                <w:lang w:val="uk-UA"/>
              </w:rPr>
            </w:pPr>
            <w:r w:rsidRPr="00915913">
              <w:rPr>
                <w:sz w:val="22"/>
                <w:lang w:val="uk-UA"/>
              </w:rPr>
              <w:t xml:space="preserve">Комфорт життя ЛЮДИНИ як безпека, екологічна сталість та  розумна енергетика. </w:t>
            </w:r>
            <w:r w:rsidRPr="00915913">
              <w:rPr>
                <w:rFonts w:eastAsia="Arial"/>
                <w:sz w:val="22"/>
                <w:lang w:val="uk-UA"/>
              </w:rPr>
              <w:t>Енергоефективна політика та інфраструктура</w:t>
            </w:r>
          </w:p>
        </w:tc>
      </w:tr>
      <w:tr w:rsidR="00E95FB1" w:rsidRPr="00915913" w:rsidTr="001B3967">
        <w:tc>
          <w:tcPr>
            <w:tcW w:w="2617"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Назва проекту:</w:t>
            </w:r>
          </w:p>
        </w:tc>
        <w:tc>
          <w:tcPr>
            <w:tcW w:w="7271" w:type="dxa"/>
            <w:gridSpan w:val="7"/>
          </w:tcPr>
          <w:p w:rsidR="00E95FB1" w:rsidRPr="00915913" w:rsidRDefault="00E95FB1" w:rsidP="001B3967">
            <w:pPr>
              <w:pStyle w:val="a7"/>
              <w:ind w:left="0"/>
              <w:rPr>
                <w:sz w:val="22"/>
                <w:lang w:val="uk-UA"/>
              </w:rPr>
            </w:pPr>
            <w:r w:rsidRPr="00915913">
              <w:rPr>
                <w:sz w:val="22"/>
                <w:lang w:val="uk-UA"/>
              </w:rPr>
              <w:t>Придбання СОНЯШНОЇ ЕЛЕКТРОСТАНЦІЇ 25 КВТ "ПІД КЛЮЧ"</w:t>
            </w:r>
          </w:p>
        </w:tc>
      </w:tr>
      <w:tr w:rsidR="00E95FB1" w:rsidRPr="00915913" w:rsidTr="001B3967">
        <w:tc>
          <w:tcPr>
            <w:tcW w:w="2617" w:type="dxa"/>
            <w:shd w:val="clear" w:color="auto" w:fill="C6D9F1" w:themeFill="text2" w:themeFillTint="33"/>
          </w:tcPr>
          <w:p w:rsidR="00E95FB1" w:rsidRPr="00915913" w:rsidRDefault="00E95FB1" w:rsidP="001B3967">
            <w:pPr>
              <w:rPr>
                <w:b/>
                <w:sz w:val="22"/>
                <w:lang w:val="uk-UA"/>
              </w:rPr>
            </w:pPr>
            <w:r w:rsidRPr="00915913">
              <w:rPr>
                <w:b/>
                <w:sz w:val="22"/>
                <w:lang w:val="uk-UA"/>
              </w:rPr>
              <w:t>Ціль проекту</w:t>
            </w:r>
          </w:p>
        </w:tc>
        <w:tc>
          <w:tcPr>
            <w:tcW w:w="7271" w:type="dxa"/>
            <w:gridSpan w:val="7"/>
          </w:tcPr>
          <w:p w:rsidR="00E95FB1" w:rsidRPr="00915913" w:rsidRDefault="00E95FB1" w:rsidP="00AC3582">
            <w:pPr>
              <w:pStyle w:val="a7"/>
              <w:ind w:left="0"/>
              <w:rPr>
                <w:sz w:val="22"/>
                <w:lang w:val="uk-UA"/>
              </w:rPr>
            </w:pPr>
            <w:r w:rsidRPr="00915913">
              <w:rPr>
                <w:sz w:val="22"/>
                <w:lang w:val="uk-UA"/>
              </w:rPr>
              <w:t>Придбання СОНЯШНОЇ ЕЛЕКТРОСТАНЦІЇ 25 КВТ "ПІД КЛЮЧ</w:t>
            </w:r>
            <w:r w:rsidRPr="00915913">
              <w:rPr>
                <w:bCs/>
                <w:sz w:val="22"/>
                <w:szCs w:val="22"/>
                <w:lang w:val="uk-UA"/>
              </w:rPr>
              <w:t>"</w:t>
            </w:r>
            <w:r w:rsidRPr="00915913">
              <w:rPr>
                <w:sz w:val="22"/>
                <w:lang w:val="uk-UA"/>
              </w:rPr>
              <w:t xml:space="preserve"> для вироблення зеленої енергії для потреб підприємства</w:t>
            </w:r>
          </w:p>
        </w:tc>
      </w:tr>
      <w:tr w:rsidR="00E95FB1" w:rsidRPr="00915913" w:rsidTr="001B3967">
        <w:tc>
          <w:tcPr>
            <w:tcW w:w="2617"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Територія, на яку матиме вплив реалізація проекту</w:t>
            </w:r>
          </w:p>
        </w:tc>
        <w:tc>
          <w:tcPr>
            <w:tcW w:w="7271" w:type="dxa"/>
            <w:gridSpan w:val="7"/>
          </w:tcPr>
          <w:p w:rsidR="00E95FB1" w:rsidRPr="00915913" w:rsidRDefault="00E95FB1" w:rsidP="001B3967">
            <w:pPr>
              <w:pStyle w:val="a7"/>
              <w:ind w:left="0"/>
              <w:rPr>
                <w:sz w:val="22"/>
                <w:lang w:val="uk-UA"/>
              </w:rPr>
            </w:pPr>
            <w:r w:rsidRPr="00915913">
              <w:rPr>
                <w:sz w:val="22"/>
                <w:lang w:val="uk-UA"/>
              </w:rPr>
              <w:t>Сєвєродонецька міська територіальна громада</w:t>
            </w:r>
          </w:p>
        </w:tc>
      </w:tr>
      <w:tr w:rsidR="00E95FB1" w:rsidRPr="00915913" w:rsidTr="001B3967">
        <w:tc>
          <w:tcPr>
            <w:tcW w:w="2617"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Чисельність населення, на яке матиме вплив реалізація проекту</w:t>
            </w:r>
          </w:p>
        </w:tc>
        <w:tc>
          <w:tcPr>
            <w:tcW w:w="7271" w:type="dxa"/>
            <w:gridSpan w:val="7"/>
          </w:tcPr>
          <w:p w:rsidR="00E95FB1" w:rsidRPr="00915913" w:rsidRDefault="00E95FB1" w:rsidP="001B3967">
            <w:pPr>
              <w:pStyle w:val="a7"/>
              <w:ind w:left="0"/>
              <w:rPr>
                <w:sz w:val="22"/>
                <w:lang w:val="uk-UA"/>
              </w:rPr>
            </w:pPr>
            <w:r w:rsidRPr="00915913">
              <w:rPr>
                <w:sz w:val="22"/>
                <w:lang w:val="uk-UA"/>
              </w:rPr>
              <w:t xml:space="preserve"> 70 000  осіб</w:t>
            </w:r>
          </w:p>
        </w:tc>
      </w:tr>
      <w:tr w:rsidR="00E95FB1" w:rsidRPr="00915913" w:rsidTr="001B3967">
        <w:tc>
          <w:tcPr>
            <w:tcW w:w="2617" w:type="dxa"/>
            <w:shd w:val="clear" w:color="auto" w:fill="C6D9F1" w:themeFill="text2" w:themeFillTint="33"/>
          </w:tcPr>
          <w:p w:rsidR="00E95FB1" w:rsidRPr="00915913" w:rsidRDefault="00E95FB1" w:rsidP="001B3967">
            <w:pPr>
              <w:rPr>
                <w:b/>
                <w:sz w:val="22"/>
                <w:lang w:val="uk-UA"/>
              </w:rPr>
            </w:pPr>
            <w:r w:rsidRPr="00915913">
              <w:rPr>
                <w:b/>
                <w:sz w:val="22"/>
                <w:lang w:val="uk-UA"/>
              </w:rPr>
              <w:lastRenderedPageBreak/>
              <w:t>Опис проблеми, на вирішення якої  спрямований проект</w:t>
            </w:r>
          </w:p>
        </w:tc>
        <w:tc>
          <w:tcPr>
            <w:tcW w:w="7271" w:type="dxa"/>
            <w:gridSpan w:val="7"/>
          </w:tcPr>
          <w:p w:rsidR="00E95FB1" w:rsidRPr="00915913" w:rsidRDefault="00E95FB1" w:rsidP="001B3967">
            <w:pPr>
              <w:rPr>
                <w:sz w:val="22"/>
                <w:lang w:val="uk-UA"/>
              </w:rPr>
            </w:pPr>
            <w:r w:rsidRPr="00915913">
              <w:rPr>
                <w:sz w:val="22"/>
                <w:lang w:val="uk-UA"/>
              </w:rPr>
              <w:t xml:space="preserve">Через військову агресію РФ територія Сєвєродонецької міської територіальної громади зазнала значних пошкоджень.  Під час бойових дій на території Сєвєродонецької громади майже вся критична інфраструктура, </w:t>
            </w:r>
            <w:proofErr w:type="spellStart"/>
            <w:r w:rsidRPr="00915913">
              <w:rPr>
                <w:sz w:val="22"/>
                <w:lang w:val="uk-UA"/>
              </w:rPr>
              <w:t>відповідаюча</w:t>
            </w:r>
            <w:proofErr w:type="spellEnd"/>
            <w:r w:rsidRPr="00915913">
              <w:rPr>
                <w:sz w:val="22"/>
                <w:lang w:val="uk-UA"/>
              </w:rPr>
              <w:t xml:space="preserve"> за подачу електроенергії, була зруйнована. </w:t>
            </w:r>
          </w:p>
        </w:tc>
      </w:tr>
      <w:tr w:rsidR="00E95FB1" w:rsidRPr="00915913" w:rsidTr="001B3967">
        <w:tc>
          <w:tcPr>
            <w:tcW w:w="2617"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Очікувані якісні результати від реалізації проекту</w:t>
            </w:r>
          </w:p>
        </w:tc>
        <w:tc>
          <w:tcPr>
            <w:tcW w:w="7271" w:type="dxa"/>
            <w:gridSpan w:val="7"/>
          </w:tcPr>
          <w:p w:rsidR="00E95FB1" w:rsidRPr="00915913" w:rsidRDefault="00E95FB1" w:rsidP="001B3967">
            <w:pPr>
              <w:pStyle w:val="a7"/>
              <w:ind w:left="0"/>
              <w:rPr>
                <w:sz w:val="22"/>
                <w:lang w:val="uk-UA"/>
              </w:rPr>
            </w:pPr>
            <w:r w:rsidRPr="00915913">
              <w:rPr>
                <w:sz w:val="22"/>
                <w:lang w:val="uk-UA"/>
              </w:rPr>
              <w:t xml:space="preserve">- відновлення міста та селищ громади після </w:t>
            </w:r>
            <w:proofErr w:type="spellStart"/>
            <w:r w:rsidRPr="00915913">
              <w:rPr>
                <w:sz w:val="22"/>
                <w:lang w:val="uk-UA"/>
              </w:rPr>
              <w:t>деокупації</w:t>
            </w:r>
            <w:proofErr w:type="spellEnd"/>
          </w:p>
          <w:p w:rsidR="00E95FB1" w:rsidRPr="00915913" w:rsidRDefault="00E95FB1" w:rsidP="001B3967">
            <w:pPr>
              <w:pStyle w:val="a7"/>
              <w:ind w:left="0"/>
              <w:rPr>
                <w:sz w:val="22"/>
                <w:lang w:val="uk-UA"/>
              </w:rPr>
            </w:pPr>
            <w:r w:rsidRPr="00915913">
              <w:rPr>
                <w:sz w:val="22"/>
                <w:lang w:val="uk-UA"/>
              </w:rPr>
              <w:t>- створення нових робочих місць;</w:t>
            </w:r>
          </w:p>
          <w:p w:rsidR="00E95FB1" w:rsidRPr="00915913" w:rsidRDefault="00E95FB1" w:rsidP="001B3967">
            <w:pPr>
              <w:pStyle w:val="a7"/>
              <w:ind w:left="0"/>
              <w:rPr>
                <w:sz w:val="22"/>
                <w:lang w:val="uk-UA"/>
              </w:rPr>
            </w:pPr>
            <w:r w:rsidRPr="00915913">
              <w:rPr>
                <w:sz w:val="22"/>
                <w:lang w:val="uk-UA"/>
              </w:rPr>
              <w:t>- стимул до повернення ВПО до громади;</w:t>
            </w:r>
          </w:p>
          <w:p w:rsidR="00E95FB1" w:rsidRPr="00915913" w:rsidRDefault="00E95FB1" w:rsidP="001B3967">
            <w:pPr>
              <w:pStyle w:val="a7"/>
              <w:ind w:left="0"/>
              <w:rPr>
                <w:sz w:val="22"/>
                <w:lang w:val="uk-UA"/>
              </w:rPr>
            </w:pPr>
            <w:r w:rsidRPr="00915913">
              <w:rPr>
                <w:sz w:val="22"/>
                <w:lang w:val="uk-UA"/>
              </w:rPr>
              <w:t>- забезпечення мешканців громади електроенергією</w:t>
            </w:r>
          </w:p>
          <w:p w:rsidR="00E95FB1" w:rsidRPr="00915913" w:rsidRDefault="00E95FB1" w:rsidP="001B3967">
            <w:pPr>
              <w:pStyle w:val="a7"/>
              <w:ind w:left="0"/>
              <w:rPr>
                <w:sz w:val="22"/>
                <w:lang w:val="uk-UA"/>
              </w:rPr>
            </w:pPr>
            <w:r w:rsidRPr="00915913">
              <w:rPr>
                <w:sz w:val="22"/>
                <w:lang w:val="uk-UA"/>
              </w:rPr>
              <w:t>- зниження викидів шкідливих речовин у навколишнє середовище</w:t>
            </w:r>
          </w:p>
        </w:tc>
      </w:tr>
      <w:tr w:rsidR="00E95FB1" w:rsidRPr="00915913" w:rsidTr="001B3967">
        <w:trPr>
          <w:trHeight w:val="390"/>
        </w:trPr>
        <w:tc>
          <w:tcPr>
            <w:tcW w:w="2617" w:type="dxa"/>
            <w:vMerge w:val="restart"/>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 xml:space="preserve">Очікувані кількісні результати реалізації </w:t>
            </w:r>
            <w:proofErr w:type="spellStart"/>
            <w:r w:rsidRPr="00915913">
              <w:rPr>
                <w:b/>
                <w:sz w:val="22"/>
                <w:lang w:val="uk-UA"/>
              </w:rPr>
              <w:t>проєкту</w:t>
            </w:r>
            <w:proofErr w:type="spellEnd"/>
            <w:r w:rsidRPr="00915913">
              <w:rPr>
                <w:b/>
                <w:sz w:val="22"/>
                <w:lang w:val="uk-UA"/>
              </w:rPr>
              <w:t xml:space="preserve"> (індикатори)</w:t>
            </w:r>
          </w:p>
          <w:p w:rsidR="00E95FB1" w:rsidRPr="00915913" w:rsidRDefault="00E95FB1" w:rsidP="001B3967">
            <w:pPr>
              <w:pStyle w:val="a7"/>
              <w:ind w:left="0"/>
              <w:rPr>
                <w:b/>
                <w:sz w:val="22"/>
                <w:lang w:val="uk-UA"/>
              </w:rPr>
            </w:pPr>
          </w:p>
        </w:tc>
        <w:tc>
          <w:tcPr>
            <w:tcW w:w="3337" w:type="dxa"/>
            <w:gridSpan w:val="3"/>
            <w:tcBorders>
              <w:bottom w:val="single" w:sz="4" w:space="0" w:color="auto"/>
              <w:right w:val="single" w:sz="4" w:space="0" w:color="auto"/>
            </w:tcBorders>
          </w:tcPr>
          <w:p w:rsidR="00E95FB1" w:rsidRPr="00915913" w:rsidRDefault="00E95FB1" w:rsidP="001B3967">
            <w:pPr>
              <w:pStyle w:val="a7"/>
              <w:ind w:left="-108"/>
              <w:jc w:val="center"/>
              <w:rPr>
                <w:b/>
                <w:sz w:val="22"/>
                <w:lang w:val="uk-UA"/>
              </w:rPr>
            </w:pPr>
            <w:r w:rsidRPr="00915913">
              <w:rPr>
                <w:b/>
                <w:sz w:val="22"/>
                <w:lang w:val="uk-UA"/>
              </w:rPr>
              <w:t>Найменування показника</w:t>
            </w:r>
          </w:p>
        </w:tc>
        <w:tc>
          <w:tcPr>
            <w:tcW w:w="1985" w:type="dxa"/>
            <w:gridSpan w:val="2"/>
            <w:tcBorders>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Одиниця вимірювання</w:t>
            </w:r>
          </w:p>
          <w:p w:rsidR="00E95FB1" w:rsidRPr="00915913" w:rsidRDefault="00E95FB1" w:rsidP="001B3967">
            <w:pPr>
              <w:pStyle w:val="a7"/>
              <w:ind w:left="0"/>
              <w:rPr>
                <w:b/>
                <w:sz w:val="22"/>
                <w:lang w:val="uk-UA"/>
              </w:rPr>
            </w:pPr>
          </w:p>
        </w:tc>
        <w:tc>
          <w:tcPr>
            <w:tcW w:w="1949" w:type="dxa"/>
            <w:gridSpan w:val="2"/>
            <w:tcBorders>
              <w:left w:val="single" w:sz="4" w:space="0" w:color="auto"/>
              <w:bottom w:val="single" w:sz="4" w:space="0" w:color="auto"/>
            </w:tcBorders>
          </w:tcPr>
          <w:p w:rsidR="00E95FB1" w:rsidRPr="00915913" w:rsidRDefault="00E95FB1" w:rsidP="001B3967">
            <w:pPr>
              <w:pStyle w:val="a7"/>
              <w:ind w:left="0"/>
              <w:jc w:val="center"/>
              <w:rPr>
                <w:b/>
                <w:sz w:val="22"/>
                <w:lang w:val="uk-UA"/>
              </w:rPr>
            </w:pPr>
            <w:r w:rsidRPr="00915913">
              <w:rPr>
                <w:b/>
                <w:sz w:val="22"/>
                <w:lang w:val="uk-UA"/>
              </w:rPr>
              <w:t>Прогнозне (цільове) значення</w:t>
            </w:r>
          </w:p>
        </w:tc>
      </w:tr>
      <w:tr w:rsidR="00E95FB1" w:rsidRPr="00915913" w:rsidTr="001B3967">
        <w:trPr>
          <w:trHeight w:val="585"/>
        </w:trPr>
        <w:tc>
          <w:tcPr>
            <w:tcW w:w="2617" w:type="dxa"/>
            <w:vMerge/>
            <w:shd w:val="clear" w:color="auto" w:fill="C6D9F1" w:themeFill="text2" w:themeFillTint="33"/>
          </w:tcPr>
          <w:p w:rsidR="00E95FB1" w:rsidRPr="00915913" w:rsidRDefault="00E95FB1" w:rsidP="001B3967">
            <w:pPr>
              <w:pStyle w:val="a7"/>
              <w:ind w:left="0"/>
              <w:rPr>
                <w:b/>
                <w:sz w:val="22"/>
                <w:lang w:val="uk-UA"/>
              </w:rPr>
            </w:pPr>
          </w:p>
        </w:tc>
        <w:tc>
          <w:tcPr>
            <w:tcW w:w="3337" w:type="dxa"/>
            <w:gridSpan w:val="3"/>
            <w:tcBorders>
              <w:top w:val="single" w:sz="4" w:space="0" w:color="auto"/>
              <w:bottom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СОНЯШНА ЕЛЕКТРОСТАНЦІЯ 25 КВТ "ПІД КЛЮЧ"</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E95FB1" w:rsidRPr="00915913" w:rsidRDefault="00E95FB1" w:rsidP="001B3967">
            <w:pPr>
              <w:pStyle w:val="a7"/>
              <w:ind w:left="0"/>
              <w:jc w:val="center"/>
              <w:rPr>
                <w:sz w:val="22"/>
                <w:lang w:val="uk-UA"/>
              </w:rPr>
            </w:pPr>
            <w:r w:rsidRPr="00915913">
              <w:rPr>
                <w:sz w:val="22"/>
                <w:lang w:val="uk-UA"/>
              </w:rPr>
              <w:t>одиниця</w:t>
            </w:r>
          </w:p>
        </w:tc>
        <w:tc>
          <w:tcPr>
            <w:tcW w:w="1949" w:type="dxa"/>
            <w:gridSpan w:val="2"/>
            <w:tcBorders>
              <w:top w:val="single" w:sz="4" w:space="0" w:color="auto"/>
              <w:left w:val="single" w:sz="4" w:space="0" w:color="auto"/>
              <w:bottom w:val="single" w:sz="4" w:space="0" w:color="auto"/>
            </w:tcBorders>
          </w:tcPr>
          <w:p w:rsidR="00E95FB1" w:rsidRPr="00915913" w:rsidRDefault="00E95FB1" w:rsidP="001B3967">
            <w:pPr>
              <w:pStyle w:val="a7"/>
              <w:ind w:left="0"/>
              <w:jc w:val="center"/>
              <w:rPr>
                <w:b/>
                <w:sz w:val="22"/>
                <w:lang w:val="uk-UA"/>
              </w:rPr>
            </w:pPr>
          </w:p>
          <w:p w:rsidR="00E95FB1" w:rsidRPr="00915913" w:rsidRDefault="00E95FB1" w:rsidP="001B3967">
            <w:pPr>
              <w:pStyle w:val="a7"/>
              <w:ind w:left="0"/>
              <w:jc w:val="center"/>
              <w:rPr>
                <w:sz w:val="22"/>
                <w:lang w:val="uk-UA"/>
              </w:rPr>
            </w:pPr>
            <w:r w:rsidRPr="00915913">
              <w:rPr>
                <w:sz w:val="22"/>
                <w:lang w:val="uk-UA"/>
              </w:rPr>
              <w:t>4</w:t>
            </w:r>
          </w:p>
        </w:tc>
      </w:tr>
      <w:tr w:rsidR="00E95FB1" w:rsidRPr="00915913" w:rsidTr="001B3967">
        <w:tc>
          <w:tcPr>
            <w:tcW w:w="2617" w:type="dxa"/>
            <w:shd w:val="clear" w:color="auto" w:fill="C6D9F1" w:themeFill="text2" w:themeFillTint="33"/>
          </w:tcPr>
          <w:p w:rsidR="00E95FB1" w:rsidRPr="00915913" w:rsidRDefault="00E95FB1" w:rsidP="001B3967">
            <w:pPr>
              <w:rPr>
                <w:b/>
                <w:sz w:val="22"/>
                <w:lang w:val="uk-UA"/>
              </w:rPr>
            </w:pPr>
            <w:r w:rsidRPr="00915913">
              <w:rPr>
                <w:b/>
                <w:sz w:val="22"/>
                <w:lang w:val="uk-UA"/>
              </w:rPr>
              <w:t xml:space="preserve">Ключові заходи проекту: </w:t>
            </w:r>
          </w:p>
          <w:p w:rsidR="00E95FB1" w:rsidRPr="00915913" w:rsidRDefault="00E95FB1" w:rsidP="001B3967">
            <w:pPr>
              <w:pStyle w:val="a7"/>
              <w:ind w:left="0"/>
              <w:rPr>
                <w:b/>
                <w:sz w:val="22"/>
                <w:lang w:val="uk-UA"/>
              </w:rPr>
            </w:pPr>
          </w:p>
        </w:tc>
        <w:tc>
          <w:tcPr>
            <w:tcW w:w="7271" w:type="dxa"/>
            <w:gridSpan w:val="7"/>
          </w:tcPr>
          <w:p w:rsidR="00E95FB1" w:rsidRPr="00915913" w:rsidRDefault="00E95FB1" w:rsidP="000303D7">
            <w:pPr>
              <w:pStyle w:val="a7"/>
              <w:numPr>
                <w:ilvl w:val="0"/>
                <w:numId w:val="23"/>
              </w:numPr>
              <w:jc w:val="left"/>
              <w:rPr>
                <w:sz w:val="22"/>
                <w:lang w:val="uk-UA"/>
              </w:rPr>
            </w:pPr>
            <w:r w:rsidRPr="00915913">
              <w:rPr>
                <w:sz w:val="22"/>
                <w:lang w:val="uk-UA"/>
              </w:rPr>
              <w:t xml:space="preserve">Визначення </w:t>
            </w:r>
            <w:r w:rsidRPr="00915913">
              <w:rPr>
                <w:bCs/>
                <w:sz w:val="22"/>
                <w:szCs w:val="22"/>
                <w:lang w:val="uk-UA"/>
              </w:rPr>
              <w:t>міс</w:t>
            </w:r>
            <w:r w:rsidR="00985AF6" w:rsidRPr="00915913">
              <w:rPr>
                <w:bCs/>
                <w:sz w:val="22"/>
                <w:szCs w:val="22"/>
                <w:lang w:val="uk-UA"/>
              </w:rPr>
              <w:t>ця</w:t>
            </w:r>
            <w:r w:rsidRPr="00915913">
              <w:rPr>
                <w:sz w:val="22"/>
                <w:lang w:val="uk-UA"/>
              </w:rPr>
              <w:t xml:space="preserve"> розташування сонячної </w:t>
            </w:r>
            <w:proofErr w:type="spellStart"/>
            <w:r w:rsidRPr="00915913">
              <w:rPr>
                <w:bCs/>
                <w:sz w:val="22"/>
                <w:szCs w:val="22"/>
                <w:lang w:val="uk-UA"/>
              </w:rPr>
              <w:t>електростанціяї</w:t>
            </w:r>
            <w:proofErr w:type="spellEnd"/>
            <w:r w:rsidR="00985AF6" w:rsidRPr="00915913">
              <w:rPr>
                <w:bCs/>
                <w:sz w:val="22"/>
                <w:szCs w:val="22"/>
                <w:lang w:val="uk-UA"/>
              </w:rPr>
              <w:t xml:space="preserve"> </w:t>
            </w:r>
            <w:r w:rsidRPr="00915913">
              <w:rPr>
                <w:bCs/>
                <w:sz w:val="22"/>
                <w:szCs w:val="22"/>
                <w:lang w:val="uk-UA"/>
              </w:rPr>
              <w:t>25</w:t>
            </w:r>
            <w:r w:rsidRPr="00915913">
              <w:rPr>
                <w:sz w:val="22"/>
                <w:lang w:val="uk-UA"/>
              </w:rPr>
              <w:t xml:space="preserve"> </w:t>
            </w:r>
            <w:proofErr w:type="spellStart"/>
            <w:r w:rsidRPr="00915913">
              <w:rPr>
                <w:sz w:val="22"/>
                <w:lang w:val="uk-UA"/>
              </w:rPr>
              <w:t>квт</w:t>
            </w:r>
            <w:proofErr w:type="spellEnd"/>
            <w:r w:rsidRPr="00915913">
              <w:rPr>
                <w:sz w:val="22"/>
                <w:lang w:val="uk-UA"/>
              </w:rPr>
              <w:t xml:space="preserve"> "під ключ</w:t>
            </w:r>
            <w:r w:rsidRPr="00915913">
              <w:rPr>
                <w:bCs/>
                <w:sz w:val="22"/>
                <w:szCs w:val="22"/>
                <w:lang w:val="uk-UA"/>
              </w:rPr>
              <w:t>"</w:t>
            </w:r>
            <w:r w:rsidR="00985AF6" w:rsidRPr="00915913">
              <w:rPr>
                <w:bCs/>
                <w:sz w:val="22"/>
                <w:szCs w:val="22"/>
                <w:lang w:val="uk-UA"/>
              </w:rPr>
              <w:t>.</w:t>
            </w:r>
          </w:p>
          <w:p w:rsidR="00E95FB1" w:rsidRPr="00915913" w:rsidRDefault="00E95FB1" w:rsidP="000303D7">
            <w:pPr>
              <w:pStyle w:val="a7"/>
              <w:numPr>
                <w:ilvl w:val="0"/>
                <w:numId w:val="23"/>
              </w:numPr>
              <w:jc w:val="left"/>
              <w:rPr>
                <w:sz w:val="22"/>
                <w:lang w:val="uk-UA"/>
              </w:rPr>
            </w:pPr>
            <w:r w:rsidRPr="00915913">
              <w:rPr>
                <w:sz w:val="22"/>
                <w:lang w:val="uk-UA"/>
              </w:rPr>
              <w:t xml:space="preserve">Укладення договору з </w:t>
            </w:r>
            <w:proofErr w:type="spellStart"/>
            <w:r w:rsidRPr="00915913">
              <w:rPr>
                <w:bCs/>
                <w:sz w:val="22"/>
                <w:szCs w:val="22"/>
                <w:lang w:val="uk-UA"/>
              </w:rPr>
              <w:t>про</w:t>
            </w:r>
            <w:r w:rsidR="00985AF6" w:rsidRPr="00915913">
              <w:rPr>
                <w:bCs/>
                <w:sz w:val="22"/>
                <w:szCs w:val="22"/>
                <w:lang w:val="uk-UA"/>
              </w:rPr>
              <w:t>є</w:t>
            </w:r>
            <w:r w:rsidRPr="00915913">
              <w:rPr>
                <w:bCs/>
                <w:sz w:val="22"/>
                <w:szCs w:val="22"/>
                <w:lang w:val="uk-UA"/>
              </w:rPr>
              <w:t>ктною</w:t>
            </w:r>
            <w:proofErr w:type="spellEnd"/>
            <w:r w:rsidRPr="00915913">
              <w:rPr>
                <w:sz w:val="22"/>
                <w:lang w:val="uk-UA"/>
              </w:rPr>
              <w:t xml:space="preserve"> організацією</w:t>
            </w:r>
            <w:r w:rsidR="00985AF6" w:rsidRPr="00915913">
              <w:rPr>
                <w:bCs/>
                <w:sz w:val="22"/>
                <w:szCs w:val="22"/>
                <w:lang w:val="uk-UA"/>
              </w:rPr>
              <w:t>.</w:t>
            </w:r>
          </w:p>
          <w:p w:rsidR="00E95FB1" w:rsidRPr="00915913" w:rsidRDefault="00E95FB1" w:rsidP="000303D7">
            <w:pPr>
              <w:pStyle w:val="a7"/>
              <w:numPr>
                <w:ilvl w:val="0"/>
                <w:numId w:val="23"/>
              </w:numPr>
              <w:jc w:val="left"/>
              <w:rPr>
                <w:sz w:val="22"/>
                <w:lang w:val="uk-UA"/>
              </w:rPr>
            </w:pPr>
            <w:r w:rsidRPr="00915913">
              <w:rPr>
                <w:sz w:val="22"/>
                <w:lang w:val="uk-UA"/>
              </w:rPr>
              <w:t>Підготовка технічного рішення</w:t>
            </w:r>
            <w:r w:rsidR="00985AF6" w:rsidRPr="00915913">
              <w:rPr>
                <w:bCs/>
                <w:sz w:val="22"/>
                <w:szCs w:val="22"/>
                <w:lang w:val="uk-UA"/>
              </w:rPr>
              <w:t>.</w:t>
            </w:r>
          </w:p>
          <w:p w:rsidR="00E95FB1" w:rsidRPr="00915913" w:rsidRDefault="00E95FB1" w:rsidP="000303D7">
            <w:pPr>
              <w:pStyle w:val="a7"/>
              <w:numPr>
                <w:ilvl w:val="0"/>
                <w:numId w:val="23"/>
              </w:numPr>
              <w:jc w:val="left"/>
              <w:rPr>
                <w:sz w:val="22"/>
                <w:lang w:val="uk-UA"/>
              </w:rPr>
            </w:pPr>
            <w:r w:rsidRPr="00915913">
              <w:rPr>
                <w:sz w:val="22"/>
                <w:lang w:val="uk-UA"/>
              </w:rPr>
              <w:t>Проведення торгів на закупівлю та виконання монтажних робіт</w:t>
            </w:r>
            <w:r w:rsidR="00985AF6" w:rsidRPr="00915913">
              <w:rPr>
                <w:bCs/>
                <w:sz w:val="22"/>
                <w:szCs w:val="22"/>
                <w:lang w:val="uk-UA"/>
              </w:rPr>
              <w:t>.</w:t>
            </w:r>
          </w:p>
          <w:p w:rsidR="00E95FB1" w:rsidRPr="00915913" w:rsidRDefault="00E95FB1" w:rsidP="000303D7">
            <w:pPr>
              <w:pStyle w:val="a7"/>
              <w:numPr>
                <w:ilvl w:val="0"/>
                <w:numId w:val="23"/>
              </w:numPr>
              <w:jc w:val="left"/>
              <w:rPr>
                <w:sz w:val="22"/>
                <w:lang w:val="uk-UA"/>
              </w:rPr>
            </w:pPr>
            <w:r w:rsidRPr="00915913">
              <w:rPr>
                <w:sz w:val="22"/>
                <w:lang w:val="uk-UA"/>
              </w:rPr>
              <w:t>Інсталяція станції</w:t>
            </w:r>
            <w:r w:rsidR="00985AF6" w:rsidRPr="00915913">
              <w:rPr>
                <w:bCs/>
                <w:sz w:val="22"/>
                <w:szCs w:val="22"/>
                <w:lang w:val="uk-UA"/>
              </w:rPr>
              <w:t>.</w:t>
            </w:r>
          </w:p>
        </w:tc>
      </w:tr>
      <w:tr w:rsidR="00E95FB1" w:rsidRPr="00915913" w:rsidTr="001B3967">
        <w:trPr>
          <w:trHeight w:val="360"/>
        </w:trPr>
        <w:tc>
          <w:tcPr>
            <w:tcW w:w="2617" w:type="dxa"/>
            <w:vMerge w:val="restart"/>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 xml:space="preserve">Орієнтовний обсяг та джерела фінансування, тис. грн. </w:t>
            </w:r>
          </w:p>
          <w:p w:rsidR="00E95FB1" w:rsidRPr="00915913" w:rsidRDefault="00E95FB1" w:rsidP="001B3967">
            <w:pPr>
              <w:pStyle w:val="a7"/>
              <w:ind w:left="0"/>
              <w:rPr>
                <w:b/>
                <w:sz w:val="22"/>
                <w:lang w:val="uk-UA"/>
              </w:rPr>
            </w:pPr>
          </w:p>
        </w:tc>
        <w:tc>
          <w:tcPr>
            <w:tcW w:w="1901" w:type="dxa"/>
            <w:tcBorders>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Державний бюджет</w:t>
            </w:r>
          </w:p>
        </w:tc>
        <w:tc>
          <w:tcPr>
            <w:tcW w:w="1269" w:type="dxa"/>
            <w:tcBorders>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Місцевий бюджет</w:t>
            </w:r>
          </w:p>
        </w:tc>
        <w:tc>
          <w:tcPr>
            <w:tcW w:w="2818" w:type="dxa"/>
            <w:gridSpan w:val="4"/>
            <w:tcBorders>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Інші джерела</w:t>
            </w:r>
          </w:p>
        </w:tc>
        <w:tc>
          <w:tcPr>
            <w:tcW w:w="1283" w:type="dxa"/>
            <w:tcBorders>
              <w:left w:val="single" w:sz="4" w:space="0" w:color="auto"/>
              <w:bottom w:val="single" w:sz="4" w:space="0" w:color="auto"/>
            </w:tcBorders>
          </w:tcPr>
          <w:p w:rsidR="00E95FB1" w:rsidRPr="00915913" w:rsidRDefault="00E95FB1" w:rsidP="001B3967">
            <w:pPr>
              <w:pStyle w:val="a7"/>
              <w:ind w:left="0"/>
              <w:jc w:val="center"/>
              <w:rPr>
                <w:b/>
                <w:sz w:val="22"/>
                <w:lang w:val="uk-UA"/>
              </w:rPr>
            </w:pPr>
            <w:r w:rsidRPr="00915913">
              <w:rPr>
                <w:b/>
                <w:sz w:val="22"/>
                <w:lang w:val="uk-UA"/>
              </w:rPr>
              <w:t>Всього</w:t>
            </w:r>
          </w:p>
        </w:tc>
      </w:tr>
      <w:tr w:rsidR="00E95FB1" w:rsidRPr="00915913" w:rsidTr="001B3967">
        <w:trPr>
          <w:trHeight w:val="225"/>
        </w:trPr>
        <w:tc>
          <w:tcPr>
            <w:tcW w:w="2617" w:type="dxa"/>
            <w:vMerge/>
            <w:shd w:val="clear" w:color="auto" w:fill="C6D9F1" w:themeFill="text2" w:themeFillTint="33"/>
          </w:tcPr>
          <w:p w:rsidR="00E95FB1" w:rsidRPr="00915913" w:rsidRDefault="00E95FB1" w:rsidP="001B3967">
            <w:pPr>
              <w:pStyle w:val="a7"/>
              <w:ind w:left="0"/>
              <w:rPr>
                <w:b/>
                <w:sz w:val="22"/>
                <w:lang w:val="uk-UA"/>
              </w:rPr>
            </w:pPr>
          </w:p>
        </w:tc>
        <w:tc>
          <w:tcPr>
            <w:tcW w:w="1901" w:type="dxa"/>
            <w:vMerge w:val="restart"/>
            <w:tcBorders>
              <w:top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2 060,8</w:t>
            </w:r>
          </w:p>
        </w:tc>
        <w:tc>
          <w:tcPr>
            <w:tcW w:w="1269" w:type="dxa"/>
            <w:vMerge w:val="restart"/>
            <w:tcBorders>
              <w:top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w:t>
            </w:r>
          </w:p>
        </w:tc>
        <w:tc>
          <w:tcPr>
            <w:tcW w:w="1363" w:type="dxa"/>
            <w:gridSpan w:val="2"/>
            <w:tcBorders>
              <w:top w:val="single" w:sz="4" w:space="0" w:color="auto"/>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Обсяг</w:t>
            </w:r>
          </w:p>
        </w:tc>
        <w:tc>
          <w:tcPr>
            <w:tcW w:w="1455" w:type="dxa"/>
            <w:gridSpan w:val="2"/>
            <w:tcBorders>
              <w:top w:val="single" w:sz="4" w:space="0" w:color="auto"/>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Назва джерела</w:t>
            </w:r>
          </w:p>
        </w:tc>
        <w:tc>
          <w:tcPr>
            <w:tcW w:w="1283" w:type="dxa"/>
            <w:vMerge w:val="restart"/>
            <w:tcBorders>
              <w:top w:val="single" w:sz="4" w:space="0" w:color="auto"/>
              <w:left w:val="single" w:sz="4" w:space="0" w:color="auto"/>
            </w:tcBorders>
          </w:tcPr>
          <w:p w:rsidR="00E95FB1" w:rsidRPr="00915913" w:rsidRDefault="00E95FB1" w:rsidP="001B3967">
            <w:pPr>
              <w:pStyle w:val="a7"/>
              <w:ind w:left="0"/>
              <w:jc w:val="center"/>
              <w:rPr>
                <w:sz w:val="22"/>
                <w:lang w:val="uk-UA"/>
              </w:rPr>
            </w:pPr>
            <w:r w:rsidRPr="00915913">
              <w:rPr>
                <w:sz w:val="22"/>
                <w:lang w:val="uk-UA"/>
              </w:rPr>
              <w:t>2 944,00</w:t>
            </w:r>
          </w:p>
        </w:tc>
      </w:tr>
      <w:tr w:rsidR="00E95FB1" w:rsidRPr="00915913" w:rsidTr="001B3967">
        <w:trPr>
          <w:trHeight w:val="300"/>
        </w:trPr>
        <w:tc>
          <w:tcPr>
            <w:tcW w:w="2617" w:type="dxa"/>
            <w:vMerge/>
            <w:shd w:val="clear" w:color="auto" w:fill="C6D9F1" w:themeFill="text2" w:themeFillTint="33"/>
          </w:tcPr>
          <w:p w:rsidR="00E95FB1" w:rsidRPr="00915913" w:rsidRDefault="00E95FB1" w:rsidP="001B3967">
            <w:pPr>
              <w:pStyle w:val="a7"/>
              <w:ind w:left="0"/>
              <w:rPr>
                <w:b/>
                <w:sz w:val="22"/>
                <w:lang w:val="uk-UA"/>
              </w:rPr>
            </w:pPr>
          </w:p>
        </w:tc>
        <w:tc>
          <w:tcPr>
            <w:tcW w:w="1901" w:type="dxa"/>
            <w:vMerge/>
            <w:tcBorders>
              <w:right w:val="single" w:sz="4" w:space="0" w:color="auto"/>
            </w:tcBorders>
          </w:tcPr>
          <w:p w:rsidR="00E95FB1" w:rsidRPr="00915913" w:rsidRDefault="00E95FB1" w:rsidP="001B3967">
            <w:pPr>
              <w:pStyle w:val="a7"/>
              <w:ind w:left="0"/>
              <w:jc w:val="center"/>
              <w:rPr>
                <w:sz w:val="22"/>
                <w:lang w:val="uk-UA"/>
              </w:rPr>
            </w:pPr>
          </w:p>
        </w:tc>
        <w:tc>
          <w:tcPr>
            <w:tcW w:w="1269" w:type="dxa"/>
            <w:vMerge/>
            <w:tcBorders>
              <w:right w:val="single" w:sz="4" w:space="0" w:color="auto"/>
            </w:tcBorders>
          </w:tcPr>
          <w:p w:rsidR="00E95FB1" w:rsidRPr="00915913" w:rsidRDefault="00E95FB1" w:rsidP="001B3967">
            <w:pPr>
              <w:pStyle w:val="a7"/>
              <w:ind w:left="0"/>
              <w:jc w:val="center"/>
              <w:rPr>
                <w:b/>
                <w:sz w:val="22"/>
                <w:lang w:val="uk-UA"/>
              </w:rPr>
            </w:pPr>
          </w:p>
        </w:tc>
        <w:tc>
          <w:tcPr>
            <w:tcW w:w="1363" w:type="dxa"/>
            <w:gridSpan w:val="2"/>
            <w:tcBorders>
              <w:top w:val="single" w:sz="4" w:space="0" w:color="auto"/>
              <w:left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sz w:val="22"/>
                <w:lang w:val="uk-UA"/>
              </w:rPr>
              <w:t>883,2</w:t>
            </w:r>
          </w:p>
        </w:tc>
        <w:tc>
          <w:tcPr>
            <w:tcW w:w="1455" w:type="dxa"/>
            <w:gridSpan w:val="2"/>
            <w:tcBorders>
              <w:top w:val="single" w:sz="4" w:space="0" w:color="auto"/>
              <w:left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Міжнародні інвестиції, кошти приватних осіб</w:t>
            </w:r>
          </w:p>
        </w:tc>
        <w:tc>
          <w:tcPr>
            <w:tcW w:w="1283" w:type="dxa"/>
            <w:vMerge/>
            <w:tcBorders>
              <w:left w:val="single" w:sz="4" w:space="0" w:color="auto"/>
            </w:tcBorders>
          </w:tcPr>
          <w:p w:rsidR="00E95FB1" w:rsidRPr="00915913" w:rsidRDefault="00E95FB1" w:rsidP="001B3967">
            <w:pPr>
              <w:pStyle w:val="a7"/>
              <w:ind w:left="0"/>
              <w:jc w:val="center"/>
              <w:rPr>
                <w:sz w:val="22"/>
                <w:lang w:val="uk-UA"/>
              </w:rPr>
            </w:pPr>
          </w:p>
        </w:tc>
      </w:tr>
    </w:tbl>
    <w:p w:rsidR="00E95FB1" w:rsidRPr="00915913" w:rsidRDefault="00E95FB1" w:rsidP="00E95FB1">
      <w:pPr>
        <w:rPr>
          <w:sz w:val="22"/>
        </w:rPr>
      </w:pPr>
    </w:p>
    <w:p w:rsidR="00E95FB1" w:rsidRPr="00915913" w:rsidRDefault="00E95FB1" w:rsidP="00E95FB1">
      <w:pPr>
        <w:rPr>
          <w:sz w:val="22"/>
        </w:rPr>
      </w:pPr>
    </w:p>
    <w:p w:rsidR="00E95FB1" w:rsidRPr="00915913" w:rsidRDefault="00E95FB1" w:rsidP="00E95FB1">
      <w:pPr>
        <w:rPr>
          <w:sz w:val="22"/>
        </w:rPr>
      </w:pPr>
    </w:p>
    <w:p w:rsidR="00E95FB1" w:rsidRPr="00915913" w:rsidRDefault="00E95FB1" w:rsidP="00E95FB1">
      <w:pPr>
        <w:rPr>
          <w:sz w:val="22"/>
        </w:rPr>
      </w:pPr>
    </w:p>
    <w:p w:rsidR="00E95FB1" w:rsidRPr="00915913" w:rsidRDefault="00E95FB1" w:rsidP="00E95FB1">
      <w:pPr>
        <w:rPr>
          <w:sz w:val="22"/>
        </w:rPr>
      </w:pPr>
    </w:p>
    <w:tbl>
      <w:tblPr>
        <w:tblStyle w:val="af"/>
        <w:tblW w:w="0" w:type="auto"/>
        <w:tblInd w:w="-176" w:type="dxa"/>
        <w:tblLook w:val="04A0" w:firstRow="1" w:lastRow="0" w:firstColumn="1" w:lastColumn="0" w:noHBand="0" w:noVBand="1"/>
      </w:tblPr>
      <w:tblGrid>
        <w:gridCol w:w="2759"/>
        <w:gridCol w:w="1485"/>
        <w:gridCol w:w="1263"/>
        <w:gridCol w:w="397"/>
        <w:gridCol w:w="952"/>
        <w:gridCol w:w="749"/>
        <w:gridCol w:w="696"/>
        <w:gridCol w:w="1361"/>
      </w:tblGrid>
      <w:tr w:rsidR="00E95FB1" w:rsidRPr="00915913" w:rsidTr="001B3967">
        <w:tc>
          <w:tcPr>
            <w:tcW w:w="2884"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Оперативна ціль/завдання</w:t>
            </w:r>
          </w:p>
        </w:tc>
        <w:tc>
          <w:tcPr>
            <w:tcW w:w="7004" w:type="dxa"/>
            <w:gridSpan w:val="7"/>
            <w:shd w:val="clear" w:color="auto" w:fill="auto"/>
          </w:tcPr>
          <w:p w:rsidR="00E95FB1" w:rsidRPr="00915913" w:rsidRDefault="00E95FB1" w:rsidP="001B3967">
            <w:pPr>
              <w:pStyle w:val="a7"/>
              <w:ind w:left="0"/>
              <w:rPr>
                <w:sz w:val="22"/>
                <w:lang w:val="uk-UA"/>
              </w:rPr>
            </w:pPr>
            <w:r w:rsidRPr="00915913">
              <w:rPr>
                <w:sz w:val="22"/>
                <w:lang w:val="uk-UA"/>
              </w:rPr>
              <w:t>Комфорт життя ЛЮДИНИ як безпека, екологічна сталість та  розумна енергетика. Екологічна сталість через знання та партнерства</w:t>
            </w:r>
          </w:p>
        </w:tc>
      </w:tr>
      <w:tr w:rsidR="00E95FB1" w:rsidRPr="00915913" w:rsidTr="001B3967">
        <w:tc>
          <w:tcPr>
            <w:tcW w:w="2884"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Назва проекту:</w:t>
            </w:r>
          </w:p>
        </w:tc>
        <w:tc>
          <w:tcPr>
            <w:tcW w:w="7004" w:type="dxa"/>
            <w:gridSpan w:val="7"/>
          </w:tcPr>
          <w:p w:rsidR="00E95FB1" w:rsidRPr="00915913" w:rsidRDefault="00E95FB1" w:rsidP="001B3967">
            <w:pPr>
              <w:pStyle w:val="a7"/>
              <w:ind w:left="0"/>
              <w:rPr>
                <w:sz w:val="22"/>
                <w:lang w:val="uk-UA"/>
              </w:rPr>
            </w:pPr>
            <w:r w:rsidRPr="00915913">
              <w:rPr>
                <w:sz w:val="22"/>
                <w:lang w:val="uk-UA"/>
              </w:rPr>
              <w:t>Створення станції з ремонту і технічного обслуговування комунальної спецтехніки і автомобілів</w:t>
            </w:r>
          </w:p>
        </w:tc>
      </w:tr>
      <w:tr w:rsidR="00E95FB1" w:rsidRPr="00915913" w:rsidTr="001B3967">
        <w:tc>
          <w:tcPr>
            <w:tcW w:w="2884" w:type="dxa"/>
            <w:shd w:val="clear" w:color="auto" w:fill="C6D9F1" w:themeFill="text2" w:themeFillTint="33"/>
          </w:tcPr>
          <w:p w:rsidR="00E95FB1" w:rsidRPr="00915913" w:rsidRDefault="00E95FB1" w:rsidP="001B3967">
            <w:pPr>
              <w:rPr>
                <w:b/>
                <w:sz w:val="22"/>
                <w:lang w:val="uk-UA"/>
              </w:rPr>
            </w:pPr>
            <w:r w:rsidRPr="00915913">
              <w:rPr>
                <w:b/>
                <w:sz w:val="22"/>
                <w:lang w:val="uk-UA"/>
              </w:rPr>
              <w:t>Ціль проекту</w:t>
            </w:r>
          </w:p>
        </w:tc>
        <w:tc>
          <w:tcPr>
            <w:tcW w:w="7004" w:type="dxa"/>
            <w:gridSpan w:val="7"/>
          </w:tcPr>
          <w:p w:rsidR="00E95FB1" w:rsidRPr="00915913" w:rsidRDefault="00E95FB1" w:rsidP="001B3967">
            <w:pPr>
              <w:pStyle w:val="a7"/>
              <w:ind w:left="0"/>
              <w:rPr>
                <w:sz w:val="22"/>
                <w:lang w:val="uk-UA"/>
              </w:rPr>
            </w:pPr>
            <w:r w:rsidRPr="00915913">
              <w:rPr>
                <w:sz w:val="22"/>
                <w:lang w:val="uk-UA"/>
              </w:rPr>
              <w:t>Налагодити ремонт комунальної техніки для ефективного та швидкого проведення робіт з благоустрою громади</w:t>
            </w:r>
          </w:p>
        </w:tc>
      </w:tr>
      <w:tr w:rsidR="00E95FB1" w:rsidRPr="00915913" w:rsidTr="001B3967">
        <w:tc>
          <w:tcPr>
            <w:tcW w:w="2884"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Територія, на яку матиме вплив реалізація проекту</w:t>
            </w:r>
          </w:p>
        </w:tc>
        <w:tc>
          <w:tcPr>
            <w:tcW w:w="7004" w:type="dxa"/>
            <w:gridSpan w:val="7"/>
          </w:tcPr>
          <w:p w:rsidR="00E95FB1" w:rsidRPr="00915913" w:rsidRDefault="00E95FB1" w:rsidP="001B3967">
            <w:pPr>
              <w:pStyle w:val="a7"/>
              <w:ind w:left="0"/>
              <w:rPr>
                <w:sz w:val="22"/>
                <w:lang w:val="uk-UA"/>
              </w:rPr>
            </w:pPr>
            <w:r w:rsidRPr="00915913">
              <w:rPr>
                <w:sz w:val="22"/>
                <w:lang w:val="uk-UA"/>
              </w:rPr>
              <w:t>Сєвєродонецька міська територіальна громада</w:t>
            </w:r>
          </w:p>
        </w:tc>
      </w:tr>
      <w:tr w:rsidR="00E95FB1" w:rsidRPr="00915913" w:rsidTr="001B3967">
        <w:tc>
          <w:tcPr>
            <w:tcW w:w="2884"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Чисельність населення, на яке матиме вплив реалізація проекту</w:t>
            </w:r>
          </w:p>
        </w:tc>
        <w:tc>
          <w:tcPr>
            <w:tcW w:w="7004" w:type="dxa"/>
            <w:gridSpan w:val="7"/>
          </w:tcPr>
          <w:p w:rsidR="00E95FB1" w:rsidRPr="00915913" w:rsidRDefault="00E95FB1" w:rsidP="001B3967">
            <w:pPr>
              <w:pStyle w:val="a7"/>
              <w:ind w:left="0"/>
              <w:rPr>
                <w:sz w:val="22"/>
                <w:lang w:val="uk-UA"/>
              </w:rPr>
            </w:pPr>
            <w:r w:rsidRPr="00915913">
              <w:rPr>
                <w:sz w:val="22"/>
                <w:lang w:val="uk-UA"/>
              </w:rPr>
              <w:t xml:space="preserve"> 70 000  осіб</w:t>
            </w:r>
          </w:p>
        </w:tc>
      </w:tr>
      <w:tr w:rsidR="00E95FB1" w:rsidRPr="00915913" w:rsidTr="001B3967">
        <w:tc>
          <w:tcPr>
            <w:tcW w:w="2884" w:type="dxa"/>
            <w:shd w:val="clear" w:color="auto" w:fill="C6D9F1" w:themeFill="text2" w:themeFillTint="33"/>
          </w:tcPr>
          <w:p w:rsidR="00E95FB1" w:rsidRPr="00915913" w:rsidRDefault="00E95FB1" w:rsidP="001B3967">
            <w:pPr>
              <w:rPr>
                <w:b/>
                <w:sz w:val="22"/>
                <w:lang w:val="uk-UA"/>
              </w:rPr>
            </w:pPr>
            <w:r w:rsidRPr="00915913">
              <w:rPr>
                <w:b/>
                <w:sz w:val="22"/>
                <w:lang w:val="uk-UA"/>
              </w:rPr>
              <w:t>Опис проблеми, на вирішення якої  спрямований проект</w:t>
            </w:r>
          </w:p>
        </w:tc>
        <w:tc>
          <w:tcPr>
            <w:tcW w:w="7004" w:type="dxa"/>
            <w:gridSpan w:val="7"/>
          </w:tcPr>
          <w:p w:rsidR="00E95FB1" w:rsidRPr="00915913" w:rsidRDefault="00E95FB1" w:rsidP="001B3967">
            <w:pPr>
              <w:rPr>
                <w:sz w:val="22"/>
                <w:lang w:val="uk-UA"/>
              </w:rPr>
            </w:pPr>
            <w:r w:rsidRPr="00915913">
              <w:rPr>
                <w:sz w:val="22"/>
                <w:lang w:val="uk-UA"/>
              </w:rPr>
              <w:t>Через військову агресію РФ територія Сєвєродонецької міської територіальної громади зазнала значних пошкоджень.  Після бойових дій на території міста Сєвєродонецьк весь сектор обслуговування автотранспорту був зруйнований або евакуювався в безпечні регіони. Транспортні засоби всіх комунальних служб та установ потребуватимуть ремонту і обслуговування.</w:t>
            </w:r>
          </w:p>
        </w:tc>
      </w:tr>
      <w:tr w:rsidR="00E95FB1" w:rsidRPr="00915913" w:rsidTr="001B3967">
        <w:tc>
          <w:tcPr>
            <w:tcW w:w="2884"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Очікувані якісні результати від реалізації проекту</w:t>
            </w:r>
          </w:p>
        </w:tc>
        <w:tc>
          <w:tcPr>
            <w:tcW w:w="7004" w:type="dxa"/>
            <w:gridSpan w:val="7"/>
          </w:tcPr>
          <w:p w:rsidR="00E95FB1" w:rsidRPr="00915913" w:rsidRDefault="00E95FB1" w:rsidP="001B3967">
            <w:pPr>
              <w:pStyle w:val="a7"/>
              <w:ind w:left="0"/>
              <w:rPr>
                <w:sz w:val="22"/>
                <w:lang w:val="uk-UA"/>
              </w:rPr>
            </w:pPr>
            <w:r w:rsidRPr="00915913">
              <w:rPr>
                <w:sz w:val="22"/>
                <w:lang w:val="uk-UA"/>
              </w:rPr>
              <w:t xml:space="preserve">- відновлення міста та селищ громади після </w:t>
            </w:r>
            <w:proofErr w:type="spellStart"/>
            <w:r w:rsidRPr="00915913">
              <w:rPr>
                <w:sz w:val="22"/>
                <w:lang w:val="uk-UA"/>
              </w:rPr>
              <w:t>деокупації</w:t>
            </w:r>
            <w:proofErr w:type="spellEnd"/>
          </w:p>
          <w:p w:rsidR="00E95FB1" w:rsidRPr="00915913" w:rsidRDefault="00E95FB1" w:rsidP="001B3967">
            <w:pPr>
              <w:pStyle w:val="a7"/>
              <w:ind w:left="0"/>
              <w:rPr>
                <w:sz w:val="22"/>
                <w:lang w:val="uk-UA"/>
              </w:rPr>
            </w:pPr>
            <w:r w:rsidRPr="00915913">
              <w:rPr>
                <w:sz w:val="22"/>
                <w:lang w:val="uk-UA"/>
              </w:rPr>
              <w:t>- створення нових робочих місць;</w:t>
            </w:r>
          </w:p>
          <w:p w:rsidR="00E95FB1" w:rsidRPr="00915913" w:rsidRDefault="00E95FB1" w:rsidP="001B3967">
            <w:pPr>
              <w:pStyle w:val="a7"/>
              <w:ind w:left="0"/>
              <w:rPr>
                <w:sz w:val="22"/>
                <w:lang w:val="uk-UA"/>
              </w:rPr>
            </w:pPr>
            <w:r w:rsidRPr="00915913">
              <w:rPr>
                <w:sz w:val="22"/>
                <w:lang w:val="uk-UA"/>
              </w:rPr>
              <w:t>- стимул до повернення ВПО до громади;</w:t>
            </w:r>
          </w:p>
          <w:p w:rsidR="00E95FB1" w:rsidRPr="00915913" w:rsidRDefault="00E95FB1" w:rsidP="0079302E">
            <w:pPr>
              <w:pStyle w:val="a7"/>
              <w:ind w:left="0"/>
              <w:rPr>
                <w:sz w:val="22"/>
                <w:lang w:val="uk-UA"/>
              </w:rPr>
            </w:pPr>
            <w:r w:rsidRPr="00915913">
              <w:rPr>
                <w:sz w:val="22"/>
                <w:lang w:val="uk-UA"/>
              </w:rPr>
              <w:lastRenderedPageBreak/>
              <w:t>- ремонт і обслуговування комунального транспорту та спецтехніки</w:t>
            </w:r>
            <w:r w:rsidRPr="00915913">
              <w:rPr>
                <w:bCs/>
                <w:sz w:val="22"/>
                <w:szCs w:val="22"/>
                <w:lang w:val="uk-UA"/>
              </w:rPr>
              <w:t>.</w:t>
            </w:r>
          </w:p>
        </w:tc>
      </w:tr>
      <w:tr w:rsidR="00E95FB1" w:rsidRPr="00915913" w:rsidTr="001B3967">
        <w:trPr>
          <w:trHeight w:val="390"/>
        </w:trPr>
        <w:tc>
          <w:tcPr>
            <w:tcW w:w="2884" w:type="dxa"/>
            <w:vMerge w:val="restart"/>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lastRenderedPageBreak/>
              <w:t xml:space="preserve">Очікувані кількісні результати реалізації </w:t>
            </w:r>
            <w:proofErr w:type="spellStart"/>
            <w:r w:rsidRPr="00915913">
              <w:rPr>
                <w:b/>
                <w:sz w:val="22"/>
                <w:lang w:val="uk-UA"/>
              </w:rPr>
              <w:t>проєкту</w:t>
            </w:r>
            <w:proofErr w:type="spellEnd"/>
            <w:r w:rsidRPr="00915913">
              <w:rPr>
                <w:b/>
                <w:sz w:val="22"/>
                <w:lang w:val="uk-UA"/>
              </w:rPr>
              <w:t xml:space="preserve"> (індикатори)</w:t>
            </w:r>
          </w:p>
          <w:p w:rsidR="00E95FB1" w:rsidRPr="00915913" w:rsidRDefault="00E95FB1" w:rsidP="001B3967">
            <w:pPr>
              <w:pStyle w:val="a7"/>
              <w:ind w:left="0"/>
              <w:rPr>
                <w:b/>
                <w:sz w:val="22"/>
                <w:lang w:val="uk-UA"/>
              </w:rPr>
            </w:pPr>
          </w:p>
        </w:tc>
        <w:tc>
          <w:tcPr>
            <w:tcW w:w="3212" w:type="dxa"/>
            <w:gridSpan w:val="3"/>
            <w:tcBorders>
              <w:bottom w:val="single" w:sz="4" w:space="0" w:color="auto"/>
              <w:right w:val="single" w:sz="4" w:space="0" w:color="auto"/>
            </w:tcBorders>
          </w:tcPr>
          <w:p w:rsidR="00E95FB1" w:rsidRPr="00915913" w:rsidRDefault="00E95FB1" w:rsidP="001B3967">
            <w:pPr>
              <w:pStyle w:val="a7"/>
              <w:ind w:left="-108"/>
              <w:jc w:val="center"/>
              <w:rPr>
                <w:b/>
                <w:sz w:val="22"/>
                <w:lang w:val="uk-UA"/>
              </w:rPr>
            </w:pPr>
            <w:r w:rsidRPr="00915913">
              <w:rPr>
                <w:b/>
                <w:sz w:val="22"/>
                <w:lang w:val="uk-UA"/>
              </w:rPr>
              <w:t>Найменування показника</w:t>
            </w:r>
          </w:p>
        </w:tc>
        <w:tc>
          <w:tcPr>
            <w:tcW w:w="1701" w:type="dxa"/>
            <w:gridSpan w:val="2"/>
            <w:tcBorders>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Одиниця вимірювання</w:t>
            </w:r>
          </w:p>
          <w:p w:rsidR="00E95FB1" w:rsidRPr="00915913" w:rsidRDefault="00E95FB1" w:rsidP="001B3967">
            <w:pPr>
              <w:pStyle w:val="a7"/>
              <w:ind w:left="0"/>
              <w:rPr>
                <w:b/>
                <w:sz w:val="22"/>
                <w:lang w:val="uk-UA"/>
              </w:rPr>
            </w:pPr>
          </w:p>
        </w:tc>
        <w:tc>
          <w:tcPr>
            <w:tcW w:w="2091" w:type="dxa"/>
            <w:gridSpan w:val="2"/>
            <w:tcBorders>
              <w:left w:val="single" w:sz="4" w:space="0" w:color="auto"/>
              <w:bottom w:val="single" w:sz="4" w:space="0" w:color="auto"/>
            </w:tcBorders>
          </w:tcPr>
          <w:p w:rsidR="00E95FB1" w:rsidRPr="00915913" w:rsidRDefault="00E95FB1" w:rsidP="001B3967">
            <w:pPr>
              <w:pStyle w:val="a7"/>
              <w:ind w:left="0"/>
              <w:jc w:val="center"/>
              <w:rPr>
                <w:b/>
                <w:sz w:val="22"/>
                <w:lang w:val="uk-UA"/>
              </w:rPr>
            </w:pPr>
            <w:r w:rsidRPr="00915913">
              <w:rPr>
                <w:b/>
                <w:sz w:val="22"/>
                <w:lang w:val="uk-UA"/>
              </w:rPr>
              <w:t>Прогнозне (цільове) значення</w:t>
            </w:r>
          </w:p>
        </w:tc>
      </w:tr>
      <w:tr w:rsidR="00E95FB1" w:rsidRPr="00915913" w:rsidTr="001B3967">
        <w:trPr>
          <w:trHeight w:val="585"/>
        </w:trPr>
        <w:tc>
          <w:tcPr>
            <w:tcW w:w="2884" w:type="dxa"/>
            <w:vMerge/>
            <w:shd w:val="clear" w:color="auto" w:fill="C6D9F1" w:themeFill="text2" w:themeFillTint="33"/>
          </w:tcPr>
          <w:p w:rsidR="00E95FB1" w:rsidRPr="00915913" w:rsidRDefault="00E95FB1" w:rsidP="001B3967">
            <w:pPr>
              <w:pStyle w:val="a7"/>
              <w:ind w:left="0"/>
              <w:rPr>
                <w:b/>
                <w:sz w:val="22"/>
                <w:lang w:val="uk-UA"/>
              </w:rPr>
            </w:pPr>
          </w:p>
        </w:tc>
        <w:tc>
          <w:tcPr>
            <w:tcW w:w="3212" w:type="dxa"/>
            <w:gridSpan w:val="3"/>
            <w:tcBorders>
              <w:top w:val="single" w:sz="4" w:space="0" w:color="auto"/>
              <w:bottom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станція з ремонту і технічного обслуговування комунальної спецтехніки і автомобілів</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95FB1" w:rsidRPr="00915913" w:rsidRDefault="00E95FB1" w:rsidP="001B3967">
            <w:pPr>
              <w:pStyle w:val="a7"/>
              <w:ind w:left="0"/>
              <w:jc w:val="center"/>
              <w:rPr>
                <w:sz w:val="22"/>
                <w:lang w:val="uk-UA"/>
              </w:rPr>
            </w:pPr>
            <w:r w:rsidRPr="00915913">
              <w:rPr>
                <w:sz w:val="22"/>
                <w:lang w:val="uk-UA"/>
              </w:rPr>
              <w:t>одиниця</w:t>
            </w:r>
          </w:p>
        </w:tc>
        <w:tc>
          <w:tcPr>
            <w:tcW w:w="2091" w:type="dxa"/>
            <w:gridSpan w:val="2"/>
            <w:tcBorders>
              <w:top w:val="single" w:sz="4" w:space="0" w:color="auto"/>
              <w:left w:val="single" w:sz="4" w:space="0" w:color="auto"/>
              <w:bottom w:val="single" w:sz="4" w:space="0" w:color="auto"/>
            </w:tcBorders>
          </w:tcPr>
          <w:p w:rsidR="00E95FB1" w:rsidRPr="00915913" w:rsidRDefault="00E95FB1" w:rsidP="001B3967">
            <w:pPr>
              <w:pStyle w:val="a7"/>
              <w:ind w:left="0"/>
              <w:jc w:val="center"/>
              <w:rPr>
                <w:b/>
                <w:sz w:val="22"/>
                <w:lang w:val="uk-UA"/>
              </w:rPr>
            </w:pPr>
          </w:p>
          <w:p w:rsidR="00E95FB1" w:rsidRPr="00915913" w:rsidRDefault="00E95FB1" w:rsidP="001B3967">
            <w:pPr>
              <w:pStyle w:val="a7"/>
              <w:ind w:left="0"/>
              <w:jc w:val="center"/>
              <w:rPr>
                <w:b/>
                <w:sz w:val="22"/>
                <w:lang w:val="uk-UA"/>
              </w:rPr>
            </w:pPr>
            <w:r w:rsidRPr="00915913">
              <w:rPr>
                <w:b/>
                <w:sz w:val="22"/>
                <w:lang w:val="uk-UA"/>
              </w:rPr>
              <w:t>1</w:t>
            </w:r>
          </w:p>
        </w:tc>
      </w:tr>
      <w:tr w:rsidR="00E95FB1" w:rsidRPr="00915913" w:rsidTr="001B3967">
        <w:tc>
          <w:tcPr>
            <w:tcW w:w="2884" w:type="dxa"/>
            <w:shd w:val="clear" w:color="auto" w:fill="C6D9F1" w:themeFill="text2" w:themeFillTint="33"/>
          </w:tcPr>
          <w:p w:rsidR="00E95FB1" w:rsidRPr="00915913" w:rsidRDefault="00E95FB1" w:rsidP="001B3967">
            <w:pPr>
              <w:rPr>
                <w:b/>
                <w:sz w:val="22"/>
                <w:lang w:val="uk-UA"/>
              </w:rPr>
            </w:pPr>
            <w:r w:rsidRPr="00915913">
              <w:rPr>
                <w:b/>
                <w:sz w:val="22"/>
                <w:lang w:val="uk-UA"/>
              </w:rPr>
              <w:t xml:space="preserve">Ключові заходи проекту: </w:t>
            </w:r>
          </w:p>
          <w:p w:rsidR="00E95FB1" w:rsidRPr="00915913" w:rsidRDefault="00E95FB1" w:rsidP="001B3967">
            <w:pPr>
              <w:pStyle w:val="a7"/>
              <w:ind w:left="0"/>
              <w:rPr>
                <w:b/>
                <w:sz w:val="22"/>
                <w:lang w:val="uk-UA"/>
              </w:rPr>
            </w:pPr>
          </w:p>
        </w:tc>
        <w:tc>
          <w:tcPr>
            <w:tcW w:w="7004" w:type="dxa"/>
            <w:gridSpan w:val="7"/>
          </w:tcPr>
          <w:p w:rsidR="00E95FB1" w:rsidRPr="00915913" w:rsidRDefault="00E95FB1" w:rsidP="00A508E8">
            <w:pPr>
              <w:numPr>
                <w:ilvl w:val="0"/>
                <w:numId w:val="20"/>
              </w:numPr>
              <w:tabs>
                <w:tab w:val="left" w:pos="228"/>
              </w:tabs>
              <w:ind w:left="0" w:firstLine="0"/>
              <w:rPr>
                <w:sz w:val="22"/>
                <w:lang w:val="uk-UA"/>
              </w:rPr>
            </w:pPr>
            <w:r w:rsidRPr="00915913">
              <w:rPr>
                <w:sz w:val="22"/>
                <w:lang w:val="uk-UA"/>
              </w:rPr>
              <w:t xml:space="preserve">Утворення робочої групи </w:t>
            </w:r>
            <w:proofErr w:type="spellStart"/>
            <w:r w:rsidRPr="00915913">
              <w:rPr>
                <w:sz w:val="22"/>
                <w:lang w:val="uk-UA"/>
              </w:rPr>
              <w:t>проєкту</w:t>
            </w:r>
            <w:proofErr w:type="spellEnd"/>
            <w:r w:rsidRPr="00915913">
              <w:rPr>
                <w:sz w:val="22"/>
                <w:lang w:val="uk-UA"/>
              </w:rPr>
              <w:t>.</w:t>
            </w:r>
          </w:p>
          <w:p w:rsidR="00E95FB1" w:rsidRPr="00915913" w:rsidRDefault="00E95FB1" w:rsidP="00A508E8">
            <w:pPr>
              <w:numPr>
                <w:ilvl w:val="0"/>
                <w:numId w:val="20"/>
              </w:numPr>
              <w:tabs>
                <w:tab w:val="left" w:pos="228"/>
              </w:tabs>
              <w:ind w:left="0" w:firstLine="0"/>
              <w:rPr>
                <w:sz w:val="22"/>
                <w:lang w:val="uk-UA"/>
              </w:rPr>
            </w:pPr>
            <w:r w:rsidRPr="00915913">
              <w:rPr>
                <w:sz w:val="22"/>
                <w:lang w:val="uk-UA"/>
              </w:rPr>
              <w:t>Проведення тендерних торгів.</w:t>
            </w:r>
          </w:p>
          <w:p w:rsidR="00E95FB1" w:rsidRPr="00915913" w:rsidRDefault="00E95FB1" w:rsidP="001B3967">
            <w:pPr>
              <w:rPr>
                <w:sz w:val="22"/>
                <w:lang w:val="uk-UA"/>
              </w:rPr>
            </w:pPr>
            <w:r w:rsidRPr="00915913">
              <w:rPr>
                <w:sz w:val="22"/>
                <w:lang w:val="uk-UA"/>
              </w:rPr>
              <w:t xml:space="preserve">3. Укладення договорів з підрядною організацією на проведення </w:t>
            </w:r>
            <w:proofErr w:type="spellStart"/>
            <w:r w:rsidRPr="00915913">
              <w:rPr>
                <w:sz w:val="22"/>
                <w:lang w:val="uk-UA"/>
              </w:rPr>
              <w:t>проєктних</w:t>
            </w:r>
            <w:proofErr w:type="spellEnd"/>
            <w:r w:rsidRPr="00915913">
              <w:rPr>
                <w:sz w:val="22"/>
                <w:lang w:val="uk-UA"/>
              </w:rPr>
              <w:t>, монтажних, налагоджувальних та випробувальних робіт.</w:t>
            </w:r>
          </w:p>
          <w:p w:rsidR="00E95FB1" w:rsidRPr="00915913" w:rsidRDefault="00E95FB1" w:rsidP="001B3967">
            <w:pPr>
              <w:rPr>
                <w:rStyle w:val="hps"/>
                <w:sz w:val="22"/>
                <w:lang w:val="uk-UA"/>
              </w:rPr>
            </w:pPr>
            <w:r w:rsidRPr="00915913">
              <w:rPr>
                <w:sz w:val="22"/>
                <w:lang w:val="uk-UA"/>
              </w:rPr>
              <w:t xml:space="preserve">4. Виконання та погодження  робочого </w:t>
            </w:r>
            <w:proofErr w:type="spellStart"/>
            <w:r w:rsidRPr="00915913">
              <w:rPr>
                <w:sz w:val="22"/>
                <w:lang w:val="uk-UA"/>
              </w:rPr>
              <w:t>проєкту</w:t>
            </w:r>
            <w:proofErr w:type="spellEnd"/>
            <w:r w:rsidRPr="00915913">
              <w:rPr>
                <w:sz w:val="22"/>
                <w:lang w:val="uk-UA"/>
              </w:rPr>
              <w:t>.</w:t>
            </w:r>
          </w:p>
          <w:p w:rsidR="00E95FB1" w:rsidRPr="00915913" w:rsidRDefault="00E95FB1" w:rsidP="001B3967">
            <w:pPr>
              <w:tabs>
                <w:tab w:val="left" w:pos="348"/>
              </w:tabs>
              <w:rPr>
                <w:sz w:val="22"/>
                <w:lang w:val="uk-UA"/>
              </w:rPr>
            </w:pPr>
            <w:r w:rsidRPr="00915913">
              <w:rPr>
                <w:sz w:val="22"/>
                <w:lang w:val="uk-UA"/>
              </w:rPr>
              <w:t>5. Виконання монтажних робіт.</w:t>
            </w:r>
          </w:p>
          <w:p w:rsidR="00E95FB1" w:rsidRPr="00915913" w:rsidRDefault="00E95FB1" w:rsidP="001B3967">
            <w:pPr>
              <w:keepLines/>
              <w:autoSpaceDE w:val="0"/>
              <w:autoSpaceDN w:val="0"/>
              <w:rPr>
                <w:spacing w:val="-3"/>
                <w:sz w:val="22"/>
                <w:lang w:val="uk-UA"/>
              </w:rPr>
            </w:pPr>
            <w:r w:rsidRPr="00915913">
              <w:rPr>
                <w:spacing w:val="-3"/>
                <w:sz w:val="22"/>
                <w:lang w:val="uk-UA"/>
              </w:rPr>
              <w:t>6. Налагоджувальні та випробувальні роботи.</w:t>
            </w:r>
          </w:p>
          <w:p w:rsidR="00E95FB1" w:rsidRPr="00915913" w:rsidRDefault="00E95FB1" w:rsidP="007842E1">
            <w:pPr>
              <w:jc w:val="left"/>
              <w:rPr>
                <w:sz w:val="22"/>
                <w:lang w:val="uk-UA"/>
              </w:rPr>
            </w:pPr>
            <w:r w:rsidRPr="00915913">
              <w:rPr>
                <w:sz w:val="22"/>
                <w:lang w:val="uk-UA"/>
              </w:rPr>
              <w:t xml:space="preserve">7. Введення </w:t>
            </w:r>
            <w:r w:rsidRPr="00915913">
              <w:rPr>
                <w:rStyle w:val="hps"/>
                <w:sz w:val="22"/>
                <w:lang w:val="uk-UA"/>
              </w:rPr>
              <w:t xml:space="preserve">лінії </w:t>
            </w:r>
            <w:r w:rsidRPr="00915913">
              <w:rPr>
                <w:sz w:val="22"/>
                <w:lang w:val="uk-UA"/>
              </w:rPr>
              <w:t xml:space="preserve"> в експлуатацію.</w:t>
            </w:r>
          </w:p>
        </w:tc>
      </w:tr>
      <w:tr w:rsidR="00E95FB1" w:rsidRPr="00915913" w:rsidTr="001B3967">
        <w:trPr>
          <w:trHeight w:val="360"/>
        </w:trPr>
        <w:tc>
          <w:tcPr>
            <w:tcW w:w="2884" w:type="dxa"/>
            <w:vMerge w:val="restart"/>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 xml:space="preserve">Орієнтовний обсяг та джерела фінансування, тис. грн. </w:t>
            </w:r>
          </w:p>
          <w:p w:rsidR="00E95FB1" w:rsidRPr="00915913" w:rsidRDefault="00E95FB1" w:rsidP="001B3967">
            <w:pPr>
              <w:pStyle w:val="a7"/>
              <w:ind w:left="0"/>
              <w:rPr>
                <w:b/>
                <w:sz w:val="22"/>
                <w:lang w:val="uk-UA"/>
              </w:rPr>
            </w:pPr>
          </w:p>
        </w:tc>
        <w:tc>
          <w:tcPr>
            <w:tcW w:w="1499" w:type="dxa"/>
            <w:tcBorders>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Державний бюджет</w:t>
            </w:r>
          </w:p>
        </w:tc>
        <w:tc>
          <w:tcPr>
            <w:tcW w:w="1272" w:type="dxa"/>
            <w:tcBorders>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Місцевий бюджет</w:t>
            </w:r>
          </w:p>
        </w:tc>
        <w:tc>
          <w:tcPr>
            <w:tcW w:w="2848" w:type="dxa"/>
            <w:gridSpan w:val="4"/>
            <w:tcBorders>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Інші джерела</w:t>
            </w:r>
          </w:p>
        </w:tc>
        <w:tc>
          <w:tcPr>
            <w:tcW w:w="1385" w:type="dxa"/>
            <w:tcBorders>
              <w:left w:val="single" w:sz="4" w:space="0" w:color="auto"/>
              <w:bottom w:val="single" w:sz="4" w:space="0" w:color="auto"/>
            </w:tcBorders>
          </w:tcPr>
          <w:p w:rsidR="00E95FB1" w:rsidRPr="00915913" w:rsidRDefault="00E95FB1" w:rsidP="001B3967">
            <w:pPr>
              <w:pStyle w:val="a7"/>
              <w:ind w:left="0"/>
              <w:jc w:val="center"/>
              <w:rPr>
                <w:b/>
                <w:sz w:val="22"/>
                <w:lang w:val="uk-UA"/>
              </w:rPr>
            </w:pPr>
            <w:r w:rsidRPr="00915913">
              <w:rPr>
                <w:b/>
                <w:sz w:val="22"/>
                <w:lang w:val="uk-UA"/>
              </w:rPr>
              <w:t>Всього</w:t>
            </w:r>
          </w:p>
        </w:tc>
      </w:tr>
      <w:tr w:rsidR="00E95FB1" w:rsidRPr="00915913" w:rsidTr="001B3967">
        <w:trPr>
          <w:trHeight w:val="225"/>
        </w:trPr>
        <w:tc>
          <w:tcPr>
            <w:tcW w:w="2884" w:type="dxa"/>
            <w:vMerge/>
            <w:shd w:val="clear" w:color="auto" w:fill="C6D9F1" w:themeFill="text2" w:themeFillTint="33"/>
          </w:tcPr>
          <w:p w:rsidR="00E95FB1" w:rsidRPr="00915913" w:rsidRDefault="00E95FB1" w:rsidP="001B3967">
            <w:pPr>
              <w:pStyle w:val="a7"/>
              <w:ind w:left="0"/>
              <w:rPr>
                <w:b/>
                <w:sz w:val="22"/>
                <w:lang w:val="uk-UA"/>
              </w:rPr>
            </w:pPr>
          </w:p>
        </w:tc>
        <w:tc>
          <w:tcPr>
            <w:tcW w:w="1499" w:type="dxa"/>
            <w:vMerge w:val="restart"/>
            <w:tcBorders>
              <w:top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1 036,0</w:t>
            </w:r>
          </w:p>
        </w:tc>
        <w:tc>
          <w:tcPr>
            <w:tcW w:w="1272" w:type="dxa"/>
            <w:vMerge w:val="restart"/>
            <w:tcBorders>
              <w:top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w:t>
            </w:r>
          </w:p>
        </w:tc>
        <w:tc>
          <w:tcPr>
            <w:tcW w:w="1393" w:type="dxa"/>
            <w:gridSpan w:val="2"/>
            <w:tcBorders>
              <w:top w:val="single" w:sz="4" w:space="0" w:color="auto"/>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Обсяг</w:t>
            </w:r>
          </w:p>
        </w:tc>
        <w:tc>
          <w:tcPr>
            <w:tcW w:w="1455" w:type="dxa"/>
            <w:gridSpan w:val="2"/>
            <w:tcBorders>
              <w:top w:val="single" w:sz="4" w:space="0" w:color="auto"/>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Назва джерела</w:t>
            </w:r>
          </w:p>
        </w:tc>
        <w:tc>
          <w:tcPr>
            <w:tcW w:w="1385" w:type="dxa"/>
            <w:vMerge w:val="restart"/>
            <w:tcBorders>
              <w:top w:val="single" w:sz="4" w:space="0" w:color="auto"/>
              <w:left w:val="single" w:sz="4" w:space="0" w:color="auto"/>
            </w:tcBorders>
          </w:tcPr>
          <w:p w:rsidR="00E95FB1" w:rsidRPr="00915913" w:rsidRDefault="00E95FB1" w:rsidP="001B3967">
            <w:pPr>
              <w:pStyle w:val="a7"/>
              <w:ind w:left="0"/>
              <w:jc w:val="center"/>
              <w:rPr>
                <w:sz w:val="22"/>
                <w:lang w:val="uk-UA"/>
              </w:rPr>
            </w:pPr>
            <w:r w:rsidRPr="00915913">
              <w:rPr>
                <w:sz w:val="22"/>
                <w:lang w:val="uk-UA"/>
              </w:rPr>
              <w:t>1 480,00</w:t>
            </w:r>
          </w:p>
        </w:tc>
      </w:tr>
      <w:tr w:rsidR="00E95FB1" w:rsidRPr="00915913" w:rsidTr="001B3967">
        <w:trPr>
          <w:trHeight w:val="300"/>
        </w:trPr>
        <w:tc>
          <w:tcPr>
            <w:tcW w:w="2884" w:type="dxa"/>
            <w:vMerge/>
            <w:shd w:val="clear" w:color="auto" w:fill="C6D9F1" w:themeFill="text2" w:themeFillTint="33"/>
          </w:tcPr>
          <w:p w:rsidR="00E95FB1" w:rsidRPr="00915913" w:rsidRDefault="00E95FB1" w:rsidP="001B3967">
            <w:pPr>
              <w:pStyle w:val="a7"/>
              <w:ind w:left="0"/>
              <w:rPr>
                <w:b/>
                <w:sz w:val="22"/>
                <w:lang w:val="uk-UA"/>
              </w:rPr>
            </w:pPr>
          </w:p>
        </w:tc>
        <w:tc>
          <w:tcPr>
            <w:tcW w:w="1499" w:type="dxa"/>
            <w:vMerge/>
            <w:tcBorders>
              <w:right w:val="single" w:sz="4" w:space="0" w:color="auto"/>
            </w:tcBorders>
          </w:tcPr>
          <w:p w:rsidR="00E95FB1" w:rsidRPr="00915913" w:rsidRDefault="00E95FB1" w:rsidP="001B3967">
            <w:pPr>
              <w:pStyle w:val="a7"/>
              <w:ind w:left="0"/>
              <w:jc w:val="center"/>
              <w:rPr>
                <w:sz w:val="22"/>
                <w:lang w:val="uk-UA"/>
              </w:rPr>
            </w:pPr>
          </w:p>
        </w:tc>
        <w:tc>
          <w:tcPr>
            <w:tcW w:w="1272" w:type="dxa"/>
            <w:vMerge/>
            <w:tcBorders>
              <w:right w:val="single" w:sz="4" w:space="0" w:color="auto"/>
            </w:tcBorders>
          </w:tcPr>
          <w:p w:rsidR="00E95FB1" w:rsidRPr="00915913" w:rsidRDefault="00E95FB1" w:rsidP="001B3967">
            <w:pPr>
              <w:pStyle w:val="a7"/>
              <w:ind w:left="0"/>
              <w:jc w:val="center"/>
              <w:rPr>
                <w:b/>
                <w:sz w:val="22"/>
                <w:lang w:val="uk-UA"/>
              </w:rPr>
            </w:pPr>
          </w:p>
        </w:tc>
        <w:tc>
          <w:tcPr>
            <w:tcW w:w="1393" w:type="dxa"/>
            <w:gridSpan w:val="2"/>
            <w:tcBorders>
              <w:top w:val="single" w:sz="4" w:space="0" w:color="auto"/>
              <w:left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sz w:val="22"/>
                <w:lang w:val="uk-UA"/>
              </w:rPr>
              <w:t>444,0</w:t>
            </w:r>
          </w:p>
        </w:tc>
        <w:tc>
          <w:tcPr>
            <w:tcW w:w="1455" w:type="dxa"/>
            <w:gridSpan w:val="2"/>
            <w:tcBorders>
              <w:top w:val="single" w:sz="4" w:space="0" w:color="auto"/>
              <w:left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Міжнародні інвестиції, кошти приватних осіб</w:t>
            </w:r>
          </w:p>
        </w:tc>
        <w:tc>
          <w:tcPr>
            <w:tcW w:w="1385" w:type="dxa"/>
            <w:vMerge/>
            <w:tcBorders>
              <w:left w:val="single" w:sz="4" w:space="0" w:color="auto"/>
            </w:tcBorders>
          </w:tcPr>
          <w:p w:rsidR="00E95FB1" w:rsidRPr="00915913" w:rsidRDefault="00E95FB1" w:rsidP="001B3967">
            <w:pPr>
              <w:pStyle w:val="a7"/>
              <w:ind w:left="0"/>
              <w:jc w:val="center"/>
              <w:rPr>
                <w:sz w:val="22"/>
                <w:lang w:val="uk-UA"/>
              </w:rPr>
            </w:pPr>
          </w:p>
        </w:tc>
      </w:tr>
    </w:tbl>
    <w:p w:rsidR="00E95FB1" w:rsidRPr="00915913" w:rsidRDefault="00E95FB1" w:rsidP="00E95FB1">
      <w:pPr>
        <w:rPr>
          <w:sz w:val="22"/>
        </w:rPr>
      </w:pPr>
    </w:p>
    <w:p w:rsidR="00737BE6" w:rsidRPr="00915913" w:rsidRDefault="00737BE6" w:rsidP="00E95FB1">
      <w:pPr>
        <w:rPr>
          <w:sz w:val="22"/>
          <w:lang w:val="ru-RU"/>
        </w:rPr>
      </w:pPr>
    </w:p>
    <w:tbl>
      <w:tblPr>
        <w:tblStyle w:val="11"/>
        <w:tblW w:w="9923" w:type="dxa"/>
        <w:tblInd w:w="-176" w:type="dxa"/>
        <w:tblLook w:val="04A0" w:firstRow="1" w:lastRow="0" w:firstColumn="1" w:lastColumn="0" w:noHBand="0" w:noVBand="1"/>
      </w:tblPr>
      <w:tblGrid>
        <w:gridCol w:w="2836"/>
        <w:gridCol w:w="1689"/>
        <w:gridCol w:w="1288"/>
        <w:gridCol w:w="71"/>
        <w:gridCol w:w="1126"/>
        <w:gridCol w:w="787"/>
        <w:gridCol w:w="508"/>
        <w:gridCol w:w="1618"/>
      </w:tblGrid>
      <w:tr w:rsidR="00737BE6" w:rsidRPr="00915913" w:rsidTr="00737BE6">
        <w:tc>
          <w:tcPr>
            <w:tcW w:w="2836" w:type="dxa"/>
            <w:shd w:val="clear" w:color="auto" w:fill="C6D9F1" w:themeFill="text2" w:themeFillTint="33"/>
          </w:tcPr>
          <w:p w:rsidR="00737BE6" w:rsidRPr="00915913" w:rsidRDefault="00737BE6" w:rsidP="001B3967">
            <w:pPr>
              <w:contextualSpacing/>
              <w:rPr>
                <w:b/>
                <w:sz w:val="22"/>
                <w:lang w:val="uk-UA"/>
              </w:rPr>
            </w:pPr>
            <w:r w:rsidRPr="00915913">
              <w:rPr>
                <w:b/>
                <w:sz w:val="22"/>
                <w:lang w:val="uk-UA"/>
              </w:rPr>
              <w:t>Оперативна ціль/завдання</w:t>
            </w:r>
          </w:p>
        </w:tc>
        <w:tc>
          <w:tcPr>
            <w:tcW w:w="7087" w:type="dxa"/>
            <w:gridSpan w:val="7"/>
            <w:shd w:val="clear" w:color="auto" w:fill="auto"/>
          </w:tcPr>
          <w:p w:rsidR="00737BE6" w:rsidRPr="00915913" w:rsidRDefault="00737BE6" w:rsidP="001B3967">
            <w:pPr>
              <w:contextualSpacing/>
              <w:rPr>
                <w:sz w:val="22"/>
                <w:lang w:val="uk-UA"/>
              </w:rPr>
            </w:pPr>
            <w:r w:rsidRPr="00915913">
              <w:rPr>
                <w:sz w:val="22"/>
                <w:lang w:val="uk-UA"/>
              </w:rPr>
              <w:t>SMART – трансформація економіки та відновлення інвестиційної привабливості громади. Маркетинг  території громади та залучення інвестицій</w:t>
            </w:r>
          </w:p>
        </w:tc>
      </w:tr>
      <w:tr w:rsidR="00737BE6" w:rsidRPr="00915913" w:rsidTr="00737BE6">
        <w:tc>
          <w:tcPr>
            <w:tcW w:w="2836" w:type="dxa"/>
            <w:shd w:val="clear" w:color="auto" w:fill="C6D9F1" w:themeFill="text2" w:themeFillTint="33"/>
          </w:tcPr>
          <w:p w:rsidR="00737BE6" w:rsidRPr="00915913" w:rsidRDefault="00737BE6" w:rsidP="001B3967">
            <w:pPr>
              <w:contextualSpacing/>
              <w:rPr>
                <w:b/>
                <w:sz w:val="22"/>
                <w:lang w:val="uk-UA"/>
              </w:rPr>
            </w:pPr>
            <w:r w:rsidRPr="00915913">
              <w:rPr>
                <w:b/>
                <w:sz w:val="22"/>
                <w:lang w:val="uk-UA"/>
              </w:rPr>
              <w:t>Назва проекту:</w:t>
            </w:r>
          </w:p>
        </w:tc>
        <w:tc>
          <w:tcPr>
            <w:tcW w:w="7087" w:type="dxa"/>
            <w:gridSpan w:val="7"/>
          </w:tcPr>
          <w:p w:rsidR="00737BE6" w:rsidRPr="00915913" w:rsidRDefault="00737BE6" w:rsidP="001B3967">
            <w:pPr>
              <w:contextualSpacing/>
              <w:rPr>
                <w:sz w:val="22"/>
                <w:lang w:val="uk-UA"/>
              </w:rPr>
            </w:pPr>
            <w:r w:rsidRPr="00915913">
              <w:rPr>
                <w:sz w:val="22"/>
                <w:lang w:val="uk-UA"/>
              </w:rPr>
              <w:t xml:space="preserve">Відновлення діяльності Комунального підприємства «Сєвєродонецьке агентство інвестицій та розвитку» </w:t>
            </w:r>
          </w:p>
        </w:tc>
      </w:tr>
      <w:tr w:rsidR="00737BE6" w:rsidRPr="00915913" w:rsidTr="00737BE6">
        <w:tc>
          <w:tcPr>
            <w:tcW w:w="2836" w:type="dxa"/>
            <w:shd w:val="clear" w:color="auto" w:fill="C6D9F1" w:themeFill="text2" w:themeFillTint="33"/>
          </w:tcPr>
          <w:p w:rsidR="00737BE6" w:rsidRPr="00915913" w:rsidRDefault="00737BE6" w:rsidP="001B3967">
            <w:pPr>
              <w:rPr>
                <w:b/>
                <w:sz w:val="22"/>
                <w:lang w:val="uk-UA"/>
              </w:rPr>
            </w:pPr>
            <w:r w:rsidRPr="00915913">
              <w:rPr>
                <w:b/>
                <w:sz w:val="22"/>
                <w:lang w:val="uk-UA"/>
              </w:rPr>
              <w:t>Ціль проекту</w:t>
            </w:r>
          </w:p>
        </w:tc>
        <w:tc>
          <w:tcPr>
            <w:tcW w:w="7087" w:type="dxa"/>
            <w:gridSpan w:val="7"/>
          </w:tcPr>
          <w:p w:rsidR="00737BE6" w:rsidRPr="00915913" w:rsidRDefault="00737BE6" w:rsidP="001B3967">
            <w:pPr>
              <w:contextualSpacing/>
              <w:rPr>
                <w:sz w:val="22"/>
                <w:lang w:val="uk-UA"/>
              </w:rPr>
            </w:pPr>
            <w:r w:rsidRPr="00915913">
              <w:rPr>
                <w:sz w:val="22"/>
                <w:lang w:val="uk-UA"/>
              </w:rPr>
              <w:t>Відновлення роботи та матеріально-технічне забезпечення функціонування КП «Сєвєродонецьке агентство інвестицій та розвитку»</w:t>
            </w:r>
          </w:p>
        </w:tc>
      </w:tr>
      <w:tr w:rsidR="00737BE6" w:rsidRPr="00915913" w:rsidTr="00737BE6">
        <w:tc>
          <w:tcPr>
            <w:tcW w:w="2836" w:type="dxa"/>
            <w:shd w:val="clear" w:color="auto" w:fill="C6D9F1" w:themeFill="text2" w:themeFillTint="33"/>
          </w:tcPr>
          <w:p w:rsidR="00737BE6" w:rsidRPr="00915913" w:rsidRDefault="00737BE6" w:rsidP="001B3967">
            <w:pPr>
              <w:contextualSpacing/>
              <w:rPr>
                <w:b/>
                <w:sz w:val="22"/>
                <w:lang w:val="uk-UA"/>
              </w:rPr>
            </w:pPr>
            <w:r w:rsidRPr="00915913">
              <w:rPr>
                <w:b/>
                <w:sz w:val="22"/>
                <w:lang w:val="uk-UA"/>
              </w:rPr>
              <w:t>Територія, на яку матиме вплив реалізація проекту</w:t>
            </w:r>
          </w:p>
        </w:tc>
        <w:tc>
          <w:tcPr>
            <w:tcW w:w="7087" w:type="dxa"/>
            <w:gridSpan w:val="7"/>
          </w:tcPr>
          <w:p w:rsidR="00737BE6" w:rsidRPr="00915913" w:rsidRDefault="00737BE6" w:rsidP="001B3967">
            <w:pPr>
              <w:contextualSpacing/>
              <w:rPr>
                <w:sz w:val="22"/>
                <w:lang w:val="uk-UA"/>
              </w:rPr>
            </w:pPr>
            <w:r w:rsidRPr="00915913">
              <w:rPr>
                <w:sz w:val="22"/>
                <w:lang w:val="uk-UA"/>
              </w:rPr>
              <w:t>Сєвєродонецька міська територіальна громада</w:t>
            </w:r>
          </w:p>
        </w:tc>
      </w:tr>
      <w:tr w:rsidR="00737BE6" w:rsidRPr="00915913" w:rsidTr="00737BE6">
        <w:tc>
          <w:tcPr>
            <w:tcW w:w="2836" w:type="dxa"/>
            <w:shd w:val="clear" w:color="auto" w:fill="C6D9F1" w:themeFill="text2" w:themeFillTint="33"/>
          </w:tcPr>
          <w:p w:rsidR="00737BE6" w:rsidRPr="00915913" w:rsidRDefault="00737BE6" w:rsidP="001B3967">
            <w:pPr>
              <w:contextualSpacing/>
              <w:rPr>
                <w:b/>
                <w:sz w:val="22"/>
                <w:lang w:val="uk-UA"/>
              </w:rPr>
            </w:pPr>
            <w:r w:rsidRPr="00915913">
              <w:rPr>
                <w:b/>
                <w:sz w:val="22"/>
                <w:lang w:val="uk-UA"/>
              </w:rPr>
              <w:t>Чисельність населення, на яке матиме вплив реалізація проекту</w:t>
            </w:r>
          </w:p>
        </w:tc>
        <w:tc>
          <w:tcPr>
            <w:tcW w:w="7087" w:type="dxa"/>
            <w:gridSpan w:val="7"/>
          </w:tcPr>
          <w:p w:rsidR="00737BE6" w:rsidRPr="00915913" w:rsidRDefault="00737BE6" w:rsidP="001B3967">
            <w:pPr>
              <w:contextualSpacing/>
              <w:rPr>
                <w:sz w:val="22"/>
                <w:lang w:val="uk-UA"/>
              </w:rPr>
            </w:pPr>
            <w:r w:rsidRPr="00915913">
              <w:rPr>
                <w:sz w:val="22"/>
                <w:lang w:val="uk-UA"/>
              </w:rPr>
              <w:t xml:space="preserve"> 70 000  осіб</w:t>
            </w:r>
          </w:p>
        </w:tc>
      </w:tr>
      <w:tr w:rsidR="00737BE6" w:rsidRPr="00915913" w:rsidTr="00737BE6">
        <w:tc>
          <w:tcPr>
            <w:tcW w:w="2836" w:type="dxa"/>
            <w:shd w:val="clear" w:color="auto" w:fill="C6D9F1" w:themeFill="text2" w:themeFillTint="33"/>
          </w:tcPr>
          <w:p w:rsidR="00737BE6" w:rsidRPr="00915913" w:rsidRDefault="00737BE6" w:rsidP="001B3967">
            <w:pPr>
              <w:rPr>
                <w:b/>
                <w:sz w:val="22"/>
                <w:lang w:val="uk-UA"/>
              </w:rPr>
            </w:pPr>
            <w:r w:rsidRPr="00915913">
              <w:rPr>
                <w:b/>
                <w:sz w:val="22"/>
                <w:lang w:val="uk-UA"/>
              </w:rPr>
              <w:t>Опис проблеми, на вирішення якої  спрямований проект</w:t>
            </w:r>
          </w:p>
        </w:tc>
        <w:tc>
          <w:tcPr>
            <w:tcW w:w="7087" w:type="dxa"/>
            <w:gridSpan w:val="7"/>
          </w:tcPr>
          <w:p w:rsidR="00737BE6" w:rsidRPr="00915913" w:rsidRDefault="00737BE6" w:rsidP="001B3967">
            <w:pPr>
              <w:ind w:firstLine="708"/>
              <w:rPr>
                <w:sz w:val="22"/>
                <w:lang w:val="uk-UA"/>
              </w:rPr>
            </w:pPr>
            <w:r w:rsidRPr="00915913">
              <w:rPr>
                <w:sz w:val="22"/>
                <w:lang w:val="uk-UA"/>
              </w:rPr>
              <w:t xml:space="preserve">Через військову агресію РФ територія Сєвєродонецької міської територіальної громади зазнала значних пошкоджень. </w:t>
            </w:r>
          </w:p>
          <w:p w:rsidR="00737BE6" w:rsidRPr="00915913" w:rsidRDefault="00737BE6" w:rsidP="001B3967">
            <w:pPr>
              <w:rPr>
                <w:sz w:val="22"/>
                <w:lang w:val="uk-UA"/>
              </w:rPr>
            </w:pPr>
            <w:r w:rsidRPr="00915913">
              <w:rPr>
                <w:sz w:val="22"/>
                <w:lang w:val="uk-UA"/>
              </w:rPr>
              <w:t xml:space="preserve">КП «Сєвєродонецьке агентство інвестицій та розвитку» було створено як муніципальний орган управління, відповідального за керування житловими одиницями та встановлення пріоритетів щодо використання фонду місцевого розвитку, пропонуючи </w:t>
            </w:r>
            <w:proofErr w:type="spellStart"/>
            <w:r w:rsidRPr="00915913">
              <w:rPr>
                <w:sz w:val="22"/>
                <w:szCs w:val="22"/>
                <w:lang w:val="uk-UA"/>
              </w:rPr>
              <w:t>про</w:t>
            </w:r>
            <w:r w:rsidR="00D040FF" w:rsidRPr="00915913">
              <w:rPr>
                <w:sz w:val="22"/>
                <w:szCs w:val="22"/>
                <w:lang w:val="uk-UA"/>
              </w:rPr>
              <w:t>є</w:t>
            </w:r>
            <w:r w:rsidRPr="00915913">
              <w:rPr>
                <w:sz w:val="22"/>
                <w:szCs w:val="22"/>
                <w:lang w:val="uk-UA"/>
              </w:rPr>
              <w:t>кти</w:t>
            </w:r>
            <w:proofErr w:type="spellEnd"/>
            <w:r w:rsidRPr="00915913">
              <w:rPr>
                <w:sz w:val="22"/>
                <w:lang w:val="uk-UA"/>
              </w:rPr>
              <w:t xml:space="preserve"> для сприяння сталому розвитку та соціальній згуртованості на місцевому рівні. Підприємство займається </w:t>
            </w:r>
            <w:proofErr w:type="spellStart"/>
            <w:r w:rsidRPr="00915913">
              <w:rPr>
                <w:sz w:val="22"/>
                <w:lang w:val="uk-UA"/>
              </w:rPr>
              <w:t>пощуком</w:t>
            </w:r>
            <w:proofErr w:type="spellEnd"/>
            <w:r w:rsidRPr="00915913">
              <w:rPr>
                <w:sz w:val="22"/>
                <w:lang w:val="uk-UA"/>
              </w:rPr>
              <w:t xml:space="preserve"> інвесторів для залучення інвестицій в економіку громади, написанням </w:t>
            </w:r>
            <w:proofErr w:type="spellStart"/>
            <w:r w:rsidRPr="00915913">
              <w:rPr>
                <w:sz w:val="22"/>
                <w:szCs w:val="22"/>
                <w:lang w:val="uk-UA"/>
              </w:rPr>
              <w:t>про</w:t>
            </w:r>
            <w:r w:rsidR="00D040FF" w:rsidRPr="00915913">
              <w:rPr>
                <w:sz w:val="22"/>
                <w:szCs w:val="22"/>
                <w:lang w:val="uk-UA"/>
              </w:rPr>
              <w:t>є</w:t>
            </w:r>
            <w:r w:rsidRPr="00915913">
              <w:rPr>
                <w:sz w:val="22"/>
                <w:szCs w:val="22"/>
                <w:lang w:val="uk-UA"/>
              </w:rPr>
              <w:t>ктів</w:t>
            </w:r>
            <w:proofErr w:type="spellEnd"/>
            <w:r w:rsidRPr="00915913">
              <w:rPr>
                <w:sz w:val="22"/>
                <w:lang w:val="uk-UA"/>
              </w:rPr>
              <w:t xml:space="preserve"> для залучення інвестицій. Також ведеться активна робота з розвитку руху ОСББ в Україні, покращення екологічного стану території громади шляхом </w:t>
            </w:r>
            <w:proofErr w:type="spellStart"/>
            <w:r w:rsidRPr="00915913">
              <w:rPr>
                <w:sz w:val="22"/>
                <w:lang w:val="uk-UA"/>
              </w:rPr>
              <w:t>термомодернізації</w:t>
            </w:r>
            <w:proofErr w:type="spellEnd"/>
            <w:r w:rsidRPr="00915913">
              <w:rPr>
                <w:sz w:val="22"/>
                <w:lang w:val="uk-UA"/>
              </w:rPr>
              <w:t xml:space="preserve"> </w:t>
            </w:r>
            <w:r w:rsidRPr="00915913">
              <w:rPr>
                <w:sz w:val="22"/>
                <w:szCs w:val="22"/>
                <w:lang w:val="uk-UA"/>
              </w:rPr>
              <w:t>будин</w:t>
            </w:r>
            <w:r w:rsidR="00D040FF" w:rsidRPr="00915913">
              <w:rPr>
                <w:sz w:val="22"/>
                <w:szCs w:val="22"/>
                <w:lang w:val="uk-UA"/>
              </w:rPr>
              <w:t>к</w:t>
            </w:r>
            <w:r w:rsidRPr="00915913">
              <w:rPr>
                <w:sz w:val="22"/>
                <w:szCs w:val="22"/>
                <w:lang w:val="uk-UA"/>
              </w:rPr>
              <w:t>ів</w:t>
            </w:r>
            <w:r w:rsidRPr="00915913">
              <w:rPr>
                <w:sz w:val="22"/>
                <w:lang w:val="uk-UA"/>
              </w:rPr>
              <w:t xml:space="preserve">. Важливим напрямом діяльності є </w:t>
            </w:r>
            <w:proofErr w:type="spellStart"/>
            <w:r w:rsidRPr="00915913">
              <w:rPr>
                <w:sz w:val="22"/>
                <w:lang w:val="uk-UA"/>
              </w:rPr>
              <w:t>цифровізція</w:t>
            </w:r>
            <w:proofErr w:type="spellEnd"/>
            <w:r w:rsidRPr="00915913">
              <w:rPr>
                <w:sz w:val="22"/>
                <w:lang w:val="uk-UA"/>
              </w:rPr>
              <w:t xml:space="preserve"> громади.</w:t>
            </w:r>
          </w:p>
          <w:p w:rsidR="00737BE6" w:rsidRPr="00915913" w:rsidRDefault="00737BE6" w:rsidP="001B3967">
            <w:pPr>
              <w:ind w:firstLine="708"/>
              <w:rPr>
                <w:sz w:val="22"/>
                <w:lang w:val="uk-UA"/>
              </w:rPr>
            </w:pPr>
            <w:r w:rsidRPr="00915913">
              <w:rPr>
                <w:sz w:val="22"/>
                <w:lang w:val="uk-UA"/>
              </w:rPr>
              <w:t xml:space="preserve">Але через військову агресію РФ проти України знищено все майно підприємства та приміщення, де розташовувалось </w:t>
            </w:r>
            <w:r w:rsidRPr="00915913">
              <w:rPr>
                <w:sz w:val="22"/>
                <w:szCs w:val="22"/>
                <w:lang w:val="uk-UA"/>
              </w:rPr>
              <w:t>підприємств</w:t>
            </w:r>
            <w:r w:rsidR="00D040FF" w:rsidRPr="00915913">
              <w:rPr>
                <w:sz w:val="22"/>
                <w:szCs w:val="22"/>
                <w:lang w:val="uk-UA"/>
              </w:rPr>
              <w:t>о</w:t>
            </w:r>
            <w:r w:rsidRPr="00915913">
              <w:rPr>
                <w:sz w:val="22"/>
                <w:lang w:val="uk-UA"/>
              </w:rPr>
              <w:t>. Для відновлення роботи  КП «Сєвєродонецьке агентство інвестицій та розвитку» та відбудови громади необхідно забезпечити підприємство матеріально-технічною базою.</w:t>
            </w:r>
          </w:p>
        </w:tc>
      </w:tr>
      <w:tr w:rsidR="00737BE6" w:rsidRPr="00915913" w:rsidTr="00737BE6">
        <w:tc>
          <w:tcPr>
            <w:tcW w:w="2836" w:type="dxa"/>
            <w:shd w:val="clear" w:color="auto" w:fill="C6D9F1" w:themeFill="text2" w:themeFillTint="33"/>
          </w:tcPr>
          <w:p w:rsidR="00737BE6" w:rsidRPr="00915913" w:rsidRDefault="00737BE6" w:rsidP="001B3967">
            <w:pPr>
              <w:contextualSpacing/>
              <w:rPr>
                <w:b/>
                <w:sz w:val="22"/>
                <w:lang w:val="uk-UA"/>
              </w:rPr>
            </w:pPr>
            <w:r w:rsidRPr="00915913">
              <w:rPr>
                <w:b/>
                <w:sz w:val="22"/>
                <w:lang w:val="uk-UA"/>
              </w:rPr>
              <w:lastRenderedPageBreak/>
              <w:t>Очікувані якісні результати від реалізації проекту</w:t>
            </w:r>
          </w:p>
        </w:tc>
        <w:tc>
          <w:tcPr>
            <w:tcW w:w="7087" w:type="dxa"/>
            <w:gridSpan w:val="7"/>
          </w:tcPr>
          <w:p w:rsidR="00737BE6" w:rsidRPr="00915913" w:rsidRDefault="00737BE6" w:rsidP="00D040FF">
            <w:pPr>
              <w:numPr>
                <w:ilvl w:val="0"/>
                <w:numId w:val="77"/>
              </w:numPr>
              <w:shd w:val="clear" w:color="auto" w:fill="FFFFFF"/>
              <w:overflowPunct w:val="0"/>
              <w:autoSpaceDE w:val="0"/>
              <w:autoSpaceDN w:val="0"/>
              <w:adjustRightInd w:val="0"/>
              <w:spacing w:line="276" w:lineRule="auto"/>
              <w:contextualSpacing/>
              <w:textAlignment w:val="baseline"/>
              <w:rPr>
                <w:rFonts w:eastAsia="Calibri"/>
                <w:color w:val="000000"/>
                <w:sz w:val="22"/>
                <w:lang w:val="uk-UA"/>
              </w:rPr>
            </w:pPr>
            <w:r w:rsidRPr="00915913">
              <w:rPr>
                <w:rFonts w:eastAsia="Calibri"/>
                <w:color w:val="000000"/>
                <w:sz w:val="22"/>
                <w:lang w:val="uk-UA"/>
              </w:rPr>
              <w:t>Поліпшення інвестиційного клімату громади.</w:t>
            </w:r>
          </w:p>
          <w:p w:rsidR="00737BE6" w:rsidRPr="00915913" w:rsidRDefault="00737BE6" w:rsidP="00D040FF">
            <w:pPr>
              <w:numPr>
                <w:ilvl w:val="0"/>
                <w:numId w:val="77"/>
              </w:numPr>
              <w:shd w:val="clear" w:color="auto" w:fill="FFFFFF"/>
              <w:overflowPunct w:val="0"/>
              <w:autoSpaceDE w:val="0"/>
              <w:autoSpaceDN w:val="0"/>
              <w:adjustRightInd w:val="0"/>
              <w:spacing w:line="276" w:lineRule="auto"/>
              <w:ind w:left="45" w:firstLine="283"/>
              <w:contextualSpacing/>
              <w:textAlignment w:val="baseline"/>
              <w:rPr>
                <w:rFonts w:eastAsia="Calibri"/>
                <w:color w:val="000000"/>
                <w:sz w:val="22"/>
                <w:lang w:val="uk-UA"/>
              </w:rPr>
            </w:pPr>
            <w:proofErr w:type="spellStart"/>
            <w:r w:rsidRPr="00915913">
              <w:rPr>
                <w:rFonts w:eastAsia="Calibri"/>
                <w:color w:val="000000"/>
                <w:sz w:val="22"/>
                <w:lang w:val="uk-UA"/>
              </w:rPr>
              <w:t>Цифровізація</w:t>
            </w:r>
            <w:proofErr w:type="spellEnd"/>
            <w:r w:rsidRPr="00915913">
              <w:rPr>
                <w:rFonts w:eastAsia="Calibri"/>
                <w:color w:val="000000"/>
                <w:sz w:val="22"/>
                <w:lang w:val="uk-UA"/>
              </w:rPr>
              <w:t xml:space="preserve"> громади.</w:t>
            </w:r>
          </w:p>
          <w:p w:rsidR="00737BE6" w:rsidRPr="00915913" w:rsidRDefault="00737BE6" w:rsidP="00D040FF">
            <w:pPr>
              <w:numPr>
                <w:ilvl w:val="0"/>
                <w:numId w:val="77"/>
              </w:numPr>
              <w:shd w:val="clear" w:color="auto" w:fill="FFFFFF"/>
              <w:overflowPunct w:val="0"/>
              <w:autoSpaceDE w:val="0"/>
              <w:autoSpaceDN w:val="0"/>
              <w:adjustRightInd w:val="0"/>
              <w:spacing w:line="276" w:lineRule="auto"/>
              <w:ind w:left="45" w:firstLine="283"/>
              <w:contextualSpacing/>
              <w:textAlignment w:val="baseline"/>
              <w:rPr>
                <w:rFonts w:eastAsia="Calibri"/>
                <w:color w:val="000000"/>
                <w:sz w:val="22"/>
                <w:lang w:val="uk-UA"/>
              </w:rPr>
            </w:pPr>
            <w:r w:rsidRPr="00915913">
              <w:rPr>
                <w:rFonts w:eastAsia="Calibri"/>
                <w:color w:val="000000"/>
                <w:sz w:val="22"/>
                <w:lang w:val="uk-UA"/>
              </w:rPr>
              <w:t>Сприяння подальшого розвитку руху ОСББ.</w:t>
            </w:r>
          </w:p>
          <w:p w:rsidR="00737BE6" w:rsidRPr="00915913" w:rsidRDefault="00737BE6" w:rsidP="00D040FF">
            <w:pPr>
              <w:numPr>
                <w:ilvl w:val="0"/>
                <w:numId w:val="77"/>
              </w:numPr>
              <w:shd w:val="clear" w:color="auto" w:fill="FFFFFF"/>
              <w:overflowPunct w:val="0"/>
              <w:autoSpaceDE w:val="0"/>
              <w:autoSpaceDN w:val="0"/>
              <w:adjustRightInd w:val="0"/>
              <w:spacing w:line="276" w:lineRule="auto"/>
              <w:ind w:left="45" w:firstLine="283"/>
              <w:contextualSpacing/>
              <w:textAlignment w:val="baseline"/>
              <w:rPr>
                <w:rFonts w:eastAsia="Calibri"/>
                <w:color w:val="000000"/>
                <w:sz w:val="22"/>
                <w:lang w:val="uk-UA"/>
              </w:rPr>
            </w:pPr>
            <w:r w:rsidRPr="00915913">
              <w:rPr>
                <w:rFonts w:eastAsia="Calibri"/>
                <w:color w:val="000000"/>
                <w:sz w:val="22"/>
                <w:lang w:val="uk-UA"/>
              </w:rPr>
              <w:t>Оснащення працівників підприємства технікою та обладнанням.</w:t>
            </w:r>
          </w:p>
          <w:p w:rsidR="00737BE6" w:rsidRPr="00915913" w:rsidRDefault="00737BE6" w:rsidP="00D040FF">
            <w:pPr>
              <w:numPr>
                <w:ilvl w:val="0"/>
                <w:numId w:val="77"/>
              </w:numPr>
              <w:shd w:val="clear" w:color="auto" w:fill="FFFFFF"/>
              <w:overflowPunct w:val="0"/>
              <w:autoSpaceDE w:val="0"/>
              <w:autoSpaceDN w:val="0"/>
              <w:adjustRightInd w:val="0"/>
              <w:spacing w:line="276" w:lineRule="auto"/>
              <w:ind w:left="45" w:firstLine="283"/>
              <w:contextualSpacing/>
              <w:textAlignment w:val="baseline"/>
              <w:rPr>
                <w:rFonts w:eastAsia="Calibri"/>
                <w:color w:val="000000"/>
                <w:sz w:val="22"/>
                <w:lang w:val="uk-UA"/>
              </w:rPr>
            </w:pPr>
            <w:r w:rsidRPr="00915913">
              <w:rPr>
                <w:rFonts w:eastAsia="Calibri"/>
                <w:color w:val="000000"/>
                <w:sz w:val="22"/>
                <w:lang w:val="uk-UA"/>
              </w:rPr>
              <w:t>Сприяння згуртованості мешканців громади.</w:t>
            </w:r>
          </w:p>
          <w:p w:rsidR="00737BE6" w:rsidRPr="00915913" w:rsidRDefault="00737BE6" w:rsidP="00D040FF">
            <w:pPr>
              <w:numPr>
                <w:ilvl w:val="0"/>
                <w:numId w:val="77"/>
              </w:numPr>
              <w:shd w:val="clear" w:color="auto" w:fill="FFFFFF"/>
              <w:overflowPunct w:val="0"/>
              <w:autoSpaceDE w:val="0"/>
              <w:autoSpaceDN w:val="0"/>
              <w:adjustRightInd w:val="0"/>
              <w:spacing w:line="276" w:lineRule="auto"/>
              <w:ind w:left="45" w:firstLine="283"/>
              <w:contextualSpacing/>
              <w:textAlignment w:val="baseline"/>
              <w:rPr>
                <w:rFonts w:eastAsia="Calibri"/>
                <w:color w:val="000000"/>
                <w:sz w:val="22"/>
                <w:lang w:val="uk-UA"/>
              </w:rPr>
            </w:pPr>
            <w:r w:rsidRPr="00915913">
              <w:rPr>
                <w:rFonts w:eastAsia="Calibri"/>
                <w:color w:val="000000"/>
                <w:sz w:val="22"/>
                <w:lang w:val="uk-UA"/>
              </w:rPr>
              <w:t>Стимулювання повернення ВПО до громади.</w:t>
            </w:r>
          </w:p>
          <w:p w:rsidR="00737BE6" w:rsidRPr="00915913" w:rsidRDefault="00737BE6" w:rsidP="00D040FF">
            <w:pPr>
              <w:numPr>
                <w:ilvl w:val="0"/>
                <w:numId w:val="77"/>
              </w:numPr>
              <w:shd w:val="clear" w:color="auto" w:fill="FFFFFF"/>
              <w:overflowPunct w:val="0"/>
              <w:autoSpaceDE w:val="0"/>
              <w:autoSpaceDN w:val="0"/>
              <w:adjustRightInd w:val="0"/>
              <w:spacing w:line="276" w:lineRule="auto"/>
              <w:ind w:left="45" w:firstLine="283"/>
              <w:contextualSpacing/>
              <w:textAlignment w:val="baseline"/>
              <w:rPr>
                <w:rFonts w:eastAsia="Calibri"/>
                <w:color w:val="000000"/>
                <w:sz w:val="22"/>
                <w:lang w:val="uk-UA"/>
              </w:rPr>
            </w:pPr>
            <w:r w:rsidRPr="00915913">
              <w:rPr>
                <w:rFonts w:eastAsia="Calibri"/>
                <w:color w:val="000000"/>
                <w:sz w:val="22"/>
                <w:lang w:val="uk-UA"/>
              </w:rPr>
              <w:t>Розвиток зеленої енергетики через енергоефективність.</w:t>
            </w:r>
          </w:p>
          <w:p w:rsidR="00737BE6" w:rsidRPr="00915913" w:rsidRDefault="00737BE6" w:rsidP="00D040FF">
            <w:pPr>
              <w:numPr>
                <w:ilvl w:val="0"/>
                <w:numId w:val="77"/>
              </w:numPr>
              <w:shd w:val="clear" w:color="auto" w:fill="FFFFFF"/>
              <w:overflowPunct w:val="0"/>
              <w:autoSpaceDE w:val="0"/>
              <w:autoSpaceDN w:val="0"/>
              <w:adjustRightInd w:val="0"/>
              <w:spacing w:line="276" w:lineRule="auto"/>
              <w:ind w:left="45" w:firstLine="283"/>
              <w:contextualSpacing/>
              <w:textAlignment w:val="baseline"/>
              <w:rPr>
                <w:rFonts w:eastAsia="Calibri"/>
                <w:color w:val="000000"/>
                <w:sz w:val="22"/>
                <w:lang w:val="uk-UA"/>
              </w:rPr>
            </w:pPr>
            <w:r w:rsidRPr="00915913">
              <w:rPr>
                <w:rFonts w:eastAsia="Calibri"/>
                <w:color w:val="000000"/>
                <w:sz w:val="22"/>
                <w:lang w:val="uk-UA"/>
              </w:rPr>
              <w:t>Проведення навчання для представників місцевого бізнесу.</w:t>
            </w:r>
          </w:p>
          <w:p w:rsidR="00737BE6" w:rsidRPr="00915913" w:rsidRDefault="00737BE6" w:rsidP="00D040FF">
            <w:pPr>
              <w:numPr>
                <w:ilvl w:val="0"/>
                <w:numId w:val="77"/>
              </w:numPr>
              <w:shd w:val="clear" w:color="auto" w:fill="FFFFFF"/>
              <w:overflowPunct w:val="0"/>
              <w:autoSpaceDE w:val="0"/>
              <w:autoSpaceDN w:val="0"/>
              <w:adjustRightInd w:val="0"/>
              <w:spacing w:line="276" w:lineRule="auto"/>
              <w:ind w:left="45" w:firstLine="283"/>
              <w:contextualSpacing/>
              <w:textAlignment w:val="baseline"/>
              <w:rPr>
                <w:rFonts w:eastAsia="Calibri"/>
                <w:color w:val="000000"/>
                <w:sz w:val="22"/>
                <w:lang w:val="uk-UA"/>
              </w:rPr>
            </w:pPr>
            <w:r w:rsidRPr="00915913">
              <w:rPr>
                <w:rFonts w:eastAsia="Calibri"/>
                <w:color w:val="000000"/>
                <w:sz w:val="22"/>
                <w:lang w:val="uk-UA"/>
              </w:rPr>
              <w:t>Сприяння підвищення рівня довіри мешканців громади до влади.</w:t>
            </w:r>
          </w:p>
        </w:tc>
      </w:tr>
      <w:tr w:rsidR="00737BE6" w:rsidRPr="00915913" w:rsidTr="00737BE6">
        <w:trPr>
          <w:trHeight w:val="390"/>
        </w:trPr>
        <w:tc>
          <w:tcPr>
            <w:tcW w:w="2836" w:type="dxa"/>
            <w:vMerge w:val="restart"/>
            <w:shd w:val="clear" w:color="auto" w:fill="C6D9F1" w:themeFill="text2" w:themeFillTint="33"/>
          </w:tcPr>
          <w:p w:rsidR="00737BE6" w:rsidRPr="00915913" w:rsidRDefault="00737BE6" w:rsidP="001B3967">
            <w:pPr>
              <w:contextualSpacing/>
              <w:rPr>
                <w:b/>
                <w:sz w:val="22"/>
                <w:lang w:val="uk-UA"/>
              </w:rPr>
            </w:pPr>
            <w:r w:rsidRPr="00915913">
              <w:rPr>
                <w:b/>
                <w:sz w:val="22"/>
                <w:lang w:val="uk-UA"/>
              </w:rPr>
              <w:t xml:space="preserve">Очікувані кількісні результати реалізації </w:t>
            </w:r>
            <w:proofErr w:type="spellStart"/>
            <w:r w:rsidRPr="00915913">
              <w:rPr>
                <w:b/>
                <w:sz w:val="22"/>
                <w:lang w:val="uk-UA"/>
              </w:rPr>
              <w:t>проєкту</w:t>
            </w:r>
            <w:proofErr w:type="spellEnd"/>
            <w:r w:rsidRPr="00915913">
              <w:rPr>
                <w:b/>
                <w:sz w:val="22"/>
                <w:lang w:val="uk-UA"/>
              </w:rPr>
              <w:t xml:space="preserve"> (індикатори)</w:t>
            </w:r>
          </w:p>
          <w:p w:rsidR="00737BE6" w:rsidRPr="00915913" w:rsidRDefault="00737BE6" w:rsidP="001B3967">
            <w:pPr>
              <w:contextualSpacing/>
              <w:rPr>
                <w:b/>
                <w:sz w:val="22"/>
                <w:lang w:val="uk-UA"/>
              </w:rPr>
            </w:pPr>
          </w:p>
        </w:tc>
        <w:tc>
          <w:tcPr>
            <w:tcW w:w="2977" w:type="dxa"/>
            <w:gridSpan w:val="2"/>
            <w:tcBorders>
              <w:bottom w:val="single" w:sz="4" w:space="0" w:color="auto"/>
              <w:right w:val="single" w:sz="4" w:space="0" w:color="auto"/>
            </w:tcBorders>
          </w:tcPr>
          <w:p w:rsidR="00737BE6" w:rsidRPr="00915913" w:rsidRDefault="00737BE6" w:rsidP="001B3967">
            <w:pPr>
              <w:ind w:left="-108"/>
              <w:contextualSpacing/>
              <w:jc w:val="center"/>
              <w:rPr>
                <w:b/>
                <w:sz w:val="22"/>
                <w:lang w:val="uk-UA"/>
              </w:rPr>
            </w:pPr>
            <w:r w:rsidRPr="00915913">
              <w:rPr>
                <w:b/>
                <w:sz w:val="22"/>
                <w:lang w:val="uk-UA"/>
              </w:rPr>
              <w:t>Найменування показника</w:t>
            </w:r>
          </w:p>
        </w:tc>
        <w:tc>
          <w:tcPr>
            <w:tcW w:w="1984" w:type="dxa"/>
            <w:gridSpan w:val="3"/>
            <w:tcBorders>
              <w:left w:val="single" w:sz="4" w:space="0" w:color="auto"/>
              <w:bottom w:val="single" w:sz="4" w:space="0" w:color="auto"/>
              <w:right w:val="single" w:sz="4" w:space="0" w:color="auto"/>
            </w:tcBorders>
          </w:tcPr>
          <w:p w:rsidR="00737BE6" w:rsidRPr="00915913" w:rsidRDefault="00737BE6" w:rsidP="001B3967">
            <w:pPr>
              <w:contextualSpacing/>
              <w:jc w:val="center"/>
              <w:rPr>
                <w:b/>
                <w:sz w:val="22"/>
                <w:lang w:val="uk-UA"/>
              </w:rPr>
            </w:pPr>
            <w:r w:rsidRPr="00915913">
              <w:rPr>
                <w:b/>
                <w:sz w:val="22"/>
                <w:lang w:val="uk-UA"/>
              </w:rPr>
              <w:t>Одиниця вимірювання</w:t>
            </w:r>
          </w:p>
          <w:p w:rsidR="00737BE6" w:rsidRPr="00915913" w:rsidRDefault="00737BE6" w:rsidP="001B3967">
            <w:pPr>
              <w:contextualSpacing/>
              <w:rPr>
                <w:b/>
                <w:sz w:val="22"/>
                <w:lang w:val="uk-UA"/>
              </w:rPr>
            </w:pPr>
          </w:p>
        </w:tc>
        <w:tc>
          <w:tcPr>
            <w:tcW w:w="2126" w:type="dxa"/>
            <w:gridSpan w:val="2"/>
            <w:tcBorders>
              <w:left w:val="single" w:sz="4" w:space="0" w:color="auto"/>
              <w:bottom w:val="single" w:sz="4" w:space="0" w:color="auto"/>
            </w:tcBorders>
          </w:tcPr>
          <w:p w:rsidR="00737BE6" w:rsidRPr="00915913" w:rsidRDefault="00737BE6" w:rsidP="001B3967">
            <w:pPr>
              <w:contextualSpacing/>
              <w:jc w:val="center"/>
              <w:rPr>
                <w:b/>
                <w:sz w:val="22"/>
                <w:lang w:val="uk-UA"/>
              </w:rPr>
            </w:pPr>
            <w:r w:rsidRPr="00915913">
              <w:rPr>
                <w:b/>
                <w:sz w:val="22"/>
                <w:lang w:val="uk-UA"/>
              </w:rPr>
              <w:t>Прогнозне (цільове) значення</w:t>
            </w:r>
          </w:p>
        </w:tc>
      </w:tr>
      <w:tr w:rsidR="00737BE6" w:rsidRPr="00915913" w:rsidTr="00737BE6">
        <w:trPr>
          <w:trHeight w:val="585"/>
        </w:trPr>
        <w:tc>
          <w:tcPr>
            <w:tcW w:w="2836" w:type="dxa"/>
            <w:vMerge/>
            <w:shd w:val="clear" w:color="auto" w:fill="C6D9F1" w:themeFill="text2" w:themeFillTint="33"/>
          </w:tcPr>
          <w:p w:rsidR="00737BE6" w:rsidRPr="00915913" w:rsidRDefault="00737BE6" w:rsidP="001B3967">
            <w:pPr>
              <w:contextualSpacing/>
              <w:rPr>
                <w:b/>
                <w:sz w:val="22"/>
                <w:lang w:val="uk-UA"/>
              </w:rPr>
            </w:pPr>
          </w:p>
        </w:tc>
        <w:tc>
          <w:tcPr>
            <w:tcW w:w="2977" w:type="dxa"/>
            <w:gridSpan w:val="2"/>
            <w:tcBorders>
              <w:top w:val="single" w:sz="4" w:space="0" w:color="auto"/>
              <w:bottom w:val="single" w:sz="4" w:space="0" w:color="auto"/>
              <w:right w:val="single" w:sz="4" w:space="0" w:color="auto"/>
            </w:tcBorders>
          </w:tcPr>
          <w:p w:rsidR="00737BE6" w:rsidRPr="00915913" w:rsidRDefault="00737BE6" w:rsidP="001B3967">
            <w:pPr>
              <w:contextualSpacing/>
              <w:jc w:val="center"/>
              <w:rPr>
                <w:sz w:val="22"/>
                <w:lang w:val="uk-UA"/>
              </w:rPr>
            </w:pPr>
            <w:r w:rsidRPr="00915913">
              <w:rPr>
                <w:sz w:val="22"/>
                <w:lang w:val="uk-UA"/>
              </w:rPr>
              <w:t>Кількість отримувачів послуг</w:t>
            </w:r>
          </w:p>
        </w:tc>
        <w:tc>
          <w:tcPr>
            <w:tcW w:w="1984" w:type="dxa"/>
            <w:gridSpan w:val="3"/>
            <w:tcBorders>
              <w:top w:val="single" w:sz="4" w:space="0" w:color="auto"/>
              <w:left w:val="single" w:sz="4" w:space="0" w:color="auto"/>
              <w:bottom w:val="single" w:sz="4" w:space="0" w:color="auto"/>
              <w:right w:val="single" w:sz="4" w:space="0" w:color="auto"/>
            </w:tcBorders>
            <w:vAlign w:val="center"/>
          </w:tcPr>
          <w:p w:rsidR="00737BE6" w:rsidRPr="00915913" w:rsidRDefault="00737BE6" w:rsidP="001B3967">
            <w:pPr>
              <w:contextualSpacing/>
              <w:jc w:val="center"/>
              <w:rPr>
                <w:sz w:val="22"/>
                <w:lang w:val="uk-UA"/>
              </w:rPr>
            </w:pPr>
            <w:r w:rsidRPr="00915913">
              <w:rPr>
                <w:sz w:val="22"/>
                <w:lang w:val="uk-UA"/>
              </w:rPr>
              <w:t>осіб</w:t>
            </w:r>
          </w:p>
        </w:tc>
        <w:tc>
          <w:tcPr>
            <w:tcW w:w="2126" w:type="dxa"/>
            <w:gridSpan w:val="2"/>
            <w:tcBorders>
              <w:top w:val="single" w:sz="4" w:space="0" w:color="auto"/>
              <w:left w:val="single" w:sz="4" w:space="0" w:color="auto"/>
              <w:bottom w:val="single" w:sz="4" w:space="0" w:color="auto"/>
            </w:tcBorders>
            <w:vAlign w:val="center"/>
          </w:tcPr>
          <w:p w:rsidR="00737BE6" w:rsidRPr="00915913" w:rsidRDefault="00737BE6" w:rsidP="00737BE6">
            <w:pPr>
              <w:contextualSpacing/>
              <w:jc w:val="center"/>
              <w:rPr>
                <w:b/>
                <w:sz w:val="22"/>
                <w:lang w:val="uk-UA"/>
              </w:rPr>
            </w:pPr>
            <w:r w:rsidRPr="00915913">
              <w:rPr>
                <w:sz w:val="22"/>
                <w:lang w:val="uk-UA"/>
              </w:rPr>
              <w:t>70 000</w:t>
            </w:r>
          </w:p>
        </w:tc>
      </w:tr>
      <w:tr w:rsidR="00737BE6" w:rsidRPr="00915913" w:rsidTr="00737BE6">
        <w:tc>
          <w:tcPr>
            <w:tcW w:w="2836" w:type="dxa"/>
            <w:shd w:val="clear" w:color="auto" w:fill="C6D9F1" w:themeFill="text2" w:themeFillTint="33"/>
          </w:tcPr>
          <w:p w:rsidR="00737BE6" w:rsidRPr="00915913" w:rsidRDefault="00737BE6" w:rsidP="001B3967">
            <w:pPr>
              <w:rPr>
                <w:b/>
                <w:sz w:val="22"/>
                <w:lang w:val="uk-UA"/>
              </w:rPr>
            </w:pPr>
            <w:r w:rsidRPr="00915913">
              <w:rPr>
                <w:b/>
                <w:sz w:val="22"/>
                <w:lang w:val="uk-UA"/>
              </w:rPr>
              <w:t xml:space="preserve">Ключові заходи проекту: </w:t>
            </w:r>
          </w:p>
          <w:p w:rsidR="00737BE6" w:rsidRPr="00915913" w:rsidRDefault="00737BE6" w:rsidP="001B3967">
            <w:pPr>
              <w:contextualSpacing/>
              <w:rPr>
                <w:b/>
                <w:sz w:val="22"/>
                <w:lang w:val="uk-UA"/>
              </w:rPr>
            </w:pPr>
          </w:p>
        </w:tc>
        <w:tc>
          <w:tcPr>
            <w:tcW w:w="7087" w:type="dxa"/>
            <w:gridSpan w:val="7"/>
          </w:tcPr>
          <w:p w:rsidR="00737BE6" w:rsidRPr="00915913" w:rsidRDefault="00737BE6" w:rsidP="001B3967">
            <w:pPr>
              <w:contextualSpacing/>
              <w:rPr>
                <w:sz w:val="22"/>
                <w:lang w:val="uk-UA"/>
              </w:rPr>
            </w:pPr>
            <w:r w:rsidRPr="00915913">
              <w:rPr>
                <w:sz w:val="22"/>
                <w:lang w:val="uk-UA"/>
              </w:rPr>
              <w:t>- пошук приміщення для розташування співробітників;</w:t>
            </w:r>
          </w:p>
          <w:p w:rsidR="00737BE6" w:rsidRPr="00915913" w:rsidRDefault="00737BE6" w:rsidP="001B3967">
            <w:pPr>
              <w:contextualSpacing/>
              <w:rPr>
                <w:sz w:val="22"/>
                <w:lang w:val="uk-UA"/>
              </w:rPr>
            </w:pPr>
            <w:r w:rsidRPr="00915913">
              <w:rPr>
                <w:sz w:val="22"/>
                <w:lang w:val="uk-UA"/>
              </w:rPr>
              <w:t>- ремонт приміщення</w:t>
            </w:r>
            <w:r w:rsidR="00D040FF" w:rsidRPr="00915913">
              <w:rPr>
                <w:bCs/>
                <w:sz w:val="22"/>
                <w:szCs w:val="22"/>
                <w:lang w:val="uk-UA"/>
              </w:rPr>
              <w:t>;</w:t>
            </w:r>
          </w:p>
          <w:p w:rsidR="00737BE6" w:rsidRPr="00915913" w:rsidRDefault="00737BE6" w:rsidP="001B3967">
            <w:pPr>
              <w:contextualSpacing/>
              <w:rPr>
                <w:sz w:val="22"/>
                <w:lang w:val="uk-UA"/>
              </w:rPr>
            </w:pPr>
            <w:r w:rsidRPr="00915913">
              <w:rPr>
                <w:sz w:val="22"/>
                <w:lang w:val="uk-UA"/>
              </w:rPr>
              <w:t>- придбання технічного забезпечення;</w:t>
            </w:r>
          </w:p>
          <w:p w:rsidR="00737BE6" w:rsidRPr="00915913" w:rsidRDefault="00737BE6" w:rsidP="001B3967">
            <w:pPr>
              <w:contextualSpacing/>
              <w:rPr>
                <w:sz w:val="22"/>
                <w:lang w:val="uk-UA"/>
              </w:rPr>
            </w:pPr>
            <w:r w:rsidRPr="00915913">
              <w:rPr>
                <w:sz w:val="22"/>
                <w:lang w:val="uk-UA"/>
              </w:rPr>
              <w:t>- придбання основних засобів;</w:t>
            </w:r>
          </w:p>
          <w:p w:rsidR="00737BE6" w:rsidRPr="00915913" w:rsidRDefault="00737BE6" w:rsidP="001B3967">
            <w:pPr>
              <w:contextualSpacing/>
              <w:rPr>
                <w:sz w:val="22"/>
                <w:lang w:val="uk-UA"/>
              </w:rPr>
            </w:pPr>
            <w:r w:rsidRPr="00915913">
              <w:rPr>
                <w:sz w:val="22"/>
                <w:lang w:val="uk-UA"/>
              </w:rPr>
              <w:t>- організація та початок робочого процесу.</w:t>
            </w:r>
          </w:p>
        </w:tc>
      </w:tr>
      <w:tr w:rsidR="00737BE6" w:rsidRPr="00915913" w:rsidTr="00737BE6">
        <w:trPr>
          <w:trHeight w:val="360"/>
        </w:trPr>
        <w:tc>
          <w:tcPr>
            <w:tcW w:w="2836" w:type="dxa"/>
            <w:vMerge w:val="restart"/>
            <w:shd w:val="clear" w:color="auto" w:fill="C6D9F1" w:themeFill="text2" w:themeFillTint="33"/>
          </w:tcPr>
          <w:p w:rsidR="00737BE6" w:rsidRPr="00915913" w:rsidRDefault="00737BE6" w:rsidP="001B3967">
            <w:pPr>
              <w:contextualSpacing/>
              <w:rPr>
                <w:b/>
                <w:sz w:val="22"/>
                <w:lang w:val="uk-UA"/>
              </w:rPr>
            </w:pPr>
            <w:r w:rsidRPr="00915913">
              <w:rPr>
                <w:b/>
                <w:sz w:val="22"/>
                <w:lang w:val="uk-UA"/>
              </w:rPr>
              <w:t xml:space="preserve">Орієнтовний обсяг та джерела фінансування, тис. грн. </w:t>
            </w:r>
          </w:p>
          <w:p w:rsidR="00737BE6" w:rsidRPr="00915913" w:rsidRDefault="00737BE6" w:rsidP="001B3967">
            <w:pPr>
              <w:contextualSpacing/>
              <w:rPr>
                <w:b/>
                <w:sz w:val="22"/>
                <w:lang w:val="uk-UA"/>
              </w:rPr>
            </w:pPr>
          </w:p>
        </w:tc>
        <w:tc>
          <w:tcPr>
            <w:tcW w:w="1689" w:type="dxa"/>
            <w:tcBorders>
              <w:bottom w:val="single" w:sz="4" w:space="0" w:color="auto"/>
              <w:right w:val="single" w:sz="4" w:space="0" w:color="auto"/>
            </w:tcBorders>
          </w:tcPr>
          <w:p w:rsidR="00737BE6" w:rsidRPr="00915913" w:rsidRDefault="00737BE6" w:rsidP="001B3967">
            <w:pPr>
              <w:contextualSpacing/>
              <w:jc w:val="center"/>
              <w:rPr>
                <w:b/>
                <w:sz w:val="22"/>
                <w:lang w:val="uk-UA"/>
              </w:rPr>
            </w:pPr>
            <w:r w:rsidRPr="00915913">
              <w:rPr>
                <w:b/>
                <w:sz w:val="22"/>
                <w:lang w:val="uk-UA"/>
              </w:rPr>
              <w:t>Державний бюджет</w:t>
            </w:r>
          </w:p>
        </w:tc>
        <w:tc>
          <w:tcPr>
            <w:tcW w:w="1359" w:type="dxa"/>
            <w:gridSpan w:val="2"/>
            <w:tcBorders>
              <w:bottom w:val="single" w:sz="4" w:space="0" w:color="auto"/>
              <w:right w:val="single" w:sz="4" w:space="0" w:color="auto"/>
            </w:tcBorders>
          </w:tcPr>
          <w:p w:rsidR="00737BE6" w:rsidRPr="00915913" w:rsidRDefault="00737BE6" w:rsidP="001B3967">
            <w:pPr>
              <w:contextualSpacing/>
              <w:jc w:val="center"/>
              <w:rPr>
                <w:b/>
                <w:sz w:val="22"/>
                <w:lang w:val="uk-UA"/>
              </w:rPr>
            </w:pPr>
            <w:r w:rsidRPr="00915913">
              <w:rPr>
                <w:b/>
                <w:sz w:val="22"/>
                <w:lang w:val="uk-UA"/>
              </w:rPr>
              <w:t>Місцевий бюджет</w:t>
            </w:r>
          </w:p>
        </w:tc>
        <w:tc>
          <w:tcPr>
            <w:tcW w:w="2421" w:type="dxa"/>
            <w:gridSpan w:val="3"/>
            <w:tcBorders>
              <w:left w:val="single" w:sz="4" w:space="0" w:color="auto"/>
              <w:bottom w:val="single" w:sz="4" w:space="0" w:color="auto"/>
              <w:right w:val="single" w:sz="4" w:space="0" w:color="auto"/>
            </w:tcBorders>
          </w:tcPr>
          <w:p w:rsidR="00737BE6" w:rsidRPr="00915913" w:rsidRDefault="00737BE6" w:rsidP="001B3967">
            <w:pPr>
              <w:contextualSpacing/>
              <w:jc w:val="center"/>
              <w:rPr>
                <w:b/>
                <w:sz w:val="22"/>
                <w:lang w:val="uk-UA"/>
              </w:rPr>
            </w:pPr>
            <w:r w:rsidRPr="00915913">
              <w:rPr>
                <w:b/>
                <w:sz w:val="22"/>
                <w:lang w:val="uk-UA"/>
              </w:rPr>
              <w:t>Інші джерела</w:t>
            </w:r>
          </w:p>
        </w:tc>
        <w:tc>
          <w:tcPr>
            <w:tcW w:w="1618" w:type="dxa"/>
            <w:tcBorders>
              <w:left w:val="single" w:sz="4" w:space="0" w:color="auto"/>
              <w:bottom w:val="single" w:sz="4" w:space="0" w:color="auto"/>
            </w:tcBorders>
          </w:tcPr>
          <w:p w:rsidR="00737BE6" w:rsidRPr="00915913" w:rsidRDefault="00737BE6" w:rsidP="001B3967">
            <w:pPr>
              <w:contextualSpacing/>
              <w:jc w:val="center"/>
              <w:rPr>
                <w:b/>
                <w:sz w:val="22"/>
                <w:lang w:val="uk-UA"/>
              </w:rPr>
            </w:pPr>
            <w:r w:rsidRPr="00915913">
              <w:rPr>
                <w:b/>
                <w:sz w:val="22"/>
                <w:lang w:val="uk-UA"/>
              </w:rPr>
              <w:t>Всього</w:t>
            </w:r>
          </w:p>
        </w:tc>
      </w:tr>
      <w:tr w:rsidR="00737BE6" w:rsidRPr="00915913" w:rsidTr="00737BE6">
        <w:trPr>
          <w:trHeight w:val="225"/>
        </w:trPr>
        <w:tc>
          <w:tcPr>
            <w:tcW w:w="2836" w:type="dxa"/>
            <w:vMerge/>
            <w:shd w:val="clear" w:color="auto" w:fill="C6D9F1" w:themeFill="text2" w:themeFillTint="33"/>
          </w:tcPr>
          <w:p w:rsidR="00737BE6" w:rsidRPr="00915913" w:rsidRDefault="00737BE6" w:rsidP="001B3967">
            <w:pPr>
              <w:contextualSpacing/>
              <w:rPr>
                <w:b/>
                <w:sz w:val="22"/>
                <w:lang w:val="uk-UA"/>
              </w:rPr>
            </w:pPr>
          </w:p>
        </w:tc>
        <w:tc>
          <w:tcPr>
            <w:tcW w:w="1689" w:type="dxa"/>
            <w:vMerge w:val="restart"/>
            <w:tcBorders>
              <w:top w:val="single" w:sz="4" w:space="0" w:color="auto"/>
              <w:right w:val="single" w:sz="4" w:space="0" w:color="auto"/>
            </w:tcBorders>
          </w:tcPr>
          <w:p w:rsidR="00737BE6" w:rsidRPr="00915913" w:rsidRDefault="00737BE6" w:rsidP="001B3967">
            <w:pPr>
              <w:contextualSpacing/>
              <w:jc w:val="center"/>
              <w:rPr>
                <w:b/>
                <w:sz w:val="22"/>
                <w:lang w:val="uk-UA"/>
              </w:rPr>
            </w:pPr>
            <w:r w:rsidRPr="00915913">
              <w:rPr>
                <w:sz w:val="22"/>
                <w:lang w:val="uk-UA"/>
              </w:rPr>
              <w:t>698,1</w:t>
            </w:r>
          </w:p>
        </w:tc>
        <w:tc>
          <w:tcPr>
            <w:tcW w:w="1359" w:type="dxa"/>
            <w:gridSpan w:val="2"/>
            <w:vMerge w:val="restart"/>
            <w:tcBorders>
              <w:top w:val="single" w:sz="4" w:space="0" w:color="auto"/>
              <w:right w:val="single" w:sz="4" w:space="0" w:color="auto"/>
            </w:tcBorders>
          </w:tcPr>
          <w:p w:rsidR="00737BE6" w:rsidRPr="00915913" w:rsidRDefault="00737BE6" w:rsidP="001B3967">
            <w:pPr>
              <w:contextualSpacing/>
              <w:jc w:val="center"/>
              <w:rPr>
                <w:b/>
                <w:sz w:val="22"/>
                <w:lang w:val="uk-UA"/>
              </w:rPr>
            </w:pPr>
            <w:r w:rsidRPr="00915913">
              <w:rPr>
                <w:b/>
                <w:sz w:val="22"/>
                <w:lang w:val="uk-UA"/>
              </w:rPr>
              <w:t>-</w:t>
            </w:r>
          </w:p>
        </w:tc>
        <w:tc>
          <w:tcPr>
            <w:tcW w:w="1126" w:type="dxa"/>
            <w:tcBorders>
              <w:top w:val="single" w:sz="4" w:space="0" w:color="auto"/>
              <w:left w:val="single" w:sz="4" w:space="0" w:color="auto"/>
              <w:bottom w:val="single" w:sz="4" w:space="0" w:color="auto"/>
              <w:right w:val="single" w:sz="4" w:space="0" w:color="auto"/>
            </w:tcBorders>
          </w:tcPr>
          <w:p w:rsidR="00737BE6" w:rsidRPr="00915913" w:rsidRDefault="00737BE6" w:rsidP="001B3967">
            <w:pPr>
              <w:contextualSpacing/>
              <w:jc w:val="center"/>
              <w:rPr>
                <w:b/>
                <w:sz w:val="22"/>
                <w:lang w:val="uk-UA"/>
              </w:rPr>
            </w:pPr>
            <w:r w:rsidRPr="00915913">
              <w:rPr>
                <w:b/>
                <w:sz w:val="22"/>
                <w:lang w:val="uk-UA"/>
              </w:rPr>
              <w:t>Обсяг</w:t>
            </w:r>
          </w:p>
        </w:tc>
        <w:tc>
          <w:tcPr>
            <w:tcW w:w="1295" w:type="dxa"/>
            <w:gridSpan w:val="2"/>
            <w:tcBorders>
              <w:top w:val="single" w:sz="4" w:space="0" w:color="auto"/>
              <w:left w:val="single" w:sz="4" w:space="0" w:color="auto"/>
              <w:bottom w:val="single" w:sz="4" w:space="0" w:color="auto"/>
              <w:right w:val="single" w:sz="4" w:space="0" w:color="auto"/>
            </w:tcBorders>
          </w:tcPr>
          <w:p w:rsidR="00737BE6" w:rsidRPr="00915913" w:rsidRDefault="00737BE6" w:rsidP="001B3967">
            <w:pPr>
              <w:contextualSpacing/>
              <w:jc w:val="center"/>
              <w:rPr>
                <w:b/>
                <w:sz w:val="22"/>
                <w:lang w:val="uk-UA"/>
              </w:rPr>
            </w:pPr>
            <w:r w:rsidRPr="00915913">
              <w:rPr>
                <w:b/>
                <w:sz w:val="22"/>
                <w:lang w:val="uk-UA"/>
              </w:rPr>
              <w:t>Назва джерела</w:t>
            </w:r>
          </w:p>
        </w:tc>
        <w:tc>
          <w:tcPr>
            <w:tcW w:w="1618" w:type="dxa"/>
            <w:vMerge w:val="restart"/>
            <w:tcBorders>
              <w:top w:val="single" w:sz="4" w:space="0" w:color="auto"/>
              <w:left w:val="single" w:sz="4" w:space="0" w:color="auto"/>
            </w:tcBorders>
          </w:tcPr>
          <w:p w:rsidR="00737BE6" w:rsidRPr="00915913" w:rsidRDefault="00737BE6" w:rsidP="001B3967">
            <w:pPr>
              <w:contextualSpacing/>
              <w:jc w:val="center"/>
              <w:rPr>
                <w:sz w:val="22"/>
                <w:lang w:val="uk-UA"/>
              </w:rPr>
            </w:pPr>
            <w:r w:rsidRPr="00915913">
              <w:rPr>
                <w:sz w:val="22"/>
                <w:lang w:val="uk-UA"/>
              </w:rPr>
              <w:t>2 327,1</w:t>
            </w:r>
          </w:p>
        </w:tc>
      </w:tr>
      <w:tr w:rsidR="00737BE6" w:rsidRPr="00915913" w:rsidTr="00737BE6">
        <w:trPr>
          <w:trHeight w:val="300"/>
        </w:trPr>
        <w:tc>
          <w:tcPr>
            <w:tcW w:w="2836" w:type="dxa"/>
            <w:vMerge/>
            <w:shd w:val="clear" w:color="auto" w:fill="C6D9F1" w:themeFill="text2" w:themeFillTint="33"/>
          </w:tcPr>
          <w:p w:rsidR="00737BE6" w:rsidRPr="00915913" w:rsidRDefault="00737BE6" w:rsidP="001B3967">
            <w:pPr>
              <w:contextualSpacing/>
              <w:rPr>
                <w:b/>
                <w:sz w:val="22"/>
                <w:lang w:val="uk-UA"/>
              </w:rPr>
            </w:pPr>
          </w:p>
        </w:tc>
        <w:tc>
          <w:tcPr>
            <w:tcW w:w="1689" w:type="dxa"/>
            <w:vMerge/>
            <w:tcBorders>
              <w:right w:val="single" w:sz="4" w:space="0" w:color="auto"/>
            </w:tcBorders>
          </w:tcPr>
          <w:p w:rsidR="00737BE6" w:rsidRPr="00915913" w:rsidRDefault="00737BE6" w:rsidP="001B3967">
            <w:pPr>
              <w:contextualSpacing/>
              <w:jc w:val="center"/>
              <w:rPr>
                <w:sz w:val="22"/>
                <w:lang w:val="uk-UA"/>
              </w:rPr>
            </w:pPr>
          </w:p>
        </w:tc>
        <w:tc>
          <w:tcPr>
            <w:tcW w:w="1359" w:type="dxa"/>
            <w:gridSpan w:val="2"/>
            <w:vMerge/>
            <w:tcBorders>
              <w:right w:val="single" w:sz="4" w:space="0" w:color="auto"/>
            </w:tcBorders>
          </w:tcPr>
          <w:p w:rsidR="00737BE6" w:rsidRPr="00915913" w:rsidRDefault="00737BE6" w:rsidP="001B3967">
            <w:pPr>
              <w:contextualSpacing/>
              <w:jc w:val="center"/>
              <w:rPr>
                <w:b/>
                <w:sz w:val="22"/>
                <w:lang w:val="uk-UA"/>
              </w:rPr>
            </w:pPr>
          </w:p>
        </w:tc>
        <w:tc>
          <w:tcPr>
            <w:tcW w:w="1126" w:type="dxa"/>
            <w:tcBorders>
              <w:top w:val="single" w:sz="4" w:space="0" w:color="auto"/>
              <w:left w:val="single" w:sz="4" w:space="0" w:color="auto"/>
              <w:right w:val="single" w:sz="4" w:space="0" w:color="auto"/>
            </w:tcBorders>
          </w:tcPr>
          <w:p w:rsidR="00737BE6" w:rsidRPr="00915913" w:rsidRDefault="00737BE6" w:rsidP="001B3967">
            <w:pPr>
              <w:contextualSpacing/>
              <w:jc w:val="center"/>
              <w:rPr>
                <w:sz w:val="22"/>
                <w:lang w:val="uk-UA"/>
              </w:rPr>
            </w:pPr>
            <w:r w:rsidRPr="00915913">
              <w:rPr>
                <w:sz w:val="22"/>
                <w:lang w:val="uk-UA"/>
              </w:rPr>
              <w:t>1 629,0</w:t>
            </w:r>
          </w:p>
        </w:tc>
        <w:tc>
          <w:tcPr>
            <w:tcW w:w="1295" w:type="dxa"/>
            <w:gridSpan w:val="2"/>
            <w:tcBorders>
              <w:top w:val="single" w:sz="4" w:space="0" w:color="auto"/>
              <w:left w:val="single" w:sz="4" w:space="0" w:color="auto"/>
              <w:right w:val="single" w:sz="4" w:space="0" w:color="auto"/>
            </w:tcBorders>
          </w:tcPr>
          <w:p w:rsidR="00737BE6" w:rsidRPr="00915913" w:rsidRDefault="00737BE6" w:rsidP="001B3967">
            <w:pPr>
              <w:contextualSpacing/>
              <w:jc w:val="center"/>
              <w:rPr>
                <w:sz w:val="22"/>
                <w:lang w:val="uk-UA"/>
              </w:rPr>
            </w:pPr>
            <w:r w:rsidRPr="00915913">
              <w:rPr>
                <w:sz w:val="22"/>
                <w:lang w:val="uk-UA"/>
              </w:rPr>
              <w:t>Іноземні інвестиції, кошти приватних осіб</w:t>
            </w:r>
          </w:p>
        </w:tc>
        <w:tc>
          <w:tcPr>
            <w:tcW w:w="1618" w:type="dxa"/>
            <w:vMerge/>
            <w:tcBorders>
              <w:left w:val="single" w:sz="4" w:space="0" w:color="auto"/>
            </w:tcBorders>
          </w:tcPr>
          <w:p w:rsidR="00737BE6" w:rsidRPr="00915913" w:rsidRDefault="00737BE6" w:rsidP="001B3967">
            <w:pPr>
              <w:contextualSpacing/>
              <w:jc w:val="center"/>
              <w:rPr>
                <w:sz w:val="22"/>
                <w:lang w:val="uk-UA"/>
              </w:rPr>
            </w:pPr>
          </w:p>
        </w:tc>
      </w:tr>
    </w:tbl>
    <w:p w:rsidR="00737BE6" w:rsidRPr="00915913" w:rsidRDefault="00737BE6" w:rsidP="00E95FB1">
      <w:pPr>
        <w:rPr>
          <w:sz w:val="22"/>
        </w:rPr>
      </w:pPr>
    </w:p>
    <w:p w:rsidR="00C65EDF" w:rsidRPr="00915913" w:rsidRDefault="00C65EDF" w:rsidP="00E95FB1">
      <w:pPr>
        <w:rPr>
          <w:sz w:val="22"/>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6"/>
        <w:gridCol w:w="1670"/>
        <w:gridCol w:w="1330"/>
        <w:gridCol w:w="324"/>
        <w:gridCol w:w="826"/>
        <w:gridCol w:w="875"/>
        <w:gridCol w:w="587"/>
        <w:gridCol w:w="1334"/>
      </w:tblGrid>
      <w:tr w:rsidR="00C65EDF" w:rsidRPr="00915913" w:rsidTr="00C65EDF">
        <w:tc>
          <w:tcPr>
            <w:tcW w:w="2836" w:type="dxa"/>
            <w:shd w:val="clear" w:color="auto" w:fill="C6D9F1"/>
          </w:tcPr>
          <w:p w:rsidR="00C65EDF" w:rsidRPr="00915913" w:rsidRDefault="00C65EDF" w:rsidP="00C11751">
            <w:pPr>
              <w:pStyle w:val="a7"/>
              <w:ind w:left="0"/>
              <w:rPr>
                <w:b/>
                <w:sz w:val="22"/>
              </w:rPr>
            </w:pPr>
            <w:r w:rsidRPr="00915913">
              <w:rPr>
                <w:b/>
                <w:sz w:val="22"/>
              </w:rPr>
              <w:t>Оперативна ціль/завдання</w:t>
            </w:r>
          </w:p>
        </w:tc>
        <w:tc>
          <w:tcPr>
            <w:tcW w:w="7052" w:type="dxa"/>
            <w:gridSpan w:val="7"/>
            <w:shd w:val="clear" w:color="auto" w:fill="auto"/>
          </w:tcPr>
          <w:p w:rsidR="00C65EDF" w:rsidRPr="00915913" w:rsidRDefault="00C65EDF" w:rsidP="00C11751">
            <w:pPr>
              <w:pStyle w:val="a7"/>
              <w:ind w:left="0"/>
              <w:rPr>
                <w:b/>
                <w:sz w:val="22"/>
                <w:lang w:val="ru-RU"/>
              </w:rPr>
            </w:pPr>
            <w:r w:rsidRPr="00915913">
              <w:rPr>
                <w:rFonts w:eastAsia="Arial"/>
                <w:sz w:val="22"/>
              </w:rPr>
              <w:t>Комфорт життя ЛЮДИНИ як безпека, екологічна сталість та розумна енергетика. Енергоефективна політика та інфраструктура</w:t>
            </w:r>
            <w:r w:rsidRPr="00915913">
              <w:rPr>
                <w:b/>
                <w:sz w:val="22"/>
                <w:lang w:val="ru-RU"/>
              </w:rPr>
              <w:t xml:space="preserve"> </w:t>
            </w:r>
          </w:p>
        </w:tc>
      </w:tr>
      <w:tr w:rsidR="00C65EDF" w:rsidRPr="00915913" w:rsidTr="00C65EDF">
        <w:tc>
          <w:tcPr>
            <w:tcW w:w="2836" w:type="dxa"/>
            <w:shd w:val="clear" w:color="auto" w:fill="C6D9F1"/>
          </w:tcPr>
          <w:p w:rsidR="00C65EDF" w:rsidRPr="00915913" w:rsidRDefault="00C65EDF" w:rsidP="00C11751">
            <w:pPr>
              <w:pStyle w:val="a7"/>
              <w:ind w:left="0"/>
              <w:rPr>
                <w:b/>
                <w:sz w:val="22"/>
              </w:rPr>
            </w:pPr>
            <w:r w:rsidRPr="00915913">
              <w:rPr>
                <w:b/>
                <w:sz w:val="22"/>
              </w:rPr>
              <w:t>Назва проекту:</w:t>
            </w:r>
          </w:p>
        </w:tc>
        <w:tc>
          <w:tcPr>
            <w:tcW w:w="7052" w:type="dxa"/>
            <w:gridSpan w:val="7"/>
            <w:shd w:val="clear" w:color="auto" w:fill="auto"/>
          </w:tcPr>
          <w:p w:rsidR="00C65EDF" w:rsidRPr="00915913" w:rsidRDefault="00C65EDF" w:rsidP="00C11751">
            <w:pPr>
              <w:pStyle w:val="a7"/>
              <w:ind w:left="0"/>
              <w:rPr>
                <w:sz w:val="22"/>
              </w:rPr>
            </w:pPr>
            <w:r w:rsidRPr="00915913">
              <w:rPr>
                <w:sz w:val="22"/>
              </w:rPr>
              <w:t>Утилізація зруйнованих будівель в компоненти мінеральних добрив</w:t>
            </w:r>
          </w:p>
        </w:tc>
      </w:tr>
      <w:tr w:rsidR="00C65EDF" w:rsidRPr="00915913" w:rsidTr="00C65EDF">
        <w:tc>
          <w:tcPr>
            <w:tcW w:w="2836" w:type="dxa"/>
            <w:shd w:val="clear" w:color="auto" w:fill="C6D9F1"/>
          </w:tcPr>
          <w:p w:rsidR="00C65EDF" w:rsidRPr="00915913" w:rsidRDefault="00C65EDF" w:rsidP="00C11751">
            <w:pPr>
              <w:rPr>
                <w:b/>
                <w:sz w:val="22"/>
              </w:rPr>
            </w:pPr>
            <w:r w:rsidRPr="00915913">
              <w:rPr>
                <w:b/>
                <w:sz w:val="22"/>
              </w:rPr>
              <w:t>Ціль проекту</w:t>
            </w:r>
          </w:p>
        </w:tc>
        <w:tc>
          <w:tcPr>
            <w:tcW w:w="7052" w:type="dxa"/>
            <w:gridSpan w:val="7"/>
            <w:shd w:val="clear" w:color="auto" w:fill="auto"/>
          </w:tcPr>
          <w:p w:rsidR="00C65EDF" w:rsidRPr="00915913" w:rsidRDefault="00C65EDF" w:rsidP="00C11751">
            <w:pPr>
              <w:pStyle w:val="a7"/>
              <w:ind w:left="0"/>
              <w:rPr>
                <w:sz w:val="22"/>
              </w:rPr>
            </w:pPr>
            <w:r w:rsidRPr="00915913">
              <w:rPr>
                <w:sz w:val="22"/>
              </w:rPr>
              <w:t>Налагодити процес переробки зруйнованих будівель в мінеральні добрива</w:t>
            </w:r>
          </w:p>
        </w:tc>
      </w:tr>
      <w:tr w:rsidR="00C65EDF" w:rsidRPr="00915913" w:rsidTr="00C65EDF">
        <w:tc>
          <w:tcPr>
            <w:tcW w:w="2836" w:type="dxa"/>
            <w:shd w:val="clear" w:color="auto" w:fill="C6D9F1"/>
          </w:tcPr>
          <w:p w:rsidR="00C65EDF" w:rsidRPr="00915913" w:rsidRDefault="00C65EDF" w:rsidP="00C11751">
            <w:pPr>
              <w:pStyle w:val="a7"/>
              <w:ind w:left="0"/>
              <w:rPr>
                <w:b/>
                <w:sz w:val="22"/>
              </w:rPr>
            </w:pPr>
            <w:r w:rsidRPr="00915913">
              <w:rPr>
                <w:b/>
                <w:sz w:val="22"/>
              </w:rPr>
              <w:t>Територія, на яку матиме вплив реалізація проекту</w:t>
            </w:r>
          </w:p>
        </w:tc>
        <w:tc>
          <w:tcPr>
            <w:tcW w:w="7052" w:type="dxa"/>
            <w:gridSpan w:val="7"/>
            <w:shd w:val="clear" w:color="auto" w:fill="auto"/>
          </w:tcPr>
          <w:p w:rsidR="00C65EDF" w:rsidRPr="00915913" w:rsidRDefault="00C65EDF" w:rsidP="00C11751">
            <w:pPr>
              <w:pStyle w:val="a7"/>
              <w:ind w:left="0"/>
              <w:rPr>
                <w:sz w:val="22"/>
              </w:rPr>
            </w:pPr>
            <w:r w:rsidRPr="00915913">
              <w:rPr>
                <w:sz w:val="22"/>
              </w:rPr>
              <w:t>Сєвєродонецька міська територіальна громада</w:t>
            </w:r>
            <w:r w:rsidRPr="00915913">
              <w:rPr>
                <w:sz w:val="22"/>
              </w:rPr>
              <w:br/>
            </w:r>
          </w:p>
        </w:tc>
      </w:tr>
      <w:tr w:rsidR="00C65EDF" w:rsidRPr="00915913" w:rsidTr="00C65EDF">
        <w:tc>
          <w:tcPr>
            <w:tcW w:w="2836" w:type="dxa"/>
            <w:shd w:val="clear" w:color="auto" w:fill="C6D9F1"/>
          </w:tcPr>
          <w:p w:rsidR="00C65EDF" w:rsidRPr="00915913" w:rsidRDefault="00C65EDF" w:rsidP="00C11751">
            <w:pPr>
              <w:pStyle w:val="a7"/>
              <w:ind w:left="0"/>
              <w:rPr>
                <w:b/>
                <w:sz w:val="22"/>
              </w:rPr>
            </w:pPr>
            <w:r w:rsidRPr="00915913">
              <w:rPr>
                <w:b/>
                <w:sz w:val="22"/>
              </w:rPr>
              <w:t>Чисельність населення</w:t>
            </w:r>
            <w:r w:rsidRPr="00915913">
              <w:rPr>
                <w:b/>
                <w:sz w:val="22"/>
                <w:lang w:val="ru-RU"/>
              </w:rPr>
              <w:t>,</w:t>
            </w:r>
            <w:r w:rsidRPr="00915913">
              <w:rPr>
                <w:b/>
                <w:sz w:val="22"/>
              </w:rPr>
              <w:t xml:space="preserve"> на яке матиме вплив реалізація проекту</w:t>
            </w:r>
          </w:p>
        </w:tc>
        <w:tc>
          <w:tcPr>
            <w:tcW w:w="7052" w:type="dxa"/>
            <w:gridSpan w:val="7"/>
            <w:shd w:val="clear" w:color="auto" w:fill="auto"/>
          </w:tcPr>
          <w:p w:rsidR="00C65EDF" w:rsidRPr="00915913" w:rsidRDefault="00C65EDF" w:rsidP="00C11751">
            <w:pPr>
              <w:pStyle w:val="a7"/>
              <w:ind w:left="0"/>
              <w:rPr>
                <w:sz w:val="22"/>
              </w:rPr>
            </w:pPr>
            <w:r w:rsidRPr="00915913">
              <w:rPr>
                <w:sz w:val="22"/>
              </w:rPr>
              <w:t xml:space="preserve"> 70000  осіб</w:t>
            </w:r>
          </w:p>
        </w:tc>
      </w:tr>
      <w:tr w:rsidR="00C65EDF" w:rsidRPr="00915913" w:rsidTr="00C65EDF">
        <w:tc>
          <w:tcPr>
            <w:tcW w:w="2836" w:type="dxa"/>
            <w:shd w:val="clear" w:color="auto" w:fill="C6D9F1"/>
          </w:tcPr>
          <w:p w:rsidR="00C65EDF" w:rsidRPr="00915913" w:rsidRDefault="00C65EDF" w:rsidP="00C11751">
            <w:pPr>
              <w:rPr>
                <w:b/>
                <w:sz w:val="22"/>
                <w:lang w:val="ru-RU"/>
              </w:rPr>
            </w:pPr>
            <w:r w:rsidRPr="00915913">
              <w:rPr>
                <w:b/>
                <w:sz w:val="22"/>
              </w:rPr>
              <w:t>Опис проблеми, на вирішення якої  спрямований проект</w:t>
            </w:r>
          </w:p>
        </w:tc>
        <w:tc>
          <w:tcPr>
            <w:tcW w:w="7052" w:type="dxa"/>
            <w:gridSpan w:val="7"/>
            <w:shd w:val="clear" w:color="auto" w:fill="auto"/>
          </w:tcPr>
          <w:p w:rsidR="00C65EDF" w:rsidRPr="00915913" w:rsidRDefault="00C65EDF" w:rsidP="00C11751">
            <w:pPr>
              <w:pStyle w:val="13"/>
              <w:jc w:val="both"/>
              <w:rPr>
                <w:sz w:val="22"/>
                <w:lang w:val="uk-UA"/>
              </w:rPr>
            </w:pPr>
            <w:r w:rsidRPr="00915913">
              <w:rPr>
                <w:sz w:val="22"/>
                <w:lang w:val="uk-UA"/>
              </w:rPr>
              <w:t>Внаслідок бойових дій значна кількість цегляних та бетонних будівель цілої низки міст Луганської області (Сєвєродонецьк, Попасна, Щастя тощо) зазнали руйнувань і потребують розбору та переробки будівельного сміття.</w:t>
            </w:r>
          </w:p>
          <w:p w:rsidR="00C65EDF" w:rsidRPr="00915913" w:rsidRDefault="00C65EDF" w:rsidP="00C11751">
            <w:pPr>
              <w:pStyle w:val="13"/>
              <w:jc w:val="both"/>
              <w:rPr>
                <w:sz w:val="22"/>
                <w:lang w:val="uk-UA"/>
              </w:rPr>
            </w:pPr>
            <w:r w:rsidRPr="00915913">
              <w:rPr>
                <w:sz w:val="22"/>
                <w:lang w:val="uk-UA"/>
              </w:rPr>
              <w:t xml:space="preserve">В будівельному смітті містяться сполуки кальцію та кремнію. За умови правильного підбору технології кислотної обробки подрібнених бетону та </w:t>
            </w:r>
            <w:proofErr w:type="spellStart"/>
            <w:r w:rsidRPr="00915913">
              <w:rPr>
                <w:sz w:val="22"/>
                <w:lang w:val="uk-UA"/>
              </w:rPr>
              <w:t>сілікатної</w:t>
            </w:r>
            <w:proofErr w:type="spellEnd"/>
            <w:r w:rsidRPr="00915913">
              <w:rPr>
                <w:sz w:val="22"/>
                <w:lang w:val="uk-UA"/>
              </w:rPr>
              <w:t xml:space="preserve"> цегли можливим стає отримання композиції неорганічних речовин, що міститимуть нітрат кальцію (мінеральне добриво) та аморфний діоксид кремнію (компонент, що затримує вологу в ґрунті та сприяє засвоєнню добрив рослинами.</w:t>
            </w:r>
          </w:p>
          <w:p w:rsidR="00C65EDF" w:rsidRPr="00915913" w:rsidRDefault="00C65EDF" w:rsidP="00C11751">
            <w:pPr>
              <w:pStyle w:val="13"/>
              <w:jc w:val="both"/>
              <w:rPr>
                <w:sz w:val="22"/>
                <w:lang w:val="uk-UA"/>
              </w:rPr>
            </w:pPr>
            <w:r w:rsidRPr="00915913">
              <w:rPr>
                <w:sz w:val="22"/>
                <w:lang w:val="uk-UA"/>
              </w:rPr>
              <w:lastRenderedPageBreak/>
              <w:t>Сотні тисяч тон будівельного сміття зруйнованих міст Луганщини можуть бути перероблені в мінеральне добриво, яке можна використати на Луганщини для відродження сільського господарства.</w:t>
            </w:r>
          </w:p>
        </w:tc>
      </w:tr>
      <w:tr w:rsidR="00C65EDF" w:rsidRPr="00915913" w:rsidTr="00C65EDF">
        <w:tc>
          <w:tcPr>
            <w:tcW w:w="2836" w:type="dxa"/>
            <w:shd w:val="clear" w:color="auto" w:fill="C6D9F1"/>
          </w:tcPr>
          <w:p w:rsidR="00C65EDF" w:rsidRPr="00915913" w:rsidRDefault="00C65EDF" w:rsidP="00C11751">
            <w:pPr>
              <w:pStyle w:val="a7"/>
              <w:ind w:left="0"/>
              <w:rPr>
                <w:b/>
                <w:sz w:val="22"/>
              </w:rPr>
            </w:pPr>
            <w:r w:rsidRPr="00915913">
              <w:rPr>
                <w:b/>
                <w:sz w:val="22"/>
              </w:rPr>
              <w:lastRenderedPageBreak/>
              <w:t>Очікувані якісні результати від реалізації проекту</w:t>
            </w:r>
          </w:p>
        </w:tc>
        <w:tc>
          <w:tcPr>
            <w:tcW w:w="7052" w:type="dxa"/>
            <w:gridSpan w:val="7"/>
            <w:shd w:val="clear" w:color="auto" w:fill="auto"/>
          </w:tcPr>
          <w:p w:rsidR="00C65EDF" w:rsidRPr="00915913" w:rsidRDefault="00C65EDF" w:rsidP="00C11751">
            <w:pPr>
              <w:pStyle w:val="a7"/>
              <w:ind w:left="0"/>
              <w:rPr>
                <w:sz w:val="22"/>
              </w:rPr>
            </w:pPr>
            <w:r w:rsidRPr="00915913">
              <w:rPr>
                <w:sz w:val="22"/>
              </w:rPr>
              <w:t>Відновлення міст Луганщини та одночасний розвиток сільського господарства в області.</w:t>
            </w:r>
          </w:p>
          <w:p w:rsidR="00C65EDF" w:rsidRPr="00915913" w:rsidRDefault="00C65EDF" w:rsidP="00C11751">
            <w:pPr>
              <w:pStyle w:val="a7"/>
              <w:ind w:left="0"/>
              <w:rPr>
                <w:sz w:val="22"/>
              </w:rPr>
            </w:pPr>
            <w:r w:rsidRPr="00915913">
              <w:rPr>
                <w:sz w:val="22"/>
              </w:rPr>
              <w:t>Запуск технології переробки будівельного сміття в мінеральні добрива дозволить створити не менше 120 нових робочих місць. Додатково можливо створення понад 1000 робочих місць в суміжних галузях (сільське господарство, будівництво, торгівля тощо).</w:t>
            </w:r>
          </w:p>
          <w:p w:rsidR="00C65EDF" w:rsidRPr="00915913" w:rsidRDefault="00C65EDF" w:rsidP="00C11751">
            <w:pPr>
              <w:pStyle w:val="a7"/>
              <w:ind w:left="0"/>
              <w:rPr>
                <w:sz w:val="22"/>
              </w:rPr>
            </w:pPr>
            <w:r w:rsidRPr="00915913">
              <w:rPr>
                <w:sz w:val="22"/>
              </w:rPr>
              <w:t>Стимул для повернення до громади ВПО.</w:t>
            </w:r>
          </w:p>
          <w:p w:rsidR="00C65EDF" w:rsidRPr="00915913" w:rsidRDefault="00C65EDF" w:rsidP="00C11751">
            <w:pPr>
              <w:pStyle w:val="a7"/>
              <w:ind w:left="0"/>
              <w:rPr>
                <w:sz w:val="22"/>
              </w:rPr>
            </w:pPr>
            <w:r w:rsidRPr="00915913">
              <w:rPr>
                <w:sz w:val="22"/>
              </w:rPr>
              <w:t>Покращення екологічного стану навколишнього середовища.</w:t>
            </w:r>
          </w:p>
        </w:tc>
      </w:tr>
      <w:tr w:rsidR="00C65EDF" w:rsidRPr="00915913" w:rsidTr="00C65EDF">
        <w:trPr>
          <w:trHeight w:val="390"/>
        </w:trPr>
        <w:tc>
          <w:tcPr>
            <w:tcW w:w="2836" w:type="dxa"/>
            <w:vMerge w:val="restart"/>
            <w:shd w:val="clear" w:color="auto" w:fill="C6D9F1"/>
          </w:tcPr>
          <w:p w:rsidR="00C65EDF" w:rsidRPr="00915913" w:rsidRDefault="00C65EDF" w:rsidP="00C11751">
            <w:pPr>
              <w:pStyle w:val="a7"/>
              <w:ind w:left="0"/>
              <w:rPr>
                <w:b/>
                <w:sz w:val="22"/>
              </w:rPr>
            </w:pPr>
            <w:r w:rsidRPr="00915913">
              <w:rPr>
                <w:b/>
                <w:sz w:val="22"/>
              </w:rPr>
              <w:t xml:space="preserve">Очікувані кількісні результати реалізації </w:t>
            </w:r>
            <w:proofErr w:type="spellStart"/>
            <w:r w:rsidRPr="00915913">
              <w:rPr>
                <w:b/>
                <w:sz w:val="22"/>
              </w:rPr>
              <w:t>проєкту</w:t>
            </w:r>
            <w:proofErr w:type="spellEnd"/>
            <w:r w:rsidRPr="00915913">
              <w:rPr>
                <w:b/>
                <w:sz w:val="22"/>
              </w:rPr>
              <w:t xml:space="preserve"> (індикатори)</w:t>
            </w:r>
          </w:p>
          <w:p w:rsidR="00C65EDF" w:rsidRPr="00915913" w:rsidRDefault="00C65EDF" w:rsidP="00C11751">
            <w:pPr>
              <w:pStyle w:val="a7"/>
              <w:ind w:left="0"/>
              <w:rPr>
                <w:b/>
                <w:sz w:val="22"/>
              </w:rPr>
            </w:pPr>
          </w:p>
        </w:tc>
        <w:tc>
          <w:tcPr>
            <w:tcW w:w="3402" w:type="dxa"/>
            <w:gridSpan w:val="3"/>
            <w:tcBorders>
              <w:bottom w:val="single" w:sz="4" w:space="0" w:color="auto"/>
              <w:right w:val="single" w:sz="4" w:space="0" w:color="auto"/>
            </w:tcBorders>
            <w:shd w:val="clear" w:color="auto" w:fill="auto"/>
          </w:tcPr>
          <w:p w:rsidR="00C65EDF" w:rsidRPr="00915913" w:rsidRDefault="00C65EDF" w:rsidP="00C11751">
            <w:pPr>
              <w:pStyle w:val="a7"/>
              <w:ind w:left="-108"/>
              <w:jc w:val="center"/>
              <w:rPr>
                <w:b/>
                <w:sz w:val="22"/>
              </w:rPr>
            </w:pPr>
            <w:r w:rsidRPr="00915913">
              <w:rPr>
                <w:b/>
                <w:sz w:val="22"/>
              </w:rPr>
              <w:t>Найменування показника</w:t>
            </w:r>
          </w:p>
        </w:tc>
        <w:tc>
          <w:tcPr>
            <w:tcW w:w="1701" w:type="dxa"/>
            <w:gridSpan w:val="2"/>
            <w:tcBorders>
              <w:left w:val="single" w:sz="4" w:space="0" w:color="auto"/>
              <w:bottom w:val="single" w:sz="4" w:space="0" w:color="auto"/>
              <w:right w:val="single" w:sz="4" w:space="0" w:color="auto"/>
            </w:tcBorders>
            <w:shd w:val="clear" w:color="auto" w:fill="auto"/>
          </w:tcPr>
          <w:p w:rsidR="00C65EDF" w:rsidRPr="00915913" w:rsidRDefault="00C65EDF" w:rsidP="00C65EDF">
            <w:pPr>
              <w:pStyle w:val="a7"/>
              <w:ind w:left="0"/>
              <w:jc w:val="center"/>
              <w:rPr>
                <w:b/>
                <w:sz w:val="22"/>
                <w:lang w:val="ru-RU"/>
              </w:rPr>
            </w:pPr>
            <w:r w:rsidRPr="00915913">
              <w:rPr>
                <w:b/>
                <w:sz w:val="22"/>
              </w:rPr>
              <w:t>Одиниця вимірювання</w:t>
            </w:r>
          </w:p>
        </w:tc>
        <w:tc>
          <w:tcPr>
            <w:tcW w:w="1949" w:type="dxa"/>
            <w:gridSpan w:val="2"/>
            <w:tcBorders>
              <w:left w:val="single" w:sz="4" w:space="0" w:color="auto"/>
              <w:bottom w:val="single" w:sz="4" w:space="0" w:color="auto"/>
            </w:tcBorders>
            <w:shd w:val="clear" w:color="auto" w:fill="auto"/>
          </w:tcPr>
          <w:p w:rsidR="00C65EDF" w:rsidRPr="00915913" w:rsidRDefault="00C65EDF" w:rsidP="00C11751">
            <w:pPr>
              <w:pStyle w:val="a7"/>
              <w:ind w:left="0"/>
              <w:jc w:val="center"/>
              <w:rPr>
                <w:b/>
                <w:sz w:val="22"/>
              </w:rPr>
            </w:pPr>
            <w:r w:rsidRPr="00915913">
              <w:rPr>
                <w:b/>
                <w:sz w:val="22"/>
              </w:rPr>
              <w:t>Прогнозне (цільове) значення</w:t>
            </w:r>
          </w:p>
        </w:tc>
      </w:tr>
      <w:tr w:rsidR="00C65EDF" w:rsidRPr="00915913" w:rsidTr="00C65EDF">
        <w:trPr>
          <w:trHeight w:val="585"/>
        </w:trPr>
        <w:tc>
          <w:tcPr>
            <w:tcW w:w="2836" w:type="dxa"/>
            <w:vMerge/>
            <w:shd w:val="clear" w:color="auto" w:fill="C6D9F1"/>
          </w:tcPr>
          <w:p w:rsidR="00C65EDF" w:rsidRPr="00915913" w:rsidRDefault="00C65EDF" w:rsidP="00C11751">
            <w:pPr>
              <w:pStyle w:val="a7"/>
              <w:ind w:left="0"/>
              <w:rPr>
                <w:b/>
                <w:sz w:val="22"/>
              </w:rPr>
            </w:pPr>
          </w:p>
        </w:tc>
        <w:tc>
          <w:tcPr>
            <w:tcW w:w="3402" w:type="dxa"/>
            <w:gridSpan w:val="3"/>
            <w:tcBorders>
              <w:top w:val="single" w:sz="4" w:space="0" w:color="auto"/>
              <w:bottom w:val="single" w:sz="4" w:space="0" w:color="auto"/>
              <w:right w:val="single" w:sz="4" w:space="0" w:color="auto"/>
            </w:tcBorders>
            <w:shd w:val="clear" w:color="auto" w:fill="auto"/>
            <w:vAlign w:val="center"/>
          </w:tcPr>
          <w:p w:rsidR="00C65EDF" w:rsidRPr="00915913" w:rsidRDefault="00C65EDF" w:rsidP="00C65EDF">
            <w:pPr>
              <w:pStyle w:val="a7"/>
              <w:ind w:left="0"/>
              <w:jc w:val="center"/>
              <w:rPr>
                <w:sz w:val="22"/>
              </w:rPr>
            </w:pPr>
            <w:r w:rsidRPr="00915913">
              <w:rPr>
                <w:sz w:val="22"/>
              </w:rPr>
              <w:t>Об</w:t>
            </w:r>
            <w:r w:rsidRPr="00915913">
              <w:rPr>
                <w:sz w:val="22"/>
                <w:lang w:val="en-US"/>
              </w:rPr>
              <w:t>’</w:t>
            </w:r>
            <w:proofErr w:type="spellStart"/>
            <w:r w:rsidRPr="00915913">
              <w:rPr>
                <w:sz w:val="22"/>
              </w:rPr>
              <w:t>єм</w:t>
            </w:r>
            <w:proofErr w:type="spellEnd"/>
            <w:r w:rsidRPr="00915913">
              <w:rPr>
                <w:sz w:val="22"/>
              </w:rPr>
              <w:t xml:space="preserve"> виготовлених мінеральних добрив</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65EDF" w:rsidRPr="00915913" w:rsidRDefault="00C65EDF" w:rsidP="00C65EDF">
            <w:pPr>
              <w:pStyle w:val="a7"/>
              <w:ind w:left="0"/>
              <w:jc w:val="center"/>
              <w:rPr>
                <w:sz w:val="22"/>
              </w:rPr>
            </w:pPr>
            <w:r w:rsidRPr="00915913">
              <w:rPr>
                <w:sz w:val="22"/>
              </w:rPr>
              <w:t>т/місяць</w:t>
            </w:r>
          </w:p>
        </w:tc>
        <w:tc>
          <w:tcPr>
            <w:tcW w:w="1949" w:type="dxa"/>
            <w:gridSpan w:val="2"/>
            <w:tcBorders>
              <w:top w:val="single" w:sz="4" w:space="0" w:color="auto"/>
              <w:left w:val="single" w:sz="4" w:space="0" w:color="auto"/>
              <w:bottom w:val="single" w:sz="4" w:space="0" w:color="auto"/>
            </w:tcBorders>
            <w:shd w:val="clear" w:color="auto" w:fill="auto"/>
            <w:vAlign w:val="center"/>
          </w:tcPr>
          <w:p w:rsidR="00C65EDF" w:rsidRPr="00915913" w:rsidRDefault="00C65EDF" w:rsidP="00C65EDF">
            <w:pPr>
              <w:pStyle w:val="a7"/>
              <w:ind w:left="0"/>
              <w:jc w:val="center"/>
              <w:rPr>
                <w:sz w:val="22"/>
                <w:lang w:val="ru-RU"/>
              </w:rPr>
            </w:pPr>
          </w:p>
          <w:p w:rsidR="00C65EDF" w:rsidRPr="00915913" w:rsidRDefault="00C65EDF" w:rsidP="00C65EDF">
            <w:pPr>
              <w:pStyle w:val="a7"/>
              <w:ind w:left="0"/>
              <w:jc w:val="center"/>
              <w:rPr>
                <w:b/>
                <w:sz w:val="22"/>
                <w:lang w:val="ru-RU"/>
              </w:rPr>
            </w:pPr>
            <w:r w:rsidRPr="00915913">
              <w:rPr>
                <w:sz w:val="22"/>
                <w:lang w:val="ru-RU"/>
              </w:rPr>
              <w:t>50000</w:t>
            </w:r>
          </w:p>
        </w:tc>
      </w:tr>
      <w:tr w:rsidR="00C65EDF" w:rsidRPr="00915913" w:rsidTr="00C65EDF">
        <w:trPr>
          <w:trHeight w:val="184"/>
        </w:trPr>
        <w:tc>
          <w:tcPr>
            <w:tcW w:w="2836" w:type="dxa"/>
            <w:vMerge/>
            <w:shd w:val="clear" w:color="auto" w:fill="C6D9F1"/>
          </w:tcPr>
          <w:p w:rsidR="00C65EDF" w:rsidRPr="00915913" w:rsidRDefault="00C65EDF" w:rsidP="00C11751">
            <w:pPr>
              <w:pStyle w:val="a7"/>
              <w:ind w:left="0"/>
              <w:rPr>
                <w:b/>
                <w:sz w:val="22"/>
              </w:rPr>
            </w:pPr>
          </w:p>
        </w:tc>
        <w:tc>
          <w:tcPr>
            <w:tcW w:w="3402" w:type="dxa"/>
            <w:gridSpan w:val="3"/>
            <w:tcBorders>
              <w:top w:val="single" w:sz="4" w:space="0" w:color="auto"/>
              <w:bottom w:val="single" w:sz="4" w:space="0" w:color="auto"/>
              <w:right w:val="single" w:sz="4" w:space="0" w:color="auto"/>
            </w:tcBorders>
            <w:shd w:val="clear" w:color="auto" w:fill="auto"/>
            <w:vAlign w:val="center"/>
          </w:tcPr>
          <w:p w:rsidR="00C65EDF" w:rsidRPr="00915913" w:rsidRDefault="00C65EDF" w:rsidP="00C65EDF">
            <w:pPr>
              <w:pStyle w:val="a7"/>
              <w:ind w:left="0"/>
              <w:jc w:val="center"/>
              <w:rPr>
                <w:sz w:val="22"/>
              </w:rPr>
            </w:pPr>
            <w:r w:rsidRPr="00915913">
              <w:rPr>
                <w:sz w:val="22"/>
              </w:rPr>
              <w:t>Об</w:t>
            </w:r>
            <w:r w:rsidRPr="00915913">
              <w:rPr>
                <w:sz w:val="22"/>
                <w:lang w:val="en-US"/>
              </w:rPr>
              <w:t>’</w:t>
            </w:r>
            <w:proofErr w:type="spellStart"/>
            <w:r w:rsidRPr="00915913">
              <w:rPr>
                <w:sz w:val="22"/>
              </w:rPr>
              <w:t>єм</w:t>
            </w:r>
            <w:proofErr w:type="spellEnd"/>
            <w:r w:rsidRPr="00915913">
              <w:rPr>
                <w:sz w:val="22"/>
              </w:rPr>
              <w:t xml:space="preserve"> переробленого будівельного сміття</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65EDF" w:rsidRPr="00915913" w:rsidRDefault="00C65EDF" w:rsidP="00C65EDF">
            <w:pPr>
              <w:pStyle w:val="a7"/>
              <w:ind w:left="0"/>
              <w:jc w:val="center"/>
              <w:rPr>
                <w:sz w:val="22"/>
              </w:rPr>
            </w:pPr>
            <w:r w:rsidRPr="00915913">
              <w:rPr>
                <w:sz w:val="22"/>
              </w:rPr>
              <w:t>т/годину</w:t>
            </w:r>
          </w:p>
        </w:tc>
        <w:tc>
          <w:tcPr>
            <w:tcW w:w="1949" w:type="dxa"/>
            <w:gridSpan w:val="2"/>
            <w:tcBorders>
              <w:top w:val="single" w:sz="4" w:space="0" w:color="auto"/>
              <w:left w:val="single" w:sz="4" w:space="0" w:color="auto"/>
              <w:bottom w:val="single" w:sz="4" w:space="0" w:color="auto"/>
            </w:tcBorders>
            <w:shd w:val="clear" w:color="auto" w:fill="auto"/>
            <w:vAlign w:val="center"/>
          </w:tcPr>
          <w:p w:rsidR="00C65EDF" w:rsidRPr="00915913" w:rsidRDefault="00C65EDF" w:rsidP="00C65EDF">
            <w:pPr>
              <w:pStyle w:val="a7"/>
              <w:ind w:left="0"/>
              <w:jc w:val="center"/>
              <w:rPr>
                <w:sz w:val="22"/>
                <w:lang w:val="ru-RU"/>
              </w:rPr>
            </w:pPr>
            <w:r w:rsidRPr="00915913">
              <w:rPr>
                <w:sz w:val="22"/>
                <w:lang w:val="ru-RU"/>
              </w:rPr>
              <w:t>100</w:t>
            </w:r>
          </w:p>
        </w:tc>
      </w:tr>
      <w:tr w:rsidR="00C65EDF" w:rsidRPr="00915913" w:rsidTr="00C65EDF">
        <w:trPr>
          <w:trHeight w:val="165"/>
        </w:trPr>
        <w:tc>
          <w:tcPr>
            <w:tcW w:w="2836" w:type="dxa"/>
            <w:vMerge/>
            <w:shd w:val="clear" w:color="auto" w:fill="C6D9F1"/>
          </w:tcPr>
          <w:p w:rsidR="00C65EDF" w:rsidRPr="00915913" w:rsidRDefault="00C65EDF" w:rsidP="00C11751">
            <w:pPr>
              <w:pStyle w:val="a7"/>
              <w:ind w:left="0"/>
              <w:rPr>
                <w:b/>
                <w:sz w:val="22"/>
              </w:rPr>
            </w:pPr>
          </w:p>
        </w:tc>
        <w:tc>
          <w:tcPr>
            <w:tcW w:w="3402" w:type="dxa"/>
            <w:gridSpan w:val="3"/>
            <w:tcBorders>
              <w:top w:val="single" w:sz="4" w:space="0" w:color="auto"/>
              <w:bottom w:val="single" w:sz="4" w:space="0" w:color="auto"/>
              <w:right w:val="single" w:sz="4" w:space="0" w:color="auto"/>
            </w:tcBorders>
            <w:shd w:val="clear" w:color="auto" w:fill="auto"/>
            <w:vAlign w:val="center"/>
          </w:tcPr>
          <w:p w:rsidR="00C65EDF" w:rsidRPr="00915913" w:rsidRDefault="00C65EDF" w:rsidP="00C65EDF">
            <w:pPr>
              <w:pStyle w:val="a7"/>
              <w:ind w:left="0"/>
              <w:jc w:val="center"/>
              <w:rPr>
                <w:sz w:val="22"/>
              </w:rPr>
            </w:pPr>
            <w:r w:rsidRPr="00915913">
              <w:rPr>
                <w:sz w:val="22"/>
              </w:rPr>
              <w:t>Створені робочі місця</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65EDF" w:rsidRPr="00915913" w:rsidRDefault="00C65EDF" w:rsidP="00C65EDF">
            <w:pPr>
              <w:pStyle w:val="a7"/>
              <w:ind w:left="0"/>
              <w:jc w:val="center"/>
              <w:rPr>
                <w:sz w:val="22"/>
              </w:rPr>
            </w:pPr>
            <w:r w:rsidRPr="00915913">
              <w:rPr>
                <w:sz w:val="22"/>
              </w:rPr>
              <w:t>одиниць</w:t>
            </w:r>
          </w:p>
        </w:tc>
        <w:tc>
          <w:tcPr>
            <w:tcW w:w="1949" w:type="dxa"/>
            <w:gridSpan w:val="2"/>
            <w:tcBorders>
              <w:top w:val="single" w:sz="4" w:space="0" w:color="auto"/>
              <w:left w:val="single" w:sz="4" w:space="0" w:color="auto"/>
              <w:bottom w:val="single" w:sz="4" w:space="0" w:color="auto"/>
            </w:tcBorders>
            <w:shd w:val="clear" w:color="auto" w:fill="auto"/>
            <w:vAlign w:val="center"/>
          </w:tcPr>
          <w:p w:rsidR="00C65EDF" w:rsidRPr="00915913" w:rsidRDefault="00C65EDF" w:rsidP="00C65EDF">
            <w:pPr>
              <w:pStyle w:val="a7"/>
              <w:ind w:left="0"/>
              <w:jc w:val="center"/>
              <w:rPr>
                <w:sz w:val="22"/>
              </w:rPr>
            </w:pPr>
            <w:r w:rsidRPr="00915913">
              <w:rPr>
                <w:sz w:val="22"/>
              </w:rPr>
              <w:t>120</w:t>
            </w:r>
          </w:p>
        </w:tc>
      </w:tr>
      <w:tr w:rsidR="00C65EDF" w:rsidRPr="00915913" w:rsidTr="00C65EDF">
        <w:trPr>
          <w:trHeight w:val="150"/>
        </w:trPr>
        <w:tc>
          <w:tcPr>
            <w:tcW w:w="2836" w:type="dxa"/>
            <w:vMerge/>
            <w:shd w:val="clear" w:color="auto" w:fill="C6D9F1"/>
          </w:tcPr>
          <w:p w:rsidR="00C65EDF" w:rsidRPr="00915913" w:rsidRDefault="00C65EDF" w:rsidP="00C11751">
            <w:pPr>
              <w:pStyle w:val="a7"/>
              <w:ind w:left="0"/>
              <w:rPr>
                <w:b/>
                <w:sz w:val="22"/>
              </w:rPr>
            </w:pPr>
          </w:p>
        </w:tc>
        <w:tc>
          <w:tcPr>
            <w:tcW w:w="3402" w:type="dxa"/>
            <w:gridSpan w:val="3"/>
            <w:tcBorders>
              <w:top w:val="single" w:sz="4" w:space="0" w:color="auto"/>
              <w:right w:val="single" w:sz="4" w:space="0" w:color="auto"/>
            </w:tcBorders>
            <w:shd w:val="clear" w:color="auto" w:fill="auto"/>
            <w:vAlign w:val="center"/>
          </w:tcPr>
          <w:p w:rsidR="00C65EDF" w:rsidRPr="00915913" w:rsidRDefault="00C65EDF" w:rsidP="00C65EDF">
            <w:pPr>
              <w:pStyle w:val="a7"/>
              <w:ind w:left="0"/>
              <w:jc w:val="center"/>
              <w:rPr>
                <w:sz w:val="22"/>
              </w:rPr>
            </w:pPr>
            <w:r w:rsidRPr="00915913">
              <w:rPr>
                <w:sz w:val="22"/>
              </w:rPr>
              <w:t xml:space="preserve">Створені робочі місця в суміжних </w:t>
            </w:r>
            <w:proofErr w:type="spellStart"/>
            <w:r w:rsidRPr="00915913">
              <w:rPr>
                <w:sz w:val="22"/>
              </w:rPr>
              <w:t>галузяхекономіки</w:t>
            </w:r>
            <w:proofErr w:type="spellEnd"/>
          </w:p>
        </w:tc>
        <w:tc>
          <w:tcPr>
            <w:tcW w:w="1701" w:type="dxa"/>
            <w:gridSpan w:val="2"/>
            <w:tcBorders>
              <w:top w:val="single" w:sz="4" w:space="0" w:color="auto"/>
              <w:left w:val="single" w:sz="4" w:space="0" w:color="auto"/>
              <w:right w:val="single" w:sz="4" w:space="0" w:color="auto"/>
            </w:tcBorders>
            <w:shd w:val="clear" w:color="auto" w:fill="auto"/>
            <w:vAlign w:val="center"/>
          </w:tcPr>
          <w:p w:rsidR="00C65EDF" w:rsidRPr="00915913" w:rsidRDefault="00C65EDF" w:rsidP="00C65EDF">
            <w:pPr>
              <w:pStyle w:val="a7"/>
              <w:ind w:left="0"/>
              <w:jc w:val="center"/>
              <w:rPr>
                <w:sz w:val="22"/>
              </w:rPr>
            </w:pPr>
            <w:r w:rsidRPr="00915913">
              <w:rPr>
                <w:sz w:val="22"/>
              </w:rPr>
              <w:t>одиниць</w:t>
            </w:r>
          </w:p>
        </w:tc>
        <w:tc>
          <w:tcPr>
            <w:tcW w:w="1949" w:type="dxa"/>
            <w:gridSpan w:val="2"/>
            <w:tcBorders>
              <w:top w:val="single" w:sz="4" w:space="0" w:color="auto"/>
              <w:left w:val="single" w:sz="4" w:space="0" w:color="auto"/>
            </w:tcBorders>
            <w:shd w:val="clear" w:color="auto" w:fill="auto"/>
            <w:vAlign w:val="center"/>
          </w:tcPr>
          <w:p w:rsidR="00C65EDF" w:rsidRPr="00915913" w:rsidRDefault="00C65EDF" w:rsidP="00C65EDF">
            <w:pPr>
              <w:pStyle w:val="a7"/>
              <w:ind w:left="0"/>
              <w:jc w:val="center"/>
              <w:rPr>
                <w:sz w:val="22"/>
                <w:lang w:val="ru-RU"/>
              </w:rPr>
            </w:pPr>
            <w:r w:rsidRPr="00915913">
              <w:rPr>
                <w:sz w:val="22"/>
              </w:rPr>
              <w:t>1000</w:t>
            </w:r>
          </w:p>
        </w:tc>
      </w:tr>
      <w:tr w:rsidR="00C65EDF" w:rsidRPr="00915913" w:rsidTr="00C65EDF">
        <w:tc>
          <w:tcPr>
            <w:tcW w:w="2836" w:type="dxa"/>
            <w:shd w:val="clear" w:color="auto" w:fill="C6D9F1"/>
          </w:tcPr>
          <w:p w:rsidR="00C65EDF" w:rsidRPr="00915913" w:rsidRDefault="00C65EDF" w:rsidP="00C11751">
            <w:pPr>
              <w:rPr>
                <w:b/>
                <w:sz w:val="22"/>
                <w:lang w:val="ru-RU"/>
              </w:rPr>
            </w:pPr>
            <w:r w:rsidRPr="00915913">
              <w:rPr>
                <w:b/>
                <w:sz w:val="22"/>
              </w:rPr>
              <w:t xml:space="preserve">Ключові заходи проекту: </w:t>
            </w:r>
          </w:p>
          <w:p w:rsidR="00C65EDF" w:rsidRPr="00915913" w:rsidRDefault="00C65EDF" w:rsidP="00C11751">
            <w:pPr>
              <w:pStyle w:val="a7"/>
              <w:ind w:left="0"/>
              <w:rPr>
                <w:b/>
                <w:sz w:val="22"/>
              </w:rPr>
            </w:pPr>
          </w:p>
        </w:tc>
        <w:tc>
          <w:tcPr>
            <w:tcW w:w="7052" w:type="dxa"/>
            <w:gridSpan w:val="7"/>
            <w:shd w:val="clear" w:color="auto" w:fill="auto"/>
          </w:tcPr>
          <w:p w:rsidR="00C65EDF" w:rsidRPr="00915913" w:rsidRDefault="00C65EDF" w:rsidP="00C11751">
            <w:pPr>
              <w:pStyle w:val="a7"/>
              <w:ind w:left="0"/>
              <w:rPr>
                <w:sz w:val="22"/>
              </w:rPr>
            </w:pPr>
            <w:r w:rsidRPr="00915913">
              <w:rPr>
                <w:sz w:val="22"/>
              </w:rPr>
              <w:t>- визначення  об</w:t>
            </w:r>
            <w:r w:rsidRPr="00915913">
              <w:rPr>
                <w:sz w:val="22"/>
                <w:lang w:val="ru-RU"/>
              </w:rPr>
              <w:t>’</w:t>
            </w:r>
            <w:proofErr w:type="spellStart"/>
            <w:r w:rsidRPr="00915913">
              <w:rPr>
                <w:sz w:val="22"/>
              </w:rPr>
              <w:t>єму</w:t>
            </w:r>
            <w:proofErr w:type="spellEnd"/>
            <w:r w:rsidRPr="00915913">
              <w:rPr>
                <w:sz w:val="22"/>
              </w:rPr>
              <w:t xml:space="preserve"> будівельного сміття;</w:t>
            </w:r>
          </w:p>
          <w:p w:rsidR="00C65EDF" w:rsidRPr="00915913" w:rsidRDefault="00C65EDF" w:rsidP="00C11751">
            <w:pPr>
              <w:pStyle w:val="a7"/>
              <w:ind w:left="0"/>
              <w:rPr>
                <w:sz w:val="22"/>
              </w:rPr>
            </w:pPr>
            <w:r w:rsidRPr="00915913">
              <w:rPr>
                <w:sz w:val="22"/>
              </w:rPr>
              <w:t xml:space="preserve">- придбання </w:t>
            </w:r>
            <w:proofErr w:type="spellStart"/>
            <w:r w:rsidRPr="00915913">
              <w:rPr>
                <w:sz w:val="22"/>
              </w:rPr>
              <w:t>дробилки</w:t>
            </w:r>
            <w:proofErr w:type="spellEnd"/>
            <w:r w:rsidRPr="00915913">
              <w:rPr>
                <w:sz w:val="22"/>
              </w:rPr>
              <w:t xml:space="preserve"> та іншого обладнання;</w:t>
            </w:r>
          </w:p>
          <w:p w:rsidR="00C65EDF" w:rsidRPr="00915913" w:rsidRDefault="00C65EDF" w:rsidP="00C11751">
            <w:pPr>
              <w:pStyle w:val="a7"/>
              <w:ind w:left="0"/>
              <w:rPr>
                <w:sz w:val="22"/>
              </w:rPr>
            </w:pPr>
            <w:r w:rsidRPr="00915913">
              <w:rPr>
                <w:sz w:val="22"/>
              </w:rPr>
              <w:t>- навчання працівників;</w:t>
            </w:r>
          </w:p>
          <w:p w:rsidR="00C65EDF" w:rsidRPr="00915913" w:rsidRDefault="00C65EDF" w:rsidP="00C11751">
            <w:pPr>
              <w:pStyle w:val="a7"/>
              <w:ind w:left="0"/>
              <w:rPr>
                <w:sz w:val="22"/>
              </w:rPr>
            </w:pPr>
            <w:r w:rsidRPr="00915913">
              <w:rPr>
                <w:sz w:val="22"/>
              </w:rPr>
              <w:t>- організація та початок робочого процесу.</w:t>
            </w:r>
          </w:p>
        </w:tc>
      </w:tr>
      <w:tr w:rsidR="00C65EDF" w:rsidRPr="00915913" w:rsidTr="00C65EDF">
        <w:trPr>
          <w:trHeight w:val="360"/>
        </w:trPr>
        <w:tc>
          <w:tcPr>
            <w:tcW w:w="2836" w:type="dxa"/>
            <w:vMerge w:val="restart"/>
            <w:shd w:val="clear" w:color="auto" w:fill="C6D9F1"/>
          </w:tcPr>
          <w:p w:rsidR="00C65EDF" w:rsidRPr="00915913" w:rsidRDefault="00C65EDF" w:rsidP="00C11751">
            <w:pPr>
              <w:pStyle w:val="a7"/>
              <w:ind w:left="0"/>
              <w:rPr>
                <w:b/>
                <w:sz w:val="22"/>
                <w:lang w:val="ru-RU"/>
              </w:rPr>
            </w:pPr>
            <w:r w:rsidRPr="00915913">
              <w:rPr>
                <w:b/>
                <w:sz w:val="22"/>
              </w:rPr>
              <w:t xml:space="preserve">Орієнтовний обсяг та джерела фінансування, тис. грн. </w:t>
            </w:r>
          </w:p>
          <w:p w:rsidR="00C65EDF" w:rsidRPr="00915913" w:rsidRDefault="00C65EDF" w:rsidP="00C11751">
            <w:pPr>
              <w:pStyle w:val="a7"/>
              <w:ind w:left="0"/>
              <w:rPr>
                <w:b/>
                <w:sz w:val="22"/>
                <w:lang w:val="ru-RU"/>
              </w:rPr>
            </w:pPr>
          </w:p>
        </w:tc>
        <w:tc>
          <w:tcPr>
            <w:tcW w:w="1706" w:type="dxa"/>
            <w:tcBorders>
              <w:bottom w:val="single" w:sz="4" w:space="0" w:color="auto"/>
              <w:right w:val="single" w:sz="4" w:space="0" w:color="auto"/>
            </w:tcBorders>
            <w:shd w:val="clear" w:color="auto" w:fill="auto"/>
          </w:tcPr>
          <w:p w:rsidR="00C65EDF" w:rsidRPr="00915913" w:rsidRDefault="00C65EDF" w:rsidP="00C11751">
            <w:pPr>
              <w:pStyle w:val="a7"/>
              <w:ind w:left="0"/>
              <w:jc w:val="center"/>
              <w:rPr>
                <w:b/>
                <w:sz w:val="22"/>
              </w:rPr>
            </w:pPr>
            <w:r w:rsidRPr="00915913">
              <w:rPr>
                <w:b/>
                <w:sz w:val="22"/>
              </w:rPr>
              <w:t>Державний бюджет</w:t>
            </w:r>
          </w:p>
        </w:tc>
        <w:tc>
          <w:tcPr>
            <w:tcW w:w="1347" w:type="dxa"/>
            <w:tcBorders>
              <w:bottom w:val="single" w:sz="4" w:space="0" w:color="auto"/>
              <w:right w:val="single" w:sz="4" w:space="0" w:color="auto"/>
            </w:tcBorders>
            <w:shd w:val="clear" w:color="auto" w:fill="auto"/>
          </w:tcPr>
          <w:p w:rsidR="00C65EDF" w:rsidRPr="00915913" w:rsidRDefault="00C65EDF" w:rsidP="00C11751">
            <w:pPr>
              <w:pStyle w:val="a7"/>
              <w:ind w:left="0"/>
              <w:jc w:val="center"/>
              <w:rPr>
                <w:b/>
                <w:sz w:val="22"/>
              </w:rPr>
            </w:pPr>
            <w:r w:rsidRPr="00915913">
              <w:rPr>
                <w:b/>
                <w:sz w:val="22"/>
              </w:rPr>
              <w:t>Місцевий бюджет</w:t>
            </w:r>
          </w:p>
        </w:tc>
        <w:tc>
          <w:tcPr>
            <w:tcW w:w="2650" w:type="dxa"/>
            <w:gridSpan w:val="4"/>
            <w:tcBorders>
              <w:left w:val="single" w:sz="4" w:space="0" w:color="auto"/>
              <w:bottom w:val="single" w:sz="4" w:space="0" w:color="auto"/>
              <w:right w:val="single" w:sz="4" w:space="0" w:color="auto"/>
            </w:tcBorders>
            <w:shd w:val="clear" w:color="auto" w:fill="auto"/>
          </w:tcPr>
          <w:p w:rsidR="00C65EDF" w:rsidRPr="00915913" w:rsidRDefault="00C65EDF" w:rsidP="00C11751">
            <w:pPr>
              <w:pStyle w:val="a7"/>
              <w:ind w:left="0"/>
              <w:jc w:val="center"/>
              <w:rPr>
                <w:b/>
                <w:sz w:val="22"/>
              </w:rPr>
            </w:pPr>
            <w:r w:rsidRPr="00915913">
              <w:rPr>
                <w:b/>
                <w:sz w:val="22"/>
              </w:rPr>
              <w:t>Інші джерела</w:t>
            </w:r>
          </w:p>
        </w:tc>
        <w:tc>
          <w:tcPr>
            <w:tcW w:w="1349" w:type="dxa"/>
            <w:tcBorders>
              <w:left w:val="single" w:sz="4" w:space="0" w:color="auto"/>
              <w:bottom w:val="single" w:sz="4" w:space="0" w:color="auto"/>
            </w:tcBorders>
            <w:shd w:val="clear" w:color="auto" w:fill="auto"/>
          </w:tcPr>
          <w:p w:rsidR="00C65EDF" w:rsidRPr="00915913" w:rsidRDefault="00C65EDF" w:rsidP="00C11751">
            <w:pPr>
              <w:pStyle w:val="a7"/>
              <w:ind w:left="0"/>
              <w:jc w:val="center"/>
              <w:rPr>
                <w:b/>
                <w:sz w:val="22"/>
              </w:rPr>
            </w:pPr>
            <w:r w:rsidRPr="00915913">
              <w:rPr>
                <w:b/>
                <w:sz w:val="22"/>
              </w:rPr>
              <w:t>Всього</w:t>
            </w:r>
          </w:p>
        </w:tc>
      </w:tr>
      <w:tr w:rsidR="00C65EDF" w:rsidRPr="00915913" w:rsidTr="00C65EDF">
        <w:trPr>
          <w:trHeight w:val="225"/>
        </w:trPr>
        <w:tc>
          <w:tcPr>
            <w:tcW w:w="2836" w:type="dxa"/>
            <w:vMerge/>
            <w:shd w:val="clear" w:color="auto" w:fill="C6D9F1"/>
          </w:tcPr>
          <w:p w:rsidR="00C65EDF" w:rsidRPr="00915913" w:rsidRDefault="00C65EDF" w:rsidP="00C11751">
            <w:pPr>
              <w:pStyle w:val="a7"/>
              <w:ind w:left="0"/>
              <w:rPr>
                <w:b/>
                <w:sz w:val="22"/>
              </w:rPr>
            </w:pPr>
          </w:p>
        </w:tc>
        <w:tc>
          <w:tcPr>
            <w:tcW w:w="1706" w:type="dxa"/>
            <w:vMerge w:val="restart"/>
            <w:tcBorders>
              <w:top w:val="single" w:sz="4" w:space="0" w:color="auto"/>
              <w:right w:val="single" w:sz="4" w:space="0" w:color="auto"/>
            </w:tcBorders>
            <w:shd w:val="clear" w:color="auto" w:fill="auto"/>
          </w:tcPr>
          <w:p w:rsidR="00C65EDF" w:rsidRPr="00915913" w:rsidRDefault="00C65EDF" w:rsidP="00C11751">
            <w:pPr>
              <w:pStyle w:val="a7"/>
              <w:ind w:left="0"/>
              <w:jc w:val="center"/>
              <w:rPr>
                <w:sz w:val="22"/>
              </w:rPr>
            </w:pPr>
            <w:r w:rsidRPr="00915913">
              <w:rPr>
                <w:sz w:val="22"/>
              </w:rPr>
              <w:t>14078,91</w:t>
            </w:r>
          </w:p>
        </w:tc>
        <w:tc>
          <w:tcPr>
            <w:tcW w:w="1347" w:type="dxa"/>
            <w:vMerge w:val="restart"/>
            <w:tcBorders>
              <w:top w:val="single" w:sz="4" w:space="0" w:color="auto"/>
              <w:right w:val="single" w:sz="4" w:space="0" w:color="auto"/>
            </w:tcBorders>
            <w:shd w:val="clear" w:color="auto" w:fill="auto"/>
          </w:tcPr>
          <w:p w:rsidR="00C65EDF" w:rsidRPr="00915913" w:rsidRDefault="00C65EDF" w:rsidP="00C11751">
            <w:pPr>
              <w:pStyle w:val="a7"/>
              <w:ind w:left="0"/>
              <w:jc w:val="center"/>
              <w:rPr>
                <w:b/>
                <w:sz w:val="22"/>
              </w:rPr>
            </w:pPr>
            <w:r w:rsidRPr="00915913">
              <w:rPr>
                <w:b/>
                <w:sz w:val="22"/>
              </w:rPr>
              <w:t>-</w:t>
            </w:r>
          </w:p>
        </w:tc>
        <w:tc>
          <w:tcPr>
            <w:tcW w:w="1175" w:type="dxa"/>
            <w:gridSpan w:val="2"/>
            <w:tcBorders>
              <w:top w:val="single" w:sz="4" w:space="0" w:color="auto"/>
              <w:left w:val="single" w:sz="4" w:space="0" w:color="auto"/>
              <w:bottom w:val="single" w:sz="4" w:space="0" w:color="auto"/>
              <w:right w:val="single" w:sz="4" w:space="0" w:color="auto"/>
            </w:tcBorders>
            <w:shd w:val="clear" w:color="auto" w:fill="auto"/>
          </w:tcPr>
          <w:p w:rsidR="00C65EDF" w:rsidRPr="00915913" w:rsidRDefault="00C65EDF" w:rsidP="00C11751">
            <w:pPr>
              <w:pStyle w:val="a7"/>
              <w:ind w:left="0"/>
              <w:jc w:val="center"/>
              <w:rPr>
                <w:b/>
                <w:sz w:val="22"/>
              </w:rPr>
            </w:pPr>
            <w:r w:rsidRPr="00915913">
              <w:rPr>
                <w:b/>
                <w:sz w:val="22"/>
              </w:rPr>
              <w:t>Обсяг</w:t>
            </w:r>
          </w:p>
        </w:tc>
        <w:tc>
          <w:tcPr>
            <w:tcW w:w="1475" w:type="dxa"/>
            <w:gridSpan w:val="2"/>
            <w:tcBorders>
              <w:top w:val="single" w:sz="4" w:space="0" w:color="auto"/>
              <w:left w:val="single" w:sz="4" w:space="0" w:color="auto"/>
              <w:bottom w:val="single" w:sz="4" w:space="0" w:color="auto"/>
              <w:right w:val="single" w:sz="4" w:space="0" w:color="auto"/>
            </w:tcBorders>
            <w:shd w:val="clear" w:color="auto" w:fill="auto"/>
          </w:tcPr>
          <w:p w:rsidR="00C65EDF" w:rsidRPr="00915913" w:rsidRDefault="00C65EDF" w:rsidP="00C11751">
            <w:pPr>
              <w:pStyle w:val="a7"/>
              <w:ind w:left="0"/>
              <w:jc w:val="center"/>
              <w:rPr>
                <w:b/>
                <w:sz w:val="22"/>
              </w:rPr>
            </w:pPr>
            <w:r w:rsidRPr="00915913">
              <w:rPr>
                <w:b/>
                <w:sz w:val="22"/>
              </w:rPr>
              <w:t>Назва джерела</w:t>
            </w:r>
          </w:p>
        </w:tc>
        <w:tc>
          <w:tcPr>
            <w:tcW w:w="1349" w:type="dxa"/>
            <w:vMerge w:val="restart"/>
            <w:tcBorders>
              <w:top w:val="single" w:sz="4" w:space="0" w:color="auto"/>
              <w:left w:val="single" w:sz="4" w:space="0" w:color="auto"/>
            </w:tcBorders>
            <w:shd w:val="clear" w:color="auto" w:fill="auto"/>
          </w:tcPr>
          <w:p w:rsidR="00C65EDF" w:rsidRPr="00915913" w:rsidRDefault="00C65EDF" w:rsidP="00C11751">
            <w:pPr>
              <w:pStyle w:val="a7"/>
              <w:ind w:left="0"/>
              <w:jc w:val="center"/>
              <w:rPr>
                <w:sz w:val="22"/>
              </w:rPr>
            </w:pPr>
          </w:p>
          <w:p w:rsidR="00C65EDF" w:rsidRPr="00915913" w:rsidRDefault="00C65EDF" w:rsidP="00C11751">
            <w:pPr>
              <w:pStyle w:val="a7"/>
              <w:ind w:left="0"/>
              <w:jc w:val="center"/>
              <w:rPr>
                <w:sz w:val="22"/>
              </w:rPr>
            </w:pPr>
          </w:p>
          <w:p w:rsidR="00C65EDF" w:rsidRPr="00915913" w:rsidRDefault="00C65EDF" w:rsidP="00C11751">
            <w:pPr>
              <w:pStyle w:val="a7"/>
              <w:ind w:left="0"/>
              <w:jc w:val="center"/>
              <w:rPr>
                <w:sz w:val="22"/>
              </w:rPr>
            </w:pPr>
            <w:r w:rsidRPr="00915913">
              <w:rPr>
                <w:sz w:val="22"/>
              </w:rPr>
              <w:t>20112,73</w:t>
            </w:r>
          </w:p>
        </w:tc>
      </w:tr>
      <w:tr w:rsidR="00C65EDF" w:rsidRPr="00915913" w:rsidTr="00C65EDF">
        <w:trPr>
          <w:trHeight w:val="300"/>
        </w:trPr>
        <w:tc>
          <w:tcPr>
            <w:tcW w:w="2836" w:type="dxa"/>
            <w:vMerge/>
            <w:shd w:val="clear" w:color="auto" w:fill="C6D9F1"/>
          </w:tcPr>
          <w:p w:rsidR="00C65EDF" w:rsidRPr="00915913" w:rsidRDefault="00C65EDF" w:rsidP="00C11751">
            <w:pPr>
              <w:pStyle w:val="a7"/>
              <w:ind w:left="0"/>
              <w:rPr>
                <w:b/>
                <w:sz w:val="22"/>
              </w:rPr>
            </w:pPr>
          </w:p>
        </w:tc>
        <w:tc>
          <w:tcPr>
            <w:tcW w:w="1706" w:type="dxa"/>
            <w:vMerge/>
            <w:tcBorders>
              <w:right w:val="single" w:sz="4" w:space="0" w:color="auto"/>
            </w:tcBorders>
            <w:shd w:val="clear" w:color="auto" w:fill="auto"/>
          </w:tcPr>
          <w:p w:rsidR="00C65EDF" w:rsidRPr="00915913" w:rsidRDefault="00C65EDF" w:rsidP="00C11751">
            <w:pPr>
              <w:pStyle w:val="a7"/>
              <w:ind w:left="0"/>
              <w:jc w:val="center"/>
              <w:rPr>
                <w:sz w:val="22"/>
              </w:rPr>
            </w:pPr>
          </w:p>
        </w:tc>
        <w:tc>
          <w:tcPr>
            <w:tcW w:w="1347" w:type="dxa"/>
            <w:vMerge/>
            <w:tcBorders>
              <w:right w:val="single" w:sz="4" w:space="0" w:color="auto"/>
            </w:tcBorders>
            <w:shd w:val="clear" w:color="auto" w:fill="auto"/>
          </w:tcPr>
          <w:p w:rsidR="00C65EDF" w:rsidRPr="00915913" w:rsidRDefault="00C65EDF" w:rsidP="00C11751">
            <w:pPr>
              <w:pStyle w:val="a7"/>
              <w:ind w:left="0"/>
              <w:jc w:val="center"/>
              <w:rPr>
                <w:b/>
                <w:sz w:val="22"/>
              </w:rPr>
            </w:pPr>
          </w:p>
        </w:tc>
        <w:tc>
          <w:tcPr>
            <w:tcW w:w="1175" w:type="dxa"/>
            <w:gridSpan w:val="2"/>
            <w:tcBorders>
              <w:top w:val="single" w:sz="4" w:space="0" w:color="auto"/>
              <w:left w:val="single" w:sz="4" w:space="0" w:color="auto"/>
              <w:right w:val="single" w:sz="4" w:space="0" w:color="auto"/>
            </w:tcBorders>
            <w:shd w:val="clear" w:color="auto" w:fill="auto"/>
          </w:tcPr>
          <w:p w:rsidR="00C65EDF" w:rsidRPr="00915913" w:rsidRDefault="00C65EDF" w:rsidP="00C11751">
            <w:pPr>
              <w:pStyle w:val="a7"/>
              <w:ind w:left="0"/>
              <w:jc w:val="center"/>
              <w:rPr>
                <w:sz w:val="22"/>
              </w:rPr>
            </w:pPr>
            <w:r w:rsidRPr="00915913">
              <w:rPr>
                <w:sz w:val="22"/>
                <w:lang w:val="ru-RU"/>
              </w:rPr>
              <w:t>6033,82</w:t>
            </w:r>
          </w:p>
        </w:tc>
        <w:tc>
          <w:tcPr>
            <w:tcW w:w="1475" w:type="dxa"/>
            <w:gridSpan w:val="2"/>
            <w:tcBorders>
              <w:top w:val="single" w:sz="4" w:space="0" w:color="auto"/>
              <w:left w:val="single" w:sz="4" w:space="0" w:color="auto"/>
              <w:right w:val="single" w:sz="4" w:space="0" w:color="auto"/>
            </w:tcBorders>
            <w:shd w:val="clear" w:color="auto" w:fill="auto"/>
          </w:tcPr>
          <w:p w:rsidR="00C65EDF" w:rsidRPr="00915913" w:rsidRDefault="00C65EDF" w:rsidP="00C11751">
            <w:pPr>
              <w:pStyle w:val="a7"/>
              <w:ind w:left="0"/>
              <w:jc w:val="center"/>
              <w:rPr>
                <w:sz w:val="22"/>
              </w:rPr>
            </w:pPr>
            <w:r w:rsidRPr="00915913">
              <w:rPr>
                <w:sz w:val="22"/>
              </w:rPr>
              <w:t>Міжнародні інвестиції, кошти приватних осіб</w:t>
            </w:r>
          </w:p>
        </w:tc>
        <w:tc>
          <w:tcPr>
            <w:tcW w:w="1349" w:type="dxa"/>
            <w:vMerge/>
            <w:tcBorders>
              <w:left w:val="single" w:sz="4" w:space="0" w:color="auto"/>
            </w:tcBorders>
            <w:shd w:val="clear" w:color="auto" w:fill="auto"/>
          </w:tcPr>
          <w:p w:rsidR="00C65EDF" w:rsidRPr="00915913" w:rsidRDefault="00C65EDF" w:rsidP="00C11751">
            <w:pPr>
              <w:pStyle w:val="a7"/>
              <w:ind w:left="0"/>
              <w:jc w:val="center"/>
              <w:rPr>
                <w:sz w:val="22"/>
              </w:rPr>
            </w:pPr>
          </w:p>
        </w:tc>
      </w:tr>
    </w:tbl>
    <w:p w:rsidR="00C65EDF" w:rsidRPr="00915913" w:rsidRDefault="00C65EDF" w:rsidP="00E95FB1">
      <w:pPr>
        <w:rPr>
          <w:sz w:val="22"/>
        </w:rPr>
      </w:pPr>
    </w:p>
    <w:p w:rsidR="00C65EDF" w:rsidRPr="00915913" w:rsidRDefault="00C65EDF" w:rsidP="00E95FB1">
      <w:pPr>
        <w:rPr>
          <w:sz w:val="22"/>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9"/>
        <w:gridCol w:w="1571"/>
        <w:gridCol w:w="1316"/>
        <w:gridCol w:w="304"/>
        <w:gridCol w:w="922"/>
        <w:gridCol w:w="779"/>
        <w:gridCol w:w="678"/>
        <w:gridCol w:w="1383"/>
      </w:tblGrid>
      <w:tr w:rsidR="00C65EDF" w:rsidRPr="00915913" w:rsidTr="00C65EDF">
        <w:tc>
          <w:tcPr>
            <w:tcW w:w="2848" w:type="dxa"/>
            <w:shd w:val="clear" w:color="auto" w:fill="C6D9F1"/>
          </w:tcPr>
          <w:p w:rsidR="00C65EDF" w:rsidRPr="00915913" w:rsidRDefault="00C65EDF" w:rsidP="00C11751">
            <w:pPr>
              <w:pStyle w:val="a7"/>
              <w:ind w:left="0"/>
              <w:rPr>
                <w:b/>
                <w:sz w:val="22"/>
              </w:rPr>
            </w:pPr>
            <w:r w:rsidRPr="00915913">
              <w:rPr>
                <w:b/>
                <w:sz w:val="22"/>
              </w:rPr>
              <w:t>Оперативна ціль/завдання</w:t>
            </w:r>
          </w:p>
        </w:tc>
        <w:tc>
          <w:tcPr>
            <w:tcW w:w="7040" w:type="dxa"/>
            <w:gridSpan w:val="7"/>
            <w:shd w:val="clear" w:color="auto" w:fill="auto"/>
          </w:tcPr>
          <w:p w:rsidR="00C65EDF" w:rsidRPr="00915913" w:rsidRDefault="00C65EDF" w:rsidP="00C11751">
            <w:pPr>
              <w:pStyle w:val="a7"/>
              <w:ind w:left="0"/>
              <w:rPr>
                <w:b/>
                <w:sz w:val="22"/>
                <w:lang w:val="ru-RU"/>
              </w:rPr>
            </w:pPr>
            <w:r w:rsidRPr="00915913">
              <w:rPr>
                <w:rFonts w:eastAsia="Arial"/>
                <w:sz w:val="22"/>
              </w:rPr>
              <w:t>Комфорт життя ЛЮДИНИ як безпека, екологічна сталість та розумна енергетика. Енергоефективна політика та інфраструктура</w:t>
            </w:r>
            <w:r w:rsidRPr="00915913">
              <w:rPr>
                <w:b/>
                <w:sz w:val="22"/>
                <w:lang w:val="ru-RU"/>
              </w:rPr>
              <w:t xml:space="preserve"> </w:t>
            </w:r>
          </w:p>
        </w:tc>
      </w:tr>
      <w:tr w:rsidR="00C65EDF" w:rsidRPr="00915913" w:rsidTr="00C65EDF">
        <w:tc>
          <w:tcPr>
            <w:tcW w:w="2848" w:type="dxa"/>
            <w:shd w:val="clear" w:color="auto" w:fill="C6D9F1"/>
          </w:tcPr>
          <w:p w:rsidR="00C65EDF" w:rsidRPr="00915913" w:rsidRDefault="00C65EDF" w:rsidP="00C11751">
            <w:pPr>
              <w:pStyle w:val="a7"/>
              <w:ind w:left="0"/>
              <w:rPr>
                <w:b/>
                <w:sz w:val="22"/>
              </w:rPr>
            </w:pPr>
            <w:r w:rsidRPr="00915913">
              <w:rPr>
                <w:b/>
                <w:sz w:val="22"/>
              </w:rPr>
              <w:t>Назва проекту:</w:t>
            </w:r>
          </w:p>
        </w:tc>
        <w:tc>
          <w:tcPr>
            <w:tcW w:w="7040" w:type="dxa"/>
            <w:gridSpan w:val="7"/>
            <w:shd w:val="clear" w:color="auto" w:fill="auto"/>
          </w:tcPr>
          <w:p w:rsidR="00C65EDF" w:rsidRPr="00915913" w:rsidRDefault="00C65EDF" w:rsidP="00C11751">
            <w:pPr>
              <w:pStyle w:val="a7"/>
              <w:ind w:left="0"/>
              <w:rPr>
                <w:sz w:val="22"/>
              </w:rPr>
            </w:pPr>
            <w:r w:rsidRPr="00915913">
              <w:rPr>
                <w:sz w:val="22"/>
              </w:rPr>
              <w:t>Брикетування рослинної сировини як спосіб зменшення енергетичної залежності держави</w:t>
            </w:r>
          </w:p>
        </w:tc>
      </w:tr>
      <w:tr w:rsidR="00C65EDF" w:rsidRPr="00915913" w:rsidTr="00C65EDF">
        <w:tc>
          <w:tcPr>
            <w:tcW w:w="2848" w:type="dxa"/>
            <w:shd w:val="clear" w:color="auto" w:fill="C6D9F1"/>
          </w:tcPr>
          <w:p w:rsidR="00C65EDF" w:rsidRPr="00915913" w:rsidRDefault="00C65EDF" w:rsidP="00C11751">
            <w:pPr>
              <w:rPr>
                <w:b/>
                <w:sz w:val="22"/>
              </w:rPr>
            </w:pPr>
            <w:r w:rsidRPr="00915913">
              <w:rPr>
                <w:b/>
                <w:sz w:val="22"/>
              </w:rPr>
              <w:t>Ціль проекту</w:t>
            </w:r>
          </w:p>
        </w:tc>
        <w:tc>
          <w:tcPr>
            <w:tcW w:w="7040" w:type="dxa"/>
            <w:gridSpan w:val="7"/>
            <w:shd w:val="clear" w:color="auto" w:fill="auto"/>
          </w:tcPr>
          <w:p w:rsidR="00C65EDF" w:rsidRPr="00915913" w:rsidRDefault="00C65EDF" w:rsidP="00C11751">
            <w:pPr>
              <w:pStyle w:val="a7"/>
              <w:ind w:left="0"/>
              <w:rPr>
                <w:sz w:val="22"/>
              </w:rPr>
            </w:pPr>
            <w:r w:rsidRPr="00915913">
              <w:rPr>
                <w:sz w:val="22"/>
              </w:rPr>
              <w:t>Створити нові технології брикетування рослинної сировини</w:t>
            </w:r>
          </w:p>
        </w:tc>
      </w:tr>
      <w:tr w:rsidR="00C65EDF" w:rsidRPr="00915913" w:rsidTr="00C65EDF">
        <w:tc>
          <w:tcPr>
            <w:tcW w:w="2848" w:type="dxa"/>
            <w:shd w:val="clear" w:color="auto" w:fill="C6D9F1"/>
          </w:tcPr>
          <w:p w:rsidR="00C65EDF" w:rsidRPr="00915913" w:rsidRDefault="00C65EDF" w:rsidP="00C11751">
            <w:pPr>
              <w:pStyle w:val="a7"/>
              <w:ind w:left="0"/>
              <w:rPr>
                <w:b/>
                <w:sz w:val="22"/>
              </w:rPr>
            </w:pPr>
            <w:r w:rsidRPr="00915913">
              <w:rPr>
                <w:b/>
                <w:sz w:val="22"/>
              </w:rPr>
              <w:t>Територія, на яку матиме вплив реалізація проекту</w:t>
            </w:r>
          </w:p>
        </w:tc>
        <w:tc>
          <w:tcPr>
            <w:tcW w:w="7040" w:type="dxa"/>
            <w:gridSpan w:val="7"/>
            <w:shd w:val="clear" w:color="auto" w:fill="auto"/>
          </w:tcPr>
          <w:p w:rsidR="00C65EDF" w:rsidRPr="00915913" w:rsidRDefault="00C65EDF" w:rsidP="00C11751">
            <w:pPr>
              <w:pStyle w:val="a7"/>
              <w:ind w:left="0"/>
              <w:rPr>
                <w:sz w:val="22"/>
              </w:rPr>
            </w:pPr>
            <w:r w:rsidRPr="00915913">
              <w:rPr>
                <w:sz w:val="22"/>
              </w:rPr>
              <w:t>Сєвєродонецька міська територіальна громада</w:t>
            </w:r>
            <w:r w:rsidRPr="00915913">
              <w:rPr>
                <w:sz w:val="22"/>
              </w:rPr>
              <w:br/>
            </w:r>
          </w:p>
        </w:tc>
      </w:tr>
      <w:tr w:rsidR="00C65EDF" w:rsidRPr="00915913" w:rsidTr="00C65EDF">
        <w:tc>
          <w:tcPr>
            <w:tcW w:w="2848" w:type="dxa"/>
            <w:shd w:val="clear" w:color="auto" w:fill="C6D9F1"/>
          </w:tcPr>
          <w:p w:rsidR="00C65EDF" w:rsidRPr="00915913" w:rsidRDefault="00C65EDF" w:rsidP="00C11751">
            <w:pPr>
              <w:pStyle w:val="a7"/>
              <w:ind w:left="0"/>
              <w:rPr>
                <w:b/>
                <w:sz w:val="22"/>
              </w:rPr>
            </w:pPr>
            <w:r w:rsidRPr="00915913">
              <w:rPr>
                <w:b/>
                <w:sz w:val="22"/>
              </w:rPr>
              <w:t>Чисельність населення</w:t>
            </w:r>
            <w:r w:rsidRPr="00915913">
              <w:rPr>
                <w:b/>
                <w:sz w:val="22"/>
                <w:lang w:val="ru-RU"/>
              </w:rPr>
              <w:t>,</w:t>
            </w:r>
            <w:r w:rsidRPr="00915913">
              <w:rPr>
                <w:b/>
                <w:sz w:val="22"/>
              </w:rPr>
              <w:t xml:space="preserve"> на яке матиме вплив реалізація проекту</w:t>
            </w:r>
          </w:p>
        </w:tc>
        <w:tc>
          <w:tcPr>
            <w:tcW w:w="7040" w:type="dxa"/>
            <w:gridSpan w:val="7"/>
            <w:shd w:val="clear" w:color="auto" w:fill="auto"/>
          </w:tcPr>
          <w:p w:rsidR="00C65EDF" w:rsidRPr="00915913" w:rsidRDefault="00C65EDF" w:rsidP="00C11751">
            <w:pPr>
              <w:pStyle w:val="a7"/>
              <w:ind w:left="0"/>
              <w:rPr>
                <w:sz w:val="22"/>
              </w:rPr>
            </w:pPr>
            <w:r w:rsidRPr="00915913">
              <w:rPr>
                <w:sz w:val="22"/>
              </w:rPr>
              <w:t xml:space="preserve"> 70000  осіб</w:t>
            </w:r>
          </w:p>
        </w:tc>
      </w:tr>
      <w:tr w:rsidR="00C65EDF" w:rsidRPr="00915913" w:rsidTr="00C65EDF">
        <w:tc>
          <w:tcPr>
            <w:tcW w:w="2848" w:type="dxa"/>
            <w:shd w:val="clear" w:color="auto" w:fill="C6D9F1"/>
          </w:tcPr>
          <w:p w:rsidR="00C65EDF" w:rsidRPr="00915913" w:rsidRDefault="00C65EDF" w:rsidP="00C11751">
            <w:pPr>
              <w:rPr>
                <w:b/>
                <w:sz w:val="22"/>
                <w:lang w:val="ru-RU"/>
              </w:rPr>
            </w:pPr>
            <w:r w:rsidRPr="00915913">
              <w:rPr>
                <w:b/>
                <w:sz w:val="22"/>
              </w:rPr>
              <w:t>Опис проблеми, на вирішення якої  спрямований проект</w:t>
            </w:r>
          </w:p>
        </w:tc>
        <w:tc>
          <w:tcPr>
            <w:tcW w:w="7040" w:type="dxa"/>
            <w:gridSpan w:val="7"/>
            <w:shd w:val="clear" w:color="auto" w:fill="auto"/>
          </w:tcPr>
          <w:p w:rsidR="00C65EDF" w:rsidRPr="00915913" w:rsidRDefault="00C65EDF" w:rsidP="00C11751">
            <w:pPr>
              <w:pStyle w:val="13"/>
              <w:jc w:val="both"/>
              <w:rPr>
                <w:sz w:val="22"/>
                <w:lang w:val="uk-UA"/>
              </w:rPr>
            </w:pPr>
            <w:r w:rsidRPr="00915913">
              <w:rPr>
                <w:sz w:val="22"/>
                <w:lang w:val="uk-UA"/>
              </w:rPr>
              <w:t>На території громади існує велика кількість рослинної сировини, яка не використовується та наносить шкоду екології та навколишньому середовищу.</w:t>
            </w:r>
          </w:p>
          <w:p w:rsidR="00C65EDF" w:rsidRPr="00915913" w:rsidRDefault="00C65EDF" w:rsidP="00C11751">
            <w:pPr>
              <w:pStyle w:val="13"/>
              <w:jc w:val="both"/>
              <w:rPr>
                <w:sz w:val="22"/>
                <w:lang w:val="uk-UA"/>
              </w:rPr>
            </w:pPr>
            <w:r w:rsidRPr="00915913">
              <w:rPr>
                <w:sz w:val="22"/>
                <w:lang w:val="uk-UA"/>
              </w:rPr>
              <w:t>Але у регіоні відсутні підприємства з її переробки . Тому вкрай необхідно с</w:t>
            </w:r>
            <w:proofErr w:type="spellStart"/>
            <w:r w:rsidRPr="00915913">
              <w:rPr>
                <w:sz w:val="22"/>
              </w:rPr>
              <w:t>творити</w:t>
            </w:r>
            <w:proofErr w:type="spellEnd"/>
            <w:r w:rsidRPr="00915913">
              <w:rPr>
                <w:sz w:val="22"/>
              </w:rPr>
              <w:t xml:space="preserve"> </w:t>
            </w:r>
            <w:proofErr w:type="spellStart"/>
            <w:r w:rsidRPr="00915913">
              <w:rPr>
                <w:sz w:val="22"/>
              </w:rPr>
              <w:t>нові</w:t>
            </w:r>
            <w:proofErr w:type="spellEnd"/>
            <w:r w:rsidRPr="00915913">
              <w:rPr>
                <w:sz w:val="22"/>
              </w:rPr>
              <w:t xml:space="preserve"> </w:t>
            </w:r>
            <w:proofErr w:type="spellStart"/>
            <w:r w:rsidRPr="00915913">
              <w:rPr>
                <w:sz w:val="22"/>
              </w:rPr>
              <w:t>технології</w:t>
            </w:r>
            <w:proofErr w:type="spellEnd"/>
            <w:r w:rsidRPr="00915913">
              <w:rPr>
                <w:sz w:val="22"/>
              </w:rPr>
              <w:t xml:space="preserve"> </w:t>
            </w:r>
            <w:proofErr w:type="spellStart"/>
            <w:r w:rsidRPr="00915913">
              <w:rPr>
                <w:sz w:val="22"/>
              </w:rPr>
              <w:t>брикетування</w:t>
            </w:r>
            <w:proofErr w:type="spellEnd"/>
            <w:r w:rsidRPr="00915913">
              <w:rPr>
                <w:sz w:val="22"/>
              </w:rPr>
              <w:t xml:space="preserve"> </w:t>
            </w:r>
            <w:proofErr w:type="spellStart"/>
            <w:r w:rsidRPr="00915913">
              <w:rPr>
                <w:sz w:val="22"/>
              </w:rPr>
              <w:t>рослинної</w:t>
            </w:r>
            <w:proofErr w:type="spellEnd"/>
            <w:r w:rsidRPr="00915913">
              <w:rPr>
                <w:sz w:val="22"/>
              </w:rPr>
              <w:t xml:space="preserve"> </w:t>
            </w:r>
            <w:proofErr w:type="spellStart"/>
            <w:r w:rsidRPr="00915913">
              <w:rPr>
                <w:sz w:val="22"/>
              </w:rPr>
              <w:t>сировини</w:t>
            </w:r>
            <w:proofErr w:type="spellEnd"/>
            <w:r w:rsidRPr="00915913">
              <w:rPr>
                <w:sz w:val="22"/>
                <w:lang w:val="uk-UA"/>
              </w:rPr>
              <w:t>.</w:t>
            </w:r>
          </w:p>
        </w:tc>
      </w:tr>
      <w:tr w:rsidR="00C65EDF" w:rsidRPr="00915913" w:rsidTr="00C65EDF">
        <w:tc>
          <w:tcPr>
            <w:tcW w:w="2848" w:type="dxa"/>
            <w:shd w:val="clear" w:color="auto" w:fill="C6D9F1"/>
          </w:tcPr>
          <w:p w:rsidR="00C65EDF" w:rsidRPr="00915913" w:rsidRDefault="00C65EDF" w:rsidP="00C11751">
            <w:pPr>
              <w:pStyle w:val="a7"/>
              <w:ind w:left="0"/>
              <w:rPr>
                <w:b/>
                <w:sz w:val="22"/>
              </w:rPr>
            </w:pPr>
            <w:r w:rsidRPr="00915913">
              <w:rPr>
                <w:b/>
                <w:sz w:val="22"/>
              </w:rPr>
              <w:lastRenderedPageBreak/>
              <w:t>Очікувані якісні результати від реалізації проекту</w:t>
            </w:r>
          </w:p>
        </w:tc>
        <w:tc>
          <w:tcPr>
            <w:tcW w:w="7040" w:type="dxa"/>
            <w:gridSpan w:val="7"/>
            <w:shd w:val="clear" w:color="auto" w:fill="auto"/>
          </w:tcPr>
          <w:p w:rsidR="00C65EDF" w:rsidRPr="00915913" w:rsidRDefault="000F1E9B" w:rsidP="00C11751">
            <w:pPr>
              <w:pStyle w:val="a7"/>
              <w:ind w:left="0"/>
              <w:rPr>
                <w:sz w:val="22"/>
              </w:rPr>
            </w:pPr>
            <w:r w:rsidRPr="00915913">
              <w:rPr>
                <w:bCs/>
                <w:sz w:val="22"/>
                <w:szCs w:val="22"/>
              </w:rPr>
              <w:t>В</w:t>
            </w:r>
            <w:r w:rsidR="00C65EDF" w:rsidRPr="00915913">
              <w:rPr>
                <w:bCs/>
                <w:sz w:val="22"/>
                <w:szCs w:val="22"/>
              </w:rPr>
              <w:t>же</w:t>
            </w:r>
            <w:r w:rsidR="00C65EDF" w:rsidRPr="00915913">
              <w:rPr>
                <w:sz w:val="22"/>
              </w:rPr>
              <w:t xml:space="preserve"> існуюча мережа державних і комунальних структур (</w:t>
            </w:r>
            <w:proofErr w:type="spellStart"/>
            <w:r w:rsidR="00C65EDF" w:rsidRPr="00915913">
              <w:rPr>
                <w:sz w:val="22"/>
              </w:rPr>
              <w:t>Зеленбуди</w:t>
            </w:r>
            <w:proofErr w:type="spellEnd"/>
            <w:r w:rsidR="00C65EDF" w:rsidRPr="00915913">
              <w:rPr>
                <w:sz w:val="22"/>
              </w:rPr>
              <w:t xml:space="preserve">, лісгоспи, </w:t>
            </w:r>
            <w:proofErr w:type="spellStart"/>
            <w:r w:rsidR="00C65EDF" w:rsidRPr="00915913">
              <w:rPr>
                <w:sz w:val="22"/>
              </w:rPr>
              <w:t>Автодори</w:t>
            </w:r>
            <w:proofErr w:type="spellEnd"/>
            <w:r w:rsidR="00C65EDF" w:rsidRPr="00915913">
              <w:rPr>
                <w:sz w:val="22"/>
              </w:rPr>
              <w:t>) з доступом до деревної сировини (гілля) і наявністю: техніки, обладнання, площадок і організаційної структури.</w:t>
            </w:r>
          </w:p>
          <w:p w:rsidR="00C65EDF" w:rsidRPr="00915913" w:rsidRDefault="00C65EDF" w:rsidP="00C11751">
            <w:pPr>
              <w:pStyle w:val="a7"/>
              <w:ind w:left="0"/>
              <w:rPr>
                <w:sz w:val="22"/>
              </w:rPr>
            </w:pPr>
            <w:r w:rsidRPr="00915913">
              <w:rPr>
                <w:sz w:val="22"/>
              </w:rPr>
              <w:t>До 10 вітчизняних виробників обладнання, здатних забезпечити виготовлення сотень комплексів різної продуктивності протягом року.</w:t>
            </w:r>
          </w:p>
          <w:p w:rsidR="00C65EDF" w:rsidRPr="00915913" w:rsidRDefault="00C65EDF" w:rsidP="00C11751">
            <w:pPr>
              <w:pStyle w:val="a7"/>
              <w:ind w:left="0"/>
              <w:rPr>
                <w:sz w:val="22"/>
              </w:rPr>
            </w:pPr>
            <w:r w:rsidRPr="00915913">
              <w:rPr>
                <w:sz w:val="22"/>
              </w:rPr>
              <w:t xml:space="preserve">Мільйони тон органічних відходів української промисловості і сільського господарства, які можуть бути </w:t>
            </w:r>
            <w:proofErr w:type="spellStart"/>
            <w:r w:rsidRPr="00915913">
              <w:rPr>
                <w:sz w:val="22"/>
              </w:rPr>
              <w:t>забрикетовані</w:t>
            </w:r>
            <w:proofErr w:type="spellEnd"/>
            <w:r w:rsidRPr="00915913">
              <w:rPr>
                <w:sz w:val="22"/>
              </w:rPr>
              <w:t xml:space="preserve"> разом з деревиною (окремо – ні).</w:t>
            </w:r>
          </w:p>
          <w:p w:rsidR="00C65EDF" w:rsidRPr="00915913" w:rsidRDefault="00C65EDF" w:rsidP="00C11751">
            <w:pPr>
              <w:pStyle w:val="a7"/>
              <w:ind w:left="0"/>
              <w:rPr>
                <w:sz w:val="22"/>
              </w:rPr>
            </w:pPr>
            <w:r w:rsidRPr="00915913">
              <w:rPr>
                <w:sz w:val="22"/>
              </w:rPr>
              <w:t>Стимуляція приватного бізнесу в цьому ж напрямку здатна подвоїти і потроїти можливості.</w:t>
            </w:r>
          </w:p>
          <w:p w:rsidR="00C65EDF" w:rsidRPr="00915913" w:rsidRDefault="00C65EDF" w:rsidP="00C11751">
            <w:pPr>
              <w:pStyle w:val="a7"/>
              <w:ind w:left="0"/>
              <w:rPr>
                <w:sz w:val="22"/>
              </w:rPr>
            </w:pPr>
            <w:r w:rsidRPr="00915913">
              <w:rPr>
                <w:sz w:val="22"/>
              </w:rPr>
              <w:t>Стимул для повернення до громади ВПО.</w:t>
            </w:r>
          </w:p>
          <w:p w:rsidR="00C65EDF" w:rsidRPr="00915913" w:rsidRDefault="00C65EDF" w:rsidP="00C11751">
            <w:pPr>
              <w:pStyle w:val="a7"/>
              <w:ind w:left="0"/>
              <w:rPr>
                <w:sz w:val="22"/>
              </w:rPr>
            </w:pPr>
            <w:r w:rsidRPr="00915913">
              <w:rPr>
                <w:sz w:val="22"/>
              </w:rPr>
              <w:t>Покращення екологічного стану навколишнього середовища.</w:t>
            </w:r>
          </w:p>
        </w:tc>
      </w:tr>
      <w:tr w:rsidR="00C65EDF" w:rsidRPr="00915913" w:rsidTr="00C65EDF">
        <w:trPr>
          <w:trHeight w:val="390"/>
        </w:trPr>
        <w:tc>
          <w:tcPr>
            <w:tcW w:w="2848" w:type="dxa"/>
            <w:vMerge w:val="restart"/>
            <w:shd w:val="clear" w:color="auto" w:fill="C6D9F1"/>
          </w:tcPr>
          <w:p w:rsidR="00C65EDF" w:rsidRPr="00915913" w:rsidRDefault="00C65EDF" w:rsidP="00C11751">
            <w:pPr>
              <w:pStyle w:val="a7"/>
              <w:ind w:left="0"/>
              <w:rPr>
                <w:b/>
                <w:sz w:val="22"/>
              </w:rPr>
            </w:pPr>
            <w:r w:rsidRPr="00915913">
              <w:rPr>
                <w:b/>
                <w:sz w:val="22"/>
              </w:rPr>
              <w:t xml:space="preserve">Очікувані кількісні результати реалізації </w:t>
            </w:r>
            <w:proofErr w:type="spellStart"/>
            <w:r w:rsidRPr="00915913">
              <w:rPr>
                <w:b/>
                <w:sz w:val="22"/>
              </w:rPr>
              <w:t>проєкту</w:t>
            </w:r>
            <w:proofErr w:type="spellEnd"/>
            <w:r w:rsidRPr="00915913">
              <w:rPr>
                <w:b/>
                <w:sz w:val="22"/>
              </w:rPr>
              <w:t xml:space="preserve"> (індикатори)</w:t>
            </w:r>
          </w:p>
          <w:p w:rsidR="00C65EDF" w:rsidRPr="00915913" w:rsidRDefault="00C65EDF" w:rsidP="00C11751">
            <w:pPr>
              <w:pStyle w:val="a7"/>
              <w:ind w:left="0"/>
              <w:rPr>
                <w:b/>
                <w:sz w:val="22"/>
              </w:rPr>
            </w:pPr>
          </w:p>
        </w:tc>
        <w:tc>
          <w:tcPr>
            <w:tcW w:w="3248" w:type="dxa"/>
            <w:gridSpan w:val="3"/>
            <w:tcBorders>
              <w:bottom w:val="single" w:sz="4" w:space="0" w:color="auto"/>
              <w:right w:val="single" w:sz="4" w:space="0" w:color="auto"/>
            </w:tcBorders>
            <w:shd w:val="clear" w:color="auto" w:fill="auto"/>
          </w:tcPr>
          <w:p w:rsidR="00C65EDF" w:rsidRPr="00915913" w:rsidRDefault="00C65EDF" w:rsidP="00C11751">
            <w:pPr>
              <w:pStyle w:val="a7"/>
              <w:ind w:left="-108"/>
              <w:jc w:val="center"/>
              <w:rPr>
                <w:b/>
                <w:sz w:val="22"/>
              </w:rPr>
            </w:pPr>
            <w:r w:rsidRPr="00915913">
              <w:rPr>
                <w:b/>
                <w:sz w:val="22"/>
              </w:rPr>
              <w:t>Найменування показника</w:t>
            </w:r>
          </w:p>
        </w:tc>
        <w:tc>
          <w:tcPr>
            <w:tcW w:w="1701" w:type="dxa"/>
            <w:gridSpan w:val="2"/>
            <w:tcBorders>
              <w:left w:val="single" w:sz="4" w:space="0" w:color="auto"/>
              <w:bottom w:val="single" w:sz="4" w:space="0" w:color="auto"/>
              <w:right w:val="single" w:sz="4" w:space="0" w:color="auto"/>
            </w:tcBorders>
            <w:shd w:val="clear" w:color="auto" w:fill="auto"/>
          </w:tcPr>
          <w:p w:rsidR="00C65EDF" w:rsidRPr="00915913" w:rsidRDefault="00C65EDF" w:rsidP="00C65EDF">
            <w:pPr>
              <w:pStyle w:val="a7"/>
              <w:ind w:left="0"/>
              <w:jc w:val="center"/>
              <w:rPr>
                <w:b/>
                <w:sz w:val="22"/>
                <w:lang w:val="ru-RU"/>
              </w:rPr>
            </w:pPr>
            <w:r w:rsidRPr="00915913">
              <w:rPr>
                <w:b/>
                <w:sz w:val="22"/>
              </w:rPr>
              <w:t>Одиниця вимірювання</w:t>
            </w:r>
          </w:p>
        </w:tc>
        <w:tc>
          <w:tcPr>
            <w:tcW w:w="2091" w:type="dxa"/>
            <w:gridSpan w:val="2"/>
            <w:tcBorders>
              <w:left w:val="single" w:sz="4" w:space="0" w:color="auto"/>
              <w:bottom w:val="single" w:sz="4" w:space="0" w:color="auto"/>
            </w:tcBorders>
            <w:shd w:val="clear" w:color="auto" w:fill="auto"/>
          </w:tcPr>
          <w:p w:rsidR="00C65EDF" w:rsidRPr="00915913" w:rsidRDefault="00C65EDF" w:rsidP="00C11751">
            <w:pPr>
              <w:pStyle w:val="a7"/>
              <w:ind w:left="0"/>
              <w:jc w:val="center"/>
              <w:rPr>
                <w:b/>
                <w:sz w:val="22"/>
              </w:rPr>
            </w:pPr>
            <w:r w:rsidRPr="00915913">
              <w:rPr>
                <w:b/>
                <w:sz w:val="22"/>
              </w:rPr>
              <w:t>Прогнозне (цільове) значення</w:t>
            </w:r>
          </w:p>
        </w:tc>
      </w:tr>
      <w:tr w:rsidR="00C65EDF" w:rsidRPr="00915913" w:rsidTr="00C65EDF">
        <w:trPr>
          <w:trHeight w:val="585"/>
        </w:trPr>
        <w:tc>
          <w:tcPr>
            <w:tcW w:w="2848" w:type="dxa"/>
            <w:vMerge/>
            <w:shd w:val="clear" w:color="auto" w:fill="C6D9F1"/>
          </w:tcPr>
          <w:p w:rsidR="00C65EDF" w:rsidRPr="00915913" w:rsidRDefault="00C65EDF" w:rsidP="00C11751">
            <w:pPr>
              <w:pStyle w:val="a7"/>
              <w:ind w:left="0"/>
              <w:rPr>
                <w:b/>
                <w:sz w:val="22"/>
              </w:rPr>
            </w:pPr>
          </w:p>
        </w:tc>
        <w:tc>
          <w:tcPr>
            <w:tcW w:w="3248" w:type="dxa"/>
            <w:gridSpan w:val="3"/>
            <w:tcBorders>
              <w:top w:val="single" w:sz="4" w:space="0" w:color="auto"/>
              <w:bottom w:val="single" w:sz="4" w:space="0" w:color="auto"/>
              <w:right w:val="single" w:sz="4" w:space="0" w:color="auto"/>
            </w:tcBorders>
            <w:shd w:val="clear" w:color="auto" w:fill="auto"/>
            <w:vAlign w:val="center"/>
          </w:tcPr>
          <w:p w:rsidR="00C65EDF" w:rsidRPr="00915913" w:rsidRDefault="00C65EDF" w:rsidP="00C65EDF">
            <w:pPr>
              <w:pStyle w:val="a7"/>
              <w:ind w:left="0"/>
              <w:jc w:val="center"/>
              <w:rPr>
                <w:sz w:val="22"/>
              </w:rPr>
            </w:pPr>
            <w:r w:rsidRPr="00915913">
              <w:rPr>
                <w:sz w:val="22"/>
              </w:rPr>
              <w:t>Об</w:t>
            </w:r>
            <w:r w:rsidRPr="00915913">
              <w:rPr>
                <w:sz w:val="22"/>
                <w:lang w:val="en-US"/>
              </w:rPr>
              <w:t>’</w:t>
            </w:r>
            <w:proofErr w:type="spellStart"/>
            <w:r w:rsidRPr="00915913">
              <w:rPr>
                <w:sz w:val="22"/>
              </w:rPr>
              <w:t>єм</w:t>
            </w:r>
            <w:proofErr w:type="spellEnd"/>
            <w:r w:rsidRPr="00915913">
              <w:rPr>
                <w:sz w:val="22"/>
              </w:rPr>
              <w:t xml:space="preserve"> виготовлених брикетів</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65EDF" w:rsidRPr="00915913" w:rsidRDefault="00C65EDF" w:rsidP="00C65EDF">
            <w:pPr>
              <w:pStyle w:val="a7"/>
              <w:ind w:left="0"/>
              <w:jc w:val="center"/>
              <w:rPr>
                <w:sz w:val="22"/>
              </w:rPr>
            </w:pPr>
            <w:r w:rsidRPr="00915913">
              <w:rPr>
                <w:sz w:val="22"/>
              </w:rPr>
              <w:t>т/добу</w:t>
            </w:r>
          </w:p>
        </w:tc>
        <w:tc>
          <w:tcPr>
            <w:tcW w:w="2091" w:type="dxa"/>
            <w:gridSpan w:val="2"/>
            <w:tcBorders>
              <w:top w:val="single" w:sz="4" w:space="0" w:color="auto"/>
              <w:left w:val="single" w:sz="4" w:space="0" w:color="auto"/>
              <w:bottom w:val="single" w:sz="4" w:space="0" w:color="auto"/>
            </w:tcBorders>
            <w:shd w:val="clear" w:color="auto" w:fill="auto"/>
            <w:vAlign w:val="center"/>
          </w:tcPr>
          <w:p w:rsidR="00C65EDF" w:rsidRPr="00915913" w:rsidRDefault="00C65EDF" w:rsidP="00C65EDF">
            <w:pPr>
              <w:pStyle w:val="a7"/>
              <w:ind w:left="0"/>
              <w:jc w:val="center"/>
              <w:rPr>
                <w:b/>
                <w:sz w:val="22"/>
                <w:lang w:val="ru-RU"/>
              </w:rPr>
            </w:pPr>
            <w:r w:rsidRPr="00915913">
              <w:rPr>
                <w:sz w:val="22"/>
                <w:lang w:val="ru-RU"/>
              </w:rPr>
              <w:t>20</w:t>
            </w:r>
          </w:p>
        </w:tc>
      </w:tr>
      <w:tr w:rsidR="00C65EDF" w:rsidRPr="00915913" w:rsidTr="00C65EDF">
        <w:trPr>
          <w:trHeight w:val="165"/>
        </w:trPr>
        <w:tc>
          <w:tcPr>
            <w:tcW w:w="2848" w:type="dxa"/>
            <w:vMerge/>
            <w:shd w:val="clear" w:color="auto" w:fill="C6D9F1"/>
          </w:tcPr>
          <w:p w:rsidR="00C65EDF" w:rsidRPr="00915913" w:rsidRDefault="00C65EDF" w:rsidP="00C11751">
            <w:pPr>
              <w:pStyle w:val="a7"/>
              <w:ind w:left="0"/>
              <w:rPr>
                <w:b/>
                <w:sz w:val="22"/>
              </w:rPr>
            </w:pPr>
          </w:p>
        </w:tc>
        <w:tc>
          <w:tcPr>
            <w:tcW w:w="3248" w:type="dxa"/>
            <w:gridSpan w:val="3"/>
            <w:tcBorders>
              <w:top w:val="single" w:sz="4" w:space="0" w:color="auto"/>
              <w:bottom w:val="single" w:sz="4" w:space="0" w:color="auto"/>
              <w:right w:val="single" w:sz="4" w:space="0" w:color="auto"/>
            </w:tcBorders>
            <w:shd w:val="clear" w:color="auto" w:fill="auto"/>
            <w:vAlign w:val="center"/>
          </w:tcPr>
          <w:p w:rsidR="00C65EDF" w:rsidRPr="00915913" w:rsidRDefault="00C65EDF" w:rsidP="00C65EDF">
            <w:pPr>
              <w:pStyle w:val="a7"/>
              <w:ind w:left="0"/>
              <w:jc w:val="center"/>
              <w:rPr>
                <w:sz w:val="22"/>
              </w:rPr>
            </w:pPr>
            <w:r w:rsidRPr="00915913">
              <w:rPr>
                <w:sz w:val="22"/>
              </w:rPr>
              <w:t>Створені робочі місця</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65EDF" w:rsidRPr="00915913" w:rsidRDefault="00C65EDF" w:rsidP="00C65EDF">
            <w:pPr>
              <w:pStyle w:val="a7"/>
              <w:ind w:left="0"/>
              <w:jc w:val="center"/>
              <w:rPr>
                <w:sz w:val="22"/>
              </w:rPr>
            </w:pPr>
            <w:r w:rsidRPr="00915913">
              <w:rPr>
                <w:sz w:val="22"/>
              </w:rPr>
              <w:t>одиниць</w:t>
            </w:r>
          </w:p>
        </w:tc>
        <w:tc>
          <w:tcPr>
            <w:tcW w:w="2091" w:type="dxa"/>
            <w:gridSpan w:val="2"/>
            <w:tcBorders>
              <w:top w:val="single" w:sz="4" w:space="0" w:color="auto"/>
              <w:left w:val="single" w:sz="4" w:space="0" w:color="auto"/>
              <w:bottom w:val="single" w:sz="4" w:space="0" w:color="auto"/>
            </w:tcBorders>
            <w:shd w:val="clear" w:color="auto" w:fill="auto"/>
            <w:vAlign w:val="center"/>
          </w:tcPr>
          <w:p w:rsidR="00C65EDF" w:rsidRPr="00915913" w:rsidRDefault="00C65EDF" w:rsidP="00C65EDF">
            <w:pPr>
              <w:pStyle w:val="a7"/>
              <w:ind w:left="0"/>
              <w:jc w:val="center"/>
              <w:rPr>
                <w:sz w:val="22"/>
              </w:rPr>
            </w:pPr>
            <w:r w:rsidRPr="00915913">
              <w:rPr>
                <w:sz w:val="22"/>
              </w:rPr>
              <w:t>10000</w:t>
            </w:r>
          </w:p>
        </w:tc>
      </w:tr>
      <w:tr w:rsidR="00C65EDF" w:rsidRPr="00915913" w:rsidTr="00C65EDF">
        <w:tc>
          <w:tcPr>
            <w:tcW w:w="2848" w:type="dxa"/>
            <w:shd w:val="clear" w:color="auto" w:fill="C6D9F1"/>
          </w:tcPr>
          <w:p w:rsidR="00C65EDF" w:rsidRPr="00915913" w:rsidRDefault="00C65EDF" w:rsidP="00C11751">
            <w:pPr>
              <w:rPr>
                <w:b/>
                <w:sz w:val="22"/>
                <w:lang w:val="ru-RU"/>
              </w:rPr>
            </w:pPr>
            <w:r w:rsidRPr="00915913">
              <w:rPr>
                <w:b/>
                <w:sz w:val="22"/>
              </w:rPr>
              <w:t xml:space="preserve">Ключові заходи проекту: </w:t>
            </w:r>
          </w:p>
          <w:p w:rsidR="00C65EDF" w:rsidRPr="00915913" w:rsidRDefault="00C65EDF" w:rsidP="00C11751">
            <w:pPr>
              <w:pStyle w:val="a7"/>
              <w:ind w:left="0"/>
              <w:rPr>
                <w:b/>
                <w:sz w:val="22"/>
              </w:rPr>
            </w:pPr>
          </w:p>
        </w:tc>
        <w:tc>
          <w:tcPr>
            <w:tcW w:w="7040" w:type="dxa"/>
            <w:gridSpan w:val="7"/>
            <w:shd w:val="clear" w:color="auto" w:fill="auto"/>
          </w:tcPr>
          <w:p w:rsidR="00C65EDF" w:rsidRPr="00915913" w:rsidRDefault="00C65EDF" w:rsidP="00C11751">
            <w:pPr>
              <w:pStyle w:val="a7"/>
              <w:ind w:left="0"/>
              <w:rPr>
                <w:sz w:val="22"/>
              </w:rPr>
            </w:pPr>
            <w:r w:rsidRPr="00915913">
              <w:rPr>
                <w:sz w:val="22"/>
              </w:rPr>
              <w:t>- визначення  об</w:t>
            </w:r>
            <w:r w:rsidRPr="00915913">
              <w:rPr>
                <w:sz w:val="22"/>
                <w:lang w:val="ru-RU"/>
              </w:rPr>
              <w:t>’</w:t>
            </w:r>
            <w:proofErr w:type="spellStart"/>
            <w:r w:rsidRPr="00915913">
              <w:rPr>
                <w:sz w:val="22"/>
              </w:rPr>
              <w:t>єму</w:t>
            </w:r>
            <w:proofErr w:type="spellEnd"/>
            <w:r w:rsidRPr="00915913">
              <w:rPr>
                <w:sz w:val="22"/>
              </w:rPr>
              <w:t xml:space="preserve"> рослинної сировини;</w:t>
            </w:r>
          </w:p>
          <w:p w:rsidR="00C65EDF" w:rsidRPr="00915913" w:rsidRDefault="00C65EDF" w:rsidP="00C11751">
            <w:pPr>
              <w:pStyle w:val="a7"/>
              <w:ind w:left="0"/>
              <w:rPr>
                <w:sz w:val="22"/>
              </w:rPr>
            </w:pPr>
            <w:r w:rsidRPr="00915913">
              <w:rPr>
                <w:sz w:val="22"/>
              </w:rPr>
              <w:t>- придбання комплексу брикетування та іншого обладнання;</w:t>
            </w:r>
          </w:p>
          <w:p w:rsidR="00C65EDF" w:rsidRPr="00915913" w:rsidRDefault="00C65EDF" w:rsidP="00C11751">
            <w:pPr>
              <w:pStyle w:val="a7"/>
              <w:ind w:left="0"/>
              <w:rPr>
                <w:sz w:val="22"/>
              </w:rPr>
            </w:pPr>
            <w:r w:rsidRPr="00915913">
              <w:rPr>
                <w:sz w:val="22"/>
              </w:rPr>
              <w:t>- навчання працівників;</w:t>
            </w:r>
          </w:p>
          <w:p w:rsidR="00C65EDF" w:rsidRPr="00915913" w:rsidRDefault="00C65EDF" w:rsidP="00C11751">
            <w:pPr>
              <w:pStyle w:val="a7"/>
              <w:ind w:left="0"/>
              <w:rPr>
                <w:sz w:val="22"/>
              </w:rPr>
            </w:pPr>
            <w:r w:rsidRPr="00915913">
              <w:rPr>
                <w:sz w:val="22"/>
              </w:rPr>
              <w:t>- організація та початок робочого процесу.</w:t>
            </w:r>
          </w:p>
        </w:tc>
      </w:tr>
      <w:tr w:rsidR="00C65EDF" w:rsidRPr="00915913" w:rsidTr="00C65EDF">
        <w:trPr>
          <w:trHeight w:val="360"/>
        </w:trPr>
        <w:tc>
          <w:tcPr>
            <w:tcW w:w="2848" w:type="dxa"/>
            <w:vMerge w:val="restart"/>
            <w:shd w:val="clear" w:color="auto" w:fill="C6D9F1"/>
          </w:tcPr>
          <w:p w:rsidR="00C65EDF" w:rsidRPr="00915913" w:rsidRDefault="00C65EDF" w:rsidP="00C11751">
            <w:pPr>
              <w:pStyle w:val="a7"/>
              <w:ind w:left="0"/>
              <w:rPr>
                <w:b/>
                <w:sz w:val="22"/>
                <w:lang w:val="ru-RU"/>
              </w:rPr>
            </w:pPr>
            <w:r w:rsidRPr="00915913">
              <w:rPr>
                <w:b/>
                <w:sz w:val="22"/>
              </w:rPr>
              <w:t xml:space="preserve">Орієнтовний обсяг та джерела фінансування, тис. грн. </w:t>
            </w:r>
          </w:p>
          <w:p w:rsidR="00C65EDF" w:rsidRPr="00915913" w:rsidRDefault="00C65EDF" w:rsidP="00C11751">
            <w:pPr>
              <w:pStyle w:val="a7"/>
              <w:ind w:left="0"/>
              <w:rPr>
                <w:b/>
                <w:sz w:val="22"/>
                <w:lang w:val="ru-RU"/>
              </w:rPr>
            </w:pPr>
          </w:p>
        </w:tc>
        <w:tc>
          <w:tcPr>
            <w:tcW w:w="1600" w:type="dxa"/>
            <w:tcBorders>
              <w:bottom w:val="single" w:sz="4" w:space="0" w:color="auto"/>
              <w:right w:val="single" w:sz="4" w:space="0" w:color="auto"/>
            </w:tcBorders>
            <w:shd w:val="clear" w:color="auto" w:fill="auto"/>
          </w:tcPr>
          <w:p w:rsidR="00C65EDF" w:rsidRPr="00915913" w:rsidRDefault="00C65EDF" w:rsidP="00C11751">
            <w:pPr>
              <w:pStyle w:val="a7"/>
              <w:ind w:left="0"/>
              <w:jc w:val="center"/>
              <w:rPr>
                <w:b/>
                <w:sz w:val="22"/>
              </w:rPr>
            </w:pPr>
            <w:r w:rsidRPr="00915913">
              <w:rPr>
                <w:b/>
                <w:sz w:val="22"/>
              </w:rPr>
              <w:t>Державний бюджет</w:t>
            </w:r>
          </w:p>
        </w:tc>
        <w:tc>
          <w:tcPr>
            <w:tcW w:w="1334" w:type="dxa"/>
            <w:tcBorders>
              <w:bottom w:val="single" w:sz="4" w:space="0" w:color="auto"/>
              <w:right w:val="single" w:sz="4" w:space="0" w:color="auto"/>
            </w:tcBorders>
            <w:shd w:val="clear" w:color="auto" w:fill="auto"/>
          </w:tcPr>
          <w:p w:rsidR="00C65EDF" w:rsidRPr="00915913" w:rsidRDefault="00C65EDF" w:rsidP="00C11751">
            <w:pPr>
              <w:pStyle w:val="a7"/>
              <w:ind w:left="0"/>
              <w:jc w:val="center"/>
              <w:rPr>
                <w:b/>
                <w:sz w:val="22"/>
              </w:rPr>
            </w:pPr>
            <w:r w:rsidRPr="00915913">
              <w:rPr>
                <w:b/>
                <w:sz w:val="22"/>
              </w:rPr>
              <w:t>Місцевий бюджет</w:t>
            </w:r>
          </w:p>
        </w:tc>
        <w:tc>
          <w:tcPr>
            <w:tcW w:w="2707" w:type="dxa"/>
            <w:gridSpan w:val="4"/>
            <w:tcBorders>
              <w:left w:val="single" w:sz="4" w:space="0" w:color="auto"/>
              <w:bottom w:val="single" w:sz="4" w:space="0" w:color="auto"/>
              <w:right w:val="single" w:sz="4" w:space="0" w:color="auto"/>
            </w:tcBorders>
            <w:shd w:val="clear" w:color="auto" w:fill="auto"/>
          </w:tcPr>
          <w:p w:rsidR="00C65EDF" w:rsidRPr="00915913" w:rsidRDefault="00C65EDF" w:rsidP="00C11751">
            <w:pPr>
              <w:pStyle w:val="a7"/>
              <w:ind w:left="0"/>
              <w:jc w:val="center"/>
              <w:rPr>
                <w:b/>
                <w:sz w:val="22"/>
              </w:rPr>
            </w:pPr>
            <w:r w:rsidRPr="00915913">
              <w:rPr>
                <w:b/>
                <w:sz w:val="22"/>
              </w:rPr>
              <w:t>Інші джерела</w:t>
            </w:r>
          </w:p>
        </w:tc>
        <w:tc>
          <w:tcPr>
            <w:tcW w:w="1399" w:type="dxa"/>
            <w:tcBorders>
              <w:left w:val="single" w:sz="4" w:space="0" w:color="auto"/>
              <w:bottom w:val="single" w:sz="4" w:space="0" w:color="auto"/>
            </w:tcBorders>
            <w:shd w:val="clear" w:color="auto" w:fill="auto"/>
          </w:tcPr>
          <w:p w:rsidR="00C65EDF" w:rsidRPr="00915913" w:rsidRDefault="00C65EDF" w:rsidP="00C11751">
            <w:pPr>
              <w:pStyle w:val="a7"/>
              <w:ind w:left="0"/>
              <w:jc w:val="center"/>
              <w:rPr>
                <w:b/>
                <w:sz w:val="22"/>
              </w:rPr>
            </w:pPr>
            <w:r w:rsidRPr="00915913">
              <w:rPr>
                <w:b/>
                <w:sz w:val="22"/>
              </w:rPr>
              <w:t>Всього</w:t>
            </w:r>
          </w:p>
        </w:tc>
      </w:tr>
      <w:tr w:rsidR="00C65EDF" w:rsidRPr="00915913" w:rsidTr="00C65EDF">
        <w:trPr>
          <w:trHeight w:val="225"/>
        </w:trPr>
        <w:tc>
          <w:tcPr>
            <w:tcW w:w="2848" w:type="dxa"/>
            <w:vMerge/>
            <w:shd w:val="clear" w:color="auto" w:fill="C6D9F1"/>
          </w:tcPr>
          <w:p w:rsidR="00C65EDF" w:rsidRPr="00915913" w:rsidRDefault="00C65EDF" w:rsidP="00C11751">
            <w:pPr>
              <w:pStyle w:val="a7"/>
              <w:ind w:left="0"/>
              <w:rPr>
                <w:b/>
                <w:sz w:val="22"/>
              </w:rPr>
            </w:pPr>
          </w:p>
        </w:tc>
        <w:tc>
          <w:tcPr>
            <w:tcW w:w="1600" w:type="dxa"/>
            <w:vMerge w:val="restart"/>
            <w:tcBorders>
              <w:top w:val="single" w:sz="4" w:space="0" w:color="auto"/>
              <w:right w:val="single" w:sz="4" w:space="0" w:color="auto"/>
            </w:tcBorders>
            <w:shd w:val="clear" w:color="auto" w:fill="auto"/>
          </w:tcPr>
          <w:p w:rsidR="00C65EDF" w:rsidRPr="00915913" w:rsidRDefault="00C65EDF" w:rsidP="00C11751">
            <w:pPr>
              <w:pStyle w:val="a7"/>
              <w:ind w:left="0"/>
              <w:jc w:val="center"/>
              <w:rPr>
                <w:sz w:val="22"/>
              </w:rPr>
            </w:pPr>
            <w:r w:rsidRPr="00915913">
              <w:rPr>
                <w:sz w:val="22"/>
              </w:rPr>
              <w:t>1535881,20</w:t>
            </w:r>
          </w:p>
        </w:tc>
        <w:tc>
          <w:tcPr>
            <w:tcW w:w="1334" w:type="dxa"/>
            <w:vMerge w:val="restart"/>
            <w:tcBorders>
              <w:top w:val="single" w:sz="4" w:space="0" w:color="auto"/>
              <w:right w:val="single" w:sz="4" w:space="0" w:color="auto"/>
            </w:tcBorders>
            <w:shd w:val="clear" w:color="auto" w:fill="auto"/>
          </w:tcPr>
          <w:p w:rsidR="00C65EDF" w:rsidRPr="00915913" w:rsidRDefault="00C65EDF" w:rsidP="00C11751">
            <w:pPr>
              <w:pStyle w:val="a7"/>
              <w:ind w:left="0"/>
              <w:jc w:val="center"/>
              <w:rPr>
                <w:b/>
                <w:sz w:val="22"/>
              </w:rPr>
            </w:pPr>
            <w:r w:rsidRPr="00915913">
              <w:rPr>
                <w:b/>
                <w:sz w:val="22"/>
              </w:rPr>
              <w:t>-</w:t>
            </w:r>
          </w:p>
        </w:tc>
        <w:tc>
          <w:tcPr>
            <w:tcW w:w="1236" w:type="dxa"/>
            <w:gridSpan w:val="2"/>
            <w:tcBorders>
              <w:top w:val="single" w:sz="4" w:space="0" w:color="auto"/>
              <w:left w:val="single" w:sz="4" w:space="0" w:color="auto"/>
              <w:bottom w:val="single" w:sz="4" w:space="0" w:color="auto"/>
              <w:right w:val="single" w:sz="4" w:space="0" w:color="auto"/>
            </w:tcBorders>
            <w:shd w:val="clear" w:color="auto" w:fill="auto"/>
          </w:tcPr>
          <w:p w:rsidR="00C65EDF" w:rsidRPr="00915913" w:rsidRDefault="00C65EDF" w:rsidP="00C11751">
            <w:pPr>
              <w:pStyle w:val="a7"/>
              <w:ind w:left="0"/>
              <w:jc w:val="center"/>
              <w:rPr>
                <w:b/>
                <w:sz w:val="22"/>
              </w:rPr>
            </w:pPr>
            <w:r w:rsidRPr="00915913">
              <w:rPr>
                <w:b/>
                <w:sz w:val="22"/>
              </w:rPr>
              <w:t>Обсяг</w:t>
            </w:r>
          </w:p>
        </w:tc>
        <w:tc>
          <w:tcPr>
            <w:tcW w:w="1471" w:type="dxa"/>
            <w:gridSpan w:val="2"/>
            <w:tcBorders>
              <w:top w:val="single" w:sz="4" w:space="0" w:color="auto"/>
              <w:left w:val="single" w:sz="4" w:space="0" w:color="auto"/>
              <w:bottom w:val="single" w:sz="4" w:space="0" w:color="auto"/>
              <w:right w:val="single" w:sz="4" w:space="0" w:color="auto"/>
            </w:tcBorders>
            <w:shd w:val="clear" w:color="auto" w:fill="auto"/>
          </w:tcPr>
          <w:p w:rsidR="00C65EDF" w:rsidRPr="00915913" w:rsidRDefault="00C65EDF" w:rsidP="00C11751">
            <w:pPr>
              <w:pStyle w:val="a7"/>
              <w:ind w:left="0"/>
              <w:jc w:val="center"/>
              <w:rPr>
                <w:b/>
                <w:sz w:val="22"/>
              </w:rPr>
            </w:pPr>
            <w:r w:rsidRPr="00915913">
              <w:rPr>
                <w:b/>
                <w:sz w:val="22"/>
              </w:rPr>
              <w:t>Назва джерела</w:t>
            </w:r>
          </w:p>
        </w:tc>
        <w:tc>
          <w:tcPr>
            <w:tcW w:w="1399" w:type="dxa"/>
            <w:vMerge w:val="restart"/>
            <w:tcBorders>
              <w:top w:val="single" w:sz="4" w:space="0" w:color="auto"/>
              <w:left w:val="single" w:sz="4" w:space="0" w:color="auto"/>
            </w:tcBorders>
            <w:shd w:val="clear" w:color="auto" w:fill="auto"/>
          </w:tcPr>
          <w:p w:rsidR="00C65EDF" w:rsidRPr="00915913" w:rsidRDefault="00C65EDF" w:rsidP="00C11751">
            <w:pPr>
              <w:pStyle w:val="a7"/>
              <w:ind w:left="0"/>
              <w:jc w:val="center"/>
              <w:rPr>
                <w:sz w:val="22"/>
              </w:rPr>
            </w:pPr>
          </w:p>
          <w:p w:rsidR="00C65EDF" w:rsidRPr="00915913" w:rsidRDefault="00C65EDF" w:rsidP="00C11751">
            <w:pPr>
              <w:pStyle w:val="a7"/>
              <w:ind w:left="0"/>
              <w:jc w:val="center"/>
              <w:rPr>
                <w:sz w:val="22"/>
              </w:rPr>
            </w:pPr>
            <w:r w:rsidRPr="00915913">
              <w:rPr>
                <w:sz w:val="22"/>
              </w:rPr>
              <w:t>2194116,00</w:t>
            </w:r>
          </w:p>
          <w:p w:rsidR="00C65EDF" w:rsidRPr="00915913" w:rsidRDefault="00C65EDF" w:rsidP="00C11751">
            <w:pPr>
              <w:pStyle w:val="a7"/>
              <w:ind w:left="0"/>
              <w:jc w:val="center"/>
              <w:rPr>
                <w:sz w:val="22"/>
              </w:rPr>
            </w:pPr>
          </w:p>
        </w:tc>
      </w:tr>
      <w:tr w:rsidR="00C65EDF" w:rsidRPr="00915913" w:rsidTr="00C65EDF">
        <w:trPr>
          <w:trHeight w:val="300"/>
        </w:trPr>
        <w:tc>
          <w:tcPr>
            <w:tcW w:w="2848" w:type="dxa"/>
            <w:vMerge/>
            <w:shd w:val="clear" w:color="auto" w:fill="C6D9F1"/>
          </w:tcPr>
          <w:p w:rsidR="00C65EDF" w:rsidRPr="00915913" w:rsidRDefault="00C65EDF" w:rsidP="00C11751">
            <w:pPr>
              <w:pStyle w:val="a7"/>
              <w:ind w:left="0"/>
              <w:rPr>
                <w:b/>
                <w:sz w:val="22"/>
              </w:rPr>
            </w:pPr>
          </w:p>
        </w:tc>
        <w:tc>
          <w:tcPr>
            <w:tcW w:w="1600" w:type="dxa"/>
            <w:vMerge/>
            <w:tcBorders>
              <w:right w:val="single" w:sz="4" w:space="0" w:color="auto"/>
            </w:tcBorders>
            <w:shd w:val="clear" w:color="auto" w:fill="auto"/>
          </w:tcPr>
          <w:p w:rsidR="00C65EDF" w:rsidRPr="00915913" w:rsidRDefault="00C65EDF" w:rsidP="00C11751">
            <w:pPr>
              <w:pStyle w:val="a7"/>
              <w:ind w:left="0"/>
              <w:jc w:val="center"/>
              <w:rPr>
                <w:sz w:val="22"/>
              </w:rPr>
            </w:pPr>
          </w:p>
        </w:tc>
        <w:tc>
          <w:tcPr>
            <w:tcW w:w="1334" w:type="dxa"/>
            <w:vMerge/>
            <w:tcBorders>
              <w:right w:val="single" w:sz="4" w:space="0" w:color="auto"/>
            </w:tcBorders>
            <w:shd w:val="clear" w:color="auto" w:fill="auto"/>
          </w:tcPr>
          <w:p w:rsidR="00C65EDF" w:rsidRPr="00915913" w:rsidRDefault="00C65EDF" w:rsidP="00C11751">
            <w:pPr>
              <w:pStyle w:val="a7"/>
              <w:ind w:left="0"/>
              <w:jc w:val="center"/>
              <w:rPr>
                <w:b/>
                <w:sz w:val="22"/>
              </w:rPr>
            </w:pPr>
          </w:p>
        </w:tc>
        <w:tc>
          <w:tcPr>
            <w:tcW w:w="1236" w:type="dxa"/>
            <w:gridSpan w:val="2"/>
            <w:tcBorders>
              <w:top w:val="single" w:sz="4" w:space="0" w:color="auto"/>
              <w:left w:val="single" w:sz="4" w:space="0" w:color="auto"/>
              <w:right w:val="single" w:sz="4" w:space="0" w:color="auto"/>
            </w:tcBorders>
            <w:shd w:val="clear" w:color="auto" w:fill="auto"/>
          </w:tcPr>
          <w:p w:rsidR="00C65EDF" w:rsidRPr="00915913" w:rsidRDefault="00C65EDF" w:rsidP="00C11751">
            <w:pPr>
              <w:pStyle w:val="a7"/>
              <w:ind w:left="0"/>
              <w:jc w:val="center"/>
              <w:rPr>
                <w:sz w:val="22"/>
              </w:rPr>
            </w:pPr>
            <w:r w:rsidRPr="00915913">
              <w:rPr>
                <w:sz w:val="22"/>
                <w:lang w:val="ru-RU"/>
              </w:rPr>
              <w:t>658234,80</w:t>
            </w:r>
          </w:p>
        </w:tc>
        <w:tc>
          <w:tcPr>
            <w:tcW w:w="1471" w:type="dxa"/>
            <w:gridSpan w:val="2"/>
            <w:tcBorders>
              <w:top w:val="single" w:sz="4" w:space="0" w:color="auto"/>
              <w:left w:val="single" w:sz="4" w:space="0" w:color="auto"/>
              <w:right w:val="single" w:sz="4" w:space="0" w:color="auto"/>
            </w:tcBorders>
            <w:shd w:val="clear" w:color="auto" w:fill="auto"/>
          </w:tcPr>
          <w:p w:rsidR="00C65EDF" w:rsidRPr="00915913" w:rsidRDefault="00C65EDF" w:rsidP="00C11751">
            <w:pPr>
              <w:pStyle w:val="a7"/>
              <w:ind w:left="0"/>
              <w:jc w:val="center"/>
              <w:rPr>
                <w:sz w:val="22"/>
              </w:rPr>
            </w:pPr>
            <w:r w:rsidRPr="00915913">
              <w:rPr>
                <w:sz w:val="22"/>
              </w:rPr>
              <w:t>Міжнародні інвестиції, кошти приватних осіб</w:t>
            </w:r>
          </w:p>
        </w:tc>
        <w:tc>
          <w:tcPr>
            <w:tcW w:w="1399" w:type="dxa"/>
            <w:vMerge/>
            <w:tcBorders>
              <w:left w:val="single" w:sz="4" w:space="0" w:color="auto"/>
            </w:tcBorders>
            <w:shd w:val="clear" w:color="auto" w:fill="auto"/>
          </w:tcPr>
          <w:p w:rsidR="00C65EDF" w:rsidRPr="00915913" w:rsidRDefault="00C65EDF" w:rsidP="00C11751">
            <w:pPr>
              <w:pStyle w:val="a7"/>
              <w:ind w:left="0"/>
              <w:jc w:val="center"/>
              <w:rPr>
                <w:sz w:val="22"/>
              </w:rPr>
            </w:pPr>
          </w:p>
        </w:tc>
      </w:tr>
    </w:tbl>
    <w:p w:rsidR="00C65EDF" w:rsidRPr="00915913" w:rsidRDefault="00C65EDF" w:rsidP="00E95FB1">
      <w:pPr>
        <w:rPr>
          <w:sz w:val="22"/>
        </w:rPr>
      </w:pPr>
    </w:p>
    <w:sectPr w:rsidR="00C65EDF" w:rsidRPr="00915913" w:rsidSect="009D4671">
      <w:pgSz w:w="11906" w:h="16838"/>
      <w:pgMar w:top="1134" w:right="709" w:bottom="907" w:left="1701" w:header="284" w:footer="7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722F8" w:rsidRDefault="00F722F8" w:rsidP="00AF6585">
      <w:r>
        <w:separator/>
      </w:r>
    </w:p>
  </w:endnote>
  <w:endnote w:type="continuationSeparator" w:id="0">
    <w:p w:rsidR="00F722F8" w:rsidRDefault="00F722F8" w:rsidP="00AF6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oto Sans Symbols">
    <w:altName w:val="Calibri"/>
    <w:charset w:val="00"/>
    <w:family w:val="auto"/>
    <w:pitch w:val="default"/>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SegoeUI">
    <w:altName w:val="Calibri"/>
    <w:panose1 w:val="00000000000000000000"/>
    <w:charset w:val="CC"/>
    <w:family w:val="auto"/>
    <w:notTrueType/>
    <w:pitch w:val="default"/>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san-serif">
    <w:altName w:val="Calibri"/>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ntiqua">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86726" w:rsidRDefault="00686726">
    <w:pPr>
      <w:pBdr>
        <w:top w:val="nil"/>
        <w:left w:val="nil"/>
        <w:bottom w:val="nil"/>
        <w:right w:val="nil"/>
        <w:between w:val="nil"/>
      </w:pBdr>
      <w:tabs>
        <w:tab w:val="center" w:pos="4819"/>
        <w:tab w:val="right" w:pos="9639"/>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rsidR="00686726" w:rsidRDefault="00686726">
    <w:pPr>
      <w:pBdr>
        <w:top w:val="nil"/>
        <w:left w:val="nil"/>
        <w:bottom w:val="nil"/>
        <w:right w:val="nil"/>
        <w:between w:val="nil"/>
      </w:pBdr>
      <w:tabs>
        <w:tab w:val="center" w:pos="4819"/>
        <w:tab w:val="right" w:pos="9639"/>
      </w:tabs>
      <w:rPr>
        <w:color w:val="000000"/>
      </w:rPr>
    </w:pPr>
    <w:r>
      <w:rPr>
        <w:noProof/>
        <w:lang w:eastAsia="uk-UA"/>
      </w:rPr>
      <w:drawing>
        <wp:anchor distT="0" distB="0" distL="114300" distR="114300" simplePos="0" relativeHeight="251659264" behindDoc="0" locked="0" layoutInCell="1" allowOverlap="1">
          <wp:simplePos x="0" y="0"/>
          <wp:positionH relativeFrom="column">
            <wp:posOffset>5404485</wp:posOffset>
          </wp:positionH>
          <wp:positionV relativeFrom="paragraph">
            <wp:posOffset>0</wp:posOffset>
          </wp:positionV>
          <wp:extent cx="676275" cy="654050"/>
          <wp:effectExtent l="0" t="0" r="0" b="0"/>
          <wp:wrapSquare wrapText="bothSides" distT="0" distB="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76275" cy="65405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86726" w:rsidRDefault="00686726">
    <w:pPr>
      <w:pBdr>
        <w:top w:val="nil"/>
        <w:left w:val="nil"/>
        <w:bottom w:val="nil"/>
        <w:right w:val="nil"/>
        <w:between w:val="nil"/>
      </w:pBdr>
      <w:tabs>
        <w:tab w:val="center" w:pos="4819"/>
        <w:tab w:val="right" w:pos="9639"/>
      </w:tabs>
      <w:jc w:val="right"/>
      <w:rPr>
        <w:color w:val="000000"/>
      </w:rPr>
    </w:pPr>
    <w:r>
      <w:rPr>
        <w:noProof/>
        <w:lang w:eastAsia="uk-UA"/>
      </w:rPr>
      <w:drawing>
        <wp:anchor distT="0" distB="0" distL="114300" distR="114300" simplePos="0" relativeHeight="251660288" behindDoc="0" locked="0" layoutInCell="1" allowOverlap="1">
          <wp:simplePos x="0" y="0"/>
          <wp:positionH relativeFrom="column">
            <wp:posOffset>5252085</wp:posOffset>
          </wp:positionH>
          <wp:positionV relativeFrom="paragraph">
            <wp:posOffset>0</wp:posOffset>
          </wp:positionV>
          <wp:extent cx="676275" cy="654050"/>
          <wp:effectExtent l="0" t="0" r="0" b="0"/>
          <wp:wrapSquare wrapText="bothSides" distT="0" distB="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76275" cy="6540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722F8" w:rsidRDefault="00F722F8" w:rsidP="00AF6585">
      <w:r>
        <w:separator/>
      </w:r>
    </w:p>
  </w:footnote>
  <w:footnote w:type="continuationSeparator" w:id="0">
    <w:p w:rsidR="00F722F8" w:rsidRDefault="00F722F8" w:rsidP="00AF65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86726" w:rsidRDefault="00686726" w:rsidP="00DA3767">
    <w:pPr>
      <w:pBdr>
        <w:top w:val="nil"/>
        <w:left w:val="nil"/>
        <w:bottom w:val="nil"/>
        <w:right w:val="nil"/>
        <w:between w:val="nil"/>
      </w:pBdr>
      <w:tabs>
        <w:tab w:val="center" w:pos="4819"/>
        <w:tab w:val="right" w:pos="9639"/>
      </w:tabs>
      <w:jc w:val="center"/>
      <w:rPr>
        <w:color w:val="000000"/>
      </w:rPr>
    </w:pPr>
    <w:r>
      <w:rPr>
        <w:color w:val="000000"/>
      </w:rPr>
      <w:t xml:space="preserve">Програма комплексного відновлення території Сєвєродонецької міської територіальної громади </w:t>
    </w:r>
  </w:p>
  <w:p w:rsidR="00686726" w:rsidRPr="00347D7D" w:rsidRDefault="00686726" w:rsidP="00DA3767">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86726" w:rsidRDefault="00686726">
    <w:pPr>
      <w:pBdr>
        <w:top w:val="nil"/>
        <w:left w:val="nil"/>
        <w:bottom w:val="nil"/>
        <w:right w:val="nil"/>
        <w:between w:val="nil"/>
      </w:pBdr>
      <w:tabs>
        <w:tab w:val="center" w:pos="4819"/>
        <w:tab w:val="right" w:pos="9639"/>
      </w:tabs>
      <w:jc w:val="center"/>
      <w:rPr>
        <w:color w:val="000000"/>
      </w:rPr>
    </w:pPr>
    <w:r>
      <w:rPr>
        <w:color w:val="000000"/>
      </w:rPr>
      <w:t xml:space="preserve">Програма комплексного відновлення території Сєвєродонецької міської територіальної громади </w:t>
    </w:r>
  </w:p>
  <w:p w:rsidR="00686726" w:rsidRDefault="0068672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24A037C"/>
    <w:multiLevelType w:val="hybridMultilevel"/>
    <w:tmpl w:val="CDC467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3557522"/>
    <w:multiLevelType w:val="hybridMultilevel"/>
    <w:tmpl w:val="7EF26890"/>
    <w:lvl w:ilvl="0" w:tplc="CD84F21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4351567"/>
    <w:multiLevelType w:val="hybridMultilevel"/>
    <w:tmpl w:val="2320DDA4"/>
    <w:lvl w:ilvl="0" w:tplc="BE7C537C">
      <w:start w:val="7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D50E8E"/>
    <w:multiLevelType w:val="hybridMultilevel"/>
    <w:tmpl w:val="B4886614"/>
    <w:lvl w:ilvl="0" w:tplc="04220001">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5" w15:restartNumberingAfterBreak="0">
    <w:nsid w:val="05A24F91"/>
    <w:multiLevelType w:val="hybridMultilevel"/>
    <w:tmpl w:val="8B1AE8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5A425BE"/>
    <w:multiLevelType w:val="hybridMultilevel"/>
    <w:tmpl w:val="79761092"/>
    <w:lvl w:ilvl="0" w:tplc="1BAC19A6">
      <w:numFmt w:val="bullet"/>
      <w:lvlText w:val="-"/>
      <w:lvlJc w:val="left"/>
      <w:pPr>
        <w:ind w:left="390" w:hanging="360"/>
      </w:pPr>
      <w:rPr>
        <w:rFonts w:ascii="Calibri" w:eastAsia="Calibri" w:hAnsi="Calibri" w:cs="Calibri" w:hint="default"/>
      </w:rPr>
    </w:lvl>
    <w:lvl w:ilvl="1" w:tplc="04220003" w:tentative="1">
      <w:start w:val="1"/>
      <w:numFmt w:val="bullet"/>
      <w:lvlText w:val="o"/>
      <w:lvlJc w:val="left"/>
      <w:pPr>
        <w:ind w:left="1110" w:hanging="360"/>
      </w:pPr>
      <w:rPr>
        <w:rFonts w:ascii="Courier New" w:hAnsi="Courier New" w:cs="Courier New" w:hint="default"/>
      </w:rPr>
    </w:lvl>
    <w:lvl w:ilvl="2" w:tplc="04220005" w:tentative="1">
      <w:start w:val="1"/>
      <w:numFmt w:val="bullet"/>
      <w:lvlText w:val=""/>
      <w:lvlJc w:val="left"/>
      <w:pPr>
        <w:ind w:left="1830" w:hanging="360"/>
      </w:pPr>
      <w:rPr>
        <w:rFonts w:ascii="Wingdings" w:hAnsi="Wingdings" w:hint="default"/>
      </w:rPr>
    </w:lvl>
    <w:lvl w:ilvl="3" w:tplc="04220001" w:tentative="1">
      <w:start w:val="1"/>
      <w:numFmt w:val="bullet"/>
      <w:lvlText w:val=""/>
      <w:lvlJc w:val="left"/>
      <w:pPr>
        <w:ind w:left="2550" w:hanging="360"/>
      </w:pPr>
      <w:rPr>
        <w:rFonts w:ascii="Symbol" w:hAnsi="Symbol" w:hint="default"/>
      </w:rPr>
    </w:lvl>
    <w:lvl w:ilvl="4" w:tplc="04220003" w:tentative="1">
      <w:start w:val="1"/>
      <w:numFmt w:val="bullet"/>
      <w:lvlText w:val="o"/>
      <w:lvlJc w:val="left"/>
      <w:pPr>
        <w:ind w:left="3270" w:hanging="360"/>
      </w:pPr>
      <w:rPr>
        <w:rFonts w:ascii="Courier New" w:hAnsi="Courier New" w:cs="Courier New" w:hint="default"/>
      </w:rPr>
    </w:lvl>
    <w:lvl w:ilvl="5" w:tplc="04220005" w:tentative="1">
      <w:start w:val="1"/>
      <w:numFmt w:val="bullet"/>
      <w:lvlText w:val=""/>
      <w:lvlJc w:val="left"/>
      <w:pPr>
        <w:ind w:left="3990" w:hanging="360"/>
      </w:pPr>
      <w:rPr>
        <w:rFonts w:ascii="Wingdings" w:hAnsi="Wingdings" w:hint="default"/>
      </w:rPr>
    </w:lvl>
    <w:lvl w:ilvl="6" w:tplc="04220001" w:tentative="1">
      <w:start w:val="1"/>
      <w:numFmt w:val="bullet"/>
      <w:lvlText w:val=""/>
      <w:lvlJc w:val="left"/>
      <w:pPr>
        <w:ind w:left="4710" w:hanging="360"/>
      </w:pPr>
      <w:rPr>
        <w:rFonts w:ascii="Symbol" w:hAnsi="Symbol" w:hint="default"/>
      </w:rPr>
    </w:lvl>
    <w:lvl w:ilvl="7" w:tplc="04220003" w:tentative="1">
      <w:start w:val="1"/>
      <w:numFmt w:val="bullet"/>
      <w:lvlText w:val="o"/>
      <w:lvlJc w:val="left"/>
      <w:pPr>
        <w:ind w:left="5430" w:hanging="360"/>
      </w:pPr>
      <w:rPr>
        <w:rFonts w:ascii="Courier New" w:hAnsi="Courier New" w:cs="Courier New" w:hint="default"/>
      </w:rPr>
    </w:lvl>
    <w:lvl w:ilvl="8" w:tplc="04220005" w:tentative="1">
      <w:start w:val="1"/>
      <w:numFmt w:val="bullet"/>
      <w:lvlText w:val=""/>
      <w:lvlJc w:val="left"/>
      <w:pPr>
        <w:ind w:left="6150" w:hanging="360"/>
      </w:pPr>
      <w:rPr>
        <w:rFonts w:ascii="Wingdings" w:hAnsi="Wingdings" w:hint="default"/>
      </w:rPr>
    </w:lvl>
  </w:abstractNum>
  <w:abstractNum w:abstractNumId="7" w15:restartNumberingAfterBreak="0">
    <w:nsid w:val="07591890"/>
    <w:multiLevelType w:val="multilevel"/>
    <w:tmpl w:val="211CA2FA"/>
    <w:lvl w:ilvl="0">
      <w:start w:val="70"/>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08A71375"/>
    <w:multiLevelType w:val="hybridMultilevel"/>
    <w:tmpl w:val="226CE812"/>
    <w:lvl w:ilvl="0" w:tplc="664AA728">
      <w:numFmt w:val="bullet"/>
      <w:lvlText w:val="-"/>
      <w:lvlJc w:val="left"/>
      <w:pPr>
        <w:ind w:left="720" w:hanging="360"/>
      </w:pPr>
      <w:rPr>
        <w:rFonts w:ascii="Times New Roman" w:eastAsia="Calibr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092A40B0"/>
    <w:multiLevelType w:val="hybridMultilevel"/>
    <w:tmpl w:val="B568F1A6"/>
    <w:lvl w:ilvl="0" w:tplc="40A4530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0A272DA6"/>
    <w:multiLevelType w:val="multilevel"/>
    <w:tmpl w:val="DC24CA6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0B6846AA"/>
    <w:multiLevelType w:val="hybridMultilevel"/>
    <w:tmpl w:val="327E9154"/>
    <w:lvl w:ilvl="0" w:tplc="2034CA02">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D966118"/>
    <w:multiLevelType w:val="hybridMultilevel"/>
    <w:tmpl w:val="60D067DE"/>
    <w:lvl w:ilvl="0" w:tplc="0D12BDC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EAE55D1"/>
    <w:multiLevelType w:val="hybridMultilevel"/>
    <w:tmpl w:val="3508065E"/>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1116BFC"/>
    <w:multiLevelType w:val="hybridMultilevel"/>
    <w:tmpl w:val="955213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150B6DF1"/>
    <w:multiLevelType w:val="hybridMultilevel"/>
    <w:tmpl w:val="D3A87D62"/>
    <w:lvl w:ilvl="0" w:tplc="9AB24176">
      <w:start w:val="5"/>
      <w:numFmt w:val="decimal"/>
      <w:lvlText w:val="%1"/>
      <w:lvlJc w:val="left"/>
      <w:pPr>
        <w:ind w:left="454" w:hanging="360"/>
      </w:pPr>
      <w:rPr>
        <w:rFonts w:hint="default"/>
      </w:rPr>
    </w:lvl>
    <w:lvl w:ilvl="1" w:tplc="04190019">
      <w:start w:val="1"/>
      <w:numFmt w:val="lowerLetter"/>
      <w:lvlText w:val="%2."/>
      <w:lvlJc w:val="left"/>
      <w:pPr>
        <w:ind w:left="1174" w:hanging="360"/>
      </w:pPr>
    </w:lvl>
    <w:lvl w:ilvl="2" w:tplc="0419001B" w:tentative="1">
      <w:start w:val="1"/>
      <w:numFmt w:val="lowerRoman"/>
      <w:lvlText w:val="%3."/>
      <w:lvlJc w:val="right"/>
      <w:pPr>
        <w:ind w:left="1894" w:hanging="180"/>
      </w:pPr>
    </w:lvl>
    <w:lvl w:ilvl="3" w:tplc="0419000F" w:tentative="1">
      <w:start w:val="1"/>
      <w:numFmt w:val="decimal"/>
      <w:lvlText w:val="%4."/>
      <w:lvlJc w:val="left"/>
      <w:pPr>
        <w:ind w:left="2614" w:hanging="360"/>
      </w:pPr>
    </w:lvl>
    <w:lvl w:ilvl="4" w:tplc="04190019" w:tentative="1">
      <w:start w:val="1"/>
      <w:numFmt w:val="lowerLetter"/>
      <w:lvlText w:val="%5."/>
      <w:lvlJc w:val="left"/>
      <w:pPr>
        <w:ind w:left="3334" w:hanging="360"/>
      </w:pPr>
    </w:lvl>
    <w:lvl w:ilvl="5" w:tplc="0419001B" w:tentative="1">
      <w:start w:val="1"/>
      <w:numFmt w:val="lowerRoman"/>
      <w:lvlText w:val="%6."/>
      <w:lvlJc w:val="right"/>
      <w:pPr>
        <w:ind w:left="4054" w:hanging="180"/>
      </w:pPr>
    </w:lvl>
    <w:lvl w:ilvl="6" w:tplc="0419000F" w:tentative="1">
      <w:start w:val="1"/>
      <w:numFmt w:val="decimal"/>
      <w:lvlText w:val="%7."/>
      <w:lvlJc w:val="left"/>
      <w:pPr>
        <w:ind w:left="4774" w:hanging="360"/>
      </w:pPr>
    </w:lvl>
    <w:lvl w:ilvl="7" w:tplc="04190019" w:tentative="1">
      <w:start w:val="1"/>
      <w:numFmt w:val="lowerLetter"/>
      <w:lvlText w:val="%8."/>
      <w:lvlJc w:val="left"/>
      <w:pPr>
        <w:ind w:left="5494" w:hanging="360"/>
      </w:pPr>
    </w:lvl>
    <w:lvl w:ilvl="8" w:tplc="0419001B" w:tentative="1">
      <w:start w:val="1"/>
      <w:numFmt w:val="lowerRoman"/>
      <w:lvlText w:val="%9."/>
      <w:lvlJc w:val="right"/>
      <w:pPr>
        <w:ind w:left="6214" w:hanging="180"/>
      </w:pPr>
    </w:lvl>
  </w:abstractNum>
  <w:abstractNum w:abstractNumId="16" w15:restartNumberingAfterBreak="0">
    <w:nsid w:val="162E0598"/>
    <w:multiLevelType w:val="hybridMultilevel"/>
    <w:tmpl w:val="BA76DFAC"/>
    <w:lvl w:ilvl="0" w:tplc="CC009B1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63E7432"/>
    <w:multiLevelType w:val="hybridMultilevel"/>
    <w:tmpl w:val="EF60FB94"/>
    <w:lvl w:ilvl="0" w:tplc="0D12BDC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6DD52C8"/>
    <w:multiLevelType w:val="hybridMultilevel"/>
    <w:tmpl w:val="65F6E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7695D7D"/>
    <w:multiLevelType w:val="hybridMultilevel"/>
    <w:tmpl w:val="80C2192E"/>
    <w:lvl w:ilvl="0" w:tplc="ED7A1022">
      <w:start w:val="1"/>
      <w:numFmt w:val="bullet"/>
      <w:lvlText w:val="-"/>
      <w:lvlJc w:val="left"/>
      <w:pPr>
        <w:ind w:left="1080" w:hanging="360"/>
      </w:pPr>
      <w:rPr>
        <w:rFonts w:ascii="Times New Roman" w:eastAsiaTheme="minorHAnsi" w:hAnsi="Times New Roman" w:cs="Times New Roman" w:hint="default"/>
        <w:b/>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17A84DE1"/>
    <w:multiLevelType w:val="hybridMultilevel"/>
    <w:tmpl w:val="D7B01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7D61239"/>
    <w:multiLevelType w:val="multilevel"/>
    <w:tmpl w:val="9B8CF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80353D3"/>
    <w:multiLevelType w:val="hybridMultilevel"/>
    <w:tmpl w:val="66B0D47C"/>
    <w:lvl w:ilvl="0" w:tplc="2034CA02">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91902F1"/>
    <w:multiLevelType w:val="hybridMultilevel"/>
    <w:tmpl w:val="05DC1A5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1BB17FCC"/>
    <w:multiLevelType w:val="hybridMultilevel"/>
    <w:tmpl w:val="3C666BCE"/>
    <w:lvl w:ilvl="0" w:tplc="2034CA02">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D1311C3"/>
    <w:multiLevelType w:val="hybridMultilevel"/>
    <w:tmpl w:val="ED46439C"/>
    <w:lvl w:ilvl="0" w:tplc="04190001">
      <w:start w:val="1"/>
      <w:numFmt w:val="bullet"/>
      <w:lvlText w:val=""/>
      <w:lvlJc w:val="left"/>
      <w:pPr>
        <w:ind w:left="1614" w:hanging="360"/>
      </w:pPr>
      <w:rPr>
        <w:rFonts w:ascii="Symbol" w:hAnsi="Symbol" w:hint="default"/>
      </w:rPr>
    </w:lvl>
    <w:lvl w:ilvl="1" w:tplc="04190003" w:tentative="1">
      <w:start w:val="1"/>
      <w:numFmt w:val="bullet"/>
      <w:lvlText w:val="o"/>
      <w:lvlJc w:val="left"/>
      <w:pPr>
        <w:ind w:left="2334" w:hanging="360"/>
      </w:pPr>
      <w:rPr>
        <w:rFonts w:ascii="Courier New" w:hAnsi="Courier New" w:cs="Courier New" w:hint="default"/>
      </w:rPr>
    </w:lvl>
    <w:lvl w:ilvl="2" w:tplc="04190005" w:tentative="1">
      <w:start w:val="1"/>
      <w:numFmt w:val="bullet"/>
      <w:lvlText w:val=""/>
      <w:lvlJc w:val="left"/>
      <w:pPr>
        <w:ind w:left="3054" w:hanging="360"/>
      </w:pPr>
      <w:rPr>
        <w:rFonts w:ascii="Wingdings" w:hAnsi="Wingdings" w:hint="default"/>
      </w:rPr>
    </w:lvl>
    <w:lvl w:ilvl="3" w:tplc="04190001" w:tentative="1">
      <w:start w:val="1"/>
      <w:numFmt w:val="bullet"/>
      <w:lvlText w:val=""/>
      <w:lvlJc w:val="left"/>
      <w:pPr>
        <w:ind w:left="3774" w:hanging="360"/>
      </w:pPr>
      <w:rPr>
        <w:rFonts w:ascii="Symbol" w:hAnsi="Symbol" w:hint="default"/>
      </w:rPr>
    </w:lvl>
    <w:lvl w:ilvl="4" w:tplc="04190003" w:tentative="1">
      <w:start w:val="1"/>
      <w:numFmt w:val="bullet"/>
      <w:lvlText w:val="o"/>
      <w:lvlJc w:val="left"/>
      <w:pPr>
        <w:ind w:left="4494" w:hanging="360"/>
      </w:pPr>
      <w:rPr>
        <w:rFonts w:ascii="Courier New" w:hAnsi="Courier New" w:cs="Courier New" w:hint="default"/>
      </w:rPr>
    </w:lvl>
    <w:lvl w:ilvl="5" w:tplc="04190005" w:tentative="1">
      <w:start w:val="1"/>
      <w:numFmt w:val="bullet"/>
      <w:lvlText w:val=""/>
      <w:lvlJc w:val="left"/>
      <w:pPr>
        <w:ind w:left="5214" w:hanging="360"/>
      </w:pPr>
      <w:rPr>
        <w:rFonts w:ascii="Wingdings" w:hAnsi="Wingdings" w:hint="default"/>
      </w:rPr>
    </w:lvl>
    <w:lvl w:ilvl="6" w:tplc="04190001" w:tentative="1">
      <w:start w:val="1"/>
      <w:numFmt w:val="bullet"/>
      <w:lvlText w:val=""/>
      <w:lvlJc w:val="left"/>
      <w:pPr>
        <w:ind w:left="5934" w:hanging="360"/>
      </w:pPr>
      <w:rPr>
        <w:rFonts w:ascii="Symbol" w:hAnsi="Symbol" w:hint="default"/>
      </w:rPr>
    </w:lvl>
    <w:lvl w:ilvl="7" w:tplc="04190003" w:tentative="1">
      <w:start w:val="1"/>
      <w:numFmt w:val="bullet"/>
      <w:lvlText w:val="o"/>
      <w:lvlJc w:val="left"/>
      <w:pPr>
        <w:ind w:left="6654" w:hanging="360"/>
      </w:pPr>
      <w:rPr>
        <w:rFonts w:ascii="Courier New" w:hAnsi="Courier New" w:cs="Courier New" w:hint="default"/>
      </w:rPr>
    </w:lvl>
    <w:lvl w:ilvl="8" w:tplc="04190005" w:tentative="1">
      <w:start w:val="1"/>
      <w:numFmt w:val="bullet"/>
      <w:lvlText w:val=""/>
      <w:lvlJc w:val="left"/>
      <w:pPr>
        <w:ind w:left="7374" w:hanging="360"/>
      </w:pPr>
      <w:rPr>
        <w:rFonts w:ascii="Wingdings" w:hAnsi="Wingdings" w:hint="default"/>
      </w:rPr>
    </w:lvl>
  </w:abstractNum>
  <w:abstractNum w:abstractNumId="26" w15:restartNumberingAfterBreak="0">
    <w:nsid w:val="1D6B456A"/>
    <w:multiLevelType w:val="hybridMultilevel"/>
    <w:tmpl w:val="B6AC7D86"/>
    <w:lvl w:ilvl="0" w:tplc="002CFF28">
      <w:start w:val="1"/>
      <w:numFmt w:val="upperRoman"/>
      <w:pStyle w:val="1"/>
      <w:lvlText w:val="%1."/>
      <w:lvlJc w:val="righ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1E740350"/>
    <w:multiLevelType w:val="hybridMultilevel"/>
    <w:tmpl w:val="4C4430EC"/>
    <w:lvl w:ilvl="0" w:tplc="BC9073FE">
      <w:start w:val="3"/>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E845B47"/>
    <w:multiLevelType w:val="hybridMultilevel"/>
    <w:tmpl w:val="EB2229B2"/>
    <w:lvl w:ilvl="0" w:tplc="0D12BDC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0D84823"/>
    <w:multiLevelType w:val="hybridMultilevel"/>
    <w:tmpl w:val="31B0914C"/>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0" w15:restartNumberingAfterBreak="0">
    <w:nsid w:val="21992934"/>
    <w:multiLevelType w:val="hybridMultilevel"/>
    <w:tmpl w:val="C74C54EE"/>
    <w:lvl w:ilvl="0" w:tplc="0422000B">
      <w:start w:val="1"/>
      <w:numFmt w:val="bullet"/>
      <w:lvlText w:val=""/>
      <w:lvlJc w:val="left"/>
      <w:pPr>
        <w:ind w:left="720" w:hanging="360"/>
      </w:pPr>
      <w:rPr>
        <w:rFonts w:ascii="Wingdings" w:hAnsi="Wingdings" w:cs="Wingding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1" w15:restartNumberingAfterBreak="0">
    <w:nsid w:val="239C4AA7"/>
    <w:multiLevelType w:val="hybridMultilevel"/>
    <w:tmpl w:val="FA74C9AE"/>
    <w:lvl w:ilvl="0" w:tplc="A74C994A">
      <w:start w:val="1"/>
      <w:numFmt w:val="decimal"/>
      <w:lvlText w:val="%1)"/>
      <w:lvlJc w:val="left"/>
      <w:pPr>
        <w:ind w:left="360" w:hanging="360"/>
      </w:pPr>
      <w:rPr>
        <w:rFonts w:ascii="Times New Roman" w:eastAsiaTheme="minorHAnsi" w:hAnsi="Times New Roman" w:cs="Times New Roman"/>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2" w15:restartNumberingAfterBreak="0">
    <w:nsid w:val="23CE4BC3"/>
    <w:multiLevelType w:val="hybridMultilevel"/>
    <w:tmpl w:val="5D3AF4A8"/>
    <w:lvl w:ilvl="0" w:tplc="04090001">
      <w:start w:val="1"/>
      <w:numFmt w:val="bullet"/>
      <w:lvlText w:val=""/>
      <w:lvlJc w:val="left"/>
      <w:pPr>
        <w:ind w:left="906" w:hanging="360"/>
      </w:pPr>
      <w:rPr>
        <w:rFonts w:ascii="Symbol" w:hAnsi="Symbol" w:hint="default"/>
      </w:rPr>
    </w:lvl>
    <w:lvl w:ilvl="1" w:tplc="04090003" w:tentative="1">
      <w:start w:val="1"/>
      <w:numFmt w:val="bullet"/>
      <w:lvlText w:val="o"/>
      <w:lvlJc w:val="left"/>
      <w:pPr>
        <w:ind w:left="1626" w:hanging="360"/>
      </w:pPr>
      <w:rPr>
        <w:rFonts w:ascii="Courier New" w:hAnsi="Courier New" w:cs="Courier New" w:hint="default"/>
      </w:rPr>
    </w:lvl>
    <w:lvl w:ilvl="2" w:tplc="04090005" w:tentative="1">
      <w:start w:val="1"/>
      <w:numFmt w:val="bullet"/>
      <w:lvlText w:val=""/>
      <w:lvlJc w:val="left"/>
      <w:pPr>
        <w:ind w:left="2346" w:hanging="360"/>
      </w:pPr>
      <w:rPr>
        <w:rFonts w:ascii="Wingdings" w:hAnsi="Wingdings" w:hint="default"/>
      </w:rPr>
    </w:lvl>
    <w:lvl w:ilvl="3" w:tplc="04090001" w:tentative="1">
      <w:start w:val="1"/>
      <w:numFmt w:val="bullet"/>
      <w:lvlText w:val=""/>
      <w:lvlJc w:val="left"/>
      <w:pPr>
        <w:ind w:left="3066" w:hanging="360"/>
      </w:pPr>
      <w:rPr>
        <w:rFonts w:ascii="Symbol" w:hAnsi="Symbol" w:hint="default"/>
      </w:rPr>
    </w:lvl>
    <w:lvl w:ilvl="4" w:tplc="04090003" w:tentative="1">
      <w:start w:val="1"/>
      <w:numFmt w:val="bullet"/>
      <w:lvlText w:val="o"/>
      <w:lvlJc w:val="left"/>
      <w:pPr>
        <w:ind w:left="3786" w:hanging="360"/>
      </w:pPr>
      <w:rPr>
        <w:rFonts w:ascii="Courier New" w:hAnsi="Courier New" w:cs="Courier New" w:hint="default"/>
      </w:rPr>
    </w:lvl>
    <w:lvl w:ilvl="5" w:tplc="04090005" w:tentative="1">
      <w:start w:val="1"/>
      <w:numFmt w:val="bullet"/>
      <w:lvlText w:val=""/>
      <w:lvlJc w:val="left"/>
      <w:pPr>
        <w:ind w:left="4506" w:hanging="360"/>
      </w:pPr>
      <w:rPr>
        <w:rFonts w:ascii="Wingdings" w:hAnsi="Wingdings" w:hint="default"/>
      </w:rPr>
    </w:lvl>
    <w:lvl w:ilvl="6" w:tplc="04090001" w:tentative="1">
      <w:start w:val="1"/>
      <w:numFmt w:val="bullet"/>
      <w:lvlText w:val=""/>
      <w:lvlJc w:val="left"/>
      <w:pPr>
        <w:ind w:left="5226" w:hanging="360"/>
      </w:pPr>
      <w:rPr>
        <w:rFonts w:ascii="Symbol" w:hAnsi="Symbol" w:hint="default"/>
      </w:rPr>
    </w:lvl>
    <w:lvl w:ilvl="7" w:tplc="04090003" w:tentative="1">
      <w:start w:val="1"/>
      <w:numFmt w:val="bullet"/>
      <w:lvlText w:val="o"/>
      <w:lvlJc w:val="left"/>
      <w:pPr>
        <w:ind w:left="5946" w:hanging="360"/>
      </w:pPr>
      <w:rPr>
        <w:rFonts w:ascii="Courier New" w:hAnsi="Courier New" w:cs="Courier New" w:hint="default"/>
      </w:rPr>
    </w:lvl>
    <w:lvl w:ilvl="8" w:tplc="04090005" w:tentative="1">
      <w:start w:val="1"/>
      <w:numFmt w:val="bullet"/>
      <w:lvlText w:val=""/>
      <w:lvlJc w:val="left"/>
      <w:pPr>
        <w:ind w:left="6666" w:hanging="360"/>
      </w:pPr>
      <w:rPr>
        <w:rFonts w:ascii="Wingdings" w:hAnsi="Wingdings" w:hint="default"/>
      </w:rPr>
    </w:lvl>
  </w:abstractNum>
  <w:abstractNum w:abstractNumId="33" w15:restartNumberingAfterBreak="0">
    <w:nsid w:val="25A60F75"/>
    <w:multiLevelType w:val="multilevel"/>
    <w:tmpl w:val="6BA40B6E"/>
    <w:lvl w:ilvl="0">
      <w:start w:val="5"/>
      <w:numFmt w:val="bullet"/>
      <w:lvlText w:val="-"/>
      <w:lvlJc w:val="left"/>
      <w:pPr>
        <w:ind w:left="1068" w:hanging="360"/>
      </w:pPr>
      <w:rPr>
        <w:rFonts w:ascii="Times New Roman" w:eastAsia="Times New Roman" w:hAnsi="Times New Roman" w:cs="Times New Roman"/>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4" w15:restartNumberingAfterBreak="0">
    <w:nsid w:val="261352E3"/>
    <w:multiLevelType w:val="hybridMultilevel"/>
    <w:tmpl w:val="A8565442"/>
    <w:lvl w:ilvl="0" w:tplc="1F9E391E">
      <w:start w:val="990"/>
      <w:numFmt w:val="bullet"/>
      <w:lvlText w:val="-"/>
      <w:lvlJc w:val="left"/>
      <w:pPr>
        <w:ind w:left="420" w:hanging="360"/>
      </w:pPr>
      <w:rPr>
        <w:rFonts w:ascii="Times New Roman" w:eastAsia="Times New Roman"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35" w15:restartNumberingAfterBreak="0">
    <w:nsid w:val="26816587"/>
    <w:multiLevelType w:val="multilevel"/>
    <w:tmpl w:val="DC24CA6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6" w15:restartNumberingAfterBreak="0">
    <w:nsid w:val="26D450BF"/>
    <w:multiLevelType w:val="hybridMultilevel"/>
    <w:tmpl w:val="393AEAAE"/>
    <w:lvl w:ilvl="0" w:tplc="2034CA02">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27D37F56"/>
    <w:multiLevelType w:val="hybridMultilevel"/>
    <w:tmpl w:val="421C7E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29376EE9"/>
    <w:multiLevelType w:val="hybridMultilevel"/>
    <w:tmpl w:val="EC7AA7AA"/>
    <w:lvl w:ilvl="0" w:tplc="5E041C9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97D6352"/>
    <w:multiLevelType w:val="hybridMultilevel"/>
    <w:tmpl w:val="562099BA"/>
    <w:lvl w:ilvl="0" w:tplc="2034CA0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2C5C06D8"/>
    <w:multiLevelType w:val="hybridMultilevel"/>
    <w:tmpl w:val="67DCC73C"/>
    <w:lvl w:ilvl="0" w:tplc="2034CA02">
      <w:start w:val="1"/>
      <w:numFmt w:val="bullet"/>
      <w:lvlText w:val="-"/>
      <w:lvlJc w:val="left"/>
      <w:pPr>
        <w:ind w:left="1119" w:hanging="360"/>
      </w:pPr>
      <w:rPr>
        <w:rFonts w:ascii="Courier New" w:hAnsi="Courier New" w:hint="default"/>
      </w:rPr>
    </w:lvl>
    <w:lvl w:ilvl="1" w:tplc="04190003" w:tentative="1">
      <w:start w:val="1"/>
      <w:numFmt w:val="bullet"/>
      <w:lvlText w:val="o"/>
      <w:lvlJc w:val="left"/>
      <w:pPr>
        <w:ind w:left="1839" w:hanging="360"/>
      </w:pPr>
      <w:rPr>
        <w:rFonts w:ascii="Courier New" w:hAnsi="Courier New" w:cs="Courier New" w:hint="default"/>
      </w:rPr>
    </w:lvl>
    <w:lvl w:ilvl="2" w:tplc="04190005" w:tentative="1">
      <w:start w:val="1"/>
      <w:numFmt w:val="bullet"/>
      <w:lvlText w:val=""/>
      <w:lvlJc w:val="left"/>
      <w:pPr>
        <w:ind w:left="2559" w:hanging="360"/>
      </w:pPr>
      <w:rPr>
        <w:rFonts w:ascii="Wingdings" w:hAnsi="Wingdings" w:hint="default"/>
      </w:rPr>
    </w:lvl>
    <w:lvl w:ilvl="3" w:tplc="04190001" w:tentative="1">
      <w:start w:val="1"/>
      <w:numFmt w:val="bullet"/>
      <w:lvlText w:val=""/>
      <w:lvlJc w:val="left"/>
      <w:pPr>
        <w:ind w:left="3279" w:hanging="360"/>
      </w:pPr>
      <w:rPr>
        <w:rFonts w:ascii="Symbol" w:hAnsi="Symbol" w:hint="default"/>
      </w:rPr>
    </w:lvl>
    <w:lvl w:ilvl="4" w:tplc="04190003" w:tentative="1">
      <w:start w:val="1"/>
      <w:numFmt w:val="bullet"/>
      <w:lvlText w:val="o"/>
      <w:lvlJc w:val="left"/>
      <w:pPr>
        <w:ind w:left="3999" w:hanging="360"/>
      </w:pPr>
      <w:rPr>
        <w:rFonts w:ascii="Courier New" w:hAnsi="Courier New" w:cs="Courier New" w:hint="default"/>
      </w:rPr>
    </w:lvl>
    <w:lvl w:ilvl="5" w:tplc="04190005" w:tentative="1">
      <w:start w:val="1"/>
      <w:numFmt w:val="bullet"/>
      <w:lvlText w:val=""/>
      <w:lvlJc w:val="left"/>
      <w:pPr>
        <w:ind w:left="4719" w:hanging="360"/>
      </w:pPr>
      <w:rPr>
        <w:rFonts w:ascii="Wingdings" w:hAnsi="Wingdings" w:hint="default"/>
      </w:rPr>
    </w:lvl>
    <w:lvl w:ilvl="6" w:tplc="04190001" w:tentative="1">
      <w:start w:val="1"/>
      <w:numFmt w:val="bullet"/>
      <w:lvlText w:val=""/>
      <w:lvlJc w:val="left"/>
      <w:pPr>
        <w:ind w:left="5439" w:hanging="360"/>
      </w:pPr>
      <w:rPr>
        <w:rFonts w:ascii="Symbol" w:hAnsi="Symbol" w:hint="default"/>
      </w:rPr>
    </w:lvl>
    <w:lvl w:ilvl="7" w:tplc="04190003" w:tentative="1">
      <w:start w:val="1"/>
      <w:numFmt w:val="bullet"/>
      <w:lvlText w:val="o"/>
      <w:lvlJc w:val="left"/>
      <w:pPr>
        <w:ind w:left="6159" w:hanging="360"/>
      </w:pPr>
      <w:rPr>
        <w:rFonts w:ascii="Courier New" w:hAnsi="Courier New" w:cs="Courier New" w:hint="default"/>
      </w:rPr>
    </w:lvl>
    <w:lvl w:ilvl="8" w:tplc="04190005" w:tentative="1">
      <w:start w:val="1"/>
      <w:numFmt w:val="bullet"/>
      <w:lvlText w:val=""/>
      <w:lvlJc w:val="left"/>
      <w:pPr>
        <w:ind w:left="6879" w:hanging="360"/>
      </w:pPr>
      <w:rPr>
        <w:rFonts w:ascii="Wingdings" w:hAnsi="Wingdings" w:hint="default"/>
      </w:rPr>
    </w:lvl>
  </w:abstractNum>
  <w:abstractNum w:abstractNumId="41" w15:restartNumberingAfterBreak="0">
    <w:nsid w:val="2C9B669A"/>
    <w:multiLevelType w:val="hybridMultilevel"/>
    <w:tmpl w:val="7DCA35D8"/>
    <w:lvl w:ilvl="0" w:tplc="04220001">
      <w:start w:val="1"/>
      <w:numFmt w:val="bullet"/>
      <w:lvlText w:val=""/>
      <w:lvlJc w:val="left"/>
      <w:pPr>
        <w:ind w:left="720"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15:restartNumberingAfterBreak="0">
    <w:nsid w:val="2CBA1607"/>
    <w:multiLevelType w:val="hybridMultilevel"/>
    <w:tmpl w:val="7D92CB18"/>
    <w:lvl w:ilvl="0" w:tplc="2F66DB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D141617"/>
    <w:multiLevelType w:val="hybridMultilevel"/>
    <w:tmpl w:val="421C7E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D2E6824"/>
    <w:multiLevelType w:val="hybridMultilevel"/>
    <w:tmpl w:val="EE88974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 w15:restartNumberingAfterBreak="0">
    <w:nsid w:val="2F284540"/>
    <w:multiLevelType w:val="hybridMultilevel"/>
    <w:tmpl w:val="E0140D88"/>
    <w:lvl w:ilvl="0" w:tplc="04220001">
      <w:start w:val="1"/>
      <w:numFmt w:val="bullet"/>
      <w:lvlText w:val=""/>
      <w:lvlJc w:val="left"/>
      <w:pPr>
        <w:ind w:left="871" w:hanging="360"/>
      </w:pPr>
      <w:rPr>
        <w:rFonts w:ascii="Symbol" w:hAnsi="Symbol" w:hint="default"/>
      </w:rPr>
    </w:lvl>
    <w:lvl w:ilvl="1" w:tplc="04220019" w:tentative="1">
      <w:start w:val="1"/>
      <w:numFmt w:val="lowerLetter"/>
      <w:lvlText w:val="%2."/>
      <w:lvlJc w:val="left"/>
      <w:pPr>
        <w:ind w:left="1591" w:hanging="360"/>
      </w:pPr>
    </w:lvl>
    <w:lvl w:ilvl="2" w:tplc="0422001B" w:tentative="1">
      <w:start w:val="1"/>
      <w:numFmt w:val="lowerRoman"/>
      <w:lvlText w:val="%3."/>
      <w:lvlJc w:val="right"/>
      <w:pPr>
        <w:ind w:left="2311" w:hanging="180"/>
      </w:pPr>
    </w:lvl>
    <w:lvl w:ilvl="3" w:tplc="0422000F" w:tentative="1">
      <w:start w:val="1"/>
      <w:numFmt w:val="decimal"/>
      <w:lvlText w:val="%4."/>
      <w:lvlJc w:val="left"/>
      <w:pPr>
        <w:ind w:left="3031" w:hanging="360"/>
      </w:pPr>
    </w:lvl>
    <w:lvl w:ilvl="4" w:tplc="04220019" w:tentative="1">
      <w:start w:val="1"/>
      <w:numFmt w:val="lowerLetter"/>
      <w:lvlText w:val="%5."/>
      <w:lvlJc w:val="left"/>
      <w:pPr>
        <w:ind w:left="3751" w:hanging="360"/>
      </w:pPr>
    </w:lvl>
    <w:lvl w:ilvl="5" w:tplc="0422001B" w:tentative="1">
      <w:start w:val="1"/>
      <w:numFmt w:val="lowerRoman"/>
      <w:lvlText w:val="%6."/>
      <w:lvlJc w:val="right"/>
      <w:pPr>
        <w:ind w:left="4471" w:hanging="180"/>
      </w:pPr>
    </w:lvl>
    <w:lvl w:ilvl="6" w:tplc="0422000F" w:tentative="1">
      <w:start w:val="1"/>
      <w:numFmt w:val="decimal"/>
      <w:lvlText w:val="%7."/>
      <w:lvlJc w:val="left"/>
      <w:pPr>
        <w:ind w:left="5191" w:hanging="360"/>
      </w:pPr>
    </w:lvl>
    <w:lvl w:ilvl="7" w:tplc="04220019" w:tentative="1">
      <w:start w:val="1"/>
      <w:numFmt w:val="lowerLetter"/>
      <w:lvlText w:val="%8."/>
      <w:lvlJc w:val="left"/>
      <w:pPr>
        <w:ind w:left="5911" w:hanging="360"/>
      </w:pPr>
    </w:lvl>
    <w:lvl w:ilvl="8" w:tplc="0422001B" w:tentative="1">
      <w:start w:val="1"/>
      <w:numFmt w:val="lowerRoman"/>
      <w:lvlText w:val="%9."/>
      <w:lvlJc w:val="right"/>
      <w:pPr>
        <w:ind w:left="6631" w:hanging="180"/>
      </w:pPr>
    </w:lvl>
  </w:abstractNum>
  <w:abstractNum w:abstractNumId="46" w15:restartNumberingAfterBreak="0">
    <w:nsid w:val="2F33039A"/>
    <w:multiLevelType w:val="hybridMultilevel"/>
    <w:tmpl w:val="F8629322"/>
    <w:lvl w:ilvl="0" w:tplc="2034CA02">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309335A9"/>
    <w:multiLevelType w:val="hybridMultilevel"/>
    <w:tmpl w:val="0EC029D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15:restartNumberingAfterBreak="0">
    <w:nsid w:val="30C412AF"/>
    <w:multiLevelType w:val="hybridMultilevel"/>
    <w:tmpl w:val="D6481E0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 w15:restartNumberingAfterBreak="0">
    <w:nsid w:val="30C64DA2"/>
    <w:multiLevelType w:val="hybridMultilevel"/>
    <w:tmpl w:val="A7866FBE"/>
    <w:lvl w:ilvl="0" w:tplc="3FA40062">
      <w:start w:val="5"/>
      <w:numFmt w:val="bullet"/>
      <w:lvlText w:val="-"/>
      <w:lvlJc w:val="left"/>
      <w:pPr>
        <w:tabs>
          <w:tab w:val="num" w:pos="1068"/>
        </w:tabs>
        <w:ind w:left="1068"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50" w15:restartNumberingAfterBreak="0">
    <w:nsid w:val="34B829B5"/>
    <w:multiLevelType w:val="multilevel"/>
    <w:tmpl w:val="6C5C70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350D7352"/>
    <w:multiLevelType w:val="hybridMultilevel"/>
    <w:tmpl w:val="C1206110"/>
    <w:lvl w:ilvl="0" w:tplc="288E20EE">
      <w:numFmt w:val="bullet"/>
      <w:lvlText w:val="-"/>
      <w:lvlJc w:val="left"/>
      <w:pPr>
        <w:ind w:left="915" w:hanging="360"/>
      </w:pPr>
      <w:rPr>
        <w:rFonts w:ascii="Times New Roman" w:eastAsiaTheme="minorHAnsi" w:hAnsi="Times New Roman" w:cs="Times New Roman" w:hint="default"/>
      </w:rPr>
    </w:lvl>
    <w:lvl w:ilvl="1" w:tplc="04190003" w:tentative="1">
      <w:start w:val="1"/>
      <w:numFmt w:val="bullet"/>
      <w:lvlText w:val="o"/>
      <w:lvlJc w:val="left"/>
      <w:pPr>
        <w:ind w:left="1635" w:hanging="360"/>
      </w:pPr>
      <w:rPr>
        <w:rFonts w:ascii="Courier New" w:hAnsi="Courier New" w:cs="Courier New" w:hint="default"/>
      </w:rPr>
    </w:lvl>
    <w:lvl w:ilvl="2" w:tplc="04190005" w:tentative="1">
      <w:start w:val="1"/>
      <w:numFmt w:val="bullet"/>
      <w:lvlText w:val=""/>
      <w:lvlJc w:val="left"/>
      <w:pPr>
        <w:ind w:left="2355" w:hanging="360"/>
      </w:pPr>
      <w:rPr>
        <w:rFonts w:ascii="Wingdings" w:hAnsi="Wingdings" w:hint="default"/>
      </w:rPr>
    </w:lvl>
    <w:lvl w:ilvl="3" w:tplc="04190001" w:tentative="1">
      <w:start w:val="1"/>
      <w:numFmt w:val="bullet"/>
      <w:lvlText w:val=""/>
      <w:lvlJc w:val="left"/>
      <w:pPr>
        <w:ind w:left="3075" w:hanging="360"/>
      </w:pPr>
      <w:rPr>
        <w:rFonts w:ascii="Symbol" w:hAnsi="Symbol" w:hint="default"/>
      </w:rPr>
    </w:lvl>
    <w:lvl w:ilvl="4" w:tplc="04190003" w:tentative="1">
      <w:start w:val="1"/>
      <w:numFmt w:val="bullet"/>
      <w:lvlText w:val="o"/>
      <w:lvlJc w:val="left"/>
      <w:pPr>
        <w:ind w:left="3795" w:hanging="360"/>
      </w:pPr>
      <w:rPr>
        <w:rFonts w:ascii="Courier New" w:hAnsi="Courier New" w:cs="Courier New" w:hint="default"/>
      </w:rPr>
    </w:lvl>
    <w:lvl w:ilvl="5" w:tplc="04190005" w:tentative="1">
      <w:start w:val="1"/>
      <w:numFmt w:val="bullet"/>
      <w:lvlText w:val=""/>
      <w:lvlJc w:val="left"/>
      <w:pPr>
        <w:ind w:left="4515" w:hanging="360"/>
      </w:pPr>
      <w:rPr>
        <w:rFonts w:ascii="Wingdings" w:hAnsi="Wingdings" w:hint="default"/>
      </w:rPr>
    </w:lvl>
    <w:lvl w:ilvl="6" w:tplc="04190001" w:tentative="1">
      <w:start w:val="1"/>
      <w:numFmt w:val="bullet"/>
      <w:lvlText w:val=""/>
      <w:lvlJc w:val="left"/>
      <w:pPr>
        <w:ind w:left="5235" w:hanging="360"/>
      </w:pPr>
      <w:rPr>
        <w:rFonts w:ascii="Symbol" w:hAnsi="Symbol" w:hint="default"/>
      </w:rPr>
    </w:lvl>
    <w:lvl w:ilvl="7" w:tplc="04190003" w:tentative="1">
      <w:start w:val="1"/>
      <w:numFmt w:val="bullet"/>
      <w:lvlText w:val="o"/>
      <w:lvlJc w:val="left"/>
      <w:pPr>
        <w:ind w:left="5955" w:hanging="360"/>
      </w:pPr>
      <w:rPr>
        <w:rFonts w:ascii="Courier New" w:hAnsi="Courier New" w:cs="Courier New" w:hint="default"/>
      </w:rPr>
    </w:lvl>
    <w:lvl w:ilvl="8" w:tplc="04190005" w:tentative="1">
      <w:start w:val="1"/>
      <w:numFmt w:val="bullet"/>
      <w:lvlText w:val=""/>
      <w:lvlJc w:val="left"/>
      <w:pPr>
        <w:ind w:left="6675" w:hanging="360"/>
      </w:pPr>
      <w:rPr>
        <w:rFonts w:ascii="Wingdings" w:hAnsi="Wingdings" w:hint="default"/>
      </w:rPr>
    </w:lvl>
  </w:abstractNum>
  <w:abstractNum w:abstractNumId="52" w15:restartNumberingAfterBreak="0">
    <w:nsid w:val="35286F4B"/>
    <w:multiLevelType w:val="hybridMultilevel"/>
    <w:tmpl w:val="1BFAC4AE"/>
    <w:lvl w:ilvl="0" w:tplc="04220001">
      <w:start w:val="1"/>
      <w:numFmt w:val="bullet"/>
      <w:lvlText w:val=""/>
      <w:lvlJc w:val="left"/>
      <w:pPr>
        <w:ind w:left="720" w:hanging="360"/>
      </w:pPr>
      <w:rPr>
        <w:rFonts w:ascii="Symbol" w:hAnsi="Symbol" w:hint="default"/>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3" w15:restartNumberingAfterBreak="0">
    <w:nsid w:val="36A05C18"/>
    <w:multiLevelType w:val="hybridMultilevel"/>
    <w:tmpl w:val="A8BA7834"/>
    <w:lvl w:ilvl="0" w:tplc="AC360E7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75E473E"/>
    <w:multiLevelType w:val="multilevel"/>
    <w:tmpl w:val="C16606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37A57766"/>
    <w:multiLevelType w:val="hybridMultilevel"/>
    <w:tmpl w:val="96720F7E"/>
    <w:lvl w:ilvl="0" w:tplc="B3184AA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6" w15:restartNumberingAfterBreak="0">
    <w:nsid w:val="38F26B64"/>
    <w:multiLevelType w:val="hybridMultilevel"/>
    <w:tmpl w:val="39C48778"/>
    <w:lvl w:ilvl="0" w:tplc="0D12BDC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3AB03B11"/>
    <w:multiLevelType w:val="hybridMultilevel"/>
    <w:tmpl w:val="484E3DB0"/>
    <w:lvl w:ilvl="0" w:tplc="37FE56AA">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3B573C5B"/>
    <w:multiLevelType w:val="hybridMultilevel"/>
    <w:tmpl w:val="1D94005A"/>
    <w:lvl w:ilvl="0" w:tplc="9CA28232">
      <w:start w:val="2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3DB2206B"/>
    <w:multiLevelType w:val="hybridMultilevel"/>
    <w:tmpl w:val="90C204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3E370C15"/>
    <w:multiLevelType w:val="hybridMultilevel"/>
    <w:tmpl w:val="2B48B5F8"/>
    <w:lvl w:ilvl="0" w:tplc="696CE60E">
      <w:numFmt w:val="bullet"/>
      <w:lvlText w:val="-"/>
      <w:lvlJc w:val="left"/>
      <w:pPr>
        <w:ind w:left="720" w:hanging="360"/>
      </w:pPr>
      <w:rPr>
        <w:rFonts w:ascii="Times New Roman" w:eastAsia="Times New Roman" w:hAnsi="Times New Roman" w:cs="Times New Roman"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1" w15:restartNumberingAfterBreak="0">
    <w:nsid w:val="3F764DDA"/>
    <w:multiLevelType w:val="hybridMultilevel"/>
    <w:tmpl w:val="EE88974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2" w15:restartNumberingAfterBreak="0">
    <w:nsid w:val="3F795079"/>
    <w:multiLevelType w:val="hybridMultilevel"/>
    <w:tmpl w:val="8BDE279E"/>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3" w15:restartNumberingAfterBreak="0">
    <w:nsid w:val="4014025C"/>
    <w:multiLevelType w:val="hybridMultilevel"/>
    <w:tmpl w:val="4B242F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40CC1781"/>
    <w:multiLevelType w:val="hybridMultilevel"/>
    <w:tmpl w:val="107CE59A"/>
    <w:lvl w:ilvl="0" w:tplc="8D126B70">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43375E26"/>
    <w:multiLevelType w:val="hybridMultilevel"/>
    <w:tmpl w:val="67FC8568"/>
    <w:lvl w:ilvl="0" w:tplc="CD84F21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43636B34"/>
    <w:multiLevelType w:val="hybridMultilevel"/>
    <w:tmpl w:val="262CCB28"/>
    <w:lvl w:ilvl="0" w:tplc="FFFFFFFF">
      <w:start w:val="1"/>
      <w:numFmt w:val="bullet"/>
      <w:lvlText w:val="-"/>
      <w:lvlJc w:val="left"/>
      <w:pPr>
        <w:ind w:left="1473" w:hanging="360"/>
      </w:pPr>
      <w:rPr>
        <w:rFonts w:ascii="Courier New" w:hAnsi="Courier New" w:hint="default"/>
      </w:rPr>
    </w:lvl>
    <w:lvl w:ilvl="1" w:tplc="2034CA02">
      <w:start w:val="1"/>
      <w:numFmt w:val="bullet"/>
      <w:lvlText w:val="-"/>
      <w:lvlJc w:val="left"/>
      <w:pPr>
        <w:ind w:left="2193" w:hanging="360"/>
      </w:pPr>
      <w:rPr>
        <w:rFonts w:ascii="Courier New" w:hAnsi="Courier New" w:hint="default"/>
      </w:rPr>
    </w:lvl>
    <w:lvl w:ilvl="2" w:tplc="FFFFFFFF" w:tentative="1">
      <w:start w:val="1"/>
      <w:numFmt w:val="bullet"/>
      <w:lvlText w:val=""/>
      <w:lvlJc w:val="left"/>
      <w:pPr>
        <w:ind w:left="2913" w:hanging="360"/>
      </w:pPr>
      <w:rPr>
        <w:rFonts w:ascii="Wingdings" w:hAnsi="Wingdings" w:hint="default"/>
      </w:rPr>
    </w:lvl>
    <w:lvl w:ilvl="3" w:tplc="FFFFFFFF" w:tentative="1">
      <w:start w:val="1"/>
      <w:numFmt w:val="bullet"/>
      <w:lvlText w:val=""/>
      <w:lvlJc w:val="left"/>
      <w:pPr>
        <w:ind w:left="3633" w:hanging="360"/>
      </w:pPr>
      <w:rPr>
        <w:rFonts w:ascii="Symbol" w:hAnsi="Symbol" w:hint="default"/>
      </w:rPr>
    </w:lvl>
    <w:lvl w:ilvl="4" w:tplc="FFFFFFFF" w:tentative="1">
      <w:start w:val="1"/>
      <w:numFmt w:val="bullet"/>
      <w:lvlText w:val="o"/>
      <w:lvlJc w:val="left"/>
      <w:pPr>
        <w:ind w:left="4353" w:hanging="360"/>
      </w:pPr>
      <w:rPr>
        <w:rFonts w:ascii="Courier New" w:hAnsi="Courier New" w:cs="Courier New" w:hint="default"/>
      </w:rPr>
    </w:lvl>
    <w:lvl w:ilvl="5" w:tplc="FFFFFFFF" w:tentative="1">
      <w:start w:val="1"/>
      <w:numFmt w:val="bullet"/>
      <w:lvlText w:val=""/>
      <w:lvlJc w:val="left"/>
      <w:pPr>
        <w:ind w:left="5073" w:hanging="360"/>
      </w:pPr>
      <w:rPr>
        <w:rFonts w:ascii="Wingdings" w:hAnsi="Wingdings" w:hint="default"/>
      </w:rPr>
    </w:lvl>
    <w:lvl w:ilvl="6" w:tplc="FFFFFFFF" w:tentative="1">
      <w:start w:val="1"/>
      <w:numFmt w:val="bullet"/>
      <w:lvlText w:val=""/>
      <w:lvlJc w:val="left"/>
      <w:pPr>
        <w:ind w:left="5793" w:hanging="360"/>
      </w:pPr>
      <w:rPr>
        <w:rFonts w:ascii="Symbol" w:hAnsi="Symbol" w:hint="default"/>
      </w:rPr>
    </w:lvl>
    <w:lvl w:ilvl="7" w:tplc="FFFFFFFF" w:tentative="1">
      <w:start w:val="1"/>
      <w:numFmt w:val="bullet"/>
      <w:lvlText w:val="o"/>
      <w:lvlJc w:val="left"/>
      <w:pPr>
        <w:ind w:left="6513" w:hanging="360"/>
      </w:pPr>
      <w:rPr>
        <w:rFonts w:ascii="Courier New" w:hAnsi="Courier New" w:cs="Courier New" w:hint="default"/>
      </w:rPr>
    </w:lvl>
    <w:lvl w:ilvl="8" w:tplc="FFFFFFFF" w:tentative="1">
      <w:start w:val="1"/>
      <w:numFmt w:val="bullet"/>
      <w:lvlText w:val=""/>
      <w:lvlJc w:val="left"/>
      <w:pPr>
        <w:ind w:left="7233" w:hanging="360"/>
      </w:pPr>
      <w:rPr>
        <w:rFonts w:ascii="Wingdings" w:hAnsi="Wingdings" w:hint="default"/>
      </w:rPr>
    </w:lvl>
  </w:abstractNum>
  <w:abstractNum w:abstractNumId="67" w15:restartNumberingAfterBreak="0">
    <w:nsid w:val="445111D4"/>
    <w:multiLevelType w:val="multilevel"/>
    <w:tmpl w:val="444EEC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44AB1C31"/>
    <w:multiLevelType w:val="hybridMultilevel"/>
    <w:tmpl w:val="6AA6D260"/>
    <w:lvl w:ilvl="0" w:tplc="88D26FBE">
      <w:start w:val="5"/>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9" w15:restartNumberingAfterBreak="0">
    <w:nsid w:val="4506292B"/>
    <w:multiLevelType w:val="hybridMultilevel"/>
    <w:tmpl w:val="20581EB4"/>
    <w:lvl w:ilvl="0" w:tplc="0D12BDC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45B33241"/>
    <w:multiLevelType w:val="hybridMultilevel"/>
    <w:tmpl w:val="6E46F546"/>
    <w:lvl w:ilvl="0" w:tplc="2000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5FD4F41"/>
    <w:multiLevelType w:val="hybridMultilevel"/>
    <w:tmpl w:val="8C04F3A0"/>
    <w:lvl w:ilvl="0" w:tplc="B3184A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46707D5C"/>
    <w:multiLevelType w:val="hybridMultilevel"/>
    <w:tmpl w:val="81D66EE2"/>
    <w:lvl w:ilvl="0" w:tplc="2034CA02">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471E1E2D"/>
    <w:multiLevelType w:val="hybridMultilevel"/>
    <w:tmpl w:val="D506BFAC"/>
    <w:lvl w:ilvl="0" w:tplc="3EE68D4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472C171E"/>
    <w:multiLevelType w:val="hybridMultilevel"/>
    <w:tmpl w:val="B1F2FDF2"/>
    <w:lvl w:ilvl="0" w:tplc="935CB77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48E70AD3"/>
    <w:multiLevelType w:val="hybridMultilevel"/>
    <w:tmpl w:val="CB0ABDAE"/>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49172FE4"/>
    <w:multiLevelType w:val="hybridMultilevel"/>
    <w:tmpl w:val="D4F8A7F0"/>
    <w:lvl w:ilvl="0" w:tplc="2034CA02">
      <w:start w:val="1"/>
      <w:numFmt w:val="bullet"/>
      <w:lvlText w:val="-"/>
      <w:lvlJc w:val="left"/>
      <w:pPr>
        <w:ind w:left="1473" w:hanging="360"/>
      </w:pPr>
      <w:rPr>
        <w:rFonts w:ascii="Courier New" w:hAnsi="Courier New" w:hint="default"/>
      </w:rPr>
    </w:lvl>
    <w:lvl w:ilvl="1" w:tplc="04190003">
      <w:start w:val="1"/>
      <w:numFmt w:val="bullet"/>
      <w:lvlText w:val="o"/>
      <w:lvlJc w:val="left"/>
      <w:pPr>
        <w:ind w:left="2193" w:hanging="360"/>
      </w:pPr>
      <w:rPr>
        <w:rFonts w:ascii="Courier New" w:hAnsi="Courier New" w:cs="Courier New" w:hint="default"/>
      </w:rPr>
    </w:lvl>
    <w:lvl w:ilvl="2" w:tplc="04190005" w:tentative="1">
      <w:start w:val="1"/>
      <w:numFmt w:val="bullet"/>
      <w:lvlText w:val=""/>
      <w:lvlJc w:val="left"/>
      <w:pPr>
        <w:ind w:left="2913" w:hanging="360"/>
      </w:pPr>
      <w:rPr>
        <w:rFonts w:ascii="Wingdings" w:hAnsi="Wingdings" w:hint="default"/>
      </w:rPr>
    </w:lvl>
    <w:lvl w:ilvl="3" w:tplc="04190001" w:tentative="1">
      <w:start w:val="1"/>
      <w:numFmt w:val="bullet"/>
      <w:lvlText w:val=""/>
      <w:lvlJc w:val="left"/>
      <w:pPr>
        <w:ind w:left="3633" w:hanging="360"/>
      </w:pPr>
      <w:rPr>
        <w:rFonts w:ascii="Symbol" w:hAnsi="Symbol" w:hint="default"/>
      </w:rPr>
    </w:lvl>
    <w:lvl w:ilvl="4" w:tplc="04190003" w:tentative="1">
      <w:start w:val="1"/>
      <w:numFmt w:val="bullet"/>
      <w:lvlText w:val="o"/>
      <w:lvlJc w:val="left"/>
      <w:pPr>
        <w:ind w:left="4353" w:hanging="360"/>
      </w:pPr>
      <w:rPr>
        <w:rFonts w:ascii="Courier New" w:hAnsi="Courier New" w:cs="Courier New" w:hint="default"/>
      </w:rPr>
    </w:lvl>
    <w:lvl w:ilvl="5" w:tplc="04190005" w:tentative="1">
      <w:start w:val="1"/>
      <w:numFmt w:val="bullet"/>
      <w:lvlText w:val=""/>
      <w:lvlJc w:val="left"/>
      <w:pPr>
        <w:ind w:left="5073" w:hanging="360"/>
      </w:pPr>
      <w:rPr>
        <w:rFonts w:ascii="Wingdings" w:hAnsi="Wingdings" w:hint="default"/>
      </w:rPr>
    </w:lvl>
    <w:lvl w:ilvl="6" w:tplc="04190001" w:tentative="1">
      <w:start w:val="1"/>
      <w:numFmt w:val="bullet"/>
      <w:lvlText w:val=""/>
      <w:lvlJc w:val="left"/>
      <w:pPr>
        <w:ind w:left="5793" w:hanging="360"/>
      </w:pPr>
      <w:rPr>
        <w:rFonts w:ascii="Symbol" w:hAnsi="Symbol" w:hint="default"/>
      </w:rPr>
    </w:lvl>
    <w:lvl w:ilvl="7" w:tplc="04190003" w:tentative="1">
      <w:start w:val="1"/>
      <w:numFmt w:val="bullet"/>
      <w:lvlText w:val="o"/>
      <w:lvlJc w:val="left"/>
      <w:pPr>
        <w:ind w:left="6513" w:hanging="360"/>
      </w:pPr>
      <w:rPr>
        <w:rFonts w:ascii="Courier New" w:hAnsi="Courier New" w:cs="Courier New" w:hint="default"/>
      </w:rPr>
    </w:lvl>
    <w:lvl w:ilvl="8" w:tplc="04190005" w:tentative="1">
      <w:start w:val="1"/>
      <w:numFmt w:val="bullet"/>
      <w:lvlText w:val=""/>
      <w:lvlJc w:val="left"/>
      <w:pPr>
        <w:ind w:left="7233" w:hanging="360"/>
      </w:pPr>
      <w:rPr>
        <w:rFonts w:ascii="Wingdings" w:hAnsi="Wingdings" w:hint="default"/>
      </w:rPr>
    </w:lvl>
  </w:abstractNum>
  <w:abstractNum w:abstractNumId="77" w15:restartNumberingAfterBreak="0">
    <w:nsid w:val="49417FDC"/>
    <w:multiLevelType w:val="hybridMultilevel"/>
    <w:tmpl w:val="FB2678FA"/>
    <w:lvl w:ilvl="0" w:tplc="2034CA0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49601E9D"/>
    <w:multiLevelType w:val="hybridMultilevel"/>
    <w:tmpl w:val="49661EAC"/>
    <w:lvl w:ilvl="0" w:tplc="0422000B">
      <w:start w:val="1"/>
      <w:numFmt w:val="bullet"/>
      <w:lvlText w:val=""/>
      <w:lvlJc w:val="left"/>
      <w:pPr>
        <w:ind w:left="760" w:hanging="360"/>
      </w:pPr>
      <w:rPr>
        <w:rFonts w:ascii="Wingdings" w:hAnsi="Wingdings" w:cs="Wingdings" w:hint="default"/>
      </w:rPr>
    </w:lvl>
    <w:lvl w:ilvl="1" w:tplc="04220003">
      <w:start w:val="1"/>
      <w:numFmt w:val="bullet"/>
      <w:lvlText w:val="o"/>
      <w:lvlJc w:val="left"/>
      <w:pPr>
        <w:ind w:left="1480" w:hanging="360"/>
      </w:pPr>
      <w:rPr>
        <w:rFonts w:ascii="Courier New" w:hAnsi="Courier New" w:cs="Courier New" w:hint="default"/>
      </w:rPr>
    </w:lvl>
    <w:lvl w:ilvl="2" w:tplc="04220005">
      <w:start w:val="1"/>
      <w:numFmt w:val="bullet"/>
      <w:lvlText w:val=""/>
      <w:lvlJc w:val="left"/>
      <w:pPr>
        <w:ind w:left="2200" w:hanging="360"/>
      </w:pPr>
      <w:rPr>
        <w:rFonts w:ascii="Wingdings" w:hAnsi="Wingdings" w:cs="Wingdings" w:hint="default"/>
      </w:rPr>
    </w:lvl>
    <w:lvl w:ilvl="3" w:tplc="04220001">
      <w:start w:val="1"/>
      <w:numFmt w:val="bullet"/>
      <w:lvlText w:val=""/>
      <w:lvlJc w:val="left"/>
      <w:pPr>
        <w:ind w:left="2920" w:hanging="360"/>
      </w:pPr>
      <w:rPr>
        <w:rFonts w:ascii="Symbol" w:hAnsi="Symbol" w:cs="Symbol" w:hint="default"/>
      </w:rPr>
    </w:lvl>
    <w:lvl w:ilvl="4" w:tplc="04220003">
      <w:start w:val="1"/>
      <w:numFmt w:val="bullet"/>
      <w:lvlText w:val="o"/>
      <w:lvlJc w:val="left"/>
      <w:pPr>
        <w:ind w:left="3640" w:hanging="360"/>
      </w:pPr>
      <w:rPr>
        <w:rFonts w:ascii="Courier New" w:hAnsi="Courier New" w:cs="Courier New" w:hint="default"/>
      </w:rPr>
    </w:lvl>
    <w:lvl w:ilvl="5" w:tplc="04220005">
      <w:start w:val="1"/>
      <w:numFmt w:val="bullet"/>
      <w:lvlText w:val=""/>
      <w:lvlJc w:val="left"/>
      <w:pPr>
        <w:ind w:left="4360" w:hanging="360"/>
      </w:pPr>
      <w:rPr>
        <w:rFonts w:ascii="Wingdings" w:hAnsi="Wingdings" w:cs="Wingdings" w:hint="default"/>
      </w:rPr>
    </w:lvl>
    <w:lvl w:ilvl="6" w:tplc="04220001">
      <w:start w:val="1"/>
      <w:numFmt w:val="bullet"/>
      <w:lvlText w:val=""/>
      <w:lvlJc w:val="left"/>
      <w:pPr>
        <w:ind w:left="5080" w:hanging="360"/>
      </w:pPr>
      <w:rPr>
        <w:rFonts w:ascii="Symbol" w:hAnsi="Symbol" w:cs="Symbol" w:hint="default"/>
      </w:rPr>
    </w:lvl>
    <w:lvl w:ilvl="7" w:tplc="04220003">
      <w:start w:val="1"/>
      <w:numFmt w:val="bullet"/>
      <w:lvlText w:val="o"/>
      <w:lvlJc w:val="left"/>
      <w:pPr>
        <w:ind w:left="5800" w:hanging="360"/>
      </w:pPr>
      <w:rPr>
        <w:rFonts w:ascii="Courier New" w:hAnsi="Courier New" w:cs="Courier New" w:hint="default"/>
      </w:rPr>
    </w:lvl>
    <w:lvl w:ilvl="8" w:tplc="04220005">
      <w:start w:val="1"/>
      <w:numFmt w:val="bullet"/>
      <w:lvlText w:val=""/>
      <w:lvlJc w:val="left"/>
      <w:pPr>
        <w:ind w:left="6520" w:hanging="360"/>
      </w:pPr>
      <w:rPr>
        <w:rFonts w:ascii="Wingdings" w:hAnsi="Wingdings" w:cs="Wingdings" w:hint="default"/>
      </w:rPr>
    </w:lvl>
  </w:abstractNum>
  <w:abstractNum w:abstractNumId="79" w15:restartNumberingAfterBreak="0">
    <w:nsid w:val="4BE27506"/>
    <w:multiLevelType w:val="hybridMultilevel"/>
    <w:tmpl w:val="F6F49FB0"/>
    <w:lvl w:ilvl="0" w:tplc="CD84F21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4C9F2B61"/>
    <w:multiLevelType w:val="hybridMultilevel"/>
    <w:tmpl w:val="8616819A"/>
    <w:lvl w:ilvl="0" w:tplc="D676E4F8">
      <w:start w:val="25"/>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4EA607B7"/>
    <w:multiLevelType w:val="hybridMultilevel"/>
    <w:tmpl w:val="C8F609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4EDE5B4B"/>
    <w:multiLevelType w:val="hybridMultilevel"/>
    <w:tmpl w:val="51F6AAF2"/>
    <w:lvl w:ilvl="0" w:tplc="04190001">
      <w:start w:val="1"/>
      <w:numFmt w:val="bullet"/>
      <w:lvlText w:val=""/>
      <w:lvlJc w:val="left"/>
      <w:pPr>
        <w:ind w:left="1614" w:hanging="360"/>
      </w:pPr>
      <w:rPr>
        <w:rFonts w:ascii="Symbol" w:hAnsi="Symbol" w:hint="default"/>
      </w:rPr>
    </w:lvl>
    <w:lvl w:ilvl="1" w:tplc="04190003" w:tentative="1">
      <w:start w:val="1"/>
      <w:numFmt w:val="bullet"/>
      <w:lvlText w:val="o"/>
      <w:lvlJc w:val="left"/>
      <w:pPr>
        <w:ind w:left="2334" w:hanging="360"/>
      </w:pPr>
      <w:rPr>
        <w:rFonts w:ascii="Courier New" w:hAnsi="Courier New" w:cs="Courier New" w:hint="default"/>
      </w:rPr>
    </w:lvl>
    <w:lvl w:ilvl="2" w:tplc="04190005" w:tentative="1">
      <w:start w:val="1"/>
      <w:numFmt w:val="bullet"/>
      <w:lvlText w:val=""/>
      <w:lvlJc w:val="left"/>
      <w:pPr>
        <w:ind w:left="3054" w:hanging="360"/>
      </w:pPr>
      <w:rPr>
        <w:rFonts w:ascii="Wingdings" w:hAnsi="Wingdings" w:hint="default"/>
      </w:rPr>
    </w:lvl>
    <w:lvl w:ilvl="3" w:tplc="04190001" w:tentative="1">
      <w:start w:val="1"/>
      <w:numFmt w:val="bullet"/>
      <w:lvlText w:val=""/>
      <w:lvlJc w:val="left"/>
      <w:pPr>
        <w:ind w:left="3774" w:hanging="360"/>
      </w:pPr>
      <w:rPr>
        <w:rFonts w:ascii="Symbol" w:hAnsi="Symbol" w:hint="default"/>
      </w:rPr>
    </w:lvl>
    <w:lvl w:ilvl="4" w:tplc="04190003" w:tentative="1">
      <w:start w:val="1"/>
      <w:numFmt w:val="bullet"/>
      <w:lvlText w:val="o"/>
      <w:lvlJc w:val="left"/>
      <w:pPr>
        <w:ind w:left="4494" w:hanging="360"/>
      </w:pPr>
      <w:rPr>
        <w:rFonts w:ascii="Courier New" w:hAnsi="Courier New" w:cs="Courier New" w:hint="default"/>
      </w:rPr>
    </w:lvl>
    <w:lvl w:ilvl="5" w:tplc="04190005" w:tentative="1">
      <w:start w:val="1"/>
      <w:numFmt w:val="bullet"/>
      <w:lvlText w:val=""/>
      <w:lvlJc w:val="left"/>
      <w:pPr>
        <w:ind w:left="5214" w:hanging="360"/>
      </w:pPr>
      <w:rPr>
        <w:rFonts w:ascii="Wingdings" w:hAnsi="Wingdings" w:hint="default"/>
      </w:rPr>
    </w:lvl>
    <w:lvl w:ilvl="6" w:tplc="04190001" w:tentative="1">
      <w:start w:val="1"/>
      <w:numFmt w:val="bullet"/>
      <w:lvlText w:val=""/>
      <w:lvlJc w:val="left"/>
      <w:pPr>
        <w:ind w:left="5934" w:hanging="360"/>
      </w:pPr>
      <w:rPr>
        <w:rFonts w:ascii="Symbol" w:hAnsi="Symbol" w:hint="default"/>
      </w:rPr>
    </w:lvl>
    <w:lvl w:ilvl="7" w:tplc="04190003" w:tentative="1">
      <w:start w:val="1"/>
      <w:numFmt w:val="bullet"/>
      <w:lvlText w:val="o"/>
      <w:lvlJc w:val="left"/>
      <w:pPr>
        <w:ind w:left="6654" w:hanging="360"/>
      </w:pPr>
      <w:rPr>
        <w:rFonts w:ascii="Courier New" w:hAnsi="Courier New" w:cs="Courier New" w:hint="default"/>
      </w:rPr>
    </w:lvl>
    <w:lvl w:ilvl="8" w:tplc="04190005" w:tentative="1">
      <w:start w:val="1"/>
      <w:numFmt w:val="bullet"/>
      <w:lvlText w:val=""/>
      <w:lvlJc w:val="left"/>
      <w:pPr>
        <w:ind w:left="7374" w:hanging="360"/>
      </w:pPr>
      <w:rPr>
        <w:rFonts w:ascii="Wingdings" w:hAnsi="Wingdings" w:hint="default"/>
      </w:rPr>
    </w:lvl>
  </w:abstractNum>
  <w:abstractNum w:abstractNumId="83" w15:restartNumberingAfterBreak="0">
    <w:nsid w:val="4EF267F9"/>
    <w:multiLevelType w:val="hybridMultilevel"/>
    <w:tmpl w:val="93C469DC"/>
    <w:lvl w:ilvl="0" w:tplc="D01439EC">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51FB5D2D"/>
    <w:multiLevelType w:val="hybridMultilevel"/>
    <w:tmpl w:val="127095EA"/>
    <w:lvl w:ilvl="0" w:tplc="9878998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52514628"/>
    <w:multiLevelType w:val="hybridMultilevel"/>
    <w:tmpl w:val="91CEF8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52B36F34"/>
    <w:multiLevelType w:val="hybridMultilevel"/>
    <w:tmpl w:val="3FAAEA0E"/>
    <w:lvl w:ilvl="0" w:tplc="88D26FBE">
      <w:start w:val="5"/>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52E144E3"/>
    <w:multiLevelType w:val="multilevel"/>
    <w:tmpl w:val="00000001"/>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8" w15:restartNumberingAfterBreak="0">
    <w:nsid w:val="539C60AD"/>
    <w:multiLevelType w:val="hybridMultilevel"/>
    <w:tmpl w:val="8D4C133C"/>
    <w:lvl w:ilvl="0" w:tplc="52C84306">
      <w:start w:val="70"/>
      <w:numFmt w:val="bullet"/>
      <w:lvlText w:val="-"/>
      <w:lvlJc w:val="left"/>
      <w:pPr>
        <w:ind w:left="1068" w:hanging="360"/>
      </w:pPr>
      <w:rPr>
        <w:rFonts w:ascii="Times New Roman" w:eastAsia="Times New Roman" w:hAnsi="Times New Roman" w:cs="Times New Roman" w:hint="default"/>
        <w:sz w:val="22"/>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9" w15:restartNumberingAfterBreak="0">
    <w:nsid w:val="5513054E"/>
    <w:multiLevelType w:val="hybridMultilevel"/>
    <w:tmpl w:val="05ACE1E0"/>
    <w:lvl w:ilvl="0" w:tplc="5D8E975A">
      <w:numFmt w:val="bullet"/>
      <w:lvlText w:val="-"/>
      <w:lvlJc w:val="left"/>
      <w:pPr>
        <w:ind w:left="728" w:hanging="360"/>
      </w:pPr>
      <w:rPr>
        <w:rFonts w:ascii="Times New Roman" w:eastAsia="Times New Roman" w:hAnsi="Times New Roman" w:cs="Times New Roman" w:hint="default"/>
        <w:color w:val="auto"/>
      </w:rPr>
    </w:lvl>
    <w:lvl w:ilvl="1" w:tplc="04090003" w:tentative="1">
      <w:start w:val="1"/>
      <w:numFmt w:val="bullet"/>
      <w:lvlText w:val="o"/>
      <w:lvlJc w:val="left"/>
      <w:pPr>
        <w:ind w:left="1448" w:hanging="360"/>
      </w:pPr>
      <w:rPr>
        <w:rFonts w:ascii="Courier New" w:hAnsi="Courier New" w:cs="Courier New" w:hint="default"/>
      </w:rPr>
    </w:lvl>
    <w:lvl w:ilvl="2" w:tplc="04090005" w:tentative="1">
      <w:start w:val="1"/>
      <w:numFmt w:val="bullet"/>
      <w:lvlText w:val=""/>
      <w:lvlJc w:val="left"/>
      <w:pPr>
        <w:ind w:left="2168" w:hanging="360"/>
      </w:pPr>
      <w:rPr>
        <w:rFonts w:ascii="Wingdings" w:hAnsi="Wingdings" w:hint="default"/>
      </w:rPr>
    </w:lvl>
    <w:lvl w:ilvl="3" w:tplc="04090001" w:tentative="1">
      <w:start w:val="1"/>
      <w:numFmt w:val="bullet"/>
      <w:lvlText w:val=""/>
      <w:lvlJc w:val="left"/>
      <w:pPr>
        <w:ind w:left="2888" w:hanging="360"/>
      </w:pPr>
      <w:rPr>
        <w:rFonts w:ascii="Symbol" w:hAnsi="Symbol" w:hint="default"/>
      </w:rPr>
    </w:lvl>
    <w:lvl w:ilvl="4" w:tplc="04090003" w:tentative="1">
      <w:start w:val="1"/>
      <w:numFmt w:val="bullet"/>
      <w:lvlText w:val="o"/>
      <w:lvlJc w:val="left"/>
      <w:pPr>
        <w:ind w:left="3608" w:hanging="360"/>
      </w:pPr>
      <w:rPr>
        <w:rFonts w:ascii="Courier New" w:hAnsi="Courier New" w:cs="Courier New" w:hint="default"/>
      </w:rPr>
    </w:lvl>
    <w:lvl w:ilvl="5" w:tplc="04090005" w:tentative="1">
      <w:start w:val="1"/>
      <w:numFmt w:val="bullet"/>
      <w:lvlText w:val=""/>
      <w:lvlJc w:val="left"/>
      <w:pPr>
        <w:ind w:left="4328" w:hanging="360"/>
      </w:pPr>
      <w:rPr>
        <w:rFonts w:ascii="Wingdings" w:hAnsi="Wingdings" w:hint="default"/>
      </w:rPr>
    </w:lvl>
    <w:lvl w:ilvl="6" w:tplc="04090001" w:tentative="1">
      <w:start w:val="1"/>
      <w:numFmt w:val="bullet"/>
      <w:lvlText w:val=""/>
      <w:lvlJc w:val="left"/>
      <w:pPr>
        <w:ind w:left="5048" w:hanging="360"/>
      </w:pPr>
      <w:rPr>
        <w:rFonts w:ascii="Symbol" w:hAnsi="Symbol" w:hint="default"/>
      </w:rPr>
    </w:lvl>
    <w:lvl w:ilvl="7" w:tplc="04090003" w:tentative="1">
      <w:start w:val="1"/>
      <w:numFmt w:val="bullet"/>
      <w:lvlText w:val="o"/>
      <w:lvlJc w:val="left"/>
      <w:pPr>
        <w:ind w:left="5768" w:hanging="360"/>
      </w:pPr>
      <w:rPr>
        <w:rFonts w:ascii="Courier New" w:hAnsi="Courier New" w:cs="Courier New" w:hint="default"/>
      </w:rPr>
    </w:lvl>
    <w:lvl w:ilvl="8" w:tplc="04090005" w:tentative="1">
      <w:start w:val="1"/>
      <w:numFmt w:val="bullet"/>
      <w:lvlText w:val=""/>
      <w:lvlJc w:val="left"/>
      <w:pPr>
        <w:ind w:left="6488" w:hanging="360"/>
      </w:pPr>
      <w:rPr>
        <w:rFonts w:ascii="Wingdings" w:hAnsi="Wingdings" w:hint="default"/>
      </w:rPr>
    </w:lvl>
  </w:abstractNum>
  <w:abstractNum w:abstractNumId="90" w15:restartNumberingAfterBreak="0">
    <w:nsid w:val="559F7DBC"/>
    <w:multiLevelType w:val="hybridMultilevel"/>
    <w:tmpl w:val="E140F74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5C3625C"/>
    <w:multiLevelType w:val="multilevel"/>
    <w:tmpl w:val="6C0C83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15:restartNumberingAfterBreak="0">
    <w:nsid w:val="56066000"/>
    <w:multiLevelType w:val="hybridMultilevel"/>
    <w:tmpl w:val="1EE6D20A"/>
    <w:lvl w:ilvl="0" w:tplc="6142C0C6">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3" w15:restartNumberingAfterBreak="0">
    <w:nsid w:val="56647290"/>
    <w:multiLevelType w:val="hybridMultilevel"/>
    <w:tmpl w:val="BD74ACB6"/>
    <w:lvl w:ilvl="0" w:tplc="FF506BB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4" w15:restartNumberingAfterBreak="0">
    <w:nsid w:val="57494E8F"/>
    <w:multiLevelType w:val="hybridMultilevel"/>
    <w:tmpl w:val="C88EAD52"/>
    <w:lvl w:ilvl="0" w:tplc="E46C8DD0">
      <w:start w:val="1"/>
      <w:numFmt w:val="decimal"/>
      <w:lvlText w:val="%1."/>
      <w:lvlJc w:val="left"/>
      <w:pPr>
        <w:ind w:left="720" w:hanging="360"/>
      </w:pPr>
      <w:rPr>
        <w:rFonts w:eastAsia="Calibri" w:hint="default"/>
        <w:color w:val="000000"/>
        <w:sz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5" w15:restartNumberingAfterBreak="0">
    <w:nsid w:val="578E22A6"/>
    <w:multiLevelType w:val="hybridMultilevel"/>
    <w:tmpl w:val="EA9A985E"/>
    <w:lvl w:ilvl="0" w:tplc="40A4530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6" w15:restartNumberingAfterBreak="0">
    <w:nsid w:val="588370A2"/>
    <w:multiLevelType w:val="multilevel"/>
    <w:tmpl w:val="7F08C396"/>
    <w:lvl w:ilvl="0">
      <w:start w:val="70"/>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7" w15:restartNumberingAfterBreak="0">
    <w:nsid w:val="59235227"/>
    <w:multiLevelType w:val="hybridMultilevel"/>
    <w:tmpl w:val="8F2E51D0"/>
    <w:lvl w:ilvl="0" w:tplc="E1867A6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593A5EDF"/>
    <w:multiLevelType w:val="hybridMultilevel"/>
    <w:tmpl w:val="93C0A504"/>
    <w:lvl w:ilvl="0" w:tplc="0D12BDCE">
      <w:start w:val="1"/>
      <w:numFmt w:val="bullet"/>
      <w:lvlText w:val="-"/>
      <w:lvlJc w:val="left"/>
      <w:pPr>
        <w:ind w:left="1211" w:hanging="360"/>
      </w:pPr>
      <w:rPr>
        <w:rFonts w:ascii="Courier New" w:hAnsi="Courier New" w:hint="default"/>
      </w:rPr>
    </w:lvl>
    <w:lvl w:ilvl="1" w:tplc="04220003">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99" w15:restartNumberingAfterBreak="0">
    <w:nsid w:val="59543C9F"/>
    <w:multiLevelType w:val="hybridMultilevel"/>
    <w:tmpl w:val="A0CE73B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0" w15:restartNumberingAfterBreak="0">
    <w:nsid w:val="5A4E2C96"/>
    <w:multiLevelType w:val="hybridMultilevel"/>
    <w:tmpl w:val="3CDE850A"/>
    <w:lvl w:ilvl="0" w:tplc="10E480A8">
      <w:start w:val="5"/>
      <w:numFmt w:val="bullet"/>
      <w:lvlText w:val="-"/>
      <w:lvlJc w:val="left"/>
      <w:pPr>
        <w:ind w:left="720" w:hanging="360"/>
      </w:pPr>
      <w:rPr>
        <w:rFonts w:ascii="Times New Roman" w:eastAsia="Calibr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1" w15:restartNumberingAfterBreak="0">
    <w:nsid w:val="5A63591A"/>
    <w:multiLevelType w:val="hybridMultilevel"/>
    <w:tmpl w:val="230CF5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5B1B64D0"/>
    <w:multiLevelType w:val="hybridMultilevel"/>
    <w:tmpl w:val="72D25956"/>
    <w:lvl w:ilvl="0" w:tplc="20000001">
      <w:start w:val="1"/>
      <w:numFmt w:val="bullet"/>
      <w:lvlText w:val=""/>
      <w:lvlJc w:val="left"/>
      <w:pPr>
        <w:ind w:left="780" w:hanging="360"/>
      </w:pPr>
      <w:rPr>
        <w:rFonts w:ascii="Symbol" w:hAnsi="Symbol" w:hint="default"/>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103" w15:restartNumberingAfterBreak="0">
    <w:nsid w:val="5B8C4D5D"/>
    <w:multiLevelType w:val="hybridMultilevel"/>
    <w:tmpl w:val="1AE28FB8"/>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5C05753D"/>
    <w:multiLevelType w:val="hybridMultilevel"/>
    <w:tmpl w:val="A7DC5320"/>
    <w:lvl w:ilvl="0" w:tplc="2034CA02">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DFE1C9F"/>
    <w:multiLevelType w:val="hybridMultilevel"/>
    <w:tmpl w:val="68B69148"/>
    <w:lvl w:ilvl="0" w:tplc="43EAFBE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5E911B18"/>
    <w:multiLevelType w:val="hybridMultilevel"/>
    <w:tmpl w:val="5AF4D4B8"/>
    <w:lvl w:ilvl="0" w:tplc="2034CA02">
      <w:start w:val="1"/>
      <w:numFmt w:val="bullet"/>
      <w:lvlText w:val="-"/>
      <w:lvlJc w:val="left"/>
      <w:pPr>
        <w:ind w:left="808" w:hanging="360"/>
      </w:pPr>
      <w:rPr>
        <w:rFonts w:ascii="Courier New" w:hAnsi="Courier New" w:hint="default"/>
      </w:rPr>
    </w:lvl>
    <w:lvl w:ilvl="1" w:tplc="04190003">
      <w:start w:val="1"/>
      <w:numFmt w:val="bullet"/>
      <w:lvlText w:val="o"/>
      <w:lvlJc w:val="left"/>
      <w:pPr>
        <w:ind w:left="1528" w:hanging="360"/>
      </w:pPr>
      <w:rPr>
        <w:rFonts w:ascii="Courier New" w:hAnsi="Courier New" w:cs="Courier New" w:hint="default"/>
      </w:rPr>
    </w:lvl>
    <w:lvl w:ilvl="2" w:tplc="04190005" w:tentative="1">
      <w:start w:val="1"/>
      <w:numFmt w:val="bullet"/>
      <w:lvlText w:val=""/>
      <w:lvlJc w:val="left"/>
      <w:pPr>
        <w:ind w:left="2248" w:hanging="360"/>
      </w:pPr>
      <w:rPr>
        <w:rFonts w:ascii="Wingdings" w:hAnsi="Wingdings" w:hint="default"/>
      </w:rPr>
    </w:lvl>
    <w:lvl w:ilvl="3" w:tplc="04190001" w:tentative="1">
      <w:start w:val="1"/>
      <w:numFmt w:val="bullet"/>
      <w:lvlText w:val=""/>
      <w:lvlJc w:val="left"/>
      <w:pPr>
        <w:ind w:left="2968" w:hanging="360"/>
      </w:pPr>
      <w:rPr>
        <w:rFonts w:ascii="Symbol" w:hAnsi="Symbol" w:hint="default"/>
      </w:rPr>
    </w:lvl>
    <w:lvl w:ilvl="4" w:tplc="04190003" w:tentative="1">
      <w:start w:val="1"/>
      <w:numFmt w:val="bullet"/>
      <w:lvlText w:val="o"/>
      <w:lvlJc w:val="left"/>
      <w:pPr>
        <w:ind w:left="3688" w:hanging="360"/>
      </w:pPr>
      <w:rPr>
        <w:rFonts w:ascii="Courier New" w:hAnsi="Courier New" w:cs="Courier New" w:hint="default"/>
      </w:rPr>
    </w:lvl>
    <w:lvl w:ilvl="5" w:tplc="04190005" w:tentative="1">
      <w:start w:val="1"/>
      <w:numFmt w:val="bullet"/>
      <w:lvlText w:val=""/>
      <w:lvlJc w:val="left"/>
      <w:pPr>
        <w:ind w:left="4408" w:hanging="360"/>
      </w:pPr>
      <w:rPr>
        <w:rFonts w:ascii="Wingdings" w:hAnsi="Wingdings" w:hint="default"/>
      </w:rPr>
    </w:lvl>
    <w:lvl w:ilvl="6" w:tplc="04190001" w:tentative="1">
      <w:start w:val="1"/>
      <w:numFmt w:val="bullet"/>
      <w:lvlText w:val=""/>
      <w:lvlJc w:val="left"/>
      <w:pPr>
        <w:ind w:left="5128" w:hanging="360"/>
      </w:pPr>
      <w:rPr>
        <w:rFonts w:ascii="Symbol" w:hAnsi="Symbol" w:hint="default"/>
      </w:rPr>
    </w:lvl>
    <w:lvl w:ilvl="7" w:tplc="04190003" w:tentative="1">
      <w:start w:val="1"/>
      <w:numFmt w:val="bullet"/>
      <w:lvlText w:val="o"/>
      <w:lvlJc w:val="left"/>
      <w:pPr>
        <w:ind w:left="5848" w:hanging="360"/>
      </w:pPr>
      <w:rPr>
        <w:rFonts w:ascii="Courier New" w:hAnsi="Courier New" w:cs="Courier New" w:hint="default"/>
      </w:rPr>
    </w:lvl>
    <w:lvl w:ilvl="8" w:tplc="04190005" w:tentative="1">
      <w:start w:val="1"/>
      <w:numFmt w:val="bullet"/>
      <w:lvlText w:val=""/>
      <w:lvlJc w:val="left"/>
      <w:pPr>
        <w:ind w:left="6568" w:hanging="360"/>
      </w:pPr>
      <w:rPr>
        <w:rFonts w:ascii="Wingdings" w:hAnsi="Wingdings" w:hint="default"/>
      </w:rPr>
    </w:lvl>
  </w:abstractNum>
  <w:abstractNum w:abstractNumId="107" w15:restartNumberingAfterBreak="0">
    <w:nsid w:val="5EA81E32"/>
    <w:multiLevelType w:val="hybridMultilevel"/>
    <w:tmpl w:val="4B2AF450"/>
    <w:lvl w:ilvl="0" w:tplc="2034CA02">
      <w:start w:val="1"/>
      <w:numFmt w:val="bullet"/>
      <w:lvlText w:val="-"/>
      <w:lvlJc w:val="left"/>
      <w:pPr>
        <w:ind w:left="808" w:hanging="360"/>
      </w:pPr>
      <w:rPr>
        <w:rFonts w:ascii="Courier New" w:hAnsi="Courier New" w:hint="default"/>
      </w:rPr>
    </w:lvl>
    <w:lvl w:ilvl="1" w:tplc="04190003" w:tentative="1">
      <w:start w:val="1"/>
      <w:numFmt w:val="bullet"/>
      <w:lvlText w:val="o"/>
      <w:lvlJc w:val="left"/>
      <w:pPr>
        <w:ind w:left="1528" w:hanging="360"/>
      </w:pPr>
      <w:rPr>
        <w:rFonts w:ascii="Courier New" w:hAnsi="Courier New" w:cs="Courier New" w:hint="default"/>
      </w:rPr>
    </w:lvl>
    <w:lvl w:ilvl="2" w:tplc="04190005" w:tentative="1">
      <w:start w:val="1"/>
      <w:numFmt w:val="bullet"/>
      <w:lvlText w:val=""/>
      <w:lvlJc w:val="left"/>
      <w:pPr>
        <w:ind w:left="2248" w:hanging="360"/>
      </w:pPr>
      <w:rPr>
        <w:rFonts w:ascii="Wingdings" w:hAnsi="Wingdings" w:hint="default"/>
      </w:rPr>
    </w:lvl>
    <w:lvl w:ilvl="3" w:tplc="04190001" w:tentative="1">
      <w:start w:val="1"/>
      <w:numFmt w:val="bullet"/>
      <w:lvlText w:val=""/>
      <w:lvlJc w:val="left"/>
      <w:pPr>
        <w:ind w:left="2968" w:hanging="360"/>
      </w:pPr>
      <w:rPr>
        <w:rFonts w:ascii="Symbol" w:hAnsi="Symbol" w:hint="default"/>
      </w:rPr>
    </w:lvl>
    <w:lvl w:ilvl="4" w:tplc="04190003" w:tentative="1">
      <w:start w:val="1"/>
      <w:numFmt w:val="bullet"/>
      <w:lvlText w:val="o"/>
      <w:lvlJc w:val="left"/>
      <w:pPr>
        <w:ind w:left="3688" w:hanging="360"/>
      </w:pPr>
      <w:rPr>
        <w:rFonts w:ascii="Courier New" w:hAnsi="Courier New" w:cs="Courier New" w:hint="default"/>
      </w:rPr>
    </w:lvl>
    <w:lvl w:ilvl="5" w:tplc="04190005" w:tentative="1">
      <w:start w:val="1"/>
      <w:numFmt w:val="bullet"/>
      <w:lvlText w:val=""/>
      <w:lvlJc w:val="left"/>
      <w:pPr>
        <w:ind w:left="4408" w:hanging="360"/>
      </w:pPr>
      <w:rPr>
        <w:rFonts w:ascii="Wingdings" w:hAnsi="Wingdings" w:hint="default"/>
      </w:rPr>
    </w:lvl>
    <w:lvl w:ilvl="6" w:tplc="04190001" w:tentative="1">
      <w:start w:val="1"/>
      <w:numFmt w:val="bullet"/>
      <w:lvlText w:val=""/>
      <w:lvlJc w:val="left"/>
      <w:pPr>
        <w:ind w:left="5128" w:hanging="360"/>
      </w:pPr>
      <w:rPr>
        <w:rFonts w:ascii="Symbol" w:hAnsi="Symbol" w:hint="default"/>
      </w:rPr>
    </w:lvl>
    <w:lvl w:ilvl="7" w:tplc="04190003" w:tentative="1">
      <w:start w:val="1"/>
      <w:numFmt w:val="bullet"/>
      <w:lvlText w:val="o"/>
      <w:lvlJc w:val="left"/>
      <w:pPr>
        <w:ind w:left="5848" w:hanging="360"/>
      </w:pPr>
      <w:rPr>
        <w:rFonts w:ascii="Courier New" w:hAnsi="Courier New" w:cs="Courier New" w:hint="default"/>
      </w:rPr>
    </w:lvl>
    <w:lvl w:ilvl="8" w:tplc="04190005" w:tentative="1">
      <w:start w:val="1"/>
      <w:numFmt w:val="bullet"/>
      <w:lvlText w:val=""/>
      <w:lvlJc w:val="left"/>
      <w:pPr>
        <w:ind w:left="6568" w:hanging="360"/>
      </w:pPr>
      <w:rPr>
        <w:rFonts w:ascii="Wingdings" w:hAnsi="Wingdings" w:hint="default"/>
      </w:rPr>
    </w:lvl>
  </w:abstractNum>
  <w:abstractNum w:abstractNumId="108" w15:restartNumberingAfterBreak="0">
    <w:nsid w:val="5F13383E"/>
    <w:multiLevelType w:val="hybridMultilevel"/>
    <w:tmpl w:val="034AAAC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9" w15:restartNumberingAfterBreak="0">
    <w:nsid w:val="62052C2E"/>
    <w:multiLevelType w:val="hybridMultilevel"/>
    <w:tmpl w:val="7924FD7E"/>
    <w:lvl w:ilvl="0" w:tplc="2034CA02">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0" w15:restartNumberingAfterBreak="0">
    <w:nsid w:val="62A514C5"/>
    <w:multiLevelType w:val="hybridMultilevel"/>
    <w:tmpl w:val="B7E0A2DA"/>
    <w:lvl w:ilvl="0" w:tplc="8512A782">
      <w:start w:val="70"/>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1" w15:restartNumberingAfterBreak="0">
    <w:nsid w:val="63C11C21"/>
    <w:multiLevelType w:val="hybridMultilevel"/>
    <w:tmpl w:val="88EA2156"/>
    <w:lvl w:ilvl="0" w:tplc="B3184AAA">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12" w15:restartNumberingAfterBreak="0">
    <w:nsid w:val="63C24CFC"/>
    <w:multiLevelType w:val="hybridMultilevel"/>
    <w:tmpl w:val="F50EBA80"/>
    <w:lvl w:ilvl="0" w:tplc="9D62511C">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64154E94"/>
    <w:multiLevelType w:val="hybridMultilevel"/>
    <w:tmpl w:val="C1902A1A"/>
    <w:lvl w:ilvl="0" w:tplc="5C00C546">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4FE2D60"/>
    <w:multiLevelType w:val="hybridMultilevel"/>
    <w:tmpl w:val="FFBED94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5" w15:restartNumberingAfterBreak="0">
    <w:nsid w:val="65373843"/>
    <w:multiLevelType w:val="hybridMultilevel"/>
    <w:tmpl w:val="AEC436B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6" w15:restartNumberingAfterBreak="0">
    <w:nsid w:val="661F1347"/>
    <w:multiLevelType w:val="hybridMultilevel"/>
    <w:tmpl w:val="AE00B02C"/>
    <w:lvl w:ilvl="0" w:tplc="DDD84B0C">
      <w:numFmt w:val="bullet"/>
      <w:lvlText w:val="-"/>
      <w:lvlJc w:val="left"/>
      <w:pPr>
        <w:ind w:left="1080" w:hanging="360"/>
      </w:pPr>
      <w:rPr>
        <w:rFonts w:ascii="Calibri" w:eastAsia="Times New Roman" w:hAnsi="Calibri" w:cs="Calibri" w:hint="default"/>
        <w:color w:val="000000"/>
        <w:sz w:val="22"/>
      </w:rPr>
    </w:lvl>
    <w:lvl w:ilvl="1" w:tplc="04220019" w:tentative="1">
      <w:start w:val="1"/>
      <w:numFmt w:val="bullet"/>
      <w:lvlText w:val="o"/>
      <w:lvlJc w:val="left"/>
      <w:pPr>
        <w:ind w:left="1800" w:hanging="360"/>
      </w:pPr>
      <w:rPr>
        <w:rFonts w:ascii="Courier New" w:hAnsi="Courier New" w:cs="Courier New" w:hint="default"/>
      </w:rPr>
    </w:lvl>
    <w:lvl w:ilvl="2" w:tplc="0422001B" w:tentative="1">
      <w:start w:val="1"/>
      <w:numFmt w:val="bullet"/>
      <w:lvlText w:val=""/>
      <w:lvlJc w:val="left"/>
      <w:pPr>
        <w:ind w:left="2520" w:hanging="360"/>
      </w:pPr>
      <w:rPr>
        <w:rFonts w:ascii="Wingdings" w:hAnsi="Wingdings" w:hint="default"/>
      </w:rPr>
    </w:lvl>
    <w:lvl w:ilvl="3" w:tplc="0422000F" w:tentative="1">
      <w:start w:val="1"/>
      <w:numFmt w:val="bullet"/>
      <w:lvlText w:val=""/>
      <w:lvlJc w:val="left"/>
      <w:pPr>
        <w:ind w:left="3240" w:hanging="360"/>
      </w:pPr>
      <w:rPr>
        <w:rFonts w:ascii="Symbol" w:hAnsi="Symbol" w:hint="default"/>
      </w:rPr>
    </w:lvl>
    <w:lvl w:ilvl="4" w:tplc="04220019" w:tentative="1">
      <w:start w:val="1"/>
      <w:numFmt w:val="bullet"/>
      <w:lvlText w:val="o"/>
      <w:lvlJc w:val="left"/>
      <w:pPr>
        <w:ind w:left="3960" w:hanging="360"/>
      </w:pPr>
      <w:rPr>
        <w:rFonts w:ascii="Courier New" w:hAnsi="Courier New" w:cs="Courier New" w:hint="default"/>
      </w:rPr>
    </w:lvl>
    <w:lvl w:ilvl="5" w:tplc="0422001B" w:tentative="1">
      <w:start w:val="1"/>
      <w:numFmt w:val="bullet"/>
      <w:lvlText w:val=""/>
      <w:lvlJc w:val="left"/>
      <w:pPr>
        <w:ind w:left="4680" w:hanging="360"/>
      </w:pPr>
      <w:rPr>
        <w:rFonts w:ascii="Wingdings" w:hAnsi="Wingdings" w:hint="default"/>
      </w:rPr>
    </w:lvl>
    <w:lvl w:ilvl="6" w:tplc="0422000F" w:tentative="1">
      <w:start w:val="1"/>
      <w:numFmt w:val="bullet"/>
      <w:lvlText w:val=""/>
      <w:lvlJc w:val="left"/>
      <w:pPr>
        <w:ind w:left="5400" w:hanging="360"/>
      </w:pPr>
      <w:rPr>
        <w:rFonts w:ascii="Symbol" w:hAnsi="Symbol" w:hint="default"/>
      </w:rPr>
    </w:lvl>
    <w:lvl w:ilvl="7" w:tplc="04220019" w:tentative="1">
      <w:start w:val="1"/>
      <w:numFmt w:val="bullet"/>
      <w:lvlText w:val="o"/>
      <w:lvlJc w:val="left"/>
      <w:pPr>
        <w:ind w:left="6120" w:hanging="360"/>
      </w:pPr>
      <w:rPr>
        <w:rFonts w:ascii="Courier New" w:hAnsi="Courier New" w:cs="Courier New" w:hint="default"/>
      </w:rPr>
    </w:lvl>
    <w:lvl w:ilvl="8" w:tplc="0422001B" w:tentative="1">
      <w:start w:val="1"/>
      <w:numFmt w:val="bullet"/>
      <w:lvlText w:val=""/>
      <w:lvlJc w:val="left"/>
      <w:pPr>
        <w:ind w:left="6840" w:hanging="360"/>
      </w:pPr>
      <w:rPr>
        <w:rFonts w:ascii="Wingdings" w:hAnsi="Wingdings" w:hint="default"/>
      </w:rPr>
    </w:lvl>
  </w:abstractNum>
  <w:abstractNum w:abstractNumId="117" w15:restartNumberingAfterBreak="0">
    <w:nsid w:val="66D41986"/>
    <w:multiLevelType w:val="hybridMultilevel"/>
    <w:tmpl w:val="C21063E8"/>
    <w:lvl w:ilvl="0" w:tplc="E732FCB0">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67085A79"/>
    <w:multiLevelType w:val="hybridMultilevel"/>
    <w:tmpl w:val="EF1EE6F2"/>
    <w:lvl w:ilvl="0" w:tplc="0D12BDCE">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9" w15:restartNumberingAfterBreak="0">
    <w:nsid w:val="69733CA9"/>
    <w:multiLevelType w:val="multilevel"/>
    <w:tmpl w:val="C33A1E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15:restartNumberingAfterBreak="0">
    <w:nsid w:val="6A3F4209"/>
    <w:multiLevelType w:val="multilevel"/>
    <w:tmpl w:val="2ED89A48"/>
    <w:lvl w:ilvl="0">
      <w:start w:val="5"/>
      <w:numFmt w:val="bullet"/>
      <w:lvlText w:val="-"/>
      <w:lvlJc w:val="left"/>
      <w:pPr>
        <w:ind w:left="1068" w:hanging="360"/>
      </w:pPr>
      <w:rPr>
        <w:rFonts w:ascii="Times New Roman" w:eastAsia="Times New Roman" w:hAnsi="Times New Roman" w:cs="Times New Roman"/>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21" w15:restartNumberingAfterBreak="0">
    <w:nsid w:val="6AE3654C"/>
    <w:multiLevelType w:val="hybridMultilevel"/>
    <w:tmpl w:val="C1149ABA"/>
    <w:lvl w:ilvl="0" w:tplc="8C5665CA">
      <w:start w:val="1"/>
      <w:numFmt w:val="bullet"/>
      <w:lvlText w:val=""/>
      <w:lvlJc w:val="left"/>
      <w:pPr>
        <w:ind w:left="720" w:hanging="360"/>
      </w:pPr>
      <w:rPr>
        <w:rFonts w:ascii="Symbol" w:hAnsi="Symbol" w:hint="default"/>
      </w:rPr>
    </w:lvl>
    <w:lvl w:ilvl="1" w:tplc="84260D04" w:tentative="1">
      <w:start w:val="1"/>
      <w:numFmt w:val="bullet"/>
      <w:lvlText w:val="o"/>
      <w:lvlJc w:val="left"/>
      <w:pPr>
        <w:ind w:left="1440" w:hanging="360"/>
      </w:pPr>
      <w:rPr>
        <w:rFonts w:ascii="Courier New" w:hAnsi="Courier New" w:cs="Courier New" w:hint="default"/>
      </w:rPr>
    </w:lvl>
    <w:lvl w:ilvl="2" w:tplc="D478994E" w:tentative="1">
      <w:start w:val="1"/>
      <w:numFmt w:val="bullet"/>
      <w:lvlText w:val=""/>
      <w:lvlJc w:val="left"/>
      <w:pPr>
        <w:ind w:left="2160" w:hanging="360"/>
      </w:pPr>
      <w:rPr>
        <w:rFonts w:ascii="Wingdings" w:hAnsi="Wingdings" w:hint="default"/>
      </w:rPr>
    </w:lvl>
    <w:lvl w:ilvl="3" w:tplc="EE8C0D3A" w:tentative="1">
      <w:start w:val="1"/>
      <w:numFmt w:val="bullet"/>
      <w:lvlText w:val=""/>
      <w:lvlJc w:val="left"/>
      <w:pPr>
        <w:ind w:left="2880" w:hanging="360"/>
      </w:pPr>
      <w:rPr>
        <w:rFonts w:ascii="Symbol" w:hAnsi="Symbol" w:hint="default"/>
      </w:rPr>
    </w:lvl>
    <w:lvl w:ilvl="4" w:tplc="E3165F0E" w:tentative="1">
      <w:start w:val="1"/>
      <w:numFmt w:val="bullet"/>
      <w:lvlText w:val="o"/>
      <w:lvlJc w:val="left"/>
      <w:pPr>
        <w:ind w:left="3600" w:hanging="360"/>
      </w:pPr>
      <w:rPr>
        <w:rFonts w:ascii="Courier New" w:hAnsi="Courier New" w:cs="Courier New" w:hint="default"/>
      </w:rPr>
    </w:lvl>
    <w:lvl w:ilvl="5" w:tplc="2BE4138A" w:tentative="1">
      <w:start w:val="1"/>
      <w:numFmt w:val="bullet"/>
      <w:lvlText w:val=""/>
      <w:lvlJc w:val="left"/>
      <w:pPr>
        <w:ind w:left="4320" w:hanging="360"/>
      </w:pPr>
      <w:rPr>
        <w:rFonts w:ascii="Wingdings" w:hAnsi="Wingdings" w:hint="default"/>
      </w:rPr>
    </w:lvl>
    <w:lvl w:ilvl="6" w:tplc="081C597E" w:tentative="1">
      <w:start w:val="1"/>
      <w:numFmt w:val="bullet"/>
      <w:lvlText w:val=""/>
      <w:lvlJc w:val="left"/>
      <w:pPr>
        <w:ind w:left="5040" w:hanging="360"/>
      </w:pPr>
      <w:rPr>
        <w:rFonts w:ascii="Symbol" w:hAnsi="Symbol" w:hint="default"/>
      </w:rPr>
    </w:lvl>
    <w:lvl w:ilvl="7" w:tplc="A2901F96" w:tentative="1">
      <w:start w:val="1"/>
      <w:numFmt w:val="bullet"/>
      <w:lvlText w:val="o"/>
      <w:lvlJc w:val="left"/>
      <w:pPr>
        <w:ind w:left="5760" w:hanging="360"/>
      </w:pPr>
      <w:rPr>
        <w:rFonts w:ascii="Courier New" w:hAnsi="Courier New" w:cs="Courier New" w:hint="default"/>
      </w:rPr>
    </w:lvl>
    <w:lvl w:ilvl="8" w:tplc="312259B0" w:tentative="1">
      <w:start w:val="1"/>
      <w:numFmt w:val="bullet"/>
      <w:lvlText w:val=""/>
      <w:lvlJc w:val="left"/>
      <w:pPr>
        <w:ind w:left="6480" w:hanging="360"/>
      </w:pPr>
      <w:rPr>
        <w:rFonts w:ascii="Wingdings" w:hAnsi="Wingdings" w:hint="default"/>
      </w:rPr>
    </w:lvl>
  </w:abstractNum>
  <w:abstractNum w:abstractNumId="122" w15:restartNumberingAfterBreak="0">
    <w:nsid w:val="6C12368A"/>
    <w:multiLevelType w:val="hybridMultilevel"/>
    <w:tmpl w:val="F6386044"/>
    <w:lvl w:ilvl="0" w:tplc="04220001">
      <w:start w:val="1"/>
      <w:numFmt w:val="decimal"/>
      <w:lvlText w:val="%1."/>
      <w:lvlJc w:val="left"/>
      <w:pPr>
        <w:ind w:left="441" w:hanging="360"/>
      </w:pPr>
      <w:rPr>
        <w:rFonts w:hint="default"/>
      </w:rPr>
    </w:lvl>
    <w:lvl w:ilvl="1" w:tplc="04220003" w:tentative="1">
      <w:start w:val="1"/>
      <w:numFmt w:val="lowerLetter"/>
      <w:lvlText w:val="%2."/>
      <w:lvlJc w:val="left"/>
      <w:pPr>
        <w:ind w:left="1161" w:hanging="360"/>
      </w:pPr>
    </w:lvl>
    <w:lvl w:ilvl="2" w:tplc="04220005" w:tentative="1">
      <w:start w:val="1"/>
      <w:numFmt w:val="lowerRoman"/>
      <w:lvlText w:val="%3."/>
      <w:lvlJc w:val="right"/>
      <w:pPr>
        <w:ind w:left="1881" w:hanging="180"/>
      </w:pPr>
    </w:lvl>
    <w:lvl w:ilvl="3" w:tplc="04220001" w:tentative="1">
      <w:start w:val="1"/>
      <w:numFmt w:val="decimal"/>
      <w:lvlText w:val="%4."/>
      <w:lvlJc w:val="left"/>
      <w:pPr>
        <w:ind w:left="2601" w:hanging="360"/>
      </w:pPr>
    </w:lvl>
    <w:lvl w:ilvl="4" w:tplc="04220003" w:tentative="1">
      <w:start w:val="1"/>
      <w:numFmt w:val="lowerLetter"/>
      <w:lvlText w:val="%5."/>
      <w:lvlJc w:val="left"/>
      <w:pPr>
        <w:ind w:left="3321" w:hanging="360"/>
      </w:pPr>
    </w:lvl>
    <w:lvl w:ilvl="5" w:tplc="04220005" w:tentative="1">
      <w:start w:val="1"/>
      <w:numFmt w:val="lowerRoman"/>
      <w:lvlText w:val="%6."/>
      <w:lvlJc w:val="right"/>
      <w:pPr>
        <w:ind w:left="4041" w:hanging="180"/>
      </w:pPr>
    </w:lvl>
    <w:lvl w:ilvl="6" w:tplc="04220001" w:tentative="1">
      <w:start w:val="1"/>
      <w:numFmt w:val="decimal"/>
      <w:lvlText w:val="%7."/>
      <w:lvlJc w:val="left"/>
      <w:pPr>
        <w:ind w:left="4761" w:hanging="360"/>
      </w:pPr>
    </w:lvl>
    <w:lvl w:ilvl="7" w:tplc="04220003" w:tentative="1">
      <w:start w:val="1"/>
      <w:numFmt w:val="lowerLetter"/>
      <w:lvlText w:val="%8."/>
      <w:lvlJc w:val="left"/>
      <w:pPr>
        <w:ind w:left="5481" w:hanging="360"/>
      </w:pPr>
    </w:lvl>
    <w:lvl w:ilvl="8" w:tplc="04220005" w:tentative="1">
      <w:start w:val="1"/>
      <w:numFmt w:val="lowerRoman"/>
      <w:lvlText w:val="%9."/>
      <w:lvlJc w:val="right"/>
      <w:pPr>
        <w:ind w:left="6201" w:hanging="180"/>
      </w:pPr>
    </w:lvl>
  </w:abstractNum>
  <w:abstractNum w:abstractNumId="123" w15:restartNumberingAfterBreak="0">
    <w:nsid w:val="6F403CA4"/>
    <w:multiLevelType w:val="hybridMultilevel"/>
    <w:tmpl w:val="1F44EE9A"/>
    <w:lvl w:ilvl="0" w:tplc="7AA0ECDA">
      <w:start w:val="5"/>
      <w:numFmt w:val="bullet"/>
      <w:lvlText w:val="-"/>
      <w:lvlJc w:val="left"/>
      <w:pPr>
        <w:ind w:left="715" w:hanging="360"/>
      </w:pPr>
      <w:rPr>
        <w:rFonts w:ascii="Times New Roman" w:eastAsia="Times New Roman" w:hAnsi="Times New Roman" w:cs="Times New Roman" w:hint="default"/>
      </w:rPr>
    </w:lvl>
    <w:lvl w:ilvl="1" w:tplc="20000019" w:tentative="1">
      <w:start w:val="1"/>
      <w:numFmt w:val="bullet"/>
      <w:lvlText w:val="o"/>
      <w:lvlJc w:val="left"/>
      <w:pPr>
        <w:ind w:left="1435" w:hanging="360"/>
      </w:pPr>
      <w:rPr>
        <w:rFonts w:ascii="Courier New" w:hAnsi="Courier New" w:cs="Courier New" w:hint="default"/>
      </w:rPr>
    </w:lvl>
    <w:lvl w:ilvl="2" w:tplc="2000001B" w:tentative="1">
      <w:start w:val="1"/>
      <w:numFmt w:val="bullet"/>
      <w:lvlText w:val=""/>
      <w:lvlJc w:val="left"/>
      <w:pPr>
        <w:ind w:left="2155" w:hanging="360"/>
      </w:pPr>
      <w:rPr>
        <w:rFonts w:ascii="Wingdings" w:hAnsi="Wingdings" w:hint="default"/>
      </w:rPr>
    </w:lvl>
    <w:lvl w:ilvl="3" w:tplc="2000000F" w:tentative="1">
      <w:start w:val="1"/>
      <w:numFmt w:val="bullet"/>
      <w:lvlText w:val=""/>
      <w:lvlJc w:val="left"/>
      <w:pPr>
        <w:ind w:left="2875" w:hanging="360"/>
      </w:pPr>
      <w:rPr>
        <w:rFonts w:ascii="Symbol" w:hAnsi="Symbol" w:hint="default"/>
      </w:rPr>
    </w:lvl>
    <w:lvl w:ilvl="4" w:tplc="20000019" w:tentative="1">
      <w:start w:val="1"/>
      <w:numFmt w:val="bullet"/>
      <w:lvlText w:val="o"/>
      <w:lvlJc w:val="left"/>
      <w:pPr>
        <w:ind w:left="3595" w:hanging="360"/>
      </w:pPr>
      <w:rPr>
        <w:rFonts w:ascii="Courier New" w:hAnsi="Courier New" w:cs="Courier New" w:hint="default"/>
      </w:rPr>
    </w:lvl>
    <w:lvl w:ilvl="5" w:tplc="2000001B" w:tentative="1">
      <w:start w:val="1"/>
      <w:numFmt w:val="bullet"/>
      <w:lvlText w:val=""/>
      <w:lvlJc w:val="left"/>
      <w:pPr>
        <w:ind w:left="4315" w:hanging="360"/>
      </w:pPr>
      <w:rPr>
        <w:rFonts w:ascii="Wingdings" w:hAnsi="Wingdings" w:hint="default"/>
      </w:rPr>
    </w:lvl>
    <w:lvl w:ilvl="6" w:tplc="2000000F" w:tentative="1">
      <w:start w:val="1"/>
      <w:numFmt w:val="bullet"/>
      <w:lvlText w:val=""/>
      <w:lvlJc w:val="left"/>
      <w:pPr>
        <w:ind w:left="5035" w:hanging="360"/>
      </w:pPr>
      <w:rPr>
        <w:rFonts w:ascii="Symbol" w:hAnsi="Symbol" w:hint="default"/>
      </w:rPr>
    </w:lvl>
    <w:lvl w:ilvl="7" w:tplc="20000019" w:tentative="1">
      <w:start w:val="1"/>
      <w:numFmt w:val="bullet"/>
      <w:lvlText w:val="o"/>
      <w:lvlJc w:val="left"/>
      <w:pPr>
        <w:ind w:left="5755" w:hanging="360"/>
      </w:pPr>
      <w:rPr>
        <w:rFonts w:ascii="Courier New" w:hAnsi="Courier New" w:cs="Courier New" w:hint="default"/>
      </w:rPr>
    </w:lvl>
    <w:lvl w:ilvl="8" w:tplc="2000001B" w:tentative="1">
      <w:start w:val="1"/>
      <w:numFmt w:val="bullet"/>
      <w:lvlText w:val=""/>
      <w:lvlJc w:val="left"/>
      <w:pPr>
        <w:ind w:left="6475" w:hanging="360"/>
      </w:pPr>
      <w:rPr>
        <w:rFonts w:ascii="Wingdings" w:hAnsi="Wingdings" w:hint="default"/>
      </w:rPr>
    </w:lvl>
  </w:abstractNum>
  <w:abstractNum w:abstractNumId="124" w15:restartNumberingAfterBreak="0">
    <w:nsid w:val="6FFB32C9"/>
    <w:multiLevelType w:val="hybridMultilevel"/>
    <w:tmpl w:val="12129EE6"/>
    <w:lvl w:ilvl="0" w:tplc="62802CC0">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705C468F"/>
    <w:multiLevelType w:val="hybridMultilevel"/>
    <w:tmpl w:val="3774B980"/>
    <w:lvl w:ilvl="0" w:tplc="2584C174">
      <w:start w:val="1"/>
      <w:numFmt w:val="bullet"/>
      <w:lvlText w:val=""/>
      <w:lvlJc w:val="left"/>
      <w:pPr>
        <w:ind w:left="1473" w:hanging="360"/>
      </w:pPr>
      <w:rPr>
        <w:rFonts w:ascii="Symbol" w:hAnsi="Symbol" w:hint="default"/>
      </w:rPr>
    </w:lvl>
    <w:lvl w:ilvl="1" w:tplc="04220003" w:tentative="1">
      <w:start w:val="1"/>
      <w:numFmt w:val="bullet"/>
      <w:lvlText w:val="o"/>
      <w:lvlJc w:val="left"/>
      <w:pPr>
        <w:ind w:left="2193" w:hanging="360"/>
      </w:pPr>
      <w:rPr>
        <w:rFonts w:ascii="Courier New" w:hAnsi="Courier New" w:cs="Courier New" w:hint="default"/>
      </w:rPr>
    </w:lvl>
    <w:lvl w:ilvl="2" w:tplc="04220005" w:tentative="1">
      <w:start w:val="1"/>
      <w:numFmt w:val="bullet"/>
      <w:lvlText w:val=""/>
      <w:lvlJc w:val="left"/>
      <w:pPr>
        <w:ind w:left="2913" w:hanging="360"/>
      </w:pPr>
      <w:rPr>
        <w:rFonts w:ascii="Wingdings" w:hAnsi="Wingdings" w:hint="default"/>
      </w:rPr>
    </w:lvl>
    <w:lvl w:ilvl="3" w:tplc="04220001" w:tentative="1">
      <w:start w:val="1"/>
      <w:numFmt w:val="bullet"/>
      <w:lvlText w:val=""/>
      <w:lvlJc w:val="left"/>
      <w:pPr>
        <w:ind w:left="3633" w:hanging="360"/>
      </w:pPr>
      <w:rPr>
        <w:rFonts w:ascii="Symbol" w:hAnsi="Symbol" w:hint="default"/>
      </w:rPr>
    </w:lvl>
    <w:lvl w:ilvl="4" w:tplc="04220003" w:tentative="1">
      <w:start w:val="1"/>
      <w:numFmt w:val="bullet"/>
      <w:lvlText w:val="o"/>
      <w:lvlJc w:val="left"/>
      <w:pPr>
        <w:ind w:left="4353" w:hanging="360"/>
      </w:pPr>
      <w:rPr>
        <w:rFonts w:ascii="Courier New" w:hAnsi="Courier New" w:cs="Courier New" w:hint="default"/>
      </w:rPr>
    </w:lvl>
    <w:lvl w:ilvl="5" w:tplc="04220005" w:tentative="1">
      <w:start w:val="1"/>
      <w:numFmt w:val="bullet"/>
      <w:lvlText w:val=""/>
      <w:lvlJc w:val="left"/>
      <w:pPr>
        <w:ind w:left="5073" w:hanging="360"/>
      </w:pPr>
      <w:rPr>
        <w:rFonts w:ascii="Wingdings" w:hAnsi="Wingdings" w:hint="default"/>
      </w:rPr>
    </w:lvl>
    <w:lvl w:ilvl="6" w:tplc="04220001" w:tentative="1">
      <w:start w:val="1"/>
      <w:numFmt w:val="bullet"/>
      <w:lvlText w:val=""/>
      <w:lvlJc w:val="left"/>
      <w:pPr>
        <w:ind w:left="5793" w:hanging="360"/>
      </w:pPr>
      <w:rPr>
        <w:rFonts w:ascii="Symbol" w:hAnsi="Symbol" w:hint="default"/>
      </w:rPr>
    </w:lvl>
    <w:lvl w:ilvl="7" w:tplc="04220003" w:tentative="1">
      <w:start w:val="1"/>
      <w:numFmt w:val="bullet"/>
      <w:lvlText w:val="o"/>
      <w:lvlJc w:val="left"/>
      <w:pPr>
        <w:ind w:left="6513" w:hanging="360"/>
      </w:pPr>
      <w:rPr>
        <w:rFonts w:ascii="Courier New" w:hAnsi="Courier New" w:cs="Courier New" w:hint="default"/>
      </w:rPr>
    </w:lvl>
    <w:lvl w:ilvl="8" w:tplc="04220005" w:tentative="1">
      <w:start w:val="1"/>
      <w:numFmt w:val="bullet"/>
      <w:lvlText w:val=""/>
      <w:lvlJc w:val="left"/>
      <w:pPr>
        <w:ind w:left="7233" w:hanging="360"/>
      </w:pPr>
      <w:rPr>
        <w:rFonts w:ascii="Wingdings" w:hAnsi="Wingdings" w:hint="default"/>
      </w:rPr>
    </w:lvl>
  </w:abstractNum>
  <w:abstractNum w:abstractNumId="126" w15:restartNumberingAfterBreak="0">
    <w:nsid w:val="706E0266"/>
    <w:multiLevelType w:val="hybridMultilevel"/>
    <w:tmpl w:val="638A2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718D7E2A"/>
    <w:multiLevelType w:val="hybridMultilevel"/>
    <w:tmpl w:val="B45E0288"/>
    <w:lvl w:ilvl="0" w:tplc="04190001">
      <w:start w:val="1"/>
      <w:numFmt w:val="bullet"/>
      <w:lvlText w:val=""/>
      <w:lvlJc w:val="left"/>
      <w:pPr>
        <w:ind w:left="2628" w:hanging="360"/>
      </w:pPr>
      <w:rPr>
        <w:rFonts w:ascii="Symbol" w:hAnsi="Symbol" w:hint="default"/>
      </w:rPr>
    </w:lvl>
    <w:lvl w:ilvl="1" w:tplc="04190003" w:tentative="1">
      <w:start w:val="1"/>
      <w:numFmt w:val="bullet"/>
      <w:lvlText w:val="o"/>
      <w:lvlJc w:val="left"/>
      <w:pPr>
        <w:ind w:left="1489" w:hanging="360"/>
      </w:pPr>
      <w:rPr>
        <w:rFonts w:ascii="Courier New" w:hAnsi="Courier New" w:cs="Courier New" w:hint="default"/>
      </w:rPr>
    </w:lvl>
    <w:lvl w:ilvl="2" w:tplc="04190005" w:tentative="1">
      <w:start w:val="1"/>
      <w:numFmt w:val="bullet"/>
      <w:lvlText w:val=""/>
      <w:lvlJc w:val="left"/>
      <w:pPr>
        <w:ind w:left="2209" w:hanging="360"/>
      </w:pPr>
      <w:rPr>
        <w:rFonts w:ascii="Wingdings" w:hAnsi="Wingdings" w:hint="default"/>
      </w:rPr>
    </w:lvl>
    <w:lvl w:ilvl="3" w:tplc="04190001" w:tentative="1">
      <w:start w:val="1"/>
      <w:numFmt w:val="bullet"/>
      <w:lvlText w:val=""/>
      <w:lvlJc w:val="left"/>
      <w:pPr>
        <w:ind w:left="2929" w:hanging="360"/>
      </w:pPr>
      <w:rPr>
        <w:rFonts w:ascii="Symbol" w:hAnsi="Symbol" w:hint="default"/>
      </w:rPr>
    </w:lvl>
    <w:lvl w:ilvl="4" w:tplc="04190003" w:tentative="1">
      <w:start w:val="1"/>
      <w:numFmt w:val="bullet"/>
      <w:lvlText w:val="o"/>
      <w:lvlJc w:val="left"/>
      <w:pPr>
        <w:ind w:left="3649" w:hanging="360"/>
      </w:pPr>
      <w:rPr>
        <w:rFonts w:ascii="Courier New" w:hAnsi="Courier New" w:cs="Courier New" w:hint="default"/>
      </w:rPr>
    </w:lvl>
    <w:lvl w:ilvl="5" w:tplc="04190005" w:tentative="1">
      <w:start w:val="1"/>
      <w:numFmt w:val="bullet"/>
      <w:lvlText w:val=""/>
      <w:lvlJc w:val="left"/>
      <w:pPr>
        <w:ind w:left="4369" w:hanging="360"/>
      </w:pPr>
      <w:rPr>
        <w:rFonts w:ascii="Wingdings" w:hAnsi="Wingdings" w:hint="default"/>
      </w:rPr>
    </w:lvl>
    <w:lvl w:ilvl="6" w:tplc="04190001" w:tentative="1">
      <w:start w:val="1"/>
      <w:numFmt w:val="bullet"/>
      <w:lvlText w:val=""/>
      <w:lvlJc w:val="left"/>
      <w:pPr>
        <w:ind w:left="5089" w:hanging="360"/>
      </w:pPr>
      <w:rPr>
        <w:rFonts w:ascii="Symbol" w:hAnsi="Symbol" w:hint="default"/>
      </w:rPr>
    </w:lvl>
    <w:lvl w:ilvl="7" w:tplc="04190003" w:tentative="1">
      <w:start w:val="1"/>
      <w:numFmt w:val="bullet"/>
      <w:lvlText w:val="o"/>
      <w:lvlJc w:val="left"/>
      <w:pPr>
        <w:ind w:left="5809" w:hanging="360"/>
      </w:pPr>
      <w:rPr>
        <w:rFonts w:ascii="Courier New" w:hAnsi="Courier New" w:cs="Courier New" w:hint="default"/>
      </w:rPr>
    </w:lvl>
    <w:lvl w:ilvl="8" w:tplc="04190005" w:tentative="1">
      <w:start w:val="1"/>
      <w:numFmt w:val="bullet"/>
      <w:lvlText w:val=""/>
      <w:lvlJc w:val="left"/>
      <w:pPr>
        <w:ind w:left="6529" w:hanging="360"/>
      </w:pPr>
      <w:rPr>
        <w:rFonts w:ascii="Wingdings" w:hAnsi="Wingdings" w:hint="default"/>
      </w:rPr>
    </w:lvl>
  </w:abstractNum>
  <w:abstractNum w:abstractNumId="128" w15:restartNumberingAfterBreak="0">
    <w:nsid w:val="72074731"/>
    <w:multiLevelType w:val="hybridMultilevel"/>
    <w:tmpl w:val="5FBC14BC"/>
    <w:lvl w:ilvl="0" w:tplc="04090001">
      <w:start w:val="7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31110B6"/>
    <w:multiLevelType w:val="hybridMultilevel"/>
    <w:tmpl w:val="6C3CA3EE"/>
    <w:lvl w:ilvl="0" w:tplc="2B4A38A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74DE30B0"/>
    <w:multiLevelType w:val="hybridMultilevel"/>
    <w:tmpl w:val="666E1E9C"/>
    <w:lvl w:ilvl="0" w:tplc="E3D64CEC">
      <w:start w:val="30"/>
      <w:numFmt w:val="bullet"/>
      <w:lvlText w:val="-"/>
      <w:lvlJc w:val="left"/>
      <w:pPr>
        <w:ind w:left="252" w:hanging="360"/>
      </w:pPr>
      <w:rPr>
        <w:rFonts w:ascii="Times New Roman" w:eastAsia="Times New Roman" w:hAnsi="Times New Roman" w:cs="Times New Roman" w:hint="default"/>
      </w:rPr>
    </w:lvl>
    <w:lvl w:ilvl="1" w:tplc="04190003" w:tentative="1">
      <w:start w:val="1"/>
      <w:numFmt w:val="bullet"/>
      <w:lvlText w:val="o"/>
      <w:lvlJc w:val="left"/>
      <w:pPr>
        <w:ind w:left="972" w:hanging="360"/>
      </w:pPr>
      <w:rPr>
        <w:rFonts w:ascii="Courier New" w:hAnsi="Courier New" w:cs="Courier New" w:hint="default"/>
      </w:rPr>
    </w:lvl>
    <w:lvl w:ilvl="2" w:tplc="04190005" w:tentative="1">
      <w:start w:val="1"/>
      <w:numFmt w:val="bullet"/>
      <w:lvlText w:val=""/>
      <w:lvlJc w:val="left"/>
      <w:pPr>
        <w:ind w:left="1692" w:hanging="360"/>
      </w:pPr>
      <w:rPr>
        <w:rFonts w:ascii="Wingdings" w:hAnsi="Wingdings" w:hint="default"/>
      </w:rPr>
    </w:lvl>
    <w:lvl w:ilvl="3" w:tplc="04190001" w:tentative="1">
      <w:start w:val="1"/>
      <w:numFmt w:val="bullet"/>
      <w:lvlText w:val=""/>
      <w:lvlJc w:val="left"/>
      <w:pPr>
        <w:ind w:left="2412" w:hanging="360"/>
      </w:pPr>
      <w:rPr>
        <w:rFonts w:ascii="Symbol" w:hAnsi="Symbol" w:hint="default"/>
      </w:rPr>
    </w:lvl>
    <w:lvl w:ilvl="4" w:tplc="04190003" w:tentative="1">
      <w:start w:val="1"/>
      <w:numFmt w:val="bullet"/>
      <w:lvlText w:val="o"/>
      <w:lvlJc w:val="left"/>
      <w:pPr>
        <w:ind w:left="3132" w:hanging="360"/>
      </w:pPr>
      <w:rPr>
        <w:rFonts w:ascii="Courier New" w:hAnsi="Courier New" w:cs="Courier New" w:hint="default"/>
      </w:rPr>
    </w:lvl>
    <w:lvl w:ilvl="5" w:tplc="04190005" w:tentative="1">
      <w:start w:val="1"/>
      <w:numFmt w:val="bullet"/>
      <w:lvlText w:val=""/>
      <w:lvlJc w:val="left"/>
      <w:pPr>
        <w:ind w:left="3852" w:hanging="360"/>
      </w:pPr>
      <w:rPr>
        <w:rFonts w:ascii="Wingdings" w:hAnsi="Wingdings" w:hint="default"/>
      </w:rPr>
    </w:lvl>
    <w:lvl w:ilvl="6" w:tplc="04190001" w:tentative="1">
      <w:start w:val="1"/>
      <w:numFmt w:val="bullet"/>
      <w:lvlText w:val=""/>
      <w:lvlJc w:val="left"/>
      <w:pPr>
        <w:ind w:left="4572" w:hanging="360"/>
      </w:pPr>
      <w:rPr>
        <w:rFonts w:ascii="Symbol" w:hAnsi="Symbol" w:hint="default"/>
      </w:rPr>
    </w:lvl>
    <w:lvl w:ilvl="7" w:tplc="04190003" w:tentative="1">
      <w:start w:val="1"/>
      <w:numFmt w:val="bullet"/>
      <w:lvlText w:val="o"/>
      <w:lvlJc w:val="left"/>
      <w:pPr>
        <w:ind w:left="5292" w:hanging="360"/>
      </w:pPr>
      <w:rPr>
        <w:rFonts w:ascii="Courier New" w:hAnsi="Courier New" w:cs="Courier New" w:hint="default"/>
      </w:rPr>
    </w:lvl>
    <w:lvl w:ilvl="8" w:tplc="04190005" w:tentative="1">
      <w:start w:val="1"/>
      <w:numFmt w:val="bullet"/>
      <w:lvlText w:val=""/>
      <w:lvlJc w:val="left"/>
      <w:pPr>
        <w:ind w:left="6012" w:hanging="360"/>
      </w:pPr>
      <w:rPr>
        <w:rFonts w:ascii="Wingdings" w:hAnsi="Wingdings" w:hint="default"/>
      </w:rPr>
    </w:lvl>
  </w:abstractNum>
  <w:abstractNum w:abstractNumId="131" w15:restartNumberingAfterBreak="0">
    <w:nsid w:val="764D4424"/>
    <w:multiLevelType w:val="hybridMultilevel"/>
    <w:tmpl w:val="A5C85A34"/>
    <w:lvl w:ilvl="0" w:tplc="AD6CA0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765452D9"/>
    <w:multiLevelType w:val="hybridMultilevel"/>
    <w:tmpl w:val="4440DAB2"/>
    <w:lvl w:ilvl="0" w:tplc="04090001">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7BA5984"/>
    <w:multiLevelType w:val="hybridMultilevel"/>
    <w:tmpl w:val="D1CC34B8"/>
    <w:lvl w:ilvl="0" w:tplc="0D12BDC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7ADF218C"/>
    <w:multiLevelType w:val="hybridMultilevel"/>
    <w:tmpl w:val="ECD2DB0E"/>
    <w:lvl w:ilvl="0" w:tplc="2034CA02">
      <w:numFmt w:val="bullet"/>
      <w:lvlText w:val="-"/>
      <w:lvlJc w:val="left"/>
      <w:pPr>
        <w:ind w:left="446" w:hanging="360"/>
      </w:pPr>
      <w:rPr>
        <w:rFonts w:ascii="Times New Roman" w:eastAsia="Times New Roman" w:hAnsi="Times New Roman" w:cs="Times New Roman" w:hint="default"/>
      </w:rPr>
    </w:lvl>
    <w:lvl w:ilvl="1" w:tplc="04190003" w:tentative="1">
      <w:start w:val="1"/>
      <w:numFmt w:val="bullet"/>
      <w:lvlText w:val="o"/>
      <w:lvlJc w:val="left"/>
      <w:pPr>
        <w:ind w:left="1166" w:hanging="360"/>
      </w:pPr>
      <w:rPr>
        <w:rFonts w:ascii="Courier New" w:hAnsi="Courier New" w:cs="Courier New" w:hint="default"/>
      </w:rPr>
    </w:lvl>
    <w:lvl w:ilvl="2" w:tplc="04190005" w:tentative="1">
      <w:start w:val="1"/>
      <w:numFmt w:val="bullet"/>
      <w:lvlText w:val=""/>
      <w:lvlJc w:val="left"/>
      <w:pPr>
        <w:ind w:left="1886" w:hanging="360"/>
      </w:pPr>
      <w:rPr>
        <w:rFonts w:ascii="Wingdings" w:hAnsi="Wingdings" w:hint="default"/>
      </w:rPr>
    </w:lvl>
    <w:lvl w:ilvl="3" w:tplc="04190001" w:tentative="1">
      <w:start w:val="1"/>
      <w:numFmt w:val="bullet"/>
      <w:lvlText w:val=""/>
      <w:lvlJc w:val="left"/>
      <w:pPr>
        <w:ind w:left="2606" w:hanging="360"/>
      </w:pPr>
      <w:rPr>
        <w:rFonts w:ascii="Symbol" w:hAnsi="Symbol" w:hint="default"/>
      </w:rPr>
    </w:lvl>
    <w:lvl w:ilvl="4" w:tplc="04190003" w:tentative="1">
      <w:start w:val="1"/>
      <w:numFmt w:val="bullet"/>
      <w:lvlText w:val="o"/>
      <w:lvlJc w:val="left"/>
      <w:pPr>
        <w:ind w:left="3326" w:hanging="360"/>
      </w:pPr>
      <w:rPr>
        <w:rFonts w:ascii="Courier New" w:hAnsi="Courier New" w:cs="Courier New" w:hint="default"/>
      </w:rPr>
    </w:lvl>
    <w:lvl w:ilvl="5" w:tplc="04190005" w:tentative="1">
      <w:start w:val="1"/>
      <w:numFmt w:val="bullet"/>
      <w:lvlText w:val=""/>
      <w:lvlJc w:val="left"/>
      <w:pPr>
        <w:ind w:left="4046" w:hanging="360"/>
      </w:pPr>
      <w:rPr>
        <w:rFonts w:ascii="Wingdings" w:hAnsi="Wingdings" w:hint="default"/>
      </w:rPr>
    </w:lvl>
    <w:lvl w:ilvl="6" w:tplc="04190001" w:tentative="1">
      <w:start w:val="1"/>
      <w:numFmt w:val="bullet"/>
      <w:lvlText w:val=""/>
      <w:lvlJc w:val="left"/>
      <w:pPr>
        <w:ind w:left="4766" w:hanging="360"/>
      </w:pPr>
      <w:rPr>
        <w:rFonts w:ascii="Symbol" w:hAnsi="Symbol" w:hint="default"/>
      </w:rPr>
    </w:lvl>
    <w:lvl w:ilvl="7" w:tplc="04190003" w:tentative="1">
      <w:start w:val="1"/>
      <w:numFmt w:val="bullet"/>
      <w:lvlText w:val="o"/>
      <w:lvlJc w:val="left"/>
      <w:pPr>
        <w:ind w:left="5486" w:hanging="360"/>
      </w:pPr>
      <w:rPr>
        <w:rFonts w:ascii="Courier New" w:hAnsi="Courier New" w:cs="Courier New" w:hint="default"/>
      </w:rPr>
    </w:lvl>
    <w:lvl w:ilvl="8" w:tplc="04190005" w:tentative="1">
      <w:start w:val="1"/>
      <w:numFmt w:val="bullet"/>
      <w:lvlText w:val=""/>
      <w:lvlJc w:val="left"/>
      <w:pPr>
        <w:ind w:left="6206" w:hanging="360"/>
      </w:pPr>
      <w:rPr>
        <w:rFonts w:ascii="Wingdings" w:hAnsi="Wingdings" w:hint="default"/>
      </w:rPr>
    </w:lvl>
  </w:abstractNum>
  <w:abstractNum w:abstractNumId="135" w15:restartNumberingAfterBreak="0">
    <w:nsid w:val="7BB9445F"/>
    <w:multiLevelType w:val="hybridMultilevel"/>
    <w:tmpl w:val="8948FEFE"/>
    <w:lvl w:ilvl="0" w:tplc="5ACA6898">
      <w:start w:val="5"/>
      <w:numFmt w:val="bullet"/>
      <w:lvlText w:val="-"/>
      <w:lvlJc w:val="left"/>
      <w:pPr>
        <w:ind w:left="720" w:hanging="360"/>
      </w:pPr>
      <w:rPr>
        <w:rFonts w:ascii="Calibri" w:eastAsia="Times New Roman"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6" w15:restartNumberingAfterBreak="0">
    <w:nsid w:val="7CD31144"/>
    <w:multiLevelType w:val="hybridMultilevel"/>
    <w:tmpl w:val="2252FE3C"/>
    <w:lvl w:ilvl="0" w:tplc="F23229D8">
      <w:start w:val="3"/>
      <w:numFmt w:val="bullet"/>
      <w:lvlText w:val="-"/>
      <w:lvlJc w:val="left"/>
      <w:pPr>
        <w:ind w:left="720" w:hanging="360"/>
      </w:pPr>
      <w:rPr>
        <w:rFonts w:ascii="Times New Roman" w:eastAsia="Aria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7D8358DE"/>
    <w:multiLevelType w:val="hybridMultilevel"/>
    <w:tmpl w:val="5CF0D1B0"/>
    <w:lvl w:ilvl="0" w:tplc="05328B86">
      <w:start w:val="7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7D957E96"/>
    <w:multiLevelType w:val="hybridMultilevel"/>
    <w:tmpl w:val="A87E82C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7E956E62"/>
    <w:multiLevelType w:val="hybridMultilevel"/>
    <w:tmpl w:val="7A8254EE"/>
    <w:lvl w:ilvl="0" w:tplc="49304C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F037A0A"/>
    <w:multiLevelType w:val="hybridMultilevel"/>
    <w:tmpl w:val="B11E45A8"/>
    <w:lvl w:ilvl="0" w:tplc="04190001">
      <w:numFmt w:val="bullet"/>
      <w:lvlText w:val="-"/>
      <w:lvlJc w:val="left"/>
      <w:pPr>
        <w:ind w:left="720" w:hanging="360"/>
      </w:pPr>
      <w:rPr>
        <w:rFonts w:ascii="Calibri" w:eastAsia="Calibr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abstractNumId w:val="83"/>
  </w:num>
  <w:num w:numId="2">
    <w:abstractNumId w:val="31"/>
  </w:num>
  <w:num w:numId="3">
    <w:abstractNumId w:val="55"/>
  </w:num>
  <w:num w:numId="4">
    <w:abstractNumId w:val="111"/>
  </w:num>
  <w:num w:numId="5">
    <w:abstractNumId w:val="51"/>
  </w:num>
  <w:num w:numId="6">
    <w:abstractNumId w:val="4"/>
  </w:num>
  <w:num w:numId="7">
    <w:abstractNumId w:val="121"/>
  </w:num>
  <w:num w:numId="8">
    <w:abstractNumId w:val="47"/>
  </w:num>
  <w:num w:numId="9">
    <w:abstractNumId w:val="49"/>
  </w:num>
  <w:num w:numId="10">
    <w:abstractNumId w:val="98"/>
  </w:num>
  <w:num w:numId="11">
    <w:abstractNumId w:val="117"/>
  </w:num>
  <w:num w:numId="12">
    <w:abstractNumId w:val="120"/>
  </w:num>
  <w:num w:numId="13">
    <w:abstractNumId w:val="19"/>
  </w:num>
  <w:num w:numId="14">
    <w:abstractNumId w:val="64"/>
  </w:num>
  <w:num w:numId="15">
    <w:abstractNumId w:val="85"/>
  </w:num>
  <w:num w:numId="16">
    <w:abstractNumId w:val="93"/>
  </w:num>
  <w:num w:numId="17">
    <w:abstractNumId w:val="35"/>
  </w:num>
  <w:num w:numId="18">
    <w:abstractNumId w:val="38"/>
  </w:num>
  <w:num w:numId="19">
    <w:abstractNumId w:val="129"/>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3"/>
  </w:num>
  <w:num w:numId="22">
    <w:abstractNumId w:val="53"/>
  </w:num>
  <w:num w:numId="23">
    <w:abstractNumId w:val="16"/>
  </w:num>
  <w:num w:numId="24">
    <w:abstractNumId w:val="74"/>
  </w:num>
  <w:num w:numId="25">
    <w:abstractNumId w:val="27"/>
  </w:num>
  <w:num w:numId="26">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8"/>
  </w:num>
  <w:num w:numId="28">
    <w:abstractNumId w:val="76"/>
  </w:num>
  <w:num w:numId="29">
    <w:abstractNumId w:val="132"/>
  </w:num>
  <w:num w:numId="30">
    <w:abstractNumId w:val="81"/>
  </w:num>
  <w:num w:numId="31">
    <w:abstractNumId w:val="66"/>
  </w:num>
  <w:num w:numId="32">
    <w:abstractNumId w:val="22"/>
  </w:num>
  <w:num w:numId="33">
    <w:abstractNumId w:val="11"/>
  </w:num>
  <w:num w:numId="34">
    <w:abstractNumId w:val="39"/>
  </w:num>
  <w:num w:numId="35">
    <w:abstractNumId w:val="70"/>
  </w:num>
  <w:num w:numId="36">
    <w:abstractNumId w:val="106"/>
  </w:num>
  <w:num w:numId="37">
    <w:abstractNumId w:val="107"/>
  </w:num>
  <w:num w:numId="38">
    <w:abstractNumId w:val="104"/>
  </w:num>
  <w:num w:numId="39">
    <w:abstractNumId w:val="40"/>
  </w:num>
  <w:num w:numId="40">
    <w:abstractNumId w:val="15"/>
  </w:num>
  <w:num w:numId="41">
    <w:abstractNumId w:val="136"/>
  </w:num>
  <w:num w:numId="42">
    <w:abstractNumId w:val="20"/>
  </w:num>
  <w:num w:numId="43">
    <w:abstractNumId w:val="127"/>
  </w:num>
  <w:num w:numId="44">
    <w:abstractNumId w:val="131"/>
  </w:num>
  <w:num w:numId="45">
    <w:abstractNumId w:val="59"/>
  </w:num>
  <w:num w:numId="46">
    <w:abstractNumId w:val="125"/>
  </w:num>
  <w:num w:numId="47">
    <w:abstractNumId w:val="32"/>
  </w:num>
  <w:num w:numId="48">
    <w:abstractNumId w:val="82"/>
  </w:num>
  <w:num w:numId="49">
    <w:abstractNumId w:val="25"/>
  </w:num>
  <w:num w:numId="50">
    <w:abstractNumId w:val="103"/>
  </w:num>
  <w:num w:numId="51">
    <w:abstractNumId w:val="139"/>
  </w:num>
  <w:num w:numId="52">
    <w:abstractNumId w:val="109"/>
  </w:num>
  <w:num w:numId="53">
    <w:abstractNumId w:val="46"/>
  </w:num>
  <w:num w:numId="54">
    <w:abstractNumId w:val="63"/>
  </w:num>
  <w:num w:numId="55">
    <w:abstractNumId w:val="77"/>
  </w:num>
  <w:num w:numId="56">
    <w:abstractNumId w:val="72"/>
  </w:num>
  <w:num w:numId="57">
    <w:abstractNumId w:val="36"/>
  </w:num>
  <w:num w:numId="58">
    <w:abstractNumId w:val="24"/>
  </w:num>
  <w:num w:numId="59">
    <w:abstractNumId w:val="75"/>
  </w:num>
  <w:num w:numId="60">
    <w:abstractNumId w:val="13"/>
  </w:num>
  <w:num w:numId="61">
    <w:abstractNumId w:val="115"/>
  </w:num>
  <w:num w:numId="62">
    <w:abstractNumId w:val="102"/>
  </w:num>
  <w:num w:numId="63">
    <w:abstractNumId w:val="118"/>
  </w:num>
  <w:num w:numId="64">
    <w:abstractNumId w:val="78"/>
  </w:num>
  <w:num w:numId="65">
    <w:abstractNumId w:val="30"/>
  </w:num>
  <w:num w:numId="66">
    <w:abstractNumId w:val="92"/>
  </w:num>
  <w:num w:numId="67">
    <w:abstractNumId w:val="130"/>
  </w:num>
  <w:num w:numId="68">
    <w:abstractNumId w:val="80"/>
  </w:num>
  <w:num w:numId="69">
    <w:abstractNumId w:val="105"/>
  </w:num>
  <w:num w:numId="70">
    <w:abstractNumId w:val="110"/>
  </w:num>
  <w:num w:numId="71">
    <w:abstractNumId w:val="37"/>
  </w:num>
  <w:num w:numId="72">
    <w:abstractNumId w:val="43"/>
  </w:num>
  <w:num w:numId="73">
    <w:abstractNumId w:val="97"/>
  </w:num>
  <w:num w:numId="74">
    <w:abstractNumId w:val="113"/>
  </w:num>
  <w:num w:numId="7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8"/>
  </w:num>
  <w:num w:numId="77">
    <w:abstractNumId w:val="10"/>
  </w:num>
  <w:num w:numId="78">
    <w:abstractNumId w:val="61"/>
  </w:num>
  <w:num w:numId="79">
    <w:abstractNumId w:val="44"/>
  </w:num>
  <w:num w:numId="80">
    <w:abstractNumId w:val="124"/>
  </w:num>
  <w:num w:numId="81">
    <w:abstractNumId w:val="34"/>
  </w:num>
  <w:num w:numId="82">
    <w:abstractNumId w:val="123"/>
  </w:num>
  <w:num w:numId="83">
    <w:abstractNumId w:val="21"/>
  </w:num>
  <w:num w:numId="84">
    <w:abstractNumId w:val="62"/>
  </w:num>
  <w:num w:numId="85">
    <w:abstractNumId w:val="112"/>
  </w:num>
  <w:num w:numId="86">
    <w:abstractNumId w:val="57"/>
  </w:num>
  <w:num w:numId="87">
    <w:abstractNumId w:val="56"/>
  </w:num>
  <w:num w:numId="88">
    <w:abstractNumId w:val="140"/>
  </w:num>
  <w:num w:numId="89">
    <w:abstractNumId w:val="42"/>
  </w:num>
  <w:num w:numId="90">
    <w:abstractNumId w:val="6"/>
  </w:num>
  <w:num w:numId="91">
    <w:abstractNumId w:val="96"/>
  </w:num>
  <w:num w:numId="92">
    <w:abstractNumId w:val="7"/>
  </w:num>
  <w:num w:numId="93">
    <w:abstractNumId w:val="0"/>
  </w:num>
  <w:num w:numId="94">
    <w:abstractNumId w:val="91"/>
  </w:num>
  <w:num w:numId="95">
    <w:abstractNumId w:val="50"/>
  </w:num>
  <w:num w:numId="96">
    <w:abstractNumId w:val="88"/>
  </w:num>
  <w:num w:numId="97">
    <w:abstractNumId w:val="33"/>
  </w:num>
  <w:num w:numId="98">
    <w:abstractNumId w:val="95"/>
  </w:num>
  <w:num w:numId="99">
    <w:abstractNumId w:val="108"/>
  </w:num>
  <w:num w:numId="100">
    <w:abstractNumId w:val="23"/>
  </w:num>
  <w:num w:numId="101">
    <w:abstractNumId w:val="9"/>
  </w:num>
  <w:num w:numId="102">
    <w:abstractNumId w:val="114"/>
  </w:num>
  <w:num w:numId="103">
    <w:abstractNumId w:val="99"/>
  </w:num>
  <w:num w:numId="104">
    <w:abstractNumId w:val="135"/>
  </w:num>
  <w:num w:numId="105">
    <w:abstractNumId w:val="8"/>
  </w:num>
  <w:num w:numId="106">
    <w:abstractNumId w:val="94"/>
  </w:num>
  <w:num w:numId="107">
    <w:abstractNumId w:val="89"/>
  </w:num>
  <w:num w:numId="108">
    <w:abstractNumId w:val="137"/>
  </w:num>
  <w:num w:numId="109">
    <w:abstractNumId w:val="45"/>
  </w:num>
  <w:num w:numId="110">
    <w:abstractNumId w:val="41"/>
  </w:num>
  <w:num w:numId="111">
    <w:abstractNumId w:val="86"/>
  </w:num>
  <w:num w:numId="112">
    <w:abstractNumId w:val="68"/>
  </w:num>
  <w:num w:numId="113">
    <w:abstractNumId w:val="134"/>
  </w:num>
  <w:num w:numId="114">
    <w:abstractNumId w:val="54"/>
  </w:num>
  <w:num w:numId="115">
    <w:abstractNumId w:val="119"/>
  </w:num>
  <w:num w:numId="116">
    <w:abstractNumId w:val="67"/>
  </w:num>
  <w:num w:numId="117">
    <w:abstractNumId w:val="100"/>
  </w:num>
  <w:num w:numId="118">
    <w:abstractNumId w:val="2"/>
  </w:num>
  <w:num w:numId="119">
    <w:abstractNumId w:val="79"/>
  </w:num>
  <w:num w:numId="120">
    <w:abstractNumId w:val="65"/>
  </w:num>
  <w:num w:numId="121">
    <w:abstractNumId w:val="3"/>
  </w:num>
  <w:num w:numId="122">
    <w:abstractNumId w:val="116"/>
  </w:num>
  <w:num w:numId="123">
    <w:abstractNumId w:val="84"/>
  </w:num>
  <w:num w:numId="124">
    <w:abstractNumId w:val="126"/>
  </w:num>
  <w:num w:numId="125">
    <w:abstractNumId w:val="101"/>
  </w:num>
  <w:num w:numId="126">
    <w:abstractNumId w:val="5"/>
  </w:num>
  <w:num w:numId="127">
    <w:abstractNumId w:val="48"/>
  </w:num>
  <w:num w:numId="128">
    <w:abstractNumId w:val="14"/>
  </w:num>
  <w:num w:numId="129">
    <w:abstractNumId w:val="52"/>
  </w:num>
  <w:num w:numId="130">
    <w:abstractNumId w:val="18"/>
  </w:num>
  <w:num w:numId="131">
    <w:abstractNumId w:val="52"/>
  </w:num>
  <w:num w:numId="132">
    <w:abstractNumId w:val="122"/>
  </w:num>
  <w:num w:numId="133">
    <w:abstractNumId w:val="133"/>
  </w:num>
  <w:num w:numId="134">
    <w:abstractNumId w:val="12"/>
  </w:num>
  <w:num w:numId="135">
    <w:abstractNumId w:val="69"/>
  </w:num>
  <w:num w:numId="136">
    <w:abstractNumId w:val="90"/>
  </w:num>
  <w:num w:numId="137">
    <w:abstractNumId w:val="28"/>
  </w:num>
  <w:num w:numId="138">
    <w:abstractNumId w:val="17"/>
  </w:num>
  <w:num w:numId="139">
    <w:abstractNumId w:val="1"/>
  </w:num>
  <w:num w:numId="140">
    <w:abstractNumId w:val="71"/>
  </w:num>
  <w:num w:numId="141">
    <w:abstractNumId w:val="26"/>
  </w:num>
  <w:num w:numId="142">
    <w:abstractNumId w:val="60"/>
  </w:num>
  <w:num w:numId="143">
    <w:abstractNumId w:val="87"/>
  </w:num>
  <w:num w:numId="144">
    <w:abstractNumId w:val="138"/>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929"/>
    <w:rsid w:val="00000F5B"/>
    <w:rsid w:val="0000106F"/>
    <w:rsid w:val="000018B2"/>
    <w:rsid w:val="00002DC2"/>
    <w:rsid w:val="0001051B"/>
    <w:rsid w:val="00010BC3"/>
    <w:rsid w:val="00011B0F"/>
    <w:rsid w:val="00013987"/>
    <w:rsid w:val="0001540D"/>
    <w:rsid w:val="000171E5"/>
    <w:rsid w:val="00020F55"/>
    <w:rsid w:val="00022331"/>
    <w:rsid w:val="00022706"/>
    <w:rsid w:val="0002692E"/>
    <w:rsid w:val="000303D7"/>
    <w:rsid w:val="00032BFA"/>
    <w:rsid w:val="00033CE7"/>
    <w:rsid w:val="00036411"/>
    <w:rsid w:val="00037A9B"/>
    <w:rsid w:val="00037F82"/>
    <w:rsid w:val="00040AEF"/>
    <w:rsid w:val="000410B6"/>
    <w:rsid w:val="00042D97"/>
    <w:rsid w:val="00046BE8"/>
    <w:rsid w:val="00046E27"/>
    <w:rsid w:val="00050AD9"/>
    <w:rsid w:val="00052AE3"/>
    <w:rsid w:val="0005335B"/>
    <w:rsid w:val="00053A15"/>
    <w:rsid w:val="0005483C"/>
    <w:rsid w:val="00054A0D"/>
    <w:rsid w:val="00054BED"/>
    <w:rsid w:val="00056253"/>
    <w:rsid w:val="000566ED"/>
    <w:rsid w:val="000714B4"/>
    <w:rsid w:val="00071DAA"/>
    <w:rsid w:val="00071F26"/>
    <w:rsid w:val="000729E2"/>
    <w:rsid w:val="00076FEB"/>
    <w:rsid w:val="0007742C"/>
    <w:rsid w:val="000813A4"/>
    <w:rsid w:val="000818A8"/>
    <w:rsid w:val="000833BC"/>
    <w:rsid w:val="00083C16"/>
    <w:rsid w:val="00084E2E"/>
    <w:rsid w:val="00085019"/>
    <w:rsid w:val="000853B1"/>
    <w:rsid w:val="0009366E"/>
    <w:rsid w:val="00096F18"/>
    <w:rsid w:val="00097B17"/>
    <w:rsid w:val="000A388A"/>
    <w:rsid w:val="000A5714"/>
    <w:rsid w:val="000A580F"/>
    <w:rsid w:val="000A5BD8"/>
    <w:rsid w:val="000B2B02"/>
    <w:rsid w:val="000B3428"/>
    <w:rsid w:val="000B353F"/>
    <w:rsid w:val="000B6761"/>
    <w:rsid w:val="000B6A56"/>
    <w:rsid w:val="000C5A7A"/>
    <w:rsid w:val="000D077D"/>
    <w:rsid w:val="000D1C5B"/>
    <w:rsid w:val="000D35F1"/>
    <w:rsid w:val="000D42FD"/>
    <w:rsid w:val="000E0487"/>
    <w:rsid w:val="000E0DC4"/>
    <w:rsid w:val="000E1CCA"/>
    <w:rsid w:val="000E24DE"/>
    <w:rsid w:val="000E2C4E"/>
    <w:rsid w:val="000E4EE5"/>
    <w:rsid w:val="000F1E9B"/>
    <w:rsid w:val="000F335F"/>
    <w:rsid w:val="000F65A9"/>
    <w:rsid w:val="001013F3"/>
    <w:rsid w:val="00101CAC"/>
    <w:rsid w:val="001021F4"/>
    <w:rsid w:val="00102419"/>
    <w:rsid w:val="001038B7"/>
    <w:rsid w:val="00103A49"/>
    <w:rsid w:val="00104653"/>
    <w:rsid w:val="00106A11"/>
    <w:rsid w:val="00110EF8"/>
    <w:rsid w:val="00111395"/>
    <w:rsid w:val="00116318"/>
    <w:rsid w:val="00120864"/>
    <w:rsid w:val="00121121"/>
    <w:rsid w:val="00123E30"/>
    <w:rsid w:val="001241B7"/>
    <w:rsid w:val="001249B5"/>
    <w:rsid w:val="0012764D"/>
    <w:rsid w:val="00127702"/>
    <w:rsid w:val="00131334"/>
    <w:rsid w:val="001327FC"/>
    <w:rsid w:val="00132847"/>
    <w:rsid w:val="00133774"/>
    <w:rsid w:val="00135E88"/>
    <w:rsid w:val="00135F62"/>
    <w:rsid w:val="00136F7A"/>
    <w:rsid w:val="00140343"/>
    <w:rsid w:val="0014184C"/>
    <w:rsid w:val="00141BE2"/>
    <w:rsid w:val="0014283E"/>
    <w:rsid w:val="00144005"/>
    <w:rsid w:val="001443DE"/>
    <w:rsid w:val="0014581C"/>
    <w:rsid w:val="00146C22"/>
    <w:rsid w:val="00152193"/>
    <w:rsid w:val="00153171"/>
    <w:rsid w:val="0015478B"/>
    <w:rsid w:val="001613D0"/>
    <w:rsid w:val="00162694"/>
    <w:rsid w:val="0016300E"/>
    <w:rsid w:val="001701C2"/>
    <w:rsid w:val="00170729"/>
    <w:rsid w:val="00171225"/>
    <w:rsid w:val="001717F0"/>
    <w:rsid w:val="00172997"/>
    <w:rsid w:val="00172AA4"/>
    <w:rsid w:val="00172D29"/>
    <w:rsid w:val="00173866"/>
    <w:rsid w:val="00175F1F"/>
    <w:rsid w:val="001807EF"/>
    <w:rsid w:val="00181D3A"/>
    <w:rsid w:val="001916D0"/>
    <w:rsid w:val="00191BD8"/>
    <w:rsid w:val="00192C08"/>
    <w:rsid w:val="0019546B"/>
    <w:rsid w:val="001956E9"/>
    <w:rsid w:val="0019583A"/>
    <w:rsid w:val="001961AA"/>
    <w:rsid w:val="0019627E"/>
    <w:rsid w:val="00196D00"/>
    <w:rsid w:val="001A54A8"/>
    <w:rsid w:val="001A5747"/>
    <w:rsid w:val="001A5E9D"/>
    <w:rsid w:val="001A6829"/>
    <w:rsid w:val="001A6EB5"/>
    <w:rsid w:val="001A7D7E"/>
    <w:rsid w:val="001B3967"/>
    <w:rsid w:val="001B7696"/>
    <w:rsid w:val="001C04FD"/>
    <w:rsid w:val="001C0622"/>
    <w:rsid w:val="001C3DEA"/>
    <w:rsid w:val="001C48DD"/>
    <w:rsid w:val="001C50A7"/>
    <w:rsid w:val="001C5853"/>
    <w:rsid w:val="001C62C9"/>
    <w:rsid w:val="001C7A75"/>
    <w:rsid w:val="001C7EE7"/>
    <w:rsid w:val="001D009D"/>
    <w:rsid w:val="001D058E"/>
    <w:rsid w:val="001D209C"/>
    <w:rsid w:val="001D38F2"/>
    <w:rsid w:val="001D4126"/>
    <w:rsid w:val="001D4A1D"/>
    <w:rsid w:val="001D5ADC"/>
    <w:rsid w:val="001D675E"/>
    <w:rsid w:val="001D6CCD"/>
    <w:rsid w:val="001E10E3"/>
    <w:rsid w:val="001E16DF"/>
    <w:rsid w:val="001E2873"/>
    <w:rsid w:val="001E4233"/>
    <w:rsid w:val="001E512D"/>
    <w:rsid w:val="001E6C97"/>
    <w:rsid w:val="001E7D10"/>
    <w:rsid w:val="001F0005"/>
    <w:rsid w:val="001F0365"/>
    <w:rsid w:val="001F1652"/>
    <w:rsid w:val="001F1963"/>
    <w:rsid w:val="001F4974"/>
    <w:rsid w:val="001F49D6"/>
    <w:rsid w:val="001F5DE0"/>
    <w:rsid w:val="001F6063"/>
    <w:rsid w:val="001F639D"/>
    <w:rsid w:val="001F6E10"/>
    <w:rsid w:val="001F6E62"/>
    <w:rsid w:val="002017EA"/>
    <w:rsid w:val="00202BDB"/>
    <w:rsid w:val="0020304F"/>
    <w:rsid w:val="00203312"/>
    <w:rsid w:val="00203D15"/>
    <w:rsid w:val="00204316"/>
    <w:rsid w:val="002045F5"/>
    <w:rsid w:val="00206252"/>
    <w:rsid w:val="00211788"/>
    <w:rsid w:val="002117F9"/>
    <w:rsid w:val="00211FCA"/>
    <w:rsid w:val="002136B7"/>
    <w:rsid w:val="00214058"/>
    <w:rsid w:val="002156D4"/>
    <w:rsid w:val="00217449"/>
    <w:rsid w:val="00217F22"/>
    <w:rsid w:val="00217FCA"/>
    <w:rsid w:val="0022041D"/>
    <w:rsid w:val="002207B0"/>
    <w:rsid w:val="00221BBD"/>
    <w:rsid w:val="00221CFB"/>
    <w:rsid w:val="00223ED8"/>
    <w:rsid w:val="002242C0"/>
    <w:rsid w:val="00224C43"/>
    <w:rsid w:val="0022563B"/>
    <w:rsid w:val="00226A06"/>
    <w:rsid w:val="00227235"/>
    <w:rsid w:val="00230B7E"/>
    <w:rsid w:val="002348FE"/>
    <w:rsid w:val="00236091"/>
    <w:rsid w:val="00237F21"/>
    <w:rsid w:val="0024584D"/>
    <w:rsid w:val="00245DCF"/>
    <w:rsid w:val="00245E12"/>
    <w:rsid w:val="00247844"/>
    <w:rsid w:val="00252F3B"/>
    <w:rsid w:val="002530CE"/>
    <w:rsid w:val="00254DD7"/>
    <w:rsid w:val="00255A46"/>
    <w:rsid w:val="00260D37"/>
    <w:rsid w:val="00263FC1"/>
    <w:rsid w:val="00265857"/>
    <w:rsid w:val="0026628D"/>
    <w:rsid w:val="0027067C"/>
    <w:rsid w:val="002724B3"/>
    <w:rsid w:val="0027252D"/>
    <w:rsid w:val="00272B30"/>
    <w:rsid w:val="00273797"/>
    <w:rsid w:val="002746FB"/>
    <w:rsid w:val="002754FD"/>
    <w:rsid w:val="0027587B"/>
    <w:rsid w:val="002765D6"/>
    <w:rsid w:val="00276BC1"/>
    <w:rsid w:val="00277538"/>
    <w:rsid w:val="00280734"/>
    <w:rsid w:val="00281286"/>
    <w:rsid w:val="002823C5"/>
    <w:rsid w:val="00283FCD"/>
    <w:rsid w:val="00284E97"/>
    <w:rsid w:val="002869DF"/>
    <w:rsid w:val="00287B0C"/>
    <w:rsid w:val="0029089E"/>
    <w:rsid w:val="00290E7D"/>
    <w:rsid w:val="00296D42"/>
    <w:rsid w:val="0029700B"/>
    <w:rsid w:val="00297BFF"/>
    <w:rsid w:val="002A02C0"/>
    <w:rsid w:val="002A0515"/>
    <w:rsid w:val="002A3864"/>
    <w:rsid w:val="002A553B"/>
    <w:rsid w:val="002A69C7"/>
    <w:rsid w:val="002A6EF1"/>
    <w:rsid w:val="002B1A7D"/>
    <w:rsid w:val="002B1AE2"/>
    <w:rsid w:val="002B42AF"/>
    <w:rsid w:val="002B4CFC"/>
    <w:rsid w:val="002B539E"/>
    <w:rsid w:val="002B62C8"/>
    <w:rsid w:val="002C22BF"/>
    <w:rsid w:val="002C3012"/>
    <w:rsid w:val="002C4CDC"/>
    <w:rsid w:val="002C57EA"/>
    <w:rsid w:val="002C6841"/>
    <w:rsid w:val="002C6C57"/>
    <w:rsid w:val="002C7006"/>
    <w:rsid w:val="002D0D5B"/>
    <w:rsid w:val="002D42C1"/>
    <w:rsid w:val="002D4567"/>
    <w:rsid w:val="002D6D43"/>
    <w:rsid w:val="002E083F"/>
    <w:rsid w:val="002E1AE9"/>
    <w:rsid w:val="002E1FF8"/>
    <w:rsid w:val="002E27FC"/>
    <w:rsid w:val="002E3647"/>
    <w:rsid w:val="002E75FB"/>
    <w:rsid w:val="002F0326"/>
    <w:rsid w:val="002F1205"/>
    <w:rsid w:val="002F1359"/>
    <w:rsid w:val="002F19B5"/>
    <w:rsid w:val="002F35FD"/>
    <w:rsid w:val="002F40AD"/>
    <w:rsid w:val="002F4714"/>
    <w:rsid w:val="002F4A8F"/>
    <w:rsid w:val="002F5F34"/>
    <w:rsid w:val="002F7BA6"/>
    <w:rsid w:val="00301050"/>
    <w:rsid w:val="003031FF"/>
    <w:rsid w:val="00303A23"/>
    <w:rsid w:val="003054D0"/>
    <w:rsid w:val="00307E27"/>
    <w:rsid w:val="003120E3"/>
    <w:rsid w:val="00312D9B"/>
    <w:rsid w:val="0031702F"/>
    <w:rsid w:val="00317CC6"/>
    <w:rsid w:val="00317DC7"/>
    <w:rsid w:val="003207A1"/>
    <w:rsid w:val="00321580"/>
    <w:rsid w:val="00321C9C"/>
    <w:rsid w:val="003230D8"/>
    <w:rsid w:val="003238D8"/>
    <w:rsid w:val="003246CC"/>
    <w:rsid w:val="003249F4"/>
    <w:rsid w:val="00325923"/>
    <w:rsid w:val="0033096B"/>
    <w:rsid w:val="00331658"/>
    <w:rsid w:val="00331662"/>
    <w:rsid w:val="00331C96"/>
    <w:rsid w:val="0033389E"/>
    <w:rsid w:val="003342EF"/>
    <w:rsid w:val="00335C2C"/>
    <w:rsid w:val="0033766E"/>
    <w:rsid w:val="003377EB"/>
    <w:rsid w:val="003410F6"/>
    <w:rsid w:val="003421EB"/>
    <w:rsid w:val="00343FE9"/>
    <w:rsid w:val="00344845"/>
    <w:rsid w:val="003470AC"/>
    <w:rsid w:val="003515F4"/>
    <w:rsid w:val="00352675"/>
    <w:rsid w:val="00355733"/>
    <w:rsid w:val="003574A5"/>
    <w:rsid w:val="00360190"/>
    <w:rsid w:val="00360D82"/>
    <w:rsid w:val="003610D0"/>
    <w:rsid w:val="0036231A"/>
    <w:rsid w:val="00370CBC"/>
    <w:rsid w:val="00371DC9"/>
    <w:rsid w:val="00372967"/>
    <w:rsid w:val="00372DE9"/>
    <w:rsid w:val="003742ED"/>
    <w:rsid w:val="003756A6"/>
    <w:rsid w:val="003761B4"/>
    <w:rsid w:val="00376DB5"/>
    <w:rsid w:val="00377259"/>
    <w:rsid w:val="003775A5"/>
    <w:rsid w:val="0038317C"/>
    <w:rsid w:val="00383190"/>
    <w:rsid w:val="00386CA2"/>
    <w:rsid w:val="003874E2"/>
    <w:rsid w:val="00387616"/>
    <w:rsid w:val="00390575"/>
    <w:rsid w:val="00390D4B"/>
    <w:rsid w:val="00391393"/>
    <w:rsid w:val="00391731"/>
    <w:rsid w:val="00392A86"/>
    <w:rsid w:val="003942F6"/>
    <w:rsid w:val="00394AE1"/>
    <w:rsid w:val="00396F5A"/>
    <w:rsid w:val="003A0591"/>
    <w:rsid w:val="003A05DD"/>
    <w:rsid w:val="003A2B7C"/>
    <w:rsid w:val="003A2E88"/>
    <w:rsid w:val="003A4A66"/>
    <w:rsid w:val="003A4E10"/>
    <w:rsid w:val="003A5BA5"/>
    <w:rsid w:val="003A6888"/>
    <w:rsid w:val="003A6F0C"/>
    <w:rsid w:val="003B1026"/>
    <w:rsid w:val="003B2D33"/>
    <w:rsid w:val="003B7CFF"/>
    <w:rsid w:val="003C0250"/>
    <w:rsid w:val="003C117C"/>
    <w:rsid w:val="003C2AAD"/>
    <w:rsid w:val="003C5F58"/>
    <w:rsid w:val="003C6BED"/>
    <w:rsid w:val="003C7BEC"/>
    <w:rsid w:val="003D0CC1"/>
    <w:rsid w:val="003D4095"/>
    <w:rsid w:val="003D4BDC"/>
    <w:rsid w:val="003D6DDE"/>
    <w:rsid w:val="003E0832"/>
    <w:rsid w:val="003E17AD"/>
    <w:rsid w:val="003E1A41"/>
    <w:rsid w:val="003E3D49"/>
    <w:rsid w:val="003E4E00"/>
    <w:rsid w:val="003E783B"/>
    <w:rsid w:val="003E7A6B"/>
    <w:rsid w:val="003E7AE2"/>
    <w:rsid w:val="003E7FAF"/>
    <w:rsid w:val="003F3A07"/>
    <w:rsid w:val="003F3F9F"/>
    <w:rsid w:val="003F3FB5"/>
    <w:rsid w:val="003F6276"/>
    <w:rsid w:val="003F6E95"/>
    <w:rsid w:val="003F7D9A"/>
    <w:rsid w:val="00401618"/>
    <w:rsid w:val="00401B6A"/>
    <w:rsid w:val="004037F5"/>
    <w:rsid w:val="00404C9F"/>
    <w:rsid w:val="00406967"/>
    <w:rsid w:val="0040740A"/>
    <w:rsid w:val="00412540"/>
    <w:rsid w:val="00415C99"/>
    <w:rsid w:val="00421D2C"/>
    <w:rsid w:val="00422E0C"/>
    <w:rsid w:val="00423F81"/>
    <w:rsid w:val="004313B7"/>
    <w:rsid w:val="00431CC3"/>
    <w:rsid w:val="00434ECC"/>
    <w:rsid w:val="004351C0"/>
    <w:rsid w:val="00436806"/>
    <w:rsid w:val="00437099"/>
    <w:rsid w:val="00437365"/>
    <w:rsid w:val="0044323B"/>
    <w:rsid w:val="00446B7E"/>
    <w:rsid w:val="004479C5"/>
    <w:rsid w:val="0045204F"/>
    <w:rsid w:val="00452C4E"/>
    <w:rsid w:val="004532D1"/>
    <w:rsid w:val="00453A45"/>
    <w:rsid w:val="00453C8D"/>
    <w:rsid w:val="004546CF"/>
    <w:rsid w:val="0045566E"/>
    <w:rsid w:val="004566BA"/>
    <w:rsid w:val="00456FCA"/>
    <w:rsid w:val="00457022"/>
    <w:rsid w:val="004617A8"/>
    <w:rsid w:val="00463034"/>
    <w:rsid w:val="004644E8"/>
    <w:rsid w:val="00465CD5"/>
    <w:rsid w:val="00467B97"/>
    <w:rsid w:val="00470802"/>
    <w:rsid w:val="00470884"/>
    <w:rsid w:val="004720C1"/>
    <w:rsid w:val="00474405"/>
    <w:rsid w:val="0047572B"/>
    <w:rsid w:val="00477332"/>
    <w:rsid w:val="004775D6"/>
    <w:rsid w:val="00477D57"/>
    <w:rsid w:val="00482195"/>
    <w:rsid w:val="00482278"/>
    <w:rsid w:val="00483484"/>
    <w:rsid w:val="004834C1"/>
    <w:rsid w:val="004843F9"/>
    <w:rsid w:val="004908E7"/>
    <w:rsid w:val="00491E40"/>
    <w:rsid w:val="004933FC"/>
    <w:rsid w:val="004A0789"/>
    <w:rsid w:val="004A3FFC"/>
    <w:rsid w:val="004A5492"/>
    <w:rsid w:val="004A5583"/>
    <w:rsid w:val="004A600A"/>
    <w:rsid w:val="004B137F"/>
    <w:rsid w:val="004B3C9A"/>
    <w:rsid w:val="004B5BC3"/>
    <w:rsid w:val="004B6E30"/>
    <w:rsid w:val="004B754B"/>
    <w:rsid w:val="004B7A8B"/>
    <w:rsid w:val="004B7DAD"/>
    <w:rsid w:val="004C0CB5"/>
    <w:rsid w:val="004C1361"/>
    <w:rsid w:val="004C17DD"/>
    <w:rsid w:val="004C1C93"/>
    <w:rsid w:val="004C2A35"/>
    <w:rsid w:val="004C3AF1"/>
    <w:rsid w:val="004D0049"/>
    <w:rsid w:val="004D1477"/>
    <w:rsid w:val="004D232C"/>
    <w:rsid w:val="004D3F99"/>
    <w:rsid w:val="004D5365"/>
    <w:rsid w:val="004D5AF1"/>
    <w:rsid w:val="004E2B36"/>
    <w:rsid w:val="004E5780"/>
    <w:rsid w:val="004E5931"/>
    <w:rsid w:val="004E6D5F"/>
    <w:rsid w:val="004E7289"/>
    <w:rsid w:val="004F0F4A"/>
    <w:rsid w:val="004F3D12"/>
    <w:rsid w:val="004F48B8"/>
    <w:rsid w:val="004F76D7"/>
    <w:rsid w:val="00503909"/>
    <w:rsid w:val="005050E6"/>
    <w:rsid w:val="005057AD"/>
    <w:rsid w:val="00506413"/>
    <w:rsid w:val="00507D67"/>
    <w:rsid w:val="00510617"/>
    <w:rsid w:val="00510C04"/>
    <w:rsid w:val="0051104F"/>
    <w:rsid w:val="005110B8"/>
    <w:rsid w:val="00511188"/>
    <w:rsid w:val="005117CC"/>
    <w:rsid w:val="00512191"/>
    <w:rsid w:val="00520C3E"/>
    <w:rsid w:val="005217DC"/>
    <w:rsid w:val="00521984"/>
    <w:rsid w:val="00523148"/>
    <w:rsid w:val="0052327E"/>
    <w:rsid w:val="00524717"/>
    <w:rsid w:val="00524B2F"/>
    <w:rsid w:val="00524DBF"/>
    <w:rsid w:val="00530ED1"/>
    <w:rsid w:val="00531AB2"/>
    <w:rsid w:val="00532BDB"/>
    <w:rsid w:val="00533A39"/>
    <w:rsid w:val="005342E7"/>
    <w:rsid w:val="00536060"/>
    <w:rsid w:val="005365D6"/>
    <w:rsid w:val="005400E9"/>
    <w:rsid w:val="00546030"/>
    <w:rsid w:val="0054754A"/>
    <w:rsid w:val="00551092"/>
    <w:rsid w:val="00552B0D"/>
    <w:rsid w:val="00560411"/>
    <w:rsid w:val="00561ABE"/>
    <w:rsid w:val="005638F3"/>
    <w:rsid w:val="005655C5"/>
    <w:rsid w:val="00566192"/>
    <w:rsid w:val="005672D9"/>
    <w:rsid w:val="005716B5"/>
    <w:rsid w:val="00576A17"/>
    <w:rsid w:val="00580D79"/>
    <w:rsid w:val="005842B5"/>
    <w:rsid w:val="0058695F"/>
    <w:rsid w:val="0058726B"/>
    <w:rsid w:val="00590CA2"/>
    <w:rsid w:val="00591431"/>
    <w:rsid w:val="005915E3"/>
    <w:rsid w:val="00591A10"/>
    <w:rsid w:val="00592373"/>
    <w:rsid w:val="005940CA"/>
    <w:rsid w:val="005941DD"/>
    <w:rsid w:val="00594509"/>
    <w:rsid w:val="00594A24"/>
    <w:rsid w:val="005967B0"/>
    <w:rsid w:val="005A5146"/>
    <w:rsid w:val="005A75B3"/>
    <w:rsid w:val="005A7ADA"/>
    <w:rsid w:val="005B016D"/>
    <w:rsid w:val="005B279A"/>
    <w:rsid w:val="005B2808"/>
    <w:rsid w:val="005B3AF2"/>
    <w:rsid w:val="005B4D42"/>
    <w:rsid w:val="005B7867"/>
    <w:rsid w:val="005C3DE5"/>
    <w:rsid w:val="005C57BD"/>
    <w:rsid w:val="005C59B4"/>
    <w:rsid w:val="005C5F2C"/>
    <w:rsid w:val="005C6542"/>
    <w:rsid w:val="005C66AB"/>
    <w:rsid w:val="005C7378"/>
    <w:rsid w:val="005D190C"/>
    <w:rsid w:val="005D2B67"/>
    <w:rsid w:val="005D57B5"/>
    <w:rsid w:val="005D7F7E"/>
    <w:rsid w:val="005E1E27"/>
    <w:rsid w:val="005E2575"/>
    <w:rsid w:val="005E2874"/>
    <w:rsid w:val="005E4FB0"/>
    <w:rsid w:val="005E4FE7"/>
    <w:rsid w:val="005E50DF"/>
    <w:rsid w:val="005E5C92"/>
    <w:rsid w:val="005E6F14"/>
    <w:rsid w:val="005E7D17"/>
    <w:rsid w:val="005F1186"/>
    <w:rsid w:val="005F120D"/>
    <w:rsid w:val="005F152B"/>
    <w:rsid w:val="005F18A8"/>
    <w:rsid w:val="005F49D6"/>
    <w:rsid w:val="005F577F"/>
    <w:rsid w:val="005F6F00"/>
    <w:rsid w:val="005F7561"/>
    <w:rsid w:val="00601D4F"/>
    <w:rsid w:val="006052BA"/>
    <w:rsid w:val="0060658B"/>
    <w:rsid w:val="00607CC8"/>
    <w:rsid w:val="00614495"/>
    <w:rsid w:val="00614D13"/>
    <w:rsid w:val="00615D7E"/>
    <w:rsid w:val="006211A2"/>
    <w:rsid w:val="00623647"/>
    <w:rsid w:val="00623B4C"/>
    <w:rsid w:val="0062496A"/>
    <w:rsid w:val="00625230"/>
    <w:rsid w:val="00625808"/>
    <w:rsid w:val="006259D3"/>
    <w:rsid w:val="006261B0"/>
    <w:rsid w:val="00627E36"/>
    <w:rsid w:val="006303DE"/>
    <w:rsid w:val="0063060C"/>
    <w:rsid w:val="00631408"/>
    <w:rsid w:val="00632217"/>
    <w:rsid w:val="00633959"/>
    <w:rsid w:val="00633DF1"/>
    <w:rsid w:val="0063424A"/>
    <w:rsid w:val="00634271"/>
    <w:rsid w:val="00634837"/>
    <w:rsid w:val="00635341"/>
    <w:rsid w:val="006403B5"/>
    <w:rsid w:val="00642876"/>
    <w:rsid w:val="00645B79"/>
    <w:rsid w:val="006476D4"/>
    <w:rsid w:val="006508BD"/>
    <w:rsid w:val="00652822"/>
    <w:rsid w:val="00652B89"/>
    <w:rsid w:val="00654133"/>
    <w:rsid w:val="0066086F"/>
    <w:rsid w:val="00660B25"/>
    <w:rsid w:val="006639EE"/>
    <w:rsid w:val="00670D96"/>
    <w:rsid w:val="006717AE"/>
    <w:rsid w:val="006718D2"/>
    <w:rsid w:val="00672D2C"/>
    <w:rsid w:val="00672D42"/>
    <w:rsid w:val="00673350"/>
    <w:rsid w:val="00673EB0"/>
    <w:rsid w:val="00677155"/>
    <w:rsid w:val="0067715E"/>
    <w:rsid w:val="00677B78"/>
    <w:rsid w:val="00677FA3"/>
    <w:rsid w:val="00681E30"/>
    <w:rsid w:val="00683CB5"/>
    <w:rsid w:val="0068496F"/>
    <w:rsid w:val="00684F0C"/>
    <w:rsid w:val="00686726"/>
    <w:rsid w:val="00686A0D"/>
    <w:rsid w:val="0068732F"/>
    <w:rsid w:val="00690340"/>
    <w:rsid w:val="0069507F"/>
    <w:rsid w:val="00697D89"/>
    <w:rsid w:val="006A1857"/>
    <w:rsid w:val="006A2C7A"/>
    <w:rsid w:val="006A2E59"/>
    <w:rsid w:val="006A327A"/>
    <w:rsid w:val="006A5F32"/>
    <w:rsid w:val="006A64AA"/>
    <w:rsid w:val="006A7AF4"/>
    <w:rsid w:val="006B0A3B"/>
    <w:rsid w:val="006B0CC8"/>
    <w:rsid w:val="006B477F"/>
    <w:rsid w:val="006B49CD"/>
    <w:rsid w:val="006B5B39"/>
    <w:rsid w:val="006B6CF0"/>
    <w:rsid w:val="006B6DC7"/>
    <w:rsid w:val="006C1E73"/>
    <w:rsid w:val="006C2264"/>
    <w:rsid w:val="006C4C68"/>
    <w:rsid w:val="006C5727"/>
    <w:rsid w:val="006C5ABF"/>
    <w:rsid w:val="006C5D9C"/>
    <w:rsid w:val="006D04DA"/>
    <w:rsid w:val="006D08A9"/>
    <w:rsid w:val="006D12CF"/>
    <w:rsid w:val="006D7C57"/>
    <w:rsid w:val="006E256D"/>
    <w:rsid w:val="006E2CCD"/>
    <w:rsid w:val="006E2CF6"/>
    <w:rsid w:val="006E3007"/>
    <w:rsid w:val="006E3AB1"/>
    <w:rsid w:val="006E3D7B"/>
    <w:rsid w:val="006E42BB"/>
    <w:rsid w:val="006E5AFA"/>
    <w:rsid w:val="006E6AB6"/>
    <w:rsid w:val="006E6D86"/>
    <w:rsid w:val="006F1859"/>
    <w:rsid w:val="006F52F5"/>
    <w:rsid w:val="007011CE"/>
    <w:rsid w:val="0070351F"/>
    <w:rsid w:val="007065FB"/>
    <w:rsid w:val="00707D8A"/>
    <w:rsid w:val="00711B81"/>
    <w:rsid w:val="00711C06"/>
    <w:rsid w:val="00712FA1"/>
    <w:rsid w:val="00713746"/>
    <w:rsid w:val="007167A2"/>
    <w:rsid w:val="0071729F"/>
    <w:rsid w:val="007174B5"/>
    <w:rsid w:val="00720F38"/>
    <w:rsid w:val="00722CB1"/>
    <w:rsid w:val="00723597"/>
    <w:rsid w:val="007240B3"/>
    <w:rsid w:val="00724309"/>
    <w:rsid w:val="0072566C"/>
    <w:rsid w:val="007268BC"/>
    <w:rsid w:val="00726E52"/>
    <w:rsid w:val="007325A5"/>
    <w:rsid w:val="00733ED4"/>
    <w:rsid w:val="00734D16"/>
    <w:rsid w:val="00736188"/>
    <w:rsid w:val="00737057"/>
    <w:rsid w:val="007370BD"/>
    <w:rsid w:val="00737BE6"/>
    <w:rsid w:val="00740DE2"/>
    <w:rsid w:val="00740F89"/>
    <w:rsid w:val="00742557"/>
    <w:rsid w:val="00745361"/>
    <w:rsid w:val="00746E99"/>
    <w:rsid w:val="007508F7"/>
    <w:rsid w:val="0075210A"/>
    <w:rsid w:val="007530B5"/>
    <w:rsid w:val="007540A8"/>
    <w:rsid w:val="00754549"/>
    <w:rsid w:val="0075636A"/>
    <w:rsid w:val="007575A7"/>
    <w:rsid w:val="00760658"/>
    <w:rsid w:val="00761E58"/>
    <w:rsid w:val="0076281D"/>
    <w:rsid w:val="0076333C"/>
    <w:rsid w:val="00765AB8"/>
    <w:rsid w:val="00767FDB"/>
    <w:rsid w:val="00770772"/>
    <w:rsid w:val="00770B60"/>
    <w:rsid w:val="00771B02"/>
    <w:rsid w:val="007720F9"/>
    <w:rsid w:val="00772BE9"/>
    <w:rsid w:val="00774599"/>
    <w:rsid w:val="00775F25"/>
    <w:rsid w:val="00775F3E"/>
    <w:rsid w:val="007802E8"/>
    <w:rsid w:val="00780C78"/>
    <w:rsid w:val="00782208"/>
    <w:rsid w:val="007842E1"/>
    <w:rsid w:val="007871AF"/>
    <w:rsid w:val="0078790C"/>
    <w:rsid w:val="00791682"/>
    <w:rsid w:val="0079302E"/>
    <w:rsid w:val="0079336A"/>
    <w:rsid w:val="00796016"/>
    <w:rsid w:val="007969DD"/>
    <w:rsid w:val="00797033"/>
    <w:rsid w:val="007972BA"/>
    <w:rsid w:val="007A1069"/>
    <w:rsid w:val="007A2673"/>
    <w:rsid w:val="007A56D6"/>
    <w:rsid w:val="007A7CBF"/>
    <w:rsid w:val="007B055E"/>
    <w:rsid w:val="007B0976"/>
    <w:rsid w:val="007B0B09"/>
    <w:rsid w:val="007B46E2"/>
    <w:rsid w:val="007B569B"/>
    <w:rsid w:val="007B5DCC"/>
    <w:rsid w:val="007C1887"/>
    <w:rsid w:val="007C18C9"/>
    <w:rsid w:val="007C487C"/>
    <w:rsid w:val="007C7264"/>
    <w:rsid w:val="007D0780"/>
    <w:rsid w:val="007D73BB"/>
    <w:rsid w:val="007E0AF4"/>
    <w:rsid w:val="007E13A2"/>
    <w:rsid w:val="007E2693"/>
    <w:rsid w:val="007E5690"/>
    <w:rsid w:val="007E6E64"/>
    <w:rsid w:val="007E7AF3"/>
    <w:rsid w:val="007F2A79"/>
    <w:rsid w:val="007F7454"/>
    <w:rsid w:val="007F78B9"/>
    <w:rsid w:val="007F7FC5"/>
    <w:rsid w:val="00800010"/>
    <w:rsid w:val="00801C04"/>
    <w:rsid w:val="0080362B"/>
    <w:rsid w:val="00804B6A"/>
    <w:rsid w:val="0080525E"/>
    <w:rsid w:val="00805475"/>
    <w:rsid w:val="0080552A"/>
    <w:rsid w:val="008057F8"/>
    <w:rsid w:val="008109C1"/>
    <w:rsid w:val="00811D1C"/>
    <w:rsid w:val="00811F4D"/>
    <w:rsid w:val="00812F6C"/>
    <w:rsid w:val="00814857"/>
    <w:rsid w:val="0081670D"/>
    <w:rsid w:val="00816E1A"/>
    <w:rsid w:val="00817328"/>
    <w:rsid w:val="00817BFD"/>
    <w:rsid w:val="00820E56"/>
    <w:rsid w:val="008211D0"/>
    <w:rsid w:val="00822744"/>
    <w:rsid w:val="00822A75"/>
    <w:rsid w:val="00822BDD"/>
    <w:rsid w:val="0082318E"/>
    <w:rsid w:val="00823628"/>
    <w:rsid w:val="00823E8E"/>
    <w:rsid w:val="00824980"/>
    <w:rsid w:val="00824F3F"/>
    <w:rsid w:val="0082539E"/>
    <w:rsid w:val="00826C3B"/>
    <w:rsid w:val="008324E1"/>
    <w:rsid w:val="00832711"/>
    <w:rsid w:val="00832989"/>
    <w:rsid w:val="00832B28"/>
    <w:rsid w:val="00832B51"/>
    <w:rsid w:val="0083385C"/>
    <w:rsid w:val="00835C89"/>
    <w:rsid w:val="00837A0C"/>
    <w:rsid w:val="00837F83"/>
    <w:rsid w:val="00840C91"/>
    <w:rsid w:val="00841905"/>
    <w:rsid w:val="00842EB1"/>
    <w:rsid w:val="00843393"/>
    <w:rsid w:val="00844152"/>
    <w:rsid w:val="00844F97"/>
    <w:rsid w:val="00845F4A"/>
    <w:rsid w:val="00846037"/>
    <w:rsid w:val="00847CA5"/>
    <w:rsid w:val="00847FC8"/>
    <w:rsid w:val="008501BC"/>
    <w:rsid w:val="0085466F"/>
    <w:rsid w:val="00854670"/>
    <w:rsid w:val="00860691"/>
    <w:rsid w:val="00860731"/>
    <w:rsid w:val="00860735"/>
    <w:rsid w:val="00861949"/>
    <w:rsid w:val="00861C72"/>
    <w:rsid w:val="00863C2C"/>
    <w:rsid w:val="00864070"/>
    <w:rsid w:val="008662C4"/>
    <w:rsid w:val="00870053"/>
    <w:rsid w:val="00870346"/>
    <w:rsid w:val="00874FE3"/>
    <w:rsid w:val="008758E7"/>
    <w:rsid w:val="00876C01"/>
    <w:rsid w:val="008772B0"/>
    <w:rsid w:val="008777A4"/>
    <w:rsid w:val="00877B60"/>
    <w:rsid w:val="0088024D"/>
    <w:rsid w:val="0088181C"/>
    <w:rsid w:val="00881DA9"/>
    <w:rsid w:val="00882031"/>
    <w:rsid w:val="008835F9"/>
    <w:rsid w:val="00883CE1"/>
    <w:rsid w:val="00885D5C"/>
    <w:rsid w:val="00886780"/>
    <w:rsid w:val="0089063F"/>
    <w:rsid w:val="00894819"/>
    <w:rsid w:val="008A04D4"/>
    <w:rsid w:val="008A667C"/>
    <w:rsid w:val="008B1939"/>
    <w:rsid w:val="008B2CE2"/>
    <w:rsid w:val="008B34D2"/>
    <w:rsid w:val="008B3516"/>
    <w:rsid w:val="008B5C21"/>
    <w:rsid w:val="008B612D"/>
    <w:rsid w:val="008C213D"/>
    <w:rsid w:val="008C22B0"/>
    <w:rsid w:val="008C5E15"/>
    <w:rsid w:val="008C62DF"/>
    <w:rsid w:val="008C6FB3"/>
    <w:rsid w:val="008D01F8"/>
    <w:rsid w:val="008D1B1E"/>
    <w:rsid w:val="008D2717"/>
    <w:rsid w:val="008D43AD"/>
    <w:rsid w:val="008D4747"/>
    <w:rsid w:val="008D5987"/>
    <w:rsid w:val="008D6951"/>
    <w:rsid w:val="008E243F"/>
    <w:rsid w:val="008E598E"/>
    <w:rsid w:val="008E7232"/>
    <w:rsid w:val="008E7F98"/>
    <w:rsid w:val="008F612E"/>
    <w:rsid w:val="008F7535"/>
    <w:rsid w:val="008F7EF7"/>
    <w:rsid w:val="0090073D"/>
    <w:rsid w:val="00900C11"/>
    <w:rsid w:val="00901370"/>
    <w:rsid w:val="00901E07"/>
    <w:rsid w:val="00903B5D"/>
    <w:rsid w:val="00904C04"/>
    <w:rsid w:val="00905D4D"/>
    <w:rsid w:val="009105FE"/>
    <w:rsid w:val="009110BF"/>
    <w:rsid w:val="0091153E"/>
    <w:rsid w:val="00914B5A"/>
    <w:rsid w:val="00914B9B"/>
    <w:rsid w:val="00915039"/>
    <w:rsid w:val="00915913"/>
    <w:rsid w:val="00915972"/>
    <w:rsid w:val="00915EF3"/>
    <w:rsid w:val="0091600A"/>
    <w:rsid w:val="009164B3"/>
    <w:rsid w:val="00916C21"/>
    <w:rsid w:val="0091711E"/>
    <w:rsid w:val="00920877"/>
    <w:rsid w:val="009218AC"/>
    <w:rsid w:val="009227F0"/>
    <w:rsid w:val="009240DC"/>
    <w:rsid w:val="009240E0"/>
    <w:rsid w:val="009252AD"/>
    <w:rsid w:val="009272BC"/>
    <w:rsid w:val="0093204B"/>
    <w:rsid w:val="00933B3B"/>
    <w:rsid w:val="00933E59"/>
    <w:rsid w:val="0093673E"/>
    <w:rsid w:val="0093720F"/>
    <w:rsid w:val="00945EF0"/>
    <w:rsid w:val="00945FF2"/>
    <w:rsid w:val="009509B8"/>
    <w:rsid w:val="00951BBD"/>
    <w:rsid w:val="00952278"/>
    <w:rsid w:val="00952825"/>
    <w:rsid w:val="00954172"/>
    <w:rsid w:val="0095612C"/>
    <w:rsid w:val="00957AFB"/>
    <w:rsid w:val="009664B6"/>
    <w:rsid w:val="0096671B"/>
    <w:rsid w:val="00971183"/>
    <w:rsid w:val="00972A49"/>
    <w:rsid w:val="00973010"/>
    <w:rsid w:val="00975054"/>
    <w:rsid w:val="00981740"/>
    <w:rsid w:val="00981835"/>
    <w:rsid w:val="00981E7C"/>
    <w:rsid w:val="00982800"/>
    <w:rsid w:val="009836DD"/>
    <w:rsid w:val="00983DA9"/>
    <w:rsid w:val="009844BF"/>
    <w:rsid w:val="0098596F"/>
    <w:rsid w:val="00985AF6"/>
    <w:rsid w:val="00991094"/>
    <w:rsid w:val="00991419"/>
    <w:rsid w:val="00991804"/>
    <w:rsid w:val="0099224B"/>
    <w:rsid w:val="00992330"/>
    <w:rsid w:val="009932A7"/>
    <w:rsid w:val="00993BB9"/>
    <w:rsid w:val="0099430A"/>
    <w:rsid w:val="009A09C8"/>
    <w:rsid w:val="009A205B"/>
    <w:rsid w:val="009A2C4D"/>
    <w:rsid w:val="009A640D"/>
    <w:rsid w:val="009A67D6"/>
    <w:rsid w:val="009B2451"/>
    <w:rsid w:val="009B275F"/>
    <w:rsid w:val="009B3662"/>
    <w:rsid w:val="009B4097"/>
    <w:rsid w:val="009B6264"/>
    <w:rsid w:val="009B6CDC"/>
    <w:rsid w:val="009B7F7B"/>
    <w:rsid w:val="009C0BEB"/>
    <w:rsid w:val="009C3026"/>
    <w:rsid w:val="009C7943"/>
    <w:rsid w:val="009D0A93"/>
    <w:rsid w:val="009D2607"/>
    <w:rsid w:val="009D3B7C"/>
    <w:rsid w:val="009D3ED1"/>
    <w:rsid w:val="009D3F25"/>
    <w:rsid w:val="009D4671"/>
    <w:rsid w:val="009D6CC6"/>
    <w:rsid w:val="009D7658"/>
    <w:rsid w:val="009E080D"/>
    <w:rsid w:val="009E0EDF"/>
    <w:rsid w:val="009E3278"/>
    <w:rsid w:val="009E7F5B"/>
    <w:rsid w:val="009F2B55"/>
    <w:rsid w:val="009F436D"/>
    <w:rsid w:val="009F6B39"/>
    <w:rsid w:val="009F6EFE"/>
    <w:rsid w:val="00A026AE"/>
    <w:rsid w:val="00A02D2A"/>
    <w:rsid w:val="00A0568F"/>
    <w:rsid w:val="00A10906"/>
    <w:rsid w:val="00A12A53"/>
    <w:rsid w:val="00A14827"/>
    <w:rsid w:val="00A14DA0"/>
    <w:rsid w:val="00A1503C"/>
    <w:rsid w:val="00A1693A"/>
    <w:rsid w:val="00A1777E"/>
    <w:rsid w:val="00A20BBF"/>
    <w:rsid w:val="00A21BB6"/>
    <w:rsid w:val="00A2323F"/>
    <w:rsid w:val="00A24697"/>
    <w:rsid w:val="00A25FBC"/>
    <w:rsid w:val="00A266C1"/>
    <w:rsid w:val="00A27B12"/>
    <w:rsid w:val="00A27F6F"/>
    <w:rsid w:val="00A30A9E"/>
    <w:rsid w:val="00A30CA2"/>
    <w:rsid w:val="00A313FC"/>
    <w:rsid w:val="00A31587"/>
    <w:rsid w:val="00A323B7"/>
    <w:rsid w:val="00A356DC"/>
    <w:rsid w:val="00A36B44"/>
    <w:rsid w:val="00A41031"/>
    <w:rsid w:val="00A4212F"/>
    <w:rsid w:val="00A43C57"/>
    <w:rsid w:val="00A44F4D"/>
    <w:rsid w:val="00A508E8"/>
    <w:rsid w:val="00A50CFB"/>
    <w:rsid w:val="00A52546"/>
    <w:rsid w:val="00A53871"/>
    <w:rsid w:val="00A54B7D"/>
    <w:rsid w:val="00A60066"/>
    <w:rsid w:val="00A60BC0"/>
    <w:rsid w:val="00A60D75"/>
    <w:rsid w:val="00A61D6E"/>
    <w:rsid w:val="00A668A9"/>
    <w:rsid w:val="00A70B50"/>
    <w:rsid w:val="00A76165"/>
    <w:rsid w:val="00A765D6"/>
    <w:rsid w:val="00A77386"/>
    <w:rsid w:val="00A80765"/>
    <w:rsid w:val="00A80848"/>
    <w:rsid w:val="00A83085"/>
    <w:rsid w:val="00A83C9A"/>
    <w:rsid w:val="00A8676C"/>
    <w:rsid w:val="00A90A65"/>
    <w:rsid w:val="00A9118C"/>
    <w:rsid w:val="00A91842"/>
    <w:rsid w:val="00A934DA"/>
    <w:rsid w:val="00A958AD"/>
    <w:rsid w:val="00A958F5"/>
    <w:rsid w:val="00A9595D"/>
    <w:rsid w:val="00A967CD"/>
    <w:rsid w:val="00AA0BBB"/>
    <w:rsid w:val="00AA0E04"/>
    <w:rsid w:val="00AA2809"/>
    <w:rsid w:val="00AA2C72"/>
    <w:rsid w:val="00AA4FED"/>
    <w:rsid w:val="00AA5933"/>
    <w:rsid w:val="00AA619E"/>
    <w:rsid w:val="00AB0414"/>
    <w:rsid w:val="00AB07AB"/>
    <w:rsid w:val="00AB0E58"/>
    <w:rsid w:val="00AB1186"/>
    <w:rsid w:val="00AB25DA"/>
    <w:rsid w:val="00AB2E93"/>
    <w:rsid w:val="00AB4448"/>
    <w:rsid w:val="00AB5D39"/>
    <w:rsid w:val="00AB6D1C"/>
    <w:rsid w:val="00AB6F9B"/>
    <w:rsid w:val="00AB73E9"/>
    <w:rsid w:val="00AC1CD2"/>
    <w:rsid w:val="00AC1E57"/>
    <w:rsid w:val="00AC26FA"/>
    <w:rsid w:val="00AC3582"/>
    <w:rsid w:val="00AC499C"/>
    <w:rsid w:val="00AC5060"/>
    <w:rsid w:val="00AC7404"/>
    <w:rsid w:val="00AC76FD"/>
    <w:rsid w:val="00AD159F"/>
    <w:rsid w:val="00AD1D9E"/>
    <w:rsid w:val="00AD2453"/>
    <w:rsid w:val="00AD292C"/>
    <w:rsid w:val="00AD30B0"/>
    <w:rsid w:val="00AD3425"/>
    <w:rsid w:val="00AE0070"/>
    <w:rsid w:val="00AE1BE5"/>
    <w:rsid w:val="00AE2E9D"/>
    <w:rsid w:val="00AE4551"/>
    <w:rsid w:val="00AE570F"/>
    <w:rsid w:val="00AF459E"/>
    <w:rsid w:val="00AF6585"/>
    <w:rsid w:val="00AF6C52"/>
    <w:rsid w:val="00AF76B2"/>
    <w:rsid w:val="00AF7A71"/>
    <w:rsid w:val="00B004F9"/>
    <w:rsid w:val="00B043B0"/>
    <w:rsid w:val="00B06204"/>
    <w:rsid w:val="00B07E73"/>
    <w:rsid w:val="00B10BCD"/>
    <w:rsid w:val="00B10C42"/>
    <w:rsid w:val="00B10DB1"/>
    <w:rsid w:val="00B12C1F"/>
    <w:rsid w:val="00B1309B"/>
    <w:rsid w:val="00B132CB"/>
    <w:rsid w:val="00B14798"/>
    <w:rsid w:val="00B14EDB"/>
    <w:rsid w:val="00B16E0F"/>
    <w:rsid w:val="00B22A24"/>
    <w:rsid w:val="00B22BDC"/>
    <w:rsid w:val="00B24C45"/>
    <w:rsid w:val="00B259E7"/>
    <w:rsid w:val="00B2695D"/>
    <w:rsid w:val="00B2726F"/>
    <w:rsid w:val="00B27DFA"/>
    <w:rsid w:val="00B30939"/>
    <w:rsid w:val="00B330FA"/>
    <w:rsid w:val="00B34183"/>
    <w:rsid w:val="00B428E4"/>
    <w:rsid w:val="00B42FA4"/>
    <w:rsid w:val="00B43124"/>
    <w:rsid w:val="00B4329A"/>
    <w:rsid w:val="00B43993"/>
    <w:rsid w:val="00B44DAF"/>
    <w:rsid w:val="00B4525C"/>
    <w:rsid w:val="00B45D8A"/>
    <w:rsid w:val="00B50013"/>
    <w:rsid w:val="00B50F85"/>
    <w:rsid w:val="00B52976"/>
    <w:rsid w:val="00B53BC5"/>
    <w:rsid w:val="00B544E6"/>
    <w:rsid w:val="00B56E52"/>
    <w:rsid w:val="00B57A79"/>
    <w:rsid w:val="00B57F29"/>
    <w:rsid w:val="00B61DDC"/>
    <w:rsid w:val="00B63B60"/>
    <w:rsid w:val="00B63F40"/>
    <w:rsid w:val="00B64191"/>
    <w:rsid w:val="00B72A29"/>
    <w:rsid w:val="00B73BF7"/>
    <w:rsid w:val="00B745A6"/>
    <w:rsid w:val="00B74A55"/>
    <w:rsid w:val="00B74ED8"/>
    <w:rsid w:val="00B75FD7"/>
    <w:rsid w:val="00B76026"/>
    <w:rsid w:val="00B7648C"/>
    <w:rsid w:val="00B814B6"/>
    <w:rsid w:val="00B82030"/>
    <w:rsid w:val="00B82934"/>
    <w:rsid w:val="00B87FF0"/>
    <w:rsid w:val="00B91E92"/>
    <w:rsid w:val="00B937F5"/>
    <w:rsid w:val="00B9381F"/>
    <w:rsid w:val="00B93A83"/>
    <w:rsid w:val="00BA07C1"/>
    <w:rsid w:val="00BA2793"/>
    <w:rsid w:val="00BA2830"/>
    <w:rsid w:val="00BA2BA4"/>
    <w:rsid w:val="00BA4EF7"/>
    <w:rsid w:val="00BA5F8D"/>
    <w:rsid w:val="00BA629D"/>
    <w:rsid w:val="00BA6526"/>
    <w:rsid w:val="00BA6A1E"/>
    <w:rsid w:val="00BB3E15"/>
    <w:rsid w:val="00BB58B7"/>
    <w:rsid w:val="00BB7849"/>
    <w:rsid w:val="00BB7FCA"/>
    <w:rsid w:val="00BC11BA"/>
    <w:rsid w:val="00BC24AE"/>
    <w:rsid w:val="00BC30F2"/>
    <w:rsid w:val="00BC4A80"/>
    <w:rsid w:val="00BC6371"/>
    <w:rsid w:val="00BD06ED"/>
    <w:rsid w:val="00BD09C9"/>
    <w:rsid w:val="00BD0F1D"/>
    <w:rsid w:val="00BD2666"/>
    <w:rsid w:val="00BD3223"/>
    <w:rsid w:val="00BD4E4C"/>
    <w:rsid w:val="00BD5B38"/>
    <w:rsid w:val="00BD6C61"/>
    <w:rsid w:val="00BD71A6"/>
    <w:rsid w:val="00BD7207"/>
    <w:rsid w:val="00BE102E"/>
    <w:rsid w:val="00BE122F"/>
    <w:rsid w:val="00BE1FC1"/>
    <w:rsid w:val="00BE25C5"/>
    <w:rsid w:val="00BE577D"/>
    <w:rsid w:val="00BE6AAC"/>
    <w:rsid w:val="00BE6B03"/>
    <w:rsid w:val="00BE727B"/>
    <w:rsid w:val="00BE78F7"/>
    <w:rsid w:val="00BE7B50"/>
    <w:rsid w:val="00BF0037"/>
    <w:rsid w:val="00BF0329"/>
    <w:rsid w:val="00BF03A9"/>
    <w:rsid w:val="00BF0610"/>
    <w:rsid w:val="00BF0D0B"/>
    <w:rsid w:val="00BF1801"/>
    <w:rsid w:val="00BF26DA"/>
    <w:rsid w:val="00BF3E93"/>
    <w:rsid w:val="00BF51F7"/>
    <w:rsid w:val="00BF70A9"/>
    <w:rsid w:val="00BF75E3"/>
    <w:rsid w:val="00C02C3E"/>
    <w:rsid w:val="00C03FA0"/>
    <w:rsid w:val="00C0432F"/>
    <w:rsid w:val="00C04B84"/>
    <w:rsid w:val="00C071F9"/>
    <w:rsid w:val="00C07454"/>
    <w:rsid w:val="00C079A9"/>
    <w:rsid w:val="00C07A0C"/>
    <w:rsid w:val="00C10AEF"/>
    <w:rsid w:val="00C11751"/>
    <w:rsid w:val="00C12043"/>
    <w:rsid w:val="00C161F9"/>
    <w:rsid w:val="00C1797E"/>
    <w:rsid w:val="00C17C7F"/>
    <w:rsid w:val="00C21AA4"/>
    <w:rsid w:val="00C22583"/>
    <w:rsid w:val="00C2546A"/>
    <w:rsid w:val="00C255FB"/>
    <w:rsid w:val="00C27B48"/>
    <w:rsid w:val="00C316B2"/>
    <w:rsid w:val="00C34470"/>
    <w:rsid w:val="00C367E8"/>
    <w:rsid w:val="00C36FCA"/>
    <w:rsid w:val="00C40719"/>
    <w:rsid w:val="00C41378"/>
    <w:rsid w:val="00C43BE8"/>
    <w:rsid w:val="00C44CE6"/>
    <w:rsid w:val="00C450C4"/>
    <w:rsid w:val="00C50DB6"/>
    <w:rsid w:val="00C5130C"/>
    <w:rsid w:val="00C51E0F"/>
    <w:rsid w:val="00C51EE0"/>
    <w:rsid w:val="00C5332D"/>
    <w:rsid w:val="00C533DF"/>
    <w:rsid w:val="00C55E82"/>
    <w:rsid w:val="00C61C61"/>
    <w:rsid w:val="00C62802"/>
    <w:rsid w:val="00C62899"/>
    <w:rsid w:val="00C64737"/>
    <w:rsid w:val="00C64D38"/>
    <w:rsid w:val="00C65EDF"/>
    <w:rsid w:val="00C70941"/>
    <w:rsid w:val="00C745A6"/>
    <w:rsid w:val="00C761BB"/>
    <w:rsid w:val="00C806B8"/>
    <w:rsid w:val="00C8234F"/>
    <w:rsid w:val="00C823B8"/>
    <w:rsid w:val="00C83CE0"/>
    <w:rsid w:val="00C840F6"/>
    <w:rsid w:val="00C85668"/>
    <w:rsid w:val="00C85F46"/>
    <w:rsid w:val="00C86B34"/>
    <w:rsid w:val="00C86DF6"/>
    <w:rsid w:val="00C8703A"/>
    <w:rsid w:val="00C901DD"/>
    <w:rsid w:val="00C90BB2"/>
    <w:rsid w:val="00C9300C"/>
    <w:rsid w:val="00C930A8"/>
    <w:rsid w:val="00C97C5E"/>
    <w:rsid w:val="00CA1985"/>
    <w:rsid w:val="00CA2D7F"/>
    <w:rsid w:val="00CA3B9F"/>
    <w:rsid w:val="00CA4632"/>
    <w:rsid w:val="00CA4664"/>
    <w:rsid w:val="00CA499E"/>
    <w:rsid w:val="00CA54D2"/>
    <w:rsid w:val="00CA74F8"/>
    <w:rsid w:val="00CA7AA6"/>
    <w:rsid w:val="00CA7B98"/>
    <w:rsid w:val="00CB10E7"/>
    <w:rsid w:val="00CB3384"/>
    <w:rsid w:val="00CB3E2A"/>
    <w:rsid w:val="00CC2D31"/>
    <w:rsid w:val="00CC3F3F"/>
    <w:rsid w:val="00CC563B"/>
    <w:rsid w:val="00CC7286"/>
    <w:rsid w:val="00CC7C9C"/>
    <w:rsid w:val="00CD0D5E"/>
    <w:rsid w:val="00CD1B09"/>
    <w:rsid w:val="00CD602B"/>
    <w:rsid w:val="00CD6763"/>
    <w:rsid w:val="00CD6F85"/>
    <w:rsid w:val="00CE0866"/>
    <w:rsid w:val="00CE490B"/>
    <w:rsid w:val="00CE4EA7"/>
    <w:rsid w:val="00CF0760"/>
    <w:rsid w:val="00CF2937"/>
    <w:rsid w:val="00CF4697"/>
    <w:rsid w:val="00CF479C"/>
    <w:rsid w:val="00CF48C8"/>
    <w:rsid w:val="00CF4B4F"/>
    <w:rsid w:val="00CF7694"/>
    <w:rsid w:val="00D00F0B"/>
    <w:rsid w:val="00D00F14"/>
    <w:rsid w:val="00D01135"/>
    <w:rsid w:val="00D02335"/>
    <w:rsid w:val="00D025E5"/>
    <w:rsid w:val="00D02A1B"/>
    <w:rsid w:val="00D02B17"/>
    <w:rsid w:val="00D02E4E"/>
    <w:rsid w:val="00D040FF"/>
    <w:rsid w:val="00D10690"/>
    <w:rsid w:val="00D10EBA"/>
    <w:rsid w:val="00D11537"/>
    <w:rsid w:val="00D14051"/>
    <w:rsid w:val="00D153B4"/>
    <w:rsid w:val="00D17A07"/>
    <w:rsid w:val="00D17E22"/>
    <w:rsid w:val="00D22A1D"/>
    <w:rsid w:val="00D22DDF"/>
    <w:rsid w:val="00D23349"/>
    <w:rsid w:val="00D239B6"/>
    <w:rsid w:val="00D24FEC"/>
    <w:rsid w:val="00D33210"/>
    <w:rsid w:val="00D359C8"/>
    <w:rsid w:val="00D43A95"/>
    <w:rsid w:val="00D4634E"/>
    <w:rsid w:val="00D470C3"/>
    <w:rsid w:val="00D472AD"/>
    <w:rsid w:val="00D50884"/>
    <w:rsid w:val="00D54CD9"/>
    <w:rsid w:val="00D55184"/>
    <w:rsid w:val="00D5751C"/>
    <w:rsid w:val="00D60729"/>
    <w:rsid w:val="00D62E52"/>
    <w:rsid w:val="00D6390A"/>
    <w:rsid w:val="00D64A67"/>
    <w:rsid w:val="00D65CFC"/>
    <w:rsid w:val="00D66A51"/>
    <w:rsid w:val="00D67D41"/>
    <w:rsid w:val="00D706F1"/>
    <w:rsid w:val="00D71E46"/>
    <w:rsid w:val="00D73B36"/>
    <w:rsid w:val="00D75E8F"/>
    <w:rsid w:val="00D77F71"/>
    <w:rsid w:val="00D86C93"/>
    <w:rsid w:val="00D87274"/>
    <w:rsid w:val="00D87705"/>
    <w:rsid w:val="00D8784F"/>
    <w:rsid w:val="00D938E1"/>
    <w:rsid w:val="00D94859"/>
    <w:rsid w:val="00D94F0E"/>
    <w:rsid w:val="00D956BD"/>
    <w:rsid w:val="00D95CC5"/>
    <w:rsid w:val="00D97923"/>
    <w:rsid w:val="00DA0160"/>
    <w:rsid w:val="00DA2118"/>
    <w:rsid w:val="00DA2766"/>
    <w:rsid w:val="00DA2AF6"/>
    <w:rsid w:val="00DA3767"/>
    <w:rsid w:val="00DA424E"/>
    <w:rsid w:val="00DA50EC"/>
    <w:rsid w:val="00DA6A08"/>
    <w:rsid w:val="00DA7740"/>
    <w:rsid w:val="00DB0CF6"/>
    <w:rsid w:val="00DB131B"/>
    <w:rsid w:val="00DB24A6"/>
    <w:rsid w:val="00DB24BF"/>
    <w:rsid w:val="00DB31AB"/>
    <w:rsid w:val="00DB4E1D"/>
    <w:rsid w:val="00DB4F49"/>
    <w:rsid w:val="00DB67FC"/>
    <w:rsid w:val="00DC01CA"/>
    <w:rsid w:val="00DC0E0E"/>
    <w:rsid w:val="00DC4929"/>
    <w:rsid w:val="00DC651E"/>
    <w:rsid w:val="00DC6FB3"/>
    <w:rsid w:val="00DC76B2"/>
    <w:rsid w:val="00DD0291"/>
    <w:rsid w:val="00DD0F28"/>
    <w:rsid w:val="00DD191B"/>
    <w:rsid w:val="00DD2CAE"/>
    <w:rsid w:val="00DD3857"/>
    <w:rsid w:val="00DD5449"/>
    <w:rsid w:val="00DD7A5A"/>
    <w:rsid w:val="00DE1622"/>
    <w:rsid w:val="00DE368C"/>
    <w:rsid w:val="00DE3C78"/>
    <w:rsid w:val="00DE45A4"/>
    <w:rsid w:val="00DE4D4F"/>
    <w:rsid w:val="00DE533C"/>
    <w:rsid w:val="00DE6394"/>
    <w:rsid w:val="00DF2BC0"/>
    <w:rsid w:val="00DF2F7A"/>
    <w:rsid w:val="00DF3FAE"/>
    <w:rsid w:val="00DF5556"/>
    <w:rsid w:val="00DF6E04"/>
    <w:rsid w:val="00E021FE"/>
    <w:rsid w:val="00E035DC"/>
    <w:rsid w:val="00E03DA9"/>
    <w:rsid w:val="00E05C1E"/>
    <w:rsid w:val="00E10232"/>
    <w:rsid w:val="00E11735"/>
    <w:rsid w:val="00E12833"/>
    <w:rsid w:val="00E12FDA"/>
    <w:rsid w:val="00E13866"/>
    <w:rsid w:val="00E1419E"/>
    <w:rsid w:val="00E1426E"/>
    <w:rsid w:val="00E16873"/>
    <w:rsid w:val="00E20212"/>
    <w:rsid w:val="00E2148A"/>
    <w:rsid w:val="00E22FDC"/>
    <w:rsid w:val="00E242A5"/>
    <w:rsid w:val="00E243D4"/>
    <w:rsid w:val="00E2453A"/>
    <w:rsid w:val="00E24C65"/>
    <w:rsid w:val="00E25CBD"/>
    <w:rsid w:val="00E30BAE"/>
    <w:rsid w:val="00E32A36"/>
    <w:rsid w:val="00E33AAA"/>
    <w:rsid w:val="00E33B3A"/>
    <w:rsid w:val="00E40911"/>
    <w:rsid w:val="00E4261D"/>
    <w:rsid w:val="00E43552"/>
    <w:rsid w:val="00E448D8"/>
    <w:rsid w:val="00E44ADF"/>
    <w:rsid w:val="00E45553"/>
    <w:rsid w:val="00E4575A"/>
    <w:rsid w:val="00E468AD"/>
    <w:rsid w:val="00E46F61"/>
    <w:rsid w:val="00E47B77"/>
    <w:rsid w:val="00E514BB"/>
    <w:rsid w:val="00E52556"/>
    <w:rsid w:val="00E54785"/>
    <w:rsid w:val="00E54E61"/>
    <w:rsid w:val="00E56296"/>
    <w:rsid w:val="00E609F5"/>
    <w:rsid w:val="00E60BD4"/>
    <w:rsid w:val="00E60DFE"/>
    <w:rsid w:val="00E61A67"/>
    <w:rsid w:val="00E61E1C"/>
    <w:rsid w:val="00E61FB3"/>
    <w:rsid w:val="00E6363A"/>
    <w:rsid w:val="00E63CAA"/>
    <w:rsid w:val="00E65F38"/>
    <w:rsid w:val="00E66B37"/>
    <w:rsid w:val="00E71050"/>
    <w:rsid w:val="00E7537E"/>
    <w:rsid w:val="00E76D69"/>
    <w:rsid w:val="00E77635"/>
    <w:rsid w:val="00E801B9"/>
    <w:rsid w:val="00E80DD4"/>
    <w:rsid w:val="00E811D3"/>
    <w:rsid w:val="00E81205"/>
    <w:rsid w:val="00E81B30"/>
    <w:rsid w:val="00E81B69"/>
    <w:rsid w:val="00E81DA3"/>
    <w:rsid w:val="00E824C2"/>
    <w:rsid w:val="00E828E7"/>
    <w:rsid w:val="00E836BC"/>
    <w:rsid w:val="00E83C06"/>
    <w:rsid w:val="00E91CCF"/>
    <w:rsid w:val="00E9364A"/>
    <w:rsid w:val="00E93690"/>
    <w:rsid w:val="00E94536"/>
    <w:rsid w:val="00E95FB1"/>
    <w:rsid w:val="00E968AD"/>
    <w:rsid w:val="00E9762B"/>
    <w:rsid w:val="00EA0644"/>
    <w:rsid w:val="00EA0F91"/>
    <w:rsid w:val="00EA2F9B"/>
    <w:rsid w:val="00EA3771"/>
    <w:rsid w:val="00EA3AD0"/>
    <w:rsid w:val="00EA3EA0"/>
    <w:rsid w:val="00EA3F9A"/>
    <w:rsid w:val="00EA656C"/>
    <w:rsid w:val="00EB32D6"/>
    <w:rsid w:val="00EB3B4F"/>
    <w:rsid w:val="00EB6043"/>
    <w:rsid w:val="00EB6F7D"/>
    <w:rsid w:val="00EC48C8"/>
    <w:rsid w:val="00EC4DE8"/>
    <w:rsid w:val="00EC598E"/>
    <w:rsid w:val="00EC660A"/>
    <w:rsid w:val="00EC7C86"/>
    <w:rsid w:val="00ED0CE5"/>
    <w:rsid w:val="00ED1124"/>
    <w:rsid w:val="00ED1408"/>
    <w:rsid w:val="00ED2803"/>
    <w:rsid w:val="00ED36E7"/>
    <w:rsid w:val="00ED5470"/>
    <w:rsid w:val="00ED6118"/>
    <w:rsid w:val="00ED6C6E"/>
    <w:rsid w:val="00ED78DE"/>
    <w:rsid w:val="00EE1105"/>
    <w:rsid w:val="00EE16EE"/>
    <w:rsid w:val="00EE1891"/>
    <w:rsid w:val="00EE19AB"/>
    <w:rsid w:val="00EE1BAC"/>
    <w:rsid w:val="00EE6BF1"/>
    <w:rsid w:val="00EE7271"/>
    <w:rsid w:val="00EE75AB"/>
    <w:rsid w:val="00EF084D"/>
    <w:rsid w:val="00EF1AF1"/>
    <w:rsid w:val="00EF7708"/>
    <w:rsid w:val="00F0240B"/>
    <w:rsid w:val="00F02847"/>
    <w:rsid w:val="00F038FF"/>
    <w:rsid w:val="00F03D9D"/>
    <w:rsid w:val="00F069E5"/>
    <w:rsid w:val="00F073C2"/>
    <w:rsid w:val="00F118D7"/>
    <w:rsid w:val="00F11D1A"/>
    <w:rsid w:val="00F14732"/>
    <w:rsid w:val="00F16438"/>
    <w:rsid w:val="00F17B28"/>
    <w:rsid w:val="00F208EE"/>
    <w:rsid w:val="00F209D2"/>
    <w:rsid w:val="00F21320"/>
    <w:rsid w:val="00F22100"/>
    <w:rsid w:val="00F23909"/>
    <w:rsid w:val="00F24F05"/>
    <w:rsid w:val="00F26A16"/>
    <w:rsid w:val="00F27F5B"/>
    <w:rsid w:val="00F306AB"/>
    <w:rsid w:val="00F310AD"/>
    <w:rsid w:val="00F31E44"/>
    <w:rsid w:val="00F34B23"/>
    <w:rsid w:val="00F34B87"/>
    <w:rsid w:val="00F35EB8"/>
    <w:rsid w:val="00F3658F"/>
    <w:rsid w:val="00F41223"/>
    <w:rsid w:val="00F416A5"/>
    <w:rsid w:val="00F420E6"/>
    <w:rsid w:val="00F429F1"/>
    <w:rsid w:val="00F4352D"/>
    <w:rsid w:val="00F44E6C"/>
    <w:rsid w:val="00F5071D"/>
    <w:rsid w:val="00F50972"/>
    <w:rsid w:val="00F52A81"/>
    <w:rsid w:val="00F54A98"/>
    <w:rsid w:val="00F5686B"/>
    <w:rsid w:val="00F56C45"/>
    <w:rsid w:val="00F600D3"/>
    <w:rsid w:val="00F60324"/>
    <w:rsid w:val="00F61465"/>
    <w:rsid w:val="00F614AE"/>
    <w:rsid w:val="00F617DC"/>
    <w:rsid w:val="00F62330"/>
    <w:rsid w:val="00F63D52"/>
    <w:rsid w:val="00F6453E"/>
    <w:rsid w:val="00F647DE"/>
    <w:rsid w:val="00F658BC"/>
    <w:rsid w:val="00F658E6"/>
    <w:rsid w:val="00F65D4F"/>
    <w:rsid w:val="00F675D5"/>
    <w:rsid w:val="00F70377"/>
    <w:rsid w:val="00F7123E"/>
    <w:rsid w:val="00F71332"/>
    <w:rsid w:val="00F722F8"/>
    <w:rsid w:val="00F73E0B"/>
    <w:rsid w:val="00F7531A"/>
    <w:rsid w:val="00F753C5"/>
    <w:rsid w:val="00F759A4"/>
    <w:rsid w:val="00F76155"/>
    <w:rsid w:val="00F77108"/>
    <w:rsid w:val="00F77B06"/>
    <w:rsid w:val="00F81273"/>
    <w:rsid w:val="00F81B84"/>
    <w:rsid w:val="00F82919"/>
    <w:rsid w:val="00F82BFF"/>
    <w:rsid w:val="00F831B3"/>
    <w:rsid w:val="00F842F6"/>
    <w:rsid w:val="00F8697B"/>
    <w:rsid w:val="00F86F21"/>
    <w:rsid w:val="00F8716F"/>
    <w:rsid w:val="00F90FEB"/>
    <w:rsid w:val="00F91EC4"/>
    <w:rsid w:val="00F925CB"/>
    <w:rsid w:val="00F96778"/>
    <w:rsid w:val="00F96884"/>
    <w:rsid w:val="00F96D23"/>
    <w:rsid w:val="00F97023"/>
    <w:rsid w:val="00F97437"/>
    <w:rsid w:val="00FA0109"/>
    <w:rsid w:val="00FA0E42"/>
    <w:rsid w:val="00FA1C7D"/>
    <w:rsid w:val="00FB0A66"/>
    <w:rsid w:val="00FB5E1C"/>
    <w:rsid w:val="00FB5F78"/>
    <w:rsid w:val="00FC1D53"/>
    <w:rsid w:val="00FD0D65"/>
    <w:rsid w:val="00FD15EC"/>
    <w:rsid w:val="00FD2509"/>
    <w:rsid w:val="00FD2D7C"/>
    <w:rsid w:val="00FD5A6C"/>
    <w:rsid w:val="00FE2A99"/>
    <w:rsid w:val="00FE59A3"/>
    <w:rsid w:val="00FE6A61"/>
    <w:rsid w:val="00FE6A9D"/>
    <w:rsid w:val="00FE7ED2"/>
    <w:rsid w:val="00FF1A21"/>
    <w:rsid w:val="00FF40C4"/>
    <w:rsid w:val="00FF6968"/>
    <w:rsid w:val="00FF714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38593"/>
  <w15:docId w15:val="{9F51EC7C-61B7-4B8B-B556-5838BDD5B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86726"/>
    <w:pPr>
      <w:spacing w:after="0" w:line="240" w:lineRule="auto"/>
      <w:jc w:val="both"/>
    </w:pPr>
    <w:rPr>
      <w:rFonts w:ascii="Times New Roman" w:eastAsia="Times New Roman" w:hAnsi="Times New Roman" w:cs="Times New Roman"/>
      <w:sz w:val="28"/>
      <w:szCs w:val="28"/>
      <w:lang w:eastAsia="ru-RU"/>
    </w:rPr>
  </w:style>
  <w:style w:type="paragraph" w:styleId="1">
    <w:name w:val="heading 1"/>
    <w:basedOn w:val="a"/>
    <w:next w:val="a"/>
    <w:link w:val="10"/>
    <w:autoRedefine/>
    <w:uiPriority w:val="9"/>
    <w:qFormat/>
    <w:rsid w:val="00AC499C"/>
    <w:pPr>
      <w:keepNext/>
      <w:numPr>
        <w:numId w:val="141"/>
      </w:numPr>
      <w:spacing w:before="240" w:after="60"/>
      <w:outlineLvl w:val="0"/>
    </w:pPr>
    <w:rPr>
      <w:rFonts w:eastAsia="Arial" w:cs="Arial"/>
      <w:b/>
      <w:color w:val="0070C0"/>
      <w:szCs w:val="22"/>
    </w:rPr>
  </w:style>
  <w:style w:type="paragraph" w:styleId="2">
    <w:name w:val="heading 2"/>
    <w:basedOn w:val="a"/>
    <w:next w:val="a"/>
    <w:link w:val="20"/>
    <w:uiPriority w:val="9"/>
    <w:unhideWhenUsed/>
    <w:qFormat/>
    <w:rsid w:val="00DC4929"/>
    <w:pPr>
      <w:keepNext/>
      <w:spacing w:before="240" w:after="60"/>
      <w:jc w:val="left"/>
      <w:outlineLvl w:val="1"/>
    </w:pPr>
    <w:rPr>
      <w:rFonts w:ascii="Arial" w:eastAsia="Arial" w:hAnsi="Arial" w:cs="Arial"/>
      <w:b/>
      <w:i/>
    </w:rPr>
  </w:style>
  <w:style w:type="paragraph" w:styleId="3">
    <w:name w:val="heading 3"/>
    <w:basedOn w:val="a"/>
    <w:next w:val="a"/>
    <w:link w:val="30"/>
    <w:uiPriority w:val="9"/>
    <w:unhideWhenUsed/>
    <w:qFormat/>
    <w:rsid w:val="00DC4929"/>
    <w:pPr>
      <w:keepNext/>
      <w:spacing w:before="240" w:after="60"/>
      <w:outlineLvl w:val="2"/>
    </w:pPr>
    <w:rPr>
      <w:rFonts w:ascii="Arial" w:eastAsia="Arial" w:hAnsi="Arial" w:cs="Arial"/>
      <w:b/>
    </w:rPr>
  </w:style>
  <w:style w:type="paragraph" w:styleId="4">
    <w:name w:val="heading 4"/>
    <w:basedOn w:val="a"/>
    <w:next w:val="a"/>
    <w:link w:val="40"/>
    <w:uiPriority w:val="9"/>
    <w:semiHidden/>
    <w:unhideWhenUsed/>
    <w:qFormat/>
    <w:rsid w:val="00DC4929"/>
    <w:pPr>
      <w:keepNext/>
      <w:ind w:firstLine="709"/>
      <w:jc w:val="center"/>
      <w:outlineLvl w:val="3"/>
    </w:pPr>
    <w:rPr>
      <w:b/>
    </w:rPr>
  </w:style>
  <w:style w:type="paragraph" w:styleId="5">
    <w:name w:val="heading 5"/>
    <w:basedOn w:val="a"/>
    <w:next w:val="a"/>
    <w:link w:val="50"/>
    <w:uiPriority w:val="9"/>
    <w:semiHidden/>
    <w:unhideWhenUsed/>
    <w:qFormat/>
    <w:rsid w:val="00DC4929"/>
    <w:pPr>
      <w:spacing w:before="240" w:after="60"/>
      <w:jc w:val="left"/>
      <w:outlineLvl w:val="4"/>
    </w:pPr>
    <w:rPr>
      <w:b/>
      <w:i/>
    </w:rPr>
  </w:style>
  <w:style w:type="paragraph" w:styleId="6">
    <w:name w:val="heading 6"/>
    <w:basedOn w:val="a"/>
    <w:next w:val="a"/>
    <w:link w:val="60"/>
    <w:uiPriority w:val="9"/>
    <w:semiHidden/>
    <w:unhideWhenUsed/>
    <w:qFormat/>
    <w:rsid w:val="00DC4929"/>
    <w:pPr>
      <w:spacing w:before="240" w:after="60"/>
      <w:jc w:val="left"/>
      <w:outlineLvl w:val="5"/>
    </w:pPr>
    <w:rPr>
      <w:b/>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C499C"/>
    <w:rPr>
      <w:rFonts w:ascii="Times New Roman" w:eastAsia="Arial" w:hAnsi="Times New Roman" w:cs="Arial"/>
      <w:b/>
      <w:color w:val="0070C0"/>
      <w:sz w:val="28"/>
      <w:lang w:eastAsia="ru-RU"/>
    </w:rPr>
  </w:style>
  <w:style w:type="character" w:customStyle="1" w:styleId="20">
    <w:name w:val="Заголовок 2 Знак"/>
    <w:basedOn w:val="a0"/>
    <w:link w:val="2"/>
    <w:uiPriority w:val="9"/>
    <w:qFormat/>
    <w:rsid w:val="00DC4929"/>
    <w:rPr>
      <w:rFonts w:ascii="Arial" w:eastAsia="Arial" w:hAnsi="Arial" w:cs="Arial"/>
      <w:b/>
      <w:i/>
      <w:sz w:val="28"/>
      <w:szCs w:val="28"/>
      <w:lang w:eastAsia="ru-RU"/>
    </w:rPr>
  </w:style>
  <w:style w:type="character" w:customStyle="1" w:styleId="30">
    <w:name w:val="Заголовок 3 Знак"/>
    <w:basedOn w:val="a0"/>
    <w:link w:val="3"/>
    <w:uiPriority w:val="9"/>
    <w:rsid w:val="00DC4929"/>
    <w:rPr>
      <w:rFonts w:ascii="Arial" w:eastAsia="Arial" w:hAnsi="Arial" w:cs="Arial"/>
      <w:b/>
      <w:sz w:val="28"/>
      <w:szCs w:val="28"/>
      <w:lang w:eastAsia="ru-RU"/>
    </w:rPr>
  </w:style>
  <w:style w:type="character" w:customStyle="1" w:styleId="40">
    <w:name w:val="Заголовок 4 Знак"/>
    <w:basedOn w:val="a0"/>
    <w:link w:val="4"/>
    <w:uiPriority w:val="9"/>
    <w:semiHidden/>
    <w:rsid w:val="00DC4929"/>
    <w:rPr>
      <w:rFonts w:ascii="Times New Roman" w:eastAsia="Times New Roman" w:hAnsi="Times New Roman" w:cs="Times New Roman"/>
      <w:b/>
      <w:sz w:val="28"/>
      <w:szCs w:val="28"/>
      <w:lang w:eastAsia="ru-RU"/>
    </w:rPr>
  </w:style>
  <w:style w:type="character" w:customStyle="1" w:styleId="50">
    <w:name w:val="Заголовок 5 Знак"/>
    <w:basedOn w:val="a0"/>
    <w:link w:val="5"/>
    <w:uiPriority w:val="9"/>
    <w:semiHidden/>
    <w:rsid w:val="00DC4929"/>
    <w:rPr>
      <w:rFonts w:ascii="Times New Roman" w:eastAsia="Times New Roman" w:hAnsi="Times New Roman" w:cs="Times New Roman"/>
      <w:b/>
      <w:i/>
      <w:sz w:val="28"/>
      <w:szCs w:val="28"/>
      <w:lang w:eastAsia="ru-RU"/>
    </w:rPr>
  </w:style>
  <w:style w:type="character" w:customStyle="1" w:styleId="60">
    <w:name w:val="Заголовок 6 Знак"/>
    <w:basedOn w:val="a0"/>
    <w:link w:val="6"/>
    <w:uiPriority w:val="9"/>
    <w:semiHidden/>
    <w:rsid w:val="00DC4929"/>
    <w:rPr>
      <w:rFonts w:ascii="Times New Roman" w:eastAsia="Times New Roman" w:hAnsi="Times New Roman" w:cs="Times New Roman"/>
      <w:b/>
      <w:lang w:eastAsia="ru-RU"/>
    </w:rPr>
  </w:style>
  <w:style w:type="table" w:customStyle="1" w:styleId="TableNormal">
    <w:name w:val="Table Normal"/>
    <w:rsid w:val="00DC4929"/>
    <w:pPr>
      <w:spacing w:after="0" w:line="240" w:lineRule="auto"/>
      <w:jc w:val="both"/>
    </w:pPr>
    <w:rPr>
      <w:rFonts w:ascii="Times New Roman" w:eastAsia="Times New Roman" w:hAnsi="Times New Roman" w:cs="Times New Roman"/>
      <w:sz w:val="28"/>
      <w:szCs w:val="28"/>
      <w:lang w:eastAsia="ru-RU"/>
    </w:rPr>
    <w:tblPr>
      <w:tblCellMar>
        <w:top w:w="0" w:type="dxa"/>
        <w:left w:w="0" w:type="dxa"/>
        <w:bottom w:w="0" w:type="dxa"/>
        <w:right w:w="0" w:type="dxa"/>
      </w:tblCellMar>
    </w:tblPr>
  </w:style>
  <w:style w:type="paragraph" w:styleId="a3">
    <w:name w:val="Title"/>
    <w:basedOn w:val="a"/>
    <w:next w:val="a"/>
    <w:link w:val="a4"/>
    <w:uiPriority w:val="10"/>
    <w:qFormat/>
    <w:rsid w:val="00DC4929"/>
    <w:pPr>
      <w:jc w:val="center"/>
    </w:pPr>
    <w:rPr>
      <w:b/>
    </w:rPr>
  </w:style>
  <w:style w:type="character" w:customStyle="1" w:styleId="a4">
    <w:name w:val="Заголовок Знак"/>
    <w:basedOn w:val="a0"/>
    <w:link w:val="a3"/>
    <w:uiPriority w:val="10"/>
    <w:rsid w:val="00DC4929"/>
    <w:rPr>
      <w:rFonts w:ascii="Times New Roman" w:eastAsia="Times New Roman" w:hAnsi="Times New Roman" w:cs="Times New Roman"/>
      <w:b/>
      <w:sz w:val="28"/>
      <w:szCs w:val="28"/>
      <w:lang w:eastAsia="ru-RU"/>
    </w:rPr>
  </w:style>
  <w:style w:type="paragraph" w:styleId="a5">
    <w:name w:val="Subtitle"/>
    <w:basedOn w:val="a"/>
    <w:next w:val="a"/>
    <w:link w:val="a6"/>
    <w:uiPriority w:val="11"/>
    <w:qFormat/>
    <w:rsid w:val="00DC4929"/>
    <w:pPr>
      <w:ind w:firstLine="709"/>
    </w:pPr>
  </w:style>
  <w:style w:type="character" w:customStyle="1" w:styleId="a6">
    <w:name w:val="Подзаголовок Знак"/>
    <w:basedOn w:val="a0"/>
    <w:link w:val="a5"/>
    <w:uiPriority w:val="11"/>
    <w:rsid w:val="00DC4929"/>
    <w:rPr>
      <w:rFonts w:ascii="Times New Roman" w:eastAsia="Times New Roman" w:hAnsi="Times New Roman" w:cs="Times New Roman"/>
      <w:sz w:val="28"/>
      <w:szCs w:val="28"/>
      <w:lang w:eastAsia="ru-RU"/>
    </w:rPr>
  </w:style>
  <w:style w:type="paragraph" w:styleId="a7">
    <w:name w:val="List Paragraph"/>
    <w:aliases w:val="Paragraphe de liste1,List Paragraph (numbered (a)),References,Resume Title,List Paragraph - bullets"/>
    <w:basedOn w:val="a"/>
    <w:link w:val="a8"/>
    <w:uiPriority w:val="34"/>
    <w:qFormat/>
    <w:rsid w:val="00DC4929"/>
    <w:pPr>
      <w:ind w:left="720"/>
      <w:contextualSpacing/>
    </w:pPr>
  </w:style>
  <w:style w:type="paragraph" w:styleId="a9">
    <w:name w:val="Balloon Text"/>
    <w:basedOn w:val="a"/>
    <w:link w:val="aa"/>
    <w:uiPriority w:val="99"/>
    <w:semiHidden/>
    <w:unhideWhenUsed/>
    <w:rsid w:val="00DC4929"/>
    <w:rPr>
      <w:rFonts w:ascii="Tahoma" w:hAnsi="Tahoma" w:cs="Tahoma"/>
      <w:sz w:val="16"/>
      <w:szCs w:val="16"/>
    </w:rPr>
  </w:style>
  <w:style w:type="character" w:customStyle="1" w:styleId="aa">
    <w:name w:val="Текст выноски Знак"/>
    <w:basedOn w:val="a0"/>
    <w:link w:val="a9"/>
    <w:uiPriority w:val="99"/>
    <w:semiHidden/>
    <w:rsid w:val="00DC4929"/>
    <w:rPr>
      <w:rFonts w:ascii="Tahoma" w:eastAsia="Times New Roman" w:hAnsi="Tahoma" w:cs="Tahoma"/>
      <w:sz w:val="16"/>
      <w:szCs w:val="16"/>
      <w:lang w:eastAsia="ru-RU"/>
    </w:rPr>
  </w:style>
  <w:style w:type="paragraph" w:styleId="ab">
    <w:name w:val="header"/>
    <w:basedOn w:val="a"/>
    <w:link w:val="ac"/>
    <w:uiPriority w:val="99"/>
    <w:semiHidden/>
    <w:unhideWhenUsed/>
    <w:rsid w:val="00DC4929"/>
    <w:pPr>
      <w:tabs>
        <w:tab w:val="center" w:pos="4819"/>
        <w:tab w:val="right" w:pos="9639"/>
      </w:tabs>
    </w:pPr>
  </w:style>
  <w:style w:type="character" w:customStyle="1" w:styleId="ac">
    <w:name w:val="Верхний колонтитул Знак"/>
    <w:basedOn w:val="a0"/>
    <w:link w:val="ab"/>
    <w:uiPriority w:val="99"/>
    <w:semiHidden/>
    <w:rsid w:val="00DC4929"/>
    <w:rPr>
      <w:rFonts w:ascii="Times New Roman" w:eastAsia="Times New Roman" w:hAnsi="Times New Roman" w:cs="Times New Roman"/>
      <w:sz w:val="28"/>
      <w:szCs w:val="28"/>
      <w:lang w:eastAsia="ru-RU"/>
    </w:rPr>
  </w:style>
  <w:style w:type="paragraph" w:styleId="ad">
    <w:name w:val="footer"/>
    <w:basedOn w:val="a"/>
    <w:link w:val="ae"/>
    <w:uiPriority w:val="99"/>
    <w:semiHidden/>
    <w:unhideWhenUsed/>
    <w:rsid w:val="00DC4929"/>
    <w:pPr>
      <w:tabs>
        <w:tab w:val="center" w:pos="4819"/>
        <w:tab w:val="right" w:pos="9639"/>
      </w:tabs>
    </w:pPr>
  </w:style>
  <w:style w:type="character" w:customStyle="1" w:styleId="ae">
    <w:name w:val="Нижний колонтитул Знак"/>
    <w:basedOn w:val="a0"/>
    <w:link w:val="ad"/>
    <w:uiPriority w:val="99"/>
    <w:semiHidden/>
    <w:rsid w:val="00DC4929"/>
    <w:rPr>
      <w:rFonts w:ascii="Times New Roman" w:eastAsia="Times New Roman" w:hAnsi="Times New Roman" w:cs="Times New Roman"/>
      <w:sz w:val="28"/>
      <w:szCs w:val="28"/>
      <w:lang w:eastAsia="ru-RU"/>
    </w:rPr>
  </w:style>
  <w:style w:type="paragraph" w:customStyle="1" w:styleId="rvps2">
    <w:name w:val="rvps2"/>
    <w:basedOn w:val="a"/>
    <w:rsid w:val="00DC4929"/>
    <w:pPr>
      <w:spacing w:before="100" w:beforeAutospacing="1" w:after="100" w:afterAutospacing="1"/>
      <w:jc w:val="left"/>
    </w:pPr>
    <w:rPr>
      <w:sz w:val="24"/>
      <w:szCs w:val="24"/>
      <w:lang w:val="ru-RU" w:eastAsia="uk-UA"/>
    </w:rPr>
  </w:style>
  <w:style w:type="table" w:customStyle="1" w:styleId="11">
    <w:name w:val="Сетка таблицы1"/>
    <w:basedOn w:val="a1"/>
    <w:next w:val="af"/>
    <w:uiPriority w:val="59"/>
    <w:rsid w:val="00DC4929"/>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Table Grid"/>
    <w:basedOn w:val="a1"/>
    <w:uiPriority w:val="39"/>
    <w:qFormat/>
    <w:rsid w:val="00DC4929"/>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DC4929"/>
    <w:pPr>
      <w:jc w:val="left"/>
    </w:pPr>
    <w:rPr>
      <w:rFonts w:asciiTheme="minorHAnsi" w:eastAsiaTheme="minorHAnsi" w:hAnsiTheme="minorHAnsi" w:cstheme="minorBidi"/>
      <w:sz w:val="20"/>
      <w:szCs w:val="20"/>
      <w:lang w:eastAsia="en-US"/>
    </w:rPr>
  </w:style>
  <w:style w:type="character" w:customStyle="1" w:styleId="af1">
    <w:name w:val="Текст сноски Знак"/>
    <w:basedOn w:val="a0"/>
    <w:link w:val="af0"/>
    <w:uiPriority w:val="99"/>
    <w:semiHidden/>
    <w:rsid w:val="00DC4929"/>
    <w:rPr>
      <w:sz w:val="20"/>
      <w:szCs w:val="20"/>
    </w:rPr>
  </w:style>
  <w:style w:type="paragraph" w:styleId="af2">
    <w:name w:val="TOC Heading"/>
    <w:basedOn w:val="1"/>
    <w:next w:val="a"/>
    <w:uiPriority w:val="39"/>
    <w:unhideWhenUsed/>
    <w:qFormat/>
    <w:rsid w:val="00DC4929"/>
    <w:pPr>
      <w:keepLines/>
      <w:spacing w:before="480" w:line="276" w:lineRule="auto"/>
      <w:ind w:left="0" w:firstLine="0"/>
      <w:jc w:val="left"/>
      <w:outlineLvl w:val="9"/>
    </w:pPr>
    <w:rPr>
      <w:rFonts w:asciiTheme="majorHAnsi" w:eastAsiaTheme="majorEastAsia" w:hAnsiTheme="majorHAnsi" w:cstheme="majorBidi"/>
      <w:bCs/>
      <w:color w:val="365F91" w:themeColor="accent1" w:themeShade="BF"/>
      <w:szCs w:val="28"/>
      <w:lang w:val="ru-RU" w:eastAsia="en-US"/>
    </w:rPr>
  </w:style>
  <w:style w:type="paragraph" w:styleId="12">
    <w:name w:val="toc 1"/>
    <w:basedOn w:val="a"/>
    <w:next w:val="a"/>
    <w:autoRedefine/>
    <w:uiPriority w:val="39"/>
    <w:unhideWhenUsed/>
    <w:rsid w:val="00DC4929"/>
    <w:pPr>
      <w:spacing w:after="100"/>
    </w:pPr>
  </w:style>
  <w:style w:type="character" w:styleId="af3">
    <w:name w:val="Hyperlink"/>
    <w:basedOn w:val="a0"/>
    <w:uiPriority w:val="99"/>
    <w:unhideWhenUsed/>
    <w:rsid w:val="00DC4929"/>
    <w:rPr>
      <w:color w:val="0000FF" w:themeColor="hyperlink"/>
      <w:u w:val="single"/>
    </w:rPr>
  </w:style>
  <w:style w:type="character" w:styleId="af4">
    <w:name w:val="footnote reference"/>
    <w:basedOn w:val="a0"/>
    <w:uiPriority w:val="99"/>
    <w:semiHidden/>
    <w:unhideWhenUsed/>
    <w:rsid w:val="00DC4929"/>
    <w:rPr>
      <w:vertAlign w:val="superscript"/>
    </w:rPr>
  </w:style>
  <w:style w:type="paragraph" w:styleId="af5">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
    <w:basedOn w:val="a"/>
    <w:link w:val="af6"/>
    <w:uiPriority w:val="99"/>
    <w:qFormat/>
    <w:rsid w:val="00DC4929"/>
    <w:pPr>
      <w:jc w:val="left"/>
    </w:pPr>
    <w:rPr>
      <w:sz w:val="24"/>
      <w:szCs w:val="24"/>
    </w:rPr>
  </w:style>
  <w:style w:type="character" w:customStyle="1" w:styleId="af6">
    <w:name w:val="Обычный (Интернет)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f5"/>
    <w:uiPriority w:val="99"/>
    <w:locked/>
    <w:rsid w:val="00DC4929"/>
    <w:rPr>
      <w:rFonts w:ascii="Times New Roman" w:eastAsia="Times New Roman" w:hAnsi="Times New Roman" w:cs="Times New Roman"/>
      <w:sz w:val="24"/>
      <w:szCs w:val="24"/>
      <w:lang w:eastAsia="ru-RU"/>
    </w:rPr>
  </w:style>
  <w:style w:type="paragraph" w:customStyle="1" w:styleId="13">
    <w:name w:val="Без интервала1"/>
    <w:qFormat/>
    <w:rsid w:val="00DC4929"/>
    <w:pPr>
      <w:spacing w:after="0" w:line="240" w:lineRule="auto"/>
    </w:pPr>
    <w:rPr>
      <w:rFonts w:ascii="Times New Roman" w:eastAsia="Times New Roman" w:hAnsi="Times New Roman" w:cs="Times New Roman"/>
      <w:sz w:val="28"/>
      <w:lang w:val="ru-RU"/>
    </w:rPr>
  </w:style>
  <w:style w:type="paragraph" w:customStyle="1" w:styleId="21">
    <w:name w:val="Без интервала2"/>
    <w:qFormat/>
    <w:rsid w:val="00DC4929"/>
    <w:pPr>
      <w:spacing w:after="0" w:line="240" w:lineRule="auto"/>
    </w:pPr>
    <w:rPr>
      <w:rFonts w:ascii="Calibri" w:eastAsia="Times New Roman" w:hAnsi="Calibri" w:cs="Calibri"/>
      <w:lang w:val="ru-RU"/>
    </w:rPr>
  </w:style>
  <w:style w:type="paragraph" w:styleId="af7">
    <w:name w:val="No Spacing"/>
    <w:link w:val="af8"/>
    <w:uiPriority w:val="1"/>
    <w:qFormat/>
    <w:rsid w:val="00DC4929"/>
    <w:pPr>
      <w:spacing w:after="0" w:line="240" w:lineRule="auto"/>
    </w:pPr>
    <w:rPr>
      <w:rFonts w:ascii="Times New Roman" w:eastAsia="Calibri" w:hAnsi="Times New Roman" w:cs="Times New Roman"/>
      <w:sz w:val="28"/>
      <w:szCs w:val="28"/>
    </w:rPr>
  </w:style>
  <w:style w:type="character" w:customStyle="1" w:styleId="af8">
    <w:name w:val="Без интервала Знак"/>
    <w:link w:val="af7"/>
    <w:uiPriority w:val="1"/>
    <w:rsid w:val="00DC4929"/>
    <w:rPr>
      <w:rFonts w:ascii="Times New Roman" w:eastAsia="Calibri" w:hAnsi="Times New Roman" w:cs="Times New Roman"/>
      <w:sz w:val="28"/>
      <w:szCs w:val="28"/>
    </w:rPr>
  </w:style>
  <w:style w:type="paragraph" w:customStyle="1" w:styleId="31">
    <w:name w:val="Без интервала3"/>
    <w:qFormat/>
    <w:rsid w:val="00DC4929"/>
    <w:pPr>
      <w:suppressAutoHyphens/>
      <w:spacing w:after="0" w:line="100" w:lineRule="atLeast"/>
    </w:pPr>
    <w:rPr>
      <w:rFonts w:ascii="Calibri" w:eastAsia="Times New Roman" w:hAnsi="Calibri" w:cs="Calibri"/>
      <w:sz w:val="24"/>
      <w:szCs w:val="24"/>
      <w:lang w:val="ru-RU" w:eastAsia="zh-CN"/>
    </w:rPr>
  </w:style>
  <w:style w:type="character" w:styleId="af9">
    <w:name w:val="annotation reference"/>
    <w:basedOn w:val="a0"/>
    <w:uiPriority w:val="99"/>
    <w:semiHidden/>
    <w:unhideWhenUsed/>
    <w:rsid w:val="00DC4929"/>
    <w:rPr>
      <w:sz w:val="16"/>
      <w:szCs w:val="16"/>
    </w:rPr>
  </w:style>
  <w:style w:type="paragraph" w:styleId="afa">
    <w:name w:val="annotation text"/>
    <w:basedOn w:val="a"/>
    <w:link w:val="afb"/>
    <w:uiPriority w:val="99"/>
    <w:semiHidden/>
    <w:unhideWhenUsed/>
    <w:rsid w:val="00DC4929"/>
    <w:rPr>
      <w:sz w:val="20"/>
      <w:szCs w:val="20"/>
    </w:rPr>
  </w:style>
  <w:style w:type="character" w:customStyle="1" w:styleId="afb">
    <w:name w:val="Текст примечания Знак"/>
    <w:basedOn w:val="a0"/>
    <w:link w:val="afa"/>
    <w:uiPriority w:val="99"/>
    <w:semiHidden/>
    <w:rsid w:val="00DC4929"/>
    <w:rPr>
      <w:rFonts w:ascii="Times New Roman" w:eastAsia="Times New Roman" w:hAnsi="Times New Roman" w:cs="Times New Roman"/>
      <w:sz w:val="20"/>
      <w:szCs w:val="20"/>
      <w:lang w:eastAsia="ru-RU"/>
    </w:rPr>
  </w:style>
  <w:style w:type="character" w:customStyle="1" w:styleId="14">
    <w:name w:val="Основной шрифт абзаца1"/>
    <w:rsid w:val="00DC4929"/>
  </w:style>
  <w:style w:type="character" w:customStyle="1" w:styleId="a8">
    <w:name w:val="Абзац списка Знак"/>
    <w:aliases w:val="Paragraphe de liste1 Знак,List Paragraph (numbered (a)) Знак,References Знак,Resume Title Знак,List Paragraph - bullets Знак"/>
    <w:link w:val="a7"/>
    <w:uiPriority w:val="34"/>
    <w:locked/>
    <w:rsid w:val="008501BC"/>
    <w:rPr>
      <w:rFonts w:ascii="Times New Roman" w:eastAsia="Times New Roman" w:hAnsi="Times New Roman" w:cs="Times New Roman"/>
      <w:sz w:val="28"/>
      <w:szCs w:val="28"/>
      <w:lang w:eastAsia="ru-RU"/>
    </w:rPr>
  </w:style>
  <w:style w:type="character" w:customStyle="1" w:styleId="hps">
    <w:name w:val="hps"/>
    <w:rsid w:val="009240DC"/>
  </w:style>
  <w:style w:type="table" w:customStyle="1" w:styleId="22">
    <w:name w:val="Сетка таблицы2"/>
    <w:basedOn w:val="a1"/>
    <w:next w:val="af"/>
    <w:uiPriority w:val="59"/>
    <w:rsid w:val="00A0568F"/>
    <w:pPr>
      <w:spacing w:after="0" w:line="240" w:lineRule="auto"/>
    </w:pPr>
    <w:rPr>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c">
    <w:name w:val="Базовый"/>
    <w:rsid w:val="007C18C9"/>
    <w:pPr>
      <w:widowControl w:val="0"/>
      <w:suppressAutoHyphens/>
      <w:spacing w:after="0" w:line="100" w:lineRule="atLeast"/>
    </w:pPr>
    <w:rPr>
      <w:rFonts w:ascii="Arial" w:eastAsia="SimSun" w:hAnsi="Arial" w:cs="Mangal"/>
      <w:color w:val="00000A"/>
      <w:sz w:val="20"/>
      <w:szCs w:val="24"/>
      <w:lang w:eastAsia="zh-CN" w:bidi="hi-IN"/>
    </w:rPr>
  </w:style>
  <w:style w:type="character" w:customStyle="1" w:styleId="2244">
    <w:name w:val="2244"/>
    <w:aliases w:val="baiaagaaboqcaaadyqqaaaxxbaaaaaaaaaaaaaaaaaaaaaaaaaaaaaaaaaaaaaaaaaaaaaaaaaaaaaaaaaaaaaaaaaaaaaaaaaaaaaaaaaaaaaaaaaaaaaaaaaaaaaaaaaaaaaaaaaaaaaaaaaaaaaaaaaaaaaaaaaaaaaaaaaaaaaaaaaaaaaaaaaaaaaaaaaaaaaaaaaaaaaaaaaaaaaaaaaaaaaaaaaaaaaaa"/>
    <w:rsid w:val="004B6E30"/>
  </w:style>
  <w:style w:type="character" w:customStyle="1" w:styleId="y2iqfc">
    <w:name w:val="y2iqfc"/>
    <w:rsid w:val="00683CB5"/>
  </w:style>
  <w:style w:type="character" w:styleId="afd">
    <w:name w:val="Emphasis"/>
    <w:uiPriority w:val="20"/>
    <w:qFormat/>
    <w:rsid w:val="005057AD"/>
    <w:rPr>
      <w:i/>
      <w:iCs/>
    </w:rPr>
  </w:style>
  <w:style w:type="paragraph" w:customStyle="1" w:styleId="docdata">
    <w:name w:val="docdata"/>
    <w:aliases w:val="docy,v5,22862,baiaagaaboqcaaadhfcaaawsvwaaaaaaaaaaaaaaaaaaaaaaaaaaaaaaaaaaaaaaaaaaaaaaaaaaaaaaaaaaaaaaaaaaaaaaaaaaaaaaaaaaaaaaaaaaaaaaaaaaaaaaaaaaaaaaaaaaaaaaaaaaaaaaaaaaaaaaaaaaaaaaaaaaaaaaaaaaaaaaaaaaaaaaaaaaaaaaaaaaaaaaaaaaaaaaaaaaaaaaaaaaaaa"/>
    <w:basedOn w:val="a"/>
    <w:rsid w:val="00D66A51"/>
    <w:pPr>
      <w:spacing w:before="100" w:beforeAutospacing="1" w:after="100" w:afterAutospacing="1"/>
      <w:jc w:val="left"/>
    </w:pPr>
    <w:rPr>
      <w:sz w:val="24"/>
      <w:szCs w:val="24"/>
      <w:lang w:val="ru-RU"/>
    </w:rPr>
  </w:style>
  <w:style w:type="paragraph" w:customStyle="1" w:styleId="afe">
    <w:basedOn w:val="a"/>
    <w:next w:val="af5"/>
    <w:uiPriority w:val="99"/>
    <w:unhideWhenUsed/>
    <w:rsid w:val="0051104F"/>
    <w:pPr>
      <w:spacing w:before="100" w:beforeAutospacing="1" w:after="100" w:afterAutospacing="1"/>
      <w:jc w:val="left"/>
    </w:pPr>
    <w:rPr>
      <w:sz w:val="24"/>
      <w:szCs w:val="24"/>
    </w:rPr>
  </w:style>
  <w:style w:type="table" w:customStyle="1" w:styleId="32">
    <w:name w:val="Сетка таблицы3"/>
    <w:basedOn w:val="a1"/>
    <w:next w:val="af"/>
    <w:uiPriority w:val="59"/>
    <w:qFormat/>
    <w:rsid w:val="00822744"/>
    <w:pPr>
      <w:spacing w:after="0" w:line="240" w:lineRule="auto"/>
    </w:pPr>
    <w:rPr>
      <w:rFonts w:ascii="Times New Roman" w:eastAsia="SimSun" w:hAnsi="Times New Roman" w:cs="Times New Roman"/>
      <w:sz w:val="20"/>
      <w:szCs w:val="20"/>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055">
    <w:name w:val="2055"/>
    <w:aliases w:val="baiaagaaboqcaaadbaqaaausbaaaaaaaaaaaaaaaaaaaaaaaaaaaaaaaaaaaaaaaaaaaaaaaaaaaaaaaaaaaaaaaaaaaaaaaaaaaaaaaaaaaaaaaaaaaaaaaaaaaaaaaaaaaaaaaaaaaaaaaaaaaaaaaaaaaaaaaaaaaaaaaaaaaaaaaaaaaaaaaaaaaaaaaaaaaaaaaaaaaaaaaaaaaaaaaaaaaaaaaaaaaaaaa"/>
    <w:basedOn w:val="a0"/>
    <w:rsid w:val="00076FEB"/>
  </w:style>
  <w:style w:type="paragraph" w:customStyle="1" w:styleId="2667">
    <w:name w:val="2667"/>
    <w:aliases w:val="baiaagaaboqcaaadaayaaav2bgaaaaaaaaaaaaaaaaaaaaaaaaaaaaaaaaaaaaaaaaaaaaaaaaaaaaaaaaaaaaaaaaaaaaaaaaaaaaaaaaaaaaaaaaaaaaaaaaaaaaaaaaaaaaaaaaaaaaaaaaaaaaaaaaaaaaaaaaaaaaaaaaaaaaaaaaaaaaaaaaaaaaaaaaaaaaaaaaaaaaaaaaaaaaaaaaaaaaaaaaaaaaaa"/>
    <w:basedOn w:val="a"/>
    <w:rsid w:val="00076FEB"/>
    <w:pPr>
      <w:spacing w:before="100" w:beforeAutospacing="1" w:after="100" w:afterAutospacing="1"/>
      <w:jc w:val="left"/>
    </w:pPr>
    <w:rPr>
      <w:sz w:val="24"/>
      <w:szCs w:val="24"/>
      <w:lang w:val="en-US" w:eastAsia="en-US"/>
    </w:rPr>
  </w:style>
  <w:style w:type="paragraph" w:customStyle="1" w:styleId="15">
    <w:name w:val="Обычный1"/>
    <w:rsid w:val="00D65CFC"/>
    <w:pPr>
      <w:spacing w:after="0" w:line="240" w:lineRule="auto"/>
      <w:jc w:val="both"/>
    </w:pPr>
    <w:rPr>
      <w:rFonts w:ascii="Calibri" w:eastAsia="SimSun" w:hAnsi="Calibri" w:cs="Calibri"/>
      <w:sz w:val="24"/>
      <w:szCs w:val="24"/>
      <w:lang w:val="ru-RU" w:eastAsia="ru-RU"/>
    </w:rPr>
  </w:style>
  <w:style w:type="paragraph" w:styleId="aff">
    <w:name w:val="annotation subject"/>
    <w:basedOn w:val="afa"/>
    <w:next w:val="afa"/>
    <w:link w:val="aff0"/>
    <w:uiPriority w:val="99"/>
    <w:semiHidden/>
    <w:unhideWhenUsed/>
    <w:rsid w:val="00AC499C"/>
    <w:rPr>
      <w:b/>
      <w:bCs/>
    </w:rPr>
  </w:style>
  <w:style w:type="character" w:customStyle="1" w:styleId="aff0">
    <w:name w:val="Тема примечания Знак"/>
    <w:basedOn w:val="afb"/>
    <w:link w:val="aff"/>
    <w:uiPriority w:val="99"/>
    <w:semiHidden/>
    <w:rsid w:val="00AC499C"/>
    <w:rPr>
      <w:rFonts w:ascii="Times New Roman" w:eastAsia="Times New Roman" w:hAnsi="Times New Roman" w:cs="Times New Roman"/>
      <w:b/>
      <w:bCs/>
      <w:sz w:val="20"/>
      <w:szCs w:val="20"/>
      <w:lang w:eastAsia="ru-RU"/>
    </w:rPr>
  </w:style>
  <w:style w:type="character" w:customStyle="1" w:styleId="16">
    <w:name w:val="Неразрешенное упоминание1"/>
    <w:basedOn w:val="a0"/>
    <w:uiPriority w:val="99"/>
    <w:semiHidden/>
    <w:unhideWhenUsed/>
    <w:rsid w:val="00AC499C"/>
    <w:rPr>
      <w:color w:val="605E5C"/>
      <w:shd w:val="clear" w:color="auto" w:fill="E1DFDD"/>
    </w:rPr>
  </w:style>
  <w:style w:type="character" w:styleId="aff1">
    <w:name w:val="FollowedHyperlink"/>
    <w:basedOn w:val="a0"/>
    <w:uiPriority w:val="99"/>
    <w:semiHidden/>
    <w:unhideWhenUsed/>
    <w:rsid w:val="00AC499C"/>
    <w:rPr>
      <w:color w:val="800080" w:themeColor="followedHyperlink"/>
      <w:u w:val="single"/>
    </w:rPr>
  </w:style>
  <w:style w:type="paragraph" w:customStyle="1" w:styleId="210">
    <w:name w:val="Заголовок 21"/>
    <w:basedOn w:val="a"/>
    <w:next w:val="a"/>
    <w:uiPriority w:val="9"/>
    <w:unhideWhenUsed/>
    <w:qFormat/>
    <w:rsid w:val="00A80848"/>
    <w:pPr>
      <w:keepNext/>
      <w:keepLines/>
      <w:suppressAutoHyphens/>
      <w:spacing w:before="40" w:line="360" w:lineRule="auto"/>
      <w:ind w:firstLine="851"/>
      <w:jc w:val="left"/>
      <w:outlineLvl w:val="1"/>
    </w:pPr>
    <w:rPr>
      <w:rFonts w:asciiTheme="majorHAnsi" w:eastAsiaTheme="majorEastAsia" w:hAnsiTheme="majorHAnsi" w:cstheme="majorBidi"/>
      <w:color w:val="365F91" w:themeColor="accent1" w:themeShade="BF"/>
      <w:sz w:val="26"/>
      <w:szCs w:val="26"/>
      <w:lang w:eastAsia="en-US"/>
    </w:rPr>
  </w:style>
  <w:style w:type="character" w:customStyle="1" w:styleId="mw-headline">
    <w:name w:val="mw-headline"/>
    <w:basedOn w:val="a0"/>
    <w:rsid w:val="00096F18"/>
  </w:style>
  <w:style w:type="paragraph" w:customStyle="1" w:styleId="23">
    <w:name w:val="Обычный2"/>
    <w:rsid w:val="000714B4"/>
    <w:pPr>
      <w:spacing w:after="0" w:line="240" w:lineRule="auto"/>
      <w:jc w:val="both"/>
    </w:pPr>
    <w:rPr>
      <w:rFonts w:ascii="Calibri" w:eastAsia="SimSun" w:hAnsi="Calibri" w:cs="Calibri"/>
      <w:sz w:val="24"/>
      <w:szCs w:val="24"/>
      <w:lang w:val="ru-RU" w:eastAsia="ru-RU"/>
    </w:rPr>
  </w:style>
  <w:style w:type="character" w:customStyle="1" w:styleId="24">
    <w:name w:val="Неразрешенное упоминание2"/>
    <w:basedOn w:val="a0"/>
    <w:uiPriority w:val="99"/>
    <w:semiHidden/>
    <w:unhideWhenUsed/>
    <w:rsid w:val="00686726"/>
    <w:rPr>
      <w:color w:val="605E5C"/>
      <w:shd w:val="clear" w:color="auto" w:fill="E1DFDD"/>
    </w:rPr>
  </w:style>
  <w:style w:type="paragraph" w:styleId="aff2">
    <w:name w:val="Revision"/>
    <w:hidden/>
    <w:uiPriority w:val="99"/>
    <w:semiHidden/>
    <w:rsid w:val="00686726"/>
    <w:pPr>
      <w:spacing w:after="0" w:line="240" w:lineRule="auto"/>
    </w:pPr>
    <w:rPr>
      <w:rFonts w:ascii="Times New Roman" w:eastAsia="Times New Roman"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6799098">
      <w:bodyDiv w:val="1"/>
      <w:marLeft w:val="0"/>
      <w:marRight w:val="0"/>
      <w:marTop w:val="0"/>
      <w:marBottom w:val="0"/>
      <w:divBdr>
        <w:top w:val="none" w:sz="0" w:space="0" w:color="auto"/>
        <w:left w:val="none" w:sz="0" w:space="0" w:color="auto"/>
        <w:bottom w:val="none" w:sz="0" w:space="0" w:color="auto"/>
        <w:right w:val="none" w:sz="0" w:space="0" w:color="auto"/>
      </w:divBdr>
    </w:div>
    <w:div w:id="862019189">
      <w:bodyDiv w:val="1"/>
      <w:marLeft w:val="0"/>
      <w:marRight w:val="0"/>
      <w:marTop w:val="0"/>
      <w:marBottom w:val="0"/>
      <w:divBdr>
        <w:top w:val="none" w:sz="0" w:space="0" w:color="auto"/>
        <w:left w:val="none" w:sz="0" w:space="0" w:color="auto"/>
        <w:bottom w:val="none" w:sz="0" w:space="0" w:color="auto"/>
        <w:right w:val="none" w:sz="0" w:space="0" w:color="auto"/>
      </w:divBdr>
    </w:div>
    <w:div w:id="1042629631">
      <w:bodyDiv w:val="1"/>
      <w:marLeft w:val="0"/>
      <w:marRight w:val="0"/>
      <w:marTop w:val="0"/>
      <w:marBottom w:val="0"/>
      <w:divBdr>
        <w:top w:val="none" w:sz="0" w:space="0" w:color="auto"/>
        <w:left w:val="none" w:sz="0" w:space="0" w:color="auto"/>
        <w:bottom w:val="none" w:sz="0" w:space="0" w:color="auto"/>
        <w:right w:val="none" w:sz="0" w:space="0" w:color="auto"/>
      </w:divBdr>
    </w:div>
    <w:div w:id="1703630411">
      <w:bodyDiv w:val="1"/>
      <w:marLeft w:val="0"/>
      <w:marRight w:val="0"/>
      <w:marTop w:val="0"/>
      <w:marBottom w:val="0"/>
      <w:divBdr>
        <w:top w:val="none" w:sz="0" w:space="0" w:color="auto"/>
        <w:left w:val="none" w:sz="0" w:space="0" w:color="auto"/>
        <w:bottom w:val="none" w:sz="0" w:space="0" w:color="auto"/>
        <w:right w:val="none" w:sz="0" w:space="0" w:color="auto"/>
      </w:divBdr>
    </w:div>
    <w:div w:id="1963221784">
      <w:bodyDiv w:val="1"/>
      <w:marLeft w:val="0"/>
      <w:marRight w:val="0"/>
      <w:marTop w:val="0"/>
      <w:marBottom w:val="0"/>
      <w:divBdr>
        <w:top w:val="none" w:sz="0" w:space="0" w:color="auto"/>
        <w:left w:val="none" w:sz="0" w:space="0" w:color="auto"/>
        <w:bottom w:val="none" w:sz="0" w:space="0" w:color="auto"/>
        <w:right w:val="none" w:sz="0" w:space="0" w:color="auto"/>
      </w:divBdr>
    </w:div>
    <w:div w:id="207724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D0%A5%D1%80%D0%B0%D0%BC" TargetMode="External"/><Relationship Id="rId21" Type="http://schemas.openxmlformats.org/officeDocument/2006/relationships/hyperlink" Target="https://uk.wikipedia.org/wiki/%D0%A3%D0%BA%D1%80%D0%B0%D1%97%D0%BD%D0%B0" TargetMode="External"/><Relationship Id="rId42" Type="http://schemas.openxmlformats.org/officeDocument/2006/relationships/image" Target="media/image4.emf"/><Relationship Id="rId47" Type="http://schemas.openxmlformats.org/officeDocument/2006/relationships/image" Target="media/image9.emf"/><Relationship Id="rId63" Type="http://schemas.openxmlformats.org/officeDocument/2006/relationships/image" Target="media/image25.png"/><Relationship Id="rId6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uk.wikipedia.org/wiki/%D0%9C%D0%B5%D1%82%D1%8C%D0%BE%D0%BB%D0%BA%D1%96%D0%BD%D0%B5" TargetMode="External"/><Relationship Id="rId29" Type="http://schemas.openxmlformats.org/officeDocument/2006/relationships/hyperlink" Target="https://uk.wikipedia.org/wiki/%D0%9F%D1%80%D0%BE%D1%82%D0%B5%D1%81%D1%82%D0%B0%D0%BD%D1%82%D0%B8%D0%B7%D0%BC" TargetMode="External"/><Relationship Id="rId11" Type="http://schemas.openxmlformats.org/officeDocument/2006/relationships/hyperlink" Target="https://uk.wikipedia.org/wiki/%D0%9F%D0%B0%D0%B2%D0%BB%D0%BE%D0%B3%D1%80%D0%B0%D0%B4_(%D1%81%D0%B5%D0%BB%D0%B8%D1%89%D0%B5)" TargetMode="External"/><Relationship Id="rId24" Type="http://schemas.openxmlformats.org/officeDocument/2006/relationships/hyperlink" Target="https://uk.wikipedia.org/wiki/%D0%A0%D1%83%D0%B1%D1%96%D0%B6%D0%BD%D0%B5" TargetMode="External"/><Relationship Id="rId32" Type="http://schemas.openxmlformats.org/officeDocument/2006/relationships/hyperlink" Target="https://uk.wikipedia.org/wiki/%D0%86%D1%81%D0%BB%D0%B0%D0%BC%D1%81%D1%8C%D0%BA%D0%B8%D0%B9_%D0%BA%D1%83%D0%BB%D1%8C%D1%82%D1%83%D1%80%D0%BD%D0%B8%D0%B9_%D1%86%D0%B5%D0%BD%D1%82%D1%80_%D1%82%D0%B0_%D0%BC%D0%B5%D1%87%D0%B5%D1%82%D1%8C_(%D0%A1%D1%94%D0%B2%D1%94%D1%80%D0%BE%D0%B4%D0%BE%D0%BD%D0%B5%D1%86%D1%8C%D0%BA)" TargetMode="External"/><Relationship Id="rId37" Type="http://schemas.openxmlformats.org/officeDocument/2006/relationships/hyperlink" Target="https://uk.wikipedia.org/wiki/%D0%9F%D0%B0%D0%BC%27%D1%8F%D1%82%D0%BD%D0%B8%D0%BA_%D0%9C%D0%B8%D0%BA%D0%BE%D0%BB%D1%96_%D0%93%D0%BE%D0%B3%D0%BE%D0%BB%D1%8E_(%D0%A1%D1%94%D0%B2%D1%94%D1%80%D0%BE%D0%B4%D0%BE%D0%BD%D0%B5%D1%86%D1%8C%D0%BA)" TargetMode="External"/><Relationship Id="rId40" Type="http://schemas.openxmlformats.org/officeDocument/2006/relationships/hyperlink" Target="https://uk.wikipedia.org/wiki/%D0%9F%D0%B0%D0%BC%27%D1%8F%D1%82%D0%BD%D0%B8%D0%BA_%D0%BA%D0%BE%D0%B7%D0%B0%D0%BA%D0%B0%D0%BC_(%D0%A1%D1%94%D0%B2%D1%94%D1%80%D0%BE%D0%B4%D0%BE%D0%BD%D0%B5%D1%86%D1%8C%D0%BA)" TargetMode="External"/><Relationship Id="rId45" Type="http://schemas.openxmlformats.org/officeDocument/2006/relationships/image" Target="media/image7.emf"/><Relationship Id="rId53" Type="http://schemas.openxmlformats.org/officeDocument/2006/relationships/image" Target="media/image15.emf"/><Relationship Id="rId58" Type="http://schemas.openxmlformats.org/officeDocument/2006/relationships/image" Target="media/image20.emf"/><Relationship Id="rId66" Type="http://schemas.openxmlformats.org/officeDocument/2006/relationships/hyperlink" Target="https://cinea.ec.europa.eu/programmes/life_en" TargetMode="External"/><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3.jpeg"/><Relationship Id="rId19" Type="http://schemas.openxmlformats.org/officeDocument/2006/relationships/hyperlink" Target="https://uk.wikipedia.org/wiki/%D0%A1%D1%96%D0%B2%D0%B5%D1%80%D1%81%D1%8C%D0%BA%D0%B8%D0%B9_%D0%94%D0%BE%D0%BD%D0%B5%D1%86%D1%8C" TargetMode="External"/><Relationship Id="rId14" Type="http://schemas.openxmlformats.org/officeDocument/2006/relationships/hyperlink" Target="https://uk.wikipedia.org/wiki/%D0%A1%D0%B8%D1%80%D0%BE%D1%82%D0%B8%D0%BD%D0%B5_(%D1%81%D0%BC%D1%82)" TargetMode="External"/><Relationship Id="rId22" Type="http://schemas.openxmlformats.org/officeDocument/2006/relationships/hyperlink" Target="https://uk.wikipedia.org/wiki/%D0%A1%D1%94%D0%B2%D1%94%D1%80%D0%BE%D0%B4%D0%BE%D0%BD%D0%B5%D1%86%D1%8C%D0%BA" TargetMode="External"/><Relationship Id="rId27" Type="http://schemas.openxmlformats.org/officeDocument/2006/relationships/hyperlink" Target="https://uk.wikipedia.org/wiki/%D0%A5%D1%80%D0%B0%D0%BC" TargetMode="External"/><Relationship Id="rId30" Type="http://schemas.openxmlformats.org/officeDocument/2006/relationships/hyperlink" Target="https://uk.wikipedia.org/wiki/%D0%92%D1%81%D0%B5%D1%83%D0%BA%D1%80%D0%B0%D1%97%D0%BD%D1%81%D1%8C%D0%BA%D0%B8%D0%B9_%D1%81%D0%BE%D1%8E%D0%B7_%D1%86%D0%B5%D1%80%D0%BA%D0%BE%D0%B2_%D1%94%D0%B2%D0%B0%D0%BD%D0%B3%D0%B5%D0%BB%D1%8C%D1%81%D1%8C%D0%BA%D0%B8%D1%85_%D1%85%D1%80%D0%B8%D1%81%D1%82%D0%B8%D1%8F%D0%BD-%D0%B1%D0%B0%D0%BF%D1%82%D0%B8%D1%81%D1%82%D1%96%D0%B2" TargetMode="External"/><Relationship Id="rId35" Type="http://schemas.openxmlformats.org/officeDocument/2006/relationships/hyperlink" Target="https://uk.wikipedia.org/wiki/%D0%9F%D0%B0%D0%BC%27%D1%8F%D1%82%D0%BD%D0%B8%D0%BA_%D0%B2%D0%BE%D1%97%D0%BD%D0%B0%D0%BC-%D1%96%D0%BD%D1%82%D0%B5%D1%80%D0%BD%D0%B0%D1%86%D1%96%D0%BE%D0%BD%D0%B0%D0%BB%D1%96%D1%81%D1%82%D0%B0%D0%BC_(%D0%A1%D1%94%D0%B2%D1%94%D1%80%D0%BE%D0%B4%D0%BE%D0%BD%D0%B5%D1%86%D1%8C%D0%BA)" TargetMode="External"/><Relationship Id="rId43" Type="http://schemas.openxmlformats.org/officeDocument/2006/relationships/image" Target="media/image5.emf"/><Relationship Id="rId48" Type="http://schemas.openxmlformats.org/officeDocument/2006/relationships/image" Target="media/image10.emf"/><Relationship Id="rId56" Type="http://schemas.openxmlformats.org/officeDocument/2006/relationships/image" Target="media/image18.emf"/><Relationship Id="rId64" Type="http://schemas.openxmlformats.org/officeDocument/2006/relationships/image" Target="media/image26.jpeg"/><Relationship Id="rId69"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13.emf"/><Relationship Id="rId72" Type="http://schemas.openxmlformats.org/officeDocument/2006/relationships/hyperlink" Target="https://b-pro.com.ua/katalog/trudove-navchannya" TargetMode="External"/><Relationship Id="rId3" Type="http://schemas.openxmlformats.org/officeDocument/2006/relationships/numbering" Target="numbering.xml"/><Relationship Id="rId12" Type="http://schemas.openxmlformats.org/officeDocument/2006/relationships/hyperlink" Target="https://uk.wikipedia.org/wiki/%D0%91%D0%BE%D1%80%D1%96%D0%B2%D1%81%D1%8C%D0%BA%D0%B5_(%D1%81%D0%BC%D1%82)" TargetMode="External"/><Relationship Id="rId17" Type="http://schemas.openxmlformats.org/officeDocument/2006/relationships/image" Target="media/image3.png"/><Relationship Id="rId25" Type="http://schemas.openxmlformats.org/officeDocument/2006/relationships/hyperlink" Target="https://uk.wikipedia.org/wiki/%D0%9F%D1%80%D0%B0%D0%B2%D0%BE%D1%81%D0%BB%D0%B0%D0%B2%D0%BD%D0%B0_%D1%86%D0%B5%D1%80%D0%BA%D0%B2%D0%B0_%D0%A3%D0%BA%D1%80%D0%B0%D1%97%D0%BD%D0%B8" TargetMode="External"/><Relationship Id="rId33" Type="http://schemas.openxmlformats.org/officeDocument/2006/relationships/hyperlink" Target="https://uk.wikipedia.org/wiki/%D0%9F%D0%B0%D0%BC%27%D1%8F%D1%82%D0%BD%D0%B8%D0%BA-%D1%81%D1%82%D0%B5%D0%BB%D0%B0_%D0%BF%D0%B5%D1%80%D0%B5%D0%BC%D0%BE%D0%B6%D1%86%D1%8F%D0%BC_%D1%83_%D0%92%D0%B5%D0%BB%D0%B8%D0%BA%D1%96%D0%B9_%D0%92%D1%96%D1%82%D1%87%D0%B8%D0%B7%D0%BD%D1%8F%D0%BD%D1%96%D0%B9_%D0%B2%D1%96%D0%B9%D0%BD%D1%96_(%D0%A1%D1%94%D0%B2%D1%94%D1%80%D0%BE%D0%B4%D0%BE%D0%BD%D0%B5%D1%86%D1%8C%D0%BA)" TargetMode="External"/><Relationship Id="rId38" Type="http://schemas.openxmlformats.org/officeDocument/2006/relationships/hyperlink" Target="https://uk.wikipedia.org/wiki/%D0%9F%D0%B0%D0%BC%27%D1%8F%D1%82%D0%BD%D0%B8%D0%BA_%D0%94%D0%BC%D0%B8%D1%82%D1%80%D1%83_%D0%9C%D0%B5%D0%BD%D0%B4%D0%B5%D0%BB%D1%94%D1%94%D0%B2%D1%83_(%D0%A1%D1%94%D0%B2%D1%94%D1%80%D0%BE%D0%B4%D0%BE%D0%BD%D0%B5%D1%86%D1%8C%D0%BA)" TargetMode="External"/><Relationship Id="rId46" Type="http://schemas.openxmlformats.org/officeDocument/2006/relationships/image" Target="media/image8.emf"/><Relationship Id="rId59" Type="http://schemas.openxmlformats.org/officeDocument/2006/relationships/image" Target="media/image21.emf"/><Relationship Id="rId67" Type="http://schemas.openxmlformats.org/officeDocument/2006/relationships/header" Target="header1.xml"/><Relationship Id="rId20" Type="http://schemas.openxmlformats.org/officeDocument/2006/relationships/hyperlink" Target="https://uk.wikipedia.org/wiki/%D0%9B%D1%83%D0%B3%D0%B0%D0%BD%D1%81%D1%8C%D0%BA%D0%B0_%D0%BE%D0%B1%D0%BB%D0%B0%D1%81%D1%82%D1%8C" TargetMode="External"/><Relationship Id="rId41" Type="http://schemas.openxmlformats.org/officeDocument/2006/relationships/hyperlink" Target="https://docs.google.com/forms/d/167wEufXkzu-qCFKiXUDtmiQWt1LJ8zrOAfeTFfmzYrU/edit?pli=1" TargetMode="External"/><Relationship Id="rId54" Type="http://schemas.openxmlformats.org/officeDocument/2006/relationships/image" Target="media/image16.emf"/><Relationship Id="rId62" Type="http://schemas.openxmlformats.org/officeDocument/2006/relationships/image" Target="media/image24.jpe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uk.wikipedia.org/wiki/%D0%92%D0%BE%D1%80%D0%BE%D0%BD%D0%BE%D0%B2%D0%B5_(%D1%81%D0%BC%D1%82)" TargetMode="External"/><Relationship Id="rId23" Type="http://schemas.openxmlformats.org/officeDocument/2006/relationships/hyperlink" Target="https://uk.wikipedia.org/wiki/%D0%9B%D0%B8%D1%81%D0%B8%D1%87%D0%B0%D0%BD%D1%81%D1%8C%D0%BA" TargetMode="External"/><Relationship Id="rId28" Type="http://schemas.openxmlformats.org/officeDocument/2006/relationships/hyperlink" Target="https://uk.wikipedia.org/wiki/%D0%A3%D0%BA%D1%80%D0%B0%D1%97%D0%BD%D1%81%D1%8C%D0%BA%D0%B0_%D0%B3%D1%80%D0%B5%D0%BA%D0%BE-%D0%BA%D0%B0%D1%82%D0%BE%D0%BB%D0%B8%D1%86%D1%8C%D0%BA%D0%B0_%D1%86%D0%B5%D1%80%D0%BA%D0%B2%D0%B0" TargetMode="External"/><Relationship Id="rId36" Type="http://schemas.openxmlformats.org/officeDocument/2006/relationships/hyperlink" Target="https://uk.wikipedia.org/wiki/%D0%9F%D0%B0%D0%BC%27%D1%8F%D1%82%D0%BD%D0%B8%D0%BA_%D0%B3%D0%B5%D1%80%D0%BE%D1%8F%D0%BC_%D0%A7%D0%BE%D1%80%D0%BD%D0%BE%D0%B1%D0%B8%D0%BB%D1%8F_(%D0%A1%D1%94%D0%B2%D1%94%D1%80%D0%BE%D0%B4%D0%BE%D0%BD%D0%B5%D1%86%D1%8C%D0%BA)" TargetMode="External"/><Relationship Id="rId49" Type="http://schemas.openxmlformats.org/officeDocument/2006/relationships/image" Target="media/image11.emf"/><Relationship Id="rId57" Type="http://schemas.openxmlformats.org/officeDocument/2006/relationships/image" Target="media/image19.emf"/><Relationship Id="rId10" Type="http://schemas.openxmlformats.org/officeDocument/2006/relationships/image" Target="media/image2.jpeg"/><Relationship Id="rId31" Type="http://schemas.openxmlformats.org/officeDocument/2006/relationships/hyperlink" Target="https://uk.wikipedia.org/wiki/%D0%86%D1%81%D0%BB%D0%B0%D0%BC" TargetMode="External"/><Relationship Id="rId44" Type="http://schemas.openxmlformats.org/officeDocument/2006/relationships/image" Target="media/image6.emf"/><Relationship Id="rId52" Type="http://schemas.openxmlformats.org/officeDocument/2006/relationships/image" Target="media/image14.emf"/><Relationship Id="rId60" Type="http://schemas.openxmlformats.org/officeDocument/2006/relationships/image" Target="media/image22.jpeg"/><Relationship Id="rId65" Type="http://schemas.openxmlformats.org/officeDocument/2006/relationships/image" Target="media/image27.jpeg"/><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uk.wikipedia.org/wiki/%D0%91%D0%BE%D0%B1%D1%80%D0%BE%D0%B2%D0%B5_(%D0%A1%D1%94%D0%B2%D1%94%D1%80%D0%BE%D0%B4%D0%BE%D0%BD%D0%B5%D1%86%D1%8C%D0%BA%D0%B0_%D0%BC%D1%96%D1%81%D1%8C%D0%BA%D0%B0_%D1%80%D0%B0%D0%B4%D0%B0)" TargetMode="External"/><Relationship Id="rId18" Type="http://schemas.openxmlformats.org/officeDocument/2006/relationships/hyperlink" Target="https://uk.wikipedia.org/wiki/%D0%90%D0%B3%D0%BB%D0%BE%D0%BC%D0%B5%D1%80%D0%B0%D1%86%D1%96%D1%8F_%D0%BC%D1%96%D1%81%D1%8C%D0%BA%D0%B0" TargetMode="External"/><Relationship Id="rId39" Type="http://schemas.openxmlformats.org/officeDocument/2006/relationships/hyperlink" Target="https://uk.wikipedia.org/wiki/%D0%9F%D0%B0%D0%BC%27%D1%8F%D1%82%D0%BD%D0%B8%D0%BA_%D0%86%D0%B2%D0%B0%D0%BD%D1%83_%D0%A4%D1%80%D0%B0%D0%BD%D0%BA%D1%83_(%D0%A1%D1%94%D0%B2%D1%94%D1%80%D0%BE%D0%B4%D0%BE%D0%BD%D0%B5%D1%86%D1%8C%D0%BA)" TargetMode="External"/><Relationship Id="rId34" Type="http://schemas.openxmlformats.org/officeDocument/2006/relationships/hyperlink" Target="https://uk.wikipedia.org/wiki/%D0%9F%D0%B0%D0%BC%27%D1%8F%D1%82%D0%BD%D0%B8%D0%BA_%D0%B2%D0%BE%D1%97%D0%BD%D0%B0%D0%BC-%D0%B2%D0%B8%D0%B7%D0%B2%D0%BE%D0%BB%D0%B8%D1%82%D0%B5%D0%BB%D1%8F%D0%BC_%D0%BC%D1%96%D1%81%D1%82%D0%B0_%D0%A1%D1%94%D0%B2%D1%94%D1%80%D0%BE%D0%B4%D0%BE%D0%BD%D0%B5%D1%86%D1%8C%D0%BA%D0%B0_%D0%A2%D0%B0%D0%BD%D0%BA_%D0%A2-34" TargetMode="External"/><Relationship Id="rId50" Type="http://schemas.openxmlformats.org/officeDocument/2006/relationships/image" Target="media/image12.emf"/><Relationship Id="rId55" Type="http://schemas.openxmlformats.org/officeDocument/2006/relationships/image" Target="media/image17.emf"/><Relationship Id="rId7" Type="http://schemas.openxmlformats.org/officeDocument/2006/relationships/footnotes" Target="footnotes.xml"/><Relationship Id="rId71" Type="http://schemas.openxmlformats.org/officeDocument/2006/relationships/hyperlink" Target="https://bkbm.ua/image/catalog/produkciya/DBN-V.2.2-5-97.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footer2.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7817C8-776F-478E-916A-1AB143162A6C}">
  <ds:schemaRefs>
    <ds:schemaRef ds:uri="http://schemas.openxmlformats.org/officeDocument/2006/bibliography"/>
  </ds:schemaRefs>
</ds:datastoreItem>
</file>

<file path=customXml/itemProps2.xml><?xml version="1.0" encoding="utf-8"?>
<ds:datastoreItem xmlns:ds="http://schemas.openxmlformats.org/officeDocument/2006/customXml" ds:itemID="{B430C81C-8E10-4B77-AFFC-673147055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TotalTime>
  <Pages>451</Pages>
  <Words>157111</Words>
  <Characters>895539</Characters>
  <Application>Microsoft Office Word</Application>
  <DocSecurity>0</DocSecurity>
  <Lines>7462</Lines>
  <Paragraphs>2101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1050549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Е.К.</cp:lastModifiedBy>
  <cp:revision>353</cp:revision>
  <dcterms:created xsi:type="dcterms:W3CDTF">2023-11-17T17:24:00Z</dcterms:created>
  <dcterms:modified xsi:type="dcterms:W3CDTF">2023-12-28T10:30:00Z</dcterms:modified>
</cp:coreProperties>
</file>